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79C8" w:rsidRDefault="00471577" w:rsidP="009C79C8">
      <w:pPr>
        <w:jc w:val="center"/>
        <w:rPr>
          <w:b/>
          <w:sz w:val="28"/>
          <w:szCs w:val="28"/>
        </w:rPr>
      </w:pPr>
      <w:r w:rsidRPr="00471577">
        <w:rPr>
          <w:b/>
          <w:sz w:val="28"/>
          <w:szCs w:val="28"/>
        </w:rPr>
        <w:t>Расчеты</w:t>
      </w:r>
      <w:r w:rsidR="009C79C8">
        <w:rPr>
          <w:b/>
          <w:sz w:val="28"/>
          <w:szCs w:val="28"/>
        </w:rPr>
        <w:t xml:space="preserve"> </w:t>
      </w:r>
    </w:p>
    <w:p w:rsidR="00471577" w:rsidRPr="00471577" w:rsidRDefault="00471577" w:rsidP="009C79C8">
      <w:pPr>
        <w:jc w:val="center"/>
        <w:rPr>
          <w:b/>
          <w:sz w:val="28"/>
          <w:szCs w:val="28"/>
        </w:rPr>
      </w:pPr>
      <w:r w:rsidRPr="00471577">
        <w:rPr>
          <w:b/>
          <w:sz w:val="28"/>
          <w:szCs w:val="28"/>
        </w:rPr>
        <w:t>по статьям классификации налоговых и неналоговых доходов</w:t>
      </w:r>
    </w:p>
    <w:p w:rsidR="00471577" w:rsidRPr="00471577" w:rsidRDefault="00471577" w:rsidP="00471577">
      <w:pPr>
        <w:jc w:val="center"/>
        <w:rPr>
          <w:b/>
          <w:sz w:val="28"/>
          <w:szCs w:val="28"/>
        </w:rPr>
      </w:pPr>
      <w:r w:rsidRPr="00471577">
        <w:rPr>
          <w:b/>
          <w:sz w:val="28"/>
          <w:szCs w:val="28"/>
        </w:rPr>
        <w:t xml:space="preserve"> областного бюджета Тверской области </w:t>
      </w:r>
    </w:p>
    <w:p w:rsidR="00471577" w:rsidRPr="00471577" w:rsidRDefault="00471577" w:rsidP="00471577">
      <w:pPr>
        <w:jc w:val="center"/>
        <w:rPr>
          <w:b/>
          <w:sz w:val="28"/>
          <w:szCs w:val="28"/>
        </w:rPr>
      </w:pPr>
      <w:r w:rsidRPr="00471577">
        <w:rPr>
          <w:b/>
          <w:sz w:val="28"/>
          <w:szCs w:val="28"/>
        </w:rPr>
        <w:t xml:space="preserve"> на 202</w:t>
      </w:r>
      <w:r w:rsidRPr="00FF7D10">
        <w:rPr>
          <w:b/>
          <w:sz w:val="28"/>
          <w:szCs w:val="28"/>
        </w:rPr>
        <w:t>2</w:t>
      </w:r>
      <w:r w:rsidRPr="00471577">
        <w:rPr>
          <w:b/>
          <w:sz w:val="28"/>
          <w:szCs w:val="28"/>
        </w:rPr>
        <w:t xml:space="preserve"> год и плановый</w:t>
      </w:r>
      <w:bookmarkStart w:id="0" w:name="_GoBack"/>
      <w:bookmarkEnd w:id="0"/>
      <w:r w:rsidRPr="00471577">
        <w:rPr>
          <w:b/>
          <w:sz w:val="28"/>
          <w:szCs w:val="28"/>
        </w:rPr>
        <w:t xml:space="preserve"> период 202</w:t>
      </w:r>
      <w:r w:rsidRPr="00FF7D10">
        <w:rPr>
          <w:b/>
          <w:sz w:val="28"/>
          <w:szCs w:val="28"/>
        </w:rPr>
        <w:t>3</w:t>
      </w:r>
      <w:r w:rsidRPr="00471577">
        <w:rPr>
          <w:b/>
          <w:sz w:val="28"/>
          <w:szCs w:val="28"/>
        </w:rPr>
        <w:t xml:space="preserve"> и 202</w:t>
      </w:r>
      <w:r w:rsidRPr="00FF7D10">
        <w:rPr>
          <w:b/>
          <w:sz w:val="28"/>
          <w:szCs w:val="28"/>
        </w:rPr>
        <w:t>4</w:t>
      </w:r>
      <w:r w:rsidRPr="00471577">
        <w:rPr>
          <w:b/>
          <w:sz w:val="28"/>
          <w:szCs w:val="28"/>
        </w:rPr>
        <w:t xml:space="preserve"> годов</w:t>
      </w:r>
    </w:p>
    <w:p w:rsidR="00471577" w:rsidRDefault="00471577" w:rsidP="004412F1">
      <w:pPr>
        <w:jc w:val="center"/>
        <w:rPr>
          <w:b/>
          <w:sz w:val="28"/>
          <w:szCs w:val="28"/>
        </w:rPr>
      </w:pPr>
    </w:p>
    <w:p w:rsidR="00FF7D10" w:rsidRPr="00FF7D10" w:rsidRDefault="00FF7D10" w:rsidP="00FF7D10">
      <w:pPr>
        <w:jc w:val="center"/>
        <w:rPr>
          <w:b/>
          <w:sz w:val="28"/>
          <w:szCs w:val="28"/>
        </w:rPr>
      </w:pPr>
      <w:r w:rsidRPr="00FF7D10">
        <w:rPr>
          <w:b/>
          <w:sz w:val="28"/>
          <w:szCs w:val="28"/>
        </w:rPr>
        <w:t xml:space="preserve">Налоги на прибыль, доходы </w:t>
      </w:r>
    </w:p>
    <w:p w:rsidR="00FF7D10" w:rsidRPr="00FF7D10" w:rsidRDefault="00FF7D10" w:rsidP="00FF7D10">
      <w:pPr>
        <w:jc w:val="center"/>
        <w:rPr>
          <w:b/>
          <w:sz w:val="28"/>
          <w:szCs w:val="28"/>
        </w:rPr>
      </w:pPr>
      <w:r w:rsidRPr="00FF7D10">
        <w:rPr>
          <w:b/>
          <w:sz w:val="28"/>
          <w:szCs w:val="28"/>
        </w:rPr>
        <w:t>(000 1 01 00000 00 0000 000)</w:t>
      </w:r>
    </w:p>
    <w:p w:rsidR="00FF7D10" w:rsidRPr="00FF7D10" w:rsidRDefault="00FF7D10" w:rsidP="00FF7D10">
      <w:pPr>
        <w:jc w:val="center"/>
        <w:rPr>
          <w:b/>
          <w:sz w:val="28"/>
          <w:szCs w:val="28"/>
        </w:rPr>
      </w:pPr>
    </w:p>
    <w:p w:rsidR="00FF7D10" w:rsidRPr="00FF7D10" w:rsidRDefault="00FF7D10" w:rsidP="00FF7D10">
      <w:pPr>
        <w:jc w:val="center"/>
        <w:rPr>
          <w:b/>
          <w:sz w:val="28"/>
          <w:szCs w:val="28"/>
        </w:rPr>
      </w:pPr>
      <w:r w:rsidRPr="00FF7D10">
        <w:rPr>
          <w:b/>
          <w:sz w:val="28"/>
          <w:szCs w:val="28"/>
        </w:rPr>
        <w:t xml:space="preserve">Налог на прибыль организаций </w:t>
      </w:r>
    </w:p>
    <w:p w:rsidR="00471577" w:rsidRDefault="00FF7D10" w:rsidP="00FF7D10">
      <w:pPr>
        <w:jc w:val="center"/>
        <w:rPr>
          <w:b/>
          <w:sz w:val="28"/>
          <w:szCs w:val="28"/>
        </w:rPr>
      </w:pPr>
      <w:r w:rsidRPr="00FF7D10">
        <w:rPr>
          <w:b/>
          <w:sz w:val="28"/>
          <w:szCs w:val="28"/>
        </w:rPr>
        <w:t>(000 1 01 01000 00 00000110)</w:t>
      </w:r>
    </w:p>
    <w:p w:rsidR="00471577" w:rsidRDefault="00471577" w:rsidP="004412F1">
      <w:pPr>
        <w:jc w:val="center"/>
        <w:rPr>
          <w:b/>
          <w:sz w:val="28"/>
          <w:szCs w:val="28"/>
        </w:rPr>
      </w:pPr>
    </w:p>
    <w:p w:rsidR="003B43A0" w:rsidRPr="003B43A0" w:rsidRDefault="003B43A0" w:rsidP="003B43A0">
      <w:pPr>
        <w:ind w:firstLine="709"/>
        <w:jc w:val="both"/>
        <w:rPr>
          <w:sz w:val="28"/>
          <w:szCs w:val="28"/>
        </w:rPr>
      </w:pPr>
      <w:r w:rsidRPr="003B43A0">
        <w:rPr>
          <w:sz w:val="28"/>
          <w:szCs w:val="28"/>
        </w:rPr>
        <w:t>Прогноз налога на прибыль организаций на 2022 год составил 16 653 054 тыс. руб., на 2023 год – 17 418 799 тыс. руб., на 2024 год – 17 958 717 тыс. руб.</w:t>
      </w:r>
    </w:p>
    <w:p w:rsidR="003B43A0" w:rsidRPr="003B43A0" w:rsidRDefault="003B43A0" w:rsidP="003B43A0">
      <w:pPr>
        <w:ind w:firstLine="709"/>
        <w:jc w:val="both"/>
        <w:rPr>
          <w:sz w:val="28"/>
          <w:szCs w:val="28"/>
        </w:rPr>
      </w:pPr>
      <w:r w:rsidRPr="003B43A0">
        <w:rPr>
          <w:sz w:val="28"/>
          <w:szCs w:val="28"/>
        </w:rPr>
        <w:t>Расчет произведен по методике, утвержденной главным администратором доходов - Управлением Федеральной налоговой службы России по Тверской области (код главы главного администратора доходов 182).</w:t>
      </w:r>
    </w:p>
    <w:p w:rsidR="00FF7D10" w:rsidRPr="003B43A0" w:rsidRDefault="003B43A0" w:rsidP="003B43A0">
      <w:pPr>
        <w:ind w:firstLine="709"/>
        <w:jc w:val="both"/>
        <w:rPr>
          <w:sz w:val="28"/>
          <w:szCs w:val="28"/>
        </w:rPr>
      </w:pPr>
      <w:r w:rsidRPr="003B43A0">
        <w:rPr>
          <w:sz w:val="28"/>
          <w:szCs w:val="28"/>
        </w:rPr>
        <w:t>Расчет прогноза по налогу на прибыль организаций по коду бюджетной классификации (далее КБК) 000 1 01 01012 02 0000 110 «Налог на прибыль организаций (за исключением консолидированных групп налогоплательщиков), зачисляемый в бюджеты субъектов Российской Федерации» на 2022 год и на плановый период 2023 и 2024 годов, по ставке налога 17% (Ст) представлен в таблице:</w:t>
      </w:r>
    </w:p>
    <w:tbl>
      <w:tblPr>
        <w:tblStyle w:val="a6"/>
        <w:tblW w:w="10031" w:type="dxa"/>
        <w:jc w:val="center"/>
        <w:tblLayout w:type="fixed"/>
        <w:tblLook w:val="04A0" w:firstRow="1" w:lastRow="0" w:firstColumn="1" w:lastColumn="0" w:noHBand="0" w:noVBand="1"/>
      </w:tblPr>
      <w:tblGrid>
        <w:gridCol w:w="534"/>
        <w:gridCol w:w="3118"/>
        <w:gridCol w:w="1276"/>
        <w:gridCol w:w="1276"/>
        <w:gridCol w:w="1275"/>
        <w:gridCol w:w="1276"/>
        <w:gridCol w:w="1276"/>
      </w:tblGrid>
      <w:tr w:rsidR="003B43A0" w:rsidTr="00A33E59">
        <w:trPr>
          <w:jc w:val="center"/>
        </w:trPr>
        <w:tc>
          <w:tcPr>
            <w:tcW w:w="534" w:type="dxa"/>
            <w:vMerge w:val="restart"/>
          </w:tcPr>
          <w:p w:rsidR="003B43A0" w:rsidRPr="003D1A86" w:rsidRDefault="003B43A0" w:rsidP="00A33E59">
            <w:pPr>
              <w:jc w:val="center"/>
              <w:outlineLvl w:val="0"/>
              <w:rPr>
                <w:sz w:val="20"/>
                <w:szCs w:val="20"/>
              </w:rPr>
            </w:pPr>
            <w:r w:rsidRPr="003D1A86">
              <w:rPr>
                <w:sz w:val="20"/>
                <w:szCs w:val="20"/>
              </w:rPr>
              <w:t>№№</w:t>
            </w:r>
          </w:p>
        </w:tc>
        <w:tc>
          <w:tcPr>
            <w:tcW w:w="3118" w:type="dxa"/>
            <w:vMerge w:val="restart"/>
            <w:vAlign w:val="center"/>
          </w:tcPr>
          <w:p w:rsidR="003B43A0" w:rsidRPr="000D43A0" w:rsidRDefault="003B43A0" w:rsidP="00A33E59">
            <w:pPr>
              <w:ind w:firstLine="0"/>
              <w:jc w:val="center"/>
              <w:outlineLvl w:val="0"/>
            </w:pPr>
            <w:r w:rsidRPr="000D43A0">
              <w:t>Наименование показателя</w:t>
            </w:r>
          </w:p>
        </w:tc>
        <w:tc>
          <w:tcPr>
            <w:tcW w:w="1276" w:type="dxa"/>
            <w:vMerge w:val="restart"/>
          </w:tcPr>
          <w:p w:rsidR="003B43A0" w:rsidRPr="000D43A0" w:rsidRDefault="003B43A0" w:rsidP="00A33E59">
            <w:pPr>
              <w:ind w:firstLine="41"/>
              <w:jc w:val="center"/>
              <w:outlineLvl w:val="0"/>
            </w:pPr>
            <w:r w:rsidRPr="000D43A0">
              <w:t>Факт 20</w:t>
            </w:r>
            <w:r>
              <w:t>20</w:t>
            </w:r>
            <w:r w:rsidRPr="000D43A0">
              <w:t xml:space="preserve"> год</w:t>
            </w:r>
          </w:p>
        </w:tc>
        <w:tc>
          <w:tcPr>
            <w:tcW w:w="1276" w:type="dxa"/>
            <w:vMerge w:val="restart"/>
          </w:tcPr>
          <w:p w:rsidR="003B43A0" w:rsidRPr="000D43A0" w:rsidRDefault="003B43A0" w:rsidP="00A33E59">
            <w:pPr>
              <w:ind w:firstLine="0"/>
              <w:jc w:val="center"/>
              <w:outlineLvl w:val="0"/>
            </w:pPr>
            <w:r w:rsidRPr="000D43A0">
              <w:t>Оценка 20</w:t>
            </w:r>
            <w:r>
              <w:t>21</w:t>
            </w:r>
            <w:r w:rsidRPr="000D43A0">
              <w:t xml:space="preserve"> год</w:t>
            </w:r>
          </w:p>
        </w:tc>
        <w:tc>
          <w:tcPr>
            <w:tcW w:w="3827" w:type="dxa"/>
            <w:gridSpan w:val="3"/>
          </w:tcPr>
          <w:p w:rsidR="003B43A0" w:rsidRPr="000D43A0" w:rsidRDefault="003B43A0" w:rsidP="00A33E59">
            <w:pPr>
              <w:jc w:val="center"/>
              <w:outlineLvl w:val="0"/>
            </w:pPr>
            <w:r w:rsidRPr="000D43A0">
              <w:t>Прогноз</w:t>
            </w:r>
          </w:p>
        </w:tc>
      </w:tr>
      <w:tr w:rsidR="003B43A0" w:rsidTr="00A33E59">
        <w:trPr>
          <w:jc w:val="center"/>
        </w:trPr>
        <w:tc>
          <w:tcPr>
            <w:tcW w:w="534" w:type="dxa"/>
            <w:vMerge/>
          </w:tcPr>
          <w:p w:rsidR="003B43A0" w:rsidRPr="003D1A86" w:rsidRDefault="003B43A0" w:rsidP="00A33E59">
            <w:pPr>
              <w:jc w:val="center"/>
              <w:outlineLvl w:val="0"/>
              <w:rPr>
                <w:sz w:val="20"/>
                <w:szCs w:val="20"/>
              </w:rPr>
            </w:pPr>
          </w:p>
        </w:tc>
        <w:tc>
          <w:tcPr>
            <w:tcW w:w="3118" w:type="dxa"/>
            <w:vMerge/>
          </w:tcPr>
          <w:p w:rsidR="003B43A0" w:rsidRPr="000D43A0" w:rsidRDefault="003B43A0" w:rsidP="00A33E59">
            <w:pPr>
              <w:jc w:val="center"/>
              <w:outlineLvl w:val="0"/>
            </w:pPr>
          </w:p>
        </w:tc>
        <w:tc>
          <w:tcPr>
            <w:tcW w:w="1276" w:type="dxa"/>
            <w:vMerge/>
          </w:tcPr>
          <w:p w:rsidR="003B43A0" w:rsidRPr="000D43A0" w:rsidRDefault="003B43A0" w:rsidP="00A33E59">
            <w:pPr>
              <w:jc w:val="center"/>
              <w:outlineLvl w:val="0"/>
            </w:pPr>
          </w:p>
        </w:tc>
        <w:tc>
          <w:tcPr>
            <w:tcW w:w="1276" w:type="dxa"/>
            <w:vMerge/>
          </w:tcPr>
          <w:p w:rsidR="003B43A0" w:rsidRPr="000D43A0" w:rsidRDefault="003B43A0" w:rsidP="00A33E59">
            <w:pPr>
              <w:jc w:val="center"/>
              <w:outlineLvl w:val="0"/>
            </w:pPr>
          </w:p>
        </w:tc>
        <w:tc>
          <w:tcPr>
            <w:tcW w:w="1275" w:type="dxa"/>
          </w:tcPr>
          <w:p w:rsidR="003B43A0" w:rsidRPr="000D43A0" w:rsidRDefault="003B43A0" w:rsidP="00A33E59">
            <w:pPr>
              <w:ind w:firstLine="0"/>
              <w:jc w:val="center"/>
              <w:outlineLvl w:val="0"/>
            </w:pPr>
            <w:r w:rsidRPr="000D43A0">
              <w:t>20</w:t>
            </w:r>
            <w:r>
              <w:t>22</w:t>
            </w:r>
            <w:r w:rsidRPr="000D43A0">
              <w:t xml:space="preserve"> год</w:t>
            </w:r>
          </w:p>
        </w:tc>
        <w:tc>
          <w:tcPr>
            <w:tcW w:w="1276" w:type="dxa"/>
          </w:tcPr>
          <w:p w:rsidR="003B43A0" w:rsidRPr="000D43A0" w:rsidRDefault="003B43A0" w:rsidP="00A33E59">
            <w:pPr>
              <w:ind w:firstLine="0"/>
              <w:jc w:val="center"/>
              <w:outlineLvl w:val="0"/>
            </w:pPr>
            <w:r w:rsidRPr="000D43A0">
              <w:t>20</w:t>
            </w:r>
            <w:r>
              <w:rPr>
                <w:lang w:val="en-US"/>
              </w:rPr>
              <w:t>2</w:t>
            </w:r>
            <w:r>
              <w:t>3</w:t>
            </w:r>
            <w:r w:rsidRPr="000D43A0">
              <w:t xml:space="preserve"> год</w:t>
            </w:r>
          </w:p>
        </w:tc>
        <w:tc>
          <w:tcPr>
            <w:tcW w:w="1276" w:type="dxa"/>
          </w:tcPr>
          <w:p w:rsidR="003B43A0" w:rsidRPr="000D43A0" w:rsidRDefault="003B43A0" w:rsidP="00A33E59">
            <w:pPr>
              <w:ind w:firstLine="0"/>
              <w:jc w:val="center"/>
              <w:outlineLvl w:val="0"/>
            </w:pPr>
            <w:r w:rsidRPr="000D43A0">
              <w:t>202</w:t>
            </w:r>
            <w:r>
              <w:t>4</w:t>
            </w:r>
            <w:r w:rsidRPr="000D43A0">
              <w:t xml:space="preserve"> год</w:t>
            </w:r>
          </w:p>
        </w:tc>
      </w:tr>
      <w:tr w:rsidR="003B43A0" w:rsidTr="00A33E59">
        <w:trPr>
          <w:trHeight w:val="229"/>
          <w:jc w:val="center"/>
        </w:trPr>
        <w:tc>
          <w:tcPr>
            <w:tcW w:w="534" w:type="dxa"/>
            <w:vAlign w:val="center"/>
          </w:tcPr>
          <w:p w:rsidR="003B43A0" w:rsidRPr="00293B8C" w:rsidRDefault="003B43A0" w:rsidP="00A33E59">
            <w:pPr>
              <w:ind w:firstLine="0"/>
              <w:jc w:val="center"/>
              <w:outlineLvl w:val="0"/>
            </w:pPr>
            <w:r w:rsidRPr="00293B8C">
              <w:t>1</w:t>
            </w:r>
          </w:p>
        </w:tc>
        <w:tc>
          <w:tcPr>
            <w:tcW w:w="3118" w:type="dxa"/>
            <w:vAlign w:val="center"/>
          </w:tcPr>
          <w:p w:rsidR="003B43A0" w:rsidRPr="000D43A0" w:rsidRDefault="003B43A0" w:rsidP="00A33E59">
            <w:pPr>
              <w:ind w:firstLine="0"/>
              <w:jc w:val="center"/>
              <w:outlineLvl w:val="0"/>
            </w:pPr>
            <w:r w:rsidRPr="000D43A0">
              <w:t>2</w:t>
            </w:r>
          </w:p>
        </w:tc>
        <w:tc>
          <w:tcPr>
            <w:tcW w:w="1276" w:type="dxa"/>
            <w:vAlign w:val="center"/>
          </w:tcPr>
          <w:p w:rsidR="003B43A0" w:rsidRPr="000D43A0" w:rsidRDefault="003B43A0" w:rsidP="00A33E59">
            <w:pPr>
              <w:ind w:firstLine="0"/>
              <w:jc w:val="center"/>
              <w:outlineLvl w:val="0"/>
              <w:rPr>
                <w:sz w:val="22"/>
                <w:szCs w:val="22"/>
              </w:rPr>
            </w:pPr>
            <w:r w:rsidRPr="000D43A0">
              <w:rPr>
                <w:sz w:val="22"/>
                <w:szCs w:val="22"/>
              </w:rPr>
              <w:t>3</w:t>
            </w:r>
          </w:p>
        </w:tc>
        <w:tc>
          <w:tcPr>
            <w:tcW w:w="1276" w:type="dxa"/>
            <w:vAlign w:val="center"/>
          </w:tcPr>
          <w:p w:rsidR="003B43A0" w:rsidRPr="000D43A0" w:rsidRDefault="003B43A0" w:rsidP="00A33E59">
            <w:pPr>
              <w:ind w:firstLine="0"/>
              <w:jc w:val="center"/>
              <w:outlineLvl w:val="0"/>
              <w:rPr>
                <w:sz w:val="22"/>
                <w:szCs w:val="22"/>
              </w:rPr>
            </w:pPr>
            <w:r w:rsidRPr="000D43A0">
              <w:rPr>
                <w:sz w:val="22"/>
                <w:szCs w:val="22"/>
              </w:rPr>
              <w:t>4</w:t>
            </w:r>
          </w:p>
        </w:tc>
        <w:tc>
          <w:tcPr>
            <w:tcW w:w="1275" w:type="dxa"/>
            <w:vAlign w:val="center"/>
          </w:tcPr>
          <w:p w:rsidR="003B43A0" w:rsidRPr="000D43A0" w:rsidRDefault="003B43A0" w:rsidP="00A33E59">
            <w:pPr>
              <w:ind w:firstLine="0"/>
              <w:jc w:val="center"/>
              <w:outlineLvl w:val="0"/>
              <w:rPr>
                <w:sz w:val="22"/>
                <w:szCs w:val="22"/>
              </w:rPr>
            </w:pPr>
            <w:r w:rsidRPr="000D43A0">
              <w:rPr>
                <w:sz w:val="22"/>
                <w:szCs w:val="22"/>
              </w:rPr>
              <w:t>5</w:t>
            </w:r>
          </w:p>
        </w:tc>
        <w:tc>
          <w:tcPr>
            <w:tcW w:w="1276" w:type="dxa"/>
            <w:vAlign w:val="center"/>
          </w:tcPr>
          <w:p w:rsidR="003B43A0" w:rsidRPr="000D43A0" w:rsidRDefault="003B43A0" w:rsidP="00A33E59">
            <w:pPr>
              <w:ind w:firstLine="0"/>
              <w:jc w:val="center"/>
              <w:outlineLvl w:val="0"/>
              <w:rPr>
                <w:sz w:val="22"/>
                <w:szCs w:val="22"/>
              </w:rPr>
            </w:pPr>
            <w:r w:rsidRPr="000D43A0">
              <w:rPr>
                <w:sz w:val="22"/>
                <w:szCs w:val="22"/>
              </w:rPr>
              <w:t>6</w:t>
            </w:r>
          </w:p>
        </w:tc>
        <w:tc>
          <w:tcPr>
            <w:tcW w:w="1276" w:type="dxa"/>
            <w:vAlign w:val="center"/>
          </w:tcPr>
          <w:p w:rsidR="003B43A0" w:rsidRPr="000D43A0" w:rsidRDefault="003B43A0" w:rsidP="00A33E59">
            <w:pPr>
              <w:ind w:firstLine="0"/>
              <w:jc w:val="center"/>
              <w:outlineLvl w:val="0"/>
              <w:rPr>
                <w:sz w:val="22"/>
                <w:szCs w:val="22"/>
              </w:rPr>
            </w:pPr>
            <w:r w:rsidRPr="000D43A0">
              <w:rPr>
                <w:sz w:val="22"/>
                <w:szCs w:val="22"/>
              </w:rPr>
              <w:t>7</w:t>
            </w:r>
          </w:p>
        </w:tc>
      </w:tr>
      <w:tr w:rsidR="003B43A0" w:rsidRPr="000D43A0" w:rsidTr="00A33E59">
        <w:trPr>
          <w:trHeight w:val="1230"/>
          <w:jc w:val="center"/>
        </w:trPr>
        <w:tc>
          <w:tcPr>
            <w:tcW w:w="534" w:type="dxa"/>
            <w:vAlign w:val="center"/>
          </w:tcPr>
          <w:p w:rsidR="003B43A0" w:rsidRPr="003B2B8D" w:rsidRDefault="003B43A0" w:rsidP="00A33E59">
            <w:pPr>
              <w:jc w:val="center"/>
              <w:outlineLvl w:val="0"/>
            </w:pPr>
            <w:r w:rsidRPr="003B2B8D">
              <w:t>11</w:t>
            </w:r>
          </w:p>
        </w:tc>
        <w:tc>
          <w:tcPr>
            <w:tcW w:w="3118" w:type="dxa"/>
          </w:tcPr>
          <w:p w:rsidR="003B43A0" w:rsidRDefault="003B43A0" w:rsidP="00A33E59">
            <w:pPr>
              <w:ind w:firstLine="33"/>
              <w:outlineLvl w:val="0"/>
            </w:pPr>
            <w:r w:rsidRPr="006E0B69">
              <w:t>Налоговая база (данные отчета 5-ПМ) (</w:t>
            </w:r>
            <w:r>
              <w:t xml:space="preserve">далее - </w:t>
            </w:r>
            <w:r w:rsidRPr="006E0B69">
              <w:t xml:space="preserve">НБ 5-ПМ), </w:t>
            </w:r>
            <w:r>
              <w:rPr>
                <w:lang w:val="en-US"/>
              </w:rPr>
              <w:t>V</w:t>
            </w:r>
            <w:r w:rsidRPr="00541DF1">
              <w:t xml:space="preserve"> </w:t>
            </w:r>
            <w:r w:rsidRPr="00541DF1">
              <w:rPr>
                <w:sz w:val="16"/>
                <w:szCs w:val="16"/>
              </w:rPr>
              <w:t>НБ ОСН.</w:t>
            </w:r>
            <w:r>
              <w:t xml:space="preserve"> </w:t>
            </w:r>
            <w:r w:rsidRPr="006E0B69">
              <w:t>тыс. руб</w:t>
            </w:r>
            <w:r>
              <w:t>.,</w:t>
            </w:r>
          </w:p>
          <w:p w:rsidR="003B43A0" w:rsidRDefault="003B43A0" w:rsidP="00A33E59">
            <w:pPr>
              <w:ind w:firstLine="33"/>
              <w:outlineLvl w:val="0"/>
            </w:pPr>
            <w:r>
              <w:t>2020 год факт;</w:t>
            </w:r>
          </w:p>
          <w:p w:rsidR="003B43A0" w:rsidRDefault="003B43A0" w:rsidP="00A33E59">
            <w:pPr>
              <w:ind w:firstLine="33"/>
              <w:outlineLvl w:val="0"/>
            </w:pPr>
            <w:r>
              <w:t>2021 год – данные Минэкономразвития Тверской области без учета налогооблагаемой прибыли обособленных подразделений по Удомельскому городскому округу</w:t>
            </w:r>
          </w:p>
          <w:p w:rsidR="003B43A0" w:rsidRPr="003D1A86" w:rsidRDefault="003B43A0" w:rsidP="00A33E59">
            <w:pPr>
              <w:ind w:firstLine="33"/>
              <w:outlineLvl w:val="0"/>
              <w:rPr>
                <w:sz w:val="20"/>
                <w:szCs w:val="20"/>
              </w:rPr>
            </w:pPr>
            <w:r>
              <w:t xml:space="preserve">2022-2024 год = </w:t>
            </w:r>
            <w:r>
              <w:rPr>
                <w:lang w:val="en-US"/>
              </w:rPr>
              <w:t>V</w:t>
            </w:r>
            <w:r w:rsidRPr="00541DF1">
              <w:t xml:space="preserve"> </w:t>
            </w:r>
            <w:r w:rsidRPr="00541DF1">
              <w:rPr>
                <w:sz w:val="16"/>
                <w:szCs w:val="16"/>
              </w:rPr>
              <w:t>НБ ОСН.</w:t>
            </w:r>
            <w:r>
              <w:t xml:space="preserve"> (предыдущий год) * Тр </w:t>
            </w:r>
          </w:p>
        </w:tc>
        <w:tc>
          <w:tcPr>
            <w:tcW w:w="1276" w:type="dxa"/>
            <w:vAlign w:val="center"/>
          </w:tcPr>
          <w:p w:rsidR="003B43A0" w:rsidRPr="00045349" w:rsidRDefault="003B43A0" w:rsidP="00A33E59">
            <w:pPr>
              <w:ind w:firstLine="0"/>
              <w:jc w:val="center"/>
              <w:outlineLvl w:val="0"/>
              <w:rPr>
                <w:sz w:val="22"/>
                <w:szCs w:val="22"/>
              </w:rPr>
            </w:pPr>
            <w:r>
              <w:rPr>
                <w:sz w:val="22"/>
                <w:szCs w:val="22"/>
              </w:rPr>
              <w:t>57 886 293</w:t>
            </w:r>
          </w:p>
        </w:tc>
        <w:tc>
          <w:tcPr>
            <w:tcW w:w="1276" w:type="dxa"/>
            <w:vAlign w:val="center"/>
          </w:tcPr>
          <w:p w:rsidR="003B43A0" w:rsidRPr="00045349" w:rsidRDefault="003B43A0" w:rsidP="00A33E59">
            <w:pPr>
              <w:ind w:left="-111" w:firstLine="0"/>
              <w:jc w:val="center"/>
              <w:outlineLvl w:val="0"/>
              <w:rPr>
                <w:sz w:val="22"/>
                <w:szCs w:val="22"/>
              </w:rPr>
            </w:pPr>
            <w:r>
              <w:rPr>
                <w:sz w:val="22"/>
                <w:szCs w:val="22"/>
              </w:rPr>
              <w:t>66 256 173</w:t>
            </w:r>
          </w:p>
        </w:tc>
        <w:tc>
          <w:tcPr>
            <w:tcW w:w="1275" w:type="dxa"/>
            <w:vAlign w:val="center"/>
          </w:tcPr>
          <w:p w:rsidR="003B43A0" w:rsidRPr="00045349" w:rsidRDefault="003B43A0" w:rsidP="00A33E59">
            <w:pPr>
              <w:ind w:left="-114" w:right="-111" w:firstLine="0"/>
              <w:jc w:val="center"/>
              <w:outlineLvl w:val="0"/>
              <w:rPr>
                <w:sz w:val="22"/>
                <w:szCs w:val="22"/>
              </w:rPr>
            </w:pPr>
            <w:r>
              <w:rPr>
                <w:sz w:val="22"/>
                <w:szCs w:val="22"/>
              </w:rPr>
              <w:t>69 701 494</w:t>
            </w:r>
          </w:p>
        </w:tc>
        <w:tc>
          <w:tcPr>
            <w:tcW w:w="1276" w:type="dxa"/>
            <w:vAlign w:val="center"/>
          </w:tcPr>
          <w:p w:rsidR="003B43A0" w:rsidRPr="00045349" w:rsidRDefault="003B43A0" w:rsidP="00A33E59">
            <w:pPr>
              <w:ind w:left="-109" w:right="-104" w:firstLine="0"/>
              <w:jc w:val="center"/>
              <w:outlineLvl w:val="0"/>
              <w:rPr>
                <w:sz w:val="22"/>
                <w:szCs w:val="22"/>
              </w:rPr>
            </w:pPr>
            <w:r>
              <w:rPr>
                <w:sz w:val="22"/>
                <w:szCs w:val="22"/>
              </w:rPr>
              <w:t>73 186 569</w:t>
            </w:r>
          </w:p>
        </w:tc>
        <w:tc>
          <w:tcPr>
            <w:tcW w:w="1276" w:type="dxa"/>
            <w:vAlign w:val="center"/>
          </w:tcPr>
          <w:p w:rsidR="003B43A0" w:rsidRPr="00045349" w:rsidRDefault="003B43A0" w:rsidP="00A33E59">
            <w:pPr>
              <w:ind w:firstLine="0"/>
              <w:jc w:val="center"/>
              <w:outlineLvl w:val="0"/>
              <w:rPr>
                <w:sz w:val="22"/>
                <w:szCs w:val="22"/>
              </w:rPr>
            </w:pPr>
            <w:r>
              <w:rPr>
                <w:sz w:val="22"/>
                <w:szCs w:val="22"/>
              </w:rPr>
              <w:t>76 992 270</w:t>
            </w:r>
          </w:p>
        </w:tc>
      </w:tr>
      <w:tr w:rsidR="003B43A0" w:rsidRPr="000D43A0" w:rsidTr="00A33E59">
        <w:trPr>
          <w:jc w:val="center"/>
        </w:trPr>
        <w:tc>
          <w:tcPr>
            <w:tcW w:w="534" w:type="dxa"/>
            <w:vAlign w:val="center"/>
          </w:tcPr>
          <w:p w:rsidR="003B43A0" w:rsidRPr="003B2B8D" w:rsidRDefault="003B43A0" w:rsidP="00A33E59">
            <w:pPr>
              <w:jc w:val="center"/>
              <w:outlineLvl w:val="0"/>
            </w:pPr>
            <w:r w:rsidRPr="003B2B8D">
              <w:t>32</w:t>
            </w:r>
          </w:p>
        </w:tc>
        <w:tc>
          <w:tcPr>
            <w:tcW w:w="3118" w:type="dxa"/>
          </w:tcPr>
          <w:p w:rsidR="003B43A0" w:rsidRDefault="003B43A0" w:rsidP="00A33E59">
            <w:pPr>
              <w:ind w:firstLine="33"/>
              <w:outlineLvl w:val="0"/>
            </w:pPr>
            <w:r w:rsidRPr="006E0B69">
              <w:t>Темп роста налогооблагаемой прибыли</w:t>
            </w:r>
            <w:r w:rsidRPr="00D7228E">
              <w:t xml:space="preserve"> </w:t>
            </w:r>
            <w:r>
              <w:t>год 2022-2024 без учета налогооблагаемой прибыли обособленных подразделений по Удомельскому городскому округу</w:t>
            </w:r>
            <w:r w:rsidRPr="006E0B69">
              <w:t xml:space="preserve"> (данные Министерства </w:t>
            </w:r>
            <w:r w:rsidRPr="006E0B69">
              <w:lastRenderedPageBreak/>
              <w:t>экономического развития Тверской области без учета прибыли по рентабельным сельскохозяйственным организациям), - Тр, %</w:t>
            </w:r>
          </w:p>
          <w:p w:rsidR="003B43A0" w:rsidRDefault="003B43A0" w:rsidP="00A33E59">
            <w:pPr>
              <w:ind w:firstLine="33"/>
              <w:outlineLvl w:val="0"/>
              <w:rPr>
                <w:sz w:val="22"/>
                <w:szCs w:val="22"/>
              </w:rPr>
            </w:pPr>
            <w:r>
              <w:t xml:space="preserve">Темп роста 2021 = </w:t>
            </w:r>
            <w:r>
              <w:rPr>
                <w:sz w:val="22"/>
                <w:szCs w:val="22"/>
              </w:rPr>
              <w:t xml:space="preserve">66 256 173 тыс. руб. / </w:t>
            </w:r>
          </w:p>
          <w:p w:rsidR="003B43A0" w:rsidRPr="006E0B69" w:rsidRDefault="003B43A0" w:rsidP="00A33E59">
            <w:pPr>
              <w:ind w:firstLine="33"/>
              <w:outlineLvl w:val="0"/>
            </w:pPr>
            <w:r>
              <w:rPr>
                <w:sz w:val="22"/>
                <w:szCs w:val="22"/>
              </w:rPr>
              <w:t>57 886 293 тыс. руб *100</w:t>
            </w:r>
          </w:p>
        </w:tc>
        <w:tc>
          <w:tcPr>
            <w:tcW w:w="1276" w:type="dxa"/>
            <w:vAlign w:val="center"/>
          </w:tcPr>
          <w:p w:rsidR="003B43A0" w:rsidRPr="003B2B8D" w:rsidRDefault="003B43A0" w:rsidP="00A33E59">
            <w:pPr>
              <w:ind w:firstLine="41"/>
              <w:jc w:val="center"/>
              <w:outlineLvl w:val="0"/>
            </w:pPr>
            <w:r w:rsidRPr="003B2B8D">
              <w:lastRenderedPageBreak/>
              <w:t>х</w:t>
            </w:r>
          </w:p>
        </w:tc>
        <w:tc>
          <w:tcPr>
            <w:tcW w:w="1276" w:type="dxa"/>
            <w:vAlign w:val="center"/>
          </w:tcPr>
          <w:p w:rsidR="003B43A0" w:rsidRPr="003B2B8D" w:rsidRDefault="003B43A0" w:rsidP="00A33E59">
            <w:pPr>
              <w:ind w:firstLine="33"/>
              <w:jc w:val="center"/>
              <w:outlineLvl w:val="0"/>
            </w:pPr>
            <w:r w:rsidRPr="003B2B8D">
              <w:t>1</w:t>
            </w:r>
            <w:r>
              <w:t>14,</w:t>
            </w:r>
            <w:r w:rsidR="00992D4F">
              <w:t>4592</w:t>
            </w:r>
          </w:p>
        </w:tc>
        <w:tc>
          <w:tcPr>
            <w:tcW w:w="1275" w:type="dxa"/>
            <w:vAlign w:val="center"/>
          </w:tcPr>
          <w:p w:rsidR="003B43A0" w:rsidRPr="003B2B8D" w:rsidRDefault="003B43A0" w:rsidP="00A33E59">
            <w:pPr>
              <w:ind w:firstLine="50"/>
              <w:jc w:val="center"/>
              <w:outlineLvl w:val="0"/>
            </w:pPr>
            <w:r w:rsidRPr="003B2B8D">
              <w:t>105,2</w:t>
            </w:r>
          </w:p>
        </w:tc>
        <w:tc>
          <w:tcPr>
            <w:tcW w:w="1276" w:type="dxa"/>
            <w:vAlign w:val="center"/>
          </w:tcPr>
          <w:p w:rsidR="003B43A0" w:rsidRPr="003B2B8D" w:rsidRDefault="003B43A0" w:rsidP="00A33E59">
            <w:pPr>
              <w:ind w:firstLine="0"/>
              <w:jc w:val="center"/>
              <w:outlineLvl w:val="0"/>
            </w:pPr>
            <w:r w:rsidRPr="003B2B8D">
              <w:t>105,0</w:t>
            </w:r>
          </w:p>
        </w:tc>
        <w:tc>
          <w:tcPr>
            <w:tcW w:w="1276" w:type="dxa"/>
            <w:vAlign w:val="center"/>
          </w:tcPr>
          <w:p w:rsidR="003B43A0" w:rsidRPr="003B2B8D" w:rsidRDefault="003B43A0" w:rsidP="00A33E59">
            <w:pPr>
              <w:ind w:firstLine="0"/>
              <w:jc w:val="center"/>
              <w:outlineLvl w:val="0"/>
            </w:pPr>
            <w:r w:rsidRPr="003B2B8D">
              <w:t>105,2</w:t>
            </w:r>
          </w:p>
        </w:tc>
      </w:tr>
      <w:tr w:rsidR="003B43A0" w:rsidRPr="000D43A0" w:rsidTr="00A33E59">
        <w:trPr>
          <w:jc w:val="center"/>
        </w:trPr>
        <w:tc>
          <w:tcPr>
            <w:tcW w:w="534" w:type="dxa"/>
            <w:vAlign w:val="center"/>
          </w:tcPr>
          <w:p w:rsidR="003B43A0" w:rsidRPr="003B2B8D" w:rsidRDefault="003B43A0" w:rsidP="00A33E59">
            <w:pPr>
              <w:jc w:val="center"/>
              <w:outlineLvl w:val="0"/>
            </w:pPr>
            <w:r w:rsidRPr="003B2B8D">
              <w:t>33</w:t>
            </w:r>
          </w:p>
        </w:tc>
        <w:tc>
          <w:tcPr>
            <w:tcW w:w="3118" w:type="dxa"/>
          </w:tcPr>
          <w:p w:rsidR="003B43A0" w:rsidRPr="006E0B69" w:rsidRDefault="003B43A0" w:rsidP="00A33E59">
            <w:pPr>
              <w:ind w:firstLine="33"/>
              <w:outlineLvl w:val="0"/>
            </w:pPr>
            <w:r>
              <w:t>Сумма исчисленного налога (налоговая база*ставку), тыс. руб.</w:t>
            </w:r>
          </w:p>
        </w:tc>
        <w:tc>
          <w:tcPr>
            <w:tcW w:w="1276" w:type="dxa"/>
            <w:vAlign w:val="center"/>
          </w:tcPr>
          <w:p w:rsidR="003B43A0" w:rsidRPr="00045349" w:rsidRDefault="003B43A0" w:rsidP="00A33E59">
            <w:pPr>
              <w:ind w:left="-650"/>
              <w:jc w:val="center"/>
              <w:outlineLvl w:val="0"/>
              <w:rPr>
                <w:sz w:val="22"/>
                <w:szCs w:val="22"/>
              </w:rPr>
            </w:pPr>
            <w:r>
              <w:rPr>
                <w:sz w:val="22"/>
                <w:szCs w:val="22"/>
              </w:rPr>
              <w:t>9 840 670</w:t>
            </w:r>
          </w:p>
        </w:tc>
        <w:tc>
          <w:tcPr>
            <w:tcW w:w="1276" w:type="dxa"/>
            <w:vAlign w:val="center"/>
          </w:tcPr>
          <w:p w:rsidR="003B43A0" w:rsidRPr="00A963A4" w:rsidRDefault="003B43A0" w:rsidP="00A33E59">
            <w:pPr>
              <w:ind w:left="-650"/>
              <w:jc w:val="center"/>
              <w:outlineLvl w:val="0"/>
              <w:rPr>
                <w:sz w:val="22"/>
                <w:szCs w:val="22"/>
              </w:rPr>
            </w:pPr>
            <w:r w:rsidRPr="00A963A4">
              <w:rPr>
                <w:sz w:val="22"/>
                <w:szCs w:val="22"/>
              </w:rPr>
              <w:t>11</w:t>
            </w:r>
            <w:r>
              <w:rPr>
                <w:sz w:val="22"/>
                <w:szCs w:val="22"/>
              </w:rPr>
              <w:t> </w:t>
            </w:r>
            <w:r w:rsidRPr="00A963A4">
              <w:rPr>
                <w:sz w:val="22"/>
                <w:szCs w:val="22"/>
              </w:rPr>
              <w:t>263</w:t>
            </w:r>
            <w:r>
              <w:rPr>
                <w:sz w:val="22"/>
                <w:szCs w:val="22"/>
              </w:rPr>
              <w:t xml:space="preserve"> </w:t>
            </w:r>
            <w:r w:rsidRPr="00A963A4">
              <w:rPr>
                <w:sz w:val="22"/>
                <w:szCs w:val="22"/>
              </w:rPr>
              <w:t>549</w:t>
            </w:r>
          </w:p>
        </w:tc>
        <w:tc>
          <w:tcPr>
            <w:tcW w:w="1275" w:type="dxa"/>
            <w:vAlign w:val="center"/>
          </w:tcPr>
          <w:p w:rsidR="003B43A0" w:rsidRPr="00A963A4" w:rsidRDefault="003B43A0" w:rsidP="00A33E59">
            <w:pPr>
              <w:ind w:left="-650"/>
              <w:jc w:val="center"/>
              <w:outlineLvl w:val="0"/>
              <w:rPr>
                <w:sz w:val="22"/>
                <w:szCs w:val="22"/>
              </w:rPr>
            </w:pPr>
            <w:r w:rsidRPr="00A963A4">
              <w:rPr>
                <w:sz w:val="22"/>
                <w:szCs w:val="22"/>
              </w:rPr>
              <w:t>11</w:t>
            </w:r>
            <w:r>
              <w:rPr>
                <w:sz w:val="22"/>
                <w:szCs w:val="22"/>
              </w:rPr>
              <w:t> </w:t>
            </w:r>
            <w:r w:rsidRPr="00A963A4">
              <w:rPr>
                <w:sz w:val="22"/>
                <w:szCs w:val="22"/>
              </w:rPr>
              <w:t>849</w:t>
            </w:r>
            <w:r>
              <w:rPr>
                <w:sz w:val="22"/>
                <w:szCs w:val="22"/>
              </w:rPr>
              <w:t xml:space="preserve"> </w:t>
            </w:r>
            <w:r w:rsidRPr="00A963A4">
              <w:rPr>
                <w:sz w:val="22"/>
                <w:szCs w:val="22"/>
              </w:rPr>
              <w:t>254</w:t>
            </w:r>
          </w:p>
        </w:tc>
        <w:tc>
          <w:tcPr>
            <w:tcW w:w="1276" w:type="dxa"/>
            <w:vAlign w:val="center"/>
          </w:tcPr>
          <w:p w:rsidR="003B43A0" w:rsidRPr="00A963A4" w:rsidRDefault="003B43A0" w:rsidP="00A33E59">
            <w:pPr>
              <w:ind w:left="-650"/>
              <w:jc w:val="center"/>
              <w:outlineLvl w:val="0"/>
              <w:rPr>
                <w:sz w:val="22"/>
                <w:szCs w:val="22"/>
              </w:rPr>
            </w:pPr>
            <w:r w:rsidRPr="00A963A4">
              <w:rPr>
                <w:sz w:val="22"/>
                <w:szCs w:val="22"/>
              </w:rPr>
              <w:t>12</w:t>
            </w:r>
            <w:r>
              <w:rPr>
                <w:sz w:val="22"/>
                <w:szCs w:val="22"/>
              </w:rPr>
              <w:t> </w:t>
            </w:r>
            <w:r w:rsidRPr="00A963A4">
              <w:rPr>
                <w:sz w:val="22"/>
                <w:szCs w:val="22"/>
              </w:rPr>
              <w:t>441</w:t>
            </w:r>
            <w:r>
              <w:rPr>
                <w:sz w:val="22"/>
                <w:szCs w:val="22"/>
              </w:rPr>
              <w:t xml:space="preserve"> </w:t>
            </w:r>
            <w:r w:rsidRPr="00A963A4">
              <w:rPr>
                <w:sz w:val="22"/>
                <w:szCs w:val="22"/>
              </w:rPr>
              <w:t>717</w:t>
            </w:r>
          </w:p>
        </w:tc>
        <w:tc>
          <w:tcPr>
            <w:tcW w:w="1276" w:type="dxa"/>
            <w:vAlign w:val="center"/>
          </w:tcPr>
          <w:p w:rsidR="003B43A0" w:rsidRPr="00A963A4" w:rsidRDefault="003B43A0" w:rsidP="00A33E59">
            <w:pPr>
              <w:ind w:left="-650"/>
              <w:jc w:val="center"/>
              <w:outlineLvl w:val="0"/>
              <w:rPr>
                <w:sz w:val="22"/>
                <w:szCs w:val="22"/>
              </w:rPr>
            </w:pPr>
            <w:r w:rsidRPr="00A963A4">
              <w:rPr>
                <w:sz w:val="22"/>
                <w:szCs w:val="22"/>
              </w:rPr>
              <w:t>13</w:t>
            </w:r>
            <w:r>
              <w:rPr>
                <w:sz w:val="22"/>
                <w:szCs w:val="22"/>
              </w:rPr>
              <w:t> </w:t>
            </w:r>
            <w:r w:rsidRPr="00A963A4">
              <w:rPr>
                <w:sz w:val="22"/>
                <w:szCs w:val="22"/>
              </w:rPr>
              <w:t>088</w:t>
            </w:r>
            <w:r>
              <w:rPr>
                <w:sz w:val="22"/>
                <w:szCs w:val="22"/>
              </w:rPr>
              <w:t xml:space="preserve"> </w:t>
            </w:r>
            <w:r w:rsidRPr="00A963A4">
              <w:rPr>
                <w:sz w:val="22"/>
                <w:szCs w:val="22"/>
              </w:rPr>
              <w:t>686</w:t>
            </w:r>
          </w:p>
        </w:tc>
      </w:tr>
      <w:tr w:rsidR="003B43A0" w:rsidRPr="000D43A0" w:rsidTr="00A33E59">
        <w:trPr>
          <w:jc w:val="center"/>
        </w:trPr>
        <w:tc>
          <w:tcPr>
            <w:tcW w:w="534" w:type="dxa"/>
            <w:vAlign w:val="center"/>
          </w:tcPr>
          <w:p w:rsidR="003B43A0" w:rsidRPr="003B2B8D" w:rsidRDefault="003B43A0" w:rsidP="00A33E59">
            <w:pPr>
              <w:jc w:val="center"/>
              <w:outlineLvl w:val="0"/>
            </w:pPr>
            <w:r w:rsidRPr="003B2B8D">
              <w:t>44</w:t>
            </w:r>
          </w:p>
        </w:tc>
        <w:tc>
          <w:tcPr>
            <w:tcW w:w="3118" w:type="dxa"/>
          </w:tcPr>
          <w:p w:rsidR="003B43A0" w:rsidRPr="003D1A86" w:rsidRDefault="003B43A0" w:rsidP="00A33E59">
            <w:pPr>
              <w:ind w:firstLine="33"/>
              <w:outlineLvl w:val="0"/>
              <w:rPr>
                <w:sz w:val="20"/>
                <w:szCs w:val="20"/>
              </w:rPr>
            </w:pPr>
            <w:r w:rsidRPr="006E0B69">
              <w:t xml:space="preserve">Расчетный уровень собираемости </w:t>
            </w:r>
            <w:r>
              <w:t>(среднее значение за 2018-2020 годы</w:t>
            </w:r>
            <w:r w:rsidRPr="006E0B69">
              <w:t xml:space="preserve"> по ф. 1-НМ</w:t>
            </w:r>
            <w:r>
              <w:t>- 2018 год = 97,4%, 2019 год = 104,6%, 2020 год = 100,2% в результате влияния поступивших сумм налога по реестру требования кредиторов</w:t>
            </w:r>
            <w:r w:rsidRPr="006E0B69">
              <w:t>)</w:t>
            </w:r>
            <w:r>
              <w:t xml:space="preserve"> </w:t>
            </w:r>
            <w:r w:rsidRPr="006E0B69">
              <w:t>-Кс,%</w:t>
            </w:r>
          </w:p>
        </w:tc>
        <w:tc>
          <w:tcPr>
            <w:tcW w:w="1276" w:type="dxa"/>
            <w:vAlign w:val="center"/>
          </w:tcPr>
          <w:p w:rsidR="003B43A0" w:rsidRPr="003B2B8D" w:rsidRDefault="003B43A0" w:rsidP="00A33E59">
            <w:pPr>
              <w:ind w:firstLine="0"/>
              <w:jc w:val="center"/>
              <w:outlineLvl w:val="0"/>
            </w:pPr>
            <w:r w:rsidRPr="003B2B8D">
              <w:t>100,2</w:t>
            </w:r>
          </w:p>
        </w:tc>
        <w:tc>
          <w:tcPr>
            <w:tcW w:w="1276" w:type="dxa"/>
            <w:vAlign w:val="center"/>
          </w:tcPr>
          <w:p w:rsidR="003B43A0" w:rsidRPr="003B2B8D" w:rsidRDefault="003B43A0" w:rsidP="00A33E59">
            <w:pPr>
              <w:ind w:firstLine="33"/>
              <w:jc w:val="center"/>
              <w:outlineLvl w:val="0"/>
            </w:pPr>
            <w:r w:rsidRPr="003B2B8D">
              <w:t>100,7</w:t>
            </w:r>
          </w:p>
        </w:tc>
        <w:tc>
          <w:tcPr>
            <w:tcW w:w="1275" w:type="dxa"/>
            <w:vAlign w:val="center"/>
          </w:tcPr>
          <w:p w:rsidR="003B43A0" w:rsidRPr="003B2B8D" w:rsidRDefault="003B43A0" w:rsidP="00A33E59">
            <w:pPr>
              <w:ind w:firstLine="33"/>
              <w:jc w:val="center"/>
              <w:outlineLvl w:val="0"/>
            </w:pPr>
            <w:r w:rsidRPr="003B2B8D">
              <w:t>100,7</w:t>
            </w:r>
          </w:p>
        </w:tc>
        <w:tc>
          <w:tcPr>
            <w:tcW w:w="1276" w:type="dxa"/>
            <w:vAlign w:val="center"/>
          </w:tcPr>
          <w:p w:rsidR="003B43A0" w:rsidRPr="003B2B8D" w:rsidRDefault="003B43A0" w:rsidP="00A33E59">
            <w:pPr>
              <w:ind w:firstLine="33"/>
              <w:jc w:val="center"/>
              <w:outlineLvl w:val="0"/>
            </w:pPr>
            <w:r w:rsidRPr="003B2B8D">
              <w:t>100,7</w:t>
            </w:r>
          </w:p>
        </w:tc>
        <w:tc>
          <w:tcPr>
            <w:tcW w:w="1276" w:type="dxa"/>
            <w:vAlign w:val="center"/>
          </w:tcPr>
          <w:p w:rsidR="003B43A0" w:rsidRPr="003B2B8D" w:rsidRDefault="003B43A0" w:rsidP="00A33E59">
            <w:pPr>
              <w:ind w:firstLine="33"/>
              <w:jc w:val="center"/>
              <w:outlineLvl w:val="0"/>
            </w:pPr>
            <w:r w:rsidRPr="003B2B8D">
              <w:t>100,7</w:t>
            </w:r>
          </w:p>
        </w:tc>
      </w:tr>
      <w:tr w:rsidR="003B43A0" w:rsidRPr="000D43A0" w:rsidTr="00A33E59">
        <w:trPr>
          <w:trHeight w:val="240"/>
          <w:jc w:val="center"/>
        </w:trPr>
        <w:tc>
          <w:tcPr>
            <w:tcW w:w="534" w:type="dxa"/>
            <w:vAlign w:val="center"/>
          </w:tcPr>
          <w:p w:rsidR="003B43A0" w:rsidRPr="003B2B8D" w:rsidRDefault="003B43A0" w:rsidP="00A33E59">
            <w:pPr>
              <w:jc w:val="center"/>
              <w:outlineLvl w:val="0"/>
            </w:pPr>
            <w:r w:rsidRPr="003B2B8D">
              <w:t>55</w:t>
            </w:r>
          </w:p>
        </w:tc>
        <w:tc>
          <w:tcPr>
            <w:tcW w:w="3118" w:type="dxa"/>
          </w:tcPr>
          <w:p w:rsidR="00992D4F" w:rsidRDefault="003B43A0" w:rsidP="00992D4F">
            <w:pPr>
              <w:ind w:firstLine="33"/>
              <w:outlineLvl w:val="0"/>
            </w:pPr>
            <w:r w:rsidRPr="006E0B69">
              <w:t xml:space="preserve">Сумма налога по годовым перерасчетам </w:t>
            </w:r>
            <w:r w:rsidR="00743610">
              <w:t xml:space="preserve">без учета обособленных подразделений, головные организации которых находятся в других регионах, и без учета КГН </w:t>
            </w:r>
            <w:r w:rsidRPr="006E0B69">
              <w:t>(разница между суммой налога «к доплате» и «к уменьшению» по отчету формы № 5-П</w:t>
            </w:r>
            <w:r w:rsidR="00743610">
              <w:t xml:space="preserve"> </w:t>
            </w:r>
            <w:r>
              <w:t xml:space="preserve"> (</w:t>
            </w:r>
            <w:r w:rsidR="00992D4F">
              <w:t xml:space="preserve">в 2019 году - 376 453 = 682 719 – 306 266, </w:t>
            </w:r>
            <w:r>
              <w:t>в 2020 году -</w:t>
            </w:r>
            <w:r w:rsidR="00992D4F">
              <w:t xml:space="preserve">  655 678 = 1 189 360 – 533 682</w:t>
            </w:r>
            <w:r>
              <w:t>, в 2021 году – 481 461 = 1 058 840 -577</w:t>
            </w:r>
            <w:r w:rsidR="00992D4F">
              <w:t> </w:t>
            </w:r>
            <w:r>
              <w:t>379</w:t>
            </w:r>
            <w:r w:rsidR="00992D4F">
              <w:t>)</w:t>
            </w:r>
          </w:p>
          <w:p w:rsidR="003B43A0" w:rsidRPr="003D1A86" w:rsidRDefault="003B43A0" w:rsidP="00992D4F">
            <w:pPr>
              <w:ind w:firstLine="33"/>
              <w:outlineLvl w:val="0"/>
              <w:rPr>
                <w:sz w:val="20"/>
                <w:szCs w:val="20"/>
              </w:rPr>
            </w:pPr>
            <w:r>
              <w:t xml:space="preserve"> в 2022- 2024 годах – 504 531 тыс. руб. = (376 453+ 655 678+481 461) /3 (среднее значение данного показателя по отчетам за 2018-2020 годы </w:t>
            </w:r>
            <w:r w:rsidRPr="006E0B69">
              <w:t>) – Р перерасчет, тыс. руб</w:t>
            </w:r>
            <w:r>
              <w:t>.</w:t>
            </w:r>
          </w:p>
        </w:tc>
        <w:tc>
          <w:tcPr>
            <w:tcW w:w="1276" w:type="dxa"/>
            <w:vAlign w:val="center"/>
          </w:tcPr>
          <w:p w:rsidR="003B43A0" w:rsidRPr="003B2B8D" w:rsidRDefault="003B43A0" w:rsidP="00A33E59">
            <w:pPr>
              <w:ind w:firstLine="0"/>
              <w:jc w:val="center"/>
              <w:outlineLvl w:val="0"/>
            </w:pPr>
            <w:r w:rsidRPr="003B2B8D">
              <w:t>655 678</w:t>
            </w:r>
          </w:p>
        </w:tc>
        <w:tc>
          <w:tcPr>
            <w:tcW w:w="1276" w:type="dxa"/>
            <w:vAlign w:val="center"/>
          </w:tcPr>
          <w:p w:rsidR="003B43A0" w:rsidRPr="003B2B8D" w:rsidRDefault="003B43A0" w:rsidP="00A33E59">
            <w:pPr>
              <w:ind w:firstLine="0"/>
              <w:jc w:val="center"/>
            </w:pPr>
            <w:r w:rsidRPr="003B2B8D">
              <w:t>481 461</w:t>
            </w:r>
          </w:p>
        </w:tc>
        <w:tc>
          <w:tcPr>
            <w:tcW w:w="1275" w:type="dxa"/>
            <w:vAlign w:val="center"/>
          </w:tcPr>
          <w:p w:rsidR="003B43A0" w:rsidRPr="003B2B8D" w:rsidRDefault="003B43A0" w:rsidP="00A33E59">
            <w:pPr>
              <w:ind w:firstLine="0"/>
              <w:jc w:val="center"/>
            </w:pPr>
            <w:r w:rsidRPr="003B2B8D">
              <w:t>504 531</w:t>
            </w:r>
          </w:p>
        </w:tc>
        <w:tc>
          <w:tcPr>
            <w:tcW w:w="1276" w:type="dxa"/>
            <w:vAlign w:val="center"/>
          </w:tcPr>
          <w:p w:rsidR="003B43A0" w:rsidRPr="003B2B8D" w:rsidRDefault="003B43A0" w:rsidP="00A33E59">
            <w:pPr>
              <w:ind w:firstLine="210"/>
            </w:pPr>
            <w:r w:rsidRPr="003B2B8D">
              <w:t>504 531</w:t>
            </w:r>
          </w:p>
        </w:tc>
        <w:tc>
          <w:tcPr>
            <w:tcW w:w="1276" w:type="dxa"/>
            <w:vAlign w:val="center"/>
          </w:tcPr>
          <w:p w:rsidR="003B43A0" w:rsidRPr="003B2B8D" w:rsidRDefault="003B43A0" w:rsidP="00A33E59">
            <w:pPr>
              <w:ind w:firstLine="207"/>
            </w:pPr>
            <w:r w:rsidRPr="003B2B8D">
              <w:t>504 531</w:t>
            </w:r>
          </w:p>
        </w:tc>
      </w:tr>
      <w:tr w:rsidR="003B43A0" w:rsidRPr="000D43A0" w:rsidTr="00A33E59">
        <w:trPr>
          <w:jc w:val="center"/>
        </w:trPr>
        <w:tc>
          <w:tcPr>
            <w:tcW w:w="534" w:type="dxa"/>
            <w:vAlign w:val="center"/>
          </w:tcPr>
          <w:p w:rsidR="003B43A0" w:rsidRPr="003B2B8D" w:rsidRDefault="003B43A0" w:rsidP="00A33E59">
            <w:pPr>
              <w:jc w:val="center"/>
              <w:outlineLvl w:val="0"/>
            </w:pPr>
            <w:r w:rsidRPr="003B2B8D">
              <w:t>66</w:t>
            </w:r>
          </w:p>
        </w:tc>
        <w:tc>
          <w:tcPr>
            <w:tcW w:w="3118" w:type="dxa"/>
          </w:tcPr>
          <w:p w:rsidR="003B43A0" w:rsidRPr="006E0B69" w:rsidRDefault="003B43A0" w:rsidP="00A33E59">
            <w:pPr>
              <w:ind w:firstLine="33"/>
              <w:outlineLvl w:val="0"/>
            </w:pPr>
            <w:r w:rsidRPr="006E0B69">
              <w:t xml:space="preserve">Сумма налога на прибыль организаций, не поступившая в бюджет в связи с установлением законами субъектов РФ пониженной ставки </w:t>
            </w:r>
            <w:r>
              <w:rPr>
                <w:lang w:val="en-US"/>
              </w:rPr>
              <w:t>V</w:t>
            </w:r>
            <w:r>
              <w:t>льгот</w:t>
            </w:r>
            <w:r w:rsidRPr="006E0B69">
              <w:t>, тыс. руб</w:t>
            </w:r>
            <w:r>
              <w:t>.</w:t>
            </w:r>
          </w:p>
        </w:tc>
        <w:tc>
          <w:tcPr>
            <w:tcW w:w="1276" w:type="dxa"/>
            <w:vAlign w:val="center"/>
          </w:tcPr>
          <w:p w:rsidR="003B43A0" w:rsidRPr="003B2B8D" w:rsidRDefault="003B43A0" w:rsidP="00A33E59">
            <w:pPr>
              <w:ind w:firstLine="0"/>
              <w:jc w:val="center"/>
              <w:outlineLvl w:val="0"/>
            </w:pPr>
            <w:r w:rsidRPr="003B2B8D">
              <w:t>0</w:t>
            </w:r>
          </w:p>
        </w:tc>
        <w:tc>
          <w:tcPr>
            <w:tcW w:w="1276" w:type="dxa"/>
            <w:vAlign w:val="center"/>
          </w:tcPr>
          <w:p w:rsidR="003B43A0" w:rsidRPr="003B2B8D" w:rsidRDefault="003B43A0" w:rsidP="00A33E59">
            <w:pPr>
              <w:ind w:firstLine="0"/>
              <w:jc w:val="center"/>
              <w:outlineLvl w:val="0"/>
            </w:pPr>
            <w:r w:rsidRPr="003B2B8D">
              <w:t>х</w:t>
            </w:r>
          </w:p>
        </w:tc>
        <w:tc>
          <w:tcPr>
            <w:tcW w:w="1275" w:type="dxa"/>
            <w:vAlign w:val="center"/>
          </w:tcPr>
          <w:p w:rsidR="003B43A0" w:rsidRPr="003B2B8D" w:rsidRDefault="003B43A0" w:rsidP="00A33E59">
            <w:pPr>
              <w:ind w:firstLine="0"/>
              <w:jc w:val="center"/>
              <w:outlineLvl w:val="0"/>
            </w:pPr>
            <w:r w:rsidRPr="003B2B8D">
              <w:t>х</w:t>
            </w:r>
          </w:p>
        </w:tc>
        <w:tc>
          <w:tcPr>
            <w:tcW w:w="1276" w:type="dxa"/>
            <w:vAlign w:val="center"/>
          </w:tcPr>
          <w:p w:rsidR="003B43A0" w:rsidRPr="003B2B8D" w:rsidRDefault="003B43A0" w:rsidP="00A33E59">
            <w:pPr>
              <w:ind w:firstLine="0"/>
              <w:jc w:val="center"/>
              <w:outlineLvl w:val="0"/>
            </w:pPr>
            <w:r w:rsidRPr="003B2B8D">
              <w:t>х</w:t>
            </w:r>
          </w:p>
        </w:tc>
        <w:tc>
          <w:tcPr>
            <w:tcW w:w="1276" w:type="dxa"/>
            <w:vAlign w:val="center"/>
          </w:tcPr>
          <w:p w:rsidR="003B43A0" w:rsidRPr="003B2B8D" w:rsidRDefault="003B43A0" w:rsidP="00A33E59">
            <w:pPr>
              <w:ind w:firstLine="0"/>
              <w:jc w:val="center"/>
              <w:outlineLvl w:val="0"/>
            </w:pPr>
            <w:r w:rsidRPr="003B2B8D">
              <w:t>х</w:t>
            </w:r>
          </w:p>
        </w:tc>
      </w:tr>
      <w:tr w:rsidR="003B43A0" w:rsidRPr="000D43A0" w:rsidTr="00A33E59">
        <w:trPr>
          <w:jc w:val="center"/>
        </w:trPr>
        <w:tc>
          <w:tcPr>
            <w:tcW w:w="534" w:type="dxa"/>
            <w:vAlign w:val="center"/>
          </w:tcPr>
          <w:p w:rsidR="003B43A0" w:rsidRPr="003B2B8D" w:rsidRDefault="003B43A0" w:rsidP="00A33E59">
            <w:pPr>
              <w:jc w:val="center"/>
              <w:outlineLvl w:val="0"/>
            </w:pPr>
            <w:r w:rsidRPr="003B2B8D">
              <w:lastRenderedPageBreak/>
              <w:t>87</w:t>
            </w:r>
          </w:p>
        </w:tc>
        <w:tc>
          <w:tcPr>
            <w:tcW w:w="3118" w:type="dxa"/>
          </w:tcPr>
          <w:p w:rsidR="003B43A0" w:rsidRPr="00DC664A" w:rsidRDefault="003B43A0" w:rsidP="00A33E59">
            <w:pPr>
              <w:ind w:firstLine="33"/>
              <w:outlineLvl w:val="0"/>
              <w:rPr>
                <w:sz w:val="20"/>
                <w:szCs w:val="20"/>
              </w:rPr>
            </w:pPr>
            <w:r w:rsidRPr="006E0B69">
              <w:t>Корректирующая сумма поступлений, учитывающая изменения законодательства о налогах и сборах, а также другие факторы- F, тыс. руб</w:t>
            </w:r>
            <w:r>
              <w:t>.</w:t>
            </w:r>
          </w:p>
        </w:tc>
        <w:tc>
          <w:tcPr>
            <w:tcW w:w="1276" w:type="dxa"/>
            <w:vAlign w:val="center"/>
          </w:tcPr>
          <w:p w:rsidR="003B43A0" w:rsidRPr="00045349" w:rsidRDefault="003B43A0" w:rsidP="00A33E59">
            <w:pPr>
              <w:ind w:firstLine="0"/>
              <w:jc w:val="center"/>
              <w:outlineLvl w:val="0"/>
              <w:rPr>
                <w:sz w:val="22"/>
                <w:szCs w:val="22"/>
              </w:rPr>
            </w:pPr>
            <w:r w:rsidRPr="00045349">
              <w:rPr>
                <w:sz w:val="22"/>
                <w:szCs w:val="22"/>
              </w:rPr>
              <w:t>х</w:t>
            </w:r>
          </w:p>
        </w:tc>
        <w:tc>
          <w:tcPr>
            <w:tcW w:w="1276" w:type="dxa"/>
            <w:vAlign w:val="center"/>
          </w:tcPr>
          <w:p w:rsidR="003B43A0" w:rsidRPr="00045349" w:rsidRDefault="003B43A0" w:rsidP="00A33E59">
            <w:pPr>
              <w:ind w:firstLine="0"/>
              <w:jc w:val="center"/>
              <w:outlineLvl w:val="0"/>
              <w:rPr>
                <w:sz w:val="22"/>
                <w:szCs w:val="22"/>
              </w:rPr>
            </w:pPr>
            <w:r>
              <w:rPr>
                <w:sz w:val="22"/>
                <w:szCs w:val="22"/>
              </w:rPr>
              <w:t>- 559 881</w:t>
            </w:r>
          </w:p>
        </w:tc>
        <w:tc>
          <w:tcPr>
            <w:tcW w:w="1275" w:type="dxa"/>
            <w:vAlign w:val="center"/>
          </w:tcPr>
          <w:p w:rsidR="003B43A0" w:rsidRPr="00045349" w:rsidRDefault="003B43A0" w:rsidP="00A33E59">
            <w:pPr>
              <w:ind w:firstLine="0"/>
              <w:jc w:val="center"/>
              <w:rPr>
                <w:color w:val="000000"/>
                <w:sz w:val="22"/>
                <w:szCs w:val="22"/>
              </w:rPr>
            </w:pPr>
            <w:r>
              <w:rPr>
                <w:color w:val="000000"/>
                <w:sz w:val="22"/>
                <w:szCs w:val="22"/>
              </w:rPr>
              <w:t>-599 709</w:t>
            </w:r>
          </w:p>
        </w:tc>
        <w:tc>
          <w:tcPr>
            <w:tcW w:w="1276" w:type="dxa"/>
            <w:vAlign w:val="center"/>
          </w:tcPr>
          <w:p w:rsidR="003B43A0" w:rsidRPr="00193853" w:rsidRDefault="003B43A0" w:rsidP="00A33E59">
            <w:pPr>
              <w:ind w:firstLine="0"/>
              <w:jc w:val="center"/>
              <w:rPr>
                <w:color w:val="000000"/>
                <w:sz w:val="22"/>
                <w:szCs w:val="22"/>
              </w:rPr>
            </w:pPr>
            <w:r>
              <w:rPr>
                <w:color w:val="000000"/>
                <w:sz w:val="22"/>
                <w:szCs w:val="22"/>
              </w:rPr>
              <w:t>3 860 464</w:t>
            </w:r>
          </w:p>
        </w:tc>
        <w:tc>
          <w:tcPr>
            <w:tcW w:w="1276" w:type="dxa"/>
            <w:vAlign w:val="center"/>
          </w:tcPr>
          <w:p w:rsidR="003B43A0" w:rsidRPr="00045349" w:rsidRDefault="003B43A0" w:rsidP="00A33E59">
            <w:pPr>
              <w:ind w:firstLine="0"/>
              <w:jc w:val="center"/>
              <w:rPr>
                <w:color w:val="000000"/>
                <w:sz w:val="22"/>
                <w:szCs w:val="22"/>
              </w:rPr>
            </w:pPr>
            <w:r>
              <w:rPr>
                <w:color w:val="000000"/>
                <w:sz w:val="22"/>
                <w:szCs w:val="22"/>
              </w:rPr>
              <w:t>4 140 504</w:t>
            </w:r>
          </w:p>
        </w:tc>
      </w:tr>
      <w:tr w:rsidR="003B43A0" w:rsidRPr="000D43A0" w:rsidTr="00A33E59">
        <w:trPr>
          <w:jc w:val="center"/>
        </w:trPr>
        <w:tc>
          <w:tcPr>
            <w:tcW w:w="534" w:type="dxa"/>
            <w:vAlign w:val="center"/>
          </w:tcPr>
          <w:p w:rsidR="003B43A0" w:rsidRPr="003B2B8D" w:rsidRDefault="003B43A0" w:rsidP="00A33E59">
            <w:pPr>
              <w:jc w:val="center"/>
              <w:outlineLvl w:val="0"/>
            </w:pPr>
            <w:r w:rsidRPr="003B2B8D">
              <w:t>98</w:t>
            </w:r>
          </w:p>
        </w:tc>
        <w:tc>
          <w:tcPr>
            <w:tcW w:w="3118" w:type="dxa"/>
          </w:tcPr>
          <w:p w:rsidR="003B43A0" w:rsidRPr="003D1A86" w:rsidRDefault="003B43A0" w:rsidP="00743610">
            <w:pPr>
              <w:ind w:firstLine="33"/>
              <w:outlineLvl w:val="0"/>
              <w:rPr>
                <w:sz w:val="20"/>
                <w:szCs w:val="20"/>
              </w:rPr>
            </w:pPr>
            <w:r w:rsidRPr="006E0B69">
              <w:t>Сумма поступлений по результатам контрольной работы (по</w:t>
            </w:r>
            <w:r>
              <w:t xml:space="preserve"> </w:t>
            </w:r>
            <w:r w:rsidRPr="006E0B69">
              <w:t>данным ф. ВП «Сведения о результатах проверок налогоплательщиков по вопросам соблюдения законодательства о налогах и сборах»</w:t>
            </w:r>
            <w:r>
              <w:t>)</w:t>
            </w:r>
            <w:r w:rsidRPr="006E0B69">
              <w:t xml:space="preserve">, рассчитанная </w:t>
            </w:r>
            <w:r w:rsidRPr="00ED426C">
              <w:rPr>
                <w:snapToGrid w:val="0"/>
                <w:szCs w:val="28"/>
              </w:rPr>
              <w:t>на уровне среднего показателя за 201</w:t>
            </w:r>
            <w:r>
              <w:rPr>
                <w:snapToGrid w:val="0"/>
                <w:szCs w:val="28"/>
              </w:rPr>
              <w:t>8</w:t>
            </w:r>
            <w:r w:rsidRPr="00ED426C">
              <w:rPr>
                <w:snapToGrid w:val="0"/>
                <w:szCs w:val="28"/>
              </w:rPr>
              <w:t>-20</w:t>
            </w:r>
            <w:r>
              <w:rPr>
                <w:snapToGrid w:val="0"/>
                <w:szCs w:val="28"/>
              </w:rPr>
              <w:t>20</w:t>
            </w:r>
            <w:r w:rsidRPr="00ED426C">
              <w:rPr>
                <w:snapToGrid w:val="0"/>
                <w:szCs w:val="28"/>
              </w:rPr>
              <w:t xml:space="preserve"> годы</w:t>
            </w:r>
            <w:r>
              <w:rPr>
                <w:snapToGrid w:val="0"/>
                <w:szCs w:val="28"/>
              </w:rPr>
              <w:t xml:space="preserve"> </w:t>
            </w:r>
            <w:r w:rsidR="00743610">
              <w:rPr>
                <w:snapToGrid w:val="0"/>
                <w:szCs w:val="28"/>
              </w:rPr>
              <w:t xml:space="preserve">, </w:t>
            </w:r>
            <w:r>
              <w:t>- Кр, тыс. руб.</w:t>
            </w:r>
          </w:p>
        </w:tc>
        <w:tc>
          <w:tcPr>
            <w:tcW w:w="1276" w:type="dxa"/>
            <w:vAlign w:val="center"/>
          </w:tcPr>
          <w:p w:rsidR="003B43A0" w:rsidRPr="00045349" w:rsidRDefault="003B43A0" w:rsidP="00A33E59">
            <w:pPr>
              <w:ind w:firstLine="0"/>
              <w:jc w:val="center"/>
              <w:outlineLvl w:val="0"/>
              <w:rPr>
                <w:sz w:val="22"/>
                <w:szCs w:val="22"/>
              </w:rPr>
            </w:pPr>
            <w:r w:rsidRPr="00045349">
              <w:rPr>
                <w:sz w:val="22"/>
                <w:szCs w:val="22"/>
              </w:rPr>
              <w:t>х</w:t>
            </w:r>
          </w:p>
        </w:tc>
        <w:tc>
          <w:tcPr>
            <w:tcW w:w="1276" w:type="dxa"/>
            <w:vAlign w:val="center"/>
          </w:tcPr>
          <w:p w:rsidR="003B43A0" w:rsidRPr="00045349" w:rsidRDefault="003B43A0" w:rsidP="00A33E59">
            <w:pPr>
              <w:ind w:firstLine="34"/>
              <w:jc w:val="center"/>
              <w:outlineLvl w:val="0"/>
              <w:rPr>
                <w:sz w:val="22"/>
                <w:szCs w:val="22"/>
              </w:rPr>
            </w:pPr>
            <w:r>
              <w:rPr>
                <w:sz w:val="22"/>
                <w:szCs w:val="22"/>
              </w:rPr>
              <w:t>129 844</w:t>
            </w:r>
          </w:p>
        </w:tc>
        <w:tc>
          <w:tcPr>
            <w:tcW w:w="1275" w:type="dxa"/>
            <w:vAlign w:val="center"/>
          </w:tcPr>
          <w:p w:rsidR="003B43A0" w:rsidRPr="00045349" w:rsidRDefault="003B43A0" w:rsidP="00A33E59">
            <w:pPr>
              <w:ind w:firstLine="0"/>
              <w:jc w:val="center"/>
              <w:rPr>
                <w:sz w:val="22"/>
                <w:szCs w:val="22"/>
              </w:rPr>
            </w:pPr>
            <w:r>
              <w:rPr>
                <w:sz w:val="22"/>
                <w:szCs w:val="22"/>
              </w:rPr>
              <w:t>129 844</w:t>
            </w:r>
          </w:p>
        </w:tc>
        <w:tc>
          <w:tcPr>
            <w:tcW w:w="1276" w:type="dxa"/>
            <w:vAlign w:val="center"/>
          </w:tcPr>
          <w:p w:rsidR="003B43A0" w:rsidRPr="00045349" w:rsidRDefault="003B43A0" w:rsidP="00A33E59">
            <w:pPr>
              <w:ind w:firstLine="0"/>
              <w:jc w:val="center"/>
              <w:rPr>
                <w:sz w:val="22"/>
                <w:szCs w:val="22"/>
              </w:rPr>
            </w:pPr>
            <w:r>
              <w:rPr>
                <w:sz w:val="22"/>
                <w:szCs w:val="22"/>
              </w:rPr>
              <w:t>129 844</w:t>
            </w:r>
          </w:p>
        </w:tc>
        <w:tc>
          <w:tcPr>
            <w:tcW w:w="1276" w:type="dxa"/>
            <w:vAlign w:val="center"/>
          </w:tcPr>
          <w:p w:rsidR="003B43A0" w:rsidRPr="00045349" w:rsidRDefault="003B43A0" w:rsidP="00A33E59">
            <w:pPr>
              <w:ind w:firstLine="0"/>
              <w:jc w:val="center"/>
              <w:rPr>
                <w:sz w:val="22"/>
                <w:szCs w:val="22"/>
              </w:rPr>
            </w:pPr>
            <w:r>
              <w:rPr>
                <w:sz w:val="22"/>
                <w:szCs w:val="22"/>
              </w:rPr>
              <w:t>129 844</w:t>
            </w:r>
          </w:p>
        </w:tc>
      </w:tr>
      <w:tr w:rsidR="003B43A0" w:rsidRPr="000D43A0" w:rsidTr="00A33E59">
        <w:trPr>
          <w:jc w:val="center"/>
        </w:trPr>
        <w:tc>
          <w:tcPr>
            <w:tcW w:w="534" w:type="dxa"/>
            <w:vAlign w:val="center"/>
          </w:tcPr>
          <w:p w:rsidR="003B43A0" w:rsidRPr="003B2B8D" w:rsidRDefault="003B43A0" w:rsidP="00A33E59">
            <w:pPr>
              <w:jc w:val="center"/>
              <w:outlineLvl w:val="0"/>
            </w:pPr>
            <w:r w:rsidRPr="003B2B8D">
              <w:t>19</w:t>
            </w:r>
          </w:p>
        </w:tc>
        <w:tc>
          <w:tcPr>
            <w:tcW w:w="3118" w:type="dxa"/>
          </w:tcPr>
          <w:p w:rsidR="003B43A0" w:rsidRDefault="003B43A0" w:rsidP="00A33E59">
            <w:pPr>
              <w:ind w:firstLine="33"/>
              <w:outlineLvl w:val="0"/>
            </w:pPr>
            <w:r w:rsidRPr="00252ABD">
              <w:t>Прогнозируемый объем налога на прибыль организаций,</w:t>
            </w:r>
            <w:r>
              <w:t xml:space="preserve"> (за исключением консолидированных групп налогоплательщиков)</w:t>
            </w:r>
            <w:r>
              <w:rPr>
                <w:sz w:val="20"/>
                <w:szCs w:val="20"/>
              </w:rPr>
              <w:t xml:space="preserve">– </w:t>
            </w:r>
            <w:r w:rsidRPr="007500E0">
              <w:rPr>
                <w:b/>
                <w:sz w:val="20"/>
                <w:szCs w:val="20"/>
              </w:rPr>
              <w:t>Нпр.б.с._12</w:t>
            </w:r>
            <w:r>
              <w:rPr>
                <w:b/>
                <w:sz w:val="20"/>
                <w:szCs w:val="20"/>
              </w:rPr>
              <w:t xml:space="preserve"> </w:t>
            </w:r>
            <w:r w:rsidRPr="007500E0">
              <w:rPr>
                <w:b/>
                <w:sz w:val="20"/>
                <w:szCs w:val="20"/>
              </w:rPr>
              <w:t>=</w:t>
            </w:r>
            <w:r>
              <w:rPr>
                <w:b/>
                <w:sz w:val="20"/>
                <w:szCs w:val="20"/>
              </w:rPr>
              <w:t xml:space="preserve"> </w:t>
            </w:r>
            <w:r w:rsidRPr="007500E0">
              <w:rPr>
                <w:b/>
                <w:sz w:val="20"/>
                <w:szCs w:val="20"/>
              </w:rPr>
              <w:t>Носн._</w:t>
            </w:r>
            <w:r>
              <w:rPr>
                <w:b/>
                <w:sz w:val="20"/>
                <w:szCs w:val="20"/>
              </w:rPr>
              <w:t>12+Кр (+</w:t>
            </w:r>
            <w:r w:rsidRPr="007500E0">
              <w:rPr>
                <w:b/>
                <w:sz w:val="20"/>
                <w:szCs w:val="20"/>
              </w:rPr>
              <w:t>/-)</w:t>
            </w:r>
            <w:r>
              <w:rPr>
                <w:b/>
                <w:sz w:val="20"/>
                <w:szCs w:val="20"/>
              </w:rPr>
              <w:t xml:space="preserve"> </w:t>
            </w:r>
            <w:r w:rsidRPr="007500E0">
              <w:rPr>
                <w:b/>
                <w:sz w:val="20"/>
                <w:szCs w:val="20"/>
                <w:lang w:val="en-US"/>
              </w:rPr>
              <w:t>F</w:t>
            </w:r>
            <w:r>
              <w:rPr>
                <w:b/>
                <w:sz w:val="20"/>
                <w:szCs w:val="20"/>
              </w:rPr>
              <w:t xml:space="preserve"> = (</w:t>
            </w:r>
            <w:r>
              <w:rPr>
                <w:lang w:val="en-US"/>
              </w:rPr>
              <w:t>V</w:t>
            </w:r>
            <w:r w:rsidRPr="00541DF1">
              <w:t xml:space="preserve"> </w:t>
            </w:r>
            <w:r w:rsidRPr="00541DF1">
              <w:rPr>
                <w:sz w:val="16"/>
                <w:szCs w:val="16"/>
              </w:rPr>
              <w:t>НБ ОСН</w:t>
            </w:r>
            <w:r w:rsidRPr="00DC664A">
              <w:t>*</w:t>
            </w:r>
            <w:r w:rsidRPr="006E0B69">
              <w:t xml:space="preserve"> Тр</w:t>
            </w:r>
            <w:r>
              <w:t xml:space="preserve">*Ст)*Кс + </w:t>
            </w:r>
          </w:p>
          <w:p w:rsidR="003B43A0" w:rsidRPr="00D00202" w:rsidRDefault="003B43A0" w:rsidP="00A33E59">
            <w:pPr>
              <w:ind w:firstLine="33"/>
              <w:outlineLvl w:val="0"/>
              <w:rPr>
                <w:sz w:val="20"/>
                <w:szCs w:val="20"/>
              </w:rPr>
            </w:pPr>
            <w:r>
              <w:t>(</w:t>
            </w:r>
            <w:r w:rsidRPr="006E0B69">
              <w:t>Р перерасчет</w:t>
            </w:r>
            <w:r>
              <w:t xml:space="preserve">*Кс) – </w:t>
            </w:r>
            <w:r>
              <w:rPr>
                <w:lang w:val="en-US"/>
              </w:rPr>
              <w:t>V</w:t>
            </w:r>
            <w:r>
              <w:t xml:space="preserve">льгот + Кр </w:t>
            </w:r>
            <w:r w:rsidRPr="00DC664A">
              <w:t>+</w:t>
            </w:r>
            <w:r>
              <w:rPr>
                <w:lang w:val="en-US"/>
              </w:rPr>
              <w:t>F</w:t>
            </w:r>
            <w:r>
              <w:t>, тыс. руб.</w:t>
            </w:r>
          </w:p>
        </w:tc>
        <w:tc>
          <w:tcPr>
            <w:tcW w:w="1276" w:type="dxa"/>
            <w:vAlign w:val="center"/>
          </w:tcPr>
          <w:p w:rsidR="003B43A0" w:rsidRPr="00045349" w:rsidRDefault="003B43A0" w:rsidP="00A33E59">
            <w:pPr>
              <w:ind w:firstLine="0"/>
              <w:jc w:val="center"/>
              <w:outlineLvl w:val="0"/>
              <w:rPr>
                <w:b/>
                <w:sz w:val="22"/>
                <w:szCs w:val="22"/>
              </w:rPr>
            </w:pPr>
            <w:r>
              <w:rPr>
                <w:b/>
                <w:sz w:val="22"/>
                <w:szCs w:val="22"/>
              </w:rPr>
              <w:t>10 335 997</w:t>
            </w:r>
          </w:p>
        </w:tc>
        <w:tc>
          <w:tcPr>
            <w:tcW w:w="1276" w:type="dxa"/>
            <w:vAlign w:val="center"/>
          </w:tcPr>
          <w:p w:rsidR="003B43A0" w:rsidRPr="00045349" w:rsidRDefault="003B43A0" w:rsidP="00A33E59">
            <w:pPr>
              <w:ind w:firstLine="0"/>
              <w:jc w:val="center"/>
              <w:outlineLvl w:val="0"/>
              <w:rPr>
                <w:b/>
                <w:sz w:val="22"/>
                <w:szCs w:val="22"/>
              </w:rPr>
            </w:pPr>
            <w:r>
              <w:rPr>
                <w:b/>
                <w:sz w:val="22"/>
                <w:szCs w:val="22"/>
              </w:rPr>
              <w:t>11 397 188</w:t>
            </w:r>
          </w:p>
        </w:tc>
        <w:tc>
          <w:tcPr>
            <w:tcW w:w="1275" w:type="dxa"/>
            <w:vAlign w:val="center"/>
          </w:tcPr>
          <w:p w:rsidR="003B43A0" w:rsidRPr="00045349" w:rsidRDefault="003B43A0" w:rsidP="00A33E59">
            <w:pPr>
              <w:ind w:left="-114" w:right="-111" w:firstLine="33"/>
              <w:jc w:val="center"/>
              <w:outlineLvl w:val="0"/>
              <w:rPr>
                <w:b/>
                <w:sz w:val="22"/>
                <w:szCs w:val="22"/>
              </w:rPr>
            </w:pPr>
            <w:r>
              <w:rPr>
                <w:b/>
                <w:sz w:val="22"/>
                <w:szCs w:val="22"/>
              </w:rPr>
              <w:t>11 970 396</w:t>
            </w:r>
          </w:p>
        </w:tc>
        <w:tc>
          <w:tcPr>
            <w:tcW w:w="1276" w:type="dxa"/>
            <w:vAlign w:val="center"/>
          </w:tcPr>
          <w:p w:rsidR="003B43A0" w:rsidRPr="00D00202" w:rsidRDefault="003B43A0" w:rsidP="00A33E59">
            <w:pPr>
              <w:ind w:left="-109" w:right="-104" w:firstLine="0"/>
              <w:jc w:val="center"/>
              <w:outlineLvl w:val="0"/>
              <w:rPr>
                <w:b/>
                <w:sz w:val="22"/>
                <w:szCs w:val="22"/>
              </w:rPr>
            </w:pPr>
            <w:r>
              <w:rPr>
                <w:b/>
                <w:sz w:val="22"/>
                <w:szCs w:val="22"/>
              </w:rPr>
              <w:t>17 027 179</w:t>
            </w:r>
          </w:p>
        </w:tc>
        <w:tc>
          <w:tcPr>
            <w:tcW w:w="1276" w:type="dxa"/>
            <w:vAlign w:val="center"/>
          </w:tcPr>
          <w:p w:rsidR="003B43A0" w:rsidRPr="00045349" w:rsidRDefault="003B43A0" w:rsidP="00A33E59">
            <w:pPr>
              <w:ind w:right="-111" w:hanging="104"/>
              <w:jc w:val="center"/>
              <w:outlineLvl w:val="0"/>
              <w:rPr>
                <w:b/>
                <w:sz w:val="22"/>
                <w:szCs w:val="22"/>
              </w:rPr>
            </w:pPr>
            <w:r>
              <w:rPr>
                <w:b/>
                <w:sz w:val="22"/>
                <w:szCs w:val="22"/>
              </w:rPr>
              <w:t>17 958 717</w:t>
            </w:r>
          </w:p>
        </w:tc>
      </w:tr>
    </w:tbl>
    <w:p w:rsidR="003B43A0" w:rsidRPr="003B43A0" w:rsidRDefault="003B43A0" w:rsidP="003B43A0">
      <w:pPr>
        <w:ind w:firstLine="709"/>
        <w:jc w:val="both"/>
        <w:rPr>
          <w:sz w:val="28"/>
          <w:szCs w:val="28"/>
        </w:rPr>
      </w:pPr>
      <w:r w:rsidRPr="003B43A0">
        <w:rPr>
          <w:sz w:val="28"/>
          <w:szCs w:val="28"/>
        </w:rPr>
        <w:t>Расчет корректирующей суммы налога на прибыль организаций (пункт 7 Таблицы):</w:t>
      </w:r>
    </w:p>
    <w:p w:rsidR="003B43A0" w:rsidRPr="003B43A0" w:rsidRDefault="003B43A0" w:rsidP="003B43A0">
      <w:pPr>
        <w:ind w:firstLine="709"/>
        <w:jc w:val="both"/>
        <w:rPr>
          <w:sz w:val="28"/>
          <w:szCs w:val="28"/>
        </w:rPr>
      </w:pPr>
      <w:r w:rsidRPr="003B43A0">
        <w:rPr>
          <w:sz w:val="28"/>
          <w:szCs w:val="28"/>
        </w:rPr>
        <w:t>1) Сумма налога по годовым перерасчетам обособленных подразделений, головные организации которых находятся в других регионах, рассчитанная исходя из доли суммы налога по годовым перерасчетам в налоговой базе</w:t>
      </w:r>
      <w:r w:rsidR="00B267EF">
        <w:rPr>
          <w:sz w:val="28"/>
          <w:szCs w:val="28"/>
        </w:rPr>
        <w:t xml:space="preserve"> по </w:t>
      </w:r>
      <w:r w:rsidR="00B267EF" w:rsidRPr="003B43A0">
        <w:rPr>
          <w:sz w:val="28"/>
          <w:szCs w:val="28"/>
        </w:rPr>
        <w:t>"Тверски</w:t>
      </w:r>
      <w:r w:rsidR="00B267EF">
        <w:rPr>
          <w:sz w:val="28"/>
          <w:szCs w:val="28"/>
        </w:rPr>
        <w:t>м</w:t>
      </w:r>
      <w:r w:rsidR="00B267EF" w:rsidRPr="003B43A0">
        <w:rPr>
          <w:sz w:val="28"/>
          <w:szCs w:val="28"/>
        </w:rPr>
        <w:t>" организаци</w:t>
      </w:r>
      <w:r w:rsidR="00B267EF">
        <w:rPr>
          <w:sz w:val="28"/>
          <w:szCs w:val="28"/>
        </w:rPr>
        <w:t>ям</w:t>
      </w:r>
      <w:r w:rsidRPr="003B43A0">
        <w:rPr>
          <w:sz w:val="28"/>
          <w:szCs w:val="28"/>
        </w:rPr>
        <w:t xml:space="preserve"> (ф. № 5-П за 2020 год): (481 461/ 40 619 834 = 0,01185). </w:t>
      </w:r>
    </w:p>
    <w:p w:rsidR="003B43A0" w:rsidRPr="003B43A0" w:rsidRDefault="003B43A0" w:rsidP="003B43A0">
      <w:pPr>
        <w:ind w:firstLine="709"/>
        <w:jc w:val="both"/>
        <w:rPr>
          <w:sz w:val="28"/>
          <w:szCs w:val="28"/>
        </w:rPr>
      </w:pPr>
      <w:r w:rsidRPr="003B43A0">
        <w:rPr>
          <w:sz w:val="28"/>
          <w:szCs w:val="28"/>
        </w:rPr>
        <w:t>Налоговая база организаций, уплачивающих налог по месту нахождения обособленных подразделений, головные организации которых находятся в других регионах рассчитана как разница значений показателя по формам № 5-ПМ (все организации) - № 5-КГНМ (организации КГН) - № 5-П ("Тверские" организации): 89 513 335 – 31 627 042 – 40 619 834 = 17 266 459 тыс. рублей.</w:t>
      </w:r>
    </w:p>
    <w:p w:rsidR="003B43A0" w:rsidRPr="003B43A0" w:rsidRDefault="003B43A0" w:rsidP="003B43A0">
      <w:pPr>
        <w:ind w:firstLine="709"/>
        <w:jc w:val="both"/>
        <w:rPr>
          <w:sz w:val="28"/>
          <w:szCs w:val="28"/>
        </w:rPr>
      </w:pPr>
      <w:r w:rsidRPr="003B43A0">
        <w:rPr>
          <w:sz w:val="28"/>
          <w:szCs w:val="28"/>
        </w:rPr>
        <w:t>2021 год (с учетом коэффициента собираемости 100,7%) = 17 266 459 * 0,01185 * 100,7% = 206 040 тыс. руб.</w:t>
      </w:r>
    </w:p>
    <w:p w:rsidR="003B43A0" w:rsidRPr="003B43A0" w:rsidRDefault="003B43A0" w:rsidP="003B43A0">
      <w:pPr>
        <w:ind w:firstLine="709"/>
        <w:jc w:val="both"/>
        <w:rPr>
          <w:sz w:val="28"/>
          <w:szCs w:val="28"/>
        </w:rPr>
      </w:pPr>
      <w:r w:rsidRPr="003B43A0">
        <w:rPr>
          <w:sz w:val="28"/>
          <w:szCs w:val="28"/>
        </w:rPr>
        <w:t>2022-2024 годы на уровне 2021 года = 206 040 тыс. руб.</w:t>
      </w:r>
    </w:p>
    <w:p w:rsidR="003B43A0" w:rsidRPr="003B43A0" w:rsidRDefault="003B43A0" w:rsidP="003B43A0">
      <w:pPr>
        <w:ind w:firstLine="709"/>
        <w:jc w:val="both"/>
        <w:rPr>
          <w:sz w:val="28"/>
          <w:szCs w:val="28"/>
        </w:rPr>
      </w:pPr>
      <w:r w:rsidRPr="003B43A0">
        <w:rPr>
          <w:sz w:val="28"/>
          <w:szCs w:val="28"/>
        </w:rPr>
        <w:t xml:space="preserve">2) Прекращение с 01.01.2023 действия договоров о создании КГН в соответствии с Федеральным законом от 03.08.2018 № 302-ФЗ </w:t>
      </w:r>
    </w:p>
    <w:p w:rsidR="003B43A0" w:rsidRPr="003B43A0" w:rsidRDefault="003B43A0" w:rsidP="003B43A0">
      <w:pPr>
        <w:ind w:firstLine="709"/>
        <w:jc w:val="both"/>
        <w:rPr>
          <w:sz w:val="28"/>
          <w:szCs w:val="28"/>
        </w:rPr>
      </w:pPr>
      <w:r w:rsidRPr="003B43A0">
        <w:rPr>
          <w:sz w:val="28"/>
          <w:szCs w:val="28"/>
        </w:rPr>
        <w:t xml:space="preserve">2023 год: Налоговая база КГН в 2022 году * Темп 2023 г. (Макро РФ  на 2023 год 106.5%)  * 17% * К соб. ( КГН  - 100%)  - за минусом суммы прогноза поступления КГН на 2023 год: </w:t>
      </w:r>
    </w:p>
    <w:p w:rsidR="003B43A0" w:rsidRPr="003B43A0" w:rsidRDefault="003B43A0" w:rsidP="003B43A0">
      <w:pPr>
        <w:ind w:firstLine="709"/>
        <w:jc w:val="both"/>
        <w:rPr>
          <w:sz w:val="28"/>
          <w:szCs w:val="28"/>
        </w:rPr>
      </w:pPr>
      <w:r w:rsidRPr="003B43A0">
        <w:rPr>
          <w:sz w:val="28"/>
          <w:szCs w:val="28"/>
        </w:rPr>
        <w:t>36 341 463 тыс. руб.*106.5%*17%*100% - 391 620 = 6 188 002 тыс. руб.</w:t>
      </w:r>
    </w:p>
    <w:p w:rsidR="003B43A0" w:rsidRPr="003B43A0" w:rsidRDefault="003B43A0" w:rsidP="003B43A0">
      <w:pPr>
        <w:ind w:firstLine="709"/>
        <w:jc w:val="both"/>
        <w:rPr>
          <w:sz w:val="28"/>
          <w:szCs w:val="28"/>
        </w:rPr>
      </w:pPr>
      <w:r w:rsidRPr="003B43A0">
        <w:rPr>
          <w:sz w:val="28"/>
          <w:szCs w:val="28"/>
        </w:rPr>
        <w:lastRenderedPageBreak/>
        <w:t>2023 год: Прогнозируемый коэффициент корреляции фактической суммы поступления к исчисленной средний за 2021-2022гг. (см. данные таблицы расчета по КГН) - 31.6% = (2 135 090/5 822 855*100% + 1 631 279/6 178 049*100%)/2 (36,7%+26,4%)/2)</w:t>
      </w:r>
    </w:p>
    <w:p w:rsidR="003B43A0" w:rsidRPr="003B43A0" w:rsidRDefault="003B43A0" w:rsidP="003B43A0">
      <w:pPr>
        <w:ind w:firstLine="709"/>
        <w:jc w:val="both"/>
        <w:rPr>
          <w:sz w:val="28"/>
          <w:szCs w:val="28"/>
        </w:rPr>
      </w:pPr>
      <w:r w:rsidRPr="003B43A0">
        <w:rPr>
          <w:sz w:val="28"/>
          <w:szCs w:val="28"/>
        </w:rPr>
        <w:t>36 341 463 тыс. руб.*106,5%*17%*100%*31,6% - 391 620 = 1 687 541 тыс. руб.</w:t>
      </w:r>
    </w:p>
    <w:p w:rsidR="003B43A0" w:rsidRPr="003B43A0" w:rsidRDefault="003B43A0" w:rsidP="003B43A0">
      <w:pPr>
        <w:ind w:firstLine="709"/>
        <w:jc w:val="both"/>
        <w:rPr>
          <w:sz w:val="28"/>
          <w:szCs w:val="28"/>
        </w:rPr>
      </w:pPr>
      <w:r w:rsidRPr="003B43A0">
        <w:rPr>
          <w:sz w:val="28"/>
          <w:szCs w:val="28"/>
        </w:rPr>
        <w:t xml:space="preserve">2024 год: Налоговая база КГН в 2022 году * Темп 2023 г. (Макро РФ на 2023 год 106.5%)* Темп 2024 г. (Макро РФ на 2024 год 107.2%) * 17% * К соб. ( КГН  - 100%): </w:t>
      </w:r>
    </w:p>
    <w:p w:rsidR="003B43A0" w:rsidRPr="003B43A0" w:rsidRDefault="003B43A0" w:rsidP="003B43A0">
      <w:pPr>
        <w:ind w:firstLine="709"/>
        <w:jc w:val="both"/>
        <w:rPr>
          <w:sz w:val="28"/>
          <w:szCs w:val="28"/>
        </w:rPr>
      </w:pPr>
      <w:r w:rsidRPr="003B43A0">
        <w:rPr>
          <w:sz w:val="28"/>
          <w:szCs w:val="28"/>
        </w:rPr>
        <w:t>36 341 463 тыс. руб.*106.5%*107.2%*17%*100.0% = 7 053 355 тыс. руб.</w:t>
      </w:r>
    </w:p>
    <w:p w:rsidR="003B43A0" w:rsidRPr="003B43A0" w:rsidRDefault="003B43A0" w:rsidP="003B43A0">
      <w:pPr>
        <w:ind w:firstLine="709"/>
        <w:jc w:val="both"/>
        <w:rPr>
          <w:sz w:val="28"/>
          <w:szCs w:val="28"/>
        </w:rPr>
      </w:pPr>
      <w:r w:rsidRPr="003B43A0">
        <w:rPr>
          <w:sz w:val="28"/>
          <w:szCs w:val="28"/>
        </w:rPr>
        <w:t>2024 год: Прогнозируемый коэффициент корреляции фактической суммы поступления к исчисленной средний за 2021-2022гг. (см. данные таблицы расчета по КГН) - 31.6% = (2 135 090/5 822 855*100% + 1 631 279/6 178 049*100%)/2 (36,7%+26,4%)/2)</w:t>
      </w:r>
    </w:p>
    <w:p w:rsidR="003B43A0" w:rsidRPr="003B43A0" w:rsidRDefault="003B43A0" w:rsidP="003B43A0">
      <w:pPr>
        <w:ind w:firstLine="709"/>
        <w:jc w:val="both"/>
        <w:rPr>
          <w:sz w:val="28"/>
          <w:szCs w:val="28"/>
        </w:rPr>
      </w:pPr>
      <w:r w:rsidRPr="003B43A0">
        <w:rPr>
          <w:sz w:val="28"/>
          <w:szCs w:val="28"/>
        </w:rPr>
        <w:t>36 341 463 тыс. руб.*106.5%*107.2%*17%*100.0%*31,6% = 2 228 860 тыс. руб.</w:t>
      </w:r>
    </w:p>
    <w:p w:rsidR="003B43A0" w:rsidRPr="003B43A0" w:rsidRDefault="003B43A0" w:rsidP="003B43A0">
      <w:pPr>
        <w:ind w:firstLine="709"/>
        <w:jc w:val="both"/>
        <w:rPr>
          <w:sz w:val="28"/>
          <w:szCs w:val="28"/>
        </w:rPr>
      </w:pPr>
      <w:r w:rsidRPr="003B43A0">
        <w:rPr>
          <w:sz w:val="28"/>
          <w:szCs w:val="28"/>
        </w:rPr>
        <w:t>3) Расчет корректирующих сумм налоговой базы:</w:t>
      </w:r>
    </w:p>
    <w:p w:rsidR="003B43A0" w:rsidRPr="003B43A0" w:rsidRDefault="003B43A0" w:rsidP="003B43A0">
      <w:pPr>
        <w:ind w:firstLine="709"/>
        <w:jc w:val="both"/>
        <w:rPr>
          <w:sz w:val="28"/>
          <w:szCs w:val="28"/>
        </w:rPr>
      </w:pPr>
      <w:r w:rsidRPr="003B43A0">
        <w:rPr>
          <w:sz w:val="28"/>
          <w:szCs w:val="28"/>
        </w:rPr>
        <w:t>Коэффициенты погрешности налоговой базы за 2018-2020 годы (фактическая сумма налоговой базы по налогу на прибыль организаций не КГН по данным налоговой отчётности 5-ПМ/оценку суммы налоговой базы по данным Министерства экономического развития Тверской области за предыдущие годы прогнозирования):</w:t>
      </w:r>
    </w:p>
    <w:p w:rsidR="003B43A0" w:rsidRPr="003B43A0" w:rsidRDefault="003B43A0" w:rsidP="003B43A0">
      <w:pPr>
        <w:ind w:firstLine="709"/>
        <w:jc w:val="both"/>
        <w:rPr>
          <w:sz w:val="28"/>
          <w:szCs w:val="28"/>
        </w:rPr>
      </w:pPr>
      <w:r w:rsidRPr="003B43A0">
        <w:rPr>
          <w:sz w:val="28"/>
          <w:szCs w:val="28"/>
        </w:rPr>
        <w:t>2018 год = 51 397 282/50 360 274 *100% - 100% = 2,1%</w:t>
      </w:r>
    </w:p>
    <w:p w:rsidR="003B43A0" w:rsidRPr="003B43A0" w:rsidRDefault="003B43A0" w:rsidP="003B43A0">
      <w:pPr>
        <w:ind w:firstLine="709"/>
        <w:jc w:val="both"/>
        <w:rPr>
          <w:sz w:val="28"/>
          <w:szCs w:val="28"/>
        </w:rPr>
      </w:pPr>
      <w:r w:rsidRPr="003B43A0">
        <w:rPr>
          <w:sz w:val="28"/>
          <w:szCs w:val="28"/>
        </w:rPr>
        <w:t>2019 год = 57 958 915/65 765 142 * 100% - 100% = (-11,9%)</w:t>
      </w:r>
    </w:p>
    <w:p w:rsidR="003B43A0" w:rsidRPr="003B43A0" w:rsidRDefault="003B43A0" w:rsidP="003B43A0">
      <w:pPr>
        <w:ind w:firstLine="709"/>
        <w:jc w:val="both"/>
        <w:rPr>
          <w:sz w:val="28"/>
          <w:szCs w:val="28"/>
        </w:rPr>
      </w:pPr>
      <w:r w:rsidRPr="003B43A0">
        <w:rPr>
          <w:sz w:val="28"/>
          <w:szCs w:val="28"/>
        </w:rPr>
        <w:t>2020 год = 57 886 293/64 662 831*100% - 100% = (-10,5%)</w:t>
      </w:r>
    </w:p>
    <w:p w:rsidR="003B43A0" w:rsidRPr="003B43A0" w:rsidRDefault="003B43A0" w:rsidP="003B43A0">
      <w:pPr>
        <w:ind w:firstLine="709"/>
        <w:jc w:val="both"/>
        <w:rPr>
          <w:sz w:val="28"/>
          <w:szCs w:val="28"/>
        </w:rPr>
      </w:pPr>
      <w:r w:rsidRPr="003B43A0">
        <w:rPr>
          <w:sz w:val="28"/>
          <w:szCs w:val="28"/>
        </w:rPr>
        <w:t>Среднее значение погрешности за 2018-2020 годы = (2,1% -11,9%-10,5%)/3 = -6,8%</w:t>
      </w:r>
    </w:p>
    <w:p w:rsidR="003B43A0" w:rsidRPr="003B43A0" w:rsidRDefault="003B43A0" w:rsidP="003B43A0">
      <w:pPr>
        <w:ind w:firstLine="709"/>
        <w:jc w:val="both"/>
        <w:rPr>
          <w:sz w:val="28"/>
          <w:szCs w:val="28"/>
        </w:rPr>
      </w:pPr>
      <w:r w:rsidRPr="003B43A0">
        <w:rPr>
          <w:sz w:val="28"/>
          <w:szCs w:val="28"/>
        </w:rPr>
        <w:t>Корректирующие суммы налоговой базы:</w:t>
      </w:r>
    </w:p>
    <w:p w:rsidR="003B43A0" w:rsidRPr="003B43A0" w:rsidRDefault="003B43A0" w:rsidP="003B43A0">
      <w:pPr>
        <w:ind w:firstLine="709"/>
        <w:jc w:val="both"/>
        <w:rPr>
          <w:sz w:val="28"/>
          <w:szCs w:val="28"/>
        </w:rPr>
      </w:pPr>
      <w:r w:rsidRPr="003B43A0">
        <w:rPr>
          <w:sz w:val="28"/>
          <w:szCs w:val="28"/>
        </w:rPr>
        <w:t>2021 год = 66 256 173*17%*(-6,8%) = - 765 921 тыс. руб.</w:t>
      </w:r>
    </w:p>
    <w:p w:rsidR="003B43A0" w:rsidRPr="003B43A0" w:rsidRDefault="003B43A0" w:rsidP="003B43A0">
      <w:pPr>
        <w:ind w:firstLine="709"/>
        <w:jc w:val="both"/>
        <w:rPr>
          <w:sz w:val="28"/>
          <w:szCs w:val="28"/>
        </w:rPr>
      </w:pPr>
      <w:r w:rsidRPr="003B43A0">
        <w:rPr>
          <w:sz w:val="28"/>
          <w:szCs w:val="28"/>
        </w:rPr>
        <w:t>2022 год = 69 701 494*17%*(-6,8%) = - 805 749 тыс. руб.</w:t>
      </w:r>
    </w:p>
    <w:p w:rsidR="003B43A0" w:rsidRPr="003B43A0" w:rsidRDefault="003B43A0" w:rsidP="003B43A0">
      <w:pPr>
        <w:ind w:firstLine="709"/>
        <w:jc w:val="both"/>
        <w:rPr>
          <w:sz w:val="28"/>
          <w:szCs w:val="28"/>
        </w:rPr>
      </w:pPr>
      <w:r w:rsidRPr="003B43A0">
        <w:rPr>
          <w:sz w:val="28"/>
          <w:szCs w:val="28"/>
        </w:rPr>
        <w:t>2023 год = 73 186 569*17%*(-6,8%) = - 846 037 тыс. руб.</w:t>
      </w:r>
    </w:p>
    <w:p w:rsidR="003B43A0" w:rsidRPr="003B43A0" w:rsidRDefault="003B43A0" w:rsidP="003B43A0">
      <w:pPr>
        <w:ind w:firstLine="709"/>
        <w:jc w:val="both"/>
        <w:rPr>
          <w:sz w:val="28"/>
          <w:szCs w:val="28"/>
        </w:rPr>
      </w:pPr>
      <w:r w:rsidRPr="003B43A0">
        <w:rPr>
          <w:sz w:val="28"/>
          <w:szCs w:val="28"/>
        </w:rPr>
        <w:t>2024 год = 76 992 270*17%*(-6,8%) = - 890 031 тыс. руб.</w:t>
      </w:r>
    </w:p>
    <w:p w:rsidR="003B43A0" w:rsidRPr="003B43A0" w:rsidRDefault="003B43A0" w:rsidP="003B43A0">
      <w:pPr>
        <w:ind w:firstLine="709"/>
        <w:jc w:val="both"/>
        <w:rPr>
          <w:sz w:val="28"/>
          <w:szCs w:val="28"/>
        </w:rPr>
      </w:pPr>
    </w:p>
    <w:p w:rsidR="003B43A0" w:rsidRPr="003B43A0" w:rsidRDefault="003B43A0" w:rsidP="003B43A0">
      <w:pPr>
        <w:ind w:firstLine="709"/>
        <w:jc w:val="both"/>
        <w:rPr>
          <w:sz w:val="28"/>
          <w:szCs w:val="28"/>
        </w:rPr>
      </w:pPr>
      <w:r w:rsidRPr="003B43A0">
        <w:rPr>
          <w:sz w:val="28"/>
          <w:szCs w:val="28"/>
        </w:rPr>
        <w:t>Таким образом, общая корректирующая сумма:</w:t>
      </w:r>
    </w:p>
    <w:p w:rsidR="003B43A0" w:rsidRPr="003B43A0" w:rsidRDefault="003B43A0" w:rsidP="003B43A0">
      <w:pPr>
        <w:ind w:firstLine="709"/>
        <w:jc w:val="both"/>
        <w:rPr>
          <w:sz w:val="28"/>
          <w:szCs w:val="28"/>
        </w:rPr>
      </w:pPr>
      <w:r w:rsidRPr="003B43A0">
        <w:rPr>
          <w:sz w:val="28"/>
          <w:szCs w:val="28"/>
        </w:rPr>
        <w:t>2021 год = 206 040 - 765 921 = - 559 881 тыс. руб.</w:t>
      </w:r>
    </w:p>
    <w:p w:rsidR="003B43A0" w:rsidRPr="003B43A0" w:rsidRDefault="003B43A0" w:rsidP="003B43A0">
      <w:pPr>
        <w:ind w:firstLine="709"/>
        <w:jc w:val="both"/>
        <w:rPr>
          <w:sz w:val="28"/>
          <w:szCs w:val="28"/>
        </w:rPr>
      </w:pPr>
      <w:r w:rsidRPr="003B43A0">
        <w:rPr>
          <w:sz w:val="28"/>
          <w:szCs w:val="28"/>
        </w:rPr>
        <w:t>2022 год = 206 040 - 805 749 = -599 709 тыс. руб.</w:t>
      </w:r>
    </w:p>
    <w:p w:rsidR="003B43A0" w:rsidRPr="003B43A0" w:rsidRDefault="003B43A0" w:rsidP="003B43A0">
      <w:pPr>
        <w:ind w:firstLine="709"/>
        <w:jc w:val="both"/>
        <w:rPr>
          <w:sz w:val="28"/>
          <w:szCs w:val="28"/>
        </w:rPr>
      </w:pPr>
      <w:r w:rsidRPr="003B43A0">
        <w:rPr>
          <w:sz w:val="28"/>
          <w:szCs w:val="28"/>
        </w:rPr>
        <w:t>2023 год = 206 040 - 846 037 + 6 188 002 – 1 687 541= 3 860 464 тыс. руб.</w:t>
      </w:r>
    </w:p>
    <w:p w:rsidR="003B43A0" w:rsidRPr="003B43A0" w:rsidRDefault="003B43A0" w:rsidP="003B43A0">
      <w:pPr>
        <w:ind w:firstLine="709"/>
        <w:jc w:val="both"/>
        <w:rPr>
          <w:sz w:val="28"/>
          <w:szCs w:val="28"/>
        </w:rPr>
      </w:pPr>
      <w:r w:rsidRPr="003B43A0">
        <w:rPr>
          <w:sz w:val="28"/>
          <w:szCs w:val="28"/>
        </w:rPr>
        <w:t>2024 год = 206 040 - 890 031+ 7 053 355- 2 228 860 = 4 140 504 тыс. руб.</w:t>
      </w:r>
    </w:p>
    <w:p w:rsidR="003B43A0" w:rsidRDefault="003B43A0" w:rsidP="003B43A0">
      <w:pPr>
        <w:ind w:firstLine="709"/>
        <w:jc w:val="both"/>
        <w:rPr>
          <w:sz w:val="28"/>
          <w:szCs w:val="28"/>
        </w:rPr>
      </w:pPr>
    </w:p>
    <w:p w:rsidR="009C79C8" w:rsidRPr="003B43A0" w:rsidRDefault="009C79C8" w:rsidP="003B43A0">
      <w:pPr>
        <w:ind w:firstLine="709"/>
        <w:jc w:val="both"/>
        <w:rPr>
          <w:sz w:val="28"/>
          <w:szCs w:val="28"/>
        </w:rPr>
      </w:pPr>
    </w:p>
    <w:p w:rsidR="003B43A0" w:rsidRDefault="003B43A0" w:rsidP="003B43A0">
      <w:pPr>
        <w:ind w:firstLine="709"/>
        <w:jc w:val="both"/>
        <w:rPr>
          <w:sz w:val="28"/>
          <w:szCs w:val="28"/>
        </w:rPr>
      </w:pPr>
      <w:r w:rsidRPr="003B43A0">
        <w:rPr>
          <w:sz w:val="28"/>
          <w:szCs w:val="28"/>
        </w:rPr>
        <w:t>Расчет прогноза по налогу на прибыль организаций по коду бюджетной классификации 000 1 01 01014 02 0000 110 «Налог на прибыль организаций консолидированных групп налогоплательщиков, зачисляемый в бюджеты субъектов Российской Федерации» на 2022 год и на плановый период 2023 и 2024 годов:</w:t>
      </w:r>
    </w:p>
    <w:tbl>
      <w:tblPr>
        <w:tblStyle w:val="a6"/>
        <w:tblW w:w="10031" w:type="dxa"/>
        <w:tblLayout w:type="fixed"/>
        <w:tblLook w:val="04A0" w:firstRow="1" w:lastRow="0" w:firstColumn="1" w:lastColumn="0" w:noHBand="0" w:noVBand="1"/>
      </w:tblPr>
      <w:tblGrid>
        <w:gridCol w:w="534"/>
        <w:gridCol w:w="3147"/>
        <w:gridCol w:w="1276"/>
        <w:gridCol w:w="1275"/>
        <w:gridCol w:w="1247"/>
        <w:gridCol w:w="1276"/>
        <w:gridCol w:w="1276"/>
      </w:tblGrid>
      <w:tr w:rsidR="003B43A0" w:rsidTr="00A33E59">
        <w:trPr>
          <w:trHeight w:val="542"/>
        </w:trPr>
        <w:tc>
          <w:tcPr>
            <w:tcW w:w="534" w:type="dxa"/>
            <w:vMerge w:val="restart"/>
            <w:tcBorders>
              <w:top w:val="single" w:sz="4" w:space="0" w:color="auto"/>
              <w:left w:val="single" w:sz="4" w:space="0" w:color="auto"/>
              <w:bottom w:val="single" w:sz="4" w:space="0" w:color="auto"/>
              <w:right w:val="single" w:sz="4" w:space="0" w:color="auto"/>
            </w:tcBorders>
            <w:vAlign w:val="center"/>
            <w:hideMark/>
          </w:tcPr>
          <w:p w:rsidR="003B43A0" w:rsidRDefault="003B43A0" w:rsidP="00A33E59">
            <w:pPr>
              <w:jc w:val="center"/>
              <w:outlineLvl w:val="0"/>
              <w:rPr>
                <w:sz w:val="28"/>
                <w:szCs w:val="28"/>
              </w:rPr>
            </w:pPr>
            <w:r>
              <w:rPr>
                <w:sz w:val="28"/>
                <w:szCs w:val="28"/>
              </w:rPr>
              <w:lastRenderedPageBreak/>
              <w:t>№№</w:t>
            </w:r>
          </w:p>
        </w:tc>
        <w:tc>
          <w:tcPr>
            <w:tcW w:w="3147" w:type="dxa"/>
            <w:vMerge w:val="restart"/>
            <w:tcBorders>
              <w:top w:val="single" w:sz="4" w:space="0" w:color="auto"/>
              <w:left w:val="single" w:sz="4" w:space="0" w:color="auto"/>
              <w:bottom w:val="single" w:sz="4" w:space="0" w:color="auto"/>
              <w:right w:val="single" w:sz="4" w:space="0" w:color="auto"/>
            </w:tcBorders>
            <w:vAlign w:val="center"/>
            <w:hideMark/>
          </w:tcPr>
          <w:p w:rsidR="003B43A0" w:rsidRDefault="003B43A0" w:rsidP="00A33E59">
            <w:pPr>
              <w:ind w:firstLine="0"/>
              <w:jc w:val="center"/>
              <w:outlineLvl w:val="0"/>
              <w:rPr>
                <w:sz w:val="28"/>
                <w:szCs w:val="28"/>
              </w:rPr>
            </w:pPr>
            <w:r>
              <w:rPr>
                <w:sz w:val="28"/>
                <w:szCs w:val="28"/>
              </w:rPr>
              <w:t>Наименование показателя</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3B43A0" w:rsidRDefault="003B43A0" w:rsidP="00A33E59">
            <w:pPr>
              <w:ind w:firstLine="0"/>
              <w:jc w:val="center"/>
              <w:outlineLvl w:val="0"/>
              <w:rPr>
                <w:sz w:val="28"/>
                <w:szCs w:val="28"/>
              </w:rPr>
            </w:pPr>
            <w:r>
              <w:rPr>
                <w:sz w:val="28"/>
                <w:szCs w:val="28"/>
              </w:rPr>
              <w:t>Факт 2020 год</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3B43A0" w:rsidRDefault="003B43A0" w:rsidP="00A33E59">
            <w:pPr>
              <w:ind w:firstLine="0"/>
              <w:jc w:val="center"/>
              <w:outlineLvl w:val="0"/>
              <w:rPr>
                <w:sz w:val="28"/>
                <w:szCs w:val="28"/>
              </w:rPr>
            </w:pPr>
            <w:r>
              <w:rPr>
                <w:sz w:val="28"/>
                <w:szCs w:val="28"/>
              </w:rPr>
              <w:t>Оценка 2021 год</w:t>
            </w:r>
          </w:p>
        </w:tc>
        <w:tc>
          <w:tcPr>
            <w:tcW w:w="3799" w:type="dxa"/>
            <w:gridSpan w:val="3"/>
            <w:tcBorders>
              <w:top w:val="single" w:sz="4" w:space="0" w:color="auto"/>
              <w:left w:val="single" w:sz="4" w:space="0" w:color="auto"/>
              <w:bottom w:val="single" w:sz="4" w:space="0" w:color="auto"/>
              <w:right w:val="single" w:sz="4" w:space="0" w:color="auto"/>
            </w:tcBorders>
            <w:vAlign w:val="center"/>
            <w:hideMark/>
          </w:tcPr>
          <w:p w:rsidR="003B43A0" w:rsidRDefault="003B43A0" w:rsidP="00A33E59">
            <w:pPr>
              <w:jc w:val="center"/>
              <w:outlineLvl w:val="0"/>
              <w:rPr>
                <w:sz w:val="28"/>
                <w:szCs w:val="28"/>
              </w:rPr>
            </w:pPr>
            <w:r>
              <w:rPr>
                <w:sz w:val="28"/>
                <w:szCs w:val="28"/>
              </w:rPr>
              <w:t>Прогноз</w:t>
            </w:r>
          </w:p>
        </w:tc>
      </w:tr>
      <w:tr w:rsidR="003B43A0" w:rsidTr="00A33E59">
        <w:tc>
          <w:tcPr>
            <w:tcW w:w="534" w:type="dxa"/>
            <w:vMerge/>
            <w:tcBorders>
              <w:top w:val="single" w:sz="4" w:space="0" w:color="auto"/>
              <w:left w:val="single" w:sz="4" w:space="0" w:color="auto"/>
              <w:bottom w:val="single" w:sz="4" w:space="0" w:color="auto"/>
              <w:right w:val="single" w:sz="4" w:space="0" w:color="auto"/>
            </w:tcBorders>
            <w:vAlign w:val="center"/>
            <w:hideMark/>
          </w:tcPr>
          <w:p w:rsidR="003B43A0" w:rsidRDefault="003B43A0" w:rsidP="00A33E59">
            <w:pPr>
              <w:rPr>
                <w:sz w:val="28"/>
                <w:szCs w:val="28"/>
              </w:rPr>
            </w:pPr>
          </w:p>
        </w:tc>
        <w:tc>
          <w:tcPr>
            <w:tcW w:w="3147" w:type="dxa"/>
            <w:vMerge/>
            <w:tcBorders>
              <w:top w:val="single" w:sz="4" w:space="0" w:color="auto"/>
              <w:left w:val="single" w:sz="4" w:space="0" w:color="auto"/>
              <w:bottom w:val="single" w:sz="4" w:space="0" w:color="auto"/>
              <w:right w:val="single" w:sz="4" w:space="0" w:color="auto"/>
            </w:tcBorders>
            <w:vAlign w:val="center"/>
            <w:hideMark/>
          </w:tcPr>
          <w:p w:rsidR="003B43A0" w:rsidRDefault="003B43A0" w:rsidP="00A33E59">
            <w:pPr>
              <w:rPr>
                <w:sz w:val="28"/>
                <w:szCs w:val="2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B43A0" w:rsidRDefault="003B43A0" w:rsidP="00A33E59">
            <w:pPr>
              <w:rPr>
                <w:sz w:val="28"/>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B43A0" w:rsidRDefault="003B43A0" w:rsidP="00A33E59">
            <w:pPr>
              <w:rPr>
                <w:sz w:val="28"/>
                <w:szCs w:val="28"/>
              </w:rPr>
            </w:pPr>
          </w:p>
        </w:tc>
        <w:tc>
          <w:tcPr>
            <w:tcW w:w="1247" w:type="dxa"/>
            <w:tcBorders>
              <w:top w:val="single" w:sz="4" w:space="0" w:color="auto"/>
              <w:left w:val="single" w:sz="4" w:space="0" w:color="auto"/>
              <w:bottom w:val="single" w:sz="4" w:space="0" w:color="auto"/>
              <w:right w:val="single" w:sz="4" w:space="0" w:color="auto"/>
            </w:tcBorders>
            <w:vAlign w:val="center"/>
            <w:hideMark/>
          </w:tcPr>
          <w:p w:rsidR="003B43A0" w:rsidRDefault="003B43A0" w:rsidP="00A33E59">
            <w:pPr>
              <w:ind w:firstLine="0"/>
              <w:jc w:val="center"/>
              <w:outlineLvl w:val="0"/>
              <w:rPr>
                <w:sz w:val="28"/>
                <w:szCs w:val="28"/>
              </w:rPr>
            </w:pPr>
            <w:r>
              <w:rPr>
                <w:sz w:val="28"/>
                <w:szCs w:val="28"/>
              </w:rPr>
              <w:t>2022 год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3B43A0" w:rsidRDefault="003B43A0" w:rsidP="00A33E59">
            <w:pPr>
              <w:ind w:firstLine="0"/>
              <w:jc w:val="center"/>
              <w:outlineLvl w:val="0"/>
              <w:rPr>
                <w:sz w:val="28"/>
                <w:szCs w:val="28"/>
              </w:rPr>
            </w:pPr>
            <w:r>
              <w:rPr>
                <w:sz w:val="28"/>
                <w:szCs w:val="28"/>
              </w:rPr>
              <w:t>2023 год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3B43A0" w:rsidRDefault="003B43A0" w:rsidP="00A33E59">
            <w:pPr>
              <w:ind w:firstLine="0"/>
              <w:jc w:val="center"/>
              <w:outlineLvl w:val="0"/>
              <w:rPr>
                <w:sz w:val="28"/>
                <w:szCs w:val="28"/>
              </w:rPr>
            </w:pPr>
            <w:r>
              <w:rPr>
                <w:sz w:val="28"/>
                <w:szCs w:val="28"/>
              </w:rPr>
              <w:t>2024 год</w:t>
            </w:r>
          </w:p>
        </w:tc>
      </w:tr>
      <w:tr w:rsidR="003B43A0" w:rsidTr="00A33E59">
        <w:trPr>
          <w:trHeight w:val="132"/>
        </w:trPr>
        <w:tc>
          <w:tcPr>
            <w:tcW w:w="534" w:type="dxa"/>
            <w:tcBorders>
              <w:top w:val="single" w:sz="4" w:space="0" w:color="auto"/>
              <w:left w:val="single" w:sz="4" w:space="0" w:color="auto"/>
              <w:bottom w:val="single" w:sz="4" w:space="0" w:color="auto"/>
              <w:right w:val="single" w:sz="4" w:space="0" w:color="auto"/>
            </w:tcBorders>
            <w:hideMark/>
          </w:tcPr>
          <w:p w:rsidR="003B43A0" w:rsidRDefault="003B43A0" w:rsidP="00A33E59">
            <w:pPr>
              <w:ind w:firstLine="0"/>
              <w:jc w:val="center"/>
              <w:outlineLvl w:val="0"/>
            </w:pPr>
            <w:r>
              <w:t>1</w:t>
            </w:r>
          </w:p>
        </w:tc>
        <w:tc>
          <w:tcPr>
            <w:tcW w:w="3147" w:type="dxa"/>
            <w:tcBorders>
              <w:top w:val="single" w:sz="4" w:space="0" w:color="auto"/>
              <w:left w:val="single" w:sz="4" w:space="0" w:color="auto"/>
              <w:bottom w:val="single" w:sz="4" w:space="0" w:color="auto"/>
              <w:right w:val="single" w:sz="4" w:space="0" w:color="auto"/>
            </w:tcBorders>
            <w:hideMark/>
          </w:tcPr>
          <w:p w:rsidR="003B43A0" w:rsidRDefault="003B43A0" w:rsidP="00A33E59">
            <w:pPr>
              <w:ind w:firstLine="0"/>
              <w:jc w:val="center"/>
              <w:outlineLvl w:val="0"/>
            </w:pPr>
            <w:r>
              <w:t>2</w:t>
            </w:r>
          </w:p>
        </w:tc>
        <w:tc>
          <w:tcPr>
            <w:tcW w:w="1276" w:type="dxa"/>
            <w:tcBorders>
              <w:top w:val="single" w:sz="4" w:space="0" w:color="auto"/>
              <w:left w:val="single" w:sz="4" w:space="0" w:color="auto"/>
              <w:bottom w:val="single" w:sz="4" w:space="0" w:color="auto"/>
              <w:right w:val="single" w:sz="4" w:space="0" w:color="auto"/>
            </w:tcBorders>
            <w:hideMark/>
          </w:tcPr>
          <w:p w:rsidR="003B43A0" w:rsidRDefault="003B43A0" w:rsidP="00A33E59">
            <w:pPr>
              <w:ind w:firstLine="0"/>
              <w:jc w:val="center"/>
              <w:outlineLvl w:val="0"/>
            </w:pPr>
            <w:r>
              <w:t>3</w:t>
            </w:r>
          </w:p>
        </w:tc>
        <w:tc>
          <w:tcPr>
            <w:tcW w:w="1275" w:type="dxa"/>
            <w:tcBorders>
              <w:top w:val="single" w:sz="4" w:space="0" w:color="auto"/>
              <w:left w:val="single" w:sz="4" w:space="0" w:color="auto"/>
              <w:bottom w:val="single" w:sz="4" w:space="0" w:color="auto"/>
              <w:right w:val="single" w:sz="4" w:space="0" w:color="auto"/>
            </w:tcBorders>
            <w:hideMark/>
          </w:tcPr>
          <w:p w:rsidR="003B43A0" w:rsidRDefault="003B43A0" w:rsidP="00A33E59">
            <w:pPr>
              <w:ind w:firstLine="0"/>
              <w:jc w:val="center"/>
              <w:outlineLvl w:val="0"/>
            </w:pPr>
            <w:r>
              <w:t>4</w:t>
            </w:r>
          </w:p>
        </w:tc>
        <w:tc>
          <w:tcPr>
            <w:tcW w:w="1247" w:type="dxa"/>
            <w:tcBorders>
              <w:top w:val="single" w:sz="4" w:space="0" w:color="auto"/>
              <w:left w:val="single" w:sz="4" w:space="0" w:color="auto"/>
              <w:bottom w:val="single" w:sz="4" w:space="0" w:color="auto"/>
              <w:right w:val="single" w:sz="4" w:space="0" w:color="auto"/>
            </w:tcBorders>
            <w:hideMark/>
          </w:tcPr>
          <w:p w:rsidR="003B43A0" w:rsidRDefault="003B43A0" w:rsidP="00A33E59">
            <w:pPr>
              <w:ind w:firstLine="0"/>
              <w:jc w:val="center"/>
              <w:outlineLvl w:val="0"/>
            </w:pPr>
            <w:r>
              <w:t>5</w:t>
            </w:r>
          </w:p>
        </w:tc>
        <w:tc>
          <w:tcPr>
            <w:tcW w:w="1276" w:type="dxa"/>
            <w:tcBorders>
              <w:top w:val="single" w:sz="4" w:space="0" w:color="auto"/>
              <w:left w:val="single" w:sz="4" w:space="0" w:color="auto"/>
              <w:bottom w:val="single" w:sz="4" w:space="0" w:color="auto"/>
              <w:right w:val="single" w:sz="4" w:space="0" w:color="auto"/>
            </w:tcBorders>
            <w:hideMark/>
          </w:tcPr>
          <w:p w:rsidR="003B43A0" w:rsidRDefault="003B43A0" w:rsidP="00A33E59">
            <w:pPr>
              <w:ind w:firstLine="0"/>
              <w:jc w:val="center"/>
              <w:outlineLvl w:val="0"/>
            </w:pPr>
            <w:r>
              <w:t>6</w:t>
            </w:r>
          </w:p>
        </w:tc>
        <w:tc>
          <w:tcPr>
            <w:tcW w:w="1276" w:type="dxa"/>
            <w:tcBorders>
              <w:top w:val="single" w:sz="4" w:space="0" w:color="auto"/>
              <w:left w:val="single" w:sz="4" w:space="0" w:color="auto"/>
              <w:bottom w:val="single" w:sz="4" w:space="0" w:color="auto"/>
              <w:right w:val="single" w:sz="4" w:space="0" w:color="auto"/>
            </w:tcBorders>
            <w:hideMark/>
          </w:tcPr>
          <w:p w:rsidR="003B43A0" w:rsidRDefault="003B43A0" w:rsidP="00A33E59">
            <w:pPr>
              <w:ind w:firstLine="0"/>
              <w:jc w:val="center"/>
              <w:outlineLvl w:val="0"/>
            </w:pPr>
            <w:r>
              <w:t>7</w:t>
            </w:r>
          </w:p>
        </w:tc>
      </w:tr>
      <w:tr w:rsidR="003B43A0" w:rsidTr="00A33E59">
        <w:tc>
          <w:tcPr>
            <w:tcW w:w="534" w:type="dxa"/>
            <w:tcBorders>
              <w:top w:val="single" w:sz="4" w:space="0" w:color="auto"/>
              <w:left w:val="single" w:sz="4" w:space="0" w:color="auto"/>
              <w:bottom w:val="single" w:sz="4" w:space="0" w:color="auto"/>
              <w:right w:val="single" w:sz="4" w:space="0" w:color="auto"/>
            </w:tcBorders>
            <w:vAlign w:val="center"/>
            <w:hideMark/>
          </w:tcPr>
          <w:p w:rsidR="003B43A0" w:rsidRDefault="003B43A0" w:rsidP="00A33E59">
            <w:pPr>
              <w:jc w:val="center"/>
              <w:outlineLvl w:val="0"/>
            </w:pPr>
            <w:r>
              <w:t>11</w:t>
            </w:r>
          </w:p>
        </w:tc>
        <w:tc>
          <w:tcPr>
            <w:tcW w:w="3147" w:type="dxa"/>
            <w:tcBorders>
              <w:top w:val="single" w:sz="4" w:space="0" w:color="auto"/>
              <w:left w:val="single" w:sz="4" w:space="0" w:color="auto"/>
              <w:bottom w:val="single" w:sz="4" w:space="0" w:color="auto"/>
              <w:right w:val="single" w:sz="4" w:space="0" w:color="auto"/>
            </w:tcBorders>
          </w:tcPr>
          <w:p w:rsidR="003B43A0" w:rsidRDefault="003B43A0" w:rsidP="00A33E59">
            <w:pPr>
              <w:ind w:firstLine="33"/>
              <w:outlineLvl w:val="0"/>
            </w:pPr>
            <w:r>
              <w:t xml:space="preserve">Налоговая база (данные отчета 5-КГНМ) (НБ 5-КГНМ), </w:t>
            </w:r>
            <w:r>
              <w:rPr>
                <w:b/>
              </w:rPr>
              <w:t xml:space="preserve">НБ </w:t>
            </w:r>
            <w:r>
              <w:rPr>
                <w:b/>
                <w:sz w:val="16"/>
                <w:szCs w:val="16"/>
              </w:rPr>
              <w:t>КГНМ</w:t>
            </w:r>
          </w:p>
          <w:p w:rsidR="003B43A0" w:rsidRDefault="003B43A0" w:rsidP="00A33E59">
            <w:pPr>
              <w:ind w:firstLine="33"/>
              <w:outlineLvl w:val="0"/>
            </w:pPr>
            <w:r>
              <w:t>всего тыс. руб.</w:t>
            </w:r>
          </w:p>
          <w:p w:rsidR="003B43A0" w:rsidRDefault="003B43A0" w:rsidP="00A33E59">
            <w:pPr>
              <w:ind w:firstLine="33"/>
              <w:outlineLvl w:val="0"/>
            </w:pPr>
          </w:p>
        </w:tc>
        <w:tc>
          <w:tcPr>
            <w:tcW w:w="1276" w:type="dxa"/>
            <w:tcBorders>
              <w:top w:val="single" w:sz="4" w:space="0" w:color="auto"/>
              <w:left w:val="single" w:sz="4" w:space="0" w:color="auto"/>
              <w:bottom w:val="single" w:sz="4" w:space="0" w:color="auto"/>
              <w:right w:val="single" w:sz="4" w:space="0" w:color="auto"/>
            </w:tcBorders>
            <w:vAlign w:val="center"/>
            <w:hideMark/>
          </w:tcPr>
          <w:p w:rsidR="003B43A0" w:rsidRDefault="003B43A0" w:rsidP="00A33E59">
            <w:pPr>
              <w:ind w:left="-105" w:right="-112" w:firstLine="0"/>
              <w:jc w:val="center"/>
              <w:outlineLvl w:val="0"/>
            </w:pPr>
            <w:r>
              <w:t>31 627 042</w:t>
            </w:r>
          </w:p>
        </w:tc>
        <w:tc>
          <w:tcPr>
            <w:tcW w:w="1275" w:type="dxa"/>
            <w:tcBorders>
              <w:top w:val="single" w:sz="4" w:space="0" w:color="auto"/>
              <w:left w:val="single" w:sz="4" w:space="0" w:color="auto"/>
              <w:bottom w:val="single" w:sz="4" w:space="0" w:color="auto"/>
              <w:right w:val="single" w:sz="4" w:space="0" w:color="auto"/>
            </w:tcBorders>
            <w:vAlign w:val="center"/>
            <w:hideMark/>
          </w:tcPr>
          <w:p w:rsidR="003B43A0" w:rsidRDefault="003B43A0" w:rsidP="00A33E59">
            <w:pPr>
              <w:ind w:left="-108" w:right="-108" w:firstLine="0"/>
              <w:jc w:val="center"/>
              <w:outlineLvl w:val="0"/>
            </w:pPr>
            <w:r>
              <w:t>34 252 086</w:t>
            </w:r>
          </w:p>
        </w:tc>
        <w:tc>
          <w:tcPr>
            <w:tcW w:w="1247" w:type="dxa"/>
            <w:tcBorders>
              <w:top w:val="single" w:sz="4" w:space="0" w:color="auto"/>
              <w:left w:val="single" w:sz="4" w:space="0" w:color="auto"/>
              <w:bottom w:val="single" w:sz="4" w:space="0" w:color="auto"/>
              <w:right w:val="single" w:sz="4" w:space="0" w:color="auto"/>
            </w:tcBorders>
            <w:vAlign w:val="center"/>
            <w:hideMark/>
          </w:tcPr>
          <w:p w:rsidR="003B43A0" w:rsidRDefault="003B43A0" w:rsidP="00A33E59">
            <w:pPr>
              <w:ind w:left="-252" w:right="-141" w:firstLine="69"/>
              <w:jc w:val="center"/>
              <w:outlineLvl w:val="0"/>
            </w:pPr>
            <w:r>
              <w:t>36 341 463</w:t>
            </w:r>
          </w:p>
        </w:tc>
        <w:tc>
          <w:tcPr>
            <w:tcW w:w="1276" w:type="dxa"/>
            <w:tcBorders>
              <w:top w:val="single" w:sz="4" w:space="0" w:color="auto"/>
              <w:left w:val="single" w:sz="4" w:space="0" w:color="auto"/>
              <w:bottom w:val="single" w:sz="4" w:space="0" w:color="auto"/>
              <w:right w:val="single" w:sz="4" w:space="0" w:color="auto"/>
            </w:tcBorders>
            <w:vAlign w:val="center"/>
            <w:hideMark/>
          </w:tcPr>
          <w:p w:rsidR="003B43A0" w:rsidRDefault="003B43A0" w:rsidP="00A33E59">
            <w:pPr>
              <w:ind w:hanging="74"/>
              <w:jc w:val="center"/>
              <w:outlineLvl w:val="0"/>
            </w:pPr>
            <w:r>
              <w:t>х</w:t>
            </w:r>
          </w:p>
        </w:tc>
        <w:tc>
          <w:tcPr>
            <w:tcW w:w="1276" w:type="dxa"/>
            <w:tcBorders>
              <w:top w:val="single" w:sz="4" w:space="0" w:color="auto"/>
              <w:left w:val="single" w:sz="4" w:space="0" w:color="auto"/>
              <w:bottom w:val="single" w:sz="4" w:space="0" w:color="auto"/>
              <w:right w:val="single" w:sz="4" w:space="0" w:color="auto"/>
            </w:tcBorders>
            <w:vAlign w:val="center"/>
            <w:hideMark/>
          </w:tcPr>
          <w:p w:rsidR="003B43A0" w:rsidRDefault="003B43A0" w:rsidP="00A33E59">
            <w:pPr>
              <w:ind w:firstLine="0"/>
              <w:jc w:val="center"/>
              <w:outlineLvl w:val="0"/>
            </w:pPr>
            <w:r>
              <w:t>х</w:t>
            </w:r>
          </w:p>
        </w:tc>
      </w:tr>
      <w:tr w:rsidR="003B43A0" w:rsidTr="00A33E59">
        <w:tc>
          <w:tcPr>
            <w:tcW w:w="534" w:type="dxa"/>
            <w:tcBorders>
              <w:top w:val="single" w:sz="4" w:space="0" w:color="auto"/>
              <w:left w:val="single" w:sz="4" w:space="0" w:color="auto"/>
              <w:bottom w:val="single" w:sz="4" w:space="0" w:color="auto"/>
              <w:right w:val="single" w:sz="4" w:space="0" w:color="auto"/>
            </w:tcBorders>
            <w:vAlign w:val="center"/>
            <w:hideMark/>
          </w:tcPr>
          <w:p w:rsidR="003B43A0" w:rsidRDefault="003B43A0" w:rsidP="00A33E59">
            <w:pPr>
              <w:ind w:firstLine="0"/>
              <w:jc w:val="center"/>
              <w:outlineLvl w:val="0"/>
            </w:pPr>
            <w:r>
              <w:t>2</w:t>
            </w:r>
          </w:p>
          <w:p w:rsidR="003B43A0" w:rsidRDefault="003B43A0" w:rsidP="00A33E59">
            <w:pPr>
              <w:jc w:val="left"/>
              <w:outlineLvl w:val="0"/>
            </w:pPr>
          </w:p>
        </w:tc>
        <w:tc>
          <w:tcPr>
            <w:tcW w:w="3147" w:type="dxa"/>
            <w:tcBorders>
              <w:top w:val="single" w:sz="4" w:space="0" w:color="auto"/>
              <w:left w:val="single" w:sz="4" w:space="0" w:color="auto"/>
              <w:bottom w:val="single" w:sz="4" w:space="0" w:color="auto"/>
              <w:right w:val="single" w:sz="4" w:space="0" w:color="auto"/>
            </w:tcBorders>
            <w:hideMark/>
          </w:tcPr>
          <w:p w:rsidR="003B43A0" w:rsidRDefault="003B43A0" w:rsidP="00A33E59">
            <w:pPr>
              <w:ind w:firstLine="33"/>
              <w:outlineLvl w:val="0"/>
            </w:pPr>
            <w:r>
              <w:t xml:space="preserve">Темп роста налоговой базы, </w:t>
            </w:r>
          </w:p>
          <w:p w:rsidR="003B43A0" w:rsidRDefault="003B43A0" w:rsidP="00A33E59">
            <w:pPr>
              <w:ind w:firstLine="33"/>
              <w:outlineLvl w:val="0"/>
            </w:pPr>
            <w:r>
              <w:rPr>
                <w:b/>
              </w:rPr>
              <w:t>Тр</w:t>
            </w:r>
            <w:r>
              <w:rPr>
                <w:b/>
                <w:sz w:val="16"/>
                <w:szCs w:val="16"/>
              </w:rPr>
              <w:t xml:space="preserve">, </w:t>
            </w:r>
            <w:r>
              <w:t>% (данные среднесрочного прогноза социально-экономического развития Российской Федерации по показателю «Прибыль прибыльных организаций для целей бухгалтерского учета»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3B43A0" w:rsidRPr="00B267EF" w:rsidRDefault="00B267EF" w:rsidP="00A33E59">
            <w:pPr>
              <w:ind w:firstLine="41"/>
              <w:jc w:val="center"/>
              <w:outlineLvl w:val="0"/>
              <w:rPr>
                <w:lang w:val="en-US"/>
              </w:rPr>
            </w:pPr>
            <w:r>
              <w:rPr>
                <w:lang w:val="en-US"/>
              </w:rPr>
              <w:t>x</w:t>
            </w:r>
          </w:p>
        </w:tc>
        <w:tc>
          <w:tcPr>
            <w:tcW w:w="1275" w:type="dxa"/>
            <w:tcBorders>
              <w:top w:val="single" w:sz="4" w:space="0" w:color="auto"/>
              <w:left w:val="single" w:sz="4" w:space="0" w:color="auto"/>
              <w:bottom w:val="single" w:sz="4" w:space="0" w:color="auto"/>
              <w:right w:val="single" w:sz="4" w:space="0" w:color="auto"/>
            </w:tcBorders>
            <w:vAlign w:val="center"/>
            <w:hideMark/>
          </w:tcPr>
          <w:p w:rsidR="003B43A0" w:rsidRDefault="003B43A0" w:rsidP="00A33E59">
            <w:pPr>
              <w:ind w:firstLine="33"/>
              <w:jc w:val="center"/>
              <w:outlineLvl w:val="0"/>
            </w:pPr>
            <w:r>
              <w:t>108,3</w:t>
            </w:r>
          </w:p>
        </w:tc>
        <w:tc>
          <w:tcPr>
            <w:tcW w:w="1247" w:type="dxa"/>
            <w:tcBorders>
              <w:top w:val="single" w:sz="4" w:space="0" w:color="auto"/>
              <w:left w:val="single" w:sz="4" w:space="0" w:color="auto"/>
              <w:bottom w:val="single" w:sz="4" w:space="0" w:color="auto"/>
              <w:right w:val="single" w:sz="4" w:space="0" w:color="auto"/>
            </w:tcBorders>
            <w:vAlign w:val="center"/>
            <w:hideMark/>
          </w:tcPr>
          <w:p w:rsidR="003B43A0" w:rsidRPr="00357C68" w:rsidRDefault="003B43A0" w:rsidP="00A33E59">
            <w:pPr>
              <w:ind w:firstLine="33"/>
              <w:jc w:val="center"/>
              <w:outlineLvl w:val="0"/>
              <w:rPr>
                <w:lang w:val="en-US"/>
              </w:rPr>
            </w:pPr>
            <w:r>
              <w:t>106,1</w:t>
            </w:r>
          </w:p>
        </w:tc>
        <w:tc>
          <w:tcPr>
            <w:tcW w:w="1276" w:type="dxa"/>
            <w:tcBorders>
              <w:top w:val="single" w:sz="4" w:space="0" w:color="auto"/>
              <w:left w:val="single" w:sz="4" w:space="0" w:color="auto"/>
              <w:bottom w:val="single" w:sz="4" w:space="0" w:color="auto"/>
              <w:right w:val="single" w:sz="4" w:space="0" w:color="auto"/>
            </w:tcBorders>
            <w:vAlign w:val="center"/>
            <w:hideMark/>
          </w:tcPr>
          <w:p w:rsidR="003B43A0" w:rsidRDefault="003B43A0" w:rsidP="00A33E59">
            <w:pPr>
              <w:ind w:firstLine="33"/>
              <w:jc w:val="center"/>
              <w:outlineLvl w:val="0"/>
            </w:pPr>
            <w:r>
              <w:rPr>
                <w:lang w:val="en-US"/>
              </w:rPr>
              <w:t>x</w:t>
            </w:r>
          </w:p>
        </w:tc>
        <w:tc>
          <w:tcPr>
            <w:tcW w:w="1276" w:type="dxa"/>
            <w:tcBorders>
              <w:top w:val="single" w:sz="4" w:space="0" w:color="auto"/>
              <w:left w:val="single" w:sz="4" w:space="0" w:color="auto"/>
              <w:bottom w:val="single" w:sz="4" w:space="0" w:color="auto"/>
              <w:right w:val="single" w:sz="4" w:space="0" w:color="auto"/>
            </w:tcBorders>
            <w:vAlign w:val="center"/>
            <w:hideMark/>
          </w:tcPr>
          <w:p w:rsidR="003B43A0" w:rsidRPr="00436B97" w:rsidRDefault="003B43A0" w:rsidP="00A33E59">
            <w:pPr>
              <w:ind w:firstLine="33"/>
              <w:jc w:val="center"/>
              <w:outlineLvl w:val="0"/>
              <w:rPr>
                <w:lang w:val="en-US"/>
              </w:rPr>
            </w:pPr>
            <w:r>
              <w:rPr>
                <w:lang w:val="en-US"/>
              </w:rPr>
              <w:t>x</w:t>
            </w:r>
          </w:p>
        </w:tc>
      </w:tr>
      <w:tr w:rsidR="003B43A0" w:rsidTr="00A33E59">
        <w:tc>
          <w:tcPr>
            <w:tcW w:w="534" w:type="dxa"/>
            <w:tcBorders>
              <w:top w:val="single" w:sz="4" w:space="0" w:color="auto"/>
              <w:left w:val="single" w:sz="4" w:space="0" w:color="auto"/>
              <w:bottom w:val="single" w:sz="4" w:space="0" w:color="auto"/>
              <w:right w:val="single" w:sz="4" w:space="0" w:color="auto"/>
            </w:tcBorders>
            <w:vAlign w:val="center"/>
          </w:tcPr>
          <w:p w:rsidR="003B43A0" w:rsidRPr="00436B97" w:rsidRDefault="003B43A0" w:rsidP="00A33E59">
            <w:pPr>
              <w:ind w:firstLine="0"/>
              <w:jc w:val="center"/>
              <w:outlineLvl w:val="0"/>
            </w:pPr>
            <w:r>
              <w:t>3</w:t>
            </w:r>
          </w:p>
        </w:tc>
        <w:tc>
          <w:tcPr>
            <w:tcW w:w="3147" w:type="dxa"/>
            <w:tcBorders>
              <w:top w:val="single" w:sz="4" w:space="0" w:color="auto"/>
              <w:left w:val="single" w:sz="4" w:space="0" w:color="auto"/>
              <w:bottom w:val="single" w:sz="4" w:space="0" w:color="auto"/>
              <w:right w:val="single" w:sz="4" w:space="0" w:color="auto"/>
            </w:tcBorders>
          </w:tcPr>
          <w:p w:rsidR="003B43A0" w:rsidRPr="00436B97" w:rsidRDefault="003B43A0" w:rsidP="00A33E59">
            <w:pPr>
              <w:ind w:firstLine="33"/>
              <w:outlineLvl w:val="0"/>
            </w:pPr>
            <w:r>
              <w:t>Сумма исчисленного налога (налоговая база*ставку), тыс. руб.</w:t>
            </w:r>
          </w:p>
        </w:tc>
        <w:tc>
          <w:tcPr>
            <w:tcW w:w="1276" w:type="dxa"/>
            <w:tcBorders>
              <w:top w:val="single" w:sz="4" w:space="0" w:color="auto"/>
              <w:left w:val="single" w:sz="4" w:space="0" w:color="auto"/>
              <w:bottom w:val="single" w:sz="4" w:space="0" w:color="auto"/>
              <w:right w:val="single" w:sz="4" w:space="0" w:color="auto"/>
            </w:tcBorders>
            <w:vAlign w:val="center"/>
          </w:tcPr>
          <w:p w:rsidR="003B43A0" w:rsidRPr="00B267EF" w:rsidRDefault="003B43A0" w:rsidP="00B267EF">
            <w:pPr>
              <w:ind w:firstLine="41"/>
              <w:jc w:val="center"/>
              <w:outlineLvl w:val="0"/>
              <w:rPr>
                <w:lang w:val="en-US"/>
              </w:rPr>
            </w:pPr>
            <w:r>
              <w:t>5 376 59</w:t>
            </w:r>
            <w:r w:rsidR="00B267EF">
              <w:rPr>
                <w:lang w:val="en-US"/>
              </w:rPr>
              <w:t>7</w:t>
            </w:r>
          </w:p>
        </w:tc>
        <w:tc>
          <w:tcPr>
            <w:tcW w:w="1275" w:type="dxa"/>
            <w:tcBorders>
              <w:top w:val="single" w:sz="4" w:space="0" w:color="auto"/>
              <w:left w:val="single" w:sz="4" w:space="0" w:color="auto"/>
              <w:bottom w:val="single" w:sz="4" w:space="0" w:color="auto"/>
              <w:right w:val="single" w:sz="4" w:space="0" w:color="auto"/>
            </w:tcBorders>
            <w:vAlign w:val="center"/>
          </w:tcPr>
          <w:p w:rsidR="003B43A0" w:rsidRDefault="003B43A0" w:rsidP="00A33E59">
            <w:pPr>
              <w:ind w:left="-222" w:right="-281" w:firstLine="0"/>
              <w:jc w:val="center"/>
              <w:outlineLvl w:val="0"/>
            </w:pPr>
            <w:r>
              <w:t>5 822 855</w:t>
            </w:r>
          </w:p>
        </w:tc>
        <w:tc>
          <w:tcPr>
            <w:tcW w:w="1247" w:type="dxa"/>
            <w:tcBorders>
              <w:top w:val="single" w:sz="4" w:space="0" w:color="auto"/>
              <w:left w:val="single" w:sz="4" w:space="0" w:color="auto"/>
              <w:bottom w:val="single" w:sz="4" w:space="0" w:color="auto"/>
              <w:right w:val="single" w:sz="4" w:space="0" w:color="auto"/>
            </w:tcBorders>
            <w:vAlign w:val="center"/>
          </w:tcPr>
          <w:p w:rsidR="003B43A0" w:rsidRDefault="003B43A0" w:rsidP="00A33E59">
            <w:pPr>
              <w:ind w:left="-114" w:firstLine="114"/>
              <w:jc w:val="center"/>
              <w:outlineLvl w:val="0"/>
            </w:pPr>
            <w:r>
              <w:t>6 178 049</w:t>
            </w:r>
          </w:p>
        </w:tc>
        <w:tc>
          <w:tcPr>
            <w:tcW w:w="1276" w:type="dxa"/>
            <w:tcBorders>
              <w:top w:val="single" w:sz="4" w:space="0" w:color="auto"/>
              <w:left w:val="single" w:sz="4" w:space="0" w:color="auto"/>
              <w:bottom w:val="single" w:sz="4" w:space="0" w:color="auto"/>
              <w:right w:val="single" w:sz="4" w:space="0" w:color="auto"/>
            </w:tcBorders>
            <w:vAlign w:val="center"/>
          </w:tcPr>
          <w:p w:rsidR="003B43A0" w:rsidRPr="00EC68EE" w:rsidRDefault="003B43A0" w:rsidP="00A33E59">
            <w:pPr>
              <w:ind w:left="-114" w:firstLine="40"/>
              <w:jc w:val="center"/>
              <w:outlineLvl w:val="0"/>
              <w:rPr>
                <w:lang w:val="en-US"/>
              </w:rPr>
            </w:pPr>
            <w:r>
              <w:rPr>
                <w:lang w:val="en-US"/>
              </w:rPr>
              <w:t>x</w:t>
            </w:r>
          </w:p>
        </w:tc>
        <w:tc>
          <w:tcPr>
            <w:tcW w:w="1276" w:type="dxa"/>
            <w:tcBorders>
              <w:top w:val="single" w:sz="4" w:space="0" w:color="auto"/>
              <w:left w:val="single" w:sz="4" w:space="0" w:color="auto"/>
              <w:bottom w:val="single" w:sz="4" w:space="0" w:color="auto"/>
              <w:right w:val="single" w:sz="4" w:space="0" w:color="auto"/>
            </w:tcBorders>
            <w:vAlign w:val="center"/>
          </w:tcPr>
          <w:p w:rsidR="003B43A0" w:rsidRPr="00436B97" w:rsidRDefault="003B43A0" w:rsidP="00A33E59">
            <w:pPr>
              <w:ind w:left="-114" w:firstLine="38"/>
              <w:jc w:val="center"/>
              <w:outlineLvl w:val="0"/>
              <w:rPr>
                <w:lang w:val="en-US"/>
              </w:rPr>
            </w:pPr>
            <w:r>
              <w:rPr>
                <w:lang w:val="en-US"/>
              </w:rPr>
              <w:t>x</w:t>
            </w:r>
          </w:p>
        </w:tc>
      </w:tr>
      <w:tr w:rsidR="003B43A0" w:rsidTr="00A33E59">
        <w:tc>
          <w:tcPr>
            <w:tcW w:w="534" w:type="dxa"/>
            <w:tcBorders>
              <w:top w:val="single" w:sz="4" w:space="0" w:color="auto"/>
              <w:left w:val="single" w:sz="4" w:space="0" w:color="auto"/>
              <w:bottom w:val="single" w:sz="4" w:space="0" w:color="auto"/>
              <w:right w:val="single" w:sz="4" w:space="0" w:color="auto"/>
            </w:tcBorders>
            <w:vAlign w:val="center"/>
            <w:hideMark/>
          </w:tcPr>
          <w:p w:rsidR="003B43A0" w:rsidRDefault="003B43A0" w:rsidP="00A33E59">
            <w:pPr>
              <w:ind w:firstLine="0"/>
              <w:jc w:val="center"/>
              <w:outlineLvl w:val="0"/>
            </w:pPr>
            <w:r>
              <w:t>4</w:t>
            </w:r>
          </w:p>
        </w:tc>
        <w:tc>
          <w:tcPr>
            <w:tcW w:w="3147" w:type="dxa"/>
            <w:tcBorders>
              <w:top w:val="single" w:sz="4" w:space="0" w:color="auto"/>
              <w:left w:val="single" w:sz="4" w:space="0" w:color="auto"/>
              <w:bottom w:val="single" w:sz="4" w:space="0" w:color="auto"/>
              <w:right w:val="single" w:sz="4" w:space="0" w:color="auto"/>
            </w:tcBorders>
            <w:hideMark/>
          </w:tcPr>
          <w:p w:rsidR="003B43A0" w:rsidRDefault="003B43A0" w:rsidP="00A33E59">
            <w:pPr>
              <w:ind w:firstLine="33"/>
              <w:outlineLvl w:val="0"/>
            </w:pPr>
            <w:r>
              <w:t>Расчетный уровень собираемости -</w:t>
            </w:r>
            <w:r>
              <w:rPr>
                <w:b/>
              </w:rPr>
              <w:t>Кс</w:t>
            </w:r>
            <w: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3B43A0" w:rsidRPr="004C7AAD" w:rsidRDefault="003B43A0" w:rsidP="00A33E59">
            <w:pPr>
              <w:ind w:firstLine="41"/>
              <w:jc w:val="center"/>
              <w:outlineLvl w:val="0"/>
              <w:rPr>
                <w:lang w:val="en-US"/>
              </w:rPr>
            </w:pPr>
            <w:r>
              <w:rPr>
                <w:lang w:val="en-US"/>
              </w:rPr>
              <w:t>102.9</w:t>
            </w:r>
          </w:p>
        </w:tc>
        <w:tc>
          <w:tcPr>
            <w:tcW w:w="1275" w:type="dxa"/>
            <w:tcBorders>
              <w:top w:val="single" w:sz="4" w:space="0" w:color="auto"/>
              <w:left w:val="single" w:sz="4" w:space="0" w:color="auto"/>
              <w:bottom w:val="single" w:sz="4" w:space="0" w:color="auto"/>
              <w:right w:val="single" w:sz="4" w:space="0" w:color="auto"/>
            </w:tcBorders>
            <w:vAlign w:val="center"/>
            <w:hideMark/>
          </w:tcPr>
          <w:p w:rsidR="003B43A0" w:rsidRPr="00EC68EE" w:rsidRDefault="003B43A0" w:rsidP="00A33E59">
            <w:pPr>
              <w:ind w:firstLine="41"/>
              <w:jc w:val="center"/>
              <w:outlineLvl w:val="0"/>
              <w:rPr>
                <w:lang w:val="en-US"/>
              </w:rPr>
            </w:pPr>
            <w:r>
              <w:rPr>
                <w:lang w:val="en-US"/>
              </w:rPr>
              <w:t>100</w:t>
            </w:r>
          </w:p>
        </w:tc>
        <w:tc>
          <w:tcPr>
            <w:tcW w:w="1247" w:type="dxa"/>
            <w:tcBorders>
              <w:top w:val="single" w:sz="4" w:space="0" w:color="auto"/>
              <w:left w:val="single" w:sz="4" w:space="0" w:color="auto"/>
              <w:bottom w:val="single" w:sz="4" w:space="0" w:color="auto"/>
              <w:right w:val="single" w:sz="4" w:space="0" w:color="auto"/>
            </w:tcBorders>
            <w:vAlign w:val="center"/>
            <w:hideMark/>
          </w:tcPr>
          <w:p w:rsidR="003B43A0" w:rsidRPr="00EC68EE" w:rsidRDefault="003B43A0" w:rsidP="00A33E59">
            <w:pPr>
              <w:ind w:left="-114" w:firstLine="0"/>
              <w:jc w:val="center"/>
              <w:outlineLvl w:val="0"/>
              <w:rPr>
                <w:lang w:val="en-US"/>
              </w:rPr>
            </w:pPr>
            <w:r>
              <w:rPr>
                <w:lang w:val="en-US"/>
              </w:rPr>
              <w:t>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3B43A0" w:rsidRPr="00EC68EE" w:rsidRDefault="003B43A0" w:rsidP="00A33E59">
            <w:pPr>
              <w:ind w:left="-114" w:firstLine="0"/>
              <w:jc w:val="center"/>
              <w:outlineLvl w:val="0"/>
              <w:rPr>
                <w:lang w:val="en-US"/>
              </w:rPr>
            </w:pPr>
            <w:r>
              <w:rPr>
                <w:lang w:val="en-US"/>
              </w:rPr>
              <w:t>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3B43A0" w:rsidRDefault="003B43A0" w:rsidP="00A33E59">
            <w:pPr>
              <w:ind w:left="-114" w:firstLine="0"/>
              <w:jc w:val="center"/>
              <w:outlineLvl w:val="0"/>
            </w:pPr>
            <w:r>
              <w:t>х</w:t>
            </w:r>
          </w:p>
        </w:tc>
      </w:tr>
      <w:tr w:rsidR="003B43A0" w:rsidTr="00A33E59">
        <w:trPr>
          <w:trHeight w:val="240"/>
        </w:trPr>
        <w:tc>
          <w:tcPr>
            <w:tcW w:w="534" w:type="dxa"/>
            <w:tcBorders>
              <w:top w:val="single" w:sz="4" w:space="0" w:color="auto"/>
              <w:left w:val="single" w:sz="4" w:space="0" w:color="auto"/>
              <w:bottom w:val="single" w:sz="4" w:space="0" w:color="auto"/>
              <w:right w:val="single" w:sz="4" w:space="0" w:color="auto"/>
            </w:tcBorders>
            <w:vAlign w:val="center"/>
            <w:hideMark/>
          </w:tcPr>
          <w:p w:rsidR="003B43A0" w:rsidRDefault="003B43A0" w:rsidP="00A33E59">
            <w:pPr>
              <w:ind w:firstLine="0"/>
              <w:jc w:val="center"/>
            </w:pPr>
            <w:r>
              <w:t>5</w:t>
            </w:r>
          </w:p>
        </w:tc>
        <w:tc>
          <w:tcPr>
            <w:tcW w:w="3147" w:type="dxa"/>
            <w:tcBorders>
              <w:top w:val="single" w:sz="4" w:space="0" w:color="auto"/>
              <w:left w:val="single" w:sz="4" w:space="0" w:color="auto"/>
              <w:bottom w:val="single" w:sz="4" w:space="0" w:color="auto"/>
              <w:right w:val="single" w:sz="4" w:space="0" w:color="auto"/>
            </w:tcBorders>
            <w:hideMark/>
          </w:tcPr>
          <w:p w:rsidR="003B43A0" w:rsidRDefault="003B43A0" w:rsidP="00A33E59">
            <w:pPr>
              <w:ind w:firstLine="0"/>
              <w:outlineLvl w:val="0"/>
            </w:pPr>
            <w:r>
              <w:t>Сумма налога по годовым перерасчетам на 2021 год (разница между суммой налога «к доплате» и «к уменьшению» по отчету формы № 5- КГНМ на</w:t>
            </w:r>
            <w:r w:rsidRPr="00EC68EE">
              <w:t xml:space="preserve"> </w:t>
            </w:r>
            <w:r w:rsidR="00B267EF">
              <w:t>01.01.2020</w:t>
            </w:r>
            <w:r w:rsidR="00C47759">
              <w:t xml:space="preserve"> = 245 825 тыс. руб. («к доплате» 340 248 тыс. руб. «к уменьшению» 94 423 тыс. руб.), на  </w:t>
            </w:r>
            <w:r w:rsidRPr="00EC68EE">
              <w:t>01</w:t>
            </w:r>
            <w:r>
              <w:t>.</w:t>
            </w:r>
            <w:r w:rsidRPr="00EC68EE">
              <w:t>01</w:t>
            </w:r>
            <w:r>
              <w:t>.</w:t>
            </w:r>
            <w:r w:rsidRPr="00EC68EE">
              <w:t>2021</w:t>
            </w:r>
            <w:r>
              <w:t xml:space="preserve"> = </w:t>
            </w:r>
            <w:r w:rsidR="00B267EF">
              <w:t>25 951</w:t>
            </w:r>
            <w:r>
              <w:t xml:space="preserve">тыс. руб. = («к доплате» </w:t>
            </w:r>
            <w:r w:rsidR="00C47759" w:rsidRPr="00EC68EE">
              <w:t>121 842</w:t>
            </w:r>
            <w:r w:rsidR="00C47759">
              <w:t xml:space="preserve"> </w:t>
            </w:r>
            <w:r>
              <w:t xml:space="preserve"> тыс. руб. «к уменьшению»</w:t>
            </w:r>
            <w:r w:rsidR="00C47759">
              <w:t xml:space="preserve"> 9</w:t>
            </w:r>
            <w:r w:rsidR="00C47759" w:rsidRPr="00EC68EE">
              <w:t>5</w:t>
            </w:r>
            <w:r w:rsidR="00C47759">
              <w:t xml:space="preserve"> </w:t>
            </w:r>
            <w:r w:rsidR="00C47759" w:rsidRPr="00EC68EE">
              <w:t>891</w:t>
            </w:r>
            <w:r>
              <w:t>)</w:t>
            </w:r>
          </w:p>
          <w:p w:rsidR="003B43A0" w:rsidRDefault="003B43A0" w:rsidP="00A33E59">
            <w:pPr>
              <w:ind w:firstLine="0"/>
              <w:outlineLvl w:val="0"/>
            </w:pPr>
            <w:r>
              <w:t xml:space="preserve">2022-2023 годы как среднее значение за 2020-2021 годы = (245 825+25 951)/2 = 135 888 тыс. руб. </w:t>
            </w:r>
          </w:p>
          <w:p w:rsidR="003B43A0" w:rsidRDefault="003B43A0" w:rsidP="00A33E59">
            <w:pPr>
              <w:ind w:firstLine="0"/>
              <w:outlineLvl w:val="0"/>
            </w:pPr>
            <w:r>
              <w:rPr>
                <w:b/>
              </w:rPr>
              <w:t xml:space="preserve">Р перерасчет </w:t>
            </w:r>
            <w:r>
              <w:rPr>
                <w:b/>
                <w:sz w:val="16"/>
                <w:szCs w:val="16"/>
              </w:rPr>
              <w:t xml:space="preserve">КГНМ, </w:t>
            </w:r>
            <w:r>
              <w:t xml:space="preserve"> тыс. руб.</w:t>
            </w:r>
          </w:p>
        </w:tc>
        <w:tc>
          <w:tcPr>
            <w:tcW w:w="1276" w:type="dxa"/>
            <w:tcBorders>
              <w:top w:val="single" w:sz="4" w:space="0" w:color="auto"/>
              <w:left w:val="single" w:sz="4" w:space="0" w:color="auto"/>
              <w:bottom w:val="single" w:sz="4" w:space="0" w:color="auto"/>
              <w:right w:val="single" w:sz="4" w:space="0" w:color="auto"/>
            </w:tcBorders>
            <w:vAlign w:val="center"/>
            <w:hideMark/>
          </w:tcPr>
          <w:p w:rsidR="003B43A0" w:rsidRPr="00362DE1" w:rsidRDefault="003B43A0" w:rsidP="00A33E59">
            <w:pPr>
              <w:ind w:firstLine="0"/>
              <w:jc w:val="center"/>
              <w:outlineLvl w:val="0"/>
            </w:pPr>
            <w:r>
              <w:t>245 825</w:t>
            </w:r>
          </w:p>
        </w:tc>
        <w:tc>
          <w:tcPr>
            <w:tcW w:w="1275" w:type="dxa"/>
            <w:tcBorders>
              <w:top w:val="single" w:sz="4" w:space="0" w:color="auto"/>
              <w:left w:val="single" w:sz="4" w:space="0" w:color="auto"/>
              <w:bottom w:val="single" w:sz="4" w:space="0" w:color="auto"/>
              <w:right w:val="single" w:sz="4" w:space="0" w:color="auto"/>
            </w:tcBorders>
            <w:vAlign w:val="center"/>
            <w:hideMark/>
          </w:tcPr>
          <w:p w:rsidR="003B43A0" w:rsidRPr="00362DE1" w:rsidRDefault="003B43A0" w:rsidP="00A33E59">
            <w:pPr>
              <w:ind w:firstLine="0"/>
              <w:jc w:val="center"/>
              <w:outlineLvl w:val="0"/>
            </w:pPr>
            <w:r>
              <w:t>25 951</w:t>
            </w:r>
          </w:p>
        </w:tc>
        <w:tc>
          <w:tcPr>
            <w:tcW w:w="1247" w:type="dxa"/>
            <w:tcBorders>
              <w:top w:val="single" w:sz="4" w:space="0" w:color="auto"/>
              <w:left w:val="single" w:sz="4" w:space="0" w:color="auto"/>
              <w:bottom w:val="single" w:sz="4" w:space="0" w:color="auto"/>
              <w:right w:val="single" w:sz="4" w:space="0" w:color="auto"/>
            </w:tcBorders>
            <w:vAlign w:val="center"/>
            <w:hideMark/>
          </w:tcPr>
          <w:p w:rsidR="003B43A0" w:rsidRPr="00362DE1" w:rsidRDefault="003B43A0" w:rsidP="00A33E59">
            <w:pPr>
              <w:ind w:firstLine="0"/>
              <w:jc w:val="center"/>
              <w:outlineLvl w:val="0"/>
            </w:pPr>
            <w:r>
              <w:t>135 888</w:t>
            </w:r>
          </w:p>
        </w:tc>
        <w:tc>
          <w:tcPr>
            <w:tcW w:w="1276" w:type="dxa"/>
            <w:tcBorders>
              <w:top w:val="single" w:sz="4" w:space="0" w:color="auto"/>
              <w:left w:val="single" w:sz="4" w:space="0" w:color="auto"/>
              <w:bottom w:val="single" w:sz="4" w:space="0" w:color="auto"/>
              <w:right w:val="single" w:sz="4" w:space="0" w:color="auto"/>
            </w:tcBorders>
            <w:vAlign w:val="center"/>
            <w:hideMark/>
          </w:tcPr>
          <w:p w:rsidR="003B43A0" w:rsidRPr="00362DE1" w:rsidRDefault="003B43A0" w:rsidP="00A33E59">
            <w:pPr>
              <w:ind w:firstLine="0"/>
              <w:jc w:val="center"/>
              <w:outlineLvl w:val="0"/>
            </w:pPr>
            <w:r>
              <w:t>135 888</w:t>
            </w:r>
          </w:p>
        </w:tc>
        <w:tc>
          <w:tcPr>
            <w:tcW w:w="1276" w:type="dxa"/>
            <w:tcBorders>
              <w:top w:val="single" w:sz="4" w:space="0" w:color="auto"/>
              <w:left w:val="single" w:sz="4" w:space="0" w:color="auto"/>
              <w:bottom w:val="single" w:sz="4" w:space="0" w:color="auto"/>
              <w:right w:val="single" w:sz="4" w:space="0" w:color="auto"/>
            </w:tcBorders>
            <w:vAlign w:val="center"/>
            <w:hideMark/>
          </w:tcPr>
          <w:p w:rsidR="003B43A0" w:rsidRPr="00362DE1" w:rsidRDefault="003B43A0" w:rsidP="00A33E59">
            <w:pPr>
              <w:ind w:firstLine="0"/>
              <w:jc w:val="center"/>
              <w:outlineLvl w:val="0"/>
            </w:pPr>
            <w:r>
              <w:t>х</w:t>
            </w:r>
          </w:p>
        </w:tc>
      </w:tr>
      <w:tr w:rsidR="003B43A0" w:rsidTr="00A33E59">
        <w:tc>
          <w:tcPr>
            <w:tcW w:w="534" w:type="dxa"/>
            <w:tcBorders>
              <w:top w:val="single" w:sz="4" w:space="0" w:color="auto"/>
              <w:left w:val="single" w:sz="4" w:space="0" w:color="auto"/>
              <w:bottom w:val="single" w:sz="4" w:space="0" w:color="auto"/>
              <w:right w:val="single" w:sz="4" w:space="0" w:color="auto"/>
            </w:tcBorders>
            <w:vAlign w:val="center"/>
            <w:hideMark/>
          </w:tcPr>
          <w:p w:rsidR="003B43A0" w:rsidRDefault="003B43A0" w:rsidP="00A33E59">
            <w:pPr>
              <w:ind w:firstLine="0"/>
              <w:jc w:val="center"/>
              <w:outlineLvl w:val="0"/>
            </w:pPr>
            <w:r>
              <w:t>6</w:t>
            </w:r>
          </w:p>
        </w:tc>
        <w:tc>
          <w:tcPr>
            <w:tcW w:w="3147" w:type="dxa"/>
            <w:tcBorders>
              <w:top w:val="single" w:sz="4" w:space="0" w:color="auto"/>
              <w:left w:val="single" w:sz="4" w:space="0" w:color="auto"/>
              <w:bottom w:val="single" w:sz="4" w:space="0" w:color="auto"/>
              <w:right w:val="single" w:sz="4" w:space="0" w:color="auto"/>
            </w:tcBorders>
            <w:hideMark/>
          </w:tcPr>
          <w:p w:rsidR="003B43A0" w:rsidRDefault="003B43A0" w:rsidP="00A33E59">
            <w:pPr>
              <w:ind w:firstLine="33"/>
              <w:outlineLvl w:val="0"/>
              <w:rPr>
                <w:b/>
              </w:rPr>
            </w:pPr>
            <w:r>
              <w:t xml:space="preserve">Сумма налога на прибыль организаций, не поступившая в бюджет в связи с установлением законами субъектов РФ пониженной ставки – </w:t>
            </w:r>
            <w:r>
              <w:rPr>
                <w:b/>
                <w:lang w:val="en-US"/>
              </w:rPr>
              <w:t>V</w:t>
            </w:r>
            <w:r>
              <w:rPr>
                <w:b/>
              </w:rPr>
              <w:t xml:space="preserve">льгот </w:t>
            </w:r>
            <w:r>
              <w:rPr>
                <w:b/>
                <w:sz w:val="16"/>
                <w:szCs w:val="16"/>
              </w:rPr>
              <w:t>КГНМ</w:t>
            </w:r>
            <w:r>
              <w:rPr>
                <w:b/>
              </w:rPr>
              <w:t xml:space="preserve">, </w:t>
            </w:r>
          </w:p>
          <w:p w:rsidR="003B43A0" w:rsidRDefault="003B43A0" w:rsidP="00A33E59">
            <w:pPr>
              <w:ind w:firstLine="33"/>
              <w:outlineLvl w:val="0"/>
            </w:pPr>
            <w:r>
              <w:t>тыс. руб.</w:t>
            </w:r>
          </w:p>
        </w:tc>
        <w:tc>
          <w:tcPr>
            <w:tcW w:w="1276" w:type="dxa"/>
            <w:tcBorders>
              <w:top w:val="single" w:sz="4" w:space="0" w:color="auto"/>
              <w:left w:val="single" w:sz="4" w:space="0" w:color="auto"/>
              <w:bottom w:val="single" w:sz="4" w:space="0" w:color="auto"/>
              <w:right w:val="single" w:sz="4" w:space="0" w:color="auto"/>
            </w:tcBorders>
            <w:vAlign w:val="center"/>
            <w:hideMark/>
          </w:tcPr>
          <w:p w:rsidR="003B43A0" w:rsidRDefault="003B43A0" w:rsidP="00A33E59">
            <w:pPr>
              <w:ind w:firstLine="0"/>
              <w:jc w:val="center"/>
              <w:outlineLvl w:val="0"/>
            </w:pPr>
            <w:r>
              <w:t>0</w:t>
            </w:r>
          </w:p>
        </w:tc>
        <w:tc>
          <w:tcPr>
            <w:tcW w:w="1275" w:type="dxa"/>
            <w:tcBorders>
              <w:top w:val="single" w:sz="4" w:space="0" w:color="auto"/>
              <w:left w:val="single" w:sz="4" w:space="0" w:color="auto"/>
              <w:bottom w:val="single" w:sz="4" w:space="0" w:color="auto"/>
              <w:right w:val="single" w:sz="4" w:space="0" w:color="auto"/>
            </w:tcBorders>
            <w:vAlign w:val="center"/>
            <w:hideMark/>
          </w:tcPr>
          <w:p w:rsidR="003B43A0" w:rsidRDefault="003B43A0" w:rsidP="00A33E59">
            <w:pPr>
              <w:ind w:firstLine="0"/>
              <w:jc w:val="center"/>
              <w:outlineLvl w:val="0"/>
            </w:pPr>
            <w:r>
              <w:t>0</w:t>
            </w:r>
          </w:p>
        </w:tc>
        <w:tc>
          <w:tcPr>
            <w:tcW w:w="1247" w:type="dxa"/>
            <w:tcBorders>
              <w:top w:val="single" w:sz="4" w:space="0" w:color="auto"/>
              <w:left w:val="single" w:sz="4" w:space="0" w:color="auto"/>
              <w:bottom w:val="single" w:sz="4" w:space="0" w:color="auto"/>
              <w:right w:val="single" w:sz="4" w:space="0" w:color="auto"/>
            </w:tcBorders>
            <w:vAlign w:val="center"/>
            <w:hideMark/>
          </w:tcPr>
          <w:p w:rsidR="003B43A0" w:rsidRDefault="003B43A0" w:rsidP="00A33E59">
            <w:pPr>
              <w:ind w:firstLine="0"/>
              <w:jc w:val="center"/>
              <w:outlineLvl w:val="0"/>
            </w:pPr>
            <w: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3B43A0" w:rsidRDefault="003B43A0" w:rsidP="00A33E59">
            <w:pPr>
              <w:ind w:firstLine="0"/>
              <w:jc w:val="center"/>
              <w:outlineLvl w:val="0"/>
            </w:pPr>
            <w: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3B43A0" w:rsidRDefault="003B43A0" w:rsidP="00A33E59">
            <w:pPr>
              <w:ind w:firstLine="0"/>
              <w:jc w:val="center"/>
              <w:outlineLvl w:val="0"/>
            </w:pPr>
            <w:r>
              <w:t>х</w:t>
            </w:r>
          </w:p>
        </w:tc>
      </w:tr>
      <w:tr w:rsidR="003B43A0" w:rsidTr="00A33E59">
        <w:tc>
          <w:tcPr>
            <w:tcW w:w="534" w:type="dxa"/>
            <w:tcBorders>
              <w:top w:val="single" w:sz="4" w:space="0" w:color="auto"/>
              <w:left w:val="single" w:sz="4" w:space="0" w:color="auto"/>
              <w:bottom w:val="single" w:sz="4" w:space="0" w:color="auto"/>
              <w:right w:val="single" w:sz="4" w:space="0" w:color="auto"/>
            </w:tcBorders>
            <w:vAlign w:val="center"/>
            <w:hideMark/>
          </w:tcPr>
          <w:p w:rsidR="003B43A0" w:rsidRDefault="003B43A0" w:rsidP="00A33E59">
            <w:pPr>
              <w:ind w:firstLine="0"/>
              <w:jc w:val="center"/>
              <w:outlineLvl w:val="0"/>
            </w:pPr>
            <w:r>
              <w:lastRenderedPageBreak/>
              <w:t>7</w:t>
            </w:r>
          </w:p>
        </w:tc>
        <w:tc>
          <w:tcPr>
            <w:tcW w:w="3147" w:type="dxa"/>
            <w:tcBorders>
              <w:top w:val="single" w:sz="4" w:space="0" w:color="auto"/>
              <w:left w:val="single" w:sz="4" w:space="0" w:color="auto"/>
              <w:bottom w:val="single" w:sz="4" w:space="0" w:color="auto"/>
              <w:right w:val="single" w:sz="4" w:space="0" w:color="auto"/>
            </w:tcBorders>
            <w:hideMark/>
          </w:tcPr>
          <w:p w:rsidR="003B43A0" w:rsidRDefault="003B43A0" w:rsidP="00A33E59">
            <w:pPr>
              <w:ind w:firstLine="33"/>
              <w:outlineLvl w:val="0"/>
            </w:pPr>
            <w:r>
              <w:t xml:space="preserve">Корректирующая сумма поступлений, учитывающая изменения законодательства о налогах и сборах, а также другие факторы </w:t>
            </w:r>
            <w:r>
              <w:rPr>
                <w:b/>
                <w:lang w:val="en-US"/>
              </w:rPr>
              <w:t>F</w:t>
            </w:r>
            <w:r>
              <w:t>, тыс. руб.</w:t>
            </w:r>
          </w:p>
        </w:tc>
        <w:tc>
          <w:tcPr>
            <w:tcW w:w="1276" w:type="dxa"/>
            <w:tcBorders>
              <w:top w:val="single" w:sz="4" w:space="0" w:color="auto"/>
              <w:left w:val="single" w:sz="4" w:space="0" w:color="auto"/>
              <w:bottom w:val="single" w:sz="4" w:space="0" w:color="auto"/>
              <w:right w:val="single" w:sz="4" w:space="0" w:color="auto"/>
            </w:tcBorders>
            <w:vAlign w:val="center"/>
            <w:hideMark/>
          </w:tcPr>
          <w:p w:rsidR="003B43A0" w:rsidRDefault="003B43A0" w:rsidP="00A33E59">
            <w:pPr>
              <w:ind w:firstLine="41"/>
              <w:jc w:val="center"/>
              <w:outlineLvl w:val="0"/>
            </w:pPr>
            <w:r>
              <w:t>х</w:t>
            </w:r>
          </w:p>
        </w:tc>
        <w:tc>
          <w:tcPr>
            <w:tcW w:w="1275" w:type="dxa"/>
            <w:tcBorders>
              <w:top w:val="single" w:sz="4" w:space="0" w:color="auto"/>
              <w:left w:val="single" w:sz="4" w:space="0" w:color="auto"/>
              <w:bottom w:val="single" w:sz="4" w:space="0" w:color="auto"/>
              <w:right w:val="single" w:sz="4" w:space="0" w:color="auto"/>
            </w:tcBorders>
            <w:vAlign w:val="center"/>
            <w:hideMark/>
          </w:tcPr>
          <w:p w:rsidR="003B43A0" w:rsidRPr="004C7AAD" w:rsidRDefault="003B43A0" w:rsidP="00A33E59">
            <w:pPr>
              <w:ind w:left="-223" w:right="-131" w:firstLine="34"/>
              <w:jc w:val="center"/>
              <w:outlineLvl w:val="0"/>
            </w:pPr>
            <w:r>
              <w:t>- 2 135 090</w:t>
            </w:r>
          </w:p>
        </w:tc>
        <w:tc>
          <w:tcPr>
            <w:tcW w:w="1247" w:type="dxa"/>
            <w:tcBorders>
              <w:top w:val="single" w:sz="4" w:space="0" w:color="auto"/>
              <w:left w:val="single" w:sz="4" w:space="0" w:color="auto"/>
              <w:bottom w:val="single" w:sz="4" w:space="0" w:color="auto"/>
              <w:right w:val="single" w:sz="4" w:space="0" w:color="auto"/>
            </w:tcBorders>
            <w:vAlign w:val="center"/>
            <w:hideMark/>
          </w:tcPr>
          <w:p w:rsidR="003B43A0" w:rsidRPr="004C7AAD" w:rsidRDefault="003B43A0" w:rsidP="00A33E59">
            <w:pPr>
              <w:ind w:left="-77" w:right="-141" w:firstLine="0"/>
              <w:jc w:val="center"/>
            </w:pPr>
            <w:r>
              <w:t>- 1 631 279</w:t>
            </w:r>
          </w:p>
        </w:tc>
        <w:tc>
          <w:tcPr>
            <w:tcW w:w="1276" w:type="dxa"/>
            <w:tcBorders>
              <w:top w:val="single" w:sz="4" w:space="0" w:color="auto"/>
              <w:left w:val="single" w:sz="4" w:space="0" w:color="auto"/>
              <w:bottom w:val="single" w:sz="4" w:space="0" w:color="auto"/>
              <w:right w:val="single" w:sz="4" w:space="0" w:color="auto"/>
            </w:tcBorders>
            <w:vAlign w:val="center"/>
            <w:hideMark/>
          </w:tcPr>
          <w:p w:rsidR="003B43A0" w:rsidRPr="004C7AAD" w:rsidRDefault="003B43A0" w:rsidP="00A33E59">
            <w:pPr>
              <w:ind w:firstLine="0"/>
              <w:jc w:val="center"/>
            </w:pPr>
            <w:r>
              <w:t>255 732</w:t>
            </w:r>
          </w:p>
        </w:tc>
        <w:tc>
          <w:tcPr>
            <w:tcW w:w="1276" w:type="dxa"/>
            <w:tcBorders>
              <w:top w:val="single" w:sz="4" w:space="0" w:color="auto"/>
              <w:left w:val="single" w:sz="4" w:space="0" w:color="auto"/>
              <w:bottom w:val="single" w:sz="4" w:space="0" w:color="auto"/>
              <w:right w:val="single" w:sz="4" w:space="0" w:color="auto"/>
            </w:tcBorders>
            <w:vAlign w:val="center"/>
            <w:hideMark/>
          </w:tcPr>
          <w:p w:rsidR="003B43A0" w:rsidRPr="004C7AAD" w:rsidRDefault="003B43A0" w:rsidP="00A33E59">
            <w:pPr>
              <w:ind w:firstLine="0"/>
              <w:jc w:val="center"/>
              <w:rPr>
                <w:lang w:val="en-US"/>
              </w:rPr>
            </w:pPr>
            <w:r>
              <w:rPr>
                <w:lang w:val="en-US"/>
              </w:rPr>
              <w:t>x</w:t>
            </w:r>
          </w:p>
        </w:tc>
      </w:tr>
      <w:tr w:rsidR="003B43A0" w:rsidTr="00A33E59">
        <w:tc>
          <w:tcPr>
            <w:tcW w:w="534" w:type="dxa"/>
            <w:tcBorders>
              <w:top w:val="single" w:sz="4" w:space="0" w:color="auto"/>
              <w:left w:val="single" w:sz="4" w:space="0" w:color="auto"/>
              <w:bottom w:val="single" w:sz="4" w:space="0" w:color="auto"/>
              <w:right w:val="single" w:sz="4" w:space="0" w:color="auto"/>
            </w:tcBorders>
            <w:vAlign w:val="center"/>
            <w:hideMark/>
          </w:tcPr>
          <w:p w:rsidR="003B43A0" w:rsidRDefault="003B43A0" w:rsidP="00A33E59">
            <w:pPr>
              <w:ind w:firstLine="0"/>
              <w:jc w:val="center"/>
              <w:outlineLvl w:val="0"/>
            </w:pPr>
            <w:r>
              <w:t>8</w:t>
            </w:r>
          </w:p>
        </w:tc>
        <w:tc>
          <w:tcPr>
            <w:tcW w:w="3147" w:type="dxa"/>
            <w:tcBorders>
              <w:top w:val="single" w:sz="4" w:space="0" w:color="auto"/>
              <w:left w:val="single" w:sz="4" w:space="0" w:color="auto"/>
              <w:bottom w:val="single" w:sz="4" w:space="0" w:color="auto"/>
              <w:right w:val="single" w:sz="4" w:space="0" w:color="auto"/>
            </w:tcBorders>
          </w:tcPr>
          <w:p w:rsidR="003B43A0" w:rsidRDefault="003B43A0" w:rsidP="00A33E59">
            <w:pPr>
              <w:ind w:firstLine="33"/>
              <w:outlineLvl w:val="0"/>
            </w:pPr>
            <w:r>
              <w:t xml:space="preserve">Прогнозируемый объем налога на прибыль организаций консолидированных групп налогоплательщиков </w:t>
            </w:r>
          </w:p>
          <w:p w:rsidR="003B43A0" w:rsidRDefault="003B43A0" w:rsidP="00A33E59">
            <w:pPr>
              <w:ind w:firstLine="33"/>
              <w:outlineLvl w:val="0"/>
            </w:pPr>
            <w:r>
              <w:t>стр. 8 = стр. 3 +стр. 5 + стр. +  стр. 7</w:t>
            </w:r>
          </w:p>
        </w:tc>
        <w:tc>
          <w:tcPr>
            <w:tcW w:w="1276" w:type="dxa"/>
            <w:tcBorders>
              <w:top w:val="single" w:sz="4" w:space="0" w:color="auto"/>
              <w:left w:val="single" w:sz="4" w:space="0" w:color="auto"/>
              <w:bottom w:val="single" w:sz="4" w:space="0" w:color="auto"/>
              <w:right w:val="single" w:sz="4" w:space="0" w:color="auto"/>
            </w:tcBorders>
            <w:vAlign w:val="center"/>
            <w:hideMark/>
          </w:tcPr>
          <w:p w:rsidR="003B43A0" w:rsidRPr="004B4A5F" w:rsidRDefault="003B43A0" w:rsidP="00A33E59">
            <w:pPr>
              <w:ind w:firstLine="41"/>
              <w:jc w:val="center"/>
              <w:outlineLvl w:val="0"/>
              <w:rPr>
                <w:b/>
              </w:rPr>
            </w:pPr>
            <w:r>
              <w:rPr>
                <w:b/>
              </w:rPr>
              <w:t>5 606 352</w:t>
            </w:r>
          </w:p>
        </w:tc>
        <w:tc>
          <w:tcPr>
            <w:tcW w:w="1275" w:type="dxa"/>
            <w:tcBorders>
              <w:top w:val="single" w:sz="4" w:space="0" w:color="auto"/>
              <w:left w:val="single" w:sz="4" w:space="0" w:color="auto"/>
              <w:bottom w:val="single" w:sz="4" w:space="0" w:color="auto"/>
              <w:right w:val="single" w:sz="4" w:space="0" w:color="auto"/>
            </w:tcBorders>
            <w:vAlign w:val="center"/>
            <w:hideMark/>
          </w:tcPr>
          <w:p w:rsidR="003B43A0" w:rsidRPr="004B4A5F" w:rsidRDefault="003B43A0" w:rsidP="00A33E59">
            <w:pPr>
              <w:ind w:left="-108" w:right="-105" w:firstLine="0"/>
              <w:jc w:val="center"/>
              <w:outlineLvl w:val="0"/>
              <w:rPr>
                <w:b/>
              </w:rPr>
            </w:pPr>
            <w:r>
              <w:rPr>
                <w:b/>
              </w:rPr>
              <w:t>3 713 716</w:t>
            </w:r>
          </w:p>
        </w:tc>
        <w:tc>
          <w:tcPr>
            <w:tcW w:w="1247" w:type="dxa"/>
            <w:tcBorders>
              <w:top w:val="single" w:sz="4" w:space="0" w:color="auto"/>
              <w:left w:val="single" w:sz="4" w:space="0" w:color="auto"/>
              <w:bottom w:val="single" w:sz="4" w:space="0" w:color="auto"/>
              <w:right w:val="single" w:sz="4" w:space="0" w:color="auto"/>
            </w:tcBorders>
            <w:vAlign w:val="center"/>
            <w:hideMark/>
          </w:tcPr>
          <w:p w:rsidR="003B43A0" w:rsidRPr="004B4A5F" w:rsidRDefault="003B43A0" w:rsidP="00A33E59">
            <w:pPr>
              <w:ind w:firstLine="0"/>
              <w:jc w:val="center"/>
              <w:outlineLvl w:val="0"/>
              <w:rPr>
                <w:b/>
              </w:rPr>
            </w:pPr>
            <w:r>
              <w:rPr>
                <w:b/>
              </w:rPr>
              <w:t>4 682 658</w:t>
            </w:r>
          </w:p>
        </w:tc>
        <w:tc>
          <w:tcPr>
            <w:tcW w:w="1276" w:type="dxa"/>
            <w:tcBorders>
              <w:top w:val="single" w:sz="4" w:space="0" w:color="auto"/>
              <w:left w:val="single" w:sz="4" w:space="0" w:color="auto"/>
              <w:bottom w:val="single" w:sz="4" w:space="0" w:color="auto"/>
              <w:right w:val="single" w:sz="4" w:space="0" w:color="auto"/>
            </w:tcBorders>
            <w:vAlign w:val="center"/>
            <w:hideMark/>
          </w:tcPr>
          <w:p w:rsidR="003B43A0" w:rsidRPr="004B4A5F" w:rsidRDefault="003B43A0" w:rsidP="00A33E59">
            <w:pPr>
              <w:ind w:firstLine="0"/>
              <w:jc w:val="center"/>
              <w:outlineLvl w:val="0"/>
              <w:rPr>
                <w:b/>
              </w:rPr>
            </w:pPr>
            <w:r>
              <w:rPr>
                <w:b/>
              </w:rPr>
              <w:t>391 620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3B43A0" w:rsidRPr="003018A0" w:rsidRDefault="003B43A0" w:rsidP="00A33E59">
            <w:pPr>
              <w:ind w:firstLine="0"/>
              <w:jc w:val="center"/>
              <w:outlineLvl w:val="0"/>
              <w:rPr>
                <w:b/>
              </w:rPr>
            </w:pPr>
            <w:r>
              <w:rPr>
                <w:b/>
                <w:lang w:val="en-US"/>
              </w:rPr>
              <w:t>x</w:t>
            </w:r>
          </w:p>
        </w:tc>
      </w:tr>
    </w:tbl>
    <w:p w:rsidR="00E7317C" w:rsidRDefault="00E7317C" w:rsidP="003B43A0">
      <w:pPr>
        <w:ind w:firstLine="709"/>
        <w:jc w:val="both"/>
        <w:rPr>
          <w:sz w:val="28"/>
          <w:szCs w:val="28"/>
        </w:rPr>
      </w:pPr>
    </w:p>
    <w:p w:rsidR="003B43A0" w:rsidRDefault="003B43A0" w:rsidP="003B43A0">
      <w:pPr>
        <w:ind w:firstLine="709"/>
        <w:jc w:val="both"/>
        <w:rPr>
          <w:sz w:val="28"/>
          <w:szCs w:val="28"/>
        </w:rPr>
      </w:pPr>
      <w:r w:rsidRPr="003B43A0">
        <w:rPr>
          <w:sz w:val="28"/>
          <w:szCs w:val="28"/>
        </w:rPr>
        <w:t xml:space="preserve">Корректирующая сумма поступлений налога на прибыль организаций консолидированных групп налогоплательщиков (пункт </w:t>
      </w:r>
      <w:r w:rsidR="00C47759">
        <w:rPr>
          <w:sz w:val="28"/>
          <w:szCs w:val="28"/>
        </w:rPr>
        <w:t>7</w:t>
      </w:r>
      <w:r w:rsidRPr="003B43A0">
        <w:rPr>
          <w:sz w:val="28"/>
          <w:szCs w:val="28"/>
        </w:rPr>
        <w:t xml:space="preserve"> Таблицы) учитывает факторы, влияющие на формирование финансовых результатов организаций в прогнозируемом периоде (с учетом представленной ответственными участниками КГН информации о прогнозируемых поступлениях в текущем финансовом году, на очередной финансовый год и плановый период в соответствии со статьей 25.5 Налогового кодекса Российской Федерации»): 2021 год – (-2 135 090 тыс. рублей), 2022 год – (- 1 631 279 тыс. рублей), 2023 год – (255 732 тыс. рублей).</w:t>
      </w:r>
    </w:p>
    <w:p w:rsidR="003B43A0" w:rsidRDefault="003B43A0" w:rsidP="003B43A0">
      <w:pPr>
        <w:ind w:firstLine="709"/>
        <w:jc w:val="both"/>
        <w:rPr>
          <w:sz w:val="28"/>
          <w:szCs w:val="28"/>
        </w:rPr>
      </w:pPr>
    </w:p>
    <w:p w:rsidR="003B43A0" w:rsidRPr="003B43A0" w:rsidRDefault="003B43A0" w:rsidP="003B43A0">
      <w:pPr>
        <w:ind w:firstLine="709"/>
        <w:jc w:val="center"/>
        <w:rPr>
          <w:b/>
          <w:sz w:val="28"/>
          <w:szCs w:val="28"/>
        </w:rPr>
      </w:pPr>
      <w:r w:rsidRPr="003B43A0">
        <w:rPr>
          <w:b/>
          <w:sz w:val="28"/>
          <w:szCs w:val="28"/>
        </w:rPr>
        <w:t>Налог на прибыль организаций на 2022-2024 годы</w:t>
      </w:r>
    </w:p>
    <w:p w:rsidR="003B43A0" w:rsidRDefault="003B43A0" w:rsidP="003B43A0">
      <w:pPr>
        <w:rPr>
          <w:sz w:val="28"/>
          <w:szCs w:val="28"/>
        </w:rPr>
      </w:pPr>
    </w:p>
    <w:p w:rsidR="003B43A0" w:rsidRDefault="003B43A0" w:rsidP="003B43A0">
      <w:pPr>
        <w:jc w:val="right"/>
        <w:rPr>
          <w:sz w:val="28"/>
          <w:szCs w:val="28"/>
        </w:rPr>
      </w:pPr>
      <w:r w:rsidRPr="003B43A0">
        <w:rPr>
          <w:sz w:val="28"/>
          <w:szCs w:val="28"/>
        </w:rPr>
        <w:t>(тыс. руб.)</w:t>
      </w:r>
    </w:p>
    <w:tbl>
      <w:tblPr>
        <w:tblStyle w:val="a6"/>
        <w:tblW w:w="0" w:type="auto"/>
        <w:tblLayout w:type="fixed"/>
        <w:tblLook w:val="04A0" w:firstRow="1" w:lastRow="0" w:firstColumn="1" w:lastColumn="0" w:noHBand="0" w:noVBand="1"/>
      </w:tblPr>
      <w:tblGrid>
        <w:gridCol w:w="704"/>
        <w:gridCol w:w="4384"/>
        <w:gridCol w:w="1620"/>
        <w:gridCol w:w="1621"/>
        <w:gridCol w:w="1637"/>
      </w:tblGrid>
      <w:tr w:rsidR="003B43A0" w:rsidTr="00A33E59">
        <w:tc>
          <w:tcPr>
            <w:tcW w:w="704" w:type="dxa"/>
            <w:vMerge w:val="restart"/>
            <w:vAlign w:val="center"/>
          </w:tcPr>
          <w:p w:rsidR="003B43A0" w:rsidRDefault="003B43A0" w:rsidP="00A33E59">
            <w:pPr>
              <w:ind w:firstLine="0"/>
              <w:jc w:val="center"/>
              <w:outlineLvl w:val="0"/>
              <w:rPr>
                <w:sz w:val="28"/>
                <w:szCs w:val="28"/>
              </w:rPr>
            </w:pPr>
            <w:r>
              <w:rPr>
                <w:sz w:val="28"/>
                <w:szCs w:val="28"/>
              </w:rPr>
              <w:t>№</w:t>
            </w:r>
          </w:p>
          <w:p w:rsidR="003B43A0" w:rsidRDefault="003B43A0" w:rsidP="00A33E59">
            <w:pPr>
              <w:jc w:val="left"/>
              <w:outlineLvl w:val="0"/>
              <w:rPr>
                <w:sz w:val="28"/>
                <w:szCs w:val="28"/>
              </w:rPr>
            </w:pPr>
            <w:r>
              <w:rPr>
                <w:sz w:val="28"/>
                <w:szCs w:val="28"/>
              </w:rPr>
              <w:t>1</w:t>
            </w:r>
          </w:p>
        </w:tc>
        <w:tc>
          <w:tcPr>
            <w:tcW w:w="4384" w:type="dxa"/>
            <w:vMerge w:val="restart"/>
            <w:vAlign w:val="center"/>
          </w:tcPr>
          <w:p w:rsidR="003B43A0" w:rsidRPr="00E43028" w:rsidRDefault="003B43A0" w:rsidP="00A33E59">
            <w:pPr>
              <w:ind w:left="-41" w:firstLine="0"/>
              <w:jc w:val="center"/>
              <w:outlineLvl w:val="0"/>
            </w:pPr>
            <w:r w:rsidRPr="00E43028">
              <w:t>Наименование</w:t>
            </w:r>
            <w:r>
              <w:rPr>
                <w:lang w:val="en-US"/>
              </w:rPr>
              <w:t xml:space="preserve"> </w:t>
            </w:r>
            <w:r w:rsidRPr="00E43028">
              <w:t>и КБК</w:t>
            </w:r>
          </w:p>
        </w:tc>
        <w:tc>
          <w:tcPr>
            <w:tcW w:w="4878" w:type="dxa"/>
            <w:gridSpan w:val="3"/>
            <w:vAlign w:val="center"/>
          </w:tcPr>
          <w:p w:rsidR="003B43A0" w:rsidRPr="00E43028" w:rsidRDefault="003B43A0" w:rsidP="00A33E59">
            <w:pPr>
              <w:ind w:firstLine="0"/>
              <w:jc w:val="center"/>
              <w:outlineLvl w:val="0"/>
            </w:pPr>
            <w:r w:rsidRPr="00E43028">
              <w:t>Прогноз</w:t>
            </w:r>
          </w:p>
        </w:tc>
      </w:tr>
      <w:tr w:rsidR="003B43A0" w:rsidTr="00A33E59">
        <w:tc>
          <w:tcPr>
            <w:tcW w:w="704" w:type="dxa"/>
            <w:vMerge/>
            <w:vAlign w:val="center"/>
          </w:tcPr>
          <w:p w:rsidR="003B43A0" w:rsidRDefault="003B43A0" w:rsidP="00A33E59">
            <w:pPr>
              <w:jc w:val="center"/>
              <w:outlineLvl w:val="0"/>
              <w:rPr>
                <w:sz w:val="28"/>
                <w:szCs w:val="28"/>
              </w:rPr>
            </w:pPr>
          </w:p>
        </w:tc>
        <w:tc>
          <w:tcPr>
            <w:tcW w:w="4384" w:type="dxa"/>
            <w:vMerge/>
            <w:vAlign w:val="center"/>
          </w:tcPr>
          <w:p w:rsidR="003B43A0" w:rsidRPr="00E43028" w:rsidRDefault="003B43A0" w:rsidP="00A33E59">
            <w:pPr>
              <w:jc w:val="center"/>
              <w:outlineLvl w:val="0"/>
            </w:pPr>
          </w:p>
        </w:tc>
        <w:tc>
          <w:tcPr>
            <w:tcW w:w="1620" w:type="dxa"/>
            <w:vAlign w:val="center"/>
          </w:tcPr>
          <w:p w:rsidR="003B43A0" w:rsidRPr="00E43028" w:rsidRDefault="003B43A0" w:rsidP="00A33E59">
            <w:pPr>
              <w:ind w:firstLine="49"/>
              <w:jc w:val="center"/>
              <w:outlineLvl w:val="0"/>
            </w:pPr>
            <w:r w:rsidRPr="00E43028">
              <w:t>20</w:t>
            </w:r>
            <w:r>
              <w:t>22</w:t>
            </w:r>
            <w:r w:rsidRPr="00E43028">
              <w:t xml:space="preserve"> год</w:t>
            </w:r>
          </w:p>
        </w:tc>
        <w:tc>
          <w:tcPr>
            <w:tcW w:w="1621" w:type="dxa"/>
            <w:vAlign w:val="center"/>
          </w:tcPr>
          <w:p w:rsidR="003B43A0" w:rsidRPr="00E43028" w:rsidRDefault="003B43A0" w:rsidP="00A33E59">
            <w:pPr>
              <w:ind w:firstLine="0"/>
              <w:jc w:val="center"/>
              <w:outlineLvl w:val="0"/>
            </w:pPr>
            <w:r w:rsidRPr="00E43028">
              <w:t>20</w:t>
            </w:r>
            <w:r>
              <w:rPr>
                <w:lang w:val="en-US"/>
              </w:rPr>
              <w:t>2</w:t>
            </w:r>
            <w:r>
              <w:t>3</w:t>
            </w:r>
            <w:r w:rsidRPr="00E43028">
              <w:t xml:space="preserve"> год</w:t>
            </w:r>
          </w:p>
        </w:tc>
        <w:tc>
          <w:tcPr>
            <w:tcW w:w="1637" w:type="dxa"/>
            <w:vAlign w:val="center"/>
          </w:tcPr>
          <w:p w:rsidR="003B43A0" w:rsidRPr="00E43028" w:rsidRDefault="003B43A0" w:rsidP="00A33E59">
            <w:pPr>
              <w:ind w:firstLine="6"/>
              <w:jc w:val="center"/>
              <w:outlineLvl w:val="0"/>
            </w:pPr>
            <w:r w:rsidRPr="00E43028">
              <w:t>202</w:t>
            </w:r>
            <w:r>
              <w:t>4</w:t>
            </w:r>
            <w:r w:rsidRPr="00E43028">
              <w:t xml:space="preserve"> год</w:t>
            </w:r>
          </w:p>
        </w:tc>
      </w:tr>
      <w:tr w:rsidR="003B43A0" w:rsidTr="00A33E59">
        <w:tc>
          <w:tcPr>
            <w:tcW w:w="704" w:type="dxa"/>
          </w:tcPr>
          <w:p w:rsidR="003B43A0" w:rsidRPr="00045349" w:rsidRDefault="003B43A0" w:rsidP="00A33E59">
            <w:pPr>
              <w:ind w:firstLine="0"/>
              <w:jc w:val="center"/>
              <w:outlineLvl w:val="0"/>
            </w:pPr>
            <w:r w:rsidRPr="00045349">
              <w:t>1</w:t>
            </w:r>
          </w:p>
        </w:tc>
        <w:tc>
          <w:tcPr>
            <w:tcW w:w="4384" w:type="dxa"/>
          </w:tcPr>
          <w:p w:rsidR="003B43A0" w:rsidRPr="00E43028" w:rsidRDefault="003B43A0" w:rsidP="00A33E59">
            <w:pPr>
              <w:autoSpaceDE w:val="0"/>
              <w:autoSpaceDN w:val="0"/>
              <w:adjustRightInd w:val="0"/>
              <w:ind w:firstLine="0"/>
            </w:pPr>
            <w:r w:rsidRPr="00E43028">
              <w:t>«Налог на прибыль организаций»</w:t>
            </w:r>
          </w:p>
          <w:p w:rsidR="003B43A0" w:rsidRPr="00E43028" w:rsidRDefault="003B43A0" w:rsidP="00A33E59">
            <w:pPr>
              <w:autoSpaceDE w:val="0"/>
              <w:autoSpaceDN w:val="0"/>
              <w:adjustRightInd w:val="0"/>
              <w:ind w:firstLine="0"/>
            </w:pPr>
            <w:r>
              <w:t>(</w:t>
            </w:r>
            <w:r w:rsidRPr="00E43028">
              <w:t>000 1</w:t>
            </w:r>
            <w:r>
              <w:t xml:space="preserve"> </w:t>
            </w:r>
            <w:r w:rsidRPr="00E43028">
              <w:t>01 01000 00 0000 110</w:t>
            </w:r>
            <w:r>
              <w:t>)</w:t>
            </w:r>
            <w:r w:rsidRPr="00E43028">
              <w:t xml:space="preserve">  </w:t>
            </w:r>
          </w:p>
          <w:p w:rsidR="003B43A0" w:rsidRPr="00E43028" w:rsidRDefault="003B43A0" w:rsidP="00A33E59">
            <w:pPr>
              <w:jc w:val="center"/>
              <w:outlineLvl w:val="0"/>
            </w:pPr>
          </w:p>
        </w:tc>
        <w:tc>
          <w:tcPr>
            <w:tcW w:w="1620" w:type="dxa"/>
            <w:vAlign w:val="center"/>
          </w:tcPr>
          <w:p w:rsidR="003B43A0" w:rsidRPr="003C7CB3" w:rsidRDefault="003B43A0" w:rsidP="00A33E59">
            <w:pPr>
              <w:ind w:firstLine="0"/>
              <w:jc w:val="center"/>
              <w:outlineLvl w:val="0"/>
              <w:rPr>
                <w:b/>
              </w:rPr>
            </w:pPr>
            <w:r w:rsidRPr="003C7CB3">
              <w:rPr>
                <w:b/>
              </w:rPr>
              <w:t>16 653 054</w:t>
            </w:r>
          </w:p>
        </w:tc>
        <w:tc>
          <w:tcPr>
            <w:tcW w:w="1621" w:type="dxa"/>
            <w:vAlign w:val="center"/>
          </w:tcPr>
          <w:p w:rsidR="003B43A0" w:rsidRPr="003C7CB3" w:rsidRDefault="003B43A0" w:rsidP="00A33E59">
            <w:pPr>
              <w:ind w:firstLine="0"/>
              <w:jc w:val="center"/>
              <w:outlineLvl w:val="0"/>
              <w:rPr>
                <w:b/>
              </w:rPr>
            </w:pPr>
            <w:r w:rsidRPr="003C7CB3">
              <w:rPr>
                <w:b/>
              </w:rPr>
              <w:t>17 418 799</w:t>
            </w:r>
          </w:p>
        </w:tc>
        <w:tc>
          <w:tcPr>
            <w:tcW w:w="1637" w:type="dxa"/>
            <w:vAlign w:val="center"/>
          </w:tcPr>
          <w:p w:rsidR="003B43A0" w:rsidRPr="003C7CB3" w:rsidRDefault="003B43A0" w:rsidP="00A33E59">
            <w:pPr>
              <w:ind w:firstLine="0"/>
              <w:jc w:val="center"/>
              <w:outlineLvl w:val="0"/>
              <w:rPr>
                <w:b/>
              </w:rPr>
            </w:pPr>
            <w:r w:rsidRPr="003C7CB3">
              <w:rPr>
                <w:b/>
              </w:rPr>
              <w:t>17 958 717</w:t>
            </w:r>
          </w:p>
        </w:tc>
      </w:tr>
      <w:tr w:rsidR="003B43A0" w:rsidTr="00A33E59">
        <w:tc>
          <w:tcPr>
            <w:tcW w:w="704" w:type="dxa"/>
          </w:tcPr>
          <w:p w:rsidR="003B43A0" w:rsidRPr="00045349" w:rsidRDefault="003B43A0" w:rsidP="00A33E59">
            <w:pPr>
              <w:jc w:val="center"/>
              <w:outlineLvl w:val="0"/>
            </w:pPr>
            <w:r w:rsidRPr="00045349">
              <w:t>22</w:t>
            </w:r>
          </w:p>
        </w:tc>
        <w:tc>
          <w:tcPr>
            <w:tcW w:w="4384" w:type="dxa"/>
          </w:tcPr>
          <w:p w:rsidR="003B43A0" w:rsidRPr="00E43028" w:rsidRDefault="003B43A0" w:rsidP="00A33E59">
            <w:pPr>
              <w:autoSpaceDE w:val="0"/>
              <w:autoSpaceDN w:val="0"/>
              <w:adjustRightInd w:val="0"/>
              <w:ind w:firstLine="0"/>
              <w:jc w:val="left"/>
            </w:pPr>
            <w:r w:rsidRPr="00E43028">
              <w:t>«Налог на прибыль организаций, зачисляемый в бюджеты бюджетной системы Российской Федерации по соответствующим ставкам»</w:t>
            </w:r>
          </w:p>
          <w:p w:rsidR="003B43A0" w:rsidRPr="00E43028" w:rsidRDefault="003B43A0" w:rsidP="00A33E59">
            <w:pPr>
              <w:autoSpaceDE w:val="0"/>
              <w:autoSpaceDN w:val="0"/>
              <w:adjustRightInd w:val="0"/>
              <w:ind w:firstLine="0"/>
              <w:jc w:val="left"/>
            </w:pPr>
            <w:r>
              <w:t>(</w:t>
            </w:r>
            <w:r w:rsidRPr="00E43028">
              <w:t>000 1</w:t>
            </w:r>
            <w:r>
              <w:t xml:space="preserve"> </w:t>
            </w:r>
            <w:r w:rsidRPr="00E43028">
              <w:t>01 01010 00 0000 110</w:t>
            </w:r>
            <w:r>
              <w:t>)</w:t>
            </w:r>
          </w:p>
        </w:tc>
        <w:tc>
          <w:tcPr>
            <w:tcW w:w="1620" w:type="dxa"/>
            <w:vAlign w:val="center"/>
          </w:tcPr>
          <w:p w:rsidR="003B43A0" w:rsidRPr="00AE73E0" w:rsidRDefault="003B43A0" w:rsidP="00A33E59">
            <w:pPr>
              <w:ind w:firstLine="0"/>
              <w:jc w:val="center"/>
              <w:outlineLvl w:val="0"/>
            </w:pPr>
            <w:r>
              <w:t>16 653 054</w:t>
            </w:r>
          </w:p>
        </w:tc>
        <w:tc>
          <w:tcPr>
            <w:tcW w:w="1621" w:type="dxa"/>
            <w:vAlign w:val="center"/>
          </w:tcPr>
          <w:p w:rsidR="003B43A0" w:rsidRPr="00AE73E0" w:rsidRDefault="003B43A0" w:rsidP="00A33E59">
            <w:pPr>
              <w:ind w:firstLine="0"/>
              <w:jc w:val="center"/>
              <w:outlineLvl w:val="0"/>
            </w:pPr>
            <w:r>
              <w:t>17 418 799</w:t>
            </w:r>
          </w:p>
        </w:tc>
        <w:tc>
          <w:tcPr>
            <w:tcW w:w="1637" w:type="dxa"/>
            <w:vAlign w:val="center"/>
          </w:tcPr>
          <w:p w:rsidR="003B43A0" w:rsidRPr="00AE73E0" w:rsidRDefault="003B43A0" w:rsidP="00A33E59">
            <w:pPr>
              <w:ind w:firstLine="0"/>
              <w:jc w:val="center"/>
              <w:outlineLvl w:val="0"/>
            </w:pPr>
            <w:r>
              <w:t>17 958 717</w:t>
            </w:r>
          </w:p>
        </w:tc>
      </w:tr>
      <w:tr w:rsidR="003B43A0" w:rsidRPr="004C7AAD" w:rsidTr="00A33E59">
        <w:tc>
          <w:tcPr>
            <w:tcW w:w="704" w:type="dxa"/>
          </w:tcPr>
          <w:p w:rsidR="003B43A0" w:rsidRPr="00045349" w:rsidRDefault="003B43A0" w:rsidP="00A33E59">
            <w:pPr>
              <w:jc w:val="center"/>
              <w:outlineLvl w:val="0"/>
            </w:pPr>
            <w:r w:rsidRPr="00045349">
              <w:t>13</w:t>
            </w:r>
          </w:p>
        </w:tc>
        <w:tc>
          <w:tcPr>
            <w:tcW w:w="4384" w:type="dxa"/>
          </w:tcPr>
          <w:p w:rsidR="003B43A0" w:rsidRPr="00E43028" w:rsidRDefault="003B43A0" w:rsidP="00A33E59">
            <w:pPr>
              <w:ind w:firstLine="0"/>
              <w:jc w:val="left"/>
              <w:outlineLvl w:val="0"/>
            </w:pPr>
            <w:r w:rsidRPr="00E43028">
              <w:t>«Налог на прибыль организаций (за исключением консолидированных групп налогоплательщиков), зачисляемый в бюджеты субъектов Российской Федерации»)</w:t>
            </w:r>
          </w:p>
          <w:p w:rsidR="003B43A0" w:rsidRPr="00E43028" w:rsidRDefault="003B43A0" w:rsidP="00A33E59">
            <w:pPr>
              <w:ind w:hanging="43"/>
              <w:jc w:val="left"/>
              <w:outlineLvl w:val="0"/>
            </w:pPr>
            <w:r>
              <w:t>(</w:t>
            </w:r>
            <w:r w:rsidRPr="00E43028">
              <w:t>000 1</w:t>
            </w:r>
            <w:r>
              <w:t xml:space="preserve"> </w:t>
            </w:r>
            <w:r w:rsidRPr="00E43028">
              <w:t xml:space="preserve">01 01012 02 0000 110 </w:t>
            </w:r>
            <w:r>
              <w:t>)</w:t>
            </w:r>
            <w:r w:rsidRPr="00E43028">
              <w:t xml:space="preserve"> </w:t>
            </w:r>
          </w:p>
        </w:tc>
        <w:tc>
          <w:tcPr>
            <w:tcW w:w="1620" w:type="dxa"/>
            <w:vAlign w:val="center"/>
          </w:tcPr>
          <w:p w:rsidR="003B43A0" w:rsidRPr="003C7CB3" w:rsidRDefault="003B43A0" w:rsidP="00A33E59">
            <w:pPr>
              <w:ind w:firstLine="0"/>
              <w:jc w:val="center"/>
              <w:outlineLvl w:val="0"/>
            </w:pPr>
            <w:r w:rsidRPr="003C7CB3">
              <w:t>11 970 396</w:t>
            </w:r>
          </w:p>
        </w:tc>
        <w:tc>
          <w:tcPr>
            <w:tcW w:w="1621" w:type="dxa"/>
            <w:vAlign w:val="center"/>
          </w:tcPr>
          <w:p w:rsidR="003B43A0" w:rsidRPr="003C7CB3" w:rsidRDefault="003B43A0" w:rsidP="00A33E59">
            <w:pPr>
              <w:ind w:firstLine="0"/>
              <w:jc w:val="center"/>
              <w:outlineLvl w:val="0"/>
            </w:pPr>
            <w:r w:rsidRPr="003C7CB3">
              <w:t>17 027 179</w:t>
            </w:r>
          </w:p>
        </w:tc>
        <w:tc>
          <w:tcPr>
            <w:tcW w:w="1637" w:type="dxa"/>
            <w:vAlign w:val="center"/>
          </w:tcPr>
          <w:p w:rsidR="003B43A0" w:rsidRPr="003C7CB3" w:rsidRDefault="003B43A0" w:rsidP="00A33E59">
            <w:pPr>
              <w:ind w:firstLine="0"/>
              <w:jc w:val="center"/>
              <w:outlineLvl w:val="0"/>
            </w:pPr>
            <w:r w:rsidRPr="003C7CB3">
              <w:t>17 958 717</w:t>
            </w:r>
          </w:p>
        </w:tc>
      </w:tr>
      <w:tr w:rsidR="003B43A0" w:rsidTr="00A33E59">
        <w:tc>
          <w:tcPr>
            <w:tcW w:w="704" w:type="dxa"/>
          </w:tcPr>
          <w:p w:rsidR="003B43A0" w:rsidRPr="00045349" w:rsidRDefault="003B43A0" w:rsidP="00A33E59">
            <w:pPr>
              <w:jc w:val="center"/>
              <w:outlineLvl w:val="0"/>
            </w:pPr>
            <w:r w:rsidRPr="00045349">
              <w:t>24</w:t>
            </w:r>
          </w:p>
        </w:tc>
        <w:tc>
          <w:tcPr>
            <w:tcW w:w="4384" w:type="dxa"/>
          </w:tcPr>
          <w:p w:rsidR="003B43A0" w:rsidRPr="00E43028" w:rsidRDefault="003B43A0" w:rsidP="00A33E59">
            <w:pPr>
              <w:ind w:firstLine="0"/>
              <w:outlineLvl w:val="0"/>
            </w:pPr>
            <w:r w:rsidRPr="00E43028">
              <w:t xml:space="preserve">«Налог на прибыль организаций консолидированных групп налогоплательщиков, зачисляемый в бюджеты субъектов Российской Федерации» </w:t>
            </w:r>
          </w:p>
          <w:p w:rsidR="003B43A0" w:rsidRPr="00E43028" w:rsidRDefault="003B43A0" w:rsidP="00A33E59">
            <w:pPr>
              <w:ind w:firstLine="0"/>
              <w:outlineLvl w:val="0"/>
            </w:pPr>
            <w:r>
              <w:t>(</w:t>
            </w:r>
            <w:r w:rsidRPr="00E43028">
              <w:t>000 1</w:t>
            </w:r>
            <w:r>
              <w:t xml:space="preserve"> </w:t>
            </w:r>
            <w:r w:rsidRPr="00E43028">
              <w:t>01 01014 02 0000 110</w:t>
            </w:r>
            <w:r>
              <w:t>)</w:t>
            </w:r>
          </w:p>
        </w:tc>
        <w:tc>
          <w:tcPr>
            <w:tcW w:w="1620" w:type="dxa"/>
            <w:vAlign w:val="center"/>
          </w:tcPr>
          <w:p w:rsidR="003B43A0" w:rsidRPr="00AE73E0" w:rsidRDefault="003B43A0" w:rsidP="00A33E59">
            <w:pPr>
              <w:ind w:firstLine="0"/>
              <w:jc w:val="center"/>
              <w:outlineLvl w:val="0"/>
            </w:pPr>
            <w:r>
              <w:t>4 682 658</w:t>
            </w:r>
          </w:p>
        </w:tc>
        <w:tc>
          <w:tcPr>
            <w:tcW w:w="1621" w:type="dxa"/>
            <w:vAlign w:val="center"/>
          </w:tcPr>
          <w:p w:rsidR="003B43A0" w:rsidRPr="00AE73E0" w:rsidRDefault="003B43A0" w:rsidP="00A33E59">
            <w:pPr>
              <w:ind w:firstLine="0"/>
              <w:jc w:val="center"/>
              <w:outlineLvl w:val="0"/>
            </w:pPr>
            <w:r>
              <w:t>391 620</w:t>
            </w:r>
          </w:p>
        </w:tc>
        <w:tc>
          <w:tcPr>
            <w:tcW w:w="1637" w:type="dxa"/>
            <w:vAlign w:val="center"/>
          </w:tcPr>
          <w:p w:rsidR="003B43A0" w:rsidRPr="00AE73E0" w:rsidRDefault="003B43A0" w:rsidP="00A33E59">
            <w:pPr>
              <w:ind w:firstLine="0"/>
              <w:jc w:val="center"/>
              <w:outlineLvl w:val="0"/>
            </w:pPr>
            <w:r>
              <w:t>0</w:t>
            </w:r>
          </w:p>
        </w:tc>
      </w:tr>
    </w:tbl>
    <w:p w:rsidR="003B43A0" w:rsidRPr="003B43A0" w:rsidRDefault="003B43A0" w:rsidP="003B43A0">
      <w:pPr>
        <w:rPr>
          <w:sz w:val="28"/>
          <w:szCs w:val="28"/>
        </w:rPr>
      </w:pPr>
    </w:p>
    <w:p w:rsidR="003B43A0" w:rsidRDefault="003B43A0" w:rsidP="004412F1">
      <w:pPr>
        <w:jc w:val="center"/>
        <w:rPr>
          <w:b/>
          <w:sz w:val="28"/>
          <w:szCs w:val="28"/>
        </w:rPr>
      </w:pPr>
    </w:p>
    <w:p w:rsidR="006B530D" w:rsidRDefault="006B530D" w:rsidP="00210BF6">
      <w:pPr>
        <w:jc w:val="center"/>
        <w:rPr>
          <w:rFonts w:eastAsia="Calibri"/>
          <w:b/>
          <w:sz w:val="28"/>
          <w:szCs w:val="28"/>
          <w:lang w:eastAsia="en-US"/>
        </w:rPr>
      </w:pPr>
      <w:r>
        <w:rPr>
          <w:rFonts w:eastAsia="Calibri"/>
          <w:b/>
          <w:sz w:val="28"/>
          <w:szCs w:val="28"/>
          <w:lang w:eastAsia="en-US"/>
        </w:rPr>
        <w:lastRenderedPageBreak/>
        <w:t>Н</w:t>
      </w:r>
      <w:r w:rsidR="00210BF6" w:rsidRPr="00210BF6">
        <w:rPr>
          <w:rFonts w:eastAsia="Calibri"/>
          <w:b/>
          <w:sz w:val="28"/>
          <w:szCs w:val="28"/>
          <w:lang w:eastAsia="en-US"/>
        </w:rPr>
        <w:t>алог на доходы физических лиц</w:t>
      </w:r>
    </w:p>
    <w:p w:rsidR="00210BF6" w:rsidRPr="00210BF6" w:rsidRDefault="00210BF6" w:rsidP="00210BF6">
      <w:pPr>
        <w:jc w:val="center"/>
        <w:rPr>
          <w:rFonts w:eastAsia="Calibri"/>
          <w:b/>
          <w:sz w:val="28"/>
          <w:szCs w:val="28"/>
          <w:lang w:eastAsia="en-US"/>
        </w:rPr>
      </w:pPr>
      <w:r w:rsidRPr="00210BF6">
        <w:rPr>
          <w:rFonts w:eastAsia="Calibri"/>
          <w:b/>
          <w:sz w:val="28"/>
          <w:szCs w:val="28"/>
          <w:lang w:eastAsia="en-US"/>
        </w:rPr>
        <w:t xml:space="preserve">на 2022 </w:t>
      </w:r>
      <w:r w:rsidR="006B530D">
        <w:rPr>
          <w:rFonts w:eastAsia="Calibri"/>
          <w:b/>
          <w:sz w:val="28"/>
          <w:szCs w:val="28"/>
          <w:lang w:eastAsia="en-US"/>
        </w:rPr>
        <w:t>- 2024 годы</w:t>
      </w:r>
    </w:p>
    <w:p w:rsidR="00210BF6" w:rsidRPr="00210BF6" w:rsidRDefault="00210BF6" w:rsidP="00210BF6">
      <w:pPr>
        <w:jc w:val="center"/>
        <w:rPr>
          <w:rFonts w:eastAsia="Calibri"/>
          <w:b/>
          <w:sz w:val="28"/>
          <w:szCs w:val="28"/>
          <w:lang w:eastAsia="en-US"/>
        </w:rPr>
      </w:pPr>
    </w:p>
    <w:p w:rsidR="00210BF6" w:rsidRPr="00210BF6" w:rsidRDefault="00210BF6" w:rsidP="00210BF6">
      <w:pPr>
        <w:ind w:firstLine="567"/>
        <w:jc w:val="both"/>
        <w:rPr>
          <w:rFonts w:eastAsia="Calibri"/>
          <w:sz w:val="28"/>
          <w:szCs w:val="28"/>
          <w:lang w:eastAsia="en-US"/>
        </w:rPr>
      </w:pPr>
      <w:r w:rsidRPr="00210BF6">
        <w:rPr>
          <w:rFonts w:eastAsia="Calibri"/>
          <w:sz w:val="28"/>
          <w:szCs w:val="28"/>
          <w:lang w:eastAsia="en-US"/>
        </w:rPr>
        <w:t>Главным администратором доходов по налогу на доходы физических лиц является Управление Федеральной налоговой службы по Тверской области (код главного администратора доходов 182).</w:t>
      </w:r>
    </w:p>
    <w:p w:rsidR="00210BF6" w:rsidRPr="00210BF6" w:rsidRDefault="00210BF6" w:rsidP="00210BF6">
      <w:pPr>
        <w:ind w:firstLine="567"/>
        <w:jc w:val="both"/>
        <w:rPr>
          <w:rFonts w:eastAsia="Calibri"/>
          <w:sz w:val="28"/>
          <w:szCs w:val="28"/>
          <w:lang w:eastAsia="en-US"/>
        </w:rPr>
      </w:pPr>
      <w:r w:rsidRPr="00210BF6">
        <w:rPr>
          <w:rFonts w:eastAsia="Calibri"/>
          <w:sz w:val="28"/>
          <w:szCs w:val="28"/>
          <w:lang w:eastAsia="en-US"/>
        </w:rPr>
        <w:t>Прогноз налога на доходы физических лиц в областной бюджет Тверской области:</w:t>
      </w:r>
    </w:p>
    <w:p w:rsidR="00210BF6" w:rsidRPr="00210BF6" w:rsidRDefault="00210BF6" w:rsidP="00210BF6">
      <w:pPr>
        <w:jc w:val="right"/>
        <w:rPr>
          <w:rFonts w:eastAsia="Calibri"/>
          <w:sz w:val="28"/>
          <w:szCs w:val="28"/>
          <w:lang w:eastAsia="en-US"/>
        </w:rPr>
      </w:pPr>
      <w:r w:rsidRPr="00210BF6">
        <w:rPr>
          <w:rFonts w:eastAsia="Calibri"/>
          <w:sz w:val="28"/>
          <w:szCs w:val="28"/>
          <w:lang w:eastAsia="en-US"/>
        </w:rPr>
        <w:t>(в тыс. руб.)</w:t>
      </w:r>
    </w:p>
    <w:tbl>
      <w:tblPr>
        <w:tblStyle w:val="710"/>
        <w:tblW w:w="10060" w:type="dxa"/>
        <w:tblLook w:val="04A0" w:firstRow="1" w:lastRow="0" w:firstColumn="1" w:lastColumn="0" w:noHBand="0" w:noVBand="1"/>
      </w:tblPr>
      <w:tblGrid>
        <w:gridCol w:w="5051"/>
        <w:gridCol w:w="1607"/>
        <w:gridCol w:w="1701"/>
        <w:gridCol w:w="1701"/>
      </w:tblGrid>
      <w:tr w:rsidR="00210BF6" w:rsidRPr="00210BF6" w:rsidTr="00D618FE">
        <w:tc>
          <w:tcPr>
            <w:tcW w:w="5051" w:type="dxa"/>
          </w:tcPr>
          <w:p w:rsidR="00210BF6" w:rsidRPr="00210BF6" w:rsidRDefault="00210BF6" w:rsidP="00210BF6">
            <w:pPr>
              <w:jc w:val="center"/>
              <w:rPr>
                <w:rFonts w:ascii="Times New Roman" w:hAnsi="Times New Roman" w:cs="Times New Roman"/>
              </w:rPr>
            </w:pPr>
            <w:r w:rsidRPr="00210BF6">
              <w:rPr>
                <w:rFonts w:ascii="Times New Roman" w:hAnsi="Times New Roman" w:cs="Times New Roman"/>
              </w:rPr>
              <w:t>Наименование (КБК)</w:t>
            </w:r>
          </w:p>
        </w:tc>
        <w:tc>
          <w:tcPr>
            <w:tcW w:w="1607" w:type="dxa"/>
          </w:tcPr>
          <w:p w:rsidR="00210BF6" w:rsidRPr="00D618FE" w:rsidRDefault="00210BF6" w:rsidP="00D618FE">
            <w:pPr>
              <w:jc w:val="center"/>
              <w:rPr>
                <w:rFonts w:ascii="Times New Roman" w:hAnsi="Times New Roman" w:cs="Times New Roman"/>
                <w:b/>
                <w:sz w:val="28"/>
              </w:rPr>
            </w:pPr>
            <w:r w:rsidRPr="00D618FE">
              <w:rPr>
                <w:rFonts w:ascii="Times New Roman" w:hAnsi="Times New Roman" w:cs="Times New Roman"/>
                <w:b/>
                <w:sz w:val="28"/>
              </w:rPr>
              <w:t>Прогноз на 2022 г</w:t>
            </w:r>
            <w:r w:rsidR="00D618FE">
              <w:rPr>
                <w:rFonts w:ascii="Times New Roman" w:hAnsi="Times New Roman" w:cs="Times New Roman"/>
                <w:b/>
                <w:sz w:val="28"/>
              </w:rPr>
              <w:t>.</w:t>
            </w:r>
          </w:p>
        </w:tc>
        <w:tc>
          <w:tcPr>
            <w:tcW w:w="1701" w:type="dxa"/>
          </w:tcPr>
          <w:p w:rsidR="00210BF6" w:rsidRPr="00D618FE" w:rsidRDefault="00210BF6" w:rsidP="00D618FE">
            <w:pPr>
              <w:jc w:val="center"/>
              <w:rPr>
                <w:rFonts w:ascii="Times New Roman" w:hAnsi="Times New Roman" w:cs="Times New Roman"/>
                <w:b/>
                <w:sz w:val="28"/>
              </w:rPr>
            </w:pPr>
            <w:r w:rsidRPr="00D618FE">
              <w:rPr>
                <w:rFonts w:ascii="Times New Roman" w:hAnsi="Times New Roman" w:cs="Times New Roman"/>
                <w:b/>
                <w:sz w:val="28"/>
              </w:rPr>
              <w:t xml:space="preserve">Прогноз на 2023 </w:t>
            </w:r>
            <w:r w:rsidR="00D618FE">
              <w:rPr>
                <w:rFonts w:ascii="Times New Roman" w:hAnsi="Times New Roman" w:cs="Times New Roman"/>
                <w:b/>
                <w:sz w:val="28"/>
              </w:rPr>
              <w:t>г.</w:t>
            </w:r>
          </w:p>
        </w:tc>
        <w:tc>
          <w:tcPr>
            <w:tcW w:w="1701" w:type="dxa"/>
          </w:tcPr>
          <w:p w:rsidR="00210BF6" w:rsidRPr="00D618FE" w:rsidRDefault="00210BF6" w:rsidP="00210BF6">
            <w:pPr>
              <w:jc w:val="center"/>
              <w:rPr>
                <w:rFonts w:ascii="Times New Roman" w:hAnsi="Times New Roman" w:cs="Times New Roman"/>
                <w:b/>
                <w:sz w:val="28"/>
              </w:rPr>
            </w:pPr>
            <w:r w:rsidRPr="00D618FE">
              <w:rPr>
                <w:rFonts w:ascii="Times New Roman" w:hAnsi="Times New Roman" w:cs="Times New Roman"/>
                <w:b/>
                <w:sz w:val="28"/>
              </w:rPr>
              <w:t>Прогноз на</w:t>
            </w:r>
          </w:p>
          <w:p w:rsidR="00210BF6" w:rsidRDefault="00210BF6" w:rsidP="00D618FE">
            <w:pPr>
              <w:jc w:val="center"/>
              <w:rPr>
                <w:rFonts w:ascii="Times New Roman" w:hAnsi="Times New Roman" w:cs="Times New Roman"/>
                <w:b/>
                <w:sz w:val="28"/>
              </w:rPr>
            </w:pPr>
            <w:r w:rsidRPr="00D618FE">
              <w:rPr>
                <w:rFonts w:ascii="Times New Roman" w:hAnsi="Times New Roman" w:cs="Times New Roman"/>
                <w:b/>
                <w:sz w:val="28"/>
              </w:rPr>
              <w:t>2024 г</w:t>
            </w:r>
            <w:r w:rsidR="00D618FE">
              <w:rPr>
                <w:rFonts w:ascii="Times New Roman" w:hAnsi="Times New Roman" w:cs="Times New Roman"/>
                <w:b/>
                <w:sz w:val="28"/>
              </w:rPr>
              <w:t>.</w:t>
            </w:r>
          </w:p>
          <w:p w:rsidR="00D618FE" w:rsidRPr="00D618FE" w:rsidRDefault="00D618FE" w:rsidP="00D618FE">
            <w:pPr>
              <w:jc w:val="center"/>
              <w:rPr>
                <w:rFonts w:ascii="Times New Roman" w:hAnsi="Times New Roman" w:cs="Times New Roman"/>
                <w:b/>
                <w:sz w:val="28"/>
              </w:rPr>
            </w:pPr>
          </w:p>
        </w:tc>
      </w:tr>
      <w:tr w:rsidR="00210BF6" w:rsidRPr="00210BF6" w:rsidTr="00D618FE">
        <w:tc>
          <w:tcPr>
            <w:tcW w:w="5051" w:type="dxa"/>
          </w:tcPr>
          <w:p w:rsidR="00210BF6" w:rsidRPr="00304D0B" w:rsidRDefault="00210BF6" w:rsidP="00210BF6">
            <w:pPr>
              <w:jc w:val="both"/>
              <w:rPr>
                <w:rFonts w:ascii="Times New Roman" w:hAnsi="Times New Roman" w:cs="Times New Roman"/>
                <w:b/>
                <w:color w:val="000000"/>
                <w:shd w:val="clear" w:color="auto" w:fill="FFFFFF"/>
              </w:rPr>
            </w:pPr>
            <w:r w:rsidRPr="00304D0B">
              <w:rPr>
                <w:rFonts w:ascii="Times New Roman" w:hAnsi="Times New Roman" w:cs="Times New Roman"/>
                <w:b/>
                <w:color w:val="000000"/>
                <w:shd w:val="clear" w:color="auto" w:fill="FFFFFF"/>
              </w:rPr>
              <w:t xml:space="preserve">Налог на доходы физических лиц в областной бюджет Тверской области </w:t>
            </w:r>
          </w:p>
          <w:p w:rsidR="00210BF6" w:rsidRPr="00210BF6" w:rsidRDefault="00210BF6" w:rsidP="00210BF6">
            <w:pPr>
              <w:jc w:val="both"/>
              <w:rPr>
                <w:rFonts w:ascii="Times New Roman" w:hAnsi="Times New Roman" w:cs="Times New Roman"/>
              </w:rPr>
            </w:pPr>
            <w:r w:rsidRPr="00210BF6">
              <w:rPr>
                <w:rFonts w:ascii="Times New Roman" w:hAnsi="Times New Roman" w:cs="Times New Roman"/>
                <w:color w:val="000000"/>
                <w:shd w:val="clear" w:color="auto" w:fill="FFFFFF"/>
              </w:rPr>
              <w:t xml:space="preserve">( 000 </w:t>
            </w:r>
            <w:r w:rsidRPr="00210BF6">
              <w:rPr>
                <w:rFonts w:ascii="Times New Roman" w:hAnsi="Times New Roman" w:cs="Times New Roman"/>
                <w:color w:val="333333"/>
                <w:shd w:val="clear" w:color="auto" w:fill="FFFFFF"/>
              </w:rPr>
              <w:t>1 01 02000 01 0000 110)</w:t>
            </w:r>
          </w:p>
        </w:tc>
        <w:tc>
          <w:tcPr>
            <w:tcW w:w="1607" w:type="dxa"/>
          </w:tcPr>
          <w:p w:rsidR="00210BF6" w:rsidRPr="00210BF6" w:rsidRDefault="009066E8" w:rsidP="00C309F7">
            <w:pPr>
              <w:jc w:val="right"/>
              <w:rPr>
                <w:rFonts w:ascii="Times New Roman" w:hAnsi="Times New Roman" w:cs="Times New Roman"/>
                <w:b/>
              </w:rPr>
            </w:pPr>
            <w:r>
              <w:rPr>
                <w:rFonts w:ascii="Times New Roman" w:hAnsi="Times New Roman" w:cs="Times New Roman"/>
                <w:b/>
              </w:rPr>
              <w:t>16 403 870,0</w:t>
            </w:r>
          </w:p>
        </w:tc>
        <w:tc>
          <w:tcPr>
            <w:tcW w:w="1701" w:type="dxa"/>
          </w:tcPr>
          <w:p w:rsidR="00210BF6" w:rsidRPr="00210BF6" w:rsidRDefault="009066E8" w:rsidP="00C309F7">
            <w:pPr>
              <w:jc w:val="right"/>
              <w:rPr>
                <w:rFonts w:ascii="Times New Roman" w:hAnsi="Times New Roman" w:cs="Times New Roman"/>
                <w:b/>
              </w:rPr>
            </w:pPr>
            <w:r>
              <w:rPr>
                <w:rFonts w:ascii="Times New Roman" w:hAnsi="Times New Roman" w:cs="Times New Roman"/>
                <w:b/>
              </w:rPr>
              <w:t>17 355 765,0</w:t>
            </w:r>
          </w:p>
        </w:tc>
        <w:tc>
          <w:tcPr>
            <w:tcW w:w="1701" w:type="dxa"/>
          </w:tcPr>
          <w:p w:rsidR="00210BF6" w:rsidRPr="00210BF6" w:rsidRDefault="009066E8" w:rsidP="00C309F7">
            <w:pPr>
              <w:jc w:val="right"/>
              <w:rPr>
                <w:rFonts w:ascii="Times New Roman" w:hAnsi="Times New Roman" w:cs="Times New Roman"/>
                <w:b/>
              </w:rPr>
            </w:pPr>
            <w:r>
              <w:rPr>
                <w:rFonts w:ascii="Times New Roman" w:hAnsi="Times New Roman" w:cs="Times New Roman"/>
                <w:b/>
              </w:rPr>
              <w:t>18 380 340,0</w:t>
            </w:r>
          </w:p>
        </w:tc>
      </w:tr>
      <w:tr w:rsidR="00210BF6" w:rsidRPr="00210BF6" w:rsidTr="00D618FE">
        <w:tc>
          <w:tcPr>
            <w:tcW w:w="5051" w:type="dxa"/>
          </w:tcPr>
          <w:p w:rsidR="00210BF6" w:rsidRPr="00210BF6" w:rsidRDefault="00210BF6" w:rsidP="00210BF6">
            <w:pPr>
              <w:jc w:val="both"/>
              <w:rPr>
                <w:rFonts w:ascii="Times New Roman" w:hAnsi="Times New Roman" w:cs="Times New Roman"/>
                <w:color w:val="000000"/>
                <w:shd w:val="clear" w:color="auto" w:fill="FFFFFF"/>
              </w:rPr>
            </w:pPr>
            <w:r w:rsidRPr="00210BF6">
              <w:rPr>
                <w:rFonts w:ascii="Times New Roman" w:hAnsi="Times New Roman" w:cs="Times New Roman"/>
                <w:color w:val="000000"/>
                <w:shd w:val="clear" w:color="auto" w:fill="FFFFFF"/>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p w:rsidR="00210BF6" w:rsidRPr="00210BF6" w:rsidRDefault="00210BF6" w:rsidP="00210BF6">
            <w:pPr>
              <w:jc w:val="both"/>
              <w:rPr>
                <w:rFonts w:ascii="Times New Roman" w:hAnsi="Times New Roman" w:cs="Times New Roman"/>
              </w:rPr>
            </w:pPr>
            <w:r w:rsidRPr="00210BF6">
              <w:rPr>
                <w:rFonts w:ascii="Times New Roman" w:hAnsi="Times New Roman" w:cs="Times New Roman"/>
                <w:color w:val="000000"/>
                <w:shd w:val="clear" w:color="auto" w:fill="FFFFFF"/>
              </w:rPr>
              <w:t xml:space="preserve">(000 </w:t>
            </w:r>
            <w:r w:rsidRPr="00210BF6">
              <w:rPr>
                <w:rFonts w:ascii="Times New Roman" w:hAnsi="Times New Roman" w:cs="Times New Roman"/>
                <w:color w:val="333333"/>
                <w:shd w:val="clear" w:color="auto" w:fill="FFFFFF"/>
              </w:rPr>
              <w:t>1 01 02010 01 0000 110)</w:t>
            </w:r>
          </w:p>
        </w:tc>
        <w:tc>
          <w:tcPr>
            <w:tcW w:w="1607" w:type="dxa"/>
          </w:tcPr>
          <w:p w:rsidR="00210BF6" w:rsidRPr="00210BF6" w:rsidRDefault="00D00933" w:rsidP="00C309F7">
            <w:pPr>
              <w:jc w:val="right"/>
              <w:rPr>
                <w:rFonts w:ascii="Times New Roman" w:hAnsi="Times New Roman" w:cs="Times New Roman"/>
              </w:rPr>
            </w:pPr>
            <w:r>
              <w:rPr>
                <w:rFonts w:ascii="Times New Roman" w:hAnsi="Times New Roman" w:cs="Times New Roman"/>
              </w:rPr>
              <w:t>15 121 549,0</w:t>
            </w:r>
          </w:p>
        </w:tc>
        <w:tc>
          <w:tcPr>
            <w:tcW w:w="1701" w:type="dxa"/>
          </w:tcPr>
          <w:p w:rsidR="00210BF6" w:rsidRPr="00210BF6" w:rsidRDefault="00D00933" w:rsidP="00C309F7">
            <w:pPr>
              <w:jc w:val="right"/>
              <w:rPr>
                <w:rFonts w:ascii="Times New Roman" w:hAnsi="Times New Roman" w:cs="Times New Roman"/>
              </w:rPr>
            </w:pPr>
            <w:r>
              <w:rPr>
                <w:rFonts w:ascii="Times New Roman" w:hAnsi="Times New Roman" w:cs="Times New Roman"/>
              </w:rPr>
              <w:t>16 015 602,0</w:t>
            </w:r>
          </w:p>
        </w:tc>
        <w:tc>
          <w:tcPr>
            <w:tcW w:w="1701" w:type="dxa"/>
          </w:tcPr>
          <w:p w:rsidR="00210BF6" w:rsidRPr="00210BF6" w:rsidRDefault="00D00933" w:rsidP="00C309F7">
            <w:pPr>
              <w:jc w:val="right"/>
              <w:rPr>
                <w:rFonts w:ascii="Times New Roman" w:hAnsi="Times New Roman" w:cs="Times New Roman"/>
              </w:rPr>
            </w:pPr>
            <w:r>
              <w:rPr>
                <w:rFonts w:ascii="Times New Roman" w:hAnsi="Times New Roman" w:cs="Times New Roman"/>
              </w:rPr>
              <w:t>16 972 863,0</w:t>
            </w:r>
          </w:p>
        </w:tc>
      </w:tr>
      <w:tr w:rsidR="00210BF6" w:rsidRPr="00210BF6" w:rsidTr="00D618FE">
        <w:tc>
          <w:tcPr>
            <w:tcW w:w="5051" w:type="dxa"/>
          </w:tcPr>
          <w:p w:rsidR="00210BF6" w:rsidRPr="00210BF6" w:rsidRDefault="00210BF6" w:rsidP="00210BF6">
            <w:pPr>
              <w:jc w:val="both"/>
              <w:rPr>
                <w:rFonts w:ascii="Times New Roman" w:hAnsi="Times New Roman" w:cs="Times New Roman"/>
                <w:color w:val="000000"/>
                <w:shd w:val="clear" w:color="auto" w:fill="FFFFFF"/>
              </w:rPr>
            </w:pPr>
            <w:r w:rsidRPr="00210BF6">
              <w:rPr>
                <w:rFonts w:ascii="Times New Roman" w:hAnsi="Times New Roman" w:cs="Times New Roman"/>
                <w:color w:val="000000"/>
                <w:shd w:val="clear" w:color="auto" w:fill="FFFFFF"/>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p w:rsidR="00210BF6" w:rsidRPr="00210BF6" w:rsidRDefault="00210BF6" w:rsidP="00210BF6">
            <w:pPr>
              <w:jc w:val="both"/>
              <w:rPr>
                <w:rFonts w:ascii="Times New Roman" w:hAnsi="Times New Roman" w:cs="Times New Roman"/>
              </w:rPr>
            </w:pPr>
            <w:r w:rsidRPr="00210BF6">
              <w:rPr>
                <w:rFonts w:ascii="Times New Roman" w:hAnsi="Times New Roman" w:cs="Times New Roman"/>
                <w:color w:val="000000"/>
                <w:shd w:val="clear" w:color="auto" w:fill="FFFFFF"/>
              </w:rPr>
              <w:t xml:space="preserve"> (000 </w:t>
            </w:r>
            <w:r w:rsidRPr="00210BF6">
              <w:rPr>
                <w:rFonts w:ascii="Times New Roman" w:hAnsi="Times New Roman" w:cs="Times New Roman"/>
                <w:color w:val="333333"/>
                <w:shd w:val="clear" w:color="auto" w:fill="FFFFFF"/>
              </w:rPr>
              <w:t>1 01 02020 01 0000 110)</w:t>
            </w:r>
          </w:p>
        </w:tc>
        <w:tc>
          <w:tcPr>
            <w:tcW w:w="1607" w:type="dxa"/>
          </w:tcPr>
          <w:p w:rsidR="00210BF6" w:rsidRPr="00210BF6" w:rsidRDefault="00A86842" w:rsidP="00C309F7">
            <w:pPr>
              <w:jc w:val="center"/>
              <w:rPr>
                <w:rFonts w:ascii="Times New Roman" w:hAnsi="Times New Roman" w:cs="Times New Roman"/>
              </w:rPr>
            </w:pPr>
            <w:r>
              <w:rPr>
                <w:rFonts w:ascii="Times New Roman" w:hAnsi="Times New Roman" w:cs="Times New Roman"/>
              </w:rPr>
              <w:t>122 312,0</w:t>
            </w:r>
          </w:p>
        </w:tc>
        <w:tc>
          <w:tcPr>
            <w:tcW w:w="1701" w:type="dxa"/>
          </w:tcPr>
          <w:p w:rsidR="00210BF6" w:rsidRPr="00210BF6" w:rsidRDefault="00A86842" w:rsidP="00C309F7">
            <w:pPr>
              <w:jc w:val="right"/>
              <w:rPr>
                <w:rFonts w:ascii="Times New Roman" w:hAnsi="Times New Roman" w:cs="Times New Roman"/>
              </w:rPr>
            </w:pPr>
            <w:r>
              <w:rPr>
                <w:rFonts w:ascii="Times New Roman" w:hAnsi="Times New Roman" w:cs="Times New Roman"/>
              </w:rPr>
              <w:t>129 260,0</w:t>
            </w:r>
          </w:p>
        </w:tc>
        <w:tc>
          <w:tcPr>
            <w:tcW w:w="1701" w:type="dxa"/>
          </w:tcPr>
          <w:p w:rsidR="00210BF6" w:rsidRPr="00210BF6" w:rsidRDefault="00A86842" w:rsidP="00C309F7">
            <w:pPr>
              <w:jc w:val="right"/>
              <w:rPr>
                <w:rFonts w:ascii="Times New Roman" w:hAnsi="Times New Roman" w:cs="Times New Roman"/>
              </w:rPr>
            </w:pPr>
            <w:r>
              <w:rPr>
                <w:rFonts w:ascii="Times New Roman" w:hAnsi="Times New Roman" w:cs="Times New Roman"/>
              </w:rPr>
              <w:t>136 737,0</w:t>
            </w:r>
          </w:p>
        </w:tc>
      </w:tr>
      <w:tr w:rsidR="00210BF6" w:rsidRPr="00210BF6" w:rsidTr="00D618FE">
        <w:trPr>
          <w:trHeight w:val="1850"/>
        </w:trPr>
        <w:tc>
          <w:tcPr>
            <w:tcW w:w="5051" w:type="dxa"/>
          </w:tcPr>
          <w:p w:rsidR="00210BF6" w:rsidRPr="00210BF6" w:rsidRDefault="00210BF6" w:rsidP="00210BF6">
            <w:pPr>
              <w:jc w:val="both"/>
              <w:rPr>
                <w:rFonts w:ascii="Times New Roman" w:hAnsi="Times New Roman" w:cs="Times New Roman"/>
                <w:color w:val="000000"/>
                <w:shd w:val="clear" w:color="auto" w:fill="FFFFFF"/>
              </w:rPr>
            </w:pPr>
            <w:r w:rsidRPr="00210BF6">
              <w:rPr>
                <w:rFonts w:ascii="Times New Roman" w:hAnsi="Times New Roman" w:cs="Times New Roman"/>
                <w:color w:val="000000"/>
                <w:shd w:val="clear" w:color="auto" w:fill="FFFFFF"/>
              </w:rPr>
              <w:t xml:space="preserve">Налог на доходы физических лиц с доходов, полученных физическими лицами в соответствии со статьей 228 Налогового кодекса Российской Федерации </w:t>
            </w:r>
          </w:p>
          <w:p w:rsidR="00210BF6" w:rsidRPr="00210BF6" w:rsidRDefault="00210BF6" w:rsidP="00210BF6">
            <w:pPr>
              <w:jc w:val="both"/>
              <w:rPr>
                <w:rFonts w:ascii="Times New Roman" w:hAnsi="Times New Roman" w:cs="Times New Roman"/>
              </w:rPr>
            </w:pPr>
            <w:r w:rsidRPr="00210BF6">
              <w:rPr>
                <w:rFonts w:ascii="Times New Roman" w:hAnsi="Times New Roman" w:cs="Times New Roman"/>
                <w:color w:val="000000"/>
                <w:shd w:val="clear" w:color="auto" w:fill="FFFFFF"/>
              </w:rPr>
              <w:t xml:space="preserve">(000 </w:t>
            </w:r>
            <w:r w:rsidRPr="00210BF6">
              <w:rPr>
                <w:rFonts w:ascii="Times New Roman" w:hAnsi="Times New Roman" w:cs="Times New Roman"/>
                <w:color w:val="333333"/>
                <w:shd w:val="clear" w:color="auto" w:fill="FFFFFF"/>
              </w:rPr>
              <w:t>1 01 02030 01 0000 110)</w:t>
            </w:r>
          </w:p>
        </w:tc>
        <w:tc>
          <w:tcPr>
            <w:tcW w:w="1607" w:type="dxa"/>
          </w:tcPr>
          <w:p w:rsidR="00210BF6" w:rsidRPr="00210BF6" w:rsidRDefault="00A86842" w:rsidP="00C309F7">
            <w:pPr>
              <w:jc w:val="right"/>
              <w:rPr>
                <w:rFonts w:ascii="Times New Roman" w:hAnsi="Times New Roman" w:cs="Times New Roman"/>
              </w:rPr>
            </w:pPr>
            <w:r>
              <w:rPr>
                <w:rFonts w:ascii="Times New Roman" w:hAnsi="Times New Roman" w:cs="Times New Roman"/>
              </w:rPr>
              <w:t>162 823,0</w:t>
            </w:r>
          </w:p>
        </w:tc>
        <w:tc>
          <w:tcPr>
            <w:tcW w:w="1701" w:type="dxa"/>
          </w:tcPr>
          <w:p w:rsidR="00210BF6" w:rsidRPr="00210BF6" w:rsidRDefault="00A86842" w:rsidP="00C309F7">
            <w:pPr>
              <w:jc w:val="right"/>
              <w:rPr>
                <w:rFonts w:ascii="Times New Roman" w:hAnsi="Times New Roman" w:cs="Times New Roman"/>
              </w:rPr>
            </w:pPr>
            <w:r>
              <w:rPr>
                <w:rFonts w:ascii="Times New Roman" w:hAnsi="Times New Roman" w:cs="Times New Roman"/>
              </w:rPr>
              <w:t>172 104,0</w:t>
            </w:r>
          </w:p>
        </w:tc>
        <w:tc>
          <w:tcPr>
            <w:tcW w:w="1701" w:type="dxa"/>
          </w:tcPr>
          <w:p w:rsidR="00210BF6" w:rsidRPr="00210BF6" w:rsidRDefault="00A86842" w:rsidP="00C309F7">
            <w:pPr>
              <w:jc w:val="right"/>
              <w:rPr>
                <w:rFonts w:ascii="Times New Roman" w:hAnsi="Times New Roman" w:cs="Times New Roman"/>
              </w:rPr>
            </w:pPr>
            <w:r>
              <w:rPr>
                <w:rFonts w:ascii="Times New Roman" w:hAnsi="Times New Roman" w:cs="Times New Roman"/>
              </w:rPr>
              <w:t>182 105,0</w:t>
            </w:r>
          </w:p>
        </w:tc>
      </w:tr>
      <w:tr w:rsidR="00210BF6" w:rsidRPr="00210BF6" w:rsidTr="00D618FE">
        <w:tc>
          <w:tcPr>
            <w:tcW w:w="5051" w:type="dxa"/>
          </w:tcPr>
          <w:p w:rsidR="00210BF6" w:rsidRPr="00210BF6" w:rsidRDefault="00210BF6" w:rsidP="00210BF6">
            <w:pPr>
              <w:jc w:val="both"/>
              <w:rPr>
                <w:rFonts w:ascii="Times New Roman" w:hAnsi="Times New Roman" w:cs="Times New Roman"/>
                <w:color w:val="000000"/>
                <w:shd w:val="clear" w:color="auto" w:fill="FFFFFF"/>
              </w:rPr>
            </w:pPr>
            <w:r w:rsidRPr="00210BF6">
              <w:rPr>
                <w:rFonts w:ascii="Times New Roman" w:hAnsi="Times New Roman" w:cs="Times New Roman"/>
                <w:color w:val="000000"/>
                <w:shd w:val="clear" w:color="auto" w:fill="FFFFFF"/>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w:t>
            </w:r>
          </w:p>
          <w:p w:rsidR="00210BF6" w:rsidRPr="00210BF6" w:rsidRDefault="00210BF6" w:rsidP="00210BF6">
            <w:pPr>
              <w:jc w:val="both"/>
              <w:rPr>
                <w:rFonts w:ascii="Times New Roman" w:hAnsi="Times New Roman" w:cs="Times New Roman"/>
              </w:rPr>
            </w:pPr>
            <w:r w:rsidRPr="00210BF6">
              <w:rPr>
                <w:rFonts w:ascii="Times New Roman" w:hAnsi="Times New Roman" w:cs="Times New Roman"/>
                <w:color w:val="000000"/>
                <w:shd w:val="clear" w:color="auto" w:fill="FFFFFF"/>
              </w:rPr>
              <w:t xml:space="preserve">(000 </w:t>
            </w:r>
            <w:r w:rsidRPr="00210BF6">
              <w:rPr>
                <w:rFonts w:ascii="Times New Roman" w:hAnsi="Times New Roman" w:cs="Times New Roman"/>
                <w:color w:val="333333"/>
                <w:shd w:val="clear" w:color="auto" w:fill="FFFFFF"/>
              </w:rPr>
              <w:t>1 01 02040 01 0000 110)</w:t>
            </w:r>
          </w:p>
        </w:tc>
        <w:tc>
          <w:tcPr>
            <w:tcW w:w="1607" w:type="dxa"/>
          </w:tcPr>
          <w:p w:rsidR="00210BF6" w:rsidRPr="00210BF6" w:rsidRDefault="00210BF6" w:rsidP="00C309F7">
            <w:pPr>
              <w:jc w:val="right"/>
              <w:rPr>
                <w:rFonts w:ascii="Times New Roman" w:hAnsi="Times New Roman" w:cs="Times New Roman"/>
              </w:rPr>
            </w:pPr>
            <w:r w:rsidRPr="00210BF6">
              <w:rPr>
                <w:rFonts w:ascii="Times New Roman" w:hAnsi="Times New Roman" w:cs="Times New Roman"/>
              </w:rPr>
              <w:t>330 7</w:t>
            </w:r>
            <w:r w:rsidR="00C309F7">
              <w:rPr>
                <w:rFonts w:ascii="Times New Roman" w:hAnsi="Times New Roman" w:cs="Times New Roman"/>
              </w:rPr>
              <w:t>33</w:t>
            </w:r>
            <w:r w:rsidRPr="00210BF6">
              <w:rPr>
                <w:rFonts w:ascii="Times New Roman" w:hAnsi="Times New Roman" w:cs="Times New Roman"/>
              </w:rPr>
              <w:t>,0</w:t>
            </w:r>
          </w:p>
        </w:tc>
        <w:tc>
          <w:tcPr>
            <w:tcW w:w="1701" w:type="dxa"/>
          </w:tcPr>
          <w:p w:rsidR="00210BF6" w:rsidRPr="00210BF6" w:rsidRDefault="00210BF6" w:rsidP="00C309F7">
            <w:pPr>
              <w:jc w:val="right"/>
              <w:rPr>
                <w:rFonts w:ascii="Times New Roman" w:hAnsi="Times New Roman" w:cs="Times New Roman"/>
              </w:rPr>
            </w:pPr>
            <w:r w:rsidRPr="00210BF6">
              <w:rPr>
                <w:rFonts w:ascii="Times New Roman" w:hAnsi="Times New Roman" w:cs="Times New Roman"/>
              </w:rPr>
              <w:t>330 7</w:t>
            </w:r>
            <w:r w:rsidR="00C309F7">
              <w:rPr>
                <w:rFonts w:ascii="Times New Roman" w:hAnsi="Times New Roman" w:cs="Times New Roman"/>
              </w:rPr>
              <w:t>33</w:t>
            </w:r>
            <w:r w:rsidRPr="00210BF6">
              <w:rPr>
                <w:rFonts w:ascii="Times New Roman" w:hAnsi="Times New Roman" w:cs="Times New Roman"/>
              </w:rPr>
              <w:t>,0</w:t>
            </w:r>
          </w:p>
        </w:tc>
        <w:tc>
          <w:tcPr>
            <w:tcW w:w="1701" w:type="dxa"/>
          </w:tcPr>
          <w:p w:rsidR="00210BF6" w:rsidRPr="00210BF6" w:rsidRDefault="00210BF6" w:rsidP="00C309F7">
            <w:pPr>
              <w:jc w:val="right"/>
              <w:rPr>
                <w:rFonts w:ascii="Times New Roman" w:hAnsi="Times New Roman" w:cs="Times New Roman"/>
              </w:rPr>
            </w:pPr>
            <w:r w:rsidRPr="00210BF6">
              <w:rPr>
                <w:rFonts w:ascii="Times New Roman" w:hAnsi="Times New Roman" w:cs="Times New Roman"/>
              </w:rPr>
              <w:t>330 7</w:t>
            </w:r>
            <w:r w:rsidR="00C309F7">
              <w:rPr>
                <w:rFonts w:ascii="Times New Roman" w:hAnsi="Times New Roman" w:cs="Times New Roman"/>
              </w:rPr>
              <w:t>33</w:t>
            </w:r>
            <w:r w:rsidRPr="00210BF6">
              <w:rPr>
                <w:rFonts w:ascii="Times New Roman" w:hAnsi="Times New Roman" w:cs="Times New Roman"/>
              </w:rPr>
              <w:t>,0</w:t>
            </w:r>
          </w:p>
        </w:tc>
      </w:tr>
      <w:tr w:rsidR="00210BF6" w:rsidRPr="00210BF6" w:rsidTr="00D618FE">
        <w:tc>
          <w:tcPr>
            <w:tcW w:w="5051" w:type="dxa"/>
          </w:tcPr>
          <w:p w:rsidR="00210BF6" w:rsidRPr="00210BF6" w:rsidRDefault="00210BF6" w:rsidP="00210BF6">
            <w:pPr>
              <w:jc w:val="both"/>
              <w:rPr>
                <w:rFonts w:ascii="Times New Roman" w:hAnsi="Times New Roman" w:cs="Times New Roman"/>
                <w:color w:val="000000"/>
                <w:shd w:val="clear" w:color="auto" w:fill="FFFFFF"/>
              </w:rPr>
            </w:pPr>
            <w:r w:rsidRPr="00210BF6">
              <w:rPr>
                <w:rFonts w:ascii="Times New Roman" w:hAnsi="Times New Roman" w:cs="Times New Roman"/>
                <w:color w:val="000000"/>
                <w:shd w:val="clear" w:color="auto" w:fill="FFFFFF"/>
              </w:rPr>
              <w:lastRenderedPageBreak/>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не превышающей 650 000 рублей) (182 1 01 02050 01 0000 110</w:t>
            </w:r>
          </w:p>
        </w:tc>
        <w:tc>
          <w:tcPr>
            <w:tcW w:w="1607" w:type="dxa"/>
          </w:tcPr>
          <w:p w:rsidR="00210BF6" w:rsidRPr="00210BF6" w:rsidRDefault="00210BF6" w:rsidP="00776894">
            <w:pPr>
              <w:jc w:val="right"/>
              <w:rPr>
                <w:rFonts w:ascii="Times New Roman" w:hAnsi="Times New Roman" w:cs="Times New Roman"/>
              </w:rPr>
            </w:pPr>
            <w:r w:rsidRPr="00210BF6">
              <w:rPr>
                <w:rFonts w:ascii="Times New Roman" w:hAnsi="Times New Roman" w:cs="Times New Roman"/>
              </w:rPr>
              <w:t>1 42</w:t>
            </w:r>
            <w:r w:rsidR="00776894">
              <w:rPr>
                <w:rFonts w:ascii="Times New Roman" w:hAnsi="Times New Roman" w:cs="Times New Roman"/>
              </w:rPr>
              <w:t>8</w:t>
            </w:r>
            <w:r w:rsidRPr="00210BF6">
              <w:rPr>
                <w:rFonts w:ascii="Times New Roman" w:hAnsi="Times New Roman" w:cs="Times New Roman"/>
              </w:rPr>
              <w:t>,0</w:t>
            </w:r>
          </w:p>
        </w:tc>
        <w:tc>
          <w:tcPr>
            <w:tcW w:w="1701" w:type="dxa"/>
          </w:tcPr>
          <w:p w:rsidR="00210BF6" w:rsidRPr="00210BF6" w:rsidRDefault="00210BF6" w:rsidP="00D00933">
            <w:pPr>
              <w:jc w:val="right"/>
              <w:rPr>
                <w:rFonts w:ascii="Times New Roman" w:hAnsi="Times New Roman" w:cs="Times New Roman"/>
              </w:rPr>
            </w:pPr>
            <w:r w:rsidRPr="00210BF6">
              <w:rPr>
                <w:rFonts w:ascii="Times New Roman" w:hAnsi="Times New Roman" w:cs="Times New Roman"/>
              </w:rPr>
              <w:t>1 43</w:t>
            </w:r>
            <w:r w:rsidR="00D00933">
              <w:rPr>
                <w:rFonts w:ascii="Times New Roman" w:hAnsi="Times New Roman" w:cs="Times New Roman"/>
              </w:rPr>
              <w:t>7</w:t>
            </w:r>
            <w:r w:rsidRPr="00210BF6">
              <w:rPr>
                <w:rFonts w:ascii="Times New Roman" w:hAnsi="Times New Roman" w:cs="Times New Roman"/>
              </w:rPr>
              <w:t>,0</w:t>
            </w:r>
          </w:p>
        </w:tc>
        <w:tc>
          <w:tcPr>
            <w:tcW w:w="1701" w:type="dxa"/>
          </w:tcPr>
          <w:p w:rsidR="00210BF6" w:rsidRPr="00210BF6" w:rsidRDefault="00210BF6" w:rsidP="00776894">
            <w:pPr>
              <w:jc w:val="right"/>
              <w:rPr>
                <w:rFonts w:ascii="Times New Roman" w:hAnsi="Times New Roman" w:cs="Times New Roman"/>
              </w:rPr>
            </w:pPr>
            <w:r w:rsidRPr="00210BF6">
              <w:rPr>
                <w:rFonts w:ascii="Times New Roman" w:hAnsi="Times New Roman" w:cs="Times New Roman"/>
              </w:rPr>
              <w:t>1 4</w:t>
            </w:r>
            <w:r w:rsidR="00776894">
              <w:rPr>
                <w:rFonts w:ascii="Times New Roman" w:hAnsi="Times New Roman" w:cs="Times New Roman"/>
              </w:rPr>
              <w:t>49</w:t>
            </w:r>
            <w:r w:rsidRPr="00210BF6">
              <w:rPr>
                <w:rFonts w:ascii="Times New Roman" w:hAnsi="Times New Roman" w:cs="Times New Roman"/>
              </w:rPr>
              <w:t>,0</w:t>
            </w:r>
          </w:p>
        </w:tc>
      </w:tr>
      <w:tr w:rsidR="00210BF6" w:rsidRPr="00210BF6" w:rsidTr="00D618FE">
        <w:tc>
          <w:tcPr>
            <w:tcW w:w="5051" w:type="dxa"/>
          </w:tcPr>
          <w:p w:rsidR="00210BF6" w:rsidRPr="00210BF6" w:rsidRDefault="00210BF6" w:rsidP="00210BF6">
            <w:pPr>
              <w:jc w:val="both"/>
              <w:rPr>
                <w:rFonts w:ascii="Times New Roman" w:hAnsi="Times New Roman" w:cs="Times New Roman"/>
                <w:color w:val="000000"/>
                <w:shd w:val="clear" w:color="auto" w:fill="FFFFFF"/>
              </w:rPr>
            </w:pPr>
            <w:r w:rsidRPr="00210BF6">
              <w:rPr>
                <w:rFonts w:ascii="Times New Roman" w:hAnsi="Times New Roman" w:cs="Times New Roman"/>
                <w:color w:val="000000"/>
                <w:shd w:val="clear" w:color="auto" w:fill="FFFFFF"/>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r w:rsidRPr="00210BF6">
              <w:rPr>
                <w:rFonts w:ascii="Times New Roman" w:hAnsi="Times New Roman" w:cs="Times New Roman"/>
              </w:rPr>
              <w:t xml:space="preserve"> (</w:t>
            </w:r>
            <w:r w:rsidRPr="00210BF6">
              <w:rPr>
                <w:rFonts w:ascii="Times New Roman" w:hAnsi="Times New Roman" w:cs="Times New Roman"/>
                <w:color w:val="000000"/>
                <w:shd w:val="clear" w:color="auto" w:fill="FFFFFF"/>
              </w:rPr>
              <w:t>182 1 01 02080 01 0000 110</w:t>
            </w:r>
          </w:p>
        </w:tc>
        <w:tc>
          <w:tcPr>
            <w:tcW w:w="1607" w:type="dxa"/>
          </w:tcPr>
          <w:p w:rsidR="00210BF6" w:rsidRPr="00210BF6" w:rsidRDefault="00D00933" w:rsidP="00210BF6">
            <w:pPr>
              <w:jc w:val="right"/>
              <w:rPr>
                <w:rFonts w:ascii="Times New Roman" w:hAnsi="Times New Roman" w:cs="Times New Roman"/>
              </w:rPr>
            </w:pPr>
            <w:r>
              <w:rPr>
                <w:rFonts w:ascii="Times New Roman" w:hAnsi="Times New Roman" w:cs="Times New Roman"/>
              </w:rPr>
              <w:t>665 025,0</w:t>
            </w:r>
          </w:p>
        </w:tc>
        <w:tc>
          <w:tcPr>
            <w:tcW w:w="1701" w:type="dxa"/>
          </w:tcPr>
          <w:p w:rsidR="00210BF6" w:rsidRPr="00210BF6" w:rsidRDefault="00D00933" w:rsidP="00776894">
            <w:pPr>
              <w:jc w:val="right"/>
              <w:rPr>
                <w:rFonts w:ascii="Times New Roman" w:hAnsi="Times New Roman" w:cs="Times New Roman"/>
              </w:rPr>
            </w:pPr>
            <w:r>
              <w:rPr>
                <w:rFonts w:ascii="Times New Roman" w:hAnsi="Times New Roman" w:cs="Times New Roman"/>
              </w:rPr>
              <w:t>706 629,0</w:t>
            </w:r>
          </w:p>
        </w:tc>
        <w:tc>
          <w:tcPr>
            <w:tcW w:w="1701" w:type="dxa"/>
          </w:tcPr>
          <w:p w:rsidR="00210BF6" w:rsidRPr="00210BF6" w:rsidRDefault="00D00933" w:rsidP="00776894">
            <w:pPr>
              <w:jc w:val="right"/>
              <w:rPr>
                <w:rFonts w:ascii="Times New Roman" w:hAnsi="Times New Roman" w:cs="Times New Roman"/>
              </w:rPr>
            </w:pPr>
            <w:r>
              <w:rPr>
                <w:rFonts w:ascii="Times New Roman" w:hAnsi="Times New Roman" w:cs="Times New Roman"/>
              </w:rPr>
              <w:t>756 453,0</w:t>
            </w:r>
          </w:p>
        </w:tc>
      </w:tr>
    </w:tbl>
    <w:p w:rsidR="00210BF6" w:rsidRPr="00210BF6" w:rsidRDefault="00210BF6" w:rsidP="00210BF6">
      <w:pPr>
        <w:jc w:val="center"/>
        <w:rPr>
          <w:rFonts w:eastAsia="Calibri"/>
          <w:b/>
          <w:color w:val="000000"/>
          <w:shd w:val="clear" w:color="auto" w:fill="FFFFFF"/>
          <w:lang w:eastAsia="en-US"/>
        </w:rPr>
      </w:pPr>
    </w:p>
    <w:p w:rsidR="00210BF6" w:rsidRPr="00210BF6" w:rsidRDefault="00210BF6" w:rsidP="00210BF6">
      <w:pPr>
        <w:jc w:val="center"/>
        <w:rPr>
          <w:rFonts w:eastAsia="Calibri"/>
          <w:b/>
          <w:color w:val="000000"/>
          <w:sz w:val="28"/>
          <w:szCs w:val="28"/>
          <w:shd w:val="clear" w:color="auto" w:fill="FFFFFF"/>
          <w:lang w:eastAsia="en-US"/>
        </w:rPr>
      </w:pPr>
    </w:p>
    <w:p w:rsidR="00210BF6" w:rsidRPr="00210BF6" w:rsidRDefault="001F58D1" w:rsidP="00210BF6">
      <w:pPr>
        <w:jc w:val="center"/>
        <w:rPr>
          <w:rFonts w:eastAsia="Calibri"/>
          <w:b/>
          <w:color w:val="000000"/>
          <w:sz w:val="28"/>
          <w:szCs w:val="28"/>
          <w:shd w:val="clear" w:color="auto" w:fill="FFFFFF"/>
          <w:lang w:eastAsia="en-US"/>
        </w:rPr>
      </w:pPr>
      <w:r>
        <w:rPr>
          <w:rFonts w:eastAsia="Calibri"/>
          <w:b/>
          <w:color w:val="000000"/>
          <w:sz w:val="28"/>
          <w:szCs w:val="28"/>
          <w:shd w:val="clear" w:color="auto" w:fill="FFFFFF"/>
          <w:lang w:eastAsia="en-US"/>
        </w:rPr>
        <w:t>Налог</w:t>
      </w:r>
      <w:r w:rsidR="00210BF6" w:rsidRPr="00210BF6">
        <w:rPr>
          <w:rFonts w:eastAsia="Calibri"/>
          <w:b/>
          <w:color w:val="000000"/>
          <w:sz w:val="28"/>
          <w:szCs w:val="28"/>
          <w:shd w:val="clear" w:color="auto" w:fill="FFFFFF"/>
          <w:lang w:eastAsia="en-US"/>
        </w:rPr>
        <w:t xml:space="preserve">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p w:rsidR="00210BF6" w:rsidRDefault="00210BF6" w:rsidP="00210BF6">
      <w:pPr>
        <w:jc w:val="center"/>
        <w:rPr>
          <w:rFonts w:eastAsia="Calibri"/>
          <w:color w:val="333333"/>
          <w:sz w:val="28"/>
          <w:szCs w:val="28"/>
          <w:shd w:val="clear" w:color="auto" w:fill="FFFFFF"/>
          <w:lang w:eastAsia="en-US"/>
        </w:rPr>
      </w:pPr>
      <w:r w:rsidRPr="001F58D1">
        <w:rPr>
          <w:rFonts w:eastAsia="Calibri"/>
          <w:color w:val="000000"/>
          <w:sz w:val="28"/>
          <w:szCs w:val="28"/>
          <w:shd w:val="clear" w:color="auto" w:fill="FFFFFF"/>
          <w:lang w:eastAsia="en-US"/>
        </w:rPr>
        <w:t xml:space="preserve">(000 </w:t>
      </w:r>
      <w:r w:rsidRPr="001F58D1">
        <w:rPr>
          <w:rFonts w:eastAsia="Calibri"/>
          <w:color w:val="333333"/>
          <w:sz w:val="28"/>
          <w:szCs w:val="28"/>
          <w:shd w:val="clear" w:color="auto" w:fill="FFFFFF"/>
          <w:lang w:eastAsia="en-US"/>
        </w:rPr>
        <w:t>1 01 02010 01 0000 110)</w:t>
      </w:r>
    </w:p>
    <w:p w:rsidR="00D56183" w:rsidRPr="001F58D1" w:rsidRDefault="00D56183" w:rsidP="00210BF6">
      <w:pPr>
        <w:jc w:val="center"/>
        <w:rPr>
          <w:rFonts w:eastAsia="Calibri"/>
          <w:color w:val="333333"/>
          <w:sz w:val="28"/>
          <w:szCs w:val="28"/>
          <w:shd w:val="clear" w:color="auto" w:fill="FFFFFF"/>
          <w:lang w:eastAsia="en-US"/>
        </w:rPr>
      </w:pPr>
    </w:p>
    <w:p w:rsidR="00210BF6" w:rsidRPr="00210BF6" w:rsidRDefault="00210BF6" w:rsidP="00210BF6">
      <w:pPr>
        <w:ind w:right="140"/>
        <w:jc w:val="right"/>
        <w:rPr>
          <w:rFonts w:eastAsia="Calibri"/>
          <w:color w:val="333333"/>
          <w:shd w:val="clear" w:color="auto" w:fill="FFFFFF"/>
          <w:lang w:eastAsia="en-US"/>
        </w:rPr>
      </w:pPr>
      <w:r w:rsidRPr="00210BF6">
        <w:rPr>
          <w:rFonts w:eastAsia="Calibri"/>
          <w:color w:val="333333"/>
          <w:shd w:val="clear" w:color="auto" w:fill="FFFFFF"/>
          <w:lang w:eastAsia="en-US"/>
        </w:rPr>
        <w:t>(тыс. руб.)</w:t>
      </w:r>
    </w:p>
    <w:tbl>
      <w:tblPr>
        <w:tblStyle w:val="710"/>
        <w:tblW w:w="0" w:type="auto"/>
        <w:tblLook w:val="04A0" w:firstRow="1" w:lastRow="0" w:firstColumn="1" w:lastColumn="0" w:noHBand="0" w:noVBand="1"/>
      </w:tblPr>
      <w:tblGrid>
        <w:gridCol w:w="672"/>
        <w:gridCol w:w="6836"/>
        <w:gridCol w:w="2126"/>
      </w:tblGrid>
      <w:tr w:rsidR="00210BF6" w:rsidRPr="00210BF6" w:rsidTr="009957FA">
        <w:tc>
          <w:tcPr>
            <w:tcW w:w="672" w:type="dxa"/>
          </w:tcPr>
          <w:p w:rsidR="00210BF6" w:rsidRPr="00210BF6" w:rsidRDefault="00210BF6" w:rsidP="00210BF6">
            <w:pPr>
              <w:jc w:val="center"/>
              <w:rPr>
                <w:rFonts w:ascii="Times New Roman" w:hAnsi="Times New Roman" w:cs="Times New Roman"/>
              </w:rPr>
            </w:pPr>
            <w:r w:rsidRPr="00210BF6">
              <w:rPr>
                <w:rFonts w:ascii="Times New Roman" w:hAnsi="Times New Roman" w:cs="Times New Roman"/>
              </w:rPr>
              <w:t>№</w:t>
            </w:r>
          </w:p>
        </w:tc>
        <w:tc>
          <w:tcPr>
            <w:tcW w:w="6836" w:type="dxa"/>
          </w:tcPr>
          <w:p w:rsidR="00210BF6" w:rsidRPr="00210BF6" w:rsidRDefault="00210BF6" w:rsidP="00210BF6">
            <w:pPr>
              <w:jc w:val="center"/>
              <w:rPr>
                <w:rFonts w:ascii="Times New Roman" w:hAnsi="Times New Roman" w:cs="Times New Roman"/>
              </w:rPr>
            </w:pPr>
            <w:r w:rsidRPr="00210BF6">
              <w:rPr>
                <w:rFonts w:ascii="Times New Roman" w:hAnsi="Times New Roman" w:cs="Times New Roman"/>
              </w:rPr>
              <w:t>Наименование</w:t>
            </w:r>
          </w:p>
        </w:tc>
        <w:tc>
          <w:tcPr>
            <w:tcW w:w="2126" w:type="dxa"/>
          </w:tcPr>
          <w:p w:rsidR="00210BF6" w:rsidRDefault="00210BF6" w:rsidP="00210BF6">
            <w:pPr>
              <w:jc w:val="center"/>
              <w:rPr>
                <w:rFonts w:ascii="Times New Roman" w:hAnsi="Times New Roman" w:cs="Times New Roman"/>
              </w:rPr>
            </w:pPr>
            <w:r w:rsidRPr="00210BF6">
              <w:rPr>
                <w:rFonts w:ascii="Times New Roman" w:hAnsi="Times New Roman" w:cs="Times New Roman"/>
              </w:rPr>
              <w:t>Значение показателя, сумма</w:t>
            </w:r>
          </w:p>
          <w:p w:rsidR="00210BF6" w:rsidRPr="00210BF6" w:rsidRDefault="00210BF6" w:rsidP="00210BF6">
            <w:pPr>
              <w:jc w:val="center"/>
              <w:rPr>
                <w:rFonts w:ascii="Times New Roman" w:hAnsi="Times New Roman" w:cs="Times New Roman"/>
              </w:rPr>
            </w:pPr>
          </w:p>
        </w:tc>
      </w:tr>
      <w:tr w:rsidR="00210BF6" w:rsidRPr="00210BF6" w:rsidTr="009957FA">
        <w:tc>
          <w:tcPr>
            <w:tcW w:w="672" w:type="dxa"/>
          </w:tcPr>
          <w:p w:rsidR="00210BF6" w:rsidRPr="00210BF6" w:rsidRDefault="00210BF6" w:rsidP="00210BF6">
            <w:pPr>
              <w:jc w:val="center"/>
              <w:rPr>
                <w:rFonts w:ascii="Times New Roman" w:hAnsi="Times New Roman" w:cs="Times New Roman"/>
              </w:rPr>
            </w:pPr>
            <w:r w:rsidRPr="00210BF6">
              <w:rPr>
                <w:rFonts w:ascii="Times New Roman" w:hAnsi="Times New Roman" w:cs="Times New Roman"/>
              </w:rPr>
              <w:t>1</w:t>
            </w:r>
          </w:p>
        </w:tc>
        <w:tc>
          <w:tcPr>
            <w:tcW w:w="6836" w:type="dxa"/>
          </w:tcPr>
          <w:p w:rsidR="00210BF6" w:rsidRPr="00210BF6" w:rsidRDefault="00210BF6" w:rsidP="00210BF6">
            <w:pPr>
              <w:jc w:val="both"/>
              <w:rPr>
                <w:rFonts w:ascii="Times New Roman" w:hAnsi="Times New Roman" w:cs="Times New Roman"/>
              </w:rPr>
            </w:pPr>
            <w:r w:rsidRPr="00210BF6">
              <w:rPr>
                <w:rFonts w:ascii="Times New Roman" w:hAnsi="Times New Roman" w:cs="Times New Roman"/>
              </w:rPr>
              <w:t>Общая сумма дохода по форме № 5-НДФЛ за 2020 год, по ставке 13%</w:t>
            </w:r>
            <w:r>
              <w:rPr>
                <w:rFonts w:ascii="Times New Roman" w:hAnsi="Times New Roman" w:cs="Times New Roman"/>
              </w:rPr>
              <w:t>, в том числе:</w:t>
            </w:r>
          </w:p>
        </w:tc>
        <w:tc>
          <w:tcPr>
            <w:tcW w:w="2126" w:type="dxa"/>
          </w:tcPr>
          <w:p w:rsidR="00210BF6" w:rsidRPr="00210BF6" w:rsidRDefault="00210BF6" w:rsidP="00210BF6">
            <w:pPr>
              <w:jc w:val="center"/>
              <w:rPr>
                <w:rFonts w:ascii="Times New Roman" w:hAnsi="Times New Roman" w:cs="Times New Roman"/>
              </w:rPr>
            </w:pPr>
            <w:r w:rsidRPr="00210BF6">
              <w:rPr>
                <w:rFonts w:ascii="Times New Roman" w:hAnsi="Times New Roman" w:cs="Times New Roman"/>
              </w:rPr>
              <w:t>183 755 136,0</w:t>
            </w:r>
          </w:p>
        </w:tc>
      </w:tr>
      <w:tr w:rsidR="00210BF6" w:rsidRPr="00210BF6" w:rsidTr="009957FA">
        <w:tc>
          <w:tcPr>
            <w:tcW w:w="672" w:type="dxa"/>
          </w:tcPr>
          <w:p w:rsidR="00210BF6" w:rsidRPr="00210BF6" w:rsidRDefault="00210BF6" w:rsidP="00210BF6">
            <w:pPr>
              <w:jc w:val="center"/>
              <w:rPr>
                <w:rFonts w:ascii="Times New Roman" w:hAnsi="Times New Roman" w:cs="Times New Roman"/>
              </w:rPr>
            </w:pPr>
            <w:r w:rsidRPr="00210BF6">
              <w:rPr>
                <w:rFonts w:ascii="Times New Roman" w:hAnsi="Times New Roman" w:cs="Times New Roman"/>
              </w:rPr>
              <w:t>1.1</w:t>
            </w:r>
          </w:p>
        </w:tc>
        <w:tc>
          <w:tcPr>
            <w:tcW w:w="6836" w:type="dxa"/>
          </w:tcPr>
          <w:p w:rsidR="00210BF6" w:rsidRPr="00210BF6" w:rsidRDefault="00210BF6" w:rsidP="00210BF6">
            <w:pPr>
              <w:jc w:val="both"/>
              <w:rPr>
                <w:rFonts w:ascii="Times New Roman" w:hAnsi="Times New Roman" w:cs="Times New Roman"/>
              </w:rPr>
            </w:pPr>
            <w:r>
              <w:rPr>
                <w:rFonts w:ascii="Times New Roman" w:hAnsi="Times New Roman" w:cs="Times New Roman"/>
              </w:rPr>
              <w:t>О</w:t>
            </w:r>
            <w:r w:rsidRPr="00210BF6">
              <w:rPr>
                <w:rFonts w:ascii="Times New Roman" w:hAnsi="Times New Roman" w:cs="Times New Roman"/>
              </w:rPr>
              <w:t xml:space="preserve">бщая сумма дохода по справкам </w:t>
            </w:r>
            <w:r w:rsidRPr="00210BF6">
              <w:rPr>
                <w:rFonts w:ascii="Times New Roman" w:hAnsi="Times New Roman" w:cs="Times New Roman"/>
              </w:rPr>
              <w:br/>
              <w:t>№2-НДФЛ за 2020 год, в которых доход превышает 5 млн. руб.</w:t>
            </w:r>
          </w:p>
        </w:tc>
        <w:tc>
          <w:tcPr>
            <w:tcW w:w="2126" w:type="dxa"/>
          </w:tcPr>
          <w:p w:rsidR="00210BF6" w:rsidRPr="00210BF6" w:rsidRDefault="00210BF6" w:rsidP="00210BF6">
            <w:pPr>
              <w:jc w:val="center"/>
              <w:rPr>
                <w:rFonts w:ascii="Times New Roman" w:hAnsi="Times New Roman" w:cs="Times New Roman"/>
              </w:rPr>
            </w:pPr>
            <w:r w:rsidRPr="00210BF6">
              <w:rPr>
                <w:rFonts w:ascii="Times New Roman" w:hAnsi="Times New Roman" w:cs="Times New Roman"/>
              </w:rPr>
              <w:t>5 717 495,0</w:t>
            </w:r>
          </w:p>
        </w:tc>
      </w:tr>
      <w:tr w:rsidR="00210BF6" w:rsidRPr="00210BF6" w:rsidTr="009957FA">
        <w:tc>
          <w:tcPr>
            <w:tcW w:w="672" w:type="dxa"/>
          </w:tcPr>
          <w:p w:rsidR="00210BF6" w:rsidRPr="00210BF6" w:rsidRDefault="00210BF6" w:rsidP="00210BF6">
            <w:pPr>
              <w:jc w:val="center"/>
              <w:rPr>
                <w:rFonts w:ascii="Times New Roman" w:hAnsi="Times New Roman" w:cs="Times New Roman"/>
              </w:rPr>
            </w:pPr>
            <w:r w:rsidRPr="00210BF6">
              <w:rPr>
                <w:rFonts w:ascii="Times New Roman" w:hAnsi="Times New Roman" w:cs="Times New Roman"/>
              </w:rPr>
              <w:t>2</w:t>
            </w:r>
          </w:p>
        </w:tc>
        <w:tc>
          <w:tcPr>
            <w:tcW w:w="6836" w:type="dxa"/>
          </w:tcPr>
          <w:p w:rsidR="00210BF6" w:rsidRPr="00210BF6" w:rsidRDefault="00210BF6" w:rsidP="00210BF6">
            <w:pPr>
              <w:jc w:val="both"/>
              <w:rPr>
                <w:rFonts w:ascii="Times New Roman" w:hAnsi="Times New Roman" w:cs="Times New Roman"/>
              </w:rPr>
            </w:pPr>
            <w:r w:rsidRPr="00210BF6">
              <w:rPr>
                <w:rFonts w:ascii="Times New Roman" w:hAnsi="Times New Roman" w:cs="Times New Roman"/>
              </w:rPr>
              <w:t>Общая сумма дохода за 2020 год, по ставке 13%</w:t>
            </w:r>
            <w:r>
              <w:rPr>
                <w:rFonts w:ascii="Times New Roman" w:hAnsi="Times New Roman" w:cs="Times New Roman"/>
              </w:rPr>
              <w:t xml:space="preserve">, </w:t>
            </w:r>
            <w:r w:rsidRPr="00210BF6">
              <w:rPr>
                <w:rFonts w:ascii="Times New Roman" w:hAnsi="Times New Roman" w:cs="Times New Roman"/>
              </w:rPr>
              <w:t xml:space="preserve">без учета доходов, свыше 5 млн. руб. </w:t>
            </w:r>
            <w:r w:rsidRPr="00210BF6">
              <w:rPr>
                <w:rFonts w:ascii="Times New Roman" w:hAnsi="Times New Roman" w:cs="Times New Roman"/>
              </w:rPr>
              <w:br/>
              <w:t>(стр. 1-стр.1.1)</w:t>
            </w:r>
          </w:p>
        </w:tc>
        <w:tc>
          <w:tcPr>
            <w:tcW w:w="2126" w:type="dxa"/>
          </w:tcPr>
          <w:p w:rsidR="00210BF6" w:rsidRPr="00210BF6" w:rsidRDefault="00210BF6" w:rsidP="00210BF6">
            <w:pPr>
              <w:jc w:val="center"/>
              <w:rPr>
                <w:rFonts w:ascii="Times New Roman" w:hAnsi="Times New Roman" w:cs="Times New Roman"/>
              </w:rPr>
            </w:pPr>
            <w:r w:rsidRPr="00210BF6">
              <w:rPr>
                <w:rFonts w:ascii="Times New Roman" w:hAnsi="Times New Roman" w:cs="Times New Roman"/>
              </w:rPr>
              <w:t>178 037 641,0</w:t>
            </w:r>
          </w:p>
        </w:tc>
      </w:tr>
      <w:tr w:rsidR="00210BF6" w:rsidRPr="00210BF6" w:rsidTr="009957FA">
        <w:tc>
          <w:tcPr>
            <w:tcW w:w="672" w:type="dxa"/>
          </w:tcPr>
          <w:p w:rsidR="00210BF6" w:rsidRPr="00210BF6" w:rsidRDefault="00210BF6" w:rsidP="00210BF6">
            <w:pPr>
              <w:jc w:val="center"/>
              <w:rPr>
                <w:rFonts w:ascii="Times New Roman" w:hAnsi="Times New Roman" w:cs="Times New Roman"/>
              </w:rPr>
            </w:pPr>
            <w:r w:rsidRPr="00210BF6">
              <w:rPr>
                <w:rFonts w:ascii="Times New Roman" w:hAnsi="Times New Roman" w:cs="Times New Roman"/>
              </w:rPr>
              <w:t>3</w:t>
            </w:r>
          </w:p>
        </w:tc>
        <w:tc>
          <w:tcPr>
            <w:tcW w:w="6836" w:type="dxa"/>
          </w:tcPr>
          <w:p w:rsidR="00210BF6" w:rsidRPr="00210BF6" w:rsidRDefault="00210BF6" w:rsidP="00210BF6">
            <w:pPr>
              <w:jc w:val="both"/>
              <w:rPr>
                <w:rFonts w:ascii="Times New Roman" w:hAnsi="Times New Roman" w:cs="Times New Roman"/>
              </w:rPr>
            </w:pPr>
            <w:r w:rsidRPr="00210BF6">
              <w:rPr>
                <w:rFonts w:ascii="Times New Roman" w:hAnsi="Times New Roman" w:cs="Times New Roman"/>
              </w:rPr>
              <w:t>Общая сумма дохода по форме № 5-НДФЛ за 2020 год, по ставке 30%</w:t>
            </w:r>
          </w:p>
        </w:tc>
        <w:tc>
          <w:tcPr>
            <w:tcW w:w="2126" w:type="dxa"/>
          </w:tcPr>
          <w:p w:rsidR="00210BF6" w:rsidRPr="00210BF6" w:rsidRDefault="00210BF6" w:rsidP="00210BF6">
            <w:pPr>
              <w:jc w:val="center"/>
              <w:rPr>
                <w:rFonts w:ascii="Times New Roman" w:hAnsi="Times New Roman" w:cs="Times New Roman"/>
              </w:rPr>
            </w:pPr>
            <w:r w:rsidRPr="00210BF6">
              <w:rPr>
                <w:rFonts w:ascii="Times New Roman" w:hAnsi="Times New Roman" w:cs="Times New Roman"/>
              </w:rPr>
              <w:t>78 413,0</w:t>
            </w:r>
          </w:p>
        </w:tc>
      </w:tr>
      <w:tr w:rsidR="00210BF6" w:rsidRPr="00210BF6" w:rsidTr="009957FA">
        <w:tc>
          <w:tcPr>
            <w:tcW w:w="672" w:type="dxa"/>
          </w:tcPr>
          <w:p w:rsidR="00210BF6" w:rsidRPr="00210BF6" w:rsidRDefault="00210BF6" w:rsidP="00210BF6">
            <w:pPr>
              <w:jc w:val="center"/>
              <w:rPr>
                <w:rFonts w:ascii="Times New Roman" w:hAnsi="Times New Roman" w:cs="Times New Roman"/>
              </w:rPr>
            </w:pPr>
            <w:r w:rsidRPr="00210BF6">
              <w:rPr>
                <w:rFonts w:ascii="Times New Roman" w:hAnsi="Times New Roman" w:cs="Times New Roman"/>
              </w:rPr>
              <w:t>4</w:t>
            </w:r>
          </w:p>
        </w:tc>
        <w:tc>
          <w:tcPr>
            <w:tcW w:w="6836" w:type="dxa"/>
          </w:tcPr>
          <w:p w:rsidR="00210BF6" w:rsidRPr="00210BF6" w:rsidRDefault="00210BF6" w:rsidP="00210BF6">
            <w:pPr>
              <w:jc w:val="both"/>
              <w:rPr>
                <w:rFonts w:ascii="Times New Roman" w:hAnsi="Times New Roman" w:cs="Times New Roman"/>
              </w:rPr>
            </w:pPr>
            <w:r w:rsidRPr="00210BF6">
              <w:rPr>
                <w:rFonts w:ascii="Times New Roman" w:hAnsi="Times New Roman" w:cs="Times New Roman"/>
              </w:rPr>
              <w:t xml:space="preserve">Общая сумма дохода по форме № 5-НДФЛ за 2020 год, по ставке 9% </w:t>
            </w:r>
          </w:p>
        </w:tc>
        <w:tc>
          <w:tcPr>
            <w:tcW w:w="2126" w:type="dxa"/>
          </w:tcPr>
          <w:p w:rsidR="00210BF6" w:rsidRPr="00210BF6" w:rsidRDefault="00210BF6" w:rsidP="00210BF6">
            <w:pPr>
              <w:jc w:val="center"/>
              <w:rPr>
                <w:rFonts w:ascii="Times New Roman" w:hAnsi="Times New Roman" w:cs="Times New Roman"/>
              </w:rPr>
            </w:pPr>
            <w:r w:rsidRPr="00210BF6">
              <w:rPr>
                <w:rFonts w:ascii="Times New Roman" w:hAnsi="Times New Roman" w:cs="Times New Roman"/>
              </w:rPr>
              <w:t>1 529,0</w:t>
            </w:r>
          </w:p>
        </w:tc>
      </w:tr>
      <w:tr w:rsidR="00210BF6" w:rsidRPr="00210BF6" w:rsidTr="009957FA">
        <w:tc>
          <w:tcPr>
            <w:tcW w:w="672" w:type="dxa"/>
          </w:tcPr>
          <w:p w:rsidR="00210BF6" w:rsidRPr="00210BF6" w:rsidRDefault="00210BF6" w:rsidP="00210BF6">
            <w:pPr>
              <w:jc w:val="center"/>
              <w:rPr>
                <w:rFonts w:ascii="Times New Roman" w:hAnsi="Times New Roman" w:cs="Times New Roman"/>
              </w:rPr>
            </w:pPr>
            <w:r w:rsidRPr="00210BF6">
              <w:rPr>
                <w:rFonts w:ascii="Times New Roman" w:hAnsi="Times New Roman" w:cs="Times New Roman"/>
              </w:rPr>
              <w:t>5</w:t>
            </w:r>
          </w:p>
        </w:tc>
        <w:tc>
          <w:tcPr>
            <w:tcW w:w="6836" w:type="dxa"/>
          </w:tcPr>
          <w:p w:rsidR="00210BF6" w:rsidRPr="00210BF6" w:rsidRDefault="00210BF6" w:rsidP="00210BF6">
            <w:pPr>
              <w:jc w:val="both"/>
              <w:rPr>
                <w:rFonts w:ascii="Times New Roman" w:hAnsi="Times New Roman" w:cs="Times New Roman"/>
              </w:rPr>
            </w:pPr>
            <w:r w:rsidRPr="00210BF6">
              <w:rPr>
                <w:rFonts w:ascii="Times New Roman" w:hAnsi="Times New Roman" w:cs="Times New Roman"/>
              </w:rPr>
              <w:t>Общая сумма дохода по форме № 5-НДФЛ за 2020 год по ставке 35%</w:t>
            </w:r>
          </w:p>
        </w:tc>
        <w:tc>
          <w:tcPr>
            <w:tcW w:w="2126" w:type="dxa"/>
          </w:tcPr>
          <w:p w:rsidR="00210BF6" w:rsidRPr="00210BF6" w:rsidRDefault="00210BF6" w:rsidP="00210BF6">
            <w:pPr>
              <w:jc w:val="center"/>
              <w:rPr>
                <w:rFonts w:ascii="Times New Roman" w:hAnsi="Times New Roman" w:cs="Times New Roman"/>
              </w:rPr>
            </w:pPr>
            <w:r w:rsidRPr="00210BF6">
              <w:rPr>
                <w:rFonts w:ascii="Times New Roman" w:hAnsi="Times New Roman" w:cs="Times New Roman"/>
              </w:rPr>
              <w:t>14 129,0</w:t>
            </w:r>
          </w:p>
        </w:tc>
      </w:tr>
      <w:tr w:rsidR="00210BF6" w:rsidRPr="00210BF6" w:rsidTr="009957FA">
        <w:tc>
          <w:tcPr>
            <w:tcW w:w="672" w:type="dxa"/>
          </w:tcPr>
          <w:p w:rsidR="00210BF6" w:rsidRPr="00210BF6" w:rsidRDefault="00210BF6" w:rsidP="00210BF6">
            <w:pPr>
              <w:jc w:val="center"/>
              <w:rPr>
                <w:rFonts w:ascii="Times New Roman" w:hAnsi="Times New Roman" w:cs="Times New Roman"/>
              </w:rPr>
            </w:pPr>
            <w:r w:rsidRPr="00210BF6">
              <w:rPr>
                <w:rFonts w:ascii="Times New Roman" w:hAnsi="Times New Roman" w:cs="Times New Roman"/>
              </w:rPr>
              <w:t>6</w:t>
            </w:r>
          </w:p>
        </w:tc>
        <w:tc>
          <w:tcPr>
            <w:tcW w:w="6836" w:type="dxa"/>
          </w:tcPr>
          <w:p w:rsidR="00210BF6" w:rsidRPr="00210BF6" w:rsidRDefault="00210BF6" w:rsidP="00210BF6">
            <w:pPr>
              <w:jc w:val="both"/>
              <w:rPr>
                <w:rFonts w:ascii="Times New Roman" w:hAnsi="Times New Roman" w:cs="Times New Roman"/>
              </w:rPr>
            </w:pPr>
            <w:r w:rsidRPr="00210BF6">
              <w:rPr>
                <w:rFonts w:ascii="Times New Roman" w:hAnsi="Times New Roman" w:cs="Times New Roman"/>
              </w:rPr>
              <w:t>Общая сумма дохода по форме № 5-НДФЛ за 2020 год, по ставке 15%</w:t>
            </w:r>
          </w:p>
        </w:tc>
        <w:tc>
          <w:tcPr>
            <w:tcW w:w="2126" w:type="dxa"/>
          </w:tcPr>
          <w:p w:rsidR="00210BF6" w:rsidRPr="00210BF6" w:rsidRDefault="00210BF6" w:rsidP="00210BF6">
            <w:pPr>
              <w:jc w:val="center"/>
              <w:rPr>
                <w:rFonts w:ascii="Times New Roman" w:hAnsi="Times New Roman" w:cs="Times New Roman"/>
              </w:rPr>
            </w:pPr>
            <w:r w:rsidRPr="00210BF6">
              <w:rPr>
                <w:rFonts w:ascii="Times New Roman" w:hAnsi="Times New Roman" w:cs="Times New Roman"/>
              </w:rPr>
              <w:t>77 353,0</w:t>
            </w:r>
          </w:p>
        </w:tc>
      </w:tr>
      <w:tr w:rsidR="00210BF6" w:rsidRPr="00210BF6" w:rsidTr="009957FA">
        <w:tc>
          <w:tcPr>
            <w:tcW w:w="672" w:type="dxa"/>
          </w:tcPr>
          <w:p w:rsidR="00210BF6" w:rsidRPr="00210BF6" w:rsidRDefault="00210BF6" w:rsidP="00210BF6">
            <w:pPr>
              <w:jc w:val="center"/>
              <w:rPr>
                <w:rFonts w:ascii="Times New Roman" w:hAnsi="Times New Roman" w:cs="Times New Roman"/>
              </w:rPr>
            </w:pPr>
            <w:r w:rsidRPr="00210BF6">
              <w:rPr>
                <w:rFonts w:ascii="Times New Roman" w:hAnsi="Times New Roman" w:cs="Times New Roman"/>
              </w:rPr>
              <w:t>7</w:t>
            </w:r>
          </w:p>
        </w:tc>
        <w:tc>
          <w:tcPr>
            <w:tcW w:w="6836" w:type="dxa"/>
          </w:tcPr>
          <w:p w:rsidR="00210BF6" w:rsidRPr="00210BF6" w:rsidRDefault="00210BF6" w:rsidP="00210BF6">
            <w:pPr>
              <w:jc w:val="both"/>
              <w:rPr>
                <w:rFonts w:ascii="Times New Roman" w:hAnsi="Times New Roman" w:cs="Times New Roman"/>
              </w:rPr>
            </w:pPr>
            <w:r w:rsidRPr="00210BF6">
              <w:rPr>
                <w:rFonts w:ascii="Times New Roman" w:hAnsi="Times New Roman" w:cs="Times New Roman"/>
              </w:rPr>
              <w:t>Общая сумма дохода по форме № 5-НДФЛ за 2020 год, по иным налоговым ставкам (расчетная ставка по итогам 2020 года)</w:t>
            </w:r>
          </w:p>
        </w:tc>
        <w:tc>
          <w:tcPr>
            <w:tcW w:w="2126" w:type="dxa"/>
          </w:tcPr>
          <w:p w:rsidR="00210BF6" w:rsidRPr="00210BF6" w:rsidRDefault="00210BF6" w:rsidP="00210BF6">
            <w:pPr>
              <w:jc w:val="center"/>
              <w:rPr>
                <w:rFonts w:ascii="Times New Roman" w:hAnsi="Times New Roman" w:cs="Times New Roman"/>
              </w:rPr>
            </w:pPr>
            <w:r w:rsidRPr="00210BF6">
              <w:rPr>
                <w:rFonts w:ascii="Times New Roman" w:hAnsi="Times New Roman" w:cs="Times New Roman"/>
              </w:rPr>
              <w:t>171 515,0</w:t>
            </w:r>
          </w:p>
        </w:tc>
      </w:tr>
      <w:tr w:rsidR="00210BF6" w:rsidRPr="00210BF6" w:rsidTr="009957FA">
        <w:tc>
          <w:tcPr>
            <w:tcW w:w="672" w:type="dxa"/>
          </w:tcPr>
          <w:p w:rsidR="00210BF6" w:rsidRPr="00210BF6" w:rsidRDefault="00210BF6" w:rsidP="00210BF6">
            <w:pPr>
              <w:jc w:val="center"/>
              <w:rPr>
                <w:rFonts w:ascii="Times New Roman" w:hAnsi="Times New Roman" w:cs="Times New Roman"/>
              </w:rPr>
            </w:pPr>
            <w:r w:rsidRPr="00210BF6">
              <w:rPr>
                <w:rFonts w:ascii="Times New Roman" w:hAnsi="Times New Roman" w:cs="Times New Roman"/>
              </w:rPr>
              <w:lastRenderedPageBreak/>
              <w:t>8</w:t>
            </w:r>
          </w:p>
        </w:tc>
        <w:tc>
          <w:tcPr>
            <w:tcW w:w="6836" w:type="dxa"/>
          </w:tcPr>
          <w:p w:rsidR="00210BF6" w:rsidRPr="00210BF6" w:rsidRDefault="00210BF6" w:rsidP="00210BF6">
            <w:pPr>
              <w:jc w:val="both"/>
              <w:rPr>
                <w:rFonts w:ascii="Times New Roman" w:hAnsi="Times New Roman" w:cs="Times New Roman"/>
              </w:rPr>
            </w:pPr>
            <w:r w:rsidRPr="00210BF6">
              <w:rPr>
                <w:rFonts w:ascii="Times New Roman" w:hAnsi="Times New Roman" w:cs="Times New Roman"/>
              </w:rPr>
              <w:t>Общая сумма дохода на 2021 год, по ставке 13%</w:t>
            </w:r>
          </w:p>
          <w:p w:rsidR="00210BF6" w:rsidRPr="00210BF6" w:rsidRDefault="00210BF6" w:rsidP="00210BF6">
            <w:pPr>
              <w:jc w:val="both"/>
              <w:rPr>
                <w:rFonts w:ascii="Times New Roman" w:hAnsi="Times New Roman" w:cs="Times New Roman"/>
              </w:rPr>
            </w:pPr>
            <w:r w:rsidRPr="00210BF6">
              <w:rPr>
                <w:rFonts w:ascii="Times New Roman" w:hAnsi="Times New Roman" w:cs="Times New Roman"/>
              </w:rPr>
              <w:t xml:space="preserve">(без учета доходов, свыше 5 млн. руб.) </w:t>
            </w:r>
          </w:p>
          <w:p w:rsidR="00210BF6" w:rsidRDefault="00210BF6" w:rsidP="00210BF6">
            <w:pPr>
              <w:jc w:val="both"/>
              <w:rPr>
                <w:rFonts w:ascii="Times New Roman" w:hAnsi="Times New Roman" w:cs="Times New Roman"/>
              </w:rPr>
            </w:pPr>
            <w:r w:rsidRPr="00210BF6">
              <w:rPr>
                <w:rFonts w:ascii="Times New Roman" w:hAnsi="Times New Roman" w:cs="Times New Roman"/>
              </w:rPr>
              <w:t>(стр. 2 *Кфзп 2021/2020, где Кфзп - темп роста фонда заработной платы по каждому бюджету городского, муниципального округа, городского и сельского поселения, по данным Министерства экономического развития Тверской области, в %</w:t>
            </w:r>
          </w:p>
          <w:p w:rsidR="009957FA" w:rsidRPr="00210BF6" w:rsidRDefault="009957FA" w:rsidP="00210BF6">
            <w:pPr>
              <w:jc w:val="both"/>
              <w:rPr>
                <w:rFonts w:ascii="Times New Roman" w:hAnsi="Times New Roman" w:cs="Times New Roman"/>
                <w:b/>
              </w:rPr>
            </w:pPr>
          </w:p>
        </w:tc>
        <w:tc>
          <w:tcPr>
            <w:tcW w:w="2126" w:type="dxa"/>
          </w:tcPr>
          <w:p w:rsidR="00210BF6" w:rsidRPr="00210BF6" w:rsidRDefault="00210BF6" w:rsidP="00210BF6">
            <w:pPr>
              <w:jc w:val="center"/>
              <w:rPr>
                <w:rFonts w:ascii="Times New Roman" w:hAnsi="Times New Roman" w:cs="Times New Roman"/>
                <w:b/>
              </w:rPr>
            </w:pPr>
            <w:r w:rsidRPr="00210BF6">
              <w:rPr>
                <w:rFonts w:ascii="Times New Roman" w:hAnsi="Times New Roman" w:cs="Times New Roman"/>
              </w:rPr>
              <w:t>186 097 265,0</w:t>
            </w:r>
          </w:p>
        </w:tc>
      </w:tr>
      <w:tr w:rsidR="00210BF6" w:rsidRPr="00210BF6" w:rsidTr="009957FA">
        <w:tc>
          <w:tcPr>
            <w:tcW w:w="672" w:type="dxa"/>
          </w:tcPr>
          <w:p w:rsidR="00210BF6" w:rsidRPr="00210BF6" w:rsidRDefault="00210BF6" w:rsidP="00210BF6">
            <w:pPr>
              <w:jc w:val="center"/>
              <w:rPr>
                <w:rFonts w:ascii="Times New Roman" w:hAnsi="Times New Roman" w:cs="Times New Roman"/>
              </w:rPr>
            </w:pPr>
            <w:r w:rsidRPr="00210BF6">
              <w:rPr>
                <w:rFonts w:ascii="Times New Roman" w:hAnsi="Times New Roman" w:cs="Times New Roman"/>
              </w:rPr>
              <w:t>9</w:t>
            </w:r>
          </w:p>
        </w:tc>
        <w:tc>
          <w:tcPr>
            <w:tcW w:w="6836" w:type="dxa"/>
          </w:tcPr>
          <w:p w:rsidR="00210BF6" w:rsidRPr="00210BF6" w:rsidRDefault="00210BF6" w:rsidP="00210BF6">
            <w:pPr>
              <w:jc w:val="both"/>
              <w:rPr>
                <w:rFonts w:ascii="Times New Roman" w:hAnsi="Times New Roman" w:cs="Times New Roman"/>
              </w:rPr>
            </w:pPr>
            <w:r w:rsidRPr="00210BF6">
              <w:rPr>
                <w:rFonts w:ascii="Times New Roman" w:hAnsi="Times New Roman" w:cs="Times New Roman"/>
              </w:rPr>
              <w:t xml:space="preserve">Общая сумма дохода на 2021 год, по ставке 30% </w:t>
            </w:r>
          </w:p>
          <w:p w:rsidR="00210BF6" w:rsidRPr="00210BF6" w:rsidRDefault="00210BF6" w:rsidP="00210BF6">
            <w:pPr>
              <w:jc w:val="both"/>
              <w:rPr>
                <w:rFonts w:ascii="Times New Roman" w:hAnsi="Times New Roman" w:cs="Times New Roman"/>
                <w:b/>
              </w:rPr>
            </w:pPr>
            <w:r w:rsidRPr="00210BF6">
              <w:rPr>
                <w:rFonts w:ascii="Times New Roman" w:hAnsi="Times New Roman" w:cs="Times New Roman"/>
              </w:rPr>
              <w:t>(стр. 3*Кфзп 2021/2020, в %)</w:t>
            </w:r>
          </w:p>
        </w:tc>
        <w:tc>
          <w:tcPr>
            <w:tcW w:w="2126" w:type="dxa"/>
          </w:tcPr>
          <w:p w:rsidR="00210BF6" w:rsidRPr="00210BF6" w:rsidRDefault="00210BF6" w:rsidP="00210BF6">
            <w:pPr>
              <w:jc w:val="center"/>
              <w:rPr>
                <w:rFonts w:ascii="Times New Roman" w:hAnsi="Times New Roman" w:cs="Times New Roman"/>
                <w:b/>
              </w:rPr>
            </w:pPr>
            <w:r w:rsidRPr="00210BF6">
              <w:rPr>
                <w:rFonts w:ascii="Times New Roman" w:hAnsi="Times New Roman" w:cs="Times New Roman"/>
              </w:rPr>
              <w:t>81 729,0</w:t>
            </w:r>
          </w:p>
        </w:tc>
      </w:tr>
      <w:tr w:rsidR="00210BF6" w:rsidRPr="00210BF6" w:rsidTr="009957FA">
        <w:tc>
          <w:tcPr>
            <w:tcW w:w="672" w:type="dxa"/>
          </w:tcPr>
          <w:p w:rsidR="00210BF6" w:rsidRPr="00210BF6" w:rsidRDefault="00210BF6" w:rsidP="00210BF6">
            <w:pPr>
              <w:jc w:val="center"/>
              <w:rPr>
                <w:rFonts w:ascii="Times New Roman" w:hAnsi="Times New Roman" w:cs="Times New Roman"/>
              </w:rPr>
            </w:pPr>
            <w:r w:rsidRPr="00210BF6">
              <w:rPr>
                <w:rFonts w:ascii="Times New Roman" w:hAnsi="Times New Roman" w:cs="Times New Roman"/>
              </w:rPr>
              <w:t>10</w:t>
            </w:r>
          </w:p>
        </w:tc>
        <w:tc>
          <w:tcPr>
            <w:tcW w:w="6836" w:type="dxa"/>
          </w:tcPr>
          <w:p w:rsidR="00210BF6" w:rsidRPr="00210BF6" w:rsidRDefault="00210BF6" w:rsidP="00210BF6">
            <w:pPr>
              <w:jc w:val="both"/>
              <w:rPr>
                <w:rFonts w:ascii="Times New Roman" w:hAnsi="Times New Roman" w:cs="Times New Roman"/>
              </w:rPr>
            </w:pPr>
            <w:r w:rsidRPr="00210BF6">
              <w:rPr>
                <w:rFonts w:ascii="Times New Roman" w:hAnsi="Times New Roman" w:cs="Times New Roman"/>
              </w:rPr>
              <w:t xml:space="preserve">Общая сумма дохода на 2021 год, по ставке 9% </w:t>
            </w:r>
          </w:p>
          <w:p w:rsidR="00210BF6" w:rsidRPr="00210BF6" w:rsidRDefault="00210BF6" w:rsidP="00210BF6">
            <w:pPr>
              <w:jc w:val="both"/>
              <w:rPr>
                <w:rFonts w:ascii="Times New Roman" w:hAnsi="Times New Roman" w:cs="Times New Roman"/>
                <w:b/>
              </w:rPr>
            </w:pPr>
            <w:r w:rsidRPr="00210BF6">
              <w:rPr>
                <w:rFonts w:ascii="Times New Roman" w:hAnsi="Times New Roman" w:cs="Times New Roman"/>
              </w:rPr>
              <w:t>(стр. 4*Кфзп 2021/2020 в %)</w:t>
            </w:r>
          </w:p>
        </w:tc>
        <w:tc>
          <w:tcPr>
            <w:tcW w:w="2126" w:type="dxa"/>
          </w:tcPr>
          <w:p w:rsidR="00210BF6" w:rsidRPr="00210BF6" w:rsidRDefault="00210BF6" w:rsidP="00210BF6">
            <w:pPr>
              <w:jc w:val="center"/>
              <w:rPr>
                <w:rFonts w:ascii="Times New Roman" w:hAnsi="Times New Roman" w:cs="Times New Roman"/>
                <w:b/>
              </w:rPr>
            </w:pPr>
            <w:r w:rsidRPr="00210BF6">
              <w:rPr>
                <w:rFonts w:ascii="Times New Roman" w:hAnsi="Times New Roman" w:cs="Times New Roman"/>
              </w:rPr>
              <w:t>1 636,0</w:t>
            </w:r>
          </w:p>
        </w:tc>
      </w:tr>
      <w:tr w:rsidR="00210BF6" w:rsidRPr="00210BF6" w:rsidTr="009957FA">
        <w:tc>
          <w:tcPr>
            <w:tcW w:w="672" w:type="dxa"/>
          </w:tcPr>
          <w:p w:rsidR="00210BF6" w:rsidRPr="00210BF6" w:rsidRDefault="00210BF6" w:rsidP="00210BF6">
            <w:pPr>
              <w:jc w:val="center"/>
              <w:rPr>
                <w:rFonts w:ascii="Times New Roman" w:hAnsi="Times New Roman" w:cs="Times New Roman"/>
              </w:rPr>
            </w:pPr>
            <w:r w:rsidRPr="00210BF6">
              <w:rPr>
                <w:rFonts w:ascii="Times New Roman" w:hAnsi="Times New Roman" w:cs="Times New Roman"/>
              </w:rPr>
              <w:t>11</w:t>
            </w:r>
          </w:p>
        </w:tc>
        <w:tc>
          <w:tcPr>
            <w:tcW w:w="6836" w:type="dxa"/>
          </w:tcPr>
          <w:p w:rsidR="00210BF6" w:rsidRPr="00210BF6" w:rsidRDefault="00210BF6" w:rsidP="00210BF6">
            <w:pPr>
              <w:jc w:val="both"/>
              <w:rPr>
                <w:rFonts w:ascii="Times New Roman" w:hAnsi="Times New Roman" w:cs="Times New Roman"/>
              </w:rPr>
            </w:pPr>
            <w:r w:rsidRPr="00210BF6">
              <w:rPr>
                <w:rFonts w:ascii="Times New Roman" w:hAnsi="Times New Roman" w:cs="Times New Roman"/>
              </w:rPr>
              <w:t>Общая сумма дохода на 2021 год по ставке 35%</w:t>
            </w:r>
          </w:p>
          <w:p w:rsidR="00210BF6" w:rsidRPr="00210BF6" w:rsidRDefault="00210BF6" w:rsidP="00210BF6">
            <w:pPr>
              <w:jc w:val="both"/>
              <w:rPr>
                <w:rFonts w:ascii="Times New Roman" w:hAnsi="Times New Roman" w:cs="Times New Roman"/>
                <w:b/>
              </w:rPr>
            </w:pPr>
            <w:r w:rsidRPr="00210BF6">
              <w:rPr>
                <w:rFonts w:ascii="Times New Roman" w:hAnsi="Times New Roman" w:cs="Times New Roman"/>
              </w:rPr>
              <w:t>(стр. 5 * Кфзп 2021/2020 в %)</w:t>
            </w:r>
          </w:p>
        </w:tc>
        <w:tc>
          <w:tcPr>
            <w:tcW w:w="2126" w:type="dxa"/>
          </w:tcPr>
          <w:p w:rsidR="00210BF6" w:rsidRPr="00210BF6" w:rsidRDefault="00210BF6" w:rsidP="00210BF6">
            <w:pPr>
              <w:jc w:val="center"/>
              <w:rPr>
                <w:rFonts w:ascii="Times New Roman" w:hAnsi="Times New Roman" w:cs="Times New Roman"/>
                <w:b/>
              </w:rPr>
            </w:pPr>
            <w:r w:rsidRPr="00210BF6">
              <w:rPr>
                <w:rFonts w:ascii="Times New Roman" w:hAnsi="Times New Roman" w:cs="Times New Roman"/>
              </w:rPr>
              <w:t>14 937,0</w:t>
            </w:r>
          </w:p>
        </w:tc>
      </w:tr>
      <w:tr w:rsidR="00210BF6" w:rsidRPr="00210BF6" w:rsidTr="009957FA">
        <w:tc>
          <w:tcPr>
            <w:tcW w:w="672" w:type="dxa"/>
          </w:tcPr>
          <w:p w:rsidR="00210BF6" w:rsidRPr="00210BF6" w:rsidRDefault="00210BF6" w:rsidP="00210BF6">
            <w:pPr>
              <w:jc w:val="center"/>
              <w:rPr>
                <w:rFonts w:ascii="Times New Roman" w:hAnsi="Times New Roman" w:cs="Times New Roman"/>
              </w:rPr>
            </w:pPr>
            <w:r w:rsidRPr="00210BF6">
              <w:rPr>
                <w:rFonts w:ascii="Times New Roman" w:hAnsi="Times New Roman" w:cs="Times New Roman"/>
              </w:rPr>
              <w:t>12</w:t>
            </w:r>
          </w:p>
        </w:tc>
        <w:tc>
          <w:tcPr>
            <w:tcW w:w="6836" w:type="dxa"/>
          </w:tcPr>
          <w:p w:rsidR="00210BF6" w:rsidRPr="00210BF6" w:rsidRDefault="00210BF6" w:rsidP="00210BF6">
            <w:pPr>
              <w:jc w:val="both"/>
              <w:rPr>
                <w:rFonts w:ascii="Times New Roman" w:hAnsi="Times New Roman" w:cs="Times New Roman"/>
              </w:rPr>
            </w:pPr>
            <w:r w:rsidRPr="00210BF6">
              <w:rPr>
                <w:rFonts w:ascii="Times New Roman" w:hAnsi="Times New Roman" w:cs="Times New Roman"/>
              </w:rPr>
              <w:t>Общая сумма дохода на 2021 год, по ставке 15%</w:t>
            </w:r>
          </w:p>
          <w:p w:rsidR="00210BF6" w:rsidRPr="00210BF6" w:rsidRDefault="00210BF6" w:rsidP="00210BF6">
            <w:pPr>
              <w:jc w:val="both"/>
              <w:rPr>
                <w:rFonts w:ascii="Times New Roman" w:hAnsi="Times New Roman" w:cs="Times New Roman"/>
                <w:b/>
              </w:rPr>
            </w:pPr>
            <w:r w:rsidRPr="00210BF6">
              <w:rPr>
                <w:rFonts w:ascii="Times New Roman" w:hAnsi="Times New Roman" w:cs="Times New Roman"/>
              </w:rPr>
              <w:t>(стр. 6 * Кфзп 2021/2020 в %)</w:t>
            </w:r>
          </w:p>
        </w:tc>
        <w:tc>
          <w:tcPr>
            <w:tcW w:w="2126" w:type="dxa"/>
          </w:tcPr>
          <w:p w:rsidR="00210BF6" w:rsidRPr="00210BF6" w:rsidRDefault="00210BF6" w:rsidP="00210BF6">
            <w:pPr>
              <w:jc w:val="center"/>
              <w:rPr>
                <w:rFonts w:ascii="Times New Roman" w:hAnsi="Times New Roman" w:cs="Times New Roman"/>
                <w:b/>
              </w:rPr>
            </w:pPr>
            <w:r w:rsidRPr="00210BF6">
              <w:rPr>
                <w:rFonts w:ascii="Times New Roman" w:hAnsi="Times New Roman" w:cs="Times New Roman"/>
              </w:rPr>
              <w:t>82 417,0</w:t>
            </w:r>
          </w:p>
        </w:tc>
      </w:tr>
      <w:tr w:rsidR="00210BF6" w:rsidRPr="00210BF6" w:rsidTr="009957FA">
        <w:tc>
          <w:tcPr>
            <w:tcW w:w="672" w:type="dxa"/>
          </w:tcPr>
          <w:p w:rsidR="00210BF6" w:rsidRPr="00210BF6" w:rsidRDefault="00210BF6" w:rsidP="00210BF6">
            <w:pPr>
              <w:jc w:val="center"/>
              <w:rPr>
                <w:rFonts w:ascii="Times New Roman" w:hAnsi="Times New Roman" w:cs="Times New Roman"/>
              </w:rPr>
            </w:pPr>
            <w:r w:rsidRPr="00210BF6">
              <w:rPr>
                <w:rFonts w:ascii="Times New Roman" w:hAnsi="Times New Roman" w:cs="Times New Roman"/>
              </w:rPr>
              <w:t>13</w:t>
            </w:r>
          </w:p>
        </w:tc>
        <w:tc>
          <w:tcPr>
            <w:tcW w:w="6836" w:type="dxa"/>
          </w:tcPr>
          <w:p w:rsidR="00210BF6" w:rsidRPr="00210BF6" w:rsidRDefault="00210BF6" w:rsidP="00210BF6">
            <w:pPr>
              <w:jc w:val="both"/>
              <w:rPr>
                <w:rFonts w:ascii="Times New Roman" w:hAnsi="Times New Roman" w:cs="Times New Roman"/>
                <w:b/>
              </w:rPr>
            </w:pPr>
            <w:r w:rsidRPr="00210BF6">
              <w:rPr>
                <w:rFonts w:ascii="Times New Roman" w:hAnsi="Times New Roman" w:cs="Times New Roman"/>
              </w:rPr>
              <w:t>Общая сумма дохода на 2021 год, по иным налоговым ставкам (стр. 7 * Кфзп 2021/2020 в %)</w:t>
            </w:r>
          </w:p>
        </w:tc>
        <w:tc>
          <w:tcPr>
            <w:tcW w:w="2126" w:type="dxa"/>
          </w:tcPr>
          <w:p w:rsidR="00210BF6" w:rsidRPr="00210BF6" w:rsidRDefault="00210BF6" w:rsidP="00210BF6">
            <w:pPr>
              <w:jc w:val="center"/>
              <w:rPr>
                <w:rFonts w:ascii="Times New Roman" w:hAnsi="Times New Roman" w:cs="Times New Roman"/>
                <w:b/>
              </w:rPr>
            </w:pPr>
            <w:r w:rsidRPr="00210BF6">
              <w:rPr>
                <w:rFonts w:ascii="Times New Roman" w:hAnsi="Times New Roman" w:cs="Times New Roman"/>
              </w:rPr>
              <w:t>183 153,0</w:t>
            </w:r>
          </w:p>
        </w:tc>
      </w:tr>
      <w:tr w:rsidR="00210BF6" w:rsidRPr="00210BF6" w:rsidTr="009957FA">
        <w:tc>
          <w:tcPr>
            <w:tcW w:w="672" w:type="dxa"/>
          </w:tcPr>
          <w:p w:rsidR="00210BF6" w:rsidRPr="00210BF6" w:rsidRDefault="00210BF6" w:rsidP="00210BF6">
            <w:pPr>
              <w:jc w:val="center"/>
              <w:rPr>
                <w:rFonts w:ascii="Times New Roman" w:hAnsi="Times New Roman" w:cs="Times New Roman"/>
              </w:rPr>
            </w:pPr>
            <w:r w:rsidRPr="00210BF6">
              <w:rPr>
                <w:rFonts w:ascii="Times New Roman" w:hAnsi="Times New Roman" w:cs="Times New Roman"/>
              </w:rPr>
              <w:t>14</w:t>
            </w:r>
          </w:p>
        </w:tc>
        <w:tc>
          <w:tcPr>
            <w:tcW w:w="6836" w:type="dxa"/>
          </w:tcPr>
          <w:p w:rsidR="00210BF6" w:rsidRPr="00210BF6" w:rsidRDefault="00210BF6" w:rsidP="00210BF6">
            <w:pPr>
              <w:jc w:val="both"/>
              <w:rPr>
                <w:rFonts w:ascii="Times New Roman" w:hAnsi="Times New Roman" w:cs="Times New Roman"/>
                <w:b/>
              </w:rPr>
            </w:pPr>
            <w:r w:rsidRPr="00210BF6">
              <w:rPr>
                <w:rFonts w:ascii="Times New Roman" w:hAnsi="Times New Roman" w:cs="Times New Roman"/>
              </w:rPr>
              <w:t xml:space="preserve">Сумма по налогу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w:t>
            </w:r>
            <w:r w:rsidRPr="00210BF6">
              <w:rPr>
                <w:rFonts w:ascii="Times New Roman" w:hAnsi="Times New Roman" w:cs="Times New Roman"/>
                <w:b/>
              </w:rPr>
              <w:t>на 2021 год;</w:t>
            </w:r>
          </w:p>
          <w:p w:rsidR="00210BF6" w:rsidRPr="00210BF6" w:rsidRDefault="00210BF6" w:rsidP="00210BF6">
            <w:pPr>
              <w:jc w:val="both"/>
              <w:rPr>
                <w:rFonts w:ascii="Times New Roman" w:hAnsi="Times New Roman" w:cs="Times New Roman"/>
              </w:rPr>
            </w:pPr>
            <w:r w:rsidRPr="00210BF6">
              <w:rPr>
                <w:rFonts w:ascii="Times New Roman" w:hAnsi="Times New Roman" w:cs="Times New Roman"/>
              </w:rPr>
              <w:t xml:space="preserve">(стр. 8 – Общая сумма налоговых вычетов на 2021 год </w:t>
            </w:r>
            <w:r w:rsidRPr="00210BF6">
              <w:rPr>
                <w:rFonts w:ascii="Times New Roman" w:hAnsi="Times New Roman" w:cs="Times New Roman"/>
                <w:b/>
              </w:rPr>
              <w:t>20 448 933 тыс. руб</w:t>
            </w:r>
            <w:r w:rsidRPr="00210BF6">
              <w:rPr>
                <w:rFonts w:ascii="Times New Roman" w:hAnsi="Times New Roman" w:cs="Times New Roman"/>
              </w:rPr>
              <w:t>. (расчет произведен по отчетам ф. №1-ДДК и № 5-НДФЛ за 2020 год с учетом ИПЦ на 2021 год 105,8% (по данным Минэконом Тверской области)) * 13% + стр.9 *30% + стр.10 * 9% + стр.11 *35% + стр.12 *15% + стр.13 * расчетную ставку по итогам 2020 года в разрезе муниципальных образований Тверской области (средняя ставка по области 9,8%))</w:t>
            </w:r>
          </w:p>
        </w:tc>
        <w:tc>
          <w:tcPr>
            <w:tcW w:w="2126" w:type="dxa"/>
          </w:tcPr>
          <w:p w:rsidR="00210BF6" w:rsidRPr="00210BF6" w:rsidRDefault="00210BF6" w:rsidP="00B46844">
            <w:pPr>
              <w:jc w:val="center"/>
              <w:rPr>
                <w:rFonts w:ascii="Times New Roman" w:hAnsi="Times New Roman" w:cs="Times New Roman"/>
              </w:rPr>
            </w:pPr>
            <w:r w:rsidRPr="00210BF6">
              <w:rPr>
                <w:rFonts w:ascii="Times New Roman" w:hAnsi="Times New Roman" w:cs="Times New Roman"/>
              </w:rPr>
              <w:t>21 594 40</w:t>
            </w:r>
            <w:r w:rsidR="00B46844">
              <w:rPr>
                <w:rFonts w:ascii="Times New Roman" w:hAnsi="Times New Roman" w:cs="Times New Roman"/>
              </w:rPr>
              <w:t>4</w:t>
            </w:r>
            <w:r w:rsidRPr="00210BF6">
              <w:rPr>
                <w:rFonts w:ascii="Times New Roman" w:hAnsi="Times New Roman" w:cs="Times New Roman"/>
              </w:rPr>
              <w:t>,0</w:t>
            </w:r>
          </w:p>
        </w:tc>
      </w:tr>
      <w:tr w:rsidR="00210BF6" w:rsidRPr="00210BF6" w:rsidTr="009957FA">
        <w:tc>
          <w:tcPr>
            <w:tcW w:w="672" w:type="dxa"/>
          </w:tcPr>
          <w:p w:rsidR="00210BF6" w:rsidRPr="00210BF6" w:rsidRDefault="00210BF6" w:rsidP="00210BF6">
            <w:pPr>
              <w:jc w:val="center"/>
              <w:rPr>
                <w:rFonts w:ascii="Times New Roman" w:hAnsi="Times New Roman" w:cs="Times New Roman"/>
              </w:rPr>
            </w:pPr>
            <w:r w:rsidRPr="00210BF6">
              <w:rPr>
                <w:rFonts w:ascii="Times New Roman" w:hAnsi="Times New Roman" w:cs="Times New Roman"/>
              </w:rPr>
              <w:t>15</w:t>
            </w:r>
          </w:p>
        </w:tc>
        <w:tc>
          <w:tcPr>
            <w:tcW w:w="6836" w:type="dxa"/>
          </w:tcPr>
          <w:p w:rsidR="00210BF6" w:rsidRPr="00210BF6" w:rsidRDefault="00210BF6" w:rsidP="00210BF6">
            <w:pPr>
              <w:jc w:val="both"/>
              <w:rPr>
                <w:rFonts w:ascii="Times New Roman" w:hAnsi="Times New Roman" w:cs="Times New Roman"/>
              </w:rPr>
            </w:pPr>
            <w:r w:rsidRPr="00210BF6">
              <w:rPr>
                <w:rFonts w:ascii="Times New Roman" w:hAnsi="Times New Roman" w:cs="Times New Roman"/>
              </w:rPr>
              <w:t>Коэффициент, характеризующий долю уплаченного налога в исчисленной сумме налога ((сумма поступлений по НДФЛ (ф. №1-НМ за 2020 год) + сумма возвратов НДФЛ по налоговым вычетам за 2020 год (справка УФК- форма по КФД 0531468)) /  сумма налога исчисленная (ф. №5-НДФЛ за 2020 год) по каждому бюджету городского округа, муниципального округа, городского и сельского поселения (средний показатель по Тверской области составляет 1,0472 ((22 410 074 + 2 075 947)/ 23 382 559 = 1,0472))</w:t>
            </w:r>
          </w:p>
        </w:tc>
        <w:tc>
          <w:tcPr>
            <w:tcW w:w="2126" w:type="dxa"/>
          </w:tcPr>
          <w:p w:rsidR="00210BF6" w:rsidRPr="00210BF6" w:rsidRDefault="00210BF6" w:rsidP="00210BF6">
            <w:pPr>
              <w:jc w:val="center"/>
              <w:rPr>
                <w:rFonts w:ascii="Times New Roman" w:hAnsi="Times New Roman" w:cs="Times New Roman"/>
              </w:rPr>
            </w:pPr>
            <w:r w:rsidRPr="00210BF6">
              <w:rPr>
                <w:rFonts w:ascii="Times New Roman" w:hAnsi="Times New Roman" w:cs="Times New Roman"/>
              </w:rPr>
              <w:t>по каждому муниципальному образованию Тверской области</w:t>
            </w:r>
          </w:p>
        </w:tc>
      </w:tr>
      <w:tr w:rsidR="00210BF6" w:rsidRPr="00210BF6" w:rsidTr="009957FA">
        <w:tc>
          <w:tcPr>
            <w:tcW w:w="672" w:type="dxa"/>
          </w:tcPr>
          <w:p w:rsidR="00210BF6" w:rsidRPr="00210BF6" w:rsidRDefault="00210BF6" w:rsidP="00210BF6">
            <w:pPr>
              <w:jc w:val="center"/>
              <w:rPr>
                <w:rFonts w:ascii="Times New Roman" w:hAnsi="Times New Roman" w:cs="Times New Roman"/>
              </w:rPr>
            </w:pPr>
            <w:r w:rsidRPr="00210BF6">
              <w:rPr>
                <w:rFonts w:ascii="Times New Roman" w:hAnsi="Times New Roman" w:cs="Times New Roman"/>
              </w:rPr>
              <w:t>16</w:t>
            </w:r>
          </w:p>
        </w:tc>
        <w:tc>
          <w:tcPr>
            <w:tcW w:w="6836" w:type="dxa"/>
          </w:tcPr>
          <w:p w:rsidR="00210BF6" w:rsidRPr="00210BF6" w:rsidRDefault="00210BF6" w:rsidP="00210BF6">
            <w:pPr>
              <w:jc w:val="both"/>
              <w:rPr>
                <w:rFonts w:ascii="Times New Roman" w:hAnsi="Times New Roman" w:cs="Times New Roman"/>
              </w:rPr>
            </w:pPr>
            <w:r w:rsidRPr="00210BF6">
              <w:rPr>
                <w:rFonts w:ascii="Times New Roman" w:hAnsi="Times New Roman" w:cs="Times New Roman"/>
                <w:b/>
              </w:rPr>
              <w:t>Оценка на 2021 год в консолидированный бюджет Тверской области</w:t>
            </w:r>
            <w:r w:rsidRPr="00210BF6">
              <w:rPr>
                <w:rFonts w:ascii="Times New Roman" w:hAnsi="Times New Roman" w:cs="Times New Roman"/>
              </w:rPr>
              <w:t xml:space="preserve"> по налогу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 учетом Коэффициента доли уплаченного налога в исчисленной сумме налога за 2020 год (по данным главного администратора доходов) по каждому бюджету городского и  муниципального округов, городского и сельского поселения и Корректирующей суммы поступлений F1 (66 166 тыс. руб.) (по данным главного администратора доходов) в разрезе бюджетов городских и муниципальных округов, городских и сельских поселений</w:t>
            </w:r>
          </w:p>
          <w:p w:rsidR="00210BF6" w:rsidRPr="00210BF6" w:rsidRDefault="00210BF6" w:rsidP="00210BF6">
            <w:pPr>
              <w:jc w:val="both"/>
              <w:rPr>
                <w:rFonts w:ascii="Times New Roman" w:hAnsi="Times New Roman" w:cs="Times New Roman"/>
              </w:rPr>
            </w:pPr>
            <w:r w:rsidRPr="00210BF6">
              <w:rPr>
                <w:rFonts w:ascii="Times New Roman" w:hAnsi="Times New Roman" w:cs="Times New Roman"/>
              </w:rPr>
              <w:lastRenderedPageBreak/>
              <w:t xml:space="preserve">(стр.14 * стр.15 + </w:t>
            </w:r>
            <w:r w:rsidRPr="00210BF6">
              <w:rPr>
                <w:rFonts w:ascii="Times New Roman" w:hAnsi="Times New Roman" w:cs="Times New Roman"/>
                <w:lang w:val="en-US"/>
              </w:rPr>
              <w:t>F</w:t>
            </w:r>
            <w:r w:rsidRPr="00210BF6">
              <w:rPr>
                <w:rFonts w:ascii="Times New Roman" w:hAnsi="Times New Roman" w:cs="Times New Roman"/>
              </w:rPr>
              <w:t>1 (66</w:t>
            </w:r>
            <w:r w:rsidRPr="00210BF6">
              <w:rPr>
                <w:rFonts w:ascii="Times New Roman" w:hAnsi="Times New Roman" w:cs="Times New Roman"/>
                <w:lang w:val="en-US"/>
              </w:rPr>
              <w:t> </w:t>
            </w:r>
            <w:r w:rsidRPr="00210BF6">
              <w:rPr>
                <w:rFonts w:ascii="Times New Roman" w:hAnsi="Times New Roman" w:cs="Times New Roman"/>
              </w:rPr>
              <w:t>166 тыс. руб.))</w:t>
            </w:r>
          </w:p>
        </w:tc>
        <w:tc>
          <w:tcPr>
            <w:tcW w:w="2126" w:type="dxa"/>
          </w:tcPr>
          <w:p w:rsidR="00210BF6" w:rsidRPr="00210BF6" w:rsidRDefault="00210BF6" w:rsidP="00113DE9">
            <w:pPr>
              <w:jc w:val="center"/>
              <w:rPr>
                <w:rFonts w:ascii="Times New Roman" w:hAnsi="Times New Roman" w:cs="Times New Roman"/>
                <w:b/>
              </w:rPr>
            </w:pPr>
            <w:r w:rsidRPr="00210BF6">
              <w:rPr>
                <w:rFonts w:ascii="Times New Roman" w:hAnsi="Times New Roman" w:cs="Times New Roman"/>
                <w:b/>
              </w:rPr>
              <w:lastRenderedPageBreak/>
              <w:t>22 649 70</w:t>
            </w:r>
            <w:r w:rsidR="00113DE9">
              <w:rPr>
                <w:rFonts w:ascii="Times New Roman" w:hAnsi="Times New Roman" w:cs="Times New Roman"/>
                <w:b/>
              </w:rPr>
              <w:t>9</w:t>
            </w:r>
            <w:r w:rsidRPr="00210BF6">
              <w:rPr>
                <w:rFonts w:ascii="Times New Roman" w:hAnsi="Times New Roman" w:cs="Times New Roman"/>
                <w:b/>
              </w:rPr>
              <w:t>,0</w:t>
            </w:r>
          </w:p>
        </w:tc>
      </w:tr>
      <w:tr w:rsidR="00210BF6" w:rsidRPr="00210BF6" w:rsidTr="009957FA">
        <w:tc>
          <w:tcPr>
            <w:tcW w:w="672" w:type="dxa"/>
          </w:tcPr>
          <w:p w:rsidR="00210BF6" w:rsidRPr="00210BF6" w:rsidRDefault="00210BF6" w:rsidP="00210BF6">
            <w:pPr>
              <w:jc w:val="center"/>
              <w:rPr>
                <w:rFonts w:ascii="Times New Roman" w:hAnsi="Times New Roman" w:cs="Times New Roman"/>
              </w:rPr>
            </w:pPr>
            <w:r w:rsidRPr="00210BF6">
              <w:rPr>
                <w:rFonts w:ascii="Times New Roman" w:hAnsi="Times New Roman" w:cs="Times New Roman"/>
              </w:rPr>
              <w:t>17</w:t>
            </w:r>
          </w:p>
        </w:tc>
        <w:tc>
          <w:tcPr>
            <w:tcW w:w="6836" w:type="dxa"/>
          </w:tcPr>
          <w:p w:rsidR="00B821AA" w:rsidRPr="00210BF6" w:rsidRDefault="00210BF6" w:rsidP="00D56183">
            <w:pPr>
              <w:jc w:val="both"/>
              <w:rPr>
                <w:rFonts w:ascii="Times New Roman" w:hAnsi="Times New Roman" w:cs="Times New Roman"/>
                <w:b/>
              </w:rPr>
            </w:pPr>
            <w:r w:rsidRPr="00210BF6">
              <w:rPr>
                <w:rFonts w:ascii="Times New Roman" w:hAnsi="Times New Roman" w:cs="Times New Roman"/>
                <w:b/>
              </w:rPr>
              <w:t>Прогноз на 2022 год по налогу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126" w:type="dxa"/>
          </w:tcPr>
          <w:p w:rsidR="00210BF6" w:rsidRDefault="00210BF6" w:rsidP="00210BF6">
            <w:pPr>
              <w:jc w:val="center"/>
              <w:rPr>
                <w:rFonts w:ascii="Times New Roman" w:hAnsi="Times New Roman" w:cs="Times New Roman"/>
                <w:b/>
              </w:rPr>
            </w:pPr>
          </w:p>
          <w:p w:rsidR="00B821AA" w:rsidRPr="00210BF6" w:rsidRDefault="00B821AA" w:rsidP="00210BF6">
            <w:pPr>
              <w:jc w:val="center"/>
              <w:rPr>
                <w:rFonts w:ascii="Times New Roman" w:hAnsi="Times New Roman" w:cs="Times New Roman"/>
                <w:b/>
              </w:rPr>
            </w:pPr>
          </w:p>
        </w:tc>
      </w:tr>
      <w:tr w:rsidR="00210BF6" w:rsidRPr="00210BF6" w:rsidTr="009957FA">
        <w:tc>
          <w:tcPr>
            <w:tcW w:w="672" w:type="dxa"/>
          </w:tcPr>
          <w:p w:rsidR="00210BF6" w:rsidRPr="00210BF6" w:rsidRDefault="00210BF6" w:rsidP="00210BF6">
            <w:pPr>
              <w:jc w:val="center"/>
              <w:rPr>
                <w:rFonts w:ascii="Times New Roman" w:hAnsi="Times New Roman" w:cs="Times New Roman"/>
              </w:rPr>
            </w:pPr>
            <w:r w:rsidRPr="00210BF6">
              <w:rPr>
                <w:rFonts w:ascii="Times New Roman" w:hAnsi="Times New Roman" w:cs="Times New Roman"/>
              </w:rPr>
              <w:t>18</w:t>
            </w:r>
          </w:p>
        </w:tc>
        <w:tc>
          <w:tcPr>
            <w:tcW w:w="6836" w:type="dxa"/>
          </w:tcPr>
          <w:p w:rsidR="00210BF6" w:rsidRPr="00210BF6" w:rsidRDefault="00210BF6" w:rsidP="00210BF6">
            <w:pPr>
              <w:jc w:val="both"/>
              <w:rPr>
                <w:rFonts w:ascii="Times New Roman" w:hAnsi="Times New Roman" w:cs="Times New Roman"/>
              </w:rPr>
            </w:pPr>
            <w:r w:rsidRPr="00210BF6">
              <w:rPr>
                <w:rFonts w:ascii="Times New Roman" w:hAnsi="Times New Roman" w:cs="Times New Roman"/>
              </w:rPr>
              <w:t>Общая сумма дохода на 2022 год, по ставке 13%</w:t>
            </w:r>
          </w:p>
          <w:p w:rsidR="00210BF6" w:rsidRPr="00210BF6" w:rsidRDefault="00210BF6" w:rsidP="00210BF6">
            <w:pPr>
              <w:jc w:val="both"/>
              <w:rPr>
                <w:rFonts w:ascii="Times New Roman" w:hAnsi="Times New Roman" w:cs="Times New Roman"/>
              </w:rPr>
            </w:pPr>
            <w:r w:rsidRPr="00210BF6">
              <w:rPr>
                <w:rFonts w:ascii="Times New Roman" w:hAnsi="Times New Roman" w:cs="Times New Roman"/>
              </w:rPr>
              <w:t xml:space="preserve">(без учета доходов, свыше 5 млн. руб.) </w:t>
            </w:r>
            <w:r w:rsidRPr="00210BF6">
              <w:rPr>
                <w:rFonts w:ascii="Times New Roman" w:hAnsi="Times New Roman" w:cs="Times New Roman"/>
              </w:rPr>
              <w:br/>
              <w:t>(стр. 8*Кфзп 2022/2021</w:t>
            </w:r>
            <w:r w:rsidR="00FF167C">
              <w:rPr>
                <w:rFonts w:ascii="Times New Roman" w:hAnsi="Times New Roman" w:cs="Times New Roman"/>
              </w:rPr>
              <w:t>, в%</w:t>
            </w:r>
            <w:r w:rsidRPr="00210BF6">
              <w:rPr>
                <w:rFonts w:ascii="Times New Roman" w:hAnsi="Times New Roman" w:cs="Times New Roman"/>
              </w:rPr>
              <w:t>)</w:t>
            </w:r>
          </w:p>
        </w:tc>
        <w:tc>
          <w:tcPr>
            <w:tcW w:w="2126" w:type="dxa"/>
          </w:tcPr>
          <w:p w:rsidR="00210BF6" w:rsidRPr="00210BF6" w:rsidRDefault="00210BF6" w:rsidP="00210BF6">
            <w:pPr>
              <w:jc w:val="center"/>
              <w:rPr>
                <w:rFonts w:ascii="Times New Roman" w:hAnsi="Times New Roman" w:cs="Times New Roman"/>
              </w:rPr>
            </w:pPr>
            <w:r w:rsidRPr="00210BF6">
              <w:rPr>
                <w:rFonts w:ascii="Times New Roman" w:hAnsi="Times New Roman" w:cs="Times New Roman"/>
              </w:rPr>
              <w:t>195 135 950,0</w:t>
            </w:r>
          </w:p>
        </w:tc>
      </w:tr>
      <w:tr w:rsidR="00210BF6" w:rsidRPr="00210BF6" w:rsidTr="009957FA">
        <w:tc>
          <w:tcPr>
            <w:tcW w:w="672" w:type="dxa"/>
          </w:tcPr>
          <w:p w:rsidR="00210BF6" w:rsidRPr="00210BF6" w:rsidRDefault="00210BF6" w:rsidP="00210BF6">
            <w:pPr>
              <w:jc w:val="center"/>
              <w:rPr>
                <w:rFonts w:ascii="Times New Roman" w:hAnsi="Times New Roman" w:cs="Times New Roman"/>
              </w:rPr>
            </w:pPr>
            <w:r w:rsidRPr="00210BF6">
              <w:rPr>
                <w:rFonts w:ascii="Times New Roman" w:hAnsi="Times New Roman" w:cs="Times New Roman"/>
              </w:rPr>
              <w:t xml:space="preserve">19 </w:t>
            </w:r>
          </w:p>
        </w:tc>
        <w:tc>
          <w:tcPr>
            <w:tcW w:w="6836" w:type="dxa"/>
          </w:tcPr>
          <w:p w:rsidR="00210BF6" w:rsidRPr="00210BF6" w:rsidRDefault="00210BF6" w:rsidP="00210BF6">
            <w:pPr>
              <w:jc w:val="both"/>
              <w:rPr>
                <w:rFonts w:ascii="Times New Roman" w:hAnsi="Times New Roman" w:cs="Times New Roman"/>
              </w:rPr>
            </w:pPr>
            <w:r w:rsidRPr="00210BF6">
              <w:rPr>
                <w:rFonts w:ascii="Times New Roman" w:hAnsi="Times New Roman" w:cs="Times New Roman"/>
              </w:rPr>
              <w:t xml:space="preserve">Общая сумма дохода на 2022 год, по ставке 30% </w:t>
            </w:r>
          </w:p>
          <w:p w:rsidR="00210BF6" w:rsidRPr="00210BF6" w:rsidRDefault="00210BF6" w:rsidP="00210BF6">
            <w:pPr>
              <w:jc w:val="both"/>
              <w:rPr>
                <w:rFonts w:ascii="Times New Roman" w:hAnsi="Times New Roman" w:cs="Times New Roman"/>
              </w:rPr>
            </w:pPr>
            <w:r w:rsidRPr="00210BF6">
              <w:rPr>
                <w:rFonts w:ascii="Times New Roman" w:hAnsi="Times New Roman" w:cs="Times New Roman"/>
              </w:rPr>
              <w:t>(стр. 9*Кфзп 2022/2021</w:t>
            </w:r>
            <w:r w:rsidR="00FF167C">
              <w:rPr>
                <w:rFonts w:ascii="Times New Roman" w:hAnsi="Times New Roman" w:cs="Times New Roman"/>
              </w:rPr>
              <w:t>, в%</w:t>
            </w:r>
            <w:r w:rsidRPr="00210BF6">
              <w:rPr>
                <w:rFonts w:ascii="Times New Roman" w:hAnsi="Times New Roman" w:cs="Times New Roman"/>
              </w:rPr>
              <w:t>)</w:t>
            </w:r>
          </w:p>
        </w:tc>
        <w:tc>
          <w:tcPr>
            <w:tcW w:w="2126" w:type="dxa"/>
          </w:tcPr>
          <w:p w:rsidR="00210BF6" w:rsidRPr="00210BF6" w:rsidRDefault="00210BF6" w:rsidP="00210BF6">
            <w:pPr>
              <w:jc w:val="center"/>
              <w:rPr>
                <w:rFonts w:ascii="Times New Roman" w:hAnsi="Times New Roman" w:cs="Times New Roman"/>
              </w:rPr>
            </w:pPr>
            <w:r w:rsidRPr="00210BF6">
              <w:rPr>
                <w:rFonts w:ascii="Times New Roman" w:hAnsi="Times New Roman" w:cs="Times New Roman"/>
              </w:rPr>
              <w:t>85 232,0</w:t>
            </w:r>
          </w:p>
        </w:tc>
      </w:tr>
      <w:tr w:rsidR="00210BF6" w:rsidRPr="00210BF6" w:rsidTr="009957FA">
        <w:tc>
          <w:tcPr>
            <w:tcW w:w="672" w:type="dxa"/>
          </w:tcPr>
          <w:p w:rsidR="00210BF6" w:rsidRPr="00210BF6" w:rsidRDefault="00210BF6" w:rsidP="00210BF6">
            <w:pPr>
              <w:jc w:val="center"/>
              <w:rPr>
                <w:rFonts w:ascii="Times New Roman" w:hAnsi="Times New Roman" w:cs="Times New Roman"/>
              </w:rPr>
            </w:pPr>
            <w:r w:rsidRPr="00210BF6">
              <w:rPr>
                <w:rFonts w:ascii="Times New Roman" w:hAnsi="Times New Roman" w:cs="Times New Roman"/>
              </w:rPr>
              <w:t xml:space="preserve">20 </w:t>
            </w:r>
          </w:p>
        </w:tc>
        <w:tc>
          <w:tcPr>
            <w:tcW w:w="6836" w:type="dxa"/>
          </w:tcPr>
          <w:p w:rsidR="00210BF6" w:rsidRPr="00210BF6" w:rsidRDefault="00210BF6" w:rsidP="00210BF6">
            <w:pPr>
              <w:jc w:val="both"/>
              <w:rPr>
                <w:rFonts w:ascii="Times New Roman" w:hAnsi="Times New Roman" w:cs="Times New Roman"/>
              </w:rPr>
            </w:pPr>
            <w:r w:rsidRPr="00210BF6">
              <w:rPr>
                <w:rFonts w:ascii="Times New Roman" w:hAnsi="Times New Roman" w:cs="Times New Roman"/>
              </w:rPr>
              <w:t xml:space="preserve">Общая сумма дохода на 2022 год, по ставке 9% </w:t>
            </w:r>
          </w:p>
          <w:p w:rsidR="00210BF6" w:rsidRPr="00210BF6" w:rsidRDefault="00210BF6" w:rsidP="00210BF6">
            <w:pPr>
              <w:jc w:val="both"/>
              <w:rPr>
                <w:rFonts w:ascii="Times New Roman" w:hAnsi="Times New Roman" w:cs="Times New Roman"/>
              </w:rPr>
            </w:pPr>
            <w:r w:rsidRPr="00210BF6">
              <w:rPr>
                <w:rFonts w:ascii="Times New Roman" w:hAnsi="Times New Roman" w:cs="Times New Roman"/>
              </w:rPr>
              <w:t>(стр. 10*Кфзп 2022/2021</w:t>
            </w:r>
            <w:r w:rsidR="00FF167C">
              <w:rPr>
                <w:rFonts w:ascii="Times New Roman" w:hAnsi="Times New Roman" w:cs="Times New Roman"/>
              </w:rPr>
              <w:t>, в %</w:t>
            </w:r>
            <w:r w:rsidRPr="00210BF6">
              <w:rPr>
                <w:rFonts w:ascii="Times New Roman" w:hAnsi="Times New Roman" w:cs="Times New Roman"/>
              </w:rPr>
              <w:t>)</w:t>
            </w:r>
          </w:p>
        </w:tc>
        <w:tc>
          <w:tcPr>
            <w:tcW w:w="2126" w:type="dxa"/>
          </w:tcPr>
          <w:p w:rsidR="00210BF6" w:rsidRPr="00210BF6" w:rsidRDefault="00210BF6" w:rsidP="00210BF6">
            <w:pPr>
              <w:jc w:val="center"/>
              <w:rPr>
                <w:rFonts w:ascii="Times New Roman" w:hAnsi="Times New Roman" w:cs="Times New Roman"/>
              </w:rPr>
            </w:pPr>
            <w:r w:rsidRPr="00210BF6">
              <w:rPr>
                <w:rFonts w:ascii="Times New Roman" w:hAnsi="Times New Roman" w:cs="Times New Roman"/>
              </w:rPr>
              <w:t>1 749,0</w:t>
            </w:r>
          </w:p>
        </w:tc>
      </w:tr>
      <w:tr w:rsidR="00210BF6" w:rsidRPr="00210BF6" w:rsidTr="009957FA">
        <w:tc>
          <w:tcPr>
            <w:tcW w:w="672" w:type="dxa"/>
          </w:tcPr>
          <w:p w:rsidR="00210BF6" w:rsidRPr="00210BF6" w:rsidRDefault="00210BF6" w:rsidP="00210BF6">
            <w:pPr>
              <w:jc w:val="center"/>
              <w:rPr>
                <w:rFonts w:ascii="Times New Roman" w:hAnsi="Times New Roman" w:cs="Times New Roman"/>
              </w:rPr>
            </w:pPr>
            <w:r w:rsidRPr="00210BF6">
              <w:rPr>
                <w:rFonts w:ascii="Times New Roman" w:hAnsi="Times New Roman" w:cs="Times New Roman"/>
              </w:rPr>
              <w:t>21</w:t>
            </w:r>
          </w:p>
        </w:tc>
        <w:tc>
          <w:tcPr>
            <w:tcW w:w="6836" w:type="dxa"/>
          </w:tcPr>
          <w:p w:rsidR="00210BF6" w:rsidRPr="00210BF6" w:rsidRDefault="00210BF6" w:rsidP="00210BF6">
            <w:pPr>
              <w:jc w:val="both"/>
              <w:rPr>
                <w:rFonts w:ascii="Times New Roman" w:hAnsi="Times New Roman" w:cs="Times New Roman"/>
              </w:rPr>
            </w:pPr>
            <w:r w:rsidRPr="00210BF6">
              <w:rPr>
                <w:rFonts w:ascii="Times New Roman" w:hAnsi="Times New Roman" w:cs="Times New Roman"/>
              </w:rPr>
              <w:t>Общая сумма дохода на 2022 год по ставке 35%</w:t>
            </w:r>
          </w:p>
          <w:p w:rsidR="00210BF6" w:rsidRPr="00210BF6" w:rsidRDefault="00210BF6" w:rsidP="00210BF6">
            <w:pPr>
              <w:jc w:val="both"/>
              <w:rPr>
                <w:rFonts w:ascii="Times New Roman" w:hAnsi="Times New Roman" w:cs="Times New Roman"/>
              </w:rPr>
            </w:pPr>
            <w:r w:rsidRPr="00210BF6">
              <w:rPr>
                <w:rFonts w:ascii="Times New Roman" w:hAnsi="Times New Roman" w:cs="Times New Roman"/>
              </w:rPr>
              <w:t>(стр. 11 * Кфзп 2022/2021</w:t>
            </w:r>
            <w:r w:rsidR="00FF167C">
              <w:rPr>
                <w:rFonts w:ascii="Times New Roman" w:hAnsi="Times New Roman" w:cs="Times New Roman"/>
              </w:rPr>
              <w:t>, в %</w:t>
            </w:r>
            <w:r w:rsidRPr="00210BF6">
              <w:rPr>
                <w:rFonts w:ascii="Times New Roman" w:hAnsi="Times New Roman" w:cs="Times New Roman"/>
              </w:rPr>
              <w:t>)</w:t>
            </w:r>
          </w:p>
        </w:tc>
        <w:tc>
          <w:tcPr>
            <w:tcW w:w="2126" w:type="dxa"/>
          </w:tcPr>
          <w:p w:rsidR="00210BF6" w:rsidRPr="00210BF6" w:rsidRDefault="00210BF6" w:rsidP="00210BF6">
            <w:pPr>
              <w:jc w:val="center"/>
              <w:rPr>
                <w:rFonts w:ascii="Times New Roman" w:hAnsi="Times New Roman" w:cs="Times New Roman"/>
              </w:rPr>
            </w:pPr>
            <w:r w:rsidRPr="00210BF6">
              <w:rPr>
                <w:rFonts w:ascii="Times New Roman" w:hAnsi="Times New Roman" w:cs="Times New Roman"/>
              </w:rPr>
              <w:t>15 776,0</w:t>
            </w:r>
          </w:p>
        </w:tc>
      </w:tr>
      <w:tr w:rsidR="00210BF6" w:rsidRPr="00210BF6" w:rsidTr="009957FA">
        <w:tc>
          <w:tcPr>
            <w:tcW w:w="672" w:type="dxa"/>
          </w:tcPr>
          <w:p w:rsidR="00210BF6" w:rsidRPr="00210BF6" w:rsidRDefault="00210BF6" w:rsidP="00210BF6">
            <w:pPr>
              <w:jc w:val="center"/>
              <w:rPr>
                <w:rFonts w:ascii="Times New Roman" w:hAnsi="Times New Roman" w:cs="Times New Roman"/>
              </w:rPr>
            </w:pPr>
            <w:r w:rsidRPr="00210BF6">
              <w:rPr>
                <w:rFonts w:ascii="Times New Roman" w:hAnsi="Times New Roman" w:cs="Times New Roman"/>
              </w:rPr>
              <w:t xml:space="preserve">22 </w:t>
            </w:r>
          </w:p>
        </w:tc>
        <w:tc>
          <w:tcPr>
            <w:tcW w:w="6836" w:type="dxa"/>
          </w:tcPr>
          <w:p w:rsidR="00210BF6" w:rsidRPr="00210BF6" w:rsidRDefault="00210BF6" w:rsidP="00210BF6">
            <w:pPr>
              <w:jc w:val="both"/>
              <w:rPr>
                <w:rFonts w:ascii="Times New Roman" w:hAnsi="Times New Roman" w:cs="Times New Roman"/>
              </w:rPr>
            </w:pPr>
            <w:r w:rsidRPr="00210BF6">
              <w:rPr>
                <w:rFonts w:ascii="Times New Roman" w:hAnsi="Times New Roman" w:cs="Times New Roman"/>
              </w:rPr>
              <w:t>Общая сумма дохода на 2022 год, по ставке 15%</w:t>
            </w:r>
          </w:p>
          <w:p w:rsidR="00210BF6" w:rsidRPr="00210BF6" w:rsidRDefault="00210BF6" w:rsidP="00210BF6">
            <w:pPr>
              <w:jc w:val="both"/>
              <w:rPr>
                <w:rFonts w:ascii="Times New Roman" w:hAnsi="Times New Roman" w:cs="Times New Roman"/>
              </w:rPr>
            </w:pPr>
            <w:r w:rsidRPr="00210BF6">
              <w:rPr>
                <w:rFonts w:ascii="Times New Roman" w:hAnsi="Times New Roman" w:cs="Times New Roman"/>
              </w:rPr>
              <w:t>(стр. 12 * Кфзп 2022/2021</w:t>
            </w:r>
            <w:r w:rsidR="00FF167C">
              <w:rPr>
                <w:rFonts w:ascii="Times New Roman" w:hAnsi="Times New Roman" w:cs="Times New Roman"/>
              </w:rPr>
              <w:t>, в %</w:t>
            </w:r>
            <w:r w:rsidRPr="00210BF6">
              <w:rPr>
                <w:rFonts w:ascii="Times New Roman" w:hAnsi="Times New Roman" w:cs="Times New Roman"/>
              </w:rPr>
              <w:t>)</w:t>
            </w:r>
          </w:p>
        </w:tc>
        <w:tc>
          <w:tcPr>
            <w:tcW w:w="2126" w:type="dxa"/>
          </w:tcPr>
          <w:p w:rsidR="00210BF6" w:rsidRPr="00210BF6" w:rsidRDefault="00210BF6" w:rsidP="00210BF6">
            <w:pPr>
              <w:jc w:val="center"/>
              <w:rPr>
                <w:rFonts w:ascii="Times New Roman" w:hAnsi="Times New Roman" w:cs="Times New Roman"/>
              </w:rPr>
            </w:pPr>
            <w:r w:rsidRPr="00210BF6">
              <w:rPr>
                <w:rFonts w:ascii="Times New Roman" w:hAnsi="Times New Roman" w:cs="Times New Roman"/>
              </w:rPr>
              <w:t>87 896,0</w:t>
            </w:r>
          </w:p>
        </w:tc>
      </w:tr>
      <w:tr w:rsidR="00210BF6" w:rsidRPr="00210BF6" w:rsidTr="009957FA">
        <w:tc>
          <w:tcPr>
            <w:tcW w:w="672" w:type="dxa"/>
          </w:tcPr>
          <w:p w:rsidR="00210BF6" w:rsidRPr="00210BF6" w:rsidRDefault="00210BF6" w:rsidP="00210BF6">
            <w:pPr>
              <w:jc w:val="center"/>
              <w:rPr>
                <w:rFonts w:ascii="Times New Roman" w:hAnsi="Times New Roman" w:cs="Times New Roman"/>
              </w:rPr>
            </w:pPr>
            <w:r w:rsidRPr="00210BF6">
              <w:rPr>
                <w:rFonts w:ascii="Times New Roman" w:hAnsi="Times New Roman" w:cs="Times New Roman"/>
              </w:rPr>
              <w:t>23</w:t>
            </w:r>
          </w:p>
        </w:tc>
        <w:tc>
          <w:tcPr>
            <w:tcW w:w="6836" w:type="dxa"/>
          </w:tcPr>
          <w:p w:rsidR="00210BF6" w:rsidRPr="00210BF6" w:rsidRDefault="00210BF6" w:rsidP="00210BF6">
            <w:pPr>
              <w:jc w:val="both"/>
              <w:rPr>
                <w:rFonts w:ascii="Times New Roman" w:hAnsi="Times New Roman" w:cs="Times New Roman"/>
              </w:rPr>
            </w:pPr>
            <w:r w:rsidRPr="00210BF6">
              <w:rPr>
                <w:rFonts w:ascii="Times New Roman" w:hAnsi="Times New Roman" w:cs="Times New Roman"/>
              </w:rPr>
              <w:t>Общая сумма дохода на 2022 год, по иным налоговым ставкам (стр. 13 * Кфзп 2022/2021</w:t>
            </w:r>
            <w:r w:rsidR="00FF167C">
              <w:rPr>
                <w:rFonts w:ascii="Times New Roman" w:hAnsi="Times New Roman" w:cs="Times New Roman"/>
              </w:rPr>
              <w:t>, в %</w:t>
            </w:r>
            <w:r w:rsidRPr="00210BF6">
              <w:rPr>
                <w:rFonts w:ascii="Times New Roman" w:hAnsi="Times New Roman" w:cs="Times New Roman"/>
              </w:rPr>
              <w:t>)</w:t>
            </w:r>
          </w:p>
        </w:tc>
        <w:tc>
          <w:tcPr>
            <w:tcW w:w="2126" w:type="dxa"/>
          </w:tcPr>
          <w:p w:rsidR="00210BF6" w:rsidRPr="00210BF6" w:rsidRDefault="00210BF6" w:rsidP="00210BF6">
            <w:pPr>
              <w:jc w:val="center"/>
              <w:rPr>
                <w:rFonts w:ascii="Times New Roman" w:hAnsi="Times New Roman" w:cs="Times New Roman"/>
              </w:rPr>
            </w:pPr>
            <w:r w:rsidRPr="00210BF6">
              <w:rPr>
                <w:rFonts w:ascii="Times New Roman" w:hAnsi="Times New Roman" w:cs="Times New Roman"/>
              </w:rPr>
              <w:t>195 562,0</w:t>
            </w:r>
          </w:p>
        </w:tc>
      </w:tr>
      <w:tr w:rsidR="00210BF6" w:rsidRPr="00210BF6" w:rsidTr="009957FA">
        <w:tc>
          <w:tcPr>
            <w:tcW w:w="672" w:type="dxa"/>
          </w:tcPr>
          <w:p w:rsidR="00210BF6" w:rsidRPr="00210BF6" w:rsidRDefault="00210BF6" w:rsidP="00210BF6">
            <w:pPr>
              <w:jc w:val="center"/>
              <w:rPr>
                <w:rFonts w:ascii="Times New Roman" w:hAnsi="Times New Roman" w:cs="Times New Roman"/>
              </w:rPr>
            </w:pPr>
            <w:r w:rsidRPr="00210BF6">
              <w:rPr>
                <w:rFonts w:ascii="Times New Roman" w:hAnsi="Times New Roman" w:cs="Times New Roman"/>
              </w:rPr>
              <w:t>24</w:t>
            </w:r>
          </w:p>
        </w:tc>
        <w:tc>
          <w:tcPr>
            <w:tcW w:w="6836" w:type="dxa"/>
          </w:tcPr>
          <w:p w:rsidR="00210BF6" w:rsidRPr="00210BF6" w:rsidRDefault="00210BF6" w:rsidP="00210BF6">
            <w:pPr>
              <w:jc w:val="both"/>
              <w:rPr>
                <w:rFonts w:ascii="Times New Roman" w:hAnsi="Times New Roman" w:cs="Times New Roman"/>
              </w:rPr>
            </w:pPr>
            <w:r w:rsidRPr="00210BF6">
              <w:rPr>
                <w:rFonts w:ascii="Times New Roman" w:hAnsi="Times New Roman" w:cs="Times New Roman"/>
              </w:rPr>
              <w:t xml:space="preserve">Сумма по налогу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w:t>
            </w:r>
            <w:r w:rsidRPr="00210BF6">
              <w:rPr>
                <w:rFonts w:ascii="Times New Roman" w:hAnsi="Times New Roman" w:cs="Times New Roman"/>
                <w:b/>
              </w:rPr>
              <w:t>на 2022 год</w:t>
            </w:r>
            <w:r w:rsidRPr="00210BF6">
              <w:rPr>
                <w:rFonts w:ascii="Times New Roman" w:hAnsi="Times New Roman" w:cs="Times New Roman"/>
              </w:rPr>
              <w:t>;</w:t>
            </w:r>
          </w:p>
          <w:p w:rsidR="00210BF6" w:rsidRPr="00210BF6" w:rsidRDefault="00210BF6" w:rsidP="00210BF6">
            <w:pPr>
              <w:jc w:val="both"/>
              <w:rPr>
                <w:rFonts w:ascii="Times New Roman" w:hAnsi="Times New Roman" w:cs="Times New Roman"/>
              </w:rPr>
            </w:pPr>
            <w:r w:rsidRPr="00210BF6">
              <w:rPr>
                <w:rFonts w:ascii="Times New Roman" w:hAnsi="Times New Roman" w:cs="Times New Roman"/>
              </w:rPr>
              <w:t xml:space="preserve">(стр. 18 – Общая сумма налоговых вычетов на 2022 год </w:t>
            </w:r>
            <w:r w:rsidRPr="00210BF6">
              <w:rPr>
                <w:rFonts w:ascii="Times New Roman" w:hAnsi="Times New Roman" w:cs="Times New Roman"/>
                <w:b/>
              </w:rPr>
              <w:t>21 286 600 тыс. руб</w:t>
            </w:r>
            <w:r w:rsidRPr="00210BF6">
              <w:rPr>
                <w:rFonts w:ascii="Times New Roman" w:hAnsi="Times New Roman" w:cs="Times New Roman"/>
              </w:rPr>
              <w:t>. * 13% + стр. 19 *30% + стр. 20 * 9% + стр. 21 * 35% + стр.22 *15% + стр.23 * расчетную ставку по итогам 2020 года в разрезе муниципальных образований Тверской области  (средняя ставка по области 9,8%))</w:t>
            </w:r>
          </w:p>
        </w:tc>
        <w:tc>
          <w:tcPr>
            <w:tcW w:w="2126" w:type="dxa"/>
          </w:tcPr>
          <w:p w:rsidR="00210BF6" w:rsidRPr="00210BF6" w:rsidRDefault="00FC5BB1" w:rsidP="00FC5BB1">
            <w:pPr>
              <w:jc w:val="center"/>
              <w:rPr>
                <w:rFonts w:ascii="Times New Roman" w:hAnsi="Times New Roman" w:cs="Times New Roman"/>
              </w:rPr>
            </w:pPr>
            <w:r>
              <w:rPr>
                <w:rFonts w:ascii="Times New Roman" w:hAnsi="Times New Roman" w:cs="Times New Roman"/>
              </w:rPr>
              <w:t>22 663 910</w:t>
            </w:r>
            <w:r w:rsidR="00210BF6" w:rsidRPr="00210BF6">
              <w:rPr>
                <w:rFonts w:ascii="Times New Roman" w:hAnsi="Times New Roman" w:cs="Times New Roman"/>
              </w:rPr>
              <w:t>,0</w:t>
            </w:r>
          </w:p>
        </w:tc>
      </w:tr>
      <w:tr w:rsidR="00210BF6" w:rsidRPr="00210BF6" w:rsidTr="009957FA">
        <w:tc>
          <w:tcPr>
            <w:tcW w:w="672" w:type="dxa"/>
          </w:tcPr>
          <w:p w:rsidR="00210BF6" w:rsidRPr="00210BF6" w:rsidRDefault="00210BF6" w:rsidP="00210BF6">
            <w:pPr>
              <w:jc w:val="center"/>
              <w:rPr>
                <w:rFonts w:ascii="Times New Roman" w:hAnsi="Times New Roman" w:cs="Times New Roman"/>
              </w:rPr>
            </w:pPr>
            <w:r w:rsidRPr="00210BF6">
              <w:rPr>
                <w:rFonts w:ascii="Times New Roman" w:hAnsi="Times New Roman" w:cs="Times New Roman"/>
              </w:rPr>
              <w:t>25</w:t>
            </w:r>
          </w:p>
        </w:tc>
        <w:tc>
          <w:tcPr>
            <w:tcW w:w="6836" w:type="dxa"/>
          </w:tcPr>
          <w:p w:rsidR="00210BF6" w:rsidRPr="00210BF6" w:rsidRDefault="00210BF6" w:rsidP="00210BF6">
            <w:pPr>
              <w:jc w:val="both"/>
              <w:rPr>
                <w:rFonts w:ascii="Times New Roman" w:hAnsi="Times New Roman" w:cs="Times New Roman"/>
              </w:rPr>
            </w:pPr>
            <w:r w:rsidRPr="00210BF6">
              <w:rPr>
                <w:rFonts w:ascii="Times New Roman" w:hAnsi="Times New Roman" w:cs="Times New Roman"/>
                <w:b/>
              </w:rPr>
              <w:t>Прогноз на 2022 год в консолидированный бюджет Тверской области</w:t>
            </w:r>
            <w:r w:rsidRPr="00210BF6">
              <w:rPr>
                <w:rFonts w:ascii="Times New Roman" w:hAnsi="Times New Roman" w:cs="Times New Roman"/>
              </w:rPr>
              <w:t xml:space="preserve"> по налогу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 учетом Коэффициента доли уплаченного налога в исчисленной сумме налога за 2020 год (по данным главного администратора доходов) по каждому бюджету городского и  муниципального округов, городского и сельского поселения и Корректирующей суммы поступлений F1 (66 725 тыс. руб.) (по данным главного администратора доходов) в разрезе бюджетов городских и муниципальных округов, городских и сельских поселений (стр.24 * стр.15 + F1 (66 725 тыс. руб.), в том числе:</w:t>
            </w:r>
          </w:p>
          <w:p w:rsidR="00210BF6" w:rsidRPr="00210BF6" w:rsidRDefault="00210BF6" w:rsidP="00210BF6">
            <w:pPr>
              <w:jc w:val="both"/>
              <w:rPr>
                <w:rFonts w:ascii="Times New Roman" w:hAnsi="Times New Roman" w:cs="Times New Roman"/>
              </w:rPr>
            </w:pPr>
          </w:p>
        </w:tc>
        <w:tc>
          <w:tcPr>
            <w:tcW w:w="2126" w:type="dxa"/>
          </w:tcPr>
          <w:p w:rsidR="00210BF6" w:rsidRPr="00210BF6" w:rsidRDefault="00210BF6" w:rsidP="00FC5BB1">
            <w:pPr>
              <w:jc w:val="center"/>
              <w:rPr>
                <w:rFonts w:ascii="Times New Roman" w:hAnsi="Times New Roman" w:cs="Times New Roman"/>
                <w:b/>
                <w:highlight w:val="yellow"/>
              </w:rPr>
            </w:pPr>
            <w:r w:rsidRPr="00210BF6">
              <w:rPr>
                <w:rFonts w:ascii="Times New Roman" w:hAnsi="Times New Roman" w:cs="Times New Roman"/>
                <w:b/>
              </w:rPr>
              <w:t>23 759 51</w:t>
            </w:r>
            <w:r w:rsidR="00FC5BB1">
              <w:rPr>
                <w:rFonts w:ascii="Times New Roman" w:hAnsi="Times New Roman" w:cs="Times New Roman"/>
                <w:b/>
              </w:rPr>
              <w:t>5</w:t>
            </w:r>
            <w:r w:rsidRPr="00210BF6">
              <w:rPr>
                <w:rFonts w:ascii="Times New Roman" w:hAnsi="Times New Roman" w:cs="Times New Roman"/>
                <w:b/>
              </w:rPr>
              <w:t>,0</w:t>
            </w:r>
          </w:p>
        </w:tc>
      </w:tr>
      <w:tr w:rsidR="00210BF6" w:rsidRPr="00210BF6" w:rsidTr="009957FA">
        <w:tc>
          <w:tcPr>
            <w:tcW w:w="672" w:type="dxa"/>
          </w:tcPr>
          <w:p w:rsidR="00210BF6" w:rsidRPr="00210BF6" w:rsidRDefault="00210BF6" w:rsidP="00210BF6">
            <w:pPr>
              <w:jc w:val="center"/>
              <w:rPr>
                <w:rFonts w:ascii="Times New Roman" w:hAnsi="Times New Roman" w:cs="Times New Roman"/>
              </w:rPr>
            </w:pPr>
            <w:r w:rsidRPr="00210BF6">
              <w:rPr>
                <w:rFonts w:ascii="Times New Roman" w:hAnsi="Times New Roman" w:cs="Times New Roman"/>
              </w:rPr>
              <w:t>26</w:t>
            </w:r>
          </w:p>
        </w:tc>
        <w:tc>
          <w:tcPr>
            <w:tcW w:w="6836" w:type="dxa"/>
          </w:tcPr>
          <w:p w:rsidR="00210BF6" w:rsidRPr="00210BF6" w:rsidRDefault="00210BF6" w:rsidP="00210BF6">
            <w:pPr>
              <w:jc w:val="both"/>
              <w:rPr>
                <w:rFonts w:ascii="Times New Roman" w:hAnsi="Times New Roman" w:cs="Times New Roman"/>
                <w:b/>
              </w:rPr>
            </w:pPr>
            <w:r w:rsidRPr="00210BF6">
              <w:rPr>
                <w:rFonts w:ascii="Times New Roman" w:hAnsi="Times New Roman" w:cs="Times New Roman"/>
                <w:b/>
              </w:rPr>
              <w:t>областной бюджет Тверской области на 2022 год, как разница по нормативам отчислений в местные бюджеты</w:t>
            </w:r>
          </w:p>
        </w:tc>
        <w:tc>
          <w:tcPr>
            <w:tcW w:w="2126" w:type="dxa"/>
          </w:tcPr>
          <w:p w:rsidR="00210BF6" w:rsidRPr="00210BF6" w:rsidRDefault="00210BF6" w:rsidP="00BB2145">
            <w:pPr>
              <w:jc w:val="center"/>
              <w:rPr>
                <w:rFonts w:ascii="Times New Roman" w:hAnsi="Times New Roman" w:cs="Times New Roman"/>
                <w:b/>
              </w:rPr>
            </w:pPr>
            <w:r w:rsidRPr="00210BF6">
              <w:rPr>
                <w:rFonts w:ascii="Times New Roman" w:hAnsi="Times New Roman" w:cs="Times New Roman"/>
                <w:b/>
              </w:rPr>
              <w:t>15</w:t>
            </w:r>
            <w:r w:rsidR="00BB2145">
              <w:rPr>
                <w:rFonts w:ascii="Times New Roman" w:hAnsi="Times New Roman" w:cs="Times New Roman"/>
                <w:b/>
              </w:rPr>
              <w:t> </w:t>
            </w:r>
            <w:r w:rsidRPr="00210BF6">
              <w:rPr>
                <w:rFonts w:ascii="Times New Roman" w:hAnsi="Times New Roman" w:cs="Times New Roman"/>
                <w:b/>
              </w:rPr>
              <w:t>1</w:t>
            </w:r>
            <w:r w:rsidR="00B67F0C">
              <w:rPr>
                <w:rFonts w:ascii="Times New Roman" w:hAnsi="Times New Roman" w:cs="Times New Roman"/>
                <w:b/>
              </w:rPr>
              <w:t>2</w:t>
            </w:r>
            <w:r w:rsidR="00BB2145">
              <w:rPr>
                <w:rFonts w:ascii="Times New Roman" w:hAnsi="Times New Roman" w:cs="Times New Roman"/>
                <w:b/>
              </w:rPr>
              <w:t>1 549</w:t>
            </w:r>
            <w:r w:rsidRPr="00210BF6">
              <w:rPr>
                <w:rFonts w:ascii="Times New Roman" w:hAnsi="Times New Roman" w:cs="Times New Roman"/>
                <w:b/>
              </w:rPr>
              <w:t>,0</w:t>
            </w:r>
          </w:p>
        </w:tc>
      </w:tr>
      <w:tr w:rsidR="00210BF6" w:rsidRPr="00210BF6" w:rsidTr="009957FA">
        <w:tc>
          <w:tcPr>
            <w:tcW w:w="672" w:type="dxa"/>
          </w:tcPr>
          <w:p w:rsidR="00210BF6" w:rsidRPr="00210BF6" w:rsidRDefault="00210BF6" w:rsidP="00210BF6">
            <w:pPr>
              <w:jc w:val="center"/>
              <w:rPr>
                <w:rFonts w:ascii="Times New Roman" w:hAnsi="Times New Roman" w:cs="Times New Roman"/>
              </w:rPr>
            </w:pPr>
            <w:r w:rsidRPr="00210BF6">
              <w:rPr>
                <w:rFonts w:ascii="Times New Roman" w:hAnsi="Times New Roman" w:cs="Times New Roman"/>
              </w:rPr>
              <w:t>27</w:t>
            </w:r>
          </w:p>
        </w:tc>
        <w:tc>
          <w:tcPr>
            <w:tcW w:w="6836" w:type="dxa"/>
          </w:tcPr>
          <w:p w:rsidR="00B821AA" w:rsidRPr="00210BF6" w:rsidRDefault="00210BF6" w:rsidP="00D56183">
            <w:pPr>
              <w:jc w:val="both"/>
              <w:rPr>
                <w:rFonts w:ascii="Times New Roman" w:hAnsi="Times New Roman" w:cs="Times New Roman"/>
                <w:b/>
              </w:rPr>
            </w:pPr>
            <w:r w:rsidRPr="00210BF6">
              <w:rPr>
                <w:rFonts w:ascii="Times New Roman" w:hAnsi="Times New Roman" w:cs="Times New Roman"/>
                <w:b/>
              </w:rPr>
              <w:t>Прогноз на 2023 год по налогу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126" w:type="dxa"/>
          </w:tcPr>
          <w:p w:rsidR="00210BF6" w:rsidRPr="00210BF6" w:rsidRDefault="00210BF6" w:rsidP="00210BF6">
            <w:pPr>
              <w:jc w:val="center"/>
              <w:rPr>
                <w:rFonts w:ascii="Times New Roman" w:hAnsi="Times New Roman" w:cs="Times New Roman"/>
              </w:rPr>
            </w:pPr>
          </w:p>
        </w:tc>
      </w:tr>
      <w:tr w:rsidR="00210BF6" w:rsidRPr="00210BF6" w:rsidTr="009957FA">
        <w:tc>
          <w:tcPr>
            <w:tcW w:w="672" w:type="dxa"/>
          </w:tcPr>
          <w:p w:rsidR="00210BF6" w:rsidRPr="00210BF6" w:rsidRDefault="00210BF6" w:rsidP="00210BF6">
            <w:pPr>
              <w:jc w:val="center"/>
              <w:rPr>
                <w:rFonts w:ascii="Times New Roman" w:hAnsi="Times New Roman" w:cs="Times New Roman"/>
              </w:rPr>
            </w:pPr>
          </w:p>
          <w:p w:rsidR="00210BF6" w:rsidRPr="00210BF6" w:rsidRDefault="00210BF6" w:rsidP="00210BF6">
            <w:pPr>
              <w:jc w:val="center"/>
              <w:rPr>
                <w:rFonts w:ascii="Times New Roman" w:hAnsi="Times New Roman" w:cs="Times New Roman"/>
              </w:rPr>
            </w:pPr>
            <w:r w:rsidRPr="00210BF6">
              <w:rPr>
                <w:rFonts w:ascii="Times New Roman" w:hAnsi="Times New Roman" w:cs="Times New Roman"/>
              </w:rPr>
              <w:t>28</w:t>
            </w:r>
          </w:p>
        </w:tc>
        <w:tc>
          <w:tcPr>
            <w:tcW w:w="6836" w:type="dxa"/>
          </w:tcPr>
          <w:p w:rsidR="00210BF6" w:rsidRPr="00210BF6" w:rsidRDefault="00210BF6" w:rsidP="00210BF6">
            <w:pPr>
              <w:jc w:val="both"/>
              <w:rPr>
                <w:rFonts w:ascii="Times New Roman" w:hAnsi="Times New Roman" w:cs="Times New Roman"/>
              </w:rPr>
            </w:pPr>
            <w:r w:rsidRPr="00210BF6">
              <w:rPr>
                <w:rFonts w:ascii="Times New Roman" w:hAnsi="Times New Roman" w:cs="Times New Roman"/>
              </w:rPr>
              <w:t>Общая сумма дохода на 2023 год, по ставке 13%</w:t>
            </w:r>
          </w:p>
          <w:p w:rsidR="00210BF6" w:rsidRPr="00210BF6" w:rsidRDefault="00210BF6" w:rsidP="00210BF6">
            <w:pPr>
              <w:jc w:val="both"/>
              <w:rPr>
                <w:rFonts w:ascii="Times New Roman" w:hAnsi="Times New Roman" w:cs="Times New Roman"/>
              </w:rPr>
            </w:pPr>
            <w:r w:rsidRPr="00210BF6">
              <w:rPr>
                <w:rFonts w:ascii="Times New Roman" w:hAnsi="Times New Roman" w:cs="Times New Roman"/>
              </w:rPr>
              <w:t xml:space="preserve">(без учета доходов, свыше 5 млн. руб.) </w:t>
            </w:r>
            <w:r w:rsidRPr="00210BF6">
              <w:rPr>
                <w:rFonts w:ascii="Times New Roman" w:hAnsi="Times New Roman" w:cs="Times New Roman"/>
              </w:rPr>
              <w:br/>
              <w:t>(стр. 18*Кфзп 2023/2022</w:t>
            </w:r>
            <w:r w:rsidR="00FF167C">
              <w:rPr>
                <w:rFonts w:ascii="Times New Roman" w:hAnsi="Times New Roman" w:cs="Times New Roman"/>
              </w:rPr>
              <w:t>, в %</w:t>
            </w:r>
            <w:r w:rsidRPr="00210BF6">
              <w:rPr>
                <w:rFonts w:ascii="Times New Roman" w:hAnsi="Times New Roman" w:cs="Times New Roman"/>
              </w:rPr>
              <w:t>)</w:t>
            </w:r>
          </w:p>
        </w:tc>
        <w:tc>
          <w:tcPr>
            <w:tcW w:w="2126" w:type="dxa"/>
          </w:tcPr>
          <w:p w:rsidR="00210BF6" w:rsidRPr="00210BF6" w:rsidRDefault="00210BF6" w:rsidP="00210BF6">
            <w:pPr>
              <w:jc w:val="center"/>
              <w:rPr>
                <w:rFonts w:ascii="Times New Roman" w:hAnsi="Times New Roman" w:cs="Times New Roman"/>
              </w:rPr>
            </w:pPr>
            <w:r w:rsidRPr="00210BF6">
              <w:rPr>
                <w:rFonts w:ascii="Times New Roman" w:hAnsi="Times New Roman" w:cs="Times New Roman"/>
              </w:rPr>
              <w:t>205 127 531,0</w:t>
            </w:r>
          </w:p>
        </w:tc>
      </w:tr>
      <w:tr w:rsidR="00210BF6" w:rsidRPr="00210BF6" w:rsidTr="009957FA">
        <w:tc>
          <w:tcPr>
            <w:tcW w:w="672" w:type="dxa"/>
          </w:tcPr>
          <w:p w:rsidR="00210BF6" w:rsidRPr="00210BF6" w:rsidRDefault="00210BF6" w:rsidP="00210BF6">
            <w:pPr>
              <w:jc w:val="center"/>
              <w:rPr>
                <w:rFonts w:ascii="Times New Roman" w:hAnsi="Times New Roman" w:cs="Times New Roman"/>
              </w:rPr>
            </w:pPr>
            <w:r w:rsidRPr="00210BF6">
              <w:rPr>
                <w:rFonts w:ascii="Times New Roman" w:hAnsi="Times New Roman" w:cs="Times New Roman"/>
              </w:rPr>
              <w:t>29</w:t>
            </w:r>
          </w:p>
        </w:tc>
        <w:tc>
          <w:tcPr>
            <w:tcW w:w="6836" w:type="dxa"/>
          </w:tcPr>
          <w:p w:rsidR="00210BF6" w:rsidRPr="00210BF6" w:rsidRDefault="00210BF6" w:rsidP="00210BF6">
            <w:pPr>
              <w:jc w:val="both"/>
              <w:rPr>
                <w:rFonts w:ascii="Times New Roman" w:hAnsi="Times New Roman" w:cs="Times New Roman"/>
              </w:rPr>
            </w:pPr>
            <w:r w:rsidRPr="00210BF6">
              <w:rPr>
                <w:rFonts w:ascii="Times New Roman" w:hAnsi="Times New Roman" w:cs="Times New Roman"/>
              </w:rPr>
              <w:t xml:space="preserve">Общая сумма дохода на 2023 год, по ставке 30% </w:t>
            </w:r>
          </w:p>
          <w:p w:rsidR="00210BF6" w:rsidRPr="00210BF6" w:rsidRDefault="00210BF6" w:rsidP="00210BF6">
            <w:pPr>
              <w:jc w:val="both"/>
              <w:rPr>
                <w:rFonts w:ascii="Times New Roman" w:hAnsi="Times New Roman" w:cs="Times New Roman"/>
              </w:rPr>
            </w:pPr>
            <w:r w:rsidRPr="00210BF6">
              <w:rPr>
                <w:rFonts w:ascii="Times New Roman" w:hAnsi="Times New Roman" w:cs="Times New Roman"/>
              </w:rPr>
              <w:t>(стр. 19*Кфзп 2023/2022</w:t>
            </w:r>
            <w:r w:rsidR="00FF167C">
              <w:rPr>
                <w:rFonts w:ascii="Times New Roman" w:hAnsi="Times New Roman" w:cs="Times New Roman"/>
              </w:rPr>
              <w:t>, в %</w:t>
            </w:r>
            <w:r w:rsidRPr="00210BF6">
              <w:rPr>
                <w:rFonts w:ascii="Times New Roman" w:hAnsi="Times New Roman" w:cs="Times New Roman"/>
              </w:rPr>
              <w:t>)</w:t>
            </w:r>
          </w:p>
        </w:tc>
        <w:tc>
          <w:tcPr>
            <w:tcW w:w="2126" w:type="dxa"/>
          </w:tcPr>
          <w:p w:rsidR="00210BF6" w:rsidRPr="00210BF6" w:rsidRDefault="00210BF6" w:rsidP="00210BF6">
            <w:pPr>
              <w:jc w:val="center"/>
              <w:rPr>
                <w:rFonts w:ascii="Times New Roman" w:hAnsi="Times New Roman" w:cs="Times New Roman"/>
              </w:rPr>
            </w:pPr>
            <w:r w:rsidRPr="00210BF6">
              <w:rPr>
                <w:rFonts w:ascii="Times New Roman" w:hAnsi="Times New Roman" w:cs="Times New Roman"/>
              </w:rPr>
              <w:t>88 973,0</w:t>
            </w:r>
          </w:p>
        </w:tc>
      </w:tr>
      <w:tr w:rsidR="00210BF6" w:rsidRPr="00210BF6" w:rsidTr="009957FA">
        <w:tc>
          <w:tcPr>
            <w:tcW w:w="672" w:type="dxa"/>
          </w:tcPr>
          <w:p w:rsidR="00210BF6" w:rsidRPr="00210BF6" w:rsidRDefault="00210BF6" w:rsidP="00210BF6">
            <w:pPr>
              <w:jc w:val="center"/>
              <w:rPr>
                <w:rFonts w:ascii="Times New Roman" w:hAnsi="Times New Roman" w:cs="Times New Roman"/>
              </w:rPr>
            </w:pPr>
            <w:r w:rsidRPr="00210BF6">
              <w:rPr>
                <w:rFonts w:ascii="Times New Roman" w:hAnsi="Times New Roman" w:cs="Times New Roman"/>
              </w:rPr>
              <w:t>30</w:t>
            </w:r>
          </w:p>
        </w:tc>
        <w:tc>
          <w:tcPr>
            <w:tcW w:w="6836" w:type="dxa"/>
          </w:tcPr>
          <w:p w:rsidR="00210BF6" w:rsidRPr="00210BF6" w:rsidRDefault="00210BF6" w:rsidP="00210BF6">
            <w:pPr>
              <w:jc w:val="both"/>
              <w:rPr>
                <w:rFonts w:ascii="Times New Roman" w:hAnsi="Times New Roman" w:cs="Times New Roman"/>
              </w:rPr>
            </w:pPr>
            <w:r w:rsidRPr="00210BF6">
              <w:rPr>
                <w:rFonts w:ascii="Times New Roman" w:hAnsi="Times New Roman" w:cs="Times New Roman"/>
              </w:rPr>
              <w:t xml:space="preserve">Общая сумма дохода на 2023 год, по ставке 9% </w:t>
            </w:r>
          </w:p>
          <w:p w:rsidR="00210BF6" w:rsidRPr="00210BF6" w:rsidRDefault="00210BF6" w:rsidP="00210BF6">
            <w:pPr>
              <w:jc w:val="both"/>
              <w:rPr>
                <w:rFonts w:ascii="Times New Roman" w:hAnsi="Times New Roman" w:cs="Times New Roman"/>
              </w:rPr>
            </w:pPr>
            <w:r w:rsidRPr="00210BF6">
              <w:rPr>
                <w:rFonts w:ascii="Times New Roman" w:hAnsi="Times New Roman" w:cs="Times New Roman"/>
              </w:rPr>
              <w:t>(стр. 20*Кфзп 2023/2022</w:t>
            </w:r>
            <w:r w:rsidR="00FF167C">
              <w:rPr>
                <w:rFonts w:ascii="Times New Roman" w:hAnsi="Times New Roman" w:cs="Times New Roman"/>
              </w:rPr>
              <w:t>, в %</w:t>
            </w:r>
            <w:r w:rsidRPr="00210BF6">
              <w:rPr>
                <w:rFonts w:ascii="Times New Roman" w:hAnsi="Times New Roman" w:cs="Times New Roman"/>
              </w:rPr>
              <w:t>)</w:t>
            </w:r>
          </w:p>
        </w:tc>
        <w:tc>
          <w:tcPr>
            <w:tcW w:w="2126" w:type="dxa"/>
          </w:tcPr>
          <w:p w:rsidR="00210BF6" w:rsidRPr="00210BF6" w:rsidRDefault="00210BF6" w:rsidP="00210BF6">
            <w:pPr>
              <w:jc w:val="center"/>
              <w:rPr>
                <w:rFonts w:ascii="Times New Roman" w:hAnsi="Times New Roman" w:cs="Times New Roman"/>
              </w:rPr>
            </w:pPr>
            <w:r w:rsidRPr="00210BF6">
              <w:rPr>
                <w:rFonts w:ascii="Times New Roman" w:hAnsi="Times New Roman" w:cs="Times New Roman"/>
              </w:rPr>
              <w:t>1 870,0</w:t>
            </w:r>
          </w:p>
        </w:tc>
      </w:tr>
      <w:tr w:rsidR="00210BF6" w:rsidRPr="00210BF6" w:rsidTr="009957FA">
        <w:tc>
          <w:tcPr>
            <w:tcW w:w="672" w:type="dxa"/>
          </w:tcPr>
          <w:p w:rsidR="00210BF6" w:rsidRPr="00210BF6" w:rsidRDefault="00210BF6" w:rsidP="00210BF6">
            <w:pPr>
              <w:jc w:val="center"/>
              <w:rPr>
                <w:rFonts w:ascii="Times New Roman" w:hAnsi="Times New Roman" w:cs="Times New Roman"/>
              </w:rPr>
            </w:pPr>
            <w:r w:rsidRPr="00210BF6">
              <w:rPr>
                <w:rFonts w:ascii="Times New Roman" w:hAnsi="Times New Roman" w:cs="Times New Roman"/>
              </w:rPr>
              <w:t>31</w:t>
            </w:r>
          </w:p>
        </w:tc>
        <w:tc>
          <w:tcPr>
            <w:tcW w:w="6836" w:type="dxa"/>
          </w:tcPr>
          <w:p w:rsidR="00210BF6" w:rsidRPr="00210BF6" w:rsidRDefault="00210BF6" w:rsidP="00210BF6">
            <w:pPr>
              <w:jc w:val="both"/>
              <w:rPr>
                <w:rFonts w:ascii="Times New Roman" w:hAnsi="Times New Roman" w:cs="Times New Roman"/>
              </w:rPr>
            </w:pPr>
            <w:r w:rsidRPr="00210BF6">
              <w:rPr>
                <w:rFonts w:ascii="Times New Roman" w:hAnsi="Times New Roman" w:cs="Times New Roman"/>
              </w:rPr>
              <w:t>Общая сумма дохода на 2023 год по ставке 35%</w:t>
            </w:r>
          </w:p>
          <w:p w:rsidR="00210BF6" w:rsidRPr="00210BF6" w:rsidRDefault="00210BF6" w:rsidP="00210BF6">
            <w:pPr>
              <w:jc w:val="both"/>
              <w:rPr>
                <w:rFonts w:ascii="Times New Roman" w:hAnsi="Times New Roman" w:cs="Times New Roman"/>
              </w:rPr>
            </w:pPr>
            <w:r w:rsidRPr="00210BF6">
              <w:rPr>
                <w:rFonts w:ascii="Times New Roman" w:hAnsi="Times New Roman" w:cs="Times New Roman"/>
              </w:rPr>
              <w:t>(стр. 21 * Кфзп 2023/2022</w:t>
            </w:r>
            <w:r w:rsidR="00FF167C">
              <w:rPr>
                <w:rFonts w:ascii="Times New Roman" w:hAnsi="Times New Roman" w:cs="Times New Roman"/>
              </w:rPr>
              <w:t>, в %</w:t>
            </w:r>
            <w:r w:rsidRPr="00210BF6">
              <w:rPr>
                <w:rFonts w:ascii="Times New Roman" w:hAnsi="Times New Roman" w:cs="Times New Roman"/>
              </w:rPr>
              <w:t>)</w:t>
            </w:r>
          </w:p>
        </w:tc>
        <w:tc>
          <w:tcPr>
            <w:tcW w:w="2126" w:type="dxa"/>
          </w:tcPr>
          <w:p w:rsidR="00210BF6" w:rsidRPr="00210BF6" w:rsidRDefault="00210BF6" w:rsidP="00210BF6">
            <w:pPr>
              <w:jc w:val="center"/>
              <w:rPr>
                <w:rFonts w:ascii="Times New Roman" w:hAnsi="Times New Roman" w:cs="Times New Roman"/>
              </w:rPr>
            </w:pPr>
            <w:r w:rsidRPr="00210BF6">
              <w:rPr>
                <w:rFonts w:ascii="Times New Roman" w:hAnsi="Times New Roman" w:cs="Times New Roman"/>
              </w:rPr>
              <w:t>16 691,0</w:t>
            </w:r>
          </w:p>
        </w:tc>
      </w:tr>
      <w:tr w:rsidR="00210BF6" w:rsidRPr="00210BF6" w:rsidTr="009957FA">
        <w:tc>
          <w:tcPr>
            <w:tcW w:w="672" w:type="dxa"/>
          </w:tcPr>
          <w:p w:rsidR="00210BF6" w:rsidRPr="00210BF6" w:rsidRDefault="00210BF6" w:rsidP="00210BF6">
            <w:pPr>
              <w:jc w:val="center"/>
              <w:rPr>
                <w:rFonts w:ascii="Times New Roman" w:hAnsi="Times New Roman" w:cs="Times New Roman"/>
              </w:rPr>
            </w:pPr>
            <w:r w:rsidRPr="00210BF6">
              <w:rPr>
                <w:rFonts w:ascii="Times New Roman" w:hAnsi="Times New Roman" w:cs="Times New Roman"/>
              </w:rPr>
              <w:t>32</w:t>
            </w:r>
          </w:p>
        </w:tc>
        <w:tc>
          <w:tcPr>
            <w:tcW w:w="6836" w:type="dxa"/>
          </w:tcPr>
          <w:p w:rsidR="00210BF6" w:rsidRPr="00210BF6" w:rsidRDefault="00210BF6" w:rsidP="00210BF6">
            <w:pPr>
              <w:jc w:val="both"/>
              <w:rPr>
                <w:rFonts w:ascii="Times New Roman" w:hAnsi="Times New Roman" w:cs="Times New Roman"/>
              </w:rPr>
            </w:pPr>
            <w:r w:rsidRPr="00210BF6">
              <w:rPr>
                <w:rFonts w:ascii="Times New Roman" w:hAnsi="Times New Roman" w:cs="Times New Roman"/>
              </w:rPr>
              <w:t>Общая сумма дохода на 2023 год, по ставке 15%</w:t>
            </w:r>
          </w:p>
          <w:p w:rsidR="00210BF6" w:rsidRPr="00210BF6" w:rsidRDefault="00210BF6" w:rsidP="00210BF6">
            <w:pPr>
              <w:jc w:val="both"/>
              <w:rPr>
                <w:rFonts w:ascii="Times New Roman" w:hAnsi="Times New Roman" w:cs="Times New Roman"/>
              </w:rPr>
            </w:pPr>
            <w:r w:rsidRPr="00210BF6">
              <w:rPr>
                <w:rFonts w:ascii="Times New Roman" w:hAnsi="Times New Roman" w:cs="Times New Roman"/>
              </w:rPr>
              <w:t>(стр. 22 * Кфзп 2023/2022</w:t>
            </w:r>
            <w:r w:rsidR="00FF167C">
              <w:rPr>
                <w:rFonts w:ascii="Times New Roman" w:hAnsi="Times New Roman" w:cs="Times New Roman"/>
              </w:rPr>
              <w:t>, в %</w:t>
            </w:r>
            <w:r w:rsidRPr="00210BF6">
              <w:rPr>
                <w:rFonts w:ascii="Times New Roman" w:hAnsi="Times New Roman" w:cs="Times New Roman"/>
              </w:rPr>
              <w:t>)</w:t>
            </w:r>
          </w:p>
        </w:tc>
        <w:tc>
          <w:tcPr>
            <w:tcW w:w="2126" w:type="dxa"/>
          </w:tcPr>
          <w:p w:rsidR="00210BF6" w:rsidRPr="00210BF6" w:rsidRDefault="00210BF6" w:rsidP="00210BF6">
            <w:pPr>
              <w:jc w:val="center"/>
              <w:rPr>
                <w:rFonts w:ascii="Times New Roman" w:hAnsi="Times New Roman" w:cs="Times New Roman"/>
              </w:rPr>
            </w:pPr>
            <w:r w:rsidRPr="00210BF6">
              <w:rPr>
                <w:rFonts w:ascii="Times New Roman" w:hAnsi="Times New Roman" w:cs="Times New Roman"/>
              </w:rPr>
              <w:t>93 752,0</w:t>
            </w:r>
          </w:p>
        </w:tc>
      </w:tr>
      <w:tr w:rsidR="00210BF6" w:rsidRPr="00210BF6" w:rsidTr="009957FA">
        <w:tc>
          <w:tcPr>
            <w:tcW w:w="672" w:type="dxa"/>
          </w:tcPr>
          <w:p w:rsidR="00210BF6" w:rsidRPr="00210BF6" w:rsidRDefault="00210BF6" w:rsidP="00210BF6">
            <w:pPr>
              <w:jc w:val="center"/>
              <w:rPr>
                <w:rFonts w:ascii="Times New Roman" w:hAnsi="Times New Roman" w:cs="Times New Roman"/>
              </w:rPr>
            </w:pPr>
            <w:r w:rsidRPr="00210BF6">
              <w:rPr>
                <w:rFonts w:ascii="Times New Roman" w:hAnsi="Times New Roman" w:cs="Times New Roman"/>
              </w:rPr>
              <w:t>33</w:t>
            </w:r>
          </w:p>
        </w:tc>
        <w:tc>
          <w:tcPr>
            <w:tcW w:w="6836" w:type="dxa"/>
          </w:tcPr>
          <w:p w:rsidR="00210BF6" w:rsidRPr="00210BF6" w:rsidRDefault="00210BF6" w:rsidP="00210BF6">
            <w:pPr>
              <w:jc w:val="both"/>
              <w:rPr>
                <w:rFonts w:ascii="Times New Roman" w:hAnsi="Times New Roman" w:cs="Times New Roman"/>
              </w:rPr>
            </w:pPr>
            <w:r w:rsidRPr="00210BF6">
              <w:rPr>
                <w:rFonts w:ascii="Times New Roman" w:hAnsi="Times New Roman" w:cs="Times New Roman"/>
              </w:rPr>
              <w:t>Общая сумма дохода на 2023 год, по иным налоговым ставкам (стр. 23 * Кфзп 2023/2022</w:t>
            </w:r>
            <w:r w:rsidR="00FF167C">
              <w:rPr>
                <w:rFonts w:ascii="Times New Roman" w:hAnsi="Times New Roman" w:cs="Times New Roman"/>
              </w:rPr>
              <w:t>, в %</w:t>
            </w:r>
            <w:r w:rsidRPr="00210BF6">
              <w:rPr>
                <w:rFonts w:ascii="Times New Roman" w:hAnsi="Times New Roman" w:cs="Times New Roman"/>
              </w:rPr>
              <w:t>)</w:t>
            </w:r>
          </w:p>
        </w:tc>
        <w:tc>
          <w:tcPr>
            <w:tcW w:w="2126" w:type="dxa"/>
          </w:tcPr>
          <w:p w:rsidR="00210BF6" w:rsidRPr="00210BF6" w:rsidRDefault="00210BF6" w:rsidP="00210BF6">
            <w:pPr>
              <w:jc w:val="center"/>
              <w:rPr>
                <w:rFonts w:ascii="Times New Roman" w:hAnsi="Times New Roman" w:cs="Times New Roman"/>
              </w:rPr>
            </w:pPr>
            <w:r w:rsidRPr="00210BF6">
              <w:rPr>
                <w:rFonts w:ascii="Times New Roman" w:hAnsi="Times New Roman" w:cs="Times New Roman"/>
              </w:rPr>
              <w:t>208 828,0</w:t>
            </w:r>
          </w:p>
        </w:tc>
      </w:tr>
      <w:tr w:rsidR="00210BF6" w:rsidRPr="00210BF6" w:rsidTr="009957FA">
        <w:tc>
          <w:tcPr>
            <w:tcW w:w="672" w:type="dxa"/>
          </w:tcPr>
          <w:p w:rsidR="00210BF6" w:rsidRPr="00210BF6" w:rsidRDefault="00210BF6" w:rsidP="00210BF6">
            <w:pPr>
              <w:jc w:val="center"/>
              <w:rPr>
                <w:rFonts w:ascii="Times New Roman" w:hAnsi="Times New Roman" w:cs="Times New Roman"/>
              </w:rPr>
            </w:pPr>
            <w:r w:rsidRPr="00210BF6">
              <w:rPr>
                <w:rFonts w:ascii="Times New Roman" w:hAnsi="Times New Roman" w:cs="Times New Roman"/>
              </w:rPr>
              <w:t>34</w:t>
            </w:r>
          </w:p>
        </w:tc>
        <w:tc>
          <w:tcPr>
            <w:tcW w:w="6836" w:type="dxa"/>
          </w:tcPr>
          <w:p w:rsidR="00210BF6" w:rsidRPr="00210BF6" w:rsidRDefault="00210BF6" w:rsidP="00210BF6">
            <w:pPr>
              <w:jc w:val="both"/>
              <w:rPr>
                <w:rFonts w:ascii="Times New Roman" w:hAnsi="Times New Roman" w:cs="Times New Roman"/>
                <w:b/>
              </w:rPr>
            </w:pPr>
            <w:r w:rsidRPr="00210BF6">
              <w:rPr>
                <w:rFonts w:ascii="Times New Roman" w:hAnsi="Times New Roman" w:cs="Times New Roman"/>
              </w:rPr>
              <w:t xml:space="preserve">Сумма по налогу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w:t>
            </w:r>
            <w:r w:rsidRPr="00210BF6">
              <w:rPr>
                <w:rFonts w:ascii="Times New Roman" w:hAnsi="Times New Roman" w:cs="Times New Roman"/>
                <w:b/>
              </w:rPr>
              <w:t>на 2023 год;</w:t>
            </w:r>
          </w:p>
          <w:p w:rsidR="00210BF6" w:rsidRPr="00210BF6" w:rsidRDefault="00210BF6" w:rsidP="00210BF6">
            <w:pPr>
              <w:jc w:val="both"/>
              <w:rPr>
                <w:rFonts w:ascii="Times New Roman" w:hAnsi="Times New Roman" w:cs="Times New Roman"/>
              </w:rPr>
            </w:pPr>
            <w:r w:rsidRPr="00210BF6">
              <w:rPr>
                <w:rFonts w:ascii="Times New Roman" w:hAnsi="Times New Roman" w:cs="Times New Roman"/>
              </w:rPr>
              <w:t xml:space="preserve">(стр. 28 – Общая сумма налоговых вычетов на 2023 год </w:t>
            </w:r>
            <w:r w:rsidRPr="00210BF6">
              <w:rPr>
                <w:rFonts w:ascii="Times New Roman" w:hAnsi="Times New Roman" w:cs="Times New Roman"/>
                <w:b/>
              </w:rPr>
              <w:t>22 155 321 тыс. руб.</w:t>
            </w:r>
            <w:r w:rsidRPr="00210BF6">
              <w:rPr>
                <w:rFonts w:ascii="Times New Roman" w:hAnsi="Times New Roman" w:cs="Times New Roman"/>
              </w:rPr>
              <w:t xml:space="preserve"> * 13% + стр. 29 * 30% + стр. 30 * 9% + стр. 31 * 35% + стр.32 *15% + стр.33 * расчетную ставку по итогам 2020 года в разрезе муниципальных образований Тверской области  (средняя ставка по области 9,8%))</w:t>
            </w:r>
          </w:p>
        </w:tc>
        <w:tc>
          <w:tcPr>
            <w:tcW w:w="2126" w:type="dxa"/>
          </w:tcPr>
          <w:p w:rsidR="00210BF6" w:rsidRPr="00210BF6" w:rsidRDefault="00210BF6" w:rsidP="00B67F0C">
            <w:pPr>
              <w:jc w:val="center"/>
              <w:rPr>
                <w:rFonts w:ascii="Times New Roman" w:hAnsi="Times New Roman" w:cs="Times New Roman"/>
              </w:rPr>
            </w:pPr>
            <w:r w:rsidRPr="00210BF6">
              <w:rPr>
                <w:rFonts w:ascii="Times New Roman" w:hAnsi="Times New Roman" w:cs="Times New Roman"/>
              </w:rPr>
              <w:t>23 853 49</w:t>
            </w:r>
            <w:r w:rsidR="00B67F0C">
              <w:rPr>
                <w:rFonts w:ascii="Times New Roman" w:hAnsi="Times New Roman" w:cs="Times New Roman"/>
              </w:rPr>
              <w:t>1</w:t>
            </w:r>
            <w:r w:rsidRPr="00210BF6">
              <w:rPr>
                <w:rFonts w:ascii="Times New Roman" w:hAnsi="Times New Roman" w:cs="Times New Roman"/>
              </w:rPr>
              <w:t>,0</w:t>
            </w:r>
          </w:p>
        </w:tc>
      </w:tr>
      <w:tr w:rsidR="00210BF6" w:rsidRPr="00210BF6" w:rsidTr="009957FA">
        <w:tc>
          <w:tcPr>
            <w:tcW w:w="672" w:type="dxa"/>
          </w:tcPr>
          <w:p w:rsidR="00210BF6" w:rsidRPr="00210BF6" w:rsidRDefault="00210BF6" w:rsidP="00210BF6">
            <w:pPr>
              <w:jc w:val="center"/>
              <w:rPr>
                <w:rFonts w:ascii="Times New Roman" w:hAnsi="Times New Roman" w:cs="Times New Roman"/>
              </w:rPr>
            </w:pPr>
            <w:r w:rsidRPr="00210BF6">
              <w:rPr>
                <w:rFonts w:ascii="Times New Roman" w:hAnsi="Times New Roman" w:cs="Times New Roman"/>
              </w:rPr>
              <w:t>35</w:t>
            </w:r>
          </w:p>
        </w:tc>
        <w:tc>
          <w:tcPr>
            <w:tcW w:w="6836" w:type="dxa"/>
          </w:tcPr>
          <w:p w:rsidR="00210BF6" w:rsidRPr="00210BF6" w:rsidRDefault="00210BF6" w:rsidP="00210BF6">
            <w:pPr>
              <w:rPr>
                <w:rFonts w:ascii="Times New Roman" w:hAnsi="Times New Roman" w:cs="Times New Roman"/>
              </w:rPr>
            </w:pPr>
            <w:r w:rsidRPr="00210BF6">
              <w:rPr>
                <w:rFonts w:ascii="Times New Roman" w:hAnsi="Times New Roman" w:cs="Times New Roman"/>
                <w:b/>
              </w:rPr>
              <w:t>Прогноз на 2023 год в консолидированный бюджет Тверской области</w:t>
            </w:r>
            <w:r w:rsidRPr="00210BF6">
              <w:rPr>
                <w:rFonts w:ascii="Times New Roman" w:hAnsi="Times New Roman" w:cs="Times New Roman"/>
              </w:rPr>
              <w:t xml:space="preserve"> по налогу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 учетом Коэффициента доли уплаченного налога в исчисленной сумме налога за 2020 год (по данным главного администратора доходов) по каждому бюджету городского и  муниципального округов, городского и сельского поселения и Корректирующей суммы поступлений F1 (67 495 тыс. руб.) (по данным главного администратора доходов) в разрезе бюджетов городских и муниципальных округов, городских и сельских поселений (стр.34 * стр.15 + F1 (67 495 тыс. руб.), в том числе:</w:t>
            </w:r>
          </w:p>
        </w:tc>
        <w:tc>
          <w:tcPr>
            <w:tcW w:w="2126" w:type="dxa"/>
          </w:tcPr>
          <w:p w:rsidR="00210BF6" w:rsidRPr="00210BF6" w:rsidRDefault="00210BF6" w:rsidP="00B67F0C">
            <w:pPr>
              <w:jc w:val="center"/>
              <w:rPr>
                <w:rFonts w:ascii="Times New Roman" w:hAnsi="Times New Roman" w:cs="Times New Roman"/>
                <w:b/>
              </w:rPr>
            </w:pPr>
            <w:r w:rsidRPr="00210BF6">
              <w:rPr>
                <w:rFonts w:ascii="Times New Roman" w:hAnsi="Times New Roman" w:cs="Times New Roman"/>
                <w:b/>
              </w:rPr>
              <w:t>24 995</w:t>
            </w:r>
            <w:r w:rsidR="006C3EFA">
              <w:rPr>
                <w:rFonts w:ascii="Times New Roman" w:hAnsi="Times New Roman" w:cs="Times New Roman"/>
                <w:b/>
              </w:rPr>
              <w:t> </w:t>
            </w:r>
            <w:r w:rsidRPr="00210BF6">
              <w:rPr>
                <w:rFonts w:ascii="Times New Roman" w:hAnsi="Times New Roman" w:cs="Times New Roman"/>
                <w:b/>
              </w:rPr>
              <w:t>06</w:t>
            </w:r>
            <w:r w:rsidR="00B67F0C">
              <w:rPr>
                <w:rFonts w:ascii="Times New Roman" w:hAnsi="Times New Roman" w:cs="Times New Roman"/>
                <w:b/>
              </w:rPr>
              <w:t>0</w:t>
            </w:r>
            <w:r w:rsidR="006C3EFA">
              <w:rPr>
                <w:rFonts w:ascii="Times New Roman" w:hAnsi="Times New Roman" w:cs="Times New Roman"/>
                <w:b/>
              </w:rPr>
              <w:t>,0</w:t>
            </w:r>
          </w:p>
        </w:tc>
      </w:tr>
      <w:tr w:rsidR="00210BF6" w:rsidRPr="00210BF6" w:rsidTr="009957FA">
        <w:tc>
          <w:tcPr>
            <w:tcW w:w="672" w:type="dxa"/>
          </w:tcPr>
          <w:p w:rsidR="00210BF6" w:rsidRPr="00210BF6" w:rsidRDefault="00210BF6" w:rsidP="00210BF6">
            <w:pPr>
              <w:jc w:val="center"/>
              <w:rPr>
                <w:rFonts w:ascii="Times New Roman" w:hAnsi="Times New Roman" w:cs="Times New Roman"/>
              </w:rPr>
            </w:pPr>
            <w:r w:rsidRPr="00210BF6">
              <w:rPr>
                <w:rFonts w:ascii="Times New Roman" w:hAnsi="Times New Roman" w:cs="Times New Roman"/>
              </w:rPr>
              <w:t>36</w:t>
            </w:r>
          </w:p>
          <w:p w:rsidR="00210BF6" w:rsidRPr="00210BF6" w:rsidRDefault="00210BF6" w:rsidP="00210BF6">
            <w:pPr>
              <w:jc w:val="center"/>
              <w:rPr>
                <w:rFonts w:ascii="Times New Roman" w:hAnsi="Times New Roman" w:cs="Times New Roman"/>
              </w:rPr>
            </w:pPr>
          </w:p>
        </w:tc>
        <w:tc>
          <w:tcPr>
            <w:tcW w:w="6836" w:type="dxa"/>
          </w:tcPr>
          <w:p w:rsidR="00210BF6" w:rsidRPr="00210BF6" w:rsidRDefault="00210BF6" w:rsidP="00210BF6">
            <w:pPr>
              <w:jc w:val="both"/>
              <w:rPr>
                <w:rFonts w:ascii="Times New Roman" w:hAnsi="Times New Roman" w:cs="Times New Roman"/>
                <w:b/>
              </w:rPr>
            </w:pPr>
            <w:r w:rsidRPr="00210BF6">
              <w:rPr>
                <w:rFonts w:ascii="Times New Roman" w:hAnsi="Times New Roman" w:cs="Times New Roman"/>
                <w:b/>
              </w:rPr>
              <w:t>областной бюджет Тверской области на 2023 год, как разница по нормативам отчислений в местный бюджет</w:t>
            </w:r>
          </w:p>
        </w:tc>
        <w:tc>
          <w:tcPr>
            <w:tcW w:w="2126" w:type="dxa"/>
          </w:tcPr>
          <w:p w:rsidR="00210BF6" w:rsidRPr="00210BF6" w:rsidRDefault="00210BF6" w:rsidP="006E3530">
            <w:pPr>
              <w:jc w:val="center"/>
              <w:rPr>
                <w:rFonts w:ascii="Times New Roman" w:hAnsi="Times New Roman" w:cs="Times New Roman"/>
                <w:b/>
              </w:rPr>
            </w:pPr>
            <w:r w:rsidRPr="00210BF6">
              <w:rPr>
                <w:rFonts w:ascii="Times New Roman" w:hAnsi="Times New Roman" w:cs="Times New Roman"/>
                <w:b/>
              </w:rPr>
              <w:t>16</w:t>
            </w:r>
            <w:r w:rsidR="006E3530">
              <w:rPr>
                <w:rFonts w:ascii="Times New Roman" w:hAnsi="Times New Roman" w:cs="Times New Roman"/>
                <w:b/>
              </w:rPr>
              <w:t> </w:t>
            </w:r>
            <w:r w:rsidRPr="00210BF6">
              <w:rPr>
                <w:rFonts w:ascii="Times New Roman" w:hAnsi="Times New Roman" w:cs="Times New Roman"/>
                <w:b/>
              </w:rPr>
              <w:t>0</w:t>
            </w:r>
            <w:r w:rsidR="006E3530">
              <w:rPr>
                <w:rFonts w:ascii="Times New Roman" w:hAnsi="Times New Roman" w:cs="Times New Roman"/>
                <w:b/>
              </w:rPr>
              <w:t>15 602</w:t>
            </w:r>
            <w:r w:rsidRPr="00210BF6">
              <w:rPr>
                <w:rFonts w:ascii="Times New Roman" w:hAnsi="Times New Roman" w:cs="Times New Roman"/>
                <w:b/>
              </w:rPr>
              <w:t>,0</w:t>
            </w:r>
          </w:p>
        </w:tc>
      </w:tr>
      <w:tr w:rsidR="00210BF6" w:rsidRPr="00210BF6" w:rsidTr="009957FA">
        <w:tc>
          <w:tcPr>
            <w:tcW w:w="672" w:type="dxa"/>
          </w:tcPr>
          <w:p w:rsidR="00210BF6" w:rsidRPr="00210BF6" w:rsidRDefault="00210BF6" w:rsidP="00210BF6">
            <w:pPr>
              <w:jc w:val="center"/>
              <w:rPr>
                <w:rFonts w:ascii="Times New Roman" w:hAnsi="Times New Roman" w:cs="Times New Roman"/>
              </w:rPr>
            </w:pPr>
            <w:r w:rsidRPr="00210BF6">
              <w:rPr>
                <w:rFonts w:ascii="Times New Roman" w:hAnsi="Times New Roman" w:cs="Times New Roman"/>
              </w:rPr>
              <w:t>37</w:t>
            </w:r>
          </w:p>
        </w:tc>
        <w:tc>
          <w:tcPr>
            <w:tcW w:w="6836" w:type="dxa"/>
          </w:tcPr>
          <w:p w:rsidR="00210BF6" w:rsidRPr="00210BF6" w:rsidRDefault="00210BF6" w:rsidP="00210BF6">
            <w:pPr>
              <w:jc w:val="both"/>
              <w:rPr>
                <w:rFonts w:ascii="Times New Roman" w:hAnsi="Times New Roman" w:cs="Times New Roman"/>
                <w:b/>
              </w:rPr>
            </w:pPr>
            <w:r w:rsidRPr="00210BF6">
              <w:rPr>
                <w:rFonts w:ascii="Times New Roman" w:hAnsi="Times New Roman" w:cs="Times New Roman"/>
                <w:b/>
              </w:rPr>
              <w:t>Прогноз на 2024 год по налогу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126" w:type="dxa"/>
          </w:tcPr>
          <w:p w:rsidR="00210BF6" w:rsidRPr="00210BF6" w:rsidRDefault="00210BF6" w:rsidP="00210BF6">
            <w:pPr>
              <w:jc w:val="center"/>
              <w:rPr>
                <w:rFonts w:ascii="Times New Roman" w:hAnsi="Times New Roman" w:cs="Times New Roman"/>
              </w:rPr>
            </w:pPr>
          </w:p>
        </w:tc>
      </w:tr>
      <w:tr w:rsidR="00210BF6" w:rsidRPr="00210BF6" w:rsidTr="009957FA">
        <w:tc>
          <w:tcPr>
            <w:tcW w:w="672" w:type="dxa"/>
          </w:tcPr>
          <w:p w:rsidR="00210BF6" w:rsidRPr="00210BF6" w:rsidRDefault="00210BF6" w:rsidP="00210BF6">
            <w:pPr>
              <w:jc w:val="center"/>
              <w:rPr>
                <w:rFonts w:ascii="Times New Roman" w:hAnsi="Times New Roman" w:cs="Times New Roman"/>
              </w:rPr>
            </w:pPr>
            <w:r w:rsidRPr="00210BF6">
              <w:rPr>
                <w:rFonts w:ascii="Times New Roman" w:hAnsi="Times New Roman" w:cs="Times New Roman"/>
              </w:rPr>
              <w:t>38</w:t>
            </w:r>
          </w:p>
          <w:p w:rsidR="00210BF6" w:rsidRPr="00210BF6" w:rsidRDefault="00210BF6" w:rsidP="00210BF6">
            <w:pPr>
              <w:jc w:val="center"/>
              <w:rPr>
                <w:rFonts w:ascii="Times New Roman" w:hAnsi="Times New Roman" w:cs="Times New Roman"/>
              </w:rPr>
            </w:pPr>
          </w:p>
        </w:tc>
        <w:tc>
          <w:tcPr>
            <w:tcW w:w="6836" w:type="dxa"/>
          </w:tcPr>
          <w:p w:rsidR="00210BF6" w:rsidRPr="00210BF6" w:rsidRDefault="00210BF6" w:rsidP="00210BF6">
            <w:pPr>
              <w:jc w:val="both"/>
              <w:rPr>
                <w:rFonts w:ascii="Times New Roman" w:hAnsi="Times New Roman" w:cs="Times New Roman"/>
              </w:rPr>
            </w:pPr>
            <w:r w:rsidRPr="00210BF6">
              <w:rPr>
                <w:rFonts w:ascii="Times New Roman" w:hAnsi="Times New Roman" w:cs="Times New Roman"/>
              </w:rPr>
              <w:t>Общая сумма дохода на 2024 год, по ставке 13%</w:t>
            </w:r>
          </w:p>
          <w:p w:rsidR="00210BF6" w:rsidRPr="00210BF6" w:rsidRDefault="00210BF6" w:rsidP="00210BF6">
            <w:pPr>
              <w:jc w:val="both"/>
              <w:rPr>
                <w:rFonts w:ascii="Times New Roman" w:hAnsi="Times New Roman" w:cs="Times New Roman"/>
              </w:rPr>
            </w:pPr>
            <w:r w:rsidRPr="00210BF6">
              <w:rPr>
                <w:rFonts w:ascii="Times New Roman" w:hAnsi="Times New Roman" w:cs="Times New Roman"/>
              </w:rPr>
              <w:t xml:space="preserve">(без учета доходов, свыше 5 млн. руб.) </w:t>
            </w:r>
            <w:r w:rsidRPr="00210BF6">
              <w:rPr>
                <w:rFonts w:ascii="Times New Roman" w:hAnsi="Times New Roman" w:cs="Times New Roman"/>
              </w:rPr>
              <w:br/>
              <w:t>(стр. 28*Кфзп 2024/2023</w:t>
            </w:r>
            <w:r w:rsidR="00FF167C">
              <w:rPr>
                <w:rFonts w:ascii="Times New Roman" w:hAnsi="Times New Roman" w:cs="Times New Roman"/>
              </w:rPr>
              <w:t>, в %</w:t>
            </w:r>
            <w:r w:rsidRPr="00210BF6">
              <w:rPr>
                <w:rFonts w:ascii="Times New Roman" w:hAnsi="Times New Roman" w:cs="Times New Roman"/>
              </w:rPr>
              <w:t>)</w:t>
            </w:r>
          </w:p>
        </w:tc>
        <w:tc>
          <w:tcPr>
            <w:tcW w:w="2126" w:type="dxa"/>
          </w:tcPr>
          <w:p w:rsidR="00210BF6" w:rsidRPr="00210BF6" w:rsidRDefault="00210BF6" w:rsidP="00210BF6">
            <w:pPr>
              <w:jc w:val="center"/>
              <w:rPr>
                <w:rFonts w:ascii="Times New Roman" w:hAnsi="Times New Roman" w:cs="Times New Roman"/>
              </w:rPr>
            </w:pPr>
            <w:r w:rsidRPr="00210BF6">
              <w:rPr>
                <w:rFonts w:ascii="Times New Roman" w:hAnsi="Times New Roman" w:cs="Times New Roman"/>
              </w:rPr>
              <w:t>215 505 241,0</w:t>
            </w:r>
          </w:p>
        </w:tc>
      </w:tr>
      <w:tr w:rsidR="00210BF6" w:rsidRPr="00210BF6" w:rsidTr="009957FA">
        <w:tc>
          <w:tcPr>
            <w:tcW w:w="672" w:type="dxa"/>
          </w:tcPr>
          <w:p w:rsidR="00210BF6" w:rsidRPr="00210BF6" w:rsidRDefault="00210BF6" w:rsidP="00210BF6">
            <w:pPr>
              <w:jc w:val="center"/>
              <w:rPr>
                <w:rFonts w:ascii="Times New Roman" w:hAnsi="Times New Roman" w:cs="Times New Roman"/>
              </w:rPr>
            </w:pPr>
            <w:r w:rsidRPr="00210BF6">
              <w:rPr>
                <w:rFonts w:ascii="Times New Roman" w:hAnsi="Times New Roman" w:cs="Times New Roman"/>
              </w:rPr>
              <w:t>39</w:t>
            </w:r>
          </w:p>
        </w:tc>
        <w:tc>
          <w:tcPr>
            <w:tcW w:w="6836" w:type="dxa"/>
          </w:tcPr>
          <w:p w:rsidR="00210BF6" w:rsidRPr="00210BF6" w:rsidRDefault="00210BF6" w:rsidP="00210BF6">
            <w:pPr>
              <w:jc w:val="both"/>
              <w:rPr>
                <w:rFonts w:ascii="Times New Roman" w:hAnsi="Times New Roman" w:cs="Times New Roman"/>
              </w:rPr>
            </w:pPr>
            <w:r w:rsidRPr="00210BF6">
              <w:rPr>
                <w:rFonts w:ascii="Times New Roman" w:hAnsi="Times New Roman" w:cs="Times New Roman"/>
              </w:rPr>
              <w:t xml:space="preserve">Общая сумма дохода на 2024 год, по ставке 30% </w:t>
            </w:r>
          </w:p>
          <w:p w:rsidR="00210BF6" w:rsidRPr="00210BF6" w:rsidRDefault="00210BF6" w:rsidP="00210BF6">
            <w:pPr>
              <w:jc w:val="both"/>
              <w:rPr>
                <w:rFonts w:ascii="Times New Roman" w:hAnsi="Times New Roman" w:cs="Times New Roman"/>
              </w:rPr>
            </w:pPr>
            <w:r w:rsidRPr="00210BF6">
              <w:rPr>
                <w:rFonts w:ascii="Times New Roman" w:hAnsi="Times New Roman" w:cs="Times New Roman"/>
              </w:rPr>
              <w:t>(стр. 29*Кфзп 2024/2023</w:t>
            </w:r>
            <w:r w:rsidR="00FF167C">
              <w:rPr>
                <w:rFonts w:ascii="Times New Roman" w:hAnsi="Times New Roman" w:cs="Times New Roman"/>
              </w:rPr>
              <w:t>, в %</w:t>
            </w:r>
            <w:r w:rsidRPr="00210BF6">
              <w:rPr>
                <w:rFonts w:ascii="Times New Roman" w:hAnsi="Times New Roman" w:cs="Times New Roman"/>
              </w:rPr>
              <w:t>)</w:t>
            </w:r>
          </w:p>
        </w:tc>
        <w:tc>
          <w:tcPr>
            <w:tcW w:w="2126" w:type="dxa"/>
          </w:tcPr>
          <w:p w:rsidR="00210BF6" w:rsidRPr="00210BF6" w:rsidRDefault="00210BF6" w:rsidP="00210BF6">
            <w:pPr>
              <w:jc w:val="center"/>
              <w:rPr>
                <w:rFonts w:ascii="Times New Roman" w:hAnsi="Times New Roman" w:cs="Times New Roman"/>
              </w:rPr>
            </w:pPr>
            <w:r w:rsidRPr="00210BF6">
              <w:rPr>
                <w:rFonts w:ascii="Times New Roman" w:hAnsi="Times New Roman" w:cs="Times New Roman"/>
              </w:rPr>
              <w:t>92 956,0</w:t>
            </w:r>
          </w:p>
        </w:tc>
      </w:tr>
      <w:tr w:rsidR="00210BF6" w:rsidRPr="00210BF6" w:rsidTr="009957FA">
        <w:tc>
          <w:tcPr>
            <w:tcW w:w="672" w:type="dxa"/>
          </w:tcPr>
          <w:p w:rsidR="00210BF6" w:rsidRPr="00210BF6" w:rsidRDefault="00210BF6" w:rsidP="00210BF6">
            <w:pPr>
              <w:jc w:val="center"/>
              <w:rPr>
                <w:rFonts w:ascii="Times New Roman" w:hAnsi="Times New Roman" w:cs="Times New Roman"/>
              </w:rPr>
            </w:pPr>
            <w:r w:rsidRPr="00210BF6">
              <w:rPr>
                <w:rFonts w:ascii="Times New Roman" w:hAnsi="Times New Roman" w:cs="Times New Roman"/>
              </w:rPr>
              <w:t>40</w:t>
            </w:r>
          </w:p>
        </w:tc>
        <w:tc>
          <w:tcPr>
            <w:tcW w:w="6836" w:type="dxa"/>
          </w:tcPr>
          <w:p w:rsidR="00210BF6" w:rsidRPr="00210BF6" w:rsidRDefault="00210BF6" w:rsidP="00210BF6">
            <w:pPr>
              <w:jc w:val="both"/>
              <w:rPr>
                <w:rFonts w:ascii="Times New Roman" w:hAnsi="Times New Roman" w:cs="Times New Roman"/>
              </w:rPr>
            </w:pPr>
            <w:r w:rsidRPr="00210BF6">
              <w:rPr>
                <w:rFonts w:ascii="Times New Roman" w:hAnsi="Times New Roman" w:cs="Times New Roman"/>
              </w:rPr>
              <w:t xml:space="preserve">Общая сумма дохода на 2024 год, по ставке 9% </w:t>
            </w:r>
          </w:p>
          <w:p w:rsidR="00210BF6" w:rsidRPr="00210BF6" w:rsidRDefault="00210BF6" w:rsidP="00FF167C">
            <w:pPr>
              <w:jc w:val="both"/>
              <w:rPr>
                <w:rFonts w:ascii="Times New Roman" w:hAnsi="Times New Roman" w:cs="Times New Roman"/>
              </w:rPr>
            </w:pPr>
            <w:r w:rsidRPr="00210BF6">
              <w:rPr>
                <w:rFonts w:ascii="Times New Roman" w:hAnsi="Times New Roman" w:cs="Times New Roman"/>
              </w:rPr>
              <w:t>(стр. 30*Кфзп 2024/2023</w:t>
            </w:r>
            <w:r w:rsidR="00FF167C">
              <w:rPr>
                <w:rFonts w:ascii="Times New Roman" w:hAnsi="Times New Roman" w:cs="Times New Roman"/>
              </w:rPr>
              <w:t xml:space="preserve"> в %</w:t>
            </w:r>
            <w:r w:rsidRPr="00210BF6">
              <w:rPr>
                <w:rFonts w:ascii="Times New Roman" w:hAnsi="Times New Roman" w:cs="Times New Roman"/>
              </w:rPr>
              <w:t>)</w:t>
            </w:r>
          </w:p>
        </w:tc>
        <w:tc>
          <w:tcPr>
            <w:tcW w:w="2126" w:type="dxa"/>
          </w:tcPr>
          <w:p w:rsidR="00210BF6" w:rsidRPr="00210BF6" w:rsidRDefault="00210BF6" w:rsidP="00210BF6">
            <w:pPr>
              <w:jc w:val="center"/>
              <w:rPr>
                <w:rFonts w:ascii="Times New Roman" w:hAnsi="Times New Roman" w:cs="Times New Roman"/>
              </w:rPr>
            </w:pPr>
            <w:r w:rsidRPr="00210BF6">
              <w:rPr>
                <w:rFonts w:ascii="Times New Roman" w:hAnsi="Times New Roman" w:cs="Times New Roman"/>
              </w:rPr>
              <w:t>1 995,0</w:t>
            </w:r>
          </w:p>
        </w:tc>
      </w:tr>
      <w:tr w:rsidR="00210BF6" w:rsidRPr="00210BF6" w:rsidTr="009957FA">
        <w:tc>
          <w:tcPr>
            <w:tcW w:w="672" w:type="dxa"/>
          </w:tcPr>
          <w:p w:rsidR="00210BF6" w:rsidRPr="00210BF6" w:rsidRDefault="00210BF6" w:rsidP="00210BF6">
            <w:pPr>
              <w:jc w:val="center"/>
              <w:rPr>
                <w:rFonts w:ascii="Times New Roman" w:hAnsi="Times New Roman" w:cs="Times New Roman"/>
              </w:rPr>
            </w:pPr>
            <w:r w:rsidRPr="00210BF6">
              <w:rPr>
                <w:rFonts w:ascii="Times New Roman" w:hAnsi="Times New Roman" w:cs="Times New Roman"/>
              </w:rPr>
              <w:lastRenderedPageBreak/>
              <w:t>41</w:t>
            </w:r>
          </w:p>
        </w:tc>
        <w:tc>
          <w:tcPr>
            <w:tcW w:w="6836" w:type="dxa"/>
          </w:tcPr>
          <w:p w:rsidR="00210BF6" w:rsidRPr="00210BF6" w:rsidRDefault="00210BF6" w:rsidP="00210BF6">
            <w:pPr>
              <w:jc w:val="both"/>
              <w:rPr>
                <w:rFonts w:ascii="Times New Roman" w:hAnsi="Times New Roman" w:cs="Times New Roman"/>
              </w:rPr>
            </w:pPr>
            <w:r w:rsidRPr="00210BF6">
              <w:rPr>
                <w:rFonts w:ascii="Times New Roman" w:hAnsi="Times New Roman" w:cs="Times New Roman"/>
              </w:rPr>
              <w:t>Общая сумма дохода на 2024 год по ставке 35%</w:t>
            </w:r>
          </w:p>
          <w:p w:rsidR="00210BF6" w:rsidRPr="00210BF6" w:rsidRDefault="00210BF6" w:rsidP="00210BF6">
            <w:pPr>
              <w:jc w:val="both"/>
              <w:rPr>
                <w:rFonts w:ascii="Times New Roman" w:hAnsi="Times New Roman" w:cs="Times New Roman"/>
              </w:rPr>
            </w:pPr>
            <w:r w:rsidRPr="00210BF6">
              <w:rPr>
                <w:rFonts w:ascii="Times New Roman" w:hAnsi="Times New Roman" w:cs="Times New Roman"/>
              </w:rPr>
              <w:t>(стр. 31 * Кфзп 2024/2023</w:t>
            </w:r>
            <w:r w:rsidR="00FF167C">
              <w:rPr>
                <w:rFonts w:ascii="Times New Roman" w:hAnsi="Times New Roman" w:cs="Times New Roman"/>
              </w:rPr>
              <w:t>, в %</w:t>
            </w:r>
            <w:r w:rsidRPr="00210BF6">
              <w:rPr>
                <w:rFonts w:ascii="Times New Roman" w:hAnsi="Times New Roman" w:cs="Times New Roman"/>
              </w:rPr>
              <w:t>)</w:t>
            </w:r>
          </w:p>
        </w:tc>
        <w:tc>
          <w:tcPr>
            <w:tcW w:w="2126" w:type="dxa"/>
          </w:tcPr>
          <w:p w:rsidR="00210BF6" w:rsidRPr="00210BF6" w:rsidRDefault="00210BF6" w:rsidP="00210BF6">
            <w:pPr>
              <w:jc w:val="center"/>
              <w:rPr>
                <w:rFonts w:ascii="Times New Roman" w:hAnsi="Times New Roman" w:cs="Times New Roman"/>
              </w:rPr>
            </w:pPr>
            <w:r w:rsidRPr="00210BF6">
              <w:rPr>
                <w:rFonts w:ascii="Times New Roman" w:hAnsi="Times New Roman" w:cs="Times New Roman"/>
              </w:rPr>
              <w:t>17 648,0</w:t>
            </w:r>
          </w:p>
        </w:tc>
      </w:tr>
      <w:tr w:rsidR="00210BF6" w:rsidRPr="00210BF6" w:rsidTr="009957FA">
        <w:tc>
          <w:tcPr>
            <w:tcW w:w="672" w:type="dxa"/>
          </w:tcPr>
          <w:p w:rsidR="00210BF6" w:rsidRPr="00210BF6" w:rsidRDefault="00210BF6" w:rsidP="00210BF6">
            <w:pPr>
              <w:jc w:val="center"/>
              <w:rPr>
                <w:rFonts w:ascii="Times New Roman" w:hAnsi="Times New Roman" w:cs="Times New Roman"/>
              </w:rPr>
            </w:pPr>
            <w:r w:rsidRPr="00210BF6">
              <w:rPr>
                <w:rFonts w:ascii="Times New Roman" w:hAnsi="Times New Roman" w:cs="Times New Roman"/>
              </w:rPr>
              <w:t>42</w:t>
            </w:r>
          </w:p>
        </w:tc>
        <w:tc>
          <w:tcPr>
            <w:tcW w:w="6836" w:type="dxa"/>
          </w:tcPr>
          <w:p w:rsidR="00210BF6" w:rsidRPr="00210BF6" w:rsidRDefault="00210BF6" w:rsidP="00210BF6">
            <w:pPr>
              <w:jc w:val="both"/>
              <w:rPr>
                <w:rFonts w:ascii="Times New Roman" w:hAnsi="Times New Roman" w:cs="Times New Roman"/>
              </w:rPr>
            </w:pPr>
            <w:r w:rsidRPr="00210BF6">
              <w:rPr>
                <w:rFonts w:ascii="Times New Roman" w:hAnsi="Times New Roman" w:cs="Times New Roman"/>
              </w:rPr>
              <w:t>Общая сумма дохода на 2024 год, по ставке 15%</w:t>
            </w:r>
          </w:p>
          <w:p w:rsidR="00210BF6" w:rsidRPr="00210BF6" w:rsidRDefault="00210BF6" w:rsidP="00210BF6">
            <w:pPr>
              <w:jc w:val="both"/>
              <w:rPr>
                <w:rFonts w:ascii="Times New Roman" w:hAnsi="Times New Roman" w:cs="Times New Roman"/>
              </w:rPr>
            </w:pPr>
            <w:r w:rsidRPr="00210BF6">
              <w:rPr>
                <w:rFonts w:ascii="Times New Roman" w:hAnsi="Times New Roman" w:cs="Times New Roman"/>
              </w:rPr>
              <w:t>(стр. 32 * Кфзп 2024/2023</w:t>
            </w:r>
            <w:r w:rsidR="00FF167C">
              <w:rPr>
                <w:rFonts w:ascii="Times New Roman" w:hAnsi="Times New Roman" w:cs="Times New Roman"/>
              </w:rPr>
              <w:t xml:space="preserve"> в %</w:t>
            </w:r>
            <w:r w:rsidRPr="00210BF6">
              <w:rPr>
                <w:rFonts w:ascii="Times New Roman" w:hAnsi="Times New Roman" w:cs="Times New Roman"/>
              </w:rPr>
              <w:t>)</w:t>
            </w:r>
          </w:p>
        </w:tc>
        <w:tc>
          <w:tcPr>
            <w:tcW w:w="2126" w:type="dxa"/>
          </w:tcPr>
          <w:p w:rsidR="00210BF6" w:rsidRPr="00210BF6" w:rsidRDefault="00210BF6" w:rsidP="00210BF6">
            <w:pPr>
              <w:jc w:val="center"/>
              <w:rPr>
                <w:rFonts w:ascii="Times New Roman" w:hAnsi="Times New Roman" w:cs="Times New Roman"/>
              </w:rPr>
            </w:pPr>
            <w:r w:rsidRPr="00210BF6">
              <w:rPr>
                <w:rFonts w:ascii="Times New Roman" w:hAnsi="Times New Roman" w:cs="Times New Roman"/>
              </w:rPr>
              <w:t>99 845,0</w:t>
            </w:r>
          </w:p>
        </w:tc>
      </w:tr>
      <w:tr w:rsidR="00210BF6" w:rsidRPr="00210BF6" w:rsidTr="009957FA">
        <w:tc>
          <w:tcPr>
            <w:tcW w:w="672" w:type="dxa"/>
          </w:tcPr>
          <w:p w:rsidR="00210BF6" w:rsidRPr="00210BF6" w:rsidRDefault="00210BF6" w:rsidP="00210BF6">
            <w:pPr>
              <w:jc w:val="center"/>
              <w:rPr>
                <w:rFonts w:ascii="Times New Roman" w:hAnsi="Times New Roman" w:cs="Times New Roman"/>
              </w:rPr>
            </w:pPr>
            <w:r w:rsidRPr="00210BF6">
              <w:rPr>
                <w:rFonts w:ascii="Times New Roman" w:hAnsi="Times New Roman" w:cs="Times New Roman"/>
              </w:rPr>
              <w:t>43</w:t>
            </w:r>
          </w:p>
        </w:tc>
        <w:tc>
          <w:tcPr>
            <w:tcW w:w="6836" w:type="dxa"/>
          </w:tcPr>
          <w:p w:rsidR="00210BF6" w:rsidRPr="00210BF6" w:rsidRDefault="00210BF6" w:rsidP="00210BF6">
            <w:pPr>
              <w:jc w:val="both"/>
              <w:rPr>
                <w:rFonts w:ascii="Times New Roman" w:hAnsi="Times New Roman" w:cs="Times New Roman"/>
              </w:rPr>
            </w:pPr>
            <w:r w:rsidRPr="00210BF6">
              <w:rPr>
                <w:rFonts w:ascii="Times New Roman" w:hAnsi="Times New Roman" w:cs="Times New Roman"/>
              </w:rPr>
              <w:t>Общая сумма дохода на 2024 год, по иным налоговым ставкам (стр. 33 * Кфзп 2024/2023</w:t>
            </w:r>
            <w:r w:rsidR="00FF167C">
              <w:rPr>
                <w:rFonts w:ascii="Times New Roman" w:hAnsi="Times New Roman" w:cs="Times New Roman"/>
              </w:rPr>
              <w:t>, в %</w:t>
            </w:r>
            <w:r w:rsidRPr="00210BF6">
              <w:rPr>
                <w:rFonts w:ascii="Times New Roman" w:hAnsi="Times New Roman" w:cs="Times New Roman"/>
              </w:rPr>
              <w:t>)</w:t>
            </w:r>
          </w:p>
        </w:tc>
        <w:tc>
          <w:tcPr>
            <w:tcW w:w="2126" w:type="dxa"/>
          </w:tcPr>
          <w:p w:rsidR="00210BF6" w:rsidRPr="00210BF6" w:rsidRDefault="00210BF6" w:rsidP="00210BF6">
            <w:pPr>
              <w:jc w:val="center"/>
              <w:rPr>
                <w:rFonts w:ascii="Times New Roman" w:hAnsi="Times New Roman" w:cs="Times New Roman"/>
              </w:rPr>
            </w:pPr>
            <w:r w:rsidRPr="00210BF6">
              <w:rPr>
                <w:rFonts w:ascii="Times New Roman" w:hAnsi="Times New Roman" w:cs="Times New Roman"/>
              </w:rPr>
              <w:t>222 613,0</w:t>
            </w:r>
          </w:p>
        </w:tc>
      </w:tr>
      <w:tr w:rsidR="00210BF6" w:rsidRPr="00210BF6" w:rsidTr="009957FA">
        <w:tc>
          <w:tcPr>
            <w:tcW w:w="672" w:type="dxa"/>
          </w:tcPr>
          <w:p w:rsidR="00210BF6" w:rsidRPr="00210BF6" w:rsidRDefault="00210BF6" w:rsidP="00210BF6">
            <w:pPr>
              <w:jc w:val="center"/>
              <w:rPr>
                <w:rFonts w:ascii="Times New Roman" w:hAnsi="Times New Roman" w:cs="Times New Roman"/>
              </w:rPr>
            </w:pPr>
            <w:r w:rsidRPr="00210BF6">
              <w:rPr>
                <w:rFonts w:ascii="Times New Roman" w:hAnsi="Times New Roman" w:cs="Times New Roman"/>
              </w:rPr>
              <w:t>44</w:t>
            </w:r>
          </w:p>
        </w:tc>
        <w:tc>
          <w:tcPr>
            <w:tcW w:w="6836" w:type="dxa"/>
          </w:tcPr>
          <w:p w:rsidR="00210BF6" w:rsidRPr="00210BF6" w:rsidRDefault="00210BF6" w:rsidP="00210BF6">
            <w:pPr>
              <w:jc w:val="both"/>
              <w:rPr>
                <w:rFonts w:ascii="Times New Roman" w:hAnsi="Times New Roman" w:cs="Times New Roman"/>
                <w:b/>
              </w:rPr>
            </w:pPr>
            <w:r w:rsidRPr="00210BF6">
              <w:rPr>
                <w:rFonts w:ascii="Times New Roman" w:hAnsi="Times New Roman" w:cs="Times New Roman"/>
              </w:rPr>
              <w:t xml:space="preserve">Сумма по налогу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w:t>
            </w:r>
            <w:r w:rsidRPr="00210BF6">
              <w:rPr>
                <w:rFonts w:ascii="Times New Roman" w:hAnsi="Times New Roman" w:cs="Times New Roman"/>
                <w:b/>
              </w:rPr>
              <w:t>на 2024 год;</w:t>
            </w:r>
          </w:p>
          <w:p w:rsidR="00210BF6" w:rsidRPr="00210BF6" w:rsidRDefault="00210BF6" w:rsidP="00210BF6">
            <w:pPr>
              <w:jc w:val="both"/>
              <w:rPr>
                <w:rFonts w:ascii="Times New Roman" w:hAnsi="Times New Roman" w:cs="Times New Roman"/>
              </w:rPr>
            </w:pPr>
            <w:r w:rsidRPr="00210BF6">
              <w:rPr>
                <w:rFonts w:ascii="Times New Roman" w:hAnsi="Times New Roman" w:cs="Times New Roman"/>
              </w:rPr>
              <w:t xml:space="preserve">(стр. 38 – Общая сумма налоговых вычетов на 2024 год </w:t>
            </w:r>
            <w:r w:rsidRPr="00210BF6">
              <w:rPr>
                <w:rFonts w:ascii="Times New Roman" w:hAnsi="Times New Roman" w:cs="Times New Roman"/>
                <w:b/>
              </w:rPr>
              <w:t xml:space="preserve">23 063 304 </w:t>
            </w:r>
            <w:r w:rsidRPr="00210BF6">
              <w:rPr>
                <w:rFonts w:ascii="Times New Roman" w:hAnsi="Times New Roman" w:cs="Times New Roman"/>
              </w:rPr>
              <w:t>тыс. руб. * 13% + стр. 39 * 30% + стр. 40 * 9% + стр. 41 * 35% + стр.42 *15% + стр.43 * расчетную ставку по итогам 2020 года в разрезе муниципальных образований Тверской области (средняя ставка по области 9,8%))</w:t>
            </w:r>
          </w:p>
        </w:tc>
        <w:tc>
          <w:tcPr>
            <w:tcW w:w="2126" w:type="dxa"/>
          </w:tcPr>
          <w:p w:rsidR="00210BF6" w:rsidRPr="00210BF6" w:rsidRDefault="00210BF6" w:rsidP="00210BF6">
            <w:pPr>
              <w:jc w:val="center"/>
              <w:rPr>
                <w:rFonts w:ascii="Times New Roman" w:hAnsi="Times New Roman" w:cs="Times New Roman"/>
              </w:rPr>
            </w:pPr>
            <w:r w:rsidRPr="00210BF6">
              <w:rPr>
                <w:rFonts w:ascii="Times New Roman" w:hAnsi="Times New Roman" w:cs="Times New Roman"/>
              </w:rPr>
              <w:t>25 088 350,0</w:t>
            </w:r>
          </w:p>
        </w:tc>
      </w:tr>
      <w:tr w:rsidR="00210BF6" w:rsidRPr="00210BF6" w:rsidTr="009957FA">
        <w:tc>
          <w:tcPr>
            <w:tcW w:w="672" w:type="dxa"/>
          </w:tcPr>
          <w:p w:rsidR="00210BF6" w:rsidRPr="00210BF6" w:rsidRDefault="00210BF6" w:rsidP="00210BF6">
            <w:pPr>
              <w:jc w:val="center"/>
              <w:rPr>
                <w:rFonts w:ascii="Times New Roman" w:hAnsi="Times New Roman" w:cs="Times New Roman"/>
              </w:rPr>
            </w:pPr>
            <w:r w:rsidRPr="00210BF6">
              <w:rPr>
                <w:rFonts w:ascii="Times New Roman" w:hAnsi="Times New Roman" w:cs="Times New Roman"/>
              </w:rPr>
              <w:t>45</w:t>
            </w:r>
          </w:p>
        </w:tc>
        <w:tc>
          <w:tcPr>
            <w:tcW w:w="6836" w:type="dxa"/>
          </w:tcPr>
          <w:p w:rsidR="00210BF6" w:rsidRPr="00210BF6" w:rsidRDefault="00210BF6" w:rsidP="00210BF6">
            <w:pPr>
              <w:jc w:val="both"/>
              <w:rPr>
                <w:rFonts w:ascii="Times New Roman" w:hAnsi="Times New Roman" w:cs="Times New Roman"/>
              </w:rPr>
            </w:pPr>
            <w:r w:rsidRPr="00210BF6">
              <w:rPr>
                <w:rFonts w:ascii="Times New Roman" w:hAnsi="Times New Roman" w:cs="Times New Roman"/>
                <w:b/>
              </w:rPr>
              <w:t>Прогноз на 2024 год в консолидированный бюджет Тверской области</w:t>
            </w:r>
            <w:r w:rsidRPr="00210BF6">
              <w:rPr>
                <w:rFonts w:ascii="Times New Roman" w:hAnsi="Times New Roman" w:cs="Times New Roman"/>
              </w:rPr>
              <w:t xml:space="preserve"> по налогу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 учетом Коэффициента доли уплаченного налога в исчисленной сумме налога за 2020 год (по данным главного администратора доходов) по каждому бюджету городского и  муниципального округов, городского и сельского поселения и Корректирующей суммы поступлений F1 (68 165 тыс. руб.) (по данным главного администратора доходов) в разрезе бюджетов городских и муниципальных округов, городских и сельских поселений (стр.44 * стр.15 + F1 (68 165 тыс. руб.), в том числе:</w:t>
            </w:r>
          </w:p>
        </w:tc>
        <w:tc>
          <w:tcPr>
            <w:tcW w:w="2126" w:type="dxa"/>
          </w:tcPr>
          <w:p w:rsidR="00210BF6" w:rsidRPr="00210BF6" w:rsidRDefault="00210BF6" w:rsidP="00210BF6">
            <w:pPr>
              <w:jc w:val="center"/>
              <w:rPr>
                <w:rFonts w:ascii="Times New Roman" w:hAnsi="Times New Roman" w:cs="Times New Roman"/>
                <w:b/>
              </w:rPr>
            </w:pPr>
            <w:r w:rsidRPr="00210BF6">
              <w:rPr>
                <w:rFonts w:ascii="Times New Roman" w:hAnsi="Times New Roman" w:cs="Times New Roman"/>
                <w:b/>
              </w:rPr>
              <w:t>26 277 801,0</w:t>
            </w:r>
          </w:p>
        </w:tc>
      </w:tr>
      <w:tr w:rsidR="00210BF6" w:rsidRPr="00210BF6" w:rsidTr="009957FA">
        <w:tc>
          <w:tcPr>
            <w:tcW w:w="672" w:type="dxa"/>
          </w:tcPr>
          <w:p w:rsidR="00210BF6" w:rsidRPr="00210BF6" w:rsidRDefault="00210BF6" w:rsidP="00210BF6">
            <w:pPr>
              <w:jc w:val="center"/>
              <w:rPr>
                <w:rFonts w:ascii="Times New Roman" w:hAnsi="Times New Roman" w:cs="Times New Roman"/>
              </w:rPr>
            </w:pPr>
            <w:r w:rsidRPr="00210BF6">
              <w:rPr>
                <w:rFonts w:ascii="Times New Roman" w:hAnsi="Times New Roman" w:cs="Times New Roman"/>
              </w:rPr>
              <w:t>46</w:t>
            </w:r>
          </w:p>
        </w:tc>
        <w:tc>
          <w:tcPr>
            <w:tcW w:w="6836" w:type="dxa"/>
          </w:tcPr>
          <w:p w:rsidR="00210BF6" w:rsidRPr="00210BF6" w:rsidRDefault="00210BF6" w:rsidP="00210BF6">
            <w:pPr>
              <w:jc w:val="both"/>
              <w:rPr>
                <w:rFonts w:ascii="Times New Roman" w:hAnsi="Times New Roman" w:cs="Times New Roman"/>
                <w:b/>
              </w:rPr>
            </w:pPr>
            <w:r w:rsidRPr="00210BF6">
              <w:rPr>
                <w:rFonts w:ascii="Times New Roman" w:hAnsi="Times New Roman" w:cs="Times New Roman"/>
                <w:b/>
              </w:rPr>
              <w:t>областной бюджет Тверской области на 2024 год, как разница по нормативам отчислений в местный бюджет</w:t>
            </w:r>
          </w:p>
        </w:tc>
        <w:tc>
          <w:tcPr>
            <w:tcW w:w="2126" w:type="dxa"/>
          </w:tcPr>
          <w:p w:rsidR="00210BF6" w:rsidRPr="00210BF6" w:rsidRDefault="004D097E" w:rsidP="004D097E">
            <w:pPr>
              <w:jc w:val="center"/>
              <w:rPr>
                <w:rFonts w:ascii="Times New Roman" w:hAnsi="Times New Roman" w:cs="Times New Roman"/>
                <w:b/>
              </w:rPr>
            </w:pPr>
            <w:r>
              <w:rPr>
                <w:rFonts w:ascii="Times New Roman" w:hAnsi="Times New Roman" w:cs="Times New Roman"/>
                <w:b/>
              </w:rPr>
              <w:t>16 972 863</w:t>
            </w:r>
            <w:r w:rsidR="00210BF6" w:rsidRPr="00210BF6">
              <w:rPr>
                <w:rFonts w:ascii="Times New Roman" w:hAnsi="Times New Roman" w:cs="Times New Roman"/>
                <w:b/>
              </w:rPr>
              <w:t>,0</w:t>
            </w:r>
          </w:p>
        </w:tc>
      </w:tr>
    </w:tbl>
    <w:p w:rsidR="00210BF6" w:rsidRDefault="00210BF6" w:rsidP="00210BF6">
      <w:pPr>
        <w:jc w:val="center"/>
        <w:rPr>
          <w:rFonts w:eastAsia="Calibri"/>
          <w:b/>
          <w:color w:val="000000"/>
          <w:shd w:val="clear" w:color="auto" w:fill="FFFFFF"/>
          <w:lang w:eastAsia="en-US"/>
        </w:rPr>
      </w:pPr>
    </w:p>
    <w:p w:rsidR="00866E2D" w:rsidRDefault="00866E2D" w:rsidP="00210BF6">
      <w:pPr>
        <w:jc w:val="center"/>
        <w:rPr>
          <w:rFonts w:eastAsia="Calibri"/>
          <w:b/>
          <w:color w:val="000000"/>
          <w:shd w:val="clear" w:color="auto" w:fill="FFFFFF"/>
          <w:lang w:eastAsia="en-US"/>
        </w:rPr>
      </w:pPr>
    </w:p>
    <w:p w:rsidR="00685909" w:rsidRDefault="00685909" w:rsidP="00210BF6">
      <w:pPr>
        <w:jc w:val="center"/>
        <w:rPr>
          <w:rFonts w:eastAsia="Calibri"/>
          <w:b/>
          <w:color w:val="000000"/>
          <w:shd w:val="clear" w:color="auto" w:fill="FFFFFF"/>
          <w:lang w:eastAsia="en-US"/>
        </w:rPr>
      </w:pPr>
    </w:p>
    <w:p w:rsidR="00CF3E34" w:rsidRDefault="00CF3E34" w:rsidP="00210BF6">
      <w:pPr>
        <w:jc w:val="center"/>
        <w:rPr>
          <w:rFonts w:eastAsia="Calibri"/>
          <w:b/>
          <w:color w:val="000000"/>
          <w:shd w:val="clear" w:color="auto" w:fill="FFFFFF"/>
          <w:lang w:eastAsia="en-US"/>
        </w:rPr>
      </w:pPr>
    </w:p>
    <w:p w:rsidR="00CF3E34" w:rsidRDefault="00CF3E34" w:rsidP="00210BF6">
      <w:pPr>
        <w:jc w:val="center"/>
        <w:rPr>
          <w:rFonts w:eastAsia="Calibri"/>
          <w:b/>
          <w:color w:val="000000"/>
          <w:shd w:val="clear" w:color="auto" w:fill="FFFFFF"/>
          <w:lang w:eastAsia="en-US"/>
        </w:rPr>
      </w:pPr>
    </w:p>
    <w:p w:rsidR="00210BF6" w:rsidRPr="00866E2D" w:rsidRDefault="00D56183" w:rsidP="00210BF6">
      <w:pPr>
        <w:jc w:val="center"/>
        <w:rPr>
          <w:rFonts w:eastAsia="Calibri"/>
          <w:b/>
          <w:color w:val="000000"/>
          <w:sz w:val="28"/>
          <w:szCs w:val="28"/>
          <w:shd w:val="clear" w:color="auto" w:fill="FFFFFF"/>
          <w:lang w:eastAsia="en-US"/>
        </w:rPr>
      </w:pPr>
      <w:r>
        <w:rPr>
          <w:rFonts w:eastAsia="Calibri"/>
          <w:b/>
          <w:color w:val="000000"/>
          <w:sz w:val="28"/>
          <w:szCs w:val="28"/>
          <w:shd w:val="clear" w:color="auto" w:fill="FFFFFF"/>
          <w:lang w:eastAsia="en-US"/>
        </w:rPr>
        <w:t>Н</w:t>
      </w:r>
      <w:r w:rsidR="00210BF6" w:rsidRPr="00866E2D">
        <w:rPr>
          <w:rFonts w:eastAsia="Calibri"/>
          <w:b/>
          <w:color w:val="000000"/>
          <w:sz w:val="28"/>
          <w:szCs w:val="28"/>
          <w:shd w:val="clear" w:color="auto" w:fill="FFFFFF"/>
          <w:lang w:eastAsia="en-US"/>
        </w:rPr>
        <w:t xml:space="preserve">алог на доходы физических лиц с доходов, полученных </w:t>
      </w:r>
    </w:p>
    <w:p w:rsidR="00210BF6" w:rsidRPr="00866E2D" w:rsidRDefault="00210BF6" w:rsidP="00210BF6">
      <w:pPr>
        <w:jc w:val="center"/>
        <w:rPr>
          <w:rFonts w:eastAsia="Calibri"/>
          <w:b/>
          <w:color w:val="000000"/>
          <w:sz w:val="28"/>
          <w:szCs w:val="28"/>
          <w:shd w:val="clear" w:color="auto" w:fill="FFFFFF"/>
          <w:lang w:eastAsia="en-US"/>
        </w:rPr>
      </w:pPr>
      <w:r w:rsidRPr="00866E2D">
        <w:rPr>
          <w:rFonts w:eastAsia="Calibri"/>
          <w:b/>
          <w:color w:val="000000"/>
          <w:sz w:val="28"/>
          <w:szCs w:val="28"/>
          <w:shd w:val="clear" w:color="auto" w:fill="FFFFFF"/>
          <w:lang w:eastAsia="en-US"/>
        </w:rPr>
        <w:t>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p w:rsidR="00210BF6" w:rsidRPr="00866E2D" w:rsidRDefault="00210BF6" w:rsidP="00210BF6">
      <w:pPr>
        <w:jc w:val="center"/>
        <w:rPr>
          <w:rFonts w:eastAsia="Calibri"/>
          <w:color w:val="333333"/>
          <w:sz w:val="28"/>
          <w:szCs w:val="28"/>
          <w:shd w:val="clear" w:color="auto" w:fill="FFFFFF"/>
          <w:lang w:eastAsia="en-US"/>
        </w:rPr>
      </w:pPr>
      <w:r w:rsidRPr="00866E2D">
        <w:rPr>
          <w:rFonts w:eastAsia="Calibri"/>
          <w:color w:val="000000"/>
          <w:sz w:val="28"/>
          <w:szCs w:val="28"/>
          <w:shd w:val="clear" w:color="auto" w:fill="FFFFFF"/>
          <w:lang w:eastAsia="en-US"/>
        </w:rPr>
        <w:t xml:space="preserve"> (000 </w:t>
      </w:r>
      <w:r w:rsidRPr="00866E2D">
        <w:rPr>
          <w:rFonts w:eastAsia="Calibri"/>
          <w:color w:val="333333"/>
          <w:sz w:val="28"/>
          <w:szCs w:val="28"/>
          <w:shd w:val="clear" w:color="auto" w:fill="FFFFFF"/>
          <w:lang w:eastAsia="en-US"/>
        </w:rPr>
        <w:t xml:space="preserve">1 01 02020 01 0000 110), </w:t>
      </w:r>
    </w:p>
    <w:p w:rsidR="00D56183" w:rsidRDefault="00D56183" w:rsidP="00210BF6">
      <w:pPr>
        <w:jc w:val="center"/>
        <w:rPr>
          <w:rFonts w:eastAsia="Calibri"/>
          <w:b/>
          <w:color w:val="000000"/>
          <w:sz w:val="28"/>
          <w:szCs w:val="28"/>
          <w:shd w:val="clear" w:color="auto" w:fill="FFFFFF"/>
          <w:lang w:eastAsia="en-US"/>
        </w:rPr>
      </w:pPr>
      <w:r>
        <w:rPr>
          <w:rFonts w:eastAsia="Calibri"/>
          <w:b/>
          <w:color w:val="000000"/>
          <w:sz w:val="28"/>
          <w:szCs w:val="28"/>
          <w:shd w:val="clear" w:color="auto" w:fill="FFFFFF"/>
          <w:lang w:eastAsia="en-US"/>
        </w:rPr>
        <w:t>Н</w:t>
      </w:r>
      <w:r w:rsidR="00210BF6" w:rsidRPr="00866E2D">
        <w:rPr>
          <w:rFonts w:eastAsia="Calibri"/>
          <w:b/>
          <w:color w:val="000000"/>
          <w:sz w:val="28"/>
          <w:szCs w:val="28"/>
          <w:shd w:val="clear" w:color="auto" w:fill="FFFFFF"/>
          <w:lang w:eastAsia="en-US"/>
        </w:rPr>
        <w:t xml:space="preserve">алог на доходы физических лиц с доходов, полученных физическими лицами в соответствии со статьей 228 Налогового кодекса </w:t>
      </w:r>
    </w:p>
    <w:p w:rsidR="00D56183" w:rsidRDefault="00210BF6" w:rsidP="00210BF6">
      <w:pPr>
        <w:jc w:val="center"/>
        <w:rPr>
          <w:rFonts w:eastAsia="Calibri"/>
          <w:b/>
          <w:color w:val="000000"/>
          <w:sz w:val="28"/>
          <w:szCs w:val="28"/>
          <w:shd w:val="clear" w:color="auto" w:fill="FFFFFF"/>
          <w:lang w:eastAsia="en-US"/>
        </w:rPr>
      </w:pPr>
      <w:r w:rsidRPr="00866E2D">
        <w:rPr>
          <w:rFonts w:eastAsia="Calibri"/>
          <w:b/>
          <w:color w:val="000000"/>
          <w:sz w:val="28"/>
          <w:szCs w:val="28"/>
          <w:shd w:val="clear" w:color="auto" w:fill="FFFFFF"/>
          <w:lang w:eastAsia="en-US"/>
        </w:rPr>
        <w:t xml:space="preserve">Российской Федерации </w:t>
      </w:r>
    </w:p>
    <w:p w:rsidR="00210BF6" w:rsidRPr="00866E2D" w:rsidRDefault="00210BF6" w:rsidP="00210BF6">
      <w:pPr>
        <w:jc w:val="center"/>
        <w:rPr>
          <w:rFonts w:eastAsia="Calibri"/>
          <w:color w:val="333333"/>
          <w:sz w:val="28"/>
          <w:szCs w:val="28"/>
          <w:shd w:val="clear" w:color="auto" w:fill="FFFFFF"/>
          <w:lang w:eastAsia="en-US"/>
        </w:rPr>
      </w:pPr>
      <w:r w:rsidRPr="00866E2D">
        <w:rPr>
          <w:rFonts w:eastAsia="Calibri"/>
          <w:color w:val="000000"/>
          <w:sz w:val="28"/>
          <w:szCs w:val="28"/>
          <w:shd w:val="clear" w:color="auto" w:fill="FFFFFF"/>
          <w:lang w:eastAsia="en-US"/>
        </w:rPr>
        <w:t xml:space="preserve">(000 </w:t>
      </w:r>
      <w:r w:rsidRPr="00866E2D">
        <w:rPr>
          <w:rFonts w:eastAsia="Calibri"/>
          <w:color w:val="333333"/>
          <w:sz w:val="28"/>
          <w:szCs w:val="28"/>
          <w:shd w:val="clear" w:color="auto" w:fill="FFFFFF"/>
          <w:lang w:eastAsia="en-US"/>
        </w:rPr>
        <w:t>1 01 02030 01 0000 110)</w:t>
      </w:r>
    </w:p>
    <w:p w:rsidR="00210BF6" w:rsidRDefault="00210BF6" w:rsidP="00210BF6">
      <w:pPr>
        <w:jc w:val="center"/>
        <w:rPr>
          <w:rFonts w:eastAsia="Calibri"/>
          <w:color w:val="333333"/>
          <w:shd w:val="clear" w:color="auto" w:fill="FFFFFF"/>
          <w:lang w:eastAsia="en-US"/>
        </w:rPr>
      </w:pPr>
    </w:p>
    <w:p w:rsidR="00EC4469" w:rsidRPr="00866E2D" w:rsidRDefault="00EC4469" w:rsidP="00210BF6">
      <w:pPr>
        <w:jc w:val="center"/>
        <w:rPr>
          <w:rFonts w:eastAsia="Calibri"/>
          <w:color w:val="333333"/>
          <w:shd w:val="clear" w:color="auto" w:fill="FFFFFF"/>
          <w:lang w:eastAsia="en-US"/>
        </w:rPr>
      </w:pPr>
    </w:p>
    <w:p w:rsidR="00210BF6" w:rsidRPr="00210BF6" w:rsidRDefault="00210BF6" w:rsidP="00210BF6">
      <w:pPr>
        <w:jc w:val="right"/>
        <w:rPr>
          <w:rFonts w:eastAsia="Calibri"/>
          <w:color w:val="333333"/>
          <w:shd w:val="clear" w:color="auto" w:fill="FFFFFF"/>
          <w:lang w:eastAsia="en-US"/>
        </w:rPr>
      </w:pPr>
      <w:r w:rsidRPr="00210BF6">
        <w:rPr>
          <w:rFonts w:eastAsia="Calibri"/>
          <w:color w:val="333333"/>
          <w:shd w:val="clear" w:color="auto" w:fill="FFFFFF"/>
          <w:lang w:eastAsia="en-US"/>
        </w:rPr>
        <w:lastRenderedPageBreak/>
        <w:t>(тыс. руб.)</w:t>
      </w:r>
    </w:p>
    <w:tbl>
      <w:tblPr>
        <w:tblStyle w:val="710"/>
        <w:tblW w:w="10207" w:type="dxa"/>
        <w:tblInd w:w="-289" w:type="dxa"/>
        <w:tblLook w:val="04A0" w:firstRow="1" w:lastRow="0" w:firstColumn="1" w:lastColumn="0" w:noHBand="0" w:noVBand="1"/>
      </w:tblPr>
      <w:tblGrid>
        <w:gridCol w:w="630"/>
        <w:gridCol w:w="4616"/>
        <w:gridCol w:w="2835"/>
        <w:gridCol w:w="2126"/>
      </w:tblGrid>
      <w:tr w:rsidR="00210BF6" w:rsidRPr="00210BF6" w:rsidTr="00866E2D">
        <w:tc>
          <w:tcPr>
            <w:tcW w:w="630" w:type="dxa"/>
            <w:vMerge w:val="restart"/>
          </w:tcPr>
          <w:p w:rsidR="00210BF6" w:rsidRPr="00210BF6" w:rsidRDefault="00210BF6" w:rsidP="00210BF6">
            <w:pPr>
              <w:jc w:val="center"/>
              <w:rPr>
                <w:rFonts w:ascii="Times New Roman" w:hAnsi="Times New Roman" w:cs="Times New Roman"/>
              </w:rPr>
            </w:pPr>
            <w:r w:rsidRPr="00210BF6">
              <w:rPr>
                <w:rFonts w:ascii="Times New Roman" w:hAnsi="Times New Roman" w:cs="Times New Roman"/>
              </w:rPr>
              <w:t>№ п/п</w:t>
            </w:r>
          </w:p>
        </w:tc>
        <w:tc>
          <w:tcPr>
            <w:tcW w:w="4616" w:type="dxa"/>
            <w:vMerge w:val="restart"/>
          </w:tcPr>
          <w:p w:rsidR="00210BF6" w:rsidRPr="00210BF6" w:rsidRDefault="00210BF6" w:rsidP="00210BF6">
            <w:pPr>
              <w:jc w:val="center"/>
              <w:rPr>
                <w:rFonts w:ascii="Times New Roman" w:hAnsi="Times New Roman" w:cs="Times New Roman"/>
              </w:rPr>
            </w:pPr>
            <w:r w:rsidRPr="00210BF6">
              <w:rPr>
                <w:rFonts w:ascii="Times New Roman" w:hAnsi="Times New Roman" w:cs="Times New Roman"/>
              </w:rPr>
              <w:t>Наименование</w:t>
            </w:r>
          </w:p>
        </w:tc>
        <w:tc>
          <w:tcPr>
            <w:tcW w:w="4961" w:type="dxa"/>
            <w:gridSpan w:val="2"/>
          </w:tcPr>
          <w:p w:rsidR="00210BF6" w:rsidRPr="00210BF6" w:rsidRDefault="00210BF6" w:rsidP="00685909">
            <w:pPr>
              <w:jc w:val="center"/>
              <w:rPr>
                <w:rFonts w:ascii="Times New Roman" w:hAnsi="Times New Roman" w:cs="Times New Roman"/>
                <w:b/>
                <w:color w:val="000000"/>
                <w:shd w:val="clear" w:color="auto" w:fill="FFFFFF"/>
              </w:rPr>
            </w:pPr>
            <w:r w:rsidRPr="00685909">
              <w:rPr>
                <w:rFonts w:ascii="Times New Roman" w:hAnsi="Times New Roman" w:cs="Times New Roman"/>
                <w:color w:val="000000"/>
                <w:sz w:val="28"/>
                <w:shd w:val="clear" w:color="auto" w:fill="FFFFFF"/>
              </w:rPr>
              <w:t>Налог на доходы физических лиц</w:t>
            </w:r>
          </w:p>
        </w:tc>
      </w:tr>
      <w:tr w:rsidR="00210BF6" w:rsidRPr="00210BF6" w:rsidTr="00866E2D">
        <w:tc>
          <w:tcPr>
            <w:tcW w:w="630" w:type="dxa"/>
            <w:vMerge/>
          </w:tcPr>
          <w:p w:rsidR="00210BF6" w:rsidRPr="00210BF6" w:rsidRDefault="00210BF6" w:rsidP="00210BF6">
            <w:pPr>
              <w:jc w:val="center"/>
              <w:rPr>
                <w:rFonts w:ascii="Times New Roman" w:hAnsi="Times New Roman" w:cs="Times New Roman"/>
              </w:rPr>
            </w:pPr>
          </w:p>
        </w:tc>
        <w:tc>
          <w:tcPr>
            <w:tcW w:w="4616" w:type="dxa"/>
            <w:vMerge/>
          </w:tcPr>
          <w:p w:rsidR="00210BF6" w:rsidRPr="00210BF6" w:rsidRDefault="00210BF6" w:rsidP="00210BF6">
            <w:pPr>
              <w:jc w:val="center"/>
              <w:rPr>
                <w:rFonts w:ascii="Times New Roman" w:hAnsi="Times New Roman" w:cs="Times New Roman"/>
              </w:rPr>
            </w:pPr>
          </w:p>
        </w:tc>
        <w:tc>
          <w:tcPr>
            <w:tcW w:w="2835" w:type="dxa"/>
          </w:tcPr>
          <w:p w:rsidR="00210BF6" w:rsidRPr="00210BF6" w:rsidRDefault="00210BF6" w:rsidP="00210BF6">
            <w:pPr>
              <w:jc w:val="both"/>
              <w:rPr>
                <w:rFonts w:ascii="Times New Roman" w:hAnsi="Times New Roman" w:cs="Times New Roman"/>
                <w:color w:val="000000"/>
                <w:shd w:val="clear" w:color="auto" w:fill="FFFFFF"/>
              </w:rPr>
            </w:pPr>
            <w:r w:rsidRPr="00210BF6">
              <w:rPr>
                <w:rFonts w:ascii="Times New Roman" w:hAnsi="Times New Roman" w:cs="Times New Roman"/>
                <w:color w:val="000000"/>
                <w:shd w:val="clear" w:color="auto" w:fill="FFFFFF"/>
              </w:rPr>
              <w:t>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p w:rsidR="00210BF6" w:rsidRPr="00210BF6" w:rsidRDefault="00210BF6" w:rsidP="00210BF6">
            <w:pPr>
              <w:rPr>
                <w:rFonts w:ascii="Times New Roman" w:hAnsi="Times New Roman" w:cs="Times New Roman"/>
                <w:b/>
              </w:rPr>
            </w:pPr>
            <w:r w:rsidRPr="00210BF6">
              <w:rPr>
                <w:rFonts w:ascii="Times New Roman" w:hAnsi="Times New Roman" w:cs="Times New Roman"/>
                <w:color w:val="000000"/>
                <w:shd w:val="clear" w:color="auto" w:fill="FFFFFF"/>
              </w:rPr>
              <w:t xml:space="preserve"> (000 </w:t>
            </w:r>
            <w:r w:rsidRPr="00210BF6">
              <w:rPr>
                <w:rFonts w:ascii="Times New Roman" w:hAnsi="Times New Roman" w:cs="Times New Roman"/>
                <w:color w:val="333333"/>
                <w:shd w:val="clear" w:color="auto" w:fill="FFFFFF"/>
              </w:rPr>
              <w:t>1 01 02020 01 0000 110)</w:t>
            </w:r>
          </w:p>
        </w:tc>
        <w:tc>
          <w:tcPr>
            <w:tcW w:w="2126" w:type="dxa"/>
          </w:tcPr>
          <w:p w:rsidR="00210BF6" w:rsidRPr="00210BF6" w:rsidRDefault="00210BF6" w:rsidP="00210BF6">
            <w:pPr>
              <w:jc w:val="both"/>
              <w:rPr>
                <w:rFonts w:ascii="Times New Roman" w:hAnsi="Times New Roman" w:cs="Times New Roman"/>
                <w:color w:val="000000"/>
                <w:shd w:val="clear" w:color="auto" w:fill="FFFFFF"/>
              </w:rPr>
            </w:pPr>
            <w:r w:rsidRPr="00210BF6">
              <w:rPr>
                <w:rFonts w:ascii="Times New Roman" w:hAnsi="Times New Roman" w:cs="Times New Roman"/>
                <w:color w:val="000000"/>
                <w:shd w:val="clear" w:color="auto" w:fill="FFFFFF"/>
              </w:rPr>
              <w:t xml:space="preserve">с доходов, полученных физическими лицами в соответствии со статьей 228 Налогового кодекса Российской Федерации </w:t>
            </w:r>
          </w:p>
          <w:p w:rsidR="00210BF6" w:rsidRPr="00210BF6" w:rsidRDefault="00210BF6" w:rsidP="00210BF6">
            <w:pPr>
              <w:rPr>
                <w:rFonts w:ascii="Times New Roman" w:hAnsi="Times New Roman" w:cs="Times New Roman"/>
                <w:b/>
              </w:rPr>
            </w:pPr>
            <w:r w:rsidRPr="00210BF6">
              <w:rPr>
                <w:rFonts w:ascii="Times New Roman" w:hAnsi="Times New Roman" w:cs="Times New Roman"/>
                <w:color w:val="000000"/>
                <w:shd w:val="clear" w:color="auto" w:fill="FFFFFF"/>
              </w:rPr>
              <w:t xml:space="preserve">(000 </w:t>
            </w:r>
            <w:r w:rsidRPr="00210BF6">
              <w:rPr>
                <w:rFonts w:ascii="Times New Roman" w:hAnsi="Times New Roman" w:cs="Times New Roman"/>
                <w:color w:val="333333"/>
                <w:shd w:val="clear" w:color="auto" w:fill="FFFFFF"/>
              </w:rPr>
              <w:t>1 01 02030 01 0000 110)</w:t>
            </w:r>
          </w:p>
        </w:tc>
      </w:tr>
      <w:tr w:rsidR="00210BF6" w:rsidRPr="00210BF6" w:rsidTr="00866E2D">
        <w:tc>
          <w:tcPr>
            <w:tcW w:w="630" w:type="dxa"/>
          </w:tcPr>
          <w:p w:rsidR="00210BF6" w:rsidRPr="00210BF6" w:rsidRDefault="00210BF6" w:rsidP="00210BF6">
            <w:pPr>
              <w:jc w:val="center"/>
              <w:rPr>
                <w:rFonts w:ascii="Times New Roman" w:hAnsi="Times New Roman" w:cs="Times New Roman"/>
              </w:rPr>
            </w:pPr>
            <w:r w:rsidRPr="00210BF6">
              <w:rPr>
                <w:rFonts w:ascii="Times New Roman" w:hAnsi="Times New Roman" w:cs="Times New Roman"/>
              </w:rPr>
              <w:t>1</w:t>
            </w:r>
          </w:p>
        </w:tc>
        <w:tc>
          <w:tcPr>
            <w:tcW w:w="4616" w:type="dxa"/>
          </w:tcPr>
          <w:p w:rsidR="00210BF6" w:rsidRPr="00210BF6" w:rsidRDefault="00210BF6" w:rsidP="00210BF6">
            <w:pPr>
              <w:jc w:val="both"/>
              <w:rPr>
                <w:rFonts w:ascii="Times New Roman" w:hAnsi="Times New Roman" w:cs="Times New Roman"/>
              </w:rPr>
            </w:pPr>
            <w:r w:rsidRPr="00210BF6">
              <w:rPr>
                <w:rFonts w:ascii="Times New Roman" w:hAnsi="Times New Roman" w:cs="Times New Roman"/>
                <w:b/>
              </w:rPr>
              <w:t>Фонд заработной платы за 2020 год (</w:t>
            </w:r>
            <w:r w:rsidRPr="00210BF6">
              <w:rPr>
                <w:rFonts w:ascii="Times New Roman" w:hAnsi="Times New Roman" w:cs="Times New Roman"/>
              </w:rPr>
              <w:t>по данным Министерства экономического развития Тверской области) в разрезе каждого муниципального образования Терской области</w:t>
            </w:r>
          </w:p>
        </w:tc>
        <w:tc>
          <w:tcPr>
            <w:tcW w:w="2835" w:type="dxa"/>
          </w:tcPr>
          <w:p w:rsidR="00210BF6" w:rsidRPr="00210BF6" w:rsidRDefault="00210BF6" w:rsidP="00210BF6">
            <w:pPr>
              <w:jc w:val="center"/>
              <w:rPr>
                <w:rFonts w:ascii="Times New Roman" w:hAnsi="Times New Roman" w:cs="Times New Roman"/>
                <w:lang w:val="en-US"/>
              </w:rPr>
            </w:pPr>
            <w:r w:rsidRPr="00210BF6">
              <w:rPr>
                <w:rFonts w:ascii="Times New Roman" w:hAnsi="Times New Roman" w:cs="Times New Roman"/>
                <w:bCs/>
                <w:color w:val="000000"/>
              </w:rPr>
              <w:t>183 425 131,0</w:t>
            </w:r>
          </w:p>
        </w:tc>
        <w:tc>
          <w:tcPr>
            <w:tcW w:w="2126" w:type="dxa"/>
          </w:tcPr>
          <w:p w:rsidR="00210BF6" w:rsidRPr="00210BF6" w:rsidRDefault="00210BF6" w:rsidP="00210BF6">
            <w:pPr>
              <w:jc w:val="center"/>
              <w:rPr>
                <w:rFonts w:ascii="Times New Roman" w:hAnsi="Times New Roman" w:cs="Times New Roman"/>
              </w:rPr>
            </w:pPr>
            <w:r w:rsidRPr="00210BF6">
              <w:rPr>
                <w:rFonts w:ascii="Times New Roman" w:hAnsi="Times New Roman" w:cs="Times New Roman"/>
                <w:bCs/>
                <w:color w:val="000000"/>
              </w:rPr>
              <w:t>183 425 131,0</w:t>
            </w:r>
          </w:p>
        </w:tc>
      </w:tr>
      <w:tr w:rsidR="00210BF6" w:rsidRPr="00210BF6" w:rsidTr="00866E2D">
        <w:tc>
          <w:tcPr>
            <w:tcW w:w="630" w:type="dxa"/>
          </w:tcPr>
          <w:p w:rsidR="00210BF6" w:rsidRPr="00210BF6" w:rsidRDefault="00210BF6" w:rsidP="00210BF6">
            <w:pPr>
              <w:jc w:val="center"/>
              <w:rPr>
                <w:rFonts w:ascii="Times New Roman" w:hAnsi="Times New Roman" w:cs="Times New Roman"/>
              </w:rPr>
            </w:pPr>
            <w:r w:rsidRPr="00210BF6">
              <w:rPr>
                <w:rFonts w:ascii="Times New Roman" w:hAnsi="Times New Roman" w:cs="Times New Roman"/>
              </w:rPr>
              <w:t>2</w:t>
            </w:r>
          </w:p>
        </w:tc>
        <w:tc>
          <w:tcPr>
            <w:tcW w:w="4616" w:type="dxa"/>
          </w:tcPr>
          <w:p w:rsidR="00210BF6" w:rsidRPr="00210BF6" w:rsidRDefault="00210BF6" w:rsidP="00210BF6">
            <w:pPr>
              <w:jc w:val="both"/>
              <w:rPr>
                <w:rFonts w:ascii="Times New Roman" w:hAnsi="Times New Roman" w:cs="Times New Roman"/>
              </w:rPr>
            </w:pPr>
            <w:r w:rsidRPr="00210BF6">
              <w:rPr>
                <w:rFonts w:ascii="Times New Roman" w:hAnsi="Times New Roman" w:cs="Times New Roman"/>
              </w:rPr>
              <w:t>Поступление налога на доходы физических лиц за 2020 год  (в разрезе каждого муниципального образования)</w:t>
            </w:r>
          </w:p>
        </w:tc>
        <w:tc>
          <w:tcPr>
            <w:tcW w:w="2835" w:type="dxa"/>
          </w:tcPr>
          <w:p w:rsidR="00210BF6" w:rsidRPr="00210BF6" w:rsidRDefault="00210BF6" w:rsidP="00210BF6">
            <w:pPr>
              <w:jc w:val="center"/>
              <w:rPr>
                <w:rFonts w:ascii="Times New Roman" w:hAnsi="Times New Roman" w:cs="Times New Roman"/>
              </w:rPr>
            </w:pPr>
            <w:r w:rsidRPr="00210BF6">
              <w:rPr>
                <w:rFonts w:ascii="Times New Roman" w:hAnsi="Times New Roman" w:cs="Times New Roman"/>
              </w:rPr>
              <w:t>239 393,0</w:t>
            </w:r>
          </w:p>
        </w:tc>
        <w:tc>
          <w:tcPr>
            <w:tcW w:w="2126" w:type="dxa"/>
          </w:tcPr>
          <w:p w:rsidR="00210BF6" w:rsidRPr="00210BF6" w:rsidRDefault="00210BF6" w:rsidP="00210BF6">
            <w:pPr>
              <w:jc w:val="center"/>
              <w:rPr>
                <w:rFonts w:ascii="Times New Roman" w:hAnsi="Times New Roman" w:cs="Times New Roman"/>
              </w:rPr>
            </w:pPr>
            <w:r w:rsidRPr="00210BF6">
              <w:rPr>
                <w:rFonts w:ascii="Times New Roman" w:hAnsi="Times New Roman" w:cs="Times New Roman"/>
              </w:rPr>
              <w:t>302 336,0</w:t>
            </w:r>
          </w:p>
        </w:tc>
      </w:tr>
      <w:tr w:rsidR="00210BF6" w:rsidRPr="00210BF6" w:rsidTr="00866E2D">
        <w:tc>
          <w:tcPr>
            <w:tcW w:w="630" w:type="dxa"/>
          </w:tcPr>
          <w:p w:rsidR="00210BF6" w:rsidRPr="00210BF6" w:rsidRDefault="00210BF6" w:rsidP="00210BF6">
            <w:pPr>
              <w:jc w:val="center"/>
              <w:rPr>
                <w:rFonts w:ascii="Times New Roman" w:hAnsi="Times New Roman" w:cs="Times New Roman"/>
              </w:rPr>
            </w:pPr>
            <w:r w:rsidRPr="00210BF6">
              <w:rPr>
                <w:rFonts w:ascii="Times New Roman" w:hAnsi="Times New Roman" w:cs="Times New Roman"/>
              </w:rPr>
              <w:t>3</w:t>
            </w:r>
          </w:p>
        </w:tc>
        <w:tc>
          <w:tcPr>
            <w:tcW w:w="4616" w:type="dxa"/>
          </w:tcPr>
          <w:p w:rsidR="00210BF6" w:rsidRPr="00210BF6" w:rsidRDefault="00210BF6" w:rsidP="00210BF6">
            <w:pPr>
              <w:jc w:val="both"/>
              <w:rPr>
                <w:rFonts w:ascii="Times New Roman" w:hAnsi="Times New Roman" w:cs="Times New Roman"/>
              </w:rPr>
            </w:pPr>
            <w:r w:rsidRPr="00210BF6">
              <w:rPr>
                <w:rFonts w:ascii="Times New Roman" w:hAnsi="Times New Roman" w:cs="Times New Roman"/>
              </w:rPr>
              <w:t>Доля поступления налога на доходы физических лиц за 2020 год в фонде заработной платы за 2020 год (форма № 1-НМ</w:t>
            </w:r>
            <w:r w:rsidR="00EC4469">
              <w:rPr>
                <w:rFonts w:ascii="Times New Roman" w:hAnsi="Times New Roman" w:cs="Times New Roman"/>
              </w:rPr>
              <w:t xml:space="preserve"> </w:t>
            </w:r>
            <w:r w:rsidRPr="00210BF6">
              <w:rPr>
                <w:rFonts w:ascii="Times New Roman" w:hAnsi="Times New Roman" w:cs="Times New Roman"/>
              </w:rPr>
              <w:t>за 2020 год, показатели фонда заработной платы  Министерства экономического развития Тверской области) (стр. 2 /стр.1*100), в %</w:t>
            </w:r>
          </w:p>
        </w:tc>
        <w:tc>
          <w:tcPr>
            <w:tcW w:w="2835" w:type="dxa"/>
          </w:tcPr>
          <w:p w:rsidR="00210BF6" w:rsidRPr="00210BF6" w:rsidRDefault="00210BF6" w:rsidP="00210BF6">
            <w:pPr>
              <w:jc w:val="center"/>
              <w:rPr>
                <w:rFonts w:ascii="Times New Roman" w:hAnsi="Times New Roman" w:cs="Times New Roman"/>
              </w:rPr>
            </w:pPr>
            <w:r w:rsidRPr="00210BF6">
              <w:rPr>
                <w:rFonts w:ascii="Times New Roman" w:hAnsi="Times New Roman" w:cs="Times New Roman"/>
              </w:rPr>
              <w:t>по каждому муниципальному образованию</w:t>
            </w:r>
          </w:p>
          <w:p w:rsidR="00210BF6" w:rsidRPr="00210BF6" w:rsidRDefault="00210BF6" w:rsidP="00210BF6">
            <w:pPr>
              <w:jc w:val="center"/>
              <w:rPr>
                <w:rFonts w:ascii="Times New Roman" w:hAnsi="Times New Roman" w:cs="Times New Roman"/>
              </w:rPr>
            </w:pPr>
            <w:r w:rsidRPr="00210BF6">
              <w:rPr>
                <w:rFonts w:ascii="Times New Roman" w:hAnsi="Times New Roman" w:cs="Times New Roman"/>
              </w:rPr>
              <w:t>Тверской области</w:t>
            </w:r>
          </w:p>
        </w:tc>
        <w:tc>
          <w:tcPr>
            <w:tcW w:w="2126" w:type="dxa"/>
          </w:tcPr>
          <w:p w:rsidR="00210BF6" w:rsidRPr="00210BF6" w:rsidRDefault="00210BF6" w:rsidP="00210BF6">
            <w:pPr>
              <w:jc w:val="center"/>
              <w:rPr>
                <w:rFonts w:ascii="Times New Roman" w:hAnsi="Times New Roman" w:cs="Times New Roman"/>
              </w:rPr>
            </w:pPr>
            <w:r w:rsidRPr="00210BF6">
              <w:rPr>
                <w:rFonts w:ascii="Times New Roman" w:hAnsi="Times New Roman" w:cs="Times New Roman"/>
              </w:rPr>
              <w:t>по каждому муниципальному образованию</w:t>
            </w:r>
          </w:p>
          <w:p w:rsidR="00210BF6" w:rsidRPr="00210BF6" w:rsidRDefault="00210BF6" w:rsidP="00210BF6">
            <w:pPr>
              <w:jc w:val="center"/>
              <w:rPr>
                <w:rFonts w:ascii="Times New Roman" w:hAnsi="Times New Roman" w:cs="Times New Roman"/>
              </w:rPr>
            </w:pPr>
            <w:r w:rsidRPr="00210BF6">
              <w:rPr>
                <w:rFonts w:ascii="Times New Roman" w:hAnsi="Times New Roman" w:cs="Times New Roman"/>
              </w:rPr>
              <w:t>Тверской области</w:t>
            </w:r>
          </w:p>
        </w:tc>
      </w:tr>
      <w:tr w:rsidR="00210BF6" w:rsidRPr="00210BF6" w:rsidTr="00866E2D">
        <w:tc>
          <w:tcPr>
            <w:tcW w:w="630" w:type="dxa"/>
          </w:tcPr>
          <w:p w:rsidR="00210BF6" w:rsidRPr="00210BF6" w:rsidRDefault="00210BF6" w:rsidP="00210BF6">
            <w:pPr>
              <w:jc w:val="center"/>
              <w:rPr>
                <w:rFonts w:ascii="Times New Roman" w:hAnsi="Times New Roman" w:cs="Times New Roman"/>
              </w:rPr>
            </w:pPr>
            <w:r w:rsidRPr="00210BF6">
              <w:rPr>
                <w:rFonts w:ascii="Times New Roman" w:hAnsi="Times New Roman" w:cs="Times New Roman"/>
              </w:rPr>
              <w:t>4</w:t>
            </w:r>
          </w:p>
        </w:tc>
        <w:tc>
          <w:tcPr>
            <w:tcW w:w="4616" w:type="dxa"/>
          </w:tcPr>
          <w:p w:rsidR="00210BF6" w:rsidRPr="00210BF6" w:rsidRDefault="00210BF6" w:rsidP="00210BF6">
            <w:pPr>
              <w:jc w:val="both"/>
              <w:rPr>
                <w:rFonts w:ascii="Times New Roman" w:hAnsi="Times New Roman" w:cs="Times New Roman"/>
              </w:rPr>
            </w:pPr>
            <w:r w:rsidRPr="00210BF6">
              <w:rPr>
                <w:rFonts w:ascii="Times New Roman" w:hAnsi="Times New Roman" w:cs="Times New Roman"/>
              </w:rPr>
              <w:t>Фонд заработной платы на 2021 год (по данным Министерства экономического развития Тверской области) в разрезе каждого муниципального образования Тверской области</w:t>
            </w:r>
          </w:p>
        </w:tc>
        <w:tc>
          <w:tcPr>
            <w:tcW w:w="2835" w:type="dxa"/>
          </w:tcPr>
          <w:p w:rsidR="00210BF6" w:rsidRPr="00210BF6" w:rsidRDefault="00210BF6" w:rsidP="00210BF6">
            <w:pPr>
              <w:jc w:val="center"/>
              <w:rPr>
                <w:rFonts w:ascii="Times New Roman" w:hAnsi="Times New Roman" w:cs="Times New Roman"/>
              </w:rPr>
            </w:pPr>
            <w:r w:rsidRPr="00210BF6">
              <w:rPr>
                <w:rFonts w:ascii="Times New Roman" w:hAnsi="Times New Roman" w:cs="Times New Roman"/>
              </w:rPr>
              <w:t>191 669 215,0</w:t>
            </w:r>
          </w:p>
        </w:tc>
        <w:tc>
          <w:tcPr>
            <w:tcW w:w="2126" w:type="dxa"/>
          </w:tcPr>
          <w:p w:rsidR="00210BF6" w:rsidRPr="00210BF6" w:rsidRDefault="00210BF6" w:rsidP="00210BF6">
            <w:pPr>
              <w:jc w:val="center"/>
              <w:rPr>
                <w:rFonts w:ascii="Times New Roman" w:hAnsi="Times New Roman" w:cs="Times New Roman"/>
              </w:rPr>
            </w:pPr>
            <w:r w:rsidRPr="00210BF6">
              <w:rPr>
                <w:rFonts w:ascii="Times New Roman" w:hAnsi="Times New Roman" w:cs="Times New Roman"/>
              </w:rPr>
              <w:t>191 669 215,0</w:t>
            </w:r>
          </w:p>
        </w:tc>
      </w:tr>
      <w:tr w:rsidR="00210BF6" w:rsidRPr="00210BF6" w:rsidTr="00866E2D">
        <w:tc>
          <w:tcPr>
            <w:tcW w:w="630" w:type="dxa"/>
          </w:tcPr>
          <w:p w:rsidR="00210BF6" w:rsidRPr="00210BF6" w:rsidRDefault="00210BF6" w:rsidP="00210BF6">
            <w:pPr>
              <w:jc w:val="center"/>
              <w:rPr>
                <w:rFonts w:ascii="Times New Roman" w:hAnsi="Times New Roman" w:cs="Times New Roman"/>
              </w:rPr>
            </w:pPr>
            <w:r w:rsidRPr="00210BF6">
              <w:rPr>
                <w:rFonts w:ascii="Times New Roman" w:hAnsi="Times New Roman" w:cs="Times New Roman"/>
              </w:rPr>
              <w:t>5</w:t>
            </w:r>
          </w:p>
        </w:tc>
        <w:tc>
          <w:tcPr>
            <w:tcW w:w="4616" w:type="dxa"/>
          </w:tcPr>
          <w:p w:rsidR="00210BF6" w:rsidRPr="00210BF6" w:rsidRDefault="00210BF6" w:rsidP="00210BF6">
            <w:pPr>
              <w:jc w:val="both"/>
              <w:rPr>
                <w:rFonts w:ascii="Times New Roman" w:hAnsi="Times New Roman" w:cs="Times New Roman"/>
              </w:rPr>
            </w:pPr>
            <w:r w:rsidRPr="00210BF6">
              <w:rPr>
                <w:rFonts w:ascii="Times New Roman" w:hAnsi="Times New Roman" w:cs="Times New Roman"/>
              </w:rPr>
              <w:t>Корректирующая сумма поступлений, учитывающая изменения законодательства о налогах и сборах, а также другие факторы (</w:t>
            </w:r>
            <w:r w:rsidRPr="00210BF6">
              <w:rPr>
                <w:rFonts w:ascii="Times New Roman" w:hAnsi="Times New Roman" w:cs="Times New Roman"/>
                <w:lang w:val="en-US"/>
              </w:rPr>
              <w:t>F</w:t>
            </w:r>
            <w:r w:rsidRPr="00210BF6">
              <w:rPr>
                <w:rFonts w:ascii="Times New Roman" w:hAnsi="Times New Roman" w:cs="Times New Roman"/>
              </w:rPr>
              <w:t>1 учитывает разовый характер поступления налога)</w:t>
            </w:r>
          </w:p>
        </w:tc>
        <w:tc>
          <w:tcPr>
            <w:tcW w:w="2835" w:type="dxa"/>
          </w:tcPr>
          <w:p w:rsidR="00210BF6" w:rsidRPr="00210BF6" w:rsidRDefault="00210BF6" w:rsidP="00210BF6">
            <w:pPr>
              <w:jc w:val="center"/>
              <w:rPr>
                <w:rFonts w:ascii="Times New Roman" w:hAnsi="Times New Roman" w:cs="Times New Roman"/>
              </w:rPr>
            </w:pPr>
            <w:r w:rsidRPr="00210BF6">
              <w:rPr>
                <w:rFonts w:ascii="Times New Roman" w:hAnsi="Times New Roman" w:cs="Times New Roman"/>
              </w:rPr>
              <w:t>69 030,0</w:t>
            </w:r>
          </w:p>
        </w:tc>
        <w:tc>
          <w:tcPr>
            <w:tcW w:w="2126" w:type="dxa"/>
          </w:tcPr>
          <w:p w:rsidR="00210BF6" w:rsidRPr="00210BF6" w:rsidRDefault="00210BF6" w:rsidP="00210BF6">
            <w:pPr>
              <w:jc w:val="center"/>
              <w:rPr>
                <w:rFonts w:ascii="Times New Roman" w:hAnsi="Times New Roman" w:cs="Times New Roman"/>
              </w:rPr>
            </w:pPr>
            <w:r w:rsidRPr="00210BF6">
              <w:rPr>
                <w:rFonts w:ascii="Times New Roman" w:hAnsi="Times New Roman" w:cs="Times New Roman"/>
              </w:rPr>
              <w:t>-100 278,0</w:t>
            </w:r>
          </w:p>
        </w:tc>
      </w:tr>
      <w:tr w:rsidR="00210BF6" w:rsidRPr="00210BF6" w:rsidTr="00866E2D">
        <w:tc>
          <w:tcPr>
            <w:tcW w:w="630" w:type="dxa"/>
          </w:tcPr>
          <w:p w:rsidR="00210BF6" w:rsidRPr="00210BF6" w:rsidRDefault="00210BF6" w:rsidP="00210BF6">
            <w:pPr>
              <w:jc w:val="center"/>
              <w:rPr>
                <w:rFonts w:ascii="Times New Roman" w:hAnsi="Times New Roman" w:cs="Times New Roman"/>
              </w:rPr>
            </w:pPr>
            <w:r w:rsidRPr="00210BF6">
              <w:rPr>
                <w:rFonts w:ascii="Times New Roman" w:hAnsi="Times New Roman" w:cs="Times New Roman"/>
              </w:rPr>
              <w:t>6</w:t>
            </w:r>
          </w:p>
        </w:tc>
        <w:tc>
          <w:tcPr>
            <w:tcW w:w="4616" w:type="dxa"/>
          </w:tcPr>
          <w:p w:rsidR="00210BF6" w:rsidRPr="00210BF6" w:rsidRDefault="00210BF6" w:rsidP="00210BF6">
            <w:pPr>
              <w:jc w:val="both"/>
              <w:rPr>
                <w:rFonts w:ascii="Times New Roman" w:hAnsi="Times New Roman" w:cs="Times New Roman"/>
              </w:rPr>
            </w:pPr>
            <w:r w:rsidRPr="00210BF6">
              <w:rPr>
                <w:rFonts w:ascii="Times New Roman" w:hAnsi="Times New Roman" w:cs="Times New Roman"/>
              </w:rPr>
              <w:t xml:space="preserve">Корректирующая сумма поступлений, учитывающая изменения законодательства о налогах и сборах, а также другие факторы (F2 учитывает фактические </w:t>
            </w:r>
            <w:r w:rsidRPr="00210BF6">
              <w:rPr>
                <w:rFonts w:ascii="Times New Roman" w:hAnsi="Times New Roman" w:cs="Times New Roman"/>
              </w:rPr>
              <w:lastRenderedPageBreak/>
              <w:t>поступления в текущем периоде 2021 года по отдельным муниципальным образованиям)</w:t>
            </w:r>
          </w:p>
        </w:tc>
        <w:tc>
          <w:tcPr>
            <w:tcW w:w="2835" w:type="dxa"/>
          </w:tcPr>
          <w:p w:rsidR="00210BF6" w:rsidRPr="00210BF6" w:rsidRDefault="00210BF6" w:rsidP="00210BF6">
            <w:pPr>
              <w:jc w:val="center"/>
              <w:rPr>
                <w:rFonts w:ascii="Times New Roman" w:hAnsi="Times New Roman" w:cs="Times New Roman"/>
              </w:rPr>
            </w:pPr>
            <w:r w:rsidRPr="00210BF6">
              <w:rPr>
                <w:rFonts w:ascii="Times New Roman" w:hAnsi="Times New Roman" w:cs="Times New Roman"/>
              </w:rPr>
              <w:lastRenderedPageBreak/>
              <w:t>8 002,0</w:t>
            </w:r>
          </w:p>
        </w:tc>
        <w:tc>
          <w:tcPr>
            <w:tcW w:w="2126" w:type="dxa"/>
          </w:tcPr>
          <w:p w:rsidR="00210BF6" w:rsidRPr="00210BF6" w:rsidRDefault="00210BF6" w:rsidP="00210BF6">
            <w:pPr>
              <w:jc w:val="center"/>
              <w:rPr>
                <w:rFonts w:ascii="Times New Roman" w:hAnsi="Times New Roman" w:cs="Times New Roman"/>
              </w:rPr>
            </w:pPr>
            <w:r w:rsidRPr="00210BF6">
              <w:rPr>
                <w:rFonts w:ascii="Times New Roman" w:hAnsi="Times New Roman" w:cs="Times New Roman"/>
              </w:rPr>
              <w:t>38 543,0</w:t>
            </w:r>
          </w:p>
        </w:tc>
      </w:tr>
      <w:tr w:rsidR="00210BF6" w:rsidRPr="00210BF6" w:rsidTr="00866E2D">
        <w:tc>
          <w:tcPr>
            <w:tcW w:w="630" w:type="dxa"/>
          </w:tcPr>
          <w:p w:rsidR="00210BF6" w:rsidRPr="00210BF6" w:rsidRDefault="00210BF6" w:rsidP="00210BF6">
            <w:pPr>
              <w:jc w:val="center"/>
              <w:rPr>
                <w:rFonts w:ascii="Times New Roman" w:hAnsi="Times New Roman" w:cs="Times New Roman"/>
                <w:lang w:val="en-US"/>
              </w:rPr>
            </w:pPr>
            <w:r w:rsidRPr="00210BF6">
              <w:rPr>
                <w:rFonts w:ascii="Times New Roman" w:hAnsi="Times New Roman" w:cs="Times New Roman"/>
              </w:rPr>
              <w:t>7</w:t>
            </w:r>
          </w:p>
        </w:tc>
        <w:tc>
          <w:tcPr>
            <w:tcW w:w="4616" w:type="dxa"/>
          </w:tcPr>
          <w:p w:rsidR="00210BF6" w:rsidRPr="00210BF6" w:rsidRDefault="00210BF6" w:rsidP="00210BF6">
            <w:pPr>
              <w:jc w:val="both"/>
              <w:rPr>
                <w:rFonts w:ascii="Times New Roman" w:hAnsi="Times New Roman" w:cs="Times New Roman"/>
                <w:b/>
              </w:rPr>
            </w:pPr>
            <w:r w:rsidRPr="00210BF6">
              <w:rPr>
                <w:rFonts w:ascii="Times New Roman" w:hAnsi="Times New Roman" w:cs="Times New Roman"/>
                <w:b/>
              </w:rPr>
              <w:t>Оценка налога на доходы физических лиц</w:t>
            </w:r>
            <w:r w:rsidRPr="00210BF6">
              <w:rPr>
                <w:rFonts w:ascii="Times New Roman" w:hAnsi="Times New Roman" w:cs="Times New Roman"/>
              </w:rPr>
              <w:t xml:space="preserve"> </w:t>
            </w:r>
            <w:r w:rsidRPr="00210BF6">
              <w:rPr>
                <w:rFonts w:ascii="Times New Roman" w:hAnsi="Times New Roman" w:cs="Times New Roman"/>
                <w:b/>
              </w:rPr>
              <w:t xml:space="preserve">на 2021 год в консолидированный бюджет Тверской области </w:t>
            </w:r>
            <w:r w:rsidRPr="00210BF6">
              <w:rPr>
                <w:rFonts w:ascii="Times New Roman" w:hAnsi="Times New Roman" w:cs="Times New Roman"/>
              </w:rPr>
              <w:t>(в разрезе каждого муниципального образования Тверской области)</w:t>
            </w:r>
          </w:p>
          <w:p w:rsidR="00210BF6" w:rsidRPr="00210BF6" w:rsidRDefault="00210BF6" w:rsidP="00210BF6">
            <w:pPr>
              <w:jc w:val="both"/>
              <w:rPr>
                <w:rFonts w:ascii="Times New Roman" w:hAnsi="Times New Roman" w:cs="Times New Roman"/>
              </w:rPr>
            </w:pPr>
            <w:r w:rsidRPr="00210BF6">
              <w:rPr>
                <w:rFonts w:ascii="Times New Roman" w:hAnsi="Times New Roman" w:cs="Times New Roman"/>
              </w:rPr>
              <w:t xml:space="preserve">(стр.3 *стр.4 /100+стр.5+стр.6) </w:t>
            </w:r>
          </w:p>
        </w:tc>
        <w:tc>
          <w:tcPr>
            <w:tcW w:w="2835" w:type="dxa"/>
          </w:tcPr>
          <w:p w:rsidR="00210BF6" w:rsidRPr="00210BF6" w:rsidRDefault="00210BF6" w:rsidP="00210BF6">
            <w:pPr>
              <w:jc w:val="center"/>
              <w:rPr>
                <w:rFonts w:ascii="Times New Roman" w:hAnsi="Times New Roman" w:cs="Times New Roman"/>
                <w:b/>
              </w:rPr>
            </w:pPr>
            <w:r w:rsidRPr="00210BF6">
              <w:rPr>
                <w:rFonts w:ascii="Times New Roman" w:hAnsi="Times New Roman" w:cs="Times New Roman"/>
                <w:b/>
              </w:rPr>
              <w:t>327 458,0</w:t>
            </w:r>
          </w:p>
        </w:tc>
        <w:tc>
          <w:tcPr>
            <w:tcW w:w="2126" w:type="dxa"/>
          </w:tcPr>
          <w:p w:rsidR="00210BF6" w:rsidRPr="00210BF6" w:rsidRDefault="00210BF6" w:rsidP="00210BF6">
            <w:pPr>
              <w:jc w:val="center"/>
              <w:rPr>
                <w:rFonts w:ascii="Times New Roman" w:hAnsi="Times New Roman" w:cs="Times New Roman"/>
                <w:b/>
              </w:rPr>
            </w:pPr>
            <w:r w:rsidRPr="00210BF6">
              <w:rPr>
                <w:rFonts w:ascii="Times New Roman" w:hAnsi="Times New Roman" w:cs="Times New Roman"/>
                <w:b/>
                <w:bCs/>
                <w:color w:val="000000"/>
              </w:rPr>
              <w:t>248 165,0</w:t>
            </w:r>
          </w:p>
        </w:tc>
      </w:tr>
      <w:tr w:rsidR="00210BF6" w:rsidRPr="00210BF6" w:rsidTr="00866E2D">
        <w:tc>
          <w:tcPr>
            <w:tcW w:w="630" w:type="dxa"/>
          </w:tcPr>
          <w:p w:rsidR="00210BF6" w:rsidRPr="00210BF6" w:rsidRDefault="00210BF6" w:rsidP="00210BF6">
            <w:pPr>
              <w:jc w:val="center"/>
              <w:rPr>
                <w:rFonts w:ascii="Times New Roman" w:hAnsi="Times New Roman" w:cs="Times New Roman"/>
              </w:rPr>
            </w:pPr>
            <w:r w:rsidRPr="00210BF6">
              <w:rPr>
                <w:rFonts w:ascii="Times New Roman" w:hAnsi="Times New Roman" w:cs="Times New Roman"/>
              </w:rPr>
              <w:t>8</w:t>
            </w:r>
          </w:p>
        </w:tc>
        <w:tc>
          <w:tcPr>
            <w:tcW w:w="4616" w:type="dxa"/>
          </w:tcPr>
          <w:p w:rsidR="00210BF6" w:rsidRPr="00210BF6" w:rsidRDefault="00210BF6" w:rsidP="00210BF6">
            <w:pPr>
              <w:jc w:val="both"/>
              <w:rPr>
                <w:rFonts w:ascii="Times New Roman" w:hAnsi="Times New Roman" w:cs="Times New Roman"/>
              </w:rPr>
            </w:pPr>
            <w:r w:rsidRPr="00210BF6">
              <w:rPr>
                <w:rFonts w:ascii="Times New Roman" w:hAnsi="Times New Roman" w:cs="Times New Roman"/>
                <w:b/>
              </w:rPr>
              <w:t>Фонд заработной платы на 2022 год</w:t>
            </w:r>
            <w:r w:rsidRPr="00210BF6">
              <w:rPr>
                <w:rFonts w:ascii="Times New Roman" w:hAnsi="Times New Roman" w:cs="Times New Roman"/>
              </w:rPr>
              <w:t xml:space="preserve"> (по данным Министерства экономического развития Тверской области) в разрезе каждого муниципального образования Тверской области</w:t>
            </w:r>
          </w:p>
        </w:tc>
        <w:tc>
          <w:tcPr>
            <w:tcW w:w="2835" w:type="dxa"/>
          </w:tcPr>
          <w:p w:rsidR="00210BF6" w:rsidRPr="00210BF6" w:rsidRDefault="00210BF6" w:rsidP="00210BF6">
            <w:pPr>
              <w:jc w:val="center"/>
              <w:rPr>
                <w:rFonts w:ascii="Times New Roman" w:hAnsi="Times New Roman" w:cs="Times New Roman"/>
              </w:rPr>
            </w:pPr>
            <w:r w:rsidRPr="00210BF6">
              <w:rPr>
                <w:rFonts w:ascii="Times New Roman" w:hAnsi="Times New Roman" w:cs="Times New Roman"/>
              </w:rPr>
              <w:t>200 931 886,0</w:t>
            </w:r>
          </w:p>
        </w:tc>
        <w:tc>
          <w:tcPr>
            <w:tcW w:w="2126" w:type="dxa"/>
          </w:tcPr>
          <w:p w:rsidR="00210BF6" w:rsidRPr="00210BF6" w:rsidRDefault="00210BF6" w:rsidP="00210BF6">
            <w:pPr>
              <w:jc w:val="center"/>
              <w:rPr>
                <w:rFonts w:ascii="Times New Roman" w:hAnsi="Times New Roman" w:cs="Times New Roman"/>
              </w:rPr>
            </w:pPr>
            <w:r w:rsidRPr="00210BF6">
              <w:rPr>
                <w:rFonts w:ascii="Times New Roman" w:hAnsi="Times New Roman" w:cs="Times New Roman"/>
              </w:rPr>
              <w:t>200 931 886,0</w:t>
            </w:r>
          </w:p>
        </w:tc>
      </w:tr>
      <w:tr w:rsidR="00210BF6" w:rsidRPr="00210BF6" w:rsidTr="00866E2D">
        <w:tc>
          <w:tcPr>
            <w:tcW w:w="630" w:type="dxa"/>
          </w:tcPr>
          <w:p w:rsidR="00210BF6" w:rsidRPr="00210BF6" w:rsidRDefault="00210BF6" w:rsidP="00210BF6">
            <w:pPr>
              <w:jc w:val="center"/>
              <w:rPr>
                <w:rFonts w:ascii="Times New Roman" w:hAnsi="Times New Roman" w:cs="Times New Roman"/>
              </w:rPr>
            </w:pPr>
            <w:r w:rsidRPr="00210BF6">
              <w:rPr>
                <w:rFonts w:ascii="Times New Roman" w:hAnsi="Times New Roman" w:cs="Times New Roman"/>
              </w:rPr>
              <w:t>9</w:t>
            </w:r>
          </w:p>
        </w:tc>
        <w:tc>
          <w:tcPr>
            <w:tcW w:w="4616" w:type="dxa"/>
          </w:tcPr>
          <w:p w:rsidR="00210BF6" w:rsidRPr="00210BF6" w:rsidRDefault="00210BF6" w:rsidP="00210BF6">
            <w:pPr>
              <w:jc w:val="both"/>
              <w:rPr>
                <w:rFonts w:ascii="Times New Roman" w:hAnsi="Times New Roman" w:cs="Times New Roman"/>
              </w:rPr>
            </w:pPr>
            <w:r w:rsidRPr="00210BF6">
              <w:rPr>
                <w:rFonts w:ascii="Times New Roman" w:hAnsi="Times New Roman" w:cs="Times New Roman"/>
              </w:rPr>
              <w:t>Корректирующая сумма поступлений, учитывающая изменения законодательства о налогах и сборах, а также другие факторы (F1 учитывает разовый характер поступления налога</w:t>
            </w:r>
          </w:p>
        </w:tc>
        <w:tc>
          <w:tcPr>
            <w:tcW w:w="2835" w:type="dxa"/>
          </w:tcPr>
          <w:p w:rsidR="00210BF6" w:rsidRPr="00210BF6" w:rsidRDefault="00210BF6" w:rsidP="00210BF6">
            <w:pPr>
              <w:jc w:val="center"/>
              <w:rPr>
                <w:rFonts w:ascii="Times New Roman" w:hAnsi="Times New Roman" w:cs="Times New Roman"/>
              </w:rPr>
            </w:pPr>
            <w:r w:rsidRPr="00210BF6">
              <w:rPr>
                <w:rFonts w:ascii="Times New Roman" w:hAnsi="Times New Roman" w:cs="Times New Roman"/>
              </w:rPr>
              <w:t>-149 497,0</w:t>
            </w:r>
          </w:p>
        </w:tc>
        <w:tc>
          <w:tcPr>
            <w:tcW w:w="2126" w:type="dxa"/>
          </w:tcPr>
          <w:p w:rsidR="00210BF6" w:rsidRPr="00210BF6" w:rsidRDefault="00210BF6" w:rsidP="00210BF6">
            <w:pPr>
              <w:jc w:val="center"/>
              <w:rPr>
                <w:rFonts w:ascii="Times New Roman" w:hAnsi="Times New Roman" w:cs="Times New Roman"/>
              </w:rPr>
            </w:pPr>
            <w:r w:rsidRPr="00210BF6">
              <w:rPr>
                <w:rFonts w:ascii="Times New Roman" w:hAnsi="Times New Roman" w:cs="Times New Roman"/>
              </w:rPr>
              <w:t>-4 028,0</w:t>
            </w:r>
          </w:p>
        </w:tc>
      </w:tr>
      <w:tr w:rsidR="00210BF6" w:rsidRPr="00210BF6" w:rsidTr="001119DA">
        <w:trPr>
          <w:trHeight w:val="1226"/>
        </w:trPr>
        <w:tc>
          <w:tcPr>
            <w:tcW w:w="630" w:type="dxa"/>
          </w:tcPr>
          <w:p w:rsidR="00210BF6" w:rsidRPr="00210BF6" w:rsidRDefault="00210BF6" w:rsidP="00210BF6">
            <w:pPr>
              <w:jc w:val="center"/>
              <w:rPr>
                <w:rFonts w:ascii="Times New Roman" w:hAnsi="Times New Roman" w:cs="Times New Roman"/>
              </w:rPr>
            </w:pPr>
            <w:r w:rsidRPr="00210BF6">
              <w:rPr>
                <w:rFonts w:ascii="Times New Roman" w:hAnsi="Times New Roman" w:cs="Times New Roman"/>
              </w:rPr>
              <w:t>10</w:t>
            </w:r>
          </w:p>
        </w:tc>
        <w:tc>
          <w:tcPr>
            <w:tcW w:w="4616" w:type="dxa"/>
          </w:tcPr>
          <w:p w:rsidR="00210BF6" w:rsidRPr="00210BF6" w:rsidRDefault="00210BF6" w:rsidP="00210BF6">
            <w:pPr>
              <w:jc w:val="both"/>
              <w:rPr>
                <w:rFonts w:ascii="Times New Roman" w:hAnsi="Times New Roman" w:cs="Times New Roman"/>
              </w:rPr>
            </w:pPr>
            <w:r w:rsidRPr="00210BF6">
              <w:rPr>
                <w:rFonts w:ascii="Times New Roman" w:hAnsi="Times New Roman" w:cs="Times New Roman"/>
              </w:rPr>
              <w:t>Корректирующая сумма поступлений, учитывающая изменения законодательства о налогах и сборах, а также другие факторы (F2)</w:t>
            </w:r>
          </w:p>
        </w:tc>
        <w:tc>
          <w:tcPr>
            <w:tcW w:w="2835" w:type="dxa"/>
          </w:tcPr>
          <w:p w:rsidR="00210BF6" w:rsidRPr="00210BF6" w:rsidRDefault="00210BF6" w:rsidP="00210BF6">
            <w:pPr>
              <w:jc w:val="center"/>
              <w:rPr>
                <w:rFonts w:ascii="Times New Roman" w:hAnsi="Times New Roman" w:cs="Times New Roman"/>
              </w:rPr>
            </w:pPr>
            <w:r w:rsidRPr="00210BF6">
              <w:rPr>
                <w:rFonts w:ascii="Times New Roman" w:hAnsi="Times New Roman" w:cs="Times New Roman"/>
              </w:rPr>
              <w:t>0</w:t>
            </w:r>
          </w:p>
        </w:tc>
        <w:tc>
          <w:tcPr>
            <w:tcW w:w="2126" w:type="dxa"/>
          </w:tcPr>
          <w:p w:rsidR="00210BF6" w:rsidRPr="00210BF6" w:rsidRDefault="00210BF6" w:rsidP="00210BF6">
            <w:pPr>
              <w:jc w:val="center"/>
              <w:rPr>
                <w:rFonts w:ascii="Times New Roman" w:hAnsi="Times New Roman" w:cs="Times New Roman"/>
              </w:rPr>
            </w:pPr>
            <w:r w:rsidRPr="00210BF6">
              <w:rPr>
                <w:rFonts w:ascii="Times New Roman" w:hAnsi="Times New Roman" w:cs="Times New Roman"/>
              </w:rPr>
              <w:t>0</w:t>
            </w:r>
          </w:p>
        </w:tc>
      </w:tr>
      <w:tr w:rsidR="00210BF6" w:rsidRPr="00210BF6" w:rsidTr="00866E2D">
        <w:tc>
          <w:tcPr>
            <w:tcW w:w="630" w:type="dxa"/>
          </w:tcPr>
          <w:p w:rsidR="00210BF6" w:rsidRPr="00210BF6" w:rsidRDefault="00210BF6" w:rsidP="00210BF6">
            <w:pPr>
              <w:rPr>
                <w:rFonts w:ascii="Times New Roman" w:hAnsi="Times New Roman" w:cs="Times New Roman"/>
              </w:rPr>
            </w:pPr>
            <w:r w:rsidRPr="00210BF6">
              <w:rPr>
                <w:rFonts w:ascii="Times New Roman" w:hAnsi="Times New Roman" w:cs="Times New Roman"/>
              </w:rPr>
              <w:t>11</w:t>
            </w:r>
          </w:p>
        </w:tc>
        <w:tc>
          <w:tcPr>
            <w:tcW w:w="4616" w:type="dxa"/>
          </w:tcPr>
          <w:p w:rsidR="00210BF6" w:rsidRPr="00210BF6" w:rsidRDefault="00210BF6" w:rsidP="00210BF6">
            <w:pPr>
              <w:jc w:val="both"/>
              <w:rPr>
                <w:rFonts w:ascii="Times New Roman" w:hAnsi="Times New Roman" w:cs="Times New Roman"/>
              </w:rPr>
            </w:pPr>
            <w:r w:rsidRPr="00210BF6">
              <w:rPr>
                <w:rFonts w:ascii="Times New Roman" w:hAnsi="Times New Roman" w:cs="Times New Roman"/>
                <w:b/>
              </w:rPr>
              <w:t>Прогноз по налогу на доходы физических лиц на 2022 год</w:t>
            </w:r>
            <w:r w:rsidRPr="00210BF6">
              <w:rPr>
                <w:rFonts w:ascii="Times New Roman" w:hAnsi="Times New Roman" w:cs="Times New Roman"/>
              </w:rPr>
              <w:t xml:space="preserve"> в </w:t>
            </w:r>
            <w:r w:rsidRPr="00210BF6">
              <w:rPr>
                <w:rFonts w:ascii="Times New Roman" w:hAnsi="Times New Roman" w:cs="Times New Roman"/>
                <w:b/>
              </w:rPr>
              <w:t>консолидированный бюджет Тверской области</w:t>
            </w:r>
            <w:r w:rsidRPr="00210BF6">
              <w:rPr>
                <w:rFonts w:ascii="Times New Roman" w:hAnsi="Times New Roman" w:cs="Times New Roman"/>
              </w:rPr>
              <w:t xml:space="preserve"> (в разрезе каждого муниципального образования Тверской области)</w:t>
            </w:r>
          </w:p>
          <w:p w:rsidR="00210BF6" w:rsidRPr="00210BF6" w:rsidRDefault="00210BF6" w:rsidP="001119DA">
            <w:pPr>
              <w:jc w:val="both"/>
              <w:rPr>
                <w:rFonts w:ascii="Times New Roman" w:hAnsi="Times New Roman" w:cs="Times New Roman"/>
              </w:rPr>
            </w:pPr>
            <w:r w:rsidRPr="00210BF6">
              <w:rPr>
                <w:rFonts w:ascii="Times New Roman" w:hAnsi="Times New Roman" w:cs="Times New Roman"/>
              </w:rPr>
              <w:t>(стр.</w:t>
            </w:r>
            <w:r w:rsidR="001119DA">
              <w:rPr>
                <w:rFonts w:ascii="Times New Roman" w:hAnsi="Times New Roman" w:cs="Times New Roman"/>
              </w:rPr>
              <w:t>7/стр.4*100)</w:t>
            </w:r>
            <w:r w:rsidRPr="00210BF6">
              <w:rPr>
                <w:rFonts w:ascii="Times New Roman" w:hAnsi="Times New Roman" w:cs="Times New Roman"/>
              </w:rPr>
              <w:t>*стр.8/100 + стр.9 +</w:t>
            </w:r>
            <w:r w:rsidR="001119DA">
              <w:rPr>
                <w:rFonts w:ascii="Times New Roman" w:hAnsi="Times New Roman" w:cs="Times New Roman"/>
              </w:rPr>
              <w:t xml:space="preserve"> </w:t>
            </w:r>
            <w:r w:rsidRPr="00210BF6">
              <w:rPr>
                <w:rFonts w:ascii="Times New Roman" w:hAnsi="Times New Roman" w:cs="Times New Roman"/>
              </w:rPr>
              <w:t>стр.10), из них:</w:t>
            </w:r>
          </w:p>
        </w:tc>
        <w:tc>
          <w:tcPr>
            <w:tcW w:w="2835" w:type="dxa"/>
          </w:tcPr>
          <w:p w:rsidR="00210BF6" w:rsidRPr="00210BF6" w:rsidRDefault="00582054" w:rsidP="00582054">
            <w:pPr>
              <w:jc w:val="center"/>
              <w:rPr>
                <w:rFonts w:ascii="Times New Roman" w:hAnsi="Times New Roman" w:cs="Times New Roman"/>
                <w:b/>
              </w:rPr>
            </w:pPr>
            <w:r>
              <w:rPr>
                <w:rFonts w:ascii="Times New Roman" w:hAnsi="Times New Roman" w:cs="Times New Roman"/>
                <w:b/>
              </w:rPr>
              <w:t>192 181,0</w:t>
            </w:r>
          </w:p>
        </w:tc>
        <w:tc>
          <w:tcPr>
            <w:tcW w:w="2126" w:type="dxa"/>
          </w:tcPr>
          <w:p w:rsidR="00210BF6" w:rsidRPr="00582054" w:rsidRDefault="00582054" w:rsidP="00210BF6">
            <w:pPr>
              <w:jc w:val="center"/>
              <w:rPr>
                <w:rFonts w:ascii="Times New Roman" w:hAnsi="Times New Roman" w:cs="Times New Roman"/>
                <w:b/>
              </w:rPr>
            </w:pPr>
            <w:r w:rsidRPr="00582054">
              <w:rPr>
                <w:rFonts w:ascii="Times New Roman" w:hAnsi="Times New Roman" w:cs="Times New Roman"/>
                <w:b/>
              </w:rPr>
              <w:t>255 833,0</w:t>
            </w:r>
          </w:p>
        </w:tc>
      </w:tr>
      <w:tr w:rsidR="00210BF6" w:rsidRPr="00210BF6" w:rsidTr="00866E2D">
        <w:tc>
          <w:tcPr>
            <w:tcW w:w="630" w:type="dxa"/>
          </w:tcPr>
          <w:p w:rsidR="00210BF6" w:rsidRPr="00210BF6" w:rsidRDefault="00210BF6" w:rsidP="00210BF6">
            <w:pPr>
              <w:jc w:val="center"/>
              <w:rPr>
                <w:rFonts w:ascii="Times New Roman" w:hAnsi="Times New Roman" w:cs="Times New Roman"/>
              </w:rPr>
            </w:pPr>
            <w:r w:rsidRPr="00210BF6">
              <w:rPr>
                <w:rFonts w:ascii="Times New Roman" w:hAnsi="Times New Roman" w:cs="Times New Roman"/>
              </w:rPr>
              <w:t>12</w:t>
            </w:r>
          </w:p>
        </w:tc>
        <w:tc>
          <w:tcPr>
            <w:tcW w:w="4616" w:type="dxa"/>
          </w:tcPr>
          <w:p w:rsidR="00210BF6" w:rsidRPr="00210BF6" w:rsidRDefault="00210BF6" w:rsidP="00210BF6">
            <w:pPr>
              <w:jc w:val="both"/>
              <w:rPr>
                <w:rFonts w:ascii="Times New Roman" w:hAnsi="Times New Roman" w:cs="Times New Roman"/>
              </w:rPr>
            </w:pPr>
            <w:r w:rsidRPr="00210BF6">
              <w:rPr>
                <w:rFonts w:ascii="Times New Roman" w:hAnsi="Times New Roman" w:cs="Times New Roman"/>
                <w:b/>
              </w:rPr>
              <w:t>областной бюджет Тверской области на 2022 год</w:t>
            </w:r>
            <w:r w:rsidRPr="00210BF6">
              <w:rPr>
                <w:rFonts w:ascii="Times New Roman" w:hAnsi="Times New Roman" w:cs="Times New Roman"/>
              </w:rPr>
              <w:t>, как разница по нормативам отчислений в местные бюджеты</w:t>
            </w:r>
          </w:p>
        </w:tc>
        <w:tc>
          <w:tcPr>
            <w:tcW w:w="2835" w:type="dxa"/>
          </w:tcPr>
          <w:p w:rsidR="00210BF6" w:rsidRPr="00210BF6" w:rsidRDefault="00210BF6" w:rsidP="00582054">
            <w:pPr>
              <w:jc w:val="center"/>
              <w:rPr>
                <w:rFonts w:ascii="Times New Roman" w:hAnsi="Times New Roman" w:cs="Times New Roman"/>
                <w:b/>
              </w:rPr>
            </w:pPr>
            <w:r w:rsidRPr="00210BF6">
              <w:rPr>
                <w:rFonts w:ascii="Times New Roman" w:hAnsi="Times New Roman" w:cs="Times New Roman"/>
                <w:b/>
              </w:rPr>
              <w:t>1</w:t>
            </w:r>
            <w:r w:rsidR="00582054">
              <w:rPr>
                <w:rFonts w:ascii="Times New Roman" w:hAnsi="Times New Roman" w:cs="Times New Roman"/>
                <w:b/>
              </w:rPr>
              <w:t>22 312,</w:t>
            </w:r>
            <w:r w:rsidRPr="00210BF6">
              <w:rPr>
                <w:rFonts w:ascii="Times New Roman" w:hAnsi="Times New Roman" w:cs="Times New Roman"/>
                <w:b/>
              </w:rPr>
              <w:t>0</w:t>
            </w:r>
          </w:p>
        </w:tc>
        <w:tc>
          <w:tcPr>
            <w:tcW w:w="2126" w:type="dxa"/>
          </w:tcPr>
          <w:p w:rsidR="00210BF6" w:rsidRPr="00210BF6" w:rsidRDefault="00210BF6" w:rsidP="00582054">
            <w:pPr>
              <w:jc w:val="center"/>
              <w:rPr>
                <w:rFonts w:ascii="Times New Roman" w:hAnsi="Times New Roman" w:cs="Times New Roman"/>
                <w:b/>
              </w:rPr>
            </w:pPr>
            <w:r w:rsidRPr="00210BF6">
              <w:rPr>
                <w:rFonts w:ascii="Times New Roman" w:hAnsi="Times New Roman" w:cs="Times New Roman"/>
                <w:b/>
              </w:rPr>
              <w:t>16</w:t>
            </w:r>
            <w:r w:rsidR="00582054">
              <w:rPr>
                <w:rFonts w:ascii="Times New Roman" w:hAnsi="Times New Roman" w:cs="Times New Roman"/>
                <w:b/>
              </w:rPr>
              <w:t>2 823,</w:t>
            </w:r>
            <w:r w:rsidRPr="00210BF6">
              <w:rPr>
                <w:rFonts w:ascii="Times New Roman" w:hAnsi="Times New Roman" w:cs="Times New Roman"/>
                <w:b/>
              </w:rPr>
              <w:t>0</w:t>
            </w:r>
          </w:p>
        </w:tc>
      </w:tr>
      <w:tr w:rsidR="00210BF6" w:rsidRPr="00210BF6" w:rsidTr="00866E2D">
        <w:tc>
          <w:tcPr>
            <w:tcW w:w="630" w:type="dxa"/>
          </w:tcPr>
          <w:p w:rsidR="00210BF6" w:rsidRPr="00210BF6" w:rsidRDefault="00210BF6" w:rsidP="00210BF6">
            <w:pPr>
              <w:jc w:val="center"/>
              <w:rPr>
                <w:rFonts w:ascii="Times New Roman" w:hAnsi="Times New Roman" w:cs="Times New Roman"/>
              </w:rPr>
            </w:pPr>
            <w:r w:rsidRPr="00210BF6">
              <w:rPr>
                <w:rFonts w:ascii="Times New Roman" w:hAnsi="Times New Roman" w:cs="Times New Roman"/>
              </w:rPr>
              <w:t>13</w:t>
            </w:r>
          </w:p>
        </w:tc>
        <w:tc>
          <w:tcPr>
            <w:tcW w:w="4616" w:type="dxa"/>
          </w:tcPr>
          <w:p w:rsidR="00210BF6" w:rsidRPr="00210BF6" w:rsidRDefault="00210BF6" w:rsidP="00210BF6">
            <w:pPr>
              <w:jc w:val="both"/>
              <w:rPr>
                <w:rFonts w:ascii="Times New Roman" w:hAnsi="Times New Roman" w:cs="Times New Roman"/>
              </w:rPr>
            </w:pPr>
            <w:r w:rsidRPr="00210BF6">
              <w:rPr>
                <w:rFonts w:ascii="Times New Roman" w:hAnsi="Times New Roman" w:cs="Times New Roman"/>
                <w:b/>
              </w:rPr>
              <w:t>Фонд заработной платы за 2023 год (</w:t>
            </w:r>
            <w:r w:rsidRPr="00210BF6">
              <w:rPr>
                <w:rFonts w:ascii="Times New Roman" w:hAnsi="Times New Roman" w:cs="Times New Roman"/>
              </w:rPr>
              <w:t>по данным Министерства экономического развития Тверской области) в разрезе каждого муниципального образования Тверской области</w:t>
            </w:r>
          </w:p>
          <w:p w:rsidR="00210BF6" w:rsidRPr="00210BF6" w:rsidRDefault="00210BF6" w:rsidP="00210BF6">
            <w:pPr>
              <w:jc w:val="both"/>
              <w:rPr>
                <w:rFonts w:ascii="Times New Roman" w:hAnsi="Times New Roman" w:cs="Times New Roman"/>
              </w:rPr>
            </w:pPr>
          </w:p>
        </w:tc>
        <w:tc>
          <w:tcPr>
            <w:tcW w:w="2835" w:type="dxa"/>
          </w:tcPr>
          <w:p w:rsidR="00210BF6" w:rsidRPr="00210BF6" w:rsidRDefault="00210BF6" w:rsidP="00210BF6">
            <w:pPr>
              <w:jc w:val="center"/>
              <w:rPr>
                <w:rFonts w:ascii="Times New Roman" w:hAnsi="Times New Roman" w:cs="Times New Roman"/>
              </w:rPr>
            </w:pPr>
            <w:r w:rsidRPr="00210BF6">
              <w:rPr>
                <w:rFonts w:ascii="Times New Roman" w:hAnsi="Times New Roman" w:cs="Times New Roman"/>
              </w:rPr>
              <w:t>211 177 633,0</w:t>
            </w:r>
          </w:p>
        </w:tc>
        <w:tc>
          <w:tcPr>
            <w:tcW w:w="2126" w:type="dxa"/>
          </w:tcPr>
          <w:p w:rsidR="00210BF6" w:rsidRPr="00210BF6" w:rsidRDefault="00210BF6" w:rsidP="00210BF6">
            <w:pPr>
              <w:jc w:val="center"/>
              <w:rPr>
                <w:rFonts w:ascii="Times New Roman" w:hAnsi="Times New Roman" w:cs="Times New Roman"/>
              </w:rPr>
            </w:pPr>
            <w:r w:rsidRPr="00210BF6">
              <w:rPr>
                <w:rFonts w:ascii="Times New Roman" w:hAnsi="Times New Roman" w:cs="Times New Roman"/>
              </w:rPr>
              <w:t>211 177 633,0</w:t>
            </w:r>
          </w:p>
        </w:tc>
      </w:tr>
      <w:tr w:rsidR="00210BF6" w:rsidRPr="00210BF6" w:rsidTr="00866E2D">
        <w:tc>
          <w:tcPr>
            <w:tcW w:w="630" w:type="dxa"/>
          </w:tcPr>
          <w:p w:rsidR="00210BF6" w:rsidRPr="00210BF6" w:rsidRDefault="00210BF6" w:rsidP="00210BF6">
            <w:pPr>
              <w:jc w:val="center"/>
              <w:rPr>
                <w:rFonts w:ascii="Times New Roman" w:hAnsi="Times New Roman" w:cs="Times New Roman"/>
              </w:rPr>
            </w:pPr>
            <w:r w:rsidRPr="00210BF6">
              <w:rPr>
                <w:rFonts w:ascii="Times New Roman" w:hAnsi="Times New Roman" w:cs="Times New Roman"/>
              </w:rPr>
              <w:t>14</w:t>
            </w:r>
          </w:p>
        </w:tc>
        <w:tc>
          <w:tcPr>
            <w:tcW w:w="4616" w:type="dxa"/>
          </w:tcPr>
          <w:p w:rsidR="00210BF6" w:rsidRPr="00210BF6" w:rsidRDefault="00210BF6" w:rsidP="00210BF6">
            <w:pPr>
              <w:jc w:val="both"/>
              <w:rPr>
                <w:rFonts w:ascii="Times New Roman" w:hAnsi="Times New Roman" w:cs="Times New Roman"/>
              </w:rPr>
            </w:pPr>
            <w:r w:rsidRPr="00210BF6">
              <w:rPr>
                <w:rFonts w:ascii="Times New Roman" w:hAnsi="Times New Roman" w:cs="Times New Roman"/>
              </w:rPr>
              <w:t xml:space="preserve">Корректирующая сумма поступлений, учитывающая изменения законодательства о налогах и сборах, а также другие факторы (F1, </w:t>
            </w:r>
            <w:r w:rsidRPr="00210BF6">
              <w:rPr>
                <w:rFonts w:ascii="Times New Roman" w:hAnsi="Times New Roman" w:cs="Times New Roman"/>
                <w:lang w:val="en-US"/>
              </w:rPr>
              <w:t>F</w:t>
            </w:r>
            <w:r w:rsidRPr="00210BF6">
              <w:rPr>
                <w:rFonts w:ascii="Times New Roman" w:hAnsi="Times New Roman" w:cs="Times New Roman"/>
              </w:rPr>
              <w:t>2)</w:t>
            </w:r>
          </w:p>
          <w:p w:rsidR="00210BF6" w:rsidRPr="00210BF6" w:rsidRDefault="00210BF6" w:rsidP="00210BF6">
            <w:pPr>
              <w:jc w:val="both"/>
              <w:rPr>
                <w:rFonts w:ascii="Times New Roman" w:hAnsi="Times New Roman" w:cs="Times New Roman"/>
              </w:rPr>
            </w:pPr>
          </w:p>
        </w:tc>
        <w:tc>
          <w:tcPr>
            <w:tcW w:w="2835" w:type="dxa"/>
          </w:tcPr>
          <w:p w:rsidR="00210BF6" w:rsidRPr="00210BF6" w:rsidRDefault="00210BF6" w:rsidP="00210BF6">
            <w:pPr>
              <w:jc w:val="center"/>
              <w:rPr>
                <w:rFonts w:ascii="Times New Roman" w:hAnsi="Times New Roman" w:cs="Times New Roman"/>
              </w:rPr>
            </w:pPr>
            <w:r w:rsidRPr="00210BF6">
              <w:rPr>
                <w:rFonts w:ascii="Times New Roman" w:hAnsi="Times New Roman" w:cs="Times New Roman"/>
              </w:rPr>
              <w:t>0</w:t>
            </w:r>
          </w:p>
        </w:tc>
        <w:tc>
          <w:tcPr>
            <w:tcW w:w="2126" w:type="dxa"/>
          </w:tcPr>
          <w:p w:rsidR="00210BF6" w:rsidRPr="00210BF6" w:rsidRDefault="00210BF6" w:rsidP="00210BF6">
            <w:pPr>
              <w:jc w:val="center"/>
              <w:rPr>
                <w:rFonts w:ascii="Times New Roman" w:hAnsi="Times New Roman" w:cs="Times New Roman"/>
              </w:rPr>
            </w:pPr>
            <w:r w:rsidRPr="00210BF6">
              <w:rPr>
                <w:rFonts w:ascii="Times New Roman" w:hAnsi="Times New Roman" w:cs="Times New Roman"/>
              </w:rPr>
              <w:t>0</w:t>
            </w:r>
          </w:p>
        </w:tc>
      </w:tr>
      <w:tr w:rsidR="00210BF6" w:rsidRPr="00210BF6" w:rsidTr="00866E2D">
        <w:tc>
          <w:tcPr>
            <w:tcW w:w="630" w:type="dxa"/>
          </w:tcPr>
          <w:p w:rsidR="00210BF6" w:rsidRPr="00210BF6" w:rsidRDefault="00210BF6" w:rsidP="00210BF6">
            <w:pPr>
              <w:jc w:val="center"/>
              <w:rPr>
                <w:rFonts w:ascii="Times New Roman" w:hAnsi="Times New Roman" w:cs="Times New Roman"/>
              </w:rPr>
            </w:pPr>
            <w:r w:rsidRPr="00210BF6">
              <w:rPr>
                <w:rFonts w:ascii="Times New Roman" w:hAnsi="Times New Roman" w:cs="Times New Roman"/>
              </w:rPr>
              <w:t>15</w:t>
            </w:r>
          </w:p>
        </w:tc>
        <w:tc>
          <w:tcPr>
            <w:tcW w:w="4616" w:type="dxa"/>
          </w:tcPr>
          <w:p w:rsidR="00210BF6" w:rsidRPr="00210BF6" w:rsidRDefault="00210BF6" w:rsidP="00210BF6">
            <w:pPr>
              <w:jc w:val="both"/>
              <w:rPr>
                <w:rFonts w:ascii="Times New Roman" w:hAnsi="Times New Roman" w:cs="Times New Roman"/>
              </w:rPr>
            </w:pPr>
            <w:r w:rsidRPr="00210BF6">
              <w:rPr>
                <w:rFonts w:ascii="Times New Roman" w:hAnsi="Times New Roman" w:cs="Times New Roman"/>
                <w:b/>
              </w:rPr>
              <w:t>Прогноз по налогу на доходы физических лиц на 2023 год</w:t>
            </w:r>
            <w:r w:rsidRPr="00210BF6">
              <w:rPr>
                <w:rFonts w:ascii="Times New Roman" w:hAnsi="Times New Roman" w:cs="Times New Roman"/>
              </w:rPr>
              <w:t xml:space="preserve"> </w:t>
            </w:r>
            <w:r w:rsidRPr="00210BF6">
              <w:rPr>
                <w:rFonts w:ascii="Times New Roman" w:hAnsi="Times New Roman" w:cs="Times New Roman"/>
                <w:b/>
              </w:rPr>
              <w:t>в</w:t>
            </w:r>
            <w:r w:rsidRPr="00210BF6">
              <w:rPr>
                <w:rFonts w:ascii="Times New Roman" w:hAnsi="Times New Roman" w:cs="Times New Roman"/>
              </w:rPr>
              <w:t xml:space="preserve"> </w:t>
            </w:r>
            <w:r w:rsidRPr="00210BF6">
              <w:rPr>
                <w:rFonts w:ascii="Times New Roman" w:hAnsi="Times New Roman" w:cs="Times New Roman"/>
                <w:b/>
              </w:rPr>
              <w:t>консолидированный бюджет Тверской области</w:t>
            </w:r>
            <w:r w:rsidRPr="00210BF6">
              <w:rPr>
                <w:rFonts w:ascii="Times New Roman" w:hAnsi="Times New Roman" w:cs="Times New Roman"/>
              </w:rPr>
              <w:t xml:space="preserve"> (в разрезе каждого муниципального образования Тверской области)</w:t>
            </w:r>
          </w:p>
          <w:p w:rsidR="00210BF6" w:rsidRPr="00210BF6" w:rsidRDefault="00210BF6" w:rsidP="00681597">
            <w:pPr>
              <w:jc w:val="both"/>
              <w:rPr>
                <w:rFonts w:ascii="Times New Roman" w:hAnsi="Times New Roman" w:cs="Times New Roman"/>
              </w:rPr>
            </w:pPr>
            <w:r w:rsidRPr="00210BF6">
              <w:rPr>
                <w:rFonts w:ascii="Times New Roman" w:hAnsi="Times New Roman" w:cs="Times New Roman"/>
              </w:rPr>
              <w:lastRenderedPageBreak/>
              <w:t>(стр.</w:t>
            </w:r>
            <w:r w:rsidR="00681597">
              <w:rPr>
                <w:rFonts w:ascii="Times New Roman" w:hAnsi="Times New Roman" w:cs="Times New Roman"/>
              </w:rPr>
              <w:t xml:space="preserve">11/стр.8*100) </w:t>
            </w:r>
            <w:r w:rsidRPr="00210BF6">
              <w:rPr>
                <w:rFonts w:ascii="Times New Roman" w:hAnsi="Times New Roman" w:cs="Times New Roman"/>
              </w:rPr>
              <w:t>*стр.13 /100 + стр.14), из них:</w:t>
            </w:r>
          </w:p>
        </w:tc>
        <w:tc>
          <w:tcPr>
            <w:tcW w:w="2835" w:type="dxa"/>
          </w:tcPr>
          <w:p w:rsidR="00210BF6" w:rsidRPr="00210BF6" w:rsidRDefault="00582054" w:rsidP="00210BF6">
            <w:pPr>
              <w:jc w:val="center"/>
              <w:rPr>
                <w:rFonts w:ascii="Times New Roman" w:hAnsi="Times New Roman" w:cs="Times New Roman"/>
                <w:b/>
              </w:rPr>
            </w:pPr>
            <w:r>
              <w:rPr>
                <w:rFonts w:ascii="Times New Roman" w:hAnsi="Times New Roman" w:cs="Times New Roman"/>
                <w:b/>
              </w:rPr>
              <w:lastRenderedPageBreak/>
              <w:t>201 732,0</w:t>
            </w:r>
          </w:p>
        </w:tc>
        <w:tc>
          <w:tcPr>
            <w:tcW w:w="2126" w:type="dxa"/>
          </w:tcPr>
          <w:p w:rsidR="00210BF6" w:rsidRPr="00210BF6" w:rsidRDefault="00582054" w:rsidP="00210BF6">
            <w:pPr>
              <w:jc w:val="center"/>
              <w:rPr>
                <w:rFonts w:ascii="Times New Roman" w:hAnsi="Times New Roman" w:cs="Times New Roman"/>
                <w:b/>
              </w:rPr>
            </w:pPr>
            <w:r>
              <w:rPr>
                <w:rFonts w:ascii="Times New Roman" w:hAnsi="Times New Roman" w:cs="Times New Roman"/>
                <w:b/>
              </w:rPr>
              <w:t>268 598,0</w:t>
            </w:r>
          </w:p>
        </w:tc>
      </w:tr>
      <w:tr w:rsidR="00210BF6" w:rsidRPr="00210BF6" w:rsidTr="00866E2D">
        <w:tc>
          <w:tcPr>
            <w:tcW w:w="630" w:type="dxa"/>
          </w:tcPr>
          <w:p w:rsidR="00210BF6" w:rsidRPr="00210BF6" w:rsidRDefault="00210BF6" w:rsidP="00210BF6">
            <w:pPr>
              <w:jc w:val="center"/>
              <w:rPr>
                <w:rFonts w:ascii="Times New Roman" w:hAnsi="Times New Roman" w:cs="Times New Roman"/>
              </w:rPr>
            </w:pPr>
            <w:r w:rsidRPr="00210BF6">
              <w:rPr>
                <w:rFonts w:ascii="Times New Roman" w:hAnsi="Times New Roman" w:cs="Times New Roman"/>
              </w:rPr>
              <w:t>16</w:t>
            </w:r>
          </w:p>
        </w:tc>
        <w:tc>
          <w:tcPr>
            <w:tcW w:w="4616" w:type="dxa"/>
          </w:tcPr>
          <w:p w:rsidR="00210BF6" w:rsidRPr="00210BF6" w:rsidRDefault="00210BF6" w:rsidP="00210BF6">
            <w:pPr>
              <w:jc w:val="both"/>
              <w:rPr>
                <w:rFonts w:ascii="Times New Roman" w:hAnsi="Times New Roman" w:cs="Times New Roman"/>
              </w:rPr>
            </w:pPr>
            <w:r w:rsidRPr="00210BF6">
              <w:rPr>
                <w:rFonts w:ascii="Times New Roman" w:hAnsi="Times New Roman" w:cs="Times New Roman"/>
                <w:b/>
              </w:rPr>
              <w:t>областной бюджет Тверской области на 2023 год</w:t>
            </w:r>
            <w:r w:rsidRPr="00210BF6">
              <w:rPr>
                <w:rFonts w:ascii="Times New Roman" w:hAnsi="Times New Roman" w:cs="Times New Roman"/>
              </w:rPr>
              <w:t>, как разница по нормативам отчислений в местные бюджеты</w:t>
            </w:r>
          </w:p>
        </w:tc>
        <w:tc>
          <w:tcPr>
            <w:tcW w:w="2835" w:type="dxa"/>
          </w:tcPr>
          <w:p w:rsidR="00210BF6" w:rsidRPr="00582054" w:rsidRDefault="00582054" w:rsidP="00AA6927">
            <w:pPr>
              <w:jc w:val="center"/>
              <w:rPr>
                <w:rFonts w:ascii="Times New Roman" w:hAnsi="Times New Roman" w:cs="Times New Roman"/>
                <w:b/>
              </w:rPr>
            </w:pPr>
            <w:r w:rsidRPr="00582054">
              <w:rPr>
                <w:rFonts w:ascii="Times New Roman" w:hAnsi="Times New Roman" w:cs="Times New Roman"/>
                <w:b/>
              </w:rPr>
              <w:t>129 260,0</w:t>
            </w:r>
          </w:p>
        </w:tc>
        <w:tc>
          <w:tcPr>
            <w:tcW w:w="2126" w:type="dxa"/>
          </w:tcPr>
          <w:p w:rsidR="00210BF6" w:rsidRPr="00582054" w:rsidRDefault="00582054" w:rsidP="00AA6927">
            <w:pPr>
              <w:jc w:val="center"/>
              <w:rPr>
                <w:rFonts w:ascii="Times New Roman" w:hAnsi="Times New Roman" w:cs="Times New Roman"/>
                <w:b/>
              </w:rPr>
            </w:pPr>
            <w:r w:rsidRPr="00582054">
              <w:rPr>
                <w:rFonts w:ascii="Times New Roman" w:hAnsi="Times New Roman" w:cs="Times New Roman"/>
                <w:b/>
              </w:rPr>
              <w:t>172 104,0</w:t>
            </w:r>
          </w:p>
        </w:tc>
      </w:tr>
      <w:tr w:rsidR="00210BF6" w:rsidRPr="00210BF6" w:rsidTr="00866E2D">
        <w:tc>
          <w:tcPr>
            <w:tcW w:w="630" w:type="dxa"/>
          </w:tcPr>
          <w:p w:rsidR="00210BF6" w:rsidRPr="00210BF6" w:rsidRDefault="00210BF6" w:rsidP="00210BF6">
            <w:pPr>
              <w:jc w:val="center"/>
              <w:rPr>
                <w:rFonts w:ascii="Times New Roman" w:hAnsi="Times New Roman" w:cs="Times New Roman"/>
              </w:rPr>
            </w:pPr>
            <w:r w:rsidRPr="00210BF6">
              <w:rPr>
                <w:rFonts w:ascii="Times New Roman" w:hAnsi="Times New Roman" w:cs="Times New Roman"/>
              </w:rPr>
              <w:t>17</w:t>
            </w:r>
          </w:p>
        </w:tc>
        <w:tc>
          <w:tcPr>
            <w:tcW w:w="4616" w:type="dxa"/>
          </w:tcPr>
          <w:p w:rsidR="00210BF6" w:rsidRPr="00210BF6" w:rsidRDefault="00210BF6" w:rsidP="00210BF6">
            <w:pPr>
              <w:jc w:val="both"/>
              <w:rPr>
                <w:rFonts w:ascii="Times New Roman" w:hAnsi="Times New Roman" w:cs="Times New Roman"/>
              </w:rPr>
            </w:pPr>
            <w:r w:rsidRPr="00210BF6">
              <w:rPr>
                <w:rFonts w:ascii="Times New Roman" w:hAnsi="Times New Roman" w:cs="Times New Roman"/>
                <w:b/>
              </w:rPr>
              <w:t>Фонд заработной платы за 2024 год (</w:t>
            </w:r>
            <w:r w:rsidRPr="00210BF6">
              <w:rPr>
                <w:rFonts w:ascii="Times New Roman" w:hAnsi="Times New Roman" w:cs="Times New Roman"/>
              </w:rPr>
              <w:t>по данным Министерства экономического развития Тверской области) в разрезе каждого муниципального образования Тверской области</w:t>
            </w:r>
          </w:p>
        </w:tc>
        <w:tc>
          <w:tcPr>
            <w:tcW w:w="2835" w:type="dxa"/>
          </w:tcPr>
          <w:p w:rsidR="00210BF6" w:rsidRPr="00210BF6" w:rsidRDefault="00210BF6" w:rsidP="00210BF6">
            <w:pPr>
              <w:jc w:val="center"/>
              <w:rPr>
                <w:rFonts w:ascii="Times New Roman" w:hAnsi="Times New Roman" w:cs="Times New Roman"/>
              </w:rPr>
            </w:pPr>
            <w:r w:rsidRPr="00210BF6">
              <w:rPr>
                <w:rFonts w:ascii="Times New Roman" w:hAnsi="Times New Roman" w:cs="Times New Roman"/>
              </w:rPr>
              <w:t>221 815 409,0</w:t>
            </w:r>
          </w:p>
        </w:tc>
        <w:tc>
          <w:tcPr>
            <w:tcW w:w="2126" w:type="dxa"/>
          </w:tcPr>
          <w:p w:rsidR="00210BF6" w:rsidRPr="00210BF6" w:rsidRDefault="00210BF6" w:rsidP="00210BF6">
            <w:pPr>
              <w:jc w:val="center"/>
              <w:rPr>
                <w:rFonts w:ascii="Times New Roman" w:hAnsi="Times New Roman" w:cs="Times New Roman"/>
              </w:rPr>
            </w:pPr>
            <w:r w:rsidRPr="00210BF6">
              <w:rPr>
                <w:rFonts w:ascii="Times New Roman" w:hAnsi="Times New Roman" w:cs="Times New Roman"/>
              </w:rPr>
              <w:t>221 815 409,0</w:t>
            </w:r>
          </w:p>
        </w:tc>
      </w:tr>
      <w:tr w:rsidR="00210BF6" w:rsidRPr="00210BF6" w:rsidTr="00866E2D">
        <w:tc>
          <w:tcPr>
            <w:tcW w:w="630" w:type="dxa"/>
          </w:tcPr>
          <w:p w:rsidR="00210BF6" w:rsidRPr="00210BF6" w:rsidRDefault="00210BF6" w:rsidP="00210BF6">
            <w:pPr>
              <w:jc w:val="center"/>
              <w:rPr>
                <w:rFonts w:ascii="Times New Roman" w:hAnsi="Times New Roman" w:cs="Times New Roman"/>
              </w:rPr>
            </w:pPr>
            <w:r w:rsidRPr="00210BF6">
              <w:rPr>
                <w:rFonts w:ascii="Times New Roman" w:hAnsi="Times New Roman" w:cs="Times New Roman"/>
              </w:rPr>
              <w:t>18</w:t>
            </w:r>
          </w:p>
        </w:tc>
        <w:tc>
          <w:tcPr>
            <w:tcW w:w="4616" w:type="dxa"/>
          </w:tcPr>
          <w:p w:rsidR="00210BF6" w:rsidRPr="00210BF6" w:rsidRDefault="00210BF6" w:rsidP="00210BF6">
            <w:pPr>
              <w:jc w:val="both"/>
              <w:rPr>
                <w:rFonts w:ascii="Times New Roman" w:hAnsi="Times New Roman" w:cs="Times New Roman"/>
              </w:rPr>
            </w:pPr>
            <w:r w:rsidRPr="00210BF6">
              <w:rPr>
                <w:rFonts w:ascii="Times New Roman" w:hAnsi="Times New Roman" w:cs="Times New Roman"/>
              </w:rPr>
              <w:t xml:space="preserve">Корректирующая сумма поступлений, учитывающая изменения законодательства о налогах и сборах, а также другие факторы (F1, </w:t>
            </w:r>
            <w:r w:rsidRPr="00210BF6">
              <w:rPr>
                <w:rFonts w:ascii="Times New Roman" w:hAnsi="Times New Roman" w:cs="Times New Roman"/>
                <w:lang w:val="en-US"/>
              </w:rPr>
              <w:t>F</w:t>
            </w:r>
            <w:r w:rsidRPr="00210BF6">
              <w:rPr>
                <w:rFonts w:ascii="Times New Roman" w:hAnsi="Times New Roman" w:cs="Times New Roman"/>
              </w:rPr>
              <w:t>2)</w:t>
            </w:r>
          </w:p>
          <w:p w:rsidR="00210BF6" w:rsidRPr="00210BF6" w:rsidRDefault="00210BF6" w:rsidP="00210BF6">
            <w:pPr>
              <w:jc w:val="both"/>
              <w:rPr>
                <w:rFonts w:ascii="Times New Roman" w:hAnsi="Times New Roman" w:cs="Times New Roman"/>
              </w:rPr>
            </w:pPr>
          </w:p>
        </w:tc>
        <w:tc>
          <w:tcPr>
            <w:tcW w:w="2835" w:type="dxa"/>
          </w:tcPr>
          <w:p w:rsidR="00210BF6" w:rsidRPr="00210BF6" w:rsidRDefault="00210BF6" w:rsidP="00210BF6">
            <w:pPr>
              <w:jc w:val="center"/>
              <w:rPr>
                <w:rFonts w:ascii="Times New Roman" w:hAnsi="Times New Roman" w:cs="Times New Roman"/>
              </w:rPr>
            </w:pPr>
            <w:r w:rsidRPr="00210BF6">
              <w:rPr>
                <w:rFonts w:ascii="Times New Roman" w:hAnsi="Times New Roman" w:cs="Times New Roman"/>
              </w:rPr>
              <w:t>0</w:t>
            </w:r>
          </w:p>
        </w:tc>
        <w:tc>
          <w:tcPr>
            <w:tcW w:w="2126" w:type="dxa"/>
          </w:tcPr>
          <w:p w:rsidR="00210BF6" w:rsidRPr="00210BF6" w:rsidRDefault="00210BF6" w:rsidP="00210BF6">
            <w:pPr>
              <w:jc w:val="center"/>
              <w:rPr>
                <w:rFonts w:ascii="Times New Roman" w:hAnsi="Times New Roman" w:cs="Times New Roman"/>
              </w:rPr>
            </w:pPr>
            <w:r w:rsidRPr="00210BF6">
              <w:rPr>
                <w:rFonts w:ascii="Times New Roman" w:hAnsi="Times New Roman" w:cs="Times New Roman"/>
              </w:rPr>
              <w:t>0</w:t>
            </w:r>
          </w:p>
        </w:tc>
      </w:tr>
      <w:tr w:rsidR="00210BF6" w:rsidRPr="00210BF6" w:rsidTr="00866E2D">
        <w:tc>
          <w:tcPr>
            <w:tcW w:w="630" w:type="dxa"/>
          </w:tcPr>
          <w:p w:rsidR="00210BF6" w:rsidRPr="00210BF6" w:rsidRDefault="00210BF6" w:rsidP="00210BF6">
            <w:pPr>
              <w:jc w:val="center"/>
              <w:rPr>
                <w:rFonts w:ascii="Times New Roman" w:hAnsi="Times New Roman" w:cs="Times New Roman"/>
              </w:rPr>
            </w:pPr>
            <w:r w:rsidRPr="00210BF6">
              <w:rPr>
                <w:rFonts w:ascii="Times New Roman" w:hAnsi="Times New Roman" w:cs="Times New Roman"/>
              </w:rPr>
              <w:t>19</w:t>
            </w:r>
          </w:p>
        </w:tc>
        <w:tc>
          <w:tcPr>
            <w:tcW w:w="4616" w:type="dxa"/>
          </w:tcPr>
          <w:p w:rsidR="00210BF6" w:rsidRPr="00210BF6" w:rsidRDefault="00210BF6" w:rsidP="00210BF6">
            <w:pPr>
              <w:jc w:val="both"/>
              <w:rPr>
                <w:rFonts w:ascii="Times New Roman" w:hAnsi="Times New Roman" w:cs="Times New Roman"/>
              </w:rPr>
            </w:pPr>
            <w:r w:rsidRPr="00210BF6">
              <w:rPr>
                <w:rFonts w:ascii="Times New Roman" w:hAnsi="Times New Roman" w:cs="Times New Roman"/>
                <w:b/>
              </w:rPr>
              <w:t>Прогноз по налогу на доходы физических лиц на 2024 год</w:t>
            </w:r>
            <w:r w:rsidRPr="00210BF6">
              <w:rPr>
                <w:rFonts w:ascii="Times New Roman" w:hAnsi="Times New Roman" w:cs="Times New Roman"/>
              </w:rPr>
              <w:t xml:space="preserve"> </w:t>
            </w:r>
            <w:r w:rsidRPr="00210BF6">
              <w:rPr>
                <w:rFonts w:ascii="Times New Roman" w:hAnsi="Times New Roman" w:cs="Times New Roman"/>
                <w:b/>
              </w:rPr>
              <w:t>в</w:t>
            </w:r>
            <w:r w:rsidRPr="00210BF6">
              <w:rPr>
                <w:rFonts w:ascii="Times New Roman" w:hAnsi="Times New Roman" w:cs="Times New Roman"/>
              </w:rPr>
              <w:t xml:space="preserve"> </w:t>
            </w:r>
            <w:r w:rsidRPr="00210BF6">
              <w:rPr>
                <w:rFonts w:ascii="Times New Roman" w:hAnsi="Times New Roman" w:cs="Times New Roman"/>
                <w:b/>
              </w:rPr>
              <w:t>консолидированный бюджет Тверской области</w:t>
            </w:r>
            <w:r w:rsidRPr="00210BF6">
              <w:rPr>
                <w:rFonts w:ascii="Times New Roman" w:hAnsi="Times New Roman" w:cs="Times New Roman"/>
              </w:rPr>
              <w:t xml:space="preserve"> </w:t>
            </w:r>
          </w:p>
          <w:p w:rsidR="00210BF6" w:rsidRPr="00210BF6" w:rsidRDefault="00210BF6" w:rsidP="00210BF6">
            <w:pPr>
              <w:jc w:val="both"/>
              <w:rPr>
                <w:rFonts w:ascii="Times New Roman" w:hAnsi="Times New Roman" w:cs="Times New Roman"/>
              </w:rPr>
            </w:pPr>
            <w:r w:rsidRPr="00210BF6">
              <w:rPr>
                <w:rFonts w:ascii="Times New Roman" w:hAnsi="Times New Roman" w:cs="Times New Roman"/>
              </w:rPr>
              <w:t>(стр.</w:t>
            </w:r>
            <w:r w:rsidR="0015546B">
              <w:rPr>
                <w:rFonts w:ascii="Times New Roman" w:hAnsi="Times New Roman" w:cs="Times New Roman"/>
              </w:rPr>
              <w:t>15/стр.13*100)</w:t>
            </w:r>
            <w:r w:rsidRPr="00210BF6">
              <w:rPr>
                <w:rFonts w:ascii="Times New Roman" w:hAnsi="Times New Roman" w:cs="Times New Roman"/>
              </w:rPr>
              <w:t xml:space="preserve"> *</w:t>
            </w:r>
            <w:r w:rsidRPr="00210BF6">
              <w:rPr>
                <w:rFonts w:ascii="Times New Roman" w:hAnsi="Times New Roman" w:cs="Times New Roman"/>
                <w:lang w:val="en-US"/>
              </w:rPr>
              <w:t>c</w:t>
            </w:r>
            <w:r w:rsidRPr="00210BF6">
              <w:rPr>
                <w:rFonts w:ascii="Times New Roman" w:hAnsi="Times New Roman" w:cs="Times New Roman"/>
              </w:rPr>
              <w:t xml:space="preserve">тр.17 /100 + стр.18) </w:t>
            </w:r>
          </w:p>
          <w:p w:rsidR="00210BF6" w:rsidRPr="00210BF6" w:rsidRDefault="00210BF6" w:rsidP="00210BF6">
            <w:pPr>
              <w:jc w:val="both"/>
              <w:rPr>
                <w:rFonts w:ascii="Times New Roman" w:hAnsi="Times New Roman" w:cs="Times New Roman"/>
              </w:rPr>
            </w:pPr>
            <w:r w:rsidRPr="00210BF6">
              <w:rPr>
                <w:rFonts w:ascii="Times New Roman" w:hAnsi="Times New Roman" w:cs="Times New Roman"/>
              </w:rPr>
              <w:t>(в разрезе каждого муниципального образования Тверской области), из них:</w:t>
            </w:r>
          </w:p>
        </w:tc>
        <w:tc>
          <w:tcPr>
            <w:tcW w:w="2835" w:type="dxa"/>
          </w:tcPr>
          <w:p w:rsidR="00210BF6" w:rsidRPr="006C3EFA" w:rsidRDefault="0015546B" w:rsidP="00210BF6">
            <w:pPr>
              <w:jc w:val="center"/>
              <w:rPr>
                <w:rFonts w:ascii="Times New Roman" w:hAnsi="Times New Roman" w:cs="Times New Roman"/>
                <w:b/>
              </w:rPr>
            </w:pPr>
            <w:r w:rsidRPr="006C3EFA">
              <w:rPr>
                <w:rFonts w:ascii="Times New Roman" w:hAnsi="Times New Roman" w:cs="Times New Roman"/>
                <w:b/>
              </w:rPr>
              <w:t>211 700,0</w:t>
            </w:r>
          </w:p>
        </w:tc>
        <w:tc>
          <w:tcPr>
            <w:tcW w:w="2126" w:type="dxa"/>
          </w:tcPr>
          <w:p w:rsidR="00210BF6" w:rsidRPr="006C3EFA" w:rsidRDefault="0015546B" w:rsidP="00210BF6">
            <w:pPr>
              <w:jc w:val="center"/>
              <w:rPr>
                <w:rFonts w:ascii="Times New Roman" w:hAnsi="Times New Roman" w:cs="Times New Roman"/>
                <w:b/>
              </w:rPr>
            </w:pPr>
            <w:r w:rsidRPr="006C3EFA">
              <w:rPr>
                <w:rFonts w:ascii="Times New Roman" w:hAnsi="Times New Roman" w:cs="Times New Roman"/>
                <w:b/>
              </w:rPr>
              <w:t>281 939,0</w:t>
            </w:r>
          </w:p>
        </w:tc>
      </w:tr>
      <w:tr w:rsidR="00210BF6" w:rsidRPr="00210BF6" w:rsidTr="00866E2D">
        <w:tc>
          <w:tcPr>
            <w:tcW w:w="630" w:type="dxa"/>
          </w:tcPr>
          <w:p w:rsidR="00210BF6" w:rsidRPr="00210BF6" w:rsidRDefault="00210BF6" w:rsidP="00210BF6">
            <w:pPr>
              <w:jc w:val="center"/>
              <w:rPr>
                <w:rFonts w:ascii="Times New Roman" w:hAnsi="Times New Roman" w:cs="Times New Roman"/>
              </w:rPr>
            </w:pPr>
            <w:r w:rsidRPr="00210BF6">
              <w:rPr>
                <w:rFonts w:ascii="Times New Roman" w:hAnsi="Times New Roman" w:cs="Times New Roman"/>
              </w:rPr>
              <w:t>20</w:t>
            </w:r>
          </w:p>
        </w:tc>
        <w:tc>
          <w:tcPr>
            <w:tcW w:w="4616" w:type="dxa"/>
          </w:tcPr>
          <w:p w:rsidR="00210BF6" w:rsidRPr="00210BF6" w:rsidRDefault="00210BF6" w:rsidP="00210BF6">
            <w:pPr>
              <w:jc w:val="both"/>
              <w:rPr>
                <w:rFonts w:ascii="Times New Roman" w:hAnsi="Times New Roman" w:cs="Times New Roman"/>
              </w:rPr>
            </w:pPr>
            <w:r w:rsidRPr="00210BF6">
              <w:rPr>
                <w:rFonts w:ascii="Times New Roman" w:hAnsi="Times New Roman" w:cs="Times New Roman"/>
                <w:b/>
              </w:rPr>
              <w:t>областной бюджет Тверской области на 2024 год</w:t>
            </w:r>
            <w:r w:rsidRPr="00210BF6">
              <w:rPr>
                <w:rFonts w:ascii="Times New Roman" w:hAnsi="Times New Roman" w:cs="Times New Roman"/>
              </w:rPr>
              <w:t>, как разница по нормативам отчислений в местные бюджеты</w:t>
            </w:r>
          </w:p>
        </w:tc>
        <w:tc>
          <w:tcPr>
            <w:tcW w:w="2835" w:type="dxa"/>
          </w:tcPr>
          <w:p w:rsidR="00210BF6" w:rsidRPr="006C3EFA" w:rsidRDefault="0015546B" w:rsidP="00AA6927">
            <w:pPr>
              <w:jc w:val="center"/>
              <w:rPr>
                <w:rFonts w:ascii="Times New Roman" w:hAnsi="Times New Roman" w:cs="Times New Roman"/>
                <w:b/>
              </w:rPr>
            </w:pPr>
            <w:r w:rsidRPr="006C3EFA">
              <w:rPr>
                <w:rFonts w:ascii="Times New Roman" w:hAnsi="Times New Roman" w:cs="Times New Roman"/>
                <w:b/>
              </w:rPr>
              <w:t>136 737,0</w:t>
            </w:r>
          </w:p>
        </w:tc>
        <w:tc>
          <w:tcPr>
            <w:tcW w:w="2126" w:type="dxa"/>
          </w:tcPr>
          <w:p w:rsidR="00210BF6" w:rsidRPr="006C3EFA" w:rsidRDefault="0015546B" w:rsidP="00F36069">
            <w:pPr>
              <w:jc w:val="center"/>
              <w:rPr>
                <w:rFonts w:ascii="Times New Roman" w:hAnsi="Times New Roman" w:cs="Times New Roman"/>
                <w:b/>
              </w:rPr>
            </w:pPr>
            <w:r w:rsidRPr="006C3EFA">
              <w:rPr>
                <w:rFonts w:ascii="Times New Roman" w:hAnsi="Times New Roman" w:cs="Times New Roman"/>
                <w:b/>
              </w:rPr>
              <w:t>182 105,0</w:t>
            </w:r>
          </w:p>
          <w:p w:rsidR="0015546B" w:rsidRPr="006C3EFA" w:rsidRDefault="0015546B" w:rsidP="00F36069">
            <w:pPr>
              <w:jc w:val="center"/>
              <w:rPr>
                <w:rFonts w:ascii="Times New Roman" w:hAnsi="Times New Roman" w:cs="Times New Roman"/>
                <w:b/>
              </w:rPr>
            </w:pPr>
          </w:p>
        </w:tc>
      </w:tr>
    </w:tbl>
    <w:p w:rsidR="00210BF6" w:rsidRPr="00210BF6" w:rsidRDefault="00210BF6" w:rsidP="00210BF6">
      <w:pPr>
        <w:jc w:val="center"/>
        <w:rPr>
          <w:rFonts w:eastAsia="Calibri"/>
          <w:lang w:eastAsia="en-US"/>
        </w:rPr>
      </w:pPr>
    </w:p>
    <w:p w:rsidR="00210BF6" w:rsidRDefault="00210BF6" w:rsidP="00210BF6">
      <w:pPr>
        <w:jc w:val="center"/>
        <w:rPr>
          <w:rFonts w:eastAsia="Calibri"/>
          <w:lang w:eastAsia="en-US"/>
        </w:rPr>
      </w:pPr>
    </w:p>
    <w:p w:rsidR="00210BF6" w:rsidRPr="00866E2D" w:rsidRDefault="00685909" w:rsidP="00210BF6">
      <w:pPr>
        <w:jc w:val="center"/>
        <w:rPr>
          <w:rFonts w:eastAsia="Calibri"/>
          <w:b/>
          <w:color w:val="000000"/>
          <w:sz w:val="28"/>
          <w:shd w:val="clear" w:color="auto" w:fill="FFFFFF"/>
          <w:lang w:eastAsia="en-US"/>
        </w:rPr>
      </w:pPr>
      <w:r>
        <w:rPr>
          <w:rFonts w:eastAsia="Calibri"/>
          <w:b/>
          <w:color w:val="000000"/>
          <w:sz w:val="28"/>
          <w:shd w:val="clear" w:color="auto" w:fill="FFFFFF"/>
          <w:lang w:eastAsia="en-US"/>
        </w:rPr>
        <w:t>Н</w:t>
      </w:r>
      <w:r w:rsidR="00210BF6" w:rsidRPr="00866E2D">
        <w:rPr>
          <w:rFonts w:eastAsia="Calibri"/>
          <w:b/>
          <w:color w:val="000000"/>
          <w:sz w:val="28"/>
          <w:shd w:val="clear" w:color="auto" w:fill="FFFFFF"/>
          <w:lang w:eastAsia="en-US"/>
        </w:rPr>
        <w:t>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p w:rsidR="00210BF6" w:rsidRPr="00866E2D" w:rsidRDefault="00210BF6" w:rsidP="00210BF6">
      <w:pPr>
        <w:jc w:val="center"/>
        <w:rPr>
          <w:rFonts w:eastAsia="Calibri"/>
          <w:color w:val="333333"/>
          <w:sz w:val="28"/>
          <w:shd w:val="clear" w:color="auto" w:fill="FFFFFF"/>
          <w:lang w:eastAsia="en-US"/>
        </w:rPr>
      </w:pPr>
      <w:r w:rsidRPr="00866E2D">
        <w:rPr>
          <w:rFonts w:eastAsia="Calibri"/>
          <w:color w:val="000000"/>
          <w:sz w:val="28"/>
          <w:shd w:val="clear" w:color="auto" w:fill="FFFFFF"/>
          <w:lang w:eastAsia="en-US"/>
        </w:rPr>
        <w:t xml:space="preserve">(000 </w:t>
      </w:r>
      <w:r w:rsidRPr="00866E2D">
        <w:rPr>
          <w:rFonts w:eastAsia="Calibri"/>
          <w:color w:val="333333"/>
          <w:sz w:val="28"/>
          <w:shd w:val="clear" w:color="auto" w:fill="FFFFFF"/>
          <w:lang w:eastAsia="en-US"/>
        </w:rPr>
        <w:t>1 01 02040 01 0000 110),</w:t>
      </w:r>
    </w:p>
    <w:p w:rsidR="00210BF6" w:rsidRPr="00866E2D" w:rsidRDefault="00685909" w:rsidP="00210BF6">
      <w:pPr>
        <w:jc w:val="center"/>
        <w:rPr>
          <w:rFonts w:eastAsia="Calibri"/>
          <w:b/>
          <w:color w:val="333333"/>
          <w:sz w:val="28"/>
          <w:shd w:val="clear" w:color="auto" w:fill="FFFFFF"/>
          <w:lang w:eastAsia="en-US"/>
        </w:rPr>
      </w:pPr>
      <w:r>
        <w:rPr>
          <w:rFonts w:eastAsia="Calibri"/>
          <w:b/>
          <w:color w:val="333333"/>
          <w:sz w:val="28"/>
          <w:shd w:val="clear" w:color="auto" w:fill="FFFFFF"/>
          <w:lang w:eastAsia="en-US"/>
        </w:rPr>
        <w:t>Н</w:t>
      </w:r>
      <w:r w:rsidR="00210BF6" w:rsidRPr="00866E2D">
        <w:rPr>
          <w:rFonts w:eastAsia="Calibri"/>
          <w:b/>
          <w:color w:val="333333"/>
          <w:sz w:val="28"/>
          <w:shd w:val="clear" w:color="auto" w:fill="FFFFFF"/>
          <w:lang w:eastAsia="en-US"/>
        </w:rPr>
        <w:t>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не превышающей 650 000 рублей)</w:t>
      </w:r>
    </w:p>
    <w:p w:rsidR="00210BF6" w:rsidRPr="00866E2D" w:rsidRDefault="00210BF6" w:rsidP="00210BF6">
      <w:pPr>
        <w:jc w:val="center"/>
        <w:rPr>
          <w:rFonts w:eastAsia="Calibri"/>
          <w:color w:val="333333"/>
          <w:sz w:val="28"/>
          <w:shd w:val="clear" w:color="auto" w:fill="FFFFFF"/>
          <w:lang w:eastAsia="en-US"/>
        </w:rPr>
      </w:pPr>
      <w:r w:rsidRPr="00866E2D">
        <w:rPr>
          <w:rFonts w:eastAsia="Calibri"/>
          <w:color w:val="333333"/>
          <w:sz w:val="28"/>
          <w:shd w:val="clear" w:color="auto" w:fill="FFFFFF"/>
          <w:lang w:eastAsia="en-US"/>
        </w:rPr>
        <w:t>(КБК 182 1 01 02050 01 0000 110)</w:t>
      </w:r>
    </w:p>
    <w:p w:rsidR="00210BF6" w:rsidRPr="00210BF6" w:rsidRDefault="00210BF6" w:rsidP="00210BF6">
      <w:pPr>
        <w:jc w:val="right"/>
        <w:rPr>
          <w:rFonts w:eastAsia="Calibri"/>
          <w:color w:val="333333"/>
          <w:shd w:val="clear" w:color="auto" w:fill="FFFFFF"/>
          <w:lang w:eastAsia="en-US"/>
        </w:rPr>
      </w:pPr>
    </w:p>
    <w:p w:rsidR="00210BF6" w:rsidRPr="00210BF6" w:rsidRDefault="00210BF6" w:rsidP="00210BF6">
      <w:pPr>
        <w:jc w:val="right"/>
        <w:rPr>
          <w:rFonts w:eastAsia="Calibri"/>
          <w:lang w:eastAsia="en-US"/>
        </w:rPr>
      </w:pPr>
      <w:r w:rsidRPr="00210BF6">
        <w:rPr>
          <w:rFonts w:eastAsia="Calibri"/>
          <w:color w:val="333333"/>
          <w:shd w:val="clear" w:color="auto" w:fill="FFFFFF"/>
          <w:lang w:eastAsia="en-US"/>
        </w:rPr>
        <w:t>(тыс. руб.)</w:t>
      </w:r>
    </w:p>
    <w:tbl>
      <w:tblPr>
        <w:tblStyle w:val="710"/>
        <w:tblW w:w="10349" w:type="dxa"/>
        <w:tblInd w:w="-289" w:type="dxa"/>
        <w:tblLook w:val="04A0" w:firstRow="1" w:lastRow="0" w:firstColumn="1" w:lastColumn="0" w:noHBand="0" w:noVBand="1"/>
      </w:tblPr>
      <w:tblGrid>
        <w:gridCol w:w="606"/>
        <w:gridCol w:w="5046"/>
        <w:gridCol w:w="2182"/>
        <w:gridCol w:w="2515"/>
      </w:tblGrid>
      <w:tr w:rsidR="00210BF6" w:rsidRPr="00210BF6" w:rsidTr="00B821AA">
        <w:trPr>
          <w:trHeight w:val="830"/>
        </w:trPr>
        <w:tc>
          <w:tcPr>
            <w:tcW w:w="614" w:type="dxa"/>
            <w:vMerge w:val="restart"/>
          </w:tcPr>
          <w:p w:rsidR="00210BF6" w:rsidRPr="00210BF6" w:rsidRDefault="00210BF6" w:rsidP="00210BF6">
            <w:pPr>
              <w:jc w:val="center"/>
              <w:rPr>
                <w:rFonts w:ascii="Times New Roman" w:hAnsi="Times New Roman" w:cs="Times New Roman"/>
              </w:rPr>
            </w:pPr>
          </w:p>
          <w:p w:rsidR="00210BF6" w:rsidRPr="00210BF6" w:rsidRDefault="00210BF6" w:rsidP="00210BF6">
            <w:pPr>
              <w:jc w:val="center"/>
              <w:rPr>
                <w:rFonts w:ascii="Times New Roman" w:hAnsi="Times New Roman" w:cs="Times New Roman"/>
              </w:rPr>
            </w:pPr>
          </w:p>
          <w:p w:rsidR="00210BF6" w:rsidRPr="00210BF6" w:rsidRDefault="00210BF6" w:rsidP="00210BF6">
            <w:pPr>
              <w:jc w:val="center"/>
              <w:rPr>
                <w:rFonts w:ascii="Times New Roman" w:hAnsi="Times New Roman" w:cs="Times New Roman"/>
              </w:rPr>
            </w:pPr>
            <w:r w:rsidRPr="00210BF6">
              <w:rPr>
                <w:rFonts w:ascii="Times New Roman" w:hAnsi="Times New Roman" w:cs="Times New Roman"/>
              </w:rPr>
              <w:t>№ п/п</w:t>
            </w:r>
          </w:p>
        </w:tc>
        <w:tc>
          <w:tcPr>
            <w:tcW w:w="5340" w:type="dxa"/>
            <w:vMerge w:val="restart"/>
          </w:tcPr>
          <w:p w:rsidR="00210BF6" w:rsidRPr="00210BF6" w:rsidRDefault="00210BF6" w:rsidP="00210BF6">
            <w:pPr>
              <w:jc w:val="center"/>
              <w:rPr>
                <w:rFonts w:ascii="Times New Roman" w:hAnsi="Times New Roman" w:cs="Times New Roman"/>
              </w:rPr>
            </w:pPr>
          </w:p>
          <w:p w:rsidR="00210BF6" w:rsidRPr="00210BF6" w:rsidRDefault="00210BF6" w:rsidP="00210BF6">
            <w:pPr>
              <w:jc w:val="center"/>
              <w:rPr>
                <w:rFonts w:ascii="Times New Roman" w:hAnsi="Times New Roman" w:cs="Times New Roman"/>
              </w:rPr>
            </w:pPr>
            <w:r w:rsidRPr="00210BF6">
              <w:rPr>
                <w:rFonts w:ascii="Times New Roman" w:hAnsi="Times New Roman" w:cs="Times New Roman"/>
              </w:rPr>
              <w:t>Наименование</w:t>
            </w:r>
          </w:p>
        </w:tc>
        <w:tc>
          <w:tcPr>
            <w:tcW w:w="4395" w:type="dxa"/>
            <w:gridSpan w:val="2"/>
          </w:tcPr>
          <w:p w:rsidR="00210BF6" w:rsidRPr="00210BF6" w:rsidRDefault="00866E2D" w:rsidP="00210BF6">
            <w:pPr>
              <w:jc w:val="center"/>
              <w:rPr>
                <w:rFonts w:ascii="Times New Roman" w:hAnsi="Times New Roman" w:cs="Times New Roman"/>
              </w:rPr>
            </w:pPr>
            <w:r w:rsidRPr="00685909">
              <w:rPr>
                <w:rFonts w:ascii="Times New Roman" w:hAnsi="Times New Roman" w:cs="Times New Roman"/>
                <w:sz w:val="28"/>
              </w:rPr>
              <w:t>Налог на доходы физических лиц</w:t>
            </w:r>
          </w:p>
        </w:tc>
      </w:tr>
      <w:tr w:rsidR="00210BF6" w:rsidRPr="00210BF6" w:rsidTr="00B821AA">
        <w:trPr>
          <w:trHeight w:val="830"/>
        </w:trPr>
        <w:tc>
          <w:tcPr>
            <w:tcW w:w="614" w:type="dxa"/>
            <w:vMerge/>
          </w:tcPr>
          <w:p w:rsidR="00210BF6" w:rsidRPr="00210BF6" w:rsidRDefault="00210BF6" w:rsidP="00210BF6">
            <w:pPr>
              <w:jc w:val="center"/>
              <w:rPr>
                <w:rFonts w:ascii="Times New Roman" w:hAnsi="Times New Roman" w:cs="Times New Roman"/>
              </w:rPr>
            </w:pPr>
          </w:p>
        </w:tc>
        <w:tc>
          <w:tcPr>
            <w:tcW w:w="5340" w:type="dxa"/>
            <w:vMerge/>
          </w:tcPr>
          <w:p w:rsidR="00210BF6" w:rsidRPr="00210BF6" w:rsidRDefault="00210BF6" w:rsidP="00210BF6">
            <w:pPr>
              <w:jc w:val="center"/>
              <w:rPr>
                <w:rFonts w:ascii="Times New Roman" w:hAnsi="Times New Roman" w:cs="Times New Roman"/>
              </w:rPr>
            </w:pPr>
          </w:p>
        </w:tc>
        <w:tc>
          <w:tcPr>
            <w:tcW w:w="1843" w:type="dxa"/>
          </w:tcPr>
          <w:p w:rsidR="00210BF6" w:rsidRPr="00210BF6" w:rsidRDefault="00210BF6" w:rsidP="00210BF6">
            <w:pPr>
              <w:jc w:val="center"/>
              <w:rPr>
                <w:rFonts w:ascii="Times New Roman" w:hAnsi="Times New Roman" w:cs="Times New Roman"/>
                <w:color w:val="000000"/>
                <w:shd w:val="clear" w:color="auto" w:fill="FFFFFF"/>
              </w:rPr>
            </w:pPr>
            <w:r w:rsidRPr="00210BF6">
              <w:rPr>
                <w:rFonts w:ascii="Times New Roman" w:hAnsi="Times New Roman" w:cs="Times New Roman"/>
                <w:color w:val="000000"/>
                <w:shd w:val="clear" w:color="auto" w:fill="FFFFFF"/>
              </w:rPr>
              <w:t xml:space="preserve">в виде фиксированных авансовых платежей с </w:t>
            </w:r>
            <w:r w:rsidRPr="00210BF6">
              <w:rPr>
                <w:rFonts w:ascii="Times New Roman" w:hAnsi="Times New Roman" w:cs="Times New Roman"/>
                <w:color w:val="000000"/>
                <w:shd w:val="clear" w:color="auto" w:fill="FFFFFF"/>
              </w:rPr>
              <w:lastRenderedPageBreak/>
              <w:t>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НК РФ</w:t>
            </w:r>
          </w:p>
          <w:p w:rsidR="00210BF6" w:rsidRPr="00210BF6" w:rsidRDefault="00210BF6" w:rsidP="00210BF6">
            <w:pPr>
              <w:jc w:val="center"/>
              <w:rPr>
                <w:rFonts w:ascii="Times New Roman" w:hAnsi="Times New Roman" w:cs="Times New Roman"/>
                <w:color w:val="000000"/>
                <w:shd w:val="clear" w:color="auto" w:fill="FFFFFF"/>
              </w:rPr>
            </w:pPr>
            <w:r w:rsidRPr="00210BF6">
              <w:rPr>
                <w:rFonts w:ascii="Times New Roman" w:hAnsi="Times New Roman" w:cs="Times New Roman"/>
                <w:color w:val="000000"/>
                <w:shd w:val="clear" w:color="auto" w:fill="FFFFFF"/>
              </w:rPr>
              <w:t>(КБК 182 1 01 02040 01 0000 110)</w:t>
            </w:r>
          </w:p>
        </w:tc>
        <w:tc>
          <w:tcPr>
            <w:tcW w:w="2552" w:type="dxa"/>
          </w:tcPr>
          <w:p w:rsidR="00210BF6" w:rsidRPr="00210BF6" w:rsidRDefault="00210BF6" w:rsidP="00210BF6">
            <w:pPr>
              <w:jc w:val="center"/>
              <w:rPr>
                <w:rFonts w:ascii="Times New Roman" w:hAnsi="Times New Roman" w:cs="Times New Roman"/>
              </w:rPr>
            </w:pPr>
            <w:r w:rsidRPr="00210BF6">
              <w:rPr>
                <w:rFonts w:ascii="Times New Roman" w:hAnsi="Times New Roman" w:cs="Times New Roman"/>
              </w:rPr>
              <w:lastRenderedPageBreak/>
              <w:t xml:space="preserve">с сумм прибыли контролируемой иностранной компании, </w:t>
            </w:r>
            <w:r w:rsidRPr="00210BF6">
              <w:rPr>
                <w:rFonts w:ascii="Times New Roman" w:hAnsi="Times New Roman" w:cs="Times New Roman"/>
              </w:rPr>
              <w:lastRenderedPageBreak/>
              <w:t xml:space="preserve">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не превышающей 650 000 рублей)  </w:t>
            </w:r>
          </w:p>
          <w:p w:rsidR="00210BF6" w:rsidRPr="00210BF6" w:rsidRDefault="00210BF6" w:rsidP="00210BF6">
            <w:pPr>
              <w:jc w:val="center"/>
              <w:rPr>
                <w:rFonts w:ascii="Times New Roman" w:hAnsi="Times New Roman" w:cs="Times New Roman"/>
              </w:rPr>
            </w:pPr>
            <w:r w:rsidRPr="00210BF6">
              <w:rPr>
                <w:rFonts w:ascii="Times New Roman" w:hAnsi="Times New Roman" w:cs="Times New Roman"/>
              </w:rPr>
              <w:t>(КБК 182 1 01 02050 01 0000 110)</w:t>
            </w:r>
          </w:p>
        </w:tc>
      </w:tr>
      <w:tr w:rsidR="00210BF6" w:rsidRPr="00210BF6" w:rsidTr="00B821AA">
        <w:tc>
          <w:tcPr>
            <w:tcW w:w="614" w:type="dxa"/>
          </w:tcPr>
          <w:p w:rsidR="00210BF6" w:rsidRPr="00210BF6" w:rsidRDefault="00210BF6" w:rsidP="00210BF6">
            <w:pPr>
              <w:jc w:val="center"/>
              <w:rPr>
                <w:rFonts w:ascii="Times New Roman" w:hAnsi="Times New Roman" w:cs="Times New Roman"/>
              </w:rPr>
            </w:pPr>
            <w:r w:rsidRPr="00210BF6">
              <w:rPr>
                <w:rFonts w:ascii="Times New Roman" w:hAnsi="Times New Roman" w:cs="Times New Roman"/>
              </w:rPr>
              <w:lastRenderedPageBreak/>
              <w:t>1</w:t>
            </w:r>
          </w:p>
        </w:tc>
        <w:tc>
          <w:tcPr>
            <w:tcW w:w="5340" w:type="dxa"/>
          </w:tcPr>
          <w:p w:rsidR="00210BF6" w:rsidRPr="00210BF6" w:rsidRDefault="00210BF6" w:rsidP="00210BF6">
            <w:pPr>
              <w:jc w:val="both"/>
              <w:rPr>
                <w:rFonts w:ascii="Times New Roman" w:hAnsi="Times New Roman" w:cs="Times New Roman"/>
              </w:rPr>
            </w:pPr>
            <w:r w:rsidRPr="00210BF6">
              <w:rPr>
                <w:rFonts w:ascii="Times New Roman" w:hAnsi="Times New Roman" w:cs="Times New Roman"/>
              </w:rPr>
              <w:t>Фонд заработной платы за 2020 год, по данным Министерства экономического развития Тверской области (в разрезе каждого муниципального образования)</w:t>
            </w:r>
          </w:p>
        </w:tc>
        <w:tc>
          <w:tcPr>
            <w:tcW w:w="1843" w:type="dxa"/>
          </w:tcPr>
          <w:p w:rsidR="00210BF6" w:rsidRPr="00210BF6" w:rsidRDefault="00210BF6" w:rsidP="00210BF6">
            <w:pPr>
              <w:jc w:val="center"/>
              <w:rPr>
                <w:rFonts w:ascii="Times New Roman" w:hAnsi="Times New Roman" w:cs="Times New Roman"/>
              </w:rPr>
            </w:pPr>
            <w:r w:rsidRPr="00210BF6">
              <w:rPr>
                <w:rFonts w:ascii="Times New Roman" w:hAnsi="Times New Roman" w:cs="Times New Roman"/>
                <w:bCs/>
                <w:color w:val="000000"/>
              </w:rPr>
              <w:t>183 425 131,0</w:t>
            </w:r>
          </w:p>
        </w:tc>
        <w:tc>
          <w:tcPr>
            <w:tcW w:w="2552" w:type="dxa"/>
          </w:tcPr>
          <w:p w:rsidR="00210BF6" w:rsidRPr="00210BF6" w:rsidRDefault="00210BF6" w:rsidP="00210BF6">
            <w:pPr>
              <w:jc w:val="center"/>
              <w:rPr>
                <w:rFonts w:ascii="Times New Roman" w:hAnsi="Times New Roman" w:cs="Times New Roman"/>
                <w:bCs/>
                <w:color w:val="000000"/>
              </w:rPr>
            </w:pPr>
            <w:r w:rsidRPr="00210BF6">
              <w:rPr>
                <w:rFonts w:ascii="Times New Roman" w:hAnsi="Times New Roman" w:cs="Times New Roman"/>
                <w:bCs/>
                <w:color w:val="000000"/>
              </w:rPr>
              <w:t>183 425 131,0</w:t>
            </w:r>
          </w:p>
        </w:tc>
      </w:tr>
      <w:tr w:rsidR="00210BF6" w:rsidRPr="00210BF6" w:rsidTr="00B821AA">
        <w:tc>
          <w:tcPr>
            <w:tcW w:w="614" w:type="dxa"/>
          </w:tcPr>
          <w:p w:rsidR="00210BF6" w:rsidRPr="00210BF6" w:rsidRDefault="00210BF6" w:rsidP="00210BF6">
            <w:pPr>
              <w:jc w:val="center"/>
              <w:rPr>
                <w:rFonts w:ascii="Times New Roman" w:hAnsi="Times New Roman" w:cs="Times New Roman"/>
              </w:rPr>
            </w:pPr>
            <w:r w:rsidRPr="00210BF6">
              <w:rPr>
                <w:rFonts w:ascii="Times New Roman" w:hAnsi="Times New Roman" w:cs="Times New Roman"/>
              </w:rPr>
              <w:t>2</w:t>
            </w:r>
          </w:p>
        </w:tc>
        <w:tc>
          <w:tcPr>
            <w:tcW w:w="5340" w:type="dxa"/>
          </w:tcPr>
          <w:p w:rsidR="00210BF6" w:rsidRPr="00210BF6" w:rsidRDefault="00210BF6" w:rsidP="00210BF6">
            <w:pPr>
              <w:jc w:val="both"/>
              <w:rPr>
                <w:rFonts w:ascii="Times New Roman" w:hAnsi="Times New Roman" w:cs="Times New Roman"/>
              </w:rPr>
            </w:pPr>
            <w:r w:rsidRPr="00210BF6">
              <w:rPr>
                <w:rFonts w:ascii="Times New Roman" w:hAnsi="Times New Roman" w:cs="Times New Roman"/>
              </w:rPr>
              <w:t>Поступление налога на доходы физических лиц за 2020 год (в разрезе каждого муниципального образования)</w:t>
            </w:r>
          </w:p>
        </w:tc>
        <w:tc>
          <w:tcPr>
            <w:tcW w:w="1843" w:type="dxa"/>
          </w:tcPr>
          <w:p w:rsidR="00210BF6" w:rsidRPr="00210BF6" w:rsidRDefault="00210BF6" w:rsidP="00210BF6">
            <w:pPr>
              <w:jc w:val="center"/>
              <w:rPr>
                <w:rFonts w:ascii="Times New Roman" w:hAnsi="Times New Roman" w:cs="Times New Roman"/>
                <w:lang w:val="en-US"/>
              </w:rPr>
            </w:pPr>
            <w:r w:rsidRPr="00210BF6">
              <w:rPr>
                <w:rFonts w:ascii="Times New Roman" w:hAnsi="Times New Roman" w:cs="Times New Roman"/>
                <w:bCs/>
                <w:color w:val="000000"/>
              </w:rPr>
              <w:t>434 371,0</w:t>
            </w:r>
          </w:p>
        </w:tc>
        <w:tc>
          <w:tcPr>
            <w:tcW w:w="2552" w:type="dxa"/>
          </w:tcPr>
          <w:p w:rsidR="00210BF6" w:rsidRPr="00210BF6" w:rsidRDefault="00210BF6" w:rsidP="00210BF6">
            <w:pPr>
              <w:jc w:val="center"/>
              <w:rPr>
                <w:rFonts w:ascii="Times New Roman" w:hAnsi="Times New Roman" w:cs="Times New Roman"/>
                <w:bCs/>
                <w:color w:val="000000"/>
              </w:rPr>
            </w:pPr>
            <w:r w:rsidRPr="00210BF6">
              <w:rPr>
                <w:rFonts w:ascii="Times New Roman" w:hAnsi="Times New Roman" w:cs="Times New Roman"/>
                <w:bCs/>
                <w:color w:val="000000"/>
              </w:rPr>
              <w:t>-1,0</w:t>
            </w:r>
          </w:p>
        </w:tc>
      </w:tr>
      <w:tr w:rsidR="00210BF6" w:rsidRPr="00210BF6" w:rsidTr="00B821AA">
        <w:tc>
          <w:tcPr>
            <w:tcW w:w="614" w:type="dxa"/>
          </w:tcPr>
          <w:p w:rsidR="00210BF6" w:rsidRPr="00210BF6" w:rsidRDefault="00210BF6" w:rsidP="00210BF6">
            <w:pPr>
              <w:jc w:val="center"/>
              <w:rPr>
                <w:rFonts w:ascii="Times New Roman" w:hAnsi="Times New Roman" w:cs="Times New Roman"/>
              </w:rPr>
            </w:pPr>
            <w:r w:rsidRPr="00210BF6">
              <w:rPr>
                <w:rFonts w:ascii="Times New Roman" w:hAnsi="Times New Roman" w:cs="Times New Roman"/>
              </w:rPr>
              <w:t>3</w:t>
            </w:r>
          </w:p>
        </w:tc>
        <w:tc>
          <w:tcPr>
            <w:tcW w:w="5340" w:type="dxa"/>
          </w:tcPr>
          <w:p w:rsidR="00210BF6" w:rsidRPr="00210BF6" w:rsidRDefault="00210BF6" w:rsidP="00210BF6">
            <w:pPr>
              <w:jc w:val="both"/>
              <w:rPr>
                <w:rFonts w:ascii="Times New Roman" w:hAnsi="Times New Roman" w:cs="Times New Roman"/>
              </w:rPr>
            </w:pPr>
            <w:r w:rsidRPr="00210BF6">
              <w:rPr>
                <w:rFonts w:ascii="Times New Roman" w:hAnsi="Times New Roman" w:cs="Times New Roman"/>
              </w:rPr>
              <w:t>Доля поступления налога на доходы физических лиц за 2020 год в фонде заработной платы за 2020 год муниципального образования (по данным Министерства экономического развития Тверской области) в разрезе каждого муниципального образования</w:t>
            </w:r>
          </w:p>
          <w:p w:rsidR="00210BF6" w:rsidRPr="00210BF6" w:rsidRDefault="00210BF6" w:rsidP="00210BF6">
            <w:pPr>
              <w:jc w:val="both"/>
              <w:rPr>
                <w:rFonts w:ascii="Times New Roman" w:hAnsi="Times New Roman" w:cs="Times New Roman"/>
              </w:rPr>
            </w:pPr>
            <w:r w:rsidRPr="00210BF6">
              <w:rPr>
                <w:rFonts w:ascii="Times New Roman" w:hAnsi="Times New Roman" w:cs="Times New Roman"/>
              </w:rPr>
              <w:t>(стр.2/ стр.1 *100), в %</w:t>
            </w:r>
          </w:p>
        </w:tc>
        <w:tc>
          <w:tcPr>
            <w:tcW w:w="1843" w:type="dxa"/>
          </w:tcPr>
          <w:p w:rsidR="00210BF6" w:rsidRPr="00210BF6" w:rsidRDefault="00210BF6" w:rsidP="00210BF6">
            <w:pPr>
              <w:jc w:val="center"/>
              <w:rPr>
                <w:rFonts w:ascii="Times New Roman" w:hAnsi="Times New Roman" w:cs="Times New Roman"/>
              </w:rPr>
            </w:pPr>
            <w:r w:rsidRPr="00210BF6">
              <w:rPr>
                <w:rFonts w:ascii="Times New Roman" w:hAnsi="Times New Roman" w:cs="Times New Roman"/>
              </w:rPr>
              <w:t>по каждому муниципальному образованию</w:t>
            </w:r>
          </w:p>
          <w:p w:rsidR="00210BF6" w:rsidRPr="00210BF6" w:rsidRDefault="00210BF6" w:rsidP="00210BF6">
            <w:pPr>
              <w:jc w:val="center"/>
              <w:rPr>
                <w:rFonts w:ascii="Times New Roman" w:hAnsi="Times New Roman" w:cs="Times New Roman"/>
              </w:rPr>
            </w:pPr>
            <w:r w:rsidRPr="00210BF6">
              <w:rPr>
                <w:rFonts w:ascii="Times New Roman" w:hAnsi="Times New Roman" w:cs="Times New Roman"/>
              </w:rPr>
              <w:t>Тверской области</w:t>
            </w:r>
          </w:p>
        </w:tc>
        <w:tc>
          <w:tcPr>
            <w:tcW w:w="2552" w:type="dxa"/>
          </w:tcPr>
          <w:p w:rsidR="00210BF6" w:rsidRPr="00210BF6" w:rsidRDefault="00210BF6" w:rsidP="00210BF6">
            <w:pPr>
              <w:jc w:val="center"/>
              <w:rPr>
                <w:rFonts w:ascii="Times New Roman" w:hAnsi="Times New Roman" w:cs="Times New Roman"/>
              </w:rPr>
            </w:pPr>
            <w:r w:rsidRPr="00210BF6">
              <w:rPr>
                <w:rFonts w:ascii="Times New Roman" w:hAnsi="Times New Roman" w:cs="Times New Roman"/>
              </w:rPr>
              <w:t>по каждому муниципальному образованию</w:t>
            </w:r>
          </w:p>
          <w:p w:rsidR="00210BF6" w:rsidRPr="00210BF6" w:rsidRDefault="00210BF6" w:rsidP="00210BF6">
            <w:pPr>
              <w:jc w:val="center"/>
              <w:rPr>
                <w:rFonts w:ascii="Times New Roman" w:hAnsi="Times New Roman" w:cs="Times New Roman"/>
              </w:rPr>
            </w:pPr>
            <w:r w:rsidRPr="00210BF6">
              <w:rPr>
                <w:rFonts w:ascii="Times New Roman" w:hAnsi="Times New Roman" w:cs="Times New Roman"/>
              </w:rPr>
              <w:t>Тверской области</w:t>
            </w:r>
          </w:p>
        </w:tc>
      </w:tr>
      <w:tr w:rsidR="00210BF6" w:rsidRPr="00210BF6" w:rsidTr="00B821AA">
        <w:tc>
          <w:tcPr>
            <w:tcW w:w="614" w:type="dxa"/>
          </w:tcPr>
          <w:p w:rsidR="00210BF6" w:rsidRPr="00210BF6" w:rsidRDefault="00210BF6" w:rsidP="00210BF6">
            <w:pPr>
              <w:jc w:val="center"/>
              <w:rPr>
                <w:rFonts w:ascii="Times New Roman" w:hAnsi="Times New Roman" w:cs="Times New Roman"/>
                <w:lang w:val="en-US"/>
              </w:rPr>
            </w:pPr>
            <w:r w:rsidRPr="00210BF6">
              <w:rPr>
                <w:rFonts w:ascii="Times New Roman" w:hAnsi="Times New Roman" w:cs="Times New Roman"/>
                <w:lang w:val="en-US"/>
              </w:rPr>
              <w:t>4</w:t>
            </w:r>
          </w:p>
        </w:tc>
        <w:tc>
          <w:tcPr>
            <w:tcW w:w="5340" w:type="dxa"/>
          </w:tcPr>
          <w:p w:rsidR="00210BF6" w:rsidRPr="00210BF6" w:rsidRDefault="00210BF6" w:rsidP="00210BF6">
            <w:pPr>
              <w:jc w:val="both"/>
              <w:rPr>
                <w:rFonts w:ascii="Times New Roman" w:hAnsi="Times New Roman" w:cs="Times New Roman"/>
              </w:rPr>
            </w:pPr>
            <w:r w:rsidRPr="00210BF6">
              <w:rPr>
                <w:rFonts w:ascii="Times New Roman" w:hAnsi="Times New Roman" w:cs="Times New Roman"/>
              </w:rPr>
              <w:t>Фонд заработной платы за 2021 год, по данным Министерства экономического развития Тверской области (в разрезе каждого муниципального образования)</w:t>
            </w:r>
          </w:p>
        </w:tc>
        <w:tc>
          <w:tcPr>
            <w:tcW w:w="1843" w:type="dxa"/>
          </w:tcPr>
          <w:p w:rsidR="00210BF6" w:rsidRPr="00210BF6" w:rsidRDefault="00210BF6" w:rsidP="00210BF6">
            <w:pPr>
              <w:jc w:val="center"/>
              <w:rPr>
                <w:rFonts w:ascii="Times New Roman" w:hAnsi="Times New Roman" w:cs="Times New Roman"/>
              </w:rPr>
            </w:pPr>
            <w:r w:rsidRPr="00210BF6">
              <w:rPr>
                <w:rFonts w:ascii="Times New Roman" w:hAnsi="Times New Roman" w:cs="Times New Roman"/>
              </w:rPr>
              <w:t>191 669 215</w:t>
            </w:r>
          </w:p>
        </w:tc>
        <w:tc>
          <w:tcPr>
            <w:tcW w:w="2552" w:type="dxa"/>
          </w:tcPr>
          <w:p w:rsidR="00210BF6" w:rsidRPr="00210BF6" w:rsidRDefault="00210BF6" w:rsidP="00210BF6">
            <w:pPr>
              <w:jc w:val="center"/>
              <w:rPr>
                <w:rFonts w:ascii="Times New Roman" w:hAnsi="Times New Roman" w:cs="Times New Roman"/>
              </w:rPr>
            </w:pPr>
            <w:r w:rsidRPr="00210BF6">
              <w:rPr>
                <w:rFonts w:ascii="Times New Roman" w:hAnsi="Times New Roman" w:cs="Times New Roman"/>
              </w:rPr>
              <w:t>191 669 215</w:t>
            </w:r>
          </w:p>
        </w:tc>
      </w:tr>
      <w:tr w:rsidR="00210BF6" w:rsidRPr="00210BF6" w:rsidTr="00B821AA">
        <w:tc>
          <w:tcPr>
            <w:tcW w:w="614" w:type="dxa"/>
          </w:tcPr>
          <w:p w:rsidR="00210BF6" w:rsidRPr="00210BF6" w:rsidRDefault="00210BF6" w:rsidP="00210BF6">
            <w:pPr>
              <w:jc w:val="center"/>
              <w:rPr>
                <w:rFonts w:ascii="Times New Roman" w:hAnsi="Times New Roman" w:cs="Times New Roman"/>
              </w:rPr>
            </w:pPr>
            <w:r w:rsidRPr="00210BF6">
              <w:rPr>
                <w:rFonts w:ascii="Times New Roman" w:hAnsi="Times New Roman" w:cs="Times New Roman"/>
              </w:rPr>
              <w:t>5</w:t>
            </w:r>
          </w:p>
        </w:tc>
        <w:tc>
          <w:tcPr>
            <w:tcW w:w="5340" w:type="dxa"/>
          </w:tcPr>
          <w:p w:rsidR="00210BF6" w:rsidRPr="00210BF6" w:rsidRDefault="00210BF6" w:rsidP="00210BF6">
            <w:pPr>
              <w:jc w:val="both"/>
              <w:rPr>
                <w:rFonts w:ascii="Times New Roman" w:hAnsi="Times New Roman" w:cs="Times New Roman"/>
              </w:rPr>
            </w:pPr>
            <w:r w:rsidRPr="00210BF6">
              <w:rPr>
                <w:rFonts w:ascii="Times New Roman" w:hAnsi="Times New Roman" w:cs="Times New Roman"/>
              </w:rPr>
              <w:t>Корректирующая сумма поступлений, учитывающая изменения законодательства о налогах и сборах, а также другие факторы (F1)</w:t>
            </w:r>
          </w:p>
        </w:tc>
        <w:tc>
          <w:tcPr>
            <w:tcW w:w="1843" w:type="dxa"/>
          </w:tcPr>
          <w:p w:rsidR="00210BF6" w:rsidRPr="00210BF6" w:rsidRDefault="00210BF6" w:rsidP="00210BF6">
            <w:pPr>
              <w:jc w:val="center"/>
              <w:rPr>
                <w:rFonts w:ascii="Times New Roman" w:hAnsi="Times New Roman" w:cs="Times New Roman"/>
              </w:rPr>
            </w:pPr>
            <w:r w:rsidRPr="00210BF6">
              <w:rPr>
                <w:rFonts w:ascii="Times New Roman" w:hAnsi="Times New Roman" w:cs="Times New Roman"/>
              </w:rPr>
              <w:t>0</w:t>
            </w:r>
          </w:p>
        </w:tc>
        <w:tc>
          <w:tcPr>
            <w:tcW w:w="2552" w:type="dxa"/>
          </w:tcPr>
          <w:p w:rsidR="00210BF6" w:rsidRPr="00210BF6" w:rsidRDefault="00C8031B" w:rsidP="00210BF6">
            <w:pPr>
              <w:jc w:val="center"/>
              <w:rPr>
                <w:rFonts w:ascii="Times New Roman" w:hAnsi="Times New Roman" w:cs="Times New Roman"/>
              </w:rPr>
            </w:pPr>
            <w:r>
              <w:rPr>
                <w:rFonts w:ascii="Times New Roman" w:hAnsi="Times New Roman" w:cs="Times New Roman"/>
              </w:rPr>
              <w:t>0</w:t>
            </w:r>
          </w:p>
        </w:tc>
      </w:tr>
      <w:tr w:rsidR="00210BF6" w:rsidRPr="00210BF6" w:rsidTr="00B821AA">
        <w:tc>
          <w:tcPr>
            <w:tcW w:w="614" w:type="dxa"/>
          </w:tcPr>
          <w:p w:rsidR="00210BF6" w:rsidRPr="00210BF6" w:rsidRDefault="00210BF6" w:rsidP="00210BF6">
            <w:pPr>
              <w:jc w:val="center"/>
              <w:rPr>
                <w:rFonts w:ascii="Times New Roman" w:hAnsi="Times New Roman" w:cs="Times New Roman"/>
              </w:rPr>
            </w:pPr>
            <w:r w:rsidRPr="00210BF6">
              <w:rPr>
                <w:rFonts w:ascii="Times New Roman" w:hAnsi="Times New Roman" w:cs="Times New Roman"/>
              </w:rPr>
              <w:t>6</w:t>
            </w:r>
          </w:p>
        </w:tc>
        <w:tc>
          <w:tcPr>
            <w:tcW w:w="5340" w:type="dxa"/>
          </w:tcPr>
          <w:p w:rsidR="00210BF6" w:rsidRPr="00210BF6" w:rsidRDefault="00210BF6" w:rsidP="00210BF6">
            <w:pPr>
              <w:jc w:val="both"/>
              <w:rPr>
                <w:rFonts w:ascii="Times New Roman" w:hAnsi="Times New Roman" w:cs="Times New Roman"/>
              </w:rPr>
            </w:pPr>
            <w:r w:rsidRPr="00210BF6">
              <w:rPr>
                <w:rFonts w:ascii="Times New Roman" w:hAnsi="Times New Roman" w:cs="Times New Roman"/>
              </w:rPr>
              <w:t>Корректирующая сумма поступлений, учитывающая фактические поступления (F2)</w:t>
            </w:r>
          </w:p>
        </w:tc>
        <w:tc>
          <w:tcPr>
            <w:tcW w:w="1843" w:type="dxa"/>
          </w:tcPr>
          <w:p w:rsidR="00210BF6" w:rsidRPr="00210BF6" w:rsidRDefault="00210BF6" w:rsidP="00210BF6">
            <w:pPr>
              <w:jc w:val="center"/>
              <w:rPr>
                <w:rFonts w:ascii="Times New Roman" w:hAnsi="Times New Roman" w:cs="Times New Roman"/>
              </w:rPr>
            </w:pPr>
            <w:r w:rsidRPr="00210BF6">
              <w:rPr>
                <w:rFonts w:ascii="Times New Roman" w:hAnsi="Times New Roman" w:cs="Times New Roman"/>
              </w:rPr>
              <w:t>-115 924</w:t>
            </w:r>
          </w:p>
        </w:tc>
        <w:tc>
          <w:tcPr>
            <w:tcW w:w="2552" w:type="dxa"/>
          </w:tcPr>
          <w:p w:rsidR="00210BF6" w:rsidRPr="00210BF6" w:rsidRDefault="00210BF6" w:rsidP="00210BF6">
            <w:pPr>
              <w:jc w:val="center"/>
              <w:rPr>
                <w:rFonts w:ascii="Times New Roman" w:hAnsi="Times New Roman" w:cs="Times New Roman"/>
                <w:bCs/>
                <w:color w:val="000000"/>
              </w:rPr>
            </w:pPr>
            <w:r w:rsidRPr="00210BF6">
              <w:rPr>
                <w:rFonts w:ascii="Times New Roman" w:hAnsi="Times New Roman" w:cs="Times New Roman"/>
                <w:bCs/>
                <w:color w:val="000000"/>
              </w:rPr>
              <w:t>2 243</w:t>
            </w:r>
          </w:p>
        </w:tc>
      </w:tr>
      <w:tr w:rsidR="00210BF6" w:rsidRPr="00210BF6" w:rsidTr="00B821AA">
        <w:tc>
          <w:tcPr>
            <w:tcW w:w="614" w:type="dxa"/>
          </w:tcPr>
          <w:p w:rsidR="00210BF6" w:rsidRPr="00210BF6" w:rsidRDefault="00210BF6" w:rsidP="00210BF6">
            <w:pPr>
              <w:jc w:val="center"/>
              <w:rPr>
                <w:rFonts w:ascii="Times New Roman" w:hAnsi="Times New Roman" w:cs="Times New Roman"/>
              </w:rPr>
            </w:pPr>
            <w:r w:rsidRPr="00210BF6">
              <w:rPr>
                <w:rFonts w:ascii="Times New Roman" w:hAnsi="Times New Roman" w:cs="Times New Roman"/>
              </w:rPr>
              <w:t>7</w:t>
            </w:r>
          </w:p>
        </w:tc>
        <w:tc>
          <w:tcPr>
            <w:tcW w:w="5340" w:type="dxa"/>
          </w:tcPr>
          <w:p w:rsidR="00210BF6" w:rsidRPr="00210BF6" w:rsidRDefault="00210BF6" w:rsidP="00210BF6">
            <w:pPr>
              <w:jc w:val="both"/>
              <w:rPr>
                <w:rFonts w:ascii="Times New Roman" w:hAnsi="Times New Roman" w:cs="Times New Roman"/>
              </w:rPr>
            </w:pPr>
            <w:r w:rsidRPr="00210BF6">
              <w:rPr>
                <w:rFonts w:ascii="Times New Roman" w:hAnsi="Times New Roman" w:cs="Times New Roman"/>
                <w:b/>
              </w:rPr>
              <w:t>Оценка налога на доходы физических лиц на 2021 год</w:t>
            </w:r>
            <w:r w:rsidRPr="00210BF6">
              <w:rPr>
                <w:rFonts w:ascii="Times New Roman" w:hAnsi="Times New Roman" w:cs="Times New Roman"/>
              </w:rPr>
              <w:t xml:space="preserve"> </w:t>
            </w:r>
            <w:r w:rsidRPr="00210BF6">
              <w:rPr>
                <w:rFonts w:ascii="Times New Roman" w:hAnsi="Times New Roman" w:cs="Times New Roman"/>
                <w:b/>
              </w:rPr>
              <w:t>в консолидированный бюджет Тверской области</w:t>
            </w:r>
            <w:r w:rsidRPr="00210BF6">
              <w:rPr>
                <w:rFonts w:ascii="Times New Roman" w:hAnsi="Times New Roman" w:cs="Times New Roman"/>
                <w:b/>
              </w:rPr>
              <w:br/>
            </w:r>
            <w:r w:rsidRPr="00210BF6">
              <w:rPr>
                <w:rFonts w:ascii="Times New Roman" w:hAnsi="Times New Roman" w:cs="Times New Roman"/>
              </w:rPr>
              <w:t>(стр.3 *стр.4/100 +стр.5+стр.6) (в разрезе каждого муниципального образования)</w:t>
            </w:r>
          </w:p>
        </w:tc>
        <w:tc>
          <w:tcPr>
            <w:tcW w:w="1843" w:type="dxa"/>
          </w:tcPr>
          <w:p w:rsidR="00210BF6" w:rsidRPr="00210BF6" w:rsidRDefault="00210BF6" w:rsidP="00210BF6">
            <w:pPr>
              <w:jc w:val="center"/>
              <w:rPr>
                <w:rFonts w:ascii="Times New Roman" w:hAnsi="Times New Roman" w:cs="Times New Roman"/>
              </w:rPr>
            </w:pPr>
            <w:r w:rsidRPr="00210BF6">
              <w:rPr>
                <w:rFonts w:ascii="Times New Roman" w:hAnsi="Times New Roman" w:cs="Times New Roman"/>
                <w:b/>
                <w:bCs/>
                <w:color w:val="000000"/>
              </w:rPr>
              <w:t>339 480,0</w:t>
            </w:r>
          </w:p>
        </w:tc>
        <w:tc>
          <w:tcPr>
            <w:tcW w:w="2552" w:type="dxa"/>
          </w:tcPr>
          <w:p w:rsidR="00210BF6" w:rsidRPr="00210BF6" w:rsidRDefault="00210BF6" w:rsidP="00210BF6">
            <w:pPr>
              <w:jc w:val="center"/>
              <w:rPr>
                <w:rFonts w:ascii="Times New Roman" w:hAnsi="Times New Roman" w:cs="Times New Roman"/>
                <w:b/>
                <w:bCs/>
                <w:color w:val="000000"/>
              </w:rPr>
            </w:pPr>
            <w:r w:rsidRPr="00210BF6">
              <w:rPr>
                <w:rFonts w:ascii="Times New Roman" w:hAnsi="Times New Roman" w:cs="Times New Roman"/>
                <w:b/>
                <w:bCs/>
                <w:color w:val="000000"/>
              </w:rPr>
              <w:t>2 243,0</w:t>
            </w:r>
          </w:p>
        </w:tc>
      </w:tr>
      <w:tr w:rsidR="00210BF6" w:rsidRPr="00210BF6" w:rsidTr="00B821AA">
        <w:tc>
          <w:tcPr>
            <w:tcW w:w="614" w:type="dxa"/>
          </w:tcPr>
          <w:p w:rsidR="00210BF6" w:rsidRPr="00210BF6" w:rsidRDefault="00210BF6" w:rsidP="00210BF6">
            <w:pPr>
              <w:jc w:val="center"/>
              <w:rPr>
                <w:rFonts w:ascii="Times New Roman" w:hAnsi="Times New Roman" w:cs="Times New Roman"/>
              </w:rPr>
            </w:pPr>
            <w:r w:rsidRPr="00210BF6">
              <w:rPr>
                <w:rFonts w:ascii="Times New Roman" w:hAnsi="Times New Roman" w:cs="Times New Roman"/>
                <w:lang w:val="en-US"/>
              </w:rPr>
              <w:t>8</w:t>
            </w:r>
          </w:p>
        </w:tc>
        <w:tc>
          <w:tcPr>
            <w:tcW w:w="5340" w:type="dxa"/>
          </w:tcPr>
          <w:p w:rsidR="00210BF6" w:rsidRPr="00210BF6" w:rsidRDefault="00210BF6" w:rsidP="00210BF6">
            <w:pPr>
              <w:jc w:val="both"/>
              <w:rPr>
                <w:rFonts w:ascii="Times New Roman" w:hAnsi="Times New Roman" w:cs="Times New Roman"/>
              </w:rPr>
            </w:pPr>
            <w:r w:rsidRPr="00210BF6">
              <w:rPr>
                <w:rFonts w:ascii="Times New Roman" w:hAnsi="Times New Roman" w:cs="Times New Roman"/>
                <w:b/>
              </w:rPr>
              <w:t xml:space="preserve">Прогноз по налогу на доходы физических лиц на 2022 год в консолидированный бюджет Тверской области </w:t>
            </w:r>
            <w:r w:rsidRPr="00210BF6">
              <w:rPr>
                <w:rFonts w:ascii="Times New Roman" w:hAnsi="Times New Roman" w:cs="Times New Roman"/>
              </w:rPr>
              <w:t xml:space="preserve">(на уровне оценки </w:t>
            </w:r>
            <w:r w:rsidRPr="00210BF6">
              <w:rPr>
                <w:rFonts w:ascii="Times New Roman" w:hAnsi="Times New Roman" w:cs="Times New Roman"/>
              </w:rPr>
              <w:lastRenderedPageBreak/>
              <w:t>на 2021 год</w:t>
            </w:r>
            <w:r w:rsidRPr="00210BF6">
              <w:rPr>
                <w:rFonts w:ascii="Times New Roman" w:hAnsi="Times New Roman" w:cs="Times New Roman"/>
                <w:b/>
              </w:rPr>
              <w:t xml:space="preserve"> </w:t>
            </w:r>
            <w:r w:rsidRPr="00210BF6">
              <w:rPr>
                <w:rFonts w:ascii="Times New Roman" w:hAnsi="Times New Roman" w:cs="Times New Roman"/>
              </w:rPr>
              <w:t>стр.7), в разрезе каждого муниципального образования Тверской области), из них:</w:t>
            </w:r>
          </w:p>
        </w:tc>
        <w:tc>
          <w:tcPr>
            <w:tcW w:w="1843" w:type="dxa"/>
          </w:tcPr>
          <w:p w:rsidR="00210BF6" w:rsidRPr="00210BF6" w:rsidRDefault="00210BF6" w:rsidP="00210BF6">
            <w:pPr>
              <w:jc w:val="center"/>
              <w:rPr>
                <w:rFonts w:ascii="Times New Roman" w:hAnsi="Times New Roman" w:cs="Times New Roman"/>
                <w:b/>
              </w:rPr>
            </w:pPr>
            <w:r w:rsidRPr="00210BF6">
              <w:rPr>
                <w:rFonts w:ascii="Times New Roman" w:hAnsi="Times New Roman" w:cs="Times New Roman"/>
                <w:b/>
                <w:bCs/>
                <w:color w:val="000000"/>
              </w:rPr>
              <w:lastRenderedPageBreak/>
              <w:t>339 480,0</w:t>
            </w:r>
          </w:p>
        </w:tc>
        <w:tc>
          <w:tcPr>
            <w:tcW w:w="2552" w:type="dxa"/>
          </w:tcPr>
          <w:p w:rsidR="00210BF6" w:rsidRPr="00210BF6" w:rsidRDefault="00210BF6" w:rsidP="00210BF6">
            <w:pPr>
              <w:jc w:val="center"/>
              <w:rPr>
                <w:rFonts w:ascii="Times New Roman" w:hAnsi="Times New Roman" w:cs="Times New Roman"/>
                <w:b/>
                <w:bCs/>
                <w:color w:val="000000"/>
              </w:rPr>
            </w:pPr>
            <w:r w:rsidRPr="00210BF6">
              <w:rPr>
                <w:rFonts w:ascii="Times New Roman" w:hAnsi="Times New Roman" w:cs="Times New Roman"/>
                <w:b/>
                <w:bCs/>
                <w:color w:val="000000"/>
              </w:rPr>
              <w:t>2 243,0</w:t>
            </w:r>
          </w:p>
        </w:tc>
      </w:tr>
      <w:tr w:rsidR="00210BF6" w:rsidRPr="00210BF6" w:rsidTr="00B821AA">
        <w:tc>
          <w:tcPr>
            <w:tcW w:w="614" w:type="dxa"/>
          </w:tcPr>
          <w:p w:rsidR="00210BF6" w:rsidRPr="00210BF6" w:rsidRDefault="00210BF6" w:rsidP="00210BF6">
            <w:pPr>
              <w:jc w:val="center"/>
              <w:rPr>
                <w:rFonts w:ascii="Times New Roman" w:hAnsi="Times New Roman" w:cs="Times New Roman"/>
              </w:rPr>
            </w:pPr>
            <w:r w:rsidRPr="00210BF6">
              <w:rPr>
                <w:rFonts w:ascii="Times New Roman" w:hAnsi="Times New Roman" w:cs="Times New Roman"/>
              </w:rPr>
              <w:t>9</w:t>
            </w:r>
          </w:p>
        </w:tc>
        <w:tc>
          <w:tcPr>
            <w:tcW w:w="5340" w:type="dxa"/>
          </w:tcPr>
          <w:p w:rsidR="00210BF6" w:rsidRPr="00210BF6" w:rsidRDefault="00210BF6" w:rsidP="00210BF6">
            <w:pPr>
              <w:jc w:val="both"/>
              <w:rPr>
                <w:rFonts w:ascii="Times New Roman" w:hAnsi="Times New Roman" w:cs="Times New Roman"/>
              </w:rPr>
            </w:pPr>
            <w:r w:rsidRPr="00210BF6">
              <w:rPr>
                <w:rFonts w:ascii="Times New Roman" w:hAnsi="Times New Roman" w:cs="Times New Roman"/>
                <w:b/>
              </w:rPr>
              <w:t>областной бюджет Тверской области на 2022 год</w:t>
            </w:r>
            <w:r w:rsidRPr="00210BF6">
              <w:rPr>
                <w:rFonts w:ascii="Times New Roman" w:hAnsi="Times New Roman" w:cs="Times New Roman"/>
              </w:rPr>
              <w:t>, как разница по нормативам отчислений в местные бюджеты</w:t>
            </w:r>
          </w:p>
        </w:tc>
        <w:tc>
          <w:tcPr>
            <w:tcW w:w="1843" w:type="dxa"/>
          </w:tcPr>
          <w:p w:rsidR="00210BF6" w:rsidRPr="00210BF6" w:rsidRDefault="00210BF6" w:rsidP="00F36069">
            <w:pPr>
              <w:jc w:val="center"/>
              <w:rPr>
                <w:rFonts w:ascii="Times New Roman" w:hAnsi="Times New Roman" w:cs="Times New Roman"/>
              </w:rPr>
            </w:pPr>
            <w:r w:rsidRPr="00210BF6">
              <w:rPr>
                <w:rFonts w:ascii="Times New Roman" w:hAnsi="Times New Roman" w:cs="Times New Roman"/>
              </w:rPr>
              <w:t>330 7</w:t>
            </w:r>
            <w:r w:rsidR="00F36069">
              <w:rPr>
                <w:rFonts w:ascii="Times New Roman" w:hAnsi="Times New Roman" w:cs="Times New Roman"/>
              </w:rPr>
              <w:t>33</w:t>
            </w:r>
            <w:r w:rsidRPr="00210BF6">
              <w:rPr>
                <w:rFonts w:ascii="Times New Roman" w:hAnsi="Times New Roman" w:cs="Times New Roman"/>
              </w:rPr>
              <w:t>,0</w:t>
            </w:r>
          </w:p>
        </w:tc>
        <w:tc>
          <w:tcPr>
            <w:tcW w:w="2552" w:type="dxa"/>
          </w:tcPr>
          <w:p w:rsidR="00210BF6" w:rsidRPr="00210BF6" w:rsidRDefault="00210BF6" w:rsidP="00F36069">
            <w:pPr>
              <w:jc w:val="center"/>
              <w:rPr>
                <w:rFonts w:ascii="Times New Roman" w:hAnsi="Times New Roman" w:cs="Times New Roman"/>
              </w:rPr>
            </w:pPr>
            <w:r w:rsidRPr="00210BF6">
              <w:rPr>
                <w:rFonts w:ascii="Times New Roman" w:hAnsi="Times New Roman" w:cs="Times New Roman"/>
              </w:rPr>
              <w:t>1 42</w:t>
            </w:r>
            <w:r w:rsidR="00F36069">
              <w:rPr>
                <w:rFonts w:ascii="Times New Roman" w:hAnsi="Times New Roman" w:cs="Times New Roman"/>
              </w:rPr>
              <w:t>8</w:t>
            </w:r>
            <w:r w:rsidRPr="00210BF6">
              <w:rPr>
                <w:rFonts w:ascii="Times New Roman" w:hAnsi="Times New Roman" w:cs="Times New Roman"/>
              </w:rPr>
              <w:t>,0</w:t>
            </w:r>
          </w:p>
        </w:tc>
      </w:tr>
      <w:tr w:rsidR="00210BF6" w:rsidRPr="00210BF6" w:rsidTr="00B821AA">
        <w:tc>
          <w:tcPr>
            <w:tcW w:w="614" w:type="dxa"/>
          </w:tcPr>
          <w:p w:rsidR="00210BF6" w:rsidRPr="00210BF6" w:rsidRDefault="00210BF6" w:rsidP="00210BF6">
            <w:pPr>
              <w:jc w:val="center"/>
              <w:rPr>
                <w:rFonts w:ascii="Times New Roman" w:hAnsi="Times New Roman" w:cs="Times New Roman"/>
              </w:rPr>
            </w:pPr>
            <w:r w:rsidRPr="00210BF6">
              <w:rPr>
                <w:rFonts w:ascii="Times New Roman" w:hAnsi="Times New Roman" w:cs="Times New Roman"/>
                <w:lang w:val="en-US"/>
              </w:rPr>
              <w:t>1</w:t>
            </w:r>
            <w:r w:rsidRPr="00210BF6">
              <w:rPr>
                <w:rFonts w:ascii="Times New Roman" w:hAnsi="Times New Roman" w:cs="Times New Roman"/>
              </w:rPr>
              <w:t>0</w:t>
            </w:r>
          </w:p>
        </w:tc>
        <w:tc>
          <w:tcPr>
            <w:tcW w:w="5340" w:type="dxa"/>
          </w:tcPr>
          <w:p w:rsidR="00210BF6" w:rsidRPr="00210BF6" w:rsidRDefault="00210BF6" w:rsidP="00210BF6">
            <w:pPr>
              <w:jc w:val="both"/>
              <w:rPr>
                <w:rFonts w:ascii="Times New Roman" w:hAnsi="Times New Roman" w:cs="Times New Roman"/>
              </w:rPr>
            </w:pPr>
            <w:r w:rsidRPr="00210BF6">
              <w:rPr>
                <w:rFonts w:ascii="Times New Roman" w:hAnsi="Times New Roman" w:cs="Times New Roman"/>
                <w:b/>
              </w:rPr>
              <w:t xml:space="preserve">Прогноз по налогу на доходы физических лиц на 2023 год в консолидированный бюджет Тверской области </w:t>
            </w:r>
            <w:r w:rsidRPr="00210BF6">
              <w:rPr>
                <w:rFonts w:ascii="Times New Roman" w:hAnsi="Times New Roman" w:cs="Times New Roman"/>
              </w:rPr>
              <w:t>(на уровне оценки на 2021 год стр.8), в разрезе каждого муниципального образования Тверской области, из них:</w:t>
            </w:r>
          </w:p>
        </w:tc>
        <w:tc>
          <w:tcPr>
            <w:tcW w:w="1843" w:type="dxa"/>
          </w:tcPr>
          <w:p w:rsidR="00210BF6" w:rsidRPr="00210BF6" w:rsidRDefault="00210BF6" w:rsidP="00210BF6">
            <w:pPr>
              <w:jc w:val="center"/>
              <w:rPr>
                <w:rFonts w:ascii="Times New Roman" w:hAnsi="Times New Roman" w:cs="Times New Roman"/>
                <w:b/>
                <w:bCs/>
                <w:color w:val="000000"/>
              </w:rPr>
            </w:pPr>
            <w:r w:rsidRPr="00210BF6">
              <w:rPr>
                <w:rFonts w:ascii="Times New Roman" w:hAnsi="Times New Roman" w:cs="Times New Roman"/>
                <w:b/>
                <w:bCs/>
                <w:color w:val="000000"/>
              </w:rPr>
              <w:t xml:space="preserve">339 480,0 </w:t>
            </w:r>
          </w:p>
        </w:tc>
        <w:tc>
          <w:tcPr>
            <w:tcW w:w="2552" w:type="dxa"/>
          </w:tcPr>
          <w:p w:rsidR="00210BF6" w:rsidRPr="00210BF6" w:rsidRDefault="00210BF6" w:rsidP="00210BF6">
            <w:pPr>
              <w:jc w:val="center"/>
              <w:rPr>
                <w:rFonts w:ascii="Times New Roman" w:hAnsi="Times New Roman" w:cs="Times New Roman"/>
                <w:b/>
                <w:bCs/>
                <w:color w:val="000000"/>
              </w:rPr>
            </w:pPr>
            <w:r w:rsidRPr="00210BF6">
              <w:rPr>
                <w:rFonts w:ascii="Times New Roman" w:hAnsi="Times New Roman" w:cs="Times New Roman"/>
                <w:b/>
                <w:bCs/>
                <w:color w:val="000000"/>
              </w:rPr>
              <w:t>2 243,0</w:t>
            </w:r>
          </w:p>
        </w:tc>
      </w:tr>
      <w:tr w:rsidR="00210BF6" w:rsidRPr="00210BF6" w:rsidTr="00B821AA">
        <w:trPr>
          <w:trHeight w:val="756"/>
        </w:trPr>
        <w:tc>
          <w:tcPr>
            <w:tcW w:w="614" w:type="dxa"/>
          </w:tcPr>
          <w:p w:rsidR="00210BF6" w:rsidRPr="00210BF6" w:rsidRDefault="00210BF6" w:rsidP="00210BF6">
            <w:pPr>
              <w:jc w:val="center"/>
              <w:rPr>
                <w:rFonts w:ascii="Times New Roman" w:hAnsi="Times New Roman" w:cs="Times New Roman"/>
              </w:rPr>
            </w:pPr>
            <w:r w:rsidRPr="00210BF6">
              <w:rPr>
                <w:rFonts w:ascii="Times New Roman" w:hAnsi="Times New Roman" w:cs="Times New Roman"/>
              </w:rPr>
              <w:t>11</w:t>
            </w:r>
          </w:p>
        </w:tc>
        <w:tc>
          <w:tcPr>
            <w:tcW w:w="5340" w:type="dxa"/>
          </w:tcPr>
          <w:p w:rsidR="00210BF6" w:rsidRPr="00210BF6" w:rsidRDefault="00210BF6" w:rsidP="00210BF6">
            <w:pPr>
              <w:jc w:val="both"/>
              <w:rPr>
                <w:rFonts w:ascii="Times New Roman" w:hAnsi="Times New Roman" w:cs="Times New Roman"/>
              </w:rPr>
            </w:pPr>
            <w:r w:rsidRPr="00210BF6">
              <w:rPr>
                <w:rFonts w:ascii="Times New Roman" w:hAnsi="Times New Roman" w:cs="Times New Roman"/>
                <w:b/>
              </w:rPr>
              <w:t>областной бюджет Тверской области на 2023 год</w:t>
            </w:r>
            <w:r w:rsidRPr="00210BF6">
              <w:rPr>
                <w:rFonts w:ascii="Times New Roman" w:hAnsi="Times New Roman" w:cs="Times New Roman"/>
              </w:rPr>
              <w:t>, как разница по нормативам отчислений в местный бюджет</w:t>
            </w:r>
          </w:p>
        </w:tc>
        <w:tc>
          <w:tcPr>
            <w:tcW w:w="1843" w:type="dxa"/>
          </w:tcPr>
          <w:p w:rsidR="00210BF6" w:rsidRPr="00210BF6" w:rsidRDefault="00210BF6" w:rsidP="00F36069">
            <w:pPr>
              <w:jc w:val="center"/>
              <w:rPr>
                <w:rFonts w:ascii="Times New Roman" w:hAnsi="Times New Roman" w:cs="Times New Roman"/>
              </w:rPr>
            </w:pPr>
            <w:r w:rsidRPr="00210BF6">
              <w:rPr>
                <w:rFonts w:ascii="Times New Roman" w:hAnsi="Times New Roman" w:cs="Times New Roman"/>
              </w:rPr>
              <w:t>330 7</w:t>
            </w:r>
            <w:r w:rsidR="00F36069">
              <w:rPr>
                <w:rFonts w:ascii="Times New Roman" w:hAnsi="Times New Roman" w:cs="Times New Roman"/>
              </w:rPr>
              <w:t>33</w:t>
            </w:r>
            <w:r w:rsidRPr="00210BF6">
              <w:rPr>
                <w:rFonts w:ascii="Times New Roman" w:hAnsi="Times New Roman" w:cs="Times New Roman"/>
              </w:rPr>
              <w:t>,0</w:t>
            </w:r>
          </w:p>
        </w:tc>
        <w:tc>
          <w:tcPr>
            <w:tcW w:w="2552" w:type="dxa"/>
          </w:tcPr>
          <w:p w:rsidR="00210BF6" w:rsidRPr="00210BF6" w:rsidRDefault="00210BF6" w:rsidP="00C40EB5">
            <w:pPr>
              <w:jc w:val="center"/>
              <w:rPr>
                <w:rFonts w:ascii="Times New Roman" w:hAnsi="Times New Roman" w:cs="Times New Roman"/>
              </w:rPr>
            </w:pPr>
            <w:r w:rsidRPr="00210BF6">
              <w:rPr>
                <w:rFonts w:ascii="Times New Roman" w:hAnsi="Times New Roman" w:cs="Times New Roman"/>
              </w:rPr>
              <w:t>1 43</w:t>
            </w:r>
            <w:r w:rsidR="00C40EB5">
              <w:rPr>
                <w:rFonts w:ascii="Times New Roman" w:hAnsi="Times New Roman" w:cs="Times New Roman"/>
              </w:rPr>
              <w:t>7</w:t>
            </w:r>
            <w:r w:rsidRPr="00210BF6">
              <w:rPr>
                <w:rFonts w:ascii="Times New Roman" w:hAnsi="Times New Roman" w:cs="Times New Roman"/>
              </w:rPr>
              <w:t>,0</w:t>
            </w:r>
          </w:p>
        </w:tc>
      </w:tr>
      <w:tr w:rsidR="00210BF6" w:rsidRPr="00210BF6" w:rsidTr="00B821AA">
        <w:tc>
          <w:tcPr>
            <w:tcW w:w="614" w:type="dxa"/>
          </w:tcPr>
          <w:p w:rsidR="00210BF6" w:rsidRPr="00210BF6" w:rsidRDefault="00210BF6" w:rsidP="00210BF6">
            <w:pPr>
              <w:jc w:val="center"/>
              <w:rPr>
                <w:rFonts w:ascii="Times New Roman" w:hAnsi="Times New Roman" w:cs="Times New Roman"/>
              </w:rPr>
            </w:pPr>
            <w:r w:rsidRPr="00210BF6">
              <w:rPr>
                <w:rFonts w:ascii="Times New Roman" w:hAnsi="Times New Roman" w:cs="Times New Roman"/>
              </w:rPr>
              <w:t>12</w:t>
            </w:r>
          </w:p>
        </w:tc>
        <w:tc>
          <w:tcPr>
            <w:tcW w:w="5340" w:type="dxa"/>
          </w:tcPr>
          <w:p w:rsidR="00210BF6" w:rsidRPr="00210BF6" w:rsidRDefault="00210BF6" w:rsidP="00210BF6">
            <w:pPr>
              <w:jc w:val="both"/>
              <w:rPr>
                <w:rFonts w:ascii="Times New Roman" w:hAnsi="Times New Roman" w:cs="Times New Roman"/>
              </w:rPr>
            </w:pPr>
            <w:r w:rsidRPr="00210BF6">
              <w:rPr>
                <w:rFonts w:ascii="Times New Roman" w:hAnsi="Times New Roman" w:cs="Times New Roman"/>
                <w:b/>
              </w:rPr>
              <w:t xml:space="preserve">Прогноз по налогу на доходы физических лиц на 2024 год в консолидированный бюджет Тверской области </w:t>
            </w:r>
            <w:r w:rsidRPr="00210BF6">
              <w:rPr>
                <w:rFonts w:ascii="Times New Roman" w:hAnsi="Times New Roman" w:cs="Times New Roman"/>
              </w:rPr>
              <w:t>(на уровне оценки на 2021 год стр.7), в разрезе каждого муниципального образования Тверской области), из них:</w:t>
            </w:r>
          </w:p>
        </w:tc>
        <w:tc>
          <w:tcPr>
            <w:tcW w:w="1843" w:type="dxa"/>
          </w:tcPr>
          <w:p w:rsidR="00210BF6" w:rsidRPr="00210BF6" w:rsidRDefault="00210BF6" w:rsidP="00210BF6">
            <w:pPr>
              <w:jc w:val="center"/>
              <w:rPr>
                <w:rFonts w:ascii="Times New Roman" w:hAnsi="Times New Roman" w:cs="Times New Roman"/>
                <w:b/>
                <w:bCs/>
                <w:color w:val="000000"/>
              </w:rPr>
            </w:pPr>
            <w:r w:rsidRPr="00210BF6">
              <w:rPr>
                <w:rFonts w:ascii="Times New Roman" w:hAnsi="Times New Roman" w:cs="Times New Roman"/>
                <w:b/>
                <w:bCs/>
                <w:color w:val="000000"/>
              </w:rPr>
              <w:t xml:space="preserve">339 480 </w:t>
            </w:r>
          </w:p>
        </w:tc>
        <w:tc>
          <w:tcPr>
            <w:tcW w:w="2552" w:type="dxa"/>
          </w:tcPr>
          <w:p w:rsidR="00210BF6" w:rsidRPr="00210BF6" w:rsidRDefault="00210BF6" w:rsidP="00210BF6">
            <w:pPr>
              <w:jc w:val="center"/>
              <w:rPr>
                <w:rFonts w:ascii="Times New Roman" w:hAnsi="Times New Roman" w:cs="Times New Roman"/>
                <w:b/>
                <w:bCs/>
                <w:color w:val="000000"/>
              </w:rPr>
            </w:pPr>
            <w:r w:rsidRPr="00210BF6">
              <w:rPr>
                <w:rFonts w:ascii="Times New Roman" w:hAnsi="Times New Roman" w:cs="Times New Roman"/>
                <w:b/>
                <w:bCs/>
                <w:color w:val="000000"/>
              </w:rPr>
              <w:t>2 243</w:t>
            </w:r>
          </w:p>
        </w:tc>
      </w:tr>
      <w:tr w:rsidR="00210BF6" w:rsidRPr="00210BF6" w:rsidTr="00B821AA">
        <w:trPr>
          <w:trHeight w:val="939"/>
        </w:trPr>
        <w:tc>
          <w:tcPr>
            <w:tcW w:w="614" w:type="dxa"/>
          </w:tcPr>
          <w:p w:rsidR="00210BF6" w:rsidRPr="00210BF6" w:rsidRDefault="00210BF6" w:rsidP="00210BF6">
            <w:pPr>
              <w:jc w:val="center"/>
              <w:rPr>
                <w:rFonts w:ascii="Times New Roman" w:hAnsi="Times New Roman" w:cs="Times New Roman"/>
              </w:rPr>
            </w:pPr>
            <w:r w:rsidRPr="00210BF6">
              <w:rPr>
                <w:rFonts w:ascii="Times New Roman" w:hAnsi="Times New Roman" w:cs="Times New Roman"/>
              </w:rPr>
              <w:t>13</w:t>
            </w:r>
          </w:p>
        </w:tc>
        <w:tc>
          <w:tcPr>
            <w:tcW w:w="5340" w:type="dxa"/>
          </w:tcPr>
          <w:p w:rsidR="00210BF6" w:rsidRPr="00210BF6" w:rsidRDefault="00210BF6" w:rsidP="00210BF6">
            <w:pPr>
              <w:jc w:val="both"/>
              <w:rPr>
                <w:rFonts w:ascii="Times New Roman" w:hAnsi="Times New Roman" w:cs="Times New Roman"/>
              </w:rPr>
            </w:pPr>
            <w:r w:rsidRPr="00210BF6">
              <w:rPr>
                <w:rFonts w:ascii="Times New Roman" w:hAnsi="Times New Roman" w:cs="Times New Roman"/>
                <w:b/>
              </w:rPr>
              <w:t>областной бюджет Тверской области на 2024 год</w:t>
            </w:r>
            <w:r w:rsidRPr="00210BF6">
              <w:rPr>
                <w:rFonts w:ascii="Times New Roman" w:hAnsi="Times New Roman" w:cs="Times New Roman"/>
              </w:rPr>
              <w:t>, как разница по нормативам отчислений в местные бюджеты</w:t>
            </w:r>
          </w:p>
        </w:tc>
        <w:tc>
          <w:tcPr>
            <w:tcW w:w="1843" w:type="dxa"/>
          </w:tcPr>
          <w:p w:rsidR="00210BF6" w:rsidRPr="00210BF6" w:rsidRDefault="00A51154" w:rsidP="00A51154">
            <w:pPr>
              <w:jc w:val="center"/>
              <w:rPr>
                <w:rFonts w:ascii="Times New Roman" w:hAnsi="Times New Roman" w:cs="Times New Roman"/>
              </w:rPr>
            </w:pPr>
            <w:r>
              <w:rPr>
                <w:rFonts w:ascii="Times New Roman" w:hAnsi="Times New Roman" w:cs="Times New Roman"/>
              </w:rPr>
              <w:t>330 733</w:t>
            </w:r>
            <w:r w:rsidR="00210BF6" w:rsidRPr="00210BF6">
              <w:rPr>
                <w:rFonts w:ascii="Times New Roman" w:hAnsi="Times New Roman" w:cs="Times New Roman"/>
              </w:rPr>
              <w:t>,0</w:t>
            </w:r>
          </w:p>
        </w:tc>
        <w:tc>
          <w:tcPr>
            <w:tcW w:w="2552" w:type="dxa"/>
          </w:tcPr>
          <w:p w:rsidR="00210BF6" w:rsidRPr="00210BF6" w:rsidRDefault="00210BF6" w:rsidP="00A51154">
            <w:pPr>
              <w:jc w:val="center"/>
              <w:rPr>
                <w:rFonts w:ascii="Times New Roman" w:hAnsi="Times New Roman" w:cs="Times New Roman"/>
              </w:rPr>
            </w:pPr>
            <w:r w:rsidRPr="00210BF6">
              <w:rPr>
                <w:rFonts w:ascii="Times New Roman" w:hAnsi="Times New Roman" w:cs="Times New Roman"/>
              </w:rPr>
              <w:t>1 4</w:t>
            </w:r>
            <w:r w:rsidR="00A51154">
              <w:rPr>
                <w:rFonts w:ascii="Times New Roman" w:hAnsi="Times New Roman" w:cs="Times New Roman"/>
              </w:rPr>
              <w:t>49</w:t>
            </w:r>
            <w:r w:rsidRPr="00210BF6">
              <w:rPr>
                <w:rFonts w:ascii="Times New Roman" w:hAnsi="Times New Roman" w:cs="Times New Roman"/>
              </w:rPr>
              <w:t>,0</w:t>
            </w:r>
          </w:p>
        </w:tc>
      </w:tr>
    </w:tbl>
    <w:p w:rsidR="00210BF6" w:rsidRPr="00210BF6" w:rsidRDefault="00210BF6" w:rsidP="00210BF6">
      <w:pPr>
        <w:jc w:val="center"/>
        <w:rPr>
          <w:rFonts w:eastAsia="Calibri"/>
          <w:b/>
          <w:lang w:eastAsia="en-US"/>
        </w:rPr>
      </w:pPr>
    </w:p>
    <w:p w:rsidR="00210BF6" w:rsidRPr="00866E2D" w:rsidRDefault="00210BF6" w:rsidP="00866E2D">
      <w:pPr>
        <w:jc w:val="center"/>
        <w:rPr>
          <w:rFonts w:eastAsia="Calibri"/>
          <w:b/>
          <w:sz w:val="28"/>
          <w:szCs w:val="28"/>
          <w:lang w:eastAsia="en-US"/>
        </w:rPr>
      </w:pPr>
    </w:p>
    <w:p w:rsidR="00210BF6" w:rsidRPr="00866E2D" w:rsidRDefault="00685909" w:rsidP="00866E2D">
      <w:pPr>
        <w:jc w:val="center"/>
        <w:rPr>
          <w:rFonts w:eastAsia="Calibri"/>
          <w:b/>
          <w:sz w:val="28"/>
          <w:szCs w:val="28"/>
          <w:lang w:eastAsia="en-US"/>
        </w:rPr>
      </w:pPr>
      <w:r>
        <w:rPr>
          <w:rFonts w:eastAsia="Calibri"/>
          <w:b/>
          <w:sz w:val="28"/>
          <w:szCs w:val="28"/>
          <w:lang w:eastAsia="en-US"/>
        </w:rPr>
        <w:t>Налог</w:t>
      </w:r>
      <w:r w:rsidR="00210BF6" w:rsidRPr="00866E2D">
        <w:rPr>
          <w:rFonts w:eastAsia="Calibri"/>
          <w:b/>
          <w:sz w:val="28"/>
          <w:szCs w:val="28"/>
          <w:lang w:eastAsia="en-US"/>
        </w:rPr>
        <w:t xml:space="preserve">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p w:rsidR="00210BF6" w:rsidRPr="00866E2D" w:rsidRDefault="00866E2D" w:rsidP="00866E2D">
      <w:pPr>
        <w:jc w:val="center"/>
        <w:rPr>
          <w:rFonts w:eastAsia="Calibri"/>
          <w:sz w:val="28"/>
          <w:szCs w:val="28"/>
          <w:lang w:eastAsia="en-US"/>
        </w:rPr>
      </w:pPr>
      <w:r>
        <w:rPr>
          <w:rFonts w:eastAsia="Calibri"/>
          <w:sz w:val="28"/>
          <w:szCs w:val="28"/>
          <w:lang w:eastAsia="en-US"/>
        </w:rPr>
        <w:t>(</w:t>
      </w:r>
      <w:r w:rsidR="00210BF6" w:rsidRPr="00866E2D">
        <w:rPr>
          <w:rFonts w:eastAsia="Calibri"/>
          <w:sz w:val="28"/>
          <w:szCs w:val="28"/>
          <w:lang w:eastAsia="en-US"/>
        </w:rPr>
        <w:t>КБК 182 1 01 02080 01 0000 110</w:t>
      </w:r>
      <w:r>
        <w:rPr>
          <w:rFonts w:eastAsia="Calibri"/>
          <w:sz w:val="28"/>
          <w:szCs w:val="28"/>
          <w:lang w:eastAsia="en-US"/>
        </w:rPr>
        <w:t>)</w:t>
      </w:r>
    </w:p>
    <w:p w:rsidR="00210BF6" w:rsidRPr="00866E2D" w:rsidRDefault="00210BF6" w:rsidP="00210BF6">
      <w:pPr>
        <w:jc w:val="center"/>
        <w:rPr>
          <w:rFonts w:eastAsia="Calibri"/>
          <w:b/>
          <w:sz w:val="28"/>
          <w:lang w:eastAsia="en-US"/>
        </w:rPr>
      </w:pPr>
    </w:p>
    <w:p w:rsidR="00210BF6" w:rsidRPr="00685909" w:rsidRDefault="00210BF6" w:rsidP="00210BF6">
      <w:pPr>
        <w:jc w:val="right"/>
        <w:rPr>
          <w:rFonts w:eastAsia="Calibri"/>
          <w:sz w:val="32"/>
          <w:lang w:eastAsia="en-US"/>
        </w:rPr>
      </w:pPr>
      <w:r w:rsidRPr="00685909">
        <w:rPr>
          <w:rFonts w:eastAsia="Calibri"/>
          <w:sz w:val="28"/>
          <w:lang w:eastAsia="en-US"/>
        </w:rPr>
        <w:t>(тыс</w:t>
      </w:r>
      <w:r w:rsidRPr="00685909">
        <w:rPr>
          <w:rFonts w:eastAsia="Calibri"/>
          <w:sz w:val="32"/>
          <w:lang w:eastAsia="en-US"/>
        </w:rPr>
        <w:t>. руб.)</w:t>
      </w:r>
    </w:p>
    <w:tbl>
      <w:tblPr>
        <w:tblStyle w:val="710"/>
        <w:tblW w:w="10060" w:type="dxa"/>
        <w:tblLook w:val="04A0" w:firstRow="1" w:lastRow="0" w:firstColumn="1" w:lastColumn="0" w:noHBand="0" w:noVBand="1"/>
      </w:tblPr>
      <w:tblGrid>
        <w:gridCol w:w="672"/>
        <w:gridCol w:w="7120"/>
        <w:gridCol w:w="2268"/>
      </w:tblGrid>
      <w:tr w:rsidR="00210BF6" w:rsidRPr="00685909" w:rsidTr="00B821AA">
        <w:tc>
          <w:tcPr>
            <w:tcW w:w="672" w:type="dxa"/>
          </w:tcPr>
          <w:p w:rsidR="00210BF6" w:rsidRPr="00685909" w:rsidRDefault="00210BF6" w:rsidP="00210BF6">
            <w:pPr>
              <w:jc w:val="center"/>
              <w:rPr>
                <w:rFonts w:ascii="Times New Roman" w:hAnsi="Times New Roman" w:cs="Times New Roman"/>
                <w:sz w:val="28"/>
              </w:rPr>
            </w:pPr>
            <w:r w:rsidRPr="00685909">
              <w:rPr>
                <w:rFonts w:ascii="Times New Roman" w:hAnsi="Times New Roman" w:cs="Times New Roman"/>
                <w:sz w:val="28"/>
              </w:rPr>
              <w:t>№</w:t>
            </w:r>
          </w:p>
        </w:tc>
        <w:tc>
          <w:tcPr>
            <w:tcW w:w="7120" w:type="dxa"/>
          </w:tcPr>
          <w:p w:rsidR="00210BF6" w:rsidRPr="00685909" w:rsidRDefault="00210BF6" w:rsidP="00210BF6">
            <w:pPr>
              <w:jc w:val="center"/>
              <w:rPr>
                <w:rFonts w:ascii="Times New Roman" w:hAnsi="Times New Roman" w:cs="Times New Roman"/>
                <w:sz w:val="28"/>
              </w:rPr>
            </w:pPr>
            <w:r w:rsidRPr="00685909">
              <w:rPr>
                <w:rFonts w:ascii="Times New Roman" w:hAnsi="Times New Roman" w:cs="Times New Roman"/>
                <w:sz w:val="28"/>
              </w:rPr>
              <w:t>Наименование</w:t>
            </w:r>
          </w:p>
        </w:tc>
        <w:tc>
          <w:tcPr>
            <w:tcW w:w="2268" w:type="dxa"/>
          </w:tcPr>
          <w:p w:rsidR="00210BF6" w:rsidRPr="00685909" w:rsidRDefault="00210BF6" w:rsidP="00210BF6">
            <w:pPr>
              <w:jc w:val="center"/>
              <w:rPr>
                <w:rFonts w:ascii="Times New Roman" w:hAnsi="Times New Roman" w:cs="Times New Roman"/>
                <w:sz w:val="28"/>
              </w:rPr>
            </w:pPr>
            <w:r w:rsidRPr="00685909">
              <w:rPr>
                <w:rFonts w:ascii="Times New Roman" w:hAnsi="Times New Roman" w:cs="Times New Roman"/>
                <w:sz w:val="28"/>
              </w:rPr>
              <w:t>Значение показателя, сумма</w:t>
            </w:r>
          </w:p>
        </w:tc>
      </w:tr>
      <w:tr w:rsidR="00210BF6" w:rsidRPr="00210BF6" w:rsidTr="00B821AA">
        <w:tc>
          <w:tcPr>
            <w:tcW w:w="672" w:type="dxa"/>
          </w:tcPr>
          <w:p w:rsidR="00210BF6" w:rsidRPr="00210BF6" w:rsidRDefault="00210BF6" w:rsidP="00210BF6">
            <w:pPr>
              <w:jc w:val="center"/>
              <w:rPr>
                <w:rFonts w:ascii="Times New Roman" w:hAnsi="Times New Roman" w:cs="Times New Roman"/>
              </w:rPr>
            </w:pPr>
            <w:r w:rsidRPr="00210BF6">
              <w:rPr>
                <w:rFonts w:ascii="Times New Roman" w:hAnsi="Times New Roman" w:cs="Times New Roman"/>
              </w:rPr>
              <w:t>1</w:t>
            </w:r>
          </w:p>
        </w:tc>
        <w:tc>
          <w:tcPr>
            <w:tcW w:w="7120" w:type="dxa"/>
          </w:tcPr>
          <w:p w:rsidR="00210BF6" w:rsidRDefault="00210BF6" w:rsidP="00210BF6">
            <w:pPr>
              <w:jc w:val="both"/>
              <w:rPr>
                <w:rFonts w:ascii="Times New Roman" w:hAnsi="Times New Roman" w:cs="Times New Roman"/>
              </w:rPr>
            </w:pPr>
            <w:r w:rsidRPr="00210BF6">
              <w:rPr>
                <w:rFonts w:ascii="Times New Roman" w:hAnsi="Times New Roman" w:cs="Times New Roman"/>
              </w:rPr>
              <w:t>Налоговая база за 2020 год (по справкам 2-НДФЛ), по ставке 15%</w:t>
            </w:r>
          </w:p>
          <w:p w:rsidR="00685909" w:rsidRPr="00210BF6" w:rsidRDefault="00685909" w:rsidP="00210BF6">
            <w:pPr>
              <w:jc w:val="both"/>
              <w:rPr>
                <w:rFonts w:ascii="Times New Roman" w:hAnsi="Times New Roman" w:cs="Times New Roman"/>
              </w:rPr>
            </w:pPr>
          </w:p>
        </w:tc>
        <w:tc>
          <w:tcPr>
            <w:tcW w:w="2268" w:type="dxa"/>
          </w:tcPr>
          <w:p w:rsidR="00210BF6" w:rsidRPr="00210BF6" w:rsidRDefault="00210BF6" w:rsidP="00210BF6">
            <w:pPr>
              <w:jc w:val="center"/>
              <w:rPr>
                <w:rFonts w:ascii="Times New Roman" w:hAnsi="Times New Roman" w:cs="Times New Roman"/>
              </w:rPr>
            </w:pPr>
            <w:r w:rsidRPr="00210BF6">
              <w:rPr>
                <w:rFonts w:ascii="Times New Roman" w:hAnsi="Times New Roman" w:cs="Times New Roman"/>
              </w:rPr>
              <w:t>5 717 495,0</w:t>
            </w:r>
          </w:p>
        </w:tc>
      </w:tr>
      <w:tr w:rsidR="00210BF6" w:rsidRPr="00210BF6" w:rsidTr="00B821AA">
        <w:tc>
          <w:tcPr>
            <w:tcW w:w="672" w:type="dxa"/>
          </w:tcPr>
          <w:p w:rsidR="00210BF6" w:rsidRPr="00210BF6" w:rsidRDefault="00210BF6" w:rsidP="00210BF6">
            <w:pPr>
              <w:jc w:val="center"/>
              <w:rPr>
                <w:rFonts w:ascii="Times New Roman" w:hAnsi="Times New Roman" w:cs="Times New Roman"/>
              </w:rPr>
            </w:pPr>
            <w:r w:rsidRPr="00210BF6">
              <w:rPr>
                <w:rFonts w:ascii="Times New Roman" w:hAnsi="Times New Roman" w:cs="Times New Roman"/>
              </w:rPr>
              <w:t>2</w:t>
            </w:r>
          </w:p>
        </w:tc>
        <w:tc>
          <w:tcPr>
            <w:tcW w:w="7120" w:type="dxa"/>
          </w:tcPr>
          <w:p w:rsidR="00210BF6" w:rsidRPr="00210BF6" w:rsidRDefault="00210BF6" w:rsidP="00210BF6">
            <w:pPr>
              <w:jc w:val="both"/>
              <w:rPr>
                <w:rFonts w:ascii="Times New Roman" w:hAnsi="Times New Roman" w:cs="Times New Roman"/>
              </w:rPr>
            </w:pPr>
            <w:r w:rsidRPr="00210BF6">
              <w:rPr>
                <w:rFonts w:ascii="Times New Roman" w:hAnsi="Times New Roman" w:cs="Times New Roman"/>
              </w:rPr>
              <w:t>Налоговая база на 2021 год, по ставке 15%</w:t>
            </w:r>
          </w:p>
          <w:p w:rsidR="00210BF6" w:rsidRPr="00210BF6" w:rsidRDefault="00210BF6" w:rsidP="00210BF6">
            <w:pPr>
              <w:jc w:val="both"/>
              <w:rPr>
                <w:rFonts w:ascii="Times New Roman" w:hAnsi="Times New Roman" w:cs="Times New Roman"/>
              </w:rPr>
            </w:pPr>
            <w:r w:rsidRPr="00210BF6">
              <w:rPr>
                <w:rFonts w:ascii="Times New Roman" w:hAnsi="Times New Roman" w:cs="Times New Roman"/>
              </w:rPr>
              <w:t>(стр. 1 * Кфзп 2021/2020, в % по каждому бюджету городского, муниципального округа, городского и сельского поселения (по данным Министерства экономического развития Тверской области)</w:t>
            </w:r>
          </w:p>
        </w:tc>
        <w:tc>
          <w:tcPr>
            <w:tcW w:w="2268" w:type="dxa"/>
          </w:tcPr>
          <w:p w:rsidR="00210BF6" w:rsidRPr="00210BF6" w:rsidRDefault="00210BF6" w:rsidP="00210BF6">
            <w:pPr>
              <w:jc w:val="center"/>
              <w:rPr>
                <w:rFonts w:ascii="Times New Roman" w:hAnsi="Times New Roman" w:cs="Times New Roman"/>
              </w:rPr>
            </w:pPr>
            <w:r w:rsidRPr="00210BF6">
              <w:rPr>
                <w:rFonts w:ascii="Times New Roman" w:hAnsi="Times New Roman" w:cs="Times New Roman"/>
              </w:rPr>
              <w:t>6 002 045,0</w:t>
            </w:r>
          </w:p>
        </w:tc>
      </w:tr>
      <w:tr w:rsidR="00210BF6" w:rsidRPr="00210BF6" w:rsidTr="00B821AA">
        <w:tc>
          <w:tcPr>
            <w:tcW w:w="672" w:type="dxa"/>
          </w:tcPr>
          <w:p w:rsidR="00210BF6" w:rsidRPr="00210BF6" w:rsidRDefault="00210BF6" w:rsidP="00210BF6">
            <w:pPr>
              <w:jc w:val="center"/>
              <w:rPr>
                <w:rFonts w:ascii="Times New Roman" w:hAnsi="Times New Roman" w:cs="Times New Roman"/>
              </w:rPr>
            </w:pPr>
            <w:r w:rsidRPr="00210BF6">
              <w:rPr>
                <w:rFonts w:ascii="Times New Roman" w:hAnsi="Times New Roman" w:cs="Times New Roman"/>
              </w:rPr>
              <w:t>3</w:t>
            </w:r>
          </w:p>
        </w:tc>
        <w:tc>
          <w:tcPr>
            <w:tcW w:w="7120" w:type="dxa"/>
          </w:tcPr>
          <w:p w:rsidR="00210BF6" w:rsidRPr="00210BF6" w:rsidRDefault="00210BF6" w:rsidP="00210BF6">
            <w:pPr>
              <w:jc w:val="both"/>
              <w:rPr>
                <w:rFonts w:ascii="Times New Roman" w:hAnsi="Times New Roman" w:cs="Times New Roman"/>
              </w:rPr>
            </w:pPr>
            <w:r w:rsidRPr="00210BF6">
              <w:rPr>
                <w:rFonts w:ascii="Times New Roman" w:hAnsi="Times New Roman" w:cs="Times New Roman"/>
                <w:b/>
              </w:rPr>
              <w:t>Оценка на 2021 год в консолидированный бюджет Тверской области</w:t>
            </w:r>
            <w:r w:rsidRPr="00210BF6">
              <w:rPr>
                <w:rFonts w:ascii="Times New Roman" w:hAnsi="Times New Roman" w:cs="Times New Roman"/>
              </w:rPr>
              <w:t xml:space="preserve"> по налогу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w:t>
            </w:r>
            <w:r w:rsidRPr="00210BF6">
              <w:rPr>
                <w:rFonts w:ascii="Times New Roman" w:hAnsi="Times New Roman" w:cs="Times New Roman"/>
              </w:rPr>
              <w:lastRenderedPageBreak/>
              <w:t xml:space="preserve">контролируемой иностранной компании), с учетом  Корректирующей суммы поступлений, учитывающей изменения законодательства о налогах и сборах, а также другие факторы (F1 и </w:t>
            </w:r>
            <w:r w:rsidRPr="00210BF6">
              <w:rPr>
                <w:rFonts w:ascii="Times New Roman" w:hAnsi="Times New Roman" w:cs="Times New Roman"/>
                <w:lang w:val="en-US"/>
              </w:rPr>
              <w:t>F</w:t>
            </w:r>
            <w:r w:rsidRPr="00210BF6">
              <w:rPr>
                <w:rFonts w:ascii="Times New Roman" w:hAnsi="Times New Roman" w:cs="Times New Roman"/>
              </w:rPr>
              <w:t xml:space="preserve"> 2) в разрезе бюджетов городских и муниципальных округов, городских и сельских поселений</w:t>
            </w:r>
          </w:p>
          <w:p w:rsidR="00210BF6" w:rsidRPr="00210BF6" w:rsidRDefault="00210BF6" w:rsidP="00210BF6">
            <w:pPr>
              <w:jc w:val="both"/>
              <w:rPr>
                <w:rFonts w:ascii="Times New Roman" w:hAnsi="Times New Roman" w:cs="Times New Roman"/>
              </w:rPr>
            </w:pPr>
            <w:r w:rsidRPr="00210BF6">
              <w:rPr>
                <w:rFonts w:ascii="Times New Roman" w:hAnsi="Times New Roman" w:cs="Times New Roman"/>
              </w:rPr>
              <w:t xml:space="preserve">(стр. 2 * ставку налога 15% + F1 (12 366 тыс. руб.) + </w:t>
            </w:r>
            <w:r w:rsidRPr="00210BF6">
              <w:rPr>
                <w:rFonts w:ascii="Times New Roman" w:hAnsi="Times New Roman" w:cs="Times New Roman"/>
                <w:lang w:val="en-US"/>
              </w:rPr>
              <w:t>F</w:t>
            </w:r>
            <w:r w:rsidRPr="00210BF6">
              <w:rPr>
                <w:rFonts w:ascii="Times New Roman" w:hAnsi="Times New Roman" w:cs="Times New Roman"/>
              </w:rPr>
              <w:t xml:space="preserve">2 (-1 621 тыс. руб.) * норматив отчисления в консолидированный бюджет субъекта 87%) </w:t>
            </w:r>
          </w:p>
        </w:tc>
        <w:tc>
          <w:tcPr>
            <w:tcW w:w="2268" w:type="dxa"/>
          </w:tcPr>
          <w:p w:rsidR="00210BF6" w:rsidRPr="00210BF6" w:rsidRDefault="00210BF6" w:rsidP="00210BF6">
            <w:pPr>
              <w:jc w:val="center"/>
              <w:rPr>
                <w:rFonts w:ascii="Times New Roman" w:hAnsi="Times New Roman" w:cs="Times New Roman"/>
                <w:b/>
              </w:rPr>
            </w:pPr>
            <w:r w:rsidRPr="00210BF6">
              <w:rPr>
                <w:rFonts w:ascii="Times New Roman" w:hAnsi="Times New Roman" w:cs="Times New Roman"/>
                <w:b/>
              </w:rPr>
              <w:lastRenderedPageBreak/>
              <w:t>792 615,0</w:t>
            </w:r>
          </w:p>
        </w:tc>
      </w:tr>
      <w:tr w:rsidR="00210BF6" w:rsidRPr="00210BF6" w:rsidTr="00B821AA">
        <w:tc>
          <w:tcPr>
            <w:tcW w:w="672" w:type="dxa"/>
          </w:tcPr>
          <w:p w:rsidR="00210BF6" w:rsidRPr="00210BF6" w:rsidRDefault="00210BF6" w:rsidP="00210BF6">
            <w:pPr>
              <w:jc w:val="center"/>
              <w:rPr>
                <w:rFonts w:ascii="Times New Roman" w:hAnsi="Times New Roman" w:cs="Times New Roman"/>
              </w:rPr>
            </w:pPr>
            <w:r w:rsidRPr="00210BF6">
              <w:rPr>
                <w:rFonts w:ascii="Times New Roman" w:hAnsi="Times New Roman" w:cs="Times New Roman"/>
              </w:rPr>
              <w:t>4</w:t>
            </w:r>
          </w:p>
        </w:tc>
        <w:tc>
          <w:tcPr>
            <w:tcW w:w="7120" w:type="dxa"/>
          </w:tcPr>
          <w:p w:rsidR="00210BF6" w:rsidRPr="00210BF6" w:rsidRDefault="00210BF6" w:rsidP="00210BF6">
            <w:pPr>
              <w:jc w:val="both"/>
              <w:rPr>
                <w:rFonts w:ascii="Times New Roman" w:hAnsi="Times New Roman" w:cs="Times New Roman"/>
              </w:rPr>
            </w:pPr>
            <w:r w:rsidRPr="00210BF6">
              <w:rPr>
                <w:rFonts w:ascii="Times New Roman" w:hAnsi="Times New Roman" w:cs="Times New Roman"/>
                <w:b/>
              </w:rPr>
              <w:t>Прогноз на 2022 год в консолидированный бюджет Тверской области</w:t>
            </w:r>
            <w:r w:rsidRPr="00210BF6">
              <w:rPr>
                <w:rFonts w:ascii="Times New Roman" w:hAnsi="Times New Roman" w:cs="Times New Roman"/>
              </w:rPr>
              <w:t xml:space="preserve"> по налогу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w:t>
            </w:r>
          </w:p>
          <w:p w:rsidR="00210BF6" w:rsidRPr="00210BF6" w:rsidRDefault="00210BF6" w:rsidP="00210BF6">
            <w:pPr>
              <w:jc w:val="both"/>
              <w:rPr>
                <w:rFonts w:ascii="Times New Roman" w:hAnsi="Times New Roman" w:cs="Times New Roman"/>
              </w:rPr>
            </w:pPr>
            <w:r w:rsidRPr="00210BF6">
              <w:rPr>
                <w:rFonts w:ascii="Times New Roman" w:hAnsi="Times New Roman" w:cs="Times New Roman"/>
              </w:rPr>
              <w:t xml:space="preserve">(стр. 3 * Кфзп 2022/2021 по каждому бюджету городского и муниципального округов, городского и сельского поселения (по данным Министерства экономического развития Тверской области), в % + </w:t>
            </w:r>
            <w:r w:rsidRPr="00210BF6">
              <w:rPr>
                <w:rFonts w:ascii="Times New Roman" w:hAnsi="Times New Roman" w:cs="Times New Roman"/>
                <w:lang w:val="en-US"/>
              </w:rPr>
              <w:t>F</w:t>
            </w:r>
            <w:r w:rsidRPr="00210BF6">
              <w:rPr>
                <w:rFonts w:ascii="Times New Roman" w:hAnsi="Times New Roman" w:cs="Times New Roman"/>
              </w:rPr>
              <w:t>1 (0), в том числе:</w:t>
            </w:r>
          </w:p>
        </w:tc>
        <w:tc>
          <w:tcPr>
            <w:tcW w:w="2268" w:type="dxa"/>
          </w:tcPr>
          <w:p w:rsidR="00210BF6" w:rsidRPr="00210BF6" w:rsidRDefault="00210BF6" w:rsidP="00210BF6">
            <w:pPr>
              <w:jc w:val="center"/>
              <w:rPr>
                <w:rFonts w:ascii="Times New Roman" w:hAnsi="Times New Roman" w:cs="Times New Roman"/>
                <w:b/>
              </w:rPr>
            </w:pPr>
            <w:r w:rsidRPr="00210BF6">
              <w:rPr>
                <w:rFonts w:ascii="Times New Roman" w:hAnsi="Times New Roman" w:cs="Times New Roman"/>
              </w:rPr>
              <w:t>838 191,0</w:t>
            </w:r>
          </w:p>
        </w:tc>
      </w:tr>
      <w:tr w:rsidR="00210BF6" w:rsidRPr="00210BF6" w:rsidTr="00B821AA">
        <w:tc>
          <w:tcPr>
            <w:tcW w:w="672" w:type="dxa"/>
          </w:tcPr>
          <w:p w:rsidR="00210BF6" w:rsidRPr="00210BF6" w:rsidRDefault="00210BF6" w:rsidP="00210BF6">
            <w:pPr>
              <w:jc w:val="center"/>
              <w:rPr>
                <w:rFonts w:ascii="Times New Roman" w:hAnsi="Times New Roman" w:cs="Times New Roman"/>
              </w:rPr>
            </w:pPr>
            <w:r w:rsidRPr="00210BF6">
              <w:rPr>
                <w:rFonts w:ascii="Times New Roman" w:hAnsi="Times New Roman" w:cs="Times New Roman"/>
              </w:rPr>
              <w:t>5</w:t>
            </w:r>
          </w:p>
        </w:tc>
        <w:tc>
          <w:tcPr>
            <w:tcW w:w="7120" w:type="dxa"/>
          </w:tcPr>
          <w:p w:rsidR="00210BF6" w:rsidRPr="00210BF6" w:rsidRDefault="00210BF6" w:rsidP="00210BF6">
            <w:pPr>
              <w:jc w:val="both"/>
              <w:rPr>
                <w:rFonts w:ascii="Times New Roman" w:hAnsi="Times New Roman" w:cs="Times New Roman"/>
                <w:b/>
              </w:rPr>
            </w:pPr>
            <w:r w:rsidRPr="00210BF6">
              <w:rPr>
                <w:rFonts w:ascii="Times New Roman" w:hAnsi="Times New Roman" w:cs="Times New Roman"/>
                <w:b/>
              </w:rPr>
              <w:t>областной бюджет Тверской области на 2022 год, как разница по нормативам отчислений в местные бюджеты</w:t>
            </w:r>
          </w:p>
        </w:tc>
        <w:tc>
          <w:tcPr>
            <w:tcW w:w="2268" w:type="dxa"/>
          </w:tcPr>
          <w:p w:rsidR="00210BF6" w:rsidRPr="00210BF6" w:rsidRDefault="00210BF6" w:rsidP="00210BF6">
            <w:pPr>
              <w:jc w:val="center"/>
              <w:rPr>
                <w:rFonts w:ascii="Times New Roman" w:hAnsi="Times New Roman" w:cs="Times New Roman"/>
                <w:b/>
              </w:rPr>
            </w:pPr>
            <w:r w:rsidRPr="00210BF6">
              <w:rPr>
                <w:rFonts w:ascii="Times New Roman" w:hAnsi="Times New Roman" w:cs="Times New Roman"/>
                <w:b/>
              </w:rPr>
              <w:t>665 025,0</w:t>
            </w:r>
          </w:p>
        </w:tc>
      </w:tr>
      <w:tr w:rsidR="00210BF6" w:rsidRPr="00210BF6" w:rsidTr="00B821AA">
        <w:tc>
          <w:tcPr>
            <w:tcW w:w="672" w:type="dxa"/>
          </w:tcPr>
          <w:p w:rsidR="00210BF6" w:rsidRPr="00210BF6" w:rsidRDefault="00210BF6" w:rsidP="00210BF6">
            <w:pPr>
              <w:jc w:val="center"/>
              <w:rPr>
                <w:rFonts w:ascii="Times New Roman" w:hAnsi="Times New Roman" w:cs="Times New Roman"/>
              </w:rPr>
            </w:pPr>
            <w:r w:rsidRPr="00210BF6">
              <w:rPr>
                <w:rFonts w:ascii="Times New Roman" w:hAnsi="Times New Roman" w:cs="Times New Roman"/>
              </w:rPr>
              <w:t>6</w:t>
            </w:r>
          </w:p>
        </w:tc>
        <w:tc>
          <w:tcPr>
            <w:tcW w:w="7120" w:type="dxa"/>
          </w:tcPr>
          <w:p w:rsidR="00210BF6" w:rsidRPr="00210BF6" w:rsidRDefault="00210BF6" w:rsidP="00210BF6">
            <w:pPr>
              <w:jc w:val="both"/>
              <w:rPr>
                <w:rFonts w:ascii="Times New Roman" w:hAnsi="Times New Roman" w:cs="Times New Roman"/>
              </w:rPr>
            </w:pPr>
            <w:r w:rsidRPr="00210BF6">
              <w:rPr>
                <w:rFonts w:ascii="Times New Roman" w:hAnsi="Times New Roman" w:cs="Times New Roman"/>
                <w:b/>
              </w:rPr>
              <w:t xml:space="preserve">Прогноз на 2023 год в консолидированный бюджет Тверской области </w:t>
            </w:r>
            <w:r w:rsidRPr="00210BF6">
              <w:rPr>
                <w:rFonts w:ascii="Times New Roman" w:hAnsi="Times New Roman" w:cs="Times New Roman"/>
              </w:rPr>
              <w:t xml:space="preserve">по налогу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w:t>
            </w:r>
          </w:p>
          <w:p w:rsidR="00210BF6" w:rsidRPr="00210BF6" w:rsidRDefault="00210BF6" w:rsidP="00210BF6">
            <w:pPr>
              <w:jc w:val="both"/>
              <w:rPr>
                <w:rFonts w:ascii="Times New Roman" w:hAnsi="Times New Roman" w:cs="Times New Roman"/>
              </w:rPr>
            </w:pPr>
            <w:r w:rsidRPr="00210BF6">
              <w:rPr>
                <w:rFonts w:ascii="Times New Roman" w:hAnsi="Times New Roman" w:cs="Times New Roman"/>
              </w:rPr>
              <w:t>(стр. 4 * Кфзп 2023/2022, по каждому бюджету городского и муниципального округов, городского и сельского поселения (по данным Министерства экономического развития Тверской области), в % + F1 (0)</w:t>
            </w:r>
          </w:p>
        </w:tc>
        <w:tc>
          <w:tcPr>
            <w:tcW w:w="2268" w:type="dxa"/>
          </w:tcPr>
          <w:p w:rsidR="00210BF6" w:rsidRPr="00210BF6" w:rsidRDefault="00210BF6" w:rsidP="00210BF6">
            <w:pPr>
              <w:jc w:val="center"/>
              <w:rPr>
                <w:rFonts w:ascii="Times New Roman" w:hAnsi="Times New Roman" w:cs="Times New Roman"/>
              </w:rPr>
            </w:pPr>
            <w:r w:rsidRPr="00210BF6">
              <w:rPr>
                <w:rFonts w:ascii="Times New Roman" w:hAnsi="Times New Roman" w:cs="Times New Roman"/>
              </w:rPr>
              <w:t>887 645,0</w:t>
            </w:r>
          </w:p>
          <w:p w:rsidR="00210BF6" w:rsidRPr="00210BF6" w:rsidRDefault="00210BF6" w:rsidP="00210BF6">
            <w:pPr>
              <w:jc w:val="center"/>
              <w:rPr>
                <w:rFonts w:ascii="Times New Roman" w:hAnsi="Times New Roman" w:cs="Times New Roman"/>
              </w:rPr>
            </w:pPr>
          </w:p>
          <w:p w:rsidR="00210BF6" w:rsidRPr="00210BF6" w:rsidRDefault="00210BF6" w:rsidP="00210BF6">
            <w:pPr>
              <w:jc w:val="center"/>
              <w:rPr>
                <w:rFonts w:ascii="Times New Roman" w:hAnsi="Times New Roman" w:cs="Times New Roman"/>
              </w:rPr>
            </w:pPr>
          </w:p>
        </w:tc>
      </w:tr>
      <w:tr w:rsidR="00210BF6" w:rsidRPr="00210BF6" w:rsidTr="00B821AA">
        <w:tc>
          <w:tcPr>
            <w:tcW w:w="672" w:type="dxa"/>
          </w:tcPr>
          <w:p w:rsidR="00210BF6" w:rsidRPr="00210BF6" w:rsidRDefault="00210BF6" w:rsidP="00210BF6">
            <w:pPr>
              <w:jc w:val="center"/>
              <w:rPr>
                <w:rFonts w:ascii="Times New Roman" w:hAnsi="Times New Roman" w:cs="Times New Roman"/>
              </w:rPr>
            </w:pPr>
            <w:r w:rsidRPr="00210BF6">
              <w:rPr>
                <w:rFonts w:ascii="Times New Roman" w:hAnsi="Times New Roman" w:cs="Times New Roman"/>
              </w:rPr>
              <w:t>7</w:t>
            </w:r>
          </w:p>
        </w:tc>
        <w:tc>
          <w:tcPr>
            <w:tcW w:w="7120" w:type="dxa"/>
          </w:tcPr>
          <w:p w:rsidR="00210BF6" w:rsidRPr="00210BF6" w:rsidRDefault="00210BF6" w:rsidP="00210BF6">
            <w:pPr>
              <w:jc w:val="both"/>
              <w:rPr>
                <w:rFonts w:ascii="Times New Roman" w:hAnsi="Times New Roman" w:cs="Times New Roman"/>
                <w:b/>
              </w:rPr>
            </w:pPr>
            <w:r w:rsidRPr="00210BF6">
              <w:rPr>
                <w:rFonts w:ascii="Times New Roman" w:hAnsi="Times New Roman" w:cs="Times New Roman"/>
                <w:b/>
              </w:rPr>
              <w:t>областной бюджет Тверской области на 2023 год, как разница по нормативам отчислений в местный бюджет</w:t>
            </w:r>
          </w:p>
        </w:tc>
        <w:tc>
          <w:tcPr>
            <w:tcW w:w="2268" w:type="dxa"/>
          </w:tcPr>
          <w:p w:rsidR="00210BF6" w:rsidRPr="00210BF6" w:rsidRDefault="00210BF6" w:rsidP="00D30365">
            <w:pPr>
              <w:jc w:val="center"/>
              <w:rPr>
                <w:rFonts w:ascii="Times New Roman" w:hAnsi="Times New Roman" w:cs="Times New Roman"/>
                <w:b/>
              </w:rPr>
            </w:pPr>
            <w:r w:rsidRPr="00210BF6">
              <w:rPr>
                <w:rFonts w:ascii="Times New Roman" w:hAnsi="Times New Roman" w:cs="Times New Roman"/>
                <w:b/>
              </w:rPr>
              <w:t>70</w:t>
            </w:r>
            <w:r w:rsidR="00CE7F44">
              <w:rPr>
                <w:rFonts w:ascii="Times New Roman" w:hAnsi="Times New Roman" w:cs="Times New Roman"/>
                <w:b/>
              </w:rPr>
              <w:t>6 62</w:t>
            </w:r>
            <w:r w:rsidR="00D30365">
              <w:rPr>
                <w:rFonts w:ascii="Times New Roman" w:hAnsi="Times New Roman" w:cs="Times New Roman"/>
                <w:b/>
              </w:rPr>
              <w:t>9</w:t>
            </w:r>
            <w:r w:rsidRPr="00210BF6">
              <w:rPr>
                <w:rFonts w:ascii="Times New Roman" w:hAnsi="Times New Roman" w:cs="Times New Roman"/>
                <w:b/>
              </w:rPr>
              <w:t>,0</w:t>
            </w:r>
          </w:p>
        </w:tc>
      </w:tr>
      <w:tr w:rsidR="00210BF6" w:rsidRPr="00210BF6" w:rsidTr="00B821AA">
        <w:tc>
          <w:tcPr>
            <w:tcW w:w="672" w:type="dxa"/>
          </w:tcPr>
          <w:p w:rsidR="00210BF6" w:rsidRPr="00210BF6" w:rsidRDefault="00210BF6" w:rsidP="00210BF6">
            <w:pPr>
              <w:jc w:val="center"/>
              <w:rPr>
                <w:rFonts w:ascii="Times New Roman" w:hAnsi="Times New Roman" w:cs="Times New Roman"/>
              </w:rPr>
            </w:pPr>
            <w:r w:rsidRPr="00210BF6">
              <w:rPr>
                <w:rFonts w:ascii="Times New Roman" w:hAnsi="Times New Roman" w:cs="Times New Roman"/>
              </w:rPr>
              <w:t>8</w:t>
            </w:r>
          </w:p>
        </w:tc>
        <w:tc>
          <w:tcPr>
            <w:tcW w:w="7120" w:type="dxa"/>
          </w:tcPr>
          <w:p w:rsidR="00210BF6" w:rsidRPr="00210BF6" w:rsidRDefault="00210BF6" w:rsidP="00210BF6">
            <w:pPr>
              <w:jc w:val="both"/>
              <w:rPr>
                <w:rFonts w:ascii="Times New Roman" w:hAnsi="Times New Roman" w:cs="Times New Roman"/>
              </w:rPr>
            </w:pPr>
            <w:r w:rsidRPr="00210BF6">
              <w:rPr>
                <w:rFonts w:ascii="Times New Roman" w:hAnsi="Times New Roman" w:cs="Times New Roman"/>
                <w:b/>
              </w:rPr>
              <w:t>Прогноз на 2024 год в консолидированный бюджет Тверской области</w:t>
            </w:r>
            <w:r w:rsidRPr="00210BF6">
              <w:rPr>
                <w:rFonts w:ascii="Times New Roman" w:hAnsi="Times New Roman" w:cs="Times New Roman"/>
              </w:rPr>
              <w:t xml:space="preserve"> по налогу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w:t>
            </w:r>
          </w:p>
          <w:p w:rsidR="00210BF6" w:rsidRPr="00210BF6" w:rsidRDefault="00210BF6" w:rsidP="00210BF6">
            <w:pPr>
              <w:jc w:val="both"/>
              <w:rPr>
                <w:rFonts w:ascii="Times New Roman" w:hAnsi="Times New Roman" w:cs="Times New Roman"/>
              </w:rPr>
            </w:pPr>
            <w:r w:rsidRPr="00210BF6">
              <w:rPr>
                <w:rFonts w:ascii="Times New Roman" w:hAnsi="Times New Roman" w:cs="Times New Roman"/>
              </w:rPr>
              <w:t>(стр. 6 * Кфзп 2024/2023 по каждому бюджету городского и муниципального округов, городского и сельского поселения (по данным Министерства экономического развития Тверской области), в % + F1 (0)</w:t>
            </w:r>
          </w:p>
        </w:tc>
        <w:tc>
          <w:tcPr>
            <w:tcW w:w="2268" w:type="dxa"/>
          </w:tcPr>
          <w:p w:rsidR="00210BF6" w:rsidRPr="00210BF6" w:rsidRDefault="00210BF6" w:rsidP="00210BF6">
            <w:pPr>
              <w:jc w:val="center"/>
              <w:rPr>
                <w:rFonts w:ascii="Times New Roman" w:hAnsi="Times New Roman" w:cs="Times New Roman"/>
              </w:rPr>
            </w:pPr>
            <w:r w:rsidRPr="00210BF6">
              <w:rPr>
                <w:rFonts w:ascii="Times New Roman" w:hAnsi="Times New Roman" w:cs="Times New Roman"/>
              </w:rPr>
              <w:t>939 348,0</w:t>
            </w:r>
          </w:p>
        </w:tc>
      </w:tr>
      <w:tr w:rsidR="00210BF6" w:rsidRPr="00210BF6" w:rsidTr="00B821AA">
        <w:tc>
          <w:tcPr>
            <w:tcW w:w="672" w:type="dxa"/>
          </w:tcPr>
          <w:p w:rsidR="00210BF6" w:rsidRPr="00210BF6" w:rsidRDefault="00210BF6" w:rsidP="00210BF6">
            <w:pPr>
              <w:jc w:val="center"/>
              <w:rPr>
                <w:rFonts w:ascii="Times New Roman" w:hAnsi="Times New Roman" w:cs="Times New Roman"/>
              </w:rPr>
            </w:pPr>
            <w:r w:rsidRPr="00210BF6">
              <w:rPr>
                <w:rFonts w:ascii="Times New Roman" w:hAnsi="Times New Roman" w:cs="Times New Roman"/>
              </w:rPr>
              <w:t>9</w:t>
            </w:r>
          </w:p>
        </w:tc>
        <w:tc>
          <w:tcPr>
            <w:tcW w:w="7120" w:type="dxa"/>
          </w:tcPr>
          <w:p w:rsidR="00210BF6" w:rsidRPr="00210BF6" w:rsidRDefault="00210BF6" w:rsidP="00210BF6">
            <w:pPr>
              <w:jc w:val="both"/>
              <w:rPr>
                <w:rFonts w:ascii="Times New Roman" w:hAnsi="Times New Roman" w:cs="Times New Roman"/>
                <w:b/>
              </w:rPr>
            </w:pPr>
            <w:r w:rsidRPr="00210BF6">
              <w:rPr>
                <w:rFonts w:ascii="Times New Roman" w:hAnsi="Times New Roman" w:cs="Times New Roman"/>
                <w:b/>
              </w:rPr>
              <w:t>областной бюджет Тверской области на 2024 год, как разница по нормативам отчислений в местный бюджет</w:t>
            </w:r>
          </w:p>
        </w:tc>
        <w:tc>
          <w:tcPr>
            <w:tcW w:w="2268" w:type="dxa"/>
          </w:tcPr>
          <w:p w:rsidR="00210BF6" w:rsidRPr="00210BF6" w:rsidRDefault="00210BF6" w:rsidP="00CE7F44">
            <w:pPr>
              <w:jc w:val="center"/>
              <w:rPr>
                <w:rFonts w:ascii="Times New Roman" w:hAnsi="Times New Roman" w:cs="Times New Roman"/>
                <w:b/>
              </w:rPr>
            </w:pPr>
            <w:r w:rsidRPr="00210BF6">
              <w:rPr>
                <w:rFonts w:ascii="Times New Roman" w:hAnsi="Times New Roman" w:cs="Times New Roman"/>
                <w:b/>
              </w:rPr>
              <w:t>756 </w:t>
            </w:r>
            <w:r w:rsidR="00CE7F44">
              <w:rPr>
                <w:rFonts w:ascii="Times New Roman" w:hAnsi="Times New Roman" w:cs="Times New Roman"/>
                <w:b/>
              </w:rPr>
              <w:t>453</w:t>
            </w:r>
            <w:r w:rsidRPr="00210BF6">
              <w:rPr>
                <w:rFonts w:ascii="Times New Roman" w:hAnsi="Times New Roman" w:cs="Times New Roman"/>
                <w:b/>
              </w:rPr>
              <w:t>,0</w:t>
            </w:r>
          </w:p>
        </w:tc>
      </w:tr>
    </w:tbl>
    <w:p w:rsidR="00210BF6" w:rsidRDefault="00210BF6" w:rsidP="004412F1">
      <w:pPr>
        <w:jc w:val="center"/>
        <w:rPr>
          <w:b/>
          <w:sz w:val="28"/>
          <w:szCs w:val="28"/>
        </w:rPr>
      </w:pPr>
    </w:p>
    <w:p w:rsidR="00210BF6" w:rsidRDefault="00210BF6" w:rsidP="004412F1">
      <w:pPr>
        <w:jc w:val="center"/>
        <w:rPr>
          <w:b/>
          <w:sz w:val="28"/>
          <w:szCs w:val="28"/>
        </w:rPr>
      </w:pPr>
    </w:p>
    <w:p w:rsidR="00D30365" w:rsidRDefault="00D30365" w:rsidP="004412F1">
      <w:pPr>
        <w:jc w:val="center"/>
        <w:rPr>
          <w:b/>
          <w:sz w:val="28"/>
          <w:szCs w:val="28"/>
        </w:rPr>
      </w:pPr>
    </w:p>
    <w:p w:rsidR="00501828" w:rsidRPr="00501828" w:rsidRDefault="00501828" w:rsidP="00501828">
      <w:pPr>
        <w:jc w:val="center"/>
        <w:rPr>
          <w:b/>
          <w:sz w:val="28"/>
          <w:szCs w:val="28"/>
        </w:rPr>
      </w:pPr>
      <w:r w:rsidRPr="00501828">
        <w:rPr>
          <w:b/>
          <w:sz w:val="28"/>
          <w:szCs w:val="28"/>
        </w:rPr>
        <w:lastRenderedPageBreak/>
        <w:t>Налоги на товары (работы, услуги), реализуемые на территории Российской Федерации</w:t>
      </w:r>
    </w:p>
    <w:p w:rsidR="00501828" w:rsidRPr="00501828" w:rsidRDefault="00501828" w:rsidP="00501828">
      <w:pPr>
        <w:jc w:val="center"/>
        <w:rPr>
          <w:b/>
          <w:sz w:val="28"/>
          <w:szCs w:val="28"/>
        </w:rPr>
      </w:pPr>
      <w:r w:rsidRPr="00501828">
        <w:rPr>
          <w:b/>
          <w:sz w:val="28"/>
          <w:szCs w:val="28"/>
        </w:rPr>
        <w:t>(000 1 03 00000 00 00000 000)</w:t>
      </w:r>
    </w:p>
    <w:p w:rsidR="00501828" w:rsidRPr="00501828" w:rsidRDefault="00501828" w:rsidP="00501828">
      <w:pPr>
        <w:jc w:val="center"/>
        <w:rPr>
          <w:b/>
          <w:sz w:val="28"/>
          <w:szCs w:val="28"/>
        </w:rPr>
      </w:pPr>
    </w:p>
    <w:p w:rsidR="00501828" w:rsidRPr="00501828" w:rsidRDefault="00501828" w:rsidP="00501828">
      <w:pPr>
        <w:jc w:val="center"/>
        <w:rPr>
          <w:b/>
          <w:sz w:val="28"/>
          <w:szCs w:val="28"/>
        </w:rPr>
      </w:pPr>
      <w:r w:rsidRPr="00501828">
        <w:rPr>
          <w:b/>
          <w:sz w:val="28"/>
          <w:szCs w:val="28"/>
        </w:rPr>
        <w:t>Акцизы по подакцизным товарам (продукции), производимым на территории Российской Федерации</w:t>
      </w:r>
    </w:p>
    <w:p w:rsidR="00FF7D10" w:rsidRDefault="00501828" w:rsidP="00501828">
      <w:pPr>
        <w:jc w:val="center"/>
        <w:rPr>
          <w:b/>
          <w:sz w:val="28"/>
          <w:szCs w:val="28"/>
        </w:rPr>
      </w:pPr>
      <w:r w:rsidRPr="00501828">
        <w:rPr>
          <w:b/>
          <w:sz w:val="28"/>
          <w:szCs w:val="28"/>
        </w:rPr>
        <w:t>(000 1 03 02000 01 0000 110)</w:t>
      </w:r>
    </w:p>
    <w:p w:rsidR="00A33E59" w:rsidRPr="00A33E59" w:rsidRDefault="00A33E59" w:rsidP="00A33E59">
      <w:pPr>
        <w:jc w:val="center"/>
        <w:rPr>
          <w:b/>
          <w:sz w:val="28"/>
          <w:szCs w:val="28"/>
        </w:rPr>
      </w:pPr>
    </w:p>
    <w:p w:rsidR="00A33E59" w:rsidRPr="00A33E59" w:rsidRDefault="00A33E59" w:rsidP="00A33E59">
      <w:pPr>
        <w:ind w:firstLine="709"/>
        <w:jc w:val="both"/>
        <w:rPr>
          <w:sz w:val="28"/>
          <w:szCs w:val="28"/>
        </w:rPr>
      </w:pPr>
      <w:r w:rsidRPr="00A33E59">
        <w:rPr>
          <w:sz w:val="28"/>
          <w:szCs w:val="28"/>
        </w:rPr>
        <w:t>В доход областного бюджета Тверской области зачисляются акцизы и доходы от уплаты акцизов.</w:t>
      </w:r>
    </w:p>
    <w:p w:rsidR="00A33E59" w:rsidRPr="00A33E59" w:rsidRDefault="00A33E59" w:rsidP="00A33E59">
      <w:pPr>
        <w:ind w:firstLine="709"/>
        <w:jc w:val="both"/>
        <w:rPr>
          <w:sz w:val="28"/>
          <w:szCs w:val="28"/>
        </w:rPr>
      </w:pPr>
      <w:r w:rsidRPr="00A33E59">
        <w:rPr>
          <w:sz w:val="28"/>
          <w:szCs w:val="28"/>
        </w:rPr>
        <w:t>Прогноз поступления акцизов в областной бюджет Тверской области на 2022-2024 годы основан на прогнозных показателях объемов реализации подакцизных товаров, предоставленных Министерством промышленности и торговли Тверской области, с использованием ставок акцизов, установленных статьей 193 Налогового кодекса Российской Федерации.</w:t>
      </w:r>
    </w:p>
    <w:p w:rsidR="00A33E59" w:rsidRPr="00A33E59" w:rsidRDefault="00A33E59" w:rsidP="00A33E59">
      <w:pPr>
        <w:ind w:firstLine="709"/>
        <w:jc w:val="both"/>
        <w:rPr>
          <w:sz w:val="28"/>
          <w:szCs w:val="28"/>
        </w:rPr>
      </w:pPr>
      <w:r w:rsidRPr="00A33E59">
        <w:rPr>
          <w:sz w:val="28"/>
          <w:szCs w:val="28"/>
        </w:rPr>
        <w:t>Прогноз акцизов от налогоплательщиков Тверской области по алкогольной продукции (вино, винные напитки, пиво, сидр, медовуха, алкоголь крепостью до 9%) произведен с учетом особенностей сроков уплаты, реализации алкогольной продукции на экспорт и вычетов по виноматериалам, используемым при производстве вин и винных напитков. Расчет произведен главным администратором доходов – Управлением Федеральной налоговой службы по Тверской области. Сумма акцизов, исчисленных по объемам реализации каждого вида подакцизной алкогольной продукции за год, уменьшается на сумму акцизов, исчисленных по объемам реализации за декабрь прогнозируемого года, и увеличивается на сумму акцизов за такой же период предшествующего года, а также уменьшается на сумму акцизов от реализации алкогольной продукции на экспорт (пиво) и сумму вычетов по виноматериалам, используемым при производстве вин и винных напитков.</w:t>
      </w:r>
    </w:p>
    <w:p w:rsidR="00A33E59" w:rsidRPr="00A33E59" w:rsidRDefault="00A33E59" w:rsidP="00A33E59">
      <w:pPr>
        <w:ind w:firstLine="709"/>
        <w:jc w:val="both"/>
        <w:rPr>
          <w:sz w:val="28"/>
          <w:szCs w:val="28"/>
        </w:rPr>
      </w:pPr>
      <w:r w:rsidRPr="00A33E59">
        <w:rPr>
          <w:sz w:val="28"/>
          <w:szCs w:val="28"/>
        </w:rPr>
        <w:t xml:space="preserve">Прогноз доходов от уплаты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подлежащих распределению в бюджеты субъектов Российской Федерации </w:t>
      </w:r>
      <w:r w:rsidR="008B1D06">
        <w:rPr>
          <w:sz w:val="28"/>
          <w:szCs w:val="28"/>
        </w:rPr>
        <w:t xml:space="preserve">подтвержден </w:t>
      </w:r>
      <w:r w:rsidRPr="00A33E59">
        <w:rPr>
          <w:sz w:val="28"/>
          <w:szCs w:val="28"/>
        </w:rPr>
        <w:t>главным администратором доходов (</w:t>
      </w:r>
      <w:r w:rsidR="008B1D06">
        <w:rPr>
          <w:sz w:val="28"/>
          <w:szCs w:val="28"/>
        </w:rPr>
        <w:t xml:space="preserve">письмо </w:t>
      </w:r>
      <w:r w:rsidRPr="00A33E59">
        <w:rPr>
          <w:sz w:val="28"/>
          <w:szCs w:val="28"/>
        </w:rPr>
        <w:t>Управлени</w:t>
      </w:r>
      <w:r w:rsidR="008B1D06">
        <w:rPr>
          <w:sz w:val="28"/>
          <w:szCs w:val="28"/>
        </w:rPr>
        <w:t>я</w:t>
      </w:r>
      <w:r w:rsidRPr="00A33E59">
        <w:rPr>
          <w:sz w:val="28"/>
          <w:szCs w:val="28"/>
        </w:rPr>
        <w:t xml:space="preserve"> Федерального казначейства по </w:t>
      </w:r>
      <w:r w:rsidR="008B1D06">
        <w:rPr>
          <w:sz w:val="28"/>
          <w:szCs w:val="28"/>
        </w:rPr>
        <w:t xml:space="preserve">Тверской области от 28.10.2021 № 36-02-09/4092) </w:t>
      </w:r>
      <w:r w:rsidRPr="00A33E59">
        <w:rPr>
          <w:sz w:val="28"/>
          <w:szCs w:val="28"/>
        </w:rPr>
        <w:t>.</w:t>
      </w:r>
    </w:p>
    <w:p w:rsidR="001025C8" w:rsidRDefault="00A33E59" w:rsidP="00A33E59">
      <w:pPr>
        <w:ind w:firstLine="709"/>
        <w:jc w:val="both"/>
        <w:rPr>
          <w:sz w:val="28"/>
          <w:szCs w:val="28"/>
        </w:rPr>
      </w:pPr>
      <w:r w:rsidRPr="00A33E59">
        <w:rPr>
          <w:sz w:val="28"/>
          <w:szCs w:val="28"/>
        </w:rPr>
        <w:t>В расчетах доходов от уплаты акцизов на алкогольную продукцию с объемной долей этилового спирта свыше 9 процентов учтен норматив отчисления в бюджеты субъектов Российской Федерации в размере 8</w:t>
      </w:r>
      <w:r w:rsidR="001025C8">
        <w:rPr>
          <w:sz w:val="28"/>
          <w:szCs w:val="28"/>
        </w:rPr>
        <w:t>4</w:t>
      </w:r>
      <w:r w:rsidRPr="00A33E59">
        <w:rPr>
          <w:sz w:val="28"/>
          <w:szCs w:val="28"/>
        </w:rPr>
        <w:t xml:space="preserve"> процентов. Кроме того, учтено разделение всех доходов от уплаты акцизов на крепкий алкоголь, подлежащих зачислению в бюджеты субъектов Российской Федерации</w:t>
      </w:r>
      <w:r w:rsidR="001025C8">
        <w:rPr>
          <w:sz w:val="28"/>
          <w:szCs w:val="28"/>
        </w:rPr>
        <w:t>:</w:t>
      </w:r>
    </w:p>
    <w:p w:rsidR="001025C8" w:rsidRDefault="00A33E59" w:rsidP="00A33E59">
      <w:pPr>
        <w:ind w:firstLine="709"/>
        <w:jc w:val="both"/>
        <w:rPr>
          <w:sz w:val="28"/>
          <w:szCs w:val="28"/>
        </w:rPr>
      </w:pPr>
      <w:r w:rsidRPr="00A33E59">
        <w:rPr>
          <w:sz w:val="28"/>
          <w:szCs w:val="28"/>
        </w:rPr>
        <w:t xml:space="preserve"> на доходы в целях компенсации выпадающих доходов по налогу на имущество организаций (норматив 3</w:t>
      </w:r>
      <w:r w:rsidR="001025C8">
        <w:rPr>
          <w:sz w:val="28"/>
          <w:szCs w:val="28"/>
        </w:rPr>
        <w:t>5</w:t>
      </w:r>
      <w:r w:rsidRPr="00A33E59">
        <w:rPr>
          <w:sz w:val="28"/>
          <w:szCs w:val="28"/>
        </w:rPr>
        <w:t>,</w:t>
      </w:r>
      <w:r w:rsidR="001025C8">
        <w:rPr>
          <w:sz w:val="28"/>
          <w:szCs w:val="28"/>
        </w:rPr>
        <w:t>7%);</w:t>
      </w:r>
    </w:p>
    <w:p w:rsidR="00A33E59" w:rsidRDefault="001025C8" w:rsidP="00A33E59">
      <w:pPr>
        <w:ind w:firstLine="709"/>
        <w:jc w:val="both"/>
        <w:rPr>
          <w:sz w:val="28"/>
          <w:szCs w:val="28"/>
        </w:rPr>
      </w:pPr>
      <w:r>
        <w:rPr>
          <w:sz w:val="28"/>
          <w:szCs w:val="28"/>
        </w:rPr>
        <w:lastRenderedPageBreak/>
        <w:t xml:space="preserve">на </w:t>
      </w:r>
      <w:r w:rsidR="00A33E59" w:rsidRPr="00A33E59">
        <w:rPr>
          <w:sz w:val="28"/>
          <w:szCs w:val="28"/>
        </w:rPr>
        <w:t>доходы, которые направляются на компенсацию выпадающих доходов бюджетов субъектов Российской Федерации по списку</w:t>
      </w:r>
      <w:r>
        <w:rPr>
          <w:sz w:val="28"/>
          <w:szCs w:val="28"/>
        </w:rPr>
        <w:t xml:space="preserve"> (Тверской области нет)</w:t>
      </w:r>
      <w:r w:rsidR="00A33E59" w:rsidRPr="00A33E59">
        <w:rPr>
          <w:sz w:val="28"/>
          <w:szCs w:val="28"/>
        </w:rPr>
        <w:t xml:space="preserve"> и направляются на распределение по субъектам Российской Федерации пропорционально объемам розничных продаж по данным Единой государственной автоматизированной информационной системы</w:t>
      </w:r>
      <w:r>
        <w:rPr>
          <w:sz w:val="28"/>
          <w:szCs w:val="28"/>
        </w:rPr>
        <w:t xml:space="preserve"> </w:t>
      </w:r>
      <w:r w:rsidRPr="00A33E59">
        <w:rPr>
          <w:sz w:val="28"/>
          <w:szCs w:val="28"/>
        </w:rPr>
        <w:t xml:space="preserve">(норматив </w:t>
      </w:r>
      <w:r>
        <w:rPr>
          <w:sz w:val="28"/>
          <w:szCs w:val="28"/>
        </w:rPr>
        <w:t>59,5</w:t>
      </w:r>
      <w:r w:rsidRPr="00A33E59">
        <w:rPr>
          <w:sz w:val="28"/>
          <w:szCs w:val="28"/>
        </w:rPr>
        <w:t>%)</w:t>
      </w:r>
      <w:r w:rsidR="00A33E59" w:rsidRPr="00A33E59">
        <w:rPr>
          <w:sz w:val="28"/>
          <w:szCs w:val="28"/>
        </w:rPr>
        <w:t>. При этом предусмотрено ежегодное повышение на 10% норматива зачисления акцизов в бюджеты субъектов Российской Федерации, подлежащих распределению исходя из доли розничных продаж крепкого алкоголя (2020 год –70%, 2021 год – 80%, 2022 год – 90%, 20</w:t>
      </w:r>
      <w:r>
        <w:rPr>
          <w:sz w:val="28"/>
          <w:szCs w:val="28"/>
        </w:rPr>
        <w:t>23 год – 100%, 2024 год – 100%);</w:t>
      </w:r>
    </w:p>
    <w:p w:rsidR="001025C8" w:rsidRPr="00A33E59" w:rsidRDefault="001025C8" w:rsidP="00A33E59">
      <w:pPr>
        <w:ind w:firstLine="709"/>
        <w:jc w:val="both"/>
        <w:rPr>
          <w:sz w:val="28"/>
          <w:szCs w:val="28"/>
        </w:rPr>
      </w:pPr>
      <w:r>
        <w:rPr>
          <w:sz w:val="28"/>
          <w:szCs w:val="28"/>
        </w:rPr>
        <w:t>на доходы в целях компенсации выпадающих доходов бюджетов субъектов Российской Федерации в связи с передачей 50% доходов от акцизов на средние дистилляты, производимые на территории Российской Федерации, в федеральный бюджет</w:t>
      </w:r>
      <w:r w:rsidR="00A636BB">
        <w:rPr>
          <w:sz w:val="28"/>
          <w:szCs w:val="28"/>
        </w:rPr>
        <w:t xml:space="preserve"> (норматив 4,8%) (Тверской области нет).</w:t>
      </w:r>
    </w:p>
    <w:p w:rsidR="00A33E59" w:rsidRPr="00A33E59" w:rsidRDefault="00A33E59" w:rsidP="00A33E59">
      <w:pPr>
        <w:ind w:firstLine="709"/>
        <w:jc w:val="both"/>
        <w:rPr>
          <w:sz w:val="28"/>
          <w:szCs w:val="28"/>
        </w:rPr>
      </w:pPr>
      <w:r w:rsidRPr="00A33E59">
        <w:rPr>
          <w:sz w:val="28"/>
          <w:szCs w:val="28"/>
        </w:rPr>
        <w:t>Прогноз</w:t>
      </w:r>
      <w:r w:rsidR="008B1D06">
        <w:rPr>
          <w:sz w:val="28"/>
          <w:szCs w:val="28"/>
        </w:rPr>
        <w:t>ируемые суммы</w:t>
      </w:r>
      <w:r w:rsidRPr="00A33E59">
        <w:rPr>
          <w:sz w:val="28"/>
          <w:szCs w:val="28"/>
        </w:rPr>
        <w:t xml:space="preserve"> доходов от уплаты акцизов на автомобильный бензин, прямогонный бензин, дизельное топливо, моторные масла для дизельных и (или) карбюраторных (инжекторных) двигателей (далее - акцизы на нефтепродукты),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на 2022-202</w:t>
      </w:r>
      <w:r w:rsidR="00A636BB">
        <w:rPr>
          <w:sz w:val="28"/>
          <w:szCs w:val="28"/>
        </w:rPr>
        <w:t>4</w:t>
      </w:r>
      <w:r w:rsidRPr="00A33E59">
        <w:rPr>
          <w:sz w:val="28"/>
          <w:szCs w:val="28"/>
        </w:rPr>
        <w:t xml:space="preserve"> годы </w:t>
      </w:r>
      <w:r w:rsidR="008B1D06">
        <w:rPr>
          <w:sz w:val="28"/>
          <w:szCs w:val="28"/>
        </w:rPr>
        <w:t xml:space="preserve">представлены </w:t>
      </w:r>
      <w:r w:rsidRPr="00A33E59">
        <w:rPr>
          <w:sz w:val="28"/>
          <w:szCs w:val="28"/>
        </w:rPr>
        <w:t>главн</w:t>
      </w:r>
      <w:r w:rsidR="00A636BB">
        <w:rPr>
          <w:sz w:val="28"/>
          <w:szCs w:val="28"/>
        </w:rPr>
        <w:t>ым</w:t>
      </w:r>
      <w:r w:rsidRPr="00A33E59">
        <w:rPr>
          <w:sz w:val="28"/>
          <w:szCs w:val="28"/>
        </w:rPr>
        <w:t xml:space="preserve"> администратор</w:t>
      </w:r>
      <w:r w:rsidR="00A636BB">
        <w:rPr>
          <w:sz w:val="28"/>
          <w:szCs w:val="28"/>
        </w:rPr>
        <w:t>ом</w:t>
      </w:r>
      <w:r w:rsidRPr="00A33E59">
        <w:rPr>
          <w:sz w:val="28"/>
          <w:szCs w:val="28"/>
        </w:rPr>
        <w:t xml:space="preserve"> доходов (</w:t>
      </w:r>
      <w:r w:rsidR="008B1D06">
        <w:rPr>
          <w:sz w:val="28"/>
          <w:szCs w:val="28"/>
        </w:rPr>
        <w:t xml:space="preserve">письмо Управления </w:t>
      </w:r>
      <w:r w:rsidRPr="00A33E59">
        <w:rPr>
          <w:sz w:val="28"/>
          <w:szCs w:val="28"/>
        </w:rPr>
        <w:t>Федерально</w:t>
      </w:r>
      <w:r w:rsidR="008B1D06">
        <w:rPr>
          <w:sz w:val="28"/>
          <w:szCs w:val="28"/>
        </w:rPr>
        <w:t>го казначейства по Тверской области от 26.10.2021 № 36-02-09/4059</w:t>
      </w:r>
      <w:r w:rsidRPr="00A33E59">
        <w:rPr>
          <w:sz w:val="28"/>
          <w:szCs w:val="28"/>
        </w:rPr>
        <w:t>)</w:t>
      </w:r>
      <w:r w:rsidR="008B1D06">
        <w:rPr>
          <w:sz w:val="28"/>
          <w:szCs w:val="28"/>
        </w:rPr>
        <w:t>,</w:t>
      </w:r>
      <w:r w:rsidR="00A636BB">
        <w:rPr>
          <w:sz w:val="28"/>
          <w:szCs w:val="28"/>
        </w:rPr>
        <w:t xml:space="preserve"> </w:t>
      </w:r>
      <w:r w:rsidR="008B1D06">
        <w:rPr>
          <w:sz w:val="28"/>
          <w:szCs w:val="28"/>
        </w:rPr>
        <w:t>а</w:t>
      </w:r>
      <w:r w:rsidRPr="00A33E59">
        <w:rPr>
          <w:sz w:val="28"/>
          <w:szCs w:val="28"/>
        </w:rPr>
        <w:t xml:space="preserve"> </w:t>
      </w:r>
      <w:r w:rsidR="008B1D06" w:rsidRPr="00A33E59">
        <w:rPr>
          <w:sz w:val="28"/>
          <w:szCs w:val="28"/>
        </w:rPr>
        <w:t>расчё</w:t>
      </w:r>
      <w:r w:rsidR="008B1D06">
        <w:rPr>
          <w:sz w:val="28"/>
          <w:szCs w:val="28"/>
        </w:rPr>
        <w:t xml:space="preserve">т описан </w:t>
      </w:r>
      <w:r w:rsidRPr="00A33E59">
        <w:rPr>
          <w:sz w:val="28"/>
          <w:szCs w:val="28"/>
        </w:rPr>
        <w:t xml:space="preserve">Министерством финансов Тверской области </w:t>
      </w:r>
      <w:r w:rsidR="00A636BB">
        <w:rPr>
          <w:sz w:val="28"/>
          <w:szCs w:val="28"/>
        </w:rPr>
        <w:t xml:space="preserve">на основании данных из проекта Федерального закона «О федеральном бюджете на 2022 год и на плановый период 2023 и 2024 годов» </w:t>
      </w:r>
      <w:r w:rsidRPr="00A33E59">
        <w:rPr>
          <w:sz w:val="28"/>
          <w:szCs w:val="28"/>
        </w:rPr>
        <w:t xml:space="preserve">с учетом положений Федерального закона от 1 июля 2021 г. № 247-ФЗ «О внесении изменений в Федеральный закон </w:t>
      </w:r>
      <w:r w:rsidR="00A636BB">
        <w:rPr>
          <w:sz w:val="28"/>
          <w:szCs w:val="28"/>
        </w:rPr>
        <w:t>«</w:t>
      </w:r>
      <w:r w:rsidRPr="00A33E59">
        <w:rPr>
          <w:sz w:val="28"/>
          <w:szCs w:val="28"/>
        </w:rPr>
        <w:t xml:space="preserve">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2021 году» и отдельные законодательные акты Российской Федерации», которым предусматривается уменьшение ранее утвержденных нормативов отчисления в бюджеты субъектов Российской Федерации акцизов на нефтепродукты , начиная с 2022 года (2022 год -74,9% вместо 83,3%, 2023 год - 74,9% вместо 91,6%, 2024 год -74,9% вместо </w:t>
      </w:r>
      <w:r w:rsidR="00A636BB">
        <w:rPr>
          <w:sz w:val="28"/>
          <w:szCs w:val="28"/>
        </w:rPr>
        <w:t>88</w:t>
      </w:r>
      <w:r w:rsidRPr="00A33E59">
        <w:rPr>
          <w:sz w:val="28"/>
          <w:szCs w:val="28"/>
        </w:rPr>
        <w:t>%).</w:t>
      </w:r>
    </w:p>
    <w:p w:rsidR="00FF7D10" w:rsidRPr="00A33E59" w:rsidRDefault="00A33E59" w:rsidP="00A33E59">
      <w:pPr>
        <w:ind w:firstLine="709"/>
        <w:jc w:val="both"/>
        <w:rPr>
          <w:sz w:val="28"/>
          <w:szCs w:val="28"/>
        </w:rPr>
      </w:pPr>
      <w:r w:rsidRPr="00A33E59">
        <w:rPr>
          <w:sz w:val="28"/>
          <w:szCs w:val="28"/>
        </w:rPr>
        <w:t xml:space="preserve">Кроме того, </w:t>
      </w:r>
      <w:r w:rsidR="008B1D06">
        <w:rPr>
          <w:sz w:val="28"/>
          <w:szCs w:val="28"/>
        </w:rPr>
        <w:t xml:space="preserve">письмом Управления Федерального казначейства по Тверской области от 21.10.2021 № 36-02-09/3999 представлены прогнозируемые </w:t>
      </w:r>
      <w:r w:rsidRPr="00A33E59">
        <w:rPr>
          <w:sz w:val="28"/>
          <w:szCs w:val="28"/>
        </w:rPr>
        <w:t xml:space="preserve">на 2022-2024 годы </w:t>
      </w:r>
      <w:r w:rsidR="008B1D06">
        <w:rPr>
          <w:sz w:val="28"/>
          <w:szCs w:val="28"/>
        </w:rPr>
        <w:t xml:space="preserve">суммы </w:t>
      </w:r>
      <w:r w:rsidRPr="00A33E59">
        <w:rPr>
          <w:sz w:val="28"/>
          <w:szCs w:val="28"/>
        </w:rPr>
        <w:t>по доходам от уплаты акцизов на спирт этиловый из пищевого или непищевого сырья, акцизов на спиртосодержащую продукцию, подлежащие зачислению в бюджеты субъектов Российской Федерации, в размере 50 процентов объема указанных доходов, которые распределяются территориальными органами Федерального казначейства между бюджетами субъектов Российской Федерации в соответствии с федеральным законом о федеральном бюджете</w:t>
      </w:r>
      <w:r w:rsidR="000C7362">
        <w:rPr>
          <w:sz w:val="28"/>
          <w:szCs w:val="28"/>
        </w:rPr>
        <w:t xml:space="preserve"> (расчет описан Министерством финансов Тверской области)</w:t>
      </w:r>
      <w:r w:rsidRPr="00A33E59">
        <w:rPr>
          <w:sz w:val="28"/>
          <w:szCs w:val="28"/>
        </w:rPr>
        <w:t>.</w:t>
      </w:r>
    </w:p>
    <w:p w:rsidR="00A33E59" w:rsidRDefault="00A33E59" w:rsidP="004412F1">
      <w:pPr>
        <w:jc w:val="center"/>
        <w:rPr>
          <w:b/>
          <w:sz w:val="28"/>
          <w:szCs w:val="28"/>
        </w:rPr>
      </w:pPr>
    </w:p>
    <w:p w:rsidR="0014184E" w:rsidRPr="0014184E" w:rsidRDefault="0014184E" w:rsidP="0014184E">
      <w:pPr>
        <w:ind w:firstLine="720"/>
        <w:jc w:val="both"/>
        <w:rPr>
          <w:b/>
          <w:sz w:val="28"/>
          <w:szCs w:val="28"/>
        </w:rPr>
      </w:pPr>
      <w:r w:rsidRPr="0014184E">
        <w:rPr>
          <w:b/>
          <w:sz w:val="28"/>
          <w:szCs w:val="28"/>
        </w:rPr>
        <w:lastRenderedPageBreak/>
        <w:t>Сумма прогноза акцизов на 2022 год по алкогольной продукции составит 1 669 944 тыс. руб.</w:t>
      </w:r>
      <w:r w:rsidR="00A636BB">
        <w:rPr>
          <w:b/>
          <w:sz w:val="28"/>
          <w:szCs w:val="28"/>
        </w:rPr>
        <w:t xml:space="preserve">, на 2023 год - </w:t>
      </w:r>
      <w:r w:rsidR="00A636BB" w:rsidRPr="00A636BB">
        <w:rPr>
          <w:b/>
          <w:sz w:val="28"/>
          <w:szCs w:val="28"/>
        </w:rPr>
        <w:t>1 739 542 тыс. руб., на 2024 год - 1 809</w:t>
      </w:r>
      <w:r w:rsidR="00A636BB">
        <w:rPr>
          <w:b/>
          <w:sz w:val="28"/>
          <w:szCs w:val="28"/>
        </w:rPr>
        <w:t> </w:t>
      </w:r>
      <w:r w:rsidR="00A636BB" w:rsidRPr="00A636BB">
        <w:rPr>
          <w:b/>
          <w:sz w:val="28"/>
          <w:szCs w:val="28"/>
        </w:rPr>
        <w:t>149</w:t>
      </w:r>
      <w:r w:rsidR="00A636BB">
        <w:rPr>
          <w:b/>
          <w:sz w:val="28"/>
          <w:szCs w:val="28"/>
        </w:rPr>
        <w:t xml:space="preserve"> тыс. руб.</w:t>
      </w:r>
      <w:r w:rsidRPr="0014184E">
        <w:rPr>
          <w:b/>
          <w:sz w:val="28"/>
          <w:szCs w:val="28"/>
        </w:rPr>
        <w:t xml:space="preserve"> исходя из следующего расчета:</w:t>
      </w:r>
    </w:p>
    <w:p w:rsidR="0014184E" w:rsidRPr="0014184E" w:rsidRDefault="0014184E" w:rsidP="0014184E">
      <w:pPr>
        <w:ind w:firstLine="709"/>
        <w:jc w:val="center"/>
        <w:outlineLvl w:val="0"/>
        <w:rPr>
          <w:b/>
          <w:sz w:val="28"/>
          <w:szCs w:val="28"/>
        </w:rPr>
      </w:pPr>
    </w:p>
    <w:p w:rsidR="0014184E" w:rsidRPr="0014184E" w:rsidRDefault="0014184E" w:rsidP="0014184E">
      <w:pPr>
        <w:ind w:firstLine="709"/>
        <w:jc w:val="center"/>
        <w:outlineLvl w:val="0"/>
        <w:rPr>
          <w:b/>
          <w:sz w:val="28"/>
          <w:szCs w:val="28"/>
        </w:rPr>
        <w:sectPr w:rsidR="0014184E" w:rsidRPr="0014184E" w:rsidSect="008A253E">
          <w:footerReference w:type="even" r:id="rId8"/>
          <w:footerReference w:type="default" r:id="rId9"/>
          <w:pgSz w:w="11906" w:h="16838"/>
          <w:pgMar w:top="1134" w:right="850" w:bottom="1276" w:left="1080" w:header="708" w:footer="708" w:gutter="0"/>
          <w:cols w:space="708"/>
          <w:docGrid w:linePitch="360"/>
        </w:sectPr>
      </w:pPr>
    </w:p>
    <w:p w:rsidR="0014184E" w:rsidRPr="0014184E" w:rsidRDefault="0014184E" w:rsidP="0014184E">
      <w:pPr>
        <w:ind w:firstLine="709"/>
        <w:jc w:val="center"/>
        <w:outlineLvl w:val="0"/>
        <w:rPr>
          <w:b/>
          <w:sz w:val="28"/>
          <w:szCs w:val="28"/>
        </w:rPr>
      </w:pPr>
      <w:r w:rsidRPr="0014184E">
        <w:rPr>
          <w:b/>
          <w:sz w:val="28"/>
          <w:szCs w:val="28"/>
        </w:rPr>
        <w:lastRenderedPageBreak/>
        <w:t>Расчет прогноза поступления акцизов в областной бюджет Тверской области на 2022 год</w:t>
      </w:r>
    </w:p>
    <w:p w:rsidR="0014184E" w:rsidRPr="0014184E" w:rsidRDefault="0014184E" w:rsidP="0014184E">
      <w:pPr>
        <w:autoSpaceDE w:val="0"/>
        <w:autoSpaceDN w:val="0"/>
        <w:adjustRightInd w:val="0"/>
        <w:jc w:val="center"/>
        <w:rPr>
          <w:sz w:val="28"/>
          <w:szCs w:val="28"/>
        </w:rPr>
      </w:pPr>
      <w:r w:rsidRPr="0014184E">
        <w:rPr>
          <w:sz w:val="28"/>
          <w:szCs w:val="28"/>
        </w:rPr>
        <w:t>(000 1 03 02090 01 0000 110, 000 1 03 02100 01 0000 110,</w:t>
      </w:r>
      <w:r w:rsidRPr="0014184E">
        <w:rPr>
          <w:sz w:val="28"/>
          <w:szCs w:val="28"/>
          <w:lang w:val="en-US"/>
        </w:rPr>
        <w:t xml:space="preserve"> </w:t>
      </w:r>
      <w:r w:rsidRPr="0014184E">
        <w:rPr>
          <w:sz w:val="28"/>
          <w:szCs w:val="28"/>
        </w:rPr>
        <w:t xml:space="preserve">000 1 03 02120 01 0000 110, </w:t>
      </w:r>
    </w:p>
    <w:p w:rsidR="0014184E" w:rsidRPr="0014184E" w:rsidRDefault="0014184E" w:rsidP="0014184E">
      <w:pPr>
        <w:autoSpaceDE w:val="0"/>
        <w:autoSpaceDN w:val="0"/>
        <w:adjustRightInd w:val="0"/>
        <w:jc w:val="center"/>
        <w:rPr>
          <w:sz w:val="28"/>
          <w:szCs w:val="28"/>
        </w:rPr>
      </w:pPr>
      <w:r w:rsidRPr="0014184E">
        <w:rPr>
          <w:sz w:val="28"/>
          <w:szCs w:val="28"/>
          <w:lang w:val="en-US"/>
        </w:rPr>
        <w:t xml:space="preserve">000 </w:t>
      </w:r>
      <w:r w:rsidRPr="0014184E">
        <w:rPr>
          <w:bCs/>
          <w:sz w:val="28"/>
          <w:szCs w:val="28"/>
        </w:rPr>
        <w:t>1 03 02130 01 0000 110</w:t>
      </w:r>
      <w:r w:rsidRPr="0014184E">
        <w:rPr>
          <w:sz w:val="28"/>
          <w:szCs w:val="28"/>
        </w:rPr>
        <w:t>)</w:t>
      </w:r>
    </w:p>
    <w:p w:rsidR="0014184E" w:rsidRPr="0014184E" w:rsidRDefault="0014184E" w:rsidP="0014184E">
      <w:pPr>
        <w:tabs>
          <w:tab w:val="left" w:pos="11766"/>
        </w:tabs>
        <w:ind w:firstLine="709"/>
        <w:jc w:val="right"/>
      </w:pPr>
      <w:r w:rsidRPr="0014184E">
        <w:t>(тыс. руб.)</w:t>
      </w:r>
    </w:p>
    <w:tbl>
      <w:tblPr>
        <w:tblpPr w:leftFromText="180" w:rightFromText="180" w:vertAnchor="text" w:tblpX="93" w:tblpY="1"/>
        <w:tblOverlap w:val="never"/>
        <w:tblW w:w="15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4"/>
        <w:gridCol w:w="769"/>
        <w:gridCol w:w="747"/>
        <w:gridCol w:w="979"/>
        <w:gridCol w:w="1018"/>
        <w:gridCol w:w="1227"/>
        <w:gridCol w:w="1224"/>
        <w:gridCol w:w="951"/>
        <w:gridCol w:w="975"/>
        <w:gridCol w:w="1040"/>
        <w:gridCol w:w="1040"/>
        <w:gridCol w:w="1134"/>
        <w:gridCol w:w="1134"/>
      </w:tblGrid>
      <w:tr w:rsidR="0014184E" w:rsidRPr="0014184E" w:rsidTr="008A253E">
        <w:trPr>
          <w:trHeight w:val="2160"/>
          <w:tblHeader/>
        </w:trPr>
        <w:tc>
          <w:tcPr>
            <w:tcW w:w="3114" w:type="dxa"/>
            <w:vAlign w:val="center"/>
          </w:tcPr>
          <w:p w:rsidR="0014184E" w:rsidRPr="0014184E" w:rsidRDefault="0014184E" w:rsidP="0014184E">
            <w:pPr>
              <w:jc w:val="center"/>
              <w:rPr>
                <w:sz w:val="18"/>
                <w:szCs w:val="18"/>
              </w:rPr>
            </w:pPr>
            <w:r w:rsidRPr="0014184E">
              <w:rPr>
                <w:sz w:val="18"/>
                <w:szCs w:val="18"/>
              </w:rPr>
              <w:t> Наименование</w:t>
            </w:r>
          </w:p>
        </w:tc>
        <w:tc>
          <w:tcPr>
            <w:tcW w:w="769" w:type="dxa"/>
            <w:vAlign w:val="center"/>
          </w:tcPr>
          <w:p w:rsidR="0014184E" w:rsidRPr="0014184E" w:rsidRDefault="0014184E" w:rsidP="0014184E">
            <w:pPr>
              <w:jc w:val="center"/>
              <w:rPr>
                <w:sz w:val="18"/>
                <w:szCs w:val="18"/>
              </w:rPr>
            </w:pPr>
            <w:r w:rsidRPr="0014184E">
              <w:rPr>
                <w:sz w:val="18"/>
                <w:szCs w:val="18"/>
              </w:rPr>
              <w:t>Объем реализ.  тыс. дал. (с учетом крепости)</w:t>
            </w:r>
          </w:p>
        </w:tc>
        <w:tc>
          <w:tcPr>
            <w:tcW w:w="747" w:type="dxa"/>
            <w:vAlign w:val="center"/>
          </w:tcPr>
          <w:p w:rsidR="0014184E" w:rsidRPr="0014184E" w:rsidRDefault="0014184E" w:rsidP="0014184E">
            <w:pPr>
              <w:ind w:left="-106" w:right="-106"/>
              <w:jc w:val="center"/>
              <w:rPr>
                <w:sz w:val="18"/>
                <w:szCs w:val="18"/>
              </w:rPr>
            </w:pPr>
            <w:r w:rsidRPr="0014184E">
              <w:rPr>
                <w:sz w:val="18"/>
                <w:szCs w:val="18"/>
              </w:rPr>
              <w:t>Ставка акциза за 1 литр (руб) 2022 год</w:t>
            </w:r>
          </w:p>
        </w:tc>
        <w:tc>
          <w:tcPr>
            <w:tcW w:w="979" w:type="dxa"/>
            <w:vAlign w:val="center"/>
          </w:tcPr>
          <w:p w:rsidR="0014184E" w:rsidRPr="0014184E" w:rsidRDefault="0014184E" w:rsidP="0014184E">
            <w:pPr>
              <w:jc w:val="center"/>
              <w:rPr>
                <w:sz w:val="18"/>
                <w:szCs w:val="18"/>
              </w:rPr>
            </w:pPr>
            <w:r w:rsidRPr="0014184E">
              <w:rPr>
                <w:sz w:val="18"/>
                <w:szCs w:val="18"/>
              </w:rPr>
              <w:t>Ставка в перерасчете на абсолютный алкоголь (руб) за 1 Дал</w:t>
            </w:r>
          </w:p>
        </w:tc>
        <w:tc>
          <w:tcPr>
            <w:tcW w:w="1018" w:type="dxa"/>
            <w:vAlign w:val="center"/>
          </w:tcPr>
          <w:p w:rsidR="0014184E" w:rsidRPr="0014184E" w:rsidRDefault="0014184E" w:rsidP="0014184E">
            <w:pPr>
              <w:jc w:val="center"/>
              <w:rPr>
                <w:sz w:val="18"/>
                <w:szCs w:val="18"/>
              </w:rPr>
            </w:pPr>
            <w:r w:rsidRPr="0014184E">
              <w:rPr>
                <w:sz w:val="18"/>
                <w:szCs w:val="18"/>
              </w:rPr>
              <w:t xml:space="preserve">Итого </w:t>
            </w:r>
            <w:r w:rsidRPr="0014184E">
              <w:rPr>
                <w:sz w:val="18"/>
                <w:szCs w:val="18"/>
                <w:lang w:val="en-US"/>
              </w:rPr>
              <w:t>c</w:t>
            </w:r>
            <w:r w:rsidRPr="0014184E">
              <w:rPr>
                <w:sz w:val="18"/>
                <w:szCs w:val="18"/>
              </w:rPr>
              <w:t>умма акциза  за 2022 год   (тыс.руб.) с учетом округления</w:t>
            </w:r>
          </w:p>
        </w:tc>
        <w:tc>
          <w:tcPr>
            <w:tcW w:w="1227" w:type="dxa"/>
            <w:vAlign w:val="center"/>
          </w:tcPr>
          <w:p w:rsidR="0014184E" w:rsidRPr="0014184E" w:rsidRDefault="0014184E" w:rsidP="0014184E">
            <w:pPr>
              <w:jc w:val="center"/>
              <w:rPr>
                <w:sz w:val="18"/>
                <w:szCs w:val="18"/>
              </w:rPr>
            </w:pPr>
            <w:r w:rsidRPr="0014184E">
              <w:rPr>
                <w:sz w:val="18"/>
                <w:szCs w:val="18"/>
              </w:rPr>
              <w:t>Сумма акцизов, подлежащая уплате в янв..2022 г. в бюджет области за реализ. дек. 2021 г.</w:t>
            </w:r>
          </w:p>
        </w:tc>
        <w:tc>
          <w:tcPr>
            <w:tcW w:w="1224" w:type="dxa"/>
            <w:vAlign w:val="center"/>
          </w:tcPr>
          <w:p w:rsidR="0014184E" w:rsidRPr="0014184E" w:rsidRDefault="0014184E" w:rsidP="0014184E">
            <w:pPr>
              <w:jc w:val="center"/>
              <w:rPr>
                <w:sz w:val="18"/>
                <w:szCs w:val="18"/>
              </w:rPr>
            </w:pPr>
            <w:r w:rsidRPr="0014184E">
              <w:rPr>
                <w:sz w:val="18"/>
                <w:szCs w:val="18"/>
              </w:rPr>
              <w:t>Поступление акцизов в янв. 2023 г. за реализ. декабря 2022 г.</w:t>
            </w:r>
          </w:p>
        </w:tc>
        <w:tc>
          <w:tcPr>
            <w:tcW w:w="951" w:type="dxa"/>
            <w:vAlign w:val="center"/>
          </w:tcPr>
          <w:p w:rsidR="0014184E" w:rsidRPr="0014184E" w:rsidRDefault="0014184E" w:rsidP="0014184E">
            <w:pPr>
              <w:jc w:val="center"/>
              <w:rPr>
                <w:b/>
                <w:bCs/>
                <w:sz w:val="18"/>
                <w:szCs w:val="18"/>
              </w:rPr>
            </w:pPr>
            <w:r w:rsidRPr="0014184E">
              <w:rPr>
                <w:b/>
                <w:bCs/>
                <w:sz w:val="18"/>
                <w:szCs w:val="18"/>
              </w:rPr>
              <w:t>Прогноз на 2022 год с учетом сроков уплаты</w:t>
            </w:r>
          </w:p>
        </w:tc>
        <w:tc>
          <w:tcPr>
            <w:tcW w:w="975" w:type="dxa"/>
            <w:vAlign w:val="center"/>
          </w:tcPr>
          <w:p w:rsidR="0014184E" w:rsidRPr="0014184E" w:rsidRDefault="0014184E" w:rsidP="0014184E">
            <w:pPr>
              <w:jc w:val="center"/>
              <w:rPr>
                <w:sz w:val="18"/>
                <w:szCs w:val="18"/>
              </w:rPr>
            </w:pPr>
            <w:r w:rsidRPr="0014184E">
              <w:rPr>
                <w:sz w:val="18"/>
                <w:szCs w:val="18"/>
              </w:rPr>
              <w:t>Норма-тив отчисле-ния в бюджет субъекта</w:t>
            </w:r>
          </w:p>
        </w:tc>
        <w:tc>
          <w:tcPr>
            <w:tcW w:w="1040" w:type="dxa"/>
            <w:vAlign w:val="center"/>
          </w:tcPr>
          <w:p w:rsidR="0014184E" w:rsidRPr="0014184E" w:rsidRDefault="0014184E" w:rsidP="0014184E">
            <w:pPr>
              <w:jc w:val="center"/>
              <w:rPr>
                <w:b/>
                <w:bCs/>
                <w:sz w:val="18"/>
                <w:szCs w:val="18"/>
              </w:rPr>
            </w:pPr>
            <w:r w:rsidRPr="0014184E">
              <w:rPr>
                <w:sz w:val="18"/>
                <w:szCs w:val="18"/>
              </w:rPr>
              <w:t>Собираемость</w:t>
            </w:r>
          </w:p>
        </w:tc>
        <w:tc>
          <w:tcPr>
            <w:tcW w:w="1040" w:type="dxa"/>
            <w:vAlign w:val="center"/>
          </w:tcPr>
          <w:p w:rsidR="0014184E" w:rsidRPr="0014184E" w:rsidRDefault="0014184E" w:rsidP="0014184E">
            <w:pPr>
              <w:jc w:val="center"/>
              <w:rPr>
                <w:b/>
                <w:bCs/>
                <w:sz w:val="18"/>
                <w:szCs w:val="18"/>
              </w:rPr>
            </w:pPr>
            <w:r w:rsidRPr="0014184E">
              <w:rPr>
                <w:b/>
                <w:bCs/>
                <w:sz w:val="18"/>
                <w:szCs w:val="18"/>
              </w:rPr>
              <w:t>Итого акцизы на 202</w:t>
            </w:r>
            <w:r w:rsidRPr="0014184E">
              <w:rPr>
                <w:b/>
                <w:bCs/>
                <w:sz w:val="18"/>
                <w:szCs w:val="18"/>
                <w:lang w:val="en-US"/>
              </w:rPr>
              <w:t>2</w:t>
            </w:r>
            <w:r w:rsidRPr="0014184E">
              <w:rPr>
                <w:b/>
                <w:bCs/>
                <w:sz w:val="18"/>
                <w:szCs w:val="18"/>
              </w:rPr>
              <w:t xml:space="preserve"> год</w:t>
            </w:r>
          </w:p>
        </w:tc>
        <w:tc>
          <w:tcPr>
            <w:tcW w:w="1134" w:type="dxa"/>
            <w:vAlign w:val="center"/>
          </w:tcPr>
          <w:p w:rsidR="0014184E" w:rsidRPr="0014184E" w:rsidRDefault="0014184E" w:rsidP="0014184E">
            <w:pPr>
              <w:ind w:left="-111" w:right="-106"/>
              <w:jc w:val="center"/>
              <w:rPr>
                <w:sz w:val="18"/>
                <w:szCs w:val="18"/>
              </w:rPr>
            </w:pPr>
            <w:r w:rsidRPr="0014184E">
              <w:rPr>
                <w:sz w:val="18"/>
                <w:szCs w:val="18"/>
              </w:rPr>
              <w:t>в том числе акцизы на экспорт/ вычет по винома-териалам</w:t>
            </w:r>
          </w:p>
        </w:tc>
        <w:tc>
          <w:tcPr>
            <w:tcW w:w="1134" w:type="dxa"/>
            <w:vAlign w:val="center"/>
          </w:tcPr>
          <w:p w:rsidR="0014184E" w:rsidRPr="0014184E" w:rsidRDefault="0014184E" w:rsidP="0014184E">
            <w:pPr>
              <w:ind w:left="-110" w:right="-106"/>
              <w:jc w:val="center"/>
              <w:rPr>
                <w:b/>
                <w:bCs/>
                <w:sz w:val="18"/>
                <w:szCs w:val="18"/>
              </w:rPr>
            </w:pPr>
            <w:r w:rsidRPr="0014184E">
              <w:rPr>
                <w:b/>
                <w:bCs/>
                <w:sz w:val="18"/>
                <w:szCs w:val="18"/>
              </w:rPr>
              <w:t>Прогноз на 202</w:t>
            </w:r>
            <w:r w:rsidRPr="0014184E">
              <w:rPr>
                <w:b/>
                <w:bCs/>
                <w:sz w:val="18"/>
                <w:szCs w:val="18"/>
                <w:lang w:val="en-US"/>
              </w:rPr>
              <w:t>2</w:t>
            </w:r>
            <w:r w:rsidRPr="0014184E">
              <w:rPr>
                <w:b/>
                <w:bCs/>
                <w:sz w:val="18"/>
                <w:szCs w:val="18"/>
              </w:rPr>
              <w:t xml:space="preserve"> год.</w:t>
            </w:r>
          </w:p>
        </w:tc>
      </w:tr>
      <w:tr w:rsidR="0014184E" w:rsidRPr="0014184E" w:rsidTr="008A253E">
        <w:trPr>
          <w:trHeight w:val="225"/>
          <w:tblHeader/>
        </w:trPr>
        <w:tc>
          <w:tcPr>
            <w:tcW w:w="3114" w:type="dxa"/>
            <w:vAlign w:val="center"/>
          </w:tcPr>
          <w:p w:rsidR="0014184E" w:rsidRPr="0014184E" w:rsidRDefault="0014184E" w:rsidP="0014184E">
            <w:pPr>
              <w:jc w:val="center"/>
              <w:rPr>
                <w:sz w:val="18"/>
                <w:szCs w:val="18"/>
              </w:rPr>
            </w:pPr>
            <w:r w:rsidRPr="0014184E">
              <w:rPr>
                <w:sz w:val="18"/>
                <w:szCs w:val="18"/>
              </w:rPr>
              <w:t>1</w:t>
            </w:r>
          </w:p>
        </w:tc>
        <w:tc>
          <w:tcPr>
            <w:tcW w:w="769" w:type="dxa"/>
            <w:vAlign w:val="center"/>
          </w:tcPr>
          <w:p w:rsidR="0014184E" w:rsidRPr="0014184E" w:rsidRDefault="0014184E" w:rsidP="0014184E">
            <w:pPr>
              <w:jc w:val="center"/>
              <w:rPr>
                <w:sz w:val="18"/>
                <w:szCs w:val="18"/>
              </w:rPr>
            </w:pPr>
            <w:r w:rsidRPr="0014184E">
              <w:rPr>
                <w:sz w:val="18"/>
                <w:szCs w:val="18"/>
              </w:rPr>
              <w:t>2</w:t>
            </w:r>
          </w:p>
        </w:tc>
        <w:tc>
          <w:tcPr>
            <w:tcW w:w="747" w:type="dxa"/>
            <w:vAlign w:val="center"/>
          </w:tcPr>
          <w:p w:rsidR="0014184E" w:rsidRPr="0014184E" w:rsidRDefault="0014184E" w:rsidP="0014184E">
            <w:pPr>
              <w:jc w:val="center"/>
              <w:rPr>
                <w:sz w:val="18"/>
                <w:szCs w:val="18"/>
              </w:rPr>
            </w:pPr>
            <w:r w:rsidRPr="0014184E">
              <w:rPr>
                <w:sz w:val="18"/>
                <w:szCs w:val="18"/>
              </w:rPr>
              <w:t>3</w:t>
            </w:r>
          </w:p>
        </w:tc>
        <w:tc>
          <w:tcPr>
            <w:tcW w:w="979" w:type="dxa"/>
            <w:vAlign w:val="center"/>
          </w:tcPr>
          <w:p w:rsidR="0014184E" w:rsidRPr="0014184E" w:rsidRDefault="0014184E" w:rsidP="0014184E">
            <w:pPr>
              <w:jc w:val="center"/>
              <w:rPr>
                <w:sz w:val="18"/>
                <w:szCs w:val="18"/>
              </w:rPr>
            </w:pPr>
            <w:r w:rsidRPr="0014184E">
              <w:rPr>
                <w:sz w:val="18"/>
                <w:szCs w:val="18"/>
              </w:rPr>
              <w:t>4</w:t>
            </w:r>
          </w:p>
        </w:tc>
        <w:tc>
          <w:tcPr>
            <w:tcW w:w="1018" w:type="dxa"/>
            <w:vAlign w:val="center"/>
          </w:tcPr>
          <w:p w:rsidR="0014184E" w:rsidRPr="0014184E" w:rsidRDefault="0014184E" w:rsidP="0014184E">
            <w:pPr>
              <w:jc w:val="center"/>
              <w:rPr>
                <w:sz w:val="18"/>
                <w:szCs w:val="18"/>
              </w:rPr>
            </w:pPr>
            <w:r w:rsidRPr="0014184E">
              <w:rPr>
                <w:sz w:val="18"/>
                <w:szCs w:val="18"/>
              </w:rPr>
              <w:t>5=2*4</w:t>
            </w:r>
          </w:p>
        </w:tc>
        <w:tc>
          <w:tcPr>
            <w:tcW w:w="1227" w:type="dxa"/>
            <w:vAlign w:val="center"/>
          </w:tcPr>
          <w:p w:rsidR="0014184E" w:rsidRPr="0014184E" w:rsidRDefault="0014184E" w:rsidP="0014184E">
            <w:pPr>
              <w:jc w:val="center"/>
              <w:rPr>
                <w:sz w:val="18"/>
                <w:szCs w:val="18"/>
                <w:lang w:val="en-US"/>
              </w:rPr>
            </w:pPr>
            <w:r w:rsidRPr="0014184E">
              <w:rPr>
                <w:sz w:val="18"/>
                <w:szCs w:val="18"/>
                <w:lang w:val="en-US"/>
              </w:rPr>
              <w:t>6</w:t>
            </w:r>
          </w:p>
        </w:tc>
        <w:tc>
          <w:tcPr>
            <w:tcW w:w="1224" w:type="dxa"/>
            <w:vAlign w:val="center"/>
          </w:tcPr>
          <w:p w:rsidR="0014184E" w:rsidRPr="0014184E" w:rsidRDefault="0014184E" w:rsidP="0014184E">
            <w:pPr>
              <w:jc w:val="center"/>
              <w:rPr>
                <w:sz w:val="18"/>
                <w:szCs w:val="18"/>
                <w:lang w:val="en-US"/>
              </w:rPr>
            </w:pPr>
            <w:r w:rsidRPr="0014184E">
              <w:rPr>
                <w:sz w:val="18"/>
                <w:szCs w:val="18"/>
                <w:lang w:val="en-US"/>
              </w:rPr>
              <w:t>7</w:t>
            </w:r>
          </w:p>
        </w:tc>
        <w:tc>
          <w:tcPr>
            <w:tcW w:w="951" w:type="dxa"/>
            <w:vAlign w:val="center"/>
          </w:tcPr>
          <w:p w:rsidR="0014184E" w:rsidRPr="0014184E" w:rsidRDefault="0014184E" w:rsidP="0014184E">
            <w:pPr>
              <w:jc w:val="center"/>
              <w:rPr>
                <w:sz w:val="18"/>
                <w:szCs w:val="18"/>
                <w:lang w:val="en-US"/>
              </w:rPr>
            </w:pPr>
            <w:r w:rsidRPr="0014184E">
              <w:rPr>
                <w:sz w:val="18"/>
                <w:szCs w:val="18"/>
                <w:lang w:val="en-US"/>
              </w:rPr>
              <w:t>8</w:t>
            </w:r>
            <w:r w:rsidRPr="0014184E">
              <w:rPr>
                <w:sz w:val="18"/>
                <w:szCs w:val="18"/>
              </w:rPr>
              <w:t>=</w:t>
            </w:r>
            <w:r w:rsidRPr="0014184E">
              <w:rPr>
                <w:sz w:val="18"/>
                <w:szCs w:val="18"/>
                <w:lang w:val="en-US"/>
              </w:rPr>
              <w:t>5</w:t>
            </w:r>
            <w:r w:rsidRPr="0014184E">
              <w:rPr>
                <w:sz w:val="18"/>
                <w:szCs w:val="18"/>
              </w:rPr>
              <w:t>+</w:t>
            </w:r>
            <w:r w:rsidRPr="0014184E">
              <w:rPr>
                <w:sz w:val="18"/>
                <w:szCs w:val="18"/>
                <w:lang w:val="en-US"/>
              </w:rPr>
              <w:t>6</w:t>
            </w:r>
            <w:r w:rsidRPr="0014184E">
              <w:rPr>
                <w:sz w:val="18"/>
                <w:szCs w:val="18"/>
              </w:rPr>
              <w:t>-</w:t>
            </w:r>
            <w:r w:rsidRPr="0014184E">
              <w:rPr>
                <w:sz w:val="18"/>
                <w:szCs w:val="18"/>
                <w:lang w:val="en-US"/>
              </w:rPr>
              <w:t>7</w:t>
            </w:r>
          </w:p>
        </w:tc>
        <w:tc>
          <w:tcPr>
            <w:tcW w:w="975" w:type="dxa"/>
            <w:vAlign w:val="center"/>
          </w:tcPr>
          <w:p w:rsidR="0014184E" w:rsidRPr="0014184E" w:rsidRDefault="0014184E" w:rsidP="0014184E">
            <w:pPr>
              <w:jc w:val="center"/>
              <w:rPr>
                <w:sz w:val="18"/>
                <w:szCs w:val="18"/>
                <w:lang w:val="en-US"/>
              </w:rPr>
            </w:pPr>
            <w:r w:rsidRPr="0014184E">
              <w:rPr>
                <w:sz w:val="18"/>
                <w:szCs w:val="18"/>
                <w:lang w:val="en-US"/>
              </w:rPr>
              <w:t>9</w:t>
            </w:r>
          </w:p>
        </w:tc>
        <w:tc>
          <w:tcPr>
            <w:tcW w:w="1040" w:type="dxa"/>
          </w:tcPr>
          <w:p w:rsidR="0014184E" w:rsidRPr="0014184E" w:rsidRDefault="0014184E" w:rsidP="0014184E">
            <w:pPr>
              <w:jc w:val="center"/>
              <w:rPr>
                <w:sz w:val="18"/>
                <w:szCs w:val="18"/>
              </w:rPr>
            </w:pPr>
            <w:r w:rsidRPr="0014184E">
              <w:rPr>
                <w:sz w:val="18"/>
                <w:szCs w:val="18"/>
              </w:rPr>
              <w:t>10</w:t>
            </w:r>
          </w:p>
        </w:tc>
        <w:tc>
          <w:tcPr>
            <w:tcW w:w="1040" w:type="dxa"/>
            <w:vAlign w:val="center"/>
          </w:tcPr>
          <w:p w:rsidR="0014184E" w:rsidRPr="0014184E" w:rsidRDefault="0014184E" w:rsidP="0014184E">
            <w:pPr>
              <w:jc w:val="center"/>
              <w:rPr>
                <w:sz w:val="18"/>
                <w:szCs w:val="18"/>
              </w:rPr>
            </w:pPr>
            <w:r w:rsidRPr="0014184E">
              <w:rPr>
                <w:sz w:val="18"/>
                <w:szCs w:val="18"/>
              </w:rPr>
              <w:t>11</w:t>
            </w:r>
          </w:p>
        </w:tc>
        <w:tc>
          <w:tcPr>
            <w:tcW w:w="1134" w:type="dxa"/>
            <w:vAlign w:val="center"/>
          </w:tcPr>
          <w:p w:rsidR="0014184E" w:rsidRPr="0014184E" w:rsidRDefault="0014184E" w:rsidP="0014184E">
            <w:pPr>
              <w:jc w:val="center"/>
              <w:rPr>
                <w:sz w:val="18"/>
                <w:szCs w:val="18"/>
              </w:rPr>
            </w:pPr>
            <w:r w:rsidRPr="0014184E">
              <w:rPr>
                <w:sz w:val="18"/>
                <w:szCs w:val="18"/>
              </w:rPr>
              <w:t>12</w:t>
            </w:r>
          </w:p>
        </w:tc>
        <w:tc>
          <w:tcPr>
            <w:tcW w:w="1134" w:type="dxa"/>
            <w:noWrap/>
            <w:vAlign w:val="center"/>
          </w:tcPr>
          <w:p w:rsidR="0014184E" w:rsidRPr="0014184E" w:rsidRDefault="0014184E" w:rsidP="0014184E">
            <w:pPr>
              <w:ind w:left="-110" w:right="-106"/>
              <w:jc w:val="center"/>
              <w:rPr>
                <w:sz w:val="18"/>
                <w:szCs w:val="18"/>
              </w:rPr>
            </w:pPr>
            <w:r w:rsidRPr="0014184E">
              <w:rPr>
                <w:sz w:val="18"/>
                <w:szCs w:val="18"/>
                <w:lang w:val="en-US"/>
              </w:rPr>
              <w:t>1</w:t>
            </w:r>
            <w:r w:rsidRPr="0014184E">
              <w:rPr>
                <w:sz w:val="18"/>
                <w:szCs w:val="18"/>
              </w:rPr>
              <w:t>3=11-12</w:t>
            </w:r>
          </w:p>
        </w:tc>
      </w:tr>
      <w:tr w:rsidR="0014184E" w:rsidRPr="0014184E" w:rsidTr="008A253E">
        <w:trPr>
          <w:trHeight w:val="839"/>
        </w:trPr>
        <w:tc>
          <w:tcPr>
            <w:tcW w:w="3114" w:type="dxa"/>
            <w:vAlign w:val="bottom"/>
          </w:tcPr>
          <w:p w:rsidR="0014184E" w:rsidRPr="0014184E" w:rsidRDefault="0014184E" w:rsidP="0014184E">
            <w:pPr>
              <w:autoSpaceDE w:val="0"/>
              <w:autoSpaceDN w:val="0"/>
              <w:adjustRightInd w:val="0"/>
              <w:jc w:val="both"/>
              <w:rPr>
                <w:b/>
                <w:sz w:val="18"/>
                <w:szCs w:val="18"/>
              </w:rPr>
            </w:pPr>
            <w:r w:rsidRPr="0014184E">
              <w:rPr>
                <w:rFonts w:eastAsiaTheme="minorHAnsi"/>
                <w:b/>
                <w:sz w:val="18"/>
                <w:szCs w:val="18"/>
              </w:rPr>
              <w:t>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производимые на территории Российской Федерации, кроме производимых из подакцизного винограда</w:t>
            </w:r>
          </w:p>
        </w:tc>
        <w:tc>
          <w:tcPr>
            <w:tcW w:w="769" w:type="dxa"/>
            <w:vAlign w:val="center"/>
          </w:tcPr>
          <w:p w:rsidR="0014184E" w:rsidRPr="0014184E" w:rsidRDefault="0014184E" w:rsidP="0014184E">
            <w:pPr>
              <w:jc w:val="center"/>
              <w:rPr>
                <w:b/>
                <w:sz w:val="18"/>
                <w:szCs w:val="18"/>
              </w:rPr>
            </w:pPr>
            <w:r w:rsidRPr="0014184E">
              <w:rPr>
                <w:b/>
                <w:sz w:val="18"/>
                <w:szCs w:val="18"/>
              </w:rPr>
              <w:t>200</w:t>
            </w:r>
          </w:p>
        </w:tc>
        <w:tc>
          <w:tcPr>
            <w:tcW w:w="747" w:type="dxa"/>
            <w:vAlign w:val="center"/>
          </w:tcPr>
          <w:p w:rsidR="0014184E" w:rsidRPr="0014184E" w:rsidRDefault="0014184E" w:rsidP="0014184E">
            <w:pPr>
              <w:jc w:val="center"/>
              <w:rPr>
                <w:b/>
                <w:sz w:val="18"/>
                <w:szCs w:val="18"/>
              </w:rPr>
            </w:pPr>
            <w:r w:rsidRPr="0014184E">
              <w:rPr>
                <w:b/>
                <w:sz w:val="18"/>
                <w:szCs w:val="18"/>
              </w:rPr>
              <w:t>х</w:t>
            </w:r>
          </w:p>
        </w:tc>
        <w:tc>
          <w:tcPr>
            <w:tcW w:w="979" w:type="dxa"/>
            <w:vAlign w:val="center"/>
          </w:tcPr>
          <w:p w:rsidR="0014184E" w:rsidRPr="0014184E" w:rsidRDefault="0014184E" w:rsidP="0014184E">
            <w:pPr>
              <w:jc w:val="center"/>
              <w:rPr>
                <w:b/>
                <w:sz w:val="18"/>
                <w:szCs w:val="18"/>
              </w:rPr>
            </w:pPr>
            <w:r w:rsidRPr="0014184E">
              <w:rPr>
                <w:b/>
                <w:sz w:val="18"/>
                <w:szCs w:val="18"/>
              </w:rPr>
              <w:t>х</w:t>
            </w:r>
          </w:p>
        </w:tc>
        <w:tc>
          <w:tcPr>
            <w:tcW w:w="1018" w:type="dxa"/>
            <w:vAlign w:val="center"/>
          </w:tcPr>
          <w:p w:rsidR="0014184E" w:rsidRPr="0014184E" w:rsidRDefault="0014184E" w:rsidP="0014184E">
            <w:pPr>
              <w:jc w:val="center"/>
              <w:rPr>
                <w:b/>
                <w:sz w:val="18"/>
                <w:szCs w:val="18"/>
              </w:rPr>
            </w:pPr>
            <w:r w:rsidRPr="0014184E">
              <w:rPr>
                <w:b/>
                <w:sz w:val="18"/>
                <w:szCs w:val="18"/>
              </w:rPr>
              <w:t>69 000</w:t>
            </w:r>
          </w:p>
        </w:tc>
        <w:tc>
          <w:tcPr>
            <w:tcW w:w="1227" w:type="dxa"/>
            <w:vAlign w:val="center"/>
          </w:tcPr>
          <w:p w:rsidR="0014184E" w:rsidRPr="0014184E" w:rsidRDefault="0014184E" w:rsidP="0014184E">
            <w:pPr>
              <w:jc w:val="center"/>
              <w:rPr>
                <w:b/>
                <w:sz w:val="18"/>
                <w:szCs w:val="18"/>
              </w:rPr>
            </w:pPr>
            <w:r w:rsidRPr="0014184E">
              <w:rPr>
                <w:b/>
                <w:sz w:val="18"/>
                <w:szCs w:val="18"/>
              </w:rPr>
              <w:t>5 505</w:t>
            </w:r>
          </w:p>
        </w:tc>
        <w:tc>
          <w:tcPr>
            <w:tcW w:w="1224" w:type="dxa"/>
            <w:vAlign w:val="center"/>
          </w:tcPr>
          <w:p w:rsidR="0014184E" w:rsidRPr="0014184E" w:rsidRDefault="0014184E" w:rsidP="0014184E">
            <w:pPr>
              <w:jc w:val="center"/>
              <w:rPr>
                <w:b/>
                <w:sz w:val="18"/>
                <w:szCs w:val="18"/>
              </w:rPr>
            </w:pPr>
            <w:r w:rsidRPr="0014184E">
              <w:rPr>
                <w:b/>
                <w:sz w:val="18"/>
                <w:szCs w:val="18"/>
              </w:rPr>
              <w:t>5 695</w:t>
            </w:r>
          </w:p>
        </w:tc>
        <w:tc>
          <w:tcPr>
            <w:tcW w:w="951" w:type="dxa"/>
            <w:vAlign w:val="center"/>
          </w:tcPr>
          <w:p w:rsidR="0014184E" w:rsidRPr="0014184E" w:rsidRDefault="0014184E" w:rsidP="0014184E">
            <w:pPr>
              <w:jc w:val="center"/>
              <w:rPr>
                <w:b/>
                <w:sz w:val="18"/>
                <w:szCs w:val="18"/>
              </w:rPr>
            </w:pPr>
            <w:r w:rsidRPr="0014184E">
              <w:rPr>
                <w:b/>
                <w:sz w:val="18"/>
                <w:szCs w:val="18"/>
              </w:rPr>
              <w:t>68 810</w:t>
            </w:r>
          </w:p>
        </w:tc>
        <w:tc>
          <w:tcPr>
            <w:tcW w:w="975" w:type="dxa"/>
            <w:vAlign w:val="center"/>
          </w:tcPr>
          <w:p w:rsidR="0014184E" w:rsidRPr="0014184E" w:rsidRDefault="0014184E" w:rsidP="0014184E">
            <w:pPr>
              <w:jc w:val="center"/>
              <w:rPr>
                <w:b/>
                <w:sz w:val="18"/>
                <w:szCs w:val="18"/>
                <w:lang w:val="en-US"/>
              </w:rPr>
            </w:pPr>
            <w:r w:rsidRPr="0014184E">
              <w:rPr>
                <w:b/>
                <w:sz w:val="18"/>
                <w:szCs w:val="18"/>
                <w:lang w:val="en-US"/>
              </w:rPr>
              <w:t>100</w:t>
            </w:r>
          </w:p>
        </w:tc>
        <w:tc>
          <w:tcPr>
            <w:tcW w:w="1040" w:type="dxa"/>
            <w:vAlign w:val="center"/>
          </w:tcPr>
          <w:p w:rsidR="0014184E" w:rsidRPr="0014184E" w:rsidRDefault="0014184E" w:rsidP="0014184E">
            <w:pPr>
              <w:jc w:val="center"/>
              <w:rPr>
                <w:b/>
                <w:sz w:val="18"/>
                <w:szCs w:val="18"/>
              </w:rPr>
            </w:pPr>
            <w:r w:rsidRPr="0014184E">
              <w:rPr>
                <w:b/>
                <w:sz w:val="18"/>
                <w:szCs w:val="18"/>
              </w:rPr>
              <w:t>100</w:t>
            </w:r>
          </w:p>
        </w:tc>
        <w:tc>
          <w:tcPr>
            <w:tcW w:w="1040" w:type="dxa"/>
            <w:vAlign w:val="center"/>
          </w:tcPr>
          <w:p w:rsidR="0014184E" w:rsidRPr="0014184E" w:rsidRDefault="0014184E" w:rsidP="0014184E">
            <w:pPr>
              <w:jc w:val="center"/>
              <w:rPr>
                <w:b/>
                <w:sz w:val="18"/>
                <w:szCs w:val="18"/>
              </w:rPr>
            </w:pPr>
            <w:r w:rsidRPr="0014184E">
              <w:rPr>
                <w:b/>
                <w:sz w:val="18"/>
                <w:szCs w:val="18"/>
              </w:rPr>
              <w:t>68 810</w:t>
            </w:r>
          </w:p>
        </w:tc>
        <w:tc>
          <w:tcPr>
            <w:tcW w:w="1134" w:type="dxa"/>
            <w:vAlign w:val="center"/>
          </w:tcPr>
          <w:p w:rsidR="0014184E" w:rsidRPr="0014184E" w:rsidRDefault="0014184E" w:rsidP="0014184E">
            <w:pPr>
              <w:jc w:val="center"/>
              <w:rPr>
                <w:b/>
                <w:sz w:val="18"/>
                <w:szCs w:val="18"/>
              </w:rPr>
            </w:pPr>
            <w:r w:rsidRPr="0014184E">
              <w:rPr>
                <w:b/>
                <w:sz w:val="18"/>
                <w:szCs w:val="18"/>
              </w:rPr>
              <w:t>29 700</w:t>
            </w:r>
          </w:p>
        </w:tc>
        <w:tc>
          <w:tcPr>
            <w:tcW w:w="1134" w:type="dxa"/>
            <w:noWrap/>
            <w:vAlign w:val="center"/>
          </w:tcPr>
          <w:p w:rsidR="0014184E" w:rsidRPr="0014184E" w:rsidRDefault="0014184E" w:rsidP="0014184E">
            <w:pPr>
              <w:jc w:val="center"/>
              <w:rPr>
                <w:b/>
                <w:sz w:val="18"/>
                <w:szCs w:val="18"/>
              </w:rPr>
            </w:pPr>
            <w:r w:rsidRPr="0014184E">
              <w:rPr>
                <w:b/>
                <w:sz w:val="18"/>
                <w:szCs w:val="18"/>
              </w:rPr>
              <w:t>39 110</w:t>
            </w:r>
          </w:p>
        </w:tc>
      </w:tr>
      <w:tr w:rsidR="0014184E" w:rsidRPr="0014184E" w:rsidTr="008A253E">
        <w:trPr>
          <w:trHeight w:val="825"/>
        </w:trPr>
        <w:tc>
          <w:tcPr>
            <w:tcW w:w="3114" w:type="dxa"/>
            <w:vAlign w:val="bottom"/>
          </w:tcPr>
          <w:p w:rsidR="0014184E" w:rsidRPr="0014184E" w:rsidRDefault="0014184E" w:rsidP="0014184E">
            <w:pPr>
              <w:rPr>
                <w:sz w:val="18"/>
                <w:szCs w:val="18"/>
              </w:rPr>
            </w:pPr>
            <w:r w:rsidRPr="0014184E">
              <w:rPr>
                <w:sz w:val="18"/>
                <w:szCs w:val="18"/>
              </w:rPr>
              <w:t>Вина</w:t>
            </w:r>
          </w:p>
        </w:tc>
        <w:tc>
          <w:tcPr>
            <w:tcW w:w="769" w:type="dxa"/>
            <w:vAlign w:val="center"/>
          </w:tcPr>
          <w:p w:rsidR="0014184E" w:rsidRPr="0014184E" w:rsidRDefault="0014184E" w:rsidP="0014184E">
            <w:pPr>
              <w:jc w:val="center"/>
              <w:rPr>
                <w:sz w:val="18"/>
                <w:szCs w:val="18"/>
              </w:rPr>
            </w:pPr>
            <w:r w:rsidRPr="0014184E">
              <w:rPr>
                <w:sz w:val="18"/>
                <w:szCs w:val="18"/>
              </w:rPr>
              <w:t>170</w:t>
            </w:r>
          </w:p>
        </w:tc>
        <w:tc>
          <w:tcPr>
            <w:tcW w:w="747" w:type="dxa"/>
            <w:vAlign w:val="center"/>
          </w:tcPr>
          <w:p w:rsidR="0014184E" w:rsidRPr="0014184E" w:rsidRDefault="0014184E" w:rsidP="0014184E">
            <w:pPr>
              <w:jc w:val="center"/>
              <w:rPr>
                <w:sz w:val="18"/>
                <w:szCs w:val="18"/>
                <w:lang w:val="en-US"/>
              </w:rPr>
            </w:pPr>
            <w:r w:rsidRPr="0014184E">
              <w:rPr>
                <w:sz w:val="18"/>
                <w:szCs w:val="18"/>
              </w:rPr>
              <w:t>3</w:t>
            </w:r>
            <w:r w:rsidRPr="0014184E">
              <w:rPr>
                <w:sz w:val="18"/>
                <w:szCs w:val="18"/>
                <w:lang w:val="en-US"/>
              </w:rPr>
              <w:t>3</w:t>
            </w:r>
          </w:p>
        </w:tc>
        <w:tc>
          <w:tcPr>
            <w:tcW w:w="979" w:type="dxa"/>
            <w:vAlign w:val="center"/>
          </w:tcPr>
          <w:p w:rsidR="0014184E" w:rsidRPr="0014184E" w:rsidRDefault="0014184E" w:rsidP="0014184E">
            <w:pPr>
              <w:jc w:val="center"/>
              <w:rPr>
                <w:sz w:val="18"/>
                <w:szCs w:val="18"/>
              </w:rPr>
            </w:pPr>
            <w:r w:rsidRPr="0014184E">
              <w:rPr>
                <w:sz w:val="18"/>
                <w:szCs w:val="18"/>
              </w:rPr>
              <w:t>3</w:t>
            </w:r>
            <w:r w:rsidRPr="0014184E">
              <w:rPr>
                <w:sz w:val="18"/>
                <w:szCs w:val="18"/>
                <w:lang w:val="en-US"/>
              </w:rPr>
              <w:t>3</w:t>
            </w:r>
            <w:r w:rsidRPr="0014184E">
              <w:rPr>
                <w:sz w:val="18"/>
                <w:szCs w:val="18"/>
              </w:rPr>
              <w:t>0</w:t>
            </w:r>
          </w:p>
        </w:tc>
        <w:tc>
          <w:tcPr>
            <w:tcW w:w="1018" w:type="dxa"/>
            <w:vAlign w:val="center"/>
          </w:tcPr>
          <w:p w:rsidR="0014184E" w:rsidRPr="0014184E" w:rsidRDefault="0014184E" w:rsidP="0014184E">
            <w:pPr>
              <w:jc w:val="center"/>
              <w:rPr>
                <w:sz w:val="18"/>
                <w:szCs w:val="18"/>
                <w:lang w:val="en-US"/>
              </w:rPr>
            </w:pPr>
            <w:r w:rsidRPr="0014184E">
              <w:rPr>
                <w:sz w:val="18"/>
                <w:szCs w:val="18"/>
                <w:lang w:val="en-US"/>
              </w:rPr>
              <w:t>56 100</w:t>
            </w:r>
          </w:p>
        </w:tc>
        <w:tc>
          <w:tcPr>
            <w:tcW w:w="1227" w:type="dxa"/>
            <w:vAlign w:val="center"/>
          </w:tcPr>
          <w:p w:rsidR="0014184E" w:rsidRPr="0014184E" w:rsidRDefault="0014184E" w:rsidP="0014184E">
            <w:pPr>
              <w:jc w:val="center"/>
              <w:rPr>
                <w:sz w:val="18"/>
                <w:szCs w:val="18"/>
              </w:rPr>
            </w:pPr>
            <w:r w:rsidRPr="0014184E">
              <w:rPr>
                <w:sz w:val="18"/>
                <w:szCs w:val="18"/>
              </w:rPr>
              <w:t>4 480</w:t>
            </w:r>
          </w:p>
          <w:p w:rsidR="0014184E" w:rsidRPr="0014184E" w:rsidRDefault="0014184E" w:rsidP="0014184E">
            <w:pPr>
              <w:ind w:left="-107" w:right="-109"/>
              <w:jc w:val="center"/>
              <w:rPr>
                <w:sz w:val="18"/>
                <w:szCs w:val="18"/>
              </w:rPr>
            </w:pPr>
            <w:r w:rsidRPr="0014184E">
              <w:rPr>
                <w:sz w:val="18"/>
                <w:szCs w:val="18"/>
              </w:rPr>
              <w:t>ставка 32 руб. за 1 л.</w:t>
            </w:r>
          </w:p>
        </w:tc>
        <w:tc>
          <w:tcPr>
            <w:tcW w:w="1224" w:type="dxa"/>
            <w:vAlign w:val="center"/>
          </w:tcPr>
          <w:p w:rsidR="0014184E" w:rsidRPr="0014184E" w:rsidRDefault="0014184E" w:rsidP="0014184E">
            <w:pPr>
              <w:jc w:val="center"/>
              <w:rPr>
                <w:sz w:val="18"/>
                <w:szCs w:val="18"/>
              </w:rPr>
            </w:pPr>
            <w:r w:rsidRPr="0014184E">
              <w:rPr>
                <w:sz w:val="18"/>
                <w:szCs w:val="18"/>
              </w:rPr>
              <w:t>4 620</w:t>
            </w:r>
          </w:p>
        </w:tc>
        <w:tc>
          <w:tcPr>
            <w:tcW w:w="951" w:type="dxa"/>
            <w:vAlign w:val="center"/>
          </w:tcPr>
          <w:p w:rsidR="0014184E" w:rsidRPr="0014184E" w:rsidRDefault="0014184E" w:rsidP="0014184E">
            <w:pPr>
              <w:jc w:val="center"/>
              <w:rPr>
                <w:sz w:val="18"/>
                <w:szCs w:val="18"/>
              </w:rPr>
            </w:pPr>
            <w:r w:rsidRPr="0014184E">
              <w:rPr>
                <w:sz w:val="18"/>
                <w:szCs w:val="18"/>
              </w:rPr>
              <w:t>55 960</w:t>
            </w:r>
          </w:p>
        </w:tc>
        <w:tc>
          <w:tcPr>
            <w:tcW w:w="975" w:type="dxa"/>
            <w:vAlign w:val="center"/>
          </w:tcPr>
          <w:p w:rsidR="0014184E" w:rsidRPr="0014184E" w:rsidRDefault="0014184E" w:rsidP="0014184E">
            <w:pPr>
              <w:jc w:val="center"/>
              <w:rPr>
                <w:sz w:val="18"/>
                <w:szCs w:val="18"/>
              </w:rPr>
            </w:pPr>
            <w:r w:rsidRPr="0014184E">
              <w:rPr>
                <w:sz w:val="18"/>
                <w:szCs w:val="18"/>
              </w:rPr>
              <w:t>100</w:t>
            </w:r>
          </w:p>
        </w:tc>
        <w:tc>
          <w:tcPr>
            <w:tcW w:w="1040" w:type="dxa"/>
            <w:vAlign w:val="center"/>
          </w:tcPr>
          <w:p w:rsidR="0014184E" w:rsidRPr="0014184E" w:rsidRDefault="0014184E" w:rsidP="0014184E">
            <w:pPr>
              <w:jc w:val="center"/>
              <w:rPr>
                <w:sz w:val="18"/>
                <w:szCs w:val="18"/>
              </w:rPr>
            </w:pPr>
            <w:r w:rsidRPr="0014184E">
              <w:rPr>
                <w:sz w:val="18"/>
                <w:szCs w:val="18"/>
              </w:rPr>
              <w:t>100</w:t>
            </w:r>
          </w:p>
        </w:tc>
        <w:tc>
          <w:tcPr>
            <w:tcW w:w="1040" w:type="dxa"/>
            <w:vAlign w:val="center"/>
          </w:tcPr>
          <w:p w:rsidR="0014184E" w:rsidRPr="0014184E" w:rsidRDefault="0014184E" w:rsidP="0014184E">
            <w:pPr>
              <w:jc w:val="center"/>
              <w:rPr>
                <w:sz w:val="18"/>
                <w:szCs w:val="18"/>
              </w:rPr>
            </w:pPr>
            <w:r w:rsidRPr="0014184E">
              <w:rPr>
                <w:sz w:val="18"/>
                <w:szCs w:val="18"/>
              </w:rPr>
              <w:t>55 960</w:t>
            </w:r>
          </w:p>
        </w:tc>
        <w:tc>
          <w:tcPr>
            <w:tcW w:w="1134" w:type="dxa"/>
            <w:vAlign w:val="center"/>
          </w:tcPr>
          <w:p w:rsidR="0014184E" w:rsidRPr="0014184E" w:rsidRDefault="0014184E" w:rsidP="0014184E">
            <w:pPr>
              <w:jc w:val="center"/>
              <w:rPr>
                <w:sz w:val="18"/>
                <w:szCs w:val="18"/>
              </w:rPr>
            </w:pPr>
            <w:r w:rsidRPr="0014184E">
              <w:rPr>
                <w:sz w:val="18"/>
                <w:szCs w:val="18"/>
              </w:rPr>
              <w:t>24 621</w:t>
            </w:r>
          </w:p>
        </w:tc>
        <w:tc>
          <w:tcPr>
            <w:tcW w:w="1134" w:type="dxa"/>
            <w:noWrap/>
            <w:vAlign w:val="center"/>
          </w:tcPr>
          <w:p w:rsidR="0014184E" w:rsidRPr="0014184E" w:rsidRDefault="0014184E" w:rsidP="0014184E">
            <w:pPr>
              <w:ind w:left="-91" w:right="-72"/>
              <w:jc w:val="center"/>
              <w:rPr>
                <w:sz w:val="18"/>
                <w:szCs w:val="18"/>
              </w:rPr>
            </w:pPr>
            <w:r w:rsidRPr="0014184E">
              <w:rPr>
                <w:sz w:val="18"/>
                <w:szCs w:val="18"/>
              </w:rPr>
              <w:t>31 339</w:t>
            </w:r>
          </w:p>
        </w:tc>
      </w:tr>
      <w:tr w:rsidR="0014184E" w:rsidRPr="0014184E" w:rsidTr="008A253E">
        <w:trPr>
          <w:trHeight w:val="420"/>
        </w:trPr>
        <w:tc>
          <w:tcPr>
            <w:tcW w:w="3114" w:type="dxa"/>
            <w:vAlign w:val="bottom"/>
          </w:tcPr>
          <w:p w:rsidR="0014184E" w:rsidRPr="0014184E" w:rsidRDefault="0014184E" w:rsidP="0014184E">
            <w:pPr>
              <w:rPr>
                <w:sz w:val="18"/>
                <w:szCs w:val="18"/>
              </w:rPr>
            </w:pPr>
            <w:r w:rsidRPr="0014184E">
              <w:rPr>
                <w:sz w:val="18"/>
                <w:szCs w:val="18"/>
              </w:rPr>
              <w:t>Винные напитки</w:t>
            </w:r>
          </w:p>
        </w:tc>
        <w:tc>
          <w:tcPr>
            <w:tcW w:w="769" w:type="dxa"/>
            <w:vAlign w:val="center"/>
          </w:tcPr>
          <w:p w:rsidR="0014184E" w:rsidRPr="0014184E" w:rsidRDefault="0014184E" w:rsidP="0014184E">
            <w:pPr>
              <w:jc w:val="center"/>
              <w:rPr>
                <w:sz w:val="18"/>
                <w:szCs w:val="18"/>
              </w:rPr>
            </w:pPr>
            <w:r w:rsidRPr="0014184E">
              <w:rPr>
                <w:sz w:val="18"/>
                <w:szCs w:val="18"/>
              </w:rPr>
              <w:t>30</w:t>
            </w:r>
          </w:p>
        </w:tc>
        <w:tc>
          <w:tcPr>
            <w:tcW w:w="747" w:type="dxa"/>
            <w:vAlign w:val="center"/>
          </w:tcPr>
          <w:p w:rsidR="0014184E" w:rsidRPr="0014184E" w:rsidRDefault="0014184E" w:rsidP="0014184E">
            <w:pPr>
              <w:jc w:val="center"/>
              <w:rPr>
                <w:sz w:val="18"/>
                <w:szCs w:val="18"/>
                <w:lang w:val="en-US"/>
              </w:rPr>
            </w:pPr>
            <w:r w:rsidRPr="0014184E">
              <w:rPr>
                <w:sz w:val="18"/>
                <w:szCs w:val="18"/>
              </w:rPr>
              <w:t>4</w:t>
            </w:r>
            <w:r w:rsidRPr="0014184E">
              <w:rPr>
                <w:sz w:val="18"/>
                <w:szCs w:val="18"/>
                <w:lang w:val="en-US"/>
              </w:rPr>
              <w:t>3</w:t>
            </w:r>
          </w:p>
        </w:tc>
        <w:tc>
          <w:tcPr>
            <w:tcW w:w="979" w:type="dxa"/>
            <w:vAlign w:val="center"/>
          </w:tcPr>
          <w:p w:rsidR="0014184E" w:rsidRPr="0014184E" w:rsidRDefault="0014184E" w:rsidP="0014184E">
            <w:pPr>
              <w:jc w:val="center"/>
              <w:rPr>
                <w:sz w:val="18"/>
                <w:szCs w:val="18"/>
              </w:rPr>
            </w:pPr>
            <w:r w:rsidRPr="0014184E">
              <w:rPr>
                <w:sz w:val="18"/>
                <w:szCs w:val="18"/>
              </w:rPr>
              <w:t>4</w:t>
            </w:r>
            <w:r w:rsidRPr="0014184E">
              <w:rPr>
                <w:sz w:val="18"/>
                <w:szCs w:val="18"/>
                <w:lang w:val="en-US"/>
              </w:rPr>
              <w:t>3</w:t>
            </w:r>
            <w:r w:rsidRPr="0014184E">
              <w:rPr>
                <w:sz w:val="18"/>
                <w:szCs w:val="18"/>
              </w:rPr>
              <w:t>0</w:t>
            </w:r>
          </w:p>
        </w:tc>
        <w:tc>
          <w:tcPr>
            <w:tcW w:w="1018" w:type="dxa"/>
            <w:vAlign w:val="center"/>
          </w:tcPr>
          <w:p w:rsidR="0014184E" w:rsidRPr="0014184E" w:rsidRDefault="0014184E" w:rsidP="0014184E">
            <w:pPr>
              <w:jc w:val="center"/>
              <w:rPr>
                <w:sz w:val="18"/>
                <w:szCs w:val="18"/>
                <w:lang w:val="en-US"/>
              </w:rPr>
            </w:pPr>
            <w:r w:rsidRPr="0014184E">
              <w:rPr>
                <w:sz w:val="18"/>
                <w:szCs w:val="18"/>
                <w:lang w:val="en-US"/>
              </w:rPr>
              <w:t>12 900</w:t>
            </w:r>
          </w:p>
        </w:tc>
        <w:tc>
          <w:tcPr>
            <w:tcW w:w="1227" w:type="dxa"/>
            <w:vAlign w:val="center"/>
          </w:tcPr>
          <w:p w:rsidR="0014184E" w:rsidRPr="0014184E" w:rsidRDefault="0014184E" w:rsidP="0014184E">
            <w:pPr>
              <w:jc w:val="center"/>
              <w:rPr>
                <w:sz w:val="18"/>
                <w:szCs w:val="18"/>
              </w:rPr>
            </w:pPr>
            <w:r w:rsidRPr="0014184E">
              <w:rPr>
                <w:sz w:val="18"/>
                <w:szCs w:val="18"/>
              </w:rPr>
              <w:t>1 025</w:t>
            </w:r>
          </w:p>
          <w:p w:rsidR="0014184E" w:rsidRPr="0014184E" w:rsidRDefault="0014184E" w:rsidP="0014184E">
            <w:pPr>
              <w:ind w:left="-115" w:right="-123" w:firstLine="8"/>
              <w:jc w:val="center"/>
              <w:rPr>
                <w:sz w:val="18"/>
                <w:szCs w:val="18"/>
              </w:rPr>
            </w:pPr>
            <w:r w:rsidRPr="0014184E">
              <w:rPr>
                <w:sz w:val="18"/>
                <w:szCs w:val="18"/>
              </w:rPr>
              <w:t>ставка 41 руб. за 1 л.</w:t>
            </w:r>
          </w:p>
        </w:tc>
        <w:tc>
          <w:tcPr>
            <w:tcW w:w="1224" w:type="dxa"/>
            <w:vAlign w:val="center"/>
          </w:tcPr>
          <w:p w:rsidR="0014184E" w:rsidRPr="0014184E" w:rsidRDefault="0014184E" w:rsidP="0014184E">
            <w:pPr>
              <w:jc w:val="center"/>
              <w:rPr>
                <w:sz w:val="18"/>
                <w:szCs w:val="18"/>
              </w:rPr>
            </w:pPr>
            <w:r w:rsidRPr="0014184E">
              <w:rPr>
                <w:sz w:val="18"/>
                <w:szCs w:val="18"/>
              </w:rPr>
              <w:t>1 075</w:t>
            </w:r>
          </w:p>
        </w:tc>
        <w:tc>
          <w:tcPr>
            <w:tcW w:w="951" w:type="dxa"/>
            <w:vAlign w:val="center"/>
          </w:tcPr>
          <w:p w:rsidR="0014184E" w:rsidRPr="0014184E" w:rsidRDefault="0014184E" w:rsidP="0014184E">
            <w:pPr>
              <w:jc w:val="center"/>
              <w:rPr>
                <w:sz w:val="18"/>
                <w:szCs w:val="18"/>
              </w:rPr>
            </w:pPr>
            <w:r w:rsidRPr="0014184E">
              <w:rPr>
                <w:sz w:val="18"/>
                <w:szCs w:val="18"/>
              </w:rPr>
              <w:t>12 850</w:t>
            </w:r>
          </w:p>
        </w:tc>
        <w:tc>
          <w:tcPr>
            <w:tcW w:w="975" w:type="dxa"/>
            <w:vAlign w:val="center"/>
          </w:tcPr>
          <w:p w:rsidR="0014184E" w:rsidRPr="0014184E" w:rsidRDefault="0014184E" w:rsidP="0014184E">
            <w:pPr>
              <w:jc w:val="center"/>
              <w:rPr>
                <w:sz w:val="18"/>
                <w:szCs w:val="18"/>
              </w:rPr>
            </w:pPr>
            <w:r w:rsidRPr="0014184E">
              <w:rPr>
                <w:sz w:val="18"/>
                <w:szCs w:val="18"/>
              </w:rPr>
              <w:t>100</w:t>
            </w:r>
          </w:p>
        </w:tc>
        <w:tc>
          <w:tcPr>
            <w:tcW w:w="1040" w:type="dxa"/>
            <w:vAlign w:val="center"/>
          </w:tcPr>
          <w:p w:rsidR="0014184E" w:rsidRPr="0014184E" w:rsidRDefault="0014184E" w:rsidP="0014184E">
            <w:pPr>
              <w:jc w:val="center"/>
            </w:pPr>
            <w:r w:rsidRPr="0014184E">
              <w:rPr>
                <w:sz w:val="18"/>
                <w:szCs w:val="18"/>
              </w:rPr>
              <w:t>100</w:t>
            </w:r>
          </w:p>
        </w:tc>
        <w:tc>
          <w:tcPr>
            <w:tcW w:w="1040" w:type="dxa"/>
            <w:vAlign w:val="center"/>
          </w:tcPr>
          <w:p w:rsidR="0014184E" w:rsidRPr="0014184E" w:rsidRDefault="0014184E" w:rsidP="0014184E">
            <w:pPr>
              <w:jc w:val="center"/>
              <w:rPr>
                <w:sz w:val="18"/>
                <w:szCs w:val="18"/>
              </w:rPr>
            </w:pPr>
            <w:r w:rsidRPr="0014184E">
              <w:rPr>
                <w:sz w:val="18"/>
                <w:szCs w:val="18"/>
              </w:rPr>
              <w:t>12 850</w:t>
            </w:r>
          </w:p>
        </w:tc>
        <w:tc>
          <w:tcPr>
            <w:tcW w:w="1134" w:type="dxa"/>
            <w:vAlign w:val="center"/>
          </w:tcPr>
          <w:p w:rsidR="0014184E" w:rsidRPr="0014184E" w:rsidRDefault="0014184E" w:rsidP="0014184E">
            <w:pPr>
              <w:jc w:val="center"/>
              <w:rPr>
                <w:sz w:val="18"/>
                <w:szCs w:val="18"/>
              </w:rPr>
            </w:pPr>
            <w:r w:rsidRPr="0014184E">
              <w:rPr>
                <w:sz w:val="18"/>
                <w:szCs w:val="18"/>
              </w:rPr>
              <w:t>5 079</w:t>
            </w:r>
          </w:p>
        </w:tc>
        <w:tc>
          <w:tcPr>
            <w:tcW w:w="1134" w:type="dxa"/>
            <w:noWrap/>
            <w:vAlign w:val="center"/>
          </w:tcPr>
          <w:p w:rsidR="0014184E" w:rsidRPr="0014184E" w:rsidRDefault="0014184E" w:rsidP="0014184E">
            <w:pPr>
              <w:ind w:left="-91" w:right="-72"/>
              <w:jc w:val="center"/>
              <w:rPr>
                <w:sz w:val="18"/>
                <w:szCs w:val="18"/>
              </w:rPr>
            </w:pPr>
            <w:r w:rsidRPr="0014184E">
              <w:rPr>
                <w:sz w:val="18"/>
                <w:szCs w:val="18"/>
              </w:rPr>
              <w:t>7 771</w:t>
            </w:r>
          </w:p>
        </w:tc>
      </w:tr>
      <w:tr w:rsidR="0014184E" w:rsidRPr="0014184E" w:rsidTr="008A253E">
        <w:trPr>
          <w:trHeight w:val="420"/>
        </w:trPr>
        <w:tc>
          <w:tcPr>
            <w:tcW w:w="3114" w:type="dxa"/>
            <w:vAlign w:val="bottom"/>
          </w:tcPr>
          <w:p w:rsidR="0014184E" w:rsidRPr="0014184E" w:rsidRDefault="0014184E" w:rsidP="0014184E">
            <w:pPr>
              <w:rPr>
                <w:b/>
                <w:sz w:val="18"/>
                <w:szCs w:val="18"/>
              </w:rPr>
            </w:pPr>
            <w:r w:rsidRPr="0014184E">
              <w:rPr>
                <w:b/>
                <w:sz w:val="18"/>
                <w:szCs w:val="18"/>
              </w:rPr>
              <w:t>Акцизы на пиво, производимое на территории Российской Федерации</w:t>
            </w:r>
          </w:p>
        </w:tc>
        <w:tc>
          <w:tcPr>
            <w:tcW w:w="769" w:type="dxa"/>
            <w:vAlign w:val="center"/>
          </w:tcPr>
          <w:p w:rsidR="0014184E" w:rsidRPr="0014184E" w:rsidRDefault="0014184E" w:rsidP="0014184E">
            <w:pPr>
              <w:jc w:val="center"/>
              <w:rPr>
                <w:b/>
                <w:sz w:val="18"/>
                <w:szCs w:val="18"/>
              </w:rPr>
            </w:pPr>
            <w:r w:rsidRPr="0014184E">
              <w:rPr>
                <w:b/>
                <w:sz w:val="18"/>
                <w:szCs w:val="18"/>
              </w:rPr>
              <w:t>7 040</w:t>
            </w:r>
          </w:p>
        </w:tc>
        <w:tc>
          <w:tcPr>
            <w:tcW w:w="747" w:type="dxa"/>
            <w:vAlign w:val="center"/>
          </w:tcPr>
          <w:p w:rsidR="0014184E" w:rsidRPr="0014184E" w:rsidRDefault="0014184E" w:rsidP="0014184E">
            <w:pPr>
              <w:jc w:val="center"/>
              <w:rPr>
                <w:b/>
                <w:sz w:val="18"/>
                <w:szCs w:val="18"/>
              </w:rPr>
            </w:pPr>
            <w:r w:rsidRPr="0014184E">
              <w:rPr>
                <w:b/>
                <w:sz w:val="18"/>
                <w:szCs w:val="18"/>
              </w:rPr>
              <w:t>24</w:t>
            </w:r>
          </w:p>
        </w:tc>
        <w:tc>
          <w:tcPr>
            <w:tcW w:w="979" w:type="dxa"/>
            <w:vAlign w:val="center"/>
          </w:tcPr>
          <w:p w:rsidR="0014184E" w:rsidRPr="0014184E" w:rsidRDefault="0014184E" w:rsidP="0014184E">
            <w:pPr>
              <w:jc w:val="center"/>
              <w:rPr>
                <w:b/>
                <w:sz w:val="18"/>
                <w:szCs w:val="18"/>
              </w:rPr>
            </w:pPr>
            <w:r w:rsidRPr="0014184E">
              <w:rPr>
                <w:b/>
                <w:sz w:val="18"/>
                <w:szCs w:val="18"/>
              </w:rPr>
              <w:t>240</w:t>
            </w:r>
          </w:p>
        </w:tc>
        <w:tc>
          <w:tcPr>
            <w:tcW w:w="1018" w:type="dxa"/>
            <w:vAlign w:val="center"/>
          </w:tcPr>
          <w:p w:rsidR="0014184E" w:rsidRPr="0014184E" w:rsidRDefault="0014184E" w:rsidP="0014184E">
            <w:pPr>
              <w:jc w:val="center"/>
              <w:rPr>
                <w:b/>
                <w:sz w:val="18"/>
                <w:szCs w:val="18"/>
              </w:rPr>
            </w:pPr>
            <w:r w:rsidRPr="0014184E">
              <w:rPr>
                <w:b/>
                <w:sz w:val="18"/>
                <w:szCs w:val="18"/>
              </w:rPr>
              <w:t>1 689 600</w:t>
            </w:r>
          </w:p>
        </w:tc>
        <w:tc>
          <w:tcPr>
            <w:tcW w:w="1227" w:type="dxa"/>
            <w:vAlign w:val="center"/>
          </w:tcPr>
          <w:p w:rsidR="0014184E" w:rsidRPr="0014184E" w:rsidRDefault="0014184E" w:rsidP="0014184E">
            <w:pPr>
              <w:jc w:val="center"/>
              <w:rPr>
                <w:b/>
                <w:sz w:val="18"/>
                <w:szCs w:val="18"/>
              </w:rPr>
            </w:pPr>
            <w:r w:rsidRPr="0014184E">
              <w:rPr>
                <w:b/>
                <w:sz w:val="18"/>
                <w:szCs w:val="18"/>
              </w:rPr>
              <w:t>143 428</w:t>
            </w:r>
          </w:p>
          <w:p w:rsidR="0014184E" w:rsidRPr="0014184E" w:rsidRDefault="0014184E" w:rsidP="0014184E">
            <w:pPr>
              <w:ind w:left="-101" w:right="-110" w:firstLine="101"/>
              <w:jc w:val="center"/>
              <w:rPr>
                <w:b/>
                <w:sz w:val="18"/>
                <w:szCs w:val="18"/>
              </w:rPr>
            </w:pPr>
            <w:r w:rsidRPr="0014184E">
              <w:rPr>
                <w:sz w:val="18"/>
                <w:szCs w:val="18"/>
              </w:rPr>
              <w:t>ставка 23 руб. за 1 л.</w:t>
            </w:r>
          </w:p>
        </w:tc>
        <w:tc>
          <w:tcPr>
            <w:tcW w:w="1224" w:type="dxa"/>
            <w:vAlign w:val="center"/>
          </w:tcPr>
          <w:p w:rsidR="0014184E" w:rsidRPr="0014184E" w:rsidRDefault="0014184E" w:rsidP="0014184E">
            <w:pPr>
              <w:jc w:val="center"/>
              <w:rPr>
                <w:b/>
                <w:sz w:val="18"/>
                <w:szCs w:val="18"/>
              </w:rPr>
            </w:pPr>
            <w:r w:rsidRPr="0014184E">
              <w:rPr>
                <w:b/>
                <w:sz w:val="18"/>
                <w:szCs w:val="18"/>
              </w:rPr>
              <w:t>149 664</w:t>
            </w:r>
          </w:p>
        </w:tc>
        <w:tc>
          <w:tcPr>
            <w:tcW w:w="951" w:type="dxa"/>
            <w:vAlign w:val="center"/>
          </w:tcPr>
          <w:p w:rsidR="0014184E" w:rsidRPr="0014184E" w:rsidRDefault="0014184E" w:rsidP="0014184E">
            <w:pPr>
              <w:jc w:val="center"/>
              <w:rPr>
                <w:b/>
                <w:sz w:val="18"/>
                <w:szCs w:val="18"/>
              </w:rPr>
            </w:pPr>
            <w:r w:rsidRPr="0014184E">
              <w:rPr>
                <w:b/>
                <w:sz w:val="18"/>
                <w:szCs w:val="18"/>
              </w:rPr>
              <w:t>1 683 364</w:t>
            </w:r>
          </w:p>
        </w:tc>
        <w:tc>
          <w:tcPr>
            <w:tcW w:w="975" w:type="dxa"/>
            <w:vAlign w:val="center"/>
          </w:tcPr>
          <w:p w:rsidR="0014184E" w:rsidRPr="0014184E" w:rsidRDefault="0014184E" w:rsidP="0014184E">
            <w:pPr>
              <w:jc w:val="center"/>
              <w:rPr>
                <w:b/>
                <w:sz w:val="18"/>
                <w:szCs w:val="18"/>
              </w:rPr>
            </w:pPr>
            <w:r w:rsidRPr="0014184E">
              <w:rPr>
                <w:b/>
                <w:sz w:val="18"/>
                <w:szCs w:val="18"/>
              </w:rPr>
              <w:t>100</w:t>
            </w:r>
          </w:p>
        </w:tc>
        <w:tc>
          <w:tcPr>
            <w:tcW w:w="1040" w:type="dxa"/>
            <w:vAlign w:val="center"/>
          </w:tcPr>
          <w:p w:rsidR="0014184E" w:rsidRPr="0014184E" w:rsidRDefault="0014184E" w:rsidP="0014184E">
            <w:pPr>
              <w:jc w:val="center"/>
            </w:pPr>
            <w:r w:rsidRPr="0014184E">
              <w:rPr>
                <w:sz w:val="18"/>
                <w:szCs w:val="18"/>
              </w:rPr>
              <w:t>100</w:t>
            </w:r>
          </w:p>
        </w:tc>
        <w:tc>
          <w:tcPr>
            <w:tcW w:w="1040" w:type="dxa"/>
            <w:vAlign w:val="center"/>
          </w:tcPr>
          <w:p w:rsidR="0014184E" w:rsidRPr="0014184E" w:rsidRDefault="0014184E" w:rsidP="0014184E">
            <w:pPr>
              <w:jc w:val="center"/>
              <w:rPr>
                <w:b/>
                <w:sz w:val="18"/>
                <w:szCs w:val="18"/>
              </w:rPr>
            </w:pPr>
            <w:r w:rsidRPr="0014184E">
              <w:rPr>
                <w:b/>
                <w:sz w:val="18"/>
                <w:szCs w:val="18"/>
              </w:rPr>
              <w:t>1 683 364</w:t>
            </w:r>
          </w:p>
        </w:tc>
        <w:tc>
          <w:tcPr>
            <w:tcW w:w="1134" w:type="dxa"/>
            <w:vAlign w:val="center"/>
          </w:tcPr>
          <w:p w:rsidR="0014184E" w:rsidRPr="0014184E" w:rsidRDefault="0014184E" w:rsidP="0014184E">
            <w:pPr>
              <w:ind w:left="-104" w:right="-109"/>
              <w:jc w:val="center"/>
              <w:rPr>
                <w:b/>
                <w:sz w:val="18"/>
                <w:szCs w:val="18"/>
              </w:rPr>
            </w:pPr>
            <w:r w:rsidRPr="0014184E">
              <w:rPr>
                <w:b/>
                <w:sz w:val="18"/>
                <w:szCs w:val="18"/>
              </w:rPr>
              <w:t>64 600</w:t>
            </w:r>
          </w:p>
        </w:tc>
        <w:tc>
          <w:tcPr>
            <w:tcW w:w="1134" w:type="dxa"/>
            <w:noWrap/>
            <w:vAlign w:val="center"/>
          </w:tcPr>
          <w:p w:rsidR="0014184E" w:rsidRPr="0014184E" w:rsidRDefault="0014184E" w:rsidP="0014184E">
            <w:pPr>
              <w:ind w:left="-91" w:right="-72"/>
              <w:jc w:val="center"/>
              <w:rPr>
                <w:b/>
                <w:sz w:val="18"/>
                <w:szCs w:val="18"/>
              </w:rPr>
            </w:pPr>
            <w:r w:rsidRPr="0014184E">
              <w:rPr>
                <w:b/>
                <w:sz w:val="18"/>
                <w:szCs w:val="18"/>
              </w:rPr>
              <w:t>1 618 764</w:t>
            </w:r>
          </w:p>
        </w:tc>
      </w:tr>
      <w:tr w:rsidR="0014184E" w:rsidRPr="0014184E" w:rsidTr="008A253E">
        <w:trPr>
          <w:trHeight w:val="281"/>
        </w:trPr>
        <w:tc>
          <w:tcPr>
            <w:tcW w:w="3114" w:type="dxa"/>
            <w:vAlign w:val="bottom"/>
          </w:tcPr>
          <w:p w:rsidR="0014184E" w:rsidRPr="0014184E" w:rsidRDefault="0014184E" w:rsidP="0014184E">
            <w:pPr>
              <w:rPr>
                <w:b/>
                <w:sz w:val="18"/>
                <w:szCs w:val="18"/>
              </w:rPr>
            </w:pPr>
            <w:r w:rsidRPr="0014184E">
              <w:rPr>
                <w:b/>
                <w:sz w:val="18"/>
                <w:szCs w:val="18"/>
              </w:rPr>
              <w:lastRenderedPageBreak/>
              <w:t>Акцизы на сидр, пуаре, медовуху, производимые на территории Российской Федерации</w:t>
            </w:r>
          </w:p>
        </w:tc>
        <w:tc>
          <w:tcPr>
            <w:tcW w:w="769" w:type="dxa"/>
            <w:vAlign w:val="center"/>
          </w:tcPr>
          <w:p w:rsidR="0014184E" w:rsidRPr="0014184E" w:rsidRDefault="0014184E" w:rsidP="0014184E">
            <w:pPr>
              <w:jc w:val="center"/>
              <w:rPr>
                <w:sz w:val="18"/>
                <w:szCs w:val="18"/>
              </w:rPr>
            </w:pPr>
            <w:r w:rsidRPr="0014184E">
              <w:rPr>
                <w:sz w:val="18"/>
                <w:szCs w:val="18"/>
              </w:rPr>
              <w:t>33,20</w:t>
            </w:r>
          </w:p>
        </w:tc>
        <w:tc>
          <w:tcPr>
            <w:tcW w:w="747" w:type="dxa"/>
            <w:vAlign w:val="center"/>
          </w:tcPr>
          <w:p w:rsidR="0014184E" w:rsidRPr="0014184E" w:rsidRDefault="0014184E" w:rsidP="0014184E">
            <w:pPr>
              <w:jc w:val="center"/>
              <w:rPr>
                <w:sz w:val="18"/>
                <w:szCs w:val="18"/>
              </w:rPr>
            </w:pPr>
            <w:r w:rsidRPr="0014184E">
              <w:rPr>
                <w:sz w:val="18"/>
                <w:szCs w:val="18"/>
                <w:lang w:val="en-US"/>
              </w:rPr>
              <w:t>2</w:t>
            </w:r>
            <w:r w:rsidRPr="0014184E">
              <w:rPr>
                <w:sz w:val="18"/>
                <w:szCs w:val="18"/>
              </w:rPr>
              <w:t>4</w:t>
            </w:r>
          </w:p>
        </w:tc>
        <w:tc>
          <w:tcPr>
            <w:tcW w:w="979" w:type="dxa"/>
            <w:vAlign w:val="center"/>
          </w:tcPr>
          <w:p w:rsidR="0014184E" w:rsidRPr="0014184E" w:rsidRDefault="0014184E" w:rsidP="0014184E">
            <w:pPr>
              <w:jc w:val="center"/>
              <w:rPr>
                <w:sz w:val="18"/>
                <w:szCs w:val="18"/>
                <w:lang w:val="en-US"/>
              </w:rPr>
            </w:pPr>
            <w:r w:rsidRPr="0014184E">
              <w:rPr>
                <w:sz w:val="18"/>
                <w:szCs w:val="18"/>
                <w:lang w:val="en-US"/>
              </w:rPr>
              <w:t>2</w:t>
            </w:r>
            <w:r w:rsidRPr="0014184E">
              <w:rPr>
                <w:sz w:val="18"/>
                <w:szCs w:val="18"/>
              </w:rPr>
              <w:t>4</w:t>
            </w:r>
            <w:r w:rsidRPr="0014184E">
              <w:rPr>
                <w:sz w:val="18"/>
                <w:szCs w:val="18"/>
                <w:lang w:val="en-US"/>
              </w:rPr>
              <w:t>0</w:t>
            </w:r>
          </w:p>
        </w:tc>
        <w:tc>
          <w:tcPr>
            <w:tcW w:w="1018" w:type="dxa"/>
            <w:vAlign w:val="center"/>
          </w:tcPr>
          <w:p w:rsidR="0014184E" w:rsidRPr="0014184E" w:rsidRDefault="0014184E" w:rsidP="0014184E">
            <w:pPr>
              <w:jc w:val="center"/>
              <w:rPr>
                <w:sz w:val="18"/>
                <w:szCs w:val="18"/>
              </w:rPr>
            </w:pPr>
            <w:r w:rsidRPr="0014184E">
              <w:rPr>
                <w:sz w:val="18"/>
                <w:szCs w:val="18"/>
              </w:rPr>
              <w:t>7 968</w:t>
            </w:r>
          </w:p>
        </w:tc>
        <w:tc>
          <w:tcPr>
            <w:tcW w:w="1227" w:type="dxa"/>
            <w:vAlign w:val="center"/>
          </w:tcPr>
          <w:p w:rsidR="0014184E" w:rsidRPr="0014184E" w:rsidRDefault="0014184E" w:rsidP="0014184E">
            <w:pPr>
              <w:jc w:val="center"/>
              <w:rPr>
                <w:sz w:val="18"/>
                <w:szCs w:val="18"/>
              </w:rPr>
            </w:pPr>
            <w:r w:rsidRPr="0014184E">
              <w:rPr>
                <w:sz w:val="18"/>
                <w:szCs w:val="18"/>
              </w:rPr>
              <w:t>426</w:t>
            </w:r>
          </w:p>
        </w:tc>
        <w:tc>
          <w:tcPr>
            <w:tcW w:w="1224" w:type="dxa"/>
            <w:vAlign w:val="center"/>
          </w:tcPr>
          <w:p w:rsidR="0014184E" w:rsidRPr="0014184E" w:rsidRDefault="0014184E" w:rsidP="0014184E">
            <w:pPr>
              <w:jc w:val="center"/>
              <w:rPr>
                <w:sz w:val="18"/>
                <w:szCs w:val="18"/>
              </w:rPr>
            </w:pPr>
            <w:r w:rsidRPr="0014184E">
              <w:rPr>
                <w:sz w:val="18"/>
                <w:szCs w:val="18"/>
              </w:rPr>
              <w:t>444</w:t>
            </w:r>
          </w:p>
        </w:tc>
        <w:tc>
          <w:tcPr>
            <w:tcW w:w="951" w:type="dxa"/>
            <w:vAlign w:val="center"/>
          </w:tcPr>
          <w:p w:rsidR="0014184E" w:rsidRPr="0014184E" w:rsidRDefault="0014184E" w:rsidP="0014184E">
            <w:pPr>
              <w:jc w:val="center"/>
              <w:rPr>
                <w:sz w:val="18"/>
                <w:szCs w:val="18"/>
              </w:rPr>
            </w:pPr>
            <w:r w:rsidRPr="0014184E">
              <w:rPr>
                <w:sz w:val="18"/>
                <w:szCs w:val="18"/>
              </w:rPr>
              <w:t>7 950</w:t>
            </w:r>
          </w:p>
        </w:tc>
        <w:tc>
          <w:tcPr>
            <w:tcW w:w="975" w:type="dxa"/>
            <w:vAlign w:val="center"/>
          </w:tcPr>
          <w:p w:rsidR="0014184E" w:rsidRPr="0014184E" w:rsidRDefault="0014184E" w:rsidP="0014184E">
            <w:pPr>
              <w:jc w:val="center"/>
              <w:rPr>
                <w:sz w:val="18"/>
                <w:szCs w:val="18"/>
              </w:rPr>
            </w:pPr>
            <w:r w:rsidRPr="0014184E">
              <w:rPr>
                <w:sz w:val="18"/>
                <w:szCs w:val="18"/>
              </w:rPr>
              <w:t>100</w:t>
            </w:r>
          </w:p>
        </w:tc>
        <w:tc>
          <w:tcPr>
            <w:tcW w:w="1040" w:type="dxa"/>
            <w:vAlign w:val="center"/>
          </w:tcPr>
          <w:p w:rsidR="0014184E" w:rsidRPr="0014184E" w:rsidRDefault="0014184E" w:rsidP="0014184E">
            <w:pPr>
              <w:jc w:val="center"/>
              <w:rPr>
                <w:sz w:val="18"/>
                <w:szCs w:val="18"/>
              </w:rPr>
            </w:pPr>
            <w:r w:rsidRPr="0014184E">
              <w:rPr>
                <w:sz w:val="18"/>
                <w:szCs w:val="18"/>
              </w:rPr>
              <w:t>100</w:t>
            </w:r>
          </w:p>
        </w:tc>
        <w:tc>
          <w:tcPr>
            <w:tcW w:w="1040" w:type="dxa"/>
            <w:vAlign w:val="center"/>
          </w:tcPr>
          <w:p w:rsidR="0014184E" w:rsidRPr="0014184E" w:rsidRDefault="0014184E" w:rsidP="0014184E">
            <w:pPr>
              <w:jc w:val="center"/>
              <w:rPr>
                <w:sz w:val="18"/>
                <w:szCs w:val="18"/>
              </w:rPr>
            </w:pPr>
            <w:r w:rsidRPr="0014184E">
              <w:rPr>
                <w:sz w:val="18"/>
                <w:szCs w:val="18"/>
              </w:rPr>
              <w:t>7 950</w:t>
            </w:r>
          </w:p>
        </w:tc>
        <w:tc>
          <w:tcPr>
            <w:tcW w:w="1134" w:type="dxa"/>
            <w:vAlign w:val="center"/>
          </w:tcPr>
          <w:p w:rsidR="0014184E" w:rsidRPr="0014184E" w:rsidRDefault="0014184E" w:rsidP="0014184E">
            <w:pPr>
              <w:jc w:val="center"/>
              <w:rPr>
                <w:sz w:val="18"/>
                <w:szCs w:val="18"/>
                <w:lang w:val="en-US"/>
              </w:rPr>
            </w:pPr>
            <w:r w:rsidRPr="0014184E">
              <w:rPr>
                <w:sz w:val="18"/>
                <w:szCs w:val="18"/>
                <w:lang w:val="en-US"/>
              </w:rPr>
              <w:t>x</w:t>
            </w:r>
          </w:p>
        </w:tc>
        <w:tc>
          <w:tcPr>
            <w:tcW w:w="1134" w:type="dxa"/>
            <w:noWrap/>
            <w:vAlign w:val="center"/>
          </w:tcPr>
          <w:p w:rsidR="0014184E" w:rsidRPr="0014184E" w:rsidRDefault="0014184E" w:rsidP="0014184E">
            <w:pPr>
              <w:jc w:val="center"/>
              <w:rPr>
                <w:sz w:val="18"/>
                <w:szCs w:val="18"/>
                <w:lang w:val="en-US"/>
              </w:rPr>
            </w:pPr>
            <w:r w:rsidRPr="0014184E">
              <w:rPr>
                <w:sz w:val="18"/>
                <w:szCs w:val="18"/>
                <w:lang w:val="en-US"/>
              </w:rPr>
              <w:t>7 950</w:t>
            </w:r>
          </w:p>
        </w:tc>
      </w:tr>
      <w:tr w:rsidR="0014184E" w:rsidRPr="0014184E" w:rsidTr="008A253E">
        <w:trPr>
          <w:trHeight w:val="270"/>
        </w:trPr>
        <w:tc>
          <w:tcPr>
            <w:tcW w:w="3114" w:type="dxa"/>
          </w:tcPr>
          <w:p w:rsidR="0014184E" w:rsidRPr="0014184E" w:rsidRDefault="0014184E" w:rsidP="0014184E">
            <w:pPr>
              <w:rPr>
                <w:b/>
                <w:bCs/>
                <w:sz w:val="18"/>
                <w:szCs w:val="18"/>
              </w:rPr>
            </w:pPr>
            <w:r w:rsidRPr="0014184E">
              <w:rPr>
                <w:b/>
                <w:sz w:val="18"/>
                <w:szCs w:val="18"/>
              </w:rPr>
              <w:t>Акцизы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w:t>
            </w:r>
          </w:p>
        </w:tc>
        <w:tc>
          <w:tcPr>
            <w:tcW w:w="769" w:type="dxa"/>
            <w:vAlign w:val="center"/>
          </w:tcPr>
          <w:p w:rsidR="0014184E" w:rsidRPr="0014184E" w:rsidRDefault="0014184E" w:rsidP="0014184E">
            <w:pPr>
              <w:jc w:val="center"/>
              <w:rPr>
                <w:bCs/>
                <w:sz w:val="18"/>
                <w:szCs w:val="18"/>
              </w:rPr>
            </w:pPr>
            <w:r w:rsidRPr="0014184E">
              <w:rPr>
                <w:bCs/>
                <w:sz w:val="18"/>
                <w:szCs w:val="18"/>
              </w:rPr>
              <w:t>0,88</w:t>
            </w:r>
          </w:p>
        </w:tc>
        <w:tc>
          <w:tcPr>
            <w:tcW w:w="747" w:type="dxa"/>
            <w:vAlign w:val="center"/>
          </w:tcPr>
          <w:p w:rsidR="0014184E" w:rsidRPr="0014184E" w:rsidRDefault="0014184E" w:rsidP="0014184E">
            <w:pPr>
              <w:jc w:val="center"/>
              <w:rPr>
                <w:bCs/>
                <w:sz w:val="18"/>
                <w:szCs w:val="18"/>
              </w:rPr>
            </w:pPr>
            <w:r w:rsidRPr="0014184E">
              <w:rPr>
                <w:bCs/>
                <w:sz w:val="18"/>
                <w:szCs w:val="18"/>
              </w:rPr>
              <w:t>471</w:t>
            </w:r>
          </w:p>
        </w:tc>
        <w:tc>
          <w:tcPr>
            <w:tcW w:w="979" w:type="dxa"/>
            <w:vAlign w:val="center"/>
          </w:tcPr>
          <w:p w:rsidR="0014184E" w:rsidRPr="0014184E" w:rsidRDefault="0014184E" w:rsidP="0014184E">
            <w:pPr>
              <w:jc w:val="center"/>
              <w:rPr>
                <w:bCs/>
                <w:sz w:val="18"/>
                <w:szCs w:val="18"/>
              </w:rPr>
            </w:pPr>
            <w:r w:rsidRPr="0014184E">
              <w:rPr>
                <w:bCs/>
                <w:sz w:val="18"/>
                <w:szCs w:val="18"/>
              </w:rPr>
              <w:t>4 710</w:t>
            </w:r>
          </w:p>
        </w:tc>
        <w:tc>
          <w:tcPr>
            <w:tcW w:w="1018" w:type="dxa"/>
            <w:vAlign w:val="center"/>
          </w:tcPr>
          <w:p w:rsidR="0014184E" w:rsidRPr="0014184E" w:rsidRDefault="0014184E" w:rsidP="0014184E">
            <w:pPr>
              <w:jc w:val="center"/>
              <w:rPr>
                <w:bCs/>
                <w:sz w:val="18"/>
                <w:szCs w:val="18"/>
              </w:rPr>
            </w:pPr>
            <w:r w:rsidRPr="0014184E">
              <w:rPr>
                <w:bCs/>
                <w:sz w:val="18"/>
                <w:szCs w:val="18"/>
              </w:rPr>
              <w:t>4 145</w:t>
            </w:r>
          </w:p>
        </w:tc>
        <w:tc>
          <w:tcPr>
            <w:tcW w:w="1227" w:type="dxa"/>
            <w:vAlign w:val="center"/>
          </w:tcPr>
          <w:p w:rsidR="0014184E" w:rsidRPr="0014184E" w:rsidRDefault="0014184E" w:rsidP="0014184E">
            <w:pPr>
              <w:jc w:val="center"/>
              <w:rPr>
                <w:bCs/>
                <w:sz w:val="18"/>
                <w:szCs w:val="18"/>
              </w:rPr>
            </w:pPr>
            <w:r w:rsidRPr="0014184E">
              <w:rPr>
                <w:bCs/>
                <w:sz w:val="18"/>
                <w:szCs w:val="18"/>
              </w:rPr>
              <w:t>587</w:t>
            </w:r>
          </w:p>
          <w:p w:rsidR="0014184E" w:rsidRPr="0014184E" w:rsidRDefault="0014184E" w:rsidP="0014184E">
            <w:pPr>
              <w:jc w:val="center"/>
              <w:rPr>
                <w:bCs/>
                <w:sz w:val="18"/>
                <w:szCs w:val="18"/>
              </w:rPr>
            </w:pPr>
            <w:r w:rsidRPr="0014184E">
              <w:rPr>
                <w:sz w:val="18"/>
                <w:szCs w:val="18"/>
              </w:rPr>
              <w:t>ставка 452 руб. за 1 л.</w:t>
            </w:r>
          </w:p>
        </w:tc>
        <w:tc>
          <w:tcPr>
            <w:tcW w:w="1224" w:type="dxa"/>
            <w:vAlign w:val="center"/>
          </w:tcPr>
          <w:p w:rsidR="0014184E" w:rsidRPr="0014184E" w:rsidRDefault="0014184E" w:rsidP="0014184E">
            <w:pPr>
              <w:jc w:val="center"/>
              <w:rPr>
                <w:bCs/>
                <w:sz w:val="18"/>
                <w:szCs w:val="18"/>
              </w:rPr>
            </w:pPr>
            <w:r w:rsidRPr="0014184E">
              <w:rPr>
                <w:bCs/>
                <w:sz w:val="18"/>
                <w:szCs w:val="18"/>
              </w:rPr>
              <w:t>612</w:t>
            </w:r>
          </w:p>
        </w:tc>
        <w:tc>
          <w:tcPr>
            <w:tcW w:w="951" w:type="dxa"/>
            <w:vAlign w:val="center"/>
          </w:tcPr>
          <w:p w:rsidR="0014184E" w:rsidRPr="0014184E" w:rsidRDefault="0014184E" w:rsidP="0014184E">
            <w:pPr>
              <w:jc w:val="center"/>
              <w:rPr>
                <w:bCs/>
                <w:sz w:val="18"/>
                <w:szCs w:val="18"/>
              </w:rPr>
            </w:pPr>
            <w:r w:rsidRPr="0014184E">
              <w:rPr>
                <w:bCs/>
                <w:sz w:val="18"/>
                <w:szCs w:val="18"/>
              </w:rPr>
              <w:t>4 120</w:t>
            </w:r>
          </w:p>
        </w:tc>
        <w:tc>
          <w:tcPr>
            <w:tcW w:w="975" w:type="dxa"/>
            <w:vAlign w:val="center"/>
          </w:tcPr>
          <w:p w:rsidR="0014184E" w:rsidRPr="0014184E" w:rsidRDefault="0014184E" w:rsidP="0014184E">
            <w:pPr>
              <w:jc w:val="center"/>
              <w:rPr>
                <w:bCs/>
                <w:sz w:val="18"/>
                <w:szCs w:val="18"/>
              </w:rPr>
            </w:pPr>
            <w:r w:rsidRPr="0014184E">
              <w:rPr>
                <w:bCs/>
                <w:sz w:val="18"/>
                <w:szCs w:val="18"/>
              </w:rPr>
              <w:t>100</w:t>
            </w:r>
          </w:p>
        </w:tc>
        <w:tc>
          <w:tcPr>
            <w:tcW w:w="1040" w:type="dxa"/>
            <w:vAlign w:val="center"/>
          </w:tcPr>
          <w:p w:rsidR="0014184E" w:rsidRPr="0014184E" w:rsidRDefault="0014184E" w:rsidP="0014184E">
            <w:pPr>
              <w:jc w:val="center"/>
              <w:rPr>
                <w:bCs/>
                <w:sz w:val="18"/>
                <w:szCs w:val="18"/>
              </w:rPr>
            </w:pPr>
            <w:r w:rsidRPr="0014184E">
              <w:rPr>
                <w:bCs/>
                <w:sz w:val="18"/>
                <w:szCs w:val="18"/>
              </w:rPr>
              <w:t>100</w:t>
            </w:r>
          </w:p>
        </w:tc>
        <w:tc>
          <w:tcPr>
            <w:tcW w:w="1040" w:type="dxa"/>
            <w:vAlign w:val="center"/>
          </w:tcPr>
          <w:p w:rsidR="0014184E" w:rsidRPr="0014184E" w:rsidRDefault="0014184E" w:rsidP="0014184E">
            <w:pPr>
              <w:jc w:val="center"/>
              <w:rPr>
                <w:bCs/>
                <w:sz w:val="18"/>
                <w:szCs w:val="18"/>
              </w:rPr>
            </w:pPr>
            <w:r w:rsidRPr="0014184E">
              <w:rPr>
                <w:bCs/>
                <w:sz w:val="18"/>
                <w:szCs w:val="18"/>
              </w:rPr>
              <w:t>4 120</w:t>
            </w:r>
          </w:p>
        </w:tc>
        <w:tc>
          <w:tcPr>
            <w:tcW w:w="1134" w:type="dxa"/>
            <w:vAlign w:val="center"/>
          </w:tcPr>
          <w:p w:rsidR="0014184E" w:rsidRPr="0014184E" w:rsidRDefault="0014184E" w:rsidP="0014184E">
            <w:pPr>
              <w:jc w:val="center"/>
              <w:rPr>
                <w:bCs/>
                <w:sz w:val="18"/>
                <w:szCs w:val="18"/>
              </w:rPr>
            </w:pPr>
            <w:r w:rsidRPr="0014184E">
              <w:rPr>
                <w:bCs/>
                <w:sz w:val="18"/>
                <w:szCs w:val="18"/>
              </w:rPr>
              <w:t>х</w:t>
            </w:r>
          </w:p>
        </w:tc>
        <w:tc>
          <w:tcPr>
            <w:tcW w:w="1134" w:type="dxa"/>
            <w:vAlign w:val="center"/>
          </w:tcPr>
          <w:p w:rsidR="0014184E" w:rsidRPr="0014184E" w:rsidRDefault="0014184E" w:rsidP="0014184E">
            <w:pPr>
              <w:ind w:left="-104" w:right="-109"/>
              <w:jc w:val="center"/>
              <w:rPr>
                <w:bCs/>
                <w:sz w:val="18"/>
                <w:szCs w:val="18"/>
              </w:rPr>
            </w:pPr>
            <w:r w:rsidRPr="0014184E">
              <w:rPr>
                <w:bCs/>
                <w:sz w:val="18"/>
                <w:szCs w:val="18"/>
              </w:rPr>
              <w:t>4 120</w:t>
            </w:r>
          </w:p>
        </w:tc>
      </w:tr>
      <w:tr w:rsidR="0014184E" w:rsidRPr="0014184E" w:rsidTr="008A253E">
        <w:trPr>
          <w:trHeight w:val="270"/>
        </w:trPr>
        <w:tc>
          <w:tcPr>
            <w:tcW w:w="3114" w:type="dxa"/>
          </w:tcPr>
          <w:p w:rsidR="0014184E" w:rsidRPr="0014184E" w:rsidRDefault="0014184E" w:rsidP="0014184E">
            <w:pPr>
              <w:jc w:val="both"/>
              <w:rPr>
                <w:b/>
                <w:bCs/>
                <w:sz w:val="18"/>
                <w:szCs w:val="18"/>
              </w:rPr>
            </w:pPr>
            <w:r w:rsidRPr="0014184E">
              <w:rPr>
                <w:b/>
                <w:bCs/>
                <w:sz w:val="18"/>
                <w:szCs w:val="18"/>
              </w:rPr>
              <w:t>ИТОГО</w:t>
            </w:r>
          </w:p>
        </w:tc>
        <w:tc>
          <w:tcPr>
            <w:tcW w:w="769" w:type="dxa"/>
            <w:vAlign w:val="center"/>
          </w:tcPr>
          <w:p w:rsidR="0014184E" w:rsidRPr="0014184E" w:rsidRDefault="0014184E" w:rsidP="0014184E">
            <w:pPr>
              <w:ind w:left="-139" w:right="-160"/>
              <w:jc w:val="center"/>
              <w:rPr>
                <w:b/>
                <w:bCs/>
                <w:sz w:val="18"/>
                <w:szCs w:val="18"/>
              </w:rPr>
            </w:pPr>
            <w:r w:rsidRPr="0014184E">
              <w:rPr>
                <w:b/>
                <w:bCs/>
                <w:sz w:val="18"/>
                <w:szCs w:val="18"/>
              </w:rPr>
              <w:t>7 274,08</w:t>
            </w:r>
          </w:p>
        </w:tc>
        <w:tc>
          <w:tcPr>
            <w:tcW w:w="747" w:type="dxa"/>
            <w:vAlign w:val="center"/>
          </w:tcPr>
          <w:p w:rsidR="0014184E" w:rsidRPr="0014184E" w:rsidRDefault="0014184E" w:rsidP="0014184E">
            <w:pPr>
              <w:jc w:val="center"/>
              <w:rPr>
                <w:b/>
                <w:bCs/>
                <w:sz w:val="18"/>
                <w:szCs w:val="18"/>
              </w:rPr>
            </w:pPr>
            <w:r w:rsidRPr="0014184E">
              <w:rPr>
                <w:b/>
                <w:bCs/>
                <w:sz w:val="18"/>
                <w:szCs w:val="18"/>
              </w:rPr>
              <w:t>х</w:t>
            </w:r>
          </w:p>
        </w:tc>
        <w:tc>
          <w:tcPr>
            <w:tcW w:w="979" w:type="dxa"/>
            <w:vAlign w:val="center"/>
          </w:tcPr>
          <w:p w:rsidR="0014184E" w:rsidRPr="0014184E" w:rsidRDefault="0014184E" w:rsidP="0014184E">
            <w:pPr>
              <w:jc w:val="center"/>
              <w:rPr>
                <w:b/>
                <w:bCs/>
                <w:sz w:val="18"/>
                <w:szCs w:val="18"/>
              </w:rPr>
            </w:pPr>
            <w:r w:rsidRPr="0014184E">
              <w:rPr>
                <w:b/>
                <w:bCs/>
                <w:sz w:val="18"/>
                <w:szCs w:val="18"/>
              </w:rPr>
              <w:t>х</w:t>
            </w:r>
          </w:p>
        </w:tc>
        <w:tc>
          <w:tcPr>
            <w:tcW w:w="1018" w:type="dxa"/>
            <w:vAlign w:val="center"/>
          </w:tcPr>
          <w:p w:rsidR="0014184E" w:rsidRPr="0014184E" w:rsidRDefault="0014184E" w:rsidP="0014184E">
            <w:pPr>
              <w:jc w:val="center"/>
              <w:rPr>
                <w:b/>
                <w:bCs/>
                <w:sz w:val="18"/>
                <w:szCs w:val="18"/>
              </w:rPr>
            </w:pPr>
            <w:r w:rsidRPr="0014184E">
              <w:rPr>
                <w:b/>
                <w:bCs/>
                <w:sz w:val="18"/>
                <w:szCs w:val="18"/>
              </w:rPr>
              <w:t>1 770 713</w:t>
            </w:r>
          </w:p>
        </w:tc>
        <w:tc>
          <w:tcPr>
            <w:tcW w:w="1227" w:type="dxa"/>
            <w:vAlign w:val="center"/>
          </w:tcPr>
          <w:p w:rsidR="0014184E" w:rsidRPr="0014184E" w:rsidRDefault="0014184E" w:rsidP="0014184E">
            <w:pPr>
              <w:jc w:val="center"/>
              <w:rPr>
                <w:b/>
                <w:bCs/>
                <w:sz w:val="18"/>
                <w:szCs w:val="18"/>
              </w:rPr>
            </w:pPr>
            <w:r w:rsidRPr="0014184E">
              <w:rPr>
                <w:b/>
                <w:bCs/>
                <w:sz w:val="18"/>
                <w:szCs w:val="18"/>
              </w:rPr>
              <w:t>149 946</w:t>
            </w:r>
          </w:p>
        </w:tc>
        <w:tc>
          <w:tcPr>
            <w:tcW w:w="1224" w:type="dxa"/>
            <w:vAlign w:val="center"/>
          </w:tcPr>
          <w:p w:rsidR="0014184E" w:rsidRPr="0014184E" w:rsidRDefault="0014184E" w:rsidP="0014184E">
            <w:pPr>
              <w:jc w:val="center"/>
              <w:rPr>
                <w:b/>
                <w:bCs/>
                <w:sz w:val="18"/>
                <w:szCs w:val="18"/>
              </w:rPr>
            </w:pPr>
            <w:r w:rsidRPr="0014184E">
              <w:rPr>
                <w:b/>
                <w:bCs/>
                <w:sz w:val="18"/>
                <w:szCs w:val="18"/>
              </w:rPr>
              <w:t>156 415</w:t>
            </w:r>
          </w:p>
        </w:tc>
        <w:tc>
          <w:tcPr>
            <w:tcW w:w="951" w:type="dxa"/>
            <w:vAlign w:val="center"/>
          </w:tcPr>
          <w:p w:rsidR="0014184E" w:rsidRPr="0014184E" w:rsidRDefault="0014184E" w:rsidP="0014184E">
            <w:pPr>
              <w:jc w:val="center"/>
              <w:rPr>
                <w:b/>
                <w:bCs/>
                <w:sz w:val="18"/>
                <w:szCs w:val="18"/>
                <w:lang w:val="en-US"/>
              </w:rPr>
            </w:pPr>
            <w:r w:rsidRPr="0014184E">
              <w:rPr>
                <w:b/>
                <w:bCs/>
                <w:sz w:val="18"/>
                <w:szCs w:val="18"/>
              </w:rPr>
              <w:t>1 764 244</w:t>
            </w:r>
          </w:p>
        </w:tc>
        <w:tc>
          <w:tcPr>
            <w:tcW w:w="975" w:type="dxa"/>
            <w:vAlign w:val="center"/>
          </w:tcPr>
          <w:p w:rsidR="0014184E" w:rsidRPr="0014184E" w:rsidRDefault="0014184E" w:rsidP="0014184E">
            <w:pPr>
              <w:jc w:val="center"/>
              <w:rPr>
                <w:b/>
                <w:bCs/>
                <w:sz w:val="18"/>
                <w:szCs w:val="18"/>
              </w:rPr>
            </w:pPr>
            <w:r w:rsidRPr="0014184E">
              <w:rPr>
                <w:b/>
                <w:bCs/>
                <w:sz w:val="18"/>
                <w:szCs w:val="18"/>
              </w:rPr>
              <w:t>100</w:t>
            </w:r>
          </w:p>
        </w:tc>
        <w:tc>
          <w:tcPr>
            <w:tcW w:w="1040" w:type="dxa"/>
            <w:vAlign w:val="center"/>
          </w:tcPr>
          <w:p w:rsidR="0014184E" w:rsidRPr="0014184E" w:rsidRDefault="0014184E" w:rsidP="0014184E">
            <w:pPr>
              <w:jc w:val="center"/>
              <w:rPr>
                <w:b/>
                <w:bCs/>
                <w:sz w:val="18"/>
                <w:szCs w:val="18"/>
              </w:rPr>
            </w:pPr>
            <w:r w:rsidRPr="0014184E">
              <w:rPr>
                <w:b/>
                <w:bCs/>
                <w:sz w:val="18"/>
                <w:szCs w:val="18"/>
              </w:rPr>
              <w:t>100</w:t>
            </w:r>
          </w:p>
        </w:tc>
        <w:tc>
          <w:tcPr>
            <w:tcW w:w="1040" w:type="dxa"/>
            <w:vAlign w:val="center"/>
          </w:tcPr>
          <w:p w:rsidR="0014184E" w:rsidRPr="0014184E" w:rsidRDefault="0014184E" w:rsidP="0014184E">
            <w:pPr>
              <w:jc w:val="center"/>
              <w:rPr>
                <w:b/>
                <w:bCs/>
                <w:sz w:val="18"/>
                <w:szCs w:val="18"/>
              </w:rPr>
            </w:pPr>
            <w:r w:rsidRPr="0014184E">
              <w:rPr>
                <w:b/>
                <w:bCs/>
                <w:sz w:val="18"/>
                <w:szCs w:val="18"/>
              </w:rPr>
              <w:t>1 764 244</w:t>
            </w:r>
          </w:p>
        </w:tc>
        <w:tc>
          <w:tcPr>
            <w:tcW w:w="1134" w:type="dxa"/>
            <w:vAlign w:val="center"/>
          </w:tcPr>
          <w:p w:rsidR="0014184E" w:rsidRPr="0014184E" w:rsidRDefault="0014184E" w:rsidP="0014184E">
            <w:pPr>
              <w:jc w:val="center"/>
              <w:rPr>
                <w:b/>
                <w:bCs/>
                <w:sz w:val="18"/>
                <w:szCs w:val="18"/>
              </w:rPr>
            </w:pPr>
            <w:r w:rsidRPr="0014184E">
              <w:rPr>
                <w:b/>
                <w:bCs/>
                <w:sz w:val="18"/>
                <w:szCs w:val="18"/>
              </w:rPr>
              <w:t>94 300</w:t>
            </w:r>
          </w:p>
        </w:tc>
        <w:tc>
          <w:tcPr>
            <w:tcW w:w="1134" w:type="dxa"/>
            <w:vAlign w:val="center"/>
          </w:tcPr>
          <w:p w:rsidR="0014184E" w:rsidRPr="0014184E" w:rsidRDefault="0014184E" w:rsidP="0014184E">
            <w:pPr>
              <w:ind w:left="-104" w:right="-109"/>
              <w:jc w:val="center"/>
              <w:rPr>
                <w:b/>
                <w:bCs/>
                <w:sz w:val="18"/>
                <w:szCs w:val="18"/>
              </w:rPr>
            </w:pPr>
            <w:r w:rsidRPr="0014184E">
              <w:rPr>
                <w:b/>
                <w:bCs/>
                <w:sz w:val="18"/>
                <w:szCs w:val="18"/>
              </w:rPr>
              <w:t>1 669 944</w:t>
            </w:r>
          </w:p>
        </w:tc>
      </w:tr>
    </w:tbl>
    <w:p w:rsidR="0014184E" w:rsidRPr="0014184E" w:rsidRDefault="0014184E" w:rsidP="0014184E">
      <w:pPr>
        <w:ind w:left="360" w:firstLine="709"/>
        <w:jc w:val="both"/>
        <w:rPr>
          <w:sz w:val="22"/>
          <w:szCs w:val="22"/>
        </w:rPr>
      </w:pPr>
      <w:r w:rsidRPr="0014184E">
        <w:rPr>
          <w:b/>
          <w:sz w:val="22"/>
          <w:szCs w:val="22"/>
        </w:rPr>
        <w:br w:type="textWrapping" w:clear="all"/>
      </w:r>
    </w:p>
    <w:p w:rsidR="0014184E" w:rsidRPr="0014184E" w:rsidRDefault="0014184E" w:rsidP="0014184E">
      <w:pPr>
        <w:ind w:firstLine="709"/>
        <w:jc w:val="center"/>
        <w:outlineLvl w:val="0"/>
        <w:rPr>
          <w:b/>
          <w:sz w:val="28"/>
          <w:szCs w:val="28"/>
        </w:rPr>
      </w:pPr>
    </w:p>
    <w:p w:rsidR="0014184E" w:rsidRPr="0014184E" w:rsidRDefault="0014184E" w:rsidP="0014184E">
      <w:pPr>
        <w:ind w:firstLine="709"/>
        <w:jc w:val="center"/>
        <w:outlineLvl w:val="0"/>
        <w:rPr>
          <w:b/>
          <w:sz w:val="28"/>
          <w:szCs w:val="28"/>
        </w:rPr>
      </w:pPr>
    </w:p>
    <w:p w:rsidR="0014184E" w:rsidRPr="0014184E" w:rsidRDefault="0014184E" w:rsidP="0014184E">
      <w:pPr>
        <w:ind w:firstLine="709"/>
        <w:jc w:val="center"/>
        <w:outlineLvl w:val="0"/>
        <w:rPr>
          <w:b/>
          <w:sz w:val="28"/>
          <w:szCs w:val="28"/>
        </w:rPr>
      </w:pPr>
    </w:p>
    <w:p w:rsidR="0014184E" w:rsidRPr="0014184E" w:rsidRDefault="0014184E" w:rsidP="0014184E">
      <w:pPr>
        <w:ind w:firstLine="709"/>
        <w:jc w:val="center"/>
        <w:outlineLvl w:val="0"/>
        <w:rPr>
          <w:b/>
          <w:sz w:val="28"/>
          <w:szCs w:val="28"/>
        </w:rPr>
      </w:pPr>
    </w:p>
    <w:p w:rsidR="0014184E" w:rsidRPr="0014184E" w:rsidRDefault="0014184E" w:rsidP="0014184E">
      <w:pPr>
        <w:ind w:firstLine="709"/>
        <w:jc w:val="center"/>
        <w:outlineLvl w:val="0"/>
        <w:rPr>
          <w:b/>
          <w:sz w:val="28"/>
          <w:szCs w:val="28"/>
        </w:rPr>
      </w:pPr>
    </w:p>
    <w:p w:rsidR="0014184E" w:rsidRPr="0014184E" w:rsidRDefault="0014184E" w:rsidP="0014184E">
      <w:pPr>
        <w:ind w:firstLine="709"/>
        <w:jc w:val="center"/>
        <w:outlineLvl w:val="0"/>
        <w:rPr>
          <w:b/>
          <w:sz w:val="28"/>
          <w:szCs w:val="28"/>
        </w:rPr>
      </w:pPr>
    </w:p>
    <w:p w:rsidR="0014184E" w:rsidRPr="0014184E" w:rsidRDefault="0014184E" w:rsidP="0014184E">
      <w:pPr>
        <w:ind w:firstLine="709"/>
        <w:jc w:val="center"/>
        <w:outlineLvl w:val="0"/>
        <w:rPr>
          <w:b/>
          <w:sz w:val="28"/>
          <w:szCs w:val="28"/>
        </w:rPr>
      </w:pPr>
    </w:p>
    <w:p w:rsidR="0014184E" w:rsidRPr="0014184E" w:rsidRDefault="0014184E" w:rsidP="0014184E">
      <w:pPr>
        <w:ind w:firstLine="709"/>
        <w:jc w:val="center"/>
        <w:outlineLvl w:val="0"/>
        <w:rPr>
          <w:b/>
          <w:sz w:val="28"/>
          <w:szCs w:val="28"/>
        </w:rPr>
      </w:pPr>
    </w:p>
    <w:p w:rsidR="0014184E" w:rsidRPr="0014184E" w:rsidRDefault="0014184E" w:rsidP="0014184E">
      <w:pPr>
        <w:ind w:firstLine="709"/>
        <w:jc w:val="center"/>
        <w:outlineLvl w:val="0"/>
        <w:rPr>
          <w:b/>
          <w:sz w:val="28"/>
          <w:szCs w:val="28"/>
        </w:rPr>
      </w:pPr>
    </w:p>
    <w:p w:rsidR="0014184E" w:rsidRPr="0014184E" w:rsidRDefault="0014184E" w:rsidP="0014184E">
      <w:pPr>
        <w:ind w:firstLine="709"/>
        <w:jc w:val="center"/>
        <w:outlineLvl w:val="0"/>
        <w:rPr>
          <w:b/>
          <w:sz w:val="28"/>
          <w:szCs w:val="28"/>
        </w:rPr>
      </w:pPr>
    </w:p>
    <w:p w:rsidR="0014184E" w:rsidRPr="0014184E" w:rsidRDefault="0014184E" w:rsidP="0014184E">
      <w:pPr>
        <w:ind w:firstLine="709"/>
        <w:jc w:val="center"/>
        <w:outlineLvl w:val="0"/>
        <w:rPr>
          <w:b/>
          <w:sz w:val="28"/>
          <w:szCs w:val="28"/>
        </w:rPr>
      </w:pPr>
    </w:p>
    <w:p w:rsidR="0014184E" w:rsidRPr="0014184E" w:rsidRDefault="0014184E" w:rsidP="0014184E">
      <w:pPr>
        <w:ind w:firstLine="709"/>
        <w:jc w:val="center"/>
        <w:outlineLvl w:val="0"/>
        <w:rPr>
          <w:b/>
          <w:sz w:val="28"/>
          <w:szCs w:val="28"/>
        </w:rPr>
      </w:pPr>
    </w:p>
    <w:p w:rsidR="0014184E" w:rsidRPr="0014184E" w:rsidRDefault="0014184E" w:rsidP="0014184E">
      <w:pPr>
        <w:ind w:firstLine="709"/>
        <w:jc w:val="center"/>
        <w:outlineLvl w:val="0"/>
        <w:rPr>
          <w:b/>
          <w:sz w:val="28"/>
          <w:szCs w:val="28"/>
        </w:rPr>
      </w:pPr>
    </w:p>
    <w:p w:rsidR="0014184E" w:rsidRPr="0014184E" w:rsidRDefault="0014184E" w:rsidP="0014184E">
      <w:pPr>
        <w:ind w:firstLine="709"/>
        <w:jc w:val="center"/>
        <w:outlineLvl w:val="0"/>
        <w:rPr>
          <w:b/>
          <w:sz w:val="28"/>
          <w:szCs w:val="28"/>
        </w:rPr>
      </w:pPr>
      <w:r w:rsidRPr="0014184E">
        <w:rPr>
          <w:b/>
          <w:sz w:val="28"/>
          <w:szCs w:val="28"/>
        </w:rPr>
        <w:lastRenderedPageBreak/>
        <w:t>Расчет прогноза поступления акцизов в областной бюджет Тверской области на 2023 год</w:t>
      </w:r>
    </w:p>
    <w:p w:rsidR="0014184E" w:rsidRPr="0014184E" w:rsidRDefault="0014184E" w:rsidP="0014184E">
      <w:pPr>
        <w:autoSpaceDE w:val="0"/>
        <w:autoSpaceDN w:val="0"/>
        <w:adjustRightInd w:val="0"/>
        <w:jc w:val="center"/>
        <w:rPr>
          <w:sz w:val="28"/>
          <w:szCs w:val="28"/>
        </w:rPr>
      </w:pPr>
      <w:r w:rsidRPr="0014184E">
        <w:rPr>
          <w:sz w:val="28"/>
          <w:szCs w:val="28"/>
        </w:rPr>
        <w:t>(000 1 03 02090 01 0000 110, 000 1 03 02100 01 0000 110,</w:t>
      </w:r>
      <w:r w:rsidRPr="0014184E">
        <w:rPr>
          <w:sz w:val="28"/>
          <w:szCs w:val="28"/>
          <w:lang w:val="en-US"/>
        </w:rPr>
        <w:t xml:space="preserve"> </w:t>
      </w:r>
      <w:r w:rsidRPr="0014184E">
        <w:rPr>
          <w:sz w:val="28"/>
          <w:szCs w:val="28"/>
        </w:rPr>
        <w:t xml:space="preserve">000 1 03 02120 01 0000 110, </w:t>
      </w:r>
    </w:p>
    <w:p w:rsidR="0014184E" w:rsidRPr="0014184E" w:rsidRDefault="0014184E" w:rsidP="0014184E">
      <w:pPr>
        <w:autoSpaceDE w:val="0"/>
        <w:autoSpaceDN w:val="0"/>
        <w:adjustRightInd w:val="0"/>
        <w:jc w:val="center"/>
        <w:rPr>
          <w:sz w:val="28"/>
          <w:szCs w:val="28"/>
        </w:rPr>
      </w:pPr>
      <w:r w:rsidRPr="0014184E">
        <w:rPr>
          <w:sz w:val="28"/>
          <w:szCs w:val="28"/>
          <w:lang w:val="en-US"/>
        </w:rPr>
        <w:t xml:space="preserve">000 </w:t>
      </w:r>
      <w:r w:rsidRPr="0014184E">
        <w:rPr>
          <w:bCs/>
          <w:sz w:val="28"/>
          <w:szCs w:val="28"/>
        </w:rPr>
        <w:t>1 03 02130 01 0000 110</w:t>
      </w:r>
      <w:r w:rsidRPr="0014184E">
        <w:rPr>
          <w:sz w:val="28"/>
          <w:szCs w:val="28"/>
        </w:rPr>
        <w:t>)</w:t>
      </w:r>
    </w:p>
    <w:p w:rsidR="0014184E" w:rsidRPr="0014184E" w:rsidRDefault="0014184E" w:rsidP="0014184E">
      <w:pPr>
        <w:ind w:firstLine="709"/>
        <w:jc w:val="right"/>
      </w:pPr>
      <w:r w:rsidRPr="0014184E">
        <w:t xml:space="preserve"> (тыс. руб.)</w:t>
      </w:r>
    </w:p>
    <w:tbl>
      <w:tblPr>
        <w:tblpPr w:leftFromText="180" w:rightFromText="180" w:vertAnchor="text" w:tblpX="93" w:tblpY="1"/>
        <w:tblOverlap w:val="neve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4"/>
        <w:gridCol w:w="769"/>
        <w:gridCol w:w="747"/>
        <w:gridCol w:w="979"/>
        <w:gridCol w:w="1018"/>
        <w:gridCol w:w="1227"/>
        <w:gridCol w:w="1224"/>
        <w:gridCol w:w="951"/>
        <w:gridCol w:w="975"/>
        <w:gridCol w:w="867"/>
        <w:gridCol w:w="993"/>
        <w:gridCol w:w="881"/>
        <w:gridCol w:w="851"/>
      </w:tblGrid>
      <w:tr w:rsidR="0014184E" w:rsidRPr="0014184E" w:rsidTr="008A253E">
        <w:trPr>
          <w:trHeight w:val="2160"/>
          <w:tblHeader/>
        </w:trPr>
        <w:tc>
          <w:tcPr>
            <w:tcW w:w="3114" w:type="dxa"/>
            <w:vAlign w:val="center"/>
          </w:tcPr>
          <w:p w:rsidR="0014184E" w:rsidRPr="0014184E" w:rsidRDefault="0014184E" w:rsidP="0014184E">
            <w:pPr>
              <w:jc w:val="center"/>
              <w:rPr>
                <w:sz w:val="18"/>
                <w:szCs w:val="18"/>
              </w:rPr>
            </w:pPr>
            <w:r w:rsidRPr="0014184E">
              <w:rPr>
                <w:sz w:val="18"/>
                <w:szCs w:val="18"/>
              </w:rPr>
              <w:t> Наименование </w:t>
            </w:r>
          </w:p>
        </w:tc>
        <w:tc>
          <w:tcPr>
            <w:tcW w:w="769" w:type="dxa"/>
            <w:vAlign w:val="center"/>
          </w:tcPr>
          <w:p w:rsidR="0014184E" w:rsidRPr="0014184E" w:rsidRDefault="0014184E" w:rsidP="0014184E">
            <w:pPr>
              <w:jc w:val="center"/>
              <w:rPr>
                <w:sz w:val="18"/>
                <w:szCs w:val="18"/>
              </w:rPr>
            </w:pPr>
            <w:r w:rsidRPr="0014184E">
              <w:rPr>
                <w:sz w:val="18"/>
                <w:szCs w:val="18"/>
              </w:rPr>
              <w:t>Объем реализ.  тыс. дал.</w:t>
            </w:r>
          </w:p>
          <w:p w:rsidR="0014184E" w:rsidRPr="0014184E" w:rsidRDefault="0014184E" w:rsidP="0014184E">
            <w:pPr>
              <w:jc w:val="center"/>
              <w:rPr>
                <w:sz w:val="18"/>
                <w:szCs w:val="18"/>
              </w:rPr>
            </w:pPr>
            <w:r w:rsidRPr="0014184E">
              <w:rPr>
                <w:sz w:val="18"/>
                <w:szCs w:val="18"/>
              </w:rPr>
              <w:t>(с учетом крепости)</w:t>
            </w:r>
          </w:p>
        </w:tc>
        <w:tc>
          <w:tcPr>
            <w:tcW w:w="747" w:type="dxa"/>
            <w:vAlign w:val="center"/>
          </w:tcPr>
          <w:p w:rsidR="0014184E" w:rsidRPr="0014184E" w:rsidRDefault="0014184E" w:rsidP="0014184E">
            <w:pPr>
              <w:jc w:val="center"/>
              <w:rPr>
                <w:sz w:val="18"/>
                <w:szCs w:val="18"/>
              </w:rPr>
            </w:pPr>
            <w:r w:rsidRPr="0014184E">
              <w:rPr>
                <w:sz w:val="18"/>
                <w:szCs w:val="18"/>
              </w:rPr>
              <w:t>Ставка акциза за 1 литр (руб)</w:t>
            </w:r>
          </w:p>
        </w:tc>
        <w:tc>
          <w:tcPr>
            <w:tcW w:w="979" w:type="dxa"/>
            <w:vAlign w:val="center"/>
          </w:tcPr>
          <w:p w:rsidR="0014184E" w:rsidRPr="0014184E" w:rsidRDefault="0014184E" w:rsidP="0014184E">
            <w:pPr>
              <w:jc w:val="center"/>
              <w:rPr>
                <w:sz w:val="18"/>
                <w:szCs w:val="18"/>
              </w:rPr>
            </w:pPr>
            <w:r w:rsidRPr="0014184E">
              <w:rPr>
                <w:sz w:val="18"/>
                <w:szCs w:val="18"/>
              </w:rPr>
              <w:t>Ставка в перерас-чете на абсолют-ный алкоголь (руб) за 1 дал</w:t>
            </w:r>
          </w:p>
        </w:tc>
        <w:tc>
          <w:tcPr>
            <w:tcW w:w="1018" w:type="dxa"/>
            <w:vAlign w:val="center"/>
          </w:tcPr>
          <w:p w:rsidR="0014184E" w:rsidRPr="0014184E" w:rsidRDefault="0014184E" w:rsidP="0014184E">
            <w:pPr>
              <w:jc w:val="center"/>
              <w:rPr>
                <w:sz w:val="18"/>
                <w:szCs w:val="18"/>
              </w:rPr>
            </w:pPr>
            <w:r w:rsidRPr="0014184E">
              <w:rPr>
                <w:sz w:val="18"/>
                <w:szCs w:val="18"/>
              </w:rPr>
              <w:t xml:space="preserve">Итого </w:t>
            </w:r>
            <w:r w:rsidRPr="0014184E">
              <w:rPr>
                <w:sz w:val="18"/>
                <w:szCs w:val="18"/>
                <w:lang w:val="en-US"/>
              </w:rPr>
              <w:t>c</w:t>
            </w:r>
            <w:r w:rsidRPr="0014184E">
              <w:rPr>
                <w:sz w:val="18"/>
                <w:szCs w:val="18"/>
              </w:rPr>
              <w:t>умма акциза  за 2023 год   (тыс.руб.) с учетом округления</w:t>
            </w:r>
          </w:p>
        </w:tc>
        <w:tc>
          <w:tcPr>
            <w:tcW w:w="1227" w:type="dxa"/>
            <w:vAlign w:val="center"/>
          </w:tcPr>
          <w:p w:rsidR="0014184E" w:rsidRPr="0014184E" w:rsidRDefault="0014184E" w:rsidP="0014184E">
            <w:pPr>
              <w:jc w:val="center"/>
              <w:rPr>
                <w:sz w:val="18"/>
                <w:szCs w:val="18"/>
              </w:rPr>
            </w:pPr>
            <w:r w:rsidRPr="0014184E">
              <w:rPr>
                <w:sz w:val="18"/>
                <w:szCs w:val="18"/>
              </w:rPr>
              <w:t>Сумма акцизов, подлежащая уплате в янв..2023 г. в бюджет области за реализ. дек. 2022 г.</w:t>
            </w:r>
          </w:p>
        </w:tc>
        <w:tc>
          <w:tcPr>
            <w:tcW w:w="1224" w:type="dxa"/>
            <w:vAlign w:val="center"/>
          </w:tcPr>
          <w:p w:rsidR="0014184E" w:rsidRPr="0014184E" w:rsidRDefault="0014184E" w:rsidP="0014184E">
            <w:pPr>
              <w:jc w:val="center"/>
              <w:rPr>
                <w:sz w:val="18"/>
                <w:szCs w:val="18"/>
              </w:rPr>
            </w:pPr>
            <w:r w:rsidRPr="0014184E">
              <w:rPr>
                <w:sz w:val="18"/>
                <w:szCs w:val="18"/>
              </w:rPr>
              <w:t>Поступление акцизов в янв. 2024 г. за реализ. декабря 2023 г.</w:t>
            </w:r>
          </w:p>
        </w:tc>
        <w:tc>
          <w:tcPr>
            <w:tcW w:w="951" w:type="dxa"/>
            <w:vAlign w:val="center"/>
          </w:tcPr>
          <w:p w:rsidR="0014184E" w:rsidRPr="0014184E" w:rsidRDefault="0014184E" w:rsidP="0014184E">
            <w:pPr>
              <w:jc w:val="center"/>
              <w:rPr>
                <w:b/>
                <w:bCs/>
                <w:sz w:val="18"/>
                <w:szCs w:val="18"/>
              </w:rPr>
            </w:pPr>
            <w:r w:rsidRPr="0014184E">
              <w:rPr>
                <w:b/>
                <w:bCs/>
                <w:sz w:val="18"/>
                <w:szCs w:val="18"/>
              </w:rPr>
              <w:t>Прогноз на 2023 год с учетом сроков уплаты</w:t>
            </w:r>
          </w:p>
        </w:tc>
        <w:tc>
          <w:tcPr>
            <w:tcW w:w="975" w:type="dxa"/>
            <w:vAlign w:val="center"/>
          </w:tcPr>
          <w:p w:rsidR="0014184E" w:rsidRPr="0014184E" w:rsidRDefault="0014184E" w:rsidP="0014184E">
            <w:pPr>
              <w:jc w:val="center"/>
              <w:rPr>
                <w:sz w:val="18"/>
                <w:szCs w:val="18"/>
              </w:rPr>
            </w:pPr>
            <w:r w:rsidRPr="0014184E">
              <w:rPr>
                <w:sz w:val="18"/>
                <w:szCs w:val="18"/>
              </w:rPr>
              <w:t>Норма-тив отчисле-ния в бюджет субъекта</w:t>
            </w:r>
          </w:p>
        </w:tc>
        <w:tc>
          <w:tcPr>
            <w:tcW w:w="867" w:type="dxa"/>
            <w:vAlign w:val="center"/>
          </w:tcPr>
          <w:p w:rsidR="0014184E" w:rsidRPr="0014184E" w:rsidRDefault="0014184E" w:rsidP="0014184E">
            <w:pPr>
              <w:jc w:val="center"/>
              <w:rPr>
                <w:sz w:val="18"/>
                <w:szCs w:val="18"/>
              </w:rPr>
            </w:pPr>
            <w:r w:rsidRPr="0014184E">
              <w:rPr>
                <w:sz w:val="18"/>
                <w:szCs w:val="18"/>
              </w:rPr>
              <w:t>Собираемость,</w:t>
            </w:r>
          </w:p>
          <w:p w:rsidR="0014184E" w:rsidRPr="0014184E" w:rsidRDefault="0014184E" w:rsidP="0014184E">
            <w:pPr>
              <w:jc w:val="center"/>
              <w:rPr>
                <w:sz w:val="18"/>
                <w:szCs w:val="18"/>
              </w:rPr>
            </w:pPr>
            <w:r w:rsidRPr="0014184E">
              <w:rPr>
                <w:sz w:val="18"/>
                <w:szCs w:val="18"/>
              </w:rPr>
              <w:t>%</w:t>
            </w:r>
          </w:p>
        </w:tc>
        <w:tc>
          <w:tcPr>
            <w:tcW w:w="993" w:type="dxa"/>
            <w:vAlign w:val="center"/>
          </w:tcPr>
          <w:p w:rsidR="0014184E" w:rsidRPr="0014184E" w:rsidRDefault="0014184E" w:rsidP="0014184E">
            <w:pPr>
              <w:jc w:val="center"/>
              <w:rPr>
                <w:b/>
                <w:bCs/>
                <w:sz w:val="18"/>
                <w:szCs w:val="18"/>
              </w:rPr>
            </w:pPr>
            <w:r w:rsidRPr="0014184E">
              <w:rPr>
                <w:b/>
                <w:bCs/>
                <w:sz w:val="18"/>
                <w:szCs w:val="18"/>
              </w:rPr>
              <w:t>Итого акцизы на 2023 год</w:t>
            </w:r>
          </w:p>
        </w:tc>
        <w:tc>
          <w:tcPr>
            <w:tcW w:w="881" w:type="dxa"/>
            <w:vAlign w:val="center"/>
          </w:tcPr>
          <w:p w:rsidR="0014184E" w:rsidRPr="0014184E" w:rsidRDefault="0014184E" w:rsidP="0014184E">
            <w:pPr>
              <w:ind w:left="-130" w:right="-143"/>
              <w:jc w:val="center"/>
              <w:rPr>
                <w:sz w:val="18"/>
                <w:szCs w:val="18"/>
              </w:rPr>
            </w:pPr>
            <w:r w:rsidRPr="0014184E">
              <w:rPr>
                <w:sz w:val="18"/>
                <w:szCs w:val="18"/>
              </w:rPr>
              <w:t>в том числе акцизы на экспорт/ вычет по винома-териалам</w:t>
            </w:r>
          </w:p>
        </w:tc>
        <w:tc>
          <w:tcPr>
            <w:tcW w:w="851" w:type="dxa"/>
            <w:vAlign w:val="center"/>
          </w:tcPr>
          <w:p w:rsidR="0014184E" w:rsidRPr="0014184E" w:rsidRDefault="0014184E" w:rsidP="0014184E">
            <w:pPr>
              <w:ind w:left="-110" w:right="-106"/>
              <w:jc w:val="center"/>
              <w:rPr>
                <w:b/>
                <w:bCs/>
                <w:sz w:val="18"/>
                <w:szCs w:val="18"/>
              </w:rPr>
            </w:pPr>
            <w:r w:rsidRPr="0014184E">
              <w:rPr>
                <w:b/>
                <w:bCs/>
                <w:sz w:val="18"/>
                <w:szCs w:val="18"/>
              </w:rPr>
              <w:t>Прогноз на 2023 год.</w:t>
            </w:r>
          </w:p>
        </w:tc>
      </w:tr>
      <w:tr w:rsidR="0014184E" w:rsidRPr="0014184E" w:rsidTr="008A253E">
        <w:trPr>
          <w:trHeight w:val="225"/>
          <w:tblHeader/>
        </w:trPr>
        <w:tc>
          <w:tcPr>
            <w:tcW w:w="3114" w:type="dxa"/>
            <w:vAlign w:val="center"/>
          </w:tcPr>
          <w:p w:rsidR="0014184E" w:rsidRPr="0014184E" w:rsidRDefault="0014184E" w:rsidP="0014184E">
            <w:pPr>
              <w:jc w:val="center"/>
              <w:rPr>
                <w:sz w:val="18"/>
                <w:szCs w:val="18"/>
              </w:rPr>
            </w:pPr>
            <w:r w:rsidRPr="0014184E">
              <w:rPr>
                <w:sz w:val="18"/>
                <w:szCs w:val="18"/>
              </w:rPr>
              <w:t>1</w:t>
            </w:r>
          </w:p>
        </w:tc>
        <w:tc>
          <w:tcPr>
            <w:tcW w:w="769" w:type="dxa"/>
            <w:vAlign w:val="center"/>
          </w:tcPr>
          <w:p w:rsidR="0014184E" w:rsidRPr="0014184E" w:rsidRDefault="0014184E" w:rsidP="0014184E">
            <w:pPr>
              <w:jc w:val="center"/>
              <w:rPr>
                <w:sz w:val="18"/>
                <w:szCs w:val="18"/>
              </w:rPr>
            </w:pPr>
            <w:r w:rsidRPr="0014184E">
              <w:rPr>
                <w:sz w:val="18"/>
                <w:szCs w:val="18"/>
              </w:rPr>
              <w:t>2</w:t>
            </w:r>
          </w:p>
        </w:tc>
        <w:tc>
          <w:tcPr>
            <w:tcW w:w="747" w:type="dxa"/>
            <w:vAlign w:val="center"/>
          </w:tcPr>
          <w:p w:rsidR="0014184E" w:rsidRPr="0014184E" w:rsidRDefault="0014184E" w:rsidP="0014184E">
            <w:pPr>
              <w:jc w:val="center"/>
              <w:rPr>
                <w:sz w:val="18"/>
                <w:szCs w:val="18"/>
              </w:rPr>
            </w:pPr>
            <w:r w:rsidRPr="0014184E">
              <w:rPr>
                <w:sz w:val="18"/>
                <w:szCs w:val="18"/>
              </w:rPr>
              <w:t>3</w:t>
            </w:r>
          </w:p>
        </w:tc>
        <w:tc>
          <w:tcPr>
            <w:tcW w:w="979" w:type="dxa"/>
            <w:vAlign w:val="center"/>
          </w:tcPr>
          <w:p w:rsidR="0014184E" w:rsidRPr="0014184E" w:rsidRDefault="0014184E" w:rsidP="0014184E">
            <w:pPr>
              <w:jc w:val="center"/>
              <w:rPr>
                <w:sz w:val="18"/>
                <w:szCs w:val="18"/>
              </w:rPr>
            </w:pPr>
            <w:r w:rsidRPr="0014184E">
              <w:rPr>
                <w:sz w:val="18"/>
                <w:szCs w:val="18"/>
              </w:rPr>
              <w:t>4</w:t>
            </w:r>
          </w:p>
        </w:tc>
        <w:tc>
          <w:tcPr>
            <w:tcW w:w="1018" w:type="dxa"/>
            <w:vAlign w:val="center"/>
          </w:tcPr>
          <w:p w:rsidR="0014184E" w:rsidRPr="0014184E" w:rsidRDefault="0014184E" w:rsidP="0014184E">
            <w:pPr>
              <w:jc w:val="center"/>
              <w:rPr>
                <w:sz w:val="18"/>
                <w:szCs w:val="18"/>
              </w:rPr>
            </w:pPr>
            <w:r w:rsidRPr="0014184E">
              <w:rPr>
                <w:sz w:val="18"/>
                <w:szCs w:val="18"/>
              </w:rPr>
              <w:t>5=2*4</w:t>
            </w:r>
          </w:p>
        </w:tc>
        <w:tc>
          <w:tcPr>
            <w:tcW w:w="1227" w:type="dxa"/>
            <w:vAlign w:val="center"/>
          </w:tcPr>
          <w:p w:rsidR="0014184E" w:rsidRPr="0014184E" w:rsidRDefault="0014184E" w:rsidP="0014184E">
            <w:pPr>
              <w:jc w:val="center"/>
              <w:rPr>
                <w:sz w:val="18"/>
                <w:szCs w:val="18"/>
                <w:lang w:val="en-US"/>
              </w:rPr>
            </w:pPr>
            <w:r w:rsidRPr="0014184E">
              <w:rPr>
                <w:sz w:val="18"/>
                <w:szCs w:val="18"/>
                <w:lang w:val="en-US"/>
              </w:rPr>
              <w:t>6</w:t>
            </w:r>
          </w:p>
        </w:tc>
        <w:tc>
          <w:tcPr>
            <w:tcW w:w="1224" w:type="dxa"/>
            <w:vAlign w:val="center"/>
          </w:tcPr>
          <w:p w:rsidR="0014184E" w:rsidRPr="0014184E" w:rsidRDefault="0014184E" w:rsidP="0014184E">
            <w:pPr>
              <w:jc w:val="center"/>
              <w:rPr>
                <w:sz w:val="18"/>
                <w:szCs w:val="18"/>
                <w:lang w:val="en-US"/>
              </w:rPr>
            </w:pPr>
            <w:r w:rsidRPr="0014184E">
              <w:rPr>
                <w:sz w:val="18"/>
                <w:szCs w:val="18"/>
                <w:lang w:val="en-US"/>
              </w:rPr>
              <w:t>7</w:t>
            </w:r>
          </w:p>
        </w:tc>
        <w:tc>
          <w:tcPr>
            <w:tcW w:w="951" w:type="dxa"/>
            <w:vAlign w:val="center"/>
          </w:tcPr>
          <w:p w:rsidR="0014184E" w:rsidRPr="0014184E" w:rsidRDefault="0014184E" w:rsidP="0014184E">
            <w:pPr>
              <w:jc w:val="center"/>
              <w:rPr>
                <w:sz w:val="18"/>
                <w:szCs w:val="18"/>
                <w:lang w:val="en-US"/>
              </w:rPr>
            </w:pPr>
            <w:r w:rsidRPr="0014184E">
              <w:rPr>
                <w:sz w:val="18"/>
                <w:szCs w:val="18"/>
                <w:lang w:val="en-US"/>
              </w:rPr>
              <w:t>8</w:t>
            </w:r>
            <w:r w:rsidRPr="0014184E">
              <w:rPr>
                <w:sz w:val="18"/>
                <w:szCs w:val="18"/>
              </w:rPr>
              <w:t>=</w:t>
            </w:r>
            <w:r w:rsidRPr="0014184E">
              <w:rPr>
                <w:sz w:val="18"/>
                <w:szCs w:val="18"/>
                <w:lang w:val="en-US"/>
              </w:rPr>
              <w:t>5</w:t>
            </w:r>
            <w:r w:rsidRPr="0014184E">
              <w:rPr>
                <w:sz w:val="18"/>
                <w:szCs w:val="18"/>
              </w:rPr>
              <w:t>+</w:t>
            </w:r>
            <w:r w:rsidRPr="0014184E">
              <w:rPr>
                <w:sz w:val="18"/>
                <w:szCs w:val="18"/>
                <w:lang w:val="en-US"/>
              </w:rPr>
              <w:t>6</w:t>
            </w:r>
            <w:r w:rsidRPr="0014184E">
              <w:rPr>
                <w:sz w:val="18"/>
                <w:szCs w:val="18"/>
              </w:rPr>
              <w:t>-</w:t>
            </w:r>
            <w:r w:rsidRPr="0014184E">
              <w:rPr>
                <w:sz w:val="18"/>
                <w:szCs w:val="18"/>
                <w:lang w:val="en-US"/>
              </w:rPr>
              <w:t>7</w:t>
            </w:r>
          </w:p>
        </w:tc>
        <w:tc>
          <w:tcPr>
            <w:tcW w:w="975" w:type="dxa"/>
            <w:vAlign w:val="center"/>
          </w:tcPr>
          <w:p w:rsidR="0014184E" w:rsidRPr="0014184E" w:rsidRDefault="0014184E" w:rsidP="0014184E">
            <w:pPr>
              <w:jc w:val="center"/>
              <w:rPr>
                <w:sz w:val="18"/>
                <w:szCs w:val="18"/>
                <w:lang w:val="en-US"/>
              </w:rPr>
            </w:pPr>
            <w:r w:rsidRPr="0014184E">
              <w:rPr>
                <w:sz w:val="18"/>
                <w:szCs w:val="18"/>
                <w:lang w:val="en-US"/>
              </w:rPr>
              <w:t>9</w:t>
            </w:r>
          </w:p>
        </w:tc>
        <w:tc>
          <w:tcPr>
            <w:tcW w:w="867" w:type="dxa"/>
          </w:tcPr>
          <w:p w:rsidR="0014184E" w:rsidRPr="0014184E" w:rsidRDefault="0014184E" w:rsidP="0014184E">
            <w:pPr>
              <w:jc w:val="center"/>
              <w:rPr>
                <w:sz w:val="18"/>
                <w:szCs w:val="18"/>
              </w:rPr>
            </w:pPr>
            <w:r w:rsidRPr="0014184E">
              <w:rPr>
                <w:sz w:val="18"/>
                <w:szCs w:val="18"/>
              </w:rPr>
              <w:t>10</w:t>
            </w:r>
          </w:p>
        </w:tc>
        <w:tc>
          <w:tcPr>
            <w:tcW w:w="993" w:type="dxa"/>
            <w:vAlign w:val="center"/>
          </w:tcPr>
          <w:p w:rsidR="0014184E" w:rsidRPr="0014184E" w:rsidRDefault="0014184E" w:rsidP="0014184E">
            <w:pPr>
              <w:jc w:val="center"/>
              <w:rPr>
                <w:sz w:val="18"/>
                <w:szCs w:val="18"/>
              </w:rPr>
            </w:pPr>
            <w:r w:rsidRPr="0014184E">
              <w:rPr>
                <w:sz w:val="18"/>
                <w:szCs w:val="18"/>
              </w:rPr>
              <w:t>11</w:t>
            </w:r>
          </w:p>
        </w:tc>
        <w:tc>
          <w:tcPr>
            <w:tcW w:w="881" w:type="dxa"/>
            <w:noWrap/>
            <w:vAlign w:val="center"/>
          </w:tcPr>
          <w:p w:rsidR="0014184E" w:rsidRPr="0014184E" w:rsidRDefault="0014184E" w:rsidP="0014184E">
            <w:pPr>
              <w:jc w:val="center"/>
              <w:rPr>
                <w:sz w:val="18"/>
                <w:szCs w:val="18"/>
              </w:rPr>
            </w:pPr>
            <w:r w:rsidRPr="0014184E">
              <w:rPr>
                <w:sz w:val="18"/>
                <w:szCs w:val="18"/>
              </w:rPr>
              <w:t>12</w:t>
            </w:r>
          </w:p>
        </w:tc>
        <w:tc>
          <w:tcPr>
            <w:tcW w:w="851" w:type="dxa"/>
            <w:noWrap/>
            <w:vAlign w:val="center"/>
          </w:tcPr>
          <w:p w:rsidR="0014184E" w:rsidRPr="0014184E" w:rsidRDefault="0014184E" w:rsidP="0014184E">
            <w:pPr>
              <w:ind w:left="-110" w:right="-106"/>
              <w:jc w:val="center"/>
              <w:rPr>
                <w:sz w:val="18"/>
                <w:szCs w:val="18"/>
              </w:rPr>
            </w:pPr>
            <w:r w:rsidRPr="0014184E">
              <w:rPr>
                <w:sz w:val="18"/>
                <w:szCs w:val="18"/>
                <w:lang w:val="en-US"/>
              </w:rPr>
              <w:t>1</w:t>
            </w:r>
            <w:r w:rsidRPr="0014184E">
              <w:rPr>
                <w:sz w:val="18"/>
                <w:szCs w:val="18"/>
              </w:rPr>
              <w:t>3=11-12</w:t>
            </w:r>
          </w:p>
        </w:tc>
      </w:tr>
      <w:tr w:rsidR="0014184E" w:rsidRPr="0014184E" w:rsidTr="008A253E">
        <w:trPr>
          <w:trHeight w:val="839"/>
        </w:trPr>
        <w:tc>
          <w:tcPr>
            <w:tcW w:w="3114" w:type="dxa"/>
            <w:vAlign w:val="bottom"/>
          </w:tcPr>
          <w:p w:rsidR="0014184E" w:rsidRPr="0014184E" w:rsidRDefault="0014184E" w:rsidP="0014184E">
            <w:pPr>
              <w:autoSpaceDE w:val="0"/>
              <w:autoSpaceDN w:val="0"/>
              <w:adjustRightInd w:val="0"/>
              <w:jc w:val="both"/>
              <w:rPr>
                <w:b/>
                <w:sz w:val="18"/>
                <w:szCs w:val="18"/>
              </w:rPr>
            </w:pPr>
            <w:r w:rsidRPr="0014184E">
              <w:rPr>
                <w:rFonts w:eastAsiaTheme="minorHAnsi"/>
                <w:b/>
                <w:sz w:val="18"/>
                <w:szCs w:val="18"/>
              </w:rPr>
              <w:t>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производимые на территории Российской Федерации, кроме производимых из подакцизного винограда</w:t>
            </w:r>
          </w:p>
        </w:tc>
        <w:tc>
          <w:tcPr>
            <w:tcW w:w="769" w:type="dxa"/>
            <w:vAlign w:val="center"/>
          </w:tcPr>
          <w:p w:rsidR="0014184E" w:rsidRPr="0014184E" w:rsidRDefault="0014184E" w:rsidP="0014184E">
            <w:pPr>
              <w:jc w:val="center"/>
              <w:rPr>
                <w:b/>
                <w:sz w:val="18"/>
                <w:szCs w:val="18"/>
              </w:rPr>
            </w:pPr>
            <w:r w:rsidRPr="0014184E">
              <w:rPr>
                <w:b/>
                <w:sz w:val="18"/>
                <w:szCs w:val="18"/>
              </w:rPr>
              <w:t>200</w:t>
            </w:r>
          </w:p>
        </w:tc>
        <w:tc>
          <w:tcPr>
            <w:tcW w:w="747" w:type="dxa"/>
            <w:vAlign w:val="center"/>
          </w:tcPr>
          <w:p w:rsidR="0014184E" w:rsidRPr="0014184E" w:rsidRDefault="0014184E" w:rsidP="0014184E">
            <w:pPr>
              <w:jc w:val="center"/>
              <w:rPr>
                <w:b/>
                <w:sz w:val="18"/>
                <w:szCs w:val="18"/>
              </w:rPr>
            </w:pPr>
            <w:r w:rsidRPr="0014184E">
              <w:rPr>
                <w:b/>
                <w:sz w:val="18"/>
                <w:szCs w:val="18"/>
              </w:rPr>
              <w:t>х</w:t>
            </w:r>
          </w:p>
        </w:tc>
        <w:tc>
          <w:tcPr>
            <w:tcW w:w="979" w:type="dxa"/>
            <w:vAlign w:val="center"/>
          </w:tcPr>
          <w:p w:rsidR="0014184E" w:rsidRPr="0014184E" w:rsidRDefault="0014184E" w:rsidP="0014184E">
            <w:pPr>
              <w:jc w:val="center"/>
              <w:rPr>
                <w:b/>
                <w:sz w:val="18"/>
                <w:szCs w:val="18"/>
              </w:rPr>
            </w:pPr>
            <w:r w:rsidRPr="0014184E">
              <w:rPr>
                <w:b/>
                <w:sz w:val="18"/>
                <w:szCs w:val="18"/>
              </w:rPr>
              <w:t>х</w:t>
            </w:r>
          </w:p>
        </w:tc>
        <w:tc>
          <w:tcPr>
            <w:tcW w:w="1018" w:type="dxa"/>
            <w:vAlign w:val="center"/>
          </w:tcPr>
          <w:p w:rsidR="0014184E" w:rsidRPr="0014184E" w:rsidRDefault="0014184E" w:rsidP="0014184E">
            <w:pPr>
              <w:jc w:val="center"/>
              <w:rPr>
                <w:b/>
                <w:sz w:val="18"/>
                <w:szCs w:val="18"/>
              </w:rPr>
            </w:pPr>
            <w:r w:rsidRPr="0014184E">
              <w:rPr>
                <w:b/>
                <w:sz w:val="18"/>
                <w:szCs w:val="18"/>
              </w:rPr>
              <w:t>71 300</w:t>
            </w:r>
          </w:p>
        </w:tc>
        <w:tc>
          <w:tcPr>
            <w:tcW w:w="1227" w:type="dxa"/>
            <w:vAlign w:val="center"/>
          </w:tcPr>
          <w:p w:rsidR="0014184E" w:rsidRPr="0014184E" w:rsidRDefault="0014184E" w:rsidP="0014184E">
            <w:pPr>
              <w:jc w:val="center"/>
              <w:rPr>
                <w:b/>
                <w:sz w:val="18"/>
                <w:szCs w:val="18"/>
              </w:rPr>
            </w:pPr>
            <w:r w:rsidRPr="0014184E">
              <w:rPr>
                <w:b/>
                <w:sz w:val="18"/>
                <w:szCs w:val="18"/>
              </w:rPr>
              <w:t>5 695</w:t>
            </w:r>
          </w:p>
        </w:tc>
        <w:tc>
          <w:tcPr>
            <w:tcW w:w="1224" w:type="dxa"/>
            <w:vAlign w:val="center"/>
          </w:tcPr>
          <w:p w:rsidR="0014184E" w:rsidRPr="0014184E" w:rsidRDefault="0014184E" w:rsidP="0014184E">
            <w:pPr>
              <w:jc w:val="center"/>
              <w:rPr>
                <w:b/>
                <w:sz w:val="18"/>
                <w:szCs w:val="18"/>
              </w:rPr>
            </w:pPr>
            <w:r w:rsidRPr="0014184E">
              <w:rPr>
                <w:b/>
                <w:sz w:val="18"/>
                <w:szCs w:val="18"/>
              </w:rPr>
              <w:t>5 885</w:t>
            </w:r>
          </w:p>
        </w:tc>
        <w:tc>
          <w:tcPr>
            <w:tcW w:w="951" w:type="dxa"/>
            <w:vAlign w:val="center"/>
          </w:tcPr>
          <w:p w:rsidR="0014184E" w:rsidRPr="0014184E" w:rsidRDefault="0014184E" w:rsidP="0014184E">
            <w:pPr>
              <w:jc w:val="center"/>
              <w:rPr>
                <w:b/>
                <w:sz w:val="18"/>
                <w:szCs w:val="18"/>
              </w:rPr>
            </w:pPr>
            <w:r w:rsidRPr="0014184E">
              <w:rPr>
                <w:b/>
                <w:sz w:val="18"/>
                <w:szCs w:val="18"/>
              </w:rPr>
              <w:t>71 110</w:t>
            </w:r>
          </w:p>
        </w:tc>
        <w:tc>
          <w:tcPr>
            <w:tcW w:w="975" w:type="dxa"/>
            <w:vAlign w:val="center"/>
          </w:tcPr>
          <w:p w:rsidR="0014184E" w:rsidRPr="0014184E" w:rsidRDefault="0014184E" w:rsidP="0014184E">
            <w:pPr>
              <w:jc w:val="center"/>
              <w:rPr>
                <w:b/>
                <w:sz w:val="18"/>
                <w:szCs w:val="18"/>
                <w:lang w:val="en-US"/>
              </w:rPr>
            </w:pPr>
            <w:r w:rsidRPr="0014184E">
              <w:rPr>
                <w:b/>
                <w:sz w:val="18"/>
                <w:szCs w:val="18"/>
                <w:lang w:val="en-US"/>
              </w:rPr>
              <w:t>100</w:t>
            </w:r>
          </w:p>
        </w:tc>
        <w:tc>
          <w:tcPr>
            <w:tcW w:w="867" w:type="dxa"/>
            <w:vAlign w:val="center"/>
          </w:tcPr>
          <w:p w:rsidR="0014184E" w:rsidRPr="0014184E" w:rsidRDefault="0014184E" w:rsidP="0014184E">
            <w:pPr>
              <w:jc w:val="center"/>
              <w:rPr>
                <w:b/>
                <w:sz w:val="18"/>
                <w:szCs w:val="18"/>
              </w:rPr>
            </w:pPr>
            <w:r w:rsidRPr="0014184E">
              <w:rPr>
                <w:b/>
                <w:sz w:val="18"/>
                <w:szCs w:val="18"/>
              </w:rPr>
              <w:t>100</w:t>
            </w:r>
          </w:p>
        </w:tc>
        <w:tc>
          <w:tcPr>
            <w:tcW w:w="993" w:type="dxa"/>
            <w:vAlign w:val="center"/>
          </w:tcPr>
          <w:p w:rsidR="0014184E" w:rsidRPr="0014184E" w:rsidRDefault="0014184E" w:rsidP="0014184E">
            <w:pPr>
              <w:jc w:val="center"/>
              <w:rPr>
                <w:b/>
                <w:sz w:val="18"/>
                <w:szCs w:val="18"/>
              </w:rPr>
            </w:pPr>
            <w:r w:rsidRPr="0014184E">
              <w:rPr>
                <w:b/>
                <w:sz w:val="18"/>
                <w:szCs w:val="18"/>
              </w:rPr>
              <w:t>71 110</w:t>
            </w:r>
          </w:p>
        </w:tc>
        <w:tc>
          <w:tcPr>
            <w:tcW w:w="881" w:type="dxa"/>
            <w:noWrap/>
            <w:vAlign w:val="center"/>
          </w:tcPr>
          <w:p w:rsidR="0014184E" w:rsidRPr="0014184E" w:rsidRDefault="0014184E" w:rsidP="0014184E">
            <w:pPr>
              <w:jc w:val="center"/>
              <w:rPr>
                <w:b/>
                <w:sz w:val="18"/>
                <w:szCs w:val="18"/>
              </w:rPr>
            </w:pPr>
            <w:r w:rsidRPr="0014184E">
              <w:rPr>
                <w:b/>
                <w:sz w:val="18"/>
                <w:szCs w:val="18"/>
              </w:rPr>
              <w:t>30 600</w:t>
            </w:r>
          </w:p>
        </w:tc>
        <w:tc>
          <w:tcPr>
            <w:tcW w:w="851" w:type="dxa"/>
            <w:noWrap/>
            <w:vAlign w:val="center"/>
          </w:tcPr>
          <w:p w:rsidR="0014184E" w:rsidRPr="0014184E" w:rsidRDefault="0014184E" w:rsidP="0014184E">
            <w:pPr>
              <w:jc w:val="center"/>
              <w:rPr>
                <w:b/>
                <w:sz w:val="18"/>
                <w:szCs w:val="18"/>
              </w:rPr>
            </w:pPr>
            <w:r w:rsidRPr="0014184E">
              <w:rPr>
                <w:b/>
                <w:sz w:val="18"/>
                <w:szCs w:val="18"/>
              </w:rPr>
              <w:t>40 510</w:t>
            </w:r>
          </w:p>
        </w:tc>
      </w:tr>
      <w:tr w:rsidR="0014184E" w:rsidRPr="0014184E" w:rsidTr="008A253E">
        <w:trPr>
          <w:trHeight w:val="825"/>
        </w:trPr>
        <w:tc>
          <w:tcPr>
            <w:tcW w:w="3114" w:type="dxa"/>
            <w:vAlign w:val="bottom"/>
          </w:tcPr>
          <w:p w:rsidR="0014184E" w:rsidRPr="0014184E" w:rsidRDefault="0014184E" w:rsidP="0014184E">
            <w:pPr>
              <w:rPr>
                <w:sz w:val="18"/>
                <w:szCs w:val="18"/>
              </w:rPr>
            </w:pPr>
            <w:r w:rsidRPr="0014184E">
              <w:rPr>
                <w:sz w:val="18"/>
                <w:szCs w:val="18"/>
              </w:rPr>
              <w:t>Вина</w:t>
            </w:r>
          </w:p>
        </w:tc>
        <w:tc>
          <w:tcPr>
            <w:tcW w:w="769" w:type="dxa"/>
            <w:vAlign w:val="center"/>
          </w:tcPr>
          <w:p w:rsidR="0014184E" w:rsidRPr="0014184E" w:rsidRDefault="0014184E" w:rsidP="0014184E">
            <w:pPr>
              <w:jc w:val="center"/>
              <w:rPr>
                <w:sz w:val="18"/>
                <w:szCs w:val="18"/>
              </w:rPr>
            </w:pPr>
            <w:r w:rsidRPr="0014184E">
              <w:rPr>
                <w:sz w:val="18"/>
                <w:szCs w:val="18"/>
              </w:rPr>
              <w:t>170</w:t>
            </w:r>
          </w:p>
        </w:tc>
        <w:tc>
          <w:tcPr>
            <w:tcW w:w="747" w:type="dxa"/>
            <w:vAlign w:val="center"/>
          </w:tcPr>
          <w:p w:rsidR="0014184E" w:rsidRPr="0014184E" w:rsidRDefault="0014184E" w:rsidP="0014184E">
            <w:pPr>
              <w:jc w:val="center"/>
              <w:rPr>
                <w:sz w:val="18"/>
                <w:szCs w:val="18"/>
              </w:rPr>
            </w:pPr>
            <w:r w:rsidRPr="0014184E">
              <w:rPr>
                <w:sz w:val="18"/>
                <w:szCs w:val="18"/>
              </w:rPr>
              <w:t>34</w:t>
            </w:r>
          </w:p>
        </w:tc>
        <w:tc>
          <w:tcPr>
            <w:tcW w:w="979" w:type="dxa"/>
            <w:vAlign w:val="center"/>
          </w:tcPr>
          <w:p w:rsidR="0014184E" w:rsidRPr="0014184E" w:rsidRDefault="0014184E" w:rsidP="0014184E">
            <w:pPr>
              <w:jc w:val="center"/>
              <w:rPr>
                <w:sz w:val="18"/>
                <w:szCs w:val="18"/>
              </w:rPr>
            </w:pPr>
            <w:r w:rsidRPr="0014184E">
              <w:rPr>
                <w:sz w:val="18"/>
                <w:szCs w:val="18"/>
              </w:rPr>
              <w:t>340</w:t>
            </w:r>
          </w:p>
        </w:tc>
        <w:tc>
          <w:tcPr>
            <w:tcW w:w="1018" w:type="dxa"/>
            <w:vAlign w:val="center"/>
          </w:tcPr>
          <w:p w:rsidR="0014184E" w:rsidRPr="0014184E" w:rsidRDefault="0014184E" w:rsidP="0014184E">
            <w:pPr>
              <w:jc w:val="center"/>
              <w:rPr>
                <w:sz w:val="18"/>
                <w:szCs w:val="18"/>
              </w:rPr>
            </w:pPr>
            <w:r w:rsidRPr="0014184E">
              <w:rPr>
                <w:sz w:val="18"/>
                <w:szCs w:val="18"/>
              </w:rPr>
              <w:t>57 800</w:t>
            </w:r>
          </w:p>
        </w:tc>
        <w:tc>
          <w:tcPr>
            <w:tcW w:w="1227" w:type="dxa"/>
            <w:vAlign w:val="center"/>
          </w:tcPr>
          <w:p w:rsidR="0014184E" w:rsidRPr="0014184E" w:rsidRDefault="0014184E" w:rsidP="0014184E">
            <w:pPr>
              <w:ind w:left="-107" w:right="-109"/>
              <w:jc w:val="center"/>
              <w:rPr>
                <w:sz w:val="18"/>
                <w:szCs w:val="18"/>
              </w:rPr>
            </w:pPr>
            <w:r w:rsidRPr="0014184E">
              <w:rPr>
                <w:sz w:val="18"/>
                <w:szCs w:val="18"/>
              </w:rPr>
              <w:t>4 620</w:t>
            </w:r>
          </w:p>
          <w:p w:rsidR="0014184E" w:rsidRPr="0014184E" w:rsidRDefault="0014184E" w:rsidP="0014184E">
            <w:pPr>
              <w:ind w:left="-107" w:right="-109"/>
              <w:jc w:val="center"/>
              <w:rPr>
                <w:sz w:val="18"/>
                <w:szCs w:val="18"/>
              </w:rPr>
            </w:pPr>
            <w:r w:rsidRPr="0014184E">
              <w:rPr>
                <w:sz w:val="18"/>
                <w:szCs w:val="18"/>
              </w:rPr>
              <w:t>ставка 33 руб. за 1 л.</w:t>
            </w:r>
          </w:p>
        </w:tc>
        <w:tc>
          <w:tcPr>
            <w:tcW w:w="1224" w:type="dxa"/>
            <w:vAlign w:val="center"/>
          </w:tcPr>
          <w:p w:rsidR="0014184E" w:rsidRPr="0014184E" w:rsidRDefault="0014184E" w:rsidP="0014184E">
            <w:pPr>
              <w:jc w:val="center"/>
              <w:rPr>
                <w:sz w:val="18"/>
                <w:szCs w:val="18"/>
              </w:rPr>
            </w:pPr>
            <w:r w:rsidRPr="0014184E">
              <w:rPr>
                <w:sz w:val="18"/>
                <w:szCs w:val="18"/>
              </w:rPr>
              <w:t>4 760</w:t>
            </w:r>
          </w:p>
        </w:tc>
        <w:tc>
          <w:tcPr>
            <w:tcW w:w="951" w:type="dxa"/>
            <w:vAlign w:val="center"/>
          </w:tcPr>
          <w:p w:rsidR="0014184E" w:rsidRPr="0014184E" w:rsidRDefault="0014184E" w:rsidP="0014184E">
            <w:pPr>
              <w:jc w:val="center"/>
              <w:rPr>
                <w:sz w:val="18"/>
                <w:szCs w:val="18"/>
              </w:rPr>
            </w:pPr>
            <w:r w:rsidRPr="0014184E">
              <w:rPr>
                <w:sz w:val="18"/>
                <w:szCs w:val="18"/>
              </w:rPr>
              <w:t>57 660</w:t>
            </w:r>
          </w:p>
        </w:tc>
        <w:tc>
          <w:tcPr>
            <w:tcW w:w="975" w:type="dxa"/>
            <w:vAlign w:val="center"/>
          </w:tcPr>
          <w:p w:rsidR="0014184E" w:rsidRPr="0014184E" w:rsidRDefault="0014184E" w:rsidP="0014184E">
            <w:pPr>
              <w:jc w:val="center"/>
              <w:rPr>
                <w:sz w:val="18"/>
                <w:szCs w:val="18"/>
              </w:rPr>
            </w:pPr>
            <w:r w:rsidRPr="0014184E">
              <w:rPr>
                <w:sz w:val="18"/>
                <w:szCs w:val="18"/>
              </w:rPr>
              <w:t>100</w:t>
            </w:r>
          </w:p>
        </w:tc>
        <w:tc>
          <w:tcPr>
            <w:tcW w:w="867" w:type="dxa"/>
            <w:vAlign w:val="center"/>
          </w:tcPr>
          <w:p w:rsidR="0014184E" w:rsidRPr="0014184E" w:rsidRDefault="0014184E" w:rsidP="0014184E">
            <w:pPr>
              <w:jc w:val="center"/>
              <w:rPr>
                <w:sz w:val="18"/>
                <w:szCs w:val="18"/>
              </w:rPr>
            </w:pPr>
            <w:r w:rsidRPr="0014184E">
              <w:rPr>
                <w:sz w:val="18"/>
                <w:szCs w:val="18"/>
              </w:rPr>
              <w:t>100</w:t>
            </w:r>
          </w:p>
        </w:tc>
        <w:tc>
          <w:tcPr>
            <w:tcW w:w="993" w:type="dxa"/>
            <w:vAlign w:val="center"/>
          </w:tcPr>
          <w:p w:rsidR="0014184E" w:rsidRPr="0014184E" w:rsidRDefault="0014184E" w:rsidP="0014184E">
            <w:pPr>
              <w:jc w:val="center"/>
              <w:rPr>
                <w:sz w:val="18"/>
                <w:szCs w:val="18"/>
              </w:rPr>
            </w:pPr>
            <w:r w:rsidRPr="0014184E">
              <w:rPr>
                <w:sz w:val="18"/>
                <w:szCs w:val="18"/>
              </w:rPr>
              <w:t>57 660</w:t>
            </w:r>
          </w:p>
        </w:tc>
        <w:tc>
          <w:tcPr>
            <w:tcW w:w="881" w:type="dxa"/>
            <w:noWrap/>
            <w:vAlign w:val="center"/>
          </w:tcPr>
          <w:p w:rsidR="0014184E" w:rsidRPr="0014184E" w:rsidRDefault="0014184E" w:rsidP="0014184E">
            <w:pPr>
              <w:jc w:val="center"/>
              <w:rPr>
                <w:sz w:val="18"/>
                <w:szCs w:val="18"/>
              </w:rPr>
            </w:pPr>
            <w:r w:rsidRPr="0014184E">
              <w:rPr>
                <w:sz w:val="18"/>
                <w:szCs w:val="18"/>
              </w:rPr>
              <w:t>25 367</w:t>
            </w:r>
          </w:p>
        </w:tc>
        <w:tc>
          <w:tcPr>
            <w:tcW w:w="851" w:type="dxa"/>
            <w:noWrap/>
            <w:vAlign w:val="center"/>
          </w:tcPr>
          <w:p w:rsidR="0014184E" w:rsidRPr="0014184E" w:rsidRDefault="0014184E" w:rsidP="0014184E">
            <w:pPr>
              <w:ind w:left="-91" w:right="-72"/>
              <w:jc w:val="center"/>
              <w:rPr>
                <w:sz w:val="18"/>
                <w:szCs w:val="18"/>
              </w:rPr>
            </w:pPr>
            <w:r w:rsidRPr="0014184E">
              <w:rPr>
                <w:sz w:val="18"/>
                <w:szCs w:val="18"/>
              </w:rPr>
              <w:t>32 293</w:t>
            </w:r>
          </w:p>
        </w:tc>
      </w:tr>
      <w:tr w:rsidR="0014184E" w:rsidRPr="0014184E" w:rsidTr="008A253E">
        <w:trPr>
          <w:trHeight w:val="420"/>
        </w:trPr>
        <w:tc>
          <w:tcPr>
            <w:tcW w:w="3114" w:type="dxa"/>
            <w:vAlign w:val="bottom"/>
          </w:tcPr>
          <w:p w:rsidR="0014184E" w:rsidRPr="0014184E" w:rsidRDefault="0014184E" w:rsidP="0014184E">
            <w:pPr>
              <w:rPr>
                <w:sz w:val="18"/>
                <w:szCs w:val="18"/>
              </w:rPr>
            </w:pPr>
            <w:r w:rsidRPr="0014184E">
              <w:rPr>
                <w:sz w:val="18"/>
                <w:szCs w:val="18"/>
              </w:rPr>
              <w:t>Винные напитки</w:t>
            </w:r>
          </w:p>
        </w:tc>
        <w:tc>
          <w:tcPr>
            <w:tcW w:w="769" w:type="dxa"/>
            <w:vAlign w:val="center"/>
          </w:tcPr>
          <w:p w:rsidR="0014184E" w:rsidRPr="0014184E" w:rsidRDefault="0014184E" w:rsidP="0014184E">
            <w:pPr>
              <w:jc w:val="center"/>
              <w:rPr>
                <w:sz w:val="18"/>
                <w:szCs w:val="18"/>
              </w:rPr>
            </w:pPr>
            <w:r w:rsidRPr="0014184E">
              <w:rPr>
                <w:sz w:val="18"/>
                <w:szCs w:val="18"/>
              </w:rPr>
              <w:t>30</w:t>
            </w:r>
          </w:p>
        </w:tc>
        <w:tc>
          <w:tcPr>
            <w:tcW w:w="747" w:type="dxa"/>
            <w:vAlign w:val="center"/>
          </w:tcPr>
          <w:p w:rsidR="0014184E" w:rsidRPr="0014184E" w:rsidRDefault="0014184E" w:rsidP="0014184E">
            <w:pPr>
              <w:jc w:val="center"/>
              <w:rPr>
                <w:sz w:val="18"/>
                <w:szCs w:val="18"/>
              </w:rPr>
            </w:pPr>
            <w:r w:rsidRPr="0014184E">
              <w:rPr>
                <w:sz w:val="18"/>
                <w:szCs w:val="18"/>
              </w:rPr>
              <w:t>45</w:t>
            </w:r>
          </w:p>
        </w:tc>
        <w:tc>
          <w:tcPr>
            <w:tcW w:w="979" w:type="dxa"/>
            <w:vAlign w:val="center"/>
          </w:tcPr>
          <w:p w:rsidR="0014184E" w:rsidRPr="0014184E" w:rsidRDefault="0014184E" w:rsidP="0014184E">
            <w:pPr>
              <w:jc w:val="center"/>
              <w:rPr>
                <w:sz w:val="18"/>
                <w:szCs w:val="18"/>
              </w:rPr>
            </w:pPr>
            <w:r w:rsidRPr="0014184E">
              <w:rPr>
                <w:sz w:val="18"/>
                <w:szCs w:val="18"/>
              </w:rPr>
              <w:t>450</w:t>
            </w:r>
          </w:p>
        </w:tc>
        <w:tc>
          <w:tcPr>
            <w:tcW w:w="1018" w:type="dxa"/>
            <w:vAlign w:val="center"/>
          </w:tcPr>
          <w:p w:rsidR="0014184E" w:rsidRPr="0014184E" w:rsidRDefault="0014184E" w:rsidP="0014184E">
            <w:pPr>
              <w:jc w:val="center"/>
              <w:rPr>
                <w:sz w:val="18"/>
                <w:szCs w:val="18"/>
              </w:rPr>
            </w:pPr>
            <w:r w:rsidRPr="0014184E">
              <w:rPr>
                <w:sz w:val="18"/>
                <w:szCs w:val="18"/>
              </w:rPr>
              <w:t>13 500</w:t>
            </w:r>
          </w:p>
        </w:tc>
        <w:tc>
          <w:tcPr>
            <w:tcW w:w="1227" w:type="dxa"/>
            <w:vAlign w:val="center"/>
          </w:tcPr>
          <w:p w:rsidR="0014184E" w:rsidRPr="0014184E" w:rsidRDefault="0014184E" w:rsidP="0014184E">
            <w:pPr>
              <w:ind w:left="-115" w:right="-123" w:firstLine="8"/>
              <w:jc w:val="center"/>
              <w:rPr>
                <w:sz w:val="18"/>
                <w:szCs w:val="18"/>
              </w:rPr>
            </w:pPr>
            <w:r w:rsidRPr="0014184E">
              <w:rPr>
                <w:sz w:val="18"/>
                <w:szCs w:val="18"/>
              </w:rPr>
              <w:t>1 075</w:t>
            </w:r>
          </w:p>
          <w:p w:rsidR="0014184E" w:rsidRPr="0014184E" w:rsidRDefault="0014184E" w:rsidP="0014184E">
            <w:pPr>
              <w:ind w:left="-115" w:right="-123" w:firstLine="8"/>
              <w:jc w:val="center"/>
              <w:rPr>
                <w:sz w:val="18"/>
                <w:szCs w:val="18"/>
              </w:rPr>
            </w:pPr>
            <w:r w:rsidRPr="0014184E">
              <w:rPr>
                <w:sz w:val="18"/>
                <w:szCs w:val="18"/>
              </w:rPr>
              <w:t>ставка 43 руб. за 1 л.</w:t>
            </w:r>
          </w:p>
        </w:tc>
        <w:tc>
          <w:tcPr>
            <w:tcW w:w="1224" w:type="dxa"/>
            <w:vAlign w:val="center"/>
          </w:tcPr>
          <w:p w:rsidR="0014184E" w:rsidRPr="0014184E" w:rsidRDefault="0014184E" w:rsidP="0014184E">
            <w:pPr>
              <w:jc w:val="center"/>
              <w:rPr>
                <w:sz w:val="18"/>
                <w:szCs w:val="18"/>
              </w:rPr>
            </w:pPr>
            <w:r w:rsidRPr="0014184E">
              <w:rPr>
                <w:sz w:val="18"/>
                <w:szCs w:val="18"/>
              </w:rPr>
              <w:t>1 125</w:t>
            </w:r>
          </w:p>
        </w:tc>
        <w:tc>
          <w:tcPr>
            <w:tcW w:w="951" w:type="dxa"/>
            <w:vAlign w:val="center"/>
          </w:tcPr>
          <w:p w:rsidR="0014184E" w:rsidRPr="0014184E" w:rsidRDefault="0014184E" w:rsidP="0014184E">
            <w:pPr>
              <w:jc w:val="center"/>
              <w:rPr>
                <w:sz w:val="18"/>
                <w:szCs w:val="18"/>
              </w:rPr>
            </w:pPr>
            <w:r w:rsidRPr="0014184E">
              <w:rPr>
                <w:sz w:val="18"/>
                <w:szCs w:val="18"/>
              </w:rPr>
              <w:t>13 450</w:t>
            </w:r>
          </w:p>
        </w:tc>
        <w:tc>
          <w:tcPr>
            <w:tcW w:w="975" w:type="dxa"/>
            <w:vAlign w:val="center"/>
          </w:tcPr>
          <w:p w:rsidR="0014184E" w:rsidRPr="0014184E" w:rsidRDefault="0014184E" w:rsidP="0014184E">
            <w:pPr>
              <w:jc w:val="center"/>
              <w:rPr>
                <w:sz w:val="18"/>
                <w:szCs w:val="18"/>
              </w:rPr>
            </w:pPr>
            <w:r w:rsidRPr="0014184E">
              <w:rPr>
                <w:sz w:val="18"/>
                <w:szCs w:val="18"/>
              </w:rPr>
              <w:t>100</w:t>
            </w:r>
          </w:p>
        </w:tc>
        <w:tc>
          <w:tcPr>
            <w:tcW w:w="867" w:type="dxa"/>
            <w:vAlign w:val="center"/>
          </w:tcPr>
          <w:p w:rsidR="0014184E" w:rsidRPr="0014184E" w:rsidRDefault="0014184E" w:rsidP="0014184E">
            <w:pPr>
              <w:jc w:val="center"/>
            </w:pPr>
            <w:r w:rsidRPr="0014184E">
              <w:rPr>
                <w:sz w:val="18"/>
                <w:szCs w:val="18"/>
              </w:rPr>
              <w:t>100</w:t>
            </w:r>
          </w:p>
        </w:tc>
        <w:tc>
          <w:tcPr>
            <w:tcW w:w="993" w:type="dxa"/>
            <w:vAlign w:val="center"/>
          </w:tcPr>
          <w:p w:rsidR="0014184E" w:rsidRPr="0014184E" w:rsidRDefault="0014184E" w:rsidP="0014184E">
            <w:pPr>
              <w:jc w:val="center"/>
              <w:rPr>
                <w:sz w:val="18"/>
                <w:szCs w:val="18"/>
              </w:rPr>
            </w:pPr>
            <w:r w:rsidRPr="0014184E">
              <w:rPr>
                <w:sz w:val="18"/>
                <w:szCs w:val="18"/>
              </w:rPr>
              <w:t>13 450</w:t>
            </w:r>
          </w:p>
        </w:tc>
        <w:tc>
          <w:tcPr>
            <w:tcW w:w="881" w:type="dxa"/>
            <w:noWrap/>
            <w:vAlign w:val="center"/>
          </w:tcPr>
          <w:p w:rsidR="0014184E" w:rsidRPr="0014184E" w:rsidRDefault="0014184E" w:rsidP="0014184E">
            <w:pPr>
              <w:jc w:val="center"/>
              <w:rPr>
                <w:sz w:val="18"/>
                <w:szCs w:val="18"/>
              </w:rPr>
            </w:pPr>
            <w:r w:rsidRPr="0014184E">
              <w:rPr>
                <w:sz w:val="18"/>
                <w:szCs w:val="18"/>
              </w:rPr>
              <w:t>5 233</w:t>
            </w:r>
          </w:p>
        </w:tc>
        <w:tc>
          <w:tcPr>
            <w:tcW w:w="851" w:type="dxa"/>
            <w:noWrap/>
            <w:vAlign w:val="center"/>
          </w:tcPr>
          <w:p w:rsidR="0014184E" w:rsidRPr="0014184E" w:rsidRDefault="0014184E" w:rsidP="0014184E">
            <w:pPr>
              <w:ind w:left="-91" w:right="-72"/>
              <w:jc w:val="center"/>
              <w:rPr>
                <w:sz w:val="18"/>
                <w:szCs w:val="18"/>
              </w:rPr>
            </w:pPr>
            <w:r w:rsidRPr="0014184E">
              <w:rPr>
                <w:sz w:val="18"/>
                <w:szCs w:val="18"/>
              </w:rPr>
              <w:t>8 217</w:t>
            </w:r>
          </w:p>
        </w:tc>
      </w:tr>
      <w:tr w:rsidR="0014184E" w:rsidRPr="0014184E" w:rsidTr="008A253E">
        <w:trPr>
          <w:trHeight w:val="420"/>
        </w:trPr>
        <w:tc>
          <w:tcPr>
            <w:tcW w:w="3114" w:type="dxa"/>
            <w:vAlign w:val="bottom"/>
          </w:tcPr>
          <w:p w:rsidR="0014184E" w:rsidRPr="0014184E" w:rsidRDefault="0014184E" w:rsidP="0014184E">
            <w:pPr>
              <w:rPr>
                <w:b/>
                <w:sz w:val="18"/>
                <w:szCs w:val="18"/>
              </w:rPr>
            </w:pPr>
            <w:r w:rsidRPr="0014184E">
              <w:rPr>
                <w:b/>
                <w:sz w:val="18"/>
                <w:szCs w:val="18"/>
              </w:rPr>
              <w:t>Акцизы на пиво, производимое на территории Российской Федерации</w:t>
            </w:r>
          </w:p>
        </w:tc>
        <w:tc>
          <w:tcPr>
            <w:tcW w:w="769" w:type="dxa"/>
            <w:vAlign w:val="center"/>
          </w:tcPr>
          <w:p w:rsidR="0014184E" w:rsidRPr="0014184E" w:rsidRDefault="0014184E" w:rsidP="0014184E">
            <w:pPr>
              <w:jc w:val="center"/>
              <w:rPr>
                <w:b/>
                <w:sz w:val="18"/>
                <w:szCs w:val="18"/>
              </w:rPr>
            </w:pPr>
            <w:r w:rsidRPr="0014184E">
              <w:rPr>
                <w:b/>
                <w:sz w:val="18"/>
                <w:szCs w:val="18"/>
              </w:rPr>
              <w:t>7 040</w:t>
            </w:r>
          </w:p>
        </w:tc>
        <w:tc>
          <w:tcPr>
            <w:tcW w:w="747" w:type="dxa"/>
            <w:vAlign w:val="center"/>
          </w:tcPr>
          <w:p w:rsidR="0014184E" w:rsidRPr="0014184E" w:rsidRDefault="0014184E" w:rsidP="0014184E">
            <w:pPr>
              <w:jc w:val="center"/>
              <w:rPr>
                <w:b/>
                <w:sz w:val="18"/>
                <w:szCs w:val="18"/>
              </w:rPr>
            </w:pPr>
            <w:r w:rsidRPr="0014184E">
              <w:rPr>
                <w:b/>
                <w:sz w:val="18"/>
                <w:szCs w:val="18"/>
              </w:rPr>
              <w:t>25</w:t>
            </w:r>
          </w:p>
        </w:tc>
        <w:tc>
          <w:tcPr>
            <w:tcW w:w="979" w:type="dxa"/>
            <w:vAlign w:val="center"/>
          </w:tcPr>
          <w:p w:rsidR="0014184E" w:rsidRPr="0014184E" w:rsidRDefault="0014184E" w:rsidP="0014184E">
            <w:pPr>
              <w:jc w:val="center"/>
              <w:rPr>
                <w:b/>
                <w:sz w:val="18"/>
                <w:szCs w:val="18"/>
              </w:rPr>
            </w:pPr>
            <w:r w:rsidRPr="0014184E">
              <w:rPr>
                <w:b/>
                <w:sz w:val="18"/>
                <w:szCs w:val="18"/>
              </w:rPr>
              <w:t>250</w:t>
            </w:r>
          </w:p>
        </w:tc>
        <w:tc>
          <w:tcPr>
            <w:tcW w:w="1018" w:type="dxa"/>
            <w:vAlign w:val="center"/>
          </w:tcPr>
          <w:p w:rsidR="0014184E" w:rsidRPr="0014184E" w:rsidRDefault="0014184E" w:rsidP="0014184E">
            <w:pPr>
              <w:jc w:val="center"/>
              <w:rPr>
                <w:b/>
                <w:sz w:val="18"/>
                <w:szCs w:val="18"/>
              </w:rPr>
            </w:pPr>
            <w:r w:rsidRPr="0014184E">
              <w:rPr>
                <w:b/>
                <w:sz w:val="18"/>
                <w:szCs w:val="18"/>
              </w:rPr>
              <w:t>1 760 000</w:t>
            </w:r>
          </w:p>
        </w:tc>
        <w:tc>
          <w:tcPr>
            <w:tcW w:w="1227" w:type="dxa"/>
            <w:vAlign w:val="center"/>
          </w:tcPr>
          <w:p w:rsidR="0014184E" w:rsidRPr="0014184E" w:rsidRDefault="0014184E" w:rsidP="0014184E">
            <w:pPr>
              <w:ind w:left="-101" w:right="-110" w:firstLine="101"/>
              <w:jc w:val="center"/>
              <w:rPr>
                <w:b/>
                <w:sz w:val="18"/>
                <w:szCs w:val="18"/>
              </w:rPr>
            </w:pPr>
            <w:r w:rsidRPr="0014184E">
              <w:rPr>
                <w:b/>
                <w:sz w:val="18"/>
                <w:szCs w:val="18"/>
              </w:rPr>
              <w:t>149 664</w:t>
            </w:r>
          </w:p>
          <w:p w:rsidR="0014184E" w:rsidRPr="0014184E" w:rsidRDefault="0014184E" w:rsidP="0014184E">
            <w:pPr>
              <w:ind w:left="-101" w:right="-110" w:firstLine="101"/>
              <w:jc w:val="center"/>
              <w:rPr>
                <w:b/>
                <w:sz w:val="18"/>
                <w:szCs w:val="18"/>
              </w:rPr>
            </w:pPr>
            <w:r w:rsidRPr="0014184E">
              <w:rPr>
                <w:sz w:val="18"/>
                <w:szCs w:val="18"/>
              </w:rPr>
              <w:t>ставка 24 руб. за 1 л.</w:t>
            </w:r>
          </w:p>
        </w:tc>
        <w:tc>
          <w:tcPr>
            <w:tcW w:w="1224" w:type="dxa"/>
            <w:vAlign w:val="center"/>
          </w:tcPr>
          <w:p w:rsidR="0014184E" w:rsidRPr="0014184E" w:rsidRDefault="0014184E" w:rsidP="0014184E">
            <w:pPr>
              <w:jc w:val="center"/>
              <w:rPr>
                <w:b/>
                <w:sz w:val="18"/>
                <w:szCs w:val="18"/>
              </w:rPr>
            </w:pPr>
            <w:r w:rsidRPr="0014184E">
              <w:rPr>
                <w:b/>
                <w:sz w:val="18"/>
                <w:szCs w:val="18"/>
              </w:rPr>
              <w:t>155 900</w:t>
            </w:r>
          </w:p>
        </w:tc>
        <w:tc>
          <w:tcPr>
            <w:tcW w:w="951" w:type="dxa"/>
            <w:vAlign w:val="center"/>
          </w:tcPr>
          <w:p w:rsidR="0014184E" w:rsidRPr="0014184E" w:rsidRDefault="0014184E" w:rsidP="0014184E">
            <w:pPr>
              <w:jc w:val="center"/>
              <w:rPr>
                <w:b/>
                <w:sz w:val="18"/>
                <w:szCs w:val="18"/>
              </w:rPr>
            </w:pPr>
            <w:r w:rsidRPr="0014184E">
              <w:rPr>
                <w:b/>
                <w:sz w:val="18"/>
                <w:szCs w:val="18"/>
              </w:rPr>
              <w:t>1 753 764</w:t>
            </w:r>
          </w:p>
        </w:tc>
        <w:tc>
          <w:tcPr>
            <w:tcW w:w="975" w:type="dxa"/>
            <w:vAlign w:val="center"/>
          </w:tcPr>
          <w:p w:rsidR="0014184E" w:rsidRPr="0014184E" w:rsidRDefault="0014184E" w:rsidP="0014184E">
            <w:pPr>
              <w:jc w:val="center"/>
              <w:rPr>
                <w:b/>
                <w:sz w:val="18"/>
                <w:szCs w:val="18"/>
              </w:rPr>
            </w:pPr>
            <w:r w:rsidRPr="0014184E">
              <w:rPr>
                <w:b/>
                <w:sz w:val="18"/>
                <w:szCs w:val="18"/>
              </w:rPr>
              <w:t>100</w:t>
            </w:r>
          </w:p>
        </w:tc>
        <w:tc>
          <w:tcPr>
            <w:tcW w:w="867" w:type="dxa"/>
            <w:vAlign w:val="center"/>
          </w:tcPr>
          <w:p w:rsidR="0014184E" w:rsidRPr="0014184E" w:rsidRDefault="0014184E" w:rsidP="0014184E">
            <w:pPr>
              <w:jc w:val="center"/>
            </w:pPr>
            <w:r w:rsidRPr="0014184E">
              <w:rPr>
                <w:sz w:val="18"/>
                <w:szCs w:val="18"/>
              </w:rPr>
              <w:t>100</w:t>
            </w:r>
          </w:p>
        </w:tc>
        <w:tc>
          <w:tcPr>
            <w:tcW w:w="993" w:type="dxa"/>
            <w:vAlign w:val="center"/>
          </w:tcPr>
          <w:p w:rsidR="0014184E" w:rsidRPr="0014184E" w:rsidRDefault="0014184E" w:rsidP="0014184E">
            <w:pPr>
              <w:jc w:val="center"/>
              <w:rPr>
                <w:b/>
                <w:sz w:val="18"/>
                <w:szCs w:val="18"/>
              </w:rPr>
            </w:pPr>
            <w:r w:rsidRPr="0014184E">
              <w:rPr>
                <w:b/>
                <w:sz w:val="18"/>
                <w:szCs w:val="18"/>
              </w:rPr>
              <w:t>1 753 764</w:t>
            </w:r>
          </w:p>
        </w:tc>
        <w:tc>
          <w:tcPr>
            <w:tcW w:w="881" w:type="dxa"/>
            <w:noWrap/>
            <w:vAlign w:val="center"/>
          </w:tcPr>
          <w:p w:rsidR="0014184E" w:rsidRPr="0014184E" w:rsidRDefault="0014184E" w:rsidP="0014184E">
            <w:pPr>
              <w:ind w:left="-104" w:right="-109"/>
              <w:jc w:val="center"/>
              <w:rPr>
                <w:b/>
                <w:sz w:val="18"/>
                <w:szCs w:val="18"/>
              </w:rPr>
            </w:pPr>
            <w:r w:rsidRPr="0014184E">
              <w:rPr>
                <w:b/>
                <w:sz w:val="18"/>
                <w:szCs w:val="18"/>
              </w:rPr>
              <w:t>67 300</w:t>
            </w:r>
          </w:p>
        </w:tc>
        <w:tc>
          <w:tcPr>
            <w:tcW w:w="851" w:type="dxa"/>
            <w:noWrap/>
            <w:vAlign w:val="center"/>
          </w:tcPr>
          <w:p w:rsidR="0014184E" w:rsidRPr="0014184E" w:rsidRDefault="0014184E" w:rsidP="0014184E">
            <w:pPr>
              <w:ind w:left="-91" w:right="-72"/>
              <w:jc w:val="center"/>
              <w:rPr>
                <w:b/>
                <w:sz w:val="18"/>
                <w:szCs w:val="18"/>
              </w:rPr>
            </w:pPr>
            <w:r w:rsidRPr="0014184E">
              <w:rPr>
                <w:b/>
                <w:sz w:val="18"/>
                <w:szCs w:val="18"/>
              </w:rPr>
              <w:t>1 686 464</w:t>
            </w:r>
          </w:p>
        </w:tc>
      </w:tr>
      <w:tr w:rsidR="0014184E" w:rsidRPr="0014184E" w:rsidTr="008A253E">
        <w:trPr>
          <w:trHeight w:val="281"/>
        </w:trPr>
        <w:tc>
          <w:tcPr>
            <w:tcW w:w="3114" w:type="dxa"/>
            <w:vAlign w:val="bottom"/>
          </w:tcPr>
          <w:p w:rsidR="0014184E" w:rsidRPr="0014184E" w:rsidRDefault="0014184E" w:rsidP="0014184E">
            <w:pPr>
              <w:rPr>
                <w:b/>
                <w:sz w:val="18"/>
                <w:szCs w:val="18"/>
              </w:rPr>
            </w:pPr>
            <w:r w:rsidRPr="0014184E">
              <w:rPr>
                <w:b/>
                <w:sz w:val="18"/>
                <w:szCs w:val="18"/>
              </w:rPr>
              <w:lastRenderedPageBreak/>
              <w:t>Акцизы на сидр, пуаре, медовуху, производимые на территории Российской Федерации</w:t>
            </w:r>
          </w:p>
        </w:tc>
        <w:tc>
          <w:tcPr>
            <w:tcW w:w="769" w:type="dxa"/>
            <w:vAlign w:val="center"/>
          </w:tcPr>
          <w:p w:rsidR="0014184E" w:rsidRPr="0014184E" w:rsidRDefault="0014184E" w:rsidP="0014184E">
            <w:pPr>
              <w:jc w:val="center"/>
              <w:rPr>
                <w:sz w:val="18"/>
                <w:szCs w:val="18"/>
              </w:rPr>
            </w:pPr>
            <w:r w:rsidRPr="0014184E">
              <w:rPr>
                <w:sz w:val="18"/>
                <w:szCs w:val="18"/>
              </w:rPr>
              <w:t>33,20</w:t>
            </w:r>
          </w:p>
        </w:tc>
        <w:tc>
          <w:tcPr>
            <w:tcW w:w="747" w:type="dxa"/>
            <w:vAlign w:val="center"/>
          </w:tcPr>
          <w:p w:rsidR="0014184E" w:rsidRPr="0014184E" w:rsidRDefault="0014184E" w:rsidP="0014184E">
            <w:pPr>
              <w:jc w:val="center"/>
              <w:rPr>
                <w:sz w:val="18"/>
                <w:szCs w:val="18"/>
              </w:rPr>
            </w:pPr>
            <w:r w:rsidRPr="0014184E">
              <w:rPr>
                <w:sz w:val="18"/>
                <w:szCs w:val="18"/>
                <w:lang w:val="en-US"/>
              </w:rPr>
              <w:t>2</w:t>
            </w:r>
            <w:r w:rsidRPr="0014184E">
              <w:rPr>
                <w:sz w:val="18"/>
                <w:szCs w:val="18"/>
              </w:rPr>
              <w:t>5</w:t>
            </w:r>
          </w:p>
        </w:tc>
        <w:tc>
          <w:tcPr>
            <w:tcW w:w="979" w:type="dxa"/>
            <w:vAlign w:val="center"/>
          </w:tcPr>
          <w:p w:rsidR="0014184E" w:rsidRPr="0014184E" w:rsidRDefault="0014184E" w:rsidP="0014184E">
            <w:pPr>
              <w:jc w:val="center"/>
              <w:rPr>
                <w:sz w:val="18"/>
                <w:szCs w:val="18"/>
                <w:lang w:val="en-US"/>
              </w:rPr>
            </w:pPr>
            <w:r w:rsidRPr="0014184E">
              <w:rPr>
                <w:sz w:val="18"/>
                <w:szCs w:val="18"/>
                <w:lang w:val="en-US"/>
              </w:rPr>
              <w:t>2</w:t>
            </w:r>
            <w:r w:rsidRPr="0014184E">
              <w:rPr>
                <w:sz w:val="18"/>
                <w:szCs w:val="18"/>
              </w:rPr>
              <w:t>5</w:t>
            </w:r>
            <w:r w:rsidRPr="0014184E">
              <w:rPr>
                <w:sz w:val="18"/>
                <w:szCs w:val="18"/>
                <w:lang w:val="en-US"/>
              </w:rPr>
              <w:t>0</w:t>
            </w:r>
          </w:p>
        </w:tc>
        <w:tc>
          <w:tcPr>
            <w:tcW w:w="1018" w:type="dxa"/>
            <w:vAlign w:val="center"/>
          </w:tcPr>
          <w:p w:rsidR="0014184E" w:rsidRPr="0014184E" w:rsidRDefault="0014184E" w:rsidP="0014184E">
            <w:pPr>
              <w:jc w:val="center"/>
              <w:rPr>
                <w:sz w:val="18"/>
                <w:szCs w:val="18"/>
              </w:rPr>
            </w:pPr>
            <w:r w:rsidRPr="0014184E">
              <w:rPr>
                <w:sz w:val="18"/>
                <w:szCs w:val="18"/>
              </w:rPr>
              <w:t>8 300</w:t>
            </w:r>
          </w:p>
        </w:tc>
        <w:tc>
          <w:tcPr>
            <w:tcW w:w="1227" w:type="dxa"/>
            <w:vAlign w:val="center"/>
          </w:tcPr>
          <w:p w:rsidR="0014184E" w:rsidRPr="0014184E" w:rsidRDefault="0014184E" w:rsidP="0014184E">
            <w:pPr>
              <w:jc w:val="center"/>
              <w:rPr>
                <w:sz w:val="18"/>
                <w:szCs w:val="18"/>
              </w:rPr>
            </w:pPr>
            <w:r w:rsidRPr="0014184E">
              <w:rPr>
                <w:sz w:val="18"/>
                <w:szCs w:val="18"/>
              </w:rPr>
              <w:t>444</w:t>
            </w:r>
          </w:p>
        </w:tc>
        <w:tc>
          <w:tcPr>
            <w:tcW w:w="1224" w:type="dxa"/>
            <w:vAlign w:val="center"/>
          </w:tcPr>
          <w:p w:rsidR="0014184E" w:rsidRPr="0014184E" w:rsidRDefault="0014184E" w:rsidP="0014184E">
            <w:pPr>
              <w:jc w:val="center"/>
              <w:rPr>
                <w:sz w:val="18"/>
                <w:szCs w:val="18"/>
              </w:rPr>
            </w:pPr>
            <w:r w:rsidRPr="0014184E">
              <w:rPr>
                <w:sz w:val="18"/>
                <w:szCs w:val="18"/>
              </w:rPr>
              <w:t>463</w:t>
            </w:r>
          </w:p>
        </w:tc>
        <w:tc>
          <w:tcPr>
            <w:tcW w:w="951" w:type="dxa"/>
            <w:vAlign w:val="center"/>
          </w:tcPr>
          <w:p w:rsidR="0014184E" w:rsidRPr="0014184E" w:rsidRDefault="0014184E" w:rsidP="0014184E">
            <w:pPr>
              <w:jc w:val="center"/>
              <w:rPr>
                <w:sz w:val="18"/>
                <w:szCs w:val="18"/>
              </w:rPr>
            </w:pPr>
            <w:r w:rsidRPr="0014184E">
              <w:rPr>
                <w:sz w:val="18"/>
                <w:szCs w:val="18"/>
              </w:rPr>
              <w:t>8 281</w:t>
            </w:r>
          </w:p>
        </w:tc>
        <w:tc>
          <w:tcPr>
            <w:tcW w:w="975" w:type="dxa"/>
            <w:vAlign w:val="center"/>
          </w:tcPr>
          <w:p w:rsidR="0014184E" w:rsidRPr="0014184E" w:rsidRDefault="0014184E" w:rsidP="0014184E">
            <w:pPr>
              <w:jc w:val="center"/>
              <w:rPr>
                <w:sz w:val="18"/>
                <w:szCs w:val="18"/>
              </w:rPr>
            </w:pPr>
            <w:r w:rsidRPr="0014184E">
              <w:rPr>
                <w:sz w:val="18"/>
                <w:szCs w:val="18"/>
              </w:rPr>
              <w:t>100</w:t>
            </w:r>
          </w:p>
        </w:tc>
        <w:tc>
          <w:tcPr>
            <w:tcW w:w="867" w:type="dxa"/>
            <w:vAlign w:val="center"/>
          </w:tcPr>
          <w:p w:rsidR="0014184E" w:rsidRPr="0014184E" w:rsidRDefault="0014184E" w:rsidP="0014184E">
            <w:pPr>
              <w:jc w:val="center"/>
              <w:rPr>
                <w:sz w:val="18"/>
                <w:szCs w:val="18"/>
              </w:rPr>
            </w:pPr>
            <w:r w:rsidRPr="0014184E">
              <w:rPr>
                <w:sz w:val="18"/>
                <w:szCs w:val="18"/>
              </w:rPr>
              <w:t>100</w:t>
            </w:r>
          </w:p>
        </w:tc>
        <w:tc>
          <w:tcPr>
            <w:tcW w:w="993" w:type="dxa"/>
            <w:vAlign w:val="center"/>
          </w:tcPr>
          <w:p w:rsidR="0014184E" w:rsidRPr="0014184E" w:rsidRDefault="0014184E" w:rsidP="0014184E">
            <w:pPr>
              <w:jc w:val="center"/>
              <w:rPr>
                <w:sz w:val="18"/>
                <w:szCs w:val="18"/>
              </w:rPr>
            </w:pPr>
            <w:r w:rsidRPr="0014184E">
              <w:rPr>
                <w:sz w:val="18"/>
                <w:szCs w:val="18"/>
              </w:rPr>
              <w:t>8 281</w:t>
            </w:r>
          </w:p>
        </w:tc>
        <w:tc>
          <w:tcPr>
            <w:tcW w:w="881" w:type="dxa"/>
            <w:noWrap/>
            <w:vAlign w:val="center"/>
          </w:tcPr>
          <w:p w:rsidR="0014184E" w:rsidRPr="0014184E" w:rsidRDefault="0014184E" w:rsidP="0014184E">
            <w:pPr>
              <w:jc w:val="center"/>
              <w:rPr>
                <w:sz w:val="18"/>
                <w:szCs w:val="18"/>
                <w:lang w:val="en-US"/>
              </w:rPr>
            </w:pPr>
            <w:r w:rsidRPr="0014184E">
              <w:rPr>
                <w:sz w:val="18"/>
                <w:szCs w:val="18"/>
                <w:lang w:val="en-US"/>
              </w:rPr>
              <w:t>x</w:t>
            </w:r>
          </w:p>
        </w:tc>
        <w:tc>
          <w:tcPr>
            <w:tcW w:w="851" w:type="dxa"/>
            <w:noWrap/>
            <w:vAlign w:val="center"/>
          </w:tcPr>
          <w:p w:rsidR="0014184E" w:rsidRPr="0014184E" w:rsidRDefault="0014184E" w:rsidP="0014184E">
            <w:pPr>
              <w:jc w:val="center"/>
              <w:rPr>
                <w:sz w:val="18"/>
                <w:szCs w:val="18"/>
                <w:lang w:val="en-US"/>
              </w:rPr>
            </w:pPr>
            <w:r w:rsidRPr="0014184E">
              <w:rPr>
                <w:sz w:val="18"/>
                <w:szCs w:val="18"/>
              </w:rPr>
              <w:t>8 281</w:t>
            </w:r>
          </w:p>
        </w:tc>
      </w:tr>
      <w:tr w:rsidR="0014184E" w:rsidRPr="0014184E" w:rsidTr="008A253E">
        <w:trPr>
          <w:trHeight w:val="270"/>
        </w:trPr>
        <w:tc>
          <w:tcPr>
            <w:tcW w:w="3114" w:type="dxa"/>
          </w:tcPr>
          <w:p w:rsidR="0014184E" w:rsidRPr="0014184E" w:rsidRDefault="0014184E" w:rsidP="0014184E">
            <w:pPr>
              <w:rPr>
                <w:b/>
                <w:bCs/>
                <w:sz w:val="18"/>
                <w:szCs w:val="18"/>
              </w:rPr>
            </w:pPr>
            <w:r w:rsidRPr="0014184E">
              <w:rPr>
                <w:b/>
                <w:sz w:val="18"/>
                <w:szCs w:val="18"/>
              </w:rPr>
              <w:t>Акцизы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w:t>
            </w:r>
          </w:p>
        </w:tc>
        <w:tc>
          <w:tcPr>
            <w:tcW w:w="769" w:type="dxa"/>
            <w:vAlign w:val="center"/>
          </w:tcPr>
          <w:p w:rsidR="0014184E" w:rsidRPr="0014184E" w:rsidRDefault="0014184E" w:rsidP="0014184E">
            <w:pPr>
              <w:jc w:val="center"/>
              <w:rPr>
                <w:bCs/>
                <w:sz w:val="18"/>
                <w:szCs w:val="18"/>
              </w:rPr>
            </w:pPr>
            <w:r w:rsidRPr="0014184E">
              <w:rPr>
                <w:bCs/>
                <w:sz w:val="18"/>
                <w:szCs w:val="18"/>
              </w:rPr>
              <w:t>0,88</w:t>
            </w:r>
          </w:p>
        </w:tc>
        <w:tc>
          <w:tcPr>
            <w:tcW w:w="747" w:type="dxa"/>
            <w:vAlign w:val="center"/>
          </w:tcPr>
          <w:p w:rsidR="0014184E" w:rsidRPr="0014184E" w:rsidRDefault="0014184E" w:rsidP="0014184E">
            <w:pPr>
              <w:jc w:val="center"/>
              <w:rPr>
                <w:bCs/>
                <w:sz w:val="18"/>
                <w:szCs w:val="18"/>
              </w:rPr>
            </w:pPr>
            <w:r w:rsidRPr="0014184E">
              <w:rPr>
                <w:bCs/>
                <w:sz w:val="18"/>
                <w:szCs w:val="18"/>
              </w:rPr>
              <w:t>490</w:t>
            </w:r>
          </w:p>
        </w:tc>
        <w:tc>
          <w:tcPr>
            <w:tcW w:w="979" w:type="dxa"/>
            <w:vAlign w:val="center"/>
          </w:tcPr>
          <w:p w:rsidR="0014184E" w:rsidRPr="0014184E" w:rsidRDefault="0014184E" w:rsidP="0014184E">
            <w:pPr>
              <w:jc w:val="center"/>
              <w:rPr>
                <w:bCs/>
                <w:sz w:val="18"/>
                <w:szCs w:val="18"/>
              </w:rPr>
            </w:pPr>
            <w:r w:rsidRPr="0014184E">
              <w:rPr>
                <w:bCs/>
                <w:sz w:val="18"/>
                <w:szCs w:val="18"/>
              </w:rPr>
              <w:t>4 900</w:t>
            </w:r>
          </w:p>
        </w:tc>
        <w:tc>
          <w:tcPr>
            <w:tcW w:w="1018" w:type="dxa"/>
            <w:vAlign w:val="center"/>
          </w:tcPr>
          <w:p w:rsidR="0014184E" w:rsidRPr="0014184E" w:rsidRDefault="0014184E" w:rsidP="0014184E">
            <w:pPr>
              <w:jc w:val="center"/>
              <w:rPr>
                <w:bCs/>
                <w:sz w:val="18"/>
                <w:szCs w:val="18"/>
              </w:rPr>
            </w:pPr>
            <w:r w:rsidRPr="0014184E">
              <w:rPr>
                <w:bCs/>
                <w:sz w:val="18"/>
                <w:szCs w:val="18"/>
              </w:rPr>
              <w:t>4 312</w:t>
            </w:r>
          </w:p>
        </w:tc>
        <w:tc>
          <w:tcPr>
            <w:tcW w:w="1227" w:type="dxa"/>
            <w:vAlign w:val="center"/>
          </w:tcPr>
          <w:p w:rsidR="0014184E" w:rsidRPr="0014184E" w:rsidRDefault="0014184E" w:rsidP="0014184E">
            <w:pPr>
              <w:jc w:val="center"/>
              <w:rPr>
                <w:bCs/>
                <w:sz w:val="18"/>
                <w:szCs w:val="18"/>
              </w:rPr>
            </w:pPr>
            <w:r w:rsidRPr="0014184E">
              <w:rPr>
                <w:bCs/>
                <w:sz w:val="18"/>
                <w:szCs w:val="18"/>
              </w:rPr>
              <w:t>612</w:t>
            </w:r>
          </w:p>
          <w:p w:rsidR="0014184E" w:rsidRPr="0014184E" w:rsidRDefault="0014184E" w:rsidP="0014184E">
            <w:pPr>
              <w:jc w:val="center"/>
              <w:rPr>
                <w:bCs/>
                <w:sz w:val="18"/>
                <w:szCs w:val="18"/>
              </w:rPr>
            </w:pPr>
            <w:r w:rsidRPr="0014184E">
              <w:rPr>
                <w:sz w:val="18"/>
                <w:szCs w:val="18"/>
              </w:rPr>
              <w:t>ставка 471 руб. за 1 л.</w:t>
            </w:r>
          </w:p>
        </w:tc>
        <w:tc>
          <w:tcPr>
            <w:tcW w:w="1224" w:type="dxa"/>
            <w:vAlign w:val="center"/>
          </w:tcPr>
          <w:p w:rsidR="0014184E" w:rsidRPr="0014184E" w:rsidRDefault="0014184E" w:rsidP="0014184E">
            <w:pPr>
              <w:jc w:val="center"/>
              <w:rPr>
                <w:bCs/>
                <w:sz w:val="18"/>
                <w:szCs w:val="18"/>
              </w:rPr>
            </w:pPr>
            <w:r w:rsidRPr="0014184E">
              <w:rPr>
                <w:bCs/>
                <w:sz w:val="18"/>
                <w:szCs w:val="18"/>
              </w:rPr>
              <w:t>637</w:t>
            </w:r>
          </w:p>
        </w:tc>
        <w:tc>
          <w:tcPr>
            <w:tcW w:w="951" w:type="dxa"/>
            <w:vAlign w:val="center"/>
          </w:tcPr>
          <w:p w:rsidR="0014184E" w:rsidRPr="0014184E" w:rsidRDefault="0014184E" w:rsidP="0014184E">
            <w:pPr>
              <w:jc w:val="center"/>
              <w:rPr>
                <w:bCs/>
                <w:sz w:val="18"/>
                <w:szCs w:val="18"/>
              </w:rPr>
            </w:pPr>
            <w:r w:rsidRPr="0014184E">
              <w:rPr>
                <w:bCs/>
                <w:sz w:val="18"/>
                <w:szCs w:val="18"/>
              </w:rPr>
              <w:t>4 287</w:t>
            </w:r>
          </w:p>
        </w:tc>
        <w:tc>
          <w:tcPr>
            <w:tcW w:w="975" w:type="dxa"/>
            <w:vAlign w:val="center"/>
          </w:tcPr>
          <w:p w:rsidR="0014184E" w:rsidRPr="0014184E" w:rsidRDefault="0014184E" w:rsidP="0014184E">
            <w:pPr>
              <w:jc w:val="center"/>
              <w:rPr>
                <w:bCs/>
                <w:sz w:val="18"/>
                <w:szCs w:val="18"/>
              </w:rPr>
            </w:pPr>
            <w:r w:rsidRPr="0014184E">
              <w:rPr>
                <w:bCs/>
                <w:sz w:val="18"/>
                <w:szCs w:val="18"/>
              </w:rPr>
              <w:t>100</w:t>
            </w:r>
          </w:p>
        </w:tc>
        <w:tc>
          <w:tcPr>
            <w:tcW w:w="867" w:type="dxa"/>
            <w:vAlign w:val="center"/>
          </w:tcPr>
          <w:p w:rsidR="0014184E" w:rsidRPr="0014184E" w:rsidRDefault="0014184E" w:rsidP="0014184E">
            <w:pPr>
              <w:jc w:val="center"/>
              <w:rPr>
                <w:bCs/>
                <w:sz w:val="18"/>
                <w:szCs w:val="18"/>
              </w:rPr>
            </w:pPr>
            <w:r w:rsidRPr="0014184E">
              <w:rPr>
                <w:bCs/>
                <w:sz w:val="18"/>
                <w:szCs w:val="18"/>
              </w:rPr>
              <w:t>100</w:t>
            </w:r>
          </w:p>
        </w:tc>
        <w:tc>
          <w:tcPr>
            <w:tcW w:w="993" w:type="dxa"/>
            <w:vAlign w:val="center"/>
          </w:tcPr>
          <w:p w:rsidR="0014184E" w:rsidRPr="0014184E" w:rsidRDefault="0014184E" w:rsidP="0014184E">
            <w:pPr>
              <w:jc w:val="center"/>
              <w:rPr>
                <w:bCs/>
                <w:sz w:val="18"/>
                <w:szCs w:val="18"/>
              </w:rPr>
            </w:pPr>
            <w:r w:rsidRPr="0014184E">
              <w:rPr>
                <w:bCs/>
                <w:sz w:val="18"/>
                <w:szCs w:val="18"/>
              </w:rPr>
              <w:t>4 287</w:t>
            </w:r>
          </w:p>
        </w:tc>
        <w:tc>
          <w:tcPr>
            <w:tcW w:w="881" w:type="dxa"/>
            <w:vAlign w:val="center"/>
          </w:tcPr>
          <w:p w:rsidR="0014184E" w:rsidRPr="0014184E" w:rsidRDefault="0014184E" w:rsidP="0014184E">
            <w:pPr>
              <w:jc w:val="center"/>
              <w:rPr>
                <w:bCs/>
                <w:sz w:val="18"/>
                <w:szCs w:val="18"/>
              </w:rPr>
            </w:pPr>
            <w:r w:rsidRPr="0014184E">
              <w:rPr>
                <w:bCs/>
                <w:sz w:val="18"/>
                <w:szCs w:val="18"/>
              </w:rPr>
              <w:t>х</w:t>
            </w:r>
          </w:p>
        </w:tc>
        <w:tc>
          <w:tcPr>
            <w:tcW w:w="851" w:type="dxa"/>
            <w:vAlign w:val="center"/>
          </w:tcPr>
          <w:p w:rsidR="0014184E" w:rsidRPr="0014184E" w:rsidRDefault="0014184E" w:rsidP="0014184E">
            <w:pPr>
              <w:ind w:left="-104" w:right="-109"/>
              <w:jc w:val="center"/>
              <w:rPr>
                <w:bCs/>
                <w:sz w:val="18"/>
                <w:szCs w:val="18"/>
              </w:rPr>
            </w:pPr>
            <w:r w:rsidRPr="0014184E">
              <w:rPr>
                <w:bCs/>
                <w:sz w:val="18"/>
                <w:szCs w:val="18"/>
              </w:rPr>
              <w:t>4 287</w:t>
            </w:r>
          </w:p>
        </w:tc>
      </w:tr>
      <w:tr w:rsidR="0014184E" w:rsidRPr="0014184E" w:rsidTr="008A253E">
        <w:trPr>
          <w:trHeight w:val="270"/>
        </w:trPr>
        <w:tc>
          <w:tcPr>
            <w:tcW w:w="3114" w:type="dxa"/>
          </w:tcPr>
          <w:p w:rsidR="0014184E" w:rsidRPr="0014184E" w:rsidRDefault="0014184E" w:rsidP="0014184E">
            <w:pPr>
              <w:jc w:val="both"/>
              <w:rPr>
                <w:b/>
                <w:bCs/>
                <w:sz w:val="18"/>
                <w:szCs w:val="18"/>
              </w:rPr>
            </w:pPr>
            <w:r w:rsidRPr="0014184E">
              <w:rPr>
                <w:b/>
                <w:bCs/>
                <w:sz w:val="18"/>
                <w:szCs w:val="18"/>
              </w:rPr>
              <w:t>ИТОГО</w:t>
            </w:r>
          </w:p>
        </w:tc>
        <w:tc>
          <w:tcPr>
            <w:tcW w:w="769" w:type="dxa"/>
            <w:vAlign w:val="center"/>
          </w:tcPr>
          <w:p w:rsidR="0014184E" w:rsidRPr="0014184E" w:rsidRDefault="0014184E" w:rsidP="0014184E">
            <w:pPr>
              <w:ind w:left="-139" w:right="-160"/>
              <w:jc w:val="center"/>
              <w:rPr>
                <w:b/>
                <w:bCs/>
                <w:sz w:val="18"/>
                <w:szCs w:val="18"/>
              </w:rPr>
            </w:pPr>
            <w:r w:rsidRPr="0014184E">
              <w:rPr>
                <w:b/>
                <w:bCs/>
                <w:sz w:val="18"/>
                <w:szCs w:val="18"/>
              </w:rPr>
              <w:t>7 274,08</w:t>
            </w:r>
          </w:p>
        </w:tc>
        <w:tc>
          <w:tcPr>
            <w:tcW w:w="747" w:type="dxa"/>
            <w:vAlign w:val="center"/>
          </w:tcPr>
          <w:p w:rsidR="0014184E" w:rsidRPr="0014184E" w:rsidRDefault="0014184E" w:rsidP="0014184E">
            <w:pPr>
              <w:jc w:val="center"/>
              <w:rPr>
                <w:b/>
                <w:bCs/>
                <w:sz w:val="18"/>
                <w:szCs w:val="18"/>
              </w:rPr>
            </w:pPr>
            <w:r w:rsidRPr="0014184E">
              <w:rPr>
                <w:b/>
                <w:bCs/>
                <w:sz w:val="18"/>
                <w:szCs w:val="18"/>
              </w:rPr>
              <w:t>х</w:t>
            </w:r>
          </w:p>
        </w:tc>
        <w:tc>
          <w:tcPr>
            <w:tcW w:w="979" w:type="dxa"/>
            <w:vAlign w:val="center"/>
          </w:tcPr>
          <w:p w:rsidR="0014184E" w:rsidRPr="0014184E" w:rsidRDefault="0014184E" w:rsidP="0014184E">
            <w:pPr>
              <w:jc w:val="center"/>
              <w:rPr>
                <w:b/>
                <w:bCs/>
                <w:sz w:val="18"/>
                <w:szCs w:val="18"/>
              </w:rPr>
            </w:pPr>
            <w:r w:rsidRPr="0014184E">
              <w:rPr>
                <w:b/>
                <w:bCs/>
                <w:sz w:val="18"/>
                <w:szCs w:val="18"/>
              </w:rPr>
              <w:t>х</w:t>
            </w:r>
          </w:p>
        </w:tc>
        <w:tc>
          <w:tcPr>
            <w:tcW w:w="1018" w:type="dxa"/>
            <w:vAlign w:val="center"/>
          </w:tcPr>
          <w:p w:rsidR="0014184E" w:rsidRPr="0014184E" w:rsidRDefault="0014184E" w:rsidP="0014184E">
            <w:pPr>
              <w:jc w:val="center"/>
              <w:rPr>
                <w:b/>
                <w:bCs/>
                <w:sz w:val="18"/>
                <w:szCs w:val="18"/>
              </w:rPr>
            </w:pPr>
            <w:r w:rsidRPr="0014184E">
              <w:rPr>
                <w:b/>
                <w:bCs/>
                <w:sz w:val="18"/>
                <w:szCs w:val="18"/>
              </w:rPr>
              <w:t>1 843 912</w:t>
            </w:r>
          </w:p>
        </w:tc>
        <w:tc>
          <w:tcPr>
            <w:tcW w:w="1227" w:type="dxa"/>
            <w:vAlign w:val="center"/>
          </w:tcPr>
          <w:p w:rsidR="0014184E" w:rsidRPr="0014184E" w:rsidRDefault="0014184E" w:rsidP="0014184E">
            <w:pPr>
              <w:jc w:val="center"/>
              <w:rPr>
                <w:b/>
                <w:bCs/>
                <w:sz w:val="18"/>
                <w:szCs w:val="18"/>
              </w:rPr>
            </w:pPr>
            <w:r w:rsidRPr="0014184E">
              <w:rPr>
                <w:b/>
                <w:bCs/>
                <w:sz w:val="18"/>
                <w:szCs w:val="18"/>
              </w:rPr>
              <w:t>156 415</w:t>
            </w:r>
          </w:p>
        </w:tc>
        <w:tc>
          <w:tcPr>
            <w:tcW w:w="1224" w:type="dxa"/>
            <w:vAlign w:val="center"/>
          </w:tcPr>
          <w:p w:rsidR="0014184E" w:rsidRPr="0014184E" w:rsidRDefault="0014184E" w:rsidP="0014184E">
            <w:pPr>
              <w:jc w:val="center"/>
              <w:rPr>
                <w:b/>
                <w:bCs/>
                <w:sz w:val="18"/>
                <w:szCs w:val="18"/>
              </w:rPr>
            </w:pPr>
            <w:r w:rsidRPr="0014184E">
              <w:rPr>
                <w:b/>
                <w:bCs/>
                <w:sz w:val="18"/>
                <w:szCs w:val="18"/>
              </w:rPr>
              <w:t>162 885</w:t>
            </w:r>
          </w:p>
        </w:tc>
        <w:tc>
          <w:tcPr>
            <w:tcW w:w="951" w:type="dxa"/>
            <w:vAlign w:val="center"/>
          </w:tcPr>
          <w:p w:rsidR="0014184E" w:rsidRPr="0014184E" w:rsidRDefault="0014184E" w:rsidP="0014184E">
            <w:pPr>
              <w:jc w:val="center"/>
              <w:rPr>
                <w:b/>
                <w:bCs/>
                <w:sz w:val="18"/>
                <w:szCs w:val="18"/>
                <w:lang w:val="en-US"/>
              </w:rPr>
            </w:pPr>
            <w:r w:rsidRPr="0014184E">
              <w:rPr>
                <w:b/>
                <w:bCs/>
                <w:sz w:val="18"/>
                <w:szCs w:val="18"/>
              </w:rPr>
              <w:t>1 837 442</w:t>
            </w:r>
          </w:p>
        </w:tc>
        <w:tc>
          <w:tcPr>
            <w:tcW w:w="975" w:type="dxa"/>
            <w:vAlign w:val="center"/>
          </w:tcPr>
          <w:p w:rsidR="0014184E" w:rsidRPr="0014184E" w:rsidRDefault="0014184E" w:rsidP="0014184E">
            <w:pPr>
              <w:jc w:val="center"/>
              <w:rPr>
                <w:b/>
                <w:bCs/>
                <w:sz w:val="18"/>
                <w:szCs w:val="18"/>
              </w:rPr>
            </w:pPr>
            <w:r w:rsidRPr="0014184E">
              <w:rPr>
                <w:b/>
                <w:bCs/>
                <w:sz w:val="18"/>
                <w:szCs w:val="18"/>
              </w:rPr>
              <w:t>100</w:t>
            </w:r>
          </w:p>
        </w:tc>
        <w:tc>
          <w:tcPr>
            <w:tcW w:w="867" w:type="dxa"/>
            <w:vAlign w:val="center"/>
          </w:tcPr>
          <w:p w:rsidR="0014184E" w:rsidRPr="0014184E" w:rsidRDefault="0014184E" w:rsidP="0014184E">
            <w:pPr>
              <w:jc w:val="center"/>
              <w:rPr>
                <w:b/>
                <w:bCs/>
                <w:sz w:val="18"/>
                <w:szCs w:val="18"/>
              </w:rPr>
            </w:pPr>
            <w:r w:rsidRPr="0014184E">
              <w:rPr>
                <w:b/>
                <w:bCs/>
                <w:sz w:val="18"/>
                <w:szCs w:val="18"/>
              </w:rPr>
              <w:t>100</w:t>
            </w:r>
          </w:p>
        </w:tc>
        <w:tc>
          <w:tcPr>
            <w:tcW w:w="993" w:type="dxa"/>
            <w:vAlign w:val="center"/>
          </w:tcPr>
          <w:p w:rsidR="0014184E" w:rsidRPr="0014184E" w:rsidRDefault="0014184E" w:rsidP="0014184E">
            <w:pPr>
              <w:jc w:val="center"/>
              <w:rPr>
                <w:b/>
                <w:bCs/>
                <w:sz w:val="18"/>
                <w:szCs w:val="18"/>
              </w:rPr>
            </w:pPr>
            <w:r w:rsidRPr="0014184E">
              <w:rPr>
                <w:b/>
                <w:bCs/>
                <w:sz w:val="18"/>
                <w:szCs w:val="18"/>
              </w:rPr>
              <w:t>1 837 442</w:t>
            </w:r>
          </w:p>
        </w:tc>
        <w:tc>
          <w:tcPr>
            <w:tcW w:w="881" w:type="dxa"/>
            <w:vAlign w:val="center"/>
          </w:tcPr>
          <w:p w:rsidR="0014184E" w:rsidRPr="0014184E" w:rsidRDefault="0014184E" w:rsidP="0014184E">
            <w:pPr>
              <w:jc w:val="center"/>
              <w:rPr>
                <w:b/>
                <w:bCs/>
                <w:sz w:val="18"/>
                <w:szCs w:val="18"/>
              </w:rPr>
            </w:pPr>
            <w:r w:rsidRPr="0014184E">
              <w:rPr>
                <w:b/>
                <w:bCs/>
                <w:sz w:val="18"/>
                <w:szCs w:val="18"/>
              </w:rPr>
              <w:t>97 900</w:t>
            </w:r>
          </w:p>
        </w:tc>
        <w:tc>
          <w:tcPr>
            <w:tcW w:w="851" w:type="dxa"/>
            <w:vAlign w:val="center"/>
          </w:tcPr>
          <w:p w:rsidR="0014184E" w:rsidRPr="0014184E" w:rsidRDefault="0014184E" w:rsidP="0014184E">
            <w:pPr>
              <w:ind w:left="-104" w:right="-109"/>
              <w:jc w:val="center"/>
              <w:rPr>
                <w:b/>
                <w:bCs/>
                <w:sz w:val="18"/>
                <w:szCs w:val="18"/>
              </w:rPr>
            </w:pPr>
            <w:r w:rsidRPr="0014184E">
              <w:rPr>
                <w:b/>
                <w:bCs/>
                <w:sz w:val="18"/>
                <w:szCs w:val="18"/>
              </w:rPr>
              <w:t>1 739 542</w:t>
            </w:r>
          </w:p>
        </w:tc>
      </w:tr>
    </w:tbl>
    <w:p w:rsidR="0014184E" w:rsidRPr="0014184E" w:rsidRDefault="0014184E" w:rsidP="0014184E">
      <w:pPr>
        <w:ind w:firstLine="709"/>
        <w:jc w:val="center"/>
        <w:outlineLvl w:val="0"/>
        <w:rPr>
          <w:b/>
          <w:sz w:val="28"/>
          <w:szCs w:val="28"/>
        </w:rPr>
      </w:pPr>
    </w:p>
    <w:p w:rsidR="0014184E" w:rsidRPr="0014184E" w:rsidRDefault="0014184E" w:rsidP="0014184E">
      <w:pPr>
        <w:ind w:firstLine="709"/>
        <w:jc w:val="center"/>
        <w:outlineLvl w:val="0"/>
        <w:rPr>
          <w:b/>
          <w:sz w:val="28"/>
          <w:szCs w:val="28"/>
        </w:rPr>
      </w:pPr>
    </w:p>
    <w:p w:rsidR="0014184E" w:rsidRPr="0014184E" w:rsidRDefault="0014184E" w:rsidP="0014184E">
      <w:pPr>
        <w:ind w:firstLine="709"/>
        <w:jc w:val="center"/>
        <w:outlineLvl w:val="0"/>
        <w:rPr>
          <w:b/>
          <w:sz w:val="28"/>
          <w:szCs w:val="28"/>
        </w:rPr>
      </w:pPr>
    </w:p>
    <w:p w:rsidR="0014184E" w:rsidRPr="0014184E" w:rsidRDefault="0014184E" w:rsidP="0014184E">
      <w:pPr>
        <w:ind w:firstLine="709"/>
        <w:jc w:val="center"/>
        <w:outlineLvl w:val="0"/>
        <w:rPr>
          <w:b/>
          <w:sz w:val="28"/>
          <w:szCs w:val="28"/>
        </w:rPr>
      </w:pPr>
    </w:p>
    <w:p w:rsidR="0014184E" w:rsidRPr="0014184E" w:rsidRDefault="0014184E" w:rsidP="0014184E">
      <w:pPr>
        <w:ind w:firstLine="709"/>
        <w:jc w:val="center"/>
        <w:outlineLvl w:val="0"/>
        <w:rPr>
          <w:b/>
          <w:sz w:val="28"/>
          <w:szCs w:val="28"/>
        </w:rPr>
      </w:pPr>
    </w:p>
    <w:p w:rsidR="0014184E" w:rsidRPr="0014184E" w:rsidRDefault="0014184E" w:rsidP="0014184E">
      <w:pPr>
        <w:ind w:firstLine="709"/>
        <w:jc w:val="center"/>
        <w:outlineLvl w:val="0"/>
        <w:rPr>
          <w:b/>
          <w:sz w:val="28"/>
          <w:szCs w:val="28"/>
        </w:rPr>
      </w:pPr>
    </w:p>
    <w:p w:rsidR="0014184E" w:rsidRPr="0014184E" w:rsidRDefault="0014184E" w:rsidP="0014184E">
      <w:pPr>
        <w:ind w:firstLine="709"/>
        <w:jc w:val="center"/>
        <w:outlineLvl w:val="0"/>
        <w:rPr>
          <w:b/>
          <w:sz w:val="28"/>
          <w:szCs w:val="28"/>
        </w:rPr>
      </w:pPr>
    </w:p>
    <w:p w:rsidR="0014184E" w:rsidRPr="0014184E" w:rsidRDefault="0014184E" w:rsidP="0014184E">
      <w:pPr>
        <w:ind w:firstLine="709"/>
        <w:jc w:val="center"/>
        <w:outlineLvl w:val="0"/>
        <w:rPr>
          <w:b/>
          <w:sz w:val="28"/>
          <w:szCs w:val="28"/>
        </w:rPr>
      </w:pPr>
    </w:p>
    <w:p w:rsidR="0014184E" w:rsidRPr="0014184E" w:rsidRDefault="0014184E" w:rsidP="0014184E">
      <w:pPr>
        <w:ind w:firstLine="709"/>
        <w:jc w:val="center"/>
        <w:outlineLvl w:val="0"/>
        <w:rPr>
          <w:b/>
          <w:sz w:val="28"/>
          <w:szCs w:val="28"/>
        </w:rPr>
      </w:pPr>
    </w:p>
    <w:p w:rsidR="0014184E" w:rsidRPr="0014184E" w:rsidRDefault="0014184E" w:rsidP="0014184E">
      <w:pPr>
        <w:ind w:firstLine="709"/>
        <w:jc w:val="center"/>
        <w:outlineLvl w:val="0"/>
        <w:rPr>
          <w:b/>
          <w:sz w:val="28"/>
          <w:szCs w:val="28"/>
        </w:rPr>
      </w:pPr>
    </w:p>
    <w:p w:rsidR="0014184E" w:rsidRPr="0014184E" w:rsidRDefault="0014184E" w:rsidP="0014184E">
      <w:pPr>
        <w:ind w:firstLine="709"/>
        <w:jc w:val="center"/>
        <w:outlineLvl w:val="0"/>
        <w:rPr>
          <w:b/>
          <w:sz w:val="28"/>
          <w:szCs w:val="28"/>
        </w:rPr>
      </w:pPr>
    </w:p>
    <w:p w:rsidR="0014184E" w:rsidRPr="0014184E" w:rsidRDefault="0014184E" w:rsidP="0014184E">
      <w:pPr>
        <w:ind w:firstLine="709"/>
        <w:jc w:val="center"/>
        <w:outlineLvl w:val="0"/>
        <w:rPr>
          <w:b/>
          <w:sz w:val="28"/>
          <w:szCs w:val="28"/>
        </w:rPr>
      </w:pPr>
    </w:p>
    <w:p w:rsidR="0014184E" w:rsidRPr="0014184E" w:rsidRDefault="0014184E" w:rsidP="0014184E">
      <w:pPr>
        <w:ind w:firstLine="709"/>
        <w:jc w:val="center"/>
        <w:outlineLvl w:val="0"/>
        <w:rPr>
          <w:b/>
          <w:sz w:val="28"/>
          <w:szCs w:val="28"/>
        </w:rPr>
      </w:pPr>
    </w:p>
    <w:p w:rsidR="0014184E" w:rsidRPr="0014184E" w:rsidRDefault="0014184E" w:rsidP="0014184E">
      <w:pPr>
        <w:ind w:firstLine="709"/>
        <w:jc w:val="center"/>
        <w:outlineLvl w:val="0"/>
        <w:rPr>
          <w:b/>
          <w:sz w:val="28"/>
          <w:szCs w:val="28"/>
        </w:rPr>
      </w:pPr>
    </w:p>
    <w:p w:rsidR="0014184E" w:rsidRPr="0014184E" w:rsidRDefault="0014184E" w:rsidP="0014184E">
      <w:pPr>
        <w:ind w:firstLine="709"/>
        <w:jc w:val="center"/>
        <w:outlineLvl w:val="0"/>
        <w:rPr>
          <w:b/>
          <w:sz w:val="28"/>
          <w:szCs w:val="28"/>
        </w:rPr>
      </w:pPr>
      <w:r w:rsidRPr="0014184E">
        <w:rPr>
          <w:b/>
          <w:sz w:val="28"/>
          <w:szCs w:val="28"/>
        </w:rPr>
        <w:lastRenderedPageBreak/>
        <w:t>Расчет прогноза поступления акцизов в областной бюджет Тверской области на 2024 год</w:t>
      </w:r>
    </w:p>
    <w:p w:rsidR="0014184E" w:rsidRPr="0014184E" w:rsidRDefault="0014184E" w:rsidP="0014184E">
      <w:pPr>
        <w:autoSpaceDE w:val="0"/>
        <w:autoSpaceDN w:val="0"/>
        <w:adjustRightInd w:val="0"/>
        <w:jc w:val="center"/>
        <w:rPr>
          <w:sz w:val="28"/>
          <w:szCs w:val="28"/>
        </w:rPr>
      </w:pPr>
      <w:r w:rsidRPr="0014184E">
        <w:rPr>
          <w:sz w:val="28"/>
          <w:szCs w:val="28"/>
        </w:rPr>
        <w:t>(000 1 03 02090 01 0000 110, 000 1 03 02100 01 0000 110,</w:t>
      </w:r>
      <w:r w:rsidRPr="0014184E">
        <w:rPr>
          <w:sz w:val="28"/>
          <w:szCs w:val="28"/>
          <w:lang w:val="en-US"/>
        </w:rPr>
        <w:t xml:space="preserve"> </w:t>
      </w:r>
      <w:r w:rsidRPr="0014184E">
        <w:rPr>
          <w:sz w:val="28"/>
          <w:szCs w:val="28"/>
        </w:rPr>
        <w:t xml:space="preserve">000 1 03 02120 01 0000 110, </w:t>
      </w:r>
    </w:p>
    <w:p w:rsidR="0014184E" w:rsidRPr="0014184E" w:rsidRDefault="0014184E" w:rsidP="0014184E">
      <w:pPr>
        <w:autoSpaceDE w:val="0"/>
        <w:autoSpaceDN w:val="0"/>
        <w:adjustRightInd w:val="0"/>
        <w:jc w:val="center"/>
        <w:rPr>
          <w:sz w:val="28"/>
          <w:szCs w:val="28"/>
        </w:rPr>
      </w:pPr>
      <w:r w:rsidRPr="0014184E">
        <w:rPr>
          <w:sz w:val="28"/>
          <w:szCs w:val="28"/>
          <w:lang w:val="en-US"/>
        </w:rPr>
        <w:t xml:space="preserve">000 </w:t>
      </w:r>
      <w:r w:rsidRPr="0014184E">
        <w:rPr>
          <w:bCs/>
          <w:sz w:val="28"/>
          <w:szCs w:val="28"/>
        </w:rPr>
        <w:t>1 03 02130 01 0000 110</w:t>
      </w:r>
      <w:r w:rsidRPr="0014184E">
        <w:rPr>
          <w:sz w:val="28"/>
          <w:szCs w:val="28"/>
        </w:rPr>
        <w:t>)</w:t>
      </w:r>
    </w:p>
    <w:p w:rsidR="0014184E" w:rsidRPr="0014184E" w:rsidRDefault="0014184E" w:rsidP="0014184E">
      <w:pPr>
        <w:ind w:firstLine="709"/>
        <w:jc w:val="right"/>
        <w:rPr>
          <w:b/>
          <w:sz w:val="28"/>
          <w:szCs w:val="28"/>
        </w:rPr>
      </w:pPr>
      <w:r w:rsidRPr="0014184E">
        <w:t xml:space="preserve"> (тыс. руб.)</w:t>
      </w:r>
    </w:p>
    <w:p w:rsidR="0014184E" w:rsidRPr="0014184E" w:rsidRDefault="0014184E" w:rsidP="0014184E">
      <w:pPr>
        <w:ind w:left="360" w:firstLine="709"/>
        <w:jc w:val="both"/>
        <w:rPr>
          <w:b/>
          <w:sz w:val="28"/>
          <w:szCs w:val="28"/>
        </w:rPr>
      </w:pPr>
    </w:p>
    <w:tbl>
      <w:tblPr>
        <w:tblpPr w:leftFromText="180" w:rightFromText="180" w:vertAnchor="text" w:tblpX="93" w:tblpY="1"/>
        <w:tblOverlap w:val="neve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4"/>
        <w:gridCol w:w="769"/>
        <w:gridCol w:w="747"/>
        <w:gridCol w:w="979"/>
        <w:gridCol w:w="1018"/>
        <w:gridCol w:w="1227"/>
        <w:gridCol w:w="1224"/>
        <w:gridCol w:w="951"/>
        <w:gridCol w:w="975"/>
        <w:gridCol w:w="867"/>
        <w:gridCol w:w="993"/>
        <w:gridCol w:w="881"/>
        <w:gridCol w:w="851"/>
      </w:tblGrid>
      <w:tr w:rsidR="0014184E" w:rsidRPr="0014184E" w:rsidTr="008A253E">
        <w:trPr>
          <w:trHeight w:val="2160"/>
          <w:tblHeader/>
        </w:trPr>
        <w:tc>
          <w:tcPr>
            <w:tcW w:w="3114" w:type="dxa"/>
            <w:vAlign w:val="center"/>
          </w:tcPr>
          <w:p w:rsidR="0014184E" w:rsidRPr="0014184E" w:rsidRDefault="0014184E" w:rsidP="0014184E">
            <w:pPr>
              <w:jc w:val="center"/>
              <w:rPr>
                <w:sz w:val="18"/>
                <w:szCs w:val="18"/>
              </w:rPr>
            </w:pPr>
            <w:r w:rsidRPr="0014184E">
              <w:rPr>
                <w:sz w:val="18"/>
                <w:szCs w:val="18"/>
              </w:rPr>
              <w:t> Наименование </w:t>
            </w:r>
          </w:p>
        </w:tc>
        <w:tc>
          <w:tcPr>
            <w:tcW w:w="769" w:type="dxa"/>
            <w:vAlign w:val="center"/>
          </w:tcPr>
          <w:p w:rsidR="0014184E" w:rsidRPr="0014184E" w:rsidRDefault="0014184E" w:rsidP="0014184E">
            <w:pPr>
              <w:jc w:val="center"/>
              <w:rPr>
                <w:sz w:val="18"/>
                <w:szCs w:val="18"/>
              </w:rPr>
            </w:pPr>
            <w:r w:rsidRPr="0014184E">
              <w:rPr>
                <w:sz w:val="18"/>
                <w:szCs w:val="18"/>
              </w:rPr>
              <w:t>Объем реализ.  тыс. дал.</w:t>
            </w:r>
          </w:p>
          <w:p w:rsidR="0014184E" w:rsidRPr="0014184E" w:rsidRDefault="0014184E" w:rsidP="0014184E">
            <w:pPr>
              <w:jc w:val="center"/>
              <w:rPr>
                <w:sz w:val="18"/>
                <w:szCs w:val="18"/>
              </w:rPr>
            </w:pPr>
            <w:r w:rsidRPr="0014184E">
              <w:rPr>
                <w:sz w:val="18"/>
                <w:szCs w:val="18"/>
              </w:rPr>
              <w:t>(с учетом крепости)</w:t>
            </w:r>
          </w:p>
        </w:tc>
        <w:tc>
          <w:tcPr>
            <w:tcW w:w="747" w:type="dxa"/>
            <w:vAlign w:val="center"/>
          </w:tcPr>
          <w:p w:rsidR="0014184E" w:rsidRPr="0014184E" w:rsidRDefault="0014184E" w:rsidP="0014184E">
            <w:pPr>
              <w:jc w:val="center"/>
              <w:rPr>
                <w:sz w:val="18"/>
                <w:szCs w:val="18"/>
              </w:rPr>
            </w:pPr>
            <w:r w:rsidRPr="0014184E">
              <w:rPr>
                <w:sz w:val="18"/>
                <w:szCs w:val="18"/>
              </w:rPr>
              <w:t>Ставка акциза за 1 литр (руб)</w:t>
            </w:r>
          </w:p>
        </w:tc>
        <w:tc>
          <w:tcPr>
            <w:tcW w:w="979" w:type="dxa"/>
            <w:vAlign w:val="center"/>
          </w:tcPr>
          <w:p w:rsidR="0014184E" w:rsidRPr="0014184E" w:rsidRDefault="0014184E" w:rsidP="0014184E">
            <w:pPr>
              <w:jc w:val="center"/>
              <w:rPr>
                <w:sz w:val="18"/>
                <w:szCs w:val="18"/>
              </w:rPr>
            </w:pPr>
            <w:r w:rsidRPr="0014184E">
              <w:rPr>
                <w:sz w:val="18"/>
                <w:szCs w:val="18"/>
              </w:rPr>
              <w:t>Ставка в перерас-чете на абсолют-ный алкоголь (руб) за 1 дал</w:t>
            </w:r>
          </w:p>
        </w:tc>
        <w:tc>
          <w:tcPr>
            <w:tcW w:w="1018" w:type="dxa"/>
            <w:vAlign w:val="center"/>
          </w:tcPr>
          <w:p w:rsidR="0014184E" w:rsidRPr="0014184E" w:rsidRDefault="0014184E" w:rsidP="0014184E">
            <w:pPr>
              <w:jc w:val="center"/>
              <w:rPr>
                <w:sz w:val="18"/>
                <w:szCs w:val="18"/>
              </w:rPr>
            </w:pPr>
            <w:r w:rsidRPr="0014184E">
              <w:rPr>
                <w:sz w:val="18"/>
                <w:szCs w:val="18"/>
              </w:rPr>
              <w:t xml:space="preserve">Итого </w:t>
            </w:r>
            <w:r w:rsidRPr="0014184E">
              <w:rPr>
                <w:sz w:val="18"/>
                <w:szCs w:val="18"/>
                <w:lang w:val="en-US"/>
              </w:rPr>
              <w:t>c</w:t>
            </w:r>
            <w:r w:rsidRPr="0014184E">
              <w:rPr>
                <w:sz w:val="18"/>
                <w:szCs w:val="18"/>
              </w:rPr>
              <w:t>умма акциза  за 2024 год   (тыс.руб.) с учетом округления</w:t>
            </w:r>
          </w:p>
        </w:tc>
        <w:tc>
          <w:tcPr>
            <w:tcW w:w="1227" w:type="dxa"/>
            <w:vAlign w:val="center"/>
          </w:tcPr>
          <w:p w:rsidR="0014184E" w:rsidRPr="0014184E" w:rsidRDefault="0014184E" w:rsidP="0014184E">
            <w:pPr>
              <w:jc w:val="center"/>
              <w:rPr>
                <w:sz w:val="18"/>
                <w:szCs w:val="18"/>
              </w:rPr>
            </w:pPr>
            <w:r w:rsidRPr="0014184E">
              <w:rPr>
                <w:sz w:val="18"/>
                <w:szCs w:val="18"/>
              </w:rPr>
              <w:t>Сумма акцизов, подлежащая уплате в янв..2024 г. в бюджет области за реализ. дек. 2023 г.</w:t>
            </w:r>
          </w:p>
        </w:tc>
        <w:tc>
          <w:tcPr>
            <w:tcW w:w="1224" w:type="dxa"/>
            <w:vAlign w:val="center"/>
          </w:tcPr>
          <w:p w:rsidR="0014184E" w:rsidRPr="0014184E" w:rsidRDefault="0014184E" w:rsidP="0014184E">
            <w:pPr>
              <w:jc w:val="center"/>
              <w:rPr>
                <w:sz w:val="18"/>
                <w:szCs w:val="18"/>
              </w:rPr>
            </w:pPr>
            <w:r w:rsidRPr="0014184E">
              <w:rPr>
                <w:sz w:val="18"/>
                <w:szCs w:val="18"/>
              </w:rPr>
              <w:t>Поступление акцизов в янв. 2025 г. за реализ. декабря 2024 г.</w:t>
            </w:r>
          </w:p>
        </w:tc>
        <w:tc>
          <w:tcPr>
            <w:tcW w:w="951" w:type="dxa"/>
            <w:vAlign w:val="center"/>
          </w:tcPr>
          <w:p w:rsidR="0014184E" w:rsidRPr="0014184E" w:rsidRDefault="0014184E" w:rsidP="0014184E">
            <w:pPr>
              <w:jc w:val="center"/>
              <w:rPr>
                <w:b/>
                <w:bCs/>
                <w:sz w:val="18"/>
                <w:szCs w:val="18"/>
              </w:rPr>
            </w:pPr>
            <w:r w:rsidRPr="0014184E">
              <w:rPr>
                <w:b/>
                <w:bCs/>
                <w:sz w:val="18"/>
                <w:szCs w:val="18"/>
              </w:rPr>
              <w:t>Прогноз на 2024 год с учетом сроков уплаты</w:t>
            </w:r>
          </w:p>
        </w:tc>
        <w:tc>
          <w:tcPr>
            <w:tcW w:w="975" w:type="dxa"/>
            <w:vAlign w:val="center"/>
          </w:tcPr>
          <w:p w:rsidR="0014184E" w:rsidRPr="0014184E" w:rsidRDefault="0014184E" w:rsidP="0014184E">
            <w:pPr>
              <w:jc w:val="center"/>
              <w:rPr>
                <w:sz w:val="18"/>
                <w:szCs w:val="18"/>
              </w:rPr>
            </w:pPr>
            <w:r w:rsidRPr="0014184E">
              <w:rPr>
                <w:sz w:val="18"/>
                <w:szCs w:val="18"/>
              </w:rPr>
              <w:t>Норма-тив отчисле-ния в бюджет субъекта</w:t>
            </w:r>
          </w:p>
        </w:tc>
        <w:tc>
          <w:tcPr>
            <w:tcW w:w="867" w:type="dxa"/>
            <w:vAlign w:val="center"/>
          </w:tcPr>
          <w:p w:rsidR="0014184E" w:rsidRPr="0014184E" w:rsidRDefault="0014184E" w:rsidP="0014184E">
            <w:pPr>
              <w:jc w:val="center"/>
              <w:rPr>
                <w:sz w:val="18"/>
                <w:szCs w:val="18"/>
              </w:rPr>
            </w:pPr>
            <w:r w:rsidRPr="0014184E">
              <w:rPr>
                <w:sz w:val="18"/>
                <w:szCs w:val="18"/>
              </w:rPr>
              <w:t>Собираемость,</w:t>
            </w:r>
          </w:p>
          <w:p w:rsidR="0014184E" w:rsidRPr="0014184E" w:rsidRDefault="0014184E" w:rsidP="0014184E">
            <w:pPr>
              <w:jc w:val="center"/>
              <w:rPr>
                <w:sz w:val="18"/>
                <w:szCs w:val="18"/>
              </w:rPr>
            </w:pPr>
            <w:r w:rsidRPr="0014184E">
              <w:rPr>
                <w:sz w:val="18"/>
                <w:szCs w:val="18"/>
              </w:rPr>
              <w:t>%</w:t>
            </w:r>
          </w:p>
        </w:tc>
        <w:tc>
          <w:tcPr>
            <w:tcW w:w="993" w:type="dxa"/>
            <w:vAlign w:val="center"/>
          </w:tcPr>
          <w:p w:rsidR="0014184E" w:rsidRPr="0014184E" w:rsidRDefault="0014184E" w:rsidP="0014184E">
            <w:pPr>
              <w:jc w:val="center"/>
              <w:rPr>
                <w:b/>
                <w:bCs/>
                <w:sz w:val="18"/>
                <w:szCs w:val="18"/>
              </w:rPr>
            </w:pPr>
            <w:r w:rsidRPr="0014184E">
              <w:rPr>
                <w:b/>
                <w:bCs/>
                <w:sz w:val="18"/>
                <w:szCs w:val="18"/>
              </w:rPr>
              <w:t>Итого акцизы на 2024 год</w:t>
            </w:r>
          </w:p>
        </w:tc>
        <w:tc>
          <w:tcPr>
            <w:tcW w:w="881" w:type="dxa"/>
            <w:vAlign w:val="center"/>
          </w:tcPr>
          <w:p w:rsidR="0014184E" w:rsidRPr="0014184E" w:rsidRDefault="0014184E" w:rsidP="0014184E">
            <w:pPr>
              <w:ind w:left="-130" w:right="-143"/>
              <w:jc w:val="center"/>
              <w:rPr>
                <w:sz w:val="18"/>
                <w:szCs w:val="18"/>
              </w:rPr>
            </w:pPr>
            <w:r w:rsidRPr="0014184E">
              <w:rPr>
                <w:sz w:val="18"/>
                <w:szCs w:val="18"/>
              </w:rPr>
              <w:t>в том числе акцизы на экспорт/ вычет по винома-териалам</w:t>
            </w:r>
          </w:p>
        </w:tc>
        <w:tc>
          <w:tcPr>
            <w:tcW w:w="851" w:type="dxa"/>
            <w:vAlign w:val="center"/>
          </w:tcPr>
          <w:p w:rsidR="0014184E" w:rsidRPr="0014184E" w:rsidRDefault="0014184E" w:rsidP="0014184E">
            <w:pPr>
              <w:ind w:left="-110" w:right="-106"/>
              <w:jc w:val="center"/>
              <w:rPr>
                <w:b/>
                <w:bCs/>
                <w:sz w:val="18"/>
                <w:szCs w:val="18"/>
              </w:rPr>
            </w:pPr>
            <w:r w:rsidRPr="0014184E">
              <w:rPr>
                <w:b/>
                <w:bCs/>
                <w:sz w:val="18"/>
                <w:szCs w:val="18"/>
              </w:rPr>
              <w:t>Прогноз на 2024 год.</w:t>
            </w:r>
          </w:p>
        </w:tc>
      </w:tr>
      <w:tr w:rsidR="0014184E" w:rsidRPr="0014184E" w:rsidTr="008A253E">
        <w:trPr>
          <w:trHeight w:val="225"/>
          <w:tblHeader/>
        </w:trPr>
        <w:tc>
          <w:tcPr>
            <w:tcW w:w="3114" w:type="dxa"/>
            <w:vAlign w:val="center"/>
          </w:tcPr>
          <w:p w:rsidR="0014184E" w:rsidRPr="0014184E" w:rsidRDefault="0014184E" w:rsidP="0014184E">
            <w:pPr>
              <w:jc w:val="center"/>
              <w:rPr>
                <w:sz w:val="18"/>
                <w:szCs w:val="18"/>
              </w:rPr>
            </w:pPr>
            <w:r w:rsidRPr="0014184E">
              <w:rPr>
                <w:sz w:val="18"/>
                <w:szCs w:val="18"/>
              </w:rPr>
              <w:t>1</w:t>
            </w:r>
          </w:p>
        </w:tc>
        <w:tc>
          <w:tcPr>
            <w:tcW w:w="769" w:type="dxa"/>
            <w:vAlign w:val="center"/>
          </w:tcPr>
          <w:p w:rsidR="0014184E" w:rsidRPr="0014184E" w:rsidRDefault="0014184E" w:rsidP="0014184E">
            <w:pPr>
              <w:jc w:val="center"/>
              <w:rPr>
                <w:sz w:val="18"/>
                <w:szCs w:val="18"/>
              </w:rPr>
            </w:pPr>
            <w:r w:rsidRPr="0014184E">
              <w:rPr>
                <w:sz w:val="18"/>
                <w:szCs w:val="18"/>
              </w:rPr>
              <w:t>2</w:t>
            </w:r>
          </w:p>
        </w:tc>
        <w:tc>
          <w:tcPr>
            <w:tcW w:w="747" w:type="dxa"/>
            <w:vAlign w:val="center"/>
          </w:tcPr>
          <w:p w:rsidR="0014184E" w:rsidRPr="0014184E" w:rsidRDefault="0014184E" w:rsidP="0014184E">
            <w:pPr>
              <w:jc w:val="center"/>
              <w:rPr>
                <w:sz w:val="18"/>
                <w:szCs w:val="18"/>
              </w:rPr>
            </w:pPr>
            <w:r w:rsidRPr="0014184E">
              <w:rPr>
                <w:sz w:val="18"/>
                <w:szCs w:val="18"/>
              </w:rPr>
              <w:t>3</w:t>
            </w:r>
          </w:p>
        </w:tc>
        <w:tc>
          <w:tcPr>
            <w:tcW w:w="979" w:type="dxa"/>
            <w:vAlign w:val="center"/>
          </w:tcPr>
          <w:p w:rsidR="0014184E" w:rsidRPr="0014184E" w:rsidRDefault="0014184E" w:rsidP="0014184E">
            <w:pPr>
              <w:jc w:val="center"/>
              <w:rPr>
                <w:sz w:val="18"/>
                <w:szCs w:val="18"/>
              </w:rPr>
            </w:pPr>
            <w:r w:rsidRPr="0014184E">
              <w:rPr>
                <w:sz w:val="18"/>
                <w:szCs w:val="18"/>
              </w:rPr>
              <w:t>4</w:t>
            </w:r>
          </w:p>
        </w:tc>
        <w:tc>
          <w:tcPr>
            <w:tcW w:w="1018" w:type="dxa"/>
            <w:vAlign w:val="center"/>
          </w:tcPr>
          <w:p w:rsidR="0014184E" w:rsidRPr="0014184E" w:rsidRDefault="0014184E" w:rsidP="0014184E">
            <w:pPr>
              <w:jc w:val="center"/>
              <w:rPr>
                <w:sz w:val="18"/>
                <w:szCs w:val="18"/>
              </w:rPr>
            </w:pPr>
            <w:r w:rsidRPr="0014184E">
              <w:rPr>
                <w:sz w:val="18"/>
                <w:szCs w:val="18"/>
              </w:rPr>
              <w:t>5=2*4</w:t>
            </w:r>
          </w:p>
        </w:tc>
        <w:tc>
          <w:tcPr>
            <w:tcW w:w="1227" w:type="dxa"/>
            <w:vAlign w:val="center"/>
          </w:tcPr>
          <w:p w:rsidR="0014184E" w:rsidRPr="0014184E" w:rsidRDefault="0014184E" w:rsidP="0014184E">
            <w:pPr>
              <w:jc w:val="center"/>
              <w:rPr>
                <w:sz w:val="18"/>
                <w:szCs w:val="18"/>
                <w:lang w:val="en-US"/>
              </w:rPr>
            </w:pPr>
            <w:r w:rsidRPr="0014184E">
              <w:rPr>
                <w:sz w:val="18"/>
                <w:szCs w:val="18"/>
                <w:lang w:val="en-US"/>
              </w:rPr>
              <w:t>6</w:t>
            </w:r>
          </w:p>
        </w:tc>
        <w:tc>
          <w:tcPr>
            <w:tcW w:w="1224" w:type="dxa"/>
            <w:vAlign w:val="center"/>
          </w:tcPr>
          <w:p w:rsidR="0014184E" w:rsidRPr="0014184E" w:rsidRDefault="0014184E" w:rsidP="0014184E">
            <w:pPr>
              <w:jc w:val="center"/>
              <w:rPr>
                <w:sz w:val="18"/>
                <w:szCs w:val="18"/>
                <w:lang w:val="en-US"/>
              </w:rPr>
            </w:pPr>
            <w:r w:rsidRPr="0014184E">
              <w:rPr>
                <w:sz w:val="18"/>
                <w:szCs w:val="18"/>
                <w:lang w:val="en-US"/>
              </w:rPr>
              <w:t>7</w:t>
            </w:r>
          </w:p>
        </w:tc>
        <w:tc>
          <w:tcPr>
            <w:tcW w:w="951" w:type="dxa"/>
            <w:vAlign w:val="center"/>
          </w:tcPr>
          <w:p w:rsidR="0014184E" w:rsidRPr="0014184E" w:rsidRDefault="0014184E" w:rsidP="0014184E">
            <w:pPr>
              <w:jc w:val="center"/>
              <w:rPr>
                <w:sz w:val="18"/>
                <w:szCs w:val="18"/>
                <w:lang w:val="en-US"/>
              </w:rPr>
            </w:pPr>
            <w:r w:rsidRPr="0014184E">
              <w:rPr>
                <w:sz w:val="18"/>
                <w:szCs w:val="18"/>
                <w:lang w:val="en-US"/>
              </w:rPr>
              <w:t>8</w:t>
            </w:r>
            <w:r w:rsidRPr="0014184E">
              <w:rPr>
                <w:sz w:val="18"/>
                <w:szCs w:val="18"/>
              </w:rPr>
              <w:t>=</w:t>
            </w:r>
            <w:r w:rsidRPr="0014184E">
              <w:rPr>
                <w:sz w:val="18"/>
                <w:szCs w:val="18"/>
                <w:lang w:val="en-US"/>
              </w:rPr>
              <w:t>5</w:t>
            </w:r>
            <w:r w:rsidRPr="0014184E">
              <w:rPr>
                <w:sz w:val="18"/>
                <w:szCs w:val="18"/>
              </w:rPr>
              <w:t>+</w:t>
            </w:r>
            <w:r w:rsidRPr="0014184E">
              <w:rPr>
                <w:sz w:val="18"/>
                <w:szCs w:val="18"/>
                <w:lang w:val="en-US"/>
              </w:rPr>
              <w:t>6</w:t>
            </w:r>
            <w:r w:rsidRPr="0014184E">
              <w:rPr>
                <w:sz w:val="18"/>
                <w:szCs w:val="18"/>
              </w:rPr>
              <w:t>-</w:t>
            </w:r>
            <w:r w:rsidRPr="0014184E">
              <w:rPr>
                <w:sz w:val="18"/>
                <w:szCs w:val="18"/>
                <w:lang w:val="en-US"/>
              </w:rPr>
              <w:t>7</w:t>
            </w:r>
          </w:p>
        </w:tc>
        <w:tc>
          <w:tcPr>
            <w:tcW w:w="975" w:type="dxa"/>
            <w:vAlign w:val="center"/>
          </w:tcPr>
          <w:p w:rsidR="0014184E" w:rsidRPr="0014184E" w:rsidRDefault="0014184E" w:rsidP="0014184E">
            <w:pPr>
              <w:jc w:val="center"/>
              <w:rPr>
                <w:sz w:val="18"/>
                <w:szCs w:val="18"/>
                <w:lang w:val="en-US"/>
              </w:rPr>
            </w:pPr>
            <w:r w:rsidRPr="0014184E">
              <w:rPr>
                <w:sz w:val="18"/>
                <w:szCs w:val="18"/>
                <w:lang w:val="en-US"/>
              </w:rPr>
              <w:t>9</w:t>
            </w:r>
          </w:p>
        </w:tc>
        <w:tc>
          <w:tcPr>
            <w:tcW w:w="867" w:type="dxa"/>
          </w:tcPr>
          <w:p w:rsidR="0014184E" w:rsidRPr="0014184E" w:rsidRDefault="0014184E" w:rsidP="0014184E">
            <w:pPr>
              <w:jc w:val="center"/>
              <w:rPr>
                <w:sz w:val="18"/>
                <w:szCs w:val="18"/>
              </w:rPr>
            </w:pPr>
            <w:r w:rsidRPr="0014184E">
              <w:rPr>
                <w:sz w:val="18"/>
                <w:szCs w:val="18"/>
              </w:rPr>
              <w:t>10</w:t>
            </w:r>
          </w:p>
        </w:tc>
        <w:tc>
          <w:tcPr>
            <w:tcW w:w="993" w:type="dxa"/>
            <w:vAlign w:val="center"/>
          </w:tcPr>
          <w:p w:rsidR="0014184E" w:rsidRPr="0014184E" w:rsidRDefault="0014184E" w:rsidP="0014184E">
            <w:pPr>
              <w:jc w:val="center"/>
              <w:rPr>
                <w:sz w:val="18"/>
                <w:szCs w:val="18"/>
              </w:rPr>
            </w:pPr>
            <w:r w:rsidRPr="0014184E">
              <w:rPr>
                <w:sz w:val="18"/>
                <w:szCs w:val="18"/>
              </w:rPr>
              <w:t>11</w:t>
            </w:r>
          </w:p>
        </w:tc>
        <w:tc>
          <w:tcPr>
            <w:tcW w:w="881" w:type="dxa"/>
            <w:noWrap/>
            <w:vAlign w:val="center"/>
          </w:tcPr>
          <w:p w:rsidR="0014184E" w:rsidRPr="0014184E" w:rsidRDefault="0014184E" w:rsidP="0014184E">
            <w:pPr>
              <w:jc w:val="center"/>
              <w:rPr>
                <w:sz w:val="18"/>
                <w:szCs w:val="18"/>
              </w:rPr>
            </w:pPr>
            <w:r w:rsidRPr="0014184E">
              <w:rPr>
                <w:sz w:val="18"/>
                <w:szCs w:val="18"/>
              </w:rPr>
              <w:t>12</w:t>
            </w:r>
          </w:p>
        </w:tc>
        <w:tc>
          <w:tcPr>
            <w:tcW w:w="851" w:type="dxa"/>
            <w:noWrap/>
            <w:vAlign w:val="center"/>
          </w:tcPr>
          <w:p w:rsidR="0014184E" w:rsidRPr="0014184E" w:rsidRDefault="0014184E" w:rsidP="0014184E">
            <w:pPr>
              <w:ind w:left="-110" w:right="-106"/>
              <w:jc w:val="center"/>
              <w:rPr>
                <w:sz w:val="18"/>
                <w:szCs w:val="18"/>
              </w:rPr>
            </w:pPr>
            <w:r w:rsidRPr="0014184E">
              <w:rPr>
                <w:sz w:val="18"/>
                <w:szCs w:val="18"/>
                <w:lang w:val="en-US"/>
              </w:rPr>
              <w:t>1</w:t>
            </w:r>
            <w:r w:rsidRPr="0014184E">
              <w:rPr>
                <w:sz w:val="18"/>
                <w:szCs w:val="18"/>
              </w:rPr>
              <w:t>3=11-12</w:t>
            </w:r>
          </w:p>
        </w:tc>
      </w:tr>
      <w:tr w:rsidR="0014184E" w:rsidRPr="0014184E" w:rsidTr="008A253E">
        <w:trPr>
          <w:trHeight w:val="839"/>
        </w:trPr>
        <w:tc>
          <w:tcPr>
            <w:tcW w:w="3114" w:type="dxa"/>
            <w:vAlign w:val="bottom"/>
          </w:tcPr>
          <w:p w:rsidR="0014184E" w:rsidRPr="0014184E" w:rsidRDefault="0014184E" w:rsidP="0014184E">
            <w:pPr>
              <w:autoSpaceDE w:val="0"/>
              <w:autoSpaceDN w:val="0"/>
              <w:adjustRightInd w:val="0"/>
              <w:jc w:val="both"/>
              <w:rPr>
                <w:b/>
                <w:sz w:val="18"/>
                <w:szCs w:val="18"/>
              </w:rPr>
            </w:pPr>
            <w:r w:rsidRPr="0014184E">
              <w:rPr>
                <w:rFonts w:eastAsiaTheme="minorHAnsi"/>
                <w:b/>
                <w:sz w:val="18"/>
                <w:szCs w:val="18"/>
              </w:rPr>
              <w:t>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производимые на территории Российской Федерации, кроме производимых из подакцизного винограда</w:t>
            </w:r>
          </w:p>
        </w:tc>
        <w:tc>
          <w:tcPr>
            <w:tcW w:w="769" w:type="dxa"/>
            <w:vAlign w:val="center"/>
          </w:tcPr>
          <w:p w:rsidR="0014184E" w:rsidRPr="0014184E" w:rsidRDefault="0014184E" w:rsidP="0014184E">
            <w:pPr>
              <w:jc w:val="center"/>
              <w:rPr>
                <w:b/>
                <w:sz w:val="18"/>
                <w:szCs w:val="18"/>
              </w:rPr>
            </w:pPr>
            <w:r w:rsidRPr="0014184E">
              <w:rPr>
                <w:b/>
                <w:sz w:val="18"/>
                <w:szCs w:val="18"/>
              </w:rPr>
              <w:t>200</w:t>
            </w:r>
          </w:p>
        </w:tc>
        <w:tc>
          <w:tcPr>
            <w:tcW w:w="747" w:type="dxa"/>
            <w:vAlign w:val="center"/>
          </w:tcPr>
          <w:p w:rsidR="0014184E" w:rsidRPr="0014184E" w:rsidRDefault="0014184E" w:rsidP="0014184E">
            <w:pPr>
              <w:jc w:val="center"/>
              <w:rPr>
                <w:b/>
                <w:sz w:val="18"/>
                <w:szCs w:val="18"/>
              </w:rPr>
            </w:pPr>
            <w:r w:rsidRPr="0014184E">
              <w:rPr>
                <w:b/>
                <w:sz w:val="18"/>
                <w:szCs w:val="18"/>
              </w:rPr>
              <w:t>х</w:t>
            </w:r>
          </w:p>
        </w:tc>
        <w:tc>
          <w:tcPr>
            <w:tcW w:w="979" w:type="dxa"/>
            <w:vAlign w:val="center"/>
          </w:tcPr>
          <w:p w:rsidR="0014184E" w:rsidRPr="0014184E" w:rsidRDefault="0014184E" w:rsidP="0014184E">
            <w:pPr>
              <w:jc w:val="center"/>
              <w:rPr>
                <w:b/>
                <w:sz w:val="18"/>
                <w:szCs w:val="18"/>
              </w:rPr>
            </w:pPr>
            <w:r w:rsidRPr="0014184E">
              <w:rPr>
                <w:b/>
                <w:sz w:val="18"/>
                <w:szCs w:val="18"/>
              </w:rPr>
              <w:t>х</w:t>
            </w:r>
          </w:p>
        </w:tc>
        <w:tc>
          <w:tcPr>
            <w:tcW w:w="1018" w:type="dxa"/>
            <w:vAlign w:val="center"/>
          </w:tcPr>
          <w:p w:rsidR="0014184E" w:rsidRPr="0014184E" w:rsidRDefault="0014184E" w:rsidP="0014184E">
            <w:pPr>
              <w:jc w:val="center"/>
              <w:rPr>
                <w:b/>
                <w:sz w:val="18"/>
                <w:szCs w:val="18"/>
              </w:rPr>
            </w:pPr>
            <w:r w:rsidRPr="0014184E">
              <w:rPr>
                <w:b/>
                <w:sz w:val="18"/>
                <w:szCs w:val="18"/>
              </w:rPr>
              <w:t>73 600</w:t>
            </w:r>
          </w:p>
        </w:tc>
        <w:tc>
          <w:tcPr>
            <w:tcW w:w="1227" w:type="dxa"/>
            <w:vAlign w:val="center"/>
          </w:tcPr>
          <w:p w:rsidR="0014184E" w:rsidRPr="0014184E" w:rsidRDefault="0014184E" w:rsidP="0014184E">
            <w:pPr>
              <w:jc w:val="center"/>
              <w:rPr>
                <w:b/>
                <w:sz w:val="18"/>
                <w:szCs w:val="18"/>
              </w:rPr>
            </w:pPr>
            <w:r w:rsidRPr="0014184E">
              <w:rPr>
                <w:b/>
                <w:sz w:val="18"/>
                <w:szCs w:val="18"/>
              </w:rPr>
              <w:t>5 885</w:t>
            </w:r>
          </w:p>
        </w:tc>
        <w:tc>
          <w:tcPr>
            <w:tcW w:w="1224" w:type="dxa"/>
            <w:vAlign w:val="center"/>
          </w:tcPr>
          <w:p w:rsidR="0014184E" w:rsidRPr="0014184E" w:rsidRDefault="0014184E" w:rsidP="0014184E">
            <w:pPr>
              <w:jc w:val="center"/>
              <w:rPr>
                <w:b/>
                <w:sz w:val="18"/>
                <w:szCs w:val="18"/>
              </w:rPr>
            </w:pPr>
            <w:r w:rsidRPr="0014184E">
              <w:rPr>
                <w:b/>
                <w:sz w:val="18"/>
                <w:szCs w:val="18"/>
              </w:rPr>
              <w:t>6 075</w:t>
            </w:r>
          </w:p>
        </w:tc>
        <w:tc>
          <w:tcPr>
            <w:tcW w:w="951" w:type="dxa"/>
            <w:vAlign w:val="center"/>
          </w:tcPr>
          <w:p w:rsidR="0014184E" w:rsidRPr="0014184E" w:rsidRDefault="0014184E" w:rsidP="0014184E">
            <w:pPr>
              <w:jc w:val="center"/>
              <w:rPr>
                <w:b/>
                <w:sz w:val="18"/>
                <w:szCs w:val="18"/>
              </w:rPr>
            </w:pPr>
            <w:r w:rsidRPr="0014184E">
              <w:rPr>
                <w:b/>
                <w:sz w:val="18"/>
                <w:szCs w:val="18"/>
              </w:rPr>
              <w:t>73 410</w:t>
            </w:r>
          </w:p>
        </w:tc>
        <w:tc>
          <w:tcPr>
            <w:tcW w:w="975" w:type="dxa"/>
            <w:vAlign w:val="center"/>
          </w:tcPr>
          <w:p w:rsidR="0014184E" w:rsidRPr="0014184E" w:rsidRDefault="0014184E" w:rsidP="0014184E">
            <w:pPr>
              <w:jc w:val="center"/>
              <w:rPr>
                <w:b/>
                <w:sz w:val="18"/>
                <w:szCs w:val="18"/>
                <w:lang w:val="en-US"/>
              </w:rPr>
            </w:pPr>
            <w:r w:rsidRPr="0014184E">
              <w:rPr>
                <w:b/>
                <w:sz w:val="18"/>
                <w:szCs w:val="18"/>
                <w:lang w:val="en-US"/>
              </w:rPr>
              <w:t>100</w:t>
            </w:r>
          </w:p>
        </w:tc>
        <w:tc>
          <w:tcPr>
            <w:tcW w:w="867" w:type="dxa"/>
            <w:vAlign w:val="center"/>
          </w:tcPr>
          <w:p w:rsidR="0014184E" w:rsidRPr="0014184E" w:rsidRDefault="0014184E" w:rsidP="0014184E">
            <w:pPr>
              <w:jc w:val="center"/>
              <w:rPr>
                <w:b/>
                <w:sz w:val="18"/>
                <w:szCs w:val="18"/>
              </w:rPr>
            </w:pPr>
            <w:r w:rsidRPr="0014184E">
              <w:rPr>
                <w:b/>
                <w:sz w:val="18"/>
                <w:szCs w:val="18"/>
              </w:rPr>
              <w:t>100</w:t>
            </w:r>
          </w:p>
        </w:tc>
        <w:tc>
          <w:tcPr>
            <w:tcW w:w="993" w:type="dxa"/>
            <w:vAlign w:val="center"/>
          </w:tcPr>
          <w:p w:rsidR="0014184E" w:rsidRPr="0014184E" w:rsidRDefault="0014184E" w:rsidP="0014184E">
            <w:pPr>
              <w:jc w:val="center"/>
              <w:rPr>
                <w:b/>
                <w:sz w:val="18"/>
                <w:szCs w:val="18"/>
              </w:rPr>
            </w:pPr>
            <w:r w:rsidRPr="0014184E">
              <w:rPr>
                <w:b/>
                <w:sz w:val="18"/>
                <w:szCs w:val="18"/>
              </w:rPr>
              <w:t>73 410</w:t>
            </w:r>
          </w:p>
        </w:tc>
        <w:tc>
          <w:tcPr>
            <w:tcW w:w="881" w:type="dxa"/>
            <w:noWrap/>
            <w:vAlign w:val="center"/>
          </w:tcPr>
          <w:p w:rsidR="0014184E" w:rsidRPr="0014184E" w:rsidRDefault="0014184E" w:rsidP="0014184E">
            <w:pPr>
              <w:jc w:val="center"/>
              <w:rPr>
                <w:b/>
                <w:sz w:val="18"/>
                <w:szCs w:val="18"/>
              </w:rPr>
            </w:pPr>
            <w:r w:rsidRPr="0014184E">
              <w:rPr>
                <w:b/>
                <w:sz w:val="18"/>
                <w:szCs w:val="18"/>
              </w:rPr>
              <w:t>31 501</w:t>
            </w:r>
          </w:p>
        </w:tc>
        <w:tc>
          <w:tcPr>
            <w:tcW w:w="851" w:type="dxa"/>
            <w:noWrap/>
            <w:vAlign w:val="center"/>
          </w:tcPr>
          <w:p w:rsidR="0014184E" w:rsidRPr="0014184E" w:rsidRDefault="0014184E" w:rsidP="0014184E">
            <w:pPr>
              <w:jc w:val="center"/>
              <w:rPr>
                <w:b/>
                <w:sz w:val="18"/>
                <w:szCs w:val="18"/>
              </w:rPr>
            </w:pPr>
            <w:r w:rsidRPr="0014184E">
              <w:rPr>
                <w:b/>
                <w:sz w:val="18"/>
                <w:szCs w:val="18"/>
              </w:rPr>
              <w:t>41 909</w:t>
            </w:r>
          </w:p>
        </w:tc>
      </w:tr>
      <w:tr w:rsidR="0014184E" w:rsidRPr="0014184E" w:rsidTr="008A253E">
        <w:trPr>
          <w:trHeight w:val="825"/>
        </w:trPr>
        <w:tc>
          <w:tcPr>
            <w:tcW w:w="3114" w:type="dxa"/>
            <w:vAlign w:val="bottom"/>
          </w:tcPr>
          <w:p w:rsidR="0014184E" w:rsidRPr="0014184E" w:rsidRDefault="0014184E" w:rsidP="0014184E">
            <w:pPr>
              <w:rPr>
                <w:sz w:val="18"/>
                <w:szCs w:val="18"/>
              </w:rPr>
            </w:pPr>
            <w:r w:rsidRPr="0014184E">
              <w:rPr>
                <w:sz w:val="18"/>
                <w:szCs w:val="18"/>
              </w:rPr>
              <w:t>Вина</w:t>
            </w:r>
          </w:p>
        </w:tc>
        <w:tc>
          <w:tcPr>
            <w:tcW w:w="769" w:type="dxa"/>
            <w:vAlign w:val="center"/>
          </w:tcPr>
          <w:p w:rsidR="0014184E" w:rsidRPr="0014184E" w:rsidRDefault="0014184E" w:rsidP="0014184E">
            <w:pPr>
              <w:jc w:val="center"/>
              <w:rPr>
                <w:sz w:val="18"/>
                <w:szCs w:val="18"/>
              </w:rPr>
            </w:pPr>
            <w:r w:rsidRPr="0014184E">
              <w:rPr>
                <w:sz w:val="18"/>
                <w:szCs w:val="18"/>
              </w:rPr>
              <w:t>170</w:t>
            </w:r>
          </w:p>
        </w:tc>
        <w:tc>
          <w:tcPr>
            <w:tcW w:w="747" w:type="dxa"/>
            <w:vAlign w:val="center"/>
          </w:tcPr>
          <w:p w:rsidR="0014184E" w:rsidRPr="0014184E" w:rsidRDefault="0014184E" w:rsidP="0014184E">
            <w:pPr>
              <w:jc w:val="center"/>
              <w:rPr>
                <w:sz w:val="18"/>
                <w:szCs w:val="18"/>
              </w:rPr>
            </w:pPr>
            <w:r w:rsidRPr="0014184E">
              <w:rPr>
                <w:sz w:val="18"/>
                <w:szCs w:val="18"/>
              </w:rPr>
              <w:t>35</w:t>
            </w:r>
          </w:p>
        </w:tc>
        <w:tc>
          <w:tcPr>
            <w:tcW w:w="979" w:type="dxa"/>
            <w:vAlign w:val="center"/>
          </w:tcPr>
          <w:p w:rsidR="0014184E" w:rsidRPr="0014184E" w:rsidRDefault="0014184E" w:rsidP="0014184E">
            <w:pPr>
              <w:jc w:val="center"/>
              <w:rPr>
                <w:sz w:val="18"/>
                <w:szCs w:val="18"/>
              </w:rPr>
            </w:pPr>
            <w:r w:rsidRPr="0014184E">
              <w:rPr>
                <w:sz w:val="18"/>
                <w:szCs w:val="18"/>
              </w:rPr>
              <w:t>350</w:t>
            </w:r>
          </w:p>
        </w:tc>
        <w:tc>
          <w:tcPr>
            <w:tcW w:w="1018" w:type="dxa"/>
            <w:vAlign w:val="center"/>
          </w:tcPr>
          <w:p w:rsidR="0014184E" w:rsidRPr="0014184E" w:rsidRDefault="0014184E" w:rsidP="0014184E">
            <w:pPr>
              <w:jc w:val="center"/>
              <w:rPr>
                <w:sz w:val="18"/>
                <w:szCs w:val="18"/>
              </w:rPr>
            </w:pPr>
            <w:r w:rsidRPr="0014184E">
              <w:rPr>
                <w:sz w:val="18"/>
                <w:szCs w:val="18"/>
              </w:rPr>
              <w:t>59 500</w:t>
            </w:r>
          </w:p>
        </w:tc>
        <w:tc>
          <w:tcPr>
            <w:tcW w:w="1227" w:type="dxa"/>
            <w:vAlign w:val="center"/>
          </w:tcPr>
          <w:p w:rsidR="0014184E" w:rsidRPr="0014184E" w:rsidRDefault="0014184E" w:rsidP="0014184E">
            <w:pPr>
              <w:ind w:left="-107" w:right="-109"/>
              <w:jc w:val="center"/>
              <w:rPr>
                <w:sz w:val="18"/>
                <w:szCs w:val="18"/>
              </w:rPr>
            </w:pPr>
            <w:r w:rsidRPr="0014184E">
              <w:rPr>
                <w:sz w:val="18"/>
                <w:szCs w:val="18"/>
              </w:rPr>
              <w:t>4 760</w:t>
            </w:r>
          </w:p>
          <w:p w:rsidR="0014184E" w:rsidRPr="0014184E" w:rsidRDefault="0014184E" w:rsidP="0014184E">
            <w:pPr>
              <w:ind w:left="-107" w:right="-109"/>
              <w:jc w:val="center"/>
              <w:rPr>
                <w:sz w:val="18"/>
                <w:szCs w:val="18"/>
              </w:rPr>
            </w:pPr>
            <w:r w:rsidRPr="0014184E">
              <w:rPr>
                <w:sz w:val="18"/>
                <w:szCs w:val="18"/>
              </w:rPr>
              <w:t>ставка 34 руб. за 1 л.</w:t>
            </w:r>
          </w:p>
        </w:tc>
        <w:tc>
          <w:tcPr>
            <w:tcW w:w="1224" w:type="dxa"/>
            <w:vAlign w:val="center"/>
          </w:tcPr>
          <w:p w:rsidR="0014184E" w:rsidRPr="0014184E" w:rsidRDefault="0014184E" w:rsidP="0014184E">
            <w:pPr>
              <w:jc w:val="center"/>
              <w:rPr>
                <w:sz w:val="18"/>
                <w:szCs w:val="18"/>
              </w:rPr>
            </w:pPr>
            <w:r w:rsidRPr="0014184E">
              <w:rPr>
                <w:sz w:val="18"/>
                <w:szCs w:val="18"/>
              </w:rPr>
              <w:t>4 900</w:t>
            </w:r>
          </w:p>
        </w:tc>
        <w:tc>
          <w:tcPr>
            <w:tcW w:w="951" w:type="dxa"/>
            <w:vAlign w:val="center"/>
          </w:tcPr>
          <w:p w:rsidR="0014184E" w:rsidRPr="0014184E" w:rsidRDefault="0014184E" w:rsidP="0014184E">
            <w:pPr>
              <w:jc w:val="center"/>
              <w:rPr>
                <w:sz w:val="18"/>
                <w:szCs w:val="18"/>
              </w:rPr>
            </w:pPr>
            <w:r w:rsidRPr="0014184E">
              <w:rPr>
                <w:sz w:val="18"/>
                <w:szCs w:val="18"/>
              </w:rPr>
              <w:t>59 360</w:t>
            </w:r>
          </w:p>
        </w:tc>
        <w:tc>
          <w:tcPr>
            <w:tcW w:w="975" w:type="dxa"/>
            <w:vAlign w:val="center"/>
          </w:tcPr>
          <w:p w:rsidR="0014184E" w:rsidRPr="0014184E" w:rsidRDefault="0014184E" w:rsidP="0014184E">
            <w:pPr>
              <w:jc w:val="center"/>
              <w:rPr>
                <w:sz w:val="18"/>
                <w:szCs w:val="18"/>
              </w:rPr>
            </w:pPr>
            <w:r w:rsidRPr="0014184E">
              <w:rPr>
                <w:sz w:val="18"/>
                <w:szCs w:val="18"/>
              </w:rPr>
              <w:t>100</w:t>
            </w:r>
          </w:p>
        </w:tc>
        <w:tc>
          <w:tcPr>
            <w:tcW w:w="867" w:type="dxa"/>
            <w:vAlign w:val="center"/>
          </w:tcPr>
          <w:p w:rsidR="0014184E" w:rsidRPr="0014184E" w:rsidRDefault="0014184E" w:rsidP="0014184E">
            <w:pPr>
              <w:jc w:val="center"/>
              <w:rPr>
                <w:sz w:val="18"/>
                <w:szCs w:val="18"/>
              </w:rPr>
            </w:pPr>
            <w:r w:rsidRPr="0014184E">
              <w:rPr>
                <w:sz w:val="18"/>
                <w:szCs w:val="18"/>
              </w:rPr>
              <w:t>100</w:t>
            </w:r>
          </w:p>
        </w:tc>
        <w:tc>
          <w:tcPr>
            <w:tcW w:w="993" w:type="dxa"/>
            <w:vAlign w:val="center"/>
          </w:tcPr>
          <w:p w:rsidR="0014184E" w:rsidRPr="0014184E" w:rsidRDefault="0014184E" w:rsidP="0014184E">
            <w:pPr>
              <w:jc w:val="center"/>
              <w:rPr>
                <w:sz w:val="18"/>
                <w:szCs w:val="18"/>
              </w:rPr>
            </w:pPr>
            <w:r w:rsidRPr="0014184E">
              <w:rPr>
                <w:sz w:val="18"/>
                <w:szCs w:val="18"/>
              </w:rPr>
              <w:t>59 360</w:t>
            </w:r>
          </w:p>
        </w:tc>
        <w:tc>
          <w:tcPr>
            <w:tcW w:w="881" w:type="dxa"/>
            <w:noWrap/>
            <w:vAlign w:val="center"/>
          </w:tcPr>
          <w:p w:rsidR="0014184E" w:rsidRPr="0014184E" w:rsidRDefault="0014184E" w:rsidP="0014184E">
            <w:pPr>
              <w:jc w:val="center"/>
              <w:rPr>
                <w:sz w:val="18"/>
                <w:szCs w:val="18"/>
              </w:rPr>
            </w:pPr>
            <w:r w:rsidRPr="0014184E">
              <w:rPr>
                <w:sz w:val="18"/>
                <w:szCs w:val="18"/>
              </w:rPr>
              <w:t>26 114</w:t>
            </w:r>
          </w:p>
        </w:tc>
        <w:tc>
          <w:tcPr>
            <w:tcW w:w="851" w:type="dxa"/>
            <w:noWrap/>
            <w:vAlign w:val="center"/>
          </w:tcPr>
          <w:p w:rsidR="0014184E" w:rsidRPr="0014184E" w:rsidRDefault="0014184E" w:rsidP="0014184E">
            <w:pPr>
              <w:ind w:left="-91" w:right="-72"/>
              <w:jc w:val="center"/>
              <w:rPr>
                <w:sz w:val="18"/>
                <w:szCs w:val="18"/>
              </w:rPr>
            </w:pPr>
            <w:r w:rsidRPr="0014184E">
              <w:rPr>
                <w:sz w:val="18"/>
                <w:szCs w:val="18"/>
              </w:rPr>
              <w:t>33 246</w:t>
            </w:r>
          </w:p>
        </w:tc>
      </w:tr>
      <w:tr w:rsidR="0014184E" w:rsidRPr="0014184E" w:rsidTr="008A253E">
        <w:trPr>
          <w:trHeight w:val="420"/>
        </w:trPr>
        <w:tc>
          <w:tcPr>
            <w:tcW w:w="3114" w:type="dxa"/>
            <w:vAlign w:val="bottom"/>
          </w:tcPr>
          <w:p w:rsidR="0014184E" w:rsidRPr="0014184E" w:rsidRDefault="0014184E" w:rsidP="0014184E">
            <w:pPr>
              <w:rPr>
                <w:sz w:val="18"/>
                <w:szCs w:val="18"/>
              </w:rPr>
            </w:pPr>
            <w:r w:rsidRPr="0014184E">
              <w:rPr>
                <w:sz w:val="18"/>
                <w:szCs w:val="18"/>
              </w:rPr>
              <w:t>Винные напитки</w:t>
            </w:r>
          </w:p>
        </w:tc>
        <w:tc>
          <w:tcPr>
            <w:tcW w:w="769" w:type="dxa"/>
            <w:vAlign w:val="center"/>
          </w:tcPr>
          <w:p w:rsidR="0014184E" w:rsidRPr="0014184E" w:rsidRDefault="0014184E" w:rsidP="0014184E">
            <w:pPr>
              <w:jc w:val="center"/>
              <w:rPr>
                <w:sz w:val="18"/>
                <w:szCs w:val="18"/>
              </w:rPr>
            </w:pPr>
            <w:r w:rsidRPr="0014184E">
              <w:rPr>
                <w:sz w:val="18"/>
                <w:szCs w:val="18"/>
              </w:rPr>
              <w:t>30</w:t>
            </w:r>
          </w:p>
        </w:tc>
        <w:tc>
          <w:tcPr>
            <w:tcW w:w="747" w:type="dxa"/>
            <w:vAlign w:val="center"/>
          </w:tcPr>
          <w:p w:rsidR="0014184E" w:rsidRPr="0014184E" w:rsidRDefault="0014184E" w:rsidP="0014184E">
            <w:pPr>
              <w:jc w:val="center"/>
              <w:rPr>
                <w:sz w:val="18"/>
                <w:szCs w:val="18"/>
              </w:rPr>
            </w:pPr>
            <w:r w:rsidRPr="0014184E">
              <w:rPr>
                <w:sz w:val="18"/>
                <w:szCs w:val="18"/>
              </w:rPr>
              <w:t>47</w:t>
            </w:r>
          </w:p>
        </w:tc>
        <w:tc>
          <w:tcPr>
            <w:tcW w:w="979" w:type="dxa"/>
            <w:vAlign w:val="center"/>
          </w:tcPr>
          <w:p w:rsidR="0014184E" w:rsidRPr="0014184E" w:rsidRDefault="0014184E" w:rsidP="0014184E">
            <w:pPr>
              <w:jc w:val="center"/>
              <w:rPr>
                <w:sz w:val="18"/>
                <w:szCs w:val="18"/>
              </w:rPr>
            </w:pPr>
            <w:r w:rsidRPr="0014184E">
              <w:rPr>
                <w:sz w:val="18"/>
                <w:szCs w:val="18"/>
              </w:rPr>
              <w:t>470</w:t>
            </w:r>
          </w:p>
        </w:tc>
        <w:tc>
          <w:tcPr>
            <w:tcW w:w="1018" w:type="dxa"/>
            <w:vAlign w:val="center"/>
          </w:tcPr>
          <w:p w:rsidR="0014184E" w:rsidRPr="0014184E" w:rsidRDefault="0014184E" w:rsidP="0014184E">
            <w:pPr>
              <w:jc w:val="center"/>
              <w:rPr>
                <w:sz w:val="18"/>
                <w:szCs w:val="18"/>
              </w:rPr>
            </w:pPr>
            <w:r w:rsidRPr="0014184E">
              <w:rPr>
                <w:sz w:val="18"/>
                <w:szCs w:val="18"/>
              </w:rPr>
              <w:t>14 100</w:t>
            </w:r>
          </w:p>
        </w:tc>
        <w:tc>
          <w:tcPr>
            <w:tcW w:w="1227" w:type="dxa"/>
            <w:vAlign w:val="center"/>
          </w:tcPr>
          <w:p w:rsidR="0014184E" w:rsidRPr="0014184E" w:rsidRDefault="0014184E" w:rsidP="0014184E">
            <w:pPr>
              <w:ind w:left="-115" w:right="-123" w:firstLine="8"/>
              <w:jc w:val="center"/>
              <w:rPr>
                <w:sz w:val="18"/>
                <w:szCs w:val="18"/>
              </w:rPr>
            </w:pPr>
            <w:r w:rsidRPr="0014184E">
              <w:rPr>
                <w:sz w:val="18"/>
                <w:szCs w:val="18"/>
              </w:rPr>
              <w:t>1 125</w:t>
            </w:r>
          </w:p>
          <w:p w:rsidR="0014184E" w:rsidRPr="0014184E" w:rsidRDefault="0014184E" w:rsidP="0014184E">
            <w:pPr>
              <w:ind w:left="-115" w:right="-123" w:firstLine="8"/>
              <w:jc w:val="center"/>
              <w:rPr>
                <w:sz w:val="18"/>
                <w:szCs w:val="18"/>
              </w:rPr>
            </w:pPr>
            <w:r w:rsidRPr="0014184E">
              <w:rPr>
                <w:sz w:val="18"/>
                <w:szCs w:val="18"/>
              </w:rPr>
              <w:t>ставка 45 руб. за 1 л.</w:t>
            </w:r>
          </w:p>
        </w:tc>
        <w:tc>
          <w:tcPr>
            <w:tcW w:w="1224" w:type="dxa"/>
            <w:vAlign w:val="center"/>
          </w:tcPr>
          <w:p w:rsidR="0014184E" w:rsidRPr="0014184E" w:rsidRDefault="0014184E" w:rsidP="0014184E">
            <w:pPr>
              <w:jc w:val="center"/>
              <w:rPr>
                <w:sz w:val="18"/>
                <w:szCs w:val="18"/>
              </w:rPr>
            </w:pPr>
            <w:r w:rsidRPr="0014184E">
              <w:rPr>
                <w:sz w:val="18"/>
                <w:szCs w:val="18"/>
              </w:rPr>
              <w:t>1 175</w:t>
            </w:r>
          </w:p>
        </w:tc>
        <w:tc>
          <w:tcPr>
            <w:tcW w:w="951" w:type="dxa"/>
            <w:vAlign w:val="center"/>
          </w:tcPr>
          <w:p w:rsidR="0014184E" w:rsidRPr="0014184E" w:rsidRDefault="0014184E" w:rsidP="0014184E">
            <w:pPr>
              <w:jc w:val="center"/>
              <w:rPr>
                <w:sz w:val="18"/>
                <w:szCs w:val="18"/>
              </w:rPr>
            </w:pPr>
            <w:r w:rsidRPr="0014184E">
              <w:rPr>
                <w:sz w:val="18"/>
                <w:szCs w:val="18"/>
              </w:rPr>
              <w:t>14 050</w:t>
            </w:r>
          </w:p>
        </w:tc>
        <w:tc>
          <w:tcPr>
            <w:tcW w:w="975" w:type="dxa"/>
            <w:vAlign w:val="center"/>
          </w:tcPr>
          <w:p w:rsidR="0014184E" w:rsidRPr="0014184E" w:rsidRDefault="0014184E" w:rsidP="0014184E">
            <w:pPr>
              <w:jc w:val="center"/>
              <w:rPr>
                <w:sz w:val="18"/>
                <w:szCs w:val="18"/>
              </w:rPr>
            </w:pPr>
            <w:r w:rsidRPr="0014184E">
              <w:rPr>
                <w:sz w:val="18"/>
                <w:szCs w:val="18"/>
              </w:rPr>
              <w:t>100</w:t>
            </w:r>
          </w:p>
        </w:tc>
        <w:tc>
          <w:tcPr>
            <w:tcW w:w="867" w:type="dxa"/>
            <w:vAlign w:val="center"/>
          </w:tcPr>
          <w:p w:rsidR="0014184E" w:rsidRPr="0014184E" w:rsidRDefault="0014184E" w:rsidP="0014184E">
            <w:pPr>
              <w:jc w:val="center"/>
            </w:pPr>
            <w:r w:rsidRPr="0014184E">
              <w:rPr>
                <w:sz w:val="18"/>
                <w:szCs w:val="18"/>
              </w:rPr>
              <w:t>100</w:t>
            </w:r>
          </w:p>
        </w:tc>
        <w:tc>
          <w:tcPr>
            <w:tcW w:w="993" w:type="dxa"/>
            <w:vAlign w:val="center"/>
          </w:tcPr>
          <w:p w:rsidR="0014184E" w:rsidRPr="0014184E" w:rsidRDefault="0014184E" w:rsidP="0014184E">
            <w:pPr>
              <w:jc w:val="center"/>
              <w:rPr>
                <w:sz w:val="18"/>
                <w:szCs w:val="18"/>
              </w:rPr>
            </w:pPr>
            <w:r w:rsidRPr="0014184E">
              <w:rPr>
                <w:sz w:val="18"/>
                <w:szCs w:val="18"/>
              </w:rPr>
              <w:t>14 050</w:t>
            </w:r>
          </w:p>
        </w:tc>
        <w:tc>
          <w:tcPr>
            <w:tcW w:w="881" w:type="dxa"/>
            <w:noWrap/>
            <w:vAlign w:val="center"/>
          </w:tcPr>
          <w:p w:rsidR="0014184E" w:rsidRPr="0014184E" w:rsidRDefault="0014184E" w:rsidP="0014184E">
            <w:pPr>
              <w:jc w:val="center"/>
              <w:rPr>
                <w:sz w:val="18"/>
                <w:szCs w:val="18"/>
              </w:rPr>
            </w:pPr>
            <w:r w:rsidRPr="0014184E">
              <w:rPr>
                <w:sz w:val="18"/>
                <w:szCs w:val="18"/>
              </w:rPr>
              <w:t>5 387</w:t>
            </w:r>
          </w:p>
        </w:tc>
        <w:tc>
          <w:tcPr>
            <w:tcW w:w="851" w:type="dxa"/>
            <w:noWrap/>
            <w:vAlign w:val="center"/>
          </w:tcPr>
          <w:p w:rsidR="0014184E" w:rsidRPr="0014184E" w:rsidRDefault="0014184E" w:rsidP="0014184E">
            <w:pPr>
              <w:ind w:left="-91" w:right="-72"/>
              <w:jc w:val="center"/>
              <w:rPr>
                <w:sz w:val="18"/>
                <w:szCs w:val="18"/>
              </w:rPr>
            </w:pPr>
            <w:r w:rsidRPr="0014184E">
              <w:rPr>
                <w:sz w:val="18"/>
                <w:szCs w:val="18"/>
              </w:rPr>
              <w:t>8 663</w:t>
            </w:r>
          </w:p>
        </w:tc>
      </w:tr>
      <w:tr w:rsidR="0014184E" w:rsidRPr="0014184E" w:rsidTr="008A253E">
        <w:trPr>
          <w:trHeight w:val="420"/>
        </w:trPr>
        <w:tc>
          <w:tcPr>
            <w:tcW w:w="3114" w:type="dxa"/>
            <w:vAlign w:val="bottom"/>
          </w:tcPr>
          <w:p w:rsidR="0014184E" w:rsidRPr="0014184E" w:rsidRDefault="0014184E" w:rsidP="0014184E">
            <w:pPr>
              <w:rPr>
                <w:b/>
                <w:sz w:val="18"/>
                <w:szCs w:val="18"/>
              </w:rPr>
            </w:pPr>
            <w:r w:rsidRPr="0014184E">
              <w:rPr>
                <w:b/>
                <w:sz w:val="18"/>
                <w:szCs w:val="18"/>
              </w:rPr>
              <w:t>Акцизы на пиво, производимое на территории Российской Федерации</w:t>
            </w:r>
          </w:p>
        </w:tc>
        <w:tc>
          <w:tcPr>
            <w:tcW w:w="769" w:type="dxa"/>
            <w:vAlign w:val="center"/>
          </w:tcPr>
          <w:p w:rsidR="0014184E" w:rsidRPr="0014184E" w:rsidRDefault="0014184E" w:rsidP="0014184E">
            <w:pPr>
              <w:jc w:val="center"/>
              <w:rPr>
                <w:b/>
                <w:sz w:val="18"/>
                <w:szCs w:val="18"/>
              </w:rPr>
            </w:pPr>
            <w:r w:rsidRPr="0014184E">
              <w:rPr>
                <w:b/>
                <w:sz w:val="18"/>
                <w:szCs w:val="18"/>
              </w:rPr>
              <w:t>7 040</w:t>
            </w:r>
          </w:p>
        </w:tc>
        <w:tc>
          <w:tcPr>
            <w:tcW w:w="747" w:type="dxa"/>
            <w:vAlign w:val="center"/>
          </w:tcPr>
          <w:p w:rsidR="0014184E" w:rsidRPr="0014184E" w:rsidRDefault="0014184E" w:rsidP="0014184E">
            <w:pPr>
              <w:jc w:val="center"/>
              <w:rPr>
                <w:b/>
                <w:sz w:val="18"/>
                <w:szCs w:val="18"/>
              </w:rPr>
            </w:pPr>
            <w:r w:rsidRPr="0014184E">
              <w:rPr>
                <w:b/>
                <w:sz w:val="18"/>
                <w:szCs w:val="18"/>
              </w:rPr>
              <w:t>26</w:t>
            </w:r>
          </w:p>
        </w:tc>
        <w:tc>
          <w:tcPr>
            <w:tcW w:w="979" w:type="dxa"/>
            <w:vAlign w:val="center"/>
          </w:tcPr>
          <w:p w:rsidR="0014184E" w:rsidRPr="0014184E" w:rsidRDefault="0014184E" w:rsidP="0014184E">
            <w:pPr>
              <w:jc w:val="center"/>
              <w:rPr>
                <w:b/>
                <w:sz w:val="18"/>
                <w:szCs w:val="18"/>
              </w:rPr>
            </w:pPr>
            <w:r w:rsidRPr="0014184E">
              <w:rPr>
                <w:b/>
                <w:sz w:val="18"/>
                <w:szCs w:val="18"/>
              </w:rPr>
              <w:t>260</w:t>
            </w:r>
          </w:p>
        </w:tc>
        <w:tc>
          <w:tcPr>
            <w:tcW w:w="1018" w:type="dxa"/>
            <w:vAlign w:val="center"/>
          </w:tcPr>
          <w:p w:rsidR="0014184E" w:rsidRPr="0014184E" w:rsidRDefault="0014184E" w:rsidP="0014184E">
            <w:pPr>
              <w:jc w:val="center"/>
              <w:rPr>
                <w:b/>
                <w:sz w:val="18"/>
                <w:szCs w:val="18"/>
              </w:rPr>
            </w:pPr>
            <w:r w:rsidRPr="0014184E">
              <w:rPr>
                <w:b/>
                <w:sz w:val="18"/>
                <w:szCs w:val="18"/>
              </w:rPr>
              <w:t>1 830 400</w:t>
            </w:r>
          </w:p>
        </w:tc>
        <w:tc>
          <w:tcPr>
            <w:tcW w:w="1227" w:type="dxa"/>
            <w:vAlign w:val="center"/>
          </w:tcPr>
          <w:p w:rsidR="0014184E" w:rsidRPr="0014184E" w:rsidRDefault="0014184E" w:rsidP="0014184E">
            <w:pPr>
              <w:ind w:left="-101" w:right="-110" w:firstLine="101"/>
              <w:jc w:val="center"/>
              <w:rPr>
                <w:b/>
                <w:sz w:val="18"/>
                <w:szCs w:val="18"/>
              </w:rPr>
            </w:pPr>
            <w:r w:rsidRPr="0014184E">
              <w:rPr>
                <w:b/>
                <w:sz w:val="18"/>
                <w:szCs w:val="18"/>
              </w:rPr>
              <w:t>155 900</w:t>
            </w:r>
          </w:p>
          <w:p w:rsidR="0014184E" w:rsidRPr="0014184E" w:rsidRDefault="0014184E" w:rsidP="0014184E">
            <w:pPr>
              <w:ind w:left="-101" w:right="-110" w:firstLine="101"/>
              <w:jc w:val="center"/>
              <w:rPr>
                <w:b/>
                <w:sz w:val="18"/>
                <w:szCs w:val="18"/>
              </w:rPr>
            </w:pPr>
            <w:r w:rsidRPr="0014184E">
              <w:rPr>
                <w:sz w:val="18"/>
                <w:szCs w:val="18"/>
              </w:rPr>
              <w:t>ставка 25 руб. за 1 л.</w:t>
            </w:r>
          </w:p>
        </w:tc>
        <w:tc>
          <w:tcPr>
            <w:tcW w:w="1224" w:type="dxa"/>
            <w:vAlign w:val="center"/>
          </w:tcPr>
          <w:p w:rsidR="0014184E" w:rsidRPr="0014184E" w:rsidRDefault="0014184E" w:rsidP="0014184E">
            <w:pPr>
              <w:jc w:val="center"/>
              <w:rPr>
                <w:b/>
                <w:sz w:val="18"/>
                <w:szCs w:val="18"/>
              </w:rPr>
            </w:pPr>
            <w:r w:rsidRPr="0014184E">
              <w:rPr>
                <w:b/>
                <w:sz w:val="18"/>
                <w:szCs w:val="18"/>
              </w:rPr>
              <w:t>162 136</w:t>
            </w:r>
          </w:p>
        </w:tc>
        <w:tc>
          <w:tcPr>
            <w:tcW w:w="951" w:type="dxa"/>
            <w:vAlign w:val="center"/>
          </w:tcPr>
          <w:p w:rsidR="0014184E" w:rsidRPr="0014184E" w:rsidRDefault="0014184E" w:rsidP="0014184E">
            <w:pPr>
              <w:jc w:val="center"/>
              <w:rPr>
                <w:b/>
                <w:sz w:val="18"/>
                <w:szCs w:val="18"/>
              </w:rPr>
            </w:pPr>
            <w:r w:rsidRPr="0014184E">
              <w:rPr>
                <w:b/>
                <w:sz w:val="18"/>
                <w:szCs w:val="18"/>
              </w:rPr>
              <w:t>1 824 164</w:t>
            </w:r>
          </w:p>
        </w:tc>
        <w:tc>
          <w:tcPr>
            <w:tcW w:w="975" w:type="dxa"/>
            <w:vAlign w:val="center"/>
          </w:tcPr>
          <w:p w:rsidR="0014184E" w:rsidRPr="0014184E" w:rsidRDefault="0014184E" w:rsidP="0014184E">
            <w:pPr>
              <w:jc w:val="center"/>
              <w:rPr>
                <w:b/>
                <w:sz w:val="18"/>
                <w:szCs w:val="18"/>
              </w:rPr>
            </w:pPr>
            <w:r w:rsidRPr="0014184E">
              <w:rPr>
                <w:b/>
                <w:sz w:val="18"/>
                <w:szCs w:val="18"/>
              </w:rPr>
              <w:t>100</w:t>
            </w:r>
          </w:p>
        </w:tc>
        <w:tc>
          <w:tcPr>
            <w:tcW w:w="867" w:type="dxa"/>
            <w:vAlign w:val="center"/>
          </w:tcPr>
          <w:p w:rsidR="0014184E" w:rsidRPr="0014184E" w:rsidRDefault="0014184E" w:rsidP="0014184E">
            <w:pPr>
              <w:jc w:val="center"/>
            </w:pPr>
            <w:r w:rsidRPr="0014184E">
              <w:rPr>
                <w:sz w:val="18"/>
                <w:szCs w:val="18"/>
              </w:rPr>
              <w:t>100</w:t>
            </w:r>
          </w:p>
        </w:tc>
        <w:tc>
          <w:tcPr>
            <w:tcW w:w="993" w:type="dxa"/>
            <w:vAlign w:val="center"/>
          </w:tcPr>
          <w:p w:rsidR="0014184E" w:rsidRPr="0014184E" w:rsidRDefault="0014184E" w:rsidP="0014184E">
            <w:pPr>
              <w:jc w:val="center"/>
              <w:rPr>
                <w:b/>
                <w:sz w:val="18"/>
                <w:szCs w:val="18"/>
              </w:rPr>
            </w:pPr>
            <w:r w:rsidRPr="0014184E">
              <w:rPr>
                <w:b/>
                <w:sz w:val="18"/>
                <w:szCs w:val="18"/>
              </w:rPr>
              <w:t>1 824 164</w:t>
            </w:r>
          </w:p>
        </w:tc>
        <w:tc>
          <w:tcPr>
            <w:tcW w:w="881" w:type="dxa"/>
            <w:noWrap/>
            <w:vAlign w:val="center"/>
          </w:tcPr>
          <w:p w:rsidR="0014184E" w:rsidRPr="0014184E" w:rsidRDefault="0014184E" w:rsidP="0014184E">
            <w:pPr>
              <w:ind w:left="-104" w:right="-109"/>
              <w:jc w:val="center"/>
              <w:rPr>
                <w:b/>
                <w:sz w:val="18"/>
                <w:szCs w:val="18"/>
              </w:rPr>
            </w:pPr>
            <w:r w:rsidRPr="0014184E">
              <w:rPr>
                <w:b/>
                <w:sz w:val="18"/>
                <w:szCs w:val="18"/>
              </w:rPr>
              <w:t>70 000</w:t>
            </w:r>
          </w:p>
        </w:tc>
        <w:tc>
          <w:tcPr>
            <w:tcW w:w="851" w:type="dxa"/>
            <w:noWrap/>
            <w:vAlign w:val="center"/>
          </w:tcPr>
          <w:p w:rsidR="0014184E" w:rsidRPr="0014184E" w:rsidRDefault="0014184E" w:rsidP="0014184E">
            <w:pPr>
              <w:ind w:left="-91" w:right="-72"/>
              <w:jc w:val="center"/>
              <w:rPr>
                <w:b/>
                <w:sz w:val="18"/>
                <w:szCs w:val="18"/>
              </w:rPr>
            </w:pPr>
            <w:r w:rsidRPr="0014184E">
              <w:rPr>
                <w:b/>
                <w:sz w:val="18"/>
                <w:szCs w:val="18"/>
              </w:rPr>
              <w:t>1 754 164</w:t>
            </w:r>
          </w:p>
        </w:tc>
      </w:tr>
      <w:tr w:rsidR="0014184E" w:rsidRPr="0014184E" w:rsidTr="008A253E">
        <w:trPr>
          <w:trHeight w:val="281"/>
        </w:trPr>
        <w:tc>
          <w:tcPr>
            <w:tcW w:w="3114" w:type="dxa"/>
            <w:vAlign w:val="bottom"/>
          </w:tcPr>
          <w:p w:rsidR="0014184E" w:rsidRPr="0014184E" w:rsidRDefault="0014184E" w:rsidP="0014184E">
            <w:pPr>
              <w:rPr>
                <w:b/>
                <w:sz w:val="18"/>
                <w:szCs w:val="18"/>
              </w:rPr>
            </w:pPr>
            <w:r w:rsidRPr="0014184E">
              <w:rPr>
                <w:b/>
                <w:sz w:val="18"/>
                <w:szCs w:val="18"/>
              </w:rPr>
              <w:lastRenderedPageBreak/>
              <w:t>Акцизы на сидр, пуаре, медовуху, производимые на территории Российской Федерации</w:t>
            </w:r>
          </w:p>
        </w:tc>
        <w:tc>
          <w:tcPr>
            <w:tcW w:w="769" w:type="dxa"/>
            <w:vAlign w:val="center"/>
          </w:tcPr>
          <w:p w:rsidR="0014184E" w:rsidRPr="0014184E" w:rsidRDefault="0014184E" w:rsidP="0014184E">
            <w:pPr>
              <w:jc w:val="center"/>
              <w:rPr>
                <w:sz w:val="18"/>
                <w:szCs w:val="18"/>
              </w:rPr>
            </w:pPr>
            <w:r w:rsidRPr="0014184E">
              <w:rPr>
                <w:sz w:val="18"/>
                <w:szCs w:val="18"/>
              </w:rPr>
              <w:t>33,20</w:t>
            </w:r>
          </w:p>
        </w:tc>
        <w:tc>
          <w:tcPr>
            <w:tcW w:w="747" w:type="dxa"/>
            <w:vAlign w:val="center"/>
          </w:tcPr>
          <w:p w:rsidR="0014184E" w:rsidRPr="0014184E" w:rsidRDefault="0014184E" w:rsidP="0014184E">
            <w:pPr>
              <w:jc w:val="center"/>
              <w:rPr>
                <w:sz w:val="18"/>
                <w:szCs w:val="18"/>
              </w:rPr>
            </w:pPr>
            <w:r w:rsidRPr="0014184E">
              <w:rPr>
                <w:sz w:val="18"/>
                <w:szCs w:val="18"/>
                <w:lang w:val="en-US"/>
              </w:rPr>
              <w:t>2</w:t>
            </w:r>
            <w:r w:rsidRPr="0014184E">
              <w:rPr>
                <w:sz w:val="18"/>
                <w:szCs w:val="18"/>
              </w:rPr>
              <w:t>6</w:t>
            </w:r>
          </w:p>
        </w:tc>
        <w:tc>
          <w:tcPr>
            <w:tcW w:w="979" w:type="dxa"/>
            <w:vAlign w:val="center"/>
          </w:tcPr>
          <w:p w:rsidR="0014184E" w:rsidRPr="0014184E" w:rsidRDefault="0014184E" w:rsidP="0014184E">
            <w:pPr>
              <w:jc w:val="center"/>
              <w:rPr>
                <w:sz w:val="18"/>
                <w:szCs w:val="18"/>
                <w:lang w:val="en-US"/>
              </w:rPr>
            </w:pPr>
            <w:r w:rsidRPr="0014184E">
              <w:rPr>
                <w:sz w:val="18"/>
                <w:szCs w:val="18"/>
                <w:lang w:val="en-US"/>
              </w:rPr>
              <w:t>2</w:t>
            </w:r>
            <w:r w:rsidRPr="0014184E">
              <w:rPr>
                <w:sz w:val="18"/>
                <w:szCs w:val="18"/>
              </w:rPr>
              <w:t>6</w:t>
            </w:r>
            <w:r w:rsidRPr="0014184E">
              <w:rPr>
                <w:sz w:val="18"/>
                <w:szCs w:val="18"/>
                <w:lang w:val="en-US"/>
              </w:rPr>
              <w:t>0</w:t>
            </w:r>
          </w:p>
        </w:tc>
        <w:tc>
          <w:tcPr>
            <w:tcW w:w="1018" w:type="dxa"/>
            <w:vAlign w:val="center"/>
          </w:tcPr>
          <w:p w:rsidR="0014184E" w:rsidRPr="0014184E" w:rsidRDefault="0014184E" w:rsidP="0014184E">
            <w:pPr>
              <w:jc w:val="center"/>
              <w:rPr>
                <w:sz w:val="18"/>
                <w:szCs w:val="18"/>
              </w:rPr>
            </w:pPr>
            <w:r w:rsidRPr="0014184E">
              <w:rPr>
                <w:sz w:val="18"/>
                <w:szCs w:val="18"/>
              </w:rPr>
              <w:t>8 632</w:t>
            </w:r>
          </w:p>
        </w:tc>
        <w:tc>
          <w:tcPr>
            <w:tcW w:w="1227" w:type="dxa"/>
            <w:vAlign w:val="center"/>
          </w:tcPr>
          <w:p w:rsidR="0014184E" w:rsidRPr="0014184E" w:rsidRDefault="0014184E" w:rsidP="0014184E">
            <w:pPr>
              <w:jc w:val="center"/>
              <w:rPr>
                <w:sz w:val="18"/>
                <w:szCs w:val="18"/>
              </w:rPr>
            </w:pPr>
            <w:r w:rsidRPr="0014184E">
              <w:rPr>
                <w:sz w:val="18"/>
                <w:szCs w:val="18"/>
              </w:rPr>
              <w:t>463</w:t>
            </w:r>
          </w:p>
        </w:tc>
        <w:tc>
          <w:tcPr>
            <w:tcW w:w="1224" w:type="dxa"/>
            <w:vAlign w:val="center"/>
          </w:tcPr>
          <w:p w:rsidR="0014184E" w:rsidRPr="0014184E" w:rsidRDefault="0014184E" w:rsidP="0014184E">
            <w:pPr>
              <w:jc w:val="center"/>
              <w:rPr>
                <w:sz w:val="18"/>
                <w:szCs w:val="18"/>
              </w:rPr>
            </w:pPr>
            <w:r w:rsidRPr="0014184E">
              <w:rPr>
                <w:sz w:val="18"/>
                <w:szCs w:val="18"/>
              </w:rPr>
              <w:t>481</w:t>
            </w:r>
          </w:p>
        </w:tc>
        <w:tc>
          <w:tcPr>
            <w:tcW w:w="951" w:type="dxa"/>
            <w:vAlign w:val="center"/>
          </w:tcPr>
          <w:p w:rsidR="0014184E" w:rsidRPr="0014184E" w:rsidRDefault="0014184E" w:rsidP="0014184E">
            <w:pPr>
              <w:jc w:val="center"/>
              <w:rPr>
                <w:sz w:val="18"/>
                <w:szCs w:val="18"/>
              </w:rPr>
            </w:pPr>
            <w:r w:rsidRPr="0014184E">
              <w:rPr>
                <w:sz w:val="18"/>
                <w:szCs w:val="18"/>
              </w:rPr>
              <w:t>8 614</w:t>
            </w:r>
          </w:p>
        </w:tc>
        <w:tc>
          <w:tcPr>
            <w:tcW w:w="975" w:type="dxa"/>
            <w:vAlign w:val="center"/>
          </w:tcPr>
          <w:p w:rsidR="0014184E" w:rsidRPr="0014184E" w:rsidRDefault="0014184E" w:rsidP="0014184E">
            <w:pPr>
              <w:jc w:val="center"/>
              <w:rPr>
                <w:sz w:val="18"/>
                <w:szCs w:val="18"/>
              </w:rPr>
            </w:pPr>
            <w:r w:rsidRPr="0014184E">
              <w:rPr>
                <w:sz w:val="18"/>
                <w:szCs w:val="18"/>
              </w:rPr>
              <w:t>100</w:t>
            </w:r>
          </w:p>
        </w:tc>
        <w:tc>
          <w:tcPr>
            <w:tcW w:w="867" w:type="dxa"/>
            <w:vAlign w:val="center"/>
          </w:tcPr>
          <w:p w:rsidR="0014184E" w:rsidRPr="0014184E" w:rsidRDefault="0014184E" w:rsidP="0014184E">
            <w:pPr>
              <w:jc w:val="center"/>
              <w:rPr>
                <w:sz w:val="18"/>
                <w:szCs w:val="18"/>
              </w:rPr>
            </w:pPr>
            <w:r w:rsidRPr="0014184E">
              <w:rPr>
                <w:sz w:val="18"/>
                <w:szCs w:val="18"/>
              </w:rPr>
              <w:t>100</w:t>
            </w:r>
          </w:p>
        </w:tc>
        <w:tc>
          <w:tcPr>
            <w:tcW w:w="993" w:type="dxa"/>
            <w:vAlign w:val="center"/>
          </w:tcPr>
          <w:p w:rsidR="0014184E" w:rsidRPr="0014184E" w:rsidRDefault="0014184E" w:rsidP="0014184E">
            <w:pPr>
              <w:jc w:val="center"/>
              <w:rPr>
                <w:sz w:val="18"/>
                <w:szCs w:val="18"/>
              </w:rPr>
            </w:pPr>
            <w:r w:rsidRPr="0014184E">
              <w:rPr>
                <w:sz w:val="18"/>
                <w:szCs w:val="18"/>
              </w:rPr>
              <w:t>8 614</w:t>
            </w:r>
          </w:p>
        </w:tc>
        <w:tc>
          <w:tcPr>
            <w:tcW w:w="881" w:type="dxa"/>
            <w:noWrap/>
            <w:vAlign w:val="center"/>
          </w:tcPr>
          <w:p w:rsidR="0014184E" w:rsidRPr="0014184E" w:rsidRDefault="0014184E" w:rsidP="0014184E">
            <w:pPr>
              <w:jc w:val="center"/>
              <w:rPr>
                <w:sz w:val="18"/>
                <w:szCs w:val="18"/>
                <w:lang w:val="en-US"/>
              </w:rPr>
            </w:pPr>
            <w:r w:rsidRPr="0014184E">
              <w:rPr>
                <w:sz w:val="18"/>
                <w:szCs w:val="18"/>
                <w:lang w:val="en-US"/>
              </w:rPr>
              <w:t>x</w:t>
            </w:r>
          </w:p>
        </w:tc>
        <w:tc>
          <w:tcPr>
            <w:tcW w:w="851" w:type="dxa"/>
            <w:noWrap/>
            <w:vAlign w:val="center"/>
          </w:tcPr>
          <w:p w:rsidR="0014184E" w:rsidRPr="0014184E" w:rsidRDefault="0014184E" w:rsidP="0014184E">
            <w:pPr>
              <w:jc w:val="center"/>
              <w:rPr>
                <w:sz w:val="18"/>
                <w:szCs w:val="18"/>
                <w:lang w:val="en-US"/>
              </w:rPr>
            </w:pPr>
            <w:r w:rsidRPr="0014184E">
              <w:rPr>
                <w:sz w:val="18"/>
                <w:szCs w:val="18"/>
              </w:rPr>
              <w:t>8 614</w:t>
            </w:r>
          </w:p>
        </w:tc>
      </w:tr>
      <w:tr w:rsidR="0014184E" w:rsidRPr="0014184E" w:rsidTr="008A253E">
        <w:trPr>
          <w:trHeight w:val="270"/>
        </w:trPr>
        <w:tc>
          <w:tcPr>
            <w:tcW w:w="3114" w:type="dxa"/>
          </w:tcPr>
          <w:p w:rsidR="0014184E" w:rsidRPr="0014184E" w:rsidRDefault="0014184E" w:rsidP="0014184E">
            <w:pPr>
              <w:rPr>
                <w:b/>
                <w:bCs/>
                <w:sz w:val="18"/>
                <w:szCs w:val="18"/>
              </w:rPr>
            </w:pPr>
            <w:r w:rsidRPr="0014184E">
              <w:rPr>
                <w:b/>
                <w:sz w:val="18"/>
                <w:szCs w:val="18"/>
              </w:rPr>
              <w:t>Акцизы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w:t>
            </w:r>
          </w:p>
        </w:tc>
        <w:tc>
          <w:tcPr>
            <w:tcW w:w="769" w:type="dxa"/>
            <w:vAlign w:val="center"/>
          </w:tcPr>
          <w:p w:rsidR="0014184E" w:rsidRPr="0014184E" w:rsidRDefault="0014184E" w:rsidP="0014184E">
            <w:pPr>
              <w:jc w:val="center"/>
              <w:rPr>
                <w:bCs/>
                <w:sz w:val="18"/>
                <w:szCs w:val="18"/>
              </w:rPr>
            </w:pPr>
            <w:r w:rsidRPr="0014184E">
              <w:rPr>
                <w:bCs/>
                <w:sz w:val="18"/>
                <w:szCs w:val="18"/>
              </w:rPr>
              <w:t>0,88</w:t>
            </w:r>
          </w:p>
        </w:tc>
        <w:tc>
          <w:tcPr>
            <w:tcW w:w="747" w:type="dxa"/>
            <w:vAlign w:val="center"/>
          </w:tcPr>
          <w:p w:rsidR="0014184E" w:rsidRPr="0014184E" w:rsidRDefault="0014184E" w:rsidP="0014184E">
            <w:pPr>
              <w:jc w:val="center"/>
              <w:rPr>
                <w:bCs/>
                <w:sz w:val="18"/>
                <w:szCs w:val="18"/>
              </w:rPr>
            </w:pPr>
            <w:r w:rsidRPr="0014184E">
              <w:rPr>
                <w:bCs/>
                <w:sz w:val="18"/>
                <w:szCs w:val="18"/>
              </w:rPr>
              <w:t>510</w:t>
            </w:r>
          </w:p>
        </w:tc>
        <w:tc>
          <w:tcPr>
            <w:tcW w:w="979" w:type="dxa"/>
            <w:vAlign w:val="center"/>
          </w:tcPr>
          <w:p w:rsidR="0014184E" w:rsidRPr="0014184E" w:rsidRDefault="0014184E" w:rsidP="0014184E">
            <w:pPr>
              <w:jc w:val="center"/>
              <w:rPr>
                <w:bCs/>
                <w:sz w:val="18"/>
                <w:szCs w:val="18"/>
              </w:rPr>
            </w:pPr>
            <w:r w:rsidRPr="0014184E">
              <w:rPr>
                <w:bCs/>
                <w:sz w:val="18"/>
                <w:szCs w:val="18"/>
              </w:rPr>
              <w:t>5 100</w:t>
            </w:r>
          </w:p>
        </w:tc>
        <w:tc>
          <w:tcPr>
            <w:tcW w:w="1018" w:type="dxa"/>
            <w:vAlign w:val="center"/>
          </w:tcPr>
          <w:p w:rsidR="0014184E" w:rsidRPr="0014184E" w:rsidRDefault="0014184E" w:rsidP="0014184E">
            <w:pPr>
              <w:jc w:val="center"/>
              <w:rPr>
                <w:bCs/>
                <w:sz w:val="18"/>
                <w:szCs w:val="18"/>
              </w:rPr>
            </w:pPr>
            <w:r w:rsidRPr="0014184E">
              <w:rPr>
                <w:bCs/>
                <w:sz w:val="18"/>
                <w:szCs w:val="18"/>
              </w:rPr>
              <w:t>4 488</w:t>
            </w:r>
          </w:p>
        </w:tc>
        <w:tc>
          <w:tcPr>
            <w:tcW w:w="1227" w:type="dxa"/>
            <w:vAlign w:val="center"/>
          </w:tcPr>
          <w:p w:rsidR="0014184E" w:rsidRPr="0014184E" w:rsidRDefault="0014184E" w:rsidP="0014184E">
            <w:pPr>
              <w:jc w:val="center"/>
              <w:rPr>
                <w:bCs/>
                <w:sz w:val="18"/>
                <w:szCs w:val="18"/>
              </w:rPr>
            </w:pPr>
            <w:r w:rsidRPr="0014184E">
              <w:rPr>
                <w:bCs/>
                <w:sz w:val="18"/>
                <w:szCs w:val="18"/>
              </w:rPr>
              <w:t>637</w:t>
            </w:r>
          </w:p>
          <w:p w:rsidR="0014184E" w:rsidRPr="0014184E" w:rsidRDefault="0014184E" w:rsidP="0014184E">
            <w:pPr>
              <w:jc w:val="center"/>
              <w:rPr>
                <w:bCs/>
                <w:sz w:val="18"/>
                <w:szCs w:val="18"/>
              </w:rPr>
            </w:pPr>
            <w:r w:rsidRPr="0014184E">
              <w:rPr>
                <w:sz w:val="18"/>
                <w:szCs w:val="18"/>
              </w:rPr>
              <w:t>ставка 471 руб. за 1 л.</w:t>
            </w:r>
          </w:p>
        </w:tc>
        <w:tc>
          <w:tcPr>
            <w:tcW w:w="1224" w:type="dxa"/>
            <w:vAlign w:val="center"/>
          </w:tcPr>
          <w:p w:rsidR="0014184E" w:rsidRPr="0014184E" w:rsidRDefault="0014184E" w:rsidP="0014184E">
            <w:pPr>
              <w:jc w:val="center"/>
              <w:rPr>
                <w:bCs/>
                <w:sz w:val="18"/>
                <w:szCs w:val="18"/>
              </w:rPr>
            </w:pPr>
            <w:r w:rsidRPr="0014184E">
              <w:rPr>
                <w:bCs/>
                <w:sz w:val="18"/>
                <w:szCs w:val="18"/>
              </w:rPr>
              <w:t>663</w:t>
            </w:r>
          </w:p>
        </w:tc>
        <w:tc>
          <w:tcPr>
            <w:tcW w:w="951" w:type="dxa"/>
            <w:vAlign w:val="center"/>
          </w:tcPr>
          <w:p w:rsidR="0014184E" w:rsidRPr="0014184E" w:rsidRDefault="0014184E" w:rsidP="0014184E">
            <w:pPr>
              <w:jc w:val="center"/>
              <w:rPr>
                <w:bCs/>
                <w:sz w:val="18"/>
                <w:szCs w:val="18"/>
              </w:rPr>
            </w:pPr>
            <w:r w:rsidRPr="0014184E">
              <w:rPr>
                <w:bCs/>
                <w:sz w:val="18"/>
                <w:szCs w:val="18"/>
              </w:rPr>
              <w:t>4 462</w:t>
            </w:r>
          </w:p>
        </w:tc>
        <w:tc>
          <w:tcPr>
            <w:tcW w:w="975" w:type="dxa"/>
            <w:vAlign w:val="center"/>
          </w:tcPr>
          <w:p w:rsidR="0014184E" w:rsidRPr="0014184E" w:rsidRDefault="0014184E" w:rsidP="0014184E">
            <w:pPr>
              <w:jc w:val="center"/>
              <w:rPr>
                <w:bCs/>
                <w:sz w:val="18"/>
                <w:szCs w:val="18"/>
              </w:rPr>
            </w:pPr>
            <w:r w:rsidRPr="0014184E">
              <w:rPr>
                <w:bCs/>
                <w:sz w:val="18"/>
                <w:szCs w:val="18"/>
              </w:rPr>
              <w:t>100</w:t>
            </w:r>
          </w:p>
        </w:tc>
        <w:tc>
          <w:tcPr>
            <w:tcW w:w="867" w:type="dxa"/>
            <w:vAlign w:val="center"/>
          </w:tcPr>
          <w:p w:rsidR="0014184E" w:rsidRPr="0014184E" w:rsidRDefault="0014184E" w:rsidP="0014184E">
            <w:pPr>
              <w:jc w:val="center"/>
              <w:rPr>
                <w:bCs/>
                <w:sz w:val="18"/>
                <w:szCs w:val="18"/>
              </w:rPr>
            </w:pPr>
            <w:r w:rsidRPr="0014184E">
              <w:rPr>
                <w:bCs/>
                <w:sz w:val="18"/>
                <w:szCs w:val="18"/>
              </w:rPr>
              <w:t>100</w:t>
            </w:r>
          </w:p>
        </w:tc>
        <w:tc>
          <w:tcPr>
            <w:tcW w:w="993" w:type="dxa"/>
            <w:vAlign w:val="center"/>
          </w:tcPr>
          <w:p w:rsidR="0014184E" w:rsidRPr="0014184E" w:rsidRDefault="0014184E" w:rsidP="0014184E">
            <w:pPr>
              <w:jc w:val="center"/>
              <w:rPr>
                <w:bCs/>
                <w:sz w:val="18"/>
                <w:szCs w:val="18"/>
              </w:rPr>
            </w:pPr>
            <w:r w:rsidRPr="0014184E">
              <w:rPr>
                <w:bCs/>
                <w:sz w:val="18"/>
                <w:szCs w:val="18"/>
              </w:rPr>
              <w:t>4 462</w:t>
            </w:r>
          </w:p>
        </w:tc>
        <w:tc>
          <w:tcPr>
            <w:tcW w:w="881" w:type="dxa"/>
            <w:vAlign w:val="center"/>
          </w:tcPr>
          <w:p w:rsidR="0014184E" w:rsidRPr="0014184E" w:rsidRDefault="0014184E" w:rsidP="0014184E">
            <w:pPr>
              <w:jc w:val="center"/>
              <w:rPr>
                <w:bCs/>
                <w:sz w:val="18"/>
                <w:szCs w:val="18"/>
              </w:rPr>
            </w:pPr>
            <w:r w:rsidRPr="0014184E">
              <w:rPr>
                <w:bCs/>
                <w:sz w:val="18"/>
                <w:szCs w:val="18"/>
              </w:rPr>
              <w:t>х</w:t>
            </w:r>
          </w:p>
        </w:tc>
        <w:tc>
          <w:tcPr>
            <w:tcW w:w="851" w:type="dxa"/>
            <w:vAlign w:val="center"/>
          </w:tcPr>
          <w:p w:rsidR="0014184E" w:rsidRPr="0014184E" w:rsidRDefault="0014184E" w:rsidP="0014184E">
            <w:pPr>
              <w:ind w:left="-104" w:right="-109"/>
              <w:jc w:val="center"/>
              <w:rPr>
                <w:bCs/>
                <w:sz w:val="18"/>
                <w:szCs w:val="18"/>
              </w:rPr>
            </w:pPr>
            <w:r w:rsidRPr="0014184E">
              <w:rPr>
                <w:bCs/>
                <w:sz w:val="18"/>
                <w:szCs w:val="18"/>
              </w:rPr>
              <w:t>4 462</w:t>
            </w:r>
          </w:p>
        </w:tc>
      </w:tr>
      <w:tr w:rsidR="0014184E" w:rsidRPr="0014184E" w:rsidTr="008A253E">
        <w:trPr>
          <w:trHeight w:val="270"/>
        </w:trPr>
        <w:tc>
          <w:tcPr>
            <w:tcW w:w="3114" w:type="dxa"/>
          </w:tcPr>
          <w:p w:rsidR="0014184E" w:rsidRPr="0014184E" w:rsidRDefault="0014184E" w:rsidP="0014184E">
            <w:pPr>
              <w:jc w:val="both"/>
              <w:rPr>
                <w:b/>
                <w:bCs/>
                <w:sz w:val="18"/>
                <w:szCs w:val="18"/>
              </w:rPr>
            </w:pPr>
            <w:r w:rsidRPr="0014184E">
              <w:rPr>
                <w:b/>
                <w:bCs/>
                <w:sz w:val="18"/>
                <w:szCs w:val="18"/>
              </w:rPr>
              <w:t>ИТОГО</w:t>
            </w:r>
          </w:p>
        </w:tc>
        <w:tc>
          <w:tcPr>
            <w:tcW w:w="769" w:type="dxa"/>
            <w:vAlign w:val="center"/>
          </w:tcPr>
          <w:p w:rsidR="0014184E" w:rsidRPr="0014184E" w:rsidRDefault="0014184E" w:rsidP="0014184E">
            <w:pPr>
              <w:ind w:left="-139" w:right="-160"/>
              <w:jc w:val="center"/>
              <w:rPr>
                <w:b/>
                <w:bCs/>
                <w:sz w:val="18"/>
                <w:szCs w:val="18"/>
              </w:rPr>
            </w:pPr>
            <w:r w:rsidRPr="0014184E">
              <w:rPr>
                <w:b/>
                <w:bCs/>
                <w:sz w:val="18"/>
                <w:szCs w:val="18"/>
              </w:rPr>
              <w:t>7 274,08</w:t>
            </w:r>
          </w:p>
        </w:tc>
        <w:tc>
          <w:tcPr>
            <w:tcW w:w="747" w:type="dxa"/>
            <w:vAlign w:val="center"/>
          </w:tcPr>
          <w:p w:rsidR="0014184E" w:rsidRPr="0014184E" w:rsidRDefault="0014184E" w:rsidP="0014184E">
            <w:pPr>
              <w:jc w:val="center"/>
              <w:rPr>
                <w:b/>
                <w:bCs/>
                <w:sz w:val="18"/>
                <w:szCs w:val="18"/>
              </w:rPr>
            </w:pPr>
            <w:r w:rsidRPr="0014184E">
              <w:rPr>
                <w:b/>
                <w:bCs/>
                <w:sz w:val="18"/>
                <w:szCs w:val="18"/>
              </w:rPr>
              <w:t>х</w:t>
            </w:r>
          </w:p>
        </w:tc>
        <w:tc>
          <w:tcPr>
            <w:tcW w:w="979" w:type="dxa"/>
            <w:vAlign w:val="center"/>
          </w:tcPr>
          <w:p w:rsidR="0014184E" w:rsidRPr="0014184E" w:rsidRDefault="0014184E" w:rsidP="0014184E">
            <w:pPr>
              <w:jc w:val="center"/>
              <w:rPr>
                <w:b/>
                <w:bCs/>
                <w:sz w:val="18"/>
                <w:szCs w:val="18"/>
              </w:rPr>
            </w:pPr>
            <w:r w:rsidRPr="0014184E">
              <w:rPr>
                <w:b/>
                <w:bCs/>
                <w:sz w:val="18"/>
                <w:szCs w:val="18"/>
              </w:rPr>
              <w:t>х</w:t>
            </w:r>
          </w:p>
        </w:tc>
        <w:tc>
          <w:tcPr>
            <w:tcW w:w="1018" w:type="dxa"/>
            <w:vAlign w:val="center"/>
          </w:tcPr>
          <w:p w:rsidR="0014184E" w:rsidRPr="0014184E" w:rsidRDefault="0014184E" w:rsidP="0014184E">
            <w:pPr>
              <w:jc w:val="center"/>
              <w:rPr>
                <w:b/>
                <w:bCs/>
                <w:sz w:val="18"/>
                <w:szCs w:val="18"/>
              </w:rPr>
            </w:pPr>
            <w:r w:rsidRPr="0014184E">
              <w:rPr>
                <w:b/>
                <w:bCs/>
                <w:sz w:val="18"/>
                <w:szCs w:val="18"/>
              </w:rPr>
              <w:t>1 917 120</w:t>
            </w:r>
          </w:p>
        </w:tc>
        <w:tc>
          <w:tcPr>
            <w:tcW w:w="1227" w:type="dxa"/>
            <w:vAlign w:val="center"/>
          </w:tcPr>
          <w:p w:rsidR="0014184E" w:rsidRPr="0014184E" w:rsidRDefault="0014184E" w:rsidP="0014184E">
            <w:pPr>
              <w:jc w:val="center"/>
              <w:rPr>
                <w:b/>
                <w:bCs/>
                <w:sz w:val="18"/>
                <w:szCs w:val="18"/>
              </w:rPr>
            </w:pPr>
            <w:r w:rsidRPr="0014184E">
              <w:rPr>
                <w:b/>
                <w:bCs/>
                <w:sz w:val="18"/>
                <w:szCs w:val="18"/>
              </w:rPr>
              <w:t>162 885</w:t>
            </w:r>
          </w:p>
        </w:tc>
        <w:tc>
          <w:tcPr>
            <w:tcW w:w="1224" w:type="dxa"/>
            <w:vAlign w:val="center"/>
          </w:tcPr>
          <w:p w:rsidR="0014184E" w:rsidRPr="0014184E" w:rsidRDefault="0014184E" w:rsidP="0014184E">
            <w:pPr>
              <w:jc w:val="center"/>
              <w:rPr>
                <w:b/>
                <w:bCs/>
                <w:sz w:val="18"/>
                <w:szCs w:val="18"/>
              </w:rPr>
            </w:pPr>
            <w:r w:rsidRPr="0014184E">
              <w:rPr>
                <w:b/>
                <w:bCs/>
                <w:sz w:val="18"/>
                <w:szCs w:val="18"/>
              </w:rPr>
              <w:t>169 355</w:t>
            </w:r>
          </w:p>
        </w:tc>
        <w:tc>
          <w:tcPr>
            <w:tcW w:w="951" w:type="dxa"/>
            <w:vAlign w:val="center"/>
          </w:tcPr>
          <w:p w:rsidR="0014184E" w:rsidRPr="0014184E" w:rsidRDefault="0014184E" w:rsidP="0014184E">
            <w:pPr>
              <w:jc w:val="center"/>
              <w:rPr>
                <w:b/>
                <w:bCs/>
                <w:sz w:val="18"/>
                <w:szCs w:val="18"/>
                <w:lang w:val="en-US"/>
              </w:rPr>
            </w:pPr>
            <w:r w:rsidRPr="0014184E">
              <w:rPr>
                <w:b/>
                <w:bCs/>
                <w:sz w:val="18"/>
                <w:szCs w:val="18"/>
              </w:rPr>
              <w:t>1 910 650</w:t>
            </w:r>
          </w:p>
        </w:tc>
        <w:tc>
          <w:tcPr>
            <w:tcW w:w="975" w:type="dxa"/>
            <w:vAlign w:val="center"/>
          </w:tcPr>
          <w:p w:rsidR="0014184E" w:rsidRPr="0014184E" w:rsidRDefault="0014184E" w:rsidP="0014184E">
            <w:pPr>
              <w:jc w:val="center"/>
              <w:rPr>
                <w:b/>
                <w:bCs/>
                <w:sz w:val="18"/>
                <w:szCs w:val="18"/>
              </w:rPr>
            </w:pPr>
            <w:r w:rsidRPr="0014184E">
              <w:rPr>
                <w:b/>
                <w:bCs/>
                <w:sz w:val="18"/>
                <w:szCs w:val="18"/>
              </w:rPr>
              <w:t>100</w:t>
            </w:r>
          </w:p>
        </w:tc>
        <w:tc>
          <w:tcPr>
            <w:tcW w:w="867" w:type="dxa"/>
            <w:vAlign w:val="center"/>
          </w:tcPr>
          <w:p w:rsidR="0014184E" w:rsidRPr="0014184E" w:rsidRDefault="0014184E" w:rsidP="0014184E">
            <w:pPr>
              <w:jc w:val="center"/>
              <w:rPr>
                <w:b/>
                <w:bCs/>
                <w:sz w:val="18"/>
                <w:szCs w:val="18"/>
              </w:rPr>
            </w:pPr>
            <w:r w:rsidRPr="0014184E">
              <w:rPr>
                <w:b/>
                <w:bCs/>
                <w:sz w:val="18"/>
                <w:szCs w:val="18"/>
              </w:rPr>
              <w:t>100</w:t>
            </w:r>
          </w:p>
        </w:tc>
        <w:tc>
          <w:tcPr>
            <w:tcW w:w="993" w:type="dxa"/>
            <w:vAlign w:val="center"/>
          </w:tcPr>
          <w:p w:rsidR="0014184E" w:rsidRPr="0014184E" w:rsidRDefault="0014184E" w:rsidP="0014184E">
            <w:pPr>
              <w:jc w:val="center"/>
              <w:rPr>
                <w:b/>
                <w:bCs/>
                <w:sz w:val="18"/>
                <w:szCs w:val="18"/>
                <w:lang w:val="en-US"/>
              </w:rPr>
            </w:pPr>
            <w:r w:rsidRPr="0014184E">
              <w:rPr>
                <w:b/>
                <w:bCs/>
                <w:sz w:val="18"/>
                <w:szCs w:val="18"/>
              </w:rPr>
              <w:t>1 910 650</w:t>
            </w:r>
          </w:p>
        </w:tc>
        <w:tc>
          <w:tcPr>
            <w:tcW w:w="881" w:type="dxa"/>
            <w:vAlign w:val="center"/>
          </w:tcPr>
          <w:p w:rsidR="0014184E" w:rsidRPr="0014184E" w:rsidRDefault="0014184E" w:rsidP="0014184E">
            <w:pPr>
              <w:jc w:val="center"/>
              <w:rPr>
                <w:b/>
                <w:bCs/>
                <w:sz w:val="18"/>
                <w:szCs w:val="18"/>
              </w:rPr>
            </w:pPr>
            <w:r w:rsidRPr="0014184E">
              <w:rPr>
                <w:b/>
                <w:bCs/>
                <w:sz w:val="18"/>
                <w:szCs w:val="18"/>
              </w:rPr>
              <w:t>101 501</w:t>
            </w:r>
          </w:p>
        </w:tc>
        <w:tc>
          <w:tcPr>
            <w:tcW w:w="851" w:type="dxa"/>
            <w:vAlign w:val="center"/>
          </w:tcPr>
          <w:p w:rsidR="0014184E" w:rsidRPr="0014184E" w:rsidRDefault="0014184E" w:rsidP="0014184E">
            <w:pPr>
              <w:ind w:left="-104" w:right="-109"/>
              <w:jc w:val="center"/>
              <w:rPr>
                <w:b/>
                <w:bCs/>
                <w:sz w:val="18"/>
                <w:szCs w:val="18"/>
              </w:rPr>
            </w:pPr>
            <w:r w:rsidRPr="0014184E">
              <w:rPr>
                <w:b/>
                <w:bCs/>
                <w:sz w:val="18"/>
                <w:szCs w:val="18"/>
              </w:rPr>
              <w:t>1 809 149</w:t>
            </w:r>
          </w:p>
        </w:tc>
      </w:tr>
    </w:tbl>
    <w:p w:rsidR="0014184E" w:rsidRPr="0014184E" w:rsidRDefault="0014184E" w:rsidP="0014184E">
      <w:pPr>
        <w:ind w:left="360" w:firstLine="709"/>
        <w:jc w:val="both"/>
        <w:rPr>
          <w:b/>
          <w:sz w:val="28"/>
          <w:szCs w:val="28"/>
        </w:rPr>
        <w:sectPr w:rsidR="0014184E" w:rsidRPr="0014184E" w:rsidSect="008A253E">
          <w:footerReference w:type="even" r:id="rId10"/>
          <w:footerReference w:type="default" r:id="rId11"/>
          <w:pgSz w:w="16838" w:h="11906" w:orient="landscape" w:code="9"/>
          <w:pgMar w:top="1701" w:right="1134" w:bottom="992" w:left="1134" w:header="709" w:footer="709" w:gutter="0"/>
          <w:cols w:space="708"/>
          <w:docGrid w:linePitch="360"/>
        </w:sectPr>
      </w:pPr>
    </w:p>
    <w:p w:rsidR="00E7317C" w:rsidRPr="00005D5C" w:rsidRDefault="00E7317C" w:rsidP="00E7317C">
      <w:pPr>
        <w:autoSpaceDE w:val="0"/>
        <w:autoSpaceDN w:val="0"/>
        <w:adjustRightInd w:val="0"/>
        <w:jc w:val="center"/>
        <w:rPr>
          <w:b/>
          <w:sz w:val="28"/>
          <w:szCs w:val="28"/>
        </w:rPr>
      </w:pPr>
      <w:r w:rsidRPr="00005D5C">
        <w:rPr>
          <w:b/>
          <w:sz w:val="28"/>
          <w:szCs w:val="28"/>
        </w:rPr>
        <w:lastRenderedPageBreak/>
        <w:t>Расчеты прогноза на 202</w:t>
      </w:r>
      <w:r>
        <w:rPr>
          <w:b/>
          <w:sz w:val="28"/>
          <w:szCs w:val="28"/>
        </w:rPr>
        <w:t>2</w:t>
      </w:r>
      <w:r w:rsidRPr="00005D5C">
        <w:rPr>
          <w:b/>
          <w:sz w:val="28"/>
          <w:szCs w:val="28"/>
        </w:rPr>
        <w:t xml:space="preserve"> год и на плановый период 202</w:t>
      </w:r>
      <w:r>
        <w:rPr>
          <w:b/>
          <w:sz w:val="28"/>
          <w:szCs w:val="28"/>
        </w:rPr>
        <w:t>3</w:t>
      </w:r>
      <w:r w:rsidRPr="00005D5C">
        <w:rPr>
          <w:b/>
          <w:sz w:val="28"/>
          <w:szCs w:val="28"/>
        </w:rPr>
        <w:t>-202</w:t>
      </w:r>
      <w:r>
        <w:rPr>
          <w:b/>
          <w:sz w:val="28"/>
          <w:szCs w:val="28"/>
        </w:rPr>
        <w:t>4</w:t>
      </w:r>
      <w:r w:rsidRPr="00005D5C">
        <w:rPr>
          <w:b/>
          <w:sz w:val="28"/>
          <w:szCs w:val="28"/>
        </w:rPr>
        <w:t xml:space="preserve"> годов</w:t>
      </w:r>
    </w:p>
    <w:p w:rsidR="00E7317C" w:rsidRDefault="00E7317C" w:rsidP="00E7317C">
      <w:pPr>
        <w:autoSpaceDE w:val="0"/>
        <w:autoSpaceDN w:val="0"/>
        <w:adjustRightInd w:val="0"/>
        <w:jc w:val="center"/>
        <w:rPr>
          <w:b/>
          <w:sz w:val="28"/>
          <w:szCs w:val="28"/>
        </w:rPr>
      </w:pPr>
      <w:r w:rsidRPr="00005D5C">
        <w:rPr>
          <w:b/>
          <w:sz w:val="28"/>
          <w:szCs w:val="28"/>
        </w:rPr>
        <w:t xml:space="preserve">по доходам от уплаты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подлежащие распределению в бюджеты субъектов Российской Федерации </w:t>
      </w:r>
    </w:p>
    <w:p w:rsidR="00E7317C" w:rsidRDefault="00E7317C" w:rsidP="00E7317C">
      <w:pPr>
        <w:autoSpaceDE w:val="0"/>
        <w:autoSpaceDN w:val="0"/>
        <w:adjustRightInd w:val="0"/>
        <w:jc w:val="center"/>
        <w:rPr>
          <w:sz w:val="28"/>
          <w:szCs w:val="28"/>
        </w:rPr>
      </w:pPr>
      <w:r>
        <w:rPr>
          <w:sz w:val="28"/>
          <w:szCs w:val="28"/>
        </w:rPr>
        <w:t>(КБК 000 1 03 0214</w:t>
      </w:r>
      <w:r w:rsidRPr="00C5633A">
        <w:rPr>
          <w:sz w:val="28"/>
          <w:szCs w:val="28"/>
        </w:rPr>
        <w:t>2</w:t>
      </w:r>
      <w:r>
        <w:rPr>
          <w:sz w:val="28"/>
          <w:szCs w:val="28"/>
        </w:rPr>
        <w:t xml:space="preserve"> 01 0000 110</w:t>
      </w:r>
    </w:p>
    <w:p w:rsidR="00E7317C" w:rsidRDefault="00E7317C" w:rsidP="00E7317C">
      <w:pPr>
        <w:autoSpaceDE w:val="0"/>
        <w:autoSpaceDN w:val="0"/>
        <w:adjustRightInd w:val="0"/>
        <w:jc w:val="center"/>
        <w:rPr>
          <w:sz w:val="28"/>
          <w:szCs w:val="28"/>
        </w:rPr>
      </w:pPr>
      <w:r>
        <w:rPr>
          <w:sz w:val="28"/>
          <w:szCs w:val="28"/>
        </w:rPr>
        <w:t>КБК 000 1 03 0214</w:t>
      </w:r>
      <w:r w:rsidRPr="002913F8">
        <w:rPr>
          <w:sz w:val="28"/>
          <w:szCs w:val="28"/>
        </w:rPr>
        <w:t>3</w:t>
      </w:r>
      <w:r>
        <w:rPr>
          <w:sz w:val="28"/>
          <w:szCs w:val="28"/>
        </w:rPr>
        <w:t xml:space="preserve"> 01 0000 110)</w:t>
      </w:r>
    </w:p>
    <w:p w:rsidR="00E7317C" w:rsidRDefault="00E7317C" w:rsidP="00E7317C">
      <w:pPr>
        <w:autoSpaceDE w:val="0"/>
        <w:autoSpaceDN w:val="0"/>
        <w:adjustRightInd w:val="0"/>
        <w:jc w:val="center"/>
        <w:rPr>
          <w:sz w:val="28"/>
          <w:szCs w:val="28"/>
        </w:rPr>
      </w:pPr>
    </w:p>
    <w:p w:rsidR="00E7317C" w:rsidRDefault="00E7317C" w:rsidP="00E7317C">
      <w:pPr>
        <w:autoSpaceDE w:val="0"/>
        <w:autoSpaceDN w:val="0"/>
        <w:adjustRightInd w:val="0"/>
        <w:ind w:firstLine="709"/>
        <w:jc w:val="both"/>
        <w:rPr>
          <w:sz w:val="28"/>
          <w:szCs w:val="28"/>
        </w:rPr>
      </w:pPr>
      <w:r>
        <w:rPr>
          <w:sz w:val="28"/>
          <w:szCs w:val="28"/>
        </w:rPr>
        <w:t>Главным администратором доходов от уплаты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подлежащие распределению в бюджеты субъектов Российской Федерации (группированный КБК 000 1 03 02140 01 0000 110) является Федеральное казначейство (Управление Федерального казначейства по Тверской области) (код главного администратора доходов 100).</w:t>
      </w:r>
    </w:p>
    <w:p w:rsidR="00E7317C" w:rsidRDefault="00E7317C" w:rsidP="00E7317C">
      <w:pPr>
        <w:autoSpaceDE w:val="0"/>
        <w:autoSpaceDN w:val="0"/>
        <w:adjustRightInd w:val="0"/>
        <w:ind w:firstLine="709"/>
        <w:jc w:val="both"/>
        <w:rPr>
          <w:sz w:val="28"/>
          <w:szCs w:val="28"/>
        </w:rPr>
      </w:pPr>
      <w:r>
        <w:rPr>
          <w:sz w:val="28"/>
          <w:szCs w:val="28"/>
        </w:rPr>
        <w:t xml:space="preserve">Расчет прогноза на 2022 год и плановый период 2023-2024 годов </w:t>
      </w:r>
      <w:r w:rsidR="000C7362">
        <w:rPr>
          <w:sz w:val="28"/>
          <w:szCs w:val="28"/>
        </w:rPr>
        <w:t>описан в таблице</w:t>
      </w:r>
      <w:r>
        <w:rPr>
          <w:sz w:val="28"/>
          <w:szCs w:val="28"/>
        </w:rPr>
        <w:t>:</w:t>
      </w:r>
    </w:p>
    <w:p w:rsidR="00E7317C" w:rsidRDefault="00E7317C" w:rsidP="00E7317C">
      <w:pPr>
        <w:autoSpaceDE w:val="0"/>
        <w:autoSpaceDN w:val="0"/>
        <w:adjustRightInd w:val="0"/>
        <w:ind w:firstLine="709"/>
        <w:jc w:val="both"/>
        <w:rPr>
          <w:sz w:val="28"/>
          <w:szCs w:val="28"/>
        </w:rPr>
      </w:pPr>
    </w:p>
    <w:tbl>
      <w:tblPr>
        <w:tblW w:w="9496" w:type="dxa"/>
        <w:jc w:val="center"/>
        <w:tblLook w:val="04A0" w:firstRow="1" w:lastRow="0" w:firstColumn="1" w:lastColumn="0" w:noHBand="0" w:noVBand="1"/>
      </w:tblPr>
      <w:tblGrid>
        <w:gridCol w:w="593"/>
        <w:gridCol w:w="4362"/>
        <w:gridCol w:w="1556"/>
        <w:gridCol w:w="1556"/>
        <w:gridCol w:w="1556"/>
      </w:tblGrid>
      <w:tr w:rsidR="00E7317C" w:rsidTr="00E7317C">
        <w:trPr>
          <w:trHeight w:val="375"/>
          <w:tblHeader/>
          <w:jc w:val="center"/>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317C" w:rsidRDefault="00E7317C" w:rsidP="00E7317C">
            <w:pPr>
              <w:ind w:left="-115" w:right="-71"/>
              <w:jc w:val="center"/>
              <w:rPr>
                <w:color w:val="000000"/>
                <w:sz w:val="28"/>
                <w:szCs w:val="28"/>
              </w:rPr>
            </w:pPr>
            <w:r>
              <w:rPr>
                <w:color w:val="000000"/>
                <w:sz w:val="28"/>
                <w:szCs w:val="28"/>
              </w:rPr>
              <w:t>№ п/п</w:t>
            </w:r>
          </w:p>
        </w:tc>
        <w:tc>
          <w:tcPr>
            <w:tcW w:w="4362" w:type="dxa"/>
            <w:tcBorders>
              <w:top w:val="single" w:sz="4" w:space="0" w:color="auto"/>
              <w:left w:val="nil"/>
              <w:bottom w:val="single" w:sz="4" w:space="0" w:color="auto"/>
              <w:right w:val="single" w:sz="4" w:space="0" w:color="auto"/>
            </w:tcBorders>
            <w:shd w:val="clear" w:color="auto" w:fill="auto"/>
            <w:noWrap/>
            <w:vAlign w:val="center"/>
            <w:hideMark/>
          </w:tcPr>
          <w:p w:rsidR="00E7317C" w:rsidRDefault="00E7317C" w:rsidP="00E7317C">
            <w:pPr>
              <w:jc w:val="center"/>
              <w:rPr>
                <w:color w:val="000000"/>
                <w:sz w:val="28"/>
                <w:szCs w:val="28"/>
              </w:rPr>
            </w:pPr>
            <w:r>
              <w:rPr>
                <w:color w:val="000000"/>
                <w:sz w:val="28"/>
                <w:szCs w:val="28"/>
              </w:rPr>
              <w:t>Показатели</w:t>
            </w:r>
          </w:p>
        </w:tc>
        <w:tc>
          <w:tcPr>
            <w:tcW w:w="1493" w:type="dxa"/>
            <w:tcBorders>
              <w:top w:val="single" w:sz="4" w:space="0" w:color="auto"/>
              <w:left w:val="nil"/>
              <w:bottom w:val="single" w:sz="4" w:space="0" w:color="auto"/>
              <w:right w:val="single" w:sz="4" w:space="0" w:color="auto"/>
            </w:tcBorders>
            <w:shd w:val="clear" w:color="auto" w:fill="auto"/>
            <w:noWrap/>
            <w:vAlign w:val="center"/>
            <w:hideMark/>
          </w:tcPr>
          <w:p w:rsidR="00E7317C" w:rsidRDefault="00E7317C" w:rsidP="00E7317C">
            <w:pPr>
              <w:jc w:val="center"/>
              <w:rPr>
                <w:color w:val="000000"/>
                <w:sz w:val="28"/>
                <w:szCs w:val="28"/>
              </w:rPr>
            </w:pPr>
            <w:r>
              <w:rPr>
                <w:color w:val="000000"/>
                <w:sz w:val="28"/>
                <w:szCs w:val="28"/>
              </w:rPr>
              <w:t>2022 год</w:t>
            </w:r>
          </w:p>
        </w:tc>
        <w:tc>
          <w:tcPr>
            <w:tcW w:w="1524" w:type="dxa"/>
            <w:tcBorders>
              <w:top w:val="single" w:sz="4" w:space="0" w:color="auto"/>
              <w:left w:val="nil"/>
              <w:bottom w:val="single" w:sz="4" w:space="0" w:color="auto"/>
              <w:right w:val="single" w:sz="4" w:space="0" w:color="auto"/>
            </w:tcBorders>
            <w:shd w:val="clear" w:color="auto" w:fill="auto"/>
            <w:noWrap/>
            <w:vAlign w:val="center"/>
            <w:hideMark/>
          </w:tcPr>
          <w:p w:rsidR="00E7317C" w:rsidRDefault="00E7317C" w:rsidP="00E7317C">
            <w:pPr>
              <w:jc w:val="center"/>
              <w:rPr>
                <w:color w:val="000000"/>
                <w:sz w:val="28"/>
                <w:szCs w:val="28"/>
              </w:rPr>
            </w:pPr>
            <w:r>
              <w:rPr>
                <w:color w:val="000000"/>
                <w:sz w:val="28"/>
                <w:szCs w:val="28"/>
              </w:rPr>
              <w:t>2023 год</w:t>
            </w:r>
          </w:p>
        </w:tc>
        <w:tc>
          <w:tcPr>
            <w:tcW w:w="1524" w:type="dxa"/>
            <w:tcBorders>
              <w:top w:val="single" w:sz="4" w:space="0" w:color="auto"/>
              <w:left w:val="nil"/>
              <w:bottom w:val="single" w:sz="4" w:space="0" w:color="auto"/>
              <w:right w:val="single" w:sz="4" w:space="0" w:color="auto"/>
            </w:tcBorders>
            <w:vAlign w:val="center"/>
          </w:tcPr>
          <w:p w:rsidR="00E7317C" w:rsidRDefault="00E7317C" w:rsidP="00E7317C">
            <w:pPr>
              <w:jc w:val="center"/>
              <w:rPr>
                <w:color w:val="000000"/>
                <w:sz w:val="28"/>
                <w:szCs w:val="28"/>
              </w:rPr>
            </w:pPr>
            <w:r>
              <w:rPr>
                <w:color w:val="000000"/>
                <w:sz w:val="28"/>
                <w:szCs w:val="28"/>
              </w:rPr>
              <w:t>2024 год</w:t>
            </w:r>
          </w:p>
        </w:tc>
      </w:tr>
      <w:tr w:rsidR="00E7317C" w:rsidRPr="00487390" w:rsidTr="00E7317C">
        <w:trPr>
          <w:trHeight w:val="1125"/>
          <w:jc w:val="center"/>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E7317C" w:rsidRPr="00487390" w:rsidRDefault="00E7317C" w:rsidP="00E7317C">
            <w:pPr>
              <w:jc w:val="center"/>
              <w:rPr>
                <w:color w:val="000000"/>
              </w:rPr>
            </w:pPr>
            <w:r w:rsidRPr="00487390">
              <w:rPr>
                <w:color w:val="000000"/>
              </w:rPr>
              <w:t>1</w:t>
            </w:r>
          </w:p>
        </w:tc>
        <w:tc>
          <w:tcPr>
            <w:tcW w:w="4362" w:type="dxa"/>
            <w:tcBorders>
              <w:top w:val="nil"/>
              <w:left w:val="nil"/>
              <w:bottom w:val="single" w:sz="4" w:space="0" w:color="auto"/>
              <w:right w:val="single" w:sz="4" w:space="0" w:color="auto"/>
            </w:tcBorders>
            <w:shd w:val="clear" w:color="auto" w:fill="auto"/>
            <w:vAlign w:val="bottom"/>
            <w:hideMark/>
          </w:tcPr>
          <w:p w:rsidR="00E7317C" w:rsidRPr="00487390" w:rsidRDefault="00E7317C" w:rsidP="00E7317C">
            <w:pPr>
              <w:rPr>
                <w:color w:val="000000"/>
              </w:rPr>
            </w:pPr>
            <w:r w:rsidRPr="00487390">
              <w:rPr>
                <w:color w:val="000000"/>
              </w:rPr>
              <w:t>Поступления в Федеральный бюджет по проекту закона о федеральном бюджет (</w:t>
            </w:r>
            <w:r>
              <w:rPr>
                <w:color w:val="000000"/>
              </w:rPr>
              <w:t>расчеты по статьям доходов 2022-2024</w:t>
            </w:r>
            <w:r w:rsidRPr="00487390">
              <w:rPr>
                <w:color w:val="000000"/>
              </w:rPr>
              <w:t>)</w:t>
            </w:r>
            <w:r w:rsidR="0030575D">
              <w:rPr>
                <w:color w:val="000000"/>
              </w:rPr>
              <w:t>, тыс. руб.</w:t>
            </w:r>
          </w:p>
        </w:tc>
        <w:tc>
          <w:tcPr>
            <w:tcW w:w="1493" w:type="dxa"/>
            <w:tcBorders>
              <w:top w:val="nil"/>
              <w:left w:val="nil"/>
              <w:bottom w:val="single" w:sz="4" w:space="0" w:color="auto"/>
              <w:right w:val="single" w:sz="4" w:space="0" w:color="auto"/>
            </w:tcBorders>
            <w:shd w:val="clear" w:color="auto" w:fill="auto"/>
            <w:vAlign w:val="center"/>
          </w:tcPr>
          <w:p w:rsidR="00E7317C" w:rsidRPr="009D0581" w:rsidRDefault="00E7317C" w:rsidP="00E7317C">
            <w:pPr>
              <w:ind w:left="-104"/>
              <w:jc w:val="center"/>
              <w:rPr>
                <w:color w:val="000000"/>
              </w:rPr>
            </w:pPr>
            <w:r>
              <w:rPr>
                <w:color w:val="000000"/>
              </w:rPr>
              <w:t>36 044 340,8</w:t>
            </w:r>
          </w:p>
        </w:tc>
        <w:tc>
          <w:tcPr>
            <w:tcW w:w="1524" w:type="dxa"/>
            <w:tcBorders>
              <w:top w:val="nil"/>
              <w:left w:val="nil"/>
              <w:bottom w:val="single" w:sz="4" w:space="0" w:color="auto"/>
              <w:right w:val="single" w:sz="4" w:space="0" w:color="auto"/>
            </w:tcBorders>
            <w:shd w:val="clear" w:color="auto" w:fill="auto"/>
            <w:vAlign w:val="center"/>
          </w:tcPr>
          <w:p w:rsidR="00E7317C" w:rsidRPr="009D0581" w:rsidRDefault="00E7317C" w:rsidP="00E7317C">
            <w:pPr>
              <w:jc w:val="center"/>
              <w:rPr>
                <w:color w:val="000000"/>
              </w:rPr>
            </w:pPr>
            <w:r>
              <w:rPr>
                <w:color w:val="000000"/>
              </w:rPr>
              <w:t>38 075 601,2</w:t>
            </w:r>
          </w:p>
        </w:tc>
        <w:tc>
          <w:tcPr>
            <w:tcW w:w="1524" w:type="dxa"/>
            <w:tcBorders>
              <w:top w:val="nil"/>
              <w:left w:val="nil"/>
              <w:bottom w:val="single" w:sz="4" w:space="0" w:color="auto"/>
              <w:right w:val="single" w:sz="4" w:space="0" w:color="auto"/>
            </w:tcBorders>
            <w:vAlign w:val="center"/>
          </w:tcPr>
          <w:p w:rsidR="00E7317C" w:rsidRDefault="00E7317C" w:rsidP="00E7317C">
            <w:pPr>
              <w:jc w:val="center"/>
              <w:rPr>
                <w:color w:val="000000"/>
              </w:rPr>
            </w:pPr>
            <w:r>
              <w:rPr>
                <w:color w:val="000000"/>
              </w:rPr>
              <w:t>40 222 987,0</w:t>
            </w:r>
          </w:p>
        </w:tc>
      </w:tr>
      <w:tr w:rsidR="00E7317C" w:rsidRPr="00487390" w:rsidTr="00E7317C">
        <w:trPr>
          <w:trHeight w:val="750"/>
          <w:jc w:val="center"/>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E7317C" w:rsidRPr="00487390" w:rsidRDefault="00E7317C" w:rsidP="00E7317C">
            <w:pPr>
              <w:jc w:val="center"/>
              <w:rPr>
                <w:color w:val="000000"/>
              </w:rPr>
            </w:pPr>
            <w:r w:rsidRPr="00487390">
              <w:rPr>
                <w:color w:val="000000"/>
              </w:rPr>
              <w:t>2</w:t>
            </w:r>
          </w:p>
        </w:tc>
        <w:tc>
          <w:tcPr>
            <w:tcW w:w="4362" w:type="dxa"/>
            <w:tcBorders>
              <w:top w:val="nil"/>
              <w:left w:val="nil"/>
              <w:bottom w:val="single" w:sz="4" w:space="0" w:color="auto"/>
              <w:right w:val="single" w:sz="4" w:space="0" w:color="auto"/>
            </w:tcBorders>
            <w:shd w:val="clear" w:color="auto" w:fill="auto"/>
            <w:vAlign w:val="bottom"/>
            <w:hideMark/>
          </w:tcPr>
          <w:p w:rsidR="00E7317C" w:rsidRPr="00487390" w:rsidRDefault="00E7317C" w:rsidP="00E7317C">
            <w:pPr>
              <w:rPr>
                <w:color w:val="000000"/>
              </w:rPr>
            </w:pPr>
            <w:r w:rsidRPr="00487390">
              <w:rPr>
                <w:color w:val="000000"/>
              </w:rPr>
              <w:t xml:space="preserve">Норматив в федеральный бюджет по БК РФ </w:t>
            </w:r>
            <w:r>
              <w:rPr>
                <w:color w:val="000000"/>
              </w:rPr>
              <w:t>с учетом проекта ФЗ</w:t>
            </w:r>
            <w:r w:rsidR="0030575D">
              <w:rPr>
                <w:color w:val="000000"/>
              </w:rPr>
              <w:t>, %</w:t>
            </w:r>
          </w:p>
        </w:tc>
        <w:tc>
          <w:tcPr>
            <w:tcW w:w="1493" w:type="dxa"/>
            <w:tcBorders>
              <w:top w:val="nil"/>
              <w:left w:val="nil"/>
              <w:bottom w:val="single" w:sz="4" w:space="0" w:color="auto"/>
              <w:right w:val="single" w:sz="4" w:space="0" w:color="auto"/>
            </w:tcBorders>
            <w:shd w:val="clear" w:color="auto" w:fill="auto"/>
            <w:vAlign w:val="center"/>
            <w:hideMark/>
          </w:tcPr>
          <w:p w:rsidR="00E7317C" w:rsidRPr="00487390" w:rsidRDefault="00E7317C" w:rsidP="00E7317C">
            <w:pPr>
              <w:jc w:val="center"/>
              <w:rPr>
                <w:color w:val="000000"/>
              </w:rPr>
            </w:pPr>
            <w:r>
              <w:rPr>
                <w:color w:val="000000"/>
              </w:rPr>
              <w:t>16</w:t>
            </w:r>
            <w:r w:rsidRPr="003B1835">
              <w:rPr>
                <w:color w:val="000000"/>
              </w:rPr>
              <w:t>%</w:t>
            </w:r>
          </w:p>
        </w:tc>
        <w:tc>
          <w:tcPr>
            <w:tcW w:w="1524" w:type="dxa"/>
            <w:tcBorders>
              <w:top w:val="nil"/>
              <w:left w:val="nil"/>
              <w:bottom w:val="single" w:sz="4" w:space="0" w:color="auto"/>
              <w:right w:val="single" w:sz="4" w:space="0" w:color="auto"/>
            </w:tcBorders>
            <w:shd w:val="clear" w:color="auto" w:fill="auto"/>
            <w:vAlign w:val="center"/>
            <w:hideMark/>
          </w:tcPr>
          <w:p w:rsidR="00E7317C" w:rsidRPr="00487390" w:rsidRDefault="00E7317C" w:rsidP="00E7317C">
            <w:pPr>
              <w:jc w:val="center"/>
              <w:rPr>
                <w:color w:val="000000"/>
              </w:rPr>
            </w:pPr>
            <w:r>
              <w:rPr>
                <w:color w:val="000000"/>
              </w:rPr>
              <w:t>16</w:t>
            </w:r>
            <w:r w:rsidRPr="003B1835">
              <w:rPr>
                <w:color w:val="000000"/>
              </w:rPr>
              <w:t>%</w:t>
            </w:r>
          </w:p>
        </w:tc>
        <w:tc>
          <w:tcPr>
            <w:tcW w:w="1524" w:type="dxa"/>
            <w:tcBorders>
              <w:top w:val="nil"/>
              <w:left w:val="nil"/>
              <w:bottom w:val="single" w:sz="4" w:space="0" w:color="auto"/>
              <w:right w:val="single" w:sz="4" w:space="0" w:color="auto"/>
            </w:tcBorders>
            <w:vAlign w:val="center"/>
          </w:tcPr>
          <w:p w:rsidR="00E7317C" w:rsidRPr="003B1835" w:rsidRDefault="00E7317C" w:rsidP="00E7317C">
            <w:pPr>
              <w:jc w:val="center"/>
              <w:rPr>
                <w:color w:val="000000"/>
              </w:rPr>
            </w:pPr>
            <w:r>
              <w:rPr>
                <w:color w:val="000000"/>
              </w:rPr>
              <w:t>16%</w:t>
            </w:r>
          </w:p>
        </w:tc>
      </w:tr>
      <w:tr w:rsidR="00E7317C" w:rsidRPr="00487390" w:rsidTr="00E7317C">
        <w:trPr>
          <w:trHeight w:val="375"/>
          <w:jc w:val="center"/>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E7317C" w:rsidRPr="00487390" w:rsidRDefault="00E7317C" w:rsidP="00E7317C">
            <w:pPr>
              <w:jc w:val="center"/>
              <w:rPr>
                <w:color w:val="000000"/>
              </w:rPr>
            </w:pPr>
            <w:r w:rsidRPr="00487390">
              <w:rPr>
                <w:color w:val="000000"/>
              </w:rPr>
              <w:t>3</w:t>
            </w:r>
          </w:p>
        </w:tc>
        <w:tc>
          <w:tcPr>
            <w:tcW w:w="4362" w:type="dxa"/>
            <w:tcBorders>
              <w:top w:val="nil"/>
              <w:left w:val="nil"/>
              <w:bottom w:val="single" w:sz="4" w:space="0" w:color="auto"/>
              <w:right w:val="single" w:sz="4" w:space="0" w:color="auto"/>
            </w:tcBorders>
            <w:shd w:val="clear" w:color="auto" w:fill="auto"/>
            <w:vAlign w:val="bottom"/>
            <w:hideMark/>
          </w:tcPr>
          <w:p w:rsidR="00E7317C" w:rsidRDefault="00E7317C" w:rsidP="00E7317C">
            <w:pPr>
              <w:rPr>
                <w:color w:val="000000"/>
              </w:rPr>
            </w:pPr>
            <w:r w:rsidRPr="00487390">
              <w:rPr>
                <w:color w:val="000000"/>
              </w:rPr>
              <w:t>Общая сумма поступлений по РФ</w:t>
            </w:r>
          </w:p>
          <w:p w:rsidR="00E7317C" w:rsidRPr="00487390" w:rsidRDefault="00E7317C" w:rsidP="00E7317C">
            <w:pPr>
              <w:rPr>
                <w:color w:val="000000"/>
              </w:rPr>
            </w:pPr>
            <w:r>
              <w:rPr>
                <w:color w:val="000000"/>
              </w:rPr>
              <w:t>стр. 3 = стр. 1/ стр. 2</w:t>
            </w:r>
            <w:r w:rsidR="0030575D">
              <w:rPr>
                <w:color w:val="000000"/>
              </w:rPr>
              <w:t>. тыс. руб.</w:t>
            </w:r>
          </w:p>
        </w:tc>
        <w:tc>
          <w:tcPr>
            <w:tcW w:w="1493" w:type="dxa"/>
            <w:tcBorders>
              <w:top w:val="nil"/>
              <w:left w:val="nil"/>
              <w:bottom w:val="single" w:sz="4" w:space="0" w:color="auto"/>
              <w:right w:val="single" w:sz="4" w:space="0" w:color="auto"/>
            </w:tcBorders>
            <w:shd w:val="clear" w:color="auto" w:fill="auto"/>
            <w:vAlign w:val="center"/>
          </w:tcPr>
          <w:p w:rsidR="00E7317C" w:rsidRPr="009D0581" w:rsidRDefault="00E7317C" w:rsidP="00E7317C">
            <w:pPr>
              <w:ind w:left="-104" w:right="-104"/>
              <w:jc w:val="center"/>
              <w:rPr>
                <w:color w:val="000000"/>
              </w:rPr>
            </w:pPr>
            <w:r>
              <w:rPr>
                <w:color w:val="000000"/>
              </w:rPr>
              <w:t>225 277 130,0</w:t>
            </w:r>
          </w:p>
        </w:tc>
        <w:tc>
          <w:tcPr>
            <w:tcW w:w="1524" w:type="dxa"/>
            <w:tcBorders>
              <w:top w:val="nil"/>
              <w:left w:val="nil"/>
              <w:bottom w:val="single" w:sz="4" w:space="0" w:color="auto"/>
              <w:right w:val="single" w:sz="4" w:space="0" w:color="auto"/>
            </w:tcBorders>
            <w:shd w:val="clear" w:color="auto" w:fill="auto"/>
            <w:vAlign w:val="center"/>
          </w:tcPr>
          <w:p w:rsidR="00E7317C" w:rsidRPr="009D0581" w:rsidRDefault="00E7317C" w:rsidP="00E7317C">
            <w:pPr>
              <w:ind w:left="-104" w:right="-144"/>
              <w:jc w:val="center"/>
              <w:rPr>
                <w:color w:val="000000"/>
              </w:rPr>
            </w:pPr>
            <w:r>
              <w:rPr>
                <w:color w:val="000000"/>
              </w:rPr>
              <w:t>237 972 507,5</w:t>
            </w:r>
          </w:p>
        </w:tc>
        <w:tc>
          <w:tcPr>
            <w:tcW w:w="1524" w:type="dxa"/>
            <w:tcBorders>
              <w:top w:val="nil"/>
              <w:left w:val="nil"/>
              <w:bottom w:val="single" w:sz="4" w:space="0" w:color="auto"/>
              <w:right w:val="single" w:sz="4" w:space="0" w:color="auto"/>
            </w:tcBorders>
            <w:vAlign w:val="center"/>
          </w:tcPr>
          <w:p w:rsidR="00E7317C" w:rsidRDefault="00E7317C" w:rsidP="00E7317C">
            <w:pPr>
              <w:ind w:left="-104" w:right="-144"/>
              <w:jc w:val="center"/>
              <w:rPr>
                <w:color w:val="000000"/>
              </w:rPr>
            </w:pPr>
            <w:r>
              <w:rPr>
                <w:color w:val="000000"/>
              </w:rPr>
              <w:t>251 393 668,8</w:t>
            </w:r>
          </w:p>
        </w:tc>
      </w:tr>
      <w:tr w:rsidR="00E7317C" w:rsidRPr="00487390" w:rsidTr="00E7317C">
        <w:trPr>
          <w:trHeight w:val="750"/>
          <w:jc w:val="center"/>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E7317C" w:rsidRPr="00487390" w:rsidRDefault="00E7317C" w:rsidP="00E7317C">
            <w:pPr>
              <w:jc w:val="center"/>
              <w:rPr>
                <w:color w:val="000000"/>
              </w:rPr>
            </w:pPr>
            <w:r w:rsidRPr="00487390">
              <w:rPr>
                <w:color w:val="000000"/>
              </w:rPr>
              <w:t>4</w:t>
            </w:r>
          </w:p>
        </w:tc>
        <w:tc>
          <w:tcPr>
            <w:tcW w:w="4362" w:type="dxa"/>
            <w:tcBorders>
              <w:top w:val="nil"/>
              <w:left w:val="nil"/>
              <w:bottom w:val="single" w:sz="4" w:space="0" w:color="auto"/>
              <w:right w:val="single" w:sz="4" w:space="0" w:color="auto"/>
            </w:tcBorders>
            <w:shd w:val="clear" w:color="auto" w:fill="auto"/>
            <w:vAlign w:val="bottom"/>
            <w:hideMark/>
          </w:tcPr>
          <w:p w:rsidR="00E7317C" w:rsidRPr="00487390" w:rsidRDefault="00E7317C" w:rsidP="00E7317C">
            <w:pPr>
              <w:rPr>
                <w:color w:val="000000"/>
              </w:rPr>
            </w:pPr>
            <w:r w:rsidRPr="00487390">
              <w:rPr>
                <w:color w:val="000000"/>
              </w:rPr>
              <w:t xml:space="preserve">Норматив в бюджеты субъектов РФ по БК РФ </w:t>
            </w:r>
            <w:r>
              <w:rPr>
                <w:color w:val="000000"/>
              </w:rPr>
              <w:t>с учетом проекта ФЗ</w:t>
            </w:r>
            <w:r w:rsidR="0030575D">
              <w:rPr>
                <w:color w:val="000000"/>
              </w:rPr>
              <w:t>, %</w:t>
            </w:r>
          </w:p>
        </w:tc>
        <w:tc>
          <w:tcPr>
            <w:tcW w:w="1493" w:type="dxa"/>
            <w:tcBorders>
              <w:top w:val="nil"/>
              <w:left w:val="nil"/>
              <w:bottom w:val="single" w:sz="4" w:space="0" w:color="auto"/>
              <w:right w:val="single" w:sz="4" w:space="0" w:color="auto"/>
            </w:tcBorders>
            <w:shd w:val="clear" w:color="auto" w:fill="auto"/>
            <w:vAlign w:val="center"/>
            <w:hideMark/>
          </w:tcPr>
          <w:p w:rsidR="00E7317C" w:rsidRPr="00487390" w:rsidRDefault="00E7317C" w:rsidP="00E7317C">
            <w:pPr>
              <w:jc w:val="center"/>
              <w:rPr>
                <w:color w:val="000000"/>
              </w:rPr>
            </w:pPr>
            <w:r w:rsidRPr="003B1835">
              <w:rPr>
                <w:color w:val="000000"/>
              </w:rPr>
              <w:t>8</w:t>
            </w:r>
            <w:r>
              <w:rPr>
                <w:color w:val="000000"/>
              </w:rPr>
              <w:t>4</w:t>
            </w:r>
            <w:r w:rsidRPr="003B1835">
              <w:rPr>
                <w:color w:val="000000"/>
              </w:rPr>
              <w:t>%</w:t>
            </w:r>
          </w:p>
        </w:tc>
        <w:tc>
          <w:tcPr>
            <w:tcW w:w="1524" w:type="dxa"/>
            <w:tcBorders>
              <w:top w:val="nil"/>
              <w:left w:val="nil"/>
              <w:bottom w:val="single" w:sz="4" w:space="0" w:color="auto"/>
              <w:right w:val="single" w:sz="4" w:space="0" w:color="auto"/>
            </w:tcBorders>
            <w:shd w:val="clear" w:color="auto" w:fill="auto"/>
            <w:vAlign w:val="center"/>
            <w:hideMark/>
          </w:tcPr>
          <w:p w:rsidR="00E7317C" w:rsidRPr="00487390" w:rsidRDefault="00E7317C" w:rsidP="00E7317C">
            <w:pPr>
              <w:jc w:val="center"/>
              <w:rPr>
                <w:color w:val="000000"/>
              </w:rPr>
            </w:pPr>
            <w:r w:rsidRPr="003B1835">
              <w:rPr>
                <w:color w:val="000000"/>
              </w:rPr>
              <w:t>8</w:t>
            </w:r>
            <w:r>
              <w:rPr>
                <w:color w:val="000000"/>
              </w:rPr>
              <w:t>4</w:t>
            </w:r>
            <w:r w:rsidRPr="003B1835">
              <w:rPr>
                <w:color w:val="000000"/>
              </w:rPr>
              <w:t>%</w:t>
            </w:r>
          </w:p>
        </w:tc>
        <w:tc>
          <w:tcPr>
            <w:tcW w:w="1524" w:type="dxa"/>
            <w:tcBorders>
              <w:top w:val="nil"/>
              <w:left w:val="nil"/>
              <w:bottom w:val="single" w:sz="4" w:space="0" w:color="auto"/>
              <w:right w:val="single" w:sz="4" w:space="0" w:color="auto"/>
            </w:tcBorders>
            <w:vAlign w:val="center"/>
          </w:tcPr>
          <w:p w:rsidR="00E7317C" w:rsidRPr="003B1835" w:rsidRDefault="00E7317C" w:rsidP="00E7317C">
            <w:pPr>
              <w:jc w:val="center"/>
              <w:rPr>
                <w:color w:val="000000"/>
              </w:rPr>
            </w:pPr>
            <w:r>
              <w:rPr>
                <w:color w:val="000000"/>
              </w:rPr>
              <w:t>84%</w:t>
            </w:r>
          </w:p>
        </w:tc>
      </w:tr>
      <w:tr w:rsidR="00E7317C" w:rsidRPr="00487390" w:rsidTr="00E7317C">
        <w:trPr>
          <w:trHeight w:val="375"/>
          <w:jc w:val="center"/>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E7317C" w:rsidRPr="00487390" w:rsidRDefault="00E7317C" w:rsidP="00E7317C">
            <w:pPr>
              <w:jc w:val="center"/>
              <w:rPr>
                <w:color w:val="000000"/>
              </w:rPr>
            </w:pPr>
            <w:r w:rsidRPr="00487390">
              <w:rPr>
                <w:color w:val="000000"/>
              </w:rPr>
              <w:t>5</w:t>
            </w:r>
          </w:p>
        </w:tc>
        <w:tc>
          <w:tcPr>
            <w:tcW w:w="4362" w:type="dxa"/>
            <w:tcBorders>
              <w:top w:val="nil"/>
              <w:left w:val="nil"/>
              <w:bottom w:val="single" w:sz="4" w:space="0" w:color="auto"/>
              <w:right w:val="single" w:sz="4" w:space="0" w:color="auto"/>
            </w:tcBorders>
            <w:shd w:val="clear" w:color="auto" w:fill="auto"/>
            <w:vAlign w:val="bottom"/>
            <w:hideMark/>
          </w:tcPr>
          <w:p w:rsidR="00E7317C" w:rsidRDefault="00E7317C" w:rsidP="00E7317C">
            <w:pPr>
              <w:rPr>
                <w:color w:val="000000"/>
              </w:rPr>
            </w:pPr>
            <w:r w:rsidRPr="00487390">
              <w:rPr>
                <w:color w:val="000000"/>
              </w:rPr>
              <w:t>Поступления в бюджеты субъектов РФ всего</w:t>
            </w:r>
            <w:r>
              <w:rPr>
                <w:color w:val="000000"/>
              </w:rPr>
              <w:t xml:space="preserve"> стр. 5 = стр. 3 – стр. 1</w:t>
            </w:r>
          </w:p>
          <w:p w:rsidR="0030575D" w:rsidRPr="00487390" w:rsidRDefault="0030575D" w:rsidP="00E7317C">
            <w:pPr>
              <w:rPr>
                <w:color w:val="000000"/>
              </w:rPr>
            </w:pPr>
            <w:r>
              <w:rPr>
                <w:color w:val="000000"/>
              </w:rPr>
              <w:t>тыс. руб.</w:t>
            </w:r>
          </w:p>
        </w:tc>
        <w:tc>
          <w:tcPr>
            <w:tcW w:w="1493" w:type="dxa"/>
            <w:tcBorders>
              <w:top w:val="nil"/>
              <w:left w:val="nil"/>
              <w:bottom w:val="single" w:sz="4" w:space="0" w:color="auto"/>
              <w:right w:val="single" w:sz="4" w:space="0" w:color="auto"/>
            </w:tcBorders>
            <w:shd w:val="clear" w:color="auto" w:fill="auto"/>
            <w:vAlign w:val="center"/>
          </w:tcPr>
          <w:p w:rsidR="00E7317C" w:rsidRPr="00487390" w:rsidRDefault="00E7317C" w:rsidP="00E7317C">
            <w:pPr>
              <w:ind w:left="-104" w:right="-104"/>
              <w:jc w:val="center"/>
              <w:rPr>
                <w:color w:val="000000"/>
              </w:rPr>
            </w:pPr>
            <w:r>
              <w:rPr>
                <w:color w:val="000000"/>
              </w:rPr>
              <w:t>189 232 789,2</w:t>
            </w:r>
          </w:p>
        </w:tc>
        <w:tc>
          <w:tcPr>
            <w:tcW w:w="1524" w:type="dxa"/>
            <w:tcBorders>
              <w:top w:val="nil"/>
              <w:left w:val="nil"/>
              <w:bottom w:val="single" w:sz="4" w:space="0" w:color="auto"/>
              <w:right w:val="single" w:sz="4" w:space="0" w:color="auto"/>
            </w:tcBorders>
            <w:shd w:val="clear" w:color="auto" w:fill="auto"/>
            <w:vAlign w:val="center"/>
          </w:tcPr>
          <w:p w:rsidR="00E7317C" w:rsidRPr="00487390" w:rsidRDefault="00E7317C" w:rsidP="00E7317C">
            <w:pPr>
              <w:ind w:left="-104"/>
              <w:jc w:val="center"/>
              <w:rPr>
                <w:color w:val="000000"/>
              </w:rPr>
            </w:pPr>
            <w:r>
              <w:rPr>
                <w:color w:val="000000"/>
              </w:rPr>
              <w:t>199 896 906,3</w:t>
            </w:r>
          </w:p>
        </w:tc>
        <w:tc>
          <w:tcPr>
            <w:tcW w:w="1524" w:type="dxa"/>
            <w:tcBorders>
              <w:top w:val="nil"/>
              <w:left w:val="nil"/>
              <w:bottom w:val="single" w:sz="4" w:space="0" w:color="auto"/>
              <w:right w:val="single" w:sz="4" w:space="0" w:color="auto"/>
            </w:tcBorders>
            <w:vAlign w:val="center"/>
          </w:tcPr>
          <w:p w:rsidR="00E7317C" w:rsidRDefault="00E7317C" w:rsidP="00E7317C">
            <w:pPr>
              <w:ind w:left="-104"/>
              <w:jc w:val="center"/>
              <w:rPr>
                <w:color w:val="000000"/>
              </w:rPr>
            </w:pPr>
            <w:r>
              <w:rPr>
                <w:color w:val="000000"/>
              </w:rPr>
              <w:t>211 170 681,8</w:t>
            </w:r>
          </w:p>
        </w:tc>
      </w:tr>
      <w:tr w:rsidR="00E7317C" w:rsidRPr="00487390" w:rsidTr="00E7317C">
        <w:trPr>
          <w:trHeight w:val="1125"/>
          <w:jc w:val="center"/>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E7317C" w:rsidRPr="00487390" w:rsidRDefault="00E7317C" w:rsidP="00E7317C">
            <w:pPr>
              <w:jc w:val="center"/>
              <w:rPr>
                <w:i/>
                <w:iCs/>
                <w:color w:val="000000"/>
              </w:rPr>
            </w:pPr>
            <w:r w:rsidRPr="00487390">
              <w:rPr>
                <w:i/>
                <w:iCs/>
                <w:color w:val="000000"/>
              </w:rPr>
              <w:t>6</w:t>
            </w:r>
          </w:p>
        </w:tc>
        <w:tc>
          <w:tcPr>
            <w:tcW w:w="4362" w:type="dxa"/>
            <w:tcBorders>
              <w:top w:val="nil"/>
              <w:left w:val="nil"/>
              <w:bottom w:val="single" w:sz="4" w:space="0" w:color="auto"/>
              <w:right w:val="single" w:sz="4" w:space="0" w:color="auto"/>
            </w:tcBorders>
            <w:shd w:val="clear" w:color="auto" w:fill="auto"/>
            <w:vAlign w:val="bottom"/>
            <w:hideMark/>
          </w:tcPr>
          <w:p w:rsidR="00E7317C" w:rsidRPr="00487390" w:rsidRDefault="00E7317C" w:rsidP="00E7317C">
            <w:pPr>
              <w:rPr>
                <w:i/>
                <w:iCs/>
                <w:color w:val="000000"/>
              </w:rPr>
            </w:pPr>
            <w:r w:rsidRPr="00487390">
              <w:rPr>
                <w:i/>
                <w:iCs/>
                <w:color w:val="000000"/>
              </w:rPr>
              <w:t xml:space="preserve">Норматив зачисления по субъектам РФ для компенсации выпадающих доходов по НИО </w:t>
            </w:r>
            <w:r w:rsidRPr="00754BFC">
              <w:rPr>
                <w:i/>
                <w:iCs/>
                <w:color w:val="000000"/>
              </w:rPr>
              <w:t>(пункт 5 статьи 2 проекта ФБ)</w:t>
            </w:r>
            <w:r w:rsidR="0030575D">
              <w:rPr>
                <w:i/>
                <w:iCs/>
                <w:color w:val="000000"/>
              </w:rPr>
              <w:t>, %</w:t>
            </w:r>
          </w:p>
        </w:tc>
        <w:tc>
          <w:tcPr>
            <w:tcW w:w="1493" w:type="dxa"/>
            <w:tcBorders>
              <w:top w:val="nil"/>
              <w:left w:val="nil"/>
              <w:bottom w:val="single" w:sz="4" w:space="0" w:color="auto"/>
              <w:right w:val="single" w:sz="4" w:space="0" w:color="auto"/>
            </w:tcBorders>
            <w:shd w:val="clear" w:color="auto" w:fill="auto"/>
            <w:vAlign w:val="center"/>
            <w:hideMark/>
          </w:tcPr>
          <w:p w:rsidR="00E7317C" w:rsidRPr="003B1835" w:rsidRDefault="00E7317C" w:rsidP="00E7317C">
            <w:pPr>
              <w:jc w:val="center"/>
              <w:rPr>
                <w:i/>
                <w:iCs/>
                <w:color w:val="000000"/>
              </w:rPr>
            </w:pPr>
            <w:r>
              <w:rPr>
                <w:i/>
                <w:iCs/>
                <w:color w:val="000000"/>
              </w:rPr>
              <w:t>35,7</w:t>
            </w:r>
            <w:r w:rsidRPr="003B1835">
              <w:rPr>
                <w:i/>
                <w:iCs/>
                <w:color w:val="000000"/>
              </w:rPr>
              <w:t>%</w:t>
            </w:r>
          </w:p>
        </w:tc>
        <w:tc>
          <w:tcPr>
            <w:tcW w:w="1524" w:type="dxa"/>
            <w:tcBorders>
              <w:top w:val="nil"/>
              <w:left w:val="nil"/>
              <w:bottom w:val="single" w:sz="4" w:space="0" w:color="auto"/>
              <w:right w:val="single" w:sz="4" w:space="0" w:color="auto"/>
            </w:tcBorders>
            <w:shd w:val="clear" w:color="auto" w:fill="auto"/>
            <w:vAlign w:val="center"/>
            <w:hideMark/>
          </w:tcPr>
          <w:p w:rsidR="00E7317C" w:rsidRPr="003B1835" w:rsidRDefault="00E7317C" w:rsidP="00E7317C">
            <w:pPr>
              <w:jc w:val="center"/>
              <w:rPr>
                <w:i/>
                <w:iCs/>
                <w:color w:val="000000"/>
              </w:rPr>
            </w:pPr>
            <w:r>
              <w:rPr>
                <w:i/>
                <w:iCs/>
                <w:color w:val="000000"/>
              </w:rPr>
              <w:t>35,7</w:t>
            </w:r>
            <w:r w:rsidRPr="003B1835">
              <w:rPr>
                <w:i/>
                <w:iCs/>
                <w:color w:val="000000"/>
              </w:rPr>
              <w:t>%</w:t>
            </w:r>
          </w:p>
        </w:tc>
        <w:tc>
          <w:tcPr>
            <w:tcW w:w="1524" w:type="dxa"/>
            <w:tcBorders>
              <w:top w:val="nil"/>
              <w:left w:val="nil"/>
              <w:bottom w:val="single" w:sz="4" w:space="0" w:color="auto"/>
              <w:right w:val="single" w:sz="4" w:space="0" w:color="auto"/>
            </w:tcBorders>
            <w:vAlign w:val="center"/>
          </w:tcPr>
          <w:p w:rsidR="00E7317C" w:rsidRPr="003B1835" w:rsidRDefault="00E7317C" w:rsidP="00E7317C">
            <w:pPr>
              <w:jc w:val="center"/>
              <w:rPr>
                <w:i/>
                <w:iCs/>
                <w:color w:val="000000"/>
              </w:rPr>
            </w:pPr>
            <w:r>
              <w:rPr>
                <w:i/>
                <w:iCs/>
                <w:color w:val="000000"/>
              </w:rPr>
              <w:t>35,7%</w:t>
            </w:r>
          </w:p>
        </w:tc>
      </w:tr>
      <w:tr w:rsidR="00E7317C" w:rsidRPr="00487390" w:rsidTr="00E7317C">
        <w:trPr>
          <w:trHeight w:val="1125"/>
          <w:jc w:val="center"/>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E7317C" w:rsidRPr="00487390" w:rsidRDefault="00E7317C" w:rsidP="00E7317C">
            <w:pPr>
              <w:jc w:val="center"/>
              <w:rPr>
                <w:color w:val="000000"/>
              </w:rPr>
            </w:pPr>
            <w:r w:rsidRPr="00487390">
              <w:rPr>
                <w:color w:val="000000"/>
              </w:rPr>
              <w:lastRenderedPageBreak/>
              <w:t>7</w:t>
            </w:r>
          </w:p>
        </w:tc>
        <w:tc>
          <w:tcPr>
            <w:tcW w:w="4362" w:type="dxa"/>
            <w:tcBorders>
              <w:top w:val="nil"/>
              <w:left w:val="nil"/>
              <w:bottom w:val="single" w:sz="4" w:space="0" w:color="auto"/>
              <w:right w:val="single" w:sz="4" w:space="0" w:color="auto"/>
            </w:tcBorders>
            <w:shd w:val="clear" w:color="auto" w:fill="auto"/>
            <w:vAlign w:val="bottom"/>
            <w:hideMark/>
          </w:tcPr>
          <w:p w:rsidR="00E7317C" w:rsidRPr="00487390" w:rsidRDefault="00E7317C" w:rsidP="00E7317C">
            <w:pPr>
              <w:rPr>
                <w:color w:val="000000"/>
              </w:rPr>
            </w:pPr>
            <w:r w:rsidRPr="00487390">
              <w:rPr>
                <w:color w:val="000000"/>
              </w:rPr>
              <w:t xml:space="preserve">Норматив распределения для Тверской области  для компенсации выпадающих доходов по НИО </w:t>
            </w:r>
            <w:r w:rsidRPr="00754BFC">
              <w:rPr>
                <w:color w:val="000000"/>
              </w:rPr>
              <w:t>(Таблица 2 Приложения 5 к проекту ФБ)</w:t>
            </w:r>
            <w:r w:rsidR="0030575D">
              <w:rPr>
                <w:color w:val="000000"/>
              </w:rPr>
              <w:t>, %</w:t>
            </w:r>
          </w:p>
        </w:tc>
        <w:tc>
          <w:tcPr>
            <w:tcW w:w="1493" w:type="dxa"/>
            <w:tcBorders>
              <w:top w:val="nil"/>
              <w:left w:val="nil"/>
              <w:bottom w:val="single" w:sz="4" w:space="0" w:color="auto"/>
              <w:right w:val="single" w:sz="4" w:space="0" w:color="auto"/>
            </w:tcBorders>
            <w:shd w:val="clear" w:color="auto" w:fill="auto"/>
            <w:vAlign w:val="center"/>
            <w:hideMark/>
          </w:tcPr>
          <w:p w:rsidR="00E7317C" w:rsidRPr="003B1835" w:rsidRDefault="00E7317C" w:rsidP="00E7317C">
            <w:pPr>
              <w:jc w:val="center"/>
              <w:rPr>
                <w:color w:val="000000"/>
              </w:rPr>
            </w:pPr>
            <w:r w:rsidRPr="003B1835">
              <w:rPr>
                <w:color w:val="000000"/>
              </w:rPr>
              <w:t>0,4967%</w:t>
            </w:r>
          </w:p>
        </w:tc>
        <w:tc>
          <w:tcPr>
            <w:tcW w:w="1524" w:type="dxa"/>
            <w:tcBorders>
              <w:top w:val="nil"/>
              <w:left w:val="nil"/>
              <w:bottom w:val="single" w:sz="4" w:space="0" w:color="auto"/>
              <w:right w:val="single" w:sz="4" w:space="0" w:color="auto"/>
            </w:tcBorders>
            <w:shd w:val="clear" w:color="auto" w:fill="auto"/>
            <w:vAlign w:val="center"/>
            <w:hideMark/>
          </w:tcPr>
          <w:p w:rsidR="00E7317C" w:rsidRPr="003B1835" w:rsidRDefault="00E7317C" w:rsidP="00E7317C">
            <w:pPr>
              <w:jc w:val="center"/>
              <w:rPr>
                <w:color w:val="000000"/>
              </w:rPr>
            </w:pPr>
            <w:r w:rsidRPr="003B1835">
              <w:rPr>
                <w:color w:val="000000"/>
              </w:rPr>
              <w:t>0,4967%</w:t>
            </w:r>
          </w:p>
        </w:tc>
        <w:tc>
          <w:tcPr>
            <w:tcW w:w="1524" w:type="dxa"/>
            <w:tcBorders>
              <w:top w:val="nil"/>
              <w:left w:val="nil"/>
              <w:bottom w:val="single" w:sz="4" w:space="0" w:color="auto"/>
              <w:right w:val="single" w:sz="4" w:space="0" w:color="auto"/>
            </w:tcBorders>
            <w:vAlign w:val="center"/>
          </w:tcPr>
          <w:p w:rsidR="00E7317C" w:rsidRPr="003B1835" w:rsidRDefault="00E7317C" w:rsidP="00E7317C">
            <w:pPr>
              <w:jc w:val="center"/>
              <w:rPr>
                <w:color w:val="000000"/>
              </w:rPr>
            </w:pPr>
            <w:r w:rsidRPr="003B1835">
              <w:rPr>
                <w:color w:val="000000"/>
              </w:rPr>
              <w:t>0,4967%</w:t>
            </w:r>
          </w:p>
        </w:tc>
      </w:tr>
      <w:tr w:rsidR="00E7317C" w:rsidRPr="00487390" w:rsidTr="00E7317C">
        <w:trPr>
          <w:trHeight w:val="1178"/>
          <w:jc w:val="center"/>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E7317C" w:rsidRPr="00487390" w:rsidRDefault="00E7317C" w:rsidP="00E7317C">
            <w:pPr>
              <w:jc w:val="center"/>
              <w:rPr>
                <w:b/>
                <w:bCs/>
                <w:color w:val="000000"/>
              </w:rPr>
            </w:pPr>
            <w:r w:rsidRPr="00487390">
              <w:rPr>
                <w:b/>
                <w:bCs/>
                <w:color w:val="000000"/>
              </w:rPr>
              <w:t>8</w:t>
            </w:r>
          </w:p>
        </w:tc>
        <w:tc>
          <w:tcPr>
            <w:tcW w:w="4362" w:type="dxa"/>
            <w:tcBorders>
              <w:top w:val="nil"/>
              <w:left w:val="nil"/>
              <w:bottom w:val="single" w:sz="4" w:space="0" w:color="auto"/>
              <w:right w:val="single" w:sz="4" w:space="0" w:color="auto"/>
            </w:tcBorders>
            <w:shd w:val="clear" w:color="auto" w:fill="auto"/>
            <w:vAlign w:val="bottom"/>
            <w:hideMark/>
          </w:tcPr>
          <w:p w:rsidR="00E7317C" w:rsidRDefault="00E7317C" w:rsidP="00E7317C">
            <w:pPr>
              <w:rPr>
                <w:b/>
                <w:bCs/>
                <w:color w:val="000000"/>
              </w:rPr>
            </w:pPr>
            <w:r w:rsidRPr="00487390">
              <w:rPr>
                <w:b/>
                <w:bCs/>
                <w:color w:val="000000"/>
              </w:rPr>
              <w:t>Компенсация выпадающих доходов по налогу на имущество организаций для Тверской области</w:t>
            </w:r>
            <w:r w:rsidRPr="00487390">
              <w:rPr>
                <w:b/>
                <w:bCs/>
                <w:color w:val="000000"/>
              </w:rPr>
              <w:br/>
              <w:t>стр. 8 = стр. 5 * стр.6 * стр. 7</w:t>
            </w:r>
          </w:p>
          <w:p w:rsidR="0030575D" w:rsidRPr="00487390" w:rsidRDefault="0030575D" w:rsidP="00E7317C">
            <w:pPr>
              <w:rPr>
                <w:b/>
                <w:bCs/>
                <w:color w:val="000000"/>
              </w:rPr>
            </w:pPr>
            <w:r>
              <w:rPr>
                <w:color w:val="000000"/>
              </w:rPr>
              <w:t>тыс. руб.</w:t>
            </w:r>
          </w:p>
        </w:tc>
        <w:tc>
          <w:tcPr>
            <w:tcW w:w="1493" w:type="dxa"/>
            <w:tcBorders>
              <w:top w:val="nil"/>
              <w:left w:val="nil"/>
              <w:bottom w:val="single" w:sz="4" w:space="0" w:color="auto"/>
              <w:right w:val="single" w:sz="4" w:space="0" w:color="auto"/>
            </w:tcBorders>
            <w:shd w:val="clear" w:color="auto" w:fill="auto"/>
            <w:vAlign w:val="center"/>
          </w:tcPr>
          <w:p w:rsidR="00E7317C" w:rsidRPr="00487390" w:rsidRDefault="00E7317C" w:rsidP="00E7317C">
            <w:pPr>
              <w:jc w:val="center"/>
              <w:rPr>
                <w:b/>
                <w:bCs/>
                <w:color w:val="000000"/>
              </w:rPr>
            </w:pPr>
            <w:r>
              <w:rPr>
                <w:b/>
                <w:bCs/>
                <w:color w:val="000000"/>
              </w:rPr>
              <w:t>335 551,2</w:t>
            </w:r>
          </w:p>
        </w:tc>
        <w:tc>
          <w:tcPr>
            <w:tcW w:w="1524" w:type="dxa"/>
            <w:tcBorders>
              <w:top w:val="nil"/>
              <w:left w:val="nil"/>
              <w:bottom w:val="single" w:sz="4" w:space="0" w:color="auto"/>
              <w:right w:val="single" w:sz="4" w:space="0" w:color="auto"/>
            </w:tcBorders>
            <w:shd w:val="clear" w:color="auto" w:fill="auto"/>
            <w:vAlign w:val="center"/>
          </w:tcPr>
          <w:p w:rsidR="00E7317C" w:rsidRPr="00487390" w:rsidRDefault="00E7317C" w:rsidP="00E7317C">
            <w:pPr>
              <w:jc w:val="center"/>
              <w:rPr>
                <w:b/>
                <w:bCs/>
                <w:color w:val="000000"/>
              </w:rPr>
            </w:pPr>
            <w:r>
              <w:rPr>
                <w:b/>
                <w:bCs/>
                <w:color w:val="000000"/>
              </w:rPr>
              <w:t>354 461,0</w:t>
            </w:r>
          </w:p>
        </w:tc>
        <w:tc>
          <w:tcPr>
            <w:tcW w:w="1524" w:type="dxa"/>
            <w:tcBorders>
              <w:top w:val="nil"/>
              <w:left w:val="nil"/>
              <w:bottom w:val="single" w:sz="4" w:space="0" w:color="auto"/>
              <w:right w:val="single" w:sz="4" w:space="0" w:color="auto"/>
            </w:tcBorders>
            <w:vAlign w:val="center"/>
          </w:tcPr>
          <w:p w:rsidR="00E7317C" w:rsidRDefault="00E7317C" w:rsidP="00E7317C">
            <w:pPr>
              <w:jc w:val="center"/>
              <w:rPr>
                <w:b/>
                <w:bCs/>
                <w:color w:val="000000"/>
              </w:rPr>
            </w:pPr>
            <w:r>
              <w:rPr>
                <w:b/>
                <w:bCs/>
                <w:color w:val="000000"/>
              </w:rPr>
              <w:t>374 451,9</w:t>
            </w:r>
          </w:p>
        </w:tc>
      </w:tr>
      <w:tr w:rsidR="00E7317C" w:rsidRPr="00487390" w:rsidTr="00E7317C">
        <w:trPr>
          <w:trHeight w:val="1125"/>
          <w:jc w:val="center"/>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E7317C" w:rsidRPr="00487390" w:rsidRDefault="00E7317C" w:rsidP="00E7317C">
            <w:pPr>
              <w:jc w:val="center"/>
              <w:rPr>
                <w:i/>
                <w:iCs/>
                <w:color w:val="000000"/>
              </w:rPr>
            </w:pPr>
            <w:r w:rsidRPr="00487390">
              <w:rPr>
                <w:i/>
                <w:iCs/>
                <w:color w:val="000000"/>
              </w:rPr>
              <w:t>9</w:t>
            </w:r>
          </w:p>
        </w:tc>
        <w:tc>
          <w:tcPr>
            <w:tcW w:w="4362" w:type="dxa"/>
            <w:tcBorders>
              <w:top w:val="nil"/>
              <w:left w:val="nil"/>
              <w:bottom w:val="single" w:sz="4" w:space="0" w:color="auto"/>
              <w:right w:val="single" w:sz="4" w:space="0" w:color="auto"/>
            </w:tcBorders>
            <w:shd w:val="clear" w:color="auto" w:fill="auto"/>
            <w:vAlign w:val="bottom"/>
            <w:hideMark/>
          </w:tcPr>
          <w:p w:rsidR="00E7317C" w:rsidRPr="00487390" w:rsidRDefault="00E7317C" w:rsidP="00E7317C">
            <w:pPr>
              <w:rPr>
                <w:i/>
                <w:iCs/>
                <w:color w:val="000000"/>
              </w:rPr>
            </w:pPr>
            <w:r w:rsidRPr="00487390">
              <w:rPr>
                <w:i/>
                <w:iCs/>
                <w:color w:val="000000"/>
              </w:rPr>
              <w:t xml:space="preserve">Прочий норматив в бюджеты субъектов РФ </w:t>
            </w:r>
            <w:r>
              <w:rPr>
                <w:i/>
                <w:iCs/>
                <w:color w:val="000000"/>
              </w:rPr>
              <w:t xml:space="preserve">для распределения по ЕГАИС </w:t>
            </w:r>
            <w:r w:rsidRPr="00754BFC">
              <w:rPr>
                <w:i/>
                <w:iCs/>
                <w:color w:val="000000"/>
              </w:rPr>
              <w:t>(пункт 5 статьи 2 проекта ФБ)</w:t>
            </w:r>
            <w:r w:rsidR="0030575D">
              <w:rPr>
                <w:i/>
                <w:iCs/>
                <w:color w:val="000000"/>
              </w:rPr>
              <w:t>, %</w:t>
            </w:r>
          </w:p>
        </w:tc>
        <w:tc>
          <w:tcPr>
            <w:tcW w:w="1493" w:type="dxa"/>
            <w:tcBorders>
              <w:top w:val="nil"/>
              <w:left w:val="nil"/>
              <w:bottom w:val="single" w:sz="4" w:space="0" w:color="auto"/>
              <w:right w:val="single" w:sz="4" w:space="0" w:color="auto"/>
            </w:tcBorders>
            <w:shd w:val="clear" w:color="auto" w:fill="auto"/>
            <w:vAlign w:val="center"/>
          </w:tcPr>
          <w:p w:rsidR="00E7317C" w:rsidRPr="00A7508F" w:rsidRDefault="00E7317C" w:rsidP="00E7317C">
            <w:pPr>
              <w:jc w:val="center"/>
              <w:rPr>
                <w:i/>
                <w:iCs/>
                <w:color w:val="000000"/>
              </w:rPr>
            </w:pPr>
            <w:r>
              <w:rPr>
                <w:i/>
                <w:iCs/>
                <w:color w:val="000000"/>
              </w:rPr>
              <w:t>59,5%</w:t>
            </w:r>
          </w:p>
        </w:tc>
        <w:tc>
          <w:tcPr>
            <w:tcW w:w="1524" w:type="dxa"/>
            <w:tcBorders>
              <w:top w:val="nil"/>
              <w:left w:val="nil"/>
              <w:bottom w:val="single" w:sz="4" w:space="0" w:color="auto"/>
              <w:right w:val="single" w:sz="4" w:space="0" w:color="auto"/>
            </w:tcBorders>
            <w:shd w:val="clear" w:color="auto" w:fill="auto"/>
            <w:vAlign w:val="center"/>
          </w:tcPr>
          <w:p w:rsidR="00E7317C" w:rsidRPr="00A7508F" w:rsidRDefault="00E7317C" w:rsidP="00E7317C">
            <w:pPr>
              <w:jc w:val="center"/>
              <w:rPr>
                <w:i/>
                <w:iCs/>
                <w:color w:val="000000"/>
              </w:rPr>
            </w:pPr>
            <w:r>
              <w:rPr>
                <w:i/>
                <w:iCs/>
                <w:color w:val="000000"/>
              </w:rPr>
              <w:t>59,5%</w:t>
            </w:r>
          </w:p>
        </w:tc>
        <w:tc>
          <w:tcPr>
            <w:tcW w:w="1524" w:type="dxa"/>
            <w:tcBorders>
              <w:top w:val="nil"/>
              <w:left w:val="nil"/>
              <w:bottom w:val="single" w:sz="4" w:space="0" w:color="auto"/>
              <w:right w:val="single" w:sz="4" w:space="0" w:color="auto"/>
            </w:tcBorders>
            <w:vAlign w:val="center"/>
          </w:tcPr>
          <w:p w:rsidR="00E7317C" w:rsidRPr="00A7508F" w:rsidRDefault="00E7317C" w:rsidP="00E7317C">
            <w:pPr>
              <w:jc w:val="center"/>
              <w:rPr>
                <w:i/>
                <w:iCs/>
                <w:color w:val="000000"/>
              </w:rPr>
            </w:pPr>
            <w:r>
              <w:rPr>
                <w:i/>
                <w:iCs/>
                <w:color w:val="000000"/>
              </w:rPr>
              <w:t>59,5%</w:t>
            </w:r>
          </w:p>
        </w:tc>
      </w:tr>
      <w:tr w:rsidR="00E7317C" w:rsidRPr="00487390" w:rsidTr="00E7317C">
        <w:trPr>
          <w:trHeight w:val="1125"/>
          <w:jc w:val="center"/>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E7317C" w:rsidRPr="00487390" w:rsidRDefault="00E7317C" w:rsidP="00E7317C">
            <w:pPr>
              <w:jc w:val="center"/>
              <w:rPr>
                <w:color w:val="000000"/>
              </w:rPr>
            </w:pPr>
            <w:r w:rsidRPr="00487390">
              <w:rPr>
                <w:color w:val="000000"/>
              </w:rPr>
              <w:t>9.</w:t>
            </w:r>
            <w:r>
              <w:rPr>
                <w:color w:val="000000"/>
              </w:rPr>
              <w:t>1</w:t>
            </w:r>
          </w:p>
        </w:tc>
        <w:tc>
          <w:tcPr>
            <w:tcW w:w="4362" w:type="dxa"/>
            <w:tcBorders>
              <w:top w:val="nil"/>
              <w:left w:val="nil"/>
              <w:bottom w:val="single" w:sz="4" w:space="0" w:color="auto"/>
              <w:right w:val="single" w:sz="4" w:space="0" w:color="auto"/>
            </w:tcBorders>
            <w:shd w:val="clear" w:color="auto" w:fill="auto"/>
            <w:vAlign w:val="bottom"/>
            <w:hideMark/>
          </w:tcPr>
          <w:p w:rsidR="00E7317C" w:rsidRPr="00487390" w:rsidRDefault="00E7317C" w:rsidP="00E7317C">
            <w:pPr>
              <w:rPr>
                <w:color w:val="000000"/>
              </w:rPr>
            </w:pPr>
            <w:r w:rsidRPr="00487390">
              <w:rPr>
                <w:color w:val="000000"/>
              </w:rPr>
              <w:t>Норматив зачисления пропорционально объемам розничных продаж</w:t>
            </w:r>
            <w:r>
              <w:rPr>
                <w:color w:val="000000"/>
              </w:rPr>
              <w:t xml:space="preserve"> по данным ЕГАИС </w:t>
            </w:r>
            <w:r w:rsidRPr="00754BFC">
              <w:rPr>
                <w:i/>
                <w:iCs/>
                <w:color w:val="000000"/>
              </w:rPr>
              <w:t>(пункт 5 статьи 2 проекта ФБ)</w:t>
            </w:r>
            <w:r w:rsidR="0030575D">
              <w:rPr>
                <w:i/>
                <w:iCs/>
                <w:color w:val="000000"/>
              </w:rPr>
              <w:t>. %</w:t>
            </w:r>
          </w:p>
        </w:tc>
        <w:tc>
          <w:tcPr>
            <w:tcW w:w="1493" w:type="dxa"/>
            <w:tcBorders>
              <w:top w:val="nil"/>
              <w:left w:val="nil"/>
              <w:bottom w:val="single" w:sz="4" w:space="0" w:color="auto"/>
              <w:right w:val="single" w:sz="4" w:space="0" w:color="auto"/>
            </w:tcBorders>
            <w:shd w:val="clear" w:color="auto" w:fill="auto"/>
            <w:vAlign w:val="center"/>
            <w:hideMark/>
          </w:tcPr>
          <w:p w:rsidR="00E7317C" w:rsidRPr="00A03520" w:rsidRDefault="00E7317C" w:rsidP="00E7317C">
            <w:pPr>
              <w:jc w:val="center"/>
              <w:rPr>
                <w:color w:val="000000"/>
              </w:rPr>
            </w:pPr>
            <w:r w:rsidRPr="00A03520">
              <w:rPr>
                <w:color w:val="000000"/>
              </w:rPr>
              <w:t>90%</w:t>
            </w:r>
          </w:p>
        </w:tc>
        <w:tc>
          <w:tcPr>
            <w:tcW w:w="1524" w:type="dxa"/>
            <w:tcBorders>
              <w:top w:val="nil"/>
              <w:left w:val="nil"/>
              <w:bottom w:val="single" w:sz="4" w:space="0" w:color="auto"/>
              <w:right w:val="single" w:sz="4" w:space="0" w:color="auto"/>
            </w:tcBorders>
            <w:shd w:val="clear" w:color="auto" w:fill="auto"/>
            <w:vAlign w:val="center"/>
            <w:hideMark/>
          </w:tcPr>
          <w:p w:rsidR="00E7317C" w:rsidRPr="00A03520" w:rsidRDefault="00E7317C" w:rsidP="00E7317C">
            <w:pPr>
              <w:jc w:val="center"/>
              <w:rPr>
                <w:color w:val="000000"/>
              </w:rPr>
            </w:pPr>
            <w:r w:rsidRPr="00A03520">
              <w:rPr>
                <w:color w:val="000000"/>
              </w:rPr>
              <w:t>100%</w:t>
            </w:r>
          </w:p>
        </w:tc>
        <w:tc>
          <w:tcPr>
            <w:tcW w:w="1524" w:type="dxa"/>
            <w:tcBorders>
              <w:top w:val="nil"/>
              <w:left w:val="nil"/>
              <w:bottom w:val="single" w:sz="4" w:space="0" w:color="auto"/>
              <w:right w:val="single" w:sz="4" w:space="0" w:color="auto"/>
            </w:tcBorders>
            <w:vAlign w:val="center"/>
          </w:tcPr>
          <w:p w:rsidR="00E7317C" w:rsidRPr="00CB1D2E" w:rsidRDefault="00E7317C" w:rsidP="00E7317C">
            <w:pPr>
              <w:jc w:val="center"/>
              <w:rPr>
                <w:i/>
                <w:iCs/>
                <w:color w:val="000000"/>
              </w:rPr>
            </w:pPr>
            <w:r w:rsidRPr="00CB1D2E">
              <w:rPr>
                <w:i/>
                <w:iCs/>
                <w:color w:val="000000"/>
              </w:rPr>
              <w:t>100%</w:t>
            </w:r>
          </w:p>
        </w:tc>
      </w:tr>
      <w:tr w:rsidR="00E7317C" w:rsidRPr="00487390" w:rsidTr="00E7317C">
        <w:trPr>
          <w:trHeight w:val="2262"/>
          <w:jc w:val="center"/>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E7317C" w:rsidRPr="00487390" w:rsidRDefault="00E7317C" w:rsidP="00E7317C">
            <w:pPr>
              <w:jc w:val="center"/>
              <w:rPr>
                <w:color w:val="000000"/>
              </w:rPr>
            </w:pPr>
            <w:r w:rsidRPr="00487390">
              <w:rPr>
                <w:color w:val="000000"/>
              </w:rPr>
              <w:t>10</w:t>
            </w:r>
          </w:p>
        </w:tc>
        <w:tc>
          <w:tcPr>
            <w:tcW w:w="4362" w:type="dxa"/>
            <w:tcBorders>
              <w:top w:val="nil"/>
              <w:left w:val="nil"/>
              <w:bottom w:val="single" w:sz="4" w:space="0" w:color="auto"/>
              <w:right w:val="single" w:sz="4" w:space="0" w:color="auto"/>
            </w:tcBorders>
            <w:shd w:val="clear" w:color="auto" w:fill="auto"/>
            <w:vAlign w:val="bottom"/>
            <w:hideMark/>
          </w:tcPr>
          <w:p w:rsidR="00E7317C" w:rsidRPr="00487390" w:rsidRDefault="00E7317C" w:rsidP="00E7317C">
            <w:pPr>
              <w:rPr>
                <w:color w:val="000000"/>
              </w:rPr>
            </w:pPr>
            <w:r>
              <w:rPr>
                <w:color w:val="000000"/>
              </w:rPr>
              <w:t>Д</w:t>
            </w:r>
            <w:r w:rsidRPr="00487390">
              <w:rPr>
                <w:color w:val="000000"/>
              </w:rPr>
              <w:t>оля Тверской области в общем объеме розничной продаж</w:t>
            </w:r>
            <w:r>
              <w:rPr>
                <w:color w:val="000000"/>
              </w:rPr>
              <w:t xml:space="preserve">и </w:t>
            </w:r>
            <w:r w:rsidRPr="00487390">
              <w:rPr>
                <w:color w:val="000000"/>
              </w:rPr>
              <w:t xml:space="preserve">крепкой алкогольной продукции по Российской Федерации </w:t>
            </w:r>
            <w:r>
              <w:rPr>
                <w:color w:val="000000"/>
              </w:rPr>
              <w:t>по расчету Минфина РФ</w:t>
            </w:r>
            <w:r w:rsidRPr="00487390">
              <w:rPr>
                <w:color w:val="000000"/>
              </w:rPr>
              <w:t xml:space="preserve"> на основании данных Федеральной службы по регулированию алкогольного рынка, в %  </w:t>
            </w:r>
          </w:p>
        </w:tc>
        <w:tc>
          <w:tcPr>
            <w:tcW w:w="1493" w:type="dxa"/>
            <w:tcBorders>
              <w:top w:val="nil"/>
              <w:left w:val="nil"/>
              <w:bottom w:val="single" w:sz="4" w:space="0" w:color="auto"/>
              <w:right w:val="single" w:sz="4" w:space="0" w:color="auto"/>
            </w:tcBorders>
            <w:shd w:val="clear" w:color="auto" w:fill="auto"/>
            <w:vAlign w:val="center"/>
            <w:hideMark/>
          </w:tcPr>
          <w:p w:rsidR="00E7317C" w:rsidRPr="00A03520" w:rsidRDefault="00E7317C" w:rsidP="00E7317C">
            <w:pPr>
              <w:jc w:val="center"/>
              <w:rPr>
                <w:color w:val="000000"/>
              </w:rPr>
            </w:pPr>
            <w:r w:rsidRPr="00A03520">
              <w:rPr>
                <w:color w:val="000000"/>
              </w:rPr>
              <w:t>1,2</w:t>
            </w:r>
            <w:r>
              <w:rPr>
                <w:color w:val="000000"/>
              </w:rPr>
              <w:t>0819316</w:t>
            </w:r>
            <w:r w:rsidRPr="00A03520">
              <w:rPr>
                <w:color w:val="000000"/>
              </w:rPr>
              <w:t>%</w:t>
            </w:r>
          </w:p>
        </w:tc>
        <w:tc>
          <w:tcPr>
            <w:tcW w:w="1524" w:type="dxa"/>
            <w:tcBorders>
              <w:top w:val="nil"/>
              <w:left w:val="nil"/>
              <w:bottom w:val="single" w:sz="4" w:space="0" w:color="auto"/>
              <w:right w:val="single" w:sz="4" w:space="0" w:color="auto"/>
            </w:tcBorders>
            <w:shd w:val="clear" w:color="auto" w:fill="auto"/>
            <w:vAlign w:val="center"/>
            <w:hideMark/>
          </w:tcPr>
          <w:p w:rsidR="00E7317C" w:rsidRPr="00A03520" w:rsidRDefault="00E7317C" w:rsidP="00E7317C">
            <w:pPr>
              <w:jc w:val="center"/>
              <w:rPr>
                <w:color w:val="000000"/>
              </w:rPr>
            </w:pPr>
            <w:r w:rsidRPr="00A03520">
              <w:rPr>
                <w:color w:val="000000"/>
              </w:rPr>
              <w:t>1,2</w:t>
            </w:r>
            <w:r>
              <w:rPr>
                <w:color w:val="000000"/>
              </w:rPr>
              <w:t>0819316</w:t>
            </w:r>
            <w:r w:rsidRPr="00A03520">
              <w:rPr>
                <w:color w:val="000000"/>
              </w:rPr>
              <w:t>%</w:t>
            </w:r>
          </w:p>
        </w:tc>
        <w:tc>
          <w:tcPr>
            <w:tcW w:w="1524" w:type="dxa"/>
            <w:tcBorders>
              <w:top w:val="nil"/>
              <w:left w:val="nil"/>
              <w:bottom w:val="single" w:sz="4" w:space="0" w:color="auto"/>
              <w:right w:val="single" w:sz="4" w:space="0" w:color="auto"/>
            </w:tcBorders>
            <w:vAlign w:val="center"/>
          </w:tcPr>
          <w:p w:rsidR="00E7317C" w:rsidRPr="00A03520" w:rsidRDefault="00E7317C" w:rsidP="00E7317C">
            <w:pPr>
              <w:jc w:val="center"/>
              <w:rPr>
                <w:color w:val="000000"/>
              </w:rPr>
            </w:pPr>
            <w:r w:rsidRPr="00A03520">
              <w:rPr>
                <w:color w:val="000000"/>
              </w:rPr>
              <w:t>1,2</w:t>
            </w:r>
            <w:r>
              <w:rPr>
                <w:color w:val="000000"/>
              </w:rPr>
              <w:t>0819316</w:t>
            </w:r>
            <w:r w:rsidRPr="00A03520">
              <w:rPr>
                <w:color w:val="000000"/>
              </w:rPr>
              <w:t>%</w:t>
            </w:r>
          </w:p>
        </w:tc>
      </w:tr>
      <w:tr w:rsidR="00E7317C" w:rsidRPr="00487390" w:rsidTr="00E7317C">
        <w:trPr>
          <w:trHeight w:val="1657"/>
          <w:jc w:val="center"/>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E7317C" w:rsidRPr="00487390" w:rsidRDefault="00E7317C" w:rsidP="00E7317C">
            <w:pPr>
              <w:jc w:val="center"/>
              <w:rPr>
                <w:color w:val="000000"/>
              </w:rPr>
            </w:pPr>
            <w:r w:rsidRPr="00487390">
              <w:rPr>
                <w:color w:val="000000"/>
              </w:rPr>
              <w:t>11</w:t>
            </w:r>
          </w:p>
        </w:tc>
        <w:tc>
          <w:tcPr>
            <w:tcW w:w="4362" w:type="dxa"/>
            <w:tcBorders>
              <w:top w:val="nil"/>
              <w:left w:val="nil"/>
              <w:bottom w:val="single" w:sz="4" w:space="0" w:color="auto"/>
              <w:right w:val="single" w:sz="4" w:space="0" w:color="auto"/>
            </w:tcBorders>
            <w:shd w:val="clear" w:color="auto" w:fill="auto"/>
            <w:vAlign w:val="bottom"/>
            <w:hideMark/>
          </w:tcPr>
          <w:p w:rsidR="00E7317C" w:rsidRDefault="00E7317C" w:rsidP="00E7317C">
            <w:pPr>
              <w:rPr>
                <w:color w:val="000000"/>
              </w:rPr>
            </w:pPr>
            <w:r w:rsidRPr="001C3F6B">
              <w:rPr>
                <w:b/>
                <w:color w:val="000000"/>
              </w:rPr>
              <w:t>Поступление доходов от уплаты акцизов на крепкий алкоголь  в бюджет Тверской области исходя из доли розничных продаж крепкой алкогольной продукции</w:t>
            </w:r>
            <w:r w:rsidRPr="001C3F6B">
              <w:rPr>
                <w:b/>
                <w:color w:val="000000"/>
              </w:rPr>
              <w:br/>
            </w:r>
            <w:r w:rsidRPr="001C3F6B">
              <w:rPr>
                <w:color w:val="000000"/>
              </w:rPr>
              <w:t>стр. 10 = стр. 5 * стр. 9* стр. 9.</w:t>
            </w:r>
            <w:r>
              <w:rPr>
                <w:color w:val="000000"/>
              </w:rPr>
              <w:t>1</w:t>
            </w:r>
            <w:r w:rsidRPr="001C3F6B">
              <w:rPr>
                <w:color w:val="000000"/>
              </w:rPr>
              <w:t>*стр. 10</w:t>
            </w:r>
          </w:p>
          <w:p w:rsidR="0030575D" w:rsidRPr="001C3F6B" w:rsidRDefault="0030575D" w:rsidP="00E7317C">
            <w:pPr>
              <w:rPr>
                <w:b/>
                <w:color w:val="000000"/>
              </w:rPr>
            </w:pPr>
            <w:r>
              <w:rPr>
                <w:color w:val="000000"/>
              </w:rPr>
              <w:t>тыс. руб.</w:t>
            </w:r>
          </w:p>
        </w:tc>
        <w:tc>
          <w:tcPr>
            <w:tcW w:w="1493" w:type="dxa"/>
            <w:tcBorders>
              <w:top w:val="nil"/>
              <w:left w:val="nil"/>
              <w:bottom w:val="single" w:sz="4" w:space="0" w:color="auto"/>
              <w:right w:val="single" w:sz="4" w:space="0" w:color="auto"/>
            </w:tcBorders>
            <w:shd w:val="clear" w:color="auto" w:fill="auto"/>
            <w:vAlign w:val="center"/>
            <w:hideMark/>
          </w:tcPr>
          <w:p w:rsidR="00E7317C" w:rsidRPr="00487390" w:rsidRDefault="00E7317C" w:rsidP="00E7317C">
            <w:pPr>
              <w:jc w:val="center"/>
              <w:rPr>
                <w:b/>
                <w:bCs/>
                <w:color w:val="000000"/>
              </w:rPr>
            </w:pPr>
            <w:r>
              <w:rPr>
                <w:b/>
                <w:bCs/>
                <w:color w:val="000000"/>
              </w:rPr>
              <w:t>1 224 312,4</w:t>
            </w:r>
          </w:p>
        </w:tc>
        <w:tc>
          <w:tcPr>
            <w:tcW w:w="1524" w:type="dxa"/>
            <w:tcBorders>
              <w:top w:val="nil"/>
              <w:left w:val="nil"/>
              <w:bottom w:val="single" w:sz="4" w:space="0" w:color="auto"/>
              <w:right w:val="single" w:sz="4" w:space="0" w:color="auto"/>
            </w:tcBorders>
            <w:shd w:val="clear" w:color="auto" w:fill="auto"/>
            <w:vAlign w:val="center"/>
            <w:hideMark/>
          </w:tcPr>
          <w:p w:rsidR="00E7317C" w:rsidRPr="00487390" w:rsidRDefault="00E7317C" w:rsidP="00E7317C">
            <w:pPr>
              <w:jc w:val="center"/>
              <w:rPr>
                <w:b/>
                <w:bCs/>
                <w:color w:val="000000"/>
              </w:rPr>
            </w:pPr>
            <w:r>
              <w:rPr>
                <w:b/>
                <w:bCs/>
                <w:color w:val="000000"/>
              </w:rPr>
              <w:t xml:space="preserve">1 437 008,7 </w:t>
            </w:r>
          </w:p>
        </w:tc>
        <w:tc>
          <w:tcPr>
            <w:tcW w:w="1524" w:type="dxa"/>
            <w:tcBorders>
              <w:top w:val="nil"/>
              <w:left w:val="nil"/>
              <w:bottom w:val="single" w:sz="4" w:space="0" w:color="auto"/>
              <w:right w:val="single" w:sz="4" w:space="0" w:color="auto"/>
            </w:tcBorders>
            <w:vAlign w:val="center"/>
          </w:tcPr>
          <w:p w:rsidR="00E7317C" w:rsidRDefault="00E7317C" w:rsidP="00E7317C">
            <w:pPr>
              <w:jc w:val="center"/>
              <w:rPr>
                <w:b/>
                <w:bCs/>
                <w:color w:val="000000"/>
              </w:rPr>
            </w:pPr>
            <w:r>
              <w:rPr>
                <w:b/>
                <w:bCs/>
                <w:color w:val="000000"/>
              </w:rPr>
              <w:t>1 518 053,1</w:t>
            </w:r>
          </w:p>
        </w:tc>
      </w:tr>
      <w:tr w:rsidR="00E7317C" w:rsidRPr="00487390" w:rsidTr="00E7317C">
        <w:trPr>
          <w:trHeight w:val="1000"/>
          <w:jc w:val="center"/>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E7317C" w:rsidRPr="00487390" w:rsidRDefault="00E7317C" w:rsidP="00E7317C">
            <w:pPr>
              <w:jc w:val="center"/>
              <w:rPr>
                <w:b/>
                <w:bCs/>
                <w:color w:val="000000"/>
              </w:rPr>
            </w:pPr>
            <w:r w:rsidRPr="00487390">
              <w:rPr>
                <w:b/>
                <w:bCs/>
                <w:color w:val="000000"/>
              </w:rPr>
              <w:t>12</w:t>
            </w:r>
          </w:p>
        </w:tc>
        <w:tc>
          <w:tcPr>
            <w:tcW w:w="4362" w:type="dxa"/>
            <w:tcBorders>
              <w:top w:val="nil"/>
              <w:left w:val="nil"/>
              <w:bottom w:val="single" w:sz="4" w:space="0" w:color="auto"/>
              <w:right w:val="single" w:sz="4" w:space="0" w:color="auto"/>
            </w:tcBorders>
            <w:shd w:val="clear" w:color="auto" w:fill="auto"/>
            <w:vAlign w:val="bottom"/>
            <w:hideMark/>
          </w:tcPr>
          <w:p w:rsidR="00E7317C" w:rsidRDefault="00E7317C" w:rsidP="00E7317C">
            <w:pPr>
              <w:rPr>
                <w:color w:val="000000"/>
              </w:rPr>
            </w:pPr>
            <w:r w:rsidRPr="00487390">
              <w:rPr>
                <w:b/>
                <w:bCs/>
                <w:color w:val="000000"/>
              </w:rPr>
              <w:t xml:space="preserve">ИТОГО Доходы от уплаты акцизов на крепкий алкоголь </w:t>
            </w:r>
            <w:r w:rsidRPr="00487390">
              <w:rPr>
                <w:b/>
                <w:bCs/>
                <w:color w:val="000000"/>
              </w:rPr>
              <w:br/>
            </w:r>
            <w:r w:rsidRPr="00487390">
              <w:rPr>
                <w:color w:val="000000"/>
              </w:rPr>
              <w:t>стр. 12 = стр. 8 + стр. 11</w:t>
            </w:r>
          </w:p>
          <w:p w:rsidR="0030575D" w:rsidRPr="00487390" w:rsidRDefault="0030575D" w:rsidP="00E7317C">
            <w:pPr>
              <w:rPr>
                <w:b/>
                <w:bCs/>
                <w:color w:val="000000"/>
              </w:rPr>
            </w:pPr>
            <w:r>
              <w:rPr>
                <w:color w:val="000000"/>
              </w:rPr>
              <w:t>тыс. руб.</w:t>
            </w:r>
          </w:p>
        </w:tc>
        <w:tc>
          <w:tcPr>
            <w:tcW w:w="1493" w:type="dxa"/>
            <w:tcBorders>
              <w:top w:val="nil"/>
              <w:left w:val="nil"/>
              <w:bottom w:val="single" w:sz="4" w:space="0" w:color="auto"/>
              <w:right w:val="single" w:sz="4" w:space="0" w:color="auto"/>
            </w:tcBorders>
            <w:shd w:val="clear" w:color="auto" w:fill="auto"/>
            <w:vAlign w:val="center"/>
          </w:tcPr>
          <w:p w:rsidR="00E7317C" w:rsidRPr="00487390" w:rsidRDefault="00E7317C" w:rsidP="00E7317C">
            <w:pPr>
              <w:jc w:val="center"/>
              <w:rPr>
                <w:b/>
                <w:bCs/>
                <w:color w:val="000000"/>
              </w:rPr>
            </w:pPr>
            <w:r>
              <w:rPr>
                <w:b/>
                <w:bCs/>
                <w:color w:val="000000"/>
              </w:rPr>
              <w:t>1 559 863,6</w:t>
            </w:r>
          </w:p>
        </w:tc>
        <w:tc>
          <w:tcPr>
            <w:tcW w:w="1524" w:type="dxa"/>
            <w:tcBorders>
              <w:top w:val="nil"/>
              <w:left w:val="nil"/>
              <w:bottom w:val="single" w:sz="4" w:space="0" w:color="auto"/>
              <w:right w:val="single" w:sz="4" w:space="0" w:color="auto"/>
            </w:tcBorders>
            <w:shd w:val="clear" w:color="auto" w:fill="auto"/>
            <w:vAlign w:val="center"/>
          </w:tcPr>
          <w:p w:rsidR="00E7317C" w:rsidRPr="00487390" w:rsidRDefault="00E7317C" w:rsidP="00E7317C">
            <w:pPr>
              <w:jc w:val="center"/>
              <w:rPr>
                <w:b/>
                <w:bCs/>
                <w:color w:val="000000"/>
              </w:rPr>
            </w:pPr>
            <w:r>
              <w:rPr>
                <w:b/>
                <w:bCs/>
                <w:color w:val="000000"/>
              </w:rPr>
              <w:t>1 791 469,7</w:t>
            </w:r>
          </w:p>
        </w:tc>
        <w:tc>
          <w:tcPr>
            <w:tcW w:w="1524" w:type="dxa"/>
            <w:tcBorders>
              <w:top w:val="nil"/>
              <w:left w:val="nil"/>
              <w:bottom w:val="single" w:sz="4" w:space="0" w:color="auto"/>
              <w:right w:val="single" w:sz="4" w:space="0" w:color="auto"/>
            </w:tcBorders>
            <w:vAlign w:val="center"/>
          </w:tcPr>
          <w:p w:rsidR="00E7317C" w:rsidRDefault="00E7317C" w:rsidP="00E7317C">
            <w:pPr>
              <w:jc w:val="center"/>
              <w:rPr>
                <w:b/>
                <w:bCs/>
                <w:color w:val="000000"/>
              </w:rPr>
            </w:pPr>
            <w:r>
              <w:rPr>
                <w:b/>
                <w:bCs/>
                <w:color w:val="000000"/>
              </w:rPr>
              <w:t>1 892 505,0</w:t>
            </w:r>
          </w:p>
        </w:tc>
      </w:tr>
    </w:tbl>
    <w:p w:rsidR="00E7317C" w:rsidRDefault="00E7317C" w:rsidP="00E7317C">
      <w:pPr>
        <w:autoSpaceDE w:val="0"/>
        <w:autoSpaceDN w:val="0"/>
        <w:adjustRightInd w:val="0"/>
        <w:ind w:firstLine="540"/>
        <w:jc w:val="both"/>
        <w:rPr>
          <w:sz w:val="28"/>
          <w:szCs w:val="28"/>
        </w:rPr>
      </w:pPr>
    </w:p>
    <w:p w:rsidR="00E7317C" w:rsidRDefault="00E7317C" w:rsidP="00E7317C"/>
    <w:p w:rsidR="00E7317C" w:rsidRDefault="00E7317C" w:rsidP="00E7317C">
      <w:pPr>
        <w:autoSpaceDE w:val="0"/>
        <w:autoSpaceDN w:val="0"/>
        <w:adjustRightInd w:val="0"/>
        <w:jc w:val="center"/>
        <w:rPr>
          <w:b/>
          <w:sz w:val="28"/>
          <w:szCs w:val="28"/>
        </w:rPr>
      </w:pPr>
      <w:r>
        <w:rPr>
          <w:b/>
          <w:sz w:val="28"/>
          <w:szCs w:val="28"/>
        </w:rPr>
        <w:t xml:space="preserve">Прогноз по доходам от уплаты акцизов на этиловый спирт </w:t>
      </w:r>
    </w:p>
    <w:p w:rsidR="00E7317C" w:rsidRDefault="00E7317C" w:rsidP="00E7317C">
      <w:pPr>
        <w:autoSpaceDE w:val="0"/>
        <w:autoSpaceDN w:val="0"/>
        <w:adjustRightInd w:val="0"/>
        <w:jc w:val="center"/>
        <w:rPr>
          <w:b/>
          <w:sz w:val="28"/>
          <w:szCs w:val="28"/>
        </w:rPr>
      </w:pPr>
      <w:r>
        <w:rPr>
          <w:b/>
          <w:sz w:val="28"/>
          <w:szCs w:val="28"/>
        </w:rPr>
        <w:t>из пищевого или непищевого сырья и доходам от уплаты</w:t>
      </w:r>
    </w:p>
    <w:p w:rsidR="00E7317C" w:rsidRDefault="00E7317C" w:rsidP="00E7317C">
      <w:pPr>
        <w:autoSpaceDE w:val="0"/>
        <w:autoSpaceDN w:val="0"/>
        <w:adjustRightInd w:val="0"/>
        <w:jc w:val="center"/>
        <w:rPr>
          <w:b/>
          <w:sz w:val="28"/>
          <w:szCs w:val="28"/>
        </w:rPr>
      </w:pPr>
      <w:r>
        <w:rPr>
          <w:b/>
          <w:sz w:val="28"/>
          <w:szCs w:val="28"/>
        </w:rPr>
        <w:t>акцизов на спиртосодержащую продукцию</w:t>
      </w:r>
    </w:p>
    <w:p w:rsidR="00E7317C" w:rsidRDefault="00E7317C" w:rsidP="00E7317C">
      <w:pPr>
        <w:autoSpaceDE w:val="0"/>
        <w:autoSpaceDN w:val="0"/>
        <w:adjustRightInd w:val="0"/>
        <w:jc w:val="center"/>
        <w:rPr>
          <w:b/>
          <w:sz w:val="28"/>
          <w:szCs w:val="28"/>
        </w:rPr>
      </w:pPr>
    </w:p>
    <w:p w:rsidR="00E7317C" w:rsidRDefault="00E7317C" w:rsidP="00E7317C">
      <w:pPr>
        <w:autoSpaceDE w:val="0"/>
        <w:autoSpaceDN w:val="0"/>
        <w:adjustRightInd w:val="0"/>
        <w:ind w:firstLine="709"/>
        <w:jc w:val="both"/>
        <w:rPr>
          <w:color w:val="000000"/>
          <w:sz w:val="28"/>
          <w:szCs w:val="28"/>
        </w:rPr>
      </w:pPr>
      <w:r>
        <w:rPr>
          <w:sz w:val="28"/>
          <w:szCs w:val="28"/>
        </w:rPr>
        <w:t xml:space="preserve">КБК 000 1 03 02190 01 0000 110 «Доходы от уплаты акцизов на этиловый спирт из пищевого сырья (за исключением дистиллятов винного, виноградного, плодового, коньячного, кальвадосного, вискового), производимый на территории Российской Федерации, направляемые в уполномоченный территориальный орган Федерального казначейства для распределения между бюджетами субъектов </w:t>
      </w:r>
      <w:r>
        <w:rPr>
          <w:sz w:val="28"/>
          <w:szCs w:val="28"/>
        </w:rPr>
        <w:lastRenderedPageBreak/>
        <w:t>Российской Федерации (по нормативам, установленным федеральным законом о федеральном бюджете)»;</w:t>
      </w:r>
      <w:r>
        <w:rPr>
          <w:color w:val="000000"/>
          <w:sz w:val="28"/>
          <w:szCs w:val="28"/>
        </w:rPr>
        <w:t xml:space="preserve"> </w:t>
      </w:r>
    </w:p>
    <w:p w:rsidR="00E7317C" w:rsidRDefault="00E7317C" w:rsidP="00E7317C">
      <w:pPr>
        <w:autoSpaceDE w:val="0"/>
        <w:autoSpaceDN w:val="0"/>
        <w:adjustRightInd w:val="0"/>
        <w:ind w:firstLine="709"/>
        <w:jc w:val="both"/>
        <w:rPr>
          <w:sz w:val="28"/>
          <w:szCs w:val="28"/>
        </w:rPr>
      </w:pPr>
      <w:r>
        <w:rPr>
          <w:sz w:val="28"/>
          <w:szCs w:val="28"/>
        </w:rPr>
        <w:t>КБК 000 1 03 02200 01 0000 110 «Доходы от уплаты акцизов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 направляемые в уполномоченный территориальный орган Федерального казначейства для распределения между бюджетами субъектов Российской Федерации (по нормативам, установленным федеральным законом о федеральном бюджете)»;</w:t>
      </w:r>
    </w:p>
    <w:p w:rsidR="00E7317C" w:rsidRDefault="00A636BB" w:rsidP="00E7317C">
      <w:pPr>
        <w:autoSpaceDE w:val="0"/>
        <w:autoSpaceDN w:val="0"/>
        <w:adjustRightInd w:val="0"/>
        <w:ind w:firstLine="709"/>
        <w:jc w:val="both"/>
        <w:rPr>
          <w:color w:val="000000"/>
          <w:sz w:val="28"/>
          <w:szCs w:val="28"/>
        </w:rPr>
      </w:pPr>
      <w:r>
        <w:rPr>
          <w:color w:val="000000"/>
          <w:sz w:val="28"/>
          <w:szCs w:val="28"/>
        </w:rPr>
        <w:t xml:space="preserve">КБК </w:t>
      </w:r>
      <w:r w:rsidR="00E7317C">
        <w:rPr>
          <w:color w:val="000000"/>
          <w:sz w:val="28"/>
          <w:szCs w:val="28"/>
        </w:rPr>
        <w:t>000 1 03 02210 01 0000 110 «Доходы от уплаты акцизов на спиртосодержащую продукцию, производимую на территории Российской Федерации, направляемые в уполномоченный территориальный орган Федерального казначейства для распределения между бюджетами субъектов Российской Федерации (по нормативам, установленным федеральным законом о федеральном бюджете)»;</w:t>
      </w:r>
    </w:p>
    <w:p w:rsidR="00E7317C" w:rsidRDefault="00A636BB" w:rsidP="00E7317C">
      <w:pPr>
        <w:autoSpaceDE w:val="0"/>
        <w:autoSpaceDN w:val="0"/>
        <w:adjustRightInd w:val="0"/>
        <w:ind w:firstLine="709"/>
        <w:jc w:val="both"/>
        <w:rPr>
          <w:sz w:val="28"/>
          <w:szCs w:val="28"/>
        </w:rPr>
      </w:pPr>
      <w:r>
        <w:rPr>
          <w:color w:val="000000"/>
          <w:sz w:val="28"/>
          <w:szCs w:val="28"/>
        </w:rPr>
        <w:t xml:space="preserve">КБК </w:t>
      </w:r>
      <w:r w:rsidR="00E7317C">
        <w:rPr>
          <w:color w:val="000000"/>
          <w:sz w:val="28"/>
          <w:szCs w:val="28"/>
        </w:rPr>
        <w:t>000 1 03 02220 01 0000 110 «Доходы от уплаты акцизов на этиловый спирт из непищевого сырья, производимый на территории Российской Федерации, направляемые в уполномоченный территориальный орган Федерального казначейства для распределения между бюджетами субъектов Российской Федерации (по нормативам, установленным федеральным законом о федеральном бюджете)».</w:t>
      </w:r>
    </w:p>
    <w:p w:rsidR="00E7317C" w:rsidRDefault="00E7317C" w:rsidP="00E7317C">
      <w:pPr>
        <w:autoSpaceDE w:val="0"/>
        <w:autoSpaceDN w:val="0"/>
        <w:adjustRightInd w:val="0"/>
        <w:ind w:firstLine="709"/>
        <w:jc w:val="both"/>
        <w:rPr>
          <w:color w:val="000000"/>
          <w:sz w:val="28"/>
          <w:szCs w:val="28"/>
        </w:rPr>
      </w:pPr>
      <w:r>
        <w:rPr>
          <w:sz w:val="28"/>
          <w:szCs w:val="28"/>
        </w:rPr>
        <w:t>В соответствии с Федеральным законом от 15.04.2019 № 62-ФЗ «О внесении изменений в Бюджетный кодекс Российской Федерации» с 1 января 2020 года акцизы на спирт этиловый из пищевого или непищевого сырья, а также акцизы на спиртосодержащую продукцию подлежат зачислению в бюджеты субъектов Российской Федерации по нормативу 100 процентов. При этом налоговые доходы от акцизов на спирт этиловый из пищевого или непищевого сырья, акцизов на спиртосодержащую продукцию, подлежащие зачислению в бюджеты субъектов Российской Федерации по нормативу 100 процентов, в размере 50 процентов объема указанных доходов распределяются территориальными органами Федерального казначейства между бюджетами субъектов Российской Федерации в соответствии с федеральным законом о федеральном бюджете.</w:t>
      </w:r>
      <w:r w:rsidRPr="006E199F">
        <w:rPr>
          <w:color w:val="000000"/>
          <w:sz w:val="28"/>
          <w:szCs w:val="28"/>
        </w:rPr>
        <w:t xml:space="preserve"> </w:t>
      </w:r>
    </w:p>
    <w:p w:rsidR="00E7317C" w:rsidRDefault="00E7317C" w:rsidP="00E7317C">
      <w:pPr>
        <w:autoSpaceDE w:val="0"/>
        <w:autoSpaceDN w:val="0"/>
        <w:adjustRightInd w:val="0"/>
        <w:ind w:firstLine="709"/>
        <w:jc w:val="both"/>
        <w:rPr>
          <w:sz w:val="28"/>
          <w:szCs w:val="28"/>
        </w:rPr>
      </w:pPr>
      <w:r w:rsidRPr="006E199F">
        <w:rPr>
          <w:color w:val="000000"/>
          <w:sz w:val="28"/>
          <w:szCs w:val="28"/>
        </w:rPr>
        <w:t>Данные изменения были внесены в целях недопущения снижения доходной базы бюджетов субъектов Российской Федерации в связи с изменением зачисления в бюджеты бюджетной системы Российской Федерации сумм штрафов, неустоек, пеней, а также средств, поступающих в целях возмещения вреда окружающей среде</w:t>
      </w:r>
      <w:r>
        <w:rPr>
          <w:color w:val="000000"/>
          <w:sz w:val="28"/>
          <w:szCs w:val="28"/>
        </w:rPr>
        <w:t xml:space="preserve"> (нормативы распределения рассчитываются Минфином РФ)</w:t>
      </w:r>
      <w:r w:rsidRPr="006E199F">
        <w:rPr>
          <w:color w:val="000000"/>
          <w:sz w:val="28"/>
          <w:szCs w:val="28"/>
        </w:rPr>
        <w:t>.</w:t>
      </w:r>
    </w:p>
    <w:p w:rsidR="00E7317C" w:rsidRPr="006E199F" w:rsidRDefault="00E7317C" w:rsidP="00E7317C">
      <w:pPr>
        <w:autoSpaceDE w:val="0"/>
        <w:autoSpaceDN w:val="0"/>
        <w:adjustRightInd w:val="0"/>
        <w:ind w:firstLine="709"/>
        <w:jc w:val="both"/>
        <w:rPr>
          <w:color w:val="000000"/>
          <w:sz w:val="28"/>
          <w:szCs w:val="28"/>
        </w:rPr>
      </w:pPr>
      <w:r w:rsidRPr="006E199F">
        <w:rPr>
          <w:color w:val="000000"/>
          <w:sz w:val="28"/>
          <w:szCs w:val="28"/>
        </w:rPr>
        <w:t>В соответствии с проектом Федерального закона «О Федеральном бюджете на 202</w:t>
      </w:r>
      <w:r w:rsidRPr="00030D60">
        <w:rPr>
          <w:color w:val="000000"/>
          <w:sz w:val="28"/>
          <w:szCs w:val="28"/>
        </w:rPr>
        <w:t>2</w:t>
      </w:r>
      <w:r w:rsidRPr="006E199F">
        <w:rPr>
          <w:color w:val="000000"/>
          <w:sz w:val="28"/>
          <w:szCs w:val="28"/>
        </w:rPr>
        <w:t xml:space="preserve"> год и на плановый период 202</w:t>
      </w:r>
      <w:r w:rsidRPr="00030D60">
        <w:rPr>
          <w:color w:val="000000"/>
          <w:sz w:val="28"/>
          <w:szCs w:val="28"/>
        </w:rPr>
        <w:t>3</w:t>
      </w:r>
      <w:r w:rsidRPr="006E199F">
        <w:rPr>
          <w:color w:val="000000"/>
          <w:sz w:val="28"/>
          <w:szCs w:val="28"/>
        </w:rPr>
        <w:t xml:space="preserve"> и 202</w:t>
      </w:r>
      <w:r w:rsidRPr="00030D60">
        <w:rPr>
          <w:color w:val="000000"/>
          <w:sz w:val="28"/>
          <w:szCs w:val="28"/>
        </w:rPr>
        <w:t>4</w:t>
      </w:r>
      <w:r w:rsidRPr="006E199F">
        <w:rPr>
          <w:color w:val="000000"/>
          <w:sz w:val="28"/>
          <w:szCs w:val="28"/>
        </w:rPr>
        <w:t xml:space="preserve"> годов» </w:t>
      </w:r>
      <w:r>
        <w:rPr>
          <w:color w:val="000000"/>
          <w:sz w:val="28"/>
          <w:szCs w:val="28"/>
        </w:rPr>
        <w:t>норматив распределения 50 процентов доходов от акцизов на спирт этиловый из пищевого или непищевого сырья, акцизов на спиртосодержащую продукцию, производимые на территории Российской Федерации, в бюджет Тверской области на 202</w:t>
      </w:r>
      <w:r w:rsidRPr="00030D60">
        <w:rPr>
          <w:color w:val="000000"/>
          <w:sz w:val="28"/>
          <w:szCs w:val="28"/>
        </w:rPr>
        <w:t>2</w:t>
      </w:r>
      <w:r>
        <w:rPr>
          <w:color w:val="000000"/>
          <w:sz w:val="28"/>
          <w:szCs w:val="28"/>
        </w:rPr>
        <w:t xml:space="preserve"> год и на плановый период 202</w:t>
      </w:r>
      <w:r w:rsidRPr="00030D60">
        <w:rPr>
          <w:color w:val="000000"/>
          <w:sz w:val="28"/>
          <w:szCs w:val="28"/>
        </w:rPr>
        <w:t>3</w:t>
      </w:r>
      <w:r>
        <w:rPr>
          <w:color w:val="000000"/>
          <w:sz w:val="28"/>
          <w:szCs w:val="28"/>
        </w:rPr>
        <w:t xml:space="preserve"> и 202</w:t>
      </w:r>
      <w:r w:rsidRPr="00030D60">
        <w:rPr>
          <w:color w:val="000000"/>
          <w:sz w:val="28"/>
          <w:szCs w:val="28"/>
        </w:rPr>
        <w:t>4</w:t>
      </w:r>
      <w:r>
        <w:rPr>
          <w:color w:val="000000"/>
          <w:sz w:val="28"/>
          <w:szCs w:val="28"/>
        </w:rPr>
        <w:t xml:space="preserve"> годов составляет 0,2147%.</w:t>
      </w:r>
      <w:r w:rsidRPr="006E199F">
        <w:rPr>
          <w:color w:val="000000"/>
          <w:sz w:val="28"/>
          <w:szCs w:val="28"/>
        </w:rPr>
        <w:t xml:space="preserve"> </w:t>
      </w:r>
    </w:p>
    <w:p w:rsidR="00E7317C" w:rsidRDefault="00E7317C" w:rsidP="00E7317C">
      <w:pPr>
        <w:autoSpaceDE w:val="0"/>
        <w:autoSpaceDN w:val="0"/>
        <w:adjustRightInd w:val="0"/>
        <w:ind w:firstLine="709"/>
        <w:jc w:val="both"/>
        <w:rPr>
          <w:sz w:val="28"/>
          <w:szCs w:val="28"/>
        </w:rPr>
      </w:pPr>
      <w:r w:rsidRPr="006E199F">
        <w:rPr>
          <w:color w:val="000000"/>
          <w:sz w:val="28"/>
          <w:szCs w:val="28"/>
        </w:rPr>
        <w:lastRenderedPageBreak/>
        <w:t>По данным Министерства</w:t>
      </w:r>
      <w:r>
        <w:rPr>
          <w:sz w:val="28"/>
          <w:szCs w:val="28"/>
        </w:rPr>
        <w:t xml:space="preserve"> промышленности и торговли Тверской области на территории Тверской области отсутствуют производители спирта этилового из пищевого или непищевого сырья и спиртосодержащей продукции.</w:t>
      </w:r>
    </w:p>
    <w:p w:rsidR="00E7317C" w:rsidRDefault="00E7317C" w:rsidP="00E7317C">
      <w:pPr>
        <w:autoSpaceDE w:val="0"/>
        <w:autoSpaceDN w:val="0"/>
        <w:adjustRightInd w:val="0"/>
        <w:ind w:firstLine="709"/>
        <w:jc w:val="both"/>
        <w:rPr>
          <w:sz w:val="28"/>
          <w:szCs w:val="28"/>
        </w:rPr>
      </w:pPr>
      <w:r>
        <w:rPr>
          <w:sz w:val="28"/>
          <w:szCs w:val="28"/>
        </w:rPr>
        <w:t>Таким образом, в доход Тверской области будут зачисляться только доходы в порядке централизации, распределяемые территориальными органами Федерального казначейства между бюджетами субъектов Российской Федерации.</w:t>
      </w:r>
    </w:p>
    <w:p w:rsidR="00E7317C" w:rsidRDefault="00E7317C" w:rsidP="00E7317C">
      <w:pPr>
        <w:ind w:firstLine="709"/>
        <w:jc w:val="both"/>
        <w:rPr>
          <w:sz w:val="28"/>
          <w:szCs w:val="28"/>
        </w:rPr>
      </w:pPr>
      <w:r>
        <w:rPr>
          <w:sz w:val="28"/>
          <w:szCs w:val="28"/>
        </w:rPr>
        <w:t>Главным администратором данных доходов является Федеральное казначейство (Управление Федерального казначейства по Тверской области).</w:t>
      </w:r>
    </w:p>
    <w:p w:rsidR="000C7362" w:rsidRPr="00A33E59" w:rsidRDefault="000C7362" w:rsidP="000C7362">
      <w:pPr>
        <w:ind w:firstLine="709"/>
        <w:jc w:val="both"/>
        <w:rPr>
          <w:sz w:val="28"/>
          <w:szCs w:val="28"/>
        </w:rPr>
      </w:pPr>
      <w:r>
        <w:rPr>
          <w:sz w:val="28"/>
          <w:szCs w:val="28"/>
        </w:rPr>
        <w:t xml:space="preserve">Письмом Управления Федерального казначейства по Тверской области от 21.10.2021 № 36-02-09/3999 представлены прогнозируемые </w:t>
      </w:r>
      <w:r w:rsidRPr="00A33E59">
        <w:rPr>
          <w:sz w:val="28"/>
          <w:szCs w:val="28"/>
        </w:rPr>
        <w:t xml:space="preserve">на 2022-2024 годы </w:t>
      </w:r>
      <w:r>
        <w:rPr>
          <w:sz w:val="28"/>
          <w:szCs w:val="28"/>
        </w:rPr>
        <w:t xml:space="preserve">суммы </w:t>
      </w:r>
      <w:r w:rsidRPr="00A33E59">
        <w:rPr>
          <w:sz w:val="28"/>
          <w:szCs w:val="28"/>
        </w:rPr>
        <w:t>по доходам от уплаты акцизов на спирт этиловый из пищевого или непищевого сырья, акцизов на спиртосодержащую продукцию</w:t>
      </w:r>
      <w:r>
        <w:rPr>
          <w:sz w:val="28"/>
          <w:szCs w:val="28"/>
        </w:rPr>
        <w:t xml:space="preserve"> (расчет описан Министерством финансов Тверской области)</w:t>
      </w:r>
      <w:r w:rsidRPr="00A33E59">
        <w:rPr>
          <w:sz w:val="28"/>
          <w:szCs w:val="28"/>
        </w:rPr>
        <w:t>.</w:t>
      </w:r>
    </w:p>
    <w:p w:rsidR="00E7317C" w:rsidRDefault="00E7317C" w:rsidP="00E7317C">
      <w:pPr>
        <w:ind w:firstLine="709"/>
        <w:jc w:val="both"/>
        <w:rPr>
          <w:sz w:val="28"/>
          <w:szCs w:val="28"/>
        </w:rPr>
      </w:pPr>
      <w:r>
        <w:rPr>
          <w:sz w:val="28"/>
          <w:szCs w:val="28"/>
        </w:rPr>
        <w:t>Расчет прогноза на 2022-2024 годы произведён на основании данных Министерства финансов Российской Федерации о прогнозируемых суммах поступлений в бюджеты субъектов Российской Федерации в разрезе кодов бюджетной классификации с применением норматива централизации доходов в размере 50%, а также норматива распределения для Тверской области 0,2147%, которы</w:t>
      </w:r>
      <w:r w:rsidR="00A636BB">
        <w:rPr>
          <w:sz w:val="28"/>
          <w:szCs w:val="28"/>
        </w:rPr>
        <w:t>й</w:t>
      </w:r>
      <w:r>
        <w:rPr>
          <w:sz w:val="28"/>
          <w:szCs w:val="28"/>
        </w:rPr>
        <w:t xml:space="preserve"> установлен проектом закона о федеральном бюджете на 2022-2024 годы.</w:t>
      </w:r>
    </w:p>
    <w:p w:rsidR="00E7317C" w:rsidRDefault="00E7317C" w:rsidP="00E7317C">
      <w:pPr>
        <w:autoSpaceDE w:val="0"/>
        <w:autoSpaceDN w:val="0"/>
        <w:adjustRightInd w:val="0"/>
        <w:ind w:firstLine="851"/>
        <w:jc w:val="both"/>
        <w:rPr>
          <w:sz w:val="28"/>
          <w:szCs w:val="28"/>
        </w:rPr>
      </w:pPr>
    </w:p>
    <w:p w:rsidR="00E7317C" w:rsidRDefault="00E7317C" w:rsidP="00E7317C">
      <w:pPr>
        <w:autoSpaceDE w:val="0"/>
        <w:autoSpaceDN w:val="0"/>
        <w:adjustRightInd w:val="0"/>
        <w:ind w:firstLine="851"/>
        <w:jc w:val="right"/>
        <w:rPr>
          <w:sz w:val="28"/>
          <w:szCs w:val="28"/>
        </w:rPr>
      </w:pPr>
      <w:r>
        <w:rPr>
          <w:sz w:val="28"/>
          <w:szCs w:val="28"/>
        </w:rPr>
        <w:t>тыс. руб.</w:t>
      </w:r>
    </w:p>
    <w:tbl>
      <w:tblPr>
        <w:tblStyle w:val="a6"/>
        <w:tblW w:w="9918" w:type="dxa"/>
        <w:tblLook w:val="04A0" w:firstRow="1" w:lastRow="0" w:firstColumn="1" w:lastColumn="0" w:noHBand="0" w:noVBand="1"/>
      </w:tblPr>
      <w:tblGrid>
        <w:gridCol w:w="4531"/>
        <w:gridCol w:w="1701"/>
        <w:gridCol w:w="1843"/>
        <w:gridCol w:w="1843"/>
      </w:tblGrid>
      <w:tr w:rsidR="00E7317C" w:rsidTr="00E7317C">
        <w:trPr>
          <w:tblHeader/>
        </w:trPr>
        <w:tc>
          <w:tcPr>
            <w:tcW w:w="4531" w:type="dxa"/>
            <w:tcBorders>
              <w:top w:val="single" w:sz="4" w:space="0" w:color="auto"/>
              <w:left w:val="single" w:sz="4" w:space="0" w:color="auto"/>
              <w:bottom w:val="single" w:sz="4" w:space="0" w:color="auto"/>
              <w:right w:val="single" w:sz="4" w:space="0" w:color="auto"/>
            </w:tcBorders>
            <w:vAlign w:val="center"/>
            <w:hideMark/>
          </w:tcPr>
          <w:p w:rsidR="00E7317C" w:rsidRDefault="00E7317C" w:rsidP="00E7317C">
            <w:pPr>
              <w:autoSpaceDE w:val="0"/>
              <w:autoSpaceDN w:val="0"/>
              <w:adjustRightInd w:val="0"/>
              <w:ind w:firstLine="0"/>
              <w:jc w:val="center"/>
              <w:rPr>
                <w:sz w:val="28"/>
                <w:szCs w:val="28"/>
              </w:rPr>
            </w:pPr>
            <w:r>
              <w:rPr>
                <w:sz w:val="28"/>
                <w:szCs w:val="28"/>
              </w:rPr>
              <w:t>Код бюджетной классификации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E7317C" w:rsidRDefault="00E7317C" w:rsidP="00E7317C">
            <w:pPr>
              <w:autoSpaceDE w:val="0"/>
              <w:autoSpaceDN w:val="0"/>
              <w:adjustRightInd w:val="0"/>
              <w:ind w:firstLine="0"/>
              <w:jc w:val="center"/>
              <w:rPr>
                <w:sz w:val="28"/>
                <w:szCs w:val="28"/>
              </w:rPr>
            </w:pPr>
            <w:r>
              <w:rPr>
                <w:sz w:val="28"/>
                <w:szCs w:val="28"/>
              </w:rPr>
              <w:t>Прогноз</w:t>
            </w:r>
          </w:p>
          <w:p w:rsidR="00E7317C" w:rsidRDefault="00E7317C" w:rsidP="00E7317C">
            <w:pPr>
              <w:autoSpaceDE w:val="0"/>
              <w:autoSpaceDN w:val="0"/>
              <w:adjustRightInd w:val="0"/>
              <w:ind w:firstLine="0"/>
              <w:jc w:val="center"/>
              <w:rPr>
                <w:sz w:val="28"/>
                <w:szCs w:val="28"/>
              </w:rPr>
            </w:pPr>
            <w:r>
              <w:rPr>
                <w:sz w:val="28"/>
                <w:szCs w:val="28"/>
              </w:rPr>
              <w:t xml:space="preserve"> 2022 год</w:t>
            </w:r>
          </w:p>
        </w:tc>
        <w:tc>
          <w:tcPr>
            <w:tcW w:w="1843" w:type="dxa"/>
            <w:tcBorders>
              <w:top w:val="single" w:sz="4" w:space="0" w:color="auto"/>
              <w:left w:val="single" w:sz="4" w:space="0" w:color="auto"/>
              <w:bottom w:val="single" w:sz="4" w:space="0" w:color="auto"/>
              <w:right w:val="single" w:sz="4" w:space="0" w:color="auto"/>
            </w:tcBorders>
            <w:vAlign w:val="center"/>
            <w:hideMark/>
          </w:tcPr>
          <w:p w:rsidR="00E7317C" w:rsidRDefault="00E7317C" w:rsidP="00E7317C">
            <w:pPr>
              <w:autoSpaceDE w:val="0"/>
              <w:autoSpaceDN w:val="0"/>
              <w:adjustRightInd w:val="0"/>
              <w:ind w:firstLine="0"/>
              <w:jc w:val="center"/>
              <w:rPr>
                <w:sz w:val="28"/>
                <w:szCs w:val="28"/>
              </w:rPr>
            </w:pPr>
            <w:r>
              <w:rPr>
                <w:sz w:val="28"/>
                <w:szCs w:val="28"/>
              </w:rPr>
              <w:t>Прогноз</w:t>
            </w:r>
          </w:p>
          <w:p w:rsidR="00E7317C" w:rsidRDefault="00E7317C" w:rsidP="00E7317C">
            <w:pPr>
              <w:autoSpaceDE w:val="0"/>
              <w:autoSpaceDN w:val="0"/>
              <w:adjustRightInd w:val="0"/>
              <w:ind w:firstLine="0"/>
              <w:jc w:val="center"/>
              <w:rPr>
                <w:sz w:val="28"/>
                <w:szCs w:val="28"/>
              </w:rPr>
            </w:pPr>
            <w:r>
              <w:rPr>
                <w:sz w:val="28"/>
                <w:szCs w:val="28"/>
              </w:rPr>
              <w:t xml:space="preserve"> 2023 год</w:t>
            </w:r>
          </w:p>
        </w:tc>
        <w:tc>
          <w:tcPr>
            <w:tcW w:w="1843" w:type="dxa"/>
            <w:tcBorders>
              <w:top w:val="single" w:sz="4" w:space="0" w:color="auto"/>
              <w:left w:val="single" w:sz="4" w:space="0" w:color="auto"/>
              <w:bottom w:val="single" w:sz="4" w:space="0" w:color="auto"/>
              <w:right w:val="single" w:sz="4" w:space="0" w:color="auto"/>
            </w:tcBorders>
            <w:vAlign w:val="center"/>
            <w:hideMark/>
          </w:tcPr>
          <w:p w:rsidR="00E7317C" w:rsidRDefault="00E7317C" w:rsidP="00E7317C">
            <w:pPr>
              <w:autoSpaceDE w:val="0"/>
              <w:autoSpaceDN w:val="0"/>
              <w:adjustRightInd w:val="0"/>
              <w:ind w:firstLine="0"/>
              <w:jc w:val="center"/>
              <w:rPr>
                <w:sz w:val="28"/>
                <w:szCs w:val="28"/>
              </w:rPr>
            </w:pPr>
            <w:r>
              <w:rPr>
                <w:sz w:val="28"/>
                <w:szCs w:val="28"/>
              </w:rPr>
              <w:t>Прогноз</w:t>
            </w:r>
          </w:p>
          <w:p w:rsidR="00E7317C" w:rsidRDefault="00E7317C" w:rsidP="00E7317C">
            <w:pPr>
              <w:autoSpaceDE w:val="0"/>
              <w:autoSpaceDN w:val="0"/>
              <w:adjustRightInd w:val="0"/>
              <w:ind w:firstLine="0"/>
              <w:jc w:val="center"/>
              <w:rPr>
                <w:sz w:val="28"/>
                <w:szCs w:val="28"/>
              </w:rPr>
            </w:pPr>
            <w:r>
              <w:rPr>
                <w:sz w:val="28"/>
                <w:szCs w:val="28"/>
              </w:rPr>
              <w:t xml:space="preserve"> 2024 год</w:t>
            </w:r>
          </w:p>
        </w:tc>
      </w:tr>
      <w:tr w:rsidR="00E7317C" w:rsidTr="00E7317C">
        <w:tc>
          <w:tcPr>
            <w:tcW w:w="9918" w:type="dxa"/>
            <w:gridSpan w:val="4"/>
            <w:tcBorders>
              <w:top w:val="single" w:sz="4" w:space="0" w:color="auto"/>
              <w:left w:val="single" w:sz="4" w:space="0" w:color="auto"/>
              <w:bottom w:val="single" w:sz="4" w:space="0" w:color="auto"/>
            </w:tcBorders>
            <w:vAlign w:val="center"/>
          </w:tcPr>
          <w:p w:rsidR="00E7317C" w:rsidRDefault="00E7317C" w:rsidP="00E7317C">
            <w:pPr>
              <w:ind w:firstLine="0"/>
              <w:rPr>
                <w:sz w:val="28"/>
                <w:szCs w:val="28"/>
              </w:rPr>
            </w:pPr>
            <w:r>
              <w:rPr>
                <w:sz w:val="28"/>
                <w:szCs w:val="28"/>
              </w:rPr>
              <w:t>000 1 03 02190 01 0000 110 «Доходы от уплаты акцизов на этиловый спирт из пищевого сырья (за исключением дистиллятов винного, виноградного, плодового, коньячного, кальвадосного, вискового), производимый на территории Российской Федерации, направляемые в уполномоченный территориальный орган Федерального казначейства для распределения между бюджетами субъектов Российской Федерации (по нормативам, установленным федеральным законом о федеральном бюджете)»</w:t>
            </w:r>
          </w:p>
        </w:tc>
      </w:tr>
      <w:tr w:rsidR="00E7317C" w:rsidTr="00E7317C">
        <w:tc>
          <w:tcPr>
            <w:tcW w:w="4531" w:type="dxa"/>
            <w:tcBorders>
              <w:top w:val="single" w:sz="4" w:space="0" w:color="auto"/>
              <w:left w:val="single" w:sz="4" w:space="0" w:color="auto"/>
              <w:bottom w:val="single" w:sz="4" w:space="0" w:color="auto"/>
              <w:right w:val="single" w:sz="4" w:space="0" w:color="auto"/>
            </w:tcBorders>
            <w:vAlign w:val="center"/>
          </w:tcPr>
          <w:p w:rsidR="0030575D" w:rsidRDefault="00E7317C" w:rsidP="0030575D">
            <w:pPr>
              <w:autoSpaceDE w:val="0"/>
              <w:autoSpaceDN w:val="0"/>
              <w:adjustRightInd w:val="0"/>
              <w:rPr>
                <w:sz w:val="28"/>
                <w:szCs w:val="28"/>
              </w:rPr>
            </w:pPr>
            <w:r>
              <w:rPr>
                <w:sz w:val="28"/>
                <w:szCs w:val="28"/>
              </w:rPr>
              <w:t>Все субъекты РФ (100%)</w:t>
            </w:r>
          </w:p>
        </w:tc>
        <w:tc>
          <w:tcPr>
            <w:tcW w:w="1701" w:type="dxa"/>
            <w:tcBorders>
              <w:top w:val="nil"/>
              <w:left w:val="nil"/>
              <w:bottom w:val="single" w:sz="8" w:space="0" w:color="auto"/>
              <w:right w:val="single" w:sz="8" w:space="0" w:color="auto"/>
            </w:tcBorders>
            <w:shd w:val="clear" w:color="auto" w:fill="auto"/>
            <w:vAlign w:val="center"/>
          </w:tcPr>
          <w:p w:rsidR="00E7317C" w:rsidRDefault="00E7317C" w:rsidP="00E7317C">
            <w:pPr>
              <w:ind w:firstLine="19"/>
              <w:jc w:val="center"/>
              <w:rPr>
                <w:sz w:val="28"/>
                <w:szCs w:val="28"/>
              </w:rPr>
            </w:pPr>
            <w:r>
              <w:rPr>
                <w:sz w:val="28"/>
                <w:szCs w:val="28"/>
              </w:rPr>
              <w:t>2 367 135,9</w:t>
            </w:r>
          </w:p>
        </w:tc>
        <w:tc>
          <w:tcPr>
            <w:tcW w:w="1843" w:type="dxa"/>
            <w:tcBorders>
              <w:top w:val="nil"/>
              <w:left w:val="nil"/>
              <w:bottom w:val="single" w:sz="8" w:space="0" w:color="auto"/>
              <w:right w:val="single" w:sz="8" w:space="0" w:color="auto"/>
            </w:tcBorders>
            <w:shd w:val="clear" w:color="auto" w:fill="auto"/>
            <w:vAlign w:val="center"/>
          </w:tcPr>
          <w:p w:rsidR="00E7317C" w:rsidRDefault="00E7317C" w:rsidP="00E7317C">
            <w:pPr>
              <w:ind w:firstLine="27"/>
              <w:jc w:val="center"/>
              <w:rPr>
                <w:sz w:val="28"/>
                <w:szCs w:val="28"/>
              </w:rPr>
            </w:pPr>
            <w:r>
              <w:rPr>
                <w:sz w:val="28"/>
                <w:szCs w:val="28"/>
              </w:rPr>
              <w:t>2 500 523,3</w:t>
            </w:r>
          </w:p>
        </w:tc>
        <w:tc>
          <w:tcPr>
            <w:tcW w:w="1843" w:type="dxa"/>
            <w:tcBorders>
              <w:top w:val="nil"/>
              <w:left w:val="nil"/>
              <w:bottom w:val="single" w:sz="8" w:space="0" w:color="auto"/>
              <w:right w:val="single" w:sz="8" w:space="0" w:color="auto"/>
            </w:tcBorders>
            <w:shd w:val="clear" w:color="auto" w:fill="auto"/>
            <w:vAlign w:val="center"/>
          </w:tcPr>
          <w:p w:rsidR="00E7317C" w:rsidRDefault="00E7317C" w:rsidP="00E7317C">
            <w:pPr>
              <w:ind w:firstLine="0"/>
              <w:jc w:val="center"/>
              <w:rPr>
                <w:sz w:val="28"/>
                <w:szCs w:val="28"/>
              </w:rPr>
            </w:pPr>
            <w:r>
              <w:rPr>
                <w:sz w:val="28"/>
                <w:szCs w:val="28"/>
              </w:rPr>
              <w:t>2 641 532,8</w:t>
            </w:r>
          </w:p>
        </w:tc>
      </w:tr>
      <w:tr w:rsidR="00E7317C" w:rsidTr="00E7317C">
        <w:tc>
          <w:tcPr>
            <w:tcW w:w="9918" w:type="dxa"/>
            <w:gridSpan w:val="4"/>
            <w:tcBorders>
              <w:top w:val="single" w:sz="4" w:space="0" w:color="auto"/>
              <w:left w:val="single" w:sz="4" w:space="0" w:color="auto"/>
              <w:bottom w:val="single" w:sz="4" w:space="0" w:color="auto"/>
              <w:right w:val="single" w:sz="8" w:space="0" w:color="auto"/>
            </w:tcBorders>
            <w:vAlign w:val="center"/>
          </w:tcPr>
          <w:p w:rsidR="00E7317C" w:rsidRDefault="00E7317C" w:rsidP="00E7317C">
            <w:pPr>
              <w:ind w:firstLine="0"/>
              <w:rPr>
                <w:sz w:val="28"/>
                <w:szCs w:val="28"/>
              </w:rPr>
            </w:pPr>
            <w:r>
              <w:rPr>
                <w:sz w:val="28"/>
                <w:szCs w:val="28"/>
              </w:rPr>
              <w:t>000 1 03 02200 01 0000 110 «Доходы от уплаты акцизов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 направляемые в уполномоченный территориальный орган Федерального казначейства для распределения между бюджетами субъектов Российской Федерации (по нормативам, установленным федеральным законом о федеральном бюджете)</w:t>
            </w:r>
          </w:p>
        </w:tc>
      </w:tr>
      <w:tr w:rsidR="00E7317C" w:rsidTr="00E7317C">
        <w:tc>
          <w:tcPr>
            <w:tcW w:w="4531" w:type="dxa"/>
            <w:tcBorders>
              <w:top w:val="single" w:sz="4" w:space="0" w:color="auto"/>
              <w:left w:val="single" w:sz="4" w:space="0" w:color="auto"/>
              <w:bottom w:val="single" w:sz="4" w:space="0" w:color="auto"/>
              <w:right w:val="single" w:sz="4" w:space="0" w:color="auto"/>
            </w:tcBorders>
            <w:vAlign w:val="center"/>
          </w:tcPr>
          <w:p w:rsidR="00E7317C" w:rsidRDefault="00E7317C" w:rsidP="00E7317C">
            <w:pPr>
              <w:autoSpaceDE w:val="0"/>
              <w:autoSpaceDN w:val="0"/>
              <w:adjustRightInd w:val="0"/>
              <w:rPr>
                <w:sz w:val="28"/>
                <w:szCs w:val="28"/>
              </w:rPr>
            </w:pPr>
            <w:r>
              <w:rPr>
                <w:sz w:val="28"/>
                <w:szCs w:val="28"/>
              </w:rPr>
              <w:t>Все субъекты РФ (100%)</w:t>
            </w:r>
          </w:p>
        </w:tc>
        <w:tc>
          <w:tcPr>
            <w:tcW w:w="1701" w:type="dxa"/>
            <w:tcBorders>
              <w:top w:val="nil"/>
              <w:left w:val="nil"/>
              <w:bottom w:val="single" w:sz="8" w:space="0" w:color="auto"/>
              <w:right w:val="single" w:sz="8" w:space="0" w:color="auto"/>
            </w:tcBorders>
            <w:shd w:val="clear" w:color="auto" w:fill="auto"/>
            <w:vAlign w:val="center"/>
          </w:tcPr>
          <w:p w:rsidR="00E7317C" w:rsidRDefault="00E7317C" w:rsidP="00E7317C">
            <w:pPr>
              <w:ind w:firstLine="19"/>
              <w:jc w:val="center"/>
              <w:rPr>
                <w:sz w:val="28"/>
                <w:szCs w:val="28"/>
              </w:rPr>
            </w:pPr>
            <w:r>
              <w:rPr>
                <w:sz w:val="28"/>
                <w:szCs w:val="28"/>
              </w:rPr>
              <w:t>16 967,8</w:t>
            </w:r>
          </w:p>
        </w:tc>
        <w:tc>
          <w:tcPr>
            <w:tcW w:w="1843" w:type="dxa"/>
            <w:tcBorders>
              <w:top w:val="nil"/>
              <w:left w:val="nil"/>
              <w:bottom w:val="single" w:sz="8" w:space="0" w:color="auto"/>
              <w:right w:val="single" w:sz="8" w:space="0" w:color="auto"/>
            </w:tcBorders>
            <w:shd w:val="clear" w:color="auto" w:fill="auto"/>
            <w:vAlign w:val="center"/>
          </w:tcPr>
          <w:p w:rsidR="00E7317C" w:rsidRDefault="00E7317C" w:rsidP="00E7317C">
            <w:pPr>
              <w:ind w:firstLine="27"/>
              <w:jc w:val="center"/>
              <w:rPr>
                <w:sz w:val="28"/>
                <w:szCs w:val="28"/>
              </w:rPr>
            </w:pPr>
            <w:r>
              <w:rPr>
                <w:sz w:val="28"/>
                <w:szCs w:val="28"/>
              </w:rPr>
              <w:t>17 659,2</w:t>
            </w:r>
          </w:p>
        </w:tc>
        <w:tc>
          <w:tcPr>
            <w:tcW w:w="1843" w:type="dxa"/>
            <w:tcBorders>
              <w:top w:val="nil"/>
              <w:left w:val="nil"/>
              <w:bottom w:val="single" w:sz="8" w:space="0" w:color="auto"/>
              <w:right w:val="single" w:sz="8" w:space="0" w:color="auto"/>
            </w:tcBorders>
            <w:shd w:val="clear" w:color="auto" w:fill="auto"/>
            <w:vAlign w:val="center"/>
          </w:tcPr>
          <w:p w:rsidR="00E7317C" w:rsidRDefault="00E7317C" w:rsidP="00E7317C">
            <w:pPr>
              <w:ind w:firstLine="0"/>
              <w:jc w:val="center"/>
              <w:rPr>
                <w:sz w:val="28"/>
                <w:szCs w:val="28"/>
              </w:rPr>
            </w:pPr>
            <w:r>
              <w:rPr>
                <w:sz w:val="28"/>
                <w:szCs w:val="28"/>
              </w:rPr>
              <w:t>18 379,4</w:t>
            </w:r>
          </w:p>
        </w:tc>
      </w:tr>
      <w:tr w:rsidR="00E7317C" w:rsidTr="00E7317C">
        <w:tc>
          <w:tcPr>
            <w:tcW w:w="9918" w:type="dxa"/>
            <w:gridSpan w:val="4"/>
            <w:tcBorders>
              <w:top w:val="single" w:sz="4" w:space="0" w:color="auto"/>
              <w:left w:val="single" w:sz="4" w:space="0" w:color="auto"/>
              <w:bottom w:val="single" w:sz="4" w:space="0" w:color="auto"/>
              <w:right w:val="single" w:sz="8" w:space="0" w:color="auto"/>
            </w:tcBorders>
            <w:vAlign w:val="center"/>
          </w:tcPr>
          <w:p w:rsidR="00E7317C" w:rsidRDefault="00E7317C" w:rsidP="00E7317C">
            <w:pPr>
              <w:ind w:firstLine="0"/>
              <w:rPr>
                <w:sz w:val="28"/>
                <w:szCs w:val="28"/>
              </w:rPr>
            </w:pPr>
            <w:r>
              <w:rPr>
                <w:sz w:val="28"/>
                <w:szCs w:val="28"/>
              </w:rPr>
              <w:t>000 1 03 02210 01 0000 110 «Доходы от уплаты акцизов на спиртосодержащую продукцию, производимую на территории Российской Федерации, направляемые в уполномоченный территориальный орган Федерального казначейства для распределения между бюджетами субъектов Российской Федерации (по нормативам, установленным федеральным законом о федеральном бюджете)»</w:t>
            </w:r>
          </w:p>
        </w:tc>
      </w:tr>
      <w:tr w:rsidR="00E7317C" w:rsidTr="00E7317C">
        <w:tc>
          <w:tcPr>
            <w:tcW w:w="4531" w:type="dxa"/>
            <w:tcBorders>
              <w:top w:val="single" w:sz="4" w:space="0" w:color="auto"/>
              <w:left w:val="single" w:sz="4" w:space="0" w:color="auto"/>
              <w:bottom w:val="single" w:sz="4" w:space="0" w:color="auto"/>
              <w:right w:val="single" w:sz="4" w:space="0" w:color="auto"/>
            </w:tcBorders>
            <w:vAlign w:val="center"/>
          </w:tcPr>
          <w:p w:rsidR="00E7317C" w:rsidRPr="007F1D8C" w:rsidRDefault="00E7317C" w:rsidP="00E7317C">
            <w:pPr>
              <w:autoSpaceDE w:val="0"/>
              <w:autoSpaceDN w:val="0"/>
              <w:adjustRightInd w:val="0"/>
              <w:rPr>
                <w:b/>
                <w:sz w:val="28"/>
                <w:szCs w:val="28"/>
              </w:rPr>
            </w:pPr>
            <w:r>
              <w:rPr>
                <w:sz w:val="28"/>
                <w:szCs w:val="28"/>
              </w:rPr>
              <w:lastRenderedPageBreak/>
              <w:t>Все субъекты РФ (100%)</w:t>
            </w:r>
          </w:p>
        </w:tc>
        <w:tc>
          <w:tcPr>
            <w:tcW w:w="1701" w:type="dxa"/>
            <w:tcBorders>
              <w:top w:val="nil"/>
              <w:left w:val="nil"/>
              <w:bottom w:val="single" w:sz="8" w:space="0" w:color="auto"/>
              <w:right w:val="single" w:sz="8" w:space="0" w:color="auto"/>
            </w:tcBorders>
            <w:shd w:val="clear" w:color="auto" w:fill="auto"/>
            <w:vAlign w:val="center"/>
          </w:tcPr>
          <w:p w:rsidR="00E7317C" w:rsidRDefault="00E7317C" w:rsidP="00E7317C">
            <w:pPr>
              <w:ind w:firstLine="0"/>
              <w:jc w:val="center"/>
              <w:rPr>
                <w:sz w:val="28"/>
                <w:szCs w:val="28"/>
              </w:rPr>
            </w:pPr>
            <w:r>
              <w:rPr>
                <w:sz w:val="28"/>
                <w:szCs w:val="28"/>
              </w:rPr>
              <w:t>191 884,1</w:t>
            </w:r>
          </w:p>
        </w:tc>
        <w:tc>
          <w:tcPr>
            <w:tcW w:w="1843" w:type="dxa"/>
            <w:tcBorders>
              <w:top w:val="nil"/>
              <w:left w:val="nil"/>
              <w:bottom w:val="single" w:sz="8" w:space="0" w:color="auto"/>
              <w:right w:val="single" w:sz="8" w:space="0" w:color="auto"/>
            </w:tcBorders>
            <w:shd w:val="clear" w:color="auto" w:fill="auto"/>
            <w:vAlign w:val="center"/>
          </w:tcPr>
          <w:p w:rsidR="00E7317C" w:rsidRDefault="00E7317C" w:rsidP="00E7317C">
            <w:pPr>
              <w:ind w:firstLine="0"/>
              <w:jc w:val="center"/>
              <w:rPr>
                <w:sz w:val="28"/>
                <w:szCs w:val="28"/>
              </w:rPr>
            </w:pPr>
            <w:r>
              <w:rPr>
                <w:sz w:val="28"/>
                <w:szCs w:val="28"/>
              </w:rPr>
              <w:t>202 696,1</w:t>
            </w:r>
          </w:p>
        </w:tc>
        <w:tc>
          <w:tcPr>
            <w:tcW w:w="1843" w:type="dxa"/>
            <w:tcBorders>
              <w:top w:val="nil"/>
              <w:left w:val="nil"/>
              <w:bottom w:val="single" w:sz="8" w:space="0" w:color="auto"/>
              <w:right w:val="single" w:sz="8" w:space="0" w:color="auto"/>
            </w:tcBorders>
            <w:shd w:val="clear" w:color="auto" w:fill="auto"/>
            <w:vAlign w:val="center"/>
          </w:tcPr>
          <w:p w:rsidR="00E7317C" w:rsidRDefault="00E7317C" w:rsidP="00E7317C">
            <w:pPr>
              <w:ind w:firstLine="0"/>
              <w:jc w:val="center"/>
              <w:rPr>
                <w:sz w:val="28"/>
                <w:szCs w:val="28"/>
              </w:rPr>
            </w:pPr>
            <w:r>
              <w:rPr>
                <w:sz w:val="28"/>
                <w:szCs w:val="28"/>
              </w:rPr>
              <w:t>214 126,4</w:t>
            </w:r>
          </w:p>
        </w:tc>
      </w:tr>
      <w:tr w:rsidR="00E7317C" w:rsidTr="00E7317C">
        <w:tc>
          <w:tcPr>
            <w:tcW w:w="9918" w:type="dxa"/>
            <w:gridSpan w:val="4"/>
            <w:tcBorders>
              <w:top w:val="single" w:sz="4" w:space="0" w:color="auto"/>
              <w:left w:val="single" w:sz="4" w:space="0" w:color="auto"/>
              <w:bottom w:val="single" w:sz="4" w:space="0" w:color="auto"/>
              <w:right w:val="single" w:sz="8" w:space="0" w:color="auto"/>
            </w:tcBorders>
            <w:vAlign w:val="center"/>
          </w:tcPr>
          <w:p w:rsidR="00E7317C" w:rsidRDefault="00E7317C" w:rsidP="00E7317C">
            <w:pPr>
              <w:ind w:firstLine="0"/>
              <w:rPr>
                <w:sz w:val="28"/>
                <w:szCs w:val="28"/>
              </w:rPr>
            </w:pPr>
            <w:r>
              <w:rPr>
                <w:sz w:val="28"/>
                <w:szCs w:val="28"/>
              </w:rPr>
              <w:t>000 1 03 02220 01 0000 110 «Доходы от уплаты акцизов на этиловый спирт из непищевого сырья, производимый на территории Российской Федерации, направляемые в уполномоченный территориальный орган Федерального казначейства для распределения между бюджетами субъектов Российской Федерации (по нормативам, установленным федеральным законом о федеральном бюджете)»</w:t>
            </w:r>
          </w:p>
        </w:tc>
      </w:tr>
      <w:tr w:rsidR="00E7317C" w:rsidTr="00E7317C">
        <w:tc>
          <w:tcPr>
            <w:tcW w:w="4531" w:type="dxa"/>
            <w:tcBorders>
              <w:top w:val="single" w:sz="4" w:space="0" w:color="auto"/>
              <w:left w:val="single" w:sz="4" w:space="0" w:color="auto"/>
              <w:bottom w:val="single" w:sz="4" w:space="0" w:color="auto"/>
              <w:right w:val="single" w:sz="4" w:space="0" w:color="auto"/>
            </w:tcBorders>
            <w:vAlign w:val="center"/>
          </w:tcPr>
          <w:p w:rsidR="00E7317C" w:rsidRDefault="00E7317C" w:rsidP="00E7317C">
            <w:pPr>
              <w:autoSpaceDE w:val="0"/>
              <w:autoSpaceDN w:val="0"/>
              <w:adjustRightInd w:val="0"/>
              <w:jc w:val="center"/>
              <w:rPr>
                <w:sz w:val="28"/>
                <w:szCs w:val="28"/>
              </w:rPr>
            </w:pPr>
            <w:r>
              <w:rPr>
                <w:sz w:val="28"/>
                <w:szCs w:val="28"/>
              </w:rPr>
              <w:t>Все субъекты РФ (100%)</w:t>
            </w:r>
          </w:p>
        </w:tc>
        <w:tc>
          <w:tcPr>
            <w:tcW w:w="1701" w:type="dxa"/>
            <w:tcBorders>
              <w:top w:val="single" w:sz="4" w:space="0" w:color="auto"/>
              <w:left w:val="single" w:sz="4" w:space="0" w:color="auto"/>
              <w:bottom w:val="single" w:sz="4" w:space="0" w:color="auto"/>
              <w:right w:val="single" w:sz="4" w:space="0" w:color="auto"/>
            </w:tcBorders>
            <w:vAlign w:val="center"/>
          </w:tcPr>
          <w:p w:rsidR="00E7317C" w:rsidRPr="00F36311" w:rsidRDefault="00E7317C" w:rsidP="00E7317C">
            <w:pPr>
              <w:autoSpaceDE w:val="0"/>
              <w:autoSpaceDN w:val="0"/>
              <w:adjustRightInd w:val="0"/>
              <w:ind w:firstLine="0"/>
              <w:jc w:val="center"/>
              <w:rPr>
                <w:sz w:val="28"/>
                <w:szCs w:val="28"/>
              </w:rPr>
            </w:pPr>
            <w:r w:rsidRPr="00F36311">
              <w:rPr>
                <w:sz w:val="28"/>
                <w:szCs w:val="28"/>
              </w:rPr>
              <w:t>1 525 183,7</w:t>
            </w:r>
          </w:p>
        </w:tc>
        <w:tc>
          <w:tcPr>
            <w:tcW w:w="1843" w:type="dxa"/>
            <w:tcBorders>
              <w:top w:val="single" w:sz="4" w:space="0" w:color="auto"/>
              <w:left w:val="single" w:sz="4" w:space="0" w:color="auto"/>
              <w:bottom w:val="single" w:sz="4" w:space="0" w:color="auto"/>
              <w:right w:val="single" w:sz="4" w:space="0" w:color="auto"/>
            </w:tcBorders>
            <w:vAlign w:val="center"/>
          </w:tcPr>
          <w:p w:rsidR="00E7317C" w:rsidRPr="00F36311" w:rsidRDefault="00E7317C" w:rsidP="00E7317C">
            <w:pPr>
              <w:autoSpaceDE w:val="0"/>
              <w:autoSpaceDN w:val="0"/>
              <w:adjustRightInd w:val="0"/>
              <w:ind w:firstLine="0"/>
              <w:jc w:val="center"/>
              <w:rPr>
                <w:sz w:val="28"/>
                <w:szCs w:val="28"/>
              </w:rPr>
            </w:pPr>
            <w:r w:rsidRPr="00F36311">
              <w:rPr>
                <w:sz w:val="28"/>
                <w:szCs w:val="28"/>
              </w:rPr>
              <w:t>1 611 129,8</w:t>
            </w:r>
          </w:p>
        </w:tc>
        <w:tc>
          <w:tcPr>
            <w:tcW w:w="1843" w:type="dxa"/>
            <w:tcBorders>
              <w:top w:val="single" w:sz="4" w:space="0" w:color="auto"/>
              <w:left w:val="single" w:sz="4" w:space="0" w:color="auto"/>
              <w:bottom w:val="single" w:sz="4" w:space="0" w:color="auto"/>
              <w:right w:val="single" w:sz="4" w:space="0" w:color="auto"/>
            </w:tcBorders>
            <w:vAlign w:val="center"/>
          </w:tcPr>
          <w:p w:rsidR="00E7317C" w:rsidRPr="00F36311" w:rsidRDefault="00E7317C" w:rsidP="00E7317C">
            <w:pPr>
              <w:autoSpaceDE w:val="0"/>
              <w:autoSpaceDN w:val="0"/>
              <w:adjustRightInd w:val="0"/>
              <w:ind w:firstLine="0"/>
              <w:jc w:val="center"/>
              <w:rPr>
                <w:sz w:val="28"/>
                <w:szCs w:val="28"/>
              </w:rPr>
            </w:pPr>
            <w:r w:rsidRPr="00F36311">
              <w:rPr>
                <w:sz w:val="28"/>
                <w:szCs w:val="28"/>
              </w:rPr>
              <w:t>1 701 985,5</w:t>
            </w:r>
          </w:p>
        </w:tc>
      </w:tr>
      <w:tr w:rsidR="00E7317C" w:rsidTr="00E7317C">
        <w:tc>
          <w:tcPr>
            <w:tcW w:w="9918" w:type="dxa"/>
            <w:gridSpan w:val="4"/>
            <w:tcBorders>
              <w:top w:val="single" w:sz="4" w:space="0" w:color="auto"/>
              <w:left w:val="single" w:sz="4" w:space="0" w:color="auto"/>
              <w:bottom w:val="single" w:sz="4" w:space="0" w:color="auto"/>
              <w:right w:val="single" w:sz="4" w:space="0" w:color="auto"/>
            </w:tcBorders>
            <w:vAlign w:val="center"/>
          </w:tcPr>
          <w:p w:rsidR="00E7317C" w:rsidRDefault="00E7317C" w:rsidP="00E7317C">
            <w:pPr>
              <w:ind w:firstLine="0"/>
              <w:rPr>
                <w:sz w:val="28"/>
                <w:szCs w:val="28"/>
              </w:rPr>
            </w:pPr>
            <w:r>
              <w:rPr>
                <w:sz w:val="28"/>
                <w:szCs w:val="28"/>
              </w:rPr>
              <w:t>000 1 03 02190 01 0000 110 «Доходы от уплаты акцизов на этиловый спирт из пищевого сырья (за исключением дистиллятов винного, виноградного, плодового, коньячного, кальвадосного, вискового), производимый на территории Российской Федерации, направляемые в уполномоченный территориальный орган Федерального казначейства для распределения между бюджетами субъектов Российской Федерации (по нормативам, установленным федеральным законом о федеральном бюджете)»</w:t>
            </w:r>
          </w:p>
        </w:tc>
      </w:tr>
      <w:tr w:rsidR="00E7317C" w:rsidTr="00E7317C">
        <w:tc>
          <w:tcPr>
            <w:tcW w:w="4531" w:type="dxa"/>
            <w:tcBorders>
              <w:top w:val="single" w:sz="4" w:space="0" w:color="auto"/>
              <w:left w:val="single" w:sz="4" w:space="0" w:color="auto"/>
              <w:bottom w:val="single" w:sz="4" w:space="0" w:color="auto"/>
              <w:right w:val="single" w:sz="4" w:space="0" w:color="auto"/>
            </w:tcBorders>
            <w:vAlign w:val="center"/>
          </w:tcPr>
          <w:p w:rsidR="00E7317C" w:rsidRPr="00CD172E" w:rsidRDefault="00E7317C" w:rsidP="00E7317C">
            <w:pPr>
              <w:autoSpaceDE w:val="0"/>
              <w:autoSpaceDN w:val="0"/>
              <w:adjustRightInd w:val="0"/>
              <w:rPr>
                <w:b/>
                <w:sz w:val="28"/>
                <w:szCs w:val="28"/>
              </w:rPr>
            </w:pPr>
            <w:r w:rsidRPr="00CD172E">
              <w:rPr>
                <w:b/>
                <w:sz w:val="28"/>
                <w:szCs w:val="28"/>
              </w:rPr>
              <w:t>Тверская область (50% централизация и норматив распределения 0,2147%)</w:t>
            </w:r>
          </w:p>
        </w:tc>
        <w:tc>
          <w:tcPr>
            <w:tcW w:w="1701" w:type="dxa"/>
            <w:tcBorders>
              <w:top w:val="single" w:sz="4" w:space="0" w:color="auto"/>
              <w:left w:val="single" w:sz="4" w:space="0" w:color="auto"/>
              <w:bottom w:val="single" w:sz="4" w:space="0" w:color="auto"/>
              <w:right w:val="single" w:sz="4" w:space="0" w:color="auto"/>
            </w:tcBorders>
            <w:vAlign w:val="center"/>
          </w:tcPr>
          <w:p w:rsidR="00E7317C" w:rsidRPr="00CD172E" w:rsidRDefault="00E7317C" w:rsidP="00E7317C">
            <w:pPr>
              <w:ind w:firstLine="19"/>
              <w:jc w:val="center"/>
              <w:rPr>
                <w:b/>
                <w:sz w:val="28"/>
                <w:szCs w:val="28"/>
              </w:rPr>
            </w:pPr>
            <w:r w:rsidRPr="00CD172E">
              <w:rPr>
                <w:b/>
                <w:sz w:val="28"/>
                <w:szCs w:val="28"/>
              </w:rPr>
              <w:t>2 541,1</w:t>
            </w:r>
          </w:p>
        </w:tc>
        <w:tc>
          <w:tcPr>
            <w:tcW w:w="1843" w:type="dxa"/>
            <w:tcBorders>
              <w:top w:val="single" w:sz="4" w:space="0" w:color="auto"/>
              <w:left w:val="single" w:sz="4" w:space="0" w:color="auto"/>
              <w:bottom w:val="single" w:sz="4" w:space="0" w:color="auto"/>
              <w:right w:val="single" w:sz="4" w:space="0" w:color="auto"/>
            </w:tcBorders>
            <w:vAlign w:val="center"/>
          </w:tcPr>
          <w:p w:rsidR="00E7317C" w:rsidRPr="00CD172E" w:rsidRDefault="00E7317C" w:rsidP="00E7317C">
            <w:pPr>
              <w:ind w:firstLine="27"/>
              <w:jc w:val="center"/>
              <w:rPr>
                <w:b/>
                <w:sz w:val="28"/>
                <w:szCs w:val="28"/>
              </w:rPr>
            </w:pPr>
            <w:r w:rsidRPr="00CD172E">
              <w:rPr>
                <w:b/>
                <w:sz w:val="28"/>
                <w:szCs w:val="28"/>
              </w:rPr>
              <w:t>2 684,3</w:t>
            </w:r>
          </w:p>
        </w:tc>
        <w:tc>
          <w:tcPr>
            <w:tcW w:w="1843" w:type="dxa"/>
            <w:tcBorders>
              <w:top w:val="single" w:sz="4" w:space="0" w:color="auto"/>
              <w:left w:val="single" w:sz="4" w:space="0" w:color="auto"/>
              <w:bottom w:val="single" w:sz="4" w:space="0" w:color="auto"/>
              <w:right w:val="single" w:sz="4" w:space="0" w:color="auto"/>
            </w:tcBorders>
            <w:vAlign w:val="center"/>
          </w:tcPr>
          <w:p w:rsidR="00E7317C" w:rsidRPr="00CD172E" w:rsidRDefault="00E7317C" w:rsidP="00E7317C">
            <w:pPr>
              <w:ind w:firstLine="0"/>
              <w:jc w:val="center"/>
              <w:rPr>
                <w:b/>
                <w:sz w:val="28"/>
                <w:szCs w:val="28"/>
              </w:rPr>
            </w:pPr>
            <w:r w:rsidRPr="00CD172E">
              <w:rPr>
                <w:b/>
                <w:sz w:val="28"/>
                <w:szCs w:val="28"/>
              </w:rPr>
              <w:t>2 835,7</w:t>
            </w:r>
          </w:p>
        </w:tc>
      </w:tr>
      <w:tr w:rsidR="00E7317C" w:rsidTr="00E7317C">
        <w:tc>
          <w:tcPr>
            <w:tcW w:w="9918" w:type="dxa"/>
            <w:gridSpan w:val="4"/>
            <w:tcBorders>
              <w:top w:val="single" w:sz="4" w:space="0" w:color="auto"/>
              <w:left w:val="single" w:sz="4" w:space="0" w:color="auto"/>
              <w:bottom w:val="single" w:sz="4" w:space="0" w:color="auto"/>
              <w:right w:val="single" w:sz="4" w:space="0" w:color="auto"/>
            </w:tcBorders>
            <w:vAlign w:val="center"/>
          </w:tcPr>
          <w:p w:rsidR="00E7317C" w:rsidRPr="0086037F" w:rsidRDefault="00E7317C" w:rsidP="00E7317C">
            <w:pPr>
              <w:autoSpaceDE w:val="0"/>
              <w:autoSpaceDN w:val="0"/>
              <w:adjustRightInd w:val="0"/>
              <w:ind w:firstLine="0"/>
              <w:rPr>
                <w:b/>
                <w:sz w:val="28"/>
                <w:szCs w:val="28"/>
              </w:rPr>
            </w:pPr>
            <w:r>
              <w:rPr>
                <w:sz w:val="28"/>
                <w:szCs w:val="28"/>
              </w:rPr>
              <w:t>000 1 03 02200 01 0000 110 «Доходы от уплаты акцизов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 направляемые в уполномоченный территориальный орган Федерального казначейства для распределения между бюджетами субъектов Российской Федерации (по нормативам, установленным федеральным законом о федеральном бюджете)</w:t>
            </w:r>
          </w:p>
        </w:tc>
      </w:tr>
      <w:tr w:rsidR="00E7317C" w:rsidTr="00E7317C">
        <w:tc>
          <w:tcPr>
            <w:tcW w:w="4531" w:type="dxa"/>
            <w:tcBorders>
              <w:top w:val="single" w:sz="4" w:space="0" w:color="auto"/>
              <w:left w:val="single" w:sz="4" w:space="0" w:color="auto"/>
              <w:bottom w:val="single" w:sz="4" w:space="0" w:color="auto"/>
              <w:right w:val="single" w:sz="4" w:space="0" w:color="auto"/>
            </w:tcBorders>
            <w:vAlign w:val="center"/>
          </w:tcPr>
          <w:p w:rsidR="00E7317C" w:rsidRPr="00CD172E" w:rsidRDefault="00E7317C" w:rsidP="00E7317C">
            <w:pPr>
              <w:autoSpaceDE w:val="0"/>
              <w:autoSpaceDN w:val="0"/>
              <w:adjustRightInd w:val="0"/>
              <w:rPr>
                <w:b/>
                <w:sz w:val="28"/>
                <w:szCs w:val="28"/>
              </w:rPr>
            </w:pPr>
            <w:r w:rsidRPr="00CD172E">
              <w:rPr>
                <w:b/>
                <w:sz w:val="28"/>
                <w:szCs w:val="28"/>
              </w:rPr>
              <w:t>Тверская область (50% централизация и норматив распределения 0,2147%)</w:t>
            </w:r>
          </w:p>
        </w:tc>
        <w:tc>
          <w:tcPr>
            <w:tcW w:w="1701" w:type="dxa"/>
            <w:tcBorders>
              <w:top w:val="single" w:sz="4" w:space="0" w:color="auto"/>
              <w:left w:val="single" w:sz="4" w:space="0" w:color="auto"/>
              <w:bottom w:val="single" w:sz="4" w:space="0" w:color="auto"/>
              <w:right w:val="single" w:sz="4" w:space="0" w:color="auto"/>
            </w:tcBorders>
            <w:vAlign w:val="center"/>
          </w:tcPr>
          <w:p w:rsidR="00E7317C" w:rsidRPr="00CD172E" w:rsidRDefault="00E7317C" w:rsidP="00E7317C">
            <w:pPr>
              <w:ind w:firstLine="19"/>
              <w:jc w:val="center"/>
              <w:rPr>
                <w:b/>
                <w:sz w:val="28"/>
                <w:szCs w:val="28"/>
              </w:rPr>
            </w:pPr>
            <w:r w:rsidRPr="00CD172E">
              <w:rPr>
                <w:b/>
                <w:sz w:val="28"/>
                <w:szCs w:val="28"/>
              </w:rPr>
              <w:t>18,2</w:t>
            </w:r>
          </w:p>
        </w:tc>
        <w:tc>
          <w:tcPr>
            <w:tcW w:w="1843" w:type="dxa"/>
            <w:tcBorders>
              <w:top w:val="single" w:sz="4" w:space="0" w:color="auto"/>
              <w:left w:val="single" w:sz="4" w:space="0" w:color="auto"/>
              <w:bottom w:val="single" w:sz="4" w:space="0" w:color="auto"/>
              <w:right w:val="single" w:sz="4" w:space="0" w:color="auto"/>
            </w:tcBorders>
            <w:vAlign w:val="center"/>
          </w:tcPr>
          <w:p w:rsidR="00E7317C" w:rsidRPr="00CD172E" w:rsidRDefault="00E7317C" w:rsidP="00E7317C">
            <w:pPr>
              <w:ind w:firstLine="27"/>
              <w:jc w:val="center"/>
              <w:rPr>
                <w:b/>
                <w:sz w:val="28"/>
                <w:szCs w:val="28"/>
              </w:rPr>
            </w:pPr>
            <w:r w:rsidRPr="00CD172E">
              <w:rPr>
                <w:b/>
                <w:sz w:val="28"/>
                <w:szCs w:val="28"/>
              </w:rPr>
              <w:t>19,0</w:t>
            </w:r>
          </w:p>
        </w:tc>
        <w:tc>
          <w:tcPr>
            <w:tcW w:w="1843" w:type="dxa"/>
            <w:tcBorders>
              <w:top w:val="single" w:sz="4" w:space="0" w:color="auto"/>
              <w:left w:val="single" w:sz="4" w:space="0" w:color="auto"/>
              <w:bottom w:val="single" w:sz="4" w:space="0" w:color="auto"/>
              <w:right w:val="single" w:sz="4" w:space="0" w:color="auto"/>
            </w:tcBorders>
            <w:vAlign w:val="center"/>
          </w:tcPr>
          <w:p w:rsidR="00E7317C" w:rsidRPr="00CD172E" w:rsidRDefault="00E7317C" w:rsidP="00E7317C">
            <w:pPr>
              <w:ind w:firstLine="0"/>
              <w:jc w:val="center"/>
              <w:rPr>
                <w:b/>
                <w:sz w:val="28"/>
                <w:szCs w:val="28"/>
              </w:rPr>
            </w:pPr>
            <w:r w:rsidRPr="00CD172E">
              <w:rPr>
                <w:b/>
                <w:sz w:val="28"/>
                <w:szCs w:val="28"/>
              </w:rPr>
              <w:t>19,7</w:t>
            </w:r>
          </w:p>
        </w:tc>
      </w:tr>
      <w:tr w:rsidR="00E7317C" w:rsidTr="00E7317C">
        <w:tc>
          <w:tcPr>
            <w:tcW w:w="9918" w:type="dxa"/>
            <w:gridSpan w:val="4"/>
            <w:tcBorders>
              <w:top w:val="single" w:sz="4" w:space="0" w:color="auto"/>
              <w:left w:val="single" w:sz="4" w:space="0" w:color="auto"/>
              <w:bottom w:val="single" w:sz="4" w:space="0" w:color="auto"/>
              <w:right w:val="single" w:sz="4" w:space="0" w:color="auto"/>
            </w:tcBorders>
            <w:vAlign w:val="center"/>
          </w:tcPr>
          <w:p w:rsidR="00E7317C" w:rsidRPr="0086037F" w:rsidRDefault="00E7317C" w:rsidP="00E7317C">
            <w:pPr>
              <w:autoSpaceDE w:val="0"/>
              <w:autoSpaceDN w:val="0"/>
              <w:adjustRightInd w:val="0"/>
              <w:ind w:firstLine="0"/>
              <w:rPr>
                <w:b/>
                <w:sz w:val="28"/>
                <w:szCs w:val="28"/>
              </w:rPr>
            </w:pPr>
            <w:r>
              <w:rPr>
                <w:sz w:val="28"/>
                <w:szCs w:val="28"/>
              </w:rPr>
              <w:t>000 1 03 02210 01 0000 110 «Доходы от уплаты акцизов на спиртосодержащую продукцию, производимую на территории Российской Федерации, направляемые в уполномоченный территориальный орган Федерального казначейства для распределения между бюджетами субъектов Российской Федерации (по нормативам, установленным федеральным законом о федеральном бюджете)»</w:t>
            </w:r>
          </w:p>
        </w:tc>
      </w:tr>
      <w:tr w:rsidR="00E7317C" w:rsidTr="00E7317C">
        <w:tc>
          <w:tcPr>
            <w:tcW w:w="4531" w:type="dxa"/>
            <w:tcBorders>
              <w:top w:val="single" w:sz="4" w:space="0" w:color="auto"/>
              <w:left w:val="single" w:sz="4" w:space="0" w:color="auto"/>
              <w:bottom w:val="single" w:sz="4" w:space="0" w:color="auto"/>
              <w:right w:val="single" w:sz="4" w:space="0" w:color="auto"/>
            </w:tcBorders>
            <w:vAlign w:val="center"/>
          </w:tcPr>
          <w:p w:rsidR="00E7317C" w:rsidRPr="00CD172E" w:rsidRDefault="00E7317C" w:rsidP="00E7317C">
            <w:pPr>
              <w:autoSpaceDE w:val="0"/>
              <w:autoSpaceDN w:val="0"/>
              <w:adjustRightInd w:val="0"/>
              <w:rPr>
                <w:b/>
                <w:sz w:val="28"/>
                <w:szCs w:val="28"/>
              </w:rPr>
            </w:pPr>
            <w:r w:rsidRPr="00CD172E">
              <w:rPr>
                <w:b/>
                <w:sz w:val="28"/>
                <w:szCs w:val="28"/>
              </w:rPr>
              <w:t>Тверская область (50% централизация и норматив распределения 0,2147%)</w:t>
            </w:r>
          </w:p>
        </w:tc>
        <w:tc>
          <w:tcPr>
            <w:tcW w:w="1701" w:type="dxa"/>
            <w:tcBorders>
              <w:top w:val="single" w:sz="4" w:space="0" w:color="auto"/>
              <w:left w:val="single" w:sz="4" w:space="0" w:color="auto"/>
              <w:bottom w:val="single" w:sz="4" w:space="0" w:color="auto"/>
              <w:right w:val="single" w:sz="4" w:space="0" w:color="auto"/>
            </w:tcBorders>
            <w:vAlign w:val="center"/>
          </w:tcPr>
          <w:p w:rsidR="00E7317C" w:rsidRPr="00CD172E" w:rsidRDefault="00E7317C" w:rsidP="00E7317C">
            <w:pPr>
              <w:ind w:firstLine="0"/>
              <w:jc w:val="center"/>
              <w:rPr>
                <w:b/>
                <w:sz w:val="28"/>
                <w:szCs w:val="28"/>
              </w:rPr>
            </w:pPr>
            <w:r w:rsidRPr="00CD172E">
              <w:rPr>
                <w:b/>
                <w:sz w:val="28"/>
                <w:szCs w:val="28"/>
              </w:rPr>
              <w:t>206,0</w:t>
            </w:r>
          </w:p>
        </w:tc>
        <w:tc>
          <w:tcPr>
            <w:tcW w:w="1843" w:type="dxa"/>
            <w:tcBorders>
              <w:top w:val="single" w:sz="4" w:space="0" w:color="auto"/>
              <w:left w:val="single" w:sz="4" w:space="0" w:color="auto"/>
              <w:bottom w:val="single" w:sz="4" w:space="0" w:color="auto"/>
              <w:right w:val="single" w:sz="4" w:space="0" w:color="auto"/>
            </w:tcBorders>
            <w:vAlign w:val="center"/>
          </w:tcPr>
          <w:p w:rsidR="00E7317C" w:rsidRPr="00CD172E" w:rsidRDefault="00E7317C" w:rsidP="00E7317C">
            <w:pPr>
              <w:ind w:firstLine="0"/>
              <w:jc w:val="center"/>
              <w:rPr>
                <w:b/>
                <w:sz w:val="28"/>
                <w:szCs w:val="28"/>
              </w:rPr>
            </w:pPr>
            <w:r>
              <w:rPr>
                <w:b/>
                <w:sz w:val="28"/>
                <w:szCs w:val="28"/>
              </w:rPr>
              <w:t>217,6</w:t>
            </w:r>
          </w:p>
        </w:tc>
        <w:tc>
          <w:tcPr>
            <w:tcW w:w="1843" w:type="dxa"/>
            <w:tcBorders>
              <w:top w:val="single" w:sz="4" w:space="0" w:color="auto"/>
              <w:left w:val="single" w:sz="4" w:space="0" w:color="auto"/>
              <w:bottom w:val="single" w:sz="4" w:space="0" w:color="auto"/>
              <w:right w:val="single" w:sz="4" w:space="0" w:color="auto"/>
            </w:tcBorders>
            <w:vAlign w:val="center"/>
          </w:tcPr>
          <w:p w:rsidR="00E7317C" w:rsidRPr="00CD172E" w:rsidRDefault="00E7317C" w:rsidP="00E7317C">
            <w:pPr>
              <w:ind w:firstLine="0"/>
              <w:jc w:val="center"/>
              <w:rPr>
                <w:b/>
                <w:sz w:val="28"/>
                <w:szCs w:val="28"/>
              </w:rPr>
            </w:pPr>
            <w:r>
              <w:rPr>
                <w:b/>
                <w:sz w:val="28"/>
                <w:szCs w:val="28"/>
              </w:rPr>
              <w:t>229,9</w:t>
            </w:r>
          </w:p>
        </w:tc>
      </w:tr>
      <w:tr w:rsidR="00E7317C" w:rsidTr="00E7317C">
        <w:tc>
          <w:tcPr>
            <w:tcW w:w="9918" w:type="dxa"/>
            <w:gridSpan w:val="4"/>
            <w:tcBorders>
              <w:top w:val="single" w:sz="4" w:space="0" w:color="auto"/>
              <w:left w:val="single" w:sz="4" w:space="0" w:color="auto"/>
              <w:bottom w:val="single" w:sz="4" w:space="0" w:color="auto"/>
              <w:right w:val="single" w:sz="4" w:space="0" w:color="auto"/>
            </w:tcBorders>
            <w:vAlign w:val="center"/>
          </w:tcPr>
          <w:p w:rsidR="00E7317C" w:rsidRDefault="00E7317C" w:rsidP="00E7317C">
            <w:pPr>
              <w:ind w:firstLine="0"/>
              <w:rPr>
                <w:sz w:val="28"/>
                <w:szCs w:val="28"/>
              </w:rPr>
            </w:pPr>
            <w:r>
              <w:rPr>
                <w:sz w:val="28"/>
                <w:szCs w:val="28"/>
              </w:rPr>
              <w:t>000 1 03 02220 01 0000 110 «Доходы от уплаты акцизов на этиловый спирт из непищевого сырья, производимый на территории Российской Федерации, направляемые в уполномоченный территориальный орган Федерального казначейства для распределения между бюджетами субъектов Российской Федерации (по нормативам, установленным федеральным законом о федеральном бюджете)»</w:t>
            </w:r>
          </w:p>
        </w:tc>
      </w:tr>
      <w:tr w:rsidR="00E7317C" w:rsidTr="00E7317C">
        <w:tc>
          <w:tcPr>
            <w:tcW w:w="4531" w:type="dxa"/>
            <w:tcBorders>
              <w:top w:val="single" w:sz="4" w:space="0" w:color="auto"/>
              <w:left w:val="single" w:sz="4" w:space="0" w:color="auto"/>
              <w:bottom w:val="single" w:sz="4" w:space="0" w:color="auto"/>
              <w:right w:val="single" w:sz="4" w:space="0" w:color="auto"/>
            </w:tcBorders>
            <w:vAlign w:val="center"/>
          </w:tcPr>
          <w:p w:rsidR="00E7317C" w:rsidRDefault="00E7317C" w:rsidP="00E7317C">
            <w:pPr>
              <w:autoSpaceDE w:val="0"/>
              <w:autoSpaceDN w:val="0"/>
              <w:adjustRightInd w:val="0"/>
              <w:rPr>
                <w:sz w:val="28"/>
                <w:szCs w:val="28"/>
              </w:rPr>
            </w:pPr>
            <w:r w:rsidRPr="00CD172E">
              <w:rPr>
                <w:b/>
                <w:sz w:val="28"/>
                <w:szCs w:val="28"/>
              </w:rPr>
              <w:lastRenderedPageBreak/>
              <w:t>Тверская область (50% централизация и норматив распределения 0,2147%)</w:t>
            </w:r>
          </w:p>
        </w:tc>
        <w:tc>
          <w:tcPr>
            <w:tcW w:w="1701" w:type="dxa"/>
            <w:tcBorders>
              <w:top w:val="single" w:sz="4" w:space="0" w:color="auto"/>
              <w:left w:val="single" w:sz="4" w:space="0" w:color="auto"/>
              <w:bottom w:val="single" w:sz="4" w:space="0" w:color="auto"/>
              <w:right w:val="single" w:sz="4" w:space="0" w:color="auto"/>
            </w:tcBorders>
            <w:vAlign w:val="center"/>
          </w:tcPr>
          <w:p w:rsidR="00E7317C" w:rsidRPr="00D27185" w:rsidRDefault="00E7317C" w:rsidP="00E7317C">
            <w:pPr>
              <w:autoSpaceDE w:val="0"/>
              <w:autoSpaceDN w:val="0"/>
              <w:adjustRightInd w:val="0"/>
              <w:ind w:firstLine="0"/>
              <w:jc w:val="center"/>
              <w:rPr>
                <w:b/>
                <w:sz w:val="28"/>
                <w:szCs w:val="28"/>
              </w:rPr>
            </w:pPr>
            <w:r w:rsidRPr="00D27185">
              <w:rPr>
                <w:b/>
                <w:sz w:val="28"/>
                <w:szCs w:val="28"/>
              </w:rPr>
              <w:t>1 637,3</w:t>
            </w:r>
          </w:p>
        </w:tc>
        <w:tc>
          <w:tcPr>
            <w:tcW w:w="1843" w:type="dxa"/>
            <w:tcBorders>
              <w:top w:val="single" w:sz="4" w:space="0" w:color="auto"/>
              <w:left w:val="single" w:sz="4" w:space="0" w:color="auto"/>
              <w:bottom w:val="single" w:sz="4" w:space="0" w:color="auto"/>
              <w:right w:val="single" w:sz="4" w:space="0" w:color="auto"/>
            </w:tcBorders>
            <w:vAlign w:val="center"/>
          </w:tcPr>
          <w:p w:rsidR="00E7317C" w:rsidRPr="00D27185" w:rsidRDefault="00E7317C" w:rsidP="00E7317C">
            <w:pPr>
              <w:autoSpaceDE w:val="0"/>
              <w:autoSpaceDN w:val="0"/>
              <w:adjustRightInd w:val="0"/>
              <w:ind w:firstLine="0"/>
              <w:jc w:val="center"/>
              <w:rPr>
                <w:b/>
                <w:sz w:val="28"/>
                <w:szCs w:val="28"/>
              </w:rPr>
            </w:pPr>
            <w:r w:rsidRPr="00D27185">
              <w:rPr>
                <w:b/>
                <w:sz w:val="28"/>
                <w:szCs w:val="28"/>
              </w:rPr>
              <w:t>1 729,5</w:t>
            </w:r>
          </w:p>
        </w:tc>
        <w:tc>
          <w:tcPr>
            <w:tcW w:w="1843" w:type="dxa"/>
            <w:tcBorders>
              <w:top w:val="single" w:sz="4" w:space="0" w:color="auto"/>
              <w:left w:val="single" w:sz="4" w:space="0" w:color="auto"/>
              <w:bottom w:val="single" w:sz="4" w:space="0" w:color="auto"/>
              <w:right w:val="single" w:sz="4" w:space="0" w:color="auto"/>
            </w:tcBorders>
            <w:vAlign w:val="center"/>
          </w:tcPr>
          <w:p w:rsidR="00E7317C" w:rsidRPr="00D27185" w:rsidRDefault="00E7317C" w:rsidP="00E7317C">
            <w:pPr>
              <w:autoSpaceDE w:val="0"/>
              <w:autoSpaceDN w:val="0"/>
              <w:adjustRightInd w:val="0"/>
              <w:ind w:firstLine="0"/>
              <w:jc w:val="center"/>
              <w:rPr>
                <w:b/>
                <w:sz w:val="28"/>
                <w:szCs w:val="28"/>
              </w:rPr>
            </w:pPr>
            <w:r w:rsidRPr="00D27185">
              <w:rPr>
                <w:b/>
                <w:sz w:val="28"/>
                <w:szCs w:val="28"/>
              </w:rPr>
              <w:t>1 827,1</w:t>
            </w:r>
          </w:p>
        </w:tc>
      </w:tr>
      <w:tr w:rsidR="00E7317C" w:rsidTr="00E7317C">
        <w:tc>
          <w:tcPr>
            <w:tcW w:w="4531" w:type="dxa"/>
            <w:tcBorders>
              <w:top w:val="single" w:sz="4" w:space="0" w:color="auto"/>
              <w:left w:val="single" w:sz="4" w:space="0" w:color="auto"/>
              <w:bottom w:val="single" w:sz="4" w:space="0" w:color="auto"/>
              <w:right w:val="single" w:sz="4" w:space="0" w:color="auto"/>
            </w:tcBorders>
            <w:vAlign w:val="center"/>
          </w:tcPr>
          <w:p w:rsidR="00E7317C" w:rsidRPr="00CD172E" w:rsidRDefault="00E7317C" w:rsidP="00E7317C">
            <w:pPr>
              <w:autoSpaceDE w:val="0"/>
              <w:autoSpaceDN w:val="0"/>
              <w:adjustRightInd w:val="0"/>
              <w:rPr>
                <w:b/>
                <w:sz w:val="28"/>
                <w:szCs w:val="28"/>
              </w:rPr>
            </w:pPr>
            <w:r>
              <w:rPr>
                <w:b/>
                <w:sz w:val="28"/>
                <w:szCs w:val="28"/>
              </w:rPr>
              <w:t>ИТОГО Тверская область</w:t>
            </w:r>
          </w:p>
        </w:tc>
        <w:tc>
          <w:tcPr>
            <w:tcW w:w="1701" w:type="dxa"/>
            <w:tcBorders>
              <w:top w:val="single" w:sz="4" w:space="0" w:color="auto"/>
              <w:left w:val="single" w:sz="4" w:space="0" w:color="auto"/>
              <w:bottom w:val="single" w:sz="4" w:space="0" w:color="auto"/>
              <w:right w:val="single" w:sz="4" w:space="0" w:color="auto"/>
            </w:tcBorders>
            <w:vAlign w:val="center"/>
          </w:tcPr>
          <w:p w:rsidR="00E7317C" w:rsidRPr="00D27185" w:rsidRDefault="00E7317C" w:rsidP="00E7317C">
            <w:pPr>
              <w:autoSpaceDE w:val="0"/>
              <w:autoSpaceDN w:val="0"/>
              <w:adjustRightInd w:val="0"/>
              <w:ind w:firstLine="0"/>
              <w:jc w:val="center"/>
              <w:rPr>
                <w:b/>
                <w:sz w:val="28"/>
                <w:szCs w:val="28"/>
              </w:rPr>
            </w:pPr>
            <w:r>
              <w:rPr>
                <w:b/>
                <w:sz w:val="28"/>
                <w:szCs w:val="28"/>
              </w:rPr>
              <w:t>4 402,6</w:t>
            </w:r>
          </w:p>
        </w:tc>
        <w:tc>
          <w:tcPr>
            <w:tcW w:w="1843" w:type="dxa"/>
            <w:tcBorders>
              <w:top w:val="single" w:sz="4" w:space="0" w:color="auto"/>
              <w:left w:val="single" w:sz="4" w:space="0" w:color="auto"/>
              <w:bottom w:val="single" w:sz="4" w:space="0" w:color="auto"/>
              <w:right w:val="single" w:sz="4" w:space="0" w:color="auto"/>
            </w:tcBorders>
            <w:vAlign w:val="center"/>
          </w:tcPr>
          <w:p w:rsidR="00E7317C" w:rsidRPr="00D27185" w:rsidRDefault="00E7317C" w:rsidP="00E7317C">
            <w:pPr>
              <w:autoSpaceDE w:val="0"/>
              <w:autoSpaceDN w:val="0"/>
              <w:adjustRightInd w:val="0"/>
              <w:ind w:firstLine="0"/>
              <w:jc w:val="center"/>
              <w:rPr>
                <w:b/>
                <w:sz w:val="28"/>
                <w:szCs w:val="28"/>
              </w:rPr>
            </w:pPr>
            <w:r>
              <w:rPr>
                <w:b/>
                <w:sz w:val="28"/>
                <w:szCs w:val="28"/>
              </w:rPr>
              <w:t>4 650,4</w:t>
            </w:r>
          </w:p>
        </w:tc>
        <w:tc>
          <w:tcPr>
            <w:tcW w:w="1843" w:type="dxa"/>
            <w:tcBorders>
              <w:top w:val="single" w:sz="4" w:space="0" w:color="auto"/>
              <w:left w:val="single" w:sz="4" w:space="0" w:color="auto"/>
              <w:bottom w:val="single" w:sz="4" w:space="0" w:color="auto"/>
              <w:right w:val="single" w:sz="4" w:space="0" w:color="auto"/>
            </w:tcBorders>
            <w:vAlign w:val="center"/>
          </w:tcPr>
          <w:p w:rsidR="00E7317C" w:rsidRPr="00D27185" w:rsidRDefault="00E7317C" w:rsidP="00E7317C">
            <w:pPr>
              <w:autoSpaceDE w:val="0"/>
              <w:autoSpaceDN w:val="0"/>
              <w:adjustRightInd w:val="0"/>
              <w:ind w:firstLine="0"/>
              <w:jc w:val="center"/>
              <w:rPr>
                <w:b/>
                <w:sz w:val="28"/>
                <w:szCs w:val="28"/>
              </w:rPr>
            </w:pPr>
            <w:r>
              <w:rPr>
                <w:b/>
                <w:sz w:val="28"/>
                <w:szCs w:val="28"/>
              </w:rPr>
              <w:t>4 912,4</w:t>
            </w:r>
          </w:p>
        </w:tc>
      </w:tr>
    </w:tbl>
    <w:p w:rsidR="00E7317C" w:rsidRDefault="00E7317C" w:rsidP="00E7317C">
      <w:pPr>
        <w:ind w:firstLine="709"/>
        <w:jc w:val="center"/>
        <w:rPr>
          <w:b/>
          <w:sz w:val="28"/>
          <w:szCs w:val="28"/>
        </w:rPr>
      </w:pPr>
    </w:p>
    <w:p w:rsidR="00E7317C" w:rsidRDefault="00E7317C" w:rsidP="00E7317C">
      <w:pPr>
        <w:ind w:firstLine="709"/>
        <w:jc w:val="center"/>
        <w:rPr>
          <w:b/>
          <w:sz w:val="28"/>
          <w:szCs w:val="28"/>
        </w:rPr>
      </w:pPr>
    </w:p>
    <w:p w:rsidR="00E7317C" w:rsidRPr="00070C4A" w:rsidRDefault="00E7317C" w:rsidP="00E7317C">
      <w:pPr>
        <w:ind w:firstLine="709"/>
        <w:jc w:val="center"/>
        <w:rPr>
          <w:b/>
          <w:sz w:val="28"/>
          <w:szCs w:val="28"/>
        </w:rPr>
      </w:pPr>
      <w:r w:rsidRPr="00070C4A">
        <w:rPr>
          <w:b/>
          <w:sz w:val="28"/>
          <w:szCs w:val="28"/>
        </w:rPr>
        <w:t>Расчет прогноза на 20</w:t>
      </w:r>
      <w:r>
        <w:rPr>
          <w:b/>
          <w:sz w:val="28"/>
          <w:szCs w:val="28"/>
        </w:rPr>
        <w:t>22</w:t>
      </w:r>
      <w:r w:rsidRPr="00070C4A">
        <w:rPr>
          <w:b/>
          <w:sz w:val="28"/>
          <w:szCs w:val="28"/>
        </w:rPr>
        <w:t xml:space="preserve"> год и</w:t>
      </w:r>
      <w:r w:rsidRPr="00856B7F">
        <w:rPr>
          <w:b/>
          <w:sz w:val="28"/>
          <w:szCs w:val="28"/>
        </w:rPr>
        <w:t xml:space="preserve"> </w:t>
      </w:r>
      <w:r>
        <w:rPr>
          <w:b/>
          <w:sz w:val="28"/>
          <w:szCs w:val="28"/>
        </w:rPr>
        <w:t>на</w:t>
      </w:r>
      <w:r w:rsidRPr="00070C4A">
        <w:rPr>
          <w:b/>
          <w:sz w:val="28"/>
          <w:szCs w:val="28"/>
        </w:rPr>
        <w:t xml:space="preserve"> плановый период 20</w:t>
      </w:r>
      <w:r>
        <w:rPr>
          <w:b/>
          <w:sz w:val="28"/>
          <w:szCs w:val="28"/>
        </w:rPr>
        <w:t>23</w:t>
      </w:r>
      <w:r w:rsidRPr="00070C4A">
        <w:rPr>
          <w:b/>
          <w:sz w:val="28"/>
          <w:szCs w:val="28"/>
        </w:rPr>
        <w:t xml:space="preserve"> и 202</w:t>
      </w:r>
      <w:r>
        <w:rPr>
          <w:b/>
          <w:sz w:val="28"/>
          <w:szCs w:val="28"/>
        </w:rPr>
        <w:t>4</w:t>
      </w:r>
      <w:r w:rsidRPr="00070C4A">
        <w:rPr>
          <w:b/>
          <w:sz w:val="28"/>
          <w:szCs w:val="28"/>
        </w:rPr>
        <w:t xml:space="preserve"> годов по доходам от уплаты акцизов на дизельное топливо, моторные масла для дизельных и (или) карбюраторных (инжекторных) двигателей, на автомобильный бензин,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w:t>
      </w:r>
      <w:r>
        <w:rPr>
          <w:b/>
          <w:sz w:val="28"/>
          <w:szCs w:val="28"/>
        </w:rPr>
        <w:t xml:space="preserve">ний в местные бюджеты (далее - </w:t>
      </w:r>
      <w:r w:rsidRPr="00070C4A">
        <w:rPr>
          <w:b/>
          <w:sz w:val="28"/>
          <w:szCs w:val="28"/>
        </w:rPr>
        <w:t>доходы от уплаты акцизов на нефтепродукты).</w:t>
      </w:r>
    </w:p>
    <w:p w:rsidR="00E7317C" w:rsidRDefault="00E7317C" w:rsidP="00E7317C">
      <w:pPr>
        <w:ind w:firstLine="709"/>
        <w:jc w:val="both"/>
        <w:rPr>
          <w:sz w:val="28"/>
          <w:szCs w:val="28"/>
        </w:rPr>
      </w:pPr>
      <w:r w:rsidRPr="00070C4A">
        <w:rPr>
          <w:sz w:val="28"/>
          <w:szCs w:val="28"/>
        </w:rPr>
        <w:t xml:space="preserve">Главным администратором доходов от </w:t>
      </w:r>
      <w:r w:rsidRPr="00D17716">
        <w:rPr>
          <w:sz w:val="28"/>
          <w:szCs w:val="28"/>
        </w:rPr>
        <w:t>уплаты акцизов на нефтепродукты</w:t>
      </w:r>
      <w:r w:rsidRPr="00070C4A">
        <w:rPr>
          <w:sz w:val="28"/>
          <w:szCs w:val="28"/>
        </w:rPr>
        <w:t xml:space="preserve"> является </w:t>
      </w:r>
      <w:r>
        <w:rPr>
          <w:sz w:val="28"/>
          <w:szCs w:val="28"/>
        </w:rPr>
        <w:t>Федеральное казначейство (</w:t>
      </w:r>
      <w:r w:rsidRPr="00070C4A">
        <w:rPr>
          <w:sz w:val="28"/>
          <w:szCs w:val="28"/>
        </w:rPr>
        <w:t>Управление Федерального казначейства по Тверской области</w:t>
      </w:r>
      <w:r>
        <w:rPr>
          <w:sz w:val="28"/>
          <w:szCs w:val="28"/>
        </w:rPr>
        <w:t>)</w:t>
      </w:r>
      <w:r w:rsidRPr="00070C4A">
        <w:rPr>
          <w:sz w:val="28"/>
          <w:szCs w:val="28"/>
        </w:rPr>
        <w:t xml:space="preserve"> (код главного администратора доходов от уплаты акцизов на нефтепродукты 100).</w:t>
      </w:r>
    </w:p>
    <w:p w:rsidR="00E7317C" w:rsidRPr="000D7112" w:rsidRDefault="000C7362" w:rsidP="00E7317C">
      <w:pPr>
        <w:ind w:firstLine="709"/>
        <w:jc w:val="both"/>
        <w:rPr>
          <w:sz w:val="28"/>
          <w:szCs w:val="28"/>
        </w:rPr>
      </w:pPr>
      <w:r w:rsidRPr="00A33E59">
        <w:rPr>
          <w:sz w:val="28"/>
          <w:szCs w:val="28"/>
        </w:rPr>
        <w:t>Прогноз</w:t>
      </w:r>
      <w:r>
        <w:rPr>
          <w:sz w:val="28"/>
          <w:szCs w:val="28"/>
        </w:rPr>
        <w:t>ируемые суммы</w:t>
      </w:r>
      <w:r w:rsidRPr="00A33E59">
        <w:rPr>
          <w:sz w:val="28"/>
          <w:szCs w:val="28"/>
        </w:rPr>
        <w:t xml:space="preserve"> доходов от уплаты акцизов </w:t>
      </w:r>
      <w:r>
        <w:rPr>
          <w:sz w:val="28"/>
          <w:szCs w:val="28"/>
        </w:rPr>
        <w:t>на нефтепродукты</w:t>
      </w:r>
      <w:r w:rsidRPr="00A33E59">
        <w:rPr>
          <w:sz w:val="28"/>
          <w:szCs w:val="28"/>
        </w:rPr>
        <w:t xml:space="preserve"> на 2022-202</w:t>
      </w:r>
      <w:r>
        <w:rPr>
          <w:sz w:val="28"/>
          <w:szCs w:val="28"/>
        </w:rPr>
        <w:t>4</w:t>
      </w:r>
      <w:r w:rsidRPr="00A33E59">
        <w:rPr>
          <w:sz w:val="28"/>
          <w:szCs w:val="28"/>
        </w:rPr>
        <w:t xml:space="preserve"> годы </w:t>
      </w:r>
      <w:r>
        <w:rPr>
          <w:sz w:val="28"/>
          <w:szCs w:val="28"/>
        </w:rPr>
        <w:t xml:space="preserve">представлены </w:t>
      </w:r>
      <w:r w:rsidRPr="00A33E59">
        <w:rPr>
          <w:sz w:val="28"/>
          <w:szCs w:val="28"/>
        </w:rPr>
        <w:t>главн</w:t>
      </w:r>
      <w:r>
        <w:rPr>
          <w:sz w:val="28"/>
          <w:szCs w:val="28"/>
        </w:rPr>
        <w:t>ым</w:t>
      </w:r>
      <w:r w:rsidRPr="00A33E59">
        <w:rPr>
          <w:sz w:val="28"/>
          <w:szCs w:val="28"/>
        </w:rPr>
        <w:t xml:space="preserve"> администратор</w:t>
      </w:r>
      <w:r>
        <w:rPr>
          <w:sz w:val="28"/>
          <w:szCs w:val="28"/>
        </w:rPr>
        <w:t>ом</w:t>
      </w:r>
      <w:r w:rsidRPr="00A33E59">
        <w:rPr>
          <w:sz w:val="28"/>
          <w:szCs w:val="28"/>
        </w:rPr>
        <w:t xml:space="preserve"> доходов (</w:t>
      </w:r>
      <w:r>
        <w:rPr>
          <w:sz w:val="28"/>
          <w:szCs w:val="28"/>
        </w:rPr>
        <w:t xml:space="preserve">письмо Управления </w:t>
      </w:r>
      <w:r w:rsidRPr="00A33E59">
        <w:rPr>
          <w:sz w:val="28"/>
          <w:szCs w:val="28"/>
        </w:rPr>
        <w:t>Федерально</w:t>
      </w:r>
      <w:r>
        <w:rPr>
          <w:sz w:val="28"/>
          <w:szCs w:val="28"/>
        </w:rPr>
        <w:t>го казначейства по Тверской области от 26.10.2021 № 36-02-09/4059</w:t>
      </w:r>
      <w:r w:rsidRPr="00A33E59">
        <w:rPr>
          <w:sz w:val="28"/>
          <w:szCs w:val="28"/>
        </w:rPr>
        <w:t>)</w:t>
      </w:r>
      <w:r>
        <w:rPr>
          <w:sz w:val="28"/>
          <w:szCs w:val="28"/>
        </w:rPr>
        <w:t>. Р</w:t>
      </w:r>
      <w:r w:rsidRPr="00A33E59">
        <w:rPr>
          <w:sz w:val="28"/>
          <w:szCs w:val="28"/>
        </w:rPr>
        <w:t>асчё</w:t>
      </w:r>
      <w:r>
        <w:rPr>
          <w:sz w:val="28"/>
          <w:szCs w:val="28"/>
        </w:rPr>
        <w:t xml:space="preserve">т описан </w:t>
      </w:r>
      <w:r w:rsidRPr="00A33E59">
        <w:rPr>
          <w:sz w:val="28"/>
          <w:szCs w:val="28"/>
        </w:rPr>
        <w:t>Министерством финансов Тверской области</w:t>
      </w:r>
      <w:r>
        <w:rPr>
          <w:sz w:val="28"/>
          <w:szCs w:val="28"/>
        </w:rPr>
        <w:t xml:space="preserve"> </w:t>
      </w:r>
      <w:r w:rsidR="00E7317C">
        <w:rPr>
          <w:sz w:val="28"/>
          <w:szCs w:val="28"/>
        </w:rPr>
        <w:t xml:space="preserve">на основании данных из проекта Федерального закона «О федеральном бюджете на 2022 год и на плановый период 2023 и 2024 годов» </w:t>
      </w:r>
      <w:r w:rsidR="00E7317C" w:rsidRPr="000D7112">
        <w:rPr>
          <w:sz w:val="28"/>
          <w:szCs w:val="28"/>
        </w:rPr>
        <w:t xml:space="preserve">по следующим кодам бюджетной классификации: </w:t>
      </w:r>
    </w:p>
    <w:p w:rsidR="00E7317C" w:rsidRPr="000D7112" w:rsidRDefault="00E7317C" w:rsidP="00E7317C">
      <w:pPr>
        <w:ind w:firstLine="709"/>
        <w:jc w:val="both"/>
        <w:rPr>
          <w:sz w:val="28"/>
          <w:szCs w:val="28"/>
        </w:rPr>
      </w:pPr>
      <w:r w:rsidRPr="000D7112">
        <w:rPr>
          <w:sz w:val="28"/>
          <w:szCs w:val="28"/>
        </w:rPr>
        <w:t>000 1 03 02231 01 0000 110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p w:rsidR="00E7317C" w:rsidRPr="000D7112" w:rsidRDefault="00E7317C" w:rsidP="00E7317C">
      <w:pPr>
        <w:ind w:firstLine="709"/>
        <w:jc w:val="both"/>
        <w:rPr>
          <w:sz w:val="28"/>
          <w:szCs w:val="28"/>
        </w:rPr>
      </w:pPr>
      <w:r w:rsidRPr="000D7112">
        <w:rPr>
          <w:sz w:val="28"/>
          <w:szCs w:val="28"/>
        </w:rPr>
        <w:t>000 1 03 02232 01 0000 110 «</w:t>
      </w:r>
      <w:r w:rsidR="00757953" w:rsidRPr="00757953">
        <w:rPr>
          <w:sz w:val="28"/>
          <w:szCs w:val="2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hyperlink r:id="rId12" w:anchor="/document/5759555/entry/0" w:history="1">
        <w:r w:rsidR="00757953" w:rsidRPr="00757953">
          <w:rPr>
            <w:sz w:val="28"/>
            <w:szCs w:val="28"/>
          </w:rPr>
          <w:t>федеральным законом</w:t>
        </w:r>
      </w:hyperlink>
      <w:r w:rsidR="00757953" w:rsidRPr="00757953">
        <w:rPr>
          <w:sz w:val="28"/>
          <w:szCs w:val="28"/>
        </w:rPr>
        <w:t> о федеральном бюджете в целях реализации </w:t>
      </w:r>
      <w:hyperlink r:id="rId13" w:anchor="/document/72192482/entry/0" w:history="1">
        <w:r w:rsidR="00757953" w:rsidRPr="00757953">
          <w:rPr>
            <w:sz w:val="28"/>
            <w:szCs w:val="28"/>
          </w:rPr>
          <w:t>национального проекта</w:t>
        </w:r>
      </w:hyperlink>
      <w:r w:rsidR="00757953" w:rsidRPr="00757953">
        <w:rPr>
          <w:sz w:val="28"/>
          <w:szCs w:val="28"/>
        </w:rPr>
        <w:t> </w:t>
      </w:r>
      <w:r w:rsidR="007F6FC8">
        <w:rPr>
          <w:sz w:val="28"/>
          <w:szCs w:val="28"/>
        </w:rPr>
        <w:t>«</w:t>
      </w:r>
      <w:r w:rsidR="00757953" w:rsidRPr="00757953">
        <w:rPr>
          <w:sz w:val="28"/>
          <w:szCs w:val="28"/>
        </w:rPr>
        <w:t>Безопасные качественные дороги</w:t>
      </w:r>
      <w:r w:rsidR="007F6FC8">
        <w:rPr>
          <w:sz w:val="28"/>
          <w:szCs w:val="28"/>
        </w:rPr>
        <w:t>»</w:t>
      </w:r>
      <w:r w:rsidR="00757953" w:rsidRPr="00757953">
        <w:rPr>
          <w:sz w:val="28"/>
          <w:szCs w:val="28"/>
        </w:rPr>
        <w:t>)</w:t>
      </w:r>
      <w:r w:rsidRPr="000D7112">
        <w:rPr>
          <w:sz w:val="28"/>
          <w:szCs w:val="28"/>
        </w:rPr>
        <w:t>»;</w:t>
      </w:r>
    </w:p>
    <w:p w:rsidR="00E7317C" w:rsidRPr="000D7112" w:rsidRDefault="00E7317C" w:rsidP="00E7317C">
      <w:pPr>
        <w:ind w:firstLine="709"/>
        <w:jc w:val="both"/>
        <w:rPr>
          <w:sz w:val="28"/>
          <w:szCs w:val="28"/>
        </w:rPr>
      </w:pPr>
      <w:r w:rsidRPr="000D7112">
        <w:rPr>
          <w:sz w:val="28"/>
          <w:szCs w:val="28"/>
        </w:rPr>
        <w:t xml:space="preserve">000 1 03 02241 01 0000 110 «Доходы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r w:rsidR="007F6FC8">
        <w:rPr>
          <w:sz w:val="28"/>
          <w:szCs w:val="28"/>
        </w:rPr>
        <w:t>ф</w:t>
      </w:r>
      <w:r w:rsidRPr="000D7112">
        <w:rPr>
          <w:sz w:val="28"/>
          <w:szCs w:val="28"/>
        </w:rPr>
        <w:t xml:space="preserve">едеральным </w:t>
      </w:r>
      <w:r w:rsidRPr="000D7112">
        <w:rPr>
          <w:sz w:val="28"/>
          <w:szCs w:val="28"/>
        </w:rPr>
        <w:lastRenderedPageBreak/>
        <w:t>законом о федеральном бюджете в целях формирования дорожных фондов субъектов Российской Федерации)»;</w:t>
      </w:r>
    </w:p>
    <w:p w:rsidR="00E7317C" w:rsidRPr="000D7112" w:rsidRDefault="00E7317C" w:rsidP="00E7317C">
      <w:pPr>
        <w:ind w:firstLine="709"/>
        <w:jc w:val="both"/>
        <w:rPr>
          <w:sz w:val="28"/>
          <w:szCs w:val="28"/>
        </w:rPr>
      </w:pPr>
      <w:r w:rsidRPr="000D7112">
        <w:rPr>
          <w:sz w:val="28"/>
          <w:szCs w:val="28"/>
        </w:rPr>
        <w:t>000 1 03 02242 01 0000 110 «</w:t>
      </w:r>
      <w:r w:rsidR="007F6FC8" w:rsidRPr="007F6FC8">
        <w:rPr>
          <w:sz w:val="28"/>
          <w:szCs w:val="28"/>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hyperlink r:id="rId14" w:anchor="/document/5759555/entry/0" w:history="1">
        <w:r w:rsidR="007F6FC8" w:rsidRPr="007F6FC8">
          <w:rPr>
            <w:sz w:val="28"/>
            <w:szCs w:val="28"/>
          </w:rPr>
          <w:t>федеральным законом</w:t>
        </w:r>
      </w:hyperlink>
      <w:r w:rsidR="007F6FC8" w:rsidRPr="007F6FC8">
        <w:rPr>
          <w:sz w:val="28"/>
          <w:szCs w:val="28"/>
        </w:rPr>
        <w:t> о федеральном бюджете в целях реализации </w:t>
      </w:r>
      <w:hyperlink r:id="rId15" w:anchor="/document/72192482/entry/0" w:history="1">
        <w:r w:rsidR="007F6FC8" w:rsidRPr="007F6FC8">
          <w:rPr>
            <w:sz w:val="28"/>
            <w:szCs w:val="28"/>
          </w:rPr>
          <w:t>национального проекта</w:t>
        </w:r>
      </w:hyperlink>
      <w:r w:rsidR="007F6FC8" w:rsidRPr="007F6FC8">
        <w:rPr>
          <w:sz w:val="28"/>
          <w:szCs w:val="28"/>
        </w:rPr>
        <w:t> </w:t>
      </w:r>
      <w:r w:rsidR="007F6FC8">
        <w:rPr>
          <w:sz w:val="28"/>
          <w:szCs w:val="28"/>
        </w:rPr>
        <w:t>«</w:t>
      </w:r>
      <w:r w:rsidR="007F6FC8" w:rsidRPr="007F6FC8">
        <w:rPr>
          <w:sz w:val="28"/>
          <w:szCs w:val="28"/>
        </w:rPr>
        <w:t>Безопасные качественные дороги</w:t>
      </w:r>
      <w:r w:rsidR="007F6FC8">
        <w:rPr>
          <w:sz w:val="28"/>
          <w:szCs w:val="28"/>
        </w:rPr>
        <w:t>»</w:t>
      </w:r>
      <w:r w:rsidR="007F6FC8" w:rsidRPr="007F6FC8">
        <w:rPr>
          <w:sz w:val="28"/>
          <w:szCs w:val="28"/>
        </w:rPr>
        <w:t>)</w:t>
      </w:r>
      <w:r w:rsidRPr="000D7112">
        <w:rPr>
          <w:sz w:val="28"/>
          <w:szCs w:val="28"/>
        </w:rPr>
        <w:t>»;</w:t>
      </w:r>
    </w:p>
    <w:p w:rsidR="00E7317C" w:rsidRPr="000D7112" w:rsidRDefault="00E7317C" w:rsidP="00E7317C">
      <w:pPr>
        <w:ind w:firstLine="709"/>
        <w:jc w:val="both"/>
        <w:rPr>
          <w:sz w:val="28"/>
          <w:szCs w:val="28"/>
        </w:rPr>
      </w:pPr>
      <w:r w:rsidRPr="000D7112">
        <w:rPr>
          <w:sz w:val="28"/>
          <w:szCs w:val="28"/>
        </w:rPr>
        <w:t xml:space="preserve">000 1 03 02251 01 0000 110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r w:rsidR="007F6FC8">
        <w:rPr>
          <w:sz w:val="28"/>
          <w:szCs w:val="28"/>
        </w:rPr>
        <w:t>ф</w:t>
      </w:r>
      <w:r w:rsidRPr="000D7112">
        <w:rPr>
          <w:sz w:val="28"/>
          <w:szCs w:val="28"/>
        </w:rPr>
        <w:t>едеральным законом о федеральном бюджете в целях формирования дорожных фондов субъектов Российской Федерации);</w:t>
      </w:r>
    </w:p>
    <w:p w:rsidR="00E7317C" w:rsidRPr="000D7112" w:rsidRDefault="00E7317C" w:rsidP="00E7317C">
      <w:pPr>
        <w:ind w:firstLine="709"/>
        <w:jc w:val="both"/>
        <w:rPr>
          <w:sz w:val="28"/>
          <w:szCs w:val="28"/>
        </w:rPr>
      </w:pPr>
      <w:r w:rsidRPr="000D7112">
        <w:rPr>
          <w:sz w:val="28"/>
          <w:szCs w:val="28"/>
        </w:rPr>
        <w:t>000 1 03 02252 01 0000 110 «</w:t>
      </w:r>
      <w:r w:rsidR="007F6FC8" w:rsidRPr="007F6FC8">
        <w:rPr>
          <w:sz w:val="28"/>
          <w:szCs w:val="2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hyperlink r:id="rId16" w:anchor="/document/5759555/entry/0" w:history="1">
        <w:r w:rsidR="007F6FC8" w:rsidRPr="007F6FC8">
          <w:rPr>
            <w:sz w:val="28"/>
            <w:szCs w:val="28"/>
          </w:rPr>
          <w:t>федеральным законом</w:t>
        </w:r>
      </w:hyperlink>
      <w:r w:rsidR="007F6FC8" w:rsidRPr="007F6FC8">
        <w:rPr>
          <w:sz w:val="28"/>
          <w:szCs w:val="28"/>
        </w:rPr>
        <w:t> о федеральном бюджете в целях реализации </w:t>
      </w:r>
      <w:hyperlink r:id="rId17" w:anchor="/document/72192482/entry/0" w:history="1">
        <w:r w:rsidR="007F6FC8" w:rsidRPr="007F6FC8">
          <w:rPr>
            <w:sz w:val="28"/>
            <w:szCs w:val="28"/>
          </w:rPr>
          <w:t>национального проекта</w:t>
        </w:r>
      </w:hyperlink>
      <w:r w:rsidR="007F6FC8" w:rsidRPr="007F6FC8">
        <w:rPr>
          <w:sz w:val="28"/>
          <w:szCs w:val="28"/>
        </w:rPr>
        <w:t> </w:t>
      </w:r>
      <w:r w:rsidR="007F6FC8">
        <w:rPr>
          <w:sz w:val="28"/>
          <w:szCs w:val="28"/>
        </w:rPr>
        <w:t>«</w:t>
      </w:r>
      <w:r w:rsidR="007F6FC8" w:rsidRPr="007F6FC8">
        <w:rPr>
          <w:sz w:val="28"/>
          <w:szCs w:val="28"/>
        </w:rPr>
        <w:t>Безопасные качественные дороги</w:t>
      </w:r>
      <w:r w:rsidR="007F6FC8">
        <w:rPr>
          <w:sz w:val="28"/>
          <w:szCs w:val="28"/>
        </w:rPr>
        <w:t>»</w:t>
      </w:r>
      <w:r w:rsidR="007F6FC8" w:rsidRPr="007F6FC8">
        <w:rPr>
          <w:sz w:val="28"/>
          <w:szCs w:val="28"/>
        </w:rPr>
        <w:t>)</w:t>
      </w:r>
      <w:r w:rsidRPr="000D7112">
        <w:rPr>
          <w:sz w:val="28"/>
          <w:szCs w:val="28"/>
        </w:rPr>
        <w:t>»;</w:t>
      </w:r>
    </w:p>
    <w:p w:rsidR="00E7317C" w:rsidRPr="000D7112" w:rsidRDefault="00E7317C" w:rsidP="00E7317C">
      <w:pPr>
        <w:ind w:firstLine="709"/>
        <w:jc w:val="both"/>
        <w:rPr>
          <w:sz w:val="28"/>
          <w:szCs w:val="28"/>
        </w:rPr>
      </w:pPr>
      <w:r w:rsidRPr="000D7112">
        <w:rPr>
          <w:sz w:val="28"/>
          <w:szCs w:val="28"/>
        </w:rPr>
        <w:t xml:space="preserve">000 1 03 02261 01 0000 110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r w:rsidR="007F6FC8">
        <w:rPr>
          <w:sz w:val="28"/>
          <w:szCs w:val="28"/>
        </w:rPr>
        <w:t>ф</w:t>
      </w:r>
      <w:r w:rsidRPr="000D7112">
        <w:rPr>
          <w:sz w:val="28"/>
          <w:szCs w:val="28"/>
        </w:rPr>
        <w:t>едеральным законом о федеральном бюджете в целях формирования дорожных фондов субъектов Российской Федерации)»;</w:t>
      </w:r>
    </w:p>
    <w:p w:rsidR="00E7317C" w:rsidRPr="000D7112" w:rsidRDefault="00E7317C" w:rsidP="00E7317C">
      <w:pPr>
        <w:ind w:firstLine="709"/>
        <w:jc w:val="both"/>
        <w:rPr>
          <w:sz w:val="28"/>
          <w:szCs w:val="28"/>
        </w:rPr>
      </w:pPr>
      <w:r w:rsidRPr="000D7112">
        <w:rPr>
          <w:sz w:val="28"/>
          <w:szCs w:val="28"/>
        </w:rPr>
        <w:t>000 1 03 02262 01 0000 110 «</w:t>
      </w:r>
      <w:r w:rsidR="007F6FC8" w:rsidRPr="007F6FC8">
        <w:rPr>
          <w:sz w:val="28"/>
          <w:szCs w:val="2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hyperlink r:id="rId18" w:anchor="/document/5759555/entry/0" w:history="1">
        <w:r w:rsidR="007F6FC8" w:rsidRPr="007F6FC8">
          <w:rPr>
            <w:sz w:val="28"/>
            <w:szCs w:val="28"/>
          </w:rPr>
          <w:t>федеральным законом</w:t>
        </w:r>
      </w:hyperlink>
      <w:r w:rsidR="007F6FC8" w:rsidRPr="007F6FC8">
        <w:rPr>
          <w:sz w:val="28"/>
          <w:szCs w:val="28"/>
        </w:rPr>
        <w:t> о федеральном бюджете в целях реализации </w:t>
      </w:r>
      <w:hyperlink r:id="rId19" w:anchor="/document/72192482/entry/0" w:history="1">
        <w:r w:rsidR="007F6FC8" w:rsidRPr="007F6FC8">
          <w:rPr>
            <w:sz w:val="28"/>
            <w:szCs w:val="28"/>
          </w:rPr>
          <w:t>национального проекта</w:t>
        </w:r>
      </w:hyperlink>
      <w:r w:rsidR="007F6FC8" w:rsidRPr="007F6FC8">
        <w:rPr>
          <w:sz w:val="28"/>
          <w:szCs w:val="28"/>
        </w:rPr>
        <w:t> </w:t>
      </w:r>
      <w:r w:rsidR="007F6FC8">
        <w:rPr>
          <w:sz w:val="28"/>
          <w:szCs w:val="28"/>
        </w:rPr>
        <w:t>«</w:t>
      </w:r>
      <w:r w:rsidR="007F6FC8" w:rsidRPr="007F6FC8">
        <w:rPr>
          <w:sz w:val="28"/>
          <w:szCs w:val="28"/>
        </w:rPr>
        <w:t>Безопасные качественные дороги</w:t>
      </w:r>
      <w:r w:rsidR="007F6FC8">
        <w:rPr>
          <w:sz w:val="28"/>
          <w:szCs w:val="28"/>
        </w:rPr>
        <w:t>»</w:t>
      </w:r>
      <w:r w:rsidR="007F6FC8" w:rsidRPr="007F6FC8">
        <w:rPr>
          <w:sz w:val="28"/>
          <w:szCs w:val="28"/>
        </w:rPr>
        <w:t>)</w:t>
      </w:r>
      <w:r w:rsidRPr="000D7112">
        <w:rPr>
          <w:sz w:val="28"/>
          <w:szCs w:val="28"/>
        </w:rPr>
        <w:t>».</w:t>
      </w:r>
    </w:p>
    <w:p w:rsidR="00E7317C" w:rsidRPr="00742229" w:rsidRDefault="00E7317C" w:rsidP="00E7317C">
      <w:pPr>
        <w:pStyle w:val="21"/>
        <w:outlineLvl w:val="0"/>
        <w:rPr>
          <w:highlight w:val="yellow"/>
        </w:rPr>
      </w:pPr>
    </w:p>
    <w:tbl>
      <w:tblPr>
        <w:tblW w:w="9783" w:type="dxa"/>
        <w:tblInd w:w="118" w:type="dxa"/>
        <w:tblLook w:val="04A0" w:firstRow="1" w:lastRow="0" w:firstColumn="1" w:lastColumn="0" w:noHBand="0" w:noVBand="1"/>
      </w:tblPr>
      <w:tblGrid>
        <w:gridCol w:w="705"/>
        <w:gridCol w:w="3620"/>
        <w:gridCol w:w="1826"/>
        <w:gridCol w:w="1816"/>
        <w:gridCol w:w="1816"/>
      </w:tblGrid>
      <w:tr w:rsidR="00E7317C" w:rsidRPr="00742229" w:rsidTr="00E7317C">
        <w:trPr>
          <w:trHeight w:val="630"/>
          <w:tblHeader/>
        </w:trPr>
        <w:tc>
          <w:tcPr>
            <w:tcW w:w="705"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E7317C" w:rsidRPr="005626BE" w:rsidRDefault="00E7317C" w:rsidP="00E7317C">
            <w:pPr>
              <w:jc w:val="center"/>
              <w:rPr>
                <w:color w:val="000000"/>
                <w:sz w:val="28"/>
                <w:szCs w:val="28"/>
              </w:rPr>
            </w:pPr>
            <w:r w:rsidRPr="005626BE">
              <w:rPr>
                <w:color w:val="000000"/>
                <w:sz w:val="28"/>
                <w:szCs w:val="28"/>
              </w:rPr>
              <w:t>№ п/п</w:t>
            </w:r>
          </w:p>
        </w:tc>
        <w:tc>
          <w:tcPr>
            <w:tcW w:w="3620" w:type="dxa"/>
            <w:tcBorders>
              <w:top w:val="single" w:sz="8" w:space="0" w:color="auto"/>
              <w:left w:val="nil"/>
              <w:bottom w:val="single" w:sz="4" w:space="0" w:color="auto"/>
              <w:right w:val="single" w:sz="4" w:space="0" w:color="auto"/>
            </w:tcBorders>
            <w:shd w:val="clear" w:color="auto" w:fill="auto"/>
            <w:noWrap/>
            <w:vAlign w:val="center"/>
            <w:hideMark/>
          </w:tcPr>
          <w:p w:rsidR="00E7317C" w:rsidRPr="005626BE" w:rsidRDefault="00E7317C" w:rsidP="00E7317C">
            <w:pPr>
              <w:jc w:val="center"/>
              <w:rPr>
                <w:color w:val="000000"/>
                <w:sz w:val="28"/>
                <w:szCs w:val="28"/>
              </w:rPr>
            </w:pPr>
            <w:r w:rsidRPr="005626BE">
              <w:rPr>
                <w:color w:val="000000"/>
                <w:sz w:val="28"/>
                <w:szCs w:val="28"/>
              </w:rPr>
              <w:t>Наименование показателя</w:t>
            </w:r>
          </w:p>
        </w:tc>
        <w:tc>
          <w:tcPr>
            <w:tcW w:w="1826" w:type="dxa"/>
            <w:tcBorders>
              <w:top w:val="single" w:sz="8" w:space="0" w:color="auto"/>
              <w:left w:val="nil"/>
              <w:bottom w:val="single" w:sz="4" w:space="0" w:color="auto"/>
              <w:right w:val="single" w:sz="4" w:space="0" w:color="auto"/>
            </w:tcBorders>
            <w:shd w:val="clear" w:color="000000" w:fill="FFFFFF"/>
            <w:vAlign w:val="center"/>
            <w:hideMark/>
          </w:tcPr>
          <w:p w:rsidR="00E7317C" w:rsidRPr="005626BE" w:rsidRDefault="00E7317C" w:rsidP="00E7317C">
            <w:pPr>
              <w:jc w:val="center"/>
              <w:rPr>
                <w:color w:val="000000"/>
                <w:sz w:val="28"/>
                <w:szCs w:val="28"/>
              </w:rPr>
            </w:pPr>
            <w:r w:rsidRPr="005626BE">
              <w:rPr>
                <w:color w:val="000000"/>
                <w:sz w:val="28"/>
                <w:szCs w:val="28"/>
              </w:rPr>
              <w:t>2022 год</w:t>
            </w:r>
          </w:p>
        </w:tc>
        <w:tc>
          <w:tcPr>
            <w:tcW w:w="1816" w:type="dxa"/>
            <w:tcBorders>
              <w:top w:val="single" w:sz="8" w:space="0" w:color="auto"/>
              <w:left w:val="nil"/>
              <w:bottom w:val="single" w:sz="4" w:space="0" w:color="auto"/>
              <w:right w:val="single" w:sz="4" w:space="0" w:color="auto"/>
            </w:tcBorders>
            <w:shd w:val="clear" w:color="000000" w:fill="FFFFFF"/>
            <w:vAlign w:val="center"/>
            <w:hideMark/>
          </w:tcPr>
          <w:p w:rsidR="00E7317C" w:rsidRPr="005626BE" w:rsidRDefault="00E7317C" w:rsidP="00E7317C">
            <w:pPr>
              <w:jc w:val="center"/>
              <w:rPr>
                <w:color w:val="000000"/>
                <w:sz w:val="28"/>
                <w:szCs w:val="28"/>
              </w:rPr>
            </w:pPr>
            <w:r w:rsidRPr="005626BE">
              <w:rPr>
                <w:color w:val="000000"/>
                <w:sz w:val="28"/>
                <w:szCs w:val="28"/>
              </w:rPr>
              <w:t>2023 год</w:t>
            </w:r>
          </w:p>
        </w:tc>
        <w:tc>
          <w:tcPr>
            <w:tcW w:w="1816" w:type="dxa"/>
            <w:tcBorders>
              <w:top w:val="single" w:sz="8" w:space="0" w:color="auto"/>
              <w:left w:val="nil"/>
              <w:bottom w:val="single" w:sz="4" w:space="0" w:color="auto"/>
              <w:right w:val="single" w:sz="8" w:space="0" w:color="auto"/>
            </w:tcBorders>
            <w:shd w:val="clear" w:color="000000" w:fill="FFFFFF"/>
            <w:vAlign w:val="center"/>
            <w:hideMark/>
          </w:tcPr>
          <w:p w:rsidR="00E7317C" w:rsidRPr="005626BE" w:rsidRDefault="00E7317C" w:rsidP="00E7317C">
            <w:pPr>
              <w:jc w:val="center"/>
              <w:rPr>
                <w:color w:val="000000"/>
                <w:sz w:val="28"/>
                <w:szCs w:val="28"/>
              </w:rPr>
            </w:pPr>
            <w:r w:rsidRPr="005626BE">
              <w:rPr>
                <w:color w:val="000000"/>
                <w:sz w:val="28"/>
                <w:szCs w:val="28"/>
              </w:rPr>
              <w:t>2024 год</w:t>
            </w:r>
          </w:p>
        </w:tc>
      </w:tr>
      <w:tr w:rsidR="00E7317C" w:rsidRPr="00742229" w:rsidTr="00E7317C">
        <w:trPr>
          <w:trHeight w:val="630"/>
        </w:trPr>
        <w:tc>
          <w:tcPr>
            <w:tcW w:w="705" w:type="dxa"/>
            <w:tcBorders>
              <w:top w:val="nil"/>
              <w:left w:val="single" w:sz="8" w:space="0" w:color="auto"/>
              <w:bottom w:val="single" w:sz="4" w:space="0" w:color="auto"/>
              <w:right w:val="single" w:sz="4" w:space="0" w:color="auto"/>
            </w:tcBorders>
            <w:shd w:val="clear" w:color="auto" w:fill="auto"/>
            <w:noWrap/>
            <w:vAlign w:val="center"/>
            <w:hideMark/>
          </w:tcPr>
          <w:p w:rsidR="00E7317C" w:rsidRPr="005626BE" w:rsidRDefault="00E7317C" w:rsidP="00E7317C">
            <w:pPr>
              <w:jc w:val="center"/>
              <w:rPr>
                <w:color w:val="000000"/>
                <w:sz w:val="28"/>
                <w:szCs w:val="28"/>
              </w:rPr>
            </w:pPr>
            <w:r w:rsidRPr="005626BE">
              <w:rPr>
                <w:color w:val="000000"/>
                <w:sz w:val="28"/>
                <w:szCs w:val="28"/>
              </w:rPr>
              <w:t>1</w:t>
            </w:r>
          </w:p>
        </w:tc>
        <w:tc>
          <w:tcPr>
            <w:tcW w:w="3620" w:type="dxa"/>
            <w:tcBorders>
              <w:top w:val="nil"/>
              <w:left w:val="nil"/>
              <w:bottom w:val="single" w:sz="4" w:space="0" w:color="auto"/>
              <w:right w:val="single" w:sz="4" w:space="0" w:color="auto"/>
            </w:tcBorders>
            <w:shd w:val="clear" w:color="auto" w:fill="auto"/>
            <w:vAlign w:val="center"/>
            <w:hideMark/>
          </w:tcPr>
          <w:p w:rsidR="00E7317C" w:rsidRPr="005626BE" w:rsidRDefault="00E7317C" w:rsidP="00E7317C">
            <w:pPr>
              <w:rPr>
                <w:color w:val="000000"/>
                <w:sz w:val="28"/>
                <w:szCs w:val="28"/>
              </w:rPr>
            </w:pPr>
            <w:r w:rsidRPr="005626BE">
              <w:rPr>
                <w:color w:val="000000"/>
                <w:sz w:val="28"/>
                <w:szCs w:val="28"/>
              </w:rPr>
              <w:t xml:space="preserve">Норматив по БК в федеральный бюджет </w:t>
            </w:r>
          </w:p>
        </w:tc>
        <w:tc>
          <w:tcPr>
            <w:tcW w:w="1826" w:type="dxa"/>
            <w:tcBorders>
              <w:top w:val="nil"/>
              <w:left w:val="nil"/>
              <w:bottom w:val="single" w:sz="4" w:space="0" w:color="auto"/>
              <w:right w:val="single" w:sz="4" w:space="0" w:color="auto"/>
            </w:tcBorders>
            <w:shd w:val="clear" w:color="000000" w:fill="FFFFFF"/>
            <w:vAlign w:val="center"/>
            <w:hideMark/>
          </w:tcPr>
          <w:p w:rsidR="00E7317C" w:rsidRPr="005626BE" w:rsidRDefault="00E7317C" w:rsidP="00E7317C">
            <w:pPr>
              <w:jc w:val="center"/>
              <w:rPr>
                <w:color w:val="000000"/>
                <w:sz w:val="28"/>
                <w:szCs w:val="28"/>
              </w:rPr>
            </w:pPr>
            <w:r w:rsidRPr="005626BE">
              <w:rPr>
                <w:color w:val="000000"/>
                <w:sz w:val="28"/>
                <w:szCs w:val="28"/>
              </w:rPr>
              <w:t>25,1%</w:t>
            </w:r>
          </w:p>
        </w:tc>
        <w:tc>
          <w:tcPr>
            <w:tcW w:w="1816" w:type="dxa"/>
            <w:tcBorders>
              <w:top w:val="nil"/>
              <w:left w:val="nil"/>
              <w:bottom w:val="single" w:sz="4" w:space="0" w:color="auto"/>
              <w:right w:val="single" w:sz="4" w:space="0" w:color="auto"/>
            </w:tcBorders>
            <w:shd w:val="clear" w:color="000000" w:fill="FFFFFF"/>
            <w:vAlign w:val="center"/>
            <w:hideMark/>
          </w:tcPr>
          <w:p w:rsidR="00E7317C" w:rsidRPr="005626BE" w:rsidRDefault="00E7317C" w:rsidP="00E7317C">
            <w:pPr>
              <w:jc w:val="center"/>
              <w:rPr>
                <w:color w:val="000000"/>
                <w:sz w:val="28"/>
                <w:szCs w:val="28"/>
              </w:rPr>
            </w:pPr>
            <w:r w:rsidRPr="005626BE">
              <w:rPr>
                <w:color w:val="000000"/>
                <w:sz w:val="28"/>
                <w:szCs w:val="28"/>
              </w:rPr>
              <w:t>25,1%</w:t>
            </w:r>
          </w:p>
        </w:tc>
        <w:tc>
          <w:tcPr>
            <w:tcW w:w="1816" w:type="dxa"/>
            <w:tcBorders>
              <w:top w:val="nil"/>
              <w:left w:val="nil"/>
              <w:bottom w:val="single" w:sz="4" w:space="0" w:color="auto"/>
              <w:right w:val="single" w:sz="8" w:space="0" w:color="auto"/>
            </w:tcBorders>
            <w:shd w:val="clear" w:color="000000" w:fill="FFFFFF"/>
            <w:vAlign w:val="center"/>
            <w:hideMark/>
          </w:tcPr>
          <w:p w:rsidR="00E7317C" w:rsidRPr="005626BE" w:rsidRDefault="00E7317C" w:rsidP="00E7317C">
            <w:pPr>
              <w:jc w:val="center"/>
              <w:rPr>
                <w:color w:val="000000"/>
                <w:sz w:val="28"/>
                <w:szCs w:val="28"/>
              </w:rPr>
            </w:pPr>
            <w:r w:rsidRPr="005626BE">
              <w:rPr>
                <w:color w:val="000000"/>
                <w:sz w:val="28"/>
                <w:szCs w:val="28"/>
              </w:rPr>
              <w:t>25,1%</w:t>
            </w:r>
          </w:p>
        </w:tc>
      </w:tr>
      <w:tr w:rsidR="00E7317C" w:rsidRPr="00742229" w:rsidTr="00E7317C">
        <w:trPr>
          <w:trHeight w:val="675"/>
        </w:trPr>
        <w:tc>
          <w:tcPr>
            <w:tcW w:w="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317C" w:rsidRPr="005626BE" w:rsidRDefault="00E7317C" w:rsidP="00E7317C">
            <w:pPr>
              <w:jc w:val="center"/>
              <w:rPr>
                <w:color w:val="000000"/>
                <w:sz w:val="28"/>
                <w:szCs w:val="28"/>
              </w:rPr>
            </w:pPr>
            <w:r w:rsidRPr="005626BE">
              <w:rPr>
                <w:color w:val="000000"/>
                <w:sz w:val="28"/>
                <w:szCs w:val="28"/>
              </w:rPr>
              <w:t>2</w:t>
            </w:r>
          </w:p>
        </w:tc>
        <w:tc>
          <w:tcPr>
            <w:tcW w:w="3620" w:type="dxa"/>
            <w:tcBorders>
              <w:top w:val="nil"/>
              <w:left w:val="nil"/>
              <w:bottom w:val="single" w:sz="4" w:space="0" w:color="auto"/>
              <w:right w:val="single" w:sz="4" w:space="0" w:color="auto"/>
            </w:tcBorders>
            <w:shd w:val="clear" w:color="auto" w:fill="auto"/>
            <w:vAlign w:val="center"/>
            <w:hideMark/>
          </w:tcPr>
          <w:p w:rsidR="00E7317C" w:rsidRPr="005626BE" w:rsidRDefault="00E7317C" w:rsidP="00E7317C">
            <w:pPr>
              <w:rPr>
                <w:color w:val="000000"/>
                <w:sz w:val="28"/>
                <w:szCs w:val="28"/>
              </w:rPr>
            </w:pPr>
            <w:r w:rsidRPr="005626BE">
              <w:rPr>
                <w:color w:val="000000"/>
                <w:sz w:val="28"/>
                <w:szCs w:val="28"/>
              </w:rPr>
              <w:t xml:space="preserve">Норматив по БК в бюджет субъекта РФ </w:t>
            </w:r>
          </w:p>
        </w:tc>
        <w:tc>
          <w:tcPr>
            <w:tcW w:w="1826" w:type="dxa"/>
            <w:tcBorders>
              <w:top w:val="nil"/>
              <w:left w:val="nil"/>
              <w:bottom w:val="single" w:sz="4" w:space="0" w:color="auto"/>
              <w:right w:val="single" w:sz="4" w:space="0" w:color="auto"/>
            </w:tcBorders>
            <w:shd w:val="clear" w:color="000000" w:fill="FFFFFF"/>
            <w:noWrap/>
            <w:vAlign w:val="center"/>
            <w:hideMark/>
          </w:tcPr>
          <w:p w:rsidR="00E7317C" w:rsidRPr="005626BE" w:rsidRDefault="00E7317C" w:rsidP="00E7317C">
            <w:pPr>
              <w:jc w:val="center"/>
              <w:rPr>
                <w:color w:val="000000"/>
                <w:sz w:val="28"/>
                <w:szCs w:val="28"/>
              </w:rPr>
            </w:pPr>
            <w:r w:rsidRPr="005626BE">
              <w:rPr>
                <w:color w:val="000000"/>
                <w:sz w:val="28"/>
                <w:szCs w:val="28"/>
              </w:rPr>
              <w:t>74,9%</w:t>
            </w:r>
          </w:p>
        </w:tc>
        <w:tc>
          <w:tcPr>
            <w:tcW w:w="1816" w:type="dxa"/>
            <w:tcBorders>
              <w:top w:val="nil"/>
              <w:left w:val="nil"/>
              <w:bottom w:val="single" w:sz="4" w:space="0" w:color="auto"/>
              <w:right w:val="single" w:sz="4" w:space="0" w:color="auto"/>
            </w:tcBorders>
            <w:shd w:val="clear" w:color="000000" w:fill="FFFFFF"/>
            <w:noWrap/>
            <w:vAlign w:val="center"/>
            <w:hideMark/>
          </w:tcPr>
          <w:p w:rsidR="00E7317C" w:rsidRPr="005626BE" w:rsidRDefault="00E7317C" w:rsidP="00E7317C">
            <w:pPr>
              <w:jc w:val="center"/>
              <w:rPr>
                <w:color w:val="000000"/>
                <w:sz w:val="28"/>
                <w:szCs w:val="28"/>
              </w:rPr>
            </w:pPr>
            <w:r w:rsidRPr="005626BE">
              <w:rPr>
                <w:color w:val="000000"/>
                <w:sz w:val="28"/>
                <w:szCs w:val="28"/>
              </w:rPr>
              <w:t>74,9%</w:t>
            </w:r>
          </w:p>
        </w:tc>
        <w:tc>
          <w:tcPr>
            <w:tcW w:w="1816" w:type="dxa"/>
            <w:tcBorders>
              <w:top w:val="nil"/>
              <w:left w:val="nil"/>
              <w:bottom w:val="single" w:sz="4" w:space="0" w:color="auto"/>
              <w:right w:val="single" w:sz="8" w:space="0" w:color="auto"/>
            </w:tcBorders>
            <w:shd w:val="clear" w:color="000000" w:fill="FFFFFF"/>
            <w:noWrap/>
            <w:vAlign w:val="center"/>
            <w:hideMark/>
          </w:tcPr>
          <w:p w:rsidR="00E7317C" w:rsidRPr="005626BE" w:rsidRDefault="00E7317C" w:rsidP="00E7317C">
            <w:pPr>
              <w:jc w:val="center"/>
              <w:rPr>
                <w:color w:val="000000"/>
                <w:sz w:val="28"/>
                <w:szCs w:val="28"/>
              </w:rPr>
            </w:pPr>
            <w:r w:rsidRPr="005626BE">
              <w:rPr>
                <w:color w:val="000000"/>
                <w:sz w:val="28"/>
                <w:szCs w:val="28"/>
              </w:rPr>
              <w:t>74,9%</w:t>
            </w:r>
          </w:p>
        </w:tc>
      </w:tr>
      <w:tr w:rsidR="00E7317C" w:rsidRPr="00742229" w:rsidTr="00E7317C">
        <w:trPr>
          <w:trHeight w:val="675"/>
        </w:trPr>
        <w:tc>
          <w:tcPr>
            <w:tcW w:w="705" w:type="dxa"/>
            <w:tcBorders>
              <w:top w:val="nil"/>
              <w:left w:val="single" w:sz="8" w:space="0" w:color="auto"/>
              <w:bottom w:val="single" w:sz="4" w:space="0" w:color="auto"/>
              <w:right w:val="single" w:sz="4" w:space="0" w:color="auto"/>
            </w:tcBorders>
            <w:shd w:val="clear" w:color="auto" w:fill="auto"/>
            <w:noWrap/>
            <w:vAlign w:val="center"/>
            <w:hideMark/>
          </w:tcPr>
          <w:p w:rsidR="00E7317C" w:rsidRPr="005626BE" w:rsidRDefault="00E7317C" w:rsidP="00E7317C">
            <w:pPr>
              <w:jc w:val="center"/>
              <w:rPr>
                <w:color w:val="000000"/>
                <w:sz w:val="28"/>
                <w:szCs w:val="28"/>
              </w:rPr>
            </w:pPr>
            <w:r w:rsidRPr="005626BE">
              <w:rPr>
                <w:color w:val="000000"/>
                <w:sz w:val="28"/>
                <w:szCs w:val="28"/>
              </w:rPr>
              <w:t>3</w:t>
            </w:r>
          </w:p>
        </w:tc>
        <w:tc>
          <w:tcPr>
            <w:tcW w:w="3620" w:type="dxa"/>
            <w:tcBorders>
              <w:top w:val="nil"/>
              <w:left w:val="nil"/>
              <w:bottom w:val="single" w:sz="4" w:space="0" w:color="auto"/>
              <w:right w:val="single" w:sz="4" w:space="0" w:color="auto"/>
            </w:tcBorders>
            <w:shd w:val="clear" w:color="auto" w:fill="auto"/>
            <w:vAlign w:val="center"/>
            <w:hideMark/>
          </w:tcPr>
          <w:p w:rsidR="00E7317C" w:rsidRPr="005626BE" w:rsidRDefault="00E7317C" w:rsidP="00E7317C">
            <w:pPr>
              <w:rPr>
                <w:color w:val="000000"/>
                <w:sz w:val="28"/>
                <w:szCs w:val="28"/>
              </w:rPr>
            </w:pPr>
            <w:r w:rsidRPr="005626BE">
              <w:rPr>
                <w:color w:val="000000"/>
                <w:sz w:val="28"/>
                <w:szCs w:val="28"/>
              </w:rPr>
              <w:t xml:space="preserve">Норматив зачисления доли субъектов РФ в дорожные фонды субъектов РФ </w:t>
            </w:r>
            <w:r w:rsidRPr="005626BE">
              <w:rPr>
                <w:i/>
                <w:iCs/>
                <w:color w:val="000000"/>
                <w:sz w:val="28"/>
                <w:szCs w:val="28"/>
              </w:rPr>
              <w:lastRenderedPageBreak/>
              <w:t>(пункт 4 статьи 2 проекта ФБ)</w:t>
            </w:r>
          </w:p>
        </w:tc>
        <w:tc>
          <w:tcPr>
            <w:tcW w:w="1826" w:type="dxa"/>
            <w:tcBorders>
              <w:top w:val="nil"/>
              <w:left w:val="nil"/>
              <w:bottom w:val="single" w:sz="4" w:space="0" w:color="auto"/>
              <w:right w:val="single" w:sz="4" w:space="0" w:color="auto"/>
            </w:tcBorders>
            <w:shd w:val="clear" w:color="000000" w:fill="FFFFFF"/>
            <w:noWrap/>
            <w:vAlign w:val="center"/>
            <w:hideMark/>
          </w:tcPr>
          <w:p w:rsidR="00E7317C" w:rsidRPr="005626BE" w:rsidRDefault="00E7317C" w:rsidP="00E7317C">
            <w:pPr>
              <w:jc w:val="center"/>
              <w:rPr>
                <w:color w:val="000000"/>
                <w:sz w:val="28"/>
                <w:szCs w:val="28"/>
              </w:rPr>
            </w:pPr>
            <w:r w:rsidRPr="005626BE">
              <w:rPr>
                <w:color w:val="000000"/>
                <w:sz w:val="28"/>
                <w:szCs w:val="28"/>
              </w:rPr>
              <w:lastRenderedPageBreak/>
              <w:t>77,7%</w:t>
            </w:r>
          </w:p>
        </w:tc>
        <w:tc>
          <w:tcPr>
            <w:tcW w:w="1816" w:type="dxa"/>
            <w:tcBorders>
              <w:top w:val="nil"/>
              <w:left w:val="nil"/>
              <w:bottom w:val="single" w:sz="4" w:space="0" w:color="auto"/>
              <w:right w:val="single" w:sz="4" w:space="0" w:color="auto"/>
            </w:tcBorders>
            <w:shd w:val="clear" w:color="000000" w:fill="FFFFFF"/>
            <w:noWrap/>
            <w:vAlign w:val="center"/>
            <w:hideMark/>
          </w:tcPr>
          <w:p w:rsidR="00E7317C" w:rsidRPr="005626BE" w:rsidRDefault="00E7317C" w:rsidP="00E7317C">
            <w:pPr>
              <w:jc w:val="center"/>
              <w:rPr>
                <w:color w:val="000000"/>
                <w:sz w:val="28"/>
                <w:szCs w:val="28"/>
              </w:rPr>
            </w:pPr>
            <w:r w:rsidRPr="005626BE">
              <w:rPr>
                <w:color w:val="000000"/>
                <w:sz w:val="28"/>
                <w:szCs w:val="28"/>
              </w:rPr>
              <w:t>77,7%</w:t>
            </w:r>
          </w:p>
        </w:tc>
        <w:tc>
          <w:tcPr>
            <w:tcW w:w="1816" w:type="dxa"/>
            <w:tcBorders>
              <w:top w:val="nil"/>
              <w:left w:val="nil"/>
              <w:bottom w:val="single" w:sz="4" w:space="0" w:color="auto"/>
              <w:right w:val="single" w:sz="8" w:space="0" w:color="auto"/>
            </w:tcBorders>
            <w:shd w:val="clear" w:color="000000" w:fill="FFFFFF"/>
            <w:noWrap/>
            <w:vAlign w:val="center"/>
            <w:hideMark/>
          </w:tcPr>
          <w:p w:rsidR="00E7317C" w:rsidRPr="005626BE" w:rsidRDefault="00E7317C" w:rsidP="00E7317C">
            <w:pPr>
              <w:jc w:val="center"/>
              <w:rPr>
                <w:color w:val="000000"/>
                <w:sz w:val="28"/>
                <w:szCs w:val="28"/>
              </w:rPr>
            </w:pPr>
            <w:r w:rsidRPr="005626BE">
              <w:rPr>
                <w:color w:val="000000"/>
                <w:sz w:val="28"/>
                <w:szCs w:val="28"/>
              </w:rPr>
              <w:t>77,7%</w:t>
            </w:r>
          </w:p>
        </w:tc>
      </w:tr>
      <w:tr w:rsidR="00E7317C" w:rsidRPr="00742229" w:rsidTr="00E7317C">
        <w:trPr>
          <w:trHeight w:val="990"/>
        </w:trPr>
        <w:tc>
          <w:tcPr>
            <w:tcW w:w="705" w:type="dxa"/>
            <w:tcBorders>
              <w:top w:val="nil"/>
              <w:left w:val="single" w:sz="8" w:space="0" w:color="auto"/>
              <w:bottom w:val="single" w:sz="4" w:space="0" w:color="auto"/>
              <w:right w:val="single" w:sz="4" w:space="0" w:color="auto"/>
            </w:tcBorders>
            <w:shd w:val="clear" w:color="auto" w:fill="auto"/>
            <w:noWrap/>
            <w:vAlign w:val="center"/>
            <w:hideMark/>
          </w:tcPr>
          <w:p w:rsidR="00E7317C" w:rsidRPr="005626BE" w:rsidRDefault="00E7317C" w:rsidP="00E7317C">
            <w:pPr>
              <w:jc w:val="center"/>
              <w:rPr>
                <w:color w:val="000000"/>
                <w:sz w:val="28"/>
                <w:szCs w:val="28"/>
              </w:rPr>
            </w:pPr>
            <w:r w:rsidRPr="005626BE">
              <w:rPr>
                <w:color w:val="000000"/>
                <w:sz w:val="28"/>
                <w:szCs w:val="28"/>
              </w:rPr>
              <w:t>4</w:t>
            </w:r>
          </w:p>
        </w:tc>
        <w:tc>
          <w:tcPr>
            <w:tcW w:w="3620" w:type="dxa"/>
            <w:tcBorders>
              <w:top w:val="nil"/>
              <w:left w:val="nil"/>
              <w:bottom w:val="single" w:sz="4" w:space="0" w:color="auto"/>
              <w:right w:val="single" w:sz="4" w:space="0" w:color="auto"/>
            </w:tcBorders>
            <w:shd w:val="clear" w:color="auto" w:fill="auto"/>
            <w:vAlign w:val="center"/>
            <w:hideMark/>
          </w:tcPr>
          <w:p w:rsidR="00E7317C" w:rsidRPr="005626BE" w:rsidRDefault="00E7317C" w:rsidP="00E7317C">
            <w:pPr>
              <w:rPr>
                <w:color w:val="000000"/>
                <w:sz w:val="28"/>
                <w:szCs w:val="28"/>
              </w:rPr>
            </w:pPr>
            <w:r w:rsidRPr="005626BE">
              <w:rPr>
                <w:color w:val="000000"/>
                <w:sz w:val="28"/>
                <w:szCs w:val="28"/>
              </w:rPr>
              <w:t xml:space="preserve">Норматив зачисления доли субъектов РФ в целях реализации национального проекта «Безопасные и качественные автомобильные дороги» (далее – Нацпроект) </w:t>
            </w:r>
            <w:r w:rsidRPr="005626BE">
              <w:rPr>
                <w:i/>
                <w:iCs/>
                <w:color w:val="000000"/>
                <w:sz w:val="28"/>
                <w:szCs w:val="28"/>
              </w:rPr>
              <w:t>(пункт 4 статьи 2 проекта ФБ)</w:t>
            </w:r>
          </w:p>
        </w:tc>
        <w:tc>
          <w:tcPr>
            <w:tcW w:w="1826" w:type="dxa"/>
            <w:tcBorders>
              <w:top w:val="nil"/>
              <w:left w:val="nil"/>
              <w:bottom w:val="single" w:sz="4" w:space="0" w:color="auto"/>
              <w:right w:val="single" w:sz="4" w:space="0" w:color="auto"/>
            </w:tcBorders>
            <w:shd w:val="clear" w:color="000000" w:fill="FFFFFF"/>
            <w:noWrap/>
            <w:vAlign w:val="center"/>
            <w:hideMark/>
          </w:tcPr>
          <w:p w:rsidR="00E7317C" w:rsidRPr="005626BE" w:rsidRDefault="00E7317C" w:rsidP="00E7317C">
            <w:pPr>
              <w:jc w:val="center"/>
              <w:rPr>
                <w:color w:val="000000"/>
                <w:sz w:val="28"/>
                <w:szCs w:val="28"/>
              </w:rPr>
            </w:pPr>
            <w:r w:rsidRPr="005626BE">
              <w:rPr>
                <w:color w:val="000000"/>
                <w:sz w:val="28"/>
                <w:szCs w:val="28"/>
              </w:rPr>
              <w:t>22,3%</w:t>
            </w:r>
          </w:p>
        </w:tc>
        <w:tc>
          <w:tcPr>
            <w:tcW w:w="1816" w:type="dxa"/>
            <w:tcBorders>
              <w:top w:val="nil"/>
              <w:left w:val="nil"/>
              <w:bottom w:val="single" w:sz="4" w:space="0" w:color="auto"/>
              <w:right w:val="single" w:sz="4" w:space="0" w:color="auto"/>
            </w:tcBorders>
            <w:shd w:val="clear" w:color="000000" w:fill="FFFFFF"/>
            <w:noWrap/>
            <w:vAlign w:val="center"/>
            <w:hideMark/>
          </w:tcPr>
          <w:p w:rsidR="00E7317C" w:rsidRPr="005626BE" w:rsidRDefault="00E7317C" w:rsidP="00E7317C">
            <w:pPr>
              <w:jc w:val="center"/>
              <w:rPr>
                <w:color w:val="000000"/>
                <w:sz w:val="28"/>
                <w:szCs w:val="28"/>
              </w:rPr>
            </w:pPr>
            <w:r w:rsidRPr="005626BE">
              <w:rPr>
                <w:color w:val="000000"/>
                <w:sz w:val="28"/>
                <w:szCs w:val="28"/>
              </w:rPr>
              <w:t>22,3%</w:t>
            </w:r>
          </w:p>
        </w:tc>
        <w:tc>
          <w:tcPr>
            <w:tcW w:w="1816" w:type="dxa"/>
            <w:tcBorders>
              <w:top w:val="nil"/>
              <w:left w:val="nil"/>
              <w:bottom w:val="single" w:sz="4" w:space="0" w:color="auto"/>
              <w:right w:val="single" w:sz="8" w:space="0" w:color="auto"/>
            </w:tcBorders>
            <w:shd w:val="clear" w:color="000000" w:fill="FFFFFF"/>
            <w:noWrap/>
            <w:vAlign w:val="center"/>
            <w:hideMark/>
          </w:tcPr>
          <w:p w:rsidR="00E7317C" w:rsidRPr="005626BE" w:rsidRDefault="00E7317C" w:rsidP="00E7317C">
            <w:pPr>
              <w:jc w:val="center"/>
              <w:rPr>
                <w:color w:val="000000"/>
                <w:sz w:val="28"/>
                <w:szCs w:val="28"/>
              </w:rPr>
            </w:pPr>
            <w:r w:rsidRPr="005626BE">
              <w:rPr>
                <w:color w:val="000000"/>
                <w:sz w:val="28"/>
                <w:szCs w:val="28"/>
              </w:rPr>
              <w:t>22,3%</w:t>
            </w:r>
          </w:p>
        </w:tc>
      </w:tr>
      <w:tr w:rsidR="00E7317C" w:rsidRPr="00742229" w:rsidTr="00E7317C">
        <w:trPr>
          <w:trHeight w:val="945"/>
        </w:trPr>
        <w:tc>
          <w:tcPr>
            <w:tcW w:w="705" w:type="dxa"/>
            <w:tcBorders>
              <w:top w:val="nil"/>
              <w:left w:val="single" w:sz="8" w:space="0" w:color="auto"/>
              <w:bottom w:val="single" w:sz="4" w:space="0" w:color="auto"/>
              <w:right w:val="single" w:sz="4" w:space="0" w:color="auto"/>
            </w:tcBorders>
            <w:shd w:val="clear" w:color="auto" w:fill="auto"/>
            <w:noWrap/>
            <w:vAlign w:val="center"/>
            <w:hideMark/>
          </w:tcPr>
          <w:p w:rsidR="00E7317C" w:rsidRPr="005626BE" w:rsidRDefault="00E7317C" w:rsidP="00E7317C">
            <w:pPr>
              <w:jc w:val="center"/>
              <w:rPr>
                <w:color w:val="000000"/>
                <w:sz w:val="28"/>
                <w:szCs w:val="28"/>
              </w:rPr>
            </w:pPr>
            <w:r w:rsidRPr="005626BE">
              <w:rPr>
                <w:color w:val="000000"/>
                <w:sz w:val="28"/>
                <w:szCs w:val="28"/>
              </w:rPr>
              <w:t>5</w:t>
            </w:r>
          </w:p>
        </w:tc>
        <w:tc>
          <w:tcPr>
            <w:tcW w:w="3620" w:type="dxa"/>
            <w:tcBorders>
              <w:top w:val="nil"/>
              <w:left w:val="nil"/>
              <w:bottom w:val="single" w:sz="4" w:space="0" w:color="auto"/>
              <w:right w:val="single" w:sz="4" w:space="0" w:color="auto"/>
            </w:tcBorders>
            <w:shd w:val="clear" w:color="auto" w:fill="auto"/>
            <w:vAlign w:val="center"/>
            <w:hideMark/>
          </w:tcPr>
          <w:p w:rsidR="00E7317C" w:rsidRPr="005626BE" w:rsidRDefault="00E7317C" w:rsidP="00E7317C">
            <w:pPr>
              <w:rPr>
                <w:color w:val="000000"/>
                <w:sz w:val="28"/>
                <w:szCs w:val="28"/>
              </w:rPr>
            </w:pPr>
            <w:r w:rsidRPr="005626BE">
              <w:rPr>
                <w:color w:val="000000"/>
                <w:sz w:val="28"/>
                <w:szCs w:val="28"/>
              </w:rPr>
              <w:t>Норматив распределения по проекту закона о федеральном бюджете в целях формирования дорожных фондов субъектов РФ (Таблица 1 Приложения 3 к проекту ФБ)</w:t>
            </w:r>
          </w:p>
        </w:tc>
        <w:tc>
          <w:tcPr>
            <w:tcW w:w="1826" w:type="dxa"/>
            <w:tcBorders>
              <w:top w:val="nil"/>
              <w:left w:val="nil"/>
              <w:bottom w:val="single" w:sz="4" w:space="0" w:color="auto"/>
              <w:right w:val="single" w:sz="4" w:space="0" w:color="auto"/>
            </w:tcBorders>
            <w:shd w:val="clear" w:color="000000" w:fill="FFFFFF"/>
            <w:noWrap/>
            <w:vAlign w:val="center"/>
            <w:hideMark/>
          </w:tcPr>
          <w:p w:rsidR="00E7317C" w:rsidRPr="005626BE" w:rsidRDefault="00E7317C" w:rsidP="00E7317C">
            <w:pPr>
              <w:jc w:val="center"/>
              <w:rPr>
                <w:color w:val="000000"/>
                <w:sz w:val="28"/>
                <w:szCs w:val="28"/>
              </w:rPr>
            </w:pPr>
            <w:r w:rsidRPr="005626BE">
              <w:rPr>
                <w:color w:val="000000"/>
                <w:sz w:val="28"/>
                <w:szCs w:val="28"/>
              </w:rPr>
              <w:t>1,3385%</w:t>
            </w:r>
          </w:p>
        </w:tc>
        <w:tc>
          <w:tcPr>
            <w:tcW w:w="1816" w:type="dxa"/>
            <w:tcBorders>
              <w:top w:val="nil"/>
              <w:left w:val="nil"/>
              <w:bottom w:val="single" w:sz="4" w:space="0" w:color="auto"/>
              <w:right w:val="single" w:sz="4" w:space="0" w:color="auto"/>
            </w:tcBorders>
            <w:shd w:val="clear" w:color="000000" w:fill="FFFFFF"/>
            <w:noWrap/>
            <w:vAlign w:val="center"/>
            <w:hideMark/>
          </w:tcPr>
          <w:p w:rsidR="00E7317C" w:rsidRPr="005626BE" w:rsidRDefault="00E7317C" w:rsidP="00E7317C">
            <w:pPr>
              <w:jc w:val="center"/>
              <w:rPr>
                <w:color w:val="000000"/>
                <w:sz w:val="28"/>
                <w:szCs w:val="28"/>
              </w:rPr>
            </w:pPr>
            <w:r w:rsidRPr="005626BE">
              <w:rPr>
                <w:color w:val="000000"/>
                <w:sz w:val="28"/>
                <w:szCs w:val="28"/>
              </w:rPr>
              <w:t>1,3837%</w:t>
            </w:r>
          </w:p>
        </w:tc>
        <w:tc>
          <w:tcPr>
            <w:tcW w:w="1816" w:type="dxa"/>
            <w:tcBorders>
              <w:top w:val="nil"/>
              <w:left w:val="nil"/>
              <w:bottom w:val="single" w:sz="4" w:space="0" w:color="auto"/>
              <w:right w:val="single" w:sz="8" w:space="0" w:color="auto"/>
            </w:tcBorders>
            <w:shd w:val="clear" w:color="000000" w:fill="FFFFFF"/>
            <w:noWrap/>
            <w:vAlign w:val="center"/>
            <w:hideMark/>
          </w:tcPr>
          <w:p w:rsidR="00E7317C" w:rsidRPr="005626BE" w:rsidRDefault="00E7317C" w:rsidP="00E7317C">
            <w:pPr>
              <w:jc w:val="center"/>
              <w:rPr>
                <w:color w:val="000000"/>
                <w:sz w:val="28"/>
                <w:szCs w:val="28"/>
              </w:rPr>
            </w:pPr>
            <w:r w:rsidRPr="005626BE">
              <w:rPr>
                <w:color w:val="000000"/>
                <w:sz w:val="28"/>
                <w:szCs w:val="28"/>
              </w:rPr>
              <w:t>1,4134%</w:t>
            </w:r>
          </w:p>
        </w:tc>
      </w:tr>
      <w:tr w:rsidR="00E7317C" w:rsidRPr="00742229" w:rsidTr="00E7317C">
        <w:trPr>
          <w:trHeight w:val="945"/>
        </w:trPr>
        <w:tc>
          <w:tcPr>
            <w:tcW w:w="705" w:type="dxa"/>
            <w:tcBorders>
              <w:top w:val="nil"/>
              <w:left w:val="single" w:sz="8" w:space="0" w:color="auto"/>
              <w:bottom w:val="single" w:sz="4" w:space="0" w:color="auto"/>
              <w:right w:val="single" w:sz="4" w:space="0" w:color="auto"/>
            </w:tcBorders>
            <w:shd w:val="clear" w:color="auto" w:fill="auto"/>
            <w:noWrap/>
            <w:vAlign w:val="center"/>
            <w:hideMark/>
          </w:tcPr>
          <w:p w:rsidR="00E7317C" w:rsidRPr="005626BE" w:rsidRDefault="00E7317C" w:rsidP="00E7317C">
            <w:pPr>
              <w:jc w:val="center"/>
              <w:rPr>
                <w:color w:val="000000"/>
                <w:sz w:val="28"/>
                <w:szCs w:val="28"/>
              </w:rPr>
            </w:pPr>
            <w:r w:rsidRPr="005626BE">
              <w:rPr>
                <w:color w:val="000000"/>
                <w:sz w:val="28"/>
                <w:szCs w:val="28"/>
              </w:rPr>
              <w:t>6</w:t>
            </w:r>
          </w:p>
        </w:tc>
        <w:tc>
          <w:tcPr>
            <w:tcW w:w="3620" w:type="dxa"/>
            <w:tcBorders>
              <w:top w:val="nil"/>
              <w:left w:val="nil"/>
              <w:bottom w:val="single" w:sz="4" w:space="0" w:color="auto"/>
              <w:right w:val="single" w:sz="4" w:space="0" w:color="auto"/>
            </w:tcBorders>
            <w:shd w:val="clear" w:color="auto" w:fill="auto"/>
            <w:vAlign w:val="center"/>
            <w:hideMark/>
          </w:tcPr>
          <w:p w:rsidR="00E7317C" w:rsidRPr="005626BE" w:rsidRDefault="00E7317C" w:rsidP="00E7317C">
            <w:pPr>
              <w:rPr>
                <w:color w:val="000000"/>
                <w:sz w:val="28"/>
                <w:szCs w:val="28"/>
              </w:rPr>
            </w:pPr>
            <w:r w:rsidRPr="005626BE">
              <w:rPr>
                <w:color w:val="000000"/>
                <w:sz w:val="28"/>
                <w:szCs w:val="28"/>
              </w:rPr>
              <w:t>Норматив распределения по проекту закона о федеральном бюджете в целях реализации Нацпроекта (Таблица 2 Приложения 3 к проекту ФБ)</w:t>
            </w:r>
          </w:p>
        </w:tc>
        <w:tc>
          <w:tcPr>
            <w:tcW w:w="1826" w:type="dxa"/>
            <w:tcBorders>
              <w:top w:val="nil"/>
              <w:left w:val="nil"/>
              <w:bottom w:val="single" w:sz="4" w:space="0" w:color="auto"/>
              <w:right w:val="single" w:sz="4" w:space="0" w:color="auto"/>
            </w:tcBorders>
            <w:shd w:val="clear" w:color="000000" w:fill="FFFFFF"/>
            <w:noWrap/>
            <w:vAlign w:val="center"/>
            <w:hideMark/>
          </w:tcPr>
          <w:p w:rsidR="00E7317C" w:rsidRPr="005626BE" w:rsidRDefault="00E7317C" w:rsidP="00E7317C">
            <w:pPr>
              <w:jc w:val="center"/>
              <w:rPr>
                <w:color w:val="000000"/>
                <w:sz w:val="28"/>
                <w:szCs w:val="28"/>
              </w:rPr>
            </w:pPr>
            <w:r w:rsidRPr="005626BE">
              <w:rPr>
                <w:color w:val="000000"/>
                <w:sz w:val="28"/>
                <w:szCs w:val="28"/>
              </w:rPr>
              <w:t>1,9963%</w:t>
            </w:r>
          </w:p>
        </w:tc>
        <w:tc>
          <w:tcPr>
            <w:tcW w:w="1816" w:type="dxa"/>
            <w:tcBorders>
              <w:top w:val="nil"/>
              <w:left w:val="nil"/>
              <w:bottom w:val="single" w:sz="4" w:space="0" w:color="auto"/>
              <w:right w:val="single" w:sz="4" w:space="0" w:color="auto"/>
            </w:tcBorders>
            <w:shd w:val="clear" w:color="000000" w:fill="FFFFFF"/>
            <w:noWrap/>
            <w:vAlign w:val="center"/>
            <w:hideMark/>
          </w:tcPr>
          <w:p w:rsidR="00E7317C" w:rsidRPr="005626BE" w:rsidRDefault="00E7317C" w:rsidP="00E7317C">
            <w:pPr>
              <w:jc w:val="center"/>
              <w:rPr>
                <w:color w:val="000000"/>
                <w:sz w:val="28"/>
                <w:szCs w:val="28"/>
              </w:rPr>
            </w:pPr>
            <w:r w:rsidRPr="005626BE">
              <w:rPr>
                <w:color w:val="000000"/>
                <w:sz w:val="28"/>
                <w:szCs w:val="28"/>
              </w:rPr>
              <w:t>1,9963%</w:t>
            </w:r>
          </w:p>
        </w:tc>
        <w:tc>
          <w:tcPr>
            <w:tcW w:w="1816" w:type="dxa"/>
            <w:tcBorders>
              <w:top w:val="nil"/>
              <w:left w:val="nil"/>
              <w:bottom w:val="single" w:sz="4" w:space="0" w:color="auto"/>
              <w:right w:val="single" w:sz="8" w:space="0" w:color="auto"/>
            </w:tcBorders>
            <w:shd w:val="clear" w:color="000000" w:fill="FFFFFF"/>
            <w:noWrap/>
            <w:vAlign w:val="center"/>
            <w:hideMark/>
          </w:tcPr>
          <w:p w:rsidR="00E7317C" w:rsidRPr="005626BE" w:rsidRDefault="00E7317C" w:rsidP="00E7317C">
            <w:pPr>
              <w:jc w:val="center"/>
              <w:rPr>
                <w:color w:val="000000"/>
                <w:sz w:val="28"/>
                <w:szCs w:val="28"/>
              </w:rPr>
            </w:pPr>
            <w:r w:rsidRPr="005626BE">
              <w:rPr>
                <w:color w:val="000000"/>
                <w:sz w:val="28"/>
                <w:szCs w:val="28"/>
              </w:rPr>
              <w:t>1,9963%</w:t>
            </w:r>
          </w:p>
        </w:tc>
      </w:tr>
      <w:tr w:rsidR="00E7317C" w:rsidRPr="00742229" w:rsidTr="00E7317C">
        <w:trPr>
          <w:trHeight w:val="375"/>
        </w:trPr>
        <w:tc>
          <w:tcPr>
            <w:tcW w:w="705" w:type="dxa"/>
            <w:tcBorders>
              <w:top w:val="nil"/>
              <w:left w:val="single" w:sz="8" w:space="0" w:color="auto"/>
              <w:bottom w:val="single" w:sz="4" w:space="0" w:color="auto"/>
              <w:right w:val="single" w:sz="4" w:space="0" w:color="auto"/>
            </w:tcBorders>
            <w:shd w:val="clear" w:color="auto" w:fill="auto"/>
            <w:noWrap/>
            <w:vAlign w:val="center"/>
            <w:hideMark/>
          </w:tcPr>
          <w:p w:rsidR="00E7317C" w:rsidRPr="007E423C" w:rsidRDefault="00E7317C" w:rsidP="00E7317C">
            <w:pPr>
              <w:jc w:val="center"/>
              <w:rPr>
                <w:color w:val="000000"/>
                <w:sz w:val="28"/>
                <w:szCs w:val="28"/>
              </w:rPr>
            </w:pPr>
            <w:r w:rsidRPr="007E423C">
              <w:rPr>
                <w:color w:val="000000"/>
                <w:sz w:val="28"/>
                <w:szCs w:val="28"/>
              </w:rPr>
              <w:t>7</w:t>
            </w:r>
          </w:p>
        </w:tc>
        <w:tc>
          <w:tcPr>
            <w:tcW w:w="3620" w:type="dxa"/>
            <w:tcBorders>
              <w:top w:val="nil"/>
              <w:left w:val="nil"/>
              <w:bottom w:val="single" w:sz="4" w:space="0" w:color="auto"/>
              <w:right w:val="single" w:sz="4" w:space="0" w:color="auto"/>
            </w:tcBorders>
            <w:shd w:val="clear" w:color="auto" w:fill="auto"/>
            <w:vAlign w:val="center"/>
            <w:hideMark/>
          </w:tcPr>
          <w:p w:rsidR="00E7317C" w:rsidRPr="007E423C" w:rsidRDefault="00E7317C" w:rsidP="00E7317C">
            <w:pPr>
              <w:rPr>
                <w:color w:val="000000"/>
                <w:sz w:val="28"/>
                <w:szCs w:val="28"/>
              </w:rPr>
            </w:pPr>
            <w:r w:rsidRPr="007E423C">
              <w:rPr>
                <w:color w:val="000000"/>
                <w:sz w:val="28"/>
                <w:szCs w:val="28"/>
              </w:rPr>
              <w:t>Консолидированный бюджет, всего</w:t>
            </w:r>
          </w:p>
          <w:p w:rsidR="00E7317C" w:rsidRDefault="00E7317C" w:rsidP="00E7317C">
            <w:pPr>
              <w:rPr>
                <w:color w:val="000000"/>
                <w:sz w:val="28"/>
                <w:szCs w:val="28"/>
              </w:rPr>
            </w:pPr>
            <w:r w:rsidRPr="007E423C">
              <w:rPr>
                <w:color w:val="000000"/>
                <w:sz w:val="28"/>
                <w:szCs w:val="28"/>
              </w:rPr>
              <w:t>стр. 7 = стр. 8.1/90%+стр. 8.2</w:t>
            </w:r>
          </w:p>
          <w:p w:rsidR="0030575D" w:rsidRPr="007E423C" w:rsidRDefault="0030575D" w:rsidP="00E7317C">
            <w:pPr>
              <w:rPr>
                <w:color w:val="000000"/>
                <w:sz w:val="28"/>
                <w:szCs w:val="28"/>
              </w:rPr>
            </w:pPr>
            <w:r>
              <w:rPr>
                <w:color w:val="000000"/>
              </w:rPr>
              <w:t>тыс. руб.</w:t>
            </w:r>
          </w:p>
        </w:tc>
        <w:tc>
          <w:tcPr>
            <w:tcW w:w="1826" w:type="dxa"/>
            <w:tcBorders>
              <w:top w:val="nil"/>
              <w:left w:val="nil"/>
              <w:bottom w:val="single" w:sz="4" w:space="0" w:color="auto"/>
              <w:right w:val="single" w:sz="4" w:space="0" w:color="auto"/>
            </w:tcBorders>
            <w:shd w:val="clear" w:color="auto" w:fill="auto"/>
            <w:noWrap/>
            <w:vAlign w:val="center"/>
          </w:tcPr>
          <w:p w:rsidR="00E7317C" w:rsidRPr="007E423C" w:rsidRDefault="00E7317C" w:rsidP="00A3150E">
            <w:pPr>
              <w:jc w:val="center"/>
              <w:rPr>
                <w:b/>
                <w:color w:val="000000"/>
                <w:sz w:val="28"/>
                <w:szCs w:val="28"/>
              </w:rPr>
            </w:pPr>
            <w:r>
              <w:rPr>
                <w:b/>
                <w:color w:val="000000"/>
                <w:sz w:val="28"/>
                <w:szCs w:val="28"/>
              </w:rPr>
              <w:t>9 049 976,</w:t>
            </w:r>
            <w:r w:rsidR="00A3150E">
              <w:rPr>
                <w:b/>
                <w:color w:val="000000"/>
                <w:sz w:val="28"/>
                <w:szCs w:val="28"/>
              </w:rPr>
              <w:t>1</w:t>
            </w:r>
          </w:p>
        </w:tc>
        <w:tc>
          <w:tcPr>
            <w:tcW w:w="1816" w:type="dxa"/>
            <w:tcBorders>
              <w:top w:val="nil"/>
              <w:left w:val="nil"/>
              <w:bottom w:val="single" w:sz="4" w:space="0" w:color="auto"/>
              <w:right w:val="single" w:sz="4" w:space="0" w:color="auto"/>
            </w:tcBorders>
            <w:shd w:val="clear" w:color="auto" w:fill="auto"/>
            <w:noWrap/>
            <w:vAlign w:val="center"/>
          </w:tcPr>
          <w:p w:rsidR="00E7317C" w:rsidRPr="007E423C" w:rsidRDefault="00E7317C" w:rsidP="00A3150E">
            <w:pPr>
              <w:jc w:val="center"/>
              <w:rPr>
                <w:b/>
                <w:color w:val="000000"/>
                <w:sz w:val="28"/>
                <w:szCs w:val="28"/>
              </w:rPr>
            </w:pPr>
            <w:r>
              <w:rPr>
                <w:b/>
                <w:color w:val="000000"/>
                <w:sz w:val="28"/>
                <w:szCs w:val="28"/>
              </w:rPr>
              <w:t>9 504 541,</w:t>
            </w:r>
            <w:r w:rsidR="00A3150E">
              <w:rPr>
                <w:b/>
                <w:color w:val="000000"/>
                <w:sz w:val="28"/>
                <w:szCs w:val="28"/>
              </w:rPr>
              <w:t>6</w:t>
            </w:r>
          </w:p>
        </w:tc>
        <w:tc>
          <w:tcPr>
            <w:tcW w:w="1816" w:type="dxa"/>
            <w:tcBorders>
              <w:top w:val="nil"/>
              <w:left w:val="nil"/>
              <w:bottom w:val="single" w:sz="4" w:space="0" w:color="auto"/>
              <w:right w:val="single" w:sz="8" w:space="0" w:color="auto"/>
            </w:tcBorders>
            <w:shd w:val="clear" w:color="auto" w:fill="auto"/>
            <w:noWrap/>
            <w:vAlign w:val="center"/>
          </w:tcPr>
          <w:p w:rsidR="00E7317C" w:rsidRPr="007E423C" w:rsidRDefault="00E7317C" w:rsidP="00E7317C">
            <w:pPr>
              <w:jc w:val="center"/>
              <w:rPr>
                <w:b/>
                <w:color w:val="000000"/>
                <w:sz w:val="28"/>
                <w:szCs w:val="28"/>
              </w:rPr>
            </w:pPr>
            <w:r>
              <w:rPr>
                <w:b/>
                <w:color w:val="000000"/>
                <w:sz w:val="28"/>
                <w:szCs w:val="28"/>
              </w:rPr>
              <w:t>9 885 597,4</w:t>
            </w:r>
          </w:p>
        </w:tc>
      </w:tr>
      <w:tr w:rsidR="00E7317C" w:rsidRPr="00742229" w:rsidTr="00E7317C">
        <w:trPr>
          <w:trHeight w:val="375"/>
        </w:trPr>
        <w:tc>
          <w:tcPr>
            <w:tcW w:w="705" w:type="dxa"/>
            <w:tcBorders>
              <w:top w:val="nil"/>
              <w:left w:val="single" w:sz="8" w:space="0" w:color="auto"/>
              <w:bottom w:val="single" w:sz="4" w:space="0" w:color="auto"/>
              <w:right w:val="single" w:sz="4" w:space="0" w:color="auto"/>
            </w:tcBorders>
            <w:shd w:val="clear" w:color="auto" w:fill="auto"/>
            <w:noWrap/>
            <w:vAlign w:val="center"/>
            <w:hideMark/>
          </w:tcPr>
          <w:p w:rsidR="00E7317C" w:rsidRPr="007E423C" w:rsidRDefault="00E7317C" w:rsidP="00E7317C">
            <w:pPr>
              <w:jc w:val="center"/>
              <w:rPr>
                <w:color w:val="000000"/>
                <w:sz w:val="28"/>
                <w:szCs w:val="28"/>
              </w:rPr>
            </w:pPr>
            <w:r w:rsidRPr="007E423C">
              <w:rPr>
                <w:color w:val="000000"/>
                <w:sz w:val="28"/>
                <w:szCs w:val="28"/>
              </w:rPr>
              <w:t>8</w:t>
            </w:r>
          </w:p>
        </w:tc>
        <w:tc>
          <w:tcPr>
            <w:tcW w:w="3620" w:type="dxa"/>
            <w:tcBorders>
              <w:top w:val="nil"/>
              <w:left w:val="nil"/>
              <w:bottom w:val="single" w:sz="4" w:space="0" w:color="auto"/>
              <w:right w:val="single" w:sz="4" w:space="0" w:color="auto"/>
            </w:tcBorders>
            <w:shd w:val="clear" w:color="auto" w:fill="auto"/>
            <w:vAlign w:val="center"/>
            <w:hideMark/>
          </w:tcPr>
          <w:p w:rsidR="00E7317C" w:rsidRPr="007E423C" w:rsidRDefault="00E7317C" w:rsidP="00E7317C">
            <w:pPr>
              <w:rPr>
                <w:color w:val="000000"/>
                <w:sz w:val="28"/>
                <w:szCs w:val="28"/>
              </w:rPr>
            </w:pPr>
            <w:r w:rsidRPr="007E423C">
              <w:rPr>
                <w:color w:val="000000"/>
                <w:sz w:val="28"/>
                <w:szCs w:val="28"/>
              </w:rPr>
              <w:t>Доходы от уплаты акцизов на нефтепродукты в областной бюджет, всего</w:t>
            </w:r>
          </w:p>
          <w:p w:rsidR="00E7317C" w:rsidRDefault="00E7317C" w:rsidP="00E7317C">
            <w:pPr>
              <w:rPr>
                <w:color w:val="000000"/>
                <w:sz w:val="28"/>
                <w:szCs w:val="28"/>
              </w:rPr>
            </w:pPr>
            <w:r w:rsidRPr="007E423C">
              <w:rPr>
                <w:color w:val="000000"/>
                <w:sz w:val="28"/>
                <w:szCs w:val="28"/>
              </w:rPr>
              <w:t>стр. 8 = стр. 8.1+ стр. 8.2</w:t>
            </w:r>
          </w:p>
          <w:p w:rsidR="0030575D" w:rsidRPr="007E423C" w:rsidRDefault="0030575D" w:rsidP="00E7317C">
            <w:pPr>
              <w:rPr>
                <w:color w:val="000000"/>
                <w:sz w:val="28"/>
                <w:szCs w:val="28"/>
              </w:rPr>
            </w:pPr>
            <w:r>
              <w:rPr>
                <w:color w:val="000000"/>
              </w:rPr>
              <w:t>тыс. руб.</w:t>
            </w:r>
          </w:p>
        </w:tc>
        <w:tc>
          <w:tcPr>
            <w:tcW w:w="1826" w:type="dxa"/>
            <w:tcBorders>
              <w:top w:val="nil"/>
              <w:left w:val="nil"/>
              <w:bottom w:val="single" w:sz="4" w:space="0" w:color="auto"/>
              <w:right w:val="single" w:sz="4" w:space="0" w:color="auto"/>
            </w:tcBorders>
            <w:shd w:val="clear" w:color="auto" w:fill="auto"/>
            <w:noWrap/>
            <w:vAlign w:val="center"/>
          </w:tcPr>
          <w:p w:rsidR="00E7317C" w:rsidRPr="007E423C" w:rsidRDefault="00E7317C" w:rsidP="00E7317C">
            <w:pPr>
              <w:jc w:val="center"/>
              <w:rPr>
                <w:b/>
                <w:color w:val="000000"/>
                <w:sz w:val="28"/>
                <w:szCs w:val="28"/>
              </w:rPr>
            </w:pPr>
            <w:r>
              <w:rPr>
                <w:b/>
                <w:color w:val="000000"/>
                <w:sz w:val="28"/>
                <w:szCs w:val="28"/>
              </w:rPr>
              <w:t>8 416 245,0</w:t>
            </w:r>
          </w:p>
        </w:tc>
        <w:tc>
          <w:tcPr>
            <w:tcW w:w="1816" w:type="dxa"/>
            <w:tcBorders>
              <w:top w:val="nil"/>
              <w:left w:val="nil"/>
              <w:bottom w:val="single" w:sz="4" w:space="0" w:color="auto"/>
              <w:right w:val="single" w:sz="4" w:space="0" w:color="auto"/>
            </w:tcBorders>
            <w:shd w:val="clear" w:color="auto" w:fill="auto"/>
            <w:noWrap/>
            <w:vAlign w:val="center"/>
          </w:tcPr>
          <w:p w:rsidR="00E7317C" w:rsidRPr="007E423C" w:rsidRDefault="00E7317C" w:rsidP="00E7317C">
            <w:pPr>
              <w:jc w:val="center"/>
              <w:rPr>
                <w:b/>
                <w:color w:val="000000"/>
                <w:sz w:val="28"/>
                <w:szCs w:val="28"/>
              </w:rPr>
            </w:pPr>
            <w:r>
              <w:rPr>
                <w:b/>
                <w:color w:val="000000"/>
                <w:sz w:val="28"/>
                <w:szCs w:val="28"/>
              </w:rPr>
              <w:t>8 832 398,1</w:t>
            </w:r>
          </w:p>
        </w:tc>
        <w:tc>
          <w:tcPr>
            <w:tcW w:w="1816" w:type="dxa"/>
            <w:tcBorders>
              <w:top w:val="nil"/>
              <w:left w:val="nil"/>
              <w:bottom w:val="single" w:sz="4" w:space="0" w:color="auto"/>
              <w:right w:val="single" w:sz="8" w:space="0" w:color="auto"/>
            </w:tcBorders>
            <w:shd w:val="clear" w:color="auto" w:fill="auto"/>
            <w:noWrap/>
            <w:vAlign w:val="center"/>
          </w:tcPr>
          <w:p w:rsidR="00E7317C" w:rsidRPr="007E423C" w:rsidRDefault="00E7317C" w:rsidP="00E7317C">
            <w:pPr>
              <w:jc w:val="center"/>
              <w:rPr>
                <w:b/>
                <w:color w:val="000000"/>
                <w:sz w:val="28"/>
                <w:szCs w:val="28"/>
              </w:rPr>
            </w:pPr>
            <w:r>
              <w:rPr>
                <w:b/>
                <w:color w:val="000000"/>
                <w:sz w:val="28"/>
                <w:szCs w:val="28"/>
              </w:rPr>
              <w:t>9 182 178,1</w:t>
            </w:r>
          </w:p>
        </w:tc>
      </w:tr>
      <w:tr w:rsidR="00E7317C" w:rsidRPr="00742229" w:rsidTr="00E7317C">
        <w:trPr>
          <w:trHeight w:val="375"/>
        </w:trPr>
        <w:tc>
          <w:tcPr>
            <w:tcW w:w="705" w:type="dxa"/>
            <w:tcBorders>
              <w:top w:val="nil"/>
              <w:left w:val="single" w:sz="8" w:space="0" w:color="auto"/>
              <w:bottom w:val="single" w:sz="4" w:space="0" w:color="auto"/>
              <w:right w:val="single" w:sz="4" w:space="0" w:color="auto"/>
            </w:tcBorders>
            <w:shd w:val="clear" w:color="auto" w:fill="auto"/>
            <w:noWrap/>
            <w:vAlign w:val="center"/>
            <w:hideMark/>
          </w:tcPr>
          <w:p w:rsidR="00E7317C" w:rsidRPr="007E423C" w:rsidRDefault="00E7317C" w:rsidP="00E7317C">
            <w:pPr>
              <w:jc w:val="center"/>
              <w:rPr>
                <w:color w:val="000000"/>
                <w:sz w:val="28"/>
                <w:szCs w:val="28"/>
              </w:rPr>
            </w:pPr>
            <w:r w:rsidRPr="007E423C">
              <w:rPr>
                <w:color w:val="000000"/>
                <w:sz w:val="28"/>
                <w:szCs w:val="28"/>
              </w:rPr>
              <w:t>8.1</w:t>
            </w:r>
          </w:p>
        </w:tc>
        <w:tc>
          <w:tcPr>
            <w:tcW w:w="3620" w:type="dxa"/>
            <w:tcBorders>
              <w:top w:val="nil"/>
              <w:left w:val="nil"/>
              <w:bottom w:val="single" w:sz="4" w:space="0" w:color="auto"/>
              <w:right w:val="single" w:sz="4" w:space="0" w:color="auto"/>
            </w:tcBorders>
            <w:shd w:val="clear" w:color="auto" w:fill="auto"/>
            <w:vAlign w:val="center"/>
            <w:hideMark/>
          </w:tcPr>
          <w:p w:rsidR="00E7317C" w:rsidRPr="007E423C" w:rsidRDefault="00E7317C" w:rsidP="00E7317C">
            <w:pPr>
              <w:rPr>
                <w:color w:val="000000"/>
                <w:sz w:val="28"/>
                <w:szCs w:val="28"/>
              </w:rPr>
            </w:pPr>
            <w:r w:rsidRPr="007E423C">
              <w:rPr>
                <w:color w:val="000000"/>
                <w:sz w:val="28"/>
                <w:szCs w:val="28"/>
              </w:rPr>
              <w:t>Доходы от уплаты акцизов на нефтепродукты в целях формирования Дорожного фонда Тверской области</w:t>
            </w:r>
          </w:p>
          <w:p w:rsidR="00E7317C" w:rsidRDefault="00E7317C" w:rsidP="00E7317C">
            <w:pPr>
              <w:rPr>
                <w:color w:val="000000"/>
                <w:sz w:val="28"/>
                <w:szCs w:val="28"/>
              </w:rPr>
            </w:pPr>
            <w:r w:rsidRPr="007E423C">
              <w:rPr>
                <w:color w:val="000000"/>
                <w:sz w:val="28"/>
                <w:szCs w:val="28"/>
              </w:rPr>
              <w:t>стр. 8.1 = 12.1 + 17.1 + 22.1 + 27.1</w:t>
            </w:r>
          </w:p>
          <w:p w:rsidR="0030575D" w:rsidRPr="007E423C" w:rsidRDefault="0030575D" w:rsidP="00E7317C">
            <w:pPr>
              <w:rPr>
                <w:color w:val="000000"/>
                <w:sz w:val="28"/>
                <w:szCs w:val="28"/>
              </w:rPr>
            </w:pPr>
            <w:r>
              <w:rPr>
                <w:color w:val="000000"/>
              </w:rPr>
              <w:t>тыс. руб.</w:t>
            </w:r>
          </w:p>
        </w:tc>
        <w:tc>
          <w:tcPr>
            <w:tcW w:w="1826" w:type="dxa"/>
            <w:tcBorders>
              <w:top w:val="nil"/>
              <w:left w:val="nil"/>
              <w:bottom w:val="single" w:sz="4" w:space="0" w:color="auto"/>
              <w:right w:val="single" w:sz="4" w:space="0" w:color="auto"/>
            </w:tcBorders>
            <w:shd w:val="clear" w:color="auto" w:fill="auto"/>
            <w:noWrap/>
            <w:vAlign w:val="center"/>
          </w:tcPr>
          <w:p w:rsidR="00E7317C" w:rsidRPr="007E423C" w:rsidRDefault="00E7317C" w:rsidP="00E7317C">
            <w:pPr>
              <w:jc w:val="center"/>
              <w:rPr>
                <w:color w:val="000000"/>
                <w:sz w:val="28"/>
                <w:szCs w:val="28"/>
              </w:rPr>
            </w:pPr>
            <w:r>
              <w:rPr>
                <w:color w:val="000000"/>
                <w:sz w:val="28"/>
                <w:szCs w:val="28"/>
              </w:rPr>
              <w:t>5 703 579,4</w:t>
            </w:r>
          </w:p>
        </w:tc>
        <w:tc>
          <w:tcPr>
            <w:tcW w:w="1816" w:type="dxa"/>
            <w:tcBorders>
              <w:top w:val="nil"/>
              <w:left w:val="nil"/>
              <w:bottom w:val="single" w:sz="4" w:space="0" w:color="auto"/>
              <w:right w:val="single" w:sz="4" w:space="0" w:color="auto"/>
            </w:tcBorders>
            <w:shd w:val="clear" w:color="auto" w:fill="auto"/>
            <w:noWrap/>
            <w:vAlign w:val="center"/>
          </w:tcPr>
          <w:p w:rsidR="00E7317C" w:rsidRPr="007E423C" w:rsidRDefault="00E7317C" w:rsidP="00E7317C">
            <w:pPr>
              <w:jc w:val="center"/>
              <w:rPr>
                <w:color w:val="000000"/>
                <w:sz w:val="28"/>
                <w:szCs w:val="28"/>
              </w:rPr>
            </w:pPr>
            <w:r>
              <w:rPr>
                <w:color w:val="000000"/>
                <w:sz w:val="28"/>
                <w:szCs w:val="28"/>
              </w:rPr>
              <w:t>6 049 292,0</w:t>
            </w:r>
          </w:p>
        </w:tc>
        <w:tc>
          <w:tcPr>
            <w:tcW w:w="1816" w:type="dxa"/>
            <w:tcBorders>
              <w:top w:val="nil"/>
              <w:left w:val="nil"/>
              <w:bottom w:val="single" w:sz="4" w:space="0" w:color="auto"/>
              <w:right w:val="single" w:sz="8" w:space="0" w:color="auto"/>
            </w:tcBorders>
            <w:shd w:val="clear" w:color="auto" w:fill="auto"/>
            <w:noWrap/>
            <w:vAlign w:val="center"/>
          </w:tcPr>
          <w:p w:rsidR="00E7317C" w:rsidRPr="007E423C" w:rsidRDefault="00E7317C" w:rsidP="00E7317C">
            <w:pPr>
              <w:jc w:val="center"/>
              <w:rPr>
                <w:color w:val="000000"/>
                <w:sz w:val="28"/>
                <w:szCs w:val="28"/>
              </w:rPr>
            </w:pPr>
            <w:r>
              <w:rPr>
                <w:color w:val="000000"/>
                <w:sz w:val="28"/>
                <w:szCs w:val="28"/>
              </w:rPr>
              <w:t>6 330 773,6</w:t>
            </w:r>
          </w:p>
        </w:tc>
      </w:tr>
      <w:tr w:rsidR="00E7317C" w:rsidRPr="00742229" w:rsidTr="00E7317C">
        <w:trPr>
          <w:trHeight w:val="390"/>
        </w:trPr>
        <w:tc>
          <w:tcPr>
            <w:tcW w:w="705" w:type="dxa"/>
            <w:tcBorders>
              <w:top w:val="nil"/>
              <w:left w:val="single" w:sz="8" w:space="0" w:color="auto"/>
              <w:bottom w:val="single" w:sz="8" w:space="0" w:color="auto"/>
              <w:right w:val="single" w:sz="4" w:space="0" w:color="auto"/>
            </w:tcBorders>
            <w:shd w:val="clear" w:color="auto" w:fill="auto"/>
            <w:noWrap/>
            <w:vAlign w:val="center"/>
            <w:hideMark/>
          </w:tcPr>
          <w:p w:rsidR="00E7317C" w:rsidRPr="007E423C" w:rsidRDefault="00E7317C" w:rsidP="00E7317C">
            <w:pPr>
              <w:jc w:val="center"/>
              <w:rPr>
                <w:color w:val="000000"/>
                <w:sz w:val="28"/>
                <w:szCs w:val="28"/>
              </w:rPr>
            </w:pPr>
            <w:r w:rsidRPr="007E423C">
              <w:rPr>
                <w:color w:val="000000"/>
                <w:sz w:val="28"/>
                <w:szCs w:val="28"/>
              </w:rPr>
              <w:lastRenderedPageBreak/>
              <w:t>8.2</w:t>
            </w:r>
          </w:p>
        </w:tc>
        <w:tc>
          <w:tcPr>
            <w:tcW w:w="3620" w:type="dxa"/>
            <w:tcBorders>
              <w:top w:val="nil"/>
              <w:left w:val="nil"/>
              <w:bottom w:val="single" w:sz="8" w:space="0" w:color="auto"/>
              <w:right w:val="single" w:sz="4" w:space="0" w:color="auto"/>
            </w:tcBorders>
            <w:shd w:val="clear" w:color="auto" w:fill="auto"/>
            <w:vAlign w:val="center"/>
            <w:hideMark/>
          </w:tcPr>
          <w:p w:rsidR="00E7317C" w:rsidRPr="007E423C" w:rsidRDefault="00E7317C" w:rsidP="00E7317C">
            <w:pPr>
              <w:rPr>
                <w:color w:val="000000"/>
                <w:sz w:val="28"/>
                <w:szCs w:val="28"/>
              </w:rPr>
            </w:pPr>
            <w:r w:rsidRPr="007E423C">
              <w:rPr>
                <w:color w:val="000000"/>
                <w:sz w:val="28"/>
                <w:szCs w:val="28"/>
              </w:rPr>
              <w:t>Доходы от уплаты акцизов на нефтепродукты в целях реализации Нацпроекта</w:t>
            </w:r>
          </w:p>
          <w:p w:rsidR="00E7317C" w:rsidRPr="007E423C" w:rsidRDefault="00E7317C" w:rsidP="00E7317C">
            <w:pPr>
              <w:rPr>
                <w:color w:val="000000"/>
                <w:sz w:val="28"/>
                <w:szCs w:val="28"/>
              </w:rPr>
            </w:pPr>
            <w:r w:rsidRPr="007E423C">
              <w:rPr>
                <w:color w:val="000000"/>
                <w:sz w:val="28"/>
                <w:szCs w:val="28"/>
              </w:rPr>
              <w:t>стр. 8.2 = 12.2 + 17.2 + 22.2 + 27.2</w:t>
            </w:r>
          </w:p>
          <w:p w:rsidR="00E7317C" w:rsidRPr="007E423C" w:rsidRDefault="0030575D" w:rsidP="00E7317C">
            <w:pPr>
              <w:rPr>
                <w:color w:val="000000"/>
                <w:sz w:val="28"/>
                <w:szCs w:val="28"/>
              </w:rPr>
            </w:pPr>
            <w:r>
              <w:rPr>
                <w:color w:val="000000"/>
              </w:rPr>
              <w:t>тыс. руб.</w:t>
            </w:r>
          </w:p>
        </w:tc>
        <w:tc>
          <w:tcPr>
            <w:tcW w:w="1826" w:type="dxa"/>
            <w:tcBorders>
              <w:top w:val="nil"/>
              <w:left w:val="nil"/>
              <w:bottom w:val="single" w:sz="8" w:space="0" w:color="auto"/>
              <w:right w:val="single" w:sz="4" w:space="0" w:color="auto"/>
            </w:tcBorders>
            <w:shd w:val="clear" w:color="auto" w:fill="auto"/>
            <w:noWrap/>
            <w:vAlign w:val="center"/>
          </w:tcPr>
          <w:p w:rsidR="00E7317C" w:rsidRPr="007E423C" w:rsidRDefault="00E7317C" w:rsidP="00E7317C">
            <w:pPr>
              <w:jc w:val="center"/>
              <w:rPr>
                <w:color w:val="000000"/>
                <w:sz w:val="28"/>
                <w:szCs w:val="28"/>
              </w:rPr>
            </w:pPr>
            <w:r>
              <w:rPr>
                <w:color w:val="000000"/>
                <w:sz w:val="28"/>
                <w:szCs w:val="28"/>
              </w:rPr>
              <w:t>2 712 665,6</w:t>
            </w:r>
          </w:p>
        </w:tc>
        <w:tc>
          <w:tcPr>
            <w:tcW w:w="1816" w:type="dxa"/>
            <w:tcBorders>
              <w:top w:val="nil"/>
              <w:left w:val="nil"/>
              <w:bottom w:val="single" w:sz="8" w:space="0" w:color="auto"/>
              <w:right w:val="single" w:sz="4" w:space="0" w:color="auto"/>
            </w:tcBorders>
            <w:shd w:val="clear" w:color="auto" w:fill="auto"/>
            <w:noWrap/>
            <w:vAlign w:val="center"/>
          </w:tcPr>
          <w:p w:rsidR="00E7317C" w:rsidRPr="007E423C" w:rsidRDefault="00E7317C" w:rsidP="00E7317C">
            <w:pPr>
              <w:jc w:val="center"/>
              <w:rPr>
                <w:color w:val="000000"/>
                <w:sz w:val="28"/>
                <w:szCs w:val="28"/>
              </w:rPr>
            </w:pPr>
            <w:r>
              <w:rPr>
                <w:color w:val="000000"/>
                <w:sz w:val="28"/>
                <w:szCs w:val="28"/>
              </w:rPr>
              <w:t>2 783 106,1</w:t>
            </w:r>
          </w:p>
        </w:tc>
        <w:tc>
          <w:tcPr>
            <w:tcW w:w="1816" w:type="dxa"/>
            <w:tcBorders>
              <w:top w:val="nil"/>
              <w:left w:val="nil"/>
              <w:bottom w:val="single" w:sz="8" w:space="0" w:color="auto"/>
              <w:right w:val="single" w:sz="8" w:space="0" w:color="auto"/>
            </w:tcBorders>
            <w:shd w:val="clear" w:color="auto" w:fill="auto"/>
            <w:noWrap/>
            <w:vAlign w:val="center"/>
          </w:tcPr>
          <w:p w:rsidR="00E7317C" w:rsidRPr="007E423C" w:rsidRDefault="00E7317C" w:rsidP="00E7317C">
            <w:pPr>
              <w:jc w:val="center"/>
              <w:rPr>
                <w:color w:val="000000"/>
                <w:sz w:val="28"/>
                <w:szCs w:val="28"/>
              </w:rPr>
            </w:pPr>
            <w:r>
              <w:rPr>
                <w:color w:val="000000"/>
                <w:sz w:val="28"/>
                <w:szCs w:val="28"/>
              </w:rPr>
              <w:t>2 851 404,5</w:t>
            </w:r>
          </w:p>
        </w:tc>
      </w:tr>
      <w:tr w:rsidR="00E7317C" w:rsidRPr="00742229" w:rsidTr="00E7317C">
        <w:trPr>
          <w:trHeight w:val="375"/>
        </w:trPr>
        <w:tc>
          <w:tcPr>
            <w:tcW w:w="705" w:type="dxa"/>
            <w:tcBorders>
              <w:top w:val="nil"/>
              <w:left w:val="single" w:sz="8" w:space="0" w:color="auto"/>
              <w:bottom w:val="single" w:sz="4" w:space="0" w:color="auto"/>
              <w:right w:val="single" w:sz="4" w:space="0" w:color="auto"/>
            </w:tcBorders>
            <w:shd w:val="clear" w:color="auto" w:fill="auto"/>
            <w:noWrap/>
            <w:vAlign w:val="center"/>
            <w:hideMark/>
          </w:tcPr>
          <w:p w:rsidR="00E7317C" w:rsidRPr="007E423C" w:rsidRDefault="00E7317C" w:rsidP="00E7317C">
            <w:pPr>
              <w:jc w:val="center"/>
              <w:rPr>
                <w:color w:val="000000"/>
                <w:sz w:val="28"/>
                <w:szCs w:val="28"/>
              </w:rPr>
            </w:pPr>
            <w:r w:rsidRPr="007E423C">
              <w:rPr>
                <w:color w:val="000000"/>
                <w:sz w:val="28"/>
                <w:szCs w:val="28"/>
              </w:rPr>
              <w:t>9</w:t>
            </w:r>
          </w:p>
        </w:tc>
        <w:tc>
          <w:tcPr>
            <w:tcW w:w="9078" w:type="dxa"/>
            <w:gridSpan w:val="4"/>
            <w:tcBorders>
              <w:top w:val="nil"/>
              <w:left w:val="nil"/>
              <w:bottom w:val="single" w:sz="4" w:space="0" w:color="auto"/>
              <w:right w:val="single" w:sz="8" w:space="0" w:color="auto"/>
            </w:tcBorders>
            <w:shd w:val="clear" w:color="auto" w:fill="auto"/>
            <w:vAlign w:val="center"/>
            <w:hideMark/>
          </w:tcPr>
          <w:p w:rsidR="00E7317C" w:rsidRPr="007E423C" w:rsidRDefault="00E7317C" w:rsidP="00E7317C">
            <w:pPr>
              <w:rPr>
                <w:rFonts w:ascii="Calibri" w:hAnsi="Calibri"/>
                <w:color w:val="000000"/>
                <w:sz w:val="28"/>
                <w:szCs w:val="28"/>
              </w:rPr>
            </w:pPr>
            <w:r w:rsidRPr="007E423C">
              <w:rPr>
                <w:b/>
                <w:bCs/>
                <w:color w:val="000000"/>
                <w:sz w:val="28"/>
                <w:szCs w:val="28"/>
              </w:rPr>
              <w:t>Дизельное топливо</w:t>
            </w:r>
          </w:p>
        </w:tc>
      </w:tr>
      <w:tr w:rsidR="00E7317C" w:rsidRPr="00742229" w:rsidTr="00E7317C">
        <w:trPr>
          <w:trHeight w:val="630"/>
        </w:trPr>
        <w:tc>
          <w:tcPr>
            <w:tcW w:w="705" w:type="dxa"/>
            <w:tcBorders>
              <w:top w:val="nil"/>
              <w:left w:val="single" w:sz="8" w:space="0" w:color="auto"/>
              <w:bottom w:val="single" w:sz="4" w:space="0" w:color="auto"/>
              <w:right w:val="single" w:sz="4" w:space="0" w:color="auto"/>
            </w:tcBorders>
            <w:shd w:val="clear" w:color="auto" w:fill="auto"/>
            <w:noWrap/>
            <w:vAlign w:val="center"/>
            <w:hideMark/>
          </w:tcPr>
          <w:p w:rsidR="00E7317C" w:rsidRPr="007E423C" w:rsidRDefault="00E7317C" w:rsidP="00E7317C">
            <w:pPr>
              <w:jc w:val="center"/>
              <w:rPr>
                <w:color w:val="000000"/>
                <w:sz w:val="28"/>
                <w:szCs w:val="28"/>
              </w:rPr>
            </w:pPr>
            <w:r w:rsidRPr="007E423C">
              <w:rPr>
                <w:color w:val="000000"/>
                <w:sz w:val="28"/>
                <w:szCs w:val="28"/>
              </w:rPr>
              <w:t>10</w:t>
            </w:r>
          </w:p>
        </w:tc>
        <w:tc>
          <w:tcPr>
            <w:tcW w:w="3620" w:type="dxa"/>
            <w:tcBorders>
              <w:top w:val="nil"/>
              <w:left w:val="nil"/>
              <w:bottom w:val="single" w:sz="4" w:space="0" w:color="auto"/>
              <w:right w:val="single" w:sz="4" w:space="0" w:color="auto"/>
            </w:tcBorders>
            <w:shd w:val="clear" w:color="auto" w:fill="auto"/>
            <w:vAlign w:val="center"/>
            <w:hideMark/>
          </w:tcPr>
          <w:p w:rsidR="00E7317C" w:rsidRPr="007E423C" w:rsidRDefault="00E7317C" w:rsidP="00E7317C">
            <w:pPr>
              <w:rPr>
                <w:color w:val="000000"/>
                <w:sz w:val="28"/>
                <w:szCs w:val="28"/>
              </w:rPr>
            </w:pPr>
            <w:r w:rsidRPr="007E423C">
              <w:rPr>
                <w:color w:val="000000"/>
                <w:sz w:val="28"/>
                <w:szCs w:val="28"/>
              </w:rPr>
              <w:t xml:space="preserve">Доходы по Российской Федерации всего </w:t>
            </w:r>
          </w:p>
          <w:p w:rsidR="00E7317C" w:rsidRDefault="00E7317C" w:rsidP="00E7317C">
            <w:pPr>
              <w:rPr>
                <w:color w:val="000000"/>
                <w:sz w:val="28"/>
                <w:szCs w:val="28"/>
              </w:rPr>
            </w:pPr>
            <w:r w:rsidRPr="007E423C">
              <w:rPr>
                <w:color w:val="000000"/>
                <w:sz w:val="28"/>
                <w:szCs w:val="28"/>
              </w:rPr>
              <w:t>стр. 10 = стр. 10.1/стр. 1</w:t>
            </w:r>
          </w:p>
          <w:p w:rsidR="0030575D" w:rsidRPr="007E423C" w:rsidRDefault="0030575D" w:rsidP="00E7317C">
            <w:pPr>
              <w:rPr>
                <w:color w:val="000000"/>
                <w:sz w:val="28"/>
                <w:szCs w:val="28"/>
              </w:rPr>
            </w:pPr>
            <w:r>
              <w:rPr>
                <w:color w:val="000000"/>
              </w:rPr>
              <w:t>тыс. руб.</w:t>
            </w:r>
          </w:p>
        </w:tc>
        <w:tc>
          <w:tcPr>
            <w:tcW w:w="1826" w:type="dxa"/>
            <w:tcBorders>
              <w:top w:val="nil"/>
              <w:left w:val="nil"/>
              <w:bottom w:val="single" w:sz="4" w:space="0" w:color="auto"/>
              <w:right w:val="single" w:sz="4" w:space="0" w:color="auto"/>
            </w:tcBorders>
            <w:shd w:val="clear" w:color="000000" w:fill="FFFFFF"/>
            <w:noWrap/>
            <w:vAlign w:val="center"/>
          </w:tcPr>
          <w:p w:rsidR="00E7317C" w:rsidRPr="005626BE" w:rsidRDefault="00E7317C" w:rsidP="00E7317C">
            <w:pPr>
              <w:ind w:right="-114"/>
              <w:rPr>
                <w:color w:val="000000"/>
                <w:sz w:val="28"/>
                <w:szCs w:val="28"/>
              </w:rPr>
            </w:pPr>
            <w:r>
              <w:rPr>
                <w:color w:val="000000"/>
                <w:sz w:val="28"/>
                <w:szCs w:val="28"/>
              </w:rPr>
              <w:t>367 830 572,1</w:t>
            </w:r>
          </w:p>
        </w:tc>
        <w:tc>
          <w:tcPr>
            <w:tcW w:w="1816" w:type="dxa"/>
            <w:tcBorders>
              <w:top w:val="nil"/>
              <w:left w:val="nil"/>
              <w:bottom w:val="single" w:sz="4" w:space="0" w:color="auto"/>
              <w:right w:val="single" w:sz="4" w:space="0" w:color="auto"/>
            </w:tcBorders>
            <w:shd w:val="clear" w:color="000000" w:fill="FFFFFF"/>
            <w:noWrap/>
            <w:vAlign w:val="center"/>
          </w:tcPr>
          <w:p w:rsidR="00E7317C" w:rsidRPr="005626BE" w:rsidRDefault="00E7317C" w:rsidP="00E7317C">
            <w:pPr>
              <w:ind w:left="-110" w:right="-114"/>
              <w:jc w:val="center"/>
              <w:rPr>
                <w:color w:val="000000"/>
                <w:sz w:val="28"/>
                <w:szCs w:val="28"/>
              </w:rPr>
            </w:pPr>
            <w:r>
              <w:rPr>
                <w:color w:val="000000"/>
                <w:sz w:val="28"/>
                <w:szCs w:val="28"/>
              </w:rPr>
              <w:t>373 431 486,9</w:t>
            </w:r>
          </w:p>
        </w:tc>
        <w:tc>
          <w:tcPr>
            <w:tcW w:w="1816" w:type="dxa"/>
            <w:tcBorders>
              <w:top w:val="nil"/>
              <w:left w:val="nil"/>
              <w:bottom w:val="single" w:sz="4" w:space="0" w:color="auto"/>
              <w:right w:val="single" w:sz="8" w:space="0" w:color="auto"/>
            </w:tcBorders>
            <w:shd w:val="clear" w:color="000000" w:fill="FFFFFF"/>
            <w:noWrap/>
            <w:vAlign w:val="center"/>
          </w:tcPr>
          <w:p w:rsidR="00E7317C" w:rsidRPr="005626BE" w:rsidRDefault="00E7317C" w:rsidP="00E7317C">
            <w:pPr>
              <w:ind w:left="-110" w:right="-114"/>
              <w:jc w:val="center"/>
              <w:rPr>
                <w:color w:val="000000"/>
                <w:sz w:val="28"/>
                <w:szCs w:val="28"/>
              </w:rPr>
            </w:pPr>
            <w:r>
              <w:rPr>
                <w:color w:val="000000"/>
                <w:sz w:val="28"/>
                <w:szCs w:val="28"/>
              </w:rPr>
              <w:t>376 515 188,4</w:t>
            </w:r>
          </w:p>
        </w:tc>
      </w:tr>
      <w:tr w:rsidR="00E7317C" w:rsidRPr="00742229" w:rsidTr="00E7317C">
        <w:trPr>
          <w:trHeight w:val="630"/>
        </w:trPr>
        <w:tc>
          <w:tcPr>
            <w:tcW w:w="705" w:type="dxa"/>
            <w:tcBorders>
              <w:top w:val="nil"/>
              <w:left w:val="single" w:sz="8" w:space="0" w:color="auto"/>
              <w:bottom w:val="single" w:sz="4" w:space="0" w:color="auto"/>
              <w:right w:val="single" w:sz="4" w:space="0" w:color="auto"/>
            </w:tcBorders>
            <w:shd w:val="clear" w:color="auto" w:fill="auto"/>
            <w:noWrap/>
            <w:vAlign w:val="center"/>
          </w:tcPr>
          <w:p w:rsidR="00E7317C" w:rsidRPr="005626BE" w:rsidRDefault="00E7317C" w:rsidP="00E7317C">
            <w:pPr>
              <w:ind w:left="-96"/>
              <w:jc w:val="center"/>
              <w:rPr>
                <w:color w:val="000000"/>
                <w:sz w:val="28"/>
                <w:szCs w:val="28"/>
              </w:rPr>
            </w:pPr>
            <w:r w:rsidRPr="005626BE">
              <w:rPr>
                <w:color w:val="000000"/>
                <w:sz w:val="28"/>
                <w:szCs w:val="28"/>
              </w:rPr>
              <w:t>10.1</w:t>
            </w:r>
          </w:p>
        </w:tc>
        <w:tc>
          <w:tcPr>
            <w:tcW w:w="3620" w:type="dxa"/>
            <w:tcBorders>
              <w:top w:val="nil"/>
              <w:left w:val="nil"/>
              <w:bottom w:val="single" w:sz="4" w:space="0" w:color="auto"/>
              <w:right w:val="single" w:sz="4" w:space="0" w:color="auto"/>
            </w:tcBorders>
            <w:shd w:val="clear" w:color="auto" w:fill="auto"/>
            <w:vAlign w:val="center"/>
          </w:tcPr>
          <w:p w:rsidR="00E7317C" w:rsidRDefault="00E7317C" w:rsidP="00E7317C">
            <w:pPr>
              <w:rPr>
                <w:color w:val="000000"/>
                <w:sz w:val="28"/>
                <w:szCs w:val="28"/>
              </w:rPr>
            </w:pPr>
            <w:r w:rsidRPr="005626BE">
              <w:rPr>
                <w:color w:val="000000"/>
                <w:sz w:val="28"/>
                <w:szCs w:val="28"/>
              </w:rPr>
              <w:t>Доходы федерального бюджета в соответствии с проектом ФБ</w:t>
            </w:r>
            <w:r>
              <w:rPr>
                <w:color w:val="000000"/>
                <w:sz w:val="28"/>
                <w:szCs w:val="28"/>
              </w:rPr>
              <w:t xml:space="preserve"> </w:t>
            </w:r>
          </w:p>
          <w:p w:rsidR="0030575D" w:rsidRPr="005626BE" w:rsidRDefault="0030575D" w:rsidP="00E7317C">
            <w:pPr>
              <w:rPr>
                <w:color w:val="000000"/>
                <w:sz w:val="28"/>
                <w:szCs w:val="28"/>
              </w:rPr>
            </w:pPr>
            <w:r>
              <w:rPr>
                <w:color w:val="000000"/>
              </w:rPr>
              <w:t>тыс. руб.</w:t>
            </w:r>
          </w:p>
        </w:tc>
        <w:tc>
          <w:tcPr>
            <w:tcW w:w="1826" w:type="dxa"/>
            <w:tcBorders>
              <w:top w:val="nil"/>
              <w:left w:val="nil"/>
              <w:bottom w:val="single" w:sz="4" w:space="0" w:color="auto"/>
              <w:right w:val="single" w:sz="4" w:space="0" w:color="auto"/>
            </w:tcBorders>
            <w:shd w:val="clear" w:color="auto" w:fill="auto"/>
            <w:noWrap/>
            <w:vAlign w:val="center"/>
          </w:tcPr>
          <w:p w:rsidR="00E7317C" w:rsidRPr="005626BE" w:rsidRDefault="00E7317C" w:rsidP="00E7317C">
            <w:pPr>
              <w:ind w:right="-114"/>
              <w:rPr>
                <w:color w:val="000000"/>
                <w:sz w:val="28"/>
                <w:szCs w:val="28"/>
              </w:rPr>
            </w:pPr>
            <w:r w:rsidRPr="005626BE">
              <w:rPr>
                <w:color w:val="000000"/>
                <w:sz w:val="28"/>
                <w:szCs w:val="28"/>
              </w:rPr>
              <w:t>92 325 473,6</w:t>
            </w:r>
          </w:p>
        </w:tc>
        <w:tc>
          <w:tcPr>
            <w:tcW w:w="1816" w:type="dxa"/>
            <w:tcBorders>
              <w:top w:val="nil"/>
              <w:left w:val="nil"/>
              <w:bottom w:val="single" w:sz="4" w:space="0" w:color="auto"/>
              <w:right w:val="single" w:sz="4" w:space="0" w:color="auto"/>
            </w:tcBorders>
            <w:shd w:val="clear" w:color="auto" w:fill="auto"/>
            <w:noWrap/>
            <w:vAlign w:val="center"/>
          </w:tcPr>
          <w:p w:rsidR="00E7317C" w:rsidRPr="005626BE" w:rsidRDefault="00E7317C" w:rsidP="00E7317C">
            <w:pPr>
              <w:ind w:left="-110" w:right="-114"/>
              <w:jc w:val="center"/>
              <w:rPr>
                <w:color w:val="000000"/>
                <w:sz w:val="28"/>
                <w:szCs w:val="28"/>
              </w:rPr>
            </w:pPr>
            <w:r w:rsidRPr="005626BE">
              <w:rPr>
                <w:color w:val="000000"/>
                <w:sz w:val="28"/>
                <w:szCs w:val="28"/>
              </w:rPr>
              <w:t>93 731 303,2</w:t>
            </w:r>
          </w:p>
        </w:tc>
        <w:tc>
          <w:tcPr>
            <w:tcW w:w="1816" w:type="dxa"/>
            <w:tcBorders>
              <w:top w:val="nil"/>
              <w:left w:val="nil"/>
              <w:bottom w:val="single" w:sz="4" w:space="0" w:color="auto"/>
              <w:right w:val="single" w:sz="8" w:space="0" w:color="auto"/>
            </w:tcBorders>
            <w:shd w:val="clear" w:color="000000" w:fill="FFFFFF"/>
            <w:noWrap/>
            <w:vAlign w:val="center"/>
          </w:tcPr>
          <w:p w:rsidR="00E7317C" w:rsidRPr="005626BE" w:rsidRDefault="00E7317C" w:rsidP="00E7317C">
            <w:pPr>
              <w:ind w:left="-110" w:right="-114"/>
              <w:jc w:val="center"/>
              <w:rPr>
                <w:color w:val="000000"/>
                <w:sz w:val="28"/>
                <w:szCs w:val="28"/>
              </w:rPr>
            </w:pPr>
            <w:r w:rsidRPr="005626BE">
              <w:rPr>
                <w:color w:val="000000"/>
                <w:sz w:val="28"/>
                <w:szCs w:val="28"/>
              </w:rPr>
              <w:t>94 505 312,3</w:t>
            </w:r>
          </w:p>
        </w:tc>
      </w:tr>
      <w:tr w:rsidR="00E7317C" w:rsidRPr="00742229" w:rsidTr="00E7317C">
        <w:trPr>
          <w:trHeight w:val="630"/>
        </w:trPr>
        <w:tc>
          <w:tcPr>
            <w:tcW w:w="705" w:type="dxa"/>
            <w:tcBorders>
              <w:top w:val="nil"/>
              <w:left w:val="single" w:sz="8" w:space="0" w:color="auto"/>
              <w:bottom w:val="single" w:sz="4" w:space="0" w:color="auto"/>
              <w:right w:val="single" w:sz="4" w:space="0" w:color="auto"/>
            </w:tcBorders>
            <w:shd w:val="clear" w:color="auto" w:fill="auto"/>
            <w:noWrap/>
            <w:vAlign w:val="center"/>
            <w:hideMark/>
          </w:tcPr>
          <w:p w:rsidR="00E7317C" w:rsidRPr="000533D1" w:rsidRDefault="00E7317C" w:rsidP="00E7317C">
            <w:pPr>
              <w:jc w:val="center"/>
              <w:rPr>
                <w:color w:val="000000"/>
                <w:sz w:val="28"/>
                <w:szCs w:val="28"/>
              </w:rPr>
            </w:pPr>
            <w:r w:rsidRPr="000533D1">
              <w:rPr>
                <w:color w:val="000000"/>
                <w:sz w:val="28"/>
                <w:szCs w:val="28"/>
              </w:rPr>
              <w:t>11</w:t>
            </w:r>
          </w:p>
        </w:tc>
        <w:tc>
          <w:tcPr>
            <w:tcW w:w="3620" w:type="dxa"/>
            <w:tcBorders>
              <w:top w:val="nil"/>
              <w:left w:val="nil"/>
              <w:bottom w:val="single" w:sz="4" w:space="0" w:color="auto"/>
              <w:right w:val="single" w:sz="4" w:space="0" w:color="auto"/>
            </w:tcBorders>
            <w:shd w:val="clear" w:color="auto" w:fill="auto"/>
            <w:vAlign w:val="center"/>
            <w:hideMark/>
          </w:tcPr>
          <w:p w:rsidR="00E7317C" w:rsidRPr="000533D1" w:rsidRDefault="00E7317C" w:rsidP="00E7317C">
            <w:pPr>
              <w:rPr>
                <w:color w:val="000000"/>
                <w:sz w:val="28"/>
                <w:szCs w:val="28"/>
              </w:rPr>
            </w:pPr>
            <w:r w:rsidRPr="000533D1">
              <w:rPr>
                <w:color w:val="000000"/>
                <w:sz w:val="28"/>
                <w:szCs w:val="28"/>
              </w:rPr>
              <w:t>Доходы бюджетов субъектов РФ</w:t>
            </w:r>
          </w:p>
          <w:p w:rsidR="00E7317C" w:rsidRDefault="00E7317C" w:rsidP="00E7317C">
            <w:pPr>
              <w:rPr>
                <w:color w:val="000000"/>
                <w:sz w:val="28"/>
                <w:szCs w:val="28"/>
              </w:rPr>
            </w:pPr>
            <w:r w:rsidRPr="000533D1">
              <w:rPr>
                <w:color w:val="000000"/>
                <w:sz w:val="28"/>
                <w:szCs w:val="28"/>
              </w:rPr>
              <w:t>стр. 11 = стр. 10 - стр. 10.1</w:t>
            </w:r>
          </w:p>
          <w:p w:rsidR="0030575D" w:rsidRPr="000533D1" w:rsidRDefault="0030575D" w:rsidP="00E7317C">
            <w:pPr>
              <w:rPr>
                <w:color w:val="000000"/>
                <w:sz w:val="28"/>
                <w:szCs w:val="28"/>
              </w:rPr>
            </w:pPr>
            <w:r>
              <w:rPr>
                <w:color w:val="000000"/>
              </w:rPr>
              <w:t>тыс. руб.</w:t>
            </w:r>
          </w:p>
        </w:tc>
        <w:tc>
          <w:tcPr>
            <w:tcW w:w="1826" w:type="dxa"/>
            <w:tcBorders>
              <w:top w:val="nil"/>
              <w:left w:val="nil"/>
              <w:bottom w:val="single" w:sz="4" w:space="0" w:color="auto"/>
              <w:right w:val="single" w:sz="4" w:space="0" w:color="auto"/>
            </w:tcBorders>
            <w:shd w:val="clear" w:color="000000" w:fill="FFFFFF"/>
            <w:noWrap/>
            <w:vAlign w:val="center"/>
          </w:tcPr>
          <w:p w:rsidR="00E7317C" w:rsidRPr="000533D1" w:rsidRDefault="00E7317C" w:rsidP="00E7317C">
            <w:pPr>
              <w:ind w:right="-114"/>
              <w:rPr>
                <w:color w:val="000000"/>
                <w:sz w:val="28"/>
                <w:szCs w:val="28"/>
              </w:rPr>
            </w:pPr>
            <w:r w:rsidRPr="000533D1">
              <w:rPr>
                <w:color w:val="000000"/>
                <w:sz w:val="28"/>
                <w:szCs w:val="28"/>
              </w:rPr>
              <w:t>275 505 098,5</w:t>
            </w:r>
          </w:p>
        </w:tc>
        <w:tc>
          <w:tcPr>
            <w:tcW w:w="1816" w:type="dxa"/>
            <w:tcBorders>
              <w:top w:val="nil"/>
              <w:left w:val="nil"/>
              <w:bottom w:val="single" w:sz="4" w:space="0" w:color="auto"/>
              <w:right w:val="single" w:sz="4" w:space="0" w:color="auto"/>
            </w:tcBorders>
            <w:shd w:val="clear" w:color="000000" w:fill="FFFFFF"/>
            <w:noWrap/>
            <w:vAlign w:val="center"/>
          </w:tcPr>
          <w:p w:rsidR="00E7317C" w:rsidRPr="000533D1" w:rsidRDefault="00E7317C" w:rsidP="00E7317C">
            <w:pPr>
              <w:ind w:left="-110" w:right="-114"/>
              <w:jc w:val="center"/>
              <w:rPr>
                <w:color w:val="000000"/>
                <w:sz w:val="28"/>
                <w:szCs w:val="28"/>
              </w:rPr>
            </w:pPr>
            <w:r>
              <w:rPr>
                <w:color w:val="000000"/>
                <w:sz w:val="28"/>
                <w:szCs w:val="28"/>
              </w:rPr>
              <w:t>279 700 183,7</w:t>
            </w:r>
          </w:p>
        </w:tc>
        <w:tc>
          <w:tcPr>
            <w:tcW w:w="1816" w:type="dxa"/>
            <w:tcBorders>
              <w:top w:val="nil"/>
              <w:left w:val="nil"/>
              <w:bottom w:val="single" w:sz="4" w:space="0" w:color="auto"/>
              <w:right w:val="single" w:sz="8" w:space="0" w:color="auto"/>
            </w:tcBorders>
            <w:shd w:val="clear" w:color="000000" w:fill="FFFFFF"/>
            <w:noWrap/>
            <w:vAlign w:val="center"/>
          </w:tcPr>
          <w:p w:rsidR="00E7317C" w:rsidRPr="000533D1" w:rsidRDefault="00E7317C" w:rsidP="00E7317C">
            <w:pPr>
              <w:ind w:left="-110" w:right="-114"/>
              <w:jc w:val="center"/>
              <w:rPr>
                <w:color w:val="000000"/>
                <w:sz w:val="28"/>
                <w:szCs w:val="28"/>
              </w:rPr>
            </w:pPr>
            <w:r>
              <w:rPr>
                <w:color w:val="000000"/>
                <w:sz w:val="28"/>
                <w:szCs w:val="28"/>
              </w:rPr>
              <w:t>282 009 876,1</w:t>
            </w:r>
          </w:p>
        </w:tc>
      </w:tr>
      <w:tr w:rsidR="00E7317C" w:rsidRPr="00742229" w:rsidTr="00E7317C">
        <w:trPr>
          <w:trHeight w:val="630"/>
        </w:trPr>
        <w:tc>
          <w:tcPr>
            <w:tcW w:w="705" w:type="dxa"/>
            <w:tcBorders>
              <w:top w:val="nil"/>
              <w:left w:val="single" w:sz="8" w:space="0" w:color="auto"/>
              <w:bottom w:val="single" w:sz="4" w:space="0" w:color="auto"/>
              <w:right w:val="single" w:sz="4" w:space="0" w:color="auto"/>
            </w:tcBorders>
            <w:shd w:val="clear" w:color="auto" w:fill="auto"/>
            <w:noWrap/>
            <w:vAlign w:val="center"/>
            <w:hideMark/>
          </w:tcPr>
          <w:p w:rsidR="00E7317C" w:rsidRPr="000533D1" w:rsidRDefault="00E7317C" w:rsidP="00E7317C">
            <w:pPr>
              <w:jc w:val="center"/>
              <w:rPr>
                <w:b/>
                <w:bCs/>
                <w:color w:val="000000"/>
                <w:sz w:val="28"/>
                <w:szCs w:val="28"/>
              </w:rPr>
            </w:pPr>
            <w:r w:rsidRPr="000533D1">
              <w:rPr>
                <w:b/>
                <w:bCs/>
                <w:color w:val="000000"/>
                <w:sz w:val="28"/>
                <w:szCs w:val="28"/>
              </w:rPr>
              <w:t>12</w:t>
            </w:r>
          </w:p>
        </w:tc>
        <w:tc>
          <w:tcPr>
            <w:tcW w:w="3620" w:type="dxa"/>
            <w:tcBorders>
              <w:top w:val="nil"/>
              <w:left w:val="nil"/>
              <w:bottom w:val="single" w:sz="4" w:space="0" w:color="auto"/>
              <w:right w:val="single" w:sz="4" w:space="0" w:color="auto"/>
            </w:tcBorders>
            <w:shd w:val="clear" w:color="auto" w:fill="auto"/>
            <w:vAlign w:val="center"/>
            <w:hideMark/>
          </w:tcPr>
          <w:p w:rsidR="00E7317C" w:rsidRDefault="00E7317C" w:rsidP="00E7317C">
            <w:pPr>
              <w:rPr>
                <w:b/>
                <w:bCs/>
                <w:color w:val="000000"/>
                <w:sz w:val="28"/>
                <w:szCs w:val="28"/>
              </w:rPr>
            </w:pPr>
            <w:r w:rsidRPr="000533D1">
              <w:rPr>
                <w:b/>
                <w:bCs/>
                <w:color w:val="000000"/>
                <w:sz w:val="28"/>
                <w:szCs w:val="28"/>
              </w:rPr>
              <w:t>Доходы от уплаты акцизов на дизельное топливо в областной бюджет всего</w:t>
            </w:r>
            <w:r w:rsidRPr="000533D1">
              <w:rPr>
                <w:b/>
                <w:bCs/>
                <w:color w:val="000000"/>
                <w:sz w:val="28"/>
                <w:szCs w:val="28"/>
              </w:rPr>
              <w:br/>
              <w:t>стр. 12 = стр. 12.1 + стр. 12.2</w:t>
            </w:r>
          </w:p>
          <w:p w:rsidR="0030575D" w:rsidRPr="000533D1" w:rsidRDefault="0030575D" w:rsidP="00E7317C">
            <w:pPr>
              <w:rPr>
                <w:b/>
                <w:bCs/>
                <w:color w:val="000000"/>
                <w:sz w:val="28"/>
                <w:szCs w:val="28"/>
              </w:rPr>
            </w:pPr>
            <w:r>
              <w:rPr>
                <w:color w:val="000000"/>
              </w:rPr>
              <w:t>тыс. руб.</w:t>
            </w:r>
          </w:p>
        </w:tc>
        <w:tc>
          <w:tcPr>
            <w:tcW w:w="1826" w:type="dxa"/>
            <w:tcBorders>
              <w:top w:val="nil"/>
              <w:left w:val="nil"/>
              <w:bottom w:val="single" w:sz="4" w:space="0" w:color="auto"/>
              <w:right w:val="single" w:sz="4" w:space="0" w:color="auto"/>
            </w:tcBorders>
            <w:shd w:val="clear" w:color="000000" w:fill="FFFFFF"/>
            <w:noWrap/>
            <w:vAlign w:val="center"/>
          </w:tcPr>
          <w:p w:rsidR="00E7317C" w:rsidRPr="000533D1" w:rsidRDefault="00E7317C" w:rsidP="00E7317C">
            <w:pPr>
              <w:jc w:val="center"/>
              <w:rPr>
                <w:b/>
                <w:bCs/>
                <w:color w:val="000000"/>
                <w:sz w:val="28"/>
                <w:szCs w:val="28"/>
              </w:rPr>
            </w:pPr>
            <w:r>
              <w:rPr>
                <w:b/>
                <w:bCs/>
                <w:color w:val="000000"/>
                <w:sz w:val="28"/>
                <w:szCs w:val="28"/>
              </w:rPr>
              <w:t>3 805 243,2</w:t>
            </w:r>
          </w:p>
        </w:tc>
        <w:tc>
          <w:tcPr>
            <w:tcW w:w="1816" w:type="dxa"/>
            <w:tcBorders>
              <w:top w:val="nil"/>
              <w:left w:val="nil"/>
              <w:bottom w:val="single" w:sz="4" w:space="0" w:color="auto"/>
              <w:right w:val="single" w:sz="4" w:space="0" w:color="auto"/>
            </w:tcBorders>
            <w:shd w:val="clear" w:color="000000" w:fill="FFFFFF"/>
            <w:noWrap/>
            <w:vAlign w:val="center"/>
          </w:tcPr>
          <w:p w:rsidR="00E7317C" w:rsidRPr="000533D1" w:rsidRDefault="00E7317C" w:rsidP="00E7317C">
            <w:pPr>
              <w:jc w:val="center"/>
              <w:rPr>
                <w:b/>
                <w:bCs/>
                <w:color w:val="000000"/>
                <w:sz w:val="28"/>
                <w:szCs w:val="28"/>
              </w:rPr>
            </w:pPr>
            <w:r>
              <w:rPr>
                <w:b/>
                <w:bCs/>
                <w:color w:val="000000"/>
                <w:sz w:val="28"/>
                <w:szCs w:val="28"/>
              </w:rPr>
              <w:t>3 951 593,9</w:t>
            </w:r>
          </w:p>
        </w:tc>
        <w:tc>
          <w:tcPr>
            <w:tcW w:w="1816" w:type="dxa"/>
            <w:tcBorders>
              <w:top w:val="nil"/>
              <w:left w:val="nil"/>
              <w:bottom w:val="single" w:sz="4" w:space="0" w:color="auto"/>
              <w:right w:val="single" w:sz="8" w:space="0" w:color="auto"/>
            </w:tcBorders>
            <w:shd w:val="clear" w:color="000000" w:fill="FFFFFF"/>
            <w:noWrap/>
            <w:vAlign w:val="center"/>
          </w:tcPr>
          <w:p w:rsidR="00E7317C" w:rsidRPr="000533D1" w:rsidRDefault="00E7317C" w:rsidP="00E7317C">
            <w:pPr>
              <w:jc w:val="center"/>
              <w:rPr>
                <w:b/>
                <w:bCs/>
                <w:color w:val="000000"/>
                <w:sz w:val="28"/>
                <w:szCs w:val="28"/>
              </w:rPr>
            </w:pPr>
            <w:r>
              <w:rPr>
                <w:b/>
                <w:bCs/>
                <w:color w:val="000000"/>
                <w:sz w:val="28"/>
                <w:szCs w:val="28"/>
              </w:rPr>
              <w:t>4 042 796,4</w:t>
            </w:r>
          </w:p>
        </w:tc>
      </w:tr>
      <w:tr w:rsidR="00E7317C" w:rsidRPr="00742229" w:rsidTr="00E7317C">
        <w:trPr>
          <w:trHeight w:val="1260"/>
        </w:trPr>
        <w:tc>
          <w:tcPr>
            <w:tcW w:w="705" w:type="dxa"/>
            <w:tcBorders>
              <w:top w:val="nil"/>
              <w:left w:val="single" w:sz="8" w:space="0" w:color="auto"/>
              <w:bottom w:val="single" w:sz="4" w:space="0" w:color="auto"/>
              <w:right w:val="single" w:sz="4" w:space="0" w:color="auto"/>
            </w:tcBorders>
            <w:shd w:val="clear" w:color="auto" w:fill="auto"/>
            <w:noWrap/>
            <w:vAlign w:val="center"/>
            <w:hideMark/>
          </w:tcPr>
          <w:p w:rsidR="00E7317C" w:rsidRPr="000533D1" w:rsidRDefault="00E7317C" w:rsidP="00E7317C">
            <w:pPr>
              <w:ind w:left="-96" w:right="-125"/>
              <w:jc w:val="center"/>
              <w:rPr>
                <w:color w:val="000000"/>
                <w:sz w:val="28"/>
                <w:szCs w:val="28"/>
              </w:rPr>
            </w:pPr>
            <w:r w:rsidRPr="000533D1">
              <w:rPr>
                <w:color w:val="000000"/>
                <w:sz w:val="28"/>
                <w:szCs w:val="28"/>
              </w:rPr>
              <w:t>12.1</w:t>
            </w:r>
          </w:p>
        </w:tc>
        <w:tc>
          <w:tcPr>
            <w:tcW w:w="3620" w:type="dxa"/>
            <w:tcBorders>
              <w:top w:val="nil"/>
              <w:left w:val="nil"/>
              <w:bottom w:val="single" w:sz="4" w:space="0" w:color="auto"/>
              <w:right w:val="single" w:sz="4" w:space="0" w:color="auto"/>
            </w:tcBorders>
            <w:shd w:val="clear" w:color="auto" w:fill="auto"/>
            <w:vAlign w:val="center"/>
            <w:hideMark/>
          </w:tcPr>
          <w:p w:rsidR="00E7317C" w:rsidRPr="000533D1" w:rsidRDefault="00E7317C" w:rsidP="00E7317C">
            <w:pPr>
              <w:rPr>
                <w:color w:val="000000"/>
                <w:sz w:val="28"/>
                <w:szCs w:val="28"/>
              </w:rPr>
            </w:pPr>
            <w:r w:rsidRPr="000533D1">
              <w:rPr>
                <w:color w:val="000000"/>
                <w:sz w:val="28"/>
                <w:szCs w:val="28"/>
              </w:rPr>
              <w:t xml:space="preserve">Доходы от уплаты акцизов на дизельное топливо в целях формирования Дорожного фонда Тверской области </w:t>
            </w:r>
          </w:p>
          <w:p w:rsidR="00E7317C" w:rsidRDefault="00E7317C" w:rsidP="00E7317C">
            <w:pPr>
              <w:rPr>
                <w:color w:val="000000"/>
                <w:sz w:val="28"/>
                <w:szCs w:val="28"/>
              </w:rPr>
            </w:pPr>
            <w:r w:rsidRPr="000533D1">
              <w:rPr>
                <w:color w:val="000000"/>
                <w:sz w:val="28"/>
                <w:szCs w:val="28"/>
              </w:rPr>
              <w:t>стр. 12.1 = стр. 11*стр.3* стр. 5 *90%</w:t>
            </w:r>
          </w:p>
          <w:p w:rsidR="0030575D" w:rsidRPr="000533D1" w:rsidRDefault="0030575D" w:rsidP="00E7317C">
            <w:pPr>
              <w:rPr>
                <w:color w:val="000000"/>
                <w:sz w:val="28"/>
                <w:szCs w:val="28"/>
              </w:rPr>
            </w:pPr>
            <w:r>
              <w:rPr>
                <w:color w:val="000000"/>
              </w:rPr>
              <w:t>тыс. руб.</w:t>
            </w:r>
          </w:p>
        </w:tc>
        <w:tc>
          <w:tcPr>
            <w:tcW w:w="1826" w:type="dxa"/>
            <w:tcBorders>
              <w:top w:val="nil"/>
              <w:left w:val="nil"/>
              <w:bottom w:val="single" w:sz="4" w:space="0" w:color="auto"/>
              <w:right w:val="single" w:sz="4" w:space="0" w:color="auto"/>
            </w:tcBorders>
            <w:shd w:val="clear" w:color="000000" w:fill="FFFFFF"/>
            <w:noWrap/>
            <w:vAlign w:val="center"/>
          </w:tcPr>
          <w:p w:rsidR="00E7317C" w:rsidRPr="000533D1" w:rsidRDefault="00E7317C" w:rsidP="00E7317C">
            <w:pPr>
              <w:jc w:val="center"/>
              <w:rPr>
                <w:color w:val="000000"/>
                <w:sz w:val="28"/>
                <w:szCs w:val="28"/>
              </w:rPr>
            </w:pPr>
            <w:r>
              <w:rPr>
                <w:color w:val="000000"/>
                <w:sz w:val="28"/>
                <w:szCs w:val="28"/>
              </w:rPr>
              <w:t>2 578 763,7</w:t>
            </w:r>
          </w:p>
        </w:tc>
        <w:tc>
          <w:tcPr>
            <w:tcW w:w="1816" w:type="dxa"/>
            <w:tcBorders>
              <w:top w:val="nil"/>
              <w:left w:val="nil"/>
              <w:bottom w:val="single" w:sz="4" w:space="0" w:color="auto"/>
              <w:right w:val="single" w:sz="4" w:space="0" w:color="auto"/>
            </w:tcBorders>
            <w:shd w:val="clear" w:color="000000" w:fill="FFFFFF"/>
            <w:noWrap/>
            <w:vAlign w:val="center"/>
          </w:tcPr>
          <w:p w:rsidR="00E7317C" w:rsidRPr="000533D1" w:rsidRDefault="00E7317C" w:rsidP="00E7317C">
            <w:pPr>
              <w:jc w:val="center"/>
              <w:rPr>
                <w:color w:val="000000"/>
                <w:sz w:val="28"/>
                <w:szCs w:val="28"/>
              </w:rPr>
            </w:pPr>
            <w:r>
              <w:rPr>
                <w:color w:val="000000"/>
                <w:sz w:val="28"/>
                <w:szCs w:val="28"/>
              </w:rPr>
              <w:t>2 706 438,9</w:t>
            </w:r>
          </w:p>
        </w:tc>
        <w:tc>
          <w:tcPr>
            <w:tcW w:w="1816" w:type="dxa"/>
            <w:tcBorders>
              <w:top w:val="nil"/>
              <w:left w:val="nil"/>
              <w:bottom w:val="single" w:sz="4" w:space="0" w:color="auto"/>
              <w:right w:val="single" w:sz="8" w:space="0" w:color="auto"/>
            </w:tcBorders>
            <w:shd w:val="clear" w:color="000000" w:fill="FFFFFF"/>
            <w:noWrap/>
            <w:vAlign w:val="center"/>
          </w:tcPr>
          <w:p w:rsidR="00E7317C" w:rsidRPr="000533D1" w:rsidRDefault="00E7317C" w:rsidP="00E7317C">
            <w:pPr>
              <w:jc w:val="center"/>
              <w:rPr>
                <w:color w:val="000000"/>
                <w:sz w:val="28"/>
                <w:szCs w:val="28"/>
              </w:rPr>
            </w:pPr>
            <w:r>
              <w:rPr>
                <w:color w:val="000000"/>
                <w:sz w:val="28"/>
                <w:szCs w:val="28"/>
              </w:rPr>
              <w:t>2 787 359,2</w:t>
            </w:r>
          </w:p>
        </w:tc>
      </w:tr>
      <w:tr w:rsidR="00E7317C" w:rsidRPr="00742229" w:rsidTr="00E7317C">
        <w:trPr>
          <w:trHeight w:val="1260"/>
        </w:trPr>
        <w:tc>
          <w:tcPr>
            <w:tcW w:w="705" w:type="dxa"/>
            <w:tcBorders>
              <w:top w:val="nil"/>
              <w:left w:val="single" w:sz="8" w:space="0" w:color="auto"/>
              <w:bottom w:val="single" w:sz="4" w:space="0" w:color="auto"/>
              <w:right w:val="single" w:sz="4" w:space="0" w:color="auto"/>
            </w:tcBorders>
            <w:shd w:val="clear" w:color="auto" w:fill="auto"/>
            <w:noWrap/>
            <w:vAlign w:val="center"/>
            <w:hideMark/>
          </w:tcPr>
          <w:p w:rsidR="00E7317C" w:rsidRPr="000533D1" w:rsidRDefault="00E7317C" w:rsidP="00E7317C">
            <w:pPr>
              <w:ind w:left="-96" w:right="-125"/>
              <w:jc w:val="center"/>
              <w:rPr>
                <w:color w:val="000000"/>
                <w:sz w:val="28"/>
                <w:szCs w:val="28"/>
              </w:rPr>
            </w:pPr>
            <w:r w:rsidRPr="000533D1">
              <w:rPr>
                <w:color w:val="000000"/>
                <w:sz w:val="28"/>
                <w:szCs w:val="28"/>
              </w:rPr>
              <w:t>12.2</w:t>
            </w:r>
          </w:p>
        </w:tc>
        <w:tc>
          <w:tcPr>
            <w:tcW w:w="3620" w:type="dxa"/>
            <w:tcBorders>
              <w:top w:val="nil"/>
              <w:left w:val="nil"/>
              <w:bottom w:val="single" w:sz="4" w:space="0" w:color="auto"/>
              <w:right w:val="single" w:sz="4" w:space="0" w:color="auto"/>
            </w:tcBorders>
            <w:shd w:val="clear" w:color="auto" w:fill="auto"/>
            <w:vAlign w:val="center"/>
            <w:hideMark/>
          </w:tcPr>
          <w:p w:rsidR="00E7317C" w:rsidRPr="000533D1" w:rsidRDefault="00E7317C" w:rsidP="00E7317C">
            <w:pPr>
              <w:rPr>
                <w:color w:val="000000"/>
                <w:sz w:val="28"/>
                <w:szCs w:val="28"/>
              </w:rPr>
            </w:pPr>
            <w:r w:rsidRPr="000533D1">
              <w:rPr>
                <w:color w:val="000000"/>
                <w:sz w:val="28"/>
                <w:szCs w:val="28"/>
              </w:rPr>
              <w:t>Доходы от уплаты акцизов на дизельное топливо в целях реализации Нацпроекта</w:t>
            </w:r>
          </w:p>
          <w:p w:rsidR="00E7317C" w:rsidRDefault="00E7317C" w:rsidP="00E7317C">
            <w:pPr>
              <w:rPr>
                <w:color w:val="000000"/>
                <w:sz w:val="28"/>
                <w:szCs w:val="28"/>
              </w:rPr>
            </w:pPr>
            <w:r w:rsidRPr="000533D1">
              <w:rPr>
                <w:color w:val="000000"/>
                <w:sz w:val="28"/>
                <w:szCs w:val="28"/>
              </w:rPr>
              <w:t>стр. 12.2 = стр. 11 *стр.4*стр. 6</w:t>
            </w:r>
          </w:p>
          <w:p w:rsidR="0030575D" w:rsidRPr="000533D1" w:rsidRDefault="0030575D" w:rsidP="00E7317C">
            <w:pPr>
              <w:rPr>
                <w:color w:val="000000"/>
                <w:sz w:val="28"/>
                <w:szCs w:val="28"/>
              </w:rPr>
            </w:pPr>
            <w:r>
              <w:rPr>
                <w:color w:val="000000"/>
              </w:rPr>
              <w:t>тыс. руб.</w:t>
            </w:r>
          </w:p>
        </w:tc>
        <w:tc>
          <w:tcPr>
            <w:tcW w:w="1826" w:type="dxa"/>
            <w:tcBorders>
              <w:top w:val="nil"/>
              <w:left w:val="nil"/>
              <w:bottom w:val="single" w:sz="4" w:space="0" w:color="auto"/>
              <w:right w:val="single" w:sz="4" w:space="0" w:color="auto"/>
            </w:tcBorders>
            <w:shd w:val="clear" w:color="000000" w:fill="FFFFFF"/>
            <w:noWrap/>
            <w:vAlign w:val="center"/>
          </w:tcPr>
          <w:p w:rsidR="00E7317C" w:rsidRPr="000533D1" w:rsidRDefault="00E7317C" w:rsidP="00E7317C">
            <w:pPr>
              <w:jc w:val="center"/>
              <w:rPr>
                <w:color w:val="000000"/>
                <w:sz w:val="28"/>
                <w:szCs w:val="28"/>
              </w:rPr>
            </w:pPr>
            <w:r>
              <w:rPr>
                <w:color w:val="000000"/>
                <w:sz w:val="28"/>
                <w:szCs w:val="28"/>
              </w:rPr>
              <w:t>1 226 479,5</w:t>
            </w:r>
          </w:p>
        </w:tc>
        <w:tc>
          <w:tcPr>
            <w:tcW w:w="1816" w:type="dxa"/>
            <w:tcBorders>
              <w:top w:val="nil"/>
              <w:left w:val="nil"/>
              <w:bottom w:val="single" w:sz="4" w:space="0" w:color="auto"/>
              <w:right w:val="single" w:sz="4" w:space="0" w:color="auto"/>
            </w:tcBorders>
            <w:shd w:val="clear" w:color="000000" w:fill="FFFFFF"/>
            <w:noWrap/>
            <w:vAlign w:val="center"/>
          </w:tcPr>
          <w:p w:rsidR="00E7317C" w:rsidRPr="000533D1" w:rsidRDefault="00E7317C" w:rsidP="00E7317C">
            <w:pPr>
              <w:jc w:val="center"/>
              <w:rPr>
                <w:color w:val="000000"/>
                <w:sz w:val="28"/>
                <w:szCs w:val="28"/>
              </w:rPr>
            </w:pPr>
            <w:r>
              <w:rPr>
                <w:color w:val="000000"/>
                <w:sz w:val="28"/>
                <w:szCs w:val="28"/>
              </w:rPr>
              <w:t>1 245 155,0</w:t>
            </w:r>
          </w:p>
        </w:tc>
        <w:tc>
          <w:tcPr>
            <w:tcW w:w="1816" w:type="dxa"/>
            <w:tcBorders>
              <w:top w:val="nil"/>
              <w:left w:val="nil"/>
              <w:bottom w:val="single" w:sz="4" w:space="0" w:color="auto"/>
              <w:right w:val="single" w:sz="8" w:space="0" w:color="auto"/>
            </w:tcBorders>
            <w:shd w:val="clear" w:color="000000" w:fill="FFFFFF"/>
            <w:noWrap/>
            <w:vAlign w:val="center"/>
          </w:tcPr>
          <w:p w:rsidR="00E7317C" w:rsidRPr="000533D1" w:rsidRDefault="00E7317C" w:rsidP="00E7317C">
            <w:pPr>
              <w:jc w:val="center"/>
              <w:rPr>
                <w:color w:val="000000"/>
                <w:sz w:val="28"/>
                <w:szCs w:val="28"/>
              </w:rPr>
            </w:pPr>
            <w:r>
              <w:rPr>
                <w:color w:val="000000"/>
                <w:sz w:val="28"/>
                <w:szCs w:val="28"/>
              </w:rPr>
              <w:t>1 255 437,2</w:t>
            </w:r>
          </w:p>
        </w:tc>
      </w:tr>
      <w:tr w:rsidR="00E7317C" w:rsidRPr="00742229" w:rsidTr="00E7317C">
        <w:trPr>
          <w:trHeight w:val="675"/>
        </w:trPr>
        <w:tc>
          <w:tcPr>
            <w:tcW w:w="705" w:type="dxa"/>
            <w:tcBorders>
              <w:top w:val="nil"/>
              <w:left w:val="single" w:sz="8" w:space="0" w:color="auto"/>
              <w:bottom w:val="single" w:sz="8" w:space="0" w:color="auto"/>
              <w:right w:val="single" w:sz="4" w:space="0" w:color="auto"/>
            </w:tcBorders>
            <w:shd w:val="clear" w:color="auto" w:fill="auto"/>
            <w:noWrap/>
            <w:vAlign w:val="center"/>
            <w:hideMark/>
          </w:tcPr>
          <w:p w:rsidR="00E7317C" w:rsidRPr="007E423C" w:rsidRDefault="00E7317C" w:rsidP="00E7317C">
            <w:pPr>
              <w:jc w:val="center"/>
              <w:rPr>
                <w:color w:val="000000"/>
                <w:sz w:val="28"/>
                <w:szCs w:val="28"/>
              </w:rPr>
            </w:pPr>
            <w:r w:rsidRPr="007E423C">
              <w:rPr>
                <w:color w:val="000000"/>
                <w:sz w:val="28"/>
                <w:szCs w:val="28"/>
              </w:rPr>
              <w:t>13</w:t>
            </w:r>
          </w:p>
        </w:tc>
        <w:tc>
          <w:tcPr>
            <w:tcW w:w="3620" w:type="dxa"/>
            <w:tcBorders>
              <w:top w:val="nil"/>
              <w:left w:val="nil"/>
              <w:bottom w:val="single" w:sz="8" w:space="0" w:color="auto"/>
              <w:right w:val="single" w:sz="4" w:space="0" w:color="auto"/>
            </w:tcBorders>
            <w:shd w:val="clear" w:color="auto" w:fill="auto"/>
            <w:vAlign w:val="center"/>
            <w:hideMark/>
          </w:tcPr>
          <w:p w:rsidR="00E7317C" w:rsidRPr="007E423C" w:rsidRDefault="00E7317C" w:rsidP="00E7317C">
            <w:pPr>
              <w:rPr>
                <w:color w:val="000000"/>
                <w:sz w:val="28"/>
                <w:szCs w:val="28"/>
              </w:rPr>
            </w:pPr>
            <w:r w:rsidRPr="007E423C">
              <w:rPr>
                <w:color w:val="000000"/>
                <w:sz w:val="28"/>
                <w:szCs w:val="28"/>
              </w:rPr>
              <w:t>Справочно:</w:t>
            </w:r>
          </w:p>
          <w:p w:rsidR="00E7317C" w:rsidRPr="007E423C" w:rsidRDefault="00E7317C" w:rsidP="00E7317C">
            <w:pPr>
              <w:rPr>
                <w:color w:val="000000"/>
                <w:sz w:val="28"/>
                <w:szCs w:val="28"/>
              </w:rPr>
            </w:pPr>
            <w:r w:rsidRPr="007E423C">
              <w:rPr>
                <w:color w:val="000000"/>
                <w:sz w:val="28"/>
                <w:szCs w:val="28"/>
              </w:rPr>
              <w:lastRenderedPageBreak/>
              <w:t>Налоговая  ставка по НК РФ</w:t>
            </w:r>
          </w:p>
        </w:tc>
        <w:tc>
          <w:tcPr>
            <w:tcW w:w="1826" w:type="dxa"/>
            <w:tcBorders>
              <w:top w:val="nil"/>
              <w:left w:val="nil"/>
              <w:bottom w:val="single" w:sz="8" w:space="0" w:color="auto"/>
              <w:right w:val="single" w:sz="4" w:space="0" w:color="auto"/>
            </w:tcBorders>
            <w:shd w:val="clear" w:color="000000" w:fill="FFFFFF"/>
            <w:vAlign w:val="center"/>
            <w:hideMark/>
          </w:tcPr>
          <w:p w:rsidR="00E7317C" w:rsidRPr="007E423C" w:rsidRDefault="00E7317C" w:rsidP="00E7317C">
            <w:pPr>
              <w:jc w:val="center"/>
              <w:rPr>
                <w:color w:val="000000"/>
                <w:sz w:val="28"/>
                <w:szCs w:val="28"/>
              </w:rPr>
            </w:pPr>
            <w:r w:rsidRPr="007E423C">
              <w:rPr>
                <w:color w:val="000000"/>
                <w:sz w:val="28"/>
                <w:szCs w:val="28"/>
              </w:rPr>
              <w:lastRenderedPageBreak/>
              <w:t>9 556 руб.</w:t>
            </w:r>
            <w:r w:rsidRPr="007E423C">
              <w:rPr>
                <w:color w:val="000000"/>
                <w:sz w:val="28"/>
                <w:szCs w:val="28"/>
              </w:rPr>
              <w:br/>
              <w:t xml:space="preserve"> за тонну</w:t>
            </w:r>
          </w:p>
        </w:tc>
        <w:tc>
          <w:tcPr>
            <w:tcW w:w="1816" w:type="dxa"/>
            <w:tcBorders>
              <w:top w:val="nil"/>
              <w:left w:val="nil"/>
              <w:bottom w:val="single" w:sz="8" w:space="0" w:color="auto"/>
              <w:right w:val="single" w:sz="4" w:space="0" w:color="auto"/>
            </w:tcBorders>
            <w:shd w:val="clear" w:color="000000" w:fill="FFFFFF"/>
            <w:vAlign w:val="center"/>
          </w:tcPr>
          <w:p w:rsidR="00E7317C" w:rsidRPr="007E423C" w:rsidRDefault="00E7317C" w:rsidP="00E7317C">
            <w:pPr>
              <w:jc w:val="center"/>
              <w:rPr>
                <w:color w:val="000000"/>
                <w:sz w:val="28"/>
                <w:szCs w:val="28"/>
                <w:lang w:val="en-US"/>
              </w:rPr>
            </w:pPr>
            <w:r w:rsidRPr="007E423C">
              <w:rPr>
                <w:color w:val="000000"/>
                <w:sz w:val="28"/>
                <w:szCs w:val="28"/>
              </w:rPr>
              <w:t>9 938 руб.</w:t>
            </w:r>
            <w:r w:rsidRPr="007E423C">
              <w:rPr>
                <w:color w:val="000000"/>
                <w:sz w:val="28"/>
                <w:szCs w:val="28"/>
              </w:rPr>
              <w:br/>
              <w:t xml:space="preserve"> за тонну</w:t>
            </w:r>
          </w:p>
        </w:tc>
        <w:tc>
          <w:tcPr>
            <w:tcW w:w="1816" w:type="dxa"/>
            <w:tcBorders>
              <w:top w:val="nil"/>
              <w:left w:val="nil"/>
              <w:bottom w:val="single" w:sz="8" w:space="0" w:color="auto"/>
              <w:right w:val="single" w:sz="8" w:space="0" w:color="auto"/>
            </w:tcBorders>
            <w:shd w:val="clear" w:color="000000" w:fill="FFFFFF"/>
            <w:vAlign w:val="center"/>
          </w:tcPr>
          <w:p w:rsidR="00E7317C" w:rsidRPr="007E423C" w:rsidRDefault="003E7888" w:rsidP="00E7317C">
            <w:pPr>
              <w:jc w:val="center"/>
              <w:rPr>
                <w:color w:val="000000"/>
                <w:sz w:val="28"/>
                <w:szCs w:val="28"/>
                <w:lang w:val="en-US"/>
              </w:rPr>
            </w:pPr>
            <w:r>
              <w:rPr>
                <w:color w:val="000000"/>
                <w:sz w:val="28"/>
                <w:szCs w:val="28"/>
              </w:rPr>
              <w:t>10 336</w:t>
            </w:r>
            <w:r w:rsidRPr="007E423C">
              <w:rPr>
                <w:color w:val="000000"/>
                <w:sz w:val="28"/>
                <w:szCs w:val="28"/>
              </w:rPr>
              <w:t xml:space="preserve"> руб.</w:t>
            </w:r>
            <w:r w:rsidRPr="007E423C">
              <w:rPr>
                <w:color w:val="000000"/>
                <w:sz w:val="28"/>
                <w:szCs w:val="28"/>
              </w:rPr>
              <w:br/>
              <w:t xml:space="preserve"> за тонну</w:t>
            </w:r>
          </w:p>
        </w:tc>
      </w:tr>
      <w:tr w:rsidR="00E7317C" w:rsidRPr="00742229" w:rsidTr="00E7317C">
        <w:trPr>
          <w:trHeight w:val="390"/>
        </w:trPr>
        <w:tc>
          <w:tcPr>
            <w:tcW w:w="705" w:type="dxa"/>
            <w:tcBorders>
              <w:top w:val="nil"/>
              <w:left w:val="single" w:sz="8" w:space="0" w:color="auto"/>
              <w:bottom w:val="single" w:sz="4" w:space="0" w:color="auto"/>
              <w:right w:val="single" w:sz="4" w:space="0" w:color="auto"/>
            </w:tcBorders>
            <w:shd w:val="clear" w:color="auto" w:fill="auto"/>
            <w:noWrap/>
            <w:vAlign w:val="center"/>
            <w:hideMark/>
          </w:tcPr>
          <w:p w:rsidR="00E7317C" w:rsidRPr="007E423C" w:rsidRDefault="00E7317C" w:rsidP="00E7317C">
            <w:pPr>
              <w:jc w:val="center"/>
              <w:rPr>
                <w:color w:val="000000"/>
                <w:sz w:val="28"/>
                <w:szCs w:val="28"/>
              </w:rPr>
            </w:pPr>
            <w:r w:rsidRPr="007E423C">
              <w:rPr>
                <w:color w:val="000000"/>
                <w:sz w:val="28"/>
                <w:szCs w:val="28"/>
              </w:rPr>
              <w:t>14</w:t>
            </w:r>
          </w:p>
        </w:tc>
        <w:tc>
          <w:tcPr>
            <w:tcW w:w="3620" w:type="dxa"/>
            <w:tcBorders>
              <w:top w:val="nil"/>
              <w:left w:val="nil"/>
              <w:bottom w:val="single" w:sz="4" w:space="0" w:color="auto"/>
              <w:right w:val="single" w:sz="4" w:space="0" w:color="auto"/>
            </w:tcBorders>
            <w:shd w:val="clear" w:color="auto" w:fill="auto"/>
            <w:vAlign w:val="center"/>
            <w:hideMark/>
          </w:tcPr>
          <w:p w:rsidR="00E7317C" w:rsidRPr="007E423C" w:rsidRDefault="00E7317C" w:rsidP="00E7317C">
            <w:pPr>
              <w:rPr>
                <w:b/>
                <w:bCs/>
                <w:color w:val="000000"/>
                <w:sz w:val="28"/>
                <w:szCs w:val="28"/>
              </w:rPr>
            </w:pPr>
            <w:r w:rsidRPr="007E423C">
              <w:rPr>
                <w:b/>
                <w:bCs/>
                <w:color w:val="000000"/>
                <w:sz w:val="28"/>
                <w:szCs w:val="28"/>
              </w:rPr>
              <w:t>Моторные масла</w:t>
            </w:r>
          </w:p>
        </w:tc>
        <w:tc>
          <w:tcPr>
            <w:tcW w:w="1826" w:type="dxa"/>
            <w:tcBorders>
              <w:top w:val="nil"/>
              <w:left w:val="nil"/>
              <w:bottom w:val="single" w:sz="4" w:space="0" w:color="auto"/>
              <w:right w:val="single" w:sz="4" w:space="0" w:color="auto"/>
            </w:tcBorders>
            <w:shd w:val="clear" w:color="000000" w:fill="FFFFFF"/>
            <w:noWrap/>
            <w:vAlign w:val="center"/>
            <w:hideMark/>
          </w:tcPr>
          <w:p w:rsidR="00E7317C" w:rsidRPr="007E423C" w:rsidRDefault="00E7317C" w:rsidP="00E7317C">
            <w:pPr>
              <w:jc w:val="center"/>
              <w:rPr>
                <w:color w:val="000000"/>
                <w:sz w:val="28"/>
                <w:szCs w:val="28"/>
              </w:rPr>
            </w:pPr>
            <w:r w:rsidRPr="007E423C">
              <w:rPr>
                <w:color w:val="000000"/>
                <w:sz w:val="28"/>
                <w:szCs w:val="28"/>
              </w:rPr>
              <w:t> </w:t>
            </w:r>
          </w:p>
        </w:tc>
        <w:tc>
          <w:tcPr>
            <w:tcW w:w="1816" w:type="dxa"/>
            <w:tcBorders>
              <w:top w:val="nil"/>
              <w:left w:val="nil"/>
              <w:bottom w:val="single" w:sz="4" w:space="0" w:color="auto"/>
              <w:right w:val="single" w:sz="4" w:space="0" w:color="auto"/>
            </w:tcBorders>
            <w:shd w:val="clear" w:color="auto" w:fill="auto"/>
            <w:noWrap/>
            <w:vAlign w:val="bottom"/>
            <w:hideMark/>
          </w:tcPr>
          <w:p w:rsidR="00E7317C" w:rsidRPr="007E423C" w:rsidRDefault="00E7317C" w:rsidP="00E7317C">
            <w:pPr>
              <w:rPr>
                <w:rFonts w:ascii="Calibri" w:hAnsi="Calibri"/>
                <w:color w:val="000000"/>
                <w:sz w:val="28"/>
                <w:szCs w:val="28"/>
              </w:rPr>
            </w:pPr>
            <w:r w:rsidRPr="007E423C">
              <w:rPr>
                <w:rFonts w:ascii="Calibri" w:hAnsi="Calibri"/>
                <w:color w:val="000000"/>
                <w:sz w:val="28"/>
                <w:szCs w:val="28"/>
              </w:rPr>
              <w:t> </w:t>
            </w:r>
          </w:p>
        </w:tc>
        <w:tc>
          <w:tcPr>
            <w:tcW w:w="1816" w:type="dxa"/>
            <w:tcBorders>
              <w:top w:val="nil"/>
              <w:left w:val="nil"/>
              <w:bottom w:val="single" w:sz="4" w:space="0" w:color="auto"/>
              <w:right w:val="single" w:sz="8" w:space="0" w:color="auto"/>
            </w:tcBorders>
            <w:shd w:val="clear" w:color="auto" w:fill="auto"/>
            <w:noWrap/>
            <w:vAlign w:val="bottom"/>
            <w:hideMark/>
          </w:tcPr>
          <w:p w:rsidR="00E7317C" w:rsidRPr="007E423C" w:rsidRDefault="00E7317C" w:rsidP="00E7317C">
            <w:pPr>
              <w:rPr>
                <w:rFonts w:ascii="Calibri" w:hAnsi="Calibri"/>
                <w:color w:val="000000"/>
                <w:sz w:val="28"/>
                <w:szCs w:val="28"/>
              </w:rPr>
            </w:pPr>
            <w:r w:rsidRPr="007E423C">
              <w:rPr>
                <w:rFonts w:ascii="Calibri" w:hAnsi="Calibri"/>
                <w:color w:val="000000"/>
                <w:sz w:val="28"/>
                <w:szCs w:val="28"/>
              </w:rPr>
              <w:t> </w:t>
            </w:r>
          </w:p>
        </w:tc>
      </w:tr>
      <w:tr w:rsidR="00E7317C" w:rsidRPr="00742229" w:rsidTr="00E7317C">
        <w:trPr>
          <w:trHeight w:val="630"/>
        </w:trPr>
        <w:tc>
          <w:tcPr>
            <w:tcW w:w="705" w:type="dxa"/>
            <w:tcBorders>
              <w:top w:val="nil"/>
              <w:left w:val="single" w:sz="8" w:space="0" w:color="auto"/>
              <w:bottom w:val="single" w:sz="4" w:space="0" w:color="auto"/>
              <w:right w:val="single" w:sz="4" w:space="0" w:color="auto"/>
            </w:tcBorders>
            <w:shd w:val="clear" w:color="auto" w:fill="auto"/>
            <w:noWrap/>
            <w:vAlign w:val="center"/>
            <w:hideMark/>
          </w:tcPr>
          <w:p w:rsidR="00E7317C" w:rsidRPr="007E423C" w:rsidRDefault="00E7317C" w:rsidP="00E7317C">
            <w:pPr>
              <w:jc w:val="center"/>
              <w:rPr>
                <w:color w:val="000000"/>
                <w:sz w:val="28"/>
                <w:szCs w:val="28"/>
              </w:rPr>
            </w:pPr>
            <w:r w:rsidRPr="007E423C">
              <w:rPr>
                <w:color w:val="000000"/>
                <w:sz w:val="28"/>
                <w:szCs w:val="28"/>
              </w:rPr>
              <w:t>15</w:t>
            </w:r>
          </w:p>
        </w:tc>
        <w:tc>
          <w:tcPr>
            <w:tcW w:w="3620" w:type="dxa"/>
            <w:tcBorders>
              <w:top w:val="nil"/>
              <w:left w:val="nil"/>
              <w:bottom w:val="single" w:sz="4" w:space="0" w:color="auto"/>
              <w:right w:val="single" w:sz="4" w:space="0" w:color="auto"/>
            </w:tcBorders>
            <w:shd w:val="clear" w:color="auto" w:fill="auto"/>
            <w:vAlign w:val="center"/>
            <w:hideMark/>
          </w:tcPr>
          <w:p w:rsidR="00E7317C" w:rsidRPr="007E423C" w:rsidRDefault="00E7317C" w:rsidP="00E7317C">
            <w:pPr>
              <w:rPr>
                <w:color w:val="000000"/>
                <w:sz w:val="28"/>
                <w:szCs w:val="28"/>
              </w:rPr>
            </w:pPr>
            <w:r w:rsidRPr="007E423C">
              <w:rPr>
                <w:color w:val="000000"/>
                <w:sz w:val="28"/>
                <w:szCs w:val="28"/>
              </w:rPr>
              <w:t xml:space="preserve">Доходы по Российской Федерации всего </w:t>
            </w:r>
          </w:p>
          <w:p w:rsidR="00E7317C" w:rsidRDefault="00E7317C" w:rsidP="00E7317C">
            <w:pPr>
              <w:rPr>
                <w:color w:val="000000"/>
                <w:sz w:val="28"/>
                <w:szCs w:val="28"/>
              </w:rPr>
            </w:pPr>
            <w:r w:rsidRPr="007E423C">
              <w:rPr>
                <w:color w:val="000000"/>
                <w:sz w:val="28"/>
                <w:szCs w:val="28"/>
              </w:rPr>
              <w:t>(расчеты по проекту ФБ 202</w:t>
            </w:r>
            <w:r>
              <w:rPr>
                <w:color w:val="000000"/>
                <w:sz w:val="28"/>
                <w:szCs w:val="28"/>
              </w:rPr>
              <w:t>2</w:t>
            </w:r>
            <w:r w:rsidRPr="007E423C">
              <w:rPr>
                <w:color w:val="000000"/>
                <w:sz w:val="28"/>
                <w:szCs w:val="28"/>
              </w:rPr>
              <w:t>-202</w:t>
            </w:r>
            <w:r>
              <w:rPr>
                <w:color w:val="000000"/>
                <w:sz w:val="28"/>
                <w:szCs w:val="28"/>
              </w:rPr>
              <w:t>4</w:t>
            </w:r>
            <w:r w:rsidRPr="007E423C">
              <w:rPr>
                <w:color w:val="000000"/>
                <w:sz w:val="28"/>
                <w:szCs w:val="28"/>
              </w:rPr>
              <w:t>)</w:t>
            </w:r>
          </w:p>
          <w:p w:rsidR="00E7317C" w:rsidRDefault="00E7317C" w:rsidP="00E7317C">
            <w:pPr>
              <w:rPr>
                <w:color w:val="000000"/>
                <w:sz w:val="28"/>
                <w:szCs w:val="28"/>
              </w:rPr>
            </w:pPr>
            <w:r>
              <w:rPr>
                <w:color w:val="000000"/>
                <w:sz w:val="28"/>
                <w:szCs w:val="28"/>
              </w:rPr>
              <w:t>стр. 15 = стр. 15.1/стр. 1</w:t>
            </w:r>
          </w:p>
          <w:p w:rsidR="0030575D" w:rsidRPr="007E423C" w:rsidRDefault="0030575D" w:rsidP="00E7317C">
            <w:pPr>
              <w:rPr>
                <w:color w:val="000000"/>
                <w:sz w:val="28"/>
                <w:szCs w:val="28"/>
              </w:rPr>
            </w:pPr>
            <w:r>
              <w:rPr>
                <w:color w:val="000000"/>
              </w:rPr>
              <w:t>тыс. руб.</w:t>
            </w:r>
          </w:p>
        </w:tc>
        <w:tc>
          <w:tcPr>
            <w:tcW w:w="1826" w:type="dxa"/>
            <w:tcBorders>
              <w:top w:val="nil"/>
              <w:left w:val="nil"/>
              <w:bottom w:val="single" w:sz="4" w:space="0" w:color="auto"/>
              <w:right w:val="single" w:sz="4" w:space="0" w:color="auto"/>
            </w:tcBorders>
            <w:shd w:val="clear" w:color="000000" w:fill="FFFFFF"/>
            <w:noWrap/>
            <w:vAlign w:val="center"/>
          </w:tcPr>
          <w:p w:rsidR="00E7317C" w:rsidRPr="007E423C" w:rsidRDefault="00E7317C" w:rsidP="00E7317C">
            <w:pPr>
              <w:jc w:val="center"/>
              <w:rPr>
                <w:color w:val="000000"/>
                <w:sz w:val="28"/>
                <w:szCs w:val="28"/>
              </w:rPr>
            </w:pPr>
            <w:r>
              <w:rPr>
                <w:color w:val="000000"/>
                <w:sz w:val="28"/>
                <w:szCs w:val="28"/>
              </w:rPr>
              <w:t>2 036 096,8</w:t>
            </w:r>
          </w:p>
        </w:tc>
        <w:tc>
          <w:tcPr>
            <w:tcW w:w="1816" w:type="dxa"/>
            <w:tcBorders>
              <w:top w:val="nil"/>
              <w:left w:val="nil"/>
              <w:bottom w:val="single" w:sz="4" w:space="0" w:color="auto"/>
              <w:right w:val="single" w:sz="4" w:space="0" w:color="auto"/>
            </w:tcBorders>
            <w:shd w:val="clear" w:color="000000" w:fill="FFFFFF"/>
            <w:noWrap/>
            <w:vAlign w:val="center"/>
          </w:tcPr>
          <w:p w:rsidR="00E7317C" w:rsidRPr="007E423C" w:rsidRDefault="00E7317C" w:rsidP="00E7317C">
            <w:pPr>
              <w:jc w:val="center"/>
              <w:rPr>
                <w:color w:val="000000"/>
                <w:sz w:val="28"/>
                <w:szCs w:val="28"/>
              </w:rPr>
            </w:pPr>
            <w:r>
              <w:rPr>
                <w:color w:val="000000"/>
                <w:sz w:val="28"/>
                <w:szCs w:val="28"/>
              </w:rPr>
              <w:t>2 091 725,5</w:t>
            </w:r>
          </w:p>
        </w:tc>
        <w:tc>
          <w:tcPr>
            <w:tcW w:w="1816" w:type="dxa"/>
            <w:tcBorders>
              <w:top w:val="nil"/>
              <w:left w:val="nil"/>
              <w:bottom w:val="single" w:sz="4" w:space="0" w:color="auto"/>
              <w:right w:val="single" w:sz="8" w:space="0" w:color="auto"/>
            </w:tcBorders>
            <w:shd w:val="clear" w:color="000000" w:fill="FFFFFF"/>
            <w:noWrap/>
            <w:vAlign w:val="center"/>
          </w:tcPr>
          <w:p w:rsidR="00E7317C" w:rsidRPr="007E423C" w:rsidRDefault="00E7317C" w:rsidP="00E7317C">
            <w:pPr>
              <w:jc w:val="center"/>
              <w:rPr>
                <w:color w:val="000000"/>
                <w:sz w:val="28"/>
                <w:szCs w:val="28"/>
              </w:rPr>
            </w:pPr>
            <w:r>
              <w:rPr>
                <w:color w:val="000000"/>
                <w:sz w:val="28"/>
                <w:szCs w:val="28"/>
              </w:rPr>
              <w:t>2 175 482,1</w:t>
            </w:r>
          </w:p>
        </w:tc>
      </w:tr>
      <w:tr w:rsidR="00E7317C" w:rsidRPr="00742229" w:rsidTr="00E7317C">
        <w:trPr>
          <w:trHeight w:val="630"/>
        </w:trPr>
        <w:tc>
          <w:tcPr>
            <w:tcW w:w="705" w:type="dxa"/>
            <w:tcBorders>
              <w:top w:val="nil"/>
              <w:left w:val="single" w:sz="8" w:space="0" w:color="auto"/>
              <w:bottom w:val="single" w:sz="4" w:space="0" w:color="auto"/>
              <w:right w:val="single" w:sz="4" w:space="0" w:color="auto"/>
            </w:tcBorders>
            <w:shd w:val="clear" w:color="auto" w:fill="auto"/>
            <w:noWrap/>
            <w:vAlign w:val="center"/>
          </w:tcPr>
          <w:p w:rsidR="00E7317C" w:rsidRPr="007E423C" w:rsidRDefault="00E7317C" w:rsidP="00E7317C">
            <w:pPr>
              <w:ind w:left="-96"/>
              <w:jc w:val="center"/>
              <w:rPr>
                <w:color w:val="000000"/>
                <w:sz w:val="28"/>
                <w:szCs w:val="28"/>
              </w:rPr>
            </w:pPr>
            <w:r>
              <w:rPr>
                <w:color w:val="000000"/>
                <w:sz w:val="28"/>
                <w:szCs w:val="28"/>
              </w:rPr>
              <w:t>15.1</w:t>
            </w:r>
          </w:p>
        </w:tc>
        <w:tc>
          <w:tcPr>
            <w:tcW w:w="3620" w:type="dxa"/>
            <w:tcBorders>
              <w:top w:val="nil"/>
              <w:left w:val="nil"/>
              <w:bottom w:val="single" w:sz="4" w:space="0" w:color="auto"/>
              <w:right w:val="single" w:sz="4" w:space="0" w:color="auto"/>
            </w:tcBorders>
            <w:shd w:val="clear" w:color="auto" w:fill="auto"/>
            <w:vAlign w:val="center"/>
          </w:tcPr>
          <w:p w:rsidR="00E7317C" w:rsidRDefault="00E7317C" w:rsidP="00E7317C">
            <w:pPr>
              <w:rPr>
                <w:color w:val="000000"/>
                <w:sz w:val="28"/>
                <w:szCs w:val="28"/>
              </w:rPr>
            </w:pPr>
            <w:r w:rsidRPr="005626BE">
              <w:rPr>
                <w:color w:val="000000"/>
                <w:sz w:val="28"/>
                <w:szCs w:val="28"/>
              </w:rPr>
              <w:t>Доходы федерального бюджета в соответствии с проектом ФБ</w:t>
            </w:r>
          </w:p>
          <w:p w:rsidR="0030575D" w:rsidRPr="007E423C" w:rsidRDefault="0030575D" w:rsidP="00E7317C">
            <w:pPr>
              <w:rPr>
                <w:color w:val="000000"/>
                <w:sz w:val="28"/>
                <w:szCs w:val="28"/>
              </w:rPr>
            </w:pPr>
            <w:r>
              <w:rPr>
                <w:color w:val="000000"/>
              </w:rPr>
              <w:t>тыс. руб.</w:t>
            </w:r>
          </w:p>
        </w:tc>
        <w:tc>
          <w:tcPr>
            <w:tcW w:w="1826" w:type="dxa"/>
            <w:tcBorders>
              <w:top w:val="nil"/>
              <w:left w:val="nil"/>
              <w:bottom w:val="single" w:sz="4" w:space="0" w:color="auto"/>
              <w:right w:val="single" w:sz="4" w:space="0" w:color="auto"/>
            </w:tcBorders>
            <w:shd w:val="clear" w:color="000000" w:fill="FFFFFF"/>
            <w:noWrap/>
            <w:vAlign w:val="center"/>
          </w:tcPr>
          <w:p w:rsidR="00E7317C" w:rsidRPr="007E423C" w:rsidRDefault="00E7317C" w:rsidP="00E7317C">
            <w:pPr>
              <w:ind w:left="-110" w:right="-114"/>
              <w:jc w:val="center"/>
              <w:rPr>
                <w:color w:val="000000"/>
                <w:sz w:val="28"/>
                <w:szCs w:val="28"/>
              </w:rPr>
            </w:pPr>
            <w:r>
              <w:rPr>
                <w:color w:val="000000"/>
                <w:sz w:val="28"/>
                <w:szCs w:val="28"/>
              </w:rPr>
              <w:t>511 060,3</w:t>
            </w:r>
          </w:p>
        </w:tc>
        <w:tc>
          <w:tcPr>
            <w:tcW w:w="1816" w:type="dxa"/>
            <w:tcBorders>
              <w:top w:val="nil"/>
              <w:left w:val="nil"/>
              <w:bottom w:val="single" w:sz="4" w:space="0" w:color="auto"/>
              <w:right w:val="single" w:sz="4" w:space="0" w:color="auto"/>
            </w:tcBorders>
            <w:shd w:val="clear" w:color="000000" w:fill="FFFFFF"/>
            <w:noWrap/>
            <w:vAlign w:val="center"/>
          </w:tcPr>
          <w:p w:rsidR="00E7317C" w:rsidRPr="007E423C" w:rsidRDefault="00E7317C" w:rsidP="00E7317C">
            <w:pPr>
              <w:jc w:val="center"/>
              <w:rPr>
                <w:color w:val="000000"/>
                <w:sz w:val="28"/>
                <w:szCs w:val="28"/>
              </w:rPr>
            </w:pPr>
            <w:r>
              <w:rPr>
                <w:color w:val="000000"/>
                <w:sz w:val="28"/>
                <w:szCs w:val="28"/>
              </w:rPr>
              <w:t>525 023,1</w:t>
            </w:r>
          </w:p>
        </w:tc>
        <w:tc>
          <w:tcPr>
            <w:tcW w:w="1816" w:type="dxa"/>
            <w:tcBorders>
              <w:top w:val="nil"/>
              <w:left w:val="nil"/>
              <w:bottom w:val="single" w:sz="4" w:space="0" w:color="auto"/>
              <w:right w:val="single" w:sz="8" w:space="0" w:color="auto"/>
            </w:tcBorders>
            <w:shd w:val="clear" w:color="000000" w:fill="FFFFFF"/>
            <w:noWrap/>
            <w:vAlign w:val="center"/>
          </w:tcPr>
          <w:p w:rsidR="00E7317C" w:rsidRPr="007E423C" w:rsidRDefault="00E7317C" w:rsidP="00E7317C">
            <w:pPr>
              <w:jc w:val="center"/>
              <w:rPr>
                <w:color w:val="000000"/>
                <w:sz w:val="28"/>
                <w:szCs w:val="28"/>
              </w:rPr>
            </w:pPr>
            <w:r>
              <w:rPr>
                <w:color w:val="000000"/>
                <w:sz w:val="28"/>
                <w:szCs w:val="28"/>
              </w:rPr>
              <w:t>546 046,0</w:t>
            </w:r>
          </w:p>
        </w:tc>
      </w:tr>
      <w:tr w:rsidR="00E7317C" w:rsidRPr="00742229" w:rsidTr="00E7317C">
        <w:trPr>
          <w:trHeight w:val="630"/>
        </w:trPr>
        <w:tc>
          <w:tcPr>
            <w:tcW w:w="705" w:type="dxa"/>
            <w:tcBorders>
              <w:top w:val="nil"/>
              <w:left w:val="single" w:sz="8" w:space="0" w:color="auto"/>
              <w:bottom w:val="single" w:sz="4" w:space="0" w:color="auto"/>
              <w:right w:val="single" w:sz="4" w:space="0" w:color="auto"/>
            </w:tcBorders>
            <w:shd w:val="clear" w:color="auto" w:fill="auto"/>
            <w:noWrap/>
            <w:vAlign w:val="center"/>
            <w:hideMark/>
          </w:tcPr>
          <w:p w:rsidR="00E7317C" w:rsidRPr="007E423C" w:rsidRDefault="00E7317C" w:rsidP="00E7317C">
            <w:pPr>
              <w:jc w:val="center"/>
              <w:rPr>
                <w:color w:val="000000"/>
                <w:sz w:val="28"/>
                <w:szCs w:val="28"/>
              </w:rPr>
            </w:pPr>
            <w:r w:rsidRPr="007E423C">
              <w:rPr>
                <w:color w:val="000000"/>
                <w:sz w:val="28"/>
                <w:szCs w:val="28"/>
              </w:rPr>
              <w:t>16</w:t>
            </w:r>
          </w:p>
        </w:tc>
        <w:tc>
          <w:tcPr>
            <w:tcW w:w="3620" w:type="dxa"/>
            <w:tcBorders>
              <w:top w:val="nil"/>
              <w:left w:val="nil"/>
              <w:bottom w:val="single" w:sz="4" w:space="0" w:color="auto"/>
              <w:right w:val="single" w:sz="4" w:space="0" w:color="auto"/>
            </w:tcBorders>
            <w:shd w:val="clear" w:color="auto" w:fill="auto"/>
            <w:vAlign w:val="center"/>
            <w:hideMark/>
          </w:tcPr>
          <w:p w:rsidR="00E7317C" w:rsidRPr="007E423C" w:rsidRDefault="00E7317C" w:rsidP="00E7317C">
            <w:pPr>
              <w:rPr>
                <w:color w:val="000000"/>
                <w:sz w:val="28"/>
                <w:szCs w:val="28"/>
              </w:rPr>
            </w:pPr>
            <w:r w:rsidRPr="007E423C">
              <w:rPr>
                <w:color w:val="000000"/>
                <w:sz w:val="28"/>
                <w:szCs w:val="28"/>
              </w:rPr>
              <w:t>Доходы бюджетов субъектов РФ</w:t>
            </w:r>
          </w:p>
          <w:p w:rsidR="00E7317C" w:rsidRDefault="00E7317C" w:rsidP="00E7317C">
            <w:pPr>
              <w:rPr>
                <w:color w:val="000000"/>
                <w:sz w:val="28"/>
                <w:szCs w:val="28"/>
              </w:rPr>
            </w:pPr>
            <w:r>
              <w:rPr>
                <w:color w:val="000000"/>
                <w:sz w:val="28"/>
                <w:szCs w:val="28"/>
              </w:rPr>
              <w:t>стр. 16 = стр. 15-стр. 15.1</w:t>
            </w:r>
          </w:p>
          <w:p w:rsidR="0030575D" w:rsidRPr="007E423C" w:rsidRDefault="0030575D" w:rsidP="00E7317C">
            <w:pPr>
              <w:rPr>
                <w:color w:val="000000"/>
                <w:sz w:val="28"/>
                <w:szCs w:val="28"/>
              </w:rPr>
            </w:pPr>
            <w:r>
              <w:rPr>
                <w:color w:val="000000"/>
              </w:rPr>
              <w:t>тыс. руб.</w:t>
            </w:r>
          </w:p>
        </w:tc>
        <w:tc>
          <w:tcPr>
            <w:tcW w:w="1826" w:type="dxa"/>
            <w:tcBorders>
              <w:top w:val="nil"/>
              <w:left w:val="nil"/>
              <w:bottom w:val="single" w:sz="4" w:space="0" w:color="auto"/>
              <w:right w:val="single" w:sz="4" w:space="0" w:color="auto"/>
            </w:tcBorders>
            <w:shd w:val="clear" w:color="000000" w:fill="FFFFFF"/>
            <w:noWrap/>
            <w:vAlign w:val="center"/>
          </w:tcPr>
          <w:p w:rsidR="00E7317C" w:rsidRPr="007E423C" w:rsidRDefault="00E7317C" w:rsidP="00E7317C">
            <w:pPr>
              <w:ind w:left="-110" w:right="-114"/>
              <w:jc w:val="center"/>
              <w:rPr>
                <w:color w:val="000000"/>
                <w:sz w:val="28"/>
                <w:szCs w:val="28"/>
              </w:rPr>
            </w:pPr>
            <w:r>
              <w:rPr>
                <w:color w:val="000000"/>
                <w:sz w:val="28"/>
                <w:szCs w:val="28"/>
              </w:rPr>
              <w:t>1 525 036,5</w:t>
            </w:r>
          </w:p>
        </w:tc>
        <w:tc>
          <w:tcPr>
            <w:tcW w:w="1816" w:type="dxa"/>
            <w:tcBorders>
              <w:top w:val="nil"/>
              <w:left w:val="nil"/>
              <w:bottom w:val="single" w:sz="4" w:space="0" w:color="auto"/>
              <w:right w:val="single" w:sz="4" w:space="0" w:color="auto"/>
            </w:tcBorders>
            <w:shd w:val="clear" w:color="000000" w:fill="FFFFFF"/>
            <w:noWrap/>
            <w:vAlign w:val="center"/>
          </w:tcPr>
          <w:p w:rsidR="00E7317C" w:rsidRPr="007E423C" w:rsidRDefault="00E7317C" w:rsidP="00E7317C">
            <w:pPr>
              <w:jc w:val="center"/>
              <w:rPr>
                <w:color w:val="000000"/>
                <w:sz w:val="28"/>
                <w:szCs w:val="28"/>
              </w:rPr>
            </w:pPr>
            <w:r>
              <w:rPr>
                <w:color w:val="000000"/>
                <w:sz w:val="28"/>
                <w:szCs w:val="28"/>
              </w:rPr>
              <w:t>1 566 702,4</w:t>
            </w:r>
          </w:p>
        </w:tc>
        <w:tc>
          <w:tcPr>
            <w:tcW w:w="1816" w:type="dxa"/>
            <w:tcBorders>
              <w:top w:val="nil"/>
              <w:left w:val="nil"/>
              <w:bottom w:val="single" w:sz="4" w:space="0" w:color="auto"/>
              <w:right w:val="single" w:sz="8" w:space="0" w:color="auto"/>
            </w:tcBorders>
            <w:shd w:val="clear" w:color="000000" w:fill="FFFFFF"/>
            <w:noWrap/>
            <w:vAlign w:val="center"/>
          </w:tcPr>
          <w:p w:rsidR="00E7317C" w:rsidRPr="007E423C" w:rsidRDefault="00E7317C" w:rsidP="00E7317C">
            <w:pPr>
              <w:jc w:val="center"/>
              <w:rPr>
                <w:color w:val="000000"/>
                <w:sz w:val="28"/>
                <w:szCs w:val="28"/>
              </w:rPr>
            </w:pPr>
            <w:r>
              <w:rPr>
                <w:color w:val="000000"/>
                <w:sz w:val="28"/>
                <w:szCs w:val="28"/>
              </w:rPr>
              <w:t>1 629 436,1</w:t>
            </w:r>
          </w:p>
        </w:tc>
      </w:tr>
      <w:tr w:rsidR="00E7317C" w:rsidRPr="00742229" w:rsidTr="00E7317C">
        <w:trPr>
          <w:trHeight w:val="630"/>
        </w:trPr>
        <w:tc>
          <w:tcPr>
            <w:tcW w:w="705" w:type="dxa"/>
            <w:tcBorders>
              <w:top w:val="nil"/>
              <w:left w:val="single" w:sz="8" w:space="0" w:color="auto"/>
              <w:bottom w:val="single" w:sz="4" w:space="0" w:color="auto"/>
              <w:right w:val="single" w:sz="4" w:space="0" w:color="auto"/>
            </w:tcBorders>
            <w:shd w:val="clear" w:color="auto" w:fill="auto"/>
            <w:noWrap/>
            <w:vAlign w:val="center"/>
            <w:hideMark/>
          </w:tcPr>
          <w:p w:rsidR="00E7317C" w:rsidRPr="007E423C" w:rsidRDefault="00E7317C" w:rsidP="00E7317C">
            <w:pPr>
              <w:jc w:val="center"/>
              <w:rPr>
                <w:b/>
                <w:bCs/>
                <w:color w:val="000000"/>
                <w:sz w:val="28"/>
                <w:szCs w:val="28"/>
              </w:rPr>
            </w:pPr>
            <w:r w:rsidRPr="007E423C">
              <w:rPr>
                <w:b/>
                <w:bCs/>
                <w:color w:val="000000"/>
                <w:sz w:val="28"/>
                <w:szCs w:val="28"/>
              </w:rPr>
              <w:t>17</w:t>
            </w:r>
          </w:p>
        </w:tc>
        <w:tc>
          <w:tcPr>
            <w:tcW w:w="3620" w:type="dxa"/>
            <w:tcBorders>
              <w:top w:val="nil"/>
              <w:left w:val="nil"/>
              <w:bottom w:val="single" w:sz="4" w:space="0" w:color="auto"/>
              <w:right w:val="single" w:sz="4" w:space="0" w:color="auto"/>
            </w:tcBorders>
            <w:shd w:val="clear" w:color="auto" w:fill="auto"/>
            <w:vAlign w:val="center"/>
            <w:hideMark/>
          </w:tcPr>
          <w:p w:rsidR="00E7317C" w:rsidRDefault="00E7317C" w:rsidP="00E7317C">
            <w:pPr>
              <w:rPr>
                <w:b/>
                <w:bCs/>
                <w:color w:val="000000"/>
                <w:sz w:val="28"/>
                <w:szCs w:val="28"/>
              </w:rPr>
            </w:pPr>
            <w:r w:rsidRPr="007E423C">
              <w:rPr>
                <w:b/>
                <w:bCs/>
                <w:color w:val="000000"/>
                <w:sz w:val="28"/>
                <w:szCs w:val="28"/>
              </w:rPr>
              <w:t>Доходы от уплаты акцизов на моторные масла в областной бюджет всего</w:t>
            </w:r>
            <w:r w:rsidRPr="007E423C">
              <w:rPr>
                <w:b/>
                <w:bCs/>
                <w:color w:val="000000"/>
                <w:sz w:val="28"/>
                <w:szCs w:val="28"/>
              </w:rPr>
              <w:br/>
              <w:t>стр. 17 = стр. 17.1 + стр. 17.2</w:t>
            </w:r>
          </w:p>
          <w:p w:rsidR="0030575D" w:rsidRPr="007E423C" w:rsidRDefault="0030575D" w:rsidP="00E7317C">
            <w:pPr>
              <w:rPr>
                <w:b/>
                <w:bCs/>
                <w:color w:val="000000"/>
                <w:sz w:val="28"/>
                <w:szCs w:val="28"/>
              </w:rPr>
            </w:pPr>
            <w:r>
              <w:rPr>
                <w:color w:val="000000"/>
              </w:rPr>
              <w:t>тыс. руб.</w:t>
            </w:r>
          </w:p>
        </w:tc>
        <w:tc>
          <w:tcPr>
            <w:tcW w:w="1826" w:type="dxa"/>
            <w:tcBorders>
              <w:top w:val="nil"/>
              <w:left w:val="nil"/>
              <w:bottom w:val="single" w:sz="4" w:space="0" w:color="auto"/>
              <w:right w:val="single" w:sz="4" w:space="0" w:color="auto"/>
            </w:tcBorders>
            <w:shd w:val="clear" w:color="000000" w:fill="FFFFFF"/>
            <w:noWrap/>
            <w:vAlign w:val="center"/>
          </w:tcPr>
          <w:p w:rsidR="00E7317C" w:rsidRPr="007E423C" w:rsidRDefault="00E7317C" w:rsidP="00E7317C">
            <w:pPr>
              <w:jc w:val="center"/>
              <w:rPr>
                <w:b/>
                <w:bCs/>
                <w:color w:val="000000"/>
                <w:sz w:val="28"/>
                <w:szCs w:val="28"/>
              </w:rPr>
            </w:pPr>
            <w:r>
              <w:rPr>
                <w:b/>
                <w:bCs/>
                <w:color w:val="000000"/>
                <w:sz w:val="28"/>
                <w:szCs w:val="28"/>
              </w:rPr>
              <w:t>21 063,6</w:t>
            </w:r>
          </w:p>
        </w:tc>
        <w:tc>
          <w:tcPr>
            <w:tcW w:w="1816" w:type="dxa"/>
            <w:tcBorders>
              <w:top w:val="nil"/>
              <w:left w:val="nil"/>
              <w:bottom w:val="single" w:sz="4" w:space="0" w:color="auto"/>
              <w:right w:val="single" w:sz="4" w:space="0" w:color="auto"/>
            </w:tcBorders>
            <w:shd w:val="clear" w:color="000000" w:fill="FFFFFF"/>
            <w:noWrap/>
            <w:vAlign w:val="center"/>
          </w:tcPr>
          <w:p w:rsidR="00E7317C" w:rsidRPr="007E423C" w:rsidRDefault="00E7317C" w:rsidP="00E7317C">
            <w:pPr>
              <w:jc w:val="center"/>
              <w:rPr>
                <w:b/>
                <w:bCs/>
                <w:color w:val="000000"/>
                <w:sz w:val="28"/>
                <w:szCs w:val="28"/>
              </w:rPr>
            </w:pPr>
            <w:r>
              <w:rPr>
                <w:b/>
                <w:bCs/>
                <w:color w:val="000000"/>
                <w:sz w:val="28"/>
                <w:szCs w:val="28"/>
              </w:rPr>
              <w:t>22 134,3</w:t>
            </w:r>
          </w:p>
        </w:tc>
        <w:tc>
          <w:tcPr>
            <w:tcW w:w="1816" w:type="dxa"/>
            <w:tcBorders>
              <w:top w:val="nil"/>
              <w:left w:val="nil"/>
              <w:bottom w:val="single" w:sz="4" w:space="0" w:color="auto"/>
              <w:right w:val="single" w:sz="8" w:space="0" w:color="auto"/>
            </w:tcBorders>
            <w:shd w:val="clear" w:color="000000" w:fill="FFFFFF"/>
            <w:noWrap/>
            <w:vAlign w:val="center"/>
          </w:tcPr>
          <w:p w:rsidR="00E7317C" w:rsidRPr="007E423C" w:rsidRDefault="00E7317C" w:rsidP="00E7317C">
            <w:pPr>
              <w:jc w:val="center"/>
              <w:rPr>
                <w:b/>
                <w:bCs/>
                <w:color w:val="000000"/>
                <w:sz w:val="28"/>
                <w:szCs w:val="28"/>
              </w:rPr>
            </w:pPr>
            <w:r>
              <w:rPr>
                <w:b/>
                <w:bCs/>
                <w:color w:val="000000"/>
                <w:sz w:val="28"/>
                <w:szCs w:val="28"/>
              </w:rPr>
              <w:t>23 359,0</w:t>
            </w:r>
          </w:p>
        </w:tc>
      </w:tr>
      <w:tr w:rsidR="00E7317C" w:rsidRPr="00742229" w:rsidTr="00E7317C">
        <w:trPr>
          <w:trHeight w:val="1260"/>
        </w:trPr>
        <w:tc>
          <w:tcPr>
            <w:tcW w:w="705" w:type="dxa"/>
            <w:tcBorders>
              <w:top w:val="nil"/>
              <w:left w:val="single" w:sz="8" w:space="0" w:color="auto"/>
              <w:bottom w:val="single" w:sz="4" w:space="0" w:color="auto"/>
              <w:right w:val="single" w:sz="4" w:space="0" w:color="auto"/>
            </w:tcBorders>
            <w:shd w:val="clear" w:color="auto" w:fill="auto"/>
            <w:noWrap/>
            <w:vAlign w:val="center"/>
            <w:hideMark/>
          </w:tcPr>
          <w:p w:rsidR="00E7317C" w:rsidRPr="007E423C" w:rsidRDefault="00E7317C" w:rsidP="00E7317C">
            <w:pPr>
              <w:ind w:left="-96" w:right="-125"/>
              <w:jc w:val="center"/>
              <w:rPr>
                <w:color w:val="000000"/>
                <w:sz w:val="28"/>
                <w:szCs w:val="28"/>
              </w:rPr>
            </w:pPr>
            <w:r w:rsidRPr="007E423C">
              <w:rPr>
                <w:color w:val="000000"/>
                <w:sz w:val="28"/>
                <w:szCs w:val="28"/>
              </w:rPr>
              <w:t>17.1</w:t>
            </w:r>
          </w:p>
        </w:tc>
        <w:tc>
          <w:tcPr>
            <w:tcW w:w="3620" w:type="dxa"/>
            <w:tcBorders>
              <w:top w:val="nil"/>
              <w:left w:val="nil"/>
              <w:bottom w:val="single" w:sz="4" w:space="0" w:color="auto"/>
              <w:right w:val="single" w:sz="4" w:space="0" w:color="auto"/>
            </w:tcBorders>
            <w:shd w:val="clear" w:color="auto" w:fill="auto"/>
            <w:vAlign w:val="center"/>
            <w:hideMark/>
          </w:tcPr>
          <w:p w:rsidR="00E7317C" w:rsidRPr="007E423C" w:rsidRDefault="00E7317C" w:rsidP="00E7317C">
            <w:pPr>
              <w:rPr>
                <w:color w:val="000000"/>
                <w:sz w:val="28"/>
                <w:szCs w:val="28"/>
              </w:rPr>
            </w:pPr>
            <w:r w:rsidRPr="007E423C">
              <w:rPr>
                <w:color w:val="000000"/>
                <w:sz w:val="28"/>
                <w:szCs w:val="28"/>
              </w:rPr>
              <w:t xml:space="preserve">Доходы от уплаты акцизов на моторные масла в целях формирования Дорожного фонда Тверской области </w:t>
            </w:r>
          </w:p>
          <w:p w:rsidR="00E7317C" w:rsidRPr="007E423C" w:rsidRDefault="00E7317C" w:rsidP="00E7317C">
            <w:pPr>
              <w:rPr>
                <w:color w:val="000000"/>
                <w:sz w:val="28"/>
                <w:szCs w:val="28"/>
              </w:rPr>
            </w:pPr>
            <w:r w:rsidRPr="007E423C">
              <w:rPr>
                <w:color w:val="000000"/>
                <w:sz w:val="28"/>
                <w:szCs w:val="28"/>
              </w:rPr>
              <w:t>стр. 17.1 = стр. 16 *стр.3*</w:t>
            </w:r>
          </w:p>
          <w:p w:rsidR="00E7317C" w:rsidRDefault="00E7317C" w:rsidP="00E7317C">
            <w:pPr>
              <w:rPr>
                <w:color w:val="000000"/>
                <w:sz w:val="28"/>
                <w:szCs w:val="28"/>
              </w:rPr>
            </w:pPr>
            <w:r w:rsidRPr="007E423C">
              <w:rPr>
                <w:color w:val="000000"/>
                <w:sz w:val="28"/>
                <w:szCs w:val="28"/>
              </w:rPr>
              <w:t>стр. 5 *90%</w:t>
            </w:r>
          </w:p>
          <w:p w:rsidR="0030575D" w:rsidRPr="007E423C" w:rsidRDefault="0030575D" w:rsidP="00E7317C">
            <w:pPr>
              <w:rPr>
                <w:color w:val="000000"/>
                <w:sz w:val="28"/>
                <w:szCs w:val="28"/>
              </w:rPr>
            </w:pPr>
            <w:r>
              <w:rPr>
                <w:color w:val="000000"/>
              </w:rPr>
              <w:t>тыс. руб.</w:t>
            </w:r>
          </w:p>
        </w:tc>
        <w:tc>
          <w:tcPr>
            <w:tcW w:w="1826" w:type="dxa"/>
            <w:tcBorders>
              <w:top w:val="nil"/>
              <w:left w:val="nil"/>
              <w:bottom w:val="single" w:sz="4" w:space="0" w:color="auto"/>
              <w:right w:val="single" w:sz="4" w:space="0" w:color="auto"/>
            </w:tcBorders>
            <w:shd w:val="clear" w:color="000000" w:fill="FFFFFF"/>
            <w:noWrap/>
            <w:vAlign w:val="center"/>
          </w:tcPr>
          <w:p w:rsidR="00E7317C" w:rsidRPr="007E423C" w:rsidRDefault="00E7317C" w:rsidP="00E7317C">
            <w:pPr>
              <w:jc w:val="center"/>
              <w:rPr>
                <w:color w:val="000000"/>
                <w:sz w:val="28"/>
                <w:szCs w:val="28"/>
              </w:rPr>
            </w:pPr>
            <w:r>
              <w:rPr>
                <w:color w:val="000000"/>
                <w:sz w:val="28"/>
                <w:szCs w:val="28"/>
              </w:rPr>
              <w:t>14 274,5</w:t>
            </w:r>
          </w:p>
        </w:tc>
        <w:tc>
          <w:tcPr>
            <w:tcW w:w="1816" w:type="dxa"/>
            <w:tcBorders>
              <w:top w:val="nil"/>
              <w:left w:val="nil"/>
              <w:bottom w:val="single" w:sz="4" w:space="0" w:color="auto"/>
              <w:right w:val="single" w:sz="4" w:space="0" w:color="auto"/>
            </w:tcBorders>
            <w:shd w:val="clear" w:color="000000" w:fill="FFFFFF"/>
            <w:noWrap/>
            <w:vAlign w:val="center"/>
          </w:tcPr>
          <w:p w:rsidR="00E7317C" w:rsidRPr="007E423C" w:rsidRDefault="00E7317C" w:rsidP="00E7317C">
            <w:pPr>
              <w:jc w:val="center"/>
              <w:rPr>
                <w:color w:val="000000"/>
                <w:sz w:val="28"/>
                <w:szCs w:val="28"/>
              </w:rPr>
            </w:pPr>
            <w:r>
              <w:rPr>
                <w:color w:val="000000"/>
                <w:sz w:val="28"/>
                <w:szCs w:val="28"/>
              </w:rPr>
              <w:t>15 159,7</w:t>
            </w:r>
          </w:p>
        </w:tc>
        <w:tc>
          <w:tcPr>
            <w:tcW w:w="1816" w:type="dxa"/>
            <w:tcBorders>
              <w:top w:val="nil"/>
              <w:left w:val="nil"/>
              <w:bottom w:val="single" w:sz="4" w:space="0" w:color="auto"/>
              <w:right w:val="single" w:sz="8" w:space="0" w:color="auto"/>
            </w:tcBorders>
            <w:shd w:val="clear" w:color="000000" w:fill="FFFFFF"/>
            <w:noWrap/>
            <w:vAlign w:val="center"/>
          </w:tcPr>
          <w:p w:rsidR="00E7317C" w:rsidRPr="007E423C" w:rsidRDefault="00E7317C" w:rsidP="00E7317C">
            <w:pPr>
              <w:jc w:val="center"/>
              <w:rPr>
                <w:color w:val="000000"/>
                <w:sz w:val="28"/>
                <w:szCs w:val="28"/>
              </w:rPr>
            </w:pPr>
            <w:r>
              <w:rPr>
                <w:color w:val="000000"/>
                <w:sz w:val="28"/>
                <w:szCs w:val="28"/>
              </w:rPr>
              <w:t>16 105,2</w:t>
            </w:r>
          </w:p>
        </w:tc>
      </w:tr>
      <w:tr w:rsidR="00E7317C" w:rsidRPr="00742229" w:rsidTr="00E7317C">
        <w:trPr>
          <w:trHeight w:val="1260"/>
        </w:trPr>
        <w:tc>
          <w:tcPr>
            <w:tcW w:w="705" w:type="dxa"/>
            <w:tcBorders>
              <w:top w:val="nil"/>
              <w:left w:val="single" w:sz="8" w:space="0" w:color="auto"/>
              <w:bottom w:val="single" w:sz="4" w:space="0" w:color="auto"/>
              <w:right w:val="single" w:sz="4" w:space="0" w:color="auto"/>
            </w:tcBorders>
            <w:shd w:val="clear" w:color="auto" w:fill="auto"/>
            <w:noWrap/>
            <w:vAlign w:val="center"/>
            <w:hideMark/>
          </w:tcPr>
          <w:p w:rsidR="00E7317C" w:rsidRPr="007E423C" w:rsidRDefault="00E7317C" w:rsidP="00E7317C">
            <w:pPr>
              <w:ind w:left="-96" w:right="-125"/>
              <w:jc w:val="center"/>
              <w:rPr>
                <w:color w:val="000000"/>
                <w:sz w:val="28"/>
                <w:szCs w:val="28"/>
              </w:rPr>
            </w:pPr>
            <w:r w:rsidRPr="007E423C">
              <w:rPr>
                <w:color w:val="000000"/>
                <w:sz w:val="28"/>
                <w:szCs w:val="28"/>
              </w:rPr>
              <w:t>17.2</w:t>
            </w:r>
          </w:p>
        </w:tc>
        <w:tc>
          <w:tcPr>
            <w:tcW w:w="3620" w:type="dxa"/>
            <w:tcBorders>
              <w:top w:val="nil"/>
              <w:left w:val="nil"/>
              <w:bottom w:val="single" w:sz="4" w:space="0" w:color="auto"/>
              <w:right w:val="single" w:sz="4" w:space="0" w:color="auto"/>
            </w:tcBorders>
            <w:shd w:val="clear" w:color="auto" w:fill="auto"/>
            <w:vAlign w:val="center"/>
            <w:hideMark/>
          </w:tcPr>
          <w:p w:rsidR="00E7317C" w:rsidRPr="007E423C" w:rsidRDefault="00E7317C" w:rsidP="00E7317C">
            <w:pPr>
              <w:rPr>
                <w:color w:val="000000"/>
                <w:sz w:val="28"/>
                <w:szCs w:val="28"/>
              </w:rPr>
            </w:pPr>
            <w:r w:rsidRPr="007E423C">
              <w:rPr>
                <w:color w:val="000000"/>
                <w:sz w:val="28"/>
                <w:szCs w:val="28"/>
              </w:rPr>
              <w:t>Доходы от уплаты акцизов на моторные масла в целях реализации Нацпроекта</w:t>
            </w:r>
          </w:p>
          <w:p w:rsidR="00E7317C" w:rsidRPr="007E423C" w:rsidRDefault="00E7317C" w:rsidP="00E7317C">
            <w:pPr>
              <w:rPr>
                <w:color w:val="000000"/>
                <w:sz w:val="28"/>
                <w:szCs w:val="28"/>
              </w:rPr>
            </w:pPr>
            <w:r w:rsidRPr="007E423C">
              <w:rPr>
                <w:color w:val="000000"/>
                <w:sz w:val="28"/>
                <w:szCs w:val="28"/>
              </w:rPr>
              <w:t>стр. 17.2 = стр. 16 * стр.4*</w:t>
            </w:r>
          </w:p>
          <w:p w:rsidR="00E7317C" w:rsidRDefault="00E7317C" w:rsidP="00E7317C">
            <w:pPr>
              <w:rPr>
                <w:color w:val="000000"/>
                <w:sz w:val="28"/>
                <w:szCs w:val="28"/>
              </w:rPr>
            </w:pPr>
            <w:r w:rsidRPr="007E423C">
              <w:rPr>
                <w:color w:val="000000"/>
                <w:sz w:val="28"/>
                <w:szCs w:val="28"/>
              </w:rPr>
              <w:t>стр. 6</w:t>
            </w:r>
          </w:p>
          <w:p w:rsidR="0030575D" w:rsidRPr="007E423C" w:rsidRDefault="0030575D" w:rsidP="00E7317C">
            <w:pPr>
              <w:rPr>
                <w:color w:val="000000"/>
                <w:sz w:val="28"/>
                <w:szCs w:val="28"/>
              </w:rPr>
            </w:pPr>
            <w:r>
              <w:rPr>
                <w:color w:val="000000"/>
              </w:rPr>
              <w:t>тыс. руб.</w:t>
            </w:r>
          </w:p>
        </w:tc>
        <w:tc>
          <w:tcPr>
            <w:tcW w:w="1826" w:type="dxa"/>
            <w:tcBorders>
              <w:top w:val="nil"/>
              <w:left w:val="nil"/>
              <w:bottom w:val="single" w:sz="4" w:space="0" w:color="auto"/>
              <w:right w:val="single" w:sz="4" w:space="0" w:color="auto"/>
            </w:tcBorders>
            <w:shd w:val="clear" w:color="000000" w:fill="FFFFFF"/>
            <w:noWrap/>
            <w:vAlign w:val="center"/>
          </w:tcPr>
          <w:p w:rsidR="00E7317C" w:rsidRPr="007E423C" w:rsidRDefault="00E7317C" w:rsidP="00E7317C">
            <w:pPr>
              <w:jc w:val="center"/>
              <w:rPr>
                <w:color w:val="000000"/>
                <w:sz w:val="28"/>
                <w:szCs w:val="28"/>
              </w:rPr>
            </w:pPr>
            <w:r>
              <w:rPr>
                <w:color w:val="000000"/>
                <w:sz w:val="28"/>
                <w:szCs w:val="28"/>
              </w:rPr>
              <w:t>6 789,1</w:t>
            </w:r>
          </w:p>
        </w:tc>
        <w:tc>
          <w:tcPr>
            <w:tcW w:w="1816" w:type="dxa"/>
            <w:tcBorders>
              <w:top w:val="nil"/>
              <w:left w:val="nil"/>
              <w:bottom w:val="single" w:sz="4" w:space="0" w:color="auto"/>
              <w:right w:val="single" w:sz="4" w:space="0" w:color="auto"/>
            </w:tcBorders>
            <w:shd w:val="clear" w:color="000000" w:fill="FFFFFF"/>
            <w:noWrap/>
            <w:vAlign w:val="center"/>
          </w:tcPr>
          <w:p w:rsidR="00E7317C" w:rsidRPr="007E423C" w:rsidRDefault="00E7317C" w:rsidP="00E7317C">
            <w:pPr>
              <w:jc w:val="center"/>
              <w:rPr>
                <w:color w:val="000000"/>
                <w:sz w:val="28"/>
                <w:szCs w:val="28"/>
              </w:rPr>
            </w:pPr>
            <w:r>
              <w:rPr>
                <w:color w:val="000000"/>
                <w:sz w:val="28"/>
                <w:szCs w:val="28"/>
              </w:rPr>
              <w:t>6 974,6</w:t>
            </w:r>
          </w:p>
        </w:tc>
        <w:tc>
          <w:tcPr>
            <w:tcW w:w="1816" w:type="dxa"/>
            <w:tcBorders>
              <w:top w:val="nil"/>
              <w:left w:val="nil"/>
              <w:bottom w:val="single" w:sz="4" w:space="0" w:color="auto"/>
              <w:right w:val="single" w:sz="8" w:space="0" w:color="auto"/>
            </w:tcBorders>
            <w:shd w:val="clear" w:color="000000" w:fill="FFFFFF"/>
            <w:noWrap/>
            <w:vAlign w:val="center"/>
          </w:tcPr>
          <w:p w:rsidR="00E7317C" w:rsidRPr="007E423C" w:rsidRDefault="00E7317C" w:rsidP="00E7317C">
            <w:pPr>
              <w:jc w:val="center"/>
              <w:rPr>
                <w:color w:val="000000"/>
                <w:sz w:val="28"/>
                <w:szCs w:val="28"/>
              </w:rPr>
            </w:pPr>
            <w:r>
              <w:rPr>
                <w:color w:val="000000"/>
                <w:sz w:val="28"/>
                <w:szCs w:val="28"/>
              </w:rPr>
              <w:t>7 253,8</w:t>
            </w:r>
          </w:p>
        </w:tc>
      </w:tr>
      <w:tr w:rsidR="00E7317C" w:rsidRPr="00742229" w:rsidTr="00E7317C">
        <w:trPr>
          <w:trHeight w:val="645"/>
        </w:trPr>
        <w:tc>
          <w:tcPr>
            <w:tcW w:w="705" w:type="dxa"/>
            <w:tcBorders>
              <w:top w:val="nil"/>
              <w:left w:val="single" w:sz="8" w:space="0" w:color="auto"/>
              <w:bottom w:val="single" w:sz="8" w:space="0" w:color="auto"/>
              <w:right w:val="single" w:sz="4" w:space="0" w:color="auto"/>
            </w:tcBorders>
            <w:shd w:val="clear" w:color="auto" w:fill="auto"/>
            <w:noWrap/>
            <w:vAlign w:val="center"/>
            <w:hideMark/>
          </w:tcPr>
          <w:p w:rsidR="00E7317C" w:rsidRPr="007E423C" w:rsidRDefault="00E7317C" w:rsidP="00E7317C">
            <w:pPr>
              <w:jc w:val="center"/>
              <w:rPr>
                <w:color w:val="000000"/>
                <w:sz w:val="28"/>
                <w:szCs w:val="28"/>
              </w:rPr>
            </w:pPr>
            <w:r w:rsidRPr="007E423C">
              <w:rPr>
                <w:color w:val="000000"/>
                <w:sz w:val="28"/>
                <w:szCs w:val="28"/>
              </w:rPr>
              <w:t>18</w:t>
            </w:r>
          </w:p>
        </w:tc>
        <w:tc>
          <w:tcPr>
            <w:tcW w:w="3620" w:type="dxa"/>
            <w:tcBorders>
              <w:top w:val="nil"/>
              <w:left w:val="nil"/>
              <w:bottom w:val="single" w:sz="8" w:space="0" w:color="auto"/>
              <w:right w:val="single" w:sz="4" w:space="0" w:color="auto"/>
            </w:tcBorders>
            <w:shd w:val="clear" w:color="auto" w:fill="auto"/>
            <w:vAlign w:val="center"/>
            <w:hideMark/>
          </w:tcPr>
          <w:p w:rsidR="00E7317C" w:rsidRPr="007E423C" w:rsidRDefault="00E7317C" w:rsidP="00E7317C">
            <w:pPr>
              <w:rPr>
                <w:color w:val="000000"/>
                <w:sz w:val="28"/>
                <w:szCs w:val="28"/>
              </w:rPr>
            </w:pPr>
            <w:r w:rsidRPr="007E423C">
              <w:rPr>
                <w:color w:val="000000"/>
                <w:sz w:val="28"/>
                <w:szCs w:val="28"/>
              </w:rPr>
              <w:t>Справочно:</w:t>
            </w:r>
          </w:p>
          <w:p w:rsidR="00E7317C" w:rsidRPr="007E423C" w:rsidRDefault="00E7317C" w:rsidP="00E7317C">
            <w:pPr>
              <w:rPr>
                <w:color w:val="000000"/>
                <w:sz w:val="28"/>
                <w:szCs w:val="28"/>
              </w:rPr>
            </w:pPr>
            <w:r w:rsidRPr="007E423C">
              <w:rPr>
                <w:color w:val="000000"/>
                <w:sz w:val="28"/>
                <w:szCs w:val="28"/>
              </w:rPr>
              <w:t>Налоговая  ставка по НК РФ</w:t>
            </w:r>
          </w:p>
        </w:tc>
        <w:tc>
          <w:tcPr>
            <w:tcW w:w="1826" w:type="dxa"/>
            <w:tcBorders>
              <w:top w:val="nil"/>
              <w:left w:val="nil"/>
              <w:bottom w:val="single" w:sz="8" w:space="0" w:color="auto"/>
              <w:right w:val="single" w:sz="4" w:space="0" w:color="auto"/>
            </w:tcBorders>
            <w:shd w:val="clear" w:color="000000" w:fill="FFFFFF"/>
            <w:vAlign w:val="center"/>
            <w:hideMark/>
          </w:tcPr>
          <w:p w:rsidR="00E7317C" w:rsidRPr="007E423C" w:rsidRDefault="00E7317C" w:rsidP="00E7317C">
            <w:pPr>
              <w:jc w:val="center"/>
              <w:rPr>
                <w:color w:val="000000"/>
                <w:sz w:val="28"/>
                <w:szCs w:val="28"/>
              </w:rPr>
            </w:pPr>
            <w:r w:rsidRPr="007E423C">
              <w:rPr>
                <w:color w:val="000000"/>
                <w:sz w:val="28"/>
                <w:szCs w:val="28"/>
              </w:rPr>
              <w:t>6 075 руб. за тонну</w:t>
            </w:r>
          </w:p>
        </w:tc>
        <w:tc>
          <w:tcPr>
            <w:tcW w:w="1816" w:type="dxa"/>
            <w:tcBorders>
              <w:top w:val="nil"/>
              <w:left w:val="nil"/>
              <w:bottom w:val="single" w:sz="8" w:space="0" w:color="auto"/>
              <w:right w:val="single" w:sz="4" w:space="0" w:color="auto"/>
            </w:tcBorders>
            <w:shd w:val="clear" w:color="000000" w:fill="FFFFFF"/>
            <w:vAlign w:val="center"/>
          </w:tcPr>
          <w:p w:rsidR="00E7317C" w:rsidRPr="007E423C" w:rsidRDefault="00E7317C" w:rsidP="00E7317C">
            <w:pPr>
              <w:jc w:val="center"/>
              <w:rPr>
                <w:color w:val="000000"/>
                <w:sz w:val="28"/>
                <w:szCs w:val="28"/>
              </w:rPr>
            </w:pPr>
            <w:r w:rsidRPr="007E423C">
              <w:rPr>
                <w:color w:val="000000"/>
                <w:sz w:val="28"/>
                <w:szCs w:val="28"/>
              </w:rPr>
              <w:t>6 318 руб. за тонну</w:t>
            </w:r>
          </w:p>
        </w:tc>
        <w:tc>
          <w:tcPr>
            <w:tcW w:w="1816" w:type="dxa"/>
            <w:tcBorders>
              <w:top w:val="nil"/>
              <w:left w:val="nil"/>
              <w:bottom w:val="single" w:sz="8" w:space="0" w:color="auto"/>
              <w:right w:val="single" w:sz="8" w:space="0" w:color="auto"/>
            </w:tcBorders>
            <w:shd w:val="clear" w:color="000000" w:fill="FFFFFF"/>
            <w:vAlign w:val="center"/>
          </w:tcPr>
          <w:p w:rsidR="00E7317C" w:rsidRPr="007E423C" w:rsidRDefault="003E7888" w:rsidP="003E7888">
            <w:pPr>
              <w:jc w:val="center"/>
              <w:rPr>
                <w:color w:val="000000"/>
                <w:sz w:val="28"/>
                <w:szCs w:val="28"/>
              </w:rPr>
            </w:pPr>
            <w:r w:rsidRPr="007E423C">
              <w:rPr>
                <w:color w:val="000000"/>
                <w:sz w:val="28"/>
                <w:szCs w:val="28"/>
              </w:rPr>
              <w:t xml:space="preserve">6 </w:t>
            </w:r>
            <w:r>
              <w:rPr>
                <w:color w:val="000000"/>
                <w:sz w:val="28"/>
                <w:szCs w:val="28"/>
              </w:rPr>
              <w:t>571</w:t>
            </w:r>
            <w:r w:rsidRPr="007E423C">
              <w:rPr>
                <w:color w:val="000000"/>
                <w:sz w:val="28"/>
                <w:szCs w:val="28"/>
              </w:rPr>
              <w:t xml:space="preserve"> руб. за тонну</w:t>
            </w:r>
          </w:p>
        </w:tc>
      </w:tr>
      <w:tr w:rsidR="00E7317C" w:rsidRPr="00742229" w:rsidTr="00E7317C">
        <w:trPr>
          <w:trHeight w:val="390"/>
        </w:trPr>
        <w:tc>
          <w:tcPr>
            <w:tcW w:w="705" w:type="dxa"/>
            <w:tcBorders>
              <w:top w:val="nil"/>
              <w:left w:val="single" w:sz="8" w:space="0" w:color="auto"/>
              <w:bottom w:val="single" w:sz="4" w:space="0" w:color="auto"/>
              <w:right w:val="single" w:sz="4" w:space="0" w:color="auto"/>
            </w:tcBorders>
            <w:shd w:val="clear" w:color="auto" w:fill="auto"/>
            <w:noWrap/>
            <w:vAlign w:val="center"/>
            <w:hideMark/>
          </w:tcPr>
          <w:p w:rsidR="00E7317C" w:rsidRPr="00475927" w:rsidRDefault="00E7317C" w:rsidP="00E7317C">
            <w:pPr>
              <w:jc w:val="center"/>
              <w:rPr>
                <w:color w:val="000000"/>
                <w:sz w:val="28"/>
                <w:szCs w:val="28"/>
              </w:rPr>
            </w:pPr>
            <w:r w:rsidRPr="00475927">
              <w:rPr>
                <w:color w:val="000000"/>
                <w:sz w:val="28"/>
                <w:szCs w:val="28"/>
              </w:rPr>
              <w:t>19</w:t>
            </w:r>
          </w:p>
        </w:tc>
        <w:tc>
          <w:tcPr>
            <w:tcW w:w="3620" w:type="dxa"/>
            <w:tcBorders>
              <w:top w:val="nil"/>
              <w:left w:val="nil"/>
              <w:bottom w:val="single" w:sz="4" w:space="0" w:color="auto"/>
              <w:right w:val="single" w:sz="4" w:space="0" w:color="auto"/>
            </w:tcBorders>
            <w:shd w:val="clear" w:color="auto" w:fill="auto"/>
            <w:vAlign w:val="center"/>
            <w:hideMark/>
          </w:tcPr>
          <w:p w:rsidR="00E7317C" w:rsidRPr="00475927" w:rsidRDefault="00E7317C" w:rsidP="00E7317C">
            <w:pPr>
              <w:rPr>
                <w:b/>
                <w:bCs/>
                <w:color w:val="000000"/>
                <w:sz w:val="28"/>
                <w:szCs w:val="28"/>
              </w:rPr>
            </w:pPr>
            <w:r w:rsidRPr="00475927">
              <w:rPr>
                <w:b/>
                <w:bCs/>
                <w:color w:val="000000"/>
                <w:sz w:val="28"/>
                <w:szCs w:val="28"/>
              </w:rPr>
              <w:t>Автомобильный бензин</w:t>
            </w:r>
          </w:p>
        </w:tc>
        <w:tc>
          <w:tcPr>
            <w:tcW w:w="1826" w:type="dxa"/>
            <w:tcBorders>
              <w:top w:val="nil"/>
              <w:left w:val="nil"/>
              <w:bottom w:val="single" w:sz="4" w:space="0" w:color="auto"/>
              <w:right w:val="single" w:sz="4" w:space="0" w:color="auto"/>
            </w:tcBorders>
            <w:shd w:val="clear" w:color="000000" w:fill="FFFFFF"/>
            <w:noWrap/>
            <w:vAlign w:val="center"/>
            <w:hideMark/>
          </w:tcPr>
          <w:p w:rsidR="00E7317C" w:rsidRPr="00475927" w:rsidRDefault="00E7317C" w:rsidP="00E7317C">
            <w:pPr>
              <w:jc w:val="center"/>
              <w:rPr>
                <w:color w:val="000000"/>
                <w:sz w:val="28"/>
                <w:szCs w:val="28"/>
              </w:rPr>
            </w:pPr>
            <w:r w:rsidRPr="00475927">
              <w:rPr>
                <w:color w:val="000000"/>
                <w:sz w:val="28"/>
                <w:szCs w:val="28"/>
              </w:rPr>
              <w:t> </w:t>
            </w:r>
          </w:p>
        </w:tc>
        <w:tc>
          <w:tcPr>
            <w:tcW w:w="1816" w:type="dxa"/>
            <w:tcBorders>
              <w:top w:val="nil"/>
              <w:left w:val="nil"/>
              <w:bottom w:val="single" w:sz="4" w:space="0" w:color="auto"/>
              <w:right w:val="single" w:sz="4" w:space="0" w:color="auto"/>
            </w:tcBorders>
            <w:shd w:val="clear" w:color="auto" w:fill="auto"/>
            <w:noWrap/>
            <w:vAlign w:val="bottom"/>
            <w:hideMark/>
          </w:tcPr>
          <w:p w:rsidR="00E7317C" w:rsidRPr="00475927" w:rsidRDefault="00E7317C" w:rsidP="00E7317C">
            <w:pPr>
              <w:rPr>
                <w:rFonts w:ascii="Calibri" w:hAnsi="Calibri"/>
                <w:color w:val="000000"/>
                <w:sz w:val="28"/>
                <w:szCs w:val="28"/>
              </w:rPr>
            </w:pPr>
            <w:r w:rsidRPr="00475927">
              <w:rPr>
                <w:rFonts w:ascii="Calibri" w:hAnsi="Calibri"/>
                <w:color w:val="000000"/>
                <w:sz w:val="28"/>
                <w:szCs w:val="28"/>
              </w:rPr>
              <w:t> </w:t>
            </w:r>
          </w:p>
        </w:tc>
        <w:tc>
          <w:tcPr>
            <w:tcW w:w="1816" w:type="dxa"/>
            <w:tcBorders>
              <w:top w:val="nil"/>
              <w:left w:val="nil"/>
              <w:bottom w:val="single" w:sz="4" w:space="0" w:color="auto"/>
              <w:right w:val="single" w:sz="8" w:space="0" w:color="auto"/>
            </w:tcBorders>
            <w:shd w:val="clear" w:color="auto" w:fill="auto"/>
            <w:noWrap/>
            <w:vAlign w:val="bottom"/>
            <w:hideMark/>
          </w:tcPr>
          <w:p w:rsidR="00E7317C" w:rsidRPr="00475927" w:rsidRDefault="00E7317C" w:rsidP="00E7317C">
            <w:pPr>
              <w:rPr>
                <w:rFonts w:ascii="Calibri" w:hAnsi="Calibri"/>
                <w:color w:val="000000"/>
                <w:sz w:val="28"/>
                <w:szCs w:val="28"/>
              </w:rPr>
            </w:pPr>
            <w:r w:rsidRPr="00475927">
              <w:rPr>
                <w:rFonts w:ascii="Calibri" w:hAnsi="Calibri"/>
                <w:color w:val="000000"/>
                <w:sz w:val="28"/>
                <w:szCs w:val="28"/>
              </w:rPr>
              <w:t> </w:t>
            </w:r>
          </w:p>
        </w:tc>
      </w:tr>
      <w:tr w:rsidR="00E7317C" w:rsidRPr="00742229" w:rsidTr="00E7317C">
        <w:trPr>
          <w:trHeight w:val="630"/>
        </w:trPr>
        <w:tc>
          <w:tcPr>
            <w:tcW w:w="705" w:type="dxa"/>
            <w:tcBorders>
              <w:top w:val="nil"/>
              <w:left w:val="single" w:sz="8" w:space="0" w:color="auto"/>
              <w:bottom w:val="single" w:sz="4" w:space="0" w:color="auto"/>
              <w:right w:val="single" w:sz="4" w:space="0" w:color="auto"/>
            </w:tcBorders>
            <w:shd w:val="clear" w:color="auto" w:fill="auto"/>
            <w:noWrap/>
            <w:vAlign w:val="center"/>
            <w:hideMark/>
          </w:tcPr>
          <w:p w:rsidR="00E7317C" w:rsidRPr="00475927" w:rsidRDefault="00E7317C" w:rsidP="00E7317C">
            <w:pPr>
              <w:jc w:val="center"/>
              <w:rPr>
                <w:color w:val="000000"/>
                <w:sz w:val="28"/>
                <w:szCs w:val="28"/>
              </w:rPr>
            </w:pPr>
            <w:r w:rsidRPr="00475927">
              <w:rPr>
                <w:color w:val="000000"/>
                <w:sz w:val="28"/>
                <w:szCs w:val="28"/>
              </w:rPr>
              <w:t>20</w:t>
            </w:r>
          </w:p>
        </w:tc>
        <w:tc>
          <w:tcPr>
            <w:tcW w:w="3620" w:type="dxa"/>
            <w:tcBorders>
              <w:top w:val="nil"/>
              <w:left w:val="nil"/>
              <w:bottom w:val="single" w:sz="4" w:space="0" w:color="auto"/>
              <w:right w:val="single" w:sz="4" w:space="0" w:color="auto"/>
            </w:tcBorders>
            <w:shd w:val="clear" w:color="auto" w:fill="auto"/>
            <w:vAlign w:val="center"/>
            <w:hideMark/>
          </w:tcPr>
          <w:p w:rsidR="00E7317C" w:rsidRDefault="00E7317C" w:rsidP="00E7317C">
            <w:pPr>
              <w:rPr>
                <w:color w:val="000000"/>
                <w:sz w:val="28"/>
                <w:szCs w:val="28"/>
              </w:rPr>
            </w:pPr>
            <w:r w:rsidRPr="00475927">
              <w:rPr>
                <w:color w:val="000000"/>
                <w:sz w:val="28"/>
                <w:szCs w:val="28"/>
              </w:rPr>
              <w:t xml:space="preserve">Доходы по Российской Федерации всего </w:t>
            </w:r>
          </w:p>
          <w:p w:rsidR="0030575D" w:rsidRPr="00475927" w:rsidRDefault="0030575D" w:rsidP="00E7317C">
            <w:pPr>
              <w:rPr>
                <w:color w:val="000000"/>
                <w:sz w:val="28"/>
                <w:szCs w:val="28"/>
              </w:rPr>
            </w:pPr>
            <w:r>
              <w:rPr>
                <w:color w:val="000000"/>
              </w:rPr>
              <w:lastRenderedPageBreak/>
              <w:t>тыс. руб.</w:t>
            </w:r>
          </w:p>
          <w:p w:rsidR="00E7317C" w:rsidRDefault="00E7317C" w:rsidP="00E7317C">
            <w:pPr>
              <w:rPr>
                <w:color w:val="000000"/>
                <w:sz w:val="28"/>
                <w:szCs w:val="28"/>
              </w:rPr>
            </w:pPr>
            <w:r w:rsidRPr="00475927">
              <w:rPr>
                <w:color w:val="000000"/>
                <w:sz w:val="28"/>
                <w:szCs w:val="28"/>
              </w:rPr>
              <w:t>(расчеты по проекту ФБ 202</w:t>
            </w:r>
            <w:r>
              <w:rPr>
                <w:color w:val="000000"/>
                <w:sz w:val="28"/>
                <w:szCs w:val="28"/>
              </w:rPr>
              <w:t>2</w:t>
            </w:r>
            <w:r w:rsidRPr="00475927">
              <w:rPr>
                <w:color w:val="000000"/>
                <w:sz w:val="28"/>
                <w:szCs w:val="28"/>
              </w:rPr>
              <w:t>-202</w:t>
            </w:r>
            <w:r>
              <w:rPr>
                <w:color w:val="000000"/>
                <w:sz w:val="28"/>
                <w:szCs w:val="28"/>
              </w:rPr>
              <w:t>4</w:t>
            </w:r>
            <w:r w:rsidRPr="00475927">
              <w:rPr>
                <w:color w:val="000000"/>
                <w:sz w:val="28"/>
                <w:szCs w:val="28"/>
              </w:rPr>
              <w:t>)</w:t>
            </w:r>
          </w:p>
          <w:p w:rsidR="00E7317C" w:rsidRPr="00475927" w:rsidRDefault="00E7317C" w:rsidP="00E7317C">
            <w:pPr>
              <w:rPr>
                <w:color w:val="000000"/>
                <w:sz w:val="28"/>
                <w:szCs w:val="28"/>
              </w:rPr>
            </w:pPr>
            <w:r>
              <w:rPr>
                <w:color w:val="000000"/>
                <w:sz w:val="28"/>
                <w:szCs w:val="28"/>
              </w:rPr>
              <w:t>стр. 20 = стр. 20.1/стр. 1</w:t>
            </w:r>
          </w:p>
        </w:tc>
        <w:tc>
          <w:tcPr>
            <w:tcW w:w="1826" w:type="dxa"/>
            <w:tcBorders>
              <w:top w:val="nil"/>
              <w:left w:val="nil"/>
              <w:bottom w:val="single" w:sz="4" w:space="0" w:color="auto"/>
              <w:right w:val="single" w:sz="4" w:space="0" w:color="auto"/>
            </w:tcBorders>
            <w:shd w:val="clear" w:color="000000" w:fill="FFFFFF"/>
            <w:noWrap/>
            <w:vAlign w:val="center"/>
          </w:tcPr>
          <w:p w:rsidR="00E7317C" w:rsidRPr="00475927" w:rsidRDefault="00E7317C" w:rsidP="00E7317C">
            <w:pPr>
              <w:ind w:left="-110" w:right="-114"/>
              <w:jc w:val="center"/>
              <w:rPr>
                <w:color w:val="000000"/>
                <w:sz w:val="28"/>
                <w:szCs w:val="28"/>
              </w:rPr>
            </w:pPr>
            <w:r>
              <w:rPr>
                <w:color w:val="000000"/>
                <w:sz w:val="28"/>
                <w:szCs w:val="28"/>
              </w:rPr>
              <w:lastRenderedPageBreak/>
              <w:t>489 806 459,8</w:t>
            </w:r>
          </w:p>
        </w:tc>
        <w:tc>
          <w:tcPr>
            <w:tcW w:w="1816" w:type="dxa"/>
            <w:tcBorders>
              <w:top w:val="nil"/>
              <w:left w:val="nil"/>
              <w:bottom w:val="single" w:sz="4" w:space="0" w:color="auto"/>
              <w:right w:val="single" w:sz="4" w:space="0" w:color="auto"/>
            </w:tcBorders>
            <w:shd w:val="clear" w:color="000000" w:fill="FFFFFF"/>
            <w:noWrap/>
            <w:vAlign w:val="center"/>
          </w:tcPr>
          <w:p w:rsidR="00E7317C" w:rsidRPr="00475927" w:rsidRDefault="00E7317C" w:rsidP="00E7317C">
            <w:pPr>
              <w:ind w:left="-136"/>
              <w:jc w:val="center"/>
              <w:rPr>
                <w:color w:val="000000"/>
                <w:sz w:val="28"/>
                <w:szCs w:val="28"/>
              </w:rPr>
            </w:pPr>
            <w:r>
              <w:rPr>
                <w:color w:val="000000"/>
                <w:sz w:val="28"/>
                <w:szCs w:val="28"/>
              </w:rPr>
              <w:t>505 425 347,4</w:t>
            </w:r>
          </w:p>
        </w:tc>
        <w:tc>
          <w:tcPr>
            <w:tcW w:w="1816" w:type="dxa"/>
            <w:tcBorders>
              <w:top w:val="nil"/>
              <w:left w:val="nil"/>
              <w:bottom w:val="single" w:sz="4" w:space="0" w:color="auto"/>
              <w:right w:val="single" w:sz="8" w:space="0" w:color="auto"/>
            </w:tcBorders>
            <w:shd w:val="clear" w:color="000000" w:fill="FFFFFF"/>
            <w:noWrap/>
            <w:vAlign w:val="center"/>
          </w:tcPr>
          <w:p w:rsidR="00E7317C" w:rsidRPr="00475927" w:rsidRDefault="00E7317C" w:rsidP="00E7317C">
            <w:pPr>
              <w:ind w:left="-122" w:right="-118"/>
              <w:jc w:val="center"/>
              <w:rPr>
                <w:color w:val="000000"/>
                <w:sz w:val="28"/>
                <w:szCs w:val="28"/>
              </w:rPr>
            </w:pPr>
            <w:r>
              <w:rPr>
                <w:color w:val="000000"/>
                <w:sz w:val="28"/>
                <w:szCs w:val="28"/>
              </w:rPr>
              <w:t>524 786 923,9</w:t>
            </w:r>
          </w:p>
        </w:tc>
      </w:tr>
      <w:tr w:rsidR="00E7317C" w:rsidRPr="00742229" w:rsidTr="00E7317C">
        <w:trPr>
          <w:trHeight w:val="630"/>
        </w:trPr>
        <w:tc>
          <w:tcPr>
            <w:tcW w:w="705" w:type="dxa"/>
            <w:tcBorders>
              <w:top w:val="nil"/>
              <w:left w:val="single" w:sz="8" w:space="0" w:color="auto"/>
              <w:bottom w:val="single" w:sz="4" w:space="0" w:color="auto"/>
              <w:right w:val="single" w:sz="4" w:space="0" w:color="auto"/>
            </w:tcBorders>
            <w:shd w:val="clear" w:color="auto" w:fill="auto"/>
            <w:noWrap/>
            <w:vAlign w:val="center"/>
          </w:tcPr>
          <w:p w:rsidR="00E7317C" w:rsidRPr="00475927" w:rsidRDefault="00E7317C" w:rsidP="00E7317C">
            <w:pPr>
              <w:ind w:left="-96" w:right="-125"/>
              <w:jc w:val="center"/>
              <w:rPr>
                <w:color w:val="000000"/>
                <w:sz w:val="28"/>
                <w:szCs w:val="28"/>
              </w:rPr>
            </w:pPr>
            <w:r>
              <w:rPr>
                <w:color w:val="000000"/>
                <w:sz w:val="28"/>
                <w:szCs w:val="28"/>
              </w:rPr>
              <w:t>20.1</w:t>
            </w:r>
          </w:p>
        </w:tc>
        <w:tc>
          <w:tcPr>
            <w:tcW w:w="3620" w:type="dxa"/>
            <w:tcBorders>
              <w:top w:val="nil"/>
              <w:left w:val="nil"/>
              <w:bottom w:val="single" w:sz="4" w:space="0" w:color="auto"/>
              <w:right w:val="single" w:sz="4" w:space="0" w:color="auto"/>
            </w:tcBorders>
            <w:shd w:val="clear" w:color="auto" w:fill="auto"/>
            <w:vAlign w:val="center"/>
          </w:tcPr>
          <w:p w:rsidR="00E7317C" w:rsidRDefault="00E7317C" w:rsidP="00E7317C">
            <w:pPr>
              <w:rPr>
                <w:color w:val="000000"/>
                <w:sz w:val="28"/>
                <w:szCs w:val="28"/>
              </w:rPr>
            </w:pPr>
            <w:r w:rsidRPr="005626BE">
              <w:rPr>
                <w:color w:val="000000"/>
                <w:sz w:val="28"/>
                <w:szCs w:val="28"/>
              </w:rPr>
              <w:t>Доходы федерального бюджета в соответствии с проектом ФБ</w:t>
            </w:r>
          </w:p>
          <w:p w:rsidR="0030575D" w:rsidRPr="00475927" w:rsidRDefault="0030575D" w:rsidP="00E7317C">
            <w:pPr>
              <w:rPr>
                <w:color w:val="000000"/>
                <w:sz w:val="28"/>
                <w:szCs w:val="28"/>
              </w:rPr>
            </w:pPr>
            <w:r>
              <w:rPr>
                <w:color w:val="000000"/>
              </w:rPr>
              <w:t>тыс. руб.</w:t>
            </w:r>
          </w:p>
        </w:tc>
        <w:tc>
          <w:tcPr>
            <w:tcW w:w="1826" w:type="dxa"/>
            <w:tcBorders>
              <w:top w:val="nil"/>
              <w:left w:val="nil"/>
              <w:bottom w:val="single" w:sz="4" w:space="0" w:color="auto"/>
              <w:right w:val="single" w:sz="4" w:space="0" w:color="auto"/>
            </w:tcBorders>
            <w:shd w:val="clear" w:color="000000" w:fill="FFFFFF"/>
            <w:noWrap/>
            <w:vAlign w:val="center"/>
          </w:tcPr>
          <w:p w:rsidR="00E7317C" w:rsidRPr="00475927" w:rsidRDefault="00E7317C" w:rsidP="00E7317C">
            <w:pPr>
              <w:ind w:left="-110" w:right="-114"/>
              <w:jc w:val="center"/>
              <w:rPr>
                <w:color w:val="000000"/>
                <w:sz w:val="28"/>
                <w:szCs w:val="28"/>
              </w:rPr>
            </w:pPr>
            <w:r>
              <w:rPr>
                <w:color w:val="000000"/>
                <w:sz w:val="28"/>
                <w:szCs w:val="28"/>
              </w:rPr>
              <w:t>122 941 421,4</w:t>
            </w:r>
          </w:p>
        </w:tc>
        <w:tc>
          <w:tcPr>
            <w:tcW w:w="1816" w:type="dxa"/>
            <w:tcBorders>
              <w:top w:val="nil"/>
              <w:left w:val="nil"/>
              <w:bottom w:val="single" w:sz="4" w:space="0" w:color="auto"/>
              <w:right w:val="single" w:sz="4" w:space="0" w:color="auto"/>
            </w:tcBorders>
            <w:shd w:val="clear" w:color="000000" w:fill="FFFFFF"/>
            <w:noWrap/>
            <w:vAlign w:val="center"/>
          </w:tcPr>
          <w:p w:rsidR="00E7317C" w:rsidRPr="00475927" w:rsidRDefault="00E7317C" w:rsidP="00E7317C">
            <w:pPr>
              <w:ind w:left="-149" w:right="-91"/>
              <w:jc w:val="center"/>
              <w:rPr>
                <w:color w:val="000000"/>
                <w:sz w:val="28"/>
                <w:szCs w:val="28"/>
              </w:rPr>
            </w:pPr>
            <w:r>
              <w:rPr>
                <w:color w:val="000000"/>
                <w:sz w:val="28"/>
                <w:szCs w:val="28"/>
              </w:rPr>
              <w:t>126 861 762,2</w:t>
            </w:r>
          </w:p>
        </w:tc>
        <w:tc>
          <w:tcPr>
            <w:tcW w:w="1816" w:type="dxa"/>
            <w:tcBorders>
              <w:top w:val="nil"/>
              <w:left w:val="nil"/>
              <w:bottom w:val="single" w:sz="4" w:space="0" w:color="auto"/>
              <w:right w:val="single" w:sz="8" w:space="0" w:color="auto"/>
            </w:tcBorders>
            <w:shd w:val="clear" w:color="000000" w:fill="FFFFFF"/>
            <w:noWrap/>
            <w:vAlign w:val="center"/>
          </w:tcPr>
          <w:p w:rsidR="00E7317C" w:rsidRPr="00475927" w:rsidRDefault="00E7317C" w:rsidP="00E7317C">
            <w:pPr>
              <w:ind w:left="-109" w:right="-118"/>
              <w:jc w:val="center"/>
              <w:rPr>
                <w:color w:val="000000"/>
                <w:sz w:val="28"/>
                <w:szCs w:val="28"/>
              </w:rPr>
            </w:pPr>
            <w:r>
              <w:rPr>
                <w:color w:val="000000"/>
                <w:sz w:val="28"/>
                <w:szCs w:val="28"/>
              </w:rPr>
              <w:t>131 721 517,9</w:t>
            </w:r>
          </w:p>
        </w:tc>
      </w:tr>
      <w:tr w:rsidR="00E7317C" w:rsidRPr="00742229" w:rsidTr="00E7317C">
        <w:trPr>
          <w:trHeight w:val="630"/>
        </w:trPr>
        <w:tc>
          <w:tcPr>
            <w:tcW w:w="705" w:type="dxa"/>
            <w:tcBorders>
              <w:top w:val="nil"/>
              <w:left w:val="single" w:sz="8" w:space="0" w:color="auto"/>
              <w:bottom w:val="single" w:sz="4" w:space="0" w:color="auto"/>
              <w:right w:val="single" w:sz="4" w:space="0" w:color="auto"/>
            </w:tcBorders>
            <w:shd w:val="clear" w:color="auto" w:fill="auto"/>
            <w:noWrap/>
            <w:vAlign w:val="center"/>
            <w:hideMark/>
          </w:tcPr>
          <w:p w:rsidR="00E7317C" w:rsidRPr="00475927" w:rsidRDefault="00E7317C" w:rsidP="00E7317C">
            <w:pPr>
              <w:jc w:val="center"/>
              <w:rPr>
                <w:color w:val="000000"/>
                <w:sz w:val="28"/>
                <w:szCs w:val="28"/>
              </w:rPr>
            </w:pPr>
            <w:r w:rsidRPr="00475927">
              <w:rPr>
                <w:color w:val="000000"/>
                <w:sz w:val="28"/>
                <w:szCs w:val="28"/>
              </w:rPr>
              <w:t>21</w:t>
            </w:r>
          </w:p>
        </w:tc>
        <w:tc>
          <w:tcPr>
            <w:tcW w:w="3620" w:type="dxa"/>
            <w:tcBorders>
              <w:top w:val="nil"/>
              <w:left w:val="nil"/>
              <w:bottom w:val="single" w:sz="4" w:space="0" w:color="auto"/>
              <w:right w:val="single" w:sz="4" w:space="0" w:color="auto"/>
            </w:tcBorders>
            <w:shd w:val="clear" w:color="auto" w:fill="auto"/>
            <w:vAlign w:val="center"/>
            <w:hideMark/>
          </w:tcPr>
          <w:p w:rsidR="00E7317C" w:rsidRPr="00475927" w:rsidRDefault="00E7317C" w:rsidP="00E7317C">
            <w:pPr>
              <w:rPr>
                <w:color w:val="000000"/>
                <w:sz w:val="28"/>
                <w:szCs w:val="28"/>
              </w:rPr>
            </w:pPr>
            <w:r w:rsidRPr="00475927">
              <w:rPr>
                <w:color w:val="000000"/>
                <w:sz w:val="28"/>
                <w:szCs w:val="28"/>
              </w:rPr>
              <w:t>Доходы бюджетов субъектов РФ</w:t>
            </w:r>
          </w:p>
          <w:p w:rsidR="00E7317C" w:rsidRDefault="00E7317C" w:rsidP="00E7317C">
            <w:pPr>
              <w:rPr>
                <w:color w:val="000000"/>
                <w:sz w:val="28"/>
                <w:szCs w:val="28"/>
              </w:rPr>
            </w:pPr>
            <w:r w:rsidRPr="00475927">
              <w:rPr>
                <w:color w:val="000000"/>
                <w:sz w:val="28"/>
                <w:szCs w:val="28"/>
              </w:rPr>
              <w:t>стр. 21 = стр. 20</w:t>
            </w:r>
            <w:r>
              <w:rPr>
                <w:color w:val="000000"/>
                <w:sz w:val="28"/>
                <w:szCs w:val="28"/>
              </w:rPr>
              <w:t>-</w:t>
            </w:r>
            <w:r w:rsidRPr="00475927">
              <w:rPr>
                <w:color w:val="000000"/>
                <w:sz w:val="28"/>
                <w:szCs w:val="28"/>
              </w:rPr>
              <w:t>стр. 2</w:t>
            </w:r>
            <w:r>
              <w:rPr>
                <w:color w:val="000000"/>
                <w:sz w:val="28"/>
                <w:szCs w:val="28"/>
              </w:rPr>
              <w:t>0.1</w:t>
            </w:r>
          </w:p>
          <w:p w:rsidR="0030575D" w:rsidRPr="00475927" w:rsidRDefault="0030575D" w:rsidP="00E7317C">
            <w:pPr>
              <w:rPr>
                <w:color w:val="000000"/>
                <w:sz w:val="28"/>
                <w:szCs w:val="28"/>
              </w:rPr>
            </w:pPr>
            <w:r>
              <w:rPr>
                <w:color w:val="000000"/>
              </w:rPr>
              <w:t>тыс. руб.</w:t>
            </w:r>
          </w:p>
        </w:tc>
        <w:tc>
          <w:tcPr>
            <w:tcW w:w="1826" w:type="dxa"/>
            <w:tcBorders>
              <w:top w:val="nil"/>
              <w:left w:val="nil"/>
              <w:bottom w:val="single" w:sz="4" w:space="0" w:color="auto"/>
              <w:right w:val="single" w:sz="4" w:space="0" w:color="auto"/>
            </w:tcBorders>
            <w:shd w:val="clear" w:color="000000" w:fill="FFFFFF"/>
            <w:noWrap/>
            <w:vAlign w:val="center"/>
          </w:tcPr>
          <w:p w:rsidR="00E7317C" w:rsidRPr="00475927" w:rsidRDefault="00E7317C" w:rsidP="00E7317C">
            <w:pPr>
              <w:ind w:left="-110" w:right="-114"/>
              <w:jc w:val="center"/>
              <w:rPr>
                <w:color w:val="000000"/>
                <w:sz w:val="28"/>
                <w:szCs w:val="28"/>
              </w:rPr>
            </w:pPr>
            <w:r>
              <w:rPr>
                <w:color w:val="000000"/>
                <w:sz w:val="28"/>
                <w:szCs w:val="28"/>
              </w:rPr>
              <w:t>366 865 038,4</w:t>
            </w:r>
          </w:p>
        </w:tc>
        <w:tc>
          <w:tcPr>
            <w:tcW w:w="1816" w:type="dxa"/>
            <w:tcBorders>
              <w:top w:val="nil"/>
              <w:left w:val="nil"/>
              <w:bottom w:val="single" w:sz="4" w:space="0" w:color="auto"/>
              <w:right w:val="single" w:sz="4" w:space="0" w:color="auto"/>
            </w:tcBorders>
            <w:shd w:val="clear" w:color="000000" w:fill="FFFFFF"/>
            <w:noWrap/>
            <w:vAlign w:val="center"/>
          </w:tcPr>
          <w:p w:rsidR="00E7317C" w:rsidRPr="00475927" w:rsidRDefault="00E7317C" w:rsidP="00E7317C">
            <w:pPr>
              <w:ind w:left="-149" w:right="-91"/>
              <w:jc w:val="center"/>
              <w:rPr>
                <w:color w:val="000000"/>
                <w:sz w:val="28"/>
                <w:szCs w:val="28"/>
              </w:rPr>
            </w:pPr>
            <w:r>
              <w:rPr>
                <w:color w:val="000000"/>
                <w:sz w:val="28"/>
                <w:szCs w:val="28"/>
              </w:rPr>
              <w:t>378 563 585,2</w:t>
            </w:r>
          </w:p>
        </w:tc>
        <w:tc>
          <w:tcPr>
            <w:tcW w:w="1816" w:type="dxa"/>
            <w:tcBorders>
              <w:top w:val="nil"/>
              <w:left w:val="nil"/>
              <w:bottom w:val="single" w:sz="4" w:space="0" w:color="auto"/>
              <w:right w:val="single" w:sz="8" w:space="0" w:color="auto"/>
            </w:tcBorders>
            <w:shd w:val="clear" w:color="000000" w:fill="FFFFFF"/>
            <w:noWrap/>
            <w:vAlign w:val="center"/>
          </w:tcPr>
          <w:p w:rsidR="00E7317C" w:rsidRPr="00475927" w:rsidRDefault="00E7317C" w:rsidP="00E7317C">
            <w:pPr>
              <w:ind w:left="-109" w:right="-118"/>
              <w:jc w:val="center"/>
              <w:rPr>
                <w:color w:val="000000"/>
                <w:sz w:val="28"/>
                <w:szCs w:val="28"/>
              </w:rPr>
            </w:pPr>
            <w:r>
              <w:rPr>
                <w:color w:val="000000"/>
                <w:sz w:val="28"/>
                <w:szCs w:val="28"/>
              </w:rPr>
              <w:t>393 065 406,0</w:t>
            </w:r>
          </w:p>
        </w:tc>
      </w:tr>
      <w:tr w:rsidR="00E7317C" w:rsidRPr="00742229" w:rsidTr="00E7317C">
        <w:trPr>
          <w:trHeight w:val="630"/>
        </w:trPr>
        <w:tc>
          <w:tcPr>
            <w:tcW w:w="705" w:type="dxa"/>
            <w:tcBorders>
              <w:top w:val="nil"/>
              <w:left w:val="single" w:sz="8" w:space="0" w:color="auto"/>
              <w:bottom w:val="single" w:sz="4" w:space="0" w:color="auto"/>
              <w:right w:val="single" w:sz="4" w:space="0" w:color="auto"/>
            </w:tcBorders>
            <w:shd w:val="clear" w:color="auto" w:fill="auto"/>
            <w:noWrap/>
            <w:vAlign w:val="center"/>
            <w:hideMark/>
          </w:tcPr>
          <w:p w:rsidR="00E7317C" w:rsidRPr="00475927" w:rsidRDefault="00E7317C" w:rsidP="00E7317C">
            <w:pPr>
              <w:jc w:val="center"/>
              <w:rPr>
                <w:b/>
                <w:bCs/>
                <w:color w:val="000000"/>
                <w:sz w:val="28"/>
                <w:szCs w:val="28"/>
              </w:rPr>
            </w:pPr>
            <w:r w:rsidRPr="00475927">
              <w:rPr>
                <w:b/>
                <w:bCs/>
                <w:color w:val="000000"/>
                <w:sz w:val="28"/>
                <w:szCs w:val="28"/>
              </w:rPr>
              <w:t>22</w:t>
            </w:r>
          </w:p>
        </w:tc>
        <w:tc>
          <w:tcPr>
            <w:tcW w:w="3620" w:type="dxa"/>
            <w:tcBorders>
              <w:top w:val="nil"/>
              <w:left w:val="nil"/>
              <w:bottom w:val="single" w:sz="4" w:space="0" w:color="auto"/>
              <w:right w:val="single" w:sz="4" w:space="0" w:color="auto"/>
            </w:tcBorders>
            <w:shd w:val="clear" w:color="auto" w:fill="auto"/>
            <w:vAlign w:val="center"/>
            <w:hideMark/>
          </w:tcPr>
          <w:p w:rsidR="00E7317C" w:rsidRDefault="00E7317C" w:rsidP="00E7317C">
            <w:pPr>
              <w:rPr>
                <w:b/>
                <w:bCs/>
                <w:color w:val="000000"/>
                <w:sz w:val="28"/>
                <w:szCs w:val="28"/>
              </w:rPr>
            </w:pPr>
            <w:r w:rsidRPr="00475927">
              <w:rPr>
                <w:b/>
                <w:bCs/>
                <w:color w:val="000000"/>
                <w:sz w:val="28"/>
                <w:szCs w:val="28"/>
              </w:rPr>
              <w:t>Доходы от уплаты акцизов на автомобильный бензин в областной бюджет всего</w:t>
            </w:r>
            <w:r w:rsidRPr="00475927">
              <w:rPr>
                <w:b/>
                <w:bCs/>
                <w:color w:val="000000"/>
                <w:sz w:val="28"/>
                <w:szCs w:val="28"/>
              </w:rPr>
              <w:br/>
              <w:t>стр. 22 = стр. 22.1 + стр. 22.2</w:t>
            </w:r>
          </w:p>
          <w:p w:rsidR="0030575D" w:rsidRPr="00475927" w:rsidRDefault="0030575D" w:rsidP="00E7317C">
            <w:pPr>
              <w:rPr>
                <w:b/>
                <w:bCs/>
                <w:color w:val="000000"/>
                <w:sz w:val="28"/>
                <w:szCs w:val="28"/>
              </w:rPr>
            </w:pPr>
            <w:r>
              <w:rPr>
                <w:color w:val="000000"/>
              </w:rPr>
              <w:t>тыс. руб.</w:t>
            </w:r>
          </w:p>
        </w:tc>
        <w:tc>
          <w:tcPr>
            <w:tcW w:w="1826" w:type="dxa"/>
            <w:tcBorders>
              <w:top w:val="nil"/>
              <w:left w:val="nil"/>
              <w:bottom w:val="single" w:sz="4" w:space="0" w:color="auto"/>
              <w:right w:val="single" w:sz="4" w:space="0" w:color="auto"/>
            </w:tcBorders>
            <w:shd w:val="clear" w:color="000000" w:fill="FFFFFF"/>
            <w:noWrap/>
            <w:vAlign w:val="center"/>
          </w:tcPr>
          <w:p w:rsidR="00E7317C" w:rsidRPr="00475927" w:rsidRDefault="00E7317C" w:rsidP="00E7317C">
            <w:pPr>
              <w:jc w:val="center"/>
              <w:rPr>
                <w:b/>
                <w:bCs/>
                <w:color w:val="000000"/>
                <w:sz w:val="28"/>
                <w:szCs w:val="28"/>
              </w:rPr>
            </w:pPr>
            <w:r>
              <w:rPr>
                <w:b/>
                <w:bCs/>
                <w:color w:val="000000"/>
                <w:sz w:val="28"/>
                <w:szCs w:val="28"/>
              </w:rPr>
              <w:t>5 067 095,7</w:t>
            </w:r>
          </w:p>
        </w:tc>
        <w:tc>
          <w:tcPr>
            <w:tcW w:w="1816" w:type="dxa"/>
            <w:tcBorders>
              <w:top w:val="nil"/>
              <w:left w:val="nil"/>
              <w:bottom w:val="single" w:sz="4" w:space="0" w:color="auto"/>
              <w:right w:val="single" w:sz="4" w:space="0" w:color="auto"/>
            </w:tcBorders>
            <w:shd w:val="clear" w:color="000000" w:fill="FFFFFF"/>
            <w:noWrap/>
            <w:vAlign w:val="center"/>
          </w:tcPr>
          <w:p w:rsidR="00E7317C" w:rsidRPr="00475927" w:rsidRDefault="00E7317C" w:rsidP="00E7317C">
            <w:pPr>
              <w:jc w:val="center"/>
              <w:rPr>
                <w:b/>
                <w:bCs/>
                <w:color w:val="000000"/>
                <w:sz w:val="28"/>
                <w:szCs w:val="28"/>
              </w:rPr>
            </w:pPr>
            <w:r>
              <w:rPr>
                <w:b/>
                <w:bCs/>
                <w:color w:val="000000"/>
                <w:sz w:val="28"/>
                <w:szCs w:val="28"/>
              </w:rPr>
              <w:t>5 348 332,4</w:t>
            </w:r>
          </w:p>
        </w:tc>
        <w:tc>
          <w:tcPr>
            <w:tcW w:w="1816" w:type="dxa"/>
            <w:tcBorders>
              <w:top w:val="nil"/>
              <w:left w:val="nil"/>
              <w:bottom w:val="single" w:sz="4" w:space="0" w:color="auto"/>
              <w:right w:val="single" w:sz="8" w:space="0" w:color="auto"/>
            </w:tcBorders>
            <w:shd w:val="clear" w:color="000000" w:fill="FFFFFF"/>
            <w:noWrap/>
            <w:vAlign w:val="center"/>
          </w:tcPr>
          <w:p w:rsidR="00E7317C" w:rsidRPr="00475927" w:rsidRDefault="00E7317C" w:rsidP="00E7317C">
            <w:pPr>
              <w:jc w:val="center"/>
              <w:rPr>
                <w:b/>
                <w:bCs/>
                <w:color w:val="000000"/>
                <w:sz w:val="28"/>
                <w:szCs w:val="28"/>
              </w:rPr>
            </w:pPr>
            <w:r>
              <w:rPr>
                <w:b/>
                <w:bCs/>
                <w:color w:val="000000"/>
                <w:sz w:val="28"/>
                <w:szCs w:val="28"/>
              </w:rPr>
              <w:t>5 634 850,1</w:t>
            </w:r>
          </w:p>
        </w:tc>
      </w:tr>
      <w:tr w:rsidR="00E7317C" w:rsidRPr="00742229" w:rsidTr="00E7317C">
        <w:trPr>
          <w:trHeight w:val="1260"/>
        </w:trPr>
        <w:tc>
          <w:tcPr>
            <w:tcW w:w="705" w:type="dxa"/>
            <w:tcBorders>
              <w:top w:val="nil"/>
              <w:left w:val="single" w:sz="8" w:space="0" w:color="auto"/>
              <w:bottom w:val="single" w:sz="4" w:space="0" w:color="auto"/>
              <w:right w:val="single" w:sz="4" w:space="0" w:color="auto"/>
            </w:tcBorders>
            <w:shd w:val="clear" w:color="auto" w:fill="auto"/>
            <w:noWrap/>
            <w:vAlign w:val="center"/>
            <w:hideMark/>
          </w:tcPr>
          <w:p w:rsidR="00E7317C" w:rsidRPr="00475927" w:rsidRDefault="00E7317C" w:rsidP="00E7317C">
            <w:pPr>
              <w:ind w:left="-96"/>
              <w:jc w:val="center"/>
              <w:rPr>
                <w:color w:val="000000"/>
                <w:sz w:val="28"/>
                <w:szCs w:val="28"/>
              </w:rPr>
            </w:pPr>
            <w:r w:rsidRPr="00475927">
              <w:rPr>
                <w:color w:val="000000"/>
                <w:sz w:val="28"/>
                <w:szCs w:val="28"/>
              </w:rPr>
              <w:t>22.1</w:t>
            </w:r>
          </w:p>
        </w:tc>
        <w:tc>
          <w:tcPr>
            <w:tcW w:w="3620" w:type="dxa"/>
            <w:tcBorders>
              <w:top w:val="nil"/>
              <w:left w:val="nil"/>
              <w:bottom w:val="single" w:sz="4" w:space="0" w:color="auto"/>
              <w:right w:val="single" w:sz="4" w:space="0" w:color="auto"/>
            </w:tcBorders>
            <w:shd w:val="clear" w:color="auto" w:fill="auto"/>
            <w:vAlign w:val="center"/>
            <w:hideMark/>
          </w:tcPr>
          <w:p w:rsidR="00E7317C" w:rsidRPr="00475927" w:rsidRDefault="00E7317C" w:rsidP="00E7317C">
            <w:pPr>
              <w:rPr>
                <w:color w:val="000000"/>
                <w:sz w:val="28"/>
                <w:szCs w:val="28"/>
              </w:rPr>
            </w:pPr>
            <w:r w:rsidRPr="00475927">
              <w:rPr>
                <w:color w:val="000000"/>
                <w:sz w:val="28"/>
                <w:szCs w:val="28"/>
              </w:rPr>
              <w:t>Доходы от уплаты акцизов на автомобильный бензин в целях формирования Дорожного фонда Тверской области,</w:t>
            </w:r>
          </w:p>
          <w:p w:rsidR="00E7317C" w:rsidRPr="00475927" w:rsidRDefault="00E7317C" w:rsidP="00E7317C">
            <w:pPr>
              <w:rPr>
                <w:color w:val="000000"/>
                <w:sz w:val="28"/>
                <w:szCs w:val="28"/>
              </w:rPr>
            </w:pPr>
            <w:r w:rsidRPr="00475927">
              <w:rPr>
                <w:color w:val="000000"/>
                <w:sz w:val="28"/>
                <w:szCs w:val="28"/>
              </w:rPr>
              <w:t>стр. 22.1 = стр. 21 * стр.3*</w:t>
            </w:r>
          </w:p>
          <w:p w:rsidR="00E7317C" w:rsidRDefault="00E7317C" w:rsidP="00E7317C">
            <w:pPr>
              <w:rPr>
                <w:color w:val="000000"/>
                <w:sz w:val="28"/>
                <w:szCs w:val="28"/>
              </w:rPr>
            </w:pPr>
            <w:r w:rsidRPr="00475927">
              <w:rPr>
                <w:color w:val="000000"/>
                <w:sz w:val="28"/>
                <w:szCs w:val="28"/>
              </w:rPr>
              <w:t>стр. 5 *90%</w:t>
            </w:r>
          </w:p>
          <w:p w:rsidR="0030575D" w:rsidRPr="00475927" w:rsidRDefault="0030575D" w:rsidP="00E7317C">
            <w:pPr>
              <w:rPr>
                <w:color w:val="000000"/>
                <w:sz w:val="28"/>
                <w:szCs w:val="28"/>
              </w:rPr>
            </w:pPr>
            <w:r>
              <w:rPr>
                <w:color w:val="000000"/>
              </w:rPr>
              <w:t>тыс. руб.</w:t>
            </w:r>
          </w:p>
        </w:tc>
        <w:tc>
          <w:tcPr>
            <w:tcW w:w="1826" w:type="dxa"/>
            <w:tcBorders>
              <w:top w:val="nil"/>
              <w:left w:val="nil"/>
              <w:bottom w:val="single" w:sz="4" w:space="0" w:color="auto"/>
              <w:right w:val="single" w:sz="4" w:space="0" w:color="auto"/>
            </w:tcBorders>
            <w:shd w:val="clear" w:color="000000" w:fill="FFFFFF"/>
            <w:noWrap/>
            <w:vAlign w:val="center"/>
          </w:tcPr>
          <w:p w:rsidR="00E7317C" w:rsidRPr="00475927" w:rsidRDefault="00E7317C" w:rsidP="00E7317C">
            <w:pPr>
              <w:jc w:val="center"/>
              <w:rPr>
                <w:color w:val="000000"/>
                <w:sz w:val="28"/>
                <w:szCs w:val="28"/>
              </w:rPr>
            </w:pPr>
            <w:r>
              <w:rPr>
                <w:color w:val="000000"/>
                <w:sz w:val="28"/>
                <w:szCs w:val="28"/>
              </w:rPr>
              <w:t>3 433 904,6</w:t>
            </w:r>
          </w:p>
        </w:tc>
        <w:tc>
          <w:tcPr>
            <w:tcW w:w="1816" w:type="dxa"/>
            <w:tcBorders>
              <w:top w:val="nil"/>
              <w:left w:val="nil"/>
              <w:bottom w:val="single" w:sz="4" w:space="0" w:color="auto"/>
              <w:right w:val="single" w:sz="4" w:space="0" w:color="auto"/>
            </w:tcBorders>
            <w:shd w:val="clear" w:color="000000" w:fill="FFFFFF"/>
            <w:noWrap/>
            <w:vAlign w:val="center"/>
          </w:tcPr>
          <w:p w:rsidR="00E7317C" w:rsidRPr="00475927" w:rsidRDefault="00E7317C" w:rsidP="00E7317C">
            <w:pPr>
              <w:jc w:val="center"/>
              <w:rPr>
                <w:color w:val="000000"/>
                <w:sz w:val="28"/>
                <w:szCs w:val="28"/>
              </w:rPr>
            </w:pPr>
            <w:r>
              <w:rPr>
                <w:color w:val="000000"/>
                <w:sz w:val="28"/>
                <w:szCs w:val="28"/>
              </w:rPr>
              <w:t>3 663 062,3</w:t>
            </w:r>
          </w:p>
        </w:tc>
        <w:tc>
          <w:tcPr>
            <w:tcW w:w="1816" w:type="dxa"/>
            <w:tcBorders>
              <w:top w:val="nil"/>
              <w:left w:val="nil"/>
              <w:bottom w:val="single" w:sz="4" w:space="0" w:color="auto"/>
              <w:right w:val="single" w:sz="8" w:space="0" w:color="auto"/>
            </w:tcBorders>
            <w:shd w:val="clear" w:color="000000" w:fill="FFFFFF"/>
            <w:noWrap/>
            <w:vAlign w:val="center"/>
          </w:tcPr>
          <w:p w:rsidR="00E7317C" w:rsidRPr="00475927" w:rsidRDefault="00E7317C" w:rsidP="00E7317C">
            <w:pPr>
              <w:jc w:val="center"/>
              <w:rPr>
                <w:color w:val="000000"/>
                <w:sz w:val="28"/>
                <w:szCs w:val="28"/>
              </w:rPr>
            </w:pPr>
            <w:r>
              <w:rPr>
                <w:color w:val="000000"/>
                <w:sz w:val="28"/>
                <w:szCs w:val="28"/>
              </w:rPr>
              <w:t>3 885 021,6</w:t>
            </w:r>
          </w:p>
        </w:tc>
      </w:tr>
      <w:tr w:rsidR="00E7317C" w:rsidRPr="00742229" w:rsidTr="00E7317C">
        <w:trPr>
          <w:trHeight w:val="1260"/>
        </w:trPr>
        <w:tc>
          <w:tcPr>
            <w:tcW w:w="705" w:type="dxa"/>
            <w:tcBorders>
              <w:top w:val="nil"/>
              <w:left w:val="single" w:sz="8" w:space="0" w:color="auto"/>
              <w:bottom w:val="single" w:sz="4" w:space="0" w:color="auto"/>
              <w:right w:val="single" w:sz="4" w:space="0" w:color="auto"/>
            </w:tcBorders>
            <w:shd w:val="clear" w:color="auto" w:fill="auto"/>
            <w:noWrap/>
            <w:vAlign w:val="center"/>
            <w:hideMark/>
          </w:tcPr>
          <w:p w:rsidR="00E7317C" w:rsidRPr="00475927" w:rsidRDefault="00E7317C" w:rsidP="00E7317C">
            <w:pPr>
              <w:ind w:left="-96"/>
              <w:jc w:val="center"/>
              <w:rPr>
                <w:color w:val="000000"/>
                <w:sz w:val="28"/>
                <w:szCs w:val="28"/>
              </w:rPr>
            </w:pPr>
            <w:r w:rsidRPr="00475927">
              <w:rPr>
                <w:color w:val="000000"/>
                <w:sz w:val="28"/>
                <w:szCs w:val="28"/>
              </w:rPr>
              <w:t>22.2</w:t>
            </w:r>
          </w:p>
        </w:tc>
        <w:tc>
          <w:tcPr>
            <w:tcW w:w="3620" w:type="dxa"/>
            <w:tcBorders>
              <w:top w:val="nil"/>
              <w:left w:val="nil"/>
              <w:bottom w:val="single" w:sz="4" w:space="0" w:color="auto"/>
              <w:right w:val="single" w:sz="4" w:space="0" w:color="auto"/>
            </w:tcBorders>
            <w:shd w:val="clear" w:color="auto" w:fill="auto"/>
            <w:vAlign w:val="center"/>
            <w:hideMark/>
          </w:tcPr>
          <w:p w:rsidR="00E7317C" w:rsidRDefault="00E7317C" w:rsidP="00E7317C">
            <w:pPr>
              <w:rPr>
                <w:color w:val="000000"/>
                <w:sz w:val="28"/>
                <w:szCs w:val="28"/>
              </w:rPr>
            </w:pPr>
            <w:r w:rsidRPr="00475927">
              <w:rPr>
                <w:color w:val="000000"/>
                <w:sz w:val="28"/>
                <w:szCs w:val="28"/>
              </w:rPr>
              <w:t>Доходы от уплаты акцизов на автомобильный бензин в целях реализации Нацпроекта</w:t>
            </w:r>
            <w:r w:rsidRPr="00475927">
              <w:rPr>
                <w:color w:val="000000"/>
                <w:sz w:val="28"/>
                <w:szCs w:val="28"/>
              </w:rPr>
              <w:br/>
              <w:t>стр. 22.2 = стр. 21*стр.4* стр. 6</w:t>
            </w:r>
          </w:p>
          <w:p w:rsidR="0030575D" w:rsidRPr="00475927" w:rsidRDefault="0030575D" w:rsidP="00E7317C">
            <w:pPr>
              <w:rPr>
                <w:color w:val="000000"/>
                <w:sz w:val="28"/>
                <w:szCs w:val="28"/>
              </w:rPr>
            </w:pPr>
            <w:r>
              <w:rPr>
                <w:color w:val="000000"/>
              </w:rPr>
              <w:t>тыс. руб.</w:t>
            </w:r>
          </w:p>
        </w:tc>
        <w:tc>
          <w:tcPr>
            <w:tcW w:w="1826" w:type="dxa"/>
            <w:tcBorders>
              <w:top w:val="nil"/>
              <w:left w:val="nil"/>
              <w:bottom w:val="single" w:sz="4" w:space="0" w:color="auto"/>
              <w:right w:val="single" w:sz="4" w:space="0" w:color="auto"/>
            </w:tcBorders>
            <w:shd w:val="clear" w:color="000000" w:fill="FFFFFF"/>
            <w:vAlign w:val="center"/>
          </w:tcPr>
          <w:p w:rsidR="00E7317C" w:rsidRPr="00475927" w:rsidRDefault="00E7317C" w:rsidP="00E7317C">
            <w:pPr>
              <w:jc w:val="center"/>
              <w:rPr>
                <w:color w:val="000000"/>
                <w:sz w:val="28"/>
                <w:szCs w:val="28"/>
              </w:rPr>
            </w:pPr>
            <w:r>
              <w:rPr>
                <w:color w:val="000000"/>
                <w:sz w:val="28"/>
                <w:szCs w:val="28"/>
              </w:rPr>
              <w:t>1 633 191,1</w:t>
            </w:r>
          </w:p>
        </w:tc>
        <w:tc>
          <w:tcPr>
            <w:tcW w:w="1816" w:type="dxa"/>
            <w:tcBorders>
              <w:top w:val="nil"/>
              <w:left w:val="nil"/>
              <w:bottom w:val="single" w:sz="4" w:space="0" w:color="auto"/>
              <w:right w:val="single" w:sz="4" w:space="0" w:color="auto"/>
            </w:tcBorders>
            <w:shd w:val="clear" w:color="000000" w:fill="FFFFFF"/>
            <w:vAlign w:val="center"/>
          </w:tcPr>
          <w:p w:rsidR="00E7317C" w:rsidRPr="00475927" w:rsidRDefault="00E7317C" w:rsidP="00E7317C">
            <w:pPr>
              <w:jc w:val="center"/>
              <w:rPr>
                <w:color w:val="000000"/>
                <w:sz w:val="28"/>
                <w:szCs w:val="28"/>
              </w:rPr>
            </w:pPr>
            <w:r>
              <w:rPr>
                <w:color w:val="000000"/>
                <w:sz w:val="28"/>
                <w:szCs w:val="28"/>
              </w:rPr>
              <w:t>1 685 270,1</w:t>
            </w:r>
          </w:p>
        </w:tc>
        <w:tc>
          <w:tcPr>
            <w:tcW w:w="1816" w:type="dxa"/>
            <w:tcBorders>
              <w:top w:val="nil"/>
              <w:left w:val="nil"/>
              <w:bottom w:val="single" w:sz="4" w:space="0" w:color="auto"/>
              <w:right w:val="single" w:sz="8" w:space="0" w:color="auto"/>
            </w:tcBorders>
            <w:shd w:val="clear" w:color="000000" w:fill="FFFFFF"/>
            <w:vAlign w:val="center"/>
          </w:tcPr>
          <w:p w:rsidR="00E7317C" w:rsidRPr="00475927" w:rsidRDefault="00E7317C" w:rsidP="00E7317C">
            <w:pPr>
              <w:jc w:val="center"/>
              <w:rPr>
                <w:color w:val="000000"/>
                <w:sz w:val="28"/>
                <w:szCs w:val="28"/>
              </w:rPr>
            </w:pPr>
            <w:r>
              <w:rPr>
                <w:color w:val="000000"/>
                <w:sz w:val="28"/>
                <w:szCs w:val="28"/>
              </w:rPr>
              <w:t>1 749 828,5</w:t>
            </w:r>
          </w:p>
        </w:tc>
      </w:tr>
      <w:tr w:rsidR="00E7317C" w:rsidRPr="00742229" w:rsidTr="00E7317C">
        <w:trPr>
          <w:trHeight w:val="1050"/>
        </w:trPr>
        <w:tc>
          <w:tcPr>
            <w:tcW w:w="705" w:type="dxa"/>
            <w:tcBorders>
              <w:top w:val="nil"/>
              <w:left w:val="single" w:sz="8" w:space="0" w:color="auto"/>
              <w:bottom w:val="single" w:sz="8" w:space="0" w:color="auto"/>
              <w:right w:val="single" w:sz="4" w:space="0" w:color="auto"/>
            </w:tcBorders>
            <w:shd w:val="clear" w:color="auto" w:fill="auto"/>
            <w:noWrap/>
            <w:vAlign w:val="center"/>
            <w:hideMark/>
          </w:tcPr>
          <w:p w:rsidR="00E7317C" w:rsidRPr="00475927" w:rsidRDefault="00E7317C" w:rsidP="00E7317C">
            <w:pPr>
              <w:jc w:val="center"/>
              <w:rPr>
                <w:color w:val="000000"/>
                <w:sz w:val="28"/>
                <w:szCs w:val="28"/>
              </w:rPr>
            </w:pPr>
            <w:r w:rsidRPr="00475927">
              <w:rPr>
                <w:color w:val="000000"/>
                <w:sz w:val="28"/>
                <w:szCs w:val="28"/>
              </w:rPr>
              <w:t>23</w:t>
            </w:r>
          </w:p>
        </w:tc>
        <w:tc>
          <w:tcPr>
            <w:tcW w:w="3620" w:type="dxa"/>
            <w:tcBorders>
              <w:top w:val="nil"/>
              <w:left w:val="nil"/>
              <w:bottom w:val="single" w:sz="8" w:space="0" w:color="auto"/>
              <w:right w:val="single" w:sz="4" w:space="0" w:color="auto"/>
            </w:tcBorders>
            <w:shd w:val="clear" w:color="auto" w:fill="auto"/>
            <w:vAlign w:val="center"/>
            <w:hideMark/>
          </w:tcPr>
          <w:p w:rsidR="00E7317C" w:rsidRPr="00475927" w:rsidRDefault="00E7317C" w:rsidP="00E7317C">
            <w:pPr>
              <w:rPr>
                <w:color w:val="000000"/>
                <w:sz w:val="28"/>
                <w:szCs w:val="28"/>
              </w:rPr>
            </w:pPr>
            <w:r w:rsidRPr="00475927">
              <w:rPr>
                <w:color w:val="000000"/>
                <w:sz w:val="28"/>
                <w:szCs w:val="28"/>
              </w:rPr>
              <w:t>Справочно:</w:t>
            </w:r>
          </w:p>
          <w:p w:rsidR="00E7317C" w:rsidRPr="00475927" w:rsidRDefault="00E7317C" w:rsidP="00E7317C">
            <w:pPr>
              <w:rPr>
                <w:color w:val="000000"/>
                <w:sz w:val="28"/>
                <w:szCs w:val="28"/>
              </w:rPr>
            </w:pPr>
            <w:r w:rsidRPr="00475927">
              <w:rPr>
                <w:color w:val="000000"/>
                <w:sz w:val="28"/>
                <w:szCs w:val="28"/>
              </w:rPr>
              <w:t>Налоговая  ставка по НК РФ</w:t>
            </w:r>
          </w:p>
        </w:tc>
        <w:tc>
          <w:tcPr>
            <w:tcW w:w="1826" w:type="dxa"/>
            <w:tcBorders>
              <w:top w:val="nil"/>
              <w:left w:val="nil"/>
              <w:bottom w:val="single" w:sz="8" w:space="0" w:color="auto"/>
              <w:right w:val="single" w:sz="4" w:space="0" w:color="auto"/>
            </w:tcBorders>
            <w:shd w:val="clear" w:color="000000" w:fill="FFFFFF"/>
            <w:vAlign w:val="center"/>
            <w:hideMark/>
          </w:tcPr>
          <w:p w:rsidR="00E7317C" w:rsidRPr="00475927" w:rsidRDefault="00E7317C" w:rsidP="00E7317C">
            <w:pPr>
              <w:jc w:val="center"/>
              <w:rPr>
                <w:color w:val="000000"/>
                <w:sz w:val="28"/>
                <w:szCs w:val="28"/>
              </w:rPr>
            </w:pPr>
            <w:r w:rsidRPr="00475927">
              <w:rPr>
                <w:color w:val="000000"/>
                <w:sz w:val="28"/>
                <w:szCs w:val="28"/>
              </w:rPr>
              <w:t>13 793 руб. за тонну</w:t>
            </w:r>
          </w:p>
        </w:tc>
        <w:tc>
          <w:tcPr>
            <w:tcW w:w="1816" w:type="dxa"/>
            <w:tcBorders>
              <w:top w:val="nil"/>
              <w:left w:val="nil"/>
              <w:bottom w:val="single" w:sz="8" w:space="0" w:color="auto"/>
              <w:right w:val="single" w:sz="4" w:space="0" w:color="auto"/>
            </w:tcBorders>
            <w:shd w:val="clear" w:color="000000" w:fill="FFFFFF"/>
            <w:vAlign w:val="center"/>
          </w:tcPr>
          <w:p w:rsidR="00E7317C" w:rsidRPr="00475927" w:rsidRDefault="00E7317C" w:rsidP="00E7317C">
            <w:pPr>
              <w:jc w:val="center"/>
              <w:rPr>
                <w:color w:val="000000"/>
                <w:sz w:val="28"/>
                <w:szCs w:val="28"/>
              </w:rPr>
            </w:pPr>
            <w:r w:rsidRPr="00475927">
              <w:rPr>
                <w:color w:val="000000"/>
                <w:sz w:val="28"/>
                <w:szCs w:val="28"/>
              </w:rPr>
              <w:t>14 345 руб. за тонну</w:t>
            </w:r>
          </w:p>
        </w:tc>
        <w:tc>
          <w:tcPr>
            <w:tcW w:w="1816" w:type="dxa"/>
            <w:tcBorders>
              <w:top w:val="nil"/>
              <w:left w:val="nil"/>
              <w:bottom w:val="single" w:sz="8" w:space="0" w:color="auto"/>
              <w:right w:val="single" w:sz="8" w:space="0" w:color="auto"/>
            </w:tcBorders>
            <w:shd w:val="clear" w:color="000000" w:fill="FFFFFF"/>
            <w:vAlign w:val="center"/>
          </w:tcPr>
          <w:p w:rsidR="00E7317C" w:rsidRPr="00475927" w:rsidRDefault="003E7888" w:rsidP="00E7317C">
            <w:pPr>
              <w:jc w:val="center"/>
              <w:rPr>
                <w:color w:val="000000"/>
                <w:sz w:val="28"/>
                <w:szCs w:val="28"/>
              </w:rPr>
            </w:pPr>
            <w:r>
              <w:rPr>
                <w:color w:val="000000"/>
                <w:sz w:val="28"/>
                <w:szCs w:val="28"/>
              </w:rPr>
              <w:t>14 919</w:t>
            </w:r>
            <w:r w:rsidRPr="007E423C">
              <w:rPr>
                <w:color w:val="000000"/>
                <w:sz w:val="28"/>
                <w:szCs w:val="28"/>
              </w:rPr>
              <w:t xml:space="preserve"> руб. за тонну</w:t>
            </w:r>
          </w:p>
        </w:tc>
      </w:tr>
      <w:tr w:rsidR="00E7317C" w:rsidRPr="00716F21" w:rsidTr="00E7317C">
        <w:trPr>
          <w:trHeight w:val="375"/>
        </w:trPr>
        <w:tc>
          <w:tcPr>
            <w:tcW w:w="705" w:type="dxa"/>
            <w:tcBorders>
              <w:top w:val="nil"/>
              <w:left w:val="single" w:sz="8" w:space="0" w:color="auto"/>
              <w:bottom w:val="single" w:sz="4" w:space="0" w:color="auto"/>
              <w:right w:val="single" w:sz="4" w:space="0" w:color="auto"/>
            </w:tcBorders>
            <w:shd w:val="clear" w:color="auto" w:fill="auto"/>
            <w:noWrap/>
            <w:vAlign w:val="center"/>
            <w:hideMark/>
          </w:tcPr>
          <w:p w:rsidR="00E7317C" w:rsidRPr="00716F21" w:rsidRDefault="00E7317C" w:rsidP="00E7317C">
            <w:pPr>
              <w:jc w:val="center"/>
              <w:rPr>
                <w:color w:val="000000"/>
                <w:sz w:val="28"/>
                <w:szCs w:val="28"/>
              </w:rPr>
            </w:pPr>
            <w:r w:rsidRPr="00716F21">
              <w:rPr>
                <w:color w:val="000000"/>
                <w:sz w:val="28"/>
                <w:szCs w:val="28"/>
              </w:rPr>
              <w:t>24</w:t>
            </w:r>
          </w:p>
        </w:tc>
        <w:tc>
          <w:tcPr>
            <w:tcW w:w="3620" w:type="dxa"/>
            <w:tcBorders>
              <w:top w:val="nil"/>
              <w:left w:val="nil"/>
              <w:bottom w:val="single" w:sz="4" w:space="0" w:color="auto"/>
              <w:right w:val="single" w:sz="4" w:space="0" w:color="auto"/>
            </w:tcBorders>
            <w:shd w:val="clear" w:color="auto" w:fill="auto"/>
            <w:vAlign w:val="center"/>
            <w:hideMark/>
          </w:tcPr>
          <w:p w:rsidR="00E7317C" w:rsidRPr="00716F21" w:rsidRDefault="00E7317C" w:rsidP="00E7317C">
            <w:pPr>
              <w:rPr>
                <w:b/>
                <w:bCs/>
                <w:color w:val="000000"/>
                <w:sz w:val="28"/>
                <w:szCs w:val="28"/>
              </w:rPr>
            </w:pPr>
            <w:r w:rsidRPr="00716F21">
              <w:rPr>
                <w:b/>
                <w:bCs/>
                <w:color w:val="000000"/>
                <w:sz w:val="28"/>
                <w:szCs w:val="28"/>
              </w:rPr>
              <w:t>Прямогонный бензин</w:t>
            </w:r>
          </w:p>
        </w:tc>
        <w:tc>
          <w:tcPr>
            <w:tcW w:w="1826" w:type="dxa"/>
            <w:tcBorders>
              <w:top w:val="nil"/>
              <w:left w:val="nil"/>
              <w:bottom w:val="single" w:sz="4" w:space="0" w:color="auto"/>
              <w:right w:val="single" w:sz="4" w:space="0" w:color="auto"/>
            </w:tcBorders>
            <w:shd w:val="clear" w:color="000000" w:fill="FFFFFF"/>
            <w:noWrap/>
            <w:vAlign w:val="center"/>
            <w:hideMark/>
          </w:tcPr>
          <w:p w:rsidR="00E7317C" w:rsidRPr="00716F21" w:rsidRDefault="00E7317C" w:rsidP="00E7317C">
            <w:pPr>
              <w:jc w:val="center"/>
              <w:rPr>
                <w:color w:val="000000"/>
                <w:sz w:val="28"/>
                <w:szCs w:val="28"/>
              </w:rPr>
            </w:pPr>
            <w:r w:rsidRPr="00716F21">
              <w:rPr>
                <w:color w:val="000000"/>
                <w:sz w:val="28"/>
                <w:szCs w:val="28"/>
              </w:rPr>
              <w:t> </w:t>
            </w:r>
          </w:p>
        </w:tc>
        <w:tc>
          <w:tcPr>
            <w:tcW w:w="1816" w:type="dxa"/>
            <w:tcBorders>
              <w:top w:val="nil"/>
              <w:left w:val="nil"/>
              <w:bottom w:val="single" w:sz="4" w:space="0" w:color="auto"/>
              <w:right w:val="single" w:sz="4" w:space="0" w:color="auto"/>
            </w:tcBorders>
            <w:shd w:val="clear" w:color="auto" w:fill="auto"/>
            <w:noWrap/>
            <w:vAlign w:val="bottom"/>
            <w:hideMark/>
          </w:tcPr>
          <w:p w:rsidR="00E7317C" w:rsidRPr="00716F21" w:rsidRDefault="00E7317C" w:rsidP="00E7317C">
            <w:pPr>
              <w:rPr>
                <w:rFonts w:ascii="Calibri" w:hAnsi="Calibri"/>
                <w:color w:val="000000"/>
                <w:sz w:val="28"/>
                <w:szCs w:val="28"/>
              </w:rPr>
            </w:pPr>
            <w:r w:rsidRPr="00716F21">
              <w:rPr>
                <w:rFonts w:ascii="Calibri" w:hAnsi="Calibri"/>
                <w:color w:val="000000"/>
                <w:sz w:val="28"/>
                <w:szCs w:val="28"/>
              </w:rPr>
              <w:t> </w:t>
            </w:r>
          </w:p>
        </w:tc>
        <w:tc>
          <w:tcPr>
            <w:tcW w:w="1816" w:type="dxa"/>
            <w:tcBorders>
              <w:top w:val="nil"/>
              <w:left w:val="nil"/>
              <w:bottom w:val="single" w:sz="4" w:space="0" w:color="auto"/>
              <w:right w:val="single" w:sz="8" w:space="0" w:color="auto"/>
            </w:tcBorders>
            <w:shd w:val="clear" w:color="auto" w:fill="auto"/>
            <w:noWrap/>
            <w:vAlign w:val="bottom"/>
            <w:hideMark/>
          </w:tcPr>
          <w:p w:rsidR="00E7317C" w:rsidRPr="00716F21" w:rsidRDefault="00E7317C" w:rsidP="00E7317C">
            <w:pPr>
              <w:rPr>
                <w:rFonts w:ascii="Calibri" w:hAnsi="Calibri"/>
                <w:color w:val="000000"/>
                <w:sz w:val="28"/>
                <w:szCs w:val="28"/>
              </w:rPr>
            </w:pPr>
            <w:r w:rsidRPr="00716F21">
              <w:rPr>
                <w:rFonts w:ascii="Calibri" w:hAnsi="Calibri"/>
                <w:color w:val="000000"/>
                <w:sz w:val="28"/>
                <w:szCs w:val="28"/>
              </w:rPr>
              <w:t> </w:t>
            </w:r>
          </w:p>
        </w:tc>
      </w:tr>
      <w:tr w:rsidR="00E7317C" w:rsidRPr="00716F21" w:rsidTr="0030575D">
        <w:trPr>
          <w:trHeight w:val="325"/>
        </w:trPr>
        <w:tc>
          <w:tcPr>
            <w:tcW w:w="705" w:type="dxa"/>
            <w:tcBorders>
              <w:top w:val="nil"/>
              <w:left w:val="single" w:sz="8" w:space="0" w:color="auto"/>
              <w:bottom w:val="single" w:sz="4" w:space="0" w:color="auto"/>
              <w:right w:val="single" w:sz="4" w:space="0" w:color="auto"/>
            </w:tcBorders>
            <w:shd w:val="clear" w:color="auto" w:fill="auto"/>
            <w:noWrap/>
            <w:vAlign w:val="center"/>
            <w:hideMark/>
          </w:tcPr>
          <w:p w:rsidR="00E7317C" w:rsidRPr="00716F21" w:rsidRDefault="00E7317C" w:rsidP="00E7317C">
            <w:pPr>
              <w:jc w:val="center"/>
              <w:rPr>
                <w:color w:val="000000"/>
                <w:sz w:val="28"/>
                <w:szCs w:val="28"/>
              </w:rPr>
            </w:pPr>
            <w:r w:rsidRPr="00716F21">
              <w:rPr>
                <w:color w:val="000000"/>
                <w:sz w:val="28"/>
                <w:szCs w:val="28"/>
              </w:rPr>
              <w:t>25</w:t>
            </w:r>
          </w:p>
        </w:tc>
        <w:tc>
          <w:tcPr>
            <w:tcW w:w="3620" w:type="dxa"/>
            <w:tcBorders>
              <w:top w:val="nil"/>
              <w:left w:val="nil"/>
              <w:bottom w:val="single" w:sz="4" w:space="0" w:color="auto"/>
              <w:right w:val="single" w:sz="4" w:space="0" w:color="auto"/>
            </w:tcBorders>
            <w:shd w:val="clear" w:color="auto" w:fill="auto"/>
            <w:vAlign w:val="center"/>
            <w:hideMark/>
          </w:tcPr>
          <w:p w:rsidR="00E7317C" w:rsidRPr="00716F21" w:rsidRDefault="00E7317C" w:rsidP="00E7317C">
            <w:pPr>
              <w:rPr>
                <w:color w:val="000000"/>
                <w:sz w:val="28"/>
                <w:szCs w:val="28"/>
              </w:rPr>
            </w:pPr>
            <w:r w:rsidRPr="00716F21">
              <w:rPr>
                <w:color w:val="000000"/>
                <w:sz w:val="28"/>
                <w:szCs w:val="28"/>
              </w:rPr>
              <w:t xml:space="preserve">Доходы по Российской Федерации всего </w:t>
            </w:r>
          </w:p>
          <w:p w:rsidR="00E7317C" w:rsidRDefault="00E7317C" w:rsidP="00E7317C">
            <w:pPr>
              <w:rPr>
                <w:color w:val="000000"/>
                <w:sz w:val="28"/>
                <w:szCs w:val="28"/>
              </w:rPr>
            </w:pPr>
            <w:r w:rsidRPr="00716F21">
              <w:rPr>
                <w:color w:val="000000"/>
                <w:sz w:val="28"/>
                <w:szCs w:val="28"/>
              </w:rPr>
              <w:t>(расчеты по проекту ФБ 202</w:t>
            </w:r>
            <w:r>
              <w:rPr>
                <w:color w:val="000000"/>
                <w:sz w:val="28"/>
                <w:szCs w:val="28"/>
              </w:rPr>
              <w:t>2</w:t>
            </w:r>
            <w:r w:rsidRPr="00716F21">
              <w:rPr>
                <w:color w:val="000000"/>
                <w:sz w:val="28"/>
                <w:szCs w:val="28"/>
              </w:rPr>
              <w:t>-202</w:t>
            </w:r>
            <w:r>
              <w:rPr>
                <w:color w:val="000000"/>
                <w:sz w:val="28"/>
                <w:szCs w:val="28"/>
              </w:rPr>
              <w:t>4</w:t>
            </w:r>
            <w:r w:rsidRPr="00716F21">
              <w:rPr>
                <w:color w:val="000000"/>
                <w:sz w:val="28"/>
                <w:szCs w:val="28"/>
              </w:rPr>
              <w:t>)</w:t>
            </w:r>
          </w:p>
          <w:p w:rsidR="00E7317C" w:rsidRDefault="00E7317C" w:rsidP="00E7317C">
            <w:pPr>
              <w:rPr>
                <w:color w:val="000000"/>
                <w:sz w:val="28"/>
                <w:szCs w:val="28"/>
              </w:rPr>
            </w:pPr>
            <w:r>
              <w:rPr>
                <w:color w:val="000000"/>
                <w:sz w:val="28"/>
                <w:szCs w:val="28"/>
              </w:rPr>
              <w:t>стр. 25 = стр. 25.1/стр. 1</w:t>
            </w:r>
          </w:p>
          <w:p w:rsidR="0030575D" w:rsidRPr="00716F21" w:rsidRDefault="0030575D" w:rsidP="00E7317C">
            <w:pPr>
              <w:rPr>
                <w:color w:val="000000"/>
                <w:sz w:val="28"/>
                <w:szCs w:val="28"/>
              </w:rPr>
            </w:pPr>
            <w:r>
              <w:rPr>
                <w:color w:val="000000"/>
              </w:rPr>
              <w:lastRenderedPageBreak/>
              <w:t>тыс. руб.</w:t>
            </w:r>
          </w:p>
        </w:tc>
        <w:tc>
          <w:tcPr>
            <w:tcW w:w="1826" w:type="dxa"/>
            <w:tcBorders>
              <w:top w:val="nil"/>
              <w:left w:val="nil"/>
              <w:bottom w:val="single" w:sz="4" w:space="0" w:color="auto"/>
              <w:right w:val="single" w:sz="4" w:space="0" w:color="auto"/>
            </w:tcBorders>
            <w:shd w:val="clear" w:color="000000" w:fill="FFFFFF"/>
            <w:noWrap/>
            <w:vAlign w:val="center"/>
          </w:tcPr>
          <w:p w:rsidR="00E7317C" w:rsidRPr="00716F21" w:rsidRDefault="00E7317C" w:rsidP="00E7317C">
            <w:pPr>
              <w:ind w:left="-162" w:right="-64" w:firstLine="162"/>
              <w:jc w:val="center"/>
              <w:rPr>
                <w:color w:val="000000"/>
                <w:sz w:val="28"/>
                <w:szCs w:val="28"/>
              </w:rPr>
            </w:pPr>
            <w:r>
              <w:rPr>
                <w:color w:val="000000"/>
                <w:sz w:val="28"/>
                <w:szCs w:val="28"/>
              </w:rPr>
              <w:lastRenderedPageBreak/>
              <w:t>- 46 124 019,9</w:t>
            </w:r>
          </w:p>
        </w:tc>
        <w:tc>
          <w:tcPr>
            <w:tcW w:w="1816" w:type="dxa"/>
            <w:tcBorders>
              <w:top w:val="nil"/>
              <w:left w:val="nil"/>
              <w:bottom w:val="single" w:sz="4" w:space="0" w:color="auto"/>
              <w:right w:val="single" w:sz="4" w:space="0" w:color="auto"/>
            </w:tcBorders>
            <w:shd w:val="clear" w:color="000000" w:fill="FFFFFF"/>
            <w:noWrap/>
            <w:vAlign w:val="center"/>
          </w:tcPr>
          <w:p w:rsidR="00E7317C" w:rsidRPr="00716F21" w:rsidRDefault="00E7317C" w:rsidP="00E7317C">
            <w:pPr>
              <w:ind w:right="-91"/>
              <w:jc w:val="center"/>
              <w:rPr>
                <w:color w:val="000000"/>
                <w:sz w:val="28"/>
                <w:szCs w:val="28"/>
              </w:rPr>
            </w:pPr>
            <w:r>
              <w:rPr>
                <w:color w:val="000000"/>
                <w:sz w:val="28"/>
                <w:szCs w:val="28"/>
              </w:rPr>
              <w:t>- 46 273 834,3</w:t>
            </w:r>
          </w:p>
        </w:tc>
        <w:tc>
          <w:tcPr>
            <w:tcW w:w="1816" w:type="dxa"/>
            <w:tcBorders>
              <w:top w:val="nil"/>
              <w:left w:val="nil"/>
              <w:bottom w:val="single" w:sz="4" w:space="0" w:color="auto"/>
              <w:right w:val="single" w:sz="8" w:space="0" w:color="auto"/>
            </w:tcBorders>
            <w:shd w:val="clear" w:color="000000" w:fill="FFFFFF"/>
            <w:noWrap/>
            <w:vAlign w:val="center"/>
          </w:tcPr>
          <w:p w:rsidR="00E7317C" w:rsidRPr="00716F21" w:rsidRDefault="00E7317C" w:rsidP="00E7317C">
            <w:pPr>
              <w:ind w:left="-122" w:right="-118"/>
              <w:jc w:val="center"/>
              <w:rPr>
                <w:color w:val="000000"/>
                <w:sz w:val="28"/>
                <w:szCs w:val="28"/>
              </w:rPr>
            </w:pPr>
            <w:r>
              <w:rPr>
                <w:color w:val="000000"/>
                <w:sz w:val="28"/>
                <w:szCs w:val="28"/>
              </w:rPr>
              <w:t>- 48 319 625,5</w:t>
            </w:r>
          </w:p>
        </w:tc>
      </w:tr>
      <w:tr w:rsidR="00E7317C" w:rsidRPr="00716F21" w:rsidTr="00E7317C">
        <w:trPr>
          <w:trHeight w:val="630"/>
        </w:trPr>
        <w:tc>
          <w:tcPr>
            <w:tcW w:w="705" w:type="dxa"/>
            <w:tcBorders>
              <w:top w:val="nil"/>
              <w:left w:val="single" w:sz="8" w:space="0" w:color="auto"/>
              <w:bottom w:val="single" w:sz="4" w:space="0" w:color="auto"/>
              <w:right w:val="single" w:sz="4" w:space="0" w:color="auto"/>
            </w:tcBorders>
            <w:shd w:val="clear" w:color="auto" w:fill="auto"/>
            <w:noWrap/>
            <w:vAlign w:val="center"/>
          </w:tcPr>
          <w:p w:rsidR="00E7317C" w:rsidRPr="00716F21" w:rsidRDefault="00E7317C" w:rsidP="00E7317C">
            <w:pPr>
              <w:ind w:left="-96" w:right="-125"/>
              <w:jc w:val="center"/>
              <w:rPr>
                <w:color w:val="000000"/>
                <w:sz w:val="28"/>
                <w:szCs w:val="28"/>
              </w:rPr>
            </w:pPr>
            <w:r>
              <w:rPr>
                <w:color w:val="000000"/>
                <w:sz w:val="28"/>
                <w:szCs w:val="28"/>
              </w:rPr>
              <w:t>25.1</w:t>
            </w:r>
          </w:p>
        </w:tc>
        <w:tc>
          <w:tcPr>
            <w:tcW w:w="3620" w:type="dxa"/>
            <w:tcBorders>
              <w:top w:val="nil"/>
              <w:left w:val="nil"/>
              <w:bottom w:val="single" w:sz="4" w:space="0" w:color="auto"/>
              <w:right w:val="single" w:sz="4" w:space="0" w:color="auto"/>
            </w:tcBorders>
            <w:shd w:val="clear" w:color="auto" w:fill="auto"/>
            <w:vAlign w:val="center"/>
          </w:tcPr>
          <w:p w:rsidR="00E7317C" w:rsidRDefault="00E7317C" w:rsidP="00E7317C">
            <w:pPr>
              <w:rPr>
                <w:color w:val="000000"/>
                <w:sz w:val="28"/>
                <w:szCs w:val="28"/>
              </w:rPr>
            </w:pPr>
            <w:r w:rsidRPr="005626BE">
              <w:rPr>
                <w:color w:val="000000"/>
                <w:sz w:val="28"/>
                <w:szCs w:val="28"/>
              </w:rPr>
              <w:t>Доходы федерального бюджета в соответствии с проектом ФБ</w:t>
            </w:r>
          </w:p>
          <w:p w:rsidR="0030575D" w:rsidRPr="00716F21" w:rsidRDefault="0030575D" w:rsidP="00E7317C">
            <w:pPr>
              <w:rPr>
                <w:color w:val="000000"/>
                <w:sz w:val="28"/>
                <w:szCs w:val="28"/>
              </w:rPr>
            </w:pPr>
            <w:r>
              <w:rPr>
                <w:color w:val="000000"/>
              </w:rPr>
              <w:t>тыс. руб.</w:t>
            </w:r>
          </w:p>
        </w:tc>
        <w:tc>
          <w:tcPr>
            <w:tcW w:w="1826" w:type="dxa"/>
            <w:tcBorders>
              <w:top w:val="nil"/>
              <w:left w:val="nil"/>
              <w:bottom w:val="single" w:sz="4" w:space="0" w:color="auto"/>
              <w:right w:val="single" w:sz="4" w:space="0" w:color="auto"/>
            </w:tcBorders>
            <w:shd w:val="clear" w:color="000000" w:fill="FFFFFF"/>
            <w:noWrap/>
            <w:vAlign w:val="center"/>
          </w:tcPr>
          <w:p w:rsidR="00E7317C" w:rsidRPr="00716F21" w:rsidRDefault="00E7317C" w:rsidP="00E7317C">
            <w:pPr>
              <w:ind w:left="-162" w:right="-64"/>
              <w:jc w:val="center"/>
              <w:rPr>
                <w:color w:val="000000"/>
                <w:sz w:val="28"/>
                <w:szCs w:val="28"/>
              </w:rPr>
            </w:pPr>
            <w:r>
              <w:rPr>
                <w:color w:val="000000"/>
                <w:sz w:val="28"/>
                <w:szCs w:val="28"/>
              </w:rPr>
              <w:t>- 11 577 129,0</w:t>
            </w:r>
          </w:p>
        </w:tc>
        <w:tc>
          <w:tcPr>
            <w:tcW w:w="1816" w:type="dxa"/>
            <w:tcBorders>
              <w:top w:val="nil"/>
              <w:left w:val="nil"/>
              <w:bottom w:val="single" w:sz="4" w:space="0" w:color="auto"/>
              <w:right w:val="single" w:sz="4" w:space="0" w:color="auto"/>
            </w:tcBorders>
            <w:shd w:val="clear" w:color="000000" w:fill="FFFFFF"/>
            <w:noWrap/>
            <w:vAlign w:val="center"/>
          </w:tcPr>
          <w:p w:rsidR="00E7317C" w:rsidRPr="00716F21" w:rsidRDefault="00E7317C" w:rsidP="00E7317C">
            <w:pPr>
              <w:jc w:val="center"/>
              <w:rPr>
                <w:color w:val="000000"/>
                <w:sz w:val="28"/>
                <w:szCs w:val="28"/>
              </w:rPr>
            </w:pPr>
            <w:r>
              <w:rPr>
                <w:color w:val="000000"/>
                <w:sz w:val="28"/>
                <w:szCs w:val="28"/>
              </w:rPr>
              <w:t>-11 614 732,4</w:t>
            </w:r>
          </w:p>
        </w:tc>
        <w:tc>
          <w:tcPr>
            <w:tcW w:w="1816" w:type="dxa"/>
            <w:tcBorders>
              <w:top w:val="nil"/>
              <w:left w:val="nil"/>
              <w:bottom w:val="single" w:sz="4" w:space="0" w:color="auto"/>
              <w:right w:val="single" w:sz="8" w:space="0" w:color="auto"/>
            </w:tcBorders>
            <w:shd w:val="clear" w:color="000000" w:fill="FFFFFF"/>
            <w:noWrap/>
            <w:vAlign w:val="center"/>
          </w:tcPr>
          <w:p w:rsidR="00E7317C" w:rsidRPr="00716F21" w:rsidRDefault="00E7317C" w:rsidP="00E7317C">
            <w:pPr>
              <w:jc w:val="center"/>
              <w:rPr>
                <w:color w:val="000000"/>
                <w:sz w:val="28"/>
                <w:szCs w:val="28"/>
              </w:rPr>
            </w:pPr>
            <w:r>
              <w:rPr>
                <w:color w:val="000000"/>
                <w:sz w:val="28"/>
                <w:szCs w:val="28"/>
              </w:rPr>
              <w:t>-12 128 226,0</w:t>
            </w:r>
          </w:p>
        </w:tc>
      </w:tr>
      <w:tr w:rsidR="00E7317C" w:rsidRPr="00716F21" w:rsidTr="00E7317C">
        <w:trPr>
          <w:trHeight w:val="630"/>
        </w:trPr>
        <w:tc>
          <w:tcPr>
            <w:tcW w:w="705" w:type="dxa"/>
            <w:tcBorders>
              <w:top w:val="nil"/>
              <w:left w:val="single" w:sz="8" w:space="0" w:color="auto"/>
              <w:bottom w:val="single" w:sz="4" w:space="0" w:color="auto"/>
              <w:right w:val="single" w:sz="4" w:space="0" w:color="auto"/>
            </w:tcBorders>
            <w:shd w:val="clear" w:color="auto" w:fill="auto"/>
            <w:noWrap/>
            <w:vAlign w:val="center"/>
            <w:hideMark/>
          </w:tcPr>
          <w:p w:rsidR="00E7317C" w:rsidRPr="00716F21" w:rsidRDefault="00E7317C" w:rsidP="00E7317C">
            <w:pPr>
              <w:jc w:val="center"/>
              <w:rPr>
                <w:color w:val="000000"/>
                <w:sz w:val="28"/>
                <w:szCs w:val="28"/>
              </w:rPr>
            </w:pPr>
            <w:r w:rsidRPr="00716F21">
              <w:rPr>
                <w:color w:val="000000"/>
                <w:sz w:val="28"/>
                <w:szCs w:val="28"/>
              </w:rPr>
              <w:t>26</w:t>
            </w:r>
          </w:p>
        </w:tc>
        <w:tc>
          <w:tcPr>
            <w:tcW w:w="3620" w:type="dxa"/>
            <w:tcBorders>
              <w:top w:val="nil"/>
              <w:left w:val="nil"/>
              <w:bottom w:val="single" w:sz="4" w:space="0" w:color="auto"/>
              <w:right w:val="single" w:sz="4" w:space="0" w:color="auto"/>
            </w:tcBorders>
            <w:shd w:val="clear" w:color="auto" w:fill="auto"/>
            <w:vAlign w:val="center"/>
            <w:hideMark/>
          </w:tcPr>
          <w:p w:rsidR="00E7317C" w:rsidRPr="00716F21" w:rsidRDefault="00E7317C" w:rsidP="00E7317C">
            <w:pPr>
              <w:rPr>
                <w:color w:val="000000"/>
                <w:sz w:val="28"/>
                <w:szCs w:val="28"/>
              </w:rPr>
            </w:pPr>
            <w:r w:rsidRPr="00716F21">
              <w:rPr>
                <w:color w:val="000000"/>
                <w:sz w:val="28"/>
                <w:szCs w:val="28"/>
              </w:rPr>
              <w:t>Доходы бюджетов субъектов РФ</w:t>
            </w:r>
          </w:p>
          <w:p w:rsidR="00E7317C" w:rsidRDefault="00E7317C" w:rsidP="00E7317C">
            <w:pPr>
              <w:rPr>
                <w:color w:val="000000"/>
                <w:sz w:val="28"/>
                <w:szCs w:val="28"/>
              </w:rPr>
            </w:pPr>
            <w:r w:rsidRPr="00716F21">
              <w:rPr>
                <w:color w:val="000000"/>
                <w:sz w:val="28"/>
                <w:szCs w:val="28"/>
              </w:rPr>
              <w:t>стр. 26 = стр. 25</w:t>
            </w:r>
            <w:r>
              <w:rPr>
                <w:color w:val="000000"/>
                <w:sz w:val="28"/>
                <w:szCs w:val="28"/>
              </w:rPr>
              <w:t xml:space="preserve"> - </w:t>
            </w:r>
            <w:r w:rsidRPr="00716F21">
              <w:rPr>
                <w:color w:val="000000"/>
                <w:sz w:val="28"/>
                <w:szCs w:val="28"/>
              </w:rPr>
              <w:t>стр. 2</w:t>
            </w:r>
            <w:r>
              <w:rPr>
                <w:color w:val="000000"/>
                <w:sz w:val="28"/>
                <w:szCs w:val="28"/>
              </w:rPr>
              <w:t>5.1</w:t>
            </w:r>
          </w:p>
          <w:p w:rsidR="0030575D" w:rsidRPr="00716F21" w:rsidRDefault="0030575D" w:rsidP="00E7317C">
            <w:pPr>
              <w:rPr>
                <w:color w:val="000000"/>
                <w:sz w:val="28"/>
                <w:szCs w:val="28"/>
              </w:rPr>
            </w:pPr>
            <w:r>
              <w:rPr>
                <w:color w:val="000000"/>
              </w:rPr>
              <w:t>тыс. руб.</w:t>
            </w:r>
          </w:p>
        </w:tc>
        <w:tc>
          <w:tcPr>
            <w:tcW w:w="1826" w:type="dxa"/>
            <w:tcBorders>
              <w:top w:val="nil"/>
              <w:left w:val="nil"/>
              <w:bottom w:val="single" w:sz="4" w:space="0" w:color="auto"/>
              <w:right w:val="single" w:sz="4" w:space="0" w:color="auto"/>
            </w:tcBorders>
            <w:shd w:val="clear" w:color="000000" w:fill="FFFFFF"/>
            <w:noWrap/>
            <w:vAlign w:val="center"/>
          </w:tcPr>
          <w:p w:rsidR="00E7317C" w:rsidRPr="00716F21" w:rsidRDefault="00E7317C" w:rsidP="00E7317C">
            <w:pPr>
              <w:ind w:left="-162" w:right="-64"/>
              <w:jc w:val="center"/>
              <w:rPr>
                <w:color w:val="000000"/>
                <w:sz w:val="28"/>
                <w:szCs w:val="28"/>
              </w:rPr>
            </w:pPr>
            <w:r>
              <w:rPr>
                <w:color w:val="000000"/>
                <w:sz w:val="28"/>
                <w:szCs w:val="28"/>
              </w:rPr>
              <w:t>- 34 546 890,9</w:t>
            </w:r>
          </w:p>
        </w:tc>
        <w:tc>
          <w:tcPr>
            <w:tcW w:w="1816" w:type="dxa"/>
            <w:tcBorders>
              <w:top w:val="nil"/>
              <w:left w:val="nil"/>
              <w:bottom w:val="single" w:sz="4" w:space="0" w:color="auto"/>
              <w:right w:val="single" w:sz="4" w:space="0" w:color="auto"/>
            </w:tcBorders>
            <w:shd w:val="clear" w:color="000000" w:fill="FFFFFF"/>
            <w:noWrap/>
            <w:vAlign w:val="center"/>
          </w:tcPr>
          <w:p w:rsidR="00E7317C" w:rsidRPr="00716F21" w:rsidRDefault="00E7317C" w:rsidP="00E7317C">
            <w:pPr>
              <w:ind w:left="-149" w:right="-91"/>
              <w:jc w:val="center"/>
              <w:rPr>
                <w:color w:val="000000"/>
                <w:sz w:val="28"/>
                <w:szCs w:val="28"/>
              </w:rPr>
            </w:pPr>
            <w:r>
              <w:rPr>
                <w:color w:val="000000"/>
                <w:sz w:val="28"/>
                <w:szCs w:val="28"/>
              </w:rPr>
              <w:t>- 34 659 101,9</w:t>
            </w:r>
          </w:p>
        </w:tc>
        <w:tc>
          <w:tcPr>
            <w:tcW w:w="1816" w:type="dxa"/>
            <w:tcBorders>
              <w:top w:val="nil"/>
              <w:left w:val="nil"/>
              <w:bottom w:val="single" w:sz="4" w:space="0" w:color="auto"/>
              <w:right w:val="single" w:sz="8" w:space="0" w:color="auto"/>
            </w:tcBorders>
            <w:shd w:val="clear" w:color="000000" w:fill="FFFFFF"/>
            <w:noWrap/>
            <w:vAlign w:val="center"/>
          </w:tcPr>
          <w:p w:rsidR="00E7317C" w:rsidRPr="00716F21" w:rsidRDefault="00E7317C" w:rsidP="00E7317C">
            <w:pPr>
              <w:ind w:left="-122" w:right="-118"/>
              <w:jc w:val="center"/>
              <w:rPr>
                <w:color w:val="000000"/>
                <w:sz w:val="28"/>
                <w:szCs w:val="28"/>
              </w:rPr>
            </w:pPr>
            <w:r>
              <w:rPr>
                <w:color w:val="000000"/>
                <w:sz w:val="28"/>
                <w:szCs w:val="28"/>
              </w:rPr>
              <w:t>- 36 191 399,5</w:t>
            </w:r>
          </w:p>
        </w:tc>
      </w:tr>
      <w:tr w:rsidR="00E7317C" w:rsidRPr="00716F21" w:rsidTr="00E7317C">
        <w:trPr>
          <w:trHeight w:val="630"/>
        </w:trPr>
        <w:tc>
          <w:tcPr>
            <w:tcW w:w="705" w:type="dxa"/>
            <w:tcBorders>
              <w:top w:val="nil"/>
              <w:left w:val="single" w:sz="8" w:space="0" w:color="auto"/>
              <w:bottom w:val="single" w:sz="4" w:space="0" w:color="auto"/>
              <w:right w:val="single" w:sz="4" w:space="0" w:color="auto"/>
            </w:tcBorders>
            <w:shd w:val="clear" w:color="auto" w:fill="auto"/>
            <w:noWrap/>
            <w:vAlign w:val="center"/>
            <w:hideMark/>
          </w:tcPr>
          <w:p w:rsidR="00E7317C" w:rsidRPr="00716F21" w:rsidRDefault="00E7317C" w:rsidP="00E7317C">
            <w:pPr>
              <w:jc w:val="center"/>
              <w:rPr>
                <w:b/>
                <w:bCs/>
                <w:color w:val="000000"/>
                <w:sz w:val="28"/>
                <w:szCs w:val="28"/>
              </w:rPr>
            </w:pPr>
            <w:r w:rsidRPr="00716F21">
              <w:rPr>
                <w:b/>
                <w:bCs/>
                <w:color w:val="000000"/>
                <w:sz w:val="28"/>
                <w:szCs w:val="28"/>
              </w:rPr>
              <w:t>27</w:t>
            </w:r>
          </w:p>
        </w:tc>
        <w:tc>
          <w:tcPr>
            <w:tcW w:w="3620" w:type="dxa"/>
            <w:tcBorders>
              <w:top w:val="nil"/>
              <w:left w:val="nil"/>
              <w:bottom w:val="single" w:sz="4" w:space="0" w:color="auto"/>
              <w:right w:val="single" w:sz="4" w:space="0" w:color="auto"/>
            </w:tcBorders>
            <w:shd w:val="clear" w:color="auto" w:fill="auto"/>
            <w:vAlign w:val="center"/>
            <w:hideMark/>
          </w:tcPr>
          <w:p w:rsidR="00E7317C" w:rsidRDefault="00E7317C" w:rsidP="00E7317C">
            <w:pPr>
              <w:rPr>
                <w:b/>
                <w:bCs/>
                <w:color w:val="000000"/>
                <w:sz w:val="28"/>
                <w:szCs w:val="28"/>
              </w:rPr>
            </w:pPr>
            <w:r w:rsidRPr="00716F21">
              <w:rPr>
                <w:b/>
                <w:bCs/>
                <w:color w:val="000000"/>
                <w:sz w:val="28"/>
                <w:szCs w:val="28"/>
              </w:rPr>
              <w:t>Доходы от уплаты акцизов на прямогонный бензин в областной бюджет всего</w:t>
            </w:r>
            <w:r w:rsidRPr="00716F21">
              <w:rPr>
                <w:b/>
                <w:bCs/>
                <w:color w:val="000000"/>
                <w:sz w:val="28"/>
                <w:szCs w:val="28"/>
              </w:rPr>
              <w:br/>
              <w:t>стр. 27 = стр. 27.1 + стр. 27.2</w:t>
            </w:r>
          </w:p>
          <w:p w:rsidR="0030575D" w:rsidRPr="00716F21" w:rsidRDefault="0030575D" w:rsidP="00E7317C">
            <w:pPr>
              <w:rPr>
                <w:b/>
                <w:bCs/>
                <w:color w:val="000000"/>
                <w:sz w:val="28"/>
                <w:szCs w:val="28"/>
              </w:rPr>
            </w:pPr>
            <w:r>
              <w:rPr>
                <w:color w:val="000000"/>
              </w:rPr>
              <w:t>тыс. руб.</w:t>
            </w:r>
          </w:p>
        </w:tc>
        <w:tc>
          <w:tcPr>
            <w:tcW w:w="1826" w:type="dxa"/>
            <w:tcBorders>
              <w:top w:val="nil"/>
              <w:left w:val="nil"/>
              <w:bottom w:val="single" w:sz="4" w:space="0" w:color="auto"/>
              <w:right w:val="single" w:sz="4" w:space="0" w:color="auto"/>
            </w:tcBorders>
            <w:shd w:val="clear" w:color="000000" w:fill="FFFFFF"/>
            <w:noWrap/>
            <w:vAlign w:val="center"/>
          </w:tcPr>
          <w:p w:rsidR="00E7317C" w:rsidRPr="00716F21" w:rsidRDefault="00E7317C" w:rsidP="00E7317C">
            <w:pPr>
              <w:jc w:val="center"/>
              <w:rPr>
                <w:b/>
                <w:bCs/>
                <w:color w:val="000000"/>
                <w:sz w:val="28"/>
                <w:szCs w:val="28"/>
              </w:rPr>
            </w:pPr>
            <w:r>
              <w:rPr>
                <w:b/>
                <w:bCs/>
                <w:color w:val="000000"/>
                <w:sz w:val="28"/>
                <w:szCs w:val="28"/>
              </w:rPr>
              <w:t>-477 157,5</w:t>
            </w:r>
          </w:p>
        </w:tc>
        <w:tc>
          <w:tcPr>
            <w:tcW w:w="1816" w:type="dxa"/>
            <w:tcBorders>
              <w:top w:val="nil"/>
              <w:left w:val="nil"/>
              <w:bottom w:val="single" w:sz="4" w:space="0" w:color="auto"/>
              <w:right w:val="single" w:sz="4" w:space="0" w:color="auto"/>
            </w:tcBorders>
            <w:shd w:val="clear" w:color="000000" w:fill="FFFFFF"/>
            <w:noWrap/>
            <w:vAlign w:val="center"/>
          </w:tcPr>
          <w:p w:rsidR="00E7317C" w:rsidRPr="00716F21" w:rsidRDefault="00E7317C" w:rsidP="00E7317C">
            <w:pPr>
              <w:jc w:val="center"/>
              <w:rPr>
                <w:b/>
                <w:bCs/>
                <w:color w:val="000000"/>
                <w:sz w:val="28"/>
                <w:szCs w:val="28"/>
              </w:rPr>
            </w:pPr>
            <w:r>
              <w:rPr>
                <w:b/>
                <w:bCs/>
                <w:color w:val="000000"/>
                <w:sz w:val="28"/>
                <w:szCs w:val="28"/>
              </w:rPr>
              <w:t>- 489 662,5</w:t>
            </w:r>
          </w:p>
        </w:tc>
        <w:tc>
          <w:tcPr>
            <w:tcW w:w="1816" w:type="dxa"/>
            <w:tcBorders>
              <w:top w:val="nil"/>
              <w:left w:val="nil"/>
              <w:bottom w:val="single" w:sz="4" w:space="0" w:color="auto"/>
              <w:right w:val="single" w:sz="8" w:space="0" w:color="auto"/>
            </w:tcBorders>
            <w:shd w:val="clear" w:color="000000" w:fill="FFFFFF"/>
            <w:noWrap/>
            <w:vAlign w:val="center"/>
          </w:tcPr>
          <w:p w:rsidR="00E7317C" w:rsidRPr="00716F21" w:rsidRDefault="00E7317C" w:rsidP="00E7317C">
            <w:pPr>
              <w:jc w:val="center"/>
              <w:rPr>
                <w:b/>
                <w:bCs/>
                <w:color w:val="000000"/>
                <w:sz w:val="28"/>
                <w:szCs w:val="28"/>
              </w:rPr>
            </w:pPr>
            <w:r>
              <w:rPr>
                <w:b/>
                <w:bCs/>
                <w:color w:val="000000"/>
                <w:sz w:val="28"/>
                <w:szCs w:val="28"/>
              </w:rPr>
              <w:t>- 518 827,4</w:t>
            </w:r>
          </w:p>
        </w:tc>
      </w:tr>
      <w:tr w:rsidR="00E7317C" w:rsidRPr="00716F21" w:rsidTr="00E7317C">
        <w:trPr>
          <w:trHeight w:val="1260"/>
        </w:trPr>
        <w:tc>
          <w:tcPr>
            <w:tcW w:w="705" w:type="dxa"/>
            <w:tcBorders>
              <w:top w:val="nil"/>
              <w:left w:val="single" w:sz="8" w:space="0" w:color="auto"/>
              <w:bottom w:val="single" w:sz="4" w:space="0" w:color="auto"/>
              <w:right w:val="single" w:sz="4" w:space="0" w:color="auto"/>
            </w:tcBorders>
            <w:shd w:val="clear" w:color="auto" w:fill="auto"/>
            <w:noWrap/>
            <w:vAlign w:val="center"/>
            <w:hideMark/>
          </w:tcPr>
          <w:p w:rsidR="00E7317C" w:rsidRPr="00716F21" w:rsidRDefault="00E7317C" w:rsidP="00E7317C">
            <w:pPr>
              <w:ind w:left="-96" w:right="-125"/>
              <w:jc w:val="center"/>
              <w:rPr>
                <w:color w:val="000000"/>
                <w:sz w:val="28"/>
                <w:szCs w:val="28"/>
              </w:rPr>
            </w:pPr>
            <w:r w:rsidRPr="00716F21">
              <w:rPr>
                <w:color w:val="000000"/>
                <w:sz w:val="28"/>
                <w:szCs w:val="28"/>
              </w:rPr>
              <w:t>27.1</w:t>
            </w:r>
          </w:p>
        </w:tc>
        <w:tc>
          <w:tcPr>
            <w:tcW w:w="3620" w:type="dxa"/>
            <w:tcBorders>
              <w:top w:val="nil"/>
              <w:left w:val="nil"/>
              <w:bottom w:val="single" w:sz="4" w:space="0" w:color="auto"/>
              <w:right w:val="single" w:sz="4" w:space="0" w:color="auto"/>
            </w:tcBorders>
            <w:shd w:val="clear" w:color="auto" w:fill="auto"/>
            <w:vAlign w:val="center"/>
            <w:hideMark/>
          </w:tcPr>
          <w:p w:rsidR="00E7317C" w:rsidRDefault="00E7317C" w:rsidP="00E7317C">
            <w:pPr>
              <w:rPr>
                <w:color w:val="000000"/>
                <w:sz w:val="28"/>
                <w:szCs w:val="28"/>
              </w:rPr>
            </w:pPr>
            <w:r w:rsidRPr="00716F21">
              <w:rPr>
                <w:color w:val="000000"/>
                <w:sz w:val="28"/>
                <w:szCs w:val="28"/>
              </w:rPr>
              <w:t>Доходы от уплаты акцизов на прямогонный бензин в целях формирования Дорожного фонда Тверской области,</w:t>
            </w:r>
            <w:r w:rsidRPr="00716F21">
              <w:rPr>
                <w:color w:val="000000"/>
                <w:sz w:val="28"/>
                <w:szCs w:val="28"/>
              </w:rPr>
              <w:br/>
              <w:t>стр. 27.1 = стр. 26 * стр.3*стр. 5 *90%</w:t>
            </w:r>
          </w:p>
          <w:p w:rsidR="0030575D" w:rsidRPr="00716F21" w:rsidRDefault="0030575D" w:rsidP="00E7317C">
            <w:pPr>
              <w:rPr>
                <w:color w:val="000000"/>
                <w:sz w:val="28"/>
                <w:szCs w:val="28"/>
              </w:rPr>
            </w:pPr>
            <w:r>
              <w:rPr>
                <w:color w:val="000000"/>
              </w:rPr>
              <w:t>тыс. руб.</w:t>
            </w:r>
          </w:p>
        </w:tc>
        <w:tc>
          <w:tcPr>
            <w:tcW w:w="1826" w:type="dxa"/>
            <w:tcBorders>
              <w:top w:val="nil"/>
              <w:left w:val="nil"/>
              <w:bottom w:val="single" w:sz="4" w:space="0" w:color="auto"/>
              <w:right w:val="single" w:sz="4" w:space="0" w:color="auto"/>
            </w:tcBorders>
            <w:shd w:val="clear" w:color="000000" w:fill="FFFFFF"/>
            <w:noWrap/>
            <w:vAlign w:val="center"/>
          </w:tcPr>
          <w:p w:rsidR="00E7317C" w:rsidRPr="00716F21" w:rsidRDefault="00E7317C" w:rsidP="00E7317C">
            <w:pPr>
              <w:jc w:val="center"/>
              <w:rPr>
                <w:color w:val="000000"/>
                <w:sz w:val="28"/>
                <w:szCs w:val="28"/>
              </w:rPr>
            </w:pPr>
            <w:r>
              <w:rPr>
                <w:color w:val="000000"/>
                <w:sz w:val="28"/>
                <w:szCs w:val="28"/>
              </w:rPr>
              <w:t>- 323 363,4</w:t>
            </w:r>
          </w:p>
        </w:tc>
        <w:tc>
          <w:tcPr>
            <w:tcW w:w="1816" w:type="dxa"/>
            <w:tcBorders>
              <w:top w:val="nil"/>
              <w:left w:val="nil"/>
              <w:bottom w:val="single" w:sz="4" w:space="0" w:color="auto"/>
              <w:right w:val="single" w:sz="4" w:space="0" w:color="auto"/>
            </w:tcBorders>
            <w:shd w:val="clear" w:color="000000" w:fill="FFFFFF"/>
            <w:noWrap/>
            <w:vAlign w:val="center"/>
          </w:tcPr>
          <w:p w:rsidR="00E7317C" w:rsidRPr="00716F21" w:rsidRDefault="00E7317C" w:rsidP="00E7317C">
            <w:pPr>
              <w:jc w:val="center"/>
              <w:rPr>
                <w:color w:val="000000"/>
                <w:sz w:val="28"/>
                <w:szCs w:val="28"/>
              </w:rPr>
            </w:pPr>
            <w:r>
              <w:rPr>
                <w:color w:val="000000"/>
                <w:sz w:val="28"/>
                <w:szCs w:val="28"/>
              </w:rPr>
              <w:t>- 335 368,9</w:t>
            </w:r>
          </w:p>
        </w:tc>
        <w:tc>
          <w:tcPr>
            <w:tcW w:w="1816" w:type="dxa"/>
            <w:tcBorders>
              <w:top w:val="nil"/>
              <w:left w:val="nil"/>
              <w:bottom w:val="single" w:sz="4" w:space="0" w:color="auto"/>
              <w:right w:val="single" w:sz="8" w:space="0" w:color="auto"/>
            </w:tcBorders>
            <w:shd w:val="clear" w:color="000000" w:fill="FFFFFF"/>
            <w:noWrap/>
            <w:vAlign w:val="center"/>
          </w:tcPr>
          <w:p w:rsidR="00E7317C" w:rsidRPr="00716F21" w:rsidRDefault="00E7317C" w:rsidP="00E7317C">
            <w:pPr>
              <w:jc w:val="center"/>
              <w:rPr>
                <w:color w:val="000000"/>
                <w:sz w:val="28"/>
                <w:szCs w:val="28"/>
              </w:rPr>
            </w:pPr>
            <w:r>
              <w:rPr>
                <w:color w:val="000000"/>
                <w:sz w:val="28"/>
                <w:szCs w:val="28"/>
              </w:rPr>
              <w:t>- 357 712,4</w:t>
            </w:r>
          </w:p>
        </w:tc>
      </w:tr>
      <w:tr w:rsidR="00E7317C" w:rsidRPr="00716F21" w:rsidTr="00E7317C">
        <w:trPr>
          <w:trHeight w:val="1260"/>
        </w:trPr>
        <w:tc>
          <w:tcPr>
            <w:tcW w:w="705" w:type="dxa"/>
            <w:tcBorders>
              <w:top w:val="nil"/>
              <w:left w:val="single" w:sz="8" w:space="0" w:color="auto"/>
              <w:bottom w:val="single" w:sz="4" w:space="0" w:color="auto"/>
              <w:right w:val="single" w:sz="4" w:space="0" w:color="auto"/>
            </w:tcBorders>
            <w:shd w:val="clear" w:color="auto" w:fill="auto"/>
            <w:noWrap/>
            <w:vAlign w:val="center"/>
            <w:hideMark/>
          </w:tcPr>
          <w:p w:rsidR="00E7317C" w:rsidRPr="00716F21" w:rsidRDefault="00E7317C" w:rsidP="00E7317C">
            <w:pPr>
              <w:ind w:left="-96" w:right="-267"/>
              <w:rPr>
                <w:color w:val="000000"/>
                <w:sz w:val="28"/>
                <w:szCs w:val="28"/>
              </w:rPr>
            </w:pPr>
            <w:r>
              <w:rPr>
                <w:color w:val="000000"/>
                <w:sz w:val="28"/>
                <w:szCs w:val="28"/>
              </w:rPr>
              <w:t xml:space="preserve"> </w:t>
            </w:r>
            <w:r w:rsidRPr="00716F21">
              <w:rPr>
                <w:color w:val="000000"/>
                <w:sz w:val="28"/>
                <w:szCs w:val="28"/>
              </w:rPr>
              <w:t>27.2</w:t>
            </w:r>
          </w:p>
        </w:tc>
        <w:tc>
          <w:tcPr>
            <w:tcW w:w="3620" w:type="dxa"/>
            <w:tcBorders>
              <w:top w:val="nil"/>
              <w:left w:val="nil"/>
              <w:bottom w:val="single" w:sz="4" w:space="0" w:color="auto"/>
              <w:right w:val="single" w:sz="4" w:space="0" w:color="auto"/>
            </w:tcBorders>
            <w:shd w:val="clear" w:color="auto" w:fill="auto"/>
            <w:vAlign w:val="center"/>
            <w:hideMark/>
          </w:tcPr>
          <w:p w:rsidR="00E7317C" w:rsidRPr="00716F21" w:rsidRDefault="00E7317C" w:rsidP="00E7317C">
            <w:pPr>
              <w:rPr>
                <w:color w:val="000000"/>
                <w:sz w:val="28"/>
                <w:szCs w:val="28"/>
              </w:rPr>
            </w:pPr>
            <w:r w:rsidRPr="00716F21">
              <w:rPr>
                <w:color w:val="000000"/>
                <w:sz w:val="28"/>
                <w:szCs w:val="28"/>
              </w:rPr>
              <w:t xml:space="preserve">Доходы от уплаты акцизов на автомобильный бензин в целях реализации </w:t>
            </w:r>
            <w:r w:rsidR="0030575D">
              <w:rPr>
                <w:color w:val="000000"/>
                <w:sz w:val="28"/>
                <w:szCs w:val="28"/>
              </w:rPr>
              <w:t>н</w:t>
            </w:r>
            <w:r w:rsidRPr="00716F21">
              <w:rPr>
                <w:color w:val="000000"/>
                <w:sz w:val="28"/>
                <w:szCs w:val="28"/>
              </w:rPr>
              <w:t>ацпроекта</w:t>
            </w:r>
            <w:r w:rsidRPr="00716F21">
              <w:rPr>
                <w:color w:val="000000"/>
                <w:sz w:val="28"/>
                <w:szCs w:val="28"/>
              </w:rPr>
              <w:br/>
              <w:t>стр. 27.2 = стр. 26*стр.4*</w:t>
            </w:r>
          </w:p>
          <w:p w:rsidR="00E7317C" w:rsidRDefault="00E7317C" w:rsidP="00E7317C">
            <w:pPr>
              <w:rPr>
                <w:color w:val="000000"/>
                <w:sz w:val="28"/>
                <w:szCs w:val="28"/>
              </w:rPr>
            </w:pPr>
            <w:r w:rsidRPr="00716F21">
              <w:rPr>
                <w:color w:val="000000"/>
                <w:sz w:val="28"/>
                <w:szCs w:val="28"/>
              </w:rPr>
              <w:t>стр. 6</w:t>
            </w:r>
          </w:p>
          <w:p w:rsidR="0030575D" w:rsidRPr="00716F21" w:rsidRDefault="0030575D" w:rsidP="00E7317C">
            <w:pPr>
              <w:rPr>
                <w:color w:val="000000"/>
                <w:sz w:val="28"/>
                <w:szCs w:val="28"/>
              </w:rPr>
            </w:pPr>
            <w:r>
              <w:rPr>
                <w:color w:val="000000"/>
              </w:rPr>
              <w:t>тыс. руб.</w:t>
            </w:r>
          </w:p>
        </w:tc>
        <w:tc>
          <w:tcPr>
            <w:tcW w:w="1826" w:type="dxa"/>
            <w:tcBorders>
              <w:top w:val="nil"/>
              <w:left w:val="nil"/>
              <w:bottom w:val="single" w:sz="4" w:space="0" w:color="auto"/>
              <w:right w:val="single" w:sz="4" w:space="0" w:color="auto"/>
            </w:tcBorders>
            <w:shd w:val="clear" w:color="000000" w:fill="FFFFFF"/>
            <w:vAlign w:val="center"/>
          </w:tcPr>
          <w:p w:rsidR="00E7317C" w:rsidRPr="00716F21" w:rsidRDefault="00E7317C" w:rsidP="00E7317C">
            <w:pPr>
              <w:jc w:val="center"/>
              <w:rPr>
                <w:color w:val="000000"/>
                <w:sz w:val="28"/>
                <w:szCs w:val="28"/>
              </w:rPr>
            </w:pPr>
            <w:r>
              <w:rPr>
                <w:color w:val="000000"/>
                <w:sz w:val="28"/>
                <w:szCs w:val="28"/>
              </w:rPr>
              <w:t>- 153 794,1</w:t>
            </w:r>
          </w:p>
        </w:tc>
        <w:tc>
          <w:tcPr>
            <w:tcW w:w="1816" w:type="dxa"/>
            <w:tcBorders>
              <w:top w:val="nil"/>
              <w:left w:val="nil"/>
              <w:bottom w:val="single" w:sz="4" w:space="0" w:color="auto"/>
              <w:right w:val="single" w:sz="4" w:space="0" w:color="auto"/>
            </w:tcBorders>
            <w:shd w:val="clear" w:color="000000" w:fill="FFFFFF"/>
            <w:vAlign w:val="center"/>
          </w:tcPr>
          <w:p w:rsidR="00E7317C" w:rsidRPr="00716F21" w:rsidRDefault="00E7317C" w:rsidP="00E7317C">
            <w:pPr>
              <w:jc w:val="center"/>
              <w:rPr>
                <w:color w:val="000000"/>
                <w:sz w:val="28"/>
                <w:szCs w:val="28"/>
              </w:rPr>
            </w:pPr>
            <w:r>
              <w:rPr>
                <w:color w:val="000000"/>
                <w:sz w:val="28"/>
                <w:szCs w:val="28"/>
              </w:rPr>
              <w:t>-154 293,6</w:t>
            </w:r>
          </w:p>
        </w:tc>
        <w:tc>
          <w:tcPr>
            <w:tcW w:w="1816" w:type="dxa"/>
            <w:tcBorders>
              <w:top w:val="nil"/>
              <w:left w:val="nil"/>
              <w:bottom w:val="single" w:sz="4" w:space="0" w:color="auto"/>
              <w:right w:val="single" w:sz="8" w:space="0" w:color="auto"/>
            </w:tcBorders>
            <w:shd w:val="clear" w:color="000000" w:fill="FFFFFF"/>
            <w:vAlign w:val="center"/>
          </w:tcPr>
          <w:p w:rsidR="00E7317C" w:rsidRPr="00716F21" w:rsidRDefault="00E7317C" w:rsidP="00E7317C">
            <w:pPr>
              <w:jc w:val="center"/>
              <w:rPr>
                <w:color w:val="000000"/>
                <w:sz w:val="28"/>
                <w:szCs w:val="28"/>
              </w:rPr>
            </w:pPr>
            <w:r>
              <w:rPr>
                <w:color w:val="000000"/>
                <w:sz w:val="28"/>
                <w:szCs w:val="28"/>
              </w:rPr>
              <w:t>-161 115,0</w:t>
            </w:r>
          </w:p>
        </w:tc>
      </w:tr>
      <w:tr w:rsidR="00E7317C" w:rsidTr="00E7317C">
        <w:trPr>
          <w:trHeight w:val="645"/>
        </w:trPr>
        <w:tc>
          <w:tcPr>
            <w:tcW w:w="705" w:type="dxa"/>
            <w:tcBorders>
              <w:top w:val="nil"/>
              <w:left w:val="single" w:sz="8" w:space="0" w:color="auto"/>
              <w:bottom w:val="single" w:sz="8" w:space="0" w:color="auto"/>
              <w:right w:val="single" w:sz="4" w:space="0" w:color="auto"/>
            </w:tcBorders>
            <w:shd w:val="clear" w:color="auto" w:fill="auto"/>
            <w:noWrap/>
            <w:vAlign w:val="center"/>
            <w:hideMark/>
          </w:tcPr>
          <w:p w:rsidR="00E7317C" w:rsidRPr="00716F21" w:rsidRDefault="00E7317C" w:rsidP="00E7317C">
            <w:pPr>
              <w:jc w:val="center"/>
              <w:rPr>
                <w:color w:val="000000"/>
                <w:sz w:val="28"/>
                <w:szCs w:val="28"/>
              </w:rPr>
            </w:pPr>
            <w:r w:rsidRPr="00716F21">
              <w:rPr>
                <w:color w:val="000000"/>
                <w:sz w:val="28"/>
                <w:szCs w:val="28"/>
              </w:rPr>
              <w:t>28</w:t>
            </w:r>
          </w:p>
        </w:tc>
        <w:tc>
          <w:tcPr>
            <w:tcW w:w="3620" w:type="dxa"/>
            <w:tcBorders>
              <w:top w:val="nil"/>
              <w:left w:val="nil"/>
              <w:bottom w:val="single" w:sz="8" w:space="0" w:color="auto"/>
              <w:right w:val="single" w:sz="4" w:space="0" w:color="auto"/>
            </w:tcBorders>
            <w:shd w:val="clear" w:color="auto" w:fill="auto"/>
            <w:vAlign w:val="center"/>
            <w:hideMark/>
          </w:tcPr>
          <w:p w:rsidR="00E7317C" w:rsidRPr="00716F21" w:rsidRDefault="00E7317C" w:rsidP="00E7317C">
            <w:pPr>
              <w:rPr>
                <w:color w:val="000000"/>
                <w:sz w:val="28"/>
                <w:szCs w:val="28"/>
              </w:rPr>
            </w:pPr>
            <w:r w:rsidRPr="00716F21">
              <w:rPr>
                <w:color w:val="000000"/>
                <w:sz w:val="28"/>
                <w:szCs w:val="28"/>
              </w:rPr>
              <w:t>Справочно:</w:t>
            </w:r>
          </w:p>
          <w:p w:rsidR="00E7317C" w:rsidRPr="00716F21" w:rsidRDefault="00E7317C" w:rsidP="00E7317C">
            <w:pPr>
              <w:rPr>
                <w:color w:val="000000"/>
                <w:sz w:val="28"/>
                <w:szCs w:val="28"/>
              </w:rPr>
            </w:pPr>
            <w:r w:rsidRPr="00716F21">
              <w:rPr>
                <w:color w:val="000000"/>
                <w:sz w:val="28"/>
                <w:szCs w:val="28"/>
              </w:rPr>
              <w:t>Налоговая  ставка по НК РФ</w:t>
            </w:r>
          </w:p>
        </w:tc>
        <w:tc>
          <w:tcPr>
            <w:tcW w:w="1826" w:type="dxa"/>
            <w:tcBorders>
              <w:top w:val="nil"/>
              <w:left w:val="nil"/>
              <w:bottom w:val="single" w:sz="8" w:space="0" w:color="auto"/>
              <w:right w:val="single" w:sz="4" w:space="0" w:color="auto"/>
            </w:tcBorders>
            <w:shd w:val="clear" w:color="000000" w:fill="FFFFFF"/>
            <w:vAlign w:val="center"/>
            <w:hideMark/>
          </w:tcPr>
          <w:p w:rsidR="00E7317C" w:rsidRPr="00716F21" w:rsidRDefault="00E7317C" w:rsidP="00E7317C">
            <w:pPr>
              <w:jc w:val="center"/>
              <w:rPr>
                <w:color w:val="000000"/>
                <w:sz w:val="28"/>
                <w:szCs w:val="28"/>
              </w:rPr>
            </w:pPr>
            <w:r w:rsidRPr="00716F21">
              <w:rPr>
                <w:color w:val="000000"/>
                <w:sz w:val="28"/>
                <w:szCs w:val="28"/>
              </w:rPr>
              <w:t>16 345 руб. за тонну</w:t>
            </w:r>
          </w:p>
        </w:tc>
        <w:tc>
          <w:tcPr>
            <w:tcW w:w="1816" w:type="dxa"/>
            <w:tcBorders>
              <w:top w:val="nil"/>
              <w:left w:val="nil"/>
              <w:bottom w:val="single" w:sz="8" w:space="0" w:color="auto"/>
              <w:right w:val="single" w:sz="4" w:space="0" w:color="auto"/>
            </w:tcBorders>
            <w:shd w:val="clear" w:color="000000" w:fill="FFFFFF"/>
            <w:vAlign w:val="center"/>
            <w:hideMark/>
          </w:tcPr>
          <w:p w:rsidR="00E7317C" w:rsidRPr="00FC34BD" w:rsidRDefault="00E7317C" w:rsidP="00E7317C">
            <w:pPr>
              <w:jc w:val="center"/>
              <w:rPr>
                <w:color w:val="000000"/>
                <w:sz w:val="28"/>
                <w:szCs w:val="28"/>
              </w:rPr>
            </w:pPr>
            <w:r w:rsidRPr="00716F21">
              <w:rPr>
                <w:color w:val="000000"/>
                <w:sz w:val="28"/>
                <w:szCs w:val="28"/>
              </w:rPr>
              <w:t>17 153 руб. за тонну</w:t>
            </w:r>
          </w:p>
        </w:tc>
        <w:tc>
          <w:tcPr>
            <w:tcW w:w="1816" w:type="dxa"/>
            <w:tcBorders>
              <w:top w:val="nil"/>
              <w:left w:val="nil"/>
              <w:bottom w:val="single" w:sz="8" w:space="0" w:color="auto"/>
              <w:right w:val="single" w:sz="8" w:space="0" w:color="auto"/>
            </w:tcBorders>
            <w:shd w:val="clear" w:color="000000" w:fill="FFFFFF"/>
            <w:vAlign w:val="center"/>
            <w:hideMark/>
          </w:tcPr>
          <w:p w:rsidR="00E7317C" w:rsidRPr="00FC34BD" w:rsidRDefault="003E7888" w:rsidP="00E7317C">
            <w:pPr>
              <w:jc w:val="center"/>
              <w:rPr>
                <w:color w:val="000000"/>
                <w:sz w:val="28"/>
                <w:szCs w:val="28"/>
              </w:rPr>
            </w:pPr>
            <w:r>
              <w:rPr>
                <w:color w:val="000000"/>
                <w:sz w:val="28"/>
                <w:szCs w:val="28"/>
              </w:rPr>
              <w:t>17 965</w:t>
            </w:r>
            <w:r w:rsidRPr="007E423C">
              <w:rPr>
                <w:color w:val="000000"/>
                <w:sz w:val="28"/>
                <w:szCs w:val="28"/>
              </w:rPr>
              <w:t xml:space="preserve"> руб. за тонну</w:t>
            </w:r>
          </w:p>
        </w:tc>
      </w:tr>
    </w:tbl>
    <w:p w:rsidR="00E7317C" w:rsidRDefault="00E7317C" w:rsidP="00E7317C">
      <w:pPr>
        <w:pStyle w:val="a7"/>
        <w:spacing w:after="0"/>
        <w:ind w:left="0" w:firstLine="709"/>
        <w:jc w:val="both"/>
        <w:rPr>
          <w:sz w:val="28"/>
          <w:szCs w:val="28"/>
        </w:rPr>
      </w:pPr>
    </w:p>
    <w:p w:rsidR="009C79C8" w:rsidRDefault="009C79C8" w:rsidP="00377938">
      <w:pPr>
        <w:jc w:val="center"/>
        <w:rPr>
          <w:b/>
          <w:sz w:val="28"/>
          <w:szCs w:val="28"/>
        </w:rPr>
      </w:pPr>
    </w:p>
    <w:p w:rsidR="009C79C8" w:rsidRDefault="009C79C8" w:rsidP="00377938">
      <w:pPr>
        <w:jc w:val="center"/>
        <w:rPr>
          <w:b/>
          <w:sz w:val="28"/>
          <w:szCs w:val="28"/>
        </w:rPr>
      </w:pPr>
    </w:p>
    <w:p w:rsidR="009C79C8" w:rsidRDefault="009C79C8" w:rsidP="00377938">
      <w:pPr>
        <w:jc w:val="center"/>
        <w:rPr>
          <w:b/>
          <w:sz w:val="28"/>
          <w:szCs w:val="28"/>
        </w:rPr>
      </w:pPr>
    </w:p>
    <w:p w:rsidR="009C79C8" w:rsidRDefault="009C79C8" w:rsidP="00377938">
      <w:pPr>
        <w:jc w:val="center"/>
        <w:rPr>
          <w:b/>
          <w:sz w:val="28"/>
          <w:szCs w:val="28"/>
        </w:rPr>
      </w:pPr>
    </w:p>
    <w:p w:rsidR="009C79C8" w:rsidRDefault="009C79C8" w:rsidP="00377938">
      <w:pPr>
        <w:jc w:val="center"/>
        <w:rPr>
          <w:b/>
          <w:sz w:val="28"/>
          <w:szCs w:val="28"/>
        </w:rPr>
      </w:pPr>
    </w:p>
    <w:p w:rsidR="009C79C8" w:rsidRDefault="009C79C8" w:rsidP="00377938">
      <w:pPr>
        <w:jc w:val="center"/>
        <w:rPr>
          <w:b/>
          <w:sz w:val="28"/>
          <w:szCs w:val="28"/>
        </w:rPr>
      </w:pPr>
    </w:p>
    <w:p w:rsidR="009C79C8" w:rsidRDefault="009C79C8" w:rsidP="00377938">
      <w:pPr>
        <w:jc w:val="center"/>
        <w:rPr>
          <w:b/>
          <w:sz w:val="28"/>
          <w:szCs w:val="28"/>
        </w:rPr>
      </w:pPr>
    </w:p>
    <w:p w:rsidR="009C79C8" w:rsidRDefault="009C79C8" w:rsidP="00377938">
      <w:pPr>
        <w:jc w:val="center"/>
        <w:rPr>
          <w:b/>
          <w:sz w:val="28"/>
          <w:szCs w:val="28"/>
        </w:rPr>
      </w:pPr>
    </w:p>
    <w:p w:rsidR="00377938" w:rsidRPr="00377938" w:rsidRDefault="00377938" w:rsidP="00377938">
      <w:pPr>
        <w:jc w:val="center"/>
        <w:rPr>
          <w:b/>
          <w:sz w:val="28"/>
          <w:szCs w:val="28"/>
        </w:rPr>
      </w:pPr>
      <w:r w:rsidRPr="00377938">
        <w:rPr>
          <w:b/>
          <w:sz w:val="28"/>
          <w:szCs w:val="28"/>
        </w:rPr>
        <w:lastRenderedPageBreak/>
        <w:t xml:space="preserve">Налоги на совокупный доход </w:t>
      </w:r>
    </w:p>
    <w:p w:rsidR="00FF7D10" w:rsidRDefault="00377938" w:rsidP="00377938">
      <w:pPr>
        <w:jc w:val="center"/>
        <w:rPr>
          <w:b/>
          <w:sz w:val="28"/>
          <w:szCs w:val="28"/>
        </w:rPr>
      </w:pPr>
      <w:r w:rsidRPr="00377938">
        <w:rPr>
          <w:b/>
          <w:sz w:val="28"/>
          <w:szCs w:val="28"/>
        </w:rPr>
        <w:t>(000 1 05 00000 00 0000 000)</w:t>
      </w:r>
    </w:p>
    <w:p w:rsidR="00FF7D10" w:rsidRDefault="00FF7D10" w:rsidP="004412F1">
      <w:pPr>
        <w:jc w:val="center"/>
        <w:rPr>
          <w:b/>
          <w:sz w:val="28"/>
          <w:szCs w:val="28"/>
        </w:rPr>
      </w:pPr>
    </w:p>
    <w:p w:rsidR="00285DD5" w:rsidRPr="00C462F2" w:rsidRDefault="00285DD5" w:rsidP="004412F1">
      <w:pPr>
        <w:jc w:val="center"/>
        <w:rPr>
          <w:b/>
          <w:sz w:val="28"/>
          <w:szCs w:val="28"/>
        </w:rPr>
      </w:pPr>
      <w:r w:rsidRPr="00C462F2">
        <w:rPr>
          <w:b/>
          <w:sz w:val="28"/>
          <w:szCs w:val="28"/>
        </w:rPr>
        <w:t>Налог, взимаемый в связи с применением</w:t>
      </w:r>
    </w:p>
    <w:p w:rsidR="00285DD5" w:rsidRPr="00C462F2" w:rsidRDefault="00285DD5" w:rsidP="00C9312F">
      <w:pPr>
        <w:jc w:val="center"/>
        <w:rPr>
          <w:b/>
          <w:sz w:val="28"/>
          <w:szCs w:val="28"/>
        </w:rPr>
      </w:pPr>
      <w:r w:rsidRPr="00C462F2">
        <w:rPr>
          <w:b/>
          <w:sz w:val="28"/>
          <w:szCs w:val="28"/>
        </w:rPr>
        <w:t xml:space="preserve">упрощенной системы налогообложения </w:t>
      </w:r>
    </w:p>
    <w:p w:rsidR="00285DD5" w:rsidRPr="00C462F2" w:rsidRDefault="00285DD5" w:rsidP="00C9312F">
      <w:pPr>
        <w:jc w:val="center"/>
        <w:rPr>
          <w:b/>
          <w:snapToGrid w:val="0"/>
          <w:sz w:val="28"/>
          <w:szCs w:val="28"/>
        </w:rPr>
      </w:pPr>
      <w:r w:rsidRPr="00C462F2">
        <w:rPr>
          <w:b/>
          <w:snapToGrid w:val="0"/>
          <w:sz w:val="28"/>
          <w:szCs w:val="28"/>
        </w:rPr>
        <w:t>(000 1 05 01000 00 0000 110)</w:t>
      </w:r>
    </w:p>
    <w:p w:rsidR="00285DD5" w:rsidRPr="00C462F2" w:rsidRDefault="00285DD5" w:rsidP="00C0153D">
      <w:pPr>
        <w:ind w:firstLine="709"/>
        <w:jc w:val="center"/>
        <w:rPr>
          <w:snapToGrid w:val="0"/>
          <w:sz w:val="28"/>
          <w:szCs w:val="28"/>
          <w:highlight w:val="red"/>
        </w:rPr>
      </w:pPr>
    </w:p>
    <w:p w:rsidR="00187324" w:rsidRPr="00C462F2" w:rsidRDefault="00187324" w:rsidP="00187324">
      <w:pPr>
        <w:ind w:firstLine="709"/>
        <w:jc w:val="both"/>
        <w:rPr>
          <w:sz w:val="28"/>
          <w:szCs w:val="28"/>
        </w:rPr>
      </w:pPr>
      <w:r w:rsidRPr="00C462F2">
        <w:rPr>
          <w:sz w:val="28"/>
          <w:szCs w:val="28"/>
        </w:rPr>
        <w:t xml:space="preserve">Прогноз налога, взимаемого в связи с применением упрощенной системы налогообложения, на 2022 год по методике главного администратора доходов – УФНС России по Тверской области – составит </w:t>
      </w:r>
      <w:r w:rsidRPr="00E43D9C">
        <w:rPr>
          <w:sz w:val="28"/>
          <w:szCs w:val="28"/>
        </w:rPr>
        <w:t>5</w:t>
      </w:r>
      <w:r>
        <w:rPr>
          <w:sz w:val="28"/>
          <w:szCs w:val="28"/>
        </w:rPr>
        <w:t> 148 282,0 </w:t>
      </w:r>
      <w:r w:rsidRPr="00C462F2">
        <w:rPr>
          <w:sz w:val="28"/>
          <w:szCs w:val="28"/>
        </w:rPr>
        <w:t>тыс.</w:t>
      </w:r>
      <w:r>
        <w:rPr>
          <w:sz w:val="28"/>
          <w:szCs w:val="28"/>
        </w:rPr>
        <w:t> </w:t>
      </w:r>
      <w:r w:rsidRPr="00C462F2">
        <w:rPr>
          <w:sz w:val="28"/>
          <w:szCs w:val="28"/>
        </w:rPr>
        <w:t>рублей (</w:t>
      </w:r>
      <w:r w:rsidRPr="00E43D9C">
        <w:rPr>
          <w:sz w:val="28"/>
          <w:szCs w:val="28"/>
        </w:rPr>
        <w:t>3</w:t>
      </w:r>
      <w:r>
        <w:rPr>
          <w:sz w:val="28"/>
          <w:szCs w:val="28"/>
        </w:rPr>
        <w:t> </w:t>
      </w:r>
      <w:r w:rsidRPr="00E43D9C">
        <w:rPr>
          <w:sz w:val="28"/>
          <w:szCs w:val="28"/>
        </w:rPr>
        <w:t>530</w:t>
      </w:r>
      <w:r>
        <w:rPr>
          <w:sz w:val="28"/>
          <w:szCs w:val="28"/>
        </w:rPr>
        <w:t> </w:t>
      </w:r>
      <w:r w:rsidRPr="00E43D9C">
        <w:rPr>
          <w:sz w:val="28"/>
          <w:szCs w:val="28"/>
        </w:rPr>
        <w:t>716</w:t>
      </w:r>
      <w:r>
        <w:rPr>
          <w:sz w:val="28"/>
          <w:szCs w:val="28"/>
        </w:rPr>
        <w:t xml:space="preserve">,0 </w:t>
      </w:r>
      <w:r w:rsidRPr="00C462F2">
        <w:rPr>
          <w:sz w:val="28"/>
          <w:szCs w:val="28"/>
        </w:rPr>
        <w:t xml:space="preserve">тыс. рублей + </w:t>
      </w:r>
      <w:r>
        <w:rPr>
          <w:sz w:val="28"/>
          <w:szCs w:val="28"/>
        </w:rPr>
        <w:t>33</w:t>
      </w:r>
      <w:r w:rsidRPr="00C462F2">
        <w:rPr>
          <w:sz w:val="28"/>
          <w:szCs w:val="28"/>
        </w:rPr>
        <w:t xml:space="preserve">,0 тыс. рублей + </w:t>
      </w:r>
      <w:r w:rsidRPr="00E43D9C">
        <w:rPr>
          <w:sz w:val="28"/>
          <w:szCs w:val="28"/>
        </w:rPr>
        <w:t>1</w:t>
      </w:r>
      <w:r>
        <w:rPr>
          <w:sz w:val="28"/>
          <w:szCs w:val="28"/>
        </w:rPr>
        <w:t> 617 381</w:t>
      </w:r>
      <w:r w:rsidRPr="00C462F2">
        <w:rPr>
          <w:sz w:val="28"/>
          <w:szCs w:val="28"/>
        </w:rPr>
        <w:t>,0 тыс. рублей</w:t>
      </w:r>
      <w:r>
        <w:rPr>
          <w:sz w:val="28"/>
          <w:szCs w:val="28"/>
        </w:rPr>
        <w:t xml:space="preserve"> + </w:t>
      </w:r>
      <w:r w:rsidRPr="00C462F2">
        <w:rPr>
          <w:sz w:val="28"/>
          <w:szCs w:val="28"/>
        </w:rPr>
        <w:t>1</w:t>
      </w:r>
      <w:r>
        <w:rPr>
          <w:sz w:val="28"/>
          <w:szCs w:val="28"/>
        </w:rPr>
        <w:t xml:space="preserve">52 </w:t>
      </w:r>
      <w:r w:rsidRPr="00C462F2">
        <w:rPr>
          <w:sz w:val="28"/>
          <w:szCs w:val="28"/>
        </w:rPr>
        <w:t xml:space="preserve">тыс. рублей). Прогноз на 2023 год – </w:t>
      </w:r>
      <w:r>
        <w:rPr>
          <w:sz w:val="28"/>
          <w:szCs w:val="28"/>
        </w:rPr>
        <w:t>5 455 717,0 </w:t>
      </w:r>
      <w:r w:rsidRPr="00C462F2">
        <w:rPr>
          <w:sz w:val="28"/>
          <w:szCs w:val="28"/>
        </w:rPr>
        <w:t>тыс. рублей (</w:t>
      </w:r>
      <w:r w:rsidRPr="00E43D9C">
        <w:rPr>
          <w:sz w:val="28"/>
          <w:szCs w:val="28"/>
        </w:rPr>
        <w:t>3</w:t>
      </w:r>
      <w:r>
        <w:rPr>
          <w:sz w:val="28"/>
          <w:szCs w:val="28"/>
        </w:rPr>
        <w:t> </w:t>
      </w:r>
      <w:r w:rsidRPr="00E43D9C">
        <w:rPr>
          <w:sz w:val="28"/>
          <w:szCs w:val="28"/>
        </w:rPr>
        <w:t>742</w:t>
      </w:r>
      <w:r>
        <w:rPr>
          <w:sz w:val="28"/>
          <w:szCs w:val="28"/>
        </w:rPr>
        <w:t> </w:t>
      </w:r>
      <w:r w:rsidRPr="00E43D9C">
        <w:rPr>
          <w:sz w:val="28"/>
          <w:szCs w:val="28"/>
        </w:rPr>
        <w:t>687</w:t>
      </w:r>
      <w:r>
        <w:rPr>
          <w:sz w:val="28"/>
          <w:szCs w:val="28"/>
        </w:rPr>
        <w:t>,0 </w:t>
      </w:r>
      <w:r w:rsidRPr="00C462F2">
        <w:rPr>
          <w:sz w:val="28"/>
          <w:szCs w:val="28"/>
        </w:rPr>
        <w:t>тыс.</w:t>
      </w:r>
      <w:r>
        <w:rPr>
          <w:sz w:val="28"/>
          <w:szCs w:val="28"/>
        </w:rPr>
        <w:t> </w:t>
      </w:r>
      <w:r w:rsidRPr="00C462F2">
        <w:rPr>
          <w:sz w:val="28"/>
          <w:szCs w:val="28"/>
        </w:rPr>
        <w:t xml:space="preserve">рублей + </w:t>
      </w:r>
      <w:r>
        <w:rPr>
          <w:sz w:val="28"/>
          <w:szCs w:val="28"/>
        </w:rPr>
        <w:t>33,0 тыс. рублей + 1 712 995,0 </w:t>
      </w:r>
      <w:r w:rsidRPr="00C462F2">
        <w:rPr>
          <w:sz w:val="28"/>
          <w:szCs w:val="28"/>
        </w:rPr>
        <w:t>тыс. р</w:t>
      </w:r>
      <w:r>
        <w:rPr>
          <w:sz w:val="28"/>
          <w:szCs w:val="28"/>
        </w:rPr>
        <w:t>ублей + 2 </w:t>
      </w:r>
      <w:r w:rsidRPr="00C462F2">
        <w:rPr>
          <w:sz w:val="28"/>
          <w:szCs w:val="28"/>
        </w:rPr>
        <w:t>тыс.</w:t>
      </w:r>
      <w:r>
        <w:rPr>
          <w:sz w:val="28"/>
          <w:szCs w:val="28"/>
        </w:rPr>
        <w:t> </w:t>
      </w:r>
      <w:r w:rsidRPr="00C462F2">
        <w:rPr>
          <w:sz w:val="28"/>
          <w:szCs w:val="28"/>
        </w:rPr>
        <w:t xml:space="preserve">рублей), на 2024 год – </w:t>
      </w:r>
      <w:r w:rsidRPr="00E43D9C">
        <w:rPr>
          <w:sz w:val="28"/>
          <w:szCs w:val="28"/>
        </w:rPr>
        <w:t>5</w:t>
      </w:r>
      <w:r>
        <w:rPr>
          <w:sz w:val="28"/>
          <w:szCs w:val="28"/>
        </w:rPr>
        <w:t> 771 951,0</w:t>
      </w:r>
      <w:r w:rsidRPr="00C462F2">
        <w:rPr>
          <w:sz w:val="28"/>
          <w:szCs w:val="28"/>
        </w:rPr>
        <w:t xml:space="preserve"> тыс. рублей (</w:t>
      </w:r>
      <w:r w:rsidRPr="00E43D9C">
        <w:rPr>
          <w:sz w:val="28"/>
          <w:szCs w:val="28"/>
        </w:rPr>
        <w:t>3</w:t>
      </w:r>
      <w:r>
        <w:rPr>
          <w:sz w:val="28"/>
          <w:szCs w:val="28"/>
        </w:rPr>
        <w:t> </w:t>
      </w:r>
      <w:r w:rsidRPr="00E43D9C">
        <w:rPr>
          <w:sz w:val="28"/>
          <w:szCs w:val="28"/>
        </w:rPr>
        <w:t>968</w:t>
      </w:r>
      <w:r>
        <w:rPr>
          <w:sz w:val="28"/>
          <w:szCs w:val="28"/>
        </w:rPr>
        <w:t> </w:t>
      </w:r>
      <w:r w:rsidRPr="00E43D9C">
        <w:rPr>
          <w:sz w:val="28"/>
          <w:szCs w:val="28"/>
        </w:rPr>
        <w:t>317</w:t>
      </w:r>
      <w:r w:rsidRPr="00C462F2">
        <w:rPr>
          <w:sz w:val="28"/>
          <w:szCs w:val="28"/>
        </w:rPr>
        <w:t xml:space="preserve">,0 тыс. рублей + </w:t>
      </w:r>
      <w:r>
        <w:rPr>
          <w:sz w:val="28"/>
          <w:szCs w:val="28"/>
        </w:rPr>
        <w:t>33</w:t>
      </w:r>
      <w:r w:rsidRPr="00C462F2">
        <w:rPr>
          <w:sz w:val="28"/>
          <w:szCs w:val="28"/>
        </w:rPr>
        <w:t xml:space="preserve">,0 тыс. рублей + </w:t>
      </w:r>
      <w:r w:rsidRPr="00E43D9C">
        <w:rPr>
          <w:sz w:val="28"/>
          <w:szCs w:val="28"/>
        </w:rPr>
        <w:t>1</w:t>
      </w:r>
      <w:r>
        <w:rPr>
          <w:sz w:val="28"/>
          <w:szCs w:val="28"/>
        </w:rPr>
        <w:t> 803 601,0</w:t>
      </w:r>
      <w:r w:rsidRPr="00C462F2">
        <w:rPr>
          <w:sz w:val="28"/>
          <w:szCs w:val="28"/>
        </w:rPr>
        <w:t xml:space="preserve"> тыс. рублей</w:t>
      </w:r>
      <w:r>
        <w:rPr>
          <w:sz w:val="28"/>
          <w:szCs w:val="28"/>
        </w:rPr>
        <w:t xml:space="preserve"> + 0 рублей</w:t>
      </w:r>
      <w:r w:rsidRPr="00C462F2">
        <w:rPr>
          <w:sz w:val="28"/>
          <w:szCs w:val="28"/>
        </w:rPr>
        <w:t>).</w:t>
      </w:r>
    </w:p>
    <w:p w:rsidR="00187324" w:rsidRPr="00C462F2" w:rsidRDefault="00187324" w:rsidP="00187324">
      <w:pPr>
        <w:ind w:firstLine="709"/>
        <w:jc w:val="both"/>
        <w:rPr>
          <w:b/>
          <w:i/>
          <w:sz w:val="28"/>
          <w:szCs w:val="28"/>
        </w:rPr>
      </w:pPr>
      <w:r w:rsidRPr="00C462F2">
        <w:rPr>
          <w:sz w:val="28"/>
          <w:szCs w:val="28"/>
        </w:rPr>
        <w:t xml:space="preserve">Сумма налога, взимаемого в связи с применением упрощенной системы налогообложения (далее – </w:t>
      </w:r>
      <w:r w:rsidRPr="00C462F2">
        <w:rPr>
          <w:b/>
          <w:i/>
          <w:sz w:val="28"/>
          <w:szCs w:val="28"/>
        </w:rPr>
        <w:t xml:space="preserve">УСН </w:t>
      </w:r>
      <w:r w:rsidRPr="00C462F2">
        <w:rPr>
          <w:b/>
          <w:i/>
          <w:sz w:val="28"/>
          <w:szCs w:val="28"/>
          <w:vertAlign w:val="subscript"/>
        </w:rPr>
        <w:t>всего</w:t>
      </w:r>
      <w:r w:rsidRPr="00C462F2">
        <w:rPr>
          <w:sz w:val="28"/>
          <w:szCs w:val="28"/>
        </w:rPr>
        <w:t>), определяется как сумма прогнозных поступлений каждого вида налога исходя из выбранного объекта налогообложения:</w:t>
      </w:r>
    </w:p>
    <w:p w:rsidR="00187324" w:rsidRPr="00C462F2" w:rsidRDefault="00187324" w:rsidP="00187324">
      <w:pPr>
        <w:spacing w:before="120" w:after="120"/>
        <w:ind w:firstLine="709"/>
        <w:jc w:val="center"/>
        <w:rPr>
          <w:b/>
          <w:i/>
          <w:snapToGrid w:val="0"/>
          <w:sz w:val="28"/>
          <w:szCs w:val="28"/>
        </w:rPr>
      </w:pPr>
      <w:r w:rsidRPr="00C462F2">
        <w:rPr>
          <w:b/>
          <w:i/>
          <w:sz w:val="28"/>
          <w:szCs w:val="28"/>
        </w:rPr>
        <w:t xml:space="preserve">УСН </w:t>
      </w:r>
      <w:r w:rsidRPr="00C462F2">
        <w:rPr>
          <w:b/>
          <w:i/>
          <w:sz w:val="28"/>
          <w:szCs w:val="28"/>
          <w:vertAlign w:val="subscript"/>
        </w:rPr>
        <w:t>всего</w:t>
      </w:r>
      <w:r w:rsidRPr="00C462F2">
        <w:rPr>
          <w:b/>
          <w:i/>
          <w:sz w:val="28"/>
          <w:szCs w:val="28"/>
        </w:rPr>
        <w:t xml:space="preserve"> = УСН </w:t>
      </w:r>
      <w:r w:rsidRPr="00C462F2">
        <w:rPr>
          <w:b/>
          <w:i/>
          <w:sz w:val="28"/>
          <w:szCs w:val="28"/>
          <w:vertAlign w:val="subscript"/>
        </w:rPr>
        <w:t>1</w:t>
      </w:r>
      <w:r w:rsidRPr="00C462F2">
        <w:rPr>
          <w:b/>
          <w:i/>
          <w:sz w:val="28"/>
          <w:szCs w:val="28"/>
        </w:rPr>
        <w:t xml:space="preserve"> + УСН </w:t>
      </w:r>
      <w:r w:rsidRPr="00C462F2">
        <w:rPr>
          <w:b/>
          <w:i/>
          <w:sz w:val="28"/>
          <w:szCs w:val="28"/>
          <w:vertAlign w:val="subscript"/>
        </w:rPr>
        <w:t>2</w:t>
      </w:r>
      <w:r w:rsidRPr="00C462F2">
        <w:rPr>
          <w:b/>
          <w:i/>
          <w:sz w:val="28"/>
          <w:szCs w:val="28"/>
        </w:rPr>
        <w:t>,</w:t>
      </w:r>
    </w:p>
    <w:p w:rsidR="00187324" w:rsidRPr="00C462F2" w:rsidRDefault="00187324" w:rsidP="00187324">
      <w:pPr>
        <w:ind w:firstLine="709"/>
        <w:rPr>
          <w:sz w:val="28"/>
          <w:szCs w:val="28"/>
        </w:rPr>
      </w:pPr>
      <w:r w:rsidRPr="00C462F2">
        <w:rPr>
          <w:sz w:val="28"/>
          <w:szCs w:val="28"/>
        </w:rPr>
        <w:t xml:space="preserve">где </w:t>
      </w:r>
    </w:p>
    <w:p w:rsidR="00187324" w:rsidRPr="00C462F2" w:rsidRDefault="00187324" w:rsidP="00187324">
      <w:pPr>
        <w:ind w:firstLine="709"/>
        <w:rPr>
          <w:b/>
          <w:i/>
          <w:sz w:val="28"/>
          <w:szCs w:val="28"/>
        </w:rPr>
      </w:pPr>
      <w:r w:rsidRPr="00C462F2">
        <w:rPr>
          <w:b/>
          <w:i/>
          <w:sz w:val="28"/>
          <w:szCs w:val="28"/>
        </w:rPr>
        <w:t>УСН</w:t>
      </w:r>
      <w:r w:rsidRPr="00C462F2">
        <w:rPr>
          <w:b/>
          <w:i/>
          <w:sz w:val="28"/>
          <w:szCs w:val="28"/>
          <w:vertAlign w:val="subscript"/>
        </w:rPr>
        <w:t xml:space="preserve">1 </w:t>
      </w:r>
      <w:r w:rsidRPr="00C462F2">
        <w:rPr>
          <w:iCs/>
          <w:sz w:val="28"/>
          <w:szCs w:val="28"/>
        </w:rPr>
        <w:t>– УСН, уплачиваемый при использовании в качестве объекта налогообложения доходы (КБК 000 1 05 01011 01 0000 110);</w:t>
      </w:r>
    </w:p>
    <w:p w:rsidR="00187324" w:rsidRPr="00C462F2" w:rsidRDefault="00187324" w:rsidP="00187324">
      <w:pPr>
        <w:ind w:firstLine="709"/>
        <w:jc w:val="both"/>
        <w:rPr>
          <w:b/>
          <w:i/>
          <w:sz w:val="28"/>
          <w:szCs w:val="28"/>
        </w:rPr>
      </w:pPr>
      <w:r w:rsidRPr="00C462F2">
        <w:rPr>
          <w:b/>
          <w:i/>
          <w:sz w:val="28"/>
          <w:szCs w:val="28"/>
        </w:rPr>
        <w:t>УСН</w:t>
      </w:r>
      <w:r w:rsidRPr="00C462F2">
        <w:rPr>
          <w:b/>
          <w:i/>
          <w:sz w:val="28"/>
          <w:szCs w:val="28"/>
          <w:vertAlign w:val="subscript"/>
        </w:rPr>
        <w:t>2</w:t>
      </w:r>
      <w:r w:rsidRPr="00C462F2">
        <w:rPr>
          <w:iCs/>
          <w:sz w:val="28"/>
          <w:szCs w:val="28"/>
        </w:rPr>
        <w:t xml:space="preserve"> - УСН, уплачиваемый при использовании в качестве объекта налогообложения доходы, уменьшенные на величину расходов (в том числе минимальный налог) (КБК 000 1 05 01021 01 0000 110).</w:t>
      </w:r>
    </w:p>
    <w:p w:rsidR="00187324" w:rsidRPr="00C462F2" w:rsidRDefault="00187324" w:rsidP="00187324">
      <w:pPr>
        <w:ind w:firstLine="709"/>
        <w:jc w:val="both"/>
        <w:rPr>
          <w:sz w:val="28"/>
          <w:szCs w:val="28"/>
        </w:rPr>
      </w:pPr>
      <w:r w:rsidRPr="00C462F2">
        <w:rPr>
          <w:sz w:val="28"/>
          <w:szCs w:val="28"/>
        </w:rPr>
        <w:t xml:space="preserve">Прогнозный объем </w:t>
      </w:r>
      <w:r w:rsidRPr="00C462F2">
        <w:rPr>
          <w:b/>
          <w:i/>
          <w:sz w:val="28"/>
          <w:szCs w:val="28"/>
        </w:rPr>
        <w:t>УСН</w:t>
      </w:r>
      <w:r w:rsidRPr="00C462F2">
        <w:rPr>
          <w:b/>
          <w:i/>
          <w:sz w:val="28"/>
          <w:szCs w:val="28"/>
          <w:vertAlign w:val="subscript"/>
        </w:rPr>
        <w:t>1</w:t>
      </w:r>
      <w:r w:rsidRPr="00C462F2">
        <w:rPr>
          <w:sz w:val="28"/>
          <w:szCs w:val="28"/>
        </w:rPr>
        <w:t xml:space="preserve"> рассчитывается по следующей формуле:</w:t>
      </w:r>
    </w:p>
    <w:p w:rsidR="00187324" w:rsidRPr="00C462F2" w:rsidRDefault="00187324" w:rsidP="00187324">
      <w:pPr>
        <w:ind w:firstLine="709"/>
        <w:jc w:val="both"/>
        <w:rPr>
          <w:spacing w:val="2"/>
          <w:sz w:val="28"/>
          <w:szCs w:val="28"/>
        </w:rPr>
      </w:pPr>
    </w:p>
    <w:p w:rsidR="00187324" w:rsidRPr="00C462F2" w:rsidRDefault="00187324" w:rsidP="00187324">
      <w:pPr>
        <w:ind w:firstLine="709"/>
        <w:jc w:val="center"/>
        <w:rPr>
          <w:iCs/>
          <w:sz w:val="28"/>
          <w:szCs w:val="28"/>
        </w:rPr>
      </w:pPr>
      <w:r w:rsidRPr="00C462F2">
        <w:rPr>
          <w:b/>
          <w:i/>
          <w:sz w:val="28"/>
          <w:szCs w:val="28"/>
        </w:rPr>
        <w:t>УСН</w:t>
      </w:r>
      <w:r w:rsidRPr="00C462F2">
        <w:rPr>
          <w:b/>
          <w:i/>
          <w:sz w:val="28"/>
          <w:szCs w:val="28"/>
          <w:vertAlign w:val="subscript"/>
        </w:rPr>
        <w:t>1</w:t>
      </w:r>
      <w:r w:rsidRPr="00C462F2">
        <w:rPr>
          <w:b/>
          <w:i/>
          <w:sz w:val="28"/>
          <w:szCs w:val="28"/>
        </w:rPr>
        <w:t xml:space="preserve"> = [(Vнб1</w:t>
      </w:r>
      <w:r w:rsidRPr="00C462F2">
        <w:rPr>
          <w:b/>
          <w:i/>
          <w:sz w:val="28"/>
          <w:szCs w:val="28"/>
          <w:vertAlign w:val="subscript"/>
        </w:rPr>
        <w:t>пп</w:t>
      </w:r>
      <w:r w:rsidRPr="00C462F2">
        <w:rPr>
          <w:b/>
          <w:i/>
          <w:sz w:val="28"/>
          <w:szCs w:val="28"/>
        </w:rPr>
        <w:t xml:space="preserve"> * (S) – V</w:t>
      </w:r>
      <w:r w:rsidRPr="00C462F2">
        <w:rPr>
          <w:b/>
          <w:i/>
          <w:sz w:val="28"/>
          <w:szCs w:val="28"/>
          <w:vertAlign w:val="subscript"/>
        </w:rPr>
        <w:t>стр.взн.</w:t>
      </w:r>
      <w:r w:rsidRPr="00C462F2">
        <w:rPr>
          <w:b/>
          <w:i/>
          <w:sz w:val="28"/>
          <w:szCs w:val="28"/>
        </w:rPr>
        <w:t xml:space="preserve">) (+/-)F] * K </w:t>
      </w:r>
      <w:r w:rsidRPr="00C462F2">
        <w:rPr>
          <w:b/>
          <w:i/>
          <w:sz w:val="28"/>
          <w:szCs w:val="28"/>
          <w:vertAlign w:val="subscript"/>
        </w:rPr>
        <w:t>соб.</w:t>
      </w:r>
      <w:r w:rsidRPr="00C462F2">
        <w:rPr>
          <w:b/>
          <w:i/>
          <w:sz w:val="28"/>
          <w:szCs w:val="28"/>
        </w:rPr>
        <w:t>,</w:t>
      </w:r>
      <w:r w:rsidRPr="00C462F2">
        <w:rPr>
          <w:iCs/>
          <w:sz w:val="28"/>
          <w:szCs w:val="28"/>
        </w:rPr>
        <w:t>где</w:t>
      </w:r>
    </w:p>
    <w:p w:rsidR="00187324" w:rsidRPr="00C462F2" w:rsidRDefault="00187324" w:rsidP="00187324">
      <w:pPr>
        <w:ind w:firstLine="709"/>
        <w:jc w:val="both"/>
        <w:rPr>
          <w:iCs/>
          <w:sz w:val="28"/>
          <w:szCs w:val="28"/>
        </w:rPr>
      </w:pPr>
      <w:r w:rsidRPr="00C462F2">
        <w:rPr>
          <w:i/>
          <w:iCs/>
          <w:sz w:val="28"/>
          <w:szCs w:val="28"/>
          <w:lang w:val="en-US"/>
        </w:rPr>
        <w:t>V</w:t>
      </w:r>
      <w:r w:rsidRPr="00C462F2">
        <w:rPr>
          <w:i/>
          <w:iCs/>
          <w:sz w:val="28"/>
          <w:szCs w:val="28"/>
        </w:rPr>
        <w:t>нб1</w:t>
      </w:r>
      <w:r w:rsidRPr="00C462F2">
        <w:rPr>
          <w:i/>
          <w:iCs/>
          <w:sz w:val="28"/>
          <w:szCs w:val="28"/>
          <w:vertAlign w:val="subscript"/>
        </w:rPr>
        <w:t>пп</w:t>
      </w:r>
      <w:r w:rsidRPr="00C462F2">
        <w:rPr>
          <w:iCs/>
          <w:sz w:val="28"/>
          <w:szCs w:val="28"/>
        </w:rPr>
        <w:t xml:space="preserve"> – налоговая база прогнозируемого периода по </w:t>
      </w:r>
      <w:r w:rsidRPr="00C462F2">
        <w:rPr>
          <w:b/>
          <w:i/>
          <w:sz w:val="28"/>
          <w:szCs w:val="28"/>
        </w:rPr>
        <w:t>УСН</w:t>
      </w:r>
      <w:r w:rsidRPr="00C462F2">
        <w:rPr>
          <w:b/>
          <w:i/>
          <w:sz w:val="28"/>
          <w:szCs w:val="28"/>
          <w:vertAlign w:val="subscript"/>
        </w:rPr>
        <w:t>1</w:t>
      </w:r>
      <w:r w:rsidRPr="00C462F2">
        <w:rPr>
          <w:iCs/>
          <w:sz w:val="28"/>
          <w:szCs w:val="28"/>
        </w:rPr>
        <w:t>, тыс. рублей;</w:t>
      </w:r>
    </w:p>
    <w:p w:rsidR="00187324" w:rsidRPr="00C462F2" w:rsidRDefault="00187324" w:rsidP="00187324">
      <w:pPr>
        <w:ind w:firstLine="709"/>
        <w:jc w:val="both"/>
        <w:rPr>
          <w:i/>
          <w:iCs/>
          <w:sz w:val="28"/>
          <w:szCs w:val="28"/>
        </w:rPr>
      </w:pPr>
      <w:r w:rsidRPr="00C462F2">
        <w:rPr>
          <w:i/>
          <w:iCs/>
          <w:sz w:val="28"/>
          <w:szCs w:val="28"/>
        </w:rPr>
        <w:t>В связи с вступлением в силу с 01.01.2021 изменений в закон Тверской области от 29.11.2019 № 73-ЗО «Об установлении налоговых ставок при применении упрощенной системы налогообложения на территории Тверской области» расчет предусматривает возможность применения налогоплательщиками пониженных ставок налога, что реализовано путем выделения налоговой базы категории налогоплательщиков (новые налогоплательщики с 01.01.2020, данные информационных ресурсов УФНС по Тверской области) из общего объема.</w:t>
      </w:r>
    </w:p>
    <w:p w:rsidR="00187324" w:rsidRPr="00C462F2" w:rsidRDefault="00187324" w:rsidP="00187324">
      <w:pPr>
        <w:ind w:firstLine="709"/>
        <w:jc w:val="both"/>
        <w:rPr>
          <w:iCs/>
          <w:sz w:val="28"/>
          <w:szCs w:val="28"/>
        </w:rPr>
      </w:pPr>
      <w:r w:rsidRPr="00C462F2">
        <w:rPr>
          <w:iCs/>
          <w:sz w:val="28"/>
          <w:szCs w:val="28"/>
          <w:lang w:val="en-US"/>
        </w:rPr>
        <w:t>S</w:t>
      </w:r>
      <w:r w:rsidRPr="00C462F2">
        <w:rPr>
          <w:iCs/>
          <w:sz w:val="28"/>
          <w:szCs w:val="28"/>
        </w:rPr>
        <w:t xml:space="preserve"> – ставка налога </w:t>
      </w:r>
      <w:r w:rsidRPr="00C462F2">
        <w:rPr>
          <w:rFonts w:eastAsia="Calibri"/>
          <w:iCs/>
          <w:sz w:val="28"/>
          <w:szCs w:val="28"/>
        </w:rPr>
        <w:t>–</w:t>
      </w:r>
      <w:r w:rsidRPr="00C462F2">
        <w:rPr>
          <w:iCs/>
          <w:sz w:val="28"/>
          <w:szCs w:val="28"/>
        </w:rPr>
        <w:t xml:space="preserve"> 6,0 %</w:t>
      </w:r>
      <w:r>
        <w:rPr>
          <w:iCs/>
          <w:sz w:val="28"/>
          <w:szCs w:val="28"/>
        </w:rPr>
        <w:t xml:space="preserve"> (3% и 1,5% для отдельных видов деятельности)</w:t>
      </w:r>
      <w:r w:rsidRPr="00C462F2">
        <w:rPr>
          <w:iCs/>
          <w:sz w:val="28"/>
          <w:szCs w:val="28"/>
        </w:rPr>
        <w:t>;</w:t>
      </w:r>
    </w:p>
    <w:p w:rsidR="00187324" w:rsidRPr="00C462F2" w:rsidRDefault="00187324" w:rsidP="00187324">
      <w:pPr>
        <w:ind w:firstLine="709"/>
        <w:jc w:val="both"/>
        <w:rPr>
          <w:rFonts w:eastAsia="Calibri"/>
          <w:b/>
          <w:i/>
          <w:sz w:val="28"/>
          <w:szCs w:val="28"/>
        </w:rPr>
      </w:pPr>
      <w:r w:rsidRPr="00C462F2">
        <w:rPr>
          <w:iCs/>
          <w:sz w:val="28"/>
          <w:szCs w:val="28"/>
          <w:lang w:val="en-US"/>
        </w:rPr>
        <w:t>V</w:t>
      </w:r>
      <w:r w:rsidRPr="00C462F2">
        <w:rPr>
          <w:iCs/>
          <w:sz w:val="28"/>
          <w:szCs w:val="28"/>
          <w:vertAlign w:val="subscript"/>
        </w:rPr>
        <w:t xml:space="preserve">стр.взн. </w:t>
      </w:r>
      <w:r w:rsidRPr="00C462F2">
        <w:rPr>
          <w:iCs/>
          <w:sz w:val="28"/>
          <w:szCs w:val="28"/>
        </w:rPr>
        <w:t xml:space="preserve">– прогнозируемый объем страховых взносов на ОПС </w:t>
      </w:r>
      <w:r w:rsidRPr="00C462F2">
        <w:rPr>
          <w:iCs/>
          <w:sz w:val="28"/>
          <w:szCs w:val="28"/>
        </w:rPr>
        <w:br/>
        <w:t>и по временной нетрудоспособности, тыс. рублей;</w:t>
      </w:r>
    </w:p>
    <w:p w:rsidR="00187324" w:rsidRPr="004B5991" w:rsidRDefault="00187324" w:rsidP="00187324">
      <w:pPr>
        <w:ind w:firstLine="709"/>
        <w:jc w:val="both"/>
        <w:rPr>
          <w:rFonts w:eastAsia="Calibri"/>
          <w:b/>
          <w:i/>
          <w:color w:val="FF0000"/>
          <w:sz w:val="28"/>
          <w:szCs w:val="28"/>
        </w:rPr>
      </w:pPr>
      <w:r w:rsidRPr="00C462F2">
        <w:rPr>
          <w:rFonts w:eastAsia="Calibri"/>
          <w:sz w:val="28"/>
          <w:szCs w:val="28"/>
          <w:lang w:val="en-US"/>
        </w:rPr>
        <w:t>K</w:t>
      </w:r>
      <w:r w:rsidRPr="00C462F2">
        <w:rPr>
          <w:rFonts w:eastAsia="Calibri"/>
          <w:sz w:val="28"/>
          <w:szCs w:val="28"/>
          <w:vertAlign w:val="subscript"/>
        </w:rPr>
        <w:t>соб.</w:t>
      </w:r>
      <w:r w:rsidRPr="00C462F2">
        <w:rPr>
          <w:rFonts w:eastAsia="Calibri"/>
          <w:sz w:val="28"/>
          <w:szCs w:val="28"/>
        </w:rPr>
        <w:t xml:space="preserve">– </w:t>
      </w:r>
      <w:r w:rsidRPr="00C462F2">
        <w:rPr>
          <w:rFonts w:eastAsia="Calibri"/>
          <w:bCs/>
          <w:sz w:val="28"/>
          <w:szCs w:val="28"/>
        </w:rPr>
        <w:t>расчётный уровень собираемости</w:t>
      </w:r>
      <w:r>
        <w:rPr>
          <w:rFonts w:eastAsia="Calibri"/>
          <w:bCs/>
          <w:sz w:val="28"/>
          <w:szCs w:val="28"/>
        </w:rPr>
        <w:t xml:space="preserve"> на уровне фактически сложившегося в </w:t>
      </w:r>
      <w:r w:rsidRPr="00C462F2">
        <w:rPr>
          <w:rFonts w:eastAsia="Calibri"/>
          <w:bCs/>
          <w:sz w:val="28"/>
          <w:szCs w:val="28"/>
        </w:rPr>
        <w:t>2020 год</w:t>
      </w:r>
      <w:r>
        <w:rPr>
          <w:rFonts w:eastAsia="Calibri"/>
          <w:bCs/>
          <w:sz w:val="28"/>
          <w:szCs w:val="28"/>
        </w:rPr>
        <w:t>у</w:t>
      </w:r>
      <w:r w:rsidRPr="00C462F2">
        <w:rPr>
          <w:rFonts w:eastAsia="Calibri"/>
          <w:bCs/>
          <w:sz w:val="28"/>
          <w:szCs w:val="28"/>
        </w:rPr>
        <w:t xml:space="preserve"> (по форме № 1-НМ как частное от деления суммы поступившего налога на сумму начисленного налога</w:t>
      </w:r>
      <w:r>
        <w:rPr>
          <w:rFonts w:eastAsia="Calibri"/>
          <w:bCs/>
          <w:sz w:val="28"/>
          <w:szCs w:val="28"/>
        </w:rPr>
        <w:t xml:space="preserve"> – 105,6%</w:t>
      </w:r>
      <w:r w:rsidRPr="00C462F2">
        <w:rPr>
          <w:rFonts w:eastAsia="Calibri"/>
          <w:bCs/>
          <w:sz w:val="28"/>
          <w:szCs w:val="28"/>
        </w:rPr>
        <w:t>)</w:t>
      </w:r>
      <w:r>
        <w:rPr>
          <w:rFonts w:eastAsia="Calibri"/>
          <w:bCs/>
          <w:sz w:val="28"/>
          <w:szCs w:val="28"/>
        </w:rPr>
        <w:t>;</w:t>
      </w:r>
    </w:p>
    <w:p w:rsidR="00187324" w:rsidRPr="00C462F2" w:rsidRDefault="00187324" w:rsidP="00187324">
      <w:pPr>
        <w:ind w:firstLine="709"/>
        <w:jc w:val="both"/>
        <w:rPr>
          <w:rFonts w:eastAsia="Calibri"/>
          <w:sz w:val="28"/>
          <w:szCs w:val="28"/>
        </w:rPr>
      </w:pPr>
      <w:r w:rsidRPr="00C462F2">
        <w:rPr>
          <w:rFonts w:eastAsia="Calibri"/>
          <w:sz w:val="28"/>
          <w:szCs w:val="28"/>
        </w:rPr>
        <w:lastRenderedPageBreak/>
        <w:t>F</w:t>
      </w:r>
      <w:r w:rsidRPr="00C462F2">
        <w:rPr>
          <w:rFonts w:eastAsia="Calibri"/>
          <w:i/>
          <w:sz w:val="28"/>
          <w:szCs w:val="28"/>
        </w:rPr>
        <w:t>–</w:t>
      </w:r>
      <w:r w:rsidRPr="00C462F2">
        <w:rPr>
          <w:rFonts w:eastAsia="Calibri"/>
          <w:sz w:val="28"/>
          <w:szCs w:val="28"/>
        </w:rPr>
        <w:t>корректирующая сумма поступлений (возвратов), которые привели к</w:t>
      </w:r>
      <w:r>
        <w:rPr>
          <w:rFonts w:eastAsia="Calibri"/>
          <w:sz w:val="28"/>
          <w:szCs w:val="28"/>
        </w:rPr>
        <w:t> </w:t>
      </w:r>
      <w:r w:rsidRPr="00C462F2">
        <w:rPr>
          <w:rFonts w:eastAsia="Calibri"/>
          <w:sz w:val="28"/>
          <w:szCs w:val="28"/>
        </w:rPr>
        <w:t>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w:t>
      </w:r>
      <w:r>
        <w:rPr>
          <w:rFonts w:eastAsia="Calibri"/>
          <w:sz w:val="28"/>
          <w:szCs w:val="28"/>
        </w:rPr>
        <w:t> </w:t>
      </w:r>
      <w:r w:rsidRPr="00C462F2">
        <w:rPr>
          <w:rFonts w:eastAsia="Calibri"/>
          <w:sz w:val="28"/>
          <w:szCs w:val="28"/>
        </w:rPr>
        <w:t>очередной финансовый год и плановый период исходя из ретроспективных данных, тыс. рублей.</w:t>
      </w:r>
    </w:p>
    <w:p w:rsidR="00187324" w:rsidRPr="00C462F2" w:rsidRDefault="00187324" w:rsidP="00187324">
      <w:pPr>
        <w:ind w:firstLine="709"/>
        <w:jc w:val="both"/>
        <w:rPr>
          <w:rFonts w:eastAsia="Calibri"/>
          <w:sz w:val="28"/>
          <w:szCs w:val="28"/>
        </w:rPr>
      </w:pPr>
      <w:r w:rsidRPr="00C462F2">
        <w:rPr>
          <w:rFonts w:eastAsia="Calibri"/>
          <w:sz w:val="28"/>
          <w:szCs w:val="28"/>
        </w:rPr>
        <w:t>Корректирующая сумма поступлений учитывает:</w:t>
      </w:r>
    </w:p>
    <w:p w:rsidR="00187324" w:rsidRPr="00C462F2" w:rsidRDefault="00187324" w:rsidP="00187324">
      <w:pPr>
        <w:ind w:firstLine="709"/>
        <w:jc w:val="both"/>
        <w:rPr>
          <w:rFonts w:eastAsia="Calibri"/>
          <w:sz w:val="28"/>
          <w:szCs w:val="28"/>
        </w:rPr>
      </w:pPr>
      <w:r w:rsidRPr="00C462F2">
        <w:rPr>
          <w:rFonts w:eastAsia="Calibri"/>
          <w:sz w:val="28"/>
          <w:szCs w:val="28"/>
        </w:rPr>
        <w:t>F 1 –не заложена в расчете</w:t>
      </w:r>
      <w:r w:rsidRPr="009464EB">
        <w:rPr>
          <w:rFonts w:eastAsia="Calibri"/>
          <w:sz w:val="28"/>
          <w:szCs w:val="28"/>
        </w:rPr>
        <w:t xml:space="preserve"> </w:t>
      </w:r>
      <w:r w:rsidRPr="00C462F2">
        <w:rPr>
          <w:rFonts w:eastAsia="Calibri"/>
          <w:sz w:val="28"/>
          <w:szCs w:val="28"/>
        </w:rPr>
        <w:t xml:space="preserve">УФНС; </w:t>
      </w:r>
    </w:p>
    <w:p w:rsidR="00187324" w:rsidRPr="00C462F2" w:rsidRDefault="00187324" w:rsidP="00187324">
      <w:pPr>
        <w:ind w:firstLine="709"/>
        <w:jc w:val="both"/>
        <w:rPr>
          <w:rFonts w:eastAsia="Calibri"/>
          <w:sz w:val="28"/>
          <w:szCs w:val="28"/>
        </w:rPr>
      </w:pPr>
      <w:r w:rsidRPr="00C462F2">
        <w:rPr>
          <w:rFonts w:eastAsia="Calibri"/>
          <w:sz w:val="28"/>
          <w:szCs w:val="28"/>
        </w:rPr>
        <w:t>F 2 – учитывает динамику поступлений в отдельных муниципальных образованиях в текущем периоде (превышение фактических поступлений от</w:t>
      </w:r>
      <w:r>
        <w:rPr>
          <w:rFonts w:eastAsia="Calibri"/>
          <w:sz w:val="28"/>
          <w:szCs w:val="28"/>
        </w:rPr>
        <w:t> </w:t>
      </w:r>
      <w:r w:rsidRPr="00C462F2">
        <w:rPr>
          <w:rFonts w:eastAsia="Calibri"/>
          <w:sz w:val="28"/>
          <w:szCs w:val="28"/>
        </w:rPr>
        <w:t>оценки), рассчитанную с учетом сроков уплаты налога и собираемости. Сложившаяся динамика поступлений по этим муниципальным образованиям сохранена на весь прогнозируемый период (корректирующая сумма предыдущего периода проиндексирована на темп роста налоговой базы).</w:t>
      </w:r>
    </w:p>
    <w:p w:rsidR="00187324" w:rsidRDefault="00187324" w:rsidP="00187324">
      <w:pPr>
        <w:ind w:firstLine="709"/>
        <w:jc w:val="both"/>
        <w:rPr>
          <w:rFonts w:eastAsia="Calibri"/>
          <w:sz w:val="28"/>
          <w:szCs w:val="28"/>
        </w:rPr>
      </w:pPr>
      <w:r w:rsidRPr="000357A4">
        <w:rPr>
          <w:rFonts w:eastAsia="Calibri"/>
          <w:sz w:val="28"/>
          <w:szCs w:val="28"/>
        </w:rPr>
        <w:t>Прогнозируемый объем налоговой базы по УСН, уплачиваемого при</w:t>
      </w:r>
      <w:r>
        <w:rPr>
          <w:rFonts w:eastAsia="Calibri"/>
          <w:sz w:val="28"/>
          <w:szCs w:val="28"/>
        </w:rPr>
        <w:t> </w:t>
      </w:r>
      <w:r w:rsidRPr="000357A4">
        <w:rPr>
          <w:rFonts w:eastAsia="Calibri"/>
          <w:sz w:val="28"/>
          <w:szCs w:val="28"/>
        </w:rPr>
        <w:t>использовании в качестве объекта налогообложения доходы (V</w:t>
      </w:r>
      <w:r w:rsidRPr="00532FAE">
        <w:rPr>
          <w:rFonts w:eastAsia="Calibri"/>
          <w:sz w:val="28"/>
          <w:szCs w:val="28"/>
          <w:vertAlign w:val="subscript"/>
        </w:rPr>
        <w:t>нб1пп</w:t>
      </w:r>
      <w:r w:rsidRPr="000357A4">
        <w:rPr>
          <w:rFonts w:eastAsia="Calibri"/>
          <w:sz w:val="28"/>
          <w:szCs w:val="28"/>
        </w:rPr>
        <w:t>), рассчитывается на основе налоговой базы предыдущего периода и</w:t>
      </w:r>
      <w:r>
        <w:rPr>
          <w:rFonts w:eastAsia="Calibri"/>
          <w:sz w:val="28"/>
          <w:szCs w:val="28"/>
        </w:rPr>
        <w:t> </w:t>
      </w:r>
      <w:r w:rsidRPr="000357A4">
        <w:rPr>
          <w:rFonts w:eastAsia="Calibri"/>
          <w:sz w:val="28"/>
          <w:szCs w:val="28"/>
        </w:rPr>
        <w:t>прогнозируемого темпа налоговой базы по данным Министерства экономического развития Тверской области по следующей формуле:</w:t>
      </w:r>
    </w:p>
    <w:p w:rsidR="00187324" w:rsidRPr="00DD2BBF" w:rsidRDefault="00187324" w:rsidP="00187324">
      <w:pPr>
        <w:ind w:firstLine="709"/>
        <w:jc w:val="center"/>
        <w:rPr>
          <w:b/>
          <w:i/>
          <w:iCs/>
          <w:snapToGrid w:val="0"/>
          <w:color w:val="000000"/>
          <w:szCs w:val="28"/>
        </w:rPr>
      </w:pPr>
      <w:r w:rsidRPr="00DD2BBF">
        <w:rPr>
          <w:b/>
          <w:i/>
          <w:iCs/>
          <w:snapToGrid w:val="0"/>
          <w:color w:val="000000"/>
          <w:szCs w:val="28"/>
          <w:lang w:val="en-US"/>
        </w:rPr>
        <w:t>V</w:t>
      </w:r>
      <w:r w:rsidRPr="00DD2BBF">
        <w:rPr>
          <w:b/>
          <w:i/>
          <w:iCs/>
          <w:snapToGrid w:val="0"/>
          <w:color w:val="000000"/>
          <w:szCs w:val="28"/>
        </w:rPr>
        <w:t>нб1</w:t>
      </w:r>
      <w:r w:rsidRPr="00DD2BBF">
        <w:rPr>
          <w:b/>
          <w:i/>
          <w:iCs/>
          <w:snapToGrid w:val="0"/>
          <w:color w:val="000000"/>
          <w:szCs w:val="28"/>
          <w:vertAlign w:val="subscript"/>
        </w:rPr>
        <w:t>пп</w:t>
      </w:r>
      <w:r w:rsidRPr="00DD2BBF">
        <w:rPr>
          <w:b/>
          <w:iCs/>
          <w:snapToGrid w:val="0"/>
          <w:color w:val="000000"/>
          <w:szCs w:val="28"/>
        </w:rPr>
        <w:t xml:space="preserve"> = </w:t>
      </w:r>
      <w:r w:rsidRPr="00DD2BBF">
        <w:rPr>
          <w:b/>
          <w:i/>
          <w:iCs/>
          <w:snapToGrid w:val="0"/>
          <w:color w:val="000000"/>
          <w:szCs w:val="28"/>
          <w:lang w:val="en-US"/>
        </w:rPr>
        <w:t>V</w:t>
      </w:r>
      <w:r w:rsidRPr="00DD2BBF">
        <w:rPr>
          <w:b/>
          <w:i/>
          <w:iCs/>
          <w:snapToGrid w:val="0"/>
          <w:color w:val="000000"/>
          <w:szCs w:val="28"/>
        </w:rPr>
        <w:t>нб1</w:t>
      </w:r>
      <w:r w:rsidRPr="00DD2BBF">
        <w:rPr>
          <w:b/>
          <w:i/>
          <w:iCs/>
          <w:snapToGrid w:val="0"/>
          <w:color w:val="000000"/>
          <w:szCs w:val="28"/>
          <w:vertAlign w:val="subscript"/>
        </w:rPr>
        <w:t>пр.п</w:t>
      </w:r>
      <w:r w:rsidRPr="00DD2BBF">
        <w:rPr>
          <w:b/>
          <w:i/>
          <w:iCs/>
          <w:snapToGrid w:val="0"/>
          <w:color w:val="000000"/>
          <w:szCs w:val="28"/>
        </w:rPr>
        <w:t xml:space="preserve"> * </w:t>
      </w:r>
      <w:r w:rsidRPr="00DD2BBF">
        <w:rPr>
          <w:b/>
          <w:i/>
          <w:iCs/>
          <w:snapToGrid w:val="0"/>
          <w:color w:val="000000"/>
          <w:szCs w:val="28"/>
          <w:lang w:val="en-US"/>
        </w:rPr>
        <w:t>T</w:t>
      </w:r>
      <w:r w:rsidRPr="00DD2BBF">
        <w:rPr>
          <w:b/>
          <w:i/>
          <w:iCs/>
          <w:snapToGrid w:val="0"/>
          <w:color w:val="000000"/>
          <w:szCs w:val="28"/>
        </w:rPr>
        <w:t xml:space="preserve"> </w:t>
      </w:r>
      <w:r w:rsidRPr="00DD2BBF">
        <w:rPr>
          <w:b/>
          <w:i/>
          <w:iCs/>
          <w:snapToGrid w:val="0"/>
          <w:color w:val="000000"/>
          <w:szCs w:val="28"/>
          <w:vertAlign w:val="subscript"/>
        </w:rPr>
        <w:t>дох.п.п</w:t>
      </w:r>
      <w:r w:rsidRPr="00DD2BBF">
        <w:rPr>
          <w:b/>
          <w:i/>
          <w:iCs/>
          <w:snapToGrid w:val="0"/>
          <w:color w:val="000000"/>
          <w:szCs w:val="28"/>
        </w:rPr>
        <w:t>,</w:t>
      </w:r>
    </w:p>
    <w:p w:rsidR="00187324" w:rsidRPr="000357A4" w:rsidRDefault="00187324" w:rsidP="00187324">
      <w:pPr>
        <w:ind w:firstLine="709"/>
        <w:jc w:val="both"/>
        <w:rPr>
          <w:rFonts w:eastAsia="Calibri"/>
          <w:sz w:val="28"/>
          <w:szCs w:val="28"/>
        </w:rPr>
      </w:pPr>
      <w:r w:rsidRPr="000357A4">
        <w:rPr>
          <w:rFonts w:eastAsia="Calibri"/>
          <w:sz w:val="28"/>
          <w:szCs w:val="28"/>
        </w:rPr>
        <w:t>где</w:t>
      </w:r>
    </w:p>
    <w:p w:rsidR="00187324" w:rsidRPr="000357A4" w:rsidRDefault="00187324" w:rsidP="00187324">
      <w:pPr>
        <w:ind w:firstLine="709"/>
        <w:jc w:val="both"/>
        <w:rPr>
          <w:rFonts w:eastAsia="Calibri"/>
          <w:sz w:val="28"/>
          <w:szCs w:val="28"/>
        </w:rPr>
      </w:pPr>
      <w:r w:rsidRPr="000357A4">
        <w:rPr>
          <w:b/>
          <w:iCs/>
          <w:snapToGrid w:val="0"/>
          <w:sz w:val="28"/>
          <w:szCs w:val="28"/>
          <w:lang w:val="en-US"/>
        </w:rPr>
        <w:t>V</w:t>
      </w:r>
      <w:r w:rsidRPr="000357A4">
        <w:rPr>
          <w:b/>
          <w:iCs/>
          <w:snapToGrid w:val="0"/>
          <w:sz w:val="28"/>
          <w:szCs w:val="28"/>
        </w:rPr>
        <w:t>нб1</w:t>
      </w:r>
      <w:r w:rsidRPr="000357A4">
        <w:rPr>
          <w:b/>
          <w:iCs/>
          <w:snapToGrid w:val="0"/>
          <w:sz w:val="28"/>
          <w:szCs w:val="28"/>
          <w:vertAlign w:val="subscript"/>
        </w:rPr>
        <w:t>пр.п</w:t>
      </w:r>
      <w:r w:rsidRPr="000357A4">
        <w:rPr>
          <w:b/>
          <w:i/>
          <w:iCs/>
          <w:snapToGrid w:val="0"/>
          <w:sz w:val="28"/>
          <w:szCs w:val="28"/>
        </w:rPr>
        <w:t xml:space="preserve"> </w:t>
      </w:r>
      <w:r w:rsidRPr="000357A4">
        <w:rPr>
          <w:rFonts w:eastAsia="Calibri"/>
          <w:sz w:val="28"/>
          <w:szCs w:val="28"/>
        </w:rPr>
        <w:t>– налоговая база предыдущего периода по УСН</w:t>
      </w:r>
      <w:r w:rsidRPr="000357A4">
        <w:rPr>
          <w:rFonts w:eastAsia="Calibri"/>
          <w:sz w:val="28"/>
          <w:szCs w:val="28"/>
          <w:vertAlign w:val="subscript"/>
        </w:rPr>
        <w:t>1</w:t>
      </w:r>
      <w:r w:rsidRPr="000357A4">
        <w:rPr>
          <w:rFonts w:eastAsia="Calibri"/>
          <w:sz w:val="28"/>
          <w:szCs w:val="28"/>
        </w:rPr>
        <w:t>, тыс. рублей;</w:t>
      </w:r>
    </w:p>
    <w:p w:rsidR="00187324" w:rsidRPr="000357A4" w:rsidRDefault="00187324" w:rsidP="00187324">
      <w:pPr>
        <w:ind w:firstLine="709"/>
        <w:jc w:val="both"/>
        <w:rPr>
          <w:iCs/>
          <w:snapToGrid w:val="0"/>
          <w:sz w:val="28"/>
          <w:szCs w:val="28"/>
        </w:rPr>
      </w:pPr>
      <w:r w:rsidRPr="000357A4">
        <w:rPr>
          <w:b/>
          <w:iCs/>
          <w:snapToGrid w:val="0"/>
          <w:sz w:val="28"/>
          <w:szCs w:val="28"/>
          <w:lang w:val="en-US"/>
        </w:rPr>
        <w:t>T</w:t>
      </w:r>
      <w:r w:rsidRPr="000357A4">
        <w:rPr>
          <w:b/>
          <w:iCs/>
          <w:snapToGrid w:val="0"/>
          <w:sz w:val="28"/>
          <w:szCs w:val="28"/>
          <w:vertAlign w:val="subscript"/>
        </w:rPr>
        <w:t>дох.п.п</w:t>
      </w:r>
      <w:r w:rsidRPr="000357A4">
        <w:rPr>
          <w:b/>
          <w:iCs/>
          <w:snapToGrid w:val="0"/>
          <w:sz w:val="28"/>
          <w:szCs w:val="28"/>
        </w:rPr>
        <w:t xml:space="preserve"> – </w:t>
      </w:r>
      <w:r w:rsidRPr="000357A4">
        <w:rPr>
          <w:iCs/>
          <w:snapToGrid w:val="0"/>
          <w:sz w:val="28"/>
          <w:szCs w:val="28"/>
        </w:rPr>
        <w:t>темп налоговой базы (объект налогообложения – «доходы») по</w:t>
      </w:r>
      <w:r>
        <w:rPr>
          <w:iCs/>
          <w:snapToGrid w:val="0"/>
          <w:sz w:val="28"/>
          <w:szCs w:val="28"/>
        </w:rPr>
        <w:t> </w:t>
      </w:r>
      <w:r w:rsidRPr="000357A4">
        <w:rPr>
          <w:iCs/>
          <w:snapToGrid w:val="0"/>
          <w:sz w:val="28"/>
          <w:szCs w:val="28"/>
        </w:rPr>
        <w:t>данным Министерства экономического развития Тверской области.</w:t>
      </w:r>
    </w:p>
    <w:p w:rsidR="00187324" w:rsidRPr="00F93B76" w:rsidRDefault="00187324" w:rsidP="00187324">
      <w:pPr>
        <w:ind w:firstLine="709"/>
        <w:jc w:val="both"/>
        <w:rPr>
          <w:sz w:val="28"/>
          <w:szCs w:val="28"/>
        </w:rPr>
      </w:pPr>
      <w:r w:rsidRPr="00F93B76">
        <w:rPr>
          <w:sz w:val="28"/>
          <w:szCs w:val="28"/>
        </w:rPr>
        <w:t>Прогнозируемый объем страховых взносов на ОПС и по временной нетрудоспособности (</w:t>
      </w:r>
      <w:r w:rsidRPr="00F93B76">
        <w:rPr>
          <w:iCs/>
          <w:sz w:val="28"/>
          <w:szCs w:val="28"/>
          <w:lang w:val="en-US"/>
        </w:rPr>
        <w:t>V</w:t>
      </w:r>
      <w:r w:rsidRPr="00F93B76">
        <w:rPr>
          <w:iCs/>
          <w:sz w:val="28"/>
          <w:szCs w:val="28"/>
          <w:vertAlign w:val="subscript"/>
        </w:rPr>
        <w:t>стр.взн.</w:t>
      </w:r>
      <w:r w:rsidRPr="00F93B76">
        <w:rPr>
          <w:iCs/>
          <w:sz w:val="28"/>
          <w:szCs w:val="28"/>
        </w:rPr>
        <w:t xml:space="preserve">) </w:t>
      </w:r>
      <w:r w:rsidRPr="00F93B76">
        <w:rPr>
          <w:sz w:val="28"/>
          <w:szCs w:val="28"/>
        </w:rPr>
        <w:t>рассчитывается на основе суммы страховых взносов предыдущего периода исходя из ее доли в сумме исчисленного налога по следующей формуле:</w:t>
      </w:r>
    </w:p>
    <w:p w:rsidR="00187324" w:rsidRPr="00F93B76" w:rsidRDefault="00187324" w:rsidP="00187324">
      <w:pPr>
        <w:ind w:firstLine="709"/>
        <w:jc w:val="both"/>
        <w:rPr>
          <w:sz w:val="28"/>
          <w:szCs w:val="28"/>
        </w:rPr>
      </w:pPr>
    </w:p>
    <w:p w:rsidR="00187324" w:rsidRPr="00F93B76" w:rsidRDefault="00187324" w:rsidP="00187324">
      <w:pPr>
        <w:ind w:firstLine="709"/>
        <w:jc w:val="center"/>
        <w:rPr>
          <w:sz w:val="28"/>
          <w:szCs w:val="28"/>
        </w:rPr>
      </w:pPr>
      <w:r w:rsidRPr="00F93B76">
        <w:rPr>
          <w:b/>
          <w:iCs/>
          <w:sz w:val="28"/>
          <w:szCs w:val="28"/>
          <w:lang w:val="en-US"/>
        </w:rPr>
        <w:t>V</w:t>
      </w:r>
      <w:r w:rsidRPr="00F93B76">
        <w:rPr>
          <w:b/>
          <w:iCs/>
          <w:sz w:val="28"/>
          <w:szCs w:val="28"/>
          <w:vertAlign w:val="subscript"/>
        </w:rPr>
        <w:t xml:space="preserve">стр.взн. </w:t>
      </w:r>
      <w:r w:rsidRPr="00F93B76">
        <w:rPr>
          <w:b/>
          <w:iCs/>
          <w:sz w:val="28"/>
          <w:szCs w:val="28"/>
        </w:rPr>
        <w:t>= [</w:t>
      </w:r>
      <w:r w:rsidRPr="00F93B76">
        <w:rPr>
          <w:b/>
          <w:i/>
          <w:iCs/>
          <w:sz w:val="28"/>
          <w:szCs w:val="28"/>
          <w:lang w:val="en-US"/>
        </w:rPr>
        <w:t>V</w:t>
      </w:r>
      <w:r w:rsidRPr="00F93B76">
        <w:rPr>
          <w:b/>
          <w:i/>
          <w:iCs/>
          <w:sz w:val="28"/>
          <w:szCs w:val="28"/>
        </w:rPr>
        <w:t>нб1</w:t>
      </w:r>
      <w:r w:rsidRPr="00F93B76">
        <w:rPr>
          <w:b/>
          <w:i/>
          <w:iCs/>
          <w:sz w:val="28"/>
          <w:szCs w:val="28"/>
          <w:vertAlign w:val="subscript"/>
        </w:rPr>
        <w:t>пп</w:t>
      </w:r>
      <w:r w:rsidRPr="00F93B76">
        <w:rPr>
          <w:b/>
          <w:iCs/>
          <w:sz w:val="28"/>
          <w:szCs w:val="28"/>
        </w:rPr>
        <w:t xml:space="preserve"> * (</w:t>
      </w:r>
      <w:r w:rsidRPr="00F93B76">
        <w:rPr>
          <w:b/>
          <w:iCs/>
          <w:sz w:val="28"/>
          <w:szCs w:val="28"/>
          <w:lang w:val="en-US"/>
        </w:rPr>
        <w:t>S</w:t>
      </w:r>
      <w:r w:rsidRPr="00F93B76">
        <w:rPr>
          <w:b/>
          <w:iCs/>
          <w:sz w:val="28"/>
          <w:szCs w:val="28"/>
        </w:rPr>
        <w:t xml:space="preserve"> / 100)] * (</w:t>
      </w:r>
      <w:r w:rsidRPr="00F93B76">
        <w:rPr>
          <w:b/>
          <w:iCs/>
          <w:sz w:val="28"/>
          <w:szCs w:val="28"/>
          <w:lang w:val="en-US"/>
        </w:rPr>
        <w:t>V</w:t>
      </w:r>
      <w:r w:rsidRPr="00F93B76">
        <w:rPr>
          <w:b/>
          <w:iCs/>
          <w:sz w:val="28"/>
          <w:szCs w:val="28"/>
          <w:vertAlign w:val="subscript"/>
        </w:rPr>
        <w:t>стр.взн.</w:t>
      </w:r>
      <w:r w:rsidRPr="00F93B76">
        <w:rPr>
          <w:b/>
          <w:iCs/>
          <w:sz w:val="28"/>
          <w:szCs w:val="28"/>
        </w:rPr>
        <w:t>.</w:t>
      </w:r>
      <w:r w:rsidRPr="00F93B76">
        <w:rPr>
          <w:b/>
          <w:iCs/>
          <w:sz w:val="28"/>
          <w:szCs w:val="28"/>
          <w:vertAlign w:val="subscript"/>
        </w:rPr>
        <w:t>пр.п</w:t>
      </w:r>
      <w:r w:rsidRPr="00F93B76">
        <w:rPr>
          <w:b/>
          <w:iCs/>
          <w:sz w:val="28"/>
          <w:szCs w:val="28"/>
        </w:rPr>
        <w:t xml:space="preserve"> / </w:t>
      </w:r>
      <w:r w:rsidRPr="00F93B76">
        <w:rPr>
          <w:b/>
          <w:iCs/>
          <w:sz w:val="28"/>
          <w:szCs w:val="28"/>
          <w:lang w:val="en-US"/>
        </w:rPr>
        <w:t>I</w:t>
      </w:r>
      <w:r w:rsidRPr="00F93B76">
        <w:rPr>
          <w:b/>
          <w:iCs/>
          <w:sz w:val="28"/>
          <w:szCs w:val="28"/>
          <w:vertAlign w:val="subscript"/>
        </w:rPr>
        <w:t>исч.пр.п</w:t>
      </w:r>
      <w:r w:rsidRPr="00F93B76">
        <w:rPr>
          <w:b/>
          <w:iCs/>
          <w:sz w:val="28"/>
          <w:szCs w:val="28"/>
        </w:rPr>
        <w:t>)</w:t>
      </w:r>
    </w:p>
    <w:p w:rsidR="00187324" w:rsidRPr="00F93B76" w:rsidRDefault="00187324" w:rsidP="00187324">
      <w:pPr>
        <w:ind w:firstLine="709"/>
        <w:jc w:val="both"/>
        <w:rPr>
          <w:sz w:val="28"/>
          <w:szCs w:val="28"/>
        </w:rPr>
      </w:pPr>
    </w:p>
    <w:p w:rsidR="00187324" w:rsidRPr="00F93B76" w:rsidRDefault="00187324" w:rsidP="00187324">
      <w:pPr>
        <w:ind w:firstLine="709"/>
        <w:jc w:val="both"/>
        <w:rPr>
          <w:iCs/>
          <w:sz w:val="28"/>
          <w:szCs w:val="28"/>
        </w:rPr>
      </w:pPr>
      <w:r w:rsidRPr="00F93B76">
        <w:rPr>
          <w:iCs/>
          <w:sz w:val="28"/>
          <w:szCs w:val="28"/>
          <w:lang w:val="en-US"/>
        </w:rPr>
        <w:t>V</w:t>
      </w:r>
      <w:r w:rsidRPr="00F93B76">
        <w:rPr>
          <w:iCs/>
          <w:sz w:val="28"/>
          <w:szCs w:val="28"/>
          <w:vertAlign w:val="subscript"/>
        </w:rPr>
        <w:t>стр.взн.</w:t>
      </w:r>
      <w:r w:rsidRPr="00F93B76">
        <w:rPr>
          <w:iCs/>
          <w:sz w:val="28"/>
          <w:szCs w:val="28"/>
        </w:rPr>
        <w:t>.</w:t>
      </w:r>
      <w:r w:rsidRPr="00F93B76">
        <w:rPr>
          <w:iCs/>
          <w:sz w:val="28"/>
          <w:szCs w:val="28"/>
          <w:vertAlign w:val="subscript"/>
        </w:rPr>
        <w:t>пр.п</w:t>
      </w:r>
      <w:r w:rsidRPr="00F93B76">
        <w:rPr>
          <w:iCs/>
          <w:sz w:val="28"/>
          <w:szCs w:val="28"/>
        </w:rPr>
        <w:t xml:space="preserve"> – сумма страховых взносов на ОПС и по временной нетрудоспособности за предыдущий период, тыс. рублей;</w:t>
      </w:r>
    </w:p>
    <w:p w:rsidR="00187324" w:rsidRPr="00F93B76" w:rsidRDefault="00187324" w:rsidP="00187324">
      <w:pPr>
        <w:ind w:firstLine="709"/>
        <w:jc w:val="both"/>
        <w:rPr>
          <w:sz w:val="28"/>
          <w:szCs w:val="28"/>
        </w:rPr>
      </w:pPr>
      <w:r w:rsidRPr="00F93B76">
        <w:rPr>
          <w:iCs/>
          <w:sz w:val="28"/>
          <w:szCs w:val="28"/>
          <w:lang w:val="en-US"/>
        </w:rPr>
        <w:t>I</w:t>
      </w:r>
      <w:r w:rsidRPr="00F93B76">
        <w:rPr>
          <w:iCs/>
          <w:sz w:val="28"/>
          <w:szCs w:val="28"/>
        </w:rPr>
        <w:t xml:space="preserve"> исч.пр.п – сумма исчисленного налога за предыдущий период, </w:t>
      </w:r>
      <w:r w:rsidRPr="00F93B76">
        <w:rPr>
          <w:iCs/>
          <w:sz w:val="28"/>
          <w:szCs w:val="28"/>
        </w:rPr>
        <w:br/>
        <w:t>тыс. рублей.</w:t>
      </w:r>
    </w:p>
    <w:p w:rsidR="00187324" w:rsidRPr="004B5991" w:rsidRDefault="00187324" w:rsidP="00187324">
      <w:pPr>
        <w:ind w:firstLine="709"/>
        <w:jc w:val="both"/>
        <w:rPr>
          <w:color w:val="FF0000"/>
          <w:sz w:val="28"/>
          <w:szCs w:val="28"/>
          <w:highlight w:val="red"/>
        </w:rPr>
      </w:pPr>
    </w:p>
    <w:p w:rsidR="00187324" w:rsidRPr="00CB338C" w:rsidRDefault="00187324" w:rsidP="00187324">
      <w:pPr>
        <w:ind w:firstLine="709"/>
        <w:jc w:val="both"/>
        <w:rPr>
          <w:rStyle w:val="FontStyle82"/>
          <w:iCs/>
          <w:sz w:val="28"/>
          <w:szCs w:val="28"/>
        </w:rPr>
      </w:pPr>
      <w:r w:rsidRPr="00CB338C">
        <w:rPr>
          <w:rStyle w:val="FontStyle82"/>
          <w:iCs/>
          <w:sz w:val="28"/>
          <w:szCs w:val="28"/>
        </w:rPr>
        <w:t>Расчет прогноза поступления налога УСН, уплачиваемого при</w:t>
      </w:r>
      <w:r>
        <w:rPr>
          <w:rStyle w:val="FontStyle82"/>
          <w:iCs/>
          <w:sz w:val="28"/>
          <w:szCs w:val="28"/>
        </w:rPr>
        <w:t> </w:t>
      </w:r>
      <w:r w:rsidRPr="00CB338C">
        <w:rPr>
          <w:rStyle w:val="FontStyle82"/>
          <w:iCs/>
          <w:sz w:val="28"/>
          <w:szCs w:val="28"/>
        </w:rPr>
        <w:t xml:space="preserve">использовании в качестве объекта налогообложения доходы, представлен </w:t>
      </w:r>
      <w:r w:rsidRPr="00CB338C">
        <w:rPr>
          <w:rStyle w:val="FontStyle82"/>
          <w:iCs/>
          <w:sz w:val="28"/>
          <w:szCs w:val="28"/>
        </w:rPr>
        <w:br/>
        <w:t>в таблице 1.</w:t>
      </w:r>
    </w:p>
    <w:p w:rsidR="00187324" w:rsidRPr="004B5991" w:rsidRDefault="00187324" w:rsidP="00187324">
      <w:pPr>
        <w:ind w:firstLine="709"/>
        <w:jc w:val="right"/>
        <w:rPr>
          <w:rStyle w:val="FontStyle82"/>
          <w:iCs/>
          <w:color w:val="FF0000"/>
          <w:sz w:val="28"/>
          <w:szCs w:val="28"/>
        </w:rPr>
      </w:pPr>
    </w:p>
    <w:p w:rsidR="00187324" w:rsidRPr="004B5991" w:rsidRDefault="00187324" w:rsidP="00187324">
      <w:pPr>
        <w:rPr>
          <w:rStyle w:val="FontStyle82"/>
          <w:iCs/>
          <w:color w:val="FF0000"/>
          <w:sz w:val="28"/>
          <w:szCs w:val="28"/>
        </w:rPr>
      </w:pPr>
      <w:r w:rsidRPr="004B5991">
        <w:rPr>
          <w:rStyle w:val="FontStyle82"/>
          <w:iCs/>
          <w:color w:val="FF0000"/>
          <w:sz w:val="28"/>
          <w:szCs w:val="28"/>
        </w:rPr>
        <w:br w:type="page"/>
      </w:r>
    </w:p>
    <w:p w:rsidR="00187324" w:rsidRPr="00461DAC" w:rsidRDefault="00187324" w:rsidP="00187324">
      <w:pPr>
        <w:ind w:firstLine="709"/>
        <w:jc w:val="right"/>
        <w:rPr>
          <w:rStyle w:val="FontStyle82"/>
          <w:iCs/>
          <w:sz w:val="28"/>
          <w:szCs w:val="28"/>
        </w:rPr>
      </w:pPr>
      <w:r w:rsidRPr="00461DAC">
        <w:rPr>
          <w:rStyle w:val="FontStyle82"/>
          <w:iCs/>
          <w:sz w:val="28"/>
          <w:szCs w:val="28"/>
        </w:rPr>
        <w:lastRenderedPageBreak/>
        <w:t>Таблица 1</w:t>
      </w:r>
    </w:p>
    <w:p w:rsidR="00187324" w:rsidRPr="00461DAC" w:rsidRDefault="00187324" w:rsidP="00187324">
      <w:pPr>
        <w:ind w:firstLine="709"/>
        <w:jc w:val="center"/>
        <w:rPr>
          <w:rStyle w:val="FontStyle82"/>
          <w:b/>
          <w:iCs/>
          <w:sz w:val="28"/>
          <w:szCs w:val="28"/>
        </w:rPr>
      </w:pPr>
      <w:r w:rsidRPr="00461DAC">
        <w:rPr>
          <w:rStyle w:val="FontStyle82"/>
          <w:b/>
          <w:iCs/>
          <w:sz w:val="28"/>
          <w:szCs w:val="28"/>
        </w:rPr>
        <w:t xml:space="preserve">Расчет прогноза поступлений налога, взимаемого в связи </w:t>
      </w:r>
      <w:r w:rsidRPr="00461DAC">
        <w:rPr>
          <w:rStyle w:val="FontStyle82"/>
          <w:b/>
          <w:iCs/>
          <w:sz w:val="28"/>
          <w:szCs w:val="28"/>
        </w:rPr>
        <w:br/>
        <w:t>с применением упрощенной системы налогообложения УСН, уплачиваемый при использовании в качестве объекта налогообложения доходы (УСН</w:t>
      </w:r>
      <w:r w:rsidRPr="00461DAC">
        <w:rPr>
          <w:rStyle w:val="FontStyle82"/>
          <w:b/>
          <w:iCs/>
          <w:sz w:val="28"/>
          <w:szCs w:val="28"/>
          <w:vertAlign w:val="subscript"/>
        </w:rPr>
        <w:t>1</w:t>
      </w:r>
      <w:r>
        <w:rPr>
          <w:rStyle w:val="FontStyle82"/>
          <w:b/>
          <w:iCs/>
          <w:sz w:val="28"/>
          <w:szCs w:val="28"/>
        </w:rPr>
        <w:t xml:space="preserve">) </w:t>
      </w:r>
      <w:r w:rsidRPr="00461DAC">
        <w:rPr>
          <w:rStyle w:val="FontStyle82"/>
          <w:b/>
          <w:iCs/>
          <w:sz w:val="28"/>
          <w:szCs w:val="28"/>
        </w:rPr>
        <w:t>(КБК 000 1 05 01011 01 0000 110)</w:t>
      </w:r>
      <w:r>
        <w:rPr>
          <w:rStyle w:val="FontStyle82"/>
          <w:b/>
          <w:iCs/>
          <w:sz w:val="28"/>
          <w:szCs w:val="28"/>
        </w:rPr>
        <w:t>*</w:t>
      </w:r>
    </w:p>
    <w:tbl>
      <w:tblPr>
        <w:tblW w:w="5000" w:type="pct"/>
        <w:tblLook w:val="04A0" w:firstRow="1" w:lastRow="0" w:firstColumn="1" w:lastColumn="0" w:noHBand="0" w:noVBand="1"/>
      </w:tblPr>
      <w:tblGrid>
        <w:gridCol w:w="486"/>
        <w:gridCol w:w="2943"/>
        <w:gridCol w:w="1488"/>
        <w:gridCol w:w="1247"/>
        <w:gridCol w:w="1247"/>
        <w:gridCol w:w="1247"/>
        <w:gridCol w:w="1253"/>
      </w:tblGrid>
      <w:tr w:rsidR="00187324" w:rsidRPr="00461DAC" w:rsidTr="008B1D06">
        <w:trPr>
          <w:trHeight w:val="147"/>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rsidR="00187324" w:rsidRPr="00461DAC" w:rsidRDefault="00187324" w:rsidP="008B1D06">
            <w:pPr>
              <w:jc w:val="right"/>
              <w:rPr>
                <w:color w:val="000000"/>
                <w:sz w:val="20"/>
                <w:szCs w:val="20"/>
              </w:rPr>
            </w:pPr>
            <w:r>
              <w:rPr>
                <w:color w:val="000000"/>
                <w:sz w:val="20"/>
                <w:szCs w:val="20"/>
              </w:rPr>
              <w:t>тыс. руб.</w:t>
            </w:r>
          </w:p>
        </w:tc>
      </w:tr>
      <w:tr w:rsidR="00187324" w:rsidRPr="00461DAC" w:rsidTr="008B1D06">
        <w:trPr>
          <w:trHeight w:val="398"/>
        </w:trPr>
        <w:tc>
          <w:tcPr>
            <w:tcW w:w="14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87324" w:rsidRDefault="00187324" w:rsidP="008B1D06">
            <w:pPr>
              <w:jc w:val="center"/>
              <w:rPr>
                <w:color w:val="000000"/>
                <w:sz w:val="20"/>
                <w:szCs w:val="20"/>
              </w:rPr>
            </w:pPr>
            <w:r w:rsidRPr="00461DAC">
              <w:rPr>
                <w:color w:val="000000"/>
                <w:sz w:val="20"/>
                <w:szCs w:val="20"/>
              </w:rPr>
              <w:t xml:space="preserve">№ </w:t>
            </w:r>
          </w:p>
          <w:p w:rsidR="00187324" w:rsidRPr="00461DAC" w:rsidRDefault="00187324" w:rsidP="008B1D06">
            <w:pPr>
              <w:jc w:val="center"/>
              <w:rPr>
                <w:color w:val="000000"/>
                <w:sz w:val="20"/>
                <w:szCs w:val="20"/>
              </w:rPr>
            </w:pPr>
            <w:r w:rsidRPr="00461DAC">
              <w:rPr>
                <w:color w:val="000000"/>
                <w:sz w:val="20"/>
                <w:szCs w:val="20"/>
              </w:rPr>
              <w:t>п/п</w:t>
            </w:r>
          </w:p>
        </w:tc>
        <w:tc>
          <w:tcPr>
            <w:tcW w:w="1501" w:type="pct"/>
            <w:tcBorders>
              <w:top w:val="single" w:sz="4" w:space="0" w:color="000000"/>
              <w:left w:val="nil"/>
              <w:bottom w:val="single" w:sz="4" w:space="0" w:color="000000"/>
              <w:right w:val="single" w:sz="4" w:space="0" w:color="000000"/>
            </w:tcBorders>
            <w:shd w:val="clear" w:color="auto" w:fill="auto"/>
            <w:noWrap/>
            <w:vAlign w:val="center"/>
            <w:hideMark/>
          </w:tcPr>
          <w:p w:rsidR="00187324" w:rsidRPr="00461DAC" w:rsidRDefault="00187324" w:rsidP="008B1D06">
            <w:pPr>
              <w:jc w:val="center"/>
              <w:rPr>
                <w:color w:val="000000"/>
                <w:sz w:val="20"/>
                <w:szCs w:val="20"/>
              </w:rPr>
            </w:pPr>
            <w:r w:rsidRPr="00461DAC">
              <w:rPr>
                <w:color w:val="000000"/>
                <w:sz w:val="20"/>
                <w:szCs w:val="20"/>
              </w:rPr>
              <w:t>Наименование показателя</w:t>
            </w:r>
          </w:p>
        </w:tc>
        <w:tc>
          <w:tcPr>
            <w:tcW w:w="767" w:type="pct"/>
            <w:tcBorders>
              <w:top w:val="single" w:sz="4" w:space="0" w:color="000000"/>
              <w:left w:val="nil"/>
              <w:bottom w:val="single" w:sz="4" w:space="0" w:color="000000"/>
              <w:right w:val="single" w:sz="4" w:space="0" w:color="000000"/>
            </w:tcBorders>
            <w:shd w:val="clear" w:color="auto" w:fill="auto"/>
            <w:noWrap/>
            <w:vAlign w:val="center"/>
            <w:hideMark/>
          </w:tcPr>
          <w:p w:rsidR="00187324" w:rsidRDefault="00187324" w:rsidP="008B1D06">
            <w:pPr>
              <w:jc w:val="center"/>
              <w:rPr>
                <w:color w:val="000000"/>
                <w:sz w:val="20"/>
                <w:szCs w:val="20"/>
              </w:rPr>
            </w:pPr>
            <w:r w:rsidRPr="00461DAC">
              <w:rPr>
                <w:color w:val="000000"/>
                <w:sz w:val="20"/>
                <w:szCs w:val="20"/>
              </w:rPr>
              <w:t xml:space="preserve">Факт </w:t>
            </w:r>
          </w:p>
          <w:p w:rsidR="00187324" w:rsidRPr="00461DAC" w:rsidRDefault="00187324" w:rsidP="008B1D06">
            <w:pPr>
              <w:jc w:val="center"/>
              <w:rPr>
                <w:color w:val="000000"/>
                <w:sz w:val="20"/>
                <w:szCs w:val="20"/>
              </w:rPr>
            </w:pPr>
            <w:r w:rsidRPr="00461DAC">
              <w:rPr>
                <w:color w:val="000000"/>
                <w:sz w:val="20"/>
                <w:szCs w:val="20"/>
              </w:rPr>
              <w:t>2020 год</w:t>
            </w:r>
          </w:p>
        </w:tc>
        <w:tc>
          <w:tcPr>
            <w:tcW w:w="645" w:type="pct"/>
            <w:tcBorders>
              <w:top w:val="single" w:sz="4" w:space="0" w:color="000000"/>
              <w:left w:val="nil"/>
              <w:bottom w:val="single" w:sz="4" w:space="0" w:color="000000"/>
              <w:right w:val="single" w:sz="4" w:space="0" w:color="000000"/>
            </w:tcBorders>
            <w:shd w:val="clear" w:color="auto" w:fill="auto"/>
            <w:vAlign w:val="center"/>
            <w:hideMark/>
          </w:tcPr>
          <w:p w:rsidR="00187324" w:rsidRPr="00461DAC" w:rsidRDefault="00187324" w:rsidP="008B1D06">
            <w:pPr>
              <w:jc w:val="center"/>
              <w:rPr>
                <w:color w:val="000000"/>
                <w:sz w:val="20"/>
                <w:szCs w:val="20"/>
              </w:rPr>
            </w:pPr>
            <w:r w:rsidRPr="00461DAC">
              <w:rPr>
                <w:color w:val="000000"/>
                <w:sz w:val="20"/>
                <w:szCs w:val="20"/>
              </w:rPr>
              <w:t>оценка 2021 год</w:t>
            </w:r>
          </w:p>
        </w:tc>
        <w:tc>
          <w:tcPr>
            <w:tcW w:w="645" w:type="pct"/>
            <w:tcBorders>
              <w:top w:val="single" w:sz="4" w:space="0" w:color="000000"/>
              <w:left w:val="nil"/>
              <w:bottom w:val="single" w:sz="4" w:space="0" w:color="000000"/>
              <w:right w:val="single" w:sz="4" w:space="0" w:color="000000"/>
            </w:tcBorders>
            <w:shd w:val="clear" w:color="auto" w:fill="auto"/>
            <w:vAlign w:val="center"/>
            <w:hideMark/>
          </w:tcPr>
          <w:p w:rsidR="00187324" w:rsidRPr="00461DAC" w:rsidRDefault="00187324" w:rsidP="008B1D06">
            <w:pPr>
              <w:jc w:val="center"/>
              <w:rPr>
                <w:color w:val="000000"/>
                <w:sz w:val="20"/>
                <w:szCs w:val="20"/>
              </w:rPr>
            </w:pPr>
            <w:r w:rsidRPr="00461DAC">
              <w:rPr>
                <w:color w:val="000000"/>
                <w:sz w:val="20"/>
                <w:szCs w:val="20"/>
              </w:rPr>
              <w:t xml:space="preserve"> прогноз </w:t>
            </w:r>
            <w:r w:rsidRPr="00461DAC">
              <w:rPr>
                <w:color w:val="000000"/>
                <w:sz w:val="20"/>
                <w:szCs w:val="20"/>
              </w:rPr>
              <w:br/>
              <w:t>2022 год</w:t>
            </w:r>
          </w:p>
        </w:tc>
        <w:tc>
          <w:tcPr>
            <w:tcW w:w="645" w:type="pct"/>
            <w:tcBorders>
              <w:top w:val="single" w:sz="4" w:space="0" w:color="000000"/>
              <w:left w:val="nil"/>
              <w:bottom w:val="single" w:sz="4" w:space="0" w:color="000000"/>
              <w:right w:val="single" w:sz="4" w:space="0" w:color="000000"/>
            </w:tcBorders>
            <w:shd w:val="clear" w:color="auto" w:fill="auto"/>
            <w:vAlign w:val="center"/>
            <w:hideMark/>
          </w:tcPr>
          <w:p w:rsidR="00187324" w:rsidRPr="00461DAC" w:rsidRDefault="00187324" w:rsidP="008B1D06">
            <w:pPr>
              <w:jc w:val="center"/>
              <w:rPr>
                <w:color w:val="000000"/>
                <w:sz w:val="20"/>
                <w:szCs w:val="20"/>
              </w:rPr>
            </w:pPr>
            <w:r w:rsidRPr="00461DAC">
              <w:rPr>
                <w:color w:val="000000"/>
                <w:sz w:val="20"/>
                <w:szCs w:val="20"/>
              </w:rPr>
              <w:t>прогноз</w:t>
            </w:r>
            <w:r w:rsidRPr="00461DAC">
              <w:rPr>
                <w:color w:val="000000"/>
                <w:sz w:val="20"/>
                <w:szCs w:val="20"/>
              </w:rPr>
              <w:br/>
              <w:t xml:space="preserve"> 2023 год</w:t>
            </w:r>
          </w:p>
        </w:tc>
        <w:tc>
          <w:tcPr>
            <w:tcW w:w="646" w:type="pct"/>
            <w:tcBorders>
              <w:top w:val="single" w:sz="4" w:space="0" w:color="000000"/>
              <w:left w:val="nil"/>
              <w:bottom w:val="single" w:sz="4" w:space="0" w:color="000000"/>
              <w:right w:val="single" w:sz="4" w:space="0" w:color="000000"/>
            </w:tcBorders>
            <w:shd w:val="clear" w:color="auto" w:fill="auto"/>
            <w:vAlign w:val="center"/>
            <w:hideMark/>
          </w:tcPr>
          <w:p w:rsidR="00187324" w:rsidRPr="00461DAC" w:rsidRDefault="00187324" w:rsidP="008B1D06">
            <w:pPr>
              <w:jc w:val="center"/>
              <w:rPr>
                <w:color w:val="000000"/>
                <w:sz w:val="20"/>
                <w:szCs w:val="20"/>
              </w:rPr>
            </w:pPr>
            <w:r w:rsidRPr="00461DAC">
              <w:rPr>
                <w:color w:val="000000"/>
                <w:sz w:val="20"/>
                <w:szCs w:val="20"/>
              </w:rPr>
              <w:t xml:space="preserve">прогноз </w:t>
            </w:r>
            <w:r w:rsidRPr="00461DAC">
              <w:rPr>
                <w:color w:val="000000"/>
                <w:sz w:val="20"/>
                <w:szCs w:val="20"/>
              </w:rPr>
              <w:br/>
              <w:t>2024 год</w:t>
            </w:r>
          </w:p>
        </w:tc>
      </w:tr>
      <w:tr w:rsidR="00187324" w:rsidRPr="00461DAC" w:rsidTr="008B1D06">
        <w:trPr>
          <w:trHeight w:val="362"/>
        </w:trPr>
        <w:tc>
          <w:tcPr>
            <w:tcW w:w="149" w:type="pct"/>
            <w:vMerge w:val="restart"/>
            <w:tcBorders>
              <w:top w:val="nil"/>
              <w:left w:val="single" w:sz="4" w:space="0" w:color="000000"/>
              <w:bottom w:val="single" w:sz="4" w:space="0" w:color="000000"/>
              <w:right w:val="single" w:sz="4" w:space="0" w:color="000000"/>
            </w:tcBorders>
            <w:shd w:val="clear" w:color="auto" w:fill="auto"/>
            <w:noWrap/>
            <w:vAlign w:val="center"/>
            <w:hideMark/>
          </w:tcPr>
          <w:p w:rsidR="00187324" w:rsidRPr="00461DAC" w:rsidRDefault="00187324" w:rsidP="008B1D06">
            <w:pPr>
              <w:jc w:val="center"/>
              <w:rPr>
                <w:color w:val="000000"/>
                <w:sz w:val="20"/>
                <w:szCs w:val="20"/>
              </w:rPr>
            </w:pPr>
            <w:r w:rsidRPr="00461DAC">
              <w:rPr>
                <w:color w:val="000000"/>
                <w:sz w:val="20"/>
                <w:szCs w:val="20"/>
              </w:rPr>
              <w:t>1</w:t>
            </w:r>
          </w:p>
        </w:tc>
        <w:tc>
          <w:tcPr>
            <w:tcW w:w="1501" w:type="pct"/>
            <w:tcBorders>
              <w:top w:val="nil"/>
              <w:left w:val="nil"/>
              <w:bottom w:val="single" w:sz="4" w:space="0" w:color="000000"/>
              <w:right w:val="single" w:sz="4" w:space="0" w:color="000000"/>
            </w:tcBorders>
            <w:shd w:val="clear" w:color="auto" w:fill="auto"/>
            <w:vAlign w:val="center"/>
            <w:hideMark/>
          </w:tcPr>
          <w:p w:rsidR="00187324" w:rsidRPr="00461DAC" w:rsidRDefault="00187324" w:rsidP="008B1D06">
            <w:pPr>
              <w:rPr>
                <w:color w:val="000000"/>
                <w:sz w:val="20"/>
                <w:szCs w:val="20"/>
              </w:rPr>
            </w:pPr>
            <w:r w:rsidRPr="00461DAC">
              <w:rPr>
                <w:color w:val="000000"/>
                <w:sz w:val="20"/>
                <w:szCs w:val="20"/>
              </w:rPr>
              <w:t xml:space="preserve">Налоговая база, тыс. </w:t>
            </w:r>
            <w:r>
              <w:rPr>
                <w:color w:val="000000"/>
                <w:sz w:val="20"/>
                <w:szCs w:val="20"/>
              </w:rPr>
              <w:t>р</w:t>
            </w:r>
            <w:r w:rsidRPr="00461DAC">
              <w:rPr>
                <w:color w:val="000000"/>
                <w:sz w:val="20"/>
                <w:szCs w:val="20"/>
              </w:rPr>
              <w:t>ублей</w:t>
            </w:r>
          </w:p>
        </w:tc>
        <w:tc>
          <w:tcPr>
            <w:tcW w:w="767" w:type="pct"/>
            <w:tcBorders>
              <w:top w:val="nil"/>
              <w:left w:val="nil"/>
              <w:bottom w:val="single" w:sz="4" w:space="0" w:color="000000"/>
              <w:right w:val="single" w:sz="4" w:space="0" w:color="000000"/>
            </w:tcBorders>
            <w:shd w:val="clear" w:color="auto" w:fill="auto"/>
            <w:noWrap/>
            <w:vAlign w:val="center"/>
            <w:hideMark/>
          </w:tcPr>
          <w:p w:rsidR="00187324" w:rsidRPr="00122909" w:rsidRDefault="00187324" w:rsidP="008B1D06">
            <w:pPr>
              <w:jc w:val="center"/>
              <w:rPr>
                <w:color w:val="000000"/>
                <w:sz w:val="22"/>
                <w:szCs w:val="22"/>
              </w:rPr>
            </w:pPr>
            <w:r w:rsidRPr="00122909">
              <w:rPr>
                <w:color w:val="000000"/>
                <w:sz w:val="22"/>
                <w:szCs w:val="22"/>
              </w:rPr>
              <w:t>65 660 698</w:t>
            </w:r>
          </w:p>
        </w:tc>
        <w:tc>
          <w:tcPr>
            <w:tcW w:w="645" w:type="pct"/>
            <w:tcBorders>
              <w:top w:val="nil"/>
              <w:left w:val="nil"/>
              <w:bottom w:val="single" w:sz="4" w:space="0" w:color="000000"/>
              <w:right w:val="single" w:sz="4" w:space="0" w:color="000000"/>
            </w:tcBorders>
            <w:shd w:val="clear" w:color="auto" w:fill="auto"/>
            <w:noWrap/>
            <w:vAlign w:val="center"/>
            <w:hideMark/>
          </w:tcPr>
          <w:p w:rsidR="00187324" w:rsidRPr="00122909" w:rsidRDefault="00187324" w:rsidP="008B1D06">
            <w:pPr>
              <w:jc w:val="center"/>
              <w:rPr>
                <w:color w:val="000000"/>
                <w:sz w:val="22"/>
                <w:szCs w:val="22"/>
              </w:rPr>
            </w:pPr>
            <w:r w:rsidRPr="00122909">
              <w:rPr>
                <w:color w:val="000000"/>
                <w:sz w:val="22"/>
                <w:szCs w:val="22"/>
              </w:rPr>
              <w:t>76 588 293</w:t>
            </w:r>
          </w:p>
        </w:tc>
        <w:tc>
          <w:tcPr>
            <w:tcW w:w="645" w:type="pct"/>
            <w:tcBorders>
              <w:top w:val="nil"/>
              <w:left w:val="nil"/>
              <w:bottom w:val="single" w:sz="4" w:space="0" w:color="000000"/>
              <w:right w:val="single" w:sz="4" w:space="0" w:color="000000"/>
            </w:tcBorders>
            <w:shd w:val="clear" w:color="auto" w:fill="auto"/>
            <w:noWrap/>
            <w:vAlign w:val="center"/>
            <w:hideMark/>
          </w:tcPr>
          <w:p w:rsidR="00187324" w:rsidRPr="00122909" w:rsidRDefault="00187324" w:rsidP="008B1D06">
            <w:pPr>
              <w:jc w:val="center"/>
              <w:rPr>
                <w:color w:val="000000"/>
                <w:sz w:val="22"/>
                <w:szCs w:val="22"/>
              </w:rPr>
            </w:pPr>
            <w:r w:rsidRPr="00122909">
              <w:rPr>
                <w:color w:val="000000"/>
                <w:sz w:val="22"/>
                <w:szCs w:val="22"/>
              </w:rPr>
              <w:t>80 973 024</w:t>
            </w:r>
          </w:p>
        </w:tc>
        <w:tc>
          <w:tcPr>
            <w:tcW w:w="645" w:type="pct"/>
            <w:tcBorders>
              <w:top w:val="nil"/>
              <w:left w:val="nil"/>
              <w:bottom w:val="single" w:sz="4" w:space="0" w:color="000000"/>
              <w:right w:val="single" w:sz="4" w:space="0" w:color="000000"/>
            </w:tcBorders>
            <w:shd w:val="clear" w:color="auto" w:fill="auto"/>
            <w:noWrap/>
            <w:vAlign w:val="center"/>
            <w:hideMark/>
          </w:tcPr>
          <w:p w:rsidR="00187324" w:rsidRPr="00122909" w:rsidRDefault="00187324" w:rsidP="008B1D06">
            <w:pPr>
              <w:jc w:val="center"/>
              <w:rPr>
                <w:color w:val="000000"/>
                <w:sz w:val="22"/>
                <w:szCs w:val="22"/>
              </w:rPr>
            </w:pPr>
            <w:r w:rsidRPr="00122909">
              <w:rPr>
                <w:color w:val="000000"/>
                <w:sz w:val="22"/>
                <w:szCs w:val="22"/>
              </w:rPr>
              <w:t>85 720 864</w:t>
            </w:r>
          </w:p>
        </w:tc>
        <w:tc>
          <w:tcPr>
            <w:tcW w:w="646" w:type="pct"/>
            <w:tcBorders>
              <w:top w:val="nil"/>
              <w:left w:val="nil"/>
              <w:bottom w:val="single" w:sz="4" w:space="0" w:color="000000"/>
              <w:right w:val="single" w:sz="4" w:space="0" w:color="000000"/>
            </w:tcBorders>
            <w:shd w:val="clear" w:color="auto" w:fill="auto"/>
            <w:noWrap/>
            <w:vAlign w:val="center"/>
            <w:hideMark/>
          </w:tcPr>
          <w:p w:rsidR="00187324" w:rsidRPr="00122909" w:rsidRDefault="00187324" w:rsidP="008B1D06">
            <w:pPr>
              <w:jc w:val="center"/>
              <w:rPr>
                <w:color w:val="000000"/>
                <w:sz w:val="22"/>
                <w:szCs w:val="22"/>
              </w:rPr>
            </w:pPr>
            <w:r w:rsidRPr="00122909">
              <w:rPr>
                <w:color w:val="000000"/>
                <w:sz w:val="22"/>
                <w:szCs w:val="22"/>
              </w:rPr>
              <w:t>90 761 000</w:t>
            </w:r>
          </w:p>
        </w:tc>
      </w:tr>
      <w:tr w:rsidR="00187324" w:rsidRPr="00461DAC" w:rsidTr="008B1D06">
        <w:trPr>
          <w:trHeight w:val="945"/>
        </w:trPr>
        <w:tc>
          <w:tcPr>
            <w:tcW w:w="149" w:type="pct"/>
            <w:vMerge/>
            <w:tcBorders>
              <w:top w:val="nil"/>
              <w:left w:val="single" w:sz="4" w:space="0" w:color="000000"/>
              <w:bottom w:val="single" w:sz="4" w:space="0" w:color="000000"/>
              <w:right w:val="single" w:sz="4" w:space="0" w:color="000000"/>
            </w:tcBorders>
            <w:vAlign w:val="center"/>
            <w:hideMark/>
          </w:tcPr>
          <w:p w:rsidR="00187324" w:rsidRPr="00461DAC" w:rsidRDefault="00187324" w:rsidP="008B1D06">
            <w:pPr>
              <w:rPr>
                <w:color w:val="000000"/>
                <w:sz w:val="20"/>
                <w:szCs w:val="20"/>
              </w:rPr>
            </w:pPr>
          </w:p>
        </w:tc>
        <w:tc>
          <w:tcPr>
            <w:tcW w:w="1501" w:type="pct"/>
            <w:tcBorders>
              <w:top w:val="nil"/>
              <w:left w:val="nil"/>
              <w:bottom w:val="single" w:sz="4" w:space="0" w:color="000000"/>
              <w:right w:val="single" w:sz="4" w:space="0" w:color="000000"/>
            </w:tcBorders>
            <w:shd w:val="clear" w:color="auto" w:fill="auto"/>
            <w:vAlign w:val="center"/>
            <w:hideMark/>
          </w:tcPr>
          <w:p w:rsidR="00187324" w:rsidRPr="00461DAC" w:rsidRDefault="00187324" w:rsidP="008B1D06">
            <w:pPr>
              <w:jc w:val="center"/>
              <w:rPr>
                <w:i/>
                <w:iCs/>
                <w:color w:val="000000"/>
                <w:sz w:val="20"/>
                <w:szCs w:val="20"/>
              </w:rPr>
            </w:pPr>
            <w:r w:rsidRPr="00461DAC">
              <w:rPr>
                <w:i/>
                <w:iCs/>
                <w:color w:val="000000"/>
                <w:sz w:val="20"/>
                <w:szCs w:val="20"/>
              </w:rPr>
              <w:t>в том числе по налогоплательщикам, применяющим пониженные ставки в соответствии с № 73-ЗО от 29.11.2019:</w:t>
            </w:r>
          </w:p>
        </w:tc>
        <w:tc>
          <w:tcPr>
            <w:tcW w:w="767" w:type="pct"/>
            <w:tcBorders>
              <w:top w:val="nil"/>
              <w:left w:val="nil"/>
              <w:bottom w:val="single" w:sz="4" w:space="0" w:color="000000"/>
              <w:right w:val="single" w:sz="4" w:space="0" w:color="000000"/>
            </w:tcBorders>
            <w:shd w:val="clear" w:color="auto" w:fill="auto"/>
            <w:noWrap/>
            <w:vAlign w:val="center"/>
            <w:hideMark/>
          </w:tcPr>
          <w:p w:rsidR="00187324" w:rsidRPr="00122909" w:rsidRDefault="00187324" w:rsidP="008B1D06">
            <w:pPr>
              <w:jc w:val="center"/>
              <w:rPr>
                <w:i/>
                <w:iCs/>
                <w:color w:val="000000"/>
                <w:sz w:val="22"/>
                <w:szCs w:val="22"/>
              </w:rPr>
            </w:pPr>
            <w:r w:rsidRPr="00122909">
              <w:rPr>
                <w:i/>
                <w:iCs/>
                <w:color w:val="000000"/>
                <w:sz w:val="22"/>
                <w:szCs w:val="22"/>
              </w:rPr>
              <w:t>169 545</w:t>
            </w:r>
          </w:p>
        </w:tc>
        <w:tc>
          <w:tcPr>
            <w:tcW w:w="645" w:type="pct"/>
            <w:tcBorders>
              <w:top w:val="nil"/>
              <w:left w:val="nil"/>
              <w:bottom w:val="single" w:sz="4" w:space="0" w:color="000000"/>
              <w:right w:val="single" w:sz="4" w:space="0" w:color="000000"/>
            </w:tcBorders>
            <w:shd w:val="clear" w:color="auto" w:fill="auto"/>
            <w:noWrap/>
            <w:vAlign w:val="center"/>
            <w:hideMark/>
          </w:tcPr>
          <w:p w:rsidR="00187324" w:rsidRPr="00122909" w:rsidRDefault="00187324" w:rsidP="008B1D06">
            <w:pPr>
              <w:jc w:val="center"/>
              <w:rPr>
                <w:i/>
                <w:iCs/>
                <w:color w:val="000000"/>
                <w:sz w:val="22"/>
                <w:szCs w:val="22"/>
              </w:rPr>
            </w:pPr>
            <w:r w:rsidRPr="00122909">
              <w:rPr>
                <w:i/>
                <w:iCs/>
                <w:color w:val="000000"/>
                <w:sz w:val="22"/>
                <w:szCs w:val="22"/>
              </w:rPr>
              <w:t>230 535</w:t>
            </w:r>
          </w:p>
        </w:tc>
        <w:tc>
          <w:tcPr>
            <w:tcW w:w="645" w:type="pct"/>
            <w:tcBorders>
              <w:top w:val="nil"/>
              <w:left w:val="nil"/>
              <w:bottom w:val="single" w:sz="4" w:space="0" w:color="000000"/>
              <w:right w:val="single" w:sz="4" w:space="0" w:color="000000"/>
            </w:tcBorders>
            <w:shd w:val="clear" w:color="auto" w:fill="auto"/>
            <w:noWrap/>
            <w:vAlign w:val="center"/>
            <w:hideMark/>
          </w:tcPr>
          <w:p w:rsidR="00187324" w:rsidRPr="00122909" w:rsidRDefault="00187324" w:rsidP="008B1D06">
            <w:pPr>
              <w:jc w:val="center"/>
              <w:rPr>
                <w:i/>
                <w:iCs/>
                <w:color w:val="000000"/>
                <w:sz w:val="22"/>
                <w:szCs w:val="22"/>
              </w:rPr>
            </w:pPr>
            <w:r w:rsidRPr="00122909">
              <w:rPr>
                <w:i/>
                <w:iCs/>
                <w:color w:val="000000"/>
                <w:sz w:val="22"/>
                <w:szCs w:val="22"/>
              </w:rPr>
              <w:t>243 070</w:t>
            </w:r>
          </w:p>
        </w:tc>
        <w:tc>
          <w:tcPr>
            <w:tcW w:w="645" w:type="pct"/>
            <w:tcBorders>
              <w:top w:val="nil"/>
              <w:left w:val="nil"/>
              <w:bottom w:val="single" w:sz="4" w:space="0" w:color="000000"/>
              <w:right w:val="single" w:sz="4" w:space="0" w:color="000000"/>
            </w:tcBorders>
            <w:shd w:val="clear" w:color="auto" w:fill="auto"/>
            <w:noWrap/>
            <w:vAlign w:val="center"/>
            <w:hideMark/>
          </w:tcPr>
          <w:p w:rsidR="00187324" w:rsidRPr="00122909" w:rsidRDefault="00187324" w:rsidP="008B1D06">
            <w:pPr>
              <w:jc w:val="center"/>
              <w:rPr>
                <w:i/>
                <w:iCs/>
                <w:color w:val="000000"/>
                <w:sz w:val="22"/>
                <w:szCs w:val="22"/>
              </w:rPr>
            </w:pPr>
            <w:r w:rsidRPr="00122909">
              <w:rPr>
                <w:i/>
                <w:iCs/>
                <w:color w:val="000000"/>
                <w:sz w:val="22"/>
                <w:szCs w:val="22"/>
              </w:rPr>
              <w:t>256 264</w:t>
            </w:r>
          </w:p>
        </w:tc>
        <w:tc>
          <w:tcPr>
            <w:tcW w:w="646" w:type="pct"/>
            <w:tcBorders>
              <w:top w:val="nil"/>
              <w:left w:val="nil"/>
              <w:bottom w:val="single" w:sz="4" w:space="0" w:color="000000"/>
              <w:right w:val="single" w:sz="4" w:space="0" w:color="000000"/>
            </w:tcBorders>
            <w:shd w:val="clear" w:color="auto" w:fill="auto"/>
            <w:noWrap/>
            <w:vAlign w:val="center"/>
            <w:hideMark/>
          </w:tcPr>
          <w:p w:rsidR="00187324" w:rsidRPr="00122909" w:rsidRDefault="00187324" w:rsidP="008B1D06">
            <w:pPr>
              <w:jc w:val="center"/>
              <w:rPr>
                <w:i/>
                <w:iCs/>
                <w:color w:val="000000"/>
                <w:sz w:val="22"/>
                <w:szCs w:val="22"/>
              </w:rPr>
            </w:pPr>
            <w:r w:rsidRPr="00122909">
              <w:rPr>
                <w:i/>
                <w:iCs/>
                <w:color w:val="000000"/>
                <w:sz w:val="22"/>
                <w:szCs w:val="22"/>
              </w:rPr>
              <w:t>269 956</w:t>
            </w:r>
          </w:p>
        </w:tc>
      </w:tr>
      <w:tr w:rsidR="00187324" w:rsidRPr="00461DAC" w:rsidTr="008B1D06">
        <w:trPr>
          <w:trHeight w:val="555"/>
        </w:trPr>
        <w:tc>
          <w:tcPr>
            <w:tcW w:w="149" w:type="pct"/>
            <w:vMerge/>
            <w:tcBorders>
              <w:top w:val="nil"/>
              <w:left w:val="single" w:sz="4" w:space="0" w:color="000000"/>
              <w:bottom w:val="single" w:sz="4" w:space="0" w:color="000000"/>
              <w:right w:val="single" w:sz="4" w:space="0" w:color="000000"/>
            </w:tcBorders>
            <w:vAlign w:val="center"/>
            <w:hideMark/>
          </w:tcPr>
          <w:p w:rsidR="00187324" w:rsidRPr="00461DAC" w:rsidRDefault="00187324" w:rsidP="008B1D06">
            <w:pPr>
              <w:rPr>
                <w:color w:val="000000"/>
                <w:sz w:val="20"/>
                <w:szCs w:val="20"/>
              </w:rPr>
            </w:pPr>
          </w:p>
        </w:tc>
        <w:tc>
          <w:tcPr>
            <w:tcW w:w="1501" w:type="pct"/>
            <w:tcBorders>
              <w:top w:val="nil"/>
              <w:left w:val="nil"/>
              <w:bottom w:val="single" w:sz="4" w:space="0" w:color="000000"/>
              <w:right w:val="single" w:sz="4" w:space="0" w:color="000000"/>
            </w:tcBorders>
            <w:shd w:val="clear" w:color="auto" w:fill="auto"/>
            <w:vAlign w:val="center"/>
            <w:hideMark/>
          </w:tcPr>
          <w:p w:rsidR="00187324" w:rsidRPr="00461DAC" w:rsidRDefault="00187324" w:rsidP="008B1D06">
            <w:pPr>
              <w:jc w:val="right"/>
              <w:rPr>
                <w:i/>
                <w:iCs/>
                <w:color w:val="000000"/>
                <w:sz w:val="20"/>
                <w:szCs w:val="20"/>
              </w:rPr>
            </w:pPr>
            <w:r w:rsidRPr="00461DAC">
              <w:rPr>
                <w:i/>
                <w:iCs/>
                <w:color w:val="000000"/>
                <w:sz w:val="20"/>
                <w:szCs w:val="20"/>
              </w:rPr>
              <w:t>ст. 1 частью 1 (с 2021 года 3%)</w:t>
            </w:r>
          </w:p>
        </w:tc>
        <w:tc>
          <w:tcPr>
            <w:tcW w:w="767" w:type="pct"/>
            <w:tcBorders>
              <w:top w:val="nil"/>
              <w:left w:val="nil"/>
              <w:bottom w:val="single" w:sz="4" w:space="0" w:color="000000"/>
              <w:right w:val="single" w:sz="4" w:space="0" w:color="000000"/>
            </w:tcBorders>
            <w:shd w:val="clear" w:color="auto" w:fill="auto"/>
            <w:noWrap/>
            <w:vAlign w:val="center"/>
            <w:hideMark/>
          </w:tcPr>
          <w:p w:rsidR="00187324" w:rsidRPr="00122909" w:rsidRDefault="00187324" w:rsidP="008B1D06">
            <w:pPr>
              <w:jc w:val="center"/>
              <w:rPr>
                <w:i/>
                <w:iCs/>
                <w:color w:val="000000"/>
                <w:sz w:val="22"/>
                <w:szCs w:val="22"/>
              </w:rPr>
            </w:pPr>
            <w:r w:rsidRPr="00122909">
              <w:rPr>
                <w:i/>
                <w:iCs/>
                <w:color w:val="000000"/>
                <w:sz w:val="22"/>
                <w:szCs w:val="22"/>
              </w:rPr>
              <w:t>130 124</w:t>
            </w:r>
          </w:p>
        </w:tc>
        <w:tc>
          <w:tcPr>
            <w:tcW w:w="645" w:type="pct"/>
            <w:tcBorders>
              <w:top w:val="nil"/>
              <w:left w:val="nil"/>
              <w:bottom w:val="single" w:sz="4" w:space="0" w:color="000000"/>
              <w:right w:val="single" w:sz="4" w:space="0" w:color="000000"/>
            </w:tcBorders>
            <w:shd w:val="clear" w:color="auto" w:fill="auto"/>
            <w:noWrap/>
            <w:vAlign w:val="center"/>
            <w:hideMark/>
          </w:tcPr>
          <w:p w:rsidR="00187324" w:rsidRPr="00122909" w:rsidRDefault="00187324" w:rsidP="008B1D06">
            <w:pPr>
              <w:jc w:val="center"/>
              <w:rPr>
                <w:i/>
                <w:iCs/>
                <w:color w:val="000000"/>
                <w:sz w:val="22"/>
                <w:szCs w:val="22"/>
              </w:rPr>
            </w:pPr>
            <w:r w:rsidRPr="00122909">
              <w:rPr>
                <w:i/>
                <w:iCs/>
                <w:color w:val="000000"/>
                <w:sz w:val="22"/>
                <w:szCs w:val="22"/>
              </w:rPr>
              <w:t>184 422</w:t>
            </w:r>
          </w:p>
        </w:tc>
        <w:tc>
          <w:tcPr>
            <w:tcW w:w="645" w:type="pct"/>
            <w:tcBorders>
              <w:top w:val="nil"/>
              <w:left w:val="nil"/>
              <w:bottom w:val="single" w:sz="4" w:space="0" w:color="000000"/>
              <w:right w:val="single" w:sz="4" w:space="0" w:color="000000"/>
            </w:tcBorders>
            <w:shd w:val="clear" w:color="auto" w:fill="auto"/>
            <w:noWrap/>
            <w:vAlign w:val="center"/>
            <w:hideMark/>
          </w:tcPr>
          <w:p w:rsidR="00187324" w:rsidRPr="00122909" w:rsidRDefault="00187324" w:rsidP="008B1D06">
            <w:pPr>
              <w:jc w:val="center"/>
              <w:rPr>
                <w:i/>
                <w:iCs/>
                <w:color w:val="000000"/>
                <w:sz w:val="22"/>
                <w:szCs w:val="22"/>
              </w:rPr>
            </w:pPr>
            <w:r w:rsidRPr="00122909">
              <w:rPr>
                <w:i/>
                <w:iCs/>
                <w:color w:val="000000"/>
                <w:sz w:val="22"/>
                <w:szCs w:val="22"/>
              </w:rPr>
              <w:t>194 334</w:t>
            </w:r>
          </w:p>
        </w:tc>
        <w:tc>
          <w:tcPr>
            <w:tcW w:w="645" w:type="pct"/>
            <w:tcBorders>
              <w:top w:val="nil"/>
              <w:left w:val="nil"/>
              <w:bottom w:val="single" w:sz="4" w:space="0" w:color="000000"/>
              <w:right w:val="single" w:sz="4" w:space="0" w:color="000000"/>
            </w:tcBorders>
            <w:shd w:val="clear" w:color="auto" w:fill="auto"/>
            <w:noWrap/>
            <w:vAlign w:val="center"/>
            <w:hideMark/>
          </w:tcPr>
          <w:p w:rsidR="00187324" w:rsidRPr="00122909" w:rsidRDefault="00187324" w:rsidP="008B1D06">
            <w:pPr>
              <w:jc w:val="center"/>
              <w:rPr>
                <w:i/>
                <w:iCs/>
                <w:color w:val="000000"/>
                <w:sz w:val="22"/>
                <w:szCs w:val="22"/>
              </w:rPr>
            </w:pPr>
            <w:r w:rsidRPr="00122909">
              <w:rPr>
                <w:i/>
                <w:iCs/>
                <w:color w:val="000000"/>
                <w:sz w:val="22"/>
                <w:szCs w:val="22"/>
              </w:rPr>
              <w:t>204 657</w:t>
            </w:r>
          </w:p>
        </w:tc>
        <w:tc>
          <w:tcPr>
            <w:tcW w:w="646" w:type="pct"/>
            <w:tcBorders>
              <w:top w:val="nil"/>
              <w:left w:val="nil"/>
              <w:bottom w:val="single" w:sz="4" w:space="0" w:color="000000"/>
              <w:right w:val="single" w:sz="4" w:space="0" w:color="000000"/>
            </w:tcBorders>
            <w:shd w:val="clear" w:color="auto" w:fill="auto"/>
            <w:noWrap/>
            <w:vAlign w:val="center"/>
            <w:hideMark/>
          </w:tcPr>
          <w:p w:rsidR="00187324" w:rsidRPr="00122909" w:rsidRDefault="00187324" w:rsidP="008B1D06">
            <w:pPr>
              <w:jc w:val="center"/>
              <w:rPr>
                <w:i/>
                <w:iCs/>
                <w:color w:val="000000"/>
                <w:sz w:val="22"/>
                <w:szCs w:val="22"/>
              </w:rPr>
            </w:pPr>
            <w:r w:rsidRPr="00122909">
              <w:rPr>
                <w:i/>
                <w:iCs/>
                <w:color w:val="000000"/>
                <w:sz w:val="22"/>
                <w:szCs w:val="22"/>
              </w:rPr>
              <w:t>215 387</w:t>
            </w:r>
          </w:p>
        </w:tc>
      </w:tr>
      <w:tr w:rsidR="00187324" w:rsidRPr="00461DAC" w:rsidTr="008B1D06">
        <w:trPr>
          <w:trHeight w:val="555"/>
        </w:trPr>
        <w:tc>
          <w:tcPr>
            <w:tcW w:w="149" w:type="pct"/>
            <w:vMerge/>
            <w:tcBorders>
              <w:top w:val="nil"/>
              <w:left w:val="single" w:sz="4" w:space="0" w:color="000000"/>
              <w:bottom w:val="single" w:sz="4" w:space="0" w:color="000000"/>
              <w:right w:val="single" w:sz="4" w:space="0" w:color="000000"/>
            </w:tcBorders>
            <w:vAlign w:val="center"/>
            <w:hideMark/>
          </w:tcPr>
          <w:p w:rsidR="00187324" w:rsidRPr="00461DAC" w:rsidRDefault="00187324" w:rsidP="008B1D06">
            <w:pPr>
              <w:rPr>
                <w:color w:val="000000"/>
                <w:sz w:val="20"/>
                <w:szCs w:val="20"/>
              </w:rPr>
            </w:pPr>
          </w:p>
        </w:tc>
        <w:tc>
          <w:tcPr>
            <w:tcW w:w="1501" w:type="pct"/>
            <w:tcBorders>
              <w:top w:val="nil"/>
              <w:left w:val="nil"/>
              <w:bottom w:val="single" w:sz="4" w:space="0" w:color="000000"/>
              <w:right w:val="single" w:sz="4" w:space="0" w:color="000000"/>
            </w:tcBorders>
            <w:shd w:val="clear" w:color="auto" w:fill="auto"/>
            <w:vAlign w:val="center"/>
            <w:hideMark/>
          </w:tcPr>
          <w:p w:rsidR="00187324" w:rsidRPr="00461DAC" w:rsidRDefault="00187324" w:rsidP="008B1D06">
            <w:pPr>
              <w:jc w:val="right"/>
              <w:rPr>
                <w:i/>
                <w:iCs/>
                <w:color w:val="000000"/>
                <w:sz w:val="20"/>
                <w:szCs w:val="20"/>
              </w:rPr>
            </w:pPr>
            <w:r w:rsidRPr="00461DAC">
              <w:rPr>
                <w:i/>
                <w:iCs/>
                <w:color w:val="000000"/>
                <w:sz w:val="20"/>
                <w:szCs w:val="20"/>
              </w:rPr>
              <w:t>ст. 1 частью 2 (с 2021 года 1,5%)</w:t>
            </w:r>
          </w:p>
        </w:tc>
        <w:tc>
          <w:tcPr>
            <w:tcW w:w="767" w:type="pct"/>
            <w:tcBorders>
              <w:top w:val="nil"/>
              <w:left w:val="nil"/>
              <w:bottom w:val="single" w:sz="4" w:space="0" w:color="000000"/>
              <w:right w:val="single" w:sz="4" w:space="0" w:color="000000"/>
            </w:tcBorders>
            <w:shd w:val="clear" w:color="auto" w:fill="auto"/>
            <w:noWrap/>
            <w:vAlign w:val="center"/>
            <w:hideMark/>
          </w:tcPr>
          <w:p w:rsidR="00187324" w:rsidRPr="00122909" w:rsidRDefault="00187324" w:rsidP="008B1D06">
            <w:pPr>
              <w:jc w:val="center"/>
              <w:rPr>
                <w:i/>
                <w:iCs/>
                <w:color w:val="000000"/>
                <w:sz w:val="22"/>
                <w:szCs w:val="22"/>
              </w:rPr>
            </w:pPr>
            <w:r w:rsidRPr="00122909">
              <w:rPr>
                <w:i/>
                <w:iCs/>
                <w:color w:val="000000"/>
                <w:sz w:val="22"/>
                <w:szCs w:val="22"/>
              </w:rPr>
              <w:t>39 422</w:t>
            </w:r>
          </w:p>
        </w:tc>
        <w:tc>
          <w:tcPr>
            <w:tcW w:w="645" w:type="pct"/>
            <w:tcBorders>
              <w:top w:val="nil"/>
              <w:left w:val="nil"/>
              <w:bottom w:val="single" w:sz="4" w:space="0" w:color="000000"/>
              <w:right w:val="single" w:sz="4" w:space="0" w:color="000000"/>
            </w:tcBorders>
            <w:shd w:val="clear" w:color="auto" w:fill="auto"/>
            <w:noWrap/>
            <w:vAlign w:val="center"/>
            <w:hideMark/>
          </w:tcPr>
          <w:p w:rsidR="00187324" w:rsidRPr="00122909" w:rsidRDefault="00187324" w:rsidP="008B1D06">
            <w:pPr>
              <w:jc w:val="center"/>
              <w:rPr>
                <w:i/>
                <w:iCs/>
                <w:color w:val="000000"/>
                <w:sz w:val="22"/>
                <w:szCs w:val="22"/>
              </w:rPr>
            </w:pPr>
            <w:r w:rsidRPr="00122909">
              <w:rPr>
                <w:i/>
                <w:iCs/>
                <w:color w:val="000000"/>
                <w:sz w:val="22"/>
                <w:szCs w:val="22"/>
              </w:rPr>
              <w:t>46 113</w:t>
            </w:r>
          </w:p>
        </w:tc>
        <w:tc>
          <w:tcPr>
            <w:tcW w:w="645" w:type="pct"/>
            <w:tcBorders>
              <w:top w:val="nil"/>
              <w:left w:val="nil"/>
              <w:bottom w:val="single" w:sz="4" w:space="0" w:color="000000"/>
              <w:right w:val="single" w:sz="4" w:space="0" w:color="000000"/>
            </w:tcBorders>
            <w:shd w:val="clear" w:color="auto" w:fill="auto"/>
            <w:noWrap/>
            <w:vAlign w:val="center"/>
            <w:hideMark/>
          </w:tcPr>
          <w:p w:rsidR="00187324" w:rsidRPr="00122909" w:rsidRDefault="00187324" w:rsidP="008B1D06">
            <w:pPr>
              <w:jc w:val="center"/>
              <w:rPr>
                <w:i/>
                <w:iCs/>
                <w:color w:val="000000"/>
                <w:sz w:val="22"/>
                <w:szCs w:val="22"/>
              </w:rPr>
            </w:pPr>
            <w:r w:rsidRPr="00122909">
              <w:rPr>
                <w:i/>
                <w:iCs/>
                <w:color w:val="000000"/>
                <w:sz w:val="22"/>
                <w:szCs w:val="22"/>
              </w:rPr>
              <w:t>48 736</w:t>
            </w:r>
          </w:p>
        </w:tc>
        <w:tc>
          <w:tcPr>
            <w:tcW w:w="645" w:type="pct"/>
            <w:tcBorders>
              <w:top w:val="nil"/>
              <w:left w:val="nil"/>
              <w:bottom w:val="single" w:sz="4" w:space="0" w:color="000000"/>
              <w:right w:val="single" w:sz="4" w:space="0" w:color="000000"/>
            </w:tcBorders>
            <w:shd w:val="clear" w:color="auto" w:fill="auto"/>
            <w:noWrap/>
            <w:vAlign w:val="center"/>
            <w:hideMark/>
          </w:tcPr>
          <w:p w:rsidR="00187324" w:rsidRPr="00122909" w:rsidRDefault="00187324" w:rsidP="008B1D06">
            <w:pPr>
              <w:jc w:val="center"/>
              <w:rPr>
                <w:i/>
                <w:iCs/>
                <w:color w:val="000000"/>
                <w:sz w:val="22"/>
                <w:szCs w:val="22"/>
              </w:rPr>
            </w:pPr>
            <w:r w:rsidRPr="00122909">
              <w:rPr>
                <w:i/>
                <w:iCs/>
                <w:color w:val="000000"/>
                <w:sz w:val="22"/>
                <w:szCs w:val="22"/>
              </w:rPr>
              <w:t>51 607</w:t>
            </w:r>
          </w:p>
        </w:tc>
        <w:tc>
          <w:tcPr>
            <w:tcW w:w="646" w:type="pct"/>
            <w:tcBorders>
              <w:top w:val="nil"/>
              <w:left w:val="nil"/>
              <w:bottom w:val="single" w:sz="4" w:space="0" w:color="000000"/>
              <w:right w:val="single" w:sz="4" w:space="0" w:color="000000"/>
            </w:tcBorders>
            <w:shd w:val="clear" w:color="auto" w:fill="auto"/>
            <w:noWrap/>
            <w:vAlign w:val="center"/>
            <w:hideMark/>
          </w:tcPr>
          <w:p w:rsidR="00187324" w:rsidRPr="00122909" w:rsidRDefault="00187324" w:rsidP="008B1D06">
            <w:pPr>
              <w:jc w:val="center"/>
              <w:rPr>
                <w:i/>
                <w:iCs/>
                <w:color w:val="000000"/>
                <w:sz w:val="22"/>
                <w:szCs w:val="22"/>
              </w:rPr>
            </w:pPr>
            <w:r w:rsidRPr="00122909">
              <w:rPr>
                <w:i/>
                <w:iCs/>
                <w:color w:val="000000"/>
                <w:sz w:val="22"/>
                <w:szCs w:val="22"/>
              </w:rPr>
              <w:t>54 569</w:t>
            </w:r>
          </w:p>
        </w:tc>
      </w:tr>
      <w:tr w:rsidR="00187324" w:rsidRPr="00461DAC" w:rsidTr="008B1D06">
        <w:trPr>
          <w:trHeight w:val="385"/>
        </w:trPr>
        <w:tc>
          <w:tcPr>
            <w:tcW w:w="149" w:type="pct"/>
            <w:tcBorders>
              <w:top w:val="nil"/>
              <w:left w:val="single" w:sz="4" w:space="0" w:color="000000"/>
              <w:bottom w:val="single" w:sz="4" w:space="0" w:color="000000"/>
              <w:right w:val="single" w:sz="4" w:space="0" w:color="000000"/>
            </w:tcBorders>
            <w:shd w:val="clear" w:color="auto" w:fill="auto"/>
            <w:noWrap/>
            <w:vAlign w:val="center"/>
            <w:hideMark/>
          </w:tcPr>
          <w:p w:rsidR="00187324" w:rsidRPr="00461DAC" w:rsidRDefault="00187324" w:rsidP="008B1D06">
            <w:pPr>
              <w:jc w:val="center"/>
              <w:rPr>
                <w:color w:val="000000"/>
                <w:sz w:val="20"/>
                <w:szCs w:val="20"/>
              </w:rPr>
            </w:pPr>
            <w:r w:rsidRPr="00461DAC">
              <w:rPr>
                <w:color w:val="000000"/>
                <w:sz w:val="20"/>
                <w:szCs w:val="20"/>
              </w:rPr>
              <w:t>2</w:t>
            </w:r>
          </w:p>
        </w:tc>
        <w:tc>
          <w:tcPr>
            <w:tcW w:w="1501" w:type="pct"/>
            <w:tcBorders>
              <w:top w:val="nil"/>
              <w:left w:val="nil"/>
              <w:bottom w:val="single" w:sz="4" w:space="0" w:color="000000"/>
              <w:right w:val="single" w:sz="4" w:space="0" w:color="000000"/>
            </w:tcBorders>
            <w:shd w:val="clear" w:color="auto" w:fill="auto"/>
            <w:vAlign w:val="center"/>
            <w:hideMark/>
          </w:tcPr>
          <w:p w:rsidR="00187324" w:rsidRPr="00461DAC" w:rsidRDefault="00187324" w:rsidP="008B1D06">
            <w:pPr>
              <w:rPr>
                <w:color w:val="000000"/>
                <w:sz w:val="20"/>
                <w:szCs w:val="20"/>
              </w:rPr>
            </w:pPr>
            <w:r w:rsidRPr="00461DAC">
              <w:rPr>
                <w:color w:val="000000"/>
                <w:sz w:val="20"/>
                <w:szCs w:val="20"/>
              </w:rPr>
              <w:t>Сумма исчисленного налога</w:t>
            </w:r>
            <w:r w:rsidRPr="00461DAC">
              <w:rPr>
                <w:b/>
                <w:bCs/>
                <w:color w:val="000000"/>
                <w:sz w:val="20"/>
                <w:szCs w:val="20"/>
              </w:rPr>
              <w:t>,</w:t>
            </w:r>
            <w:r>
              <w:rPr>
                <w:color w:val="000000"/>
                <w:sz w:val="20"/>
                <w:szCs w:val="20"/>
              </w:rPr>
              <w:t xml:space="preserve"> тыс. рублей</w:t>
            </w:r>
          </w:p>
        </w:tc>
        <w:tc>
          <w:tcPr>
            <w:tcW w:w="767" w:type="pct"/>
            <w:tcBorders>
              <w:top w:val="nil"/>
              <w:left w:val="nil"/>
              <w:bottom w:val="single" w:sz="4" w:space="0" w:color="000000"/>
              <w:right w:val="single" w:sz="4" w:space="0" w:color="000000"/>
            </w:tcBorders>
            <w:shd w:val="clear" w:color="auto" w:fill="auto"/>
            <w:noWrap/>
            <w:vAlign w:val="center"/>
            <w:hideMark/>
          </w:tcPr>
          <w:p w:rsidR="00187324" w:rsidRPr="00122909" w:rsidRDefault="00187324" w:rsidP="008B1D06">
            <w:pPr>
              <w:jc w:val="center"/>
              <w:rPr>
                <w:color w:val="000000"/>
                <w:sz w:val="22"/>
                <w:szCs w:val="22"/>
              </w:rPr>
            </w:pPr>
            <w:r w:rsidRPr="00122909">
              <w:rPr>
                <w:color w:val="000000"/>
                <w:sz w:val="22"/>
                <w:szCs w:val="22"/>
              </w:rPr>
              <w:t>3 822 875</w:t>
            </w:r>
          </w:p>
        </w:tc>
        <w:tc>
          <w:tcPr>
            <w:tcW w:w="645" w:type="pct"/>
            <w:tcBorders>
              <w:top w:val="nil"/>
              <w:left w:val="nil"/>
              <w:bottom w:val="single" w:sz="4" w:space="0" w:color="000000"/>
              <w:right w:val="single" w:sz="4" w:space="0" w:color="000000"/>
            </w:tcBorders>
            <w:shd w:val="clear" w:color="auto" w:fill="auto"/>
            <w:noWrap/>
            <w:vAlign w:val="center"/>
            <w:hideMark/>
          </w:tcPr>
          <w:p w:rsidR="00187324" w:rsidRPr="00122909" w:rsidRDefault="00187324" w:rsidP="008B1D06">
            <w:pPr>
              <w:jc w:val="center"/>
              <w:rPr>
                <w:color w:val="000000"/>
                <w:sz w:val="22"/>
                <w:szCs w:val="22"/>
              </w:rPr>
            </w:pPr>
            <w:r w:rsidRPr="00122909">
              <w:rPr>
                <w:color w:val="000000"/>
                <w:sz w:val="22"/>
                <w:szCs w:val="22"/>
              </w:rPr>
              <w:t>4 587 693</w:t>
            </w:r>
          </w:p>
        </w:tc>
        <w:tc>
          <w:tcPr>
            <w:tcW w:w="645" w:type="pct"/>
            <w:tcBorders>
              <w:top w:val="nil"/>
              <w:left w:val="nil"/>
              <w:bottom w:val="single" w:sz="4" w:space="0" w:color="000000"/>
              <w:right w:val="single" w:sz="4" w:space="0" w:color="000000"/>
            </w:tcBorders>
            <w:shd w:val="clear" w:color="auto" w:fill="auto"/>
            <w:noWrap/>
            <w:vAlign w:val="center"/>
            <w:hideMark/>
          </w:tcPr>
          <w:p w:rsidR="00187324" w:rsidRPr="00122909" w:rsidRDefault="00187324" w:rsidP="008B1D06">
            <w:pPr>
              <w:jc w:val="center"/>
              <w:rPr>
                <w:color w:val="000000"/>
                <w:sz w:val="22"/>
                <w:szCs w:val="22"/>
              </w:rPr>
            </w:pPr>
            <w:r w:rsidRPr="00122909">
              <w:rPr>
                <w:color w:val="000000"/>
                <w:sz w:val="22"/>
                <w:szCs w:val="22"/>
              </w:rPr>
              <w:t>4 850 357</w:t>
            </w:r>
          </w:p>
        </w:tc>
        <w:tc>
          <w:tcPr>
            <w:tcW w:w="645" w:type="pct"/>
            <w:tcBorders>
              <w:top w:val="nil"/>
              <w:left w:val="nil"/>
              <w:bottom w:val="single" w:sz="4" w:space="0" w:color="000000"/>
              <w:right w:val="single" w:sz="4" w:space="0" w:color="000000"/>
            </w:tcBorders>
            <w:shd w:val="clear" w:color="auto" w:fill="auto"/>
            <w:noWrap/>
            <w:vAlign w:val="center"/>
            <w:hideMark/>
          </w:tcPr>
          <w:p w:rsidR="00187324" w:rsidRPr="00122909" w:rsidRDefault="00187324" w:rsidP="008B1D06">
            <w:pPr>
              <w:jc w:val="center"/>
              <w:rPr>
                <w:color w:val="000000"/>
                <w:sz w:val="22"/>
                <w:szCs w:val="22"/>
              </w:rPr>
            </w:pPr>
            <w:r w:rsidRPr="00122909">
              <w:rPr>
                <w:color w:val="000000"/>
                <w:sz w:val="22"/>
                <w:szCs w:val="22"/>
              </w:rPr>
              <w:t>5 134 787</w:t>
            </w:r>
          </w:p>
        </w:tc>
        <w:tc>
          <w:tcPr>
            <w:tcW w:w="646" w:type="pct"/>
            <w:tcBorders>
              <w:top w:val="nil"/>
              <w:left w:val="nil"/>
              <w:bottom w:val="single" w:sz="4" w:space="0" w:color="000000"/>
              <w:right w:val="single" w:sz="4" w:space="0" w:color="000000"/>
            </w:tcBorders>
            <w:shd w:val="clear" w:color="auto" w:fill="auto"/>
            <w:noWrap/>
            <w:vAlign w:val="center"/>
            <w:hideMark/>
          </w:tcPr>
          <w:p w:rsidR="00187324" w:rsidRPr="00122909" w:rsidRDefault="00187324" w:rsidP="008B1D06">
            <w:pPr>
              <w:jc w:val="center"/>
              <w:rPr>
                <w:color w:val="000000"/>
                <w:sz w:val="22"/>
                <w:szCs w:val="22"/>
              </w:rPr>
            </w:pPr>
            <w:r w:rsidRPr="00122909">
              <w:rPr>
                <w:color w:val="000000"/>
                <w:sz w:val="22"/>
                <w:szCs w:val="22"/>
              </w:rPr>
              <w:t>5 436 751</w:t>
            </w:r>
          </w:p>
        </w:tc>
      </w:tr>
      <w:tr w:rsidR="00187324" w:rsidRPr="00461DAC" w:rsidTr="008B1D06">
        <w:trPr>
          <w:trHeight w:val="1695"/>
        </w:trPr>
        <w:tc>
          <w:tcPr>
            <w:tcW w:w="149" w:type="pct"/>
            <w:tcBorders>
              <w:top w:val="nil"/>
              <w:left w:val="single" w:sz="4" w:space="0" w:color="000000"/>
              <w:bottom w:val="single" w:sz="4" w:space="0" w:color="000000"/>
              <w:right w:val="single" w:sz="4" w:space="0" w:color="000000"/>
            </w:tcBorders>
            <w:shd w:val="clear" w:color="auto" w:fill="auto"/>
            <w:noWrap/>
            <w:vAlign w:val="center"/>
            <w:hideMark/>
          </w:tcPr>
          <w:p w:rsidR="00187324" w:rsidRPr="00461DAC" w:rsidRDefault="00187324" w:rsidP="008B1D06">
            <w:pPr>
              <w:jc w:val="center"/>
              <w:rPr>
                <w:color w:val="000000"/>
                <w:sz w:val="20"/>
                <w:szCs w:val="20"/>
              </w:rPr>
            </w:pPr>
            <w:r w:rsidRPr="00461DAC">
              <w:rPr>
                <w:color w:val="000000"/>
                <w:sz w:val="20"/>
                <w:szCs w:val="20"/>
              </w:rPr>
              <w:t>3</w:t>
            </w:r>
          </w:p>
        </w:tc>
        <w:tc>
          <w:tcPr>
            <w:tcW w:w="1501" w:type="pct"/>
            <w:tcBorders>
              <w:top w:val="nil"/>
              <w:left w:val="nil"/>
              <w:bottom w:val="single" w:sz="4" w:space="0" w:color="000000"/>
              <w:right w:val="single" w:sz="4" w:space="0" w:color="000000"/>
            </w:tcBorders>
            <w:shd w:val="clear" w:color="auto" w:fill="auto"/>
            <w:vAlign w:val="center"/>
            <w:hideMark/>
          </w:tcPr>
          <w:p w:rsidR="00187324" w:rsidRPr="00461DAC" w:rsidRDefault="00187324" w:rsidP="008B1D06">
            <w:pPr>
              <w:rPr>
                <w:color w:val="000000"/>
                <w:sz w:val="20"/>
                <w:szCs w:val="20"/>
              </w:rPr>
            </w:pPr>
            <w:r w:rsidRPr="00461DAC">
              <w:rPr>
                <w:color w:val="000000"/>
                <w:sz w:val="20"/>
                <w:szCs w:val="20"/>
              </w:rPr>
              <w:t>Сумма страховых взносов, выплаченных работникам пособий по временной нетрудоспособности и платежей (взносов) по договорам добровольного личного страхования, предусмотренных пунктом 3.1 статьи 346.21 Кодекса, уменьшающая сумму исчисленного налога, тыс. рублей</w:t>
            </w:r>
          </w:p>
        </w:tc>
        <w:tc>
          <w:tcPr>
            <w:tcW w:w="767" w:type="pct"/>
            <w:tcBorders>
              <w:top w:val="nil"/>
              <w:left w:val="nil"/>
              <w:bottom w:val="single" w:sz="4" w:space="0" w:color="000000"/>
              <w:right w:val="single" w:sz="4" w:space="0" w:color="000000"/>
            </w:tcBorders>
            <w:shd w:val="clear" w:color="auto" w:fill="auto"/>
            <w:noWrap/>
            <w:vAlign w:val="center"/>
            <w:hideMark/>
          </w:tcPr>
          <w:p w:rsidR="00187324" w:rsidRPr="00122909" w:rsidRDefault="00187324" w:rsidP="008B1D06">
            <w:pPr>
              <w:jc w:val="center"/>
              <w:rPr>
                <w:color w:val="000000"/>
                <w:sz w:val="22"/>
                <w:szCs w:val="22"/>
              </w:rPr>
            </w:pPr>
            <w:r w:rsidRPr="00122909">
              <w:rPr>
                <w:color w:val="000000"/>
                <w:sz w:val="22"/>
                <w:szCs w:val="22"/>
              </w:rPr>
              <w:t>1 250 236</w:t>
            </w:r>
          </w:p>
        </w:tc>
        <w:tc>
          <w:tcPr>
            <w:tcW w:w="645" w:type="pct"/>
            <w:tcBorders>
              <w:top w:val="nil"/>
              <w:left w:val="nil"/>
              <w:bottom w:val="single" w:sz="4" w:space="0" w:color="000000"/>
              <w:right w:val="single" w:sz="4" w:space="0" w:color="000000"/>
            </w:tcBorders>
            <w:shd w:val="clear" w:color="auto" w:fill="auto"/>
            <w:noWrap/>
            <w:vAlign w:val="center"/>
            <w:hideMark/>
          </w:tcPr>
          <w:p w:rsidR="00187324" w:rsidRPr="00122909" w:rsidRDefault="00187324" w:rsidP="008B1D06">
            <w:pPr>
              <w:jc w:val="center"/>
              <w:rPr>
                <w:color w:val="000000"/>
                <w:sz w:val="22"/>
                <w:szCs w:val="22"/>
              </w:rPr>
            </w:pPr>
            <w:r w:rsidRPr="00122909">
              <w:rPr>
                <w:color w:val="000000"/>
                <w:sz w:val="22"/>
                <w:szCs w:val="22"/>
              </w:rPr>
              <w:t>1 510 431</w:t>
            </w:r>
          </w:p>
        </w:tc>
        <w:tc>
          <w:tcPr>
            <w:tcW w:w="645" w:type="pct"/>
            <w:tcBorders>
              <w:top w:val="nil"/>
              <w:left w:val="nil"/>
              <w:bottom w:val="single" w:sz="4" w:space="0" w:color="000000"/>
              <w:right w:val="single" w:sz="4" w:space="0" w:color="000000"/>
            </w:tcBorders>
            <w:shd w:val="clear" w:color="auto" w:fill="auto"/>
            <w:noWrap/>
            <w:vAlign w:val="center"/>
            <w:hideMark/>
          </w:tcPr>
          <w:p w:rsidR="00187324" w:rsidRPr="00122909" w:rsidRDefault="00187324" w:rsidP="008B1D06">
            <w:pPr>
              <w:jc w:val="center"/>
              <w:rPr>
                <w:color w:val="000000"/>
                <w:sz w:val="22"/>
                <w:szCs w:val="22"/>
              </w:rPr>
            </w:pPr>
            <w:r w:rsidRPr="00122909">
              <w:rPr>
                <w:color w:val="000000"/>
                <w:sz w:val="22"/>
                <w:szCs w:val="22"/>
              </w:rPr>
              <w:t>1 595 553</w:t>
            </w:r>
          </w:p>
        </w:tc>
        <w:tc>
          <w:tcPr>
            <w:tcW w:w="645" w:type="pct"/>
            <w:tcBorders>
              <w:top w:val="nil"/>
              <w:left w:val="nil"/>
              <w:bottom w:val="single" w:sz="4" w:space="0" w:color="000000"/>
              <w:right w:val="single" w:sz="4" w:space="0" w:color="000000"/>
            </w:tcBorders>
            <w:shd w:val="clear" w:color="auto" w:fill="auto"/>
            <w:noWrap/>
            <w:vAlign w:val="center"/>
            <w:hideMark/>
          </w:tcPr>
          <w:p w:rsidR="00187324" w:rsidRPr="00122909" w:rsidRDefault="00187324" w:rsidP="008B1D06">
            <w:pPr>
              <w:jc w:val="center"/>
              <w:rPr>
                <w:color w:val="000000"/>
                <w:sz w:val="22"/>
                <w:szCs w:val="22"/>
              </w:rPr>
            </w:pPr>
            <w:r w:rsidRPr="00122909">
              <w:rPr>
                <w:color w:val="000000"/>
                <w:sz w:val="22"/>
                <w:szCs w:val="22"/>
              </w:rPr>
              <w:t>1 687 271</w:t>
            </w:r>
          </w:p>
        </w:tc>
        <w:tc>
          <w:tcPr>
            <w:tcW w:w="646" w:type="pct"/>
            <w:tcBorders>
              <w:top w:val="nil"/>
              <w:left w:val="nil"/>
              <w:bottom w:val="single" w:sz="4" w:space="0" w:color="000000"/>
              <w:right w:val="single" w:sz="4" w:space="0" w:color="000000"/>
            </w:tcBorders>
            <w:shd w:val="clear" w:color="auto" w:fill="auto"/>
            <w:noWrap/>
            <w:vAlign w:val="center"/>
            <w:hideMark/>
          </w:tcPr>
          <w:p w:rsidR="00187324" w:rsidRPr="00122909" w:rsidRDefault="00187324" w:rsidP="008B1D06">
            <w:pPr>
              <w:jc w:val="center"/>
              <w:rPr>
                <w:color w:val="000000"/>
                <w:sz w:val="22"/>
                <w:szCs w:val="22"/>
              </w:rPr>
            </w:pPr>
            <w:r w:rsidRPr="00122909">
              <w:rPr>
                <w:color w:val="000000"/>
                <w:sz w:val="22"/>
                <w:szCs w:val="22"/>
              </w:rPr>
              <w:t>1 784 498</w:t>
            </w:r>
          </w:p>
        </w:tc>
      </w:tr>
      <w:tr w:rsidR="00187324" w:rsidRPr="00461DAC" w:rsidTr="008B1D06">
        <w:trPr>
          <w:trHeight w:val="885"/>
        </w:trPr>
        <w:tc>
          <w:tcPr>
            <w:tcW w:w="149" w:type="pct"/>
            <w:vMerge w:val="restart"/>
            <w:tcBorders>
              <w:top w:val="nil"/>
              <w:left w:val="single" w:sz="4" w:space="0" w:color="000000"/>
              <w:bottom w:val="nil"/>
              <w:right w:val="single" w:sz="4" w:space="0" w:color="000000"/>
            </w:tcBorders>
            <w:shd w:val="clear" w:color="auto" w:fill="auto"/>
            <w:noWrap/>
            <w:vAlign w:val="center"/>
            <w:hideMark/>
          </w:tcPr>
          <w:p w:rsidR="00187324" w:rsidRPr="00461DAC" w:rsidRDefault="00187324" w:rsidP="008B1D06">
            <w:pPr>
              <w:jc w:val="center"/>
              <w:rPr>
                <w:color w:val="000000"/>
                <w:sz w:val="20"/>
                <w:szCs w:val="20"/>
              </w:rPr>
            </w:pPr>
            <w:r w:rsidRPr="00461DAC">
              <w:rPr>
                <w:color w:val="000000"/>
                <w:sz w:val="20"/>
                <w:szCs w:val="20"/>
              </w:rPr>
              <w:t>4</w:t>
            </w:r>
          </w:p>
        </w:tc>
        <w:tc>
          <w:tcPr>
            <w:tcW w:w="1501" w:type="pct"/>
            <w:tcBorders>
              <w:top w:val="nil"/>
              <w:left w:val="nil"/>
              <w:bottom w:val="single" w:sz="4" w:space="0" w:color="000000"/>
              <w:right w:val="single" w:sz="4" w:space="0" w:color="000000"/>
            </w:tcBorders>
            <w:shd w:val="clear" w:color="auto" w:fill="auto"/>
            <w:vAlign w:val="center"/>
            <w:hideMark/>
          </w:tcPr>
          <w:p w:rsidR="00187324" w:rsidRPr="00461DAC" w:rsidRDefault="00187324" w:rsidP="008B1D06">
            <w:pPr>
              <w:rPr>
                <w:color w:val="000000"/>
                <w:sz w:val="20"/>
                <w:szCs w:val="20"/>
              </w:rPr>
            </w:pPr>
            <w:r w:rsidRPr="00461DAC">
              <w:rPr>
                <w:color w:val="000000"/>
                <w:sz w:val="20"/>
                <w:szCs w:val="20"/>
              </w:rPr>
              <w:t>Корректирующая сумма поступлений, учитывающая изменения законодательства о налогах и сборах, а также другие факторы - всего, тыс. рублей</w:t>
            </w:r>
            <w:r w:rsidRPr="00461DAC">
              <w:rPr>
                <w:color w:val="000000"/>
                <w:sz w:val="20"/>
                <w:szCs w:val="20"/>
              </w:rPr>
              <w:br/>
              <w:t>в том числе:</w:t>
            </w:r>
          </w:p>
        </w:tc>
        <w:tc>
          <w:tcPr>
            <w:tcW w:w="767" w:type="pct"/>
            <w:tcBorders>
              <w:top w:val="nil"/>
              <w:left w:val="nil"/>
              <w:bottom w:val="single" w:sz="4" w:space="0" w:color="000000"/>
              <w:right w:val="single" w:sz="4" w:space="0" w:color="000000"/>
            </w:tcBorders>
            <w:shd w:val="clear" w:color="auto" w:fill="auto"/>
            <w:noWrap/>
            <w:vAlign w:val="center"/>
            <w:hideMark/>
          </w:tcPr>
          <w:p w:rsidR="00187324" w:rsidRPr="00122909" w:rsidRDefault="00187324" w:rsidP="008B1D06">
            <w:pPr>
              <w:jc w:val="center"/>
              <w:rPr>
                <w:color w:val="000000"/>
                <w:sz w:val="22"/>
                <w:szCs w:val="22"/>
              </w:rPr>
            </w:pPr>
            <w:r w:rsidRPr="00122909">
              <w:rPr>
                <w:color w:val="000000"/>
                <w:sz w:val="22"/>
                <w:szCs w:val="22"/>
              </w:rPr>
              <w:t>х</w:t>
            </w:r>
          </w:p>
        </w:tc>
        <w:tc>
          <w:tcPr>
            <w:tcW w:w="645" w:type="pct"/>
            <w:tcBorders>
              <w:top w:val="nil"/>
              <w:left w:val="nil"/>
              <w:bottom w:val="single" w:sz="4" w:space="0" w:color="000000"/>
              <w:right w:val="single" w:sz="4" w:space="0" w:color="000000"/>
            </w:tcBorders>
            <w:shd w:val="clear" w:color="auto" w:fill="auto"/>
            <w:noWrap/>
            <w:vAlign w:val="center"/>
            <w:hideMark/>
          </w:tcPr>
          <w:p w:rsidR="00187324" w:rsidRPr="00122909" w:rsidRDefault="00187324" w:rsidP="008B1D06">
            <w:pPr>
              <w:jc w:val="center"/>
              <w:rPr>
                <w:color w:val="000000"/>
                <w:sz w:val="22"/>
                <w:szCs w:val="22"/>
              </w:rPr>
            </w:pPr>
            <w:r w:rsidRPr="00122909">
              <w:rPr>
                <w:color w:val="000000"/>
                <w:sz w:val="22"/>
                <w:szCs w:val="22"/>
              </w:rPr>
              <w:t>82 227</w:t>
            </w:r>
          </w:p>
        </w:tc>
        <w:tc>
          <w:tcPr>
            <w:tcW w:w="645" w:type="pct"/>
            <w:tcBorders>
              <w:top w:val="nil"/>
              <w:left w:val="nil"/>
              <w:bottom w:val="single" w:sz="4" w:space="0" w:color="000000"/>
              <w:right w:val="single" w:sz="4" w:space="0" w:color="000000"/>
            </w:tcBorders>
            <w:shd w:val="clear" w:color="auto" w:fill="auto"/>
            <w:noWrap/>
            <w:vAlign w:val="center"/>
            <w:hideMark/>
          </w:tcPr>
          <w:p w:rsidR="00187324" w:rsidRPr="00122909" w:rsidRDefault="00187324" w:rsidP="008B1D06">
            <w:pPr>
              <w:jc w:val="center"/>
              <w:rPr>
                <w:color w:val="000000"/>
                <w:sz w:val="22"/>
                <w:szCs w:val="22"/>
              </w:rPr>
            </w:pPr>
            <w:r w:rsidRPr="00122909">
              <w:rPr>
                <w:color w:val="000000"/>
                <w:sz w:val="22"/>
                <w:szCs w:val="22"/>
              </w:rPr>
              <w:t>88 677</w:t>
            </w:r>
          </w:p>
        </w:tc>
        <w:tc>
          <w:tcPr>
            <w:tcW w:w="645" w:type="pct"/>
            <w:tcBorders>
              <w:top w:val="nil"/>
              <w:left w:val="nil"/>
              <w:bottom w:val="single" w:sz="4" w:space="0" w:color="000000"/>
              <w:right w:val="single" w:sz="4" w:space="0" w:color="000000"/>
            </w:tcBorders>
            <w:shd w:val="clear" w:color="auto" w:fill="auto"/>
            <w:noWrap/>
            <w:vAlign w:val="center"/>
            <w:hideMark/>
          </w:tcPr>
          <w:p w:rsidR="00187324" w:rsidRPr="00122909" w:rsidRDefault="00187324" w:rsidP="008B1D06">
            <w:pPr>
              <w:jc w:val="center"/>
              <w:rPr>
                <w:color w:val="000000"/>
                <w:sz w:val="22"/>
                <w:szCs w:val="22"/>
              </w:rPr>
            </w:pPr>
            <w:r w:rsidRPr="00122909">
              <w:rPr>
                <w:color w:val="000000"/>
                <w:sz w:val="22"/>
                <w:szCs w:val="22"/>
              </w:rPr>
              <w:t>96 693</w:t>
            </w:r>
          </w:p>
        </w:tc>
        <w:tc>
          <w:tcPr>
            <w:tcW w:w="646" w:type="pct"/>
            <w:tcBorders>
              <w:top w:val="nil"/>
              <w:left w:val="nil"/>
              <w:bottom w:val="single" w:sz="4" w:space="0" w:color="000000"/>
              <w:right w:val="single" w:sz="4" w:space="0" w:color="000000"/>
            </w:tcBorders>
            <w:shd w:val="clear" w:color="auto" w:fill="auto"/>
            <w:noWrap/>
            <w:vAlign w:val="center"/>
            <w:hideMark/>
          </w:tcPr>
          <w:p w:rsidR="00187324" w:rsidRPr="00122909" w:rsidRDefault="00187324" w:rsidP="008B1D06">
            <w:pPr>
              <w:jc w:val="center"/>
              <w:rPr>
                <w:color w:val="000000"/>
                <w:sz w:val="22"/>
                <w:szCs w:val="22"/>
              </w:rPr>
            </w:pPr>
            <w:r w:rsidRPr="00122909">
              <w:rPr>
                <w:color w:val="000000"/>
                <w:sz w:val="22"/>
                <w:szCs w:val="22"/>
              </w:rPr>
              <w:t>105 624</w:t>
            </w:r>
          </w:p>
        </w:tc>
      </w:tr>
      <w:tr w:rsidR="00187324" w:rsidRPr="00461DAC" w:rsidTr="008B1D06">
        <w:trPr>
          <w:trHeight w:val="214"/>
        </w:trPr>
        <w:tc>
          <w:tcPr>
            <w:tcW w:w="149" w:type="pct"/>
            <w:vMerge/>
            <w:tcBorders>
              <w:top w:val="nil"/>
              <w:left w:val="single" w:sz="4" w:space="0" w:color="000000"/>
              <w:bottom w:val="nil"/>
              <w:right w:val="single" w:sz="4" w:space="0" w:color="000000"/>
            </w:tcBorders>
            <w:vAlign w:val="center"/>
            <w:hideMark/>
          </w:tcPr>
          <w:p w:rsidR="00187324" w:rsidRPr="00461DAC" w:rsidRDefault="00187324" w:rsidP="008B1D06">
            <w:pPr>
              <w:rPr>
                <w:color w:val="000000"/>
                <w:sz w:val="20"/>
                <w:szCs w:val="20"/>
              </w:rPr>
            </w:pPr>
          </w:p>
        </w:tc>
        <w:tc>
          <w:tcPr>
            <w:tcW w:w="1501" w:type="pct"/>
            <w:tcBorders>
              <w:top w:val="nil"/>
              <w:left w:val="nil"/>
              <w:bottom w:val="single" w:sz="4" w:space="0" w:color="000000"/>
              <w:right w:val="single" w:sz="4" w:space="0" w:color="000000"/>
            </w:tcBorders>
            <w:shd w:val="clear" w:color="auto" w:fill="auto"/>
            <w:vAlign w:val="center"/>
            <w:hideMark/>
          </w:tcPr>
          <w:p w:rsidR="00187324" w:rsidRPr="00461DAC" w:rsidRDefault="00187324" w:rsidP="008B1D06">
            <w:pPr>
              <w:jc w:val="right"/>
              <w:rPr>
                <w:i/>
                <w:iCs/>
                <w:color w:val="000000"/>
                <w:sz w:val="20"/>
                <w:szCs w:val="20"/>
              </w:rPr>
            </w:pPr>
            <w:r w:rsidRPr="00461DAC">
              <w:rPr>
                <w:i/>
                <w:iCs/>
                <w:color w:val="000000"/>
                <w:sz w:val="20"/>
                <w:szCs w:val="20"/>
              </w:rPr>
              <w:t xml:space="preserve">Корректирующая сумма - F1 </w:t>
            </w:r>
          </w:p>
        </w:tc>
        <w:tc>
          <w:tcPr>
            <w:tcW w:w="767" w:type="pct"/>
            <w:tcBorders>
              <w:top w:val="nil"/>
              <w:left w:val="nil"/>
              <w:bottom w:val="single" w:sz="4" w:space="0" w:color="000000"/>
              <w:right w:val="single" w:sz="4" w:space="0" w:color="000000"/>
            </w:tcBorders>
            <w:shd w:val="clear" w:color="auto" w:fill="auto"/>
            <w:noWrap/>
            <w:vAlign w:val="center"/>
            <w:hideMark/>
          </w:tcPr>
          <w:p w:rsidR="00187324" w:rsidRPr="00122909" w:rsidRDefault="00187324" w:rsidP="008B1D06">
            <w:pPr>
              <w:jc w:val="center"/>
              <w:rPr>
                <w:color w:val="000000"/>
                <w:sz w:val="22"/>
                <w:szCs w:val="22"/>
              </w:rPr>
            </w:pPr>
            <w:r w:rsidRPr="00122909">
              <w:rPr>
                <w:color w:val="000000"/>
                <w:sz w:val="22"/>
                <w:szCs w:val="22"/>
              </w:rPr>
              <w:t>х</w:t>
            </w:r>
          </w:p>
        </w:tc>
        <w:tc>
          <w:tcPr>
            <w:tcW w:w="645" w:type="pct"/>
            <w:tcBorders>
              <w:top w:val="nil"/>
              <w:left w:val="nil"/>
              <w:bottom w:val="single" w:sz="4" w:space="0" w:color="000000"/>
              <w:right w:val="single" w:sz="4" w:space="0" w:color="000000"/>
            </w:tcBorders>
            <w:shd w:val="clear" w:color="auto" w:fill="auto"/>
            <w:noWrap/>
            <w:vAlign w:val="center"/>
            <w:hideMark/>
          </w:tcPr>
          <w:p w:rsidR="00187324" w:rsidRPr="00122909" w:rsidRDefault="00187324" w:rsidP="008B1D06">
            <w:pPr>
              <w:jc w:val="center"/>
              <w:rPr>
                <w:color w:val="000000"/>
                <w:sz w:val="22"/>
                <w:szCs w:val="22"/>
              </w:rPr>
            </w:pPr>
            <w:r w:rsidRPr="00122909">
              <w:rPr>
                <w:color w:val="000000"/>
                <w:sz w:val="22"/>
                <w:szCs w:val="22"/>
              </w:rPr>
              <w:t>0</w:t>
            </w:r>
          </w:p>
        </w:tc>
        <w:tc>
          <w:tcPr>
            <w:tcW w:w="645" w:type="pct"/>
            <w:tcBorders>
              <w:top w:val="nil"/>
              <w:left w:val="nil"/>
              <w:bottom w:val="single" w:sz="4" w:space="0" w:color="000000"/>
              <w:right w:val="single" w:sz="4" w:space="0" w:color="000000"/>
            </w:tcBorders>
            <w:shd w:val="clear" w:color="auto" w:fill="auto"/>
            <w:noWrap/>
            <w:vAlign w:val="center"/>
            <w:hideMark/>
          </w:tcPr>
          <w:p w:rsidR="00187324" w:rsidRPr="00122909" w:rsidRDefault="00187324" w:rsidP="008B1D06">
            <w:pPr>
              <w:jc w:val="center"/>
              <w:rPr>
                <w:color w:val="000000"/>
                <w:sz w:val="22"/>
                <w:szCs w:val="22"/>
              </w:rPr>
            </w:pPr>
            <w:r w:rsidRPr="00122909">
              <w:rPr>
                <w:color w:val="000000"/>
                <w:sz w:val="22"/>
                <w:szCs w:val="22"/>
              </w:rPr>
              <w:t>0</w:t>
            </w:r>
          </w:p>
        </w:tc>
        <w:tc>
          <w:tcPr>
            <w:tcW w:w="645" w:type="pct"/>
            <w:tcBorders>
              <w:top w:val="nil"/>
              <w:left w:val="nil"/>
              <w:bottom w:val="single" w:sz="4" w:space="0" w:color="000000"/>
              <w:right w:val="single" w:sz="4" w:space="0" w:color="000000"/>
            </w:tcBorders>
            <w:shd w:val="clear" w:color="auto" w:fill="auto"/>
            <w:noWrap/>
            <w:vAlign w:val="center"/>
            <w:hideMark/>
          </w:tcPr>
          <w:p w:rsidR="00187324" w:rsidRPr="00122909" w:rsidRDefault="00187324" w:rsidP="008B1D06">
            <w:pPr>
              <w:jc w:val="center"/>
              <w:rPr>
                <w:color w:val="000000"/>
                <w:sz w:val="22"/>
                <w:szCs w:val="22"/>
              </w:rPr>
            </w:pPr>
            <w:r w:rsidRPr="00122909">
              <w:rPr>
                <w:color w:val="000000"/>
                <w:sz w:val="22"/>
                <w:szCs w:val="22"/>
              </w:rPr>
              <w:t>0</w:t>
            </w:r>
          </w:p>
        </w:tc>
        <w:tc>
          <w:tcPr>
            <w:tcW w:w="646" w:type="pct"/>
            <w:tcBorders>
              <w:top w:val="nil"/>
              <w:left w:val="nil"/>
              <w:bottom w:val="single" w:sz="4" w:space="0" w:color="000000"/>
              <w:right w:val="single" w:sz="4" w:space="0" w:color="000000"/>
            </w:tcBorders>
            <w:shd w:val="clear" w:color="auto" w:fill="auto"/>
            <w:noWrap/>
            <w:vAlign w:val="center"/>
            <w:hideMark/>
          </w:tcPr>
          <w:p w:rsidR="00187324" w:rsidRPr="00122909" w:rsidRDefault="00187324" w:rsidP="008B1D06">
            <w:pPr>
              <w:jc w:val="center"/>
              <w:rPr>
                <w:color w:val="000000"/>
                <w:sz w:val="22"/>
                <w:szCs w:val="22"/>
              </w:rPr>
            </w:pPr>
            <w:r w:rsidRPr="00122909">
              <w:rPr>
                <w:color w:val="000000"/>
                <w:sz w:val="22"/>
                <w:szCs w:val="22"/>
              </w:rPr>
              <w:t>0</w:t>
            </w:r>
          </w:p>
        </w:tc>
      </w:tr>
      <w:tr w:rsidR="00187324" w:rsidRPr="00461DAC" w:rsidTr="008B1D06">
        <w:trPr>
          <w:trHeight w:val="480"/>
        </w:trPr>
        <w:tc>
          <w:tcPr>
            <w:tcW w:w="149" w:type="pct"/>
            <w:vMerge/>
            <w:tcBorders>
              <w:top w:val="nil"/>
              <w:left w:val="single" w:sz="4" w:space="0" w:color="000000"/>
              <w:bottom w:val="nil"/>
              <w:right w:val="single" w:sz="4" w:space="0" w:color="000000"/>
            </w:tcBorders>
            <w:vAlign w:val="center"/>
            <w:hideMark/>
          </w:tcPr>
          <w:p w:rsidR="00187324" w:rsidRPr="00461DAC" w:rsidRDefault="00187324" w:rsidP="008B1D06">
            <w:pPr>
              <w:rPr>
                <w:color w:val="000000"/>
                <w:sz w:val="20"/>
                <w:szCs w:val="20"/>
              </w:rPr>
            </w:pPr>
          </w:p>
        </w:tc>
        <w:tc>
          <w:tcPr>
            <w:tcW w:w="1501" w:type="pct"/>
            <w:tcBorders>
              <w:top w:val="nil"/>
              <w:left w:val="nil"/>
              <w:bottom w:val="single" w:sz="4" w:space="0" w:color="000000"/>
              <w:right w:val="single" w:sz="4" w:space="0" w:color="000000"/>
            </w:tcBorders>
            <w:shd w:val="clear" w:color="auto" w:fill="auto"/>
            <w:vAlign w:val="center"/>
            <w:hideMark/>
          </w:tcPr>
          <w:p w:rsidR="00187324" w:rsidRPr="00461DAC" w:rsidRDefault="00187324" w:rsidP="008B1D06">
            <w:pPr>
              <w:jc w:val="right"/>
              <w:rPr>
                <w:i/>
                <w:iCs/>
                <w:color w:val="000000"/>
                <w:sz w:val="20"/>
                <w:szCs w:val="20"/>
              </w:rPr>
            </w:pPr>
            <w:r w:rsidRPr="00461DAC">
              <w:rPr>
                <w:i/>
                <w:iCs/>
                <w:color w:val="000000"/>
                <w:sz w:val="20"/>
                <w:szCs w:val="20"/>
              </w:rPr>
              <w:t>Корректирующая сумма  - F2 (динамика поступлений в отдельных МО)</w:t>
            </w:r>
          </w:p>
        </w:tc>
        <w:tc>
          <w:tcPr>
            <w:tcW w:w="767" w:type="pct"/>
            <w:tcBorders>
              <w:top w:val="nil"/>
              <w:left w:val="nil"/>
              <w:bottom w:val="single" w:sz="4" w:space="0" w:color="000000"/>
              <w:right w:val="single" w:sz="4" w:space="0" w:color="000000"/>
            </w:tcBorders>
            <w:shd w:val="clear" w:color="auto" w:fill="auto"/>
            <w:noWrap/>
            <w:vAlign w:val="center"/>
            <w:hideMark/>
          </w:tcPr>
          <w:p w:rsidR="00187324" w:rsidRPr="00122909" w:rsidRDefault="00187324" w:rsidP="008B1D06">
            <w:pPr>
              <w:jc w:val="center"/>
              <w:rPr>
                <w:color w:val="000000"/>
                <w:sz w:val="22"/>
                <w:szCs w:val="22"/>
              </w:rPr>
            </w:pPr>
            <w:r w:rsidRPr="00122909">
              <w:rPr>
                <w:color w:val="000000"/>
                <w:sz w:val="22"/>
                <w:szCs w:val="22"/>
              </w:rPr>
              <w:t>х</w:t>
            </w:r>
          </w:p>
        </w:tc>
        <w:tc>
          <w:tcPr>
            <w:tcW w:w="645" w:type="pct"/>
            <w:tcBorders>
              <w:top w:val="nil"/>
              <w:left w:val="nil"/>
              <w:bottom w:val="single" w:sz="4" w:space="0" w:color="000000"/>
              <w:right w:val="single" w:sz="4" w:space="0" w:color="000000"/>
            </w:tcBorders>
            <w:shd w:val="clear" w:color="auto" w:fill="auto"/>
            <w:noWrap/>
            <w:vAlign w:val="center"/>
            <w:hideMark/>
          </w:tcPr>
          <w:p w:rsidR="00187324" w:rsidRPr="00122909" w:rsidRDefault="00187324" w:rsidP="008B1D06">
            <w:pPr>
              <w:jc w:val="center"/>
              <w:rPr>
                <w:color w:val="000000"/>
                <w:sz w:val="22"/>
                <w:szCs w:val="22"/>
              </w:rPr>
            </w:pPr>
            <w:r w:rsidRPr="00122909">
              <w:rPr>
                <w:color w:val="000000"/>
                <w:sz w:val="22"/>
                <w:szCs w:val="22"/>
              </w:rPr>
              <w:t>82 227</w:t>
            </w:r>
          </w:p>
        </w:tc>
        <w:tc>
          <w:tcPr>
            <w:tcW w:w="645" w:type="pct"/>
            <w:tcBorders>
              <w:top w:val="nil"/>
              <w:left w:val="nil"/>
              <w:bottom w:val="single" w:sz="4" w:space="0" w:color="000000"/>
              <w:right w:val="single" w:sz="4" w:space="0" w:color="000000"/>
            </w:tcBorders>
            <w:shd w:val="clear" w:color="auto" w:fill="auto"/>
            <w:noWrap/>
            <w:vAlign w:val="center"/>
            <w:hideMark/>
          </w:tcPr>
          <w:p w:rsidR="00187324" w:rsidRPr="00122909" w:rsidRDefault="00187324" w:rsidP="008B1D06">
            <w:pPr>
              <w:jc w:val="center"/>
              <w:rPr>
                <w:color w:val="000000"/>
                <w:sz w:val="22"/>
                <w:szCs w:val="22"/>
              </w:rPr>
            </w:pPr>
            <w:r w:rsidRPr="00122909">
              <w:rPr>
                <w:color w:val="000000"/>
                <w:sz w:val="22"/>
                <w:szCs w:val="22"/>
              </w:rPr>
              <w:t>88 677</w:t>
            </w:r>
          </w:p>
        </w:tc>
        <w:tc>
          <w:tcPr>
            <w:tcW w:w="645" w:type="pct"/>
            <w:tcBorders>
              <w:top w:val="nil"/>
              <w:left w:val="nil"/>
              <w:bottom w:val="single" w:sz="4" w:space="0" w:color="000000"/>
              <w:right w:val="single" w:sz="4" w:space="0" w:color="000000"/>
            </w:tcBorders>
            <w:shd w:val="clear" w:color="auto" w:fill="auto"/>
            <w:noWrap/>
            <w:vAlign w:val="center"/>
            <w:hideMark/>
          </w:tcPr>
          <w:p w:rsidR="00187324" w:rsidRPr="00122909" w:rsidRDefault="00187324" w:rsidP="008B1D06">
            <w:pPr>
              <w:jc w:val="center"/>
              <w:rPr>
                <w:color w:val="000000"/>
                <w:sz w:val="22"/>
                <w:szCs w:val="22"/>
              </w:rPr>
            </w:pPr>
            <w:r w:rsidRPr="00122909">
              <w:rPr>
                <w:color w:val="000000"/>
                <w:sz w:val="22"/>
                <w:szCs w:val="22"/>
              </w:rPr>
              <w:t>96 693</w:t>
            </w:r>
          </w:p>
        </w:tc>
        <w:tc>
          <w:tcPr>
            <w:tcW w:w="646" w:type="pct"/>
            <w:tcBorders>
              <w:top w:val="nil"/>
              <w:left w:val="nil"/>
              <w:bottom w:val="single" w:sz="4" w:space="0" w:color="000000"/>
              <w:right w:val="single" w:sz="4" w:space="0" w:color="000000"/>
            </w:tcBorders>
            <w:shd w:val="clear" w:color="auto" w:fill="auto"/>
            <w:noWrap/>
            <w:vAlign w:val="center"/>
            <w:hideMark/>
          </w:tcPr>
          <w:p w:rsidR="00187324" w:rsidRPr="00122909" w:rsidRDefault="00187324" w:rsidP="008B1D06">
            <w:pPr>
              <w:jc w:val="center"/>
              <w:rPr>
                <w:color w:val="000000"/>
                <w:sz w:val="22"/>
                <w:szCs w:val="22"/>
              </w:rPr>
            </w:pPr>
            <w:r w:rsidRPr="00122909">
              <w:rPr>
                <w:color w:val="000000"/>
                <w:sz w:val="22"/>
                <w:szCs w:val="22"/>
              </w:rPr>
              <w:t>105 624</w:t>
            </w:r>
          </w:p>
        </w:tc>
      </w:tr>
      <w:tr w:rsidR="00187324" w:rsidRPr="00461DAC" w:rsidTr="008B1D06">
        <w:trPr>
          <w:trHeight w:val="570"/>
        </w:trPr>
        <w:tc>
          <w:tcPr>
            <w:tcW w:w="149" w:type="pct"/>
            <w:tcBorders>
              <w:top w:val="nil"/>
              <w:left w:val="single" w:sz="4" w:space="0" w:color="000000"/>
              <w:bottom w:val="single" w:sz="4" w:space="0" w:color="000000"/>
              <w:right w:val="single" w:sz="4" w:space="0" w:color="000000"/>
            </w:tcBorders>
            <w:shd w:val="clear" w:color="auto" w:fill="auto"/>
            <w:noWrap/>
            <w:vAlign w:val="center"/>
            <w:hideMark/>
          </w:tcPr>
          <w:p w:rsidR="00187324" w:rsidRPr="00461DAC" w:rsidRDefault="00187324" w:rsidP="008B1D06">
            <w:pPr>
              <w:jc w:val="center"/>
              <w:rPr>
                <w:color w:val="000000"/>
                <w:sz w:val="20"/>
                <w:szCs w:val="20"/>
              </w:rPr>
            </w:pPr>
            <w:r w:rsidRPr="00461DAC">
              <w:rPr>
                <w:color w:val="000000"/>
                <w:sz w:val="20"/>
                <w:szCs w:val="20"/>
              </w:rPr>
              <w:t>5</w:t>
            </w:r>
          </w:p>
        </w:tc>
        <w:tc>
          <w:tcPr>
            <w:tcW w:w="1501" w:type="pct"/>
            <w:tcBorders>
              <w:top w:val="nil"/>
              <w:left w:val="nil"/>
              <w:bottom w:val="single" w:sz="4" w:space="0" w:color="000000"/>
              <w:right w:val="single" w:sz="4" w:space="0" w:color="000000"/>
            </w:tcBorders>
            <w:shd w:val="clear" w:color="auto" w:fill="auto"/>
            <w:vAlign w:val="center"/>
            <w:hideMark/>
          </w:tcPr>
          <w:p w:rsidR="00187324" w:rsidRPr="00461DAC" w:rsidRDefault="00187324" w:rsidP="008B1D06">
            <w:pPr>
              <w:rPr>
                <w:color w:val="000000"/>
                <w:sz w:val="20"/>
                <w:szCs w:val="20"/>
              </w:rPr>
            </w:pPr>
            <w:r w:rsidRPr="00461DAC">
              <w:rPr>
                <w:color w:val="000000"/>
                <w:sz w:val="20"/>
                <w:szCs w:val="20"/>
              </w:rPr>
              <w:t>Расчетный уровень собираемости,%</w:t>
            </w:r>
          </w:p>
        </w:tc>
        <w:tc>
          <w:tcPr>
            <w:tcW w:w="767" w:type="pct"/>
            <w:tcBorders>
              <w:top w:val="nil"/>
              <w:left w:val="nil"/>
              <w:bottom w:val="single" w:sz="4" w:space="0" w:color="000000"/>
              <w:right w:val="single" w:sz="4" w:space="0" w:color="000000"/>
            </w:tcBorders>
            <w:shd w:val="clear" w:color="auto" w:fill="auto"/>
            <w:noWrap/>
            <w:vAlign w:val="center"/>
            <w:hideMark/>
          </w:tcPr>
          <w:p w:rsidR="00187324" w:rsidRPr="00122909" w:rsidRDefault="00187324" w:rsidP="008B1D06">
            <w:pPr>
              <w:jc w:val="center"/>
              <w:rPr>
                <w:color w:val="000000"/>
                <w:sz w:val="22"/>
                <w:szCs w:val="22"/>
              </w:rPr>
            </w:pPr>
            <w:r w:rsidRPr="00122909">
              <w:rPr>
                <w:color w:val="000000"/>
                <w:sz w:val="22"/>
                <w:szCs w:val="22"/>
              </w:rPr>
              <w:t>105,6</w:t>
            </w:r>
          </w:p>
        </w:tc>
        <w:tc>
          <w:tcPr>
            <w:tcW w:w="645" w:type="pct"/>
            <w:tcBorders>
              <w:top w:val="nil"/>
              <w:left w:val="nil"/>
              <w:bottom w:val="single" w:sz="4" w:space="0" w:color="000000"/>
              <w:right w:val="single" w:sz="4" w:space="0" w:color="000000"/>
            </w:tcBorders>
            <w:shd w:val="clear" w:color="auto" w:fill="auto"/>
            <w:noWrap/>
            <w:vAlign w:val="center"/>
            <w:hideMark/>
          </w:tcPr>
          <w:p w:rsidR="00187324" w:rsidRPr="00122909" w:rsidRDefault="00187324" w:rsidP="008B1D06">
            <w:pPr>
              <w:jc w:val="center"/>
              <w:rPr>
                <w:color w:val="000000"/>
                <w:sz w:val="22"/>
                <w:szCs w:val="22"/>
              </w:rPr>
            </w:pPr>
            <w:r w:rsidRPr="00122909">
              <w:rPr>
                <w:color w:val="000000"/>
                <w:sz w:val="22"/>
                <w:szCs w:val="22"/>
              </w:rPr>
              <w:t>105,6</w:t>
            </w:r>
          </w:p>
        </w:tc>
        <w:tc>
          <w:tcPr>
            <w:tcW w:w="645" w:type="pct"/>
            <w:tcBorders>
              <w:top w:val="nil"/>
              <w:left w:val="nil"/>
              <w:bottom w:val="single" w:sz="4" w:space="0" w:color="000000"/>
              <w:right w:val="single" w:sz="4" w:space="0" w:color="000000"/>
            </w:tcBorders>
            <w:shd w:val="clear" w:color="auto" w:fill="auto"/>
            <w:noWrap/>
            <w:vAlign w:val="center"/>
            <w:hideMark/>
          </w:tcPr>
          <w:p w:rsidR="00187324" w:rsidRPr="00122909" w:rsidRDefault="00187324" w:rsidP="008B1D06">
            <w:pPr>
              <w:jc w:val="center"/>
              <w:rPr>
                <w:color w:val="000000"/>
                <w:sz w:val="22"/>
                <w:szCs w:val="22"/>
              </w:rPr>
            </w:pPr>
            <w:r w:rsidRPr="00122909">
              <w:rPr>
                <w:color w:val="000000"/>
                <w:sz w:val="22"/>
                <w:szCs w:val="22"/>
              </w:rPr>
              <w:t>105,6</w:t>
            </w:r>
          </w:p>
        </w:tc>
        <w:tc>
          <w:tcPr>
            <w:tcW w:w="645" w:type="pct"/>
            <w:tcBorders>
              <w:top w:val="nil"/>
              <w:left w:val="nil"/>
              <w:bottom w:val="single" w:sz="4" w:space="0" w:color="000000"/>
              <w:right w:val="single" w:sz="4" w:space="0" w:color="000000"/>
            </w:tcBorders>
            <w:shd w:val="clear" w:color="auto" w:fill="auto"/>
            <w:noWrap/>
            <w:vAlign w:val="center"/>
            <w:hideMark/>
          </w:tcPr>
          <w:p w:rsidR="00187324" w:rsidRPr="00122909" w:rsidRDefault="00187324" w:rsidP="008B1D06">
            <w:pPr>
              <w:jc w:val="center"/>
              <w:rPr>
                <w:color w:val="000000"/>
                <w:sz w:val="22"/>
                <w:szCs w:val="22"/>
              </w:rPr>
            </w:pPr>
            <w:r w:rsidRPr="00122909">
              <w:rPr>
                <w:color w:val="000000"/>
                <w:sz w:val="22"/>
                <w:szCs w:val="22"/>
              </w:rPr>
              <w:t>105,6</w:t>
            </w:r>
          </w:p>
        </w:tc>
        <w:tc>
          <w:tcPr>
            <w:tcW w:w="646" w:type="pct"/>
            <w:tcBorders>
              <w:top w:val="nil"/>
              <w:left w:val="nil"/>
              <w:bottom w:val="single" w:sz="4" w:space="0" w:color="000000"/>
              <w:right w:val="single" w:sz="4" w:space="0" w:color="000000"/>
            </w:tcBorders>
            <w:shd w:val="clear" w:color="auto" w:fill="auto"/>
            <w:noWrap/>
            <w:vAlign w:val="center"/>
            <w:hideMark/>
          </w:tcPr>
          <w:p w:rsidR="00187324" w:rsidRPr="00122909" w:rsidRDefault="00187324" w:rsidP="008B1D06">
            <w:pPr>
              <w:jc w:val="center"/>
              <w:rPr>
                <w:color w:val="000000"/>
                <w:sz w:val="22"/>
                <w:szCs w:val="22"/>
              </w:rPr>
            </w:pPr>
            <w:r w:rsidRPr="00122909">
              <w:rPr>
                <w:color w:val="000000"/>
                <w:sz w:val="22"/>
                <w:szCs w:val="22"/>
              </w:rPr>
              <w:t>105,6</w:t>
            </w:r>
          </w:p>
        </w:tc>
      </w:tr>
      <w:tr w:rsidR="00187324" w:rsidRPr="00461DAC" w:rsidTr="008B1D06">
        <w:trPr>
          <w:trHeight w:val="1117"/>
        </w:trPr>
        <w:tc>
          <w:tcPr>
            <w:tcW w:w="149" w:type="pct"/>
            <w:tcBorders>
              <w:top w:val="nil"/>
              <w:left w:val="single" w:sz="4" w:space="0" w:color="000000"/>
              <w:bottom w:val="single" w:sz="4" w:space="0" w:color="000000"/>
              <w:right w:val="single" w:sz="4" w:space="0" w:color="000000"/>
            </w:tcBorders>
            <w:shd w:val="clear" w:color="auto" w:fill="auto"/>
            <w:noWrap/>
            <w:vAlign w:val="center"/>
            <w:hideMark/>
          </w:tcPr>
          <w:p w:rsidR="00187324" w:rsidRPr="00461DAC" w:rsidRDefault="00187324" w:rsidP="008B1D06">
            <w:pPr>
              <w:jc w:val="center"/>
              <w:rPr>
                <w:color w:val="000000"/>
                <w:sz w:val="20"/>
                <w:szCs w:val="20"/>
              </w:rPr>
            </w:pPr>
            <w:r w:rsidRPr="00461DAC">
              <w:rPr>
                <w:color w:val="000000"/>
                <w:sz w:val="20"/>
                <w:szCs w:val="20"/>
              </w:rPr>
              <w:t>6</w:t>
            </w:r>
          </w:p>
        </w:tc>
        <w:tc>
          <w:tcPr>
            <w:tcW w:w="1501" w:type="pct"/>
            <w:tcBorders>
              <w:top w:val="nil"/>
              <w:left w:val="nil"/>
              <w:bottom w:val="single" w:sz="4" w:space="0" w:color="000000"/>
              <w:right w:val="single" w:sz="4" w:space="0" w:color="000000"/>
            </w:tcBorders>
            <w:shd w:val="clear" w:color="auto" w:fill="auto"/>
            <w:vAlign w:val="center"/>
            <w:hideMark/>
          </w:tcPr>
          <w:p w:rsidR="00187324" w:rsidRPr="00461DAC" w:rsidRDefault="00187324" w:rsidP="008B1D06">
            <w:pPr>
              <w:rPr>
                <w:b/>
                <w:bCs/>
                <w:color w:val="000000"/>
                <w:sz w:val="20"/>
                <w:szCs w:val="20"/>
              </w:rPr>
            </w:pPr>
            <w:r w:rsidRPr="00461DAC">
              <w:rPr>
                <w:b/>
                <w:bCs/>
                <w:color w:val="000000"/>
                <w:sz w:val="20"/>
                <w:szCs w:val="20"/>
              </w:rPr>
              <w:t>Поступление налога, взимаемого в связи с применением упрощенной системы налогообложения (объект налогообложения - доходы), тыс. рублей</w:t>
            </w:r>
          </w:p>
        </w:tc>
        <w:tc>
          <w:tcPr>
            <w:tcW w:w="767" w:type="pct"/>
            <w:tcBorders>
              <w:top w:val="nil"/>
              <w:left w:val="nil"/>
              <w:bottom w:val="single" w:sz="4" w:space="0" w:color="000000"/>
              <w:right w:val="single" w:sz="4" w:space="0" w:color="000000"/>
            </w:tcBorders>
            <w:shd w:val="clear" w:color="auto" w:fill="auto"/>
            <w:noWrap/>
            <w:vAlign w:val="center"/>
            <w:hideMark/>
          </w:tcPr>
          <w:p w:rsidR="00187324" w:rsidRPr="00122909" w:rsidRDefault="00187324" w:rsidP="008B1D06">
            <w:pPr>
              <w:jc w:val="center"/>
              <w:rPr>
                <w:b/>
                <w:bCs/>
                <w:color w:val="000000"/>
                <w:sz w:val="22"/>
                <w:szCs w:val="22"/>
              </w:rPr>
            </w:pPr>
            <w:r w:rsidRPr="00122909">
              <w:rPr>
                <w:b/>
                <w:bCs/>
                <w:color w:val="000000"/>
                <w:sz w:val="22"/>
                <w:szCs w:val="22"/>
              </w:rPr>
              <w:t>2 495 077</w:t>
            </w:r>
          </w:p>
        </w:tc>
        <w:tc>
          <w:tcPr>
            <w:tcW w:w="645" w:type="pct"/>
            <w:tcBorders>
              <w:top w:val="nil"/>
              <w:left w:val="nil"/>
              <w:bottom w:val="single" w:sz="4" w:space="0" w:color="000000"/>
              <w:right w:val="single" w:sz="4" w:space="0" w:color="000000"/>
            </w:tcBorders>
            <w:shd w:val="clear" w:color="auto" w:fill="auto"/>
            <w:noWrap/>
            <w:vAlign w:val="center"/>
            <w:hideMark/>
          </w:tcPr>
          <w:p w:rsidR="00187324" w:rsidRPr="00122909" w:rsidRDefault="00187324" w:rsidP="008B1D06">
            <w:pPr>
              <w:jc w:val="center"/>
              <w:rPr>
                <w:b/>
                <w:bCs/>
                <w:color w:val="000000"/>
                <w:sz w:val="22"/>
                <w:szCs w:val="22"/>
              </w:rPr>
            </w:pPr>
            <w:r w:rsidRPr="00122909">
              <w:rPr>
                <w:b/>
                <w:bCs/>
                <w:color w:val="000000"/>
                <w:sz w:val="22"/>
                <w:szCs w:val="22"/>
              </w:rPr>
              <w:t>3 336 416</w:t>
            </w:r>
          </w:p>
        </w:tc>
        <w:tc>
          <w:tcPr>
            <w:tcW w:w="645" w:type="pct"/>
            <w:tcBorders>
              <w:top w:val="nil"/>
              <w:left w:val="nil"/>
              <w:bottom w:val="single" w:sz="4" w:space="0" w:color="000000"/>
              <w:right w:val="single" w:sz="4" w:space="0" w:color="000000"/>
            </w:tcBorders>
            <w:shd w:val="clear" w:color="auto" w:fill="auto"/>
            <w:noWrap/>
            <w:vAlign w:val="center"/>
            <w:hideMark/>
          </w:tcPr>
          <w:p w:rsidR="00187324" w:rsidRPr="00122909" w:rsidRDefault="00187324" w:rsidP="008B1D06">
            <w:pPr>
              <w:jc w:val="center"/>
              <w:rPr>
                <w:b/>
                <w:bCs/>
                <w:color w:val="000000"/>
                <w:sz w:val="22"/>
                <w:szCs w:val="22"/>
              </w:rPr>
            </w:pPr>
            <w:r w:rsidRPr="00122909">
              <w:rPr>
                <w:b/>
                <w:bCs/>
                <w:color w:val="000000"/>
                <w:sz w:val="22"/>
                <w:szCs w:val="22"/>
              </w:rPr>
              <w:t>3 530 716</w:t>
            </w:r>
          </w:p>
        </w:tc>
        <w:tc>
          <w:tcPr>
            <w:tcW w:w="645" w:type="pct"/>
            <w:tcBorders>
              <w:top w:val="nil"/>
              <w:left w:val="nil"/>
              <w:bottom w:val="single" w:sz="4" w:space="0" w:color="000000"/>
              <w:right w:val="single" w:sz="4" w:space="0" w:color="000000"/>
            </w:tcBorders>
            <w:shd w:val="clear" w:color="auto" w:fill="auto"/>
            <w:noWrap/>
            <w:vAlign w:val="center"/>
            <w:hideMark/>
          </w:tcPr>
          <w:p w:rsidR="00187324" w:rsidRPr="00122909" w:rsidRDefault="00187324" w:rsidP="008B1D06">
            <w:pPr>
              <w:jc w:val="center"/>
              <w:rPr>
                <w:b/>
                <w:bCs/>
                <w:color w:val="000000"/>
                <w:sz w:val="22"/>
                <w:szCs w:val="22"/>
              </w:rPr>
            </w:pPr>
            <w:r w:rsidRPr="00122909">
              <w:rPr>
                <w:b/>
                <w:bCs/>
                <w:color w:val="000000"/>
                <w:sz w:val="22"/>
                <w:szCs w:val="22"/>
              </w:rPr>
              <w:t>3 742 687</w:t>
            </w:r>
          </w:p>
        </w:tc>
        <w:tc>
          <w:tcPr>
            <w:tcW w:w="646" w:type="pct"/>
            <w:tcBorders>
              <w:top w:val="nil"/>
              <w:left w:val="nil"/>
              <w:bottom w:val="single" w:sz="4" w:space="0" w:color="000000"/>
              <w:right w:val="single" w:sz="4" w:space="0" w:color="000000"/>
            </w:tcBorders>
            <w:shd w:val="clear" w:color="auto" w:fill="auto"/>
            <w:noWrap/>
            <w:vAlign w:val="center"/>
            <w:hideMark/>
          </w:tcPr>
          <w:p w:rsidR="00187324" w:rsidRPr="00122909" w:rsidRDefault="00187324" w:rsidP="008B1D06">
            <w:pPr>
              <w:jc w:val="center"/>
              <w:rPr>
                <w:b/>
                <w:bCs/>
                <w:color w:val="000000"/>
                <w:sz w:val="22"/>
                <w:szCs w:val="22"/>
              </w:rPr>
            </w:pPr>
            <w:r w:rsidRPr="00122909">
              <w:rPr>
                <w:b/>
                <w:bCs/>
                <w:color w:val="000000"/>
                <w:sz w:val="22"/>
                <w:szCs w:val="22"/>
              </w:rPr>
              <w:t>3 968 317</w:t>
            </w:r>
          </w:p>
        </w:tc>
      </w:tr>
    </w:tbl>
    <w:p w:rsidR="00187324" w:rsidRDefault="00187324" w:rsidP="00187324">
      <w:pPr>
        <w:ind w:firstLine="709"/>
        <w:jc w:val="both"/>
        <w:rPr>
          <w:rFonts w:eastAsia="Calibri"/>
          <w:i/>
          <w:sz w:val="20"/>
          <w:szCs w:val="20"/>
        </w:rPr>
        <w:sectPr w:rsidR="00187324" w:rsidSect="008B1D06">
          <w:footerReference w:type="even" r:id="rId20"/>
          <w:footerReference w:type="default" r:id="rId21"/>
          <w:pgSz w:w="11906" w:h="16838"/>
          <w:pgMar w:top="1134" w:right="851" w:bottom="1134" w:left="1134" w:header="709" w:footer="709" w:gutter="0"/>
          <w:cols w:space="708"/>
          <w:docGrid w:linePitch="360"/>
        </w:sectPr>
      </w:pPr>
      <w:r w:rsidRPr="00122909">
        <w:rPr>
          <w:rFonts w:eastAsia="Calibri"/>
          <w:i/>
          <w:sz w:val="20"/>
          <w:szCs w:val="20"/>
        </w:rPr>
        <w:t xml:space="preserve">*Сводные показатели </w:t>
      </w:r>
      <w:r>
        <w:rPr>
          <w:rFonts w:eastAsia="Calibri"/>
          <w:i/>
          <w:sz w:val="20"/>
          <w:szCs w:val="20"/>
        </w:rPr>
        <w:t>расчета определены как</w:t>
      </w:r>
      <w:r w:rsidRPr="00122909">
        <w:rPr>
          <w:rFonts w:eastAsia="Calibri"/>
          <w:i/>
          <w:sz w:val="20"/>
          <w:szCs w:val="20"/>
        </w:rPr>
        <w:t xml:space="preserve"> сумма значений по каждому муниципальному образованию</w:t>
      </w:r>
      <w:r>
        <w:rPr>
          <w:rFonts w:eastAsia="Calibri"/>
          <w:i/>
          <w:sz w:val="20"/>
          <w:szCs w:val="20"/>
        </w:rPr>
        <w:br/>
      </w:r>
    </w:p>
    <w:p w:rsidR="00C333B2" w:rsidRDefault="00C333B2" w:rsidP="00C333B2">
      <w:pPr>
        <w:ind w:firstLine="709"/>
        <w:jc w:val="both"/>
        <w:rPr>
          <w:rFonts w:eastAsia="Calibri"/>
          <w:sz w:val="28"/>
          <w:szCs w:val="28"/>
        </w:rPr>
      </w:pPr>
      <w:r>
        <w:rPr>
          <w:rFonts w:eastAsia="Calibri"/>
          <w:sz w:val="28"/>
          <w:szCs w:val="28"/>
        </w:rPr>
        <w:lastRenderedPageBreak/>
        <w:t>С 2021 года законом о бюджете устанавливаются д</w:t>
      </w:r>
      <w:r w:rsidRPr="001F7D44">
        <w:rPr>
          <w:rFonts w:eastAsia="Calibri"/>
          <w:sz w:val="28"/>
          <w:szCs w:val="28"/>
        </w:rPr>
        <w:t>ифференцированные нормативы отчислений в бюджеты муниципальных районов, муниципальных округов, городских округов, городских округов с внутригородским делением от налога, взимаемого в связи с применением упрощенной системы налогообложения, подлежащего зачислению в соответствии с Бюджетным кодексом Российской Федерации и законодательством о налогах и сборах в областной бюджет</w:t>
      </w:r>
      <w:r>
        <w:rPr>
          <w:rFonts w:eastAsia="Calibri"/>
          <w:sz w:val="28"/>
          <w:szCs w:val="28"/>
        </w:rPr>
        <w:t xml:space="preserve"> </w:t>
      </w:r>
      <w:r w:rsidRPr="00EE5D79">
        <w:rPr>
          <w:rFonts w:eastAsia="Calibri"/>
          <w:sz w:val="28"/>
          <w:szCs w:val="28"/>
        </w:rPr>
        <w:t>(КБК 000 1 05 01011 01 0000 110)</w:t>
      </w:r>
      <w:r>
        <w:rPr>
          <w:rFonts w:eastAsia="Calibri"/>
          <w:sz w:val="28"/>
          <w:szCs w:val="28"/>
        </w:rPr>
        <w:t xml:space="preserve">. Таким образом, поступления УСН в областной бюджет Тверской области </w:t>
      </w:r>
      <w:r>
        <w:rPr>
          <w:rStyle w:val="FontStyle82"/>
          <w:iCs/>
          <w:sz w:val="28"/>
          <w:szCs w:val="28"/>
        </w:rPr>
        <w:t xml:space="preserve">в соответствии с дифференцированными нормативами отчислений в бюджеты муниципальных районов, муниципальных и городских округов </w:t>
      </w:r>
      <w:r>
        <w:rPr>
          <w:rFonts w:eastAsia="Calibri"/>
          <w:sz w:val="28"/>
          <w:szCs w:val="28"/>
        </w:rPr>
        <w:t>в 2022 году составят – 3 094 872,9 тыс. руб., в 2023 году – 3 318 164,8 тыс. руб., в 2024 году – 3 550 765,4 тыс. руб.</w:t>
      </w:r>
    </w:p>
    <w:p w:rsidR="00187324" w:rsidRPr="00694B1A" w:rsidRDefault="00187324" w:rsidP="00187324">
      <w:pPr>
        <w:ind w:firstLine="709"/>
        <w:jc w:val="both"/>
        <w:rPr>
          <w:rFonts w:eastAsia="Calibri"/>
          <w:sz w:val="28"/>
          <w:szCs w:val="28"/>
        </w:rPr>
      </w:pPr>
    </w:p>
    <w:p w:rsidR="00187324" w:rsidRPr="00F93B76" w:rsidRDefault="00187324" w:rsidP="00187324">
      <w:pPr>
        <w:ind w:firstLine="709"/>
        <w:jc w:val="both"/>
        <w:rPr>
          <w:rFonts w:eastAsia="Calibri"/>
          <w:sz w:val="28"/>
          <w:szCs w:val="28"/>
        </w:rPr>
      </w:pPr>
      <w:r w:rsidRPr="00F93B76">
        <w:rPr>
          <w:rFonts w:eastAsia="Calibri"/>
          <w:sz w:val="28"/>
          <w:szCs w:val="28"/>
        </w:rPr>
        <w:t xml:space="preserve">Прогнозируемый объем УСН, уплачиваемый при использовании </w:t>
      </w:r>
      <w:r w:rsidRPr="00F93B76">
        <w:rPr>
          <w:rFonts w:eastAsia="Calibri"/>
          <w:sz w:val="28"/>
          <w:szCs w:val="28"/>
        </w:rPr>
        <w:br/>
        <w:t>в качестве объекта налогообложения доходы, уменьшенные на величину расходов (в том числе по минимальному налогу) (УСН</w:t>
      </w:r>
      <w:r w:rsidRPr="00F93B76">
        <w:rPr>
          <w:rFonts w:eastAsia="Calibri"/>
          <w:sz w:val="28"/>
          <w:szCs w:val="28"/>
          <w:vertAlign w:val="subscript"/>
        </w:rPr>
        <w:t>2</w:t>
      </w:r>
      <w:r w:rsidRPr="00F93B76">
        <w:rPr>
          <w:rFonts w:eastAsia="Calibri"/>
          <w:sz w:val="28"/>
          <w:szCs w:val="28"/>
        </w:rPr>
        <w:t xml:space="preserve">), рассчитывается </w:t>
      </w:r>
      <w:r w:rsidRPr="00F93B76">
        <w:rPr>
          <w:rFonts w:eastAsia="Calibri"/>
          <w:sz w:val="28"/>
          <w:szCs w:val="28"/>
        </w:rPr>
        <w:br/>
        <w:t>по следующей формуле:</w:t>
      </w:r>
    </w:p>
    <w:p w:rsidR="00187324" w:rsidRPr="00F93B76" w:rsidRDefault="00187324" w:rsidP="00187324">
      <w:pPr>
        <w:ind w:firstLine="709"/>
        <w:jc w:val="both"/>
        <w:rPr>
          <w:rFonts w:eastAsia="Calibri"/>
          <w:sz w:val="28"/>
          <w:szCs w:val="28"/>
        </w:rPr>
      </w:pPr>
    </w:p>
    <w:p w:rsidR="00187324" w:rsidRPr="00F93B76" w:rsidRDefault="00187324" w:rsidP="00187324">
      <w:pPr>
        <w:ind w:firstLine="709"/>
        <w:jc w:val="center"/>
        <w:rPr>
          <w:b/>
          <w:iCs/>
          <w:snapToGrid w:val="0"/>
          <w:sz w:val="28"/>
          <w:szCs w:val="28"/>
        </w:rPr>
      </w:pPr>
      <w:r w:rsidRPr="00F93B76">
        <w:rPr>
          <w:b/>
          <w:i/>
          <w:snapToGrid w:val="0"/>
          <w:sz w:val="28"/>
          <w:szCs w:val="28"/>
        </w:rPr>
        <w:t>УСН</w:t>
      </w:r>
      <w:r w:rsidRPr="00F93B76">
        <w:rPr>
          <w:b/>
          <w:i/>
          <w:snapToGrid w:val="0"/>
          <w:sz w:val="28"/>
          <w:szCs w:val="28"/>
          <w:vertAlign w:val="subscript"/>
        </w:rPr>
        <w:t>2</w:t>
      </w:r>
      <w:r w:rsidRPr="00F93B76">
        <w:rPr>
          <w:b/>
          <w:iCs/>
          <w:snapToGrid w:val="0"/>
          <w:sz w:val="28"/>
          <w:szCs w:val="28"/>
        </w:rPr>
        <w:t>=[</w:t>
      </w:r>
      <w:r w:rsidRPr="00F93B76">
        <w:rPr>
          <w:b/>
          <w:snapToGrid w:val="0"/>
          <w:sz w:val="28"/>
          <w:szCs w:val="28"/>
        </w:rPr>
        <w:t>(</w:t>
      </w:r>
      <w:r w:rsidRPr="00F93B76">
        <w:rPr>
          <w:b/>
          <w:i/>
          <w:iCs/>
          <w:snapToGrid w:val="0"/>
          <w:sz w:val="28"/>
          <w:szCs w:val="28"/>
          <w:lang w:val="en-US"/>
        </w:rPr>
        <w:t>V</w:t>
      </w:r>
      <w:r w:rsidRPr="00F93B76">
        <w:rPr>
          <w:b/>
          <w:i/>
          <w:iCs/>
          <w:snapToGrid w:val="0"/>
          <w:sz w:val="28"/>
          <w:szCs w:val="28"/>
        </w:rPr>
        <w:t>нб2</w:t>
      </w:r>
      <w:r w:rsidRPr="00F93B76">
        <w:rPr>
          <w:b/>
          <w:i/>
          <w:iCs/>
          <w:snapToGrid w:val="0"/>
          <w:sz w:val="28"/>
          <w:szCs w:val="28"/>
          <w:vertAlign w:val="subscript"/>
        </w:rPr>
        <w:t>пп</w:t>
      </w:r>
      <w:r w:rsidRPr="00F93B76">
        <w:rPr>
          <w:b/>
          <w:iCs/>
          <w:snapToGrid w:val="0"/>
          <w:sz w:val="28"/>
          <w:szCs w:val="28"/>
        </w:rPr>
        <w:t xml:space="preserve"> * (</w:t>
      </w:r>
      <w:r w:rsidRPr="00F93B76">
        <w:rPr>
          <w:b/>
          <w:iCs/>
          <w:snapToGrid w:val="0"/>
          <w:sz w:val="28"/>
          <w:szCs w:val="28"/>
          <w:lang w:val="en-US"/>
        </w:rPr>
        <w:t>S</w:t>
      </w:r>
      <w:r w:rsidRPr="00F93B76">
        <w:rPr>
          <w:b/>
          <w:iCs/>
          <w:snapToGrid w:val="0"/>
          <w:sz w:val="28"/>
          <w:szCs w:val="28"/>
        </w:rPr>
        <w:t>1)</w:t>
      </w:r>
      <w:r w:rsidRPr="00F93B76">
        <w:rPr>
          <w:b/>
          <w:iCs/>
          <w:snapToGrid w:val="0"/>
          <w:sz w:val="28"/>
          <w:szCs w:val="28"/>
          <w:vertAlign w:val="subscript"/>
        </w:rPr>
        <w:t xml:space="preserve"> </w:t>
      </w:r>
      <w:r w:rsidRPr="00F93B76">
        <w:rPr>
          <w:b/>
          <w:iCs/>
          <w:snapToGrid w:val="0"/>
          <w:sz w:val="28"/>
          <w:szCs w:val="28"/>
        </w:rPr>
        <w:t>(+/-)</w:t>
      </w:r>
      <w:r w:rsidRPr="00F93B76">
        <w:rPr>
          <w:b/>
          <w:i/>
          <w:snapToGrid w:val="0"/>
          <w:sz w:val="28"/>
          <w:szCs w:val="28"/>
          <w:lang w:val="en-US"/>
        </w:rPr>
        <w:t>F</w:t>
      </w:r>
      <w:r w:rsidRPr="00F93B76">
        <w:rPr>
          <w:b/>
          <w:i/>
          <w:snapToGrid w:val="0"/>
          <w:sz w:val="28"/>
          <w:szCs w:val="28"/>
        </w:rPr>
        <w:t>]</w:t>
      </w:r>
      <w:r w:rsidRPr="00F93B76">
        <w:rPr>
          <w:b/>
          <w:snapToGrid w:val="0"/>
          <w:spacing w:val="2"/>
          <w:sz w:val="28"/>
          <w:szCs w:val="28"/>
        </w:rPr>
        <w:t xml:space="preserve">  + </w:t>
      </w:r>
      <w:r w:rsidRPr="00F93B76">
        <w:rPr>
          <w:b/>
          <w:iCs/>
          <w:snapToGrid w:val="0"/>
          <w:sz w:val="28"/>
          <w:szCs w:val="28"/>
        </w:rPr>
        <w:t>[</w:t>
      </w:r>
      <w:r w:rsidRPr="00F93B76">
        <w:rPr>
          <w:b/>
          <w:snapToGrid w:val="0"/>
          <w:sz w:val="28"/>
          <w:szCs w:val="28"/>
        </w:rPr>
        <w:t>(</w:t>
      </w:r>
      <w:r w:rsidRPr="00F93B76">
        <w:rPr>
          <w:b/>
          <w:i/>
          <w:iCs/>
          <w:snapToGrid w:val="0"/>
          <w:sz w:val="28"/>
          <w:szCs w:val="28"/>
          <w:lang w:val="en-US"/>
        </w:rPr>
        <w:t>V</w:t>
      </w:r>
      <w:r w:rsidRPr="00F93B76">
        <w:rPr>
          <w:b/>
          <w:i/>
          <w:iCs/>
          <w:snapToGrid w:val="0"/>
          <w:sz w:val="28"/>
          <w:szCs w:val="28"/>
        </w:rPr>
        <w:t>нб3</w:t>
      </w:r>
      <w:r w:rsidRPr="00F93B76">
        <w:rPr>
          <w:b/>
          <w:i/>
          <w:iCs/>
          <w:snapToGrid w:val="0"/>
          <w:sz w:val="28"/>
          <w:szCs w:val="28"/>
          <w:vertAlign w:val="subscript"/>
        </w:rPr>
        <w:t>пп</w:t>
      </w:r>
      <w:r w:rsidRPr="00F93B76">
        <w:rPr>
          <w:b/>
          <w:iCs/>
          <w:snapToGrid w:val="0"/>
          <w:sz w:val="28"/>
          <w:szCs w:val="28"/>
        </w:rPr>
        <w:t xml:space="preserve"> * (</w:t>
      </w:r>
      <w:r w:rsidRPr="00F93B76">
        <w:rPr>
          <w:b/>
          <w:iCs/>
          <w:snapToGrid w:val="0"/>
          <w:sz w:val="28"/>
          <w:szCs w:val="28"/>
          <w:lang w:val="en-US"/>
        </w:rPr>
        <w:t>S</w:t>
      </w:r>
      <w:r w:rsidRPr="00F93B76">
        <w:rPr>
          <w:b/>
          <w:iCs/>
          <w:snapToGrid w:val="0"/>
          <w:sz w:val="28"/>
          <w:szCs w:val="28"/>
        </w:rPr>
        <w:t xml:space="preserve">2) </w:t>
      </w:r>
      <w:r w:rsidRPr="00F93B76">
        <w:rPr>
          <w:b/>
          <w:iCs/>
          <w:snapToGrid w:val="0"/>
          <w:sz w:val="28"/>
          <w:szCs w:val="28"/>
          <w:vertAlign w:val="subscript"/>
        </w:rPr>
        <w:t xml:space="preserve"> </w:t>
      </w:r>
      <w:r w:rsidRPr="00F93B76">
        <w:rPr>
          <w:b/>
          <w:iCs/>
          <w:snapToGrid w:val="0"/>
          <w:sz w:val="28"/>
          <w:szCs w:val="28"/>
        </w:rPr>
        <w:t>(+/-)</w:t>
      </w:r>
      <w:r w:rsidRPr="00F93B76">
        <w:rPr>
          <w:b/>
          <w:i/>
          <w:snapToGrid w:val="0"/>
          <w:sz w:val="28"/>
          <w:szCs w:val="28"/>
          <w:lang w:val="en-US"/>
        </w:rPr>
        <w:t>F</w:t>
      </w:r>
      <w:r w:rsidRPr="00F93B76">
        <w:rPr>
          <w:b/>
          <w:snapToGrid w:val="0"/>
          <w:spacing w:val="2"/>
          <w:sz w:val="28"/>
          <w:szCs w:val="28"/>
        </w:rPr>
        <w:t xml:space="preserve">]* </w:t>
      </w:r>
      <w:r w:rsidRPr="00F93B76">
        <w:rPr>
          <w:b/>
          <w:i/>
          <w:snapToGrid w:val="0"/>
          <w:sz w:val="28"/>
          <w:szCs w:val="28"/>
          <w:lang w:val="en-US"/>
        </w:rPr>
        <w:t>K</w:t>
      </w:r>
      <w:r w:rsidRPr="00F93B76">
        <w:rPr>
          <w:b/>
          <w:i/>
          <w:snapToGrid w:val="0"/>
          <w:sz w:val="28"/>
          <w:szCs w:val="28"/>
        </w:rPr>
        <w:t xml:space="preserve"> </w:t>
      </w:r>
      <w:r w:rsidRPr="00F93B76">
        <w:rPr>
          <w:b/>
          <w:i/>
          <w:snapToGrid w:val="0"/>
          <w:sz w:val="28"/>
          <w:szCs w:val="28"/>
          <w:vertAlign w:val="subscript"/>
        </w:rPr>
        <w:t>соб</w:t>
      </w:r>
      <w:r w:rsidRPr="00F93B76">
        <w:rPr>
          <w:b/>
          <w:i/>
          <w:snapToGrid w:val="0"/>
          <w:sz w:val="28"/>
          <w:szCs w:val="28"/>
        </w:rPr>
        <w:t>.</w:t>
      </w:r>
      <w:r w:rsidRPr="00F93B76">
        <w:rPr>
          <w:b/>
          <w:iCs/>
          <w:snapToGrid w:val="0"/>
          <w:sz w:val="28"/>
          <w:szCs w:val="28"/>
        </w:rPr>
        <w:t>,</w:t>
      </w:r>
    </w:p>
    <w:p w:rsidR="00187324" w:rsidRPr="00F93B76" w:rsidRDefault="00187324" w:rsidP="00187324">
      <w:pPr>
        <w:ind w:firstLine="709"/>
        <w:jc w:val="both"/>
        <w:rPr>
          <w:rFonts w:eastAsia="Calibri"/>
          <w:sz w:val="28"/>
          <w:szCs w:val="28"/>
        </w:rPr>
      </w:pPr>
    </w:p>
    <w:p w:rsidR="00187324" w:rsidRPr="00F93B76" w:rsidRDefault="00187324" w:rsidP="00187324">
      <w:pPr>
        <w:ind w:firstLine="709"/>
        <w:jc w:val="both"/>
        <w:rPr>
          <w:snapToGrid w:val="0"/>
          <w:sz w:val="28"/>
          <w:szCs w:val="28"/>
        </w:rPr>
      </w:pPr>
      <w:r w:rsidRPr="00F93B76">
        <w:rPr>
          <w:iCs/>
          <w:snapToGrid w:val="0"/>
          <w:sz w:val="28"/>
          <w:szCs w:val="28"/>
        </w:rPr>
        <w:t>где:</w:t>
      </w:r>
    </w:p>
    <w:p w:rsidR="00187324" w:rsidRPr="00F93B76" w:rsidRDefault="00187324" w:rsidP="00187324">
      <w:pPr>
        <w:ind w:firstLine="709"/>
        <w:jc w:val="both"/>
        <w:rPr>
          <w:iCs/>
          <w:snapToGrid w:val="0"/>
          <w:sz w:val="28"/>
          <w:szCs w:val="28"/>
        </w:rPr>
      </w:pPr>
      <w:r w:rsidRPr="00F93B76">
        <w:rPr>
          <w:i/>
          <w:iCs/>
          <w:snapToGrid w:val="0"/>
          <w:sz w:val="28"/>
          <w:szCs w:val="28"/>
          <w:lang w:val="en-US"/>
        </w:rPr>
        <w:t>V</w:t>
      </w:r>
      <w:r w:rsidRPr="00F93B76">
        <w:rPr>
          <w:i/>
          <w:iCs/>
          <w:snapToGrid w:val="0"/>
          <w:sz w:val="28"/>
          <w:szCs w:val="28"/>
        </w:rPr>
        <w:t>нб2</w:t>
      </w:r>
      <w:r w:rsidRPr="00F93B76">
        <w:rPr>
          <w:i/>
          <w:iCs/>
          <w:snapToGrid w:val="0"/>
          <w:sz w:val="28"/>
          <w:szCs w:val="28"/>
          <w:vertAlign w:val="subscript"/>
        </w:rPr>
        <w:t>пп</w:t>
      </w:r>
      <w:r w:rsidRPr="00F93B76">
        <w:rPr>
          <w:iCs/>
          <w:snapToGrid w:val="0"/>
          <w:sz w:val="28"/>
          <w:szCs w:val="28"/>
        </w:rPr>
        <w:t xml:space="preserve"> – налоговая база прогнозируемого периода по </w:t>
      </w:r>
      <w:r w:rsidRPr="00F93B76">
        <w:rPr>
          <w:b/>
          <w:i/>
          <w:snapToGrid w:val="0"/>
          <w:sz w:val="28"/>
          <w:szCs w:val="28"/>
        </w:rPr>
        <w:t>УСН</w:t>
      </w:r>
      <w:r w:rsidRPr="00F93B76">
        <w:rPr>
          <w:b/>
          <w:i/>
          <w:snapToGrid w:val="0"/>
          <w:sz w:val="28"/>
          <w:szCs w:val="28"/>
          <w:vertAlign w:val="subscript"/>
        </w:rPr>
        <w:t>2</w:t>
      </w:r>
      <w:r w:rsidRPr="00F93B76">
        <w:rPr>
          <w:iCs/>
          <w:snapToGrid w:val="0"/>
          <w:sz w:val="28"/>
          <w:szCs w:val="28"/>
        </w:rPr>
        <w:t xml:space="preserve">, </w:t>
      </w:r>
      <w:r w:rsidRPr="00F93B76">
        <w:rPr>
          <w:iCs/>
          <w:snapToGrid w:val="0"/>
          <w:sz w:val="28"/>
          <w:szCs w:val="28"/>
        </w:rPr>
        <w:br/>
      </w:r>
      <w:r w:rsidRPr="00F93B76">
        <w:rPr>
          <w:sz w:val="28"/>
          <w:szCs w:val="28"/>
        </w:rPr>
        <w:t>при использовании объекта обложения «доходы, уменьшенные на величину расходов»</w:t>
      </w:r>
      <w:r w:rsidRPr="00F93B76">
        <w:rPr>
          <w:iCs/>
          <w:snapToGrid w:val="0"/>
          <w:sz w:val="28"/>
          <w:szCs w:val="28"/>
        </w:rPr>
        <w:t>, тыс. рублей;</w:t>
      </w:r>
    </w:p>
    <w:p w:rsidR="00187324" w:rsidRPr="00F93B76" w:rsidRDefault="00187324" w:rsidP="00187324">
      <w:pPr>
        <w:ind w:firstLine="709"/>
        <w:jc w:val="both"/>
        <w:rPr>
          <w:iCs/>
          <w:snapToGrid w:val="0"/>
          <w:sz w:val="28"/>
          <w:szCs w:val="28"/>
        </w:rPr>
      </w:pPr>
      <w:r w:rsidRPr="00F93B76">
        <w:rPr>
          <w:i/>
          <w:iCs/>
          <w:snapToGrid w:val="0"/>
          <w:sz w:val="28"/>
          <w:szCs w:val="28"/>
          <w:lang w:val="en-US"/>
        </w:rPr>
        <w:t>V</w:t>
      </w:r>
      <w:r w:rsidRPr="00F93B76">
        <w:rPr>
          <w:i/>
          <w:iCs/>
          <w:snapToGrid w:val="0"/>
          <w:sz w:val="28"/>
          <w:szCs w:val="28"/>
        </w:rPr>
        <w:t>нб3</w:t>
      </w:r>
      <w:r w:rsidRPr="00F93B76">
        <w:rPr>
          <w:i/>
          <w:iCs/>
          <w:snapToGrid w:val="0"/>
          <w:sz w:val="28"/>
          <w:szCs w:val="28"/>
          <w:vertAlign w:val="subscript"/>
        </w:rPr>
        <w:t>пп</w:t>
      </w:r>
      <w:r w:rsidRPr="00F93B76">
        <w:rPr>
          <w:iCs/>
          <w:snapToGrid w:val="0"/>
          <w:sz w:val="28"/>
          <w:szCs w:val="28"/>
        </w:rPr>
        <w:t xml:space="preserve"> – налоговая база прогнозируемого периода по </w:t>
      </w:r>
      <w:r w:rsidRPr="00F93B76">
        <w:rPr>
          <w:sz w:val="28"/>
          <w:szCs w:val="28"/>
        </w:rPr>
        <w:t>прогнозному объему минимального налога</w:t>
      </w:r>
      <w:r w:rsidRPr="00F93B76">
        <w:rPr>
          <w:i/>
          <w:iCs/>
          <w:sz w:val="28"/>
          <w:szCs w:val="28"/>
        </w:rPr>
        <w:t xml:space="preserve"> </w:t>
      </w:r>
      <w:r w:rsidRPr="00F93B76">
        <w:rPr>
          <w:iCs/>
          <w:sz w:val="28"/>
          <w:szCs w:val="28"/>
        </w:rPr>
        <w:t>по</w:t>
      </w:r>
      <w:r w:rsidRPr="00F93B76">
        <w:rPr>
          <w:i/>
          <w:iCs/>
          <w:sz w:val="28"/>
          <w:szCs w:val="28"/>
        </w:rPr>
        <w:t xml:space="preserve"> УСН</w:t>
      </w:r>
      <w:r w:rsidRPr="009C1F2B">
        <w:rPr>
          <w:i/>
          <w:iCs/>
          <w:sz w:val="28"/>
          <w:szCs w:val="28"/>
          <w:vertAlign w:val="subscript"/>
        </w:rPr>
        <w:t>2</w:t>
      </w:r>
      <w:r w:rsidRPr="00F93B76">
        <w:rPr>
          <w:iCs/>
          <w:snapToGrid w:val="0"/>
          <w:sz w:val="28"/>
          <w:szCs w:val="28"/>
        </w:rPr>
        <w:t>, тыс. рублей;</w:t>
      </w:r>
    </w:p>
    <w:p w:rsidR="00187324" w:rsidRPr="00CB338C" w:rsidRDefault="00187324" w:rsidP="00187324">
      <w:pPr>
        <w:ind w:firstLine="709"/>
        <w:jc w:val="both"/>
        <w:rPr>
          <w:iCs/>
          <w:snapToGrid w:val="0"/>
          <w:sz w:val="28"/>
          <w:szCs w:val="28"/>
        </w:rPr>
      </w:pPr>
      <w:r w:rsidRPr="00CB338C">
        <w:rPr>
          <w:iCs/>
          <w:snapToGrid w:val="0"/>
          <w:sz w:val="28"/>
          <w:szCs w:val="28"/>
          <w:lang w:val="en-US"/>
        </w:rPr>
        <w:t>S</w:t>
      </w:r>
      <w:r w:rsidRPr="00CB338C">
        <w:rPr>
          <w:iCs/>
          <w:snapToGrid w:val="0"/>
          <w:sz w:val="28"/>
          <w:szCs w:val="28"/>
        </w:rPr>
        <w:t xml:space="preserve"> – ставка налога </w:t>
      </w:r>
      <w:r w:rsidRPr="00CB338C">
        <w:rPr>
          <w:sz w:val="28"/>
          <w:szCs w:val="28"/>
        </w:rPr>
        <w:t>(</w:t>
      </w:r>
      <w:r w:rsidRPr="00CB338C">
        <w:rPr>
          <w:sz w:val="28"/>
          <w:szCs w:val="28"/>
          <w:lang w:val="en-US"/>
        </w:rPr>
        <w:t>S</w:t>
      </w:r>
      <w:r w:rsidRPr="00CB338C">
        <w:rPr>
          <w:sz w:val="28"/>
          <w:szCs w:val="28"/>
          <w:vertAlign w:val="subscript"/>
        </w:rPr>
        <w:t>1</w:t>
      </w:r>
      <w:r w:rsidRPr="00CB338C">
        <w:rPr>
          <w:sz w:val="28"/>
          <w:szCs w:val="28"/>
        </w:rPr>
        <w:t xml:space="preserve"> – налоговая ставка по УСН</w:t>
      </w:r>
      <w:r w:rsidRPr="00CB338C">
        <w:rPr>
          <w:sz w:val="28"/>
          <w:szCs w:val="28"/>
          <w:vertAlign w:val="subscript"/>
        </w:rPr>
        <w:t>2</w:t>
      </w:r>
      <w:r w:rsidRPr="00CB338C">
        <w:rPr>
          <w:sz w:val="28"/>
          <w:szCs w:val="28"/>
        </w:rPr>
        <w:t xml:space="preserve"> с объектом обложения «доходы, уменьшенные на величину расходов» - 15% (7,5% и 5% для</w:t>
      </w:r>
      <w:r>
        <w:rPr>
          <w:sz w:val="28"/>
          <w:szCs w:val="28"/>
        </w:rPr>
        <w:t> </w:t>
      </w:r>
      <w:r w:rsidRPr="00CB338C">
        <w:rPr>
          <w:sz w:val="28"/>
          <w:szCs w:val="28"/>
        </w:rPr>
        <w:t xml:space="preserve">отдельных видов деятельности), </w:t>
      </w:r>
      <w:r w:rsidRPr="00CB338C">
        <w:rPr>
          <w:sz w:val="28"/>
          <w:szCs w:val="28"/>
          <w:lang w:val="en-US"/>
        </w:rPr>
        <w:t>S</w:t>
      </w:r>
      <w:r w:rsidRPr="00CB338C">
        <w:rPr>
          <w:sz w:val="28"/>
          <w:szCs w:val="28"/>
          <w:vertAlign w:val="subscript"/>
        </w:rPr>
        <w:t>2</w:t>
      </w:r>
      <w:r w:rsidRPr="00CB338C">
        <w:rPr>
          <w:sz w:val="28"/>
          <w:szCs w:val="28"/>
        </w:rPr>
        <w:t xml:space="preserve"> – ставка минимального налога по </w:t>
      </w:r>
      <w:r>
        <w:rPr>
          <w:sz w:val="28"/>
          <w:szCs w:val="28"/>
        </w:rPr>
        <w:t> </w:t>
      </w:r>
      <w:r w:rsidRPr="00CB338C">
        <w:rPr>
          <w:sz w:val="28"/>
          <w:szCs w:val="28"/>
        </w:rPr>
        <w:t>УСН</w:t>
      </w:r>
      <w:r w:rsidRPr="00CB338C">
        <w:rPr>
          <w:sz w:val="28"/>
          <w:szCs w:val="28"/>
          <w:vertAlign w:val="subscript"/>
        </w:rPr>
        <w:t>2</w:t>
      </w:r>
      <w:r w:rsidRPr="00CB338C">
        <w:rPr>
          <w:sz w:val="28"/>
          <w:szCs w:val="28"/>
        </w:rPr>
        <w:t>, в соответствии с главой 26.2 НК РФ) – 1%</w:t>
      </w:r>
      <w:r w:rsidRPr="00CB338C">
        <w:rPr>
          <w:iCs/>
          <w:snapToGrid w:val="0"/>
          <w:sz w:val="28"/>
          <w:szCs w:val="28"/>
        </w:rPr>
        <w:t>;</w:t>
      </w:r>
    </w:p>
    <w:p w:rsidR="00187324" w:rsidRDefault="00187324" w:rsidP="00187324">
      <w:pPr>
        <w:ind w:firstLine="709"/>
        <w:jc w:val="both"/>
        <w:rPr>
          <w:rFonts w:eastAsia="Calibri"/>
          <w:sz w:val="28"/>
          <w:szCs w:val="28"/>
        </w:rPr>
      </w:pPr>
      <w:r w:rsidRPr="00CB338C">
        <w:rPr>
          <w:rFonts w:eastAsia="Calibri"/>
          <w:sz w:val="28"/>
          <w:szCs w:val="28"/>
        </w:rPr>
        <w:t xml:space="preserve">F </w:t>
      </w:r>
      <w:r w:rsidRPr="00CB338C">
        <w:rPr>
          <w:rFonts w:eastAsia="Calibri"/>
          <w:i/>
          <w:sz w:val="28"/>
          <w:szCs w:val="28"/>
        </w:rPr>
        <w:t xml:space="preserve">– </w:t>
      </w:r>
      <w:r w:rsidRPr="00CB338C">
        <w:rPr>
          <w:rFonts w:eastAsia="Calibri"/>
          <w:sz w:val="28"/>
          <w:szCs w:val="28"/>
        </w:rPr>
        <w:t>корректирующая сумма поступлений, учитывающая изменения законодательства о налогах и сборах, а также другие факторы, тыс. рублей.</w:t>
      </w:r>
      <w:r>
        <w:rPr>
          <w:rFonts w:eastAsia="Calibri"/>
          <w:sz w:val="28"/>
          <w:szCs w:val="28"/>
        </w:rPr>
        <w:t>;</w:t>
      </w:r>
    </w:p>
    <w:p w:rsidR="00187324" w:rsidRPr="00CB338C" w:rsidRDefault="00187324" w:rsidP="00187324">
      <w:pPr>
        <w:ind w:firstLine="709"/>
        <w:jc w:val="both"/>
        <w:rPr>
          <w:iCs/>
          <w:snapToGrid w:val="0"/>
          <w:color w:val="000000"/>
          <w:sz w:val="28"/>
          <w:szCs w:val="28"/>
        </w:rPr>
      </w:pPr>
      <w:r w:rsidRPr="00CB338C">
        <w:rPr>
          <w:rFonts w:eastAsia="Calibri"/>
          <w:b/>
          <w:i/>
          <w:color w:val="000000"/>
          <w:sz w:val="28"/>
          <w:szCs w:val="28"/>
          <w:lang w:val="en-US" w:eastAsia="en-US"/>
        </w:rPr>
        <w:t>K</w:t>
      </w:r>
      <w:r w:rsidRPr="00CB338C">
        <w:rPr>
          <w:rFonts w:eastAsia="Calibri"/>
          <w:b/>
          <w:i/>
          <w:color w:val="000000"/>
          <w:sz w:val="28"/>
          <w:szCs w:val="28"/>
          <w:lang w:eastAsia="en-US"/>
        </w:rPr>
        <w:t xml:space="preserve"> </w:t>
      </w:r>
      <w:r w:rsidRPr="00CB338C">
        <w:rPr>
          <w:rFonts w:eastAsia="Calibri"/>
          <w:b/>
          <w:i/>
          <w:color w:val="000000"/>
          <w:sz w:val="28"/>
          <w:szCs w:val="28"/>
          <w:vertAlign w:val="subscript"/>
          <w:lang w:eastAsia="en-US"/>
        </w:rPr>
        <w:t>соб.</w:t>
      </w:r>
      <w:r w:rsidRPr="00CB338C">
        <w:rPr>
          <w:rFonts w:eastAsia="Calibri"/>
          <w:b/>
          <w:i/>
          <w:color w:val="000000"/>
          <w:sz w:val="28"/>
          <w:szCs w:val="28"/>
          <w:lang w:eastAsia="en-US"/>
        </w:rPr>
        <w:t xml:space="preserve"> </w:t>
      </w:r>
      <w:r w:rsidRPr="00CB338C">
        <w:rPr>
          <w:rFonts w:eastAsia="Calibri"/>
          <w:color w:val="000000"/>
          <w:sz w:val="28"/>
          <w:szCs w:val="28"/>
          <w:lang w:eastAsia="en-US"/>
        </w:rPr>
        <w:t xml:space="preserve">– расчетный уровень собираемости, с учётом динамики показателя собираемости по данному виду налога, </w:t>
      </w:r>
      <w:r w:rsidRPr="00CB338C">
        <w:rPr>
          <w:bCs/>
          <w:color w:val="000000"/>
          <w:sz w:val="28"/>
          <w:szCs w:val="28"/>
          <w:lang w:val="x-none" w:eastAsia="x-none"/>
        </w:rPr>
        <w:t xml:space="preserve">сложившегося </w:t>
      </w:r>
      <w:r w:rsidRPr="00CB338C">
        <w:rPr>
          <w:bCs/>
          <w:color w:val="000000"/>
          <w:sz w:val="28"/>
          <w:szCs w:val="28"/>
          <w:lang w:eastAsia="x-none"/>
        </w:rPr>
        <w:t>в предшествующие периоды</w:t>
      </w:r>
      <w:r w:rsidRPr="00CB338C">
        <w:rPr>
          <w:rFonts w:eastAsia="Calibri"/>
          <w:color w:val="000000"/>
          <w:sz w:val="28"/>
          <w:szCs w:val="28"/>
          <w:lang w:eastAsia="en-US"/>
        </w:rPr>
        <w:t>, %</w:t>
      </w:r>
      <w:r w:rsidRPr="00CB338C">
        <w:rPr>
          <w:iCs/>
          <w:snapToGrid w:val="0"/>
          <w:color w:val="000000"/>
          <w:sz w:val="28"/>
          <w:szCs w:val="28"/>
        </w:rPr>
        <w:t>.</w:t>
      </w:r>
    </w:p>
    <w:p w:rsidR="00187324" w:rsidRPr="00CB338C" w:rsidRDefault="00187324" w:rsidP="00187324">
      <w:pPr>
        <w:ind w:firstLine="709"/>
        <w:jc w:val="both"/>
        <w:rPr>
          <w:rFonts w:eastAsia="Calibri"/>
          <w:sz w:val="28"/>
          <w:szCs w:val="28"/>
        </w:rPr>
      </w:pPr>
    </w:p>
    <w:p w:rsidR="00187324" w:rsidRPr="00CB338C" w:rsidRDefault="00187324" w:rsidP="00187324">
      <w:pPr>
        <w:ind w:firstLine="709"/>
        <w:jc w:val="both"/>
        <w:rPr>
          <w:rFonts w:eastAsia="Calibri"/>
          <w:sz w:val="28"/>
          <w:szCs w:val="28"/>
        </w:rPr>
      </w:pPr>
      <w:r w:rsidRPr="00CB338C">
        <w:rPr>
          <w:rFonts w:eastAsia="Calibri"/>
          <w:sz w:val="28"/>
          <w:szCs w:val="28"/>
        </w:rPr>
        <w:t>Корректирующая сумма (F2) учитывает динамику поступлений в</w:t>
      </w:r>
      <w:r>
        <w:rPr>
          <w:rFonts w:eastAsia="Calibri"/>
          <w:sz w:val="28"/>
          <w:szCs w:val="28"/>
        </w:rPr>
        <w:t> </w:t>
      </w:r>
      <w:r w:rsidRPr="00CB338C">
        <w:rPr>
          <w:rFonts w:eastAsia="Calibri"/>
          <w:sz w:val="28"/>
          <w:szCs w:val="28"/>
        </w:rPr>
        <w:t>отдельных муниципальных образованиях в текущем периоде (превышение фактических поступлений от оценки), рассчитанную с учетом сроков уплаты налога и собираемости. Сложившаяся динамика поступлений по этим муниципальным образованиям сохранена на весь прогнозируемый период (корректирующая сумма предыдущего периода проиндексирована на темп роста налоговой базы).</w:t>
      </w:r>
    </w:p>
    <w:p w:rsidR="00187324" w:rsidRPr="00CB338C" w:rsidRDefault="00187324" w:rsidP="00187324">
      <w:pPr>
        <w:ind w:firstLine="709"/>
        <w:jc w:val="both"/>
        <w:rPr>
          <w:iCs/>
          <w:snapToGrid w:val="0"/>
          <w:sz w:val="28"/>
          <w:szCs w:val="28"/>
        </w:rPr>
      </w:pPr>
      <w:r w:rsidRPr="00CB338C">
        <w:rPr>
          <w:iCs/>
          <w:snapToGrid w:val="0"/>
          <w:sz w:val="28"/>
          <w:szCs w:val="28"/>
        </w:rPr>
        <w:t xml:space="preserve">Прогнозируемый объем налоговой базы по УСН, уплачиваемого при использовании в качестве объекта налогообложения доходы, уменьшенные на </w:t>
      </w:r>
      <w:r w:rsidRPr="00CB338C">
        <w:rPr>
          <w:iCs/>
          <w:snapToGrid w:val="0"/>
          <w:sz w:val="28"/>
          <w:szCs w:val="28"/>
        </w:rPr>
        <w:lastRenderedPageBreak/>
        <w:t>величину расходов (Vнб2пп), рассчитывается на основе налоговой базы предыдущего периода и прогнозируемого темпа налоговой базы по данным Министерства экономического развития Тверской области по следующей формуле:</w:t>
      </w:r>
    </w:p>
    <w:p w:rsidR="00187324" w:rsidRPr="00CB338C" w:rsidRDefault="00187324" w:rsidP="00187324">
      <w:pPr>
        <w:ind w:firstLine="709"/>
        <w:jc w:val="center"/>
        <w:rPr>
          <w:b/>
          <w:i/>
          <w:iCs/>
          <w:snapToGrid w:val="0"/>
          <w:color w:val="000000"/>
          <w:sz w:val="28"/>
          <w:szCs w:val="28"/>
        </w:rPr>
      </w:pPr>
      <w:r w:rsidRPr="00CB338C">
        <w:rPr>
          <w:b/>
          <w:i/>
          <w:iCs/>
          <w:snapToGrid w:val="0"/>
          <w:color w:val="000000"/>
          <w:sz w:val="28"/>
          <w:szCs w:val="28"/>
          <w:lang w:val="en-US"/>
        </w:rPr>
        <w:t>V</w:t>
      </w:r>
      <w:r w:rsidRPr="00CB338C">
        <w:rPr>
          <w:b/>
          <w:i/>
          <w:iCs/>
          <w:snapToGrid w:val="0"/>
          <w:color w:val="000000"/>
          <w:sz w:val="28"/>
          <w:szCs w:val="28"/>
        </w:rPr>
        <w:t>нб2</w:t>
      </w:r>
      <w:r w:rsidRPr="00CB338C">
        <w:rPr>
          <w:b/>
          <w:i/>
          <w:iCs/>
          <w:snapToGrid w:val="0"/>
          <w:color w:val="000000"/>
          <w:sz w:val="28"/>
          <w:szCs w:val="28"/>
          <w:vertAlign w:val="subscript"/>
        </w:rPr>
        <w:t>пп</w:t>
      </w:r>
      <w:r w:rsidRPr="00CB338C">
        <w:rPr>
          <w:b/>
          <w:iCs/>
          <w:snapToGrid w:val="0"/>
          <w:color w:val="000000"/>
          <w:sz w:val="28"/>
          <w:szCs w:val="28"/>
        </w:rPr>
        <w:t xml:space="preserve"> = </w:t>
      </w:r>
      <w:r w:rsidRPr="00CB338C">
        <w:rPr>
          <w:b/>
          <w:i/>
          <w:iCs/>
          <w:snapToGrid w:val="0"/>
          <w:color w:val="000000"/>
          <w:sz w:val="28"/>
          <w:szCs w:val="28"/>
          <w:lang w:val="en-US"/>
        </w:rPr>
        <w:t>V</w:t>
      </w:r>
      <w:r w:rsidRPr="00CB338C">
        <w:rPr>
          <w:b/>
          <w:i/>
          <w:iCs/>
          <w:snapToGrid w:val="0"/>
          <w:color w:val="000000"/>
          <w:sz w:val="28"/>
          <w:szCs w:val="28"/>
        </w:rPr>
        <w:t>нб2</w:t>
      </w:r>
      <w:r w:rsidRPr="00CB338C">
        <w:rPr>
          <w:b/>
          <w:i/>
          <w:iCs/>
          <w:snapToGrid w:val="0"/>
          <w:color w:val="000000"/>
          <w:sz w:val="28"/>
          <w:szCs w:val="28"/>
          <w:vertAlign w:val="subscript"/>
        </w:rPr>
        <w:t>пр.п</w:t>
      </w:r>
      <w:r w:rsidRPr="00CB338C">
        <w:rPr>
          <w:b/>
          <w:i/>
          <w:iCs/>
          <w:snapToGrid w:val="0"/>
          <w:color w:val="000000"/>
          <w:sz w:val="28"/>
          <w:szCs w:val="28"/>
        </w:rPr>
        <w:t xml:space="preserve"> * </w:t>
      </w:r>
      <w:r w:rsidRPr="00CB338C">
        <w:rPr>
          <w:b/>
          <w:i/>
          <w:iCs/>
          <w:snapToGrid w:val="0"/>
          <w:color w:val="000000"/>
          <w:sz w:val="28"/>
          <w:szCs w:val="28"/>
          <w:lang w:val="en-US"/>
        </w:rPr>
        <w:t>T</w:t>
      </w:r>
      <w:r w:rsidRPr="00CB338C">
        <w:rPr>
          <w:b/>
          <w:i/>
          <w:iCs/>
          <w:snapToGrid w:val="0"/>
          <w:color w:val="000000"/>
          <w:sz w:val="28"/>
          <w:szCs w:val="28"/>
        </w:rPr>
        <w:t xml:space="preserve"> </w:t>
      </w:r>
      <w:r w:rsidRPr="00CB338C">
        <w:rPr>
          <w:b/>
          <w:i/>
          <w:iCs/>
          <w:snapToGrid w:val="0"/>
          <w:color w:val="000000"/>
          <w:sz w:val="28"/>
          <w:szCs w:val="28"/>
          <w:vertAlign w:val="subscript"/>
        </w:rPr>
        <w:t>дох-расх.п.п</w:t>
      </w:r>
      <w:r w:rsidRPr="00CB338C">
        <w:rPr>
          <w:b/>
          <w:i/>
          <w:iCs/>
          <w:snapToGrid w:val="0"/>
          <w:color w:val="000000"/>
          <w:sz w:val="28"/>
          <w:szCs w:val="28"/>
        </w:rPr>
        <w:t>,</w:t>
      </w:r>
    </w:p>
    <w:p w:rsidR="00187324" w:rsidRPr="004B5991" w:rsidRDefault="00187324" w:rsidP="00187324">
      <w:pPr>
        <w:ind w:firstLine="709"/>
        <w:jc w:val="center"/>
        <w:rPr>
          <w:iCs/>
          <w:snapToGrid w:val="0"/>
          <w:color w:val="FF0000"/>
          <w:sz w:val="28"/>
          <w:szCs w:val="28"/>
          <w:highlight w:val="red"/>
        </w:rPr>
      </w:pPr>
    </w:p>
    <w:p w:rsidR="00187324" w:rsidRPr="00CB338C" w:rsidRDefault="00187324" w:rsidP="00187324">
      <w:pPr>
        <w:ind w:firstLine="709"/>
        <w:jc w:val="both"/>
        <w:rPr>
          <w:iCs/>
          <w:snapToGrid w:val="0"/>
          <w:color w:val="000000"/>
          <w:sz w:val="28"/>
          <w:szCs w:val="28"/>
        </w:rPr>
      </w:pPr>
      <w:r w:rsidRPr="00CB338C">
        <w:rPr>
          <w:iCs/>
          <w:snapToGrid w:val="0"/>
          <w:color w:val="000000"/>
          <w:sz w:val="28"/>
          <w:szCs w:val="28"/>
        </w:rPr>
        <w:t>где</w:t>
      </w:r>
    </w:p>
    <w:p w:rsidR="00187324" w:rsidRPr="00CB338C" w:rsidRDefault="00187324" w:rsidP="00187324">
      <w:pPr>
        <w:ind w:firstLine="709"/>
        <w:jc w:val="both"/>
        <w:rPr>
          <w:iCs/>
          <w:snapToGrid w:val="0"/>
          <w:color w:val="000000"/>
          <w:sz w:val="28"/>
          <w:szCs w:val="28"/>
        </w:rPr>
      </w:pPr>
      <w:r w:rsidRPr="00CB338C">
        <w:rPr>
          <w:i/>
          <w:iCs/>
          <w:snapToGrid w:val="0"/>
          <w:color w:val="000000"/>
          <w:sz w:val="28"/>
          <w:szCs w:val="28"/>
          <w:lang w:val="en-US"/>
        </w:rPr>
        <w:t>V</w:t>
      </w:r>
      <w:r w:rsidRPr="00CB338C">
        <w:rPr>
          <w:i/>
          <w:iCs/>
          <w:snapToGrid w:val="0"/>
          <w:color w:val="000000"/>
          <w:sz w:val="28"/>
          <w:szCs w:val="28"/>
        </w:rPr>
        <w:t>нб2</w:t>
      </w:r>
      <w:r w:rsidRPr="00CB338C">
        <w:rPr>
          <w:i/>
          <w:iCs/>
          <w:snapToGrid w:val="0"/>
          <w:color w:val="000000"/>
          <w:sz w:val="28"/>
          <w:szCs w:val="28"/>
          <w:vertAlign w:val="subscript"/>
        </w:rPr>
        <w:t>пр.п</w:t>
      </w:r>
      <w:r w:rsidRPr="00CB338C">
        <w:rPr>
          <w:iCs/>
          <w:snapToGrid w:val="0"/>
          <w:color w:val="000000"/>
          <w:sz w:val="28"/>
          <w:szCs w:val="28"/>
        </w:rPr>
        <w:t xml:space="preserve"> – налоговая база предыдущего периода по </w:t>
      </w:r>
      <w:r w:rsidRPr="00CB338C">
        <w:rPr>
          <w:b/>
          <w:i/>
          <w:snapToGrid w:val="0"/>
          <w:color w:val="000000"/>
          <w:sz w:val="28"/>
          <w:szCs w:val="28"/>
        </w:rPr>
        <w:t>УСН</w:t>
      </w:r>
      <w:r w:rsidRPr="00CB338C">
        <w:rPr>
          <w:b/>
          <w:i/>
          <w:snapToGrid w:val="0"/>
          <w:color w:val="000000"/>
          <w:sz w:val="28"/>
          <w:szCs w:val="28"/>
          <w:vertAlign w:val="subscript"/>
        </w:rPr>
        <w:t xml:space="preserve">2 </w:t>
      </w:r>
      <w:r w:rsidRPr="00CB338C">
        <w:rPr>
          <w:color w:val="000000"/>
          <w:sz w:val="28"/>
          <w:szCs w:val="28"/>
        </w:rPr>
        <w:t>при использовании объекта обложения «доходы, уменьшенные на величину расходов»</w:t>
      </w:r>
      <w:r w:rsidRPr="00CB338C">
        <w:rPr>
          <w:iCs/>
          <w:snapToGrid w:val="0"/>
          <w:color w:val="000000"/>
          <w:sz w:val="28"/>
          <w:szCs w:val="28"/>
        </w:rPr>
        <w:t>, тыс. рублей;</w:t>
      </w:r>
    </w:p>
    <w:p w:rsidR="00187324" w:rsidRPr="00CB338C" w:rsidRDefault="00187324" w:rsidP="00187324">
      <w:pPr>
        <w:ind w:firstLine="709"/>
        <w:jc w:val="both"/>
        <w:rPr>
          <w:snapToGrid w:val="0"/>
          <w:color w:val="000000"/>
          <w:sz w:val="28"/>
          <w:szCs w:val="28"/>
        </w:rPr>
      </w:pPr>
      <w:r w:rsidRPr="00CB338C">
        <w:rPr>
          <w:b/>
          <w:i/>
          <w:iCs/>
          <w:snapToGrid w:val="0"/>
          <w:color w:val="000000"/>
          <w:sz w:val="28"/>
          <w:szCs w:val="28"/>
          <w:lang w:val="en-US"/>
        </w:rPr>
        <w:t>T</w:t>
      </w:r>
      <w:r w:rsidRPr="00CB338C">
        <w:rPr>
          <w:b/>
          <w:i/>
          <w:iCs/>
          <w:snapToGrid w:val="0"/>
          <w:color w:val="000000"/>
          <w:sz w:val="28"/>
          <w:szCs w:val="28"/>
        </w:rPr>
        <w:t xml:space="preserve"> </w:t>
      </w:r>
      <w:r w:rsidRPr="00CB338C">
        <w:rPr>
          <w:b/>
          <w:i/>
          <w:iCs/>
          <w:snapToGrid w:val="0"/>
          <w:color w:val="000000"/>
          <w:sz w:val="28"/>
          <w:szCs w:val="28"/>
          <w:vertAlign w:val="subscript"/>
        </w:rPr>
        <w:t>дох-расх.п.п</w:t>
      </w:r>
      <w:r w:rsidRPr="00CB338C">
        <w:rPr>
          <w:snapToGrid w:val="0"/>
          <w:color w:val="000000"/>
          <w:sz w:val="28"/>
          <w:szCs w:val="28"/>
        </w:rPr>
        <w:t xml:space="preserve"> – темп налоговой базы (объект налогообложения – «</w:t>
      </w:r>
      <w:r w:rsidRPr="00CB338C">
        <w:rPr>
          <w:color w:val="000000"/>
          <w:sz w:val="28"/>
          <w:szCs w:val="28"/>
        </w:rPr>
        <w:t>доходы, уменьшенные на величину расходов»</w:t>
      </w:r>
      <w:r w:rsidRPr="00CB338C">
        <w:rPr>
          <w:snapToGrid w:val="0"/>
          <w:color w:val="000000"/>
          <w:sz w:val="28"/>
          <w:szCs w:val="28"/>
        </w:rPr>
        <w:t>) по данным Министерства экономического развития Тверской области.</w:t>
      </w:r>
    </w:p>
    <w:p w:rsidR="00187324" w:rsidRPr="004B5991" w:rsidRDefault="00187324" w:rsidP="00187324">
      <w:pPr>
        <w:ind w:firstLine="709"/>
        <w:jc w:val="both"/>
        <w:rPr>
          <w:iCs/>
          <w:snapToGrid w:val="0"/>
          <w:color w:val="FF0000"/>
          <w:sz w:val="28"/>
          <w:szCs w:val="28"/>
        </w:rPr>
      </w:pPr>
    </w:p>
    <w:p w:rsidR="00187324" w:rsidRPr="00CB338C" w:rsidRDefault="00187324" w:rsidP="00187324">
      <w:pPr>
        <w:ind w:firstLine="709"/>
        <w:jc w:val="both"/>
        <w:rPr>
          <w:iCs/>
          <w:snapToGrid w:val="0"/>
          <w:sz w:val="28"/>
          <w:szCs w:val="28"/>
        </w:rPr>
      </w:pPr>
      <w:r w:rsidRPr="00CB338C">
        <w:rPr>
          <w:iCs/>
          <w:snapToGrid w:val="0"/>
          <w:sz w:val="28"/>
          <w:szCs w:val="28"/>
        </w:rPr>
        <w:t>Прогнозируемый объем налоговой базы по минимальному налогу УСН</w:t>
      </w:r>
      <w:r w:rsidRPr="00CB338C">
        <w:rPr>
          <w:iCs/>
          <w:snapToGrid w:val="0"/>
          <w:sz w:val="28"/>
          <w:szCs w:val="28"/>
          <w:vertAlign w:val="subscript"/>
        </w:rPr>
        <w:t xml:space="preserve">2 </w:t>
      </w:r>
      <w:r w:rsidRPr="00CB338C">
        <w:rPr>
          <w:iCs/>
          <w:snapToGrid w:val="0"/>
          <w:sz w:val="28"/>
          <w:szCs w:val="28"/>
        </w:rPr>
        <w:t>(</w:t>
      </w:r>
      <w:r w:rsidRPr="00CB338C">
        <w:rPr>
          <w:i/>
          <w:iCs/>
          <w:snapToGrid w:val="0"/>
          <w:sz w:val="28"/>
          <w:szCs w:val="28"/>
          <w:lang w:val="en-US"/>
        </w:rPr>
        <w:t>V</w:t>
      </w:r>
      <w:r w:rsidRPr="00CB338C">
        <w:rPr>
          <w:i/>
          <w:iCs/>
          <w:snapToGrid w:val="0"/>
          <w:sz w:val="28"/>
          <w:szCs w:val="28"/>
        </w:rPr>
        <w:t>нб3</w:t>
      </w:r>
      <w:r w:rsidRPr="00CB338C">
        <w:rPr>
          <w:i/>
          <w:iCs/>
          <w:snapToGrid w:val="0"/>
          <w:sz w:val="28"/>
          <w:szCs w:val="28"/>
          <w:vertAlign w:val="subscript"/>
        </w:rPr>
        <w:t>пп</w:t>
      </w:r>
      <w:r w:rsidRPr="00CB338C">
        <w:rPr>
          <w:iCs/>
          <w:snapToGrid w:val="0"/>
          <w:sz w:val="28"/>
          <w:szCs w:val="28"/>
        </w:rPr>
        <w:t>) рассчитывается на основе налоговой базы предыдущего периода исходя из её доли в ВРП по следующей формуле:</w:t>
      </w:r>
    </w:p>
    <w:p w:rsidR="00187324" w:rsidRPr="00CB338C" w:rsidRDefault="00187324" w:rsidP="00187324">
      <w:pPr>
        <w:ind w:firstLine="709"/>
        <w:jc w:val="both"/>
        <w:rPr>
          <w:iCs/>
          <w:snapToGrid w:val="0"/>
          <w:sz w:val="28"/>
          <w:szCs w:val="28"/>
        </w:rPr>
      </w:pPr>
    </w:p>
    <w:p w:rsidR="00187324" w:rsidRPr="00CB338C" w:rsidRDefault="00187324" w:rsidP="00187324">
      <w:pPr>
        <w:ind w:firstLine="709"/>
        <w:jc w:val="center"/>
        <w:rPr>
          <w:b/>
          <w:i/>
          <w:iCs/>
          <w:snapToGrid w:val="0"/>
          <w:sz w:val="28"/>
          <w:szCs w:val="28"/>
          <w:vertAlign w:val="subscript"/>
        </w:rPr>
      </w:pPr>
      <w:r w:rsidRPr="00CB338C">
        <w:rPr>
          <w:b/>
          <w:i/>
          <w:iCs/>
          <w:snapToGrid w:val="0"/>
          <w:sz w:val="28"/>
          <w:szCs w:val="28"/>
          <w:lang w:val="en-US"/>
        </w:rPr>
        <w:t>V</w:t>
      </w:r>
      <w:r w:rsidRPr="00CB338C">
        <w:rPr>
          <w:b/>
          <w:i/>
          <w:iCs/>
          <w:snapToGrid w:val="0"/>
          <w:sz w:val="28"/>
          <w:szCs w:val="28"/>
        </w:rPr>
        <w:t>нб3</w:t>
      </w:r>
      <w:r w:rsidRPr="00CB338C">
        <w:rPr>
          <w:b/>
          <w:i/>
          <w:iCs/>
          <w:snapToGrid w:val="0"/>
          <w:sz w:val="28"/>
          <w:szCs w:val="28"/>
          <w:vertAlign w:val="subscript"/>
        </w:rPr>
        <w:t>пп</w:t>
      </w:r>
      <w:r w:rsidRPr="00CB338C">
        <w:rPr>
          <w:b/>
          <w:iCs/>
          <w:snapToGrid w:val="0"/>
          <w:sz w:val="28"/>
          <w:szCs w:val="28"/>
        </w:rPr>
        <w:t xml:space="preserve"> = (</w:t>
      </w:r>
      <w:r w:rsidRPr="00CB338C">
        <w:rPr>
          <w:b/>
          <w:i/>
          <w:iCs/>
          <w:snapToGrid w:val="0"/>
          <w:sz w:val="28"/>
          <w:szCs w:val="28"/>
          <w:lang w:val="en-US"/>
        </w:rPr>
        <w:t>V</w:t>
      </w:r>
      <w:r w:rsidRPr="00CB338C">
        <w:rPr>
          <w:b/>
          <w:i/>
          <w:iCs/>
          <w:snapToGrid w:val="0"/>
          <w:sz w:val="28"/>
          <w:szCs w:val="28"/>
        </w:rPr>
        <w:t>нб3</w:t>
      </w:r>
      <w:r w:rsidRPr="00CB338C">
        <w:rPr>
          <w:b/>
          <w:i/>
          <w:iCs/>
          <w:snapToGrid w:val="0"/>
          <w:sz w:val="28"/>
          <w:szCs w:val="28"/>
          <w:vertAlign w:val="subscript"/>
        </w:rPr>
        <w:t>пр.п</w:t>
      </w:r>
      <w:r w:rsidRPr="00CB338C">
        <w:rPr>
          <w:b/>
          <w:iCs/>
          <w:snapToGrid w:val="0"/>
          <w:sz w:val="28"/>
          <w:szCs w:val="28"/>
        </w:rPr>
        <w:t xml:space="preserve"> </w:t>
      </w:r>
      <w:r w:rsidRPr="00CB338C">
        <w:rPr>
          <w:b/>
          <w:i/>
          <w:iCs/>
          <w:snapToGrid w:val="0"/>
          <w:sz w:val="28"/>
          <w:szCs w:val="28"/>
        </w:rPr>
        <w:t xml:space="preserve">/ </w:t>
      </w:r>
      <w:r w:rsidRPr="00CB338C">
        <w:rPr>
          <w:b/>
          <w:i/>
          <w:iCs/>
          <w:snapToGrid w:val="0"/>
          <w:sz w:val="28"/>
          <w:szCs w:val="28"/>
          <w:lang w:val="en-US"/>
        </w:rPr>
        <w:t>V</w:t>
      </w:r>
      <w:r w:rsidRPr="00CB338C">
        <w:rPr>
          <w:b/>
          <w:i/>
          <w:iCs/>
          <w:snapToGrid w:val="0"/>
          <w:sz w:val="28"/>
          <w:szCs w:val="28"/>
          <w:vertAlign w:val="subscript"/>
        </w:rPr>
        <w:t xml:space="preserve">ВРП пр.п </w:t>
      </w:r>
      <w:r w:rsidRPr="00CB338C">
        <w:rPr>
          <w:b/>
          <w:i/>
          <w:iCs/>
          <w:snapToGrid w:val="0"/>
          <w:sz w:val="28"/>
          <w:szCs w:val="28"/>
        </w:rPr>
        <w:t xml:space="preserve">)* </w:t>
      </w:r>
      <w:r w:rsidRPr="00CB338C">
        <w:rPr>
          <w:b/>
          <w:i/>
          <w:iCs/>
          <w:snapToGrid w:val="0"/>
          <w:sz w:val="28"/>
          <w:szCs w:val="28"/>
          <w:lang w:val="en-US"/>
        </w:rPr>
        <w:t>V</w:t>
      </w:r>
      <w:r w:rsidRPr="00CB338C">
        <w:rPr>
          <w:b/>
          <w:i/>
          <w:iCs/>
          <w:snapToGrid w:val="0"/>
          <w:sz w:val="28"/>
          <w:szCs w:val="28"/>
          <w:vertAlign w:val="subscript"/>
        </w:rPr>
        <w:t>ВРП п.п</w:t>
      </w:r>
    </w:p>
    <w:p w:rsidR="00187324" w:rsidRPr="00CB338C" w:rsidRDefault="00187324" w:rsidP="00187324">
      <w:pPr>
        <w:ind w:firstLine="709"/>
        <w:jc w:val="center"/>
        <w:rPr>
          <w:b/>
          <w:i/>
          <w:snapToGrid w:val="0"/>
          <w:sz w:val="28"/>
          <w:szCs w:val="28"/>
        </w:rPr>
      </w:pPr>
    </w:p>
    <w:p w:rsidR="00187324" w:rsidRPr="00CB338C" w:rsidRDefault="00187324" w:rsidP="00187324">
      <w:pPr>
        <w:ind w:firstLine="709"/>
        <w:jc w:val="both"/>
        <w:rPr>
          <w:iCs/>
          <w:snapToGrid w:val="0"/>
          <w:sz w:val="28"/>
          <w:szCs w:val="28"/>
        </w:rPr>
      </w:pPr>
      <w:r w:rsidRPr="00CB338C">
        <w:rPr>
          <w:iCs/>
          <w:snapToGrid w:val="0"/>
          <w:sz w:val="28"/>
          <w:szCs w:val="28"/>
        </w:rPr>
        <w:t>где:</w:t>
      </w:r>
    </w:p>
    <w:p w:rsidR="00187324" w:rsidRPr="00CB338C" w:rsidRDefault="00187324" w:rsidP="00187324">
      <w:pPr>
        <w:ind w:firstLine="709"/>
        <w:jc w:val="both"/>
        <w:rPr>
          <w:iCs/>
          <w:snapToGrid w:val="0"/>
          <w:sz w:val="28"/>
          <w:szCs w:val="28"/>
        </w:rPr>
      </w:pPr>
      <w:r w:rsidRPr="00CB338C">
        <w:rPr>
          <w:i/>
          <w:iCs/>
          <w:snapToGrid w:val="0"/>
          <w:sz w:val="28"/>
          <w:szCs w:val="28"/>
          <w:lang w:val="en-US"/>
        </w:rPr>
        <w:t>V</w:t>
      </w:r>
      <w:r w:rsidRPr="00CB338C">
        <w:rPr>
          <w:i/>
          <w:iCs/>
          <w:snapToGrid w:val="0"/>
          <w:sz w:val="28"/>
          <w:szCs w:val="28"/>
        </w:rPr>
        <w:t>нб3</w:t>
      </w:r>
      <w:r w:rsidRPr="00CB338C">
        <w:rPr>
          <w:i/>
          <w:iCs/>
          <w:snapToGrid w:val="0"/>
          <w:sz w:val="28"/>
          <w:szCs w:val="28"/>
          <w:vertAlign w:val="subscript"/>
        </w:rPr>
        <w:t>пр.п</w:t>
      </w:r>
      <w:r w:rsidRPr="00CB338C">
        <w:rPr>
          <w:iCs/>
          <w:snapToGrid w:val="0"/>
          <w:sz w:val="28"/>
          <w:szCs w:val="28"/>
        </w:rPr>
        <w:t xml:space="preserve"> – налоговая база по минимальному налогу УСН</w:t>
      </w:r>
      <w:r w:rsidRPr="00CB338C">
        <w:rPr>
          <w:iCs/>
          <w:snapToGrid w:val="0"/>
          <w:sz w:val="28"/>
          <w:szCs w:val="28"/>
          <w:vertAlign w:val="subscript"/>
        </w:rPr>
        <w:t xml:space="preserve">2 </w:t>
      </w:r>
      <w:r w:rsidRPr="00CB338C">
        <w:rPr>
          <w:iCs/>
          <w:snapToGrid w:val="0"/>
          <w:sz w:val="28"/>
          <w:szCs w:val="28"/>
        </w:rPr>
        <w:t>предыдущего периода, тыс. рублей;</w:t>
      </w:r>
    </w:p>
    <w:p w:rsidR="00187324" w:rsidRPr="00CB338C" w:rsidRDefault="00187324" w:rsidP="00187324">
      <w:pPr>
        <w:ind w:firstLine="709"/>
        <w:jc w:val="both"/>
        <w:rPr>
          <w:iCs/>
          <w:snapToGrid w:val="0"/>
          <w:sz w:val="28"/>
          <w:szCs w:val="28"/>
        </w:rPr>
      </w:pPr>
      <w:r w:rsidRPr="00CB338C">
        <w:rPr>
          <w:snapToGrid w:val="0"/>
          <w:sz w:val="28"/>
          <w:szCs w:val="28"/>
          <w:lang w:val="en-US"/>
        </w:rPr>
        <w:t>V</w:t>
      </w:r>
      <w:r w:rsidRPr="00CB338C">
        <w:rPr>
          <w:snapToGrid w:val="0"/>
          <w:sz w:val="28"/>
          <w:szCs w:val="28"/>
          <w:vertAlign w:val="subscript"/>
        </w:rPr>
        <w:t>ВРП пр.п</w:t>
      </w:r>
      <w:r w:rsidRPr="00CB338C">
        <w:rPr>
          <w:snapToGrid w:val="0"/>
          <w:sz w:val="28"/>
          <w:szCs w:val="28"/>
        </w:rPr>
        <w:t xml:space="preserve"> – </w:t>
      </w:r>
      <w:r w:rsidRPr="00CB338C">
        <w:rPr>
          <w:iCs/>
          <w:snapToGrid w:val="0"/>
          <w:sz w:val="28"/>
          <w:szCs w:val="28"/>
        </w:rPr>
        <w:t>объем валового регионального продукта в предыдущем периоде, тыс. рублей;</w:t>
      </w:r>
    </w:p>
    <w:p w:rsidR="00187324" w:rsidRPr="00CB338C" w:rsidRDefault="00187324" w:rsidP="00187324">
      <w:pPr>
        <w:ind w:firstLine="709"/>
        <w:jc w:val="both"/>
        <w:rPr>
          <w:snapToGrid w:val="0"/>
          <w:sz w:val="28"/>
          <w:szCs w:val="28"/>
        </w:rPr>
      </w:pPr>
      <w:r w:rsidRPr="00CB338C">
        <w:rPr>
          <w:snapToGrid w:val="0"/>
          <w:sz w:val="28"/>
          <w:szCs w:val="28"/>
          <w:lang w:val="en-US"/>
        </w:rPr>
        <w:t>V</w:t>
      </w:r>
      <w:r w:rsidRPr="00CB338C">
        <w:rPr>
          <w:snapToGrid w:val="0"/>
          <w:sz w:val="28"/>
          <w:szCs w:val="28"/>
          <w:vertAlign w:val="subscript"/>
        </w:rPr>
        <w:t>ВВП</w:t>
      </w:r>
      <w:r w:rsidRPr="00CB338C">
        <w:rPr>
          <w:snapToGrid w:val="0"/>
          <w:sz w:val="28"/>
          <w:szCs w:val="28"/>
        </w:rPr>
        <w:t xml:space="preserve"> </w:t>
      </w:r>
      <w:r w:rsidRPr="00CB338C">
        <w:rPr>
          <w:snapToGrid w:val="0"/>
          <w:sz w:val="28"/>
          <w:szCs w:val="28"/>
          <w:vertAlign w:val="subscript"/>
        </w:rPr>
        <w:t>п.п</w:t>
      </w:r>
      <w:r w:rsidRPr="00CB338C">
        <w:rPr>
          <w:iCs/>
          <w:snapToGrid w:val="0"/>
          <w:sz w:val="28"/>
          <w:szCs w:val="28"/>
        </w:rPr>
        <w:t xml:space="preserve"> </w:t>
      </w:r>
      <w:r w:rsidRPr="00CB338C">
        <w:rPr>
          <w:snapToGrid w:val="0"/>
          <w:sz w:val="28"/>
          <w:szCs w:val="28"/>
        </w:rPr>
        <w:t xml:space="preserve">– </w:t>
      </w:r>
      <w:r w:rsidRPr="00CB338C">
        <w:rPr>
          <w:iCs/>
          <w:snapToGrid w:val="0"/>
          <w:sz w:val="28"/>
          <w:szCs w:val="28"/>
        </w:rPr>
        <w:t>объем прогнозируемого валового регионального продукта.</w:t>
      </w:r>
    </w:p>
    <w:p w:rsidR="00187324" w:rsidRPr="00CB338C" w:rsidRDefault="00187324" w:rsidP="00187324">
      <w:pPr>
        <w:ind w:firstLine="709"/>
        <w:jc w:val="both"/>
        <w:rPr>
          <w:sz w:val="28"/>
          <w:szCs w:val="28"/>
        </w:rPr>
      </w:pPr>
      <w:r w:rsidRPr="00CB338C">
        <w:rPr>
          <w:sz w:val="28"/>
          <w:szCs w:val="28"/>
        </w:rPr>
        <w:t>Расчётный уровень собираемости определяется согласно данным отчёта по форме № 1-НМ как частное от деления суммы поступившего налога на</w:t>
      </w:r>
      <w:r>
        <w:rPr>
          <w:sz w:val="28"/>
          <w:szCs w:val="28"/>
        </w:rPr>
        <w:t> </w:t>
      </w:r>
      <w:r w:rsidRPr="00CB338C">
        <w:rPr>
          <w:sz w:val="28"/>
          <w:szCs w:val="28"/>
        </w:rPr>
        <w:t>сумму начисленного налога. Показатель собираемости учитывает работу по</w:t>
      </w:r>
      <w:r>
        <w:rPr>
          <w:sz w:val="28"/>
          <w:szCs w:val="28"/>
        </w:rPr>
        <w:t> </w:t>
      </w:r>
      <w:r w:rsidRPr="00CB338C">
        <w:rPr>
          <w:sz w:val="28"/>
          <w:szCs w:val="28"/>
        </w:rPr>
        <w:t>погашению задолженности по налогу.</w:t>
      </w:r>
    </w:p>
    <w:p w:rsidR="00187324" w:rsidRDefault="00187324" w:rsidP="00187324">
      <w:pPr>
        <w:ind w:firstLine="709"/>
        <w:jc w:val="both"/>
        <w:rPr>
          <w:sz w:val="28"/>
          <w:szCs w:val="28"/>
        </w:rPr>
      </w:pPr>
      <w:r w:rsidRPr="00CB338C">
        <w:rPr>
          <w:sz w:val="28"/>
          <w:szCs w:val="28"/>
        </w:rPr>
        <w:t>Показатель собираемости УСН2 в 2021-2024 годах принят на уровне 104,7%, как среднее значение за 2019-2020 годы (2019 год – 102,6%, 2020 год – 106,8%).</w:t>
      </w:r>
    </w:p>
    <w:p w:rsidR="00187324" w:rsidRDefault="00187324" w:rsidP="00187324">
      <w:pPr>
        <w:ind w:firstLine="709"/>
        <w:jc w:val="both"/>
        <w:rPr>
          <w:rStyle w:val="FontStyle82"/>
          <w:iCs/>
          <w:sz w:val="28"/>
          <w:szCs w:val="28"/>
        </w:rPr>
      </w:pPr>
      <w:r w:rsidRPr="00C217BC">
        <w:rPr>
          <w:rStyle w:val="FontStyle82"/>
          <w:iCs/>
          <w:sz w:val="28"/>
          <w:szCs w:val="28"/>
        </w:rPr>
        <w:t xml:space="preserve">Расчет прогноза поступления налога </w:t>
      </w:r>
      <w:r w:rsidRPr="00C217BC">
        <w:rPr>
          <w:iCs/>
          <w:sz w:val="28"/>
          <w:szCs w:val="28"/>
        </w:rPr>
        <w:t xml:space="preserve">УСН, уплачиваемого </w:t>
      </w:r>
      <w:r w:rsidRPr="00C217BC">
        <w:rPr>
          <w:iCs/>
          <w:sz w:val="28"/>
          <w:szCs w:val="28"/>
        </w:rPr>
        <w:br/>
        <w:t xml:space="preserve">при использовании в качестве объекта налогообложения доходы, уменьшенные на величину расходов, а также минимального налога </w:t>
      </w:r>
      <w:r w:rsidRPr="00C217BC">
        <w:rPr>
          <w:rStyle w:val="FontStyle82"/>
          <w:iCs/>
          <w:sz w:val="28"/>
          <w:szCs w:val="28"/>
        </w:rPr>
        <w:t>представлен в таблице 3.</w:t>
      </w:r>
    </w:p>
    <w:p w:rsidR="00187324" w:rsidRDefault="00187324" w:rsidP="00187324">
      <w:pPr>
        <w:rPr>
          <w:rStyle w:val="FontStyle82"/>
          <w:iCs/>
          <w:sz w:val="28"/>
          <w:szCs w:val="28"/>
        </w:rPr>
      </w:pPr>
      <w:r>
        <w:rPr>
          <w:rStyle w:val="FontStyle82"/>
          <w:iCs/>
          <w:sz w:val="28"/>
          <w:szCs w:val="28"/>
        </w:rPr>
        <w:br w:type="page"/>
      </w:r>
    </w:p>
    <w:p w:rsidR="00187324" w:rsidRPr="00C217BC" w:rsidRDefault="00187324" w:rsidP="00187324">
      <w:pPr>
        <w:ind w:firstLine="709"/>
        <w:jc w:val="right"/>
        <w:rPr>
          <w:rStyle w:val="FontStyle82"/>
          <w:iCs/>
          <w:sz w:val="28"/>
          <w:szCs w:val="28"/>
        </w:rPr>
      </w:pPr>
      <w:r w:rsidRPr="00C217BC">
        <w:rPr>
          <w:rStyle w:val="FontStyle82"/>
          <w:iCs/>
          <w:sz w:val="28"/>
          <w:szCs w:val="28"/>
        </w:rPr>
        <w:lastRenderedPageBreak/>
        <w:t>Таблица 3</w:t>
      </w:r>
    </w:p>
    <w:p w:rsidR="00187324" w:rsidRPr="00C217BC" w:rsidRDefault="00187324" w:rsidP="00187324">
      <w:pPr>
        <w:ind w:firstLine="709"/>
        <w:jc w:val="center"/>
        <w:rPr>
          <w:rStyle w:val="FontStyle82"/>
          <w:b/>
          <w:iCs/>
          <w:sz w:val="28"/>
          <w:szCs w:val="28"/>
        </w:rPr>
      </w:pPr>
      <w:r w:rsidRPr="00C217BC">
        <w:rPr>
          <w:rStyle w:val="FontStyle82"/>
          <w:b/>
          <w:iCs/>
          <w:sz w:val="28"/>
          <w:szCs w:val="28"/>
        </w:rPr>
        <w:t xml:space="preserve">Расчет прогноза поступлений налога, взимаемого в связи </w:t>
      </w:r>
      <w:r w:rsidRPr="00C217BC">
        <w:rPr>
          <w:rStyle w:val="FontStyle82"/>
          <w:b/>
          <w:iCs/>
          <w:sz w:val="28"/>
          <w:szCs w:val="28"/>
        </w:rPr>
        <w:br/>
        <w:t>с применением УСН, уплачиваемый при использовании в качестве объекта налогообложения доходы, уменьшенные на величину расходов, в том числе минимальный налог(УСН</w:t>
      </w:r>
      <w:r w:rsidRPr="00C217BC">
        <w:rPr>
          <w:rStyle w:val="FontStyle82"/>
          <w:b/>
          <w:iCs/>
          <w:sz w:val="28"/>
          <w:szCs w:val="28"/>
          <w:vertAlign w:val="subscript"/>
        </w:rPr>
        <w:t>2</w:t>
      </w:r>
      <w:r w:rsidRPr="00C217BC">
        <w:rPr>
          <w:rStyle w:val="FontStyle82"/>
          <w:b/>
          <w:iCs/>
          <w:sz w:val="28"/>
          <w:szCs w:val="28"/>
        </w:rPr>
        <w:t>) (КБК 000 1 05 01021 01 0000 110)</w:t>
      </w:r>
    </w:p>
    <w:tbl>
      <w:tblPr>
        <w:tblW w:w="5000" w:type="pct"/>
        <w:tblLook w:val="04A0" w:firstRow="1" w:lastRow="0" w:firstColumn="1" w:lastColumn="0" w:noHBand="0" w:noVBand="1"/>
      </w:tblPr>
      <w:tblGrid>
        <w:gridCol w:w="727"/>
        <w:gridCol w:w="3040"/>
        <w:gridCol w:w="1117"/>
        <w:gridCol w:w="1117"/>
        <w:gridCol w:w="1117"/>
        <w:gridCol w:w="1117"/>
        <w:gridCol w:w="1119"/>
      </w:tblGrid>
      <w:tr w:rsidR="00187324" w:rsidRPr="00CF1572" w:rsidTr="008B1D06">
        <w:trPr>
          <w:trHeight w:val="241"/>
        </w:trPr>
        <w:tc>
          <w:tcPr>
            <w:tcW w:w="5000" w:type="pct"/>
            <w:gridSpan w:val="7"/>
            <w:tcBorders>
              <w:bottom w:val="single" w:sz="4" w:space="0" w:color="auto"/>
            </w:tcBorders>
            <w:shd w:val="clear" w:color="auto" w:fill="auto"/>
            <w:noWrap/>
            <w:vAlign w:val="center"/>
          </w:tcPr>
          <w:p w:rsidR="00187324" w:rsidRPr="00CF1572" w:rsidRDefault="00187324" w:rsidP="008B1D06">
            <w:pPr>
              <w:jc w:val="right"/>
              <w:rPr>
                <w:color w:val="000000"/>
                <w:sz w:val="20"/>
                <w:szCs w:val="20"/>
              </w:rPr>
            </w:pPr>
            <w:r>
              <w:rPr>
                <w:color w:val="000000"/>
                <w:sz w:val="20"/>
                <w:szCs w:val="20"/>
              </w:rPr>
              <w:t>тыс. руб.</w:t>
            </w:r>
          </w:p>
        </w:tc>
      </w:tr>
      <w:tr w:rsidR="00187324" w:rsidRPr="00CF1572" w:rsidTr="008B1D06">
        <w:trPr>
          <w:trHeight w:val="600"/>
        </w:trPr>
        <w:tc>
          <w:tcPr>
            <w:tcW w:w="3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7324" w:rsidRPr="00CF1572" w:rsidRDefault="00187324" w:rsidP="008B1D06">
            <w:pPr>
              <w:jc w:val="center"/>
              <w:rPr>
                <w:color w:val="000000"/>
                <w:sz w:val="20"/>
                <w:szCs w:val="20"/>
              </w:rPr>
            </w:pPr>
            <w:r w:rsidRPr="00CF1572">
              <w:rPr>
                <w:color w:val="000000"/>
                <w:sz w:val="20"/>
                <w:szCs w:val="20"/>
              </w:rPr>
              <w:t>№ п/п</w:t>
            </w:r>
          </w:p>
        </w:tc>
        <w:tc>
          <w:tcPr>
            <w:tcW w:w="1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7324" w:rsidRPr="00CF1572" w:rsidRDefault="00187324" w:rsidP="008B1D06">
            <w:pPr>
              <w:jc w:val="center"/>
              <w:rPr>
                <w:color w:val="000000"/>
                <w:sz w:val="20"/>
                <w:szCs w:val="20"/>
              </w:rPr>
            </w:pPr>
            <w:r w:rsidRPr="00CF1572">
              <w:rPr>
                <w:color w:val="000000"/>
                <w:sz w:val="20"/>
                <w:szCs w:val="20"/>
              </w:rPr>
              <w:t>Наименование показателя</w:t>
            </w:r>
          </w:p>
        </w:tc>
        <w:tc>
          <w:tcPr>
            <w:tcW w:w="5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7324" w:rsidRDefault="00187324" w:rsidP="008B1D06">
            <w:pPr>
              <w:jc w:val="center"/>
              <w:rPr>
                <w:color w:val="000000"/>
                <w:sz w:val="20"/>
                <w:szCs w:val="20"/>
              </w:rPr>
            </w:pPr>
            <w:r w:rsidRPr="00CF1572">
              <w:rPr>
                <w:color w:val="000000"/>
                <w:sz w:val="20"/>
                <w:szCs w:val="20"/>
              </w:rPr>
              <w:t xml:space="preserve">Факт </w:t>
            </w:r>
          </w:p>
          <w:p w:rsidR="00187324" w:rsidRPr="00CF1572" w:rsidRDefault="00187324" w:rsidP="008B1D06">
            <w:pPr>
              <w:jc w:val="center"/>
              <w:rPr>
                <w:color w:val="000000"/>
                <w:sz w:val="20"/>
                <w:szCs w:val="20"/>
              </w:rPr>
            </w:pPr>
            <w:r w:rsidRPr="00CF1572">
              <w:rPr>
                <w:color w:val="000000"/>
                <w:sz w:val="20"/>
                <w:szCs w:val="20"/>
              </w:rPr>
              <w:t>2020 год</w:t>
            </w:r>
          </w:p>
        </w:tc>
        <w:tc>
          <w:tcPr>
            <w:tcW w:w="5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7324" w:rsidRPr="00CF1572" w:rsidRDefault="00187324" w:rsidP="008B1D06">
            <w:pPr>
              <w:jc w:val="center"/>
              <w:rPr>
                <w:color w:val="000000"/>
                <w:sz w:val="20"/>
                <w:szCs w:val="20"/>
              </w:rPr>
            </w:pPr>
            <w:r w:rsidRPr="00CF1572">
              <w:rPr>
                <w:color w:val="000000"/>
                <w:sz w:val="20"/>
                <w:szCs w:val="20"/>
              </w:rPr>
              <w:t>оценка 2021 год</w:t>
            </w:r>
          </w:p>
        </w:tc>
        <w:tc>
          <w:tcPr>
            <w:tcW w:w="5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7324" w:rsidRPr="00CF1572" w:rsidRDefault="00187324" w:rsidP="008B1D06">
            <w:pPr>
              <w:jc w:val="center"/>
              <w:rPr>
                <w:color w:val="000000"/>
                <w:sz w:val="20"/>
                <w:szCs w:val="20"/>
              </w:rPr>
            </w:pPr>
            <w:r w:rsidRPr="00CF1572">
              <w:rPr>
                <w:color w:val="000000"/>
                <w:sz w:val="20"/>
                <w:szCs w:val="20"/>
              </w:rPr>
              <w:t xml:space="preserve"> прогноз </w:t>
            </w:r>
            <w:r w:rsidRPr="00CF1572">
              <w:rPr>
                <w:color w:val="000000"/>
                <w:sz w:val="20"/>
                <w:szCs w:val="20"/>
              </w:rPr>
              <w:br/>
              <w:t>2022 год</w:t>
            </w:r>
          </w:p>
        </w:tc>
        <w:tc>
          <w:tcPr>
            <w:tcW w:w="5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7324" w:rsidRPr="00CF1572" w:rsidRDefault="00187324" w:rsidP="008B1D06">
            <w:pPr>
              <w:jc w:val="center"/>
              <w:rPr>
                <w:color w:val="000000"/>
                <w:sz w:val="20"/>
                <w:szCs w:val="20"/>
              </w:rPr>
            </w:pPr>
            <w:r w:rsidRPr="00CF1572">
              <w:rPr>
                <w:color w:val="000000"/>
                <w:sz w:val="20"/>
                <w:szCs w:val="20"/>
              </w:rPr>
              <w:t>прогноз</w:t>
            </w:r>
            <w:r w:rsidRPr="00CF1572">
              <w:rPr>
                <w:color w:val="000000"/>
                <w:sz w:val="20"/>
                <w:szCs w:val="20"/>
              </w:rPr>
              <w:br/>
              <w:t xml:space="preserve"> 2023 год</w:t>
            </w:r>
          </w:p>
        </w:tc>
        <w:tc>
          <w:tcPr>
            <w:tcW w:w="5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7324" w:rsidRPr="00CF1572" w:rsidRDefault="00187324" w:rsidP="008B1D06">
            <w:pPr>
              <w:jc w:val="center"/>
              <w:rPr>
                <w:color w:val="000000"/>
                <w:sz w:val="20"/>
                <w:szCs w:val="20"/>
              </w:rPr>
            </w:pPr>
            <w:r w:rsidRPr="00CF1572">
              <w:rPr>
                <w:color w:val="000000"/>
                <w:sz w:val="20"/>
                <w:szCs w:val="20"/>
              </w:rPr>
              <w:t xml:space="preserve">прогноз </w:t>
            </w:r>
            <w:r w:rsidRPr="00CF1572">
              <w:rPr>
                <w:color w:val="000000"/>
                <w:sz w:val="20"/>
                <w:szCs w:val="20"/>
              </w:rPr>
              <w:br/>
              <w:t>2024 год</w:t>
            </w:r>
          </w:p>
        </w:tc>
      </w:tr>
      <w:tr w:rsidR="00187324" w:rsidRPr="00CF1572" w:rsidTr="008B1D06">
        <w:trPr>
          <w:trHeight w:val="735"/>
        </w:trPr>
        <w:tc>
          <w:tcPr>
            <w:tcW w:w="38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7324" w:rsidRPr="00CF1572" w:rsidRDefault="00187324" w:rsidP="008B1D06">
            <w:pPr>
              <w:jc w:val="center"/>
              <w:rPr>
                <w:color w:val="000000"/>
                <w:sz w:val="20"/>
                <w:szCs w:val="20"/>
              </w:rPr>
            </w:pPr>
            <w:r w:rsidRPr="00CF1572">
              <w:rPr>
                <w:color w:val="000000"/>
                <w:sz w:val="20"/>
                <w:szCs w:val="20"/>
              </w:rPr>
              <w:t>1</w:t>
            </w:r>
          </w:p>
        </w:tc>
        <w:tc>
          <w:tcPr>
            <w:tcW w:w="1625" w:type="pct"/>
            <w:tcBorders>
              <w:top w:val="single" w:sz="4" w:space="0" w:color="auto"/>
              <w:left w:val="single" w:sz="4" w:space="0" w:color="auto"/>
              <w:bottom w:val="single" w:sz="4" w:space="0" w:color="auto"/>
              <w:right w:val="single" w:sz="4" w:space="0" w:color="000000"/>
            </w:tcBorders>
            <w:shd w:val="clear" w:color="auto" w:fill="auto"/>
            <w:hideMark/>
          </w:tcPr>
          <w:p w:rsidR="00187324" w:rsidRPr="00CF1572" w:rsidRDefault="00187324" w:rsidP="008B1D06">
            <w:pPr>
              <w:rPr>
                <w:color w:val="000000"/>
                <w:sz w:val="20"/>
                <w:szCs w:val="20"/>
              </w:rPr>
            </w:pPr>
            <w:r w:rsidRPr="00CF1572">
              <w:rPr>
                <w:color w:val="000000"/>
                <w:sz w:val="20"/>
                <w:szCs w:val="20"/>
              </w:rPr>
              <w:t>Налоговая база при использовании объекта обложения «доходы, уменьшенные на величину расходов», тыс. рублей</w:t>
            </w:r>
          </w:p>
        </w:tc>
        <w:tc>
          <w:tcPr>
            <w:tcW w:w="597" w:type="pct"/>
            <w:tcBorders>
              <w:top w:val="single" w:sz="4" w:space="0" w:color="auto"/>
              <w:left w:val="single" w:sz="4" w:space="0" w:color="000000"/>
              <w:bottom w:val="single" w:sz="4" w:space="0" w:color="000000"/>
              <w:right w:val="single" w:sz="4" w:space="0" w:color="000000"/>
            </w:tcBorders>
            <w:shd w:val="clear" w:color="auto" w:fill="auto"/>
            <w:vAlign w:val="center"/>
            <w:hideMark/>
          </w:tcPr>
          <w:p w:rsidR="00187324" w:rsidRPr="00706A7B" w:rsidRDefault="00187324" w:rsidP="008B1D06">
            <w:pPr>
              <w:jc w:val="center"/>
              <w:rPr>
                <w:color w:val="000000"/>
                <w:sz w:val="18"/>
                <w:szCs w:val="18"/>
              </w:rPr>
            </w:pPr>
            <w:r w:rsidRPr="00706A7B">
              <w:rPr>
                <w:color w:val="000000"/>
                <w:sz w:val="18"/>
                <w:szCs w:val="18"/>
              </w:rPr>
              <w:t>6 179 787</w:t>
            </w:r>
          </w:p>
        </w:tc>
        <w:tc>
          <w:tcPr>
            <w:tcW w:w="597" w:type="pct"/>
            <w:tcBorders>
              <w:top w:val="single" w:sz="4" w:space="0" w:color="auto"/>
              <w:left w:val="nil"/>
              <w:bottom w:val="single" w:sz="4" w:space="0" w:color="000000"/>
              <w:right w:val="single" w:sz="4" w:space="0" w:color="000000"/>
            </w:tcBorders>
            <w:shd w:val="clear" w:color="auto" w:fill="auto"/>
            <w:noWrap/>
            <w:vAlign w:val="center"/>
            <w:hideMark/>
          </w:tcPr>
          <w:p w:rsidR="00187324" w:rsidRPr="00706A7B" w:rsidRDefault="00187324" w:rsidP="008B1D06">
            <w:pPr>
              <w:jc w:val="center"/>
              <w:rPr>
                <w:color w:val="000000"/>
                <w:sz w:val="18"/>
                <w:szCs w:val="18"/>
              </w:rPr>
            </w:pPr>
            <w:r w:rsidRPr="00706A7B">
              <w:rPr>
                <w:color w:val="000000"/>
                <w:sz w:val="18"/>
                <w:szCs w:val="18"/>
              </w:rPr>
              <w:t>8 028 548</w:t>
            </w:r>
          </w:p>
        </w:tc>
        <w:tc>
          <w:tcPr>
            <w:tcW w:w="597" w:type="pct"/>
            <w:tcBorders>
              <w:top w:val="single" w:sz="4" w:space="0" w:color="auto"/>
              <w:left w:val="nil"/>
              <w:bottom w:val="single" w:sz="4" w:space="0" w:color="000000"/>
              <w:right w:val="single" w:sz="4" w:space="0" w:color="000000"/>
            </w:tcBorders>
            <w:shd w:val="clear" w:color="auto" w:fill="auto"/>
            <w:noWrap/>
            <w:vAlign w:val="center"/>
            <w:hideMark/>
          </w:tcPr>
          <w:p w:rsidR="00187324" w:rsidRPr="00706A7B" w:rsidRDefault="00187324" w:rsidP="008B1D06">
            <w:pPr>
              <w:jc w:val="center"/>
              <w:rPr>
                <w:color w:val="000000"/>
                <w:sz w:val="18"/>
                <w:szCs w:val="18"/>
              </w:rPr>
            </w:pPr>
            <w:r w:rsidRPr="00706A7B">
              <w:rPr>
                <w:color w:val="000000"/>
                <w:sz w:val="18"/>
                <w:szCs w:val="18"/>
              </w:rPr>
              <w:t>8 431 114</w:t>
            </w:r>
          </w:p>
        </w:tc>
        <w:tc>
          <w:tcPr>
            <w:tcW w:w="597" w:type="pct"/>
            <w:tcBorders>
              <w:top w:val="single" w:sz="4" w:space="0" w:color="auto"/>
              <w:left w:val="nil"/>
              <w:bottom w:val="single" w:sz="4" w:space="0" w:color="000000"/>
              <w:right w:val="single" w:sz="4" w:space="0" w:color="000000"/>
            </w:tcBorders>
            <w:shd w:val="clear" w:color="auto" w:fill="auto"/>
            <w:noWrap/>
            <w:vAlign w:val="center"/>
            <w:hideMark/>
          </w:tcPr>
          <w:p w:rsidR="00187324" w:rsidRPr="00706A7B" w:rsidRDefault="00187324" w:rsidP="008B1D06">
            <w:pPr>
              <w:jc w:val="center"/>
              <w:rPr>
                <w:color w:val="000000"/>
                <w:sz w:val="18"/>
                <w:szCs w:val="18"/>
              </w:rPr>
            </w:pPr>
            <w:r w:rsidRPr="00706A7B">
              <w:rPr>
                <w:color w:val="000000"/>
                <w:sz w:val="18"/>
                <w:szCs w:val="18"/>
              </w:rPr>
              <w:t>8 871 984</w:t>
            </w:r>
          </w:p>
        </w:tc>
        <w:tc>
          <w:tcPr>
            <w:tcW w:w="597" w:type="pct"/>
            <w:tcBorders>
              <w:top w:val="single" w:sz="4" w:space="0" w:color="auto"/>
              <w:left w:val="nil"/>
              <w:bottom w:val="single" w:sz="4" w:space="0" w:color="000000"/>
              <w:right w:val="single" w:sz="4" w:space="0" w:color="000000"/>
            </w:tcBorders>
            <w:shd w:val="clear" w:color="auto" w:fill="auto"/>
            <w:noWrap/>
            <w:vAlign w:val="center"/>
            <w:hideMark/>
          </w:tcPr>
          <w:p w:rsidR="00187324" w:rsidRPr="00706A7B" w:rsidRDefault="00187324" w:rsidP="008B1D06">
            <w:pPr>
              <w:jc w:val="center"/>
              <w:rPr>
                <w:color w:val="000000"/>
                <w:sz w:val="18"/>
                <w:szCs w:val="18"/>
              </w:rPr>
            </w:pPr>
            <w:r w:rsidRPr="00706A7B">
              <w:rPr>
                <w:color w:val="000000"/>
                <w:sz w:val="18"/>
                <w:szCs w:val="18"/>
              </w:rPr>
              <w:t>9 330 135</w:t>
            </w:r>
          </w:p>
        </w:tc>
      </w:tr>
      <w:tr w:rsidR="00187324" w:rsidRPr="00CF1572" w:rsidTr="008B1D06">
        <w:trPr>
          <w:trHeight w:val="735"/>
        </w:trPr>
        <w:tc>
          <w:tcPr>
            <w:tcW w:w="389" w:type="pct"/>
            <w:vMerge/>
            <w:tcBorders>
              <w:top w:val="single" w:sz="4" w:space="0" w:color="auto"/>
              <w:left w:val="single" w:sz="4" w:space="0" w:color="auto"/>
              <w:bottom w:val="single" w:sz="4" w:space="0" w:color="auto"/>
              <w:right w:val="single" w:sz="4" w:space="0" w:color="auto"/>
            </w:tcBorders>
            <w:vAlign w:val="center"/>
            <w:hideMark/>
          </w:tcPr>
          <w:p w:rsidR="00187324" w:rsidRPr="00CF1572" w:rsidRDefault="00187324" w:rsidP="008B1D06">
            <w:pPr>
              <w:rPr>
                <w:color w:val="000000"/>
                <w:sz w:val="20"/>
                <w:szCs w:val="20"/>
              </w:rPr>
            </w:pPr>
          </w:p>
        </w:tc>
        <w:tc>
          <w:tcPr>
            <w:tcW w:w="16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7324" w:rsidRPr="00CF1572" w:rsidRDefault="00187324" w:rsidP="008B1D06">
            <w:pPr>
              <w:jc w:val="center"/>
              <w:rPr>
                <w:i/>
                <w:iCs/>
                <w:color w:val="000000"/>
                <w:sz w:val="20"/>
                <w:szCs w:val="20"/>
              </w:rPr>
            </w:pPr>
            <w:r w:rsidRPr="00CF1572">
              <w:rPr>
                <w:i/>
                <w:iCs/>
                <w:color w:val="000000"/>
                <w:sz w:val="20"/>
                <w:szCs w:val="20"/>
              </w:rPr>
              <w:t>в том числе по налогоплательщикам, применяющим пониженные ставки в соответствии с № 73-ЗО от 29.11.2019:</w:t>
            </w:r>
          </w:p>
        </w:tc>
        <w:tc>
          <w:tcPr>
            <w:tcW w:w="597" w:type="pct"/>
            <w:tcBorders>
              <w:top w:val="nil"/>
              <w:left w:val="single" w:sz="4" w:space="0" w:color="000000"/>
              <w:bottom w:val="single" w:sz="4" w:space="0" w:color="000000"/>
              <w:right w:val="single" w:sz="4" w:space="0" w:color="000000"/>
            </w:tcBorders>
            <w:shd w:val="clear" w:color="auto" w:fill="auto"/>
            <w:vAlign w:val="center"/>
            <w:hideMark/>
          </w:tcPr>
          <w:p w:rsidR="00187324" w:rsidRPr="00706A7B" w:rsidRDefault="00187324" w:rsidP="008B1D06">
            <w:pPr>
              <w:jc w:val="center"/>
              <w:rPr>
                <w:i/>
                <w:iCs/>
                <w:color w:val="000000"/>
                <w:sz w:val="18"/>
                <w:szCs w:val="18"/>
              </w:rPr>
            </w:pPr>
            <w:r w:rsidRPr="00706A7B">
              <w:rPr>
                <w:i/>
                <w:iCs/>
                <w:color w:val="000000"/>
                <w:sz w:val="18"/>
                <w:szCs w:val="18"/>
              </w:rPr>
              <w:t>31 978</w:t>
            </w:r>
          </w:p>
        </w:tc>
        <w:tc>
          <w:tcPr>
            <w:tcW w:w="597" w:type="pct"/>
            <w:tcBorders>
              <w:top w:val="nil"/>
              <w:left w:val="nil"/>
              <w:bottom w:val="single" w:sz="4" w:space="0" w:color="000000"/>
              <w:right w:val="single" w:sz="4" w:space="0" w:color="000000"/>
            </w:tcBorders>
            <w:shd w:val="clear" w:color="auto" w:fill="auto"/>
            <w:vAlign w:val="center"/>
            <w:hideMark/>
          </w:tcPr>
          <w:p w:rsidR="00187324" w:rsidRPr="00706A7B" w:rsidRDefault="00187324" w:rsidP="008B1D06">
            <w:pPr>
              <w:jc w:val="center"/>
              <w:rPr>
                <w:i/>
                <w:iCs/>
                <w:color w:val="000000"/>
                <w:sz w:val="18"/>
                <w:szCs w:val="18"/>
              </w:rPr>
            </w:pPr>
            <w:r w:rsidRPr="00706A7B">
              <w:rPr>
                <w:i/>
                <w:iCs/>
                <w:color w:val="000000"/>
                <w:sz w:val="18"/>
                <w:szCs w:val="18"/>
              </w:rPr>
              <w:t>30 821</w:t>
            </w:r>
          </w:p>
        </w:tc>
        <w:tc>
          <w:tcPr>
            <w:tcW w:w="597" w:type="pct"/>
            <w:tcBorders>
              <w:top w:val="nil"/>
              <w:left w:val="nil"/>
              <w:bottom w:val="single" w:sz="4" w:space="0" w:color="000000"/>
              <w:right w:val="single" w:sz="4" w:space="0" w:color="000000"/>
            </w:tcBorders>
            <w:shd w:val="clear" w:color="auto" w:fill="auto"/>
            <w:vAlign w:val="center"/>
            <w:hideMark/>
          </w:tcPr>
          <w:p w:rsidR="00187324" w:rsidRPr="00706A7B" w:rsidRDefault="00187324" w:rsidP="008B1D06">
            <w:pPr>
              <w:jc w:val="center"/>
              <w:rPr>
                <w:i/>
                <w:iCs/>
                <w:color w:val="000000"/>
                <w:sz w:val="18"/>
                <w:szCs w:val="18"/>
              </w:rPr>
            </w:pPr>
            <w:r w:rsidRPr="00706A7B">
              <w:rPr>
                <w:i/>
                <w:iCs/>
                <w:color w:val="000000"/>
                <w:sz w:val="18"/>
                <w:szCs w:val="18"/>
              </w:rPr>
              <w:t>33 786</w:t>
            </w:r>
          </w:p>
        </w:tc>
        <w:tc>
          <w:tcPr>
            <w:tcW w:w="597" w:type="pct"/>
            <w:tcBorders>
              <w:top w:val="nil"/>
              <w:left w:val="nil"/>
              <w:bottom w:val="single" w:sz="4" w:space="0" w:color="000000"/>
              <w:right w:val="single" w:sz="4" w:space="0" w:color="000000"/>
            </w:tcBorders>
            <w:shd w:val="clear" w:color="auto" w:fill="auto"/>
            <w:vAlign w:val="center"/>
            <w:hideMark/>
          </w:tcPr>
          <w:p w:rsidR="00187324" w:rsidRPr="00706A7B" w:rsidRDefault="00187324" w:rsidP="008B1D06">
            <w:pPr>
              <w:jc w:val="center"/>
              <w:rPr>
                <w:i/>
                <w:iCs/>
                <w:color w:val="000000"/>
                <w:sz w:val="18"/>
                <w:szCs w:val="18"/>
              </w:rPr>
            </w:pPr>
            <w:r w:rsidRPr="00706A7B">
              <w:rPr>
                <w:i/>
                <w:iCs/>
                <w:color w:val="000000"/>
                <w:sz w:val="18"/>
                <w:szCs w:val="18"/>
              </w:rPr>
              <w:t>37 311</w:t>
            </w:r>
          </w:p>
        </w:tc>
        <w:tc>
          <w:tcPr>
            <w:tcW w:w="597" w:type="pct"/>
            <w:tcBorders>
              <w:top w:val="nil"/>
              <w:left w:val="nil"/>
              <w:bottom w:val="single" w:sz="4" w:space="0" w:color="000000"/>
              <w:right w:val="single" w:sz="4" w:space="0" w:color="000000"/>
            </w:tcBorders>
            <w:shd w:val="clear" w:color="auto" w:fill="auto"/>
            <w:vAlign w:val="center"/>
            <w:hideMark/>
          </w:tcPr>
          <w:p w:rsidR="00187324" w:rsidRPr="00706A7B" w:rsidRDefault="00187324" w:rsidP="008B1D06">
            <w:pPr>
              <w:jc w:val="center"/>
              <w:rPr>
                <w:i/>
                <w:iCs/>
                <w:color w:val="000000"/>
                <w:sz w:val="18"/>
                <w:szCs w:val="18"/>
              </w:rPr>
            </w:pPr>
            <w:r w:rsidRPr="00706A7B">
              <w:rPr>
                <w:i/>
                <w:iCs/>
                <w:color w:val="000000"/>
                <w:sz w:val="18"/>
                <w:szCs w:val="18"/>
              </w:rPr>
              <w:t>41 075</w:t>
            </w:r>
          </w:p>
        </w:tc>
      </w:tr>
      <w:tr w:rsidR="00187324" w:rsidRPr="00CF1572" w:rsidTr="008B1D06">
        <w:trPr>
          <w:trHeight w:val="450"/>
        </w:trPr>
        <w:tc>
          <w:tcPr>
            <w:tcW w:w="389" w:type="pct"/>
            <w:vMerge/>
            <w:tcBorders>
              <w:top w:val="single" w:sz="4" w:space="0" w:color="auto"/>
              <w:left w:val="single" w:sz="4" w:space="0" w:color="auto"/>
              <w:bottom w:val="single" w:sz="4" w:space="0" w:color="auto"/>
              <w:right w:val="single" w:sz="4" w:space="0" w:color="auto"/>
            </w:tcBorders>
            <w:vAlign w:val="center"/>
            <w:hideMark/>
          </w:tcPr>
          <w:p w:rsidR="00187324" w:rsidRPr="00CF1572" w:rsidRDefault="00187324" w:rsidP="008B1D06">
            <w:pPr>
              <w:rPr>
                <w:color w:val="000000"/>
                <w:sz w:val="20"/>
                <w:szCs w:val="20"/>
              </w:rPr>
            </w:pPr>
          </w:p>
        </w:tc>
        <w:tc>
          <w:tcPr>
            <w:tcW w:w="1625" w:type="pct"/>
            <w:tcBorders>
              <w:top w:val="single" w:sz="4" w:space="0" w:color="auto"/>
              <w:left w:val="single" w:sz="4" w:space="0" w:color="auto"/>
              <w:bottom w:val="single" w:sz="4" w:space="0" w:color="000000"/>
              <w:right w:val="single" w:sz="4" w:space="0" w:color="000000"/>
            </w:tcBorders>
            <w:shd w:val="clear" w:color="auto" w:fill="auto"/>
            <w:vAlign w:val="center"/>
            <w:hideMark/>
          </w:tcPr>
          <w:p w:rsidR="00187324" w:rsidRPr="00CF1572" w:rsidRDefault="00187324" w:rsidP="008B1D06">
            <w:pPr>
              <w:jc w:val="right"/>
              <w:rPr>
                <w:i/>
                <w:iCs/>
                <w:color w:val="000000"/>
                <w:sz w:val="20"/>
                <w:szCs w:val="20"/>
              </w:rPr>
            </w:pPr>
            <w:r w:rsidRPr="00CF1572">
              <w:rPr>
                <w:i/>
                <w:iCs/>
                <w:color w:val="000000"/>
                <w:sz w:val="20"/>
                <w:szCs w:val="20"/>
              </w:rPr>
              <w:t>ст. 2 частью 1 (с 2021 года 7,5%)</w:t>
            </w:r>
          </w:p>
        </w:tc>
        <w:tc>
          <w:tcPr>
            <w:tcW w:w="597" w:type="pct"/>
            <w:tcBorders>
              <w:top w:val="nil"/>
              <w:left w:val="single" w:sz="4" w:space="0" w:color="000000"/>
              <w:bottom w:val="single" w:sz="4" w:space="0" w:color="000000"/>
              <w:right w:val="single" w:sz="4" w:space="0" w:color="000000"/>
            </w:tcBorders>
            <w:shd w:val="clear" w:color="auto" w:fill="auto"/>
            <w:vAlign w:val="center"/>
            <w:hideMark/>
          </w:tcPr>
          <w:p w:rsidR="00187324" w:rsidRPr="00706A7B" w:rsidRDefault="00187324" w:rsidP="008B1D06">
            <w:pPr>
              <w:jc w:val="center"/>
              <w:rPr>
                <w:i/>
                <w:iCs/>
                <w:color w:val="000000"/>
                <w:sz w:val="18"/>
                <w:szCs w:val="18"/>
              </w:rPr>
            </w:pPr>
            <w:r w:rsidRPr="00706A7B">
              <w:rPr>
                <w:i/>
                <w:iCs/>
                <w:color w:val="000000"/>
                <w:sz w:val="18"/>
                <w:szCs w:val="18"/>
              </w:rPr>
              <w:t>31 719</w:t>
            </w:r>
          </w:p>
        </w:tc>
        <w:tc>
          <w:tcPr>
            <w:tcW w:w="597" w:type="pct"/>
            <w:tcBorders>
              <w:top w:val="nil"/>
              <w:left w:val="nil"/>
              <w:bottom w:val="single" w:sz="4" w:space="0" w:color="000000"/>
              <w:right w:val="single" w:sz="4" w:space="0" w:color="000000"/>
            </w:tcBorders>
            <w:shd w:val="clear" w:color="auto" w:fill="auto"/>
            <w:noWrap/>
            <w:vAlign w:val="center"/>
            <w:hideMark/>
          </w:tcPr>
          <w:p w:rsidR="00187324" w:rsidRPr="00706A7B" w:rsidRDefault="00187324" w:rsidP="008B1D06">
            <w:pPr>
              <w:jc w:val="center"/>
              <w:rPr>
                <w:i/>
                <w:iCs/>
                <w:color w:val="000000"/>
                <w:sz w:val="18"/>
                <w:szCs w:val="18"/>
              </w:rPr>
            </w:pPr>
            <w:r w:rsidRPr="00706A7B">
              <w:rPr>
                <w:i/>
                <w:iCs/>
                <w:color w:val="000000"/>
                <w:sz w:val="18"/>
                <w:szCs w:val="18"/>
              </w:rPr>
              <w:t>30 490</w:t>
            </w:r>
          </w:p>
        </w:tc>
        <w:tc>
          <w:tcPr>
            <w:tcW w:w="597" w:type="pct"/>
            <w:tcBorders>
              <w:top w:val="nil"/>
              <w:left w:val="nil"/>
              <w:bottom w:val="single" w:sz="4" w:space="0" w:color="000000"/>
              <w:right w:val="single" w:sz="4" w:space="0" w:color="000000"/>
            </w:tcBorders>
            <w:shd w:val="clear" w:color="auto" w:fill="auto"/>
            <w:noWrap/>
            <w:vAlign w:val="center"/>
            <w:hideMark/>
          </w:tcPr>
          <w:p w:rsidR="00187324" w:rsidRPr="00706A7B" w:rsidRDefault="00187324" w:rsidP="008B1D06">
            <w:pPr>
              <w:jc w:val="center"/>
              <w:rPr>
                <w:i/>
                <w:iCs/>
                <w:color w:val="000000"/>
                <w:sz w:val="18"/>
                <w:szCs w:val="18"/>
              </w:rPr>
            </w:pPr>
            <w:r w:rsidRPr="00706A7B">
              <w:rPr>
                <w:i/>
                <w:iCs/>
                <w:color w:val="000000"/>
                <w:sz w:val="18"/>
                <w:szCs w:val="18"/>
              </w:rPr>
              <w:t>33 439</w:t>
            </w:r>
          </w:p>
        </w:tc>
        <w:tc>
          <w:tcPr>
            <w:tcW w:w="597" w:type="pct"/>
            <w:tcBorders>
              <w:top w:val="nil"/>
              <w:left w:val="nil"/>
              <w:bottom w:val="single" w:sz="4" w:space="0" w:color="000000"/>
              <w:right w:val="single" w:sz="4" w:space="0" w:color="000000"/>
            </w:tcBorders>
            <w:shd w:val="clear" w:color="auto" w:fill="auto"/>
            <w:noWrap/>
            <w:vAlign w:val="center"/>
            <w:hideMark/>
          </w:tcPr>
          <w:p w:rsidR="00187324" w:rsidRPr="00706A7B" w:rsidRDefault="00187324" w:rsidP="008B1D06">
            <w:pPr>
              <w:jc w:val="center"/>
              <w:rPr>
                <w:i/>
                <w:iCs/>
                <w:color w:val="000000"/>
                <w:sz w:val="18"/>
                <w:szCs w:val="18"/>
              </w:rPr>
            </w:pPr>
            <w:r w:rsidRPr="00706A7B">
              <w:rPr>
                <w:i/>
                <w:iCs/>
                <w:color w:val="000000"/>
                <w:sz w:val="18"/>
                <w:szCs w:val="18"/>
              </w:rPr>
              <w:t>36 947</w:t>
            </w:r>
          </w:p>
        </w:tc>
        <w:tc>
          <w:tcPr>
            <w:tcW w:w="597" w:type="pct"/>
            <w:tcBorders>
              <w:top w:val="nil"/>
              <w:left w:val="nil"/>
              <w:bottom w:val="single" w:sz="4" w:space="0" w:color="000000"/>
              <w:right w:val="single" w:sz="4" w:space="0" w:color="000000"/>
            </w:tcBorders>
            <w:shd w:val="clear" w:color="auto" w:fill="auto"/>
            <w:noWrap/>
            <w:vAlign w:val="center"/>
            <w:hideMark/>
          </w:tcPr>
          <w:p w:rsidR="00187324" w:rsidRPr="00706A7B" w:rsidRDefault="00187324" w:rsidP="008B1D06">
            <w:pPr>
              <w:jc w:val="center"/>
              <w:rPr>
                <w:i/>
                <w:iCs/>
                <w:color w:val="000000"/>
                <w:sz w:val="18"/>
                <w:szCs w:val="18"/>
              </w:rPr>
            </w:pPr>
            <w:r w:rsidRPr="00706A7B">
              <w:rPr>
                <w:i/>
                <w:iCs/>
                <w:color w:val="000000"/>
                <w:sz w:val="18"/>
                <w:szCs w:val="18"/>
              </w:rPr>
              <w:t>40 693</w:t>
            </w:r>
          </w:p>
        </w:tc>
      </w:tr>
      <w:tr w:rsidR="00187324" w:rsidRPr="00CF1572" w:rsidTr="008B1D06">
        <w:trPr>
          <w:trHeight w:val="262"/>
        </w:trPr>
        <w:tc>
          <w:tcPr>
            <w:tcW w:w="389" w:type="pct"/>
            <w:vMerge/>
            <w:tcBorders>
              <w:top w:val="single" w:sz="4" w:space="0" w:color="auto"/>
              <w:left w:val="single" w:sz="4" w:space="0" w:color="auto"/>
              <w:bottom w:val="single" w:sz="4" w:space="0" w:color="auto"/>
              <w:right w:val="single" w:sz="4" w:space="0" w:color="auto"/>
            </w:tcBorders>
            <w:vAlign w:val="center"/>
            <w:hideMark/>
          </w:tcPr>
          <w:p w:rsidR="00187324" w:rsidRPr="00CF1572" w:rsidRDefault="00187324" w:rsidP="008B1D06">
            <w:pPr>
              <w:rPr>
                <w:color w:val="000000"/>
                <w:sz w:val="20"/>
                <w:szCs w:val="20"/>
              </w:rPr>
            </w:pPr>
          </w:p>
        </w:tc>
        <w:tc>
          <w:tcPr>
            <w:tcW w:w="1625" w:type="pct"/>
            <w:tcBorders>
              <w:top w:val="nil"/>
              <w:left w:val="single" w:sz="4" w:space="0" w:color="auto"/>
              <w:bottom w:val="single" w:sz="4" w:space="0" w:color="000000"/>
              <w:right w:val="single" w:sz="4" w:space="0" w:color="000000"/>
            </w:tcBorders>
            <w:shd w:val="clear" w:color="auto" w:fill="auto"/>
            <w:vAlign w:val="center"/>
            <w:hideMark/>
          </w:tcPr>
          <w:p w:rsidR="00187324" w:rsidRPr="00CF1572" w:rsidRDefault="00187324" w:rsidP="008B1D06">
            <w:pPr>
              <w:jc w:val="right"/>
              <w:rPr>
                <w:i/>
                <w:iCs/>
                <w:color w:val="000000"/>
                <w:sz w:val="20"/>
                <w:szCs w:val="20"/>
              </w:rPr>
            </w:pPr>
            <w:r w:rsidRPr="00CF1572">
              <w:rPr>
                <w:i/>
                <w:iCs/>
                <w:color w:val="000000"/>
                <w:sz w:val="20"/>
                <w:szCs w:val="20"/>
              </w:rPr>
              <w:t>ст. 2 частью 2 (с 2021 года 5%)</w:t>
            </w:r>
          </w:p>
        </w:tc>
        <w:tc>
          <w:tcPr>
            <w:tcW w:w="597" w:type="pct"/>
            <w:tcBorders>
              <w:top w:val="nil"/>
              <w:left w:val="single" w:sz="4" w:space="0" w:color="000000"/>
              <w:bottom w:val="single" w:sz="4" w:space="0" w:color="000000"/>
              <w:right w:val="single" w:sz="4" w:space="0" w:color="000000"/>
            </w:tcBorders>
            <w:shd w:val="clear" w:color="auto" w:fill="auto"/>
            <w:vAlign w:val="center"/>
            <w:hideMark/>
          </w:tcPr>
          <w:p w:rsidR="00187324" w:rsidRPr="00706A7B" w:rsidRDefault="00187324" w:rsidP="008B1D06">
            <w:pPr>
              <w:jc w:val="center"/>
              <w:rPr>
                <w:i/>
                <w:iCs/>
                <w:color w:val="000000"/>
                <w:sz w:val="18"/>
                <w:szCs w:val="18"/>
              </w:rPr>
            </w:pPr>
            <w:r w:rsidRPr="00706A7B">
              <w:rPr>
                <w:i/>
                <w:iCs/>
                <w:color w:val="000000"/>
                <w:sz w:val="18"/>
                <w:szCs w:val="18"/>
              </w:rPr>
              <w:t>259</w:t>
            </w:r>
          </w:p>
        </w:tc>
        <w:tc>
          <w:tcPr>
            <w:tcW w:w="597" w:type="pct"/>
            <w:tcBorders>
              <w:top w:val="nil"/>
              <w:left w:val="nil"/>
              <w:bottom w:val="single" w:sz="4" w:space="0" w:color="000000"/>
              <w:right w:val="single" w:sz="4" w:space="0" w:color="000000"/>
            </w:tcBorders>
            <w:shd w:val="clear" w:color="auto" w:fill="auto"/>
            <w:noWrap/>
            <w:vAlign w:val="center"/>
            <w:hideMark/>
          </w:tcPr>
          <w:p w:rsidR="00187324" w:rsidRPr="00706A7B" w:rsidRDefault="00187324" w:rsidP="008B1D06">
            <w:pPr>
              <w:jc w:val="center"/>
              <w:rPr>
                <w:i/>
                <w:iCs/>
                <w:color w:val="000000"/>
                <w:sz w:val="18"/>
                <w:szCs w:val="18"/>
              </w:rPr>
            </w:pPr>
            <w:r w:rsidRPr="00706A7B">
              <w:rPr>
                <w:i/>
                <w:iCs/>
                <w:color w:val="000000"/>
                <w:sz w:val="18"/>
                <w:szCs w:val="18"/>
              </w:rPr>
              <w:t>331</w:t>
            </w:r>
          </w:p>
        </w:tc>
        <w:tc>
          <w:tcPr>
            <w:tcW w:w="597" w:type="pct"/>
            <w:tcBorders>
              <w:top w:val="nil"/>
              <w:left w:val="nil"/>
              <w:bottom w:val="single" w:sz="4" w:space="0" w:color="000000"/>
              <w:right w:val="single" w:sz="4" w:space="0" w:color="000000"/>
            </w:tcBorders>
            <w:shd w:val="clear" w:color="auto" w:fill="auto"/>
            <w:noWrap/>
            <w:vAlign w:val="center"/>
            <w:hideMark/>
          </w:tcPr>
          <w:p w:rsidR="00187324" w:rsidRPr="00706A7B" w:rsidRDefault="00187324" w:rsidP="008B1D06">
            <w:pPr>
              <w:jc w:val="center"/>
              <w:rPr>
                <w:i/>
                <w:iCs/>
                <w:color w:val="000000"/>
                <w:sz w:val="18"/>
                <w:szCs w:val="18"/>
              </w:rPr>
            </w:pPr>
            <w:r w:rsidRPr="00706A7B">
              <w:rPr>
                <w:i/>
                <w:iCs/>
                <w:color w:val="000000"/>
                <w:sz w:val="18"/>
                <w:szCs w:val="18"/>
              </w:rPr>
              <w:t>347</w:t>
            </w:r>
          </w:p>
        </w:tc>
        <w:tc>
          <w:tcPr>
            <w:tcW w:w="597" w:type="pct"/>
            <w:tcBorders>
              <w:top w:val="nil"/>
              <w:left w:val="nil"/>
              <w:bottom w:val="single" w:sz="4" w:space="0" w:color="000000"/>
              <w:right w:val="single" w:sz="4" w:space="0" w:color="000000"/>
            </w:tcBorders>
            <w:shd w:val="clear" w:color="auto" w:fill="auto"/>
            <w:noWrap/>
            <w:vAlign w:val="center"/>
            <w:hideMark/>
          </w:tcPr>
          <w:p w:rsidR="00187324" w:rsidRPr="00706A7B" w:rsidRDefault="00187324" w:rsidP="008B1D06">
            <w:pPr>
              <w:jc w:val="center"/>
              <w:rPr>
                <w:i/>
                <w:iCs/>
                <w:color w:val="000000"/>
                <w:sz w:val="18"/>
                <w:szCs w:val="18"/>
              </w:rPr>
            </w:pPr>
            <w:r w:rsidRPr="00706A7B">
              <w:rPr>
                <w:i/>
                <w:iCs/>
                <w:color w:val="000000"/>
                <w:sz w:val="18"/>
                <w:szCs w:val="18"/>
              </w:rPr>
              <w:t>364</w:t>
            </w:r>
          </w:p>
        </w:tc>
        <w:tc>
          <w:tcPr>
            <w:tcW w:w="597" w:type="pct"/>
            <w:tcBorders>
              <w:top w:val="nil"/>
              <w:left w:val="nil"/>
              <w:bottom w:val="single" w:sz="4" w:space="0" w:color="000000"/>
              <w:right w:val="single" w:sz="4" w:space="0" w:color="000000"/>
            </w:tcBorders>
            <w:shd w:val="clear" w:color="auto" w:fill="auto"/>
            <w:noWrap/>
            <w:vAlign w:val="center"/>
            <w:hideMark/>
          </w:tcPr>
          <w:p w:rsidR="00187324" w:rsidRPr="00706A7B" w:rsidRDefault="00187324" w:rsidP="008B1D06">
            <w:pPr>
              <w:jc w:val="center"/>
              <w:rPr>
                <w:i/>
                <w:iCs/>
                <w:color w:val="000000"/>
                <w:sz w:val="18"/>
                <w:szCs w:val="18"/>
              </w:rPr>
            </w:pPr>
            <w:r w:rsidRPr="00706A7B">
              <w:rPr>
                <w:i/>
                <w:iCs/>
                <w:color w:val="000000"/>
                <w:sz w:val="18"/>
                <w:szCs w:val="18"/>
              </w:rPr>
              <w:t>382</w:t>
            </w:r>
          </w:p>
        </w:tc>
      </w:tr>
      <w:tr w:rsidR="00187324" w:rsidRPr="00CF1572" w:rsidTr="008B1D06">
        <w:trPr>
          <w:trHeight w:val="482"/>
        </w:trPr>
        <w:tc>
          <w:tcPr>
            <w:tcW w:w="389" w:type="pct"/>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187324" w:rsidRPr="00CF1572" w:rsidRDefault="00187324" w:rsidP="008B1D06">
            <w:pPr>
              <w:jc w:val="center"/>
              <w:rPr>
                <w:color w:val="000000"/>
                <w:sz w:val="20"/>
                <w:szCs w:val="20"/>
              </w:rPr>
            </w:pPr>
            <w:r w:rsidRPr="00CF1572">
              <w:rPr>
                <w:color w:val="000000"/>
                <w:sz w:val="20"/>
                <w:szCs w:val="20"/>
              </w:rPr>
              <w:t>2</w:t>
            </w:r>
          </w:p>
        </w:tc>
        <w:tc>
          <w:tcPr>
            <w:tcW w:w="1625" w:type="pct"/>
            <w:tcBorders>
              <w:top w:val="nil"/>
              <w:left w:val="nil"/>
              <w:bottom w:val="single" w:sz="4" w:space="0" w:color="000000"/>
              <w:right w:val="single" w:sz="4" w:space="0" w:color="000000"/>
            </w:tcBorders>
            <w:shd w:val="clear" w:color="auto" w:fill="auto"/>
            <w:vAlign w:val="center"/>
            <w:hideMark/>
          </w:tcPr>
          <w:p w:rsidR="00187324" w:rsidRPr="00CF1572" w:rsidRDefault="00187324" w:rsidP="008B1D06">
            <w:pPr>
              <w:rPr>
                <w:color w:val="000000"/>
                <w:sz w:val="20"/>
                <w:szCs w:val="20"/>
              </w:rPr>
            </w:pPr>
            <w:r w:rsidRPr="00CF1572">
              <w:rPr>
                <w:color w:val="000000"/>
                <w:sz w:val="20"/>
                <w:szCs w:val="20"/>
              </w:rPr>
              <w:t>Налоговая база по минимальному налогу, тыс. рублей</w:t>
            </w:r>
          </w:p>
        </w:tc>
        <w:tc>
          <w:tcPr>
            <w:tcW w:w="597" w:type="pct"/>
            <w:tcBorders>
              <w:top w:val="nil"/>
              <w:left w:val="single" w:sz="4" w:space="0" w:color="000000"/>
              <w:bottom w:val="single" w:sz="4" w:space="0" w:color="000000"/>
              <w:right w:val="single" w:sz="4" w:space="0" w:color="000000"/>
            </w:tcBorders>
            <w:shd w:val="clear" w:color="auto" w:fill="auto"/>
            <w:vAlign w:val="center"/>
            <w:hideMark/>
          </w:tcPr>
          <w:p w:rsidR="00187324" w:rsidRPr="00706A7B" w:rsidRDefault="00187324" w:rsidP="008B1D06">
            <w:pPr>
              <w:jc w:val="center"/>
              <w:rPr>
                <w:color w:val="000000"/>
                <w:sz w:val="18"/>
                <w:szCs w:val="18"/>
              </w:rPr>
            </w:pPr>
            <w:r w:rsidRPr="00706A7B">
              <w:rPr>
                <w:color w:val="000000"/>
                <w:sz w:val="18"/>
                <w:szCs w:val="18"/>
              </w:rPr>
              <w:t>27 979 200</w:t>
            </w:r>
          </w:p>
        </w:tc>
        <w:tc>
          <w:tcPr>
            <w:tcW w:w="597" w:type="pct"/>
            <w:tcBorders>
              <w:top w:val="nil"/>
              <w:left w:val="nil"/>
              <w:bottom w:val="single" w:sz="4" w:space="0" w:color="000000"/>
              <w:right w:val="single" w:sz="4" w:space="0" w:color="000000"/>
            </w:tcBorders>
            <w:shd w:val="clear" w:color="auto" w:fill="auto"/>
            <w:noWrap/>
            <w:vAlign w:val="center"/>
            <w:hideMark/>
          </w:tcPr>
          <w:p w:rsidR="00187324" w:rsidRPr="00706A7B" w:rsidRDefault="00187324" w:rsidP="008B1D06">
            <w:pPr>
              <w:jc w:val="center"/>
              <w:rPr>
                <w:color w:val="000000"/>
                <w:sz w:val="18"/>
                <w:szCs w:val="18"/>
              </w:rPr>
            </w:pPr>
            <w:r w:rsidRPr="00706A7B">
              <w:rPr>
                <w:color w:val="000000"/>
                <w:sz w:val="18"/>
                <w:szCs w:val="18"/>
              </w:rPr>
              <w:t>29</w:t>
            </w:r>
            <w:r>
              <w:rPr>
                <w:color w:val="000000"/>
                <w:sz w:val="18"/>
                <w:szCs w:val="18"/>
              </w:rPr>
              <w:t> 884 819</w:t>
            </w:r>
          </w:p>
        </w:tc>
        <w:tc>
          <w:tcPr>
            <w:tcW w:w="597" w:type="pct"/>
            <w:tcBorders>
              <w:top w:val="nil"/>
              <w:left w:val="nil"/>
              <w:bottom w:val="single" w:sz="4" w:space="0" w:color="000000"/>
              <w:right w:val="single" w:sz="4" w:space="0" w:color="000000"/>
            </w:tcBorders>
            <w:shd w:val="clear" w:color="auto" w:fill="auto"/>
            <w:noWrap/>
            <w:vAlign w:val="center"/>
            <w:hideMark/>
          </w:tcPr>
          <w:p w:rsidR="00187324" w:rsidRPr="00706A7B" w:rsidRDefault="00187324" w:rsidP="008B1D06">
            <w:pPr>
              <w:jc w:val="center"/>
              <w:rPr>
                <w:color w:val="000000"/>
                <w:sz w:val="18"/>
                <w:szCs w:val="18"/>
              </w:rPr>
            </w:pPr>
            <w:r w:rsidRPr="00706A7B">
              <w:rPr>
                <w:color w:val="000000"/>
                <w:sz w:val="18"/>
                <w:szCs w:val="18"/>
              </w:rPr>
              <w:t>31</w:t>
            </w:r>
            <w:r>
              <w:rPr>
                <w:color w:val="000000"/>
                <w:sz w:val="18"/>
                <w:szCs w:val="18"/>
              </w:rPr>
              <w:t> 926 268</w:t>
            </w:r>
          </w:p>
        </w:tc>
        <w:tc>
          <w:tcPr>
            <w:tcW w:w="597" w:type="pct"/>
            <w:tcBorders>
              <w:top w:val="nil"/>
              <w:left w:val="nil"/>
              <w:bottom w:val="single" w:sz="4" w:space="0" w:color="000000"/>
              <w:right w:val="single" w:sz="4" w:space="0" w:color="000000"/>
            </w:tcBorders>
            <w:shd w:val="clear" w:color="auto" w:fill="auto"/>
            <w:noWrap/>
            <w:vAlign w:val="center"/>
            <w:hideMark/>
          </w:tcPr>
          <w:p w:rsidR="00187324" w:rsidRPr="00706A7B" w:rsidRDefault="00187324" w:rsidP="008B1D06">
            <w:pPr>
              <w:jc w:val="center"/>
              <w:rPr>
                <w:color w:val="000000"/>
                <w:sz w:val="18"/>
                <w:szCs w:val="18"/>
              </w:rPr>
            </w:pPr>
            <w:r>
              <w:rPr>
                <w:color w:val="000000"/>
                <w:sz w:val="18"/>
                <w:szCs w:val="18"/>
              </w:rPr>
              <w:t>34 394 688</w:t>
            </w:r>
          </w:p>
        </w:tc>
        <w:tc>
          <w:tcPr>
            <w:tcW w:w="597" w:type="pct"/>
            <w:tcBorders>
              <w:top w:val="nil"/>
              <w:left w:val="nil"/>
              <w:bottom w:val="single" w:sz="4" w:space="0" w:color="000000"/>
              <w:right w:val="single" w:sz="4" w:space="0" w:color="000000"/>
            </w:tcBorders>
            <w:shd w:val="clear" w:color="auto" w:fill="auto"/>
            <w:noWrap/>
            <w:vAlign w:val="center"/>
            <w:hideMark/>
          </w:tcPr>
          <w:p w:rsidR="00187324" w:rsidRPr="00706A7B" w:rsidRDefault="00187324" w:rsidP="008B1D06">
            <w:pPr>
              <w:jc w:val="center"/>
              <w:rPr>
                <w:color w:val="000000"/>
                <w:sz w:val="18"/>
                <w:szCs w:val="18"/>
              </w:rPr>
            </w:pPr>
            <w:r>
              <w:rPr>
                <w:color w:val="000000"/>
                <w:sz w:val="18"/>
                <w:szCs w:val="18"/>
              </w:rPr>
              <w:t>36 143 473</w:t>
            </w:r>
          </w:p>
        </w:tc>
      </w:tr>
      <w:tr w:rsidR="00187324" w:rsidRPr="00CF1572" w:rsidTr="008B1D06">
        <w:trPr>
          <w:trHeight w:val="675"/>
        </w:trPr>
        <w:tc>
          <w:tcPr>
            <w:tcW w:w="389" w:type="pct"/>
            <w:tcBorders>
              <w:top w:val="nil"/>
              <w:left w:val="single" w:sz="4" w:space="0" w:color="000000"/>
              <w:bottom w:val="single" w:sz="4" w:space="0" w:color="000000"/>
              <w:right w:val="single" w:sz="4" w:space="0" w:color="000000"/>
            </w:tcBorders>
            <w:shd w:val="clear" w:color="auto" w:fill="auto"/>
            <w:noWrap/>
            <w:vAlign w:val="center"/>
            <w:hideMark/>
          </w:tcPr>
          <w:p w:rsidR="00187324" w:rsidRPr="00CF1572" w:rsidRDefault="00187324" w:rsidP="008B1D06">
            <w:pPr>
              <w:jc w:val="center"/>
              <w:rPr>
                <w:color w:val="000000"/>
                <w:sz w:val="20"/>
                <w:szCs w:val="20"/>
              </w:rPr>
            </w:pPr>
            <w:r w:rsidRPr="00CF1572">
              <w:rPr>
                <w:color w:val="000000"/>
                <w:sz w:val="20"/>
                <w:szCs w:val="20"/>
              </w:rPr>
              <w:t> </w:t>
            </w:r>
          </w:p>
        </w:tc>
        <w:tc>
          <w:tcPr>
            <w:tcW w:w="1625" w:type="pct"/>
            <w:tcBorders>
              <w:top w:val="nil"/>
              <w:left w:val="nil"/>
              <w:bottom w:val="single" w:sz="4" w:space="0" w:color="000000"/>
              <w:right w:val="single" w:sz="4" w:space="0" w:color="000000"/>
            </w:tcBorders>
            <w:shd w:val="clear" w:color="auto" w:fill="auto"/>
            <w:vAlign w:val="center"/>
            <w:hideMark/>
          </w:tcPr>
          <w:p w:rsidR="00187324" w:rsidRPr="00CF1572" w:rsidRDefault="00187324" w:rsidP="008B1D06">
            <w:pPr>
              <w:rPr>
                <w:color w:val="000000"/>
                <w:sz w:val="20"/>
                <w:szCs w:val="20"/>
              </w:rPr>
            </w:pPr>
            <w:r w:rsidRPr="00CF1572">
              <w:rPr>
                <w:color w:val="000000"/>
                <w:sz w:val="20"/>
                <w:szCs w:val="20"/>
              </w:rPr>
              <w:t>Объем валового регионального продукта (прогноз Министерства экономического развития Тверской области), тыс. рублей</w:t>
            </w:r>
          </w:p>
        </w:tc>
        <w:tc>
          <w:tcPr>
            <w:tcW w:w="597" w:type="pct"/>
            <w:tcBorders>
              <w:top w:val="nil"/>
              <w:left w:val="single" w:sz="4" w:space="0" w:color="000000"/>
              <w:bottom w:val="single" w:sz="4" w:space="0" w:color="000000"/>
              <w:right w:val="single" w:sz="4" w:space="0" w:color="000000"/>
            </w:tcBorders>
            <w:shd w:val="clear" w:color="auto" w:fill="auto"/>
            <w:noWrap/>
            <w:vAlign w:val="center"/>
            <w:hideMark/>
          </w:tcPr>
          <w:p w:rsidR="00187324" w:rsidRPr="00706A7B" w:rsidRDefault="00187324" w:rsidP="008B1D06">
            <w:pPr>
              <w:jc w:val="center"/>
              <w:rPr>
                <w:color w:val="000000"/>
                <w:sz w:val="18"/>
                <w:szCs w:val="18"/>
              </w:rPr>
            </w:pPr>
            <w:r>
              <w:rPr>
                <w:color w:val="000000"/>
                <w:sz w:val="18"/>
                <w:szCs w:val="18"/>
              </w:rPr>
              <w:t>487 738 000</w:t>
            </w:r>
          </w:p>
        </w:tc>
        <w:tc>
          <w:tcPr>
            <w:tcW w:w="597" w:type="pct"/>
            <w:tcBorders>
              <w:top w:val="nil"/>
              <w:left w:val="nil"/>
              <w:bottom w:val="single" w:sz="4" w:space="0" w:color="000000"/>
              <w:right w:val="single" w:sz="4" w:space="0" w:color="000000"/>
            </w:tcBorders>
            <w:shd w:val="clear" w:color="auto" w:fill="auto"/>
            <w:noWrap/>
            <w:vAlign w:val="center"/>
            <w:hideMark/>
          </w:tcPr>
          <w:p w:rsidR="00187324" w:rsidRPr="00706A7B" w:rsidRDefault="00187324" w:rsidP="008B1D06">
            <w:pPr>
              <w:jc w:val="center"/>
              <w:rPr>
                <w:color w:val="000000"/>
                <w:sz w:val="18"/>
                <w:szCs w:val="18"/>
              </w:rPr>
            </w:pPr>
            <w:r>
              <w:rPr>
                <w:color w:val="000000"/>
                <w:sz w:val="18"/>
                <w:szCs w:val="18"/>
              </w:rPr>
              <w:t>520 957 000</w:t>
            </w:r>
          </w:p>
        </w:tc>
        <w:tc>
          <w:tcPr>
            <w:tcW w:w="597" w:type="pct"/>
            <w:tcBorders>
              <w:top w:val="nil"/>
              <w:left w:val="nil"/>
              <w:bottom w:val="single" w:sz="4" w:space="0" w:color="000000"/>
              <w:right w:val="single" w:sz="4" w:space="0" w:color="000000"/>
            </w:tcBorders>
            <w:shd w:val="clear" w:color="auto" w:fill="auto"/>
            <w:noWrap/>
            <w:vAlign w:val="center"/>
            <w:hideMark/>
          </w:tcPr>
          <w:p w:rsidR="00187324" w:rsidRPr="00706A7B" w:rsidRDefault="00187324" w:rsidP="008B1D06">
            <w:pPr>
              <w:jc w:val="center"/>
              <w:rPr>
                <w:color w:val="000000"/>
                <w:sz w:val="18"/>
                <w:szCs w:val="18"/>
              </w:rPr>
            </w:pPr>
            <w:r>
              <w:rPr>
                <w:color w:val="000000"/>
                <w:sz w:val="18"/>
                <w:szCs w:val="18"/>
              </w:rPr>
              <w:t>556 544 000</w:t>
            </w:r>
          </w:p>
        </w:tc>
        <w:tc>
          <w:tcPr>
            <w:tcW w:w="597" w:type="pct"/>
            <w:tcBorders>
              <w:top w:val="nil"/>
              <w:left w:val="nil"/>
              <w:bottom w:val="single" w:sz="4" w:space="0" w:color="000000"/>
              <w:right w:val="single" w:sz="4" w:space="0" w:color="000000"/>
            </w:tcBorders>
            <w:shd w:val="clear" w:color="auto" w:fill="auto"/>
            <w:noWrap/>
            <w:vAlign w:val="center"/>
            <w:hideMark/>
          </w:tcPr>
          <w:p w:rsidR="00187324" w:rsidRPr="00706A7B" w:rsidRDefault="00187324" w:rsidP="008B1D06">
            <w:pPr>
              <w:jc w:val="center"/>
              <w:rPr>
                <w:color w:val="000000"/>
                <w:sz w:val="18"/>
                <w:szCs w:val="18"/>
              </w:rPr>
            </w:pPr>
            <w:r>
              <w:rPr>
                <w:color w:val="000000"/>
                <w:sz w:val="18"/>
                <w:szCs w:val="18"/>
              </w:rPr>
              <w:t>599 574 000</w:t>
            </w:r>
          </w:p>
        </w:tc>
        <w:tc>
          <w:tcPr>
            <w:tcW w:w="597" w:type="pct"/>
            <w:tcBorders>
              <w:top w:val="nil"/>
              <w:left w:val="nil"/>
              <w:bottom w:val="single" w:sz="4" w:space="0" w:color="000000"/>
              <w:right w:val="single" w:sz="4" w:space="0" w:color="000000"/>
            </w:tcBorders>
            <w:shd w:val="clear" w:color="auto" w:fill="auto"/>
            <w:noWrap/>
            <w:vAlign w:val="center"/>
            <w:hideMark/>
          </w:tcPr>
          <w:p w:rsidR="00187324" w:rsidRPr="00706A7B" w:rsidRDefault="00187324" w:rsidP="008B1D06">
            <w:pPr>
              <w:jc w:val="center"/>
              <w:rPr>
                <w:color w:val="000000"/>
                <w:sz w:val="18"/>
                <w:szCs w:val="18"/>
              </w:rPr>
            </w:pPr>
            <w:r>
              <w:rPr>
                <w:color w:val="000000"/>
                <w:sz w:val="18"/>
                <w:szCs w:val="18"/>
              </w:rPr>
              <w:t>630 059 000</w:t>
            </w:r>
          </w:p>
        </w:tc>
      </w:tr>
      <w:tr w:rsidR="00187324" w:rsidRPr="00CF1572" w:rsidTr="008B1D06">
        <w:trPr>
          <w:trHeight w:val="675"/>
        </w:trPr>
        <w:tc>
          <w:tcPr>
            <w:tcW w:w="389" w:type="pct"/>
            <w:tcBorders>
              <w:top w:val="nil"/>
              <w:left w:val="single" w:sz="4" w:space="0" w:color="000000"/>
              <w:bottom w:val="nil"/>
              <w:right w:val="single" w:sz="4" w:space="0" w:color="000000"/>
            </w:tcBorders>
            <w:shd w:val="clear" w:color="auto" w:fill="auto"/>
            <w:noWrap/>
            <w:vAlign w:val="center"/>
            <w:hideMark/>
          </w:tcPr>
          <w:p w:rsidR="00187324" w:rsidRPr="00CF1572" w:rsidRDefault="00187324" w:rsidP="008B1D06">
            <w:pPr>
              <w:jc w:val="center"/>
              <w:rPr>
                <w:color w:val="000000"/>
                <w:sz w:val="20"/>
                <w:szCs w:val="20"/>
              </w:rPr>
            </w:pPr>
            <w:r w:rsidRPr="00CF1572">
              <w:rPr>
                <w:color w:val="000000"/>
                <w:sz w:val="20"/>
                <w:szCs w:val="20"/>
              </w:rPr>
              <w:t>5</w:t>
            </w:r>
          </w:p>
        </w:tc>
        <w:tc>
          <w:tcPr>
            <w:tcW w:w="1625" w:type="pct"/>
            <w:tcBorders>
              <w:top w:val="nil"/>
              <w:left w:val="nil"/>
              <w:bottom w:val="single" w:sz="4" w:space="0" w:color="auto"/>
              <w:right w:val="single" w:sz="4" w:space="0" w:color="000000"/>
            </w:tcBorders>
            <w:shd w:val="clear" w:color="auto" w:fill="auto"/>
            <w:vAlign w:val="center"/>
            <w:hideMark/>
          </w:tcPr>
          <w:p w:rsidR="00187324" w:rsidRPr="00CF1572" w:rsidRDefault="00187324" w:rsidP="008B1D06">
            <w:pPr>
              <w:rPr>
                <w:color w:val="000000"/>
                <w:sz w:val="20"/>
                <w:szCs w:val="20"/>
              </w:rPr>
            </w:pPr>
            <w:r w:rsidRPr="00CF1572">
              <w:rPr>
                <w:color w:val="000000"/>
                <w:sz w:val="20"/>
                <w:szCs w:val="20"/>
              </w:rPr>
              <w:t>Сумма исчисленного за налоговый период налога с доходов, уменьшенных на величину расходов, тыс. рублей*</w:t>
            </w:r>
          </w:p>
        </w:tc>
        <w:tc>
          <w:tcPr>
            <w:tcW w:w="597" w:type="pct"/>
            <w:tcBorders>
              <w:top w:val="nil"/>
              <w:left w:val="single" w:sz="4" w:space="0" w:color="000000"/>
              <w:bottom w:val="single" w:sz="4" w:space="0" w:color="000000"/>
              <w:right w:val="single" w:sz="4" w:space="0" w:color="000000"/>
            </w:tcBorders>
            <w:shd w:val="clear" w:color="auto" w:fill="auto"/>
            <w:noWrap/>
            <w:vAlign w:val="center"/>
            <w:hideMark/>
          </w:tcPr>
          <w:p w:rsidR="00187324" w:rsidRPr="00706A7B" w:rsidRDefault="00187324" w:rsidP="008B1D06">
            <w:pPr>
              <w:jc w:val="center"/>
              <w:rPr>
                <w:color w:val="000000"/>
                <w:sz w:val="18"/>
                <w:szCs w:val="18"/>
              </w:rPr>
            </w:pPr>
            <w:r w:rsidRPr="00706A7B">
              <w:rPr>
                <w:color w:val="000000"/>
                <w:sz w:val="18"/>
                <w:szCs w:val="18"/>
              </w:rPr>
              <w:t>895 900</w:t>
            </w:r>
          </w:p>
        </w:tc>
        <w:tc>
          <w:tcPr>
            <w:tcW w:w="597" w:type="pct"/>
            <w:tcBorders>
              <w:top w:val="nil"/>
              <w:left w:val="nil"/>
              <w:bottom w:val="single" w:sz="4" w:space="0" w:color="000000"/>
              <w:right w:val="single" w:sz="4" w:space="0" w:color="000000"/>
            </w:tcBorders>
            <w:shd w:val="clear" w:color="auto" w:fill="auto"/>
            <w:noWrap/>
            <w:vAlign w:val="center"/>
            <w:hideMark/>
          </w:tcPr>
          <w:p w:rsidR="00187324" w:rsidRPr="00706A7B" w:rsidRDefault="00187324" w:rsidP="008B1D06">
            <w:pPr>
              <w:jc w:val="center"/>
              <w:rPr>
                <w:color w:val="000000"/>
                <w:sz w:val="18"/>
                <w:szCs w:val="18"/>
              </w:rPr>
            </w:pPr>
            <w:r w:rsidRPr="00706A7B">
              <w:rPr>
                <w:color w:val="000000"/>
                <w:sz w:val="18"/>
                <w:szCs w:val="18"/>
              </w:rPr>
              <w:t>1 201 969</w:t>
            </w:r>
          </w:p>
        </w:tc>
        <w:tc>
          <w:tcPr>
            <w:tcW w:w="597" w:type="pct"/>
            <w:tcBorders>
              <w:top w:val="nil"/>
              <w:left w:val="nil"/>
              <w:bottom w:val="single" w:sz="4" w:space="0" w:color="000000"/>
              <w:right w:val="single" w:sz="4" w:space="0" w:color="000000"/>
            </w:tcBorders>
            <w:shd w:val="clear" w:color="auto" w:fill="auto"/>
            <w:noWrap/>
            <w:vAlign w:val="center"/>
            <w:hideMark/>
          </w:tcPr>
          <w:p w:rsidR="00187324" w:rsidRPr="00706A7B" w:rsidRDefault="00187324" w:rsidP="008B1D06">
            <w:pPr>
              <w:jc w:val="center"/>
              <w:rPr>
                <w:color w:val="000000"/>
                <w:sz w:val="18"/>
                <w:szCs w:val="18"/>
              </w:rPr>
            </w:pPr>
            <w:r w:rsidRPr="00706A7B">
              <w:rPr>
                <w:color w:val="000000"/>
                <w:sz w:val="18"/>
                <w:szCs w:val="18"/>
              </w:rPr>
              <w:t>1 262 132</w:t>
            </w:r>
          </w:p>
        </w:tc>
        <w:tc>
          <w:tcPr>
            <w:tcW w:w="597" w:type="pct"/>
            <w:tcBorders>
              <w:top w:val="nil"/>
              <w:left w:val="nil"/>
              <w:bottom w:val="single" w:sz="4" w:space="0" w:color="000000"/>
              <w:right w:val="single" w:sz="4" w:space="0" w:color="000000"/>
            </w:tcBorders>
            <w:shd w:val="clear" w:color="auto" w:fill="auto"/>
            <w:noWrap/>
            <w:vAlign w:val="center"/>
            <w:hideMark/>
          </w:tcPr>
          <w:p w:rsidR="00187324" w:rsidRPr="00706A7B" w:rsidRDefault="00187324" w:rsidP="008B1D06">
            <w:pPr>
              <w:jc w:val="center"/>
              <w:rPr>
                <w:color w:val="000000"/>
                <w:sz w:val="18"/>
                <w:szCs w:val="18"/>
              </w:rPr>
            </w:pPr>
            <w:r w:rsidRPr="00706A7B">
              <w:rPr>
                <w:color w:val="000000"/>
                <w:sz w:val="18"/>
                <w:szCs w:val="18"/>
              </w:rPr>
              <w:t>1 327 997</w:t>
            </w:r>
          </w:p>
        </w:tc>
        <w:tc>
          <w:tcPr>
            <w:tcW w:w="597" w:type="pct"/>
            <w:tcBorders>
              <w:top w:val="nil"/>
              <w:left w:val="nil"/>
              <w:bottom w:val="single" w:sz="4" w:space="0" w:color="000000"/>
              <w:right w:val="single" w:sz="4" w:space="0" w:color="000000"/>
            </w:tcBorders>
            <w:shd w:val="clear" w:color="auto" w:fill="auto"/>
            <w:noWrap/>
            <w:vAlign w:val="center"/>
            <w:hideMark/>
          </w:tcPr>
          <w:p w:rsidR="00187324" w:rsidRPr="00706A7B" w:rsidRDefault="00187324" w:rsidP="008B1D06">
            <w:pPr>
              <w:jc w:val="center"/>
              <w:rPr>
                <w:color w:val="000000"/>
                <w:sz w:val="18"/>
                <w:szCs w:val="18"/>
              </w:rPr>
            </w:pPr>
            <w:r w:rsidRPr="00706A7B">
              <w:rPr>
                <w:color w:val="000000"/>
                <w:sz w:val="18"/>
                <w:szCs w:val="18"/>
              </w:rPr>
              <w:t>1 396 427</w:t>
            </w:r>
          </w:p>
        </w:tc>
      </w:tr>
      <w:tr w:rsidR="00187324" w:rsidRPr="00CF1572" w:rsidTr="008B1D06">
        <w:trPr>
          <w:trHeight w:val="675"/>
        </w:trPr>
        <w:tc>
          <w:tcPr>
            <w:tcW w:w="389" w:type="pct"/>
            <w:tcBorders>
              <w:top w:val="single" w:sz="4" w:space="0" w:color="000000"/>
              <w:left w:val="single" w:sz="4" w:space="0" w:color="000000"/>
              <w:bottom w:val="single" w:sz="4" w:space="0" w:color="auto"/>
              <w:right w:val="single" w:sz="4" w:space="0" w:color="auto"/>
            </w:tcBorders>
            <w:shd w:val="clear" w:color="auto" w:fill="auto"/>
            <w:noWrap/>
            <w:vAlign w:val="center"/>
            <w:hideMark/>
          </w:tcPr>
          <w:p w:rsidR="00187324" w:rsidRPr="00CF1572" w:rsidRDefault="00187324" w:rsidP="008B1D06">
            <w:pPr>
              <w:jc w:val="center"/>
              <w:rPr>
                <w:color w:val="000000"/>
                <w:sz w:val="20"/>
                <w:szCs w:val="20"/>
              </w:rPr>
            </w:pPr>
            <w:r w:rsidRPr="00CF1572">
              <w:rPr>
                <w:color w:val="000000"/>
                <w:sz w:val="20"/>
                <w:szCs w:val="20"/>
              </w:rPr>
              <w:t>6</w:t>
            </w:r>
          </w:p>
        </w:tc>
        <w:tc>
          <w:tcPr>
            <w:tcW w:w="16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7324" w:rsidRPr="00CF1572" w:rsidRDefault="00187324" w:rsidP="008B1D06">
            <w:pPr>
              <w:rPr>
                <w:color w:val="000000"/>
                <w:sz w:val="20"/>
                <w:szCs w:val="20"/>
              </w:rPr>
            </w:pPr>
            <w:r w:rsidRPr="00CF1572">
              <w:rPr>
                <w:color w:val="000000"/>
                <w:sz w:val="20"/>
                <w:szCs w:val="20"/>
              </w:rPr>
              <w:t>Сумма минимального налога, подлежащая уплате за налоговый период, тыс. рублей</w:t>
            </w:r>
          </w:p>
        </w:tc>
        <w:tc>
          <w:tcPr>
            <w:tcW w:w="597" w:type="pct"/>
            <w:tcBorders>
              <w:top w:val="nil"/>
              <w:left w:val="single" w:sz="4" w:space="0" w:color="000000"/>
              <w:bottom w:val="single" w:sz="4" w:space="0" w:color="000000"/>
              <w:right w:val="single" w:sz="4" w:space="0" w:color="000000"/>
            </w:tcBorders>
            <w:shd w:val="clear" w:color="auto" w:fill="auto"/>
            <w:noWrap/>
            <w:vAlign w:val="center"/>
            <w:hideMark/>
          </w:tcPr>
          <w:p w:rsidR="00187324" w:rsidRPr="00706A7B" w:rsidRDefault="00187324" w:rsidP="008B1D06">
            <w:pPr>
              <w:jc w:val="center"/>
              <w:rPr>
                <w:color w:val="000000"/>
                <w:sz w:val="18"/>
                <w:szCs w:val="18"/>
              </w:rPr>
            </w:pPr>
            <w:r w:rsidRPr="00706A7B">
              <w:rPr>
                <w:color w:val="000000"/>
                <w:sz w:val="18"/>
                <w:szCs w:val="18"/>
              </w:rPr>
              <w:t>279 792</w:t>
            </w:r>
          </w:p>
        </w:tc>
        <w:tc>
          <w:tcPr>
            <w:tcW w:w="597" w:type="pct"/>
            <w:tcBorders>
              <w:top w:val="nil"/>
              <w:left w:val="nil"/>
              <w:bottom w:val="single" w:sz="4" w:space="0" w:color="000000"/>
              <w:right w:val="single" w:sz="4" w:space="0" w:color="000000"/>
            </w:tcBorders>
            <w:shd w:val="clear" w:color="auto" w:fill="auto"/>
            <w:noWrap/>
            <w:vAlign w:val="center"/>
            <w:hideMark/>
          </w:tcPr>
          <w:p w:rsidR="00187324" w:rsidRPr="00706A7B" w:rsidRDefault="00187324" w:rsidP="008B1D06">
            <w:pPr>
              <w:jc w:val="center"/>
              <w:rPr>
                <w:color w:val="000000"/>
                <w:sz w:val="18"/>
                <w:szCs w:val="18"/>
              </w:rPr>
            </w:pPr>
            <w:r>
              <w:rPr>
                <w:color w:val="000000"/>
                <w:sz w:val="18"/>
                <w:szCs w:val="18"/>
              </w:rPr>
              <w:t>298 846</w:t>
            </w:r>
          </w:p>
        </w:tc>
        <w:tc>
          <w:tcPr>
            <w:tcW w:w="597" w:type="pct"/>
            <w:tcBorders>
              <w:top w:val="nil"/>
              <w:left w:val="nil"/>
              <w:bottom w:val="single" w:sz="4" w:space="0" w:color="000000"/>
              <w:right w:val="single" w:sz="4" w:space="0" w:color="000000"/>
            </w:tcBorders>
            <w:shd w:val="clear" w:color="auto" w:fill="auto"/>
            <w:noWrap/>
            <w:vAlign w:val="center"/>
            <w:hideMark/>
          </w:tcPr>
          <w:p w:rsidR="00187324" w:rsidRPr="00706A7B" w:rsidRDefault="00187324" w:rsidP="008B1D06">
            <w:pPr>
              <w:jc w:val="center"/>
              <w:rPr>
                <w:color w:val="000000"/>
                <w:sz w:val="18"/>
                <w:szCs w:val="18"/>
              </w:rPr>
            </w:pPr>
            <w:r>
              <w:rPr>
                <w:color w:val="000000"/>
                <w:sz w:val="18"/>
                <w:szCs w:val="18"/>
              </w:rPr>
              <w:t>319 262</w:t>
            </w:r>
          </w:p>
        </w:tc>
        <w:tc>
          <w:tcPr>
            <w:tcW w:w="597" w:type="pct"/>
            <w:tcBorders>
              <w:top w:val="nil"/>
              <w:left w:val="nil"/>
              <w:bottom w:val="single" w:sz="4" w:space="0" w:color="000000"/>
              <w:right w:val="single" w:sz="4" w:space="0" w:color="000000"/>
            </w:tcBorders>
            <w:shd w:val="clear" w:color="auto" w:fill="auto"/>
            <w:noWrap/>
            <w:vAlign w:val="center"/>
            <w:hideMark/>
          </w:tcPr>
          <w:p w:rsidR="00187324" w:rsidRPr="00706A7B" w:rsidRDefault="00187324" w:rsidP="008B1D06">
            <w:pPr>
              <w:jc w:val="center"/>
              <w:rPr>
                <w:color w:val="000000"/>
                <w:sz w:val="18"/>
                <w:szCs w:val="18"/>
              </w:rPr>
            </w:pPr>
            <w:r>
              <w:rPr>
                <w:color w:val="000000"/>
                <w:sz w:val="18"/>
                <w:szCs w:val="18"/>
              </w:rPr>
              <w:t>343 947</w:t>
            </w:r>
          </w:p>
        </w:tc>
        <w:tc>
          <w:tcPr>
            <w:tcW w:w="597" w:type="pct"/>
            <w:tcBorders>
              <w:top w:val="nil"/>
              <w:left w:val="nil"/>
              <w:bottom w:val="single" w:sz="4" w:space="0" w:color="000000"/>
              <w:right w:val="single" w:sz="4" w:space="0" w:color="000000"/>
            </w:tcBorders>
            <w:shd w:val="clear" w:color="auto" w:fill="auto"/>
            <w:noWrap/>
            <w:vAlign w:val="center"/>
            <w:hideMark/>
          </w:tcPr>
          <w:p w:rsidR="00187324" w:rsidRPr="00706A7B" w:rsidRDefault="00187324" w:rsidP="008B1D06">
            <w:pPr>
              <w:jc w:val="center"/>
              <w:rPr>
                <w:color w:val="000000"/>
                <w:sz w:val="18"/>
                <w:szCs w:val="18"/>
              </w:rPr>
            </w:pPr>
            <w:r>
              <w:rPr>
                <w:color w:val="000000"/>
                <w:sz w:val="18"/>
                <w:szCs w:val="18"/>
              </w:rPr>
              <w:t>361 428</w:t>
            </w:r>
          </w:p>
        </w:tc>
      </w:tr>
      <w:tr w:rsidR="00187324" w:rsidRPr="00CF1572" w:rsidTr="008B1D06">
        <w:trPr>
          <w:trHeight w:val="1035"/>
        </w:trPr>
        <w:tc>
          <w:tcPr>
            <w:tcW w:w="38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7324" w:rsidRPr="00CF1572" w:rsidRDefault="00187324" w:rsidP="008B1D06">
            <w:pPr>
              <w:jc w:val="center"/>
              <w:rPr>
                <w:color w:val="000000"/>
                <w:sz w:val="20"/>
                <w:szCs w:val="20"/>
              </w:rPr>
            </w:pPr>
            <w:r w:rsidRPr="00CF1572">
              <w:rPr>
                <w:color w:val="000000"/>
                <w:sz w:val="20"/>
                <w:szCs w:val="20"/>
              </w:rPr>
              <w:t>7</w:t>
            </w:r>
          </w:p>
        </w:tc>
        <w:tc>
          <w:tcPr>
            <w:tcW w:w="16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7324" w:rsidRPr="00CF1572" w:rsidRDefault="00187324" w:rsidP="008B1D06">
            <w:pPr>
              <w:rPr>
                <w:color w:val="000000"/>
                <w:sz w:val="20"/>
                <w:szCs w:val="20"/>
              </w:rPr>
            </w:pPr>
            <w:r w:rsidRPr="00CF1572">
              <w:rPr>
                <w:color w:val="000000"/>
                <w:sz w:val="20"/>
                <w:szCs w:val="20"/>
              </w:rPr>
              <w:t>Корректирующая сумма поступлений, учитывающая изменения законодательства о налогах и сборах, а также другие факторы - всего, тыс. рублей</w:t>
            </w:r>
          </w:p>
        </w:tc>
        <w:tc>
          <w:tcPr>
            <w:tcW w:w="597" w:type="pct"/>
            <w:tcBorders>
              <w:top w:val="nil"/>
              <w:left w:val="single" w:sz="4" w:space="0" w:color="000000"/>
              <w:bottom w:val="single" w:sz="4" w:space="0" w:color="000000"/>
              <w:right w:val="single" w:sz="4" w:space="0" w:color="000000"/>
            </w:tcBorders>
            <w:shd w:val="clear" w:color="auto" w:fill="auto"/>
            <w:noWrap/>
            <w:vAlign w:val="center"/>
            <w:hideMark/>
          </w:tcPr>
          <w:p w:rsidR="00187324" w:rsidRPr="00706A7B" w:rsidRDefault="00187324" w:rsidP="008B1D06">
            <w:pPr>
              <w:jc w:val="center"/>
              <w:rPr>
                <w:color w:val="000000"/>
                <w:sz w:val="18"/>
                <w:szCs w:val="18"/>
              </w:rPr>
            </w:pPr>
            <w:r w:rsidRPr="00706A7B">
              <w:rPr>
                <w:color w:val="000000"/>
                <w:sz w:val="18"/>
                <w:szCs w:val="18"/>
              </w:rPr>
              <w:t>х</w:t>
            </w:r>
          </w:p>
        </w:tc>
        <w:tc>
          <w:tcPr>
            <w:tcW w:w="597" w:type="pct"/>
            <w:tcBorders>
              <w:top w:val="nil"/>
              <w:left w:val="nil"/>
              <w:bottom w:val="single" w:sz="4" w:space="0" w:color="000000"/>
              <w:right w:val="single" w:sz="4" w:space="0" w:color="000000"/>
            </w:tcBorders>
            <w:shd w:val="clear" w:color="auto" w:fill="auto"/>
            <w:noWrap/>
            <w:vAlign w:val="center"/>
            <w:hideMark/>
          </w:tcPr>
          <w:p w:rsidR="00187324" w:rsidRPr="00706A7B" w:rsidRDefault="00187324" w:rsidP="008B1D06">
            <w:pPr>
              <w:jc w:val="center"/>
              <w:rPr>
                <w:color w:val="000000"/>
                <w:sz w:val="18"/>
                <w:szCs w:val="18"/>
              </w:rPr>
            </w:pPr>
            <w:r w:rsidRPr="00706A7B">
              <w:rPr>
                <w:color w:val="000000"/>
                <w:sz w:val="18"/>
                <w:szCs w:val="18"/>
              </w:rPr>
              <w:t>-37 215</w:t>
            </w:r>
          </w:p>
        </w:tc>
        <w:tc>
          <w:tcPr>
            <w:tcW w:w="597" w:type="pct"/>
            <w:tcBorders>
              <w:top w:val="nil"/>
              <w:left w:val="nil"/>
              <w:bottom w:val="single" w:sz="4" w:space="0" w:color="000000"/>
              <w:right w:val="single" w:sz="4" w:space="0" w:color="000000"/>
            </w:tcBorders>
            <w:shd w:val="clear" w:color="auto" w:fill="auto"/>
            <w:noWrap/>
            <w:vAlign w:val="center"/>
            <w:hideMark/>
          </w:tcPr>
          <w:p w:rsidR="00187324" w:rsidRPr="00706A7B" w:rsidRDefault="00187324" w:rsidP="008B1D06">
            <w:pPr>
              <w:jc w:val="center"/>
              <w:rPr>
                <w:color w:val="000000"/>
                <w:sz w:val="18"/>
                <w:szCs w:val="18"/>
              </w:rPr>
            </w:pPr>
            <w:r w:rsidRPr="00706A7B">
              <w:rPr>
                <w:color w:val="000000"/>
                <w:sz w:val="18"/>
                <w:szCs w:val="18"/>
              </w:rPr>
              <w:t>-36 610</w:t>
            </w:r>
          </w:p>
        </w:tc>
        <w:tc>
          <w:tcPr>
            <w:tcW w:w="597" w:type="pct"/>
            <w:tcBorders>
              <w:top w:val="nil"/>
              <w:left w:val="nil"/>
              <w:bottom w:val="single" w:sz="4" w:space="0" w:color="000000"/>
              <w:right w:val="single" w:sz="4" w:space="0" w:color="000000"/>
            </w:tcBorders>
            <w:shd w:val="clear" w:color="auto" w:fill="auto"/>
            <w:noWrap/>
            <w:vAlign w:val="center"/>
            <w:hideMark/>
          </w:tcPr>
          <w:p w:rsidR="00187324" w:rsidRPr="00706A7B" w:rsidRDefault="00187324" w:rsidP="008B1D06">
            <w:pPr>
              <w:jc w:val="center"/>
              <w:rPr>
                <w:color w:val="000000"/>
                <w:sz w:val="18"/>
                <w:szCs w:val="18"/>
              </w:rPr>
            </w:pPr>
            <w:r w:rsidRPr="00706A7B">
              <w:rPr>
                <w:color w:val="000000"/>
                <w:sz w:val="18"/>
                <w:szCs w:val="18"/>
              </w:rPr>
              <w:t>-35 846</w:t>
            </w:r>
          </w:p>
        </w:tc>
        <w:tc>
          <w:tcPr>
            <w:tcW w:w="597" w:type="pct"/>
            <w:tcBorders>
              <w:top w:val="nil"/>
              <w:left w:val="nil"/>
              <w:bottom w:val="single" w:sz="4" w:space="0" w:color="000000"/>
              <w:right w:val="single" w:sz="4" w:space="0" w:color="000000"/>
            </w:tcBorders>
            <w:shd w:val="clear" w:color="auto" w:fill="auto"/>
            <w:noWrap/>
            <w:vAlign w:val="center"/>
            <w:hideMark/>
          </w:tcPr>
          <w:p w:rsidR="00187324" w:rsidRPr="00706A7B" w:rsidRDefault="00187324" w:rsidP="008B1D06">
            <w:pPr>
              <w:jc w:val="center"/>
              <w:rPr>
                <w:color w:val="000000"/>
                <w:sz w:val="18"/>
                <w:szCs w:val="18"/>
              </w:rPr>
            </w:pPr>
            <w:r w:rsidRPr="00706A7B">
              <w:rPr>
                <w:color w:val="000000"/>
                <w:sz w:val="18"/>
                <w:szCs w:val="18"/>
              </w:rPr>
              <w:t>-35 211</w:t>
            </w:r>
          </w:p>
        </w:tc>
      </w:tr>
      <w:tr w:rsidR="00187324" w:rsidRPr="00CF1572" w:rsidTr="008B1D06">
        <w:trPr>
          <w:trHeight w:val="267"/>
        </w:trPr>
        <w:tc>
          <w:tcPr>
            <w:tcW w:w="389" w:type="pct"/>
            <w:vMerge/>
            <w:tcBorders>
              <w:top w:val="single" w:sz="4" w:space="0" w:color="auto"/>
              <w:left w:val="single" w:sz="4" w:space="0" w:color="000000"/>
              <w:bottom w:val="nil"/>
              <w:right w:val="single" w:sz="4" w:space="0" w:color="auto"/>
            </w:tcBorders>
            <w:vAlign w:val="center"/>
            <w:hideMark/>
          </w:tcPr>
          <w:p w:rsidR="00187324" w:rsidRPr="00CF1572" w:rsidRDefault="00187324" w:rsidP="008B1D06">
            <w:pPr>
              <w:rPr>
                <w:color w:val="000000"/>
                <w:sz w:val="20"/>
                <w:szCs w:val="20"/>
              </w:rPr>
            </w:pPr>
          </w:p>
        </w:tc>
        <w:tc>
          <w:tcPr>
            <w:tcW w:w="16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7324" w:rsidRPr="00CF1572" w:rsidRDefault="00187324" w:rsidP="008B1D06">
            <w:pPr>
              <w:jc w:val="right"/>
              <w:rPr>
                <w:i/>
                <w:iCs/>
                <w:color w:val="000000"/>
                <w:sz w:val="20"/>
                <w:szCs w:val="20"/>
              </w:rPr>
            </w:pPr>
            <w:r w:rsidRPr="00CF1572">
              <w:rPr>
                <w:i/>
                <w:iCs/>
                <w:color w:val="000000"/>
                <w:sz w:val="20"/>
                <w:szCs w:val="20"/>
              </w:rPr>
              <w:t>Корректирующая сумма - F1</w:t>
            </w:r>
          </w:p>
        </w:tc>
        <w:tc>
          <w:tcPr>
            <w:tcW w:w="597" w:type="pct"/>
            <w:tcBorders>
              <w:top w:val="nil"/>
              <w:left w:val="single" w:sz="4" w:space="0" w:color="000000"/>
              <w:bottom w:val="single" w:sz="4" w:space="0" w:color="000000"/>
              <w:right w:val="single" w:sz="4" w:space="0" w:color="000000"/>
            </w:tcBorders>
            <w:shd w:val="clear" w:color="auto" w:fill="auto"/>
            <w:noWrap/>
            <w:vAlign w:val="center"/>
            <w:hideMark/>
          </w:tcPr>
          <w:p w:rsidR="00187324" w:rsidRPr="00706A7B" w:rsidRDefault="00187324" w:rsidP="008B1D06">
            <w:pPr>
              <w:jc w:val="center"/>
              <w:rPr>
                <w:color w:val="000000"/>
                <w:sz w:val="18"/>
                <w:szCs w:val="18"/>
              </w:rPr>
            </w:pPr>
            <w:r w:rsidRPr="00706A7B">
              <w:rPr>
                <w:color w:val="000000"/>
                <w:sz w:val="18"/>
                <w:szCs w:val="18"/>
              </w:rPr>
              <w:t>х</w:t>
            </w:r>
          </w:p>
        </w:tc>
        <w:tc>
          <w:tcPr>
            <w:tcW w:w="597" w:type="pct"/>
            <w:tcBorders>
              <w:top w:val="nil"/>
              <w:left w:val="nil"/>
              <w:bottom w:val="single" w:sz="4" w:space="0" w:color="000000"/>
              <w:right w:val="single" w:sz="4" w:space="0" w:color="000000"/>
            </w:tcBorders>
            <w:shd w:val="clear" w:color="auto" w:fill="auto"/>
            <w:noWrap/>
            <w:vAlign w:val="center"/>
            <w:hideMark/>
          </w:tcPr>
          <w:p w:rsidR="00187324" w:rsidRPr="00706A7B" w:rsidRDefault="00187324" w:rsidP="008B1D06">
            <w:pPr>
              <w:jc w:val="center"/>
              <w:rPr>
                <w:color w:val="000000"/>
                <w:sz w:val="18"/>
                <w:szCs w:val="18"/>
              </w:rPr>
            </w:pPr>
            <w:r w:rsidRPr="00706A7B">
              <w:rPr>
                <w:color w:val="000000"/>
                <w:sz w:val="18"/>
                <w:szCs w:val="18"/>
              </w:rPr>
              <w:t>0</w:t>
            </w:r>
          </w:p>
        </w:tc>
        <w:tc>
          <w:tcPr>
            <w:tcW w:w="597" w:type="pct"/>
            <w:tcBorders>
              <w:top w:val="nil"/>
              <w:left w:val="nil"/>
              <w:bottom w:val="single" w:sz="4" w:space="0" w:color="000000"/>
              <w:right w:val="single" w:sz="4" w:space="0" w:color="000000"/>
            </w:tcBorders>
            <w:shd w:val="clear" w:color="auto" w:fill="auto"/>
            <w:noWrap/>
            <w:vAlign w:val="center"/>
            <w:hideMark/>
          </w:tcPr>
          <w:p w:rsidR="00187324" w:rsidRPr="00706A7B" w:rsidRDefault="00187324" w:rsidP="008B1D06">
            <w:pPr>
              <w:jc w:val="center"/>
              <w:rPr>
                <w:color w:val="000000"/>
                <w:sz w:val="18"/>
                <w:szCs w:val="18"/>
              </w:rPr>
            </w:pPr>
            <w:r w:rsidRPr="00706A7B">
              <w:rPr>
                <w:color w:val="000000"/>
                <w:sz w:val="18"/>
                <w:szCs w:val="18"/>
              </w:rPr>
              <w:t>0</w:t>
            </w:r>
          </w:p>
        </w:tc>
        <w:tc>
          <w:tcPr>
            <w:tcW w:w="597" w:type="pct"/>
            <w:tcBorders>
              <w:top w:val="nil"/>
              <w:left w:val="nil"/>
              <w:bottom w:val="single" w:sz="4" w:space="0" w:color="000000"/>
              <w:right w:val="single" w:sz="4" w:space="0" w:color="000000"/>
            </w:tcBorders>
            <w:shd w:val="clear" w:color="auto" w:fill="auto"/>
            <w:noWrap/>
            <w:vAlign w:val="center"/>
            <w:hideMark/>
          </w:tcPr>
          <w:p w:rsidR="00187324" w:rsidRPr="00706A7B" w:rsidRDefault="00187324" w:rsidP="008B1D06">
            <w:pPr>
              <w:jc w:val="center"/>
              <w:rPr>
                <w:color w:val="000000"/>
                <w:sz w:val="18"/>
                <w:szCs w:val="18"/>
              </w:rPr>
            </w:pPr>
            <w:r w:rsidRPr="00706A7B">
              <w:rPr>
                <w:color w:val="000000"/>
                <w:sz w:val="18"/>
                <w:szCs w:val="18"/>
              </w:rPr>
              <w:t>0</w:t>
            </w:r>
          </w:p>
        </w:tc>
        <w:tc>
          <w:tcPr>
            <w:tcW w:w="597" w:type="pct"/>
            <w:tcBorders>
              <w:top w:val="nil"/>
              <w:left w:val="nil"/>
              <w:bottom w:val="single" w:sz="4" w:space="0" w:color="000000"/>
              <w:right w:val="single" w:sz="4" w:space="0" w:color="000000"/>
            </w:tcBorders>
            <w:shd w:val="clear" w:color="auto" w:fill="auto"/>
            <w:noWrap/>
            <w:vAlign w:val="center"/>
            <w:hideMark/>
          </w:tcPr>
          <w:p w:rsidR="00187324" w:rsidRPr="00706A7B" w:rsidRDefault="00187324" w:rsidP="008B1D06">
            <w:pPr>
              <w:jc w:val="center"/>
              <w:rPr>
                <w:color w:val="000000"/>
                <w:sz w:val="18"/>
                <w:szCs w:val="18"/>
              </w:rPr>
            </w:pPr>
            <w:r w:rsidRPr="00706A7B">
              <w:rPr>
                <w:color w:val="000000"/>
                <w:sz w:val="18"/>
                <w:szCs w:val="18"/>
              </w:rPr>
              <w:t>0</w:t>
            </w:r>
          </w:p>
        </w:tc>
      </w:tr>
      <w:tr w:rsidR="00187324" w:rsidRPr="00CF1572" w:rsidTr="008B1D06">
        <w:trPr>
          <w:trHeight w:val="555"/>
        </w:trPr>
        <w:tc>
          <w:tcPr>
            <w:tcW w:w="389" w:type="pct"/>
            <w:vMerge/>
            <w:tcBorders>
              <w:top w:val="nil"/>
              <w:left w:val="single" w:sz="4" w:space="0" w:color="000000"/>
              <w:bottom w:val="nil"/>
              <w:right w:val="single" w:sz="4" w:space="0" w:color="auto"/>
            </w:tcBorders>
            <w:vAlign w:val="center"/>
            <w:hideMark/>
          </w:tcPr>
          <w:p w:rsidR="00187324" w:rsidRPr="00CF1572" w:rsidRDefault="00187324" w:rsidP="008B1D06">
            <w:pPr>
              <w:rPr>
                <w:color w:val="000000"/>
                <w:sz w:val="20"/>
                <w:szCs w:val="20"/>
              </w:rPr>
            </w:pPr>
          </w:p>
        </w:tc>
        <w:tc>
          <w:tcPr>
            <w:tcW w:w="16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7324" w:rsidRPr="00CF1572" w:rsidRDefault="00187324" w:rsidP="008B1D06">
            <w:pPr>
              <w:jc w:val="right"/>
              <w:rPr>
                <w:i/>
                <w:iCs/>
                <w:color w:val="000000"/>
                <w:sz w:val="20"/>
                <w:szCs w:val="20"/>
              </w:rPr>
            </w:pPr>
            <w:r w:rsidRPr="00CF1572">
              <w:rPr>
                <w:i/>
                <w:iCs/>
                <w:color w:val="000000"/>
                <w:sz w:val="20"/>
                <w:szCs w:val="20"/>
              </w:rPr>
              <w:t>Корректирующая сумма - F2 (динамика поступлений)</w:t>
            </w:r>
          </w:p>
        </w:tc>
        <w:tc>
          <w:tcPr>
            <w:tcW w:w="597" w:type="pct"/>
            <w:tcBorders>
              <w:top w:val="nil"/>
              <w:left w:val="single" w:sz="4" w:space="0" w:color="000000"/>
              <w:bottom w:val="single" w:sz="4" w:space="0" w:color="000000"/>
              <w:right w:val="single" w:sz="4" w:space="0" w:color="000000"/>
            </w:tcBorders>
            <w:shd w:val="clear" w:color="auto" w:fill="auto"/>
            <w:noWrap/>
            <w:vAlign w:val="center"/>
            <w:hideMark/>
          </w:tcPr>
          <w:p w:rsidR="00187324" w:rsidRPr="00706A7B" w:rsidRDefault="00187324" w:rsidP="008B1D06">
            <w:pPr>
              <w:jc w:val="center"/>
              <w:rPr>
                <w:color w:val="000000"/>
                <w:sz w:val="18"/>
                <w:szCs w:val="18"/>
              </w:rPr>
            </w:pPr>
            <w:r w:rsidRPr="00706A7B">
              <w:rPr>
                <w:color w:val="000000"/>
                <w:sz w:val="18"/>
                <w:szCs w:val="18"/>
              </w:rPr>
              <w:t>х</w:t>
            </w:r>
          </w:p>
        </w:tc>
        <w:tc>
          <w:tcPr>
            <w:tcW w:w="597" w:type="pct"/>
            <w:tcBorders>
              <w:top w:val="nil"/>
              <w:left w:val="nil"/>
              <w:bottom w:val="single" w:sz="4" w:space="0" w:color="000000"/>
              <w:right w:val="single" w:sz="4" w:space="0" w:color="000000"/>
            </w:tcBorders>
            <w:shd w:val="clear" w:color="auto" w:fill="auto"/>
            <w:noWrap/>
            <w:vAlign w:val="center"/>
            <w:hideMark/>
          </w:tcPr>
          <w:p w:rsidR="00187324" w:rsidRPr="00706A7B" w:rsidRDefault="00187324" w:rsidP="008B1D06">
            <w:pPr>
              <w:jc w:val="center"/>
              <w:rPr>
                <w:color w:val="000000"/>
                <w:sz w:val="18"/>
                <w:szCs w:val="18"/>
              </w:rPr>
            </w:pPr>
            <w:r w:rsidRPr="00706A7B">
              <w:rPr>
                <w:color w:val="000000"/>
                <w:sz w:val="18"/>
                <w:szCs w:val="18"/>
              </w:rPr>
              <w:t>-37 215</w:t>
            </w:r>
          </w:p>
        </w:tc>
        <w:tc>
          <w:tcPr>
            <w:tcW w:w="597" w:type="pct"/>
            <w:tcBorders>
              <w:top w:val="nil"/>
              <w:left w:val="nil"/>
              <w:bottom w:val="single" w:sz="4" w:space="0" w:color="000000"/>
              <w:right w:val="single" w:sz="4" w:space="0" w:color="000000"/>
            </w:tcBorders>
            <w:shd w:val="clear" w:color="auto" w:fill="auto"/>
            <w:noWrap/>
            <w:vAlign w:val="center"/>
            <w:hideMark/>
          </w:tcPr>
          <w:p w:rsidR="00187324" w:rsidRPr="00706A7B" w:rsidRDefault="00187324" w:rsidP="008B1D06">
            <w:pPr>
              <w:jc w:val="center"/>
              <w:rPr>
                <w:color w:val="000000"/>
                <w:sz w:val="18"/>
                <w:szCs w:val="18"/>
              </w:rPr>
            </w:pPr>
            <w:r w:rsidRPr="00706A7B">
              <w:rPr>
                <w:color w:val="000000"/>
                <w:sz w:val="18"/>
                <w:szCs w:val="18"/>
              </w:rPr>
              <w:t>-36 610</w:t>
            </w:r>
          </w:p>
        </w:tc>
        <w:tc>
          <w:tcPr>
            <w:tcW w:w="597" w:type="pct"/>
            <w:tcBorders>
              <w:top w:val="nil"/>
              <w:left w:val="nil"/>
              <w:bottom w:val="single" w:sz="4" w:space="0" w:color="000000"/>
              <w:right w:val="single" w:sz="4" w:space="0" w:color="000000"/>
            </w:tcBorders>
            <w:shd w:val="clear" w:color="auto" w:fill="auto"/>
            <w:noWrap/>
            <w:vAlign w:val="center"/>
            <w:hideMark/>
          </w:tcPr>
          <w:p w:rsidR="00187324" w:rsidRPr="00706A7B" w:rsidRDefault="00187324" w:rsidP="008B1D06">
            <w:pPr>
              <w:jc w:val="center"/>
              <w:rPr>
                <w:color w:val="000000"/>
                <w:sz w:val="18"/>
                <w:szCs w:val="18"/>
              </w:rPr>
            </w:pPr>
            <w:r w:rsidRPr="00706A7B">
              <w:rPr>
                <w:color w:val="000000"/>
                <w:sz w:val="18"/>
                <w:szCs w:val="18"/>
              </w:rPr>
              <w:t>-35 846</w:t>
            </w:r>
          </w:p>
        </w:tc>
        <w:tc>
          <w:tcPr>
            <w:tcW w:w="597" w:type="pct"/>
            <w:tcBorders>
              <w:top w:val="nil"/>
              <w:left w:val="nil"/>
              <w:bottom w:val="single" w:sz="4" w:space="0" w:color="000000"/>
              <w:right w:val="single" w:sz="4" w:space="0" w:color="000000"/>
            </w:tcBorders>
            <w:shd w:val="clear" w:color="auto" w:fill="auto"/>
            <w:noWrap/>
            <w:vAlign w:val="center"/>
            <w:hideMark/>
          </w:tcPr>
          <w:p w:rsidR="00187324" w:rsidRPr="00706A7B" w:rsidRDefault="00187324" w:rsidP="008B1D06">
            <w:pPr>
              <w:jc w:val="center"/>
              <w:rPr>
                <w:color w:val="000000"/>
                <w:sz w:val="18"/>
                <w:szCs w:val="18"/>
              </w:rPr>
            </w:pPr>
            <w:r w:rsidRPr="00706A7B">
              <w:rPr>
                <w:color w:val="000000"/>
                <w:sz w:val="18"/>
                <w:szCs w:val="18"/>
              </w:rPr>
              <w:t>-35 211</w:t>
            </w:r>
          </w:p>
        </w:tc>
      </w:tr>
      <w:tr w:rsidR="00187324" w:rsidRPr="00CF1572" w:rsidTr="008B1D06">
        <w:trPr>
          <w:trHeight w:val="480"/>
        </w:trPr>
        <w:tc>
          <w:tcPr>
            <w:tcW w:w="389" w:type="pct"/>
            <w:tcBorders>
              <w:top w:val="nil"/>
              <w:left w:val="single" w:sz="4" w:space="0" w:color="000000"/>
              <w:bottom w:val="single" w:sz="4" w:space="0" w:color="000000"/>
              <w:right w:val="single" w:sz="4" w:space="0" w:color="auto"/>
            </w:tcBorders>
            <w:shd w:val="clear" w:color="auto" w:fill="auto"/>
            <w:noWrap/>
            <w:vAlign w:val="center"/>
            <w:hideMark/>
          </w:tcPr>
          <w:p w:rsidR="00187324" w:rsidRPr="00CF1572" w:rsidRDefault="00187324" w:rsidP="008B1D06">
            <w:pPr>
              <w:jc w:val="center"/>
              <w:rPr>
                <w:color w:val="000000"/>
                <w:sz w:val="20"/>
                <w:szCs w:val="20"/>
              </w:rPr>
            </w:pPr>
            <w:r w:rsidRPr="00CF1572">
              <w:rPr>
                <w:color w:val="000000"/>
                <w:sz w:val="20"/>
                <w:szCs w:val="20"/>
              </w:rPr>
              <w:t>8</w:t>
            </w:r>
          </w:p>
        </w:tc>
        <w:tc>
          <w:tcPr>
            <w:tcW w:w="16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7324" w:rsidRPr="00CF1572" w:rsidRDefault="00187324" w:rsidP="008B1D06">
            <w:pPr>
              <w:rPr>
                <w:color w:val="000000"/>
                <w:sz w:val="20"/>
                <w:szCs w:val="20"/>
              </w:rPr>
            </w:pPr>
            <w:r w:rsidRPr="00CF1572">
              <w:rPr>
                <w:color w:val="000000"/>
                <w:sz w:val="20"/>
                <w:szCs w:val="20"/>
              </w:rPr>
              <w:t>Расчетный уровень собираемости,%</w:t>
            </w:r>
          </w:p>
        </w:tc>
        <w:tc>
          <w:tcPr>
            <w:tcW w:w="597" w:type="pct"/>
            <w:tcBorders>
              <w:top w:val="nil"/>
              <w:left w:val="single" w:sz="4" w:space="0" w:color="000000"/>
              <w:bottom w:val="single" w:sz="4" w:space="0" w:color="000000"/>
              <w:right w:val="single" w:sz="4" w:space="0" w:color="000000"/>
            </w:tcBorders>
            <w:shd w:val="clear" w:color="auto" w:fill="auto"/>
            <w:noWrap/>
            <w:vAlign w:val="center"/>
            <w:hideMark/>
          </w:tcPr>
          <w:p w:rsidR="00187324" w:rsidRPr="00706A7B" w:rsidRDefault="00187324" w:rsidP="008B1D06">
            <w:pPr>
              <w:jc w:val="center"/>
              <w:rPr>
                <w:color w:val="000000"/>
                <w:sz w:val="18"/>
                <w:szCs w:val="18"/>
              </w:rPr>
            </w:pPr>
            <w:r w:rsidRPr="00706A7B">
              <w:rPr>
                <w:color w:val="000000"/>
                <w:sz w:val="18"/>
                <w:szCs w:val="18"/>
              </w:rPr>
              <w:t>106,8</w:t>
            </w:r>
          </w:p>
        </w:tc>
        <w:tc>
          <w:tcPr>
            <w:tcW w:w="597" w:type="pct"/>
            <w:tcBorders>
              <w:top w:val="nil"/>
              <w:left w:val="nil"/>
              <w:bottom w:val="single" w:sz="4" w:space="0" w:color="000000"/>
              <w:right w:val="single" w:sz="4" w:space="0" w:color="000000"/>
            </w:tcBorders>
            <w:shd w:val="clear" w:color="auto" w:fill="auto"/>
            <w:noWrap/>
            <w:vAlign w:val="center"/>
            <w:hideMark/>
          </w:tcPr>
          <w:p w:rsidR="00187324" w:rsidRPr="00706A7B" w:rsidRDefault="00187324" w:rsidP="008B1D06">
            <w:pPr>
              <w:jc w:val="center"/>
              <w:rPr>
                <w:color w:val="000000"/>
                <w:sz w:val="18"/>
                <w:szCs w:val="18"/>
              </w:rPr>
            </w:pPr>
            <w:r w:rsidRPr="00706A7B">
              <w:rPr>
                <w:color w:val="000000"/>
                <w:sz w:val="18"/>
                <w:szCs w:val="18"/>
              </w:rPr>
              <w:t>104,7</w:t>
            </w:r>
          </w:p>
        </w:tc>
        <w:tc>
          <w:tcPr>
            <w:tcW w:w="597" w:type="pct"/>
            <w:tcBorders>
              <w:top w:val="nil"/>
              <w:left w:val="nil"/>
              <w:bottom w:val="single" w:sz="4" w:space="0" w:color="000000"/>
              <w:right w:val="single" w:sz="4" w:space="0" w:color="000000"/>
            </w:tcBorders>
            <w:shd w:val="clear" w:color="auto" w:fill="auto"/>
            <w:noWrap/>
            <w:vAlign w:val="center"/>
            <w:hideMark/>
          </w:tcPr>
          <w:p w:rsidR="00187324" w:rsidRPr="00706A7B" w:rsidRDefault="00187324" w:rsidP="008B1D06">
            <w:pPr>
              <w:jc w:val="center"/>
              <w:rPr>
                <w:color w:val="000000"/>
                <w:sz w:val="18"/>
                <w:szCs w:val="18"/>
              </w:rPr>
            </w:pPr>
            <w:r w:rsidRPr="00706A7B">
              <w:rPr>
                <w:color w:val="000000"/>
                <w:sz w:val="18"/>
                <w:szCs w:val="18"/>
              </w:rPr>
              <w:t>104,7</w:t>
            </w:r>
          </w:p>
        </w:tc>
        <w:tc>
          <w:tcPr>
            <w:tcW w:w="597" w:type="pct"/>
            <w:tcBorders>
              <w:top w:val="nil"/>
              <w:left w:val="nil"/>
              <w:bottom w:val="single" w:sz="4" w:space="0" w:color="000000"/>
              <w:right w:val="single" w:sz="4" w:space="0" w:color="000000"/>
            </w:tcBorders>
            <w:shd w:val="clear" w:color="auto" w:fill="auto"/>
            <w:noWrap/>
            <w:vAlign w:val="center"/>
            <w:hideMark/>
          </w:tcPr>
          <w:p w:rsidR="00187324" w:rsidRPr="00706A7B" w:rsidRDefault="00187324" w:rsidP="008B1D06">
            <w:pPr>
              <w:jc w:val="center"/>
              <w:rPr>
                <w:color w:val="000000"/>
                <w:sz w:val="18"/>
                <w:szCs w:val="18"/>
              </w:rPr>
            </w:pPr>
            <w:r w:rsidRPr="00706A7B">
              <w:rPr>
                <w:color w:val="000000"/>
                <w:sz w:val="18"/>
                <w:szCs w:val="18"/>
              </w:rPr>
              <w:t>104,7</w:t>
            </w:r>
          </w:p>
        </w:tc>
        <w:tc>
          <w:tcPr>
            <w:tcW w:w="597" w:type="pct"/>
            <w:tcBorders>
              <w:top w:val="nil"/>
              <w:left w:val="nil"/>
              <w:bottom w:val="single" w:sz="4" w:space="0" w:color="000000"/>
              <w:right w:val="single" w:sz="4" w:space="0" w:color="000000"/>
            </w:tcBorders>
            <w:shd w:val="clear" w:color="auto" w:fill="auto"/>
            <w:noWrap/>
            <w:vAlign w:val="center"/>
            <w:hideMark/>
          </w:tcPr>
          <w:p w:rsidR="00187324" w:rsidRPr="00706A7B" w:rsidRDefault="00187324" w:rsidP="008B1D06">
            <w:pPr>
              <w:jc w:val="center"/>
              <w:rPr>
                <w:color w:val="000000"/>
                <w:sz w:val="18"/>
                <w:szCs w:val="18"/>
              </w:rPr>
            </w:pPr>
            <w:r w:rsidRPr="00706A7B">
              <w:rPr>
                <w:color w:val="000000"/>
                <w:sz w:val="18"/>
                <w:szCs w:val="18"/>
              </w:rPr>
              <w:t>104,7</w:t>
            </w:r>
          </w:p>
        </w:tc>
      </w:tr>
      <w:tr w:rsidR="00187324" w:rsidRPr="00CF1572" w:rsidTr="008B1D06">
        <w:trPr>
          <w:trHeight w:val="70"/>
        </w:trPr>
        <w:tc>
          <w:tcPr>
            <w:tcW w:w="389" w:type="pct"/>
            <w:tcBorders>
              <w:top w:val="nil"/>
              <w:left w:val="single" w:sz="4" w:space="0" w:color="000000"/>
              <w:bottom w:val="single" w:sz="4" w:space="0" w:color="000000"/>
              <w:right w:val="single" w:sz="4" w:space="0" w:color="auto"/>
            </w:tcBorders>
            <w:shd w:val="clear" w:color="auto" w:fill="auto"/>
            <w:noWrap/>
            <w:vAlign w:val="center"/>
            <w:hideMark/>
          </w:tcPr>
          <w:p w:rsidR="00187324" w:rsidRPr="00CF1572" w:rsidRDefault="00187324" w:rsidP="008B1D06">
            <w:pPr>
              <w:jc w:val="center"/>
              <w:rPr>
                <w:color w:val="000000"/>
                <w:sz w:val="20"/>
                <w:szCs w:val="20"/>
              </w:rPr>
            </w:pPr>
            <w:r w:rsidRPr="00CF1572">
              <w:rPr>
                <w:color w:val="000000"/>
                <w:sz w:val="20"/>
                <w:szCs w:val="20"/>
              </w:rPr>
              <w:t>9</w:t>
            </w:r>
          </w:p>
        </w:tc>
        <w:tc>
          <w:tcPr>
            <w:tcW w:w="1625" w:type="pct"/>
            <w:tcBorders>
              <w:top w:val="single" w:sz="4" w:space="0" w:color="auto"/>
              <w:left w:val="single" w:sz="4" w:space="0" w:color="auto"/>
              <w:bottom w:val="single" w:sz="4" w:space="0" w:color="auto"/>
              <w:right w:val="single" w:sz="4" w:space="0" w:color="auto"/>
            </w:tcBorders>
            <w:shd w:val="clear" w:color="auto" w:fill="auto"/>
            <w:hideMark/>
          </w:tcPr>
          <w:p w:rsidR="00187324" w:rsidRPr="00CF1572" w:rsidRDefault="00187324" w:rsidP="008B1D06">
            <w:pPr>
              <w:rPr>
                <w:b/>
                <w:bCs/>
                <w:color w:val="000000"/>
                <w:sz w:val="20"/>
                <w:szCs w:val="20"/>
              </w:rPr>
            </w:pPr>
            <w:r w:rsidRPr="00CF1572">
              <w:rPr>
                <w:b/>
                <w:bCs/>
                <w:color w:val="000000"/>
                <w:sz w:val="20"/>
                <w:szCs w:val="20"/>
              </w:rPr>
              <w:t>Поступление налога, взимаемого в связи с применением упрощенной системы налогообложения, при использовании объекта обложения «доходы, уменьшенные на величину расходов» (в том числе по минимальному налогу), тыс. рублей</w:t>
            </w:r>
          </w:p>
        </w:tc>
        <w:tc>
          <w:tcPr>
            <w:tcW w:w="597" w:type="pct"/>
            <w:tcBorders>
              <w:top w:val="nil"/>
              <w:left w:val="single" w:sz="4" w:space="0" w:color="000000"/>
              <w:bottom w:val="single" w:sz="4" w:space="0" w:color="000000"/>
              <w:right w:val="single" w:sz="4" w:space="0" w:color="000000"/>
            </w:tcBorders>
            <w:shd w:val="clear" w:color="auto" w:fill="auto"/>
            <w:noWrap/>
            <w:vAlign w:val="center"/>
            <w:hideMark/>
          </w:tcPr>
          <w:p w:rsidR="00187324" w:rsidRPr="00706A7B" w:rsidRDefault="00187324" w:rsidP="008B1D06">
            <w:pPr>
              <w:jc w:val="center"/>
              <w:rPr>
                <w:b/>
                <w:bCs/>
                <w:color w:val="000000"/>
                <w:sz w:val="18"/>
                <w:szCs w:val="18"/>
              </w:rPr>
            </w:pPr>
            <w:r w:rsidRPr="00706A7B">
              <w:rPr>
                <w:b/>
                <w:bCs/>
                <w:color w:val="000000"/>
                <w:sz w:val="18"/>
                <w:szCs w:val="18"/>
              </w:rPr>
              <w:t>961 829</w:t>
            </w:r>
          </w:p>
        </w:tc>
        <w:tc>
          <w:tcPr>
            <w:tcW w:w="597" w:type="pct"/>
            <w:tcBorders>
              <w:top w:val="nil"/>
              <w:left w:val="nil"/>
              <w:bottom w:val="single" w:sz="4" w:space="0" w:color="000000"/>
              <w:right w:val="single" w:sz="4" w:space="0" w:color="000000"/>
            </w:tcBorders>
            <w:shd w:val="clear" w:color="auto" w:fill="auto"/>
            <w:noWrap/>
            <w:vAlign w:val="center"/>
            <w:hideMark/>
          </w:tcPr>
          <w:p w:rsidR="00187324" w:rsidRPr="00706A7B" w:rsidRDefault="00187324" w:rsidP="008B1D06">
            <w:pPr>
              <w:jc w:val="center"/>
              <w:rPr>
                <w:b/>
                <w:bCs/>
                <w:color w:val="000000"/>
                <w:sz w:val="18"/>
                <w:szCs w:val="18"/>
              </w:rPr>
            </w:pPr>
            <w:r>
              <w:rPr>
                <w:b/>
                <w:bCs/>
                <w:color w:val="000000"/>
                <w:sz w:val="18"/>
                <w:szCs w:val="18"/>
              </w:rPr>
              <w:t>1 532 384</w:t>
            </w:r>
          </w:p>
        </w:tc>
        <w:tc>
          <w:tcPr>
            <w:tcW w:w="597" w:type="pct"/>
            <w:tcBorders>
              <w:top w:val="nil"/>
              <w:left w:val="nil"/>
              <w:bottom w:val="single" w:sz="4" w:space="0" w:color="000000"/>
              <w:right w:val="single" w:sz="4" w:space="0" w:color="000000"/>
            </w:tcBorders>
            <w:shd w:val="clear" w:color="auto" w:fill="auto"/>
            <w:noWrap/>
            <w:vAlign w:val="center"/>
            <w:hideMark/>
          </w:tcPr>
          <w:p w:rsidR="00187324" w:rsidRPr="00706A7B" w:rsidRDefault="00187324" w:rsidP="008B1D06">
            <w:pPr>
              <w:jc w:val="center"/>
              <w:rPr>
                <w:b/>
                <w:bCs/>
                <w:color w:val="000000"/>
                <w:sz w:val="18"/>
                <w:szCs w:val="18"/>
              </w:rPr>
            </w:pPr>
            <w:r>
              <w:rPr>
                <w:b/>
                <w:bCs/>
                <w:color w:val="000000"/>
                <w:sz w:val="18"/>
                <w:szCs w:val="18"/>
              </w:rPr>
              <w:t>1 617 381</w:t>
            </w:r>
          </w:p>
        </w:tc>
        <w:tc>
          <w:tcPr>
            <w:tcW w:w="597" w:type="pct"/>
            <w:tcBorders>
              <w:top w:val="nil"/>
              <w:left w:val="nil"/>
              <w:bottom w:val="single" w:sz="4" w:space="0" w:color="000000"/>
              <w:right w:val="single" w:sz="4" w:space="0" w:color="000000"/>
            </w:tcBorders>
            <w:shd w:val="clear" w:color="auto" w:fill="auto"/>
            <w:noWrap/>
            <w:vAlign w:val="center"/>
            <w:hideMark/>
          </w:tcPr>
          <w:p w:rsidR="00187324" w:rsidRPr="00706A7B" w:rsidRDefault="00187324" w:rsidP="008B1D06">
            <w:pPr>
              <w:jc w:val="center"/>
              <w:rPr>
                <w:b/>
                <w:bCs/>
                <w:color w:val="000000"/>
                <w:sz w:val="18"/>
                <w:szCs w:val="18"/>
              </w:rPr>
            </w:pPr>
            <w:r>
              <w:rPr>
                <w:b/>
                <w:bCs/>
                <w:color w:val="000000"/>
                <w:sz w:val="18"/>
                <w:szCs w:val="18"/>
              </w:rPr>
              <w:t>1 712 995</w:t>
            </w:r>
          </w:p>
        </w:tc>
        <w:tc>
          <w:tcPr>
            <w:tcW w:w="597" w:type="pct"/>
            <w:tcBorders>
              <w:top w:val="nil"/>
              <w:left w:val="nil"/>
              <w:bottom w:val="single" w:sz="4" w:space="0" w:color="000000"/>
              <w:right w:val="single" w:sz="4" w:space="0" w:color="000000"/>
            </w:tcBorders>
            <w:shd w:val="clear" w:color="auto" w:fill="auto"/>
            <w:noWrap/>
            <w:vAlign w:val="center"/>
            <w:hideMark/>
          </w:tcPr>
          <w:p w:rsidR="00187324" w:rsidRPr="00706A7B" w:rsidRDefault="00187324" w:rsidP="008B1D06">
            <w:pPr>
              <w:jc w:val="center"/>
              <w:rPr>
                <w:b/>
                <w:bCs/>
                <w:color w:val="000000"/>
                <w:sz w:val="18"/>
                <w:szCs w:val="18"/>
              </w:rPr>
            </w:pPr>
            <w:r w:rsidRPr="00706A7B">
              <w:rPr>
                <w:b/>
                <w:bCs/>
                <w:color w:val="000000"/>
                <w:sz w:val="18"/>
                <w:szCs w:val="18"/>
              </w:rPr>
              <w:t>1</w:t>
            </w:r>
            <w:r>
              <w:rPr>
                <w:b/>
                <w:bCs/>
                <w:color w:val="000000"/>
                <w:sz w:val="18"/>
                <w:szCs w:val="18"/>
              </w:rPr>
              <w:t> 803 601</w:t>
            </w:r>
          </w:p>
        </w:tc>
      </w:tr>
    </w:tbl>
    <w:p w:rsidR="00187324" w:rsidRDefault="00187324" w:rsidP="00187324">
      <w:pPr>
        <w:rPr>
          <w:rStyle w:val="FontStyle82"/>
          <w:iCs/>
          <w:sz w:val="28"/>
          <w:szCs w:val="28"/>
        </w:rPr>
      </w:pPr>
      <w:r>
        <w:rPr>
          <w:rStyle w:val="FontStyle82"/>
          <w:iCs/>
          <w:sz w:val="28"/>
          <w:szCs w:val="28"/>
        </w:rPr>
        <w:br w:type="page"/>
      </w:r>
    </w:p>
    <w:p w:rsidR="00187324" w:rsidRDefault="00187324" w:rsidP="00187324">
      <w:pPr>
        <w:ind w:firstLine="709"/>
        <w:jc w:val="both"/>
        <w:rPr>
          <w:rStyle w:val="FontStyle82"/>
          <w:iCs/>
          <w:sz w:val="28"/>
          <w:szCs w:val="28"/>
        </w:rPr>
        <w:sectPr w:rsidR="00187324" w:rsidSect="007678C8">
          <w:pgSz w:w="11906" w:h="16838"/>
          <w:pgMar w:top="1134" w:right="851" w:bottom="1134" w:left="1701" w:header="709" w:footer="709" w:gutter="0"/>
          <w:cols w:space="708"/>
          <w:docGrid w:linePitch="360"/>
        </w:sectPr>
      </w:pPr>
    </w:p>
    <w:p w:rsidR="00C333B2" w:rsidRDefault="00C333B2" w:rsidP="00C333B2">
      <w:pPr>
        <w:ind w:firstLine="709"/>
        <w:jc w:val="both"/>
        <w:rPr>
          <w:rStyle w:val="FontStyle82"/>
          <w:iCs/>
          <w:sz w:val="28"/>
          <w:szCs w:val="28"/>
        </w:rPr>
      </w:pPr>
      <w:r w:rsidRPr="00130803">
        <w:rPr>
          <w:rStyle w:val="FontStyle82"/>
          <w:iCs/>
          <w:sz w:val="28"/>
          <w:szCs w:val="28"/>
        </w:rPr>
        <w:lastRenderedPageBreak/>
        <w:t>С 2021 года законом о бюджете устанавливаются дифференцированные нормативы отчислений в бюджеты муниципальных районов, муниципальных округов, городских округов, городских округов с внутригородским делением от налога, взимаемого в связи с применением упрощенной системы налогообложения, подлежащего зачислению в соответствии с Бюджетным кодексом Российской Федерации и законодательством о налогах и сборах в</w:t>
      </w:r>
      <w:r>
        <w:rPr>
          <w:rStyle w:val="FontStyle82"/>
          <w:iCs/>
          <w:sz w:val="28"/>
          <w:szCs w:val="28"/>
        </w:rPr>
        <w:t> </w:t>
      </w:r>
      <w:r w:rsidRPr="00130803">
        <w:rPr>
          <w:rStyle w:val="FontStyle82"/>
          <w:iCs/>
          <w:sz w:val="28"/>
          <w:szCs w:val="28"/>
        </w:rPr>
        <w:t>областной бюджет (КБК 000 1 05 01021 01 0000 110).</w:t>
      </w:r>
      <w:r>
        <w:rPr>
          <w:rStyle w:val="FontStyle82"/>
          <w:iCs/>
          <w:sz w:val="28"/>
          <w:szCs w:val="28"/>
        </w:rPr>
        <w:t xml:space="preserve"> </w:t>
      </w:r>
      <w:r w:rsidRPr="00220E6C">
        <w:rPr>
          <w:rStyle w:val="FontStyle82"/>
          <w:iCs/>
          <w:sz w:val="28"/>
          <w:szCs w:val="28"/>
        </w:rPr>
        <w:t xml:space="preserve">Таким образом, поступления УСН в областной бюджет Тверской области </w:t>
      </w:r>
      <w:r>
        <w:rPr>
          <w:rStyle w:val="FontStyle82"/>
          <w:iCs/>
          <w:sz w:val="28"/>
          <w:szCs w:val="28"/>
        </w:rPr>
        <w:t xml:space="preserve">в соответствии с дифференцированными нормативами отчислений в бюджеты муниципальных районов, муниципальных и городских округов </w:t>
      </w:r>
      <w:r w:rsidRPr="00220E6C">
        <w:rPr>
          <w:rStyle w:val="FontStyle82"/>
          <w:iCs/>
          <w:sz w:val="28"/>
          <w:szCs w:val="28"/>
        </w:rPr>
        <w:t>в 2022 году составят</w:t>
      </w:r>
      <w:r>
        <w:rPr>
          <w:rStyle w:val="FontStyle82"/>
          <w:iCs/>
          <w:sz w:val="28"/>
          <w:szCs w:val="28"/>
        </w:rPr>
        <w:t xml:space="preserve"> 1 409 740,4 тыс. руб., в 2023 году – 1 510 407,2 тыс. руб., в 2024 году – 1 605 209,6 тыс. руб.</w:t>
      </w:r>
    </w:p>
    <w:p w:rsidR="00187324" w:rsidRPr="00CF1572" w:rsidRDefault="00187324" w:rsidP="00187324">
      <w:pPr>
        <w:ind w:firstLine="709"/>
        <w:jc w:val="both"/>
        <w:rPr>
          <w:color w:val="000000"/>
          <w:sz w:val="28"/>
          <w:szCs w:val="28"/>
        </w:rPr>
      </w:pPr>
      <w:r w:rsidRPr="00CF1572">
        <w:rPr>
          <w:iCs/>
          <w:snapToGrid w:val="0"/>
          <w:color w:val="000000"/>
          <w:sz w:val="28"/>
          <w:szCs w:val="28"/>
        </w:rPr>
        <w:t>Оценка поступлений налога</w:t>
      </w:r>
      <w:r w:rsidRPr="00CF1572">
        <w:rPr>
          <w:b/>
          <w:i/>
          <w:snapToGrid w:val="0"/>
          <w:color w:val="000000"/>
          <w:sz w:val="28"/>
          <w:szCs w:val="28"/>
        </w:rPr>
        <w:t>,</w:t>
      </w:r>
      <w:r w:rsidRPr="00CF1572">
        <w:rPr>
          <w:iCs/>
          <w:snapToGrid w:val="0"/>
          <w:color w:val="000000"/>
          <w:sz w:val="28"/>
          <w:szCs w:val="28"/>
        </w:rPr>
        <w:t xml:space="preserve"> уплачиваемого при использовании в</w:t>
      </w:r>
      <w:r>
        <w:rPr>
          <w:iCs/>
          <w:snapToGrid w:val="0"/>
          <w:color w:val="000000"/>
          <w:sz w:val="28"/>
          <w:szCs w:val="28"/>
        </w:rPr>
        <w:t> </w:t>
      </w:r>
      <w:r w:rsidRPr="00CF1572">
        <w:rPr>
          <w:iCs/>
          <w:snapToGrid w:val="0"/>
          <w:color w:val="000000"/>
          <w:sz w:val="28"/>
          <w:szCs w:val="28"/>
        </w:rPr>
        <w:t xml:space="preserve">качестве объекта налогообложения доходы (за налоговые периоды, истекшие до 1 января 2011 года) (КБК 182 1 05 01012 01 0000 110), </w:t>
      </w:r>
      <w:r w:rsidRPr="00CF1572">
        <w:rPr>
          <w:color w:val="000000"/>
          <w:sz w:val="28"/>
          <w:szCs w:val="28"/>
        </w:rPr>
        <w:t>минимального налога, зачисляемого в бюджеты субъектов Российской Федерации (за налоговые периоды, истекшие до 1 января 2016 года) (КБК 182 1 05 01050 01 0000 110) определены исходя из</w:t>
      </w:r>
      <w:r>
        <w:rPr>
          <w:color w:val="000000"/>
          <w:sz w:val="28"/>
          <w:szCs w:val="28"/>
        </w:rPr>
        <w:t> </w:t>
      </w:r>
      <w:r w:rsidRPr="00CF1572">
        <w:rPr>
          <w:color w:val="000000"/>
          <w:sz w:val="28"/>
          <w:szCs w:val="28"/>
        </w:rPr>
        <w:t xml:space="preserve">фактического объема поступлений (возвратов) в текущем периоде </w:t>
      </w:r>
      <w:r w:rsidRPr="00CF1572">
        <w:rPr>
          <w:iCs/>
          <w:snapToGrid w:val="0"/>
          <w:color w:val="000000"/>
          <w:sz w:val="28"/>
          <w:szCs w:val="28"/>
        </w:rPr>
        <w:t>(по</w:t>
      </w:r>
      <w:r>
        <w:rPr>
          <w:iCs/>
          <w:snapToGrid w:val="0"/>
          <w:color w:val="000000"/>
          <w:sz w:val="28"/>
          <w:szCs w:val="28"/>
        </w:rPr>
        <w:t> </w:t>
      </w:r>
      <w:r w:rsidRPr="00CF1572">
        <w:rPr>
          <w:iCs/>
          <w:snapToGrid w:val="0"/>
          <w:color w:val="000000"/>
          <w:sz w:val="28"/>
          <w:szCs w:val="28"/>
        </w:rPr>
        <w:t>конкретному муниципальному образованию)</w:t>
      </w:r>
      <w:r w:rsidRPr="00CF1572">
        <w:rPr>
          <w:color w:val="000000"/>
          <w:sz w:val="28"/>
          <w:szCs w:val="28"/>
        </w:rPr>
        <w:t>.</w:t>
      </w:r>
    </w:p>
    <w:p w:rsidR="00187324" w:rsidRDefault="00187324" w:rsidP="00187324">
      <w:pPr>
        <w:ind w:firstLine="709"/>
        <w:jc w:val="both"/>
        <w:rPr>
          <w:iCs/>
          <w:snapToGrid w:val="0"/>
          <w:color w:val="000000"/>
          <w:sz w:val="28"/>
          <w:szCs w:val="28"/>
        </w:rPr>
      </w:pPr>
      <w:r w:rsidRPr="00CF1572">
        <w:rPr>
          <w:iCs/>
          <w:snapToGrid w:val="0"/>
          <w:color w:val="000000"/>
          <w:sz w:val="28"/>
          <w:szCs w:val="28"/>
        </w:rPr>
        <w:t>Объем поступлений налогов (КБК 182 1 05 01012 01 0000 110</w:t>
      </w:r>
      <w:r>
        <w:rPr>
          <w:iCs/>
          <w:snapToGrid w:val="0"/>
          <w:color w:val="000000"/>
          <w:sz w:val="28"/>
          <w:szCs w:val="28"/>
        </w:rPr>
        <w:t>,</w:t>
      </w:r>
      <w:r w:rsidRPr="00CF1572">
        <w:rPr>
          <w:iCs/>
          <w:snapToGrid w:val="0"/>
          <w:color w:val="000000"/>
          <w:sz w:val="28"/>
          <w:szCs w:val="28"/>
        </w:rPr>
        <w:t xml:space="preserve"> </w:t>
      </w:r>
      <w:r w:rsidRPr="00CF1572">
        <w:rPr>
          <w:color w:val="000000"/>
          <w:sz w:val="28"/>
          <w:szCs w:val="28"/>
        </w:rPr>
        <w:t>КБК 182 1 05 01050 01 0000 110</w:t>
      </w:r>
      <w:r w:rsidRPr="00CF1572">
        <w:rPr>
          <w:iCs/>
          <w:snapToGrid w:val="0"/>
          <w:color w:val="000000"/>
          <w:sz w:val="28"/>
          <w:szCs w:val="28"/>
        </w:rPr>
        <w:t>) в прогнозируемом периоде определен исходя из оценки поступлений в текущем году (без учета отрицательных значений) и ограничения по сумме задолженности (по</w:t>
      </w:r>
      <w:r>
        <w:rPr>
          <w:iCs/>
          <w:snapToGrid w:val="0"/>
          <w:color w:val="000000"/>
          <w:sz w:val="28"/>
          <w:szCs w:val="28"/>
        </w:rPr>
        <w:t> </w:t>
      </w:r>
      <w:r w:rsidRPr="00CF1572">
        <w:rPr>
          <w:iCs/>
          <w:snapToGrid w:val="0"/>
          <w:color w:val="000000"/>
          <w:sz w:val="28"/>
          <w:szCs w:val="28"/>
        </w:rPr>
        <w:t>конкретному муниципальному образованию).</w:t>
      </w:r>
    </w:p>
    <w:p w:rsidR="00187324" w:rsidRDefault="00187324" w:rsidP="00187324">
      <w:pPr>
        <w:ind w:firstLine="709"/>
        <w:jc w:val="both"/>
        <w:rPr>
          <w:iCs/>
          <w:snapToGrid w:val="0"/>
          <w:color w:val="000000"/>
          <w:sz w:val="28"/>
          <w:szCs w:val="28"/>
        </w:rPr>
      </w:pPr>
      <w:r>
        <w:rPr>
          <w:iCs/>
          <w:snapToGrid w:val="0"/>
          <w:color w:val="000000"/>
          <w:sz w:val="28"/>
          <w:szCs w:val="28"/>
        </w:rPr>
        <w:t>Итого, с учетом фактических сумм поступлений на 01.09.2021 и ограничения по сумме задолженности прогноз поступления на 2022-2024 годы составил:</w:t>
      </w:r>
    </w:p>
    <w:tbl>
      <w:tblPr>
        <w:tblStyle w:val="a6"/>
        <w:tblW w:w="0" w:type="auto"/>
        <w:tblLook w:val="04A0" w:firstRow="1" w:lastRow="0" w:firstColumn="1" w:lastColumn="0" w:noHBand="0" w:noVBand="1"/>
      </w:tblPr>
      <w:tblGrid>
        <w:gridCol w:w="6091"/>
        <w:gridCol w:w="1134"/>
        <w:gridCol w:w="1275"/>
        <w:gridCol w:w="1269"/>
      </w:tblGrid>
      <w:tr w:rsidR="00187324" w:rsidTr="008B1D06">
        <w:tc>
          <w:tcPr>
            <w:tcW w:w="6091" w:type="dxa"/>
          </w:tcPr>
          <w:p w:rsidR="00187324" w:rsidRDefault="00187324" w:rsidP="008B1D06">
            <w:pPr>
              <w:rPr>
                <w:iCs/>
                <w:snapToGrid w:val="0"/>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87324" w:rsidRPr="006E7394" w:rsidRDefault="00187324" w:rsidP="008B1D06">
            <w:pPr>
              <w:ind w:firstLine="0"/>
              <w:jc w:val="left"/>
              <w:rPr>
                <w:b/>
                <w:bCs/>
              </w:rPr>
            </w:pPr>
            <w:r w:rsidRPr="006E7394">
              <w:rPr>
                <w:b/>
                <w:bCs/>
              </w:rPr>
              <w:t>прогноз 2022 год</w:t>
            </w:r>
          </w:p>
        </w:tc>
        <w:tc>
          <w:tcPr>
            <w:tcW w:w="1275" w:type="dxa"/>
            <w:tcBorders>
              <w:top w:val="single" w:sz="4" w:space="0" w:color="auto"/>
              <w:left w:val="nil"/>
              <w:bottom w:val="single" w:sz="4" w:space="0" w:color="auto"/>
              <w:right w:val="single" w:sz="4" w:space="0" w:color="auto"/>
            </w:tcBorders>
            <w:shd w:val="clear" w:color="auto" w:fill="auto"/>
            <w:vAlign w:val="center"/>
          </w:tcPr>
          <w:p w:rsidR="00187324" w:rsidRPr="006E7394" w:rsidRDefault="00187324" w:rsidP="008B1D06">
            <w:pPr>
              <w:ind w:firstLine="0"/>
              <w:jc w:val="center"/>
              <w:rPr>
                <w:b/>
                <w:bCs/>
              </w:rPr>
            </w:pPr>
            <w:r w:rsidRPr="006E7394">
              <w:rPr>
                <w:b/>
                <w:bCs/>
              </w:rPr>
              <w:t>прогноз 2023 год</w:t>
            </w:r>
          </w:p>
        </w:tc>
        <w:tc>
          <w:tcPr>
            <w:tcW w:w="1269" w:type="dxa"/>
            <w:tcBorders>
              <w:top w:val="single" w:sz="4" w:space="0" w:color="auto"/>
              <w:left w:val="nil"/>
              <w:bottom w:val="single" w:sz="4" w:space="0" w:color="auto"/>
              <w:right w:val="single" w:sz="4" w:space="0" w:color="auto"/>
            </w:tcBorders>
            <w:shd w:val="clear" w:color="auto" w:fill="auto"/>
            <w:vAlign w:val="center"/>
          </w:tcPr>
          <w:p w:rsidR="00187324" w:rsidRPr="006E7394" w:rsidRDefault="00187324" w:rsidP="008B1D06">
            <w:pPr>
              <w:ind w:firstLine="0"/>
              <w:jc w:val="center"/>
              <w:rPr>
                <w:b/>
                <w:bCs/>
              </w:rPr>
            </w:pPr>
            <w:r w:rsidRPr="006E7394">
              <w:rPr>
                <w:b/>
                <w:bCs/>
              </w:rPr>
              <w:t>прогноз 2024 год</w:t>
            </w:r>
          </w:p>
        </w:tc>
      </w:tr>
      <w:tr w:rsidR="00187324" w:rsidTr="008B1D06">
        <w:tc>
          <w:tcPr>
            <w:tcW w:w="6091" w:type="dxa"/>
          </w:tcPr>
          <w:p w:rsidR="00187324" w:rsidRPr="006E7394" w:rsidRDefault="00187324" w:rsidP="008B1D06">
            <w:pPr>
              <w:ind w:firstLine="0"/>
              <w:rPr>
                <w:iCs/>
                <w:snapToGrid w:val="0"/>
                <w:color w:val="000000"/>
                <w:sz w:val="20"/>
                <w:szCs w:val="20"/>
              </w:rPr>
            </w:pPr>
            <w:r w:rsidRPr="006E7394">
              <w:rPr>
                <w:iCs/>
                <w:snapToGrid w:val="0"/>
                <w:color w:val="000000"/>
                <w:sz w:val="20"/>
                <w:szCs w:val="20"/>
              </w:rPr>
              <w:t>Налог, взимаемый с налогоплательщиков, выбравших в качестве объекта налогообложения доходы (за налоговые периоды, истекшие до 1 января 2011 года)</w:t>
            </w:r>
            <w:r>
              <w:rPr>
                <w:iCs/>
                <w:snapToGrid w:val="0"/>
                <w:color w:val="000000"/>
                <w:sz w:val="20"/>
                <w:szCs w:val="20"/>
              </w:rPr>
              <w:t xml:space="preserve"> (</w:t>
            </w:r>
            <w:r w:rsidRPr="006E7394">
              <w:rPr>
                <w:iCs/>
                <w:snapToGrid w:val="0"/>
                <w:color w:val="000000"/>
                <w:sz w:val="20"/>
                <w:szCs w:val="20"/>
              </w:rPr>
              <w:t>182</w:t>
            </w:r>
            <w:r>
              <w:rPr>
                <w:iCs/>
                <w:snapToGrid w:val="0"/>
                <w:color w:val="000000"/>
                <w:sz w:val="20"/>
                <w:szCs w:val="20"/>
              </w:rPr>
              <w:t xml:space="preserve"> </w:t>
            </w:r>
            <w:r w:rsidRPr="006E7394">
              <w:rPr>
                <w:iCs/>
                <w:snapToGrid w:val="0"/>
                <w:color w:val="000000"/>
                <w:sz w:val="20"/>
                <w:szCs w:val="20"/>
              </w:rPr>
              <w:t>1</w:t>
            </w:r>
            <w:r>
              <w:rPr>
                <w:iCs/>
                <w:snapToGrid w:val="0"/>
                <w:color w:val="000000"/>
                <w:sz w:val="20"/>
                <w:szCs w:val="20"/>
              </w:rPr>
              <w:t xml:space="preserve"> </w:t>
            </w:r>
            <w:r w:rsidRPr="006E7394">
              <w:rPr>
                <w:iCs/>
                <w:snapToGrid w:val="0"/>
                <w:color w:val="000000"/>
                <w:sz w:val="20"/>
                <w:szCs w:val="20"/>
              </w:rPr>
              <w:t>05</w:t>
            </w:r>
            <w:r>
              <w:rPr>
                <w:iCs/>
                <w:snapToGrid w:val="0"/>
                <w:color w:val="000000"/>
                <w:sz w:val="20"/>
                <w:szCs w:val="20"/>
              </w:rPr>
              <w:t xml:space="preserve"> </w:t>
            </w:r>
            <w:r w:rsidRPr="006E7394">
              <w:rPr>
                <w:iCs/>
                <w:snapToGrid w:val="0"/>
                <w:color w:val="000000"/>
                <w:sz w:val="20"/>
                <w:szCs w:val="20"/>
              </w:rPr>
              <w:t>01012</w:t>
            </w:r>
            <w:r>
              <w:rPr>
                <w:iCs/>
                <w:snapToGrid w:val="0"/>
                <w:color w:val="000000"/>
                <w:sz w:val="20"/>
                <w:szCs w:val="20"/>
              </w:rPr>
              <w:t xml:space="preserve"> </w:t>
            </w:r>
            <w:r w:rsidRPr="006E7394">
              <w:rPr>
                <w:iCs/>
                <w:snapToGrid w:val="0"/>
                <w:color w:val="000000"/>
                <w:sz w:val="20"/>
                <w:szCs w:val="20"/>
              </w:rPr>
              <w:t>01</w:t>
            </w:r>
            <w:r>
              <w:rPr>
                <w:iCs/>
                <w:snapToGrid w:val="0"/>
                <w:color w:val="000000"/>
                <w:sz w:val="20"/>
                <w:szCs w:val="20"/>
              </w:rPr>
              <w:t xml:space="preserve"> </w:t>
            </w:r>
            <w:r w:rsidRPr="006E7394">
              <w:rPr>
                <w:iCs/>
                <w:snapToGrid w:val="0"/>
                <w:color w:val="000000"/>
                <w:sz w:val="20"/>
                <w:szCs w:val="20"/>
              </w:rPr>
              <w:t>0000</w:t>
            </w:r>
            <w:r>
              <w:rPr>
                <w:iCs/>
                <w:snapToGrid w:val="0"/>
                <w:color w:val="000000"/>
                <w:sz w:val="20"/>
                <w:szCs w:val="20"/>
              </w:rPr>
              <w:t xml:space="preserve"> </w:t>
            </w:r>
            <w:r w:rsidRPr="006E7394">
              <w:rPr>
                <w:iCs/>
                <w:snapToGrid w:val="0"/>
                <w:color w:val="000000"/>
                <w:sz w:val="20"/>
                <w:szCs w:val="20"/>
              </w:rPr>
              <w:t>110</w:t>
            </w:r>
            <w:r>
              <w:rPr>
                <w:iCs/>
                <w:snapToGrid w:val="0"/>
                <w:color w:val="000000"/>
                <w:sz w:val="20"/>
                <w:szCs w:val="20"/>
              </w:rPr>
              <w:t>)</w:t>
            </w:r>
          </w:p>
        </w:tc>
        <w:tc>
          <w:tcPr>
            <w:tcW w:w="1134" w:type="dxa"/>
          </w:tcPr>
          <w:p w:rsidR="00187324" w:rsidRDefault="00187324" w:rsidP="008B1D06">
            <w:pPr>
              <w:ind w:firstLine="0"/>
              <w:jc w:val="center"/>
              <w:rPr>
                <w:iCs/>
                <w:snapToGrid w:val="0"/>
                <w:color w:val="000000"/>
                <w:sz w:val="28"/>
                <w:szCs w:val="28"/>
              </w:rPr>
            </w:pPr>
            <w:r>
              <w:rPr>
                <w:iCs/>
                <w:snapToGrid w:val="0"/>
                <w:color w:val="000000"/>
                <w:sz w:val="28"/>
                <w:szCs w:val="28"/>
              </w:rPr>
              <w:t>33</w:t>
            </w:r>
          </w:p>
        </w:tc>
        <w:tc>
          <w:tcPr>
            <w:tcW w:w="1275" w:type="dxa"/>
          </w:tcPr>
          <w:p w:rsidR="00187324" w:rsidRDefault="00187324" w:rsidP="008B1D06">
            <w:pPr>
              <w:ind w:firstLine="0"/>
              <w:jc w:val="center"/>
              <w:rPr>
                <w:iCs/>
                <w:snapToGrid w:val="0"/>
                <w:color w:val="000000"/>
                <w:sz w:val="28"/>
                <w:szCs w:val="28"/>
              </w:rPr>
            </w:pPr>
            <w:r>
              <w:rPr>
                <w:iCs/>
                <w:snapToGrid w:val="0"/>
                <w:color w:val="000000"/>
                <w:sz w:val="28"/>
                <w:szCs w:val="28"/>
              </w:rPr>
              <w:t>33</w:t>
            </w:r>
          </w:p>
        </w:tc>
        <w:tc>
          <w:tcPr>
            <w:tcW w:w="1269" w:type="dxa"/>
          </w:tcPr>
          <w:p w:rsidR="00187324" w:rsidRDefault="00187324" w:rsidP="008B1D06">
            <w:pPr>
              <w:ind w:firstLine="0"/>
              <w:jc w:val="center"/>
              <w:rPr>
                <w:iCs/>
                <w:snapToGrid w:val="0"/>
                <w:color w:val="000000"/>
                <w:sz w:val="28"/>
                <w:szCs w:val="28"/>
              </w:rPr>
            </w:pPr>
            <w:r>
              <w:rPr>
                <w:iCs/>
                <w:snapToGrid w:val="0"/>
                <w:color w:val="000000"/>
                <w:sz w:val="28"/>
                <w:szCs w:val="28"/>
              </w:rPr>
              <w:t>33</w:t>
            </w:r>
          </w:p>
        </w:tc>
      </w:tr>
      <w:tr w:rsidR="00187324" w:rsidTr="008B1D06">
        <w:tc>
          <w:tcPr>
            <w:tcW w:w="6091" w:type="dxa"/>
          </w:tcPr>
          <w:p w:rsidR="00187324" w:rsidRDefault="00187324" w:rsidP="008B1D06">
            <w:pPr>
              <w:ind w:firstLine="0"/>
              <w:rPr>
                <w:iCs/>
                <w:snapToGrid w:val="0"/>
                <w:color w:val="000000"/>
                <w:sz w:val="20"/>
                <w:szCs w:val="20"/>
              </w:rPr>
            </w:pPr>
            <w:r w:rsidRPr="006E7394">
              <w:rPr>
                <w:iCs/>
                <w:snapToGrid w:val="0"/>
                <w:color w:val="000000"/>
                <w:sz w:val="20"/>
                <w:szCs w:val="20"/>
              </w:rPr>
              <w:t>Минимальный налог, зачисляемый в бюджеты субъектов Российской Федерации (за налоговые периоды, истекшие до 1 января 2016 года)</w:t>
            </w:r>
          </w:p>
          <w:p w:rsidR="00187324" w:rsidRPr="006E7394" w:rsidRDefault="00187324" w:rsidP="008B1D06">
            <w:pPr>
              <w:ind w:firstLine="0"/>
              <w:rPr>
                <w:iCs/>
                <w:snapToGrid w:val="0"/>
                <w:color w:val="000000"/>
                <w:sz w:val="20"/>
                <w:szCs w:val="20"/>
              </w:rPr>
            </w:pPr>
            <w:r w:rsidRPr="006E7394">
              <w:rPr>
                <w:iCs/>
                <w:snapToGrid w:val="0"/>
                <w:color w:val="000000"/>
                <w:sz w:val="20"/>
                <w:szCs w:val="20"/>
              </w:rPr>
              <w:t>(182 1 05 01050 01 0000 110)</w:t>
            </w:r>
          </w:p>
        </w:tc>
        <w:tc>
          <w:tcPr>
            <w:tcW w:w="1134" w:type="dxa"/>
          </w:tcPr>
          <w:p w:rsidR="00187324" w:rsidRDefault="00187324" w:rsidP="008B1D06">
            <w:pPr>
              <w:ind w:firstLine="0"/>
              <w:jc w:val="center"/>
              <w:rPr>
                <w:iCs/>
                <w:snapToGrid w:val="0"/>
                <w:color w:val="000000"/>
                <w:sz w:val="28"/>
                <w:szCs w:val="28"/>
              </w:rPr>
            </w:pPr>
            <w:r>
              <w:rPr>
                <w:iCs/>
                <w:snapToGrid w:val="0"/>
                <w:color w:val="000000"/>
                <w:sz w:val="28"/>
                <w:szCs w:val="28"/>
              </w:rPr>
              <w:t>152</w:t>
            </w:r>
          </w:p>
        </w:tc>
        <w:tc>
          <w:tcPr>
            <w:tcW w:w="1275" w:type="dxa"/>
          </w:tcPr>
          <w:p w:rsidR="00187324" w:rsidRDefault="00187324" w:rsidP="008B1D06">
            <w:pPr>
              <w:ind w:firstLine="0"/>
              <w:jc w:val="center"/>
              <w:rPr>
                <w:iCs/>
                <w:snapToGrid w:val="0"/>
                <w:color w:val="000000"/>
                <w:sz w:val="28"/>
                <w:szCs w:val="28"/>
              </w:rPr>
            </w:pPr>
            <w:r>
              <w:rPr>
                <w:iCs/>
                <w:snapToGrid w:val="0"/>
                <w:color w:val="000000"/>
                <w:sz w:val="28"/>
                <w:szCs w:val="28"/>
              </w:rPr>
              <w:t>2</w:t>
            </w:r>
          </w:p>
        </w:tc>
        <w:tc>
          <w:tcPr>
            <w:tcW w:w="1269" w:type="dxa"/>
          </w:tcPr>
          <w:p w:rsidR="00187324" w:rsidRDefault="00187324" w:rsidP="008B1D06">
            <w:pPr>
              <w:ind w:firstLine="0"/>
              <w:jc w:val="center"/>
              <w:rPr>
                <w:iCs/>
                <w:snapToGrid w:val="0"/>
                <w:color w:val="000000"/>
                <w:sz w:val="28"/>
                <w:szCs w:val="28"/>
              </w:rPr>
            </w:pPr>
            <w:r>
              <w:rPr>
                <w:iCs/>
                <w:snapToGrid w:val="0"/>
                <w:color w:val="000000"/>
                <w:sz w:val="28"/>
                <w:szCs w:val="28"/>
              </w:rPr>
              <w:t>0</w:t>
            </w:r>
          </w:p>
        </w:tc>
      </w:tr>
    </w:tbl>
    <w:p w:rsidR="00187324" w:rsidRPr="00CF1572" w:rsidRDefault="00187324" w:rsidP="00187324">
      <w:pPr>
        <w:ind w:firstLine="709"/>
        <w:jc w:val="both"/>
        <w:rPr>
          <w:iCs/>
          <w:snapToGrid w:val="0"/>
          <w:color w:val="000000"/>
          <w:sz w:val="28"/>
          <w:szCs w:val="28"/>
        </w:rPr>
      </w:pPr>
      <w:r>
        <w:rPr>
          <w:iCs/>
          <w:snapToGrid w:val="0"/>
          <w:color w:val="000000"/>
          <w:sz w:val="28"/>
          <w:szCs w:val="28"/>
        </w:rPr>
        <w:t xml:space="preserve"> </w:t>
      </w:r>
    </w:p>
    <w:p w:rsidR="00E26650" w:rsidRPr="00DC5A29" w:rsidRDefault="00E26650" w:rsidP="00E26650">
      <w:pPr>
        <w:jc w:val="center"/>
        <w:rPr>
          <w:b/>
          <w:sz w:val="28"/>
          <w:szCs w:val="28"/>
        </w:rPr>
      </w:pPr>
      <w:r w:rsidRPr="00DC5A29">
        <w:rPr>
          <w:b/>
          <w:sz w:val="28"/>
          <w:szCs w:val="28"/>
        </w:rPr>
        <w:t>Налог на профессиональный доход</w:t>
      </w:r>
    </w:p>
    <w:p w:rsidR="00B52CDD" w:rsidRDefault="00E26650" w:rsidP="00E26650">
      <w:pPr>
        <w:jc w:val="center"/>
        <w:rPr>
          <w:b/>
          <w:sz w:val="28"/>
          <w:szCs w:val="28"/>
        </w:rPr>
      </w:pPr>
      <w:r w:rsidRPr="00DC5A29">
        <w:rPr>
          <w:b/>
          <w:sz w:val="28"/>
          <w:szCs w:val="28"/>
        </w:rPr>
        <w:t>(000 1 05 06000 01 0000 110)</w:t>
      </w:r>
    </w:p>
    <w:p w:rsidR="00B52CDD" w:rsidRDefault="00B52CDD" w:rsidP="003E4418">
      <w:pPr>
        <w:jc w:val="center"/>
        <w:rPr>
          <w:b/>
          <w:sz w:val="28"/>
          <w:szCs w:val="28"/>
        </w:rPr>
      </w:pPr>
    </w:p>
    <w:p w:rsidR="00DC5A29" w:rsidRPr="00DC5A29" w:rsidRDefault="00DC5A29" w:rsidP="00DC5A29">
      <w:pPr>
        <w:autoSpaceDE w:val="0"/>
        <w:autoSpaceDN w:val="0"/>
        <w:adjustRightInd w:val="0"/>
        <w:ind w:firstLine="709"/>
        <w:jc w:val="both"/>
        <w:rPr>
          <w:snapToGrid w:val="0"/>
          <w:sz w:val="28"/>
          <w:szCs w:val="28"/>
        </w:rPr>
      </w:pPr>
      <w:r w:rsidRPr="00DC5A29">
        <w:rPr>
          <w:snapToGrid w:val="0"/>
          <w:sz w:val="28"/>
          <w:szCs w:val="28"/>
        </w:rPr>
        <w:t xml:space="preserve">Налог на профессиональный доход введен на территории </w:t>
      </w:r>
      <w:r w:rsidRPr="00DC5A29">
        <w:rPr>
          <w:snapToGrid w:val="0"/>
          <w:sz w:val="28"/>
          <w:szCs w:val="28"/>
        </w:rPr>
        <w:br/>
        <w:t>региона законом Тверской области от 29.05.2020 № 35-ЗО «</w:t>
      </w:r>
      <w:r w:rsidRPr="00DC5A29">
        <w:rPr>
          <w:rFonts w:eastAsia="Calibri"/>
          <w:sz w:val="28"/>
          <w:szCs w:val="28"/>
          <w:lang w:eastAsia="en-US"/>
        </w:rPr>
        <w:t xml:space="preserve">О введении в действие на территории Тверской области специального налогового режима «Налог на профессиональный доход», </w:t>
      </w:r>
      <w:r w:rsidRPr="00DC5A29">
        <w:rPr>
          <w:rFonts w:eastAsia="Calibri"/>
          <w:sz w:val="28"/>
          <w:szCs w:val="20"/>
          <w:lang w:eastAsia="en-US"/>
        </w:rPr>
        <w:t>с 1 июля 2020 года.</w:t>
      </w:r>
      <w:r w:rsidRPr="00DC5A29">
        <w:rPr>
          <w:rFonts w:eastAsia="Calibri"/>
          <w:sz w:val="28"/>
          <w:szCs w:val="28"/>
          <w:lang w:eastAsia="en-US"/>
        </w:rPr>
        <w:t>.</w:t>
      </w:r>
    </w:p>
    <w:p w:rsidR="00DC5A29" w:rsidRPr="00DC5A29" w:rsidRDefault="00DC5A29" w:rsidP="00DC5A29">
      <w:pPr>
        <w:autoSpaceDE w:val="0"/>
        <w:autoSpaceDN w:val="0"/>
        <w:adjustRightInd w:val="0"/>
        <w:jc w:val="both"/>
        <w:rPr>
          <w:bCs/>
          <w:sz w:val="28"/>
          <w:szCs w:val="28"/>
        </w:rPr>
      </w:pPr>
      <w:r w:rsidRPr="00DC5A29">
        <w:rPr>
          <w:snapToGrid w:val="0"/>
          <w:sz w:val="28"/>
          <w:szCs w:val="28"/>
        </w:rPr>
        <w:tab/>
      </w:r>
      <w:r w:rsidRPr="00DC5A29">
        <w:rPr>
          <w:bCs/>
          <w:sz w:val="28"/>
          <w:szCs w:val="28"/>
        </w:rPr>
        <w:t>Федеральным законом от 27.11.2018 № 422-ФЗ «О проведении эксперимента по установлению специального налогового режима «Налог на профессиональный доход» налоговые ставки установлены в следующих размерах:</w:t>
      </w:r>
    </w:p>
    <w:p w:rsidR="00DC5A29" w:rsidRPr="00DC5A29" w:rsidRDefault="00DC5A29" w:rsidP="00DC5A29">
      <w:pPr>
        <w:autoSpaceDE w:val="0"/>
        <w:autoSpaceDN w:val="0"/>
        <w:adjustRightInd w:val="0"/>
        <w:ind w:firstLine="720"/>
        <w:jc w:val="both"/>
        <w:rPr>
          <w:bCs/>
          <w:sz w:val="28"/>
          <w:szCs w:val="28"/>
        </w:rPr>
      </w:pPr>
      <w:r w:rsidRPr="00DC5A29">
        <w:rPr>
          <w:bCs/>
          <w:sz w:val="28"/>
          <w:szCs w:val="28"/>
        </w:rPr>
        <w:t>1) 4 процента в отношении доходов, полученных налогоплательщиками от реализации товаров (работ, услуг, имущественных прав) физическим лицам;</w:t>
      </w:r>
    </w:p>
    <w:p w:rsidR="00DC5A29" w:rsidRPr="00DC5A29" w:rsidRDefault="00DC5A29" w:rsidP="00DC5A29">
      <w:pPr>
        <w:autoSpaceDE w:val="0"/>
        <w:autoSpaceDN w:val="0"/>
        <w:adjustRightInd w:val="0"/>
        <w:ind w:firstLine="720"/>
        <w:jc w:val="both"/>
        <w:rPr>
          <w:bCs/>
          <w:sz w:val="28"/>
          <w:szCs w:val="28"/>
        </w:rPr>
      </w:pPr>
      <w:r w:rsidRPr="00DC5A29">
        <w:rPr>
          <w:bCs/>
          <w:sz w:val="28"/>
          <w:szCs w:val="28"/>
        </w:rPr>
        <w:lastRenderedPageBreak/>
        <w:t>2) 6 процентов в отношении доходов, полученных налогоплательщиками от реализации товаров (работ, услуг, имущественных прав) индивидуальным предпринимателям для использования при ведении предпринимательской деятельности и юридическим лицам.</w:t>
      </w:r>
    </w:p>
    <w:p w:rsidR="00DC5A29" w:rsidRDefault="00DC5A29" w:rsidP="00DC5A29">
      <w:pPr>
        <w:autoSpaceDE w:val="0"/>
        <w:autoSpaceDN w:val="0"/>
        <w:adjustRightInd w:val="0"/>
        <w:ind w:firstLine="720"/>
        <w:jc w:val="both"/>
        <w:rPr>
          <w:bCs/>
          <w:sz w:val="28"/>
          <w:szCs w:val="28"/>
        </w:rPr>
      </w:pPr>
      <w:r w:rsidRPr="00DC5A29">
        <w:rPr>
          <w:bCs/>
          <w:sz w:val="28"/>
          <w:szCs w:val="28"/>
        </w:rPr>
        <w:t xml:space="preserve">Главным администратором доходов по налогу на профессиональный доход является Управление Федеральной налоговой службы по Тверской области (код главного администратора доходов 182). </w:t>
      </w:r>
    </w:p>
    <w:p w:rsidR="009E0E03" w:rsidRDefault="009E0E03" w:rsidP="00DC5A29">
      <w:pPr>
        <w:autoSpaceDE w:val="0"/>
        <w:autoSpaceDN w:val="0"/>
        <w:adjustRightInd w:val="0"/>
        <w:ind w:firstLine="720"/>
        <w:jc w:val="both"/>
        <w:rPr>
          <w:bCs/>
          <w:sz w:val="28"/>
          <w:szCs w:val="28"/>
        </w:rPr>
      </w:pPr>
    </w:p>
    <w:p w:rsidR="009E0E03" w:rsidRPr="00DC5A29" w:rsidRDefault="009E0E03" w:rsidP="00DC5A29">
      <w:pPr>
        <w:autoSpaceDE w:val="0"/>
        <w:autoSpaceDN w:val="0"/>
        <w:adjustRightInd w:val="0"/>
        <w:ind w:firstLine="720"/>
        <w:jc w:val="both"/>
        <w:rPr>
          <w:bCs/>
          <w:sz w:val="28"/>
          <w:szCs w:val="28"/>
        </w:rPr>
      </w:pPr>
    </w:p>
    <w:p w:rsidR="00DC5A29" w:rsidRPr="00DC5A29" w:rsidRDefault="00DC5A29" w:rsidP="00DC5A29">
      <w:pPr>
        <w:autoSpaceDE w:val="0"/>
        <w:autoSpaceDN w:val="0"/>
        <w:adjustRightInd w:val="0"/>
        <w:ind w:firstLine="720"/>
        <w:jc w:val="right"/>
        <w:rPr>
          <w:bCs/>
          <w:sz w:val="28"/>
          <w:szCs w:val="28"/>
        </w:rPr>
      </w:pPr>
      <w:r w:rsidRPr="00DC5A29">
        <w:rPr>
          <w:bCs/>
          <w:sz w:val="28"/>
          <w:szCs w:val="28"/>
        </w:rPr>
        <w:t>(тыс. руб.)</w:t>
      </w:r>
    </w:p>
    <w:tbl>
      <w:tblPr>
        <w:tblStyle w:val="720"/>
        <w:tblW w:w="9776" w:type="dxa"/>
        <w:tblLook w:val="04A0" w:firstRow="1" w:lastRow="0" w:firstColumn="1" w:lastColumn="0" w:noHBand="0" w:noVBand="1"/>
      </w:tblPr>
      <w:tblGrid>
        <w:gridCol w:w="846"/>
        <w:gridCol w:w="6520"/>
        <w:gridCol w:w="2410"/>
      </w:tblGrid>
      <w:tr w:rsidR="00DC5A29" w:rsidRPr="00DC5A29" w:rsidTr="00E8053F">
        <w:tc>
          <w:tcPr>
            <w:tcW w:w="846" w:type="dxa"/>
          </w:tcPr>
          <w:p w:rsidR="00DC5A29" w:rsidRPr="00DC5A29" w:rsidRDefault="00DC5A29" w:rsidP="00DC5A29">
            <w:pPr>
              <w:autoSpaceDE w:val="0"/>
              <w:autoSpaceDN w:val="0"/>
              <w:adjustRightInd w:val="0"/>
              <w:jc w:val="center"/>
              <w:rPr>
                <w:rFonts w:ascii="Times New Roman" w:hAnsi="Times New Roman" w:cs="Times New Roman"/>
              </w:rPr>
            </w:pPr>
          </w:p>
          <w:p w:rsidR="00DC5A29" w:rsidRPr="00DC5A29" w:rsidRDefault="00DC5A29" w:rsidP="00DC5A29">
            <w:pPr>
              <w:autoSpaceDE w:val="0"/>
              <w:autoSpaceDN w:val="0"/>
              <w:adjustRightInd w:val="0"/>
              <w:jc w:val="center"/>
              <w:rPr>
                <w:rFonts w:ascii="Times New Roman" w:hAnsi="Times New Roman" w:cs="Times New Roman"/>
                <w:bCs/>
              </w:rPr>
            </w:pPr>
            <w:r w:rsidRPr="00DC5A29">
              <w:rPr>
                <w:rFonts w:ascii="Times New Roman" w:hAnsi="Times New Roman" w:cs="Times New Roman"/>
              </w:rPr>
              <w:t>№</w:t>
            </w:r>
          </w:p>
        </w:tc>
        <w:tc>
          <w:tcPr>
            <w:tcW w:w="6520" w:type="dxa"/>
          </w:tcPr>
          <w:p w:rsidR="00DC5A29" w:rsidRPr="00DC5A29" w:rsidRDefault="00DC5A29" w:rsidP="00DC5A29">
            <w:pPr>
              <w:autoSpaceDE w:val="0"/>
              <w:autoSpaceDN w:val="0"/>
              <w:adjustRightInd w:val="0"/>
              <w:jc w:val="center"/>
              <w:rPr>
                <w:rFonts w:ascii="Times New Roman" w:hAnsi="Times New Roman" w:cs="Times New Roman"/>
                <w:sz w:val="28"/>
              </w:rPr>
            </w:pPr>
          </w:p>
          <w:p w:rsidR="00DC5A29" w:rsidRPr="00DC5A29" w:rsidRDefault="00DC5A29" w:rsidP="00DC5A29">
            <w:pPr>
              <w:autoSpaceDE w:val="0"/>
              <w:autoSpaceDN w:val="0"/>
              <w:adjustRightInd w:val="0"/>
              <w:jc w:val="center"/>
              <w:rPr>
                <w:rFonts w:ascii="Times New Roman" w:hAnsi="Times New Roman" w:cs="Times New Roman"/>
                <w:bCs/>
                <w:sz w:val="28"/>
              </w:rPr>
            </w:pPr>
            <w:r w:rsidRPr="00DC5A29">
              <w:rPr>
                <w:rFonts w:ascii="Times New Roman" w:hAnsi="Times New Roman" w:cs="Times New Roman"/>
                <w:sz w:val="28"/>
              </w:rPr>
              <w:t>Наименование</w:t>
            </w:r>
          </w:p>
        </w:tc>
        <w:tc>
          <w:tcPr>
            <w:tcW w:w="2410" w:type="dxa"/>
          </w:tcPr>
          <w:p w:rsidR="00DC5A29" w:rsidRPr="00DC5A29" w:rsidRDefault="00DC5A29" w:rsidP="00DC5A29">
            <w:pPr>
              <w:autoSpaceDE w:val="0"/>
              <w:autoSpaceDN w:val="0"/>
              <w:adjustRightInd w:val="0"/>
              <w:jc w:val="center"/>
              <w:rPr>
                <w:rFonts w:ascii="Times New Roman" w:hAnsi="Times New Roman" w:cs="Times New Roman"/>
                <w:sz w:val="28"/>
              </w:rPr>
            </w:pPr>
            <w:r w:rsidRPr="00DC5A29">
              <w:rPr>
                <w:rFonts w:ascii="Times New Roman" w:hAnsi="Times New Roman" w:cs="Times New Roman"/>
                <w:sz w:val="28"/>
              </w:rPr>
              <w:t>Значение показателя, сумма</w:t>
            </w:r>
          </w:p>
          <w:p w:rsidR="00DC5A29" w:rsidRPr="00DC5A29" w:rsidRDefault="00DC5A29" w:rsidP="00DC5A29">
            <w:pPr>
              <w:autoSpaceDE w:val="0"/>
              <w:autoSpaceDN w:val="0"/>
              <w:adjustRightInd w:val="0"/>
              <w:jc w:val="center"/>
              <w:rPr>
                <w:rFonts w:ascii="Times New Roman" w:hAnsi="Times New Roman" w:cs="Times New Roman"/>
                <w:bCs/>
                <w:sz w:val="28"/>
              </w:rPr>
            </w:pPr>
          </w:p>
        </w:tc>
      </w:tr>
      <w:tr w:rsidR="00DC5A29" w:rsidRPr="00DC5A29" w:rsidTr="00E8053F">
        <w:tc>
          <w:tcPr>
            <w:tcW w:w="846" w:type="dxa"/>
          </w:tcPr>
          <w:p w:rsidR="00DC5A29" w:rsidRPr="00DC5A29" w:rsidRDefault="00DC5A29" w:rsidP="00DC5A29">
            <w:pPr>
              <w:autoSpaceDE w:val="0"/>
              <w:autoSpaceDN w:val="0"/>
              <w:adjustRightInd w:val="0"/>
              <w:jc w:val="center"/>
              <w:rPr>
                <w:rFonts w:ascii="Times New Roman" w:hAnsi="Times New Roman" w:cs="Times New Roman"/>
              </w:rPr>
            </w:pPr>
            <w:r w:rsidRPr="00DC5A29">
              <w:rPr>
                <w:rFonts w:ascii="Times New Roman" w:hAnsi="Times New Roman" w:cs="Times New Roman"/>
              </w:rPr>
              <w:t>1.</w:t>
            </w:r>
          </w:p>
        </w:tc>
        <w:tc>
          <w:tcPr>
            <w:tcW w:w="6520" w:type="dxa"/>
          </w:tcPr>
          <w:p w:rsidR="00DC5A29" w:rsidRPr="00DC5A29" w:rsidRDefault="00DC5A29" w:rsidP="00DC5A29">
            <w:pPr>
              <w:autoSpaceDE w:val="0"/>
              <w:autoSpaceDN w:val="0"/>
              <w:adjustRightInd w:val="0"/>
              <w:rPr>
                <w:rFonts w:ascii="Times New Roman" w:hAnsi="Times New Roman" w:cs="Times New Roman"/>
              </w:rPr>
            </w:pPr>
            <w:r w:rsidRPr="00DC5A29">
              <w:rPr>
                <w:rFonts w:ascii="Times New Roman" w:hAnsi="Times New Roman" w:cs="Times New Roman"/>
              </w:rPr>
              <w:t>Налоговая база (сумма полученного дохода от реализации товаров (работ, услуг, имущественных прав)  на 01.07.2021, по данным информационных ресурсов налоговых органов</w:t>
            </w:r>
          </w:p>
        </w:tc>
        <w:tc>
          <w:tcPr>
            <w:tcW w:w="2410" w:type="dxa"/>
          </w:tcPr>
          <w:p w:rsidR="00DC5A29" w:rsidRPr="00DC5A29" w:rsidRDefault="00DC5A29" w:rsidP="00DC5A29">
            <w:pPr>
              <w:autoSpaceDE w:val="0"/>
              <w:autoSpaceDN w:val="0"/>
              <w:adjustRightInd w:val="0"/>
              <w:jc w:val="center"/>
              <w:rPr>
                <w:rFonts w:ascii="Times New Roman" w:hAnsi="Times New Roman" w:cs="Times New Roman"/>
              </w:rPr>
            </w:pPr>
            <w:r w:rsidRPr="00DC5A29">
              <w:rPr>
                <w:rFonts w:ascii="Times New Roman" w:hAnsi="Times New Roman" w:cs="Times New Roman"/>
              </w:rPr>
              <w:t>1 190 630,0</w:t>
            </w:r>
          </w:p>
        </w:tc>
      </w:tr>
      <w:tr w:rsidR="00DC5A29" w:rsidRPr="00DC5A29" w:rsidTr="00E8053F">
        <w:tc>
          <w:tcPr>
            <w:tcW w:w="846" w:type="dxa"/>
          </w:tcPr>
          <w:p w:rsidR="00DC5A29" w:rsidRPr="00DC5A29" w:rsidRDefault="00DC5A29" w:rsidP="00DC5A29">
            <w:pPr>
              <w:autoSpaceDE w:val="0"/>
              <w:autoSpaceDN w:val="0"/>
              <w:adjustRightInd w:val="0"/>
              <w:jc w:val="center"/>
              <w:rPr>
                <w:rFonts w:ascii="Times New Roman" w:hAnsi="Times New Roman" w:cs="Times New Roman"/>
                <w:bCs/>
              </w:rPr>
            </w:pPr>
            <w:r w:rsidRPr="00DC5A29">
              <w:rPr>
                <w:rFonts w:ascii="Times New Roman" w:hAnsi="Times New Roman" w:cs="Times New Roman"/>
                <w:bCs/>
              </w:rPr>
              <w:t>2</w:t>
            </w:r>
          </w:p>
        </w:tc>
        <w:tc>
          <w:tcPr>
            <w:tcW w:w="6520" w:type="dxa"/>
          </w:tcPr>
          <w:p w:rsidR="00DC5A29" w:rsidRPr="00DC5A29" w:rsidRDefault="00DC5A29" w:rsidP="00DC5A29">
            <w:pPr>
              <w:autoSpaceDE w:val="0"/>
              <w:autoSpaceDN w:val="0"/>
              <w:adjustRightInd w:val="0"/>
              <w:jc w:val="both"/>
              <w:rPr>
                <w:rFonts w:ascii="Times New Roman" w:hAnsi="Times New Roman" w:cs="Times New Roman"/>
                <w:bCs/>
              </w:rPr>
            </w:pPr>
            <w:r w:rsidRPr="00DC5A29">
              <w:rPr>
                <w:rFonts w:ascii="Times New Roman" w:hAnsi="Times New Roman" w:cs="Times New Roman"/>
                <w:bCs/>
              </w:rPr>
              <w:t xml:space="preserve">Налоговая база (сумма полученного дохода от реализации товаров (работ, услуг, имущественных прав) на 2021 год </w:t>
            </w:r>
          </w:p>
          <w:p w:rsidR="00DC5A29" w:rsidRPr="00DC5A29" w:rsidRDefault="00DC5A29" w:rsidP="00DC5A29">
            <w:pPr>
              <w:autoSpaceDE w:val="0"/>
              <w:autoSpaceDN w:val="0"/>
              <w:adjustRightInd w:val="0"/>
              <w:jc w:val="both"/>
              <w:rPr>
                <w:rFonts w:ascii="Times New Roman" w:hAnsi="Times New Roman" w:cs="Times New Roman"/>
                <w:bCs/>
              </w:rPr>
            </w:pPr>
            <w:r w:rsidRPr="00DC5A29">
              <w:rPr>
                <w:rFonts w:ascii="Times New Roman" w:hAnsi="Times New Roman" w:cs="Times New Roman"/>
                <w:bCs/>
              </w:rPr>
              <w:t>(стр. 1 /6 мес.*12 мес.)</w:t>
            </w:r>
          </w:p>
        </w:tc>
        <w:tc>
          <w:tcPr>
            <w:tcW w:w="2410" w:type="dxa"/>
          </w:tcPr>
          <w:p w:rsidR="00DC5A29" w:rsidRPr="00DC5A29" w:rsidRDefault="00DC5A29" w:rsidP="00DC5A29">
            <w:pPr>
              <w:autoSpaceDE w:val="0"/>
              <w:autoSpaceDN w:val="0"/>
              <w:adjustRightInd w:val="0"/>
              <w:jc w:val="center"/>
              <w:rPr>
                <w:rFonts w:ascii="Times New Roman" w:hAnsi="Times New Roman" w:cs="Times New Roman"/>
                <w:bCs/>
              </w:rPr>
            </w:pPr>
            <w:r w:rsidRPr="00DC5A29">
              <w:rPr>
                <w:rFonts w:ascii="Times New Roman" w:hAnsi="Times New Roman" w:cs="Times New Roman"/>
                <w:bCs/>
              </w:rPr>
              <w:t>2 381 260,0</w:t>
            </w:r>
          </w:p>
        </w:tc>
      </w:tr>
      <w:tr w:rsidR="00DC5A29" w:rsidRPr="00DC5A29" w:rsidTr="00E8053F">
        <w:tc>
          <w:tcPr>
            <w:tcW w:w="846" w:type="dxa"/>
          </w:tcPr>
          <w:p w:rsidR="00DC5A29" w:rsidRPr="00DC5A29" w:rsidRDefault="00DC5A29" w:rsidP="00DC5A29">
            <w:pPr>
              <w:autoSpaceDE w:val="0"/>
              <w:autoSpaceDN w:val="0"/>
              <w:adjustRightInd w:val="0"/>
              <w:jc w:val="center"/>
              <w:rPr>
                <w:rFonts w:ascii="Times New Roman" w:hAnsi="Times New Roman" w:cs="Times New Roman"/>
                <w:bCs/>
              </w:rPr>
            </w:pPr>
            <w:r w:rsidRPr="00DC5A29">
              <w:rPr>
                <w:rFonts w:ascii="Times New Roman" w:hAnsi="Times New Roman" w:cs="Times New Roman"/>
                <w:bCs/>
              </w:rPr>
              <w:t>3</w:t>
            </w:r>
          </w:p>
        </w:tc>
        <w:tc>
          <w:tcPr>
            <w:tcW w:w="6520" w:type="dxa"/>
          </w:tcPr>
          <w:p w:rsidR="00DC5A29" w:rsidRPr="00DC5A29" w:rsidRDefault="00DC5A29" w:rsidP="00DC5A29">
            <w:pPr>
              <w:autoSpaceDE w:val="0"/>
              <w:autoSpaceDN w:val="0"/>
              <w:adjustRightInd w:val="0"/>
              <w:jc w:val="both"/>
              <w:rPr>
                <w:rFonts w:ascii="Times New Roman" w:hAnsi="Times New Roman" w:cs="Times New Roman"/>
                <w:bCs/>
              </w:rPr>
            </w:pPr>
            <w:r w:rsidRPr="00DC5A29">
              <w:rPr>
                <w:rFonts w:ascii="Times New Roman" w:hAnsi="Times New Roman" w:cs="Times New Roman"/>
                <w:bCs/>
              </w:rPr>
              <w:t xml:space="preserve">Сумма исчисленного налога </w:t>
            </w:r>
          </w:p>
          <w:p w:rsidR="00DC5A29" w:rsidRPr="00DC5A29" w:rsidRDefault="00DC5A29" w:rsidP="00DC5A29">
            <w:pPr>
              <w:autoSpaceDE w:val="0"/>
              <w:autoSpaceDN w:val="0"/>
              <w:adjustRightInd w:val="0"/>
              <w:jc w:val="both"/>
              <w:rPr>
                <w:rFonts w:ascii="Times New Roman" w:hAnsi="Times New Roman" w:cs="Times New Roman"/>
                <w:bCs/>
              </w:rPr>
            </w:pPr>
            <w:r w:rsidRPr="00DC5A29">
              <w:rPr>
                <w:rFonts w:ascii="Times New Roman" w:hAnsi="Times New Roman" w:cs="Times New Roman"/>
                <w:bCs/>
              </w:rPr>
              <w:t xml:space="preserve">(стр. 2 * эффективную налоговую ставку 5,1% (рассчетно, исчисленная сумма налога на 01.07.2021/ налоговую базу на 01.07.2021 (по данным информационного налогового ресурса) </w:t>
            </w:r>
          </w:p>
        </w:tc>
        <w:tc>
          <w:tcPr>
            <w:tcW w:w="2410" w:type="dxa"/>
          </w:tcPr>
          <w:p w:rsidR="00DC5A29" w:rsidRPr="00DC5A29" w:rsidRDefault="00DC5A29" w:rsidP="00DC5A29">
            <w:pPr>
              <w:autoSpaceDE w:val="0"/>
              <w:autoSpaceDN w:val="0"/>
              <w:adjustRightInd w:val="0"/>
              <w:jc w:val="center"/>
              <w:rPr>
                <w:rFonts w:ascii="Times New Roman" w:hAnsi="Times New Roman" w:cs="Times New Roman"/>
                <w:bCs/>
              </w:rPr>
            </w:pPr>
            <w:r w:rsidRPr="00DC5A29">
              <w:rPr>
                <w:rFonts w:ascii="Times New Roman" w:hAnsi="Times New Roman" w:cs="Times New Roman"/>
                <w:bCs/>
              </w:rPr>
              <w:t>121 444,0</w:t>
            </w:r>
          </w:p>
        </w:tc>
      </w:tr>
      <w:tr w:rsidR="00DC5A29" w:rsidRPr="00DC5A29" w:rsidTr="00E8053F">
        <w:tc>
          <w:tcPr>
            <w:tcW w:w="846" w:type="dxa"/>
          </w:tcPr>
          <w:p w:rsidR="00DC5A29" w:rsidRPr="00DC5A29" w:rsidRDefault="00DC5A29" w:rsidP="00DC5A29">
            <w:pPr>
              <w:autoSpaceDE w:val="0"/>
              <w:autoSpaceDN w:val="0"/>
              <w:adjustRightInd w:val="0"/>
              <w:jc w:val="center"/>
              <w:rPr>
                <w:rFonts w:ascii="Times New Roman" w:hAnsi="Times New Roman" w:cs="Times New Roman"/>
                <w:bCs/>
              </w:rPr>
            </w:pPr>
            <w:r w:rsidRPr="00DC5A29">
              <w:rPr>
                <w:rFonts w:ascii="Times New Roman" w:hAnsi="Times New Roman" w:cs="Times New Roman"/>
                <w:bCs/>
              </w:rPr>
              <w:t>4</w:t>
            </w:r>
          </w:p>
        </w:tc>
        <w:tc>
          <w:tcPr>
            <w:tcW w:w="6520" w:type="dxa"/>
          </w:tcPr>
          <w:p w:rsidR="000D7ED1" w:rsidRDefault="00DC5A29" w:rsidP="000D7ED1">
            <w:pPr>
              <w:autoSpaceDE w:val="0"/>
              <w:autoSpaceDN w:val="0"/>
              <w:adjustRightInd w:val="0"/>
              <w:jc w:val="both"/>
              <w:rPr>
                <w:rFonts w:ascii="Times New Roman" w:hAnsi="Times New Roman" w:cs="Times New Roman"/>
                <w:b/>
                <w:bCs/>
              </w:rPr>
            </w:pPr>
            <w:r w:rsidRPr="00DC5A29">
              <w:rPr>
                <w:rFonts w:ascii="Times New Roman" w:hAnsi="Times New Roman" w:cs="Times New Roman"/>
                <w:b/>
                <w:bCs/>
              </w:rPr>
              <w:t>Оценка на 2021 год</w:t>
            </w:r>
            <w:r w:rsidRPr="00DC5A29">
              <w:rPr>
                <w:rFonts w:ascii="Times New Roman" w:hAnsi="Times New Roman" w:cs="Times New Roman"/>
                <w:bCs/>
              </w:rPr>
              <w:t xml:space="preserve"> </w:t>
            </w:r>
            <w:r w:rsidRPr="00DC5A29">
              <w:rPr>
                <w:rFonts w:ascii="Times New Roman" w:hAnsi="Times New Roman" w:cs="Times New Roman"/>
                <w:b/>
                <w:bCs/>
              </w:rPr>
              <w:t>по налогу на профессиональный доход</w:t>
            </w:r>
            <w:r w:rsidRPr="00DC5A29">
              <w:rPr>
                <w:rFonts w:ascii="Times New Roman" w:hAnsi="Times New Roman" w:cs="Times New Roman"/>
              </w:rPr>
              <w:t xml:space="preserve"> </w:t>
            </w:r>
            <w:r w:rsidRPr="00DC5A29">
              <w:rPr>
                <w:rFonts w:ascii="Times New Roman" w:hAnsi="Times New Roman" w:cs="Times New Roman"/>
                <w:bCs/>
              </w:rPr>
              <w:t xml:space="preserve">в </w:t>
            </w:r>
            <w:r w:rsidR="00F1477B" w:rsidRPr="00F1477B">
              <w:rPr>
                <w:rFonts w:ascii="Times New Roman" w:hAnsi="Times New Roman" w:cs="Times New Roman"/>
                <w:bCs/>
              </w:rPr>
              <w:t>консолидированный бюджет Тверской области</w:t>
            </w:r>
            <w:r w:rsidR="00F1477B">
              <w:rPr>
                <w:rFonts w:ascii="Times New Roman" w:hAnsi="Times New Roman" w:cs="Times New Roman"/>
                <w:b/>
                <w:bCs/>
              </w:rPr>
              <w:t xml:space="preserve"> </w:t>
            </w:r>
          </w:p>
          <w:p w:rsidR="00DC5A29" w:rsidRPr="00DC5A29" w:rsidRDefault="00DC5A29" w:rsidP="000D7ED1">
            <w:pPr>
              <w:autoSpaceDE w:val="0"/>
              <w:autoSpaceDN w:val="0"/>
              <w:adjustRightInd w:val="0"/>
              <w:jc w:val="both"/>
              <w:rPr>
                <w:rFonts w:ascii="Times New Roman" w:hAnsi="Times New Roman" w:cs="Times New Roman"/>
                <w:bCs/>
              </w:rPr>
            </w:pPr>
            <w:r w:rsidRPr="00DC5A29">
              <w:rPr>
                <w:rFonts w:ascii="Times New Roman" w:hAnsi="Times New Roman" w:cs="Times New Roman"/>
                <w:bCs/>
              </w:rPr>
              <w:t>(стр.3 * расчетный уровень собираемости 86,6% (по форме налоговой отчетности №1-НМ на 01.06.2021, сумма поступившего налога в начисленной к уплате ) – Корректирующая сумма поступлений, учитывающая применение налогового вычета (-42 384,0 тыс. руб.) * норматив зачисления в консолидированный бюджет субъекта 63%</w:t>
            </w:r>
            <w:r w:rsidR="00214C63">
              <w:rPr>
                <w:rFonts w:ascii="Times New Roman" w:hAnsi="Times New Roman" w:cs="Times New Roman"/>
                <w:bCs/>
              </w:rPr>
              <w:t xml:space="preserve"> (37% зачисляется в ФОМС)</w:t>
            </w:r>
          </w:p>
        </w:tc>
        <w:tc>
          <w:tcPr>
            <w:tcW w:w="2410" w:type="dxa"/>
          </w:tcPr>
          <w:p w:rsidR="00DC5A29" w:rsidRPr="00DC5A29" w:rsidRDefault="00DC5A29" w:rsidP="00DC5A29">
            <w:pPr>
              <w:autoSpaceDE w:val="0"/>
              <w:autoSpaceDN w:val="0"/>
              <w:adjustRightInd w:val="0"/>
              <w:jc w:val="center"/>
              <w:rPr>
                <w:rFonts w:ascii="Times New Roman" w:hAnsi="Times New Roman" w:cs="Times New Roman"/>
                <w:bCs/>
              </w:rPr>
            </w:pPr>
            <w:r w:rsidRPr="00DC5A29">
              <w:rPr>
                <w:rFonts w:ascii="Times New Roman" w:hAnsi="Times New Roman" w:cs="Times New Roman"/>
                <w:bCs/>
              </w:rPr>
              <w:t>39 555,0</w:t>
            </w:r>
          </w:p>
        </w:tc>
      </w:tr>
      <w:tr w:rsidR="00DC5A29" w:rsidRPr="00DC5A29" w:rsidTr="00E8053F">
        <w:tc>
          <w:tcPr>
            <w:tcW w:w="846" w:type="dxa"/>
          </w:tcPr>
          <w:p w:rsidR="00DC5A29" w:rsidRPr="00DC5A29" w:rsidRDefault="00DC5A29" w:rsidP="00DC5A29">
            <w:pPr>
              <w:autoSpaceDE w:val="0"/>
              <w:autoSpaceDN w:val="0"/>
              <w:adjustRightInd w:val="0"/>
              <w:jc w:val="center"/>
              <w:rPr>
                <w:rFonts w:ascii="Times New Roman" w:hAnsi="Times New Roman" w:cs="Times New Roman"/>
                <w:bCs/>
              </w:rPr>
            </w:pPr>
            <w:r w:rsidRPr="00DC5A29">
              <w:rPr>
                <w:rFonts w:ascii="Times New Roman" w:hAnsi="Times New Roman" w:cs="Times New Roman"/>
                <w:bCs/>
              </w:rPr>
              <w:t>5</w:t>
            </w:r>
          </w:p>
        </w:tc>
        <w:tc>
          <w:tcPr>
            <w:tcW w:w="6520" w:type="dxa"/>
          </w:tcPr>
          <w:p w:rsidR="00DC5A29" w:rsidRPr="00DC5A29" w:rsidRDefault="00DC5A29" w:rsidP="00DC5A29">
            <w:pPr>
              <w:autoSpaceDE w:val="0"/>
              <w:autoSpaceDN w:val="0"/>
              <w:adjustRightInd w:val="0"/>
              <w:jc w:val="both"/>
              <w:rPr>
                <w:rFonts w:ascii="Times New Roman" w:hAnsi="Times New Roman" w:cs="Times New Roman"/>
                <w:bCs/>
              </w:rPr>
            </w:pPr>
            <w:r w:rsidRPr="00DC5A29">
              <w:rPr>
                <w:rFonts w:ascii="Times New Roman" w:hAnsi="Times New Roman" w:cs="Times New Roman"/>
                <w:bCs/>
              </w:rPr>
              <w:t>Налоговая база (сумма полученного дохода от реализации товаров (работ, услуг, имущественных прав) на 2022 год</w:t>
            </w:r>
          </w:p>
          <w:p w:rsidR="00DC5A29" w:rsidRPr="00DC5A29" w:rsidRDefault="00DC5A29" w:rsidP="00DC5A29">
            <w:pPr>
              <w:autoSpaceDE w:val="0"/>
              <w:autoSpaceDN w:val="0"/>
              <w:adjustRightInd w:val="0"/>
              <w:jc w:val="both"/>
              <w:rPr>
                <w:rFonts w:ascii="Times New Roman" w:hAnsi="Times New Roman" w:cs="Times New Roman"/>
                <w:bCs/>
              </w:rPr>
            </w:pPr>
            <w:r w:rsidRPr="00DC5A29">
              <w:rPr>
                <w:rFonts w:ascii="Times New Roman" w:hAnsi="Times New Roman" w:cs="Times New Roman"/>
                <w:bCs/>
              </w:rPr>
              <w:t>(стр. 2 * показатель ИПЦ на 2022 год 104,0% (по данным Министерства экономического развития Тверской области)</w:t>
            </w:r>
          </w:p>
        </w:tc>
        <w:tc>
          <w:tcPr>
            <w:tcW w:w="2410" w:type="dxa"/>
          </w:tcPr>
          <w:p w:rsidR="00DC5A29" w:rsidRPr="00DC5A29" w:rsidRDefault="00DC5A29" w:rsidP="00DC5A29">
            <w:pPr>
              <w:autoSpaceDE w:val="0"/>
              <w:autoSpaceDN w:val="0"/>
              <w:adjustRightInd w:val="0"/>
              <w:jc w:val="center"/>
              <w:rPr>
                <w:rFonts w:ascii="Times New Roman" w:hAnsi="Times New Roman" w:cs="Times New Roman"/>
                <w:bCs/>
              </w:rPr>
            </w:pPr>
            <w:r w:rsidRPr="00DC5A29">
              <w:rPr>
                <w:rFonts w:ascii="Times New Roman" w:hAnsi="Times New Roman" w:cs="Times New Roman"/>
                <w:bCs/>
              </w:rPr>
              <w:t>2 476 510</w:t>
            </w:r>
          </w:p>
        </w:tc>
      </w:tr>
      <w:tr w:rsidR="00DC5A29" w:rsidRPr="00DC5A29" w:rsidTr="00E8053F">
        <w:tc>
          <w:tcPr>
            <w:tcW w:w="846" w:type="dxa"/>
          </w:tcPr>
          <w:p w:rsidR="00DC5A29" w:rsidRPr="00DC5A29" w:rsidRDefault="00DC5A29" w:rsidP="00DC5A29">
            <w:pPr>
              <w:autoSpaceDE w:val="0"/>
              <w:autoSpaceDN w:val="0"/>
              <w:adjustRightInd w:val="0"/>
              <w:jc w:val="center"/>
              <w:rPr>
                <w:rFonts w:ascii="Times New Roman" w:hAnsi="Times New Roman" w:cs="Times New Roman"/>
                <w:bCs/>
              </w:rPr>
            </w:pPr>
            <w:r w:rsidRPr="00DC5A29">
              <w:rPr>
                <w:rFonts w:ascii="Times New Roman" w:hAnsi="Times New Roman" w:cs="Times New Roman"/>
                <w:bCs/>
              </w:rPr>
              <w:t>6</w:t>
            </w:r>
          </w:p>
        </w:tc>
        <w:tc>
          <w:tcPr>
            <w:tcW w:w="6520" w:type="dxa"/>
          </w:tcPr>
          <w:p w:rsidR="00DC5A29" w:rsidRPr="00DC5A29" w:rsidRDefault="00DC5A29" w:rsidP="00DC5A29">
            <w:pPr>
              <w:autoSpaceDE w:val="0"/>
              <w:autoSpaceDN w:val="0"/>
              <w:adjustRightInd w:val="0"/>
              <w:jc w:val="both"/>
              <w:rPr>
                <w:rFonts w:ascii="Times New Roman" w:hAnsi="Times New Roman" w:cs="Times New Roman"/>
                <w:bCs/>
              </w:rPr>
            </w:pPr>
            <w:r w:rsidRPr="00DC5A29">
              <w:rPr>
                <w:rFonts w:ascii="Times New Roman" w:hAnsi="Times New Roman" w:cs="Times New Roman"/>
                <w:bCs/>
              </w:rPr>
              <w:t xml:space="preserve">Сумма исчисленного налога </w:t>
            </w:r>
          </w:p>
          <w:p w:rsidR="00DC5A29" w:rsidRPr="00DC5A29" w:rsidRDefault="00DC5A29" w:rsidP="00C8031B">
            <w:pPr>
              <w:autoSpaceDE w:val="0"/>
              <w:autoSpaceDN w:val="0"/>
              <w:adjustRightInd w:val="0"/>
              <w:jc w:val="both"/>
              <w:rPr>
                <w:rFonts w:ascii="Times New Roman" w:hAnsi="Times New Roman" w:cs="Times New Roman"/>
                <w:bCs/>
              </w:rPr>
            </w:pPr>
            <w:r w:rsidRPr="00DC5A29">
              <w:rPr>
                <w:rFonts w:ascii="Times New Roman" w:hAnsi="Times New Roman" w:cs="Times New Roman"/>
                <w:bCs/>
              </w:rPr>
              <w:t xml:space="preserve">(стр.5 * эффективную налоговую ставку 5,1% (по данным </w:t>
            </w:r>
            <w:r w:rsidR="00C8031B">
              <w:rPr>
                <w:rFonts w:ascii="Times New Roman" w:hAnsi="Times New Roman" w:cs="Times New Roman"/>
                <w:bCs/>
              </w:rPr>
              <w:t xml:space="preserve">главного администратора доходов по данным </w:t>
            </w:r>
            <w:r w:rsidRPr="00DC5A29">
              <w:rPr>
                <w:rFonts w:ascii="Times New Roman" w:hAnsi="Times New Roman" w:cs="Times New Roman"/>
                <w:bCs/>
              </w:rPr>
              <w:t>информационного налогового ресурса)</w:t>
            </w:r>
          </w:p>
        </w:tc>
        <w:tc>
          <w:tcPr>
            <w:tcW w:w="2410" w:type="dxa"/>
          </w:tcPr>
          <w:p w:rsidR="00DC5A29" w:rsidRPr="00DC5A29" w:rsidRDefault="00DC5A29" w:rsidP="00DC5A29">
            <w:pPr>
              <w:autoSpaceDE w:val="0"/>
              <w:autoSpaceDN w:val="0"/>
              <w:adjustRightInd w:val="0"/>
              <w:jc w:val="center"/>
              <w:rPr>
                <w:rFonts w:ascii="Times New Roman" w:hAnsi="Times New Roman" w:cs="Times New Roman"/>
                <w:bCs/>
              </w:rPr>
            </w:pPr>
            <w:r w:rsidRPr="00DC5A29">
              <w:rPr>
                <w:rFonts w:ascii="Times New Roman" w:hAnsi="Times New Roman" w:cs="Times New Roman"/>
                <w:bCs/>
              </w:rPr>
              <w:t>126 302,0</w:t>
            </w:r>
          </w:p>
        </w:tc>
      </w:tr>
      <w:tr w:rsidR="00DC5A29" w:rsidRPr="00DC5A29" w:rsidTr="00E8053F">
        <w:tc>
          <w:tcPr>
            <w:tcW w:w="846" w:type="dxa"/>
          </w:tcPr>
          <w:p w:rsidR="00DC5A29" w:rsidRPr="00DC5A29" w:rsidRDefault="00DC5A29" w:rsidP="00DC5A29">
            <w:pPr>
              <w:autoSpaceDE w:val="0"/>
              <w:autoSpaceDN w:val="0"/>
              <w:adjustRightInd w:val="0"/>
              <w:jc w:val="center"/>
              <w:rPr>
                <w:rFonts w:ascii="Times New Roman" w:hAnsi="Times New Roman" w:cs="Times New Roman"/>
                <w:bCs/>
              </w:rPr>
            </w:pPr>
            <w:r w:rsidRPr="00DC5A29">
              <w:rPr>
                <w:rFonts w:ascii="Times New Roman" w:hAnsi="Times New Roman" w:cs="Times New Roman"/>
                <w:bCs/>
              </w:rPr>
              <w:t>7</w:t>
            </w:r>
          </w:p>
        </w:tc>
        <w:tc>
          <w:tcPr>
            <w:tcW w:w="6520" w:type="dxa"/>
          </w:tcPr>
          <w:p w:rsidR="00DC5A29" w:rsidRPr="00DC5A29" w:rsidRDefault="00DC5A29" w:rsidP="00940279">
            <w:pPr>
              <w:autoSpaceDE w:val="0"/>
              <w:autoSpaceDN w:val="0"/>
              <w:adjustRightInd w:val="0"/>
              <w:jc w:val="both"/>
              <w:rPr>
                <w:rFonts w:ascii="Times New Roman" w:hAnsi="Times New Roman" w:cs="Times New Roman"/>
                <w:bCs/>
              </w:rPr>
            </w:pPr>
            <w:r w:rsidRPr="00DC5A29">
              <w:rPr>
                <w:rFonts w:ascii="Times New Roman" w:hAnsi="Times New Roman" w:cs="Times New Roman"/>
                <w:b/>
                <w:bCs/>
              </w:rPr>
              <w:t xml:space="preserve">Прогноз на 2022 год по налогу на профессиональный доход </w:t>
            </w:r>
            <w:r w:rsidR="00F1477B" w:rsidRPr="00C87AAA">
              <w:rPr>
                <w:rFonts w:ascii="Times New Roman" w:hAnsi="Times New Roman" w:cs="Times New Roman"/>
                <w:b/>
                <w:bCs/>
              </w:rPr>
              <w:t>в консолидированный бюджет Тверской области</w:t>
            </w:r>
            <w:r w:rsidR="00F1477B" w:rsidRPr="00F1477B">
              <w:rPr>
                <w:rFonts w:ascii="Times New Roman" w:hAnsi="Times New Roman" w:cs="Times New Roman"/>
                <w:bCs/>
              </w:rPr>
              <w:t xml:space="preserve"> </w:t>
            </w:r>
            <w:r w:rsidR="00F1477B">
              <w:rPr>
                <w:rFonts w:ascii="Times New Roman" w:hAnsi="Times New Roman" w:cs="Times New Roman"/>
                <w:bCs/>
              </w:rPr>
              <w:t xml:space="preserve">        </w:t>
            </w:r>
            <w:r w:rsidR="00F1477B">
              <w:rPr>
                <w:rFonts w:ascii="Times New Roman" w:hAnsi="Times New Roman" w:cs="Times New Roman"/>
                <w:b/>
                <w:bCs/>
              </w:rPr>
              <w:t xml:space="preserve"> </w:t>
            </w:r>
            <w:r w:rsidR="00F1477B">
              <w:rPr>
                <w:rFonts w:ascii="Times New Roman" w:hAnsi="Times New Roman" w:cs="Times New Roman"/>
                <w:b/>
                <w:bCs/>
              </w:rPr>
              <w:br/>
            </w:r>
            <w:r w:rsidRPr="00DC5A29">
              <w:rPr>
                <w:rFonts w:ascii="Times New Roman" w:hAnsi="Times New Roman" w:cs="Times New Roman"/>
                <w:bCs/>
              </w:rPr>
              <w:t>(стр.6 * расчетный уровень собираемости 86,6% (по форме налоговой отчетности №1-НМ на 01.06.2021 по данным главного администратора доходов) – Корректирующая сумма поступлений, учитывающая применение налогового вычета</w:t>
            </w:r>
            <w:r w:rsidR="00F1477B">
              <w:rPr>
                <w:rFonts w:ascii="Times New Roman" w:hAnsi="Times New Roman" w:cs="Times New Roman"/>
                <w:bCs/>
              </w:rPr>
              <w:t xml:space="preserve"> </w:t>
            </w:r>
            <w:r w:rsidRPr="00DC5A29">
              <w:rPr>
                <w:rFonts w:ascii="Times New Roman" w:hAnsi="Times New Roman" w:cs="Times New Roman"/>
                <w:bCs/>
              </w:rPr>
              <w:t xml:space="preserve"> (-44 079,0 тыс. руб.) * норматив зачисления в консолидированный бюджет субъекта 63%</w:t>
            </w:r>
            <w:r w:rsidR="00940279">
              <w:rPr>
                <w:rFonts w:ascii="Times New Roman" w:hAnsi="Times New Roman" w:cs="Times New Roman"/>
                <w:bCs/>
              </w:rPr>
              <w:t>, в том числе:</w:t>
            </w:r>
          </w:p>
        </w:tc>
        <w:tc>
          <w:tcPr>
            <w:tcW w:w="2410" w:type="dxa"/>
          </w:tcPr>
          <w:p w:rsidR="00DC5A29" w:rsidRPr="00DC5A29" w:rsidRDefault="00DC5A29" w:rsidP="00DC5A29">
            <w:pPr>
              <w:autoSpaceDE w:val="0"/>
              <w:autoSpaceDN w:val="0"/>
              <w:adjustRightInd w:val="0"/>
              <w:jc w:val="center"/>
              <w:rPr>
                <w:rFonts w:ascii="Times New Roman" w:hAnsi="Times New Roman" w:cs="Times New Roman"/>
                <w:b/>
                <w:bCs/>
              </w:rPr>
            </w:pPr>
            <w:r w:rsidRPr="00DC5A29">
              <w:rPr>
                <w:rFonts w:ascii="Times New Roman" w:hAnsi="Times New Roman" w:cs="Times New Roman"/>
                <w:b/>
                <w:bCs/>
              </w:rPr>
              <w:t>41 138,0</w:t>
            </w:r>
          </w:p>
        </w:tc>
      </w:tr>
      <w:tr w:rsidR="00940279" w:rsidRPr="00DC5A29" w:rsidTr="00E8053F">
        <w:tc>
          <w:tcPr>
            <w:tcW w:w="846" w:type="dxa"/>
          </w:tcPr>
          <w:p w:rsidR="00940279" w:rsidRPr="00C87AAA" w:rsidRDefault="00C87AAA" w:rsidP="00DC5A29">
            <w:pPr>
              <w:autoSpaceDE w:val="0"/>
              <w:autoSpaceDN w:val="0"/>
              <w:adjustRightInd w:val="0"/>
              <w:jc w:val="center"/>
              <w:rPr>
                <w:rFonts w:ascii="Times New Roman" w:hAnsi="Times New Roman" w:cs="Times New Roman"/>
                <w:bCs/>
              </w:rPr>
            </w:pPr>
            <w:r w:rsidRPr="00C87AAA">
              <w:rPr>
                <w:rFonts w:ascii="Times New Roman" w:hAnsi="Times New Roman" w:cs="Times New Roman"/>
                <w:bCs/>
              </w:rPr>
              <w:lastRenderedPageBreak/>
              <w:t>7.1</w:t>
            </w:r>
          </w:p>
        </w:tc>
        <w:tc>
          <w:tcPr>
            <w:tcW w:w="6520" w:type="dxa"/>
          </w:tcPr>
          <w:p w:rsidR="00940279" w:rsidRPr="00940279" w:rsidRDefault="00EF60DD" w:rsidP="00EF60DD">
            <w:pPr>
              <w:autoSpaceDE w:val="0"/>
              <w:autoSpaceDN w:val="0"/>
              <w:adjustRightInd w:val="0"/>
              <w:jc w:val="both"/>
              <w:rPr>
                <w:rFonts w:ascii="Times New Roman" w:hAnsi="Times New Roman" w:cs="Times New Roman"/>
                <w:b/>
                <w:bCs/>
              </w:rPr>
            </w:pPr>
            <w:r w:rsidRPr="00EF60DD">
              <w:rPr>
                <w:rFonts w:ascii="Times New Roman" w:hAnsi="Times New Roman" w:cs="Times New Roman"/>
                <w:b/>
                <w:bCs/>
              </w:rPr>
              <w:t xml:space="preserve">налог на профессиональный доход </w:t>
            </w:r>
            <w:r w:rsidR="00940279">
              <w:rPr>
                <w:rFonts w:ascii="Times New Roman" w:hAnsi="Times New Roman" w:cs="Times New Roman"/>
                <w:b/>
                <w:bCs/>
              </w:rPr>
              <w:t>в</w:t>
            </w:r>
            <w:r w:rsidR="00940279" w:rsidRPr="00940279">
              <w:rPr>
                <w:rFonts w:ascii="Times New Roman" w:hAnsi="Times New Roman" w:cs="Times New Roman"/>
                <w:b/>
                <w:bCs/>
              </w:rPr>
              <w:t xml:space="preserve"> областной бюджет Тверской области</w:t>
            </w:r>
            <w:r>
              <w:rPr>
                <w:rFonts w:ascii="Times New Roman" w:hAnsi="Times New Roman" w:cs="Times New Roman"/>
                <w:b/>
                <w:bCs/>
              </w:rPr>
              <w:t xml:space="preserve"> на 2022 год</w:t>
            </w:r>
          </w:p>
        </w:tc>
        <w:tc>
          <w:tcPr>
            <w:tcW w:w="2410" w:type="dxa"/>
          </w:tcPr>
          <w:p w:rsidR="00940279" w:rsidRPr="00940279" w:rsidRDefault="00940279" w:rsidP="00DC5A29">
            <w:pPr>
              <w:autoSpaceDE w:val="0"/>
              <w:autoSpaceDN w:val="0"/>
              <w:adjustRightInd w:val="0"/>
              <w:jc w:val="center"/>
              <w:rPr>
                <w:rFonts w:ascii="Times New Roman" w:hAnsi="Times New Roman" w:cs="Times New Roman"/>
                <w:b/>
                <w:bCs/>
              </w:rPr>
            </w:pPr>
            <w:r w:rsidRPr="00940279">
              <w:rPr>
                <w:rFonts w:ascii="Times New Roman" w:hAnsi="Times New Roman" w:cs="Times New Roman"/>
                <w:b/>
                <w:bCs/>
              </w:rPr>
              <w:t>41 138,0</w:t>
            </w:r>
          </w:p>
        </w:tc>
      </w:tr>
      <w:tr w:rsidR="00DC5A29" w:rsidRPr="00DC5A29" w:rsidTr="00E8053F">
        <w:tc>
          <w:tcPr>
            <w:tcW w:w="846" w:type="dxa"/>
          </w:tcPr>
          <w:p w:rsidR="00DC5A29" w:rsidRPr="00DC5A29" w:rsidRDefault="00DC5A29" w:rsidP="00DC5A29">
            <w:pPr>
              <w:autoSpaceDE w:val="0"/>
              <w:autoSpaceDN w:val="0"/>
              <w:adjustRightInd w:val="0"/>
              <w:jc w:val="center"/>
              <w:rPr>
                <w:rFonts w:ascii="Times New Roman" w:hAnsi="Times New Roman" w:cs="Times New Roman"/>
                <w:bCs/>
              </w:rPr>
            </w:pPr>
            <w:r w:rsidRPr="00DC5A29">
              <w:rPr>
                <w:rFonts w:ascii="Times New Roman" w:hAnsi="Times New Roman" w:cs="Times New Roman"/>
                <w:bCs/>
              </w:rPr>
              <w:t>8</w:t>
            </w:r>
          </w:p>
        </w:tc>
        <w:tc>
          <w:tcPr>
            <w:tcW w:w="6520" w:type="dxa"/>
          </w:tcPr>
          <w:p w:rsidR="00DC5A29" w:rsidRPr="00DC5A29" w:rsidRDefault="00DC5A29" w:rsidP="00DC5A29">
            <w:pPr>
              <w:autoSpaceDE w:val="0"/>
              <w:autoSpaceDN w:val="0"/>
              <w:adjustRightInd w:val="0"/>
              <w:jc w:val="both"/>
              <w:rPr>
                <w:rFonts w:ascii="Times New Roman" w:hAnsi="Times New Roman" w:cs="Times New Roman"/>
                <w:bCs/>
              </w:rPr>
            </w:pPr>
            <w:r w:rsidRPr="00DC5A29">
              <w:rPr>
                <w:rFonts w:ascii="Times New Roman" w:hAnsi="Times New Roman" w:cs="Times New Roman"/>
                <w:bCs/>
              </w:rPr>
              <w:t>Налоговая база (сумма полученного дохода от реализации товаров (работ, услуг, имущественных прав) на 2023 год</w:t>
            </w:r>
          </w:p>
          <w:p w:rsidR="00DC5A29" w:rsidRPr="00DC5A29" w:rsidRDefault="00DC5A29" w:rsidP="00DC5A29">
            <w:pPr>
              <w:autoSpaceDE w:val="0"/>
              <w:autoSpaceDN w:val="0"/>
              <w:adjustRightInd w:val="0"/>
              <w:jc w:val="both"/>
              <w:rPr>
                <w:rFonts w:ascii="Times New Roman" w:hAnsi="Times New Roman" w:cs="Times New Roman"/>
                <w:bCs/>
              </w:rPr>
            </w:pPr>
            <w:r w:rsidRPr="00DC5A29">
              <w:rPr>
                <w:rFonts w:ascii="Times New Roman" w:hAnsi="Times New Roman" w:cs="Times New Roman"/>
                <w:bCs/>
              </w:rPr>
              <w:t>(стр. 5 * показатель ИПЦ на 2023 год 104,0% (по данным Министерства экономического развития Тверской области)</w:t>
            </w:r>
          </w:p>
        </w:tc>
        <w:tc>
          <w:tcPr>
            <w:tcW w:w="2410" w:type="dxa"/>
          </w:tcPr>
          <w:p w:rsidR="00DC5A29" w:rsidRPr="00DC5A29" w:rsidRDefault="00DC5A29" w:rsidP="00DC5A29">
            <w:pPr>
              <w:autoSpaceDE w:val="0"/>
              <w:autoSpaceDN w:val="0"/>
              <w:adjustRightInd w:val="0"/>
              <w:jc w:val="center"/>
              <w:rPr>
                <w:rFonts w:ascii="Times New Roman" w:hAnsi="Times New Roman" w:cs="Times New Roman"/>
                <w:bCs/>
              </w:rPr>
            </w:pPr>
            <w:r w:rsidRPr="00DC5A29">
              <w:rPr>
                <w:rFonts w:ascii="Times New Roman" w:hAnsi="Times New Roman" w:cs="Times New Roman"/>
                <w:bCs/>
              </w:rPr>
              <w:t xml:space="preserve">2 575 570 </w:t>
            </w:r>
          </w:p>
        </w:tc>
      </w:tr>
      <w:tr w:rsidR="00DC5A29" w:rsidRPr="00DC5A29" w:rsidTr="00E8053F">
        <w:tc>
          <w:tcPr>
            <w:tcW w:w="846" w:type="dxa"/>
          </w:tcPr>
          <w:p w:rsidR="00DC5A29" w:rsidRPr="00DC5A29" w:rsidRDefault="00DC5A29" w:rsidP="00DC5A29">
            <w:pPr>
              <w:autoSpaceDE w:val="0"/>
              <w:autoSpaceDN w:val="0"/>
              <w:adjustRightInd w:val="0"/>
              <w:jc w:val="center"/>
              <w:rPr>
                <w:rFonts w:ascii="Times New Roman" w:hAnsi="Times New Roman" w:cs="Times New Roman"/>
                <w:bCs/>
              </w:rPr>
            </w:pPr>
            <w:r w:rsidRPr="00DC5A29">
              <w:rPr>
                <w:rFonts w:ascii="Times New Roman" w:hAnsi="Times New Roman" w:cs="Times New Roman"/>
                <w:bCs/>
              </w:rPr>
              <w:t>9</w:t>
            </w:r>
          </w:p>
        </w:tc>
        <w:tc>
          <w:tcPr>
            <w:tcW w:w="6520" w:type="dxa"/>
          </w:tcPr>
          <w:p w:rsidR="00DC5A29" w:rsidRPr="00DC5A29" w:rsidRDefault="00DC5A29" w:rsidP="00DC5A29">
            <w:pPr>
              <w:autoSpaceDE w:val="0"/>
              <w:autoSpaceDN w:val="0"/>
              <w:adjustRightInd w:val="0"/>
              <w:jc w:val="both"/>
              <w:rPr>
                <w:rFonts w:ascii="Times New Roman" w:hAnsi="Times New Roman" w:cs="Times New Roman"/>
                <w:bCs/>
              </w:rPr>
            </w:pPr>
            <w:r w:rsidRPr="00DC5A29">
              <w:rPr>
                <w:rFonts w:ascii="Times New Roman" w:hAnsi="Times New Roman" w:cs="Times New Roman"/>
                <w:bCs/>
              </w:rPr>
              <w:t xml:space="preserve">Сумма исчисленного налога </w:t>
            </w:r>
          </w:p>
          <w:p w:rsidR="00DC5A29" w:rsidRPr="00DC5A29" w:rsidRDefault="00DC5A29" w:rsidP="00DC5A29">
            <w:pPr>
              <w:autoSpaceDE w:val="0"/>
              <w:autoSpaceDN w:val="0"/>
              <w:adjustRightInd w:val="0"/>
              <w:jc w:val="both"/>
              <w:rPr>
                <w:rFonts w:ascii="Times New Roman" w:hAnsi="Times New Roman" w:cs="Times New Roman"/>
                <w:bCs/>
              </w:rPr>
            </w:pPr>
            <w:r w:rsidRPr="00DC5A29">
              <w:rPr>
                <w:rFonts w:ascii="Times New Roman" w:hAnsi="Times New Roman" w:cs="Times New Roman"/>
                <w:bCs/>
              </w:rPr>
              <w:t>(стр.8 * эффективную налоговую ставку 5,1% (по данным главного администратора доходов)</w:t>
            </w:r>
          </w:p>
        </w:tc>
        <w:tc>
          <w:tcPr>
            <w:tcW w:w="2410" w:type="dxa"/>
          </w:tcPr>
          <w:p w:rsidR="00DC5A29" w:rsidRPr="00DC5A29" w:rsidRDefault="00DC5A29" w:rsidP="00DC5A29">
            <w:pPr>
              <w:autoSpaceDE w:val="0"/>
              <w:autoSpaceDN w:val="0"/>
              <w:adjustRightInd w:val="0"/>
              <w:jc w:val="center"/>
              <w:rPr>
                <w:rFonts w:ascii="Times New Roman" w:hAnsi="Times New Roman" w:cs="Times New Roman"/>
                <w:bCs/>
              </w:rPr>
            </w:pPr>
            <w:r w:rsidRPr="00DC5A29">
              <w:rPr>
                <w:rFonts w:ascii="Times New Roman" w:hAnsi="Times New Roman" w:cs="Times New Roman"/>
                <w:bCs/>
              </w:rPr>
              <w:t>131 354,0</w:t>
            </w:r>
          </w:p>
        </w:tc>
      </w:tr>
      <w:tr w:rsidR="00DC5A29" w:rsidRPr="00DC5A29" w:rsidTr="00E8053F">
        <w:tc>
          <w:tcPr>
            <w:tcW w:w="846" w:type="dxa"/>
          </w:tcPr>
          <w:p w:rsidR="00DC5A29" w:rsidRPr="00DC5A29" w:rsidRDefault="00DC5A29" w:rsidP="00DC5A29">
            <w:pPr>
              <w:autoSpaceDE w:val="0"/>
              <w:autoSpaceDN w:val="0"/>
              <w:adjustRightInd w:val="0"/>
              <w:jc w:val="center"/>
              <w:rPr>
                <w:rFonts w:ascii="Times New Roman" w:hAnsi="Times New Roman" w:cs="Times New Roman"/>
                <w:bCs/>
              </w:rPr>
            </w:pPr>
            <w:r w:rsidRPr="00DC5A29">
              <w:rPr>
                <w:rFonts w:ascii="Times New Roman" w:hAnsi="Times New Roman" w:cs="Times New Roman"/>
                <w:bCs/>
              </w:rPr>
              <w:t>10</w:t>
            </w:r>
          </w:p>
        </w:tc>
        <w:tc>
          <w:tcPr>
            <w:tcW w:w="6520" w:type="dxa"/>
          </w:tcPr>
          <w:p w:rsidR="00DC5A29" w:rsidRPr="00DC5A29" w:rsidRDefault="00DC5A29" w:rsidP="00D07C69">
            <w:pPr>
              <w:autoSpaceDE w:val="0"/>
              <w:autoSpaceDN w:val="0"/>
              <w:adjustRightInd w:val="0"/>
              <w:jc w:val="both"/>
              <w:rPr>
                <w:rFonts w:ascii="Times New Roman" w:hAnsi="Times New Roman" w:cs="Times New Roman"/>
                <w:bCs/>
              </w:rPr>
            </w:pPr>
            <w:r w:rsidRPr="00DC5A29">
              <w:rPr>
                <w:rFonts w:ascii="Times New Roman" w:hAnsi="Times New Roman" w:cs="Times New Roman"/>
                <w:b/>
                <w:bCs/>
              </w:rPr>
              <w:t xml:space="preserve">Прогноз на 2023 год по налогу на профессиональный доход </w:t>
            </w:r>
            <w:r w:rsidR="00F1477B" w:rsidRPr="00C87AAA">
              <w:rPr>
                <w:rFonts w:ascii="Times New Roman" w:hAnsi="Times New Roman" w:cs="Times New Roman"/>
                <w:b/>
                <w:bCs/>
              </w:rPr>
              <w:t>в консолидированный бюджет Тверской области</w:t>
            </w:r>
            <w:r w:rsidR="00F1477B">
              <w:rPr>
                <w:rFonts w:ascii="Times New Roman" w:hAnsi="Times New Roman" w:cs="Times New Roman"/>
                <w:bCs/>
              </w:rPr>
              <w:t xml:space="preserve">                </w:t>
            </w:r>
            <w:r w:rsidR="00F1477B" w:rsidRPr="00F1477B">
              <w:rPr>
                <w:rFonts w:ascii="Times New Roman" w:hAnsi="Times New Roman" w:cs="Times New Roman"/>
                <w:bCs/>
              </w:rPr>
              <w:t xml:space="preserve"> </w:t>
            </w:r>
            <w:r w:rsidRPr="00DC5A29">
              <w:rPr>
                <w:rFonts w:ascii="Times New Roman" w:hAnsi="Times New Roman" w:cs="Times New Roman"/>
                <w:bCs/>
              </w:rPr>
              <w:t>(стр.9 * расчетный уровень собираемости 86,6% (по данным главного администратора доходов) – Корректирующая сумма поступлений, учитывающая применение налогового вычета (-45 843,0 тыс. руб.) * норматив зачисления в консолидированный бюджет субъекта 63%</w:t>
            </w:r>
            <w:r w:rsidR="00D07C69">
              <w:rPr>
                <w:rFonts w:ascii="Times New Roman" w:hAnsi="Times New Roman" w:cs="Times New Roman"/>
                <w:bCs/>
              </w:rPr>
              <w:t>, в том числе:</w:t>
            </w:r>
          </w:p>
        </w:tc>
        <w:tc>
          <w:tcPr>
            <w:tcW w:w="2410" w:type="dxa"/>
          </w:tcPr>
          <w:p w:rsidR="00DC5A29" w:rsidRPr="00DC5A29" w:rsidRDefault="00DC5A29" w:rsidP="00DC5A29">
            <w:pPr>
              <w:autoSpaceDE w:val="0"/>
              <w:autoSpaceDN w:val="0"/>
              <w:adjustRightInd w:val="0"/>
              <w:jc w:val="center"/>
              <w:rPr>
                <w:rFonts w:ascii="Times New Roman" w:hAnsi="Times New Roman" w:cs="Times New Roman"/>
                <w:b/>
                <w:bCs/>
              </w:rPr>
            </w:pPr>
            <w:r w:rsidRPr="00DC5A29">
              <w:rPr>
                <w:rFonts w:ascii="Times New Roman" w:hAnsi="Times New Roman" w:cs="Times New Roman"/>
                <w:b/>
                <w:bCs/>
              </w:rPr>
              <w:t>42 783,0</w:t>
            </w:r>
          </w:p>
          <w:p w:rsidR="00DC5A29" w:rsidRPr="00DC5A29" w:rsidRDefault="00DC5A29" w:rsidP="00D07C69">
            <w:pPr>
              <w:autoSpaceDE w:val="0"/>
              <w:autoSpaceDN w:val="0"/>
              <w:adjustRightInd w:val="0"/>
              <w:rPr>
                <w:rFonts w:ascii="Times New Roman" w:hAnsi="Times New Roman" w:cs="Times New Roman"/>
                <w:bCs/>
              </w:rPr>
            </w:pPr>
          </w:p>
        </w:tc>
      </w:tr>
      <w:tr w:rsidR="00D07C69" w:rsidRPr="00DC5A29" w:rsidTr="00E8053F">
        <w:tc>
          <w:tcPr>
            <w:tcW w:w="846" w:type="dxa"/>
          </w:tcPr>
          <w:p w:rsidR="00D07C69" w:rsidRPr="00C87AAA" w:rsidRDefault="00C87AAA" w:rsidP="00DC5A29">
            <w:pPr>
              <w:autoSpaceDE w:val="0"/>
              <w:autoSpaceDN w:val="0"/>
              <w:adjustRightInd w:val="0"/>
              <w:jc w:val="center"/>
              <w:rPr>
                <w:rFonts w:ascii="Times New Roman" w:hAnsi="Times New Roman" w:cs="Times New Roman"/>
                <w:bCs/>
              </w:rPr>
            </w:pPr>
            <w:r w:rsidRPr="00C87AAA">
              <w:rPr>
                <w:rFonts w:ascii="Times New Roman" w:hAnsi="Times New Roman" w:cs="Times New Roman"/>
                <w:bCs/>
              </w:rPr>
              <w:t>10.1</w:t>
            </w:r>
          </w:p>
        </w:tc>
        <w:tc>
          <w:tcPr>
            <w:tcW w:w="6520" w:type="dxa"/>
          </w:tcPr>
          <w:p w:rsidR="00D07C69" w:rsidRPr="00D07C69" w:rsidRDefault="00D07C69" w:rsidP="00D07C69">
            <w:pPr>
              <w:autoSpaceDE w:val="0"/>
              <w:autoSpaceDN w:val="0"/>
              <w:adjustRightInd w:val="0"/>
              <w:jc w:val="both"/>
              <w:rPr>
                <w:rFonts w:ascii="Times New Roman" w:hAnsi="Times New Roman" w:cs="Times New Roman"/>
                <w:b/>
                <w:bCs/>
              </w:rPr>
            </w:pPr>
            <w:r w:rsidRPr="00D07C69">
              <w:rPr>
                <w:rFonts w:ascii="Times New Roman" w:hAnsi="Times New Roman" w:cs="Times New Roman"/>
                <w:b/>
                <w:bCs/>
              </w:rPr>
              <w:t>налог на профессиональный доход в областной бюджет Тверской области на 202</w:t>
            </w:r>
            <w:r>
              <w:rPr>
                <w:rFonts w:ascii="Times New Roman" w:hAnsi="Times New Roman" w:cs="Times New Roman"/>
                <w:b/>
                <w:bCs/>
              </w:rPr>
              <w:t>3</w:t>
            </w:r>
            <w:r w:rsidRPr="00D07C69">
              <w:rPr>
                <w:rFonts w:ascii="Times New Roman" w:hAnsi="Times New Roman" w:cs="Times New Roman"/>
                <w:b/>
                <w:bCs/>
              </w:rPr>
              <w:t xml:space="preserve"> год</w:t>
            </w:r>
          </w:p>
        </w:tc>
        <w:tc>
          <w:tcPr>
            <w:tcW w:w="2410" w:type="dxa"/>
          </w:tcPr>
          <w:p w:rsidR="00D07C69" w:rsidRPr="00D07C69" w:rsidRDefault="00D07C69" w:rsidP="00DC5A29">
            <w:pPr>
              <w:autoSpaceDE w:val="0"/>
              <w:autoSpaceDN w:val="0"/>
              <w:adjustRightInd w:val="0"/>
              <w:jc w:val="center"/>
              <w:rPr>
                <w:rFonts w:ascii="Times New Roman" w:hAnsi="Times New Roman" w:cs="Times New Roman"/>
                <w:b/>
                <w:bCs/>
              </w:rPr>
            </w:pPr>
            <w:r w:rsidRPr="00D07C69">
              <w:rPr>
                <w:rFonts w:ascii="Times New Roman" w:hAnsi="Times New Roman" w:cs="Times New Roman"/>
                <w:b/>
                <w:bCs/>
              </w:rPr>
              <w:t>42 783,0</w:t>
            </w:r>
          </w:p>
        </w:tc>
      </w:tr>
      <w:tr w:rsidR="00DC5A29" w:rsidRPr="00DC5A29" w:rsidTr="00E8053F">
        <w:tc>
          <w:tcPr>
            <w:tcW w:w="846" w:type="dxa"/>
          </w:tcPr>
          <w:p w:rsidR="00DC5A29" w:rsidRPr="00DC5A29" w:rsidRDefault="00DC5A29" w:rsidP="00DC5A29">
            <w:pPr>
              <w:autoSpaceDE w:val="0"/>
              <w:autoSpaceDN w:val="0"/>
              <w:adjustRightInd w:val="0"/>
              <w:jc w:val="center"/>
              <w:rPr>
                <w:rFonts w:ascii="Times New Roman" w:hAnsi="Times New Roman" w:cs="Times New Roman"/>
                <w:bCs/>
              </w:rPr>
            </w:pPr>
            <w:r w:rsidRPr="00DC5A29">
              <w:rPr>
                <w:rFonts w:ascii="Times New Roman" w:hAnsi="Times New Roman" w:cs="Times New Roman"/>
                <w:bCs/>
              </w:rPr>
              <w:t>11</w:t>
            </w:r>
          </w:p>
        </w:tc>
        <w:tc>
          <w:tcPr>
            <w:tcW w:w="6520" w:type="dxa"/>
          </w:tcPr>
          <w:p w:rsidR="00DC5A29" w:rsidRPr="00DC5A29" w:rsidRDefault="00DC5A29" w:rsidP="00DC5A29">
            <w:pPr>
              <w:autoSpaceDE w:val="0"/>
              <w:autoSpaceDN w:val="0"/>
              <w:adjustRightInd w:val="0"/>
              <w:jc w:val="both"/>
              <w:rPr>
                <w:rFonts w:ascii="Times New Roman" w:hAnsi="Times New Roman" w:cs="Times New Roman"/>
                <w:bCs/>
              </w:rPr>
            </w:pPr>
            <w:r w:rsidRPr="00DC5A29">
              <w:rPr>
                <w:rFonts w:ascii="Times New Roman" w:hAnsi="Times New Roman" w:cs="Times New Roman"/>
                <w:bCs/>
              </w:rPr>
              <w:t>Налоговая база (сумма полученного дохода от реализации товаров (работ, услуг, имущественных прав) на 2024 год</w:t>
            </w:r>
          </w:p>
          <w:p w:rsidR="00DC5A29" w:rsidRPr="00DC5A29" w:rsidRDefault="00DC5A29" w:rsidP="00DC5A29">
            <w:pPr>
              <w:autoSpaceDE w:val="0"/>
              <w:autoSpaceDN w:val="0"/>
              <w:adjustRightInd w:val="0"/>
              <w:jc w:val="both"/>
              <w:rPr>
                <w:rFonts w:ascii="Times New Roman" w:hAnsi="Times New Roman" w:cs="Times New Roman"/>
                <w:bCs/>
              </w:rPr>
            </w:pPr>
            <w:r w:rsidRPr="00DC5A29">
              <w:rPr>
                <w:rFonts w:ascii="Times New Roman" w:hAnsi="Times New Roman" w:cs="Times New Roman"/>
                <w:bCs/>
              </w:rPr>
              <w:t>(стр. 8 * показатель ИПЦ на 2024 год 104,0% (по данным Министерства экономического развития Тверской области)</w:t>
            </w:r>
          </w:p>
        </w:tc>
        <w:tc>
          <w:tcPr>
            <w:tcW w:w="2410" w:type="dxa"/>
          </w:tcPr>
          <w:p w:rsidR="00DC5A29" w:rsidRPr="00DC5A29" w:rsidRDefault="00DC5A29" w:rsidP="00DC5A29">
            <w:pPr>
              <w:autoSpaceDE w:val="0"/>
              <w:autoSpaceDN w:val="0"/>
              <w:adjustRightInd w:val="0"/>
              <w:jc w:val="center"/>
              <w:rPr>
                <w:rFonts w:ascii="Times New Roman" w:hAnsi="Times New Roman" w:cs="Times New Roman"/>
                <w:bCs/>
              </w:rPr>
            </w:pPr>
            <w:r w:rsidRPr="00DC5A29">
              <w:rPr>
                <w:rFonts w:ascii="Times New Roman" w:hAnsi="Times New Roman" w:cs="Times New Roman"/>
                <w:bCs/>
              </w:rPr>
              <w:t>2 678 593,0</w:t>
            </w:r>
          </w:p>
        </w:tc>
      </w:tr>
      <w:tr w:rsidR="00DC5A29" w:rsidRPr="00DC5A29" w:rsidTr="00E8053F">
        <w:tc>
          <w:tcPr>
            <w:tcW w:w="846" w:type="dxa"/>
          </w:tcPr>
          <w:p w:rsidR="00DC5A29" w:rsidRPr="00DC5A29" w:rsidRDefault="00DC5A29" w:rsidP="00DC5A29">
            <w:pPr>
              <w:autoSpaceDE w:val="0"/>
              <w:autoSpaceDN w:val="0"/>
              <w:adjustRightInd w:val="0"/>
              <w:jc w:val="center"/>
              <w:rPr>
                <w:rFonts w:ascii="Times New Roman" w:hAnsi="Times New Roman" w:cs="Times New Roman"/>
                <w:bCs/>
              </w:rPr>
            </w:pPr>
            <w:r w:rsidRPr="00DC5A29">
              <w:rPr>
                <w:rFonts w:ascii="Times New Roman" w:hAnsi="Times New Roman" w:cs="Times New Roman"/>
                <w:bCs/>
              </w:rPr>
              <w:t>12</w:t>
            </w:r>
          </w:p>
        </w:tc>
        <w:tc>
          <w:tcPr>
            <w:tcW w:w="6520" w:type="dxa"/>
          </w:tcPr>
          <w:p w:rsidR="00DC5A29" w:rsidRPr="00DC5A29" w:rsidRDefault="00DC5A29" w:rsidP="00E8053F">
            <w:pPr>
              <w:autoSpaceDE w:val="0"/>
              <w:autoSpaceDN w:val="0"/>
              <w:adjustRightInd w:val="0"/>
              <w:jc w:val="both"/>
              <w:rPr>
                <w:rFonts w:ascii="Times New Roman" w:hAnsi="Times New Roman" w:cs="Times New Roman"/>
                <w:bCs/>
              </w:rPr>
            </w:pPr>
            <w:r w:rsidRPr="00DC5A29">
              <w:rPr>
                <w:rFonts w:ascii="Times New Roman" w:hAnsi="Times New Roman" w:cs="Times New Roman"/>
                <w:bCs/>
              </w:rPr>
              <w:t>Сумма исчисленного налога (стр.11 * эффективную налоговую ставку 5,1% (по данным главного администратора доходов)</w:t>
            </w:r>
          </w:p>
        </w:tc>
        <w:tc>
          <w:tcPr>
            <w:tcW w:w="2410" w:type="dxa"/>
          </w:tcPr>
          <w:p w:rsidR="00DC5A29" w:rsidRPr="00DC5A29" w:rsidRDefault="00DC5A29" w:rsidP="00DC5A29">
            <w:pPr>
              <w:autoSpaceDE w:val="0"/>
              <w:autoSpaceDN w:val="0"/>
              <w:adjustRightInd w:val="0"/>
              <w:jc w:val="center"/>
              <w:rPr>
                <w:rFonts w:ascii="Times New Roman" w:hAnsi="Times New Roman" w:cs="Times New Roman"/>
                <w:bCs/>
              </w:rPr>
            </w:pPr>
            <w:r w:rsidRPr="00DC5A29">
              <w:rPr>
                <w:rFonts w:ascii="Times New Roman" w:hAnsi="Times New Roman" w:cs="Times New Roman"/>
                <w:bCs/>
              </w:rPr>
              <w:t>136 608,0</w:t>
            </w:r>
          </w:p>
        </w:tc>
      </w:tr>
      <w:tr w:rsidR="00DC5A29" w:rsidRPr="00DC5A29" w:rsidTr="00E8053F">
        <w:tc>
          <w:tcPr>
            <w:tcW w:w="846" w:type="dxa"/>
          </w:tcPr>
          <w:p w:rsidR="00DC5A29" w:rsidRPr="00DC5A29" w:rsidRDefault="00DC5A29" w:rsidP="00DC5A29">
            <w:pPr>
              <w:autoSpaceDE w:val="0"/>
              <w:autoSpaceDN w:val="0"/>
              <w:adjustRightInd w:val="0"/>
              <w:jc w:val="center"/>
              <w:rPr>
                <w:rFonts w:ascii="Times New Roman" w:hAnsi="Times New Roman" w:cs="Times New Roman"/>
                <w:bCs/>
              </w:rPr>
            </w:pPr>
            <w:r w:rsidRPr="00DC5A29">
              <w:rPr>
                <w:rFonts w:ascii="Times New Roman" w:hAnsi="Times New Roman" w:cs="Times New Roman"/>
                <w:bCs/>
              </w:rPr>
              <w:t>13</w:t>
            </w:r>
          </w:p>
        </w:tc>
        <w:tc>
          <w:tcPr>
            <w:tcW w:w="6520" w:type="dxa"/>
          </w:tcPr>
          <w:p w:rsidR="00DC5A29" w:rsidRPr="00DC5A29" w:rsidRDefault="00DC5A29" w:rsidP="00214C63">
            <w:pPr>
              <w:autoSpaceDE w:val="0"/>
              <w:autoSpaceDN w:val="0"/>
              <w:adjustRightInd w:val="0"/>
              <w:jc w:val="both"/>
              <w:rPr>
                <w:rFonts w:ascii="Times New Roman" w:hAnsi="Times New Roman" w:cs="Times New Roman"/>
                <w:bCs/>
              </w:rPr>
            </w:pPr>
            <w:r w:rsidRPr="00DC5A29">
              <w:rPr>
                <w:rFonts w:ascii="Times New Roman" w:hAnsi="Times New Roman" w:cs="Times New Roman"/>
                <w:b/>
                <w:bCs/>
              </w:rPr>
              <w:t xml:space="preserve">Прогноз на 2024 год по налогу на профессиональный доход </w:t>
            </w:r>
            <w:r w:rsidR="00F1477B" w:rsidRPr="00C87AAA">
              <w:rPr>
                <w:rFonts w:ascii="Times New Roman" w:hAnsi="Times New Roman" w:cs="Times New Roman"/>
                <w:b/>
                <w:bCs/>
              </w:rPr>
              <w:t>в консолидированный бюджет Тверской области</w:t>
            </w:r>
            <w:r w:rsidR="00F1477B">
              <w:rPr>
                <w:rFonts w:ascii="Times New Roman" w:hAnsi="Times New Roman" w:cs="Times New Roman"/>
                <w:bCs/>
              </w:rPr>
              <w:br/>
            </w:r>
            <w:r w:rsidRPr="00DC5A29">
              <w:rPr>
                <w:rFonts w:ascii="Times New Roman" w:hAnsi="Times New Roman" w:cs="Times New Roman"/>
                <w:bCs/>
              </w:rPr>
              <w:t>(стр.12 * расчетный уровень собираемости 86,6% (по данным главного администратора доходов) – Корректирующая сумма поступлений, учитывающая применение налогового вычета</w:t>
            </w:r>
            <w:r w:rsidR="00214C63">
              <w:rPr>
                <w:rFonts w:ascii="Times New Roman" w:hAnsi="Times New Roman" w:cs="Times New Roman"/>
                <w:bCs/>
              </w:rPr>
              <w:br/>
            </w:r>
            <w:r w:rsidRPr="00DC5A29">
              <w:rPr>
                <w:rFonts w:ascii="Times New Roman" w:hAnsi="Times New Roman" w:cs="Times New Roman"/>
                <w:bCs/>
              </w:rPr>
              <w:t>(-47 676,0 тыс. руб.) * норматив зачисления в консолидированный бюджет субъекта 63%</w:t>
            </w:r>
          </w:p>
        </w:tc>
        <w:tc>
          <w:tcPr>
            <w:tcW w:w="2410" w:type="dxa"/>
          </w:tcPr>
          <w:p w:rsidR="00DC5A29" w:rsidRPr="00DC5A29" w:rsidRDefault="00DC5A29" w:rsidP="00DC5A29">
            <w:pPr>
              <w:autoSpaceDE w:val="0"/>
              <w:autoSpaceDN w:val="0"/>
              <w:adjustRightInd w:val="0"/>
              <w:jc w:val="center"/>
              <w:rPr>
                <w:rFonts w:ascii="Times New Roman" w:hAnsi="Times New Roman" w:cs="Times New Roman"/>
                <w:b/>
                <w:bCs/>
              </w:rPr>
            </w:pPr>
            <w:r w:rsidRPr="00DC5A29">
              <w:rPr>
                <w:rFonts w:ascii="Times New Roman" w:hAnsi="Times New Roman" w:cs="Times New Roman"/>
                <w:b/>
                <w:bCs/>
              </w:rPr>
              <w:t>44 495,0</w:t>
            </w:r>
          </w:p>
        </w:tc>
      </w:tr>
      <w:tr w:rsidR="00C87AAA" w:rsidRPr="00DC5A29" w:rsidTr="00E8053F">
        <w:tc>
          <w:tcPr>
            <w:tcW w:w="846" w:type="dxa"/>
          </w:tcPr>
          <w:p w:rsidR="00C87AAA" w:rsidRPr="00C87AAA" w:rsidRDefault="00C87AAA" w:rsidP="00DC5A29">
            <w:pPr>
              <w:autoSpaceDE w:val="0"/>
              <w:autoSpaceDN w:val="0"/>
              <w:adjustRightInd w:val="0"/>
              <w:jc w:val="center"/>
              <w:rPr>
                <w:rFonts w:ascii="Times New Roman" w:hAnsi="Times New Roman" w:cs="Times New Roman"/>
                <w:bCs/>
              </w:rPr>
            </w:pPr>
            <w:r w:rsidRPr="00C87AAA">
              <w:rPr>
                <w:rFonts w:ascii="Times New Roman" w:hAnsi="Times New Roman" w:cs="Times New Roman"/>
                <w:bCs/>
              </w:rPr>
              <w:t>13.1</w:t>
            </w:r>
          </w:p>
        </w:tc>
        <w:tc>
          <w:tcPr>
            <w:tcW w:w="6520" w:type="dxa"/>
          </w:tcPr>
          <w:p w:rsidR="00C87AAA" w:rsidRPr="00C87AAA" w:rsidRDefault="00C87AAA" w:rsidP="00C87AAA">
            <w:pPr>
              <w:autoSpaceDE w:val="0"/>
              <w:autoSpaceDN w:val="0"/>
              <w:adjustRightInd w:val="0"/>
              <w:jc w:val="both"/>
              <w:rPr>
                <w:rFonts w:ascii="Times New Roman" w:hAnsi="Times New Roman" w:cs="Times New Roman"/>
                <w:b/>
                <w:bCs/>
              </w:rPr>
            </w:pPr>
            <w:r w:rsidRPr="00C87AAA">
              <w:rPr>
                <w:rFonts w:ascii="Times New Roman" w:hAnsi="Times New Roman" w:cs="Times New Roman"/>
                <w:b/>
                <w:bCs/>
              </w:rPr>
              <w:t>налог на профессиональный доход в областной бюджет Тверской области на 2024 год</w:t>
            </w:r>
          </w:p>
        </w:tc>
        <w:tc>
          <w:tcPr>
            <w:tcW w:w="2410" w:type="dxa"/>
          </w:tcPr>
          <w:p w:rsidR="00C87AAA" w:rsidRPr="00C87AAA" w:rsidRDefault="00C87AAA" w:rsidP="00DC5A29">
            <w:pPr>
              <w:autoSpaceDE w:val="0"/>
              <w:autoSpaceDN w:val="0"/>
              <w:adjustRightInd w:val="0"/>
              <w:jc w:val="center"/>
              <w:rPr>
                <w:rFonts w:ascii="Times New Roman" w:hAnsi="Times New Roman" w:cs="Times New Roman"/>
                <w:b/>
                <w:bCs/>
              </w:rPr>
            </w:pPr>
            <w:r w:rsidRPr="00C87AAA">
              <w:rPr>
                <w:rFonts w:ascii="Times New Roman" w:hAnsi="Times New Roman" w:cs="Times New Roman"/>
                <w:b/>
                <w:bCs/>
              </w:rPr>
              <w:t>44 495,0</w:t>
            </w:r>
          </w:p>
        </w:tc>
      </w:tr>
    </w:tbl>
    <w:p w:rsidR="00DC5A29" w:rsidRPr="00DC5A29" w:rsidRDefault="00DC5A29" w:rsidP="00DC5A29">
      <w:pPr>
        <w:autoSpaceDE w:val="0"/>
        <w:autoSpaceDN w:val="0"/>
        <w:adjustRightInd w:val="0"/>
        <w:ind w:firstLine="720"/>
        <w:jc w:val="both"/>
        <w:rPr>
          <w:bCs/>
          <w:sz w:val="28"/>
          <w:szCs w:val="28"/>
        </w:rPr>
      </w:pPr>
    </w:p>
    <w:p w:rsidR="00483CAD" w:rsidRPr="00483CAD" w:rsidRDefault="00483CAD" w:rsidP="00483CAD">
      <w:pPr>
        <w:jc w:val="center"/>
        <w:rPr>
          <w:b/>
          <w:sz w:val="28"/>
          <w:szCs w:val="28"/>
        </w:rPr>
      </w:pPr>
      <w:r w:rsidRPr="00483CAD">
        <w:rPr>
          <w:b/>
          <w:sz w:val="28"/>
          <w:szCs w:val="28"/>
        </w:rPr>
        <w:t>Налоги на имущество</w:t>
      </w:r>
    </w:p>
    <w:p w:rsidR="00483CAD" w:rsidRPr="00483CAD" w:rsidRDefault="00483CAD" w:rsidP="00483CAD">
      <w:pPr>
        <w:jc w:val="center"/>
        <w:rPr>
          <w:b/>
          <w:sz w:val="28"/>
          <w:szCs w:val="28"/>
        </w:rPr>
      </w:pPr>
      <w:r w:rsidRPr="00483CAD">
        <w:rPr>
          <w:b/>
          <w:sz w:val="28"/>
          <w:szCs w:val="28"/>
        </w:rPr>
        <w:t xml:space="preserve"> (000 1 06 00000 00 0000 0000)</w:t>
      </w:r>
    </w:p>
    <w:p w:rsidR="00483CAD" w:rsidRPr="00483CAD" w:rsidRDefault="00483CAD" w:rsidP="00483CAD">
      <w:pPr>
        <w:jc w:val="center"/>
        <w:rPr>
          <w:b/>
          <w:sz w:val="28"/>
          <w:szCs w:val="28"/>
        </w:rPr>
      </w:pPr>
    </w:p>
    <w:p w:rsidR="00483CAD" w:rsidRPr="00483CAD" w:rsidRDefault="00483CAD" w:rsidP="00483CAD">
      <w:pPr>
        <w:jc w:val="center"/>
        <w:rPr>
          <w:b/>
          <w:sz w:val="28"/>
          <w:szCs w:val="28"/>
        </w:rPr>
      </w:pPr>
      <w:r w:rsidRPr="00483CAD">
        <w:rPr>
          <w:b/>
          <w:sz w:val="28"/>
          <w:szCs w:val="28"/>
        </w:rPr>
        <w:t xml:space="preserve">Налог на имущество организаций </w:t>
      </w:r>
    </w:p>
    <w:p w:rsidR="00B52CDD" w:rsidRDefault="00483CAD" w:rsidP="00483CAD">
      <w:pPr>
        <w:jc w:val="center"/>
        <w:rPr>
          <w:b/>
          <w:sz w:val="28"/>
          <w:szCs w:val="28"/>
        </w:rPr>
      </w:pPr>
      <w:r w:rsidRPr="00483CAD">
        <w:rPr>
          <w:b/>
          <w:sz w:val="28"/>
          <w:szCs w:val="28"/>
        </w:rPr>
        <w:t>(000 1 06 02000 02 0000 110)</w:t>
      </w:r>
    </w:p>
    <w:p w:rsidR="00B52CDD" w:rsidRDefault="00B52CDD" w:rsidP="003E4418">
      <w:pPr>
        <w:jc w:val="center"/>
        <w:rPr>
          <w:b/>
          <w:sz w:val="28"/>
          <w:szCs w:val="28"/>
        </w:rPr>
      </w:pPr>
    </w:p>
    <w:p w:rsidR="00896F39" w:rsidRPr="00F57CF9" w:rsidRDefault="00896F39" w:rsidP="00896F39">
      <w:pPr>
        <w:jc w:val="both"/>
        <w:rPr>
          <w:sz w:val="28"/>
          <w:szCs w:val="28"/>
        </w:rPr>
      </w:pPr>
      <w:r w:rsidRPr="000C538D">
        <w:rPr>
          <w:sz w:val="28"/>
          <w:szCs w:val="28"/>
        </w:rPr>
        <w:t xml:space="preserve">             </w:t>
      </w:r>
      <w:r>
        <w:rPr>
          <w:sz w:val="28"/>
          <w:szCs w:val="28"/>
        </w:rPr>
        <w:t xml:space="preserve">Прогноз налога на имущество организаций определен главным администратором (УФНС России по Тверской области)  на 2022 год в сумме </w:t>
      </w:r>
      <w:r w:rsidR="005D49E1">
        <w:rPr>
          <w:sz w:val="28"/>
          <w:szCs w:val="28"/>
        </w:rPr>
        <w:t xml:space="preserve">              </w:t>
      </w:r>
      <w:r>
        <w:rPr>
          <w:sz w:val="28"/>
          <w:szCs w:val="28"/>
        </w:rPr>
        <w:t>7 025 916 тыс. руб., на 2023 год  7 035 475 тыс. руб., на 2024 год   7 020 278 тыс. руб.</w:t>
      </w:r>
    </w:p>
    <w:p w:rsidR="00896F39" w:rsidRDefault="00896F39" w:rsidP="00896F39">
      <w:pPr>
        <w:jc w:val="both"/>
        <w:rPr>
          <w:sz w:val="28"/>
          <w:szCs w:val="28"/>
        </w:rPr>
      </w:pPr>
      <w:r w:rsidRPr="000C538D">
        <w:rPr>
          <w:sz w:val="28"/>
          <w:szCs w:val="28"/>
        </w:rPr>
        <w:t xml:space="preserve">             Прогноз налога на имущество организаций на 20</w:t>
      </w:r>
      <w:r>
        <w:rPr>
          <w:sz w:val="28"/>
          <w:szCs w:val="28"/>
        </w:rPr>
        <w:t xml:space="preserve">22 </w:t>
      </w:r>
      <w:r w:rsidRPr="000C538D">
        <w:rPr>
          <w:sz w:val="28"/>
          <w:szCs w:val="28"/>
        </w:rPr>
        <w:t>-</w:t>
      </w:r>
      <w:r>
        <w:rPr>
          <w:sz w:val="28"/>
          <w:szCs w:val="28"/>
        </w:rPr>
        <w:t xml:space="preserve"> </w:t>
      </w:r>
      <w:r w:rsidRPr="000C538D">
        <w:rPr>
          <w:sz w:val="28"/>
          <w:szCs w:val="28"/>
        </w:rPr>
        <w:t>20</w:t>
      </w:r>
      <w:r w:rsidRPr="000521A0">
        <w:rPr>
          <w:sz w:val="28"/>
          <w:szCs w:val="28"/>
        </w:rPr>
        <w:t>2</w:t>
      </w:r>
      <w:r>
        <w:rPr>
          <w:sz w:val="28"/>
          <w:szCs w:val="28"/>
        </w:rPr>
        <w:t>4</w:t>
      </w:r>
      <w:r w:rsidRPr="000C538D">
        <w:rPr>
          <w:sz w:val="28"/>
          <w:szCs w:val="28"/>
        </w:rPr>
        <w:t xml:space="preserve"> годы произведен администратором (УФНС России по Тверской области) по</w:t>
      </w:r>
      <w:r>
        <w:rPr>
          <w:sz w:val="28"/>
          <w:szCs w:val="28"/>
        </w:rPr>
        <w:t>:</w:t>
      </w:r>
    </w:p>
    <w:p w:rsidR="00896F39" w:rsidRDefault="00896F39" w:rsidP="00896F39">
      <w:pPr>
        <w:jc w:val="both"/>
        <w:rPr>
          <w:sz w:val="28"/>
          <w:szCs w:val="28"/>
        </w:rPr>
      </w:pPr>
      <w:r>
        <w:rPr>
          <w:sz w:val="28"/>
          <w:szCs w:val="28"/>
        </w:rPr>
        <w:lastRenderedPageBreak/>
        <w:t>- данным статистического налогового отчета УФНС России по Тверской области формы № 5 - НИО «Отчет о налоговой базе и структуре начислений по налогу на имущество организаций» за 2020 год;</w:t>
      </w:r>
    </w:p>
    <w:p w:rsidR="00896F39" w:rsidRDefault="00896F39" w:rsidP="00896F39">
      <w:pPr>
        <w:jc w:val="both"/>
        <w:rPr>
          <w:sz w:val="28"/>
          <w:szCs w:val="28"/>
        </w:rPr>
      </w:pPr>
      <w:r>
        <w:rPr>
          <w:sz w:val="28"/>
          <w:szCs w:val="28"/>
        </w:rPr>
        <w:t xml:space="preserve">- </w:t>
      </w:r>
      <w:r w:rsidRPr="000C538D">
        <w:rPr>
          <w:sz w:val="28"/>
          <w:szCs w:val="28"/>
        </w:rPr>
        <w:t xml:space="preserve"> данным Министерства экономического развития Тверской области о налогооблагаемой стоимости имущества, подлежащей налогообложению</w:t>
      </w:r>
      <w:r>
        <w:rPr>
          <w:sz w:val="28"/>
          <w:szCs w:val="28"/>
        </w:rPr>
        <w:t>;</w:t>
      </w:r>
    </w:p>
    <w:p w:rsidR="00896F39" w:rsidRDefault="00896F39" w:rsidP="00896F39">
      <w:pPr>
        <w:jc w:val="both"/>
        <w:rPr>
          <w:sz w:val="28"/>
          <w:szCs w:val="28"/>
        </w:rPr>
      </w:pPr>
      <w:r>
        <w:rPr>
          <w:sz w:val="28"/>
          <w:szCs w:val="28"/>
        </w:rPr>
        <w:t xml:space="preserve">- с учетом ставок налога на имущество организаций; </w:t>
      </w:r>
    </w:p>
    <w:p w:rsidR="00896F39" w:rsidRDefault="00896F39" w:rsidP="00896F39">
      <w:pPr>
        <w:jc w:val="both"/>
        <w:rPr>
          <w:sz w:val="28"/>
          <w:szCs w:val="28"/>
        </w:rPr>
      </w:pPr>
      <w:r>
        <w:rPr>
          <w:sz w:val="28"/>
          <w:szCs w:val="28"/>
        </w:rPr>
        <w:t>- с учетом переходящих платежей;</w:t>
      </w:r>
    </w:p>
    <w:p w:rsidR="00896F39" w:rsidRDefault="00896F39" w:rsidP="00F23CF2">
      <w:pPr>
        <w:pStyle w:val="ConsPlusNormal"/>
        <w:ind w:firstLine="0"/>
        <w:jc w:val="both"/>
        <w:rPr>
          <w:rFonts w:ascii="Times New Roman" w:hAnsi="Times New Roman" w:cs="Times New Roman"/>
          <w:bCs/>
          <w:sz w:val="28"/>
          <w:szCs w:val="28"/>
        </w:rPr>
      </w:pPr>
      <w:r>
        <w:rPr>
          <w:rFonts w:ascii="Times New Roman" w:hAnsi="Times New Roman" w:cs="Times New Roman"/>
          <w:bCs/>
          <w:sz w:val="28"/>
          <w:szCs w:val="28"/>
        </w:rPr>
        <w:t>- с применением коэффициента собираем</w:t>
      </w:r>
      <w:r w:rsidR="00F23CF2">
        <w:rPr>
          <w:rFonts w:ascii="Times New Roman" w:hAnsi="Times New Roman" w:cs="Times New Roman"/>
          <w:bCs/>
          <w:sz w:val="28"/>
          <w:szCs w:val="28"/>
        </w:rPr>
        <w:t>ости в размере 97,87  процентов.</w:t>
      </w:r>
    </w:p>
    <w:p w:rsidR="009E0E03" w:rsidRDefault="009E0E03" w:rsidP="00896F39">
      <w:pPr>
        <w:jc w:val="center"/>
        <w:rPr>
          <w:sz w:val="28"/>
          <w:szCs w:val="28"/>
        </w:rPr>
      </w:pPr>
    </w:p>
    <w:p w:rsidR="009E0E03" w:rsidRDefault="009E0E03" w:rsidP="00896F39">
      <w:pPr>
        <w:jc w:val="center"/>
        <w:rPr>
          <w:sz w:val="28"/>
          <w:szCs w:val="28"/>
        </w:rPr>
      </w:pPr>
    </w:p>
    <w:p w:rsidR="00896F39" w:rsidRPr="000C538D" w:rsidRDefault="00F23CF2" w:rsidP="00896F39">
      <w:pPr>
        <w:jc w:val="center"/>
        <w:rPr>
          <w:sz w:val="28"/>
          <w:szCs w:val="28"/>
        </w:rPr>
      </w:pPr>
      <w:r>
        <w:rPr>
          <w:sz w:val="28"/>
          <w:szCs w:val="28"/>
        </w:rPr>
        <w:t>Ра</w:t>
      </w:r>
      <w:r w:rsidR="00896F39" w:rsidRPr="000C538D">
        <w:rPr>
          <w:sz w:val="28"/>
          <w:szCs w:val="28"/>
        </w:rPr>
        <w:t>счет прогноза</w:t>
      </w:r>
    </w:p>
    <w:p w:rsidR="00896F39" w:rsidRDefault="00896F39" w:rsidP="00896F39">
      <w:pPr>
        <w:jc w:val="center"/>
        <w:rPr>
          <w:sz w:val="28"/>
          <w:szCs w:val="28"/>
        </w:rPr>
      </w:pPr>
      <w:r w:rsidRPr="000C538D">
        <w:rPr>
          <w:sz w:val="28"/>
          <w:szCs w:val="28"/>
        </w:rPr>
        <w:t>налога на имущество организаций</w:t>
      </w:r>
    </w:p>
    <w:p w:rsidR="009E0E03" w:rsidRDefault="009E0E03" w:rsidP="00896F39">
      <w:pPr>
        <w:jc w:val="right"/>
        <w:rPr>
          <w:sz w:val="26"/>
          <w:szCs w:val="26"/>
        </w:rPr>
      </w:pPr>
    </w:p>
    <w:p w:rsidR="00896F39" w:rsidRDefault="00896F39" w:rsidP="00896F39">
      <w:pPr>
        <w:jc w:val="right"/>
        <w:rPr>
          <w:sz w:val="26"/>
          <w:szCs w:val="26"/>
        </w:rPr>
      </w:pPr>
      <w:r w:rsidRPr="000C538D">
        <w:rPr>
          <w:sz w:val="26"/>
          <w:szCs w:val="26"/>
        </w:rPr>
        <w:t xml:space="preserve"> (тыс. руб.)</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1276"/>
        <w:gridCol w:w="1134"/>
        <w:gridCol w:w="1276"/>
        <w:gridCol w:w="850"/>
        <w:gridCol w:w="1276"/>
        <w:gridCol w:w="709"/>
      </w:tblGrid>
      <w:tr w:rsidR="00896F39" w:rsidRPr="00554841" w:rsidTr="00E7317C">
        <w:tc>
          <w:tcPr>
            <w:tcW w:w="3085" w:type="dxa"/>
            <w:vMerge w:val="restart"/>
            <w:shd w:val="clear" w:color="auto" w:fill="auto"/>
          </w:tcPr>
          <w:p w:rsidR="00896F39" w:rsidRPr="00554841" w:rsidRDefault="00896F39" w:rsidP="00E7317C">
            <w:pPr>
              <w:ind w:firstLine="709"/>
              <w:jc w:val="both"/>
              <w:rPr>
                <w:sz w:val="20"/>
                <w:szCs w:val="20"/>
              </w:rPr>
            </w:pPr>
            <w:r w:rsidRPr="00554841">
              <w:rPr>
                <w:sz w:val="20"/>
                <w:szCs w:val="20"/>
              </w:rPr>
              <w:t>Показатели</w:t>
            </w:r>
          </w:p>
        </w:tc>
        <w:tc>
          <w:tcPr>
            <w:tcW w:w="2410" w:type="dxa"/>
            <w:gridSpan w:val="2"/>
            <w:shd w:val="clear" w:color="auto" w:fill="auto"/>
          </w:tcPr>
          <w:p w:rsidR="00896F39" w:rsidRPr="00554841" w:rsidRDefault="00896F39" w:rsidP="00E7317C">
            <w:pPr>
              <w:jc w:val="both"/>
              <w:rPr>
                <w:sz w:val="20"/>
                <w:szCs w:val="20"/>
              </w:rPr>
            </w:pPr>
            <w:r w:rsidRPr="00554841">
              <w:rPr>
                <w:sz w:val="20"/>
                <w:szCs w:val="20"/>
              </w:rPr>
              <w:t>Прогноз 202</w:t>
            </w:r>
            <w:r>
              <w:rPr>
                <w:sz w:val="20"/>
                <w:szCs w:val="20"/>
              </w:rPr>
              <w:t>2</w:t>
            </w:r>
          </w:p>
        </w:tc>
        <w:tc>
          <w:tcPr>
            <w:tcW w:w="2126" w:type="dxa"/>
            <w:gridSpan w:val="2"/>
            <w:shd w:val="clear" w:color="auto" w:fill="auto"/>
          </w:tcPr>
          <w:p w:rsidR="00896F39" w:rsidRPr="00554841" w:rsidRDefault="00896F39" w:rsidP="00E7317C">
            <w:pPr>
              <w:jc w:val="both"/>
              <w:rPr>
                <w:sz w:val="20"/>
                <w:szCs w:val="20"/>
              </w:rPr>
            </w:pPr>
            <w:r w:rsidRPr="00554841">
              <w:rPr>
                <w:sz w:val="20"/>
                <w:szCs w:val="20"/>
              </w:rPr>
              <w:t>Прогноз 202</w:t>
            </w:r>
            <w:r>
              <w:rPr>
                <w:sz w:val="20"/>
                <w:szCs w:val="20"/>
              </w:rPr>
              <w:t>3</w:t>
            </w:r>
          </w:p>
        </w:tc>
        <w:tc>
          <w:tcPr>
            <w:tcW w:w="1985" w:type="dxa"/>
            <w:gridSpan w:val="2"/>
          </w:tcPr>
          <w:p w:rsidR="00896F39" w:rsidRDefault="00896F39" w:rsidP="00E7317C">
            <w:pPr>
              <w:jc w:val="both"/>
              <w:rPr>
                <w:sz w:val="20"/>
                <w:szCs w:val="20"/>
              </w:rPr>
            </w:pPr>
            <w:r>
              <w:rPr>
                <w:sz w:val="20"/>
                <w:szCs w:val="20"/>
              </w:rPr>
              <w:t>Прогноз 2024</w:t>
            </w:r>
          </w:p>
        </w:tc>
      </w:tr>
      <w:tr w:rsidR="00896F39" w:rsidRPr="00554841" w:rsidTr="00E7317C">
        <w:trPr>
          <w:trHeight w:val="633"/>
        </w:trPr>
        <w:tc>
          <w:tcPr>
            <w:tcW w:w="3085" w:type="dxa"/>
            <w:vMerge/>
            <w:shd w:val="clear" w:color="auto" w:fill="auto"/>
          </w:tcPr>
          <w:p w:rsidR="00896F39" w:rsidRPr="00554841" w:rsidRDefault="00896F39" w:rsidP="00E7317C">
            <w:pPr>
              <w:ind w:firstLine="709"/>
              <w:jc w:val="both"/>
              <w:rPr>
                <w:sz w:val="20"/>
                <w:szCs w:val="20"/>
              </w:rPr>
            </w:pPr>
          </w:p>
        </w:tc>
        <w:tc>
          <w:tcPr>
            <w:tcW w:w="1276" w:type="dxa"/>
            <w:shd w:val="clear" w:color="auto" w:fill="auto"/>
          </w:tcPr>
          <w:p w:rsidR="00896F39" w:rsidRPr="00554841" w:rsidRDefault="008A253E" w:rsidP="00E7317C">
            <w:pPr>
              <w:jc w:val="center"/>
              <w:rPr>
                <w:sz w:val="20"/>
                <w:szCs w:val="20"/>
              </w:rPr>
            </w:pPr>
            <w:r w:rsidRPr="00554841">
              <w:rPr>
                <w:sz w:val="20"/>
                <w:szCs w:val="20"/>
              </w:rPr>
              <w:t>С</w:t>
            </w:r>
            <w:r w:rsidR="00896F39" w:rsidRPr="00554841">
              <w:rPr>
                <w:sz w:val="20"/>
                <w:szCs w:val="20"/>
              </w:rPr>
              <w:t>умма</w:t>
            </w:r>
          </w:p>
        </w:tc>
        <w:tc>
          <w:tcPr>
            <w:tcW w:w="1134" w:type="dxa"/>
            <w:shd w:val="clear" w:color="auto" w:fill="auto"/>
          </w:tcPr>
          <w:p w:rsidR="00896F39" w:rsidRPr="00554841" w:rsidRDefault="00896F39" w:rsidP="00E7317C">
            <w:pPr>
              <w:jc w:val="center"/>
              <w:rPr>
                <w:sz w:val="20"/>
                <w:szCs w:val="20"/>
              </w:rPr>
            </w:pPr>
            <w:r w:rsidRPr="00554841">
              <w:rPr>
                <w:sz w:val="20"/>
                <w:szCs w:val="20"/>
              </w:rPr>
              <w:t>темп к 202</w:t>
            </w:r>
            <w:r>
              <w:rPr>
                <w:sz w:val="20"/>
                <w:szCs w:val="20"/>
              </w:rPr>
              <w:t>1</w:t>
            </w:r>
            <w:r w:rsidRPr="00554841">
              <w:rPr>
                <w:sz w:val="20"/>
                <w:szCs w:val="20"/>
              </w:rPr>
              <w:t xml:space="preserve"> году</w:t>
            </w:r>
          </w:p>
        </w:tc>
        <w:tc>
          <w:tcPr>
            <w:tcW w:w="1276" w:type="dxa"/>
            <w:shd w:val="clear" w:color="auto" w:fill="auto"/>
          </w:tcPr>
          <w:p w:rsidR="00896F39" w:rsidRPr="00554841" w:rsidRDefault="00896F39" w:rsidP="00E7317C">
            <w:pPr>
              <w:jc w:val="center"/>
              <w:rPr>
                <w:sz w:val="20"/>
                <w:szCs w:val="20"/>
              </w:rPr>
            </w:pPr>
            <w:r w:rsidRPr="00554841">
              <w:rPr>
                <w:sz w:val="20"/>
                <w:szCs w:val="20"/>
              </w:rPr>
              <w:t>сумма</w:t>
            </w:r>
          </w:p>
        </w:tc>
        <w:tc>
          <w:tcPr>
            <w:tcW w:w="850" w:type="dxa"/>
            <w:shd w:val="clear" w:color="auto" w:fill="auto"/>
          </w:tcPr>
          <w:p w:rsidR="00896F39" w:rsidRPr="00554841" w:rsidRDefault="00896F39" w:rsidP="00E7317C">
            <w:pPr>
              <w:jc w:val="center"/>
              <w:rPr>
                <w:sz w:val="20"/>
                <w:szCs w:val="20"/>
              </w:rPr>
            </w:pPr>
            <w:r w:rsidRPr="00554841">
              <w:rPr>
                <w:sz w:val="20"/>
                <w:szCs w:val="20"/>
              </w:rPr>
              <w:t>темп к 202</w:t>
            </w:r>
            <w:r>
              <w:rPr>
                <w:sz w:val="20"/>
                <w:szCs w:val="20"/>
              </w:rPr>
              <w:t>2</w:t>
            </w:r>
            <w:r w:rsidRPr="00554841">
              <w:rPr>
                <w:sz w:val="20"/>
                <w:szCs w:val="20"/>
              </w:rPr>
              <w:t xml:space="preserve"> году</w:t>
            </w:r>
          </w:p>
        </w:tc>
        <w:tc>
          <w:tcPr>
            <w:tcW w:w="1276" w:type="dxa"/>
          </w:tcPr>
          <w:p w:rsidR="00896F39" w:rsidRPr="00554841" w:rsidRDefault="00896F39" w:rsidP="00E7317C">
            <w:pPr>
              <w:jc w:val="center"/>
              <w:rPr>
                <w:sz w:val="20"/>
                <w:szCs w:val="20"/>
              </w:rPr>
            </w:pPr>
            <w:r w:rsidRPr="00554841">
              <w:rPr>
                <w:sz w:val="20"/>
                <w:szCs w:val="20"/>
              </w:rPr>
              <w:t>сумма</w:t>
            </w:r>
          </w:p>
        </w:tc>
        <w:tc>
          <w:tcPr>
            <w:tcW w:w="709" w:type="dxa"/>
          </w:tcPr>
          <w:p w:rsidR="00896F39" w:rsidRPr="00554841" w:rsidRDefault="00896F39" w:rsidP="00E7317C">
            <w:pPr>
              <w:jc w:val="center"/>
              <w:rPr>
                <w:sz w:val="20"/>
                <w:szCs w:val="20"/>
              </w:rPr>
            </w:pPr>
            <w:r w:rsidRPr="00554841">
              <w:rPr>
                <w:sz w:val="20"/>
                <w:szCs w:val="20"/>
              </w:rPr>
              <w:t>темп к 202</w:t>
            </w:r>
            <w:r>
              <w:rPr>
                <w:sz w:val="20"/>
                <w:szCs w:val="20"/>
              </w:rPr>
              <w:t>3</w:t>
            </w:r>
            <w:r w:rsidRPr="00554841">
              <w:rPr>
                <w:sz w:val="20"/>
                <w:szCs w:val="20"/>
              </w:rPr>
              <w:t xml:space="preserve"> году</w:t>
            </w:r>
          </w:p>
        </w:tc>
      </w:tr>
      <w:tr w:rsidR="00896F39" w:rsidRPr="00DB62AE" w:rsidTr="00E7317C">
        <w:tc>
          <w:tcPr>
            <w:tcW w:w="3085" w:type="dxa"/>
            <w:shd w:val="clear" w:color="auto" w:fill="auto"/>
          </w:tcPr>
          <w:p w:rsidR="00896F39" w:rsidRPr="00DB62AE" w:rsidRDefault="00896F39" w:rsidP="005D6ACF">
            <w:pPr>
              <w:numPr>
                <w:ilvl w:val="0"/>
                <w:numId w:val="15"/>
              </w:numPr>
              <w:ind w:left="0" w:firstLine="0"/>
              <w:jc w:val="both"/>
              <w:rPr>
                <w:sz w:val="20"/>
                <w:szCs w:val="20"/>
              </w:rPr>
            </w:pPr>
            <w:r w:rsidRPr="00DB62AE">
              <w:rPr>
                <w:sz w:val="20"/>
                <w:szCs w:val="20"/>
              </w:rPr>
              <w:t>Стоимость имущества, подлежащая налогообложению.                  По данным МЭ ТО</w:t>
            </w:r>
          </w:p>
        </w:tc>
        <w:tc>
          <w:tcPr>
            <w:tcW w:w="1276" w:type="dxa"/>
            <w:shd w:val="clear" w:color="auto" w:fill="auto"/>
          </w:tcPr>
          <w:p w:rsidR="00896F39" w:rsidRPr="00DB62AE" w:rsidRDefault="00896F39" w:rsidP="00E7317C">
            <w:pPr>
              <w:jc w:val="center"/>
              <w:rPr>
                <w:sz w:val="20"/>
                <w:szCs w:val="20"/>
              </w:rPr>
            </w:pPr>
          </w:p>
          <w:p w:rsidR="00896F39" w:rsidRPr="00DB62AE" w:rsidRDefault="00896F39" w:rsidP="00E7317C">
            <w:pPr>
              <w:jc w:val="center"/>
              <w:rPr>
                <w:sz w:val="20"/>
                <w:szCs w:val="20"/>
              </w:rPr>
            </w:pPr>
            <w:r w:rsidRPr="00DB62AE">
              <w:rPr>
                <w:sz w:val="20"/>
                <w:szCs w:val="20"/>
              </w:rPr>
              <w:t>323 322 736</w:t>
            </w:r>
          </w:p>
        </w:tc>
        <w:tc>
          <w:tcPr>
            <w:tcW w:w="1134" w:type="dxa"/>
            <w:shd w:val="clear" w:color="auto" w:fill="auto"/>
          </w:tcPr>
          <w:p w:rsidR="00896F39" w:rsidRPr="00DB62AE" w:rsidRDefault="00896F39" w:rsidP="00E7317C">
            <w:pPr>
              <w:ind w:firstLine="33"/>
              <w:jc w:val="center"/>
              <w:rPr>
                <w:sz w:val="20"/>
                <w:szCs w:val="20"/>
              </w:rPr>
            </w:pPr>
          </w:p>
          <w:p w:rsidR="00896F39" w:rsidRPr="00DB62AE" w:rsidRDefault="00896F39" w:rsidP="00E7317C">
            <w:pPr>
              <w:ind w:firstLine="33"/>
              <w:jc w:val="center"/>
              <w:rPr>
                <w:sz w:val="20"/>
                <w:szCs w:val="20"/>
              </w:rPr>
            </w:pPr>
            <w:r w:rsidRPr="00DB62AE">
              <w:rPr>
                <w:sz w:val="20"/>
                <w:szCs w:val="20"/>
              </w:rPr>
              <w:t>101,7</w:t>
            </w:r>
          </w:p>
        </w:tc>
        <w:tc>
          <w:tcPr>
            <w:tcW w:w="1276" w:type="dxa"/>
            <w:shd w:val="clear" w:color="auto" w:fill="auto"/>
          </w:tcPr>
          <w:p w:rsidR="00896F39" w:rsidRPr="00DB62AE" w:rsidRDefault="00896F39" w:rsidP="00E7317C">
            <w:pPr>
              <w:jc w:val="center"/>
              <w:rPr>
                <w:sz w:val="20"/>
                <w:szCs w:val="20"/>
              </w:rPr>
            </w:pPr>
          </w:p>
          <w:p w:rsidR="00896F39" w:rsidRPr="00DB62AE" w:rsidRDefault="00896F39" w:rsidP="00E7317C">
            <w:pPr>
              <w:jc w:val="center"/>
              <w:rPr>
                <w:sz w:val="20"/>
                <w:szCs w:val="20"/>
              </w:rPr>
            </w:pPr>
            <w:r w:rsidRPr="00DB62AE">
              <w:rPr>
                <w:sz w:val="20"/>
                <w:szCs w:val="20"/>
              </w:rPr>
              <w:t>323 881 074</w:t>
            </w:r>
          </w:p>
        </w:tc>
        <w:tc>
          <w:tcPr>
            <w:tcW w:w="850" w:type="dxa"/>
            <w:shd w:val="clear" w:color="auto" w:fill="auto"/>
          </w:tcPr>
          <w:p w:rsidR="00896F39" w:rsidRPr="00DB62AE" w:rsidRDefault="00896F39" w:rsidP="00E7317C">
            <w:pPr>
              <w:ind w:firstLine="709"/>
              <w:jc w:val="center"/>
              <w:rPr>
                <w:sz w:val="20"/>
                <w:szCs w:val="20"/>
              </w:rPr>
            </w:pPr>
            <w:r w:rsidRPr="00DB62AE">
              <w:rPr>
                <w:sz w:val="20"/>
                <w:szCs w:val="20"/>
              </w:rPr>
              <w:t>1100,2</w:t>
            </w:r>
          </w:p>
        </w:tc>
        <w:tc>
          <w:tcPr>
            <w:tcW w:w="1276" w:type="dxa"/>
          </w:tcPr>
          <w:p w:rsidR="00896F39" w:rsidRPr="00DB62AE" w:rsidRDefault="00896F39" w:rsidP="00E7317C">
            <w:pPr>
              <w:ind w:firstLine="40"/>
              <w:jc w:val="center"/>
              <w:rPr>
                <w:sz w:val="20"/>
                <w:szCs w:val="20"/>
              </w:rPr>
            </w:pPr>
          </w:p>
          <w:p w:rsidR="00896F39" w:rsidRPr="00DB62AE" w:rsidRDefault="00896F39" w:rsidP="00E7317C">
            <w:pPr>
              <w:ind w:firstLine="40"/>
              <w:jc w:val="center"/>
              <w:rPr>
                <w:sz w:val="20"/>
                <w:szCs w:val="20"/>
              </w:rPr>
            </w:pPr>
            <w:r w:rsidRPr="00DB62AE">
              <w:rPr>
                <w:sz w:val="20"/>
                <w:szCs w:val="20"/>
              </w:rPr>
              <w:t>320 052 704</w:t>
            </w:r>
          </w:p>
        </w:tc>
        <w:tc>
          <w:tcPr>
            <w:tcW w:w="709" w:type="dxa"/>
          </w:tcPr>
          <w:p w:rsidR="00896F39" w:rsidRPr="00DB62AE" w:rsidRDefault="00896F39" w:rsidP="00E7317C">
            <w:pPr>
              <w:ind w:firstLine="40"/>
              <w:jc w:val="center"/>
              <w:rPr>
                <w:sz w:val="20"/>
                <w:szCs w:val="20"/>
              </w:rPr>
            </w:pPr>
          </w:p>
          <w:p w:rsidR="00896F39" w:rsidRPr="00DB62AE" w:rsidRDefault="00896F39" w:rsidP="00E7317C">
            <w:pPr>
              <w:ind w:firstLine="40"/>
              <w:jc w:val="center"/>
              <w:rPr>
                <w:sz w:val="20"/>
                <w:szCs w:val="20"/>
              </w:rPr>
            </w:pPr>
            <w:r w:rsidRPr="00DB62AE">
              <w:rPr>
                <w:sz w:val="20"/>
                <w:szCs w:val="20"/>
              </w:rPr>
              <w:t>98,8</w:t>
            </w:r>
          </w:p>
        </w:tc>
      </w:tr>
      <w:tr w:rsidR="00896F39" w:rsidRPr="00DB62AE" w:rsidTr="00E7317C">
        <w:tc>
          <w:tcPr>
            <w:tcW w:w="3085" w:type="dxa"/>
            <w:shd w:val="clear" w:color="auto" w:fill="auto"/>
          </w:tcPr>
          <w:p w:rsidR="00896F39" w:rsidRPr="00DB62AE" w:rsidRDefault="00896F39" w:rsidP="005D6ACF">
            <w:pPr>
              <w:numPr>
                <w:ilvl w:val="0"/>
                <w:numId w:val="15"/>
              </w:numPr>
              <w:ind w:left="0" w:firstLine="0"/>
              <w:rPr>
                <w:sz w:val="20"/>
                <w:szCs w:val="20"/>
              </w:rPr>
            </w:pPr>
            <w:r w:rsidRPr="00DB62AE">
              <w:rPr>
                <w:sz w:val="20"/>
                <w:szCs w:val="20"/>
              </w:rPr>
              <w:t>Налоговая база в виде среднегодовой стоимости.</w:t>
            </w:r>
          </w:p>
          <w:p w:rsidR="00896F39" w:rsidRPr="00DB62AE" w:rsidRDefault="00896F39" w:rsidP="00E7317C">
            <w:pPr>
              <w:jc w:val="both"/>
              <w:rPr>
                <w:sz w:val="20"/>
                <w:szCs w:val="20"/>
              </w:rPr>
            </w:pPr>
            <w:r w:rsidRPr="00DB62AE">
              <w:rPr>
                <w:sz w:val="20"/>
                <w:szCs w:val="20"/>
              </w:rPr>
              <w:t>стр. 4 х стр.7</w:t>
            </w:r>
          </w:p>
        </w:tc>
        <w:tc>
          <w:tcPr>
            <w:tcW w:w="1276" w:type="dxa"/>
            <w:shd w:val="clear" w:color="auto" w:fill="auto"/>
          </w:tcPr>
          <w:p w:rsidR="00896F39" w:rsidRPr="00DB62AE" w:rsidRDefault="00896F39" w:rsidP="00E7317C">
            <w:pPr>
              <w:jc w:val="center"/>
              <w:rPr>
                <w:sz w:val="20"/>
                <w:szCs w:val="20"/>
              </w:rPr>
            </w:pPr>
          </w:p>
          <w:p w:rsidR="00896F39" w:rsidRPr="00DB62AE" w:rsidRDefault="00896F39" w:rsidP="00E7317C">
            <w:pPr>
              <w:jc w:val="center"/>
              <w:rPr>
                <w:sz w:val="20"/>
                <w:szCs w:val="20"/>
              </w:rPr>
            </w:pPr>
            <w:r w:rsidRPr="00DB62AE">
              <w:rPr>
                <w:sz w:val="20"/>
                <w:szCs w:val="20"/>
              </w:rPr>
              <w:t>316 856 281</w:t>
            </w:r>
          </w:p>
        </w:tc>
        <w:tc>
          <w:tcPr>
            <w:tcW w:w="1134" w:type="dxa"/>
            <w:shd w:val="clear" w:color="auto" w:fill="auto"/>
          </w:tcPr>
          <w:p w:rsidR="00896F39" w:rsidRPr="00DB62AE" w:rsidRDefault="00896F39" w:rsidP="00E7317C">
            <w:pPr>
              <w:ind w:firstLine="33"/>
              <w:jc w:val="center"/>
              <w:rPr>
                <w:sz w:val="20"/>
                <w:szCs w:val="20"/>
              </w:rPr>
            </w:pPr>
          </w:p>
          <w:p w:rsidR="00896F39" w:rsidRPr="00DB62AE" w:rsidRDefault="00896F39" w:rsidP="00E7317C">
            <w:pPr>
              <w:ind w:firstLine="33"/>
              <w:jc w:val="center"/>
              <w:rPr>
                <w:sz w:val="20"/>
                <w:szCs w:val="20"/>
              </w:rPr>
            </w:pPr>
            <w:r w:rsidRPr="00DB62AE">
              <w:rPr>
                <w:sz w:val="20"/>
                <w:szCs w:val="20"/>
              </w:rPr>
              <w:t>101,7</w:t>
            </w:r>
          </w:p>
        </w:tc>
        <w:tc>
          <w:tcPr>
            <w:tcW w:w="1276" w:type="dxa"/>
            <w:shd w:val="clear" w:color="auto" w:fill="auto"/>
          </w:tcPr>
          <w:p w:rsidR="00896F39" w:rsidRPr="00DB62AE" w:rsidRDefault="00896F39" w:rsidP="00E7317C">
            <w:pPr>
              <w:jc w:val="center"/>
              <w:rPr>
                <w:sz w:val="20"/>
                <w:szCs w:val="20"/>
              </w:rPr>
            </w:pPr>
          </w:p>
          <w:p w:rsidR="00896F39" w:rsidRPr="00DB62AE" w:rsidRDefault="00896F39" w:rsidP="00E7317C">
            <w:pPr>
              <w:jc w:val="center"/>
              <w:rPr>
                <w:sz w:val="20"/>
                <w:szCs w:val="20"/>
              </w:rPr>
            </w:pPr>
            <w:r w:rsidRPr="00DB62AE">
              <w:rPr>
                <w:sz w:val="20"/>
                <w:szCs w:val="20"/>
              </w:rPr>
              <w:t>317 403 453</w:t>
            </w:r>
          </w:p>
        </w:tc>
        <w:tc>
          <w:tcPr>
            <w:tcW w:w="850" w:type="dxa"/>
            <w:shd w:val="clear" w:color="auto" w:fill="auto"/>
          </w:tcPr>
          <w:p w:rsidR="00896F39" w:rsidRPr="00DB62AE" w:rsidRDefault="00896F39" w:rsidP="00E7317C">
            <w:pPr>
              <w:ind w:firstLine="709"/>
              <w:jc w:val="center"/>
              <w:rPr>
                <w:sz w:val="20"/>
                <w:szCs w:val="20"/>
              </w:rPr>
            </w:pPr>
            <w:r w:rsidRPr="00DB62AE">
              <w:rPr>
                <w:sz w:val="20"/>
                <w:szCs w:val="20"/>
              </w:rPr>
              <w:t>1100,2</w:t>
            </w:r>
          </w:p>
        </w:tc>
        <w:tc>
          <w:tcPr>
            <w:tcW w:w="1276" w:type="dxa"/>
          </w:tcPr>
          <w:p w:rsidR="00896F39" w:rsidRPr="00DB62AE" w:rsidRDefault="00896F39" w:rsidP="00E7317C">
            <w:pPr>
              <w:ind w:firstLine="40"/>
              <w:jc w:val="center"/>
              <w:rPr>
                <w:sz w:val="20"/>
                <w:szCs w:val="20"/>
              </w:rPr>
            </w:pPr>
          </w:p>
          <w:p w:rsidR="00896F39" w:rsidRPr="00DB62AE" w:rsidRDefault="00896F39" w:rsidP="00E7317C">
            <w:pPr>
              <w:ind w:firstLine="40"/>
              <w:jc w:val="center"/>
              <w:rPr>
                <w:sz w:val="20"/>
                <w:szCs w:val="20"/>
              </w:rPr>
            </w:pPr>
            <w:r w:rsidRPr="00DB62AE">
              <w:rPr>
                <w:sz w:val="20"/>
                <w:szCs w:val="20"/>
              </w:rPr>
              <w:t>313 651 650</w:t>
            </w:r>
          </w:p>
        </w:tc>
        <w:tc>
          <w:tcPr>
            <w:tcW w:w="709" w:type="dxa"/>
          </w:tcPr>
          <w:p w:rsidR="00896F39" w:rsidRPr="00DB62AE" w:rsidRDefault="00896F39" w:rsidP="00E7317C">
            <w:pPr>
              <w:ind w:firstLine="709"/>
              <w:jc w:val="center"/>
              <w:rPr>
                <w:sz w:val="20"/>
                <w:szCs w:val="20"/>
              </w:rPr>
            </w:pPr>
            <w:r w:rsidRPr="00DB62AE">
              <w:rPr>
                <w:sz w:val="20"/>
                <w:szCs w:val="20"/>
              </w:rPr>
              <w:t>998,8</w:t>
            </w:r>
          </w:p>
        </w:tc>
      </w:tr>
      <w:tr w:rsidR="00896F39" w:rsidRPr="00DB62AE" w:rsidTr="00E7317C">
        <w:tc>
          <w:tcPr>
            <w:tcW w:w="3085" w:type="dxa"/>
            <w:shd w:val="clear" w:color="auto" w:fill="auto"/>
          </w:tcPr>
          <w:p w:rsidR="00896F39" w:rsidRPr="00DB62AE" w:rsidRDefault="00896F39" w:rsidP="005D6ACF">
            <w:pPr>
              <w:numPr>
                <w:ilvl w:val="0"/>
                <w:numId w:val="15"/>
              </w:numPr>
              <w:ind w:left="0" w:firstLine="0"/>
              <w:rPr>
                <w:sz w:val="20"/>
                <w:szCs w:val="20"/>
              </w:rPr>
            </w:pPr>
            <w:r w:rsidRPr="00DB62AE">
              <w:rPr>
                <w:sz w:val="20"/>
                <w:szCs w:val="20"/>
              </w:rPr>
              <w:t>Налоговая база в виде кадастровой стоимости.</w:t>
            </w:r>
          </w:p>
          <w:p w:rsidR="00896F39" w:rsidRPr="00DB62AE" w:rsidRDefault="00896F39" w:rsidP="00E7317C">
            <w:pPr>
              <w:jc w:val="both"/>
              <w:rPr>
                <w:sz w:val="20"/>
                <w:szCs w:val="20"/>
              </w:rPr>
            </w:pPr>
            <w:r w:rsidRPr="00DB62AE">
              <w:rPr>
                <w:sz w:val="20"/>
                <w:szCs w:val="20"/>
              </w:rPr>
              <w:t>Расчет 2020-2023 стр. 4 х стр.8</w:t>
            </w:r>
          </w:p>
        </w:tc>
        <w:tc>
          <w:tcPr>
            <w:tcW w:w="1276" w:type="dxa"/>
            <w:shd w:val="clear" w:color="auto" w:fill="auto"/>
          </w:tcPr>
          <w:p w:rsidR="00896F39" w:rsidRPr="00DB62AE" w:rsidRDefault="00896F39" w:rsidP="00E7317C">
            <w:pPr>
              <w:jc w:val="center"/>
              <w:rPr>
                <w:sz w:val="20"/>
                <w:szCs w:val="20"/>
              </w:rPr>
            </w:pPr>
          </w:p>
          <w:p w:rsidR="00896F39" w:rsidRPr="00DB62AE" w:rsidRDefault="00896F39" w:rsidP="00E7317C">
            <w:pPr>
              <w:jc w:val="center"/>
              <w:rPr>
                <w:sz w:val="20"/>
                <w:szCs w:val="20"/>
              </w:rPr>
            </w:pPr>
            <w:r w:rsidRPr="00DB62AE">
              <w:rPr>
                <w:sz w:val="20"/>
                <w:szCs w:val="20"/>
              </w:rPr>
              <w:t>4 849 841</w:t>
            </w:r>
          </w:p>
        </w:tc>
        <w:tc>
          <w:tcPr>
            <w:tcW w:w="1134" w:type="dxa"/>
            <w:shd w:val="clear" w:color="auto" w:fill="auto"/>
          </w:tcPr>
          <w:p w:rsidR="00896F39" w:rsidRPr="00DB62AE" w:rsidRDefault="00896F39" w:rsidP="00E7317C">
            <w:pPr>
              <w:ind w:firstLine="33"/>
              <w:jc w:val="center"/>
              <w:rPr>
                <w:sz w:val="20"/>
                <w:szCs w:val="20"/>
              </w:rPr>
            </w:pPr>
          </w:p>
          <w:p w:rsidR="00896F39" w:rsidRPr="00DB62AE" w:rsidRDefault="00896F39" w:rsidP="00E7317C">
            <w:pPr>
              <w:ind w:firstLine="33"/>
              <w:jc w:val="center"/>
              <w:rPr>
                <w:sz w:val="20"/>
                <w:szCs w:val="20"/>
              </w:rPr>
            </w:pPr>
            <w:r w:rsidRPr="00DB62AE">
              <w:rPr>
                <w:sz w:val="20"/>
                <w:szCs w:val="20"/>
              </w:rPr>
              <w:t>101,7</w:t>
            </w:r>
          </w:p>
        </w:tc>
        <w:tc>
          <w:tcPr>
            <w:tcW w:w="1276" w:type="dxa"/>
            <w:shd w:val="clear" w:color="auto" w:fill="auto"/>
          </w:tcPr>
          <w:p w:rsidR="00896F39" w:rsidRPr="00DB62AE" w:rsidRDefault="00896F39" w:rsidP="00E7317C">
            <w:pPr>
              <w:jc w:val="center"/>
              <w:rPr>
                <w:sz w:val="20"/>
                <w:szCs w:val="20"/>
              </w:rPr>
            </w:pPr>
          </w:p>
          <w:p w:rsidR="00896F39" w:rsidRPr="00DB62AE" w:rsidRDefault="00896F39" w:rsidP="00E7317C">
            <w:pPr>
              <w:jc w:val="center"/>
              <w:rPr>
                <w:sz w:val="20"/>
                <w:szCs w:val="20"/>
              </w:rPr>
            </w:pPr>
            <w:r w:rsidRPr="00DB62AE">
              <w:rPr>
                <w:sz w:val="20"/>
                <w:szCs w:val="20"/>
              </w:rPr>
              <w:t>4 858 216</w:t>
            </w:r>
          </w:p>
        </w:tc>
        <w:tc>
          <w:tcPr>
            <w:tcW w:w="850" w:type="dxa"/>
            <w:shd w:val="clear" w:color="auto" w:fill="auto"/>
          </w:tcPr>
          <w:p w:rsidR="00896F39" w:rsidRPr="00DB62AE" w:rsidRDefault="00896F39" w:rsidP="00E7317C">
            <w:pPr>
              <w:ind w:firstLine="709"/>
              <w:jc w:val="center"/>
              <w:rPr>
                <w:sz w:val="20"/>
                <w:szCs w:val="20"/>
              </w:rPr>
            </w:pPr>
            <w:r w:rsidRPr="00DB62AE">
              <w:rPr>
                <w:sz w:val="20"/>
                <w:szCs w:val="20"/>
              </w:rPr>
              <w:t>1100,2</w:t>
            </w:r>
          </w:p>
        </w:tc>
        <w:tc>
          <w:tcPr>
            <w:tcW w:w="1276" w:type="dxa"/>
          </w:tcPr>
          <w:p w:rsidR="00896F39" w:rsidRPr="00DB62AE" w:rsidRDefault="00896F39" w:rsidP="00E7317C">
            <w:pPr>
              <w:jc w:val="center"/>
              <w:rPr>
                <w:sz w:val="20"/>
                <w:szCs w:val="20"/>
              </w:rPr>
            </w:pPr>
          </w:p>
          <w:p w:rsidR="00896F39" w:rsidRPr="00DB62AE" w:rsidRDefault="00896F39" w:rsidP="00E7317C">
            <w:pPr>
              <w:jc w:val="center"/>
              <w:rPr>
                <w:sz w:val="20"/>
                <w:szCs w:val="20"/>
              </w:rPr>
            </w:pPr>
            <w:r w:rsidRPr="00DB62AE">
              <w:rPr>
                <w:sz w:val="20"/>
                <w:szCs w:val="20"/>
              </w:rPr>
              <w:t>4 800 791</w:t>
            </w:r>
          </w:p>
        </w:tc>
        <w:tc>
          <w:tcPr>
            <w:tcW w:w="709" w:type="dxa"/>
          </w:tcPr>
          <w:p w:rsidR="00896F39" w:rsidRPr="00DB62AE" w:rsidRDefault="00896F39" w:rsidP="00E7317C">
            <w:pPr>
              <w:jc w:val="center"/>
              <w:rPr>
                <w:sz w:val="20"/>
                <w:szCs w:val="20"/>
              </w:rPr>
            </w:pPr>
          </w:p>
          <w:p w:rsidR="00896F39" w:rsidRPr="00DB62AE" w:rsidRDefault="00896F39" w:rsidP="00E7317C">
            <w:pPr>
              <w:jc w:val="center"/>
              <w:rPr>
                <w:sz w:val="20"/>
                <w:szCs w:val="20"/>
              </w:rPr>
            </w:pPr>
            <w:r w:rsidRPr="00DB62AE">
              <w:rPr>
                <w:sz w:val="20"/>
                <w:szCs w:val="20"/>
              </w:rPr>
              <w:t>98,8</w:t>
            </w:r>
          </w:p>
        </w:tc>
      </w:tr>
      <w:tr w:rsidR="00896F39" w:rsidRPr="00DB62AE" w:rsidTr="00E7317C">
        <w:tc>
          <w:tcPr>
            <w:tcW w:w="3085" w:type="dxa"/>
            <w:shd w:val="clear" w:color="auto" w:fill="auto"/>
          </w:tcPr>
          <w:p w:rsidR="00896F39" w:rsidRPr="00DB62AE" w:rsidRDefault="00896F39" w:rsidP="005D6ACF">
            <w:pPr>
              <w:numPr>
                <w:ilvl w:val="0"/>
                <w:numId w:val="15"/>
              </w:numPr>
              <w:ind w:left="0" w:firstLine="0"/>
              <w:rPr>
                <w:sz w:val="20"/>
                <w:szCs w:val="20"/>
              </w:rPr>
            </w:pPr>
            <w:r w:rsidRPr="00DB62AE">
              <w:rPr>
                <w:sz w:val="20"/>
                <w:szCs w:val="20"/>
              </w:rPr>
              <w:t>Доля налоговой базы  в виде среднегодовой стоимости по 5-НИО стр. 1510 / стр. 1500                   304 873 058 / 309 499 443=0,98%</w:t>
            </w:r>
          </w:p>
        </w:tc>
        <w:tc>
          <w:tcPr>
            <w:tcW w:w="1276" w:type="dxa"/>
            <w:shd w:val="clear" w:color="auto" w:fill="auto"/>
          </w:tcPr>
          <w:p w:rsidR="00896F39" w:rsidRPr="00DB62AE" w:rsidRDefault="00896F39" w:rsidP="00E7317C">
            <w:pPr>
              <w:jc w:val="center"/>
              <w:rPr>
                <w:sz w:val="20"/>
                <w:szCs w:val="20"/>
              </w:rPr>
            </w:pPr>
          </w:p>
          <w:p w:rsidR="00896F39" w:rsidRPr="00DB62AE" w:rsidRDefault="00896F39" w:rsidP="00E7317C">
            <w:pPr>
              <w:jc w:val="center"/>
              <w:rPr>
                <w:sz w:val="20"/>
                <w:szCs w:val="20"/>
              </w:rPr>
            </w:pPr>
          </w:p>
          <w:p w:rsidR="00896F39" w:rsidRPr="00DB62AE" w:rsidRDefault="00896F39" w:rsidP="00E7317C">
            <w:pPr>
              <w:jc w:val="center"/>
              <w:rPr>
                <w:sz w:val="20"/>
                <w:szCs w:val="20"/>
              </w:rPr>
            </w:pPr>
            <w:r w:rsidRPr="00DB62AE">
              <w:rPr>
                <w:sz w:val="20"/>
                <w:szCs w:val="20"/>
              </w:rPr>
              <w:t>0,98</w:t>
            </w:r>
          </w:p>
        </w:tc>
        <w:tc>
          <w:tcPr>
            <w:tcW w:w="1134" w:type="dxa"/>
            <w:shd w:val="clear" w:color="auto" w:fill="auto"/>
          </w:tcPr>
          <w:p w:rsidR="00896F39" w:rsidRPr="00DB62AE" w:rsidRDefault="00896F39" w:rsidP="00E7317C">
            <w:pPr>
              <w:ind w:firstLine="33"/>
              <w:jc w:val="center"/>
              <w:rPr>
                <w:sz w:val="20"/>
                <w:szCs w:val="20"/>
              </w:rPr>
            </w:pPr>
          </w:p>
          <w:p w:rsidR="00896F39" w:rsidRPr="00DB62AE" w:rsidRDefault="00896F39" w:rsidP="00E7317C">
            <w:pPr>
              <w:ind w:firstLine="33"/>
              <w:jc w:val="center"/>
              <w:rPr>
                <w:sz w:val="20"/>
                <w:szCs w:val="20"/>
              </w:rPr>
            </w:pPr>
          </w:p>
          <w:p w:rsidR="00896F39" w:rsidRPr="00DB62AE" w:rsidRDefault="00896F39" w:rsidP="00E7317C">
            <w:pPr>
              <w:ind w:firstLine="33"/>
              <w:jc w:val="center"/>
              <w:rPr>
                <w:sz w:val="20"/>
                <w:szCs w:val="20"/>
              </w:rPr>
            </w:pPr>
            <w:r w:rsidRPr="00DB62AE">
              <w:rPr>
                <w:sz w:val="20"/>
                <w:szCs w:val="20"/>
              </w:rPr>
              <w:t>х</w:t>
            </w:r>
          </w:p>
        </w:tc>
        <w:tc>
          <w:tcPr>
            <w:tcW w:w="1276" w:type="dxa"/>
            <w:shd w:val="clear" w:color="auto" w:fill="auto"/>
          </w:tcPr>
          <w:p w:rsidR="00896F39" w:rsidRPr="00DB62AE" w:rsidRDefault="00896F39" w:rsidP="00E7317C">
            <w:pPr>
              <w:jc w:val="center"/>
              <w:rPr>
                <w:sz w:val="20"/>
                <w:szCs w:val="20"/>
              </w:rPr>
            </w:pPr>
          </w:p>
          <w:p w:rsidR="00896F39" w:rsidRPr="00DB62AE" w:rsidRDefault="00896F39" w:rsidP="00E7317C">
            <w:pPr>
              <w:jc w:val="center"/>
              <w:rPr>
                <w:sz w:val="20"/>
                <w:szCs w:val="20"/>
              </w:rPr>
            </w:pPr>
          </w:p>
          <w:p w:rsidR="00896F39" w:rsidRPr="00DB62AE" w:rsidRDefault="00896F39" w:rsidP="00E7317C">
            <w:pPr>
              <w:jc w:val="center"/>
              <w:rPr>
                <w:sz w:val="20"/>
                <w:szCs w:val="20"/>
              </w:rPr>
            </w:pPr>
            <w:r w:rsidRPr="00DB62AE">
              <w:rPr>
                <w:sz w:val="20"/>
                <w:szCs w:val="20"/>
              </w:rPr>
              <w:t>0,98</w:t>
            </w:r>
          </w:p>
        </w:tc>
        <w:tc>
          <w:tcPr>
            <w:tcW w:w="850" w:type="dxa"/>
            <w:shd w:val="clear" w:color="auto" w:fill="auto"/>
          </w:tcPr>
          <w:p w:rsidR="00896F39" w:rsidRPr="00DB62AE" w:rsidRDefault="00896F39" w:rsidP="00E7317C">
            <w:pPr>
              <w:ind w:firstLine="709"/>
              <w:jc w:val="center"/>
              <w:rPr>
                <w:sz w:val="20"/>
                <w:szCs w:val="20"/>
              </w:rPr>
            </w:pPr>
          </w:p>
          <w:p w:rsidR="00896F39" w:rsidRPr="00DB62AE" w:rsidRDefault="00896F39" w:rsidP="00E7317C">
            <w:pPr>
              <w:ind w:right="-15" w:firstLine="709"/>
              <w:jc w:val="center"/>
              <w:rPr>
                <w:sz w:val="20"/>
                <w:szCs w:val="20"/>
              </w:rPr>
            </w:pPr>
            <w:r w:rsidRPr="00DB62AE">
              <w:rPr>
                <w:sz w:val="20"/>
                <w:szCs w:val="20"/>
              </w:rPr>
              <w:t xml:space="preserve"> х</w:t>
            </w:r>
          </w:p>
        </w:tc>
        <w:tc>
          <w:tcPr>
            <w:tcW w:w="1276" w:type="dxa"/>
          </w:tcPr>
          <w:p w:rsidR="00896F39" w:rsidRPr="00DB62AE" w:rsidRDefault="00896F39" w:rsidP="00E7317C">
            <w:pPr>
              <w:jc w:val="center"/>
              <w:rPr>
                <w:sz w:val="20"/>
                <w:szCs w:val="20"/>
              </w:rPr>
            </w:pPr>
          </w:p>
          <w:p w:rsidR="00896F39" w:rsidRPr="00DB62AE" w:rsidRDefault="00896F39" w:rsidP="00E7317C">
            <w:pPr>
              <w:jc w:val="center"/>
              <w:rPr>
                <w:sz w:val="20"/>
                <w:szCs w:val="20"/>
              </w:rPr>
            </w:pPr>
          </w:p>
          <w:p w:rsidR="00896F39" w:rsidRPr="00DB62AE" w:rsidRDefault="00896F39" w:rsidP="00E7317C">
            <w:pPr>
              <w:jc w:val="center"/>
              <w:rPr>
                <w:sz w:val="20"/>
                <w:szCs w:val="20"/>
              </w:rPr>
            </w:pPr>
            <w:r w:rsidRPr="00DB62AE">
              <w:rPr>
                <w:sz w:val="20"/>
                <w:szCs w:val="20"/>
              </w:rPr>
              <w:t>0,98</w:t>
            </w:r>
          </w:p>
        </w:tc>
        <w:tc>
          <w:tcPr>
            <w:tcW w:w="709" w:type="dxa"/>
          </w:tcPr>
          <w:p w:rsidR="00896F39" w:rsidRPr="00DB62AE" w:rsidRDefault="00896F39" w:rsidP="00E7317C">
            <w:pPr>
              <w:jc w:val="center"/>
              <w:rPr>
                <w:sz w:val="20"/>
                <w:szCs w:val="20"/>
              </w:rPr>
            </w:pPr>
          </w:p>
          <w:p w:rsidR="00896F39" w:rsidRPr="00DB62AE" w:rsidRDefault="00896F39" w:rsidP="00E7317C">
            <w:pPr>
              <w:jc w:val="center"/>
              <w:rPr>
                <w:sz w:val="20"/>
                <w:szCs w:val="20"/>
              </w:rPr>
            </w:pPr>
          </w:p>
          <w:p w:rsidR="00896F39" w:rsidRPr="00DB62AE" w:rsidRDefault="00896F39" w:rsidP="00E7317C">
            <w:pPr>
              <w:jc w:val="center"/>
              <w:rPr>
                <w:sz w:val="20"/>
                <w:szCs w:val="20"/>
              </w:rPr>
            </w:pPr>
            <w:r w:rsidRPr="00DB62AE">
              <w:rPr>
                <w:sz w:val="20"/>
                <w:szCs w:val="20"/>
              </w:rPr>
              <w:t>х</w:t>
            </w:r>
          </w:p>
        </w:tc>
      </w:tr>
      <w:tr w:rsidR="00896F39" w:rsidRPr="00DB62AE" w:rsidTr="00E7317C">
        <w:tc>
          <w:tcPr>
            <w:tcW w:w="3085" w:type="dxa"/>
            <w:shd w:val="clear" w:color="auto" w:fill="auto"/>
          </w:tcPr>
          <w:p w:rsidR="00896F39" w:rsidRPr="00DB62AE" w:rsidRDefault="00896F39" w:rsidP="005D6ACF">
            <w:pPr>
              <w:numPr>
                <w:ilvl w:val="0"/>
                <w:numId w:val="15"/>
              </w:numPr>
              <w:ind w:left="0" w:firstLine="0"/>
              <w:rPr>
                <w:sz w:val="20"/>
                <w:szCs w:val="20"/>
              </w:rPr>
            </w:pPr>
            <w:r w:rsidRPr="00DB62AE">
              <w:rPr>
                <w:sz w:val="20"/>
                <w:szCs w:val="20"/>
              </w:rPr>
              <w:t>Доля налоговой базы  в виде кадастровой стоимости год 5-НИО стр. 1520 / стр. 1500                             4 626 385 /309 499 443=0,015%</w:t>
            </w:r>
          </w:p>
        </w:tc>
        <w:tc>
          <w:tcPr>
            <w:tcW w:w="1276" w:type="dxa"/>
            <w:shd w:val="clear" w:color="auto" w:fill="auto"/>
          </w:tcPr>
          <w:p w:rsidR="00896F39" w:rsidRPr="00DB62AE" w:rsidRDefault="00896F39" w:rsidP="00E7317C">
            <w:pPr>
              <w:jc w:val="center"/>
              <w:rPr>
                <w:sz w:val="20"/>
                <w:szCs w:val="20"/>
              </w:rPr>
            </w:pPr>
          </w:p>
          <w:p w:rsidR="00896F39" w:rsidRPr="00DB62AE" w:rsidRDefault="00896F39" w:rsidP="00E7317C">
            <w:pPr>
              <w:jc w:val="center"/>
              <w:rPr>
                <w:sz w:val="20"/>
                <w:szCs w:val="20"/>
              </w:rPr>
            </w:pPr>
            <w:r w:rsidRPr="00DB62AE">
              <w:rPr>
                <w:sz w:val="20"/>
                <w:szCs w:val="20"/>
              </w:rPr>
              <w:t>0,015</w:t>
            </w:r>
          </w:p>
        </w:tc>
        <w:tc>
          <w:tcPr>
            <w:tcW w:w="1134" w:type="dxa"/>
            <w:shd w:val="clear" w:color="auto" w:fill="auto"/>
          </w:tcPr>
          <w:p w:rsidR="00896F39" w:rsidRPr="00DB62AE" w:rsidRDefault="00896F39" w:rsidP="00E7317C">
            <w:pPr>
              <w:ind w:firstLine="33"/>
              <w:jc w:val="center"/>
              <w:rPr>
                <w:sz w:val="20"/>
                <w:szCs w:val="20"/>
              </w:rPr>
            </w:pPr>
          </w:p>
          <w:p w:rsidR="00896F39" w:rsidRPr="00DB62AE" w:rsidRDefault="00896F39" w:rsidP="00E7317C">
            <w:pPr>
              <w:ind w:firstLine="33"/>
              <w:jc w:val="center"/>
              <w:rPr>
                <w:sz w:val="20"/>
                <w:szCs w:val="20"/>
              </w:rPr>
            </w:pPr>
            <w:r w:rsidRPr="00DB62AE">
              <w:rPr>
                <w:sz w:val="20"/>
                <w:szCs w:val="20"/>
              </w:rPr>
              <w:t>х</w:t>
            </w:r>
          </w:p>
        </w:tc>
        <w:tc>
          <w:tcPr>
            <w:tcW w:w="1276" w:type="dxa"/>
            <w:shd w:val="clear" w:color="auto" w:fill="auto"/>
          </w:tcPr>
          <w:p w:rsidR="00896F39" w:rsidRPr="00DB62AE" w:rsidRDefault="00896F39" w:rsidP="00E7317C">
            <w:pPr>
              <w:jc w:val="center"/>
              <w:rPr>
                <w:sz w:val="20"/>
                <w:szCs w:val="20"/>
              </w:rPr>
            </w:pPr>
          </w:p>
          <w:p w:rsidR="00896F39" w:rsidRPr="00DB62AE" w:rsidRDefault="00896F39" w:rsidP="00E7317C">
            <w:pPr>
              <w:jc w:val="center"/>
              <w:rPr>
                <w:sz w:val="20"/>
                <w:szCs w:val="20"/>
              </w:rPr>
            </w:pPr>
            <w:r w:rsidRPr="00DB62AE">
              <w:rPr>
                <w:sz w:val="20"/>
                <w:szCs w:val="20"/>
              </w:rPr>
              <w:t>0,015</w:t>
            </w:r>
          </w:p>
        </w:tc>
        <w:tc>
          <w:tcPr>
            <w:tcW w:w="850" w:type="dxa"/>
            <w:shd w:val="clear" w:color="auto" w:fill="auto"/>
          </w:tcPr>
          <w:p w:rsidR="00896F39" w:rsidRPr="00DB62AE" w:rsidRDefault="00896F39" w:rsidP="00E7317C">
            <w:pPr>
              <w:ind w:firstLine="709"/>
              <w:jc w:val="center"/>
              <w:rPr>
                <w:sz w:val="20"/>
                <w:szCs w:val="20"/>
              </w:rPr>
            </w:pPr>
            <w:r w:rsidRPr="00DB62AE">
              <w:rPr>
                <w:sz w:val="20"/>
                <w:szCs w:val="20"/>
              </w:rPr>
              <w:t xml:space="preserve"> х</w:t>
            </w:r>
          </w:p>
        </w:tc>
        <w:tc>
          <w:tcPr>
            <w:tcW w:w="1276" w:type="dxa"/>
          </w:tcPr>
          <w:p w:rsidR="00896F39" w:rsidRPr="00DB62AE" w:rsidRDefault="00896F39" w:rsidP="00E7317C">
            <w:pPr>
              <w:jc w:val="center"/>
              <w:rPr>
                <w:sz w:val="20"/>
                <w:szCs w:val="20"/>
              </w:rPr>
            </w:pPr>
          </w:p>
          <w:p w:rsidR="00896F39" w:rsidRPr="00DB62AE" w:rsidRDefault="00896F39" w:rsidP="00E7317C">
            <w:pPr>
              <w:jc w:val="center"/>
              <w:rPr>
                <w:sz w:val="20"/>
                <w:szCs w:val="20"/>
              </w:rPr>
            </w:pPr>
            <w:r w:rsidRPr="00DB62AE">
              <w:rPr>
                <w:sz w:val="20"/>
                <w:szCs w:val="20"/>
              </w:rPr>
              <w:t>0,015</w:t>
            </w:r>
          </w:p>
        </w:tc>
        <w:tc>
          <w:tcPr>
            <w:tcW w:w="709" w:type="dxa"/>
          </w:tcPr>
          <w:p w:rsidR="00896F39" w:rsidRPr="00DB62AE" w:rsidRDefault="00896F39" w:rsidP="00E7317C">
            <w:pPr>
              <w:jc w:val="center"/>
              <w:rPr>
                <w:sz w:val="20"/>
                <w:szCs w:val="20"/>
              </w:rPr>
            </w:pPr>
          </w:p>
          <w:p w:rsidR="00896F39" w:rsidRPr="00DB62AE" w:rsidRDefault="00896F39" w:rsidP="00E7317C">
            <w:pPr>
              <w:jc w:val="center"/>
              <w:rPr>
                <w:sz w:val="20"/>
                <w:szCs w:val="20"/>
              </w:rPr>
            </w:pPr>
            <w:r w:rsidRPr="00DB62AE">
              <w:rPr>
                <w:sz w:val="20"/>
                <w:szCs w:val="20"/>
              </w:rPr>
              <w:t>х</w:t>
            </w:r>
          </w:p>
        </w:tc>
      </w:tr>
      <w:tr w:rsidR="00896F39" w:rsidRPr="00DB62AE" w:rsidTr="00E7317C">
        <w:tc>
          <w:tcPr>
            <w:tcW w:w="3085" w:type="dxa"/>
            <w:shd w:val="clear" w:color="auto" w:fill="auto"/>
          </w:tcPr>
          <w:p w:rsidR="00896F39" w:rsidRPr="00DB62AE" w:rsidRDefault="00896F39" w:rsidP="005D6ACF">
            <w:pPr>
              <w:numPr>
                <w:ilvl w:val="0"/>
                <w:numId w:val="15"/>
              </w:numPr>
              <w:ind w:left="0" w:firstLine="0"/>
              <w:rPr>
                <w:sz w:val="20"/>
                <w:szCs w:val="20"/>
              </w:rPr>
            </w:pPr>
            <w:r w:rsidRPr="00DB62AE">
              <w:rPr>
                <w:sz w:val="20"/>
                <w:szCs w:val="20"/>
              </w:rPr>
              <w:t>Ставка налога, исчисленна</w:t>
            </w:r>
            <w:r w:rsidR="005D49E1">
              <w:rPr>
                <w:sz w:val="20"/>
                <w:szCs w:val="20"/>
              </w:rPr>
              <w:t>я</w:t>
            </w:r>
            <w:r w:rsidR="006D68A3">
              <w:rPr>
                <w:sz w:val="20"/>
                <w:szCs w:val="20"/>
              </w:rPr>
              <w:t xml:space="preserve"> </w:t>
            </w:r>
            <w:r w:rsidR="005D49E1">
              <w:rPr>
                <w:sz w:val="20"/>
                <w:szCs w:val="20"/>
              </w:rPr>
              <w:t xml:space="preserve"> от среднегодовой стоимости </w:t>
            </w:r>
          </w:p>
        </w:tc>
        <w:tc>
          <w:tcPr>
            <w:tcW w:w="1276" w:type="dxa"/>
            <w:shd w:val="clear" w:color="auto" w:fill="auto"/>
          </w:tcPr>
          <w:p w:rsidR="00896F39" w:rsidRPr="00DB62AE" w:rsidRDefault="00896F39" w:rsidP="00E7317C">
            <w:pPr>
              <w:jc w:val="center"/>
              <w:rPr>
                <w:sz w:val="20"/>
                <w:szCs w:val="20"/>
              </w:rPr>
            </w:pPr>
          </w:p>
          <w:p w:rsidR="00896F39" w:rsidRPr="00DB62AE" w:rsidRDefault="00896F39" w:rsidP="00E7317C">
            <w:pPr>
              <w:jc w:val="center"/>
              <w:rPr>
                <w:sz w:val="20"/>
                <w:szCs w:val="20"/>
              </w:rPr>
            </w:pPr>
            <w:r w:rsidRPr="00DB62AE">
              <w:rPr>
                <w:sz w:val="20"/>
                <w:szCs w:val="20"/>
              </w:rPr>
              <w:t>2,1455</w:t>
            </w:r>
          </w:p>
        </w:tc>
        <w:tc>
          <w:tcPr>
            <w:tcW w:w="1134" w:type="dxa"/>
            <w:shd w:val="clear" w:color="auto" w:fill="auto"/>
          </w:tcPr>
          <w:p w:rsidR="00896F39" w:rsidRPr="00DB62AE" w:rsidRDefault="00896F39" w:rsidP="00E7317C">
            <w:pPr>
              <w:ind w:firstLine="33"/>
              <w:jc w:val="center"/>
              <w:rPr>
                <w:sz w:val="20"/>
                <w:szCs w:val="20"/>
              </w:rPr>
            </w:pPr>
          </w:p>
          <w:p w:rsidR="00896F39" w:rsidRPr="00DB62AE" w:rsidRDefault="00896F39" w:rsidP="00E7317C">
            <w:pPr>
              <w:ind w:firstLine="33"/>
              <w:jc w:val="center"/>
              <w:rPr>
                <w:sz w:val="20"/>
                <w:szCs w:val="20"/>
              </w:rPr>
            </w:pPr>
            <w:r w:rsidRPr="00DB62AE">
              <w:rPr>
                <w:sz w:val="20"/>
                <w:szCs w:val="20"/>
              </w:rPr>
              <w:t>х</w:t>
            </w:r>
          </w:p>
        </w:tc>
        <w:tc>
          <w:tcPr>
            <w:tcW w:w="1276" w:type="dxa"/>
            <w:shd w:val="clear" w:color="auto" w:fill="auto"/>
          </w:tcPr>
          <w:p w:rsidR="00896F39" w:rsidRPr="00DB62AE" w:rsidRDefault="00896F39" w:rsidP="00E7317C">
            <w:pPr>
              <w:jc w:val="center"/>
              <w:rPr>
                <w:sz w:val="20"/>
                <w:szCs w:val="20"/>
              </w:rPr>
            </w:pPr>
          </w:p>
          <w:p w:rsidR="00896F39" w:rsidRPr="00DB62AE" w:rsidRDefault="00896F39" w:rsidP="00E7317C">
            <w:pPr>
              <w:jc w:val="center"/>
              <w:rPr>
                <w:sz w:val="20"/>
                <w:szCs w:val="20"/>
              </w:rPr>
            </w:pPr>
            <w:r w:rsidRPr="00DB62AE">
              <w:rPr>
                <w:sz w:val="20"/>
                <w:szCs w:val="20"/>
              </w:rPr>
              <w:t>2,1745</w:t>
            </w:r>
          </w:p>
        </w:tc>
        <w:tc>
          <w:tcPr>
            <w:tcW w:w="850" w:type="dxa"/>
            <w:shd w:val="clear" w:color="auto" w:fill="auto"/>
          </w:tcPr>
          <w:p w:rsidR="00896F39" w:rsidRPr="00DB62AE" w:rsidRDefault="00896F39" w:rsidP="00E7317C">
            <w:pPr>
              <w:ind w:firstLine="709"/>
              <w:jc w:val="center"/>
              <w:rPr>
                <w:sz w:val="20"/>
                <w:szCs w:val="20"/>
              </w:rPr>
            </w:pPr>
            <w:r w:rsidRPr="00DB62AE">
              <w:rPr>
                <w:sz w:val="20"/>
                <w:szCs w:val="20"/>
              </w:rPr>
              <w:t xml:space="preserve"> х</w:t>
            </w:r>
          </w:p>
        </w:tc>
        <w:tc>
          <w:tcPr>
            <w:tcW w:w="1276" w:type="dxa"/>
          </w:tcPr>
          <w:p w:rsidR="00896F39" w:rsidRPr="00DB62AE" w:rsidRDefault="00896F39" w:rsidP="00E7317C">
            <w:pPr>
              <w:ind w:firstLine="709"/>
              <w:jc w:val="center"/>
              <w:rPr>
                <w:sz w:val="20"/>
                <w:szCs w:val="20"/>
              </w:rPr>
            </w:pPr>
          </w:p>
          <w:p w:rsidR="00896F39" w:rsidRPr="00DB62AE" w:rsidRDefault="00896F39" w:rsidP="006D68A3">
            <w:pPr>
              <w:ind w:firstLine="58"/>
              <w:jc w:val="center"/>
              <w:rPr>
                <w:sz w:val="20"/>
                <w:szCs w:val="20"/>
              </w:rPr>
            </w:pPr>
            <w:r w:rsidRPr="00DB62AE">
              <w:rPr>
                <w:sz w:val="20"/>
                <w:szCs w:val="20"/>
              </w:rPr>
              <w:t>2,2</w:t>
            </w:r>
          </w:p>
        </w:tc>
        <w:tc>
          <w:tcPr>
            <w:tcW w:w="709" w:type="dxa"/>
          </w:tcPr>
          <w:p w:rsidR="00896F39" w:rsidRPr="00DB62AE" w:rsidRDefault="00896F39" w:rsidP="00E7317C">
            <w:pPr>
              <w:ind w:firstLine="709"/>
              <w:jc w:val="center"/>
              <w:rPr>
                <w:sz w:val="20"/>
                <w:szCs w:val="20"/>
              </w:rPr>
            </w:pPr>
            <w:r w:rsidRPr="00DB62AE">
              <w:rPr>
                <w:sz w:val="20"/>
                <w:szCs w:val="20"/>
              </w:rPr>
              <w:t>х х</w:t>
            </w:r>
          </w:p>
        </w:tc>
      </w:tr>
      <w:tr w:rsidR="00896F39" w:rsidRPr="00DB62AE" w:rsidTr="00E7317C">
        <w:tc>
          <w:tcPr>
            <w:tcW w:w="3085" w:type="dxa"/>
            <w:shd w:val="clear" w:color="auto" w:fill="auto"/>
          </w:tcPr>
          <w:p w:rsidR="00896F39" w:rsidRPr="00DB62AE" w:rsidRDefault="00896F39" w:rsidP="005D6ACF">
            <w:pPr>
              <w:numPr>
                <w:ilvl w:val="0"/>
                <w:numId w:val="15"/>
              </w:numPr>
              <w:ind w:left="0" w:firstLine="0"/>
              <w:jc w:val="both"/>
              <w:rPr>
                <w:sz w:val="20"/>
                <w:szCs w:val="20"/>
              </w:rPr>
            </w:pPr>
            <w:r w:rsidRPr="00DB62AE">
              <w:rPr>
                <w:sz w:val="20"/>
                <w:szCs w:val="20"/>
              </w:rPr>
              <w:t xml:space="preserve">Ставка налога, исчисленная от кадастровой стоимости 5-НИО             стр. 1610 / стр. 1520 </w:t>
            </w:r>
          </w:p>
          <w:p w:rsidR="00896F39" w:rsidRPr="00DB62AE" w:rsidRDefault="00896F39" w:rsidP="00E7317C">
            <w:pPr>
              <w:jc w:val="both"/>
              <w:rPr>
                <w:sz w:val="20"/>
                <w:szCs w:val="20"/>
              </w:rPr>
            </w:pPr>
            <w:r w:rsidRPr="00DB62AE">
              <w:rPr>
                <w:sz w:val="20"/>
                <w:szCs w:val="20"/>
              </w:rPr>
              <w:t xml:space="preserve"> 50 513 / 4 626 385</w:t>
            </w:r>
          </w:p>
        </w:tc>
        <w:tc>
          <w:tcPr>
            <w:tcW w:w="1276" w:type="dxa"/>
            <w:shd w:val="clear" w:color="auto" w:fill="auto"/>
          </w:tcPr>
          <w:p w:rsidR="00896F39" w:rsidRPr="00DB62AE" w:rsidRDefault="00896F39" w:rsidP="00E7317C">
            <w:pPr>
              <w:jc w:val="center"/>
              <w:rPr>
                <w:sz w:val="20"/>
                <w:szCs w:val="20"/>
              </w:rPr>
            </w:pPr>
          </w:p>
          <w:p w:rsidR="00896F39" w:rsidRPr="00DB62AE" w:rsidRDefault="00896F39" w:rsidP="00E7317C">
            <w:pPr>
              <w:jc w:val="center"/>
              <w:rPr>
                <w:sz w:val="20"/>
                <w:szCs w:val="20"/>
              </w:rPr>
            </w:pPr>
            <w:r w:rsidRPr="00DB62AE">
              <w:rPr>
                <w:sz w:val="20"/>
                <w:szCs w:val="20"/>
              </w:rPr>
              <w:t>1,09</w:t>
            </w:r>
          </w:p>
          <w:p w:rsidR="00896F39" w:rsidRPr="00DB62AE" w:rsidRDefault="00896F39" w:rsidP="00E7317C">
            <w:pPr>
              <w:jc w:val="center"/>
              <w:rPr>
                <w:sz w:val="20"/>
                <w:szCs w:val="20"/>
              </w:rPr>
            </w:pPr>
          </w:p>
        </w:tc>
        <w:tc>
          <w:tcPr>
            <w:tcW w:w="1134" w:type="dxa"/>
            <w:shd w:val="clear" w:color="auto" w:fill="auto"/>
          </w:tcPr>
          <w:p w:rsidR="00896F39" w:rsidRPr="00DB62AE" w:rsidRDefault="00896F39" w:rsidP="00E7317C">
            <w:pPr>
              <w:ind w:firstLine="33"/>
              <w:jc w:val="center"/>
              <w:rPr>
                <w:sz w:val="20"/>
                <w:szCs w:val="20"/>
              </w:rPr>
            </w:pPr>
          </w:p>
          <w:p w:rsidR="00896F39" w:rsidRPr="00DB62AE" w:rsidRDefault="00896F39" w:rsidP="00E7317C">
            <w:pPr>
              <w:ind w:firstLine="33"/>
              <w:jc w:val="center"/>
              <w:rPr>
                <w:sz w:val="20"/>
                <w:szCs w:val="20"/>
              </w:rPr>
            </w:pPr>
            <w:r w:rsidRPr="00DB62AE">
              <w:rPr>
                <w:sz w:val="20"/>
                <w:szCs w:val="20"/>
              </w:rPr>
              <w:t>х</w:t>
            </w:r>
          </w:p>
        </w:tc>
        <w:tc>
          <w:tcPr>
            <w:tcW w:w="1276" w:type="dxa"/>
            <w:shd w:val="clear" w:color="auto" w:fill="auto"/>
          </w:tcPr>
          <w:p w:rsidR="00896F39" w:rsidRPr="00DB62AE" w:rsidRDefault="00896F39" w:rsidP="00E7317C">
            <w:pPr>
              <w:jc w:val="center"/>
              <w:rPr>
                <w:sz w:val="20"/>
                <w:szCs w:val="20"/>
              </w:rPr>
            </w:pPr>
          </w:p>
          <w:p w:rsidR="00896F39" w:rsidRPr="00DB62AE" w:rsidRDefault="00896F39" w:rsidP="00E7317C">
            <w:pPr>
              <w:jc w:val="center"/>
              <w:rPr>
                <w:sz w:val="20"/>
                <w:szCs w:val="20"/>
              </w:rPr>
            </w:pPr>
            <w:r w:rsidRPr="00DB62AE">
              <w:rPr>
                <w:sz w:val="20"/>
                <w:szCs w:val="20"/>
              </w:rPr>
              <w:t>1,09</w:t>
            </w:r>
          </w:p>
          <w:p w:rsidR="00896F39" w:rsidRPr="00DB62AE" w:rsidRDefault="00896F39" w:rsidP="00E7317C">
            <w:pPr>
              <w:jc w:val="center"/>
              <w:rPr>
                <w:sz w:val="20"/>
                <w:szCs w:val="20"/>
              </w:rPr>
            </w:pPr>
          </w:p>
          <w:p w:rsidR="00896F39" w:rsidRPr="00DB62AE" w:rsidRDefault="00896F39" w:rsidP="00E7317C">
            <w:pPr>
              <w:jc w:val="center"/>
              <w:rPr>
                <w:sz w:val="20"/>
                <w:szCs w:val="20"/>
              </w:rPr>
            </w:pPr>
          </w:p>
        </w:tc>
        <w:tc>
          <w:tcPr>
            <w:tcW w:w="850" w:type="dxa"/>
            <w:shd w:val="clear" w:color="auto" w:fill="auto"/>
          </w:tcPr>
          <w:p w:rsidR="00896F39" w:rsidRPr="00DB62AE" w:rsidRDefault="00896F39" w:rsidP="00E7317C">
            <w:pPr>
              <w:ind w:firstLine="709"/>
              <w:jc w:val="center"/>
              <w:rPr>
                <w:sz w:val="20"/>
                <w:szCs w:val="20"/>
              </w:rPr>
            </w:pPr>
            <w:r w:rsidRPr="00DB62AE">
              <w:rPr>
                <w:sz w:val="20"/>
                <w:szCs w:val="20"/>
              </w:rPr>
              <w:t xml:space="preserve"> х</w:t>
            </w:r>
          </w:p>
        </w:tc>
        <w:tc>
          <w:tcPr>
            <w:tcW w:w="1276" w:type="dxa"/>
          </w:tcPr>
          <w:p w:rsidR="00896F39" w:rsidRPr="00DB62AE" w:rsidRDefault="00896F39" w:rsidP="00E7317C">
            <w:pPr>
              <w:ind w:firstLine="709"/>
              <w:jc w:val="center"/>
              <w:rPr>
                <w:sz w:val="20"/>
                <w:szCs w:val="20"/>
              </w:rPr>
            </w:pPr>
          </w:p>
          <w:p w:rsidR="00896F39" w:rsidRPr="00DB62AE" w:rsidRDefault="00896F39" w:rsidP="00E7317C">
            <w:pPr>
              <w:jc w:val="center"/>
              <w:rPr>
                <w:sz w:val="20"/>
                <w:szCs w:val="20"/>
              </w:rPr>
            </w:pPr>
            <w:r w:rsidRPr="00DB62AE">
              <w:rPr>
                <w:sz w:val="20"/>
                <w:szCs w:val="20"/>
              </w:rPr>
              <w:t>1,09</w:t>
            </w:r>
          </w:p>
          <w:p w:rsidR="00896F39" w:rsidRPr="00DB62AE" w:rsidRDefault="00896F39" w:rsidP="00E7317C">
            <w:pPr>
              <w:ind w:firstLine="709"/>
              <w:jc w:val="center"/>
              <w:rPr>
                <w:sz w:val="20"/>
                <w:szCs w:val="20"/>
              </w:rPr>
            </w:pPr>
          </w:p>
        </w:tc>
        <w:tc>
          <w:tcPr>
            <w:tcW w:w="709" w:type="dxa"/>
          </w:tcPr>
          <w:p w:rsidR="00896F39" w:rsidRPr="00DB62AE" w:rsidRDefault="00896F39" w:rsidP="00E7317C">
            <w:pPr>
              <w:ind w:firstLine="709"/>
              <w:jc w:val="center"/>
              <w:rPr>
                <w:sz w:val="20"/>
                <w:szCs w:val="20"/>
              </w:rPr>
            </w:pPr>
            <w:r w:rsidRPr="00DB62AE">
              <w:rPr>
                <w:sz w:val="20"/>
                <w:szCs w:val="20"/>
              </w:rPr>
              <w:t>х х</w:t>
            </w:r>
          </w:p>
        </w:tc>
      </w:tr>
      <w:tr w:rsidR="00896F39" w:rsidRPr="00DB62AE" w:rsidTr="00E7317C">
        <w:tc>
          <w:tcPr>
            <w:tcW w:w="3085" w:type="dxa"/>
            <w:shd w:val="clear" w:color="auto" w:fill="auto"/>
          </w:tcPr>
          <w:p w:rsidR="00896F39" w:rsidRPr="00DB62AE" w:rsidRDefault="00896F39" w:rsidP="005D6ACF">
            <w:pPr>
              <w:numPr>
                <w:ilvl w:val="0"/>
                <w:numId w:val="15"/>
              </w:numPr>
              <w:ind w:left="0" w:firstLine="0"/>
              <w:rPr>
                <w:sz w:val="20"/>
                <w:szCs w:val="20"/>
              </w:rPr>
            </w:pPr>
            <w:r w:rsidRPr="00DB62AE">
              <w:rPr>
                <w:sz w:val="20"/>
                <w:szCs w:val="20"/>
              </w:rPr>
              <w:t>Сумма налога, исчисленная от среднегодовой стоимости</w:t>
            </w:r>
          </w:p>
          <w:p w:rsidR="00896F39" w:rsidRPr="00DB62AE" w:rsidRDefault="00896F39" w:rsidP="00E7317C">
            <w:pPr>
              <w:jc w:val="both"/>
              <w:rPr>
                <w:sz w:val="20"/>
                <w:szCs w:val="20"/>
              </w:rPr>
            </w:pPr>
            <w:r w:rsidRPr="00DB62AE">
              <w:rPr>
                <w:sz w:val="20"/>
                <w:szCs w:val="20"/>
              </w:rPr>
              <w:t>стр.2 х стр.6</w:t>
            </w:r>
          </w:p>
        </w:tc>
        <w:tc>
          <w:tcPr>
            <w:tcW w:w="1276" w:type="dxa"/>
            <w:shd w:val="clear" w:color="auto" w:fill="auto"/>
          </w:tcPr>
          <w:p w:rsidR="00896F39" w:rsidRPr="00DB62AE" w:rsidRDefault="00896F39" w:rsidP="00E7317C">
            <w:pPr>
              <w:jc w:val="center"/>
              <w:rPr>
                <w:sz w:val="20"/>
                <w:szCs w:val="20"/>
              </w:rPr>
            </w:pPr>
          </w:p>
          <w:p w:rsidR="00896F39" w:rsidRPr="00DB62AE" w:rsidRDefault="00896F39" w:rsidP="00E7317C">
            <w:pPr>
              <w:jc w:val="center"/>
              <w:rPr>
                <w:sz w:val="20"/>
                <w:szCs w:val="20"/>
              </w:rPr>
            </w:pPr>
            <w:r w:rsidRPr="00DB62AE">
              <w:rPr>
                <w:sz w:val="20"/>
                <w:szCs w:val="20"/>
              </w:rPr>
              <w:t>6 798 152</w:t>
            </w:r>
          </w:p>
        </w:tc>
        <w:tc>
          <w:tcPr>
            <w:tcW w:w="1134" w:type="dxa"/>
            <w:shd w:val="clear" w:color="auto" w:fill="auto"/>
          </w:tcPr>
          <w:p w:rsidR="00896F39" w:rsidRPr="00DB62AE" w:rsidRDefault="00896F39" w:rsidP="00E7317C">
            <w:pPr>
              <w:ind w:firstLine="33"/>
              <w:jc w:val="center"/>
              <w:rPr>
                <w:sz w:val="20"/>
                <w:szCs w:val="20"/>
              </w:rPr>
            </w:pPr>
          </w:p>
          <w:p w:rsidR="00896F39" w:rsidRPr="00DB62AE" w:rsidRDefault="00896F39" w:rsidP="00E7317C">
            <w:pPr>
              <w:ind w:firstLine="33"/>
              <w:jc w:val="center"/>
              <w:rPr>
                <w:sz w:val="20"/>
                <w:szCs w:val="20"/>
              </w:rPr>
            </w:pPr>
            <w:r w:rsidRPr="00DB62AE">
              <w:rPr>
                <w:sz w:val="20"/>
                <w:szCs w:val="20"/>
              </w:rPr>
              <w:t>101,9</w:t>
            </w:r>
          </w:p>
        </w:tc>
        <w:tc>
          <w:tcPr>
            <w:tcW w:w="1276" w:type="dxa"/>
            <w:shd w:val="clear" w:color="auto" w:fill="auto"/>
          </w:tcPr>
          <w:p w:rsidR="00896F39" w:rsidRPr="00DB62AE" w:rsidRDefault="00896F39" w:rsidP="00E7317C">
            <w:pPr>
              <w:jc w:val="center"/>
              <w:rPr>
                <w:sz w:val="20"/>
                <w:szCs w:val="20"/>
              </w:rPr>
            </w:pPr>
          </w:p>
          <w:p w:rsidR="00896F39" w:rsidRPr="00DB62AE" w:rsidRDefault="00896F39" w:rsidP="00E7317C">
            <w:pPr>
              <w:jc w:val="center"/>
              <w:rPr>
                <w:sz w:val="20"/>
                <w:szCs w:val="20"/>
              </w:rPr>
            </w:pPr>
            <w:r w:rsidRPr="00DB62AE">
              <w:rPr>
                <w:sz w:val="20"/>
                <w:szCs w:val="20"/>
              </w:rPr>
              <w:t>6 901 938</w:t>
            </w:r>
          </w:p>
        </w:tc>
        <w:tc>
          <w:tcPr>
            <w:tcW w:w="850" w:type="dxa"/>
            <w:shd w:val="clear" w:color="auto" w:fill="auto"/>
          </w:tcPr>
          <w:p w:rsidR="00896F39" w:rsidRPr="00DB62AE" w:rsidRDefault="00896F39" w:rsidP="00E7317C">
            <w:pPr>
              <w:ind w:firstLine="709"/>
              <w:jc w:val="center"/>
              <w:rPr>
                <w:sz w:val="20"/>
                <w:szCs w:val="20"/>
              </w:rPr>
            </w:pPr>
            <w:r w:rsidRPr="00DB62AE">
              <w:rPr>
                <w:sz w:val="20"/>
                <w:szCs w:val="20"/>
              </w:rPr>
              <w:t>1101,5</w:t>
            </w:r>
          </w:p>
        </w:tc>
        <w:tc>
          <w:tcPr>
            <w:tcW w:w="1276" w:type="dxa"/>
          </w:tcPr>
          <w:p w:rsidR="00896F39" w:rsidRPr="00DB62AE" w:rsidRDefault="00896F39" w:rsidP="00E7317C">
            <w:pPr>
              <w:jc w:val="center"/>
              <w:rPr>
                <w:sz w:val="20"/>
                <w:szCs w:val="20"/>
              </w:rPr>
            </w:pPr>
          </w:p>
          <w:p w:rsidR="00896F39" w:rsidRPr="00DB62AE" w:rsidRDefault="00896F39" w:rsidP="00E7317C">
            <w:pPr>
              <w:jc w:val="center"/>
              <w:rPr>
                <w:sz w:val="20"/>
                <w:szCs w:val="20"/>
              </w:rPr>
            </w:pPr>
            <w:r w:rsidRPr="00DB62AE">
              <w:rPr>
                <w:sz w:val="20"/>
                <w:szCs w:val="20"/>
              </w:rPr>
              <w:t>6 900 336</w:t>
            </w:r>
          </w:p>
        </w:tc>
        <w:tc>
          <w:tcPr>
            <w:tcW w:w="709" w:type="dxa"/>
          </w:tcPr>
          <w:p w:rsidR="00896F39" w:rsidRPr="00DB62AE" w:rsidRDefault="00896F39" w:rsidP="00E7317C">
            <w:pPr>
              <w:jc w:val="center"/>
              <w:rPr>
                <w:sz w:val="20"/>
                <w:szCs w:val="20"/>
              </w:rPr>
            </w:pPr>
          </w:p>
          <w:p w:rsidR="00896F39" w:rsidRPr="00DB62AE" w:rsidRDefault="00896F39" w:rsidP="00E7317C">
            <w:pPr>
              <w:jc w:val="center"/>
              <w:rPr>
                <w:sz w:val="20"/>
                <w:szCs w:val="20"/>
              </w:rPr>
            </w:pPr>
            <w:r w:rsidRPr="00DB62AE">
              <w:rPr>
                <w:sz w:val="20"/>
                <w:szCs w:val="20"/>
              </w:rPr>
              <w:t>100</w:t>
            </w:r>
          </w:p>
        </w:tc>
      </w:tr>
      <w:tr w:rsidR="00896F39" w:rsidRPr="00DB62AE" w:rsidTr="00E7317C">
        <w:tc>
          <w:tcPr>
            <w:tcW w:w="3085" w:type="dxa"/>
            <w:shd w:val="clear" w:color="auto" w:fill="auto"/>
          </w:tcPr>
          <w:p w:rsidR="00896F39" w:rsidRPr="00DB62AE" w:rsidRDefault="00896F39" w:rsidP="005D6ACF">
            <w:pPr>
              <w:numPr>
                <w:ilvl w:val="0"/>
                <w:numId w:val="15"/>
              </w:numPr>
              <w:ind w:left="0" w:firstLine="0"/>
              <w:rPr>
                <w:sz w:val="20"/>
                <w:szCs w:val="20"/>
              </w:rPr>
            </w:pPr>
            <w:r w:rsidRPr="00DB62AE">
              <w:rPr>
                <w:sz w:val="20"/>
                <w:szCs w:val="20"/>
              </w:rPr>
              <w:t>Сумма налога, исчисленная от кадастровой стоимости</w:t>
            </w:r>
          </w:p>
          <w:p w:rsidR="00896F39" w:rsidRPr="00DB62AE" w:rsidRDefault="00896F39" w:rsidP="00E7317C">
            <w:pPr>
              <w:jc w:val="both"/>
              <w:rPr>
                <w:sz w:val="20"/>
                <w:szCs w:val="20"/>
              </w:rPr>
            </w:pPr>
            <w:r w:rsidRPr="00DB62AE">
              <w:rPr>
                <w:sz w:val="20"/>
                <w:szCs w:val="20"/>
              </w:rPr>
              <w:t>стр.3 х стр.7</w:t>
            </w:r>
          </w:p>
        </w:tc>
        <w:tc>
          <w:tcPr>
            <w:tcW w:w="1276" w:type="dxa"/>
            <w:shd w:val="clear" w:color="auto" w:fill="auto"/>
          </w:tcPr>
          <w:p w:rsidR="00896F39" w:rsidRPr="00DB62AE" w:rsidRDefault="00896F39" w:rsidP="00E7317C">
            <w:pPr>
              <w:jc w:val="center"/>
              <w:rPr>
                <w:sz w:val="20"/>
                <w:szCs w:val="20"/>
              </w:rPr>
            </w:pPr>
          </w:p>
          <w:p w:rsidR="00896F39" w:rsidRPr="00DB62AE" w:rsidRDefault="00896F39" w:rsidP="00E7317C">
            <w:pPr>
              <w:jc w:val="center"/>
              <w:rPr>
                <w:sz w:val="20"/>
                <w:szCs w:val="20"/>
              </w:rPr>
            </w:pPr>
            <w:r w:rsidRPr="00DB62AE">
              <w:rPr>
                <w:sz w:val="20"/>
                <w:szCs w:val="20"/>
              </w:rPr>
              <w:t>52 863</w:t>
            </w:r>
          </w:p>
        </w:tc>
        <w:tc>
          <w:tcPr>
            <w:tcW w:w="1134" w:type="dxa"/>
            <w:shd w:val="clear" w:color="auto" w:fill="auto"/>
          </w:tcPr>
          <w:p w:rsidR="00896F39" w:rsidRPr="00DB62AE" w:rsidRDefault="00896F39" w:rsidP="00E7317C">
            <w:pPr>
              <w:ind w:firstLine="22"/>
              <w:jc w:val="center"/>
              <w:rPr>
                <w:sz w:val="20"/>
                <w:szCs w:val="20"/>
              </w:rPr>
            </w:pPr>
          </w:p>
          <w:p w:rsidR="00896F39" w:rsidRPr="00DB62AE" w:rsidRDefault="00896F39" w:rsidP="00E7317C">
            <w:pPr>
              <w:ind w:firstLine="22"/>
              <w:jc w:val="center"/>
              <w:rPr>
                <w:sz w:val="20"/>
                <w:szCs w:val="20"/>
              </w:rPr>
            </w:pPr>
            <w:r w:rsidRPr="00DB62AE">
              <w:rPr>
                <w:sz w:val="20"/>
                <w:szCs w:val="20"/>
              </w:rPr>
              <w:t>101,7</w:t>
            </w:r>
          </w:p>
        </w:tc>
        <w:tc>
          <w:tcPr>
            <w:tcW w:w="1276" w:type="dxa"/>
            <w:shd w:val="clear" w:color="auto" w:fill="auto"/>
          </w:tcPr>
          <w:p w:rsidR="00896F39" w:rsidRPr="00DB62AE" w:rsidRDefault="00896F39" w:rsidP="00E7317C">
            <w:pPr>
              <w:jc w:val="center"/>
              <w:rPr>
                <w:sz w:val="20"/>
                <w:szCs w:val="20"/>
              </w:rPr>
            </w:pPr>
          </w:p>
          <w:p w:rsidR="00896F39" w:rsidRPr="00DB62AE" w:rsidRDefault="00896F39" w:rsidP="00E7317C">
            <w:pPr>
              <w:jc w:val="center"/>
              <w:rPr>
                <w:sz w:val="20"/>
                <w:szCs w:val="20"/>
              </w:rPr>
            </w:pPr>
            <w:r w:rsidRPr="00DB62AE">
              <w:rPr>
                <w:sz w:val="20"/>
                <w:szCs w:val="20"/>
              </w:rPr>
              <w:t>52 955</w:t>
            </w:r>
          </w:p>
        </w:tc>
        <w:tc>
          <w:tcPr>
            <w:tcW w:w="850" w:type="dxa"/>
            <w:shd w:val="clear" w:color="auto" w:fill="auto"/>
          </w:tcPr>
          <w:p w:rsidR="00896F39" w:rsidRPr="00DB62AE" w:rsidRDefault="00896F39" w:rsidP="00E7317C">
            <w:pPr>
              <w:ind w:firstLine="709"/>
              <w:jc w:val="center"/>
              <w:rPr>
                <w:sz w:val="20"/>
                <w:szCs w:val="20"/>
              </w:rPr>
            </w:pPr>
            <w:r w:rsidRPr="00DB62AE">
              <w:rPr>
                <w:sz w:val="20"/>
                <w:szCs w:val="20"/>
              </w:rPr>
              <w:t>1100,2</w:t>
            </w:r>
          </w:p>
        </w:tc>
        <w:tc>
          <w:tcPr>
            <w:tcW w:w="1276" w:type="dxa"/>
          </w:tcPr>
          <w:p w:rsidR="00896F39" w:rsidRPr="00DB62AE" w:rsidRDefault="00896F39" w:rsidP="00E7317C">
            <w:pPr>
              <w:ind w:hanging="102"/>
              <w:jc w:val="center"/>
              <w:rPr>
                <w:sz w:val="20"/>
                <w:szCs w:val="20"/>
              </w:rPr>
            </w:pPr>
          </w:p>
          <w:p w:rsidR="00896F39" w:rsidRPr="00DB62AE" w:rsidRDefault="00896F39" w:rsidP="00E7317C">
            <w:pPr>
              <w:ind w:hanging="102"/>
              <w:jc w:val="center"/>
              <w:rPr>
                <w:sz w:val="20"/>
                <w:szCs w:val="20"/>
              </w:rPr>
            </w:pPr>
            <w:r w:rsidRPr="00DB62AE">
              <w:rPr>
                <w:sz w:val="20"/>
                <w:szCs w:val="20"/>
              </w:rPr>
              <w:t>52 329</w:t>
            </w:r>
          </w:p>
        </w:tc>
        <w:tc>
          <w:tcPr>
            <w:tcW w:w="709" w:type="dxa"/>
          </w:tcPr>
          <w:p w:rsidR="00896F39" w:rsidRPr="00DB62AE" w:rsidRDefault="00896F39" w:rsidP="00E7317C">
            <w:pPr>
              <w:ind w:hanging="102"/>
              <w:jc w:val="center"/>
              <w:rPr>
                <w:sz w:val="20"/>
                <w:szCs w:val="20"/>
              </w:rPr>
            </w:pPr>
          </w:p>
          <w:p w:rsidR="00896F39" w:rsidRPr="00DB62AE" w:rsidRDefault="00896F39" w:rsidP="00E7317C">
            <w:pPr>
              <w:ind w:hanging="102"/>
              <w:jc w:val="center"/>
              <w:rPr>
                <w:sz w:val="20"/>
                <w:szCs w:val="20"/>
              </w:rPr>
            </w:pPr>
            <w:r w:rsidRPr="00DB62AE">
              <w:rPr>
                <w:sz w:val="20"/>
                <w:szCs w:val="20"/>
              </w:rPr>
              <w:t>98,8</w:t>
            </w:r>
          </w:p>
        </w:tc>
      </w:tr>
      <w:tr w:rsidR="00896F39" w:rsidRPr="00DB62AE" w:rsidTr="00E7317C">
        <w:tc>
          <w:tcPr>
            <w:tcW w:w="3085" w:type="dxa"/>
            <w:shd w:val="clear" w:color="auto" w:fill="auto"/>
          </w:tcPr>
          <w:p w:rsidR="00896F39" w:rsidRPr="00DB62AE" w:rsidRDefault="00896F39" w:rsidP="005D6ACF">
            <w:pPr>
              <w:numPr>
                <w:ilvl w:val="0"/>
                <w:numId w:val="15"/>
              </w:numPr>
              <w:ind w:left="0" w:firstLine="0"/>
              <w:rPr>
                <w:sz w:val="20"/>
                <w:szCs w:val="20"/>
              </w:rPr>
            </w:pPr>
            <w:r w:rsidRPr="00DB62AE">
              <w:rPr>
                <w:sz w:val="20"/>
                <w:szCs w:val="20"/>
              </w:rPr>
              <w:t xml:space="preserve">Сумма налога, исчисленная к уплате    </w:t>
            </w:r>
          </w:p>
          <w:p w:rsidR="00896F39" w:rsidRPr="00DB62AE" w:rsidRDefault="00896F39" w:rsidP="00E7317C">
            <w:pPr>
              <w:rPr>
                <w:sz w:val="20"/>
                <w:szCs w:val="20"/>
              </w:rPr>
            </w:pPr>
            <w:r w:rsidRPr="00DB62AE">
              <w:rPr>
                <w:sz w:val="20"/>
                <w:szCs w:val="20"/>
              </w:rPr>
              <w:t>стр. 8 + стр.9</w:t>
            </w:r>
          </w:p>
        </w:tc>
        <w:tc>
          <w:tcPr>
            <w:tcW w:w="1276" w:type="dxa"/>
            <w:shd w:val="clear" w:color="auto" w:fill="auto"/>
          </w:tcPr>
          <w:p w:rsidR="00896F39" w:rsidRPr="00DB62AE" w:rsidRDefault="00896F39" w:rsidP="00E7317C">
            <w:pPr>
              <w:rPr>
                <w:sz w:val="20"/>
                <w:szCs w:val="20"/>
              </w:rPr>
            </w:pPr>
            <w:r w:rsidRPr="00DB62AE">
              <w:rPr>
                <w:sz w:val="20"/>
                <w:szCs w:val="20"/>
              </w:rPr>
              <w:t xml:space="preserve"> </w:t>
            </w:r>
          </w:p>
          <w:p w:rsidR="00896F39" w:rsidRPr="00DB62AE" w:rsidRDefault="00896F39" w:rsidP="00E7317C">
            <w:pPr>
              <w:rPr>
                <w:sz w:val="20"/>
                <w:szCs w:val="20"/>
              </w:rPr>
            </w:pPr>
            <w:r w:rsidRPr="00DB62AE">
              <w:rPr>
                <w:sz w:val="20"/>
                <w:szCs w:val="20"/>
              </w:rPr>
              <w:t>6 851 015</w:t>
            </w:r>
          </w:p>
        </w:tc>
        <w:tc>
          <w:tcPr>
            <w:tcW w:w="1134" w:type="dxa"/>
            <w:shd w:val="clear" w:color="auto" w:fill="auto"/>
          </w:tcPr>
          <w:p w:rsidR="00896F39" w:rsidRPr="00DB62AE" w:rsidRDefault="00896F39" w:rsidP="00E7317C">
            <w:pPr>
              <w:ind w:firstLine="22"/>
              <w:jc w:val="center"/>
              <w:rPr>
                <w:sz w:val="20"/>
                <w:szCs w:val="20"/>
              </w:rPr>
            </w:pPr>
          </w:p>
          <w:p w:rsidR="00896F39" w:rsidRPr="00DB62AE" w:rsidRDefault="00896F39" w:rsidP="00E7317C">
            <w:pPr>
              <w:ind w:firstLine="22"/>
              <w:jc w:val="center"/>
              <w:rPr>
                <w:sz w:val="20"/>
                <w:szCs w:val="20"/>
              </w:rPr>
            </w:pPr>
            <w:r w:rsidRPr="00DB62AE">
              <w:rPr>
                <w:sz w:val="20"/>
                <w:szCs w:val="20"/>
              </w:rPr>
              <w:t>101,9</w:t>
            </w:r>
          </w:p>
        </w:tc>
        <w:tc>
          <w:tcPr>
            <w:tcW w:w="1276" w:type="dxa"/>
            <w:shd w:val="clear" w:color="auto" w:fill="auto"/>
          </w:tcPr>
          <w:p w:rsidR="00896F39" w:rsidRPr="00DB62AE" w:rsidRDefault="00896F39" w:rsidP="00E7317C">
            <w:pPr>
              <w:jc w:val="center"/>
              <w:rPr>
                <w:sz w:val="20"/>
                <w:szCs w:val="20"/>
              </w:rPr>
            </w:pPr>
          </w:p>
          <w:p w:rsidR="00896F39" w:rsidRPr="00DB62AE" w:rsidRDefault="00896F39" w:rsidP="00E7317C">
            <w:pPr>
              <w:jc w:val="center"/>
              <w:rPr>
                <w:sz w:val="20"/>
                <w:szCs w:val="20"/>
              </w:rPr>
            </w:pPr>
            <w:r w:rsidRPr="00DB62AE">
              <w:rPr>
                <w:sz w:val="20"/>
                <w:szCs w:val="20"/>
              </w:rPr>
              <w:t>6 954 893</w:t>
            </w:r>
          </w:p>
        </w:tc>
        <w:tc>
          <w:tcPr>
            <w:tcW w:w="850" w:type="dxa"/>
            <w:shd w:val="clear" w:color="auto" w:fill="auto"/>
          </w:tcPr>
          <w:p w:rsidR="00896F39" w:rsidRPr="00DB62AE" w:rsidRDefault="00896F39" w:rsidP="00E7317C">
            <w:pPr>
              <w:ind w:firstLine="709"/>
              <w:jc w:val="center"/>
              <w:rPr>
                <w:sz w:val="20"/>
                <w:szCs w:val="20"/>
              </w:rPr>
            </w:pPr>
            <w:r w:rsidRPr="00DB62AE">
              <w:rPr>
                <w:sz w:val="20"/>
                <w:szCs w:val="20"/>
              </w:rPr>
              <w:t>1101,5</w:t>
            </w:r>
          </w:p>
        </w:tc>
        <w:tc>
          <w:tcPr>
            <w:tcW w:w="1276" w:type="dxa"/>
          </w:tcPr>
          <w:p w:rsidR="00896F39" w:rsidRPr="00DB62AE" w:rsidRDefault="00896F39" w:rsidP="00E7317C">
            <w:pPr>
              <w:jc w:val="center"/>
              <w:rPr>
                <w:sz w:val="20"/>
                <w:szCs w:val="20"/>
              </w:rPr>
            </w:pPr>
          </w:p>
          <w:p w:rsidR="00896F39" w:rsidRPr="00DB62AE" w:rsidRDefault="00896F39" w:rsidP="00E7317C">
            <w:pPr>
              <w:jc w:val="center"/>
              <w:rPr>
                <w:sz w:val="20"/>
                <w:szCs w:val="20"/>
              </w:rPr>
            </w:pPr>
            <w:r w:rsidRPr="00DB62AE">
              <w:rPr>
                <w:sz w:val="20"/>
                <w:szCs w:val="20"/>
              </w:rPr>
              <w:t>6 952 665</w:t>
            </w:r>
          </w:p>
        </w:tc>
        <w:tc>
          <w:tcPr>
            <w:tcW w:w="709" w:type="dxa"/>
          </w:tcPr>
          <w:p w:rsidR="00896F39" w:rsidRPr="00DB62AE" w:rsidRDefault="00896F39" w:rsidP="00E7317C">
            <w:pPr>
              <w:jc w:val="center"/>
              <w:rPr>
                <w:sz w:val="20"/>
                <w:szCs w:val="20"/>
              </w:rPr>
            </w:pPr>
          </w:p>
          <w:p w:rsidR="00896F39" w:rsidRPr="00DB62AE" w:rsidRDefault="00896F39" w:rsidP="00E7317C">
            <w:pPr>
              <w:jc w:val="center"/>
              <w:rPr>
                <w:sz w:val="20"/>
                <w:szCs w:val="20"/>
              </w:rPr>
            </w:pPr>
            <w:r w:rsidRPr="00DB62AE">
              <w:rPr>
                <w:sz w:val="20"/>
                <w:szCs w:val="20"/>
              </w:rPr>
              <w:t>100</w:t>
            </w:r>
          </w:p>
        </w:tc>
      </w:tr>
      <w:tr w:rsidR="00896F39" w:rsidRPr="00DB62AE" w:rsidTr="00E7317C">
        <w:tc>
          <w:tcPr>
            <w:tcW w:w="3085" w:type="dxa"/>
            <w:shd w:val="clear" w:color="auto" w:fill="auto"/>
          </w:tcPr>
          <w:p w:rsidR="00896F39" w:rsidRPr="00DB62AE" w:rsidRDefault="00896F39" w:rsidP="005D6ACF">
            <w:pPr>
              <w:numPr>
                <w:ilvl w:val="0"/>
                <w:numId w:val="15"/>
              </w:numPr>
              <w:ind w:left="0" w:firstLine="0"/>
              <w:rPr>
                <w:sz w:val="20"/>
                <w:szCs w:val="20"/>
              </w:rPr>
            </w:pPr>
            <w:r w:rsidRPr="00DB62AE">
              <w:rPr>
                <w:sz w:val="20"/>
                <w:szCs w:val="20"/>
              </w:rPr>
              <w:t xml:space="preserve">Сумма налога исчисленная в отношении ж/д </w:t>
            </w:r>
            <w:r w:rsidRPr="00DB62AE">
              <w:rPr>
                <w:sz w:val="20"/>
                <w:szCs w:val="20"/>
              </w:rPr>
              <w:lastRenderedPageBreak/>
              <w:t xml:space="preserve">путей 9исходя из стоимости по данным Минэконом развития Тверской области) </w:t>
            </w:r>
          </w:p>
          <w:p w:rsidR="00896F39" w:rsidRPr="00DB62AE" w:rsidRDefault="00896F39" w:rsidP="00E7317C">
            <w:pPr>
              <w:rPr>
                <w:sz w:val="20"/>
                <w:szCs w:val="20"/>
              </w:rPr>
            </w:pPr>
            <w:r w:rsidRPr="00DB62AE">
              <w:rPr>
                <w:sz w:val="20"/>
                <w:szCs w:val="20"/>
              </w:rPr>
              <w:t xml:space="preserve">2022 год 30 640 997 х 1,6%  </w:t>
            </w:r>
          </w:p>
          <w:p w:rsidR="00896F39" w:rsidRPr="00DB62AE" w:rsidRDefault="00896F39" w:rsidP="00E7317C">
            <w:pPr>
              <w:rPr>
                <w:sz w:val="20"/>
                <w:szCs w:val="20"/>
              </w:rPr>
            </w:pPr>
            <w:r w:rsidRPr="00DB62AE">
              <w:rPr>
                <w:sz w:val="20"/>
                <w:szCs w:val="20"/>
              </w:rPr>
              <w:t>2023 год 30 671 638 х1,6%</w:t>
            </w:r>
          </w:p>
          <w:p w:rsidR="00896F39" w:rsidRPr="00DB62AE" w:rsidRDefault="00896F39" w:rsidP="00E7317C">
            <w:pPr>
              <w:rPr>
                <w:sz w:val="20"/>
                <w:szCs w:val="20"/>
              </w:rPr>
            </w:pPr>
            <w:r w:rsidRPr="00DB62AE">
              <w:rPr>
                <w:sz w:val="20"/>
                <w:szCs w:val="20"/>
              </w:rPr>
              <w:t>2024 год 30 824 996 х2,2%</w:t>
            </w:r>
          </w:p>
        </w:tc>
        <w:tc>
          <w:tcPr>
            <w:tcW w:w="1276" w:type="dxa"/>
            <w:shd w:val="clear" w:color="auto" w:fill="auto"/>
          </w:tcPr>
          <w:p w:rsidR="00896F39" w:rsidRPr="00DB62AE" w:rsidRDefault="00896F39" w:rsidP="00E7317C">
            <w:pPr>
              <w:jc w:val="center"/>
              <w:rPr>
                <w:sz w:val="20"/>
                <w:szCs w:val="20"/>
              </w:rPr>
            </w:pPr>
          </w:p>
          <w:p w:rsidR="00896F39" w:rsidRPr="00DB62AE" w:rsidRDefault="00896F39" w:rsidP="00E7317C">
            <w:pPr>
              <w:jc w:val="center"/>
              <w:rPr>
                <w:sz w:val="20"/>
                <w:szCs w:val="20"/>
              </w:rPr>
            </w:pPr>
            <w:r w:rsidRPr="00DB62AE">
              <w:rPr>
                <w:sz w:val="20"/>
                <w:szCs w:val="20"/>
              </w:rPr>
              <w:t>490 256</w:t>
            </w:r>
          </w:p>
        </w:tc>
        <w:tc>
          <w:tcPr>
            <w:tcW w:w="1134" w:type="dxa"/>
            <w:shd w:val="clear" w:color="auto" w:fill="auto"/>
          </w:tcPr>
          <w:p w:rsidR="00896F39" w:rsidRPr="00DB62AE" w:rsidRDefault="00896F39" w:rsidP="00E7317C">
            <w:pPr>
              <w:ind w:firstLine="33"/>
              <w:jc w:val="center"/>
              <w:rPr>
                <w:sz w:val="20"/>
                <w:szCs w:val="20"/>
              </w:rPr>
            </w:pPr>
          </w:p>
          <w:p w:rsidR="00896F39" w:rsidRPr="00DB62AE" w:rsidRDefault="00896F39" w:rsidP="00E7317C">
            <w:pPr>
              <w:ind w:firstLine="33"/>
              <w:jc w:val="center"/>
              <w:rPr>
                <w:sz w:val="20"/>
                <w:szCs w:val="20"/>
              </w:rPr>
            </w:pPr>
            <w:r w:rsidRPr="00DB62AE">
              <w:rPr>
                <w:sz w:val="20"/>
                <w:szCs w:val="20"/>
              </w:rPr>
              <w:t>101,4</w:t>
            </w:r>
          </w:p>
        </w:tc>
        <w:tc>
          <w:tcPr>
            <w:tcW w:w="1276" w:type="dxa"/>
            <w:shd w:val="clear" w:color="auto" w:fill="auto"/>
          </w:tcPr>
          <w:p w:rsidR="00896F39" w:rsidRPr="00DB62AE" w:rsidRDefault="00896F39" w:rsidP="00E7317C">
            <w:pPr>
              <w:jc w:val="center"/>
              <w:rPr>
                <w:sz w:val="20"/>
                <w:szCs w:val="20"/>
              </w:rPr>
            </w:pPr>
          </w:p>
          <w:p w:rsidR="00896F39" w:rsidRPr="00DB62AE" w:rsidRDefault="00896F39" w:rsidP="00E7317C">
            <w:pPr>
              <w:jc w:val="center"/>
              <w:rPr>
                <w:sz w:val="20"/>
                <w:szCs w:val="20"/>
              </w:rPr>
            </w:pPr>
            <w:r w:rsidRPr="00DB62AE">
              <w:rPr>
                <w:sz w:val="20"/>
                <w:szCs w:val="20"/>
              </w:rPr>
              <w:t>490 746</w:t>
            </w:r>
          </w:p>
        </w:tc>
        <w:tc>
          <w:tcPr>
            <w:tcW w:w="850" w:type="dxa"/>
            <w:shd w:val="clear" w:color="auto" w:fill="auto"/>
          </w:tcPr>
          <w:p w:rsidR="00896F39" w:rsidRPr="00DB62AE" w:rsidRDefault="00896F39" w:rsidP="00E7317C">
            <w:pPr>
              <w:ind w:firstLine="34"/>
              <w:jc w:val="center"/>
              <w:rPr>
                <w:sz w:val="20"/>
                <w:szCs w:val="20"/>
              </w:rPr>
            </w:pPr>
          </w:p>
          <w:p w:rsidR="00896F39" w:rsidRPr="00DB62AE" w:rsidRDefault="00896F39" w:rsidP="00E7317C">
            <w:pPr>
              <w:ind w:firstLine="34"/>
              <w:jc w:val="center"/>
              <w:rPr>
                <w:sz w:val="20"/>
                <w:szCs w:val="20"/>
              </w:rPr>
            </w:pPr>
            <w:r w:rsidRPr="00DB62AE">
              <w:rPr>
                <w:sz w:val="20"/>
                <w:szCs w:val="20"/>
              </w:rPr>
              <w:t>100,1</w:t>
            </w:r>
          </w:p>
        </w:tc>
        <w:tc>
          <w:tcPr>
            <w:tcW w:w="1276" w:type="dxa"/>
          </w:tcPr>
          <w:p w:rsidR="00896F39" w:rsidRPr="00DB62AE" w:rsidRDefault="00896F39" w:rsidP="00E7317C">
            <w:pPr>
              <w:ind w:firstLine="34"/>
              <w:jc w:val="center"/>
              <w:rPr>
                <w:sz w:val="20"/>
                <w:szCs w:val="20"/>
              </w:rPr>
            </w:pPr>
          </w:p>
          <w:p w:rsidR="00896F39" w:rsidRPr="00DB62AE" w:rsidRDefault="00896F39" w:rsidP="00E7317C">
            <w:pPr>
              <w:ind w:firstLine="34"/>
              <w:jc w:val="center"/>
              <w:rPr>
                <w:sz w:val="20"/>
                <w:szCs w:val="20"/>
              </w:rPr>
            </w:pPr>
            <w:r w:rsidRPr="00DB62AE">
              <w:rPr>
                <w:sz w:val="20"/>
                <w:szCs w:val="20"/>
              </w:rPr>
              <w:t>678 150</w:t>
            </w:r>
          </w:p>
        </w:tc>
        <w:tc>
          <w:tcPr>
            <w:tcW w:w="709" w:type="dxa"/>
          </w:tcPr>
          <w:p w:rsidR="00896F39" w:rsidRPr="00DB62AE" w:rsidRDefault="00896F39" w:rsidP="00E7317C">
            <w:pPr>
              <w:ind w:firstLine="34"/>
              <w:jc w:val="center"/>
              <w:rPr>
                <w:sz w:val="20"/>
                <w:szCs w:val="20"/>
              </w:rPr>
            </w:pPr>
          </w:p>
          <w:p w:rsidR="00896F39" w:rsidRPr="00DB62AE" w:rsidRDefault="00896F39" w:rsidP="00E7317C">
            <w:pPr>
              <w:ind w:firstLine="34"/>
              <w:jc w:val="center"/>
              <w:rPr>
                <w:sz w:val="20"/>
                <w:szCs w:val="20"/>
              </w:rPr>
            </w:pPr>
            <w:r w:rsidRPr="00DB62AE">
              <w:rPr>
                <w:sz w:val="20"/>
                <w:szCs w:val="20"/>
              </w:rPr>
              <w:t>138,2</w:t>
            </w:r>
          </w:p>
        </w:tc>
      </w:tr>
      <w:tr w:rsidR="00896F39" w:rsidRPr="00DB62AE" w:rsidTr="00E7317C">
        <w:tc>
          <w:tcPr>
            <w:tcW w:w="3085" w:type="dxa"/>
            <w:shd w:val="clear" w:color="auto" w:fill="auto"/>
          </w:tcPr>
          <w:p w:rsidR="00896F39" w:rsidRPr="00DB62AE" w:rsidRDefault="00896F39" w:rsidP="005D6ACF">
            <w:pPr>
              <w:numPr>
                <w:ilvl w:val="0"/>
                <w:numId w:val="15"/>
              </w:numPr>
              <w:ind w:left="0" w:firstLine="0"/>
              <w:rPr>
                <w:sz w:val="20"/>
                <w:szCs w:val="20"/>
              </w:rPr>
            </w:pPr>
            <w:r w:rsidRPr="00DB62AE">
              <w:rPr>
                <w:sz w:val="20"/>
                <w:szCs w:val="20"/>
              </w:rPr>
              <w:t>Сумма налога                    (стр. 8-стр.11)х темп роста по стр.1</w:t>
            </w:r>
          </w:p>
        </w:tc>
        <w:tc>
          <w:tcPr>
            <w:tcW w:w="1276" w:type="dxa"/>
            <w:shd w:val="clear" w:color="auto" w:fill="auto"/>
          </w:tcPr>
          <w:p w:rsidR="00896F39" w:rsidRPr="00DB62AE" w:rsidRDefault="00896F39" w:rsidP="00E7317C">
            <w:pPr>
              <w:jc w:val="center"/>
              <w:rPr>
                <w:sz w:val="20"/>
                <w:szCs w:val="20"/>
              </w:rPr>
            </w:pPr>
            <w:r w:rsidRPr="00DB62AE">
              <w:rPr>
                <w:sz w:val="20"/>
                <w:szCs w:val="20"/>
              </w:rPr>
              <w:t>6 415 130</w:t>
            </w:r>
          </w:p>
        </w:tc>
        <w:tc>
          <w:tcPr>
            <w:tcW w:w="1134" w:type="dxa"/>
            <w:shd w:val="clear" w:color="auto" w:fill="auto"/>
          </w:tcPr>
          <w:p w:rsidR="00896F39" w:rsidRPr="00DB62AE" w:rsidRDefault="00896F39" w:rsidP="00E7317C">
            <w:pPr>
              <w:ind w:firstLine="33"/>
              <w:jc w:val="center"/>
              <w:rPr>
                <w:sz w:val="20"/>
                <w:szCs w:val="20"/>
              </w:rPr>
            </w:pPr>
            <w:r w:rsidRPr="00DB62AE">
              <w:rPr>
                <w:sz w:val="20"/>
                <w:szCs w:val="20"/>
              </w:rPr>
              <w:t>101,7</w:t>
            </w:r>
          </w:p>
        </w:tc>
        <w:tc>
          <w:tcPr>
            <w:tcW w:w="1276" w:type="dxa"/>
            <w:shd w:val="clear" w:color="auto" w:fill="auto"/>
          </w:tcPr>
          <w:p w:rsidR="00896F39" w:rsidRPr="00DB62AE" w:rsidRDefault="00896F39" w:rsidP="00E7317C">
            <w:pPr>
              <w:jc w:val="center"/>
              <w:rPr>
                <w:sz w:val="20"/>
                <w:szCs w:val="20"/>
              </w:rPr>
            </w:pPr>
            <w:r w:rsidRPr="00DB62AE">
              <w:rPr>
                <w:sz w:val="20"/>
                <w:szCs w:val="20"/>
              </w:rPr>
              <w:t>6 424 014</w:t>
            </w:r>
          </w:p>
        </w:tc>
        <w:tc>
          <w:tcPr>
            <w:tcW w:w="850" w:type="dxa"/>
            <w:shd w:val="clear" w:color="auto" w:fill="auto"/>
          </w:tcPr>
          <w:p w:rsidR="00896F39" w:rsidRPr="00DB62AE" w:rsidRDefault="00896F39" w:rsidP="00E7317C">
            <w:pPr>
              <w:ind w:firstLine="34"/>
              <w:jc w:val="center"/>
              <w:rPr>
                <w:sz w:val="20"/>
                <w:szCs w:val="20"/>
              </w:rPr>
            </w:pPr>
            <w:r w:rsidRPr="00DB62AE">
              <w:rPr>
                <w:sz w:val="20"/>
                <w:szCs w:val="20"/>
              </w:rPr>
              <w:t>100,1</w:t>
            </w:r>
          </w:p>
        </w:tc>
        <w:tc>
          <w:tcPr>
            <w:tcW w:w="1276" w:type="dxa"/>
          </w:tcPr>
          <w:p w:rsidR="00896F39" w:rsidRPr="00DB62AE" w:rsidRDefault="00896F39" w:rsidP="00E7317C">
            <w:pPr>
              <w:ind w:firstLine="34"/>
              <w:jc w:val="center"/>
              <w:rPr>
                <w:sz w:val="20"/>
                <w:szCs w:val="20"/>
              </w:rPr>
            </w:pPr>
            <w:r w:rsidRPr="00DB62AE">
              <w:rPr>
                <w:sz w:val="20"/>
                <w:szCs w:val="20"/>
              </w:rPr>
              <w:t>6 147 520</w:t>
            </w:r>
          </w:p>
        </w:tc>
        <w:tc>
          <w:tcPr>
            <w:tcW w:w="709" w:type="dxa"/>
          </w:tcPr>
          <w:p w:rsidR="00896F39" w:rsidRPr="00DB62AE" w:rsidRDefault="00896F39" w:rsidP="00E7317C">
            <w:pPr>
              <w:ind w:firstLine="34"/>
              <w:jc w:val="center"/>
              <w:rPr>
                <w:sz w:val="20"/>
                <w:szCs w:val="20"/>
              </w:rPr>
            </w:pPr>
            <w:r w:rsidRPr="00DB62AE">
              <w:rPr>
                <w:sz w:val="20"/>
                <w:szCs w:val="20"/>
              </w:rPr>
              <w:t>95,7</w:t>
            </w:r>
          </w:p>
        </w:tc>
      </w:tr>
      <w:tr w:rsidR="00896F39" w:rsidRPr="00DB62AE" w:rsidTr="00E7317C">
        <w:tc>
          <w:tcPr>
            <w:tcW w:w="3085" w:type="dxa"/>
            <w:shd w:val="clear" w:color="auto" w:fill="auto"/>
          </w:tcPr>
          <w:p w:rsidR="00896F39" w:rsidRPr="00DB62AE" w:rsidRDefault="00896F39" w:rsidP="005D6ACF">
            <w:pPr>
              <w:numPr>
                <w:ilvl w:val="0"/>
                <w:numId w:val="15"/>
              </w:numPr>
              <w:ind w:left="0" w:firstLine="0"/>
              <w:rPr>
                <w:sz w:val="20"/>
                <w:szCs w:val="20"/>
              </w:rPr>
            </w:pPr>
            <w:r w:rsidRPr="00DB62AE">
              <w:rPr>
                <w:sz w:val="20"/>
                <w:szCs w:val="20"/>
              </w:rPr>
              <w:t>Сумма налога дополнительно начисленная по ж/д  стр.12+стр.11-стр.8</w:t>
            </w:r>
          </w:p>
        </w:tc>
        <w:tc>
          <w:tcPr>
            <w:tcW w:w="1276" w:type="dxa"/>
            <w:shd w:val="clear" w:color="auto" w:fill="auto"/>
          </w:tcPr>
          <w:p w:rsidR="00896F39" w:rsidRPr="00DB62AE" w:rsidRDefault="00896F39" w:rsidP="00E7317C">
            <w:pPr>
              <w:jc w:val="center"/>
              <w:rPr>
                <w:sz w:val="20"/>
                <w:szCs w:val="20"/>
              </w:rPr>
            </w:pPr>
            <w:r w:rsidRPr="00DB62AE">
              <w:rPr>
                <w:sz w:val="20"/>
                <w:szCs w:val="20"/>
              </w:rPr>
              <w:t>107 234</w:t>
            </w:r>
          </w:p>
        </w:tc>
        <w:tc>
          <w:tcPr>
            <w:tcW w:w="1134" w:type="dxa"/>
            <w:shd w:val="clear" w:color="auto" w:fill="auto"/>
          </w:tcPr>
          <w:p w:rsidR="00896F39" w:rsidRPr="00DB62AE" w:rsidRDefault="00896F39" w:rsidP="00E7317C">
            <w:pPr>
              <w:ind w:firstLine="34"/>
              <w:rPr>
                <w:sz w:val="20"/>
                <w:szCs w:val="20"/>
              </w:rPr>
            </w:pPr>
            <w:r w:rsidRPr="00DB62AE">
              <w:rPr>
                <w:sz w:val="20"/>
                <w:szCs w:val="20"/>
              </w:rPr>
              <w:t>х</w:t>
            </w:r>
          </w:p>
        </w:tc>
        <w:tc>
          <w:tcPr>
            <w:tcW w:w="1276" w:type="dxa"/>
            <w:shd w:val="clear" w:color="auto" w:fill="auto"/>
          </w:tcPr>
          <w:p w:rsidR="00896F39" w:rsidRPr="00DB62AE" w:rsidRDefault="00896F39" w:rsidP="00E7317C">
            <w:pPr>
              <w:jc w:val="center"/>
              <w:rPr>
                <w:sz w:val="20"/>
                <w:szCs w:val="20"/>
              </w:rPr>
            </w:pPr>
            <w:r w:rsidRPr="00DB62AE">
              <w:rPr>
                <w:sz w:val="20"/>
                <w:szCs w:val="20"/>
              </w:rPr>
              <w:t>12 822</w:t>
            </w:r>
          </w:p>
        </w:tc>
        <w:tc>
          <w:tcPr>
            <w:tcW w:w="850" w:type="dxa"/>
            <w:shd w:val="clear" w:color="auto" w:fill="auto"/>
          </w:tcPr>
          <w:p w:rsidR="00896F39" w:rsidRPr="00DB62AE" w:rsidRDefault="00896F39" w:rsidP="00E7317C">
            <w:pPr>
              <w:ind w:firstLine="34"/>
              <w:jc w:val="center"/>
              <w:rPr>
                <w:sz w:val="20"/>
                <w:szCs w:val="20"/>
              </w:rPr>
            </w:pPr>
            <w:r w:rsidRPr="00DB62AE">
              <w:rPr>
                <w:sz w:val="20"/>
                <w:szCs w:val="20"/>
              </w:rPr>
              <w:t>х</w:t>
            </w:r>
          </w:p>
        </w:tc>
        <w:tc>
          <w:tcPr>
            <w:tcW w:w="1276" w:type="dxa"/>
          </w:tcPr>
          <w:p w:rsidR="00896F39" w:rsidRPr="00DB62AE" w:rsidRDefault="00896F39" w:rsidP="00E7317C">
            <w:pPr>
              <w:jc w:val="center"/>
              <w:rPr>
                <w:sz w:val="20"/>
                <w:szCs w:val="20"/>
              </w:rPr>
            </w:pPr>
            <w:r w:rsidRPr="00DB62AE">
              <w:rPr>
                <w:sz w:val="20"/>
                <w:szCs w:val="20"/>
              </w:rPr>
              <w:t>0</w:t>
            </w:r>
          </w:p>
        </w:tc>
        <w:tc>
          <w:tcPr>
            <w:tcW w:w="709" w:type="dxa"/>
          </w:tcPr>
          <w:p w:rsidR="00896F39" w:rsidRPr="00DB62AE" w:rsidRDefault="00896F39" w:rsidP="00E7317C">
            <w:pPr>
              <w:jc w:val="center"/>
              <w:rPr>
                <w:sz w:val="20"/>
                <w:szCs w:val="20"/>
              </w:rPr>
            </w:pPr>
            <w:r w:rsidRPr="00DB62AE">
              <w:rPr>
                <w:sz w:val="20"/>
                <w:szCs w:val="20"/>
              </w:rPr>
              <w:t>0</w:t>
            </w:r>
          </w:p>
        </w:tc>
      </w:tr>
      <w:tr w:rsidR="00896F39" w:rsidRPr="00DB62AE" w:rsidTr="00E7317C">
        <w:tc>
          <w:tcPr>
            <w:tcW w:w="3085" w:type="dxa"/>
            <w:shd w:val="clear" w:color="auto" w:fill="auto"/>
          </w:tcPr>
          <w:p w:rsidR="00896F39" w:rsidRPr="00DB62AE" w:rsidRDefault="00896F39" w:rsidP="005D6ACF">
            <w:pPr>
              <w:numPr>
                <w:ilvl w:val="0"/>
                <w:numId w:val="15"/>
              </w:numPr>
              <w:ind w:left="0" w:firstLine="0"/>
              <w:rPr>
                <w:sz w:val="20"/>
                <w:szCs w:val="20"/>
              </w:rPr>
            </w:pPr>
            <w:r w:rsidRPr="00DB62AE">
              <w:rPr>
                <w:sz w:val="20"/>
                <w:szCs w:val="20"/>
              </w:rPr>
              <w:t>Сумма налога исчисленная к уплате с учетом корректировки по ж/д стр.10+стр.13</w:t>
            </w:r>
          </w:p>
        </w:tc>
        <w:tc>
          <w:tcPr>
            <w:tcW w:w="1276" w:type="dxa"/>
            <w:shd w:val="clear" w:color="auto" w:fill="auto"/>
          </w:tcPr>
          <w:p w:rsidR="00896F39" w:rsidRPr="00DB62AE" w:rsidRDefault="00896F39" w:rsidP="00E7317C">
            <w:pPr>
              <w:jc w:val="center"/>
              <w:rPr>
                <w:sz w:val="20"/>
                <w:szCs w:val="20"/>
              </w:rPr>
            </w:pPr>
            <w:r w:rsidRPr="00DB62AE">
              <w:rPr>
                <w:sz w:val="20"/>
                <w:szCs w:val="20"/>
              </w:rPr>
              <w:t>6 958 249</w:t>
            </w:r>
          </w:p>
        </w:tc>
        <w:tc>
          <w:tcPr>
            <w:tcW w:w="1134" w:type="dxa"/>
            <w:shd w:val="clear" w:color="auto" w:fill="auto"/>
          </w:tcPr>
          <w:p w:rsidR="00896F39" w:rsidRPr="00DB62AE" w:rsidRDefault="00896F39" w:rsidP="00E7317C">
            <w:pPr>
              <w:ind w:firstLine="34"/>
              <w:jc w:val="center"/>
              <w:rPr>
                <w:sz w:val="20"/>
                <w:szCs w:val="20"/>
              </w:rPr>
            </w:pPr>
            <w:r w:rsidRPr="00DB62AE">
              <w:rPr>
                <w:sz w:val="20"/>
                <w:szCs w:val="20"/>
              </w:rPr>
              <w:t>101,7</w:t>
            </w:r>
          </w:p>
        </w:tc>
        <w:tc>
          <w:tcPr>
            <w:tcW w:w="1276" w:type="dxa"/>
            <w:shd w:val="clear" w:color="auto" w:fill="auto"/>
          </w:tcPr>
          <w:p w:rsidR="00896F39" w:rsidRPr="00DB62AE" w:rsidRDefault="00896F39" w:rsidP="00E7317C">
            <w:pPr>
              <w:jc w:val="center"/>
              <w:rPr>
                <w:sz w:val="20"/>
                <w:szCs w:val="20"/>
              </w:rPr>
            </w:pPr>
            <w:r w:rsidRPr="00DB62AE">
              <w:rPr>
                <w:sz w:val="20"/>
                <w:szCs w:val="20"/>
              </w:rPr>
              <w:t>6 967 715</w:t>
            </w:r>
          </w:p>
        </w:tc>
        <w:tc>
          <w:tcPr>
            <w:tcW w:w="850" w:type="dxa"/>
            <w:shd w:val="clear" w:color="auto" w:fill="auto"/>
          </w:tcPr>
          <w:p w:rsidR="00896F39" w:rsidRPr="00DB62AE" w:rsidRDefault="00896F39" w:rsidP="00E7317C">
            <w:pPr>
              <w:ind w:firstLine="34"/>
              <w:jc w:val="center"/>
              <w:rPr>
                <w:sz w:val="20"/>
                <w:szCs w:val="20"/>
              </w:rPr>
            </w:pPr>
            <w:r w:rsidRPr="00DB62AE">
              <w:rPr>
                <w:sz w:val="20"/>
                <w:szCs w:val="20"/>
              </w:rPr>
              <w:t>100,1</w:t>
            </w:r>
          </w:p>
        </w:tc>
        <w:tc>
          <w:tcPr>
            <w:tcW w:w="1276" w:type="dxa"/>
          </w:tcPr>
          <w:p w:rsidR="00896F39" w:rsidRPr="00DB62AE" w:rsidRDefault="00896F39" w:rsidP="00E7317C">
            <w:pPr>
              <w:jc w:val="center"/>
              <w:rPr>
                <w:sz w:val="20"/>
                <w:szCs w:val="20"/>
              </w:rPr>
            </w:pPr>
            <w:r w:rsidRPr="00DB62AE">
              <w:rPr>
                <w:sz w:val="20"/>
                <w:szCs w:val="20"/>
              </w:rPr>
              <w:t>6 952 665</w:t>
            </w:r>
          </w:p>
        </w:tc>
        <w:tc>
          <w:tcPr>
            <w:tcW w:w="709" w:type="dxa"/>
          </w:tcPr>
          <w:p w:rsidR="00896F39" w:rsidRPr="00DB62AE" w:rsidRDefault="00896F39" w:rsidP="00E7317C">
            <w:pPr>
              <w:jc w:val="center"/>
              <w:rPr>
                <w:sz w:val="20"/>
                <w:szCs w:val="20"/>
              </w:rPr>
            </w:pPr>
            <w:r w:rsidRPr="00DB62AE">
              <w:rPr>
                <w:sz w:val="20"/>
                <w:szCs w:val="20"/>
              </w:rPr>
              <w:t>99,8</w:t>
            </w:r>
          </w:p>
        </w:tc>
      </w:tr>
      <w:tr w:rsidR="00896F39" w:rsidRPr="00DB62AE" w:rsidTr="00E7317C">
        <w:tc>
          <w:tcPr>
            <w:tcW w:w="3085" w:type="dxa"/>
            <w:shd w:val="clear" w:color="auto" w:fill="auto"/>
          </w:tcPr>
          <w:p w:rsidR="00896F39" w:rsidRPr="00DB62AE" w:rsidRDefault="00896F39" w:rsidP="005D6ACF">
            <w:pPr>
              <w:numPr>
                <w:ilvl w:val="0"/>
                <w:numId w:val="15"/>
              </w:numPr>
              <w:ind w:left="0" w:firstLine="0"/>
              <w:rPr>
                <w:sz w:val="20"/>
                <w:szCs w:val="20"/>
              </w:rPr>
            </w:pPr>
            <w:r w:rsidRPr="00DB62AE">
              <w:rPr>
                <w:sz w:val="20"/>
                <w:szCs w:val="20"/>
              </w:rPr>
              <w:t xml:space="preserve">Коэффициент переходящих платежей по отчету 1-НМ начислено / отчет 5-НИО исчислено налога                                    2017 год </w:t>
            </w:r>
          </w:p>
          <w:p w:rsidR="00896F39" w:rsidRPr="00DB62AE" w:rsidRDefault="00896F39" w:rsidP="00E7317C">
            <w:pPr>
              <w:rPr>
                <w:sz w:val="20"/>
                <w:szCs w:val="20"/>
              </w:rPr>
            </w:pPr>
            <w:r w:rsidRPr="00DB62AE">
              <w:rPr>
                <w:sz w:val="20"/>
                <w:szCs w:val="20"/>
              </w:rPr>
              <w:t xml:space="preserve">7 553 642 / 7 264 654=103,98%                          2018 год </w:t>
            </w:r>
          </w:p>
          <w:p w:rsidR="00896F39" w:rsidRPr="00DB62AE" w:rsidRDefault="00896F39" w:rsidP="00E7317C">
            <w:pPr>
              <w:rPr>
                <w:sz w:val="20"/>
                <w:szCs w:val="20"/>
              </w:rPr>
            </w:pPr>
            <w:r w:rsidRPr="00DB62AE">
              <w:rPr>
                <w:sz w:val="20"/>
                <w:szCs w:val="20"/>
              </w:rPr>
              <w:t>8 058 123/8 007 227=100,64%</w:t>
            </w:r>
          </w:p>
          <w:p w:rsidR="00896F39" w:rsidRPr="00DB62AE" w:rsidRDefault="00896F39" w:rsidP="00E7317C">
            <w:pPr>
              <w:rPr>
                <w:sz w:val="20"/>
                <w:szCs w:val="20"/>
              </w:rPr>
            </w:pPr>
            <w:r w:rsidRPr="00DB62AE">
              <w:rPr>
                <w:sz w:val="20"/>
                <w:szCs w:val="20"/>
              </w:rPr>
              <w:t>2019 год</w:t>
            </w:r>
          </w:p>
          <w:p w:rsidR="00896F39" w:rsidRPr="00DB62AE" w:rsidRDefault="00896F39" w:rsidP="00E7317C">
            <w:pPr>
              <w:rPr>
                <w:sz w:val="20"/>
                <w:szCs w:val="20"/>
              </w:rPr>
            </w:pPr>
            <w:r w:rsidRPr="00DB62AE">
              <w:rPr>
                <w:sz w:val="20"/>
                <w:szCs w:val="20"/>
              </w:rPr>
              <w:t>6 643 913/6 334 409=104,89%</w:t>
            </w:r>
          </w:p>
          <w:p w:rsidR="00896F39" w:rsidRPr="00DB62AE" w:rsidRDefault="00896F39" w:rsidP="00E7317C">
            <w:pPr>
              <w:rPr>
                <w:sz w:val="20"/>
                <w:szCs w:val="20"/>
              </w:rPr>
            </w:pPr>
            <w:r w:rsidRPr="00DB62AE">
              <w:rPr>
                <w:sz w:val="20"/>
                <w:szCs w:val="20"/>
              </w:rPr>
              <w:t xml:space="preserve">Среднее за 3 года =(103,98+100,64+104,89) / 3 = 103,17 </w:t>
            </w:r>
          </w:p>
        </w:tc>
        <w:tc>
          <w:tcPr>
            <w:tcW w:w="1276" w:type="dxa"/>
            <w:shd w:val="clear" w:color="auto" w:fill="auto"/>
          </w:tcPr>
          <w:p w:rsidR="00896F39" w:rsidRPr="00DB62AE" w:rsidRDefault="00896F39" w:rsidP="00E7317C">
            <w:pPr>
              <w:jc w:val="center"/>
              <w:rPr>
                <w:sz w:val="20"/>
                <w:szCs w:val="20"/>
              </w:rPr>
            </w:pPr>
          </w:p>
          <w:p w:rsidR="00896F39" w:rsidRPr="00DB62AE" w:rsidRDefault="00896F39" w:rsidP="00E7317C">
            <w:pPr>
              <w:jc w:val="center"/>
              <w:rPr>
                <w:sz w:val="20"/>
                <w:szCs w:val="20"/>
              </w:rPr>
            </w:pPr>
            <w:r w:rsidRPr="00DB62AE">
              <w:rPr>
                <w:sz w:val="20"/>
                <w:szCs w:val="20"/>
              </w:rPr>
              <w:t>103,17</w:t>
            </w:r>
          </w:p>
        </w:tc>
        <w:tc>
          <w:tcPr>
            <w:tcW w:w="1134" w:type="dxa"/>
            <w:shd w:val="clear" w:color="auto" w:fill="auto"/>
          </w:tcPr>
          <w:p w:rsidR="00896F39" w:rsidRPr="00DB62AE" w:rsidRDefault="00896F39" w:rsidP="00E7317C">
            <w:pPr>
              <w:ind w:firstLine="34"/>
              <w:jc w:val="center"/>
              <w:rPr>
                <w:sz w:val="20"/>
                <w:szCs w:val="20"/>
              </w:rPr>
            </w:pPr>
          </w:p>
          <w:p w:rsidR="00896F39" w:rsidRPr="00DB62AE" w:rsidRDefault="00896F39" w:rsidP="00E7317C">
            <w:pPr>
              <w:ind w:firstLine="34"/>
              <w:jc w:val="center"/>
              <w:rPr>
                <w:sz w:val="20"/>
                <w:szCs w:val="20"/>
              </w:rPr>
            </w:pPr>
            <w:r w:rsidRPr="00DB62AE">
              <w:rPr>
                <w:sz w:val="20"/>
                <w:szCs w:val="20"/>
              </w:rPr>
              <w:t>х</w:t>
            </w:r>
          </w:p>
        </w:tc>
        <w:tc>
          <w:tcPr>
            <w:tcW w:w="1276" w:type="dxa"/>
            <w:shd w:val="clear" w:color="auto" w:fill="auto"/>
          </w:tcPr>
          <w:p w:rsidR="00896F39" w:rsidRPr="00DB62AE" w:rsidRDefault="00896F39" w:rsidP="00E7317C">
            <w:pPr>
              <w:jc w:val="center"/>
              <w:rPr>
                <w:sz w:val="20"/>
                <w:szCs w:val="20"/>
              </w:rPr>
            </w:pPr>
          </w:p>
          <w:p w:rsidR="00896F39" w:rsidRPr="00DB62AE" w:rsidRDefault="00896F39" w:rsidP="00E7317C">
            <w:pPr>
              <w:jc w:val="center"/>
              <w:rPr>
                <w:sz w:val="20"/>
                <w:szCs w:val="20"/>
              </w:rPr>
            </w:pPr>
            <w:r w:rsidRPr="00DB62AE">
              <w:rPr>
                <w:sz w:val="20"/>
                <w:szCs w:val="20"/>
              </w:rPr>
              <w:t>103,17</w:t>
            </w:r>
          </w:p>
        </w:tc>
        <w:tc>
          <w:tcPr>
            <w:tcW w:w="850" w:type="dxa"/>
            <w:shd w:val="clear" w:color="auto" w:fill="auto"/>
          </w:tcPr>
          <w:p w:rsidR="00896F39" w:rsidRPr="00DB62AE" w:rsidRDefault="00896F39" w:rsidP="00E7317C">
            <w:pPr>
              <w:ind w:firstLine="34"/>
              <w:jc w:val="center"/>
              <w:rPr>
                <w:sz w:val="20"/>
                <w:szCs w:val="20"/>
              </w:rPr>
            </w:pPr>
          </w:p>
          <w:p w:rsidR="00896F39" w:rsidRPr="00DB62AE" w:rsidRDefault="00896F39" w:rsidP="00E7317C">
            <w:pPr>
              <w:ind w:firstLine="34"/>
              <w:jc w:val="center"/>
              <w:rPr>
                <w:sz w:val="20"/>
                <w:szCs w:val="20"/>
              </w:rPr>
            </w:pPr>
            <w:r w:rsidRPr="00DB62AE">
              <w:rPr>
                <w:sz w:val="20"/>
                <w:szCs w:val="20"/>
              </w:rPr>
              <w:t>Х</w:t>
            </w:r>
          </w:p>
        </w:tc>
        <w:tc>
          <w:tcPr>
            <w:tcW w:w="1276" w:type="dxa"/>
          </w:tcPr>
          <w:p w:rsidR="00896F39" w:rsidRPr="00DB62AE" w:rsidRDefault="00896F39" w:rsidP="00E7317C">
            <w:pPr>
              <w:jc w:val="center"/>
              <w:rPr>
                <w:sz w:val="20"/>
                <w:szCs w:val="20"/>
              </w:rPr>
            </w:pPr>
          </w:p>
          <w:p w:rsidR="00896F39" w:rsidRPr="00DB62AE" w:rsidRDefault="00896F39" w:rsidP="00E7317C">
            <w:pPr>
              <w:jc w:val="center"/>
              <w:rPr>
                <w:sz w:val="20"/>
                <w:szCs w:val="20"/>
              </w:rPr>
            </w:pPr>
            <w:r w:rsidRPr="00DB62AE">
              <w:rPr>
                <w:sz w:val="20"/>
                <w:szCs w:val="20"/>
              </w:rPr>
              <w:t>103,17</w:t>
            </w:r>
          </w:p>
        </w:tc>
        <w:tc>
          <w:tcPr>
            <w:tcW w:w="709" w:type="dxa"/>
          </w:tcPr>
          <w:p w:rsidR="00896F39" w:rsidRPr="00DB62AE" w:rsidRDefault="00896F39" w:rsidP="00E7317C">
            <w:pPr>
              <w:jc w:val="center"/>
              <w:rPr>
                <w:sz w:val="20"/>
                <w:szCs w:val="20"/>
              </w:rPr>
            </w:pPr>
          </w:p>
          <w:p w:rsidR="00896F39" w:rsidRPr="00DB62AE" w:rsidRDefault="00896F39" w:rsidP="00E7317C">
            <w:pPr>
              <w:jc w:val="center"/>
              <w:rPr>
                <w:sz w:val="20"/>
                <w:szCs w:val="20"/>
              </w:rPr>
            </w:pPr>
            <w:r w:rsidRPr="00DB62AE">
              <w:rPr>
                <w:sz w:val="20"/>
                <w:szCs w:val="20"/>
              </w:rPr>
              <w:t>Х</w:t>
            </w:r>
          </w:p>
        </w:tc>
      </w:tr>
      <w:tr w:rsidR="00896F39" w:rsidRPr="00DB62AE" w:rsidTr="00E7317C">
        <w:tc>
          <w:tcPr>
            <w:tcW w:w="3085" w:type="dxa"/>
            <w:shd w:val="clear" w:color="auto" w:fill="auto"/>
          </w:tcPr>
          <w:p w:rsidR="00896F39" w:rsidRPr="00DB62AE" w:rsidRDefault="00896F39" w:rsidP="005D6ACF">
            <w:pPr>
              <w:numPr>
                <w:ilvl w:val="0"/>
                <w:numId w:val="15"/>
              </w:numPr>
              <w:ind w:left="0" w:firstLine="0"/>
              <w:rPr>
                <w:sz w:val="20"/>
                <w:szCs w:val="20"/>
              </w:rPr>
            </w:pPr>
            <w:r w:rsidRPr="00DB62AE">
              <w:rPr>
                <w:sz w:val="20"/>
                <w:szCs w:val="20"/>
              </w:rPr>
              <w:t>Коэффициент собираемости</w:t>
            </w:r>
          </w:p>
          <w:p w:rsidR="00896F39" w:rsidRPr="00DB62AE" w:rsidRDefault="00896F39" w:rsidP="00E7317C">
            <w:pPr>
              <w:jc w:val="both"/>
              <w:rPr>
                <w:sz w:val="20"/>
                <w:szCs w:val="20"/>
              </w:rPr>
            </w:pPr>
            <w:r w:rsidRPr="00DB62AE">
              <w:rPr>
                <w:sz w:val="20"/>
                <w:szCs w:val="20"/>
              </w:rPr>
              <w:t xml:space="preserve">Отчет 1-НМ поступило / начислено </w:t>
            </w:r>
          </w:p>
          <w:p w:rsidR="00896F39" w:rsidRPr="00DB62AE" w:rsidRDefault="00896F39" w:rsidP="00E7317C">
            <w:pPr>
              <w:jc w:val="both"/>
              <w:rPr>
                <w:sz w:val="20"/>
                <w:szCs w:val="20"/>
              </w:rPr>
            </w:pPr>
            <w:r w:rsidRPr="00DB62AE">
              <w:rPr>
                <w:sz w:val="20"/>
                <w:szCs w:val="20"/>
              </w:rPr>
              <w:t>2017 год</w:t>
            </w:r>
          </w:p>
          <w:p w:rsidR="00896F39" w:rsidRPr="00DB62AE" w:rsidRDefault="00896F39" w:rsidP="00E7317C">
            <w:pPr>
              <w:jc w:val="both"/>
              <w:rPr>
                <w:sz w:val="20"/>
                <w:szCs w:val="20"/>
              </w:rPr>
            </w:pPr>
            <w:r w:rsidRPr="00DB62AE">
              <w:rPr>
                <w:sz w:val="20"/>
                <w:szCs w:val="20"/>
              </w:rPr>
              <w:t xml:space="preserve"> 7 356 989/7 553 672=97,4%  </w:t>
            </w:r>
          </w:p>
          <w:p w:rsidR="00896F39" w:rsidRPr="00DB62AE" w:rsidRDefault="00896F39" w:rsidP="00E7317C">
            <w:pPr>
              <w:jc w:val="both"/>
              <w:rPr>
                <w:sz w:val="20"/>
                <w:szCs w:val="20"/>
              </w:rPr>
            </w:pPr>
            <w:r w:rsidRPr="00DB62AE">
              <w:rPr>
                <w:sz w:val="20"/>
                <w:szCs w:val="20"/>
              </w:rPr>
              <w:t>2018 год</w:t>
            </w:r>
          </w:p>
          <w:p w:rsidR="00896F39" w:rsidRPr="00DB62AE" w:rsidRDefault="00896F39" w:rsidP="00E7317C">
            <w:pPr>
              <w:jc w:val="both"/>
              <w:rPr>
                <w:sz w:val="20"/>
                <w:szCs w:val="20"/>
              </w:rPr>
            </w:pPr>
            <w:r w:rsidRPr="00DB62AE">
              <w:rPr>
                <w:sz w:val="20"/>
                <w:szCs w:val="20"/>
              </w:rPr>
              <w:t xml:space="preserve"> 7 873 064/8 058 123= 97,7% </w:t>
            </w:r>
          </w:p>
          <w:p w:rsidR="00896F39" w:rsidRPr="00DB62AE" w:rsidRDefault="00896F39" w:rsidP="00E7317C">
            <w:pPr>
              <w:jc w:val="both"/>
              <w:rPr>
                <w:sz w:val="20"/>
                <w:szCs w:val="20"/>
              </w:rPr>
            </w:pPr>
            <w:r w:rsidRPr="00DB62AE">
              <w:rPr>
                <w:sz w:val="20"/>
                <w:szCs w:val="20"/>
              </w:rPr>
              <w:t xml:space="preserve">2019 год </w:t>
            </w:r>
          </w:p>
          <w:p w:rsidR="00896F39" w:rsidRPr="00DB62AE" w:rsidRDefault="00896F39" w:rsidP="00E7317C">
            <w:pPr>
              <w:jc w:val="both"/>
              <w:rPr>
                <w:sz w:val="20"/>
                <w:szCs w:val="20"/>
              </w:rPr>
            </w:pPr>
            <w:r w:rsidRPr="00DB62AE">
              <w:rPr>
                <w:sz w:val="20"/>
                <w:szCs w:val="20"/>
              </w:rPr>
              <w:t xml:space="preserve">6 544 458/6 643 913=98,5% </w:t>
            </w:r>
          </w:p>
          <w:p w:rsidR="00896F39" w:rsidRPr="00DB62AE" w:rsidRDefault="00896F39" w:rsidP="00E7317C">
            <w:pPr>
              <w:jc w:val="both"/>
              <w:rPr>
                <w:sz w:val="20"/>
                <w:szCs w:val="20"/>
              </w:rPr>
            </w:pPr>
            <w:r w:rsidRPr="00DB62AE">
              <w:rPr>
                <w:sz w:val="20"/>
                <w:szCs w:val="20"/>
              </w:rPr>
              <w:t>Среднее за 3 года                                       =(97,4 + 97,7+ 98,5)/3=97,87</w:t>
            </w:r>
          </w:p>
        </w:tc>
        <w:tc>
          <w:tcPr>
            <w:tcW w:w="1276" w:type="dxa"/>
            <w:shd w:val="clear" w:color="auto" w:fill="auto"/>
          </w:tcPr>
          <w:p w:rsidR="00896F39" w:rsidRPr="00DB62AE" w:rsidRDefault="00896F39" w:rsidP="00E7317C">
            <w:pPr>
              <w:jc w:val="center"/>
              <w:rPr>
                <w:sz w:val="20"/>
                <w:szCs w:val="20"/>
              </w:rPr>
            </w:pPr>
          </w:p>
          <w:p w:rsidR="00896F39" w:rsidRPr="00DB62AE" w:rsidRDefault="00896F39" w:rsidP="00E7317C">
            <w:pPr>
              <w:jc w:val="center"/>
              <w:rPr>
                <w:sz w:val="20"/>
                <w:szCs w:val="20"/>
              </w:rPr>
            </w:pPr>
            <w:r w:rsidRPr="00DB62AE">
              <w:rPr>
                <w:sz w:val="20"/>
                <w:szCs w:val="20"/>
              </w:rPr>
              <w:t>97,87</w:t>
            </w:r>
          </w:p>
        </w:tc>
        <w:tc>
          <w:tcPr>
            <w:tcW w:w="1134" w:type="dxa"/>
            <w:shd w:val="clear" w:color="auto" w:fill="auto"/>
          </w:tcPr>
          <w:p w:rsidR="00896F39" w:rsidRPr="00DB62AE" w:rsidRDefault="00896F39" w:rsidP="00E7317C">
            <w:pPr>
              <w:ind w:firstLine="709"/>
              <w:jc w:val="center"/>
              <w:rPr>
                <w:sz w:val="20"/>
                <w:szCs w:val="20"/>
              </w:rPr>
            </w:pPr>
          </w:p>
          <w:p w:rsidR="00896F39" w:rsidRPr="00DB62AE" w:rsidRDefault="00896F39" w:rsidP="00E7317C">
            <w:pPr>
              <w:ind w:firstLine="709"/>
              <w:jc w:val="center"/>
              <w:rPr>
                <w:sz w:val="20"/>
                <w:szCs w:val="20"/>
              </w:rPr>
            </w:pPr>
            <w:r w:rsidRPr="00DB62AE">
              <w:rPr>
                <w:sz w:val="20"/>
                <w:szCs w:val="20"/>
              </w:rPr>
              <w:t>х</w:t>
            </w:r>
          </w:p>
        </w:tc>
        <w:tc>
          <w:tcPr>
            <w:tcW w:w="1276" w:type="dxa"/>
            <w:shd w:val="clear" w:color="auto" w:fill="auto"/>
          </w:tcPr>
          <w:p w:rsidR="00896F39" w:rsidRPr="00DB62AE" w:rsidRDefault="00896F39" w:rsidP="00E7317C">
            <w:pPr>
              <w:jc w:val="center"/>
              <w:rPr>
                <w:sz w:val="20"/>
                <w:szCs w:val="20"/>
              </w:rPr>
            </w:pPr>
          </w:p>
          <w:p w:rsidR="00896F39" w:rsidRPr="00DB62AE" w:rsidRDefault="00896F39" w:rsidP="00E7317C">
            <w:pPr>
              <w:jc w:val="center"/>
              <w:rPr>
                <w:sz w:val="20"/>
                <w:szCs w:val="20"/>
              </w:rPr>
            </w:pPr>
            <w:r w:rsidRPr="00DB62AE">
              <w:rPr>
                <w:sz w:val="20"/>
                <w:szCs w:val="20"/>
              </w:rPr>
              <w:t>97,87</w:t>
            </w:r>
          </w:p>
        </w:tc>
        <w:tc>
          <w:tcPr>
            <w:tcW w:w="850" w:type="dxa"/>
            <w:shd w:val="clear" w:color="auto" w:fill="auto"/>
          </w:tcPr>
          <w:p w:rsidR="00896F39" w:rsidRPr="00DB62AE" w:rsidRDefault="00896F39" w:rsidP="00E7317C">
            <w:pPr>
              <w:ind w:firstLine="34"/>
              <w:jc w:val="center"/>
              <w:rPr>
                <w:sz w:val="20"/>
                <w:szCs w:val="20"/>
              </w:rPr>
            </w:pPr>
          </w:p>
          <w:p w:rsidR="00896F39" w:rsidRPr="00DB62AE" w:rsidRDefault="00896F39" w:rsidP="00E7317C">
            <w:pPr>
              <w:ind w:firstLine="34"/>
              <w:jc w:val="center"/>
              <w:rPr>
                <w:sz w:val="20"/>
                <w:szCs w:val="20"/>
              </w:rPr>
            </w:pPr>
            <w:r w:rsidRPr="00DB62AE">
              <w:rPr>
                <w:sz w:val="20"/>
                <w:szCs w:val="20"/>
              </w:rPr>
              <w:t>Х</w:t>
            </w:r>
          </w:p>
        </w:tc>
        <w:tc>
          <w:tcPr>
            <w:tcW w:w="1276" w:type="dxa"/>
          </w:tcPr>
          <w:p w:rsidR="00896F39" w:rsidRPr="00DB62AE" w:rsidRDefault="00896F39" w:rsidP="00E7317C">
            <w:pPr>
              <w:ind w:firstLine="34"/>
              <w:jc w:val="center"/>
              <w:rPr>
                <w:sz w:val="20"/>
                <w:szCs w:val="20"/>
              </w:rPr>
            </w:pPr>
          </w:p>
          <w:p w:rsidR="00896F39" w:rsidRPr="00DB62AE" w:rsidRDefault="00896F39" w:rsidP="00E7317C">
            <w:pPr>
              <w:ind w:firstLine="34"/>
              <w:jc w:val="center"/>
              <w:rPr>
                <w:sz w:val="20"/>
                <w:szCs w:val="20"/>
              </w:rPr>
            </w:pPr>
            <w:r w:rsidRPr="00DB62AE">
              <w:rPr>
                <w:sz w:val="20"/>
                <w:szCs w:val="20"/>
              </w:rPr>
              <w:t>97,87</w:t>
            </w:r>
          </w:p>
        </w:tc>
        <w:tc>
          <w:tcPr>
            <w:tcW w:w="709" w:type="dxa"/>
          </w:tcPr>
          <w:p w:rsidR="00896F39" w:rsidRPr="00DB62AE" w:rsidRDefault="00896F39" w:rsidP="00E7317C">
            <w:pPr>
              <w:ind w:firstLine="34"/>
              <w:jc w:val="center"/>
              <w:rPr>
                <w:sz w:val="20"/>
                <w:szCs w:val="20"/>
              </w:rPr>
            </w:pPr>
          </w:p>
          <w:p w:rsidR="00896F39" w:rsidRPr="00DB62AE" w:rsidRDefault="00896F39" w:rsidP="00E7317C">
            <w:pPr>
              <w:ind w:firstLine="34"/>
              <w:jc w:val="center"/>
              <w:rPr>
                <w:sz w:val="20"/>
                <w:szCs w:val="20"/>
              </w:rPr>
            </w:pPr>
            <w:r w:rsidRPr="00DB62AE">
              <w:rPr>
                <w:sz w:val="20"/>
                <w:szCs w:val="20"/>
              </w:rPr>
              <w:t>Х</w:t>
            </w:r>
          </w:p>
        </w:tc>
      </w:tr>
      <w:tr w:rsidR="00896F39" w:rsidRPr="00DB62AE" w:rsidTr="00E7317C">
        <w:tc>
          <w:tcPr>
            <w:tcW w:w="3085" w:type="dxa"/>
            <w:shd w:val="clear" w:color="auto" w:fill="auto"/>
          </w:tcPr>
          <w:p w:rsidR="00896F39" w:rsidRPr="00DB62AE" w:rsidRDefault="00896F39" w:rsidP="005D6ACF">
            <w:pPr>
              <w:numPr>
                <w:ilvl w:val="0"/>
                <w:numId w:val="15"/>
              </w:numPr>
              <w:ind w:left="0" w:firstLine="0"/>
              <w:rPr>
                <w:sz w:val="20"/>
                <w:szCs w:val="20"/>
              </w:rPr>
            </w:pPr>
            <w:r w:rsidRPr="00DB62AE">
              <w:rPr>
                <w:sz w:val="20"/>
                <w:szCs w:val="20"/>
              </w:rPr>
              <w:t xml:space="preserve">Сумма налога на имущество организаций с учетом переходящих платежей.  </w:t>
            </w:r>
          </w:p>
          <w:p w:rsidR="00896F39" w:rsidRPr="00DB62AE" w:rsidRDefault="00896F39" w:rsidP="00E7317C">
            <w:pPr>
              <w:jc w:val="both"/>
              <w:rPr>
                <w:sz w:val="20"/>
                <w:szCs w:val="20"/>
              </w:rPr>
            </w:pPr>
            <w:r w:rsidRPr="00DB62AE">
              <w:rPr>
                <w:sz w:val="20"/>
                <w:szCs w:val="20"/>
              </w:rPr>
              <w:t>стр.14 х стр.15</w:t>
            </w:r>
          </w:p>
        </w:tc>
        <w:tc>
          <w:tcPr>
            <w:tcW w:w="1276" w:type="dxa"/>
            <w:shd w:val="clear" w:color="auto" w:fill="auto"/>
          </w:tcPr>
          <w:p w:rsidR="00896F39" w:rsidRPr="00896F39" w:rsidRDefault="00896F39" w:rsidP="00E7317C">
            <w:pPr>
              <w:jc w:val="center"/>
              <w:rPr>
                <w:sz w:val="20"/>
                <w:szCs w:val="20"/>
              </w:rPr>
            </w:pPr>
          </w:p>
          <w:p w:rsidR="00896F39" w:rsidRPr="00896F39" w:rsidRDefault="00896F39" w:rsidP="00E7317C">
            <w:pPr>
              <w:jc w:val="center"/>
              <w:rPr>
                <w:sz w:val="20"/>
                <w:szCs w:val="20"/>
              </w:rPr>
            </w:pPr>
            <w:r w:rsidRPr="00896F39">
              <w:rPr>
                <w:sz w:val="20"/>
                <w:szCs w:val="20"/>
              </w:rPr>
              <w:t>7 178 825</w:t>
            </w:r>
          </w:p>
        </w:tc>
        <w:tc>
          <w:tcPr>
            <w:tcW w:w="1134" w:type="dxa"/>
            <w:shd w:val="clear" w:color="auto" w:fill="auto"/>
          </w:tcPr>
          <w:p w:rsidR="00896F39" w:rsidRPr="00896F39" w:rsidRDefault="00896F39" w:rsidP="00E7317C">
            <w:pPr>
              <w:jc w:val="center"/>
              <w:rPr>
                <w:sz w:val="20"/>
                <w:szCs w:val="20"/>
              </w:rPr>
            </w:pPr>
          </w:p>
          <w:p w:rsidR="00896F39" w:rsidRPr="00896F39" w:rsidRDefault="00896F39" w:rsidP="00E7317C">
            <w:pPr>
              <w:jc w:val="center"/>
              <w:rPr>
                <w:sz w:val="20"/>
                <w:szCs w:val="20"/>
              </w:rPr>
            </w:pPr>
            <w:r w:rsidRPr="00896F39">
              <w:rPr>
                <w:sz w:val="20"/>
                <w:szCs w:val="20"/>
              </w:rPr>
              <w:t>101,7</w:t>
            </w:r>
          </w:p>
        </w:tc>
        <w:tc>
          <w:tcPr>
            <w:tcW w:w="1276" w:type="dxa"/>
            <w:shd w:val="clear" w:color="auto" w:fill="auto"/>
          </w:tcPr>
          <w:p w:rsidR="00896F39" w:rsidRPr="00896F39" w:rsidRDefault="00896F39" w:rsidP="00E7317C">
            <w:pPr>
              <w:jc w:val="center"/>
              <w:rPr>
                <w:sz w:val="20"/>
                <w:szCs w:val="20"/>
              </w:rPr>
            </w:pPr>
          </w:p>
          <w:p w:rsidR="00896F39" w:rsidRPr="00896F39" w:rsidRDefault="00896F39" w:rsidP="00E7317C">
            <w:pPr>
              <w:jc w:val="center"/>
              <w:rPr>
                <w:sz w:val="20"/>
                <w:szCs w:val="20"/>
              </w:rPr>
            </w:pPr>
            <w:r w:rsidRPr="00896F39">
              <w:rPr>
                <w:sz w:val="20"/>
                <w:szCs w:val="20"/>
              </w:rPr>
              <w:t>7 188 592</w:t>
            </w:r>
          </w:p>
        </w:tc>
        <w:tc>
          <w:tcPr>
            <w:tcW w:w="850" w:type="dxa"/>
            <w:shd w:val="clear" w:color="auto" w:fill="auto"/>
          </w:tcPr>
          <w:p w:rsidR="00896F39" w:rsidRPr="00896F39" w:rsidRDefault="00896F39" w:rsidP="00E7317C">
            <w:pPr>
              <w:ind w:firstLine="34"/>
              <w:jc w:val="center"/>
              <w:rPr>
                <w:sz w:val="20"/>
                <w:szCs w:val="20"/>
              </w:rPr>
            </w:pPr>
          </w:p>
          <w:p w:rsidR="00896F39" w:rsidRPr="00896F39" w:rsidRDefault="00896F39" w:rsidP="00E7317C">
            <w:pPr>
              <w:ind w:firstLine="34"/>
              <w:jc w:val="center"/>
              <w:rPr>
                <w:sz w:val="20"/>
                <w:szCs w:val="20"/>
              </w:rPr>
            </w:pPr>
            <w:r w:rsidRPr="00896F39">
              <w:rPr>
                <w:sz w:val="20"/>
                <w:szCs w:val="20"/>
              </w:rPr>
              <w:t>100,1</w:t>
            </w:r>
          </w:p>
        </w:tc>
        <w:tc>
          <w:tcPr>
            <w:tcW w:w="1276" w:type="dxa"/>
          </w:tcPr>
          <w:p w:rsidR="00896F39" w:rsidRPr="00896F39" w:rsidRDefault="00896F39" w:rsidP="00E7317C">
            <w:pPr>
              <w:ind w:firstLine="34"/>
              <w:jc w:val="center"/>
              <w:rPr>
                <w:sz w:val="20"/>
                <w:szCs w:val="20"/>
              </w:rPr>
            </w:pPr>
          </w:p>
          <w:p w:rsidR="00896F39" w:rsidRPr="00896F39" w:rsidRDefault="00896F39" w:rsidP="00E7317C">
            <w:pPr>
              <w:ind w:firstLine="34"/>
              <w:jc w:val="center"/>
              <w:rPr>
                <w:sz w:val="20"/>
                <w:szCs w:val="20"/>
              </w:rPr>
            </w:pPr>
            <w:r w:rsidRPr="00896F39">
              <w:rPr>
                <w:sz w:val="20"/>
                <w:szCs w:val="20"/>
              </w:rPr>
              <w:t>7 173 064</w:t>
            </w:r>
          </w:p>
        </w:tc>
        <w:tc>
          <w:tcPr>
            <w:tcW w:w="709" w:type="dxa"/>
          </w:tcPr>
          <w:p w:rsidR="00896F39" w:rsidRPr="00896F39" w:rsidRDefault="00896F39" w:rsidP="00E7317C">
            <w:pPr>
              <w:ind w:firstLine="34"/>
              <w:jc w:val="center"/>
              <w:rPr>
                <w:sz w:val="20"/>
                <w:szCs w:val="20"/>
              </w:rPr>
            </w:pPr>
          </w:p>
          <w:p w:rsidR="00896F39" w:rsidRPr="00896F39" w:rsidRDefault="00896F39" w:rsidP="00E7317C">
            <w:pPr>
              <w:ind w:firstLine="34"/>
              <w:jc w:val="center"/>
              <w:rPr>
                <w:sz w:val="20"/>
                <w:szCs w:val="20"/>
              </w:rPr>
            </w:pPr>
            <w:r w:rsidRPr="00896F39">
              <w:rPr>
                <w:sz w:val="20"/>
                <w:szCs w:val="20"/>
              </w:rPr>
              <w:t>99,8</w:t>
            </w:r>
          </w:p>
        </w:tc>
      </w:tr>
      <w:tr w:rsidR="00896F39" w:rsidRPr="00DB62AE" w:rsidTr="00E7317C">
        <w:tc>
          <w:tcPr>
            <w:tcW w:w="3085" w:type="dxa"/>
            <w:shd w:val="clear" w:color="auto" w:fill="auto"/>
          </w:tcPr>
          <w:p w:rsidR="00896F39" w:rsidRPr="00DB62AE" w:rsidRDefault="00896F39" w:rsidP="005D6ACF">
            <w:pPr>
              <w:numPr>
                <w:ilvl w:val="0"/>
                <w:numId w:val="15"/>
              </w:numPr>
              <w:ind w:left="0" w:firstLine="142"/>
              <w:rPr>
                <w:sz w:val="20"/>
                <w:szCs w:val="20"/>
              </w:rPr>
            </w:pPr>
            <w:r w:rsidRPr="00DB62AE">
              <w:rPr>
                <w:sz w:val="20"/>
                <w:szCs w:val="20"/>
              </w:rPr>
              <w:t xml:space="preserve">Сумма налога с учетом собираемости </w:t>
            </w:r>
          </w:p>
          <w:p w:rsidR="00896F39" w:rsidRPr="00DB62AE" w:rsidRDefault="00896F39" w:rsidP="00E7317C">
            <w:pPr>
              <w:rPr>
                <w:sz w:val="20"/>
                <w:szCs w:val="20"/>
              </w:rPr>
            </w:pPr>
            <w:r w:rsidRPr="00DB62AE">
              <w:rPr>
                <w:sz w:val="20"/>
                <w:szCs w:val="20"/>
              </w:rPr>
              <w:t>стр.17х стр.16</w:t>
            </w:r>
          </w:p>
        </w:tc>
        <w:tc>
          <w:tcPr>
            <w:tcW w:w="1276" w:type="dxa"/>
            <w:shd w:val="clear" w:color="auto" w:fill="auto"/>
          </w:tcPr>
          <w:p w:rsidR="00896F39" w:rsidRPr="00896F39" w:rsidRDefault="00896F39" w:rsidP="00E7317C">
            <w:pPr>
              <w:jc w:val="center"/>
              <w:rPr>
                <w:b/>
                <w:sz w:val="20"/>
                <w:szCs w:val="20"/>
              </w:rPr>
            </w:pPr>
            <w:r w:rsidRPr="00896F39">
              <w:rPr>
                <w:b/>
                <w:sz w:val="20"/>
                <w:szCs w:val="20"/>
              </w:rPr>
              <w:t>7 025 916</w:t>
            </w:r>
          </w:p>
        </w:tc>
        <w:tc>
          <w:tcPr>
            <w:tcW w:w="1134" w:type="dxa"/>
            <w:shd w:val="clear" w:color="auto" w:fill="auto"/>
          </w:tcPr>
          <w:p w:rsidR="00896F39" w:rsidRPr="00896F39" w:rsidRDefault="00896F39" w:rsidP="00E7317C">
            <w:pPr>
              <w:jc w:val="center"/>
              <w:rPr>
                <w:b/>
                <w:sz w:val="20"/>
                <w:szCs w:val="20"/>
              </w:rPr>
            </w:pPr>
            <w:r w:rsidRPr="00896F39">
              <w:rPr>
                <w:b/>
                <w:sz w:val="20"/>
                <w:szCs w:val="20"/>
              </w:rPr>
              <w:t>101,7</w:t>
            </w:r>
          </w:p>
        </w:tc>
        <w:tc>
          <w:tcPr>
            <w:tcW w:w="1276" w:type="dxa"/>
            <w:shd w:val="clear" w:color="auto" w:fill="auto"/>
          </w:tcPr>
          <w:p w:rsidR="00896F39" w:rsidRPr="00896F39" w:rsidRDefault="00896F39" w:rsidP="00E7317C">
            <w:pPr>
              <w:jc w:val="center"/>
              <w:rPr>
                <w:b/>
                <w:sz w:val="20"/>
                <w:szCs w:val="20"/>
              </w:rPr>
            </w:pPr>
            <w:r w:rsidRPr="00896F39">
              <w:rPr>
                <w:b/>
                <w:sz w:val="20"/>
                <w:szCs w:val="20"/>
              </w:rPr>
              <w:t>7 035 475</w:t>
            </w:r>
          </w:p>
        </w:tc>
        <w:tc>
          <w:tcPr>
            <w:tcW w:w="850" w:type="dxa"/>
            <w:shd w:val="clear" w:color="auto" w:fill="auto"/>
          </w:tcPr>
          <w:p w:rsidR="00896F39" w:rsidRPr="00896F39" w:rsidRDefault="00896F39" w:rsidP="00E7317C">
            <w:pPr>
              <w:ind w:firstLine="34"/>
              <w:jc w:val="center"/>
              <w:rPr>
                <w:b/>
                <w:sz w:val="20"/>
                <w:szCs w:val="20"/>
              </w:rPr>
            </w:pPr>
            <w:r w:rsidRPr="00896F39">
              <w:rPr>
                <w:b/>
                <w:sz w:val="20"/>
                <w:szCs w:val="20"/>
              </w:rPr>
              <w:t>100,1</w:t>
            </w:r>
          </w:p>
        </w:tc>
        <w:tc>
          <w:tcPr>
            <w:tcW w:w="1276" w:type="dxa"/>
          </w:tcPr>
          <w:p w:rsidR="00896F39" w:rsidRPr="00896F39" w:rsidRDefault="00896F39" w:rsidP="00E7317C">
            <w:pPr>
              <w:ind w:firstLine="34"/>
              <w:jc w:val="center"/>
              <w:rPr>
                <w:b/>
                <w:sz w:val="20"/>
                <w:szCs w:val="20"/>
              </w:rPr>
            </w:pPr>
            <w:r w:rsidRPr="00896F39">
              <w:rPr>
                <w:b/>
                <w:sz w:val="20"/>
                <w:szCs w:val="20"/>
              </w:rPr>
              <w:t>7 020 278</w:t>
            </w:r>
          </w:p>
        </w:tc>
        <w:tc>
          <w:tcPr>
            <w:tcW w:w="709" w:type="dxa"/>
          </w:tcPr>
          <w:p w:rsidR="00896F39" w:rsidRPr="00896F39" w:rsidRDefault="00896F39" w:rsidP="00E7317C">
            <w:pPr>
              <w:ind w:firstLine="34"/>
              <w:jc w:val="center"/>
              <w:rPr>
                <w:b/>
                <w:sz w:val="20"/>
                <w:szCs w:val="20"/>
              </w:rPr>
            </w:pPr>
            <w:r w:rsidRPr="00896F39">
              <w:rPr>
                <w:b/>
                <w:sz w:val="20"/>
                <w:szCs w:val="20"/>
              </w:rPr>
              <w:t>99,8</w:t>
            </w:r>
          </w:p>
        </w:tc>
      </w:tr>
      <w:tr w:rsidR="00896F39" w:rsidRPr="00DB62AE" w:rsidTr="00E7317C">
        <w:tc>
          <w:tcPr>
            <w:tcW w:w="3085" w:type="dxa"/>
            <w:shd w:val="clear" w:color="auto" w:fill="auto"/>
          </w:tcPr>
          <w:p w:rsidR="00896F39" w:rsidRPr="00DB62AE" w:rsidRDefault="00896F39" w:rsidP="00E7317C">
            <w:pPr>
              <w:jc w:val="center"/>
              <w:rPr>
                <w:sz w:val="20"/>
                <w:szCs w:val="20"/>
              </w:rPr>
            </w:pPr>
            <w:r w:rsidRPr="00DB62AE">
              <w:rPr>
                <w:sz w:val="20"/>
                <w:szCs w:val="20"/>
              </w:rPr>
              <w:t>в т. ч.</w:t>
            </w:r>
          </w:p>
          <w:p w:rsidR="00896F39" w:rsidRPr="00DB62AE" w:rsidRDefault="00896F39" w:rsidP="00E7317C">
            <w:pPr>
              <w:jc w:val="center"/>
              <w:rPr>
                <w:sz w:val="20"/>
                <w:szCs w:val="20"/>
              </w:rPr>
            </w:pPr>
            <w:r w:rsidRPr="00DB62AE">
              <w:rPr>
                <w:sz w:val="20"/>
                <w:szCs w:val="20"/>
              </w:rPr>
              <w:t>налог на имущество организаций, по имуществу, не входящему в Единую систему газоснабжения</w:t>
            </w:r>
          </w:p>
          <w:p w:rsidR="00896F39" w:rsidRPr="00DB62AE" w:rsidRDefault="00896F39" w:rsidP="00E7317C">
            <w:pPr>
              <w:jc w:val="center"/>
              <w:rPr>
                <w:sz w:val="20"/>
                <w:szCs w:val="20"/>
              </w:rPr>
            </w:pPr>
            <w:r w:rsidRPr="00DB62AE">
              <w:rPr>
                <w:sz w:val="20"/>
                <w:szCs w:val="20"/>
              </w:rPr>
              <w:t>(КБК 182 1 06 02 01002 0000 110)</w:t>
            </w:r>
          </w:p>
          <w:p w:rsidR="00896F39" w:rsidRPr="00DB62AE" w:rsidRDefault="00896F39" w:rsidP="00E7317C">
            <w:pPr>
              <w:jc w:val="center"/>
              <w:rPr>
                <w:sz w:val="20"/>
                <w:szCs w:val="20"/>
              </w:rPr>
            </w:pPr>
            <w:r w:rsidRPr="00DB62AE">
              <w:rPr>
                <w:sz w:val="20"/>
                <w:szCs w:val="20"/>
              </w:rPr>
              <w:t>2019 год по факту, по факту на 01.07.2020 (90,1%)</w:t>
            </w:r>
          </w:p>
        </w:tc>
        <w:tc>
          <w:tcPr>
            <w:tcW w:w="1276" w:type="dxa"/>
            <w:shd w:val="clear" w:color="auto" w:fill="auto"/>
          </w:tcPr>
          <w:p w:rsidR="00896F39" w:rsidRPr="00DB62AE" w:rsidRDefault="00896F39" w:rsidP="00E7317C">
            <w:pPr>
              <w:jc w:val="center"/>
              <w:rPr>
                <w:sz w:val="20"/>
                <w:szCs w:val="20"/>
              </w:rPr>
            </w:pPr>
          </w:p>
          <w:p w:rsidR="00896F39" w:rsidRPr="00DB62AE" w:rsidRDefault="00896F39" w:rsidP="00E7317C">
            <w:pPr>
              <w:jc w:val="center"/>
              <w:rPr>
                <w:sz w:val="20"/>
                <w:szCs w:val="20"/>
              </w:rPr>
            </w:pPr>
            <w:r w:rsidRPr="00DB62AE">
              <w:rPr>
                <w:sz w:val="20"/>
                <w:szCs w:val="20"/>
              </w:rPr>
              <w:t>6 330 350</w:t>
            </w:r>
          </w:p>
        </w:tc>
        <w:tc>
          <w:tcPr>
            <w:tcW w:w="1134" w:type="dxa"/>
            <w:shd w:val="clear" w:color="auto" w:fill="auto"/>
          </w:tcPr>
          <w:p w:rsidR="00896F39" w:rsidRPr="00DB62AE" w:rsidRDefault="00896F39" w:rsidP="00E7317C">
            <w:pPr>
              <w:jc w:val="center"/>
              <w:rPr>
                <w:sz w:val="20"/>
                <w:szCs w:val="20"/>
              </w:rPr>
            </w:pPr>
          </w:p>
          <w:p w:rsidR="00896F39" w:rsidRPr="00DB62AE" w:rsidRDefault="00896F39" w:rsidP="00E7317C">
            <w:pPr>
              <w:jc w:val="center"/>
              <w:rPr>
                <w:sz w:val="20"/>
                <w:szCs w:val="20"/>
              </w:rPr>
            </w:pPr>
            <w:r w:rsidRPr="00DB62AE">
              <w:rPr>
                <w:sz w:val="20"/>
                <w:szCs w:val="20"/>
              </w:rPr>
              <w:t>101,7</w:t>
            </w:r>
          </w:p>
        </w:tc>
        <w:tc>
          <w:tcPr>
            <w:tcW w:w="1276" w:type="dxa"/>
            <w:shd w:val="clear" w:color="auto" w:fill="auto"/>
          </w:tcPr>
          <w:p w:rsidR="00896F39" w:rsidRPr="00DB62AE" w:rsidRDefault="00896F39" w:rsidP="00E7317C">
            <w:pPr>
              <w:jc w:val="center"/>
              <w:rPr>
                <w:sz w:val="20"/>
                <w:szCs w:val="20"/>
              </w:rPr>
            </w:pPr>
          </w:p>
          <w:p w:rsidR="00896F39" w:rsidRPr="00DB62AE" w:rsidRDefault="00896F39" w:rsidP="00E7317C">
            <w:pPr>
              <w:jc w:val="center"/>
              <w:rPr>
                <w:sz w:val="20"/>
                <w:szCs w:val="20"/>
              </w:rPr>
            </w:pPr>
            <w:r w:rsidRPr="00DB62AE">
              <w:rPr>
                <w:sz w:val="20"/>
                <w:szCs w:val="20"/>
              </w:rPr>
              <w:t>6 338 963</w:t>
            </w:r>
          </w:p>
        </w:tc>
        <w:tc>
          <w:tcPr>
            <w:tcW w:w="850" w:type="dxa"/>
            <w:shd w:val="clear" w:color="auto" w:fill="auto"/>
          </w:tcPr>
          <w:p w:rsidR="00896F39" w:rsidRPr="00DB62AE" w:rsidRDefault="00896F39" w:rsidP="00E7317C">
            <w:pPr>
              <w:ind w:firstLine="34"/>
              <w:jc w:val="center"/>
              <w:rPr>
                <w:sz w:val="20"/>
                <w:szCs w:val="20"/>
              </w:rPr>
            </w:pPr>
          </w:p>
          <w:p w:rsidR="00896F39" w:rsidRPr="00DB62AE" w:rsidRDefault="00896F39" w:rsidP="00E7317C">
            <w:pPr>
              <w:ind w:firstLine="34"/>
              <w:jc w:val="center"/>
              <w:rPr>
                <w:sz w:val="20"/>
                <w:szCs w:val="20"/>
              </w:rPr>
            </w:pPr>
            <w:r w:rsidRPr="00DB62AE">
              <w:rPr>
                <w:sz w:val="20"/>
                <w:szCs w:val="20"/>
              </w:rPr>
              <w:t>100,1</w:t>
            </w:r>
          </w:p>
        </w:tc>
        <w:tc>
          <w:tcPr>
            <w:tcW w:w="1276" w:type="dxa"/>
          </w:tcPr>
          <w:p w:rsidR="00896F39" w:rsidRPr="00DB62AE" w:rsidRDefault="00896F39" w:rsidP="00E7317C">
            <w:pPr>
              <w:ind w:firstLine="34"/>
              <w:jc w:val="center"/>
              <w:rPr>
                <w:sz w:val="20"/>
                <w:szCs w:val="20"/>
              </w:rPr>
            </w:pPr>
          </w:p>
          <w:p w:rsidR="00896F39" w:rsidRPr="00DB62AE" w:rsidRDefault="00896F39" w:rsidP="00E7317C">
            <w:pPr>
              <w:ind w:firstLine="34"/>
              <w:jc w:val="center"/>
              <w:rPr>
                <w:sz w:val="20"/>
                <w:szCs w:val="20"/>
              </w:rPr>
            </w:pPr>
            <w:r w:rsidRPr="00DB62AE">
              <w:rPr>
                <w:sz w:val="20"/>
                <w:szCs w:val="20"/>
              </w:rPr>
              <w:t>6 325 270</w:t>
            </w:r>
          </w:p>
        </w:tc>
        <w:tc>
          <w:tcPr>
            <w:tcW w:w="709" w:type="dxa"/>
          </w:tcPr>
          <w:p w:rsidR="00896F39" w:rsidRPr="00DB62AE" w:rsidRDefault="00896F39" w:rsidP="00E7317C">
            <w:pPr>
              <w:ind w:firstLine="34"/>
              <w:jc w:val="center"/>
              <w:rPr>
                <w:sz w:val="20"/>
                <w:szCs w:val="20"/>
              </w:rPr>
            </w:pPr>
          </w:p>
          <w:p w:rsidR="00896F39" w:rsidRPr="00DB62AE" w:rsidRDefault="00896F39" w:rsidP="00E7317C">
            <w:pPr>
              <w:ind w:firstLine="34"/>
              <w:jc w:val="center"/>
              <w:rPr>
                <w:sz w:val="20"/>
                <w:szCs w:val="20"/>
              </w:rPr>
            </w:pPr>
            <w:r w:rsidRPr="00DB62AE">
              <w:rPr>
                <w:sz w:val="20"/>
                <w:szCs w:val="20"/>
              </w:rPr>
              <w:t>99,8</w:t>
            </w:r>
          </w:p>
        </w:tc>
      </w:tr>
      <w:tr w:rsidR="00896F39" w:rsidRPr="00DB62AE" w:rsidTr="00E7317C">
        <w:tc>
          <w:tcPr>
            <w:tcW w:w="3085" w:type="dxa"/>
            <w:shd w:val="clear" w:color="auto" w:fill="auto"/>
          </w:tcPr>
          <w:p w:rsidR="00896F39" w:rsidRPr="00DB62AE" w:rsidRDefault="00896F39" w:rsidP="00E7317C">
            <w:pPr>
              <w:jc w:val="center"/>
              <w:rPr>
                <w:sz w:val="20"/>
                <w:szCs w:val="20"/>
              </w:rPr>
            </w:pPr>
            <w:r w:rsidRPr="00DB62AE">
              <w:rPr>
                <w:sz w:val="20"/>
                <w:szCs w:val="20"/>
              </w:rPr>
              <w:t>налог на имущество организаций, по имуществу, входящему в Единую систему газоснабжения</w:t>
            </w:r>
          </w:p>
          <w:p w:rsidR="00896F39" w:rsidRPr="00DB62AE" w:rsidRDefault="00896F39" w:rsidP="00E7317C">
            <w:pPr>
              <w:jc w:val="center"/>
              <w:rPr>
                <w:sz w:val="20"/>
                <w:szCs w:val="20"/>
              </w:rPr>
            </w:pPr>
            <w:r w:rsidRPr="00DB62AE">
              <w:rPr>
                <w:sz w:val="20"/>
                <w:szCs w:val="20"/>
              </w:rPr>
              <w:t>(КБК 182 1 06 02 01002 0000 110)</w:t>
            </w:r>
          </w:p>
        </w:tc>
        <w:tc>
          <w:tcPr>
            <w:tcW w:w="1276" w:type="dxa"/>
            <w:shd w:val="clear" w:color="auto" w:fill="auto"/>
          </w:tcPr>
          <w:p w:rsidR="00896F39" w:rsidRPr="00DB62AE" w:rsidRDefault="00896F39" w:rsidP="00E7317C">
            <w:pPr>
              <w:jc w:val="center"/>
              <w:rPr>
                <w:sz w:val="20"/>
                <w:szCs w:val="20"/>
              </w:rPr>
            </w:pPr>
          </w:p>
          <w:p w:rsidR="00896F39" w:rsidRPr="00DB62AE" w:rsidRDefault="00896F39" w:rsidP="00E7317C">
            <w:pPr>
              <w:jc w:val="center"/>
              <w:rPr>
                <w:sz w:val="20"/>
                <w:szCs w:val="20"/>
              </w:rPr>
            </w:pPr>
            <w:r w:rsidRPr="00DB62AE">
              <w:rPr>
                <w:sz w:val="20"/>
                <w:szCs w:val="20"/>
              </w:rPr>
              <w:t>695 566</w:t>
            </w:r>
          </w:p>
        </w:tc>
        <w:tc>
          <w:tcPr>
            <w:tcW w:w="1134" w:type="dxa"/>
            <w:shd w:val="clear" w:color="auto" w:fill="auto"/>
          </w:tcPr>
          <w:p w:rsidR="00896F39" w:rsidRPr="00DB62AE" w:rsidRDefault="00896F39" w:rsidP="00E7317C">
            <w:pPr>
              <w:jc w:val="center"/>
              <w:rPr>
                <w:sz w:val="20"/>
                <w:szCs w:val="20"/>
              </w:rPr>
            </w:pPr>
          </w:p>
          <w:p w:rsidR="00896F39" w:rsidRPr="00DB62AE" w:rsidRDefault="00896F39" w:rsidP="00E7317C">
            <w:pPr>
              <w:jc w:val="center"/>
              <w:rPr>
                <w:sz w:val="20"/>
                <w:szCs w:val="20"/>
              </w:rPr>
            </w:pPr>
            <w:r w:rsidRPr="00DB62AE">
              <w:rPr>
                <w:sz w:val="20"/>
                <w:szCs w:val="20"/>
              </w:rPr>
              <w:t>101,7</w:t>
            </w:r>
          </w:p>
        </w:tc>
        <w:tc>
          <w:tcPr>
            <w:tcW w:w="1276" w:type="dxa"/>
            <w:shd w:val="clear" w:color="auto" w:fill="auto"/>
          </w:tcPr>
          <w:p w:rsidR="00896F39" w:rsidRPr="00DB62AE" w:rsidRDefault="00896F39" w:rsidP="00E7317C">
            <w:pPr>
              <w:jc w:val="center"/>
              <w:rPr>
                <w:sz w:val="20"/>
                <w:szCs w:val="20"/>
              </w:rPr>
            </w:pPr>
          </w:p>
          <w:p w:rsidR="00896F39" w:rsidRPr="00DB62AE" w:rsidRDefault="00896F39" w:rsidP="00E7317C">
            <w:pPr>
              <w:jc w:val="center"/>
              <w:rPr>
                <w:sz w:val="20"/>
                <w:szCs w:val="20"/>
              </w:rPr>
            </w:pPr>
            <w:r w:rsidRPr="00DB62AE">
              <w:rPr>
                <w:sz w:val="20"/>
                <w:szCs w:val="20"/>
              </w:rPr>
              <w:t>696 512</w:t>
            </w:r>
          </w:p>
        </w:tc>
        <w:tc>
          <w:tcPr>
            <w:tcW w:w="850" w:type="dxa"/>
            <w:shd w:val="clear" w:color="auto" w:fill="auto"/>
          </w:tcPr>
          <w:p w:rsidR="00896F39" w:rsidRPr="00DB62AE" w:rsidRDefault="00896F39" w:rsidP="00E7317C">
            <w:pPr>
              <w:ind w:firstLine="34"/>
              <w:jc w:val="center"/>
              <w:rPr>
                <w:sz w:val="20"/>
                <w:szCs w:val="20"/>
              </w:rPr>
            </w:pPr>
          </w:p>
          <w:p w:rsidR="00896F39" w:rsidRPr="00DB62AE" w:rsidRDefault="00896F39" w:rsidP="00E7317C">
            <w:pPr>
              <w:ind w:firstLine="34"/>
              <w:jc w:val="center"/>
              <w:rPr>
                <w:sz w:val="20"/>
                <w:szCs w:val="20"/>
              </w:rPr>
            </w:pPr>
            <w:r w:rsidRPr="00DB62AE">
              <w:rPr>
                <w:sz w:val="20"/>
                <w:szCs w:val="20"/>
              </w:rPr>
              <w:t>100,1</w:t>
            </w:r>
          </w:p>
        </w:tc>
        <w:tc>
          <w:tcPr>
            <w:tcW w:w="1276" w:type="dxa"/>
          </w:tcPr>
          <w:p w:rsidR="00896F39" w:rsidRPr="00DB62AE" w:rsidRDefault="00896F39" w:rsidP="00E7317C">
            <w:pPr>
              <w:ind w:firstLine="34"/>
              <w:jc w:val="center"/>
              <w:rPr>
                <w:sz w:val="20"/>
                <w:szCs w:val="20"/>
              </w:rPr>
            </w:pPr>
          </w:p>
          <w:p w:rsidR="00896F39" w:rsidRPr="00DB62AE" w:rsidRDefault="00896F39" w:rsidP="00E7317C">
            <w:pPr>
              <w:ind w:firstLine="34"/>
              <w:jc w:val="center"/>
              <w:rPr>
                <w:sz w:val="20"/>
                <w:szCs w:val="20"/>
              </w:rPr>
            </w:pPr>
            <w:r w:rsidRPr="00DB62AE">
              <w:rPr>
                <w:sz w:val="20"/>
                <w:szCs w:val="20"/>
              </w:rPr>
              <w:t>695 008</w:t>
            </w:r>
          </w:p>
        </w:tc>
        <w:tc>
          <w:tcPr>
            <w:tcW w:w="709" w:type="dxa"/>
          </w:tcPr>
          <w:p w:rsidR="00896F39" w:rsidRPr="00DB62AE" w:rsidRDefault="00896F39" w:rsidP="00E7317C">
            <w:pPr>
              <w:ind w:firstLine="34"/>
              <w:jc w:val="center"/>
              <w:rPr>
                <w:sz w:val="20"/>
                <w:szCs w:val="20"/>
              </w:rPr>
            </w:pPr>
          </w:p>
          <w:p w:rsidR="00896F39" w:rsidRPr="00DB62AE" w:rsidRDefault="00896F39" w:rsidP="00E7317C">
            <w:pPr>
              <w:ind w:firstLine="34"/>
              <w:jc w:val="center"/>
              <w:rPr>
                <w:sz w:val="20"/>
                <w:szCs w:val="20"/>
              </w:rPr>
            </w:pPr>
            <w:r w:rsidRPr="00DB62AE">
              <w:rPr>
                <w:sz w:val="20"/>
                <w:szCs w:val="20"/>
              </w:rPr>
              <w:t>99,8</w:t>
            </w:r>
          </w:p>
        </w:tc>
      </w:tr>
    </w:tbl>
    <w:p w:rsidR="00896F39" w:rsidRPr="00DB62AE" w:rsidRDefault="00896F39" w:rsidP="00896F39">
      <w:pPr>
        <w:jc w:val="center"/>
        <w:rPr>
          <w:sz w:val="26"/>
          <w:szCs w:val="26"/>
        </w:rPr>
      </w:pPr>
    </w:p>
    <w:p w:rsidR="00896F39" w:rsidRDefault="00896F39" w:rsidP="008423B7">
      <w:pPr>
        <w:ind w:left="-567"/>
        <w:jc w:val="right"/>
        <w:rPr>
          <w:sz w:val="26"/>
          <w:szCs w:val="26"/>
        </w:rPr>
      </w:pPr>
    </w:p>
    <w:p w:rsidR="00285DD5" w:rsidRPr="00C66F76" w:rsidRDefault="00285DD5" w:rsidP="008423B7">
      <w:pPr>
        <w:ind w:firstLine="709"/>
        <w:jc w:val="center"/>
        <w:rPr>
          <w:b/>
          <w:sz w:val="28"/>
          <w:szCs w:val="28"/>
        </w:rPr>
      </w:pPr>
      <w:r w:rsidRPr="00C66F76">
        <w:rPr>
          <w:b/>
          <w:sz w:val="28"/>
          <w:szCs w:val="28"/>
        </w:rPr>
        <w:t>Транспортный налог</w:t>
      </w:r>
    </w:p>
    <w:p w:rsidR="00285DD5" w:rsidRPr="00C66F76" w:rsidRDefault="00285DD5" w:rsidP="008423B7">
      <w:pPr>
        <w:ind w:firstLine="709"/>
        <w:jc w:val="center"/>
        <w:rPr>
          <w:b/>
          <w:snapToGrid w:val="0"/>
          <w:sz w:val="28"/>
          <w:szCs w:val="28"/>
        </w:rPr>
      </w:pPr>
      <w:r w:rsidRPr="00C66F76">
        <w:rPr>
          <w:b/>
          <w:snapToGrid w:val="0"/>
          <w:sz w:val="28"/>
          <w:szCs w:val="28"/>
        </w:rPr>
        <w:t>(000 1 06 04000 02 0000 110)</w:t>
      </w:r>
    </w:p>
    <w:p w:rsidR="004F1CC2" w:rsidRPr="00C66F76" w:rsidRDefault="00B425B6" w:rsidP="008423B7">
      <w:pPr>
        <w:ind w:firstLine="709"/>
        <w:jc w:val="both"/>
        <w:rPr>
          <w:sz w:val="28"/>
          <w:szCs w:val="28"/>
        </w:rPr>
      </w:pPr>
      <w:r w:rsidRPr="00C66F76">
        <w:rPr>
          <w:sz w:val="28"/>
          <w:szCs w:val="28"/>
        </w:rPr>
        <w:t>Расче</w:t>
      </w:r>
      <w:r w:rsidR="00701E68" w:rsidRPr="00C66F76">
        <w:rPr>
          <w:sz w:val="28"/>
          <w:szCs w:val="28"/>
        </w:rPr>
        <w:t>т поступлений транспортного налога производится методом</w:t>
      </w:r>
      <w:r w:rsidR="009367A0" w:rsidRPr="00C66F76">
        <w:rPr>
          <w:sz w:val="28"/>
          <w:szCs w:val="28"/>
        </w:rPr>
        <w:t xml:space="preserve"> экстраполяции</w:t>
      </w:r>
      <w:r w:rsidR="008B37BB" w:rsidRPr="00C66F76">
        <w:rPr>
          <w:sz w:val="28"/>
          <w:szCs w:val="28"/>
        </w:rPr>
        <w:t xml:space="preserve"> данных о количестве объектов налогообложения по каждому виду транспортного средства</w:t>
      </w:r>
      <w:r w:rsidR="009E7612" w:rsidRPr="00C66F76">
        <w:rPr>
          <w:sz w:val="28"/>
          <w:szCs w:val="28"/>
        </w:rPr>
        <w:t xml:space="preserve"> </w:t>
      </w:r>
      <w:r w:rsidR="00A62771" w:rsidRPr="00C66F76">
        <w:rPr>
          <w:color w:val="000000"/>
          <w:sz w:val="28"/>
          <w:szCs w:val="28"/>
        </w:rPr>
        <w:t>прошлых периодов</w:t>
      </w:r>
      <w:r w:rsidR="009E7612" w:rsidRPr="00C66F76">
        <w:rPr>
          <w:color w:val="000000"/>
          <w:sz w:val="28"/>
          <w:szCs w:val="28"/>
        </w:rPr>
        <w:t xml:space="preserve"> </w:t>
      </w:r>
      <w:r w:rsidR="004F1CC2" w:rsidRPr="00C66F76">
        <w:rPr>
          <w:sz w:val="28"/>
          <w:szCs w:val="28"/>
        </w:rPr>
        <w:t>с использованием расчетных ставок для каждого вида транспортного средства и других показателей (уровень переходящих платежей (для организаций), уровень собираемости</w:t>
      </w:r>
      <w:r w:rsidR="004B5991" w:rsidRPr="00C66F76">
        <w:rPr>
          <w:sz w:val="28"/>
          <w:szCs w:val="28"/>
        </w:rPr>
        <w:t xml:space="preserve"> и </w:t>
      </w:r>
      <w:r w:rsidR="004F1CC2" w:rsidRPr="00C66F76">
        <w:rPr>
          <w:sz w:val="28"/>
          <w:szCs w:val="28"/>
        </w:rPr>
        <w:t xml:space="preserve">другие). </w:t>
      </w:r>
    </w:p>
    <w:p w:rsidR="00B425B6" w:rsidRPr="00C66F76" w:rsidRDefault="00B425B6" w:rsidP="008423B7">
      <w:pPr>
        <w:ind w:firstLine="709"/>
        <w:jc w:val="both"/>
        <w:rPr>
          <w:sz w:val="28"/>
          <w:szCs w:val="28"/>
        </w:rPr>
      </w:pPr>
      <w:r w:rsidRPr="00C66F76">
        <w:rPr>
          <w:sz w:val="28"/>
          <w:szCs w:val="28"/>
        </w:rPr>
        <w:t xml:space="preserve">Расчет поступлений транспортного налога производится отдельно </w:t>
      </w:r>
      <w:r w:rsidR="00B03456" w:rsidRPr="00C66F76">
        <w:rPr>
          <w:sz w:val="28"/>
          <w:szCs w:val="28"/>
        </w:rPr>
        <w:br/>
      </w:r>
      <w:r w:rsidRPr="00C66F76">
        <w:rPr>
          <w:sz w:val="28"/>
          <w:szCs w:val="28"/>
        </w:rPr>
        <w:t>по организациям и физическим лицам.</w:t>
      </w:r>
    </w:p>
    <w:p w:rsidR="00B425B6" w:rsidRPr="00C66F76" w:rsidRDefault="00B425B6" w:rsidP="008423B7">
      <w:pPr>
        <w:ind w:firstLine="709"/>
        <w:jc w:val="both"/>
        <w:rPr>
          <w:sz w:val="28"/>
          <w:szCs w:val="28"/>
        </w:rPr>
      </w:pPr>
      <w:r w:rsidRPr="00C66F76">
        <w:rPr>
          <w:sz w:val="28"/>
          <w:szCs w:val="28"/>
          <w:u w:val="single"/>
        </w:rPr>
        <w:t xml:space="preserve">Транспортный налог с организаций </w:t>
      </w:r>
      <w:r w:rsidRPr="00C66F76">
        <w:rPr>
          <w:sz w:val="28"/>
          <w:szCs w:val="28"/>
        </w:rPr>
        <w:t>(</w:t>
      </w:r>
      <w:r w:rsidRPr="00C66F76">
        <w:rPr>
          <w:snapToGrid w:val="0"/>
          <w:sz w:val="28"/>
          <w:szCs w:val="28"/>
        </w:rPr>
        <w:t>000 1 06 04011 02 0000 110</w:t>
      </w:r>
      <w:r w:rsidRPr="00C66F76">
        <w:rPr>
          <w:sz w:val="28"/>
          <w:szCs w:val="28"/>
        </w:rPr>
        <w:t>)</w:t>
      </w:r>
    </w:p>
    <w:p w:rsidR="00B425B6" w:rsidRPr="00C66F76" w:rsidRDefault="00B425B6" w:rsidP="008423B7">
      <w:pPr>
        <w:ind w:firstLine="709"/>
        <w:jc w:val="both"/>
        <w:rPr>
          <w:b/>
          <w:sz w:val="28"/>
          <w:szCs w:val="28"/>
        </w:rPr>
      </w:pPr>
      <w:r w:rsidRPr="00C66F76">
        <w:rPr>
          <w:b/>
          <w:sz w:val="28"/>
          <w:szCs w:val="28"/>
        </w:rPr>
        <w:t xml:space="preserve">Прогнозируемый объем поступлений по транспортному налогу </w:t>
      </w:r>
      <w:r w:rsidR="00B03456" w:rsidRPr="00C66F76">
        <w:rPr>
          <w:b/>
          <w:sz w:val="28"/>
          <w:szCs w:val="28"/>
        </w:rPr>
        <w:br/>
      </w:r>
      <w:r w:rsidRPr="00C66F76">
        <w:rPr>
          <w:b/>
          <w:sz w:val="28"/>
          <w:szCs w:val="28"/>
        </w:rPr>
        <w:t>с организаций составит:</w:t>
      </w:r>
    </w:p>
    <w:p w:rsidR="00B425B6" w:rsidRPr="00C66F76" w:rsidRDefault="00B56EFF" w:rsidP="008423B7">
      <w:pPr>
        <w:ind w:firstLine="709"/>
        <w:jc w:val="both"/>
        <w:rPr>
          <w:b/>
          <w:sz w:val="28"/>
          <w:szCs w:val="28"/>
        </w:rPr>
      </w:pPr>
      <w:r w:rsidRPr="00C66F76">
        <w:rPr>
          <w:b/>
          <w:sz w:val="28"/>
          <w:szCs w:val="28"/>
        </w:rPr>
        <w:t>на 20</w:t>
      </w:r>
      <w:r w:rsidR="00523FB8" w:rsidRPr="00C66F76">
        <w:rPr>
          <w:b/>
          <w:sz w:val="28"/>
          <w:szCs w:val="28"/>
        </w:rPr>
        <w:t>2</w:t>
      </w:r>
      <w:r w:rsidR="004B5991" w:rsidRPr="00C66F76">
        <w:rPr>
          <w:b/>
          <w:sz w:val="28"/>
          <w:szCs w:val="28"/>
        </w:rPr>
        <w:t>2</w:t>
      </w:r>
      <w:r w:rsidRPr="00C66F76">
        <w:rPr>
          <w:b/>
          <w:sz w:val="28"/>
          <w:szCs w:val="28"/>
        </w:rPr>
        <w:t xml:space="preserve"> год – </w:t>
      </w:r>
      <w:r w:rsidR="004B5991" w:rsidRPr="00C66F76">
        <w:rPr>
          <w:b/>
          <w:sz w:val="28"/>
          <w:szCs w:val="28"/>
        </w:rPr>
        <w:t xml:space="preserve">282 414 </w:t>
      </w:r>
      <w:r w:rsidR="00B425B6" w:rsidRPr="00C66F76">
        <w:rPr>
          <w:b/>
          <w:sz w:val="28"/>
          <w:szCs w:val="28"/>
        </w:rPr>
        <w:t>тыс. рублей</w:t>
      </w:r>
      <w:r w:rsidR="00B425B6" w:rsidRPr="00C66F76">
        <w:rPr>
          <w:sz w:val="28"/>
          <w:szCs w:val="28"/>
        </w:rPr>
        <w:t>;</w:t>
      </w:r>
    </w:p>
    <w:p w:rsidR="00B425B6" w:rsidRPr="00C66F76" w:rsidRDefault="00B425B6" w:rsidP="008423B7">
      <w:pPr>
        <w:ind w:firstLine="709"/>
        <w:jc w:val="both"/>
        <w:rPr>
          <w:sz w:val="28"/>
          <w:szCs w:val="28"/>
        </w:rPr>
      </w:pPr>
      <w:r w:rsidRPr="00C66F76">
        <w:rPr>
          <w:b/>
          <w:sz w:val="28"/>
          <w:szCs w:val="28"/>
        </w:rPr>
        <w:t>на 202</w:t>
      </w:r>
      <w:r w:rsidR="004B5991" w:rsidRPr="00C66F76">
        <w:rPr>
          <w:b/>
          <w:sz w:val="28"/>
          <w:szCs w:val="28"/>
        </w:rPr>
        <w:t>3</w:t>
      </w:r>
      <w:r w:rsidR="00A56C30" w:rsidRPr="00C66F76">
        <w:rPr>
          <w:b/>
          <w:sz w:val="28"/>
          <w:szCs w:val="28"/>
        </w:rPr>
        <w:t xml:space="preserve"> год – </w:t>
      </w:r>
      <w:r w:rsidR="004B5991" w:rsidRPr="00C66F76">
        <w:rPr>
          <w:b/>
          <w:sz w:val="28"/>
          <w:szCs w:val="28"/>
        </w:rPr>
        <w:t>306 360</w:t>
      </w:r>
      <w:r w:rsidRPr="00C66F76">
        <w:rPr>
          <w:b/>
          <w:sz w:val="28"/>
          <w:szCs w:val="28"/>
        </w:rPr>
        <w:t xml:space="preserve"> тыс. рублей</w:t>
      </w:r>
      <w:r w:rsidRPr="00C66F76">
        <w:rPr>
          <w:sz w:val="28"/>
          <w:szCs w:val="28"/>
        </w:rPr>
        <w:t>;</w:t>
      </w:r>
    </w:p>
    <w:p w:rsidR="00B425B6" w:rsidRPr="00C66F76" w:rsidRDefault="00B56EFF" w:rsidP="008423B7">
      <w:pPr>
        <w:ind w:firstLine="709"/>
        <w:jc w:val="both"/>
        <w:rPr>
          <w:sz w:val="28"/>
          <w:szCs w:val="28"/>
        </w:rPr>
      </w:pPr>
      <w:r w:rsidRPr="00C66F76">
        <w:rPr>
          <w:b/>
          <w:sz w:val="28"/>
          <w:szCs w:val="28"/>
        </w:rPr>
        <w:t>на 202</w:t>
      </w:r>
      <w:r w:rsidR="004B5991" w:rsidRPr="00C66F76">
        <w:rPr>
          <w:b/>
          <w:sz w:val="28"/>
          <w:szCs w:val="28"/>
        </w:rPr>
        <w:t>4</w:t>
      </w:r>
      <w:r w:rsidRPr="00C66F76">
        <w:rPr>
          <w:b/>
          <w:sz w:val="28"/>
          <w:szCs w:val="28"/>
        </w:rPr>
        <w:t xml:space="preserve"> год – </w:t>
      </w:r>
      <w:r w:rsidR="004B5991" w:rsidRPr="00C66F76">
        <w:rPr>
          <w:b/>
          <w:sz w:val="28"/>
          <w:szCs w:val="28"/>
        </w:rPr>
        <w:t>337 800</w:t>
      </w:r>
      <w:r w:rsidR="00B425B6" w:rsidRPr="00C66F76">
        <w:rPr>
          <w:b/>
          <w:sz w:val="28"/>
          <w:szCs w:val="28"/>
        </w:rPr>
        <w:t xml:space="preserve"> тыс. рублей</w:t>
      </w:r>
      <w:r w:rsidR="00B425B6" w:rsidRPr="00C66F76">
        <w:rPr>
          <w:sz w:val="28"/>
          <w:szCs w:val="28"/>
        </w:rPr>
        <w:t>.</w:t>
      </w:r>
    </w:p>
    <w:p w:rsidR="00701E68" w:rsidRPr="00C66F76" w:rsidRDefault="00701E68" w:rsidP="008423B7">
      <w:pPr>
        <w:ind w:firstLine="709"/>
        <w:jc w:val="both"/>
        <w:rPr>
          <w:sz w:val="28"/>
          <w:szCs w:val="28"/>
        </w:rPr>
      </w:pPr>
      <w:r w:rsidRPr="00C66F76">
        <w:rPr>
          <w:color w:val="000000"/>
          <w:sz w:val="28"/>
          <w:szCs w:val="28"/>
        </w:rPr>
        <w:t>Прогнозируемый объем поступлений по транспортному налогу с организаций (</w:t>
      </w:r>
      <w:r w:rsidRPr="00C66F76">
        <w:rPr>
          <w:b/>
          <w:i/>
          <w:color w:val="000000"/>
          <w:sz w:val="28"/>
          <w:szCs w:val="28"/>
        </w:rPr>
        <w:t xml:space="preserve">ТН </w:t>
      </w:r>
      <w:r w:rsidRPr="00C66F76">
        <w:rPr>
          <w:b/>
          <w:i/>
          <w:color w:val="000000"/>
          <w:sz w:val="28"/>
          <w:szCs w:val="28"/>
          <w:vertAlign w:val="subscript"/>
        </w:rPr>
        <w:t>ОРГ</w:t>
      </w:r>
      <w:r w:rsidRPr="00C66F76">
        <w:rPr>
          <w:b/>
          <w:i/>
          <w:color w:val="000000"/>
          <w:sz w:val="28"/>
          <w:szCs w:val="28"/>
        </w:rPr>
        <w:t xml:space="preserve">) </w:t>
      </w:r>
      <w:r w:rsidRPr="00C66F76">
        <w:rPr>
          <w:color w:val="000000"/>
          <w:sz w:val="28"/>
          <w:szCs w:val="28"/>
        </w:rPr>
        <w:t>рассчитывается по следующей формуле:</w:t>
      </w:r>
    </w:p>
    <w:p w:rsidR="00701E68" w:rsidRPr="00C66F76" w:rsidRDefault="00701E68" w:rsidP="008423B7">
      <w:pPr>
        <w:spacing w:before="120" w:after="120"/>
        <w:ind w:firstLine="709"/>
        <w:jc w:val="center"/>
        <w:rPr>
          <w:b/>
          <w:i/>
          <w:color w:val="000000"/>
          <w:sz w:val="28"/>
          <w:szCs w:val="28"/>
        </w:rPr>
      </w:pPr>
      <w:r w:rsidRPr="00C66F76">
        <w:rPr>
          <w:b/>
          <w:i/>
          <w:color w:val="000000"/>
          <w:sz w:val="28"/>
          <w:szCs w:val="28"/>
        </w:rPr>
        <w:t xml:space="preserve">ТН </w:t>
      </w:r>
      <w:r w:rsidRPr="00C66F76">
        <w:rPr>
          <w:b/>
          <w:i/>
          <w:color w:val="000000"/>
          <w:sz w:val="28"/>
          <w:szCs w:val="28"/>
          <w:vertAlign w:val="subscript"/>
        </w:rPr>
        <w:t>ОРГ</w:t>
      </w:r>
      <w:r w:rsidRPr="00C66F76">
        <w:rPr>
          <w:b/>
          <w:i/>
          <w:color w:val="000000"/>
          <w:sz w:val="28"/>
          <w:szCs w:val="28"/>
        </w:rPr>
        <w:t xml:space="preserve">  = ∑(КОЛ </w:t>
      </w:r>
      <w:r w:rsidRPr="00C66F76">
        <w:rPr>
          <w:b/>
          <w:i/>
          <w:color w:val="000000"/>
          <w:sz w:val="28"/>
          <w:szCs w:val="28"/>
          <w:vertAlign w:val="subscript"/>
        </w:rPr>
        <w:t>ТС</w:t>
      </w:r>
      <w:r w:rsidRPr="00C66F76">
        <w:rPr>
          <w:b/>
          <w:i/>
          <w:color w:val="000000"/>
          <w:sz w:val="28"/>
          <w:szCs w:val="28"/>
        </w:rPr>
        <w:t xml:space="preserve"> × К</w:t>
      </w:r>
      <w:r w:rsidRPr="00C66F76">
        <w:rPr>
          <w:b/>
          <w:i/>
          <w:color w:val="000000"/>
          <w:sz w:val="28"/>
          <w:szCs w:val="28"/>
          <w:vertAlign w:val="subscript"/>
        </w:rPr>
        <w:t xml:space="preserve"> эстр.</w:t>
      </w:r>
      <w:r w:rsidRPr="00C66F76">
        <w:rPr>
          <w:b/>
          <w:color w:val="000000"/>
          <w:sz w:val="28"/>
          <w:szCs w:val="28"/>
        </w:rPr>
        <w:t xml:space="preserve">/100 </w:t>
      </w:r>
      <w:r w:rsidRPr="00C66F76">
        <w:rPr>
          <w:b/>
          <w:i/>
          <w:color w:val="000000"/>
          <w:sz w:val="28"/>
          <w:szCs w:val="28"/>
        </w:rPr>
        <w:t xml:space="preserve">× </w:t>
      </w:r>
      <w:r w:rsidRPr="00C66F76">
        <w:rPr>
          <w:b/>
          <w:i/>
          <w:color w:val="000000"/>
          <w:sz w:val="28"/>
          <w:szCs w:val="28"/>
          <w:lang w:val="en-US"/>
        </w:rPr>
        <w:t>S</w:t>
      </w:r>
      <w:r w:rsidRPr="00C66F76">
        <w:rPr>
          <w:b/>
          <w:i/>
          <w:color w:val="000000"/>
          <w:sz w:val="28"/>
          <w:szCs w:val="28"/>
          <w:vertAlign w:val="subscript"/>
        </w:rPr>
        <w:t>ТС</w:t>
      </w:r>
      <w:r w:rsidRPr="00C66F76">
        <w:rPr>
          <w:b/>
          <w:color w:val="000000"/>
          <w:sz w:val="28"/>
          <w:szCs w:val="28"/>
        </w:rPr>
        <w:t xml:space="preserve">) </w:t>
      </w:r>
      <w:r w:rsidRPr="00C66F76">
        <w:rPr>
          <w:b/>
          <w:i/>
          <w:color w:val="000000"/>
          <w:sz w:val="28"/>
          <w:szCs w:val="28"/>
        </w:rPr>
        <w:t xml:space="preserve">× </w:t>
      </w:r>
      <w:r w:rsidRPr="00C66F76">
        <w:rPr>
          <w:b/>
          <w:i/>
          <w:color w:val="000000"/>
          <w:sz w:val="28"/>
          <w:szCs w:val="28"/>
          <w:lang w:val="en-US"/>
        </w:rPr>
        <w:t>K</w:t>
      </w:r>
      <w:r w:rsidRPr="00C66F76">
        <w:rPr>
          <w:b/>
          <w:i/>
          <w:color w:val="000000"/>
          <w:sz w:val="28"/>
          <w:szCs w:val="28"/>
          <w:vertAlign w:val="subscript"/>
        </w:rPr>
        <w:t xml:space="preserve">пер. </w:t>
      </w:r>
      <w:r w:rsidR="008B4061" w:rsidRPr="00C66F76">
        <w:rPr>
          <w:b/>
          <w:i/>
          <w:color w:val="000000"/>
          <w:sz w:val="28"/>
          <w:szCs w:val="28"/>
        </w:rPr>
        <w:t xml:space="preserve">/100 </w:t>
      </w:r>
      <w:r w:rsidRPr="00C66F76">
        <w:rPr>
          <w:b/>
          <w:i/>
          <w:color w:val="000000"/>
          <w:sz w:val="28"/>
          <w:szCs w:val="28"/>
        </w:rPr>
        <w:t xml:space="preserve">× </w:t>
      </w:r>
      <w:r w:rsidRPr="00C66F76">
        <w:rPr>
          <w:b/>
          <w:i/>
          <w:color w:val="000000"/>
          <w:sz w:val="28"/>
          <w:szCs w:val="28"/>
          <w:lang w:val="en-US"/>
        </w:rPr>
        <w:t>K</w:t>
      </w:r>
      <w:r w:rsidRPr="00C66F76">
        <w:rPr>
          <w:b/>
          <w:i/>
          <w:color w:val="000000"/>
          <w:sz w:val="28"/>
          <w:szCs w:val="28"/>
          <w:vertAlign w:val="subscript"/>
        </w:rPr>
        <w:t>соб.</w:t>
      </w:r>
      <w:r w:rsidR="008B4061" w:rsidRPr="00C66F76">
        <w:rPr>
          <w:b/>
          <w:i/>
          <w:color w:val="000000"/>
          <w:sz w:val="28"/>
          <w:szCs w:val="28"/>
        </w:rPr>
        <w:t>/100</w:t>
      </w:r>
      <w:r w:rsidRPr="00C66F76">
        <w:rPr>
          <w:b/>
          <w:i/>
          <w:color w:val="000000"/>
          <w:sz w:val="28"/>
          <w:szCs w:val="28"/>
        </w:rPr>
        <w:t xml:space="preserve">(+/-) </w:t>
      </w:r>
      <w:r w:rsidRPr="00C66F76">
        <w:rPr>
          <w:b/>
          <w:i/>
          <w:color w:val="000000"/>
          <w:sz w:val="28"/>
          <w:szCs w:val="28"/>
          <w:lang w:val="en-US"/>
        </w:rPr>
        <w:t>F</w:t>
      </w:r>
      <w:r w:rsidRPr="00C66F76">
        <w:rPr>
          <w:b/>
          <w:i/>
          <w:color w:val="000000"/>
          <w:sz w:val="28"/>
          <w:szCs w:val="28"/>
        </w:rPr>
        <w:t xml:space="preserve">, </w:t>
      </w:r>
    </w:p>
    <w:p w:rsidR="00701E68" w:rsidRPr="00C66F76" w:rsidRDefault="00701E68" w:rsidP="008423B7">
      <w:pPr>
        <w:ind w:firstLine="709"/>
        <w:jc w:val="both"/>
        <w:rPr>
          <w:color w:val="000000"/>
          <w:sz w:val="28"/>
          <w:szCs w:val="28"/>
        </w:rPr>
      </w:pPr>
      <w:r w:rsidRPr="00C66F76">
        <w:rPr>
          <w:color w:val="000000"/>
          <w:sz w:val="28"/>
          <w:szCs w:val="28"/>
        </w:rPr>
        <w:t>где,</w:t>
      </w:r>
    </w:p>
    <w:p w:rsidR="00701E68" w:rsidRPr="00C66F76" w:rsidRDefault="00701E68" w:rsidP="008423B7">
      <w:pPr>
        <w:ind w:firstLine="709"/>
        <w:jc w:val="both"/>
        <w:rPr>
          <w:color w:val="000000"/>
          <w:sz w:val="28"/>
          <w:szCs w:val="28"/>
        </w:rPr>
      </w:pPr>
      <w:r w:rsidRPr="00C66F76">
        <w:rPr>
          <w:b/>
          <w:i/>
          <w:color w:val="000000"/>
          <w:sz w:val="28"/>
          <w:szCs w:val="28"/>
        </w:rPr>
        <w:t xml:space="preserve">КОЛ </w:t>
      </w:r>
      <w:r w:rsidRPr="00C66F76">
        <w:rPr>
          <w:b/>
          <w:i/>
          <w:color w:val="000000"/>
          <w:sz w:val="28"/>
          <w:szCs w:val="28"/>
          <w:vertAlign w:val="subscript"/>
        </w:rPr>
        <w:t>ТС</w:t>
      </w:r>
      <w:r w:rsidRPr="00C66F76">
        <w:rPr>
          <w:b/>
          <w:i/>
          <w:color w:val="000000"/>
          <w:sz w:val="28"/>
          <w:szCs w:val="28"/>
        </w:rPr>
        <w:t xml:space="preserve"> – </w:t>
      </w:r>
      <w:r w:rsidRPr="00C66F76">
        <w:rPr>
          <w:color w:val="000000"/>
          <w:sz w:val="28"/>
          <w:szCs w:val="28"/>
        </w:rPr>
        <w:t>количество объектов транспо</w:t>
      </w:r>
      <w:r w:rsidR="0032136D" w:rsidRPr="00C66F76">
        <w:rPr>
          <w:color w:val="000000"/>
          <w:sz w:val="28"/>
          <w:szCs w:val="28"/>
        </w:rPr>
        <w:t>ртных средств предыдущего года</w:t>
      </w:r>
      <w:r w:rsidRPr="00C66F76">
        <w:rPr>
          <w:color w:val="000000"/>
          <w:sz w:val="28"/>
          <w:szCs w:val="28"/>
        </w:rPr>
        <w:t>, единиц;</w:t>
      </w:r>
    </w:p>
    <w:p w:rsidR="00C17881" w:rsidRPr="00C66F76" w:rsidRDefault="00701E68" w:rsidP="008423B7">
      <w:pPr>
        <w:ind w:firstLine="709"/>
        <w:jc w:val="both"/>
        <w:rPr>
          <w:color w:val="000000"/>
          <w:sz w:val="28"/>
          <w:szCs w:val="28"/>
        </w:rPr>
      </w:pPr>
      <w:r w:rsidRPr="00C66F76">
        <w:rPr>
          <w:b/>
          <w:i/>
          <w:color w:val="000000"/>
          <w:sz w:val="28"/>
          <w:szCs w:val="28"/>
        </w:rPr>
        <w:t>К</w:t>
      </w:r>
      <w:r w:rsidRPr="00C66F76">
        <w:rPr>
          <w:b/>
          <w:i/>
          <w:color w:val="000000"/>
          <w:sz w:val="28"/>
          <w:szCs w:val="28"/>
          <w:vertAlign w:val="subscript"/>
        </w:rPr>
        <w:t> эстр</w:t>
      </w:r>
      <w:r w:rsidRPr="00C66F76">
        <w:rPr>
          <w:color w:val="000000"/>
          <w:sz w:val="28"/>
          <w:szCs w:val="28"/>
        </w:rPr>
        <w:t>. – коэффициент экстраполяции, рассчитываемый по каждому виду транспортного средства как среднее арифметическое значение темпов роста (снижения) количества транспортных средств к предыдущему периоду, %;</w:t>
      </w:r>
    </w:p>
    <w:p w:rsidR="00701E68" w:rsidRPr="00C66F76" w:rsidRDefault="00701E68" w:rsidP="008423B7">
      <w:pPr>
        <w:ind w:firstLine="709"/>
        <w:jc w:val="both"/>
        <w:rPr>
          <w:color w:val="000000"/>
          <w:sz w:val="28"/>
          <w:szCs w:val="28"/>
        </w:rPr>
      </w:pPr>
      <w:r w:rsidRPr="00C66F76">
        <w:rPr>
          <w:b/>
          <w:i/>
          <w:color w:val="000000"/>
          <w:sz w:val="28"/>
          <w:szCs w:val="28"/>
          <w:lang w:val="en-US"/>
        </w:rPr>
        <w:t>S</w:t>
      </w:r>
      <w:r w:rsidRPr="00C66F76">
        <w:rPr>
          <w:b/>
          <w:i/>
          <w:color w:val="000000"/>
          <w:sz w:val="28"/>
          <w:szCs w:val="28"/>
          <w:vertAlign w:val="subscript"/>
        </w:rPr>
        <w:t xml:space="preserve">ТС </w:t>
      </w:r>
      <w:r w:rsidRPr="00C66F76">
        <w:rPr>
          <w:color w:val="000000"/>
          <w:sz w:val="28"/>
          <w:szCs w:val="28"/>
        </w:rPr>
        <w:t>– расчетная средняя сумма налога, приходящаяся на транспортное средство, в отчетном периоде, тыс. рублей.</w:t>
      </w:r>
    </w:p>
    <w:p w:rsidR="00701E68" w:rsidRPr="00C66F76" w:rsidRDefault="00701E68" w:rsidP="008423B7">
      <w:pPr>
        <w:ind w:firstLine="709"/>
        <w:jc w:val="both"/>
        <w:rPr>
          <w:color w:val="000000"/>
          <w:sz w:val="28"/>
          <w:szCs w:val="28"/>
        </w:rPr>
      </w:pPr>
      <w:r w:rsidRPr="00C66F76">
        <w:rPr>
          <w:color w:val="000000"/>
          <w:sz w:val="28"/>
          <w:szCs w:val="28"/>
        </w:rPr>
        <w:t xml:space="preserve">Рассчитывается как отношение суммы налога, подлежащего уплате </w:t>
      </w:r>
      <w:r w:rsidR="0032136D" w:rsidRPr="00C66F76">
        <w:rPr>
          <w:color w:val="000000"/>
          <w:sz w:val="28"/>
          <w:szCs w:val="28"/>
        </w:rPr>
        <w:br/>
      </w:r>
      <w:r w:rsidRPr="00C66F76">
        <w:rPr>
          <w:color w:val="000000"/>
          <w:sz w:val="28"/>
          <w:szCs w:val="28"/>
        </w:rPr>
        <w:t>в бюджет по транспортн</w:t>
      </w:r>
      <w:r w:rsidR="0032136D" w:rsidRPr="00C66F76">
        <w:rPr>
          <w:color w:val="000000"/>
          <w:sz w:val="28"/>
          <w:szCs w:val="28"/>
        </w:rPr>
        <w:t>ым</w:t>
      </w:r>
      <w:r w:rsidRPr="00C66F76">
        <w:rPr>
          <w:color w:val="000000"/>
          <w:sz w:val="28"/>
          <w:szCs w:val="28"/>
        </w:rPr>
        <w:t xml:space="preserve"> средств</w:t>
      </w:r>
      <w:r w:rsidR="0032136D" w:rsidRPr="00C66F76">
        <w:rPr>
          <w:color w:val="000000"/>
          <w:sz w:val="28"/>
          <w:szCs w:val="28"/>
        </w:rPr>
        <w:t>ам</w:t>
      </w:r>
      <w:r w:rsidRPr="00C66F76">
        <w:rPr>
          <w:color w:val="000000"/>
          <w:sz w:val="28"/>
          <w:szCs w:val="28"/>
        </w:rPr>
        <w:t>, на количество данных транспортных средств (согласно отчету по форме № 5-ТН).</w:t>
      </w:r>
    </w:p>
    <w:p w:rsidR="00701E68" w:rsidRPr="00C66F76" w:rsidRDefault="00701E68" w:rsidP="008423B7">
      <w:pPr>
        <w:ind w:firstLine="709"/>
        <w:jc w:val="both"/>
        <w:rPr>
          <w:color w:val="000000"/>
          <w:sz w:val="28"/>
          <w:szCs w:val="28"/>
        </w:rPr>
      </w:pPr>
      <w:r w:rsidRPr="00C66F76">
        <w:rPr>
          <w:color w:val="000000"/>
          <w:sz w:val="28"/>
          <w:szCs w:val="28"/>
        </w:rPr>
        <w:t xml:space="preserve">Виды транспортных средств, в разрезе которых осуществляется прогнозирование транспортного налога с организаций, указаны в отчете </w:t>
      </w:r>
      <w:r w:rsidR="00874C77" w:rsidRPr="00C66F76">
        <w:rPr>
          <w:color w:val="000000"/>
          <w:sz w:val="28"/>
          <w:szCs w:val="28"/>
        </w:rPr>
        <w:br/>
      </w:r>
      <w:r w:rsidRPr="00C66F76">
        <w:rPr>
          <w:color w:val="000000"/>
          <w:sz w:val="28"/>
          <w:szCs w:val="28"/>
        </w:rPr>
        <w:t>по форме № 5-ТН.</w:t>
      </w:r>
    </w:p>
    <w:p w:rsidR="00701E68" w:rsidRPr="00C66F76" w:rsidRDefault="00701E68" w:rsidP="008423B7">
      <w:pPr>
        <w:ind w:firstLine="709"/>
        <w:jc w:val="both"/>
        <w:rPr>
          <w:color w:val="000000"/>
          <w:sz w:val="28"/>
          <w:szCs w:val="28"/>
        </w:rPr>
      </w:pPr>
      <w:r w:rsidRPr="00C66F76">
        <w:rPr>
          <w:b/>
          <w:i/>
          <w:color w:val="000000"/>
          <w:sz w:val="28"/>
          <w:szCs w:val="28"/>
          <w:lang w:val="en-US"/>
        </w:rPr>
        <w:t>K</w:t>
      </w:r>
      <w:r w:rsidRPr="00C66F76">
        <w:rPr>
          <w:b/>
          <w:i/>
          <w:color w:val="000000"/>
          <w:sz w:val="28"/>
          <w:szCs w:val="28"/>
          <w:vertAlign w:val="subscript"/>
        </w:rPr>
        <w:t xml:space="preserve">пер. – </w:t>
      </w:r>
      <w:r w:rsidRPr="00C66F76">
        <w:rPr>
          <w:color w:val="000000"/>
          <w:sz w:val="28"/>
          <w:szCs w:val="28"/>
        </w:rPr>
        <w:t>расчетный уровень п</w:t>
      </w:r>
      <w:r w:rsidR="00AD6F8C" w:rsidRPr="00C66F76">
        <w:rPr>
          <w:color w:val="000000"/>
          <w:sz w:val="28"/>
          <w:szCs w:val="28"/>
        </w:rPr>
        <w:t>ереходящих платежей по налогу (</w:t>
      </w:r>
      <w:r w:rsidR="004B5991" w:rsidRPr="00C66F76">
        <w:rPr>
          <w:color w:val="000000"/>
          <w:sz w:val="28"/>
          <w:szCs w:val="28"/>
        </w:rPr>
        <w:t>97,6</w:t>
      </w:r>
      <w:r w:rsidR="00AD6F8C" w:rsidRPr="00C66F76">
        <w:rPr>
          <w:color w:val="000000"/>
          <w:sz w:val="28"/>
          <w:szCs w:val="28"/>
        </w:rPr>
        <w:t xml:space="preserve"> %).</w:t>
      </w:r>
    </w:p>
    <w:p w:rsidR="00701E68" w:rsidRPr="00C66F76" w:rsidRDefault="00701E68" w:rsidP="008423B7">
      <w:pPr>
        <w:ind w:firstLine="709"/>
        <w:jc w:val="both"/>
        <w:rPr>
          <w:color w:val="000000"/>
          <w:sz w:val="28"/>
          <w:szCs w:val="28"/>
        </w:rPr>
      </w:pPr>
      <w:r w:rsidRPr="00C66F76">
        <w:rPr>
          <w:color w:val="000000"/>
          <w:sz w:val="28"/>
          <w:szCs w:val="28"/>
        </w:rPr>
        <w:t xml:space="preserve">Расчетный уровень переходящих платежей определяется как частное </w:t>
      </w:r>
      <w:r w:rsidR="00BF0180" w:rsidRPr="00C66F76">
        <w:rPr>
          <w:color w:val="000000"/>
          <w:sz w:val="28"/>
          <w:szCs w:val="28"/>
        </w:rPr>
        <w:br/>
      </w:r>
      <w:r w:rsidRPr="00C66F76">
        <w:rPr>
          <w:color w:val="000000"/>
          <w:sz w:val="28"/>
          <w:szCs w:val="28"/>
        </w:rPr>
        <w:t xml:space="preserve">от деления суммы транспортного налога с организаций, начисленного </w:t>
      </w:r>
      <w:r w:rsidR="00BF0180" w:rsidRPr="00C66F76">
        <w:rPr>
          <w:color w:val="000000"/>
          <w:sz w:val="28"/>
          <w:szCs w:val="28"/>
        </w:rPr>
        <w:br/>
      </w:r>
      <w:r w:rsidRPr="00C66F76">
        <w:rPr>
          <w:color w:val="000000"/>
          <w:sz w:val="28"/>
          <w:szCs w:val="28"/>
        </w:rPr>
        <w:t>(по отчету по форме № 1-НМ</w:t>
      </w:r>
      <w:r w:rsidR="00AD6F8C" w:rsidRPr="00C66F76">
        <w:rPr>
          <w:color w:val="000000"/>
          <w:sz w:val="28"/>
          <w:szCs w:val="28"/>
        </w:rPr>
        <w:t xml:space="preserve"> – </w:t>
      </w:r>
      <w:r w:rsidR="007F099C" w:rsidRPr="00C66F76">
        <w:rPr>
          <w:color w:val="000000"/>
          <w:sz w:val="28"/>
          <w:szCs w:val="28"/>
        </w:rPr>
        <w:t xml:space="preserve">в 2020 году – 251 158 тыс. рублей </w:t>
      </w:r>
      <w:r w:rsidR="00A1579F" w:rsidRPr="00C66F76">
        <w:rPr>
          <w:color w:val="000000"/>
          <w:sz w:val="28"/>
          <w:szCs w:val="28"/>
        </w:rPr>
        <w:t>в 201</w:t>
      </w:r>
      <w:r w:rsidR="00874C77" w:rsidRPr="00C66F76">
        <w:rPr>
          <w:color w:val="000000"/>
          <w:sz w:val="28"/>
          <w:szCs w:val="28"/>
        </w:rPr>
        <w:t>9</w:t>
      </w:r>
      <w:r w:rsidR="00647014" w:rsidRPr="00C66F76">
        <w:rPr>
          <w:color w:val="000000"/>
          <w:sz w:val="28"/>
          <w:szCs w:val="28"/>
        </w:rPr>
        <w:t xml:space="preserve"> году </w:t>
      </w:r>
      <w:r w:rsidR="00BF0180" w:rsidRPr="00C66F76">
        <w:rPr>
          <w:color w:val="000000"/>
          <w:sz w:val="28"/>
          <w:szCs w:val="28"/>
        </w:rPr>
        <w:t>190 948</w:t>
      </w:r>
      <w:r w:rsidR="00AD6F8C" w:rsidRPr="00C66F76">
        <w:rPr>
          <w:color w:val="000000"/>
          <w:sz w:val="28"/>
          <w:szCs w:val="28"/>
        </w:rPr>
        <w:t>,0</w:t>
      </w:r>
      <w:r w:rsidR="00A1579F" w:rsidRPr="00C66F76">
        <w:rPr>
          <w:color w:val="000000"/>
          <w:sz w:val="28"/>
          <w:szCs w:val="28"/>
        </w:rPr>
        <w:t xml:space="preserve"> тыс. р</w:t>
      </w:r>
      <w:r w:rsidR="00AD6F8C" w:rsidRPr="00C66F76">
        <w:rPr>
          <w:color w:val="000000"/>
          <w:sz w:val="28"/>
          <w:szCs w:val="28"/>
        </w:rPr>
        <w:t>ублей</w:t>
      </w:r>
      <w:r w:rsidR="00062FE8" w:rsidRPr="00C66F76">
        <w:rPr>
          <w:color w:val="000000"/>
          <w:sz w:val="28"/>
          <w:szCs w:val="28"/>
        </w:rPr>
        <w:t xml:space="preserve">, в </w:t>
      </w:r>
      <w:r w:rsidR="007F099C" w:rsidRPr="00C66F76">
        <w:rPr>
          <w:color w:val="000000"/>
          <w:sz w:val="28"/>
          <w:szCs w:val="28"/>
        </w:rPr>
        <w:t>2018 году – 188 275 тыс. рублей</w:t>
      </w:r>
      <w:r w:rsidRPr="00C66F76">
        <w:rPr>
          <w:color w:val="000000"/>
          <w:sz w:val="28"/>
          <w:szCs w:val="28"/>
        </w:rPr>
        <w:t xml:space="preserve">) на сумму транспортного налога с организаций, подлежащего уплате в бюджет </w:t>
      </w:r>
      <w:r w:rsidR="00BF0180" w:rsidRPr="00C66F76">
        <w:rPr>
          <w:color w:val="000000"/>
          <w:sz w:val="28"/>
          <w:szCs w:val="28"/>
        </w:rPr>
        <w:br/>
      </w:r>
      <w:r w:rsidRPr="00C66F76">
        <w:rPr>
          <w:color w:val="000000"/>
          <w:sz w:val="28"/>
          <w:szCs w:val="28"/>
        </w:rPr>
        <w:t>(по отчету по форме № 5-ТН</w:t>
      </w:r>
      <w:r w:rsidR="00AD6F8C" w:rsidRPr="00C66F76">
        <w:rPr>
          <w:color w:val="000000"/>
          <w:sz w:val="28"/>
          <w:szCs w:val="28"/>
        </w:rPr>
        <w:t xml:space="preserve"> – </w:t>
      </w:r>
      <w:r w:rsidR="007F099C" w:rsidRPr="00C66F76">
        <w:rPr>
          <w:color w:val="000000"/>
          <w:sz w:val="28"/>
          <w:szCs w:val="28"/>
        </w:rPr>
        <w:t xml:space="preserve">в 2020 году – 262 965 тыс. рублей </w:t>
      </w:r>
      <w:r w:rsidR="00A1579F" w:rsidRPr="00C66F76">
        <w:rPr>
          <w:color w:val="000000"/>
          <w:sz w:val="28"/>
          <w:szCs w:val="28"/>
        </w:rPr>
        <w:t>в 201</w:t>
      </w:r>
      <w:r w:rsidR="00BF0180" w:rsidRPr="00C66F76">
        <w:rPr>
          <w:color w:val="000000"/>
          <w:sz w:val="28"/>
          <w:szCs w:val="28"/>
        </w:rPr>
        <w:t>9</w:t>
      </w:r>
      <w:r w:rsidR="00A1579F" w:rsidRPr="00C66F76">
        <w:rPr>
          <w:color w:val="000000"/>
          <w:sz w:val="28"/>
          <w:szCs w:val="28"/>
        </w:rPr>
        <w:t xml:space="preserve"> году </w:t>
      </w:r>
      <w:r w:rsidR="00BF0180" w:rsidRPr="00C66F76">
        <w:rPr>
          <w:color w:val="000000"/>
          <w:sz w:val="28"/>
          <w:szCs w:val="28"/>
        </w:rPr>
        <w:t>194 828</w:t>
      </w:r>
      <w:r w:rsidR="00AD6F8C" w:rsidRPr="00C66F76">
        <w:rPr>
          <w:color w:val="000000"/>
          <w:sz w:val="28"/>
          <w:szCs w:val="28"/>
        </w:rPr>
        <w:t>,0</w:t>
      </w:r>
      <w:r w:rsidR="00A1579F" w:rsidRPr="00C66F76">
        <w:rPr>
          <w:color w:val="000000"/>
          <w:sz w:val="28"/>
          <w:szCs w:val="28"/>
        </w:rPr>
        <w:t xml:space="preserve"> тыс. р</w:t>
      </w:r>
      <w:r w:rsidR="00AD6F8C" w:rsidRPr="00C66F76">
        <w:rPr>
          <w:color w:val="000000"/>
          <w:sz w:val="28"/>
          <w:szCs w:val="28"/>
        </w:rPr>
        <w:t>ублей</w:t>
      </w:r>
      <w:r w:rsidR="00062FE8" w:rsidRPr="00C66F76">
        <w:rPr>
          <w:color w:val="000000"/>
          <w:sz w:val="28"/>
          <w:szCs w:val="28"/>
        </w:rPr>
        <w:t>, в 2018 году – 187 983 тыс. руб.</w:t>
      </w:r>
      <w:r w:rsidRPr="00C66F76">
        <w:rPr>
          <w:color w:val="000000"/>
          <w:sz w:val="28"/>
          <w:szCs w:val="28"/>
        </w:rPr>
        <w:t>),</w:t>
      </w:r>
      <w:r w:rsidR="00AD6F8C" w:rsidRPr="00C66F76">
        <w:rPr>
          <w:color w:val="000000"/>
          <w:sz w:val="28"/>
          <w:szCs w:val="28"/>
        </w:rPr>
        <w:t xml:space="preserve"> сложившийся в</w:t>
      </w:r>
      <w:r w:rsidR="007F099C" w:rsidRPr="00C66F76">
        <w:rPr>
          <w:color w:val="000000"/>
          <w:sz w:val="28"/>
          <w:szCs w:val="28"/>
        </w:rPr>
        <w:t> </w:t>
      </w:r>
      <w:r w:rsidR="00BF0180" w:rsidRPr="00C66F76">
        <w:rPr>
          <w:color w:val="000000"/>
          <w:sz w:val="28"/>
          <w:szCs w:val="28"/>
        </w:rPr>
        <w:t>предшествующие</w:t>
      </w:r>
      <w:r w:rsidR="00AD6F8C" w:rsidRPr="00C66F76">
        <w:rPr>
          <w:color w:val="000000"/>
          <w:sz w:val="28"/>
          <w:szCs w:val="28"/>
        </w:rPr>
        <w:t xml:space="preserve"> период</w:t>
      </w:r>
      <w:r w:rsidR="00BF0180" w:rsidRPr="00C66F76">
        <w:rPr>
          <w:color w:val="000000"/>
          <w:sz w:val="28"/>
          <w:szCs w:val="28"/>
        </w:rPr>
        <w:t>ы</w:t>
      </w:r>
      <w:r w:rsidR="00062FE8" w:rsidRPr="00C66F76">
        <w:rPr>
          <w:color w:val="000000"/>
          <w:sz w:val="28"/>
          <w:szCs w:val="28"/>
        </w:rPr>
        <w:t xml:space="preserve"> (201</w:t>
      </w:r>
      <w:r w:rsidR="007F099C" w:rsidRPr="00C66F76">
        <w:rPr>
          <w:color w:val="000000"/>
          <w:sz w:val="28"/>
          <w:szCs w:val="28"/>
        </w:rPr>
        <w:t>8</w:t>
      </w:r>
      <w:r w:rsidR="00062FE8" w:rsidRPr="00C66F76">
        <w:rPr>
          <w:color w:val="000000"/>
          <w:sz w:val="28"/>
          <w:szCs w:val="28"/>
        </w:rPr>
        <w:t xml:space="preserve"> – 20</w:t>
      </w:r>
      <w:r w:rsidR="007F099C" w:rsidRPr="00C66F76">
        <w:rPr>
          <w:color w:val="000000"/>
          <w:sz w:val="28"/>
          <w:szCs w:val="28"/>
        </w:rPr>
        <w:t>20</w:t>
      </w:r>
      <w:r w:rsidR="00062FE8" w:rsidRPr="00C66F76">
        <w:rPr>
          <w:color w:val="000000"/>
          <w:sz w:val="28"/>
          <w:szCs w:val="28"/>
        </w:rPr>
        <w:t xml:space="preserve"> годы)</w:t>
      </w:r>
      <w:r w:rsidR="00AD6F8C" w:rsidRPr="00C66F76">
        <w:rPr>
          <w:color w:val="000000"/>
          <w:sz w:val="28"/>
          <w:szCs w:val="28"/>
        </w:rPr>
        <w:t>.</w:t>
      </w:r>
    </w:p>
    <w:p w:rsidR="00701E68" w:rsidRPr="00C66F76" w:rsidRDefault="00701E68" w:rsidP="008423B7">
      <w:pPr>
        <w:ind w:firstLine="709"/>
        <w:jc w:val="both"/>
        <w:rPr>
          <w:color w:val="000000"/>
          <w:sz w:val="28"/>
          <w:szCs w:val="28"/>
        </w:rPr>
      </w:pPr>
      <w:r w:rsidRPr="00C66F76">
        <w:rPr>
          <w:b/>
          <w:i/>
          <w:color w:val="000000"/>
          <w:sz w:val="28"/>
          <w:szCs w:val="28"/>
          <w:lang w:val="en-US"/>
        </w:rPr>
        <w:lastRenderedPageBreak/>
        <w:t>K</w:t>
      </w:r>
      <w:r w:rsidRPr="00C66F76">
        <w:rPr>
          <w:b/>
          <w:i/>
          <w:color w:val="000000"/>
          <w:sz w:val="28"/>
          <w:szCs w:val="28"/>
          <w:vertAlign w:val="subscript"/>
        </w:rPr>
        <w:t>соб.</w:t>
      </w:r>
      <w:r w:rsidRPr="00C66F76">
        <w:rPr>
          <w:color w:val="000000"/>
          <w:sz w:val="28"/>
          <w:szCs w:val="28"/>
        </w:rPr>
        <w:t>–</w:t>
      </w:r>
      <w:r w:rsidR="00AD6F8C" w:rsidRPr="00C66F76">
        <w:rPr>
          <w:color w:val="000000"/>
          <w:sz w:val="28"/>
          <w:szCs w:val="28"/>
        </w:rPr>
        <w:t xml:space="preserve"> </w:t>
      </w:r>
      <w:r w:rsidR="007F099C" w:rsidRPr="00C66F76">
        <w:rPr>
          <w:color w:val="000000"/>
          <w:sz w:val="28"/>
          <w:szCs w:val="28"/>
        </w:rPr>
        <w:t xml:space="preserve">расчетный уровень собираемости по данному налогу, сложившийся в предшествующие периоды, учитывает работу по погашению задолженности по налогу </w:t>
      </w:r>
      <w:r w:rsidR="00AD6F8C" w:rsidRPr="00C66F76">
        <w:rPr>
          <w:color w:val="000000"/>
          <w:sz w:val="28"/>
          <w:szCs w:val="28"/>
        </w:rPr>
        <w:t>(</w:t>
      </w:r>
      <w:r w:rsidR="007F099C" w:rsidRPr="00C66F76">
        <w:rPr>
          <w:color w:val="000000"/>
          <w:sz w:val="28"/>
          <w:szCs w:val="28"/>
        </w:rPr>
        <w:t>97,0</w:t>
      </w:r>
      <w:r w:rsidR="00AD6F8C" w:rsidRPr="00C66F76">
        <w:rPr>
          <w:color w:val="000000"/>
          <w:sz w:val="28"/>
          <w:szCs w:val="28"/>
        </w:rPr>
        <w:t xml:space="preserve"> % - на уровне </w:t>
      </w:r>
      <w:r w:rsidR="007F099C" w:rsidRPr="00C66F76">
        <w:rPr>
          <w:color w:val="000000"/>
          <w:sz w:val="28"/>
          <w:szCs w:val="28"/>
        </w:rPr>
        <w:t>2020 года</w:t>
      </w:r>
      <w:r w:rsidR="00AD6F8C" w:rsidRPr="00C66F76">
        <w:rPr>
          <w:color w:val="000000"/>
          <w:sz w:val="28"/>
          <w:szCs w:val="28"/>
        </w:rPr>
        <w:t>)</w:t>
      </w:r>
      <w:r w:rsidRPr="00C66F76">
        <w:rPr>
          <w:color w:val="000000"/>
          <w:sz w:val="28"/>
          <w:szCs w:val="28"/>
        </w:rPr>
        <w:t>.</w:t>
      </w:r>
    </w:p>
    <w:p w:rsidR="00701E68" w:rsidRPr="00C66F76" w:rsidRDefault="00701E68" w:rsidP="008423B7">
      <w:pPr>
        <w:ind w:firstLine="709"/>
        <w:jc w:val="both"/>
        <w:rPr>
          <w:color w:val="000000"/>
          <w:sz w:val="28"/>
          <w:szCs w:val="28"/>
        </w:rPr>
      </w:pPr>
      <w:r w:rsidRPr="00C66F76">
        <w:rPr>
          <w:color w:val="000000"/>
          <w:sz w:val="28"/>
          <w:szCs w:val="28"/>
        </w:rPr>
        <w:t>Расчетный уровень собираемости определяется как частное от деления суммы поступившего транспортного налога с организаций</w:t>
      </w:r>
      <w:r w:rsidR="00AD6F8C" w:rsidRPr="00C66F76">
        <w:rPr>
          <w:color w:val="000000"/>
          <w:sz w:val="28"/>
          <w:szCs w:val="28"/>
        </w:rPr>
        <w:t xml:space="preserve"> (</w:t>
      </w:r>
      <w:r w:rsidR="007F099C" w:rsidRPr="00C66F76">
        <w:rPr>
          <w:color w:val="000000"/>
          <w:sz w:val="28"/>
          <w:szCs w:val="28"/>
        </w:rPr>
        <w:t>243 586</w:t>
      </w:r>
      <w:r w:rsidR="00AD6F8C" w:rsidRPr="00C66F76">
        <w:rPr>
          <w:color w:val="000000"/>
          <w:sz w:val="28"/>
          <w:szCs w:val="28"/>
        </w:rPr>
        <w:t xml:space="preserve"> тыс. рублей</w:t>
      </w:r>
      <w:r w:rsidR="00A172E9" w:rsidRPr="00C66F76">
        <w:rPr>
          <w:color w:val="000000"/>
          <w:sz w:val="28"/>
          <w:szCs w:val="28"/>
        </w:rPr>
        <w:t xml:space="preserve"> в 20</w:t>
      </w:r>
      <w:r w:rsidR="007F099C" w:rsidRPr="00C66F76">
        <w:rPr>
          <w:color w:val="000000"/>
          <w:sz w:val="28"/>
          <w:szCs w:val="28"/>
        </w:rPr>
        <w:t>20</w:t>
      </w:r>
      <w:r w:rsidR="00A172E9" w:rsidRPr="00C66F76">
        <w:rPr>
          <w:color w:val="000000"/>
          <w:sz w:val="28"/>
          <w:szCs w:val="28"/>
        </w:rPr>
        <w:t xml:space="preserve"> году</w:t>
      </w:r>
      <w:r w:rsidR="00AD6F8C" w:rsidRPr="00C66F76">
        <w:rPr>
          <w:color w:val="000000"/>
          <w:sz w:val="28"/>
          <w:szCs w:val="28"/>
        </w:rPr>
        <w:t>)</w:t>
      </w:r>
      <w:r w:rsidRPr="00C66F76">
        <w:rPr>
          <w:color w:val="000000"/>
          <w:sz w:val="28"/>
          <w:szCs w:val="28"/>
        </w:rPr>
        <w:t xml:space="preserve"> на сумму начисленного транспортного налога с организаций</w:t>
      </w:r>
      <w:r w:rsidR="00AD6F8C" w:rsidRPr="00C66F76">
        <w:rPr>
          <w:color w:val="000000"/>
          <w:sz w:val="28"/>
          <w:szCs w:val="28"/>
        </w:rPr>
        <w:t xml:space="preserve"> (</w:t>
      </w:r>
      <w:r w:rsidR="007F099C" w:rsidRPr="00C66F76">
        <w:rPr>
          <w:color w:val="000000"/>
          <w:sz w:val="28"/>
          <w:szCs w:val="28"/>
        </w:rPr>
        <w:t>251 158</w:t>
      </w:r>
      <w:r w:rsidR="00AD6F8C" w:rsidRPr="00C66F76">
        <w:rPr>
          <w:color w:val="000000"/>
          <w:sz w:val="28"/>
          <w:szCs w:val="28"/>
        </w:rPr>
        <w:t xml:space="preserve"> тыс. рублей</w:t>
      </w:r>
      <w:r w:rsidR="007F099C" w:rsidRPr="00C66F76">
        <w:rPr>
          <w:color w:val="000000"/>
          <w:sz w:val="28"/>
          <w:szCs w:val="28"/>
        </w:rPr>
        <w:t xml:space="preserve"> </w:t>
      </w:r>
      <w:r w:rsidR="00A172E9" w:rsidRPr="00C66F76">
        <w:rPr>
          <w:color w:val="000000"/>
          <w:sz w:val="28"/>
          <w:szCs w:val="28"/>
        </w:rPr>
        <w:t>в 2018 году</w:t>
      </w:r>
      <w:r w:rsidR="00AD6F8C" w:rsidRPr="00C66F76">
        <w:rPr>
          <w:color w:val="000000"/>
          <w:sz w:val="28"/>
          <w:szCs w:val="28"/>
        </w:rPr>
        <w:t>)</w:t>
      </w:r>
      <w:r w:rsidRPr="00C66F76">
        <w:rPr>
          <w:color w:val="000000"/>
          <w:sz w:val="28"/>
          <w:szCs w:val="28"/>
        </w:rPr>
        <w:t xml:space="preserve"> (по отчету по форме № 1-НМ</w:t>
      </w:r>
      <w:r w:rsidR="007F099C" w:rsidRPr="00C66F76">
        <w:rPr>
          <w:color w:val="000000"/>
          <w:sz w:val="28"/>
          <w:szCs w:val="28"/>
        </w:rPr>
        <w:t xml:space="preserve"> за 2020 год</w:t>
      </w:r>
      <w:r w:rsidRPr="00C66F76">
        <w:rPr>
          <w:color w:val="000000"/>
          <w:sz w:val="28"/>
          <w:szCs w:val="28"/>
        </w:rPr>
        <w:t>);</w:t>
      </w:r>
    </w:p>
    <w:p w:rsidR="009C286E" w:rsidRPr="00C66F76" w:rsidRDefault="00701E68" w:rsidP="008423B7">
      <w:pPr>
        <w:ind w:firstLine="709"/>
        <w:jc w:val="both"/>
        <w:rPr>
          <w:color w:val="000000"/>
          <w:sz w:val="28"/>
          <w:szCs w:val="28"/>
        </w:rPr>
      </w:pPr>
      <w:r w:rsidRPr="00C66F76">
        <w:rPr>
          <w:b/>
          <w:i/>
          <w:color w:val="000000"/>
          <w:sz w:val="28"/>
          <w:szCs w:val="28"/>
        </w:rPr>
        <w:t>F</w:t>
      </w:r>
      <w:r w:rsidRPr="00C66F76">
        <w:rPr>
          <w:color w:val="000000"/>
          <w:sz w:val="28"/>
          <w:szCs w:val="28"/>
        </w:rPr>
        <w:t xml:space="preserve"> – </w:t>
      </w:r>
      <w:r w:rsidR="000354FA" w:rsidRPr="00C66F76">
        <w:rPr>
          <w:color w:val="000000"/>
          <w:sz w:val="28"/>
          <w:szCs w:val="28"/>
        </w:rPr>
        <w:t>корректирующая сумма поступлений, учитывающая изменения законодательства о налогах и сборах, а также другие факторы</w:t>
      </w:r>
      <w:r w:rsidRPr="00C66F76">
        <w:rPr>
          <w:color w:val="000000"/>
          <w:sz w:val="28"/>
          <w:szCs w:val="28"/>
        </w:rPr>
        <w:t>, тыс. рублей.</w:t>
      </w:r>
    </w:p>
    <w:p w:rsidR="00FB121C" w:rsidRPr="00C66F76" w:rsidRDefault="00FB121C" w:rsidP="008423B7">
      <w:pPr>
        <w:ind w:firstLine="709"/>
        <w:jc w:val="both"/>
        <w:rPr>
          <w:color w:val="000000"/>
          <w:sz w:val="28"/>
          <w:szCs w:val="28"/>
        </w:rPr>
      </w:pPr>
      <w:r w:rsidRPr="00C66F76">
        <w:rPr>
          <w:color w:val="000000"/>
          <w:sz w:val="28"/>
          <w:szCs w:val="28"/>
        </w:rPr>
        <w:t>Оценка поступления в 202</w:t>
      </w:r>
      <w:r w:rsidR="000354FA" w:rsidRPr="00C66F76">
        <w:rPr>
          <w:color w:val="000000"/>
          <w:sz w:val="28"/>
          <w:szCs w:val="28"/>
        </w:rPr>
        <w:t>1</w:t>
      </w:r>
      <w:r w:rsidRPr="00C66F76">
        <w:rPr>
          <w:color w:val="000000"/>
          <w:sz w:val="28"/>
          <w:szCs w:val="28"/>
        </w:rPr>
        <w:t xml:space="preserve"> году транспортного налога с организаций составляет </w:t>
      </w:r>
      <w:r w:rsidR="000354FA" w:rsidRPr="00C66F76">
        <w:rPr>
          <w:color w:val="000000"/>
          <w:sz w:val="28"/>
          <w:szCs w:val="28"/>
        </w:rPr>
        <w:t>263 775</w:t>
      </w:r>
      <w:r w:rsidRPr="00C66F76">
        <w:rPr>
          <w:color w:val="000000"/>
          <w:sz w:val="28"/>
          <w:szCs w:val="28"/>
        </w:rPr>
        <w:t xml:space="preserve"> тыс. рублей, что на </w:t>
      </w:r>
      <w:r w:rsidR="000354FA" w:rsidRPr="00C66F76">
        <w:rPr>
          <w:color w:val="000000"/>
          <w:sz w:val="28"/>
          <w:szCs w:val="28"/>
        </w:rPr>
        <w:t>8,3</w:t>
      </w:r>
      <w:r w:rsidRPr="00C66F76">
        <w:rPr>
          <w:color w:val="000000"/>
          <w:sz w:val="28"/>
          <w:szCs w:val="28"/>
        </w:rPr>
        <w:t xml:space="preserve">% </w:t>
      </w:r>
      <w:r w:rsidR="000354FA" w:rsidRPr="00C66F76">
        <w:rPr>
          <w:color w:val="000000"/>
          <w:sz w:val="28"/>
          <w:szCs w:val="28"/>
        </w:rPr>
        <w:t>выше</w:t>
      </w:r>
      <w:r w:rsidRPr="00C66F76">
        <w:rPr>
          <w:color w:val="000000"/>
          <w:sz w:val="28"/>
          <w:szCs w:val="28"/>
        </w:rPr>
        <w:t xml:space="preserve"> уровня прошлого года </w:t>
      </w:r>
      <w:r w:rsidRPr="00C66F76">
        <w:rPr>
          <w:color w:val="000000"/>
          <w:sz w:val="28"/>
          <w:szCs w:val="28"/>
        </w:rPr>
        <w:br/>
      </w:r>
      <w:r w:rsidR="000354FA" w:rsidRPr="00C66F76">
        <w:rPr>
          <w:color w:val="000000"/>
          <w:sz w:val="28"/>
          <w:szCs w:val="28"/>
        </w:rPr>
        <w:t>в связи с увеличением количества транспортных средств организаций, в отношении которых исчислен налог к уплате (в 2020 году увеличилось по сравнению с предыдущим годом на 36,1%), на что в значительной степени повлиял переход на бездекларационное администрирование транспортного налога с 01.01.2020, таким образом, в отчет включены транспортные средства, по которым налогоплательщики ранее не представляли налоговые декларации или представляли их с нарушением сроков (позднее даты формирования отчета).</w:t>
      </w:r>
    </w:p>
    <w:p w:rsidR="000354FA" w:rsidRPr="00C66F76" w:rsidRDefault="000354FA" w:rsidP="008423B7">
      <w:pPr>
        <w:ind w:firstLine="709"/>
        <w:jc w:val="both"/>
        <w:rPr>
          <w:color w:val="000000"/>
          <w:sz w:val="28"/>
          <w:szCs w:val="28"/>
        </w:rPr>
      </w:pPr>
      <w:r w:rsidRPr="00C66F76">
        <w:rPr>
          <w:color w:val="000000"/>
          <w:sz w:val="28"/>
          <w:szCs w:val="28"/>
        </w:rPr>
        <w:t xml:space="preserve">Корректирующие суммы поступлений в расчете оценки 2021 года и прогноза на 2022-2024 годы главным администратором не предусмотрены. </w:t>
      </w:r>
    </w:p>
    <w:p w:rsidR="00F2078E" w:rsidRPr="00B91E0A" w:rsidRDefault="00701E68" w:rsidP="008423B7">
      <w:pPr>
        <w:ind w:firstLine="709"/>
        <w:jc w:val="both"/>
        <w:rPr>
          <w:sz w:val="28"/>
          <w:szCs w:val="28"/>
        </w:rPr>
      </w:pPr>
      <w:r w:rsidRPr="00C66F76">
        <w:rPr>
          <w:sz w:val="28"/>
          <w:szCs w:val="28"/>
        </w:rPr>
        <w:t>Расчет прогноза по</w:t>
      </w:r>
      <w:r w:rsidR="00B425B6" w:rsidRPr="00C66F76">
        <w:rPr>
          <w:sz w:val="28"/>
          <w:szCs w:val="28"/>
        </w:rPr>
        <w:t xml:space="preserve">ступления </w:t>
      </w:r>
      <w:r w:rsidRPr="00C66F76">
        <w:rPr>
          <w:sz w:val="28"/>
          <w:szCs w:val="28"/>
        </w:rPr>
        <w:t xml:space="preserve">транспортного </w:t>
      </w:r>
      <w:r w:rsidR="009C286E" w:rsidRPr="00C66F76">
        <w:rPr>
          <w:sz w:val="28"/>
          <w:szCs w:val="28"/>
        </w:rPr>
        <w:t>налога</w:t>
      </w:r>
      <w:r w:rsidR="004D30C9" w:rsidRPr="00C66F76">
        <w:rPr>
          <w:sz w:val="28"/>
          <w:szCs w:val="28"/>
        </w:rPr>
        <w:t xml:space="preserve"> с организаций</w:t>
      </w:r>
      <w:r w:rsidR="009C286E" w:rsidRPr="00C66F76">
        <w:rPr>
          <w:sz w:val="28"/>
          <w:szCs w:val="28"/>
        </w:rPr>
        <w:t xml:space="preserve"> представлен в </w:t>
      </w:r>
      <w:r w:rsidR="00F2078E" w:rsidRPr="00CB607E">
        <w:rPr>
          <w:sz w:val="28"/>
          <w:szCs w:val="28"/>
        </w:rPr>
        <w:t>Таблице </w:t>
      </w:r>
      <w:r w:rsidR="008C2942" w:rsidRPr="00CB607E">
        <w:rPr>
          <w:sz w:val="28"/>
          <w:szCs w:val="28"/>
        </w:rPr>
        <w:t>4</w:t>
      </w:r>
      <w:r w:rsidR="009C286E" w:rsidRPr="00CB607E">
        <w:rPr>
          <w:sz w:val="28"/>
          <w:szCs w:val="28"/>
        </w:rPr>
        <w:t>.</w:t>
      </w:r>
    </w:p>
    <w:p w:rsidR="00A41AD7" w:rsidRDefault="00A41AD7">
      <w:pPr>
        <w:rPr>
          <w:sz w:val="28"/>
          <w:szCs w:val="28"/>
          <w:highlight w:val="red"/>
        </w:rPr>
      </w:pPr>
      <w:r>
        <w:rPr>
          <w:sz w:val="28"/>
          <w:szCs w:val="28"/>
          <w:highlight w:val="red"/>
        </w:rPr>
        <w:br w:type="page"/>
      </w:r>
    </w:p>
    <w:p w:rsidR="00A41AD7" w:rsidRDefault="00A41AD7" w:rsidP="00B425B6">
      <w:pPr>
        <w:ind w:firstLine="709"/>
        <w:jc w:val="both"/>
        <w:rPr>
          <w:sz w:val="28"/>
          <w:szCs w:val="28"/>
          <w:highlight w:val="red"/>
        </w:rPr>
        <w:sectPr w:rsidR="00A41AD7" w:rsidSect="008423B7">
          <w:footerReference w:type="even" r:id="rId22"/>
          <w:footerReference w:type="default" r:id="rId23"/>
          <w:pgSz w:w="11906" w:h="16838"/>
          <w:pgMar w:top="1134" w:right="851" w:bottom="1134" w:left="1276" w:header="709" w:footer="709" w:gutter="0"/>
          <w:cols w:space="708"/>
          <w:docGrid w:linePitch="360"/>
        </w:sectPr>
      </w:pPr>
    </w:p>
    <w:p w:rsidR="00A41AD7" w:rsidRPr="00576679" w:rsidRDefault="00A41AD7" w:rsidP="00A41AD7">
      <w:pPr>
        <w:jc w:val="center"/>
        <w:rPr>
          <w:sz w:val="28"/>
          <w:szCs w:val="18"/>
        </w:rPr>
      </w:pPr>
      <w:r w:rsidRPr="00576679">
        <w:rPr>
          <w:b/>
          <w:bCs/>
          <w:color w:val="000000"/>
          <w:sz w:val="28"/>
          <w:szCs w:val="18"/>
        </w:rPr>
        <w:lastRenderedPageBreak/>
        <w:t>Расчет поступлений транспортного налога с организаций</w:t>
      </w:r>
    </w:p>
    <w:p w:rsidR="00A41AD7" w:rsidRPr="00576679" w:rsidRDefault="00A41AD7" w:rsidP="00A41AD7">
      <w:pPr>
        <w:jc w:val="right"/>
        <w:rPr>
          <w:b/>
          <w:bCs/>
          <w:color w:val="000000"/>
          <w:sz w:val="28"/>
          <w:szCs w:val="18"/>
        </w:rPr>
      </w:pPr>
      <w:r w:rsidRPr="00576679">
        <w:rPr>
          <w:b/>
          <w:bCs/>
          <w:color w:val="000000"/>
          <w:sz w:val="28"/>
          <w:szCs w:val="18"/>
        </w:rPr>
        <w:t>тыс. рублей</w:t>
      </w:r>
    </w:p>
    <w:tbl>
      <w:tblPr>
        <w:tblW w:w="5002" w:type="pct"/>
        <w:tblInd w:w="-5" w:type="dxa"/>
        <w:tblLook w:val="04A0" w:firstRow="1" w:lastRow="0" w:firstColumn="1" w:lastColumn="0" w:noHBand="0" w:noVBand="1"/>
      </w:tblPr>
      <w:tblGrid>
        <w:gridCol w:w="1832"/>
        <w:gridCol w:w="1404"/>
        <w:gridCol w:w="913"/>
        <w:gridCol w:w="1017"/>
        <w:gridCol w:w="905"/>
        <w:gridCol w:w="969"/>
        <w:gridCol w:w="905"/>
        <w:gridCol w:w="866"/>
        <w:gridCol w:w="1107"/>
        <w:gridCol w:w="866"/>
        <w:gridCol w:w="969"/>
        <w:gridCol w:w="866"/>
        <w:gridCol w:w="969"/>
        <w:gridCol w:w="1025"/>
        <w:gridCol w:w="982"/>
        <w:gridCol w:w="1025"/>
        <w:gridCol w:w="969"/>
        <w:gridCol w:w="1025"/>
        <w:gridCol w:w="974"/>
        <w:gridCol w:w="1025"/>
        <w:gridCol w:w="926"/>
      </w:tblGrid>
      <w:tr w:rsidR="00A41AD7" w:rsidRPr="00576679" w:rsidTr="00E7317C">
        <w:trPr>
          <w:trHeight w:val="1200"/>
          <w:tblHeader/>
        </w:trPr>
        <w:tc>
          <w:tcPr>
            <w:tcW w:w="4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41AD7" w:rsidRPr="00576679" w:rsidRDefault="00A41AD7" w:rsidP="00E7317C">
            <w:pPr>
              <w:jc w:val="center"/>
              <w:rPr>
                <w:b/>
                <w:bCs/>
                <w:spacing w:val="-20"/>
                <w:sz w:val="20"/>
                <w:szCs w:val="20"/>
              </w:rPr>
            </w:pPr>
            <w:r w:rsidRPr="00576679">
              <w:rPr>
                <w:b/>
                <w:bCs/>
                <w:spacing w:val="-20"/>
                <w:sz w:val="20"/>
                <w:szCs w:val="20"/>
              </w:rPr>
              <w:t>Наименование показателя</w:t>
            </w:r>
          </w:p>
        </w:tc>
        <w:tc>
          <w:tcPr>
            <w:tcW w:w="326"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b/>
                <w:bCs/>
                <w:spacing w:val="-20"/>
                <w:sz w:val="20"/>
                <w:szCs w:val="20"/>
              </w:rPr>
            </w:pPr>
            <w:r w:rsidRPr="00576679">
              <w:rPr>
                <w:b/>
                <w:bCs/>
                <w:spacing w:val="-20"/>
                <w:sz w:val="20"/>
                <w:szCs w:val="20"/>
              </w:rPr>
              <w:t>Источники данных</w:t>
            </w:r>
          </w:p>
        </w:tc>
        <w:tc>
          <w:tcPr>
            <w:tcW w:w="212"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b/>
                <w:bCs/>
                <w:sz w:val="20"/>
                <w:szCs w:val="20"/>
              </w:rPr>
            </w:pPr>
            <w:r w:rsidRPr="00576679">
              <w:rPr>
                <w:b/>
                <w:bCs/>
                <w:sz w:val="20"/>
                <w:szCs w:val="20"/>
              </w:rPr>
              <w:t>2015 год Факт</w:t>
            </w:r>
          </w:p>
        </w:tc>
        <w:tc>
          <w:tcPr>
            <w:tcW w:w="236"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b/>
                <w:bCs/>
                <w:sz w:val="20"/>
                <w:szCs w:val="20"/>
              </w:rPr>
            </w:pPr>
            <w:r w:rsidRPr="00576679">
              <w:rPr>
                <w:b/>
                <w:bCs/>
                <w:sz w:val="20"/>
                <w:szCs w:val="20"/>
              </w:rPr>
              <w:t>2016 год Факт</w:t>
            </w:r>
          </w:p>
        </w:tc>
        <w:tc>
          <w:tcPr>
            <w:tcW w:w="210"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b/>
                <w:bCs/>
                <w:sz w:val="20"/>
                <w:szCs w:val="20"/>
              </w:rPr>
            </w:pPr>
            <w:r w:rsidRPr="00576679">
              <w:rPr>
                <w:b/>
                <w:bCs/>
                <w:sz w:val="20"/>
                <w:szCs w:val="20"/>
              </w:rPr>
              <w:t>темп,%</w:t>
            </w:r>
          </w:p>
        </w:tc>
        <w:tc>
          <w:tcPr>
            <w:tcW w:w="225"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b/>
                <w:bCs/>
                <w:sz w:val="20"/>
                <w:szCs w:val="20"/>
              </w:rPr>
            </w:pPr>
            <w:r w:rsidRPr="00576679">
              <w:rPr>
                <w:b/>
                <w:bCs/>
                <w:sz w:val="20"/>
                <w:szCs w:val="20"/>
              </w:rPr>
              <w:t>2017 год Факт</w:t>
            </w:r>
          </w:p>
        </w:tc>
        <w:tc>
          <w:tcPr>
            <w:tcW w:w="210"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b/>
                <w:bCs/>
                <w:sz w:val="20"/>
                <w:szCs w:val="20"/>
              </w:rPr>
            </w:pPr>
            <w:r w:rsidRPr="00576679">
              <w:rPr>
                <w:b/>
                <w:bCs/>
                <w:sz w:val="20"/>
                <w:szCs w:val="20"/>
              </w:rPr>
              <w:t>темп,%</w:t>
            </w:r>
          </w:p>
        </w:tc>
        <w:tc>
          <w:tcPr>
            <w:tcW w:w="201"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b/>
                <w:bCs/>
                <w:sz w:val="20"/>
                <w:szCs w:val="20"/>
              </w:rPr>
            </w:pPr>
            <w:r w:rsidRPr="00576679">
              <w:rPr>
                <w:b/>
                <w:bCs/>
                <w:sz w:val="20"/>
                <w:szCs w:val="20"/>
              </w:rPr>
              <w:t>2018 год Факт</w:t>
            </w:r>
          </w:p>
        </w:tc>
        <w:tc>
          <w:tcPr>
            <w:tcW w:w="257"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b/>
                <w:bCs/>
                <w:sz w:val="20"/>
                <w:szCs w:val="20"/>
              </w:rPr>
            </w:pPr>
            <w:r w:rsidRPr="00576679">
              <w:rPr>
                <w:b/>
                <w:bCs/>
                <w:sz w:val="20"/>
                <w:szCs w:val="20"/>
              </w:rPr>
              <w:t>темп,%%</w:t>
            </w:r>
          </w:p>
        </w:tc>
        <w:tc>
          <w:tcPr>
            <w:tcW w:w="201"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b/>
                <w:bCs/>
                <w:sz w:val="20"/>
                <w:szCs w:val="20"/>
              </w:rPr>
            </w:pPr>
            <w:r w:rsidRPr="00576679">
              <w:rPr>
                <w:b/>
                <w:bCs/>
                <w:sz w:val="20"/>
                <w:szCs w:val="20"/>
              </w:rPr>
              <w:t>2019 год</w:t>
            </w:r>
            <w:r w:rsidRPr="00576679">
              <w:rPr>
                <w:b/>
                <w:bCs/>
                <w:sz w:val="20"/>
                <w:szCs w:val="20"/>
              </w:rPr>
              <w:br/>
              <w:t>Факт</w:t>
            </w:r>
          </w:p>
        </w:tc>
        <w:tc>
          <w:tcPr>
            <w:tcW w:w="225"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b/>
                <w:bCs/>
                <w:sz w:val="20"/>
                <w:szCs w:val="20"/>
              </w:rPr>
            </w:pPr>
            <w:r w:rsidRPr="00576679">
              <w:rPr>
                <w:b/>
                <w:bCs/>
                <w:sz w:val="20"/>
                <w:szCs w:val="20"/>
              </w:rPr>
              <w:t>темп,%</w:t>
            </w:r>
          </w:p>
        </w:tc>
        <w:tc>
          <w:tcPr>
            <w:tcW w:w="201"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b/>
                <w:bCs/>
                <w:sz w:val="20"/>
                <w:szCs w:val="20"/>
              </w:rPr>
            </w:pPr>
            <w:r w:rsidRPr="00576679">
              <w:rPr>
                <w:b/>
                <w:bCs/>
                <w:sz w:val="20"/>
                <w:szCs w:val="20"/>
              </w:rPr>
              <w:t>2020 год</w:t>
            </w:r>
            <w:r w:rsidRPr="00576679">
              <w:rPr>
                <w:b/>
                <w:bCs/>
                <w:sz w:val="20"/>
                <w:szCs w:val="20"/>
              </w:rPr>
              <w:br/>
              <w:t>Факт</w:t>
            </w:r>
          </w:p>
        </w:tc>
        <w:tc>
          <w:tcPr>
            <w:tcW w:w="225"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b/>
                <w:bCs/>
                <w:sz w:val="20"/>
                <w:szCs w:val="20"/>
              </w:rPr>
            </w:pPr>
            <w:r w:rsidRPr="00576679">
              <w:rPr>
                <w:b/>
                <w:bCs/>
                <w:sz w:val="20"/>
                <w:szCs w:val="20"/>
              </w:rPr>
              <w:t>темп,%</w:t>
            </w:r>
          </w:p>
        </w:tc>
        <w:tc>
          <w:tcPr>
            <w:tcW w:w="238"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b/>
                <w:bCs/>
                <w:sz w:val="20"/>
                <w:szCs w:val="20"/>
              </w:rPr>
            </w:pPr>
            <w:r w:rsidRPr="00576679">
              <w:rPr>
                <w:b/>
                <w:bCs/>
                <w:sz w:val="20"/>
                <w:szCs w:val="20"/>
              </w:rPr>
              <w:t>2021 год</w:t>
            </w:r>
            <w:r w:rsidRPr="00576679">
              <w:rPr>
                <w:b/>
                <w:bCs/>
                <w:sz w:val="20"/>
                <w:szCs w:val="20"/>
              </w:rPr>
              <w:br/>
              <w:t>оценка</w:t>
            </w:r>
          </w:p>
        </w:tc>
        <w:tc>
          <w:tcPr>
            <w:tcW w:w="228"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b/>
                <w:bCs/>
                <w:sz w:val="20"/>
                <w:szCs w:val="20"/>
              </w:rPr>
            </w:pPr>
            <w:r w:rsidRPr="00576679">
              <w:rPr>
                <w:b/>
                <w:bCs/>
                <w:sz w:val="20"/>
                <w:szCs w:val="20"/>
              </w:rPr>
              <w:t>темп,%</w:t>
            </w:r>
          </w:p>
        </w:tc>
        <w:tc>
          <w:tcPr>
            <w:tcW w:w="238"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b/>
                <w:bCs/>
                <w:sz w:val="20"/>
                <w:szCs w:val="20"/>
              </w:rPr>
            </w:pPr>
            <w:r w:rsidRPr="00576679">
              <w:rPr>
                <w:b/>
                <w:bCs/>
                <w:sz w:val="20"/>
                <w:szCs w:val="20"/>
              </w:rPr>
              <w:t>2022 год</w:t>
            </w:r>
            <w:r w:rsidRPr="00576679">
              <w:rPr>
                <w:b/>
                <w:bCs/>
                <w:sz w:val="20"/>
                <w:szCs w:val="20"/>
              </w:rPr>
              <w:br/>
              <w:t>прогноз</w:t>
            </w:r>
          </w:p>
        </w:tc>
        <w:tc>
          <w:tcPr>
            <w:tcW w:w="225"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b/>
                <w:bCs/>
                <w:sz w:val="20"/>
                <w:szCs w:val="20"/>
              </w:rPr>
            </w:pPr>
            <w:r w:rsidRPr="00576679">
              <w:rPr>
                <w:b/>
                <w:bCs/>
                <w:sz w:val="20"/>
                <w:szCs w:val="20"/>
              </w:rPr>
              <w:t>темп,%</w:t>
            </w:r>
          </w:p>
        </w:tc>
        <w:tc>
          <w:tcPr>
            <w:tcW w:w="238"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b/>
                <w:bCs/>
                <w:sz w:val="20"/>
                <w:szCs w:val="20"/>
              </w:rPr>
            </w:pPr>
            <w:r w:rsidRPr="00576679">
              <w:rPr>
                <w:b/>
                <w:bCs/>
                <w:sz w:val="20"/>
                <w:szCs w:val="20"/>
              </w:rPr>
              <w:t>2023 год</w:t>
            </w:r>
            <w:r w:rsidRPr="00576679">
              <w:rPr>
                <w:b/>
                <w:bCs/>
                <w:sz w:val="20"/>
                <w:szCs w:val="20"/>
              </w:rPr>
              <w:br/>
              <w:t>прогноз</w:t>
            </w:r>
          </w:p>
        </w:tc>
        <w:tc>
          <w:tcPr>
            <w:tcW w:w="226"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b/>
                <w:bCs/>
                <w:sz w:val="20"/>
                <w:szCs w:val="20"/>
              </w:rPr>
            </w:pPr>
            <w:r w:rsidRPr="00576679">
              <w:rPr>
                <w:b/>
                <w:bCs/>
                <w:sz w:val="20"/>
                <w:szCs w:val="20"/>
              </w:rPr>
              <w:t>темп,%</w:t>
            </w:r>
          </w:p>
        </w:tc>
        <w:tc>
          <w:tcPr>
            <w:tcW w:w="238"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b/>
                <w:bCs/>
                <w:sz w:val="20"/>
                <w:szCs w:val="20"/>
              </w:rPr>
            </w:pPr>
            <w:r w:rsidRPr="00576679">
              <w:rPr>
                <w:b/>
                <w:bCs/>
                <w:sz w:val="20"/>
                <w:szCs w:val="20"/>
              </w:rPr>
              <w:t>2024 год</w:t>
            </w:r>
            <w:r w:rsidRPr="00576679">
              <w:rPr>
                <w:b/>
                <w:bCs/>
                <w:sz w:val="20"/>
                <w:szCs w:val="20"/>
              </w:rPr>
              <w:br/>
              <w:t>прогноз</w:t>
            </w:r>
          </w:p>
        </w:tc>
        <w:tc>
          <w:tcPr>
            <w:tcW w:w="216"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b/>
                <w:bCs/>
                <w:sz w:val="20"/>
                <w:szCs w:val="20"/>
              </w:rPr>
            </w:pPr>
            <w:r w:rsidRPr="00576679">
              <w:rPr>
                <w:b/>
                <w:bCs/>
                <w:sz w:val="20"/>
                <w:szCs w:val="20"/>
              </w:rPr>
              <w:t>темп,%</w:t>
            </w:r>
          </w:p>
        </w:tc>
      </w:tr>
      <w:tr w:rsidR="00A41AD7" w:rsidRPr="00576679" w:rsidTr="00E7317C">
        <w:trPr>
          <w:trHeight w:val="1125"/>
        </w:trPr>
        <w:tc>
          <w:tcPr>
            <w:tcW w:w="4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41AD7" w:rsidRPr="00576679" w:rsidRDefault="00A41AD7" w:rsidP="00E7317C">
            <w:pPr>
              <w:rPr>
                <w:b/>
                <w:bCs/>
                <w:sz w:val="20"/>
                <w:szCs w:val="20"/>
              </w:rPr>
            </w:pPr>
            <w:r w:rsidRPr="00576679">
              <w:rPr>
                <w:b/>
                <w:bCs/>
                <w:sz w:val="20"/>
                <w:szCs w:val="20"/>
              </w:rPr>
              <w:t>Количество объектов транспортных средств по видам транспортных средств:</w:t>
            </w:r>
          </w:p>
        </w:tc>
        <w:tc>
          <w:tcPr>
            <w:tcW w:w="326"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b/>
                <w:bCs/>
                <w:sz w:val="20"/>
                <w:szCs w:val="20"/>
              </w:rPr>
            </w:pPr>
            <w:r w:rsidRPr="00576679">
              <w:rPr>
                <w:b/>
                <w:bCs/>
                <w:sz w:val="20"/>
                <w:szCs w:val="20"/>
              </w:rPr>
              <w:t>отчет 5-ТН,стр.1300</w:t>
            </w:r>
          </w:p>
        </w:tc>
        <w:tc>
          <w:tcPr>
            <w:tcW w:w="212"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b/>
                <w:bCs/>
                <w:sz w:val="20"/>
                <w:szCs w:val="20"/>
              </w:rPr>
            </w:pPr>
            <w:r w:rsidRPr="00576679">
              <w:rPr>
                <w:b/>
                <w:bCs/>
                <w:sz w:val="20"/>
                <w:szCs w:val="20"/>
              </w:rPr>
              <w:t>33 940</w:t>
            </w:r>
          </w:p>
        </w:tc>
        <w:tc>
          <w:tcPr>
            <w:tcW w:w="236"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b/>
                <w:bCs/>
                <w:sz w:val="20"/>
                <w:szCs w:val="20"/>
              </w:rPr>
            </w:pPr>
            <w:r w:rsidRPr="00576679">
              <w:rPr>
                <w:b/>
                <w:bCs/>
                <w:sz w:val="20"/>
                <w:szCs w:val="20"/>
              </w:rPr>
              <w:t>31 272</w:t>
            </w:r>
          </w:p>
        </w:tc>
        <w:tc>
          <w:tcPr>
            <w:tcW w:w="210"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b/>
                <w:bCs/>
                <w:sz w:val="20"/>
                <w:szCs w:val="20"/>
              </w:rPr>
            </w:pPr>
            <w:r w:rsidRPr="00576679">
              <w:rPr>
                <w:b/>
                <w:bCs/>
                <w:sz w:val="20"/>
                <w:szCs w:val="20"/>
              </w:rPr>
              <w:t>92,1</w:t>
            </w:r>
          </w:p>
        </w:tc>
        <w:tc>
          <w:tcPr>
            <w:tcW w:w="225"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b/>
                <w:bCs/>
                <w:sz w:val="20"/>
                <w:szCs w:val="20"/>
              </w:rPr>
            </w:pPr>
            <w:r w:rsidRPr="00576679">
              <w:rPr>
                <w:b/>
                <w:bCs/>
                <w:sz w:val="20"/>
                <w:szCs w:val="20"/>
              </w:rPr>
              <w:t>31 201</w:t>
            </w:r>
          </w:p>
        </w:tc>
        <w:tc>
          <w:tcPr>
            <w:tcW w:w="210"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b/>
                <w:bCs/>
                <w:sz w:val="20"/>
                <w:szCs w:val="20"/>
              </w:rPr>
            </w:pPr>
            <w:r w:rsidRPr="00576679">
              <w:rPr>
                <w:b/>
                <w:bCs/>
                <w:sz w:val="20"/>
                <w:szCs w:val="20"/>
              </w:rPr>
              <w:t>99,8</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b/>
                <w:bCs/>
                <w:color w:val="000000"/>
                <w:sz w:val="20"/>
                <w:szCs w:val="20"/>
              </w:rPr>
            </w:pPr>
            <w:r w:rsidRPr="00576679">
              <w:rPr>
                <w:b/>
                <w:bCs/>
                <w:color w:val="000000"/>
                <w:sz w:val="20"/>
                <w:szCs w:val="20"/>
              </w:rPr>
              <w:t>28 480</w:t>
            </w:r>
          </w:p>
        </w:tc>
        <w:tc>
          <w:tcPr>
            <w:tcW w:w="257"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b/>
                <w:bCs/>
                <w:color w:val="000000"/>
                <w:sz w:val="20"/>
                <w:szCs w:val="20"/>
              </w:rPr>
            </w:pPr>
            <w:r w:rsidRPr="00576679">
              <w:rPr>
                <w:b/>
                <w:bCs/>
                <w:color w:val="000000"/>
                <w:sz w:val="20"/>
                <w:szCs w:val="20"/>
              </w:rPr>
              <w:t>91,3</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b/>
                <w:bCs/>
                <w:color w:val="000000"/>
                <w:sz w:val="20"/>
                <w:szCs w:val="20"/>
              </w:rPr>
            </w:pPr>
            <w:r w:rsidRPr="00576679">
              <w:rPr>
                <w:b/>
                <w:bCs/>
                <w:color w:val="000000"/>
                <w:sz w:val="20"/>
                <w:szCs w:val="20"/>
              </w:rPr>
              <w:t>27 004</w:t>
            </w:r>
          </w:p>
        </w:tc>
        <w:tc>
          <w:tcPr>
            <w:tcW w:w="225"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b/>
                <w:bCs/>
                <w:color w:val="000000"/>
                <w:sz w:val="20"/>
                <w:szCs w:val="20"/>
              </w:rPr>
            </w:pPr>
            <w:r w:rsidRPr="00576679">
              <w:rPr>
                <w:b/>
                <w:bCs/>
                <w:color w:val="000000"/>
                <w:sz w:val="20"/>
                <w:szCs w:val="20"/>
              </w:rPr>
              <w:t>94,8</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b/>
                <w:bCs/>
                <w:color w:val="000000"/>
                <w:sz w:val="20"/>
                <w:szCs w:val="20"/>
              </w:rPr>
            </w:pPr>
            <w:r w:rsidRPr="00576679">
              <w:rPr>
                <w:b/>
                <w:bCs/>
                <w:color w:val="000000"/>
                <w:sz w:val="20"/>
                <w:szCs w:val="20"/>
              </w:rPr>
              <w:t>36 750</w:t>
            </w:r>
          </w:p>
        </w:tc>
        <w:tc>
          <w:tcPr>
            <w:tcW w:w="225"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b/>
                <w:bCs/>
                <w:color w:val="000000"/>
                <w:sz w:val="20"/>
                <w:szCs w:val="20"/>
              </w:rPr>
            </w:pPr>
            <w:r w:rsidRPr="00576679">
              <w:rPr>
                <w:b/>
                <w:bCs/>
                <w:color w:val="000000"/>
                <w:sz w:val="20"/>
                <w:szCs w:val="20"/>
              </w:rPr>
              <w:t>136,1</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b/>
                <w:bCs/>
                <w:color w:val="000000"/>
                <w:sz w:val="20"/>
                <w:szCs w:val="20"/>
              </w:rPr>
            </w:pPr>
            <w:r w:rsidRPr="00576679">
              <w:rPr>
                <w:b/>
                <w:bCs/>
                <w:color w:val="000000"/>
                <w:sz w:val="20"/>
                <w:szCs w:val="20"/>
              </w:rPr>
              <w:t>37 869</w:t>
            </w:r>
          </w:p>
        </w:tc>
        <w:tc>
          <w:tcPr>
            <w:tcW w:w="22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b/>
                <w:bCs/>
                <w:color w:val="000000"/>
                <w:sz w:val="20"/>
                <w:szCs w:val="20"/>
              </w:rPr>
            </w:pPr>
            <w:r w:rsidRPr="00576679">
              <w:rPr>
                <w:b/>
                <w:bCs/>
                <w:color w:val="000000"/>
                <w:sz w:val="20"/>
                <w:szCs w:val="20"/>
              </w:rPr>
              <w:t>103,0</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b/>
                <w:bCs/>
                <w:color w:val="000000"/>
                <w:sz w:val="20"/>
                <w:szCs w:val="20"/>
              </w:rPr>
            </w:pPr>
            <w:r w:rsidRPr="00576679">
              <w:rPr>
                <w:b/>
                <w:bCs/>
                <w:color w:val="000000"/>
                <w:sz w:val="20"/>
                <w:szCs w:val="20"/>
              </w:rPr>
              <w:t>39 300</w:t>
            </w:r>
          </w:p>
        </w:tc>
        <w:tc>
          <w:tcPr>
            <w:tcW w:w="225"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b/>
                <w:bCs/>
                <w:color w:val="000000"/>
                <w:sz w:val="20"/>
                <w:szCs w:val="20"/>
              </w:rPr>
            </w:pPr>
            <w:r w:rsidRPr="00576679">
              <w:rPr>
                <w:b/>
                <w:bCs/>
                <w:color w:val="000000"/>
                <w:sz w:val="20"/>
                <w:szCs w:val="20"/>
              </w:rPr>
              <w:t>103,8</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b/>
                <w:bCs/>
                <w:color w:val="000000"/>
                <w:sz w:val="20"/>
                <w:szCs w:val="20"/>
              </w:rPr>
            </w:pPr>
            <w:r w:rsidRPr="00576679">
              <w:rPr>
                <w:b/>
                <w:bCs/>
                <w:color w:val="000000"/>
                <w:sz w:val="20"/>
                <w:szCs w:val="20"/>
              </w:rPr>
              <w:t>41 168</w:t>
            </w:r>
          </w:p>
        </w:tc>
        <w:tc>
          <w:tcPr>
            <w:tcW w:w="226"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b/>
                <w:bCs/>
                <w:color w:val="000000"/>
                <w:sz w:val="20"/>
                <w:szCs w:val="20"/>
              </w:rPr>
            </w:pPr>
            <w:r w:rsidRPr="00576679">
              <w:rPr>
                <w:b/>
                <w:bCs/>
                <w:color w:val="000000"/>
                <w:sz w:val="20"/>
                <w:szCs w:val="20"/>
              </w:rPr>
              <w:t>104,8</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b/>
                <w:bCs/>
                <w:color w:val="000000"/>
                <w:sz w:val="20"/>
                <w:szCs w:val="20"/>
              </w:rPr>
            </w:pPr>
            <w:r w:rsidRPr="00576679">
              <w:rPr>
                <w:b/>
                <w:bCs/>
                <w:color w:val="000000"/>
                <w:sz w:val="20"/>
                <w:szCs w:val="20"/>
              </w:rPr>
              <w:t>43 656</w:t>
            </w:r>
          </w:p>
        </w:tc>
        <w:tc>
          <w:tcPr>
            <w:tcW w:w="216"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b/>
                <w:bCs/>
                <w:color w:val="000000"/>
                <w:sz w:val="20"/>
                <w:szCs w:val="20"/>
              </w:rPr>
            </w:pPr>
            <w:r w:rsidRPr="00576679">
              <w:rPr>
                <w:b/>
                <w:bCs/>
                <w:color w:val="000000"/>
                <w:sz w:val="20"/>
                <w:szCs w:val="20"/>
              </w:rPr>
              <w:t>106,0</w:t>
            </w:r>
          </w:p>
        </w:tc>
      </w:tr>
      <w:tr w:rsidR="00A41AD7" w:rsidRPr="00576679" w:rsidTr="00E7317C">
        <w:trPr>
          <w:trHeight w:val="750"/>
        </w:trPr>
        <w:tc>
          <w:tcPr>
            <w:tcW w:w="4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41AD7" w:rsidRPr="00576679" w:rsidRDefault="00A41AD7" w:rsidP="00E7317C">
            <w:pPr>
              <w:rPr>
                <w:i/>
                <w:iCs/>
                <w:sz w:val="20"/>
                <w:szCs w:val="20"/>
              </w:rPr>
            </w:pPr>
            <w:r w:rsidRPr="00576679">
              <w:rPr>
                <w:i/>
                <w:iCs/>
                <w:sz w:val="20"/>
                <w:szCs w:val="20"/>
              </w:rPr>
              <w:t>Автомобили легковые с мощностью двигателя:</w:t>
            </w:r>
          </w:p>
        </w:tc>
        <w:tc>
          <w:tcPr>
            <w:tcW w:w="326"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i/>
                <w:iCs/>
                <w:sz w:val="20"/>
                <w:szCs w:val="20"/>
              </w:rPr>
            </w:pPr>
            <w:r w:rsidRPr="00576679">
              <w:rPr>
                <w:i/>
                <w:iCs/>
                <w:sz w:val="20"/>
                <w:szCs w:val="20"/>
              </w:rPr>
              <w:t>отчет 5-ТН,стр.1311</w:t>
            </w:r>
          </w:p>
        </w:tc>
        <w:tc>
          <w:tcPr>
            <w:tcW w:w="212"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9 093</w:t>
            </w:r>
          </w:p>
        </w:tc>
        <w:tc>
          <w:tcPr>
            <w:tcW w:w="236"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8 605</w:t>
            </w:r>
          </w:p>
        </w:tc>
        <w:tc>
          <w:tcPr>
            <w:tcW w:w="210"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94,6</w:t>
            </w:r>
          </w:p>
        </w:tc>
        <w:tc>
          <w:tcPr>
            <w:tcW w:w="225"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8 657</w:t>
            </w:r>
          </w:p>
        </w:tc>
        <w:tc>
          <w:tcPr>
            <w:tcW w:w="210"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100,6</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8 516</w:t>
            </w:r>
          </w:p>
        </w:tc>
        <w:tc>
          <w:tcPr>
            <w:tcW w:w="257"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98,4</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8 948</w:t>
            </w:r>
          </w:p>
        </w:tc>
        <w:tc>
          <w:tcPr>
            <w:tcW w:w="225"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105,1</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10 554</w:t>
            </w:r>
          </w:p>
        </w:tc>
        <w:tc>
          <w:tcPr>
            <w:tcW w:w="225"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117,9</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10 952</w:t>
            </w:r>
          </w:p>
        </w:tc>
        <w:tc>
          <w:tcPr>
            <w:tcW w:w="22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103,8</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11 379</w:t>
            </w:r>
          </w:p>
        </w:tc>
        <w:tc>
          <w:tcPr>
            <w:tcW w:w="225"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103,9</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11 838</w:t>
            </w:r>
          </w:p>
        </w:tc>
        <w:tc>
          <w:tcPr>
            <w:tcW w:w="226"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104,0</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12 331</w:t>
            </w:r>
          </w:p>
        </w:tc>
        <w:tc>
          <w:tcPr>
            <w:tcW w:w="216"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104,2</w:t>
            </w:r>
          </w:p>
        </w:tc>
      </w:tr>
      <w:tr w:rsidR="00A41AD7" w:rsidRPr="00576679" w:rsidTr="00E7317C">
        <w:trPr>
          <w:trHeight w:val="750"/>
        </w:trPr>
        <w:tc>
          <w:tcPr>
            <w:tcW w:w="4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41AD7" w:rsidRPr="00576679" w:rsidRDefault="00A41AD7" w:rsidP="00E7317C">
            <w:pPr>
              <w:ind w:firstLineChars="16" w:firstLine="32"/>
              <w:rPr>
                <w:sz w:val="20"/>
                <w:szCs w:val="20"/>
              </w:rPr>
            </w:pPr>
            <w:r w:rsidRPr="00576679">
              <w:rPr>
                <w:sz w:val="20"/>
                <w:szCs w:val="20"/>
              </w:rPr>
              <w:t>до 100 л.с. (до 73,55 кВт) включительно</w:t>
            </w:r>
          </w:p>
        </w:tc>
        <w:tc>
          <w:tcPr>
            <w:tcW w:w="326"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отчет 5-ТН,стр.1312</w:t>
            </w:r>
          </w:p>
        </w:tc>
        <w:tc>
          <w:tcPr>
            <w:tcW w:w="212"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3 648</w:t>
            </w:r>
          </w:p>
        </w:tc>
        <w:tc>
          <w:tcPr>
            <w:tcW w:w="236"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3 275</w:t>
            </w:r>
          </w:p>
        </w:tc>
        <w:tc>
          <w:tcPr>
            <w:tcW w:w="210"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89,8</w:t>
            </w:r>
          </w:p>
        </w:tc>
        <w:tc>
          <w:tcPr>
            <w:tcW w:w="225"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3 109</w:t>
            </w:r>
          </w:p>
        </w:tc>
        <w:tc>
          <w:tcPr>
            <w:tcW w:w="210"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94,9</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2 901</w:t>
            </w:r>
          </w:p>
        </w:tc>
        <w:tc>
          <w:tcPr>
            <w:tcW w:w="257"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93,3</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2 954</w:t>
            </w:r>
          </w:p>
        </w:tc>
        <w:tc>
          <w:tcPr>
            <w:tcW w:w="225"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101,8</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3 382</w:t>
            </w:r>
          </w:p>
        </w:tc>
        <w:tc>
          <w:tcPr>
            <w:tcW w:w="225"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114,5</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3 345</w:t>
            </w:r>
          </w:p>
        </w:tc>
        <w:tc>
          <w:tcPr>
            <w:tcW w:w="22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98,9</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3 308</w:t>
            </w:r>
          </w:p>
        </w:tc>
        <w:tc>
          <w:tcPr>
            <w:tcW w:w="225"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98,9</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3 272</w:t>
            </w:r>
          </w:p>
        </w:tc>
        <w:tc>
          <w:tcPr>
            <w:tcW w:w="226"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98,9</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3 236</w:t>
            </w:r>
          </w:p>
        </w:tc>
        <w:tc>
          <w:tcPr>
            <w:tcW w:w="216"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98,9</w:t>
            </w:r>
          </w:p>
        </w:tc>
      </w:tr>
      <w:tr w:rsidR="00A41AD7" w:rsidRPr="00576679" w:rsidTr="00E7317C">
        <w:trPr>
          <w:trHeight w:val="1125"/>
        </w:trPr>
        <w:tc>
          <w:tcPr>
            <w:tcW w:w="4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41AD7" w:rsidRPr="00576679" w:rsidRDefault="00A41AD7" w:rsidP="00E7317C">
            <w:pPr>
              <w:ind w:firstLineChars="16" w:firstLine="32"/>
              <w:rPr>
                <w:sz w:val="20"/>
                <w:szCs w:val="20"/>
              </w:rPr>
            </w:pPr>
            <w:r w:rsidRPr="00576679">
              <w:rPr>
                <w:sz w:val="20"/>
                <w:szCs w:val="20"/>
              </w:rPr>
              <w:t>свыше 100 л.с. до 150 л.с. (свыше 73,55 кВт до 110,33 кВт) включительно</w:t>
            </w:r>
          </w:p>
        </w:tc>
        <w:tc>
          <w:tcPr>
            <w:tcW w:w="326"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отчет 5-ТН,стр.1313</w:t>
            </w:r>
          </w:p>
        </w:tc>
        <w:tc>
          <w:tcPr>
            <w:tcW w:w="212"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3 394</w:t>
            </w:r>
          </w:p>
        </w:tc>
        <w:tc>
          <w:tcPr>
            <w:tcW w:w="236"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3 353</w:t>
            </w:r>
          </w:p>
        </w:tc>
        <w:tc>
          <w:tcPr>
            <w:tcW w:w="210"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98,8</w:t>
            </w:r>
          </w:p>
        </w:tc>
        <w:tc>
          <w:tcPr>
            <w:tcW w:w="225"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3 471</w:t>
            </w:r>
          </w:p>
        </w:tc>
        <w:tc>
          <w:tcPr>
            <w:tcW w:w="210"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103,5</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3 439</w:t>
            </w:r>
          </w:p>
        </w:tc>
        <w:tc>
          <w:tcPr>
            <w:tcW w:w="257"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99,1</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3 619</w:t>
            </w:r>
          </w:p>
        </w:tc>
        <w:tc>
          <w:tcPr>
            <w:tcW w:w="225"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105,2</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4 386</w:t>
            </w:r>
          </w:p>
        </w:tc>
        <w:tc>
          <w:tcPr>
            <w:tcW w:w="225"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121,2</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4 632</w:t>
            </w:r>
          </w:p>
        </w:tc>
        <w:tc>
          <w:tcPr>
            <w:tcW w:w="22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105,6</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4 891</w:t>
            </w:r>
          </w:p>
        </w:tc>
        <w:tc>
          <w:tcPr>
            <w:tcW w:w="225"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105,6</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5 165</w:t>
            </w:r>
          </w:p>
        </w:tc>
        <w:tc>
          <w:tcPr>
            <w:tcW w:w="226"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105,6</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5 454</w:t>
            </w:r>
          </w:p>
        </w:tc>
        <w:tc>
          <w:tcPr>
            <w:tcW w:w="216"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105,6</w:t>
            </w:r>
          </w:p>
        </w:tc>
      </w:tr>
      <w:tr w:rsidR="00A41AD7" w:rsidRPr="00576679" w:rsidTr="00E7317C">
        <w:trPr>
          <w:trHeight w:val="1125"/>
        </w:trPr>
        <w:tc>
          <w:tcPr>
            <w:tcW w:w="4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41AD7" w:rsidRPr="00576679" w:rsidRDefault="00A41AD7" w:rsidP="00E7317C">
            <w:pPr>
              <w:ind w:firstLineChars="16" w:firstLine="32"/>
              <w:rPr>
                <w:sz w:val="20"/>
                <w:szCs w:val="20"/>
              </w:rPr>
            </w:pPr>
            <w:r w:rsidRPr="00576679">
              <w:rPr>
                <w:sz w:val="20"/>
                <w:szCs w:val="20"/>
              </w:rPr>
              <w:t>свыше 150 л.с. до 200 л.с. (свыше 110,33 кВт до 147,1 кВт) включительно</w:t>
            </w:r>
          </w:p>
        </w:tc>
        <w:tc>
          <w:tcPr>
            <w:tcW w:w="326"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отчет 5-ТН,стр.1314</w:t>
            </w:r>
          </w:p>
        </w:tc>
        <w:tc>
          <w:tcPr>
            <w:tcW w:w="212"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1 080</w:t>
            </w:r>
          </w:p>
        </w:tc>
        <w:tc>
          <w:tcPr>
            <w:tcW w:w="236"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999</w:t>
            </w:r>
          </w:p>
        </w:tc>
        <w:tc>
          <w:tcPr>
            <w:tcW w:w="210"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92,5</w:t>
            </w:r>
          </w:p>
        </w:tc>
        <w:tc>
          <w:tcPr>
            <w:tcW w:w="225"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1 047</w:t>
            </w:r>
          </w:p>
        </w:tc>
        <w:tc>
          <w:tcPr>
            <w:tcW w:w="210"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104,8</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1 092</w:t>
            </w:r>
          </w:p>
        </w:tc>
        <w:tc>
          <w:tcPr>
            <w:tcW w:w="257"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104,3</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1 230</w:t>
            </w:r>
          </w:p>
        </w:tc>
        <w:tc>
          <w:tcPr>
            <w:tcW w:w="225"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112,6</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1 388</w:t>
            </w:r>
          </w:p>
        </w:tc>
        <w:tc>
          <w:tcPr>
            <w:tcW w:w="225"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112,8</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1 463</w:t>
            </w:r>
          </w:p>
        </w:tc>
        <w:tc>
          <w:tcPr>
            <w:tcW w:w="22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105,4</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1 542</w:t>
            </w:r>
          </w:p>
        </w:tc>
        <w:tc>
          <w:tcPr>
            <w:tcW w:w="225"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105,4</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1 625</w:t>
            </w:r>
          </w:p>
        </w:tc>
        <w:tc>
          <w:tcPr>
            <w:tcW w:w="226"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105,4</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1 713</w:t>
            </w:r>
          </w:p>
        </w:tc>
        <w:tc>
          <w:tcPr>
            <w:tcW w:w="216"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105,4</w:t>
            </w:r>
          </w:p>
        </w:tc>
      </w:tr>
      <w:tr w:rsidR="00A41AD7" w:rsidRPr="00576679" w:rsidTr="00E7317C">
        <w:trPr>
          <w:trHeight w:val="720"/>
        </w:trPr>
        <w:tc>
          <w:tcPr>
            <w:tcW w:w="4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41AD7" w:rsidRPr="00576679" w:rsidRDefault="00A41AD7" w:rsidP="00E7317C">
            <w:pPr>
              <w:ind w:firstLineChars="16" w:firstLine="32"/>
              <w:rPr>
                <w:sz w:val="20"/>
                <w:szCs w:val="20"/>
              </w:rPr>
            </w:pPr>
            <w:r w:rsidRPr="00576679">
              <w:rPr>
                <w:sz w:val="20"/>
                <w:szCs w:val="20"/>
              </w:rPr>
              <w:t>свыше 200 л.с. до 250 л.с. (свыше 147,1 кВт до 183,9 кВт) включительно</w:t>
            </w:r>
          </w:p>
        </w:tc>
        <w:tc>
          <w:tcPr>
            <w:tcW w:w="326"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отчет 5-ТН,стр.1315</w:t>
            </w:r>
          </w:p>
        </w:tc>
        <w:tc>
          <w:tcPr>
            <w:tcW w:w="212"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509</w:t>
            </w:r>
          </w:p>
        </w:tc>
        <w:tc>
          <w:tcPr>
            <w:tcW w:w="236"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500</w:t>
            </w:r>
          </w:p>
        </w:tc>
        <w:tc>
          <w:tcPr>
            <w:tcW w:w="210"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98,2</w:t>
            </w:r>
          </w:p>
        </w:tc>
        <w:tc>
          <w:tcPr>
            <w:tcW w:w="225"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561</w:t>
            </w:r>
          </w:p>
        </w:tc>
        <w:tc>
          <w:tcPr>
            <w:tcW w:w="210"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112,2</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623</w:t>
            </w:r>
          </w:p>
        </w:tc>
        <w:tc>
          <w:tcPr>
            <w:tcW w:w="257"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111,1</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675</w:t>
            </w:r>
          </w:p>
        </w:tc>
        <w:tc>
          <w:tcPr>
            <w:tcW w:w="225"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108,3</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849</w:t>
            </w:r>
          </w:p>
        </w:tc>
        <w:tc>
          <w:tcPr>
            <w:tcW w:w="225"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125,8</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943</w:t>
            </w:r>
          </w:p>
        </w:tc>
        <w:tc>
          <w:tcPr>
            <w:tcW w:w="22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111,1</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1 048</w:t>
            </w:r>
          </w:p>
        </w:tc>
        <w:tc>
          <w:tcPr>
            <w:tcW w:w="225"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111,1</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1 164</w:t>
            </w:r>
          </w:p>
        </w:tc>
        <w:tc>
          <w:tcPr>
            <w:tcW w:w="226"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111,1</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1 293</w:t>
            </w:r>
          </w:p>
        </w:tc>
        <w:tc>
          <w:tcPr>
            <w:tcW w:w="216"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111,1</w:t>
            </w:r>
          </w:p>
        </w:tc>
      </w:tr>
      <w:tr w:rsidR="00A41AD7" w:rsidRPr="00576679" w:rsidTr="00E7317C">
        <w:trPr>
          <w:trHeight w:val="630"/>
        </w:trPr>
        <w:tc>
          <w:tcPr>
            <w:tcW w:w="4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41AD7" w:rsidRPr="00576679" w:rsidRDefault="00A41AD7" w:rsidP="00E7317C">
            <w:pPr>
              <w:ind w:firstLineChars="16" w:firstLine="32"/>
              <w:rPr>
                <w:sz w:val="20"/>
                <w:szCs w:val="20"/>
              </w:rPr>
            </w:pPr>
            <w:r w:rsidRPr="00576679">
              <w:rPr>
                <w:sz w:val="20"/>
                <w:szCs w:val="20"/>
              </w:rPr>
              <w:t>свыше 250 л.с. (свыше 183,9 кВт)</w:t>
            </w:r>
          </w:p>
        </w:tc>
        <w:tc>
          <w:tcPr>
            <w:tcW w:w="326"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отчет 5-ТН,стр.1316</w:t>
            </w:r>
          </w:p>
        </w:tc>
        <w:tc>
          <w:tcPr>
            <w:tcW w:w="212"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462</w:t>
            </w:r>
          </w:p>
        </w:tc>
        <w:tc>
          <w:tcPr>
            <w:tcW w:w="236"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478</w:t>
            </w:r>
          </w:p>
        </w:tc>
        <w:tc>
          <w:tcPr>
            <w:tcW w:w="210"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103,5</w:t>
            </w:r>
          </w:p>
        </w:tc>
        <w:tc>
          <w:tcPr>
            <w:tcW w:w="225"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469</w:t>
            </w:r>
          </w:p>
        </w:tc>
        <w:tc>
          <w:tcPr>
            <w:tcW w:w="210"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98,1</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461</w:t>
            </w:r>
          </w:p>
        </w:tc>
        <w:tc>
          <w:tcPr>
            <w:tcW w:w="257"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98,3</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470</w:t>
            </w:r>
          </w:p>
        </w:tc>
        <w:tc>
          <w:tcPr>
            <w:tcW w:w="225"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102,0</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549</w:t>
            </w:r>
          </w:p>
        </w:tc>
        <w:tc>
          <w:tcPr>
            <w:tcW w:w="225"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116,8</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569</w:t>
            </w:r>
          </w:p>
        </w:tc>
        <w:tc>
          <w:tcPr>
            <w:tcW w:w="22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103,6</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590</w:t>
            </w:r>
          </w:p>
        </w:tc>
        <w:tc>
          <w:tcPr>
            <w:tcW w:w="225"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103,7</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612</w:t>
            </w:r>
          </w:p>
        </w:tc>
        <w:tc>
          <w:tcPr>
            <w:tcW w:w="226"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103,7</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635</w:t>
            </w:r>
          </w:p>
        </w:tc>
        <w:tc>
          <w:tcPr>
            <w:tcW w:w="216"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103,8</w:t>
            </w:r>
          </w:p>
        </w:tc>
      </w:tr>
      <w:tr w:rsidR="00A41AD7" w:rsidRPr="00576679" w:rsidTr="00E7317C">
        <w:trPr>
          <w:trHeight w:val="750"/>
        </w:trPr>
        <w:tc>
          <w:tcPr>
            <w:tcW w:w="4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41AD7" w:rsidRPr="00576679" w:rsidRDefault="00A41AD7" w:rsidP="00E7317C">
            <w:pPr>
              <w:rPr>
                <w:i/>
                <w:iCs/>
                <w:sz w:val="20"/>
                <w:szCs w:val="20"/>
              </w:rPr>
            </w:pPr>
            <w:r w:rsidRPr="00576679">
              <w:rPr>
                <w:i/>
                <w:iCs/>
                <w:sz w:val="20"/>
                <w:szCs w:val="20"/>
              </w:rPr>
              <w:t>Мотоциклы и мотороллеры с мощностью двигателя:</w:t>
            </w:r>
          </w:p>
        </w:tc>
        <w:tc>
          <w:tcPr>
            <w:tcW w:w="326"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отчет 5-ТН,стр.1321</w:t>
            </w:r>
          </w:p>
        </w:tc>
        <w:tc>
          <w:tcPr>
            <w:tcW w:w="212"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144</w:t>
            </w:r>
          </w:p>
        </w:tc>
        <w:tc>
          <w:tcPr>
            <w:tcW w:w="236"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152</w:t>
            </w:r>
          </w:p>
        </w:tc>
        <w:tc>
          <w:tcPr>
            <w:tcW w:w="210"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105,6</w:t>
            </w:r>
          </w:p>
        </w:tc>
        <w:tc>
          <w:tcPr>
            <w:tcW w:w="225"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140</w:t>
            </w:r>
          </w:p>
        </w:tc>
        <w:tc>
          <w:tcPr>
            <w:tcW w:w="210"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92,1</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126</w:t>
            </w:r>
          </w:p>
        </w:tc>
        <w:tc>
          <w:tcPr>
            <w:tcW w:w="257"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90,0</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119</w:t>
            </w:r>
          </w:p>
        </w:tc>
        <w:tc>
          <w:tcPr>
            <w:tcW w:w="225"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94,4</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269</w:t>
            </w:r>
          </w:p>
        </w:tc>
        <w:tc>
          <w:tcPr>
            <w:tcW w:w="225"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226,1</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269</w:t>
            </w:r>
          </w:p>
        </w:tc>
        <w:tc>
          <w:tcPr>
            <w:tcW w:w="22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100,0</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269</w:t>
            </w:r>
          </w:p>
        </w:tc>
        <w:tc>
          <w:tcPr>
            <w:tcW w:w="225"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100,0</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269</w:t>
            </w:r>
          </w:p>
        </w:tc>
        <w:tc>
          <w:tcPr>
            <w:tcW w:w="226"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100,0</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269</w:t>
            </w:r>
          </w:p>
        </w:tc>
        <w:tc>
          <w:tcPr>
            <w:tcW w:w="216"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100,0</w:t>
            </w:r>
          </w:p>
        </w:tc>
      </w:tr>
      <w:tr w:rsidR="00A41AD7" w:rsidRPr="00576679" w:rsidTr="00E7317C">
        <w:trPr>
          <w:trHeight w:val="750"/>
        </w:trPr>
        <w:tc>
          <w:tcPr>
            <w:tcW w:w="4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41AD7" w:rsidRPr="00576679" w:rsidRDefault="00A41AD7" w:rsidP="00E7317C">
            <w:pPr>
              <w:ind w:firstLineChars="16" w:firstLine="32"/>
              <w:rPr>
                <w:sz w:val="20"/>
                <w:szCs w:val="20"/>
              </w:rPr>
            </w:pPr>
            <w:r w:rsidRPr="00576679">
              <w:rPr>
                <w:sz w:val="20"/>
                <w:szCs w:val="20"/>
              </w:rPr>
              <w:t>до 20 л.с. (до 14,7 кВт) включительно</w:t>
            </w:r>
          </w:p>
        </w:tc>
        <w:tc>
          <w:tcPr>
            <w:tcW w:w="326"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отчет 5-ТН,стр.1322</w:t>
            </w:r>
          </w:p>
        </w:tc>
        <w:tc>
          <w:tcPr>
            <w:tcW w:w="212"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106</w:t>
            </w:r>
          </w:p>
        </w:tc>
        <w:tc>
          <w:tcPr>
            <w:tcW w:w="236"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106</w:t>
            </w:r>
          </w:p>
        </w:tc>
        <w:tc>
          <w:tcPr>
            <w:tcW w:w="210"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100,0</w:t>
            </w:r>
          </w:p>
        </w:tc>
        <w:tc>
          <w:tcPr>
            <w:tcW w:w="225"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104</w:t>
            </w:r>
          </w:p>
        </w:tc>
        <w:tc>
          <w:tcPr>
            <w:tcW w:w="210"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98,1</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92</w:t>
            </w:r>
          </w:p>
        </w:tc>
        <w:tc>
          <w:tcPr>
            <w:tcW w:w="257"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88,5</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88</w:t>
            </w:r>
          </w:p>
        </w:tc>
        <w:tc>
          <w:tcPr>
            <w:tcW w:w="225"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95,7</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103</w:t>
            </w:r>
          </w:p>
        </w:tc>
        <w:tc>
          <w:tcPr>
            <w:tcW w:w="225"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117,0</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103</w:t>
            </w:r>
          </w:p>
        </w:tc>
        <w:tc>
          <w:tcPr>
            <w:tcW w:w="22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100,0</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103</w:t>
            </w:r>
          </w:p>
        </w:tc>
        <w:tc>
          <w:tcPr>
            <w:tcW w:w="225"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100,0</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103</w:t>
            </w:r>
          </w:p>
        </w:tc>
        <w:tc>
          <w:tcPr>
            <w:tcW w:w="226"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100,0</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103</w:t>
            </w:r>
          </w:p>
        </w:tc>
        <w:tc>
          <w:tcPr>
            <w:tcW w:w="216"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100,0</w:t>
            </w:r>
          </w:p>
        </w:tc>
      </w:tr>
      <w:tr w:rsidR="00A41AD7" w:rsidRPr="00576679" w:rsidTr="00E7317C">
        <w:trPr>
          <w:trHeight w:val="1275"/>
        </w:trPr>
        <w:tc>
          <w:tcPr>
            <w:tcW w:w="4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41AD7" w:rsidRPr="00576679" w:rsidRDefault="00A41AD7" w:rsidP="00E7317C">
            <w:pPr>
              <w:ind w:firstLineChars="16" w:firstLine="32"/>
              <w:rPr>
                <w:sz w:val="20"/>
                <w:szCs w:val="20"/>
              </w:rPr>
            </w:pPr>
            <w:r w:rsidRPr="00576679">
              <w:rPr>
                <w:sz w:val="20"/>
                <w:szCs w:val="20"/>
              </w:rPr>
              <w:t>*свыше 20 л.с. до 35 л.с. (свыше 14,7 кВт до 25,74 кВт) включительно</w:t>
            </w:r>
          </w:p>
        </w:tc>
        <w:tc>
          <w:tcPr>
            <w:tcW w:w="326"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отчет 5-ТН,стр.1323</w:t>
            </w:r>
          </w:p>
        </w:tc>
        <w:tc>
          <w:tcPr>
            <w:tcW w:w="212"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19</w:t>
            </w:r>
          </w:p>
        </w:tc>
        <w:tc>
          <w:tcPr>
            <w:tcW w:w="236"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19</w:t>
            </w:r>
          </w:p>
        </w:tc>
        <w:tc>
          <w:tcPr>
            <w:tcW w:w="210"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100,0</w:t>
            </w:r>
          </w:p>
        </w:tc>
        <w:tc>
          <w:tcPr>
            <w:tcW w:w="225"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18</w:t>
            </w:r>
          </w:p>
        </w:tc>
        <w:tc>
          <w:tcPr>
            <w:tcW w:w="210"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94,7</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18</w:t>
            </w:r>
          </w:p>
        </w:tc>
        <w:tc>
          <w:tcPr>
            <w:tcW w:w="257"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100,0</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14</w:t>
            </w:r>
          </w:p>
        </w:tc>
        <w:tc>
          <w:tcPr>
            <w:tcW w:w="225"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77,8</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54</w:t>
            </w:r>
          </w:p>
        </w:tc>
        <w:tc>
          <w:tcPr>
            <w:tcW w:w="225"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385,7</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54</w:t>
            </w:r>
          </w:p>
        </w:tc>
        <w:tc>
          <w:tcPr>
            <w:tcW w:w="22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100,0</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54</w:t>
            </w:r>
          </w:p>
        </w:tc>
        <w:tc>
          <w:tcPr>
            <w:tcW w:w="225"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100,0</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54</w:t>
            </w:r>
          </w:p>
        </w:tc>
        <w:tc>
          <w:tcPr>
            <w:tcW w:w="226"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100,0</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54</w:t>
            </w:r>
          </w:p>
        </w:tc>
        <w:tc>
          <w:tcPr>
            <w:tcW w:w="216"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100,0</w:t>
            </w:r>
          </w:p>
        </w:tc>
      </w:tr>
      <w:tr w:rsidR="00A41AD7" w:rsidRPr="00576679" w:rsidTr="00E7317C">
        <w:trPr>
          <w:trHeight w:val="795"/>
        </w:trPr>
        <w:tc>
          <w:tcPr>
            <w:tcW w:w="4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41AD7" w:rsidRPr="00576679" w:rsidRDefault="00A41AD7" w:rsidP="00E7317C">
            <w:pPr>
              <w:ind w:firstLineChars="16" w:firstLine="32"/>
              <w:rPr>
                <w:sz w:val="20"/>
                <w:szCs w:val="20"/>
              </w:rPr>
            </w:pPr>
            <w:r w:rsidRPr="00576679">
              <w:rPr>
                <w:sz w:val="20"/>
                <w:szCs w:val="20"/>
              </w:rPr>
              <w:t>*свыше 35 л.с. (свыше 25,74 кВт)</w:t>
            </w:r>
          </w:p>
        </w:tc>
        <w:tc>
          <w:tcPr>
            <w:tcW w:w="326"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отчет 5-ТН,стр.1324</w:t>
            </w:r>
          </w:p>
        </w:tc>
        <w:tc>
          <w:tcPr>
            <w:tcW w:w="212"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19</w:t>
            </w:r>
          </w:p>
        </w:tc>
        <w:tc>
          <w:tcPr>
            <w:tcW w:w="236"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27</w:t>
            </w:r>
          </w:p>
        </w:tc>
        <w:tc>
          <w:tcPr>
            <w:tcW w:w="210"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142,1</w:t>
            </w:r>
          </w:p>
        </w:tc>
        <w:tc>
          <w:tcPr>
            <w:tcW w:w="225"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18</w:t>
            </w:r>
          </w:p>
        </w:tc>
        <w:tc>
          <w:tcPr>
            <w:tcW w:w="210"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66,7</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16</w:t>
            </w:r>
          </w:p>
        </w:tc>
        <w:tc>
          <w:tcPr>
            <w:tcW w:w="257"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88,9</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17</w:t>
            </w:r>
          </w:p>
        </w:tc>
        <w:tc>
          <w:tcPr>
            <w:tcW w:w="225"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106,3</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112</w:t>
            </w:r>
          </w:p>
        </w:tc>
        <w:tc>
          <w:tcPr>
            <w:tcW w:w="225"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658,8</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112</w:t>
            </w:r>
          </w:p>
        </w:tc>
        <w:tc>
          <w:tcPr>
            <w:tcW w:w="22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100,0</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112</w:t>
            </w:r>
          </w:p>
        </w:tc>
        <w:tc>
          <w:tcPr>
            <w:tcW w:w="225"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100,0</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112</w:t>
            </w:r>
          </w:p>
        </w:tc>
        <w:tc>
          <w:tcPr>
            <w:tcW w:w="226"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100,0</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112</w:t>
            </w:r>
          </w:p>
        </w:tc>
        <w:tc>
          <w:tcPr>
            <w:tcW w:w="216"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100,0</w:t>
            </w:r>
          </w:p>
        </w:tc>
      </w:tr>
      <w:tr w:rsidR="00A41AD7" w:rsidRPr="00576679" w:rsidTr="00E7317C">
        <w:trPr>
          <w:trHeight w:val="630"/>
        </w:trPr>
        <w:tc>
          <w:tcPr>
            <w:tcW w:w="4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41AD7" w:rsidRPr="00576679" w:rsidRDefault="00A41AD7" w:rsidP="00E7317C">
            <w:pPr>
              <w:rPr>
                <w:i/>
                <w:iCs/>
                <w:sz w:val="20"/>
                <w:szCs w:val="20"/>
              </w:rPr>
            </w:pPr>
            <w:r w:rsidRPr="00576679">
              <w:rPr>
                <w:i/>
                <w:iCs/>
                <w:sz w:val="20"/>
                <w:szCs w:val="20"/>
              </w:rPr>
              <w:t>Автобусы с мощностью двигателя:</w:t>
            </w:r>
          </w:p>
        </w:tc>
        <w:tc>
          <w:tcPr>
            <w:tcW w:w="326"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отчет 5-ТН,стр.1325</w:t>
            </w:r>
          </w:p>
        </w:tc>
        <w:tc>
          <w:tcPr>
            <w:tcW w:w="212"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2 102</w:t>
            </w:r>
          </w:p>
        </w:tc>
        <w:tc>
          <w:tcPr>
            <w:tcW w:w="236"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2 062</w:t>
            </w:r>
          </w:p>
        </w:tc>
        <w:tc>
          <w:tcPr>
            <w:tcW w:w="210"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98,1</w:t>
            </w:r>
          </w:p>
        </w:tc>
        <w:tc>
          <w:tcPr>
            <w:tcW w:w="225"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2 022</w:t>
            </w:r>
          </w:p>
        </w:tc>
        <w:tc>
          <w:tcPr>
            <w:tcW w:w="210"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98,1</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1 868</w:t>
            </w:r>
          </w:p>
        </w:tc>
        <w:tc>
          <w:tcPr>
            <w:tcW w:w="257"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92,4</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1 608</w:t>
            </w:r>
          </w:p>
        </w:tc>
        <w:tc>
          <w:tcPr>
            <w:tcW w:w="225"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86,1</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2 847</w:t>
            </w:r>
          </w:p>
        </w:tc>
        <w:tc>
          <w:tcPr>
            <w:tcW w:w="225"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177,1</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3 417</w:t>
            </w:r>
          </w:p>
        </w:tc>
        <w:tc>
          <w:tcPr>
            <w:tcW w:w="22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120,0</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4 244</w:t>
            </w:r>
          </w:p>
        </w:tc>
        <w:tc>
          <w:tcPr>
            <w:tcW w:w="225"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124,2</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5 448</w:t>
            </w:r>
          </w:p>
        </w:tc>
        <w:tc>
          <w:tcPr>
            <w:tcW w:w="226"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128,4</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7 207</w:t>
            </w:r>
          </w:p>
        </w:tc>
        <w:tc>
          <w:tcPr>
            <w:tcW w:w="216"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132,3</w:t>
            </w:r>
          </w:p>
        </w:tc>
      </w:tr>
      <w:tr w:rsidR="00A41AD7" w:rsidRPr="00576679" w:rsidTr="00E7317C">
        <w:trPr>
          <w:trHeight w:val="810"/>
        </w:trPr>
        <w:tc>
          <w:tcPr>
            <w:tcW w:w="4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41AD7" w:rsidRPr="00576679" w:rsidRDefault="00A41AD7" w:rsidP="00E7317C">
            <w:pPr>
              <w:ind w:firstLineChars="16" w:firstLine="32"/>
              <w:rPr>
                <w:sz w:val="20"/>
                <w:szCs w:val="20"/>
              </w:rPr>
            </w:pPr>
            <w:r w:rsidRPr="00576679">
              <w:rPr>
                <w:sz w:val="20"/>
                <w:szCs w:val="20"/>
              </w:rPr>
              <w:lastRenderedPageBreak/>
              <w:t>до 200 л.с. (до 147,1 кВт) включительно</w:t>
            </w:r>
          </w:p>
        </w:tc>
        <w:tc>
          <w:tcPr>
            <w:tcW w:w="326"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отчет 5-ТН,стр.1326</w:t>
            </w:r>
          </w:p>
        </w:tc>
        <w:tc>
          <w:tcPr>
            <w:tcW w:w="212"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1 652</w:t>
            </w:r>
          </w:p>
        </w:tc>
        <w:tc>
          <w:tcPr>
            <w:tcW w:w="236"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1 614</w:t>
            </w:r>
          </w:p>
        </w:tc>
        <w:tc>
          <w:tcPr>
            <w:tcW w:w="210"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97,7</w:t>
            </w:r>
          </w:p>
        </w:tc>
        <w:tc>
          <w:tcPr>
            <w:tcW w:w="225"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1 625</w:t>
            </w:r>
          </w:p>
        </w:tc>
        <w:tc>
          <w:tcPr>
            <w:tcW w:w="210"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100,7</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1 534</w:t>
            </w:r>
          </w:p>
        </w:tc>
        <w:tc>
          <w:tcPr>
            <w:tcW w:w="257"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94,4</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1 298</w:t>
            </w:r>
          </w:p>
        </w:tc>
        <w:tc>
          <w:tcPr>
            <w:tcW w:w="225"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84,6</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1 697</w:t>
            </w:r>
          </w:p>
        </w:tc>
        <w:tc>
          <w:tcPr>
            <w:tcW w:w="225"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130,7</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1 724</w:t>
            </w:r>
          </w:p>
        </w:tc>
        <w:tc>
          <w:tcPr>
            <w:tcW w:w="22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101,6</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1 752</w:t>
            </w:r>
          </w:p>
        </w:tc>
        <w:tc>
          <w:tcPr>
            <w:tcW w:w="225"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101,6</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1 780</w:t>
            </w:r>
          </w:p>
        </w:tc>
        <w:tc>
          <w:tcPr>
            <w:tcW w:w="226"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101,6</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1 808</w:t>
            </w:r>
          </w:p>
        </w:tc>
        <w:tc>
          <w:tcPr>
            <w:tcW w:w="216"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101,6</w:t>
            </w:r>
          </w:p>
        </w:tc>
      </w:tr>
      <w:tr w:rsidR="00A41AD7" w:rsidRPr="00576679" w:rsidTr="00E7317C">
        <w:trPr>
          <w:trHeight w:val="630"/>
        </w:trPr>
        <w:tc>
          <w:tcPr>
            <w:tcW w:w="4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41AD7" w:rsidRPr="00576679" w:rsidRDefault="00A41AD7" w:rsidP="00E7317C">
            <w:pPr>
              <w:ind w:firstLineChars="16" w:firstLine="32"/>
              <w:rPr>
                <w:sz w:val="20"/>
                <w:szCs w:val="20"/>
              </w:rPr>
            </w:pPr>
            <w:r w:rsidRPr="00576679">
              <w:rPr>
                <w:sz w:val="20"/>
                <w:szCs w:val="20"/>
              </w:rPr>
              <w:t>свыше 200 л.с. (свыше 147,1 кВт)</w:t>
            </w:r>
          </w:p>
        </w:tc>
        <w:tc>
          <w:tcPr>
            <w:tcW w:w="326"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отчет 5-ТН,стр.1327</w:t>
            </w:r>
          </w:p>
        </w:tc>
        <w:tc>
          <w:tcPr>
            <w:tcW w:w="212"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450</w:t>
            </w:r>
          </w:p>
        </w:tc>
        <w:tc>
          <w:tcPr>
            <w:tcW w:w="236"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448</w:t>
            </w:r>
          </w:p>
        </w:tc>
        <w:tc>
          <w:tcPr>
            <w:tcW w:w="210"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99,6</w:t>
            </w:r>
          </w:p>
        </w:tc>
        <w:tc>
          <w:tcPr>
            <w:tcW w:w="225"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397</w:t>
            </w:r>
          </w:p>
        </w:tc>
        <w:tc>
          <w:tcPr>
            <w:tcW w:w="210"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88,6</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334</w:t>
            </w:r>
          </w:p>
        </w:tc>
        <w:tc>
          <w:tcPr>
            <w:tcW w:w="257"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84,1</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310</w:t>
            </w:r>
          </w:p>
        </w:tc>
        <w:tc>
          <w:tcPr>
            <w:tcW w:w="225"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92,8</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1 150</w:t>
            </w:r>
          </w:p>
        </w:tc>
        <w:tc>
          <w:tcPr>
            <w:tcW w:w="225"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b/>
                <w:bCs/>
                <w:color w:val="000000"/>
                <w:sz w:val="20"/>
                <w:szCs w:val="20"/>
              </w:rPr>
            </w:pPr>
            <w:r w:rsidRPr="00576679">
              <w:rPr>
                <w:b/>
                <w:bCs/>
                <w:color w:val="000000"/>
                <w:sz w:val="20"/>
                <w:szCs w:val="20"/>
              </w:rPr>
              <w:t>371,0</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1 693</w:t>
            </w:r>
          </w:p>
        </w:tc>
        <w:tc>
          <w:tcPr>
            <w:tcW w:w="22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147,2</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2 492</w:t>
            </w:r>
          </w:p>
        </w:tc>
        <w:tc>
          <w:tcPr>
            <w:tcW w:w="225"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147,2</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3 668</w:t>
            </w:r>
          </w:p>
        </w:tc>
        <w:tc>
          <w:tcPr>
            <w:tcW w:w="226"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147,2</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5 399</w:t>
            </w:r>
          </w:p>
        </w:tc>
        <w:tc>
          <w:tcPr>
            <w:tcW w:w="216"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147,2</w:t>
            </w:r>
          </w:p>
        </w:tc>
      </w:tr>
      <w:tr w:rsidR="00A41AD7" w:rsidRPr="00576679" w:rsidTr="00E7317C">
        <w:trPr>
          <w:trHeight w:val="750"/>
        </w:trPr>
        <w:tc>
          <w:tcPr>
            <w:tcW w:w="4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41AD7" w:rsidRPr="00576679" w:rsidRDefault="00A41AD7" w:rsidP="00E7317C">
            <w:pPr>
              <w:rPr>
                <w:i/>
                <w:iCs/>
                <w:sz w:val="20"/>
                <w:szCs w:val="20"/>
              </w:rPr>
            </w:pPr>
            <w:r w:rsidRPr="00576679">
              <w:rPr>
                <w:i/>
                <w:iCs/>
                <w:sz w:val="20"/>
                <w:szCs w:val="20"/>
              </w:rPr>
              <w:t>Автомобили грузовые с мощностью двигателя:</w:t>
            </w:r>
          </w:p>
        </w:tc>
        <w:tc>
          <w:tcPr>
            <w:tcW w:w="326"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отчет 5-ТН,стр.1328</w:t>
            </w:r>
          </w:p>
        </w:tc>
        <w:tc>
          <w:tcPr>
            <w:tcW w:w="212"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14 720</w:t>
            </w:r>
          </w:p>
        </w:tc>
        <w:tc>
          <w:tcPr>
            <w:tcW w:w="236"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12 940</w:t>
            </w:r>
          </w:p>
        </w:tc>
        <w:tc>
          <w:tcPr>
            <w:tcW w:w="210"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87,9</w:t>
            </w:r>
          </w:p>
        </w:tc>
        <w:tc>
          <w:tcPr>
            <w:tcW w:w="225"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12 941</w:t>
            </w:r>
          </w:p>
        </w:tc>
        <w:tc>
          <w:tcPr>
            <w:tcW w:w="210"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100,0</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11 689</w:t>
            </w:r>
          </w:p>
        </w:tc>
        <w:tc>
          <w:tcPr>
            <w:tcW w:w="257"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90,3</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10 422</w:t>
            </w:r>
          </w:p>
        </w:tc>
        <w:tc>
          <w:tcPr>
            <w:tcW w:w="225"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89,2</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14 094</w:t>
            </w:r>
          </w:p>
        </w:tc>
        <w:tc>
          <w:tcPr>
            <w:tcW w:w="225"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135,2</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14 266</w:t>
            </w:r>
          </w:p>
        </w:tc>
        <w:tc>
          <w:tcPr>
            <w:tcW w:w="22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101,2</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14 464</w:t>
            </w:r>
          </w:p>
        </w:tc>
        <w:tc>
          <w:tcPr>
            <w:tcW w:w="225"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101,4</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14 687</w:t>
            </w:r>
          </w:p>
        </w:tc>
        <w:tc>
          <w:tcPr>
            <w:tcW w:w="226"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101,5</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14 940</w:t>
            </w:r>
          </w:p>
        </w:tc>
        <w:tc>
          <w:tcPr>
            <w:tcW w:w="216"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101,7</w:t>
            </w:r>
          </w:p>
        </w:tc>
      </w:tr>
      <w:tr w:rsidR="00A41AD7" w:rsidRPr="00576679" w:rsidTr="00E7317C">
        <w:trPr>
          <w:trHeight w:val="750"/>
        </w:trPr>
        <w:tc>
          <w:tcPr>
            <w:tcW w:w="4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41AD7" w:rsidRPr="00576679" w:rsidRDefault="00A41AD7" w:rsidP="00E7317C">
            <w:pPr>
              <w:rPr>
                <w:sz w:val="20"/>
                <w:szCs w:val="20"/>
              </w:rPr>
            </w:pPr>
            <w:r w:rsidRPr="00576679">
              <w:rPr>
                <w:sz w:val="20"/>
                <w:szCs w:val="20"/>
              </w:rPr>
              <w:t>до 100 л.с. (до 73,55 кВт) включительно</w:t>
            </w:r>
          </w:p>
        </w:tc>
        <w:tc>
          <w:tcPr>
            <w:tcW w:w="326"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отчет 5-ТН,стр.1329</w:t>
            </w:r>
          </w:p>
        </w:tc>
        <w:tc>
          <w:tcPr>
            <w:tcW w:w="212"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2 046</w:t>
            </w:r>
          </w:p>
        </w:tc>
        <w:tc>
          <w:tcPr>
            <w:tcW w:w="236"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1 779</w:t>
            </w:r>
          </w:p>
        </w:tc>
        <w:tc>
          <w:tcPr>
            <w:tcW w:w="210"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87,0</w:t>
            </w:r>
          </w:p>
        </w:tc>
        <w:tc>
          <w:tcPr>
            <w:tcW w:w="225"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1 665</w:t>
            </w:r>
          </w:p>
        </w:tc>
        <w:tc>
          <w:tcPr>
            <w:tcW w:w="210"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93,6</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1 347</w:t>
            </w:r>
          </w:p>
        </w:tc>
        <w:tc>
          <w:tcPr>
            <w:tcW w:w="257"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80,9</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1 037</w:t>
            </w:r>
          </w:p>
        </w:tc>
        <w:tc>
          <w:tcPr>
            <w:tcW w:w="225"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77,0</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1 403</w:t>
            </w:r>
          </w:p>
        </w:tc>
        <w:tc>
          <w:tcPr>
            <w:tcW w:w="225"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135,3</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1 330</w:t>
            </w:r>
          </w:p>
        </w:tc>
        <w:tc>
          <w:tcPr>
            <w:tcW w:w="22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94,8</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1 261</w:t>
            </w:r>
          </w:p>
        </w:tc>
        <w:tc>
          <w:tcPr>
            <w:tcW w:w="225"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94,8</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1 195</w:t>
            </w:r>
          </w:p>
        </w:tc>
        <w:tc>
          <w:tcPr>
            <w:tcW w:w="226"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94,8</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1 133</w:t>
            </w:r>
          </w:p>
        </w:tc>
        <w:tc>
          <w:tcPr>
            <w:tcW w:w="216"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94,8</w:t>
            </w:r>
          </w:p>
        </w:tc>
      </w:tr>
      <w:tr w:rsidR="00A41AD7" w:rsidRPr="00576679" w:rsidTr="00E7317C">
        <w:trPr>
          <w:trHeight w:val="1125"/>
        </w:trPr>
        <w:tc>
          <w:tcPr>
            <w:tcW w:w="4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41AD7" w:rsidRPr="00576679" w:rsidRDefault="00A41AD7" w:rsidP="00E7317C">
            <w:pPr>
              <w:rPr>
                <w:sz w:val="20"/>
                <w:szCs w:val="20"/>
              </w:rPr>
            </w:pPr>
            <w:r w:rsidRPr="00576679">
              <w:rPr>
                <w:sz w:val="20"/>
                <w:szCs w:val="20"/>
              </w:rPr>
              <w:t>свыше 100 л.с. до 150 л.с. (свыше 73,55 кВт до 110,33 кВт) включительно</w:t>
            </w:r>
          </w:p>
        </w:tc>
        <w:tc>
          <w:tcPr>
            <w:tcW w:w="326"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отчет 5-ТН,стр.1330</w:t>
            </w:r>
          </w:p>
        </w:tc>
        <w:tc>
          <w:tcPr>
            <w:tcW w:w="212"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7 353</w:t>
            </w:r>
          </w:p>
        </w:tc>
        <w:tc>
          <w:tcPr>
            <w:tcW w:w="236"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6 811</w:t>
            </w:r>
          </w:p>
        </w:tc>
        <w:tc>
          <w:tcPr>
            <w:tcW w:w="210"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92,6</w:t>
            </w:r>
          </w:p>
        </w:tc>
        <w:tc>
          <w:tcPr>
            <w:tcW w:w="225"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6 965</w:t>
            </w:r>
          </w:p>
        </w:tc>
        <w:tc>
          <w:tcPr>
            <w:tcW w:w="210"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102,3</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6 250</w:t>
            </w:r>
          </w:p>
        </w:tc>
        <w:tc>
          <w:tcPr>
            <w:tcW w:w="257"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89,7</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5 265</w:t>
            </w:r>
          </w:p>
        </w:tc>
        <w:tc>
          <w:tcPr>
            <w:tcW w:w="225"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84,2</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7 091</w:t>
            </w:r>
          </w:p>
        </w:tc>
        <w:tc>
          <w:tcPr>
            <w:tcW w:w="225"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134,7</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7 141</w:t>
            </w:r>
          </w:p>
        </w:tc>
        <w:tc>
          <w:tcPr>
            <w:tcW w:w="22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100,7</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7 191</w:t>
            </w:r>
          </w:p>
        </w:tc>
        <w:tc>
          <w:tcPr>
            <w:tcW w:w="225"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100,7</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7 241</w:t>
            </w:r>
          </w:p>
        </w:tc>
        <w:tc>
          <w:tcPr>
            <w:tcW w:w="226"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100,7</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7 292</w:t>
            </w:r>
          </w:p>
        </w:tc>
        <w:tc>
          <w:tcPr>
            <w:tcW w:w="216"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100,7</w:t>
            </w:r>
          </w:p>
        </w:tc>
      </w:tr>
      <w:tr w:rsidR="00A41AD7" w:rsidRPr="00576679" w:rsidTr="00E7317C">
        <w:trPr>
          <w:trHeight w:val="1125"/>
        </w:trPr>
        <w:tc>
          <w:tcPr>
            <w:tcW w:w="4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41AD7" w:rsidRPr="00576679" w:rsidRDefault="00A41AD7" w:rsidP="00E7317C">
            <w:pPr>
              <w:rPr>
                <w:sz w:val="20"/>
                <w:szCs w:val="20"/>
              </w:rPr>
            </w:pPr>
            <w:r w:rsidRPr="00576679">
              <w:rPr>
                <w:sz w:val="20"/>
                <w:szCs w:val="20"/>
              </w:rPr>
              <w:t>свыше 150 л.с. до 200 л.с. (свыше 110,33 кВт до 147,1 кВт) включительно</w:t>
            </w:r>
          </w:p>
        </w:tc>
        <w:tc>
          <w:tcPr>
            <w:tcW w:w="326"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отчет 5-ТН,стр.1331</w:t>
            </w:r>
          </w:p>
        </w:tc>
        <w:tc>
          <w:tcPr>
            <w:tcW w:w="212"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825</w:t>
            </w:r>
          </w:p>
        </w:tc>
        <w:tc>
          <w:tcPr>
            <w:tcW w:w="236"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763</w:t>
            </w:r>
          </w:p>
        </w:tc>
        <w:tc>
          <w:tcPr>
            <w:tcW w:w="210"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92,5</w:t>
            </w:r>
          </w:p>
        </w:tc>
        <w:tc>
          <w:tcPr>
            <w:tcW w:w="225"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736</w:t>
            </w:r>
          </w:p>
        </w:tc>
        <w:tc>
          <w:tcPr>
            <w:tcW w:w="210"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96,5</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707</w:t>
            </w:r>
          </w:p>
        </w:tc>
        <w:tc>
          <w:tcPr>
            <w:tcW w:w="257"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96,1</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674</w:t>
            </w:r>
          </w:p>
        </w:tc>
        <w:tc>
          <w:tcPr>
            <w:tcW w:w="225"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95,3</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937</w:t>
            </w:r>
          </w:p>
        </w:tc>
        <w:tc>
          <w:tcPr>
            <w:tcW w:w="225"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139,0</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974</w:t>
            </w:r>
          </w:p>
        </w:tc>
        <w:tc>
          <w:tcPr>
            <w:tcW w:w="22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103,9</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1 012</w:t>
            </w:r>
          </w:p>
        </w:tc>
        <w:tc>
          <w:tcPr>
            <w:tcW w:w="225"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103,9</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1 051</w:t>
            </w:r>
          </w:p>
        </w:tc>
        <w:tc>
          <w:tcPr>
            <w:tcW w:w="226"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103,9</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1 092</w:t>
            </w:r>
          </w:p>
        </w:tc>
        <w:tc>
          <w:tcPr>
            <w:tcW w:w="216"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103,9</w:t>
            </w:r>
          </w:p>
        </w:tc>
      </w:tr>
      <w:tr w:rsidR="00A41AD7" w:rsidRPr="00576679" w:rsidTr="00E7317C">
        <w:trPr>
          <w:trHeight w:val="675"/>
        </w:trPr>
        <w:tc>
          <w:tcPr>
            <w:tcW w:w="4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41AD7" w:rsidRPr="00576679" w:rsidRDefault="00A41AD7" w:rsidP="00E7317C">
            <w:pPr>
              <w:rPr>
                <w:sz w:val="20"/>
                <w:szCs w:val="20"/>
              </w:rPr>
            </w:pPr>
            <w:r w:rsidRPr="00576679">
              <w:rPr>
                <w:sz w:val="20"/>
                <w:szCs w:val="20"/>
              </w:rPr>
              <w:t>свыше 200 л.с. до 250 л.с. (свыше 147,1 кВт до 183,9 кВт) включительно</w:t>
            </w:r>
          </w:p>
        </w:tc>
        <w:tc>
          <w:tcPr>
            <w:tcW w:w="326"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отчет 5-ТН,стр.1332</w:t>
            </w:r>
          </w:p>
        </w:tc>
        <w:tc>
          <w:tcPr>
            <w:tcW w:w="212"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2 087</w:t>
            </w:r>
          </w:p>
        </w:tc>
        <w:tc>
          <w:tcPr>
            <w:tcW w:w="236"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1 797</w:t>
            </w:r>
          </w:p>
        </w:tc>
        <w:tc>
          <w:tcPr>
            <w:tcW w:w="210"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86,1</w:t>
            </w:r>
          </w:p>
        </w:tc>
        <w:tc>
          <w:tcPr>
            <w:tcW w:w="225"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1 713</w:t>
            </w:r>
          </w:p>
        </w:tc>
        <w:tc>
          <w:tcPr>
            <w:tcW w:w="210"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95,3</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1 474</w:t>
            </w:r>
          </w:p>
        </w:tc>
        <w:tc>
          <w:tcPr>
            <w:tcW w:w="257"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86,0</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1 237</w:t>
            </w:r>
          </w:p>
        </w:tc>
        <w:tc>
          <w:tcPr>
            <w:tcW w:w="225"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83,9</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1 558</w:t>
            </w:r>
          </w:p>
        </w:tc>
        <w:tc>
          <w:tcPr>
            <w:tcW w:w="225"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125,9</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1 486</w:t>
            </w:r>
          </w:p>
        </w:tc>
        <w:tc>
          <w:tcPr>
            <w:tcW w:w="22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95,4</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1 418</w:t>
            </w:r>
          </w:p>
        </w:tc>
        <w:tc>
          <w:tcPr>
            <w:tcW w:w="225"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95,4</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1 353</w:t>
            </w:r>
          </w:p>
        </w:tc>
        <w:tc>
          <w:tcPr>
            <w:tcW w:w="226"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95,4</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1 291</w:t>
            </w:r>
          </w:p>
        </w:tc>
        <w:tc>
          <w:tcPr>
            <w:tcW w:w="216"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95,4</w:t>
            </w:r>
          </w:p>
        </w:tc>
      </w:tr>
      <w:tr w:rsidR="00A41AD7" w:rsidRPr="00576679" w:rsidTr="00E7317C">
        <w:trPr>
          <w:trHeight w:val="630"/>
        </w:trPr>
        <w:tc>
          <w:tcPr>
            <w:tcW w:w="4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41AD7" w:rsidRPr="00576679" w:rsidRDefault="00A41AD7" w:rsidP="00E7317C">
            <w:pPr>
              <w:rPr>
                <w:sz w:val="20"/>
                <w:szCs w:val="20"/>
              </w:rPr>
            </w:pPr>
            <w:r w:rsidRPr="00576679">
              <w:rPr>
                <w:sz w:val="20"/>
                <w:szCs w:val="20"/>
              </w:rPr>
              <w:t>свыше 250 л.с. (свыше 183,9 кВт)</w:t>
            </w:r>
          </w:p>
        </w:tc>
        <w:tc>
          <w:tcPr>
            <w:tcW w:w="326"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отчет 5-ТН,стр.1333</w:t>
            </w:r>
          </w:p>
        </w:tc>
        <w:tc>
          <w:tcPr>
            <w:tcW w:w="212"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2 409</w:t>
            </w:r>
          </w:p>
        </w:tc>
        <w:tc>
          <w:tcPr>
            <w:tcW w:w="236"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1 790</w:t>
            </w:r>
          </w:p>
        </w:tc>
        <w:tc>
          <w:tcPr>
            <w:tcW w:w="210"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74,3</w:t>
            </w:r>
          </w:p>
        </w:tc>
        <w:tc>
          <w:tcPr>
            <w:tcW w:w="225"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1 862</w:t>
            </w:r>
          </w:p>
        </w:tc>
        <w:tc>
          <w:tcPr>
            <w:tcW w:w="210"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104,0</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1 911</w:t>
            </w:r>
          </w:p>
        </w:tc>
        <w:tc>
          <w:tcPr>
            <w:tcW w:w="257"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102,6</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2 209</w:t>
            </w:r>
          </w:p>
        </w:tc>
        <w:tc>
          <w:tcPr>
            <w:tcW w:w="225"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115,6</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3 105</w:t>
            </w:r>
          </w:p>
        </w:tc>
        <w:tc>
          <w:tcPr>
            <w:tcW w:w="225"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140,6</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3 335</w:t>
            </w:r>
          </w:p>
        </w:tc>
        <w:tc>
          <w:tcPr>
            <w:tcW w:w="22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107,4</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3 582</w:t>
            </w:r>
          </w:p>
        </w:tc>
        <w:tc>
          <w:tcPr>
            <w:tcW w:w="225"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107,4</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3 847</w:t>
            </w:r>
          </w:p>
        </w:tc>
        <w:tc>
          <w:tcPr>
            <w:tcW w:w="226"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107,4</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4 132</w:t>
            </w:r>
          </w:p>
        </w:tc>
        <w:tc>
          <w:tcPr>
            <w:tcW w:w="216"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107,4</w:t>
            </w:r>
          </w:p>
        </w:tc>
      </w:tr>
      <w:tr w:rsidR="00A41AD7" w:rsidRPr="00576679" w:rsidTr="00E7317C">
        <w:trPr>
          <w:trHeight w:val="1125"/>
        </w:trPr>
        <w:tc>
          <w:tcPr>
            <w:tcW w:w="4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41AD7" w:rsidRPr="00576679" w:rsidRDefault="00A41AD7" w:rsidP="00E7317C">
            <w:pPr>
              <w:rPr>
                <w:i/>
                <w:iCs/>
                <w:sz w:val="20"/>
                <w:szCs w:val="20"/>
              </w:rPr>
            </w:pPr>
            <w:r w:rsidRPr="00576679">
              <w:rPr>
                <w:i/>
                <w:iCs/>
                <w:sz w:val="20"/>
                <w:szCs w:val="20"/>
              </w:rPr>
              <w:t>*Другие самоходные транспортные средства, машины и механизмы на пневматическом и гусеничном ходу</w:t>
            </w:r>
          </w:p>
        </w:tc>
        <w:tc>
          <w:tcPr>
            <w:tcW w:w="326"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отчет 5-ТН,стр.1334</w:t>
            </w:r>
          </w:p>
        </w:tc>
        <w:tc>
          <w:tcPr>
            <w:tcW w:w="212"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6 724</w:t>
            </w:r>
          </w:p>
        </w:tc>
        <w:tc>
          <w:tcPr>
            <w:tcW w:w="236"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6 457</w:t>
            </w:r>
          </w:p>
        </w:tc>
        <w:tc>
          <w:tcPr>
            <w:tcW w:w="210"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96,0</w:t>
            </w:r>
          </w:p>
        </w:tc>
        <w:tc>
          <w:tcPr>
            <w:tcW w:w="225"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6 405</w:t>
            </w:r>
          </w:p>
        </w:tc>
        <w:tc>
          <w:tcPr>
            <w:tcW w:w="210"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99,2</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5 353</w:t>
            </w:r>
          </w:p>
        </w:tc>
        <w:tc>
          <w:tcPr>
            <w:tcW w:w="257"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83,6</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4 897</w:t>
            </w:r>
          </w:p>
        </w:tc>
        <w:tc>
          <w:tcPr>
            <w:tcW w:w="225"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91,5</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7 991</w:t>
            </w:r>
          </w:p>
        </w:tc>
        <w:tc>
          <w:tcPr>
            <w:tcW w:w="225"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163,2</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7 991</w:t>
            </w:r>
          </w:p>
        </w:tc>
        <w:tc>
          <w:tcPr>
            <w:tcW w:w="22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100,0</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7 991</w:t>
            </w:r>
          </w:p>
        </w:tc>
        <w:tc>
          <w:tcPr>
            <w:tcW w:w="225"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100,0</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7 991</w:t>
            </w:r>
          </w:p>
        </w:tc>
        <w:tc>
          <w:tcPr>
            <w:tcW w:w="226"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100,0</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7 991</w:t>
            </w:r>
          </w:p>
        </w:tc>
        <w:tc>
          <w:tcPr>
            <w:tcW w:w="216"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100,0</w:t>
            </w:r>
          </w:p>
        </w:tc>
      </w:tr>
      <w:tr w:rsidR="00A41AD7" w:rsidRPr="00576679" w:rsidTr="00E7317C">
        <w:trPr>
          <w:trHeight w:val="750"/>
        </w:trPr>
        <w:tc>
          <w:tcPr>
            <w:tcW w:w="4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41AD7" w:rsidRPr="00576679" w:rsidRDefault="00A41AD7" w:rsidP="00E7317C">
            <w:pPr>
              <w:rPr>
                <w:i/>
                <w:iCs/>
                <w:sz w:val="20"/>
                <w:szCs w:val="20"/>
              </w:rPr>
            </w:pPr>
            <w:r w:rsidRPr="00576679">
              <w:rPr>
                <w:i/>
                <w:iCs/>
                <w:sz w:val="20"/>
                <w:szCs w:val="20"/>
              </w:rPr>
              <w:t xml:space="preserve">Снегоходы, мотосани с мощностью двигателя: </w:t>
            </w:r>
          </w:p>
        </w:tc>
        <w:tc>
          <w:tcPr>
            <w:tcW w:w="326"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отчет 5-ТН,стр.1335</w:t>
            </w:r>
          </w:p>
        </w:tc>
        <w:tc>
          <w:tcPr>
            <w:tcW w:w="212"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575</w:t>
            </w:r>
          </w:p>
        </w:tc>
        <w:tc>
          <w:tcPr>
            <w:tcW w:w="236"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541</w:t>
            </w:r>
          </w:p>
        </w:tc>
        <w:tc>
          <w:tcPr>
            <w:tcW w:w="210"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94,1</w:t>
            </w:r>
          </w:p>
        </w:tc>
        <w:tc>
          <w:tcPr>
            <w:tcW w:w="225"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520</w:t>
            </w:r>
          </w:p>
        </w:tc>
        <w:tc>
          <w:tcPr>
            <w:tcW w:w="210"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96,1</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466</w:t>
            </w:r>
          </w:p>
        </w:tc>
        <w:tc>
          <w:tcPr>
            <w:tcW w:w="257"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89,6</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552</w:t>
            </w:r>
          </w:p>
        </w:tc>
        <w:tc>
          <w:tcPr>
            <w:tcW w:w="225"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118,5</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514</w:t>
            </w:r>
          </w:p>
        </w:tc>
        <w:tc>
          <w:tcPr>
            <w:tcW w:w="225"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93,1</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506</w:t>
            </w:r>
          </w:p>
        </w:tc>
        <w:tc>
          <w:tcPr>
            <w:tcW w:w="22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98,4</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498</w:t>
            </w:r>
          </w:p>
        </w:tc>
        <w:tc>
          <w:tcPr>
            <w:tcW w:w="225"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98,4</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491</w:t>
            </w:r>
          </w:p>
        </w:tc>
        <w:tc>
          <w:tcPr>
            <w:tcW w:w="226"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98,6</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484</w:t>
            </w:r>
          </w:p>
        </w:tc>
        <w:tc>
          <w:tcPr>
            <w:tcW w:w="216"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98,6</w:t>
            </w:r>
          </w:p>
        </w:tc>
      </w:tr>
      <w:tr w:rsidR="00A41AD7" w:rsidRPr="00576679" w:rsidTr="00E7317C">
        <w:trPr>
          <w:trHeight w:val="750"/>
        </w:trPr>
        <w:tc>
          <w:tcPr>
            <w:tcW w:w="4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41AD7" w:rsidRPr="00576679" w:rsidRDefault="00A41AD7" w:rsidP="00E7317C">
            <w:pPr>
              <w:ind w:firstLineChars="16" w:firstLine="32"/>
              <w:rPr>
                <w:sz w:val="20"/>
                <w:szCs w:val="20"/>
              </w:rPr>
            </w:pPr>
            <w:r w:rsidRPr="00576679">
              <w:rPr>
                <w:sz w:val="20"/>
                <w:szCs w:val="20"/>
              </w:rPr>
              <w:t>до 50 л.с. (до 36,77 кВт) включительно</w:t>
            </w:r>
          </w:p>
        </w:tc>
        <w:tc>
          <w:tcPr>
            <w:tcW w:w="326"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отчет 5-ТН,стр.1336</w:t>
            </w:r>
          </w:p>
        </w:tc>
        <w:tc>
          <w:tcPr>
            <w:tcW w:w="212"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452</w:t>
            </w:r>
          </w:p>
        </w:tc>
        <w:tc>
          <w:tcPr>
            <w:tcW w:w="236"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437</w:t>
            </w:r>
          </w:p>
        </w:tc>
        <w:tc>
          <w:tcPr>
            <w:tcW w:w="210"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96,7</w:t>
            </w:r>
          </w:p>
        </w:tc>
        <w:tc>
          <w:tcPr>
            <w:tcW w:w="225"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411</w:t>
            </w:r>
          </w:p>
        </w:tc>
        <w:tc>
          <w:tcPr>
            <w:tcW w:w="210"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94,1</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355</w:t>
            </w:r>
          </w:p>
        </w:tc>
        <w:tc>
          <w:tcPr>
            <w:tcW w:w="257"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86,4</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422</w:t>
            </w:r>
          </w:p>
        </w:tc>
        <w:tc>
          <w:tcPr>
            <w:tcW w:w="225"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118,9</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383</w:t>
            </w:r>
          </w:p>
        </w:tc>
        <w:tc>
          <w:tcPr>
            <w:tcW w:w="225"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90,8</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373</w:t>
            </w:r>
          </w:p>
        </w:tc>
        <w:tc>
          <w:tcPr>
            <w:tcW w:w="22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97,4</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363</w:t>
            </w:r>
          </w:p>
        </w:tc>
        <w:tc>
          <w:tcPr>
            <w:tcW w:w="225"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97,3</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354</w:t>
            </w:r>
          </w:p>
        </w:tc>
        <w:tc>
          <w:tcPr>
            <w:tcW w:w="226"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97,5</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345</w:t>
            </w:r>
          </w:p>
        </w:tc>
        <w:tc>
          <w:tcPr>
            <w:tcW w:w="216"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97,5</w:t>
            </w:r>
          </w:p>
        </w:tc>
      </w:tr>
      <w:tr w:rsidR="00A41AD7" w:rsidRPr="00576679" w:rsidTr="00E7317C">
        <w:trPr>
          <w:trHeight w:val="630"/>
        </w:trPr>
        <w:tc>
          <w:tcPr>
            <w:tcW w:w="4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41AD7" w:rsidRPr="00576679" w:rsidRDefault="00A41AD7" w:rsidP="00E7317C">
            <w:pPr>
              <w:ind w:firstLineChars="16" w:firstLine="32"/>
              <w:rPr>
                <w:sz w:val="20"/>
                <w:szCs w:val="20"/>
              </w:rPr>
            </w:pPr>
            <w:r w:rsidRPr="00576679">
              <w:rPr>
                <w:sz w:val="20"/>
                <w:szCs w:val="20"/>
              </w:rPr>
              <w:t>свыше 50 л.с. (свыше 36,77 кВт)</w:t>
            </w:r>
          </w:p>
        </w:tc>
        <w:tc>
          <w:tcPr>
            <w:tcW w:w="326"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отчет 5-ТН,стр.1337</w:t>
            </w:r>
          </w:p>
        </w:tc>
        <w:tc>
          <w:tcPr>
            <w:tcW w:w="212"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123</w:t>
            </w:r>
          </w:p>
        </w:tc>
        <w:tc>
          <w:tcPr>
            <w:tcW w:w="236"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104</w:t>
            </w:r>
          </w:p>
        </w:tc>
        <w:tc>
          <w:tcPr>
            <w:tcW w:w="210"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84,6</w:t>
            </w:r>
          </w:p>
        </w:tc>
        <w:tc>
          <w:tcPr>
            <w:tcW w:w="225"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109</w:t>
            </w:r>
          </w:p>
        </w:tc>
        <w:tc>
          <w:tcPr>
            <w:tcW w:w="210"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104,8</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111</w:t>
            </w:r>
          </w:p>
        </w:tc>
        <w:tc>
          <w:tcPr>
            <w:tcW w:w="257"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101,8</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130</w:t>
            </w:r>
          </w:p>
        </w:tc>
        <w:tc>
          <w:tcPr>
            <w:tcW w:w="225"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117,1</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131</w:t>
            </w:r>
          </w:p>
        </w:tc>
        <w:tc>
          <w:tcPr>
            <w:tcW w:w="225"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100,8</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133</w:t>
            </w:r>
          </w:p>
        </w:tc>
        <w:tc>
          <w:tcPr>
            <w:tcW w:w="22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101,5</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135</w:t>
            </w:r>
          </w:p>
        </w:tc>
        <w:tc>
          <w:tcPr>
            <w:tcW w:w="225"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101,5</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137</w:t>
            </w:r>
          </w:p>
        </w:tc>
        <w:tc>
          <w:tcPr>
            <w:tcW w:w="226"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101,5</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139</w:t>
            </w:r>
          </w:p>
        </w:tc>
        <w:tc>
          <w:tcPr>
            <w:tcW w:w="216"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101,5</w:t>
            </w:r>
          </w:p>
        </w:tc>
      </w:tr>
      <w:tr w:rsidR="00A41AD7" w:rsidRPr="00576679" w:rsidTr="00E7317C">
        <w:trPr>
          <w:trHeight w:val="1125"/>
        </w:trPr>
        <w:tc>
          <w:tcPr>
            <w:tcW w:w="4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41AD7" w:rsidRPr="00576679" w:rsidRDefault="00A41AD7" w:rsidP="00E7317C">
            <w:pPr>
              <w:rPr>
                <w:i/>
                <w:iCs/>
                <w:sz w:val="20"/>
                <w:szCs w:val="20"/>
              </w:rPr>
            </w:pPr>
            <w:r w:rsidRPr="00576679">
              <w:rPr>
                <w:i/>
                <w:iCs/>
                <w:sz w:val="20"/>
                <w:szCs w:val="20"/>
              </w:rPr>
              <w:t xml:space="preserve">Катера, моторные лодки и другие водные транспортные средства с мощностью двигателя: </w:t>
            </w:r>
          </w:p>
        </w:tc>
        <w:tc>
          <w:tcPr>
            <w:tcW w:w="326"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отчет 5-ТН,стр.1351</w:t>
            </w:r>
          </w:p>
        </w:tc>
        <w:tc>
          <w:tcPr>
            <w:tcW w:w="212"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318</w:t>
            </w:r>
          </w:p>
        </w:tc>
        <w:tc>
          <w:tcPr>
            <w:tcW w:w="236"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284</w:t>
            </w:r>
          </w:p>
        </w:tc>
        <w:tc>
          <w:tcPr>
            <w:tcW w:w="210"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89,3</w:t>
            </w:r>
          </w:p>
        </w:tc>
        <w:tc>
          <w:tcPr>
            <w:tcW w:w="225"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286</w:t>
            </w:r>
          </w:p>
        </w:tc>
        <w:tc>
          <w:tcPr>
            <w:tcW w:w="210"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100,7</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252</w:t>
            </w:r>
          </w:p>
        </w:tc>
        <w:tc>
          <w:tcPr>
            <w:tcW w:w="257"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88,1</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258</w:t>
            </w:r>
          </w:p>
        </w:tc>
        <w:tc>
          <w:tcPr>
            <w:tcW w:w="225"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102,4</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264</w:t>
            </w:r>
          </w:p>
        </w:tc>
        <w:tc>
          <w:tcPr>
            <w:tcW w:w="225"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102,3</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257</w:t>
            </w:r>
          </w:p>
        </w:tc>
        <w:tc>
          <w:tcPr>
            <w:tcW w:w="22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97,3</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250</w:t>
            </w:r>
          </w:p>
        </w:tc>
        <w:tc>
          <w:tcPr>
            <w:tcW w:w="225"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97,3</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243</w:t>
            </w:r>
          </w:p>
        </w:tc>
        <w:tc>
          <w:tcPr>
            <w:tcW w:w="226"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97,2</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236</w:t>
            </w:r>
          </w:p>
        </w:tc>
        <w:tc>
          <w:tcPr>
            <w:tcW w:w="216"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97,1</w:t>
            </w:r>
          </w:p>
        </w:tc>
      </w:tr>
      <w:tr w:rsidR="00A41AD7" w:rsidRPr="00576679" w:rsidTr="00E7317C">
        <w:trPr>
          <w:trHeight w:val="765"/>
        </w:trPr>
        <w:tc>
          <w:tcPr>
            <w:tcW w:w="4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41AD7" w:rsidRPr="00576679" w:rsidRDefault="00A41AD7" w:rsidP="00E7317C">
            <w:pPr>
              <w:ind w:firstLineChars="16" w:firstLine="32"/>
              <w:rPr>
                <w:sz w:val="20"/>
                <w:szCs w:val="20"/>
              </w:rPr>
            </w:pPr>
            <w:r w:rsidRPr="00576679">
              <w:rPr>
                <w:sz w:val="20"/>
                <w:szCs w:val="20"/>
              </w:rPr>
              <w:lastRenderedPageBreak/>
              <w:t>до 100 л.с. (до 73,55 кВт) включительно</w:t>
            </w:r>
          </w:p>
        </w:tc>
        <w:tc>
          <w:tcPr>
            <w:tcW w:w="326"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отчет 5-ТН,стр.1352</w:t>
            </w:r>
          </w:p>
        </w:tc>
        <w:tc>
          <w:tcPr>
            <w:tcW w:w="212"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228</w:t>
            </w:r>
          </w:p>
        </w:tc>
        <w:tc>
          <w:tcPr>
            <w:tcW w:w="236"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202</w:t>
            </w:r>
          </w:p>
        </w:tc>
        <w:tc>
          <w:tcPr>
            <w:tcW w:w="210"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88,6</w:t>
            </w:r>
          </w:p>
        </w:tc>
        <w:tc>
          <w:tcPr>
            <w:tcW w:w="225"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200</w:t>
            </w:r>
          </w:p>
        </w:tc>
        <w:tc>
          <w:tcPr>
            <w:tcW w:w="210"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99,0</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168</w:t>
            </w:r>
          </w:p>
        </w:tc>
        <w:tc>
          <w:tcPr>
            <w:tcW w:w="257"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84,0</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188</w:t>
            </w:r>
          </w:p>
        </w:tc>
        <w:tc>
          <w:tcPr>
            <w:tcW w:w="225"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111,9</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203</w:t>
            </w:r>
          </w:p>
        </w:tc>
        <w:tc>
          <w:tcPr>
            <w:tcW w:w="225"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108,0</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200</w:t>
            </w:r>
          </w:p>
        </w:tc>
        <w:tc>
          <w:tcPr>
            <w:tcW w:w="22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98,5</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197</w:t>
            </w:r>
          </w:p>
        </w:tc>
        <w:tc>
          <w:tcPr>
            <w:tcW w:w="225"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98,5</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194</w:t>
            </w:r>
          </w:p>
        </w:tc>
        <w:tc>
          <w:tcPr>
            <w:tcW w:w="226"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98,5</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191</w:t>
            </w:r>
          </w:p>
        </w:tc>
        <w:tc>
          <w:tcPr>
            <w:tcW w:w="216"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98,5</w:t>
            </w:r>
          </w:p>
        </w:tc>
      </w:tr>
      <w:tr w:rsidR="00A41AD7" w:rsidRPr="00576679" w:rsidTr="00E7317C">
        <w:trPr>
          <w:trHeight w:val="630"/>
        </w:trPr>
        <w:tc>
          <w:tcPr>
            <w:tcW w:w="4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41AD7" w:rsidRPr="00576679" w:rsidRDefault="00A41AD7" w:rsidP="00E7317C">
            <w:pPr>
              <w:ind w:firstLineChars="16" w:firstLine="32"/>
              <w:rPr>
                <w:sz w:val="20"/>
                <w:szCs w:val="20"/>
              </w:rPr>
            </w:pPr>
            <w:r w:rsidRPr="00576679">
              <w:rPr>
                <w:sz w:val="20"/>
                <w:szCs w:val="20"/>
              </w:rPr>
              <w:t>свыше 100 л.с. (свыше 73,55 кВт)</w:t>
            </w:r>
          </w:p>
        </w:tc>
        <w:tc>
          <w:tcPr>
            <w:tcW w:w="326"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отчет 5-ТН,стр.1353</w:t>
            </w:r>
          </w:p>
        </w:tc>
        <w:tc>
          <w:tcPr>
            <w:tcW w:w="212"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90</w:t>
            </w:r>
          </w:p>
        </w:tc>
        <w:tc>
          <w:tcPr>
            <w:tcW w:w="236"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82</w:t>
            </w:r>
          </w:p>
        </w:tc>
        <w:tc>
          <w:tcPr>
            <w:tcW w:w="210"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91,1</w:t>
            </w:r>
          </w:p>
        </w:tc>
        <w:tc>
          <w:tcPr>
            <w:tcW w:w="225"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86</w:t>
            </w:r>
          </w:p>
        </w:tc>
        <w:tc>
          <w:tcPr>
            <w:tcW w:w="210"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104,9</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84</w:t>
            </w:r>
          </w:p>
        </w:tc>
        <w:tc>
          <w:tcPr>
            <w:tcW w:w="257"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97,7</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70</w:t>
            </w:r>
          </w:p>
        </w:tc>
        <w:tc>
          <w:tcPr>
            <w:tcW w:w="225"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83,3</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61</w:t>
            </w:r>
          </w:p>
        </w:tc>
        <w:tc>
          <w:tcPr>
            <w:tcW w:w="225"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87,1</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57</w:t>
            </w:r>
          </w:p>
        </w:tc>
        <w:tc>
          <w:tcPr>
            <w:tcW w:w="22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93,4</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53</w:t>
            </w:r>
          </w:p>
        </w:tc>
        <w:tc>
          <w:tcPr>
            <w:tcW w:w="225"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93,0</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49</w:t>
            </w:r>
          </w:p>
        </w:tc>
        <w:tc>
          <w:tcPr>
            <w:tcW w:w="226"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92,5</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45</w:t>
            </w:r>
          </w:p>
        </w:tc>
        <w:tc>
          <w:tcPr>
            <w:tcW w:w="216"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91,8</w:t>
            </w:r>
          </w:p>
        </w:tc>
      </w:tr>
      <w:tr w:rsidR="00A41AD7" w:rsidRPr="00576679" w:rsidTr="00E7317C">
        <w:trPr>
          <w:trHeight w:val="750"/>
        </w:trPr>
        <w:tc>
          <w:tcPr>
            <w:tcW w:w="4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41AD7" w:rsidRPr="00576679" w:rsidRDefault="00A41AD7" w:rsidP="00E7317C">
            <w:pPr>
              <w:rPr>
                <w:i/>
                <w:iCs/>
                <w:sz w:val="20"/>
                <w:szCs w:val="20"/>
              </w:rPr>
            </w:pPr>
            <w:r w:rsidRPr="00576679">
              <w:rPr>
                <w:i/>
                <w:iCs/>
                <w:sz w:val="20"/>
                <w:szCs w:val="20"/>
              </w:rPr>
              <w:t xml:space="preserve">Яхты и другие парусно-моторные суда с мощностью двигателя: </w:t>
            </w:r>
          </w:p>
        </w:tc>
        <w:tc>
          <w:tcPr>
            <w:tcW w:w="326"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отчет 5-ТН,стр.1354</w:t>
            </w:r>
          </w:p>
        </w:tc>
        <w:tc>
          <w:tcPr>
            <w:tcW w:w="212"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3</w:t>
            </w:r>
          </w:p>
        </w:tc>
        <w:tc>
          <w:tcPr>
            <w:tcW w:w="236"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3</w:t>
            </w:r>
          </w:p>
        </w:tc>
        <w:tc>
          <w:tcPr>
            <w:tcW w:w="210"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100,0</w:t>
            </w:r>
          </w:p>
        </w:tc>
        <w:tc>
          <w:tcPr>
            <w:tcW w:w="225"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1</w:t>
            </w:r>
          </w:p>
        </w:tc>
        <w:tc>
          <w:tcPr>
            <w:tcW w:w="210"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33,3</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w:t>
            </w:r>
          </w:p>
        </w:tc>
        <w:tc>
          <w:tcPr>
            <w:tcW w:w="257"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100,0</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3</w:t>
            </w:r>
          </w:p>
        </w:tc>
        <w:tc>
          <w:tcPr>
            <w:tcW w:w="225"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300,0</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0</w:t>
            </w:r>
          </w:p>
        </w:tc>
        <w:tc>
          <w:tcPr>
            <w:tcW w:w="225"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0,0</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0</w:t>
            </w:r>
          </w:p>
        </w:tc>
        <w:tc>
          <w:tcPr>
            <w:tcW w:w="22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 xml:space="preserve"> </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0</w:t>
            </w:r>
          </w:p>
        </w:tc>
        <w:tc>
          <w:tcPr>
            <w:tcW w:w="225"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 xml:space="preserve"> </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0</w:t>
            </w:r>
          </w:p>
        </w:tc>
        <w:tc>
          <w:tcPr>
            <w:tcW w:w="226"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 xml:space="preserve"> </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0</w:t>
            </w:r>
          </w:p>
        </w:tc>
        <w:tc>
          <w:tcPr>
            <w:tcW w:w="216"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 xml:space="preserve"> </w:t>
            </w:r>
          </w:p>
        </w:tc>
      </w:tr>
      <w:tr w:rsidR="00A41AD7" w:rsidRPr="00576679" w:rsidTr="00E7317C">
        <w:trPr>
          <w:trHeight w:val="750"/>
        </w:trPr>
        <w:tc>
          <w:tcPr>
            <w:tcW w:w="4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41AD7" w:rsidRPr="00576679" w:rsidRDefault="00A41AD7" w:rsidP="00E7317C">
            <w:pPr>
              <w:rPr>
                <w:sz w:val="20"/>
                <w:szCs w:val="20"/>
              </w:rPr>
            </w:pPr>
            <w:r w:rsidRPr="00576679">
              <w:rPr>
                <w:sz w:val="20"/>
                <w:szCs w:val="20"/>
              </w:rPr>
              <w:t>до 100 л.с. (до 73,55 кВт) включительно</w:t>
            </w:r>
          </w:p>
        </w:tc>
        <w:tc>
          <w:tcPr>
            <w:tcW w:w="326"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отчет 5-ТН,стр.1355</w:t>
            </w:r>
          </w:p>
        </w:tc>
        <w:tc>
          <w:tcPr>
            <w:tcW w:w="212"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2</w:t>
            </w:r>
          </w:p>
        </w:tc>
        <w:tc>
          <w:tcPr>
            <w:tcW w:w="236"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2</w:t>
            </w:r>
          </w:p>
        </w:tc>
        <w:tc>
          <w:tcPr>
            <w:tcW w:w="210"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100,0</w:t>
            </w:r>
          </w:p>
        </w:tc>
        <w:tc>
          <w:tcPr>
            <w:tcW w:w="225"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0</w:t>
            </w:r>
          </w:p>
        </w:tc>
        <w:tc>
          <w:tcPr>
            <w:tcW w:w="210"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0,0</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0</w:t>
            </w:r>
          </w:p>
        </w:tc>
        <w:tc>
          <w:tcPr>
            <w:tcW w:w="257"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 </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3</w:t>
            </w:r>
          </w:p>
        </w:tc>
        <w:tc>
          <w:tcPr>
            <w:tcW w:w="225"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 xml:space="preserve"> </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0</w:t>
            </w:r>
          </w:p>
        </w:tc>
        <w:tc>
          <w:tcPr>
            <w:tcW w:w="225"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0,0</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0</w:t>
            </w:r>
          </w:p>
        </w:tc>
        <w:tc>
          <w:tcPr>
            <w:tcW w:w="22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 </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0</w:t>
            </w:r>
          </w:p>
        </w:tc>
        <w:tc>
          <w:tcPr>
            <w:tcW w:w="225"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 </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0</w:t>
            </w:r>
          </w:p>
        </w:tc>
        <w:tc>
          <w:tcPr>
            <w:tcW w:w="226"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 </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0</w:t>
            </w:r>
          </w:p>
        </w:tc>
        <w:tc>
          <w:tcPr>
            <w:tcW w:w="216"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 </w:t>
            </w:r>
          </w:p>
        </w:tc>
      </w:tr>
      <w:tr w:rsidR="00A41AD7" w:rsidRPr="00576679" w:rsidTr="00E7317C">
        <w:trPr>
          <w:trHeight w:val="630"/>
        </w:trPr>
        <w:tc>
          <w:tcPr>
            <w:tcW w:w="4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41AD7" w:rsidRPr="00576679" w:rsidRDefault="00A41AD7" w:rsidP="00E7317C">
            <w:pPr>
              <w:rPr>
                <w:sz w:val="20"/>
                <w:szCs w:val="20"/>
              </w:rPr>
            </w:pPr>
            <w:r w:rsidRPr="00576679">
              <w:rPr>
                <w:sz w:val="20"/>
                <w:szCs w:val="20"/>
              </w:rPr>
              <w:t>свыше 100 л.с. (свыше 73,55 кВт)</w:t>
            </w:r>
          </w:p>
        </w:tc>
        <w:tc>
          <w:tcPr>
            <w:tcW w:w="326"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отчет 5-ТН,стр.1356</w:t>
            </w:r>
          </w:p>
        </w:tc>
        <w:tc>
          <w:tcPr>
            <w:tcW w:w="212"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1</w:t>
            </w:r>
          </w:p>
        </w:tc>
        <w:tc>
          <w:tcPr>
            <w:tcW w:w="236"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1</w:t>
            </w:r>
          </w:p>
        </w:tc>
        <w:tc>
          <w:tcPr>
            <w:tcW w:w="210"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100,0</w:t>
            </w:r>
          </w:p>
        </w:tc>
        <w:tc>
          <w:tcPr>
            <w:tcW w:w="225"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1</w:t>
            </w:r>
          </w:p>
        </w:tc>
        <w:tc>
          <w:tcPr>
            <w:tcW w:w="210"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100,0</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w:t>
            </w:r>
          </w:p>
        </w:tc>
        <w:tc>
          <w:tcPr>
            <w:tcW w:w="257"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100,0</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0</w:t>
            </w:r>
          </w:p>
        </w:tc>
        <w:tc>
          <w:tcPr>
            <w:tcW w:w="225"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0,0</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0</w:t>
            </w:r>
          </w:p>
        </w:tc>
        <w:tc>
          <w:tcPr>
            <w:tcW w:w="225"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 </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0</w:t>
            </w:r>
          </w:p>
        </w:tc>
        <w:tc>
          <w:tcPr>
            <w:tcW w:w="22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 </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0</w:t>
            </w:r>
          </w:p>
        </w:tc>
        <w:tc>
          <w:tcPr>
            <w:tcW w:w="225"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 </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0</w:t>
            </w:r>
          </w:p>
        </w:tc>
        <w:tc>
          <w:tcPr>
            <w:tcW w:w="226"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 </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0</w:t>
            </w:r>
          </w:p>
        </w:tc>
        <w:tc>
          <w:tcPr>
            <w:tcW w:w="216"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 </w:t>
            </w:r>
          </w:p>
        </w:tc>
      </w:tr>
      <w:tr w:rsidR="00A41AD7" w:rsidRPr="00576679" w:rsidTr="00E7317C">
        <w:trPr>
          <w:trHeight w:val="945"/>
        </w:trPr>
        <w:tc>
          <w:tcPr>
            <w:tcW w:w="4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41AD7" w:rsidRPr="00576679" w:rsidRDefault="00A41AD7" w:rsidP="00E7317C">
            <w:pPr>
              <w:rPr>
                <w:i/>
                <w:iCs/>
                <w:sz w:val="20"/>
                <w:szCs w:val="20"/>
              </w:rPr>
            </w:pPr>
            <w:r w:rsidRPr="00576679">
              <w:rPr>
                <w:i/>
                <w:iCs/>
                <w:sz w:val="20"/>
                <w:szCs w:val="20"/>
              </w:rPr>
              <w:t xml:space="preserve">Гидроциклы с мощностью двигателя: </w:t>
            </w:r>
          </w:p>
        </w:tc>
        <w:tc>
          <w:tcPr>
            <w:tcW w:w="326"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отчет 5-ТН,стр.1357</w:t>
            </w:r>
          </w:p>
        </w:tc>
        <w:tc>
          <w:tcPr>
            <w:tcW w:w="212"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29</w:t>
            </w:r>
          </w:p>
        </w:tc>
        <w:tc>
          <w:tcPr>
            <w:tcW w:w="236"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28</w:t>
            </w:r>
          </w:p>
        </w:tc>
        <w:tc>
          <w:tcPr>
            <w:tcW w:w="210"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96,6</w:t>
            </w:r>
          </w:p>
        </w:tc>
        <w:tc>
          <w:tcPr>
            <w:tcW w:w="225"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21</w:t>
            </w:r>
          </w:p>
        </w:tc>
        <w:tc>
          <w:tcPr>
            <w:tcW w:w="210"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75,0</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19</w:t>
            </w:r>
          </w:p>
        </w:tc>
        <w:tc>
          <w:tcPr>
            <w:tcW w:w="257"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90,5</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29</w:t>
            </w:r>
          </w:p>
        </w:tc>
        <w:tc>
          <w:tcPr>
            <w:tcW w:w="225"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152,6</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23</w:t>
            </w:r>
          </w:p>
        </w:tc>
        <w:tc>
          <w:tcPr>
            <w:tcW w:w="225"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79,3</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23</w:t>
            </w:r>
          </w:p>
        </w:tc>
        <w:tc>
          <w:tcPr>
            <w:tcW w:w="22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100,0</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23</w:t>
            </w:r>
          </w:p>
        </w:tc>
        <w:tc>
          <w:tcPr>
            <w:tcW w:w="225"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100,0</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24</w:t>
            </w:r>
          </w:p>
        </w:tc>
        <w:tc>
          <w:tcPr>
            <w:tcW w:w="226"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104,3</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25</w:t>
            </w:r>
          </w:p>
        </w:tc>
        <w:tc>
          <w:tcPr>
            <w:tcW w:w="216"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104,2</w:t>
            </w:r>
          </w:p>
        </w:tc>
      </w:tr>
      <w:tr w:rsidR="00A41AD7" w:rsidRPr="00576679" w:rsidTr="00E7317C">
        <w:trPr>
          <w:trHeight w:val="810"/>
        </w:trPr>
        <w:tc>
          <w:tcPr>
            <w:tcW w:w="4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41AD7" w:rsidRPr="00576679" w:rsidRDefault="00A41AD7" w:rsidP="00E7317C">
            <w:pPr>
              <w:rPr>
                <w:sz w:val="20"/>
                <w:szCs w:val="20"/>
              </w:rPr>
            </w:pPr>
            <w:r w:rsidRPr="00576679">
              <w:rPr>
                <w:sz w:val="20"/>
                <w:szCs w:val="20"/>
              </w:rPr>
              <w:t>до 100 л.с. (до 73,55 кВт) включительно</w:t>
            </w:r>
          </w:p>
        </w:tc>
        <w:tc>
          <w:tcPr>
            <w:tcW w:w="326"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отчет 5-ТН,стр.1358</w:t>
            </w:r>
          </w:p>
        </w:tc>
        <w:tc>
          <w:tcPr>
            <w:tcW w:w="212"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14</w:t>
            </w:r>
          </w:p>
        </w:tc>
        <w:tc>
          <w:tcPr>
            <w:tcW w:w="236"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14</w:t>
            </w:r>
          </w:p>
        </w:tc>
        <w:tc>
          <w:tcPr>
            <w:tcW w:w="210"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100,0</w:t>
            </w:r>
          </w:p>
        </w:tc>
        <w:tc>
          <w:tcPr>
            <w:tcW w:w="225"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14</w:t>
            </w:r>
          </w:p>
        </w:tc>
        <w:tc>
          <w:tcPr>
            <w:tcW w:w="210"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100,0</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13</w:t>
            </w:r>
          </w:p>
        </w:tc>
        <w:tc>
          <w:tcPr>
            <w:tcW w:w="257"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92,9</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21</w:t>
            </w:r>
          </w:p>
        </w:tc>
        <w:tc>
          <w:tcPr>
            <w:tcW w:w="225"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161,5</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16</w:t>
            </w:r>
          </w:p>
        </w:tc>
        <w:tc>
          <w:tcPr>
            <w:tcW w:w="225"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76,2</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17</w:t>
            </w:r>
          </w:p>
        </w:tc>
        <w:tc>
          <w:tcPr>
            <w:tcW w:w="22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106,3</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18</w:t>
            </w:r>
          </w:p>
        </w:tc>
        <w:tc>
          <w:tcPr>
            <w:tcW w:w="225"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105,9</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19</w:t>
            </w:r>
          </w:p>
        </w:tc>
        <w:tc>
          <w:tcPr>
            <w:tcW w:w="226"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105,6</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20</w:t>
            </w:r>
          </w:p>
        </w:tc>
        <w:tc>
          <w:tcPr>
            <w:tcW w:w="216"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105,3</w:t>
            </w:r>
          </w:p>
        </w:tc>
      </w:tr>
      <w:tr w:rsidR="00A41AD7" w:rsidRPr="00576679" w:rsidTr="00E7317C">
        <w:trPr>
          <w:trHeight w:val="630"/>
        </w:trPr>
        <w:tc>
          <w:tcPr>
            <w:tcW w:w="4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41AD7" w:rsidRPr="00576679" w:rsidRDefault="00A41AD7" w:rsidP="00E7317C">
            <w:pPr>
              <w:rPr>
                <w:sz w:val="20"/>
                <w:szCs w:val="20"/>
              </w:rPr>
            </w:pPr>
            <w:r w:rsidRPr="00576679">
              <w:rPr>
                <w:sz w:val="20"/>
                <w:szCs w:val="20"/>
              </w:rPr>
              <w:t>свыше 100 л.с. (свыше 73,55 кВт)</w:t>
            </w:r>
          </w:p>
        </w:tc>
        <w:tc>
          <w:tcPr>
            <w:tcW w:w="326"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отчет 5-ТН,стр.1359</w:t>
            </w:r>
          </w:p>
        </w:tc>
        <w:tc>
          <w:tcPr>
            <w:tcW w:w="212"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15</w:t>
            </w:r>
          </w:p>
        </w:tc>
        <w:tc>
          <w:tcPr>
            <w:tcW w:w="236"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14</w:t>
            </w:r>
          </w:p>
        </w:tc>
        <w:tc>
          <w:tcPr>
            <w:tcW w:w="210"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93,3</w:t>
            </w:r>
          </w:p>
        </w:tc>
        <w:tc>
          <w:tcPr>
            <w:tcW w:w="225"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7</w:t>
            </w:r>
          </w:p>
        </w:tc>
        <w:tc>
          <w:tcPr>
            <w:tcW w:w="210"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50,0</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6</w:t>
            </w:r>
          </w:p>
        </w:tc>
        <w:tc>
          <w:tcPr>
            <w:tcW w:w="257"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85,7</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8</w:t>
            </w:r>
          </w:p>
        </w:tc>
        <w:tc>
          <w:tcPr>
            <w:tcW w:w="225"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133,3</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7</w:t>
            </w:r>
          </w:p>
        </w:tc>
        <w:tc>
          <w:tcPr>
            <w:tcW w:w="225"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87,5</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6</w:t>
            </w:r>
          </w:p>
        </w:tc>
        <w:tc>
          <w:tcPr>
            <w:tcW w:w="22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85,7</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5</w:t>
            </w:r>
          </w:p>
        </w:tc>
        <w:tc>
          <w:tcPr>
            <w:tcW w:w="225"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83,3</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5</w:t>
            </w:r>
          </w:p>
        </w:tc>
        <w:tc>
          <w:tcPr>
            <w:tcW w:w="226"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100,0</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5</w:t>
            </w:r>
          </w:p>
        </w:tc>
        <w:tc>
          <w:tcPr>
            <w:tcW w:w="216"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100,0</w:t>
            </w:r>
          </w:p>
        </w:tc>
      </w:tr>
      <w:tr w:rsidR="00A41AD7" w:rsidRPr="00576679" w:rsidTr="00E7317C">
        <w:trPr>
          <w:trHeight w:val="1125"/>
        </w:trPr>
        <w:tc>
          <w:tcPr>
            <w:tcW w:w="4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41AD7" w:rsidRPr="00576679" w:rsidRDefault="00A41AD7" w:rsidP="00E7317C">
            <w:pPr>
              <w:rPr>
                <w:i/>
                <w:iCs/>
                <w:sz w:val="20"/>
                <w:szCs w:val="20"/>
              </w:rPr>
            </w:pPr>
            <w:r w:rsidRPr="00576679">
              <w:rPr>
                <w:i/>
                <w:iCs/>
                <w:sz w:val="20"/>
                <w:szCs w:val="20"/>
              </w:rPr>
              <w:t>Несамоходные (буксируемые) суда, для которых определяется валовая вместимость</w:t>
            </w:r>
          </w:p>
        </w:tc>
        <w:tc>
          <w:tcPr>
            <w:tcW w:w="326"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отчет 5-ТН,стр.1360</w:t>
            </w:r>
          </w:p>
        </w:tc>
        <w:tc>
          <w:tcPr>
            <w:tcW w:w="212"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91</w:t>
            </w:r>
          </w:p>
        </w:tc>
        <w:tc>
          <w:tcPr>
            <w:tcW w:w="236"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95</w:t>
            </w:r>
          </w:p>
        </w:tc>
        <w:tc>
          <w:tcPr>
            <w:tcW w:w="210"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104,4</w:t>
            </w:r>
          </w:p>
        </w:tc>
        <w:tc>
          <w:tcPr>
            <w:tcW w:w="225"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95</w:t>
            </w:r>
          </w:p>
        </w:tc>
        <w:tc>
          <w:tcPr>
            <w:tcW w:w="210"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100,0</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84</w:t>
            </w:r>
          </w:p>
        </w:tc>
        <w:tc>
          <w:tcPr>
            <w:tcW w:w="257"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88,4</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87</w:t>
            </w:r>
          </w:p>
        </w:tc>
        <w:tc>
          <w:tcPr>
            <w:tcW w:w="225"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103,6</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57</w:t>
            </w:r>
          </w:p>
        </w:tc>
        <w:tc>
          <w:tcPr>
            <w:tcW w:w="225"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65,5</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53</w:t>
            </w:r>
          </w:p>
        </w:tc>
        <w:tc>
          <w:tcPr>
            <w:tcW w:w="22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93,0</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49</w:t>
            </w:r>
          </w:p>
        </w:tc>
        <w:tc>
          <w:tcPr>
            <w:tcW w:w="225"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92,5</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45</w:t>
            </w:r>
          </w:p>
        </w:tc>
        <w:tc>
          <w:tcPr>
            <w:tcW w:w="226"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91,8</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42</w:t>
            </w:r>
          </w:p>
        </w:tc>
        <w:tc>
          <w:tcPr>
            <w:tcW w:w="216"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93,3</w:t>
            </w:r>
          </w:p>
        </w:tc>
      </w:tr>
      <w:tr w:rsidR="00A41AD7" w:rsidRPr="00576679" w:rsidTr="00E7317C">
        <w:trPr>
          <w:trHeight w:val="750"/>
        </w:trPr>
        <w:tc>
          <w:tcPr>
            <w:tcW w:w="4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41AD7" w:rsidRPr="00576679" w:rsidRDefault="00A41AD7" w:rsidP="00E7317C">
            <w:pPr>
              <w:rPr>
                <w:i/>
                <w:iCs/>
                <w:sz w:val="20"/>
                <w:szCs w:val="20"/>
              </w:rPr>
            </w:pPr>
            <w:r w:rsidRPr="00576679">
              <w:rPr>
                <w:i/>
                <w:iCs/>
                <w:sz w:val="20"/>
                <w:szCs w:val="20"/>
              </w:rPr>
              <w:t>Иные водные транспортные средства</w:t>
            </w:r>
          </w:p>
        </w:tc>
        <w:tc>
          <w:tcPr>
            <w:tcW w:w="326"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отчет 5-ТН,стр.1361</w:t>
            </w:r>
          </w:p>
        </w:tc>
        <w:tc>
          <w:tcPr>
            <w:tcW w:w="212"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72</w:t>
            </w:r>
          </w:p>
        </w:tc>
        <w:tc>
          <w:tcPr>
            <w:tcW w:w="236"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46</w:t>
            </w:r>
          </w:p>
        </w:tc>
        <w:tc>
          <w:tcPr>
            <w:tcW w:w="210"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63,9</w:t>
            </w:r>
          </w:p>
        </w:tc>
        <w:tc>
          <w:tcPr>
            <w:tcW w:w="225"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45</w:t>
            </w:r>
          </w:p>
        </w:tc>
        <w:tc>
          <w:tcPr>
            <w:tcW w:w="210"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97,8</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33</w:t>
            </w:r>
          </w:p>
        </w:tc>
        <w:tc>
          <w:tcPr>
            <w:tcW w:w="257"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73,3</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9</w:t>
            </w:r>
          </w:p>
        </w:tc>
        <w:tc>
          <w:tcPr>
            <w:tcW w:w="225"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27,3</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7</w:t>
            </w:r>
          </w:p>
        </w:tc>
        <w:tc>
          <w:tcPr>
            <w:tcW w:w="225"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77,8</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5</w:t>
            </w:r>
          </w:p>
        </w:tc>
        <w:tc>
          <w:tcPr>
            <w:tcW w:w="22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71,4</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3</w:t>
            </w:r>
          </w:p>
        </w:tc>
        <w:tc>
          <w:tcPr>
            <w:tcW w:w="225"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60,0</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2</w:t>
            </w:r>
          </w:p>
        </w:tc>
        <w:tc>
          <w:tcPr>
            <w:tcW w:w="226"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66,7</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w:t>
            </w:r>
          </w:p>
        </w:tc>
        <w:tc>
          <w:tcPr>
            <w:tcW w:w="216"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50,0</w:t>
            </w:r>
          </w:p>
        </w:tc>
      </w:tr>
      <w:tr w:rsidR="00A41AD7" w:rsidRPr="00576679" w:rsidTr="00E7317C">
        <w:trPr>
          <w:trHeight w:val="750"/>
        </w:trPr>
        <w:tc>
          <w:tcPr>
            <w:tcW w:w="4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41AD7" w:rsidRPr="00576679" w:rsidRDefault="00A41AD7" w:rsidP="00E7317C">
            <w:pPr>
              <w:rPr>
                <w:i/>
                <w:iCs/>
                <w:sz w:val="20"/>
                <w:szCs w:val="20"/>
              </w:rPr>
            </w:pPr>
            <w:r w:rsidRPr="00576679">
              <w:rPr>
                <w:i/>
                <w:iCs/>
                <w:sz w:val="20"/>
                <w:szCs w:val="20"/>
              </w:rPr>
              <w:t>*Воздушные транспортные средства</w:t>
            </w:r>
          </w:p>
        </w:tc>
        <w:tc>
          <w:tcPr>
            <w:tcW w:w="326"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отчет 5-ТН,стр.1370</w:t>
            </w:r>
          </w:p>
        </w:tc>
        <w:tc>
          <w:tcPr>
            <w:tcW w:w="212"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69</w:t>
            </w:r>
          </w:p>
        </w:tc>
        <w:tc>
          <w:tcPr>
            <w:tcW w:w="236"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59</w:t>
            </w:r>
          </w:p>
        </w:tc>
        <w:tc>
          <w:tcPr>
            <w:tcW w:w="210"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85,5</w:t>
            </w:r>
          </w:p>
        </w:tc>
        <w:tc>
          <w:tcPr>
            <w:tcW w:w="225"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68</w:t>
            </w:r>
          </w:p>
        </w:tc>
        <w:tc>
          <w:tcPr>
            <w:tcW w:w="210"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115,3</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73</w:t>
            </w:r>
          </w:p>
        </w:tc>
        <w:tc>
          <w:tcPr>
            <w:tcW w:w="257"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107,4</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72</w:t>
            </w:r>
          </w:p>
        </w:tc>
        <w:tc>
          <w:tcPr>
            <w:tcW w:w="225"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98,6</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130</w:t>
            </w:r>
          </w:p>
        </w:tc>
        <w:tc>
          <w:tcPr>
            <w:tcW w:w="225"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180,6</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130</w:t>
            </w:r>
          </w:p>
        </w:tc>
        <w:tc>
          <w:tcPr>
            <w:tcW w:w="22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100,0</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130</w:t>
            </w:r>
          </w:p>
        </w:tc>
        <w:tc>
          <w:tcPr>
            <w:tcW w:w="225"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100,0</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130</w:t>
            </w:r>
          </w:p>
        </w:tc>
        <w:tc>
          <w:tcPr>
            <w:tcW w:w="226"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100,0</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130</w:t>
            </w:r>
          </w:p>
        </w:tc>
        <w:tc>
          <w:tcPr>
            <w:tcW w:w="216"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100,0</w:t>
            </w:r>
          </w:p>
        </w:tc>
      </w:tr>
      <w:tr w:rsidR="00A41AD7" w:rsidRPr="00576679" w:rsidTr="00E7317C">
        <w:trPr>
          <w:trHeight w:val="1125"/>
        </w:trPr>
        <w:tc>
          <w:tcPr>
            <w:tcW w:w="4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41AD7" w:rsidRPr="00576679" w:rsidRDefault="00A41AD7" w:rsidP="00E7317C">
            <w:pPr>
              <w:rPr>
                <w:b/>
                <w:bCs/>
                <w:sz w:val="20"/>
                <w:szCs w:val="20"/>
              </w:rPr>
            </w:pPr>
            <w:r w:rsidRPr="00576679">
              <w:rPr>
                <w:b/>
                <w:bCs/>
                <w:sz w:val="20"/>
                <w:szCs w:val="20"/>
              </w:rPr>
              <w:t>Сумма налога, подлежащего уплате в бюджет, в том числе по видам транспортных средств:</w:t>
            </w:r>
          </w:p>
        </w:tc>
        <w:tc>
          <w:tcPr>
            <w:tcW w:w="326"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b/>
                <w:bCs/>
                <w:sz w:val="20"/>
                <w:szCs w:val="20"/>
              </w:rPr>
            </w:pPr>
            <w:r w:rsidRPr="00576679">
              <w:rPr>
                <w:b/>
                <w:bCs/>
                <w:sz w:val="20"/>
                <w:szCs w:val="20"/>
              </w:rPr>
              <w:t>отчет 5-ТН,стр.1400</w:t>
            </w:r>
          </w:p>
        </w:tc>
        <w:tc>
          <w:tcPr>
            <w:tcW w:w="212"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b/>
                <w:bCs/>
                <w:sz w:val="20"/>
                <w:szCs w:val="20"/>
              </w:rPr>
            </w:pPr>
            <w:r w:rsidRPr="00576679">
              <w:rPr>
                <w:b/>
                <w:bCs/>
                <w:sz w:val="20"/>
                <w:szCs w:val="20"/>
              </w:rPr>
              <w:t>212 254</w:t>
            </w:r>
          </w:p>
        </w:tc>
        <w:tc>
          <w:tcPr>
            <w:tcW w:w="236"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b/>
                <w:bCs/>
                <w:sz w:val="20"/>
                <w:szCs w:val="20"/>
              </w:rPr>
            </w:pPr>
            <w:r w:rsidRPr="00576679">
              <w:rPr>
                <w:b/>
                <w:bCs/>
                <w:sz w:val="20"/>
                <w:szCs w:val="20"/>
              </w:rPr>
              <w:t>179 173</w:t>
            </w:r>
          </w:p>
        </w:tc>
        <w:tc>
          <w:tcPr>
            <w:tcW w:w="210"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b/>
                <w:bCs/>
                <w:sz w:val="20"/>
                <w:szCs w:val="20"/>
              </w:rPr>
            </w:pPr>
            <w:r w:rsidRPr="00576679">
              <w:rPr>
                <w:b/>
                <w:bCs/>
                <w:sz w:val="20"/>
                <w:szCs w:val="20"/>
              </w:rPr>
              <w:t>84,4</w:t>
            </w:r>
          </w:p>
        </w:tc>
        <w:tc>
          <w:tcPr>
            <w:tcW w:w="225"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b/>
                <w:bCs/>
                <w:sz w:val="20"/>
                <w:szCs w:val="20"/>
              </w:rPr>
            </w:pPr>
            <w:r w:rsidRPr="00576679">
              <w:rPr>
                <w:b/>
                <w:bCs/>
                <w:sz w:val="20"/>
                <w:szCs w:val="20"/>
              </w:rPr>
              <w:t>180 414</w:t>
            </w:r>
          </w:p>
        </w:tc>
        <w:tc>
          <w:tcPr>
            <w:tcW w:w="210"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b/>
                <w:bCs/>
                <w:sz w:val="20"/>
                <w:szCs w:val="20"/>
              </w:rPr>
            </w:pPr>
            <w:r w:rsidRPr="00576679">
              <w:rPr>
                <w:b/>
                <w:bCs/>
                <w:sz w:val="20"/>
                <w:szCs w:val="20"/>
              </w:rPr>
              <w:t>100,7</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b/>
                <w:bCs/>
                <w:color w:val="000000"/>
                <w:sz w:val="20"/>
                <w:szCs w:val="20"/>
              </w:rPr>
            </w:pPr>
            <w:r w:rsidRPr="00576679">
              <w:rPr>
                <w:b/>
                <w:bCs/>
                <w:color w:val="000000"/>
                <w:sz w:val="20"/>
                <w:szCs w:val="20"/>
              </w:rPr>
              <w:t>187 983</w:t>
            </w:r>
          </w:p>
        </w:tc>
        <w:tc>
          <w:tcPr>
            <w:tcW w:w="257"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b/>
                <w:bCs/>
                <w:color w:val="000000"/>
                <w:sz w:val="20"/>
                <w:szCs w:val="20"/>
              </w:rPr>
            </w:pPr>
            <w:r w:rsidRPr="00576679">
              <w:rPr>
                <w:b/>
                <w:bCs/>
                <w:color w:val="000000"/>
                <w:sz w:val="20"/>
                <w:szCs w:val="20"/>
              </w:rPr>
              <w:t>104,2</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b/>
                <w:bCs/>
                <w:color w:val="000000"/>
                <w:sz w:val="20"/>
                <w:szCs w:val="20"/>
              </w:rPr>
            </w:pPr>
            <w:r w:rsidRPr="00576679">
              <w:rPr>
                <w:b/>
                <w:bCs/>
                <w:color w:val="000000"/>
                <w:sz w:val="20"/>
                <w:szCs w:val="20"/>
              </w:rPr>
              <w:t>196 383</w:t>
            </w:r>
          </w:p>
        </w:tc>
        <w:tc>
          <w:tcPr>
            <w:tcW w:w="225"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b/>
                <w:bCs/>
                <w:color w:val="000000"/>
                <w:sz w:val="20"/>
                <w:szCs w:val="20"/>
              </w:rPr>
            </w:pPr>
            <w:r w:rsidRPr="00576679">
              <w:rPr>
                <w:b/>
                <w:bCs/>
                <w:color w:val="000000"/>
                <w:sz w:val="20"/>
                <w:szCs w:val="20"/>
              </w:rPr>
              <w:t>104,5</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b/>
                <w:bCs/>
                <w:color w:val="000000"/>
                <w:sz w:val="20"/>
                <w:szCs w:val="20"/>
              </w:rPr>
            </w:pPr>
            <w:r w:rsidRPr="00576679">
              <w:rPr>
                <w:b/>
                <w:bCs/>
                <w:color w:val="000000"/>
                <w:sz w:val="20"/>
                <w:szCs w:val="20"/>
              </w:rPr>
              <w:t>262 965</w:t>
            </w:r>
          </w:p>
        </w:tc>
        <w:tc>
          <w:tcPr>
            <w:tcW w:w="225"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b/>
                <w:bCs/>
                <w:color w:val="000000"/>
                <w:sz w:val="20"/>
                <w:szCs w:val="20"/>
              </w:rPr>
            </w:pPr>
            <w:r w:rsidRPr="00576679">
              <w:rPr>
                <w:b/>
                <w:bCs/>
                <w:color w:val="000000"/>
                <w:sz w:val="20"/>
                <w:szCs w:val="20"/>
              </w:rPr>
              <w:t>133,9</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b/>
                <w:bCs/>
                <w:color w:val="000000"/>
                <w:sz w:val="20"/>
                <w:szCs w:val="20"/>
              </w:rPr>
            </w:pPr>
            <w:r w:rsidRPr="00576679">
              <w:rPr>
                <w:b/>
                <w:bCs/>
                <w:color w:val="000000"/>
                <w:sz w:val="20"/>
                <w:szCs w:val="20"/>
              </w:rPr>
              <w:t>278 620</w:t>
            </w:r>
          </w:p>
        </w:tc>
        <w:tc>
          <w:tcPr>
            <w:tcW w:w="22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b/>
                <w:bCs/>
                <w:color w:val="000000"/>
                <w:sz w:val="20"/>
                <w:szCs w:val="20"/>
              </w:rPr>
            </w:pPr>
            <w:r w:rsidRPr="00576679">
              <w:rPr>
                <w:b/>
                <w:bCs/>
                <w:color w:val="000000"/>
                <w:sz w:val="20"/>
                <w:szCs w:val="20"/>
              </w:rPr>
              <w:t>106,0</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b/>
                <w:bCs/>
                <w:color w:val="000000"/>
                <w:sz w:val="20"/>
                <w:szCs w:val="20"/>
              </w:rPr>
            </w:pPr>
            <w:r w:rsidRPr="00576679">
              <w:rPr>
                <w:b/>
                <w:bCs/>
                <w:color w:val="000000"/>
                <w:sz w:val="20"/>
                <w:szCs w:val="20"/>
              </w:rPr>
              <w:t>298 308</w:t>
            </w:r>
          </w:p>
        </w:tc>
        <w:tc>
          <w:tcPr>
            <w:tcW w:w="225"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b/>
                <w:bCs/>
                <w:color w:val="000000"/>
                <w:sz w:val="20"/>
                <w:szCs w:val="20"/>
              </w:rPr>
            </w:pPr>
            <w:r w:rsidRPr="00576679">
              <w:rPr>
                <w:b/>
                <w:bCs/>
                <w:color w:val="000000"/>
                <w:sz w:val="20"/>
                <w:szCs w:val="20"/>
              </w:rPr>
              <w:t>107,1</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b/>
                <w:bCs/>
                <w:color w:val="000000"/>
                <w:sz w:val="20"/>
                <w:szCs w:val="20"/>
              </w:rPr>
            </w:pPr>
            <w:r w:rsidRPr="00576679">
              <w:rPr>
                <w:b/>
                <w:bCs/>
                <w:color w:val="000000"/>
                <w:sz w:val="20"/>
                <w:szCs w:val="20"/>
              </w:rPr>
              <w:t>323 602</w:t>
            </w:r>
          </w:p>
        </w:tc>
        <w:tc>
          <w:tcPr>
            <w:tcW w:w="226"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b/>
                <w:bCs/>
                <w:color w:val="000000"/>
                <w:sz w:val="20"/>
                <w:szCs w:val="20"/>
              </w:rPr>
            </w:pPr>
            <w:r w:rsidRPr="00576679">
              <w:rPr>
                <w:b/>
                <w:bCs/>
                <w:color w:val="000000"/>
                <w:sz w:val="20"/>
                <w:szCs w:val="20"/>
              </w:rPr>
              <w:t>108,5</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b/>
                <w:bCs/>
                <w:color w:val="000000"/>
                <w:sz w:val="20"/>
                <w:szCs w:val="20"/>
              </w:rPr>
            </w:pPr>
            <w:r w:rsidRPr="00576679">
              <w:rPr>
                <w:b/>
                <w:bCs/>
                <w:color w:val="000000"/>
                <w:sz w:val="20"/>
                <w:szCs w:val="20"/>
              </w:rPr>
              <w:t>356 811</w:t>
            </w:r>
          </w:p>
        </w:tc>
        <w:tc>
          <w:tcPr>
            <w:tcW w:w="216"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b/>
                <w:bCs/>
                <w:color w:val="000000"/>
                <w:sz w:val="20"/>
                <w:szCs w:val="20"/>
              </w:rPr>
            </w:pPr>
            <w:r w:rsidRPr="00576679">
              <w:rPr>
                <w:b/>
                <w:bCs/>
                <w:color w:val="000000"/>
                <w:sz w:val="20"/>
                <w:szCs w:val="20"/>
              </w:rPr>
              <w:t>110,3</w:t>
            </w:r>
          </w:p>
        </w:tc>
      </w:tr>
      <w:tr w:rsidR="00A41AD7" w:rsidRPr="00576679" w:rsidTr="00E7317C">
        <w:trPr>
          <w:trHeight w:val="750"/>
        </w:trPr>
        <w:tc>
          <w:tcPr>
            <w:tcW w:w="4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41AD7" w:rsidRPr="00576679" w:rsidRDefault="00A41AD7" w:rsidP="00E7317C">
            <w:pPr>
              <w:rPr>
                <w:i/>
                <w:iCs/>
                <w:sz w:val="20"/>
                <w:szCs w:val="20"/>
              </w:rPr>
            </w:pPr>
            <w:r w:rsidRPr="00576679">
              <w:rPr>
                <w:i/>
                <w:iCs/>
                <w:sz w:val="20"/>
                <w:szCs w:val="20"/>
              </w:rPr>
              <w:t>Автомобили легковые с мощностью двигателя:</w:t>
            </w:r>
          </w:p>
        </w:tc>
        <w:tc>
          <w:tcPr>
            <w:tcW w:w="326"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отчет 5-ТН,стр.1411</w:t>
            </w:r>
          </w:p>
        </w:tc>
        <w:tc>
          <w:tcPr>
            <w:tcW w:w="212"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31 008</w:t>
            </w:r>
          </w:p>
        </w:tc>
        <w:tc>
          <w:tcPr>
            <w:tcW w:w="236"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31 436</w:t>
            </w:r>
          </w:p>
        </w:tc>
        <w:tc>
          <w:tcPr>
            <w:tcW w:w="210"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101,4</w:t>
            </w:r>
          </w:p>
        </w:tc>
        <w:tc>
          <w:tcPr>
            <w:tcW w:w="225"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32 697</w:t>
            </w:r>
          </w:p>
        </w:tc>
        <w:tc>
          <w:tcPr>
            <w:tcW w:w="210"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104,0</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34 793</w:t>
            </w:r>
          </w:p>
        </w:tc>
        <w:tc>
          <w:tcPr>
            <w:tcW w:w="257"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106,4</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47 692</w:t>
            </w:r>
          </w:p>
        </w:tc>
        <w:tc>
          <w:tcPr>
            <w:tcW w:w="225"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137,1</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59 009</w:t>
            </w:r>
          </w:p>
        </w:tc>
        <w:tc>
          <w:tcPr>
            <w:tcW w:w="225"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123,7</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62 325</w:t>
            </w:r>
          </w:p>
        </w:tc>
        <w:tc>
          <w:tcPr>
            <w:tcW w:w="22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105,6</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65 893</w:t>
            </w:r>
          </w:p>
        </w:tc>
        <w:tc>
          <w:tcPr>
            <w:tcW w:w="225"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105,7</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69 734</w:t>
            </w:r>
          </w:p>
        </w:tc>
        <w:tc>
          <w:tcPr>
            <w:tcW w:w="226"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105,8</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73 879</w:t>
            </w:r>
          </w:p>
        </w:tc>
        <w:tc>
          <w:tcPr>
            <w:tcW w:w="216"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105,9</w:t>
            </w:r>
          </w:p>
        </w:tc>
      </w:tr>
      <w:tr w:rsidR="00A41AD7" w:rsidRPr="00576679" w:rsidTr="00E7317C">
        <w:trPr>
          <w:trHeight w:val="750"/>
        </w:trPr>
        <w:tc>
          <w:tcPr>
            <w:tcW w:w="4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41AD7" w:rsidRPr="00576679" w:rsidRDefault="00A41AD7" w:rsidP="00E7317C">
            <w:pPr>
              <w:ind w:firstLineChars="16" w:firstLine="32"/>
              <w:rPr>
                <w:sz w:val="20"/>
                <w:szCs w:val="20"/>
              </w:rPr>
            </w:pPr>
            <w:r w:rsidRPr="00576679">
              <w:rPr>
                <w:sz w:val="20"/>
                <w:szCs w:val="20"/>
              </w:rPr>
              <w:t>до 100 л.с. (до 73,55 кВт) включительно</w:t>
            </w:r>
          </w:p>
        </w:tc>
        <w:tc>
          <w:tcPr>
            <w:tcW w:w="326"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отчет 5-ТН,стр.1412</w:t>
            </w:r>
          </w:p>
        </w:tc>
        <w:tc>
          <w:tcPr>
            <w:tcW w:w="212"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2 784</w:t>
            </w:r>
          </w:p>
        </w:tc>
        <w:tc>
          <w:tcPr>
            <w:tcW w:w="236"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2 546</w:t>
            </w:r>
          </w:p>
        </w:tc>
        <w:tc>
          <w:tcPr>
            <w:tcW w:w="210"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91,5</w:t>
            </w:r>
          </w:p>
        </w:tc>
        <w:tc>
          <w:tcPr>
            <w:tcW w:w="225"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2 355</w:t>
            </w:r>
          </w:p>
        </w:tc>
        <w:tc>
          <w:tcPr>
            <w:tcW w:w="210"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92,5</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2 285</w:t>
            </w:r>
          </w:p>
        </w:tc>
        <w:tc>
          <w:tcPr>
            <w:tcW w:w="257"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97,0</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2 275</w:t>
            </w:r>
          </w:p>
        </w:tc>
        <w:tc>
          <w:tcPr>
            <w:tcW w:w="225"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99,6</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2 539</w:t>
            </w:r>
          </w:p>
        </w:tc>
        <w:tc>
          <w:tcPr>
            <w:tcW w:w="225"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111,6</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2 509</w:t>
            </w:r>
          </w:p>
        </w:tc>
        <w:tc>
          <w:tcPr>
            <w:tcW w:w="22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98,8</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2 481</w:t>
            </w:r>
          </w:p>
        </w:tc>
        <w:tc>
          <w:tcPr>
            <w:tcW w:w="225"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98,9</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2 454</w:t>
            </w:r>
          </w:p>
        </w:tc>
        <w:tc>
          <w:tcPr>
            <w:tcW w:w="226"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98,9</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2 427</w:t>
            </w:r>
          </w:p>
        </w:tc>
        <w:tc>
          <w:tcPr>
            <w:tcW w:w="216"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98,9</w:t>
            </w:r>
          </w:p>
        </w:tc>
      </w:tr>
      <w:tr w:rsidR="00A41AD7" w:rsidRPr="00576679" w:rsidTr="00E7317C">
        <w:trPr>
          <w:trHeight w:val="1125"/>
        </w:trPr>
        <w:tc>
          <w:tcPr>
            <w:tcW w:w="4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41AD7" w:rsidRPr="00576679" w:rsidRDefault="00A41AD7" w:rsidP="00E7317C">
            <w:pPr>
              <w:ind w:firstLineChars="16" w:firstLine="32"/>
              <w:rPr>
                <w:sz w:val="20"/>
                <w:szCs w:val="20"/>
              </w:rPr>
            </w:pPr>
            <w:r w:rsidRPr="00576679">
              <w:rPr>
                <w:sz w:val="20"/>
                <w:szCs w:val="20"/>
              </w:rPr>
              <w:lastRenderedPageBreak/>
              <w:t>свыше 100 л.с. до 150 л.с. (свыше 73,55 кВт до 110,33 кВт) включительно</w:t>
            </w:r>
          </w:p>
        </w:tc>
        <w:tc>
          <w:tcPr>
            <w:tcW w:w="326"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отчет 5-ТН,стр.1413</w:t>
            </w:r>
          </w:p>
        </w:tc>
        <w:tc>
          <w:tcPr>
            <w:tcW w:w="212"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7 735</w:t>
            </w:r>
          </w:p>
        </w:tc>
        <w:tc>
          <w:tcPr>
            <w:tcW w:w="236"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7 715</w:t>
            </w:r>
          </w:p>
        </w:tc>
        <w:tc>
          <w:tcPr>
            <w:tcW w:w="210"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99,7</w:t>
            </w:r>
          </w:p>
        </w:tc>
        <w:tc>
          <w:tcPr>
            <w:tcW w:w="225"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7 817</w:t>
            </w:r>
          </w:p>
        </w:tc>
        <w:tc>
          <w:tcPr>
            <w:tcW w:w="210"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101,3</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9 330</w:t>
            </w:r>
          </w:p>
        </w:tc>
        <w:tc>
          <w:tcPr>
            <w:tcW w:w="257"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119,4</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8 325</w:t>
            </w:r>
          </w:p>
        </w:tc>
        <w:tc>
          <w:tcPr>
            <w:tcW w:w="225"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89,2</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9 674</w:t>
            </w:r>
          </w:p>
        </w:tc>
        <w:tc>
          <w:tcPr>
            <w:tcW w:w="225"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116,2</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10 237</w:t>
            </w:r>
          </w:p>
        </w:tc>
        <w:tc>
          <w:tcPr>
            <w:tcW w:w="22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105,8</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10 809</w:t>
            </w:r>
          </w:p>
        </w:tc>
        <w:tc>
          <w:tcPr>
            <w:tcW w:w="225"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105,6</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11 415</w:t>
            </w:r>
          </w:p>
        </w:tc>
        <w:tc>
          <w:tcPr>
            <w:tcW w:w="226"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105,6</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12 053</w:t>
            </w:r>
          </w:p>
        </w:tc>
        <w:tc>
          <w:tcPr>
            <w:tcW w:w="216"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105,6</w:t>
            </w:r>
          </w:p>
        </w:tc>
      </w:tr>
      <w:tr w:rsidR="00A41AD7" w:rsidRPr="00576679" w:rsidTr="00E7317C">
        <w:trPr>
          <w:trHeight w:val="1125"/>
        </w:trPr>
        <w:tc>
          <w:tcPr>
            <w:tcW w:w="4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41AD7" w:rsidRPr="00576679" w:rsidRDefault="00A41AD7" w:rsidP="00E7317C">
            <w:pPr>
              <w:ind w:firstLineChars="16" w:firstLine="32"/>
              <w:rPr>
                <w:sz w:val="20"/>
                <w:szCs w:val="20"/>
              </w:rPr>
            </w:pPr>
            <w:r w:rsidRPr="00576679">
              <w:rPr>
                <w:sz w:val="20"/>
                <w:szCs w:val="20"/>
              </w:rPr>
              <w:t>свыше 150 л.с. до 200 л.с. (свыше 110,33 кВт до 147,1 кВт) включительно</w:t>
            </w:r>
          </w:p>
        </w:tc>
        <w:tc>
          <w:tcPr>
            <w:tcW w:w="326"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отчет 5-ТН,стр.1414</w:t>
            </w:r>
          </w:p>
        </w:tc>
        <w:tc>
          <w:tcPr>
            <w:tcW w:w="212"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4 573</w:t>
            </w:r>
          </w:p>
        </w:tc>
        <w:tc>
          <w:tcPr>
            <w:tcW w:w="236"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4 451</w:t>
            </w:r>
          </w:p>
        </w:tc>
        <w:tc>
          <w:tcPr>
            <w:tcW w:w="210"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97,3</w:t>
            </w:r>
          </w:p>
        </w:tc>
        <w:tc>
          <w:tcPr>
            <w:tcW w:w="225"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4 591</w:t>
            </w:r>
          </w:p>
        </w:tc>
        <w:tc>
          <w:tcPr>
            <w:tcW w:w="210"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103,1</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4 821</w:t>
            </w:r>
          </w:p>
        </w:tc>
        <w:tc>
          <w:tcPr>
            <w:tcW w:w="257"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105,0</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5 492</w:t>
            </w:r>
          </w:p>
        </w:tc>
        <w:tc>
          <w:tcPr>
            <w:tcW w:w="225"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113,9</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6 100</w:t>
            </w:r>
          </w:p>
        </w:tc>
        <w:tc>
          <w:tcPr>
            <w:tcW w:w="225"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111,1</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6 423</w:t>
            </w:r>
          </w:p>
        </w:tc>
        <w:tc>
          <w:tcPr>
            <w:tcW w:w="22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105,3</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6 769</w:t>
            </w:r>
          </w:p>
        </w:tc>
        <w:tc>
          <w:tcPr>
            <w:tcW w:w="225"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105,4</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7 134</w:t>
            </w:r>
          </w:p>
        </w:tc>
        <w:tc>
          <w:tcPr>
            <w:tcW w:w="226"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105,4</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7 520</w:t>
            </w:r>
          </w:p>
        </w:tc>
        <w:tc>
          <w:tcPr>
            <w:tcW w:w="216"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105,4</w:t>
            </w:r>
          </w:p>
        </w:tc>
      </w:tr>
      <w:tr w:rsidR="00A41AD7" w:rsidRPr="00576679" w:rsidTr="00E7317C">
        <w:trPr>
          <w:trHeight w:val="1125"/>
        </w:trPr>
        <w:tc>
          <w:tcPr>
            <w:tcW w:w="4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41AD7" w:rsidRPr="00576679" w:rsidRDefault="00A41AD7" w:rsidP="00E7317C">
            <w:pPr>
              <w:ind w:firstLineChars="16" w:firstLine="32"/>
              <w:rPr>
                <w:sz w:val="20"/>
                <w:szCs w:val="20"/>
              </w:rPr>
            </w:pPr>
            <w:r w:rsidRPr="00576679">
              <w:rPr>
                <w:sz w:val="20"/>
                <w:szCs w:val="20"/>
              </w:rPr>
              <w:t>свыше 200 л.с. до 250 л.с. (свыше 147,1 кВт до 183,9 кВт) включительно</w:t>
            </w:r>
          </w:p>
        </w:tc>
        <w:tc>
          <w:tcPr>
            <w:tcW w:w="326"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отчет 5-ТН,стр.1415</w:t>
            </w:r>
          </w:p>
        </w:tc>
        <w:tc>
          <w:tcPr>
            <w:tcW w:w="212"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4 348</w:t>
            </w:r>
          </w:p>
        </w:tc>
        <w:tc>
          <w:tcPr>
            <w:tcW w:w="236"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4 438</w:t>
            </w:r>
          </w:p>
        </w:tc>
        <w:tc>
          <w:tcPr>
            <w:tcW w:w="210"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102,1</w:t>
            </w:r>
          </w:p>
        </w:tc>
        <w:tc>
          <w:tcPr>
            <w:tcW w:w="225"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5 171</w:t>
            </w:r>
          </w:p>
        </w:tc>
        <w:tc>
          <w:tcPr>
            <w:tcW w:w="210"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116,5</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5 639</w:t>
            </w:r>
          </w:p>
        </w:tc>
        <w:tc>
          <w:tcPr>
            <w:tcW w:w="257"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109,1</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10 132</w:t>
            </w:r>
          </w:p>
        </w:tc>
        <w:tc>
          <w:tcPr>
            <w:tcW w:w="225"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179,7</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13 116</w:t>
            </w:r>
          </w:p>
        </w:tc>
        <w:tc>
          <w:tcPr>
            <w:tcW w:w="225"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129,5</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14 569</w:t>
            </w:r>
          </w:p>
        </w:tc>
        <w:tc>
          <w:tcPr>
            <w:tcW w:w="22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111,1</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16 192</w:t>
            </w:r>
          </w:p>
        </w:tc>
        <w:tc>
          <w:tcPr>
            <w:tcW w:w="225"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111,1</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17 984</w:t>
            </w:r>
          </w:p>
        </w:tc>
        <w:tc>
          <w:tcPr>
            <w:tcW w:w="226"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111,1</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19 977</w:t>
            </w:r>
          </w:p>
        </w:tc>
        <w:tc>
          <w:tcPr>
            <w:tcW w:w="216"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111,1</w:t>
            </w:r>
          </w:p>
        </w:tc>
      </w:tr>
      <w:tr w:rsidR="00A41AD7" w:rsidRPr="00576679" w:rsidTr="00E7317C">
        <w:trPr>
          <w:trHeight w:val="630"/>
        </w:trPr>
        <w:tc>
          <w:tcPr>
            <w:tcW w:w="4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41AD7" w:rsidRPr="00576679" w:rsidRDefault="00A41AD7" w:rsidP="00E7317C">
            <w:pPr>
              <w:ind w:firstLineChars="16" w:firstLine="32"/>
              <w:rPr>
                <w:sz w:val="20"/>
                <w:szCs w:val="20"/>
              </w:rPr>
            </w:pPr>
            <w:r w:rsidRPr="00576679">
              <w:rPr>
                <w:sz w:val="20"/>
                <w:szCs w:val="20"/>
              </w:rPr>
              <w:t>свыше 250 л.с. (свыше 183,9 кВт)</w:t>
            </w:r>
          </w:p>
        </w:tc>
        <w:tc>
          <w:tcPr>
            <w:tcW w:w="326"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отчет 5-ТН,стр.1416</w:t>
            </w:r>
          </w:p>
        </w:tc>
        <w:tc>
          <w:tcPr>
            <w:tcW w:w="212"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11 568</w:t>
            </w:r>
          </w:p>
        </w:tc>
        <w:tc>
          <w:tcPr>
            <w:tcW w:w="236"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12 286</w:t>
            </w:r>
          </w:p>
        </w:tc>
        <w:tc>
          <w:tcPr>
            <w:tcW w:w="210"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106,2</w:t>
            </w:r>
          </w:p>
        </w:tc>
        <w:tc>
          <w:tcPr>
            <w:tcW w:w="225"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12 763</w:t>
            </w:r>
          </w:p>
        </w:tc>
        <w:tc>
          <w:tcPr>
            <w:tcW w:w="210"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103,9</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12 718</w:t>
            </w:r>
          </w:p>
        </w:tc>
        <w:tc>
          <w:tcPr>
            <w:tcW w:w="257"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99,6</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21 468</w:t>
            </w:r>
          </w:p>
        </w:tc>
        <w:tc>
          <w:tcPr>
            <w:tcW w:w="225"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168,8</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27 580</w:t>
            </w:r>
          </w:p>
        </w:tc>
        <w:tc>
          <w:tcPr>
            <w:tcW w:w="225"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128,5</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28 587</w:t>
            </w:r>
          </w:p>
        </w:tc>
        <w:tc>
          <w:tcPr>
            <w:tcW w:w="22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103,7</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29 642</w:t>
            </w:r>
          </w:p>
        </w:tc>
        <w:tc>
          <w:tcPr>
            <w:tcW w:w="225"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103,7</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30 747</w:t>
            </w:r>
          </w:p>
        </w:tc>
        <w:tc>
          <w:tcPr>
            <w:tcW w:w="226"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103,7</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31 902</w:t>
            </w:r>
          </w:p>
        </w:tc>
        <w:tc>
          <w:tcPr>
            <w:tcW w:w="216"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103,8</w:t>
            </w:r>
          </w:p>
        </w:tc>
      </w:tr>
      <w:tr w:rsidR="00A41AD7" w:rsidRPr="00576679" w:rsidTr="00E7317C">
        <w:trPr>
          <w:trHeight w:val="750"/>
        </w:trPr>
        <w:tc>
          <w:tcPr>
            <w:tcW w:w="4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41AD7" w:rsidRPr="00576679" w:rsidRDefault="00A41AD7" w:rsidP="00E7317C">
            <w:pPr>
              <w:rPr>
                <w:i/>
                <w:iCs/>
                <w:sz w:val="20"/>
                <w:szCs w:val="20"/>
              </w:rPr>
            </w:pPr>
            <w:r w:rsidRPr="00576679">
              <w:rPr>
                <w:i/>
                <w:iCs/>
                <w:sz w:val="20"/>
                <w:szCs w:val="20"/>
              </w:rPr>
              <w:t>Мотоциклы и мотороллеры с мощностью двигателя:</w:t>
            </w:r>
          </w:p>
        </w:tc>
        <w:tc>
          <w:tcPr>
            <w:tcW w:w="326"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отчет 5-ТН,стр.1421</w:t>
            </w:r>
          </w:p>
        </w:tc>
        <w:tc>
          <w:tcPr>
            <w:tcW w:w="212"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27</w:t>
            </w:r>
          </w:p>
        </w:tc>
        <w:tc>
          <w:tcPr>
            <w:tcW w:w="236"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30</w:t>
            </w:r>
          </w:p>
        </w:tc>
        <w:tc>
          <w:tcPr>
            <w:tcW w:w="210"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111,1</w:t>
            </w:r>
          </w:p>
        </w:tc>
        <w:tc>
          <w:tcPr>
            <w:tcW w:w="225"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17</w:t>
            </w:r>
          </w:p>
        </w:tc>
        <w:tc>
          <w:tcPr>
            <w:tcW w:w="210"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56,7</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18</w:t>
            </w:r>
          </w:p>
        </w:tc>
        <w:tc>
          <w:tcPr>
            <w:tcW w:w="257"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105,9</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14</w:t>
            </w:r>
          </w:p>
        </w:tc>
        <w:tc>
          <w:tcPr>
            <w:tcW w:w="225"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77,8</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76</w:t>
            </w:r>
          </w:p>
        </w:tc>
        <w:tc>
          <w:tcPr>
            <w:tcW w:w="225"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542,9</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76</w:t>
            </w:r>
          </w:p>
        </w:tc>
        <w:tc>
          <w:tcPr>
            <w:tcW w:w="22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100,0</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76</w:t>
            </w:r>
          </w:p>
        </w:tc>
        <w:tc>
          <w:tcPr>
            <w:tcW w:w="225"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100,0</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76</w:t>
            </w:r>
          </w:p>
        </w:tc>
        <w:tc>
          <w:tcPr>
            <w:tcW w:w="226"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100,0</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76</w:t>
            </w:r>
          </w:p>
        </w:tc>
        <w:tc>
          <w:tcPr>
            <w:tcW w:w="216"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100,0</w:t>
            </w:r>
          </w:p>
        </w:tc>
      </w:tr>
      <w:tr w:rsidR="00A41AD7" w:rsidRPr="00576679" w:rsidTr="00E7317C">
        <w:trPr>
          <w:trHeight w:val="750"/>
        </w:trPr>
        <w:tc>
          <w:tcPr>
            <w:tcW w:w="4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41AD7" w:rsidRPr="00576679" w:rsidRDefault="00A41AD7" w:rsidP="00E7317C">
            <w:pPr>
              <w:ind w:firstLineChars="16" w:firstLine="32"/>
              <w:rPr>
                <w:sz w:val="20"/>
                <w:szCs w:val="20"/>
              </w:rPr>
            </w:pPr>
            <w:r w:rsidRPr="00576679">
              <w:rPr>
                <w:sz w:val="20"/>
                <w:szCs w:val="20"/>
              </w:rPr>
              <w:t>до 20 л.с. (до 14,7 кВт) включительно</w:t>
            </w:r>
          </w:p>
        </w:tc>
        <w:tc>
          <w:tcPr>
            <w:tcW w:w="326"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отчет 5-ТН,стр.1422</w:t>
            </w:r>
          </w:p>
        </w:tc>
        <w:tc>
          <w:tcPr>
            <w:tcW w:w="212"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1</w:t>
            </w:r>
          </w:p>
        </w:tc>
        <w:tc>
          <w:tcPr>
            <w:tcW w:w="236"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1</w:t>
            </w:r>
          </w:p>
        </w:tc>
        <w:tc>
          <w:tcPr>
            <w:tcW w:w="210"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100,0</w:t>
            </w:r>
          </w:p>
        </w:tc>
        <w:tc>
          <w:tcPr>
            <w:tcW w:w="225"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1</w:t>
            </w:r>
          </w:p>
        </w:tc>
        <w:tc>
          <w:tcPr>
            <w:tcW w:w="210"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100,0</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6</w:t>
            </w:r>
          </w:p>
        </w:tc>
        <w:tc>
          <w:tcPr>
            <w:tcW w:w="257"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600,0</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w:t>
            </w:r>
          </w:p>
        </w:tc>
        <w:tc>
          <w:tcPr>
            <w:tcW w:w="225"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16,7</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3</w:t>
            </w:r>
          </w:p>
        </w:tc>
        <w:tc>
          <w:tcPr>
            <w:tcW w:w="225"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300,0</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3</w:t>
            </w:r>
          </w:p>
        </w:tc>
        <w:tc>
          <w:tcPr>
            <w:tcW w:w="22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100,0</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3</w:t>
            </w:r>
          </w:p>
        </w:tc>
        <w:tc>
          <w:tcPr>
            <w:tcW w:w="225"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100,0</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3</w:t>
            </w:r>
          </w:p>
        </w:tc>
        <w:tc>
          <w:tcPr>
            <w:tcW w:w="226"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100,0</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3</w:t>
            </w:r>
          </w:p>
        </w:tc>
        <w:tc>
          <w:tcPr>
            <w:tcW w:w="216"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100,0</w:t>
            </w:r>
          </w:p>
        </w:tc>
      </w:tr>
      <w:tr w:rsidR="00A41AD7" w:rsidRPr="00576679" w:rsidTr="00E7317C">
        <w:trPr>
          <w:trHeight w:val="795"/>
        </w:trPr>
        <w:tc>
          <w:tcPr>
            <w:tcW w:w="4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41AD7" w:rsidRPr="00576679" w:rsidRDefault="00A41AD7" w:rsidP="00E7317C">
            <w:pPr>
              <w:ind w:firstLineChars="16" w:firstLine="32"/>
              <w:rPr>
                <w:sz w:val="20"/>
                <w:szCs w:val="20"/>
              </w:rPr>
            </w:pPr>
            <w:r w:rsidRPr="00576679">
              <w:rPr>
                <w:sz w:val="20"/>
                <w:szCs w:val="20"/>
              </w:rPr>
              <w:t>свыше 20 л.с. до 35 л.с. (свыше 14,7 кВт до 25,74 кВт) включительно</w:t>
            </w:r>
          </w:p>
        </w:tc>
        <w:tc>
          <w:tcPr>
            <w:tcW w:w="326"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отчет 5-ТН,стр.1423</w:t>
            </w:r>
          </w:p>
        </w:tc>
        <w:tc>
          <w:tcPr>
            <w:tcW w:w="212"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7</w:t>
            </w:r>
          </w:p>
        </w:tc>
        <w:tc>
          <w:tcPr>
            <w:tcW w:w="236"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7</w:t>
            </w:r>
          </w:p>
        </w:tc>
        <w:tc>
          <w:tcPr>
            <w:tcW w:w="210"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100,0</w:t>
            </w:r>
          </w:p>
        </w:tc>
        <w:tc>
          <w:tcPr>
            <w:tcW w:w="225"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3</w:t>
            </w:r>
          </w:p>
        </w:tc>
        <w:tc>
          <w:tcPr>
            <w:tcW w:w="210"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42,9</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0</w:t>
            </w:r>
          </w:p>
        </w:tc>
        <w:tc>
          <w:tcPr>
            <w:tcW w:w="257"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0,0</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0</w:t>
            </w:r>
          </w:p>
        </w:tc>
        <w:tc>
          <w:tcPr>
            <w:tcW w:w="225"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 xml:space="preserve"> </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6</w:t>
            </w:r>
          </w:p>
        </w:tc>
        <w:tc>
          <w:tcPr>
            <w:tcW w:w="225"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 xml:space="preserve"> </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6</w:t>
            </w:r>
          </w:p>
        </w:tc>
        <w:tc>
          <w:tcPr>
            <w:tcW w:w="22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100,0</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6</w:t>
            </w:r>
          </w:p>
        </w:tc>
        <w:tc>
          <w:tcPr>
            <w:tcW w:w="225"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100,0</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6</w:t>
            </w:r>
          </w:p>
        </w:tc>
        <w:tc>
          <w:tcPr>
            <w:tcW w:w="226"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100,0</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6</w:t>
            </w:r>
          </w:p>
        </w:tc>
        <w:tc>
          <w:tcPr>
            <w:tcW w:w="216"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100,0</w:t>
            </w:r>
          </w:p>
        </w:tc>
      </w:tr>
      <w:tr w:rsidR="00A41AD7" w:rsidRPr="00576679" w:rsidTr="00E7317C">
        <w:trPr>
          <w:trHeight w:val="660"/>
        </w:trPr>
        <w:tc>
          <w:tcPr>
            <w:tcW w:w="4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41AD7" w:rsidRPr="00576679" w:rsidRDefault="00A41AD7" w:rsidP="00E7317C">
            <w:pPr>
              <w:ind w:firstLineChars="16" w:firstLine="32"/>
              <w:rPr>
                <w:sz w:val="20"/>
                <w:szCs w:val="20"/>
              </w:rPr>
            </w:pPr>
            <w:r w:rsidRPr="00576679">
              <w:rPr>
                <w:sz w:val="20"/>
                <w:szCs w:val="20"/>
              </w:rPr>
              <w:t>свыше 35 л.с. (свыше 25,74 кВт)</w:t>
            </w:r>
          </w:p>
        </w:tc>
        <w:tc>
          <w:tcPr>
            <w:tcW w:w="326"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отчет 5-ТН,стр.1424</w:t>
            </w:r>
          </w:p>
        </w:tc>
        <w:tc>
          <w:tcPr>
            <w:tcW w:w="212"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19</w:t>
            </w:r>
          </w:p>
        </w:tc>
        <w:tc>
          <w:tcPr>
            <w:tcW w:w="236"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22</w:t>
            </w:r>
          </w:p>
        </w:tc>
        <w:tc>
          <w:tcPr>
            <w:tcW w:w="210"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115,8</w:t>
            </w:r>
          </w:p>
        </w:tc>
        <w:tc>
          <w:tcPr>
            <w:tcW w:w="225"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13</w:t>
            </w:r>
          </w:p>
        </w:tc>
        <w:tc>
          <w:tcPr>
            <w:tcW w:w="210"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59,1</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12</w:t>
            </w:r>
          </w:p>
        </w:tc>
        <w:tc>
          <w:tcPr>
            <w:tcW w:w="257"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92,3</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13</w:t>
            </w:r>
          </w:p>
        </w:tc>
        <w:tc>
          <w:tcPr>
            <w:tcW w:w="225"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108,3</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67</w:t>
            </w:r>
          </w:p>
        </w:tc>
        <w:tc>
          <w:tcPr>
            <w:tcW w:w="225"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515,4</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67</w:t>
            </w:r>
          </w:p>
        </w:tc>
        <w:tc>
          <w:tcPr>
            <w:tcW w:w="22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100,0</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67</w:t>
            </w:r>
          </w:p>
        </w:tc>
        <w:tc>
          <w:tcPr>
            <w:tcW w:w="225"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100,0</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67</w:t>
            </w:r>
          </w:p>
        </w:tc>
        <w:tc>
          <w:tcPr>
            <w:tcW w:w="226"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100,0</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67</w:t>
            </w:r>
          </w:p>
        </w:tc>
        <w:tc>
          <w:tcPr>
            <w:tcW w:w="216"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100,0</w:t>
            </w:r>
          </w:p>
        </w:tc>
      </w:tr>
      <w:tr w:rsidR="00A41AD7" w:rsidRPr="00576679" w:rsidTr="00E7317C">
        <w:trPr>
          <w:trHeight w:val="900"/>
        </w:trPr>
        <w:tc>
          <w:tcPr>
            <w:tcW w:w="4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41AD7" w:rsidRPr="00576679" w:rsidRDefault="00A41AD7" w:rsidP="00E7317C">
            <w:pPr>
              <w:rPr>
                <w:i/>
                <w:iCs/>
                <w:sz w:val="20"/>
                <w:szCs w:val="20"/>
              </w:rPr>
            </w:pPr>
            <w:r w:rsidRPr="00576679">
              <w:rPr>
                <w:i/>
                <w:iCs/>
                <w:sz w:val="20"/>
                <w:szCs w:val="20"/>
              </w:rPr>
              <w:t>Автобусы с мощностью двигателя:</w:t>
            </w:r>
          </w:p>
        </w:tc>
        <w:tc>
          <w:tcPr>
            <w:tcW w:w="326"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отчет 5-ТН,стр.1425</w:t>
            </w:r>
          </w:p>
        </w:tc>
        <w:tc>
          <w:tcPr>
            <w:tcW w:w="212"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14 225</w:t>
            </w:r>
          </w:p>
        </w:tc>
        <w:tc>
          <w:tcPr>
            <w:tcW w:w="236"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13 762</w:t>
            </w:r>
          </w:p>
        </w:tc>
        <w:tc>
          <w:tcPr>
            <w:tcW w:w="210"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96,7</w:t>
            </w:r>
          </w:p>
        </w:tc>
        <w:tc>
          <w:tcPr>
            <w:tcW w:w="225"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13 724</w:t>
            </w:r>
          </w:p>
        </w:tc>
        <w:tc>
          <w:tcPr>
            <w:tcW w:w="210"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99,7</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12 528</w:t>
            </w:r>
          </w:p>
        </w:tc>
        <w:tc>
          <w:tcPr>
            <w:tcW w:w="257"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91,3</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14 179</w:t>
            </w:r>
          </w:p>
        </w:tc>
        <w:tc>
          <w:tcPr>
            <w:tcW w:w="225"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113,2</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23 567</w:t>
            </w:r>
          </w:p>
        </w:tc>
        <w:tc>
          <w:tcPr>
            <w:tcW w:w="225"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166,2</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30 572</w:t>
            </w:r>
          </w:p>
        </w:tc>
        <w:tc>
          <w:tcPr>
            <w:tcW w:w="22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129,7</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40 805</w:t>
            </w:r>
          </w:p>
        </w:tc>
        <w:tc>
          <w:tcPr>
            <w:tcW w:w="225"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133,5</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55 795</w:t>
            </w:r>
          </w:p>
        </w:tc>
        <w:tc>
          <w:tcPr>
            <w:tcW w:w="226"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136,7</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77 790</w:t>
            </w:r>
          </w:p>
        </w:tc>
        <w:tc>
          <w:tcPr>
            <w:tcW w:w="216"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139,4</w:t>
            </w:r>
          </w:p>
        </w:tc>
      </w:tr>
      <w:tr w:rsidR="00A41AD7" w:rsidRPr="00576679" w:rsidTr="00E7317C">
        <w:trPr>
          <w:trHeight w:val="750"/>
        </w:trPr>
        <w:tc>
          <w:tcPr>
            <w:tcW w:w="4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41AD7" w:rsidRPr="00576679" w:rsidRDefault="00A41AD7" w:rsidP="00E7317C">
            <w:pPr>
              <w:ind w:firstLineChars="16" w:firstLine="32"/>
              <w:rPr>
                <w:sz w:val="20"/>
                <w:szCs w:val="20"/>
              </w:rPr>
            </w:pPr>
            <w:r w:rsidRPr="00576679">
              <w:rPr>
                <w:sz w:val="20"/>
                <w:szCs w:val="20"/>
              </w:rPr>
              <w:t>до 200 л.с. (до 147,1 кВт) включительно</w:t>
            </w:r>
          </w:p>
        </w:tc>
        <w:tc>
          <w:tcPr>
            <w:tcW w:w="326"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отчет 5-ТН,стр.1426</w:t>
            </w:r>
          </w:p>
        </w:tc>
        <w:tc>
          <w:tcPr>
            <w:tcW w:w="212"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7 981</w:t>
            </w:r>
          </w:p>
        </w:tc>
        <w:tc>
          <w:tcPr>
            <w:tcW w:w="236"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7 886</w:t>
            </w:r>
          </w:p>
        </w:tc>
        <w:tc>
          <w:tcPr>
            <w:tcW w:w="210"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98,8</w:t>
            </w:r>
          </w:p>
        </w:tc>
        <w:tc>
          <w:tcPr>
            <w:tcW w:w="225"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8 277</w:t>
            </w:r>
          </w:p>
        </w:tc>
        <w:tc>
          <w:tcPr>
            <w:tcW w:w="210"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105,0</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7 748</w:t>
            </w:r>
          </w:p>
        </w:tc>
        <w:tc>
          <w:tcPr>
            <w:tcW w:w="257"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93,6</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7 434</w:t>
            </w:r>
          </w:p>
        </w:tc>
        <w:tc>
          <w:tcPr>
            <w:tcW w:w="225"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95,9</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9 057</w:t>
            </w:r>
          </w:p>
        </w:tc>
        <w:tc>
          <w:tcPr>
            <w:tcW w:w="225"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121,8</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9 206</w:t>
            </w:r>
          </w:p>
        </w:tc>
        <w:tc>
          <w:tcPr>
            <w:tcW w:w="22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101,6</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9 356</w:t>
            </w:r>
          </w:p>
        </w:tc>
        <w:tc>
          <w:tcPr>
            <w:tcW w:w="225"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101,6</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9 505</w:t>
            </w:r>
          </w:p>
        </w:tc>
        <w:tc>
          <w:tcPr>
            <w:tcW w:w="226"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101,6</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9 655</w:t>
            </w:r>
          </w:p>
        </w:tc>
        <w:tc>
          <w:tcPr>
            <w:tcW w:w="216"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101,6</w:t>
            </w:r>
          </w:p>
        </w:tc>
      </w:tr>
      <w:tr w:rsidR="00A41AD7" w:rsidRPr="00576679" w:rsidTr="00E7317C">
        <w:trPr>
          <w:trHeight w:val="630"/>
        </w:trPr>
        <w:tc>
          <w:tcPr>
            <w:tcW w:w="4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41AD7" w:rsidRPr="00576679" w:rsidRDefault="00A41AD7" w:rsidP="00E7317C">
            <w:pPr>
              <w:ind w:firstLineChars="16" w:firstLine="32"/>
              <w:rPr>
                <w:sz w:val="20"/>
                <w:szCs w:val="20"/>
              </w:rPr>
            </w:pPr>
            <w:r w:rsidRPr="00576679">
              <w:rPr>
                <w:sz w:val="20"/>
                <w:szCs w:val="20"/>
              </w:rPr>
              <w:t>свыше 200 л.с. (свыше 147,1 кВт)</w:t>
            </w:r>
          </w:p>
        </w:tc>
        <w:tc>
          <w:tcPr>
            <w:tcW w:w="326"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отчет 5-ТН,стр.1427</w:t>
            </w:r>
          </w:p>
        </w:tc>
        <w:tc>
          <w:tcPr>
            <w:tcW w:w="212"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6 244</w:t>
            </w:r>
          </w:p>
        </w:tc>
        <w:tc>
          <w:tcPr>
            <w:tcW w:w="236"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5 876</w:t>
            </w:r>
          </w:p>
        </w:tc>
        <w:tc>
          <w:tcPr>
            <w:tcW w:w="210"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94,1</w:t>
            </w:r>
          </w:p>
        </w:tc>
        <w:tc>
          <w:tcPr>
            <w:tcW w:w="225"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5 447</w:t>
            </w:r>
          </w:p>
        </w:tc>
        <w:tc>
          <w:tcPr>
            <w:tcW w:w="210"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92,7</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4 780</w:t>
            </w:r>
          </w:p>
        </w:tc>
        <w:tc>
          <w:tcPr>
            <w:tcW w:w="257"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87,8</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6 745</w:t>
            </w:r>
          </w:p>
        </w:tc>
        <w:tc>
          <w:tcPr>
            <w:tcW w:w="225"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141,1</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14 510</w:t>
            </w:r>
          </w:p>
        </w:tc>
        <w:tc>
          <w:tcPr>
            <w:tcW w:w="225"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215,1</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21 366</w:t>
            </w:r>
          </w:p>
        </w:tc>
        <w:tc>
          <w:tcPr>
            <w:tcW w:w="22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147,3</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31 449</w:t>
            </w:r>
          </w:p>
        </w:tc>
        <w:tc>
          <w:tcPr>
            <w:tcW w:w="225"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147,2</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46 290</w:t>
            </w:r>
          </w:p>
        </w:tc>
        <w:tc>
          <w:tcPr>
            <w:tcW w:w="226"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147,2</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68 135</w:t>
            </w:r>
          </w:p>
        </w:tc>
        <w:tc>
          <w:tcPr>
            <w:tcW w:w="216"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147,2</w:t>
            </w:r>
          </w:p>
        </w:tc>
      </w:tr>
      <w:tr w:rsidR="00A41AD7" w:rsidRPr="00576679" w:rsidTr="00E7317C">
        <w:trPr>
          <w:trHeight w:val="750"/>
        </w:trPr>
        <w:tc>
          <w:tcPr>
            <w:tcW w:w="4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41AD7" w:rsidRPr="00576679" w:rsidRDefault="00A41AD7" w:rsidP="00E7317C">
            <w:pPr>
              <w:rPr>
                <w:i/>
                <w:iCs/>
                <w:sz w:val="20"/>
                <w:szCs w:val="20"/>
              </w:rPr>
            </w:pPr>
            <w:r w:rsidRPr="00576679">
              <w:rPr>
                <w:i/>
                <w:iCs/>
                <w:sz w:val="20"/>
                <w:szCs w:val="20"/>
              </w:rPr>
              <w:t>Автомобили грузовые  с мощностью двигателя:</w:t>
            </w:r>
          </w:p>
        </w:tc>
        <w:tc>
          <w:tcPr>
            <w:tcW w:w="326"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отчет 5-ТН,стр.1428</w:t>
            </w:r>
          </w:p>
        </w:tc>
        <w:tc>
          <w:tcPr>
            <w:tcW w:w="212"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136 280</w:t>
            </w:r>
          </w:p>
        </w:tc>
        <w:tc>
          <w:tcPr>
            <w:tcW w:w="236"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105 768</w:t>
            </w:r>
          </w:p>
        </w:tc>
        <w:tc>
          <w:tcPr>
            <w:tcW w:w="210"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77,6</w:t>
            </w:r>
          </w:p>
        </w:tc>
        <w:tc>
          <w:tcPr>
            <w:tcW w:w="225"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105 455</w:t>
            </w:r>
          </w:p>
        </w:tc>
        <w:tc>
          <w:tcPr>
            <w:tcW w:w="210"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99,7</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110 095</w:t>
            </w:r>
          </w:p>
        </w:tc>
        <w:tc>
          <w:tcPr>
            <w:tcW w:w="257"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104,4</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110 703</w:t>
            </w:r>
          </w:p>
        </w:tc>
        <w:tc>
          <w:tcPr>
            <w:tcW w:w="225"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100,6</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145 983</w:t>
            </w:r>
          </w:p>
        </w:tc>
        <w:tc>
          <w:tcPr>
            <w:tcW w:w="225"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131,9</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151 452</w:t>
            </w:r>
          </w:p>
        </w:tc>
        <w:tc>
          <w:tcPr>
            <w:tcW w:w="22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103,7</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157 461</w:t>
            </w:r>
          </w:p>
        </w:tc>
        <w:tc>
          <w:tcPr>
            <w:tcW w:w="225"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104,0</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164 004</w:t>
            </w:r>
          </w:p>
        </w:tc>
        <w:tc>
          <w:tcPr>
            <w:tcW w:w="226"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104,2</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171 148</w:t>
            </w:r>
          </w:p>
        </w:tc>
        <w:tc>
          <w:tcPr>
            <w:tcW w:w="216"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104,4</w:t>
            </w:r>
          </w:p>
        </w:tc>
      </w:tr>
      <w:tr w:rsidR="00A41AD7" w:rsidRPr="00576679" w:rsidTr="00E7317C">
        <w:trPr>
          <w:trHeight w:val="750"/>
        </w:trPr>
        <w:tc>
          <w:tcPr>
            <w:tcW w:w="4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41AD7" w:rsidRPr="00576679" w:rsidRDefault="00A41AD7" w:rsidP="00E7317C">
            <w:pPr>
              <w:rPr>
                <w:sz w:val="20"/>
                <w:szCs w:val="20"/>
              </w:rPr>
            </w:pPr>
            <w:r w:rsidRPr="00576679">
              <w:rPr>
                <w:sz w:val="20"/>
                <w:szCs w:val="20"/>
              </w:rPr>
              <w:t>до 100 л.с. (до 73,55 кВт) включительно</w:t>
            </w:r>
          </w:p>
        </w:tc>
        <w:tc>
          <w:tcPr>
            <w:tcW w:w="326"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отчет 5-ТН,стр.1429</w:t>
            </w:r>
          </w:p>
        </w:tc>
        <w:tc>
          <w:tcPr>
            <w:tcW w:w="212"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4 013</w:t>
            </w:r>
          </w:p>
        </w:tc>
        <w:tc>
          <w:tcPr>
            <w:tcW w:w="236"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3 461</w:t>
            </w:r>
          </w:p>
        </w:tc>
        <w:tc>
          <w:tcPr>
            <w:tcW w:w="210"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86,2</w:t>
            </w:r>
          </w:p>
        </w:tc>
        <w:tc>
          <w:tcPr>
            <w:tcW w:w="225"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3 210</w:t>
            </w:r>
          </w:p>
        </w:tc>
        <w:tc>
          <w:tcPr>
            <w:tcW w:w="210"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92,7</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4 400</w:t>
            </w:r>
          </w:p>
        </w:tc>
        <w:tc>
          <w:tcPr>
            <w:tcW w:w="257"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137,1</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2 062</w:t>
            </w:r>
          </w:p>
        </w:tc>
        <w:tc>
          <w:tcPr>
            <w:tcW w:w="225"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46,9</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2 756</w:t>
            </w:r>
          </w:p>
        </w:tc>
        <w:tc>
          <w:tcPr>
            <w:tcW w:w="225"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133,7</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2 607</w:t>
            </w:r>
          </w:p>
        </w:tc>
        <w:tc>
          <w:tcPr>
            <w:tcW w:w="22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94,6</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2 472</w:t>
            </w:r>
          </w:p>
        </w:tc>
        <w:tc>
          <w:tcPr>
            <w:tcW w:w="225"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94,8</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2 342</w:t>
            </w:r>
          </w:p>
        </w:tc>
        <w:tc>
          <w:tcPr>
            <w:tcW w:w="226"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94,7</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2 221</w:t>
            </w:r>
          </w:p>
        </w:tc>
        <w:tc>
          <w:tcPr>
            <w:tcW w:w="216"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94,8</w:t>
            </w:r>
          </w:p>
        </w:tc>
      </w:tr>
      <w:tr w:rsidR="00A41AD7" w:rsidRPr="00576679" w:rsidTr="00E7317C">
        <w:trPr>
          <w:trHeight w:val="1125"/>
        </w:trPr>
        <w:tc>
          <w:tcPr>
            <w:tcW w:w="4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41AD7" w:rsidRPr="00576679" w:rsidRDefault="00A41AD7" w:rsidP="00E7317C">
            <w:pPr>
              <w:rPr>
                <w:sz w:val="20"/>
                <w:szCs w:val="20"/>
              </w:rPr>
            </w:pPr>
            <w:r w:rsidRPr="00576679">
              <w:rPr>
                <w:sz w:val="20"/>
                <w:szCs w:val="20"/>
              </w:rPr>
              <w:t>свыше 100 л.с. до 150 л.с. (свыше 73,55 кВт до 110,33 кВт) включительно</w:t>
            </w:r>
          </w:p>
        </w:tc>
        <w:tc>
          <w:tcPr>
            <w:tcW w:w="326"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отчет 5-ТН,стр.1430</w:t>
            </w:r>
          </w:p>
        </w:tc>
        <w:tc>
          <w:tcPr>
            <w:tcW w:w="212"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32 801</w:t>
            </w:r>
          </w:p>
        </w:tc>
        <w:tc>
          <w:tcPr>
            <w:tcW w:w="236"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30 819</w:t>
            </w:r>
          </w:p>
        </w:tc>
        <w:tc>
          <w:tcPr>
            <w:tcW w:w="210"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94,0</w:t>
            </w:r>
          </w:p>
        </w:tc>
        <w:tc>
          <w:tcPr>
            <w:tcW w:w="225"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31 369</w:t>
            </w:r>
          </w:p>
        </w:tc>
        <w:tc>
          <w:tcPr>
            <w:tcW w:w="210"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101,8</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37 342</w:t>
            </w:r>
          </w:p>
        </w:tc>
        <w:tc>
          <w:tcPr>
            <w:tcW w:w="257"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119,0</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23 750</w:t>
            </w:r>
          </w:p>
        </w:tc>
        <w:tc>
          <w:tcPr>
            <w:tcW w:w="225"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63,6</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31 787</w:t>
            </w:r>
          </w:p>
        </w:tc>
        <w:tc>
          <w:tcPr>
            <w:tcW w:w="225"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133,8</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31 992</w:t>
            </w:r>
          </w:p>
        </w:tc>
        <w:tc>
          <w:tcPr>
            <w:tcW w:w="22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100,6</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32 216</w:t>
            </w:r>
          </w:p>
        </w:tc>
        <w:tc>
          <w:tcPr>
            <w:tcW w:w="225"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100,7</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32 440</w:t>
            </w:r>
          </w:p>
        </w:tc>
        <w:tc>
          <w:tcPr>
            <w:tcW w:w="226"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100,7</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32 668</w:t>
            </w:r>
          </w:p>
        </w:tc>
        <w:tc>
          <w:tcPr>
            <w:tcW w:w="216"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100,7</w:t>
            </w:r>
          </w:p>
        </w:tc>
      </w:tr>
      <w:tr w:rsidR="00A41AD7" w:rsidRPr="00576679" w:rsidTr="00E7317C">
        <w:trPr>
          <w:trHeight w:val="1125"/>
        </w:trPr>
        <w:tc>
          <w:tcPr>
            <w:tcW w:w="4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41AD7" w:rsidRPr="00576679" w:rsidRDefault="00A41AD7" w:rsidP="00E7317C">
            <w:pPr>
              <w:rPr>
                <w:sz w:val="20"/>
                <w:szCs w:val="20"/>
              </w:rPr>
            </w:pPr>
            <w:r w:rsidRPr="00576679">
              <w:rPr>
                <w:sz w:val="20"/>
                <w:szCs w:val="20"/>
              </w:rPr>
              <w:lastRenderedPageBreak/>
              <w:t>свыше 150 л.с. до 200 л.с. (свыше 110,33 кВт до 147,1 кВт) включительно</w:t>
            </w:r>
          </w:p>
        </w:tc>
        <w:tc>
          <w:tcPr>
            <w:tcW w:w="326"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отчет 5-ТН,стр.1431</w:t>
            </w:r>
          </w:p>
        </w:tc>
        <w:tc>
          <w:tcPr>
            <w:tcW w:w="212"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6 444</w:t>
            </w:r>
          </w:p>
        </w:tc>
        <w:tc>
          <w:tcPr>
            <w:tcW w:w="236"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6 003</w:t>
            </w:r>
          </w:p>
        </w:tc>
        <w:tc>
          <w:tcPr>
            <w:tcW w:w="210"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93,2</w:t>
            </w:r>
          </w:p>
        </w:tc>
        <w:tc>
          <w:tcPr>
            <w:tcW w:w="225"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5 871</w:t>
            </w:r>
          </w:p>
        </w:tc>
        <w:tc>
          <w:tcPr>
            <w:tcW w:w="210"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97,8</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5 441</w:t>
            </w:r>
          </w:p>
        </w:tc>
        <w:tc>
          <w:tcPr>
            <w:tcW w:w="257"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92,7</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5 184</w:t>
            </w:r>
          </w:p>
        </w:tc>
        <w:tc>
          <w:tcPr>
            <w:tcW w:w="225"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95,3</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7 046</w:t>
            </w:r>
          </w:p>
        </w:tc>
        <w:tc>
          <w:tcPr>
            <w:tcW w:w="225"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135,9</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7 324</w:t>
            </w:r>
          </w:p>
        </w:tc>
        <w:tc>
          <w:tcPr>
            <w:tcW w:w="22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103,9</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7 610</w:t>
            </w:r>
          </w:p>
        </w:tc>
        <w:tc>
          <w:tcPr>
            <w:tcW w:w="225"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103,9</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7 904</w:t>
            </w:r>
          </w:p>
        </w:tc>
        <w:tc>
          <w:tcPr>
            <w:tcW w:w="226"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103,9</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8 212</w:t>
            </w:r>
          </w:p>
        </w:tc>
        <w:tc>
          <w:tcPr>
            <w:tcW w:w="216"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103,9</w:t>
            </w:r>
          </w:p>
        </w:tc>
      </w:tr>
      <w:tr w:rsidR="00A41AD7" w:rsidRPr="00576679" w:rsidTr="00E7317C">
        <w:trPr>
          <w:trHeight w:val="1125"/>
        </w:trPr>
        <w:tc>
          <w:tcPr>
            <w:tcW w:w="4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41AD7" w:rsidRPr="00576679" w:rsidRDefault="00A41AD7" w:rsidP="00E7317C">
            <w:pPr>
              <w:rPr>
                <w:sz w:val="20"/>
                <w:szCs w:val="20"/>
              </w:rPr>
            </w:pPr>
            <w:r w:rsidRPr="00576679">
              <w:rPr>
                <w:sz w:val="20"/>
                <w:szCs w:val="20"/>
              </w:rPr>
              <w:t>свыше 200 л.с. до 250 л.с. (свыше 147,1 кВт до 183,9 кВт) включительно</w:t>
            </w:r>
          </w:p>
        </w:tc>
        <w:tc>
          <w:tcPr>
            <w:tcW w:w="326"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отчет 5-ТН,стр.1432</w:t>
            </w:r>
          </w:p>
        </w:tc>
        <w:tc>
          <w:tcPr>
            <w:tcW w:w="212"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28 218</w:t>
            </w:r>
          </w:p>
        </w:tc>
        <w:tc>
          <w:tcPr>
            <w:tcW w:w="236"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23 950</w:t>
            </w:r>
          </w:p>
        </w:tc>
        <w:tc>
          <w:tcPr>
            <w:tcW w:w="210"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84,9</w:t>
            </w:r>
          </w:p>
        </w:tc>
        <w:tc>
          <w:tcPr>
            <w:tcW w:w="225"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22 515</w:t>
            </w:r>
          </w:p>
        </w:tc>
        <w:tc>
          <w:tcPr>
            <w:tcW w:w="210"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94,0</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19 468</w:t>
            </w:r>
          </w:p>
        </w:tc>
        <w:tc>
          <w:tcPr>
            <w:tcW w:w="257"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86,5</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16 961</w:t>
            </w:r>
          </w:p>
        </w:tc>
        <w:tc>
          <w:tcPr>
            <w:tcW w:w="225"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87,1</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21 692</w:t>
            </w:r>
          </w:p>
        </w:tc>
        <w:tc>
          <w:tcPr>
            <w:tcW w:w="225"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127,9</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20 685</w:t>
            </w:r>
          </w:p>
        </w:tc>
        <w:tc>
          <w:tcPr>
            <w:tcW w:w="22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95,4</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19 739</w:t>
            </w:r>
          </w:p>
        </w:tc>
        <w:tc>
          <w:tcPr>
            <w:tcW w:w="225"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95,4</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18 834</w:t>
            </w:r>
          </w:p>
        </w:tc>
        <w:tc>
          <w:tcPr>
            <w:tcW w:w="226"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95,4</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17 971</w:t>
            </w:r>
          </w:p>
        </w:tc>
        <w:tc>
          <w:tcPr>
            <w:tcW w:w="216"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95,4</w:t>
            </w:r>
          </w:p>
        </w:tc>
      </w:tr>
      <w:tr w:rsidR="00A41AD7" w:rsidRPr="00576679" w:rsidTr="00E7317C">
        <w:trPr>
          <w:trHeight w:val="630"/>
        </w:trPr>
        <w:tc>
          <w:tcPr>
            <w:tcW w:w="4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41AD7" w:rsidRPr="00576679" w:rsidRDefault="00A41AD7" w:rsidP="00E7317C">
            <w:pPr>
              <w:rPr>
                <w:sz w:val="20"/>
                <w:szCs w:val="20"/>
              </w:rPr>
            </w:pPr>
            <w:r w:rsidRPr="00576679">
              <w:rPr>
                <w:sz w:val="20"/>
                <w:szCs w:val="20"/>
              </w:rPr>
              <w:t>свыше 250 л.с. (свыше 183,9 кВт)</w:t>
            </w:r>
          </w:p>
        </w:tc>
        <w:tc>
          <w:tcPr>
            <w:tcW w:w="326"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отчет 5-ТН,стр.1433</w:t>
            </w:r>
          </w:p>
        </w:tc>
        <w:tc>
          <w:tcPr>
            <w:tcW w:w="212"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64 804</w:t>
            </w:r>
          </w:p>
        </w:tc>
        <w:tc>
          <w:tcPr>
            <w:tcW w:w="236"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41 535</w:t>
            </w:r>
          </w:p>
        </w:tc>
        <w:tc>
          <w:tcPr>
            <w:tcW w:w="210"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64,1</w:t>
            </w:r>
          </w:p>
        </w:tc>
        <w:tc>
          <w:tcPr>
            <w:tcW w:w="225"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42 490</w:t>
            </w:r>
          </w:p>
        </w:tc>
        <w:tc>
          <w:tcPr>
            <w:tcW w:w="210"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102,3</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43 444</w:t>
            </w:r>
          </w:p>
        </w:tc>
        <w:tc>
          <w:tcPr>
            <w:tcW w:w="257"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102,2</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62 746</w:t>
            </w:r>
          </w:p>
        </w:tc>
        <w:tc>
          <w:tcPr>
            <w:tcW w:w="225"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144,4</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82 702</w:t>
            </w:r>
          </w:p>
        </w:tc>
        <w:tc>
          <w:tcPr>
            <w:tcW w:w="225"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131,8</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88 844</w:t>
            </w:r>
          </w:p>
        </w:tc>
        <w:tc>
          <w:tcPr>
            <w:tcW w:w="22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107,4</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95 424</w:t>
            </w:r>
          </w:p>
        </w:tc>
        <w:tc>
          <w:tcPr>
            <w:tcW w:w="225"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107,4</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102 484</w:t>
            </w:r>
          </w:p>
        </w:tc>
        <w:tc>
          <w:tcPr>
            <w:tcW w:w="226"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107,4</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110 076</w:t>
            </w:r>
          </w:p>
        </w:tc>
        <w:tc>
          <w:tcPr>
            <w:tcW w:w="216"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107,4</w:t>
            </w:r>
          </w:p>
        </w:tc>
      </w:tr>
      <w:tr w:rsidR="00A41AD7" w:rsidRPr="00576679" w:rsidTr="00E7317C">
        <w:trPr>
          <w:trHeight w:val="1125"/>
        </w:trPr>
        <w:tc>
          <w:tcPr>
            <w:tcW w:w="4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41AD7" w:rsidRPr="00576679" w:rsidRDefault="00A41AD7" w:rsidP="00E7317C">
            <w:pPr>
              <w:rPr>
                <w:i/>
                <w:iCs/>
                <w:sz w:val="20"/>
                <w:szCs w:val="20"/>
              </w:rPr>
            </w:pPr>
            <w:r w:rsidRPr="00576679">
              <w:rPr>
                <w:i/>
                <w:iCs/>
                <w:sz w:val="20"/>
                <w:szCs w:val="20"/>
              </w:rPr>
              <w:t>Другие самоходные транспортные средства, машины и механизмы на пневматическом и гусеничном ходу</w:t>
            </w:r>
          </w:p>
        </w:tc>
        <w:tc>
          <w:tcPr>
            <w:tcW w:w="326"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отчет 5-ТН,стр.1434</w:t>
            </w:r>
          </w:p>
        </w:tc>
        <w:tc>
          <w:tcPr>
            <w:tcW w:w="212"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17 437</w:t>
            </w:r>
          </w:p>
        </w:tc>
        <w:tc>
          <w:tcPr>
            <w:tcW w:w="236"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16 521</w:t>
            </w:r>
          </w:p>
        </w:tc>
        <w:tc>
          <w:tcPr>
            <w:tcW w:w="210"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94,7</w:t>
            </w:r>
          </w:p>
        </w:tc>
        <w:tc>
          <w:tcPr>
            <w:tcW w:w="225"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15 747</w:t>
            </w:r>
          </w:p>
        </w:tc>
        <w:tc>
          <w:tcPr>
            <w:tcW w:w="210"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95,3</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16 962</w:t>
            </w:r>
          </w:p>
        </w:tc>
        <w:tc>
          <w:tcPr>
            <w:tcW w:w="257"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107,7</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11 117</w:t>
            </w:r>
          </w:p>
        </w:tc>
        <w:tc>
          <w:tcPr>
            <w:tcW w:w="225"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65,5</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18 789</w:t>
            </w:r>
          </w:p>
        </w:tc>
        <w:tc>
          <w:tcPr>
            <w:tcW w:w="225"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169,0</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18 779</w:t>
            </w:r>
          </w:p>
        </w:tc>
        <w:tc>
          <w:tcPr>
            <w:tcW w:w="22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99,9</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18 779</w:t>
            </w:r>
          </w:p>
        </w:tc>
        <w:tc>
          <w:tcPr>
            <w:tcW w:w="225"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100,0</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18 779</w:t>
            </w:r>
          </w:p>
        </w:tc>
        <w:tc>
          <w:tcPr>
            <w:tcW w:w="226"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100,0</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18 779</w:t>
            </w:r>
          </w:p>
        </w:tc>
        <w:tc>
          <w:tcPr>
            <w:tcW w:w="216"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100,0</w:t>
            </w:r>
          </w:p>
        </w:tc>
      </w:tr>
      <w:tr w:rsidR="00A41AD7" w:rsidRPr="00576679" w:rsidTr="00E7317C">
        <w:trPr>
          <w:trHeight w:val="750"/>
        </w:trPr>
        <w:tc>
          <w:tcPr>
            <w:tcW w:w="4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41AD7" w:rsidRPr="00576679" w:rsidRDefault="00A41AD7" w:rsidP="00E7317C">
            <w:pPr>
              <w:rPr>
                <w:i/>
                <w:iCs/>
                <w:sz w:val="20"/>
                <w:szCs w:val="20"/>
              </w:rPr>
            </w:pPr>
            <w:r w:rsidRPr="00576679">
              <w:rPr>
                <w:i/>
                <w:iCs/>
                <w:sz w:val="20"/>
                <w:szCs w:val="20"/>
              </w:rPr>
              <w:t xml:space="preserve">Снегоходы, мотосани с мощностью двигателя: </w:t>
            </w:r>
          </w:p>
        </w:tc>
        <w:tc>
          <w:tcPr>
            <w:tcW w:w="326"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отчет 5-ТН,стр.1435</w:t>
            </w:r>
          </w:p>
        </w:tc>
        <w:tc>
          <w:tcPr>
            <w:tcW w:w="212"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876</w:t>
            </w:r>
          </w:p>
        </w:tc>
        <w:tc>
          <w:tcPr>
            <w:tcW w:w="236"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822</w:t>
            </w:r>
          </w:p>
        </w:tc>
        <w:tc>
          <w:tcPr>
            <w:tcW w:w="210"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93,8</w:t>
            </w:r>
          </w:p>
        </w:tc>
        <w:tc>
          <w:tcPr>
            <w:tcW w:w="225"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834</w:t>
            </w:r>
          </w:p>
        </w:tc>
        <w:tc>
          <w:tcPr>
            <w:tcW w:w="210"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101,5</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741</w:t>
            </w:r>
          </w:p>
        </w:tc>
        <w:tc>
          <w:tcPr>
            <w:tcW w:w="257"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88,8</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892</w:t>
            </w:r>
          </w:p>
        </w:tc>
        <w:tc>
          <w:tcPr>
            <w:tcW w:w="225"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120,4</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887</w:t>
            </w:r>
          </w:p>
        </w:tc>
        <w:tc>
          <w:tcPr>
            <w:tcW w:w="225"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99,4</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886</w:t>
            </w:r>
          </w:p>
        </w:tc>
        <w:tc>
          <w:tcPr>
            <w:tcW w:w="22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99,9</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886</w:t>
            </w:r>
          </w:p>
        </w:tc>
        <w:tc>
          <w:tcPr>
            <w:tcW w:w="225"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100,0</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886</w:t>
            </w:r>
          </w:p>
        </w:tc>
        <w:tc>
          <w:tcPr>
            <w:tcW w:w="226"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100,0</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888</w:t>
            </w:r>
          </w:p>
        </w:tc>
        <w:tc>
          <w:tcPr>
            <w:tcW w:w="216"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100,2</w:t>
            </w:r>
          </w:p>
        </w:tc>
      </w:tr>
      <w:tr w:rsidR="00A41AD7" w:rsidRPr="00576679" w:rsidTr="00E7317C">
        <w:trPr>
          <w:trHeight w:val="720"/>
        </w:trPr>
        <w:tc>
          <w:tcPr>
            <w:tcW w:w="4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41AD7" w:rsidRPr="00576679" w:rsidRDefault="00A41AD7" w:rsidP="00E7317C">
            <w:pPr>
              <w:rPr>
                <w:sz w:val="20"/>
                <w:szCs w:val="20"/>
              </w:rPr>
            </w:pPr>
            <w:r w:rsidRPr="00576679">
              <w:rPr>
                <w:sz w:val="20"/>
                <w:szCs w:val="20"/>
              </w:rPr>
              <w:t>до 50 л.с. (до 36,77 кВт) включительно</w:t>
            </w:r>
          </w:p>
        </w:tc>
        <w:tc>
          <w:tcPr>
            <w:tcW w:w="326"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отчет 5-ТН,стр.1436</w:t>
            </w:r>
          </w:p>
        </w:tc>
        <w:tc>
          <w:tcPr>
            <w:tcW w:w="212"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370</w:t>
            </w:r>
          </w:p>
        </w:tc>
        <w:tc>
          <w:tcPr>
            <w:tcW w:w="236"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370</w:t>
            </w:r>
          </w:p>
        </w:tc>
        <w:tc>
          <w:tcPr>
            <w:tcW w:w="210"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100,0</w:t>
            </w:r>
          </w:p>
        </w:tc>
        <w:tc>
          <w:tcPr>
            <w:tcW w:w="225"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363</w:t>
            </w:r>
          </w:p>
        </w:tc>
        <w:tc>
          <w:tcPr>
            <w:tcW w:w="210"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98,1</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317</w:t>
            </w:r>
          </w:p>
        </w:tc>
        <w:tc>
          <w:tcPr>
            <w:tcW w:w="257"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87,3</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376</w:t>
            </w:r>
          </w:p>
        </w:tc>
        <w:tc>
          <w:tcPr>
            <w:tcW w:w="225"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118,6</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330</w:t>
            </w:r>
          </w:p>
        </w:tc>
        <w:tc>
          <w:tcPr>
            <w:tcW w:w="225"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87,8</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321</w:t>
            </w:r>
          </w:p>
        </w:tc>
        <w:tc>
          <w:tcPr>
            <w:tcW w:w="22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97,3</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312</w:t>
            </w:r>
          </w:p>
        </w:tc>
        <w:tc>
          <w:tcPr>
            <w:tcW w:w="225"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97,2</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304</w:t>
            </w:r>
          </w:p>
        </w:tc>
        <w:tc>
          <w:tcPr>
            <w:tcW w:w="226"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97,4</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297</w:t>
            </w:r>
          </w:p>
        </w:tc>
        <w:tc>
          <w:tcPr>
            <w:tcW w:w="216"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97,7</w:t>
            </w:r>
          </w:p>
        </w:tc>
      </w:tr>
      <w:tr w:rsidR="00A41AD7" w:rsidRPr="00576679" w:rsidTr="00E7317C">
        <w:trPr>
          <w:trHeight w:val="630"/>
        </w:trPr>
        <w:tc>
          <w:tcPr>
            <w:tcW w:w="4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41AD7" w:rsidRPr="00576679" w:rsidRDefault="00A41AD7" w:rsidP="00E7317C">
            <w:pPr>
              <w:rPr>
                <w:sz w:val="20"/>
                <w:szCs w:val="20"/>
              </w:rPr>
            </w:pPr>
            <w:r w:rsidRPr="00576679">
              <w:rPr>
                <w:sz w:val="20"/>
                <w:szCs w:val="20"/>
              </w:rPr>
              <w:t>свыше 50 л.с. (свыше 36,77 кВт)</w:t>
            </w:r>
          </w:p>
        </w:tc>
        <w:tc>
          <w:tcPr>
            <w:tcW w:w="326"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отчет 5-ТН,стр.1437</w:t>
            </w:r>
          </w:p>
        </w:tc>
        <w:tc>
          <w:tcPr>
            <w:tcW w:w="212"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506</w:t>
            </w:r>
          </w:p>
        </w:tc>
        <w:tc>
          <w:tcPr>
            <w:tcW w:w="236"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452</w:t>
            </w:r>
          </w:p>
        </w:tc>
        <w:tc>
          <w:tcPr>
            <w:tcW w:w="210"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89,3</w:t>
            </w:r>
          </w:p>
        </w:tc>
        <w:tc>
          <w:tcPr>
            <w:tcW w:w="225"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471</w:t>
            </w:r>
          </w:p>
        </w:tc>
        <w:tc>
          <w:tcPr>
            <w:tcW w:w="210"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104,2</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424</w:t>
            </w:r>
          </w:p>
        </w:tc>
        <w:tc>
          <w:tcPr>
            <w:tcW w:w="257"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90,0</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516</w:t>
            </w:r>
          </w:p>
        </w:tc>
        <w:tc>
          <w:tcPr>
            <w:tcW w:w="225"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121,7</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557</w:t>
            </w:r>
          </w:p>
        </w:tc>
        <w:tc>
          <w:tcPr>
            <w:tcW w:w="225"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107,9</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565</w:t>
            </w:r>
          </w:p>
        </w:tc>
        <w:tc>
          <w:tcPr>
            <w:tcW w:w="22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101,4</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574</w:t>
            </w:r>
          </w:p>
        </w:tc>
        <w:tc>
          <w:tcPr>
            <w:tcW w:w="225"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101,6</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582</w:t>
            </w:r>
          </w:p>
        </w:tc>
        <w:tc>
          <w:tcPr>
            <w:tcW w:w="226"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101,4</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591</w:t>
            </w:r>
          </w:p>
        </w:tc>
        <w:tc>
          <w:tcPr>
            <w:tcW w:w="216"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101,5</w:t>
            </w:r>
          </w:p>
        </w:tc>
      </w:tr>
      <w:tr w:rsidR="00A41AD7" w:rsidRPr="00576679" w:rsidTr="00E7317C">
        <w:trPr>
          <w:trHeight w:val="1125"/>
        </w:trPr>
        <w:tc>
          <w:tcPr>
            <w:tcW w:w="4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41AD7" w:rsidRPr="00576679" w:rsidRDefault="00A41AD7" w:rsidP="00E7317C">
            <w:pPr>
              <w:rPr>
                <w:i/>
                <w:iCs/>
                <w:sz w:val="20"/>
                <w:szCs w:val="20"/>
              </w:rPr>
            </w:pPr>
            <w:r w:rsidRPr="00576679">
              <w:rPr>
                <w:i/>
                <w:iCs/>
                <w:sz w:val="20"/>
                <w:szCs w:val="20"/>
              </w:rPr>
              <w:t xml:space="preserve">Катера, моторные лодки и другие водные транспортные средства с мощностью двигателя: </w:t>
            </w:r>
          </w:p>
        </w:tc>
        <w:tc>
          <w:tcPr>
            <w:tcW w:w="326"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отчет 5-ТН,стр.1451</w:t>
            </w:r>
          </w:p>
        </w:tc>
        <w:tc>
          <w:tcPr>
            <w:tcW w:w="212"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2 001</w:t>
            </w:r>
          </w:p>
        </w:tc>
        <w:tc>
          <w:tcPr>
            <w:tcW w:w="236"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1 632</w:t>
            </w:r>
          </w:p>
        </w:tc>
        <w:tc>
          <w:tcPr>
            <w:tcW w:w="210"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81,6</w:t>
            </w:r>
          </w:p>
        </w:tc>
        <w:tc>
          <w:tcPr>
            <w:tcW w:w="225"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2 159</w:t>
            </w:r>
          </w:p>
        </w:tc>
        <w:tc>
          <w:tcPr>
            <w:tcW w:w="210"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132,3</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1 739</w:t>
            </w:r>
          </w:p>
        </w:tc>
        <w:tc>
          <w:tcPr>
            <w:tcW w:w="257"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80,5</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1 529</w:t>
            </w:r>
          </w:p>
        </w:tc>
        <w:tc>
          <w:tcPr>
            <w:tcW w:w="225"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87,9</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1 364</w:t>
            </w:r>
          </w:p>
        </w:tc>
        <w:tc>
          <w:tcPr>
            <w:tcW w:w="225"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89,2</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1 277</w:t>
            </w:r>
          </w:p>
        </w:tc>
        <w:tc>
          <w:tcPr>
            <w:tcW w:w="22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93,6</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1 192</w:t>
            </w:r>
          </w:p>
        </w:tc>
        <w:tc>
          <w:tcPr>
            <w:tcW w:w="225"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93,3</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1 106</w:t>
            </w:r>
          </w:p>
        </w:tc>
        <w:tc>
          <w:tcPr>
            <w:tcW w:w="226"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92,8</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1 021</w:t>
            </w:r>
          </w:p>
        </w:tc>
        <w:tc>
          <w:tcPr>
            <w:tcW w:w="216"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92,3</w:t>
            </w:r>
          </w:p>
        </w:tc>
      </w:tr>
      <w:tr w:rsidR="00A41AD7" w:rsidRPr="00576679" w:rsidTr="00E7317C">
        <w:trPr>
          <w:trHeight w:val="750"/>
        </w:trPr>
        <w:tc>
          <w:tcPr>
            <w:tcW w:w="4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41AD7" w:rsidRPr="00576679" w:rsidRDefault="00A41AD7" w:rsidP="00E7317C">
            <w:pPr>
              <w:ind w:firstLineChars="16" w:firstLine="32"/>
              <w:rPr>
                <w:sz w:val="20"/>
                <w:szCs w:val="20"/>
              </w:rPr>
            </w:pPr>
            <w:r w:rsidRPr="00576679">
              <w:rPr>
                <w:sz w:val="20"/>
                <w:szCs w:val="20"/>
              </w:rPr>
              <w:t>до 100 л.с. (до 73,55 кВт) включительно</w:t>
            </w:r>
          </w:p>
        </w:tc>
        <w:tc>
          <w:tcPr>
            <w:tcW w:w="326"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отчет 5-ТН,стр.1452</w:t>
            </w:r>
          </w:p>
        </w:tc>
        <w:tc>
          <w:tcPr>
            <w:tcW w:w="212"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97</w:t>
            </w:r>
          </w:p>
        </w:tc>
        <w:tc>
          <w:tcPr>
            <w:tcW w:w="236"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94</w:t>
            </w:r>
          </w:p>
        </w:tc>
        <w:tc>
          <w:tcPr>
            <w:tcW w:w="210"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96,9</w:t>
            </w:r>
          </w:p>
        </w:tc>
        <w:tc>
          <w:tcPr>
            <w:tcW w:w="225"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82</w:t>
            </w:r>
          </w:p>
        </w:tc>
        <w:tc>
          <w:tcPr>
            <w:tcW w:w="210"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87,2</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63</w:t>
            </w:r>
          </w:p>
        </w:tc>
        <w:tc>
          <w:tcPr>
            <w:tcW w:w="257"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76,8</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81</w:t>
            </w:r>
          </w:p>
        </w:tc>
        <w:tc>
          <w:tcPr>
            <w:tcW w:w="225"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128,6</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76</w:t>
            </w:r>
          </w:p>
        </w:tc>
        <w:tc>
          <w:tcPr>
            <w:tcW w:w="225"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93,8</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74</w:t>
            </w:r>
          </w:p>
        </w:tc>
        <w:tc>
          <w:tcPr>
            <w:tcW w:w="22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97,4</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73</w:t>
            </w:r>
          </w:p>
        </w:tc>
        <w:tc>
          <w:tcPr>
            <w:tcW w:w="225"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98,6</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72</w:t>
            </w:r>
          </w:p>
        </w:tc>
        <w:tc>
          <w:tcPr>
            <w:tcW w:w="226"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98,6</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71</w:t>
            </w:r>
          </w:p>
        </w:tc>
        <w:tc>
          <w:tcPr>
            <w:tcW w:w="216"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98,6</w:t>
            </w:r>
          </w:p>
        </w:tc>
      </w:tr>
      <w:tr w:rsidR="00A41AD7" w:rsidRPr="00576679" w:rsidTr="00E7317C">
        <w:trPr>
          <w:trHeight w:val="630"/>
        </w:trPr>
        <w:tc>
          <w:tcPr>
            <w:tcW w:w="4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41AD7" w:rsidRPr="00576679" w:rsidRDefault="00A41AD7" w:rsidP="00E7317C">
            <w:pPr>
              <w:ind w:firstLineChars="16" w:firstLine="32"/>
              <w:rPr>
                <w:sz w:val="20"/>
                <w:szCs w:val="20"/>
              </w:rPr>
            </w:pPr>
            <w:r w:rsidRPr="00576679">
              <w:rPr>
                <w:sz w:val="20"/>
                <w:szCs w:val="20"/>
              </w:rPr>
              <w:t>свыше 100 л.с. (свыше 73,55 кВт)</w:t>
            </w:r>
          </w:p>
        </w:tc>
        <w:tc>
          <w:tcPr>
            <w:tcW w:w="326"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отчет 5-ТН,стр.1453</w:t>
            </w:r>
          </w:p>
        </w:tc>
        <w:tc>
          <w:tcPr>
            <w:tcW w:w="212"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1 904</w:t>
            </w:r>
          </w:p>
        </w:tc>
        <w:tc>
          <w:tcPr>
            <w:tcW w:w="236"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1 538</w:t>
            </w:r>
          </w:p>
        </w:tc>
        <w:tc>
          <w:tcPr>
            <w:tcW w:w="210"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80,8</w:t>
            </w:r>
          </w:p>
        </w:tc>
        <w:tc>
          <w:tcPr>
            <w:tcW w:w="225"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2 077</w:t>
            </w:r>
          </w:p>
        </w:tc>
        <w:tc>
          <w:tcPr>
            <w:tcW w:w="210"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135,0</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1 676</w:t>
            </w:r>
          </w:p>
        </w:tc>
        <w:tc>
          <w:tcPr>
            <w:tcW w:w="257"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80,7</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1 448</w:t>
            </w:r>
          </w:p>
        </w:tc>
        <w:tc>
          <w:tcPr>
            <w:tcW w:w="225"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86,4</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1 288</w:t>
            </w:r>
          </w:p>
        </w:tc>
        <w:tc>
          <w:tcPr>
            <w:tcW w:w="225"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89,0</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1 203</w:t>
            </w:r>
          </w:p>
        </w:tc>
        <w:tc>
          <w:tcPr>
            <w:tcW w:w="22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93,4</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1 119</w:t>
            </w:r>
          </w:p>
        </w:tc>
        <w:tc>
          <w:tcPr>
            <w:tcW w:w="225"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93,0</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1 034</w:t>
            </w:r>
          </w:p>
        </w:tc>
        <w:tc>
          <w:tcPr>
            <w:tcW w:w="226"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92,4</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950</w:t>
            </w:r>
          </w:p>
        </w:tc>
        <w:tc>
          <w:tcPr>
            <w:tcW w:w="216"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91,9</w:t>
            </w:r>
          </w:p>
        </w:tc>
      </w:tr>
      <w:tr w:rsidR="00A41AD7" w:rsidRPr="00576679" w:rsidTr="00E7317C">
        <w:trPr>
          <w:trHeight w:val="750"/>
        </w:trPr>
        <w:tc>
          <w:tcPr>
            <w:tcW w:w="4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41AD7" w:rsidRPr="00576679" w:rsidRDefault="00A41AD7" w:rsidP="00E7317C">
            <w:pPr>
              <w:rPr>
                <w:i/>
                <w:iCs/>
                <w:sz w:val="20"/>
                <w:szCs w:val="20"/>
              </w:rPr>
            </w:pPr>
            <w:r w:rsidRPr="00576679">
              <w:rPr>
                <w:i/>
                <w:iCs/>
                <w:sz w:val="20"/>
                <w:szCs w:val="20"/>
              </w:rPr>
              <w:t xml:space="preserve">Яхты и другие парусно-моторные суда с мощностью двигателя: </w:t>
            </w:r>
          </w:p>
        </w:tc>
        <w:tc>
          <w:tcPr>
            <w:tcW w:w="326"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отчет 5-ТН,стр.1454</w:t>
            </w:r>
          </w:p>
        </w:tc>
        <w:tc>
          <w:tcPr>
            <w:tcW w:w="212"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690</w:t>
            </w:r>
          </w:p>
        </w:tc>
        <w:tc>
          <w:tcPr>
            <w:tcW w:w="236"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690</w:t>
            </w:r>
          </w:p>
        </w:tc>
        <w:tc>
          <w:tcPr>
            <w:tcW w:w="210"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100,0</w:t>
            </w:r>
          </w:p>
        </w:tc>
        <w:tc>
          <w:tcPr>
            <w:tcW w:w="225"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689</w:t>
            </w:r>
          </w:p>
        </w:tc>
        <w:tc>
          <w:tcPr>
            <w:tcW w:w="210"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99,9</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689</w:t>
            </w:r>
          </w:p>
        </w:tc>
        <w:tc>
          <w:tcPr>
            <w:tcW w:w="257"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100,0</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w:t>
            </w:r>
          </w:p>
        </w:tc>
        <w:tc>
          <w:tcPr>
            <w:tcW w:w="225"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0,1</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0</w:t>
            </w:r>
          </w:p>
        </w:tc>
        <w:tc>
          <w:tcPr>
            <w:tcW w:w="225"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0,0</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0</w:t>
            </w:r>
          </w:p>
        </w:tc>
        <w:tc>
          <w:tcPr>
            <w:tcW w:w="22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 xml:space="preserve"> </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0</w:t>
            </w:r>
          </w:p>
        </w:tc>
        <w:tc>
          <w:tcPr>
            <w:tcW w:w="225"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 xml:space="preserve"> </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0</w:t>
            </w:r>
          </w:p>
        </w:tc>
        <w:tc>
          <w:tcPr>
            <w:tcW w:w="226"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 xml:space="preserve"> </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0</w:t>
            </w:r>
          </w:p>
        </w:tc>
        <w:tc>
          <w:tcPr>
            <w:tcW w:w="216"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 xml:space="preserve"> </w:t>
            </w:r>
          </w:p>
        </w:tc>
      </w:tr>
      <w:tr w:rsidR="00A41AD7" w:rsidRPr="00576679" w:rsidTr="00E7317C">
        <w:trPr>
          <w:trHeight w:val="750"/>
        </w:trPr>
        <w:tc>
          <w:tcPr>
            <w:tcW w:w="4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41AD7" w:rsidRPr="00576679" w:rsidRDefault="00A41AD7" w:rsidP="00E7317C">
            <w:pPr>
              <w:ind w:firstLineChars="16" w:firstLine="32"/>
              <w:rPr>
                <w:sz w:val="20"/>
                <w:szCs w:val="20"/>
              </w:rPr>
            </w:pPr>
            <w:r w:rsidRPr="00576679">
              <w:rPr>
                <w:sz w:val="20"/>
                <w:szCs w:val="20"/>
              </w:rPr>
              <w:t>до 100 л.с. (до 73,55 кВт) включительно</w:t>
            </w:r>
          </w:p>
        </w:tc>
        <w:tc>
          <w:tcPr>
            <w:tcW w:w="326"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отчет 5-ТН,стр.1455</w:t>
            </w:r>
          </w:p>
        </w:tc>
        <w:tc>
          <w:tcPr>
            <w:tcW w:w="212"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1</w:t>
            </w:r>
          </w:p>
        </w:tc>
        <w:tc>
          <w:tcPr>
            <w:tcW w:w="236"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1</w:t>
            </w:r>
          </w:p>
        </w:tc>
        <w:tc>
          <w:tcPr>
            <w:tcW w:w="210"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100,0</w:t>
            </w:r>
          </w:p>
        </w:tc>
        <w:tc>
          <w:tcPr>
            <w:tcW w:w="225"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0</w:t>
            </w:r>
          </w:p>
        </w:tc>
        <w:tc>
          <w:tcPr>
            <w:tcW w:w="210"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0,0</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0</w:t>
            </w:r>
          </w:p>
        </w:tc>
        <w:tc>
          <w:tcPr>
            <w:tcW w:w="257"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 </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w:t>
            </w:r>
          </w:p>
        </w:tc>
        <w:tc>
          <w:tcPr>
            <w:tcW w:w="225"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 xml:space="preserve"> </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0</w:t>
            </w:r>
          </w:p>
        </w:tc>
        <w:tc>
          <w:tcPr>
            <w:tcW w:w="225"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0,0</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0</w:t>
            </w:r>
          </w:p>
        </w:tc>
        <w:tc>
          <w:tcPr>
            <w:tcW w:w="22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 </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0</w:t>
            </w:r>
          </w:p>
        </w:tc>
        <w:tc>
          <w:tcPr>
            <w:tcW w:w="225"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 </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0</w:t>
            </w:r>
          </w:p>
        </w:tc>
        <w:tc>
          <w:tcPr>
            <w:tcW w:w="226"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 </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0</w:t>
            </w:r>
          </w:p>
        </w:tc>
        <w:tc>
          <w:tcPr>
            <w:tcW w:w="216"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 </w:t>
            </w:r>
          </w:p>
        </w:tc>
      </w:tr>
      <w:tr w:rsidR="00A41AD7" w:rsidRPr="00576679" w:rsidTr="00E7317C">
        <w:trPr>
          <w:trHeight w:val="630"/>
        </w:trPr>
        <w:tc>
          <w:tcPr>
            <w:tcW w:w="4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41AD7" w:rsidRPr="00576679" w:rsidRDefault="00A41AD7" w:rsidP="00E7317C">
            <w:pPr>
              <w:ind w:firstLineChars="16" w:firstLine="32"/>
              <w:rPr>
                <w:sz w:val="20"/>
                <w:szCs w:val="20"/>
              </w:rPr>
            </w:pPr>
            <w:r w:rsidRPr="00576679">
              <w:rPr>
                <w:sz w:val="20"/>
                <w:szCs w:val="20"/>
              </w:rPr>
              <w:t>свыше 100 л.с. (свыше 73,55 кВт)</w:t>
            </w:r>
          </w:p>
        </w:tc>
        <w:tc>
          <w:tcPr>
            <w:tcW w:w="326"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отчет 5-ТН,стр.1456</w:t>
            </w:r>
          </w:p>
        </w:tc>
        <w:tc>
          <w:tcPr>
            <w:tcW w:w="212"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689</w:t>
            </w:r>
          </w:p>
        </w:tc>
        <w:tc>
          <w:tcPr>
            <w:tcW w:w="236"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689</w:t>
            </w:r>
          </w:p>
        </w:tc>
        <w:tc>
          <w:tcPr>
            <w:tcW w:w="210"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100,0</w:t>
            </w:r>
          </w:p>
        </w:tc>
        <w:tc>
          <w:tcPr>
            <w:tcW w:w="225"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689</w:t>
            </w:r>
          </w:p>
        </w:tc>
        <w:tc>
          <w:tcPr>
            <w:tcW w:w="210"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100,0</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689</w:t>
            </w:r>
          </w:p>
        </w:tc>
        <w:tc>
          <w:tcPr>
            <w:tcW w:w="257"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100,0</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0</w:t>
            </w:r>
          </w:p>
        </w:tc>
        <w:tc>
          <w:tcPr>
            <w:tcW w:w="225"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0,0</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0</w:t>
            </w:r>
          </w:p>
        </w:tc>
        <w:tc>
          <w:tcPr>
            <w:tcW w:w="225"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 </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0</w:t>
            </w:r>
          </w:p>
        </w:tc>
        <w:tc>
          <w:tcPr>
            <w:tcW w:w="22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 </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0</w:t>
            </w:r>
          </w:p>
        </w:tc>
        <w:tc>
          <w:tcPr>
            <w:tcW w:w="225"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 </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0</w:t>
            </w:r>
          </w:p>
        </w:tc>
        <w:tc>
          <w:tcPr>
            <w:tcW w:w="226"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 </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0</w:t>
            </w:r>
          </w:p>
        </w:tc>
        <w:tc>
          <w:tcPr>
            <w:tcW w:w="216"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 </w:t>
            </w:r>
          </w:p>
        </w:tc>
      </w:tr>
      <w:tr w:rsidR="00A41AD7" w:rsidRPr="00576679" w:rsidTr="00E7317C">
        <w:trPr>
          <w:trHeight w:val="1005"/>
        </w:trPr>
        <w:tc>
          <w:tcPr>
            <w:tcW w:w="4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41AD7" w:rsidRPr="00576679" w:rsidRDefault="00A41AD7" w:rsidP="00E7317C">
            <w:pPr>
              <w:rPr>
                <w:i/>
                <w:iCs/>
                <w:sz w:val="20"/>
                <w:szCs w:val="20"/>
              </w:rPr>
            </w:pPr>
            <w:r w:rsidRPr="00576679">
              <w:rPr>
                <w:i/>
                <w:iCs/>
                <w:sz w:val="20"/>
                <w:szCs w:val="20"/>
              </w:rPr>
              <w:lastRenderedPageBreak/>
              <w:t xml:space="preserve">Гидроциклы с мощностью двигателя: </w:t>
            </w:r>
          </w:p>
        </w:tc>
        <w:tc>
          <w:tcPr>
            <w:tcW w:w="326"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отчет 5-ТН,стр.1457</w:t>
            </w:r>
          </w:p>
        </w:tc>
        <w:tc>
          <w:tcPr>
            <w:tcW w:w="212"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878</w:t>
            </w:r>
          </w:p>
        </w:tc>
        <w:tc>
          <w:tcPr>
            <w:tcW w:w="236"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712</w:t>
            </w:r>
          </w:p>
        </w:tc>
        <w:tc>
          <w:tcPr>
            <w:tcW w:w="210"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81,1</w:t>
            </w:r>
          </w:p>
        </w:tc>
        <w:tc>
          <w:tcPr>
            <w:tcW w:w="225"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454</w:t>
            </w:r>
          </w:p>
        </w:tc>
        <w:tc>
          <w:tcPr>
            <w:tcW w:w="210"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63,8</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299</w:t>
            </w:r>
          </w:p>
        </w:tc>
        <w:tc>
          <w:tcPr>
            <w:tcW w:w="257"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65,9</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477</w:t>
            </w:r>
          </w:p>
        </w:tc>
        <w:tc>
          <w:tcPr>
            <w:tcW w:w="225"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159,5</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461</w:t>
            </w:r>
          </w:p>
        </w:tc>
        <w:tc>
          <w:tcPr>
            <w:tcW w:w="225"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96,6</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429</w:t>
            </w:r>
          </w:p>
        </w:tc>
        <w:tc>
          <w:tcPr>
            <w:tcW w:w="22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93,1</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398</w:t>
            </w:r>
          </w:p>
        </w:tc>
        <w:tc>
          <w:tcPr>
            <w:tcW w:w="225"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92,8</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408</w:t>
            </w:r>
          </w:p>
        </w:tc>
        <w:tc>
          <w:tcPr>
            <w:tcW w:w="226"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102,5</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419</w:t>
            </w:r>
          </w:p>
        </w:tc>
        <w:tc>
          <w:tcPr>
            <w:tcW w:w="216"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102,7</w:t>
            </w:r>
          </w:p>
        </w:tc>
      </w:tr>
      <w:tr w:rsidR="00A41AD7" w:rsidRPr="00576679" w:rsidTr="00E7317C">
        <w:trPr>
          <w:trHeight w:val="750"/>
        </w:trPr>
        <w:tc>
          <w:tcPr>
            <w:tcW w:w="4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41AD7" w:rsidRPr="00576679" w:rsidRDefault="00A41AD7" w:rsidP="00E7317C">
            <w:pPr>
              <w:ind w:firstLineChars="16" w:firstLine="32"/>
              <w:rPr>
                <w:sz w:val="20"/>
                <w:szCs w:val="20"/>
              </w:rPr>
            </w:pPr>
            <w:r w:rsidRPr="00576679">
              <w:rPr>
                <w:sz w:val="20"/>
                <w:szCs w:val="20"/>
              </w:rPr>
              <w:t>до 100 л.с. (до 73,55 кВт) включительно</w:t>
            </w:r>
          </w:p>
        </w:tc>
        <w:tc>
          <w:tcPr>
            <w:tcW w:w="326"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отчет 5-ТН,стр.1458</w:t>
            </w:r>
          </w:p>
        </w:tc>
        <w:tc>
          <w:tcPr>
            <w:tcW w:w="212"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136</w:t>
            </w:r>
          </w:p>
        </w:tc>
        <w:tc>
          <w:tcPr>
            <w:tcW w:w="236"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142</w:t>
            </w:r>
          </w:p>
        </w:tc>
        <w:tc>
          <w:tcPr>
            <w:tcW w:w="210"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104,4</w:t>
            </w:r>
          </w:p>
        </w:tc>
        <w:tc>
          <w:tcPr>
            <w:tcW w:w="225"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142</w:t>
            </w:r>
          </w:p>
        </w:tc>
        <w:tc>
          <w:tcPr>
            <w:tcW w:w="210"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100,0</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124</w:t>
            </w:r>
          </w:p>
        </w:tc>
        <w:tc>
          <w:tcPr>
            <w:tcW w:w="257"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87,3</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170</w:t>
            </w:r>
          </w:p>
        </w:tc>
        <w:tc>
          <w:tcPr>
            <w:tcW w:w="225"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137,1</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166</w:t>
            </w:r>
          </w:p>
        </w:tc>
        <w:tc>
          <w:tcPr>
            <w:tcW w:w="225"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97,6</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176</w:t>
            </w:r>
          </w:p>
        </w:tc>
        <w:tc>
          <w:tcPr>
            <w:tcW w:w="22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106,0</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187</w:t>
            </w:r>
          </w:p>
        </w:tc>
        <w:tc>
          <w:tcPr>
            <w:tcW w:w="225"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106,3</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197</w:t>
            </w:r>
          </w:p>
        </w:tc>
        <w:tc>
          <w:tcPr>
            <w:tcW w:w="226"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105,3</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208</w:t>
            </w:r>
          </w:p>
        </w:tc>
        <w:tc>
          <w:tcPr>
            <w:tcW w:w="216"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105,6</w:t>
            </w:r>
          </w:p>
        </w:tc>
      </w:tr>
      <w:tr w:rsidR="00A41AD7" w:rsidRPr="00576679" w:rsidTr="00E7317C">
        <w:trPr>
          <w:trHeight w:val="630"/>
        </w:trPr>
        <w:tc>
          <w:tcPr>
            <w:tcW w:w="4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41AD7" w:rsidRPr="00576679" w:rsidRDefault="00A41AD7" w:rsidP="00E7317C">
            <w:pPr>
              <w:ind w:firstLineChars="16" w:firstLine="32"/>
              <w:rPr>
                <w:sz w:val="20"/>
                <w:szCs w:val="20"/>
              </w:rPr>
            </w:pPr>
            <w:r w:rsidRPr="00576679">
              <w:rPr>
                <w:sz w:val="20"/>
                <w:szCs w:val="20"/>
              </w:rPr>
              <w:t>свыше 100 л.с. (свыше 73,55 кВт)</w:t>
            </w:r>
          </w:p>
        </w:tc>
        <w:tc>
          <w:tcPr>
            <w:tcW w:w="326"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отчет 5-ТН,стр.1459</w:t>
            </w:r>
          </w:p>
        </w:tc>
        <w:tc>
          <w:tcPr>
            <w:tcW w:w="212"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742</w:t>
            </w:r>
          </w:p>
        </w:tc>
        <w:tc>
          <w:tcPr>
            <w:tcW w:w="236"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570</w:t>
            </w:r>
          </w:p>
        </w:tc>
        <w:tc>
          <w:tcPr>
            <w:tcW w:w="210"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76,8</w:t>
            </w:r>
          </w:p>
        </w:tc>
        <w:tc>
          <w:tcPr>
            <w:tcW w:w="225"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312</w:t>
            </w:r>
          </w:p>
        </w:tc>
        <w:tc>
          <w:tcPr>
            <w:tcW w:w="210"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54,7</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175</w:t>
            </w:r>
          </w:p>
        </w:tc>
        <w:tc>
          <w:tcPr>
            <w:tcW w:w="257"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56,1</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307</w:t>
            </w:r>
          </w:p>
        </w:tc>
        <w:tc>
          <w:tcPr>
            <w:tcW w:w="225"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175,4</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295</w:t>
            </w:r>
          </w:p>
        </w:tc>
        <w:tc>
          <w:tcPr>
            <w:tcW w:w="225"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96,1</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253</w:t>
            </w:r>
          </w:p>
        </w:tc>
        <w:tc>
          <w:tcPr>
            <w:tcW w:w="22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85,8</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211</w:t>
            </w:r>
          </w:p>
        </w:tc>
        <w:tc>
          <w:tcPr>
            <w:tcW w:w="225"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83,4</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211</w:t>
            </w:r>
          </w:p>
        </w:tc>
        <w:tc>
          <w:tcPr>
            <w:tcW w:w="226"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100,0</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211</w:t>
            </w:r>
          </w:p>
        </w:tc>
        <w:tc>
          <w:tcPr>
            <w:tcW w:w="216"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100,0</w:t>
            </w:r>
          </w:p>
        </w:tc>
      </w:tr>
      <w:tr w:rsidR="00A41AD7" w:rsidRPr="00576679" w:rsidTr="00E7317C">
        <w:trPr>
          <w:trHeight w:val="1245"/>
        </w:trPr>
        <w:tc>
          <w:tcPr>
            <w:tcW w:w="4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41AD7" w:rsidRPr="00576679" w:rsidRDefault="00A41AD7" w:rsidP="00E7317C">
            <w:pPr>
              <w:rPr>
                <w:i/>
                <w:iCs/>
                <w:sz w:val="20"/>
                <w:szCs w:val="20"/>
              </w:rPr>
            </w:pPr>
            <w:r w:rsidRPr="00576679">
              <w:rPr>
                <w:i/>
                <w:iCs/>
                <w:sz w:val="20"/>
                <w:szCs w:val="20"/>
              </w:rPr>
              <w:t>Несамоходные (буксируемые) суда, для которых определяется валовая вместимость</w:t>
            </w:r>
          </w:p>
        </w:tc>
        <w:tc>
          <w:tcPr>
            <w:tcW w:w="326"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отчет 5-ТН,стр.1460</w:t>
            </w:r>
          </w:p>
        </w:tc>
        <w:tc>
          <w:tcPr>
            <w:tcW w:w="212"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86</w:t>
            </w:r>
          </w:p>
        </w:tc>
        <w:tc>
          <w:tcPr>
            <w:tcW w:w="236"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83</w:t>
            </w:r>
          </w:p>
        </w:tc>
        <w:tc>
          <w:tcPr>
            <w:tcW w:w="210"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96,5</w:t>
            </w:r>
          </w:p>
        </w:tc>
        <w:tc>
          <w:tcPr>
            <w:tcW w:w="225"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95</w:t>
            </w:r>
          </w:p>
        </w:tc>
        <w:tc>
          <w:tcPr>
            <w:tcW w:w="210"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114,5</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64</w:t>
            </w:r>
          </w:p>
        </w:tc>
        <w:tc>
          <w:tcPr>
            <w:tcW w:w="257"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67,4</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64</w:t>
            </w:r>
          </w:p>
        </w:tc>
        <w:tc>
          <w:tcPr>
            <w:tcW w:w="225"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100,0</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61</w:t>
            </w:r>
          </w:p>
        </w:tc>
        <w:tc>
          <w:tcPr>
            <w:tcW w:w="225"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95,3</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57</w:t>
            </w:r>
          </w:p>
        </w:tc>
        <w:tc>
          <w:tcPr>
            <w:tcW w:w="22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93,4</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52</w:t>
            </w:r>
          </w:p>
        </w:tc>
        <w:tc>
          <w:tcPr>
            <w:tcW w:w="225"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91,2</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48</w:t>
            </w:r>
          </w:p>
        </w:tc>
        <w:tc>
          <w:tcPr>
            <w:tcW w:w="226"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92,3</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45</w:t>
            </w:r>
          </w:p>
        </w:tc>
        <w:tc>
          <w:tcPr>
            <w:tcW w:w="216"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93,8</w:t>
            </w:r>
          </w:p>
        </w:tc>
      </w:tr>
      <w:tr w:rsidR="00A41AD7" w:rsidRPr="00576679" w:rsidTr="00E7317C">
        <w:trPr>
          <w:trHeight w:val="690"/>
        </w:trPr>
        <w:tc>
          <w:tcPr>
            <w:tcW w:w="4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41AD7" w:rsidRPr="00576679" w:rsidRDefault="00A41AD7" w:rsidP="00E7317C">
            <w:pPr>
              <w:rPr>
                <w:i/>
                <w:iCs/>
                <w:sz w:val="20"/>
                <w:szCs w:val="20"/>
              </w:rPr>
            </w:pPr>
            <w:r w:rsidRPr="00576679">
              <w:rPr>
                <w:i/>
                <w:iCs/>
                <w:sz w:val="20"/>
                <w:szCs w:val="20"/>
              </w:rPr>
              <w:t>Иные водные транспортные средства</w:t>
            </w:r>
          </w:p>
        </w:tc>
        <w:tc>
          <w:tcPr>
            <w:tcW w:w="326"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отчет 5-ТН,стр.1461</w:t>
            </w:r>
          </w:p>
        </w:tc>
        <w:tc>
          <w:tcPr>
            <w:tcW w:w="212"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565</w:t>
            </w:r>
          </w:p>
        </w:tc>
        <w:tc>
          <w:tcPr>
            <w:tcW w:w="236"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361</w:t>
            </w:r>
          </w:p>
        </w:tc>
        <w:tc>
          <w:tcPr>
            <w:tcW w:w="210"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63,9</w:t>
            </w:r>
          </w:p>
        </w:tc>
        <w:tc>
          <w:tcPr>
            <w:tcW w:w="225"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244</w:t>
            </w:r>
          </w:p>
        </w:tc>
        <w:tc>
          <w:tcPr>
            <w:tcW w:w="210"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67,6</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209</w:t>
            </w:r>
          </w:p>
        </w:tc>
        <w:tc>
          <w:tcPr>
            <w:tcW w:w="257"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85,7</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23</w:t>
            </w:r>
          </w:p>
        </w:tc>
        <w:tc>
          <w:tcPr>
            <w:tcW w:w="225"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11,0</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w:t>
            </w:r>
          </w:p>
        </w:tc>
        <w:tc>
          <w:tcPr>
            <w:tcW w:w="225"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4,3</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w:t>
            </w:r>
          </w:p>
        </w:tc>
        <w:tc>
          <w:tcPr>
            <w:tcW w:w="22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100,0</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0</w:t>
            </w:r>
          </w:p>
        </w:tc>
        <w:tc>
          <w:tcPr>
            <w:tcW w:w="225"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0,0</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0</w:t>
            </w:r>
          </w:p>
        </w:tc>
        <w:tc>
          <w:tcPr>
            <w:tcW w:w="226"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 </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0</w:t>
            </w:r>
          </w:p>
        </w:tc>
        <w:tc>
          <w:tcPr>
            <w:tcW w:w="216"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 </w:t>
            </w:r>
          </w:p>
        </w:tc>
      </w:tr>
      <w:tr w:rsidR="00A41AD7" w:rsidRPr="00576679" w:rsidTr="00E7317C">
        <w:trPr>
          <w:trHeight w:val="630"/>
        </w:trPr>
        <w:tc>
          <w:tcPr>
            <w:tcW w:w="4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41AD7" w:rsidRPr="00576679" w:rsidRDefault="00A41AD7" w:rsidP="00E7317C">
            <w:pPr>
              <w:rPr>
                <w:i/>
                <w:iCs/>
                <w:sz w:val="20"/>
                <w:szCs w:val="20"/>
              </w:rPr>
            </w:pPr>
            <w:r w:rsidRPr="00576679">
              <w:rPr>
                <w:i/>
                <w:iCs/>
                <w:sz w:val="20"/>
                <w:szCs w:val="20"/>
              </w:rPr>
              <w:t>Воздушные транспортные средства</w:t>
            </w:r>
          </w:p>
        </w:tc>
        <w:tc>
          <w:tcPr>
            <w:tcW w:w="326"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отчет 5-ТН,стр.1470</w:t>
            </w:r>
          </w:p>
        </w:tc>
        <w:tc>
          <w:tcPr>
            <w:tcW w:w="212"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8 181</w:t>
            </w:r>
          </w:p>
        </w:tc>
        <w:tc>
          <w:tcPr>
            <w:tcW w:w="236"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7 356</w:t>
            </w:r>
          </w:p>
        </w:tc>
        <w:tc>
          <w:tcPr>
            <w:tcW w:w="210"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89,9</w:t>
            </w:r>
          </w:p>
        </w:tc>
        <w:tc>
          <w:tcPr>
            <w:tcW w:w="225"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8 299</w:t>
            </w:r>
          </w:p>
        </w:tc>
        <w:tc>
          <w:tcPr>
            <w:tcW w:w="210"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112,8</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9 846</w:t>
            </w:r>
          </w:p>
        </w:tc>
        <w:tc>
          <w:tcPr>
            <w:tcW w:w="257"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118,6</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9 692</w:t>
            </w:r>
          </w:p>
        </w:tc>
        <w:tc>
          <w:tcPr>
            <w:tcW w:w="225"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98,4</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12 766</w:t>
            </w:r>
          </w:p>
        </w:tc>
        <w:tc>
          <w:tcPr>
            <w:tcW w:w="225"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131,7</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12 766</w:t>
            </w:r>
          </w:p>
        </w:tc>
        <w:tc>
          <w:tcPr>
            <w:tcW w:w="22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100,0</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12 766</w:t>
            </w:r>
          </w:p>
        </w:tc>
        <w:tc>
          <w:tcPr>
            <w:tcW w:w="225"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100,0</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12 766</w:t>
            </w:r>
          </w:p>
        </w:tc>
        <w:tc>
          <w:tcPr>
            <w:tcW w:w="226"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100,0</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12 766</w:t>
            </w:r>
          </w:p>
        </w:tc>
        <w:tc>
          <w:tcPr>
            <w:tcW w:w="216"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100,0</w:t>
            </w:r>
          </w:p>
        </w:tc>
      </w:tr>
      <w:tr w:rsidR="00A41AD7" w:rsidRPr="00576679" w:rsidTr="00E7317C">
        <w:trPr>
          <w:trHeight w:val="870"/>
        </w:trPr>
        <w:tc>
          <w:tcPr>
            <w:tcW w:w="4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41AD7" w:rsidRPr="00576679" w:rsidRDefault="00A41AD7" w:rsidP="00E7317C">
            <w:pPr>
              <w:rPr>
                <w:b/>
                <w:bCs/>
                <w:sz w:val="20"/>
                <w:szCs w:val="20"/>
              </w:rPr>
            </w:pPr>
            <w:r w:rsidRPr="00576679">
              <w:rPr>
                <w:b/>
                <w:bCs/>
                <w:sz w:val="20"/>
                <w:szCs w:val="20"/>
              </w:rPr>
              <w:t>Сумма транспортного налога начисленная</w:t>
            </w:r>
          </w:p>
        </w:tc>
        <w:tc>
          <w:tcPr>
            <w:tcW w:w="326"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отчет 1-НМ, стр.1595</w:t>
            </w:r>
          </w:p>
        </w:tc>
        <w:tc>
          <w:tcPr>
            <w:tcW w:w="212"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223 476</w:t>
            </w:r>
          </w:p>
        </w:tc>
        <w:tc>
          <w:tcPr>
            <w:tcW w:w="236"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219 544</w:t>
            </w:r>
          </w:p>
        </w:tc>
        <w:tc>
          <w:tcPr>
            <w:tcW w:w="210"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98,2</w:t>
            </w:r>
          </w:p>
        </w:tc>
        <w:tc>
          <w:tcPr>
            <w:tcW w:w="225"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189 075</w:t>
            </w:r>
          </w:p>
        </w:tc>
        <w:tc>
          <w:tcPr>
            <w:tcW w:w="210"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86,1</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188 275</w:t>
            </w:r>
          </w:p>
        </w:tc>
        <w:tc>
          <w:tcPr>
            <w:tcW w:w="257"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99,6</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190 948</w:t>
            </w:r>
          </w:p>
        </w:tc>
        <w:tc>
          <w:tcPr>
            <w:tcW w:w="225"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101,4</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251 158</w:t>
            </w:r>
          </w:p>
        </w:tc>
        <w:tc>
          <w:tcPr>
            <w:tcW w:w="225"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131,5</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271 933</w:t>
            </w:r>
          </w:p>
        </w:tc>
        <w:tc>
          <w:tcPr>
            <w:tcW w:w="228"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108,3</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291 149</w:t>
            </w:r>
          </w:p>
        </w:tc>
        <w:tc>
          <w:tcPr>
            <w:tcW w:w="225"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107,1</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315 836</w:t>
            </w:r>
          </w:p>
        </w:tc>
        <w:tc>
          <w:tcPr>
            <w:tcW w:w="226"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108,5</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348 248</w:t>
            </w:r>
          </w:p>
        </w:tc>
        <w:tc>
          <w:tcPr>
            <w:tcW w:w="216"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110,3</w:t>
            </w:r>
          </w:p>
        </w:tc>
      </w:tr>
      <w:tr w:rsidR="00A41AD7" w:rsidRPr="00576679" w:rsidTr="00E7317C">
        <w:trPr>
          <w:trHeight w:val="1035"/>
        </w:trPr>
        <w:tc>
          <w:tcPr>
            <w:tcW w:w="4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41AD7" w:rsidRPr="00576679" w:rsidRDefault="00A41AD7" w:rsidP="00E7317C">
            <w:pPr>
              <w:rPr>
                <w:b/>
                <w:bCs/>
                <w:i/>
                <w:iCs/>
                <w:sz w:val="20"/>
                <w:szCs w:val="20"/>
              </w:rPr>
            </w:pPr>
            <w:r w:rsidRPr="00576679">
              <w:rPr>
                <w:b/>
                <w:bCs/>
                <w:i/>
                <w:iCs/>
                <w:sz w:val="20"/>
                <w:szCs w:val="20"/>
              </w:rPr>
              <w:t>Коэффициент переходящих платежей, %**</w:t>
            </w:r>
          </w:p>
        </w:tc>
        <w:tc>
          <w:tcPr>
            <w:tcW w:w="326"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 </w:t>
            </w:r>
          </w:p>
        </w:tc>
        <w:tc>
          <w:tcPr>
            <w:tcW w:w="212"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105,3</w:t>
            </w:r>
          </w:p>
        </w:tc>
        <w:tc>
          <w:tcPr>
            <w:tcW w:w="236"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122,5</w:t>
            </w:r>
          </w:p>
        </w:tc>
        <w:tc>
          <w:tcPr>
            <w:tcW w:w="210"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116,3</w:t>
            </w:r>
          </w:p>
        </w:tc>
        <w:tc>
          <w:tcPr>
            <w:tcW w:w="225"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b/>
                <w:bCs/>
                <w:sz w:val="20"/>
                <w:szCs w:val="20"/>
              </w:rPr>
            </w:pPr>
            <w:r w:rsidRPr="00576679">
              <w:rPr>
                <w:b/>
                <w:bCs/>
                <w:sz w:val="20"/>
                <w:szCs w:val="20"/>
              </w:rPr>
              <w:t>104,8</w:t>
            </w:r>
          </w:p>
        </w:tc>
        <w:tc>
          <w:tcPr>
            <w:tcW w:w="210"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85,6</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b/>
                <w:bCs/>
                <w:color w:val="000000"/>
                <w:sz w:val="20"/>
                <w:szCs w:val="20"/>
              </w:rPr>
            </w:pPr>
            <w:r w:rsidRPr="00576679">
              <w:rPr>
                <w:b/>
                <w:bCs/>
                <w:color w:val="000000"/>
                <w:sz w:val="20"/>
                <w:szCs w:val="20"/>
              </w:rPr>
              <w:t>100,2</w:t>
            </w:r>
          </w:p>
        </w:tc>
        <w:tc>
          <w:tcPr>
            <w:tcW w:w="257"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95,6</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b/>
                <w:bCs/>
                <w:color w:val="000000"/>
                <w:sz w:val="20"/>
                <w:szCs w:val="20"/>
              </w:rPr>
            </w:pPr>
            <w:r w:rsidRPr="00576679">
              <w:rPr>
                <w:b/>
                <w:bCs/>
                <w:color w:val="000000"/>
                <w:sz w:val="20"/>
                <w:szCs w:val="20"/>
              </w:rPr>
              <w:t>97,2</w:t>
            </w:r>
          </w:p>
        </w:tc>
        <w:tc>
          <w:tcPr>
            <w:tcW w:w="225"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97,0</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b/>
                <w:bCs/>
                <w:color w:val="000000"/>
                <w:sz w:val="20"/>
                <w:szCs w:val="20"/>
              </w:rPr>
            </w:pPr>
            <w:r w:rsidRPr="00576679">
              <w:rPr>
                <w:b/>
                <w:bCs/>
                <w:color w:val="000000"/>
                <w:sz w:val="20"/>
                <w:szCs w:val="20"/>
              </w:rPr>
              <w:t>95,5</w:t>
            </w:r>
          </w:p>
        </w:tc>
        <w:tc>
          <w:tcPr>
            <w:tcW w:w="225"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98,3</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b/>
                <w:bCs/>
                <w:color w:val="000000"/>
                <w:sz w:val="20"/>
                <w:szCs w:val="20"/>
              </w:rPr>
            </w:pPr>
            <w:r w:rsidRPr="00576679">
              <w:rPr>
                <w:b/>
                <w:bCs/>
                <w:color w:val="000000"/>
                <w:sz w:val="20"/>
                <w:szCs w:val="20"/>
              </w:rPr>
              <w:t>97,6</w:t>
            </w:r>
          </w:p>
        </w:tc>
        <w:tc>
          <w:tcPr>
            <w:tcW w:w="228"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102,2</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97,6</w:t>
            </w:r>
          </w:p>
        </w:tc>
        <w:tc>
          <w:tcPr>
            <w:tcW w:w="225"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100,0</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97,6</w:t>
            </w:r>
          </w:p>
        </w:tc>
        <w:tc>
          <w:tcPr>
            <w:tcW w:w="226"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100,0</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97,6</w:t>
            </w:r>
          </w:p>
        </w:tc>
        <w:tc>
          <w:tcPr>
            <w:tcW w:w="216"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100,0</w:t>
            </w:r>
          </w:p>
        </w:tc>
      </w:tr>
      <w:tr w:rsidR="00A41AD7" w:rsidRPr="00576679" w:rsidTr="00E7317C">
        <w:trPr>
          <w:trHeight w:val="825"/>
        </w:trPr>
        <w:tc>
          <w:tcPr>
            <w:tcW w:w="4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41AD7" w:rsidRPr="00576679" w:rsidRDefault="00A41AD7" w:rsidP="00E7317C">
            <w:pPr>
              <w:rPr>
                <w:b/>
                <w:bCs/>
                <w:i/>
                <w:iCs/>
                <w:sz w:val="20"/>
                <w:szCs w:val="20"/>
              </w:rPr>
            </w:pPr>
            <w:r w:rsidRPr="00576679">
              <w:rPr>
                <w:b/>
                <w:bCs/>
                <w:i/>
                <w:iCs/>
                <w:sz w:val="20"/>
                <w:szCs w:val="20"/>
              </w:rPr>
              <w:t>Коэффициент собираемости, %</w:t>
            </w:r>
          </w:p>
        </w:tc>
        <w:tc>
          <w:tcPr>
            <w:tcW w:w="326"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 </w:t>
            </w:r>
          </w:p>
        </w:tc>
        <w:tc>
          <w:tcPr>
            <w:tcW w:w="212"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92,2</w:t>
            </w:r>
          </w:p>
        </w:tc>
        <w:tc>
          <w:tcPr>
            <w:tcW w:w="236"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88,9</w:t>
            </w:r>
          </w:p>
        </w:tc>
        <w:tc>
          <w:tcPr>
            <w:tcW w:w="210"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96,4</w:t>
            </w:r>
          </w:p>
        </w:tc>
        <w:tc>
          <w:tcPr>
            <w:tcW w:w="225"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b/>
                <w:bCs/>
                <w:sz w:val="20"/>
                <w:szCs w:val="20"/>
              </w:rPr>
            </w:pPr>
            <w:r w:rsidRPr="00576679">
              <w:rPr>
                <w:b/>
                <w:bCs/>
                <w:sz w:val="20"/>
                <w:szCs w:val="20"/>
              </w:rPr>
              <w:t>92,0</w:t>
            </w:r>
          </w:p>
        </w:tc>
        <w:tc>
          <w:tcPr>
            <w:tcW w:w="210"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103,5</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b/>
                <w:bCs/>
                <w:color w:val="000000"/>
                <w:sz w:val="20"/>
                <w:szCs w:val="20"/>
              </w:rPr>
            </w:pPr>
            <w:r w:rsidRPr="00576679">
              <w:rPr>
                <w:b/>
                <w:bCs/>
                <w:color w:val="000000"/>
                <w:sz w:val="20"/>
                <w:szCs w:val="20"/>
              </w:rPr>
              <w:t>96,0</w:t>
            </w:r>
          </w:p>
        </w:tc>
        <w:tc>
          <w:tcPr>
            <w:tcW w:w="257"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104,3</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b/>
                <w:bCs/>
                <w:color w:val="000000"/>
                <w:sz w:val="20"/>
                <w:szCs w:val="20"/>
              </w:rPr>
            </w:pPr>
            <w:r w:rsidRPr="00576679">
              <w:rPr>
                <w:b/>
                <w:bCs/>
                <w:color w:val="000000"/>
                <w:sz w:val="20"/>
                <w:szCs w:val="20"/>
              </w:rPr>
              <w:t>111,1</w:t>
            </w:r>
          </w:p>
        </w:tc>
        <w:tc>
          <w:tcPr>
            <w:tcW w:w="225"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115,7</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b/>
                <w:bCs/>
                <w:color w:val="000000"/>
                <w:sz w:val="20"/>
                <w:szCs w:val="20"/>
              </w:rPr>
            </w:pPr>
            <w:r w:rsidRPr="00576679">
              <w:rPr>
                <w:b/>
                <w:bCs/>
                <w:color w:val="000000"/>
                <w:sz w:val="20"/>
                <w:szCs w:val="20"/>
              </w:rPr>
              <w:t>97,0</w:t>
            </w:r>
          </w:p>
        </w:tc>
        <w:tc>
          <w:tcPr>
            <w:tcW w:w="225"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87,3</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b/>
                <w:bCs/>
                <w:color w:val="000000"/>
                <w:sz w:val="20"/>
                <w:szCs w:val="20"/>
              </w:rPr>
            </w:pPr>
            <w:r w:rsidRPr="00576679">
              <w:rPr>
                <w:b/>
                <w:bCs/>
                <w:color w:val="000000"/>
                <w:sz w:val="20"/>
                <w:szCs w:val="20"/>
              </w:rPr>
              <w:t>97,0</w:t>
            </w:r>
          </w:p>
        </w:tc>
        <w:tc>
          <w:tcPr>
            <w:tcW w:w="228"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100,0</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97,0</w:t>
            </w:r>
          </w:p>
        </w:tc>
        <w:tc>
          <w:tcPr>
            <w:tcW w:w="225"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100,0</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97,0</w:t>
            </w:r>
          </w:p>
        </w:tc>
        <w:tc>
          <w:tcPr>
            <w:tcW w:w="226"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100,0</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97,0</w:t>
            </w:r>
          </w:p>
        </w:tc>
        <w:tc>
          <w:tcPr>
            <w:tcW w:w="216"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100,0</w:t>
            </w:r>
          </w:p>
        </w:tc>
      </w:tr>
      <w:tr w:rsidR="00A41AD7" w:rsidRPr="00576679" w:rsidTr="00E7317C">
        <w:trPr>
          <w:trHeight w:val="1560"/>
        </w:trPr>
        <w:tc>
          <w:tcPr>
            <w:tcW w:w="4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41AD7" w:rsidRPr="00576679" w:rsidRDefault="00A41AD7" w:rsidP="00E7317C">
            <w:pPr>
              <w:rPr>
                <w:sz w:val="20"/>
                <w:szCs w:val="20"/>
              </w:rPr>
            </w:pPr>
            <w:r w:rsidRPr="00576679">
              <w:rPr>
                <w:sz w:val="20"/>
                <w:szCs w:val="20"/>
              </w:rPr>
              <w:t>Корректирующая сумма поступлений, учитывающая изменения законодательства о налогах и сборах, а также другие факторы</w:t>
            </w:r>
          </w:p>
        </w:tc>
        <w:tc>
          <w:tcPr>
            <w:tcW w:w="326"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 </w:t>
            </w:r>
          </w:p>
        </w:tc>
        <w:tc>
          <w:tcPr>
            <w:tcW w:w="212"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 </w:t>
            </w:r>
          </w:p>
        </w:tc>
        <w:tc>
          <w:tcPr>
            <w:tcW w:w="236"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 </w:t>
            </w:r>
          </w:p>
        </w:tc>
        <w:tc>
          <w:tcPr>
            <w:tcW w:w="210"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 xml:space="preserve"> </w:t>
            </w:r>
          </w:p>
        </w:tc>
        <w:tc>
          <w:tcPr>
            <w:tcW w:w="225"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 </w:t>
            </w:r>
          </w:p>
        </w:tc>
        <w:tc>
          <w:tcPr>
            <w:tcW w:w="210"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 xml:space="preserve"> </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sz w:val="20"/>
                <w:szCs w:val="20"/>
              </w:rPr>
            </w:pPr>
            <w:r w:rsidRPr="00576679">
              <w:rPr>
                <w:sz w:val="20"/>
                <w:szCs w:val="20"/>
              </w:rPr>
              <w:t> </w:t>
            </w:r>
          </w:p>
        </w:tc>
        <w:tc>
          <w:tcPr>
            <w:tcW w:w="257"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sz w:val="20"/>
                <w:szCs w:val="20"/>
              </w:rPr>
            </w:pPr>
            <w:r w:rsidRPr="00576679">
              <w:rPr>
                <w:sz w:val="20"/>
                <w:szCs w:val="20"/>
              </w:rPr>
              <w:t> </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sz w:val="20"/>
                <w:szCs w:val="20"/>
              </w:rPr>
            </w:pPr>
            <w:r w:rsidRPr="00576679">
              <w:rPr>
                <w:sz w:val="20"/>
                <w:szCs w:val="20"/>
              </w:rPr>
              <w:t>0</w:t>
            </w:r>
          </w:p>
        </w:tc>
        <w:tc>
          <w:tcPr>
            <w:tcW w:w="225"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sz w:val="20"/>
                <w:szCs w:val="20"/>
              </w:rPr>
            </w:pPr>
            <w:r w:rsidRPr="00576679">
              <w:rPr>
                <w:sz w:val="20"/>
                <w:szCs w:val="20"/>
              </w:rPr>
              <w:t> </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sz w:val="20"/>
                <w:szCs w:val="20"/>
              </w:rPr>
            </w:pPr>
            <w:r w:rsidRPr="00576679">
              <w:rPr>
                <w:sz w:val="20"/>
                <w:szCs w:val="20"/>
              </w:rPr>
              <w:t>0</w:t>
            </w:r>
          </w:p>
        </w:tc>
        <w:tc>
          <w:tcPr>
            <w:tcW w:w="225"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color w:val="000000"/>
                <w:sz w:val="20"/>
                <w:szCs w:val="20"/>
              </w:rPr>
            </w:pPr>
            <w:r w:rsidRPr="00576679">
              <w:rPr>
                <w:color w:val="000000"/>
                <w:sz w:val="20"/>
                <w:szCs w:val="20"/>
              </w:rPr>
              <w:t> </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sz w:val="20"/>
                <w:szCs w:val="20"/>
              </w:rPr>
            </w:pPr>
            <w:r w:rsidRPr="00576679">
              <w:rPr>
                <w:sz w:val="20"/>
                <w:szCs w:val="20"/>
              </w:rPr>
              <w:t> </w:t>
            </w:r>
          </w:p>
        </w:tc>
        <w:tc>
          <w:tcPr>
            <w:tcW w:w="22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sz w:val="20"/>
                <w:szCs w:val="20"/>
              </w:rPr>
            </w:pPr>
            <w:r w:rsidRPr="00576679">
              <w:rPr>
                <w:sz w:val="20"/>
                <w:szCs w:val="20"/>
              </w:rPr>
              <w:t> </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sz w:val="20"/>
                <w:szCs w:val="20"/>
              </w:rPr>
            </w:pPr>
            <w:r w:rsidRPr="00576679">
              <w:rPr>
                <w:sz w:val="20"/>
                <w:szCs w:val="20"/>
              </w:rPr>
              <w:t>0</w:t>
            </w:r>
          </w:p>
        </w:tc>
        <w:tc>
          <w:tcPr>
            <w:tcW w:w="225"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 xml:space="preserve"> </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sz w:val="20"/>
                <w:szCs w:val="20"/>
              </w:rPr>
            </w:pPr>
            <w:r w:rsidRPr="00576679">
              <w:rPr>
                <w:sz w:val="20"/>
                <w:szCs w:val="20"/>
              </w:rPr>
              <w:t>0</w:t>
            </w:r>
          </w:p>
        </w:tc>
        <w:tc>
          <w:tcPr>
            <w:tcW w:w="226"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 xml:space="preserve"> </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sz w:val="20"/>
                <w:szCs w:val="20"/>
              </w:rPr>
            </w:pPr>
            <w:r w:rsidRPr="00576679">
              <w:rPr>
                <w:sz w:val="20"/>
                <w:szCs w:val="20"/>
              </w:rPr>
              <w:t>0</w:t>
            </w:r>
          </w:p>
        </w:tc>
        <w:tc>
          <w:tcPr>
            <w:tcW w:w="216"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sz w:val="20"/>
                <w:szCs w:val="20"/>
              </w:rPr>
            </w:pPr>
            <w:r w:rsidRPr="00576679">
              <w:rPr>
                <w:sz w:val="20"/>
                <w:szCs w:val="20"/>
              </w:rPr>
              <w:t xml:space="preserve"> </w:t>
            </w:r>
          </w:p>
        </w:tc>
      </w:tr>
      <w:tr w:rsidR="00A41AD7" w:rsidRPr="00576679" w:rsidTr="00E7317C">
        <w:trPr>
          <w:trHeight w:val="840"/>
        </w:trPr>
        <w:tc>
          <w:tcPr>
            <w:tcW w:w="425" w:type="pct"/>
            <w:tcBorders>
              <w:top w:val="single" w:sz="4" w:space="0" w:color="auto"/>
              <w:left w:val="single" w:sz="4" w:space="0" w:color="auto"/>
              <w:bottom w:val="single" w:sz="4" w:space="0" w:color="auto"/>
              <w:right w:val="single" w:sz="4" w:space="0" w:color="auto"/>
            </w:tcBorders>
            <w:shd w:val="clear" w:color="auto" w:fill="auto"/>
            <w:hideMark/>
          </w:tcPr>
          <w:p w:rsidR="00A41AD7" w:rsidRPr="00576679" w:rsidRDefault="00A41AD7" w:rsidP="00E7317C">
            <w:pPr>
              <w:jc w:val="center"/>
              <w:rPr>
                <w:b/>
                <w:bCs/>
                <w:sz w:val="20"/>
                <w:szCs w:val="20"/>
              </w:rPr>
            </w:pPr>
            <w:r w:rsidRPr="00576679">
              <w:rPr>
                <w:b/>
                <w:bCs/>
                <w:sz w:val="20"/>
                <w:szCs w:val="20"/>
              </w:rPr>
              <w:t xml:space="preserve">Сумма транспортного налога </w:t>
            </w:r>
            <w:r w:rsidRPr="00576679">
              <w:rPr>
                <w:b/>
                <w:bCs/>
                <w:sz w:val="20"/>
                <w:szCs w:val="20"/>
              </w:rPr>
              <w:br/>
              <w:t>по организациям</w:t>
            </w:r>
          </w:p>
        </w:tc>
        <w:tc>
          <w:tcPr>
            <w:tcW w:w="326"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color w:val="AEAAAA"/>
                <w:sz w:val="20"/>
                <w:szCs w:val="20"/>
              </w:rPr>
            </w:pPr>
            <w:r w:rsidRPr="00576679">
              <w:rPr>
                <w:color w:val="AEAAAA"/>
                <w:sz w:val="20"/>
                <w:szCs w:val="20"/>
              </w:rPr>
              <w:t> </w:t>
            </w:r>
          </w:p>
        </w:tc>
        <w:tc>
          <w:tcPr>
            <w:tcW w:w="212"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color w:val="000000"/>
                <w:sz w:val="20"/>
                <w:szCs w:val="20"/>
              </w:rPr>
            </w:pPr>
            <w:r w:rsidRPr="00576679">
              <w:rPr>
                <w:color w:val="000000"/>
                <w:sz w:val="20"/>
                <w:szCs w:val="20"/>
              </w:rPr>
              <w:t>205 980</w:t>
            </w:r>
          </w:p>
        </w:tc>
        <w:tc>
          <w:tcPr>
            <w:tcW w:w="236"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color w:val="000000"/>
                <w:sz w:val="20"/>
                <w:szCs w:val="20"/>
              </w:rPr>
            </w:pPr>
            <w:r w:rsidRPr="00576679">
              <w:rPr>
                <w:color w:val="000000"/>
                <w:sz w:val="20"/>
                <w:szCs w:val="20"/>
              </w:rPr>
              <w:t>195 226</w:t>
            </w:r>
          </w:p>
        </w:tc>
        <w:tc>
          <w:tcPr>
            <w:tcW w:w="210"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color w:val="000000"/>
                <w:sz w:val="20"/>
                <w:szCs w:val="20"/>
              </w:rPr>
            </w:pPr>
            <w:r w:rsidRPr="00576679">
              <w:rPr>
                <w:color w:val="000000"/>
                <w:sz w:val="20"/>
                <w:szCs w:val="20"/>
              </w:rPr>
              <w:t>94,8</w:t>
            </w:r>
          </w:p>
        </w:tc>
        <w:tc>
          <w:tcPr>
            <w:tcW w:w="225"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color w:val="000000"/>
                <w:sz w:val="20"/>
                <w:szCs w:val="20"/>
              </w:rPr>
            </w:pPr>
            <w:r w:rsidRPr="00576679">
              <w:rPr>
                <w:color w:val="000000"/>
                <w:sz w:val="20"/>
                <w:szCs w:val="20"/>
              </w:rPr>
              <w:t>173 874</w:t>
            </w:r>
          </w:p>
        </w:tc>
        <w:tc>
          <w:tcPr>
            <w:tcW w:w="210" w:type="pct"/>
            <w:tcBorders>
              <w:top w:val="single" w:sz="4" w:space="0" w:color="auto"/>
              <w:left w:val="nil"/>
              <w:bottom w:val="single" w:sz="4" w:space="0" w:color="auto"/>
              <w:right w:val="single" w:sz="4" w:space="0" w:color="auto"/>
            </w:tcBorders>
            <w:shd w:val="clear" w:color="auto" w:fill="auto"/>
            <w:vAlign w:val="center"/>
            <w:hideMark/>
          </w:tcPr>
          <w:p w:rsidR="00A41AD7" w:rsidRPr="00576679" w:rsidRDefault="00A41AD7" w:rsidP="00E7317C">
            <w:pPr>
              <w:jc w:val="center"/>
              <w:rPr>
                <w:color w:val="000000"/>
                <w:sz w:val="20"/>
                <w:szCs w:val="20"/>
              </w:rPr>
            </w:pPr>
            <w:r w:rsidRPr="00576679">
              <w:rPr>
                <w:color w:val="000000"/>
                <w:sz w:val="20"/>
                <w:szCs w:val="20"/>
              </w:rPr>
              <w:t>89,1</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b/>
                <w:bCs/>
                <w:sz w:val="20"/>
                <w:szCs w:val="20"/>
              </w:rPr>
            </w:pPr>
            <w:r w:rsidRPr="00576679">
              <w:rPr>
                <w:b/>
                <w:bCs/>
                <w:sz w:val="20"/>
                <w:szCs w:val="20"/>
              </w:rPr>
              <w:t>180 709</w:t>
            </w:r>
          </w:p>
        </w:tc>
        <w:tc>
          <w:tcPr>
            <w:tcW w:w="257"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right"/>
              <w:rPr>
                <w:b/>
                <w:bCs/>
                <w:sz w:val="20"/>
                <w:szCs w:val="20"/>
              </w:rPr>
            </w:pPr>
            <w:r w:rsidRPr="00576679">
              <w:rPr>
                <w:b/>
                <w:bCs/>
                <w:sz w:val="20"/>
                <w:szCs w:val="20"/>
              </w:rPr>
              <w:t>103,9</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b/>
                <w:bCs/>
                <w:sz w:val="20"/>
                <w:szCs w:val="20"/>
              </w:rPr>
            </w:pPr>
            <w:r w:rsidRPr="00576679">
              <w:rPr>
                <w:b/>
                <w:bCs/>
                <w:sz w:val="20"/>
                <w:szCs w:val="20"/>
              </w:rPr>
              <w:t>212 097</w:t>
            </w:r>
          </w:p>
        </w:tc>
        <w:tc>
          <w:tcPr>
            <w:tcW w:w="225"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b/>
                <w:bCs/>
                <w:sz w:val="20"/>
                <w:szCs w:val="20"/>
              </w:rPr>
            </w:pPr>
            <w:r w:rsidRPr="00576679">
              <w:rPr>
                <w:b/>
                <w:bCs/>
                <w:sz w:val="20"/>
                <w:szCs w:val="20"/>
              </w:rPr>
              <w:t>117,4</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b/>
                <w:bCs/>
                <w:sz w:val="20"/>
                <w:szCs w:val="20"/>
              </w:rPr>
            </w:pPr>
            <w:r w:rsidRPr="00576679">
              <w:rPr>
                <w:b/>
                <w:bCs/>
                <w:sz w:val="20"/>
                <w:szCs w:val="20"/>
              </w:rPr>
              <w:t>243 586</w:t>
            </w:r>
          </w:p>
        </w:tc>
        <w:tc>
          <w:tcPr>
            <w:tcW w:w="225"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b/>
                <w:bCs/>
                <w:sz w:val="20"/>
                <w:szCs w:val="20"/>
              </w:rPr>
            </w:pPr>
            <w:r w:rsidRPr="00576679">
              <w:rPr>
                <w:b/>
                <w:bCs/>
                <w:sz w:val="20"/>
                <w:szCs w:val="20"/>
              </w:rPr>
              <w:t>114,8</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b/>
                <w:bCs/>
                <w:sz w:val="20"/>
                <w:szCs w:val="20"/>
              </w:rPr>
            </w:pPr>
            <w:r w:rsidRPr="00576679">
              <w:rPr>
                <w:b/>
                <w:bCs/>
                <w:sz w:val="20"/>
                <w:szCs w:val="20"/>
              </w:rPr>
              <w:t>263 775</w:t>
            </w:r>
          </w:p>
        </w:tc>
        <w:tc>
          <w:tcPr>
            <w:tcW w:w="22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b/>
                <w:bCs/>
                <w:sz w:val="20"/>
                <w:szCs w:val="20"/>
              </w:rPr>
            </w:pPr>
            <w:r w:rsidRPr="00576679">
              <w:rPr>
                <w:b/>
                <w:bCs/>
                <w:sz w:val="20"/>
                <w:szCs w:val="20"/>
              </w:rPr>
              <w:t>108,3</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b/>
                <w:bCs/>
                <w:sz w:val="20"/>
                <w:szCs w:val="20"/>
              </w:rPr>
            </w:pPr>
            <w:r w:rsidRPr="00576679">
              <w:rPr>
                <w:b/>
                <w:bCs/>
                <w:sz w:val="20"/>
                <w:szCs w:val="20"/>
              </w:rPr>
              <w:t>282 414</w:t>
            </w:r>
          </w:p>
        </w:tc>
        <w:tc>
          <w:tcPr>
            <w:tcW w:w="225"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b/>
                <w:bCs/>
                <w:sz w:val="20"/>
                <w:szCs w:val="20"/>
              </w:rPr>
            </w:pPr>
            <w:r w:rsidRPr="00576679">
              <w:rPr>
                <w:b/>
                <w:bCs/>
                <w:sz w:val="20"/>
                <w:szCs w:val="20"/>
              </w:rPr>
              <w:t>107,1</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b/>
                <w:bCs/>
                <w:sz w:val="20"/>
                <w:szCs w:val="20"/>
              </w:rPr>
            </w:pPr>
            <w:r w:rsidRPr="00576679">
              <w:rPr>
                <w:b/>
                <w:bCs/>
                <w:sz w:val="20"/>
                <w:szCs w:val="20"/>
              </w:rPr>
              <w:t>306 360</w:t>
            </w:r>
          </w:p>
        </w:tc>
        <w:tc>
          <w:tcPr>
            <w:tcW w:w="226"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b/>
                <w:bCs/>
                <w:sz w:val="20"/>
                <w:szCs w:val="20"/>
              </w:rPr>
            </w:pPr>
            <w:r w:rsidRPr="00576679">
              <w:rPr>
                <w:b/>
                <w:bCs/>
                <w:sz w:val="20"/>
                <w:szCs w:val="20"/>
              </w:rPr>
              <w:t>108,5</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b/>
                <w:bCs/>
                <w:sz w:val="20"/>
                <w:szCs w:val="20"/>
              </w:rPr>
            </w:pPr>
            <w:r w:rsidRPr="00576679">
              <w:rPr>
                <w:b/>
                <w:bCs/>
                <w:sz w:val="20"/>
                <w:szCs w:val="20"/>
              </w:rPr>
              <w:t>337 800</w:t>
            </w:r>
          </w:p>
        </w:tc>
        <w:tc>
          <w:tcPr>
            <w:tcW w:w="216" w:type="pct"/>
            <w:tcBorders>
              <w:top w:val="single" w:sz="4" w:space="0" w:color="auto"/>
              <w:left w:val="nil"/>
              <w:bottom w:val="single" w:sz="4" w:space="0" w:color="auto"/>
              <w:right w:val="single" w:sz="4" w:space="0" w:color="auto"/>
            </w:tcBorders>
            <w:shd w:val="clear" w:color="auto" w:fill="auto"/>
            <w:noWrap/>
            <w:vAlign w:val="center"/>
            <w:hideMark/>
          </w:tcPr>
          <w:p w:rsidR="00A41AD7" w:rsidRPr="00576679" w:rsidRDefault="00A41AD7" w:rsidP="00E7317C">
            <w:pPr>
              <w:jc w:val="center"/>
              <w:rPr>
                <w:b/>
                <w:bCs/>
                <w:sz w:val="20"/>
                <w:szCs w:val="20"/>
              </w:rPr>
            </w:pPr>
            <w:r w:rsidRPr="00576679">
              <w:rPr>
                <w:b/>
                <w:bCs/>
                <w:sz w:val="20"/>
                <w:szCs w:val="20"/>
              </w:rPr>
              <w:t>110,3</w:t>
            </w:r>
          </w:p>
        </w:tc>
      </w:tr>
      <w:tr w:rsidR="00A41AD7" w:rsidRPr="00576679" w:rsidTr="00E7317C">
        <w:trPr>
          <w:trHeight w:val="1185"/>
        </w:trPr>
        <w:tc>
          <w:tcPr>
            <w:tcW w:w="5000" w:type="pct"/>
            <w:gridSpan w:val="21"/>
            <w:tcBorders>
              <w:top w:val="single" w:sz="4" w:space="0" w:color="auto"/>
              <w:left w:val="nil"/>
              <w:bottom w:val="nil"/>
              <w:right w:val="nil"/>
            </w:tcBorders>
            <w:shd w:val="clear" w:color="auto" w:fill="auto"/>
            <w:vAlign w:val="center"/>
            <w:hideMark/>
          </w:tcPr>
          <w:p w:rsidR="00A41AD7" w:rsidRPr="00576679" w:rsidRDefault="00A41AD7" w:rsidP="00E7317C">
            <w:pPr>
              <w:rPr>
                <w:sz w:val="28"/>
                <w:szCs w:val="18"/>
              </w:rPr>
            </w:pPr>
            <w:r w:rsidRPr="00576679">
              <w:rPr>
                <w:i/>
                <w:iCs/>
                <w:color w:val="000000"/>
                <w:sz w:val="28"/>
                <w:szCs w:val="18"/>
              </w:rPr>
              <w:t>*Количество по видам объектов:  Мотоциклы и мотороллеры с мощностью с</w:t>
            </w:r>
            <w:r>
              <w:rPr>
                <w:i/>
                <w:iCs/>
                <w:color w:val="000000"/>
                <w:sz w:val="28"/>
                <w:szCs w:val="18"/>
              </w:rPr>
              <w:t>выше 20 л.с.,</w:t>
            </w:r>
            <w:r w:rsidRPr="00576679">
              <w:rPr>
                <w:i/>
                <w:iCs/>
                <w:color w:val="000000"/>
                <w:sz w:val="28"/>
                <w:szCs w:val="18"/>
              </w:rPr>
              <w:t xml:space="preserve"> "Другие самоходные транспортные средства, машины и механизмы на пневматическом и гусеничном ходу", "Воздушные транспортные средства" на 2021-2024 года принято на уровне 2020 года.</w:t>
            </w:r>
          </w:p>
        </w:tc>
      </w:tr>
    </w:tbl>
    <w:p w:rsidR="00A41AD7" w:rsidRDefault="00A41AD7" w:rsidP="00B425B6">
      <w:pPr>
        <w:ind w:firstLine="709"/>
        <w:jc w:val="both"/>
        <w:rPr>
          <w:sz w:val="28"/>
          <w:szCs w:val="28"/>
          <w:highlight w:val="red"/>
        </w:rPr>
      </w:pPr>
    </w:p>
    <w:p w:rsidR="00A41AD7" w:rsidRDefault="00A41AD7" w:rsidP="00B425B6">
      <w:pPr>
        <w:ind w:firstLine="709"/>
        <w:jc w:val="both"/>
        <w:rPr>
          <w:sz w:val="28"/>
          <w:szCs w:val="28"/>
          <w:highlight w:val="red"/>
        </w:rPr>
        <w:sectPr w:rsidR="00A41AD7" w:rsidSect="00A41AD7">
          <w:pgSz w:w="23808" w:h="16840" w:orient="landscape" w:code="8"/>
          <w:pgMar w:top="1701" w:right="1134" w:bottom="851" w:left="1134" w:header="709" w:footer="709" w:gutter="0"/>
          <w:cols w:space="708"/>
          <w:docGrid w:linePitch="360"/>
        </w:sectPr>
      </w:pPr>
    </w:p>
    <w:p w:rsidR="00BE5853" w:rsidRPr="000C7712" w:rsidRDefault="00BE5853" w:rsidP="008423B7">
      <w:pPr>
        <w:ind w:left="-567" w:firstLine="709"/>
        <w:jc w:val="both"/>
        <w:rPr>
          <w:sz w:val="28"/>
          <w:szCs w:val="28"/>
        </w:rPr>
      </w:pPr>
      <w:r w:rsidRPr="000C7712">
        <w:rPr>
          <w:sz w:val="28"/>
          <w:szCs w:val="28"/>
          <w:u w:val="single"/>
        </w:rPr>
        <w:lastRenderedPageBreak/>
        <w:t>Транспортный налог с физических лиц</w:t>
      </w:r>
      <w:r w:rsidR="002A0CB9" w:rsidRPr="000C7712">
        <w:rPr>
          <w:sz w:val="28"/>
          <w:szCs w:val="28"/>
        </w:rPr>
        <w:t>(</w:t>
      </w:r>
      <w:r w:rsidR="002A0CB9" w:rsidRPr="000C7712">
        <w:rPr>
          <w:snapToGrid w:val="0"/>
          <w:sz w:val="28"/>
          <w:szCs w:val="28"/>
        </w:rPr>
        <w:t>000 1 06 04012 02 0000 110</w:t>
      </w:r>
      <w:r w:rsidR="002A0CB9" w:rsidRPr="000C7712">
        <w:rPr>
          <w:sz w:val="28"/>
          <w:szCs w:val="28"/>
        </w:rPr>
        <w:t>)</w:t>
      </w:r>
    </w:p>
    <w:p w:rsidR="00B425B6" w:rsidRPr="000C7712" w:rsidRDefault="00B425B6" w:rsidP="008423B7">
      <w:pPr>
        <w:ind w:left="-567" w:firstLine="709"/>
        <w:jc w:val="both"/>
        <w:rPr>
          <w:b/>
          <w:sz w:val="28"/>
          <w:szCs w:val="28"/>
        </w:rPr>
      </w:pPr>
      <w:r w:rsidRPr="000C7712">
        <w:rPr>
          <w:b/>
          <w:sz w:val="28"/>
          <w:szCs w:val="28"/>
        </w:rPr>
        <w:t>Прогнозируемый объем поступлений по транспортному налогу с физических лиц составит:</w:t>
      </w:r>
    </w:p>
    <w:p w:rsidR="00B425B6" w:rsidRPr="000C7712" w:rsidRDefault="00B425B6" w:rsidP="008423B7">
      <w:pPr>
        <w:ind w:left="-567" w:firstLine="709"/>
        <w:jc w:val="both"/>
        <w:rPr>
          <w:b/>
          <w:sz w:val="28"/>
          <w:szCs w:val="28"/>
        </w:rPr>
      </w:pPr>
      <w:r w:rsidRPr="000C7712">
        <w:rPr>
          <w:b/>
          <w:sz w:val="28"/>
          <w:szCs w:val="28"/>
        </w:rPr>
        <w:t>на 20</w:t>
      </w:r>
      <w:r w:rsidR="00647014" w:rsidRPr="000C7712">
        <w:rPr>
          <w:b/>
          <w:sz w:val="28"/>
          <w:szCs w:val="28"/>
        </w:rPr>
        <w:t>2</w:t>
      </w:r>
      <w:r w:rsidR="000C7712" w:rsidRPr="000C7712">
        <w:rPr>
          <w:b/>
          <w:sz w:val="28"/>
          <w:szCs w:val="28"/>
        </w:rPr>
        <w:t>2</w:t>
      </w:r>
      <w:r w:rsidRPr="000C7712">
        <w:rPr>
          <w:b/>
          <w:sz w:val="28"/>
          <w:szCs w:val="28"/>
        </w:rPr>
        <w:t xml:space="preserve"> год –</w:t>
      </w:r>
      <w:r w:rsidR="00807F5F" w:rsidRPr="000C7712">
        <w:rPr>
          <w:b/>
          <w:sz w:val="28"/>
          <w:szCs w:val="28"/>
        </w:rPr>
        <w:t>1</w:t>
      </w:r>
      <w:r w:rsidR="000C7712" w:rsidRPr="000C7712">
        <w:rPr>
          <w:b/>
          <w:sz w:val="28"/>
          <w:szCs w:val="28"/>
        </w:rPr>
        <w:t xml:space="preserve"> 338 377 </w:t>
      </w:r>
      <w:r w:rsidRPr="000C7712">
        <w:rPr>
          <w:b/>
          <w:sz w:val="28"/>
          <w:szCs w:val="28"/>
        </w:rPr>
        <w:t>тыс. рублей</w:t>
      </w:r>
      <w:r w:rsidRPr="000C7712">
        <w:rPr>
          <w:sz w:val="28"/>
          <w:szCs w:val="28"/>
        </w:rPr>
        <w:t>;</w:t>
      </w:r>
    </w:p>
    <w:p w:rsidR="00B425B6" w:rsidRPr="000C7712" w:rsidRDefault="00B425B6" w:rsidP="008423B7">
      <w:pPr>
        <w:ind w:left="-567" w:firstLine="709"/>
        <w:jc w:val="both"/>
        <w:rPr>
          <w:sz w:val="28"/>
          <w:szCs w:val="28"/>
        </w:rPr>
      </w:pPr>
      <w:r w:rsidRPr="000C7712">
        <w:rPr>
          <w:b/>
          <w:sz w:val="28"/>
          <w:szCs w:val="28"/>
        </w:rPr>
        <w:t>на 202</w:t>
      </w:r>
      <w:r w:rsidR="000C7712" w:rsidRPr="000C7712">
        <w:rPr>
          <w:b/>
          <w:sz w:val="28"/>
          <w:szCs w:val="28"/>
        </w:rPr>
        <w:t>3</w:t>
      </w:r>
      <w:r w:rsidR="00A56C30" w:rsidRPr="000C7712">
        <w:rPr>
          <w:b/>
          <w:sz w:val="28"/>
          <w:szCs w:val="28"/>
        </w:rPr>
        <w:t xml:space="preserve"> год – </w:t>
      </w:r>
      <w:r w:rsidR="00807F5F" w:rsidRPr="000C7712">
        <w:rPr>
          <w:b/>
          <w:sz w:val="28"/>
          <w:szCs w:val="28"/>
        </w:rPr>
        <w:t>1</w:t>
      </w:r>
      <w:r w:rsidR="000C7712" w:rsidRPr="000C7712">
        <w:rPr>
          <w:b/>
          <w:sz w:val="28"/>
          <w:szCs w:val="28"/>
        </w:rPr>
        <w:t> 375 208</w:t>
      </w:r>
      <w:r w:rsidRPr="000C7712">
        <w:rPr>
          <w:b/>
          <w:sz w:val="28"/>
          <w:szCs w:val="28"/>
        </w:rPr>
        <w:t xml:space="preserve"> тыс. рублей</w:t>
      </w:r>
      <w:r w:rsidRPr="000C7712">
        <w:rPr>
          <w:sz w:val="28"/>
          <w:szCs w:val="28"/>
        </w:rPr>
        <w:t>;</w:t>
      </w:r>
    </w:p>
    <w:p w:rsidR="00F242F4" w:rsidRPr="000C7712" w:rsidRDefault="00B56EFF" w:rsidP="008423B7">
      <w:pPr>
        <w:ind w:left="-567" w:firstLine="709"/>
        <w:jc w:val="both"/>
        <w:rPr>
          <w:sz w:val="28"/>
          <w:szCs w:val="28"/>
        </w:rPr>
      </w:pPr>
      <w:r w:rsidRPr="000C7712">
        <w:rPr>
          <w:b/>
          <w:sz w:val="28"/>
          <w:szCs w:val="28"/>
        </w:rPr>
        <w:t>на 202</w:t>
      </w:r>
      <w:r w:rsidR="000C7712" w:rsidRPr="000C7712">
        <w:rPr>
          <w:b/>
          <w:sz w:val="28"/>
          <w:szCs w:val="28"/>
        </w:rPr>
        <w:t>4</w:t>
      </w:r>
      <w:r w:rsidRPr="000C7712">
        <w:rPr>
          <w:b/>
          <w:sz w:val="28"/>
          <w:szCs w:val="28"/>
        </w:rPr>
        <w:t xml:space="preserve"> год – </w:t>
      </w:r>
      <w:r w:rsidR="008B4061" w:rsidRPr="000C7712">
        <w:rPr>
          <w:b/>
          <w:sz w:val="28"/>
          <w:szCs w:val="28"/>
        </w:rPr>
        <w:t>1</w:t>
      </w:r>
      <w:r w:rsidR="000C7712" w:rsidRPr="000C7712">
        <w:rPr>
          <w:b/>
          <w:sz w:val="28"/>
          <w:szCs w:val="28"/>
        </w:rPr>
        <w:t> 412 700</w:t>
      </w:r>
      <w:r w:rsidR="00B425B6" w:rsidRPr="000C7712">
        <w:rPr>
          <w:b/>
          <w:sz w:val="28"/>
          <w:szCs w:val="28"/>
        </w:rPr>
        <w:t xml:space="preserve"> тыс. рублей</w:t>
      </w:r>
      <w:r w:rsidR="00B425B6" w:rsidRPr="000C7712">
        <w:rPr>
          <w:sz w:val="28"/>
          <w:szCs w:val="28"/>
        </w:rPr>
        <w:t>.</w:t>
      </w:r>
    </w:p>
    <w:p w:rsidR="00402075" w:rsidRPr="000C7712" w:rsidRDefault="00402075" w:rsidP="008423B7">
      <w:pPr>
        <w:ind w:left="-567" w:firstLine="709"/>
        <w:jc w:val="both"/>
        <w:rPr>
          <w:sz w:val="28"/>
          <w:szCs w:val="28"/>
        </w:rPr>
      </w:pPr>
      <w:r w:rsidRPr="000C7712">
        <w:rPr>
          <w:sz w:val="28"/>
          <w:szCs w:val="28"/>
        </w:rPr>
        <w:t>Прогнозируемый объем поступлений по транспортному налогу с физических лиц (</w:t>
      </w:r>
      <w:r w:rsidRPr="000C7712">
        <w:rPr>
          <w:b/>
          <w:i/>
          <w:sz w:val="28"/>
          <w:szCs w:val="28"/>
        </w:rPr>
        <w:t xml:space="preserve">ТН </w:t>
      </w:r>
      <w:r w:rsidRPr="000C7712">
        <w:rPr>
          <w:b/>
          <w:i/>
          <w:sz w:val="28"/>
          <w:szCs w:val="28"/>
          <w:vertAlign w:val="subscript"/>
        </w:rPr>
        <w:t>ФЛ</w:t>
      </w:r>
      <w:r w:rsidRPr="000C7712">
        <w:rPr>
          <w:b/>
          <w:i/>
          <w:sz w:val="28"/>
          <w:szCs w:val="28"/>
        </w:rPr>
        <w:t xml:space="preserve">) </w:t>
      </w:r>
      <w:r w:rsidRPr="000C7712">
        <w:rPr>
          <w:sz w:val="28"/>
          <w:szCs w:val="28"/>
        </w:rPr>
        <w:t>рассчитывается по формуле:</w:t>
      </w:r>
    </w:p>
    <w:p w:rsidR="00402075" w:rsidRPr="000C7712" w:rsidRDefault="00402075" w:rsidP="008423B7">
      <w:pPr>
        <w:spacing w:before="120" w:after="120"/>
        <w:ind w:left="-567" w:firstLine="709"/>
        <w:jc w:val="center"/>
        <w:rPr>
          <w:b/>
          <w:i/>
          <w:sz w:val="28"/>
          <w:szCs w:val="28"/>
        </w:rPr>
      </w:pPr>
      <w:r w:rsidRPr="000C7712">
        <w:rPr>
          <w:b/>
          <w:i/>
          <w:sz w:val="28"/>
          <w:szCs w:val="28"/>
        </w:rPr>
        <w:t xml:space="preserve">ТН </w:t>
      </w:r>
      <w:r w:rsidRPr="000C7712">
        <w:rPr>
          <w:b/>
          <w:i/>
          <w:sz w:val="28"/>
          <w:szCs w:val="28"/>
          <w:vertAlign w:val="subscript"/>
        </w:rPr>
        <w:t>ФЛ</w:t>
      </w:r>
      <w:r w:rsidRPr="000C7712">
        <w:rPr>
          <w:b/>
          <w:i/>
          <w:sz w:val="28"/>
          <w:szCs w:val="28"/>
        </w:rPr>
        <w:t xml:space="preserve">  = ∑(КОЛ </w:t>
      </w:r>
      <w:r w:rsidRPr="000C7712">
        <w:rPr>
          <w:b/>
          <w:i/>
          <w:sz w:val="28"/>
          <w:szCs w:val="28"/>
          <w:vertAlign w:val="subscript"/>
        </w:rPr>
        <w:t>ТС</w:t>
      </w:r>
      <w:r w:rsidRPr="000C7712">
        <w:rPr>
          <w:b/>
          <w:i/>
          <w:sz w:val="28"/>
          <w:szCs w:val="28"/>
        </w:rPr>
        <w:t xml:space="preserve"> × К</w:t>
      </w:r>
      <w:r w:rsidRPr="000C7712">
        <w:rPr>
          <w:b/>
          <w:i/>
          <w:sz w:val="28"/>
          <w:szCs w:val="28"/>
          <w:vertAlign w:val="subscript"/>
        </w:rPr>
        <w:t xml:space="preserve"> эстр.</w:t>
      </w:r>
      <w:r w:rsidRPr="000C7712">
        <w:rPr>
          <w:b/>
          <w:sz w:val="28"/>
          <w:szCs w:val="28"/>
        </w:rPr>
        <w:t xml:space="preserve">/100 </w:t>
      </w:r>
      <w:r w:rsidRPr="000C7712">
        <w:rPr>
          <w:b/>
          <w:i/>
          <w:sz w:val="28"/>
          <w:szCs w:val="28"/>
        </w:rPr>
        <w:t xml:space="preserve">× </w:t>
      </w:r>
      <w:r w:rsidRPr="000C7712">
        <w:rPr>
          <w:b/>
          <w:i/>
          <w:sz w:val="28"/>
          <w:szCs w:val="28"/>
          <w:lang w:val="en-US"/>
        </w:rPr>
        <w:t>S</w:t>
      </w:r>
      <w:r w:rsidRPr="000C7712">
        <w:rPr>
          <w:b/>
          <w:i/>
          <w:sz w:val="28"/>
          <w:szCs w:val="28"/>
          <w:vertAlign w:val="subscript"/>
        </w:rPr>
        <w:t>ТС</w:t>
      </w:r>
      <w:r w:rsidRPr="000C7712">
        <w:rPr>
          <w:b/>
          <w:sz w:val="28"/>
          <w:szCs w:val="28"/>
        </w:rPr>
        <w:t>)</w:t>
      </w:r>
      <w:r w:rsidRPr="000C7712">
        <w:rPr>
          <w:b/>
          <w:i/>
          <w:sz w:val="28"/>
          <w:szCs w:val="28"/>
        </w:rPr>
        <w:t xml:space="preserve"> × </w:t>
      </w:r>
      <w:r w:rsidRPr="000C7712">
        <w:rPr>
          <w:b/>
          <w:i/>
          <w:sz w:val="28"/>
          <w:szCs w:val="28"/>
          <w:lang w:val="en-US"/>
        </w:rPr>
        <w:t>K</w:t>
      </w:r>
      <w:r w:rsidRPr="000C7712">
        <w:rPr>
          <w:b/>
          <w:i/>
          <w:sz w:val="28"/>
          <w:szCs w:val="28"/>
          <w:vertAlign w:val="subscript"/>
        </w:rPr>
        <w:t>соб.</w:t>
      </w:r>
      <w:r w:rsidRPr="000C7712">
        <w:rPr>
          <w:b/>
          <w:sz w:val="28"/>
          <w:szCs w:val="28"/>
        </w:rPr>
        <w:t xml:space="preserve">/100 </w:t>
      </w:r>
      <w:r w:rsidRPr="000C7712">
        <w:rPr>
          <w:b/>
          <w:i/>
          <w:sz w:val="28"/>
          <w:szCs w:val="28"/>
        </w:rPr>
        <w:t xml:space="preserve">(+/-) </w:t>
      </w:r>
      <w:r w:rsidRPr="000C7712">
        <w:rPr>
          <w:b/>
          <w:i/>
          <w:sz w:val="28"/>
          <w:szCs w:val="28"/>
          <w:lang w:val="en-US"/>
        </w:rPr>
        <w:t>F</w:t>
      </w:r>
      <w:r w:rsidRPr="000C7712">
        <w:rPr>
          <w:b/>
          <w:i/>
          <w:sz w:val="28"/>
          <w:szCs w:val="28"/>
        </w:rPr>
        <w:t xml:space="preserve">, </w:t>
      </w:r>
    </w:p>
    <w:p w:rsidR="00402075" w:rsidRPr="000C7712" w:rsidRDefault="00402075" w:rsidP="008423B7">
      <w:pPr>
        <w:ind w:left="-567" w:firstLine="709"/>
        <w:jc w:val="both"/>
        <w:rPr>
          <w:sz w:val="28"/>
          <w:szCs w:val="28"/>
        </w:rPr>
      </w:pPr>
      <w:r w:rsidRPr="000C7712">
        <w:rPr>
          <w:sz w:val="28"/>
          <w:szCs w:val="28"/>
        </w:rPr>
        <w:t>где,</w:t>
      </w:r>
    </w:p>
    <w:p w:rsidR="00402075" w:rsidRPr="000C7712" w:rsidRDefault="00402075" w:rsidP="008423B7">
      <w:pPr>
        <w:ind w:left="-567" w:firstLine="709"/>
        <w:jc w:val="both"/>
        <w:rPr>
          <w:sz w:val="28"/>
          <w:szCs w:val="28"/>
        </w:rPr>
      </w:pPr>
      <w:r w:rsidRPr="000C7712">
        <w:rPr>
          <w:b/>
          <w:i/>
          <w:sz w:val="28"/>
          <w:szCs w:val="28"/>
        </w:rPr>
        <w:t xml:space="preserve">КОЛ </w:t>
      </w:r>
      <w:r w:rsidRPr="000C7712">
        <w:rPr>
          <w:b/>
          <w:i/>
          <w:sz w:val="28"/>
          <w:szCs w:val="28"/>
          <w:vertAlign w:val="subscript"/>
        </w:rPr>
        <w:t>ТС</w:t>
      </w:r>
      <w:r w:rsidRPr="000C7712">
        <w:rPr>
          <w:b/>
          <w:i/>
          <w:sz w:val="28"/>
          <w:szCs w:val="28"/>
        </w:rPr>
        <w:t xml:space="preserve"> – </w:t>
      </w:r>
      <w:r w:rsidRPr="000C7712">
        <w:rPr>
          <w:sz w:val="28"/>
          <w:szCs w:val="28"/>
        </w:rPr>
        <w:t xml:space="preserve">количество объектов транспортных средств </w:t>
      </w:r>
      <w:r w:rsidR="000B2372" w:rsidRPr="000C7712">
        <w:rPr>
          <w:sz w:val="28"/>
          <w:szCs w:val="28"/>
        </w:rPr>
        <w:t>отчетного периода (20</w:t>
      </w:r>
      <w:r w:rsidR="000C7712" w:rsidRPr="000C7712">
        <w:rPr>
          <w:sz w:val="28"/>
          <w:szCs w:val="28"/>
        </w:rPr>
        <w:t>20</w:t>
      </w:r>
      <w:r w:rsidR="000B2372" w:rsidRPr="000C7712">
        <w:rPr>
          <w:sz w:val="28"/>
          <w:szCs w:val="28"/>
        </w:rPr>
        <w:t xml:space="preserve"> год), </w:t>
      </w:r>
      <w:r w:rsidRPr="000C7712">
        <w:rPr>
          <w:sz w:val="28"/>
          <w:szCs w:val="28"/>
        </w:rPr>
        <w:t>единиц;</w:t>
      </w:r>
    </w:p>
    <w:p w:rsidR="00402075" w:rsidRPr="000C7712" w:rsidRDefault="00402075" w:rsidP="008423B7">
      <w:pPr>
        <w:ind w:left="-567" w:firstLine="709"/>
        <w:jc w:val="both"/>
        <w:rPr>
          <w:sz w:val="28"/>
          <w:szCs w:val="28"/>
        </w:rPr>
      </w:pPr>
      <w:r w:rsidRPr="000C7712">
        <w:rPr>
          <w:b/>
          <w:i/>
          <w:sz w:val="28"/>
          <w:szCs w:val="28"/>
        </w:rPr>
        <w:t>К</w:t>
      </w:r>
      <w:r w:rsidRPr="000C7712">
        <w:rPr>
          <w:b/>
          <w:i/>
          <w:sz w:val="28"/>
          <w:szCs w:val="28"/>
          <w:vertAlign w:val="subscript"/>
        </w:rPr>
        <w:t> эстр</w:t>
      </w:r>
      <w:r w:rsidRPr="000C7712">
        <w:rPr>
          <w:sz w:val="28"/>
          <w:szCs w:val="28"/>
        </w:rPr>
        <w:t>. – коэффициент экстраполяции, рассчитываемый по каждому виду транспортного средства как среднее арифметическое значение темпов роста (снижения) количества транспортных средств к предыдущему периоду (за</w:t>
      </w:r>
      <w:r w:rsidR="000C7712">
        <w:rPr>
          <w:sz w:val="28"/>
          <w:szCs w:val="28"/>
        </w:rPr>
        <w:t> </w:t>
      </w:r>
      <w:r w:rsidRPr="000C7712">
        <w:rPr>
          <w:sz w:val="28"/>
          <w:szCs w:val="28"/>
        </w:rPr>
        <w:t>201</w:t>
      </w:r>
      <w:r w:rsidR="000C7712" w:rsidRPr="000C7712">
        <w:rPr>
          <w:sz w:val="28"/>
          <w:szCs w:val="28"/>
        </w:rPr>
        <w:t>9</w:t>
      </w:r>
      <w:r w:rsidRPr="000C7712">
        <w:rPr>
          <w:sz w:val="28"/>
          <w:szCs w:val="28"/>
        </w:rPr>
        <w:t xml:space="preserve"> – 20</w:t>
      </w:r>
      <w:r w:rsidR="000C7712" w:rsidRPr="000C7712">
        <w:rPr>
          <w:sz w:val="28"/>
          <w:szCs w:val="28"/>
        </w:rPr>
        <w:t>20</w:t>
      </w:r>
      <w:r w:rsidRPr="000C7712">
        <w:rPr>
          <w:sz w:val="28"/>
          <w:szCs w:val="28"/>
        </w:rPr>
        <w:t>), %;</w:t>
      </w:r>
    </w:p>
    <w:p w:rsidR="00402075" w:rsidRPr="000C7712" w:rsidRDefault="00402075" w:rsidP="008423B7">
      <w:pPr>
        <w:ind w:left="-567" w:firstLine="709"/>
        <w:jc w:val="both"/>
        <w:rPr>
          <w:sz w:val="28"/>
          <w:szCs w:val="28"/>
        </w:rPr>
      </w:pPr>
      <w:r w:rsidRPr="000C7712">
        <w:rPr>
          <w:b/>
          <w:i/>
          <w:sz w:val="28"/>
          <w:szCs w:val="28"/>
          <w:lang w:val="en-US"/>
        </w:rPr>
        <w:t>S</w:t>
      </w:r>
      <w:r w:rsidRPr="000C7712">
        <w:rPr>
          <w:b/>
          <w:i/>
          <w:sz w:val="28"/>
          <w:szCs w:val="28"/>
          <w:vertAlign w:val="subscript"/>
        </w:rPr>
        <w:t xml:space="preserve">ТС </w:t>
      </w:r>
      <w:r w:rsidRPr="000C7712">
        <w:rPr>
          <w:sz w:val="28"/>
          <w:szCs w:val="28"/>
        </w:rPr>
        <w:t>– расчетная средняя сумма налога, приходящаяся на транспортное средство, в отчетном периоде, тыс. рублей.</w:t>
      </w:r>
    </w:p>
    <w:p w:rsidR="00402075" w:rsidRPr="000C7712" w:rsidRDefault="00402075" w:rsidP="008423B7">
      <w:pPr>
        <w:ind w:left="-567" w:firstLine="709"/>
        <w:jc w:val="both"/>
        <w:rPr>
          <w:sz w:val="28"/>
          <w:szCs w:val="28"/>
        </w:rPr>
      </w:pPr>
      <w:r w:rsidRPr="000C7712">
        <w:rPr>
          <w:sz w:val="28"/>
          <w:szCs w:val="28"/>
        </w:rPr>
        <w:t xml:space="preserve">Рассчитывается как отношение суммы налога, подлежащего уплате </w:t>
      </w:r>
      <w:r w:rsidR="00186167" w:rsidRPr="000C7712">
        <w:rPr>
          <w:sz w:val="28"/>
          <w:szCs w:val="28"/>
        </w:rPr>
        <w:br/>
      </w:r>
      <w:r w:rsidRPr="000C7712">
        <w:rPr>
          <w:sz w:val="28"/>
          <w:szCs w:val="28"/>
        </w:rPr>
        <w:t>в бюджет по транспортному средству, на количество данных транспортных средств (согласно отчету по форме № 5-ТН).</w:t>
      </w:r>
    </w:p>
    <w:p w:rsidR="00402075" w:rsidRPr="000C7712" w:rsidRDefault="00402075" w:rsidP="008423B7">
      <w:pPr>
        <w:ind w:left="-567" w:firstLine="709"/>
        <w:jc w:val="both"/>
        <w:rPr>
          <w:sz w:val="28"/>
          <w:szCs w:val="28"/>
        </w:rPr>
      </w:pPr>
      <w:r w:rsidRPr="000C7712">
        <w:rPr>
          <w:sz w:val="28"/>
          <w:szCs w:val="28"/>
        </w:rPr>
        <w:t>Виды транспортных средств, в разрезе которых осуществляется прогнозирование транспортного налога с физических лиц, указаны в отчете по форме № 5-ТН.</w:t>
      </w:r>
    </w:p>
    <w:p w:rsidR="00402075" w:rsidRPr="00DF6B0C" w:rsidRDefault="00402075" w:rsidP="008423B7">
      <w:pPr>
        <w:ind w:left="-567" w:firstLine="709"/>
        <w:jc w:val="both"/>
        <w:rPr>
          <w:sz w:val="28"/>
          <w:szCs w:val="28"/>
        </w:rPr>
      </w:pPr>
      <w:r w:rsidRPr="00DF6B0C">
        <w:rPr>
          <w:b/>
          <w:i/>
          <w:sz w:val="28"/>
          <w:szCs w:val="28"/>
          <w:lang w:val="en-US"/>
        </w:rPr>
        <w:t>K</w:t>
      </w:r>
      <w:r w:rsidRPr="00DF6B0C">
        <w:rPr>
          <w:b/>
          <w:i/>
          <w:sz w:val="28"/>
          <w:szCs w:val="28"/>
          <w:vertAlign w:val="subscript"/>
        </w:rPr>
        <w:t>соб.</w:t>
      </w:r>
      <w:r w:rsidRPr="00DF6B0C">
        <w:rPr>
          <w:sz w:val="28"/>
          <w:szCs w:val="28"/>
        </w:rPr>
        <w:t xml:space="preserve">– расчетный уровень собираемости по транспортному налогу </w:t>
      </w:r>
      <w:r w:rsidR="00C80976" w:rsidRPr="00DF6B0C">
        <w:rPr>
          <w:sz w:val="28"/>
          <w:szCs w:val="28"/>
        </w:rPr>
        <w:br/>
      </w:r>
      <w:r w:rsidRPr="00DF6B0C">
        <w:rPr>
          <w:sz w:val="28"/>
          <w:szCs w:val="28"/>
        </w:rPr>
        <w:t>с физических лиц (9</w:t>
      </w:r>
      <w:r w:rsidR="00186167" w:rsidRPr="00DF6B0C">
        <w:rPr>
          <w:sz w:val="28"/>
          <w:szCs w:val="28"/>
        </w:rPr>
        <w:t>2</w:t>
      </w:r>
      <w:r w:rsidR="00DF6B0C" w:rsidRPr="00DF6B0C">
        <w:rPr>
          <w:sz w:val="28"/>
          <w:szCs w:val="28"/>
        </w:rPr>
        <w:t>,7</w:t>
      </w:r>
      <w:r w:rsidR="00186167" w:rsidRPr="00DF6B0C">
        <w:rPr>
          <w:sz w:val="28"/>
          <w:szCs w:val="28"/>
        </w:rPr>
        <w:t xml:space="preserve"> </w:t>
      </w:r>
      <w:r w:rsidRPr="00DF6B0C">
        <w:rPr>
          <w:sz w:val="28"/>
          <w:szCs w:val="28"/>
        </w:rPr>
        <w:t xml:space="preserve">% - на уровне среднего показателя </w:t>
      </w:r>
      <w:r w:rsidR="00C80976" w:rsidRPr="00DF6B0C">
        <w:rPr>
          <w:sz w:val="28"/>
          <w:szCs w:val="28"/>
        </w:rPr>
        <w:br/>
      </w:r>
      <w:r w:rsidRPr="00DF6B0C">
        <w:rPr>
          <w:sz w:val="28"/>
          <w:szCs w:val="28"/>
        </w:rPr>
        <w:t>за 201</w:t>
      </w:r>
      <w:r w:rsidR="00186167" w:rsidRPr="00DF6B0C">
        <w:rPr>
          <w:sz w:val="28"/>
          <w:szCs w:val="28"/>
        </w:rPr>
        <w:t>8</w:t>
      </w:r>
      <w:r w:rsidRPr="00DF6B0C">
        <w:rPr>
          <w:sz w:val="28"/>
          <w:szCs w:val="28"/>
        </w:rPr>
        <w:t>-20</w:t>
      </w:r>
      <w:r w:rsidR="00DF6B0C" w:rsidRPr="00DF6B0C">
        <w:rPr>
          <w:sz w:val="28"/>
          <w:szCs w:val="28"/>
        </w:rPr>
        <w:t>20</w:t>
      </w:r>
      <w:r w:rsidRPr="00DF6B0C">
        <w:rPr>
          <w:sz w:val="28"/>
          <w:szCs w:val="28"/>
        </w:rPr>
        <w:t xml:space="preserve"> годы).</w:t>
      </w:r>
    </w:p>
    <w:p w:rsidR="00402075" w:rsidRPr="00DF6B0C" w:rsidRDefault="00402075" w:rsidP="008423B7">
      <w:pPr>
        <w:ind w:left="-567" w:firstLine="709"/>
        <w:jc w:val="both"/>
        <w:rPr>
          <w:sz w:val="28"/>
          <w:szCs w:val="28"/>
        </w:rPr>
      </w:pPr>
      <w:r w:rsidRPr="00DF6B0C">
        <w:rPr>
          <w:sz w:val="28"/>
          <w:szCs w:val="28"/>
        </w:rPr>
        <w:t>Расчетный уровень собираемости определяется как частное от деления суммы поступившего транспортного налога с физических лиц</w:t>
      </w:r>
      <w:r w:rsidR="00DF6B0C" w:rsidRPr="00DF6B0C">
        <w:rPr>
          <w:sz w:val="28"/>
          <w:szCs w:val="28"/>
        </w:rPr>
        <w:t xml:space="preserve"> </w:t>
      </w:r>
      <w:r w:rsidRPr="00DF6B0C">
        <w:rPr>
          <w:sz w:val="28"/>
          <w:szCs w:val="28"/>
        </w:rPr>
        <w:t>(</w:t>
      </w:r>
      <w:r w:rsidR="00DF6B0C" w:rsidRPr="00DF6B0C">
        <w:rPr>
          <w:sz w:val="28"/>
          <w:szCs w:val="28"/>
        </w:rPr>
        <w:t xml:space="preserve">1 304 127 тыс. рублей, </w:t>
      </w:r>
      <w:r w:rsidR="00186167" w:rsidRPr="00DF6B0C">
        <w:rPr>
          <w:sz w:val="28"/>
          <w:szCs w:val="28"/>
        </w:rPr>
        <w:t xml:space="preserve">1 114 503 тыс. рублей в 2019 году, </w:t>
      </w:r>
      <w:r w:rsidRPr="00DF6B0C">
        <w:rPr>
          <w:sz w:val="28"/>
          <w:szCs w:val="28"/>
        </w:rPr>
        <w:t>1 035 654,0 тыс. рублей</w:t>
      </w:r>
      <w:r w:rsidR="00186167" w:rsidRPr="00DF6B0C">
        <w:rPr>
          <w:sz w:val="28"/>
          <w:szCs w:val="28"/>
        </w:rPr>
        <w:t xml:space="preserve"> в 2018 году</w:t>
      </w:r>
      <w:r w:rsidRPr="00DF6B0C">
        <w:rPr>
          <w:sz w:val="28"/>
          <w:szCs w:val="28"/>
        </w:rPr>
        <w:t>) на сумму начисленного транспортного налога с физических лиц (</w:t>
      </w:r>
      <w:r w:rsidR="00DF6B0C" w:rsidRPr="00DF6B0C">
        <w:rPr>
          <w:sz w:val="28"/>
          <w:szCs w:val="28"/>
        </w:rPr>
        <w:t xml:space="preserve">1 391 506 тыс. рублей в 2020 году, </w:t>
      </w:r>
      <w:r w:rsidR="00186167" w:rsidRPr="00DF6B0C">
        <w:rPr>
          <w:sz w:val="28"/>
          <w:szCs w:val="28"/>
        </w:rPr>
        <w:t xml:space="preserve">1 157 835 тыс. рублей в 2019 году, </w:t>
      </w:r>
      <w:r w:rsidRPr="00DF6B0C">
        <w:rPr>
          <w:sz w:val="28"/>
          <w:szCs w:val="28"/>
        </w:rPr>
        <w:t>1 174 775,0 тыс. рублей</w:t>
      </w:r>
      <w:r w:rsidR="00186167" w:rsidRPr="00DF6B0C">
        <w:rPr>
          <w:sz w:val="28"/>
          <w:szCs w:val="28"/>
        </w:rPr>
        <w:t xml:space="preserve"> в 2018 году</w:t>
      </w:r>
      <w:r w:rsidRPr="00DF6B0C">
        <w:rPr>
          <w:sz w:val="28"/>
          <w:szCs w:val="28"/>
        </w:rPr>
        <w:t>) (по отчету по форме № 1-НМ за 2018</w:t>
      </w:r>
      <w:r w:rsidR="00DF6B0C" w:rsidRPr="00DF6B0C">
        <w:rPr>
          <w:sz w:val="28"/>
          <w:szCs w:val="28"/>
        </w:rPr>
        <w:t>-</w:t>
      </w:r>
      <w:r w:rsidR="00186167" w:rsidRPr="00DF6B0C">
        <w:rPr>
          <w:sz w:val="28"/>
          <w:szCs w:val="28"/>
        </w:rPr>
        <w:t>20</w:t>
      </w:r>
      <w:r w:rsidR="00DF6B0C" w:rsidRPr="00DF6B0C">
        <w:rPr>
          <w:sz w:val="28"/>
          <w:szCs w:val="28"/>
        </w:rPr>
        <w:t xml:space="preserve">20 </w:t>
      </w:r>
      <w:r w:rsidRPr="00DF6B0C">
        <w:rPr>
          <w:sz w:val="28"/>
          <w:szCs w:val="28"/>
        </w:rPr>
        <w:t>год</w:t>
      </w:r>
      <w:r w:rsidR="00186167" w:rsidRPr="00DF6B0C">
        <w:rPr>
          <w:sz w:val="28"/>
          <w:szCs w:val="28"/>
        </w:rPr>
        <w:t>ы</w:t>
      </w:r>
      <w:r w:rsidRPr="00DF6B0C">
        <w:rPr>
          <w:sz w:val="28"/>
          <w:szCs w:val="28"/>
        </w:rPr>
        <w:t xml:space="preserve">). </w:t>
      </w:r>
    </w:p>
    <w:p w:rsidR="00402075" w:rsidRPr="00DF6B0C" w:rsidRDefault="00402075" w:rsidP="008423B7">
      <w:pPr>
        <w:ind w:left="-567" w:firstLine="709"/>
        <w:jc w:val="both"/>
        <w:rPr>
          <w:sz w:val="28"/>
          <w:szCs w:val="28"/>
        </w:rPr>
      </w:pPr>
      <w:r w:rsidRPr="00DF6B0C">
        <w:rPr>
          <w:b/>
          <w:i/>
          <w:sz w:val="28"/>
          <w:szCs w:val="28"/>
        </w:rPr>
        <w:t>F</w:t>
      </w:r>
      <w:r w:rsidRPr="00DF6B0C">
        <w:rPr>
          <w:sz w:val="28"/>
          <w:szCs w:val="28"/>
        </w:rPr>
        <w:t xml:space="preserve"> – корректирующая сумма поступлений, учитывающая изменения законодательства о налогах и сборах, а также другие факторы, тыс. рублей.</w:t>
      </w:r>
      <w:r w:rsidR="00DF6B0C" w:rsidRPr="00DF6B0C">
        <w:rPr>
          <w:sz w:val="28"/>
          <w:szCs w:val="28"/>
        </w:rPr>
        <w:t xml:space="preserve"> (в оценке 2021 года и прогнозе на 2022-2024 годы не задействована).</w:t>
      </w:r>
    </w:p>
    <w:p w:rsidR="00402075" w:rsidRPr="00DF6B0C" w:rsidRDefault="00402075" w:rsidP="008423B7">
      <w:pPr>
        <w:ind w:left="-567" w:firstLine="709"/>
        <w:jc w:val="both"/>
        <w:rPr>
          <w:sz w:val="28"/>
          <w:szCs w:val="28"/>
        </w:rPr>
      </w:pPr>
      <w:r w:rsidRPr="00DF6B0C">
        <w:rPr>
          <w:sz w:val="28"/>
          <w:szCs w:val="28"/>
        </w:rPr>
        <w:t xml:space="preserve">Расчет поступления транспортного налога с физических лиц представлен в Таблице </w:t>
      </w:r>
      <w:r w:rsidR="008C2942" w:rsidRPr="00DF6B0C">
        <w:rPr>
          <w:sz w:val="28"/>
          <w:szCs w:val="28"/>
        </w:rPr>
        <w:t>5</w:t>
      </w:r>
      <w:r w:rsidRPr="00DF6B0C">
        <w:rPr>
          <w:sz w:val="28"/>
          <w:szCs w:val="28"/>
        </w:rPr>
        <w:t>.</w:t>
      </w:r>
    </w:p>
    <w:p w:rsidR="00402075" w:rsidRPr="00DF6B0C" w:rsidRDefault="00402075" w:rsidP="008423B7">
      <w:pPr>
        <w:ind w:left="-567" w:firstLine="709"/>
        <w:jc w:val="both"/>
        <w:rPr>
          <w:sz w:val="28"/>
          <w:szCs w:val="28"/>
          <w:highlight w:val="red"/>
        </w:rPr>
      </w:pPr>
    </w:p>
    <w:p w:rsidR="00A41AD7" w:rsidRDefault="00A41AD7">
      <w:pPr>
        <w:rPr>
          <w:color w:val="FF0000"/>
          <w:sz w:val="28"/>
          <w:szCs w:val="28"/>
          <w:highlight w:val="red"/>
        </w:rPr>
      </w:pPr>
      <w:r>
        <w:rPr>
          <w:color w:val="FF0000"/>
          <w:sz w:val="28"/>
          <w:szCs w:val="28"/>
          <w:highlight w:val="red"/>
        </w:rPr>
        <w:br w:type="page"/>
      </w:r>
    </w:p>
    <w:p w:rsidR="00A41AD7" w:rsidRDefault="00A41AD7" w:rsidP="00F242F4">
      <w:pPr>
        <w:ind w:firstLine="709"/>
        <w:jc w:val="both"/>
        <w:rPr>
          <w:color w:val="FF0000"/>
          <w:sz w:val="28"/>
          <w:szCs w:val="28"/>
          <w:highlight w:val="red"/>
        </w:rPr>
        <w:sectPr w:rsidR="00A41AD7" w:rsidSect="007678C8">
          <w:pgSz w:w="11906" w:h="16838"/>
          <w:pgMar w:top="1134" w:right="851" w:bottom="1134" w:left="1701" w:header="709" w:footer="709" w:gutter="0"/>
          <w:cols w:space="708"/>
          <w:docGrid w:linePitch="360"/>
        </w:sectPr>
      </w:pPr>
    </w:p>
    <w:p w:rsidR="00A41AD7" w:rsidRPr="00DF6B0C" w:rsidRDefault="00A41AD7" w:rsidP="00A41AD7">
      <w:pPr>
        <w:jc w:val="center"/>
        <w:rPr>
          <w:sz w:val="20"/>
          <w:szCs w:val="20"/>
        </w:rPr>
      </w:pPr>
      <w:r w:rsidRPr="00DF6B0C">
        <w:rPr>
          <w:b/>
          <w:bCs/>
          <w:color w:val="000000"/>
          <w:sz w:val="28"/>
          <w:szCs w:val="20"/>
        </w:rPr>
        <w:lastRenderedPageBreak/>
        <w:t>Расчет поступлений транспортного налога с физических лиц</w:t>
      </w:r>
    </w:p>
    <w:p w:rsidR="00A41AD7" w:rsidRPr="00DF6B0C" w:rsidRDefault="00A41AD7" w:rsidP="00A41AD7">
      <w:pPr>
        <w:jc w:val="right"/>
        <w:rPr>
          <w:b/>
          <w:bCs/>
          <w:color w:val="000000"/>
          <w:sz w:val="20"/>
          <w:szCs w:val="20"/>
        </w:rPr>
      </w:pPr>
      <w:r w:rsidRPr="00DF6B0C">
        <w:rPr>
          <w:b/>
          <w:bCs/>
          <w:color w:val="000000"/>
          <w:sz w:val="20"/>
          <w:szCs w:val="20"/>
        </w:rPr>
        <w:t>тыс. рублей</w:t>
      </w:r>
    </w:p>
    <w:p w:rsidR="00A41AD7" w:rsidRDefault="00A41AD7" w:rsidP="00A41AD7"/>
    <w:tbl>
      <w:tblPr>
        <w:tblW w:w="500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7"/>
        <w:gridCol w:w="1732"/>
        <w:gridCol w:w="1452"/>
        <w:gridCol w:w="1120"/>
        <w:gridCol w:w="1396"/>
        <w:gridCol w:w="1047"/>
        <w:gridCol w:w="1482"/>
        <w:gridCol w:w="1034"/>
        <w:gridCol w:w="1426"/>
        <w:gridCol w:w="1090"/>
        <w:gridCol w:w="1370"/>
        <w:gridCol w:w="1142"/>
        <w:gridCol w:w="1314"/>
        <w:gridCol w:w="991"/>
        <w:gridCol w:w="1465"/>
        <w:gridCol w:w="1215"/>
      </w:tblGrid>
      <w:tr w:rsidR="00A41AD7" w:rsidRPr="00DF6B0C" w:rsidTr="002A33AD">
        <w:trPr>
          <w:trHeight w:val="290"/>
          <w:tblHeader/>
        </w:trPr>
        <w:tc>
          <w:tcPr>
            <w:tcW w:w="526" w:type="pct"/>
            <w:tcBorders>
              <w:top w:val="single" w:sz="4" w:space="0" w:color="auto"/>
            </w:tcBorders>
            <w:shd w:val="clear" w:color="auto" w:fill="auto"/>
            <w:vAlign w:val="center"/>
            <w:hideMark/>
          </w:tcPr>
          <w:p w:rsidR="00A41AD7" w:rsidRPr="00DF6B0C" w:rsidRDefault="00A41AD7" w:rsidP="00E7317C">
            <w:pPr>
              <w:jc w:val="center"/>
              <w:rPr>
                <w:b/>
                <w:bCs/>
                <w:sz w:val="18"/>
                <w:szCs w:val="18"/>
              </w:rPr>
            </w:pPr>
            <w:r w:rsidRPr="00DF6B0C">
              <w:rPr>
                <w:b/>
                <w:bCs/>
                <w:sz w:val="18"/>
                <w:szCs w:val="18"/>
              </w:rPr>
              <w:t xml:space="preserve">Наименование </w:t>
            </w:r>
            <w:r>
              <w:rPr>
                <w:b/>
                <w:bCs/>
                <w:sz w:val="18"/>
                <w:szCs w:val="18"/>
              </w:rPr>
              <w:t xml:space="preserve"> </w:t>
            </w:r>
            <w:r w:rsidRPr="00DF6B0C">
              <w:rPr>
                <w:b/>
                <w:bCs/>
                <w:sz w:val="18"/>
                <w:szCs w:val="18"/>
              </w:rPr>
              <w:t>показателя</w:t>
            </w:r>
          </w:p>
        </w:tc>
        <w:tc>
          <w:tcPr>
            <w:tcW w:w="402" w:type="pct"/>
            <w:tcBorders>
              <w:top w:val="single" w:sz="4" w:space="0" w:color="auto"/>
            </w:tcBorders>
            <w:shd w:val="clear" w:color="auto" w:fill="auto"/>
            <w:vAlign w:val="center"/>
            <w:hideMark/>
          </w:tcPr>
          <w:p w:rsidR="00A41AD7" w:rsidRPr="00DF6B0C" w:rsidRDefault="00A41AD7" w:rsidP="00E7317C">
            <w:pPr>
              <w:jc w:val="center"/>
              <w:rPr>
                <w:b/>
                <w:bCs/>
                <w:sz w:val="18"/>
                <w:szCs w:val="18"/>
              </w:rPr>
            </w:pPr>
            <w:r w:rsidRPr="00DF6B0C">
              <w:rPr>
                <w:b/>
                <w:bCs/>
                <w:sz w:val="18"/>
                <w:szCs w:val="18"/>
              </w:rPr>
              <w:t>Источники данных</w:t>
            </w:r>
          </w:p>
        </w:tc>
        <w:tc>
          <w:tcPr>
            <w:tcW w:w="337" w:type="pct"/>
            <w:tcBorders>
              <w:top w:val="single" w:sz="4" w:space="0" w:color="auto"/>
            </w:tcBorders>
            <w:shd w:val="clear" w:color="auto" w:fill="auto"/>
            <w:vAlign w:val="center"/>
            <w:hideMark/>
          </w:tcPr>
          <w:p w:rsidR="00A41AD7" w:rsidRPr="00DF6B0C" w:rsidRDefault="00A41AD7" w:rsidP="00E7317C">
            <w:pPr>
              <w:jc w:val="center"/>
              <w:rPr>
                <w:b/>
                <w:bCs/>
                <w:sz w:val="18"/>
                <w:szCs w:val="18"/>
              </w:rPr>
            </w:pPr>
            <w:r w:rsidRPr="00DF6B0C">
              <w:rPr>
                <w:b/>
                <w:bCs/>
                <w:sz w:val="18"/>
                <w:szCs w:val="18"/>
              </w:rPr>
              <w:t>2018 Факт</w:t>
            </w:r>
          </w:p>
        </w:tc>
        <w:tc>
          <w:tcPr>
            <w:tcW w:w="260" w:type="pct"/>
            <w:tcBorders>
              <w:top w:val="single" w:sz="4" w:space="0" w:color="auto"/>
            </w:tcBorders>
            <w:shd w:val="clear" w:color="auto" w:fill="auto"/>
            <w:vAlign w:val="center"/>
            <w:hideMark/>
          </w:tcPr>
          <w:p w:rsidR="00A41AD7" w:rsidRPr="00DF6B0C" w:rsidRDefault="00A41AD7" w:rsidP="00E7317C">
            <w:pPr>
              <w:jc w:val="center"/>
              <w:rPr>
                <w:b/>
                <w:bCs/>
                <w:sz w:val="18"/>
                <w:szCs w:val="18"/>
              </w:rPr>
            </w:pPr>
            <w:r>
              <w:rPr>
                <w:b/>
                <w:bCs/>
                <w:sz w:val="18"/>
                <w:szCs w:val="18"/>
              </w:rPr>
              <w:t>темп</w:t>
            </w:r>
            <w:r w:rsidRPr="00DF6B0C">
              <w:rPr>
                <w:b/>
                <w:bCs/>
                <w:sz w:val="18"/>
                <w:szCs w:val="18"/>
              </w:rPr>
              <w:t>,%</w:t>
            </w:r>
          </w:p>
        </w:tc>
        <w:tc>
          <w:tcPr>
            <w:tcW w:w="324" w:type="pct"/>
            <w:tcBorders>
              <w:top w:val="single" w:sz="4" w:space="0" w:color="auto"/>
            </w:tcBorders>
            <w:shd w:val="clear" w:color="auto" w:fill="auto"/>
            <w:vAlign w:val="center"/>
            <w:hideMark/>
          </w:tcPr>
          <w:p w:rsidR="00A41AD7" w:rsidRPr="00DF6B0C" w:rsidRDefault="00A41AD7" w:rsidP="00E7317C">
            <w:pPr>
              <w:jc w:val="center"/>
              <w:rPr>
                <w:b/>
                <w:bCs/>
                <w:sz w:val="18"/>
                <w:szCs w:val="18"/>
              </w:rPr>
            </w:pPr>
            <w:r w:rsidRPr="00DF6B0C">
              <w:rPr>
                <w:b/>
                <w:bCs/>
                <w:sz w:val="18"/>
                <w:szCs w:val="18"/>
              </w:rPr>
              <w:t>2019 Факт</w:t>
            </w:r>
          </w:p>
        </w:tc>
        <w:tc>
          <w:tcPr>
            <w:tcW w:w="243" w:type="pct"/>
            <w:tcBorders>
              <w:top w:val="single" w:sz="4" w:space="0" w:color="auto"/>
            </w:tcBorders>
            <w:shd w:val="clear" w:color="auto" w:fill="auto"/>
            <w:vAlign w:val="center"/>
            <w:hideMark/>
          </w:tcPr>
          <w:p w:rsidR="00A41AD7" w:rsidRPr="00DF6B0C" w:rsidRDefault="00A41AD7" w:rsidP="00E7317C">
            <w:pPr>
              <w:jc w:val="center"/>
              <w:rPr>
                <w:b/>
                <w:bCs/>
                <w:sz w:val="18"/>
                <w:szCs w:val="18"/>
              </w:rPr>
            </w:pPr>
            <w:r>
              <w:rPr>
                <w:b/>
                <w:bCs/>
                <w:sz w:val="18"/>
                <w:szCs w:val="18"/>
              </w:rPr>
              <w:t>темп</w:t>
            </w:r>
            <w:r w:rsidRPr="00DF6B0C">
              <w:rPr>
                <w:b/>
                <w:bCs/>
                <w:sz w:val="18"/>
                <w:szCs w:val="18"/>
              </w:rPr>
              <w:t>,%</w:t>
            </w:r>
          </w:p>
        </w:tc>
        <w:tc>
          <w:tcPr>
            <w:tcW w:w="344" w:type="pct"/>
            <w:tcBorders>
              <w:top w:val="single" w:sz="4" w:space="0" w:color="auto"/>
            </w:tcBorders>
            <w:shd w:val="clear" w:color="auto" w:fill="auto"/>
            <w:vAlign w:val="center"/>
            <w:hideMark/>
          </w:tcPr>
          <w:p w:rsidR="00A41AD7" w:rsidRPr="00DF6B0C" w:rsidRDefault="00A41AD7" w:rsidP="00E7317C">
            <w:pPr>
              <w:jc w:val="center"/>
              <w:rPr>
                <w:b/>
                <w:bCs/>
                <w:sz w:val="18"/>
                <w:szCs w:val="18"/>
              </w:rPr>
            </w:pPr>
            <w:r w:rsidRPr="00DF6B0C">
              <w:rPr>
                <w:b/>
                <w:bCs/>
                <w:sz w:val="18"/>
                <w:szCs w:val="18"/>
              </w:rPr>
              <w:t>2020 Факт</w:t>
            </w:r>
          </w:p>
        </w:tc>
        <w:tc>
          <w:tcPr>
            <w:tcW w:w="240" w:type="pct"/>
            <w:tcBorders>
              <w:top w:val="single" w:sz="4" w:space="0" w:color="auto"/>
            </w:tcBorders>
            <w:shd w:val="clear" w:color="auto" w:fill="auto"/>
            <w:vAlign w:val="center"/>
            <w:hideMark/>
          </w:tcPr>
          <w:p w:rsidR="00A41AD7" w:rsidRPr="00DF6B0C" w:rsidRDefault="00A41AD7" w:rsidP="00E7317C">
            <w:pPr>
              <w:jc w:val="center"/>
              <w:rPr>
                <w:b/>
                <w:bCs/>
                <w:sz w:val="18"/>
                <w:szCs w:val="18"/>
              </w:rPr>
            </w:pPr>
            <w:r>
              <w:rPr>
                <w:b/>
                <w:bCs/>
                <w:sz w:val="18"/>
                <w:szCs w:val="18"/>
              </w:rPr>
              <w:t>темп</w:t>
            </w:r>
            <w:r w:rsidRPr="00DF6B0C">
              <w:rPr>
                <w:b/>
                <w:bCs/>
                <w:sz w:val="18"/>
                <w:szCs w:val="18"/>
              </w:rPr>
              <w:t>,%</w:t>
            </w:r>
          </w:p>
        </w:tc>
        <w:tc>
          <w:tcPr>
            <w:tcW w:w="331" w:type="pct"/>
            <w:tcBorders>
              <w:top w:val="single" w:sz="4" w:space="0" w:color="auto"/>
            </w:tcBorders>
            <w:shd w:val="clear" w:color="auto" w:fill="auto"/>
            <w:vAlign w:val="center"/>
            <w:hideMark/>
          </w:tcPr>
          <w:p w:rsidR="00A41AD7" w:rsidRPr="00DF6B0C" w:rsidRDefault="00A41AD7" w:rsidP="00E7317C">
            <w:pPr>
              <w:jc w:val="center"/>
              <w:rPr>
                <w:b/>
                <w:bCs/>
                <w:sz w:val="18"/>
                <w:szCs w:val="18"/>
              </w:rPr>
            </w:pPr>
            <w:r w:rsidRPr="00DF6B0C">
              <w:rPr>
                <w:b/>
                <w:bCs/>
                <w:sz w:val="18"/>
                <w:szCs w:val="18"/>
              </w:rPr>
              <w:t xml:space="preserve">2021 </w:t>
            </w:r>
            <w:r>
              <w:rPr>
                <w:b/>
                <w:bCs/>
                <w:sz w:val="18"/>
                <w:szCs w:val="18"/>
              </w:rPr>
              <w:t>оценка</w:t>
            </w:r>
          </w:p>
        </w:tc>
        <w:tc>
          <w:tcPr>
            <w:tcW w:w="253" w:type="pct"/>
            <w:tcBorders>
              <w:top w:val="single" w:sz="4" w:space="0" w:color="auto"/>
            </w:tcBorders>
            <w:shd w:val="clear" w:color="auto" w:fill="auto"/>
            <w:vAlign w:val="center"/>
            <w:hideMark/>
          </w:tcPr>
          <w:p w:rsidR="00A41AD7" w:rsidRPr="00DF6B0C" w:rsidRDefault="00A41AD7" w:rsidP="00E7317C">
            <w:pPr>
              <w:jc w:val="center"/>
              <w:rPr>
                <w:b/>
                <w:bCs/>
                <w:sz w:val="18"/>
                <w:szCs w:val="18"/>
              </w:rPr>
            </w:pPr>
            <w:r>
              <w:rPr>
                <w:b/>
                <w:bCs/>
                <w:sz w:val="18"/>
                <w:szCs w:val="18"/>
              </w:rPr>
              <w:t>темп</w:t>
            </w:r>
            <w:r w:rsidRPr="00DF6B0C">
              <w:rPr>
                <w:b/>
                <w:bCs/>
                <w:sz w:val="18"/>
                <w:szCs w:val="18"/>
              </w:rPr>
              <w:t>,%</w:t>
            </w:r>
          </w:p>
        </w:tc>
        <w:tc>
          <w:tcPr>
            <w:tcW w:w="318" w:type="pct"/>
            <w:tcBorders>
              <w:top w:val="single" w:sz="4" w:space="0" w:color="auto"/>
            </w:tcBorders>
            <w:shd w:val="clear" w:color="auto" w:fill="auto"/>
            <w:vAlign w:val="center"/>
            <w:hideMark/>
          </w:tcPr>
          <w:p w:rsidR="00A41AD7" w:rsidRPr="00DF6B0C" w:rsidRDefault="00A41AD7" w:rsidP="00E7317C">
            <w:pPr>
              <w:jc w:val="center"/>
              <w:rPr>
                <w:b/>
                <w:bCs/>
                <w:sz w:val="18"/>
                <w:szCs w:val="18"/>
              </w:rPr>
            </w:pPr>
            <w:r w:rsidRPr="00DF6B0C">
              <w:rPr>
                <w:b/>
                <w:bCs/>
                <w:sz w:val="18"/>
                <w:szCs w:val="18"/>
              </w:rPr>
              <w:t>2022 прогноз</w:t>
            </w:r>
          </w:p>
        </w:tc>
        <w:tc>
          <w:tcPr>
            <w:tcW w:w="265" w:type="pct"/>
            <w:tcBorders>
              <w:top w:val="single" w:sz="4" w:space="0" w:color="auto"/>
            </w:tcBorders>
            <w:shd w:val="clear" w:color="auto" w:fill="auto"/>
            <w:vAlign w:val="center"/>
            <w:hideMark/>
          </w:tcPr>
          <w:p w:rsidR="00A41AD7" w:rsidRPr="00DF6B0C" w:rsidRDefault="00A41AD7" w:rsidP="00E7317C">
            <w:pPr>
              <w:jc w:val="center"/>
              <w:rPr>
                <w:b/>
                <w:bCs/>
                <w:sz w:val="18"/>
                <w:szCs w:val="18"/>
              </w:rPr>
            </w:pPr>
            <w:r>
              <w:rPr>
                <w:b/>
                <w:bCs/>
                <w:sz w:val="18"/>
                <w:szCs w:val="18"/>
              </w:rPr>
              <w:t>темп</w:t>
            </w:r>
            <w:r w:rsidRPr="00DF6B0C">
              <w:rPr>
                <w:b/>
                <w:bCs/>
                <w:sz w:val="18"/>
                <w:szCs w:val="18"/>
              </w:rPr>
              <w:t>,%</w:t>
            </w:r>
          </w:p>
        </w:tc>
        <w:tc>
          <w:tcPr>
            <w:tcW w:w="305" w:type="pct"/>
            <w:tcBorders>
              <w:top w:val="single" w:sz="4" w:space="0" w:color="auto"/>
            </w:tcBorders>
            <w:shd w:val="clear" w:color="auto" w:fill="auto"/>
            <w:vAlign w:val="center"/>
            <w:hideMark/>
          </w:tcPr>
          <w:p w:rsidR="00A41AD7" w:rsidRPr="00DF6B0C" w:rsidRDefault="00A41AD7" w:rsidP="00E7317C">
            <w:pPr>
              <w:jc w:val="center"/>
              <w:rPr>
                <w:b/>
                <w:bCs/>
                <w:sz w:val="18"/>
                <w:szCs w:val="18"/>
              </w:rPr>
            </w:pPr>
            <w:r w:rsidRPr="00DF6B0C">
              <w:rPr>
                <w:b/>
                <w:bCs/>
                <w:sz w:val="18"/>
                <w:szCs w:val="18"/>
              </w:rPr>
              <w:t>2023 прогноз</w:t>
            </w:r>
          </w:p>
        </w:tc>
        <w:tc>
          <w:tcPr>
            <w:tcW w:w="230" w:type="pct"/>
            <w:tcBorders>
              <w:top w:val="single" w:sz="4" w:space="0" w:color="auto"/>
            </w:tcBorders>
            <w:shd w:val="clear" w:color="auto" w:fill="auto"/>
            <w:vAlign w:val="center"/>
            <w:hideMark/>
          </w:tcPr>
          <w:p w:rsidR="00A41AD7" w:rsidRPr="00DF6B0C" w:rsidRDefault="00A41AD7" w:rsidP="00E7317C">
            <w:pPr>
              <w:jc w:val="center"/>
              <w:rPr>
                <w:b/>
                <w:bCs/>
                <w:sz w:val="18"/>
                <w:szCs w:val="18"/>
              </w:rPr>
            </w:pPr>
            <w:r>
              <w:rPr>
                <w:b/>
                <w:bCs/>
                <w:sz w:val="18"/>
                <w:szCs w:val="18"/>
              </w:rPr>
              <w:t>темп</w:t>
            </w:r>
            <w:r w:rsidRPr="00DF6B0C">
              <w:rPr>
                <w:b/>
                <w:bCs/>
                <w:sz w:val="18"/>
                <w:szCs w:val="18"/>
              </w:rPr>
              <w:t>,%</w:t>
            </w:r>
          </w:p>
        </w:tc>
        <w:tc>
          <w:tcPr>
            <w:tcW w:w="340" w:type="pct"/>
            <w:tcBorders>
              <w:top w:val="single" w:sz="4" w:space="0" w:color="auto"/>
            </w:tcBorders>
            <w:shd w:val="clear" w:color="auto" w:fill="auto"/>
            <w:vAlign w:val="center"/>
            <w:hideMark/>
          </w:tcPr>
          <w:p w:rsidR="00A41AD7" w:rsidRPr="00DF6B0C" w:rsidRDefault="00A41AD7" w:rsidP="00E7317C">
            <w:pPr>
              <w:jc w:val="center"/>
              <w:rPr>
                <w:b/>
                <w:bCs/>
                <w:sz w:val="18"/>
                <w:szCs w:val="18"/>
              </w:rPr>
            </w:pPr>
            <w:r w:rsidRPr="00DF6B0C">
              <w:rPr>
                <w:b/>
                <w:bCs/>
                <w:sz w:val="18"/>
                <w:szCs w:val="18"/>
              </w:rPr>
              <w:t>2024 прогноз</w:t>
            </w:r>
          </w:p>
        </w:tc>
        <w:tc>
          <w:tcPr>
            <w:tcW w:w="282" w:type="pct"/>
            <w:tcBorders>
              <w:top w:val="single" w:sz="4" w:space="0" w:color="auto"/>
            </w:tcBorders>
            <w:shd w:val="clear" w:color="auto" w:fill="auto"/>
            <w:vAlign w:val="center"/>
            <w:hideMark/>
          </w:tcPr>
          <w:p w:rsidR="00A41AD7" w:rsidRPr="00DF6B0C" w:rsidRDefault="00A41AD7" w:rsidP="00E7317C">
            <w:pPr>
              <w:jc w:val="center"/>
              <w:rPr>
                <w:b/>
                <w:bCs/>
                <w:sz w:val="18"/>
                <w:szCs w:val="18"/>
              </w:rPr>
            </w:pPr>
            <w:r>
              <w:rPr>
                <w:b/>
                <w:bCs/>
                <w:sz w:val="18"/>
                <w:szCs w:val="18"/>
              </w:rPr>
              <w:t>темп</w:t>
            </w:r>
            <w:r w:rsidRPr="00DF6B0C">
              <w:rPr>
                <w:b/>
                <w:bCs/>
                <w:sz w:val="18"/>
                <w:szCs w:val="18"/>
              </w:rPr>
              <w:t>,%</w:t>
            </w:r>
          </w:p>
        </w:tc>
      </w:tr>
      <w:tr w:rsidR="00A41AD7" w:rsidRPr="00DF6B0C" w:rsidTr="002A33AD">
        <w:trPr>
          <w:trHeight w:val="580"/>
        </w:trPr>
        <w:tc>
          <w:tcPr>
            <w:tcW w:w="526" w:type="pct"/>
            <w:shd w:val="clear" w:color="auto" w:fill="auto"/>
            <w:vAlign w:val="center"/>
            <w:hideMark/>
          </w:tcPr>
          <w:p w:rsidR="00A41AD7" w:rsidRPr="00DF6B0C" w:rsidRDefault="00A41AD7" w:rsidP="00E7317C">
            <w:pPr>
              <w:rPr>
                <w:b/>
                <w:bCs/>
                <w:sz w:val="18"/>
                <w:szCs w:val="18"/>
              </w:rPr>
            </w:pPr>
            <w:r w:rsidRPr="00DF6B0C">
              <w:rPr>
                <w:b/>
                <w:bCs/>
                <w:sz w:val="18"/>
                <w:szCs w:val="18"/>
              </w:rPr>
              <w:t xml:space="preserve">Количество объектов </w:t>
            </w:r>
            <w:r>
              <w:rPr>
                <w:b/>
                <w:bCs/>
                <w:sz w:val="18"/>
                <w:szCs w:val="18"/>
              </w:rPr>
              <w:t>ТС</w:t>
            </w:r>
            <w:r w:rsidRPr="00DF6B0C">
              <w:rPr>
                <w:b/>
                <w:bCs/>
                <w:sz w:val="18"/>
                <w:szCs w:val="18"/>
              </w:rPr>
              <w:t xml:space="preserve"> по видам транспортных средств:</w:t>
            </w:r>
          </w:p>
        </w:tc>
        <w:tc>
          <w:tcPr>
            <w:tcW w:w="402" w:type="pct"/>
            <w:shd w:val="clear" w:color="auto" w:fill="auto"/>
            <w:vAlign w:val="center"/>
            <w:hideMark/>
          </w:tcPr>
          <w:p w:rsidR="00A41AD7" w:rsidRPr="00DF6B0C" w:rsidRDefault="00A41AD7" w:rsidP="00E7317C">
            <w:pPr>
              <w:jc w:val="center"/>
              <w:rPr>
                <w:b/>
                <w:bCs/>
                <w:sz w:val="18"/>
                <w:szCs w:val="18"/>
              </w:rPr>
            </w:pPr>
            <w:r w:rsidRPr="00DF6B0C">
              <w:rPr>
                <w:b/>
                <w:bCs/>
                <w:sz w:val="18"/>
                <w:szCs w:val="18"/>
              </w:rPr>
              <w:t>отчет 5-ТН,стр.2300</w:t>
            </w:r>
          </w:p>
        </w:tc>
        <w:tc>
          <w:tcPr>
            <w:tcW w:w="337" w:type="pct"/>
            <w:shd w:val="clear" w:color="auto" w:fill="auto"/>
            <w:vAlign w:val="center"/>
            <w:hideMark/>
          </w:tcPr>
          <w:p w:rsidR="00A41AD7" w:rsidRPr="00DF6B0C" w:rsidRDefault="00A41AD7" w:rsidP="00E7317C">
            <w:pPr>
              <w:jc w:val="center"/>
              <w:rPr>
                <w:b/>
                <w:bCs/>
                <w:sz w:val="18"/>
                <w:szCs w:val="18"/>
              </w:rPr>
            </w:pPr>
            <w:r w:rsidRPr="00DF6B0C">
              <w:rPr>
                <w:b/>
                <w:bCs/>
                <w:sz w:val="18"/>
                <w:szCs w:val="18"/>
              </w:rPr>
              <w:t>516 623</w:t>
            </w:r>
          </w:p>
        </w:tc>
        <w:tc>
          <w:tcPr>
            <w:tcW w:w="260" w:type="pct"/>
            <w:shd w:val="clear" w:color="auto" w:fill="auto"/>
            <w:vAlign w:val="center"/>
            <w:hideMark/>
          </w:tcPr>
          <w:p w:rsidR="00A41AD7" w:rsidRPr="00DF6B0C" w:rsidRDefault="00A41AD7" w:rsidP="00E7317C">
            <w:pPr>
              <w:jc w:val="center"/>
              <w:rPr>
                <w:b/>
                <w:bCs/>
                <w:sz w:val="18"/>
                <w:szCs w:val="18"/>
              </w:rPr>
            </w:pPr>
            <w:r w:rsidRPr="00DF6B0C">
              <w:rPr>
                <w:b/>
                <w:bCs/>
                <w:sz w:val="18"/>
                <w:szCs w:val="18"/>
              </w:rPr>
              <w:t>103,3</w:t>
            </w:r>
          </w:p>
        </w:tc>
        <w:tc>
          <w:tcPr>
            <w:tcW w:w="324" w:type="pct"/>
            <w:shd w:val="clear" w:color="auto" w:fill="auto"/>
            <w:vAlign w:val="center"/>
            <w:hideMark/>
          </w:tcPr>
          <w:p w:rsidR="00A41AD7" w:rsidRPr="00DF6B0C" w:rsidRDefault="00A41AD7" w:rsidP="00E7317C">
            <w:pPr>
              <w:jc w:val="center"/>
              <w:rPr>
                <w:b/>
                <w:bCs/>
                <w:sz w:val="18"/>
                <w:szCs w:val="18"/>
              </w:rPr>
            </w:pPr>
            <w:r w:rsidRPr="00DF6B0C">
              <w:rPr>
                <w:b/>
                <w:bCs/>
                <w:sz w:val="18"/>
                <w:szCs w:val="18"/>
              </w:rPr>
              <w:t>524 793</w:t>
            </w:r>
          </w:p>
        </w:tc>
        <w:tc>
          <w:tcPr>
            <w:tcW w:w="243" w:type="pct"/>
            <w:shd w:val="clear" w:color="auto" w:fill="auto"/>
            <w:vAlign w:val="center"/>
            <w:hideMark/>
          </w:tcPr>
          <w:p w:rsidR="00A41AD7" w:rsidRPr="00DF6B0C" w:rsidRDefault="00A41AD7" w:rsidP="00E7317C">
            <w:pPr>
              <w:jc w:val="center"/>
              <w:rPr>
                <w:b/>
                <w:bCs/>
                <w:sz w:val="18"/>
                <w:szCs w:val="18"/>
              </w:rPr>
            </w:pPr>
            <w:r w:rsidRPr="00DF6B0C">
              <w:rPr>
                <w:b/>
                <w:bCs/>
                <w:sz w:val="18"/>
                <w:szCs w:val="18"/>
              </w:rPr>
              <w:t>101,6</w:t>
            </w:r>
          </w:p>
        </w:tc>
        <w:tc>
          <w:tcPr>
            <w:tcW w:w="344" w:type="pct"/>
            <w:shd w:val="clear" w:color="auto" w:fill="auto"/>
            <w:vAlign w:val="center"/>
            <w:hideMark/>
          </w:tcPr>
          <w:p w:rsidR="00A41AD7" w:rsidRPr="00DF6B0C" w:rsidRDefault="00A41AD7" w:rsidP="00E7317C">
            <w:pPr>
              <w:jc w:val="center"/>
              <w:rPr>
                <w:b/>
                <w:bCs/>
                <w:sz w:val="18"/>
                <w:szCs w:val="18"/>
              </w:rPr>
            </w:pPr>
            <w:r w:rsidRPr="00DF6B0C">
              <w:rPr>
                <w:b/>
                <w:bCs/>
                <w:sz w:val="18"/>
                <w:szCs w:val="18"/>
              </w:rPr>
              <w:t>527 201</w:t>
            </w:r>
          </w:p>
        </w:tc>
        <w:tc>
          <w:tcPr>
            <w:tcW w:w="240" w:type="pct"/>
            <w:shd w:val="clear" w:color="auto" w:fill="auto"/>
            <w:vAlign w:val="center"/>
            <w:hideMark/>
          </w:tcPr>
          <w:p w:rsidR="00A41AD7" w:rsidRPr="00DF6B0C" w:rsidRDefault="00A41AD7" w:rsidP="00E7317C">
            <w:pPr>
              <w:jc w:val="center"/>
              <w:rPr>
                <w:b/>
                <w:bCs/>
                <w:sz w:val="18"/>
                <w:szCs w:val="18"/>
              </w:rPr>
            </w:pPr>
            <w:r w:rsidRPr="00DF6B0C">
              <w:rPr>
                <w:b/>
                <w:bCs/>
                <w:sz w:val="18"/>
                <w:szCs w:val="18"/>
              </w:rPr>
              <w:t>100,5</w:t>
            </w:r>
          </w:p>
        </w:tc>
        <w:tc>
          <w:tcPr>
            <w:tcW w:w="331" w:type="pct"/>
            <w:shd w:val="clear" w:color="auto" w:fill="auto"/>
            <w:vAlign w:val="center"/>
            <w:hideMark/>
          </w:tcPr>
          <w:p w:rsidR="00A41AD7" w:rsidRPr="00DF6B0C" w:rsidRDefault="00A41AD7" w:rsidP="00E7317C">
            <w:pPr>
              <w:jc w:val="center"/>
              <w:rPr>
                <w:b/>
                <w:bCs/>
                <w:sz w:val="18"/>
                <w:szCs w:val="18"/>
              </w:rPr>
            </w:pPr>
            <w:r w:rsidRPr="00DF6B0C">
              <w:rPr>
                <w:b/>
                <w:bCs/>
                <w:sz w:val="18"/>
                <w:szCs w:val="18"/>
              </w:rPr>
              <w:t>533 714</w:t>
            </w:r>
          </w:p>
        </w:tc>
        <w:tc>
          <w:tcPr>
            <w:tcW w:w="253" w:type="pct"/>
            <w:shd w:val="clear" w:color="auto" w:fill="auto"/>
            <w:vAlign w:val="center"/>
            <w:hideMark/>
          </w:tcPr>
          <w:p w:rsidR="00A41AD7" w:rsidRPr="00DF6B0C" w:rsidRDefault="00A41AD7" w:rsidP="00E7317C">
            <w:pPr>
              <w:jc w:val="center"/>
              <w:rPr>
                <w:b/>
                <w:bCs/>
                <w:sz w:val="18"/>
                <w:szCs w:val="18"/>
              </w:rPr>
            </w:pPr>
            <w:r w:rsidRPr="00DF6B0C">
              <w:rPr>
                <w:b/>
                <w:bCs/>
                <w:sz w:val="18"/>
                <w:szCs w:val="18"/>
              </w:rPr>
              <w:t>101,2</w:t>
            </w:r>
          </w:p>
        </w:tc>
        <w:tc>
          <w:tcPr>
            <w:tcW w:w="318" w:type="pct"/>
            <w:shd w:val="clear" w:color="auto" w:fill="auto"/>
            <w:noWrap/>
            <w:vAlign w:val="center"/>
            <w:hideMark/>
          </w:tcPr>
          <w:p w:rsidR="00A41AD7" w:rsidRPr="00DF6B0C" w:rsidRDefault="00A41AD7" w:rsidP="00E7317C">
            <w:pPr>
              <w:jc w:val="center"/>
              <w:rPr>
                <w:b/>
                <w:bCs/>
                <w:sz w:val="18"/>
                <w:szCs w:val="18"/>
              </w:rPr>
            </w:pPr>
            <w:r w:rsidRPr="00DF6B0C">
              <w:rPr>
                <w:b/>
                <w:bCs/>
                <w:sz w:val="18"/>
                <w:szCs w:val="18"/>
              </w:rPr>
              <w:t>539 487</w:t>
            </w:r>
          </w:p>
        </w:tc>
        <w:tc>
          <w:tcPr>
            <w:tcW w:w="265" w:type="pct"/>
            <w:shd w:val="clear" w:color="auto" w:fill="auto"/>
            <w:noWrap/>
            <w:vAlign w:val="center"/>
            <w:hideMark/>
          </w:tcPr>
          <w:p w:rsidR="00A41AD7" w:rsidRPr="00DF6B0C" w:rsidRDefault="00A41AD7" w:rsidP="00E7317C">
            <w:pPr>
              <w:jc w:val="center"/>
              <w:rPr>
                <w:b/>
                <w:bCs/>
                <w:i/>
                <w:iCs/>
                <w:sz w:val="18"/>
                <w:szCs w:val="18"/>
              </w:rPr>
            </w:pPr>
            <w:r w:rsidRPr="00DF6B0C">
              <w:rPr>
                <w:b/>
                <w:bCs/>
                <w:i/>
                <w:iCs/>
                <w:sz w:val="18"/>
                <w:szCs w:val="18"/>
              </w:rPr>
              <w:t>101,1</w:t>
            </w:r>
          </w:p>
        </w:tc>
        <w:tc>
          <w:tcPr>
            <w:tcW w:w="305" w:type="pct"/>
            <w:shd w:val="clear" w:color="auto" w:fill="auto"/>
            <w:noWrap/>
            <w:vAlign w:val="center"/>
            <w:hideMark/>
          </w:tcPr>
          <w:p w:rsidR="00A41AD7" w:rsidRPr="00DF6B0C" w:rsidRDefault="00A41AD7" w:rsidP="00E7317C">
            <w:pPr>
              <w:jc w:val="center"/>
              <w:rPr>
                <w:b/>
                <w:bCs/>
                <w:sz w:val="18"/>
                <w:szCs w:val="18"/>
              </w:rPr>
            </w:pPr>
            <w:r w:rsidRPr="00DF6B0C">
              <w:rPr>
                <w:b/>
                <w:bCs/>
                <w:sz w:val="18"/>
                <w:szCs w:val="18"/>
              </w:rPr>
              <w:t>546 921</w:t>
            </w:r>
          </w:p>
        </w:tc>
        <w:tc>
          <w:tcPr>
            <w:tcW w:w="230" w:type="pct"/>
            <w:shd w:val="clear" w:color="auto" w:fill="auto"/>
            <w:noWrap/>
            <w:vAlign w:val="center"/>
            <w:hideMark/>
          </w:tcPr>
          <w:p w:rsidR="00A41AD7" w:rsidRPr="00DF6B0C" w:rsidRDefault="00A41AD7" w:rsidP="00E7317C">
            <w:pPr>
              <w:jc w:val="center"/>
              <w:rPr>
                <w:b/>
                <w:bCs/>
                <w:i/>
                <w:iCs/>
                <w:sz w:val="18"/>
                <w:szCs w:val="18"/>
              </w:rPr>
            </w:pPr>
            <w:r w:rsidRPr="00DF6B0C">
              <w:rPr>
                <w:b/>
                <w:bCs/>
                <w:i/>
                <w:iCs/>
                <w:sz w:val="18"/>
                <w:szCs w:val="18"/>
              </w:rPr>
              <w:t>101,4</w:t>
            </w:r>
          </w:p>
        </w:tc>
        <w:tc>
          <w:tcPr>
            <w:tcW w:w="340" w:type="pct"/>
            <w:shd w:val="clear" w:color="auto" w:fill="auto"/>
            <w:noWrap/>
            <w:vAlign w:val="center"/>
            <w:hideMark/>
          </w:tcPr>
          <w:p w:rsidR="00A41AD7" w:rsidRPr="00DF6B0C" w:rsidRDefault="00A41AD7" w:rsidP="00E7317C">
            <w:pPr>
              <w:jc w:val="center"/>
              <w:rPr>
                <w:b/>
                <w:bCs/>
                <w:sz w:val="18"/>
                <w:szCs w:val="18"/>
              </w:rPr>
            </w:pPr>
            <w:r w:rsidRPr="00DF6B0C">
              <w:rPr>
                <w:b/>
                <w:bCs/>
                <w:sz w:val="18"/>
                <w:szCs w:val="18"/>
              </w:rPr>
              <w:t>554 865</w:t>
            </w:r>
          </w:p>
        </w:tc>
        <w:tc>
          <w:tcPr>
            <w:tcW w:w="282" w:type="pct"/>
            <w:shd w:val="clear" w:color="auto" w:fill="auto"/>
            <w:noWrap/>
            <w:vAlign w:val="center"/>
            <w:hideMark/>
          </w:tcPr>
          <w:p w:rsidR="00A41AD7" w:rsidRPr="00DF6B0C" w:rsidRDefault="00A41AD7" w:rsidP="00E7317C">
            <w:pPr>
              <w:jc w:val="center"/>
              <w:rPr>
                <w:b/>
                <w:bCs/>
                <w:i/>
                <w:iCs/>
                <w:sz w:val="18"/>
                <w:szCs w:val="18"/>
              </w:rPr>
            </w:pPr>
            <w:r w:rsidRPr="00DF6B0C">
              <w:rPr>
                <w:b/>
                <w:bCs/>
                <w:i/>
                <w:iCs/>
                <w:sz w:val="18"/>
                <w:szCs w:val="18"/>
              </w:rPr>
              <w:t>101,5</w:t>
            </w:r>
          </w:p>
        </w:tc>
      </w:tr>
      <w:tr w:rsidR="00A41AD7" w:rsidRPr="00DF6B0C" w:rsidTr="002A33AD">
        <w:trPr>
          <w:trHeight w:val="376"/>
        </w:trPr>
        <w:tc>
          <w:tcPr>
            <w:tcW w:w="526" w:type="pct"/>
            <w:shd w:val="clear" w:color="auto" w:fill="auto"/>
            <w:vAlign w:val="center"/>
            <w:hideMark/>
          </w:tcPr>
          <w:p w:rsidR="00A41AD7" w:rsidRPr="00DF6B0C" w:rsidRDefault="00A41AD7" w:rsidP="00E7317C">
            <w:pPr>
              <w:rPr>
                <w:i/>
                <w:iCs/>
                <w:sz w:val="18"/>
                <w:szCs w:val="18"/>
              </w:rPr>
            </w:pPr>
            <w:r w:rsidRPr="00DF6B0C">
              <w:rPr>
                <w:i/>
                <w:iCs/>
                <w:sz w:val="18"/>
                <w:szCs w:val="18"/>
              </w:rPr>
              <w:t>Автомобили легковые с мощностью двигателя:</w:t>
            </w:r>
          </w:p>
        </w:tc>
        <w:tc>
          <w:tcPr>
            <w:tcW w:w="402" w:type="pct"/>
            <w:shd w:val="clear" w:color="auto" w:fill="auto"/>
            <w:vAlign w:val="center"/>
            <w:hideMark/>
          </w:tcPr>
          <w:p w:rsidR="00A41AD7" w:rsidRPr="00DF6B0C" w:rsidRDefault="00A41AD7" w:rsidP="00E7317C">
            <w:pPr>
              <w:jc w:val="center"/>
              <w:rPr>
                <w:i/>
                <w:iCs/>
                <w:sz w:val="18"/>
                <w:szCs w:val="18"/>
              </w:rPr>
            </w:pPr>
            <w:r w:rsidRPr="00DF6B0C">
              <w:rPr>
                <w:i/>
                <w:iCs/>
                <w:sz w:val="18"/>
                <w:szCs w:val="18"/>
              </w:rPr>
              <w:t>отчет 5-ТН,стр.2311</w:t>
            </w:r>
          </w:p>
        </w:tc>
        <w:tc>
          <w:tcPr>
            <w:tcW w:w="337" w:type="pct"/>
            <w:shd w:val="clear" w:color="auto" w:fill="auto"/>
            <w:vAlign w:val="center"/>
            <w:hideMark/>
          </w:tcPr>
          <w:p w:rsidR="00A41AD7" w:rsidRPr="00DF6B0C" w:rsidRDefault="00A41AD7" w:rsidP="00E7317C">
            <w:pPr>
              <w:jc w:val="center"/>
              <w:rPr>
                <w:sz w:val="18"/>
                <w:szCs w:val="18"/>
              </w:rPr>
            </w:pPr>
            <w:r w:rsidRPr="00DF6B0C">
              <w:rPr>
                <w:sz w:val="18"/>
                <w:szCs w:val="18"/>
              </w:rPr>
              <w:t>436 905</w:t>
            </w:r>
          </w:p>
        </w:tc>
        <w:tc>
          <w:tcPr>
            <w:tcW w:w="260" w:type="pct"/>
            <w:shd w:val="clear" w:color="auto" w:fill="auto"/>
            <w:vAlign w:val="center"/>
            <w:hideMark/>
          </w:tcPr>
          <w:p w:rsidR="00A41AD7" w:rsidRPr="00DF6B0C" w:rsidRDefault="00A41AD7" w:rsidP="00E7317C">
            <w:pPr>
              <w:jc w:val="center"/>
              <w:rPr>
                <w:sz w:val="18"/>
                <w:szCs w:val="18"/>
              </w:rPr>
            </w:pPr>
            <w:r w:rsidRPr="00DF6B0C">
              <w:rPr>
                <w:sz w:val="18"/>
                <w:szCs w:val="18"/>
              </w:rPr>
              <w:t>103,6</w:t>
            </w:r>
          </w:p>
        </w:tc>
        <w:tc>
          <w:tcPr>
            <w:tcW w:w="324" w:type="pct"/>
            <w:shd w:val="clear" w:color="auto" w:fill="auto"/>
            <w:vAlign w:val="center"/>
            <w:hideMark/>
          </w:tcPr>
          <w:p w:rsidR="00A41AD7" w:rsidRPr="00DF6B0C" w:rsidRDefault="00A41AD7" w:rsidP="00E7317C">
            <w:pPr>
              <w:jc w:val="center"/>
              <w:rPr>
                <w:sz w:val="18"/>
                <w:szCs w:val="18"/>
              </w:rPr>
            </w:pPr>
            <w:r w:rsidRPr="00DF6B0C">
              <w:rPr>
                <w:sz w:val="18"/>
                <w:szCs w:val="18"/>
              </w:rPr>
              <w:t>444 511</w:t>
            </w:r>
          </w:p>
        </w:tc>
        <w:tc>
          <w:tcPr>
            <w:tcW w:w="243" w:type="pct"/>
            <w:shd w:val="clear" w:color="auto" w:fill="auto"/>
            <w:vAlign w:val="center"/>
            <w:hideMark/>
          </w:tcPr>
          <w:p w:rsidR="00A41AD7" w:rsidRPr="00DF6B0C" w:rsidRDefault="00A41AD7" w:rsidP="00E7317C">
            <w:pPr>
              <w:jc w:val="center"/>
              <w:rPr>
                <w:sz w:val="18"/>
                <w:szCs w:val="18"/>
              </w:rPr>
            </w:pPr>
            <w:r w:rsidRPr="00DF6B0C">
              <w:rPr>
                <w:sz w:val="18"/>
                <w:szCs w:val="18"/>
              </w:rPr>
              <w:t>101,7</w:t>
            </w:r>
          </w:p>
        </w:tc>
        <w:tc>
          <w:tcPr>
            <w:tcW w:w="344" w:type="pct"/>
            <w:shd w:val="clear" w:color="auto" w:fill="auto"/>
            <w:vAlign w:val="center"/>
            <w:hideMark/>
          </w:tcPr>
          <w:p w:rsidR="00A41AD7" w:rsidRPr="00DF6B0C" w:rsidRDefault="00A41AD7" w:rsidP="00E7317C">
            <w:pPr>
              <w:jc w:val="center"/>
              <w:rPr>
                <w:sz w:val="18"/>
                <w:szCs w:val="18"/>
              </w:rPr>
            </w:pPr>
            <w:r w:rsidRPr="00DF6B0C">
              <w:rPr>
                <w:sz w:val="18"/>
                <w:szCs w:val="18"/>
              </w:rPr>
              <w:t>448 087</w:t>
            </w:r>
          </w:p>
        </w:tc>
        <w:tc>
          <w:tcPr>
            <w:tcW w:w="240" w:type="pct"/>
            <w:shd w:val="clear" w:color="auto" w:fill="auto"/>
            <w:vAlign w:val="center"/>
            <w:hideMark/>
          </w:tcPr>
          <w:p w:rsidR="00A41AD7" w:rsidRPr="00DF6B0C" w:rsidRDefault="00A41AD7" w:rsidP="00E7317C">
            <w:pPr>
              <w:jc w:val="center"/>
              <w:rPr>
                <w:sz w:val="18"/>
                <w:szCs w:val="18"/>
              </w:rPr>
            </w:pPr>
            <w:r w:rsidRPr="00DF6B0C">
              <w:rPr>
                <w:sz w:val="18"/>
                <w:szCs w:val="18"/>
              </w:rPr>
              <w:t>100,8</w:t>
            </w:r>
          </w:p>
        </w:tc>
        <w:tc>
          <w:tcPr>
            <w:tcW w:w="331" w:type="pct"/>
            <w:shd w:val="clear" w:color="auto" w:fill="auto"/>
            <w:vAlign w:val="center"/>
            <w:hideMark/>
          </w:tcPr>
          <w:p w:rsidR="00A41AD7" w:rsidRPr="00DF6B0C" w:rsidRDefault="00A41AD7" w:rsidP="00E7317C">
            <w:pPr>
              <w:jc w:val="center"/>
              <w:rPr>
                <w:sz w:val="18"/>
                <w:szCs w:val="18"/>
              </w:rPr>
            </w:pPr>
            <w:r w:rsidRPr="00DF6B0C">
              <w:rPr>
                <w:sz w:val="18"/>
                <w:szCs w:val="18"/>
              </w:rPr>
              <w:t>454 707</w:t>
            </w:r>
          </w:p>
        </w:tc>
        <w:tc>
          <w:tcPr>
            <w:tcW w:w="253" w:type="pct"/>
            <w:shd w:val="clear" w:color="auto" w:fill="auto"/>
            <w:vAlign w:val="center"/>
            <w:hideMark/>
          </w:tcPr>
          <w:p w:rsidR="00A41AD7" w:rsidRPr="00DF6B0C" w:rsidRDefault="00A41AD7" w:rsidP="00E7317C">
            <w:pPr>
              <w:jc w:val="center"/>
              <w:rPr>
                <w:sz w:val="18"/>
                <w:szCs w:val="18"/>
              </w:rPr>
            </w:pPr>
            <w:r w:rsidRPr="00DF6B0C">
              <w:rPr>
                <w:sz w:val="18"/>
                <w:szCs w:val="18"/>
              </w:rPr>
              <w:t>101,5</w:t>
            </w:r>
          </w:p>
        </w:tc>
        <w:tc>
          <w:tcPr>
            <w:tcW w:w="318" w:type="pct"/>
            <w:shd w:val="clear" w:color="auto" w:fill="auto"/>
            <w:noWrap/>
            <w:vAlign w:val="center"/>
            <w:hideMark/>
          </w:tcPr>
          <w:p w:rsidR="00A41AD7" w:rsidRPr="00DF6B0C" w:rsidRDefault="00A41AD7" w:rsidP="00E7317C">
            <w:pPr>
              <w:jc w:val="center"/>
              <w:rPr>
                <w:sz w:val="18"/>
                <w:szCs w:val="18"/>
              </w:rPr>
            </w:pPr>
            <w:r w:rsidRPr="00DF6B0C">
              <w:rPr>
                <w:sz w:val="18"/>
                <w:szCs w:val="18"/>
              </w:rPr>
              <w:t>460 955</w:t>
            </w:r>
          </w:p>
        </w:tc>
        <w:tc>
          <w:tcPr>
            <w:tcW w:w="265" w:type="pct"/>
            <w:shd w:val="clear" w:color="auto" w:fill="auto"/>
            <w:noWrap/>
            <w:vAlign w:val="center"/>
            <w:hideMark/>
          </w:tcPr>
          <w:p w:rsidR="00A41AD7" w:rsidRPr="00DF6B0C" w:rsidRDefault="00A41AD7" w:rsidP="00E7317C">
            <w:pPr>
              <w:jc w:val="center"/>
              <w:rPr>
                <w:i/>
                <w:iCs/>
                <w:sz w:val="18"/>
                <w:szCs w:val="18"/>
              </w:rPr>
            </w:pPr>
            <w:r w:rsidRPr="00DF6B0C">
              <w:rPr>
                <w:i/>
                <w:iCs/>
                <w:sz w:val="18"/>
                <w:szCs w:val="18"/>
              </w:rPr>
              <w:t>101,4</w:t>
            </w:r>
          </w:p>
        </w:tc>
        <w:tc>
          <w:tcPr>
            <w:tcW w:w="305" w:type="pct"/>
            <w:shd w:val="clear" w:color="auto" w:fill="auto"/>
            <w:noWrap/>
            <w:vAlign w:val="center"/>
            <w:hideMark/>
          </w:tcPr>
          <w:p w:rsidR="00A41AD7" w:rsidRPr="00DF6B0C" w:rsidRDefault="00A41AD7" w:rsidP="00E7317C">
            <w:pPr>
              <w:jc w:val="center"/>
              <w:rPr>
                <w:sz w:val="18"/>
                <w:szCs w:val="18"/>
              </w:rPr>
            </w:pPr>
            <w:r w:rsidRPr="00DF6B0C">
              <w:rPr>
                <w:sz w:val="18"/>
                <w:szCs w:val="18"/>
              </w:rPr>
              <w:t>468 522</w:t>
            </w:r>
          </w:p>
        </w:tc>
        <w:tc>
          <w:tcPr>
            <w:tcW w:w="230" w:type="pct"/>
            <w:shd w:val="clear" w:color="auto" w:fill="auto"/>
            <w:noWrap/>
            <w:vAlign w:val="center"/>
            <w:hideMark/>
          </w:tcPr>
          <w:p w:rsidR="00A41AD7" w:rsidRPr="00DF6B0C" w:rsidRDefault="00A41AD7" w:rsidP="00E7317C">
            <w:pPr>
              <w:jc w:val="center"/>
              <w:rPr>
                <w:i/>
                <w:iCs/>
                <w:sz w:val="18"/>
                <w:szCs w:val="18"/>
              </w:rPr>
            </w:pPr>
            <w:r w:rsidRPr="00DF6B0C">
              <w:rPr>
                <w:i/>
                <w:iCs/>
                <w:sz w:val="18"/>
                <w:szCs w:val="18"/>
              </w:rPr>
              <w:t>101,6</w:t>
            </w:r>
          </w:p>
        </w:tc>
        <w:tc>
          <w:tcPr>
            <w:tcW w:w="340" w:type="pct"/>
            <w:shd w:val="clear" w:color="auto" w:fill="auto"/>
            <w:noWrap/>
            <w:vAlign w:val="center"/>
            <w:hideMark/>
          </w:tcPr>
          <w:p w:rsidR="00A41AD7" w:rsidRPr="00DF6B0C" w:rsidRDefault="00A41AD7" w:rsidP="00E7317C">
            <w:pPr>
              <w:jc w:val="center"/>
              <w:rPr>
                <w:sz w:val="18"/>
                <w:szCs w:val="18"/>
              </w:rPr>
            </w:pPr>
            <w:r w:rsidRPr="00DF6B0C">
              <w:rPr>
                <w:sz w:val="18"/>
                <w:szCs w:val="18"/>
              </w:rPr>
              <w:t>476 614</w:t>
            </w:r>
          </w:p>
        </w:tc>
        <w:tc>
          <w:tcPr>
            <w:tcW w:w="282" w:type="pct"/>
            <w:shd w:val="clear" w:color="auto" w:fill="auto"/>
            <w:noWrap/>
            <w:vAlign w:val="center"/>
            <w:hideMark/>
          </w:tcPr>
          <w:p w:rsidR="00A41AD7" w:rsidRPr="00DF6B0C" w:rsidRDefault="00A41AD7" w:rsidP="00E7317C">
            <w:pPr>
              <w:jc w:val="center"/>
              <w:rPr>
                <w:i/>
                <w:iCs/>
                <w:sz w:val="18"/>
                <w:szCs w:val="18"/>
              </w:rPr>
            </w:pPr>
            <w:r w:rsidRPr="00DF6B0C">
              <w:rPr>
                <w:i/>
                <w:iCs/>
                <w:sz w:val="18"/>
                <w:szCs w:val="18"/>
              </w:rPr>
              <w:t>101,7</w:t>
            </w:r>
          </w:p>
        </w:tc>
      </w:tr>
      <w:tr w:rsidR="00A41AD7" w:rsidRPr="00DF6B0C" w:rsidTr="002A33AD">
        <w:trPr>
          <w:trHeight w:val="368"/>
        </w:trPr>
        <w:tc>
          <w:tcPr>
            <w:tcW w:w="526" w:type="pct"/>
            <w:shd w:val="clear" w:color="auto" w:fill="auto"/>
            <w:vAlign w:val="center"/>
            <w:hideMark/>
          </w:tcPr>
          <w:p w:rsidR="00A41AD7" w:rsidRPr="00DF6B0C" w:rsidRDefault="00A41AD7" w:rsidP="00E7317C">
            <w:pPr>
              <w:rPr>
                <w:sz w:val="18"/>
                <w:szCs w:val="18"/>
              </w:rPr>
            </w:pPr>
            <w:r w:rsidRPr="00DF6B0C">
              <w:rPr>
                <w:sz w:val="18"/>
                <w:szCs w:val="18"/>
              </w:rPr>
              <w:t>до 100 л.с. (до 73,55 кВт) включительно</w:t>
            </w:r>
          </w:p>
        </w:tc>
        <w:tc>
          <w:tcPr>
            <w:tcW w:w="402" w:type="pct"/>
            <w:shd w:val="clear" w:color="auto" w:fill="auto"/>
            <w:vAlign w:val="center"/>
            <w:hideMark/>
          </w:tcPr>
          <w:p w:rsidR="00A41AD7" w:rsidRPr="00DF6B0C" w:rsidRDefault="00A41AD7" w:rsidP="00E7317C">
            <w:pPr>
              <w:jc w:val="center"/>
              <w:rPr>
                <w:sz w:val="18"/>
                <w:szCs w:val="18"/>
              </w:rPr>
            </w:pPr>
            <w:r w:rsidRPr="00DF6B0C">
              <w:rPr>
                <w:sz w:val="18"/>
                <w:szCs w:val="18"/>
              </w:rPr>
              <w:t>отчет 5-ТН,стр.2312</w:t>
            </w:r>
          </w:p>
        </w:tc>
        <w:tc>
          <w:tcPr>
            <w:tcW w:w="337"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237 983</w:t>
            </w:r>
          </w:p>
        </w:tc>
        <w:tc>
          <w:tcPr>
            <w:tcW w:w="260"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100,5</w:t>
            </w:r>
          </w:p>
        </w:tc>
        <w:tc>
          <w:tcPr>
            <w:tcW w:w="324"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234 499</w:t>
            </w:r>
          </w:p>
        </w:tc>
        <w:tc>
          <w:tcPr>
            <w:tcW w:w="243"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98,5</w:t>
            </w:r>
          </w:p>
        </w:tc>
        <w:tc>
          <w:tcPr>
            <w:tcW w:w="344"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228 551</w:t>
            </w:r>
          </w:p>
        </w:tc>
        <w:tc>
          <w:tcPr>
            <w:tcW w:w="240"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97,5</w:t>
            </w:r>
          </w:p>
        </w:tc>
        <w:tc>
          <w:tcPr>
            <w:tcW w:w="331"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223 980</w:t>
            </w:r>
          </w:p>
        </w:tc>
        <w:tc>
          <w:tcPr>
            <w:tcW w:w="253"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98,0</w:t>
            </w:r>
          </w:p>
        </w:tc>
        <w:tc>
          <w:tcPr>
            <w:tcW w:w="318"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219 052</w:t>
            </w:r>
          </w:p>
        </w:tc>
        <w:tc>
          <w:tcPr>
            <w:tcW w:w="265" w:type="pct"/>
            <w:shd w:val="clear" w:color="auto" w:fill="auto"/>
            <w:noWrap/>
            <w:vAlign w:val="center"/>
            <w:hideMark/>
          </w:tcPr>
          <w:p w:rsidR="00A41AD7" w:rsidRPr="00DF6B0C" w:rsidRDefault="00A41AD7" w:rsidP="00E7317C">
            <w:pPr>
              <w:jc w:val="center"/>
              <w:rPr>
                <w:i/>
                <w:iCs/>
                <w:color w:val="000000"/>
                <w:sz w:val="18"/>
                <w:szCs w:val="18"/>
              </w:rPr>
            </w:pPr>
            <w:r w:rsidRPr="00DF6B0C">
              <w:rPr>
                <w:i/>
                <w:iCs/>
                <w:color w:val="000000"/>
                <w:sz w:val="18"/>
                <w:szCs w:val="18"/>
              </w:rPr>
              <w:t>97,8</w:t>
            </w:r>
          </w:p>
        </w:tc>
        <w:tc>
          <w:tcPr>
            <w:tcW w:w="305"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214 452</w:t>
            </w:r>
          </w:p>
        </w:tc>
        <w:tc>
          <w:tcPr>
            <w:tcW w:w="230" w:type="pct"/>
            <w:shd w:val="clear" w:color="auto" w:fill="auto"/>
            <w:noWrap/>
            <w:vAlign w:val="center"/>
            <w:hideMark/>
          </w:tcPr>
          <w:p w:rsidR="00A41AD7" w:rsidRPr="00DF6B0C" w:rsidRDefault="00A41AD7" w:rsidP="00E7317C">
            <w:pPr>
              <w:jc w:val="center"/>
              <w:rPr>
                <w:i/>
                <w:iCs/>
                <w:color w:val="000000"/>
                <w:sz w:val="18"/>
                <w:szCs w:val="18"/>
              </w:rPr>
            </w:pPr>
            <w:r w:rsidRPr="00DF6B0C">
              <w:rPr>
                <w:i/>
                <w:iCs/>
                <w:color w:val="000000"/>
                <w:sz w:val="18"/>
                <w:szCs w:val="18"/>
              </w:rPr>
              <w:t>97,9</w:t>
            </w:r>
          </w:p>
        </w:tc>
        <w:tc>
          <w:tcPr>
            <w:tcW w:w="340"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209 949</w:t>
            </w:r>
          </w:p>
        </w:tc>
        <w:tc>
          <w:tcPr>
            <w:tcW w:w="282" w:type="pct"/>
            <w:shd w:val="clear" w:color="auto" w:fill="auto"/>
            <w:noWrap/>
            <w:vAlign w:val="center"/>
            <w:hideMark/>
          </w:tcPr>
          <w:p w:rsidR="00A41AD7" w:rsidRPr="00DF6B0C" w:rsidRDefault="00A41AD7" w:rsidP="00E7317C">
            <w:pPr>
              <w:jc w:val="center"/>
              <w:rPr>
                <w:i/>
                <w:iCs/>
                <w:color w:val="000000"/>
                <w:sz w:val="18"/>
                <w:szCs w:val="18"/>
              </w:rPr>
            </w:pPr>
            <w:r w:rsidRPr="00DF6B0C">
              <w:rPr>
                <w:i/>
                <w:iCs/>
                <w:color w:val="000000"/>
                <w:sz w:val="18"/>
                <w:szCs w:val="18"/>
              </w:rPr>
              <w:t>97,9</w:t>
            </w:r>
          </w:p>
        </w:tc>
      </w:tr>
      <w:tr w:rsidR="00A41AD7" w:rsidRPr="00DF6B0C" w:rsidTr="002A33AD">
        <w:trPr>
          <w:trHeight w:val="656"/>
        </w:trPr>
        <w:tc>
          <w:tcPr>
            <w:tcW w:w="526" w:type="pct"/>
            <w:shd w:val="clear" w:color="auto" w:fill="auto"/>
            <w:vAlign w:val="center"/>
            <w:hideMark/>
          </w:tcPr>
          <w:p w:rsidR="00A41AD7" w:rsidRPr="00DF6B0C" w:rsidRDefault="00A41AD7" w:rsidP="00E7317C">
            <w:pPr>
              <w:rPr>
                <w:sz w:val="18"/>
                <w:szCs w:val="18"/>
              </w:rPr>
            </w:pPr>
            <w:r w:rsidRPr="00DF6B0C">
              <w:rPr>
                <w:sz w:val="18"/>
                <w:szCs w:val="18"/>
              </w:rPr>
              <w:t>свыше 100 л.с. до 150 л.с. (свыше 73,55 кВт до 110,33 кВт) включительно</w:t>
            </w:r>
          </w:p>
        </w:tc>
        <w:tc>
          <w:tcPr>
            <w:tcW w:w="402" w:type="pct"/>
            <w:shd w:val="clear" w:color="auto" w:fill="auto"/>
            <w:vAlign w:val="center"/>
            <w:hideMark/>
          </w:tcPr>
          <w:p w:rsidR="00A41AD7" w:rsidRPr="00DF6B0C" w:rsidRDefault="00A41AD7" w:rsidP="00E7317C">
            <w:pPr>
              <w:jc w:val="center"/>
              <w:rPr>
                <w:sz w:val="18"/>
                <w:szCs w:val="18"/>
              </w:rPr>
            </w:pPr>
            <w:r w:rsidRPr="00DF6B0C">
              <w:rPr>
                <w:sz w:val="18"/>
                <w:szCs w:val="18"/>
              </w:rPr>
              <w:t>отчет 5-ТН,стр.2313</w:t>
            </w:r>
          </w:p>
        </w:tc>
        <w:tc>
          <w:tcPr>
            <w:tcW w:w="337"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156 008</w:t>
            </w:r>
          </w:p>
        </w:tc>
        <w:tc>
          <w:tcPr>
            <w:tcW w:w="260"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107,9</w:t>
            </w:r>
          </w:p>
        </w:tc>
        <w:tc>
          <w:tcPr>
            <w:tcW w:w="324"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165 319</w:t>
            </w:r>
          </w:p>
        </w:tc>
        <w:tc>
          <w:tcPr>
            <w:tcW w:w="243"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106,0</w:t>
            </w:r>
          </w:p>
        </w:tc>
        <w:tc>
          <w:tcPr>
            <w:tcW w:w="344"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173 229</w:t>
            </w:r>
          </w:p>
        </w:tc>
        <w:tc>
          <w:tcPr>
            <w:tcW w:w="240"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104,8</w:t>
            </w:r>
          </w:p>
        </w:tc>
        <w:tc>
          <w:tcPr>
            <w:tcW w:w="331"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182 583</w:t>
            </w:r>
          </w:p>
        </w:tc>
        <w:tc>
          <w:tcPr>
            <w:tcW w:w="253"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105,4</w:t>
            </w:r>
          </w:p>
        </w:tc>
        <w:tc>
          <w:tcPr>
            <w:tcW w:w="318"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191 895</w:t>
            </w:r>
          </w:p>
        </w:tc>
        <w:tc>
          <w:tcPr>
            <w:tcW w:w="265" w:type="pct"/>
            <w:shd w:val="clear" w:color="auto" w:fill="auto"/>
            <w:noWrap/>
            <w:vAlign w:val="center"/>
            <w:hideMark/>
          </w:tcPr>
          <w:p w:rsidR="00A41AD7" w:rsidRPr="00DF6B0C" w:rsidRDefault="00A41AD7" w:rsidP="00E7317C">
            <w:pPr>
              <w:jc w:val="center"/>
              <w:rPr>
                <w:i/>
                <w:iCs/>
                <w:color w:val="000000"/>
                <w:sz w:val="18"/>
                <w:szCs w:val="18"/>
              </w:rPr>
            </w:pPr>
            <w:r w:rsidRPr="00DF6B0C">
              <w:rPr>
                <w:i/>
                <w:iCs/>
                <w:color w:val="000000"/>
                <w:sz w:val="18"/>
                <w:szCs w:val="18"/>
              </w:rPr>
              <w:t>105,1</w:t>
            </w:r>
          </w:p>
        </w:tc>
        <w:tc>
          <w:tcPr>
            <w:tcW w:w="305"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202 065</w:t>
            </w:r>
          </w:p>
        </w:tc>
        <w:tc>
          <w:tcPr>
            <w:tcW w:w="230" w:type="pct"/>
            <w:shd w:val="clear" w:color="auto" w:fill="auto"/>
            <w:noWrap/>
            <w:vAlign w:val="center"/>
            <w:hideMark/>
          </w:tcPr>
          <w:p w:rsidR="00A41AD7" w:rsidRPr="00DF6B0C" w:rsidRDefault="00A41AD7" w:rsidP="00E7317C">
            <w:pPr>
              <w:jc w:val="center"/>
              <w:rPr>
                <w:i/>
                <w:iCs/>
                <w:color w:val="000000"/>
                <w:sz w:val="18"/>
                <w:szCs w:val="18"/>
              </w:rPr>
            </w:pPr>
            <w:r w:rsidRPr="00DF6B0C">
              <w:rPr>
                <w:i/>
                <w:iCs/>
                <w:color w:val="000000"/>
                <w:sz w:val="18"/>
                <w:szCs w:val="18"/>
              </w:rPr>
              <w:t>105,3</w:t>
            </w:r>
          </w:p>
        </w:tc>
        <w:tc>
          <w:tcPr>
            <w:tcW w:w="340"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212 572</w:t>
            </w:r>
          </w:p>
        </w:tc>
        <w:tc>
          <w:tcPr>
            <w:tcW w:w="282" w:type="pct"/>
            <w:shd w:val="clear" w:color="auto" w:fill="auto"/>
            <w:noWrap/>
            <w:vAlign w:val="center"/>
            <w:hideMark/>
          </w:tcPr>
          <w:p w:rsidR="00A41AD7" w:rsidRPr="00DF6B0C" w:rsidRDefault="00A41AD7" w:rsidP="00E7317C">
            <w:pPr>
              <w:jc w:val="center"/>
              <w:rPr>
                <w:i/>
                <w:iCs/>
                <w:color w:val="000000"/>
                <w:sz w:val="18"/>
                <w:szCs w:val="18"/>
              </w:rPr>
            </w:pPr>
            <w:r w:rsidRPr="00DF6B0C">
              <w:rPr>
                <w:i/>
                <w:iCs/>
                <w:color w:val="000000"/>
                <w:sz w:val="18"/>
                <w:szCs w:val="18"/>
              </w:rPr>
              <w:t>105,2</w:t>
            </w:r>
          </w:p>
        </w:tc>
      </w:tr>
      <w:tr w:rsidR="00A41AD7" w:rsidRPr="00DF6B0C" w:rsidTr="002A33AD">
        <w:trPr>
          <w:trHeight w:val="425"/>
        </w:trPr>
        <w:tc>
          <w:tcPr>
            <w:tcW w:w="526" w:type="pct"/>
            <w:shd w:val="clear" w:color="auto" w:fill="auto"/>
            <w:vAlign w:val="center"/>
            <w:hideMark/>
          </w:tcPr>
          <w:p w:rsidR="00A41AD7" w:rsidRPr="00DF6B0C" w:rsidRDefault="00A41AD7" w:rsidP="00E7317C">
            <w:pPr>
              <w:rPr>
                <w:sz w:val="18"/>
                <w:szCs w:val="18"/>
              </w:rPr>
            </w:pPr>
            <w:r w:rsidRPr="00DF6B0C">
              <w:rPr>
                <w:sz w:val="18"/>
                <w:szCs w:val="18"/>
              </w:rPr>
              <w:t>свыше 150 л.с. до 200 л.с. (свыше 110,33 кВт до 147,1 кВт) включительно</w:t>
            </w:r>
          </w:p>
        </w:tc>
        <w:tc>
          <w:tcPr>
            <w:tcW w:w="402" w:type="pct"/>
            <w:shd w:val="clear" w:color="auto" w:fill="auto"/>
            <w:vAlign w:val="center"/>
            <w:hideMark/>
          </w:tcPr>
          <w:p w:rsidR="00A41AD7" w:rsidRPr="00DF6B0C" w:rsidRDefault="00A41AD7" w:rsidP="00E7317C">
            <w:pPr>
              <w:jc w:val="center"/>
              <w:rPr>
                <w:sz w:val="18"/>
                <w:szCs w:val="18"/>
              </w:rPr>
            </w:pPr>
            <w:r w:rsidRPr="00DF6B0C">
              <w:rPr>
                <w:sz w:val="18"/>
                <w:szCs w:val="18"/>
              </w:rPr>
              <w:t>отчет 5-ТН,стр.2314</w:t>
            </w:r>
          </w:p>
        </w:tc>
        <w:tc>
          <w:tcPr>
            <w:tcW w:w="337"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26 956</w:t>
            </w:r>
          </w:p>
        </w:tc>
        <w:tc>
          <w:tcPr>
            <w:tcW w:w="260"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106,8</w:t>
            </w:r>
          </w:p>
        </w:tc>
        <w:tc>
          <w:tcPr>
            <w:tcW w:w="324"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28 242</w:t>
            </w:r>
          </w:p>
        </w:tc>
        <w:tc>
          <w:tcPr>
            <w:tcW w:w="243"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104,8</w:t>
            </w:r>
          </w:p>
        </w:tc>
        <w:tc>
          <w:tcPr>
            <w:tcW w:w="344"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29 603</w:t>
            </w:r>
          </w:p>
        </w:tc>
        <w:tc>
          <w:tcPr>
            <w:tcW w:w="240"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104,8</w:t>
            </w:r>
          </w:p>
        </w:tc>
        <w:tc>
          <w:tcPr>
            <w:tcW w:w="331"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31 024</w:t>
            </w:r>
          </w:p>
        </w:tc>
        <w:tc>
          <w:tcPr>
            <w:tcW w:w="253"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104,8</w:t>
            </w:r>
          </w:p>
        </w:tc>
        <w:tc>
          <w:tcPr>
            <w:tcW w:w="318"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32 513</w:t>
            </w:r>
          </w:p>
        </w:tc>
        <w:tc>
          <w:tcPr>
            <w:tcW w:w="265" w:type="pct"/>
            <w:shd w:val="clear" w:color="auto" w:fill="auto"/>
            <w:noWrap/>
            <w:vAlign w:val="center"/>
            <w:hideMark/>
          </w:tcPr>
          <w:p w:rsidR="00A41AD7" w:rsidRPr="00DF6B0C" w:rsidRDefault="00A41AD7" w:rsidP="00E7317C">
            <w:pPr>
              <w:jc w:val="center"/>
              <w:rPr>
                <w:i/>
                <w:iCs/>
                <w:color w:val="000000"/>
                <w:sz w:val="18"/>
                <w:szCs w:val="18"/>
              </w:rPr>
            </w:pPr>
            <w:r w:rsidRPr="00DF6B0C">
              <w:rPr>
                <w:i/>
                <w:iCs/>
                <w:color w:val="000000"/>
                <w:sz w:val="18"/>
                <w:szCs w:val="18"/>
              </w:rPr>
              <w:t>104,8</w:t>
            </w:r>
          </w:p>
        </w:tc>
        <w:tc>
          <w:tcPr>
            <w:tcW w:w="305"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34 074</w:t>
            </w:r>
          </w:p>
        </w:tc>
        <w:tc>
          <w:tcPr>
            <w:tcW w:w="230" w:type="pct"/>
            <w:shd w:val="clear" w:color="auto" w:fill="auto"/>
            <w:noWrap/>
            <w:vAlign w:val="center"/>
            <w:hideMark/>
          </w:tcPr>
          <w:p w:rsidR="00A41AD7" w:rsidRPr="00DF6B0C" w:rsidRDefault="00A41AD7" w:rsidP="00E7317C">
            <w:pPr>
              <w:jc w:val="center"/>
              <w:rPr>
                <w:i/>
                <w:iCs/>
                <w:color w:val="000000"/>
                <w:sz w:val="18"/>
                <w:szCs w:val="18"/>
              </w:rPr>
            </w:pPr>
            <w:r w:rsidRPr="00DF6B0C">
              <w:rPr>
                <w:i/>
                <w:iCs/>
                <w:color w:val="000000"/>
                <w:sz w:val="18"/>
                <w:szCs w:val="18"/>
              </w:rPr>
              <w:t>104,8</w:t>
            </w:r>
          </w:p>
        </w:tc>
        <w:tc>
          <w:tcPr>
            <w:tcW w:w="340"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35 710</w:t>
            </w:r>
          </w:p>
        </w:tc>
        <w:tc>
          <w:tcPr>
            <w:tcW w:w="282" w:type="pct"/>
            <w:shd w:val="clear" w:color="auto" w:fill="auto"/>
            <w:noWrap/>
            <w:vAlign w:val="center"/>
            <w:hideMark/>
          </w:tcPr>
          <w:p w:rsidR="00A41AD7" w:rsidRPr="00DF6B0C" w:rsidRDefault="00A41AD7" w:rsidP="00E7317C">
            <w:pPr>
              <w:jc w:val="center"/>
              <w:rPr>
                <w:i/>
                <w:iCs/>
                <w:color w:val="000000"/>
                <w:sz w:val="18"/>
                <w:szCs w:val="18"/>
              </w:rPr>
            </w:pPr>
            <w:r w:rsidRPr="00DF6B0C">
              <w:rPr>
                <w:i/>
                <w:iCs/>
                <w:color w:val="000000"/>
                <w:sz w:val="18"/>
                <w:szCs w:val="18"/>
              </w:rPr>
              <w:t>104,8</w:t>
            </w:r>
          </w:p>
        </w:tc>
      </w:tr>
      <w:tr w:rsidR="00A41AD7" w:rsidRPr="00DF6B0C" w:rsidTr="002A33AD">
        <w:trPr>
          <w:trHeight w:val="491"/>
        </w:trPr>
        <w:tc>
          <w:tcPr>
            <w:tcW w:w="526" w:type="pct"/>
            <w:shd w:val="clear" w:color="auto" w:fill="auto"/>
            <w:vAlign w:val="center"/>
            <w:hideMark/>
          </w:tcPr>
          <w:p w:rsidR="00A41AD7" w:rsidRPr="00DF6B0C" w:rsidRDefault="00A41AD7" w:rsidP="00E7317C">
            <w:pPr>
              <w:rPr>
                <w:sz w:val="18"/>
                <w:szCs w:val="18"/>
              </w:rPr>
            </w:pPr>
            <w:r w:rsidRPr="00DF6B0C">
              <w:rPr>
                <w:sz w:val="18"/>
                <w:szCs w:val="18"/>
              </w:rPr>
              <w:t>свыше 200 л.с. до 250 л.с. (свыше 147,1 кВт до 183,9 кВт) включительно</w:t>
            </w:r>
          </w:p>
        </w:tc>
        <w:tc>
          <w:tcPr>
            <w:tcW w:w="402" w:type="pct"/>
            <w:shd w:val="clear" w:color="auto" w:fill="auto"/>
            <w:vAlign w:val="center"/>
            <w:hideMark/>
          </w:tcPr>
          <w:p w:rsidR="00A41AD7" w:rsidRPr="00DF6B0C" w:rsidRDefault="00A41AD7" w:rsidP="00E7317C">
            <w:pPr>
              <w:jc w:val="center"/>
              <w:rPr>
                <w:sz w:val="18"/>
                <w:szCs w:val="18"/>
              </w:rPr>
            </w:pPr>
            <w:r w:rsidRPr="00DF6B0C">
              <w:rPr>
                <w:sz w:val="18"/>
                <w:szCs w:val="18"/>
              </w:rPr>
              <w:t>отчет 5-ТН,стр.2315</w:t>
            </w:r>
          </w:p>
        </w:tc>
        <w:tc>
          <w:tcPr>
            <w:tcW w:w="337"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10 106</w:t>
            </w:r>
          </w:p>
        </w:tc>
        <w:tc>
          <w:tcPr>
            <w:tcW w:w="260"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107,4</w:t>
            </w:r>
          </w:p>
        </w:tc>
        <w:tc>
          <w:tcPr>
            <w:tcW w:w="324"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10 725</w:t>
            </w:r>
          </w:p>
        </w:tc>
        <w:tc>
          <w:tcPr>
            <w:tcW w:w="243"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106,1</w:t>
            </w:r>
          </w:p>
        </w:tc>
        <w:tc>
          <w:tcPr>
            <w:tcW w:w="344"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11 117</w:t>
            </w:r>
          </w:p>
        </w:tc>
        <w:tc>
          <w:tcPr>
            <w:tcW w:w="240"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103,7</w:t>
            </w:r>
          </w:p>
        </w:tc>
        <w:tc>
          <w:tcPr>
            <w:tcW w:w="331"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11 662</w:t>
            </w:r>
          </w:p>
        </w:tc>
        <w:tc>
          <w:tcPr>
            <w:tcW w:w="253"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104,9</w:t>
            </w:r>
          </w:p>
        </w:tc>
        <w:tc>
          <w:tcPr>
            <w:tcW w:w="318"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12 163</w:t>
            </w:r>
          </w:p>
        </w:tc>
        <w:tc>
          <w:tcPr>
            <w:tcW w:w="265" w:type="pct"/>
            <w:shd w:val="clear" w:color="auto" w:fill="auto"/>
            <w:noWrap/>
            <w:vAlign w:val="center"/>
            <w:hideMark/>
          </w:tcPr>
          <w:p w:rsidR="00A41AD7" w:rsidRPr="00DF6B0C" w:rsidRDefault="00A41AD7" w:rsidP="00E7317C">
            <w:pPr>
              <w:jc w:val="center"/>
              <w:rPr>
                <w:i/>
                <w:iCs/>
                <w:color w:val="000000"/>
                <w:sz w:val="18"/>
                <w:szCs w:val="18"/>
              </w:rPr>
            </w:pPr>
            <w:r w:rsidRPr="00DF6B0C">
              <w:rPr>
                <w:i/>
                <w:iCs/>
                <w:color w:val="000000"/>
                <w:sz w:val="18"/>
                <w:szCs w:val="18"/>
              </w:rPr>
              <w:t>104,3</w:t>
            </w:r>
          </w:p>
        </w:tc>
        <w:tc>
          <w:tcPr>
            <w:tcW w:w="305"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12 722</w:t>
            </w:r>
          </w:p>
        </w:tc>
        <w:tc>
          <w:tcPr>
            <w:tcW w:w="230" w:type="pct"/>
            <w:shd w:val="clear" w:color="auto" w:fill="auto"/>
            <w:noWrap/>
            <w:vAlign w:val="center"/>
            <w:hideMark/>
          </w:tcPr>
          <w:p w:rsidR="00A41AD7" w:rsidRPr="00DF6B0C" w:rsidRDefault="00A41AD7" w:rsidP="00E7317C">
            <w:pPr>
              <w:jc w:val="center"/>
              <w:rPr>
                <w:i/>
                <w:iCs/>
                <w:color w:val="000000"/>
                <w:sz w:val="18"/>
                <w:szCs w:val="18"/>
              </w:rPr>
            </w:pPr>
            <w:r w:rsidRPr="00DF6B0C">
              <w:rPr>
                <w:i/>
                <w:iCs/>
                <w:color w:val="000000"/>
                <w:sz w:val="18"/>
                <w:szCs w:val="18"/>
              </w:rPr>
              <w:t>104,6</w:t>
            </w:r>
          </w:p>
        </w:tc>
        <w:tc>
          <w:tcPr>
            <w:tcW w:w="340"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13 294</w:t>
            </w:r>
          </w:p>
        </w:tc>
        <w:tc>
          <w:tcPr>
            <w:tcW w:w="282" w:type="pct"/>
            <w:shd w:val="clear" w:color="auto" w:fill="auto"/>
            <w:noWrap/>
            <w:vAlign w:val="center"/>
            <w:hideMark/>
          </w:tcPr>
          <w:p w:rsidR="00A41AD7" w:rsidRPr="00DF6B0C" w:rsidRDefault="00A41AD7" w:rsidP="00E7317C">
            <w:pPr>
              <w:jc w:val="center"/>
              <w:rPr>
                <w:i/>
                <w:iCs/>
                <w:color w:val="000000"/>
                <w:sz w:val="18"/>
                <w:szCs w:val="18"/>
              </w:rPr>
            </w:pPr>
            <w:r w:rsidRPr="00DF6B0C">
              <w:rPr>
                <w:i/>
                <w:iCs/>
                <w:color w:val="000000"/>
                <w:sz w:val="18"/>
                <w:szCs w:val="18"/>
              </w:rPr>
              <w:t>104,5</w:t>
            </w:r>
          </w:p>
        </w:tc>
      </w:tr>
      <w:tr w:rsidR="00A41AD7" w:rsidRPr="00DF6B0C" w:rsidTr="002A33AD">
        <w:trPr>
          <w:trHeight w:val="288"/>
        </w:trPr>
        <w:tc>
          <w:tcPr>
            <w:tcW w:w="526" w:type="pct"/>
            <w:shd w:val="clear" w:color="auto" w:fill="auto"/>
            <w:vAlign w:val="center"/>
            <w:hideMark/>
          </w:tcPr>
          <w:p w:rsidR="00A41AD7" w:rsidRPr="00DF6B0C" w:rsidRDefault="00A41AD7" w:rsidP="00E7317C">
            <w:pPr>
              <w:rPr>
                <w:sz w:val="18"/>
                <w:szCs w:val="18"/>
              </w:rPr>
            </w:pPr>
            <w:r w:rsidRPr="00DF6B0C">
              <w:rPr>
                <w:sz w:val="18"/>
                <w:szCs w:val="18"/>
              </w:rPr>
              <w:t>свыше 250 л.с. (свыше 183,9 кВт)</w:t>
            </w:r>
          </w:p>
        </w:tc>
        <w:tc>
          <w:tcPr>
            <w:tcW w:w="402" w:type="pct"/>
            <w:shd w:val="clear" w:color="auto" w:fill="auto"/>
            <w:vAlign w:val="center"/>
            <w:hideMark/>
          </w:tcPr>
          <w:p w:rsidR="00A41AD7" w:rsidRPr="00DF6B0C" w:rsidRDefault="00A41AD7" w:rsidP="00E7317C">
            <w:pPr>
              <w:jc w:val="center"/>
              <w:rPr>
                <w:sz w:val="18"/>
                <w:szCs w:val="18"/>
              </w:rPr>
            </w:pPr>
            <w:r w:rsidRPr="00DF6B0C">
              <w:rPr>
                <w:sz w:val="18"/>
                <w:szCs w:val="18"/>
              </w:rPr>
              <w:t>отчет 5-ТН,стр.2316</w:t>
            </w:r>
          </w:p>
        </w:tc>
        <w:tc>
          <w:tcPr>
            <w:tcW w:w="337"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5 852</w:t>
            </w:r>
          </w:p>
        </w:tc>
        <w:tc>
          <w:tcPr>
            <w:tcW w:w="260"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107,6</w:t>
            </w:r>
          </w:p>
        </w:tc>
        <w:tc>
          <w:tcPr>
            <w:tcW w:w="324"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5 726</w:t>
            </w:r>
          </w:p>
        </w:tc>
        <w:tc>
          <w:tcPr>
            <w:tcW w:w="243"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97,8</w:t>
            </w:r>
          </w:p>
        </w:tc>
        <w:tc>
          <w:tcPr>
            <w:tcW w:w="344"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5 587</w:t>
            </w:r>
          </w:p>
        </w:tc>
        <w:tc>
          <w:tcPr>
            <w:tcW w:w="240"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97,6</w:t>
            </w:r>
          </w:p>
        </w:tc>
        <w:tc>
          <w:tcPr>
            <w:tcW w:w="331"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5 458</w:t>
            </w:r>
          </w:p>
        </w:tc>
        <w:tc>
          <w:tcPr>
            <w:tcW w:w="253"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97,7</w:t>
            </w:r>
          </w:p>
        </w:tc>
        <w:tc>
          <w:tcPr>
            <w:tcW w:w="318"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5 332</w:t>
            </w:r>
          </w:p>
        </w:tc>
        <w:tc>
          <w:tcPr>
            <w:tcW w:w="265" w:type="pct"/>
            <w:shd w:val="clear" w:color="auto" w:fill="auto"/>
            <w:noWrap/>
            <w:vAlign w:val="center"/>
            <w:hideMark/>
          </w:tcPr>
          <w:p w:rsidR="00A41AD7" w:rsidRPr="00DF6B0C" w:rsidRDefault="00A41AD7" w:rsidP="00E7317C">
            <w:pPr>
              <w:jc w:val="center"/>
              <w:rPr>
                <w:i/>
                <w:iCs/>
                <w:color w:val="000000"/>
                <w:sz w:val="18"/>
                <w:szCs w:val="18"/>
              </w:rPr>
            </w:pPr>
            <w:r w:rsidRPr="00DF6B0C">
              <w:rPr>
                <w:i/>
                <w:iCs/>
                <w:color w:val="000000"/>
                <w:sz w:val="18"/>
                <w:szCs w:val="18"/>
              </w:rPr>
              <w:t>97,7</w:t>
            </w:r>
          </w:p>
        </w:tc>
        <w:tc>
          <w:tcPr>
            <w:tcW w:w="305"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5 209</w:t>
            </w:r>
          </w:p>
        </w:tc>
        <w:tc>
          <w:tcPr>
            <w:tcW w:w="230" w:type="pct"/>
            <w:shd w:val="clear" w:color="auto" w:fill="auto"/>
            <w:noWrap/>
            <w:vAlign w:val="center"/>
            <w:hideMark/>
          </w:tcPr>
          <w:p w:rsidR="00A41AD7" w:rsidRPr="00DF6B0C" w:rsidRDefault="00A41AD7" w:rsidP="00E7317C">
            <w:pPr>
              <w:jc w:val="center"/>
              <w:rPr>
                <w:i/>
                <w:iCs/>
                <w:color w:val="000000"/>
                <w:sz w:val="18"/>
                <w:szCs w:val="18"/>
              </w:rPr>
            </w:pPr>
            <w:r w:rsidRPr="00DF6B0C">
              <w:rPr>
                <w:i/>
                <w:iCs/>
                <w:color w:val="000000"/>
                <w:sz w:val="18"/>
                <w:szCs w:val="18"/>
              </w:rPr>
              <w:t>97,7</w:t>
            </w:r>
          </w:p>
        </w:tc>
        <w:tc>
          <w:tcPr>
            <w:tcW w:w="340"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5 089</w:t>
            </w:r>
          </w:p>
        </w:tc>
        <w:tc>
          <w:tcPr>
            <w:tcW w:w="282" w:type="pct"/>
            <w:shd w:val="clear" w:color="auto" w:fill="auto"/>
            <w:noWrap/>
            <w:vAlign w:val="center"/>
            <w:hideMark/>
          </w:tcPr>
          <w:p w:rsidR="00A41AD7" w:rsidRPr="00DF6B0C" w:rsidRDefault="00A41AD7" w:rsidP="00E7317C">
            <w:pPr>
              <w:jc w:val="center"/>
              <w:rPr>
                <w:i/>
                <w:iCs/>
                <w:color w:val="000000"/>
                <w:sz w:val="18"/>
                <w:szCs w:val="18"/>
              </w:rPr>
            </w:pPr>
            <w:r w:rsidRPr="00DF6B0C">
              <w:rPr>
                <w:i/>
                <w:iCs/>
                <w:color w:val="000000"/>
                <w:sz w:val="18"/>
                <w:szCs w:val="18"/>
              </w:rPr>
              <w:t>97,7</w:t>
            </w:r>
          </w:p>
        </w:tc>
      </w:tr>
      <w:tr w:rsidR="00A41AD7" w:rsidRPr="00DF6B0C" w:rsidTr="00E7317C">
        <w:trPr>
          <w:trHeight w:val="750"/>
        </w:trPr>
        <w:tc>
          <w:tcPr>
            <w:tcW w:w="526" w:type="pct"/>
            <w:shd w:val="clear" w:color="auto" w:fill="auto"/>
            <w:vAlign w:val="center"/>
            <w:hideMark/>
          </w:tcPr>
          <w:p w:rsidR="00A41AD7" w:rsidRPr="00DF6B0C" w:rsidRDefault="00A41AD7" w:rsidP="00E7317C">
            <w:pPr>
              <w:rPr>
                <w:i/>
                <w:iCs/>
                <w:sz w:val="18"/>
                <w:szCs w:val="18"/>
              </w:rPr>
            </w:pPr>
            <w:r w:rsidRPr="00DF6B0C">
              <w:rPr>
                <w:i/>
                <w:iCs/>
                <w:sz w:val="18"/>
                <w:szCs w:val="18"/>
              </w:rPr>
              <w:t>Мотоциклы и мотороллеры с мощностью двигателя:</w:t>
            </w:r>
          </w:p>
        </w:tc>
        <w:tc>
          <w:tcPr>
            <w:tcW w:w="402" w:type="pct"/>
            <w:shd w:val="clear" w:color="auto" w:fill="auto"/>
            <w:vAlign w:val="center"/>
            <w:hideMark/>
          </w:tcPr>
          <w:p w:rsidR="00A41AD7" w:rsidRPr="00DF6B0C" w:rsidRDefault="00A41AD7" w:rsidP="00E7317C">
            <w:pPr>
              <w:jc w:val="center"/>
              <w:rPr>
                <w:i/>
                <w:iCs/>
                <w:sz w:val="18"/>
                <w:szCs w:val="18"/>
              </w:rPr>
            </w:pPr>
            <w:r w:rsidRPr="00DF6B0C">
              <w:rPr>
                <w:i/>
                <w:iCs/>
                <w:sz w:val="18"/>
                <w:szCs w:val="18"/>
              </w:rPr>
              <w:t>отчет 5-ТН,стр.2321</w:t>
            </w:r>
          </w:p>
        </w:tc>
        <w:tc>
          <w:tcPr>
            <w:tcW w:w="337" w:type="pct"/>
            <w:shd w:val="clear" w:color="auto" w:fill="auto"/>
            <w:vAlign w:val="center"/>
            <w:hideMark/>
          </w:tcPr>
          <w:p w:rsidR="00A41AD7" w:rsidRPr="00DF6B0C" w:rsidRDefault="00A41AD7" w:rsidP="00E7317C">
            <w:pPr>
              <w:jc w:val="center"/>
              <w:rPr>
                <w:sz w:val="18"/>
                <w:szCs w:val="18"/>
              </w:rPr>
            </w:pPr>
            <w:r w:rsidRPr="00DF6B0C">
              <w:rPr>
                <w:sz w:val="18"/>
                <w:szCs w:val="18"/>
              </w:rPr>
              <w:t>15 812</w:t>
            </w:r>
          </w:p>
        </w:tc>
        <w:tc>
          <w:tcPr>
            <w:tcW w:w="260" w:type="pct"/>
            <w:shd w:val="clear" w:color="auto" w:fill="auto"/>
            <w:vAlign w:val="center"/>
            <w:hideMark/>
          </w:tcPr>
          <w:p w:rsidR="00A41AD7" w:rsidRPr="00DF6B0C" w:rsidRDefault="00A41AD7" w:rsidP="00E7317C">
            <w:pPr>
              <w:jc w:val="center"/>
              <w:rPr>
                <w:sz w:val="18"/>
                <w:szCs w:val="18"/>
              </w:rPr>
            </w:pPr>
            <w:r w:rsidRPr="00DF6B0C">
              <w:rPr>
                <w:sz w:val="18"/>
                <w:szCs w:val="18"/>
              </w:rPr>
              <w:t>100,2</w:t>
            </w:r>
          </w:p>
        </w:tc>
        <w:tc>
          <w:tcPr>
            <w:tcW w:w="324" w:type="pct"/>
            <w:shd w:val="clear" w:color="auto" w:fill="auto"/>
            <w:vAlign w:val="center"/>
            <w:hideMark/>
          </w:tcPr>
          <w:p w:rsidR="00A41AD7" w:rsidRPr="00DF6B0C" w:rsidRDefault="00A41AD7" w:rsidP="00E7317C">
            <w:pPr>
              <w:jc w:val="center"/>
              <w:rPr>
                <w:sz w:val="18"/>
                <w:szCs w:val="18"/>
              </w:rPr>
            </w:pPr>
            <w:r w:rsidRPr="00DF6B0C">
              <w:rPr>
                <w:sz w:val="18"/>
                <w:szCs w:val="18"/>
              </w:rPr>
              <w:t>15 915</w:t>
            </w:r>
          </w:p>
        </w:tc>
        <w:tc>
          <w:tcPr>
            <w:tcW w:w="243" w:type="pct"/>
            <w:shd w:val="clear" w:color="auto" w:fill="auto"/>
            <w:vAlign w:val="center"/>
            <w:hideMark/>
          </w:tcPr>
          <w:p w:rsidR="00A41AD7" w:rsidRPr="00DF6B0C" w:rsidRDefault="00A41AD7" w:rsidP="00E7317C">
            <w:pPr>
              <w:jc w:val="center"/>
              <w:rPr>
                <w:sz w:val="18"/>
                <w:szCs w:val="18"/>
              </w:rPr>
            </w:pPr>
            <w:r w:rsidRPr="00DF6B0C">
              <w:rPr>
                <w:sz w:val="18"/>
                <w:szCs w:val="18"/>
              </w:rPr>
              <w:t>100,7</w:t>
            </w:r>
          </w:p>
        </w:tc>
        <w:tc>
          <w:tcPr>
            <w:tcW w:w="344" w:type="pct"/>
            <w:shd w:val="clear" w:color="auto" w:fill="auto"/>
            <w:vAlign w:val="center"/>
            <w:hideMark/>
          </w:tcPr>
          <w:p w:rsidR="00A41AD7" w:rsidRPr="00DF6B0C" w:rsidRDefault="00A41AD7" w:rsidP="00E7317C">
            <w:pPr>
              <w:jc w:val="center"/>
              <w:rPr>
                <w:sz w:val="18"/>
                <w:szCs w:val="18"/>
              </w:rPr>
            </w:pPr>
            <w:r w:rsidRPr="00DF6B0C">
              <w:rPr>
                <w:sz w:val="18"/>
                <w:szCs w:val="18"/>
              </w:rPr>
              <w:t>15 847</w:t>
            </w:r>
          </w:p>
        </w:tc>
        <w:tc>
          <w:tcPr>
            <w:tcW w:w="240" w:type="pct"/>
            <w:shd w:val="clear" w:color="auto" w:fill="auto"/>
            <w:vAlign w:val="center"/>
            <w:hideMark/>
          </w:tcPr>
          <w:p w:rsidR="00A41AD7" w:rsidRPr="00DF6B0C" w:rsidRDefault="00A41AD7" w:rsidP="00E7317C">
            <w:pPr>
              <w:jc w:val="center"/>
              <w:rPr>
                <w:sz w:val="18"/>
                <w:szCs w:val="18"/>
              </w:rPr>
            </w:pPr>
            <w:r w:rsidRPr="00DF6B0C">
              <w:rPr>
                <w:sz w:val="18"/>
                <w:szCs w:val="18"/>
              </w:rPr>
              <w:t>99,6</w:t>
            </w:r>
          </w:p>
        </w:tc>
        <w:tc>
          <w:tcPr>
            <w:tcW w:w="331" w:type="pct"/>
            <w:shd w:val="clear" w:color="auto" w:fill="auto"/>
            <w:vAlign w:val="center"/>
            <w:hideMark/>
          </w:tcPr>
          <w:p w:rsidR="00A41AD7" w:rsidRPr="00DF6B0C" w:rsidRDefault="00A41AD7" w:rsidP="00E7317C">
            <w:pPr>
              <w:jc w:val="center"/>
              <w:rPr>
                <w:sz w:val="18"/>
                <w:szCs w:val="18"/>
              </w:rPr>
            </w:pPr>
            <w:r w:rsidRPr="00DF6B0C">
              <w:rPr>
                <w:sz w:val="18"/>
                <w:szCs w:val="18"/>
              </w:rPr>
              <w:t>15 887</w:t>
            </w:r>
          </w:p>
        </w:tc>
        <w:tc>
          <w:tcPr>
            <w:tcW w:w="253" w:type="pct"/>
            <w:shd w:val="clear" w:color="auto" w:fill="auto"/>
            <w:vAlign w:val="center"/>
            <w:hideMark/>
          </w:tcPr>
          <w:p w:rsidR="00A41AD7" w:rsidRPr="00DF6B0C" w:rsidRDefault="00A41AD7" w:rsidP="00E7317C">
            <w:pPr>
              <w:jc w:val="center"/>
              <w:rPr>
                <w:sz w:val="18"/>
                <w:szCs w:val="18"/>
              </w:rPr>
            </w:pPr>
            <w:r w:rsidRPr="00DF6B0C">
              <w:rPr>
                <w:sz w:val="18"/>
                <w:szCs w:val="18"/>
              </w:rPr>
              <w:t>100,3</w:t>
            </w:r>
          </w:p>
        </w:tc>
        <w:tc>
          <w:tcPr>
            <w:tcW w:w="318"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15 893</w:t>
            </w:r>
          </w:p>
        </w:tc>
        <w:tc>
          <w:tcPr>
            <w:tcW w:w="265" w:type="pct"/>
            <w:shd w:val="clear" w:color="auto" w:fill="auto"/>
            <w:noWrap/>
            <w:vAlign w:val="center"/>
            <w:hideMark/>
          </w:tcPr>
          <w:p w:rsidR="00A41AD7" w:rsidRPr="00DF6B0C" w:rsidRDefault="00A41AD7" w:rsidP="00E7317C">
            <w:pPr>
              <w:jc w:val="center"/>
              <w:rPr>
                <w:i/>
                <w:iCs/>
                <w:color w:val="000000"/>
                <w:sz w:val="18"/>
                <w:szCs w:val="18"/>
              </w:rPr>
            </w:pPr>
            <w:r w:rsidRPr="00DF6B0C">
              <w:rPr>
                <w:i/>
                <w:iCs/>
                <w:color w:val="000000"/>
                <w:sz w:val="18"/>
                <w:szCs w:val="18"/>
              </w:rPr>
              <w:t>100,0</w:t>
            </w:r>
          </w:p>
        </w:tc>
        <w:tc>
          <w:tcPr>
            <w:tcW w:w="305"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15 939</w:t>
            </w:r>
          </w:p>
        </w:tc>
        <w:tc>
          <w:tcPr>
            <w:tcW w:w="230" w:type="pct"/>
            <w:shd w:val="clear" w:color="auto" w:fill="auto"/>
            <w:noWrap/>
            <w:vAlign w:val="center"/>
            <w:hideMark/>
          </w:tcPr>
          <w:p w:rsidR="00A41AD7" w:rsidRPr="00DF6B0C" w:rsidRDefault="00A41AD7" w:rsidP="00E7317C">
            <w:pPr>
              <w:jc w:val="center"/>
              <w:rPr>
                <w:i/>
                <w:iCs/>
                <w:color w:val="000000"/>
                <w:sz w:val="18"/>
                <w:szCs w:val="18"/>
              </w:rPr>
            </w:pPr>
            <w:r w:rsidRPr="00DF6B0C">
              <w:rPr>
                <w:i/>
                <w:iCs/>
                <w:color w:val="000000"/>
                <w:sz w:val="18"/>
                <w:szCs w:val="18"/>
              </w:rPr>
              <w:t>100,3</w:t>
            </w:r>
          </w:p>
        </w:tc>
        <w:tc>
          <w:tcPr>
            <w:tcW w:w="340"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15 993</w:t>
            </w:r>
          </w:p>
        </w:tc>
        <w:tc>
          <w:tcPr>
            <w:tcW w:w="282" w:type="pct"/>
            <w:shd w:val="clear" w:color="auto" w:fill="auto"/>
            <w:noWrap/>
            <w:vAlign w:val="center"/>
            <w:hideMark/>
          </w:tcPr>
          <w:p w:rsidR="00A41AD7" w:rsidRPr="00DF6B0C" w:rsidRDefault="00A41AD7" w:rsidP="00E7317C">
            <w:pPr>
              <w:jc w:val="center"/>
              <w:rPr>
                <w:i/>
                <w:iCs/>
                <w:color w:val="000000"/>
                <w:sz w:val="18"/>
                <w:szCs w:val="18"/>
              </w:rPr>
            </w:pPr>
            <w:r w:rsidRPr="00DF6B0C">
              <w:rPr>
                <w:i/>
                <w:iCs/>
                <w:color w:val="000000"/>
                <w:sz w:val="18"/>
                <w:szCs w:val="18"/>
              </w:rPr>
              <w:t>100,3</w:t>
            </w:r>
          </w:p>
        </w:tc>
      </w:tr>
      <w:tr w:rsidR="00A41AD7" w:rsidRPr="00DF6B0C" w:rsidTr="002A33AD">
        <w:trPr>
          <w:trHeight w:val="248"/>
        </w:trPr>
        <w:tc>
          <w:tcPr>
            <w:tcW w:w="526" w:type="pct"/>
            <w:shd w:val="clear" w:color="auto" w:fill="auto"/>
            <w:vAlign w:val="center"/>
            <w:hideMark/>
          </w:tcPr>
          <w:p w:rsidR="00A41AD7" w:rsidRPr="00DF6B0C" w:rsidRDefault="00A41AD7" w:rsidP="00E7317C">
            <w:pPr>
              <w:rPr>
                <w:sz w:val="18"/>
                <w:szCs w:val="18"/>
              </w:rPr>
            </w:pPr>
            <w:r w:rsidRPr="00DF6B0C">
              <w:rPr>
                <w:sz w:val="18"/>
                <w:szCs w:val="18"/>
              </w:rPr>
              <w:t>до 20 л.с. (до 14,7 кВт) включительно</w:t>
            </w:r>
          </w:p>
        </w:tc>
        <w:tc>
          <w:tcPr>
            <w:tcW w:w="402" w:type="pct"/>
            <w:shd w:val="clear" w:color="auto" w:fill="auto"/>
            <w:vAlign w:val="center"/>
            <w:hideMark/>
          </w:tcPr>
          <w:p w:rsidR="00A41AD7" w:rsidRPr="00DF6B0C" w:rsidRDefault="00A41AD7" w:rsidP="00E7317C">
            <w:pPr>
              <w:jc w:val="center"/>
              <w:rPr>
                <w:sz w:val="18"/>
                <w:szCs w:val="18"/>
              </w:rPr>
            </w:pPr>
            <w:r w:rsidRPr="00DF6B0C">
              <w:rPr>
                <w:sz w:val="18"/>
                <w:szCs w:val="18"/>
              </w:rPr>
              <w:t>отчет 5-ТН,стр.2322</w:t>
            </w:r>
          </w:p>
        </w:tc>
        <w:tc>
          <w:tcPr>
            <w:tcW w:w="337"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7 332</w:t>
            </w:r>
          </w:p>
        </w:tc>
        <w:tc>
          <w:tcPr>
            <w:tcW w:w="260"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99,1</w:t>
            </w:r>
          </w:p>
        </w:tc>
        <w:tc>
          <w:tcPr>
            <w:tcW w:w="324"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7 305</w:t>
            </w:r>
          </w:p>
        </w:tc>
        <w:tc>
          <w:tcPr>
            <w:tcW w:w="243"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99,6</w:t>
            </w:r>
          </w:p>
        </w:tc>
        <w:tc>
          <w:tcPr>
            <w:tcW w:w="344"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7 228</w:t>
            </w:r>
          </w:p>
        </w:tc>
        <w:tc>
          <w:tcPr>
            <w:tcW w:w="240"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98,9</w:t>
            </w:r>
          </w:p>
        </w:tc>
        <w:tc>
          <w:tcPr>
            <w:tcW w:w="331"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7 177</w:t>
            </w:r>
          </w:p>
        </w:tc>
        <w:tc>
          <w:tcPr>
            <w:tcW w:w="253"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99,3</w:t>
            </w:r>
          </w:p>
        </w:tc>
        <w:tc>
          <w:tcPr>
            <w:tcW w:w="318"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7 112</w:t>
            </w:r>
          </w:p>
        </w:tc>
        <w:tc>
          <w:tcPr>
            <w:tcW w:w="265" w:type="pct"/>
            <w:shd w:val="clear" w:color="auto" w:fill="auto"/>
            <w:noWrap/>
            <w:vAlign w:val="center"/>
            <w:hideMark/>
          </w:tcPr>
          <w:p w:rsidR="00A41AD7" w:rsidRPr="00DF6B0C" w:rsidRDefault="00A41AD7" w:rsidP="00E7317C">
            <w:pPr>
              <w:jc w:val="center"/>
              <w:rPr>
                <w:i/>
                <w:iCs/>
                <w:color w:val="000000"/>
                <w:sz w:val="18"/>
                <w:szCs w:val="18"/>
              </w:rPr>
            </w:pPr>
            <w:r w:rsidRPr="00DF6B0C">
              <w:rPr>
                <w:i/>
                <w:iCs/>
                <w:color w:val="000000"/>
                <w:sz w:val="18"/>
                <w:szCs w:val="18"/>
              </w:rPr>
              <w:t>99,1</w:t>
            </w:r>
          </w:p>
        </w:tc>
        <w:tc>
          <w:tcPr>
            <w:tcW w:w="305"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7 055</w:t>
            </w:r>
          </w:p>
        </w:tc>
        <w:tc>
          <w:tcPr>
            <w:tcW w:w="230" w:type="pct"/>
            <w:shd w:val="clear" w:color="auto" w:fill="auto"/>
            <w:noWrap/>
            <w:vAlign w:val="center"/>
            <w:hideMark/>
          </w:tcPr>
          <w:p w:rsidR="00A41AD7" w:rsidRPr="00DF6B0C" w:rsidRDefault="00A41AD7" w:rsidP="00E7317C">
            <w:pPr>
              <w:jc w:val="center"/>
              <w:rPr>
                <w:i/>
                <w:iCs/>
                <w:color w:val="000000"/>
                <w:sz w:val="18"/>
                <w:szCs w:val="18"/>
              </w:rPr>
            </w:pPr>
            <w:r w:rsidRPr="00DF6B0C">
              <w:rPr>
                <w:i/>
                <w:iCs/>
                <w:color w:val="000000"/>
                <w:sz w:val="18"/>
                <w:szCs w:val="18"/>
              </w:rPr>
              <w:t>99,2</w:t>
            </w:r>
          </w:p>
        </w:tc>
        <w:tc>
          <w:tcPr>
            <w:tcW w:w="340"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6 999</w:t>
            </w:r>
          </w:p>
        </w:tc>
        <w:tc>
          <w:tcPr>
            <w:tcW w:w="282" w:type="pct"/>
            <w:shd w:val="clear" w:color="auto" w:fill="auto"/>
            <w:noWrap/>
            <w:vAlign w:val="center"/>
            <w:hideMark/>
          </w:tcPr>
          <w:p w:rsidR="00A41AD7" w:rsidRPr="00DF6B0C" w:rsidRDefault="00A41AD7" w:rsidP="00E7317C">
            <w:pPr>
              <w:jc w:val="center"/>
              <w:rPr>
                <w:i/>
                <w:iCs/>
                <w:color w:val="000000"/>
                <w:sz w:val="18"/>
                <w:szCs w:val="18"/>
              </w:rPr>
            </w:pPr>
            <w:r w:rsidRPr="00DF6B0C">
              <w:rPr>
                <w:i/>
                <w:iCs/>
                <w:color w:val="000000"/>
                <w:sz w:val="18"/>
                <w:szCs w:val="18"/>
              </w:rPr>
              <w:t>99,2</w:t>
            </w:r>
          </w:p>
        </w:tc>
      </w:tr>
      <w:tr w:rsidR="00A41AD7" w:rsidRPr="00DF6B0C" w:rsidTr="002A33AD">
        <w:trPr>
          <w:trHeight w:val="226"/>
        </w:trPr>
        <w:tc>
          <w:tcPr>
            <w:tcW w:w="526" w:type="pct"/>
            <w:shd w:val="clear" w:color="auto" w:fill="auto"/>
            <w:vAlign w:val="center"/>
            <w:hideMark/>
          </w:tcPr>
          <w:p w:rsidR="00A41AD7" w:rsidRPr="00DF6B0C" w:rsidRDefault="00A41AD7" w:rsidP="00E7317C">
            <w:pPr>
              <w:rPr>
                <w:sz w:val="18"/>
                <w:szCs w:val="18"/>
              </w:rPr>
            </w:pPr>
            <w:r w:rsidRPr="00DF6B0C">
              <w:rPr>
                <w:sz w:val="18"/>
                <w:szCs w:val="18"/>
              </w:rPr>
              <w:t>свыше 20 л.с. до 35 л.с. (свыше 14,7 кВт до 25,74 кВт) включительно</w:t>
            </w:r>
          </w:p>
        </w:tc>
        <w:tc>
          <w:tcPr>
            <w:tcW w:w="402" w:type="pct"/>
            <w:shd w:val="clear" w:color="auto" w:fill="auto"/>
            <w:vAlign w:val="center"/>
            <w:hideMark/>
          </w:tcPr>
          <w:p w:rsidR="00A41AD7" w:rsidRPr="00DF6B0C" w:rsidRDefault="00A41AD7" w:rsidP="00E7317C">
            <w:pPr>
              <w:jc w:val="center"/>
              <w:rPr>
                <w:sz w:val="18"/>
                <w:szCs w:val="18"/>
              </w:rPr>
            </w:pPr>
            <w:r w:rsidRPr="00DF6B0C">
              <w:rPr>
                <w:sz w:val="18"/>
                <w:szCs w:val="18"/>
              </w:rPr>
              <w:t>отчет 5-ТН,стр.2323</w:t>
            </w:r>
          </w:p>
        </w:tc>
        <w:tc>
          <w:tcPr>
            <w:tcW w:w="337"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4 927</w:t>
            </w:r>
          </w:p>
        </w:tc>
        <w:tc>
          <w:tcPr>
            <w:tcW w:w="260"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97,4</w:t>
            </w:r>
          </w:p>
        </w:tc>
        <w:tc>
          <w:tcPr>
            <w:tcW w:w="324"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4 839</w:t>
            </w:r>
          </w:p>
        </w:tc>
        <w:tc>
          <w:tcPr>
            <w:tcW w:w="243"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98,2</w:t>
            </w:r>
          </w:p>
        </w:tc>
        <w:tc>
          <w:tcPr>
            <w:tcW w:w="344"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4 674</w:t>
            </w:r>
          </w:p>
        </w:tc>
        <w:tc>
          <w:tcPr>
            <w:tcW w:w="240"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96,6</w:t>
            </w:r>
          </w:p>
        </w:tc>
        <w:tc>
          <w:tcPr>
            <w:tcW w:w="331"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4 552</w:t>
            </w:r>
          </w:p>
        </w:tc>
        <w:tc>
          <w:tcPr>
            <w:tcW w:w="253"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97,4</w:t>
            </w:r>
          </w:p>
        </w:tc>
        <w:tc>
          <w:tcPr>
            <w:tcW w:w="318"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4 415</w:t>
            </w:r>
          </w:p>
        </w:tc>
        <w:tc>
          <w:tcPr>
            <w:tcW w:w="265" w:type="pct"/>
            <w:shd w:val="clear" w:color="auto" w:fill="auto"/>
            <w:noWrap/>
            <w:vAlign w:val="center"/>
            <w:hideMark/>
          </w:tcPr>
          <w:p w:rsidR="00A41AD7" w:rsidRPr="00DF6B0C" w:rsidRDefault="00A41AD7" w:rsidP="00E7317C">
            <w:pPr>
              <w:jc w:val="center"/>
              <w:rPr>
                <w:i/>
                <w:iCs/>
                <w:color w:val="000000"/>
                <w:sz w:val="18"/>
                <w:szCs w:val="18"/>
              </w:rPr>
            </w:pPr>
            <w:r w:rsidRPr="00DF6B0C">
              <w:rPr>
                <w:i/>
                <w:iCs/>
                <w:color w:val="000000"/>
                <w:sz w:val="18"/>
                <w:szCs w:val="18"/>
              </w:rPr>
              <w:t>97,0</w:t>
            </w:r>
          </w:p>
        </w:tc>
        <w:tc>
          <w:tcPr>
            <w:tcW w:w="305"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4 291</w:t>
            </w:r>
          </w:p>
        </w:tc>
        <w:tc>
          <w:tcPr>
            <w:tcW w:w="230" w:type="pct"/>
            <w:shd w:val="clear" w:color="auto" w:fill="auto"/>
            <w:noWrap/>
            <w:vAlign w:val="center"/>
            <w:hideMark/>
          </w:tcPr>
          <w:p w:rsidR="00A41AD7" w:rsidRPr="00DF6B0C" w:rsidRDefault="00A41AD7" w:rsidP="00E7317C">
            <w:pPr>
              <w:jc w:val="center"/>
              <w:rPr>
                <w:i/>
                <w:iCs/>
                <w:color w:val="000000"/>
                <w:sz w:val="18"/>
                <w:szCs w:val="18"/>
              </w:rPr>
            </w:pPr>
            <w:r w:rsidRPr="00DF6B0C">
              <w:rPr>
                <w:i/>
                <w:iCs/>
                <w:color w:val="000000"/>
                <w:sz w:val="18"/>
                <w:szCs w:val="18"/>
              </w:rPr>
              <w:t>97,2</w:t>
            </w:r>
          </w:p>
        </w:tc>
        <w:tc>
          <w:tcPr>
            <w:tcW w:w="340"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4 167</w:t>
            </w:r>
          </w:p>
        </w:tc>
        <w:tc>
          <w:tcPr>
            <w:tcW w:w="282" w:type="pct"/>
            <w:shd w:val="clear" w:color="auto" w:fill="auto"/>
            <w:noWrap/>
            <w:vAlign w:val="center"/>
            <w:hideMark/>
          </w:tcPr>
          <w:p w:rsidR="00A41AD7" w:rsidRPr="00DF6B0C" w:rsidRDefault="00A41AD7" w:rsidP="00E7317C">
            <w:pPr>
              <w:jc w:val="center"/>
              <w:rPr>
                <w:i/>
                <w:iCs/>
                <w:color w:val="000000"/>
                <w:sz w:val="18"/>
                <w:szCs w:val="18"/>
              </w:rPr>
            </w:pPr>
            <w:r w:rsidRPr="00DF6B0C">
              <w:rPr>
                <w:i/>
                <w:iCs/>
                <w:color w:val="000000"/>
                <w:sz w:val="18"/>
                <w:szCs w:val="18"/>
              </w:rPr>
              <w:t>97,1</w:t>
            </w:r>
          </w:p>
        </w:tc>
      </w:tr>
      <w:tr w:rsidR="00A41AD7" w:rsidRPr="00DF6B0C" w:rsidTr="002A33AD">
        <w:trPr>
          <w:trHeight w:val="164"/>
        </w:trPr>
        <w:tc>
          <w:tcPr>
            <w:tcW w:w="526" w:type="pct"/>
            <w:shd w:val="clear" w:color="auto" w:fill="auto"/>
            <w:vAlign w:val="center"/>
            <w:hideMark/>
          </w:tcPr>
          <w:p w:rsidR="00A41AD7" w:rsidRPr="00DF6B0C" w:rsidRDefault="00A41AD7" w:rsidP="00E7317C">
            <w:pPr>
              <w:ind w:firstLineChars="12" w:firstLine="22"/>
              <w:rPr>
                <w:sz w:val="18"/>
                <w:szCs w:val="18"/>
              </w:rPr>
            </w:pPr>
            <w:r w:rsidRPr="00DF6B0C">
              <w:rPr>
                <w:sz w:val="18"/>
                <w:szCs w:val="18"/>
              </w:rPr>
              <w:t>свыше 35 л.с. (свыше 25,74 кВт)</w:t>
            </w:r>
          </w:p>
        </w:tc>
        <w:tc>
          <w:tcPr>
            <w:tcW w:w="402" w:type="pct"/>
            <w:shd w:val="clear" w:color="auto" w:fill="auto"/>
            <w:vAlign w:val="center"/>
            <w:hideMark/>
          </w:tcPr>
          <w:p w:rsidR="00A41AD7" w:rsidRPr="00DF6B0C" w:rsidRDefault="00A41AD7" w:rsidP="00E7317C">
            <w:pPr>
              <w:jc w:val="center"/>
              <w:rPr>
                <w:sz w:val="18"/>
                <w:szCs w:val="18"/>
              </w:rPr>
            </w:pPr>
            <w:r w:rsidRPr="00DF6B0C">
              <w:rPr>
                <w:sz w:val="18"/>
                <w:szCs w:val="18"/>
              </w:rPr>
              <w:t>отчет 5-ТН,стр.2324</w:t>
            </w:r>
          </w:p>
        </w:tc>
        <w:tc>
          <w:tcPr>
            <w:tcW w:w="337"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3 553</w:t>
            </w:r>
          </w:p>
        </w:tc>
        <w:tc>
          <w:tcPr>
            <w:tcW w:w="260"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106,9</w:t>
            </w:r>
          </w:p>
        </w:tc>
        <w:tc>
          <w:tcPr>
            <w:tcW w:w="324"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3 771</w:t>
            </w:r>
          </w:p>
        </w:tc>
        <w:tc>
          <w:tcPr>
            <w:tcW w:w="243"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106,1</w:t>
            </w:r>
          </w:p>
        </w:tc>
        <w:tc>
          <w:tcPr>
            <w:tcW w:w="344"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3 945</w:t>
            </w:r>
          </w:p>
        </w:tc>
        <w:tc>
          <w:tcPr>
            <w:tcW w:w="240"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104,6</w:t>
            </w:r>
          </w:p>
        </w:tc>
        <w:tc>
          <w:tcPr>
            <w:tcW w:w="331"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4 158</w:t>
            </w:r>
          </w:p>
        </w:tc>
        <w:tc>
          <w:tcPr>
            <w:tcW w:w="253"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105,4</w:t>
            </w:r>
          </w:p>
        </w:tc>
        <w:tc>
          <w:tcPr>
            <w:tcW w:w="318"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4 366</w:t>
            </w:r>
          </w:p>
        </w:tc>
        <w:tc>
          <w:tcPr>
            <w:tcW w:w="265" w:type="pct"/>
            <w:shd w:val="clear" w:color="auto" w:fill="auto"/>
            <w:noWrap/>
            <w:vAlign w:val="center"/>
            <w:hideMark/>
          </w:tcPr>
          <w:p w:rsidR="00A41AD7" w:rsidRPr="00DF6B0C" w:rsidRDefault="00A41AD7" w:rsidP="00E7317C">
            <w:pPr>
              <w:jc w:val="center"/>
              <w:rPr>
                <w:i/>
                <w:iCs/>
                <w:color w:val="000000"/>
                <w:sz w:val="18"/>
                <w:szCs w:val="18"/>
              </w:rPr>
            </w:pPr>
            <w:r w:rsidRPr="00DF6B0C">
              <w:rPr>
                <w:i/>
                <w:iCs/>
                <w:color w:val="000000"/>
                <w:sz w:val="18"/>
                <w:szCs w:val="18"/>
              </w:rPr>
              <w:t>105,0</w:t>
            </w:r>
          </w:p>
        </w:tc>
        <w:tc>
          <w:tcPr>
            <w:tcW w:w="305"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4 593</w:t>
            </w:r>
          </w:p>
        </w:tc>
        <w:tc>
          <w:tcPr>
            <w:tcW w:w="230" w:type="pct"/>
            <w:shd w:val="clear" w:color="auto" w:fill="auto"/>
            <w:noWrap/>
            <w:vAlign w:val="center"/>
            <w:hideMark/>
          </w:tcPr>
          <w:p w:rsidR="00A41AD7" w:rsidRPr="00DF6B0C" w:rsidRDefault="00A41AD7" w:rsidP="00E7317C">
            <w:pPr>
              <w:jc w:val="center"/>
              <w:rPr>
                <w:i/>
                <w:iCs/>
                <w:color w:val="000000"/>
                <w:sz w:val="18"/>
                <w:szCs w:val="18"/>
              </w:rPr>
            </w:pPr>
            <w:r w:rsidRPr="00DF6B0C">
              <w:rPr>
                <w:i/>
                <w:iCs/>
                <w:color w:val="000000"/>
                <w:sz w:val="18"/>
                <w:szCs w:val="18"/>
              </w:rPr>
              <w:t>105,2</w:t>
            </w:r>
          </w:p>
        </w:tc>
        <w:tc>
          <w:tcPr>
            <w:tcW w:w="340"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4 827</w:t>
            </w:r>
          </w:p>
        </w:tc>
        <w:tc>
          <w:tcPr>
            <w:tcW w:w="282" w:type="pct"/>
            <w:shd w:val="clear" w:color="auto" w:fill="auto"/>
            <w:noWrap/>
            <w:vAlign w:val="center"/>
            <w:hideMark/>
          </w:tcPr>
          <w:p w:rsidR="00A41AD7" w:rsidRPr="00DF6B0C" w:rsidRDefault="00A41AD7" w:rsidP="00E7317C">
            <w:pPr>
              <w:jc w:val="center"/>
              <w:rPr>
                <w:i/>
                <w:iCs/>
                <w:color w:val="000000"/>
                <w:sz w:val="18"/>
                <w:szCs w:val="18"/>
              </w:rPr>
            </w:pPr>
            <w:r w:rsidRPr="00DF6B0C">
              <w:rPr>
                <w:i/>
                <w:iCs/>
                <w:color w:val="000000"/>
                <w:sz w:val="18"/>
                <w:szCs w:val="18"/>
              </w:rPr>
              <w:t>105,1</w:t>
            </w:r>
          </w:p>
        </w:tc>
      </w:tr>
      <w:tr w:rsidR="00A41AD7" w:rsidRPr="00DF6B0C" w:rsidTr="002A33AD">
        <w:trPr>
          <w:trHeight w:val="169"/>
        </w:trPr>
        <w:tc>
          <w:tcPr>
            <w:tcW w:w="526" w:type="pct"/>
            <w:shd w:val="clear" w:color="auto" w:fill="auto"/>
            <w:vAlign w:val="center"/>
            <w:hideMark/>
          </w:tcPr>
          <w:p w:rsidR="00A41AD7" w:rsidRPr="00DF6B0C" w:rsidRDefault="00A41AD7" w:rsidP="00E7317C">
            <w:pPr>
              <w:ind w:firstLineChars="12" w:firstLine="22"/>
              <w:rPr>
                <w:i/>
                <w:iCs/>
                <w:sz w:val="18"/>
                <w:szCs w:val="18"/>
              </w:rPr>
            </w:pPr>
            <w:r w:rsidRPr="00DF6B0C">
              <w:rPr>
                <w:i/>
                <w:iCs/>
                <w:sz w:val="18"/>
                <w:szCs w:val="18"/>
              </w:rPr>
              <w:t>Автобусы с мощностью двигателя:</w:t>
            </w:r>
          </w:p>
        </w:tc>
        <w:tc>
          <w:tcPr>
            <w:tcW w:w="402" w:type="pct"/>
            <w:shd w:val="clear" w:color="auto" w:fill="auto"/>
            <w:vAlign w:val="center"/>
            <w:hideMark/>
          </w:tcPr>
          <w:p w:rsidR="00A41AD7" w:rsidRPr="00DF6B0C" w:rsidRDefault="00A41AD7" w:rsidP="00E7317C">
            <w:pPr>
              <w:jc w:val="center"/>
              <w:rPr>
                <w:sz w:val="18"/>
                <w:szCs w:val="18"/>
              </w:rPr>
            </w:pPr>
            <w:r w:rsidRPr="00DF6B0C">
              <w:rPr>
                <w:sz w:val="18"/>
                <w:szCs w:val="18"/>
              </w:rPr>
              <w:t>отчет 5-ТН,стр.2325</w:t>
            </w:r>
          </w:p>
        </w:tc>
        <w:tc>
          <w:tcPr>
            <w:tcW w:w="337" w:type="pct"/>
            <w:shd w:val="clear" w:color="auto" w:fill="auto"/>
            <w:vAlign w:val="center"/>
            <w:hideMark/>
          </w:tcPr>
          <w:p w:rsidR="00A41AD7" w:rsidRPr="00DF6B0C" w:rsidRDefault="00A41AD7" w:rsidP="00E7317C">
            <w:pPr>
              <w:jc w:val="center"/>
              <w:rPr>
                <w:sz w:val="18"/>
                <w:szCs w:val="18"/>
              </w:rPr>
            </w:pPr>
            <w:r w:rsidRPr="00DF6B0C">
              <w:rPr>
                <w:sz w:val="18"/>
                <w:szCs w:val="18"/>
              </w:rPr>
              <w:t>2 688</w:t>
            </w:r>
          </w:p>
        </w:tc>
        <w:tc>
          <w:tcPr>
            <w:tcW w:w="260" w:type="pct"/>
            <w:shd w:val="clear" w:color="auto" w:fill="auto"/>
            <w:vAlign w:val="center"/>
            <w:hideMark/>
          </w:tcPr>
          <w:p w:rsidR="00A41AD7" w:rsidRPr="00DF6B0C" w:rsidRDefault="00A41AD7" w:rsidP="00E7317C">
            <w:pPr>
              <w:jc w:val="center"/>
              <w:rPr>
                <w:sz w:val="18"/>
                <w:szCs w:val="18"/>
              </w:rPr>
            </w:pPr>
            <w:r w:rsidRPr="00DF6B0C">
              <w:rPr>
                <w:sz w:val="18"/>
                <w:szCs w:val="18"/>
              </w:rPr>
              <w:t>97,7</w:t>
            </w:r>
          </w:p>
        </w:tc>
        <w:tc>
          <w:tcPr>
            <w:tcW w:w="324" w:type="pct"/>
            <w:shd w:val="clear" w:color="auto" w:fill="auto"/>
            <w:vAlign w:val="center"/>
            <w:hideMark/>
          </w:tcPr>
          <w:p w:rsidR="00A41AD7" w:rsidRPr="00DF6B0C" w:rsidRDefault="00A41AD7" w:rsidP="00E7317C">
            <w:pPr>
              <w:jc w:val="center"/>
              <w:rPr>
                <w:sz w:val="18"/>
                <w:szCs w:val="18"/>
              </w:rPr>
            </w:pPr>
            <w:r w:rsidRPr="00DF6B0C">
              <w:rPr>
                <w:sz w:val="18"/>
                <w:szCs w:val="18"/>
              </w:rPr>
              <w:t>2 549</w:t>
            </w:r>
          </w:p>
        </w:tc>
        <w:tc>
          <w:tcPr>
            <w:tcW w:w="243" w:type="pct"/>
            <w:shd w:val="clear" w:color="auto" w:fill="auto"/>
            <w:vAlign w:val="center"/>
            <w:hideMark/>
          </w:tcPr>
          <w:p w:rsidR="00A41AD7" w:rsidRPr="00DF6B0C" w:rsidRDefault="00A41AD7" w:rsidP="00E7317C">
            <w:pPr>
              <w:jc w:val="center"/>
              <w:rPr>
                <w:sz w:val="18"/>
                <w:szCs w:val="18"/>
              </w:rPr>
            </w:pPr>
            <w:r w:rsidRPr="00DF6B0C">
              <w:rPr>
                <w:sz w:val="18"/>
                <w:szCs w:val="18"/>
              </w:rPr>
              <w:t>94,8</w:t>
            </w:r>
          </w:p>
        </w:tc>
        <w:tc>
          <w:tcPr>
            <w:tcW w:w="344" w:type="pct"/>
            <w:shd w:val="clear" w:color="auto" w:fill="auto"/>
            <w:vAlign w:val="center"/>
            <w:hideMark/>
          </w:tcPr>
          <w:p w:rsidR="00A41AD7" w:rsidRPr="00DF6B0C" w:rsidRDefault="00A41AD7" w:rsidP="00E7317C">
            <w:pPr>
              <w:jc w:val="center"/>
              <w:rPr>
                <w:sz w:val="18"/>
                <w:szCs w:val="18"/>
              </w:rPr>
            </w:pPr>
            <w:r w:rsidRPr="00DF6B0C">
              <w:rPr>
                <w:sz w:val="18"/>
                <w:szCs w:val="18"/>
              </w:rPr>
              <w:t>2 348</w:t>
            </w:r>
          </w:p>
        </w:tc>
        <w:tc>
          <w:tcPr>
            <w:tcW w:w="240" w:type="pct"/>
            <w:shd w:val="clear" w:color="auto" w:fill="auto"/>
            <w:vAlign w:val="center"/>
            <w:hideMark/>
          </w:tcPr>
          <w:p w:rsidR="00A41AD7" w:rsidRPr="00DF6B0C" w:rsidRDefault="00A41AD7" w:rsidP="00E7317C">
            <w:pPr>
              <w:jc w:val="center"/>
              <w:rPr>
                <w:sz w:val="18"/>
                <w:szCs w:val="18"/>
              </w:rPr>
            </w:pPr>
            <w:r w:rsidRPr="00DF6B0C">
              <w:rPr>
                <w:sz w:val="18"/>
                <w:szCs w:val="18"/>
              </w:rPr>
              <w:t>92,1</w:t>
            </w:r>
          </w:p>
        </w:tc>
        <w:tc>
          <w:tcPr>
            <w:tcW w:w="331" w:type="pct"/>
            <w:shd w:val="clear" w:color="auto" w:fill="auto"/>
            <w:vAlign w:val="center"/>
            <w:hideMark/>
          </w:tcPr>
          <w:p w:rsidR="00A41AD7" w:rsidRPr="00DF6B0C" w:rsidRDefault="00A41AD7" w:rsidP="00E7317C">
            <w:pPr>
              <w:jc w:val="center"/>
              <w:rPr>
                <w:sz w:val="18"/>
                <w:szCs w:val="18"/>
              </w:rPr>
            </w:pPr>
            <w:r w:rsidRPr="00DF6B0C">
              <w:rPr>
                <w:sz w:val="18"/>
                <w:szCs w:val="18"/>
              </w:rPr>
              <w:t>2 220</w:t>
            </w:r>
          </w:p>
        </w:tc>
        <w:tc>
          <w:tcPr>
            <w:tcW w:w="253" w:type="pct"/>
            <w:shd w:val="clear" w:color="auto" w:fill="auto"/>
            <w:vAlign w:val="center"/>
            <w:hideMark/>
          </w:tcPr>
          <w:p w:rsidR="00A41AD7" w:rsidRPr="00DF6B0C" w:rsidRDefault="00A41AD7" w:rsidP="00E7317C">
            <w:pPr>
              <w:jc w:val="center"/>
              <w:rPr>
                <w:sz w:val="18"/>
                <w:szCs w:val="18"/>
              </w:rPr>
            </w:pPr>
            <w:r w:rsidRPr="00DF6B0C">
              <w:rPr>
                <w:sz w:val="18"/>
                <w:szCs w:val="18"/>
              </w:rPr>
              <w:t>94,5</w:t>
            </w:r>
          </w:p>
        </w:tc>
        <w:tc>
          <w:tcPr>
            <w:tcW w:w="318"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2 097</w:t>
            </w:r>
          </w:p>
        </w:tc>
        <w:tc>
          <w:tcPr>
            <w:tcW w:w="265" w:type="pct"/>
            <w:shd w:val="clear" w:color="auto" w:fill="auto"/>
            <w:noWrap/>
            <w:vAlign w:val="center"/>
            <w:hideMark/>
          </w:tcPr>
          <w:p w:rsidR="00A41AD7" w:rsidRPr="00DF6B0C" w:rsidRDefault="00A41AD7" w:rsidP="00E7317C">
            <w:pPr>
              <w:jc w:val="center"/>
              <w:rPr>
                <w:i/>
                <w:iCs/>
                <w:color w:val="000000"/>
                <w:sz w:val="18"/>
                <w:szCs w:val="18"/>
              </w:rPr>
            </w:pPr>
            <w:r w:rsidRPr="00DF6B0C">
              <w:rPr>
                <w:i/>
                <w:iCs/>
                <w:color w:val="000000"/>
                <w:sz w:val="18"/>
                <w:szCs w:val="18"/>
              </w:rPr>
              <w:t>94,5</w:t>
            </w:r>
          </w:p>
        </w:tc>
        <w:tc>
          <w:tcPr>
            <w:tcW w:w="305"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2 013</w:t>
            </w:r>
          </w:p>
        </w:tc>
        <w:tc>
          <w:tcPr>
            <w:tcW w:w="230" w:type="pct"/>
            <w:shd w:val="clear" w:color="auto" w:fill="auto"/>
            <w:noWrap/>
            <w:vAlign w:val="center"/>
            <w:hideMark/>
          </w:tcPr>
          <w:p w:rsidR="00A41AD7" w:rsidRPr="00DF6B0C" w:rsidRDefault="00A41AD7" w:rsidP="00E7317C">
            <w:pPr>
              <w:jc w:val="center"/>
              <w:rPr>
                <w:i/>
                <w:iCs/>
                <w:color w:val="000000"/>
                <w:sz w:val="18"/>
                <w:szCs w:val="18"/>
              </w:rPr>
            </w:pPr>
            <w:r w:rsidRPr="00DF6B0C">
              <w:rPr>
                <w:i/>
                <w:iCs/>
                <w:color w:val="000000"/>
                <w:sz w:val="18"/>
                <w:szCs w:val="18"/>
              </w:rPr>
              <w:t>96,0</w:t>
            </w:r>
          </w:p>
        </w:tc>
        <w:tc>
          <w:tcPr>
            <w:tcW w:w="340"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1 952</w:t>
            </w:r>
          </w:p>
        </w:tc>
        <w:tc>
          <w:tcPr>
            <w:tcW w:w="282" w:type="pct"/>
            <w:shd w:val="clear" w:color="auto" w:fill="auto"/>
            <w:noWrap/>
            <w:vAlign w:val="center"/>
            <w:hideMark/>
          </w:tcPr>
          <w:p w:rsidR="00A41AD7" w:rsidRPr="00DF6B0C" w:rsidRDefault="00A41AD7" w:rsidP="00E7317C">
            <w:pPr>
              <w:jc w:val="center"/>
              <w:rPr>
                <w:i/>
                <w:iCs/>
                <w:color w:val="000000"/>
                <w:sz w:val="18"/>
                <w:szCs w:val="18"/>
              </w:rPr>
            </w:pPr>
            <w:r w:rsidRPr="00DF6B0C">
              <w:rPr>
                <w:i/>
                <w:iCs/>
                <w:color w:val="000000"/>
                <w:sz w:val="18"/>
                <w:szCs w:val="18"/>
              </w:rPr>
              <w:t>97,0</w:t>
            </w:r>
          </w:p>
        </w:tc>
      </w:tr>
      <w:tr w:rsidR="00A41AD7" w:rsidRPr="00DF6B0C" w:rsidTr="002A33AD">
        <w:trPr>
          <w:trHeight w:val="317"/>
        </w:trPr>
        <w:tc>
          <w:tcPr>
            <w:tcW w:w="526" w:type="pct"/>
            <w:shd w:val="clear" w:color="auto" w:fill="auto"/>
            <w:vAlign w:val="center"/>
            <w:hideMark/>
          </w:tcPr>
          <w:p w:rsidR="00A41AD7" w:rsidRPr="00DF6B0C" w:rsidRDefault="00A41AD7" w:rsidP="00E7317C">
            <w:pPr>
              <w:ind w:firstLineChars="12" w:firstLine="22"/>
              <w:rPr>
                <w:sz w:val="18"/>
                <w:szCs w:val="18"/>
              </w:rPr>
            </w:pPr>
            <w:r w:rsidRPr="00DF6B0C">
              <w:rPr>
                <w:sz w:val="18"/>
                <w:szCs w:val="18"/>
              </w:rPr>
              <w:t>до 200 л.с. (до 147,1 кВт) включительно</w:t>
            </w:r>
          </w:p>
        </w:tc>
        <w:tc>
          <w:tcPr>
            <w:tcW w:w="402" w:type="pct"/>
            <w:shd w:val="clear" w:color="auto" w:fill="auto"/>
            <w:vAlign w:val="center"/>
            <w:hideMark/>
          </w:tcPr>
          <w:p w:rsidR="00A41AD7" w:rsidRPr="00DF6B0C" w:rsidRDefault="00A41AD7" w:rsidP="00E7317C">
            <w:pPr>
              <w:jc w:val="center"/>
              <w:rPr>
                <w:sz w:val="18"/>
                <w:szCs w:val="18"/>
              </w:rPr>
            </w:pPr>
            <w:r w:rsidRPr="00DF6B0C">
              <w:rPr>
                <w:sz w:val="18"/>
                <w:szCs w:val="18"/>
              </w:rPr>
              <w:t>отчет 5-ТН,стр.2326</w:t>
            </w:r>
          </w:p>
        </w:tc>
        <w:tc>
          <w:tcPr>
            <w:tcW w:w="337"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2 532</w:t>
            </w:r>
          </w:p>
        </w:tc>
        <w:tc>
          <w:tcPr>
            <w:tcW w:w="260"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97,7</w:t>
            </w:r>
          </w:p>
        </w:tc>
        <w:tc>
          <w:tcPr>
            <w:tcW w:w="324"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2 345</w:t>
            </w:r>
          </w:p>
        </w:tc>
        <w:tc>
          <w:tcPr>
            <w:tcW w:w="243"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92,6</w:t>
            </w:r>
          </w:p>
        </w:tc>
        <w:tc>
          <w:tcPr>
            <w:tcW w:w="344"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2 113</w:t>
            </w:r>
          </w:p>
        </w:tc>
        <w:tc>
          <w:tcPr>
            <w:tcW w:w="240"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90,1</w:t>
            </w:r>
          </w:p>
        </w:tc>
        <w:tc>
          <w:tcPr>
            <w:tcW w:w="331"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1 931</w:t>
            </w:r>
          </w:p>
        </w:tc>
        <w:tc>
          <w:tcPr>
            <w:tcW w:w="253"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91,4</w:t>
            </w:r>
          </w:p>
        </w:tc>
        <w:tc>
          <w:tcPr>
            <w:tcW w:w="318"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1 753</w:t>
            </w:r>
          </w:p>
        </w:tc>
        <w:tc>
          <w:tcPr>
            <w:tcW w:w="265" w:type="pct"/>
            <w:shd w:val="clear" w:color="auto" w:fill="auto"/>
            <w:noWrap/>
            <w:vAlign w:val="center"/>
            <w:hideMark/>
          </w:tcPr>
          <w:p w:rsidR="00A41AD7" w:rsidRPr="00DF6B0C" w:rsidRDefault="00A41AD7" w:rsidP="00E7317C">
            <w:pPr>
              <w:jc w:val="center"/>
              <w:rPr>
                <w:i/>
                <w:iCs/>
                <w:color w:val="000000"/>
                <w:sz w:val="18"/>
                <w:szCs w:val="18"/>
              </w:rPr>
            </w:pPr>
            <w:r w:rsidRPr="00DF6B0C">
              <w:rPr>
                <w:i/>
                <w:iCs/>
                <w:color w:val="000000"/>
                <w:sz w:val="18"/>
                <w:szCs w:val="18"/>
              </w:rPr>
              <w:t>90,8</w:t>
            </w:r>
          </w:p>
        </w:tc>
        <w:tc>
          <w:tcPr>
            <w:tcW w:w="305"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1 597</w:t>
            </w:r>
          </w:p>
        </w:tc>
        <w:tc>
          <w:tcPr>
            <w:tcW w:w="230" w:type="pct"/>
            <w:shd w:val="clear" w:color="auto" w:fill="auto"/>
            <w:noWrap/>
            <w:vAlign w:val="center"/>
            <w:hideMark/>
          </w:tcPr>
          <w:p w:rsidR="00A41AD7" w:rsidRPr="00DF6B0C" w:rsidRDefault="00A41AD7" w:rsidP="00E7317C">
            <w:pPr>
              <w:jc w:val="center"/>
              <w:rPr>
                <w:i/>
                <w:iCs/>
                <w:color w:val="000000"/>
                <w:sz w:val="18"/>
                <w:szCs w:val="18"/>
              </w:rPr>
            </w:pPr>
            <w:r w:rsidRPr="00DF6B0C">
              <w:rPr>
                <w:i/>
                <w:iCs/>
                <w:color w:val="000000"/>
                <w:sz w:val="18"/>
                <w:szCs w:val="18"/>
              </w:rPr>
              <w:t>91,1</w:t>
            </w:r>
          </w:p>
        </w:tc>
        <w:tc>
          <w:tcPr>
            <w:tcW w:w="340"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1 453</w:t>
            </w:r>
          </w:p>
        </w:tc>
        <w:tc>
          <w:tcPr>
            <w:tcW w:w="282" w:type="pct"/>
            <w:shd w:val="clear" w:color="auto" w:fill="auto"/>
            <w:noWrap/>
            <w:vAlign w:val="center"/>
            <w:hideMark/>
          </w:tcPr>
          <w:p w:rsidR="00A41AD7" w:rsidRPr="00DF6B0C" w:rsidRDefault="00A41AD7" w:rsidP="00E7317C">
            <w:pPr>
              <w:jc w:val="center"/>
              <w:rPr>
                <w:i/>
                <w:iCs/>
                <w:color w:val="000000"/>
                <w:sz w:val="18"/>
                <w:szCs w:val="18"/>
              </w:rPr>
            </w:pPr>
            <w:r w:rsidRPr="00DF6B0C">
              <w:rPr>
                <w:i/>
                <w:iCs/>
                <w:color w:val="000000"/>
                <w:sz w:val="18"/>
                <w:szCs w:val="18"/>
              </w:rPr>
              <w:t>91,0</w:t>
            </w:r>
          </w:p>
        </w:tc>
      </w:tr>
      <w:tr w:rsidR="00A41AD7" w:rsidRPr="00DF6B0C" w:rsidTr="002A33AD">
        <w:trPr>
          <w:trHeight w:val="182"/>
        </w:trPr>
        <w:tc>
          <w:tcPr>
            <w:tcW w:w="526" w:type="pct"/>
            <w:shd w:val="clear" w:color="auto" w:fill="auto"/>
            <w:vAlign w:val="center"/>
            <w:hideMark/>
          </w:tcPr>
          <w:p w:rsidR="00A41AD7" w:rsidRPr="00DF6B0C" w:rsidRDefault="00A41AD7" w:rsidP="00E7317C">
            <w:pPr>
              <w:ind w:firstLineChars="12" w:firstLine="22"/>
              <w:rPr>
                <w:sz w:val="18"/>
                <w:szCs w:val="18"/>
              </w:rPr>
            </w:pPr>
            <w:r w:rsidRPr="00DF6B0C">
              <w:rPr>
                <w:sz w:val="18"/>
                <w:szCs w:val="18"/>
              </w:rPr>
              <w:t>свыше 200 л.с. (свыше 147,1 кВт)</w:t>
            </w:r>
          </w:p>
        </w:tc>
        <w:tc>
          <w:tcPr>
            <w:tcW w:w="402" w:type="pct"/>
            <w:shd w:val="clear" w:color="auto" w:fill="auto"/>
            <w:vAlign w:val="center"/>
            <w:hideMark/>
          </w:tcPr>
          <w:p w:rsidR="00A41AD7" w:rsidRPr="00DF6B0C" w:rsidRDefault="00A41AD7" w:rsidP="00E7317C">
            <w:pPr>
              <w:jc w:val="center"/>
              <w:rPr>
                <w:sz w:val="18"/>
                <w:szCs w:val="18"/>
              </w:rPr>
            </w:pPr>
            <w:r w:rsidRPr="00DF6B0C">
              <w:rPr>
                <w:sz w:val="18"/>
                <w:szCs w:val="18"/>
              </w:rPr>
              <w:t>отчет 5-ТН,стр.2327</w:t>
            </w:r>
          </w:p>
        </w:tc>
        <w:tc>
          <w:tcPr>
            <w:tcW w:w="337"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156</w:t>
            </w:r>
          </w:p>
        </w:tc>
        <w:tc>
          <w:tcPr>
            <w:tcW w:w="260"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96,9</w:t>
            </w:r>
          </w:p>
        </w:tc>
        <w:tc>
          <w:tcPr>
            <w:tcW w:w="324"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204</w:t>
            </w:r>
          </w:p>
        </w:tc>
        <w:tc>
          <w:tcPr>
            <w:tcW w:w="243"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130,8</w:t>
            </w:r>
          </w:p>
        </w:tc>
        <w:tc>
          <w:tcPr>
            <w:tcW w:w="344"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235</w:t>
            </w:r>
          </w:p>
        </w:tc>
        <w:tc>
          <w:tcPr>
            <w:tcW w:w="240"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115,2</w:t>
            </w:r>
          </w:p>
        </w:tc>
        <w:tc>
          <w:tcPr>
            <w:tcW w:w="331"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289</w:t>
            </w:r>
          </w:p>
        </w:tc>
        <w:tc>
          <w:tcPr>
            <w:tcW w:w="253"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123,0</w:t>
            </w:r>
          </w:p>
        </w:tc>
        <w:tc>
          <w:tcPr>
            <w:tcW w:w="318"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344</w:t>
            </w:r>
          </w:p>
        </w:tc>
        <w:tc>
          <w:tcPr>
            <w:tcW w:w="265" w:type="pct"/>
            <w:shd w:val="clear" w:color="auto" w:fill="auto"/>
            <w:noWrap/>
            <w:vAlign w:val="center"/>
            <w:hideMark/>
          </w:tcPr>
          <w:p w:rsidR="00A41AD7" w:rsidRPr="00DF6B0C" w:rsidRDefault="00A41AD7" w:rsidP="00E7317C">
            <w:pPr>
              <w:jc w:val="center"/>
              <w:rPr>
                <w:i/>
                <w:iCs/>
                <w:color w:val="000000"/>
                <w:sz w:val="18"/>
                <w:szCs w:val="18"/>
              </w:rPr>
            </w:pPr>
            <w:r w:rsidRPr="00DF6B0C">
              <w:rPr>
                <w:i/>
                <w:iCs/>
                <w:color w:val="000000"/>
                <w:sz w:val="18"/>
                <w:szCs w:val="18"/>
              </w:rPr>
              <w:t>119,0</w:t>
            </w:r>
          </w:p>
        </w:tc>
        <w:tc>
          <w:tcPr>
            <w:tcW w:w="305"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416</w:t>
            </w:r>
          </w:p>
        </w:tc>
        <w:tc>
          <w:tcPr>
            <w:tcW w:w="230" w:type="pct"/>
            <w:shd w:val="clear" w:color="auto" w:fill="auto"/>
            <w:noWrap/>
            <w:vAlign w:val="center"/>
            <w:hideMark/>
          </w:tcPr>
          <w:p w:rsidR="00A41AD7" w:rsidRPr="00DF6B0C" w:rsidRDefault="00A41AD7" w:rsidP="00E7317C">
            <w:pPr>
              <w:jc w:val="center"/>
              <w:rPr>
                <w:i/>
                <w:iCs/>
                <w:color w:val="000000"/>
                <w:sz w:val="18"/>
                <w:szCs w:val="18"/>
              </w:rPr>
            </w:pPr>
            <w:r w:rsidRPr="00DF6B0C">
              <w:rPr>
                <w:i/>
                <w:iCs/>
                <w:color w:val="000000"/>
                <w:sz w:val="18"/>
                <w:szCs w:val="18"/>
              </w:rPr>
              <w:t>120,9</w:t>
            </w:r>
          </w:p>
        </w:tc>
        <w:tc>
          <w:tcPr>
            <w:tcW w:w="340"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499</w:t>
            </w:r>
          </w:p>
        </w:tc>
        <w:tc>
          <w:tcPr>
            <w:tcW w:w="282" w:type="pct"/>
            <w:shd w:val="clear" w:color="auto" w:fill="auto"/>
            <w:noWrap/>
            <w:vAlign w:val="center"/>
            <w:hideMark/>
          </w:tcPr>
          <w:p w:rsidR="00A41AD7" w:rsidRPr="00DF6B0C" w:rsidRDefault="00A41AD7" w:rsidP="00E7317C">
            <w:pPr>
              <w:jc w:val="center"/>
              <w:rPr>
                <w:i/>
                <w:iCs/>
                <w:color w:val="000000"/>
                <w:sz w:val="18"/>
                <w:szCs w:val="18"/>
              </w:rPr>
            </w:pPr>
            <w:r w:rsidRPr="00DF6B0C">
              <w:rPr>
                <w:i/>
                <w:iCs/>
                <w:color w:val="000000"/>
                <w:sz w:val="18"/>
                <w:szCs w:val="18"/>
              </w:rPr>
              <w:t>120,0</w:t>
            </w:r>
          </w:p>
        </w:tc>
      </w:tr>
      <w:tr w:rsidR="00A41AD7" w:rsidRPr="00DF6B0C" w:rsidTr="002A33AD">
        <w:trPr>
          <w:trHeight w:val="316"/>
        </w:trPr>
        <w:tc>
          <w:tcPr>
            <w:tcW w:w="526" w:type="pct"/>
            <w:shd w:val="clear" w:color="auto" w:fill="auto"/>
            <w:vAlign w:val="center"/>
            <w:hideMark/>
          </w:tcPr>
          <w:p w:rsidR="00A41AD7" w:rsidRPr="00DF6B0C" w:rsidRDefault="00A41AD7" w:rsidP="00E7317C">
            <w:pPr>
              <w:rPr>
                <w:i/>
                <w:iCs/>
                <w:sz w:val="18"/>
                <w:szCs w:val="18"/>
              </w:rPr>
            </w:pPr>
            <w:r w:rsidRPr="00DF6B0C">
              <w:rPr>
                <w:i/>
                <w:iCs/>
                <w:sz w:val="18"/>
                <w:szCs w:val="18"/>
              </w:rPr>
              <w:t>Автомобили грузовые  с мощностью двигателя:</w:t>
            </w:r>
          </w:p>
        </w:tc>
        <w:tc>
          <w:tcPr>
            <w:tcW w:w="402" w:type="pct"/>
            <w:shd w:val="clear" w:color="auto" w:fill="auto"/>
            <w:vAlign w:val="center"/>
            <w:hideMark/>
          </w:tcPr>
          <w:p w:rsidR="00A41AD7" w:rsidRPr="00DF6B0C" w:rsidRDefault="00A41AD7" w:rsidP="00E7317C">
            <w:pPr>
              <w:jc w:val="center"/>
              <w:rPr>
                <w:i/>
                <w:iCs/>
                <w:sz w:val="18"/>
                <w:szCs w:val="18"/>
              </w:rPr>
            </w:pPr>
            <w:r w:rsidRPr="00DF6B0C">
              <w:rPr>
                <w:i/>
                <w:iCs/>
                <w:sz w:val="18"/>
                <w:szCs w:val="18"/>
              </w:rPr>
              <w:t>отчет 5-ТН,стр.2328</w:t>
            </w:r>
          </w:p>
        </w:tc>
        <w:tc>
          <w:tcPr>
            <w:tcW w:w="337" w:type="pct"/>
            <w:shd w:val="clear" w:color="auto" w:fill="auto"/>
            <w:vAlign w:val="center"/>
            <w:hideMark/>
          </w:tcPr>
          <w:p w:rsidR="00A41AD7" w:rsidRPr="00DF6B0C" w:rsidRDefault="00A41AD7" w:rsidP="00E7317C">
            <w:pPr>
              <w:jc w:val="center"/>
              <w:rPr>
                <w:sz w:val="18"/>
                <w:szCs w:val="18"/>
              </w:rPr>
            </w:pPr>
            <w:r w:rsidRPr="00DF6B0C">
              <w:rPr>
                <w:sz w:val="18"/>
                <w:szCs w:val="18"/>
              </w:rPr>
              <w:t>39 640</w:t>
            </w:r>
          </w:p>
        </w:tc>
        <w:tc>
          <w:tcPr>
            <w:tcW w:w="260" w:type="pct"/>
            <w:shd w:val="clear" w:color="auto" w:fill="auto"/>
            <w:vAlign w:val="center"/>
            <w:hideMark/>
          </w:tcPr>
          <w:p w:rsidR="00A41AD7" w:rsidRPr="00DF6B0C" w:rsidRDefault="00A41AD7" w:rsidP="00E7317C">
            <w:pPr>
              <w:jc w:val="center"/>
              <w:rPr>
                <w:sz w:val="18"/>
                <w:szCs w:val="18"/>
              </w:rPr>
            </w:pPr>
            <w:r w:rsidRPr="00DF6B0C">
              <w:rPr>
                <w:sz w:val="18"/>
                <w:szCs w:val="18"/>
              </w:rPr>
              <w:t>102,2</w:t>
            </w:r>
          </w:p>
        </w:tc>
        <w:tc>
          <w:tcPr>
            <w:tcW w:w="324" w:type="pct"/>
            <w:shd w:val="clear" w:color="auto" w:fill="auto"/>
            <w:vAlign w:val="center"/>
            <w:hideMark/>
          </w:tcPr>
          <w:p w:rsidR="00A41AD7" w:rsidRPr="00DF6B0C" w:rsidRDefault="00A41AD7" w:rsidP="00E7317C">
            <w:pPr>
              <w:jc w:val="center"/>
              <w:rPr>
                <w:sz w:val="18"/>
                <w:szCs w:val="18"/>
              </w:rPr>
            </w:pPr>
            <w:r w:rsidRPr="00DF6B0C">
              <w:rPr>
                <w:sz w:val="18"/>
                <w:szCs w:val="18"/>
              </w:rPr>
              <w:t>40 125</w:t>
            </w:r>
          </w:p>
        </w:tc>
        <w:tc>
          <w:tcPr>
            <w:tcW w:w="243" w:type="pct"/>
            <w:shd w:val="clear" w:color="auto" w:fill="auto"/>
            <w:vAlign w:val="center"/>
            <w:hideMark/>
          </w:tcPr>
          <w:p w:rsidR="00A41AD7" w:rsidRPr="00DF6B0C" w:rsidRDefault="00A41AD7" w:rsidP="00E7317C">
            <w:pPr>
              <w:jc w:val="center"/>
              <w:rPr>
                <w:sz w:val="18"/>
                <w:szCs w:val="18"/>
              </w:rPr>
            </w:pPr>
            <w:r w:rsidRPr="00DF6B0C">
              <w:rPr>
                <w:sz w:val="18"/>
                <w:szCs w:val="18"/>
              </w:rPr>
              <w:t>101,2</w:t>
            </w:r>
          </w:p>
        </w:tc>
        <w:tc>
          <w:tcPr>
            <w:tcW w:w="344" w:type="pct"/>
            <w:shd w:val="clear" w:color="auto" w:fill="auto"/>
            <w:vAlign w:val="center"/>
            <w:hideMark/>
          </w:tcPr>
          <w:p w:rsidR="00A41AD7" w:rsidRPr="00DF6B0C" w:rsidRDefault="00A41AD7" w:rsidP="00E7317C">
            <w:pPr>
              <w:jc w:val="center"/>
              <w:rPr>
                <w:sz w:val="18"/>
                <w:szCs w:val="18"/>
              </w:rPr>
            </w:pPr>
            <w:r w:rsidRPr="00DF6B0C">
              <w:rPr>
                <w:sz w:val="18"/>
                <w:szCs w:val="18"/>
              </w:rPr>
              <w:t>39 394</w:t>
            </w:r>
          </w:p>
        </w:tc>
        <w:tc>
          <w:tcPr>
            <w:tcW w:w="240" w:type="pct"/>
            <w:shd w:val="clear" w:color="auto" w:fill="auto"/>
            <w:vAlign w:val="center"/>
            <w:hideMark/>
          </w:tcPr>
          <w:p w:rsidR="00A41AD7" w:rsidRPr="00DF6B0C" w:rsidRDefault="00A41AD7" w:rsidP="00E7317C">
            <w:pPr>
              <w:jc w:val="center"/>
              <w:rPr>
                <w:sz w:val="18"/>
                <w:szCs w:val="18"/>
              </w:rPr>
            </w:pPr>
            <w:r w:rsidRPr="00DF6B0C">
              <w:rPr>
                <w:sz w:val="18"/>
                <w:szCs w:val="18"/>
              </w:rPr>
              <w:t>98,2</w:t>
            </w:r>
          </w:p>
        </w:tc>
        <w:tc>
          <w:tcPr>
            <w:tcW w:w="331" w:type="pct"/>
            <w:shd w:val="clear" w:color="auto" w:fill="auto"/>
            <w:vAlign w:val="center"/>
            <w:hideMark/>
          </w:tcPr>
          <w:p w:rsidR="00A41AD7" w:rsidRPr="00DF6B0C" w:rsidRDefault="00A41AD7" w:rsidP="00E7317C">
            <w:pPr>
              <w:jc w:val="center"/>
              <w:rPr>
                <w:sz w:val="18"/>
                <w:szCs w:val="18"/>
              </w:rPr>
            </w:pPr>
            <w:r w:rsidRPr="00DF6B0C">
              <w:rPr>
                <w:sz w:val="18"/>
                <w:szCs w:val="18"/>
              </w:rPr>
              <w:t>39 373</w:t>
            </w:r>
          </w:p>
        </w:tc>
        <w:tc>
          <w:tcPr>
            <w:tcW w:w="253" w:type="pct"/>
            <w:shd w:val="clear" w:color="auto" w:fill="auto"/>
            <w:vAlign w:val="center"/>
            <w:hideMark/>
          </w:tcPr>
          <w:p w:rsidR="00A41AD7" w:rsidRPr="00DF6B0C" w:rsidRDefault="00A41AD7" w:rsidP="00E7317C">
            <w:pPr>
              <w:jc w:val="center"/>
              <w:rPr>
                <w:sz w:val="18"/>
                <w:szCs w:val="18"/>
              </w:rPr>
            </w:pPr>
            <w:r w:rsidRPr="00DF6B0C">
              <w:rPr>
                <w:sz w:val="18"/>
                <w:szCs w:val="18"/>
              </w:rPr>
              <w:t>99,9</w:t>
            </w:r>
          </w:p>
        </w:tc>
        <w:tc>
          <w:tcPr>
            <w:tcW w:w="318"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39 064</w:t>
            </w:r>
          </w:p>
        </w:tc>
        <w:tc>
          <w:tcPr>
            <w:tcW w:w="265" w:type="pct"/>
            <w:shd w:val="clear" w:color="auto" w:fill="auto"/>
            <w:noWrap/>
            <w:vAlign w:val="center"/>
            <w:hideMark/>
          </w:tcPr>
          <w:p w:rsidR="00A41AD7" w:rsidRPr="00DF6B0C" w:rsidRDefault="00A41AD7" w:rsidP="00E7317C">
            <w:pPr>
              <w:jc w:val="center"/>
              <w:rPr>
                <w:i/>
                <w:iCs/>
                <w:color w:val="000000"/>
                <w:sz w:val="18"/>
                <w:szCs w:val="18"/>
              </w:rPr>
            </w:pPr>
            <w:r w:rsidRPr="00DF6B0C">
              <w:rPr>
                <w:i/>
                <w:iCs/>
                <w:color w:val="000000"/>
                <w:sz w:val="18"/>
                <w:szCs w:val="18"/>
              </w:rPr>
              <w:t>99,2</w:t>
            </w:r>
          </w:p>
        </w:tc>
        <w:tc>
          <w:tcPr>
            <w:tcW w:w="305"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38 964</w:t>
            </w:r>
          </w:p>
        </w:tc>
        <w:tc>
          <w:tcPr>
            <w:tcW w:w="230" w:type="pct"/>
            <w:shd w:val="clear" w:color="auto" w:fill="auto"/>
            <w:noWrap/>
            <w:vAlign w:val="center"/>
            <w:hideMark/>
          </w:tcPr>
          <w:p w:rsidR="00A41AD7" w:rsidRPr="00DF6B0C" w:rsidRDefault="00A41AD7" w:rsidP="00E7317C">
            <w:pPr>
              <w:jc w:val="center"/>
              <w:rPr>
                <w:i/>
                <w:iCs/>
                <w:color w:val="000000"/>
                <w:sz w:val="18"/>
                <w:szCs w:val="18"/>
              </w:rPr>
            </w:pPr>
            <w:r w:rsidRPr="00DF6B0C">
              <w:rPr>
                <w:i/>
                <w:iCs/>
                <w:color w:val="000000"/>
                <w:sz w:val="18"/>
                <w:szCs w:val="18"/>
              </w:rPr>
              <w:t>99,7</w:t>
            </w:r>
          </w:p>
        </w:tc>
        <w:tc>
          <w:tcPr>
            <w:tcW w:w="340"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38 807</w:t>
            </w:r>
          </w:p>
        </w:tc>
        <w:tc>
          <w:tcPr>
            <w:tcW w:w="282" w:type="pct"/>
            <w:shd w:val="clear" w:color="auto" w:fill="auto"/>
            <w:noWrap/>
            <w:vAlign w:val="center"/>
            <w:hideMark/>
          </w:tcPr>
          <w:p w:rsidR="00A41AD7" w:rsidRPr="00DF6B0C" w:rsidRDefault="00A41AD7" w:rsidP="00E7317C">
            <w:pPr>
              <w:jc w:val="center"/>
              <w:rPr>
                <w:i/>
                <w:iCs/>
                <w:color w:val="000000"/>
                <w:sz w:val="18"/>
                <w:szCs w:val="18"/>
              </w:rPr>
            </w:pPr>
            <w:r w:rsidRPr="00DF6B0C">
              <w:rPr>
                <w:i/>
                <w:iCs/>
                <w:color w:val="000000"/>
                <w:sz w:val="18"/>
                <w:szCs w:val="18"/>
              </w:rPr>
              <w:t>99,6</w:t>
            </w:r>
          </w:p>
        </w:tc>
      </w:tr>
      <w:tr w:rsidR="00A41AD7" w:rsidRPr="00DF6B0C" w:rsidTr="002A33AD">
        <w:trPr>
          <w:trHeight w:val="321"/>
        </w:trPr>
        <w:tc>
          <w:tcPr>
            <w:tcW w:w="526" w:type="pct"/>
            <w:shd w:val="clear" w:color="auto" w:fill="auto"/>
            <w:vAlign w:val="center"/>
            <w:hideMark/>
          </w:tcPr>
          <w:p w:rsidR="00A41AD7" w:rsidRPr="00DF6B0C" w:rsidRDefault="00A41AD7" w:rsidP="00E7317C">
            <w:pPr>
              <w:ind w:firstLineChars="12" w:firstLine="22"/>
              <w:rPr>
                <w:sz w:val="18"/>
                <w:szCs w:val="18"/>
              </w:rPr>
            </w:pPr>
            <w:r w:rsidRPr="00DF6B0C">
              <w:rPr>
                <w:sz w:val="18"/>
                <w:szCs w:val="18"/>
              </w:rPr>
              <w:t>до 100 л.с. (до 73,55 кВт) включительно</w:t>
            </w:r>
          </w:p>
        </w:tc>
        <w:tc>
          <w:tcPr>
            <w:tcW w:w="402" w:type="pct"/>
            <w:shd w:val="clear" w:color="auto" w:fill="auto"/>
            <w:vAlign w:val="center"/>
            <w:hideMark/>
          </w:tcPr>
          <w:p w:rsidR="00A41AD7" w:rsidRPr="00DF6B0C" w:rsidRDefault="00A41AD7" w:rsidP="00E7317C">
            <w:pPr>
              <w:jc w:val="center"/>
              <w:rPr>
                <w:sz w:val="18"/>
                <w:szCs w:val="18"/>
              </w:rPr>
            </w:pPr>
            <w:r w:rsidRPr="00DF6B0C">
              <w:rPr>
                <w:sz w:val="18"/>
                <w:szCs w:val="18"/>
              </w:rPr>
              <w:t>отчет 5-ТН,стр.2329</w:t>
            </w:r>
          </w:p>
        </w:tc>
        <w:tc>
          <w:tcPr>
            <w:tcW w:w="337"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12 506</w:t>
            </w:r>
          </w:p>
        </w:tc>
        <w:tc>
          <w:tcPr>
            <w:tcW w:w="260"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99,6</w:t>
            </w:r>
          </w:p>
        </w:tc>
        <w:tc>
          <w:tcPr>
            <w:tcW w:w="324"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12 129</w:t>
            </w:r>
          </w:p>
        </w:tc>
        <w:tc>
          <w:tcPr>
            <w:tcW w:w="243"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97,0</w:t>
            </w:r>
          </w:p>
        </w:tc>
        <w:tc>
          <w:tcPr>
            <w:tcW w:w="344"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11 608</w:t>
            </w:r>
          </w:p>
        </w:tc>
        <w:tc>
          <w:tcPr>
            <w:tcW w:w="240"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95,7</w:t>
            </w:r>
          </w:p>
        </w:tc>
        <w:tc>
          <w:tcPr>
            <w:tcW w:w="331"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11 190</w:t>
            </w:r>
          </w:p>
        </w:tc>
        <w:tc>
          <w:tcPr>
            <w:tcW w:w="253"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96,4</w:t>
            </w:r>
          </w:p>
        </w:tc>
        <w:tc>
          <w:tcPr>
            <w:tcW w:w="318"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10 754</w:t>
            </w:r>
          </w:p>
        </w:tc>
        <w:tc>
          <w:tcPr>
            <w:tcW w:w="265" w:type="pct"/>
            <w:shd w:val="clear" w:color="auto" w:fill="auto"/>
            <w:noWrap/>
            <w:vAlign w:val="center"/>
            <w:hideMark/>
          </w:tcPr>
          <w:p w:rsidR="00A41AD7" w:rsidRPr="00DF6B0C" w:rsidRDefault="00A41AD7" w:rsidP="00E7317C">
            <w:pPr>
              <w:jc w:val="center"/>
              <w:rPr>
                <w:i/>
                <w:iCs/>
                <w:color w:val="000000"/>
                <w:sz w:val="18"/>
                <w:szCs w:val="18"/>
              </w:rPr>
            </w:pPr>
            <w:r w:rsidRPr="00DF6B0C">
              <w:rPr>
                <w:i/>
                <w:iCs/>
                <w:color w:val="000000"/>
                <w:sz w:val="18"/>
                <w:szCs w:val="18"/>
              </w:rPr>
              <w:t>96,1</w:t>
            </w:r>
          </w:p>
        </w:tc>
        <w:tc>
          <w:tcPr>
            <w:tcW w:w="305"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10 356</w:t>
            </w:r>
          </w:p>
        </w:tc>
        <w:tc>
          <w:tcPr>
            <w:tcW w:w="230" w:type="pct"/>
            <w:shd w:val="clear" w:color="auto" w:fill="auto"/>
            <w:noWrap/>
            <w:vAlign w:val="center"/>
            <w:hideMark/>
          </w:tcPr>
          <w:p w:rsidR="00A41AD7" w:rsidRPr="00DF6B0C" w:rsidRDefault="00A41AD7" w:rsidP="00E7317C">
            <w:pPr>
              <w:jc w:val="center"/>
              <w:rPr>
                <w:i/>
                <w:iCs/>
                <w:color w:val="000000"/>
                <w:sz w:val="18"/>
                <w:szCs w:val="18"/>
              </w:rPr>
            </w:pPr>
            <w:r w:rsidRPr="00DF6B0C">
              <w:rPr>
                <w:i/>
                <w:iCs/>
                <w:color w:val="000000"/>
                <w:sz w:val="18"/>
                <w:szCs w:val="18"/>
              </w:rPr>
              <w:t>96,3</w:t>
            </w:r>
          </w:p>
        </w:tc>
        <w:tc>
          <w:tcPr>
            <w:tcW w:w="340"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9 962</w:t>
            </w:r>
          </w:p>
        </w:tc>
        <w:tc>
          <w:tcPr>
            <w:tcW w:w="282" w:type="pct"/>
            <w:shd w:val="clear" w:color="auto" w:fill="auto"/>
            <w:noWrap/>
            <w:vAlign w:val="center"/>
            <w:hideMark/>
          </w:tcPr>
          <w:p w:rsidR="00A41AD7" w:rsidRPr="00DF6B0C" w:rsidRDefault="00A41AD7" w:rsidP="00E7317C">
            <w:pPr>
              <w:jc w:val="center"/>
              <w:rPr>
                <w:i/>
                <w:iCs/>
                <w:color w:val="000000"/>
                <w:sz w:val="18"/>
                <w:szCs w:val="18"/>
              </w:rPr>
            </w:pPr>
            <w:r w:rsidRPr="00DF6B0C">
              <w:rPr>
                <w:i/>
                <w:iCs/>
                <w:color w:val="000000"/>
                <w:sz w:val="18"/>
                <w:szCs w:val="18"/>
              </w:rPr>
              <w:t>96,2</w:t>
            </w:r>
          </w:p>
        </w:tc>
      </w:tr>
      <w:tr w:rsidR="00A41AD7" w:rsidRPr="00DF6B0C" w:rsidTr="002A33AD">
        <w:trPr>
          <w:trHeight w:val="327"/>
        </w:trPr>
        <w:tc>
          <w:tcPr>
            <w:tcW w:w="526" w:type="pct"/>
            <w:shd w:val="clear" w:color="auto" w:fill="auto"/>
            <w:vAlign w:val="center"/>
            <w:hideMark/>
          </w:tcPr>
          <w:p w:rsidR="00A41AD7" w:rsidRPr="00DF6B0C" w:rsidRDefault="00A41AD7" w:rsidP="00E7317C">
            <w:pPr>
              <w:ind w:firstLineChars="12" w:firstLine="22"/>
              <w:rPr>
                <w:sz w:val="18"/>
                <w:szCs w:val="18"/>
              </w:rPr>
            </w:pPr>
            <w:r w:rsidRPr="00DF6B0C">
              <w:rPr>
                <w:sz w:val="18"/>
                <w:szCs w:val="18"/>
              </w:rPr>
              <w:t>свыше 100 л.с. до 150 л.с. (свыше 73,55 кВт до 110,33 кВт) включительно</w:t>
            </w:r>
          </w:p>
        </w:tc>
        <w:tc>
          <w:tcPr>
            <w:tcW w:w="402" w:type="pct"/>
            <w:shd w:val="clear" w:color="auto" w:fill="auto"/>
            <w:vAlign w:val="center"/>
            <w:hideMark/>
          </w:tcPr>
          <w:p w:rsidR="00A41AD7" w:rsidRPr="00DF6B0C" w:rsidRDefault="00A41AD7" w:rsidP="00E7317C">
            <w:pPr>
              <w:jc w:val="center"/>
              <w:rPr>
                <w:sz w:val="18"/>
                <w:szCs w:val="18"/>
              </w:rPr>
            </w:pPr>
            <w:r w:rsidRPr="00DF6B0C">
              <w:rPr>
                <w:sz w:val="18"/>
                <w:szCs w:val="18"/>
              </w:rPr>
              <w:t>отчет 5-ТН,стр.2330</w:t>
            </w:r>
          </w:p>
        </w:tc>
        <w:tc>
          <w:tcPr>
            <w:tcW w:w="337"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16 373</w:t>
            </w:r>
          </w:p>
        </w:tc>
        <w:tc>
          <w:tcPr>
            <w:tcW w:w="260"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104,4</w:t>
            </w:r>
          </w:p>
        </w:tc>
        <w:tc>
          <w:tcPr>
            <w:tcW w:w="324"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16 524</w:t>
            </w:r>
          </w:p>
        </w:tc>
        <w:tc>
          <w:tcPr>
            <w:tcW w:w="243"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100,9</w:t>
            </w:r>
          </w:p>
        </w:tc>
        <w:tc>
          <w:tcPr>
            <w:tcW w:w="344"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16 385</w:t>
            </w:r>
          </w:p>
        </w:tc>
        <w:tc>
          <w:tcPr>
            <w:tcW w:w="240"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99,2</w:t>
            </w:r>
          </w:p>
        </w:tc>
        <w:tc>
          <w:tcPr>
            <w:tcW w:w="331"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16 401</w:t>
            </w:r>
          </w:p>
        </w:tc>
        <w:tc>
          <w:tcPr>
            <w:tcW w:w="253"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100,1</w:t>
            </w:r>
          </w:p>
        </w:tc>
        <w:tc>
          <w:tcPr>
            <w:tcW w:w="318"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16 352</w:t>
            </w:r>
          </w:p>
        </w:tc>
        <w:tc>
          <w:tcPr>
            <w:tcW w:w="265" w:type="pct"/>
            <w:shd w:val="clear" w:color="auto" w:fill="auto"/>
            <w:noWrap/>
            <w:vAlign w:val="center"/>
            <w:hideMark/>
          </w:tcPr>
          <w:p w:rsidR="00A41AD7" w:rsidRPr="00DF6B0C" w:rsidRDefault="00A41AD7" w:rsidP="00E7317C">
            <w:pPr>
              <w:jc w:val="center"/>
              <w:rPr>
                <w:i/>
                <w:iCs/>
                <w:color w:val="000000"/>
                <w:sz w:val="18"/>
                <w:szCs w:val="18"/>
              </w:rPr>
            </w:pPr>
            <w:r w:rsidRPr="00DF6B0C">
              <w:rPr>
                <w:i/>
                <w:iCs/>
                <w:color w:val="000000"/>
                <w:sz w:val="18"/>
                <w:szCs w:val="18"/>
              </w:rPr>
              <w:t>99,7</w:t>
            </w:r>
          </w:p>
        </w:tc>
        <w:tc>
          <w:tcPr>
            <w:tcW w:w="305"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16 336</w:t>
            </w:r>
          </w:p>
        </w:tc>
        <w:tc>
          <w:tcPr>
            <w:tcW w:w="230" w:type="pct"/>
            <w:shd w:val="clear" w:color="auto" w:fill="auto"/>
            <w:noWrap/>
            <w:vAlign w:val="center"/>
            <w:hideMark/>
          </w:tcPr>
          <w:p w:rsidR="00A41AD7" w:rsidRPr="00DF6B0C" w:rsidRDefault="00A41AD7" w:rsidP="00E7317C">
            <w:pPr>
              <w:jc w:val="center"/>
              <w:rPr>
                <w:i/>
                <w:iCs/>
                <w:color w:val="000000"/>
                <w:sz w:val="18"/>
                <w:szCs w:val="18"/>
              </w:rPr>
            </w:pPr>
            <w:r w:rsidRPr="00DF6B0C">
              <w:rPr>
                <w:i/>
                <w:iCs/>
                <w:color w:val="000000"/>
                <w:sz w:val="18"/>
                <w:szCs w:val="18"/>
              </w:rPr>
              <w:t>99,9</w:t>
            </w:r>
          </w:p>
        </w:tc>
        <w:tc>
          <w:tcPr>
            <w:tcW w:w="340"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16 303</w:t>
            </w:r>
          </w:p>
        </w:tc>
        <w:tc>
          <w:tcPr>
            <w:tcW w:w="282" w:type="pct"/>
            <w:shd w:val="clear" w:color="auto" w:fill="auto"/>
            <w:noWrap/>
            <w:vAlign w:val="center"/>
            <w:hideMark/>
          </w:tcPr>
          <w:p w:rsidR="00A41AD7" w:rsidRPr="00DF6B0C" w:rsidRDefault="00A41AD7" w:rsidP="00E7317C">
            <w:pPr>
              <w:jc w:val="center"/>
              <w:rPr>
                <w:i/>
                <w:iCs/>
                <w:color w:val="000000"/>
                <w:sz w:val="18"/>
                <w:szCs w:val="18"/>
              </w:rPr>
            </w:pPr>
            <w:r w:rsidRPr="00DF6B0C">
              <w:rPr>
                <w:i/>
                <w:iCs/>
                <w:color w:val="000000"/>
                <w:sz w:val="18"/>
                <w:szCs w:val="18"/>
              </w:rPr>
              <w:t>99,8</w:t>
            </w:r>
          </w:p>
        </w:tc>
      </w:tr>
      <w:tr w:rsidR="00A41AD7" w:rsidRPr="00DF6B0C" w:rsidTr="002A33AD">
        <w:trPr>
          <w:trHeight w:val="265"/>
        </w:trPr>
        <w:tc>
          <w:tcPr>
            <w:tcW w:w="526" w:type="pct"/>
            <w:shd w:val="clear" w:color="auto" w:fill="auto"/>
            <w:vAlign w:val="center"/>
            <w:hideMark/>
          </w:tcPr>
          <w:p w:rsidR="00A41AD7" w:rsidRPr="00DF6B0C" w:rsidRDefault="00A41AD7" w:rsidP="00E7317C">
            <w:pPr>
              <w:ind w:firstLineChars="12" w:firstLine="22"/>
              <w:rPr>
                <w:sz w:val="18"/>
                <w:szCs w:val="18"/>
              </w:rPr>
            </w:pPr>
            <w:r w:rsidRPr="00DF6B0C">
              <w:rPr>
                <w:sz w:val="18"/>
                <w:szCs w:val="18"/>
              </w:rPr>
              <w:t>свыше 150 л.с. до 200 л.с. (свыше 110,33 кВт до 147,1 кВт) включительно</w:t>
            </w:r>
          </w:p>
        </w:tc>
        <w:tc>
          <w:tcPr>
            <w:tcW w:w="402" w:type="pct"/>
            <w:shd w:val="clear" w:color="auto" w:fill="auto"/>
            <w:vAlign w:val="center"/>
            <w:hideMark/>
          </w:tcPr>
          <w:p w:rsidR="00A41AD7" w:rsidRPr="00DF6B0C" w:rsidRDefault="00A41AD7" w:rsidP="00E7317C">
            <w:pPr>
              <w:jc w:val="center"/>
              <w:rPr>
                <w:sz w:val="18"/>
                <w:szCs w:val="18"/>
              </w:rPr>
            </w:pPr>
            <w:r w:rsidRPr="00DF6B0C">
              <w:rPr>
                <w:sz w:val="18"/>
                <w:szCs w:val="18"/>
              </w:rPr>
              <w:t>отчет 5-ТН,стр.2331</w:t>
            </w:r>
          </w:p>
        </w:tc>
        <w:tc>
          <w:tcPr>
            <w:tcW w:w="337"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2 162</w:t>
            </w:r>
          </w:p>
        </w:tc>
        <w:tc>
          <w:tcPr>
            <w:tcW w:w="260"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107,9</w:t>
            </w:r>
          </w:p>
        </w:tc>
        <w:tc>
          <w:tcPr>
            <w:tcW w:w="324"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2 239</w:t>
            </w:r>
          </w:p>
        </w:tc>
        <w:tc>
          <w:tcPr>
            <w:tcW w:w="243"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103,6</w:t>
            </w:r>
          </w:p>
        </w:tc>
        <w:tc>
          <w:tcPr>
            <w:tcW w:w="344"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2 286</w:t>
            </w:r>
          </w:p>
        </w:tc>
        <w:tc>
          <w:tcPr>
            <w:tcW w:w="240"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102,1</w:t>
            </w:r>
          </w:p>
        </w:tc>
        <w:tc>
          <w:tcPr>
            <w:tcW w:w="331"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2 352</w:t>
            </w:r>
          </w:p>
        </w:tc>
        <w:tc>
          <w:tcPr>
            <w:tcW w:w="253"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102,9</w:t>
            </w:r>
          </w:p>
        </w:tc>
        <w:tc>
          <w:tcPr>
            <w:tcW w:w="318"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2 411</w:t>
            </w:r>
          </w:p>
        </w:tc>
        <w:tc>
          <w:tcPr>
            <w:tcW w:w="265" w:type="pct"/>
            <w:shd w:val="clear" w:color="auto" w:fill="auto"/>
            <w:noWrap/>
            <w:vAlign w:val="center"/>
            <w:hideMark/>
          </w:tcPr>
          <w:p w:rsidR="00A41AD7" w:rsidRPr="00DF6B0C" w:rsidRDefault="00A41AD7" w:rsidP="00E7317C">
            <w:pPr>
              <w:jc w:val="center"/>
              <w:rPr>
                <w:i/>
                <w:iCs/>
                <w:color w:val="000000"/>
                <w:sz w:val="18"/>
                <w:szCs w:val="18"/>
              </w:rPr>
            </w:pPr>
            <w:r w:rsidRPr="00DF6B0C">
              <w:rPr>
                <w:i/>
                <w:iCs/>
                <w:color w:val="000000"/>
                <w:sz w:val="18"/>
                <w:szCs w:val="18"/>
              </w:rPr>
              <w:t>102,5</w:t>
            </w:r>
          </w:p>
        </w:tc>
        <w:tc>
          <w:tcPr>
            <w:tcW w:w="305"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2 476</w:t>
            </w:r>
          </w:p>
        </w:tc>
        <w:tc>
          <w:tcPr>
            <w:tcW w:w="230" w:type="pct"/>
            <w:shd w:val="clear" w:color="auto" w:fill="auto"/>
            <w:noWrap/>
            <w:vAlign w:val="center"/>
            <w:hideMark/>
          </w:tcPr>
          <w:p w:rsidR="00A41AD7" w:rsidRPr="00DF6B0C" w:rsidRDefault="00A41AD7" w:rsidP="00E7317C">
            <w:pPr>
              <w:jc w:val="center"/>
              <w:rPr>
                <w:i/>
                <w:iCs/>
                <w:color w:val="000000"/>
                <w:sz w:val="18"/>
                <w:szCs w:val="18"/>
              </w:rPr>
            </w:pPr>
            <w:r w:rsidRPr="00DF6B0C">
              <w:rPr>
                <w:i/>
                <w:iCs/>
                <w:color w:val="000000"/>
                <w:sz w:val="18"/>
                <w:szCs w:val="18"/>
              </w:rPr>
              <w:t>102,7</w:t>
            </w:r>
          </w:p>
        </w:tc>
        <w:tc>
          <w:tcPr>
            <w:tcW w:w="340"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2 540</w:t>
            </w:r>
          </w:p>
        </w:tc>
        <w:tc>
          <w:tcPr>
            <w:tcW w:w="282" w:type="pct"/>
            <w:shd w:val="clear" w:color="auto" w:fill="auto"/>
            <w:noWrap/>
            <w:vAlign w:val="center"/>
            <w:hideMark/>
          </w:tcPr>
          <w:p w:rsidR="00A41AD7" w:rsidRPr="00DF6B0C" w:rsidRDefault="00A41AD7" w:rsidP="00E7317C">
            <w:pPr>
              <w:jc w:val="center"/>
              <w:rPr>
                <w:i/>
                <w:iCs/>
                <w:color w:val="000000"/>
                <w:sz w:val="18"/>
                <w:szCs w:val="18"/>
              </w:rPr>
            </w:pPr>
            <w:r w:rsidRPr="00DF6B0C">
              <w:rPr>
                <w:i/>
                <w:iCs/>
                <w:color w:val="000000"/>
                <w:sz w:val="18"/>
                <w:szCs w:val="18"/>
              </w:rPr>
              <w:t>102,6</w:t>
            </w:r>
          </w:p>
        </w:tc>
      </w:tr>
      <w:tr w:rsidR="00A41AD7" w:rsidRPr="00DF6B0C" w:rsidTr="002A33AD">
        <w:trPr>
          <w:trHeight w:val="203"/>
        </w:trPr>
        <w:tc>
          <w:tcPr>
            <w:tcW w:w="526" w:type="pct"/>
            <w:shd w:val="clear" w:color="auto" w:fill="auto"/>
            <w:vAlign w:val="center"/>
            <w:hideMark/>
          </w:tcPr>
          <w:p w:rsidR="00A41AD7" w:rsidRPr="00DF6B0C" w:rsidRDefault="00A41AD7" w:rsidP="00E7317C">
            <w:pPr>
              <w:ind w:firstLineChars="12" w:firstLine="22"/>
              <w:rPr>
                <w:sz w:val="18"/>
                <w:szCs w:val="18"/>
              </w:rPr>
            </w:pPr>
            <w:r w:rsidRPr="00DF6B0C">
              <w:rPr>
                <w:sz w:val="18"/>
                <w:szCs w:val="18"/>
              </w:rPr>
              <w:t>свыше 200 л.с. до 250 л.с. (свыше 147,1 кВт до 183,9 кВт) включительно</w:t>
            </w:r>
          </w:p>
        </w:tc>
        <w:tc>
          <w:tcPr>
            <w:tcW w:w="402" w:type="pct"/>
            <w:shd w:val="clear" w:color="auto" w:fill="auto"/>
            <w:vAlign w:val="center"/>
            <w:hideMark/>
          </w:tcPr>
          <w:p w:rsidR="00A41AD7" w:rsidRPr="00DF6B0C" w:rsidRDefault="00A41AD7" w:rsidP="00E7317C">
            <w:pPr>
              <w:jc w:val="center"/>
              <w:rPr>
                <w:sz w:val="18"/>
                <w:szCs w:val="18"/>
              </w:rPr>
            </w:pPr>
            <w:r w:rsidRPr="00DF6B0C">
              <w:rPr>
                <w:sz w:val="18"/>
                <w:szCs w:val="18"/>
              </w:rPr>
              <w:t>отчет 5-ТН,стр.2332</w:t>
            </w:r>
          </w:p>
        </w:tc>
        <w:tc>
          <w:tcPr>
            <w:tcW w:w="337"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3 613</w:t>
            </w:r>
          </w:p>
        </w:tc>
        <w:tc>
          <w:tcPr>
            <w:tcW w:w="260"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98,6</w:t>
            </w:r>
          </w:p>
        </w:tc>
        <w:tc>
          <w:tcPr>
            <w:tcW w:w="324"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3 532</w:t>
            </w:r>
          </w:p>
        </w:tc>
        <w:tc>
          <w:tcPr>
            <w:tcW w:w="243"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97,8</w:t>
            </w:r>
          </w:p>
        </w:tc>
        <w:tc>
          <w:tcPr>
            <w:tcW w:w="344"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3 412</w:t>
            </w:r>
          </w:p>
        </w:tc>
        <w:tc>
          <w:tcPr>
            <w:tcW w:w="240"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96,6</w:t>
            </w:r>
          </w:p>
        </w:tc>
        <w:tc>
          <w:tcPr>
            <w:tcW w:w="331"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3 316</w:t>
            </w:r>
          </w:p>
        </w:tc>
        <w:tc>
          <w:tcPr>
            <w:tcW w:w="253"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97,2</w:t>
            </w:r>
          </w:p>
        </w:tc>
        <w:tc>
          <w:tcPr>
            <w:tcW w:w="318"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3 213</w:t>
            </w:r>
          </w:p>
        </w:tc>
        <w:tc>
          <w:tcPr>
            <w:tcW w:w="265" w:type="pct"/>
            <w:shd w:val="clear" w:color="auto" w:fill="auto"/>
            <w:noWrap/>
            <w:vAlign w:val="center"/>
            <w:hideMark/>
          </w:tcPr>
          <w:p w:rsidR="00A41AD7" w:rsidRPr="00DF6B0C" w:rsidRDefault="00A41AD7" w:rsidP="00E7317C">
            <w:pPr>
              <w:jc w:val="center"/>
              <w:rPr>
                <w:i/>
                <w:iCs/>
                <w:color w:val="000000"/>
                <w:sz w:val="18"/>
                <w:szCs w:val="18"/>
              </w:rPr>
            </w:pPr>
            <w:r w:rsidRPr="00DF6B0C">
              <w:rPr>
                <w:i/>
                <w:iCs/>
                <w:color w:val="000000"/>
                <w:sz w:val="18"/>
                <w:szCs w:val="18"/>
              </w:rPr>
              <w:t>96,9</w:t>
            </w:r>
          </w:p>
        </w:tc>
        <w:tc>
          <w:tcPr>
            <w:tcW w:w="305"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3 120</w:t>
            </w:r>
          </w:p>
        </w:tc>
        <w:tc>
          <w:tcPr>
            <w:tcW w:w="230" w:type="pct"/>
            <w:shd w:val="clear" w:color="auto" w:fill="auto"/>
            <w:noWrap/>
            <w:vAlign w:val="center"/>
            <w:hideMark/>
          </w:tcPr>
          <w:p w:rsidR="00A41AD7" w:rsidRPr="00DF6B0C" w:rsidRDefault="00A41AD7" w:rsidP="00E7317C">
            <w:pPr>
              <w:jc w:val="center"/>
              <w:rPr>
                <w:i/>
                <w:iCs/>
                <w:color w:val="000000"/>
                <w:sz w:val="18"/>
                <w:szCs w:val="18"/>
              </w:rPr>
            </w:pPr>
            <w:r w:rsidRPr="00DF6B0C">
              <w:rPr>
                <w:i/>
                <w:iCs/>
                <w:color w:val="000000"/>
                <w:sz w:val="18"/>
                <w:szCs w:val="18"/>
              </w:rPr>
              <w:t>97,1</w:t>
            </w:r>
          </w:p>
        </w:tc>
        <w:tc>
          <w:tcPr>
            <w:tcW w:w="340"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3 026</w:t>
            </w:r>
          </w:p>
        </w:tc>
        <w:tc>
          <w:tcPr>
            <w:tcW w:w="282" w:type="pct"/>
            <w:shd w:val="clear" w:color="auto" w:fill="auto"/>
            <w:noWrap/>
            <w:vAlign w:val="center"/>
            <w:hideMark/>
          </w:tcPr>
          <w:p w:rsidR="00A41AD7" w:rsidRPr="00DF6B0C" w:rsidRDefault="00A41AD7" w:rsidP="00E7317C">
            <w:pPr>
              <w:jc w:val="center"/>
              <w:rPr>
                <w:i/>
                <w:iCs/>
                <w:color w:val="000000"/>
                <w:sz w:val="18"/>
                <w:szCs w:val="18"/>
              </w:rPr>
            </w:pPr>
            <w:r w:rsidRPr="00DF6B0C">
              <w:rPr>
                <w:i/>
                <w:iCs/>
                <w:color w:val="000000"/>
                <w:sz w:val="18"/>
                <w:szCs w:val="18"/>
              </w:rPr>
              <w:t>97,0</w:t>
            </w:r>
          </w:p>
        </w:tc>
      </w:tr>
      <w:tr w:rsidR="00A41AD7" w:rsidRPr="00DF6B0C" w:rsidTr="002A33AD">
        <w:trPr>
          <w:trHeight w:val="283"/>
        </w:trPr>
        <w:tc>
          <w:tcPr>
            <w:tcW w:w="526" w:type="pct"/>
            <w:shd w:val="clear" w:color="auto" w:fill="auto"/>
            <w:vAlign w:val="center"/>
            <w:hideMark/>
          </w:tcPr>
          <w:p w:rsidR="00A41AD7" w:rsidRPr="00DF6B0C" w:rsidRDefault="00A41AD7" w:rsidP="00E7317C">
            <w:pPr>
              <w:ind w:firstLineChars="12" w:firstLine="22"/>
              <w:rPr>
                <w:sz w:val="18"/>
                <w:szCs w:val="18"/>
              </w:rPr>
            </w:pPr>
            <w:r w:rsidRPr="00DF6B0C">
              <w:rPr>
                <w:sz w:val="18"/>
                <w:szCs w:val="18"/>
              </w:rPr>
              <w:t>свыше 250 л.с. (свыше 183,9 кВт)</w:t>
            </w:r>
          </w:p>
        </w:tc>
        <w:tc>
          <w:tcPr>
            <w:tcW w:w="402" w:type="pct"/>
            <w:shd w:val="clear" w:color="auto" w:fill="auto"/>
            <w:vAlign w:val="center"/>
            <w:hideMark/>
          </w:tcPr>
          <w:p w:rsidR="00A41AD7" w:rsidRPr="00DF6B0C" w:rsidRDefault="00A41AD7" w:rsidP="00E7317C">
            <w:pPr>
              <w:jc w:val="center"/>
              <w:rPr>
                <w:sz w:val="18"/>
                <w:szCs w:val="18"/>
              </w:rPr>
            </w:pPr>
            <w:r w:rsidRPr="00DF6B0C">
              <w:rPr>
                <w:sz w:val="18"/>
                <w:szCs w:val="18"/>
              </w:rPr>
              <w:t>отчет 5-ТН,стр.2333</w:t>
            </w:r>
          </w:p>
        </w:tc>
        <w:tc>
          <w:tcPr>
            <w:tcW w:w="337"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4 986</w:t>
            </w:r>
          </w:p>
        </w:tc>
        <w:tc>
          <w:tcPr>
            <w:tcW w:w="260"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102,2</w:t>
            </w:r>
          </w:p>
        </w:tc>
        <w:tc>
          <w:tcPr>
            <w:tcW w:w="324"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5 701</w:t>
            </w:r>
          </w:p>
        </w:tc>
        <w:tc>
          <w:tcPr>
            <w:tcW w:w="243"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114,3</w:t>
            </w:r>
          </w:p>
        </w:tc>
        <w:tc>
          <w:tcPr>
            <w:tcW w:w="344"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5 703</w:t>
            </w:r>
          </w:p>
        </w:tc>
        <w:tc>
          <w:tcPr>
            <w:tcW w:w="240"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100,0</w:t>
            </w:r>
          </w:p>
        </w:tc>
        <w:tc>
          <w:tcPr>
            <w:tcW w:w="331"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6 114</w:t>
            </w:r>
          </w:p>
        </w:tc>
        <w:tc>
          <w:tcPr>
            <w:tcW w:w="253"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107,2</w:t>
            </w:r>
          </w:p>
        </w:tc>
        <w:tc>
          <w:tcPr>
            <w:tcW w:w="318"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6 334</w:t>
            </w:r>
          </w:p>
        </w:tc>
        <w:tc>
          <w:tcPr>
            <w:tcW w:w="265" w:type="pct"/>
            <w:shd w:val="clear" w:color="auto" w:fill="auto"/>
            <w:noWrap/>
            <w:vAlign w:val="center"/>
            <w:hideMark/>
          </w:tcPr>
          <w:p w:rsidR="00A41AD7" w:rsidRPr="00DF6B0C" w:rsidRDefault="00A41AD7" w:rsidP="00E7317C">
            <w:pPr>
              <w:jc w:val="center"/>
              <w:rPr>
                <w:i/>
                <w:iCs/>
                <w:color w:val="000000"/>
                <w:sz w:val="18"/>
                <w:szCs w:val="18"/>
              </w:rPr>
            </w:pPr>
            <w:r w:rsidRPr="00DF6B0C">
              <w:rPr>
                <w:i/>
                <w:iCs/>
                <w:color w:val="000000"/>
                <w:sz w:val="18"/>
                <w:szCs w:val="18"/>
              </w:rPr>
              <w:t>103,6</w:t>
            </w:r>
          </w:p>
        </w:tc>
        <w:tc>
          <w:tcPr>
            <w:tcW w:w="305"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6 676</w:t>
            </w:r>
          </w:p>
        </w:tc>
        <w:tc>
          <w:tcPr>
            <w:tcW w:w="230" w:type="pct"/>
            <w:shd w:val="clear" w:color="auto" w:fill="auto"/>
            <w:noWrap/>
            <w:vAlign w:val="center"/>
            <w:hideMark/>
          </w:tcPr>
          <w:p w:rsidR="00A41AD7" w:rsidRPr="00DF6B0C" w:rsidRDefault="00A41AD7" w:rsidP="00E7317C">
            <w:pPr>
              <w:jc w:val="center"/>
              <w:rPr>
                <w:i/>
                <w:iCs/>
                <w:color w:val="000000"/>
                <w:sz w:val="18"/>
                <w:szCs w:val="18"/>
              </w:rPr>
            </w:pPr>
            <w:r w:rsidRPr="00DF6B0C">
              <w:rPr>
                <w:i/>
                <w:iCs/>
                <w:color w:val="000000"/>
                <w:sz w:val="18"/>
                <w:szCs w:val="18"/>
              </w:rPr>
              <w:t>105,4</w:t>
            </w:r>
          </w:p>
        </w:tc>
        <w:tc>
          <w:tcPr>
            <w:tcW w:w="340"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6 976</w:t>
            </w:r>
          </w:p>
        </w:tc>
        <w:tc>
          <w:tcPr>
            <w:tcW w:w="282" w:type="pct"/>
            <w:shd w:val="clear" w:color="auto" w:fill="auto"/>
            <w:noWrap/>
            <w:vAlign w:val="center"/>
            <w:hideMark/>
          </w:tcPr>
          <w:p w:rsidR="00A41AD7" w:rsidRPr="00DF6B0C" w:rsidRDefault="00A41AD7" w:rsidP="00E7317C">
            <w:pPr>
              <w:jc w:val="center"/>
              <w:rPr>
                <w:i/>
                <w:iCs/>
                <w:color w:val="000000"/>
                <w:sz w:val="18"/>
                <w:szCs w:val="18"/>
              </w:rPr>
            </w:pPr>
            <w:r w:rsidRPr="00DF6B0C">
              <w:rPr>
                <w:i/>
                <w:iCs/>
                <w:color w:val="000000"/>
                <w:sz w:val="18"/>
                <w:szCs w:val="18"/>
              </w:rPr>
              <w:t>104,5</w:t>
            </w:r>
          </w:p>
        </w:tc>
      </w:tr>
      <w:tr w:rsidR="00A41AD7" w:rsidRPr="00DF6B0C" w:rsidTr="00E7317C">
        <w:trPr>
          <w:trHeight w:val="1125"/>
        </w:trPr>
        <w:tc>
          <w:tcPr>
            <w:tcW w:w="526" w:type="pct"/>
            <w:shd w:val="clear" w:color="auto" w:fill="auto"/>
            <w:vAlign w:val="center"/>
            <w:hideMark/>
          </w:tcPr>
          <w:p w:rsidR="00A41AD7" w:rsidRPr="00DF6B0C" w:rsidRDefault="00A41AD7" w:rsidP="00E7317C">
            <w:pPr>
              <w:rPr>
                <w:i/>
                <w:iCs/>
                <w:sz w:val="18"/>
                <w:szCs w:val="18"/>
              </w:rPr>
            </w:pPr>
            <w:r w:rsidRPr="00DF6B0C">
              <w:rPr>
                <w:i/>
                <w:iCs/>
                <w:sz w:val="18"/>
                <w:szCs w:val="18"/>
              </w:rPr>
              <w:t>Другие самоходные транспортные средства, машины и механизмы на пневматическом и гусеничном ходу</w:t>
            </w:r>
          </w:p>
        </w:tc>
        <w:tc>
          <w:tcPr>
            <w:tcW w:w="402" w:type="pct"/>
            <w:shd w:val="clear" w:color="auto" w:fill="auto"/>
            <w:vAlign w:val="center"/>
            <w:hideMark/>
          </w:tcPr>
          <w:p w:rsidR="00A41AD7" w:rsidRPr="00DF6B0C" w:rsidRDefault="00A41AD7" w:rsidP="00E7317C">
            <w:pPr>
              <w:jc w:val="center"/>
              <w:rPr>
                <w:i/>
                <w:iCs/>
                <w:sz w:val="18"/>
                <w:szCs w:val="18"/>
              </w:rPr>
            </w:pPr>
            <w:r w:rsidRPr="00DF6B0C">
              <w:rPr>
                <w:i/>
                <w:iCs/>
                <w:sz w:val="18"/>
                <w:szCs w:val="18"/>
              </w:rPr>
              <w:t>отчет 5-ТН,стр.2334</w:t>
            </w:r>
          </w:p>
        </w:tc>
        <w:tc>
          <w:tcPr>
            <w:tcW w:w="337"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11 212</w:t>
            </w:r>
          </w:p>
        </w:tc>
        <w:tc>
          <w:tcPr>
            <w:tcW w:w="260"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102,2</w:t>
            </w:r>
          </w:p>
        </w:tc>
        <w:tc>
          <w:tcPr>
            <w:tcW w:w="324"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11 345</w:t>
            </w:r>
          </w:p>
        </w:tc>
        <w:tc>
          <w:tcPr>
            <w:tcW w:w="243"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101,2</w:t>
            </w:r>
          </w:p>
        </w:tc>
        <w:tc>
          <w:tcPr>
            <w:tcW w:w="344"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11 393</w:t>
            </w:r>
          </w:p>
        </w:tc>
        <w:tc>
          <w:tcPr>
            <w:tcW w:w="240"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100,4</w:t>
            </w:r>
          </w:p>
        </w:tc>
        <w:tc>
          <w:tcPr>
            <w:tcW w:w="331"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11 484</w:t>
            </w:r>
          </w:p>
        </w:tc>
        <w:tc>
          <w:tcPr>
            <w:tcW w:w="253"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100,8</w:t>
            </w:r>
          </w:p>
        </w:tc>
        <w:tc>
          <w:tcPr>
            <w:tcW w:w="318"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11 553</w:t>
            </w:r>
          </w:p>
        </w:tc>
        <w:tc>
          <w:tcPr>
            <w:tcW w:w="265" w:type="pct"/>
            <w:shd w:val="clear" w:color="auto" w:fill="auto"/>
            <w:noWrap/>
            <w:vAlign w:val="center"/>
            <w:hideMark/>
          </w:tcPr>
          <w:p w:rsidR="00A41AD7" w:rsidRPr="00DF6B0C" w:rsidRDefault="00A41AD7" w:rsidP="00E7317C">
            <w:pPr>
              <w:jc w:val="center"/>
              <w:rPr>
                <w:i/>
                <w:iCs/>
                <w:color w:val="000000"/>
                <w:sz w:val="18"/>
                <w:szCs w:val="18"/>
              </w:rPr>
            </w:pPr>
            <w:r w:rsidRPr="00DF6B0C">
              <w:rPr>
                <w:i/>
                <w:iCs/>
                <w:color w:val="000000"/>
                <w:sz w:val="18"/>
                <w:szCs w:val="18"/>
              </w:rPr>
              <w:t>100,6</w:t>
            </w:r>
          </w:p>
        </w:tc>
        <w:tc>
          <w:tcPr>
            <w:tcW w:w="305"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11 634</w:t>
            </w:r>
          </w:p>
        </w:tc>
        <w:tc>
          <w:tcPr>
            <w:tcW w:w="230" w:type="pct"/>
            <w:shd w:val="clear" w:color="auto" w:fill="auto"/>
            <w:noWrap/>
            <w:vAlign w:val="center"/>
            <w:hideMark/>
          </w:tcPr>
          <w:p w:rsidR="00A41AD7" w:rsidRPr="00DF6B0C" w:rsidRDefault="00A41AD7" w:rsidP="00E7317C">
            <w:pPr>
              <w:jc w:val="center"/>
              <w:rPr>
                <w:i/>
                <w:iCs/>
                <w:color w:val="000000"/>
                <w:sz w:val="18"/>
                <w:szCs w:val="18"/>
              </w:rPr>
            </w:pPr>
            <w:r w:rsidRPr="00DF6B0C">
              <w:rPr>
                <w:i/>
                <w:iCs/>
                <w:color w:val="000000"/>
                <w:sz w:val="18"/>
                <w:szCs w:val="18"/>
              </w:rPr>
              <w:t>100,7</w:t>
            </w:r>
          </w:p>
        </w:tc>
        <w:tc>
          <w:tcPr>
            <w:tcW w:w="340"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11 715</w:t>
            </w:r>
          </w:p>
        </w:tc>
        <w:tc>
          <w:tcPr>
            <w:tcW w:w="282" w:type="pct"/>
            <w:shd w:val="clear" w:color="auto" w:fill="auto"/>
            <w:noWrap/>
            <w:vAlign w:val="center"/>
            <w:hideMark/>
          </w:tcPr>
          <w:p w:rsidR="00A41AD7" w:rsidRPr="00DF6B0C" w:rsidRDefault="00A41AD7" w:rsidP="00E7317C">
            <w:pPr>
              <w:jc w:val="center"/>
              <w:rPr>
                <w:i/>
                <w:iCs/>
                <w:color w:val="000000"/>
                <w:sz w:val="18"/>
                <w:szCs w:val="18"/>
              </w:rPr>
            </w:pPr>
            <w:r w:rsidRPr="00DF6B0C">
              <w:rPr>
                <w:i/>
                <w:iCs/>
                <w:color w:val="000000"/>
                <w:sz w:val="18"/>
                <w:szCs w:val="18"/>
              </w:rPr>
              <w:t>100,7</w:t>
            </w:r>
          </w:p>
        </w:tc>
      </w:tr>
      <w:tr w:rsidR="00A41AD7" w:rsidRPr="00DF6B0C" w:rsidTr="00E7317C">
        <w:trPr>
          <w:trHeight w:val="975"/>
        </w:trPr>
        <w:tc>
          <w:tcPr>
            <w:tcW w:w="526" w:type="pct"/>
            <w:shd w:val="clear" w:color="auto" w:fill="auto"/>
            <w:vAlign w:val="center"/>
            <w:hideMark/>
          </w:tcPr>
          <w:p w:rsidR="00A41AD7" w:rsidRPr="00DF6B0C" w:rsidRDefault="00A41AD7" w:rsidP="00E7317C">
            <w:pPr>
              <w:rPr>
                <w:i/>
                <w:iCs/>
                <w:sz w:val="18"/>
                <w:szCs w:val="18"/>
              </w:rPr>
            </w:pPr>
            <w:r w:rsidRPr="00DF6B0C">
              <w:rPr>
                <w:i/>
                <w:iCs/>
                <w:sz w:val="18"/>
                <w:szCs w:val="18"/>
              </w:rPr>
              <w:t xml:space="preserve">Снегоходы, мотосани с мощностью двигателя: </w:t>
            </w:r>
          </w:p>
        </w:tc>
        <w:tc>
          <w:tcPr>
            <w:tcW w:w="402" w:type="pct"/>
            <w:shd w:val="clear" w:color="auto" w:fill="auto"/>
            <w:vAlign w:val="center"/>
            <w:hideMark/>
          </w:tcPr>
          <w:p w:rsidR="00A41AD7" w:rsidRPr="00DF6B0C" w:rsidRDefault="00A41AD7" w:rsidP="00E7317C">
            <w:pPr>
              <w:jc w:val="center"/>
              <w:rPr>
                <w:i/>
                <w:iCs/>
                <w:sz w:val="18"/>
                <w:szCs w:val="18"/>
              </w:rPr>
            </w:pPr>
            <w:r w:rsidRPr="00DF6B0C">
              <w:rPr>
                <w:i/>
                <w:iCs/>
                <w:sz w:val="18"/>
                <w:szCs w:val="18"/>
              </w:rPr>
              <w:t>отчет 5-ТН,стр.2335</w:t>
            </w:r>
          </w:p>
        </w:tc>
        <w:tc>
          <w:tcPr>
            <w:tcW w:w="337" w:type="pct"/>
            <w:shd w:val="clear" w:color="auto" w:fill="auto"/>
            <w:vAlign w:val="center"/>
            <w:hideMark/>
          </w:tcPr>
          <w:p w:rsidR="00A41AD7" w:rsidRPr="00DF6B0C" w:rsidRDefault="00A41AD7" w:rsidP="00E7317C">
            <w:pPr>
              <w:jc w:val="center"/>
              <w:rPr>
                <w:sz w:val="18"/>
                <w:szCs w:val="18"/>
              </w:rPr>
            </w:pPr>
            <w:r w:rsidRPr="00DF6B0C">
              <w:rPr>
                <w:sz w:val="18"/>
                <w:szCs w:val="18"/>
              </w:rPr>
              <w:t>1 903</w:t>
            </w:r>
          </w:p>
        </w:tc>
        <w:tc>
          <w:tcPr>
            <w:tcW w:w="260" w:type="pct"/>
            <w:shd w:val="clear" w:color="auto" w:fill="auto"/>
            <w:vAlign w:val="center"/>
            <w:hideMark/>
          </w:tcPr>
          <w:p w:rsidR="00A41AD7" w:rsidRPr="00DF6B0C" w:rsidRDefault="00A41AD7" w:rsidP="00E7317C">
            <w:pPr>
              <w:jc w:val="center"/>
              <w:rPr>
                <w:sz w:val="18"/>
                <w:szCs w:val="18"/>
              </w:rPr>
            </w:pPr>
            <w:r w:rsidRPr="00DF6B0C">
              <w:rPr>
                <w:sz w:val="18"/>
                <w:szCs w:val="18"/>
              </w:rPr>
              <w:t>109,3</w:t>
            </w:r>
          </w:p>
        </w:tc>
        <w:tc>
          <w:tcPr>
            <w:tcW w:w="324" w:type="pct"/>
            <w:shd w:val="clear" w:color="auto" w:fill="auto"/>
            <w:vAlign w:val="center"/>
            <w:hideMark/>
          </w:tcPr>
          <w:p w:rsidR="00A41AD7" w:rsidRPr="00DF6B0C" w:rsidRDefault="00A41AD7" w:rsidP="00E7317C">
            <w:pPr>
              <w:jc w:val="center"/>
              <w:rPr>
                <w:sz w:val="18"/>
                <w:szCs w:val="18"/>
              </w:rPr>
            </w:pPr>
            <w:r w:rsidRPr="00DF6B0C">
              <w:rPr>
                <w:sz w:val="18"/>
                <w:szCs w:val="18"/>
              </w:rPr>
              <w:t>2 000</w:t>
            </w:r>
          </w:p>
        </w:tc>
        <w:tc>
          <w:tcPr>
            <w:tcW w:w="243" w:type="pct"/>
            <w:shd w:val="clear" w:color="auto" w:fill="auto"/>
            <w:vAlign w:val="center"/>
            <w:hideMark/>
          </w:tcPr>
          <w:p w:rsidR="00A41AD7" w:rsidRPr="00DF6B0C" w:rsidRDefault="00A41AD7" w:rsidP="00E7317C">
            <w:pPr>
              <w:jc w:val="center"/>
              <w:rPr>
                <w:sz w:val="18"/>
                <w:szCs w:val="18"/>
              </w:rPr>
            </w:pPr>
            <w:r w:rsidRPr="00DF6B0C">
              <w:rPr>
                <w:sz w:val="18"/>
                <w:szCs w:val="18"/>
              </w:rPr>
              <w:t>105,1</w:t>
            </w:r>
          </w:p>
        </w:tc>
        <w:tc>
          <w:tcPr>
            <w:tcW w:w="344" w:type="pct"/>
            <w:shd w:val="clear" w:color="auto" w:fill="auto"/>
            <w:vAlign w:val="center"/>
            <w:hideMark/>
          </w:tcPr>
          <w:p w:rsidR="00A41AD7" w:rsidRPr="00DF6B0C" w:rsidRDefault="00A41AD7" w:rsidP="00E7317C">
            <w:pPr>
              <w:jc w:val="center"/>
              <w:rPr>
                <w:sz w:val="18"/>
                <w:szCs w:val="18"/>
              </w:rPr>
            </w:pPr>
            <w:r w:rsidRPr="00DF6B0C">
              <w:rPr>
                <w:sz w:val="18"/>
                <w:szCs w:val="18"/>
              </w:rPr>
              <w:t>2 014</w:t>
            </w:r>
          </w:p>
        </w:tc>
        <w:tc>
          <w:tcPr>
            <w:tcW w:w="240" w:type="pct"/>
            <w:shd w:val="clear" w:color="auto" w:fill="auto"/>
            <w:vAlign w:val="center"/>
            <w:hideMark/>
          </w:tcPr>
          <w:p w:rsidR="00A41AD7" w:rsidRPr="00DF6B0C" w:rsidRDefault="00A41AD7" w:rsidP="00E7317C">
            <w:pPr>
              <w:jc w:val="center"/>
              <w:rPr>
                <w:sz w:val="18"/>
                <w:szCs w:val="18"/>
              </w:rPr>
            </w:pPr>
            <w:r w:rsidRPr="00DF6B0C">
              <w:rPr>
                <w:sz w:val="18"/>
                <w:szCs w:val="18"/>
              </w:rPr>
              <w:t>100,7</w:t>
            </w:r>
          </w:p>
        </w:tc>
        <w:tc>
          <w:tcPr>
            <w:tcW w:w="331" w:type="pct"/>
            <w:shd w:val="clear" w:color="auto" w:fill="auto"/>
            <w:vAlign w:val="center"/>
            <w:hideMark/>
          </w:tcPr>
          <w:p w:rsidR="00A41AD7" w:rsidRPr="00DF6B0C" w:rsidRDefault="00A41AD7" w:rsidP="00E7317C">
            <w:pPr>
              <w:jc w:val="center"/>
              <w:rPr>
                <w:sz w:val="18"/>
                <w:szCs w:val="18"/>
              </w:rPr>
            </w:pPr>
            <w:r w:rsidRPr="00DF6B0C">
              <w:rPr>
                <w:sz w:val="18"/>
                <w:szCs w:val="18"/>
              </w:rPr>
              <w:t>2 073</w:t>
            </w:r>
          </w:p>
        </w:tc>
        <w:tc>
          <w:tcPr>
            <w:tcW w:w="253" w:type="pct"/>
            <w:shd w:val="clear" w:color="auto" w:fill="auto"/>
            <w:vAlign w:val="center"/>
            <w:hideMark/>
          </w:tcPr>
          <w:p w:rsidR="00A41AD7" w:rsidRPr="00DF6B0C" w:rsidRDefault="00A41AD7" w:rsidP="00E7317C">
            <w:pPr>
              <w:jc w:val="center"/>
              <w:rPr>
                <w:sz w:val="18"/>
                <w:szCs w:val="18"/>
              </w:rPr>
            </w:pPr>
            <w:r w:rsidRPr="00DF6B0C">
              <w:rPr>
                <w:sz w:val="18"/>
                <w:szCs w:val="18"/>
              </w:rPr>
              <w:t>102,9</w:t>
            </w:r>
          </w:p>
        </w:tc>
        <w:tc>
          <w:tcPr>
            <w:tcW w:w="318"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2 111</w:t>
            </w:r>
          </w:p>
        </w:tc>
        <w:tc>
          <w:tcPr>
            <w:tcW w:w="265" w:type="pct"/>
            <w:shd w:val="clear" w:color="auto" w:fill="auto"/>
            <w:noWrap/>
            <w:vAlign w:val="center"/>
            <w:hideMark/>
          </w:tcPr>
          <w:p w:rsidR="00A41AD7" w:rsidRPr="00DF6B0C" w:rsidRDefault="00A41AD7" w:rsidP="00E7317C">
            <w:pPr>
              <w:jc w:val="center"/>
              <w:rPr>
                <w:i/>
                <w:iCs/>
                <w:color w:val="000000"/>
                <w:sz w:val="18"/>
                <w:szCs w:val="18"/>
              </w:rPr>
            </w:pPr>
            <w:r w:rsidRPr="00DF6B0C">
              <w:rPr>
                <w:i/>
                <w:iCs/>
                <w:color w:val="000000"/>
                <w:sz w:val="18"/>
                <w:szCs w:val="18"/>
              </w:rPr>
              <w:t>101,8</w:t>
            </w:r>
          </w:p>
        </w:tc>
        <w:tc>
          <w:tcPr>
            <w:tcW w:w="305"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2 161</w:t>
            </w:r>
          </w:p>
        </w:tc>
        <w:tc>
          <w:tcPr>
            <w:tcW w:w="230" w:type="pct"/>
            <w:shd w:val="clear" w:color="auto" w:fill="auto"/>
            <w:noWrap/>
            <w:vAlign w:val="center"/>
            <w:hideMark/>
          </w:tcPr>
          <w:p w:rsidR="00A41AD7" w:rsidRPr="00DF6B0C" w:rsidRDefault="00A41AD7" w:rsidP="00E7317C">
            <w:pPr>
              <w:jc w:val="center"/>
              <w:rPr>
                <w:i/>
                <w:iCs/>
                <w:color w:val="000000"/>
                <w:sz w:val="18"/>
                <w:szCs w:val="18"/>
              </w:rPr>
            </w:pPr>
            <w:r w:rsidRPr="00DF6B0C">
              <w:rPr>
                <w:i/>
                <w:iCs/>
                <w:color w:val="000000"/>
                <w:sz w:val="18"/>
                <w:szCs w:val="18"/>
              </w:rPr>
              <w:t>102,4</w:t>
            </w:r>
          </w:p>
        </w:tc>
        <w:tc>
          <w:tcPr>
            <w:tcW w:w="340"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2 208</w:t>
            </w:r>
          </w:p>
        </w:tc>
        <w:tc>
          <w:tcPr>
            <w:tcW w:w="282" w:type="pct"/>
            <w:shd w:val="clear" w:color="auto" w:fill="auto"/>
            <w:noWrap/>
            <w:vAlign w:val="center"/>
            <w:hideMark/>
          </w:tcPr>
          <w:p w:rsidR="00A41AD7" w:rsidRPr="00DF6B0C" w:rsidRDefault="00A41AD7" w:rsidP="00E7317C">
            <w:pPr>
              <w:jc w:val="center"/>
              <w:rPr>
                <w:i/>
                <w:iCs/>
                <w:color w:val="000000"/>
                <w:sz w:val="18"/>
                <w:szCs w:val="18"/>
              </w:rPr>
            </w:pPr>
            <w:r w:rsidRPr="00DF6B0C">
              <w:rPr>
                <w:i/>
                <w:iCs/>
                <w:color w:val="000000"/>
                <w:sz w:val="18"/>
                <w:szCs w:val="18"/>
              </w:rPr>
              <w:t>102,2</w:t>
            </w:r>
          </w:p>
        </w:tc>
      </w:tr>
      <w:tr w:rsidR="00A41AD7" w:rsidRPr="00DF6B0C" w:rsidTr="002A33AD">
        <w:trPr>
          <w:trHeight w:val="270"/>
        </w:trPr>
        <w:tc>
          <w:tcPr>
            <w:tcW w:w="526" w:type="pct"/>
            <w:shd w:val="clear" w:color="auto" w:fill="auto"/>
            <w:vAlign w:val="center"/>
            <w:hideMark/>
          </w:tcPr>
          <w:p w:rsidR="00A41AD7" w:rsidRPr="00DF6B0C" w:rsidRDefault="00A41AD7" w:rsidP="00E7317C">
            <w:pPr>
              <w:ind w:firstLineChars="12" w:firstLine="22"/>
              <w:rPr>
                <w:sz w:val="18"/>
                <w:szCs w:val="18"/>
              </w:rPr>
            </w:pPr>
            <w:r w:rsidRPr="00DF6B0C">
              <w:rPr>
                <w:sz w:val="18"/>
                <w:szCs w:val="18"/>
              </w:rPr>
              <w:lastRenderedPageBreak/>
              <w:t>до 50 л.с. (до 36,77 кВт) включительно</w:t>
            </w:r>
          </w:p>
        </w:tc>
        <w:tc>
          <w:tcPr>
            <w:tcW w:w="402" w:type="pct"/>
            <w:shd w:val="clear" w:color="auto" w:fill="auto"/>
            <w:vAlign w:val="center"/>
            <w:hideMark/>
          </w:tcPr>
          <w:p w:rsidR="00A41AD7" w:rsidRPr="00DF6B0C" w:rsidRDefault="00A41AD7" w:rsidP="00E7317C">
            <w:pPr>
              <w:jc w:val="center"/>
              <w:rPr>
                <w:sz w:val="18"/>
                <w:szCs w:val="18"/>
              </w:rPr>
            </w:pPr>
            <w:r w:rsidRPr="00DF6B0C">
              <w:rPr>
                <w:sz w:val="18"/>
                <w:szCs w:val="18"/>
              </w:rPr>
              <w:t>отчет 5-ТН,стр.2336</w:t>
            </w:r>
          </w:p>
        </w:tc>
        <w:tc>
          <w:tcPr>
            <w:tcW w:w="337"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1 391</w:t>
            </w:r>
          </w:p>
        </w:tc>
        <w:tc>
          <w:tcPr>
            <w:tcW w:w="260"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107,8</w:t>
            </w:r>
          </w:p>
        </w:tc>
        <w:tc>
          <w:tcPr>
            <w:tcW w:w="324"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1 454</w:t>
            </w:r>
          </w:p>
        </w:tc>
        <w:tc>
          <w:tcPr>
            <w:tcW w:w="243"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104,5</w:t>
            </w:r>
          </w:p>
        </w:tc>
        <w:tc>
          <w:tcPr>
            <w:tcW w:w="344"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1 463</w:t>
            </w:r>
          </w:p>
        </w:tc>
        <w:tc>
          <w:tcPr>
            <w:tcW w:w="240"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100,6</w:t>
            </w:r>
          </w:p>
        </w:tc>
        <w:tc>
          <w:tcPr>
            <w:tcW w:w="331"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1 501</w:t>
            </w:r>
          </w:p>
        </w:tc>
        <w:tc>
          <w:tcPr>
            <w:tcW w:w="253"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102,6</w:t>
            </w:r>
          </w:p>
        </w:tc>
        <w:tc>
          <w:tcPr>
            <w:tcW w:w="318"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1 525</w:t>
            </w:r>
          </w:p>
        </w:tc>
        <w:tc>
          <w:tcPr>
            <w:tcW w:w="265" w:type="pct"/>
            <w:shd w:val="clear" w:color="auto" w:fill="auto"/>
            <w:noWrap/>
            <w:vAlign w:val="center"/>
            <w:hideMark/>
          </w:tcPr>
          <w:p w:rsidR="00A41AD7" w:rsidRPr="00DF6B0C" w:rsidRDefault="00A41AD7" w:rsidP="00E7317C">
            <w:pPr>
              <w:jc w:val="center"/>
              <w:rPr>
                <w:i/>
                <w:iCs/>
                <w:color w:val="000000"/>
                <w:sz w:val="18"/>
                <w:szCs w:val="18"/>
              </w:rPr>
            </w:pPr>
            <w:r w:rsidRPr="00DF6B0C">
              <w:rPr>
                <w:i/>
                <w:iCs/>
                <w:color w:val="000000"/>
                <w:sz w:val="18"/>
                <w:szCs w:val="18"/>
              </w:rPr>
              <w:t>101,6</w:t>
            </w:r>
          </w:p>
        </w:tc>
        <w:tc>
          <w:tcPr>
            <w:tcW w:w="305"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1 557</w:t>
            </w:r>
          </w:p>
        </w:tc>
        <w:tc>
          <w:tcPr>
            <w:tcW w:w="230" w:type="pct"/>
            <w:shd w:val="clear" w:color="auto" w:fill="auto"/>
            <w:noWrap/>
            <w:vAlign w:val="center"/>
            <w:hideMark/>
          </w:tcPr>
          <w:p w:rsidR="00A41AD7" w:rsidRPr="00DF6B0C" w:rsidRDefault="00A41AD7" w:rsidP="00E7317C">
            <w:pPr>
              <w:jc w:val="center"/>
              <w:rPr>
                <w:i/>
                <w:iCs/>
                <w:color w:val="000000"/>
                <w:sz w:val="18"/>
                <w:szCs w:val="18"/>
              </w:rPr>
            </w:pPr>
            <w:r w:rsidRPr="00DF6B0C">
              <w:rPr>
                <w:i/>
                <w:iCs/>
                <w:color w:val="000000"/>
                <w:sz w:val="18"/>
                <w:szCs w:val="18"/>
              </w:rPr>
              <w:t>102,1</w:t>
            </w:r>
          </w:p>
        </w:tc>
        <w:tc>
          <w:tcPr>
            <w:tcW w:w="340"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1 587</w:t>
            </w:r>
          </w:p>
        </w:tc>
        <w:tc>
          <w:tcPr>
            <w:tcW w:w="282" w:type="pct"/>
            <w:shd w:val="clear" w:color="auto" w:fill="auto"/>
            <w:noWrap/>
            <w:vAlign w:val="center"/>
            <w:hideMark/>
          </w:tcPr>
          <w:p w:rsidR="00A41AD7" w:rsidRPr="00DF6B0C" w:rsidRDefault="00A41AD7" w:rsidP="00E7317C">
            <w:pPr>
              <w:jc w:val="center"/>
              <w:rPr>
                <w:i/>
                <w:iCs/>
                <w:color w:val="000000"/>
                <w:sz w:val="18"/>
                <w:szCs w:val="18"/>
              </w:rPr>
            </w:pPr>
            <w:r w:rsidRPr="00DF6B0C">
              <w:rPr>
                <w:i/>
                <w:iCs/>
                <w:color w:val="000000"/>
                <w:sz w:val="18"/>
                <w:szCs w:val="18"/>
              </w:rPr>
              <w:t>101,9</w:t>
            </w:r>
          </w:p>
        </w:tc>
      </w:tr>
      <w:tr w:rsidR="00A41AD7" w:rsidRPr="00DF6B0C" w:rsidTr="002A33AD">
        <w:trPr>
          <w:trHeight w:val="135"/>
        </w:trPr>
        <w:tc>
          <w:tcPr>
            <w:tcW w:w="526" w:type="pct"/>
            <w:shd w:val="clear" w:color="auto" w:fill="auto"/>
            <w:vAlign w:val="center"/>
            <w:hideMark/>
          </w:tcPr>
          <w:p w:rsidR="00A41AD7" w:rsidRPr="00DF6B0C" w:rsidRDefault="00A41AD7" w:rsidP="00E7317C">
            <w:pPr>
              <w:ind w:firstLineChars="12" w:firstLine="22"/>
              <w:rPr>
                <w:sz w:val="18"/>
                <w:szCs w:val="18"/>
              </w:rPr>
            </w:pPr>
            <w:r w:rsidRPr="00DF6B0C">
              <w:rPr>
                <w:sz w:val="18"/>
                <w:szCs w:val="18"/>
              </w:rPr>
              <w:t>свыше 50 л.с. (свыше 36,77 кВт)</w:t>
            </w:r>
          </w:p>
        </w:tc>
        <w:tc>
          <w:tcPr>
            <w:tcW w:w="402" w:type="pct"/>
            <w:shd w:val="clear" w:color="auto" w:fill="auto"/>
            <w:vAlign w:val="center"/>
            <w:hideMark/>
          </w:tcPr>
          <w:p w:rsidR="00A41AD7" w:rsidRPr="00DF6B0C" w:rsidRDefault="00A41AD7" w:rsidP="00E7317C">
            <w:pPr>
              <w:jc w:val="center"/>
              <w:rPr>
                <w:sz w:val="18"/>
                <w:szCs w:val="18"/>
              </w:rPr>
            </w:pPr>
            <w:r w:rsidRPr="00DF6B0C">
              <w:rPr>
                <w:sz w:val="18"/>
                <w:szCs w:val="18"/>
              </w:rPr>
              <w:t>отчет 5-ТН,стр.2337</w:t>
            </w:r>
          </w:p>
        </w:tc>
        <w:tc>
          <w:tcPr>
            <w:tcW w:w="337"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512</w:t>
            </w:r>
          </w:p>
        </w:tc>
        <w:tc>
          <w:tcPr>
            <w:tcW w:w="260"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113,5</w:t>
            </w:r>
          </w:p>
        </w:tc>
        <w:tc>
          <w:tcPr>
            <w:tcW w:w="324"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546</w:t>
            </w:r>
          </w:p>
        </w:tc>
        <w:tc>
          <w:tcPr>
            <w:tcW w:w="243"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106,6</w:t>
            </w:r>
          </w:p>
        </w:tc>
        <w:tc>
          <w:tcPr>
            <w:tcW w:w="344"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551</w:t>
            </w:r>
          </w:p>
        </w:tc>
        <w:tc>
          <w:tcPr>
            <w:tcW w:w="240"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100,9</w:t>
            </w:r>
          </w:p>
        </w:tc>
        <w:tc>
          <w:tcPr>
            <w:tcW w:w="331"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572</w:t>
            </w:r>
          </w:p>
        </w:tc>
        <w:tc>
          <w:tcPr>
            <w:tcW w:w="253"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103,8</w:t>
            </w:r>
          </w:p>
        </w:tc>
        <w:tc>
          <w:tcPr>
            <w:tcW w:w="318"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586</w:t>
            </w:r>
          </w:p>
        </w:tc>
        <w:tc>
          <w:tcPr>
            <w:tcW w:w="265" w:type="pct"/>
            <w:shd w:val="clear" w:color="auto" w:fill="auto"/>
            <w:noWrap/>
            <w:vAlign w:val="center"/>
            <w:hideMark/>
          </w:tcPr>
          <w:p w:rsidR="00A41AD7" w:rsidRPr="00DF6B0C" w:rsidRDefault="00A41AD7" w:rsidP="00E7317C">
            <w:pPr>
              <w:jc w:val="center"/>
              <w:rPr>
                <w:i/>
                <w:iCs/>
                <w:color w:val="000000"/>
                <w:sz w:val="18"/>
                <w:szCs w:val="18"/>
              </w:rPr>
            </w:pPr>
            <w:r w:rsidRPr="00DF6B0C">
              <w:rPr>
                <w:i/>
                <w:iCs/>
                <w:color w:val="000000"/>
                <w:sz w:val="18"/>
                <w:szCs w:val="18"/>
              </w:rPr>
              <w:t>102,4</w:t>
            </w:r>
          </w:p>
        </w:tc>
        <w:tc>
          <w:tcPr>
            <w:tcW w:w="305"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604</w:t>
            </w:r>
          </w:p>
        </w:tc>
        <w:tc>
          <w:tcPr>
            <w:tcW w:w="230" w:type="pct"/>
            <w:shd w:val="clear" w:color="auto" w:fill="auto"/>
            <w:noWrap/>
            <w:vAlign w:val="center"/>
            <w:hideMark/>
          </w:tcPr>
          <w:p w:rsidR="00A41AD7" w:rsidRPr="00DF6B0C" w:rsidRDefault="00A41AD7" w:rsidP="00E7317C">
            <w:pPr>
              <w:jc w:val="center"/>
              <w:rPr>
                <w:i/>
                <w:iCs/>
                <w:color w:val="000000"/>
                <w:sz w:val="18"/>
                <w:szCs w:val="18"/>
              </w:rPr>
            </w:pPr>
            <w:r w:rsidRPr="00DF6B0C">
              <w:rPr>
                <w:i/>
                <w:iCs/>
                <w:color w:val="000000"/>
                <w:sz w:val="18"/>
                <w:szCs w:val="18"/>
              </w:rPr>
              <w:t>103,1</w:t>
            </w:r>
          </w:p>
        </w:tc>
        <w:tc>
          <w:tcPr>
            <w:tcW w:w="340"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621</w:t>
            </w:r>
          </w:p>
        </w:tc>
        <w:tc>
          <w:tcPr>
            <w:tcW w:w="282" w:type="pct"/>
            <w:shd w:val="clear" w:color="auto" w:fill="auto"/>
            <w:noWrap/>
            <w:vAlign w:val="center"/>
            <w:hideMark/>
          </w:tcPr>
          <w:p w:rsidR="00A41AD7" w:rsidRPr="00DF6B0C" w:rsidRDefault="00A41AD7" w:rsidP="00E7317C">
            <w:pPr>
              <w:jc w:val="center"/>
              <w:rPr>
                <w:i/>
                <w:iCs/>
                <w:color w:val="000000"/>
                <w:sz w:val="18"/>
                <w:szCs w:val="18"/>
              </w:rPr>
            </w:pPr>
            <w:r w:rsidRPr="00DF6B0C">
              <w:rPr>
                <w:i/>
                <w:iCs/>
                <w:color w:val="000000"/>
                <w:sz w:val="18"/>
                <w:szCs w:val="18"/>
              </w:rPr>
              <w:t>102,8</w:t>
            </w:r>
          </w:p>
        </w:tc>
      </w:tr>
      <w:tr w:rsidR="00A41AD7" w:rsidRPr="00DF6B0C" w:rsidTr="002A33AD">
        <w:trPr>
          <w:trHeight w:val="694"/>
        </w:trPr>
        <w:tc>
          <w:tcPr>
            <w:tcW w:w="526" w:type="pct"/>
            <w:shd w:val="clear" w:color="auto" w:fill="auto"/>
            <w:vAlign w:val="center"/>
            <w:hideMark/>
          </w:tcPr>
          <w:p w:rsidR="00A41AD7" w:rsidRPr="00DF6B0C" w:rsidRDefault="00A41AD7" w:rsidP="00E7317C">
            <w:pPr>
              <w:rPr>
                <w:i/>
                <w:iCs/>
                <w:sz w:val="18"/>
                <w:szCs w:val="18"/>
              </w:rPr>
            </w:pPr>
            <w:r w:rsidRPr="00DF6B0C">
              <w:rPr>
                <w:i/>
                <w:iCs/>
                <w:sz w:val="18"/>
                <w:szCs w:val="18"/>
              </w:rPr>
              <w:t xml:space="preserve">Катера, моторные лодки и другие водные транспортные средства с мощностью двигателя: </w:t>
            </w:r>
          </w:p>
        </w:tc>
        <w:tc>
          <w:tcPr>
            <w:tcW w:w="402" w:type="pct"/>
            <w:shd w:val="clear" w:color="auto" w:fill="auto"/>
            <w:vAlign w:val="center"/>
            <w:hideMark/>
          </w:tcPr>
          <w:p w:rsidR="00A41AD7" w:rsidRPr="00DF6B0C" w:rsidRDefault="00A41AD7" w:rsidP="00E7317C">
            <w:pPr>
              <w:jc w:val="center"/>
              <w:rPr>
                <w:i/>
                <w:iCs/>
                <w:sz w:val="18"/>
                <w:szCs w:val="18"/>
              </w:rPr>
            </w:pPr>
            <w:r w:rsidRPr="00DF6B0C">
              <w:rPr>
                <w:i/>
                <w:iCs/>
                <w:sz w:val="18"/>
                <w:szCs w:val="18"/>
              </w:rPr>
              <w:t>отчет 5-ТН,стр.2341</w:t>
            </w:r>
          </w:p>
        </w:tc>
        <w:tc>
          <w:tcPr>
            <w:tcW w:w="337" w:type="pct"/>
            <w:shd w:val="clear" w:color="auto" w:fill="auto"/>
            <w:vAlign w:val="center"/>
            <w:hideMark/>
          </w:tcPr>
          <w:p w:rsidR="00A41AD7" w:rsidRPr="00DF6B0C" w:rsidRDefault="00A41AD7" w:rsidP="00E7317C">
            <w:pPr>
              <w:jc w:val="center"/>
              <w:rPr>
                <w:sz w:val="18"/>
                <w:szCs w:val="18"/>
              </w:rPr>
            </w:pPr>
            <w:r w:rsidRPr="00DF6B0C">
              <w:rPr>
                <w:sz w:val="18"/>
                <w:szCs w:val="18"/>
              </w:rPr>
              <w:t>8 292</w:t>
            </w:r>
          </w:p>
        </w:tc>
        <w:tc>
          <w:tcPr>
            <w:tcW w:w="260" w:type="pct"/>
            <w:shd w:val="clear" w:color="auto" w:fill="auto"/>
            <w:vAlign w:val="center"/>
            <w:hideMark/>
          </w:tcPr>
          <w:p w:rsidR="00A41AD7" w:rsidRPr="00DF6B0C" w:rsidRDefault="00A41AD7" w:rsidP="00E7317C">
            <w:pPr>
              <w:jc w:val="center"/>
              <w:rPr>
                <w:sz w:val="18"/>
                <w:szCs w:val="18"/>
              </w:rPr>
            </w:pPr>
            <w:r w:rsidRPr="00DF6B0C">
              <w:rPr>
                <w:sz w:val="18"/>
                <w:szCs w:val="18"/>
              </w:rPr>
              <w:t>97,2</w:t>
            </w:r>
          </w:p>
        </w:tc>
        <w:tc>
          <w:tcPr>
            <w:tcW w:w="324" w:type="pct"/>
            <w:shd w:val="clear" w:color="auto" w:fill="auto"/>
            <w:vAlign w:val="center"/>
            <w:hideMark/>
          </w:tcPr>
          <w:p w:rsidR="00A41AD7" w:rsidRPr="00DF6B0C" w:rsidRDefault="00A41AD7" w:rsidP="00E7317C">
            <w:pPr>
              <w:jc w:val="center"/>
              <w:rPr>
                <w:sz w:val="18"/>
                <w:szCs w:val="18"/>
              </w:rPr>
            </w:pPr>
            <w:r w:rsidRPr="00DF6B0C">
              <w:rPr>
                <w:sz w:val="18"/>
                <w:szCs w:val="18"/>
              </w:rPr>
              <w:t>8 166</w:t>
            </w:r>
          </w:p>
        </w:tc>
        <w:tc>
          <w:tcPr>
            <w:tcW w:w="243" w:type="pct"/>
            <w:shd w:val="clear" w:color="auto" w:fill="auto"/>
            <w:vAlign w:val="center"/>
            <w:hideMark/>
          </w:tcPr>
          <w:p w:rsidR="00A41AD7" w:rsidRPr="00DF6B0C" w:rsidRDefault="00A41AD7" w:rsidP="00E7317C">
            <w:pPr>
              <w:jc w:val="center"/>
              <w:rPr>
                <w:sz w:val="18"/>
                <w:szCs w:val="18"/>
              </w:rPr>
            </w:pPr>
            <w:r w:rsidRPr="00DF6B0C">
              <w:rPr>
                <w:sz w:val="18"/>
                <w:szCs w:val="18"/>
              </w:rPr>
              <w:t>98,5</w:t>
            </w:r>
          </w:p>
        </w:tc>
        <w:tc>
          <w:tcPr>
            <w:tcW w:w="344" w:type="pct"/>
            <w:shd w:val="clear" w:color="auto" w:fill="auto"/>
            <w:vAlign w:val="center"/>
            <w:hideMark/>
          </w:tcPr>
          <w:p w:rsidR="00A41AD7" w:rsidRPr="00DF6B0C" w:rsidRDefault="00A41AD7" w:rsidP="00E7317C">
            <w:pPr>
              <w:jc w:val="center"/>
              <w:rPr>
                <w:sz w:val="18"/>
                <w:szCs w:val="18"/>
              </w:rPr>
            </w:pPr>
            <w:r w:rsidRPr="00DF6B0C">
              <w:rPr>
                <w:sz w:val="18"/>
                <w:szCs w:val="18"/>
              </w:rPr>
              <w:t>7 954</w:t>
            </w:r>
          </w:p>
        </w:tc>
        <w:tc>
          <w:tcPr>
            <w:tcW w:w="240" w:type="pct"/>
            <w:shd w:val="clear" w:color="auto" w:fill="auto"/>
            <w:vAlign w:val="center"/>
            <w:hideMark/>
          </w:tcPr>
          <w:p w:rsidR="00A41AD7" w:rsidRPr="00DF6B0C" w:rsidRDefault="00A41AD7" w:rsidP="00E7317C">
            <w:pPr>
              <w:jc w:val="center"/>
              <w:rPr>
                <w:sz w:val="18"/>
                <w:szCs w:val="18"/>
              </w:rPr>
            </w:pPr>
            <w:r w:rsidRPr="00DF6B0C">
              <w:rPr>
                <w:sz w:val="18"/>
                <w:szCs w:val="18"/>
              </w:rPr>
              <w:t>97,4</w:t>
            </w:r>
          </w:p>
        </w:tc>
        <w:tc>
          <w:tcPr>
            <w:tcW w:w="331" w:type="pct"/>
            <w:shd w:val="clear" w:color="auto" w:fill="auto"/>
            <w:vAlign w:val="center"/>
            <w:hideMark/>
          </w:tcPr>
          <w:p w:rsidR="00A41AD7" w:rsidRPr="00DF6B0C" w:rsidRDefault="00A41AD7" w:rsidP="00E7317C">
            <w:pPr>
              <w:jc w:val="center"/>
              <w:rPr>
                <w:sz w:val="18"/>
                <w:szCs w:val="18"/>
              </w:rPr>
            </w:pPr>
            <w:r w:rsidRPr="00DF6B0C">
              <w:rPr>
                <w:sz w:val="18"/>
                <w:szCs w:val="18"/>
              </w:rPr>
              <w:t>7 791</w:t>
            </w:r>
          </w:p>
        </w:tc>
        <w:tc>
          <w:tcPr>
            <w:tcW w:w="253" w:type="pct"/>
            <w:shd w:val="clear" w:color="auto" w:fill="auto"/>
            <w:vAlign w:val="center"/>
            <w:hideMark/>
          </w:tcPr>
          <w:p w:rsidR="00A41AD7" w:rsidRPr="00DF6B0C" w:rsidRDefault="00A41AD7" w:rsidP="00E7317C">
            <w:pPr>
              <w:jc w:val="center"/>
              <w:rPr>
                <w:sz w:val="18"/>
                <w:szCs w:val="18"/>
              </w:rPr>
            </w:pPr>
            <w:r w:rsidRPr="00DF6B0C">
              <w:rPr>
                <w:sz w:val="18"/>
                <w:szCs w:val="18"/>
              </w:rPr>
              <w:t>98,0</w:t>
            </w:r>
          </w:p>
        </w:tc>
        <w:tc>
          <w:tcPr>
            <w:tcW w:w="318"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7 614</w:t>
            </w:r>
          </w:p>
        </w:tc>
        <w:tc>
          <w:tcPr>
            <w:tcW w:w="265" w:type="pct"/>
            <w:shd w:val="clear" w:color="auto" w:fill="auto"/>
            <w:noWrap/>
            <w:vAlign w:val="center"/>
            <w:hideMark/>
          </w:tcPr>
          <w:p w:rsidR="00A41AD7" w:rsidRPr="00DF6B0C" w:rsidRDefault="00A41AD7" w:rsidP="00E7317C">
            <w:pPr>
              <w:jc w:val="center"/>
              <w:rPr>
                <w:i/>
                <w:iCs/>
                <w:color w:val="000000"/>
                <w:sz w:val="18"/>
                <w:szCs w:val="18"/>
              </w:rPr>
            </w:pPr>
            <w:r w:rsidRPr="00DF6B0C">
              <w:rPr>
                <w:i/>
                <w:iCs/>
                <w:color w:val="000000"/>
                <w:sz w:val="18"/>
                <w:szCs w:val="18"/>
              </w:rPr>
              <w:t>97,7</w:t>
            </w:r>
          </w:p>
        </w:tc>
        <w:tc>
          <w:tcPr>
            <w:tcW w:w="305"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7 452</w:t>
            </w:r>
          </w:p>
        </w:tc>
        <w:tc>
          <w:tcPr>
            <w:tcW w:w="230" w:type="pct"/>
            <w:shd w:val="clear" w:color="auto" w:fill="auto"/>
            <w:noWrap/>
            <w:vAlign w:val="center"/>
            <w:hideMark/>
          </w:tcPr>
          <w:p w:rsidR="00A41AD7" w:rsidRPr="00DF6B0C" w:rsidRDefault="00A41AD7" w:rsidP="00E7317C">
            <w:pPr>
              <w:jc w:val="center"/>
              <w:rPr>
                <w:i/>
                <w:iCs/>
                <w:color w:val="000000"/>
                <w:sz w:val="18"/>
                <w:szCs w:val="18"/>
              </w:rPr>
            </w:pPr>
            <w:r w:rsidRPr="00DF6B0C">
              <w:rPr>
                <w:i/>
                <w:iCs/>
                <w:color w:val="000000"/>
                <w:sz w:val="18"/>
                <w:szCs w:val="18"/>
              </w:rPr>
              <w:t>97,9</w:t>
            </w:r>
          </w:p>
        </w:tc>
        <w:tc>
          <w:tcPr>
            <w:tcW w:w="340"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7 290</w:t>
            </w:r>
          </w:p>
        </w:tc>
        <w:tc>
          <w:tcPr>
            <w:tcW w:w="282" w:type="pct"/>
            <w:shd w:val="clear" w:color="auto" w:fill="auto"/>
            <w:noWrap/>
            <w:vAlign w:val="center"/>
            <w:hideMark/>
          </w:tcPr>
          <w:p w:rsidR="00A41AD7" w:rsidRPr="00DF6B0C" w:rsidRDefault="00A41AD7" w:rsidP="00E7317C">
            <w:pPr>
              <w:jc w:val="center"/>
              <w:rPr>
                <w:i/>
                <w:iCs/>
                <w:color w:val="000000"/>
                <w:sz w:val="18"/>
                <w:szCs w:val="18"/>
              </w:rPr>
            </w:pPr>
            <w:r w:rsidRPr="00DF6B0C">
              <w:rPr>
                <w:i/>
                <w:iCs/>
                <w:color w:val="000000"/>
                <w:sz w:val="18"/>
                <w:szCs w:val="18"/>
              </w:rPr>
              <w:t>97,8</w:t>
            </w:r>
          </w:p>
        </w:tc>
      </w:tr>
      <w:tr w:rsidR="00A41AD7" w:rsidRPr="00DF6B0C" w:rsidTr="002A33AD">
        <w:trPr>
          <w:trHeight w:val="293"/>
        </w:trPr>
        <w:tc>
          <w:tcPr>
            <w:tcW w:w="526" w:type="pct"/>
            <w:shd w:val="clear" w:color="auto" w:fill="auto"/>
            <w:vAlign w:val="center"/>
            <w:hideMark/>
          </w:tcPr>
          <w:p w:rsidR="00A41AD7" w:rsidRPr="00DF6B0C" w:rsidRDefault="00A41AD7" w:rsidP="00E7317C">
            <w:pPr>
              <w:ind w:firstLineChars="12" w:firstLine="22"/>
              <w:rPr>
                <w:sz w:val="18"/>
                <w:szCs w:val="18"/>
              </w:rPr>
            </w:pPr>
            <w:r w:rsidRPr="00DF6B0C">
              <w:rPr>
                <w:sz w:val="18"/>
                <w:szCs w:val="18"/>
              </w:rPr>
              <w:t>до 100 л.с. (до 73,55 кВт) включительно</w:t>
            </w:r>
          </w:p>
        </w:tc>
        <w:tc>
          <w:tcPr>
            <w:tcW w:w="402" w:type="pct"/>
            <w:shd w:val="clear" w:color="auto" w:fill="auto"/>
            <w:vAlign w:val="center"/>
            <w:hideMark/>
          </w:tcPr>
          <w:p w:rsidR="00A41AD7" w:rsidRPr="00DF6B0C" w:rsidRDefault="00A41AD7" w:rsidP="00E7317C">
            <w:pPr>
              <w:jc w:val="center"/>
              <w:rPr>
                <w:sz w:val="18"/>
                <w:szCs w:val="18"/>
              </w:rPr>
            </w:pPr>
            <w:r w:rsidRPr="00DF6B0C">
              <w:rPr>
                <w:sz w:val="18"/>
                <w:szCs w:val="18"/>
              </w:rPr>
              <w:t>отчет 5-ТН,стр.2342</w:t>
            </w:r>
          </w:p>
        </w:tc>
        <w:tc>
          <w:tcPr>
            <w:tcW w:w="337"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7 969</w:t>
            </w:r>
          </w:p>
        </w:tc>
        <w:tc>
          <w:tcPr>
            <w:tcW w:w="260"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97,1</w:t>
            </w:r>
          </w:p>
        </w:tc>
        <w:tc>
          <w:tcPr>
            <w:tcW w:w="324"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7 860</w:t>
            </w:r>
          </w:p>
        </w:tc>
        <w:tc>
          <w:tcPr>
            <w:tcW w:w="243"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98,6</w:t>
            </w:r>
          </w:p>
        </w:tc>
        <w:tc>
          <w:tcPr>
            <w:tcW w:w="344"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7 622</w:t>
            </w:r>
          </w:p>
        </w:tc>
        <w:tc>
          <w:tcPr>
            <w:tcW w:w="240"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97,0</w:t>
            </w:r>
          </w:p>
        </w:tc>
        <w:tc>
          <w:tcPr>
            <w:tcW w:w="331"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7 454</w:t>
            </w:r>
          </w:p>
        </w:tc>
        <w:tc>
          <w:tcPr>
            <w:tcW w:w="253"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97,8</w:t>
            </w:r>
          </w:p>
        </w:tc>
        <w:tc>
          <w:tcPr>
            <w:tcW w:w="318"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7 260</w:t>
            </w:r>
          </w:p>
        </w:tc>
        <w:tc>
          <w:tcPr>
            <w:tcW w:w="265" w:type="pct"/>
            <w:shd w:val="clear" w:color="auto" w:fill="auto"/>
            <w:noWrap/>
            <w:vAlign w:val="center"/>
            <w:hideMark/>
          </w:tcPr>
          <w:p w:rsidR="00A41AD7" w:rsidRPr="00DF6B0C" w:rsidRDefault="00A41AD7" w:rsidP="00E7317C">
            <w:pPr>
              <w:jc w:val="center"/>
              <w:rPr>
                <w:i/>
                <w:iCs/>
                <w:color w:val="000000"/>
                <w:sz w:val="18"/>
                <w:szCs w:val="18"/>
              </w:rPr>
            </w:pPr>
            <w:r w:rsidRPr="00DF6B0C">
              <w:rPr>
                <w:i/>
                <w:iCs/>
                <w:color w:val="000000"/>
                <w:sz w:val="18"/>
                <w:szCs w:val="18"/>
              </w:rPr>
              <w:t>97,4</w:t>
            </w:r>
          </w:p>
        </w:tc>
        <w:tc>
          <w:tcPr>
            <w:tcW w:w="305"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7 086</w:t>
            </w:r>
          </w:p>
        </w:tc>
        <w:tc>
          <w:tcPr>
            <w:tcW w:w="230" w:type="pct"/>
            <w:shd w:val="clear" w:color="auto" w:fill="auto"/>
            <w:noWrap/>
            <w:vAlign w:val="center"/>
            <w:hideMark/>
          </w:tcPr>
          <w:p w:rsidR="00A41AD7" w:rsidRPr="00DF6B0C" w:rsidRDefault="00A41AD7" w:rsidP="00E7317C">
            <w:pPr>
              <w:jc w:val="center"/>
              <w:rPr>
                <w:i/>
                <w:iCs/>
                <w:color w:val="000000"/>
                <w:sz w:val="18"/>
                <w:szCs w:val="18"/>
              </w:rPr>
            </w:pPr>
            <w:r w:rsidRPr="00DF6B0C">
              <w:rPr>
                <w:i/>
                <w:iCs/>
                <w:color w:val="000000"/>
                <w:sz w:val="18"/>
                <w:szCs w:val="18"/>
              </w:rPr>
              <w:t>97,6</w:t>
            </w:r>
          </w:p>
        </w:tc>
        <w:tc>
          <w:tcPr>
            <w:tcW w:w="340"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6 909</w:t>
            </w:r>
          </w:p>
        </w:tc>
        <w:tc>
          <w:tcPr>
            <w:tcW w:w="282" w:type="pct"/>
            <w:shd w:val="clear" w:color="auto" w:fill="auto"/>
            <w:noWrap/>
            <w:vAlign w:val="center"/>
            <w:hideMark/>
          </w:tcPr>
          <w:p w:rsidR="00A41AD7" w:rsidRPr="00DF6B0C" w:rsidRDefault="00A41AD7" w:rsidP="00E7317C">
            <w:pPr>
              <w:jc w:val="center"/>
              <w:rPr>
                <w:i/>
                <w:iCs/>
                <w:color w:val="000000"/>
                <w:sz w:val="18"/>
                <w:szCs w:val="18"/>
              </w:rPr>
            </w:pPr>
            <w:r w:rsidRPr="00DF6B0C">
              <w:rPr>
                <w:i/>
                <w:iCs/>
                <w:color w:val="000000"/>
                <w:sz w:val="18"/>
                <w:szCs w:val="18"/>
              </w:rPr>
              <w:t>97,5</w:t>
            </w:r>
          </w:p>
        </w:tc>
      </w:tr>
      <w:tr w:rsidR="00A41AD7" w:rsidRPr="00DF6B0C" w:rsidTr="002A33AD">
        <w:trPr>
          <w:trHeight w:val="285"/>
        </w:trPr>
        <w:tc>
          <w:tcPr>
            <w:tcW w:w="526" w:type="pct"/>
            <w:shd w:val="clear" w:color="auto" w:fill="auto"/>
            <w:vAlign w:val="center"/>
            <w:hideMark/>
          </w:tcPr>
          <w:p w:rsidR="00A41AD7" w:rsidRPr="00DF6B0C" w:rsidRDefault="00A41AD7" w:rsidP="00E7317C">
            <w:pPr>
              <w:ind w:firstLineChars="12" w:firstLine="22"/>
              <w:rPr>
                <w:sz w:val="18"/>
                <w:szCs w:val="18"/>
              </w:rPr>
            </w:pPr>
            <w:r w:rsidRPr="00DF6B0C">
              <w:rPr>
                <w:sz w:val="18"/>
                <w:szCs w:val="18"/>
              </w:rPr>
              <w:t>свыше 100 л.с. (свыше 73,55 кВт)</w:t>
            </w:r>
          </w:p>
        </w:tc>
        <w:tc>
          <w:tcPr>
            <w:tcW w:w="402" w:type="pct"/>
            <w:shd w:val="clear" w:color="auto" w:fill="auto"/>
            <w:vAlign w:val="center"/>
            <w:hideMark/>
          </w:tcPr>
          <w:p w:rsidR="00A41AD7" w:rsidRPr="00DF6B0C" w:rsidRDefault="00A41AD7" w:rsidP="00E7317C">
            <w:pPr>
              <w:jc w:val="center"/>
              <w:rPr>
                <w:sz w:val="18"/>
                <w:szCs w:val="18"/>
              </w:rPr>
            </w:pPr>
            <w:r w:rsidRPr="00DF6B0C">
              <w:rPr>
                <w:sz w:val="18"/>
                <w:szCs w:val="18"/>
              </w:rPr>
              <w:t>отчет 5-ТН,стр.2343</w:t>
            </w:r>
          </w:p>
        </w:tc>
        <w:tc>
          <w:tcPr>
            <w:tcW w:w="337"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323</w:t>
            </w:r>
          </w:p>
        </w:tc>
        <w:tc>
          <w:tcPr>
            <w:tcW w:w="260"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98,2</w:t>
            </w:r>
          </w:p>
        </w:tc>
        <w:tc>
          <w:tcPr>
            <w:tcW w:w="324"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306</w:t>
            </w:r>
          </w:p>
        </w:tc>
        <w:tc>
          <w:tcPr>
            <w:tcW w:w="243"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94,7</w:t>
            </w:r>
          </w:p>
        </w:tc>
        <w:tc>
          <w:tcPr>
            <w:tcW w:w="344"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332</w:t>
            </w:r>
          </w:p>
        </w:tc>
        <w:tc>
          <w:tcPr>
            <w:tcW w:w="240"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108,5</w:t>
            </w:r>
          </w:p>
        </w:tc>
        <w:tc>
          <w:tcPr>
            <w:tcW w:w="331"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337</w:t>
            </w:r>
          </w:p>
        </w:tc>
        <w:tc>
          <w:tcPr>
            <w:tcW w:w="253"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101,5</w:t>
            </w:r>
          </w:p>
        </w:tc>
        <w:tc>
          <w:tcPr>
            <w:tcW w:w="318"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354</w:t>
            </w:r>
          </w:p>
        </w:tc>
        <w:tc>
          <w:tcPr>
            <w:tcW w:w="265" w:type="pct"/>
            <w:shd w:val="clear" w:color="auto" w:fill="auto"/>
            <w:noWrap/>
            <w:vAlign w:val="center"/>
            <w:hideMark/>
          </w:tcPr>
          <w:p w:rsidR="00A41AD7" w:rsidRPr="00DF6B0C" w:rsidRDefault="00A41AD7" w:rsidP="00E7317C">
            <w:pPr>
              <w:jc w:val="center"/>
              <w:rPr>
                <w:i/>
                <w:iCs/>
                <w:color w:val="000000"/>
                <w:sz w:val="18"/>
                <w:szCs w:val="18"/>
              </w:rPr>
            </w:pPr>
            <w:r w:rsidRPr="00DF6B0C">
              <w:rPr>
                <w:i/>
                <w:iCs/>
                <w:color w:val="000000"/>
                <w:sz w:val="18"/>
                <w:szCs w:val="18"/>
              </w:rPr>
              <w:t>105,0</w:t>
            </w:r>
          </w:p>
        </w:tc>
        <w:tc>
          <w:tcPr>
            <w:tcW w:w="305"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366</w:t>
            </w:r>
          </w:p>
        </w:tc>
        <w:tc>
          <w:tcPr>
            <w:tcW w:w="230" w:type="pct"/>
            <w:shd w:val="clear" w:color="auto" w:fill="auto"/>
            <w:noWrap/>
            <w:vAlign w:val="center"/>
            <w:hideMark/>
          </w:tcPr>
          <w:p w:rsidR="00A41AD7" w:rsidRPr="00DF6B0C" w:rsidRDefault="00A41AD7" w:rsidP="00E7317C">
            <w:pPr>
              <w:jc w:val="center"/>
              <w:rPr>
                <w:i/>
                <w:iCs/>
                <w:color w:val="000000"/>
                <w:sz w:val="18"/>
                <w:szCs w:val="18"/>
              </w:rPr>
            </w:pPr>
            <w:r w:rsidRPr="00DF6B0C">
              <w:rPr>
                <w:i/>
                <w:iCs/>
                <w:color w:val="000000"/>
                <w:sz w:val="18"/>
                <w:szCs w:val="18"/>
              </w:rPr>
              <w:t>103,4</w:t>
            </w:r>
          </w:p>
        </w:tc>
        <w:tc>
          <w:tcPr>
            <w:tcW w:w="340"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381</w:t>
            </w:r>
          </w:p>
        </w:tc>
        <w:tc>
          <w:tcPr>
            <w:tcW w:w="282" w:type="pct"/>
            <w:shd w:val="clear" w:color="auto" w:fill="auto"/>
            <w:noWrap/>
            <w:vAlign w:val="center"/>
            <w:hideMark/>
          </w:tcPr>
          <w:p w:rsidR="00A41AD7" w:rsidRPr="00DF6B0C" w:rsidRDefault="00A41AD7" w:rsidP="00E7317C">
            <w:pPr>
              <w:jc w:val="center"/>
              <w:rPr>
                <w:i/>
                <w:iCs/>
                <w:color w:val="000000"/>
                <w:sz w:val="18"/>
                <w:szCs w:val="18"/>
              </w:rPr>
            </w:pPr>
            <w:r w:rsidRPr="00DF6B0C">
              <w:rPr>
                <w:i/>
                <w:iCs/>
                <w:color w:val="000000"/>
                <w:sz w:val="18"/>
                <w:szCs w:val="18"/>
              </w:rPr>
              <w:t>104,1</w:t>
            </w:r>
          </w:p>
        </w:tc>
      </w:tr>
      <w:tr w:rsidR="00A41AD7" w:rsidRPr="00DF6B0C" w:rsidTr="00E7317C">
        <w:trPr>
          <w:trHeight w:val="750"/>
        </w:trPr>
        <w:tc>
          <w:tcPr>
            <w:tcW w:w="526" w:type="pct"/>
            <w:shd w:val="clear" w:color="auto" w:fill="auto"/>
            <w:vAlign w:val="center"/>
            <w:hideMark/>
          </w:tcPr>
          <w:p w:rsidR="00A41AD7" w:rsidRPr="00DF6B0C" w:rsidRDefault="00A41AD7" w:rsidP="00E7317C">
            <w:pPr>
              <w:rPr>
                <w:i/>
                <w:iCs/>
                <w:sz w:val="18"/>
                <w:szCs w:val="18"/>
              </w:rPr>
            </w:pPr>
            <w:r w:rsidRPr="00DF6B0C">
              <w:rPr>
                <w:i/>
                <w:iCs/>
                <w:sz w:val="18"/>
                <w:szCs w:val="18"/>
              </w:rPr>
              <w:t xml:space="preserve">Яхты и другие парусно-моторные суда с мощностью двигателя: </w:t>
            </w:r>
          </w:p>
        </w:tc>
        <w:tc>
          <w:tcPr>
            <w:tcW w:w="402" w:type="pct"/>
            <w:shd w:val="clear" w:color="auto" w:fill="auto"/>
            <w:vAlign w:val="center"/>
            <w:hideMark/>
          </w:tcPr>
          <w:p w:rsidR="00A41AD7" w:rsidRPr="00DF6B0C" w:rsidRDefault="00A41AD7" w:rsidP="00E7317C">
            <w:pPr>
              <w:jc w:val="center"/>
              <w:rPr>
                <w:i/>
                <w:iCs/>
                <w:sz w:val="18"/>
                <w:szCs w:val="18"/>
              </w:rPr>
            </w:pPr>
            <w:r w:rsidRPr="00DF6B0C">
              <w:rPr>
                <w:i/>
                <w:iCs/>
                <w:sz w:val="18"/>
                <w:szCs w:val="18"/>
              </w:rPr>
              <w:t>отчет 5-ТН,стр.2344</w:t>
            </w:r>
          </w:p>
        </w:tc>
        <w:tc>
          <w:tcPr>
            <w:tcW w:w="337" w:type="pct"/>
            <w:shd w:val="clear" w:color="auto" w:fill="auto"/>
            <w:vAlign w:val="center"/>
            <w:hideMark/>
          </w:tcPr>
          <w:p w:rsidR="00A41AD7" w:rsidRPr="00DF6B0C" w:rsidRDefault="00A41AD7" w:rsidP="00E7317C">
            <w:pPr>
              <w:jc w:val="center"/>
              <w:rPr>
                <w:sz w:val="18"/>
                <w:szCs w:val="18"/>
              </w:rPr>
            </w:pPr>
            <w:r w:rsidRPr="00DF6B0C">
              <w:rPr>
                <w:sz w:val="18"/>
                <w:szCs w:val="18"/>
              </w:rPr>
              <w:t>38</w:t>
            </w:r>
          </w:p>
        </w:tc>
        <w:tc>
          <w:tcPr>
            <w:tcW w:w="260" w:type="pct"/>
            <w:shd w:val="clear" w:color="auto" w:fill="auto"/>
            <w:vAlign w:val="center"/>
            <w:hideMark/>
          </w:tcPr>
          <w:p w:rsidR="00A41AD7" w:rsidRPr="00DF6B0C" w:rsidRDefault="00A41AD7" w:rsidP="00E7317C">
            <w:pPr>
              <w:jc w:val="center"/>
              <w:rPr>
                <w:sz w:val="18"/>
                <w:szCs w:val="18"/>
              </w:rPr>
            </w:pPr>
            <w:r w:rsidRPr="00DF6B0C">
              <w:rPr>
                <w:sz w:val="18"/>
                <w:szCs w:val="18"/>
              </w:rPr>
              <w:t>90,5</w:t>
            </w:r>
          </w:p>
        </w:tc>
        <w:tc>
          <w:tcPr>
            <w:tcW w:w="324" w:type="pct"/>
            <w:shd w:val="clear" w:color="auto" w:fill="auto"/>
            <w:vAlign w:val="center"/>
            <w:hideMark/>
          </w:tcPr>
          <w:p w:rsidR="00A41AD7" w:rsidRPr="00DF6B0C" w:rsidRDefault="00A41AD7" w:rsidP="00E7317C">
            <w:pPr>
              <w:jc w:val="center"/>
              <w:rPr>
                <w:sz w:val="18"/>
                <w:szCs w:val="18"/>
              </w:rPr>
            </w:pPr>
            <w:r w:rsidRPr="00DF6B0C">
              <w:rPr>
                <w:sz w:val="18"/>
                <w:szCs w:val="18"/>
              </w:rPr>
              <w:t>36</w:t>
            </w:r>
          </w:p>
        </w:tc>
        <w:tc>
          <w:tcPr>
            <w:tcW w:w="243" w:type="pct"/>
            <w:shd w:val="clear" w:color="auto" w:fill="auto"/>
            <w:vAlign w:val="center"/>
            <w:hideMark/>
          </w:tcPr>
          <w:p w:rsidR="00A41AD7" w:rsidRPr="00DF6B0C" w:rsidRDefault="00A41AD7" w:rsidP="00E7317C">
            <w:pPr>
              <w:jc w:val="center"/>
              <w:rPr>
                <w:sz w:val="18"/>
                <w:szCs w:val="18"/>
              </w:rPr>
            </w:pPr>
            <w:r w:rsidRPr="00DF6B0C">
              <w:rPr>
                <w:sz w:val="18"/>
                <w:szCs w:val="18"/>
              </w:rPr>
              <w:t>94,7</w:t>
            </w:r>
          </w:p>
        </w:tc>
        <w:tc>
          <w:tcPr>
            <w:tcW w:w="344" w:type="pct"/>
            <w:shd w:val="clear" w:color="auto" w:fill="auto"/>
            <w:vAlign w:val="center"/>
            <w:hideMark/>
          </w:tcPr>
          <w:p w:rsidR="00A41AD7" w:rsidRPr="00DF6B0C" w:rsidRDefault="00A41AD7" w:rsidP="00E7317C">
            <w:pPr>
              <w:jc w:val="center"/>
              <w:rPr>
                <w:sz w:val="18"/>
                <w:szCs w:val="18"/>
              </w:rPr>
            </w:pPr>
            <w:r w:rsidRPr="00DF6B0C">
              <w:rPr>
                <w:sz w:val="18"/>
                <w:szCs w:val="18"/>
              </w:rPr>
              <w:t>33</w:t>
            </w:r>
          </w:p>
        </w:tc>
        <w:tc>
          <w:tcPr>
            <w:tcW w:w="240" w:type="pct"/>
            <w:shd w:val="clear" w:color="auto" w:fill="auto"/>
            <w:vAlign w:val="center"/>
            <w:hideMark/>
          </w:tcPr>
          <w:p w:rsidR="00A41AD7" w:rsidRPr="00DF6B0C" w:rsidRDefault="00A41AD7" w:rsidP="00E7317C">
            <w:pPr>
              <w:jc w:val="center"/>
              <w:rPr>
                <w:sz w:val="18"/>
                <w:szCs w:val="18"/>
              </w:rPr>
            </w:pPr>
            <w:r w:rsidRPr="00DF6B0C">
              <w:rPr>
                <w:sz w:val="18"/>
                <w:szCs w:val="18"/>
              </w:rPr>
              <w:t>91,7</w:t>
            </w:r>
          </w:p>
        </w:tc>
        <w:tc>
          <w:tcPr>
            <w:tcW w:w="331" w:type="pct"/>
            <w:shd w:val="clear" w:color="auto" w:fill="auto"/>
            <w:vAlign w:val="center"/>
            <w:hideMark/>
          </w:tcPr>
          <w:p w:rsidR="00A41AD7" w:rsidRPr="00DF6B0C" w:rsidRDefault="00A41AD7" w:rsidP="00E7317C">
            <w:pPr>
              <w:jc w:val="center"/>
              <w:rPr>
                <w:sz w:val="18"/>
                <w:szCs w:val="18"/>
              </w:rPr>
            </w:pPr>
            <w:r w:rsidRPr="00DF6B0C">
              <w:rPr>
                <w:sz w:val="18"/>
                <w:szCs w:val="18"/>
              </w:rPr>
              <w:t>31</w:t>
            </w:r>
          </w:p>
        </w:tc>
        <w:tc>
          <w:tcPr>
            <w:tcW w:w="253" w:type="pct"/>
            <w:shd w:val="clear" w:color="auto" w:fill="auto"/>
            <w:vAlign w:val="center"/>
            <w:hideMark/>
          </w:tcPr>
          <w:p w:rsidR="00A41AD7" w:rsidRPr="00DF6B0C" w:rsidRDefault="00A41AD7" w:rsidP="00E7317C">
            <w:pPr>
              <w:jc w:val="center"/>
              <w:rPr>
                <w:sz w:val="18"/>
                <w:szCs w:val="18"/>
              </w:rPr>
            </w:pPr>
            <w:r w:rsidRPr="00DF6B0C">
              <w:rPr>
                <w:sz w:val="18"/>
                <w:szCs w:val="18"/>
              </w:rPr>
              <w:t>93,9</w:t>
            </w:r>
          </w:p>
        </w:tc>
        <w:tc>
          <w:tcPr>
            <w:tcW w:w="318"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29</w:t>
            </w:r>
          </w:p>
        </w:tc>
        <w:tc>
          <w:tcPr>
            <w:tcW w:w="265" w:type="pct"/>
            <w:shd w:val="clear" w:color="auto" w:fill="auto"/>
            <w:noWrap/>
            <w:vAlign w:val="center"/>
            <w:hideMark/>
          </w:tcPr>
          <w:p w:rsidR="00A41AD7" w:rsidRPr="00DF6B0C" w:rsidRDefault="00A41AD7" w:rsidP="00E7317C">
            <w:pPr>
              <w:jc w:val="center"/>
              <w:rPr>
                <w:i/>
                <w:iCs/>
                <w:color w:val="000000"/>
                <w:sz w:val="18"/>
                <w:szCs w:val="18"/>
              </w:rPr>
            </w:pPr>
            <w:r w:rsidRPr="00DF6B0C">
              <w:rPr>
                <w:i/>
                <w:iCs/>
                <w:color w:val="000000"/>
                <w:sz w:val="18"/>
                <w:szCs w:val="18"/>
              </w:rPr>
              <w:t>93,5</w:t>
            </w:r>
          </w:p>
        </w:tc>
        <w:tc>
          <w:tcPr>
            <w:tcW w:w="305"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27</w:t>
            </w:r>
          </w:p>
        </w:tc>
        <w:tc>
          <w:tcPr>
            <w:tcW w:w="230" w:type="pct"/>
            <w:shd w:val="clear" w:color="auto" w:fill="auto"/>
            <w:noWrap/>
            <w:vAlign w:val="center"/>
            <w:hideMark/>
          </w:tcPr>
          <w:p w:rsidR="00A41AD7" w:rsidRPr="00DF6B0C" w:rsidRDefault="00A41AD7" w:rsidP="00E7317C">
            <w:pPr>
              <w:jc w:val="center"/>
              <w:rPr>
                <w:i/>
                <w:iCs/>
                <w:color w:val="000000"/>
                <w:sz w:val="18"/>
                <w:szCs w:val="18"/>
              </w:rPr>
            </w:pPr>
            <w:r w:rsidRPr="00DF6B0C">
              <w:rPr>
                <w:i/>
                <w:iCs/>
                <w:color w:val="000000"/>
                <w:sz w:val="18"/>
                <w:szCs w:val="18"/>
              </w:rPr>
              <w:t>93,1</w:t>
            </w:r>
          </w:p>
        </w:tc>
        <w:tc>
          <w:tcPr>
            <w:tcW w:w="340"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25</w:t>
            </w:r>
          </w:p>
        </w:tc>
        <w:tc>
          <w:tcPr>
            <w:tcW w:w="282" w:type="pct"/>
            <w:shd w:val="clear" w:color="auto" w:fill="auto"/>
            <w:noWrap/>
            <w:vAlign w:val="center"/>
            <w:hideMark/>
          </w:tcPr>
          <w:p w:rsidR="00A41AD7" w:rsidRPr="00DF6B0C" w:rsidRDefault="00A41AD7" w:rsidP="00E7317C">
            <w:pPr>
              <w:jc w:val="center"/>
              <w:rPr>
                <w:i/>
                <w:iCs/>
                <w:color w:val="000000"/>
                <w:sz w:val="18"/>
                <w:szCs w:val="18"/>
              </w:rPr>
            </w:pPr>
            <w:r w:rsidRPr="00DF6B0C">
              <w:rPr>
                <w:i/>
                <w:iCs/>
                <w:color w:val="000000"/>
                <w:sz w:val="18"/>
                <w:szCs w:val="18"/>
              </w:rPr>
              <w:t>92,6</w:t>
            </w:r>
          </w:p>
        </w:tc>
      </w:tr>
      <w:tr w:rsidR="00A41AD7" w:rsidRPr="00DF6B0C" w:rsidTr="002A33AD">
        <w:trPr>
          <w:trHeight w:val="373"/>
        </w:trPr>
        <w:tc>
          <w:tcPr>
            <w:tcW w:w="526" w:type="pct"/>
            <w:shd w:val="clear" w:color="auto" w:fill="auto"/>
            <w:vAlign w:val="center"/>
            <w:hideMark/>
          </w:tcPr>
          <w:p w:rsidR="00A41AD7" w:rsidRPr="00DF6B0C" w:rsidRDefault="00A41AD7" w:rsidP="00E7317C">
            <w:pPr>
              <w:ind w:firstLineChars="12" w:firstLine="22"/>
              <w:rPr>
                <w:sz w:val="18"/>
                <w:szCs w:val="18"/>
              </w:rPr>
            </w:pPr>
            <w:r w:rsidRPr="00DF6B0C">
              <w:rPr>
                <w:sz w:val="18"/>
                <w:szCs w:val="18"/>
              </w:rPr>
              <w:t>до 100 л.с. (до 73,55 кВт) включительно</w:t>
            </w:r>
          </w:p>
        </w:tc>
        <w:tc>
          <w:tcPr>
            <w:tcW w:w="402" w:type="pct"/>
            <w:shd w:val="clear" w:color="auto" w:fill="auto"/>
            <w:vAlign w:val="center"/>
            <w:hideMark/>
          </w:tcPr>
          <w:p w:rsidR="00A41AD7" w:rsidRPr="00DF6B0C" w:rsidRDefault="00A41AD7" w:rsidP="00E7317C">
            <w:pPr>
              <w:jc w:val="center"/>
              <w:rPr>
                <w:sz w:val="18"/>
                <w:szCs w:val="18"/>
              </w:rPr>
            </w:pPr>
            <w:r w:rsidRPr="00DF6B0C">
              <w:rPr>
                <w:sz w:val="18"/>
                <w:szCs w:val="18"/>
              </w:rPr>
              <w:t>отчет 5-ТН,стр.2345</w:t>
            </w:r>
          </w:p>
        </w:tc>
        <w:tc>
          <w:tcPr>
            <w:tcW w:w="337"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38</w:t>
            </w:r>
          </w:p>
        </w:tc>
        <w:tc>
          <w:tcPr>
            <w:tcW w:w="260"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90,5</w:t>
            </w:r>
          </w:p>
        </w:tc>
        <w:tc>
          <w:tcPr>
            <w:tcW w:w="324"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35</w:t>
            </w:r>
          </w:p>
        </w:tc>
        <w:tc>
          <w:tcPr>
            <w:tcW w:w="243"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92,1</w:t>
            </w:r>
          </w:p>
        </w:tc>
        <w:tc>
          <w:tcPr>
            <w:tcW w:w="344"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33</w:t>
            </w:r>
          </w:p>
        </w:tc>
        <w:tc>
          <w:tcPr>
            <w:tcW w:w="240"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94,3</w:t>
            </w:r>
          </w:p>
        </w:tc>
        <w:tc>
          <w:tcPr>
            <w:tcW w:w="331"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31</w:t>
            </w:r>
          </w:p>
        </w:tc>
        <w:tc>
          <w:tcPr>
            <w:tcW w:w="253"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93,9</w:t>
            </w:r>
          </w:p>
        </w:tc>
        <w:tc>
          <w:tcPr>
            <w:tcW w:w="318"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29</w:t>
            </w:r>
          </w:p>
        </w:tc>
        <w:tc>
          <w:tcPr>
            <w:tcW w:w="265" w:type="pct"/>
            <w:shd w:val="clear" w:color="auto" w:fill="auto"/>
            <w:noWrap/>
            <w:vAlign w:val="center"/>
            <w:hideMark/>
          </w:tcPr>
          <w:p w:rsidR="00A41AD7" w:rsidRPr="00DF6B0C" w:rsidRDefault="00A41AD7" w:rsidP="00E7317C">
            <w:pPr>
              <w:jc w:val="center"/>
              <w:rPr>
                <w:i/>
                <w:iCs/>
                <w:color w:val="000000"/>
                <w:sz w:val="18"/>
                <w:szCs w:val="18"/>
              </w:rPr>
            </w:pPr>
            <w:r w:rsidRPr="00DF6B0C">
              <w:rPr>
                <w:i/>
                <w:iCs/>
                <w:color w:val="000000"/>
                <w:sz w:val="18"/>
                <w:szCs w:val="18"/>
              </w:rPr>
              <w:t>93,5</w:t>
            </w:r>
          </w:p>
        </w:tc>
        <w:tc>
          <w:tcPr>
            <w:tcW w:w="305"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27</w:t>
            </w:r>
          </w:p>
        </w:tc>
        <w:tc>
          <w:tcPr>
            <w:tcW w:w="230" w:type="pct"/>
            <w:shd w:val="clear" w:color="auto" w:fill="auto"/>
            <w:noWrap/>
            <w:vAlign w:val="center"/>
            <w:hideMark/>
          </w:tcPr>
          <w:p w:rsidR="00A41AD7" w:rsidRPr="00DF6B0C" w:rsidRDefault="00A41AD7" w:rsidP="00E7317C">
            <w:pPr>
              <w:jc w:val="center"/>
              <w:rPr>
                <w:i/>
                <w:iCs/>
                <w:color w:val="000000"/>
                <w:sz w:val="18"/>
                <w:szCs w:val="18"/>
              </w:rPr>
            </w:pPr>
            <w:r w:rsidRPr="00DF6B0C">
              <w:rPr>
                <w:i/>
                <w:iCs/>
                <w:color w:val="000000"/>
                <w:sz w:val="18"/>
                <w:szCs w:val="18"/>
              </w:rPr>
              <w:t>93,1</w:t>
            </w:r>
          </w:p>
        </w:tc>
        <w:tc>
          <w:tcPr>
            <w:tcW w:w="340"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25</w:t>
            </w:r>
          </w:p>
        </w:tc>
        <w:tc>
          <w:tcPr>
            <w:tcW w:w="282" w:type="pct"/>
            <w:shd w:val="clear" w:color="auto" w:fill="auto"/>
            <w:noWrap/>
            <w:vAlign w:val="center"/>
            <w:hideMark/>
          </w:tcPr>
          <w:p w:rsidR="00A41AD7" w:rsidRPr="00DF6B0C" w:rsidRDefault="00A41AD7" w:rsidP="00E7317C">
            <w:pPr>
              <w:jc w:val="center"/>
              <w:rPr>
                <w:i/>
                <w:iCs/>
                <w:color w:val="000000"/>
                <w:sz w:val="18"/>
                <w:szCs w:val="18"/>
              </w:rPr>
            </w:pPr>
            <w:r w:rsidRPr="00DF6B0C">
              <w:rPr>
                <w:i/>
                <w:iCs/>
                <w:color w:val="000000"/>
                <w:sz w:val="18"/>
                <w:szCs w:val="18"/>
              </w:rPr>
              <w:t>92,6</w:t>
            </w:r>
          </w:p>
        </w:tc>
      </w:tr>
      <w:tr w:rsidR="00A41AD7" w:rsidRPr="00DF6B0C" w:rsidTr="002A33AD">
        <w:trPr>
          <w:trHeight w:val="380"/>
        </w:trPr>
        <w:tc>
          <w:tcPr>
            <w:tcW w:w="526" w:type="pct"/>
            <w:shd w:val="clear" w:color="auto" w:fill="auto"/>
            <w:vAlign w:val="center"/>
            <w:hideMark/>
          </w:tcPr>
          <w:p w:rsidR="00A41AD7" w:rsidRPr="00DF6B0C" w:rsidRDefault="00A41AD7" w:rsidP="00E7317C">
            <w:pPr>
              <w:ind w:firstLineChars="12" w:firstLine="22"/>
              <w:rPr>
                <w:sz w:val="18"/>
                <w:szCs w:val="18"/>
              </w:rPr>
            </w:pPr>
            <w:r w:rsidRPr="00DF6B0C">
              <w:rPr>
                <w:sz w:val="18"/>
                <w:szCs w:val="18"/>
              </w:rPr>
              <w:t>свыше 100 л.с. (свыше 73,55 кВт)</w:t>
            </w:r>
          </w:p>
        </w:tc>
        <w:tc>
          <w:tcPr>
            <w:tcW w:w="402" w:type="pct"/>
            <w:shd w:val="clear" w:color="auto" w:fill="auto"/>
            <w:vAlign w:val="center"/>
            <w:hideMark/>
          </w:tcPr>
          <w:p w:rsidR="00A41AD7" w:rsidRPr="00DF6B0C" w:rsidRDefault="00A41AD7" w:rsidP="00E7317C">
            <w:pPr>
              <w:jc w:val="center"/>
              <w:rPr>
                <w:sz w:val="18"/>
                <w:szCs w:val="18"/>
              </w:rPr>
            </w:pPr>
            <w:r w:rsidRPr="00DF6B0C">
              <w:rPr>
                <w:sz w:val="18"/>
                <w:szCs w:val="18"/>
              </w:rPr>
              <w:t>отчет 5-ТН,стр.2346</w:t>
            </w:r>
          </w:p>
        </w:tc>
        <w:tc>
          <w:tcPr>
            <w:tcW w:w="337"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0</w:t>
            </w:r>
          </w:p>
        </w:tc>
        <w:tc>
          <w:tcPr>
            <w:tcW w:w="260" w:type="pct"/>
            <w:shd w:val="clear" w:color="auto" w:fill="auto"/>
            <w:noWrap/>
            <w:vAlign w:val="center"/>
            <w:hideMark/>
          </w:tcPr>
          <w:p w:rsidR="00A41AD7" w:rsidRPr="00DF6B0C" w:rsidRDefault="00A41AD7" w:rsidP="00E7317C">
            <w:pPr>
              <w:jc w:val="center"/>
              <w:rPr>
                <w:color w:val="000000"/>
                <w:sz w:val="18"/>
                <w:szCs w:val="18"/>
              </w:rPr>
            </w:pPr>
          </w:p>
        </w:tc>
        <w:tc>
          <w:tcPr>
            <w:tcW w:w="324"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1</w:t>
            </w:r>
          </w:p>
        </w:tc>
        <w:tc>
          <w:tcPr>
            <w:tcW w:w="243" w:type="pct"/>
            <w:shd w:val="clear" w:color="auto" w:fill="auto"/>
            <w:noWrap/>
            <w:vAlign w:val="center"/>
            <w:hideMark/>
          </w:tcPr>
          <w:p w:rsidR="00A41AD7" w:rsidRPr="00DF6B0C" w:rsidRDefault="00A41AD7" w:rsidP="00E7317C">
            <w:pPr>
              <w:jc w:val="center"/>
              <w:rPr>
                <w:color w:val="000000"/>
                <w:sz w:val="18"/>
                <w:szCs w:val="18"/>
              </w:rPr>
            </w:pPr>
          </w:p>
        </w:tc>
        <w:tc>
          <w:tcPr>
            <w:tcW w:w="344"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0</w:t>
            </w:r>
          </w:p>
        </w:tc>
        <w:tc>
          <w:tcPr>
            <w:tcW w:w="240"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0,0</w:t>
            </w:r>
          </w:p>
        </w:tc>
        <w:tc>
          <w:tcPr>
            <w:tcW w:w="331"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0</w:t>
            </w:r>
          </w:p>
        </w:tc>
        <w:tc>
          <w:tcPr>
            <w:tcW w:w="253" w:type="pct"/>
            <w:shd w:val="clear" w:color="auto" w:fill="auto"/>
            <w:noWrap/>
            <w:vAlign w:val="center"/>
            <w:hideMark/>
          </w:tcPr>
          <w:p w:rsidR="00A41AD7" w:rsidRPr="00DF6B0C" w:rsidRDefault="00A41AD7" w:rsidP="00E7317C">
            <w:pPr>
              <w:jc w:val="center"/>
              <w:rPr>
                <w:color w:val="000000"/>
                <w:sz w:val="18"/>
                <w:szCs w:val="18"/>
              </w:rPr>
            </w:pPr>
          </w:p>
        </w:tc>
        <w:tc>
          <w:tcPr>
            <w:tcW w:w="318"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0</w:t>
            </w:r>
          </w:p>
        </w:tc>
        <w:tc>
          <w:tcPr>
            <w:tcW w:w="265" w:type="pct"/>
            <w:shd w:val="clear" w:color="auto" w:fill="auto"/>
            <w:noWrap/>
            <w:vAlign w:val="center"/>
            <w:hideMark/>
          </w:tcPr>
          <w:p w:rsidR="00A41AD7" w:rsidRPr="00DF6B0C" w:rsidRDefault="00A41AD7" w:rsidP="00E7317C">
            <w:pPr>
              <w:jc w:val="center"/>
              <w:rPr>
                <w:color w:val="000000"/>
                <w:sz w:val="18"/>
                <w:szCs w:val="18"/>
              </w:rPr>
            </w:pPr>
          </w:p>
        </w:tc>
        <w:tc>
          <w:tcPr>
            <w:tcW w:w="305"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0</w:t>
            </w:r>
          </w:p>
        </w:tc>
        <w:tc>
          <w:tcPr>
            <w:tcW w:w="230" w:type="pct"/>
            <w:shd w:val="clear" w:color="auto" w:fill="auto"/>
            <w:noWrap/>
            <w:vAlign w:val="center"/>
            <w:hideMark/>
          </w:tcPr>
          <w:p w:rsidR="00A41AD7" w:rsidRPr="00DF6B0C" w:rsidRDefault="00A41AD7" w:rsidP="00E7317C">
            <w:pPr>
              <w:jc w:val="center"/>
              <w:rPr>
                <w:color w:val="000000"/>
                <w:sz w:val="18"/>
                <w:szCs w:val="18"/>
              </w:rPr>
            </w:pPr>
          </w:p>
        </w:tc>
        <w:tc>
          <w:tcPr>
            <w:tcW w:w="340"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0</w:t>
            </w:r>
          </w:p>
        </w:tc>
        <w:tc>
          <w:tcPr>
            <w:tcW w:w="282" w:type="pct"/>
            <w:shd w:val="clear" w:color="auto" w:fill="auto"/>
            <w:noWrap/>
            <w:vAlign w:val="center"/>
            <w:hideMark/>
          </w:tcPr>
          <w:p w:rsidR="00A41AD7" w:rsidRPr="00DF6B0C" w:rsidRDefault="00A41AD7" w:rsidP="00E7317C">
            <w:pPr>
              <w:jc w:val="center"/>
              <w:rPr>
                <w:color w:val="000000"/>
                <w:sz w:val="18"/>
                <w:szCs w:val="18"/>
              </w:rPr>
            </w:pPr>
          </w:p>
        </w:tc>
      </w:tr>
      <w:tr w:rsidR="00A41AD7" w:rsidRPr="00DF6B0C" w:rsidTr="002A33AD">
        <w:trPr>
          <w:trHeight w:val="244"/>
        </w:trPr>
        <w:tc>
          <w:tcPr>
            <w:tcW w:w="526" w:type="pct"/>
            <w:shd w:val="clear" w:color="auto" w:fill="auto"/>
            <w:vAlign w:val="center"/>
            <w:hideMark/>
          </w:tcPr>
          <w:p w:rsidR="00A41AD7" w:rsidRPr="00DF6B0C" w:rsidRDefault="00A41AD7" w:rsidP="00E7317C">
            <w:pPr>
              <w:ind w:firstLineChars="12" w:firstLine="22"/>
              <w:rPr>
                <w:i/>
                <w:iCs/>
                <w:sz w:val="18"/>
                <w:szCs w:val="18"/>
              </w:rPr>
            </w:pPr>
            <w:r w:rsidRPr="00DF6B0C">
              <w:rPr>
                <w:i/>
                <w:iCs/>
                <w:sz w:val="18"/>
                <w:szCs w:val="18"/>
              </w:rPr>
              <w:t xml:space="preserve">Гидроциклы с мощностью двигателя: </w:t>
            </w:r>
          </w:p>
        </w:tc>
        <w:tc>
          <w:tcPr>
            <w:tcW w:w="402" w:type="pct"/>
            <w:shd w:val="clear" w:color="auto" w:fill="auto"/>
            <w:vAlign w:val="center"/>
            <w:hideMark/>
          </w:tcPr>
          <w:p w:rsidR="00A41AD7" w:rsidRPr="00DF6B0C" w:rsidRDefault="00A41AD7" w:rsidP="00E7317C">
            <w:pPr>
              <w:jc w:val="center"/>
              <w:rPr>
                <w:i/>
                <w:iCs/>
                <w:sz w:val="18"/>
                <w:szCs w:val="18"/>
              </w:rPr>
            </w:pPr>
            <w:r w:rsidRPr="00DF6B0C">
              <w:rPr>
                <w:i/>
                <w:iCs/>
                <w:sz w:val="18"/>
                <w:szCs w:val="18"/>
              </w:rPr>
              <w:t>отчет 5-ТН,стр.2347</w:t>
            </w:r>
          </w:p>
        </w:tc>
        <w:tc>
          <w:tcPr>
            <w:tcW w:w="337" w:type="pct"/>
            <w:shd w:val="clear" w:color="auto" w:fill="auto"/>
            <w:vAlign w:val="center"/>
            <w:hideMark/>
          </w:tcPr>
          <w:p w:rsidR="00A41AD7" w:rsidRPr="00DF6B0C" w:rsidRDefault="00A41AD7" w:rsidP="00E7317C">
            <w:pPr>
              <w:jc w:val="center"/>
              <w:rPr>
                <w:sz w:val="18"/>
                <w:szCs w:val="18"/>
              </w:rPr>
            </w:pPr>
            <w:r w:rsidRPr="00DF6B0C">
              <w:rPr>
                <w:sz w:val="18"/>
                <w:szCs w:val="18"/>
              </w:rPr>
              <w:t>59</w:t>
            </w:r>
          </w:p>
        </w:tc>
        <w:tc>
          <w:tcPr>
            <w:tcW w:w="260" w:type="pct"/>
            <w:shd w:val="clear" w:color="auto" w:fill="auto"/>
            <w:vAlign w:val="center"/>
            <w:hideMark/>
          </w:tcPr>
          <w:p w:rsidR="00A41AD7" w:rsidRPr="00DF6B0C" w:rsidRDefault="00A41AD7" w:rsidP="00E7317C">
            <w:pPr>
              <w:jc w:val="center"/>
              <w:rPr>
                <w:sz w:val="18"/>
                <w:szCs w:val="18"/>
              </w:rPr>
            </w:pPr>
            <w:r w:rsidRPr="00DF6B0C">
              <w:rPr>
                <w:sz w:val="18"/>
                <w:szCs w:val="18"/>
              </w:rPr>
              <w:t>92,2</w:t>
            </w:r>
          </w:p>
        </w:tc>
        <w:tc>
          <w:tcPr>
            <w:tcW w:w="324" w:type="pct"/>
            <w:shd w:val="clear" w:color="auto" w:fill="auto"/>
            <w:vAlign w:val="center"/>
            <w:hideMark/>
          </w:tcPr>
          <w:p w:rsidR="00A41AD7" w:rsidRPr="00DF6B0C" w:rsidRDefault="00A41AD7" w:rsidP="00E7317C">
            <w:pPr>
              <w:jc w:val="center"/>
              <w:rPr>
                <w:sz w:val="18"/>
                <w:szCs w:val="18"/>
              </w:rPr>
            </w:pPr>
            <w:r w:rsidRPr="00DF6B0C">
              <w:rPr>
                <w:sz w:val="18"/>
                <w:szCs w:val="18"/>
              </w:rPr>
              <w:t>78</w:t>
            </w:r>
          </w:p>
        </w:tc>
        <w:tc>
          <w:tcPr>
            <w:tcW w:w="243" w:type="pct"/>
            <w:shd w:val="clear" w:color="auto" w:fill="auto"/>
            <w:vAlign w:val="center"/>
            <w:hideMark/>
          </w:tcPr>
          <w:p w:rsidR="00A41AD7" w:rsidRPr="00DF6B0C" w:rsidRDefault="00A41AD7" w:rsidP="00E7317C">
            <w:pPr>
              <w:jc w:val="center"/>
              <w:rPr>
                <w:sz w:val="18"/>
                <w:szCs w:val="18"/>
              </w:rPr>
            </w:pPr>
            <w:r w:rsidRPr="00DF6B0C">
              <w:rPr>
                <w:sz w:val="18"/>
                <w:szCs w:val="18"/>
              </w:rPr>
              <w:t>132,2</w:t>
            </w:r>
          </w:p>
        </w:tc>
        <w:tc>
          <w:tcPr>
            <w:tcW w:w="344" w:type="pct"/>
            <w:shd w:val="clear" w:color="auto" w:fill="auto"/>
            <w:vAlign w:val="center"/>
            <w:hideMark/>
          </w:tcPr>
          <w:p w:rsidR="00A41AD7" w:rsidRPr="00DF6B0C" w:rsidRDefault="00A41AD7" w:rsidP="00E7317C">
            <w:pPr>
              <w:jc w:val="center"/>
              <w:rPr>
                <w:sz w:val="18"/>
                <w:szCs w:val="18"/>
              </w:rPr>
            </w:pPr>
            <w:r w:rsidRPr="00DF6B0C">
              <w:rPr>
                <w:sz w:val="18"/>
                <w:szCs w:val="18"/>
              </w:rPr>
              <w:t>89</w:t>
            </w:r>
          </w:p>
        </w:tc>
        <w:tc>
          <w:tcPr>
            <w:tcW w:w="240" w:type="pct"/>
            <w:shd w:val="clear" w:color="auto" w:fill="auto"/>
            <w:vAlign w:val="center"/>
            <w:hideMark/>
          </w:tcPr>
          <w:p w:rsidR="00A41AD7" w:rsidRPr="00DF6B0C" w:rsidRDefault="00A41AD7" w:rsidP="00E7317C">
            <w:pPr>
              <w:jc w:val="center"/>
              <w:rPr>
                <w:sz w:val="18"/>
                <w:szCs w:val="18"/>
              </w:rPr>
            </w:pPr>
            <w:r w:rsidRPr="00DF6B0C">
              <w:rPr>
                <w:sz w:val="18"/>
                <w:szCs w:val="18"/>
              </w:rPr>
              <w:t>114,1</w:t>
            </w:r>
          </w:p>
        </w:tc>
        <w:tc>
          <w:tcPr>
            <w:tcW w:w="331" w:type="pct"/>
            <w:shd w:val="clear" w:color="auto" w:fill="auto"/>
            <w:vAlign w:val="center"/>
            <w:hideMark/>
          </w:tcPr>
          <w:p w:rsidR="00A41AD7" w:rsidRPr="00DF6B0C" w:rsidRDefault="00A41AD7" w:rsidP="00E7317C">
            <w:pPr>
              <w:jc w:val="center"/>
              <w:rPr>
                <w:sz w:val="18"/>
                <w:szCs w:val="18"/>
              </w:rPr>
            </w:pPr>
            <w:r w:rsidRPr="00DF6B0C">
              <w:rPr>
                <w:sz w:val="18"/>
                <w:szCs w:val="18"/>
              </w:rPr>
              <w:t>112</w:t>
            </w:r>
          </w:p>
        </w:tc>
        <w:tc>
          <w:tcPr>
            <w:tcW w:w="253" w:type="pct"/>
            <w:shd w:val="clear" w:color="auto" w:fill="auto"/>
            <w:vAlign w:val="center"/>
            <w:hideMark/>
          </w:tcPr>
          <w:p w:rsidR="00A41AD7" w:rsidRPr="00DF6B0C" w:rsidRDefault="00A41AD7" w:rsidP="00E7317C">
            <w:pPr>
              <w:jc w:val="center"/>
              <w:rPr>
                <w:sz w:val="18"/>
                <w:szCs w:val="18"/>
              </w:rPr>
            </w:pPr>
            <w:r w:rsidRPr="00DF6B0C">
              <w:rPr>
                <w:sz w:val="18"/>
                <w:szCs w:val="18"/>
              </w:rPr>
              <w:t>125,8</w:t>
            </w:r>
          </w:p>
        </w:tc>
        <w:tc>
          <w:tcPr>
            <w:tcW w:w="318"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139</w:t>
            </w:r>
          </w:p>
        </w:tc>
        <w:tc>
          <w:tcPr>
            <w:tcW w:w="265" w:type="pct"/>
            <w:shd w:val="clear" w:color="auto" w:fill="auto"/>
            <w:noWrap/>
            <w:vAlign w:val="center"/>
            <w:hideMark/>
          </w:tcPr>
          <w:p w:rsidR="00A41AD7" w:rsidRPr="00DF6B0C" w:rsidRDefault="00A41AD7" w:rsidP="00E7317C">
            <w:pPr>
              <w:jc w:val="center"/>
              <w:rPr>
                <w:i/>
                <w:iCs/>
                <w:color w:val="000000"/>
                <w:sz w:val="18"/>
                <w:szCs w:val="18"/>
              </w:rPr>
            </w:pPr>
            <w:r w:rsidRPr="00DF6B0C">
              <w:rPr>
                <w:i/>
                <w:iCs/>
                <w:color w:val="000000"/>
                <w:sz w:val="18"/>
                <w:szCs w:val="18"/>
              </w:rPr>
              <w:t>124,1</w:t>
            </w:r>
          </w:p>
        </w:tc>
        <w:tc>
          <w:tcPr>
            <w:tcW w:w="305"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178</w:t>
            </w:r>
          </w:p>
        </w:tc>
        <w:tc>
          <w:tcPr>
            <w:tcW w:w="230" w:type="pct"/>
            <w:shd w:val="clear" w:color="auto" w:fill="auto"/>
            <w:noWrap/>
            <w:vAlign w:val="center"/>
            <w:hideMark/>
          </w:tcPr>
          <w:p w:rsidR="00A41AD7" w:rsidRPr="00DF6B0C" w:rsidRDefault="00A41AD7" w:rsidP="00E7317C">
            <w:pPr>
              <w:jc w:val="center"/>
              <w:rPr>
                <w:i/>
                <w:iCs/>
                <w:color w:val="000000"/>
                <w:sz w:val="18"/>
                <w:szCs w:val="18"/>
              </w:rPr>
            </w:pPr>
            <w:r w:rsidRPr="00DF6B0C">
              <w:rPr>
                <w:i/>
                <w:iCs/>
                <w:color w:val="000000"/>
                <w:sz w:val="18"/>
                <w:szCs w:val="18"/>
              </w:rPr>
              <w:t>128,1</w:t>
            </w:r>
          </w:p>
        </w:tc>
        <w:tc>
          <w:tcPr>
            <w:tcW w:w="340"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231</w:t>
            </w:r>
          </w:p>
        </w:tc>
        <w:tc>
          <w:tcPr>
            <w:tcW w:w="282" w:type="pct"/>
            <w:shd w:val="clear" w:color="auto" w:fill="auto"/>
            <w:noWrap/>
            <w:vAlign w:val="center"/>
            <w:hideMark/>
          </w:tcPr>
          <w:p w:rsidR="00A41AD7" w:rsidRPr="00DF6B0C" w:rsidRDefault="00A41AD7" w:rsidP="00E7317C">
            <w:pPr>
              <w:jc w:val="center"/>
              <w:rPr>
                <w:i/>
                <w:iCs/>
                <w:color w:val="000000"/>
                <w:sz w:val="18"/>
                <w:szCs w:val="18"/>
              </w:rPr>
            </w:pPr>
            <w:r w:rsidRPr="00DF6B0C">
              <w:rPr>
                <w:i/>
                <w:iCs/>
                <w:color w:val="000000"/>
                <w:sz w:val="18"/>
                <w:szCs w:val="18"/>
              </w:rPr>
              <w:t>129,8</w:t>
            </w:r>
          </w:p>
        </w:tc>
      </w:tr>
      <w:tr w:rsidR="00A41AD7" w:rsidRPr="00DF6B0C" w:rsidTr="002A33AD">
        <w:trPr>
          <w:trHeight w:val="249"/>
        </w:trPr>
        <w:tc>
          <w:tcPr>
            <w:tcW w:w="526" w:type="pct"/>
            <w:shd w:val="clear" w:color="auto" w:fill="auto"/>
            <w:vAlign w:val="center"/>
            <w:hideMark/>
          </w:tcPr>
          <w:p w:rsidR="00A41AD7" w:rsidRPr="00DF6B0C" w:rsidRDefault="00A41AD7" w:rsidP="00E7317C">
            <w:pPr>
              <w:ind w:firstLineChars="12" w:firstLine="22"/>
              <w:rPr>
                <w:sz w:val="18"/>
                <w:szCs w:val="18"/>
              </w:rPr>
            </w:pPr>
            <w:r w:rsidRPr="00DF6B0C">
              <w:rPr>
                <w:sz w:val="18"/>
                <w:szCs w:val="18"/>
              </w:rPr>
              <w:t>до 100 л.с. (до 73,55 кВт) включительно</w:t>
            </w:r>
          </w:p>
        </w:tc>
        <w:tc>
          <w:tcPr>
            <w:tcW w:w="402" w:type="pct"/>
            <w:shd w:val="clear" w:color="auto" w:fill="auto"/>
            <w:vAlign w:val="center"/>
            <w:hideMark/>
          </w:tcPr>
          <w:p w:rsidR="00A41AD7" w:rsidRPr="00DF6B0C" w:rsidRDefault="00A41AD7" w:rsidP="00E7317C">
            <w:pPr>
              <w:jc w:val="center"/>
              <w:rPr>
                <w:sz w:val="18"/>
                <w:szCs w:val="18"/>
              </w:rPr>
            </w:pPr>
            <w:r w:rsidRPr="00DF6B0C">
              <w:rPr>
                <w:sz w:val="18"/>
                <w:szCs w:val="18"/>
              </w:rPr>
              <w:t>отчет 5-ТН,стр.2348</w:t>
            </w:r>
          </w:p>
        </w:tc>
        <w:tc>
          <w:tcPr>
            <w:tcW w:w="337"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17</w:t>
            </w:r>
          </w:p>
        </w:tc>
        <w:tc>
          <w:tcPr>
            <w:tcW w:w="260"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94,4</w:t>
            </w:r>
          </w:p>
        </w:tc>
        <w:tc>
          <w:tcPr>
            <w:tcW w:w="324"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24</w:t>
            </w:r>
          </w:p>
        </w:tc>
        <w:tc>
          <w:tcPr>
            <w:tcW w:w="243"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141,2</w:t>
            </w:r>
          </w:p>
        </w:tc>
        <w:tc>
          <w:tcPr>
            <w:tcW w:w="344"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35</w:t>
            </w:r>
          </w:p>
        </w:tc>
        <w:tc>
          <w:tcPr>
            <w:tcW w:w="240"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145,8</w:t>
            </w:r>
          </w:p>
        </w:tc>
        <w:tc>
          <w:tcPr>
            <w:tcW w:w="331"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50</w:t>
            </w:r>
          </w:p>
        </w:tc>
        <w:tc>
          <w:tcPr>
            <w:tcW w:w="253"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142,9</w:t>
            </w:r>
          </w:p>
        </w:tc>
        <w:tc>
          <w:tcPr>
            <w:tcW w:w="318"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72</w:t>
            </w:r>
          </w:p>
        </w:tc>
        <w:tc>
          <w:tcPr>
            <w:tcW w:w="265" w:type="pct"/>
            <w:shd w:val="clear" w:color="auto" w:fill="auto"/>
            <w:noWrap/>
            <w:vAlign w:val="center"/>
            <w:hideMark/>
          </w:tcPr>
          <w:p w:rsidR="00A41AD7" w:rsidRPr="00DF6B0C" w:rsidRDefault="00A41AD7" w:rsidP="00E7317C">
            <w:pPr>
              <w:jc w:val="center"/>
              <w:rPr>
                <w:i/>
                <w:iCs/>
                <w:color w:val="000000"/>
                <w:sz w:val="18"/>
                <w:szCs w:val="18"/>
              </w:rPr>
            </w:pPr>
            <w:r w:rsidRPr="00DF6B0C">
              <w:rPr>
                <w:i/>
                <w:iCs/>
                <w:color w:val="000000"/>
                <w:sz w:val="18"/>
                <w:szCs w:val="18"/>
              </w:rPr>
              <w:t>144,0</w:t>
            </w:r>
          </w:p>
        </w:tc>
        <w:tc>
          <w:tcPr>
            <w:tcW w:w="305"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103</w:t>
            </w:r>
          </w:p>
        </w:tc>
        <w:tc>
          <w:tcPr>
            <w:tcW w:w="230" w:type="pct"/>
            <w:shd w:val="clear" w:color="auto" w:fill="auto"/>
            <w:noWrap/>
            <w:vAlign w:val="center"/>
            <w:hideMark/>
          </w:tcPr>
          <w:p w:rsidR="00A41AD7" w:rsidRPr="00DF6B0C" w:rsidRDefault="00A41AD7" w:rsidP="00E7317C">
            <w:pPr>
              <w:jc w:val="center"/>
              <w:rPr>
                <w:i/>
                <w:iCs/>
                <w:color w:val="000000"/>
                <w:sz w:val="18"/>
                <w:szCs w:val="18"/>
              </w:rPr>
            </w:pPr>
            <w:r w:rsidRPr="00DF6B0C">
              <w:rPr>
                <w:i/>
                <w:iCs/>
                <w:color w:val="000000"/>
                <w:sz w:val="18"/>
                <w:szCs w:val="18"/>
              </w:rPr>
              <w:t>143,1</w:t>
            </w:r>
          </w:p>
        </w:tc>
        <w:tc>
          <w:tcPr>
            <w:tcW w:w="340"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148</w:t>
            </w:r>
          </w:p>
        </w:tc>
        <w:tc>
          <w:tcPr>
            <w:tcW w:w="282" w:type="pct"/>
            <w:shd w:val="clear" w:color="auto" w:fill="auto"/>
            <w:noWrap/>
            <w:vAlign w:val="center"/>
            <w:hideMark/>
          </w:tcPr>
          <w:p w:rsidR="00A41AD7" w:rsidRPr="00DF6B0C" w:rsidRDefault="00A41AD7" w:rsidP="00E7317C">
            <w:pPr>
              <w:jc w:val="center"/>
              <w:rPr>
                <w:i/>
                <w:iCs/>
                <w:color w:val="000000"/>
                <w:sz w:val="18"/>
                <w:szCs w:val="18"/>
              </w:rPr>
            </w:pPr>
            <w:r w:rsidRPr="00DF6B0C">
              <w:rPr>
                <w:i/>
                <w:iCs/>
                <w:color w:val="000000"/>
                <w:sz w:val="18"/>
                <w:szCs w:val="18"/>
              </w:rPr>
              <w:t>143,7</w:t>
            </w:r>
          </w:p>
        </w:tc>
      </w:tr>
      <w:tr w:rsidR="00A41AD7" w:rsidRPr="00DF6B0C" w:rsidTr="002A33AD">
        <w:trPr>
          <w:trHeight w:val="383"/>
        </w:trPr>
        <w:tc>
          <w:tcPr>
            <w:tcW w:w="526" w:type="pct"/>
            <w:shd w:val="clear" w:color="auto" w:fill="auto"/>
            <w:vAlign w:val="center"/>
            <w:hideMark/>
          </w:tcPr>
          <w:p w:rsidR="00A41AD7" w:rsidRPr="00DF6B0C" w:rsidRDefault="00A41AD7" w:rsidP="00E7317C">
            <w:pPr>
              <w:ind w:firstLineChars="12" w:firstLine="22"/>
              <w:rPr>
                <w:sz w:val="18"/>
                <w:szCs w:val="18"/>
              </w:rPr>
            </w:pPr>
            <w:r w:rsidRPr="00DF6B0C">
              <w:rPr>
                <w:sz w:val="18"/>
                <w:szCs w:val="18"/>
              </w:rPr>
              <w:t>свыше 100 л.с. (свыше 73,55 кВт)</w:t>
            </w:r>
          </w:p>
        </w:tc>
        <w:tc>
          <w:tcPr>
            <w:tcW w:w="402" w:type="pct"/>
            <w:shd w:val="clear" w:color="auto" w:fill="auto"/>
            <w:vAlign w:val="center"/>
            <w:hideMark/>
          </w:tcPr>
          <w:p w:rsidR="00A41AD7" w:rsidRPr="00DF6B0C" w:rsidRDefault="00A41AD7" w:rsidP="00E7317C">
            <w:pPr>
              <w:jc w:val="center"/>
              <w:rPr>
                <w:sz w:val="18"/>
                <w:szCs w:val="18"/>
              </w:rPr>
            </w:pPr>
            <w:r w:rsidRPr="00DF6B0C">
              <w:rPr>
                <w:sz w:val="18"/>
                <w:szCs w:val="18"/>
              </w:rPr>
              <w:t>отчет 5-ТН,стр.2349</w:t>
            </w:r>
          </w:p>
        </w:tc>
        <w:tc>
          <w:tcPr>
            <w:tcW w:w="337"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42</w:t>
            </w:r>
          </w:p>
        </w:tc>
        <w:tc>
          <w:tcPr>
            <w:tcW w:w="260"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91,3</w:t>
            </w:r>
          </w:p>
        </w:tc>
        <w:tc>
          <w:tcPr>
            <w:tcW w:w="324"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54</w:t>
            </w:r>
          </w:p>
        </w:tc>
        <w:tc>
          <w:tcPr>
            <w:tcW w:w="243"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128,6</w:t>
            </w:r>
          </w:p>
        </w:tc>
        <w:tc>
          <w:tcPr>
            <w:tcW w:w="344"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54</w:t>
            </w:r>
          </w:p>
        </w:tc>
        <w:tc>
          <w:tcPr>
            <w:tcW w:w="240"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100,0</w:t>
            </w:r>
          </w:p>
        </w:tc>
        <w:tc>
          <w:tcPr>
            <w:tcW w:w="331"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62</w:t>
            </w:r>
          </w:p>
        </w:tc>
        <w:tc>
          <w:tcPr>
            <w:tcW w:w="253"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114,8</w:t>
            </w:r>
          </w:p>
        </w:tc>
        <w:tc>
          <w:tcPr>
            <w:tcW w:w="318"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67</w:t>
            </w:r>
          </w:p>
        </w:tc>
        <w:tc>
          <w:tcPr>
            <w:tcW w:w="265" w:type="pct"/>
            <w:shd w:val="clear" w:color="auto" w:fill="auto"/>
            <w:noWrap/>
            <w:vAlign w:val="center"/>
            <w:hideMark/>
          </w:tcPr>
          <w:p w:rsidR="00A41AD7" w:rsidRPr="00DF6B0C" w:rsidRDefault="00A41AD7" w:rsidP="00E7317C">
            <w:pPr>
              <w:jc w:val="center"/>
              <w:rPr>
                <w:i/>
                <w:iCs/>
                <w:color w:val="000000"/>
                <w:sz w:val="18"/>
                <w:szCs w:val="18"/>
              </w:rPr>
            </w:pPr>
            <w:r w:rsidRPr="00DF6B0C">
              <w:rPr>
                <w:i/>
                <w:iCs/>
                <w:color w:val="000000"/>
                <w:sz w:val="18"/>
                <w:szCs w:val="18"/>
              </w:rPr>
              <w:t>108,1</w:t>
            </w:r>
          </w:p>
        </w:tc>
        <w:tc>
          <w:tcPr>
            <w:tcW w:w="305"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75</w:t>
            </w:r>
          </w:p>
        </w:tc>
        <w:tc>
          <w:tcPr>
            <w:tcW w:w="230" w:type="pct"/>
            <w:shd w:val="clear" w:color="auto" w:fill="auto"/>
            <w:noWrap/>
            <w:vAlign w:val="center"/>
            <w:hideMark/>
          </w:tcPr>
          <w:p w:rsidR="00A41AD7" w:rsidRPr="00DF6B0C" w:rsidRDefault="00A41AD7" w:rsidP="00E7317C">
            <w:pPr>
              <w:jc w:val="center"/>
              <w:rPr>
                <w:i/>
                <w:iCs/>
                <w:color w:val="000000"/>
                <w:sz w:val="18"/>
                <w:szCs w:val="18"/>
              </w:rPr>
            </w:pPr>
            <w:r w:rsidRPr="00DF6B0C">
              <w:rPr>
                <w:i/>
                <w:iCs/>
                <w:color w:val="000000"/>
                <w:sz w:val="18"/>
                <w:szCs w:val="18"/>
              </w:rPr>
              <w:t>111,9</w:t>
            </w:r>
          </w:p>
        </w:tc>
        <w:tc>
          <w:tcPr>
            <w:tcW w:w="340"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83</w:t>
            </w:r>
          </w:p>
        </w:tc>
        <w:tc>
          <w:tcPr>
            <w:tcW w:w="282" w:type="pct"/>
            <w:shd w:val="clear" w:color="auto" w:fill="auto"/>
            <w:noWrap/>
            <w:vAlign w:val="center"/>
            <w:hideMark/>
          </w:tcPr>
          <w:p w:rsidR="00A41AD7" w:rsidRPr="00DF6B0C" w:rsidRDefault="00A41AD7" w:rsidP="00E7317C">
            <w:pPr>
              <w:jc w:val="center"/>
              <w:rPr>
                <w:i/>
                <w:iCs/>
                <w:color w:val="000000"/>
                <w:sz w:val="18"/>
                <w:szCs w:val="18"/>
              </w:rPr>
            </w:pPr>
            <w:r w:rsidRPr="00DF6B0C">
              <w:rPr>
                <w:i/>
                <w:iCs/>
                <w:color w:val="000000"/>
                <w:sz w:val="18"/>
                <w:szCs w:val="18"/>
              </w:rPr>
              <w:t>110,7</w:t>
            </w:r>
          </w:p>
        </w:tc>
      </w:tr>
      <w:tr w:rsidR="00A41AD7" w:rsidRPr="00DF6B0C" w:rsidTr="002A33AD">
        <w:trPr>
          <w:trHeight w:val="673"/>
        </w:trPr>
        <w:tc>
          <w:tcPr>
            <w:tcW w:w="526" w:type="pct"/>
            <w:shd w:val="clear" w:color="auto" w:fill="auto"/>
            <w:vAlign w:val="center"/>
            <w:hideMark/>
          </w:tcPr>
          <w:p w:rsidR="00A41AD7" w:rsidRPr="00DF6B0C" w:rsidRDefault="00A41AD7" w:rsidP="00E7317C">
            <w:pPr>
              <w:rPr>
                <w:i/>
                <w:iCs/>
                <w:sz w:val="18"/>
                <w:szCs w:val="18"/>
              </w:rPr>
            </w:pPr>
            <w:r w:rsidRPr="00DF6B0C">
              <w:rPr>
                <w:i/>
                <w:iCs/>
                <w:sz w:val="18"/>
                <w:szCs w:val="18"/>
              </w:rPr>
              <w:t>Несамоходные (буксируемые) суда, для которых определяется валовая вместимость</w:t>
            </w:r>
          </w:p>
        </w:tc>
        <w:tc>
          <w:tcPr>
            <w:tcW w:w="402" w:type="pct"/>
            <w:shd w:val="clear" w:color="auto" w:fill="auto"/>
            <w:vAlign w:val="center"/>
            <w:hideMark/>
          </w:tcPr>
          <w:p w:rsidR="00A41AD7" w:rsidRPr="00DF6B0C" w:rsidRDefault="00A41AD7" w:rsidP="00E7317C">
            <w:pPr>
              <w:jc w:val="center"/>
              <w:rPr>
                <w:i/>
                <w:iCs/>
                <w:sz w:val="18"/>
                <w:szCs w:val="18"/>
              </w:rPr>
            </w:pPr>
            <w:r w:rsidRPr="00DF6B0C">
              <w:rPr>
                <w:i/>
                <w:iCs/>
                <w:sz w:val="18"/>
                <w:szCs w:val="18"/>
              </w:rPr>
              <w:t>отчет 5-ТН,стр.2350</w:t>
            </w:r>
          </w:p>
        </w:tc>
        <w:tc>
          <w:tcPr>
            <w:tcW w:w="337"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45</w:t>
            </w:r>
          </w:p>
        </w:tc>
        <w:tc>
          <w:tcPr>
            <w:tcW w:w="260"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102,3</w:t>
            </w:r>
          </w:p>
        </w:tc>
        <w:tc>
          <w:tcPr>
            <w:tcW w:w="324"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41</w:t>
            </w:r>
          </w:p>
        </w:tc>
        <w:tc>
          <w:tcPr>
            <w:tcW w:w="243"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91,1</w:t>
            </w:r>
          </w:p>
        </w:tc>
        <w:tc>
          <w:tcPr>
            <w:tcW w:w="344"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11</w:t>
            </w:r>
          </w:p>
        </w:tc>
        <w:tc>
          <w:tcPr>
            <w:tcW w:w="240"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26,8</w:t>
            </w:r>
          </w:p>
        </w:tc>
        <w:tc>
          <w:tcPr>
            <w:tcW w:w="331"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6</w:t>
            </w:r>
          </w:p>
        </w:tc>
        <w:tc>
          <w:tcPr>
            <w:tcW w:w="253"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54,5</w:t>
            </w:r>
          </w:p>
        </w:tc>
        <w:tc>
          <w:tcPr>
            <w:tcW w:w="318"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2</w:t>
            </w:r>
          </w:p>
        </w:tc>
        <w:tc>
          <w:tcPr>
            <w:tcW w:w="265" w:type="pct"/>
            <w:shd w:val="clear" w:color="auto" w:fill="auto"/>
            <w:noWrap/>
            <w:vAlign w:val="center"/>
            <w:hideMark/>
          </w:tcPr>
          <w:p w:rsidR="00A41AD7" w:rsidRPr="00DF6B0C" w:rsidRDefault="00A41AD7" w:rsidP="00E7317C">
            <w:pPr>
              <w:jc w:val="center"/>
              <w:rPr>
                <w:i/>
                <w:iCs/>
                <w:color w:val="000000"/>
                <w:sz w:val="18"/>
                <w:szCs w:val="18"/>
              </w:rPr>
            </w:pPr>
            <w:r w:rsidRPr="00DF6B0C">
              <w:rPr>
                <w:i/>
                <w:iCs/>
                <w:color w:val="000000"/>
                <w:sz w:val="18"/>
                <w:szCs w:val="18"/>
              </w:rPr>
              <w:t>33,3</w:t>
            </w:r>
          </w:p>
        </w:tc>
        <w:tc>
          <w:tcPr>
            <w:tcW w:w="305"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1</w:t>
            </w:r>
          </w:p>
        </w:tc>
        <w:tc>
          <w:tcPr>
            <w:tcW w:w="230" w:type="pct"/>
            <w:shd w:val="clear" w:color="auto" w:fill="auto"/>
            <w:noWrap/>
            <w:vAlign w:val="center"/>
            <w:hideMark/>
          </w:tcPr>
          <w:p w:rsidR="00A41AD7" w:rsidRPr="00DF6B0C" w:rsidRDefault="00A41AD7" w:rsidP="00E7317C">
            <w:pPr>
              <w:jc w:val="center"/>
              <w:rPr>
                <w:i/>
                <w:iCs/>
                <w:color w:val="000000"/>
                <w:sz w:val="18"/>
                <w:szCs w:val="18"/>
              </w:rPr>
            </w:pPr>
            <w:r w:rsidRPr="00DF6B0C">
              <w:rPr>
                <w:i/>
                <w:iCs/>
                <w:color w:val="000000"/>
                <w:sz w:val="18"/>
                <w:szCs w:val="18"/>
              </w:rPr>
              <w:t>50,0</w:t>
            </w:r>
          </w:p>
        </w:tc>
        <w:tc>
          <w:tcPr>
            <w:tcW w:w="340"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0</w:t>
            </w:r>
          </w:p>
        </w:tc>
        <w:tc>
          <w:tcPr>
            <w:tcW w:w="282" w:type="pct"/>
            <w:shd w:val="clear" w:color="auto" w:fill="auto"/>
            <w:noWrap/>
            <w:vAlign w:val="center"/>
            <w:hideMark/>
          </w:tcPr>
          <w:p w:rsidR="00A41AD7" w:rsidRPr="00DF6B0C" w:rsidRDefault="00A41AD7" w:rsidP="00E7317C">
            <w:pPr>
              <w:jc w:val="center"/>
              <w:rPr>
                <w:i/>
                <w:iCs/>
                <w:color w:val="000000"/>
                <w:sz w:val="18"/>
                <w:szCs w:val="18"/>
              </w:rPr>
            </w:pPr>
            <w:r w:rsidRPr="00DF6B0C">
              <w:rPr>
                <w:i/>
                <w:iCs/>
                <w:color w:val="000000"/>
                <w:sz w:val="18"/>
                <w:szCs w:val="18"/>
              </w:rPr>
              <w:t>0,0</w:t>
            </w:r>
          </w:p>
        </w:tc>
      </w:tr>
      <w:tr w:rsidR="00A41AD7" w:rsidRPr="00DF6B0C" w:rsidTr="002A33AD">
        <w:trPr>
          <w:trHeight w:val="245"/>
        </w:trPr>
        <w:tc>
          <w:tcPr>
            <w:tcW w:w="526" w:type="pct"/>
            <w:shd w:val="clear" w:color="auto" w:fill="auto"/>
            <w:vAlign w:val="center"/>
            <w:hideMark/>
          </w:tcPr>
          <w:p w:rsidR="00A41AD7" w:rsidRPr="00DF6B0C" w:rsidRDefault="00A41AD7" w:rsidP="00E7317C">
            <w:pPr>
              <w:rPr>
                <w:i/>
                <w:iCs/>
                <w:sz w:val="18"/>
                <w:szCs w:val="18"/>
              </w:rPr>
            </w:pPr>
            <w:r w:rsidRPr="00DF6B0C">
              <w:rPr>
                <w:i/>
                <w:iCs/>
                <w:sz w:val="18"/>
                <w:szCs w:val="18"/>
              </w:rPr>
              <w:t>*Иные водные транспортные средства</w:t>
            </w:r>
          </w:p>
        </w:tc>
        <w:tc>
          <w:tcPr>
            <w:tcW w:w="402" w:type="pct"/>
            <w:shd w:val="clear" w:color="auto" w:fill="auto"/>
            <w:vAlign w:val="center"/>
            <w:hideMark/>
          </w:tcPr>
          <w:p w:rsidR="00A41AD7" w:rsidRPr="00DF6B0C" w:rsidRDefault="00A41AD7" w:rsidP="00E7317C">
            <w:pPr>
              <w:jc w:val="center"/>
              <w:rPr>
                <w:i/>
                <w:iCs/>
                <w:sz w:val="18"/>
                <w:szCs w:val="18"/>
              </w:rPr>
            </w:pPr>
            <w:r w:rsidRPr="00DF6B0C">
              <w:rPr>
                <w:i/>
                <w:iCs/>
                <w:sz w:val="18"/>
                <w:szCs w:val="18"/>
              </w:rPr>
              <w:t>отчет 5-ТН,стр.2351</w:t>
            </w:r>
          </w:p>
        </w:tc>
        <w:tc>
          <w:tcPr>
            <w:tcW w:w="337"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0</w:t>
            </w:r>
          </w:p>
        </w:tc>
        <w:tc>
          <w:tcPr>
            <w:tcW w:w="260"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0,0</w:t>
            </w:r>
          </w:p>
        </w:tc>
        <w:tc>
          <w:tcPr>
            <w:tcW w:w="324"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0</w:t>
            </w:r>
          </w:p>
        </w:tc>
        <w:tc>
          <w:tcPr>
            <w:tcW w:w="243" w:type="pct"/>
            <w:shd w:val="clear" w:color="auto" w:fill="auto"/>
            <w:noWrap/>
            <w:vAlign w:val="center"/>
            <w:hideMark/>
          </w:tcPr>
          <w:p w:rsidR="00A41AD7" w:rsidRPr="00DF6B0C" w:rsidRDefault="00A41AD7" w:rsidP="00E7317C">
            <w:pPr>
              <w:jc w:val="center"/>
              <w:rPr>
                <w:color w:val="000000"/>
                <w:sz w:val="18"/>
                <w:szCs w:val="18"/>
              </w:rPr>
            </w:pPr>
          </w:p>
        </w:tc>
        <w:tc>
          <w:tcPr>
            <w:tcW w:w="344"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4</w:t>
            </w:r>
          </w:p>
        </w:tc>
        <w:tc>
          <w:tcPr>
            <w:tcW w:w="240" w:type="pct"/>
            <w:shd w:val="clear" w:color="auto" w:fill="auto"/>
            <w:noWrap/>
            <w:vAlign w:val="center"/>
            <w:hideMark/>
          </w:tcPr>
          <w:p w:rsidR="00A41AD7" w:rsidRPr="00DF6B0C" w:rsidRDefault="00A41AD7" w:rsidP="00E7317C">
            <w:pPr>
              <w:jc w:val="center"/>
              <w:rPr>
                <w:color w:val="000000"/>
                <w:sz w:val="18"/>
                <w:szCs w:val="18"/>
              </w:rPr>
            </w:pPr>
          </w:p>
        </w:tc>
        <w:tc>
          <w:tcPr>
            <w:tcW w:w="331"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4</w:t>
            </w:r>
          </w:p>
        </w:tc>
        <w:tc>
          <w:tcPr>
            <w:tcW w:w="253"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100,0</w:t>
            </w:r>
          </w:p>
        </w:tc>
        <w:tc>
          <w:tcPr>
            <w:tcW w:w="318"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4</w:t>
            </w:r>
          </w:p>
        </w:tc>
        <w:tc>
          <w:tcPr>
            <w:tcW w:w="265" w:type="pct"/>
            <w:shd w:val="clear" w:color="auto" w:fill="auto"/>
            <w:noWrap/>
            <w:vAlign w:val="center"/>
            <w:hideMark/>
          </w:tcPr>
          <w:p w:rsidR="00A41AD7" w:rsidRPr="00DF6B0C" w:rsidRDefault="00A41AD7" w:rsidP="00E7317C">
            <w:pPr>
              <w:jc w:val="center"/>
              <w:rPr>
                <w:i/>
                <w:iCs/>
                <w:color w:val="000000"/>
                <w:sz w:val="18"/>
                <w:szCs w:val="18"/>
              </w:rPr>
            </w:pPr>
            <w:r w:rsidRPr="00DF6B0C">
              <w:rPr>
                <w:i/>
                <w:iCs/>
                <w:color w:val="000000"/>
                <w:sz w:val="18"/>
                <w:szCs w:val="18"/>
              </w:rPr>
              <w:t>100,0</w:t>
            </w:r>
          </w:p>
        </w:tc>
        <w:tc>
          <w:tcPr>
            <w:tcW w:w="305"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4</w:t>
            </w:r>
          </w:p>
        </w:tc>
        <w:tc>
          <w:tcPr>
            <w:tcW w:w="230" w:type="pct"/>
            <w:shd w:val="clear" w:color="auto" w:fill="auto"/>
            <w:noWrap/>
            <w:vAlign w:val="center"/>
            <w:hideMark/>
          </w:tcPr>
          <w:p w:rsidR="00A41AD7" w:rsidRPr="00DF6B0C" w:rsidRDefault="00A41AD7" w:rsidP="00E7317C">
            <w:pPr>
              <w:jc w:val="center"/>
              <w:rPr>
                <w:i/>
                <w:iCs/>
                <w:color w:val="000000"/>
                <w:sz w:val="18"/>
                <w:szCs w:val="18"/>
              </w:rPr>
            </w:pPr>
            <w:r w:rsidRPr="00DF6B0C">
              <w:rPr>
                <w:i/>
                <w:iCs/>
                <w:color w:val="000000"/>
                <w:sz w:val="18"/>
                <w:szCs w:val="18"/>
              </w:rPr>
              <w:t>100,0</w:t>
            </w:r>
          </w:p>
        </w:tc>
        <w:tc>
          <w:tcPr>
            <w:tcW w:w="340"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4</w:t>
            </w:r>
          </w:p>
        </w:tc>
        <w:tc>
          <w:tcPr>
            <w:tcW w:w="282" w:type="pct"/>
            <w:shd w:val="clear" w:color="auto" w:fill="auto"/>
            <w:noWrap/>
            <w:vAlign w:val="center"/>
            <w:hideMark/>
          </w:tcPr>
          <w:p w:rsidR="00A41AD7" w:rsidRPr="00DF6B0C" w:rsidRDefault="00A41AD7" w:rsidP="00E7317C">
            <w:pPr>
              <w:jc w:val="center"/>
              <w:rPr>
                <w:i/>
                <w:iCs/>
                <w:color w:val="000000"/>
                <w:sz w:val="18"/>
                <w:szCs w:val="18"/>
              </w:rPr>
            </w:pPr>
            <w:r w:rsidRPr="00DF6B0C">
              <w:rPr>
                <w:i/>
                <w:iCs/>
                <w:color w:val="000000"/>
                <w:sz w:val="18"/>
                <w:szCs w:val="18"/>
              </w:rPr>
              <w:t>100,0</w:t>
            </w:r>
          </w:p>
        </w:tc>
      </w:tr>
      <w:tr w:rsidR="00A41AD7" w:rsidRPr="00DF6B0C" w:rsidTr="002A33AD">
        <w:trPr>
          <w:trHeight w:val="251"/>
        </w:trPr>
        <w:tc>
          <w:tcPr>
            <w:tcW w:w="526" w:type="pct"/>
            <w:shd w:val="clear" w:color="auto" w:fill="auto"/>
            <w:vAlign w:val="center"/>
            <w:hideMark/>
          </w:tcPr>
          <w:p w:rsidR="00A41AD7" w:rsidRPr="00DF6B0C" w:rsidRDefault="00A41AD7" w:rsidP="00E7317C">
            <w:pPr>
              <w:rPr>
                <w:i/>
                <w:iCs/>
                <w:sz w:val="18"/>
                <w:szCs w:val="18"/>
              </w:rPr>
            </w:pPr>
            <w:r w:rsidRPr="00DF6B0C">
              <w:rPr>
                <w:i/>
                <w:iCs/>
                <w:sz w:val="18"/>
                <w:szCs w:val="18"/>
              </w:rPr>
              <w:t>Воздушные транспортные средства</w:t>
            </w:r>
          </w:p>
        </w:tc>
        <w:tc>
          <w:tcPr>
            <w:tcW w:w="402" w:type="pct"/>
            <w:shd w:val="clear" w:color="auto" w:fill="auto"/>
            <w:vAlign w:val="center"/>
            <w:hideMark/>
          </w:tcPr>
          <w:p w:rsidR="00A41AD7" w:rsidRPr="00DF6B0C" w:rsidRDefault="00A41AD7" w:rsidP="00E7317C">
            <w:pPr>
              <w:jc w:val="center"/>
              <w:rPr>
                <w:i/>
                <w:iCs/>
                <w:sz w:val="18"/>
                <w:szCs w:val="18"/>
              </w:rPr>
            </w:pPr>
            <w:r w:rsidRPr="00DF6B0C">
              <w:rPr>
                <w:i/>
                <w:iCs/>
                <w:sz w:val="18"/>
                <w:szCs w:val="18"/>
              </w:rPr>
              <w:t>отчет 5-ТН,стр.2360</w:t>
            </w:r>
          </w:p>
        </w:tc>
        <w:tc>
          <w:tcPr>
            <w:tcW w:w="337"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29</w:t>
            </w:r>
          </w:p>
        </w:tc>
        <w:tc>
          <w:tcPr>
            <w:tcW w:w="260"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111,5</w:t>
            </w:r>
          </w:p>
        </w:tc>
        <w:tc>
          <w:tcPr>
            <w:tcW w:w="324"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27</w:t>
            </w:r>
          </w:p>
        </w:tc>
        <w:tc>
          <w:tcPr>
            <w:tcW w:w="243"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93,1</w:t>
            </w:r>
          </w:p>
        </w:tc>
        <w:tc>
          <w:tcPr>
            <w:tcW w:w="344"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27</w:t>
            </w:r>
          </w:p>
        </w:tc>
        <w:tc>
          <w:tcPr>
            <w:tcW w:w="240"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100,0</w:t>
            </w:r>
          </w:p>
        </w:tc>
        <w:tc>
          <w:tcPr>
            <w:tcW w:w="331"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26</w:t>
            </w:r>
          </w:p>
        </w:tc>
        <w:tc>
          <w:tcPr>
            <w:tcW w:w="253"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96,3</w:t>
            </w:r>
          </w:p>
        </w:tc>
        <w:tc>
          <w:tcPr>
            <w:tcW w:w="318"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26</w:t>
            </w:r>
          </w:p>
        </w:tc>
        <w:tc>
          <w:tcPr>
            <w:tcW w:w="265" w:type="pct"/>
            <w:shd w:val="clear" w:color="auto" w:fill="auto"/>
            <w:noWrap/>
            <w:vAlign w:val="center"/>
            <w:hideMark/>
          </w:tcPr>
          <w:p w:rsidR="00A41AD7" w:rsidRPr="00DF6B0C" w:rsidRDefault="00A41AD7" w:rsidP="00E7317C">
            <w:pPr>
              <w:jc w:val="center"/>
              <w:rPr>
                <w:i/>
                <w:iCs/>
                <w:color w:val="000000"/>
                <w:sz w:val="18"/>
                <w:szCs w:val="18"/>
              </w:rPr>
            </w:pPr>
            <w:r w:rsidRPr="00DF6B0C">
              <w:rPr>
                <w:i/>
                <w:iCs/>
                <w:color w:val="000000"/>
                <w:sz w:val="18"/>
                <w:szCs w:val="18"/>
              </w:rPr>
              <w:t>100,0</w:t>
            </w:r>
          </w:p>
        </w:tc>
        <w:tc>
          <w:tcPr>
            <w:tcW w:w="305"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26</w:t>
            </w:r>
          </w:p>
        </w:tc>
        <w:tc>
          <w:tcPr>
            <w:tcW w:w="230" w:type="pct"/>
            <w:shd w:val="clear" w:color="auto" w:fill="auto"/>
            <w:noWrap/>
            <w:vAlign w:val="center"/>
            <w:hideMark/>
          </w:tcPr>
          <w:p w:rsidR="00A41AD7" w:rsidRPr="00DF6B0C" w:rsidRDefault="00A41AD7" w:rsidP="00E7317C">
            <w:pPr>
              <w:jc w:val="center"/>
              <w:rPr>
                <w:i/>
                <w:iCs/>
                <w:color w:val="000000"/>
                <w:sz w:val="18"/>
                <w:szCs w:val="18"/>
              </w:rPr>
            </w:pPr>
            <w:r w:rsidRPr="00DF6B0C">
              <w:rPr>
                <w:i/>
                <w:iCs/>
                <w:color w:val="000000"/>
                <w:sz w:val="18"/>
                <w:szCs w:val="18"/>
              </w:rPr>
              <w:t>100,0</w:t>
            </w:r>
          </w:p>
        </w:tc>
        <w:tc>
          <w:tcPr>
            <w:tcW w:w="340"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26</w:t>
            </w:r>
          </w:p>
        </w:tc>
        <w:tc>
          <w:tcPr>
            <w:tcW w:w="282" w:type="pct"/>
            <w:shd w:val="clear" w:color="auto" w:fill="auto"/>
            <w:noWrap/>
            <w:vAlign w:val="center"/>
            <w:hideMark/>
          </w:tcPr>
          <w:p w:rsidR="00A41AD7" w:rsidRPr="00DF6B0C" w:rsidRDefault="00A41AD7" w:rsidP="00E7317C">
            <w:pPr>
              <w:jc w:val="center"/>
              <w:rPr>
                <w:i/>
                <w:iCs/>
                <w:color w:val="000000"/>
                <w:sz w:val="18"/>
                <w:szCs w:val="18"/>
              </w:rPr>
            </w:pPr>
            <w:r w:rsidRPr="00DF6B0C">
              <w:rPr>
                <w:i/>
                <w:iCs/>
                <w:color w:val="000000"/>
                <w:sz w:val="18"/>
                <w:szCs w:val="18"/>
              </w:rPr>
              <w:t>100,0</w:t>
            </w:r>
          </w:p>
        </w:tc>
      </w:tr>
      <w:tr w:rsidR="00A41AD7" w:rsidRPr="00DF6B0C" w:rsidTr="00E7317C">
        <w:trPr>
          <w:trHeight w:val="1125"/>
        </w:trPr>
        <w:tc>
          <w:tcPr>
            <w:tcW w:w="526" w:type="pct"/>
            <w:shd w:val="clear" w:color="auto" w:fill="auto"/>
            <w:vAlign w:val="center"/>
            <w:hideMark/>
          </w:tcPr>
          <w:p w:rsidR="00A41AD7" w:rsidRPr="00DF6B0C" w:rsidRDefault="00A41AD7" w:rsidP="00E7317C">
            <w:pPr>
              <w:rPr>
                <w:b/>
                <w:bCs/>
                <w:sz w:val="18"/>
                <w:szCs w:val="18"/>
              </w:rPr>
            </w:pPr>
            <w:r w:rsidRPr="00DF6B0C">
              <w:rPr>
                <w:b/>
                <w:bCs/>
                <w:sz w:val="18"/>
                <w:szCs w:val="18"/>
              </w:rPr>
              <w:t>Сумма налога, подлежащего уплате в бюджет, в том числе по видам транспортных средств:</w:t>
            </w:r>
          </w:p>
        </w:tc>
        <w:tc>
          <w:tcPr>
            <w:tcW w:w="402" w:type="pct"/>
            <w:shd w:val="clear" w:color="auto" w:fill="auto"/>
            <w:vAlign w:val="center"/>
            <w:hideMark/>
          </w:tcPr>
          <w:p w:rsidR="00A41AD7" w:rsidRPr="00DF6B0C" w:rsidRDefault="00A41AD7" w:rsidP="00E7317C">
            <w:pPr>
              <w:jc w:val="center"/>
              <w:rPr>
                <w:b/>
                <w:bCs/>
                <w:sz w:val="18"/>
                <w:szCs w:val="18"/>
              </w:rPr>
            </w:pPr>
            <w:r w:rsidRPr="00DF6B0C">
              <w:rPr>
                <w:b/>
                <w:bCs/>
                <w:sz w:val="18"/>
                <w:szCs w:val="18"/>
              </w:rPr>
              <w:t>отчет 5-ТН,стр.2400</w:t>
            </w:r>
          </w:p>
        </w:tc>
        <w:tc>
          <w:tcPr>
            <w:tcW w:w="337" w:type="pct"/>
            <w:shd w:val="clear" w:color="auto" w:fill="auto"/>
            <w:vAlign w:val="center"/>
            <w:hideMark/>
          </w:tcPr>
          <w:p w:rsidR="00A41AD7" w:rsidRPr="00DF6B0C" w:rsidRDefault="00A41AD7" w:rsidP="00E7317C">
            <w:pPr>
              <w:jc w:val="center"/>
              <w:rPr>
                <w:b/>
                <w:bCs/>
                <w:color w:val="000000"/>
                <w:spacing w:val="-20"/>
                <w:sz w:val="18"/>
                <w:szCs w:val="18"/>
              </w:rPr>
            </w:pPr>
            <w:r w:rsidRPr="00DF6B0C">
              <w:rPr>
                <w:b/>
                <w:bCs/>
                <w:color w:val="000000"/>
                <w:spacing w:val="-20"/>
                <w:sz w:val="18"/>
                <w:szCs w:val="18"/>
              </w:rPr>
              <w:t>1 152 950</w:t>
            </w:r>
          </w:p>
        </w:tc>
        <w:tc>
          <w:tcPr>
            <w:tcW w:w="260" w:type="pct"/>
            <w:shd w:val="clear" w:color="auto" w:fill="auto"/>
            <w:vAlign w:val="center"/>
            <w:hideMark/>
          </w:tcPr>
          <w:p w:rsidR="00A41AD7" w:rsidRPr="00DF6B0C" w:rsidRDefault="00A41AD7" w:rsidP="00E7317C">
            <w:pPr>
              <w:jc w:val="center"/>
              <w:rPr>
                <w:b/>
                <w:bCs/>
                <w:color w:val="000000"/>
                <w:spacing w:val="-20"/>
                <w:sz w:val="18"/>
                <w:szCs w:val="18"/>
              </w:rPr>
            </w:pPr>
            <w:r w:rsidRPr="00DF6B0C">
              <w:rPr>
                <w:b/>
                <w:bCs/>
                <w:color w:val="000000"/>
                <w:spacing w:val="-20"/>
                <w:sz w:val="18"/>
                <w:szCs w:val="18"/>
              </w:rPr>
              <w:t>103,8</w:t>
            </w:r>
          </w:p>
        </w:tc>
        <w:tc>
          <w:tcPr>
            <w:tcW w:w="324" w:type="pct"/>
            <w:shd w:val="clear" w:color="auto" w:fill="auto"/>
            <w:vAlign w:val="center"/>
            <w:hideMark/>
          </w:tcPr>
          <w:p w:rsidR="00A41AD7" w:rsidRPr="00DF6B0C" w:rsidRDefault="00A41AD7" w:rsidP="00E7317C">
            <w:pPr>
              <w:jc w:val="center"/>
              <w:rPr>
                <w:b/>
                <w:bCs/>
                <w:color w:val="000000"/>
                <w:spacing w:val="-20"/>
                <w:sz w:val="18"/>
                <w:szCs w:val="18"/>
              </w:rPr>
            </w:pPr>
            <w:r w:rsidRPr="00DF6B0C">
              <w:rPr>
                <w:b/>
                <w:bCs/>
                <w:color w:val="000000"/>
                <w:spacing w:val="-20"/>
                <w:sz w:val="18"/>
                <w:szCs w:val="18"/>
              </w:rPr>
              <w:t>1 384 422</w:t>
            </w:r>
          </w:p>
        </w:tc>
        <w:tc>
          <w:tcPr>
            <w:tcW w:w="243" w:type="pct"/>
            <w:shd w:val="clear" w:color="auto" w:fill="auto"/>
            <w:vAlign w:val="center"/>
            <w:hideMark/>
          </w:tcPr>
          <w:p w:rsidR="00A41AD7" w:rsidRPr="00DF6B0C" w:rsidRDefault="00A41AD7" w:rsidP="00E7317C">
            <w:pPr>
              <w:jc w:val="center"/>
              <w:rPr>
                <w:b/>
                <w:bCs/>
                <w:color w:val="000000"/>
                <w:spacing w:val="-20"/>
                <w:sz w:val="18"/>
                <w:szCs w:val="18"/>
              </w:rPr>
            </w:pPr>
            <w:r w:rsidRPr="00DF6B0C">
              <w:rPr>
                <w:b/>
                <w:bCs/>
                <w:color w:val="000000"/>
                <w:spacing w:val="-20"/>
                <w:sz w:val="18"/>
                <w:szCs w:val="18"/>
              </w:rPr>
              <w:t>120,1</w:t>
            </w:r>
          </w:p>
        </w:tc>
        <w:tc>
          <w:tcPr>
            <w:tcW w:w="344" w:type="pct"/>
            <w:shd w:val="clear" w:color="auto" w:fill="auto"/>
            <w:vAlign w:val="center"/>
            <w:hideMark/>
          </w:tcPr>
          <w:p w:rsidR="00A41AD7" w:rsidRPr="00DF6B0C" w:rsidRDefault="00A41AD7" w:rsidP="00E7317C">
            <w:pPr>
              <w:jc w:val="center"/>
              <w:rPr>
                <w:b/>
                <w:bCs/>
                <w:color w:val="000000"/>
                <w:spacing w:val="-20"/>
                <w:sz w:val="18"/>
                <w:szCs w:val="18"/>
              </w:rPr>
            </w:pPr>
            <w:r w:rsidRPr="00DF6B0C">
              <w:rPr>
                <w:b/>
                <w:bCs/>
                <w:color w:val="000000"/>
                <w:spacing w:val="-20"/>
                <w:sz w:val="18"/>
                <w:szCs w:val="18"/>
              </w:rPr>
              <w:t>1 371 679</w:t>
            </w:r>
          </w:p>
        </w:tc>
        <w:tc>
          <w:tcPr>
            <w:tcW w:w="240" w:type="pct"/>
            <w:shd w:val="clear" w:color="auto" w:fill="auto"/>
            <w:vAlign w:val="center"/>
            <w:hideMark/>
          </w:tcPr>
          <w:p w:rsidR="00A41AD7" w:rsidRPr="00DF6B0C" w:rsidRDefault="00A41AD7" w:rsidP="00E7317C">
            <w:pPr>
              <w:jc w:val="center"/>
              <w:rPr>
                <w:b/>
                <w:bCs/>
                <w:color w:val="000000"/>
                <w:spacing w:val="-20"/>
                <w:sz w:val="18"/>
                <w:szCs w:val="18"/>
              </w:rPr>
            </w:pPr>
            <w:r w:rsidRPr="00DF6B0C">
              <w:rPr>
                <w:b/>
                <w:bCs/>
                <w:color w:val="000000"/>
                <w:spacing w:val="-20"/>
                <w:sz w:val="18"/>
                <w:szCs w:val="18"/>
              </w:rPr>
              <w:t>99,1</w:t>
            </w:r>
          </w:p>
        </w:tc>
        <w:tc>
          <w:tcPr>
            <w:tcW w:w="331" w:type="pct"/>
            <w:shd w:val="clear" w:color="auto" w:fill="auto"/>
            <w:vAlign w:val="center"/>
            <w:hideMark/>
          </w:tcPr>
          <w:p w:rsidR="00A41AD7" w:rsidRPr="00DF6B0C" w:rsidRDefault="00A41AD7" w:rsidP="00E7317C">
            <w:pPr>
              <w:jc w:val="center"/>
              <w:rPr>
                <w:b/>
                <w:bCs/>
                <w:color w:val="000000"/>
                <w:spacing w:val="-20"/>
                <w:sz w:val="18"/>
                <w:szCs w:val="18"/>
              </w:rPr>
            </w:pPr>
            <w:r w:rsidRPr="00DF6B0C">
              <w:rPr>
                <w:b/>
                <w:bCs/>
                <w:color w:val="000000"/>
                <w:spacing w:val="-20"/>
                <w:sz w:val="18"/>
                <w:szCs w:val="18"/>
              </w:rPr>
              <w:t>1 411 143</w:t>
            </w:r>
          </w:p>
        </w:tc>
        <w:tc>
          <w:tcPr>
            <w:tcW w:w="253" w:type="pct"/>
            <w:shd w:val="clear" w:color="auto" w:fill="auto"/>
            <w:vAlign w:val="center"/>
            <w:hideMark/>
          </w:tcPr>
          <w:p w:rsidR="00A41AD7" w:rsidRPr="00DF6B0C" w:rsidRDefault="00A41AD7" w:rsidP="00E7317C">
            <w:pPr>
              <w:jc w:val="center"/>
              <w:rPr>
                <w:b/>
                <w:bCs/>
                <w:color w:val="000000"/>
                <w:spacing w:val="-20"/>
                <w:sz w:val="18"/>
                <w:szCs w:val="18"/>
              </w:rPr>
            </w:pPr>
            <w:r w:rsidRPr="00DF6B0C">
              <w:rPr>
                <w:b/>
                <w:bCs/>
                <w:color w:val="000000"/>
                <w:spacing w:val="-20"/>
                <w:sz w:val="18"/>
                <w:szCs w:val="18"/>
              </w:rPr>
              <w:t>102,9</w:t>
            </w:r>
          </w:p>
        </w:tc>
        <w:tc>
          <w:tcPr>
            <w:tcW w:w="318" w:type="pct"/>
            <w:shd w:val="clear" w:color="auto" w:fill="auto"/>
            <w:noWrap/>
            <w:vAlign w:val="center"/>
            <w:hideMark/>
          </w:tcPr>
          <w:p w:rsidR="00A41AD7" w:rsidRPr="00DF6B0C" w:rsidRDefault="00A41AD7" w:rsidP="00E7317C">
            <w:pPr>
              <w:jc w:val="center"/>
              <w:rPr>
                <w:b/>
                <w:bCs/>
                <w:color w:val="000000"/>
                <w:spacing w:val="-20"/>
                <w:sz w:val="18"/>
                <w:szCs w:val="18"/>
              </w:rPr>
            </w:pPr>
            <w:r w:rsidRPr="00DF6B0C">
              <w:rPr>
                <w:b/>
                <w:bCs/>
                <w:color w:val="000000"/>
                <w:spacing w:val="-20"/>
                <w:sz w:val="18"/>
                <w:szCs w:val="18"/>
              </w:rPr>
              <w:t>1 443 305</w:t>
            </w:r>
          </w:p>
        </w:tc>
        <w:tc>
          <w:tcPr>
            <w:tcW w:w="265" w:type="pct"/>
            <w:shd w:val="clear" w:color="auto" w:fill="auto"/>
            <w:noWrap/>
            <w:vAlign w:val="center"/>
            <w:hideMark/>
          </w:tcPr>
          <w:p w:rsidR="00A41AD7" w:rsidRPr="00DF6B0C" w:rsidRDefault="00A41AD7" w:rsidP="00E7317C">
            <w:pPr>
              <w:jc w:val="center"/>
              <w:rPr>
                <w:b/>
                <w:bCs/>
                <w:i/>
                <w:iCs/>
                <w:color w:val="000000"/>
                <w:spacing w:val="-20"/>
                <w:sz w:val="18"/>
                <w:szCs w:val="18"/>
              </w:rPr>
            </w:pPr>
            <w:r w:rsidRPr="00DF6B0C">
              <w:rPr>
                <w:b/>
                <w:bCs/>
                <w:i/>
                <w:iCs/>
                <w:color w:val="000000"/>
                <w:spacing w:val="-20"/>
                <w:sz w:val="18"/>
                <w:szCs w:val="18"/>
              </w:rPr>
              <w:t>102,3</w:t>
            </w:r>
          </w:p>
        </w:tc>
        <w:tc>
          <w:tcPr>
            <w:tcW w:w="305" w:type="pct"/>
            <w:shd w:val="clear" w:color="auto" w:fill="auto"/>
            <w:noWrap/>
            <w:vAlign w:val="center"/>
            <w:hideMark/>
          </w:tcPr>
          <w:p w:rsidR="00A41AD7" w:rsidRPr="00DF6B0C" w:rsidRDefault="00A41AD7" w:rsidP="00E7317C">
            <w:pPr>
              <w:jc w:val="center"/>
              <w:rPr>
                <w:b/>
                <w:bCs/>
                <w:color w:val="000000"/>
                <w:spacing w:val="-20"/>
                <w:sz w:val="18"/>
                <w:szCs w:val="18"/>
              </w:rPr>
            </w:pPr>
            <w:r w:rsidRPr="00DF6B0C">
              <w:rPr>
                <w:b/>
                <w:bCs/>
                <w:color w:val="000000"/>
                <w:spacing w:val="-20"/>
                <w:sz w:val="18"/>
                <w:szCs w:val="18"/>
              </w:rPr>
              <w:t>1 483 024</w:t>
            </w:r>
          </w:p>
        </w:tc>
        <w:tc>
          <w:tcPr>
            <w:tcW w:w="230" w:type="pct"/>
            <w:shd w:val="clear" w:color="auto" w:fill="auto"/>
            <w:noWrap/>
            <w:vAlign w:val="center"/>
            <w:hideMark/>
          </w:tcPr>
          <w:p w:rsidR="00A41AD7" w:rsidRPr="00DF6B0C" w:rsidRDefault="00A41AD7" w:rsidP="00E7317C">
            <w:pPr>
              <w:jc w:val="center"/>
              <w:rPr>
                <w:b/>
                <w:bCs/>
                <w:i/>
                <w:iCs/>
                <w:color w:val="000000"/>
                <w:spacing w:val="-20"/>
                <w:sz w:val="18"/>
                <w:szCs w:val="18"/>
              </w:rPr>
            </w:pPr>
            <w:r w:rsidRPr="00DF6B0C">
              <w:rPr>
                <w:b/>
                <w:bCs/>
                <w:i/>
                <w:iCs/>
                <w:color w:val="000000"/>
                <w:spacing w:val="-20"/>
                <w:sz w:val="18"/>
                <w:szCs w:val="18"/>
              </w:rPr>
              <w:t>102,8</w:t>
            </w:r>
          </w:p>
        </w:tc>
        <w:tc>
          <w:tcPr>
            <w:tcW w:w="340" w:type="pct"/>
            <w:shd w:val="clear" w:color="auto" w:fill="auto"/>
            <w:noWrap/>
            <w:vAlign w:val="center"/>
            <w:hideMark/>
          </w:tcPr>
          <w:p w:rsidR="00A41AD7" w:rsidRPr="00DF6B0C" w:rsidRDefault="00A41AD7" w:rsidP="00E7317C">
            <w:pPr>
              <w:jc w:val="center"/>
              <w:rPr>
                <w:b/>
                <w:bCs/>
                <w:color w:val="000000"/>
                <w:spacing w:val="-20"/>
                <w:sz w:val="18"/>
                <w:szCs w:val="18"/>
              </w:rPr>
            </w:pPr>
            <w:r w:rsidRPr="00DF6B0C">
              <w:rPr>
                <w:b/>
                <w:bCs/>
                <w:color w:val="000000"/>
                <w:spacing w:val="-20"/>
                <w:sz w:val="18"/>
                <w:szCs w:val="18"/>
              </w:rPr>
              <w:t>1 523 455</w:t>
            </w:r>
          </w:p>
        </w:tc>
        <w:tc>
          <w:tcPr>
            <w:tcW w:w="282" w:type="pct"/>
            <w:shd w:val="clear" w:color="auto" w:fill="auto"/>
            <w:noWrap/>
            <w:vAlign w:val="center"/>
            <w:hideMark/>
          </w:tcPr>
          <w:p w:rsidR="00A41AD7" w:rsidRPr="00DF6B0C" w:rsidRDefault="00A41AD7" w:rsidP="00E7317C">
            <w:pPr>
              <w:jc w:val="center"/>
              <w:rPr>
                <w:b/>
                <w:bCs/>
                <w:i/>
                <w:iCs/>
                <w:color w:val="000000"/>
                <w:spacing w:val="-20"/>
                <w:sz w:val="18"/>
                <w:szCs w:val="18"/>
              </w:rPr>
            </w:pPr>
            <w:r w:rsidRPr="00DF6B0C">
              <w:rPr>
                <w:b/>
                <w:bCs/>
                <w:i/>
                <w:iCs/>
                <w:color w:val="000000"/>
                <w:spacing w:val="-20"/>
                <w:sz w:val="18"/>
                <w:szCs w:val="18"/>
              </w:rPr>
              <w:t>102,7</w:t>
            </w:r>
          </w:p>
        </w:tc>
      </w:tr>
      <w:tr w:rsidR="00A41AD7" w:rsidRPr="00DF6B0C" w:rsidTr="002A33AD">
        <w:trPr>
          <w:trHeight w:val="402"/>
        </w:trPr>
        <w:tc>
          <w:tcPr>
            <w:tcW w:w="526" w:type="pct"/>
            <w:shd w:val="clear" w:color="auto" w:fill="auto"/>
            <w:vAlign w:val="center"/>
            <w:hideMark/>
          </w:tcPr>
          <w:p w:rsidR="00A41AD7" w:rsidRPr="00DF6B0C" w:rsidRDefault="00A41AD7" w:rsidP="00E7317C">
            <w:pPr>
              <w:rPr>
                <w:i/>
                <w:iCs/>
                <w:sz w:val="18"/>
                <w:szCs w:val="18"/>
              </w:rPr>
            </w:pPr>
            <w:r w:rsidRPr="00DF6B0C">
              <w:rPr>
                <w:i/>
                <w:iCs/>
                <w:sz w:val="18"/>
                <w:szCs w:val="18"/>
              </w:rPr>
              <w:t>Автомобили легковые с мощностью двигателя:</w:t>
            </w:r>
          </w:p>
        </w:tc>
        <w:tc>
          <w:tcPr>
            <w:tcW w:w="402" w:type="pct"/>
            <w:shd w:val="clear" w:color="auto" w:fill="auto"/>
            <w:vAlign w:val="center"/>
            <w:hideMark/>
          </w:tcPr>
          <w:p w:rsidR="00A41AD7" w:rsidRPr="00DF6B0C" w:rsidRDefault="00A41AD7" w:rsidP="00E7317C">
            <w:pPr>
              <w:jc w:val="center"/>
              <w:rPr>
                <w:i/>
                <w:iCs/>
                <w:sz w:val="18"/>
                <w:szCs w:val="18"/>
              </w:rPr>
            </w:pPr>
            <w:r w:rsidRPr="00DF6B0C">
              <w:rPr>
                <w:i/>
                <w:iCs/>
                <w:sz w:val="18"/>
                <w:szCs w:val="18"/>
              </w:rPr>
              <w:t>отчет 5-ТН,стр.2411</w:t>
            </w:r>
          </w:p>
        </w:tc>
        <w:tc>
          <w:tcPr>
            <w:tcW w:w="337" w:type="pct"/>
            <w:shd w:val="clear" w:color="auto" w:fill="auto"/>
            <w:vAlign w:val="center"/>
            <w:hideMark/>
          </w:tcPr>
          <w:p w:rsidR="00A41AD7" w:rsidRPr="00DF6B0C" w:rsidRDefault="00A41AD7" w:rsidP="00E7317C">
            <w:pPr>
              <w:jc w:val="center"/>
              <w:rPr>
                <w:spacing w:val="-20"/>
                <w:sz w:val="18"/>
                <w:szCs w:val="18"/>
              </w:rPr>
            </w:pPr>
            <w:r w:rsidRPr="00DF6B0C">
              <w:rPr>
                <w:spacing w:val="-20"/>
                <w:sz w:val="18"/>
                <w:szCs w:val="18"/>
              </w:rPr>
              <w:t>822 894</w:t>
            </w:r>
          </w:p>
        </w:tc>
        <w:tc>
          <w:tcPr>
            <w:tcW w:w="260" w:type="pct"/>
            <w:shd w:val="clear" w:color="auto" w:fill="auto"/>
            <w:vAlign w:val="center"/>
            <w:hideMark/>
          </w:tcPr>
          <w:p w:rsidR="00A41AD7" w:rsidRPr="00DF6B0C" w:rsidRDefault="00A41AD7" w:rsidP="00E7317C">
            <w:pPr>
              <w:jc w:val="center"/>
              <w:rPr>
                <w:spacing w:val="-20"/>
                <w:sz w:val="18"/>
                <w:szCs w:val="18"/>
              </w:rPr>
            </w:pPr>
            <w:r w:rsidRPr="00DF6B0C">
              <w:rPr>
                <w:spacing w:val="-20"/>
                <w:sz w:val="18"/>
                <w:szCs w:val="18"/>
              </w:rPr>
              <w:t>105,6</w:t>
            </w:r>
          </w:p>
        </w:tc>
        <w:tc>
          <w:tcPr>
            <w:tcW w:w="324" w:type="pct"/>
            <w:shd w:val="clear" w:color="auto" w:fill="auto"/>
            <w:vAlign w:val="center"/>
            <w:hideMark/>
          </w:tcPr>
          <w:p w:rsidR="00A41AD7" w:rsidRPr="00DF6B0C" w:rsidRDefault="00A41AD7" w:rsidP="00E7317C">
            <w:pPr>
              <w:jc w:val="center"/>
              <w:rPr>
                <w:color w:val="000000"/>
                <w:spacing w:val="-20"/>
                <w:sz w:val="18"/>
                <w:szCs w:val="18"/>
              </w:rPr>
            </w:pPr>
            <w:r w:rsidRPr="00DF6B0C">
              <w:rPr>
                <w:color w:val="000000"/>
                <w:spacing w:val="-20"/>
                <w:sz w:val="18"/>
                <w:szCs w:val="18"/>
              </w:rPr>
              <w:t>1 011 584</w:t>
            </w:r>
          </w:p>
        </w:tc>
        <w:tc>
          <w:tcPr>
            <w:tcW w:w="243" w:type="pct"/>
            <w:shd w:val="clear" w:color="auto" w:fill="auto"/>
            <w:vAlign w:val="center"/>
            <w:hideMark/>
          </w:tcPr>
          <w:p w:rsidR="00A41AD7" w:rsidRPr="00DF6B0C" w:rsidRDefault="00A41AD7" w:rsidP="00E7317C">
            <w:pPr>
              <w:jc w:val="center"/>
              <w:rPr>
                <w:spacing w:val="-20"/>
                <w:sz w:val="18"/>
                <w:szCs w:val="18"/>
              </w:rPr>
            </w:pPr>
            <w:r w:rsidRPr="00DF6B0C">
              <w:rPr>
                <w:spacing w:val="-20"/>
                <w:sz w:val="18"/>
                <w:szCs w:val="18"/>
              </w:rPr>
              <w:t>122,9</w:t>
            </w:r>
          </w:p>
        </w:tc>
        <w:tc>
          <w:tcPr>
            <w:tcW w:w="344" w:type="pct"/>
            <w:shd w:val="clear" w:color="auto" w:fill="auto"/>
            <w:vAlign w:val="center"/>
            <w:hideMark/>
          </w:tcPr>
          <w:p w:rsidR="00A41AD7" w:rsidRPr="00DF6B0C" w:rsidRDefault="00A41AD7" w:rsidP="00E7317C">
            <w:pPr>
              <w:jc w:val="center"/>
              <w:rPr>
                <w:spacing w:val="-20"/>
                <w:sz w:val="18"/>
                <w:szCs w:val="18"/>
              </w:rPr>
            </w:pPr>
            <w:r w:rsidRPr="00DF6B0C">
              <w:rPr>
                <w:spacing w:val="-20"/>
                <w:sz w:val="18"/>
                <w:szCs w:val="18"/>
              </w:rPr>
              <w:t>1 020 626</w:t>
            </w:r>
          </w:p>
        </w:tc>
        <w:tc>
          <w:tcPr>
            <w:tcW w:w="240" w:type="pct"/>
            <w:shd w:val="clear" w:color="auto" w:fill="auto"/>
            <w:vAlign w:val="center"/>
            <w:hideMark/>
          </w:tcPr>
          <w:p w:rsidR="00A41AD7" w:rsidRPr="00DF6B0C" w:rsidRDefault="00A41AD7" w:rsidP="00E7317C">
            <w:pPr>
              <w:jc w:val="center"/>
              <w:rPr>
                <w:spacing w:val="-20"/>
                <w:sz w:val="18"/>
                <w:szCs w:val="18"/>
              </w:rPr>
            </w:pPr>
            <w:r w:rsidRPr="00DF6B0C">
              <w:rPr>
                <w:spacing w:val="-20"/>
                <w:sz w:val="18"/>
                <w:szCs w:val="18"/>
              </w:rPr>
              <w:t>100,9</w:t>
            </w:r>
          </w:p>
        </w:tc>
        <w:tc>
          <w:tcPr>
            <w:tcW w:w="331" w:type="pct"/>
            <w:shd w:val="clear" w:color="auto" w:fill="auto"/>
            <w:vAlign w:val="center"/>
            <w:hideMark/>
          </w:tcPr>
          <w:p w:rsidR="00A41AD7" w:rsidRPr="00DF6B0C" w:rsidRDefault="00A41AD7" w:rsidP="00E7317C">
            <w:pPr>
              <w:jc w:val="center"/>
              <w:rPr>
                <w:spacing w:val="-20"/>
                <w:sz w:val="18"/>
                <w:szCs w:val="18"/>
              </w:rPr>
            </w:pPr>
            <w:r w:rsidRPr="00DF6B0C">
              <w:rPr>
                <w:spacing w:val="-20"/>
                <w:sz w:val="18"/>
                <w:szCs w:val="18"/>
              </w:rPr>
              <w:t>1 049 754</w:t>
            </w:r>
          </w:p>
        </w:tc>
        <w:tc>
          <w:tcPr>
            <w:tcW w:w="253" w:type="pct"/>
            <w:shd w:val="clear" w:color="auto" w:fill="auto"/>
            <w:vAlign w:val="center"/>
            <w:hideMark/>
          </w:tcPr>
          <w:p w:rsidR="00A41AD7" w:rsidRPr="00DF6B0C" w:rsidRDefault="00A41AD7" w:rsidP="00E7317C">
            <w:pPr>
              <w:jc w:val="center"/>
              <w:rPr>
                <w:spacing w:val="-20"/>
                <w:sz w:val="18"/>
                <w:szCs w:val="18"/>
              </w:rPr>
            </w:pPr>
            <w:r w:rsidRPr="00DF6B0C">
              <w:rPr>
                <w:spacing w:val="-20"/>
                <w:sz w:val="18"/>
                <w:szCs w:val="18"/>
              </w:rPr>
              <w:t>102,9</w:t>
            </w:r>
          </w:p>
        </w:tc>
        <w:tc>
          <w:tcPr>
            <w:tcW w:w="318" w:type="pct"/>
            <w:shd w:val="clear" w:color="auto" w:fill="auto"/>
            <w:noWrap/>
            <w:vAlign w:val="center"/>
            <w:hideMark/>
          </w:tcPr>
          <w:p w:rsidR="00A41AD7" w:rsidRPr="00DF6B0C" w:rsidRDefault="00A41AD7" w:rsidP="00E7317C">
            <w:pPr>
              <w:jc w:val="center"/>
              <w:rPr>
                <w:spacing w:val="-20"/>
                <w:sz w:val="18"/>
                <w:szCs w:val="18"/>
              </w:rPr>
            </w:pPr>
            <w:r w:rsidRPr="00DF6B0C">
              <w:rPr>
                <w:spacing w:val="-20"/>
                <w:sz w:val="18"/>
                <w:szCs w:val="18"/>
              </w:rPr>
              <w:t>1 076 976</w:t>
            </w:r>
          </w:p>
        </w:tc>
        <w:tc>
          <w:tcPr>
            <w:tcW w:w="265" w:type="pct"/>
            <w:shd w:val="clear" w:color="auto" w:fill="auto"/>
            <w:noWrap/>
            <w:vAlign w:val="center"/>
            <w:hideMark/>
          </w:tcPr>
          <w:p w:rsidR="00A41AD7" w:rsidRPr="00DF6B0C" w:rsidRDefault="00A41AD7" w:rsidP="00E7317C">
            <w:pPr>
              <w:jc w:val="center"/>
              <w:rPr>
                <w:i/>
                <w:iCs/>
                <w:spacing w:val="-20"/>
                <w:sz w:val="18"/>
                <w:szCs w:val="18"/>
              </w:rPr>
            </w:pPr>
            <w:r w:rsidRPr="00DF6B0C">
              <w:rPr>
                <w:i/>
                <w:iCs/>
                <w:spacing w:val="-20"/>
                <w:sz w:val="18"/>
                <w:szCs w:val="18"/>
              </w:rPr>
              <w:t>102,6</w:t>
            </w:r>
          </w:p>
        </w:tc>
        <w:tc>
          <w:tcPr>
            <w:tcW w:w="305" w:type="pct"/>
            <w:shd w:val="clear" w:color="auto" w:fill="auto"/>
            <w:noWrap/>
            <w:vAlign w:val="center"/>
            <w:hideMark/>
          </w:tcPr>
          <w:p w:rsidR="00A41AD7" w:rsidRPr="00DF6B0C" w:rsidRDefault="00A41AD7" w:rsidP="00E7317C">
            <w:pPr>
              <w:jc w:val="center"/>
              <w:rPr>
                <w:spacing w:val="-20"/>
                <w:sz w:val="18"/>
                <w:szCs w:val="18"/>
              </w:rPr>
            </w:pPr>
            <w:r w:rsidRPr="00DF6B0C">
              <w:rPr>
                <w:spacing w:val="-20"/>
                <w:sz w:val="18"/>
                <w:szCs w:val="18"/>
              </w:rPr>
              <w:t>1 107 582</w:t>
            </w:r>
          </w:p>
        </w:tc>
        <w:tc>
          <w:tcPr>
            <w:tcW w:w="230" w:type="pct"/>
            <w:shd w:val="clear" w:color="auto" w:fill="auto"/>
            <w:noWrap/>
            <w:vAlign w:val="center"/>
            <w:hideMark/>
          </w:tcPr>
          <w:p w:rsidR="00A41AD7" w:rsidRPr="00DF6B0C" w:rsidRDefault="00A41AD7" w:rsidP="00E7317C">
            <w:pPr>
              <w:jc w:val="center"/>
              <w:rPr>
                <w:i/>
                <w:iCs/>
                <w:spacing w:val="-20"/>
                <w:sz w:val="18"/>
                <w:szCs w:val="18"/>
              </w:rPr>
            </w:pPr>
            <w:r w:rsidRPr="00DF6B0C">
              <w:rPr>
                <w:i/>
                <w:iCs/>
                <w:spacing w:val="-20"/>
                <w:sz w:val="18"/>
                <w:szCs w:val="18"/>
              </w:rPr>
              <w:t>102,8</w:t>
            </w:r>
          </w:p>
        </w:tc>
        <w:tc>
          <w:tcPr>
            <w:tcW w:w="340" w:type="pct"/>
            <w:shd w:val="clear" w:color="auto" w:fill="auto"/>
            <w:noWrap/>
            <w:vAlign w:val="center"/>
            <w:hideMark/>
          </w:tcPr>
          <w:p w:rsidR="00A41AD7" w:rsidRPr="00DF6B0C" w:rsidRDefault="00A41AD7" w:rsidP="00E7317C">
            <w:pPr>
              <w:jc w:val="center"/>
              <w:rPr>
                <w:spacing w:val="-20"/>
                <w:sz w:val="18"/>
                <w:szCs w:val="18"/>
              </w:rPr>
            </w:pPr>
            <w:r w:rsidRPr="00DF6B0C">
              <w:rPr>
                <w:spacing w:val="-20"/>
                <w:sz w:val="18"/>
                <w:szCs w:val="18"/>
              </w:rPr>
              <w:t>1 139 635</w:t>
            </w:r>
          </w:p>
        </w:tc>
        <w:tc>
          <w:tcPr>
            <w:tcW w:w="282" w:type="pct"/>
            <w:shd w:val="clear" w:color="auto" w:fill="auto"/>
            <w:noWrap/>
            <w:vAlign w:val="center"/>
            <w:hideMark/>
          </w:tcPr>
          <w:p w:rsidR="00A41AD7" w:rsidRPr="00DF6B0C" w:rsidRDefault="00A41AD7" w:rsidP="00E7317C">
            <w:pPr>
              <w:jc w:val="center"/>
              <w:rPr>
                <w:i/>
                <w:iCs/>
                <w:spacing w:val="-20"/>
                <w:sz w:val="18"/>
                <w:szCs w:val="18"/>
              </w:rPr>
            </w:pPr>
            <w:r w:rsidRPr="00DF6B0C">
              <w:rPr>
                <w:i/>
                <w:iCs/>
                <w:spacing w:val="-20"/>
                <w:sz w:val="18"/>
                <w:szCs w:val="18"/>
              </w:rPr>
              <w:t>102,9</w:t>
            </w:r>
          </w:p>
        </w:tc>
      </w:tr>
      <w:tr w:rsidR="00A41AD7" w:rsidRPr="00DF6B0C" w:rsidTr="002A33AD">
        <w:trPr>
          <w:trHeight w:val="408"/>
        </w:trPr>
        <w:tc>
          <w:tcPr>
            <w:tcW w:w="526" w:type="pct"/>
            <w:shd w:val="clear" w:color="auto" w:fill="auto"/>
            <w:vAlign w:val="center"/>
            <w:hideMark/>
          </w:tcPr>
          <w:p w:rsidR="00A41AD7" w:rsidRPr="00DF6B0C" w:rsidRDefault="00A41AD7" w:rsidP="00E7317C">
            <w:pPr>
              <w:rPr>
                <w:sz w:val="18"/>
                <w:szCs w:val="18"/>
              </w:rPr>
            </w:pPr>
            <w:r w:rsidRPr="00DF6B0C">
              <w:rPr>
                <w:sz w:val="18"/>
                <w:szCs w:val="18"/>
              </w:rPr>
              <w:t>до 100 л.с. (до 73,55 кВт) включительно</w:t>
            </w:r>
          </w:p>
        </w:tc>
        <w:tc>
          <w:tcPr>
            <w:tcW w:w="402" w:type="pct"/>
            <w:shd w:val="clear" w:color="auto" w:fill="auto"/>
            <w:vAlign w:val="center"/>
            <w:hideMark/>
          </w:tcPr>
          <w:p w:rsidR="00A41AD7" w:rsidRPr="00DF6B0C" w:rsidRDefault="00A41AD7" w:rsidP="00E7317C">
            <w:pPr>
              <w:jc w:val="center"/>
              <w:rPr>
                <w:sz w:val="18"/>
                <w:szCs w:val="18"/>
              </w:rPr>
            </w:pPr>
            <w:r w:rsidRPr="00DF6B0C">
              <w:rPr>
                <w:sz w:val="18"/>
                <w:szCs w:val="18"/>
              </w:rPr>
              <w:t>отчет 5-ТН,стр.2412</w:t>
            </w:r>
          </w:p>
        </w:tc>
        <w:tc>
          <w:tcPr>
            <w:tcW w:w="337"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134 718</w:t>
            </w:r>
          </w:p>
        </w:tc>
        <w:tc>
          <w:tcPr>
            <w:tcW w:w="260"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98,2</w:t>
            </w:r>
          </w:p>
        </w:tc>
        <w:tc>
          <w:tcPr>
            <w:tcW w:w="324"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134 973</w:t>
            </w:r>
          </w:p>
        </w:tc>
        <w:tc>
          <w:tcPr>
            <w:tcW w:w="243"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100,2</w:t>
            </w:r>
          </w:p>
        </w:tc>
        <w:tc>
          <w:tcPr>
            <w:tcW w:w="344"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125 029</w:t>
            </w:r>
          </w:p>
        </w:tc>
        <w:tc>
          <w:tcPr>
            <w:tcW w:w="240"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92,6</w:t>
            </w:r>
          </w:p>
        </w:tc>
        <w:tc>
          <w:tcPr>
            <w:tcW w:w="331"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123 189</w:t>
            </w:r>
          </w:p>
        </w:tc>
        <w:tc>
          <w:tcPr>
            <w:tcW w:w="253"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98,5</w:t>
            </w:r>
          </w:p>
        </w:tc>
        <w:tc>
          <w:tcPr>
            <w:tcW w:w="318"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120 479</w:t>
            </w:r>
          </w:p>
        </w:tc>
        <w:tc>
          <w:tcPr>
            <w:tcW w:w="265" w:type="pct"/>
            <w:shd w:val="clear" w:color="auto" w:fill="auto"/>
            <w:noWrap/>
            <w:vAlign w:val="center"/>
            <w:hideMark/>
          </w:tcPr>
          <w:p w:rsidR="00A41AD7" w:rsidRPr="00DF6B0C" w:rsidRDefault="00A41AD7" w:rsidP="00E7317C">
            <w:pPr>
              <w:jc w:val="center"/>
              <w:rPr>
                <w:i/>
                <w:iCs/>
                <w:color w:val="000000"/>
                <w:sz w:val="18"/>
                <w:szCs w:val="18"/>
              </w:rPr>
            </w:pPr>
            <w:r w:rsidRPr="00DF6B0C">
              <w:rPr>
                <w:i/>
                <w:iCs/>
                <w:color w:val="000000"/>
                <w:sz w:val="18"/>
                <w:szCs w:val="18"/>
              </w:rPr>
              <w:t>97,8</w:t>
            </w:r>
          </w:p>
        </w:tc>
        <w:tc>
          <w:tcPr>
            <w:tcW w:w="305"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117 949</w:t>
            </w:r>
          </w:p>
        </w:tc>
        <w:tc>
          <w:tcPr>
            <w:tcW w:w="230" w:type="pct"/>
            <w:shd w:val="clear" w:color="auto" w:fill="auto"/>
            <w:noWrap/>
            <w:vAlign w:val="center"/>
            <w:hideMark/>
          </w:tcPr>
          <w:p w:rsidR="00A41AD7" w:rsidRPr="00DF6B0C" w:rsidRDefault="00A41AD7" w:rsidP="00E7317C">
            <w:pPr>
              <w:jc w:val="center"/>
              <w:rPr>
                <w:i/>
                <w:iCs/>
                <w:color w:val="000000"/>
                <w:sz w:val="18"/>
                <w:szCs w:val="18"/>
              </w:rPr>
            </w:pPr>
            <w:r w:rsidRPr="00DF6B0C">
              <w:rPr>
                <w:i/>
                <w:iCs/>
                <w:color w:val="000000"/>
                <w:sz w:val="18"/>
                <w:szCs w:val="18"/>
              </w:rPr>
              <w:t>97,9</w:t>
            </w:r>
          </w:p>
        </w:tc>
        <w:tc>
          <w:tcPr>
            <w:tcW w:w="340"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115 472</w:t>
            </w:r>
          </w:p>
        </w:tc>
        <w:tc>
          <w:tcPr>
            <w:tcW w:w="282" w:type="pct"/>
            <w:shd w:val="clear" w:color="auto" w:fill="auto"/>
            <w:noWrap/>
            <w:vAlign w:val="center"/>
            <w:hideMark/>
          </w:tcPr>
          <w:p w:rsidR="00A41AD7" w:rsidRPr="00DF6B0C" w:rsidRDefault="00A41AD7" w:rsidP="00E7317C">
            <w:pPr>
              <w:jc w:val="center"/>
              <w:rPr>
                <w:i/>
                <w:iCs/>
                <w:color w:val="000000"/>
                <w:sz w:val="18"/>
                <w:szCs w:val="18"/>
              </w:rPr>
            </w:pPr>
            <w:r w:rsidRPr="00DF6B0C">
              <w:rPr>
                <w:i/>
                <w:iCs/>
                <w:color w:val="000000"/>
                <w:sz w:val="18"/>
                <w:szCs w:val="18"/>
              </w:rPr>
              <w:t>97,9</w:t>
            </w:r>
          </w:p>
        </w:tc>
      </w:tr>
      <w:tr w:rsidR="00A41AD7" w:rsidRPr="00DF6B0C" w:rsidTr="002A33AD">
        <w:trPr>
          <w:trHeight w:val="413"/>
        </w:trPr>
        <w:tc>
          <w:tcPr>
            <w:tcW w:w="526" w:type="pct"/>
            <w:shd w:val="clear" w:color="auto" w:fill="auto"/>
            <w:vAlign w:val="center"/>
            <w:hideMark/>
          </w:tcPr>
          <w:p w:rsidR="00A41AD7" w:rsidRPr="00DF6B0C" w:rsidRDefault="00A41AD7" w:rsidP="00E7317C">
            <w:pPr>
              <w:rPr>
                <w:sz w:val="18"/>
                <w:szCs w:val="18"/>
              </w:rPr>
            </w:pPr>
            <w:r w:rsidRPr="00DF6B0C">
              <w:rPr>
                <w:sz w:val="18"/>
                <w:szCs w:val="18"/>
              </w:rPr>
              <w:t>свыше 100 л.с. до 150 л.с. (свыше 73,55 кВт до 110,33 кВт) включительно</w:t>
            </w:r>
          </w:p>
        </w:tc>
        <w:tc>
          <w:tcPr>
            <w:tcW w:w="402" w:type="pct"/>
            <w:shd w:val="clear" w:color="auto" w:fill="auto"/>
            <w:vAlign w:val="center"/>
            <w:hideMark/>
          </w:tcPr>
          <w:p w:rsidR="00A41AD7" w:rsidRPr="00DF6B0C" w:rsidRDefault="00A41AD7" w:rsidP="00E7317C">
            <w:pPr>
              <w:jc w:val="center"/>
              <w:rPr>
                <w:sz w:val="18"/>
                <w:szCs w:val="18"/>
              </w:rPr>
            </w:pPr>
            <w:r w:rsidRPr="00DF6B0C">
              <w:rPr>
                <w:sz w:val="18"/>
                <w:szCs w:val="18"/>
              </w:rPr>
              <w:t>отчет 5-ТН,стр.2413</w:t>
            </w:r>
          </w:p>
        </w:tc>
        <w:tc>
          <w:tcPr>
            <w:tcW w:w="337"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348 397</w:t>
            </w:r>
          </w:p>
        </w:tc>
        <w:tc>
          <w:tcPr>
            <w:tcW w:w="260"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106,8</w:t>
            </w:r>
          </w:p>
        </w:tc>
        <w:tc>
          <w:tcPr>
            <w:tcW w:w="324"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372 664</w:t>
            </w:r>
          </w:p>
        </w:tc>
        <w:tc>
          <w:tcPr>
            <w:tcW w:w="243"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107,0</w:t>
            </w:r>
          </w:p>
        </w:tc>
        <w:tc>
          <w:tcPr>
            <w:tcW w:w="344"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388 925</w:t>
            </w:r>
          </w:p>
        </w:tc>
        <w:tc>
          <w:tcPr>
            <w:tcW w:w="240"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104,4</w:t>
            </w:r>
          </w:p>
        </w:tc>
        <w:tc>
          <w:tcPr>
            <w:tcW w:w="331"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410 812</w:t>
            </w:r>
          </w:p>
        </w:tc>
        <w:tc>
          <w:tcPr>
            <w:tcW w:w="253"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105,6</w:t>
            </w:r>
          </w:p>
        </w:tc>
        <w:tc>
          <w:tcPr>
            <w:tcW w:w="318"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431 764</w:t>
            </w:r>
          </w:p>
        </w:tc>
        <w:tc>
          <w:tcPr>
            <w:tcW w:w="265" w:type="pct"/>
            <w:shd w:val="clear" w:color="auto" w:fill="auto"/>
            <w:noWrap/>
            <w:vAlign w:val="center"/>
            <w:hideMark/>
          </w:tcPr>
          <w:p w:rsidR="00A41AD7" w:rsidRPr="00DF6B0C" w:rsidRDefault="00A41AD7" w:rsidP="00E7317C">
            <w:pPr>
              <w:jc w:val="center"/>
              <w:rPr>
                <w:i/>
                <w:iCs/>
                <w:color w:val="000000"/>
                <w:sz w:val="18"/>
                <w:szCs w:val="18"/>
              </w:rPr>
            </w:pPr>
            <w:r w:rsidRPr="00DF6B0C">
              <w:rPr>
                <w:i/>
                <w:iCs/>
                <w:color w:val="000000"/>
                <w:sz w:val="18"/>
                <w:szCs w:val="18"/>
              </w:rPr>
              <w:t>105,1</w:t>
            </w:r>
          </w:p>
        </w:tc>
        <w:tc>
          <w:tcPr>
            <w:tcW w:w="305"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454 646</w:t>
            </w:r>
          </w:p>
        </w:tc>
        <w:tc>
          <w:tcPr>
            <w:tcW w:w="230" w:type="pct"/>
            <w:shd w:val="clear" w:color="auto" w:fill="auto"/>
            <w:noWrap/>
            <w:vAlign w:val="center"/>
            <w:hideMark/>
          </w:tcPr>
          <w:p w:rsidR="00A41AD7" w:rsidRPr="00DF6B0C" w:rsidRDefault="00A41AD7" w:rsidP="00E7317C">
            <w:pPr>
              <w:jc w:val="center"/>
              <w:rPr>
                <w:i/>
                <w:iCs/>
                <w:color w:val="000000"/>
                <w:sz w:val="18"/>
                <w:szCs w:val="18"/>
              </w:rPr>
            </w:pPr>
            <w:r w:rsidRPr="00DF6B0C">
              <w:rPr>
                <w:i/>
                <w:iCs/>
                <w:color w:val="000000"/>
                <w:sz w:val="18"/>
                <w:szCs w:val="18"/>
              </w:rPr>
              <w:t>105,3</w:t>
            </w:r>
          </w:p>
        </w:tc>
        <w:tc>
          <w:tcPr>
            <w:tcW w:w="340"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478 287</w:t>
            </w:r>
          </w:p>
        </w:tc>
        <w:tc>
          <w:tcPr>
            <w:tcW w:w="282" w:type="pct"/>
            <w:shd w:val="clear" w:color="auto" w:fill="auto"/>
            <w:noWrap/>
            <w:vAlign w:val="center"/>
            <w:hideMark/>
          </w:tcPr>
          <w:p w:rsidR="00A41AD7" w:rsidRPr="00DF6B0C" w:rsidRDefault="00A41AD7" w:rsidP="00E7317C">
            <w:pPr>
              <w:jc w:val="center"/>
              <w:rPr>
                <w:i/>
                <w:iCs/>
                <w:color w:val="000000"/>
                <w:sz w:val="18"/>
                <w:szCs w:val="18"/>
              </w:rPr>
            </w:pPr>
            <w:r w:rsidRPr="00DF6B0C">
              <w:rPr>
                <w:i/>
                <w:iCs/>
                <w:color w:val="000000"/>
                <w:sz w:val="18"/>
                <w:szCs w:val="18"/>
              </w:rPr>
              <w:t>105,2</w:t>
            </w:r>
          </w:p>
        </w:tc>
      </w:tr>
      <w:tr w:rsidR="00A41AD7" w:rsidRPr="00DF6B0C" w:rsidTr="002A33AD">
        <w:trPr>
          <w:trHeight w:val="479"/>
        </w:trPr>
        <w:tc>
          <w:tcPr>
            <w:tcW w:w="526" w:type="pct"/>
            <w:shd w:val="clear" w:color="auto" w:fill="auto"/>
            <w:vAlign w:val="center"/>
            <w:hideMark/>
          </w:tcPr>
          <w:p w:rsidR="00A41AD7" w:rsidRPr="00DF6B0C" w:rsidRDefault="00A41AD7" w:rsidP="00E7317C">
            <w:pPr>
              <w:rPr>
                <w:sz w:val="18"/>
                <w:szCs w:val="18"/>
              </w:rPr>
            </w:pPr>
            <w:r w:rsidRPr="00DF6B0C">
              <w:rPr>
                <w:sz w:val="18"/>
                <w:szCs w:val="18"/>
              </w:rPr>
              <w:t>свыше 150 л.с. до 200 л.с. (свыше 110,33 кВт до 147,1 кВт) включительно</w:t>
            </w:r>
          </w:p>
        </w:tc>
        <w:tc>
          <w:tcPr>
            <w:tcW w:w="402" w:type="pct"/>
            <w:shd w:val="clear" w:color="auto" w:fill="auto"/>
            <w:vAlign w:val="center"/>
            <w:hideMark/>
          </w:tcPr>
          <w:p w:rsidR="00A41AD7" w:rsidRPr="00DF6B0C" w:rsidRDefault="00A41AD7" w:rsidP="00E7317C">
            <w:pPr>
              <w:jc w:val="center"/>
              <w:rPr>
                <w:sz w:val="18"/>
                <w:szCs w:val="18"/>
              </w:rPr>
            </w:pPr>
            <w:r w:rsidRPr="00DF6B0C">
              <w:rPr>
                <w:sz w:val="18"/>
                <w:szCs w:val="18"/>
              </w:rPr>
              <w:t>отчет 5-ТН,стр.2414</w:t>
            </w:r>
          </w:p>
        </w:tc>
        <w:tc>
          <w:tcPr>
            <w:tcW w:w="337"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118 601</w:t>
            </w:r>
          </w:p>
        </w:tc>
        <w:tc>
          <w:tcPr>
            <w:tcW w:w="260"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106,2</w:t>
            </w:r>
          </w:p>
        </w:tc>
        <w:tc>
          <w:tcPr>
            <w:tcW w:w="324"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125 253</w:t>
            </w:r>
          </w:p>
        </w:tc>
        <w:tc>
          <w:tcPr>
            <w:tcW w:w="243"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105,6</w:t>
            </w:r>
          </w:p>
        </w:tc>
        <w:tc>
          <w:tcPr>
            <w:tcW w:w="344"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130 371</w:t>
            </w:r>
          </w:p>
        </w:tc>
        <w:tc>
          <w:tcPr>
            <w:tcW w:w="240"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104,1</w:t>
            </w:r>
          </w:p>
        </w:tc>
        <w:tc>
          <w:tcPr>
            <w:tcW w:w="331"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136 506</w:t>
            </w:r>
          </w:p>
        </w:tc>
        <w:tc>
          <w:tcPr>
            <w:tcW w:w="253"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104,7</w:t>
            </w:r>
          </w:p>
        </w:tc>
        <w:tc>
          <w:tcPr>
            <w:tcW w:w="318"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143 057</w:t>
            </w:r>
          </w:p>
        </w:tc>
        <w:tc>
          <w:tcPr>
            <w:tcW w:w="265" w:type="pct"/>
            <w:shd w:val="clear" w:color="auto" w:fill="auto"/>
            <w:noWrap/>
            <w:vAlign w:val="center"/>
            <w:hideMark/>
          </w:tcPr>
          <w:p w:rsidR="00A41AD7" w:rsidRPr="00DF6B0C" w:rsidRDefault="00A41AD7" w:rsidP="00E7317C">
            <w:pPr>
              <w:jc w:val="center"/>
              <w:rPr>
                <w:i/>
                <w:iCs/>
                <w:color w:val="000000"/>
                <w:sz w:val="18"/>
                <w:szCs w:val="18"/>
              </w:rPr>
            </w:pPr>
            <w:r w:rsidRPr="00DF6B0C">
              <w:rPr>
                <w:i/>
                <w:iCs/>
                <w:color w:val="000000"/>
                <w:sz w:val="18"/>
                <w:szCs w:val="18"/>
              </w:rPr>
              <w:t>104,8</w:t>
            </w:r>
          </w:p>
        </w:tc>
        <w:tc>
          <w:tcPr>
            <w:tcW w:w="305"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149 926</w:t>
            </w:r>
          </w:p>
        </w:tc>
        <w:tc>
          <w:tcPr>
            <w:tcW w:w="230" w:type="pct"/>
            <w:shd w:val="clear" w:color="auto" w:fill="auto"/>
            <w:noWrap/>
            <w:vAlign w:val="center"/>
            <w:hideMark/>
          </w:tcPr>
          <w:p w:rsidR="00A41AD7" w:rsidRPr="00DF6B0C" w:rsidRDefault="00A41AD7" w:rsidP="00E7317C">
            <w:pPr>
              <w:jc w:val="center"/>
              <w:rPr>
                <w:i/>
                <w:iCs/>
                <w:color w:val="000000"/>
                <w:sz w:val="18"/>
                <w:szCs w:val="18"/>
              </w:rPr>
            </w:pPr>
            <w:r w:rsidRPr="00DF6B0C">
              <w:rPr>
                <w:i/>
                <w:iCs/>
                <w:color w:val="000000"/>
                <w:sz w:val="18"/>
                <w:szCs w:val="18"/>
              </w:rPr>
              <w:t>104,8</w:t>
            </w:r>
          </w:p>
        </w:tc>
        <w:tc>
          <w:tcPr>
            <w:tcW w:w="340"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157 124</w:t>
            </w:r>
          </w:p>
        </w:tc>
        <w:tc>
          <w:tcPr>
            <w:tcW w:w="282" w:type="pct"/>
            <w:shd w:val="clear" w:color="auto" w:fill="auto"/>
            <w:noWrap/>
            <w:vAlign w:val="center"/>
            <w:hideMark/>
          </w:tcPr>
          <w:p w:rsidR="00A41AD7" w:rsidRPr="00DF6B0C" w:rsidRDefault="00A41AD7" w:rsidP="00E7317C">
            <w:pPr>
              <w:jc w:val="center"/>
              <w:rPr>
                <w:i/>
                <w:iCs/>
                <w:color w:val="000000"/>
                <w:sz w:val="18"/>
                <w:szCs w:val="18"/>
              </w:rPr>
            </w:pPr>
            <w:r w:rsidRPr="00DF6B0C">
              <w:rPr>
                <w:i/>
                <w:iCs/>
                <w:color w:val="000000"/>
                <w:sz w:val="18"/>
                <w:szCs w:val="18"/>
              </w:rPr>
              <w:t>104,8</w:t>
            </w:r>
          </w:p>
        </w:tc>
      </w:tr>
      <w:tr w:rsidR="00A41AD7" w:rsidRPr="00DF6B0C" w:rsidTr="002A33AD">
        <w:trPr>
          <w:trHeight w:val="546"/>
        </w:trPr>
        <w:tc>
          <w:tcPr>
            <w:tcW w:w="526" w:type="pct"/>
            <w:shd w:val="clear" w:color="auto" w:fill="auto"/>
            <w:vAlign w:val="center"/>
            <w:hideMark/>
          </w:tcPr>
          <w:p w:rsidR="00A41AD7" w:rsidRPr="00DF6B0C" w:rsidRDefault="00A41AD7" w:rsidP="00E7317C">
            <w:pPr>
              <w:rPr>
                <w:sz w:val="18"/>
                <w:szCs w:val="18"/>
              </w:rPr>
            </w:pPr>
            <w:r w:rsidRPr="00DF6B0C">
              <w:rPr>
                <w:sz w:val="18"/>
                <w:szCs w:val="18"/>
              </w:rPr>
              <w:t>свыше 200 л.с. до 250 л.с. (свыше 147,1 кВт до 183,9 кВт) включительно</w:t>
            </w:r>
          </w:p>
        </w:tc>
        <w:tc>
          <w:tcPr>
            <w:tcW w:w="402" w:type="pct"/>
            <w:shd w:val="clear" w:color="auto" w:fill="auto"/>
            <w:vAlign w:val="center"/>
            <w:hideMark/>
          </w:tcPr>
          <w:p w:rsidR="00A41AD7" w:rsidRPr="00DF6B0C" w:rsidRDefault="00A41AD7" w:rsidP="00E7317C">
            <w:pPr>
              <w:jc w:val="center"/>
              <w:rPr>
                <w:sz w:val="18"/>
                <w:szCs w:val="18"/>
              </w:rPr>
            </w:pPr>
            <w:r w:rsidRPr="00DF6B0C">
              <w:rPr>
                <w:sz w:val="18"/>
                <w:szCs w:val="18"/>
              </w:rPr>
              <w:t>отчет 5-ТН,стр.2415</w:t>
            </w:r>
          </w:p>
        </w:tc>
        <w:tc>
          <w:tcPr>
            <w:tcW w:w="337"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87 450</w:t>
            </w:r>
          </w:p>
        </w:tc>
        <w:tc>
          <w:tcPr>
            <w:tcW w:w="260"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107,1</w:t>
            </w:r>
          </w:p>
        </w:tc>
        <w:tc>
          <w:tcPr>
            <w:tcW w:w="324"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157 200</w:t>
            </w:r>
          </w:p>
        </w:tc>
        <w:tc>
          <w:tcPr>
            <w:tcW w:w="243"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179,8</w:t>
            </w:r>
          </w:p>
        </w:tc>
        <w:tc>
          <w:tcPr>
            <w:tcW w:w="344"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161 407</w:t>
            </w:r>
          </w:p>
        </w:tc>
        <w:tc>
          <w:tcPr>
            <w:tcW w:w="240"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102,7</w:t>
            </w:r>
          </w:p>
        </w:tc>
        <w:tc>
          <w:tcPr>
            <w:tcW w:w="331"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169 332</w:t>
            </w:r>
          </w:p>
        </w:tc>
        <w:tc>
          <w:tcPr>
            <w:tcW w:w="253"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104,9</w:t>
            </w:r>
          </w:p>
        </w:tc>
        <w:tc>
          <w:tcPr>
            <w:tcW w:w="318"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176 607</w:t>
            </w:r>
          </w:p>
        </w:tc>
        <w:tc>
          <w:tcPr>
            <w:tcW w:w="265" w:type="pct"/>
            <w:shd w:val="clear" w:color="auto" w:fill="auto"/>
            <w:noWrap/>
            <w:vAlign w:val="center"/>
            <w:hideMark/>
          </w:tcPr>
          <w:p w:rsidR="00A41AD7" w:rsidRPr="00DF6B0C" w:rsidRDefault="00A41AD7" w:rsidP="00E7317C">
            <w:pPr>
              <w:jc w:val="center"/>
              <w:rPr>
                <w:i/>
                <w:iCs/>
                <w:color w:val="000000"/>
                <w:sz w:val="18"/>
                <w:szCs w:val="18"/>
              </w:rPr>
            </w:pPr>
            <w:r w:rsidRPr="00DF6B0C">
              <w:rPr>
                <w:i/>
                <w:iCs/>
                <w:color w:val="000000"/>
                <w:sz w:val="18"/>
                <w:szCs w:val="18"/>
              </w:rPr>
              <w:t>104,3</w:t>
            </w:r>
          </w:p>
        </w:tc>
        <w:tc>
          <w:tcPr>
            <w:tcW w:w="305"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184 723</w:t>
            </w:r>
          </w:p>
        </w:tc>
        <w:tc>
          <w:tcPr>
            <w:tcW w:w="230" w:type="pct"/>
            <w:shd w:val="clear" w:color="auto" w:fill="auto"/>
            <w:noWrap/>
            <w:vAlign w:val="center"/>
            <w:hideMark/>
          </w:tcPr>
          <w:p w:rsidR="00A41AD7" w:rsidRPr="00DF6B0C" w:rsidRDefault="00A41AD7" w:rsidP="00E7317C">
            <w:pPr>
              <w:jc w:val="center"/>
              <w:rPr>
                <w:i/>
                <w:iCs/>
                <w:color w:val="000000"/>
                <w:sz w:val="18"/>
                <w:szCs w:val="18"/>
              </w:rPr>
            </w:pPr>
            <w:r w:rsidRPr="00DF6B0C">
              <w:rPr>
                <w:i/>
                <w:iCs/>
                <w:color w:val="000000"/>
                <w:sz w:val="18"/>
                <w:szCs w:val="18"/>
              </w:rPr>
              <w:t>104,6</w:t>
            </w:r>
          </w:p>
        </w:tc>
        <w:tc>
          <w:tcPr>
            <w:tcW w:w="340"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193 029</w:t>
            </w:r>
          </w:p>
        </w:tc>
        <w:tc>
          <w:tcPr>
            <w:tcW w:w="282" w:type="pct"/>
            <w:shd w:val="clear" w:color="auto" w:fill="auto"/>
            <w:noWrap/>
            <w:vAlign w:val="center"/>
            <w:hideMark/>
          </w:tcPr>
          <w:p w:rsidR="00A41AD7" w:rsidRPr="00DF6B0C" w:rsidRDefault="00A41AD7" w:rsidP="00E7317C">
            <w:pPr>
              <w:jc w:val="center"/>
              <w:rPr>
                <w:i/>
                <w:iCs/>
                <w:color w:val="000000"/>
                <w:sz w:val="18"/>
                <w:szCs w:val="18"/>
              </w:rPr>
            </w:pPr>
            <w:r w:rsidRPr="00DF6B0C">
              <w:rPr>
                <w:i/>
                <w:iCs/>
                <w:color w:val="000000"/>
                <w:sz w:val="18"/>
                <w:szCs w:val="18"/>
              </w:rPr>
              <w:t>104,5</w:t>
            </w:r>
          </w:p>
        </w:tc>
      </w:tr>
      <w:tr w:rsidR="00A41AD7" w:rsidRPr="00DF6B0C" w:rsidTr="002A33AD">
        <w:trPr>
          <w:trHeight w:val="484"/>
        </w:trPr>
        <w:tc>
          <w:tcPr>
            <w:tcW w:w="526" w:type="pct"/>
            <w:shd w:val="clear" w:color="auto" w:fill="auto"/>
            <w:vAlign w:val="center"/>
            <w:hideMark/>
          </w:tcPr>
          <w:p w:rsidR="00A41AD7" w:rsidRPr="00DF6B0C" w:rsidRDefault="00A41AD7" w:rsidP="00E7317C">
            <w:pPr>
              <w:rPr>
                <w:sz w:val="18"/>
                <w:szCs w:val="18"/>
              </w:rPr>
            </w:pPr>
            <w:r w:rsidRPr="00DF6B0C">
              <w:rPr>
                <w:sz w:val="18"/>
                <w:szCs w:val="18"/>
              </w:rPr>
              <w:t>свыше 250 л.с. (свыше 183,9 кВт)</w:t>
            </w:r>
          </w:p>
        </w:tc>
        <w:tc>
          <w:tcPr>
            <w:tcW w:w="402" w:type="pct"/>
            <w:shd w:val="clear" w:color="auto" w:fill="auto"/>
            <w:vAlign w:val="center"/>
            <w:hideMark/>
          </w:tcPr>
          <w:p w:rsidR="00A41AD7" w:rsidRPr="00DF6B0C" w:rsidRDefault="00A41AD7" w:rsidP="00E7317C">
            <w:pPr>
              <w:jc w:val="center"/>
              <w:rPr>
                <w:sz w:val="18"/>
                <w:szCs w:val="18"/>
              </w:rPr>
            </w:pPr>
            <w:r w:rsidRPr="00DF6B0C">
              <w:rPr>
                <w:sz w:val="18"/>
                <w:szCs w:val="18"/>
              </w:rPr>
              <w:t>отчет 5-ТН,стр.2416</w:t>
            </w:r>
          </w:p>
        </w:tc>
        <w:tc>
          <w:tcPr>
            <w:tcW w:w="337"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133 728</w:t>
            </w:r>
          </w:p>
        </w:tc>
        <w:tc>
          <w:tcPr>
            <w:tcW w:w="260"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108,8</w:t>
            </w:r>
          </w:p>
        </w:tc>
        <w:tc>
          <w:tcPr>
            <w:tcW w:w="324"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221 494</w:t>
            </w:r>
          </w:p>
        </w:tc>
        <w:tc>
          <w:tcPr>
            <w:tcW w:w="243"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165,6</w:t>
            </w:r>
          </w:p>
        </w:tc>
        <w:tc>
          <w:tcPr>
            <w:tcW w:w="344"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214 894</w:t>
            </w:r>
          </w:p>
        </w:tc>
        <w:tc>
          <w:tcPr>
            <w:tcW w:w="240"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97,0</w:t>
            </w:r>
          </w:p>
        </w:tc>
        <w:tc>
          <w:tcPr>
            <w:tcW w:w="331"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209 915</w:t>
            </w:r>
          </w:p>
        </w:tc>
        <w:tc>
          <w:tcPr>
            <w:tcW w:w="253"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97,7</w:t>
            </w:r>
          </w:p>
        </w:tc>
        <w:tc>
          <w:tcPr>
            <w:tcW w:w="318"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205 069</w:t>
            </w:r>
          </w:p>
        </w:tc>
        <w:tc>
          <w:tcPr>
            <w:tcW w:w="265" w:type="pct"/>
            <w:shd w:val="clear" w:color="auto" w:fill="auto"/>
            <w:noWrap/>
            <w:vAlign w:val="center"/>
            <w:hideMark/>
          </w:tcPr>
          <w:p w:rsidR="00A41AD7" w:rsidRPr="00DF6B0C" w:rsidRDefault="00A41AD7" w:rsidP="00E7317C">
            <w:pPr>
              <w:jc w:val="center"/>
              <w:rPr>
                <w:i/>
                <w:iCs/>
                <w:color w:val="000000"/>
                <w:sz w:val="18"/>
                <w:szCs w:val="18"/>
              </w:rPr>
            </w:pPr>
            <w:r w:rsidRPr="00DF6B0C">
              <w:rPr>
                <w:i/>
                <w:iCs/>
                <w:color w:val="000000"/>
                <w:sz w:val="18"/>
                <w:szCs w:val="18"/>
              </w:rPr>
              <w:t>97,7</w:t>
            </w:r>
          </w:p>
        </w:tc>
        <w:tc>
          <w:tcPr>
            <w:tcW w:w="305"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200 338</w:t>
            </w:r>
          </w:p>
        </w:tc>
        <w:tc>
          <w:tcPr>
            <w:tcW w:w="230" w:type="pct"/>
            <w:shd w:val="clear" w:color="auto" w:fill="auto"/>
            <w:noWrap/>
            <w:vAlign w:val="center"/>
            <w:hideMark/>
          </w:tcPr>
          <w:p w:rsidR="00A41AD7" w:rsidRPr="00DF6B0C" w:rsidRDefault="00A41AD7" w:rsidP="00E7317C">
            <w:pPr>
              <w:jc w:val="center"/>
              <w:rPr>
                <w:i/>
                <w:iCs/>
                <w:color w:val="000000"/>
                <w:sz w:val="18"/>
                <w:szCs w:val="18"/>
              </w:rPr>
            </w:pPr>
            <w:r w:rsidRPr="00DF6B0C">
              <w:rPr>
                <w:i/>
                <w:iCs/>
                <w:color w:val="000000"/>
                <w:sz w:val="18"/>
                <w:szCs w:val="18"/>
              </w:rPr>
              <w:t>97,7</w:t>
            </w:r>
          </w:p>
        </w:tc>
        <w:tc>
          <w:tcPr>
            <w:tcW w:w="340"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195 723</w:t>
            </w:r>
          </w:p>
        </w:tc>
        <w:tc>
          <w:tcPr>
            <w:tcW w:w="282" w:type="pct"/>
            <w:shd w:val="clear" w:color="auto" w:fill="auto"/>
            <w:noWrap/>
            <w:vAlign w:val="center"/>
            <w:hideMark/>
          </w:tcPr>
          <w:p w:rsidR="00A41AD7" w:rsidRPr="00DF6B0C" w:rsidRDefault="00A41AD7" w:rsidP="00E7317C">
            <w:pPr>
              <w:jc w:val="center"/>
              <w:rPr>
                <w:i/>
                <w:iCs/>
                <w:color w:val="000000"/>
                <w:sz w:val="18"/>
                <w:szCs w:val="18"/>
              </w:rPr>
            </w:pPr>
            <w:r w:rsidRPr="00DF6B0C">
              <w:rPr>
                <w:i/>
                <w:iCs/>
                <w:color w:val="000000"/>
                <w:sz w:val="18"/>
                <w:szCs w:val="18"/>
              </w:rPr>
              <w:t>97,7</w:t>
            </w:r>
          </w:p>
        </w:tc>
      </w:tr>
      <w:tr w:rsidR="00A41AD7" w:rsidRPr="00DF6B0C" w:rsidTr="002A33AD">
        <w:trPr>
          <w:trHeight w:val="419"/>
        </w:trPr>
        <w:tc>
          <w:tcPr>
            <w:tcW w:w="526" w:type="pct"/>
            <w:shd w:val="clear" w:color="auto" w:fill="auto"/>
            <w:vAlign w:val="center"/>
            <w:hideMark/>
          </w:tcPr>
          <w:p w:rsidR="00A41AD7" w:rsidRPr="00DF6B0C" w:rsidRDefault="00A41AD7" w:rsidP="00E7317C">
            <w:pPr>
              <w:rPr>
                <w:i/>
                <w:iCs/>
                <w:sz w:val="18"/>
                <w:szCs w:val="18"/>
              </w:rPr>
            </w:pPr>
            <w:r w:rsidRPr="00DF6B0C">
              <w:rPr>
                <w:i/>
                <w:iCs/>
                <w:sz w:val="18"/>
                <w:szCs w:val="18"/>
              </w:rPr>
              <w:t>Мотоциклы и мотороллеры с мощностью двигателя:</w:t>
            </w:r>
          </w:p>
        </w:tc>
        <w:tc>
          <w:tcPr>
            <w:tcW w:w="402" w:type="pct"/>
            <w:shd w:val="clear" w:color="auto" w:fill="auto"/>
            <w:vAlign w:val="center"/>
            <w:hideMark/>
          </w:tcPr>
          <w:p w:rsidR="00A41AD7" w:rsidRPr="00DF6B0C" w:rsidRDefault="00A41AD7" w:rsidP="00E7317C">
            <w:pPr>
              <w:jc w:val="center"/>
              <w:rPr>
                <w:i/>
                <w:iCs/>
                <w:sz w:val="18"/>
                <w:szCs w:val="18"/>
              </w:rPr>
            </w:pPr>
            <w:r w:rsidRPr="00DF6B0C">
              <w:rPr>
                <w:i/>
                <w:iCs/>
                <w:sz w:val="18"/>
                <w:szCs w:val="18"/>
              </w:rPr>
              <w:t>отчет 5-ТН,стр.2421</w:t>
            </w:r>
          </w:p>
        </w:tc>
        <w:tc>
          <w:tcPr>
            <w:tcW w:w="337" w:type="pct"/>
            <w:shd w:val="clear" w:color="auto" w:fill="auto"/>
            <w:vAlign w:val="center"/>
            <w:hideMark/>
          </w:tcPr>
          <w:p w:rsidR="00A41AD7" w:rsidRPr="00DF6B0C" w:rsidRDefault="00A41AD7" w:rsidP="00E7317C">
            <w:pPr>
              <w:jc w:val="center"/>
              <w:rPr>
                <w:sz w:val="18"/>
                <w:szCs w:val="18"/>
              </w:rPr>
            </w:pPr>
            <w:r w:rsidRPr="00DF6B0C">
              <w:rPr>
                <w:sz w:val="18"/>
                <w:szCs w:val="18"/>
              </w:rPr>
              <w:t>2 789</w:t>
            </w:r>
          </w:p>
        </w:tc>
        <w:tc>
          <w:tcPr>
            <w:tcW w:w="260" w:type="pct"/>
            <w:shd w:val="clear" w:color="auto" w:fill="auto"/>
            <w:vAlign w:val="center"/>
            <w:hideMark/>
          </w:tcPr>
          <w:p w:rsidR="00A41AD7" w:rsidRPr="00DF6B0C" w:rsidRDefault="00A41AD7" w:rsidP="00E7317C">
            <w:pPr>
              <w:jc w:val="center"/>
              <w:rPr>
                <w:sz w:val="18"/>
                <w:szCs w:val="18"/>
              </w:rPr>
            </w:pPr>
            <w:r w:rsidRPr="00DF6B0C">
              <w:rPr>
                <w:sz w:val="18"/>
                <w:szCs w:val="18"/>
              </w:rPr>
              <w:t>100,6</w:t>
            </w:r>
          </w:p>
        </w:tc>
        <w:tc>
          <w:tcPr>
            <w:tcW w:w="324" w:type="pct"/>
            <w:shd w:val="clear" w:color="auto" w:fill="auto"/>
            <w:vAlign w:val="center"/>
            <w:hideMark/>
          </w:tcPr>
          <w:p w:rsidR="00A41AD7" w:rsidRPr="00DF6B0C" w:rsidRDefault="00A41AD7" w:rsidP="00E7317C">
            <w:pPr>
              <w:jc w:val="center"/>
              <w:rPr>
                <w:sz w:val="18"/>
                <w:szCs w:val="18"/>
              </w:rPr>
            </w:pPr>
            <w:r w:rsidRPr="00DF6B0C">
              <w:rPr>
                <w:sz w:val="18"/>
                <w:szCs w:val="18"/>
              </w:rPr>
              <w:t>2 962</w:t>
            </w:r>
          </w:p>
        </w:tc>
        <w:tc>
          <w:tcPr>
            <w:tcW w:w="243" w:type="pct"/>
            <w:shd w:val="clear" w:color="auto" w:fill="auto"/>
            <w:vAlign w:val="center"/>
            <w:hideMark/>
          </w:tcPr>
          <w:p w:rsidR="00A41AD7" w:rsidRPr="00DF6B0C" w:rsidRDefault="00A41AD7" w:rsidP="00E7317C">
            <w:pPr>
              <w:jc w:val="center"/>
              <w:rPr>
                <w:sz w:val="18"/>
                <w:szCs w:val="18"/>
              </w:rPr>
            </w:pPr>
            <w:r w:rsidRPr="00DF6B0C">
              <w:rPr>
                <w:sz w:val="18"/>
                <w:szCs w:val="18"/>
              </w:rPr>
              <w:t>106,2</w:t>
            </w:r>
          </w:p>
        </w:tc>
        <w:tc>
          <w:tcPr>
            <w:tcW w:w="344" w:type="pct"/>
            <w:shd w:val="clear" w:color="auto" w:fill="auto"/>
            <w:vAlign w:val="center"/>
            <w:hideMark/>
          </w:tcPr>
          <w:p w:rsidR="00A41AD7" w:rsidRPr="00DF6B0C" w:rsidRDefault="00A41AD7" w:rsidP="00E7317C">
            <w:pPr>
              <w:jc w:val="center"/>
              <w:rPr>
                <w:sz w:val="18"/>
                <w:szCs w:val="18"/>
              </w:rPr>
            </w:pPr>
            <w:r w:rsidRPr="00DF6B0C">
              <w:rPr>
                <w:sz w:val="18"/>
                <w:szCs w:val="18"/>
              </w:rPr>
              <w:t>3 114</w:t>
            </w:r>
          </w:p>
        </w:tc>
        <w:tc>
          <w:tcPr>
            <w:tcW w:w="240" w:type="pct"/>
            <w:shd w:val="clear" w:color="auto" w:fill="auto"/>
            <w:vAlign w:val="center"/>
            <w:hideMark/>
          </w:tcPr>
          <w:p w:rsidR="00A41AD7" w:rsidRPr="00DF6B0C" w:rsidRDefault="00A41AD7" w:rsidP="00E7317C">
            <w:pPr>
              <w:jc w:val="center"/>
              <w:rPr>
                <w:sz w:val="18"/>
                <w:szCs w:val="18"/>
              </w:rPr>
            </w:pPr>
            <w:r w:rsidRPr="00DF6B0C">
              <w:rPr>
                <w:sz w:val="18"/>
                <w:szCs w:val="18"/>
              </w:rPr>
              <w:t>105,1</w:t>
            </w:r>
          </w:p>
        </w:tc>
        <w:tc>
          <w:tcPr>
            <w:tcW w:w="331" w:type="pct"/>
            <w:shd w:val="clear" w:color="auto" w:fill="auto"/>
            <w:vAlign w:val="center"/>
            <w:hideMark/>
          </w:tcPr>
          <w:p w:rsidR="00A41AD7" w:rsidRPr="00DF6B0C" w:rsidRDefault="00A41AD7" w:rsidP="00E7317C">
            <w:pPr>
              <w:jc w:val="center"/>
              <w:rPr>
                <w:sz w:val="18"/>
                <w:szCs w:val="18"/>
              </w:rPr>
            </w:pPr>
            <w:r w:rsidRPr="00DF6B0C">
              <w:rPr>
                <w:sz w:val="18"/>
                <w:szCs w:val="18"/>
              </w:rPr>
              <w:t>3 248</w:t>
            </w:r>
          </w:p>
        </w:tc>
        <w:tc>
          <w:tcPr>
            <w:tcW w:w="253" w:type="pct"/>
            <w:shd w:val="clear" w:color="auto" w:fill="auto"/>
            <w:vAlign w:val="center"/>
            <w:hideMark/>
          </w:tcPr>
          <w:p w:rsidR="00A41AD7" w:rsidRPr="00DF6B0C" w:rsidRDefault="00A41AD7" w:rsidP="00E7317C">
            <w:pPr>
              <w:jc w:val="center"/>
              <w:rPr>
                <w:sz w:val="18"/>
                <w:szCs w:val="18"/>
              </w:rPr>
            </w:pPr>
            <w:r w:rsidRPr="00DF6B0C">
              <w:rPr>
                <w:sz w:val="18"/>
                <w:szCs w:val="18"/>
              </w:rPr>
              <w:t>104,3</w:t>
            </w:r>
          </w:p>
        </w:tc>
        <w:tc>
          <w:tcPr>
            <w:tcW w:w="318"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3 362</w:t>
            </w:r>
          </w:p>
        </w:tc>
        <w:tc>
          <w:tcPr>
            <w:tcW w:w="265" w:type="pct"/>
            <w:shd w:val="clear" w:color="auto" w:fill="auto"/>
            <w:noWrap/>
            <w:vAlign w:val="center"/>
            <w:hideMark/>
          </w:tcPr>
          <w:p w:rsidR="00A41AD7" w:rsidRPr="00DF6B0C" w:rsidRDefault="00A41AD7" w:rsidP="00E7317C">
            <w:pPr>
              <w:jc w:val="center"/>
              <w:rPr>
                <w:i/>
                <w:iCs/>
                <w:color w:val="000000"/>
                <w:sz w:val="18"/>
                <w:szCs w:val="18"/>
              </w:rPr>
            </w:pPr>
            <w:r w:rsidRPr="00DF6B0C">
              <w:rPr>
                <w:i/>
                <w:iCs/>
                <w:color w:val="000000"/>
                <w:sz w:val="18"/>
                <w:szCs w:val="18"/>
              </w:rPr>
              <w:t>103,5</w:t>
            </w:r>
          </w:p>
        </w:tc>
        <w:tc>
          <w:tcPr>
            <w:tcW w:w="305"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3 489</w:t>
            </w:r>
          </w:p>
        </w:tc>
        <w:tc>
          <w:tcPr>
            <w:tcW w:w="230" w:type="pct"/>
            <w:shd w:val="clear" w:color="auto" w:fill="auto"/>
            <w:noWrap/>
            <w:vAlign w:val="center"/>
            <w:hideMark/>
          </w:tcPr>
          <w:p w:rsidR="00A41AD7" w:rsidRPr="00DF6B0C" w:rsidRDefault="00A41AD7" w:rsidP="00E7317C">
            <w:pPr>
              <w:jc w:val="center"/>
              <w:rPr>
                <w:i/>
                <w:iCs/>
                <w:color w:val="000000"/>
                <w:sz w:val="18"/>
                <w:szCs w:val="18"/>
              </w:rPr>
            </w:pPr>
            <w:r w:rsidRPr="00DF6B0C">
              <w:rPr>
                <w:i/>
                <w:iCs/>
                <w:color w:val="000000"/>
                <w:sz w:val="18"/>
                <w:szCs w:val="18"/>
              </w:rPr>
              <w:t>103,8</w:t>
            </w:r>
          </w:p>
        </w:tc>
        <w:tc>
          <w:tcPr>
            <w:tcW w:w="340"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3 620</w:t>
            </w:r>
          </w:p>
        </w:tc>
        <w:tc>
          <w:tcPr>
            <w:tcW w:w="282" w:type="pct"/>
            <w:shd w:val="clear" w:color="auto" w:fill="auto"/>
            <w:noWrap/>
            <w:vAlign w:val="center"/>
            <w:hideMark/>
          </w:tcPr>
          <w:p w:rsidR="00A41AD7" w:rsidRPr="00DF6B0C" w:rsidRDefault="00A41AD7" w:rsidP="00E7317C">
            <w:pPr>
              <w:jc w:val="center"/>
              <w:rPr>
                <w:i/>
                <w:iCs/>
                <w:color w:val="000000"/>
                <w:sz w:val="18"/>
                <w:szCs w:val="18"/>
              </w:rPr>
            </w:pPr>
            <w:r w:rsidRPr="00DF6B0C">
              <w:rPr>
                <w:i/>
                <w:iCs/>
                <w:color w:val="000000"/>
                <w:sz w:val="18"/>
                <w:szCs w:val="18"/>
              </w:rPr>
              <w:t>103,8</w:t>
            </w:r>
          </w:p>
        </w:tc>
      </w:tr>
      <w:tr w:rsidR="00A41AD7" w:rsidRPr="00DF6B0C" w:rsidTr="002A33AD">
        <w:trPr>
          <w:trHeight w:val="358"/>
        </w:trPr>
        <w:tc>
          <w:tcPr>
            <w:tcW w:w="526" w:type="pct"/>
            <w:shd w:val="clear" w:color="auto" w:fill="auto"/>
            <w:vAlign w:val="center"/>
            <w:hideMark/>
          </w:tcPr>
          <w:p w:rsidR="00A41AD7" w:rsidRPr="00DF6B0C" w:rsidRDefault="00A41AD7" w:rsidP="00E7317C">
            <w:pPr>
              <w:ind w:firstLineChars="12" w:firstLine="22"/>
              <w:rPr>
                <w:sz w:val="18"/>
                <w:szCs w:val="18"/>
              </w:rPr>
            </w:pPr>
            <w:r w:rsidRPr="00DF6B0C">
              <w:rPr>
                <w:sz w:val="18"/>
                <w:szCs w:val="18"/>
              </w:rPr>
              <w:t>до 20 л.с. (до 14,7 кВт) включительно</w:t>
            </w:r>
          </w:p>
        </w:tc>
        <w:tc>
          <w:tcPr>
            <w:tcW w:w="402" w:type="pct"/>
            <w:shd w:val="clear" w:color="auto" w:fill="auto"/>
            <w:vAlign w:val="center"/>
            <w:hideMark/>
          </w:tcPr>
          <w:p w:rsidR="00A41AD7" w:rsidRPr="00DF6B0C" w:rsidRDefault="00A41AD7" w:rsidP="00E7317C">
            <w:pPr>
              <w:jc w:val="center"/>
              <w:rPr>
                <w:sz w:val="18"/>
                <w:szCs w:val="18"/>
              </w:rPr>
            </w:pPr>
            <w:r w:rsidRPr="00DF6B0C">
              <w:rPr>
                <w:sz w:val="18"/>
                <w:szCs w:val="18"/>
              </w:rPr>
              <w:t>отчет 5-ТН,стр.2422</w:t>
            </w:r>
          </w:p>
        </w:tc>
        <w:tc>
          <w:tcPr>
            <w:tcW w:w="337"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171</w:t>
            </w:r>
          </w:p>
        </w:tc>
        <w:tc>
          <w:tcPr>
            <w:tcW w:w="260"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81,8</w:t>
            </w:r>
          </w:p>
        </w:tc>
        <w:tc>
          <w:tcPr>
            <w:tcW w:w="324"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172</w:t>
            </w:r>
          </w:p>
        </w:tc>
        <w:tc>
          <w:tcPr>
            <w:tcW w:w="243"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100,6</w:t>
            </w:r>
          </w:p>
        </w:tc>
        <w:tc>
          <w:tcPr>
            <w:tcW w:w="344"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194</w:t>
            </w:r>
          </w:p>
        </w:tc>
        <w:tc>
          <w:tcPr>
            <w:tcW w:w="240"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112,8</w:t>
            </w:r>
          </w:p>
        </w:tc>
        <w:tc>
          <w:tcPr>
            <w:tcW w:w="331"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215</w:t>
            </w:r>
          </w:p>
        </w:tc>
        <w:tc>
          <w:tcPr>
            <w:tcW w:w="253"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110,8</w:t>
            </w:r>
          </w:p>
        </w:tc>
        <w:tc>
          <w:tcPr>
            <w:tcW w:w="318"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213</w:t>
            </w:r>
          </w:p>
        </w:tc>
        <w:tc>
          <w:tcPr>
            <w:tcW w:w="265" w:type="pct"/>
            <w:shd w:val="clear" w:color="auto" w:fill="auto"/>
            <w:noWrap/>
            <w:vAlign w:val="center"/>
            <w:hideMark/>
          </w:tcPr>
          <w:p w:rsidR="00A41AD7" w:rsidRPr="00DF6B0C" w:rsidRDefault="00A41AD7" w:rsidP="00E7317C">
            <w:pPr>
              <w:jc w:val="center"/>
              <w:rPr>
                <w:i/>
                <w:iCs/>
                <w:color w:val="000000"/>
                <w:sz w:val="18"/>
                <w:szCs w:val="18"/>
              </w:rPr>
            </w:pPr>
            <w:r w:rsidRPr="00DF6B0C">
              <w:rPr>
                <w:i/>
                <w:iCs/>
                <w:color w:val="000000"/>
                <w:sz w:val="18"/>
                <w:szCs w:val="18"/>
              </w:rPr>
              <w:t>99,1</w:t>
            </w:r>
          </w:p>
        </w:tc>
        <w:tc>
          <w:tcPr>
            <w:tcW w:w="305"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212</w:t>
            </w:r>
          </w:p>
        </w:tc>
        <w:tc>
          <w:tcPr>
            <w:tcW w:w="230" w:type="pct"/>
            <w:shd w:val="clear" w:color="auto" w:fill="auto"/>
            <w:noWrap/>
            <w:vAlign w:val="center"/>
            <w:hideMark/>
          </w:tcPr>
          <w:p w:rsidR="00A41AD7" w:rsidRPr="00DF6B0C" w:rsidRDefault="00A41AD7" w:rsidP="00E7317C">
            <w:pPr>
              <w:jc w:val="center"/>
              <w:rPr>
                <w:i/>
                <w:iCs/>
                <w:color w:val="000000"/>
                <w:sz w:val="18"/>
                <w:szCs w:val="18"/>
              </w:rPr>
            </w:pPr>
            <w:r w:rsidRPr="00DF6B0C">
              <w:rPr>
                <w:i/>
                <w:iCs/>
                <w:color w:val="000000"/>
                <w:sz w:val="18"/>
                <w:szCs w:val="18"/>
              </w:rPr>
              <w:t>99,5</w:t>
            </w:r>
          </w:p>
        </w:tc>
        <w:tc>
          <w:tcPr>
            <w:tcW w:w="340"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210</w:t>
            </w:r>
          </w:p>
        </w:tc>
        <w:tc>
          <w:tcPr>
            <w:tcW w:w="282" w:type="pct"/>
            <w:shd w:val="clear" w:color="auto" w:fill="auto"/>
            <w:noWrap/>
            <w:vAlign w:val="center"/>
            <w:hideMark/>
          </w:tcPr>
          <w:p w:rsidR="00A41AD7" w:rsidRPr="00DF6B0C" w:rsidRDefault="00A41AD7" w:rsidP="00E7317C">
            <w:pPr>
              <w:jc w:val="center"/>
              <w:rPr>
                <w:i/>
                <w:iCs/>
                <w:color w:val="000000"/>
                <w:sz w:val="18"/>
                <w:szCs w:val="18"/>
              </w:rPr>
            </w:pPr>
            <w:r w:rsidRPr="00DF6B0C">
              <w:rPr>
                <w:i/>
                <w:iCs/>
                <w:color w:val="000000"/>
                <w:sz w:val="18"/>
                <w:szCs w:val="18"/>
              </w:rPr>
              <w:t>99,1</w:t>
            </w:r>
          </w:p>
        </w:tc>
      </w:tr>
      <w:tr w:rsidR="00A41AD7" w:rsidRPr="00DF6B0C" w:rsidTr="00E7317C">
        <w:trPr>
          <w:trHeight w:val="750"/>
        </w:trPr>
        <w:tc>
          <w:tcPr>
            <w:tcW w:w="526" w:type="pct"/>
            <w:shd w:val="clear" w:color="auto" w:fill="auto"/>
            <w:vAlign w:val="center"/>
            <w:hideMark/>
          </w:tcPr>
          <w:p w:rsidR="00A41AD7" w:rsidRPr="00DF6B0C" w:rsidRDefault="00A41AD7" w:rsidP="00E7317C">
            <w:pPr>
              <w:ind w:firstLineChars="12" w:firstLine="22"/>
              <w:rPr>
                <w:sz w:val="18"/>
                <w:szCs w:val="18"/>
              </w:rPr>
            </w:pPr>
            <w:r w:rsidRPr="00DF6B0C">
              <w:rPr>
                <w:sz w:val="18"/>
                <w:szCs w:val="18"/>
              </w:rPr>
              <w:t>свыше 20 л.с. до 35 л.с. (свыше 14,7 кВт до 25,74 кВт) включительно</w:t>
            </w:r>
          </w:p>
        </w:tc>
        <w:tc>
          <w:tcPr>
            <w:tcW w:w="402" w:type="pct"/>
            <w:shd w:val="clear" w:color="auto" w:fill="auto"/>
            <w:vAlign w:val="center"/>
            <w:hideMark/>
          </w:tcPr>
          <w:p w:rsidR="00A41AD7" w:rsidRPr="00DF6B0C" w:rsidRDefault="00A41AD7" w:rsidP="00E7317C">
            <w:pPr>
              <w:jc w:val="center"/>
              <w:rPr>
                <w:sz w:val="18"/>
                <w:szCs w:val="18"/>
              </w:rPr>
            </w:pPr>
            <w:r w:rsidRPr="00DF6B0C">
              <w:rPr>
                <w:sz w:val="18"/>
                <w:szCs w:val="18"/>
              </w:rPr>
              <w:t>отчет 5-ТН,стр.2423</w:t>
            </w:r>
          </w:p>
        </w:tc>
        <w:tc>
          <w:tcPr>
            <w:tcW w:w="337"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492</w:t>
            </w:r>
          </w:p>
        </w:tc>
        <w:tc>
          <w:tcPr>
            <w:tcW w:w="260"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93,7</w:t>
            </w:r>
          </w:p>
        </w:tc>
        <w:tc>
          <w:tcPr>
            <w:tcW w:w="324"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485</w:t>
            </w:r>
          </w:p>
        </w:tc>
        <w:tc>
          <w:tcPr>
            <w:tcW w:w="243"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98,6</w:t>
            </w:r>
          </w:p>
        </w:tc>
        <w:tc>
          <w:tcPr>
            <w:tcW w:w="344"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477</w:t>
            </w:r>
          </w:p>
        </w:tc>
        <w:tc>
          <w:tcPr>
            <w:tcW w:w="240"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98,4</w:t>
            </w:r>
          </w:p>
        </w:tc>
        <w:tc>
          <w:tcPr>
            <w:tcW w:w="331"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455</w:t>
            </w:r>
          </w:p>
        </w:tc>
        <w:tc>
          <w:tcPr>
            <w:tcW w:w="253"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95,4</w:t>
            </w:r>
          </w:p>
        </w:tc>
        <w:tc>
          <w:tcPr>
            <w:tcW w:w="318"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442</w:t>
            </w:r>
          </w:p>
        </w:tc>
        <w:tc>
          <w:tcPr>
            <w:tcW w:w="265" w:type="pct"/>
            <w:shd w:val="clear" w:color="auto" w:fill="auto"/>
            <w:noWrap/>
            <w:vAlign w:val="center"/>
            <w:hideMark/>
          </w:tcPr>
          <w:p w:rsidR="00A41AD7" w:rsidRPr="00DF6B0C" w:rsidRDefault="00A41AD7" w:rsidP="00E7317C">
            <w:pPr>
              <w:jc w:val="center"/>
              <w:rPr>
                <w:i/>
                <w:iCs/>
                <w:color w:val="000000"/>
                <w:sz w:val="18"/>
                <w:szCs w:val="18"/>
              </w:rPr>
            </w:pPr>
            <w:r w:rsidRPr="00DF6B0C">
              <w:rPr>
                <w:i/>
                <w:iCs/>
                <w:color w:val="000000"/>
                <w:sz w:val="18"/>
                <w:szCs w:val="18"/>
              </w:rPr>
              <w:t>97,1</w:t>
            </w:r>
          </w:p>
        </w:tc>
        <w:tc>
          <w:tcPr>
            <w:tcW w:w="305"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429</w:t>
            </w:r>
          </w:p>
        </w:tc>
        <w:tc>
          <w:tcPr>
            <w:tcW w:w="230" w:type="pct"/>
            <w:shd w:val="clear" w:color="auto" w:fill="auto"/>
            <w:noWrap/>
            <w:vAlign w:val="center"/>
            <w:hideMark/>
          </w:tcPr>
          <w:p w:rsidR="00A41AD7" w:rsidRPr="00DF6B0C" w:rsidRDefault="00A41AD7" w:rsidP="00E7317C">
            <w:pPr>
              <w:jc w:val="center"/>
              <w:rPr>
                <w:i/>
                <w:iCs/>
                <w:color w:val="000000"/>
                <w:sz w:val="18"/>
                <w:szCs w:val="18"/>
              </w:rPr>
            </w:pPr>
            <w:r w:rsidRPr="00DF6B0C">
              <w:rPr>
                <w:i/>
                <w:iCs/>
                <w:color w:val="000000"/>
                <w:sz w:val="18"/>
                <w:szCs w:val="18"/>
              </w:rPr>
              <w:t>97,1</w:t>
            </w:r>
          </w:p>
        </w:tc>
        <w:tc>
          <w:tcPr>
            <w:tcW w:w="340"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417</w:t>
            </w:r>
          </w:p>
        </w:tc>
        <w:tc>
          <w:tcPr>
            <w:tcW w:w="282" w:type="pct"/>
            <w:shd w:val="clear" w:color="auto" w:fill="auto"/>
            <w:noWrap/>
            <w:vAlign w:val="center"/>
            <w:hideMark/>
          </w:tcPr>
          <w:p w:rsidR="00A41AD7" w:rsidRPr="00DF6B0C" w:rsidRDefault="00A41AD7" w:rsidP="00E7317C">
            <w:pPr>
              <w:jc w:val="center"/>
              <w:rPr>
                <w:i/>
                <w:iCs/>
                <w:color w:val="000000"/>
                <w:sz w:val="18"/>
                <w:szCs w:val="18"/>
              </w:rPr>
            </w:pPr>
            <w:r w:rsidRPr="00DF6B0C">
              <w:rPr>
                <w:i/>
                <w:iCs/>
                <w:color w:val="000000"/>
                <w:sz w:val="18"/>
                <w:szCs w:val="18"/>
              </w:rPr>
              <w:t>97,2</w:t>
            </w:r>
          </w:p>
        </w:tc>
      </w:tr>
      <w:tr w:rsidR="00A41AD7" w:rsidRPr="00DF6B0C" w:rsidTr="002A33AD">
        <w:trPr>
          <w:trHeight w:val="270"/>
        </w:trPr>
        <w:tc>
          <w:tcPr>
            <w:tcW w:w="526" w:type="pct"/>
            <w:shd w:val="clear" w:color="auto" w:fill="auto"/>
            <w:vAlign w:val="center"/>
            <w:hideMark/>
          </w:tcPr>
          <w:p w:rsidR="00A41AD7" w:rsidRPr="00DF6B0C" w:rsidRDefault="00A41AD7" w:rsidP="00E7317C">
            <w:pPr>
              <w:ind w:firstLineChars="12" w:firstLine="22"/>
              <w:rPr>
                <w:sz w:val="18"/>
                <w:szCs w:val="18"/>
              </w:rPr>
            </w:pPr>
            <w:r w:rsidRPr="00DF6B0C">
              <w:rPr>
                <w:sz w:val="18"/>
                <w:szCs w:val="18"/>
              </w:rPr>
              <w:lastRenderedPageBreak/>
              <w:t>свыше 35 л.с. (свыше 25,74 кВт)</w:t>
            </w:r>
          </w:p>
        </w:tc>
        <w:tc>
          <w:tcPr>
            <w:tcW w:w="402" w:type="pct"/>
            <w:shd w:val="clear" w:color="auto" w:fill="auto"/>
            <w:vAlign w:val="center"/>
            <w:hideMark/>
          </w:tcPr>
          <w:p w:rsidR="00A41AD7" w:rsidRPr="00DF6B0C" w:rsidRDefault="00A41AD7" w:rsidP="00E7317C">
            <w:pPr>
              <w:jc w:val="center"/>
              <w:rPr>
                <w:sz w:val="18"/>
                <w:szCs w:val="18"/>
              </w:rPr>
            </w:pPr>
            <w:r w:rsidRPr="00DF6B0C">
              <w:rPr>
                <w:sz w:val="18"/>
                <w:szCs w:val="18"/>
              </w:rPr>
              <w:t>отчет 5-ТН,стр.2424</w:t>
            </w:r>
          </w:p>
        </w:tc>
        <w:tc>
          <w:tcPr>
            <w:tcW w:w="337"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2 126</w:t>
            </w:r>
          </w:p>
        </w:tc>
        <w:tc>
          <w:tcPr>
            <w:tcW w:w="260"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104,4</w:t>
            </w:r>
          </w:p>
        </w:tc>
        <w:tc>
          <w:tcPr>
            <w:tcW w:w="324"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2 305</w:t>
            </w:r>
          </w:p>
        </w:tc>
        <w:tc>
          <w:tcPr>
            <w:tcW w:w="243"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108,4</w:t>
            </w:r>
          </w:p>
        </w:tc>
        <w:tc>
          <w:tcPr>
            <w:tcW w:w="344"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2 443</w:t>
            </w:r>
          </w:p>
        </w:tc>
        <w:tc>
          <w:tcPr>
            <w:tcW w:w="240"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106,0</w:t>
            </w:r>
          </w:p>
        </w:tc>
        <w:tc>
          <w:tcPr>
            <w:tcW w:w="331"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2 578</w:t>
            </w:r>
          </w:p>
        </w:tc>
        <w:tc>
          <w:tcPr>
            <w:tcW w:w="253"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105,5</w:t>
            </w:r>
          </w:p>
        </w:tc>
        <w:tc>
          <w:tcPr>
            <w:tcW w:w="318"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2 707</w:t>
            </w:r>
          </w:p>
        </w:tc>
        <w:tc>
          <w:tcPr>
            <w:tcW w:w="265" w:type="pct"/>
            <w:shd w:val="clear" w:color="auto" w:fill="auto"/>
            <w:noWrap/>
            <w:vAlign w:val="center"/>
            <w:hideMark/>
          </w:tcPr>
          <w:p w:rsidR="00A41AD7" w:rsidRPr="00DF6B0C" w:rsidRDefault="00A41AD7" w:rsidP="00E7317C">
            <w:pPr>
              <w:jc w:val="center"/>
              <w:rPr>
                <w:i/>
                <w:iCs/>
                <w:color w:val="000000"/>
                <w:sz w:val="18"/>
                <w:szCs w:val="18"/>
              </w:rPr>
            </w:pPr>
            <w:r w:rsidRPr="00DF6B0C">
              <w:rPr>
                <w:i/>
                <w:iCs/>
                <w:color w:val="000000"/>
                <w:sz w:val="18"/>
                <w:szCs w:val="18"/>
              </w:rPr>
              <w:t>105,0</w:t>
            </w:r>
          </w:p>
        </w:tc>
        <w:tc>
          <w:tcPr>
            <w:tcW w:w="305"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2 848</w:t>
            </w:r>
          </w:p>
        </w:tc>
        <w:tc>
          <w:tcPr>
            <w:tcW w:w="230" w:type="pct"/>
            <w:shd w:val="clear" w:color="auto" w:fill="auto"/>
            <w:noWrap/>
            <w:vAlign w:val="center"/>
            <w:hideMark/>
          </w:tcPr>
          <w:p w:rsidR="00A41AD7" w:rsidRPr="00DF6B0C" w:rsidRDefault="00A41AD7" w:rsidP="00E7317C">
            <w:pPr>
              <w:jc w:val="center"/>
              <w:rPr>
                <w:i/>
                <w:iCs/>
                <w:color w:val="000000"/>
                <w:sz w:val="18"/>
                <w:szCs w:val="18"/>
              </w:rPr>
            </w:pPr>
            <w:r w:rsidRPr="00DF6B0C">
              <w:rPr>
                <w:i/>
                <w:iCs/>
                <w:color w:val="000000"/>
                <w:sz w:val="18"/>
                <w:szCs w:val="18"/>
              </w:rPr>
              <w:t>105,2</w:t>
            </w:r>
          </w:p>
        </w:tc>
        <w:tc>
          <w:tcPr>
            <w:tcW w:w="340"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2 993</w:t>
            </w:r>
          </w:p>
        </w:tc>
        <w:tc>
          <w:tcPr>
            <w:tcW w:w="282" w:type="pct"/>
            <w:shd w:val="clear" w:color="auto" w:fill="auto"/>
            <w:noWrap/>
            <w:vAlign w:val="center"/>
            <w:hideMark/>
          </w:tcPr>
          <w:p w:rsidR="00A41AD7" w:rsidRPr="00DF6B0C" w:rsidRDefault="00A41AD7" w:rsidP="00E7317C">
            <w:pPr>
              <w:jc w:val="center"/>
              <w:rPr>
                <w:i/>
                <w:iCs/>
                <w:color w:val="000000"/>
                <w:sz w:val="18"/>
                <w:szCs w:val="18"/>
              </w:rPr>
            </w:pPr>
            <w:r w:rsidRPr="00DF6B0C">
              <w:rPr>
                <w:i/>
                <w:iCs/>
                <w:color w:val="000000"/>
                <w:sz w:val="18"/>
                <w:szCs w:val="18"/>
              </w:rPr>
              <w:t>105,1</w:t>
            </w:r>
          </w:p>
        </w:tc>
      </w:tr>
      <w:tr w:rsidR="00A41AD7" w:rsidRPr="00DF6B0C" w:rsidTr="002A33AD">
        <w:trPr>
          <w:trHeight w:val="270"/>
        </w:trPr>
        <w:tc>
          <w:tcPr>
            <w:tcW w:w="526" w:type="pct"/>
            <w:shd w:val="clear" w:color="auto" w:fill="auto"/>
            <w:vAlign w:val="center"/>
            <w:hideMark/>
          </w:tcPr>
          <w:p w:rsidR="00A41AD7" w:rsidRPr="00DF6B0C" w:rsidRDefault="00A41AD7" w:rsidP="00E7317C">
            <w:pPr>
              <w:ind w:firstLineChars="12" w:firstLine="22"/>
              <w:rPr>
                <w:i/>
                <w:iCs/>
                <w:sz w:val="18"/>
                <w:szCs w:val="18"/>
              </w:rPr>
            </w:pPr>
            <w:r w:rsidRPr="00DF6B0C">
              <w:rPr>
                <w:i/>
                <w:iCs/>
                <w:sz w:val="18"/>
                <w:szCs w:val="18"/>
              </w:rPr>
              <w:t>Автобусы с мощностью двигателя:</w:t>
            </w:r>
          </w:p>
        </w:tc>
        <w:tc>
          <w:tcPr>
            <w:tcW w:w="402" w:type="pct"/>
            <w:shd w:val="clear" w:color="auto" w:fill="auto"/>
            <w:vAlign w:val="center"/>
            <w:hideMark/>
          </w:tcPr>
          <w:p w:rsidR="00A41AD7" w:rsidRPr="00DF6B0C" w:rsidRDefault="00A41AD7" w:rsidP="00E7317C">
            <w:pPr>
              <w:jc w:val="center"/>
              <w:rPr>
                <w:i/>
                <w:iCs/>
                <w:sz w:val="18"/>
                <w:szCs w:val="18"/>
              </w:rPr>
            </w:pPr>
            <w:r w:rsidRPr="00DF6B0C">
              <w:rPr>
                <w:i/>
                <w:iCs/>
                <w:sz w:val="18"/>
                <w:szCs w:val="18"/>
              </w:rPr>
              <w:t>отчет 5-ТН,стр.2425</w:t>
            </w:r>
          </w:p>
        </w:tc>
        <w:tc>
          <w:tcPr>
            <w:tcW w:w="337" w:type="pct"/>
            <w:shd w:val="clear" w:color="auto" w:fill="auto"/>
            <w:vAlign w:val="center"/>
            <w:hideMark/>
          </w:tcPr>
          <w:p w:rsidR="00A41AD7" w:rsidRPr="00DF6B0C" w:rsidRDefault="00A41AD7" w:rsidP="00E7317C">
            <w:pPr>
              <w:jc w:val="center"/>
              <w:rPr>
                <w:sz w:val="18"/>
                <w:szCs w:val="18"/>
              </w:rPr>
            </w:pPr>
            <w:r w:rsidRPr="00DF6B0C">
              <w:rPr>
                <w:sz w:val="18"/>
                <w:szCs w:val="18"/>
              </w:rPr>
              <w:t>17 691</w:t>
            </w:r>
          </w:p>
        </w:tc>
        <w:tc>
          <w:tcPr>
            <w:tcW w:w="260" w:type="pct"/>
            <w:shd w:val="clear" w:color="auto" w:fill="auto"/>
            <w:vAlign w:val="center"/>
            <w:hideMark/>
          </w:tcPr>
          <w:p w:rsidR="00A41AD7" w:rsidRPr="00DF6B0C" w:rsidRDefault="00A41AD7" w:rsidP="00E7317C">
            <w:pPr>
              <w:jc w:val="center"/>
              <w:rPr>
                <w:sz w:val="18"/>
                <w:szCs w:val="18"/>
              </w:rPr>
            </w:pPr>
            <w:r w:rsidRPr="00DF6B0C">
              <w:rPr>
                <w:sz w:val="18"/>
                <w:szCs w:val="18"/>
              </w:rPr>
              <w:t>101,0</w:t>
            </w:r>
          </w:p>
        </w:tc>
        <w:tc>
          <w:tcPr>
            <w:tcW w:w="324" w:type="pct"/>
            <w:shd w:val="clear" w:color="auto" w:fill="auto"/>
            <w:vAlign w:val="center"/>
            <w:hideMark/>
          </w:tcPr>
          <w:p w:rsidR="00A41AD7" w:rsidRPr="00DF6B0C" w:rsidRDefault="00A41AD7" w:rsidP="00E7317C">
            <w:pPr>
              <w:jc w:val="center"/>
              <w:rPr>
                <w:sz w:val="18"/>
                <w:szCs w:val="18"/>
              </w:rPr>
            </w:pPr>
            <w:r w:rsidRPr="00DF6B0C">
              <w:rPr>
                <w:sz w:val="18"/>
                <w:szCs w:val="18"/>
              </w:rPr>
              <w:t>17 993</w:t>
            </w:r>
          </w:p>
        </w:tc>
        <w:tc>
          <w:tcPr>
            <w:tcW w:w="243" w:type="pct"/>
            <w:shd w:val="clear" w:color="auto" w:fill="auto"/>
            <w:vAlign w:val="center"/>
            <w:hideMark/>
          </w:tcPr>
          <w:p w:rsidR="00A41AD7" w:rsidRPr="00DF6B0C" w:rsidRDefault="00A41AD7" w:rsidP="00E7317C">
            <w:pPr>
              <w:jc w:val="center"/>
              <w:rPr>
                <w:sz w:val="18"/>
                <w:szCs w:val="18"/>
              </w:rPr>
            </w:pPr>
            <w:r w:rsidRPr="00DF6B0C">
              <w:rPr>
                <w:sz w:val="18"/>
                <w:szCs w:val="18"/>
              </w:rPr>
              <w:t>101,7</w:t>
            </w:r>
          </w:p>
        </w:tc>
        <w:tc>
          <w:tcPr>
            <w:tcW w:w="344" w:type="pct"/>
            <w:shd w:val="clear" w:color="auto" w:fill="auto"/>
            <w:vAlign w:val="center"/>
            <w:hideMark/>
          </w:tcPr>
          <w:p w:rsidR="00A41AD7" w:rsidRPr="00DF6B0C" w:rsidRDefault="00A41AD7" w:rsidP="00E7317C">
            <w:pPr>
              <w:jc w:val="center"/>
              <w:rPr>
                <w:sz w:val="18"/>
                <w:szCs w:val="18"/>
              </w:rPr>
            </w:pPr>
            <w:r w:rsidRPr="00DF6B0C">
              <w:rPr>
                <w:sz w:val="18"/>
                <w:szCs w:val="18"/>
              </w:rPr>
              <w:t>15 568</w:t>
            </w:r>
          </w:p>
        </w:tc>
        <w:tc>
          <w:tcPr>
            <w:tcW w:w="240" w:type="pct"/>
            <w:shd w:val="clear" w:color="auto" w:fill="auto"/>
            <w:vAlign w:val="center"/>
            <w:hideMark/>
          </w:tcPr>
          <w:p w:rsidR="00A41AD7" w:rsidRPr="00DF6B0C" w:rsidRDefault="00A41AD7" w:rsidP="00E7317C">
            <w:pPr>
              <w:jc w:val="center"/>
              <w:rPr>
                <w:sz w:val="18"/>
                <w:szCs w:val="18"/>
              </w:rPr>
            </w:pPr>
            <w:r w:rsidRPr="00DF6B0C">
              <w:rPr>
                <w:sz w:val="18"/>
                <w:szCs w:val="18"/>
              </w:rPr>
              <w:t>86,5</w:t>
            </w:r>
          </w:p>
        </w:tc>
        <w:tc>
          <w:tcPr>
            <w:tcW w:w="331" w:type="pct"/>
            <w:shd w:val="clear" w:color="auto" w:fill="auto"/>
            <w:vAlign w:val="center"/>
            <w:hideMark/>
          </w:tcPr>
          <w:p w:rsidR="00A41AD7" w:rsidRPr="00DF6B0C" w:rsidRDefault="00A41AD7" w:rsidP="00E7317C">
            <w:pPr>
              <w:jc w:val="center"/>
              <w:rPr>
                <w:sz w:val="18"/>
                <w:szCs w:val="18"/>
              </w:rPr>
            </w:pPr>
            <w:r w:rsidRPr="00DF6B0C">
              <w:rPr>
                <w:sz w:val="18"/>
                <w:szCs w:val="18"/>
              </w:rPr>
              <w:t>15 854</w:t>
            </w:r>
          </w:p>
        </w:tc>
        <w:tc>
          <w:tcPr>
            <w:tcW w:w="253" w:type="pct"/>
            <w:shd w:val="clear" w:color="auto" w:fill="auto"/>
            <w:vAlign w:val="center"/>
            <w:hideMark/>
          </w:tcPr>
          <w:p w:rsidR="00A41AD7" w:rsidRPr="00DF6B0C" w:rsidRDefault="00A41AD7" w:rsidP="00E7317C">
            <w:pPr>
              <w:jc w:val="center"/>
              <w:rPr>
                <w:sz w:val="18"/>
                <w:szCs w:val="18"/>
              </w:rPr>
            </w:pPr>
            <w:r w:rsidRPr="00DF6B0C">
              <w:rPr>
                <w:sz w:val="18"/>
                <w:szCs w:val="18"/>
              </w:rPr>
              <w:t>101,8</w:t>
            </w:r>
          </w:p>
        </w:tc>
        <w:tc>
          <w:tcPr>
            <w:tcW w:w="318"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16 176</w:t>
            </w:r>
          </w:p>
        </w:tc>
        <w:tc>
          <w:tcPr>
            <w:tcW w:w="265" w:type="pct"/>
            <w:shd w:val="clear" w:color="auto" w:fill="auto"/>
            <w:noWrap/>
            <w:vAlign w:val="center"/>
            <w:hideMark/>
          </w:tcPr>
          <w:p w:rsidR="00A41AD7" w:rsidRPr="00DF6B0C" w:rsidRDefault="00A41AD7" w:rsidP="00E7317C">
            <w:pPr>
              <w:jc w:val="center"/>
              <w:rPr>
                <w:i/>
                <w:iCs/>
                <w:color w:val="000000"/>
                <w:sz w:val="18"/>
                <w:szCs w:val="18"/>
              </w:rPr>
            </w:pPr>
            <w:r w:rsidRPr="00DF6B0C">
              <w:rPr>
                <w:i/>
                <w:iCs/>
                <w:color w:val="000000"/>
                <w:sz w:val="18"/>
                <w:szCs w:val="18"/>
              </w:rPr>
              <w:t>102,0</w:t>
            </w:r>
          </w:p>
        </w:tc>
        <w:tc>
          <w:tcPr>
            <w:tcW w:w="305"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16 979</w:t>
            </w:r>
          </w:p>
        </w:tc>
        <w:tc>
          <w:tcPr>
            <w:tcW w:w="230" w:type="pct"/>
            <w:shd w:val="clear" w:color="auto" w:fill="auto"/>
            <w:noWrap/>
            <w:vAlign w:val="center"/>
            <w:hideMark/>
          </w:tcPr>
          <w:p w:rsidR="00A41AD7" w:rsidRPr="00DF6B0C" w:rsidRDefault="00A41AD7" w:rsidP="00E7317C">
            <w:pPr>
              <w:jc w:val="center"/>
              <w:rPr>
                <w:i/>
                <w:iCs/>
                <w:color w:val="000000"/>
                <w:sz w:val="18"/>
                <w:szCs w:val="18"/>
              </w:rPr>
            </w:pPr>
            <w:r w:rsidRPr="00DF6B0C">
              <w:rPr>
                <w:i/>
                <w:iCs/>
                <w:color w:val="000000"/>
                <w:sz w:val="18"/>
                <w:szCs w:val="18"/>
              </w:rPr>
              <w:t>105,0</w:t>
            </w:r>
          </w:p>
        </w:tc>
        <w:tc>
          <w:tcPr>
            <w:tcW w:w="340"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18 081</w:t>
            </w:r>
          </w:p>
        </w:tc>
        <w:tc>
          <w:tcPr>
            <w:tcW w:w="282" w:type="pct"/>
            <w:shd w:val="clear" w:color="auto" w:fill="auto"/>
            <w:noWrap/>
            <w:vAlign w:val="center"/>
            <w:hideMark/>
          </w:tcPr>
          <w:p w:rsidR="00A41AD7" w:rsidRPr="00DF6B0C" w:rsidRDefault="00A41AD7" w:rsidP="00E7317C">
            <w:pPr>
              <w:jc w:val="center"/>
              <w:rPr>
                <w:i/>
                <w:iCs/>
                <w:color w:val="000000"/>
                <w:sz w:val="18"/>
                <w:szCs w:val="18"/>
              </w:rPr>
            </w:pPr>
            <w:r w:rsidRPr="00DF6B0C">
              <w:rPr>
                <w:i/>
                <w:iCs/>
                <w:color w:val="000000"/>
                <w:sz w:val="18"/>
                <w:szCs w:val="18"/>
              </w:rPr>
              <w:t>106,5</w:t>
            </w:r>
          </w:p>
        </w:tc>
      </w:tr>
      <w:tr w:rsidR="00A41AD7" w:rsidRPr="00DF6B0C" w:rsidTr="002A33AD">
        <w:trPr>
          <w:trHeight w:val="418"/>
        </w:trPr>
        <w:tc>
          <w:tcPr>
            <w:tcW w:w="526" w:type="pct"/>
            <w:shd w:val="clear" w:color="auto" w:fill="auto"/>
            <w:vAlign w:val="center"/>
            <w:hideMark/>
          </w:tcPr>
          <w:p w:rsidR="00A41AD7" w:rsidRPr="00DF6B0C" w:rsidRDefault="00A41AD7" w:rsidP="00E7317C">
            <w:pPr>
              <w:ind w:firstLineChars="12" w:firstLine="22"/>
              <w:rPr>
                <w:sz w:val="18"/>
                <w:szCs w:val="18"/>
              </w:rPr>
            </w:pPr>
            <w:r w:rsidRPr="00DF6B0C">
              <w:rPr>
                <w:sz w:val="18"/>
                <w:szCs w:val="18"/>
              </w:rPr>
              <w:t>до 200 л.с. (до 147,1 кВт) включительно</w:t>
            </w:r>
          </w:p>
        </w:tc>
        <w:tc>
          <w:tcPr>
            <w:tcW w:w="402" w:type="pct"/>
            <w:shd w:val="clear" w:color="auto" w:fill="auto"/>
            <w:vAlign w:val="center"/>
            <w:hideMark/>
          </w:tcPr>
          <w:p w:rsidR="00A41AD7" w:rsidRPr="00DF6B0C" w:rsidRDefault="00A41AD7" w:rsidP="00E7317C">
            <w:pPr>
              <w:jc w:val="center"/>
              <w:rPr>
                <w:sz w:val="18"/>
                <w:szCs w:val="18"/>
              </w:rPr>
            </w:pPr>
            <w:r w:rsidRPr="00DF6B0C">
              <w:rPr>
                <w:sz w:val="18"/>
                <w:szCs w:val="18"/>
              </w:rPr>
              <w:t>отчет 5-ТН,стр.2426</w:t>
            </w:r>
          </w:p>
        </w:tc>
        <w:tc>
          <w:tcPr>
            <w:tcW w:w="337"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13 315</w:t>
            </w:r>
          </w:p>
        </w:tc>
        <w:tc>
          <w:tcPr>
            <w:tcW w:w="260"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99,1</w:t>
            </w:r>
          </w:p>
        </w:tc>
        <w:tc>
          <w:tcPr>
            <w:tcW w:w="324"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12 706</w:t>
            </w:r>
          </w:p>
        </w:tc>
        <w:tc>
          <w:tcPr>
            <w:tcW w:w="243"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95,4</w:t>
            </w:r>
          </w:p>
        </w:tc>
        <w:tc>
          <w:tcPr>
            <w:tcW w:w="344"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10 433</w:t>
            </w:r>
          </w:p>
        </w:tc>
        <w:tc>
          <w:tcPr>
            <w:tcW w:w="240"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82,1</w:t>
            </w:r>
          </w:p>
        </w:tc>
        <w:tc>
          <w:tcPr>
            <w:tcW w:w="331"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9 539</w:t>
            </w:r>
          </w:p>
        </w:tc>
        <w:tc>
          <w:tcPr>
            <w:tcW w:w="253"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91,4</w:t>
            </w:r>
          </w:p>
        </w:tc>
        <w:tc>
          <w:tcPr>
            <w:tcW w:w="318"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8 660</w:t>
            </w:r>
          </w:p>
        </w:tc>
        <w:tc>
          <w:tcPr>
            <w:tcW w:w="265" w:type="pct"/>
            <w:shd w:val="clear" w:color="auto" w:fill="auto"/>
            <w:noWrap/>
            <w:vAlign w:val="center"/>
            <w:hideMark/>
          </w:tcPr>
          <w:p w:rsidR="00A41AD7" w:rsidRPr="00DF6B0C" w:rsidRDefault="00A41AD7" w:rsidP="00E7317C">
            <w:pPr>
              <w:jc w:val="center"/>
              <w:rPr>
                <w:i/>
                <w:iCs/>
                <w:color w:val="000000"/>
                <w:sz w:val="18"/>
                <w:szCs w:val="18"/>
              </w:rPr>
            </w:pPr>
            <w:r w:rsidRPr="00DF6B0C">
              <w:rPr>
                <w:i/>
                <w:iCs/>
                <w:color w:val="000000"/>
                <w:sz w:val="18"/>
                <w:szCs w:val="18"/>
              </w:rPr>
              <w:t>90,8</w:t>
            </w:r>
          </w:p>
        </w:tc>
        <w:tc>
          <w:tcPr>
            <w:tcW w:w="305"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7 889</w:t>
            </w:r>
          </w:p>
        </w:tc>
        <w:tc>
          <w:tcPr>
            <w:tcW w:w="230" w:type="pct"/>
            <w:shd w:val="clear" w:color="auto" w:fill="auto"/>
            <w:noWrap/>
            <w:vAlign w:val="center"/>
            <w:hideMark/>
          </w:tcPr>
          <w:p w:rsidR="00A41AD7" w:rsidRPr="00DF6B0C" w:rsidRDefault="00A41AD7" w:rsidP="00E7317C">
            <w:pPr>
              <w:jc w:val="center"/>
              <w:rPr>
                <w:i/>
                <w:iCs/>
                <w:color w:val="000000"/>
                <w:sz w:val="18"/>
                <w:szCs w:val="18"/>
              </w:rPr>
            </w:pPr>
            <w:r w:rsidRPr="00DF6B0C">
              <w:rPr>
                <w:i/>
                <w:iCs/>
                <w:color w:val="000000"/>
                <w:sz w:val="18"/>
                <w:szCs w:val="18"/>
              </w:rPr>
              <w:t>91,1</w:t>
            </w:r>
          </w:p>
        </w:tc>
        <w:tc>
          <w:tcPr>
            <w:tcW w:w="340"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7 178</w:t>
            </w:r>
          </w:p>
        </w:tc>
        <w:tc>
          <w:tcPr>
            <w:tcW w:w="282" w:type="pct"/>
            <w:shd w:val="clear" w:color="auto" w:fill="auto"/>
            <w:noWrap/>
            <w:vAlign w:val="center"/>
            <w:hideMark/>
          </w:tcPr>
          <w:p w:rsidR="00A41AD7" w:rsidRPr="00DF6B0C" w:rsidRDefault="00A41AD7" w:rsidP="00E7317C">
            <w:pPr>
              <w:jc w:val="center"/>
              <w:rPr>
                <w:i/>
                <w:iCs/>
                <w:color w:val="000000"/>
                <w:sz w:val="18"/>
                <w:szCs w:val="18"/>
              </w:rPr>
            </w:pPr>
            <w:r w:rsidRPr="00DF6B0C">
              <w:rPr>
                <w:i/>
                <w:iCs/>
                <w:color w:val="000000"/>
                <w:sz w:val="18"/>
                <w:szCs w:val="18"/>
              </w:rPr>
              <w:t>91,0</w:t>
            </w:r>
          </w:p>
        </w:tc>
      </w:tr>
      <w:tr w:rsidR="00A41AD7" w:rsidRPr="00DF6B0C" w:rsidTr="002A33AD">
        <w:trPr>
          <w:trHeight w:val="411"/>
        </w:trPr>
        <w:tc>
          <w:tcPr>
            <w:tcW w:w="526" w:type="pct"/>
            <w:shd w:val="clear" w:color="auto" w:fill="auto"/>
            <w:vAlign w:val="center"/>
            <w:hideMark/>
          </w:tcPr>
          <w:p w:rsidR="00A41AD7" w:rsidRPr="00DF6B0C" w:rsidRDefault="00A41AD7" w:rsidP="00E7317C">
            <w:pPr>
              <w:ind w:firstLineChars="12" w:firstLine="22"/>
              <w:rPr>
                <w:sz w:val="18"/>
                <w:szCs w:val="18"/>
              </w:rPr>
            </w:pPr>
            <w:r w:rsidRPr="00DF6B0C">
              <w:rPr>
                <w:sz w:val="18"/>
                <w:szCs w:val="18"/>
              </w:rPr>
              <w:t>свыше 200 л.с. (свыше 147,1 кВт)</w:t>
            </w:r>
          </w:p>
        </w:tc>
        <w:tc>
          <w:tcPr>
            <w:tcW w:w="402" w:type="pct"/>
            <w:shd w:val="clear" w:color="auto" w:fill="auto"/>
            <w:vAlign w:val="center"/>
            <w:hideMark/>
          </w:tcPr>
          <w:p w:rsidR="00A41AD7" w:rsidRPr="00DF6B0C" w:rsidRDefault="00A41AD7" w:rsidP="00E7317C">
            <w:pPr>
              <w:jc w:val="center"/>
              <w:rPr>
                <w:sz w:val="18"/>
                <w:szCs w:val="18"/>
              </w:rPr>
            </w:pPr>
            <w:r w:rsidRPr="00DF6B0C">
              <w:rPr>
                <w:sz w:val="18"/>
                <w:szCs w:val="18"/>
              </w:rPr>
              <w:t>отчет 5-ТН,стр.2427</w:t>
            </w:r>
          </w:p>
        </w:tc>
        <w:tc>
          <w:tcPr>
            <w:tcW w:w="337"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4 376</w:t>
            </w:r>
          </w:p>
        </w:tc>
        <w:tc>
          <w:tcPr>
            <w:tcW w:w="260"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107,0</w:t>
            </w:r>
          </w:p>
        </w:tc>
        <w:tc>
          <w:tcPr>
            <w:tcW w:w="324"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5 287</w:t>
            </w:r>
          </w:p>
        </w:tc>
        <w:tc>
          <w:tcPr>
            <w:tcW w:w="243"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120,8</w:t>
            </w:r>
          </w:p>
        </w:tc>
        <w:tc>
          <w:tcPr>
            <w:tcW w:w="344"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5 135</w:t>
            </w:r>
          </w:p>
        </w:tc>
        <w:tc>
          <w:tcPr>
            <w:tcW w:w="240"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97,1</w:t>
            </w:r>
          </w:p>
        </w:tc>
        <w:tc>
          <w:tcPr>
            <w:tcW w:w="331"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6 315</w:t>
            </w:r>
          </w:p>
        </w:tc>
        <w:tc>
          <w:tcPr>
            <w:tcW w:w="253"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123,0</w:t>
            </w:r>
          </w:p>
        </w:tc>
        <w:tc>
          <w:tcPr>
            <w:tcW w:w="318"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7 516</w:t>
            </w:r>
          </w:p>
        </w:tc>
        <w:tc>
          <w:tcPr>
            <w:tcW w:w="265" w:type="pct"/>
            <w:shd w:val="clear" w:color="auto" w:fill="auto"/>
            <w:noWrap/>
            <w:vAlign w:val="center"/>
            <w:hideMark/>
          </w:tcPr>
          <w:p w:rsidR="00A41AD7" w:rsidRPr="00DF6B0C" w:rsidRDefault="00A41AD7" w:rsidP="00E7317C">
            <w:pPr>
              <w:jc w:val="center"/>
              <w:rPr>
                <w:i/>
                <w:iCs/>
                <w:color w:val="000000"/>
                <w:sz w:val="18"/>
                <w:szCs w:val="18"/>
              </w:rPr>
            </w:pPr>
            <w:r w:rsidRPr="00DF6B0C">
              <w:rPr>
                <w:i/>
                <w:iCs/>
                <w:color w:val="000000"/>
                <w:sz w:val="18"/>
                <w:szCs w:val="18"/>
              </w:rPr>
              <w:t>119,0</w:t>
            </w:r>
          </w:p>
        </w:tc>
        <w:tc>
          <w:tcPr>
            <w:tcW w:w="305"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9 090</w:t>
            </w:r>
          </w:p>
        </w:tc>
        <w:tc>
          <w:tcPr>
            <w:tcW w:w="230" w:type="pct"/>
            <w:shd w:val="clear" w:color="auto" w:fill="auto"/>
            <w:noWrap/>
            <w:vAlign w:val="center"/>
            <w:hideMark/>
          </w:tcPr>
          <w:p w:rsidR="00A41AD7" w:rsidRPr="00DF6B0C" w:rsidRDefault="00A41AD7" w:rsidP="00E7317C">
            <w:pPr>
              <w:jc w:val="center"/>
              <w:rPr>
                <w:i/>
                <w:iCs/>
                <w:color w:val="000000"/>
                <w:sz w:val="18"/>
                <w:szCs w:val="18"/>
              </w:rPr>
            </w:pPr>
            <w:r w:rsidRPr="00DF6B0C">
              <w:rPr>
                <w:i/>
                <w:iCs/>
                <w:color w:val="000000"/>
                <w:sz w:val="18"/>
                <w:szCs w:val="18"/>
              </w:rPr>
              <w:t>120,9</w:t>
            </w:r>
          </w:p>
        </w:tc>
        <w:tc>
          <w:tcPr>
            <w:tcW w:w="340"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10 903</w:t>
            </w:r>
          </w:p>
        </w:tc>
        <w:tc>
          <w:tcPr>
            <w:tcW w:w="282" w:type="pct"/>
            <w:shd w:val="clear" w:color="auto" w:fill="auto"/>
            <w:noWrap/>
            <w:vAlign w:val="center"/>
            <w:hideMark/>
          </w:tcPr>
          <w:p w:rsidR="00A41AD7" w:rsidRPr="00DF6B0C" w:rsidRDefault="00A41AD7" w:rsidP="00E7317C">
            <w:pPr>
              <w:jc w:val="center"/>
              <w:rPr>
                <w:i/>
                <w:iCs/>
                <w:color w:val="000000"/>
                <w:sz w:val="18"/>
                <w:szCs w:val="18"/>
              </w:rPr>
            </w:pPr>
            <w:r w:rsidRPr="00DF6B0C">
              <w:rPr>
                <w:i/>
                <w:iCs/>
                <w:color w:val="000000"/>
                <w:sz w:val="18"/>
                <w:szCs w:val="18"/>
              </w:rPr>
              <w:t>119,9</w:t>
            </w:r>
          </w:p>
        </w:tc>
      </w:tr>
      <w:tr w:rsidR="00A41AD7" w:rsidRPr="00DF6B0C" w:rsidTr="002A33AD">
        <w:trPr>
          <w:trHeight w:val="416"/>
        </w:trPr>
        <w:tc>
          <w:tcPr>
            <w:tcW w:w="526" w:type="pct"/>
            <w:shd w:val="clear" w:color="auto" w:fill="auto"/>
            <w:vAlign w:val="center"/>
            <w:hideMark/>
          </w:tcPr>
          <w:p w:rsidR="00A41AD7" w:rsidRPr="00DF6B0C" w:rsidRDefault="00A41AD7" w:rsidP="00E7317C">
            <w:pPr>
              <w:rPr>
                <w:i/>
                <w:iCs/>
                <w:sz w:val="18"/>
                <w:szCs w:val="18"/>
              </w:rPr>
            </w:pPr>
            <w:r w:rsidRPr="00DF6B0C">
              <w:rPr>
                <w:i/>
                <w:iCs/>
                <w:sz w:val="18"/>
                <w:szCs w:val="18"/>
              </w:rPr>
              <w:t xml:space="preserve"> Автомобили грузовые с мощностью двигателя:</w:t>
            </w:r>
          </w:p>
        </w:tc>
        <w:tc>
          <w:tcPr>
            <w:tcW w:w="402" w:type="pct"/>
            <w:shd w:val="clear" w:color="auto" w:fill="auto"/>
            <w:vAlign w:val="center"/>
            <w:hideMark/>
          </w:tcPr>
          <w:p w:rsidR="00A41AD7" w:rsidRPr="00DF6B0C" w:rsidRDefault="00A41AD7" w:rsidP="00E7317C">
            <w:pPr>
              <w:jc w:val="center"/>
              <w:rPr>
                <w:i/>
                <w:iCs/>
                <w:sz w:val="18"/>
                <w:szCs w:val="18"/>
              </w:rPr>
            </w:pPr>
            <w:r w:rsidRPr="00DF6B0C">
              <w:rPr>
                <w:i/>
                <w:iCs/>
                <w:sz w:val="18"/>
                <w:szCs w:val="18"/>
              </w:rPr>
              <w:t>отчет 5-ТН,стр.2428</w:t>
            </w:r>
          </w:p>
        </w:tc>
        <w:tc>
          <w:tcPr>
            <w:tcW w:w="337" w:type="pct"/>
            <w:shd w:val="clear" w:color="auto" w:fill="auto"/>
            <w:vAlign w:val="center"/>
            <w:hideMark/>
          </w:tcPr>
          <w:p w:rsidR="00A41AD7" w:rsidRPr="00DF6B0C" w:rsidRDefault="00A41AD7" w:rsidP="00E7317C">
            <w:pPr>
              <w:jc w:val="center"/>
              <w:rPr>
                <w:sz w:val="18"/>
                <w:szCs w:val="18"/>
              </w:rPr>
            </w:pPr>
            <w:r w:rsidRPr="00DF6B0C">
              <w:rPr>
                <w:sz w:val="18"/>
                <w:szCs w:val="18"/>
              </w:rPr>
              <w:t>280 549</w:t>
            </w:r>
          </w:p>
        </w:tc>
        <w:tc>
          <w:tcPr>
            <w:tcW w:w="260" w:type="pct"/>
            <w:shd w:val="clear" w:color="auto" w:fill="auto"/>
            <w:vAlign w:val="center"/>
            <w:hideMark/>
          </w:tcPr>
          <w:p w:rsidR="00A41AD7" w:rsidRPr="00DF6B0C" w:rsidRDefault="00A41AD7" w:rsidP="00E7317C">
            <w:pPr>
              <w:jc w:val="center"/>
              <w:rPr>
                <w:sz w:val="18"/>
                <w:szCs w:val="18"/>
              </w:rPr>
            </w:pPr>
            <w:r w:rsidRPr="00DF6B0C">
              <w:rPr>
                <w:sz w:val="18"/>
                <w:szCs w:val="18"/>
              </w:rPr>
              <w:t>99,3</w:t>
            </w:r>
          </w:p>
        </w:tc>
        <w:tc>
          <w:tcPr>
            <w:tcW w:w="324" w:type="pct"/>
            <w:shd w:val="clear" w:color="auto" w:fill="auto"/>
            <w:vAlign w:val="center"/>
            <w:hideMark/>
          </w:tcPr>
          <w:p w:rsidR="00A41AD7" w:rsidRPr="00DF6B0C" w:rsidRDefault="00A41AD7" w:rsidP="00E7317C">
            <w:pPr>
              <w:jc w:val="center"/>
              <w:rPr>
                <w:sz w:val="18"/>
                <w:szCs w:val="18"/>
              </w:rPr>
            </w:pPr>
            <w:r w:rsidRPr="00DF6B0C">
              <w:rPr>
                <w:sz w:val="18"/>
                <w:szCs w:val="18"/>
              </w:rPr>
              <w:t>322 028</w:t>
            </w:r>
          </w:p>
        </w:tc>
        <w:tc>
          <w:tcPr>
            <w:tcW w:w="243" w:type="pct"/>
            <w:shd w:val="clear" w:color="auto" w:fill="auto"/>
            <w:vAlign w:val="center"/>
            <w:hideMark/>
          </w:tcPr>
          <w:p w:rsidR="00A41AD7" w:rsidRPr="00DF6B0C" w:rsidRDefault="00A41AD7" w:rsidP="00E7317C">
            <w:pPr>
              <w:jc w:val="center"/>
              <w:rPr>
                <w:sz w:val="18"/>
                <w:szCs w:val="18"/>
              </w:rPr>
            </w:pPr>
            <w:r w:rsidRPr="00DF6B0C">
              <w:rPr>
                <w:sz w:val="18"/>
                <w:szCs w:val="18"/>
              </w:rPr>
              <w:t>114,8</w:t>
            </w:r>
          </w:p>
        </w:tc>
        <w:tc>
          <w:tcPr>
            <w:tcW w:w="344" w:type="pct"/>
            <w:shd w:val="clear" w:color="auto" w:fill="auto"/>
            <w:vAlign w:val="center"/>
            <w:hideMark/>
          </w:tcPr>
          <w:p w:rsidR="00A41AD7" w:rsidRPr="00DF6B0C" w:rsidRDefault="00A41AD7" w:rsidP="00E7317C">
            <w:pPr>
              <w:jc w:val="center"/>
              <w:rPr>
                <w:sz w:val="18"/>
                <w:szCs w:val="18"/>
              </w:rPr>
            </w:pPr>
            <w:r w:rsidRPr="00DF6B0C">
              <w:rPr>
                <w:sz w:val="18"/>
                <w:szCs w:val="18"/>
              </w:rPr>
              <w:t>302 545</w:t>
            </w:r>
          </w:p>
        </w:tc>
        <w:tc>
          <w:tcPr>
            <w:tcW w:w="240" w:type="pct"/>
            <w:shd w:val="clear" w:color="auto" w:fill="auto"/>
            <w:vAlign w:val="center"/>
            <w:hideMark/>
          </w:tcPr>
          <w:p w:rsidR="00A41AD7" w:rsidRPr="00DF6B0C" w:rsidRDefault="00A41AD7" w:rsidP="00E7317C">
            <w:pPr>
              <w:jc w:val="center"/>
              <w:rPr>
                <w:sz w:val="18"/>
                <w:szCs w:val="18"/>
              </w:rPr>
            </w:pPr>
            <w:r w:rsidRPr="00DF6B0C">
              <w:rPr>
                <w:sz w:val="18"/>
                <w:szCs w:val="18"/>
              </w:rPr>
              <w:t>93,9</w:t>
            </w:r>
          </w:p>
        </w:tc>
        <w:tc>
          <w:tcPr>
            <w:tcW w:w="331" w:type="pct"/>
            <w:shd w:val="clear" w:color="auto" w:fill="auto"/>
            <w:vAlign w:val="center"/>
            <w:hideMark/>
          </w:tcPr>
          <w:p w:rsidR="00A41AD7" w:rsidRPr="00DF6B0C" w:rsidRDefault="00A41AD7" w:rsidP="00E7317C">
            <w:pPr>
              <w:jc w:val="center"/>
              <w:rPr>
                <w:sz w:val="18"/>
                <w:szCs w:val="18"/>
              </w:rPr>
            </w:pPr>
            <w:r w:rsidRPr="00DF6B0C">
              <w:rPr>
                <w:sz w:val="18"/>
                <w:szCs w:val="18"/>
              </w:rPr>
              <w:t>311 877</w:t>
            </w:r>
          </w:p>
        </w:tc>
        <w:tc>
          <w:tcPr>
            <w:tcW w:w="253" w:type="pct"/>
            <w:shd w:val="clear" w:color="auto" w:fill="auto"/>
            <w:vAlign w:val="center"/>
            <w:hideMark/>
          </w:tcPr>
          <w:p w:rsidR="00A41AD7" w:rsidRPr="00DF6B0C" w:rsidRDefault="00A41AD7" w:rsidP="00E7317C">
            <w:pPr>
              <w:jc w:val="center"/>
              <w:rPr>
                <w:sz w:val="18"/>
                <w:szCs w:val="18"/>
              </w:rPr>
            </w:pPr>
            <w:r w:rsidRPr="00DF6B0C">
              <w:rPr>
                <w:sz w:val="18"/>
                <w:szCs w:val="18"/>
              </w:rPr>
              <w:t>103,1</w:t>
            </w:r>
          </w:p>
        </w:tc>
        <w:tc>
          <w:tcPr>
            <w:tcW w:w="318"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315 675</w:t>
            </w:r>
          </w:p>
        </w:tc>
        <w:tc>
          <w:tcPr>
            <w:tcW w:w="265" w:type="pct"/>
            <w:shd w:val="clear" w:color="auto" w:fill="auto"/>
            <w:noWrap/>
            <w:vAlign w:val="center"/>
            <w:hideMark/>
          </w:tcPr>
          <w:p w:rsidR="00A41AD7" w:rsidRPr="00DF6B0C" w:rsidRDefault="00A41AD7" w:rsidP="00E7317C">
            <w:pPr>
              <w:jc w:val="center"/>
              <w:rPr>
                <w:i/>
                <w:iCs/>
                <w:color w:val="000000"/>
                <w:sz w:val="18"/>
                <w:szCs w:val="18"/>
              </w:rPr>
            </w:pPr>
            <w:r w:rsidRPr="00DF6B0C">
              <w:rPr>
                <w:i/>
                <w:iCs/>
                <w:color w:val="000000"/>
                <w:sz w:val="18"/>
                <w:szCs w:val="18"/>
              </w:rPr>
              <w:t>101,2</w:t>
            </w:r>
          </w:p>
        </w:tc>
        <w:tc>
          <w:tcPr>
            <w:tcW w:w="305"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323 049</w:t>
            </w:r>
          </w:p>
        </w:tc>
        <w:tc>
          <w:tcPr>
            <w:tcW w:w="230" w:type="pct"/>
            <w:shd w:val="clear" w:color="auto" w:fill="auto"/>
            <w:noWrap/>
            <w:vAlign w:val="center"/>
            <w:hideMark/>
          </w:tcPr>
          <w:p w:rsidR="00A41AD7" w:rsidRPr="00DF6B0C" w:rsidRDefault="00A41AD7" w:rsidP="00E7317C">
            <w:pPr>
              <w:jc w:val="center"/>
              <w:rPr>
                <w:i/>
                <w:iCs/>
                <w:color w:val="000000"/>
                <w:sz w:val="18"/>
                <w:szCs w:val="18"/>
              </w:rPr>
            </w:pPr>
            <w:r w:rsidRPr="00DF6B0C">
              <w:rPr>
                <w:i/>
                <w:iCs/>
                <w:color w:val="000000"/>
                <w:sz w:val="18"/>
                <w:szCs w:val="18"/>
              </w:rPr>
              <w:t>102,3</w:t>
            </w:r>
          </w:p>
        </w:tc>
        <w:tc>
          <w:tcPr>
            <w:tcW w:w="340"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329 240</w:t>
            </w:r>
          </w:p>
        </w:tc>
        <w:tc>
          <w:tcPr>
            <w:tcW w:w="282" w:type="pct"/>
            <w:shd w:val="clear" w:color="auto" w:fill="auto"/>
            <w:noWrap/>
            <w:vAlign w:val="center"/>
            <w:hideMark/>
          </w:tcPr>
          <w:p w:rsidR="00A41AD7" w:rsidRPr="00DF6B0C" w:rsidRDefault="00A41AD7" w:rsidP="00E7317C">
            <w:pPr>
              <w:jc w:val="center"/>
              <w:rPr>
                <w:i/>
                <w:iCs/>
                <w:color w:val="000000"/>
                <w:sz w:val="18"/>
                <w:szCs w:val="18"/>
              </w:rPr>
            </w:pPr>
            <w:r w:rsidRPr="00DF6B0C">
              <w:rPr>
                <w:i/>
                <w:iCs/>
                <w:color w:val="000000"/>
                <w:sz w:val="18"/>
                <w:szCs w:val="18"/>
              </w:rPr>
              <w:t>101,9</w:t>
            </w:r>
          </w:p>
        </w:tc>
      </w:tr>
      <w:tr w:rsidR="00A41AD7" w:rsidRPr="00DF6B0C" w:rsidTr="002A33AD">
        <w:trPr>
          <w:trHeight w:val="421"/>
        </w:trPr>
        <w:tc>
          <w:tcPr>
            <w:tcW w:w="526" w:type="pct"/>
            <w:shd w:val="clear" w:color="auto" w:fill="auto"/>
            <w:vAlign w:val="center"/>
            <w:hideMark/>
          </w:tcPr>
          <w:p w:rsidR="00A41AD7" w:rsidRPr="00DF6B0C" w:rsidRDefault="00A41AD7" w:rsidP="00E7317C">
            <w:pPr>
              <w:ind w:firstLineChars="12" w:firstLine="22"/>
              <w:rPr>
                <w:sz w:val="18"/>
                <w:szCs w:val="18"/>
              </w:rPr>
            </w:pPr>
            <w:r w:rsidRPr="00DF6B0C">
              <w:rPr>
                <w:sz w:val="18"/>
                <w:szCs w:val="18"/>
              </w:rPr>
              <w:t>до 100 л.с. (до 73,55 кВт) включительно</w:t>
            </w:r>
          </w:p>
        </w:tc>
        <w:tc>
          <w:tcPr>
            <w:tcW w:w="402" w:type="pct"/>
            <w:shd w:val="clear" w:color="auto" w:fill="auto"/>
            <w:vAlign w:val="center"/>
            <w:hideMark/>
          </w:tcPr>
          <w:p w:rsidR="00A41AD7" w:rsidRPr="00DF6B0C" w:rsidRDefault="00A41AD7" w:rsidP="00E7317C">
            <w:pPr>
              <w:jc w:val="center"/>
              <w:rPr>
                <w:sz w:val="18"/>
                <w:szCs w:val="18"/>
              </w:rPr>
            </w:pPr>
            <w:r w:rsidRPr="00DF6B0C">
              <w:rPr>
                <w:sz w:val="18"/>
                <w:szCs w:val="18"/>
              </w:rPr>
              <w:t>отчет 5-ТН,стр.2429</w:t>
            </w:r>
          </w:p>
        </w:tc>
        <w:tc>
          <w:tcPr>
            <w:tcW w:w="337"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24 640</w:t>
            </w:r>
          </w:p>
        </w:tc>
        <w:tc>
          <w:tcPr>
            <w:tcW w:w="260"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100,8</w:t>
            </w:r>
          </w:p>
        </w:tc>
        <w:tc>
          <w:tcPr>
            <w:tcW w:w="324"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23 568</w:t>
            </w:r>
          </w:p>
        </w:tc>
        <w:tc>
          <w:tcPr>
            <w:tcW w:w="243"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95,6</w:t>
            </w:r>
          </w:p>
        </w:tc>
        <w:tc>
          <w:tcPr>
            <w:tcW w:w="344"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22 654</w:t>
            </w:r>
          </w:p>
        </w:tc>
        <w:tc>
          <w:tcPr>
            <w:tcW w:w="240"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96,1</w:t>
            </w:r>
          </w:p>
        </w:tc>
        <w:tc>
          <w:tcPr>
            <w:tcW w:w="331"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21 821</w:t>
            </w:r>
          </w:p>
        </w:tc>
        <w:tc>
          <w:tcPr>
            <w:tcW w:w="253"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96,3</w:t>
            </w:r>
          </w:p>
        </w:tc>
        <w:tc>
          <w:tcPr>
            <w:tcW w:w="318"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20 970</w:t>
            </w:r>
          </w:p>
        </w:tc>
        <w:tc>
          <w:tcPr>
            <w:tcW w:w="265" w:type="pct"/>
            <w:shd w:val="clear" w:color="auto" w:fill="auto"/>
            <w:noWrap/>
            <w:vAlign w:val="center"/>
            <w:hideMark/>
          </w:tcPr>
          <w:p w:rsidR="00A41AD7" w:rsidRPr="00DF6B0C" w:rsidRDefault="00A41AD7" w:rsidP="00E7317C">
            <w:pPr>
              <w:jc w:val="center"/>
              <w:rPr>
                <w:i/>
                <w:iCs/>
                <w:color w:val="000000"/>
                <w:sz w:val="18"/>
                <w:szCs w:val="18"/>
              </w:rPr>
            </w:pPr>
            <w:r w:rsidRPr="00DF6B0C">
              <w:rPr>
                <w:i/>
                <w:iCs/>
                <w:color w:val="000000"/>
                <w:sz w:val="18"/>
                <w:szCs w:val="18"/>
              </w:rPr>
              <w:t>96,1</w:t>
            </w:r>
          </w:p>
        </w:tc>
        <w:tc>
          <w:tcPr>
            <w:tcW w:w="305"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20 194</w:t>
            </w:r>
          </w:p>
        </w:tc>
        <w:tc>
          <w:tcPr>
            <w:tcW w:w="230" w:type="pct"/>
            <w:shd w:val="clear" w:color="auto" w:fill="auto"/>
            <w:noWrap/>
            <w:vAlign w:val="center"/>
            <w:hideMark/>
          </w:tcPr>
          <w:p w:rsidR="00A41AD7" w:rsidRPr="00DF6B0C" w:rsidRDefault="00A41AD7" w:rsidP="00E7317C">
            <w:pPr>
              <w:jc w:val="center"/>
              <w:rPr>
                <w:i/>
                <w:iCs/>
                <w:color w:val="000000"/>
                <w:sz w:val="18"/>
                <w:szCs w:val="18"/>
              </w:rPr>
            </w:pPr>
            <w:r w:rsidRPr="00DF6B0C">
              <w:rPr>
                <w:i/>
                <w:iCs/>
                <w:color w:val="000000"/>
                <w:sz w:val="18"/>
                <w:szCs w:val="18"/>
              </w:rPr>
              <w:t>96,3</w:t>
            </w:r>
          </w:p>
        </w:tc>
        <w:tc>
          <w:tcPr>
            <w:tcW w:w="340"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19 426</w:t>
            </w:r>
          </w:p>
        </w:tc>
        <w:tc>
          <w:tcPr>
            <w:tcW w:w="282" w:type="pct"/>
            <w:shd w:val="clear" w:color="auto" w:fill="auto"/>
            <w:noWrap/>
            <w:vAlign w:val="center"/>
            <w:hideMark/>
          </w:tcPr>
          <w:p w:rsidR="00A41AD7" w:rsidRPr="00DF6B0C" w:rsidRDefault="00A41AD7" w:rsidP="00E7317C">
            <w:pPr>
              <w:jc w:val="center"/>
              <w:rPr>
                <w:i/>
                <w:iCs/>
                <w:color w:val="000000"/>
                <w:sz w:val="18"/>
                <w:szCs w:val="18"/>
              </w:rPr>
            </w:pPr>
            <w:r w:rsidRPr="00DF6B0C">
              <w:rPr>
                <w:i/>
                <w:iCs/>
                <w:color w:val="000000"/>
                <w:sz w:val="18"/>
                <w:szCs w:val="18"/>
              </w:rPr>
              <w:t>96,2</w:t>
            </w:r>
          </w:p>
        </w:tc>
      </w:tr>
      <w:tr w:rsidR="00A41AD7" w:rsidRPr="00DF6B0C" w:rsidTr="002A33AD">
        <w:trPr>
          <w:trHeight w:val="413"/>
        </w:trPr>
        <w:tc>
          <w:tcPr>
            <w:tcW w:w="526" w:type="pct"/>
            <w:shd w:val="clear" w:color="auto" w:fill="auto"/>
            <w:vAlign w:val="center"/>
            <w:hideMark/>
          </w:tcPr>
          <w:p w:rsidR="00A41AD7" w:rsidRPr="00DF6B0C" w:rsidRDefault="00A41AD7" w:rsidP="00E7317C">
            <w:pPr>
              <w:ind w:firstLineChars="12" w:firstLine="22"/>
              <w:rPr>
                <w:sz w:val="18"/>
                <w:szCs w:val="18"/>
              </w:rPr>
            </w:pPr>
            <w:r w:rsidRPr="00DF6B0C">
              <w:rPr>
                <w:sz w:val="18"/>
                <w:szCs w:val="18"/>
              </w:rPr>
              <w:t>свыше 100 л.с. до 150 л.с. (свыше 73,55 кВт до 110,33 кВт) включительно</w:t>
            </w:r>
          </w:p>
        </w:tc>
        <w:tc>
          <w:tcPr>
            <w:tcW w:w="402" w:type="pct"/>
            <w:shd w:val="clear" w:color="auto" w:fill="auto"/>
            <w:vAlign w:val="center"/>
            <w:hideMark/>
          </w:tcPr>
          <w:p w:rsidR="00A41AD7" w:rsidRPr="00DF6B0C" w:rsidRDefault="00A41AD7" w:rsidP="00E7317C">
            <w:pPr>
              <w:jc w:val="center"/>
              <w:rPr>
                <w:sz w:val="18"/>
                <w:szCs w:val="18"/>
              </w:rPr>
            </w:pPr>
            <w:r w:rsidRPr="00DF6B0C">
              <w:rPr>
                <w:sz w:val="18"/>
                <w:szCs w:val="18"/>
              </w:rPr>
              <w:t>отчет 5-ТН,стр.2430</w:t>
            </w:r>
          </w:p>
        </w:tc>
        <w:tc>
          <w:tcPr>
            <w:tcW w:w="337"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71 466</w:t>
            </w:r>
          </w:p>
        </w:tc>
        <w:tc>
          <w:tcPr>
            <w:tcW w:w="260"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103,4</w:t>
            </w:r>
          </w:p>
        </w:tc>
        <w:tc>
          <w:tcPr>
            <w:tcW w:w="324"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72 295</w:t>
            </w:r>
          </w:p>
        </w:tc>
        <w:tc>
          <w:tcPr>
            <w:tcW w:w="243"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101,2</w:t>
            </w:r>
          </w:p>
        </w:tc>
        <w:tc>
          <w:tcPr>
            <w:tcW w:w="344"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70 538</w:t>
            </w:r>
          </w:p>
        </w:tc>
        <w:tc>
          <w:tcPr>
            <w:tcW w:w="240"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97,6</w:t>
            </w:r>
          </w:p>
        </w:tc>
        <w:tc>
          <w:tcPr>
            <w:tcW w:w="331"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70 688</w:t>
            </w:r>
          </w:p>
        </w:tc>
        <w:tc>
          <w:tcPr>
            <w:tcW w:w="253"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100,2</w:t>
            </w:r>
          </w:p>
        </w:tc>
        <w:tc>
          <w:tcPr>
            <w:tcW w:w="318"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70 477</w:t>
            </w:r>
          </w:p>
        </w:tc>
        <w:tc>
          <w:tcPr>
            <w:tcW w:w="265" w:type="pct"/>
            <w:shd w:val="clear" w:color="auto" w:fill="auto"/>
            <w:noWrap/>
            <w:vAlign w:val="center"/>
            <w:hideMark/>
          </w:tcPr>
          <w:p w:rsidR="00A41AD7" w:rsidRPr="00DF6B0C" w:rsidRDefault="00A41AD7" w:rsidP="00E7317C">
            <w:pPr>
              <w:jc w:val="center"/>
              <w:rPr>
                <w:i/>
                <w:iCs/>
                <w:color w:val="000000"/>
                <w:sz w:val="18"/>
                <w:szCs w:val="18"/>
              </w:rPr>
            </w:pPr>
            <w:r w:rsidRPr="00DF6B0C">
              <w:rPr>
                <w:i/>
                <w:iCs/>
                <w:color w:val="000000"/>
                <w:sz w:val="18"/>
                <w:szCs w:val="18"/>
              </w:rPr>
              <w:t>99,7</w:t>
            </w:r>
          </w:p>
        </w:tc>
        <w:tc>
          <w:tcPr>
            <w:tcW w:w="305"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70 408</w:t>
            </w:r>
          </w:p>
        </w:tc>
        <w:tc>
          <w:tcPr>
            <w:tcW w:w="230" w:type="pct"/>
            <w:shd w:val="clear" w:color="auto" w:fill="auto"/>
            <w:noWrap/>
            <w:vAlign w:val="center"/>
            <w:hideMark/>
          </w:tcPr>
          <w:p w:rsidR="00A41AD7" w:rsidRPr="00DF6B0C" w:rsidRDefault="00A41AD7" w:rsidP="00E7317C">
            <w:pPr>
              <w:jc w:val="center"/>
              <w:rPr>
                <w:i/>
                <w:iCs/>
                <w:color w:val="000000"/>
                <w:sz w:val="18"/>
                <w:szCs w:val="18"/>
              </w:rPr>
            </w:pPr>
            <w:r w:rsidRPr="00DF6B0C">
              <w:rPr>
                <w:i/>
                <w:iCs/>
                <w:color w:val="000000"/>
                <w:sz w:val="18"/>
                <w:szCs w:val="18"/>
              </w:rPr>
              <w:t>99,9</w:t>
            </w:r>
          </w:p>
        </w:tc>
        <w:tc>
          <w:tcPr>
            <w:tcW w:w="340"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70 266</w:t>
            </w:r>
          </w:p>
        </w:tc>
        <w:tc>
          <w:tcPr>
            <w:tcW w:w="282" w:type="pct"/>
            <w:shd w:val="clear" w:color="auto" w:fill="auto"/>
            <w:noWrap/>
            <w:vAlign w:val="center"/>
            <w:hideMark/>
          </w:tcPr>
          <w:p w:rsidR="00A41AD7" w:rsidRPr="00DF6B0C" w:rsidRDefault="00A41AD7" w:rsidP="00E7317C">
            <w:pPr>
              <w:jc w:val="center"/>
              <w:rPr>
                <w:i/>
                <w:iCs/>
                <w:color w:val="000000"/>
                <w:sz w:val="18"/>
                <w:szCs w:val="18"/>
              </w:rPr>
            </w:pPr>
            <w:r w:rsidRPr="00DF6B0C">
              <w:rPr>
                <w:i/>
                <w:iCs/>
                <w:color w:val="000000"/>
                <w:sz w:val="18"/>
                <w:szCs w:val="18"/>
              </w:rPr>
              <w:t>99,8</w:t>
            </w:r>
          </w:p>
        </w:tc>
      </w:tr>
      <w:tr w:rsidR="00A41AD7" w:rsidRPr="00DF6B0C" w:rsidTr="002A33AD">
        <w:trPr>
          <w:trHeight w:val="635"/>
        </w:trPr>
        <w:tc>
          <w:tcPr>
            <w:tcW w:w="526" w:type="pct"/>
            <w:shd w:val="clear" w:color="auto" w:fill="auto"/>
            <w:vAlign w:val="center"/>
            <w:hideMark/>
          </w:tcPr>
          <w:p w:rsidR="00A41AD7" w:rsidRPr="00DF6B0C" w:rsidRDefault="00A41AD7" w:rsidP="00E7317C">
            <w:pPr>
              <w:ind w:firstLineChars="12" w:firstLine="22"/>
              <w:rPr>
                <w:sz w:val="18"/>
                <w:szCs w:val="18"/>
              </w:rPr>
            </w:pPr>
            <w:r w:rsidRPr="00DF6B0C">
              <w:rPr>
                <w:sz w:val="18"/>
                <w:szCs w:val="18"/>
              </w:rPr>
              <w:t>свыше 150 л.с. до 200 л.с. (свыше 110,33 кВт до 147,1 кВт) включительно</w:t>
            </w:r>
          </w:p>
        </w:tc>
        <w:tc>
          <w:tcPr>
            <w:tcW w:w="402" w:type="pct"/>
            <w:shd w:val="clear" w:color="auto" w:fill="auto"/>
            <w:vAlign w:val="center"/>
            <w:hideMark/>
          </w:tcPr>
          <w:p w:rsidR="00A41AD7" w:rsidRPr="00DF6B0C" w:rsidRDefault="00A41AD7" w:rsidP="00E7317C">
            <w:pPr>
              <w:jc w:val="center"/>
              <w:rPr>
                <w:sz w:val="18"/>
                <w:szCs w:val="18"/>
              </w:rPr>
            </w:pPr>
            <w:r w:rsidRPr="00DF6B0C">
              <w:rPr>
                <w:sz w:val="18"/>
                <w:szCs w:val="18"/>
              </w:rPr>
              <w:t>отчет 5-ТН,стр.2431</w:t>
            </w:r>
          </w:p>
        </w:tc>
        <w:tc>
          <w:tcPr>
            <w:tcW w:w="337"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16 224</w:t>
            </w:r>
          </w:p>
        </w:tc>
        <w:tc>
          <w:tcPr>
            <w:tcW w:w="260"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104,3</w:t>
            </w:r>
          </w:p>
        </w:tc>
        <w:tc>
          <w:tcPr>
            <w:tcW w:w="324"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17 095</w:t>
            </w:r>
          </w:p>
        </w:tc>
        <w:tc>
          <w:tcPr>
            <w:tcW w:w="243"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105,4</w:t>
            </w:r>
          </w:p>
        </w:tc>
        <w:tc>
          <w:tcPr>
            <w:tcW w:w="344"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16 892</w:t>
            </w:r>
          </w:p>
        </w:tc>
        <w:tc>
          <w:tcPr>
            <w:tcW w:w="240"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98,8</w:t>
            </w:r>
          </w:p>
        </w:tc>
        <w:tc>
          <w:tcPr>
            <w:tcW w:w="331"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17 381</w:t>
            </w:r>
          </w:p>
        </w:tc>
        <w:tc>
          <w:tcPr>
            <w:tcW w:w="253"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102,9</w:t>
            </w:r>
          </w:p>
        </w:tc>
        <w:tc>
          <w:tcPr>
            <w:tcW w:w="318"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17 817</w:t>
            </w:r>
          </w:p>
        </w:tc>
        <w:tc>
          <w:tcPr>
            <w:tcW w:w="265" w:type="pct"/>
            <w:shd w:val="clear" w:color="auto" w:fill="auto"/>
            <w:noWrap/>
            <w:vAlign w:val="center"/>
            <w:hideMark/>
          </w:tcPr>
          <w:p w:rsidR="00A41AD7" w:rsidRPr="00DF6B0C" w:rsidRDefault="00A41AD7" w:rsidP="00E7317C">
            <w:pPr>
              <w:jc w:val="center"/>
              <w:rPr>
                <w:i/>
                <w:iCs/>
                <w:color w:val="000000"/>
                <w:sz w:val="18"/>
                <w:szCs w:val="18"/>
              </w:rPr>
            </w:pPr>
            <w:r w:rsidRPr="00DF6B0C">
              <w:rPr>
                <w:i/>
                <w:iCs/>
                <w:color w:val="000000"/>
                <w:sz w:val="18"/>
                <w:szCs w:val="18"/>
              </w:rPr>
              <w:t>102,5</w:t>
            </w:r>
          </w:p>
        </w:tc>
        <w:tc>
          <w:tcPr>
            <w:tcW w:w="305"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18 298</w:t>
            </w:r>
          </w:p>
        </w:tc>
        <w:tc>
          <w:tcPr>
            <w:tcW w:w="230" w:type="pct"/>
            <w:shd w:val="clear" w:color="auto" w:fill="auto"/>
            <w:noWrap/>
            <w:vAlign w:val="center"/>
            <w:hideMark/>
          </w:tcPr>
          <w:p w:rsidR="00A41AD7" w:rsidRPr="00DF6B0C" w:rsidRDefault="00A41AD7" w:rsidP="00E7317C">
            <w:pPr>
              <w:jc w:val="center"/>
              <w:rPr>
                <w:i/>
                <w:iCs/>
                <w:color w:val="000000"/>
                <w:sz w:val="18"/>
                <w:szCs w:val="18"/>
              </w:rPr>
            </w:pPr>
            <w:r w:rsidRPr="00DF6B0C">
              <w:rPr>
                <w:i/>
                <w:iCs/>
                <w:color w:val="000000"/>
                <w:sz w:val="18"/>
                <w:szCs w:val="18"/>
              </w:rPr>
              <w:t>102,7</w:t>
            </w:r>
          </w:p>
        </w:tc>
        <w:tc>
          <w:tcPr>
            <w:tcW w:w="340"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18 771</w:t>
            </w:r>
          </w:p>
        </w:tc>
        <w:tc>
          <w:tcPr>
            <w:tcW w:w="282" w:type="pct"/>
            <w:shd w:val="clear" w:color="auto" w:fill="auto"/>
            <w:noWrap/>
            <w:vAlign w:val="center"/>
            <w:hideMark/>
          </w:tcPr>
          <w:p w:rsidR="00A41AD7" w:rsidRPr="00DF6B0C" w:rsidRDefault="00A41AD7" w:rsidP="00E7317C">
            <w:pPr>
              <w:jc w:val="center"/>
              <w:rPr>
                <w:i/>
                <w:iCs/>
                <w:color w:val="000000"/>
                <w:sz w:val="18"/>
                <w:szCs w:val="18"/>
              </w:rPr>
            </w:pPr>
            <w:r w:rsidRPr="00DF6B0C">
              <w:rPr>
                <w:i/>
                <w:iCs/>
                <w:color w:val="000000"/>
                <w:sz w:val="18"/>
                <w:szCs w:val="18"/>
              </w:rPr>
              <w:t>102,6</w:t>
            </w:r>
          </w:p>
        </w:tc>
      </w:tr>
      <w:tr w:rsidR="00A41AD7" w:rsidRPr="00DF6B0C" w:rsidTr="002A33AD">
        <w:trPr>
          <w:trHeight w:val="403"/>
        </w:trPr>
        <w:tc>
          <w:tcPr>
            <w:tcW w:w="526" w:type="pct"/>
            <w:shd w:val="clear" w:color="auto" w:fill="auto"/>
            <w:vAlign w:val="center"/>
            <w:hideMark/>
          </w:tcPr>
          <w:p w:rsidR="00A41AD7" w:rsidRPr="00DF6B0C" w:rsidRDefault="00A41AD7" w:rsidP="00E7317C">
            <w:pPr>
              <w:ind w:firstLineChars="12" w:firstLine="22"/>
              <w:rPr>
                <w:sz w:val="18"/>
                <w:szCs w:val="18"/>
              </w:rPr>
            </w:pPr>
            <w:r w:rsidRPr="00DF6B0C">
              <w:rPr>
                <w:sz w:val="18"/>
                <w:szCs w:val="18"/>
              </w:rPr>
              <w:t>свыше 200 л.с. до 250 л.с. (свыше 147,1 кВт до 183,9 кВт) включительно</w:t>
            </w:r>
          </w:p>
        </w:tc>
        <w:tc>
          <w:tcPr>
            <w:tcW w:w="402" w:type="pct"/>
            <w:shd w:val="clear" w:color="auto" w:fill="auto"/>
            <w:vAlign w:val="center"/>
            <w:hideMark/>
          </w:tcPr>
          <w:p w:rsidR="00A41AD7" w:rsidRPr="00DF6B0C" w:rsidRDefault="00A41AD7" w:rsidP="00E7317C">
            <w:pPr>
              <w:jc w:val="center"/>
              <w:rPr>
                <w:sz w:val="18"/>
                <w:szCs w:val="18"/>
              </w:rPr>
            </w:pPr>
            <w:r w:rsidRPr="00DF6B0C">
              <w:rPr>
                <w:sz w:val="18"/>
                <w:szCs w:val="18"/>
              </w:rPr>
              <w:t>отчет 5-ТН,стр.2432</w:t>
            </w:r>
          </w:p>
        </w:tc>
        <w:tc>
          <w:tcPr>
            <w:tcW w:w="337"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45 806</w:t>
            </w:r>
          </w:p>
        </w:tc>
        <w:tc>
          <w:tcPr>
            <w:tcW w:w="260"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97,8</w:t>
            </w:r>
          </w:p>
        </w:tc>
        <w:tc>
          <w:tcPr>
            <w:tcW w:w="324"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46 202</w:t>
            </w:r>
          </w:p>
        </w:tc>
        <w:tc>
          <w:tcPr>
            <w:tcW w:w="243"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100,9</w:t>
            </w:r>
          </w:p>
        </w:tc>
        <w:tc>
          <w:tcPr>
            <w:tcW w:w="344"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43 623</w:t>
            </w:r>
          </w:p>
        </w:tc>
        <w:tc>
          <w:tcPr>
            <w:tcW w:w="240"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94,4</w:t>
            </w:r>
          </w:p>
        </w:tc>
        <w:tc>
          <w:tcPr>
            <w:tcW w:w="331"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42 412</w:t>
            </w:r>
          </w:p>
        </w:tc>
        <w:tc>
          <w:tcPr>
            <w:tcW w:w="253"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97,2</w:t>
            </w:r>
          </w:p>
        </w:tc>
        <w:tc>
          <w:tcPr>
            <w:tcW w:w="318"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41 094</w:t>
            </w:r>
          </w:p>
        </w:tc>
        <w:tc>
          <w:tcPr>
            <w:tcW w:w="265" w:type="pct"/>
            <w:shd w:val="clear" w:color="auto" w:fill="auto"/>
            <w:noWrap/>
            <w:vAlign w:val="center"/>
            <w:hideMark/>
          </w:tcPr>
          <w:p w:rsidR="00A41AD7" w:rsidRPr="00DF6B0C" w:rsidRDefault="00A41AD7" w:rsidP="00E7317C">
            <w:pPr>
              <w:jc w:val="center"/>
              <w:rPr>
                <w:i/>
                <w:iCs/>
                <w:color w:val="000000"/>
                <w:sz w:val="18"/>
                <w:szCs w:val="18"/>
              </w:rPr>
            </w:pPr>
            <w:r w:rsidRPr="00DF6B0C">
              <w:rPr>
                <w:i/>
                <w:iCs/>
                <w:color w:val="000000"/>
                <w:sz w:val="18"/>
                <w:szCs w:val="18"/>
              </w:rPr>
              <w:t>96,9</w:t>
            </w:r>
          </w:p>
        </w:tc>
        <w:tc>
          <w:tcPr>
            <w:tcW w:w="305"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39 905</w:t>
            </w:r>
          </w:p>
        </w:tc>
        <w:tc>
          <w:tcPr>
            <w:tcW w:w="230" w:type="pct"/>
            <w:shd w:val="clear" w:color="auto" w:fill="auto"/>
            <w:noWrap/>
            <w:vAlign w:val="center"/>
            <w:hideMark/>
          </w:tcPr>
          <w:p w:rsidR="00A41AD7" w:rsidRPr="00DF6B0C" w:rsidRDefault="00A41AD7" w:rsidP="00E7317C">
            <w:pPr>
              <w:jc w:val="center"/>
              <w:rPr>
                <w:i/>
                <w:iCs/>
                <w:color w:val="000000"/>
                <w:sz w:val="18"/>
                <w:szCs w:val="18"/>
              </w:rPr>
            </w:pPr>
            <w:r w:rsidRPr="00DF6B0C">
              <w:rPr>
                <w:i/>
                <w:iCs/>
                <w:color w:val="000000"/>
                <w:sz w:val="18"/>
                <w:szCs w:val="18"/>
              </w:rPr>
              <w:t>97,1</w:t>
            </w:r>
          </w:p>
        </w:tc>
        <w:tc>
          <w:tcPr>
            <w:tcW w:w="340"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38 703</w:t>
            </w:r>
          </w:p>
        </w:tc>
        <w:tc>
          <w:tcPr>
            <w:tcW w:w="282" w:type="pct"/>
            <w:shd w:val="clear" w:color="auto" w:fill="auto"/>
            <w:noWrap/>
            <w:vAlign w:val="center"/>
            <w:hideMark/>
          </w:tcPr>
          <w:p w:rsidR="00A41AD7" w:rsidRPr="00DF6B0C" w:rsidRDefault="00A41AD7" w:rsidP="00E7317C">
            <w:pPr>
              <w:jc w:val="center"/>
              <w:rPr>
                <w:i/>
                <w:iCs/>
                <w:color w:val="000000"/>
                <w:sz w:val="18"/>
                <w:szCs w:val="18"/>
              </w:rPr>
            </w:pPr>
            <w:r w:rsidRPr="00DF6B0C">
              <w:rPr>
                <w:i/>
                <w:iCs/>
                <w:color w:val="000000"/>
                <w:sz w:val="18"/>
                <w:szCs w:val="18"/>
              </w:rPr>
              <w:t>97,0</w:t>
            </w:r>
          </w:p>
        </w:tc>
      </w:tr>
      <w:tr w:rsidR="00A41AD7" w:rsidRPr="00DF6B0C" w:rsidTr="002A33AD">
        <w:trPr>
          <w:trHeight w:val="341"/>
        </w:trPr>
        <w:tc>
          <w:tcPr>
            <w:tcW w:w="526" w:type="pct"/>
            <w:shd w:val="clear" w:color="auto" w:fill="auto"/>
            <w:vAlign w:val="center"/>
            <w:hideMark/>
          </w:tcPr>
          <w:p w:rsidR="00A41AD7" w:rsidRPr="00DF6B0C" w:rsidRDefault="00A41AD7" w:rsidP="00E7317C">
            <w:pPr>
              <w:ind w:firstLineChars="12" w:firstLine="22"/>
              <w:rPr>
                <w:sz w:val="18"/>
                <w:szCs w:val="18"/>
              </w:rPr>
            </w:pPr>
            <w:r w:rsidRPr="00DF6B0C">
              <w:rPr>
                <w:sz w:val="18"/>
                <w:szCs w:val="18"/>
              </w:rPr>
              <w:t>свыше 250 л.с. (свыше 183,9 кВт)</w:t>
            </w:r>
          </w:p>
        </w:tc>
        <w:tc>
          <w:tcPr>
            <w:tcW w:w="402" w:type="pct"/>
            <w:shd w:val="clear" w:color="auto" w:fill="auto"/>
            <w:vAlign w:val="center"/>
            <w:hideMark/>
          </w:tcPr>
          <w:p w:rsidR="00A41AD7" w:rsidRPr="00DF6B0C" w:rsidRDefault="00A41AD7" w:rsidP="00E7317C">
            <w:pPr>
              <w:jc w:val="center"/>
              <w:rPr>
                <w:sz w:val="18"/>
                <w:szCs w:val="18"/>
              </w:rPr>
            </w:pPr>
            <w:r w:rsidRPr="00DF6B0C">
              <w:rPr>
                <w:sz w:val="18"/>
                <w:szCs w:val="18"/>
              </w:rPr>
              <w:t>отчет 5-ТН,стр.2433</w:t>
            </w:r>
          </w:p>
        </w:tc>
        <w:tc>
          <w:tcPr>
            <w:tcW w:w="337"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122 413</w:t>
            </w:r>
          </w:p>
        </w:tc>
        <w:tc>
          <w:tcPr>
            <w:tcW w:w="260"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96,7</w:t>
            </w:r>
          </w:p>
        </w:tc>
        <w:tc>
          <w:tcPr>
            <w:tcW w:w="324"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162 868</w:t>
            </w:r>
          </w:p>
        </w:tc>
        <w:tc>
          <w:tcPr>
            <w:tcW w:w="243"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133,0</w:t>
            </w:r>
          </w:p>
        </w:tc>
        <w:tc>
          <w:tcPr>
            <w:tcW w:w="344"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148 838</w:t>
            </w:r>
          </w:p>
        </w:tc>
        <w:tc>
          <w:tcPr>
            <w:tcW w:w="240"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91,4</w:t>
            </w:r>
          </w:p>
        </w:tc>
        <w:tc>
          <w:tcPr>
            <w:tcW w:w="331"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159 575</w:t>
            </w:r>
          </w:p>
        </w:tc>
        <w:tc>
          <w:tcPr>
            <w:tcW w:w="253"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107,2</w:t>
            </w:r>
          </w:p>
        </w:tc>
        <w:tc>
          <w:tcPr>
            <w:tcW w:w="318"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165 317</w:t>
            </w:r>
          </w:p>
        </w:tc>
        <w:tc>
          <w:tcPr>
            <w:tcW w:w="265" w:type="pct"/>
            <w:shd w:val="clear" w:color="auto" w:fill="auto"/>
            <w:noWrap/>
            <w:vAlign w:val="center"/>
            <w:hideMark/>
          </w:tcPr>
          <w:p w:rsidR="00A41AD7" w:rsidRPr="00DF6B0C" w:rsidRDefault="00A41AD7" w:rsidP="00E7317C">
            <w:pPr>
              <w:jc w:val="center"/>
              <w:rPr>
                <w:i/>
                <w:iCs/>
                <w:color w:val="000000"/>
                <w:sz w:val="18"/>
                <w:szCs w:val="18"/>
              </w:rPr>
            </w:pPr>
            <w:r w:rsidRPr="00DF6B0C">
              <w:rPr>
                <w:i/>
                <w:iCs/>
                <w:color w:val="000000"/>
                <w:sz w:val="18"/>
                <w:szCs w:val="18"/>
              </w:rPr>
              <w:t>103,6</w:t>
            </w:r>
          </w:p>
        </w:tc>
        <w:tc>
          <w:tcPr>
            <w:tcW w:w="305"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174 244</w:t>
            </w:r>
          </w:p>
        </w:tc>
        <w:tc>
          <w:tcPr>
            <w:tcW w:w="230" w:type="pct"/>
            <w:shd w:val="clear" w:color="auto" w:fill="auto"/>
            <w:noWrap/>
            <w:vAlign w:val="center"/>
            <w:hideMark/>
          </w:tcPr>
          <w:p w:rsidR="00A41AD7" w:rsidRPr="00DF6B0C" w:rsidRDefault="00A41AD7" w:rsidP="00E7317C">
            <w:pPr>
              <w:jc w:val="center"/>
              <w:rPr>
                <w:i/>
                <w:iCs/>
                <w:color w:val="000000"/>
                <w:sz w:val="18"/>
                <w:szCs w:val="18"/>
              </w:rPr>
            </w:pPr>
            <w:r w:rsidRPr="00DF6B0C">
              <w:rPr>
                <w:i/>
                <w:iCs/>
                <w:color w:val="000000"/>
                <w:sz w:val="18"/>
                <w:szCs w:val="18"/>
              </w:rPr>
              <w:t>105,4</w:t>
            </w:r>
          </w:p>
        </w:tc>
        <w:tc>
          <w:tcPr>
            <w:tcW w:w="340"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182 074</w:t>
            </w:r>
          </w:p>
        </w:tc>
        <w:tc>
          <w:tcPr>
            <w:tcW w:w="282" w:type="pct"/>
            <w:shd w:val="clear" w:color="auto" w:fill="auto"/>
            <w:noWrap/>
            <w:vAlign w:val="center"/>
            <w:hideMark/>
          </w:tcPr>
          <w:p w:rsidR="00A41AD7" w:rsidRPr="00DF6B0C" w:rsidRDefault="00A41AD7" w:rsidP="00E7317C">
            <w:pPr>
              <w:jc w:val="center"/>
              <w:rPr>
                <w:i/>
                <w:iCs/>
                <w:color w:val="000000"/>
                <w:sz w:val="18"/>
                <w:szCs w:val="18"/>
              </w:rPr>
            </w:pPr>
            <w:r w:rsidRPr="00DF6B0C">
              <w:rPr>
                <w:i/>
                <w:iCs/>
                <w:color w:val="000000"/>
                <w:sz w:val="18"/>
                <w:szCs w:val="18"/>
              </w:rPr>
              <w:t>104,5</w:t>
            </w:r>
          </w:p>
        </w:tc>
      </w:tr>
      <w:tr w:rsidR="00A41AD7" w:rsidRPr="00DF6B0C" w:rsidTr="00E7317C">
        <w:trPr>
          <w:trHeight w:val="378"/>
        </w:trPr>
        <w:tc>
          <w:tcPr>
            <w:tcW w:w="526" w:type="pct"/>
            <w:shd w:val="clear" w:color="auto" w:fill="auto"/>
            <w:vAlign w:val="center"/>
            <w:hideMark/>
          </w:tcPr>
          <w:p w:rsidR="00A41AD7" w:rsidRPr="00F7606D" w:rsidRDefault="00A41AD7" w:rsidP="00E7317C">
            <w:pPr>
              <w:rPr>
                <w:i/>
                <w:iCs/>
                <w:sz w:val="16"/>
                <w:szCs w:val="16"/>
              </w:rPr>
            </w:pPr>
            <w:r w:rsidRPr="00F7606D">
              <w:rPr>
                <w:i/>
                <w:iCs/>
                <w:sz w:val="16"/>
                <w:szCs w:val="16"/>
              </w:rPr>
              <w:t>Другие самоходные транспортные средства, машины и механизмы на пневматическом и гусеничном ходу</w:t>
            </w:r>
          </w:p>
        </w:tc>
        <w:tc>
          <w:tcPr>
            <w:tcW w:w="402" w:type="pct"/>
            <w:shd w:val="clear" w:color="auto" w:fill="auto"/>
            <w:vAlign w:val="center"/>
            <w:hideMark/>
          </w:tcPr>
          <w:p w:rsidR="00A41AD7" w:rsidRPr="00DF6B0C" w:rsidRDefault="00A41AD7" w:rsidP="00E7317C">
            <w:pPr>
              <w:jc w:val="center"/>
              <w:rPr>
                <w:i/>
                <w:iCs/>
                <w:sz w:val="18"/>
                <w:szCs w:val="18"/>
              </w:rPr>
            </w:pPr>
            <w:r w:rsidRPr="00DF6B0C">
              <w:rPr>
                <w:i/>
                <w:iCs/>
                <w:sz w:val="18"/>
                <w:szCs w:val="18"/>
              </w:rPr>
              <w:t>отчет 5-ТН,стр.2434</w:t>
            </w:r>
          </w:p>
        </w:tc>
        <w:tc>
          <w:tcPr>
            <w:tcW w:w="337"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16 828</w:t>
            </w:r>
          </w:p>
        </w:tc>
        <w:tc>
          <w:tcPr>
            <w:tcW w:w="260"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102,1</w:t>
            </w:r>
          </w:p>
        </w:tc>
        <w:tc>
          <w:tcPr>
            <w:tcW w:w="324"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17 180</w:t>
            </w:r>
          </w:p>
        </w:tc>
        <w:tc>
          <w:tcPr>
            <w:tcW w:w="243"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102,1</w:t>
            </w:r>
          </w:p>
        </w:tc>
        <w:tc>
          <w:tcPr>
            <w:tcW w:w="344"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17 073</w:t>
            </w:r>
          </w:p>
        </w:tc>
        <w:tc>
          <w:tcPr>
            <w:tcW w:w="240"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99,4</w:t>
            </w:r>
          </w:p>
        </w:tc>
        <w:tc>
          <w:tcPr>
            <w:tcW w:w="331"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17 226</w:t>
            </w:r>
          </w:p>
        </w:tc>
        <w:tc>
          <w:tcPr>
            <w:tcW w:w="253"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100,9</w:t>
            </w:r>
          </w:p>
        </w:tc>
        <w:tc>
          <w:tcPr>
            <w:tcW w:w="318"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17 330</w:t>
            </w:r>
          </w:p>
        </w:tc>
        <w:tc>
          <w:tcPr>
            <w:tcW w:w="265" w:type="pct"/>
            <w:shd w:val="clear" w:color="auto" w:fill="auto"/>
            <w:noWrap/>
            <w:vAlign w:val="center"/>
            <w:hideMark/>
          </w:tcPr>
          <w:p w:rsidR="00A41AD7" w:rsidRPr="00DF6B0C" w:rsidRDefault="00A41AD7" w:rsidP="00E7317C">
            <w:pPr>
              <w:jc w:val="center"/>
              <w:rPr>
                <w:i/>
                <w:iCs/>
                <w:color w:val="000000"/>
                <w:sz w:val="18"/>
                <w:szCs w:val="18"/>
              </w:rPr>
            </w:pPr>
            <w:r w:rsidRPr="00DF6B0C">
              <w:rPr>
                <w:i/>
                <w:iCs/>
                <w:color w:val="000000"/>
                <w:sz w:val="18"/>
                <w:szCs w:val="18"/>
              </w:rPr>
              <w:t>100,6</w:t>
            </w:r>
          </w:p>
        </w:tc>
        <w:tc>
          <w:tcPr>
            <w:tcW w:w="305"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17 451</w:t>
            </w:r>
          </w:p>
        </w:tc>
        <w:tc>
          <w:tcPr>
            <w:tcW w:w="230" w:type="pct"/>
            <w:shd w:val="clear" w:color="auto" w:fill="auto"/>
            <w:noWrap/>
            <w:vAlign w:val="center"/>
            <w:hideMark/>
          </w:tcPr>
          <w:p w:rsidR="00A41AD7" w:rsidRPr="00DF6B0C" w:rsidRDefault="00A41AD7" w:rsidP="00E7317C">
            <w:pPr>
              <w:jc w:val="center"/>
              <w:rPr>
                <w:i/>
                <w:iCs/>
                <w:color w:val="000000"/>
                <w:sz w:val="18"/>
                <w:szCs w:val="18"/>
              </w:rPr>
            </w:pPr>
            <w:r w:rsidRPr="00DF6B0C">
              <w:rPr>
                <w:i/>
                <w:iCs/>
                <w:color w:val="000000"/>
                <w:sz w:val="18"/>
                <w:szCs w:val="18"/>
              </w:rPr>
              <w:t>100,7</w:t>
            </w:r>
          </w:p>
        </w:tc>
        <w:tc>
          <w:tcPr>
            <w:tcW w:w="340"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17 573</w:t>
            </w:r>
          </w:p>
        </w:tc>
        <w:tc>
          <w:tcPr>
            <w:tcW w:w="282" w:type="pct"/>
            <w:shd w:val="clear" w:color="auto" w:fill="auto"/>
            <w:noWrap/>
            <w:vAlign w:val="center"/>
            <w:hideMark/>
          </w:tcPr>
          <w:p w:rsidR="00A41AD7" w:rsidRPr="00DF6B0C" w:rsidRDefault="00A41AD7" w:rsidP="00E7317C">
            <w:pPr>
              <w:jc w:val="center"/>
              <w:rPr>
                <w:i/>
                <w:iCs/>
                <w:color w:val="000000"/>
                <w:sz w:val="18"/>
                <w:szCs w:val="18"/>
              </w:rPr>
            </w:pPr>
            <w:r w:rsidRPr="00DF6B0C">
              <w:rPr>
                <w:i/>
                <w:iCs/>
                <w:color w:val="000000"/>
                <w:sz w:val="18"/>
                <w:szCs w:val="18"/>
              </w:rPr>
              <w:t>100,7</w:t>
            </w:r>
          </w:p>
        </w:tc>
      </w:tr>
      <w:tr w:rsidR="00A41AD7" w:rsidRPr="00DF6B0C" w:rsidTr="002A33AD">
        <w:trPr>
          <w:trHeight w:val="404"/>
        </w:trPr>
        <w:tc>
          <w:tcPr>
            <w:tcW w:w="526" w:type="pct"/>
            <w:shd w:val="clear" w:color="auto" w:fill="auto"/>
            <w:vAlign w:val="center"/>
            <w:hideMark/>
          </w:tcPr>
          <w:p w:rsidR="00A41AD7" w:rsidRPr="00DF6B0C" w:rsidRDefault="00A41AD7" w:rsidP="00E7317C">
            <w:pPr>
              <w:rPr>
                <w:i/>
                <w:iCs/>
                <w:sz w:val="18"/>
                <w:szCs w:val="18"/>
              </w:rPr>
            </w:pPr>
            <w:r w:rsidRPr="00DF6B0C">
              <w:rPr>
                <w:i/>
                <w:iCs/>
                <w:sz w:val="18"/>
                <w:szCs w:val="18"/>
              </w:rPr>
              <w:t xml:space="preserve">Снегоходы, мотосани с мощностью двигателя: </w:t>
            </w:r>
          </w:p>
        </w:tc>
        <w:tc>
          <w:tcPr>
            <w:tcW w:w="402" w:type="pct"/>
            <w:shd w:val="clear" w:color="auto" w:fill="auto"/>
            <w:vAlign w:val="center"/>
            <w:hideMark/>
          </w:tcPr>
          <w:p w:rsidR="00A41AD7" w:rsidRPr="00DF6B0C" w:rsidRDefault="00A41AD7" w:rsidP="00E7317C">
            <w:pPr>
              <w:jc w:val="center"/>
              <w:rPr>
                <w:i/>
                <w:iCs/>
                <w:sz w:val="18"/>
                <w:szCs w:val="18"/>
              </w:rPr>
            </w:pPr>
            <w:r w:rsidRPr="00DF6B0C">
              <w:rPr>
                <w:i/>
                <w:iCs/>
                <w:sz w:val="18"/>
                <w:szCs w:val="18"/>
              </w:rPr>
              <w:t>отчет 5-ТН,стр.2435</w:t>
            </w:r>
          </w:p>
        </w:tc>
        <w:tc>
          <w:tcPr>
            <w:tcW w:w="337" w:type="pct"/>
            <w:shd w:val="clear" w:color="auto" w:fill="auto"/>
            <w:vAlign w:val="center"/>
            <w:hideMark/>
          </w:tcPr>
          <w:p w:rsidR="00A41AD7" w:rsidRPr="00DF6B0C" w:rsidRDefault="00A41AD7" w:rsidP="00E7317C">
            <w:pPr>
              <w:jc w:val="center"/>
              <w:rPr>
                <w:sz w:val="18"/>
                <w:szCs w:val="18"/>
              </w:rPr>
            </w:pPr>
            <w:r w:rsidRPr="00DF6B0C">
              <w:rPr>
                <w:sz w:val="18"/>
                <w:szCs w:val="18"/>
              </w:rPr>
              <w:t>2 958</w:t>
            </w:r>
          </w:p>
        </w:tc>
        <w:tc>
          <w:tcPr>
            <w:tcW w:w="260" w:type="pct"/>
            <w:shd w:val="clear" w:color="auto" w:fill="auto"/>
            <w:vAlign w:val="center"/>
            <w:hideMark/>
          </w:tcPr>
          <w:p w:rsidR="00A41AD7" w:rsidRPr="00DF6B0C" w:rsidRDefault="00A41AD7" w:rsidP="00E7317C">
            <w:pPr>
              <w:jc w:val="center"/>
              <w:rPr>
                <w:sz w:val="18"/>
                <w:szCs w:val="18"/>
              </w:rPr>
            </w:pPr>
            <w:r w:rsidRPr="00DF6B0C">
              <w:rPr>
                <w:sz w:val="18"/>
                <w:szCs w:val="18"/>
              </w:rPr>
              <w:t>108,8</w:t>
            </w:r>
          </w:p>
        </w:tc>
        <w:tc>
          <w:tcPr>
            <w:tcW w:w="324" w:type="pct"/>
            <w:shd w:val="clear" w:color="auto" w:fill="auto"/>
            <w:vAlign w:val="center"/>
            <w:hideMark/>
          </w:tcPr>
          <w:p w:rsidR="00A41AD7" w:rsidRPr="00DF6B0C" w:rsidRDefault="00A41AD7" w:rsidP="00E7317C">
            <w:pPr>
              <w:jc w:val="center"/>
              <w:rPr>
                <w:sz w:val="18"/>
                <w:szCs w:val="18"/>
              </w:rPr>
            </w:pPr>
            <w:r w:rsidRPr="00DF6B0C">
              <w:rPr>
                <w:sz w:val="18"/>
                <w:szCs w:val="18"/>
              </w:rPr>
              <w:t>3 121</w:t>
            </w:r>
          </w:p>
        </w:tc>
        <w:tc>
          <w:tcPr>
            <w:tcW w:w="243" w:type="pct"/>
            <w:shd w:val="clear" w:color="auto" w:fill="auto"/>
            <w:vAlign w:val="center"/>
            <w:hideMark/>
          </w:tcPr>
          <w:p w:rsidR="00A41AD7" w:rsidRPr="00DF6B0C" w:rsidRDefault="00A41AD7" w:rsidP="00E7317C">
            <w:pPr>
              <w:jc w:val="center"/>
              <w:rPr>
                <w:sz w:val="18"/>
                <w:szCs w:val="18"/>
              </w:rPr>
            </w:pPr>
            <w:r w:rsidRPr="00DF6B0C">
              <w:rPr>
                <w:sz w:val="18"/>
                <w:szCs w:val="18"/>
              </w:rPr>
              <w:t>105,5</w:t>
            </w:r>
          </w:p>
        </w:tc>
        <w:tc>
          <w:tcPr>
            <w:tcW w:w="344" w:type="pct"/>
            <w:shd w:val="clear" w:color="auto" w:fill="auto"/>
            <w:vAlign w:val="center"/>
            <w:hideMark/>
          </w:tcPr>
          <w:p w:rsidR="00A41AD7" w:rsidRPr="00DF6B0C" w:rsidRDefault="00A41AD7" w:rsidP="00E7317C">
            <w:pPr>
              <w:jc w:val="center"/>
              <w:rPr>
                <w:sz w:val="18"/>
                <w:szCs w:val="18"/>
              </w:rPr>
            </w:pPr>
            <w:r w:rsidRPr="00DF6B0C">
              <w:rPr>
                <w:sz w:val="18"/>
                <w:szCs w:val="18"/>
              </w:rPr>
              <w:t>3 201</w:t>
            </w:r>
          </w:p>
        </w:tc>
        <w:tc>
          <w:tcPr>
            <w:tcW w:w="240" w:type="pct"/>
            <w:shd w:val="clear" w:color="auto" w:fill="auto"/>
            <w:vAlign w:val="center"/>
            <w:hideMark/>
          </w:tcPr>
          <w:p w:rsidR="00A41AD7" w:rsidRPr="00DF6B0C" w:rsidRDefault="00A41AD7" w:rsidP="00E7317C">
            <w:pPr>
              <w:jc w:val="center"/>
              <w:rPr>
                <w:sz w:val="18"/>
                <w:szCs w:val="18"/>
              </w:rPr>
            </w:pPr>
            <w:r w:rsidRPr="00DF6B0C">
              <w:rPr>
                <w:sz w:val="18"/>
                <w:szCs w:val="18"/>
              </w:rPr>
              <w:t>102,6</w:t>
            </w:r>
          </w:p>
        </w:tc>
        <w:tc>
          <w:tcPr>
            <w:tcW w:w="331" w:type="pct"/>
            <w:shd w:val="clear" w:color="auto" w:fill="auto"/>
            <w:vAlign w:val="center"/>
            <w:hideMark/>
          </w:tcPr>
          <w:p w:rsidR="00A41AD7" w:rsidRPr="00DF6B0C" w:rsidRDefault="00A41AD7" w:rsidP="00E7317C">
            <w:pPr>
              <w:jc w:val="center"/>
              <w:rPr>
                <w:sz w:val="18"/>
                <w:szCs w:val="18"/>
              </w:rPr>
            </w:pPr>
            <w:r w:rsidRPr="00DF6B0C">
              <w:rPr>
                <w:sz w:val="18"/>
                <w:szCs w:val="18"/>
              </w:rPr>
              <w:t>3 305</w:t>
            </w:r>
          </w:p>
        </w:tc>
        <w:tc>
          <w:tcPr>
            <w:tcW w:w="253" w:type="pct"/>
            <w:shd w:val="clear" w:color="auto" w:fill="auto"/>
            <w:vAlign w:val="center"/>
            <w:hideMark/>
          </w:tcPr>
          <w:p w:rsidR="00A41AD7" w:rsidRPr="00DF6B0C" w:rsidRDefault="00A41AD7" w:rsidP="00E7317C">
            <w:pPr>
              <w:jc w:val="center"/>
              <w:rPr>
                <w:sz w:val="18"/>
                <w:szCs w:val="18"/>
              </w:rPr>
            </w:pPr>
            <w:r w:rsidRPr="00DF6B0C">
              <w:rPr>
                <w:sz w:val="18"/>
                <w:szCs w:val="18"/>
              </w:rPr>
              <w:t>103,2</w:t>
            </w:r>
          </w:p>
        </w:tc>
        <w:tc>
          <w:tcPr>
            <w:tcW w:w="318"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3 376</w:t>
            </w:r>
          </w:p>
        </w:tc>
        <w:tc>
          <w:tcPr>
            <w:tcW w:w="265" w:type="pct"/>
            <w:shd w:val="clear" w:color="auto" w:fill="auto"/>
            <w:noWrap/>
            <w:vAlign w:val="center"/>
            <w:hideMark/>
          </w:tcPr>
          <w:p w:rsidR="00A41AD7" w:rsidRPr="00DF6B0C" w:rsidRDefault="00A41AD7" w:rsidP="00E7317C">
            <w:pPr>
              <w:jc w:val="center"/>
              <w:rPr>
                <w:i/>
                <w:iCs/>
                <w:color w:val="000000"/>
                <w:sz w:val="18"/>
                <w:szCs w:val="18"/>
              </w:rPr>
            </w:pPr>
            <w:r w:rsidRPr="00DF6B0C">
              <w:rPr>
                <w:i/>
                <w:iCs/>
                <w:color w:val="000000"/>
                <w:sz w:val="18"/>
                <w:szCs w:val="18"/>
              </w:rPr>
              <w:t>102,1</w:t>
            </w:r>
          </w:p>
        </w:tc>
        <w:tc>
          <w:tcPr>
            <w:tcW w:w="305"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3 466</w:t>
            </w:r>
          </w:p>
        </w:tc>
        <w:tc>
          <w:tcPr>
            <w:tcW w:w="230" w:type="pct"/>
            <w:shd w:val="clear" w:color="auto" w:fill="auto"/>
            <w:noWrap/>
            <w:vAlign w:val="center"/>
            <w:hideMark/>
          </w:tcPr>
          <w:p w:rsidR="00A41AD7" w:rsidRPr="00DF6B0C" w:rsidRDefault="00A41AD7" w:rsidP="00E7317C">
            <w:pPr>
              <w:jc w:val="center"/>
              <w:rPr>
                <w:i/>
                <w:iCs/>
                <w:color w:val="000000"/>
                <w:sz w:val="18"/>
                <w:szCs w:val="18"/>
              </w:rPr>
            </w:pPr>
            <w:r w:rsidRPr="00DF6B0C">
              <w:rPr>
                <w:i/>
                <w:iCs/>
                <w:color w:val="000000"/>
                <w:sz w:val="18"/>
                <w:szCs w:val="18"/>
              </w:rPr>
              <w:t>102,7</w:t>
            </w:r>
          </w:p>
        </w:tc>
        <w:tc>
          <w:tcPr>
            <w:tcW w:w="340"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3 553</w:t>
            </w:r>
          </w:p>
        </w:tc>
        <w:tc>
          <w:tcPr>
            <w:tcW w:w="282" w:type="pct"/>
            <w:shd w:val="clear" w:color="auto" w:fill="auto"/>
            <w:noWrap/>
            <w:vAlign w:val="center"/>
            <w:hideMark/>
          </w:tcPr>
          <w:p w:rsidR="00A41AD7" w:rsidRPr="00DF6B0C" w:rsidRDefault="00A41AD7" w:rsidP="00E7317C">
            <w:pPr>
              <w:jc w:val="center"/>
              <w:rPr>
                <w:i/>
                <w:iCs/>
                <w:color w:val="000000"/>
                <w:sz w:val="18"/>
                <w:szCs w:val="18"/>
              </w:rPr>
            </w:pPr>
            <w:r w:rsidRPr="00DF6B0C">
              <w:rPr>
                <w:i/>
                <w:iCs/>
                <w:color w:val="000000"/>
                <w:sz w:val="18"/>
                <w:szCs w:val="18"/>
              </w:rPr>
              <w:t>102,5</w:t>
            </w:r>
          </w:p>
        </w:tc>
      </w:tr>
      <w:tr w:rsidR="00A41AD7" w:rsidRPr="00DF6B0C" w:rsidTr="002A33AD">
        <w:trPr>
          <w:trHeight w:val="268"/>
        </w:trPr>
        <w:tc>
          <w:tcPr>
            <w:tcW w:w="526" w:type="pct"/>
            <w:shd w:val="clear" w:color="auto" w:fill="auto"/>
            <w:vAlign w:val="center"/>
            <w:hideMark/>
          </w:tcPr>
          <w:p w:rsidR="00A41AD7" w:rsidRPr="00DF6B0C" w:rsidRDefault="00A41AD7" w:rsidP="00E7317C">
            <w:pPr>
              <w:rPr>
                <w:sz w:val="18"/>
                <w:szCs w:val="18"/>
              </w:rPr>
            </w:pPr>
            <w:r w:rsidRPr="00DF6B0C">
              <w:rPr>
                <w:sz w:val="18"/>
                <w:szCs w:val="18"/>
              </w:rPr>
              <w:t>до 50 л.с. (до 36,77 кВт) включительно</w:t>
            </w:r>
          </w:p>
        </w:tc>
        <w:tc>
          <w:tcPr>
            <w:tcW w:w="402" w:type="pct"/>
            <w:shd w:val="clear" w:color="auto" w:fill="auto"/>
            <w:vAlign w:val="center"/>
            <w:hideMark/>
          </w:tcPr>
          <w:p w:rsidR="00A41AD7" w:rsidRPr="00DF6B0C" w:rsidRDefault="00A41AD7" w:rsidP="00E7317C">
            <w:pPr>
              <w:jc w:val="center"/>
              <w:rPr>
                <w:sz w:val="18"/>
                <w:szCs w:val="18"/>
              </w:rPr>
            </w:pPr>
            <w:r w:rsidRPr="00DF6B0C">
              <w:rPr>
                <w:sz w:val="18"/>
                <w:szCs w:val="18"/>
              </w:rPr>
              <w:t>отчет 5-ТН,стр.2436</w:t>
            </w:r>
          </w:p>
        </w:tc>
        <w:tc>
          <w:tcPr>
            <w:tcW w:w="337"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1 157</w:t>
            </w:r>
          </w:p>
        </w:tc>
        <w:tc>
          <w:tcPr>
            <w:tcW w:w="260"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106,0</w:t>
            </w:r>
          </w:p>
        </w:tc>
        <w:tc>
          <w:tcPr>
            <w:tcW w:w="324"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1 197</w:t>
            </w:r>
          </w:p>
        </w:tc>
        <w:tc>
          <w:tcPr>
            <w:tcW w:w="243"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103,5</w:t>
            </w:r>
          </w:p>
        </w:tc>
        <w:tc>
          <w:tcPr>
            <w:tcW w:w="344"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1 215</w:t>
            </w:r>
          </w:p>
        </w:tc>
        <w:tc>
          <w:tcPr>
            <w:tcW w:w="240"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101,5</w:t>
            </w:r>
          </w:p>
        </w:tc>
        <w:tc>
          <w:tcPr>
            <w:tcW w:w="331"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1 246</w:t>
            </w:r>
          </w:p>
        </w:tc>
        <w:tc>
          <w:tcPr>
            <w:tcW w:w="253"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102,6</w:t>
            </w:r>
          </w:p>
        </w:tc>
        <w:tc>
          <w:tcPr>
            <w:tcW w:w="318"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1 266</w:t>
            </w:r>
          </w:p>
        </w:tc>
        <w:tc>
          <w:tcPr>
            <w:tcW w:w="265" w:type="pct"/>
            <w:shd w:val="clear" w:color="auto" w:fill="auto"/>
            <w:noWrap/>
            <w:vAlign w:val="center"/>
            <w:hideMark/>
          </w:tcPr>
          <w:p w:rsidR="00A41AD7" w:rsidRPr="00DF6B0C" w:rsidRDefault="00A41AD7" w:rsidP="00E7317C">
            <w:pPr>
              <w:jc w:val="center"/>
              <w:rPr>
                <w:i/>
                <w:iCs/>
                <w:color w:val="000000"/>
                <w:sz w:val="18"/>
                <w:szCs w:val="18"/>
              </w:rPr>
            </w:pPr>
            <w:r w:rsidRPr="00DF6B0C">
              <w:rPr>
                <w:i/>
                <w:iCs/>
                <w:color w:val="000000"/>
                <w:sz w:val="18"/>
                <w:szCs w:val="18"/>
              </w:rPr>
              <w:t>101,6</w:t>
            </w:r>
          </w:p>
        </w:tc>
        <w:tc>
          <w:tcPr>
            <w:tcW w:w="305"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1 292</w:t>
            </w:r>
          </w:p>
        </w:tc>
        <w:tc>
          <w:tcPr>
            <w:tcW w:w="230" w:type="pct"/>
            <w:shd w:val="clear" w:color="auto" w:fill="auto"/>
            <w:noWrap/>
            <w:vAlign w:val="center"/>
            <w:hideMark/>
          </w:tcPr>
          <w:p w:rsidR="00A41AD7" w:rsidRPr="00DF6B0C" w:rsidRDefault="00A41AD7" w:rsidP="00E7317C">
            <w:pPr>
              <w:jc w:val="center"/>
              <w:rPr>
                <w:i/>
                <w:iCs/>
                <w:color w:val="000000"/>
                <w:sz w:val="18"/>
                <w:szCs w:val="18"/>
              </w:rPr>
            </w:pPr>
            <w:r w:rsidRPr="00DF6B0C">
              <w:rPr>
                <w:i/>
                <w:iCs/>
                <w:color w:val="000000"/>
                <w:sz w:val="18"/>
                <w:szCs w:val="18"/>
              </w:rPr>
              <w:t>102,1</w:t>
            </w:r>
          </w:p>
        </w:tc>
        <w:tc>
          <w:tcPr>
            <w:tcW w:w="340"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1 317</w:t>
            </w:r>
          </w:p>
        </w:tc>
        <w:tc>
          <w:tcPr>
            <w:tcW w:w="282" w:type="pct"/>
            <w:shd w:val="clear" w:color="auto" w:fill="auto"/>
            <w:noWrap/>
            <w:vAlign w:val="center"/>
            <w:hideMark/>
          </w:tcPr>
          <w:p w:rsidR="00A41AD7" w:rsidRPr="00DF6B0C" w:rsidRDefault="00A41AD7" w:rsidP="00E7317C">
            <w:pPr>
              <w:jc w:val="center"/>
              <w:rPr>
                <w:i/>
                <w:iCs/>
                <w:color w:val="000000"/>
                <w:sz w:val="18"/>
                <w:szCs w:val="18"/>
              </w:rPr>
            </w:pPr>
            <w:r w:rsidRPr="00DF6B0C">
              <w:rPr>
                <w:i/>
                <w:iCs/>
                <w:color w:val="000000"/>
                <w:sz w:val="18"/>
                <w:szCs w:val="18"/>
              </w:rPr>
              <w:t>101,9</w:t>
            </w:r>
          </w:p>
        </w:tc>
      </w:tr>
      <w:tr w:rsidR="00A41AD7" w:rsidRPr="00DF6B0C" w:rsidTr="002A33AD">
        <w:trPr>
          <w:trHeight w:val="273"/>
        </w:trPr>
        <w:tc>
          <w:tcPr>
            <w:tcW w:w="526" w:type="pct"/>
            <w:shd w:val="clear" w:color="auto" w:fill="auto"/>
            <w:vAlign w:val="center"/>
            <w:hideMark/>
          </w:tcPr>
          <w:p w:rsidR="00A41AD7" w:rsidRPr="00DF6B0C" w:rsidRDefault="00A41AD7" w:rsidP="00E7317C">
            <w:pPr>
              <w:rPr>
                <w:sz w:val="18"/>
                <w:szCs w:val="18"/>
              </w:rPr>
            </w:pPr>
            <w:r w:rsidRPr="00DF6B0C">
              <w:rPr>
                <w:sz w:val="18"/>
                <w:szCs w:val="18"/>
              </w:rPr>
              <w:t>свыше 50 л.с. (свыше 36,77 кВт)</w:t>
            </w:r>
          </w:p>
        </w:tc>
        <w:tc>
          <w:tcPr>
            <w:tcW w:w="402" w:type="pct"/>
            <w:shd w:val="clear" w:color="auto" w:fill="auto"/>
            <w:vAlign w:val="center"/>
            <w:hideMark/>
          </w:tcPr>
          <w:p w:rsidR="00A41AD7" w:rsidRPr="00DF6B0C" w:rsidRDefault="00A41AD7" w:rsidP="00E7317C">
            <w:pPr>
              <w:jc w:val="center"/>
              <w:rPr>
                <w:sz w:val="18"/>
                <w:szCs w:val="18"/>
              </w:rPr>
            </w:pPr>
            <w:r w:rsidRPr="00DF6B0C">
              <w:rPr>
                <w:sz w:val="18"/>
                <w:szCs w:val="18"/>
              </w:rPr>
              <w:t>отчет 5-ТН,стр.2437</w:t>
            </w:r>
          </w:p>
        </w:tc>
        <w:tc>
          <w:tcPr>
            <w:tcW w:w="337"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1 801</w:t>
            </w:r>
          </w:p>
        </w:tc>
        <w:tc>
          <w:tcPr>
            <w:tcW w:w="260"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110,6</w:t>
            </w:r>
          </w:p>
        </w:tc>
        <w:tc>
          <w:tcPr>
            <w:tcW w:w="324"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1 924</w:t>
            </w:r>
          </w:p>
        </w:tc>
        <w:tc>
          <w:tcPr>
            <w:tcW w:w="243"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106,8</w:t>
            </w:r>
          </w:p>
        </w:tc>
        <w:tc>
          <w:tcPr>
            <w:tcW w:w="344"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1 986</w:t>
            </w:r>
          </w:p>
        </w:tc>
        <w:tc>
          <w:tcPr>
            <w:tcW w:w="240"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103,2</w:t>
            </w:r>
          </w:p>
        </w:tc>
        <w:tc>
          <w:tcPr>
            <w:tcW w:w="331"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2 059</w:t>
            </w:r>
          </w:p>
        </w:tc>
        <w:tc>
          <w:tcPr>
            <w:tcW w:w="253"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103,7</w:t>
            </w:r>
          </w:p>
        </w:tc>
        <w:tc>
          <w:tcPr>
            <w:tcW w:w="318"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2 110</w:t>
            </w:r>
          </w:p>
        </w:tc>
        <w:tc>
          <w:tcPr>
            <w:tcW w:w="265" w:type="pct"/>
            <w:shd w:val="clear" w:color="auto" w:fill="auto"/>
            <w:noWrap/>
            <w:vAlign w:val="center"/>
            <w:hideMark/>
          </w:tcPr>
          <w:p w:rsidR="00A41AD7" w:rsidRPr="00DF6B0C" w:rsidRDefault="00A41AD7" w:rsidP="00E7317C">
            <w:pPr>
              <w:jc w:val="center"/>
              <w:rPr>
                <w:i/>
                <w:iCs/>
                <w:color w:val="000000"/>
                <w:sz w:val="18"/>
                <w:szCs w:val="18"/>
              </w:rPr>
            </w:pPr>
            <w:r w:rsidRPr="00DF6B0C">
              <w:rPr>
                <w:i/>
                <w:iCs/>
                <w:color w:val="000000"/>
                <w:sz w:val="18"/>
                <w:szCs w:val="18"/>
              </w:rPr>
              <w:t>102,5</w:t>
            </w:r>
          </w:p>
        </w:tc>
        <w:tc>
          <w:tcPr>
            <w:tcW w:w="305"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2 174</w:t>
            </w:r>
          </w:p>
        </w:tc>
        <w:tc>
          <w:tcPr>
            <w:tcW w:w="230" w:type="pct"/>
            <w:shd w:val="clear" w:color="auto" w:fill="auto"/>
            <w:noWrap/>
            <w:vAlign w:val="center"/>
            <w:hideMark/>
          </w:tcPr>
          <w:p w:rsidR="00A41AD7" w:rsidRPr="00DF6B0C" w:rsidRDefault="00A41AD7" w:rsidP="00E7317C">
            <w:pPr>
              <w:jc w:val="center"/>
              <w:rPr>
                <w:i/>
                <w:iCs/>
                <w:color w:val="000000"/>
                <w:sz w:val="18"/>
                <w:szCs w:val="18"/>
              </w:rPr>
            </w:pPr>
            <w:r w:rsidRPr="00DF6B0C">
              <w:rPr>
                <w:i/>
                <w:iCs/>
                <w:color w:val="000000"/>
                <w:sz w:val="18"/>
                <w:szCs w:val="18"/>
              </w:rPr>
              <w:t>103,0</w:t>
            </w:r>
          </w:p>
        </w:tc>
        <w:tc>
          <w:tcPr>
            <w:tcW w:w="340"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2 236</w:t>
            </w:r>
          </w:p>
        </w:tc>
        <w:tc>
          <w:tcPr>
            <w:tcW w:w="282" w:type="pct"/>
            <w:shd w:val="clear" w:color="auto" w:fill="auto"/>
            <w:noWrap/>
            <w:vAlign w:val="center"/>
            <w:hideMark/>
          </w:tcPr>
          <w:p w:rsidR="00A41AD7" w:rsidRPr="00DF6B0C" w:rsidRDefault="00A41AD7" w:rsidP="00E7317C">
            <w:pPr>
              <w:jc w:val="center"/>
              <w:rPr>
                <w:i/>
                <w:iCs/>
                <w:color w:val="000000"/>
                <w:sz w:val="18"/>
                <w:szCs w:val="18"/>
              </w:rPr>
            </w:pPr>
            <w:r w:rsidRPr="00DF6B0C">
              <w:rPr>
                <w:i/>
                <w:iCs/>
                <w:color w:val="000000"/>
                <w:sz w:val="18"/>
                <w:szCs w:val="18"/>
              </w:rPr>
              <w:t>102,9</w:t>
            </w:r>
          </w:p>
        </w:tc>
      </w:tr>
      <w:tr w:rsidR="00A41AD7" w:rsidRPr="00DF6B0C" w:rsidTr="002A33AD">
        <w:trPr>
          <w:trHeight w:val="833"/>
        </w:trPr>
        <w:tc>
          <w:tcPr>
            <w:tcW w:w="526" w:type="pct"/>
            <w:shd w:val="clear" w:color="auto" w:fill="auto"/>
            <w:vAlign w:val="center"/>
            <w:hideMark/>
          </w:tcPr>
          <w:p w:rsidR="00A41AD7" w:rsidRPr="00DF6B0C" w:rsidRDefault="00A41AD7" w:rsidP="00E7317C">
            <w:pPr>
              <w:rPr>
                <w:i/>
                <w:iCs/>
                <w:sz w:val="18"/>
                <w:szCs w:val="18"/>
              </w:rPr>
            </w:pPr>
            <w:r w:rsidRPr="00DF6B0C">
              <w:rPr>
                <w:i/>
                <w:iCs/>
                <w:sz w:val="18"/>
                <w:szCs w:val="18"/>
              </w:rPr>
              <w:t xml:space="preserve">Катера, моторные лодки и другие водные транспортные средства с мощностью двигателя: </w:t>
            </w:r>
          </w:p>
        </w:tc>
        <w:tc>
          <w:tcPr>
            <w:tcW w:w="402" w:type="pct"/>
            <w:shd w:val="clear" w:color="auto" w:fill="auto"/>
            <w:vAlign w:val="center"/>
            <w:hideMark/>
          </w:tcPr>
          <w:p w:rsidR="00A41AD7" w:rsidRPr="00DF6B0C" w:rsidRDefault="00A41AD7" w:rsidP="00E7317C">
            <w:pPr>
              <w:jc w:val="center"/>
              <w:rPr>
                <w:sz w:val="18"/>
                <w:szCs w:val="18"/>
              </w:rPr>
            </w:pPr>
            <w:r w:rsidRPr="00DF6B0C">
              <w:rPr>
                <w:sz w:val="18"/>
                <w:szCs w:val="18"/>
              </w:rPr>
              <w:t>отчет 5-ТН,стр.2441</w:t>
            </w:r>
          </w:p>
        </w:tc>
        <w:tc>
          <w:tcPr>
            <w:tcW w:w="337" w:type="pct"/>
            <w:shd w:val="clear" w:color="auto" w:fill="auto"/>
            <w:vAlign w:val="center"/>
            <w:hideMark/>
          </w:tcPr>
          <w:p w:rsidR="00A41AD7" w:rsidRPr="00DF6B0C" w:rsidRDefault="00A41AD7" w:rsidP="00E7317C">
            <w:pPr>
              <w:jc w:val="center"/>
              <w:rPr>
                <w:sz w:val="18"/>
                <w:szCs w:val="18"/>
              </w:rPr>
            </w:pPr>
            <w:r w:rsidRPr="00DF6B0C">
              <w:rPr>
                <w:sz w:val="18"/>
                <w:szCs w:val="18"/>
              </w:rPr>
              <w:t>7 623</w:t>
            </w:r>
          </w:p>
        </w:tc>
        <w:tc>
          <w:tcPr>
            <w:tcW w:w="260" w:type="pct"/>
            <w:shd w:val="clear" w:color="auto" w:fill="auto"/>
            <w:vAlign w:val="center"/>
            <w:hideMark/>
          </w:tcPr>
          <w:p w:rsidR="00A41AD7" w:rsidRPr="00DF6B0C" w:rsidRDefault="00A41AD7" w:rsidP="00E7317C">
            <w:pPr>
              <w:jc w:val="center"/>
              <w:rPr>
                <w:sz w:val="18"/>
                <w:szCs w:val="18"/>
              </w:rPr>
            </w:pPr>
            <w:r w:rsidRPr="00DF6B0C">
              <w:rPr>
                <w:sz w:val="18"/>
                <w:szCs w:val="18"/>
              </w:rPr>
              <w:t>98,6</w:t>
            </w:r>
          </w:p>
        </w:tc>
        <w:tc>
          <w:tcPr>
            <w:tcW w:w="324" w:type="pct"/>
            <w:shd w:val="clear" w:color="auto" w:fill="auto"/>
            <w:vAlign w:val="center"/>
            <w:hideMark/>
          </w:tcPr>
          <w:p w:rsidR="00A41AD7" w:rsidRPr="00DF6B0C" w:rsidRDefault="00A41AD7" w:rsidP="00E7317C">
            <w:pPr>
              <w:jc w:val="center"/>
              <w:rPr>
                <w:sz w:val="18"/>
                <w:szCs w:val="18"/>
              </w:rPr>
            </w:pPr>
            <w:r w:rsidRPr="00DF6B0C">
              <w:rPr>
                <w:sz w:val="18"/>
                <w:szCs w:val="18"/>
              </w:rPr>
              <w:t>7 578</w:t>
            </w:r>
          </w:p>
        </w:tc>
        <w:tc>
          <w:tcPr>
            <w:tcW w:w="243" w:type="pct"/>
            <w:shd w:val="clear" w:color="auto" w:fill="auto"/>
            <w:vAlign w:val="center"/>
            <w:hideMark/>
          </w:tcPr>
          <w:p w:rsidR="00A41AD7" w:rsidRPr="00DF6B0C" w:rsidRDefault="00A41AD7" w:rsidP="00E7317C">
            <w:pPr>
              <w:jc w:val="center"/>
              <w:rPr>
                <w:sz w:val="18"/>
                <w:szCs w:val="18"/>
              </w:rPr>
            </w:pPr>
            <w:r w:rsidRPr="00DF6B0C">
              <w:rPr>
                <w:sz w:val="18"/>
                <w:szCs w:val="18"/>
              </w:rPr>
              <w:t>99,4</w:t>
            </w:r>
          </w:p>
        </w:tc>
        <w:tc>
          <w:tcPr>
            <w:tcW w:w="344" w:type="pct"/>
            <w:shd w:val="clear" w:color="auto" w:fill="auto"/>
            <w:vAlign w:val="center"/>
            <w:hideMark/>
          </w:tcPr>
          <w:p w:rsidR="00A41AD7" w:rsidRPr="00DF6B0C" w:rsidRDefault="00A41AD7" w:rsidP="00E7317C">
            <w:pPr>
              <w:jc w:val="center"/>
              <w:rPr>
                <w:sz w:val="18"/>
                <w:szCs w:val="18"/>
              </w:rPr>
            </w:pPr>
            <w:r w:rsidRPr="00DF6B0C">
              <w:rPr>
                <w:sz w:val="18"/>
                <w:szCs w:val="18"/>
              </w:rPr>
              <w:t>7 698</w:t>
            </w:r>
          </w:p>
        </w:tc>
        <w:tc>
          <w:tcPr>
            <w:tcW w:w="240" w:type="pct"/>
            <w:shd w:val="clear" w:color="auto" w:fill="auto"/>
            <w:vAlign w:val="center"/>
            <w:hideMark/>
          </w:tcPr>
          <w:p w:rsidR="00A41AD7" w:rsidRPr="00DF6B0C" w:rsidRDefault="00A41AD7" w:rsidP="00E7317C">
            <w:pPr>
              <w:jc w:val="center"/>
              <w:rPr>
                <w:sz w:val="18"/>
                <w:szCs w:val="18"/>
              </w:rPr>
            </w:pPr>
            <w:r w:rsidRPr="00DF6B0C">
              <w:rPr>
                <w:sz w:val="18"/>
                <w:szCs w:val="18"/>
              </w:rPr>
              <w:t>101,6</w:t>
            </w:r>
          </w:p>
        </w:tc>
        <w:tc>
          <w:tcPr>
            <w:tcW w:w="331" w:type="pct"/>
            <w:shd w:val="clear" w:color="auto" w:fill="auto"/>
            <w:vAlign w:val="center"/>
            <w:hideMark/>
          </w:tcPr>
          <w:p w:rsidR="00A41AD7" w:rsidRPr="00DF6B0C" w:rsidRDefault="00A41AD7" w:rsidP="00E7317C">
            <w:pPr>
              <w:jc w:val="center"/>
              <w:rPr>
                <w:sz w:val="18"/>
                <w:szCs w:val="18"/>
              </w:rPr>
            </w:pPr>
            <w:r w:rsidRPr="00DF6B0C">
              <w:rPr>
                <w:sz w:val="18"/>
                <w:szCs w:val="18"/>
              </w:rPr>
              <w:t>7 708</w:t>
            </w:r>
          </w:p>
        </w:tc>
        <w:tc>
          <w:tcPr>
            <w:tcW w:w="253" w:type="pct"/>
            <w:shd w:val="clear" w:color="auto" w:fill="auto"/>
            <w:vAlign w:val="center"/>
            <w:hideMark/>
          </w:tcPr>
          <w:p w:rsidR="00A41AD7" w:rsidRPr="00DF6B0C" w:rsidRDefault="00A41AD7" w:rsidP="00E7317C">
            <w:pPr>
              <w:jc w:val="center"/>
              <w:rPr>
                <w:sz w:val="18"/>
                <w:szCs w:val="18"/>
              </w:rPr>
            </w:pPr>
            <w:r w:rsidRPr="00DF6B0C">
              <w:rPr>
                <w:sz w:val="18"/>
                <w:szCs w:val="18"/>
              </w:rPr>
              <w:t>100,1</w:t>
            </w:r>
          </w:p>
        </w:tc>
        <w:tc>
          <w:tcPr>
            <w:tcW w:w="318"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7 953</w:t>
            </w:r>
          </w:p>
        </w:tc>
        <w:tc>
          <w:tcPr>
            <w:tcW w:w="265" w:type="pct"/>
            <w:shd w:val="clear" w:color="auto" w:fill="auto"/>
            <w:noWrap/>
            <w:vAlign w:val="center"/>
            <w:hideMark/>
          </w:tcPr>
          <w:p w:rsidR="00A41AD7" w:rsidRPr="00DF6B0C" w:rsidRDefault="00A41AD7" w:rsidP="00E7317C">
            <w:pPr>
              <w:jc w:val="center"/>
              <w:rPr>
                <w:i/>
                <w:iCs/>
                <w:color w:val="000000"/>
                <w:sz w:val="18"/>
                <w:szCs w:val="18"/>
              </w:rPr>
            </w:pPr>
            <w:r w:rsidRPr="00DF6B0C">
              <w:rPr>
                <w:i/>
                <w:iCs/>
                <w:color w:val="000000"/>
                <w:sz w:val="18"/>
                <w:szCs w:val="18"/>
              </w:rPr>
              <w:t>103,2</w:t>
            </w:r>
          </w:p>
        </w:tc>
        <w:tc>
          <w:tcPr>
            <w:tcW w:w="305"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8 118</w:t>
            </w:r>
          </w:p>
        </w:tc>
        <w:tc>
          <w:tcPr>
            <w:tcW w:w="230" w:type="pct"/>
            <w:shd w:val="clear" w:color="auto" w:fill="auto"/>
            <w:noWrap/>
            <w:vAlign w:val="center"/>
            <w:hideMark/>
          </w:tcPr>
          <w:p w:rsidR="00A41AD7" w:rsidRPr="00DF6B0C" w:rsidRDefault="00A41AD7" w:rsidP="00E7317C">
            <w:pPr>
              <w:jc w:val="center"/>
              <w:rPr>
                <w:i/>
                <w:iCs/>
                <w:color w:val="000000"/>
                <w:sz w:val="18"/>
                <w:szCs w:val="18"/>
              </w:rPr>
            </w:pPr>
            <w:r w:rsidRPr="00DF6B0C">
              <w:rPr>
                <w:i/>
                <w:iCs/>
                <w:color w:val="000000"/>
                <w:sz w:val="18"/>
                <w:szCs w:val="18"/>
              </w:rPr>
              <w:t>102,1</w:t>
            </w:r>
          </w:p>
        </w:tc>
        <w:tc>
          <w:tcPr>
            <w:tcW w:w="340"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8 334</w:t>
            </w:r>
          </w:p>
        </w:tc>
        <w:tc>
          <w:tcPr>
            <w:tcW w:w="282" w:type="pct"/>
            <w:shd w:val="clear" w:color="auto" w:fill="auto"/>
            <w:noWrap/>
            <w:vAlign w:val="center"/>
            <w:hideMark/>
          </w:tcPr>
          <w:p w:rsidR="00A41AD7" w:rsidRPr="00DF6B0C" w:rsidRDefault="00A41AD7" w:rsidP="00E7317C">
            <w:pPr>
              <w:jc w:val="center"/>
              <w:rPr>
                <w:i/>
                <w:iCs/>
                <w:color w:val="000000"/>
                <w:sz w:val="18"/>
                <w:szCs w:val="18"/>
              </w:rPr>
            </w:pPr>
            <w:r w:rsidRPr="00DF6B0C">
              <w:rPr>
                <w:i/>
                <w:iCs/>
                <w:color w:val="000000"/>
                <w:sz w:val="18"/>
                <w:szCs w:val="18"/>
              </w:rPr>
              <w:t>102,7</w:t>
            </w:r>
          </w:p>
        </w:tc>
      </w:tr>
      <w:tr w:rsidR="00A41AD7" w:rsidRPr="00DF6B0C" w:rsidTr="002A33AD">
        <w:trPr>
          <w:trHeight w:val="264"/>
        </w:trPr>
        <w:tc>
          <w:tcPr>
            <w:tcW w:w="526" w:type="pct"/>
            <w:shd w:val="clear" w:color="auto" w:fill="auto"/>
            <w:vAlign w:val="center"/>
            <w:hideMark/>
          </w:tcPr>
          <w:p w:rsidR="00A41AD7" w:rsidRPr="00DF6B0C" w:rsidRDefault="00A41AD7" w:rsidP="00E7317C">
            <w:pPr>
              <w:rPr>
                <w:sz w:val="18"/>
                <w:szCs w:val="18"/>
              </w:rPr>
            </w:pPr>
            <w:r w:rsidRPr="00DF6B0C">
              <w:rPr>
                <w:sz w:val="18"/>
                <w:szCs w:val="18"/>
              </w:rPr>
              <w:t>до 100 л.с. (до 73,55 кВт) включительно</w:t>
            </w:r>
          </w:p>
        </w:tc>
        <w:tc>
          <w:tcPr>
            <w:tcW w:w="402" w:type="pct"/>
            <w:shd w:val="clear" w:color="auto" w:fill="auto"/>
            <w:vAlign w:val="center"/>
            <w:hideMark/>
          </w:tcPr>
          <w:p w:rsidR="00A41AD7" w:rsidRPr="00DF6B0C" w:rsidRDefault="00A41AD7" w:rsidP="00E7317C">
            <w:pPr>
              <w:jc w:val="center"/>
              <w:rPr>
                <w:sz w:val="18"/>
                <w:szCs w:val="18"/>
              </w:rPr>
            </w:pPr>
            <w:r w:rsidRPr="00DF6B0C">
              <w:rPr>
                <w:sz w:val="18"/>
                <w:szCs w:val="18"/>
              </w:rPr>
              <w:t>отчет 5-ТН,стр.2442</w:t>
            </w:r>
          </w:p>
        </w:tc>
        <w:tc>
          <w:tcPr>
            <w:tcW w:w="337"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1 953</w:t>
            </w:r>
          </w:p>
        </w:tc>
        <w:tc>
          <w:tcPr>
            <w:tcW w:w="260"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97,1</w:t>
            </w:r>
          </w:p>
        </w:tc>
        <w:tc>
          <w:tcPr>
            <w:tcW w:w="324"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2 016</w:t>
            </w:r>
          </w:p>
        </w:tc>
        <w:tc>
          <w:tcPr>
            <w:tcW w:w="243"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103,2</w:t>
            </w:r>
          </w:p>
        </w:tc>
        <w:tc>
          <w:tcPr>
            <w:tcW w:w="344"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1 941</w:t>
            </w:r>
          </w:p>
        </w:tc>
        <w:tc>
          <w:tcPr>
            <w:tcW w:w="240"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96,3</w:t>
            </w:r>
          </w:p>
        </w:tc>
        <w:tc>
          <w:tcPr>
            <w:tcW w:w="331"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1 864</w:t>
            </w:r>
          </w:p>
        </w:tc>
        <w:tc>
          <w:tcPr>
            <w:tcW w:w="253"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96,0</w:t>
            </w:r>
          </w:p>
        </w:tc>
        <w:tc>
          <w:tcPr>
            <w:tcW w:w="318"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1 815</w:t>
            </w:r>
          </w:p>
        </w:tc>
        <w:tc>
          <w:tcPr>
            <w:tcW w:w="265" w:type="pct"/>
            <w:shd w:val="clear" w:color="auto" w:fill="auto"/>
            <w:noWrap/>
            <w:vAlign w:val="center"/>
            <w:hideMark/>
          </w:tcPr>
          <w:p w:rsidR="00A41AD7" w:rsidRPr="00DF6B0C" w:rsidRDefault="00A41AD7" w:rsidP="00E7317C">
            <w:pPr>
              <w:jc w:val="center"/>
              <w:rPr>
                <w:i/>
                <w:iCs/>
                <w:color w:val="000000"/>
                <w:sz w:val="18"/>
                <w:szCs w:val="18"/>
              </w:rPr>
            </w:pPr>
            <w:r w:rsidRPr="00DF6B0C">
              <w:rPr>
                <w:i/>
                <w:iCs/>
                <w:color w:val="000000"/>
                <w:sz w:val="18"/>
                <w:szCs w:val="18"/>
              </w:rPr>
              <w:t>97,4</w:t>
            </w:r>
          </w:p>
        </w:tc>
        <w:tc>
          <w:tcPr>
            <w:tcW w:w="305"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1 772</w:t>
            </w:r>
          </w:p>
        </w:tc>
        <w:tc>
          <w:tcPr>
            <w:tcW w:w="230" w:type="pct"/>
            <w:shd w:val="clear" w:color="auto" w:fill="auto"/>
            <w:noWrap/>
            <w:vAlign w:val="center"/>
            <w:hideMark/>
          </w:tcPr>
          <w:p w:rsidR="00A41AD7" w:rsidRPr="00DF6B0C" w:rsidRDefault="00A41AD7" w:rsidP="00E7317C">
            <w:pPr>
              <w:jc w:val="center"/>
              <w:rPr>
                <w:i/>
                <w:iCs/>
                <w:color w:val="000000"/>
                <w:sz w:val="18"/>
                <w:szCs w:val="18"/>
              </w:rPr>
            </w:pPr>
            <w:r w:rsidRPr="00DF6B0C">
              <w:rPr>
                <w:i/>
                <w:iCs/>
                <w:color w:val="000000"/>
                <w:sz w:val="18"/>
                <w:szCs w:val="18"/>
              </w:rPr>
              <w:t>97,6</w:t>
            </w:r>
          </w:p>
        </w:tc>
        <w:tc>
          <w:tcPr>
            <w:tcW w:w="340"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1 727</w:t>
            </w:r>
          </w:p>
        </w:tc>
        <w:tc>
          <w:tcPr>
            <w:tcW w:w="282" w:type="pct"/>
            <w:shd w:val="clear" w:color="auto" w:fill="auto"/>
            <w:noWrap/>
            <w:vAlign w:val="center"/>
            <w:hideMark/>
          </w:tcPr>
          <w:p w:rsidR="00A41AD7" w:rsidRPr="00DF6B0C" w:rsidRDefault="00A41AD7" w:rsidP="00E7317C">
            <w:pPr>
              <w:jc w:val="center"/>
              <w:rPr>
                <w:i/>
                <w:iCs/>
                <w:color w:val="000000"/>
                <w:sz w:val="18"/>
                <w:szCs w:val="18"/>
              </w:rPr>
            </w:pPr>
            <w:r w:rsidRPr="00DF6B0C">
              <w:rPr>
                <w:i/>
                <w:iCs/>
                <w:color w:val="000000"/>
                <w:sz w:val="18"/>
                <w:szCs w:val="18"/>
              </w:rPr>
              <w:t>97,5</w:t>
            </w:r>
          </w:p>
        </w:tc>
      </w:tr>
      <w:tr w:rsidR="00A41AD7" w:rsidRPr="00DF6B0C" w:rsidTr="002A33AD">
        <w:trPr>
          <w:trHeight w:val="269"/>
        </w:trPr>
        <w:tc>
          <w:tcPr>
            <w:tcW w:w="526" w:type="pct"/>
            <w:shd w:val="clear" w:color="auto" w:fill="auto"/>
            <w:vAlign w:val="center"/>
            <w:hideMark/>
          </w:tcPr>
          <w:p w:rsidR="00A41AD7" w:rsidRPr="00DF6B0C" w:rsidRDefault="00A41AD7" w:rsidP="00E7317C">
            <w:pPr>
              <w:rPr>
                <w:sz w:val="18"/>
                <w:szCs w:val="18"/>
              </w:rPr>
            </w:pPr>
            <w:r w:rsidRPr="00DF6B0C">
              <w:rPr>
                <w:sz w:val="18"/>
                <w:szCs w:val="18"/>
              </w:rPr>
              <w:t>свыше 100 л.с. (свыше 73,55 кВт)</w:t>
            </w:r>
          </w:p>
        </w:tc>
        <w:tc>
          <w:tcPr>
            <w:tcW w:w="402" w:type="pct"/>
            <w:shd w:val="clear" w:color="auto" w:fill="auto"/>
            <w:vAlign w:val="center"/>
            <w:hideMark/>
          </w:tcPr>
          <w:p w:rsidR="00A41AD7" w:rsidRPr="00DF6B0C" w:rsidRDefault="00A41AD7" w:rsidP="00E7317C">
            <w:pPr>
              <w:jc w:val="center"/>
              <w:rPr>
                <w:sz w:val="18"/>
                <w:szCs w:val="18"/>
              </w:rPr>
            </w:pPr>
            <w:r w:rsidRPr="00DF6B0C">
              <w:rPr>
                <w:sz w:val="18"/>
                <w:szCs w:val="18"/>
              </w:rPr>
              <w:t>отчет 5-ТН,стр.2443</w:t>
            </w:r>
          </w:p>
        </w:tc>
        <w:tc>
          <w:tcPr>
            <w:tcW w:w="337"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5 670</w:t>
            </w:r>
          </w:p>
        </w:tc>
        <w:tc>
          <w:tcPr>
            <w:tcW w:w="260"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99,1</w:t>
            </w:r>
          </w:p>
        </w:tc>
        <w:tc>
          <w:tcPr>
            <w:tcW w:w="324"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5 562</w:t>
            </w:r>
          </w:p>
        </w:tc>
        <w:tc>
          <w:tcPr>
            <w:tcW w:w="243"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98,1</w:t>
            </w:r>
          </w:p>
        </w:tc>
        <w:tc>
          <w:tcPr>
            <w:tcW w:w="344"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5 757</w:t>
            </w:r>
          </w:p>
        </w:tc>
        <w:tc>
          <w:tcPr>
            <w:tcW w:w="240"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103,5</w:t>
            </w:r>
          </w:p>
        </w:tc>
        <w:tc>
          <w:tcPr>
            <w:tcW w:w="331"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5 844</w:t>
            </w:r>
          </w:p>
        </w:tc>
        <w:tc>
          <w:tcPr>
            <w:tcW w:w="253"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101,5</w:t>
            </w:r>
          </w:p>
        </w:tc>
        <w:tc>
          <w:tcPr>
            <w:tcW w:w="318"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6 138</w:t>
            </w:r>
          </w:p>
        </w:tc>
        <w:tc>
          <w:tcPr>
            <w:tcW w:w="265" w:type="pct"/>
            <w:shd w:val="clear" w:color="auto" w:fill="auto"/>
            <w:noWrap/>
            <w:vAlign w:val="center"/>
            <w:hideMark/>
          </w:tcPr>
          <w:p w:rsidR="00A41AD7" w:rsidRPr="00DF6B0C" w:rsidRDefault="00A41AD7" w:rsidP="00E7317C">
            <w:pPr>
              <w:jc w:val="center"/>
              <w:rPr>
                <w:i/>
                <w:iCs/>
                <w:color w:val="000000"/>
                <w:sz w:val="18"/>
                <w:szCs w:val="18"/>
              </w:rPr>
            </w:pPr>
            <w:r w:rsidRPr="00DF6B0C">
              <w:rPr>
                <w:i/>
                <w:iCs/>
                <w:color w:val="000000"/>
                <w:sz w:val="18"/>
                <w:szCs w:val="18"/>
              </w:rPr>
              <w:t>105,0</w:t>
            </w:r>
          </w:p>
        </w:tc>
        <w:tc>
          <w:tcPr>
            <w:tcW w:w="305"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6 346</w:t>
            </w:r>
          </w:p>
        </w:tc>
        <w:tc>
          <w:tcPr>
            <w:tcW w:w="230" w:type="pct"/>
            <w:shd w:val="clear" w:color="auto" w:fill="auto"/>
            <w:noWrap/>
            <w:vAlign w:val="center"/>
            <w:hideMark/>
          </w:tcPr>
          <w:p w:rsidR="00A41AD7" w:rsidRPr="00DF6B0C" w:rsidRDefault="00A41AD7" w:rsidP="00E7317C">
            <w:pPr>
              <w:jc w:val="center"/>
              <w:rPr>
                <w:i/>
                <w:iCs/>
                <w:color w:val="000000"/>
                <w:sz w:val="18"/>
                <w:szCs w:val="18"/>
              </w:rPr>
            </w:pPr>
            <w:r w:rsidRPr="00DF6B0C">
              <w:rPr>
                <w:i/>
                <w:iCs/>
                <w:color w:val="000000"/>
                <w:sz w:val="18"/>
                <w:szCs w:val="18"/>
              </w:rPr>
              <w:t>103,4</w:t>
            </w:r>
          </w:p>
        </w:tc>
        <w:tc>
          <w:tcPr>
            <w:tcW w:w="340"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6 607</w:t>
            </w:r>
          </w:p>
        </w:tc>
        <w:tc>
          <w:tcPr>
            <w:tcW w:w="282" w:type="pct"/>
            <w:shd w:val="clear" w:color="auto" w:fill="auto"/>
            <w:noWrap/>
            <w:vAlign w:val="center"/>
            <w:hideMark/>
          </w:tcPr>
          <w:p w:rsidR="00A41AD7" w:rsidRPr="00DF6B0C" w:rsidRDefault="00A41AD7" w:rsidP="00E7317C">
            <w:pPr>
              <w:jc w:val="center"/>
              <w:rPr>
                <w:i/>
                <w:iCs/>
                <w:color w:val="000000"/>
                <w:sz w:val="18"/>
                <w:szCs w:val="18"/>
              </w:rPr>
            </w:pPr>
            <w:r w:rsidRPr="00DF6B0C">
              <w:rPr>
                <w:i/>
                <w:iCs/>
                <w:color w:val="000000"/>
                <w:sz w:val="18"/>
                <w:szCs w:val="18"/>
              </w:rPr>
              <w:t>104,1</w:t>
            </w:r>
          </w:p>
        </w:tc>
      </w:tr>
      <w:tr w:rsidR="00A41AD7" w:rsidRPr="00DF6B0C" w:rsidTr="002A33AD">
        <w:trPr>
          <w:trHeight w:val="559"/>
        </w:trPr>
        <w:tc>
          <w:tcPr>
            <w:tcW w:w="526" w:type="pct"/>
            <w:shd w:val="clear" w:color="auto" w:fill="auto"/>
            <w:vAlign w:val="center"/>
            <w:hideMark/>
          </w:tcPr>
          <w:p w:rsidR="00A41AD7" w:rsidRPr="00DF6B0C" w:rsidRDefault="00A41AD7" w:rsidP="00E7317C">
            <w:pPr>
              <w:rPr>
                <w:i/>
                <w:iCs/>
                <w:sz w:val="18"/>
                <w:szCs w:val="18"/>
              </w:rPr>
            </w:pPr>
            <w:r w:rsidRPr="00DF6B0C">
              <w:rPr>
                <w:i/>
                <w:iCs/>
                <w:sz w:val="18"/>
                <w:szCs w:val="18"/>
              </w:rPr>
              <w:t xml:space="preserve">Яхты и другие парусно-моторные суда с мощностью двигателя: </w:t>
            </w:r>
          </w:p>
        </w:tc>
        <w:tc>
          <w:tcPr>
            <w:tcW w:w="402" w:type="pct"/>
            <w:shd w:val="clear" w:color="auto" w:fill="auto"/>
            <w:vAlign w:val="center"/>
            <w:hideMark/>
          </w:tcPr>
          <w:p w:rsidR="00A41AD7" w:rsidRPr="00DF6B0C" w:rsidRDefault="00A41AD7" w:rsidP="00E7317C">
            <w:pPr>
              <w:jc w:val="center"/>
              <w:rPr>
                <w:i/>
                <w:iCs/>
                <w:sz w:val="18"/>
                <w:szCs w:val="18"/>
              </w:rPr>
            </w:pPr>
            <w:r w:rsidRPr="00DF6B0C">
              <w:rPr>
                <w:i/>
                <w:iCs/>
                <w:sz w:val="18"/>
                <w:szCs w:val="18"/>
              </w:rPr>
              <w:t>отчет 5-ТН,стр.2444</w:t>
            </w:r>
          </w:p>
        </w:tc>
        <w:tc>
          <w:tcPr>
            <w:tcW w:w="337" w:type="pct"/>
            <w:shd w:val="clear" w:color="auto" w:fill="auto"/>
            <w:vAlign w:val="center"/>
            <w:hideMark/>
          </w:tcPr>
          <w:p w:rsidR="00A41AD7" w:rsidRPr="00DF6B0C" w:rsidRDefault="00A41AD7" w:rsidP="00E7317C">
            <w:pPr>
              <w:jc w:val="center"/>
              <w:rPr>
                <w:sz w:val="18"/>
                <w:szCs w:val="18"/>
              </w:rPr>
            </w:pPr>
            <w:r w:rsidRPr="00DF6B0C">
              <w:rPr>
                <w:sz w:val="18"/>
                <w:szCs w:val="18"/>
              </w:rPr>
              <w:t>43</w:t>
            </w:r>
          </w:p>
        </w:tc>
        <w:tc>
          <w:tcPr>
            <w:tcW w:w="260" w:type="pct"/>
            <w:shd w:val="clear" w:color="auto" w:fill="auto"/>
            <w:vAlign w:val="center"/>
            <w:hideMark/>
          </w:tcPr>
          <w:p w:rsidR="00A41AD7" w:rsidRPr="00DF6B0C" w:rsidRDefault="00A41AD7" w:rsidP="00E7317C">
            <w:pPr>
              <w:jc w:val="center"/>
              <w:rPr>
                <w:sz w:val="18"/>
                <w:szCs w:val="18"/>
              </w:rPr>
            </w:pPr>
            <w:r w:rsidRPr="00DF6B0C">
              <w:rPr>
                <w:sz w:val="18"/>
                <w:szCs w:val="18"/>
              </w:rPr>
              <w:t>97,7</w:t>
            </w:r>
          </w:p>
        </w:tc>
        <w:tc>
          <w:tcPr>
            <w:tcW w:w="324" w:type="pct"/>
            <w:shd w:val="clear" w:color="auto" w:fill="auto"/>
            <w:vAlign w:val="center"/>
            <w:hideMark/>
          </w:tcPr>
          <w:p w:rsidR="00A41AD7" w:rsidRPr="00DF6B0C" w:rsidRDefault="00A41AD7" w:rsidP="00E7317C">
            <w:pPr>
              <w:jc w:val="center"/>
              <w:rPr>
                <w:sz w:val="18"/>
                <w:szCs w:val="18"/>
              </w:rPr>
            </w:pPr>
            <w:r w:rsidRPr="00DF6B0C">
              <w:rPr>
                <w:sz w:val="18"/>
                <w:szCs w:val="18"/>
              </w:rPr>
              <w:t>49</w:t>
            </w:r>
          </w:p>
        </w:tc>
        <w:tc>
          <w:tcPr>
            <w:tcW w:w="243" w:type="pct"/>
            <w:shd w:val="clear" w:color="auto" w:fill="auto"/>
            <w:vAlign w:val="center"/>
            <w:hideMark/>
          </w:tcPr>
          <w:p w:rsidR="00A41AD7" w:rsidRPr="00DF6B0C" w:rsidRDefault="00A41AD7" w:rsidP="00E7317C">
            <w:pPr>
              <w:jc w:val="center"/>
              <w:rPr>
                <w:sz w:val="18"/>
                <w:szCs w:val="18"/>
              </w:rPr>
            </w:pPr>
            <w:r w:rsidRPr="00DF6B0C">
              <w:rPr>
                <w:sz w:val="18"/>
                <w:szCs w:val="18"/>
              </w:rPr>
              <w:t>114,0</w:t>
            </w:r>
          </w:p>
        </w:tc>
        <w:tc>
          <w:tcPr>
            <w:tcW w:w="344" w:type="pct"/>
            <w:shd w:val="clear" w:color="auto" w:fill="auto"/>
            <w:vAlign w:val="center"/>
            <w:hideMark/>
          </w:tcPr>
          <w:p w:rsidR="00A41AD7" w:rsidRPr="00DF6B0C" w:rsidRDefault="00A41AD7" w:rsidP="00E7317C">
            <w:pPr>
              <w:jc w:val="center"/>
              <w:rPr>
                <w:sz w:val="18"/>
                <w:szCs w:val="18"/>
              </w:rPr>
            </w:pPr>
            <w:r w:rsidRPr="00DF6B0C">
              <w:rPr>
                <w:sz w:val="18"/>
                <w:szCs w:val="18"/>
              </w:rPr>
              <w:t>37</w:t>
            </w:r>
          </w:p>
        </w:tc>
        <w:tc>
          <w:tcPr>
            <w:tcW w:w="240" w:type="pct"/>
            <w:shd w:val="clear" w:color="auto" w:fill="auto"/>
            <w:vAlign w:val="center"/>
            <w:hideMark/>
          </w:tcPr>
          <w:p w:rsidR="00A41AD7" w:rsidRPr="00DF6B0C" w:rsidRDefault="00A41AD7" w:rsidP="00E7317C">
            <w:pPr>
              <w:jc w:val="center"/>
              <w:rPr>
                <w:sz w:val="18"/>
                <w:szCs w:val="18"/>
              </w:rPr>
            </w:pPr>
            <w:r w:rsidRPr="00DF6B0C">
              <w:rPr>
                <w:sz w:val="18"/>
                <w:szCs w:val="18"/>
              </w:rPr>
              <w:t>75,5</w:t>
            </w:r>
          </w:p>
        </w:tc>
        <w:tc>
          <w:tcPr>
            <w:tcW w:w="331" w:type="pct"/>
            <w:shd w:val="clear" w:color="auto" w:fill="auto"/>
            <w:vAlign w:val="center"/>
            <w:hideMark/>
          </w:tcPr>
          <w:p w:rsidR="00A41AD7" w:rsidRPr="00DF6B0C" w:rsidRDefault="00A41AD7" w:rsidP="00E7317C">
            <w:pPr>
              <w:jc w:val="center"/>
              <w:rPr>
                <w:sz w:val="18"/>
                <w:szCs w:val="18"/>
              </w:rPr>
            </w:pPr>
            <w:r w:rsidRPr="00DF6B0C">
              <w:rPr>
                <w:sz w:val="18"/>
                <w:szCs w:val="18"/>
              </w:rPr>
              <w:t>35</w:t>
            </w:r>
          </w:p>
        </w:tc>
        <w:tc>
          <w:tcPr>
            <w:tcW w:w="253" w:type="pct"/>
            <w:shd w:val="clear" w:color="auto" w:fill="auto"/>
            <w:vAlign w:val="center"/>
            <w:hideMark/>
          </w:tcPr>
          <w:p w:rsidR="00A41AD7" w:rsidRPr="00DF6B0C" w:rsidRDefault="00A41AD7" w:rsidP="00E7317C">
            <w:pPr>
              <w:jc w:val="center"/>
              <w:rPr>
                <w:sz w:val="18"/>
                <w:szCs w:val="18"/>
              </w:rPr>
            </w:pPr>
            <w:r w:rsidRPr="00DF6B0C">
              <w:rPr>
                <w:sz w:val="18"/>
                <w:szCs w:val="18"/>
              </w:rPr>
              <w:t>94,6</w:t>
            </w:r>
          </w:p>
        </w:tc>
        <w:tc>
          <w:tcPr>
            <w:tcW w:w="318"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32</w:t>
            </w:r>
          </w:p>
        </w:tc>
        <w:tc>
          <w:tcPr>
            <w:tcW w:w="265" w:type="pct"/>
            <w:shd w:val="clear" w:color="auto" w:fill="auto"/>
            <w:noWrap/>
            <w:vAlign w:val="center"/>
            <w:hideMark/>
          </w:tcPr>
          <w:p w:rsidR="00A41AD7" w:rsidRPr="00DF6B0C" w:rsidRDefault="00A41AD7" w:rsidP="00E7317C">
            <w:pPr>
              <w:jc w:val="center"/>
              <w:rPr>
                <w:i/>
                <w:iCs/>
                <w:color w:val="000000"/>
                <w:sz w:val="18"/>
                <w:szCs w:val="18"/>
              </w:rPr>
            </w:pPr>
            <w:r w:rsidRPr="00DF6B0C">
              <w:rPr>
                <w:i/>
                <w:iCs/>
                <w:color w:val="000000"/>
                <w:sz w:val="18"/>
                <w:szCs w:val="18"/>
              </w:rPr>
              <w:t>91,4</w:t>
            </w:r>
          </w:p>
        </w:tc>
        <w:tc>
          <w:tcPr>
            <w:tcW w:w="305"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30</w:t>
            </w:r>
          </w:p>
        </w:tc>
        <w:tc>
          <w:tcPr>
            <w:tcW w:w="230" w:type="pct"/>
            <w:shd w:val="clear" w:color="auto" w:fill="auto"/>
            <w:noWrap/>
            <w:vAlign w:val="center"/>
            <w:hideMark/>
          </w:tcPr>
          <w:p w:rsidR="00A41AD7" w:rsidRPr="00DF6B0C" w:rsidRDefault="00A41AD7" w:rsidP="00E7317C">
            <w:pPr>
              <w:jc w:val="center"/>
              <w:rPr>
                <w:i/>
                <w:iCs/>
                <w:color w:val="000000"/>
                <w:sz w:val="18"/>
                <w:szCs w:val="18"/>
              </w:rPr>
            </w:pPr>
            <w:r w:rsidRPr="00DF6B0C">
              <w:rPr>
                <w:i/>
                <w:iCs/>
                <w:color w:val="000000"/>
                <w:sz w:val="18"/>
                <w:szCs w:val="18"/>
              </w:rPr>
              <w:t>93,8</w:t>
            </w:r>
          </w:p>
        </w:tc>
        <w:tc>
          <w:tcPr>
            <w:tcW w:w="340"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28</w:t>
            </w:r>
          </w:p>
        </w:tc>
        <w:tc>
          <w:tcPr>
            <w:tcW w:w="282" w:type="pct"/>
            <w:shd w:val="clear" w:color="auto" w:fill="auto"/>
            <w:noWrap/>
            <w:vAlign w:val="center"/>
            <w:hideMark/>
          </w:tcPr>
          <w:p w:rsidR="00A41AD7" w:rsidRPr="00DF6B0C" w:rsidRDefault="00A41AD7" w:rsidP="00E7317C">
            <w:pPr>
              <w:jc w:val="center"/>
              <w:rPr>
                <w:i/>
                <w:iCs/>
                <w:color w:val="000000"/>
                <w:sz w:val="18"/>
                <w:szCs w:val="18"/>
              </w:rPr>
            </w:pPr>
            <w:r w:rsidRPr="00DF6B0C">
              <w:rPr>
                <w:i/>
                <w:iCs/>
                <w:color w:val="000000"/>
                <w:sz w:val="18"/>
                <w:szCs w:val="18"/>
              </w:rPr>
              <w:t>93,3</w:t>
            </w:r>
          </w:p>
        </w:tc>
      </w:tr>
      <w:tr w:rsidR="00A41AD7" w:rsidRPr="00DF6B0C" w:rsidTr="002A33AD">
        <w:trPr>
          <w:trHeight w:val="355"/>
        </w:trPr>
        <w:tc>
          <w:tcPr>
            <w:tcW w:w="526" w:type="pct"/>
            <w:shd w:val="clear" w:color="auto" w:fill="auto"/>
            <w:vAlign w:val="center"/>
            <w:hideMark/>
          </w:tcPr>
          <w:p w:rsidR="00A41AD7" w:rsidRPr="00DF6B0C" w:rsidRDefault="00A41AD7" w:rsidP="00E7317C">
            <w:pPr>
              <w:rPr>
                <w:sz w:val="18"/>
                <w:szCs w:val="18"/>
              </w:rPr>
            </w:pPr>
            <w:r w:rsidRPr="00DF6B0C">
              <w:rPr>
                <w:sz w:val="18"/>
                <w:szCs w:val="18"/>
              </w:rPr>
              <w:t>до 100 л.с. (до 73,55 кВт) включительно</w:t>
            </w:r>
          </w:p>
        </w:tc>
        <w:tc>
          <w:tcPr>
            <w:tcW w:w="402" w:type="pct"/>
            <w:shd w:val="clear" w:color="auto" w:fill="auto"/>
            <w:vAlign w:val="center"/>
            <w:hideMark/>
          </w:tcPr>
          <w:p w:rsidR="00A41AD7" w:rsidRPr="00DF6B0C" w:rsidRDefault="00A41AD7" w:rsidP="00E7317C">
            <w:pPr>
              <w:jc w:val="center"/>
              <w:rPr>
                <w:sz w:val="18"/>
                <w:szCs w:val="18"/>
              </w:rPr>
            </w:pPr>
            <w:r w:rsidRPr="00DF6B0C">
              <w:rPr>
                <w:sz w:val="18"/>
                <w:szCs w:val="18"/>
              </w:rPr>
              <w:t>отчет 5-ТН,стр.2445</w:t>
            </w:r>
          </w:p>
        </w:tc>
        <w:tc>
          <w:tcPr>
            <w:tcW w:w="337"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43</w:t>
            </w:r>
          </w:p>
        </w:tc>
        <w:tc>
          <w:tcPr>
            <w:tcW w:w="260"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97,7</w:t>
            </w:r>
          </w:p>
        </w:tc>
        <w:tc>
          <w:tcPr>
            <w:tcW w:w="324"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38</w:t>
            </w:r>
          </w:p>
        </w:tc>
        <w:tc>
          <w:tcPr>
            <w:tcW w:w="243"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88,4</w:t>
            </w:r>
          </w:p>
        </w:tc>
        <w:tc>
          <w:tcPr>
            <w:tcW w:w="344"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37</w:t>
            </w:r>
          </w:p>
        </w:tc>
        <w:tc>
          <w:tcPr>
            <w:tcW w:w="240"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97,4</w:t>
            </w:r>
          </w:p>
        </w:tc>
        <w:tc>
          <w:tcPr>
            <w:tcW w:w="331"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35</w:t>
            </w:r>
          </w:p>
        </w:tc>
        <w:tc>
          <w:tcPr>
            <w:tcW w:w="253"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94,6</w:t>
            </w:r>
          </w:p>
        </w:tc>
        <w:tc>
          <w:tcPr>
            <w:tcW w:w="318"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32</w:t>
            </w:r>
          </w:p>
        </w:tc>
        <w:tc>
          <w:tcPr>
            <w:tcW w:w="265" w:type="pct"/>
            <w:shd w:val="clear" w:color="auto" w:fill="auto"/>
            <w:noWrap/>
            <w:vAlign w:val="center"/>
            <w:hideMark/>
          </w:tcPr>
          <w:p w:rsidR="00A41AD7" w:rsidRPr="00DF6B0C" w:rsidRDefault="00A41AD7" w:rsidP="00E7317C">
            <w:pPr>
              <w:jc w:val="center"/>
              <w:rPr>
                <w:i/>
                <w:iCs/>
                <w:color w:val="000000"/>
                <w:sz w:val="18"/>
                <w:szCs w:val="18"/>
              </w:rPr>
            </w:pPr>
            <w:r w:rsidRPr="00DF6B0C">
              <w:rPr>
                <w:i/>
                <w:iCs/>
                <w:color w:val="000000"/>
                <w:sz w:val="18"/>
                <w:szCs w:val="18"/>
              </w:rPr>
              <w:t>91,4</w:t>
            </w:r>
          </w:p>
        </w:tc>
        <w:tc>
          <w:tcPr>
            <w:tcW w:w="305"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30</w:t>
            </w:r>
          </w:p>
        </w:tc>
        <w:tc>
          <w:tcPr>
            <w:tcW w:w="230" w:type="pct"/>
            <w:shd w:val="clear" w:color="auto" w:fill="auto"/>
            <w:noWrap/>
            <w:vAlign w:val="center"/>
            <w:hideMark/>
          </w:tcPr>
          <w:p w:rsidR="00A41AD7" w:rsidRPr="00DF6B0C" w:rsidRDefault="00A41AD7" w:rsidP="00E7317C">
            <w:pPr>
              <w:jc w:val="center"/>
              <w:rPr>
                <w:i/>
                <w:iCs/>
                <w:color w:val="000000"/>
                <w:sz w:val="18"/>
                <w:szCs w:val="18"/>
              </w:rPr>
            </w:pPr>
            <w:r w:rsidRPr="00DF6B0C">
              <w:rPr>
                <w:i/>
                <w:iCs/>
                <w:color w:val="000000"/>
                <w:sz w:val="18"/>
                <w:szCs w:val="18"/>
              </w:rPr>
              <w:t>93,8</w:t>
            </w:r>
          </w:p>
        </w:tc>
        <w:tc>
          <w:tcPr>
            <w:tcW w:w="340"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28</w:t>
            </w:r>
          </w:p>
        </w:tc>
        <w:tc>
          <w:tcPr>
            <w:tcW w:w="282" w:type="pct"/>
            <w:shd w:val="clear" w:color="auto" w:fill="auto"/>
            <w:noWrap/>
            <w:vAlign w:val="center"/>
            <w:hideMark/>
          </w:tcPr>
          <w:p w:rsidR="00A41AD7" w:rsidRPr="00DF6B0C" w:rsidRDefault="00A41AD7" w:rsidP="00E7317C">
            <w:pPr>
              <w:jc w:val="center"/>
              <w:rPr>
                <w:i/>
                <w:iCs/>
                <w:color w:val="000000"/>
                <w:sz w:val="18"/>
                <w:szCs w:val="18"/>
              </w:rPr>
            </w:pPr>
            <w:r w:rsidRPr="00DF6B0C">
              <w:rPr>
                <w:i/>
                <w:iCs/>
                <w:color w:val="000000"/>
                <w:sz w:val="18"/>
                <w:szCs w:val="18"/>
              </w:rPr>
              <w:t>93,3</w:t>
            </w:r>
          </w:p>
        </w:tc>
      </w:tr>
      <w:tr w:rsidR="00A41AD7" w:rsidRPr="00DF6B0C" w:rsidTr="002A33AD">
        <w:trPr>
          <w:trHeight w:val="362"/>
        </w:trPr>
        <w:tc>
          <w:tcPr>
            <w:tcW w:w="526" w:type="pct"/>
            <w:shd w:val="clear" w:color="auto" w:fill="auto"/>
            <w:vAlign w:val="center"/>
            <w:hideMark/>
          </w:tcPr>
          <w:p w:rsidR="00A41AD7" w:rsidRPr="00DF6B0C" w:rsidRDefault="00A41AD7" w:rsidP="00E7317C">
            <w:pPr>
              <w:rPr>
                <w:sz w:val="18"/>
                <w:szCs w:val="18"/>
              </w:rPr>
            </w:pPr>
            <w:r w:rsidRPr="00DF6B0C">
              <w:rPr>
                <w:sz w:val="18"/>
                <w:szCs w:val="18"/>
              </w:rPr>
              <w:t>свыше 100 л.с. (свыше 73,55 кВт)</w:t>
            </w:r>
          </w:p>
        </w:tc>
        <w:tc>
          <w:tcPr>
            <w:tcW w:w="402" w:type="pct"/>
            <w:shd w:val="clear" w:color="auto" w:fill="auto"/>
            <w:vAlign w:val="center"/>
            <w:hideMark/>
          </w:tcPr>
          <w:p w:rsidR="00A41AD7" w:rsidRPr="00DF6B0C" w:rsidRDefault="00A41AD7" w:rsidP="00E7317C">
            <w:pPr>
              <w:jc w:val="center"/>
              <w:rPr>
                <w:sz w:val="18"/>
                <w:szCs w:val="18"/>
              </w:rPr>
            </w:pPr>
            <w:r w:rsidRPr="00DF6B0C">
              <w:rPr>
                <w:sz w:val="18"/>
                <w:szCs w:val="18"/>
              </w:rPr>
              <w:t>отчет 5-ТН,стр.2446</w:t>
            </w:r>
          </w:p>
        </w:tc>
        <w:tc>
          <w:tcPr>
            <w:tcW w:w="337"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0</w:t>
            </w:r>
          </w:p>
        </w:tc>
        <w:tc>
          <w:tcPr>
            <w:tcW w:w="260" w:type="pct"/>
            <w:shd w:val="clear" w:color="auto" w:fill="auto"/>
            <w:noWrap/>
            <w:vAlign w:val="center"/>
            <w:hideMark/>
          </w:tcPr>
          <w:p w:rsidR="00A41AD7" w:rsidRPr="00DF6B0C" w:rsidRDefault="00A41AD7" w:rsidP="00E7317C">
            <w:pPr>
              <w:jc w:val="center"/>
              <w:rPr>
                <w:color w:val="000000"/>
                <w:sz w:val="18"/>
                <w:szCs w:val="18"/>
              </w:rPr>
            </w:pPr>
          </w:p>
        </w:tc>
        <w:tc>
          <w:tcPr>
            <w:tcW w:w="324"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11</w:t>
            </w:r>
          </w:p>
        </w:tc>
        <w:tc>
          <w:tcPr>
            <w:tcW w:w="243" w:type="pct"/>
            <w:shd w:val="clear" w:color="auto" w:fill="auto"/>
            <w:noWrap/>
            <w:vAlign w:val="center"/>
            <w:hideMark/>
          </w:tcPr>
          <w:p w:rsidR="00A41AD7" w:rsidRPr="00DF6B0C" w:rsidRDefault="00A41AD7" w:rsidP="00E7317C">
            <w:pPr>
              <w:jc w:val="center"/>
              <w:rPr>
                <w:color w:val="000000"/>
                <w:sz w:val="18"/>
                <w:szCs w:val="18"/>
              </w:rPr>
            </w:pPr>
          </w:p>
        </w:tc>
        <w:tc>
          <w:tcPr>
            <w:tcW w:w="344"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0</w:t>
            </w:r>
          </w:p>
        </w:tc>
        <w:tc>
          <w:tcPr>
            <w:tcW w:w="240"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0,0</w:t>
            </w:r>
          </w:p>
        </w:tc>
        <w:tc>
          <w:tcPr>
            <w:tcW w:w="331"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0</w:t>
            </w:r>
          </w:p>
        </w:tc>
        <w:tc>
          <w:tcPr>
            <w:tcW w:w="253" w:type="pct"/>
            <w:shd w:val="clear" w:color="auto" w:fill="auto"/>
            <w:noWrap/>
            <w:vAlign w:val="center"/>
            <w:hideMark/>
          </w:tcPr>
          <w:p w:rsidR="00A41AD7" w:rsidRPr="00DF6B0C" w:rsidRDefault="00A41AD7" w:rsidP="00E7317C">
            <w:pPr>
              <w:jc w:val="center"/>
              <w:rPr>
                <w:color w:val="000000"/>
                <w:sz w:val="18"/>
                <w:szCs w:val="18"/>
              </w:rPr>
            </w:pPr>
          </w:p>
        </w:tc>
        <w:tc>
          <w:tcPr>
            <w:tcW w:w="318"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0</w:t>
            </w:r>
          </w:p>
        </w:tc>
        <w:tc>
          <w:tcPr>
            <w:tcW w:w="265" w:type="pct"/>
            <w:shd w:val="clear" w:color="auto" w:fill="auto"/>
            <w:noWrap/>
            <w:vAlign w:val="center"/>
            <w:hideMark/>
          </w:tcPr>
          <w:p w:rsidR="00A41AD7" w:rsidRPr="00DF6B0C" w:rsidRDefault="00A41AD7" w:rsidP="00E7317C">
            <w:pPr>
              <w:jc w:val="center"/>
              <w:rPr>
                <w:i/>
                <w:iCs/>
                <w:color w:val="000000"/>
                <w:sz w:val="18"/>
                <w:szCs w:val="18"/>
              </w:rPr>
            </w:pPr>
          </w:p>
        </w:tc>
        <w:tc>
          <w:tcPr>
            <w:tcW w:w="305"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0</w:t>
            </w:r>
          </w:p>
        </w:tc>
        <w:tc>
          <w:tcPr>
            <w:tcW w:w="230" w:type="pct"/>
            <w:shd w:val="clear" w:color="auto" w:fill="auto"/>
            <w:noWrap/>
            <w:vAlign w:val="center"/>
            <w:hideMark/>
          </w:tcPr>
          <w:p w:rsidR="00A41AD7" w:rsidRPr="00DF6B0C" w:rsidRDefault="00A41AD7" w:rsidP="00E7317C">
            <w:pPr>
              <w:jc w:val="center"/>
              <w:rPr>
                <w:i/>
                <w:iCs/>
                <w:color w:val="000000"/>
                <w:sz w:val="18"/>
                <w:szCs w:val="18"/>
              </w:rPr>
            </w:pPr>
          </w:p>
        </w:tc>
        <w:tc>
          <w:tcPr>
            <w:tcW w:w="340"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0</w:t>
            </w:r>
          </w:p>
        </w:tc>
        <w:tc>
          <w:tcPr>
            <w:tcW w:w="282" w:type="pct"/>
            <w:shd w:val="clear" w:color="auto" w:fill="auto"/>
            <w:noWrap/>
            <w:vAlign w:val="center"/>
            <w:hideMark/>
          </w:tcPr>
          <w:p w:rsidR="00A41AD7" w:rsidRPr="00DF6B0C" w:rsidRDefault="00A41AD7" w:rsidP="00E7317C">
            <w:pPr>
              <w:jc w:val="center"/>
              <w:rPr>
                <w:i/>
                <w:iCs/>
                <w:color w:val="000000"/>
                <w:sz w:val="18"/>
                <w:szCs w:val="18"/>
              </w:rPr>
            </w:pPr>
          </w:p>
        </w:tc>
      </w:tr>
      <w:tr w:rsidR="00A41AD7" w:rsidRPr="00DF6B0C" w:rsidTr="002A33AD">
        <w:trPr>
          <w:trHeight w:val="354"/>
        </w:trPr>
        <w:tc>
          <w:tcPr>
            <w:tcW w:w="526" w:type="pct"/>
            <w:shd w:val="clear" w:color="auto" w:fill="auto"/>
            <w:vAlign w:val="center"/>
            <w:hideMark/>
          </w:tcPr>
          <w:p w:rsidR="00A41AD7" w:rsidRPr="00DF6B0C" w:rsidRDefault="00A41AD7" w:rsidP="00E7317C">
            <w:pPr>
              <w:rPr>
                <w:i/>
                <w:iCs/>
                <w:sz w:val="18"/>
                <w:szCs w:val="18"/>
              </w:rPr>
            </w:pPr>
            <w:r w:rsidRPr="00DF6B0C">
              <w:rPr>
                <w:i/>
                <w:iCs/>
                <w:sz w:val="18"/>
                <w:szCs w:val="18"/>
              </w:rPr>
              <w:t xml:space="preserve">Гидроциклы с мощностью двигателя: </w:t>
            </w:r>
          </w:p>
        </w:tc>
        <w:tc>
          <w:tcPr>
            <w:tcW w:w="402" w:type="pct"/>
            <w:shd w:val="clear" w:color="auto" w:fill="auto"/>
            <w:vAlign w:val="center"/>
            <w:hideMark/>
          </w:tcPr>
          <w:p w:rsidR="00A41AD7" w:rsidRPr="00DF6B0C" w:rsidRDefault="00A41AD7" w:rsidP="00E7317C">
            <w:pPr>
              <w:jc w:val="center"/>
              <w:rPr>
                <w:i/>
                <w:iCs/>
                <w:sz w:val="18"/>
                <w:szCs w:val="18"/>
              </w:rPr>
            </w:pPr>
            <w:r w:rsidRPr="00DF6B0C">
              <w:rPr>
                <w:i/>
                <w:iCs/>
                <w:sz w:val="18"/>
                <w:szCs w:val="18"/>
              </w:rPr>
              <w:t>отчет 5-ТН,стр.2447</w:t>
            </w:r>
          </w:p>
        </w:tc>
        <w:tc>
          <w:tcPr>
            <w:tcW w:w="337" w:type="pct"/>
            <w:shd w:val="clear" w:color="auto" w:fill="auto"/>
            <w:vAlign w:val="center"/>
            <w:hideMark/>
          </w:tcPr>
          <w:p w:rsidR="00A41AD7" w:rsidRPr="00DF6B0C" w:rsidRDefault="00A41AD7" w:rsidP="00E7317C">
            <w:pPr>
              <w:jc w:val="center"/>
              <w:rPr>
                <w:sz w:val="18"/>
                <w:szCs w:val="18"/>
              </w:rPr>
            </w:pPr>
            <w:r w:rsidRPr="00DF6B0C">
              <w:rPr>
                <w:sz w:val="18"/>
                <w:szCs w:val="18"/>
              </w:rPr>
              <w:t>1 481</w:t>
            </w:r>
          </w:p>
        </w:tc>
        <w:tc>
          <w:tcPr>
            <w:tcW w:w="260" w:type="pct"/>
            <w:shd w:val="clear" w:color="auto" w:fill="auto"/>
            <w:vAlign w:val="center"/>
            <w:hideMark/>
          </w:tcPr>
          <w:p w:rsidR="00A41AD7" w:rsidRPr="00DF6B0C" w:rsidRDefault="00A41AD7" w:rsidP="00E7317C">
            <w:pPr>
              <w:jc w:val="center"/>
              <w:rPr>
                <w:sz w:val="18"/>
                <w:szCs w:val="18"/>
              </w:rPr>
            </w:pPr>
            <w:r w:rsidRPr="00DF6B0C">
              <w:rPr>
                <w:sz w:val="18"/>
                <w:szCs w:val="18"/>
              </w:rPr>
              <w:t>94,3</w:t>
            </w:r>
          </w:p>
        </w:tc>
        <w:tc>
          <w:tcPr>
            <w:tcW w:w="324" w:type="pct"/>
            <w:shd w:val="clear" w:color="auto" w:fill="auto"/>
            <w:vAlign w:val="center"/>
            <w:hideMark/>
          </w:tcPr>
          <w:p w:rsidR="00A41AD7" w:rsidRPr="00DF6B0C" w:rsidRDefault="00A41AD7" w:rsidP="00E7317C">
            <w:pPr>
              <w:jc w:val="center"/>
              <w:rPr>
                <w:sz w:val="18"/>
                <w:szCs w:val="18"/>
              </w:rPr>
            </w:pPr>
            <w:r w:rsidRPr="00DF6B0C">
              <w:rPr>
                <w:sz w:val="18"/>
                <w:szCs w:val="18"/>
              </w:rPr>
              <w:t>1 822</w:t>
            </w:r>
          </w:p>
        </w:tc>
        <w:tc>
          <w:tcPr>
            <w:tcW w:w="243" w:type="pct"/>
            <w:shd w:val="clear" w:color="auto" w:fill="auto"/>
            <w:vAlign w:val="center"/>
            <w:hideMark/>
          </w:tcPr>
          <w:p w:rsidR="00A41AD7" w:rsidRPr="00DF6B0C" w:rsidRDefault="00A41AD7" w:rsidP="00E7317C">
            <w:pPr>
              <w:jc w:val="center"/>
              <w:rPr>
                <w:sz w:val="18"/>
                <w:szCs w:val="18"/>
              </w:rPr>
            </w:pPr>
            <w:r w:rsidRPr="00DF6B0C">
              <w:rPr>
                <w:sz w:val="18"/>
                <w:szCs w:val="18"/>
              </w:rPr>
              <w:t>123,0</w:t>
            </w:r>
          </w:p>
        </w:tc>
        <w:tc>
          <w:tcPr>
            <w:tcW w:w="344" w:type="pct"/>
            <w:shd w:val="clear" w:color="auto" w:fill="auto"/>
            <w:vAlign w:val="center"/>
            <w:hideMark/>
          </w:tcPr>
          <w:p w:rsidR="00A41AD7" w:rsidRPr="00DF6B0C" w:rsidRDefault="00A41AD7" w:rsidP="00E7317C">
            <w:pPr>
              <w:jc w:val="center"/>
              <w:rPr>
                <w:sz w:val="18"/>
                <w:szCs w:val="18"/>
              </w:rPr>
            </w:pPr>
            <w:r w:rsidRPr="00DF6B0C">
              <w:rPr>
                <w:sz w:val="18"/>
                <w:szCs w:val="18"/>
              </w:rPr>
              <w:t>1 723</w:t>
            </w:r>
          </w:p>
        </w:tc>
        <w:tc>
          <w:tcPr>
            <w:tcW w:w="240" w:type="pct"/>
            <w:shd w:val="clear" w:color="auto" w:fill="auto"/>
            <w:vAlign w:val="center"/>
            <w:hideMark/>
          </w:tcPr>
          <w:p w:rsidR="00A41AD7" w:rsidRPr="00DF6B0C" w:rsidRDefault="00A41AD7" w:rsidP="00E7317C">
            <w:pPr>
              <w:jc w:val="center"/>
              <w:rPr>
                <w:sz w:val="18"/>
                <w:szCs w:val="18"/>
              </w:rPr>
            </w:pPr>
            <w:r w:rsidRPr="00DF6B0C">
              <w:rPr>
                <w:sz w:val="18"/>
                <w:szCs w:val="18"/>
              </w:rPr>
              <w:t>94,6</w:t>
            </w:r>
          </w:p>
        </w:tc>
        <w:tc>
          <w:tcPr>
            <w:tcW w:w="331" w:type="pct"/>
            <w:shd w:val="clear" w:color="auto" w:fill="auto"/>
            <w:vAlign w:val="center"/>
            <w:hideMark/>
          </w:tcPr>
          <w:p w:rsidR="00A41AD7" w:rsidRPr="00DF6B0C" w:rsidRDefault="00A41AD7" w:rsidP="00E7317C">
            <w:pPr>
              <w:jc w:val="center"/>
              <w:rPr>
                <w:sz w:val="18"/>
                <w:szCs w:val="18"/>
              </w:rPr>
            </w:pPr>
            <w:r w:rsidRPr="00DF6B0C">
              <w:rPr>
                <w:sz w:val="18"/>
                <w:szCs w:val="18"/>
              </w:rPr>
              <w:t>2 046</w:t>
            </w:r>
          </w:p>
        </w:tc>
        <w:tc>
          <w:tcPr>
            <w:tcW w:w="253" w:type="pct"/>
            <w:shd w:val="clear" w:color="auto" w:fill="auto"/>
            <w:vAlign w:val="center"/>
            <w:hideMark/>
          </w:tcPr>
          <w:p w:rsidR="00A41AD7" w:rsidRPr="00DF6B0C" w:rsidRDefault="00A41AD7" w:rsidP="00E7317C">
            <w:pPr>
              <w:jc w:val="center"/>
              <w:rPr>
                <w:sz w:val="18"/>
                <w:szCs w:val="18"/>
              </w:rPr>
            </w:pPr>
            <w:r w:rsidRPr="00DF6B0C">
              <w:rPr>
                <w:sz w:val="18"/>
                <w:szCs w:val="18"/>
              </w:rPr>
              <w:t>118,7</w:t>
            </w:r>
          </w:p>
        </w:tc>
        <w:tc>
          <w:tcPr>
            <w:tcW w:w="318"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2 336</w:t>
            </w:r>
          </w:p>
        </w:tc>
        <w:tc>
          <w:tcPr>
            <w:tcW w:w="265" w:type="pct"/>
            <w:shd w:val="clear" w:color="auto" w:fill="auto"/>
            <w:noWrap/>
            <w:vAlign w:val="center"/>
            <w:hideMark/>
          </w:tcPr>
          <w:p w:rsidR="00A41AD7" w:rsidRPr="00DF6B0C" w:rsidRDefault="00A41AD7" w:rsidP="00E7317C">
            <w:pPr>
              <w:jc w:val="center"/>
              <w:rPr>
                <w:i/>
                <w:iCs/>
                <w:color w:val="000000"/>
                <w:sz w:val="18"/>
                <w:szCs w:val="18"/>
              </w:rPr>
            </w:pPr>
            <w:r w:rsidRPr="00DF6B0C">
              <w:rPr>
                <w:i/>
                <w:iCs/>
                <w:color w:val="000000"/>
                <w:sz w:val="18"/>
                <w:szCs w:val="18"/>
              </w:rPr>
              <w:t>114,2</w:t>
            </w:r>
          </w:p>
        </w:tc>
        <w:tc>
          <w:tcPr>
            <w:tcW w:w="305"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2 771</w:t>
            </w:r>
          </w:p>
        </w:tc>
        <w:tc>
          <w:tcPr>
            <w:tcW w:w="230" w:type="pct"/>
            <w:shd w:val="clear" w:color="auto" w:fill="auto"/>
            <w:noWrap/>
            <w:vAlign w:val="center"/>
            <w:hideMark/>
          </w:tcPr>
          <w:p w:rsidR="00A41AD7" w:rsidRPr="00DF6B0C" w:rsidRDefault="00A41AD7" w:rsidP="00E7317C">
            <w:pPr>
              <w:jc w:val="center"/>
              <w:rPr>
                <w:i/>
                <w:iCs/>
                <w:color w:val="000000"/>
                <w:sz w:val="18"/>
                <w:szCs w:val="18"/>
              </w:rPr>
            </w:pPr>
            <w:r w:rsidRPr="00DF6B0C">
              <w:rPr>
                <w:i/>
                <w:iCs/>
                <w:color w:val="000000"/>
                <w:sz w:val="18"/>
                <w:szCs w:val="18"/>
              </w:rPr>
              <w:t>118,6</w:t>
            </w:r>
          </w:p>
        </w:tc>
        <w:tc>
          <w:tcPr>
            <w:tcW w:w="340"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3 302</w:t>
            </w:r>
          </w:p>
        </w:tc>
        <w:tc>
          <w:tcPr>
            <w:tcW w:w="282" w:type="pct"/>
            <w:shd w:val="clear" w:color="auto" w:fill="auto"/>
            <w:noWrap/>
            <w:vAlign w:val="center"/>
            <w:hideMark/>
          </w:tcPr>
          <w:p w:rsidR="00A41AD7" w:rsidRPr="00DF6B0C" w:rsidRDefault="00A41AD7" w:rsidP="00E7317C">
            <w:pPr>
              <w:jc w:val="center"/>
              <w:rPr>
                <w:i/>
                <w:iCs/>
                <w:color w:val="000000"/>
                <w:sz w:val="18"/>
                <w:szCs w:val="18"/>
              </w:rPr>
            </w:pPr>
            <w:r w:rsidRPr="00DF6B0C">
              <w:rPr>
                <w:i/>
                <w:iCs/>
                <w:color w:val="000000"/>
                <w:sz w:val="18"/>
                <w:szCs w:val="18"/>
              </w:rPr>
              <w:t>119,2</w:t>
            </w:r>
          </w:p>
        </w:tc>
      </w:tr>
      <w:tr w:rsidR="00A41AD7" w:rsidRPr="00DF6B0C" w:rsidTr="002A33AD">
        <w:trPr>
          <w:trHeight w:val="359"/>
        </w:trPr>
        <w:tc>
          <w:tcPr>
            <w:tcW w:w="526" w:type="pct"/>
            <w:shd w:val="clear" w:color="auto" w:fill="auto"/>
            <w:vAlign w:val="center"/>
            <w:hideMark/>
          </w:tcPr>
          <w:p w:rsidR="00A41AD7" w:rsidRPr="00DF6B0C" w:rsidRDefault="00A41AD7" w:rsidP="00E7317C">
            <w:pPr>
              <w:ind w:firstLineChars="12" w:firstLine="22"/>
              <w:rPr>
                <w:sz w:val="18"/>
                <w:szCs w:val="18"/>
              </w:rPr>
            </w:pPr>
            <w:r w:rsidRPr="00DF6B0C">
              <w:rPr>
                <w:sz w:val="18"/>
                <w:szCs w:val="18"/>
              </w:rPr>
              <w:t>до 100 л.с. (до 73,55 кВт) включительно</w:t>
            </w:r>
          </w:p>
        </w:tc>
        <w:tc>
          <w:tcPr>
            <w:tcW w:w="402" w:type="pct"/>
            <w:shd w:val="clear" w:color="auto" w:fill="auto"/>
            <w:vAlign w:val="center"/>
            <w:hideMark/>
          </w:tcPr>
          <w:p w:rsidR="00A41AD7" w:rsidRPr="00DF6B0C" w:rsidRDefault="00A41AD7" w:rsidP="00E7317C">
            <w:pPr>
              <w:jc w:val="center"/>
              <w:rPr>
                <w:sz w:val="18"/>
                <w:szCs w:val="18"/>
              </w:rPr>
            </w:pPr>
            <w:r w:rsidRPr="00DF6B0C">
              <w:rPr>
                <w:sz w:val="18"/>
                <w:szCs w:val="18"/>
              </w:rPr>
              <w:t>отчет 5-ТН,стр.2448</w:t>
            </w:r>
          </w:p>
        </w:tc>
        <w:tc>
          <w:tcPr>
            <w:tcW w:w="337"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150</w:t>
            </w:r>
          </w:p>
        </w:tc>
        <w:tc>
          <w:tcPr>
            <w:tcW w:w="260"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90,9</w:t>
            </w:r>
          </w:p>
        </w:tc>
        <w:tc>
          <w:tcPr>
            <w:tcW w:w="324"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216</w:t>
            </w:r>
          </w:p>
        </w:tc>
        <w:tc>
          <w:tcPr>
            <w:tcW w:w="243"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144,0</w:t>
            </w:r>
          </w:p>
        </w:tc>
        <w:tc>
          <w:tcPr>
            <w:tcW w:w="344"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243</w:t>
            </w:r>
          </w:p>
        </w:tc>
        <w:tc>
          <w:tcPr>
            <w:tcW w:w="240"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112,5</w:t>
            </w:r>
          </w:p>
        </w:tc>
        <w:tc>
          <w:tcPr>
            <w:tcW w:w="331"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347</w:t>
            </w:r>
          </w:p>
        </w:tc>
        <w:tc>
          <w:tcPr>
            <w:tcW w:w="253"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142,8</w:t>
            </w:r>
          </w:p>
        </w:tc>
        <w:tc>
          <w:tcPr>
            <w:tcW w:w="318"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500</w:t>
            </w:r>
          </w:p>
        </w:tc>
        <w:tc>
          <w:tcPr>
            <w:tcW w:w="265" w:type="pct"/>
            <w:shd w:val="clear" w:color="auto" w:fill="auto"/>
            <w:noWrap/>
            <w:vAlign w:val="center"/>
            <w:hideMark/>
          </w:tcPr>
          <w:p w:rsidR="00A41AD7" w:rsidRPr="00DF6B0C" w:rsidRDefault="00A41AD7" w:rsidP="00E7317C">
            <w:pPr>
              <w:jc w:val="center"/>
              <w:rPr>
                <w:i/>
                <w:iCs/>
                <w:color w:val="000000"/>
                <w:sz w:val="18"/>
                <w:szCs w:val="18"/>
              </w:rPr>
            </w:pPr>
            <w:r w:rsidRPr="00DF6B0C">
              <w:rPr>
                <w:i/>
                <w:iCs/>
                <w:color w:val="000000"/>
                <w:sz w:val="18"/>
                <w:szCs w:val="18"/>
              </w:rPr>
              <w:t>144,1</w:t>
            </w:r>
          </w:p>
        </w:tc>
        <w:tc>
          <w:tcPr>
            <w:tcW w:w="305"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715</w:t>
            </w:r>
          </w:p>
        </w:tc>
        <w:tc>
          <w:tcPr>
            <w:tcW w:w="230" w:type="pct"/>
            <w:shd w:val="clear" w:color="auto" w:fill="auto"/>
            <w:noWrap/>
            <w:vAlign w:val="center"/>
            <w:hideMark/>
          </w:tcPr>
          <w:p w:rsidR="00A41AD7" w:rsidRPr="00DF6B0C" w:rsidRDefault="00A41AD7" w:rsidP="00E7317C">
            <w:pPr>
              <w:jc w:val="center"/>
              <w:rPr>
                <w:i/>
                <w:iCs/>
                <w:color w:val="000000"/>
                <w:sz w:val="18"/>
                <w:szCs w:val="18"/>
              </w:rPr>
            </w:pPr>
            <w:r w:rsidRPr="00DF6B0C">
              <w:rPr>
                <w:i/>
                <w:iCs/>
                <w:color w:val="000000"/>
                <w:sz w:val="18"/>
                <w:szCs w:val="18"/>
              </w:rPr>
              <w:t>143,0</w:t>
            </w:r>
          </w:p>
        </w:tc>
        <w:tc>
          <w:tcPr>
            <w:tcW w:w="340"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1 027</w:t>
            </w:r>
          </w:p>
        </w:tc>
        <w:tc>
          <w:tcPr>
            <w:tcW w:w="282" w:type="pct"/>
            <w:shd w:val="clear" w:color="auto" w:fill="auto"/>
            <w:noWrap/>
            <w:vAlign w:val="center"/>
            <w:hideMark/>
          </w:tcPr>
          <w:p w:rsidR="00A41AD7" w:rsidRPr="00DF6B0C" w:rsidRDefault="00A41AD7" w:rsidP="00E7317C">
            <w:pPr>
              <w:jc w:val="center"/>
              <w:rPr>
                <w:i/>
                <w:iCs/>
                <w:color w:val="000000"/>
                <w:sz w:val="18"/>
                <w:szCs w:val="18"/>
              </w:rPr>
            </w:pPr>
            <w:r w:rsidRPr="00DF6B0C">
              <w:rPr>
                <w:i/>
                <w:iCs/>
                <w:color w:val="000000"/>
                <w:sz w:val="18"/>
                <w:szCs w:val="18"/>
              </w:rPr>
              <w:t>143,6</w:t>
            </w:r>
          </w:p>
        </w:tc>
      </w:tr>
      <w:tr w:rsidR="00A41AD7" w:rsidRPr="00DF6B0C" w:rsidTr="002A33AD">
        <w:trPr>
          <w:trHeight w:val="223"/>
        </w:trPr>
        <w:tc>
          <w:tcPr>
            <w:tcW w:w="526" w:type="pct"/>
            <w:shd w:val="clear" w:color="auto" w:fill="auto"/>
            <w:vAlign w:val="center"/>
            <w:hideMark/>
          </w:tcPr>
          <w:p w:rsidR="00A41AD7" w:rsidRPr="00DF6B0C" w:rsidRDefault="00A41AD7" w:rsidP="00E7317C">
            <w:pPr>
              <w:rPr>
                <w:sz w:val="18"/>
                <w:szCs w:val="18"/>
              </w:rPr>
            </w:pPr>
            <w:r w:rsidRPr="00DF6B0C">
              <w:rPr>
                <w:sz w:val="18"/>
                <w:szCs w:val="18"/>
              </w:rPr>
              <w:t>свыше 100 л.с. (свыше 73,55 кВт)</w:t>
            </w:r>
          </w:p>
        </w:tc>
        <w:tc>
          <w:tcPr>
            <w:tcW w:w="402" w:type="pct"/>
            <w:shd w:val="clear" w:color="auto" w:fill="auto"/>
            <w:vAlign w:val="center"/>
            <w:hideMark/>
          </w:tcPr>
          <w:p w:rsidR="00A41AD7" w:rsidRPr="00DF6B0C" w:rsidRDefault="00A41AD7" w:rsidP="00E7317C">
            <w:pPr>
              <w:jc w:val="center"/>
              <w:rPr>
                <w:sz w:val="18"/>
                <w:szCs w:val="18"/>
              </w:rPr>
            </w:pPr>
            <w:r w:rsidRPr="00DF6B0C">
              <w:rPr>
                <w:sz w:val="18"/>
                <w:szCs w:val="18"/>
              </w:rPr>
              <w:t>отчет 5-ТН,стр.2449</w:t>
            </w:r>
          </w:p>
        </w:tc>
        <w:tc>
          <w:tcPr>
            <w:tcW w:w="337"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1 331</w:t>
            </w:r>
          </w:p>
        </w:tc>
        <w:tc>
          <w:tcPr>
            <w:tcW w:w="260"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94,7</w:t>
            </w:r>
          </w:p>
        </w:tc>
        <w:tc>
          <w:tcPr>
            <w:tcW w:w="324"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1 606</w:t>
            </w:r>
          </w:p>
        </w:tc>
        <w:tc>
          <w:tcPr>
            <w:tcW w:w="243"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120,7</w:t>
            </w:r>
          </w:p>
        </w:tc>
        <w:tc>
          <w:tcPr>
            <w:tcW w:w="344"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1 480</w:t>
            </w:r>
          </w:p>
        </w:tc>
        <w:tc>
          <w:tcPr>
            <w:tcW w:w="240"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92,2</w:t>
            </w:r>
          </w:p>
        </w:tc>
        <w:tc>
          <w:tcPr>
            <w:tcW w:w="331"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1 699</w:t>
            </w:r>
          </w:p>
        </w:tc>
        <w:tc>
          <w:tcPr>
            <w:tcW w:w="253"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114,8</w:t>
            </w:r>
          </w:p>
        </w:tc>
        <w:tc>
          <w:tcPr>
            <w:tcW w:w="318"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1 836</w:t>
            </w:r>
          </w:p>
        </w:tc>
        <w:tc>
          <w:tcPr>
            <w:tcW w:w="265" w:type="pct"/>
            <w:shd w:val="clear" w:color="auto" w:fill="auto"/>
            <w:noWrap/>
            <w:vAlign w:val="center"/>
            <w:hideMark/>
          </w:tcPr>
          <w:p w:rsidR="00A41AD7" w:rsidRPr="00DF6B0C" w:rsidRDefault="00A41AD7" w:rsidP="00E7317C">
            <w:pPr>
              <w:jc w:val="center"/>
              <w:rPr>
                <w:i/>
                <w:iCs/>
                <w:color w:val="000000"/>
                <w:sz w:val="18"/>
                <w:szCs w:val="18"/>
              </w:rPr>
            </w:pPr>
            <w:r w:rsidRPr="00DF6B0C">
              <w:rPr>
                <w:i/>
                <w:iCs/>
                <w:color w:val="000000"/>
                <w:sz w:val="18"/>
                <w:szCs w:val="18"/>
              </w:rPr>
              <w:t>108,1</w:t>
            </w:r>
          </w:p>
        </w:tc>
        <w:tc>
          <w:tcPr>
            <w:tcW w:w="305"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2 056</w:t>
            </w:r>
          </w:p>
        </w:tc>
        <w:tc>
          <w:tcPr>
            <w:tcW w:w="230" w:type="pct"/>
            <w:shd w:val="clear" w:color="auto" w:fill="auto"/>
            <w:noWrap/>
            <w:vAlign w:val="center"/>
            <w:hideMark/>
          </w:tcPr>
          <w:p w:rsidR="00A41AD7" w:rsidRPr="00DF6B0C" w:rsidRDefault="00A41AD7" w:rsidP="00E7317C">
            <w:pPr>
              <w:jc w:val="center"/>
              <w:rPr>
                <w:i/>
                <w:iCs/>
                <w:color w:val="000000"/>
                <w:sz w:val="18"/>
                <w:szCs w:val="18"/>
              </w:rPr>
            </w:pPr>
            <w:r w:rsidRPr="00DF6B0C">
              <w:rPr>
                <w:i/>
                <w:iCs/>
                <w:color w:val="000000"/>
                <w:sz w:val="18"/>
                <w:szCs w:val="18"/>
              </w:rPr>
              <w:t>112,0</w:t>
            </w:r>
          </w:p>
        </w:tc>
        <w:tc>
          <w:tcPr>
            <w:tcW w:w="340"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2 275</w:t>
            </w:r>
          </w:p>
        </w:tc>
        <w:tc>
          <w:tcPr>
            <w:tcW w:w="282" w:type="pct"/>
            <w:shd w:val="clear" w:color="auto" w:fill="auto"/>
            <w:noWrap/>
            <w:vAlign w:val="center"/>
            <w:hideMark/>
          </w:tcPr>
          <w:p w:rsidR="00A41AD7" w:rsidRPr="00DF6B0C" w:rsidRDefault="00A41AD7" w:rsidP="00E7317C">
            <w:pPr>
              <w:jc w:val="center"/>
              <w:rPr>
                <w:i/>
                <w:iCs/>
                <w:color w:val="000000"/>
                <w:sz w:val="18"/>
                <w:szCs w:val="18"/>
              </w:rPr>
            </w:pPr>
            <w:r w:rsidRPr="00DF6B0C">
              <w:rPr>
                <w:i/>
                <w:iCs/>
                <w:color w:val="000000"/>
                <w:sz w:val="18"/>
                <w:szCs w:val="18"/>
              </w:rPr>
              <w:t>110,7</w:t>
            </w:r>
          </w:p>
        </w:tc>
      </w:tr>
      <w:tr w:rsidR="00A41AD7" w:rsidRPr="00DF6B0C" w:rsidTr="002A33AD">
        <w:trPr>
          <w:trHeight w:val="513"/>
        </w:trPr>
        <w:tc>
          <w:tcPr>
            <w:tcW w:w="526" w:type="pct"/>
            <w:shd w:val="clear" w:color="auto" w:fill="auto"/>
            <w:vAlign w:val="center"/>
            <w:hideMark/>
          </w:tcPr>
          <w:p w:rsidR="00A41AD7" w:rsidRPr="00DF6B0C" w:rsidRDefault="00A41AD7" w:rsidP="00E7317C">
            <w:pPr>
              <w:rPr>
                <w:i/>
                <w:iCs/>
                <w:sz w:val="18"/>
                <w:szCs w:val="18"/>
              </w:rPr>
            </w:pPr>
            <w:r w:rsidRPr="00DF6B0C">
              <w:rPr>
                <w:i/>
                <w:iCs/>
                <w:sz w:val="18"/>
                <w:szCs w:val="18"/>
              </w:rPr>
              <w:t>Несамоходные (буксируемые) суда, для которых определяется валовая вместимость</w:t>
            </w:r>
          </w:p>
        </w:tc>
        <w:tc>
          <w:tcPr>
            <w:tcW w:w="402" w:type="pct"/>
            <w:shd w:val="clear" w:color="auto" w:fill="auto"/>
            <w:vAlign w:val="center"/>
            <w:hideMark/>
          </w:tcPr>
          <w:p w:rsidR="00A41AD7" w:rsidRPr="00DF6B0C" w:rsidRDefault="00A41AD7" w:rsidP="00E7317C">
            <w:pPr>
              <w:jc w:val="center"/>
              <w:rPr>
                <w:i/>
                <w:iCs/>
                <w:sz w:val="18"/>
                <w:szCs w:val="18"/>
              </w:rPr>
            </w:pPr>
            <w:r w:rsidRPr="00DF6B0C">
              <w:rPr>
                <w:i/>
                <w:iCs/>
                <w:sz w:val="18"/>
                <w:szCs w:val="18"/>
              </w:rPr>
              <w:t>отчет 5-ТН,стр.2450</w:t>
            </w:r>
          </w:p>
        </w:tc>
        <w:tc>
          <w:tcPr>
            <w:tcW w:w="337"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6</w:t>
            </w:r>
          </w:p>
        </w:tc>
        <w:tc>
          <w:tcPr>
            <w:tcW w:w="260"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100,0</w:t>
            </w:r>
          </w:p>
        </w:tc>
        <w:tc>
          <w:tcPr>
            <w:tcW w:w="324"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5</w:t>
            </w:r>
          </w:p>
        </w:tc>
        <w:tc>
          <w:tcPr>
            <w:tcW w:w="243"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83,3</w:t>
            </w:r>
          </w:p>
        </w:tc>
        <w:tc>
          <w:tcPr>
            <w:tcW w:w="344"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2</w:t>
            </w:r>
          </w:p>
        </w:tc>
        <w:tc>
          <w:tcPr>
            <w:tcW w:w="240"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40,0</w:t>
            </w:r>
          </w:p>
        </w:tc>
        <w:tc>
          <w:tcPr>
            <w:tcW w:w="331"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1</w:t>
            </w:r>
          </w:p>
        </w:tc>
        <w:tc>
          <w:tcPr>
            <w:tcW w:w="253"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50,0</w:t>
            </w:r>
          </w:p>
        </w:tc>
        <w:tc>
          <w:tcPr>
            <w:tcW w:w="318"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0</w:t>
            </w:r>
          </w:p>
        </w:tc>
        <w:tc>
          <w:tcPr>
            <w:tcW w:w="265" w:type="pct"/>
            <w:shd w:val="clear" w:color="auto" w:fill="auto"/>
            <w:noWrap/>
            <w:vAlign w:val="center"/>
            <w:hideMark/>
          </w:tcPr>
          <w:p w:rsidR="00A41AD7" w:rsidRPr="00DF6B0C" w:rsidRDefault="00A41AD7" w:rsidP="00E7317C">
            <w:pPr>
              <w:jc w:val="center"/>
              <w:rPr>
                <w:i/>
                <w:iCs/>
                <w:color w:val="000000"/>
                <w:sz w:val="18"/>
                <w:szCs w:val="18"/>
              </w:rPr>
            </w:pPr>
            <w:r w:rsidRPr="00DF6B0C">
              <w:rPr>
                <w:i/>
                <w:iCs/>
                <w:color w:val="000000"/>
                <w:sz w:val="18"/>
                <w:szCs w:val="18"/>
              </w:rPr>
              <w:t>0,0</w:t>
            </w:r>
          </w:p>
        </w:tc>
        <w:tc>
          <w:tcPr>
            <w:tcW w:w="305"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0</w:t>
            </w:r>
          </w:p>
        </w:tc>
        <w:tc>
          <w:tcPr>
            <w:tcW w:w="230" w:type="pct"/>
            <w:shd w:val="clear" w:color="auto" w:fill="auto"/>
            <w:noWrap/>
            <w:vAlign w:val="center"/>
            <w:hideMark/>
          </w:tcPr>
          <w:p w:rsidR="00A41AD7" w:rsidRPr="00DF6B0C" w:rsidRDefault="00A41AD7" w:rsidP="00E7317C">
            <w:pPr>
              <w:jc w:val="center"/>
              <w:rPr>
                <w:i/>
                <w:iCs/>
                <w:color w:val="000000"/>
                <w:sz w:val="18"/>
                <w:szCs w:val="18"/>
              </w:rPr>
            </w:pPr>
          </w:p>
        </w:tc>
        <w:tc>
          <w:tcPr>
            <w:tcW w:w="340"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0</w:t>
            </w:r>
          </w:p>
        </w:tc>
        <w:tc>
          <w:tcPr>
            <w:tcW w:w="282" w:type="pct"/>
            <w:shd w:val="clear" w:color="auto" w:fill="auto"/>
            <w:noWrap/>
            <w:vAlign w:val="center"/>
            <w:hideMark/>
          </w:tcPr>
          <w:p w:rsidR="00A41AD7" w:rsidRPr="00DF6B0C" w:rsidRDefault="00A41AD7" w:rsidP="00E7317C">
            <w:pPr>
              <w:jc w:val="center"/>
              <w:rPr>
                <w:i/>
                <w:iCs/>
                <w:color w:val="000000"/>
                <w:sz w:val="18"/>
                <w:szCs w:val="18"/>
              </w:rPr>
            </w:pPr>
          </w:p>
        </w:tc>
      </w:tr>
      <w:tr w:rsidR="00A41AD7" w:rsidRPr="00DF6B0C" w:rsidTr="00E7317C">
        <w:trPr>
          <w:trHeight w:val="720"/>
        </w:trPr>
        <w:tc>
          <w:tcPr>
            <w:tcW w:w="526" w:type="pct"/>
            <w:shd w:val="clear" w:color="auto" w:fill="auto"/>
            <w:vAlign w:val="center"/>
            <w:hideMark/>
          </w:tcPr>
          <w:p w:rsidR="00A41AD7" w:rsidRPr="00DF6B0C" w:rsidRDefault="00A41AD7" w:rsidP="00E7317C">
            <w:pPr>
              <w:rPr>
                <w:i/>
                <w:iCs/>
                <w:sz w:val="18"/>
                <w:szCs w:val="18"/>
              </w:rPr>
            </w:pPr>
            <w:r w:rsidRPr="00DF6B0C">
              <w:rPr>
                <w:i/>
                <w:iCs/>
                <w:sz w:val="18"/>
                <w:szCs w:val="18"/>
              </w:rPr>
              <w:t>Иные водные транспортные средства</w:t>
            </w:r>
          </w:p>
        </w:tc>
        <w:tc>
          <w:tcPr>
            <w:tcW w:w="402" w:type="pct"/>
            <w:shd w:val="clear" w:color="auto" w:fill="auto"/>
            <w:vAlign w:val="center"/>
            <w:hideMark/>
          </w:tcPr>
          <w:p w:rsidR="00A41AD7" w:rsidRPr="00DF6B0C" w:rsidRDefault="00A41AD7" w:rsidP="00E7317C">
            <w:pPr>
              <w:jc w:val="center"/>
              <w:rPr>
                <w:i/>
                <w:iCs/>
                <w:sz w:val="18"/>
                <w:szCs w:val="18"/>
              </w:rPr>
            </w:pPr>
            <w:r w:rsidRPr="00DF6B0C">
              <w:rPr>
                <w:i/>
                <w:iCs/>
                <w:sz w:val="18"/>
                <w:szCs w:val="18"/>
              </w:rPr>
              <w:t>отчет 5-ТН,стр.2451</w:t>
            </w:r>
          </w:p>
        </w:tc>
        <w:tc>
          <w:tcPr>
            <w:tcW w:w="337"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0</w:t>
            </w:r>
          </w:p>
        </w:tc>
        <w:tc>
          <w:tcPr>
            <w:tcW w:w="260" w:type="pct"/>
            <w:shd w:val="clear" w:color="auto" w:fill="auto"/>
            <w:noWrap/>
            <w:vAlign w:val="center"/>
            <w:hideMark/>
          </w:tcPr>
          <w:p w:rsidR="00A41AD7" w:rsidRPr="00DF6B0C" w:rsidRDefault="00A41AD7" w:rsidP="00E7317C">
            <w:pPr>
              <w:jc w:val="center"/>
              <w:rPr>
                <w:color w:val="000000"/>
                <w:sz w:val="18"/>
                <w:szCs w:val="18"/>
              </w:rPr>
            </w:pPr>
          </w:p>
        </w:tc>
        <w:tc>
          <w:tcPr>
            <w:tcW w:w="324"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0</w:t>
            </w:r>
          </w:p>
        </w:tc>
        <w:tc>
          <w:tcPr>
            <w:tcW w:w="243" w:type="pct"/>
            <w:shd w:val="clear" w:color="auto" w:fill="auto"/>
            <w:noWrap/>
            <w:vAlign w:val="center"/>
            <w:hideMark/>
          </w:tcPr>
          <w:p w:rsidR="00A41AD7" w:rsidRPr="00DF6B0C" w:rsidRDefault="00A41AD7" w:rsidP="00E7317C">
            <w:pPr>
              <w:jc w:val="center"/>
              <w:rPr>
                <w:color w:val="000000"/>
                <w:sz w:val="18"/>
                <w:szCs w:val="18"/>
              </w:rPr>
            </w:pPr>
          </w:p>
        </w:tc>
        <w:tc>
          <w:tcPr>
            <w:tcW w:w="344"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0</w:t>
            </w:r>
          </w:p>
        </w:tc>
        <w:tc>
          <w:tcPr>
            <w:tcW w:w="240" w:type="pct"/>
            <w:shd w:val="clear" w:color="auto" w:fill="auto"/>
            <w:noWrap/>
            <w:vAlign w:val="center"/>
            <w:hideMark/>
          </w:tcPr>
          <w:p w:rsidR="00A41AD7" w:rsidRPr="00DF6B0C" w:rsidRDefault="00A41AD7" w:rsidP="00E7317C">
            <w:pPr>
              <w:jc w:val="center"/>
              <w:rPr>
                <w:color w:val="000000"/>
                <w:sz w:val="18"/>
                <w:szCs w:val="18"/>
              </w:rPr>
            </w:pPr>
          </w:p>
        </w:tc>
        <w:tc>
          <w:tcPr>
            <w:tcW w:w="331"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0</w:t>
            </w:r>
          </w:p>
        </w:tc>
        <w:tc>
          <w:tcPr>
            <w:tcW w:w="253" w:type="pct"/>
            <w:shd w:val="clear" w:color="auto" w:fill="auto"/>
            <w:noWrap/>
            <w:vAlign w:val="center"/>
            <w:hideMark/>
          </w:tcPr>
          <w:p w:rsidR="00A41AD7" w:rsidRPr="00DF6B0C" w:rsidRDefault="00A41AD7" w:rsidP="00E7317C">
            <w:pPr>
              <w:jc w:val="center"/>
              <w:rPr>
                <w:color w:val="000000"/>
                <w:sz w:val="18"/>
                <w:szCs w:val="18"/>
              </w:rPr>
            </w:pPr>
          </w:p>
        </w:tc>
        <w:tc>
          <w:tcPr>
            <w:tcW w:w="318"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0</w:t>
            </w:r>
          </w:p>
        </w:tc>
        <w:tc>
          <w:tcPr>
            <w:tcW w:w="265" w:type="pct"/>
            <w:shd w:val="clear" w:color="auto" w:fill="auto"/>
            <w:noWrap/>
            <w:vAlign w:val="center"/>
            <w:hideMark/>
          </w:tcPr>
          <w:p w:rsidR="00A41AD7" w:rsidRPr="00DF6B0C" w:rsidRDefault="00A41AD7" w:rsidP="00E7317C">
            <w:pPr>
              <w:jc w:val="center"/>
              <w:rPr>
                <w:i/>
                <w:iCs/>
                <w:color w:val="000000"/>
                <w:sz w:val="18"/>
                <w:szCs w:val="18"/>
              </w:rPr>
            </w:pPr>
          </w:p>
        </w:tc>
        <w:tc>
          <w:tcPr>
            <w:tcW w:w="305"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0</w:t>
            </w:r>
          </w:p>
        </w:tc>
        <w:tc>
          <w:tcPr>
            <w:tcW w:w="230" w:type="pct"/>
            <w:shd w:val="clear" w:color="auto" w:fill="auto"/>
            <w:noWrap/>
            <w:vAlign w:val="center"/>
            <w:hideMark/>
          </w:tcPr>
          <w:p w:rsidR="00A41AD7" w:rsidRPr="00DF6B0C" w:rsidRDefault="00A41AD7" w:rsidP="00E7317C">
            <w:pPr>
              <w:jc w:val="center"/>
              <w:rPr>
                <w:i/>
                <w:iCs/>
                <w:color w:val="000000"/>
                <w:sz w:val="18"/>
                <w:szCs w:val="18"/>
              </w:rPr>
            </w:pPr>
          </w:p>
        </w:tc>
        <w:tc>
          <w:tcPr>
            <w:tcW w:w="340"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0</w:t>
            </w:r>
          </w:p>
        </w:tc>
        <w:tc>
          <w:tcPr>
            <w:tcW w:w="282" w:type="pct"/>
            <w:shd w:val="clear" w:color="auto" w:fill="auto"/>
            <w:noWrap/>
            <w:vAlign w:val="center"/>
            <w:hideMark/>
          </w:tcPr>
          <w:p w:rsidR="00A41AD7" w:rsidRPr="00DF6B0C" w:rsidRDefault="00A41AD7" w:rsidP="00E7317C">
            <w:pPr>
              <w:jc w:val="center"/>
              <w:rPr>
                <w:i/>
                <w:iCs/>
                <w:color w:val="000000"/>
                <w:sz w:val="18"/>
                <w:szCs w:val="18"/>
              </w:rPr>
            </w:pPr>
          </w:p>
        </w:tc>
      </w:tr>
      <w:tr w:rsidR="00A41AD7" w:rsidRPr="00DF6B0C" w:rsidTr="00E7317C">
        <w:trPr>
          <w:trHeight w:val="855"/>
        </w:trPr>
        <w:tc>
          <w:tcPr>
            <w:tcW w:w="526" w:type="pct"/>
            <w:shd w:val="clear" w:color="auto" w:fill="auto"/>
            <w:vAlign w:val="center"/>
            <w:hideMark/>
          </w:tcPr>
          <w:p w:rsidR="00A41AD7" w:rsidRPr="00DF6B0C" w:rsidRDefault="00A41AD7" w:rsidP="00E7317C">
            <w:pPr>
              <w:rPr>
                <w:i/>
                <w:iCs/>
                <w:sz w:val="18"/>
                <w:szCs w:val="18"/>
              </w:rPr>
            </w:pPr>
            <w:r w:rsidRPr="00DF6B0C">
              <w:rPr>
                <w:i/>
                <w:iCs/>
                <w:sz w:val="18"/>
                <w:szCs w:val="18"/>
              </w:rPr>
              <w:lastRenderedPageBreak/>
              <w:t>Воздушные транспортные средства</w:t>
            </w:r>
          </w:p>
        </w:tc>
        <w:tc>
          <w:tcPr>
            <w:tcW w:w="402" w:type="pct"/>
            <w:shd w:val="clear" w:color="auto" w:fill="auto"/>
            <w:vAlign w:val="center"/>
            <w:hideMark/>
          </w:tcPr>
          <w:p w:rsidR="00A41AD7" w:rsidRPr="00DF6B0C" w:rsidRDefault="00A41AD7" w:rsidP="00E7317C">
            <w:pPr>
              <w:jc w:val="center"/>
              <w:rPr>
                <w:i/>
                <w:iCs/>
                <w:sz w:val="18"/>
                <w:szCs w:val="18"/>
              </w:rPr>
            </w:pPr>
            <w:r w:rsidRPr="00DF6B0C">
              <w:rPr>
                <w:i/>
                <w:iCs/>
                <w:sz w:val="18"/>
                <w:szCs w:val="18"/>
              </w:rPr>
              <w:t>отчет 5-ТН,стр.2460</w:t>
            </w:r>
          </w:p>
        </w:tc>
        <w:tc>
          <w:tcPr>
            <w:tcW w:w="337"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88</w:t>
            </w:r>
          </w:p>
        </w:tc>
        <w:tc>
          <w:tcPr>
            <w:tcW w:w="260"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139,7</w:t>
            </w:r>
          </w:p>
        </w:tc>
        <w:tc>
          <w:tcPr>
            <w:tcW w:w="324"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100</w:t>
            </w:r>
          </w:p>
        </w:tc>
        <w:tc>
          <w:tcPr>
            <w:tcW w:w="243"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113,6</w:t>
            </w:r>
          </w:p>
        </w:tc>
        <w:tc>
          <w:tcPr>
            <w:tcW w:w="344"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93</w:t>
            </w:r>
          </w:p>
        </w:tc>
        <w:tc>
          <w:tcPr>
            <w:tcW w:w="240"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93,0</w:t>
            </w:r>
          </w:p>
        </w:tc>
        <w:tc>
          <w:tcPr>
            <w:tcW w:w="331"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89</w:t>
            </w:r>
          </w:p>
        </w:tc>
        <w:tc>
          <w:tcPr>
            <w:tcW w:w="253"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95,7</w:t>
            </w:r>
          </w:p>
        </w:tc>
        <w:tc>
          <w:tcPr>
            <w:tcW w:w="318"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89</w:t>
            </w:r>
          </w:p>
        </w:tc>
        <w:tc>
          <w:tcPr>
            <w:tcW w:w="265" w:type="pct"/>
            <w:shd w:val="clear" w:color="auto" w:fill="auto"/>
            <w:noWrap/>
            <w:vAlign w:val="center"/>
            <w:hideMark/>
          </w:tcPr>
          <w:p w:rsidR="00A41AD7" w:rsidRPr="00DF6B0C" w:rsidRDefault="00A41AD7" w:rsidP="00E7317C">
            <w:pPr>
              <w:jc w:val="center"/>
              <w:rPr>
                <w:i/>
                <w:iCs/>
                <w:color w:val="000000"/>
                <w:sz w:val="18"/>
                <w:szCs w:val="18"/>
              </w:rPr>
            </w:pPr>
            <w:r w:rsidRPr="00DF6B0C">
              <w:rPr>
                <w:i/>
                <w:iCs/>
                <w:color w:val="000000"/>
                <w:sz w:val="18"/>
                <w:szCs w:val="18"/>
              </w:rPr>
              <w:t>100,0</w:t>
            </w:r>
          </w:p>
        </w:tc>
        <w:tc>
          <w:tcPr>
            <w:tcW w:w="305"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89</w:t>
            </w:r>
          </w:p>
        </w:tc>
        <w:tc>
          <w:tcPr>
            <w:tcW w:w="230" w:type="pct"/>
            <w:shd w:val="clear" w:color="auto" w:fill="auto"/>
            <w:noWrap/>
            <w:vAlign w:val="center"/>
            <w:hideMark/>
          </w:tcPr>
          <w:p w:rsidR="00A41AD7" w:rsidRPr="00DF6B0C" w:rsidRDefault="00A41AD7" w:rsidP="00E7317C">
            <w:pPr>
              <w:jc w:val="center"/>
              <w:rPr>
                <w:i/>
                <w:iCs/>
                <w:color w:val="000000"/>
                <w:sz w:val="18"/>
                <w:szCs w:val="18"/>
              </w:rPr>
            </w:pPr>
            <w:r w:rsidRPr="00DF6B0C">
              <w:rPr>
                <w:i/>
                <w:iCs/>
                <w:color w:val="000000"/>
                <w:sz w:val="18"/>
                <w:szCs w:val="18"/>
              </w:rPr>
              <w:t>100,0</w:t>
            </w:r>
          </w:p>
        </w:tc>
        <w:tc>
          <w:tcPr>
            <w:tcW w:w="340"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89</w:t>
            </w:r>
          </w:p>
        </w:tc>
        <w:tc>
          <w:tcPr>
            <w:tcW w:w="282" w:type="pct"/>
            <w:shd w:val="clear" w:color="auto" w:fill="auto"/>
            <w:noWrap/>
            <w:vAlign w:val="center"/>
            <w:hideMark/>
          </w:tcPr>
          <w:p w:rsidR="00A41AD7" w:rsidRPr="00DF6B0C" w:rsidRDefault="00A41AD7" w:rsidP="00E7317C">
            <w:pPr>
              <w:jc w:val="center"/>
              <w:rPr>
                <w:i/>
                <w:iCs/>
                <w:color w:val="000000"/>
                <w:sz w:val="18"/>
                <w:szCs w:val="18"/>
              </w:rPr>
            </w:pPr>
            <w:r w:rsidRPr="00DF6B0C">
              <w:rPr>
                <w:i/>
                <w:iCs/>
                <w:color w:val="000000"/>
                <w:sz w:val="18"/>
                <w:szCs w:val="18"/>
              </w:rPr>
              <w:t>100,0</w:t>
            </w:r>
          </w:p>
        </w:tc>
      </w:tr>
      <w:tr w:rsidR="00A41AD7" w:rsidRPr="00DF6B0C" w:rsidTr="002A33AD">
        <w:trPr>
          <w:trHeight w:val="145"/>
        </w:trPr>
        <w:tc>
          <w:tcPr>
            <w:tcW w:w="526" w:type="pct"/>
            <w:shd w:val="clear" w:color="auto" w:fill="auto"/>
            <w:vAlign w:val="center"/>
            <w:hideMark/>
          </w:tcPr>
          <w:p w:rsidR="00A41AD7" w:rsidRPr="00DF6B0C" w:rsidRDefault="00A41AD7" w:rsidP="00E7317C">
            <w:pPr>
              <w:rPr>
                <w:i/>
                <w:iCs/>
                <w:sz w:val="18"/>
                <w:szCs w:val="18"/>
              </w:rPr>
            </w:pPr>
            <w:r w:rsidRPr="00DF6B0C">
              <w:rPr>
                <w:i/>
                <w:iCs/>
                <w:sz w:val="18"/>
                <w:szCs w:val="18"/>
              </w:rPr>
              <w:t>Сумма транспортного налога начисленная</w:t>
            </w:r>
          </w:p>
        </w:tc>
        <w:tc>
          <w:tcPr>
            <w:tcW w:w="402" w:type="pct"/>
            <w:shd w:val="clear" w:color="auto" w:fill="auto"/>
            <w:vAlign w:val="center"/>
            <w:hideMark/>
          </w:tcPr>
          <w:p w:rsidR="00A41AD7" w:rsidRPr="00DF6B0C" w:rsidRDefault="00A41AD7" w:rsidP="00E7317C">
            <w:pPr>
              <w:jc w:val="center"/>
              <w:rPr>
                <w:sz w:val="18"/>
                <w:szCs w:val="18"/>
              </w:rPr>
            </w:pPr>
            <w:r w:rsidRPr="00DF6B0C">
              <w:rPr>
                <w:sz w:val="18"/>
                <w:szCs w:val="18"/>
              </w:rPr>
              <w:t>отчет 1-НМ, стр.1600</w:t>
            </w:r>
          </w:p>
        </w:tc>
        <w:tc>
          <w:tcPr>
            <w:tcW w:w="337"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1 174 775</w:t>
            </w:r>
          </w:p>
        </w:tc>
        <w:tc>
          <w:tcPr>
            <w:tcW w:w="260"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108,9</w:t>
            </w:r>
          </w:p>
        </w:tc>
        <w:tc>
          <w:tcPr>
            <w:tcW w:w="324"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1 157 835</w:t>
            </w:r>
          </w:p>
        </w:tc>
        <w:tc>
          <w:tcPr>
            <w:tcW w:w="243"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98,6</w:t>
            </w:r>
          </w:p>
        </w:tc>
        <w:tc>
          <w:tcPr>
            <w:tcW w:w="344"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1 391 506</w:t>
            </w:r>
          </w:p>
        </w:tc>
        <w:tc>
          <w:tcPr>
            <w:tcW w:w="240"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120,2</w:t>
            </w:r>
          </w:p>
        </w:tc>
        <w:tc>
          <w:tcPr>
            <w:tcW w:w="331" w:type="pct"/>
            <w:shd w:val="clear" w:color="auto" w:fill="auto"/>
            <w:noWrap/>
            <w:vAlign w:val="center"/>
            <w:hideMark/>
          </w:tcPr>
          <w:p w:rsidR="00A41AD7" w:rsidRPr="00DF6B0C" w:rsidRDefault="00A41AD7" w:rsidP="00E7317C">
            <w:pPr>
              <w:jc w:val="center"/>
              <w:rPr>
                <w:color w:val="000000"/>
                <w:sz w:val="18"/>
                <w:szCs w:val="18"/>
              </w:rPr>
            </w:pPr>
          </w:p>
        </w:tc>
        <w:tc>
          <w:tcPr>
            <w:tcW w:w="253"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0,0</w:t>
            </w:r>
          </w:p>
        </w:tc>
        <w:tc>
          <w:tcPr>
            <w:tcW w:w="318" w:type="pct"/>
            <w:shd w:val="clear" w:color="auto" w:fill="auto"/>
            <w:noWrap/>
            <w:vAlign w:val="center"/>
            <w:hideMark/>
          </w:tcPr>
          <w:p w:rsidR="00A41AD7" w:rsidRPr="00DF6B0C" w:rsidRDefault="00A41AD7" w:rsidP="00E7317C">
            <w:pPr>
              <w:jc w:val="center"/>
              <w:rPr>
                <w:color w:val="000000"/>
                <w:sz w:val="18"/>
                <w:szCs w:val="18"/>
              </w:rPr>
            </w:pPr>
          </w:p>
        </w:tc>
        <w:tc>
          <w:tcPr>
            <w:tcW w:w="265" w:type="pct"/>
            <w:shd w:val="clear" w:color="auto" w:fill="auto"/>
            <w:noWrap/>
            <w:vAlign w:val="center"/>
            <w:hideMark/>
          </w:tcPr>
          <w:p w:rsidR="00A41AD7" w:rsidRPr="00DF6B0C" w:rsidRDefault="00A41AD7" w:rsidP="00E7317C">
            <w:pPr>
              <w:jc w:val="center"/>
              <w:rPr>
                <w:i/>
                <w:iCs/>
                <w:color w:val="000000"/>
                <w:sz w:val="18"/>
                <w:szCs w:val="18"/>
              </w:rPr>
            </w:pPr>
          </w:p>
        </w:tc>
        <w:tc>
          <w:tcPr>
            <w:tcW w:w="305" w:type="pct"/>
            <w:shd w:val="clear" w:color="auto" w:fill="auto"/>
            <w:noWrap/>
            <w:vAlign w:val="center"/>
            <w:hideMark/>
          </w:tcPr>
          <w:p w:rsidR="00A41AD7" w:rsidRPr="00DF6B0C" w:rsidRDefault="00A41AD7" w:rsidP="00E7317C">
            <w:pPr>
              <w:jc w:val="center"/>
              <w:rPr>
                <w:color w:val="000000"/>
                <w:sz w:val="18"/>
                <w:szCs w:val="18"/>
              </w:rPr>
            </w:pPr>
          </w:p>
        </w:tc>
        <w:tc>
          <w:tcPr>
            <w:tcW w:w="230" w:type="pct"/>
            <w:shd w:val="clear" w:color="auto" w:fill="auto"/>
            <w:noWrap/>
            <w:vAlign w:val="center"/>
            <w:hideMark/>
          </w:tcPr>
          <w:p w:rsidR="00A41AD7" w:rsidRPr="00DF6B0C" w:rsidRDefault="00A41AD7" w:rsidP="00E7317C">
            <w:pPr>
              <w:jc w:val="center"/>
              <w:rPr>
                <w:i/>
                <w:iCs/>
                <w:color w:val="000000"/>
                <w:sz w:val="18"/>
                <w:szCs w:val="18"/>
              </w:rPr>
            </w:pPr>
          </w:p>
        </w:tc>
        <w:tc>
          <w:tcPr>
            <w:tcW w:w="340" w:type="pct"/>
            <w:shd w:val="clear" w:color="auto" w:fill="auto"/>
            <w:noWrap/>
            <w:vAlign w:val="center"/>
            <w:hideMark/>
          </w:tcPr>
          <w:p w:rsidR="00A41AD7" w:rsidRPr="00DF6B0C" w:rsidRDefault="00A41AD7" w:rsidP="00E7317C">
            <w:pPr>
              <w:jc w:val="center"/>
              <w:rPr>
                <w:color w:val="000000"/>
                <w:sz w:val="18"/>
                <w:szCs w:val="18"/>
              </w:rPr>
            </w:pPr>
          </w:p>
        </w:tc>
        <w:tc>
          <w:tcPr>
            <w:tcW w:w="282" w:type="pct"/>
            <w:shd w:val="clear" w:color="auto" w:fill="auto"/>
            <w:noWrap/>
            <w:vAlign w:val="center"/>
            <w:hideMark/>
          </w:tcPr>
          <w:p w:rsidR="00A41AD7" w:rsidRPr="00DF6B0C" w:rsidRDefault="00A41AD7" w:rsidP="00E7317C">
            <w:pPr>
              <w:jc w:val="center"/>
              <w:rPr>
                <w:i/>
                <w:iCs/>
                <w:color w:val="000000"/>
                <w:sz w:val="18"/>
                <w:szCs w:val="18"/>
              </w:rPr>
            </w:pPr>
          </w:p>
        </w:tc>
      </w:tr>
      <w:tr w:rsidR="00A41AD7" w:rsidRPr="00DF6B0C" w:rsidTr="00E7317C">
        <w:trPr>
          <w:trHeight w:val="810"/>
        </w:trPr>
        <w:tc>
          <w:tcPr>
            <w:tcW w:w="526" w:type="pct"/>
            <w:shd w:val="clear" w:color="auto" w:fill="auto"/>
            <w:vAlign w:val="center"/>
            <w:hideMark/>
          </w:tcPr>
          <w:p w:rsidR="00A41AD7" w:rsidRPr="00DF6B0C" w:rsidRDefault="00A41AD7" w:rsidP="00E7317C">
            <w:pPr>
              <w:rPr>
                <w:b/>
                <w:bCs/>
                <w:i/>
                <w:iCs/>
                <w:sz w:val="18"/>
                <w:szCs w:val="18"/>
              </w:rPr>
            </w:pPr>
            <w:r w:rsidRPr="00DF6B0C">
              <w:rPr>
                <w:b/>
                <w:bCs/>
                <w:i/>
                <w:iCs/>
                <w:sz w:val="18"/>
                <w:szCs w:val="18"/>
              </w:rPr>
              <w:t>Коэффициент собираемости, %**</w:t>
            </w:r>
          </w:p>
        </w:tc>
        <w:tc>
          <w:tcPr>
            <w:tcW w:w="402" w:type="pct"/>
            <w:shd w:val="clear" w:color="auto" w:fill="auto"/>
            <w:vAlign w:val="center"/>
            <w:hideMark/>
          </w:tcPr>
          <w:p w:rsidR="00A41AD7" w:rsidRPr="00DF6B0C" w:rsidRDefault="00A41AD7" w:rsidP="00E7317C">
            <w:pPr>
              <w:jc w:val="center"/>
              <w:rPr>
                <w:sz w:val="18"/>
                <w:szCs w:val="18"/>
              </w:rPr>
            </w:pPr>
            <w:r w:rsidRPr="00DF6B0C">
              <w:rPr>
                <w:sz w:val="18"/>
                <w:szCs w:val="18"/>
              </w:rPr>
              <w:t> </w:t>
            </w:r>
          </w:p>
        </w:tc>
        <w:tc>
          <w:tcPr>
            <w:tcW w:w="337"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88,2</w:t>
            </w:r>
          </w:p>
        </w:tc>
        <w:tc>
          <w:tcPr>
            <w:tcW w:w="260"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х</w:t>
            </w:r>
          </w:p>
        </w:tc>
        <w:tc>
          <w:tcPr>
            <w:tcW w:w="324"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96,3</w:t>
            </w:r>
          </w:p>
        </w:tc>
        <w:tc>
          <w:tcPr>
            <w:tcW w:w="243"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х</w:t>
            </w:r>
          </w:p>
        </w:tc>
        <w:tc>
          <w:tcPr>
            <w:tcW w:w="344"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93,7</w:t>
            </w:r>
          </w:p>
        </w:tc>
        <w:tc>
          <w:tcPr>
            <w:tcW w:w="240"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97,3</w:t>
            </w:r>
          </w:p>
        </w:tc>
        <w:tc>
          <w:tcPr>
            <w:tcW w:w="331"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92,7</w:t>
            </w:r>
          </w:p>
        </w:tc>
        <w:tc>
          <w:tcPr>
            <w:tcW w:w="253"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99,0</w:t>
            </w:r>
          </w:p>
        </w:tc>
        <w:tc>
          <w:tcPr>
            <w:tcW w:w="318" w:type="pct"/>
            <w:shd w:val="clear" w:color="auto" w:fill="auto"/>
            <w:vAlign w:val="center"/>
            <w:hideMark/>
          </w:tcPr>
          <w:p w:rsidR="00A41AD7" w:rsidRPr="00DF6B0C" w:rsidRDefault="00A41AD7" w:rsidP="00E7317C">
            <w:pPr>
              <w:jc w:val="center"/>
              <w:rPr>
                <w:sz w:val="18"/>
                <w:szCs w:val="18"/>
              </w:rPr>
            </w:pPr>
            <w:r w:rsidRPr="00DF6B0C">
              <w:rPr>
                <w:sz w:val="18"/>
                <w:szCs w:val="18"/>
              </w:rPr>
              <w:t>92,7</w:t>
            </w:r>
          </w:p>
        </w:tc>
        <w:tc>
          <w:tcPr>
            <w:tcW w:w="265"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100,0</w:t>
            </w:r>
          </w:p>
        </w:tc>
        <w:tc>
          <w:tcPr>
            <w:tcW w:w="305" w:type="pct"/>
            <w:shd w:val="clear" w:color="auto" w:fill="auto"/>
            <w:vAlign w:val="center"/>
            <w:hideMark/>
          </w:tcPr>
          <w:p w:rsidR="00A41AD7" w:rsidRPr="00DF6B0C" w:rsidRDefault="00A41AD7" w:rsidP="00E7317C">
            <w:pPr>
              <w:jc w:val="center"/>
              <w:rPr>
                <w:sz w:val="18"/>
                <w:szCs w:val="18"/>
              </w:rPr>
            </w:pPr>
            <w:r w:rsidRPr="00DF6B0C">
              <w:rPr>
                <w:sz w:val="18"/>
                <w:szCs w:val="18"/>
              </w:rPr>
              <w:t>92,7</w:t>
            </w:r>
          </w:p>
        </w:tc>
        <w:tc>
          <w:tcPr>
            <w:tcW w:w="230"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100,0</w:t>
            </w:r>
          </w:p>
        </w:tc>
        <w:tc>
          <w:tcPr>
            <w:tcW w:w="340" w:type="pct"/>
            <w:shd w:val="clear" w:color="auto" w:fill="auto"/>
            <w:vAlign w:val="center"/>
            <w:hideMark/>
          </w:tcPr>
          <w:p w:rsidR="00A41AD7" w:rsidRPr="00DF6B0C" w:rsidRDefault="00A41AD7" w:rsidP="00E7317C">
            <w:pPr>
              <w:jc w:val="center"/>
              <w:rPr>
                <w:sz w:val="18"/>
                <w:szCs w:val="18"/>
              </w:rPr>
            </w:pPr>
            <w:r w:rsidRPr="00DF6B0C">
              <w:rPr>
                <w:sz w:val="18"/>
                <w:szCs w:val="18"/>
              </w:rPr>
              <w:t>92,7</w:t>
            </w:r>
          </w:p>
        </w:tc>
        <w:tc>
          <w:tcPr>
            <w:tcW w:w="282" w:type="pct"/>
            <w:shd w:val="clear" w:color="auto" w:fill="auto"/>
            <w:noWrap/>
            <w:vAlign w:val="center"/>
            <w:hideMark/>
          </w:tcPr>
          <w:p w:rsidR="00A41AD7" w:rsidRPr="00DF6B0C" w:rsidRDefault="00A41AD7" w:rsidP="00E7317C">
            <w:pPr>
              <w:jc w:val="center"/>
              <w:rPr>
                <w:color w:val="000000"/>
                <w:sz w:val="18"/>
                <w:szCs w:val="18"/>
              </w:rPr>
            </w:pPr>
            <w:r w:rsidRPr="00DF6B0C">
              <w:rPr>
                <w:color w:val="000000"/>
                <w:sz w:val="18"/>
                <w:szCs w:val="18"/>
              </w:rPr>
              <w:t>100,0</w:t>
            </w:r>
          </w:p>
        </w:tc>
      </w:tr>
      <w:tr w:rsidR="00A41AD7" w:rsidRPr="00DF6B0C" w:rsidTr="00E7317C">
        <w:trPr>
          <w:trHeight w:val="1710"/>
        </w:trPr>
        <w:tc>
          <w:tcPr>
            <w:tcW w:w="526" w:type="pct"/>
            <w:tcBorders>
              <w:bottom w:val="single" w:sz="4" w:space="0" w:color="auto"/>
            </w:tcBorders>
            <w:shd w:val="clear" w:color="auto" w:fill="auto"/>
            <w:vAlign w:val="center"/>
            <w:hideMark/>
          </w:tcPr>
          <w:p w:rsidR="00A41AD7" w:rsidRPr="00DF6B0C" w:rsidRDefault="00A41AD7" w:rsidP="00E7317C">
            <w:pPr>
              <w:rPr>
                <w:sz w:val="18"/>
                <w:szCs w:val="18"/>
              </w:rPr>
            </w:pPr>
            <w:r w:rsidRPr="00DF6B0C">
              <w:rPr>
                <w:sz w:val="18"/>
                <w:szCs w:val="18"/>
              </w:rPr>
              <w:t>Корректирующая сумма поступлений, учитывающая изменения законодательства о налогах и сборах, а также другие факторы</w:t>
            </w:r>
          </w:p>
        </w:tc>
        <w:tc>
          <w:tcPr>
            <w:tcW w:w="402" w:type="pct"/>
            <w:tcBorders>
              <w:bottom w:val="single" w:sz="4" w:space="0" w:color="auto"/>
            </w:tcBorders>
            <w:shd w:val="clear" w:color="auto" w:fill="auto"/>
            <w:vAlign w:val="center"/>
            <w:hideMark/>
          </w:tcPr>
          <w:p w:rsidR="00A41AD7" w:rsidRPr="00DF6B0C" w:rsidRDefault="00A41AD7" w:rsidP="00E7317C">
            <w:pPr>
              <w:jc w:val="center"/>
              <w:rPr>
                <w:sz w:val="18"/>
                <w:szCs w:val="18"/>
              </w:rPr>
            </w:pPr>
            <w:r w:rsidRPr="00DF6B0C">
              <w:rPr>
                <w:sz w:val="18"/>
                <w:szCs w:val="18"/>
              </w:rPr>
              <w:t>х</w:t>
            </w:r>
          </w:p>
        </w:tc>
        <w:tc>
          <w:tcPr>
            <w:tcW w:w="337" w:type="pct"/>
            <w:tcBorders>
              <w:bottom w:val="single" w:sz="4" w:space="0" w:color="auto"/>
            </w:tcBorders>
            <w:shd w:val="clear" w:color="auto" w:fill="auto"/>
            <w:noWrap/>
            <w:vAlign w:val="center"/>
            <w:hideMark/>
          </w:tcPr>
          <w:p w:rsidR="00A41AD7" w:rsidRPr="00DF6B0C" w:rsidRDefault="00A41AD7" w:rsidP="00E7317C">
            <w:pPr>
              <w:jc w:val="center"/>
              <w:rPr>
                <w:sz w:val="18"/>
                <w:szCs w:val="18"/>
              </w:rPr>
            </w:pPr>
            <w:r w:rsidRPr="00DF6B0C">
              <w:rPr>
                <w:sz w:val="18"/>
                <w:szCs w:val="18"/>
              </w:rPr>
              <w:t>0</w:t>
            </w:r>
          </w:p>
        </w:tc>
        <w:tc>
          <w:tcPr>
            <w:tcW w:w="260" w:type="pct"/>
            <w:tcBorders>
              <w:bottom w:val="single" w:sz="4" w:space="0" w:color="auto"/>
            </w:tcBorders>
            <w:shd w:val="clear" w:color="auto" w:fill="auto"/>
            <w:noWrap/>
            <w:vAlign w:val="center"/>
            <w:hideMark/>
          </w:tcPr>
          <w:p w:rsidR="00A41AD7" w:rsidRPr="00DF6B0C" w:rsidRDefault="00A41AD7" w:rsidP="00E7317C">
            <w:pPr>
              <w:jc w:val="center"/>
              <w:rPr>
                <w:sz w:val="18"/>
                <w:szCs w:val="18"/>
              </w:rPr>
            </w:pPr>
          </w:p>
        </w:tc>
        <w:tc>
          <w:tcPr>
            <w:tcW w:w="324" w:type="pct"/>
            <w:tcBorders>
              <w:bottom w:val="single" w:sz="4" w:space="0" w:color="auto"/>
            </w:tcBorders>
            <w:shd w:val="clear" w:color="auto" w:fill="auto"/>
            <w:noWrap/>
            <w:vAlign w:val="center"/>
            <w:hideMark/>
          </w:tcPr>
          <w:p w:rsidR="00A41AD7" w:rsidRPr="00DF6B0C" w:rsidRDefault="00A41AD7" w:rsidP="00E7317C">
            <w:pPr>
              <w:jc w:val="center"/>
              <w:rPr>
                <w:sz w:val="18"/>
                <w:szCs w:val="18"/>
              </w:rPr>
            </w:pPr>
            <w:r w:rsidRPr="00DF6B0C">
              <w:rPr>
                <w:sz w:val="18"/>
                <w:szCs w:val="18"/>
              </w:rPr>
              <w:t>0</w:t>
            </w:r>
          </w:p>
        </w:tc>
        <w:tc>
          <w:tcPr>
            <w:tcW w:w="243" w:type="pct"/>
            <w:tcBorders>
              <w:bottom w:val="single" w:sz="4" w:space="0" w:color="auto"/>
            </w:tcBorders>
            <w:shd w:val="clear" w:color="auto" w:fill="auto"/>
            <w:noWrap/>
            <w:vAlign w:val="center"/>
            <w:hideMark/>
          </w:tcPr>
          <w:p w:rsidR="00A41AD7" w:rsidRPr="00DF6B0C" w:rsidRDefault="00A41AD7" w:rsidP="00E7317C">
            <w:pPr>
              <w:jc w:val="center"/>
              <w:rPr>
                <w:color w:val="000000"/>
                <w:sz w:val="18"/>
                <w:szCs w:val="18"/>
              </w:rPr>
            </w:pPr>
          </w:p>
        </w:tc>
        <w:tc>
          <w:tcPr>
            <w:tcW w:w="344" w:type="pct"/>
            <w:tcBorders>
              <w:bottom w:val="single" w:sz="4" w:space="0" w:color="auto"/>
            </w:tcBorders>
            <w:shd w:val="clear" w:color="auto" w:fill="auto"/>
            <w:noWrap/>
            <w:vAlign w:val="center"/>
            <w:hideMark/>
          </w:tcPr>
          <w:p w:rsidR="00A41AD7" w:rsidRPr="00DF6B0C" w:rsidRDefault="00A41AD7" w:rsidP="00E7317C">
            <w:pPr>
              <w:jc w:val="center"/>
              <w:rPr>
                <w:sz w:val="18"/>
                <w:szCs w:val="18"/>
              </w:rPr>
            </w:pPr>
            <w:r w:rsidRPr="00DF6B0C">
              <w:rPr>
                <w:sz w:val="18"/>
                <w:szCs w:val="18"/>
              </w:rPr>
              <w:t>0</w:t>
            </w:r>
          </w:p>
        </w:tc>
        <w:tc>
          <w:tcPr>
            <w:tcW w:w="240" w:type="pct"/>
            <w:tcBorders>
              <w:bottom w:val="single" w:sz="4" w:space="0" w:color="auto"/>
            </w:tcBorders>
            <w:shd w:val="clear" w:color="auto" w:fill="auto"/>
            <w:noWrap/>
            <w:vAlign w:val="center"/>
            <w:hideMark/>
          </w:tcPr>
          <w:p w:rsidR="00A41AD7" w:rsidRPr="00DF6B0C" w:rsidRDefault="00A41AD7" w:rsidP="00E7317C">
            <w:pPr>
              <w:jc w:val="center"/>
              <w:rPr>
                <w:color w:val="000000"/>
                <w:sz w:val="18"/>
                <w:szCs w:val="18"/>
              </w:rPr>
            </w:pPr>
          </w:p>
        </w:tc>
        <w:tc>
          <w:tcPr>
            <w:tcW w:w="331" w:type="pct"/>
            <w:tcBorders>
              <w:bottom w:val="single" w:sz="4" w:space="0" w:color="auto"/>
            </w:tcBorders>
            <w:shd w:val="clear" w:color="auto" w:fill="auto"/>
            <w:noWrap/>
            <w:vAlign w:val="center"/>
            <w:hideMark/>
          </w:tcPr>
          <w:p w:rsidR="00A41AD7" w:rsidRPr="00DF6B0C" w:rsidRDefault="00A41AD7" w:rsidP="00E7317C">
            <w:pPr>
              <w:jc w:val="center"/>
              <w:rPr>
                <w:sz w:val="18"/>
                <w:szCs w:val="18"/>
              </w:rPr>
            </w:pPr>
            <w:r w:rsidRPr="00DF6B0C">
              <w:rPr>
                <w:sz w:val="18"/>
                <w:szCs w:val="18"/>
              </w:rPr>
              <w:t>0</w:t>
            </w:r>
          </w:p>
        </w:tc>
        <w:tc>
          <w:tcPr>
            <w:tcW w:w="253" w:type="pct"/>
            <w:tcBorders>
              <w:bottom w:val="single" w:sz="4" w:space="0" w:color="auto"/>
            </w:tcBorders>
            <w:shd w:val="clear" w:color="auto" w:fill="auto"/>
            <w:noWrap/>
            <w:vAlign w:val="center"/>
            <w:hideMark/>
          </w:tcPr>
          <w:p w:rsidR="00A41AD7" w:rsidRPr="00DF6B0C" w:rsidRDefault="00A41AD7" w:rsidP="00E7317C">
            <w:pPr>
              <w:jc w:val="center"/>
              <w:rPr>
                <w:color w:val="000000"/>
                <w:sz w:val="18"/>
                <w:szCs w:val="18"/>
              </w:rPr>
            </w:pPr>
          </w:p>
        </w:tc>
        <w:tc>
          <w:tcPr>
            <w:tcW w:w="318" w:type="pct"/>
            <w:tcBorders>
              <w:bottom w:val="single" w:sz="4" w:space="0" w:color="auto"/>
            </w:tcBorders>
            <w:shd w:val="clear" w:color="auto" w:fill="auto"/>
            <w:noWrap/>
            <w:vAlign w:val="center"/>
            <w:hideMark/>
          </w:tcPr>
          <w:p w:rsidR="00A41AD7" w:rsidRPr="00DF6B0C" w:rsidRDefault="00A41AD7" w:rsidP="00E7317C">
            <w:pPr>
              <w:jc w:val="center"/>
              <w:rPr>
                <w:sz w:val="18"/>
                <w:szCs w:val="18"/>
              </w:rPr>
            </w:pPr>
            <w:r w:rsidRPr="00DF6B0C">
              <w:rPr>
                <w:sz w:val="18"/>
                <w:szCs w:val="18"/>
              </w:rPr>
              <w:t>0</w:t>
            </w:r>
          </w:p>
        </w:tc>
        <w:tc>
          <w:tcPr>
            <w:tcW w:w="265" w:type="pct"/>
            <w:tcBorders>
              <w:bottom w:val="single" w:sz="4" w:space="0" w:color="auto"/>
            </w:tcBorders>
            <w:shd w:val="clear" w:color="auto" w:fill="auto"/>
            <w:noWrap/>
            <w:vAlign w:val="center"/>
            <w:hideMark/>
          </w:tcPr>
          <w:p w:rsidR="00A41AD7" w:rsidRPr="00DF6B0C" w:rsidRDefault="00A41AD7" w:rsidP="00E7317C">
            <w:pPr>
              <w:jc w:val="center"/>
              <w:rPr>
                <w:color w:val="000000"/>
                <w:sz w:val="18"/>
                <w:szCs w:val="18"/>
              </w:rPr>
            </w:pPr>
          </w:p>
        </w:tc>
        <w:tc>
          <w:tcPr>
            <w:tcW w:w="305" w:type="pct"/>
            <w:tcBorders>
              <w:bottom w:val="single" w:sz="4" w:space="0" w:color="auto"/>
            </w:tcBorders>
            <w:shd w:val="clear" w:color="auto" w:fill="auto"/>
            <w:noWrap/>
            <w:vAlign w:val="center"/>
            <w:hideMark/>
          </w:tcPr>
          <w:p w:rsidR="00A41AD7" w:rsidRPr="00DF6B0C" w:rsidRDefault="00A41AD7" w:rsidP="00E7317C">
            <w:pPr>
              <w:jc w:val="center"/>
              <w:rPr>
                <w:sz w:val="18"/>
                <w:szCs w:val="18"/>
              </w:rPr>
            </w:pPr>
            <w:r w:rsidRPr="00DF6B0C">
              <w:rPr>
                <w:sz w:val="18"/>
                <w:szCs w:val="18"/>
              </w:rPr>
              <w:t>0</w:t>
            </w:r>
          </w:p>
        </w:tc>
        <w:tc>
          <w:tcPr>
            <w:tcW w:w="230" w:type="pct"/>
            <w:tcBorders>
              <w:bottom w:val="single" w:sz="4" w:space="0" w:color="auto"/>
            </w:tcBorders>
            <w:shd w:val="clear" w:color="auto" w:fill="auto"/>
            <w:noWrap/>
            <w:vAlign w:val="center"/>
            <w:hideMark/>
          </w:tcPr>
          <w:p w:rsidR="00A41AD7" w:rsidRPr="00DF6B0C" w:rsidRDefault="00A41AD7" w:rsidP="00E7317C">
            <w:pPr>
              <w:jc w:val="center"/>
              <w:rPr>
                <w:color w:val="000000"/>
                <w:sz w:val="18"/>
                <w:szCs w:val="18"/>
              </w:rPr>
            </w:pPr>
          </w:p>
        </w:tc>
        <w:tc>
          <w:tcPr>
            <w:tcW w:w="340" w:type="pct"/>
            <w:tcBorders>
              <w:bottom w:val="single" w:sz="4" w:space="0" w:color="auto"/>
            </w:tcBorders>
            <w:shd w:val="clear" w:color="auto" w:fill="auto"/>
            <w:noWrap/>
            <w:vAlign w:val="center"/>
            <w:hideMark/>
          </w:tcPr>
          <w:p w:rsidR="00A41AD7" w:rsidRPr="00DF6B0C" w:rsidRDefault="00A41AD7" w:rsidP="00E7317C">
            <w:pPr>
              <w:jc w:val="center"/>
              <w:rPr>
                <w:sz w:val="18"/>
                <w:szCs w:val="18"/>
              </w:rPr>
            </w:pPr>
            <w:r w:rsidRPr="00DF6B0C">
              <w:rPr>
                <w:sz w:val="18"/>
                <w:szCs w:val="18"/>
              </w:rPr>
              <w:t>0</w:t>
            </w:r>
          </w:p>
        </w:tc>
        <w:tc>
          <w:tcPr>
            <w:tcW w:w="282" w:type="pct"/>
            <w:tcBorders>
              <w:bottom w:val="single" w:sz="4" w:space="0" w:color="auto"/>
            </w:tcBorders>
            <w:shd w:val="clear" w:color="auto" w:fill="auto"/>
            <w:noWrap/>
            <w:vAlign w:val="center"/>
            <w:hideMark/>
          </w:tcPr>
          <w:p w:rsidR="00A41AD7" w:rsidRPr="00DF6B0C" w:rsidRDefault="00A41AD7" w:rsidP="00E7317C">
            <w:pPr>
              <w:jc w:val="center"/>
              <w:rPr>
                <w:color w:val="000000"/>
                <w:sz w:val="18"/>
                <w:szCs w:val="18"/>
              </w:rPr>
            </w:pPr>
          </w:p>
        </w:tc>
      </w:tr>
      <w:tr w:rsidR="00A41AD7" w:rsidRPr="00DF6B0C" w:rsidTr="002A33AD">
        <w:trPr>
          <w:trHeight w:val="236"/>
        </w:trPr>
        <w:tc>
          <w:tcPr>
            <w:tcW w:w="526" w:type="pct"/>
            <w:tcBorders>
              <w:bottom w:val="single" w:sz="4" w:space="0" w:color="auto"/>
            </w:tcBorders>
            <w:shd w:val="clear" w:color="auto" w:fill="auto"/>
            <w:hideMark/>
          </w:tcPr>
          <w:p w:rsidR="00A41AD7" w:rsidRPr="00DF6B0C" w:rsidRDefault="00A41AD7" w:rsidP="00E7317C">
            <w:pPr>
              <w:jc w:val="center"/>
              <w:rPr>
                <w:b/>
                <w:bCs/>
                <w:sz w:val="18"/>
                <w:szCs w:val="18"/>
              </w:rPr>
            </w:pPr>
            <w:r w:rsidRPr="00DF6B0C">
              <w:rPr>
                <w:b/>
                <w:bCs/>
                <w:sz w:val="18"/>
                <w:szCs w:val="18"/>
              </w:rPr>
              <w:t>Сумма транспортного налога</w:t>
            </w:r>
            <w:r w:rsidRPr="00DF6B0C">
              <w:rPr>
                <w:b/>
                <w:bCs/>
                <w:sz w:val="18"/>
                <w:szCs w:val="18"/>
              </w:rPr>
              <w:br/>
              <w:t>по физическим лицам</w:t>
            </w:r>
          </w:p>
        </w:tc>
        <w:tc>
          <w:tcPr>
            <w:tcW w:w="402" w:type="pct"/>
            <w:tcBorders>
              <w:bottom w:val="single" w:sz="4" w:space="0" w:color="auto"/>
            </w:tcBorders>
            <w:shd w:val="clear" w:color="auto" w:fill="auto"/>
            <w:vAlign w:val="center"/>
            <w:hideMark/>
          </w:tcPr>
          <w:p w:rsidR="00A41AD7" w:rsidRPr="00DF6B0C" w:rsidRDefault="00A41AD7" w:rsidP="00E7317C">
            <w:pPr>
              <w:jc w:val="center"/>
              <w:rPr>
                <w:color w:val="000000"/>
                <w:sz w:val="18"/>
                <w:szCs w:val="18"/>
              </w:rPr>
            </w:pPr>
            <w:r w:rsidRPr="00DF6B0C">
              <w:rPr>
                <w:color w:val="000000"/>
                <w:sz w:val="18"/>
                <w:szCs w:val="18"/>
              </w:rPr>
              <w:t>х</w:t>
            </w:r>
          </w:p>
        </w:tc>
        <w:tc>
          <w:tcPr>
            <w:tcW w:w="337" w:type="pct"/>
            <w:tcBorders>
              <w:bottom w:val="single" w:sz="4" w:space="0" w:color="auto"/>
            </w:tcBorders>
            <w:shd w:val="clear" w:color="auto" w:fill="auto"/>
            <w:noWrap/>
            <w:vAlign w:val="center"/>
            <w:hideMark/>
          </w:tcPr>
          <w:p w:rsidR="00A41AD7" w:rsidRPr="00DF6B0C" w:rsidRDefault="00A41AD7" w:rsidP="00E7317C">
            <w:pPr>
              <w:jc w:val="center"/>
              <w:rPr>
                <w:b/>
                <w:bCs/>
                <w:color w:val="000000"/>
                <w:spacing w:val="-20"/>
                <w:sz w:val="18"/>
                <w:szCs w:val="18"/>
              </w:rPr>
            </w:pPr>
            <w:r w:rsidRPr="00DF6B0C">
              <w:rPr>
                <w:b/>
                <w:bCs/>
                <w:color w:val="000000"/>
                <w:spacing w:val="-20"/>
                <w:sz w:val="18"/>
                <w:szCs w:val="18"/>
              </w:rPr>
              <w:t>1 035 654</w:t>
            </w:r>
          </w:p>
        </w:tc>
        <w:tc>
          <w:tcPr>
            <w:tcW w:w="260" w:type="pct"/>
            <w:tcBorders>
              <w:bottom w:val="single" w:sz="4" w:space="0" w:color="auto"/>
            </w:tcBorders>
            <w:shd w:val="clear" w:color="auto" w:fill="auto"/>
            <w:noWrap/>
            <w:vAlign w:val="center"/>
            <w:hideMark/>
          </w:tcPr>
          <w:p w:rsidR="00A41AD7" w:rsidRPr="00DF6B0C" w:rsidRDefault="00A41AD7" w:rsidP="00E7317C">
            <w:pPr>
              <w:jc w:val="center"/>
              <w:rPr>
                <w:b/>
                <w:bCs/>
                <w:color w:val="000000"/>
                <w:spacing w:val="-20"/>
                <w:sz w:val="18"/>
                <w:szCs w:val="18"/>
              </w:rPr>
            </w:pPr>
            <w:r w:rsidRPr="00DF6B0C">
              <w:rPr>
                <w:b/>
                <w:bCs/>
                <w:color w:val="000000"/>
                <w:spacing w:val="-20"/>
                <w:sz w:val="18"/>
                <w:szCs w:val="18"/>
              </w:rPr>
              <w:t>103,5</w:t>
            </w:r>
          </w:p>
        </w:tc>
        <w:tc>
          <w:tcPr>
            <w:tcW w:w="324" w:type="pct"/>
            <w:tcBorders>
              <w:bottom w:val="single" w:sz="4" w:space="0" w:color="auto"/>
            </w:tcBorders>
            <w:shd w:val="clear" w:color="auto" w:fill="auto"/>
            <w:noWrap/>
            <w:vAlign w:val="center"/>
            <w:hideMark/>
          </w:tcPr>
          <w:p w:rsidR="00A41AD7" w:rsidRPr="00DF6B0C" w:rsidRDefault="00A41AD7" w:rsidP="00E7317C">
            <w:pPr>
              <w:jc w:val="center"/>
              <w:rPr>
                <w:b/>
                <w:bCs/>
                <w:spacing w:val="-20"/>
                <w:sz w:val="18"/>
                <w:szCs w:val="18"/>
              </w:rPr>
            </w:pPr>
            <w:r w:rsidRPr="00DF6B0C">
              <w:rPr>
                <w:b/>
                <w:bCs/>
                <w:spacing w:val="-20"/>
                <w:sz w:val="18"/>
                <w:szCs w:val="18"/>
              </w:rPr>
              <w:t>1 114 503</w:t>
            </w:r>
          </w:p>
        </w:tc>
        <w:tc>
          <w:tcPr>
            <w:tcW w:w="243" w:type="pct"/>
            <w:tcBorders>
              <w:bottom w:val="single" w:sz="4" w:space="0" w:color="auto"/>
            </w:tcBorders>
            <w:shd w:val="clear" w:color="auto" w:fill="auto"/>
            <w:noWrap/>
            <w:vAlign w:val="center"/>
            <w:hideMark/>
          </w:tcPr>
          <w:p w:rsidR="00A41AD7" w:rsidRPr="00DF6B0C" w:rsidRDefault="00A41AD7" w:rsidP="00E7317C">
            <w:pPr>
              <w:jc w:val="center"/>
              <w:rPr>
                <w:b/>
                <w:bCs/>
                <w:color w:val="000000"/>
                <w:spacing w:val="-20"/>
                <w:sz w:val="18"/>
                <w:szCs w:val="18"/>
              </w:rPr>
            </w:pPr>
            <w:r w:rsidRPr="00DF6B0C">
              <w:rPr>
                <w:b/>
                <w:bCs/>
                <w:color w:val="000000"/>
                <w:spacing w:val="-20"/>
                <w:sz w:val="18"/>
                <w:szCs w:val="18"/>
              </w:rPr>
              <w:t>107,6</w:t>
            </w:r>
          </w:p>
        </w:tc>
        <w:tc>
          <w:tcPr>
            <w:tcW w:w="344" w:type="pct"/>
            <w:tcBorders>
              <w:bottom w:val="single" w:sz="4" w:space="0" w:color="auto"/>
            </w:tcBorders>
            <w:shd w:val="clear" w:color="auto" w:fill="auto"/>
            <w:noWrap/>
            <w:vAlign w:val="center"/>
            <w:hideMark/>
          </w:tcPr>
          <w:p w:rsidR="00A41AD7" w:rsidRPr="00DF6B0C" w:rsidRDefault="00A41AD7" w:rsidP="00E7317C">
            <w:pPr>
              <w:jc w:val="center"/>
              <w:rPr>
                <w:b/>
                <w:bCs/>
                <w:spacing w:val="-20"/>
                <w:sz w:val="18"/>
                <w:szCs w:val="18"/>
              </w:rPr>
            </w:pPr>
            <w:r w:rsidRPr="00DF6B0C">
              <w:rPr>
                <w:b/>
                <w:bCs/>
                <w:spacing w:val="-20"/>
                <w:sz w:val="18"/>
                <w:szCs w:val="18"/>
              </w:rPr>
              <w:t>1 304 127</w:t>
            </w:r>
          </w:p>
        </w:tc>
        <w:tc>
          <w:tcPr>
            <w:tcW w:w="240" w:type="pct"/>
            <w:tcBorders>
              <w:bottom w:val="single" w:sz="4" w:space="0" w:color="auto"/>
            </w:tcBorders>
            <w:shd w:val="clear" w:color="auto" w:fill="auto"/>
            <w:noWrap/>
            <w:vAlign w:val="center"/>
            <w:hideMark/>
          </w:tcPr>
          <w:p w:rsidR="00A41AD7" w:rsidRPr="00DF6B0C" w:rsidRDefault="00A41AD7" w:rsidP="00E7317C">
            <w:pPr>
              <w:jc w:val="center"/>
              <w:rPr>
                <w:b/>
                <w:bCs/>
                <w:color w:val="000000"/>
                <w:spacing w:val="-20"/>
                <w:sz w:val="18"/>
                <w:szCs w:val="18"/>
              </w:rPr>
            </w:pPr>
            <w:r w:rsidRPr="00DF6B0C">
              <w:rPr>
                <w:b/>
                <w:bCs/>
                <w:color w:val="000000"/>
                <w:spacing w:val="-20"/>
                <w:sz w:val="18"/>
                <w:szCs w:val="18"/>
              </w:rPr>
              <w:t>117,0</w:t>
            </w:r>
          </w:p>
        </w:tc>
        <w:tc>
          <w:tcPr>
            <w:tcW w:w="331" w:type="pct"/>
            <w:tcBorders>
              <w:bottom w:val="single" w:sz="4" w:space="0" w:color="auto"/>
            </w:tcBorders>
            <w:shd w:val="clear" w:color="auto" w:fill="auto"/>
            <w:noWrap/>
            <w:vAlign w:val="center"/>
            <w:hideMark/>
          </w:tcPr>
          <w:p w:rsidR="00A41AD7" w:rsidRPr="00DF6B0C" w:rsidRDefault="00A41AD7" w:rsidP="00E7317C">
            <w:pPr>
              <w:jc w:val="center"/>
              <w:rPr>
                <w:b/>
                <w:bCs/>
                <w:spacing w:val="-20"/>
                <w:sz w:val="18"/>
                <w:szCs w:val="18"/>
              </w:rPr>
            </w:pPr>
            <w:r w:rsidRPr="00DF6B0C">
              <w:rPr>
                <w:b/>
                <w:bCs/>
                <w:spacing w:val="-20"/>
                <w:sz w:val="18"/>
                <w:szCs w:val="18"/>
              </w:rPr>
              <w:t>1 308 553</w:t>
            </w:r>
          </w:p>
        </w:tc>
        <w:tc>
          <w:tcPr>
            <w:tcW w:w="253" w:type="pct"/>
            <w:tcBorders>
              <w:bottom w:val="single" w:sz="4" w:space="0" w:color="auto"/>
            </w:tcBorders>
            <w:shd w:val="clear" w:color="auto" w:fill="auto"/>
            <w:noWrap/>
            <w:vAlign w:val="center"/>
            <w:hideMark/>
          </w:tcPr>
          <w:p w:rsidR="00A41AD7" w:rsidRPr="00DF6B0C" w:rsidRDefault="00A41AD7" w:rsidP="00E7317C">
            <w:pPr>
              <w:jc w:val="center"/>
              <w:rPr>
                <w:b/>
                <w:bCs/>
                <w:color w:val="000000"/>
                <w:spacing w:val="-20"/>
                <w:sz w:val="18"/>
                <w:szCs w:val="18"/>
              </w:rPr>
            </w:pPr>
            <w:r w:rsidRPr="00DF6B0C">
              <w:rPr>
                <w:b/>
                <w:bCs/>
                <w:color w:val="000000"/>
                <w:spacing w:val="-20"/>
                <w:sz w:val="18"/>
                <w:szCs w:val="18"/>
              </w:rPr>
              <w:t>100,3</w:t>
            </w:r>
          </w:p>
        </w:tc>
        <w:tc>
          <w:tcPr>
            <w:tcW w:w="318" w:type="pct"/>
            <w:tcBorders>
              <w:bottom w:val="single" w:sz="4" w:space="0" w:color="auto"/>
            </w:tcBorders>
            <w:shd w:val="clear" w:color="auto" w:fill="auto"/>
            <w:noWrap/>
            <w:vAlign w:val="center"/>
            <w:hideMark/>
          </w:tcPr>
          <w:p w:rsidR="00A41AD7" w:rsidRPr="00DF6B0C" w:rsidRDefault="00A41AD7" w:rsidP="00E7317C">
            <w:pPr>
              <w:jc w:val="center"/>
              <w:rPr>
                <w:b/>
                <w:bCs/>
                <w:spacing w:val="-20"/>
                <w:sz w:val="18"/>
                <w:szCs w:val="18"/>
              </w:rPr>
            </w:pPr>
            <w:r w:rsidRPr="00DF6B0C">
              <w:rPr>
                <w:b/>
                <w:bCs/>
                <w:spacing w:val="-20"/>
                <w:sz w:val="18"/>
                <w:szCs w:val="18"/>
              </w:rPr>
              <w:t>1 338 377</w:t>
            </w:r>
          </w:p>
        </w:tc>
        <w:tc>
          <w:tcPr>
            <w:tcW w:w="265" w:type="pct"/>
            <w:tcBorders>
              <w:bottom w:val="single" w:sz="4" w:space="0" w:color="auto"/>
            </w:tcBorders>
            <w:shd w:val="clear" w:color="auto" w:fill="auto"/>
            <w:noWrap/>
            <w:vAlign w:val="center"/>
            <w:hideMark/>
          </w:tcPr>
          <w:p w:rsidR="00A41AD7" w:rsidRPr="00DF6B0C" w:rsidRDefault="00A41AD7" w:rsidP="00E7317C">
            <w:pPr>
              <w:jc w:val="center"/>
              <w:rPr>
                <w:b/>
                <w:bCs/>
                <w:color w:val="000000"/>
                <w:spacing w:val="-20"/>
                <w:sz w:val="18"/>
                <w:szCs w:val="18"/>
              </w:rPr>
            </w:pPr>
            <w:r w:rsidRPr="00DF6B0C">
              <w:rPr>
                <w:b/>
                <w:bCs/>
                <w:color w:val="000000"/>
                <w:spacing w:val="-20"/>
                <w:sz w:val="18"/>
                <w:szCs w:val="18"/>
              </w:rPr>
              <w:t>102,3</w:t>
            </w:r>
          </w:p>
        </w:tc>
        <w:tc>
          <w:tcPr>
            <w:tcW w:w="305" w:type="pct"/>
            <w:tcBorders>
              <w:bottom w:val="single" w:sz="4" w:space="0" w:color="auto"/>
            </w:tcBorders>
            <w:shd w:val="clear" w:color="auto" w:fill="auto"/>
            <w:noWrap/>
            <w:vAlign w:val="center"/>
            <w:hideMark/>
          </w:tcPr>
          <w:p w:rsidR="00A41AD7" w:rsidRPr="00DF6B0C" w:rsidRDefault="00A41AD7" w:rsidP="00E7317C">
            <w:pPr>
              <w:jc w:val="center"/>
              <w:rPr>
                <w:b/>
                <w:bCs/>
                <w:spacing w:val="-20"/>
                <w:sz w:val="18"/>
                <w:szCs w:val="18"/>
              </w:rPr>
            </w:pPr>
            <w:r w:rsidRPr="00DF6B0C">
              <w:rPr>
                <w:b/>
                <w:bCs/>
                <w:spacing w:val="-20"/>
                <w:sz w:val="18"/>
                <w:szCs w:val="18"/>
              </w:rPr>
              <w:t>1 375 208</w:t>
            </w:r>
          </w:p>
        </w:tc>
        <w:tc>
          <w:tcPr>
            <w:tcW w:w="230" w:type="pct"/>
            <w:tcBorders>
              <w:bottom w:val="single" w:sz="4" w:space="0" w:color="auto"/>
            </w:tcBorders>
            <w:shd w:val="clear" w:color="auto" w:fill="auto"/>
            <w:noWrap/>
            <w:vAlign w:val="center"/>
            <w:hideMark/>
          </w:tcPr>
          <w:p w:rsidR="00A41AD7" w:rsidRPr="00DF6B0C" w:rsidRDefault="00A41AD7" w:rsidP="00E7317C">
            <w:pPr>
              <w:jc w:val="center"/>
              <w:rPr>
                <w:b/>
                <w:bCs/>
                <w:color w:val="000000"/>
                <w:spacing w:val="-20"/>
                <w:sz w:val="18"/>
                <w:szCs w:val="18"/>
              </w:rPr>
            </w:pPr>
            <w:r w:rsidRPr="00DF6B0C">
              <w:rPr>
                <w:b/>
                <w:bCs/>
                <w:color w:val="000000"/>
                <w:spacing w:val="-20"/>
                <w:sz w:val="18"/>
                <w:szCs w:val="18"/>
              </w:rPr>
              <w:t>102,8</w:t>
            </w:r>
          </w:p>
        </w:tc>
        <w:tc>
          <w:tcPr>
            <w:tcW w:w="340" w:type="pct"/>
            <w:tcBorders>
              <w:bottom w:val="single" w:sz="4" w:space="0" w:color="auto"/>
            </w:tcBorders>
            <w:shd w:val="clear" w:color="auto" w:fill="auto"/>
            <w:noWrap/>
            <w:vAlign w:val="center"/>
            <w:hideMark/>
          </w:tcPr>
          <w:p w:rsidR="00A41AD7" w:rsidRPr="00DF6B0C" w:rsidRDefault="00A41AD7" w:rsidP="00E7317C">
            <w:pPr>
              <w:jc w:val="center"/>
              <w:rPr>
                <w:b/>
                <w:bCs/>
                <w:spacing w:val="-20"/>
                <w:sz w:val="18"/>
                <w:szCs w:val="18"/>
              </w:rPr>
            </w:pPr>
            <w:r w:rsidRPr="00DF6B0C">
              <w:rPr>
                <w:b/>
                <w:bCs/>
                <w:spacing w:val="-20"/>
                <w:sz w:val="18"/>
                <w:szCs w:val="18"/>
              </w:rPr>
              <w:t>1 412 700</w:t>
            </w:r>
          </w:p>
        </w:tc>
        <w:tc>
          <w:tcPr>
            <w:tcW w:w="282" w:type="pct"/>
            <w:tcBorders>
              <w:bottom w:val="single" w:sz="4" w:space="0" w:color="auto"/>
            </w:tcBorders>
            <w:shd w:val="clear" w:color="auto" w:fill="auto"/>
            <w:noWrap/>
            <w:vAlign w:val="center"/>
            <w:hideMark/>
          </w:tcPr>
          <w:p w:rsidR="00A41AD7" w:rsidRPr="00DF6B0C" w:rsidRDefault="00A41AD7" w:rsidP="00E7317C">
            <w:pPr>
              <w:jc w:val="center"/>
              <w:rPr>
                <w:b/>
                <w:bCs/>
                <w:color w:val="000000"/>
                <w:spacing w:val="-20"/>
                <w:sz w:val="18"/>
                <w:szCs w:val="18"/>
              </w:rPr>
            </w:pPr>
            <w:r w:rsidRPr="00DF6B0C">
              <w:rPr>
                <w:b/>
                <w:bCs/>
                <w:color w:val="000000"/>
                <w:spacing w:val="-20"/>
                <w:sz w:val="18"/>
                <w:szCs w:val="18"/>
              </w:rPr>
              <w:t>102,7</w:t>
            </w:r>
          </w:p>
        </w:tc>
      </w:tr>
      <w:tr w:rsidR="00A41AD7" w:rsidRPr="00DF6B0C" w:rsidTr="00E7317C">
        <w:trPr>
          <w:trHeight w:val="475"/>
        </w:trPr>
        <w:tc>
          <w:tcPr>
            <w:tcW w:w="3260" w:type="pct"/>
            <w:gridSpan w:val="10"/>
            <w:tcBorders>
              <w:top w:val="single" w:sz="4" w:space="0" w:color="auto"/>
              <w:left w:val="nil"/>
              <w:bottom w:val="nil"/>
              <w:right w:val="nil"/>
            </w:tcBorders>
            <w:shd w:val="clear" w:color="auto" w:fill="auto"/>
            <w:vAlign w:val="center"/>
            <w:hideMark/>
          </w:tcPr>
          <w:p w:rsidR="00A41AD7" w:rsidRPr="00DF6B0C" w:rsidRDefault="00A41AD7" w:rsidP="00E7317C">
            <w:pPr>
              <w:rPr>
                <w:i/>
                <w:iCs/>
                <w:color w:val="000000"/>
                <w:sz w:val="18"/>
                <w:szCs w:val="18"/>
              </w:rPr>
            </w:pPr>
            <w:r w:rsidRPr="00DF6B0C">
              <w:rPr>
                <w:i/>
                <w:iCs/>
                <w:color w:val="000000"/>
                <w:sz w:val="18"/>
                <w:szCs w:val="18"/>
              </w:rPr>
              <w:t>*Количество по виду объекта "Иные водные транспортные средства" на 2021-2024 года принято на уровне 2020 года.</w:t>
            </w:r>
          </w:p>
        </w:tc>
        <w:tc>
          <w:tcPr>
            <w:tcW w:w="318" w:type="pct"/>
            <w:tcBorders>
              <w:top w:val="single" w:sz="4" w:space="0" w:color="auto"/>
              <w:left w:val="nil"/>
              <w:bottom w:val="nil"/>
              <w:right w:val="nil"/>
            </w:tcBorders>
            <w:shd w:val="clear" w:color="auto" w:fill="auto"/>
            <w:noWrap/>
            <w:vAlign w:val="bottom"/>
            <w:hideMark/>
          </w:tcPr>
          <w:p w:rsidR="00A41AD7" w:rsidRPr="00DF6B0C" w:rsidRDefault="00A41AD7" w:rsidP="00E7317C">
            <w:pPr>
              <w:rPr>
                <w:i/>
                <w:iCs/>
                <w:color w:val="000000"/>
                <w:sz w:val="18"/>
                <w:szCs w:val="18"/>
              </w:rPr>
            </w:pPr>
          </w:p>
        </w:tc>
        <w:tc>
          <w:tcPr>
            <w:tcW w:w="265" w:type="pct"/>
            <w:tcBorders>
              <w:top w:val="single" w:sz="4" w:space="0" w:color="auto"/>
              <w:left w:val="nil"/>
              <w:bottom w:val="nil"/>
              <w:right w:val="nil"/>
            </w:tcBorders>
            <w:shd w:val="clear" w:color="auto" w:fill="auto"/>
            <w:noWrap/>
            <w:vAlign w:val="bottom"/>
            <w:hideMark/>
          </w:tcPr>
          <w:p w:rsidR="00A41AD7" w:rsidRPr="00DF6B0C" w:rsidRDefault="00A41AD7" w:rsidP="00E7317C">
            <w:pPr>
              <w:rPr>
                <w:sz w:val="18"/>
                <w:szCs w:val="18"/>
              </w:rPr>
            </w:pPr>
          </w:p>
        </w:tc>
        <w:tc>
          <w:tcPr>
            <w:tcW w:w="305" w:type="pct"/>
            <w:tcBorders>
              <w:top w:val="single" w:sz="4" w:space="0" w:color="auto"/>
              <w:left w:val="nil"/>
              <w:bottom w:val="nil"/>
              <w:right w:val="nil"/>
            </w:tcBorders>
            <w:shd w:val="clear" w:color="auto" w:fill="auto"/>
            <w:noWrap/>
            <w:vAlign w:val="bottom"/>
            <w:hideMark/>
          </w:tcPr>
          <w:p w:rsidR="00A41AD7" w:rsidRPr="00DF6B0C" w:rsidRDefault="00A41AD7" w:rsidP="00E7317C">
            <w:pPr>
              <w:rPr>
                <w:sz w:val="18"/>
                <w:szCs w:val="18"/>
              </w:rPr>
            </w:pPr>
          </w:p>
        </w:tc>
        <w:tc>
          <w:tcPr>
            <w:tcW w:w="230" w:type="pct"/>
            <w:tcBorders>
              <w:top w:val="single" w:sz="4" w:space="0" w:color="auto"/>
              <w:left w:val="nil"/>
              <w:bottom w:val="nil"/>
              <w:right w:val="nil"/>
            </w:tcBorders>
            <w:shd w:val="clear" w:color="auto" w:fill="auto"/>
            <w:noWrap/>
            <w:vAlign w:val="bottom"/>
            <w:hideMark/>
          </w:tcPr>
          <w:p w:rsidR="00A41AD7" w:rsidRPr="00DF6B0C" w:rsidRDefault="00A41AD7" w:rsidP="00E7317C">
            <w:pPr>
              <w:rPr>
                <w:sz w:val="18"/>
                <w:szCs w:val="18"/>
              </w:rPr>
            </w:pPr>
          </w:p>
        </w:tc>
        <w:tc>
          <w:tcPr>
            <w:tcW w:w="340" w:type="pct"/>
            <w:tcBorders>
              <w:top w:val="single" w:sz="4" w:space="0" w:color="auto"/>
              <w:left w:val="nil"/>
              <w:bottom w:val="nil"/>
              <w:right w:val="nil"/>
            </w:tcBorders>
            <w:shd w:val="clear" w:color="auto" w:fill="auto"/>
            <w:noWrap/>
            <w:vAlign w:val="bottom"/>
            <w:hideMark/>
          </w:tcPr>
          <w:p w:rsidR="00A41AD7" w:rsidRPr="00DF6B0C" w:rsidRDefault="00A41AD7" w:rsidP="00E7317C">
            <w:pPr>
              <w:rPr>
                <w:sz w:val="18"/>
                <w:szCs w:val="18"/>
              </w:rPr>
            </w:pPr>
          </w:p>
        </w:tc>
        <w:tc>
          <w:tcPr>
            <w:tcW w:w="282" w:type="pct"/>
            <w:tcBorders>
              <w:top w:val="single" w:sz="4" w:space="0" w:color="auto"/>
              <w:left w:val="nil"/>
              <w:bottom w:val="nil"/>
              <w:right w:val="nil"/>
            </w:tcBorders>
            <w:shd w:val="clear" w:color="auto" w:fill="auto"/>
            <w:noWrap/>
            <w:vAlign w:val="bottom"/>
            <w:hideMark/>
          </w:tcPr>
          <w:p w:rsidR="00A41AD7" w:rsidRPr="00DF6B0C" w:rsidRDefault="00A41AD7" w:rsidP="00E7317C">
            <w:pPr>
              <w:rPr>
                <w:sz w:val="18"/>
                <w:szCs w:val="18"/>
              </w:rPr>
            </w:pPr>
          </w:p>
        </w:tc>
      </w:tr>
    </w:tbl>
    <w:p w:rsidR="00A41AD7" w:rsidRPr="004C1658" w:rsidRDefault="00A41AD7" w:rsidP="00A41AD7">
      <w:pPr>
        <w:ind w:firstLine="709"/>
        <w:jc w:val="both"/>
        <w:rPr>
          <w:sz w:val="28"/>
          <w:szCs w:val="28"/>
        </w:rPr>
      </w:pPr>
    </w:p>
    <w:p w:rsidR="00A41AD7" w:rsidRPr="004C1658" w:rsidRDefault="00A41AD7" w:rsidP="00A41AD7">
      <w:pPr>
        <w:ind w:firstLine="709"/>
        <w:jc w:val="both"/>
        <w:rPr>
          <w:sz w:val="28"/>
          <w:szCs w:val="28"/>
        </w:rPr>
      </w:pPr>
      <w:r w:rsidRPr="004C1658">
        <w:rPr>
          <w:b/>
          <w:sz w:val="28"/>
          <w:szCs w:val="28"/>
        </w:rPr>
        <w:t>Прогноз транспортного налога составит:</w:t>
      </w:r>
    </w:p>
    <w:p w:rsidR="00A41AD7" w:rsidRPr="004C1658" w:rsidRDefault="00A41AD7" w:rsidP="00A41AD7">
      <w:pPr>
        <w:ind w:firstLine="709"/>
        <w:jc w:val="both"/>
        <w:rPr>
          <w:sz w:val="28"/>
          <w:szCs w:val="28"/>
        </w:rPr>
      </w:pPr>
      <w:r w:rsidRPr="004C1658">
        <w:rPr>
          <w:b/>
          <w:sz w:val="28"/>
          <w:szCs w:val="28"/>
        </w:rPr>
        <w:t>на 2022 год</w:t>
      </w:r>
      <w:r w:rsidRPr="004C1658">
        <w:rPr>
          <w:sz w:val="28"/>
          <w:szCs w:val="28"/>
        </w:rPr>
        <w:t xml:space="preserve"> – </w:t>
      </w:r>
      <w:r w:rsidRPr="004C1658">
        <w:rPr>
          <w:b/>
          <w:sz w:val="28"/>
          <w:szCs w:val="28"/>
        </w:rPr>
        <w:t>1 620 791,0 тыс. рублей</w:t>
      </w:r>
      <w:r w:rsidRPr="004C1658">
        <w:rPr>
          <w:sz w:val="28"/>
          <w:szCs w:val="28"/>
        </w:rPr>
        <w:t xml:space="preserve"> (282 414,0+ 1 338 377,0);</w:t>
      </w:r>
    </w:p>
    <w:p w:rsidR="00A41AD7" w:rsidRPr="004C1658" w:rsidRDefault="00A41AD7" w:rsidP="00A41AD7">
      <w:pPr>
        <w:ind w:firstLine="709"/>
        <w:jc w:val="both"/>
        <w:rPr>
          <w:sz w:val="28"/>
          <w:szCs w:val="28"/>
        </w:rPr>
      </w:pPr>
      <w:r w:rsidRPr="004C1658">
        <w:rPr>
          <w:b/>
          <w:sz w:val="28"/>
          <w:szCs w:val="28"/>
        </w:rPr>
        <w:t xml:space="preserve">на 2023 год – 1 681 568,0 тыс. рублей </w:t>
      </w:r>
      <w:r w:rsidRPr="004C1658">
        <w:rPr>
          <w:sz w:val="28"/>
          <w:szCs w:val="28"/>
        </w:rPr>
        <w:t>(306 360,0 + 1 375 208,0);</w:t>
      </w:r>
    </w:p>
    <w:p w:rsidR="00A41AD7" w:rsidRPr="004C1658" w:rsidRDefault="00A41AD7" w:rsidP="00A41AD7">
      <w:pPr>
        <w:ind w:firstLine="709"/>
        <w:jc w:val="both"/>
        <w:rPr>
          <w:sz w:val="28"/>
          <w:szCs w:val="28"/>
        </w:rPr>
      </w:pPr>
      <w:r w:rsidRPr="004C1658">
        <w:rPr>
          <w:b/>
          <w:sz w:val="28"/>
          <w:szCs w:val="28"/>
        </w:rPr>
        <w:t xml:space="preserve">на 2024 год – 1 750 500,0 тыс. рублей </w:t>
      </w:r>
      <w:r w:rsidRPr="004C1658">
        <w:rPr>
          <w:sz w:val="28"/>
          <w:szCs w:val="28"/>
        </w:rPr>
        <w:t>(337 800,0 + 1 412 700,0).</w:t>
      </w:r>
    </w:p>
    <w:p w:rsidR="00A41AD7" w:rsidRPr="000C7712" w:rsidRDefault="00A41AD7" w:rsidP="00A41AD7">
      <w:pPr>
        <w:ind w:firstLine="709"/>
        <w:jc w:val="both"/>
        <w:rPr>
          <w:color w:val="FF0000"/>
          <w:sz w:val="28"/>
          <w:szCs w:val="28"/>
        </w:rPr>
      </w:pPr>
    </w:p>
    <w:p w:rsidR="002C0953" w:rsidRDefault="002C0953" w:rsidP="00F242F4">
      <w:pPr>
        <w:ind w:firstLine="709"/>
        <w:jc w:val="both"/>
        <w:rPr>
          <w:color w:val="FF0000"/>
          <w:sz w:val="28"/>
          <w:szCs w:val="28"/>
          <w:highlight w:val="red"/>
        </w:rPr>
      </w:pPr>
    </w:p>
    <w:p w:rsidR="00A41AD7" w:rsidRDefault="00A41AD7" w:rsidP="00F242F4">
      <w:pPr>
        <w:ind w:firstLine="709"/>
        <w:jc w:val="both"/>
        <w:rPr>
          <w:color w:val="FF0000"/>
          <w:sz w:val="28"/>
          <w:szCs w:val="28"/>
          <w:highlight w:val="red"/>
        </w:rPr>
      </w:pPr>
    </w:p>
    <w:p w:rsidR="00A41AD7" w:rsidRDefault="00A41AD7" w:rsidP="00F242F4">
      <w:pPr>
        <w:ind w:firstLine="709"/>
        <w:jc w:val="both"/>
        <w:rPr>
          <w:color w:val="FF0000"/>
          <w:sz w:val="28"/>
          <w:szCs w:val="28"/>
          <w:highlight w:val="red"/>
        </w:rPr>
      </w:pPr>
    </w:p>
    <w:p w:rsidR="00A41AD7" w:rsidRPr="000C7712" w:rsidRDefault="00A41AD7" w:rsidP="00F242F4">
      <w:pPr>
        <w:ind w:firstLine="709"/>
        <w:jc w:val="both"/>
        <w:rPr>
          <w:color w:val="FF0000"/>
          <w:sz w:val="28"/>
          <w:szCs w:val="28"/>
          <w:highlight w:val="red"/>
        </w:rPr>
      </w:pPr>
    </w:p>
    <w:p w:rsidR="00206496" w:rsidRPr="000C7712" w:rsidRDefault="00206496" w:rsidP="00A41AD7">
      <w:pPr>
        <w:jc w:val="both"/>
        <w:rPr>
          <w:color w:val="FF0000"/>
          <w:sz w:val="28"/>
          <w:szCs w:val="28"/>
          <w:highlight w:val="red"/>
        </w:rPr>
        <w:sectPr w:rsidR="00206496" w:rsidRPr="000C7712" w:rsidSect="00A41AD7">
          <w:pgSz w:w="23808" w:h="16840" w:orient="landscape" w:code="8"/>
          <w:pgMar w:top="1701" w:right="1134" w:bottom="851" w:left="1134" w:header="709" w:footer="709" w:gutter="0"/>
          <w:cols w:space="708"/>
          <w:docGrid w:linePitch="360"/>
        </w:sectPr>
      </w:pPr>
    </w:p>
    <w:p w:rsidR="006A79A2" w:rsidRPr="003C5B97" w:rsidRDefault="006A79A2" w:rsidP="006A79A2">
      <w:pPr>
        <w:pStyle w:val="21"/>
        <w:jc w:val="center"/>
        <w:rPr>
          <w:b/>
          <w:color w:val="000000" w:themeColor="text1"/>
        </w:rPr>
      </w:pPr>
      <w:r w:rsidRPr="003C5B97">
        <w:rPr>
          <w:b/>
          <w:color w:val="000000" w:themeColor="text1"/>
        </w:rPr>
        <w:lastRenderedPageBreak/>
        <w:t>Налог на игорный бизнес</w:t>
      </w:r>
    </w:p>
    <w:p w:rsidR="00CE3DAB" w:rsidRPr="003C5B97" w:rsidRDefault="006A79A2" w:rsidP="006A79A2">
      <w:pPr>
        <w:pStyle w:val="21"/>
        <w:ind w:firstLine="0"/>
        <w:jc w:val="center"/>
        <w:rPr>
          <w:b/>
          <w:color w:val="000000" w:themeColor="text1"/>
        </w:rPr>
      </w:pPr>
      <w:r w:rsidRPr="003C5B97">
        <w:rPr>
          <w:b/>
          <w:color w:val="000000" w:themeColor="text1"/>
        </w:rPr>
        <w:t>(000 1 06 05000 02 0000 110)</w:t>
      </w:r>
    </w:p>
    <w:p w:rsidR="006A79A2" w:rsidRPr="003C5B97" w:rsidRDefault="006A79A2" w:rsidP="006A79A2">
      <w:pPr>
        <w:pStyle w:val="21"/>
        <w:ind w:firstLine="0"/>
        <w:jc w:val="center"/>
        <w:rPr>
          <w:b/>
          <w:color w:val="000000" w:themeColor="text1"/>
        </w:rPr>
      </w:pPr>
    </w:p>
    <w:p w:rsidR="00DC24DD" w:rsidRPr="00DC24DD" w:rsidRDefault="00DC24DD" w:rsidP="00DC24DD">
      <w:pPr>
        <w:pStyle w:val="21"/>
        <w:rPr>
          <w:color w:val="000000" w:themeColor="text1"/>
        </w:rPr>
      </w:pPr>
      <w:r w:rsidRPr="00DC24DD">
        <w:rPr>
          <w:color w:val="000000" w:themeColor="text1"/>
        </w:rPr>
        <w:t>Поступление налога на игорный бизнес в областной бюджет Тверской области на 2022 - 2024 годы прогнозируется по 2 016 тыс. руб.</w:t>
      </w:r>
      <w:r w:rsidR="00A951D9">
        <w:rPr>
          <w:color w:val="000000" w:themeColor="text1"/>
        </w:rPr>
        <w:t xml:space="preserve"> ежегодно.</w:t>
      </w:r>
    </w:p>
    <w:p w:rsidR="00DC24DD" w:rsidRPr="00DC24DD" w:rsidRDefault="00DC24DD" w:rsidP="00DC24DD">
      <w:pPr>
        <w:pStyle w:val="21"/>
        <w:rPr>
          <w:color w:val="000000" w:themeColor="text1"/>
        </w:rPr>
      </w:pPr>
      <w:r w:rsidRPr="00DC24DD">
        <w:rPr>
          <w:color w:val="000000" w:themeColor="text1"/>
        </w:rPr>
        <w:t xml:space="preserve">Расчет прогноза налога на игорный бизнес составлен Управлением Федеральной налоговой службы по Тверской области (главным администратором доходов бюджета) в соответствии с главой 29 «Налог на игорный бизнес» части второй Налогового кодекса Российской Федерации исходя из планируемого Управлением Федеральной налоговой службы по Тверской области количества объектов налогообложения по видам (по данным отчета формы № 5-ИБ «О налоговой базе и структуре начислений по налогу на игорный бизнес» за 2020 год (далее </w:t>
      </w:r>
      <w:r w:rsidR="00E17E99">
        <w:rPr>
          <w:color w:val="000000" w:themeColor="text1"/>
        </w:rPr>
        <w:t xml:space="preserve">- </w:t>
      </w:r>
      <w:r w:rsidRPr="00DC24DD">
        <w:rPr>
          <w:color w:val="000000" w:themeColor="text1"/>
        </w:rPr>
        <w:t xml:space="preserve">отчет формы № 5-ИБ) объектами налогообложения </w:t>
      </w:r>
      <w:r w:rsidR="00E17E99">
        <w:rPr>
          <w:color w:val="000000" w:themeColor="text1"/>
        </w:rPr>
        <w:t xml:space="preserve">на территории Тверской области </w:t>
      </w:r>
      <w:r w:rsidRPr="00DC24DD">
        <w:rPr>
          <w:color w:val="000000" w:themeColor="text1"/>
        </w:rPr>
        <w:t>являются только пункты приема ставок букмекерских контор исходя из чего, прогноз поступления налога на игорный бизнес выполнен по данному виду объекта налогообложения</w:t>
      </w:r>
      <w:r w:rsidR="00E17E99">
        <w:rPr>
          <w:color w:val="000000" w:themeColor="text1"/>
        </w:rPr>
        <w:t>)</w:t>
      </w:r>
      <w:r w:rsidRPr="00DC24DD">
        <w:rPr>
          <w:color w:val="000000" w:themeColor="text1"/>
        </w:rPr>
        <w:t>. По данным отчета формы № 5-ИБ по итогам 2020 года количество пунктов приема ставок букмекерских контор на территории Тверской области составило 12 единиц. По состоянию на 01.07.2021 количество объектов налогообложения на территории Тверской области сохраняется на том же уровне.</w:t>
      </w:r>
    </w:p>
    <w:p w:rsidR="002217A6" w:rsidRDefault="005C0378" w:rsidP="00DC24DD">
      <w:pPr>
        <w:pStyle w:val="21"/>
        <w:ind w:firstLine="0"/>
        <w:rPr>
          <w:color w:val="000000" w:themeColor="text1"/>
        </w:rPr>
      </w:pPr>
      <w:r>
        <w:rPr>
          <w:color w:val="000000" w:themeColor="text1"/>
        </w:rPr>
        <w:t xml:space="preserve">         </w:t>
      </w:r>
      <w:r w:rsidR="00DC24DD" w:rsidRPr="00DC24DD">
        <w:rPr>
          <w:color w:val="000000" w:themeColor="text1"/>
        </w:rPr>
        <w:t xml:space="preserve">Прогноз поступлений налога на игорный бизнес на 2022 - 2024 годы произведён исходя из количества объектов налогообложения – 12 единиц, налоговой ставки, установленной для соответствующего объекта налогообложения законом Тверской области от 27.11.2003 № 80-ЗО «О ставках налога на игорный бизнес» (в редакции Закона Тверской области от 22.02.2018 </w:t>
      </w:r>
      <w:r>
        <w:rPr>
          <w:color w:val="000000" w:themeColor="text1"/>
        </w:rPr>
        <w:t xml:space="preserve">      </w:t>
      </w:r>
      <w:r w:rsidR="00DC24DD" w:rsidRPr="00DC24DD">
        <w:rPr>
          <w:color w:val="000000" w:themeColor="text1"/>
        </w:rPr>
        <w:t>№ 5-ЗО «О внесении изменения в статью 1 закона Тверской области «О ставках налога на игорный бизнес») и периода налогообложения налогом на игорный бизнес. Собираемость налога на игорный бизнес принята 100 процентов.</w:t>
      </w:r>
    </w:p>
    <w:p w:rsidR="00DC24DD" w:rsidRDefault="00DC24DD" w:rsidP="00DC24DD">
      <w:pPr>
        <w:pStyle w:val="21"/>
        <w:ind w:firstLine="0"/>
        <w:rPr>
          <w:color w:val="000000" w:themeColor="text1"/>
        </w:rPr>
      </w:pPr>
    </w:p>
    <w:p w:rsidR="00DC24DD" w:rsidRPr="00DC24DD" w:rsidRDefault="00DC24DD" w:rsidP="00DC24DD">
      <w:pPr>
        <w:pStyle w:val="21"/>
        <w:jc w:val="center"/>
        <w:rPr>
          <w:color w:val="000000" w:themeColor="text1"/>
        </w:rPr>
      </w:pPr>
      <w:r w:rsidRPr="00DC24DD">
        <w:rPr>
          <w:color w:val="000000" w:themeColor="text1"/>
        </w:rPr>
        <w:t>Расчет поступления налога на игорный бизнес</w:t>
      </w:r>
    </w:p>
    <w:p w:rsidR="002217A6" w:rsidRDefault="00DC24DD" w:rsidP="00DC24DD">
      <w:pPr>
        <w:pStyle w:val="21"/>
        <w:ind w:firstLine="0"/>
        <w:jc w:val="center"/>
        <w:rPr>
          <w:color w:val="000000" w:themeColor="text1"/>
        </w:rPr>
      </w:pPr>
      <w:r w:rsidRPr="00DC24DD">
        <w:rPr>
          <w:color w:val="000000" w:themeColor="text1"/>
        </w:rPr>
        <w:t xml:space="preserve">в областной бюджет Тверской области  </w:t>
      </w:r>
    </w:p>
    <w:p w:rsidR="00C72AA2" w:rsidRDefault="00C72AA2" w:rsidP="00C72AA2">
      <w:pPr>
        <w:pStyle w:val="21"/>
        <w:jc w:val="center"/>
        <w:rPr>
          <w:color w:val="000000" w:themeColor="text1"/>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1"/>
        <w:gridCol w:w="1417"/>
        <w:gridCol w:w="1418"/>
      </w:tblGrid>
      <w:tr w:rsidR="00DC24DD" w:rsidRPr="001C023D" w:rsidTr="00E7317C">
        <w:trPr>
          <w:cantSplit/>
          <w:tblHeader/>
        </w:trPr>
        <w:tc>
          <w:tcPr>
            <w:tcW w:w="6521" w:type="dxa"/>
            <w:vAlign w:val="center"/>
          </w:tcPr>
          <w:p w:rsidR="00DC24DD" w:rsidRPr="001C023D" w:rsidRDefault="00DC24DD" w:rsidP="00E7317C">
            <w:pPr>
              <w:jc w:val="center"/>
            </w:pPr>
            <w:r w:rsidRPr="001C023D">
              <w:t>Наименование показателей</w:t>
            </w:r>
          </w:p>
        </w:tc>
        <w:tc>
          <w:tcPr>
            <w:tcW w:w="1417" w:type="dxa"/>
          </w:tcPr>
          <w:p w:rsidR="00DC24DD" w:rsidRPr="001C023D" w:rsidRDefault="00DC24DD" w:rsidP="00E7317C">
            <w:pPr>
              <w:jc w:val="center"/>
            </w:pPr>
            <w:r w:rsidRPr="001C023D">
              <w:t xml:space="preserve">Единица </w:t>
            </w:r>
          </w:p>
          <w:p w:rsidR="00DC24DD" w:rsidRPr="001C023D" w:rsidRDefault="00DC24DD" w:rsidP="00E7317C">
            <w:pPr>
              <w:jc w:val="center"/>
            </w:pPr>
            <w:r w:rsidRPr="001C023D">
              <w:t>измерения</w:t>
            </w:r>
          </w:p>
        </w:tc>
        <w:tc>
          <w:tcPr>
            <w:tcW w:w="1418" w:type="dxa"/>
            <w:vAlign w:val="center"/>
          </w:tcPr>
          <w:p w:rsidR="00DC24DD" w:rsidRPr="001C023D" w:rsidRDefault="00DC24DD" w:rsidP="00E7317C">
            <w:pPr>
              <w:jc w:val="center"/>
              <w:rPr>
                <w:i/>
              </w:rPr>
            </w:pPr>
            <w:r>
              <w:t xml:space="preserve">Сумма </w:t>
            </w:r>
          </w:p>
        </w:tc>
      </w:tr>
      <w:tr w:rsidR="00DC24DD" w:rsidRPr="001C023D" w:rsidTr="00E7317C">
        <w:trPr>
          <w:trHeight w:val="353"/>
        </w:trPr>
        <w:tc>
          <w:tcPr>
            <w:tcW w:w="6521" w:type="dxa"/>
          </w:tcPr>
          <w:p w:rsidR="00DC24DD" w:rsidRDefault="00DC24DD" w:rsidP="00E7317C">
            <w:r>
              <w:t>1. Планируемое к</w:t>
            </w:r>
            <w:r w:rsidRPr="001C023D">
              <w:t xml:space="preserve">оличество объектов налогообложения </w:t>
            </w:r>
            <w:r>
              <w:t xml:space="preserve">- </w:t>
            </w:r>
            <w:r w:rsidRPr="001C023D">
              <w:t>пункт</w:t>
            </w:r>
            <w:r>
              <w:t>ов</w:t>
            </w:r>
            <w:r w:rsidRPr="001C023D">
              <w:t xml:space="preserve"> приема ставок букмекерской конторы</w:t>
            </w:r>
            <w:r>
              <w:t xml:space="preserve">:  </w:t>
            </w:r>
          </w:p>
          <w:p w:rsidR="00DC24DD" w:rsidRDefault="00DC24DD" w:rsidP="00E7317C">
            <w:r>
              <w:t>а) на 2022 год</w:t>
            </w:r>
          </w:p>
          <w:p w:rsidR="00DC24DD" w:rsidRDefault="00DC24DD" w:rsidP="00E7317C">
            <w:r>
              <w:t>б) на 2023 год</w:t>
            </w:r>
          </w:p>
          <w:p w:rsidR="00DC24DD" w:rsidRPr="001C023D" w:rsidRDefault="00DC24DD" w:rsidP="00E7317C">
            <w:r>
              <w:t>в) на 2024 год</w:t>
            </w:r>
          </w:p>
        </w:tc>
        <w:tc>
          <w:tcPr>
            <w:tcW w:w="1417" w:type="dxa"/>
          </w:tcPr>
          <w:p w:rsidR="00DC24DD" w:rsidRDefault="00DC24DD" w:rsidP="00E7317C">
            <w:pPr>
              <w:jc w:val="center"/>
            </w:pPr>
          </w:p>
          <w:p w:rsidR="00DC24DD" w:rsidRDefault="00DC24DD" w:rsidP="00E7317C">
            <w:pPr>
              <w:jc w:val="center"/>
            </w:pPr>
          </w:p>
          <w:p w:rsidR="00DC24DD" w:rsidRDefault="00DC24DD" w:rsidP="00E7317C">
            <w:pPr>
              <w:jc w:val="center"/>
            </w:pPr>
            <w:r>
              <w:t xml:space="preserve">ед. </w:t>
            </w:r>
          </w:p>
          <w:p w:rsidR="00DC24DD" w:rsidRDefault="00DC24DD" w:rsidP="00E7317C">
            <w:pPr>
              <w:jc w:val="center"/>
            </w:pPr>
            <w:r>
              <w:t>ед.</w:t>
            </w:r>
          </w:p>
          <w:p w:rsidR="00DC24DD" w:rsidRPr="001C023D" w:rsidRDefault="00DC24DD" w:rsidP="00E7317C">
            <w:pPr>
              <w:jc w:val="center"/>
            </w:pPr>
            <w:r>
              <w:t>ед.</w:t>
            </w:r>
          </w:p>
        </w:tc>
        <w:tc>
          <w:tcPr>
            <w:tcW w:w="1418" w:type="dxa"/>
          </w:tcPr>
          <w:p w:rsidR="00DC24DD" w:rsidRDefault="00DC24DD" w:rsidP="00E7317C">
            <w:pPr>
              <w:jc w:val="center"/>
            </w:pPr>
          </w:p>
          <w:p w:rsidR="00DC24DD" w:rsidRDefault="00DC24DD" w:rsidP="00E7317C">
            <w:pPr>
              <w:jc w:val="center"/>
            </w:pPr>
          </w:p>
          <w:p w:rsidR="00DC24DD" w:rsidRDefault="00DC24DD" w:rsidP="00E7317C">
            <w:pPr>
              <w:jc w:val="center"/>
            </w:pPr>
            <w:r>
              <w:t>12</w:t>
            </w:r>
          </w:p>
          <w:p w:rsidR="00DC24DD" w:rsidRDefault="00DC24DD" w:rsidP="00E7317C">
            <w:pPr>
              <w:jc w:val="center"/>
            </w:pPr>
            <w:r>
              <w:t>12</w:t>
            </w:r>
          </w:p>
          <w:p w:rsidR="00DC24DD" w:rsidRPr="001C023D" w:rsidRDefault="00DC24DD" w:rsidP="00E7317C">
            <w:pPr>
              <w:jc w:val="center"/>
            </w:pPr>
            <w:r>
              <w:t>12</w:t>
            </w:r>
          </w:p>
        </w:tc>
      </w:tr>
      <w:tr w:rsidR="00DC24DD" w:rsidRPr="001C023D" w:rsidTr="00E7317C">
        <w:trPr>
          <w:trHeight w:val="699"/>
        </w:trPr>
        <w:tc>
          <w:tcPr>
            <w:tcW w:w="6521" w:type="dxa"/>
          </w:tcPr>
          <w:p w:rsidR="00DC24DD" w:rsidRDefault="00DC24DD" w:rsidP="00E7317C">
            <w:pPr>
              <w:autoSpaceDE w:val="0"/>
              <w:autoSpaceDN w:val="0"/>
              <w:adjustRightInd w:val="0"/>
              <w:jc w:val="both"/>
            </w:pPr>
            <w:r>
              <w:t>2. Размер налоговой ставки</w:t>
            </w:r>
            <w:r w:rsidRPr="00CC480A">
              <w:t xml:space="preserve"> по налогу на игорный бизнес за один пункт приема ставок букмекерской конторы</w:t>
            </w:r>
          </w:p>
        </w:tc>
        <w:tc>
          <w:tcPr>
            <w:tcW w:w="1417" w:type="dxa"/>
          </w:tcPr>
          <w:p w:rsidR="00DC24DD" w:rsidRPr="001C023D" w:rsidRDefault="00DC24DD" w:rsidP="00E7317C">
            <w:pPr>
              <w:jc w:val="center"/>
            </w:pPr>
            <w:r>
              <w:t>тыс. руб. в месяц</w:t>
            </w:r>
          </w:p>
        </w:tc>
        <w:tc>
          <w:tcPr>
            <w:tcW w:w="1418" w:type="dxa"/>
          </w:tcPr>
          <w:p w:rsidR="00DC24DD" w:rsidRDefault="00DC24DD" w:rsidP="00E7317C">
            <w:pPr>
              <w:jc w:val="center"/>
            </w:pPr>
            <w:r>
              <w:t>14</w:t>
            </w:r>
          </w:p>
        </w:tc>
      </w:tr>
      <w:tr w:rsidR="00DC24DD" w:rsidRPr="001C023D" w:rsidTr="00E7317C">
        <w:trPr>
          <w:trHeight w:val="361"/>
        </w:trPr>
        <w:tc>
          <w:tcPr>
            <w:tcW w:w="6521" w:type="dxa"/>
          </w:tcPr>
          <w:p w:rsidR="00DC24DD" w:rsidRDefault="00DC24DD" w:rsidP="00E7317C">
            <w:r>
              <w:t xml:space="preserve">3. </w:t>
            </w:r>
            <w:r w:rsidRPr="005F082A">
              <w:t>Период налогообложения налогом на игорный бизнес</w:t>
            </w:r>
          </w:p>
        </w:tc>
        <w:tc>
          <w:tcPr>
            <w:tcW w:w="1417" w:type="dxa"/>
          </w:tcPr>
          <w:p w:rsidR="00DC24DD" w:rsidRPr="001C023D" w:rsidRDefault="00DC24DD" w:rsidP="00E7317C">
            <w:pPr>
              <w:jc w:val="center"/>
            </w:pPr>
            <w:r>
              <w:t>месяц</w:t>
            </w:r>
          </w:p>
        </w:tc>
        <w:tc>
          <w:tcPr>
            <w:tcW w:w="1418" w:type="dxa"/>
          </w:tcPr>
          <w:p w:rsidR="00DC24DD" w:rsidRDefault="00DC24DD" w:rsidP="00E7317C">
            <w:pPr>
              <w:jc w:val="center"/>
            </w:pPr>
            <w:r>
              <w:t>12</w:t>
            </w:r>
          </w:p>
        </w:tc>
      </w:tr>
      <w:tr w:rsidR="00DC24DD" w:rsidRPr="001C023D" w:rsidTr="00E7317C">
        <w:tc>
          <w:tcPr>
            <w:tcW w:w="6521" w:type="dxa"/>
          </w:tcPr>
          <w:p w:rsidR="00DC24DD" w:rsidRPr="001C023D" w:rsidRDefault="00DC24DD" w:rsidP="00E7317C">
            <w:r>
              <w:t xml:space="preserve">4.Собираемость налога на игорный бизнес </w:t>
            </w:r>
          </w:p>
          <w:p w:rsidR="00DC24DD" w:rsidRPr="001C023D" w:rsidRDefault="00DC24DD" w:rsidP="00E7317C"/>
        </w:tc>
        <w:tc>
          <w:tcPr>
            <w:tcW w:w="1417" w:type="dxa"/>
          </w:tcPr>
          <w:p w:rsidR="00DC24DD" w:rsidRPr="001C023D" w:rsidRDefault="00DC24DD" w:rsidP="00E7317C">
            <w:pPr>
              <w:jc w:val="center"/>
            </w:pPr>
            <w:r>
              <w:t>%</w:t>
            </w:r>
          </w:p>
        </w:tc>
        <w:tc>
          <w:tcPr>
            <w:tcW w:w="1418" w:type="dxa"/>
          </w:tcPr>
          <w:p w:rsidR="00DC24DD" w:rsidRPr="001C023D" w:rsidRDefault="00DC24DD" w:rsidP="00E7317C">
            <w:pPr>
              <w:jc w:val="center"/>
            </w:pPr>
            <w:r>
              <w:t>100</w:t>
            </w:r>
          </w:p>
        </w:tc>
      </w:tr>
      <w:tr w:rsidR="00DC24DD" w:rsidRPr="001C023D" w:rsidTr="00E7317C">
        <w:tc>
          <w:tcPr>
            <w:tcW w:w="6521" w:type="dxa"/>
          </w:tcPr>
          <w:p w:rsidR="00DC24DD" w:rsidRPr="001C023D" w:rsidRDefault="00DC24DD" w:rsidP="00E7317C">
            <w:r>
              <w:t>5</w:t>
            </w:r>
            <w:r w:rsidRPr="001C023D">
              <w:t>. Прогноз поступления налога на игорный бизнес в областной</w:t>
            </w:r>
            <w:r>
              <w:t xml:space="preserve"> бюджет Тверской области на 2022</w:t>
            </w:r>
            <w:r w:rsidRPr="001C023D">
              <w:t xml:space="preserve"> год </w:t>
            </w:r>
          </w:p>
          <w:p w:rsidR="00DC24DD" w:rsidRPr="001C023D" w:rsidRDefault="00DC24DD" w:rsidP="00E7317C">
            <w:r>
              <w:t xml:space="preserve"> (стр.1 а) х стр.2</w:t>
            </w:r>
            <w:r w:rsidRPr="001C023D">
              <w:t xml:space="preserve"> х стр.</w:t>
            </w:r>
            <w:r>
              <w:t>3 х стр.4</w:t>
            </w:r>
            <w:r w:rsidRPr="001C023D">
              <w:t xml:space="preserve">) </w:t>
            </w:r>
          </w:p>
        </w:tc>
        <w:tc>
          <w:tcPr>
            <w:tcW w:w="1417" w:type="dxa"/>
          </w:tcPr>
          <w:p w:rsidR="00DC24DD" w:rsidRDefault="00DC24DD" w:rsidP="00E7317C">
            <w:pPr>
              <w:jc w:val="center"/>
            </w:pPr>
          </w:p>
          <w:p w:rsidR="00DC24DD" w:rsidRPr="001C023D" w:rsidRDefault="00DC24DD" w:rsidP="00E7317C">
            <w:pPr>
              <w:jc w:val="center"/>
            </w:pPr>
            <w:r w:rsidRPr="001C023D">
              <w:t>тыс. руб.</w:t>
            </w:r>
          </w:p>
        </w:tc>
        <w:tc>
          <w:tcPr>
            <w:tcW w:w="1418" w:type="dxa"/>
          </w:tcPr>
          <w:p w:rsidR="00DC24DD" w:rsidRDefault="00DC24DD" w:rsidP="00E7317C">
            <w:pPr>
              <w:jc w:val="center"/>
            </w:pPr>
          </w:p>
          <w:p w:rsidR="00DC24DD" w:rsidRPr="001C023D" w:rsidRDefault="00DC24DD" w:rsidP="00E7317C">
            <w:pPr>
              <w:jc w:val="center"/>
            </w:pPr>
            <w:r>
              <w:t>2 016</w:t>
            </w:r>
          </w:p>
        </w:tc>
      </w:tr>
      <w:tr w:rsidR="00DC24DD" w:rsidRPr="001C023D" w:rsidTr="00E7317C">
        <w:tc>
          <w:tcPr>
            <w:tcW w:w="6521" w:type="dxa"/>
          </w:tcPr>
          <w:p w:rsidR="00DC24DD" w:rsidRPr="001C023D" w:rsidRDefault="00DC24DD" w:rsidP="00E7317C">
            <w:r>
              <w:lastRenderedPageBreak/>
              <w:t>6</w:t>
            </w:r>
            <w:r w:rsidRPr="001C023D">
              <w:t>. Прогноз поступления налога на игорный бизнес в областной</w:t>
            </w:r>
            <w:r>
              <w:t xml:space="preserve"> бюджет Тверской области на 2023</w:t>
            </w:r>
            <w:r w:rsidRPr="001C023D">
              <w:t xml:space="preserve"> год </w:t>
            </w:r>
          </w:p>
          <w:p w:rsidR="00DC24DD" w:rsidRPr="001C023D" w:rsidRDefault="00DC24DD" w:rsidP="00E7317C">
            <w:r>
              <w:t xml:space="preserve"> (стр.1 б) х стр.2</w:t>
            </w:r>
            <w:r w:rsidRPr="001C023D">
              <w:t xml:space="preserve"> х стр.</w:t>
            </w:r>
            <w:r>
              <w:t>3 х стр.4</w:t>
            </w:r>
            <w:r w:rsidRPr="001C023D">
              <w:t>)</w:t>
            </w:r>
          </w:p>
        </w:tc>
        <w:tc>
          <w:tcPr>
            <w:tcW w:w="1417" w:type="dxa"/>
          </w:tcPr>
          <w:p w:rsidR="00DC24DD" w:rsidRDefault="00DC24DD" w:rsidP="00E7317C">
            <w:pPr>
              <w:jc w:val="center"/>
            </w:pPr>
          </w:p>
          <w:p w:rsidR="00DC24DD" w:rsidRPr="001C023D" w:rsidRDefault="00DC24DD" w:rsidP="00E7317C">
            <w:pPr>
              <w:jc w:val="center"/>
            </w:pPr>
            <w:r w:rsidRPr="001C023D">
              <w:t>тыс. руб.</w:t>
            </w:r>
          </w:p>
        </w:tc>
        <w:tc>
          <w:tcPr>
            <w:tcW w:w="1418" w:type="dxa"/>
          </w:tcPr>
          <w:p w:rsidR="00DC24DD" w:rsidRDefault="00DC24DD" w:rsidP="00E7317C">
            <w:pPr>
              <w:jc w:val="center"/>
            </w:pPr>
          </w:p>
          <w:p w:rsidR="00DC24DD" w:rsidRPr="001C023D" w:rsidRDefault="00DC24DD" w:rsidP="00E7317C">
            <w:pPr>
              <w:jc w:val="center"/>
            </w:pPr>
            <w:r>
              <w:t>2 016</w:t>
            </w:r>
          </w:p>
        </w:tc>
      </w:tr>
      <w:tr w:rsidR="00DC24DD" w:rsidRPr="001C023D" w:rsidTr="00E7317C">
        <w:tc>
          <w:tcPr>
            <w:tcW w:w="6521" w:type="dxa"/>
          </w:tcPr>
          <w:p w:rsidR="00DC24DD" w:rsidRPr="001C023D" w:rsidRDefault="00DC24DD" w:rsidP="00E7317C">
            <w:r>
              <w:t>7</w:t>
            </w:r>
            <w:r w:rsidRPr="001C023D">
              <w:t>. Прогноз поступления налога на игорный бизнес в областной</w:t>
            </w:r>
            <w:r>
              <w:t xml:space="preserve"> бюджет Тверской области на 2024</w:t>
            </w:r>
            <w:r w:rsidRPr="001C023D">
              <w:t xml:space="preserve"> год </w:t>
            </w:r>
          </w:p>
          <w:p w:rsidR="00DC24DD" w:rsidRPr="001C023D" w:rsidRDefault="00DC24DD" w:rsidP="00E7317C">
            <w:r>
              <w:t xml:space="preserve"> (стр.1 в) х стр.2</w:t>
            </w:r>
            <w:r w:rsidRPr="001C023D">
              <w:t xml:space="preserve"> х стр.</w:t>
            </w:r>
            <w:r>
              <w:t>3 х стр.4</w:t>
            </w:r>
            <w:r w:rsidRPr="001C023D">
              <w:t>)</w:t>
            </w:r>
          </w:p>
        </w:tc>
        <w:tc>
          <w:tcPr>
            <w:tcW w:w="1417" w:type="dxa"/>
          </w:tcPr>
          <w:p w:rsidR="00DC24DD" w:rsidRDefault="00DC24DD" w:rsidP="00E7317C">
            <w:pPr>
              <w:jc w:val="center"/>
            </w:pPr>
          </w:p>
          <w:p w:rsidR="00DC24DD" w:rsidRPr="001C023D" w:rsidRDefault="00DC24DD" w:rsidP="00E7317C">
            <w:pPr>
              <w:jc w:val="center"/>
            </w:pPr>
            <w:r w:rsidRPr="001C023D">
              <w:t>тыс. руб.</w:t>
            </w:r>
          </w:p>
        </w:tc>
        <w:tc>
          <w:tcPr>
            <w:tcW w:w="1418" w:type="dxa"/>
          </w:tcPr>
          <w:p w:rsidR="00DC24DD" w:rsidRDefault="00DC24DD" w:rsidP="00E7317C">
            <w:pPr>
              <w:jc w:val="center"/>
            </w:pPr>
          </w:p>
          <w:p w:rsidR="00DC24DD" w:rsidRPr="001C023D" w:rsidRDefault="00DC24DD" w:rsidP="00E7317C">
            <w:pPr>
              <w:jc w:val="center"/>
            </w:pPr>
            <w:r>
              <w:t>2 016</w:t>
            </w:r>
          </w:p>
        </w:tc>
      </w:tr>
    </w:tbl>
    <w:p w:rsidR="00DC24DD" w:rsidRDefault="00DC24DD" w:rsidP="00C72AA2">
      <w:pPr>
        <w:pStyle w:val="21"/>
        <w:jc w:val="center"/>
        <w:rPr>
          <w:color w:val="000000" w:themeColor="text1"/>
        </w:rPr>
      </w:pPr>
    </w:p>
    <w:p w:rsidR="00DC24DD" w:rsidRPr="00C72AA2" w:rsidRDefault="00DC24DD" w:rsidP="00C72AA2">
      <w:pPr>
        <w:pStyle w:val="21"/>
        <w:jc w:val="center"/>
        <w:rPr>
          <w:color w:val="000000" w:themeColor="text1"/>
        </w:rPr>
      </w:pPr>
    </w:p>
    <w:p w:rsidR="00C72AA2" w:rsidRPr="007D54B9" w:rsidRDefault="00C72AA2" w:rsidP="00C72AA2">
      <w:pPr>
        <w:pStyle w:val="21"/>
        <w:jc w:val="center"/>
        <w:rPr>
          <w:b/>
          <w:color w:val="000000" w:themeColor="text1"/>
        </w:rPr>
      </w:pPr>
      <w:r w:rsidRPr="007D54B9">
        <w:rPr>
          <w:b/>
          <w:color w:val="000000" w:themeColor="text1"/>
        </w:rPr>
        <w:t>Налоги, сборы  и регулярные платежи</w:t>
      </w:r>
    </w:p>
    <w:p w:rsidR="00C72AA2" w:rsidRPr="007D54B9" w:rsidRDefault="00C72AA2" w:rsidP="00C72AA2">
      <w:pPr>
        <w:pStyle w:val="21"/>
        <w:jc w:val="center"/>
        <w:rPr>
          <w:b/>
          <w:color w:val="000000" w:themeColor="text1"/>
        </w:rPr>
      </w:pPr>
      <w:r w:rsidRPr="007D54B9">
        <w:rPr>
          <w:b/>
          <w:color w:val="000000" w:themeColor="text1"/>
        </w:rPr>
        <w:t xml:space="preserve"> за пользование природными ресурсами</w:t>
      </w:r>
    </w:p>
    <w:p w:rsidR="00C72AA2" w:rsidRPr="007D54B9" w:rsidRDefault="00C72AA2" w:rsidP="00C72AA2">
      <w:pPr>
        <w:pStyle w:val="21"/>
        <w:jc w:val="center"/>
        <w:rPr>
          <w:b/>
          <w:color w:val="000000" w:themeColor="text1"/>
        </w:rPr>
      </w:pPr>
      <w:r w:rsidRPr="007D54B9">
        <w:rPr>
          <w:b/>
          <w:color w:val="000000" w:themeColor="text1"/>
        </w:rPr>
        <w:t xml:space="preserve"> (00 1 07 00000 00 0000 000)</w:t>
      </w:r>
    </w:p>
    <w:p w:rsidR="007D54B9" w:rsidRDefault="007D54B9" w:rsidP="007D54B9">
      <w:pPr>
        <w:pStyle w:val="21"/>
        <w:jc w:val="center"/>
        <w:rPr>
          <w:color w:val="000000" w:themeColor="text1"/>
        </w:rPr>
      </w:pPr>
    </w:p>
    <w:p w:rsidR="007D54B9" w:rsidRPr="007D54B9" w:rsidRDefault="007D54B9" w:rsidP="007D54B9">
      <w:pPr>
        <w:pStyle w:val="21"/>
        <w:jc w:val="center"/>
        <w:rPr>
          <w:color w:val="000000" w:themeColor="text1"/>
        </w:rPr>
      </w:pPr>
      <w:r w:rsidRPr="007D54B9">
        <w:rPr>
          <w:color w:val="000000" w:themeColor="text1"/>
        </w:rPr>
        <w:t>Налог на добычу полезных ископаемых</w:t>
      </w:r>
    </w:p>
    <w:p w:rsidR="007D54B9" w:rsidRPr="007D54B9" w:rsidRDefault="007D54B9" w:rsidP="007D54B9">
      <w:pPr>
        <w:pStyle w:val="21"/>
        <w:jc w:val="center"/>
        <w:rPr>
          <w:color w:val="000000" w:themeColor="text1"/>
        </w:rPr>
      </w:pPr>
      <w:r w:rsidRPr="007D54B9">
        <w:rPr>
          <w:color w:val="000000" w:themeColor="text1"/>
        </w:rPr>
        <w:t>(000 1 07 01000 01 0000 110)</w:t>
      </w:r>
    </w:p>
    <w:p w:rsidR="00C72AA2" w:rsidRDefault="00C72AA2" w:rsidP="00C72AA2">
      <w:pPr>
        <w:pStyle w:val="21"/>
        <w:jc w:val="center"/>
        <w:rPr>
          <w:color w:val="000000" w:themeColor="text1"/>
        </w:rPr>
      </w:pPr>
    </w:p>
    <w:p w:rsidR="007D54B9" w:rsidRDefault="007D54B9" w:rsidP="00C72AA2">
      <w:pPr>
        <w:pStyle w:val="21"/>
        <w:jc w:val="center"/>
        <w:rPr>
          <w:color w:val="000000" w:themeColor="text1"/>
        </w:rPr>
      </w:pPr>
    </w:p>
    <w:p w:rsidR="007D54B9" w:rsidRPr="007D54B9" w:rsidRDefault="007D54B9" w:rsidP="007D54B9">
      <w:pPr>
        <w:pStyle w:val="21"/>
        <w:rPr>
          <w:color w:val="000000" w:themeColor="text1"/>
        </w:rPr>
      </w:pPr>
      <w:r w:rsidRPr="007D54B9">
        <w:rPr>
          <w:color w:val="000000" w:themeColor="text1"/>
        </w:rPr>
        <w:t>Поступление налога на добычу полезных ископаемых в областной бюджет Тверской области на 2022 год прогнозируется в сумме – 38 780 тыс. руб., на 2023 год – 39 074 тыс. руб., на 2024 год – 39 305 тыс. руб.</w:t>
      </w:r>
    </w:p>
    <w:p w:rsidR="007D54B9" w:rsidRPr="007D54B9" w:rsidRDefault="007D54B9" w:rsidP="007D54B9">
      <w:pPr>
        <w:pStyle w:val="21"/>
        <w:rPr>
          <w:color w:val="000000" w:themeColor="text1"/>
        </w:rPr>
      </w:pPr>
      <w:r w:rsidRPr="007D54B9">
        <w:rPr>
          <w:color w:val="000000" w:themeColor="text1"/>
        </w:rPr>
        <w:t xml:space="preserve">Расчет прогноза налога на добычу полезных ископаемых на 2022-2024 годы составлен Управлением Федеральной налоговой службы по Тверской области (главным администратором доходов бюджета) исходя из действующего законодательства Российской Федерации о налогах и сборах отдельно по каждому виду полезных ископаемых (общераспространенные полезные ископаемые, прочие полезные ископаемые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w:t>
      </w:r>
    </w:p>
    <w:p w:rsidR="007D54B9" w:rsidRPr="007D54B9" w:rsidRDefault="007D54B9" w:rsidP="007D54B9">
      <w:pPr>
        <w:pStyle w:val="21"/>
        <w:rPr>
          <w:color w:val="000000" w:themeColor="text1"/>
        </w:rPr>
      </w:pPr>
      <w:r w:rsidRPr="007D54B9">
        <w:rPr>
          <w:color w:val="000000" w:themeColor="text1"/>
        </w:rPr>
        <w:t xml:space="preserve">Расчет поступлений налога на добычу полезных ископаемых в </w:t>
      </w:r>
    </w:p>
    <w:p w:rsidR="003C5B97" w:rsidRDefault="007D54B9" w:rsidP="007D54B9">
      <w:pPr>
        <w:pStyle w:val="21"/>
        <w:rPr>
          <w:color w:val="000000" w:themeColor="text1"/>
        </w:rPr>
      </w:pPr>
      <w:r w:rsidRPr="007D54B9">
        <w:rPr>
          <w:color w:val="000000" w:themeColor="text1"/>
        </w:rPr>
        <w:t>2022-2024 годах осуществлен на основе показателей налоговой базы по форме № 5-НДПИ «Отчёт о налоговой базе и структуре начислений по налогу на добычу полезных ископаемых» за 2020 год, данных прогноза социально-экономического развития Тверской области на 2022 год и плановый период 2023 и 2024 годов по показателю индекса производства по виду деятельности «Добыча прочих полезных ископаемых», налоговых ставок, предусмотренных главой 26 «Налог на добычу полезных ископаемых» Налогового кодекса Российской Федерации (расчетной ставки для общераспространенных полезных ископаемых), с учетом переходящих платежей и собираемости налога.</w:t>
      </w:r>
    </w:p>
    <w:p w:rsidR="007D54B9" w:rsidRPr="007D54B9" w:rsidRDefault="007D54B9" w:rsidP="007D54B9">
      <w:pPr>
        <w:pStyle w:val="21"/>
        <w:jc w:val="center"/>
        <w:rPr>
          <w:color w:val="000000" w:themeColor="text1"/>
        </w:rPr>
      </w:pPr>
      <w:r w:rsidRPr="007D54B9">
        <w:rPr>
          <w:color w:val="000000" w:themeColor="text1"/>
        </w:rPr>
        <w:t>Налог на добычу общераспространенных полезных ископаемых</w:t>
      </w:r>
    </w:p>
    <w:p w:rsidR="007D54B9" w:rsidRPr="007D54B9" w:rsidRDefault="007D54B9" w:rsidP="007D54B9">
      <w:pPr>
        <w:pStyle w:val="21"/>
        <w:jc w:val="center"/>
        <w:rPr>
          <w:color w:val="000000" w:themeColor="text1"/>
        </w:rPr>
      </w:pPr>
      <w:r w:rsidRPr="007D54B9">
        <w:rPr>
          <w:color w:val="000000" w:themeColor="text1"/>
        </w:rPr>
        <w:t>(000 1 07 01020 01 0000 110)</w:t>
      </w:r>
    </w:p>
    <w:p w:rsidR="007D54B9" w:rsidRPr="007D54B9" w:rsidRDefault="007D54B9" w:rsidP="007D54B9">
      <w:pPr>
        <w:pStyle w:val="21"/>
        <w:rPr>
          <w:color w:val="000000" w:themeColor="text1"/>
        </w:rPr>
      </w:pPr>
      <w:r w:rsidRPr="007D54B9">
        <w:rPr>
          <w:color w:val="000000" w:themeColor="text1"/>
        </w:rPr>
        <w:t>Прогнозный объем поступлений налога на добычу общераспространенных полезных ископаемых произведен исходя из следующего алгоритма:</w:t>
      </w:r>
    </w:p>
    <w:p w:rsidR="007D54B9" w:rsidRPr="007D54B9" w:rsidRDefault="007D54B9" w:rsidP="007D54B9">
      <w:pPr>
        <w:pStyle w:val="21"/>
        <w:rPr>
          <w:color w:val="000000" w:themeColor="text1"/>
        </w:rPr>
      </w:pPr>
    </w:p>
    <w:p w:rsidR="007D54B9" w:rsidRPr="007D54B9" w:rsidRDefault="007D54B9" w:rsidP="007D54B9">
      <w:pPr>
        <w:pStyle w:val="21"/>
        <w:rPr>
          <w:color w:val="000000" w:themeColor="text1"/>
        </w:rPr>
      </w:pPr>
      <w:r w:rsidRPr="007D54B9">
        <w:rPr>
          <w:color w:val="000000" w:themeColor="text1"/>
        </w:rPr>
        <w:t>НДПИ общ. ПИ = (Ʃ(U общ. ПИ факт × J общ. ПИ × (Sрасчет. )) (+-) P) × K соб. (+-) F,</w:t>
      </w:r>
    </w:p>
    <w:p w:rsidR="007D54B9" w:rsidRPr="007D54B9" w:rsidRDefault="007D54B9" w:rsidP="007D54B9">
      <w:pPr>
        <w:pStyle w:val="21"/>
        <w:rPr>
          <w:color w:val="000000" w:themeColor="text1"/>
        </w:rPr>
      </w:pPr>
      <w:r w:rsidRPr="007D54B9">
        <w:rPr>
          <w:color w:val="000000" w:themeColor="text1"/>
        </w:rPr>
        <w:t>где,</w:t>
      </w:r>
    </w:p>
    <w:p w:rsidR="007D54B9" w:rsidRPr="007D54B9" w:rsidRDefault="007D54B9" w:rsidP="007D54B9">
      <w:pPr>
        <w:pStyle w:val="21"/>
        <w:rPr>
          <w:color w:val="000000" w:themeColor="text1"/>
        </w:rPr>
      </w:pPr>
      <w:r w:rsidRPr="007D54B9">
        <w:rPr>
          <w:color w:val="000000" w:themeColor="text1"/>
        </w:rPr>
        <w:lastRenderedPageBreak/>
        <w:t>U общ. ПИ факт – фактическая стоимость добытых общераспространенных  полезных ископаемых за последний годовой период согласно данным отчета по форме № 5 – НДПИ за 2020 год, тыс. рублей;</w:t>
      </w:r>
    </w:p>
    <w:p w:rsidR="007D54B9" w:rsidRPr="007D54B9" w:rsidRDefault="007D54B9" w:rsidP="007D54B9">
      <w:pPr>
        <w:pStyle w:val="21"/>
        <w:rPr>
          <w:color w:val="000000" w:themeColor="text1"/>
        </w:rPr>
      </w:pPr>
      <w:r w:rsidRPr="007D54B9">
        <w:rPr>
          <w:color w:val="000000" w:themeColor="text1"/>
        </w:rPr>
        <w:t>J общ. ПИ – индекс производства по виду экономической деятельности «Добыча прочих полезных ископаемых (по данным Министерства экономического развития Тверской области), %;</w:t>
      </w:r>
    </w:p>
    <w:p w:rsidR="007D54B9" w:rsidRPr="007D54B9" w:rsidRDefault="007D54B9" w:rsidP="007D54B9">
      <w:pPr>
        <w:pStyle w:val="21"/>
        <w:rPr>
          <w:color w:val="000000" w:themeColor="text1"/>
        </w:rPr>
      </w:pPr>
      <w:r w:rsidRPr="007D54B9">
        <w:rPr>
          <w:color w:val="000000" w:themeColor="text1"/>
        </w:rPr>
        <w:t>Sрасч. – расчётная ставка налога, определяется как частное от деления суммы налога, подлежащего к уплате, на стоимость добытого полезного ископаемого (согласно данным отчёта по форме № 5-НДПИ за 2020 год), %;</w:t>
      </w:r>
    </w:p>
    <w:p w:rsidR="007D54B9" w:rsidRPr="007D54B9" w:rsidRDefault="007D54B9" w:rsidP="007D54B9">
      <w:pPr>
        <w:pStyle w:val="21"/>
        <w:rPr>
          <w:color w:val="000000" w:themeColor="text1"/>
        </w:rPr>
      </w:pPr>
      <w:r w:rsidRPr="007D54B9">
        <w:rPr>
          <w:color w:val="000000" w:themeColor="text1"/>
        </w:rPr>
        <w:t xml:space="preserve">P – переходящие платежи, сумма поступлений, учитывающая «переходящие» платежи в январе за декабрь предыдущего года, </w:t>
      </w:r>
    </w:p>
    <w:p w:rsidR="007D54B9" w:rsidRPr="007D54B9" w:rsidRDefault="007D54B9" w:rsidP="007D54B9">
      <w:pPr>
        <w:pStyle w:val="21"/>
        <w:rPr>
          <w:color w:val="000000" w:themeColor="text1"/>
        </w:rPr>
      </w:pPr>
      <w:r w:rsidRPr="007D54B9">
        <w:rPr>
          <w:color w:val="000000" w:themeColor="text1"/>
        </w:rPr>
        <w:t>тыс. рублей:</w:t>
      </w:r>
    </w:p>
    <w:p w:rsidR="007D54B9" w:rsidRPr="007D54B9" w:rsidRDefault="007D54B9" w:rsidP="007D54B9">
      <w:pPr>
        <w:pStyle w:val="21"/>
        <w:rPr>
          <w:color w:val="000000" w:themeColor="text1"/>
        </w:rPr>
      </w:pPr>
      <w:r w:rsidRPr="007D54B9">
        <w:rPr>
          <w:color w:val="000000" w:themeColor="text1"/>
        </w:rPr>
        <w:t>Р=Р1-Р2</w:t>
      </w:r>
    </w:p>
    <w:p w:rsidR="007D54B9" w:rsidRPr="007D54B9" w:rsidRDefault="007D54B9" w:rsidP="007D54B9">
      <w:pPr>
        <w:pStyle w:val="21"/>
        <w:rPr>
          <w:color w:val="000000" w:themeColor="text1"/>
        </w:rPr>
      </w:pPr>
      <w:r w:rsidRPr="007D54B9">
        <w:rPr>
          <w:color w:val="000000" w:themeColor="text1"/>
        </w:rPr>
        <w:t>где:</w:t>
      </w:r>
    </w:p>
    <w:p w:rsidR="007D54B9" w:rsidRPr="007D54B9" w:rsidRDefault="007D54B9" w:rsidP="007D54B9">
      <w:pPr>
        <w:pStyle w:val="21"/>
        <w:rPr>
          <w:color w:val="000000" w:themeColor="text1"/>
        </w:rPr>
      </w:pPr>
      <w:r w:rsidRPr="007D54B9">
        <w:rPr>
          <w:color w:val="000000" w:themeColor="text1"/>
        </w:rPr>
        <w:t xml:space="preserve">Р1 – сумма «переходящего» платежа за декабрь предыдущего года, </w:t>
      </w:r>
    </w:p>
    <w:p w:rsidR="007D54B9" w:rsidRPr="007D54B9" w:rsidRDefault="007D54B9" w:rsidP="007D54B9">
      <w:pPr>
        <w:pStyle w:val="21"/>
        <w:rPr>
          <w:color w:val="000000" w:themeColor="text1"/>
        </w:rPr>
      </w:pPr>
      <w:r w:rsidRPr="007D54B9">
        <w:rPr>
          <w:color w:val="000000" w:themeColor="text1"/>
        </w:rPr>
        <w:t>тыс. рублей;</w:t>
      </w:r>
    </w:p>
    <w:p w:rsidR="007D54B9" w:rsidRPr="007D54B9" w:rsidRDefault="007D54B9" w:rsidP="007D54B9">
      <w:pPr>
        <w:pStyle w:val="21"/>
        <w:rPr>
          <w:color w:val="000000" w:themeColor="text1"/>
        </w:rPr>
      </w:pPr>
      <w:r w:rsidRPr="007D54B9">
        <w:rPr>
          <w:color w:val="000000" w:themeColor="text1"/>
        </w:rPr>
        <w:t xml:space="preserve">Р2 – сумма «переходящего» платежа за декабрь расчетного года, </w:t>
      </w:r>
    </w:p>
    <w:p w:rsidR="007D54B9" w:rsidRPr="007D54B9" w:rsidRDefault="007D54B9" w:rsidP="007D54B9">
      <w:pPr>
        <w:pStyle w:val="21"/>
        <w:rPr>
          <w:color w:val="000000" w:themeColor="text1"/>
        </w:rPr>
      </w:pPr>
      <w:r w:rsidRPr="007D54B9">
        <w:rPr>
          <w:color w:val="000000" w:themeColor="text1"/>
        </w:rPr>
        <w:t>тыс. рублей;</w:t>
      </w:r>
    </w:p>
    <w:p w:rsidR="007D54B9" w:rsidRPr="007D54B9" w:rsidRDefault="007D54B9" w:rsidP="007D54B9">
      <w:pPr>
        <w:pStyle w:val="21"/>
        <w:rPr>
          <w:color w:val="000000" w:themeColor="text1"/>
        </w:rPr>
      </w:pPr>
      <w:r w:rsidRPr="007D54B9">
        <w:rPr>
          <w:color w:val="000000" w:themeColor="text1"/>
        </w:rPr>
        <w:t>Сумма «переходящего» платежа за декабрь расчетного года, причитающийся к уплате в начале следующего года определяется исходя из доли переходящего платежа в фактически сложившейся сумме поступлений в отчетном (базовом) году, %;</w:t>
      </w:r>
    </w:p>
    <w:p w:rsidR="007D54B9" w:rsidRPr="007D54B9" w:rsidRDefault="007D54B9" w:rsidP="007D54B9">
      <w:pPr>
        <w:pStyle w:val="21"/>
        <w:rPr>
          <w:color w:val="000000" w:themeColor="text1"/>
        </w:rPr>
      </w:pPr>
      <w:r w:rsidRPr="007D54B9">
        <w:rPr>
          <w:color w:val="000000" w:themeColor="text1"/>
        </w:rPr>
        <w:t>K соб. – расчётный уровень собираемости, принят на уровне показателя за 2020 год – 97,7% (по форме № 1-НМ, как частное от деления суммы поступившего налога на сумму начисленного налога).</w:t>
      </w:r>
    </w:p>
    <w:p w:rsidR="007D54B9" w:rsidRPr="007D54B9" w:rsidRDefault="007D54B9" w:rsidP="007D54B9">
      <w:pPr>
        <w:pStyle w:val="21"/>
        <w:rPr>
          <w:color w:val="000000" w:themeColor="text1"/>
        </w:rPr>
      </w:pPr>
      <w:r w:rsidRPr="007D54B9">
        <w:rPr>
          <w:color w:val="000000" w:themeColor="text1"/>
        </w:rPr>
        <w:t>F – корректирующая сумма поступлений, учитывающая изменения законодательства о налогах и сборах, а также другие факторы, тыс. рублей.</w:t>
      </w:r>
    </w:p>
    <w:p w:rsidR="007D54B9" w:rsidRPr="007D54B9" w:rsidRDefault="007D54B9" w:rsidP="007D54B9">
      <w:pPr>
        <w:pStyle w:val="21"/>
        <w:rPr>
          <w:color w:val="000000" w:themeColor="text1"/>
        </w:rPr>
      </w:pPr>
      <w:r w:rsidRPr="007D54B9">
        <w:rPr>
          <w:color w:val="000000" w:themeColor="text1"/>
        </w:rPr>
        <w:t xml:space="preserve">Корректирующая сумма в 2021 году учитывает уплату отдельного налогоплательщика в счет погашения задолженности прошлых лет </w:t>
      </w:r>
    </w:p>
    <w:p w:rsidR="007D54B9" w:rsidRPr="007D54B9" w:rsidRDefault="007D54B9" w:rsidP="007D54B9">
      <w:pPr>
        <w:pStyle w:val="21"/>
        <w:rPr>
          <w:color w:val="000000" w:themeColor="text1"/>
        </w:rPr>
      </w:pPr>
      <w:r w:rsidRPr="007D54B9">
        <w:rPr>
          <w:color w:val="000000" w:themeColor="text1"/>
        </w:rPr>
        <w:t xml:space="preserve">(1 092 тыс. рублей), а также рост поступлений, связанный с увеличением объемов добычи отдельными организациями (3 232 тыс. рублей, рассчитана исходя из превышения фактического темпа начисленного налога в текущем периоде 2021 года относительно прогнозируемого с учетом коэффициента собираемости). В 2022-2024 годах корректирующая сумма (без учета погашения задолженности в 2021 году) проиндексирована на темпы роста производства соответствующего периода. </w:t>
      </w:r>
    </w:p>
    <w:p w:rsidR="007D54B9" w:rsidRPr="007D54B9" w:rsidRDefault="007D54B9" w:rsidP="007D54B9">
      <w:pPr>
        <w:pStyle w:val="21"/>
        <w:rPr>
          <w:color w:val="000000" w:themeColor="text1"/>
        </w:rPr>
      </w:pPr>
      <w:r w:rsidRPr="007D54B9">
        <w:rPr>
          <w:color w:val="000000" w:themeColor="text1"/>
        </w:rPr>
        <w:t>Подробный расчет представлен в Таблице.</w:t>
      </w:r>
    </w:p>
    <w:p w:rsidR="007D54B9" w:rsidRPr="007D54B9" w:rsidRDefault="007D54B9" w:rsidP="007D54B9">
      <w:pPr>
        <w:pStyle w:val="21"/>
        <w:rPr>
          <w:color w:val="000000" w:themeColor="text1"/>
        </w:rPr>
      </w:pPr>
      <w:r w:rsidRPr="007D54B9">
        <w:rPr>
          <w:color w:val="000000" w:themeColor="text1"/>
        </w:rPr>
        <w:t xml:space="preserve">Расчет налога на добычу общераспространенных полезных ископаемых </w:t>
      </w:r>
    </w:p>
    <w:p w:rsidR="003C5B97" w:rsidRPr="00C72AA2" w:rsidRDefault="007D54B9" w:rsidP="007D54B9">
      <w:pPr>
        <w:pStyle w:val="21"/>
        <w:rPr>
          <w:color w:val="000000" w:themeColor="text1"/>
        </w:rPr>
      </w:pPr>
      <w:r w:rsidRPr="007D54B9">
        <w:rPr>
          <w:color w:val="000000" w:themeColor="text1"/>
        </w:rPr>
        <w:t xml:space="preserve">в областной бюджет Тверской области  </w:t>
      </w:r>
    </w:p>
    <w:p w:rsidR="006A79A2" w:rsidRDefault="007D54B9" w:rsidP="007D54B9">
      <w:pPr>
        <w:pStyle w:val="21"/>
        <w:ind w:firstLine="0"/>
        <w:jc w:val="right"/>
        <w:rPr>
          <w:color w:val="000000" w:themeColor="text1"/>
        </w:rPr>
      </w:pPr>
      <w:r w:rsidRPr="007D54B9">
        <w:rPr>
          <w:color w:val="000000" w:themeColor="text1"/>
        </w:rPr>
        <w:t>тыс. руб</w:t>
      </w:r>
      <w:r>
        <w:rPr>
          <w:color w:val="000000" w:themeColor="text1"/>
        </w:rPr>
        <w:t>.</w:t>
      </w:r>
    </w:p>
    <w:tbl>
      <w:tblPr>
        <w:tblW w:w="95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40"/>
        <w:gridCol w:w="1824"/>
      </w:tblGrid>
      <w:tr w:rsidR="007D54B9" w:rsidRPr="002C036F" w:rsidTr="00E7317C">
        <w:trPr>
          <w:cantSplit/>
          <w:tblHeader/>
        </w:trPr>
        <w:tc>
          <w:tcPr>
            <w:tcW w:w="7740" w:type="dxa"/>
            <w:tcBorders>
              <w:left w:val="single" w:sz="12" w:space="0" w:color="auto"/>
              <w:bottom w:val="single" w:sz="12" w:space="0" w:color="auto"/>
            </w:tcBorders>
            <w:vAlign w:val="center"/>
          </w:tcPr>
          <w:p w:rsidR="007D54B9" w:rsidRPr="002C036F" w:rsidRDefault="007D54B9" w:rsidP="00E7317C">
            <w:pPr>
              <w:jc w:val="center"/>
              <w:rPr>
                <w:sz w:val="20"/>
                <w:szCs w:val="20"/>
              </w:rPr>
            </w:pPr>
            <w:r w:rsidRPr="002C036F">
              <w:rPr>
                <w:sz w:val="20"/>
                <w:szCs w:val="20"/>
              </w:rPr>
              <w:t>Наименование показателей</w:t>
            </w:r>
          </w:p>
        </w:tc>
        <w:tc>
          <w:tcPr>
            <w:tcW w:w="1824" w:type="dxa"/>
            <w:tcBorders>
              <w:bottom w:val="single" w:sz="12" w:space="0" w:color="auto"/>
            </w:tcBorders>
            <w:vAlign w:val="center"/>
          </w:tcPr>
          <w:p w:rsidR="007D54B9" w:rsidRPr="002C036F" w:rsidRDefault="007D54B9" w:rsidP="00E7317C">
            <w:pPr>
              <w:jc w:val="center"/>
              <w:rPr>
                <w:i/>
                <w:sz w:val="20"/>
                <w:szCs w:val="20"/>
              </w:rPr>
            </w:pPr>
            <w:r w:rsidRPr="002C036F">
              <w:rPr>
                <w:sz w:val="20"/>
                <w:szCs w:val="20"/>
              </w:rPr>
              <w:t>Сумма с учетом округления</w:t>
            </w:r>
          </w:p>
        </w:tc>
      </w:tr>
      <w:tr w:rsidR="007D54B9" w:rsidRPr="002C036F" w:rsidTr="00E7317C">
        <w:trPr>
          <w:trHeight w:val="553"/>
        </w:trPr>
        <w:tc>
          <w:tcPr>
            <w:tcW w:w="7740" w:type="dxa"/>
            <w:tcBorders>
              <w:left w:val="single" w:sz="12" w:space="0" w:color="auto"/>
            </w:tcBorders>
          </w:tcPr>
          <w:p w:rsidR="007D54B9" w:rsidRPr="002C036F" w:rsidRDefault="007D54B9" w:rsidP="00E7317C">
            <w:pPr>
              <w:ind w:left="360"/>
              <w:rPr>
                <w:sz w:val="20"/>
                <w:szCs w:val="20"/>
              </w:rPr>
            </w:pPr>
            <w:r w:rsidRPr="002C036F">
              <w:rPr>
                <w:sz w:val="20"/>
                <w:szCs w:val="20"/>
              </w:rPr>
              <w:t>1. Стоимость добытого полезного ископаемого (по данным отчёта по форме № 5-НДПИ за 20</w:t>
            </w:r>
            <w:r>
              <w:rPr>
                <w:sz w:val="20"/>
                <w:szCs w:val="20"/>
              </w:rPr>
              <w:t>20</w:t>
            </w:r>
            <w:r w:rsidRPr="002C036F">
              <w:rPr>
                <w:sz w:val="20"/>
                <w:szCs w:val="20"/>
              </w:rPr>
              <w:t xml:space="preserve"> год) </w:t>
            </w:r>
            <w:r w:rsidRPr="00F1475A">
              <w:rPr>
                <w:b/>
                <w:sz w:val="20"/>
                <w:szCs w:val="20"/>
              </w:rPr>
              <w:t>- U общ. ПИ</w:t>
            </w:r>
            <w:r w:rsidRPr="002C036F">
              <w:rPr>
                <w:sz w:val="20"/>
                <w:szCs w:val="20"/>
              </w:rPr>
              <w:t xml:space="preserve"> факт, тыс. рублей</w:t>
            </w:r>
          </w:p>
        </w:tc>
        <w:tc>
          <w:tcPr>
            <w:tcW w:w="1824" w:type="dxa"/>
          </w:tcPr>
          <w:p w:rsidR="007D54B9" w:rsidRPr="002C036F" w:rsidRDefault="007D54B9" w:rsidP="00E7317C">
            <w:pPr>
              <w:jc w:val="center"/>
              <w:rPr>
                <w:sz w:val="20"/>
                <w:szCs w:val="20"/>
              </w:rPr>
            </w:pPr>
            <w:r>
              <w:rPr>
                <w:sz w:val="20"/>
                <w:szCs w:val="20"/>
              </w:rPr>
              <w:t>626 722</w:t>
            </w:r>
          </w:p>
        </w:tc>
      </w:tr>
      <w:tr w:rsidR="007D54B9" w:rsidRPr="002C036F" w:rsidTr="00E7317C">
        <w:tc>
          <w:tcPr>
            <w:tcW w:w="7740" w:type="dxa"/>
            <w:tcBorders>
              <w:left w:val="single" w:sz="12" w:space="0" w:color="auto"/>
            </w:tcBorders>
            <w:vAlign w:val="center"/>
          </w:tcPr>
          <w:p w:rsidR="007D54B9" w:rsidRPr="00F1475A" w:rsidRDefault="007D54B9" w:rsidP="00365DB0">
            <w:pPr>
              <w:ind w:left="360"/>
              <w:rPr>
                <w:sz w:val="20"/>
                <w:szCs w:val="20"/>
              </w:rPr>
            </w:pPr>
            <w:r w:rsidRPr="00F1475A">
              <w:rPr>
                <w:sz w:val="20"/>
                <w:szCs w:val="20"/>
              </w:rPr>
              <w:t xml:space="preserve">2. Прогнозируемый </w:t>
            </w:r>
            <w:r w:rsidRPr="00B94426">
              <w:rPr>
                <w:sz w:val="20"/>
                <w:szCs w:val="20"/>
              </w:rPr>
              <w:t xml:space="preserve">индекс промышленного производства по виду деятельности «Добыча </w:t>
            </w:r>
            <w:r w:rsidR="00DE2172">
              <w:rPr>
                <w:sz w:val="20"/>
                <w:szCs w:val="20"/>
              </w:rPr>
              <w:t xml:space="preserve">прочих </w:t>
            </w:r>
            <w:r w:rsidRPr="00B94426">
              <w:rPr>
                <w:sz w:val="20"/>
                <w:szCs w:val="20"/>
              </w:rPr>
              <w:t>полезных ископаемых»</w:t>
            </w:r>
            <w:r w:rsidRPr="00F1475A">
              <w:rPr>
                <w:sz w:val="20"/>
                <w:szCs w:val="20"/>
              </w:rPr>
              <w:t xml:space="preserve"> (по данным Министерства экономического развития Тверской области) - </w:t>
            </w:r>
            <w:r w:rsidRPr="00F1475A">
              <w:rPr>
                <w:b/>
                <w:sz w:val="20"/>
                <w:szCs w:val="20"/>
              </w:rPr>
              <w:t>J общ. ПИ</w:t>
            </w:r>
            <w:r w:rsidRPr="00F1475A">
              <w:rPr>
                <w:sz w:val="20"/>
                <w:szCs w:val="20"/>
              </w:rPr>
              <w:t xml:space="preserve"> , %</w:t>
            </w:r>
          </w:p>
        </w:tc>
        <w:tc>
          <w:tcPr>
            <w:tcW w:w="1824" w:type="dxa"/>
          </w:tcPr>
          <w:p w:rsidR="007D54B9" w:rsidRPr="002C036F" w:rsidRDefault="007D54B9" w:rsidP="00E7317C">
            <w:pPr>
              <w:jc w:val="center"/>
              <w:rPr>
                <w:sz w:val="20"/>
                <w:szCs w:val="20"/>
              </w:rPr>
            </w:pPr>
            <w:r>
              <w:rPr>
                <w:sz w:val="20"/>
                <w:szCs w:val="20"/>
              </w:rPr>
              <w:t>103,2%</w:t>
            </w:r>
          </w:p>
        </w:tc>
      </w:tr>
      <w:tr w:rsidR="007D54B9" w:rsidRPr="002C036F" w:rsidTr="00E7317C">
        <w:tc>
          <w:tcPr>
            <w:tcW w:w="7740" w:type="dxa"/>
            <w:tcBorders>
              <w:left w:val="single" w:sz="12" w:space="0" w:color="auto"/>
            </w:tcBorders>
            <w:vAlign w:val="center"/>
          </w:tcPr>
          <w:p w:rsidR="007D54B9" w:rsidRPr="00F1475A" w:rsidRDefault="007D54B9" w:rsidP="00E7317C">
            <w:pPr>
              <w:ind w:left="360"/>
              <w:rPr>
                <w:sz w:val="20"/>
                <w:szCs w:val="20"/>
              </w:rPr>
            </w:pPr>
            <w:r w:rsidRPr="00F1475A">
              <w:rPr>
                <w:sz w:val="20"/>
                <w:szCs w:val="20"/>
              </w:rPr>
              <w:lastRenderedPageBreak/>
              <w:t>3. Расчётная ставка налога (согласно данным отчёта по форме № 5-НДПИ за 20</w:t>
            </w:r>
            <w:r>
              <w:rPr>
                <w:sz w:val="20"/>
                <w:szCs w:val="20"/>
              </w:rPr>
              <w:t xml:space="preserve">20 </w:t>
            </w:r>
            <w:r w:rsidRPr="00F1475A">
              <w:rPr>
                <w:sz w:val="20"/>
                <w:szCs w:val="20"/>
              </w:rPr>
              <w:t xml:space="preserve">од) – </w:t>
            </w:r>
            <w:r w:rsidRPr="00F1475A">
              <w:rPr>
                <w:b/>
                <w:sz w:val="20"/>
                <w:szCs w:val="20"/>
              </w:rPr>
              <w:t>Sрасч</w:t>
            </w:r>
            <w:r w:rsidRPr="00F1475A">
              <w:rPr>
                <w:sz w:val="20"/>
                <w:szCs w:val="20"/>
              </w:rPr>
              <w:t>. , %</w:t>
            </w:r>
          </w:p>
        </w:tc>
        <w:tc>
          <w:tcPr>
            <w:tcW w:w="1824" w:type="dxa"/>
          </w:tcPr>
          <w:p w:rsidR="007D54B9" w:rsidRPr="002C036F" w:rsidRDefault="007D54B9" w:rsidP="00E7317C">
            <w:pPr>
              <w:jc w:val="center"/>
              <w:rPr>
                <w:sz w:val="20"/>
                <w:szCs w:val="20"/>
              </w:rPr>
            </w:pPr>
            <w:r>
              <w:rPr>
                <w:sz w:val="20"/>
                <w:szCs w:val="20"/>
              </w:rPr>
              <w:t>5,41%</w:t>
            </w:r>
          </w:p>
        </w:tc>
      </w:tr>
      <w:tr w:rsidR="007D54B9" w:rsidRPr="002C036F" w:rsidTr="00E7317C">
        <w:tc>
          <w:tcPr>
            <w:tcW w:w="7740" w:type="dxa"/>
            <w:tcBorders>
              <w:left w:val="single" w:sz="12" w:space="0" w:color="auto"/>
            </w:tcBorders>
            <w:vAlign w:val="center"/>
          </w:tcPr>
          <w:p w:rsidR="007D54B9" w:rsidRPr="00F1475A" w:rsidRDefault="007D54B9" w:rsidP="00E7317C">
            <w:pPr>
              <w:ind w:left="360"/>
              <w:rPr>
                <w:sz w:val="20"/>
                <w:szCs w:val="20"/>
              </w:rPr>
            </w:pPr>
            <w:r w:rsidRPr="00F1475A">
              <w:rPr>
                <w:sz w:val="20"/>
                <w:szCs w:val="20"/>
              </w:rPr>
              <w:t>4. Переходящие платежи  – P, тыс. рублей</w:t>
            </w:r>
          </w:p>
        </w:tc>
        <w:tc>
          <w:tcPr>
            <w:tcW w:w="1824" w:type="dxa"/>
          </w:tcPr>
          <w:p w:rsidR="007D54B9" w:rsidRPr="002C036F" w:rsidRDefault="007D54B9" w:rsidP="00E7317C">
            <w:pPr>
              <w:jc w:val="center"/>
              <w:rPr>
                <w:sz w:val="20"/>
                <w:szCs w:val="20"/>
              </w:rPr>
            </w:pPr>
            <w:r>
              <w:rPr>
                <w:sz w:val="20"/>
                <w:szCs w:val="20"/>
              </w:rPr>
              <w:t>1</w:t>
            </w:r>
          </w:p>
        </w:tc>
      </w:tr>
      <w:tr w:rsidR="007D54B9" w:rsidRPr="002C036F" w:rsidTr="00E7317C">
        <w:tc>
          <w:tcPr>
            <w:tcW w:w="7740" w:type="dxa"/>
            <w:tcBorders>
              <w:left w:val="single" w:sz="12" w:space="0" w:color="auto"/>
            </w:tcBorders>
            <w:vAlign w:val="center"/>
          </w:tcPr>
          <w:p w:rsidR="007D54B9" w:rsidRPr="00F1475A" w:rsidRDefault="007D54B9" w:rsidP="00E7317C">
            <w:pPr>
              <w:ind w:left="360"/>
              <w:rPr>
                <w:sz w:val="20"/>
                <w:szCs w:val="20"/>
              </w:rPr>
            </w:pPr>
            <w:r w:rsidRPr="00ED0DE4">
              <w:rPr>
                <w:sz w:val="20"/>
                <w:szCs w:val="20"/>
              </w:rPr>
              <w:t>Р1 – сумма «переходящего» платежа за декабрь предыдущего года, тыс. рублей</w:t>
            </w:r>
          </w:p>
        </w:tc>
        <w:tc>
          <w:tcPr>
            <w:tcW w:w="1824" w:type="dxa"/>
          </w:tcPr>
          <w:p w:rsidR="007D54B9" w:rsidRPr="00ED0DE4" w:rsidRDefault="007D54B9" w:rsidP="00E7317C">
            <w:pPr>
              <w:jc w:val="center"/>
              <w:rPr>
                <w:sz w:val="20"/>
                <w:szCs w:val="20"/>
                <w:lang w:val="en-US"/>
              </w:rPr>
            </w:pPr>
            <w:r>
              <w:rPr>
                <w:sz w:val="20"/>
                <w:szCs w:val="20"/>
                <w:lang w:val="en-US"/>
              </w:rPr>
              <w:t xml:space="preserve">1 </w:t>
            </w:r>
            <w:r>
              <w:rPr>
                <w:sz w:val="20"/>
                <w:szCs w:val="20"/>
              </w:rPr>
              <w:t>590</w:t>
            </w:r>
          </w:p>
        </w:tc>
      </w:tr>
      <w:tr w:rsidR="007D54B9" w:rsidRPr="002C036F" w:rsidTr="00E7317C">
        <w:tc>
          <w:tcPr>
            <w:tcW w:w="7740" w:type="dxa"/>
            <w:tcBorders>
              <w:left w:val="single" w:sz="12" w:space="0" w:color="auto"/>
            </w:tcBorders>
            <w:vAlign w:val="center"/>
          </w:tcPr>
          <w:p w:rsidR="007D54B9" w:rsidRPr="00F1475A" w:rsidRDefault="007D54B9" w:rsidP="00E7317C">
            <w:pPr>
              <w:ind w:left="360"/>
              <w:rPr>
                <w:sz w:val="20"/>
                <w:szCs w:val="20"/>
              </w:rPr>
            </w:pPr>
            <w:r w:rsidRPr="00ED0DE4">
              <w:rPr>
                <w:sz w:val="20"/>
                <w:szCs w:val="20"/>
              </w:rPr>
              <w:t>Р2 – сумма «переходящего» платежа за декабрь расчетного года, тыс. рублей</w:t>
            </w:r>
          </w:p>
        </w:tc>
        <w:tc>
          <w:tcPr>
            <w:tcW w:w="1824" w:type="dxa"/>
          </w:tcPr>
          <w:p w:rsidR="007D54B9" w:rsidRPr="00ED0DE4" w:rsidRDefault="007D54B9" w:rsidP="00E7317C">
            <w:pPr>
              <w:jc w:val="center"/>
              <w:rPr>
                <w:sz w:val="20"/>
                <w:szCs w:val="20"/>
                <w:lang w:val="en-US"/>
              </w:rPr>
            </w:pPr>
            <w:r>
              <w:rPr>
                <w:sz w:val="20"/>
                <w:szCs w:val="20"/>
              </w:rPr>
              <w:t>1</w:t>
            </w:r>
            <w:r>
              <w:rPr>
                <w:sz w:val="20"/>
                <w:szCs w:val="20"/>
                <w:lang w:val="en-US"/>
              </w:rPr>
              <w:t xml:space="preserve"> </w:t>
            </w:r>
            <w:r>
              <w:rPr>
                <w:sz w:val="20"/>
                <w:szCs w:val="20"/>
              </w:rPr>
              <w:t>589</w:t>
            </w:r>
          </w:p>
        </w:tc>
      </w:tr>
      <w:tr w:rsidR="007D54B9" w:rsidRPr="000D187A" w:rsidTr="00E7317C">
        <w:trPr>
          <w:trHeight w:val="247"/>
        </w:trPr>
        <w:tc>
          <w:tcPr>
            <w:tcW w:w="7740" w:type="dxa"/>
            <w:tcBorders>
              <w:left w:val="single" w:sz="12" w:space="0" w:color="auto"/>
            </w:tcBorders>
          </w:tcPr>
          <w:p w:rsidR="007D54B9" w:rsidRPr="00F1475A" w:rsidRDefault="007D54B9" w:rsidP="00E7317C">
            <w:pPr>
              <w:ind w:left="360"/>
              <w:rPr>
                <w:sz w:val="20"/>
                <w:szCs w:val="20"/>
                <w:highlight w:val="yellow"/>
              </w:rPr>
            </w:pPr>
            <w:r w:rsidRPr="00F1475A">
              <w:rPr>
                <w:sz w:val="20"/>
                <w:szCs w:val="20"/>
              </w:rPr>
              <w:t>5.</w:t>
            </w:r>
            <w:r>
              <w:t xml:space="preserve"> </w:t>
            </w:r>
            <w:r w:rsidRPr="00F1475A">
              <w:rPr>
                <w:sz w:val="20"/>
                <w:szCs w:val="20"/>
              </w:rPr>
              <w:t xml:space="preserve">Расчетный уровень собираемости за </w:t>
            </w:r>
            <w:r>
              <w:rPr>
                <w:sz w:val="20"/>
                <w:szCs w:val="20"/>
              </w:rPr>
              <w:t>2020</w:t>
            </w:r>
            <w:r w:rsidRPr="00F1475A">
              <w:rPr>
                <w:sz w:val="20"/>
                <w:szCs w:val="20"/>
              </w:rPr>
              <w:t xml:space="preserve">г. по ф.1-НМ)  - </w:t>
            </w:r>
            <w:r w:rsidRPr="00F1475A">
              <w:rPr>
                <w:b/>
                <w:sz w:val="20"/>
                <w:szCs w:val="20"/>
              </w:rPr>
              <w:t>K соб</w:t>
            </w:r>
            <w:r w:rsidRPr="00F1475A">
              <w:rPr>
                <w:sz w:val="20"/>
                <w:szCs w:val="20"/>
              </w:rPr>
              <w:t>.,%</w:t>
            </w:r>
          </w:p>
        </w:tc>
        <w:tc>
          <w:tcPr>
            <w:tcW w:w="1824" w:type="dxa"/>
          </w:tcPr>
          <w:p w:rsidR="007D54B9" w:rsidRPr="00F1475A" w:rsidRDefault="007D54B9" w:rsidP="00E7317C">
            <w:pPr>
              <w:jc w:val="center"/>
              <w:rPr>
                <w:sz w:val="20"/>
                <w:szCs w:val="20"/>
              </w:rPr>
            </w:pPr>
            <w:r w:rsidRPr="00F1475A">
              <w:rPr>
                <w:sz w:val="20"/>
                <w:szCs w:val="20"/>
              </w:rPr>
              <w:t>9</w:t>
            </w:r>
            <w:r>
              <w:rPr>
                <w:sz w:val="20"/>
                <w:szCs w:val="20"/>
                <w:lang w:val="en-US"/>
              </w:rPr>
              <w:t>7</w:t>
            </w:r>
            <w:r w:rsidRPr="00F1475A">
              <w:rPr>
                <w:sz w:val="20"/>
                <w:szCs w:val="20"/>
              </w:rPr>
              <w:t>,</w:t>
            </w:r>
            <w:r>
              <w:rPr>
                <w:sz w:val="20"/>
                <w:szCs w:val="20"/>
              </w:rPr>
              <w:t xml:space="preserve">7 </w:t>
            </w:r>
            <w:r w:rsidRPr="00F1475A">
              <w:rPr>
                <w:sz w:val="20"/>
                <w:szCs w:val="20"/>
              </w:rPr>
              <w:t>%</w:t>
            </w:r>
          </w:p>
        </w:tc>
      </w:tr>
      <w:tr w:rsidR="007D54B9" w:rsidRPr="000D187A" w:rsidTr="00E7317C">
        <w:tc>
          <w:tcPr>
            <w:tcW w:w="7740" w:type="dxa"/>
            <w:tcBorders>
              <w:left w:val="single" w:sz="12" w:space="0" w:color="auto"/>
            </w:tcBorders>
          </w:tcPr>
          <w:p w:rsidR="007D54B9" w:rsidRPr="000D187A" w:rsidRDefault="007D54B9" w:rsidP="00E7317C">
            <w:pPr>
              <w:ind w:left="360"/>
              <w:rPr>
                <w:sz w:val="20"/>
                <w:szCs w:val="20"/>
                <w:highlight w:val="yellow"/>
              </w:rPr>
            </w:pPr>
            <w:r>
              <w:rPr>
                <w:sz w:val="20"/>
                <w:szCs w:val="20"/>
              </w:rPr>
              <w:t>6.</w:t>
            </w:r>
            <w:r w:rsidRPr="00F1475A">
              <w:rPr>
                <w:sz w:val="20"/>
                <w:szCs w:val="20"/>
              </w:rPr>
              <w:t>Корректирующая сумма поступлений, учитывающая изменения законодательства о налогах и сборах, а также другие факторы -F, тыс. рублей</w:t>
            </w:r>
          </w:p>
        </w:tc>
        <w:tc>
          <w:tcPr>
            <w:tcW w:w="1824" w:type="dxa"/>
          </w:tcPr>
          <w:p w:rsidR="007D54B9" w:rsidRPr="006B2F0F" w:rsidRDefault="007D54B9" w:rsidP="00E7317C">
            <w:pPr>
              <w:jc w:val="center"/>
              <w:rPr>
                <w:sz w:val="20"/>
                <w:szCs w:val="20"/>
              </w:rPr>
            </w:pPr>
            <w:r>
              <w:rPr>
                <w:sz w:val="20"/>
                <w:szCs w:val="20"/>
              </w:rPr>
              <w:t>4 324</w:t>
            </w:r>
          </w:p>
        </w:tc>
      </w:tr>
      <w:tr w:rsidR="007D54B9" w:rsidRPr="000D187A" w:rsidTr="00E7317C">
        <w:tc>
          <w:tcPr>
            <w:tcW w:w="7740" w:type="dxa"/>
            <w:tcBorders>
              <w:left w:val="single" w:sz="12" w:space="0" w:color="auto"/>
            </w:tcBorders>
          </w:tcPr>
          <w:p w:rsidR="007D54B9" w:rsidRPr="00370C2D" w:rsidRDefault="007D54B9" w:rsidP="00E7317C">
            <w:pPr>
              <w:ind w:left="360"/>
              <w:rPr>
                <w:sz w:val="20"/>
                <w:szCs w:val="20"/>
              </w:rPr>
            </w:pPr>
            <w:r w:rsidRPr="00370C2D">
              <w:rPr>
                <w:sz w:val="20"/>
                <w:szCs w:val="20"/>
              </w:rPr>
              <w:t>7. Ожидаемая оценка поступления НДПИ на 20</w:t>
            </w:r>
            <w:r>
              <w:rPr>
                <w:sz w:val="20"/>
                <w:szCs w:val="20"/>
              </w:rPr>
              <w:t>21</w:t>
            </w:r>
            <w:r w:rsidRPr="00370C2D">
              <w:rPr>
                <w:sz w:val="20"/>
                <w:szCs w:val="20"/>
              </w:rPr>
              <w:t xml:space="preserve"> год :</w:t>
            </w:r>
          </w:p>
          <w:p w:rsidR="007D54B9" w:rsidRPr="006110C4" w:rsidRDefault="007D54B9" w:rsidP="00E7317C">
            <w:pPr>
              <w:ind w:left="360"/>
              <w:rPr>
                <w:i/>
                <w:sz w:val="20"/>
                <w:szCs w:val="20"/>
              </w:rPr>
            </w:pPr>
            <w:r w:rsidRPr="00370C2D">
              <w:rPr>
                <w:szCs w:val="28"/>
              </w:rPr>
              <w:t xml:space="preserve">НДПИ </w:t>
            </w:r>
            <w:r w:rsidRPr="00370C2D">
              <w:rPr>
                <w:szCs w:val="28"/>
                <w:vertAlign w:val="subscript"/>
              </w:rPr>
              <w:t>общ. ПИ</w:t>
            </w:r>
            <w:r w:rsidRPr="00370C2D">
              <w:rPr>
                <w:szCs w:val="28"/>
              </w:rPr>
              <w:t xml:space="preserve"> = (Ʃ(</w:t>
            </w:r>
            <w:r w:rsidRPr="00370C2D">
              <w:rPr>
                <w:szCs w:val="28"/>
                <w:lang w:val="en-US"/>
              </w:rPr>
              <w:t>U</w:t>
            </w:r>
            <w:r w:rsidRPr="00370C2D">
              <w:rPr>
                <w:szCs w:val="28"/>
              </w:rPr>
              <w:t xml:space="preserve"> </w:t>
            </w:r>
            <w:r w:rsidRPr="00370C2D">
              <w:rPr>
                <w:szCs w:val="28"/>
                <w:vertAlign w:val="subscript"/>
              </w:rPr>
              <w:t>общ. ПИ</w:t>
            </w:r>
            <w:r w:rsidRPr="00370C2D">
              <w:rPr>
                <w:szCs w:val="28"/>
              </w:rPr>
              <w:t xml:space="preserve"> </w:t>
            </w:r>
            <w:r w:rsidRPr="00370C2D">
              <w:rPr>
                <w:szCs w:val="28"/>
                <w:vertAlign w:val="subscript"/>
              </w:rPr>
              <w:t>факт</w:t>
            </w:r>
            <w:r w:rsidRPr="00370C2D">
              <w:rPr>
                <w:szCs w:val="28"/>
              </w:rPr>
              <w:t xml:space="preserve"> × </w:t>
            </w:r>
            <w:r w:rsidRPr="00370C2D">
              <w:rPr>
                <w:szCs w:val="28"/>
                <w:lang w:val="en-US"/>
              </w:rPr>
              <w:t>J</w:t>
            </w:r>
            <w:r w:rsidRPr="00370C2D">
              <w:rPr>
                <w:szCs w:val="28"/>
              </w:rPr>
              <w:t xml:space="preserve"> </w:t>
            </w:r>
            <w:r w:rsidRPr="00370C2D">
              <w:rPr>
                <w:szCs w:val="28"/>
                <w:vertAlign w:val="subscript"/>
              </w:rPr>
              <w:t>общ. ПИ</w:t>
            </w:r>
            <w:r w:rsidRPr="00370C2D">
              <w:rPr>
                <w:szCs w:val="28"/>
              </w:rPr>
              <w:t xml:space="preserve"> × S </w:t>
            </w:r>
            <w:r w:rsidRPr="00370C2D">
              <w:rPr>
                <w:szCs w:val="28"/>
                <w:vertAlign w:val="subscript"/>
              </w:rPr>
              <w:t>расчет</w:t>
            </w:r>
            <w:r w:rsidRPr="00370C2D">
              <w:rPr>
                <w:szCs w:val="28"/>
              </w:rPr>
              <w:t xml:space="preserve">) (+-) P) × </w:t>
            </w:r>
            <w:r w:rsidRPr="00370C2D">
              <w:rPr>
                <w:szCs w:val="28"/>
                <w:lang w:val="en-US"/>
              </w:rPr>
              <w:t>K</w:t>
            </w:r>
            <w:r w:rsidRPr="00370C2D">
              <w:rPr>
                <w:szCs w:val="28"/>
              </w:rPr>
              <w:t xml:space="preserve"> </w:t>
            </w:r>
            <w:r w:rsidRPr="00370C2D">
              <w:rPr>
                <w:szCs w:val="28"/>
                <w:vertAlign w:val="subscript"/>
              </w:rPr>
              <w:t>соб.</w:t>
            </w:r>
            <w:r w:rsidRPr="00370C2D">
              <w:rPr>
                <w:szCs w:val="28"/>
              </w:rPr>
              <w:t xml:space="preserve"> (+-) F = (</w:t>
            </w:r>
            <w:r>
              <w:rPr>
                <w:szCs w:val="28"/>
              </w:rPr>
              <w:t>626</w:t>
            </w:r>
            <w:r>
              <w:rPr>
                <w:szCs w:val="28"/>
                <w:lang w:val="en-US"/>
              </w:rPr>
              <w:t xml:space="preserve"> </w:t>
            </w:r>
            <w:r>
              <w:rPr>
                <w:szCs w:val="28"/>
              </w:rPr>
              <w:t>722</w:t>
            </w:r>
            <w:r w:rsidRPr="00370C2D">
              <w:rPr>
                <w:szCs w:val="28"/>
              </w:rPr>
              <w:t>*1</w:t>
            </w:r>
            <w:r>
              <w:rPr>
                <w:szCs w:val="28"/>
              </w:rPr>
              <w:t>03</w:t>
            </w:r>
            <w:r w:rsidRPr="00370C2D">
              <w:rPr>
                <w:szCs w:val="28"/>
              </w:rPr>
              <w:t>,</w:t>
            </w:r>
            <w:r>
              <w:rPr>
                <w:szCs w:val="28"/>
              </w:rPr>
              <w:t>2</w:t>
            </w:r>
            <w:r w:rsidRPr="00370C2D">
              <w:rPr>
                <w:szCs w:val="28"/>
              </w:rPr>
              <w:t>%*5,</w:t>
            </w:r>
            <w:r>
              <w:rPr>
                <w:szCs w:val="28"/>
              </w:rPr>
              <w:t>41%+</w:t>
            </w:r>
            <w:r>
              <w:rPr>
                <w:szCs w:val="28"/>
                <w:lang w:val="en-US"/>
              </w:rPr>
              <w:t>1</w:t>
            </w:r>
            <w:r w:rsidRPr="00370C2D">
              <w:rPr>
                <w:szCs w:val="28"/>
              </w:rPr>
              <w:t>)*9</w:t>
            </w:r>
            <w:r>
              <w:rPr>
                <w:szCs w:val="28"/>
                <w:lang w:val="en-US"/>
              </w:rPr>
              <w:t>7</w:t>
            </w:r>
            <w:r w:rsidRPr="00370C2D">
              <w:rPr>
                <w:szCs w:val="28"/>
              </w:rPr>
              <w:t>,</w:t>
            </w:r>
            <w:r>
              <w:rPr>
                <w:szCs w:val="28"/>
              </w:rPr>
              <w:t>7</w:t>
            </w:r>
            <w:r w:rsidRPr="00370C2D">
              <w:rPr>
                <w:szCs w:val="28"/>
              </w:rPr>
              <w:t xml:space="preserve">% </w:t>
            </w:r>
            <w:r>
              <w:rPr>
                <w:szCs w:val="28"/>
              </w:rPr>
              <w:t>+</w:t>
            </w:r>
            <w:r>
              <w:rPr>
                <w:szCs w:val="28"/>
                <w:lang w:val="en-US"/>
              </w:rPr>
              <w:t xml:space="preserve"> </w:t>
            </w:r>
            <w:r>
              <w:rPr>
                <w:szCs w:val="28"/>
              </w:rPr>
              <w:t>4</w:t>
            </w:r>
            <w:r>
              <w:rPr>
                <w:szCs w:val="28"/>
                <w:lang w:val="en-US"/>
              </w:rPr>
              <w:t xml:space="preserve"> 3</w:t>
            </w:r>
            <w:r>
              <w:rPr>
                <w:szCs w:val="28"/>
              </w:rPr>
              <w:t>24</w:t>
            </w:r>
            <w:r w:rsidRPr="00370C2D">
              <w:rPr>
                <w:szCs w:val="28"/>
              </w:rPr>
              <w:t>=</w:t>
            </w:r>
            <w:r>
              <w:rPr>
                <w:szCs w:val="28"/>
                <w:lang w:val="en-US"/>
              </w:rPr>
              <w:t>3</w:t>
            </w:r>
            <w:r>
              <w:rPr>
                <w:szCs w:val="28"/>
              </w:rPr>
              <w:t>8</w:t>
            </w:r>
            <w:r>
              <w:rPr>
                <w:szCs w:val="28"/>
                <w:lang w:val="en-US"/>
              </w:rPr>
              <w:t xml:space="preserve"> </w:t>
            </w:r>
            <w:r>
              <w:rPr>
                <w:szCs w:val="28"/>
              </w:rPr>
              <w:t>511</w:t>
            </w:r>
            <w:r w:rsidRPr="00370C2D">
              <w:rPr>
                <w:szCs w:val="28"/>
              </w:rPr>
              <w:t xml:space="preserve"> тыс. руб.</w:t>
            </w:r>
            <w:r>
              <w:rPr>
                <w:szCs w:val="28"/>
              </w:rPr>
              <w:t>(</w:t>
            </w:r>
            <w:r w:rsidRPr="006110C4">
              <w:rPr>
                <w:i/>
                <w:szCs w:val="28"/>
              </w:rPr>
              <w:t>с учетом округления)</w:t>
            </w:r>
          </w:p>
          <w:p w:rsidR="007D54B9" w:rsidRPr="00370C2D" w:rsidRDefault="007D54B9" w:rsidP="00E7317C">
            <w:pPr>
              <w:rPr>
                <w:sz w:val="20"/>
                <w:szCs w:val="20"/>
              </w:rPr>
            </w:pPr>
            <w:r w:rsidRPr="00370C2D">
              <w:rPr>
                <w:sz w:val="20"/>
                <w:szCs w:val="20"/>
              </w:rPr>
              <w:t xml:space="preserve"> </w:t>
            </w:r>
          </w:p>
        </w:tc>
        <w:tc>
          <w:tcPr>
            <w:tcW w:w="1824" w:type="dxa"/>
          </w:tcPr>
          <w:p w:rsidR="007D54B9" w:rsidRDefault="007D54B9" w:rsidP="00E7317C">
            <w:pPr>
              <w:jc w:val="center"/>
              <w:rPr>
                <w:sz w:val="20"/>
                <w:szCs w:val="20"/>
              </w:rPr>
            </w:pPr>
          </w:p>
          <w:p w:rsidR="007D54B9" w:rsidRPr="006B2F0F" w:rsidRDefault="007D54B9" w:rsidP="00E7317C">
            <w:pPr>
              <w:jc w:val="center"/>
              <w:rPr>
                <w:sz w:val="20"/>
                <w:szCs w:val="20"/>
              </w:rPr>
            </w:pPr>
            <w:r>
              <w:rPr>
                <w:b/>
                <w:sz w:val="20"/>
                <w:szCs w:val="20"/>
                <w:lang w:val="en-US"/>
              </w:rPr>
              <w:t>3</w:t>
            </w:r>
            <w:r>
              <w:rPr>
                <w:b/>
                <w:sz w:val="20"/>
                <w:szCs w:val="20"/>
              </w:rPr>
              <w:t>8</w:t>
            </w:r>
            <w:r>
              <w:rPr>
                <w:b/>
                <w:sz w:val="20"/>
                <w:szCs w:val="20"/>
                <w:lang w:val="en-US"/>
              </w:rPr>
              <w:t xml:space="preserve"> </w:t>
            </w:r>
            <w:r>
              <w:rPr>
                <w:b/>
                <w:sz w:val="20"/>
                <w:szCs w:val="20"/>
              </w:rPr>
              <w:t>511</w:t>
            </w:r>
          </w:p>
          <w:p w:rsidR="007D54B9" w:rsidRPr="00370C2D" w:rsidRDefault="007D54B9" w:rsidP="00E7317C">
            <w:pPr>
              <w:jc w:val="center"/>
              <w:rPr>
                <w:sz w:val="20"/>
                <w:szCs w:val="20"/>
              </w:rPr>
            </w:pPr>
          </w:p>
          <w:p w:rsidR="007D54B9" w:rsidRPr="00370C2D" w:rsidRDefault="007D54B9" w:rsidP="00E7317C">
            <w:pPr>
              <w:rPr>
                <w:sz w:val="10"/>
                <w:szCs w:val="10"/>
              </w:rPr>
            </w:pPr>
          </w:p>
          <w:p w:rsidR="007D54B9" w:rsidRPr="00370C2D" w:rsidRDefault="007D54B9" w:rsidP="00E7317C">
            <w:pPr>
              <w:rPr>
                <w:sz w:val="10"/>
                <w:szCs w:val="10"/>
              </w:rPr>
            </w:pPr>
          </w:p>
          <w:p w:rsidR="007D54B9" w:rsidRPr="00370C2D" w:rsidRDefault="007D54B9" w:rsidP="00E7317C">
            <w:pPr>
              <w:rPr>
                <w:sz w:val="10"/>
                <w:szCs w:val="10"/>
              </w:rPr>
            </w:pPr>
          </w:p>
          <w:p w:rsidR="007D54B9" w:rsidRPr="00370C2D" w:rsidRDefault="007D54B9" w:rsidP="00E7317C">
            <w:pPr>
              <w:jc w:val="center"/>
              <w:rPr>
                <w:sz w:val="20"/>
                <w:szCs w:val="20"/>
              </w:rPr>
            </w:pPr>
          </w:p>
        </w:tc>
      </w:tr>
      <w:tr w:rsidR="007D54B9" w:rsidRPr="000D187A" w:rsidTr="00E7317C">
        <w:tc>
          <w:tcPr>
            <w:tcW w:w="7740" w:type="dxa"/>
            <w:tcBorders>
              <w:left w:val="single" w:sz="12" w:space="0" w:color="auto"/>
            </w:tcBorders>
          </w:tcPr>
          <w:p w:rsidR="007D54B9" w:rsidRPr="00DD4024" w:rsidRDefault="007D54B9" w:rsidP="00E7317C">
            <w:pPr>
              <w:rPr>
                <w:sz w:val="20"/>
                <w:szCs w:val="20"/>
              </w:rPr>
            </w:pPr>
            <w:r w:rsidRPr="00DD4024">
              <w:rPr>
                <w:sz w:val="20"/>
                <w:szCs w:val="20"/>
              </w:rPr>
              <w:t xml:space="preserve">     8. Прогноз поступления налога на доб</w:t>
            </w:r>
            <w:r>
              <w:rPr>
                <w:sz w:val="20"/>
                <w:szCs w:val="20"/>
              </w:rPr>
              <w:t>ычу полезных ископаемых на 2022</w:t>
            </w:r>
            <w:r w:rsidRPr="00DD4024">
              <w:rPr>
                <w:sz w:val="20"/>
                <w:szCs w:val="20"/>
              </w:rPr>
              <w:t xml:space="preserve">год   </w:t>
            </w:r>
          </w:p>
          <w:p w:rsidR="007D54B9" w:rsidRPr="006110C4" w:rsidRDefault="007D54B9" w:rsidP="00E7317C">
            <w:pPr>
              <w:rPr>
                <w:i/>
                <w:sz w:val="20"/>
                <w:szCs w:val="20"/>
              </w:rPr>
            </w:pPr>
            <w:r w:rsidRPr="00DD4024">
              <w:rPr>
                <w:sz w:val="20"/>
                <w:szCs w:val="20"/>
              </w:rPr>
              <w:t xml:space="preserve">     </w:t>
            </w:r>
            <w:r w:rsidRPr="00370C2D">
              <w:rPr>
                <w:szCs w:val="28"/>
              </w:rPr>
              <w:t xml:space="preserve">НДПИ </w:t>
            </w:r>
            <w:r w:rsidRPr="00370C2D">
              <w:rPr>
                <w:szCs w:val="28"/>
                <w:vertAlign w:val="subscript"/>
              </w:rPr>
              <w:t>общ. ПИ</w:t>
            </w:r>
            <w:r w:rsidRPr="00370C2D">
              <w:rPr>
                <w:szCs w:val="28"/>
              </w:rPr>
              <w:t xml:space="preserve"> = (Ʃ(</w:t>
            </w:r>
            <w:r w:rsidRPr="00370C2D">
              <w:rPr>
                <w:szCs w:val="28"/>
                <w:lang w:val="en-US"/>
              </w:rPr>
              <w:t>U</w:t>
            </w:r>
            <w:r w:rsidRPr="00370C2D">
              <w:rPr>
                <w:szCs w:val="28"/>
              </w:rPr>
              <w:t xml:space="preserve"> </w:t>
            </w:r>
            <w:r w:rsidRPr="00370C2D">
              <w:rPr>
                <w:szCs w:val="28"/>
                <w:vertAlign w:val="subscript"/>
              </w:rPr>
              <w:t>общ. ПИ</w:t>
            </w:r>
            <w:r w:rsidRPr="00370C2D">
              <w:rPr>
                <w:szCs w:val="28"/>
              </w:rPr>
              <w:t xml:space="preserve"> </w:t>
            </w:r>
            <w:r w:rsidRPr="00370C2D">
              <w:rPr>
                <w:szCs w:val="28"/>
                <w:vertAlign w:val="subscript"/>
              </w:rPr>
              <w:t>факт</w:t>
            </w:r>
            <w:r w:rsidRPr="00370C2D">
              <w:rPr>
                <w:szCs w:val="28"/>
              </w:rPr>
              <w:t xml:space="preserve"> × </w:t>
            </w:r>
            <w:r w:rsidRPr="00370C2D">
              <w:rPr>
                <w:szCs w:val="28"/>
                <w:lang w:val="en-US"/>
              </w:rPr>
              <w:t>J</w:t>
            </w:r>
            <w:r w:rsidRPr="00370C2D">
              <w:rPr>
                <w:szCs w:val="28"/>
              </w:rPr>
              <w:t xml:space="preserve"> </w:t>
            </w:r>
            <w:r w:rsidRPr="00370C2D">
              <w:rPr>
                <w:szCs w:val="28"/>
                <w:vertAlign w:val="subscript"/>
              </w:rPr>
              <w:t>общ. ПИ</w:t>
            </w:r>
            <w:r w:rsidRPr="00370C2D">
              <w:rPr>
                <w:szCs w:val="28"/>
              </w:rPr>
              <w:t xml:space="preserve"> × S </w:t>
            </w:r>
            <w:r w:rsidRPr="00370C2D">
              <w:rPr>
                <w:szCs w:val="28"/>
                <w:vertAlign w:val="subscript"/>
              </w:rPr>
              <w:t>расчет</w:t>
            </w:r>
            <w:r w:rsidRPr="00370C2D">
              <w:rPr>
                <w:szCs w:val="28"/>
              </w:rPr>
              <w:t xml:space="preserve">) (+-) P) × </w:t>
            </w:r>
            <w:r w:rsidRPr="00370C2D">
              <w:rPr>
                <w:szCs w:val="28"/>
                <w:lang w:val="en-US"/>
              </w:rPr>
              <w:t>K</w:t>
            </w:r>
            <w:r w:rsidRPr="00370C2D">
              <w:rPr>
                <w:szCs w:val="28"/>
              </w:rPr>
              <w:t xml:space="preserve"> </w:t>
            </w:r>
            <w:r w:rsidRPr="00370C2D">
              <w:rPr>
                <w:szCs w:val="28"/>
                <w:vertAlign w:val="subscript"/>
              </w:rPr>
              <w:t>соб.</w:t>
            </w:r>
            <w:r w:rsidRPr="00370C2D">
              <w:rPr>
                <w:szCs w:val="28"/>
              </w:rPr>
              <w:t xml:space="preserve"> (+-) F = </w:t>
            </w:r>
            <w:r>
              <w:rPr>
                <w:szCs w:val="28"/>
              </w:rPr>
              <w:t>(626</w:t>
            </w:r>
            <w:r w:rsidRPr="00370C2D">
              <w:rPr>
                <w:szCs w:val="28"/>
              </w:rPr>
              <w:t> </w:t>
            </w:r>
            <w:r>
              <w:rPr>
                <w:szCs w:val="28"/>
              </w:rPr>
              <w:t>722</w:t>
            </w:r>
            <w:r w:rsidRPr="00370C2D">
              <w:rPr>
                <w:szCs w:val="28"/>
              </w:rPr>
              <w:t>*1</w:t>
            </w:r>
            <w:r>
              <w:rPr>
                <w:szCs w:val="28"/>
              </w:rPr>
              <w:t>03,2%</w:t>
            </w:r>
            <w:r w:rsidRPr="00370C2D">
              <w:rPr>
                <w:szCs w:val="28"/>
              </w:rPr>
              <w:t>*</w:t>
            </w:r>
            <w:r>
              <w:rPr>
                <w:szCs w:val="28"/>
              </w:rPr>
              <w:t>102,7%*</w:t>
            </w:r>
            <w:r w:rsidRPr="00370C2D">
              <w:rPr>
                <w:szCs w:val="28"/>
              </w:rPr>
              <w:t>5,</w:t>
            </w:r>
            <w:r>
              <w:rPr>
                <w:szCs w:val="28"/>
              </w:rPr>
              <w:t>41%+ 105(1589-1484</w:t>
            </w:r>
            <w:r w:rsidRPr="00370C2D">
              <w:rPr>
                <w:szCs w:val="28"/>
              </w:rPr>
              <w:t>)</w:t>
            </w:r>
            <w:r>
              <w:rPr>
                <w:szCs w:val="28"/>
              </w:rPr>
              <w:t>)</w:t>
            </w:r>
            <w:r w:rsidRPr="00370C2D">
              <w:rPr>
                <w:szCs w:val="28"/>
              </w:rPr>
              <w:t>*9</w:t>
            </w:r>
            <w:r>
              <w:rPr>
                <w:szCs w:val="28"/>
              </w:rPr>
              <w:t>7</w:t>
            </w:r>
            <w:r w:rsidRPr="00370C2D">
              <w:rPr>
                <w:szCs w:val="28"/>
              </w:rPr>
              <w:t>,</w:t>
            </w:r>
            <w:r>
              <w:rPr>
                <w:szCs w:val="28"/>
              </w:rPr>
              <w:t>7</w:t>
            </w:r>
            <w:r w:rsidRPr="00370C2D">
              <w:rPr>
                <w:szCs w:val="28"/>
              </w:rPr>
              <w:t>%</w:t>
            </w:r>
            <w:r>
              <w:rPr>
                <w:szCs w:val="28"/>
              </w:rPr>
              <w:t>+3 319</w:t>
            </w:r>
            <w:r w:rsidRPr="00370C2D">
              <w:rPr>
                <w:szCs w:val="28"/>
              </w:rPr>
              <w:t xml:space="preserve"> =</w:t>
            </w:r>
            <w:r>
              <w:rPr>
                <w:szCs w:val="28"/>
              </w:rPr>
              <w:t xml:space="preserve">                     38 530</w:t>
            </w:r>
            <w:r w:rsidRPr="00370C2D">
              <w:rPr>
                <w:szCs w:val="28"/>
              </w:rPr>
              <w:t xml:space="preserve"> тыс. руб.</w:t>
            </w:r>
            <w:r>
              <w:rPr>
                <w:szCs w:val="28"/>
              </w:rPr>
              <w:t>(</w:t>
            </w:r>
            <w:r w:rsidRPr="006110C4">
              <w:rPr>
                <w:i/>
                <w:szCs w:val="28"/>
              </w:rPr>
              <w:t>с учетом округления)</w:t>
            </w:r>
          </w:p>
          <w:p w:rsidR="007D54B9" w:rsidRPr="00DD4024" w:rsidRDefault="007D54B9" w:rsidP="00E7317C">
            <w:pPr>
              <w:ind w:left="360"/>
              <w:rPr>
                <w:sz w:val="20"/>
                <w:szCs w:val="20"/>
              </w:rPr>
            </w:pPr>
          </w:p>
        </w:tc>
        <w:tc>
          <w:tcPr>
            <w:tcW w:w="1824" w:type="dxa"/>
          </w:tcPr>
          <w:p w:rsidR="007D54B9" w:rsidRDefault="007D54B9" w:rsidP="00E7317C">
            <w:pPr>
              <w:jc w:val="center"/>
              <w:rPr>
                <w:sz w:val="20"/>
                <w:szCs w:val="20"/>
              </w:rPr>
            </w:pPr>
          </w:p>
          <w:p w:rsidR="007D54B9" w:rsidRPr="00ED0DE4" w:rsidRDefault="007D54B9" w:rsidP="00E7317C">
            <w:pPr>
              <w:jc w:val="center"/>
              <w:rPr>
                <w:b/>
                <w:sz w:val="20"/>
                <w:szCs w:val="20"/>
                <w:lang w:val="en-US"/>
              </w:rPr>
            </w:pPr>
            <w:r>
              <w:rPr>
                <w:b/>
                <w:sz w:val="20"/>
                <w:szCs w:val="20"/>
                <w:lang w:val="en-US"/>
              </w:rPr>
              <w:t>38 53</w:t>
            </w:r>
            <w:r>
              <w:rPr>
                <w:b/>
                <w:sz w:val="20"/>
                <w:szCs w:val="20"/>
              </w:rPr>
              <w:t>0</w:t>
            </w:r>
          </w:p>
          <w:p w:rsidR="007D54B9" w:rsidRPr="00DD4024" w:rsidRDefault="007D54B9" w:rsidP="00E7317C">
            <w:pPr>
              <w:jc w:val="center"/>
              <w:rPr>
                <w:sz w:val="20"/>
                <w:szCs w:val="20"/>
              </w:rPr>
            </w:pPr>
          </w:p>
          <w:p w:rsidR="007D54B9" w:rsidRPr="00DD4024" w:rsidRDefault="007D54B9" w:rsidP="00E7317C">
            <w:pPr>
              <w:jc w:val="center"/>
              <w:rPr>
                <w:sz w:val="20"/>
                <w:szCs w:val="20"/>
              </w:rPr>
            </w:pPr>
          </w:p>
          <w:p w:rsidR="007D54B9" w:rsidRPr="00DD4024" w:rsidRDefault="007D54B9" w:rsidP="00E7317C">
            <w:pPr>
              <w:jc w:val="center"/>
              <w:rPr>
                <w:sz w:val="20"/>
                <w:szCs w:val="20"/>
              </w:rPr>
            </w:pPr>
          </w:p>
        </w:tc>
      </w:tr>
      <w:tr w:rsidR="007D54B9" w:rsidRPr="000D187A" w:rsidTr="00E7317C">
        <w:tc>
          <w:tcPr>
            <w:tcW w:w="7740" w:type="dxa"/>
            <w:tcBorders>
              <w:left w:val="single" w:sz="12" w:space="0" w:color="auto"/>
            </w:tcBorders>
          </w:tcPr>
          <w:p w:rsidR="007D54B9" w:rsidRPr="00DD4024" w:rsidRDefault="007D54B9" w:rsidP="00E7317C">
            <w:pPr>
              <w:rPr>
                <w:sz w:val="20"/>
                <w:szCs w:val="20"/>
              </w:rPr>
            </w:pPr>
            <w:r w:rsidRPr="00DD4024">
              <w:rPr>
                <w:sz w:val="20"/>
                <w:szCs w:val="20"/>
              </w:rPr>
              <w:t xml:space="preserve">       9. Прогноз поступления налога н</w:t>
            </w:r>
            <w:r>
              <w:rPr>
                <w:sz w:val="20"/>
                <w:szCs w:val="20"/>
              </w:rPr>
              <w:t xml:space="preserve">а добычу   полезных ископаемых </w:t>
            </w:r>
            <w:r w:rsidRPr="00DD4024">
              <w:rPr>
                <w:sz w:val="20"/>
                <w:szCs w:val="20"/>
              </w:rPr>
              <w:t>на 20</w:t>
            </w:r>
            <w:r>
              <w:rPr>
                <w:sz w:val="20"/>
                <w:szCs w:val="20"/>
              </w:rPr>
              <w:t>23 г</w:t>
            </w:r>
            <w:r w:rsidRPr="00DD4024">
              <w:rPr>
                <w:sz w:val="20"/>
                <w:szCs w:val="20"/>
              </w:rPr>
              <w:t xml:space="preserve">од            </w:t>
            </w:r>
          </w:p>
          <w:p w:rsidR="007D54B9" w:rsidRPr="006110C4" w:rsidRDefault="007D54B9" w:rsidP="00E7317C">
            <w:pPr>
              <w:ind w:left="360"/>
              <w:rPr>
                <w:i/>
                <w:sz w:val="20"/>
                <w:szCs w:val="20"/>
              </w:rPr>
            </w:pPr>
            <w:r w:rsidRPr="00370C2D">
              <w:rPr>
                <w:szCs w:val="28"/>
              </w:rPr>
              <w:t xml:space="preserve">НДПИ </w:t>
            </w:r>
            <w:r w:rsidRPr="00370C2D">
              <w:rPr>
                <w:szCs w:val="28"/>
                <w:vertAlign w:val="subscript"/>
              </w:rPr>
              <w:t>общ. ПИ</w:t>
            </w:r>
            <w:r w:rsidRPr="00370C2D">
              <w:rPr>
                <w:szCs w:val="28"/>
              </w:rPr>
              <w:t xml:space="preserve"> = (Ʃ(</w:t>
            </w:r>
            <w:r w:rsidRPr="00370C2D">
              <w:rPr>
                <w:szCs w:val="28"/>
                <w:lang w:val="en-US"/>
              </w:rPr>
              <w:t>U</w:t>
            </w:r>
            <w:r w:rsidRPr="00370C2D">
              <w:rPr>
                <w:szCs w:val="28"/>
              </w:rPr>
              <w:t xml:space="preserve"> </w:t>
            </w:r>
            <w:r w:rsidRPr="00370C2D">
              <w:rPr>
                <w:szCs w:val="28"/>
                <w:vertAlign w:val="subscript"/>
              </w:rPr>
              <w:t>общ. ПИ</w:t>
            </w:r>
            <w:r w:rsidRPr="00370C2D">
              <w:rPr>
                <w:szCs w:val="28"/>
              </w:rPr>
              <w:t xml:space="preserve"> </w:t>
            </w:r>
            <w:r w:rsidRPr="00370C2D">
              <w:rPr>
                <w:szCs w:val="28"/>
                <w:vertAlign w:val="subscript"/>
              </w:rPr>
              <w:t>факт</w:t>
            </w:r>
            <w:r w:rsidRPr="00370C2D">
              <w:rPr>
                <w:szCs w:val="28"/>
              </w:rPr>
              <w:t xml:space="preserve"> × </w:t>
            </w:r>
            <w:r w:rsidRPr="00370C2D">
              <w:rPr>
                <w:szCs w:val="28"/>
                <w:lang w:val="en-US"/>
              </w:rPr>
              <w:t>J</w:t>
            </w:r>
            <w:r w:rsidRPr="00370C2D">
              <w:rPr>
                <w:szCs w:val="28"/>
              </w:rPr>
              <w:t xml:space="preserve"> </w:t>
            </w:r>
            <w:r w:rsidRPr="00370C2D">
              <w:rPr>
                <w:szCs w:val="28"/>
                <w:vertAlign w:val="subscript"/>
              </w:rPr>
              <w:t>общ. ПИ</w:t>
            </w:r>
            <w:r w:rsidRPr="00370C2D">
              <w:rPr>
                <w:szCs w:val="28"/>
              </w:rPr>
              <w:t xml:space="preserve"> × S </w:t>
            </w:r>
            <w:r w:rsidRPr="00370C2D">
              <w:rPr>
                <w:szCs w:val="28"/>
                <w:vertAlign w:val="subscript"/>
              </w:rPr>
              <w:t>расчет</w:t>
            </w:r>
            <w:r w:rsidRPr="00370C2D">
              <w:rPr>
                <w:szCs w:val="28"/>
              </w:rPr>
              <w:t xml:space="preserve">) (+-) P) × </w:t>
            </w:r>
            <w:r w:rsidRPr="00370C2D">
              <w:rPr>
                <w:szCs w:val="28"/>
                <w:lang w:val="en-US"/>
              </w:rPr>
              <w:t>K</w:t>
            </w:r>
            <w:r w:rsidRPr="00370C2D">
              <w:rPr>
                <w:szCs w:val="28"/>
              </w:rPr>
              <w:t xml:space="preserve"> </w:t>
            </w:r>
            <w:r w:rsidRPr="00370C2D">
              <w:rPr>
                <w:szCs w:val="28"/>
                <w:vertAlign w:val="subscript"/>
              </w:rPr>
              <w:t>соб.</w:t>
            </w:r>
            <w:r w:rsidRPr="00370C2D">
              <w:rPr>
                <w:szCs w:val="28"/>
              </w:rPr>
              <w:t xml:space="preserve"> (+-) F = (</w:t>
            </w:r>
            <w:r>
              <w:rPr>
                <w:szCs w:val="28"/>
                <w:lang w:val="en-US"/>
              </w:rPr>
              <w:t>6</w:t>
            </w:r>
            <w:r>
              <w:rPr>
                <w:szCs w:val="28"/>
              </w:rPr>
              <w:t>26</w:t>
            </w:r>
            <w:r w:rsidRPr="00370C2D">
              <w:rPr>
                <w:szCs w:val="28"/>
              </w:rPr>
              <w:t> </w:t>
            </w:r>
            <w:r>
              <w:rPr>
                <w:szCs w:val="28"/>
              </w:rPr>
              <w:t>722</w:t>
            </w:r>
            <w:r w:rsidRPr="00370C2D">
              <w:rPr>
                <w:szCs w:val="28"/>
              </w:rPr>
              <w:t>*1</w:t>
            </w:r>
            <w:r>
              <w:rPr>
                <w:szCs w:val="28"/>
              </w:rPr>
              <w:t>03,2%</w:t>
            </w:r>
            <w:r w:rsidRPr="00370C2D">
              <w:rPr>
                <w:szCs w:val="28"/>
              </w:rPr>
              <w:t>*</w:t>
            </w:r>
            <w:r>
              <w:rPr>
                <w:szCs w:val="28"/>
              </w:rPr>
              <w:t>102,7%*100,8%*</w:t>
            </w:r>
            <w:r w:rsidRPr="00370C2D">
              <w:rPr>
                <w:szCs w:val="28"/>
              </w:rPr>
              <w:t>5,</w:t>
            </w:r>
            <w:r>
              <w:rPr>
                <w:szCs w:val="28"/>
              </w:rPr>
              <w:t>41%+89(1 484-1 395))</w:t>
            </w:r>
            <w:r w:rsidRPr="00370C2D">
              <w:rPr>
                <w:szCs w:val="28"/>
              </w:rPr>
              <w:t>*9</w:t>
            </w:r>
            <w:r>
              <w:rPr>
                <w:szCs w:val="28"/>
              </w:rPr>
              <w:t>7</w:t>
            </w:r>
            <w:r w:rsidRPr="00370C2D">
              <w:rPr>
                <w:szCs w:val="28"/>
              </w:rPr>
              <w:t>,</w:t>
            </w:r>
            <w:r>
              <w:rPr>
                <w:szCs w:val="28"/>
              </w:rPr>
              <w:t>7</w:t>
            </w:r>
            <w:r w:rsidRPr="00370C2D">
              <w:rPr>
                <w:szCs w:val="28"/>
              </w:rPr>
              <w:t xml:space="preserve">% </w:t>
            </w:r>
            <w:r>
              <w:rPr>
                <w:szCs w:val="28"/>
              </w:rPr>
              <w:t xml:space="preserve">+3 345 </w:t>
            </w:r>
            <w:r w:rsidRPr="00370C2D">
              <w:rPr>
                <w:szCs w:val="28"/>
              </w:rPr>
              <w:t>=</w:t>
            </w:r>
            <w:r>
              <w:rPr>
                <w:szCs w:val="28"/>
              </w:rPr>
              <w:t xml:space="preserve"> 38 822 </w:t>
            </w:r>
            <w:r w:rsidRPr="00370C2D">
              <w:rPr>
                <w:szCs w:val="28"/>
              </w:rPr>
              <w:t>тыс. руб.</w:t>
            </w:r>
            <w:r>
              <w:rPr>
                <w:szCs w:val="28"/>
              </w:rPr>
              <w:t>(</w:t>
            </w:r>
            <w:r w:rsidRPr="006110C4">
              <w:rPr>
                <w:i/>
                <w:szCs w:val="28"/>
              </w:rPr>
              <w:t>с учетом округления)</w:t>
            </w:r>
          </w:p>
          <w:p w:rsidR="007D54B9" w:rsidRDefault="007D54B9" w:rsidP="00E7317C">
            <w:pPr>
              <w:ind w:left="360"/>
              <w:rPr>
                <w:sz w:val="20"/>
                <w:szCs w:val="20"/>
              </w:rPr>
            </w:pPr>
          </w:p>
          <w:p w:rsidR="007D54B9" w:rsidRDefault="007D54B9" w:rsidP="00E7317C">
            <w:pPr>
              <w:ind w:left="360"/>
              <w:rPr>
                <w:sz w:val="20"/>
                <w:szCs w:val="20"/>
              </w:rPr>
            </w:pPr>
          </w:p>
          <w:p w:rsidR="007D54B9" w:rsidRPr="00DD4024" w:rsidRDefault="007D54B9" w:rsidP="00E7317C">
            <w:pPr>
              <w:ind w:left="360"/>
              <w:rPr>
                <w:sz w:val="20"/>
                <w:szCs w:val="20"/>
              </w:rPr>
            </w:pPr>
          </w:p>
        </w:tc>
        <w:tc>
          <w:tcPr>
            <w:tcW w:w="1824" w:type="dxa"/>
          </w:tcPr>
          <w:p w:rsidR="007D54B9" w:rsidRDefault="007D54B9" w:rsidP="00E7317C">
            <w:pPr>
              <w:jc w:val="center"/>
              <w:rPr>
                <w:sz w:val="20"/>
                <w:szCs w:val="20"/>
              </w:rPr>
            </w:pPr>
          </w:p>
          <w:p w:rsidR="007D54B9" w:rsidRPr="006E1C1A" w:rsidRDefault="007D54B9" w:rsidP="00E7317C">
            <w:pPr>
              <w:jc w:val="center"/>
              <w:rPr>
                <w:b/>
                <w:sz w:val="20"/>
                <w:szCs w:val="20"/>
                <w:lang w:val="en-US"/>
              </w:rPr>
            </w:pPr>
            <w:r>
              <w:rPr>
                <w:b/>
                <w:sz w:val="20"/>
                <w:szCs w:val="20"/>
              </w:rPr>
              <w:t>38</w:t>
            </w:r>
            <w:r>
              <w:rPr>
                <w:b/>
                <w:sz w:val="20"/>
                <w:szCs w:val="20"/>
                <w:lang w:val="en-US"/>
              </w:rPr>
              <w:t xml:space="preserve"> 8</w:t>
            </w:r>
            <w:r>
              <w:rPr>
                <w:b/>
                <w:sz w:val="20"/>
                <w:szCs w:val="20"/>
              </w:rPr>
              <w:t>22</w:t>
            </w:r>
          </w:p>
          <w:p w:rsidR="007D54B9" w:rsidRPr="00DD4024" w:rsidRDefault="007D54B9" w:rsidP="00E7317C">
            <w:pPr>
              <w:jc w:val="center"/>
              <w:rPr>
                <w:sz w:val="20"/>
                <w:szCs w:val="20"/>
              </w:rPr>
            </w:pPr>
          </w:p>
          <w:p w:rsidR="007D54B9" w:rsidRPr="00DD4024" w:rsidRDefault="007D54B9" w:rsidP="00E7317C">
            <w:pPr>
              <w:jc w:val="center"/>
              <w:rPr>
                <w:b/>
                <w:sz w:val="20"/>
                <w:szCs w:val="20"/>
              </w:rPr>
            </w:pPr>
          </w:p>
          <w:p w:rsidR="007D54B9" w:rsidRPr="00DD4024" w:rsidRDefault="007D54B9" w:rsidP="00E7317C">
            <w:pPr>
              <w:rPr>
                <w:sz w:val="20"/>
                <w:szCs w:val="20"/>
              </w:rPr>
            </w:pPr>
          </w:p>
        </w:tc>
      </w:tr>
      <w:tr w:rsidR="007D54B9" w:rsidRPr="000D187A" w:rsidTr="00E7317C">
        <w:tc>
          <w:tcPr>
            <w:tcW w:w="7740" w:type="dxa"/>
            <w:tcBorders>
              <w:left w:val="single" w:sz="12" w:space="0" w:color="auto"/>
            </w:tcBorders>
          </w:tcPr>
          <w:p w:rsidR="007D54B9" w:rsidRPr="00DD4024" w:rsidRDefault="007D54B9" w:rsidP="00E7317C">
            <w:pPr>
              <w:rPr>
                <w:sz w:val="20"/>
                <w:szCs w:val="20"/>
              </w:rPr>
            </w:pPr>
            <w:r w:rsidRPr="00DD4024">
              <w:rPr>
                <w:sz w:val="20"/>
                <w:szCs w:val="20"/>
              </w:rPr>
              <w:t xml:space="preserve">      10. Прогноз поступления налога на добычу  полезных ископаемых  на 202</w:t>
            </w:r>
            <w:r>
              <w:rPr>
                <w:sz w:val="20"/>
                <w:szCs w:val="20"/>
              </w:rPr>
              <w:t>4</w:t>
            </w:r>
            <w:r w:rsidRPr="00DD4024">
              <w:rPr>
                <w:sz w:val="20"/>
                <w:szCs w:val="20"/>
              </w:rPr>
              <w:t xml:space="preserve"> год </w:t>
            </w:r>
          </w:p>
          <w:p w:rsidR="007D54B9" w:rsidRPr="006110C4" w:rsidRDefault="007D54B9" w:rsidP="00E7317C">
            <w:pPr>
              <w:rPr>
                <w:i/>
                <w:sz w:val="20"/>
                <w:szCs w:val="20"/>
              </w:rPr>
            </w:pPr>
            <w:r w:rsidRPr="00DD4024">
              <w:rPr>
                <w:sz w:val="20"/>
                <w:szCs w:val="20"/>
              </w:rPr>
              <w:t xml:space="preserve">         </w:t>
            </w:r>
            <w:r w:rsidRPr="00370C2D">
              <w:rPr>
                <w:szCs w:val="28"/>
              </w:rPr>
              <w:t xml:space="preserve">НДПИ </w:t>
            </w:r>
            <w:r w:rsidRPr="00370C2D">
              <w:rPr>
                <w:szCs w:val="28"/>
                <w:vertAlign w:val="subscript"/>
              </w:rPr>
              <w:t>общ. ПИ</w:t>
            </w:r>
            <w:r w:rsidRPr="00370C2D">
              <w:rPr>
                <w:szCs w:val="28"/>
              </w:rPr>
              <w:t xml:space="preserve"> = (Ʃ(</w:t>
            </w:r>
            <w:r w:rsidRPr="00370C2D">
              <w:rPr>
                <w:szCs w:val="28"/>
                <w:lang w:val="en-US"/>
              </w:rPr>
              <w:t>U</w:t>
            </w:r>
            <w:r w:rsidRPr="00370C2D">
              <w:rPr>
                <w:szCs w:val="28"/>
              </w:rPr>
              <w:t xml:space="preserve"> </w:t>
            </w:r>
            <w:r w:rsidRPr="00370C2D">
              <w:rPr>
                <w:szCs w:val="28"/>
                <w:vertAlign w:val="subscript"/>
              </w:rPr>
              <w:t>общ. ПИ</w:t>
            </w:r>
            <w:r w:rsidRPr="00370C2D">
              <w:rPr>
                <w:szCs w:val="28"/>
              </w:rPr>
              <w:t xml:space="preserve"> </w:t>
            </w:r>
            <w:r w:rsidRPr="00370C2D">
              <w:rPr>
                <w:szCs w:val="28"/>
                <w:vertAlign w:val="subscript"/>
              </w:rPr>
              <w:t>факт</w:t>
            </w:r>
            <w:r w:rsidRPr="00370C2D">
              <w:rPr>
                <w:szCs w:val="28"/>
              </w:rPr>
              <w:t xml:space="preserve"> × </w:t>
            </w:r>
            <w:r w:rsidRPr="00370C2D">
              <w:rPr>
                <w:szCs w:val="28"/>
                <w:lang w:val="en-US"/>
              </w:rPr>
              <w:t>J</w:t>
            </w:r>
            <w:r w:rsidRPr="00370C2D">
              <w:rPr>
                <w:szCs w:val="28"/>
              </w:rPr>
              <w:t xml:space="preserve"> </w:t>
            </w:r>
            <w:r w:rsidRPr="00370C2D">
              <w:rPr>
                <w:szCs w:val="28"/>
                <w:vertAlign w:val="subscript"/>
              </w:rPr>
              <w:t>общ. ПИ</w:t>
            </w:r>
            <w:r w:rsidRPr="00370C2D">
              <w:rPr>
                <w:szCs w:val="28"/>
              </w:rPr>
              <w:t xml:space="preserve"> × S </w:t>
            </w:r>
            <w:r w:rsidRPr="00370C2D">
              <w:rPr>
                <w:szCs w:val="28"/>
                <w:vertAlign w:val="subscript"/>
              </w:rPr>
              <w:t>расчет</w:t>
            </w:r>
            <w:r w:rsidRPr="00370C2D">
              <w:rPr>
                <w:szCs w:val="28"/>
              </w:rPr>
              <w:t xml:space="preserve">) (+-) P) × </w:t>
            </w:r>
            <w:r w:rsidRPr="00370C2D">
              <w:rPr>
                <w:szCs w:val="28"/>
                <w:lang w:val="en-US"/>
              </w:rPr>
              <w:t>K</w:t>
            </w:r>
            <w:r w:rsidRPr="00370C2D">
              <w:rPr>
                <w:szCs w:val="28"/>
              </w:rPr>
              <w:t xml:space="preserve"> </w:t>
            </w:r>
            <w:r w:rsidRPr="00370C2D">
              <w:rPr>
                <w:szCs w:val="28"/>
                <w:vertAlign w:val="subscript"/>
              </w:rPr>
              <w:t>соб.</w:t>
            </w:r>
            <w:r w:rsidRPr="00370C2D">
              <w:rPr>
                <w:szCs w:val="28"/>
              </w:rPr>
              <w:t xml:space="preserve"> (+-) F = </w:t>
            </w:r>
            <w:r>
              <w:rPr>
                <w:szCs w:val="28"/>
              </w:rPr>
              <w:t>(</w:t>
            </w:r>
            <w:r w:rsidRPr="00370C2D">
              <w:rPr>
                <w:szCs w:val="28"/>
              </w:rPr>
              <w:t>(</w:t>
            </w:r>
            <w:r>
              <w:rPr>
                <w:szCs w:val="28"/>
                <w:lang w:val="en-US"/>
              </w:rPr>
              <w:t>6</w:t>
            </w:r>
            <w:r>
              <w:rPr>
                <w:szCs w:val="28"/>
              </w:rPr>
              <w:t>26</w:t>
            </w:r>
            <w:r w:rsidRPr="00370C2D">
              <w:rPr>
                <w:szCs w:val="28"/>
              </w:rPr>
              <w:t> </w:t>
            </w:r>
            <w:r>
              <w:rPr>
                <w:szCs w:val="28"/>
              </w:rPr>
              <w:t>722</w:t>
            </w:r>
            <w:r w:rsidRPr="00370C2D">
              <w:rPr>
                <w:szCs w:val="28"/>
              </w:rPr>
              <w:t>*1</w:t>
            </w:r>
            <w:r>
              <w:rPr>
                <w:szCs w:val="28"/>
              </w:rPr>
              <w:t>03,2%</w:t>
            </w:r>
            <w:r w:rsidRPr="00370C2D">
              <w:rPr>
                <w:szCs w:val="28"/>
              </w:rPr>
              <w:t>*</w:t>
            </w:r>
            <w:r>
              <w:rPr>
                <w:szCs w:val="28"/>
              </w:rPr>
              <w:t>102,7%*100,8%*100,6%*</w:t>
            </w:r>
            <w:r w:rsidRPr="00370C2D">
              <w:rPr>
                <w:szCs w:val="28"/>
              </w:rPr>
              <w:t>5,</w:t>
            </w:r>
            <w:r>
              <w:rPr>
                <w:szCs w:val="28"/>
              </w:rPr>
              <w:t>41%+ 87(1 395-1 308</w:t>
            </w:r>
            <w:r w:rsidRPr="00370C2D">
              <w:rPr>
                <w:szCs w:val="28"/>
              </w:rPr>
              <w:t>)*9</w:t>
            </w:r>
            <w:r>
              <w:rPr>
                <w:szCs w:val="28"/>
              </w:rPr>
              <w:t>7</w:t>
            </w:r>
            <w:r w:rsidRPr="00370C2D">
              <w:rPr>
                <w:szCs w:val="28"/>
              </w:rPr>
              <w:t>,</w:t>
            </w:r>
            <w:r>
              <w:rPr>
                <w:szCs w:val="28"/>
              </w:rPr>
              <w:t>7</w:t>
            </w:r>
            <w:r w:rsidRPr="00370C2D">
              <w:rPr>
                <w:szCs w:val="28"/>
              </w:rPr>
              <w:t>%</w:t>
            </w:r>
            <w:r>
              <w:rPr>
                <w:szCs w:val="28"/>
              </w:rPr>
              <w:t>+3 365</w:t>
            </w:r>
            <w:r w:rsidRPr="00370C2D">
              <w:rPr>
                <w:szCs w:val="28"/>
              </w:rPr>
              <w:t>=</w:t>
            </w:r>
            <w:r>
              <w:rPr>
                <w:szCs w:val="28"/>
              </w:rPr>
              <w:t xml:space="preserve"> 39 052</w:t>
            </w:r>
            <w:r w:rsidRPr="00370C2D">
              <w:rPr>
                <w:szCs w:val="28"/>
              </w:rPr>
              <w:t xml:space="preserve"> тыс. руб.</w:t>
            </w:r>
            <w:r>
              <w:rPr>
                <w:szCs w:val="28"/>
              </w:rPr>
              <w:t>(</w:t>
            </w:r>
            <w:r w:rsidRPr="006110C4">
              <w:rPr>
                <w:i/>
                <w:szCs w:val="28"/>
              </w:rPr>
              <w:t>с учетом округления)</w:t>
            </w:r>
          </w:p>
          <w:p w:rsidR="007D54B9" w:rsidRPr="00DD4024" w:rsidRDefault="007D54B9" w:rsidP="00E7317C">
            <w:pPr>
              <w:rPr>
                <w:sz w:val="20"/>
                <w:szCs w:val="20"/>
              </w:rPr>
            </w:pPr>
          </w:p>
          <w:p w:rsidR="007D54B9" w:rsidRPr="00DD4024" w:rsidRDefault="007D54B9" w:rsidP="00E7317C">
            <w:pPr>
              <w:ind w:left="360"/>
              <w:rPr>
                <w:sz w:val="20"/>
                <w:szCs w:val="20"/>
              </w:rPr>
            </w:pPr>
          </w:p>
        </w:tc>
        <w:tc>
          <w:tcPr>
            <w:tcW w:w="1824" w:type="dxa"/>
          </w:tcPr>
          <w:p w:rsidR="007D54B9" w:rsidRDefault="007D54B9" w:rsidP="00E7317C">
            <w:pPr>
              <w:jc w:val="center"/>
              <w:rPr>
                <w:sz w:val="20"/>
                <w:szCs w:val="20"/>
              </w:rPr>
            </w:pPr>
          </w:p>
          <w:p w:rsidR="007D54B9" w:rsidRPr="006E1C1A" w:rsidRDefault="007D54B9" w:rsidP="00E7317C">
            <w:pPr>
              <w:jc w:val="center"/>
              <w:rPr>
                <w:b/>
                <w:sz w:val="20"/>
                <w:szCs w:val="20"/>
                <w:lang w:val="en-US"/>
              </w:rPr>
            </w:pPr>
            <w:r>
              <w:rPr>
                <w:b/>
                <w:sz w:val="20"/>
                <w:szCs w:val="20"/>
              </w:rPr>
              <w:t>39 052</w:t>
            </w:r>
          </w:p>
          <w:p w:rsidR="007D54B9" w:rsidRPr="00DD4024" w:rsidRDefault="007D54B9" w:rsidP="00E7317C">
            <w:pPr>
              <w:jc w:val="center"/>
              <w:rPr>
                <w:sz w:val="20"/>
                <w:szCs w:val="20"/>
              </w:rPr>
            </w:pPr>
          </w:p>
        </w:tc>
      </w:tr>
    </w:tbl>
    <w:p w:rsidR="007D54B9" w:rsidRPr="007D54B9" w:rsidRDefault="007D54B9" w:rsidP="007D54B9">
      <w:pPr>
        <w:pStyle w:val="21"/>
        <w:ind w:firstLine="0"/>
        <w:rPr>
          <w:color w:val="000000" w:themeColor="text1"/>
        </w:rPr>
      </w:pPr>
    </w:p>
    <w:p w:rsidR="007D54B9" w:rsidRDefault="007D54B9" w:rsidP="007D54B9">
      <w:pPr>
        <w:pStyle w:val="21"/>
        <w:ind w:firstLine="0"/>
        <w:jc w:val="right"/>
        <w:rPr>
          <w:color w:val="000000" w:themeColor="text1"/>
        </w:rPr>
      </w:pPr>
    </w:p>
    <w:p w:rsidR="007D54B9" w:rsidRDefault="007D54B9" w:rsidP="007D54B9">
      <w:pPr>
        <w:ind w:firstLine="709"/>
        <w:jc w:val="center"/>
        <w:rPr>
          <w:b/>
          <w:sz w:val="28"/>
          <w:szCs w:val="28"/>
        </w:rPr>
      </w:pPr>
      <w:r w:rsidRPr="00B03620">
        <w:rPr>
          <w:b/>
          <w:sz w:val="28"/>
          <w:szCs w:val="28"/>
        </w:rPr>
        <w:t xml:space="preserve">Налог на добычу </w:t>
      </w:r>
      <w:r>
        <w:rPr>
          <w:b/>
          <w:sz w:val="28"/>
          <w:szCs w:val="28"/>
        </w:rPr>
        <w:t>прочих</w:t>
      </w:r>
      <w:r w:rsidRPr="00B03620">
        <w:rPr>
          <w:b/>
          <w:sz w:val="28"/>
          <w:szCs w:val="28"/>
        </w:rPr>
        <w:t xml:space="preserve"> полезных ископаемых</w:t>
      </w:r>
      <w:r>
        <w:rPr>
          <w:b/>
          <w:sz w:val="28"/>
          <w:szCs w:val="28"/>
        </w:rPr>
        <w:t xml:space="preserve"> (</w:t>
      </w:r>
      <w:r w:rsidRPr="00BB2C4E">
        <w:rPr>
          <w:b/>
          <w:sz w:val="28"/>
          <w:szCs w:val="28"/>
        </w:rPr>
        <w:t>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w:t>
      </w:r>
      <w:r>
        <w:rPr>
          <w:b/>
          <w:sz w:val="28"/>
          <w:szCs w:val="28"/>
        </w:rPr>
        <w:t>)</w:t>
      </w:r>
    </w:p>
    <w:p w:rsidR="007D54B9" w:rsidRDefault="007D54B9" w:rsidP="007D54B9">
      <w:pPr>
        <w:ind w:firstLine="709"/>
        <w:jc w:val="center"/>
        <w:rPr>
          <w:b/>
          <w:sz w:val="28"/>
          <w:szCs w:val="28"/>
        </w:rPr>
      </w:pPr>
      <w:r>
        <w:rPr>
          <w:b/>
          <w:sz w:val="28"/>
          <w:szCs w:val="28"/>
        </w:rPr>
        <w:t>(000</w:t>
      </w:r>
      <w:r w:rsidRPr="00F648C2">
        <w:rPr>
          <w:b/>
          <w:sz w:val="28"/>
          <w:szCs w:val="28"/>
        </w:rPr>
        <w:t xml:space="preserve"> 107</w:t>
      </w:r>
      <w:r>
        <w:rPr>
          <w:b/>
          <w:sz w:val="28"/>
          <w:szCs w:val="28"/>
        </w:rPr>
        <w:t xml:space="preserve"> </w:t>
      </w:r>
      <w:r w:rsidRPr="00F648C2">
        <w:rPr>
          <w:b/>
          <w:sz w:val="28"/>
          <w:szCs w:val="28"/>
        </w:rPr>
        <w:t>010</w:t>
      </w:r>
      <w:r>
        <w:rPr>
          <w:b/>
          <w:sz w:val="28"/>
          <w:szCs w:val="28"/>
        </w:rPr>
        <w:t>3</w:t>
      </w:r>
      <w:r w:rsidRPr="00F648C2">
        <w:rPr>
          <w:b/>
          <w:sz w:val="28"/>
          <w:szCs w:val="28"/>
        </w:rPr>
        <w:t>0 01 0000 110</w:t>
      </w:r>
      <w:r>
        <w:rPr>
          <w:b/>
          <w:sz w:val="28"/>
          <w:szCs w:val="28"/>
        </w:rPr>
        <w:t>)</w:t>
      </w:r>
    </w:p>
    <w:p w:rsidR="00C72AA2" w:rsidRDefault="00C72AA2" w:rsidP="006A79A2">
      <w:pPr>
        <w:pStyle w:val="21"/>
        <w:ind w:firstLine="0"/>
        <w:jc w:val="center"/>
        <w:rPr>
          <w:color w:val="000000" w:themeColor="text1"/>
        </w:rPr>
      </w:pPr>
    </w:p>
    <w:p w:rsidR="007D54B9" w:rsidRPr="007D54B9" w:rsidRDefault="007D54B9" w:rsidP="007D54B9">
      <w:pPr>
        <w:ind w:firstLine="709"/>
        <w:jc w:val="both"/>
        <w:rPr>
          <w:color w:val="000000"/>
          <w:sz w:val="28"/>
          <w:szCs w:val="28"/>
        </w:rPr>
      </w:pPr>
      <w:r w:rsidRPr="007D54B9">
        <w:rPr>
          <w:color w:val="000000"/>
          <w:sz w:val="28"/>
          <w:szCs w:val="28"/>
        </w:rPr>
        <w:t>Прогнозный объём поступлений налога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w:t>
      </w:r>
      <w:r w:rsidRPr="007D54B9">
        <w:rPr>
          <w:b/>
          <w:i/>
          <w:color w:val="000000"/>
          <w:sz w:val="28"/>
          <w:szCs w:val="28"/>
        </w:rPr>
        <w:t xml:space="preserve">НДПИ </w:t>
      </w:r>
      <w:r w:rsidRPr="007D54B9">
        <w:rPr>
          <w:b/>
          <w:i/>
          <w:color w:val="000000"/>
          <w:sz w:val="28"/>
          <w:szCs w:val="28"/>
          <w:vertAlign w:val="subscript"/>
        </w:rPr>
        <w:t>проч. ПИ</w:t>
      </w:r>
      <w:r w:rsidRPr="007D54B9">
        <w:rPr>
          <w:i/>
          <w:color w:val="000000"/>
          <w:sz w:val="28"/>
          <w:szCs w:val="28"/>
        </w:rPr>
        <w:t xml:space="preserve">) </w:t>
      </w:r>
      <w:r w:rsidRPr="007D54B9">
        <w:rPr>
          <w:color w:val="000000"/>
          <w:sz w:val="28"/>
          <w:szCs w:val="28"/>
        </w:rPr>
        <w:t>определяется с учетом норматива зачисления в областной бюджет Тверской области 60% исходя из следующего алгоритма расчёта:</w:t>
      </w:r>
    </w:p>
    <w:p w:rsidR="007D54B9" w:rsidRPr="007D54B9" w:rsidRDefault="007D54B9" w:rsidP="007D54B9">
      <w:pPr>
        <w:spacing w:before="120" w:after="120"/>
        <w:ind w:firstLine="709"/>
        <w:jc w:val="center"/>
        <w:rPr>
          <w:b/>
          <w:i/>
          <w:color w:val="000000"/>
          <w:sz w:val="28"/>
          <w:szCs w:val="28"/>
        </w:rPr>
      </w:pPr>
      <w:r w:rsidRPr="007D54B9">
        <w:rPr>
          <w:b/>
          <w:i/>
          <w:color w:val="000000"/>
          <w:sz w:val="28"/>
          <w:szCs w:val="28"/>
        </w:rPr>
        <w:t xml:space="preserve">НДПИ </w:t>
      </w:r>
      <w:r w:rsidRPr="007D54B9">
        <w:rPr>
          <w:b/>
          <w:i/>
          <w:color w:val="000000"/>
          <w:sz w:val="28"/>
          <w:szCs w:val="28"/>
          <w:vertAlign w:val="subscript"/>
        </w:rPr>
        <w:t>проч. ПИ</w:t>
      </w:r>
      <w:r w:rsidRPr="007D54B9">
        <w:rPr>
          <w:b/>
          <w:i/>
          <w:color w:val="000000"/>
          <w:sz w:val="28"/>
          <w:szCs w:val="28"/>
        </w:rPr>
        <w:t xml:space="preserve"> = (Ʃ(</w:t>
      </w:r>
      <w:r w:rsidRPr="007D54B9">
        <w:rPr>
          <w:b/>
          <w:i/>
          <w:color w:val="000000"/>
          <w:sz w:val="28"/>
          <w:szCs w:val="28"/>
          <w:lang w:val="en-US"/>
        </w:rPr>
        <w:t>U</w:t>
      </w:r>
      <w:r w:rsidRPr="007D54B9">
        <w:rPr>
          <w:b/>
          <w:i/>
          <w:color w:val="000000"/>
          <w:sz w:val="28"/>
          <w:szCs w:val="28"/>
        </w:rPr>
        <w:t xml:space="preserve"> </w:t>
      </w:r>
      <w:r w:rsidRPr="007D54B9">
        <w:rPr>
          <w:b/>
          <w:i/>
          <w:color w:val="000000"/>
          <w:sz w:val="28"/>
          <w:szCs w:val="28"/>
          <w:vertAlign w:val="subscript"/>
        </w:rPr>
        <w:t xml:space="preserve">проч. ПИ </w:t>
      </w:r>
      <w:r w:rsidRPr="007D54B9">
        <w:rPr>
          <w:b/>
          <w:i/>
          <w:color w:val="000000"/>
          <w:sz w:val="28"/>
          <w:szCs w:val="28"/>
        </w:rPr>
        <w:t xml:space="preserve">× S) (+-) P) × </w:t>
      </w:r>
      <w:r w:rsidRPr="007D54B9">
        <w:rPr>
          <w:b/>
          <w:i/>
          <w:color w:val="000000"/>
          <w:sz w:val="28"/>
          <w:szCs w:val="28"/>
          <w:lang w:val="en-US"/>
        </w:rPr>
        <w:t>K</w:t>
      </w:r>
      <w:r w:rsidRPr="007D54B9">
        <w:rPr>
          <w:b/>
          <w:i/>
          <w:color w:val="000000"/>
          <w:sz w:val="28"/>
          <w:szCs w:val="28"/>
        </w:rPr>
        <w:t xml:space="preserve"> </w:t>
      </w:r>
      <w:r w:rsidRPr="007D54B9">
        <w:rPr>
          <w:b/>
          <w:i/>
          <w:color w:val="000000"/>
          <w:sz w:val="28"/>
          <w:szCs w:val="28"/>
          <w:vertAlign w:val="subscript"/>
        </w:rPr>
        <w:t>соб.</w:t>
      </w:r>
      <w:r w:rsidRPr="007D54B9">
        <w:rPr>
          <w:b/>
          <w:i/>
          <w:color w:val="000000"/>
          <w:sz w:val="28"/>
          <w:szCs w:val="28"/>
        </w:rPr>
        <w:t xml:space="preserve"> (+-) F,</w:t>
      </w:r>
    </w:p>
    <w:p w:rsidR="007D54B9" w:rsidRPr="007D54B9" w:rsidRDefault="007D54B9" w:rsidP="007D54B9">
      <w:pPr>
        <w:ind w:firstLine="709"/>
        <w:jc w:val="both"/>
        <w:rPr>
          <w:color w:val="000000"/>
          <w:sz w:val="28"/>
          <w:szCs w:val="28"/>
        </w:rPr>
      </w:pPr>
      <w:r w:rsidRPr="007D54B9">
        <w:rPr>
          <w:color w:val="000000"/>
          <w:sz w:val="28"/>
          <w:szCs w:val="28"/>
        </w:rPr>
        <w:t>где,</w:t>
      </w:r>
    </w:p>
    <w:p w:rsidR="007D54B9" w:rsidRPr="007D54B9" w:rsidRDefault="007D54B9" w:rsidP="007D54B9">
      <w:pPr>
        <w:ind w:firstLine="709"/>
        <w:jc w:val="both"/>
        <w:rPr>
          <w:color w:val="000000"/>
          <w:sz w:val="28"/>
          <w:szCs w:val="28"/>
        </w:rPr>
      </w:pPr>
      <w:r w:rsidRPr="007D54B9">
        <w:rPr>
          <w:b/>
          <w:i/>
          <w:color w:val="000000"/>
          <w:sz w:val="28"/>
          <w:szCs w:val="28"/>
          <w:lang w:val="en-US"/>
        </w:rPr>
        <w:t>U</w:t>
      </w:r>
      <w:r w:rsidRPr="007D54B9">
        <w:rPr>
          <w:b/>
          <w:i/>
          <w:color w:val="000000"/>
          <w:sz w:val="28"/>
          <w:szCs w:val="28"/>
        </w:rPr>
        <w:t xml:space="preserve"> </w:t>
      </w:r>
      <w:r w:rsidRPr="007D54B9">
        <w:rPr>
          <w:b/>
          <w:i/>
          <w:color w:val="000000"/>
          <w:sz w:val="28"/>
          <w:szCs w:val="28"/>
          <w:vertAlign w:val="subscript"/>
        </w:rPr>
        <w:t xml:space="preserve">проч. ПИ </w:t>
      </w:r>
      <w:r w:rsidRPr="007D54B9">
        <w:rPr>
          <w:color w:val="000000"/>
          <w:sz w:val="28"/>
          <w:szCs w:val="28"/>
        </w:rPr>
        <w:t xml:space="preserve">– стоимость облагаемого объёма добычи прочих полезных ископаемых </w:t>
      </w:r>
      <w:r w:rsidRPr="007D54B9">
        <w:rPr>
          <w:szCs w:val="28"/>
        </w:rPr>
        <w:t>(</w:t>
      </w:r>
      <w:r w:rsidRPr="007D54B9">
        <w:rPr>
          <w:color w:val="000000"/>
          <w:sz w:val="28"/>
          <w:szCs w:val="28"/>
        </w:rPr>
        <w:t xml:space="preserve">за исключением полезных ископаемых, в отношении которых при налогообложении установлен рентный коэффициент, отличный от 1, полезных </w:t>
      </w:r>
      <w:r w:rsidRPr="007D54B9">
        <w:rPr>
          <w:color w:val="000000"/>
          <w:sz w:val="28"/>
          <w:szCs w:val="28"/>
        </w:rPr>
        <w:lastRenderedPageBreak/>
        <w:t>ископаемых в виде природных алмазов) по видам полезных ископаемых (минеральные воды, горнорудное неметаллическое сырье) тыс. рублей;</w:t>
      </w:r>
    </w:p>
    <w:p w:rsidR="007D54B9" w:rsidRPr="007D54B9" w:rsidRDefault="007D54B9" w:rsidP="007D54B9">
      <w:pPr>
        <w:ind w:firstLine="709"/>
        <w:jc w:val="both"/>
        <w:rPr>
          <w:color w:val="000000"/>
          <w:sz w:val="28"/>
          <w:szCs w:val="28"/>
        </w:rPr>
      </w:pPr>
      <w:r w:rsidRPr="007D54B9">
        <w:rPr>
          <w:b/>
          <w:i/>
          <w:color w:val="000000"/>
          <w:sz w:val="28"/>
          <w:szCs w:val="28"/>
        </w:rPr>
        <w:t>S</w:t>
      </w:r>
      <w:r w:rsidRPr="007D54B9">
        <w:rPr>
          <w:color w:val="000000"/>
          <w:sz w:val="28"/>
          <w:szCs w:val="28"/>
        </w:rPr>
        <w:t xml:space="preserve"> – ставка налога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по видам полезных ископаемых , установленная в соответствии с НК РФ, %;</w:t>
      </w:r>
    </w:p>
    <w:p w:rsidR="007D54B9" w:rsidRPr="007D54B9" w:rsidRDefault="007D54B9" w:rsidP="007D54B9">
      <w:pPr>
        <w:ind w:firstLine="709"/>
        <w:jc w:val="both"/>
        <w:rPr>
          <w:sz w:val="28"/>
          <w:szCs w:val="28"/>
        </w:rPr>
      </w:pPr>
      <w:r w:rsidRPr="007D54B9">
        <w:rPr>
          <w:b/>
          <w:i/>
          <w:color w:val="000000"/>
          <w:sz w:val="28"/>
          <w:szCs w:val="28"/>
        </w:rPr>
        <w:t>P</w:t>
      </w:r>
      <w:r w:rsidRPr="007D54B9">
        <w:rPr>
          <w:color w:val="000000"/>
          <w:sz w:val="28"/>
          <w:szCs w:val="28"/>
        </w:rPr>
        <w:t xml:space="preserve"> – переходящие платежи, </w:t>
      </w:r>
      <w:r w:rsidRPr="007D54B9">
        <w:rPr>
          <w:sz w:val="28"/>
          <w:szCs w:val="28"/>
        </w:rPr>
        <w:t xml:space="preserve">сумма поступлений, учитывающая «переходящие» платежи в январе за декабрь предыдущего года, </w:t>
      </w:r>
      <w:r w:rsidRPr="007D54B9">
        <w:rPr>
          <w:sz w:val="28"/>
          <w:szCs w:val="28"/>
        </w:rPr>
        <w:br/>
        <w:t>тыс. рублей:</w:t>
      </w:r>
    </w:p>
    <w:p w:rsidR="007D54B9" w:rsidRPr="007D54B9" w:rsidRDefault="007D54B9" w:rsidP="007D54B9">
      <w:pPr>
        <w:ind w:firstLine="709"/>
        <w:jc w:val="center"/>
        <w:rPr>
          <w:b/>
          <w:i/>
          <w:sz w:val="27"/>
          <w:szCs w:val="27"/>
        </w:rPr>
      </w:pPr>
      <w:r w:rsidRPr="007D54B9">
        <w:rPr>
          <w:b/>
          <w:i/>
          <w:sz w:val="27"/>
          <w:szCs w:val="27"/>
        </w:rPr>
        <w:t>Р=Р1-Р2</w:t>
      </w:r>
    </w:p>
    <w:p w:rsidR="007D54B9" w:rsidRPr="007D54B9" w:rsidRDefault="007D54B9" w:rsidP="007D54B9">
      <w:pPr>
        <w:ind w:firstLine="709"/>
        <w:jc w:val="both"/>
        <w:rPr>
          <w:sz w:val="27"/>
          <w:szCs w:val="27"/>
        </w:rPr>
      </w:pPr>
      <w:r w:rsidRPr="007D54B9">
        <w:rPr>
          <w:sz w:val="27"/>
          <w:szCs w:val="27"/>
        </w:rPr>
        <w:t>где:</w:t>
      </w:r>
    </w:p>
    <w:p w:rsidR="007D54B9" w:rsidRPr="007D54B9" w:rsidRDefault="007D54B9" w:rsidP="007D54B9">
      <w:pPr>
        <w:ind w:firstLine="709"/>
        <w:jc w:val="both"/>
        <w:rPr>
          <w:sz w:val="28"/>
          <w:szCs w:val="28"/>
        </w:rPr>
      </w:pPr>
      <w:r w:rsidRPr="007D54B9">
        <w:rPr>
          <w:sz w:val="28"/>
          <w:szCs w:val="28"/>
        </w:rPr>
        <w:t xml:space="preserve">Р1 – сумма «переходящего» платежа за декабрь предыдущего года, </w:t>
      </w:r>
      <w:r w:rsidRPr="007D54B9">
        <w:rPr>
          <w:sz w:val="28"/>
          <w:szCs w:val="28"/>
        </w:rPr>
        <w:br/>
        <w:t>тыс. рублей;</w:t>
      </w:r>
    </w:p>
    <w:p w:rsidR="007D54B9" w:rsidRPr="007D54B9" w:rsidRDefault="007D54B9" w:rsidP="007D54B9">
      <w:pPr>
        <w:ind w:firstLine="709"/>
        <w:jc w:val="both"/>
        <w:rPr>
          <w:sz w:val="28"/>
          <w:szCs w:val="28"/>
        </w:rPr>
      </w:pPr>
      <w:r w:rsidRPr="007D54B9">
        <w:rPr>
          <w:sz w:val="28"/>
          <w:szCs w:val="28"/>
        </w:rPr>
        <w:t xml:space="preserve">Р2 – сумма «переходящего» платежа за декабрь расчетного года, </w:t>
      </w:r>
      <w:r w:rsidRPr="007D54B9">
        <w:rPr>
          <w:sz w:val="28"/>
          <w:szCs w:val="28"/>
        </w:rPr>
        <w:br/>
        <w:t>тыс. рублей;</w:t>
      </w:r>
    </w:p>
    <w:p w:rsidR="007D54B9" w:rsidRPr="007D54B9" w:rsidRDefault="007D54B9" w:rsidP="007D54B9">
      <w:pPr>
        <w:ind w:firstLine="709"/>
        <w:jc w:val="both"/>
        <w:rPr>
          <w:sz w:val="28"/>
          <w:szCs w:val="28"/>
        </w:rPr>
      </w:pPr>
      <w:r w:rsidRPr="007D54B9">
        <w:rPr>
          <w:sz w:val="28"/>
          <w:szCs w:val="28"/>
        </w:rPr>
        <w:t>Сумма «переходящего» платежа за декабрь расчетного года, причитающийся к уплате в начале следующего года определяется исходя из доли переходящего платежа в фактически сложившейся сумме поступлений в отчетном (базовом) году, %;</w:t>
      </w:r>
    </w:p>
    <w:p w:rsidR="007D54B9" w:rsidRPr="007D54B9" w:rsidRDefault="007D54B9" w:rsidP="007D54B9">
      <w:pPr>
        <w:ind w:firstLine="709"/>
        <w:jc w:val="both"/>
        <w:rPr>
          <w:szCs w:val="28"/>
        </w:rPr>
      </w:pPr>
      <w:r w:rsidRPr="007D54B9">
        <w:rPr>
          <w:b/>
          <w:i/>
          <w:color w:val="000000"/>
          <w:sz w:val="28"/>
          <w:szCs w:val="28"/>
          <w:lang w:val="en-US"/>
        </w:rPr>
        <w:t>K</w:t>
      </w:r>
      <w:r w:rsidRPr="007D54B9">
        <w:rPr>
          <w:b/>
          <w:i/>
          <w:color w:val="000000"/>
          <w:sz w:val="28"/>
          <w:szCs w:val="28"/>
        </w:rPr>
        <w:t xml:space="preserve"> </w:t>
      </w:r>
      <w:r w:rsidRPr="007D54B9">
        <w:rPr>
          <w:b/>
          <w:i/>
          <w:color w:val="000000"/>
          <w:sz w:val="28"/>
          <w:szCs w:val="28"/>
          <w:vertAlign w:val="subscript"/>
        </w:rPr>
        <w:t>соб.</w:t>
      </w:r>
      <w:r w:rsidRPr="007D54B9">
        <w:rPr>
          <w:color w:val="000000"/>
          <w:sz w:val="28"/>
          <w:szCs w:val="28"/>
        </w:rPr>
        <w:t xml:space="preserve"> – расчётный уровень собираемости, с учётом динамики показателя собираемости по данному виду налога, с учетом работы по погашению задолженности по налогу.</w:t>
      </w:r>
      <w:r w:rsidRPr="007D54B9">
        <w:rPr>
          <w:szCs w:val="28"/>
        </w:rPr>
        <w:t xml:space="preserve"> </w:t>
      </w:r>
    </w:p>
    <w:p w:rsidR="007D54B9" w:rsidRPr="007D54B9" w:rsidRDefault="007D54B9" w:rsidP="007D54B9">
      <w:pPr>
        <w:ind w:firstLine="709"/>
        <w:jc w:val="both"/>
        <w:rPr>
          <w:sz w:val="28"/>
          <w:szCs w:val="28"/>
        </w:rPr>
      </w:pPr>
      <w:r w:rsidRPr="007D54B9">
        <w:rPr>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7D54B9" w:rsidRPr="007D54B9" w:rsidRDefault="007D54B9" w:rsidP="007D54B9">
      <w:pPr>
        <w:ind w:firstLine="709"/>
        <w:jc w:val="both"/>
        <w:rPr>
          <w:szCs w:val="28"/>
        </w:rPr>
      </w:pPr>
      <w:r w:rsidRPr="007D54B9">
        <w:rPr>
          <w:sz w:val="28"/>
          <w:szCs w:val="28"/>
        </w:rPr>
        <w:t xml:space="preserve">Уровень собираемости в прогнозируемом периоде применен в размере 89,3%, как среднее значение за 2018 год – 89,7% и 2020 год – 88,8% (показатель в 2019 году – 124,1% сложился из-за влияния поступлений в счет погашения задолженности прошлых лет). </w:t>
      </w:r>
    </w:p>
    <w:p w:rsidR="007D54B9" w:rsidRPr="007D54B9" w:rsidRDefault="007D54B9" w:rsidP="007D54B9">
      <w:pPr>
        <w:ind w:firstLine="709"/>
        <w:jc w:val="both"/>
        <w:rPr>
          <w:color w:val="000000"/>
          <w:sz w:val="28"/>
          <w:szCs w:val="28"/>
        </w:rPr>
      </w:pPr>
      <w:r w:rsidRPr="007D54B9">
        <w:rPr>
          <w:b/>
          <w:i/>
          <w:color w:val="000000"/>
          <w:sz w:val="28"/>
          <w:szCs w:val="28"/>
        </w:rPr>
        <w:t>F</w:t>
      </w:r>
      <w:r w:rsidRPr="007D54B9">
        <w:rPr>
          <w:color w:val="000000"/>
          <w:sz w:val="28"/>
          <w:szCs w:val="28"/>
        </w:rPr>
        <w:t xml:space="preserve"> – корректирующая сумма поступлений, учитывающая изменения законодательства о налогах и сборах, а также другие факторы, тыс. рублей.</w:t>
      </w:r>
    </w:p>
    <w:p w:rsidR="007D54B9" w:rsidRPr="007D54B9" w:rsidRDefault="007D54B9" w:rsidP="007D54B9">
      <w:pPr>
        <w:ind w:firstLine="709"/>
        <w:jc w:val="both"/>
        <w:rPr>
          <w:color w:val="000000"/>
          <w:sz w:val="28"/>
          <w:szCs w:val="28"/>
        </w:rPr>
      </w:pPr>
      <w:r w:rsidRPr="007D54B9">
        <w:rPr>
          <w:color w:val="000000"/>
          <w:sz w:val="28"/>
          <w:szCs w:val="28"/>
        </w:rPr>
        <w:t>Стоимость облагаемого объёма добычи прочих полезных ископаемых (за исключением полезных ископаемых в виде природных алмазов) (</w:t>
      </w:r>
      <w:r w:rsidRPr="007D54B9">
        <w:rPr>
          <w:b/>
          <w:i/>
          <w:color w:val="000000"/>
          <w:sz w:val="28"/>
          <w:szCs w:val="28"/>
          <w:lang w:val="en-US"/>
        </w:rPr>
        <w:t>U</w:t>
      </w:r>
      <w:r w:rsidRPr="007D54B9">
        <w:rPr>
          <w:b/>
          <w:i/>
          <w:color w:val="000000"/>
          <w:sz w:val="28"/>
          <w:szCs w:val="28"/>
        </w:rPr>
        <w:t xml:space="preserve"> </w:t>
      </w:r>
      <w:r w:rsidRPr="007D54B9">
        <w:rPr>
          <w:b/>
          <w:i/>
          <w:color w:val="000000"/>
          <w:sz w:val="28"/>
          <w:szCs w:val="28"/>
          <w:vertAlign w:val="subscript"/>
        </w:rPr>
        <w:t>проч. ПИ</w:t>
      </w:r>
      <w:r w:rsidRPr="007D54B9">
        <w:rPr>
          <w:b/>
          <w:i/>
          <w:color w:val="000000"/>
          <w:sz w:val="28"/>
          <w:szCs w:val="28"/>
        </w:rPr>
        <w:t>)</w:t>
      </w:r>
      <w:r w:rsidRPr="007D54B9">
        <w:rPr>
          <w:b/>
          <w:i/>
          <w:color w:val="000000"/>
          <w:sz w:val="28"/>
          <w:szCs w:val="28"/>
          <w:vertAlign w:val="subscript"/>
        </w:rPr>
        <w:t xml:space="preserve"> </w:t>
      </w:r>
      <w:r w:rsidRPr="007D54B9">
        <w:rPr>
          <w:color w:val="000000"/>
          <w:sz w:val="28"/>
          <w:szCs w:val="28"/>
        </w:rPr>
        <w:t>по видам полезных ископаемых, определяется по формуле:</w:t>
      </w:r>
    </w:p>
    <w:p w:rsidR="007D54B9" w:rsidRPr="007D54B9" w:rsidRDefault="007D54B9" w:rsidP="007D54B9">
      <w:pPr>
        <w:spacing w:before="120" w:after="120"/>
        <w:ind w:firstLine="709"/>
        <w:jc w:val="center"/>
        <w:rPr>
          <w:b/>
          <w:i/>
          <w:color w:val="000000"/>
          <w:sz w:val="28"/>
          <w:szCs w:val="28"/>
        </w:rPr>
      </w:pPr>
      <w:r w:rsidRPr="007D54B9">
        <w:rPr>
          <w:b/>
          <w:i/>
          <w:color w:val="000000"/>
          <w:sz w:val="28"/>
          <w:szCs w:val="28"/>
        </w:rPr>
        <w:t xml:space="preserve">U </w:t>
      </w:r>
      <w:r w:rsidRPr="007D54B9">
        <w:rPr>
          <w:b/>
          <w:i/>
          <w:color w:val="000000"/>
          <w:sz w:val="28"/>
          <w:szCs w:val="28"/>
          <w:vertAlign w:val="subscript"/>
        </w:rPr>
        <w:t>проч. ПИ</w:t>
      </w:r>
      <w:r w:rsidRPr="007D54B9">
        <w:rPr>
          <w:b/>
          <w:i/>
          <w:color w:val="000000"/>
          <w:sz w:val="28"/>
          <w:szCs w:val="28"/>
        </w:rPr>
        <w:t xml:space="preserve"> = U </w:t>
      </w:r>
      <w:r w:rsidRPr="007D54B9">
        <w:rPr>
          <w:b/>
          <w:i/>
          <w:color w:val="000000"/>
          <w:sz w:val="28"/>
          <w:szCs w:val="28"/>
          <w:vertAlign w:val="subscript"/>
        </w:rPr>
        <w:t>проч. ПИ</w:t>
      </w:r>
      <w:r w:rsidRPr="007D54B9">
        <w:rPr>
          <w:b/>
          <w:i/>
          <w:color w:val="000000"/>
          <w:sz w:val="28"/>
          <w:szCs w:val="28"/>
        </w:rPr>
        <w:t xml:space="preserve"> </w:t>
      </w:r>
      <w:r w:rsidRPr="007D54B9">
        <w:rPr>
          <w:b/>
          <w:i/>
          <w:color w:val="000000"/>
          <w:sz w:val="28"/>
          <w:szCs w:val="28"/>
          <w:vertAlign w:val="subscript"/>
        </w:rPr>
        <w:t>факт</w:t>
      </w:r>
      <w:r w:rsidRPr="007D54B9">
        <w:rPr>
          <w:b/>
          <w:i/>
          <w:color w:val="000000"/>
          <w:sz w:val="28"/>
          <w:szCs w:val="28"/>
        </w:rPr>
        <w:t xml:space="preserve"> × J </w:t>
      </w:r>
      <w:r w:rsidRPr="007D54B9">
        <w:rPr>
          <w:b/>
          <w:i/>
          <w:color w:val="000000"/>
          <w:sz w:val="28"/>
          <w:szCs w:val="28"/>
          <w:vertAlign w:val="subscript"/>
        </w:rPr>
        <w:t>проч. ПИ</w:t>
      </w:r>
      <w:r w:rsidRPr="007D54B9">
        <w:rPr>
          <w:b/>
          <w:i/>
          <w:color w:val="000000"/>
          <w:sz w:val="28"/>
          <w:szCs w:val="28"/>
        </w:rPr>
        <w:t>,</w:t>
      </w:r>
    </w:p>
    <w:p w:rsidR="007D54B9" w:rsidRPr="007D54B9" w:rsidRDefault="007D54B9" w:rsidP="007D54B9">
      <w:pPr>
        <w:ind w:firstLine="709"/>
        <w:jc w:val="both"/>
        <w:rPr>
          <w:color w:val="000000"/>
          <w:sz w:val="28"/>
          <w:szCs w:val="28"/>
        </w:rPr>
      </w:pPr>
      <w:r w:rsidRPr="007D54B9">
        <w:rPr>
          <w:color w:val="000000"/>
          <w:sz w:val="28"/>
          <w:szCs w:val="28"/>
        </w:rPr>
        <w:t>где,</w:t>
      </w:r>
    </w:p>
    <w:p w:rsidR="007D54B9" w:rsidRPr="007D54B9" w:rsidRDefault="007D54B9" w:rsidP="007D54B9">
      <w:pPr>
        <w:ind w:firstLine="709"/>
        <w:jc w:val="both"/>
        <w:rPr>
          <w:color w:val="000000"/>
          <w:sz w:val="28"/>
          <w:szCs w:val="28"/>
        </w:rPr>
      </w:pPr>
      <w:r w:rsidRPr="007D54B9">
        <w:rPr>
          <w:b/>
          <w:i/>
          <w:color w:val="000000"/>
          <w:sz w:val="28"/>
          <w:szCs w:val="28"/>
        </w:rPr>
        <w:t xml:space="preserve">U </w:t>
      </w:r>
      <w:r w:rsidRPr="007D54B9">
        <w:rPr>
          <w:b/>
          <w:i/>
          <w:color w:val="000000"/>
          <w:sz w:val="28"/>
          <w:szCs w:val="28"/>
          <w:vertAlign w:val="subscript"/>
        </w:rPr>
        <w:t>проч. ПИ</w:t>
      </w:r>
      <w:r w:rsidRPr="007D54B9">
        <w:rPr>
          <w:b/>
          <w:i/>
          <w:color w:val="000000"/>
          <w:sz w:val="28"/>
          <w:szCs w:val="28"/>
        </w:rPr>
        <w:t xml:space="preserve"> </w:t>
      </w:r>
      <w:r w:rsidRPr="007D54B9">
        <w:rPr>
          <w:b/>
          <w:i/>
          <w:color w:val="000000"/>
          <w:sz w:val="28"/>
          <w:szCs w:val="28"/>
          <w:vertAlign w:val="subscript"/>
        </w:rPr>
        <w:t>факт</w:t>
      </w:r>
      <w:r w:rsidRPr="007D54B9">
        <w:rPr>
          <w:color w:val="000000"/>
          <w:sz w:val="28"/>
          <w:szCs w:val="28"/>
        </w:rPr>
        <w:t xml:space="preserve"> – фактическая стоимость добытых прочих полезных ископаемых, по видам, за последний годовой период с учётом распределения по долям на соответствующий прогнозируемый период в соответствии с динамикой стоимости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по видам полезных ископаемых согласно данным отчёта по форме № 5-НДПИ, тыс. рублей;</w:t>
      </w:r>
    </w:p>
    <w:p w:rsidR="007D54B9" w:rsidRPr="007D54B9" w:rsidRDefault="007D54B9" w:rsidP="007D54B9">
      <w:pPr>
        <w:ind w:firstLine="709"/>
        <w:jc w:val="both"/>
        <w:rPr>
          <w:sz w:val="28"/>
          <w:szCs w:val="28"/>
        </w:rPr>
      </w:pPr>
      <w:r w:rsidRPr="007D54B9">
        <w:rPr>
          <w:b/>
          <w:i/>
          <w:color w:val="000000"/>
          <w:sz w:val="28"/>
          <w:szCs w:val="28"/>
        </w:rPr>
        <w:lastRenderedPageBreak/>
        <w:t xml:space="preserve">J </w:t>
      </w:r>
      <w:r w:rsidRPr="007D54B9">
        <w:rPr>
          <w:b/>
          <w:i/>
          <w:color w:val="000000"/>
          <w:sz w:val="28"/>
          <w:szCs w:val="28"/>
          <w:vertAlign w:val="subscript"/>
        </w:rPr>
        <w:t>проч. ПИ</w:t>
      </w:r>
      <w:r w:rsidRPr="007D54B9">
        <w:rPr>
          <w:color w:val="000000"/>
          <w:sz w:val="28"/>
          <w:szCs w:val="28"/>
        </w:rPr>
        <w:t xml:space="preserve"> –</w:t>
      </w:r>
      <w:r w:rsidRPr="007D54B9">
        <w:rPr>
          <w:sz w:val="28"/>
          <w:szCs w:val="28"/>
        </w:rPr>
        <w:t xml:space="preserve"> индекс промышленного производства по виду деятельности «Добыча прочих полезных ископаемых» (по данным Министерства экономического развития Тверской области), 2021 год- 103,2%, 2022 год – 102,7%, 2023 год – 100,8%, 2024 год – 100,6%. </w:t>
      </w:r>
    </w:p>
    <w:p w:rsidR="007D54B9" w:rsidRPr="007D54B9" w:rsidRDefault="007D54B9" w:rsidP="007D54B9">
      <w:pPr>
        <w:ind w:firstLine="709"/>
        <w:jc w:val="both"/>
        <w:rPr>
          <w:sz w:val="28"/>
          <w:szCs w:val="28"/>
        </w:rPr>
      </w:pPr>
      <w:r w:rsidRPr="007D54B9">
        <w:rPr>
          <w:sz w:val="28"/>
          <w:szCs w:val="28"/>
        </w:rPr>
        <w:t xml:space="preserve">                  Подробный расчет представлен в Таблице</w:t>
      </w:r>
    </w:p>
    <w:p w:rsidR="007D54B9" w:rsidRPr="007D54B9" w:rsidRDefault="007D54B9" w:rsidP="007D54B9">
      <w:pPr>
        <w:ind w:firstLine="709"/>
        <w:jc w:val="center"/>
        <w:rPr>
          <w:sz w:val="28"/>
          <w:szCs w:val="28"/>
        </w:rPr>
      </w:pPr>
      <w:r w:rsidRPr="007D54B9">
        <w:rPr>
          <w:sz w:val="28"/>
          <w:szCs w:val="28"/>
        </w:rPr>
        <w:t>Расчет налога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w:t>
      </w:r>
    </w:p>
    <w:p w:rsidR="007D54B9" w:rsidRPr="007D54B9" w:rsidRDefault="007D54B9" w:rsidP="007D54B9">
      <w:pPr>
        <w:ind w:firstLine="709"/>
        <w:jc w:val="center"/>
      </w:pPr>
      <w:r w:rsidRPr="007D54B9">
        <w:rPr>
          <w:sz w:val="28"/>
          <w:szCs w:val="28"/>
        </w:rPr>
        <w:t xml:space="preserve">в областной бюджет Тверской области  </w:t>
      </w:r>
    </w:p>
    <w:tbl>
      <w:tblPr>
        <w:tblW w:w="95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40"/>
        <w:gridCol w:w="1824"/>
      </w:tblGrid>
      <w:tr w:rsidR="007D54B9" w:rsidRPr="002C036F" w:rsidTr="00E7317C">
        <w:trPr>
          <w:cantSplit/>
          <w:tblHeader/>
        </w:trPr>
        <w:tc>
          <w:tcPr>
            <w:tcW w:w="7740" w:type="dxa"/>
            <w:tcBorders>
              <w:left w:val="single" w:sz="12" w:space="0" w:color="auto"/>
              <w:bottom w:val="single" w:sz="12" w:space="0" w:color="auto"/>
            </w:tcBorders>
            <w:vAlign w:val="center"/>
          </w:tcPr>
          <w:p w:rsidR="007D54B9" w:rsidRPr="002C036F" w:rsidRDefault="007D54B9" w:rsidP="00E7317C">
            <w:pPr>
              <w:jc w:val="center"/>
              <w:rPr>
                <w:sz w:val="20"/>
                <w:szCs w:val="20"/>
              </w:rPr>
            </w:pPr>
            <w:r w:rsidRPr="002C036F">
              <w:rPr>
                <w:sz w:val="20"/>
                <w:szCs w:val="20"/>
              </w:rPr>
              <w:t>Наименование показателей</w:t>
            </w:r>
          </w:p>
        </w:tc>
        <w:tc>
          <w:tcPr>
            <w:tcW w:w="1824" w:type="dxa"/>
            <w:tcBorders>
              <w:bottom w:val="single" w:sz="12" w:space="0" w:color="auto"/>
            </w:tcBorders>
            <w:vAlign w:val="center"/>
          </w:tcPr>
          <w:p w:rsidR="007D54B9" w:rsidRPr="002C036F" w:rsidRDefault="007D54B9" w:rsidP="00E7317C">
            <w:pPr>
              <w:jc w:val="center"/>
              <w:rPr>
                <w:i/>
                <w:sz w:val="20"/>
                <w:szCs w:val="20"/>
              </w:rPr>
            </w:pPr>
            <w:r w:rsidRPr="002C036F">
              <w:rPr>
                <w:sz w:val="20"/>
                <w:szCs w:val="20"/>
              </w:rPr>
              <w:t>Сумма с учетом округления</w:t>
            </w:r>
          </w:p>
        </w:tc>
      </w:tr>
      <w:tr w:rsidR="007D54B9" w:rsidRPr="002C036F" w:rsidTr="00E7317C">
        <w:tc>
          <w:tcPr>
            <w:tcW w:w="7740" w:type="dxa"/>
            <w:tcBorders>
              <w:left w:val="single" w:sz="12" w:space="0" w:color="auto"/>
            </w:tcBorders>
          </w:tcPr>
          <w:p w:rsidR="007D54B9" w:rsidRPr="002C036F" w:rsidRDefault="007D54B9" w:rsidP="00E7317C">
            <w:pPr>
              <w:ind w:left="360"/>
              <w:rPr>
                <w:sz w:val="20"/>
                <w:szCs w:val="20"/>
              </w:rPr>
            </w:pPr>
            <w:r w:rsidRPr="002C036F">
              <w:rPr>
                <w:sz w:val="20"/>
                <w:szCs w:val="20"/>
              </w:rPr>
              <w:t>1. Стоимость добытого полезного ископаемого (по данным отчёта по форме № 5-НДПИ за 20</w:t>
            </w:r>
            <w:r>
              <w:rPr>
                <w:sz w:val="20"/>
                <w:szCs w:val="20"/>
              </w:rPr>
              <w:t>20</w:t>
            </w:r>
            <w:r w:rsidRPr="002C036F">
              <w:rPr>
                <w:sz w:val="20"/>
                <w:szCs w:val="20"/>
              </w:rPr>
              <w:t xml:space="preserve"> год) </w:t>
            </w:r>
            <w:r w:rsidRPr="00F1475A">
              <w:rPr>
                <w:b/>
                <w:sz w:val="20"/>
                <w:szCs w:val="20"/>
              </w:rPr>
              <w:t xml:space="preserve">- </w:t>
            </w:r>
            <w:r w:rsidRPr="00BA1F4B">
              <w:rPr>
                <w:b/>
                <w:color w:val="000000"/>
                <w:sz w:val="28"/>
                <w:szCs w:val="28"/>
              </w:rPr>
              <w:t xml:space="preserve">U </w:t>
            </w:r>
            <w:r w:rsidRPr="00BA1F4B">
              <w:rPr>
                <w:b/>
                <w:color w:val="000000"/>
                <w:sz w:val="28"/>
                <w:szCs w:val="28"/>
                <w:vertAlign w:val="subscript"/>
              </w:rPr>
              <w:t>проч. ПИ</w:t>
            </w:r>
            <w:r w:rsidRPr="00F648C2">
              <w:rPr>
                <w:b/>
                <w:i/>
                <w:color w:val="000000"/>
                <w:sz w:val="28"/>
                <w:szCs w:val="28"/>
              </w:rPr>
              <w:t xml:space="preserve"> </w:t>
            </w:r>
            <w:r w:rsidRPr="002C036F">
              <w:rPr>
                <w:sz w:val="20"/>
                <w:szCs w:val="20"/>
              </w:rPr>
              <w:t>факт</w:t>
            </w:r>
            <w:r>
              <w:rPr>
                <w:sz w:val="20"/>
                <w:szCs w:val="20"/>
              </w:rPr>
              <w:t xml:space="preserve"> 2020 по видам полезных ископаемых</w:t>
            </w:r>
            <w:r w:rsidRPr="002C036F">
              <w:rPr>
                <w:sz w:val="20"/>
                <w:szCs w:val="20"/>
              </w:rPr>
              <w:t>, тыс. рублей</w:t>
            </w:r>
            <w:r>
              <w:rPr>
                <w:sz w:val="20"/>
                <w:szCs w:val="20"/>
              </w:rPr>
              <w:t xml:space="preserve"> </w:t>
            </w:r>
          </w:p>
        </w:tc>
        <w:tc>
          <w:tcPr>
            <w:tcW w:w="1824" w:type="dxa"/>
          </w:tcPr>
          <w:p w:rsidR="007D54B9" w:rsidRDefault="007D54B9" w:rsidP="00E7317C">
            <w:pPr>
              <w:jc w:val="center"/>
              <w:rPr>
                <w:sz w:val="20"/>
                <w:szCs w:val="20"/>
              </w:rPr>
            </w:pPr>
            <w:r>
              <w:rPr>
                <w:sz w:val="20"/>
                <w:szCs w:val="20"/>
              </w:rPr>
              <w:t>6 862</w:t>
            </w:r>
          </w:p>
          <w:p w:rsidR="007D54B9" w:rsidRDefault="007D54B9" w:rsidP="00E7317C">
            <w:pPr>
              <w:jc w:val="center"/>
              <w:rPr>
                <w:sz w:val="20"/>
                <w:szCs w:val="20"/>
              </w:rPr>
            </w:pPr>
          </w:p>
          <w:p w:rsidR="007D54B9" w:rsidRPr="002C036F" w:rsidRDefault="007D54B9" w:rsidP="00E7317C">
            <w:pPr>
              <w:jc w:val="center"/>
              <w:rPr>
                <w:sz w:val="20"/>
                <w:szCs w:val="20"/>
              </w:rPr>
            </w:pPr>
          </w:p>
        </w:tc>
      </w:tr>
      <w:tr w:rsidR="007D54B9" w:rsidRPr="002C036F" w:rsidTr="00E7317C">
        <w:tc>
          <w:tcPr>
            <w:tcW w:w="7740" w:type="dxa"/>
            <w:tcBorders>
              <w:left w:val="single" w:sz="12" w:space="0" w:color="auto"/>
            </w:tcBorders>
          </w:tcPr>
          <w:p w:rsidR="007D54B9" w:rsidRPr="002C036F" w:rsidRDefault="007D54B9" w:rsidP="00E7317C">
            <w:pPr>
              <w:ind w:left="360"/>
              <w:jc w:val="right"/>
              <w:rPr>
                <w:sz w:val="20"/>
                <w:szCs w:val="20"/>
              </w:rPr>
            </w:pPr>
            <w:r>
              <w:rPr>
                <w:sz w:val="20"/>
                <w:szCs w:val="20"/>
              </w:rPr>
              <w:t>Минеральные воды</w:t>
            </w:r>
          </w:p>
        </w:tc>
        <w:tc>
          <w:tcPr>
            <w:tcW w:w="1824" w:type="dxa"/>
          </w:tcPr>
          <w:p w:rsidR="007D54B9" w:rsidRDefault="007D54B9" w:rsidP="00E7317C">
            <w:pPr>
              <w:jc w:val="center"/>
              <w:rPr>
                <w:sz w:val="20"/>
                <w:szCs w:val="20"/>
              </w:rPr>
            </w:pPr>
            <w:r>
              <w:rPr>
                <w:sz w:val="20"/>
                <w:szCs w:val="20"/>
              </w:rPr>
              <w:t>1 962</w:t>
            </w:r>
          </w:p>
        </w:tc>
      </w:tr>
      <w:tr w:rsidR="007D54B9" w:rsidRPr="002C036F" w:rsidTr="00E7317C">
        <w:tc>
          <w:tcPr>
            <w:tcW w:w="7740" w:type="dxa"/>
            <w:tcBorders>
              <w:left w:val="single" w:sz="12" w:space="0" w:color="auto"/>
            </w:tcBorders>
          </w:tcPr>
          <w:p w:rsidR="007D54B9" w:rsidRPr="002C036F" w:rsidRDefault="007D54B9" w:rsidP="00E7317C">
            <w:pPr>
              <w:ind w:left="360"/>
              <w:jc w:val="right"/>
              <w:rPr>
                <w:sz w:val="20"/>
                <w:szCs w:val="20"/>
              </w:rPr>
            </w:pPr>
            <w:r>
              <w:rPr>
                <w:sz w:val="20"/>
                <w:szCs w:val="20"/>
              </w:rPr>
              <w:t>Горнорудное неметаллическое сырье</w:t>
            </w:r>
          </w:p>
        </w:tc>
        <w:tc>
          <w:tcPr>
            <w:tcW w:w="1824" w:type="dxa"/>
          </w:tcPr>
          <w:p w:rsidR="007D54B9" w:rsidRDefault="007D54B9" w:rsidP="00E7317C">
            <w:pPr>
              <w:jc w:val="center"/>
              <w:rPr>
                <w:sz w:val="20"/>
                <w:szCs w:val="20"/>
              </w:rPr>
            </w:pPr>
            <w:r>
              <w:rPr>
                <w:sz w:val="20"/>
                <w:szCs w:val="20"/>
              </w:rPr>
              <w:t>4 900</w:t>
            </w:r>
          </w:p>
        </w:tc>
      </w:tr>
      <w:tr w:rsidR="007D54B9" w:rsidRPr="002C036F" w:rsidTr="00E7317C">
        <w:tc>
          <w:tcPr>
            <w:tcW w:w="7740" w:type="dxa"/>
            <w:tcBorders>
              <w:left w:val="single" w:sz="12" w:space="0" w:color="auto"/>
            </w:tcBorders>
            <w:vAlign w:val="center"/>
          </w:tcPr>
          <w:p w:rsidR="007D54B9" w:rsidRPr="00F1475A" w:rsidRDefault="007D54B9" w:rsidP="00E7317C">
            <w:pPr>
              <w:ind w:left="360"/>
              <w:rPr>
                <w:sz w:val="20"/>
                <w:szCs w:val="20"/>
              </w:rPr>
            </w:pPr>
            <w:r w:rsidRPr="00F1475A">
              <w:rPr>
                <w:sz w:val="20"/>
                <w:szCs w:val="20"/>
              </w:rPr>
              <w:t xml:space="preserve">2. Прогнозируемый </w:t>
            </w:r>
            <w:r w:rsidRPr="00B94426">
              <w:rPr>
                <w:sz w:val="20"/>
                <w:szCs w:val="20"/>
              </w:rPr>
              <w:t>индекс промышленного производства по виду деятельности «Добыча</w:t>
            </w:r>
            <w:r>
              <w:rPr>
                <w:sz w:val="20"/>
                <w:szCs w:val="20"/>
              </w:rPr>
              <w:t xml:space="preserve"> прочих</w:t>
            </w:r>
            <w:r w:rsidRPr="00B94426">
              <w:rPr>
                <w:sz w:val="20"/>
                <w:szCs w:val="20"/>
              </w:rPr>
              <w:t xml:space="preserve"> полезных ископаемых»</w:t>
            </w:r>
            <w:r w:rsidRPr="00872F48">
              <w:rPr>
                <w:sz w:val="28"/>
                <w:szCs w:val="28"/>
              </w:rPr>
              <w:t xml:space="preserve"> </w:t>
            </w:r>
            <w:r w:rsidRPr="00F1475A">
              <w:rPr>
                <w:sz w:val="20"/>
                <w:szCs w:val="20"/>
              </w:rPr>
              <w:t xml:space="preserve">(по данным Министерства экономического развития Тверской области) - </w:t>
            </w:r>
            <w:r w:rsidRPr="00F1475A">
              <w:rPr>
                <w:b/>
                <w:sz w:val="20"/>
                <w:szCs w:val="20"/>
              </w:rPr>
              <w:t xml:space="preserve">J </w:t>
            </w:r>
            <w:r>
              <w:rPr>
                <w:b/>
                <w:sz w:val="20"/>
                <w:szCs w:val="20"/>
              </w:rPr>
              <w:t>проч</w:t>
            </w:r>
            <w:r w:rsidRPr="00F1475A">
              <w:rPr>
                <w:b/>
                <w:sz w:val="20"/>
                <w:szCs w:val="20"/>
              </w:rPr>
              <w:t>. ПИ</w:t>
            </w:r>
            <w:r w:rsidRPr="00F1475A">
              <w:rPr>
                <w:sz w:val="20"/>
                <w:szCs w:val="20"/>
              </w:rPr>
              <w:t xml:space="preserve"> , %</w:t>
            </w:r>
          </w:p>
        </w:tc>
        <w:tc>
          <w:tcPr>
            <w:tcW w:w="1824" w:type="dxa"/>
          </w:tcPr>
          <w:p w:rsidR="007D54B9" w:rsidRPr="002C036F" w:rsidRDefault="007D54B9" w:rsidP="00E7317C">
            <w:pPr>
              <w:jc w:val="center"/>
              <w:rPr>
                <w:sz w:val="20"/>
                <w:szCs w:val="20"/>
              </w:rPr>
            </w:pPr>
            <w:r>
              <w:rPr>
                <w:sz w:val="20"/>
                <w:szCs w:val="20"/>
              </w:rPr>
              <w:t>103,2%</w:t>
            </w:r>
          </w:p>
        </w:tc>
      </w:tr>
      <w:tr w:rsidR="007D54B9" w:rsidRPr="002C036F" w:rsidTr="00E7317C">
        <w:tc>
          <w:tcPr>
            <w:tcW w:w="7740" w:type="dxa"/>
            <w:tcBorders>
              <w:left w:val="single" w:sz="12" w:space="0" w:color="auto"/>
            </w:tcBorders>
            <w:vAlign w:val="center"/>
          </w:tcPr>
          <w:p w:rsidR="007D54B9" w:rsidRPr="00F1475A" w:rsidRDefault="007D54B9" w:rsidP="00E7317C">
            <w:pPr>
              <w:ind w:left="360"/>
              <w:rPr>
                <w:sz w:val="20"/>
                <w:szCs w:val="20"/>
              </w:rPr>
            </w:pPr>
            <w:r w:rsidRPr="00F1475A">
              <w:rPr>
                <w:sz w:val="20"/>
                <w:szCs w:val="20"/>
              </w:rPr>
              <w:t xml:space="preserve">3. </w:t>
            </w:r>
            <w:r>
              <w:rPr>
                <w:sz w:val="20"/>
                <w:szCs w:val="20"/>
              </w:rPr>
              <w:t>С</w:t>
            </w:r>
            <w:r w:rsidRPr="00F1475A">
              <w:rPr>
                <w:sz w:val="20"/>
                <w:szCs w:val="20"/>
              </w:rPr>
              <w:t xml:space="preserve">тавка налога согласно </w:t>
            </w:r>
            <w:r>
              <w:rPr>
                <w:sz w:val="20"/>
                <w:szCs w:val="20"/>
              </w:rPr>
              <w:t>НК РФ</w:t>
            </w:r>
            <w:r w:rsidRPr="00F1475A">
              <w:rPr>
                <w:sz w:val="20"/>
                <w:szCs w:val="20"/>
              </w:rPr>
              <w:t xml:space="preserve"> – </w:t>
            </w:r>
            <w:r w:rsidRPr="00F1475A">
              <w:rPr>
                <w:b/>
                <w:sz w:val="20"/>
                <w:szCs w:val="20"/>
              </w:rPr>
              <w:t>S</w:t>
            </w:r>
            <w:r w:rsidRPr="00F1475A">
              <w:rPr>
                <w:sz w:val="20"/>
                <w:szCs w:val="20"/>
              </w:rPr>
              <w:t>. , %</w:t>
            </w:r>
          </w:p>
        </w:tc>
        <w:tc>
          <w:tcPr>
            <w:tcW w:w="1824" w:type="dxa"/>
          </w:tcPr>
          <w:p w:rsidR="007D54B9" w:rsidRPr="002C036F" w:rsidRDefault="007D54B9" w:rsidP="00E7317C">
            <w:pPr>
              <w:jc w:val="center"/>
              <w:rPr>
                <w:sz w:val="20"/>
                <w:szCs w:val="20"/>
              </w:rPr>
            </w:pPr>
          </w:p>
        </w:tc>
      </w:tr>
      <w:tr w:rsidR="007D54B9" w:rsidRPr="002C036F" w:rsidTr="00E7317C">
        <w:tc>
          <w:tcPr>
            <w:tcW w:w="7740" w:type="dxa"/>
            <w:tcBorders>
              <w:left w:val="single" w:sz="12" w:space="0" w:color="auto"/>
            </w:tcBorders>
            <w:vAlign w:val="center"/>
          </w:tcPr>
          <w:p w:rsidR="007D54B9" w:rsidRPr="00F1475A" w:rsidRDefault="007D54B9" w:rsidP="00E7317C">
            <w:pPr>
              <w:ind w:left="360"/>
              <w:jc w:val="right"/>
              <w:rPr>
                <w:sz w:val="20"/>
                <w:szCs w:val="20"/>
              </w:rPr>
            </w:pPr>
            <w:r>
              <w:rPr>
                <w:sz w:val="20"/>
                <w:szCs w:val="20"/>
              </w:rPr>
              <w:t>Минеральные воды</w:t>
            </w:r>
          </w:p>
        </w:tc>
        <w:tc>
          <w:tcPr>
            <w:tcW w:w="1824" w:type="dxa"/>
          </w:tcPr>
          <w:p w:rsidR="007D54B9" w:rsidRDefault="007D54B9" w:rsidP="00E7317C">
            <w:pPr>
              <w:jc w:val="center"/>
              <w:rPr>
                <w:sz w:val="20"/>
                <w:szCs w:val="20"/>
              </w:rPr>
            </w:pPr>
            <w:r>
              <w:rPr>
                <w:sz w:val="20"/>
                <w:szCs w:val="20"/>
              </w:rPr>
              <w:t>7,5</w:t>
            </w:r>
          </w:p>
        </w:tc>
      </w:tr>
      <w:tr w:rsidR="007D54B9" w:rsidRPr="002C036F" w:rsidTr="00E7317C">
        <w:tc>
          <w:tcPr>
            <w:tcW w:w="7740" w:type="dxa"/>
            <w:tcBorders>
              <w:left w:val="single" w:sz="12" w:space="0" w:color="auto"/>
            </w:tcBorders>
            <w:vAlign w:val="center"/>
          </w:tcPr>
          <w:p w:rsidR="007D54B9" w:rsidRPr="00F1475A" w:rsidRDefault="007D54B9" w:rsidP="00E7317C">
            <w:pPr>
              <w:ind w:left="360"/>
              <w:jc w:val="right"/>
              <w:rPr>
                <w:sz w:val="20"/>
                <w:szCs w:val="20"/>
              </w:rPr>
            </w:pPr>
            <w:r w:rsidRPr="00C83520">
              <w:rPr>
                <w:sz w:val="20"/>
                <w:szCs w:val="20"/>
              </w:rPr>
              <w:t>Горнорудное неметаллическое сырье</w:t>
            </w:r>
          </w:p>
        </w:tc>
        <w:tc>
          <w:tcPr>
            <w:tcW w:w="1824" w:type="dxa"/>
          </w:tcPr>
          <w:p w:rsidR="007D54B9" w:rsidRDefault="007D54B9" w:rsidP="00E7317C">
            <w:pPr>
              <w:jc w:val="center"/>
              <w:rPr>
                <w:sz w:val="20"/>
                <w:szCs w:val="20"/>
              </w:rPr>
            </w:pPr>
            <w:r>
              <w:rPr>
                <w:sz w:val="20"/>
                <w:szCs w:val="20"/>
              </w:rPr>
              <w:t>6</w:t>
            </w:r>
          </w:p>
        </w:tc>
      </w:tr>
      <w:tr w:rsidR="007D54B9" w:rsidRPr="002C036F" w:rsidTr="00E7317C">
        <w:tc>
          <w:tcPr>
            <w:tcW w:w="7740" w:type="dxa"/>
            <w:tcBorders>
              <w:left w:val="single" w:sz="12" w:space="0" w:color="auto"/>
            </w:tcBorders>
            <w:vAlign w:val="center"/>
          </w:tcPr>
          <w:p w:rsidR="007D54B9" w:rsidRDefault="007D54B9" w:rsidP="00E7317C">
            <w:pPr>
              <w:ind w:left="360"/>
              <w:rPr>
                <w:sz w:val="20"/>
                <w:szCs w:val="20"/>
              </w:rPr>
            </w:pPr>
            <w:r>
              <w:rPr>
                <w:sz w:val="20"/>
                <w:szCs w:val="20"/>
              </w:rPr>
              <w:t>4. Сумма налога, подлежащая уплате в бюджет всего, тыс. руб.</w:t>
            </w:r>
          </w:p>
          <w:p w:rsidR="007D54B9" w:rsidRPr="00F1475A" w:rsidRDefault="007D54B9" w:rsidP="00E7317C">
            <w:pPr>
              <w:ind w:left="360"/>
              <w:rPr>
                <w:sz w:val="20"/>
                <w:szCs w:val="20"/>
              </w:rPr>
            </w:pPr>
            <w:r>
              <w:rPr>
                <w:szCs w:val="28"/>
              </w:rPr>
              <w:t>(</w:t>
            </w:r>
            <w:r w:rsidRPr="00370C2D">
              <w:rPr>
                <w:szCs w:val="28"/>
              </w:rPr>
              <w:t>Ʃ</w:t>
            </w:r>
            <w:r w:rsidRPr="00F020F2">
              <w:rPr>
                <w:szCs w:val="28"/>
              </w:rPr>
              <w:t xml:space="preserve"> </w:t>
            </w:r>
            <w:r w:rsidRPr="00370C2D">
              <w:rPr>
                <w:szCs w:val="28"/>
                <w:lang w:val="en-US"/>
              </w:rPr>
              <w:t>U</w:t>
            </w:r>
            <w:r>
              <w:rPr>
                <w:szCs w:val="28"/>
              </w:rPr>
              <w:t xml:space="preserve"> </w:t>
            </w:r>
            <w:r>
              <w:rPr>
                <w:szCs w:val="28"/>
                <w:vertAlign w:val="subscript"/>
              </w:rPr>
              <w:t>проч.</w:t>
            </w:r>
            <w:r w:rsidRPr="00370C2D">
              <w:rPr>
                <w:szCs w:val="28"/>
                <w:vertAlign w:val="subscript"/>
              </w:rPr>
              <w:t xml:space="preserve"> ПИ</w:t>
            </w:r>
            <w:r w:rsidRPr="00370C2D">
              <w:rPr>
                <w:szCs w:val="28"/>
              </w:rPr>
              <w:t xml:space="preserve"> </w:t>
            </w:r>
            <w:r w:rsidRPr="00370C2D">
              <w:rPr>
                <w:szCs w:val="28"/>
                <w:vertAlign w:val="subscript"/>
              </w:rPr>
              <w:t>факт</w:t>
            </w:r>
            <w:r w:rsidRPr="00370C2D">
              <w:rPr>
                <w:szCs w:val="28"/>
              </w:rPr>
              <w:t xml:space="preserve"> × </w:t>
            </w:r>
            <w:r w:rsidRPr="00370C2D">
              <w:rPr>
                <w:szCs w:val="28"/>
                <w:lang w:val="en-US"/>
              </w:rPr>
              <w:t>J</w:t>
            </w:r>
            <w:r w:rsidRPr="00370C2D">
              <w:rPr>
                <w:szCs w:val="28"/>
              </w:rPr>
              <w:t xml:space="preserve"> </w:t>
            </w:r>
            <w:r w:rsidRPr="00370C2D">
              <w:rPr>
                <w:szCs w:val="28"/>
                <w:vertAlign w:val="subscript"/>
              </w:rPr>
              <w:t xml:space="preserve"> </w:t>
            </w:r>
            <w:r>
              <w:rPr>
                <w:szCs w:val="28"/>
                <w:vertAlign w:val="subscript"/>
              </w:rPr>
              <w:t xml:space="preserve">проч. </w:t>
            </w:r>
            <w:r w:rsidRPr="00370C2D">
              <w:rPr>
                <w:szCs w:val="28"/>
                <w:vertAlign w:val="subscript"/>
              </w:rPr>
              <w:t>ПИ</w:t>
            </w:r>
            <w:r w:rsidRPr="00370C2D">
              <w:rPr>
                <w:szCs w:val="28"/>
              </w:rPr>
              <w:t xml:space="preserve"> × S</w:t>
            </w:r>
            <w:r>
              <w:rPr>
                <w:szCs w:val="28"/>
              </w:rPr>
              <w:t>)</w:t>
            </w:r>
          </w:p>
        </w:tc>
        <w:tc>
          <w:tcPr>
            <w:tcW w:w="1824" w:type="dxa"/>
          </w:tcPr>
          <w:p w:rsidR="007D54B9" w:rsidRDefault="007D54B9" w:rsidP="00E7317C">
            <w:pPr>
              <w:jc w:val="center"/>
              <w:rPr>
                <w:sz w:val="20"/>
                <w:szCs w:val="20"/>
              </w:rPr>
            </w:pPr>
            <w:r>
              <w:rPr>
                <w:sz w:val="20"/>
                <w:szCs w:val="20"/>
              </w:rPr>
              <w:t>455</w:t>
            </w:r>
          </w:p>
        </w:tc>
      </w:tr>
      <w:tr w:rsidR="007D54B9" w:rsidRPr="002C036F" w:rsidTr="00E7317C">
        <w:tc>
          <w:tcPr>
            <w:tcW w:w="7740" w:type="dxa"/>
            <w:tcBorders>
              <w:left w:val="single" w:sz="12" w:space="0" w:color="auto"/>
            </w:tcBorders>
            <w:vAlign w:val="center"/>
          </w:tcPr>
          <w:p w:rsidR="007D54B9" w:rsidRDefault="007D54B9" w:rsidP="00E7317C">
            <w:pPr>
              <w:ind w:left="360"/>
              <w:rPr>
                <w:sz w:val="20"/>
                <w:szCs w:val="20"/>
              </w:rPr>
            </w:pPr>
            <w:r>
              <w:rPr>
                <w:sz w:val="20"/>
                <w:szCs w:val="20"/>
              </w:rPr>
              <w:t>4.1.(1 962 *103,2%*7,5%) =152 тыс. рублей</w:t>
            </w:r>
          </w:p>
          <w:p w:rsidR="007D54B9" w:rsidRPr="00F1475A" w:rsidRDefault="007D54B9" w:rsidP="00E7317C">
            <w:pPr>
              <w:ind w:left="360"/>
              <w:rPr>
                <w:sz w:val="20"/>
                <w:szCs w:val="20"/>
              </w:rPr>
            </w:pPr>
            <w:r>
              <w:rPr>
                <w:sz w:val="20"/>
                <w:szCs w:val="20"/>
              </w:rPr>
              <w:t xml:space="preserve">  Минеральные воды </w:t>
            </w:r>
          </w:p>
        </w:tc>
        <w:tc>
          <w:tcPr>
            <w:tcW w:w="1824" w:type="dxa"/>
          </w:tcPr>
          <w:p w:rsidR="007D54B9" w:rsidRDefault="007D54B9" w:rsidP="00E7317C">
            <w:pPr>
              <w:jc w:val="center"/>
              <w:rPr>
                <w:sz w:val="20"/>
                <w:szCs w:val="20"/>
              </w:rPr>
            </w:pPr>
            <w:r>
              <w:rPr>
                <w:sz w:val="20"/>
                <w:szCs w:val="20"/>
              </w:rPr>
              <w:t>152</w:t>
            </w:r>
          </w:p>
        </w:tc>
      </w:tr>
      <w:tr w:rsidR="007D54B9" w:rsidRPr="002C036F" w:rsidTr="00E7317C">
        <w:tc>
          <w:tcPr>
            <w:tcW w:w="7740" w:type="dxa"/>
            <w:tcBorders>
              <w:left w:val="single" w:sz="12" w:space="0" w:color="auto"/>
            </w:tcBorders>
            <w:vAlign w:val="center"/>
          </w:tcPr>
          <w:p w:rsidR="007D54B9" w:rsidRDefault="007D54B9" w:rsidP="00E7317C">
            <w:pPr>
              <w:ind w:left="360"/>
              <w:rPr>
                <w:sz w:val="20"/>
                <w:szCs w:val="20"/>
              </w:rPr>
            </w:pPr>
            <w:r>
              <w:rPr>
                <w:sz w:val="20"/>
                <w:szCs w:val="20"/>
              </w:rPr>
              <w:t xml:space="preserve">4.2.(4 900*103,2%*6%) = 303 тыс. рублей    </w:t>
            </w:r>
          </w:p>
          <w:p w:rsidR="007D54B9" w:rsidRPr="00F1475A" w:rsidRDefault="007D54B9" w:rsidP="00E7317C">
            <w:pPr>
              <w:ind w:left="360"/>
              <w:rPr>
                <w:sz w:val="20"/>
                <w:szCs w:val="20"/>
              </w:rPr>
            </w:pPr>
            <w:r>
              <w:rPr>
                <w:sz w:val="20"/>
                <w:szCs w:val="20"/>
              </w:rPr>
              <w:t xml:space="preserve">  Г</w:t>
            </w:r>
            <w:r w:rsidRPr="00C83520">
              <w:rPr>
                <w:sz w:val="20"/>
                <w:szCs w:val="20"/>
              </w:rPr>
              <w:t xml:space="preserve">орнорудное </w:t>
            </w:r>
            <w:r>
              <w:rPr>
                <w:sz w:val="20"/>
                <w:szCs w:val="20"/>
              </w:rPr>
              <w:t>не</w:t>
            </w:r>
            <w:r w:rsidRPr="00C83520">
              <w:rPr>
                <w:sz w:val="20"/>
                <w:szCs w:val="20"/>
              </w:rPr>
              <w:t>металлическое сырье</w:t>
            </w:r>
          </w:p>
        </w:tc>
        <w:tc>
          <w:tcPr>
            <w:tcW w:w="1824" w:type="dxa"/>
          </w:tcPr>
          <w:p w:rsidR="007D54B9" w:rsidRDefault="007D54B9" w:rsidP="00E7317C">
            <w:pPr>
              <w:jc w:val="center"/>
              <w:rPr>
                <w:sz w:val="20"/>
                <w:szCs w:val="20"/>
              </w:rPr>
            </w:pPr>
            <w:r>
              <w:rPr>
                <w:sz w:val="20"/>
                <w:szCs w:val="20"/>
              </w:rPr>
              <w:t>303</w:t>
            </w:r>
          </w:p>
        </w:tc>
      </w:tr>
      <w:tr w:rsidR="007D54B9" w:rsidRPr="002C036F" w:rsidTr="00E7317C">
        <w:tc>
          <w:tcPr>
            <w:tcW w:w="7740" w:type="dxa"/>
            <w:tcBorders>
              <w:left w:val="single" w:sz="12" w:space="0" w:color="auto"/>
            </w:tcBorders>
            <w:vAlign w:val="center"/>
          </w:tcPr>
          <w:p w:rsidR="007D54B9" w:rsidRPr="00F1475A" w:rsidRDefault="007D54B9" w:rsidP="00E7317C">
            <w:pPr>
              <w:ind w:left="360"/>
              <w:rPr>
                <w:sz w:val="20"/>
                <w:szCs w:val="20"/>
              </w:rPr>
            </w:pPr>
            <w:r>
              <w:rPr>
                <w:sz w:val="20"/>
                <w:szCs w:val="20"/>
              </w:rPr>
              <w:t>5</w:t>
            </w:r>
            <w:r w:rsidRPr="00F1475A">
              <w:rPr>
                <w:sz w:val="20"/>
                <w:szCs w:val="20"/>
              </w:rPr>
              <w:t>. Переходящие платежи  – P, тыс. рублей</w:t>
            </w:r>
          </w:p>
        </w:tc>
        <w:tc>
          <w:tcPr>
            <w:tcW w:w="1824" w:type="dxa"/>
          </w:tcPr>
          <w:p w:rsidR="007D54B9" w:rsidRPr="002C036F" w:rsidRDefault="007D54B9" w:rsidP="00E7317C">
            <w:pPr>
              <w:jc w:val="center"/>
              <w:rPr>
                <w:sz w:val="20"/>
                <w:szCs w:val="20"/>
              </w:rPr>
            </w:pPr>
            <w:r>
              <w:rPr>
                <w:sz w:val="20"/>
                <w:szCs w:val="20"/>
              </w:rPr>
              <w:t>1</w:t>
            </w:r>
          </w:p>
        </w:tc>
      </w:tr>
      <w:tr w:rsidR="007D54B9" w:rsidRPr="002C036F" w:rsidTr="00E7317C">
        <w:tc>
          <w:tcPr>
            <w:tcW w:w="7740" w:type="dxa"/>
            <w:tcBorders>
              <w:left w:val="single" w:sz="12" w:space="0" w:color="auto"/>
            </w:tcBorders>
            <w:vAlign w:val="center"/>
          </w:tcPr>
          <w:p w:rsidR="007D54B9" w:rsidRDefault="007D54B9" w:rsidP="00E7317C">
            <w:pPr>
              <w:ind w:left="360"/>
              <w:rPr>
                <w:sz w:val="20"/>
                <w:szCs w:val="20"/>
              </w:rPr>
            </w:pPr>
            <w:r w:rsidRPr="00B94426">
              <w:rPr>
                <w:sz w:val="20"/>
                <w:szCs w:val="20"/>
              </w:rPr>
              <w:t>Р1 – сумма «переходящего» платежа за декабрь предыдущего года, тыс. рублей</w:t>
            </w:r>
          </w:p>
        </w:tc>
        <w:tc>
          <w:tcPr>
            <w:tcW w:w="1824" w:type="dxa"/>
          </w:tcPr>
          <w:p w:rsidR="007D54B9" w:rsidRDefault="007D54B9" w:rsidP="00E7317C">
            <w:pPr>
              <w:jc w:val="center"/>
              <w:rPr>
                <w:sz w:val="20"/>
                <w:szCs w:val="20"/>
              </w:rPr>
            </w:pPr>
            <w:r>
              <w:rPr>
                <w:sz w:val="20"/>
                <w:szCs w:val="20"/>
              </w:rPr>
              <w:t>7</w:t>
            </w:r>
          </w:p>
        </w:tc>
      </w:tr>
      <w:tr w:rsidR="007D54B9" w:rsidRPr="002C036F" w:rsidTr="00E7317C">
        <w:tc>
          <w:tcPr>
            <w:tcW w:w="7740" w:type="dxa"/>
            <w:tcBorders>
              <w:left w:val="single" w:sz="12" w:space="0" w:color="auto"/>
            </w:tcBorders>
            <w:vAlign w:val="center"/>
          </w:tcPr>
          <w:p w:rsidR="007D54B9" w:rsidRPr="00B94426" w:rsidRDefault="007D54B9" w:rsidP="00E7317C">
            <w:pPr>
              <w:ind w:left="360"/>
              <w:rPr>
                <w:sz w:val="20"/>
                <w:szCs w:val="20"/>
              </w:rPr>
            </w:pPr>
            <w:r w:rsidRPr="00B94426">
              <w:rPr>
                <w:sz w:val="20"/>
                <w:szCs w:val="20"/>
              </w:rPr>
              <w:t xml:space="preserve">Р2 – сумма «переходящего» платежа за декабрь расчетного года, </w:t>
            </w:r>
          </w:p>
          <w:p w:rsidR="007D54B9" w:rsidRDefault="007D54B9" w:rsidP="00E7317C">
            <w:pPr>
              <w:ind w:left="360"/>
              <w:rPr>
                <w:sz w:val="20"/>
                <w:szCs w:val="20"/>
              </w:rPr>
            </w:pPr>
            <w:r w:rsidRPr="00B94426">
              <w:rPr>
                <w:sz w:val="20"/>
                <w:szCs w:val="20"/>
              </w:rPr>
              <w:t>тыс. рублей</w:t>
            </w:r>
          </w:p>
        </w:tc>
        <w:tc>
          <w:tcPr>
            <w:tcW w:w="1824" w:type="dxa"/>
          </w:tcPr>
          <w:p w:rsidR="007D54B9" w:rsidRDefault="007D54B9" w:rsidP="00E7317C">
            <w:pPr>
              <w:jc w:val="center"/>
              <w:rPr>
                <w:sz w:val="20"/>
                <w:szCs w:val="20"/>
              </w:rPr>
            </w:pPr>
            <w:r>
              <w:rPr>
                <w:sz w:val="20"/>
                <w:szCs w:val="20"/>
              </w:rPr>
              <w:t>6</w:t>
            </w:r>
          </w:p>
        </w:tc>
      </w:tr>
      <w:tr w:rsidR="007D54B9" w:rsidRPr="000D187A" w:rsidTr="00E7317C">
        <w:trPr>
          <w:trHeight w:val="247"/>
        </w:trPr>
        <w:tc>
          <w:tcPr>
            <w:tcW w:w="7740" w:type="dxa"/>
            <w:tcBorders>
              <w:left w:val="single" w:sz="12" w:space="0" w:color="auto"/>
            </w:tcBorders>
          </w:tcPr>
          <w:p w:rsidR="007D54B9" w:rsidRPr="00F1475A" w:rsidRDefault="007D54B9" w:rsidP="00E7317C">
            <w:pPr>
              <w:ind w:left="360"/>
              <w:rPr>
                <w:sz w:val="20"/>
                <w:szCs w:val="20"/>
                <w:highlight w:val="yellow"/>
              </w:rPr>
            </w:pPr>
            <w:r>
              <w:rPr>
                <w:sz w:val="20"/>
                <w:szCs w:val="20"/>
              </w:rPr>
              <w:t>6</w:t>
            </w:r>
            <w:r w:rsidRPr="00F1475A">
              <w:rPr>
                <w:sz w:val="20"/>
                <w:szCs w:val="20"/>
              </w:rPr>
              <w:t>.</w:t>
            </w:r>
            <w:r>
              <w:t xml:space="preserve"> </w:t>
            </w:r>
            <w:r w:rsidRPr="00F1475A">
              <w:rPr>
                <w:sz w:val="20"/>
                <w:szCs w:val="20"/>
              </w:rPr>
              <w:t>Расчетный уровень собираемости за три предыдущих года (201</w:t>
            </w:r>
            <w:r>
              <w:rPr>
                <w:sz w:val="20"/>
                <w:szCs w:val="20"/>
              </w:rPr>
              <w:t>8-2020</w:t>
            </w:r>
            <w:r w:rsidRPr="00F1475A">
              <w:rPr>
                <w:sz w:val="20"/>
                <w:szCs w:val="20"/>
              </w:rPr>
              <w:t xml:space="preserve"> гг. - </w:t>
            </w:r>
            <w:r>
              <w:rPr>
                <w:sz w:val="20"/>
                <w:szCs w:val="20"/>
              </w:rPr>
              <w:t xml:space="preserve">                 </w:t>
            </w:r>
            <w:r w:rsidRPr="00F1475A">
              <w:rPr>
                <w:b/>
                <w:sz w:val="20"/>
                <w:szCs w:val="20"/>
              </w:rPr>
              <w:t>K соб</w:t>
            </w:r>
            <w:r w:rsidRPr="00F1475A">
              <w:rPr>
                <w:sz w:val="20"/>
                <w:szCs w:val="20"/>
              </w:rPr>
              <w:t>.,%</w:t>
            </w:r>
          </w:p>
        </w:tc>
        <w:tc>
          <w:tcPr>
            <w:tcW w:w="1824" w:type="dxa"/>
          </w:tcPr>
          <w:p w:rsidR="007D54B9" w:rsidRPr="00F1475A" w:rsidRDefault="007D54B9" w:rsidP="00E7317C">
            <w:pPr>
              <w:jc w:val="center"/>
              <w:rPr>
                <w:sz w:val="20"/>
                <w:szCs w:val="20"/>
              </w:rPr>
            </w:pPr>
            <w:r>
              <w:rPr>
                <w:sz w:val="20"/>
                <w:szCs w:val="20"/>
              </w:rPr>
              <w:t xml:space="preserve">89,3 </w:t>
            </w:r>
            <w:r w:rsidRPr="00F1475A">
              <w:rPr>
                <w:sz w:val="20"/>
                <w:szCs w:val="20"/>
              </w:rPr>
              <w:t>%</w:t>
            </w:r>
          </w:p>
        </w:tc>
      </w:tr>
      <w:tr w:rsidR="007D54B9" w:rsidRPr="000D187A" w:rsidTr="00E7317C">
        <w:tc>
          <w:tcPr>
            <w:tcW w:w="7740" w:type="dxa"/>
            <w:tcBorders>
              <w:left w:val="single" w:sz="12" w:space="0" w:color="auto"/>
            </w:tcBorders>
          </w:tcPr>
          <w:p w:rsidR="007D54B9" w:rsidRPr="000D187A" w:rsidRDefault="007D54B9" w:rsidP="00E7317C">
            <w:pPr>
              <w:ind w:left="360"/>
              <w:rPr>
                <w:sz w:val="20"/>
                <w:szCs w:val="20"/>
                <w:highlight w:val="yellow"/>
              </w:rPr>
            </w:pPr>
            <w:r>
              <w:rPr>
                <w:sz w:val="20"/>
                <w:szCs w:val="20"/>
              </w:rPr>
              <w:t xml:space="preserve">6. </w:t>
            </w:r>
            <w:r w:rsidRPr="00F1475A">
              <w:rPr>
                <w:sz w:val="20"/>
                <w:szCs w:val="20"/>
              </w:rPr>
              <w:t xml:space="preserve">Корректирующая сумма поступлений, учитывающая </w:t>
            </w:r>
            <w:r>
              <w:rPr>
                <w:sz w:val="20"/>
                <w:szCs w:val="20"/>
              </w:rPr>
              <w:t xml:space="preserve">прогнозируемое погашение задолженности прошлых лет </w:t>
            </w:r>
            <w:r w:rsidRPr="00F1475A">
              <w:rPr>
                <w:sz w:val="20"/>
                <w:szCs w:val="20"/>
              </w:rPr>
              <w:t>-F, тыс. рублей</w:t>
            </w:r>
            <w:r>
              <w:rPr>
                <w:sz w:val="20"/>
                <w:szCs w:val="20"/>
              </w:rPr>
              <w:t xml:space="preserve">, отсутствует </w:t>
            </w:r>
          </w:p>
        </w:tc>
        <w:tc>
          <w:tcPr>
            <w:tcW w:w="1824" w:type="dxa"/>
          </w:tcPr>
          <w:p w:rsidR="007D54B9" w:rsidRPr="00F1475A" w:rsidRDefault="007D54B9" w:rsidP="00E7317C">
            <w:pPr>
              <w:jc w:val="center"/>
              <w:rPr>
                <w:sz w:val="20"/>
                <w:szCs w:val="20"/>
              </w:rPr>
            </w:pPr>
            <w:r>
              <w:rPr>
                <w:sz w:val="20"/>
                <w:szCs w:val="20"/>
              </w:rPr>
              <w:t>0</w:t>
            </w:r>
          </w:p>
        </w:tc>
      </w:tr>
      <w:tr w:rsidR="007D54B9" w:rsidRPr="000D187A" w:rsidTr="00E7317C">
        <w:tc>
          <w:tcPr>
            <w:tcW w:w="7740" w:type="dxa"/>
            <w:tcBorders>
              <w:left w:val="single" w:sz="12" w:space="0" w:color="auto"/>
            </w:tcBorders>
          </w:tcPr>
          <w:p w:rsidR="007D54B9" w:rsidRPr="00370C2D" w:rsidRDefault="007D54B9" w:rsidP="00E7317C">
            <w:pPr>
              <w:ind w:left="360"/>
              <w:rPr>
                <w:sz w:val="20"/>
                <w:szCs w:val="20"/>
              </w:rPr>
            </w:pPr>
            <w:r w:rsidRPr="00370C2D">
              <w:rPr>
                <w:sz w:val="20"/>
                <w:szCs w:val="20"/>
              </w:rPr>
              <w:t>7. Ожидаемая оценка поступления НДПИ на 20</w:t>
            </w:r>
            <w:r>
              <w:rPr>
                <w:sz w:val="20"/>
                <w:szCs w:val="20"/>
              </w:rPr>
              <w:t>21</w:t>
            </w:r>
            <w:r w:rsidRPr="00370C2D">
              <w:rPr>
                <w:sz w:val="20"/>
                <w:szCs w:val="20"/>
              </w:rPr>
              <w:t xml:space="preserve"> год :</w:t>
            </w:r>
          </w:p>
          <w:p w:rsidR="007D54B9" w:rsidRPr="0039112B" w:rsidRDefault="007D54B9" w:rsidP="00E7317C">
            <w:pPr>
              <w:ind w:left="357"/>
              <w:rPr>
                <w:sz w:val="20"/>
                <w:szCs w:val="20"/>
              </w:rPr>
            </w:pPr>
            <w:r w:rsidRPr="00370C2D">
              <w:rPr>
                <w:szCs w:val="28"/>
              </w:rPr>
              <w:t xml:space="preserve">НДПИ </w:t>
            </w:r>
            <w:r w:rsidRPr="00370C2D">
              <w:rPr>
                <w:szCs w:val="28"/>
                <w:vertAlign w:val="subscript"/>
              </w:rPr>
              <w:t>общ. ПИ</w:t>
            </w:r>
            <w:r w:rsidRPr="00370C2D">
              <w:rPr>
                <w:szCs w:val="28"/>
              </w:rPr>
              <w:t xml:space="preserve"> = (Ʃ(</w:t>
            </w:r>
            <w:r w:rsidRPr="00370C2D">
              <w:rPr>
                <w:szCs w:val="28"/>
                <w:lang w:val="en-US"/>
              </w:rPr>
              <w:t>U</w:t>
            </w:r>
            <w:r>
              <w:rPr>
                <w:szCs w:val="28"/>
              </w:rPr>
              <w:t xml:space="preserve"> </w:t>
            </w:r>
            <w:r>
              <w:rPr>
                <w:szCs w:val="28"/>
                <w:vertAlign w:val="subscript"/>
              </w:rPr>
              <w:t>проч.</w:t>
            </w:r>
            <w:r w:rsidRPr="00370C2D">
              <w:rPr>
                <w:szCs w:val="28"/>
                <w:vertAlign w:val="subscript"/>
              </w:rPr>
              <w:t xml:space="preserve"> ПИ</w:t>
            </w:r>
            <w:r w:rsidRPr="00370C2D">
              <w:rPr>
                <w:szCs w:val="28"/>
              </w:rPr>
              <w:t xml:space="preserve"> </w:t>
            </w:r>
            <w:r w:rsidRPr="00370C2D">
              <w:rPr>
                <w:szCs w:val="28"/>
                <w:vertAlign w:val="subscript"/>
              </w:rPr>
              <w:t>факт</w:t>
            </w:r>
            <w:r w:rsidRPr="00370C2D">
              <w:rPr>
                <w:szCs w:val="28"/>
              </w:rPr>
              <w:t xml:space="preserve"> × </w:t>
            </w:r>
            <w:r w:rsidRPr="00370C2D">
              <w:rPr>
                <w:szCs w:val="28"/>
                <w:lang w:val="en-US"/>
              </w:rPr>
              <w:t>J</w:t>
            </w:r>
            <w:r w:rsidRPr="00370C2D">
              <w:rPr>
                <w:szCs w:val="28"/>
              </w:rPr>
              <w:t xml:space="preserve"> </w:t>
            </w:r>
            <w:r w:rsidRPr="00370C2D">
              <w:rPr>
                <w:szCs w:val="28"/>
                <w:vertAlign w:val="subscript"/>
              </w:rPr>
              <w:t xml:space="preserve"> </w:t>
            </w:r>
            <w:r>
              <w:rPr>
                <w:szCs w:val="28"/>
                <w:vertAlign w:val="subscript"/>
              </w:rPr>
              <w:t xml:space="preserve">проч. </w:t>
            </w:r>
            <w:r w:rsidRPr="00370C2D">
              <w:rPr>
                <w:szCs w:val="28"/>
                <w:vertAlign w:val="subscript"/>
              </w:rPr>
              <w:t>ПИ</w:t>
            </w:r>
            <w:r w:rsidRPr="00370C2D">
              <w:rPr>
                <w:szCs w:val="28"/>
              </w:rPr>
              <w:t xml:space="preserve"> × S ) (+-) P) × </w:t>
            </w:r>
            <w:r w:rsidRPr="00370C2D">
              <w:rPr>
                <w:szCs w:val="28"/>
                <w:lang w:val="en-US"/>
              </w:rPr>
              <w:t>K</w:t>
            </w:r>
            <w:r w:rsidRPr="00370C2D">
              <w:rPr>
                <w:szCs w:val="28"/>
              </w:rPr>
              <w:t xml:space="preserve"> </w:t>
            </w:r>
            <w:r w:rsidRPr="00370C2D">
              <w:rPr>
                <w:szCs w:val="28"/>
                <w:vertAlign w:val="subscript"/>
              </w:rPr>
              <w:t>соб.</w:t>
            </w:r>
            <w:r w:rsidRPr="00370C2D">
              <w:rPr>
                <w:szCs w:val="28"/>
              </w:rPr>
              <w:t xml:space="preserve"> (+-) F </w:t>
            </w:r>
            <w:r>
              <w:rPr>
                <w:szCs w:val="28"/>
              </w:rPr>
              <w:t xml:space="preserve"> </w:t>
            </w:r>
            <w:r w:rsidRPr="0039112B">
              <w:rPr>
                <w:sz w:val="20"/>
                <w:szCs w:val="20"/>
              </w:rPr>
              <w:t>=(</w:t>
            </w:r>
            <w:r>
              <w:rPr>
                <w:sz w:val="20"/>
                <w:szCs w:val="20"/>
              </w:rPr>
              <w:t>152+303</w:t>
            </w:r>
            <w:r w:rsidRPr="0039112B">
              <w:rPr>
                <w:sz w:val="20"/>
                <w:szCs w:val="20"/>
              </w:rPr>
              <w:t>)*</w:t>
            </w:r>
            <w:r>
              <w:rPr>
                <w:sz w:val="20"/>
                <w:szCs w:val="20"/>
              </w:rPr>
              <w:t>89,3</w:t>
            </w:r>
            <w:r w:rsidRPr="0039112B">
              <w:rPr>
                <w:sz w:val="20"/>
                <w:szCs w:val="20"/>
              </w:rPr>
              <w:t>%+</w:t>
            </w:r>
            <w:r>
              <w:rPr>
                <w:sz w:val="20"/>
                <w:szCs w:val="20"/>
              </w:rPr>
              <w:t>1</w:t>
            </w:r>
            <w:r w:rsidRPr="0039112B">
              <w:rPr>
                <w:sz w:val="20"/>
                <w:szCs w:val="20"/>
              </w:rPr>
              <w:t xml:space="preserve">= </w:t>
            </w:r>
            <w:r>
              <w:rPr>
                <w:sz w:val="20"/>
                <w:szCs w:val="20"/>
              </w:rPr>
              <w:t>407</w:t>
            </w:r>
            <w:r w:rsidRPr="0039112B">
              <w:rPr>
                <w:sz w:val="20"/>
                <w:szCs w:val="20"/>
              </w:rPr>
              <w:t xml:space="preserve"> тыс. руб</w:t>
            </w:r>
            <w:r>
              <w:rPr>
                <w:sz w:val="20"/>
                <w:szCs w:val="20"/>
              </w:rPr>
              <w:t>лей</w:t>
            </w:r>
          </w:p>
          <w:p w:rsidR="007D54B9" w:rsidRPr="00370C2D" w:rsidRDefault="007D54B9" w:rsidP="00E7317C">
            <w:pPr>
              <w:ind w:left="357"/>
              <w:rPr>
                <w:sz w:val="20"/>
                <w:szCs w:val="20"/>
              </w:rPr>
            </w:pPr>
            <w:r w:rsidRPr="0039112B">
              <w:rPr>
                <w:sz w:val="20"/>
                <w:szCs w:val="20"/>
              </w:rPr>
              <w:t xml:space="preserve">в том числе в областной бюджет Тверской области с учетом норматива зачисления 60% = </w:t>
            </w:r>
            <w:r>
              <w:rPr>
                <w:sz w:val="20"/>
                <w:szCs w:val="20"/>
              </w:rPr>
              <w:t>407</w:t>
            </w:r>
            <w:r w:rsidRPr="0039112B">
              <w:rPr>
                <w:sz w:val="20"/>
                <w:szCs w:val="20"/>
              </w:rPr>
              <w:t xml:space="preserve"> * 60% = </w:t>
            </w:r>
            <w:r>
              <w:rPr>
                <w:sz w:val="20"/>
                <w:szCs w:val="20"/>
              </w:rPr>
              <w:t>244</w:t>
            </w:r>
            <w:r w:rsidRPr="0039112B">
              <w:rPr>
                <w:sz w:val="20"/>
                <w:szCs w:val="20"/>
              </w:rPr>
              <w:t xml:space="preserve"> тыс. рублей (</w:t>
            </w:r>
            <w:r w:rsidRPr="0039112B">
              <w:rPr>
                <w:i/>
                <w:sz w:val="20"/>
                <w:szCs w:val="20"/>
              </w:rPr>
              <w:t>с учетом округления</w:t>
            </w:r>
            <w:r w:rsidRPr="0039112B">
              <w:rPr>
                <w:sz w:val="20"/>
                <w:szCs w:val="20"/>
              </w:rPr>
              <w:t>)</w:t>
            </w:r>
          </w:p>
        </w:tc>
        <w:tc>
          <w:tcPr>
            <w:tcW w:w="1824" w:type="dxa"/>
          </w:tcPr>
          <w:p w:rsidR="007D54B9" w:rsidRDefault="007D54B9" w:rsidP="00E7317C">
            <w:pPr>
              <w:jc w:val="center"/>
              <w:rPr>
                <w:sz w:val="20"/>
                <w:szCs w:val="20"/>
              </w:rPr>
            </w:pPr>
          </w:p>
          <w:p w:rsidR="007D54B9" w:rsidRPr="003D2CF4" w:rsidRDefault="007D54B9" w:rsidP="00E7317C">
            <w:pPr>
              <w:jc w:val="center"/>
              <w:rPr>
                <w:b/>
                <w:sz w:val="20"/>
                <w:szCs w:val="20"/>
              </w:rPr>
            </w:pPr>
            <w:r>
              <w:rPr>
                <w:b/>
                <w:sz w:val="20"/>
                <w:szCs w:val="20"/>
              </w:rPr>
              <w:t>244</w:t>
            </w:r>
          </w:p>
          <w:p w:rsidR="007D54B9" w:rsidRPr="00370C2D" w:rsidRDefault="007D54B9" w:rsidP="00E7317C">
            <w:pPr>
              <w:jc w:val="center"/>
              <w:rPr>
                <w:sz w:val="20"/>
                <w:szCs w:val="20"/>
              </w:rPr>
            </w:pPr>
          </w:p>
          <w:p w:rsidR="007D54B9" w:rsidRPr="00370C2D" w:rsidRDefault="007D54B9" w:rsidP="00E7317C">
            <w:pPr>
              <w:jc w:val="center"/>
              <w:rPr>
                <w:sz w:val="20"/>
                <w:szCs w:val="20"/>
              </w:rPr>
            </w:pPr>
          </w:p>
          <w:p w:rsidR="007D54B9" w:rsidRPr="00370C2D" w:rsidRDefault="007D54B9" w:rsidP="00E7317C">
            <w:pPr>
              <w:rPr>
                <w:sz w:val="10"/>
                <w:szCs w:val="10"/>
              </w:rPr>
            </w:pPr>
          </w:p>
          <w:p w:rsidR="007D54B9" w:rsidRPr="00370C2D" w:rsidRDefault="007D54B9" w:rsidP="00E7317C">
            <w:pPr>
              <w:jc w:val="center"/>
              <w:rPr>
                <w:sz w:val="20"/>
                <w:szCs w:val="20"/>
              </w:rPr>
            </w:pPr>
          </w:p>
        </w:tc>
      </w:tr>
      <w:tr w:rsidR="007D54B9" w:rsidRPr="000D187A" w:rsidTr="00E7317C">
        <w:tc>
          <w:tcPr>
            <w:tcW w:w="7740" w:type="dxa"/>
            <w:tcBorders>
              <w:left w:val="single" w:sz="12" w:space="0" w:color="auto"/>
            </w:tcBorders>
          </w:tcPr>
          <w:p w:rsidR="007D54B9" w:rsidRDefault="007D54B9" w:rsidP="00E7317C">
            <w:pPr>
              <w:ind w:left="360"/>
              <w:rPr>
                <w:sz w:val="20"/>
                <w:szCs w:val="20"/>
              </w:rPr>
            </w:pPr>
            <w:r>
              <w:rPr>
                <w:sz w:val="20"/>
                <w:szCs w:val="20"/>
              </w:rPr>
              <w:t>8</w:t>
            </w:r>
            <w:r w:rsidRPr="00DD4024">
              <w:rPr>
                <w:sz w:val="20"/>
                <w:szCs w:val="20"/>
              </w:rPr>
              <w:t xml:space="preserve">. </w:t>
            </w:r>
            <w:r>
              <w:rPr>
                <w:sz w:val="20"/>
                <w:szCs w:val="20"/>
              </w:rPr>
              <w:t>Сумма налога, подлежащая уплате в бюджет всего в 2022 году, тыс. рублей</w:t>
            </w:r>
          </w:p>
          <w:p w:rsidR="007D54B9" w:rsidRPr="00DD4024" w:rsidRDefault="007D54B9" w:rsidP="00E7317C">
            <w:pPr>
              <w:ind w:left="360"/>
              <w:rPr>
                <w:sz w:val="20"/>
                <w:szCs w:val="20"/>
              </w:rPr>
            </w:pPr>
          </w:p>
        </w:tc>
        <w:tc>
          <w:tcPr>
            <w:tcW w:w="1824" w:type="dxa"/>
          </w:tcPr>
          <w:p w:rsidR="007D54B9" w:rsidRPr="00DD4024" w:rsidRDefault="007D54B9" w:rsidP="00E7317C">
            <w:pPr>
              <w:jc w:val="center"/>
              <w:rPr>
                <w:sz w:val="20"/>
                <w:szCs w:val="20"/>
              </w:rPr>
            </w:pPr>
            <w:r>
              <w:rPr>
                <w:sz w:val="20"/>
                <w:szCs w:val="20"/>
              </w:rPr>
              <w:t>467</w:t>
            </w:r>
          </w:p>
        </w:tc>
      </w:tr>
      <w:tr w:rsidR="007D54B9" w:rsidRPr="000D187A" w:rsidTr="00E7317C">
        <w:tc>
          <w:tcPr>
            <w:tcW w:w="7740" w:type="dxa"/>
            <w:tcBorders>
              <w:left w:val="single" w:sz="12" w:space="0" w:color="auto"/>
            </w:tcBorders>
          </w:tcPr>
          <w:p w:rsidR="007D54B9" w:rsidRDefault="007D54B9" w:rsidP="00E7317C">
            <w:pPr>
              <w:ind w:left="357"/>
              <w:rPr>
                <w:sz w:val="20"/>
                <w:szCs w:val="20"/>
              </w:rPr>
            </w:pPr>
            <w:r>
              <w:rPr>
                <w:sz w:val="20"/>
                <w:szCs w:val="20"/>
              </w:rPr>
              <w:t>8.1. (стр. 4.1.* 102,7%) = 152*102,7%=156 тыс.рублей                  Минеральные воды</w:t>
            </w:r>
          </w:p>
          <w:p w:rsidR="007D54B9" w:rsidRPr="00DD4024" w:rsidRDefault="007D54B9" w:rsidP="00E7317C">
            <w:pPr>
              <w:ind w:left="357"/>
              <w:rPr>
                <w:sz w:val="20"/>
                <w:szCs w:val="20"/>
              </w:rPr>
            </w:pPr>
          </w:p>
        </w:tc>
        <w:tc>
          <w:tcPr>
            <w:tcW w:w="1824" w:type="dxa"/>
          </w:tcPr>
          <w:p w:rsidR="007D54B9" w:rsidRDefault="007D54B9" w:rsidP="00E7317C">
            <w:pPr>
              <w:jc w:val="center"/>
              <w:rPr>
                <w:sz w:val="20"/>
                <w:szCs w:val="20"/>
              </w:rPr>
            </w:pPr>
            <w:r>
              <w:rPr>
                <w:sz w:val="20"/>
                <w:szCs w:val="20"/>
              </w:rPr>
              <w:t>156</w:t>
            </w:r>
          </w:p>
        </w:tc>
      </w:tr>
      <w:tr w:rsidR="007D54B9" w:rsidRPr="000D187A" w:rsidTr="00E7317C">
        <w:tc>
          <w:tcPr>
            <w:tcW w:w="7740" w:type="dxa"/>
            <w:tcBorders>
              <w:left w:val="single" w:sz="12" w:space="0" w:color="auto"/>
            </w:tcBorders>
          </w:tcPr>
          <w:p w:rsidR="007D54B9" w:rsidRDefault="007D54B9" w:rsidP="00E7317C">
            <w:pPr>
              <w:ind w:left="357"/>
              <w:rPr>
                <w:sz w:val="20"/>
                <w:szCs w:val="20"/>
              </w:rPr>
            </w:pPr>
            <w:r>
              <w:rPr>
                <w:sz w:val="20"/>
                <w:szCs w:val="20"/>
              </w:rPr>
              <w:t xml:space="preserve">8.2. (стр. 4.2. * 102,7%)= 303*102,7%=311 тыс. рублей  </w:t>
            </w:r>
          </w:p>
          <w:p w:rsidR="007D54B9" w:rsidRPr="00DD4024" w:rsidRDefault="007D54B9" w:rsidP="00E7317C">
            <w:pPr>
              <w:ind w:left="357"/>
              <w:rPr>
                <w:sz w:val="20"/>
                <w:szCs w:val="20"/>
              </w:rPr>
            </w:pPr>
            <w:r w:rsidRPr="00C83520">
              <w:rPr>
                <w:sz w:val="20"/>
                <w:szCs w:val="20"/>
              </w:rPr>
              <w:t>Горнорудное неметаллическое сырье</w:t>
            </w:r>
            <w:r>
              <w:rPr>
                <w:sz w:val="20"/>
                <w:szCs w:val="20"/>
              </w:rPr>
              <w:t xml:space="preserve">                 </w:t>
            </w:r>
          </w:p>
        </w:tc>
        <w:tc>
          <w:tcPr>
            <w:tcW w:w="1824" w:type="dxa"/>
          </w:tcPr>
          <w:p w:rsidR="007D54B9" w:rsidRDefault="007D54B9" w:rsidP="00E7317C">
            <w:pPr>
              <w:jc w:val="center"/>
              <w:rPr>
                <w:sz w:val="20"/>
                <w:szCs w:val="20"/>
              </w:rPr>
            </w:pPr>
            <w:r>
              <w:rPr>
                <w:sz w:val="20"/>
                <w:szCs w:val="20"/>
              </w:rPr>
              <w:t>311</w:t>
            </w:r>
          </w:p>
        </w:tc>
      </w:tr>
      <w:tr w:rsidR="007D54B9" w:rsidRPr="000D187A" w:rsidTr="00E7317C">
        <w:tc>
          <w:tcPr>
            <w:tcW w:w="7740" w:type="dxa"/>
            <w:tcBorders>
              <w:left w:val="single" w:sz="12" w:space="0" w:color="auto"/>
            </w:tcBorders>
          </w:tcPr>
          <w:p w:rsidR="007D54B9" w:rsidRPr="00370C2D" w:rsidRDefault="007D54B9" w:rsidP="00E7317C">
            <w:pPr>
              <w:ind w:left="360"/>
              <w:rPr>
                <w:sz w:val="20"/>
                <w:szCs w:val="20"/>
              </w:rPr>
            </w:pPr>
            <w:r>
              <w:rPr>
                <w:sz w:val="20"/>
                <w:szCs w:val="20"/>
              </w:rPr>
              <w:t>9. Прогноз</w:t>
            </w:r>
            <w:r w:rsidRPr="00370C2D">
              <w:rPr>
                <w:sz w:val="20"/>
                <w:szCs w:val="20"/>
              </w:rPr>
              <w:t xml:space="preserve"> поступления НДПИ </w:t>
            </w:r>
            <w:r>
              <w:rPr>
                <w:sz w:val="20"/>
                <w:szCs w:val="20"/>
              </w:rPr>
              <w:t>в 2022</w:t>
            </w:r>
            <w:r w:rsidRPr="00370C2D">
              <w:rPr>
                <w:sz w:val="20"/>
                <w:szCs w:val="20"/>
              </w:rPr>
              <w:t xml:space="preserve"> год</w:t>
            </w:r>
            <w:r>
              <w:rPr>
                <w:sz w:val="20"/>
                <w:szCs w:val="20"/>
              </w:rPr>
              <w:t>у всего</w:t>
            </w:r>
            <w:r w:rsidRPr="00370C2D">
              <w:rPr>
                <w:sz w:val="20"/>
                <w:szCs w:val="20"/>
              </w:rPr>
              <w:t xml:space="preserve"> :</w:t>
            </w:r>
          </w:p>
          <w:p w:rsidR="007D54B9" w:rsidRPr="0039112B" w:rsidRDefault="007D54B9" w:rsidP="00E7317C">
            <w:pPr>
              <w:ind w:left="357"/>
              <w:rPr>
                <w:sz w:val="20"/>
                <w:szCs w:val="20"/>
              </w:rPr>
            </w:pPr>
            <w:r w:rsidRPr="00370C2D">
              <w:rPr>
                <w:szCs w:val="28"/>
              </w:rPr>
              <w:t xml:space="preserve">НДПИ </w:t>
            </w:r>
            <w:r w:rsidRPr="00370C2D">
              <w:rPr>
                <w:szCs w:val="28"/>
                <w:vertAlign w:val="subscript"/>
              </w:rPr>
              <w:t>общ. ПИ</w:t>
            </w:r>
            <w:r w:rsidRPr="00370C2D">
              <w:rPr>
                <w:szCs w:val="28"/>
              </w:rPr>
              <w:t xml:space="preserve"> = (Ʃ(</w:t>
            </w:r>
            <w:r w:rsidRPr="00370C2D">
              <w:rPr>
                <w:szCs w:val="28"/>
                <w:lang w:val="en-US"/>
              </w:rPr>
              <w:t>U</w:t>
            </w:r>
            <w:r>
              <w:rPr>
                <w:szCs w:val="28"/>
              </w:rPr>
              <w:t xml:space="preserve"> </w:t>
            </w:r>
            <w:r>
              <w:rPr>
                <w:szCs w:val="28"/>
                <w:vertAlign w:val="subscript"/>
              </w:rPr>
              <w:t>проч.</w:t>
            </w:r>
            <w:r w:rsidRPr="00370C2D">
              <w:rPr>
                <w:szCs w:val="28"/>
                <w:vertAlign w:val="subscript"/>
              </w:rPr>
              <w:t xml:space="preserve"> ПИ</w:t>
            </w:r>
            <w:r w:rsidRPr="00370C2D">
              <w:rPr>
                <w:szCs w:val="28"/>
              </w:rPr>
              <w:t xml:space="preserve"> </w:t>
            </w:r>
            <w:r w:rsidRPr="00370C2D">
              <w:rPr>
                <w:szCs w:val="28"/>
                <w:vertAlign w:val="subscript"/>
              </w:rPr>
              <w:t>факт</w:t>
            </w:r>
            <w:r w:rsidRPr="00370C2D">
              <w:rPr>
                <w:szCs w:val="28"/>
              </w:rPr>
              <w:t xml:space="preserve"> × </w:t>
            </w:r>
            <w:r w:rsidRPr="00370C2D">
              <w:rPr>
                <w:szCs w:val="28"/>
                <w:lang w:val="en-US"/>
              </w:rPr>
              <w:t>J</w:t>
            </w:r>
            <w:r w:rsidRPr="00370C2D">
              <w:rPr>
                <w:szCs w:val="28"/>
              </w:rPr>
              <w:t xml:space="preserve"> </w:t>
            </w:r>
            <w:r w:rsidRPr="00370C2D">
              <w:rPr>
                <w:szCs w:val="28"/>
                <w:vertAlign w:val="subscript"/>
              </w:rPr>
              <w:t xml:space="preserve"> </w:t>
            </w:r>
            <w:r>
              <w:rPr>
                <w:szCs w:val="28"/>
                <w:vertAlign w:val="subscript"/>
              </w:rPr>
              <w:t xml:space="preserve">проч. </w:t>
            </w:r>
            <w:r w:rsidRPr="00370C2D">
              <w:rPr>
                <w:szCs w:val="28"/>
                <w:vertAlign w:val="subscript"/>
              </w:rPr>
              <w:t>ПИ</w:t>
            </w:r>
            <w:r w:rsidRPr="00370C2D">
              <w:rPr>
                <w:szCs w:val="28"/>
              </w:rPr>
              <w:t xml:space="preserve"> × S ) (+-) P) × </w:t>
            </w:r>
            <w:r w:rsidRPr="00370C2D">
              <w:rPr>
                <w:szCs w:val="28"/>
                <w:lang w:val="en-US"/>
              </w:rPr>
              <w:t>K</w:t>
            </w:r>
            <w:r w:rsidRPr="00370C2D">
              <w:rPr>
                <w:szCs w:val="28"/>
              </w:rPr>
              <w:t xml:space="preserve"> </w:t>
            </w:r>
            <w:r w:rsidRPr="00370C2D">
              <w:rPr>
                <w:szCs w:val="28"/>
                <w:vertAlign w:val="subscript"/>
              </w:rPr>
              <w:t>соб.</w:t>
            </w:r>
            <w:r w:rsidRPr="00370C2D">
              <w:rPr>
                <w:szCs w:val="28"/>
              </w:rPr>
              <w:t xml:space="preserve"> (+-) F </w:t>
            </w:r>
            <w:r>
              <w:rPr>
                <w:szCs w:val="28"/>
              </w:rPr>
              <w:t xml:space="preserve"> </w:t>
            </w:r>
            <w:r w:rsidRPr="0039112B">
              <w:rPr>
                <w:sz w:val="20"/>
                <w:szCs w:val="20"/>
              </w:rPr>
              <w:t>=</w:t>
            </w:r>
            <w:r>
              <w:rPr>
                <w:sz w:val="20"/>
                <w:szCs w:val="20"/>
              </w:rPr>
              <w:t>467</w:t>
            </w:r>
            <w:r w:rsidRPr="0039112B">
              <w:rPr>
                <w:sz w:val="20"/>
                <w:szCs w:val="20"/>
              </w:rPr>
              <w:t>*</w:t>
            </w:r>
            <w:r>
              <w:rPr>
                <w:sz w:val="20"/>
                <w:szCs w:val="20"/>
              </w:rPr>
              <w:t>89,3</w:t>
            </w:r>
            <w:r w:rsidRPr="0039112B">
              <w:rPr>
                <w:sz w:val="20"/>
                <w:szCs w:val="20"/>
              </w:rPr>
              <w:t xml:space="preserve"> %</w:t>
            </w:r>
            <w:r>
              <w:rPr>
                <w:sz w:val="20"/>
                <w:szCs w:val="20"/>
              </w:rPr>
              <w:t>-1 (6-7)=416</w:t>
            </w:r>
            <w:r w:rsidRPr="0039112B">
              <w:rPr>
                <w:sz w:val="20"/>
                <w:szCs w:val="20"/>
              </w:rPr>
              <w:t xml:space="preserve"> тыс. руб</w:t>
            </w:r>
            <w:r>
              <w:rPr>
                <w:sz w:val="20"/>
                <w:szCs w:val="20"/>
              </w:rPr>
              <w:t>лей</w:t>
            </w:r>
          </w:p>
          <w:p w:rsidR="007D54B9" w:rsidRPr="00DD4024" w:rsidRDefault="007D54B9" w:rsidP="00E7317C">
            <w:pPr>
              <w:ind w:left="357"/>
              <w:rPr>
                <w:sz w:val="20"/>
                <w:szCs w:val="20"/>
              </w:rPr>
            </w:pPr>
            <w:r w:rsidRPr="0039112B">
              <w:rPr>
                <w:sz w:val="20"/>
                <w:szCs w:val="20"/>
              </w:rPr>
              <w:t xml:space="preserve">в том числе в областной бюджет Тверской области с учетом норматива зачисления 60% = </w:t>
            </w:r>
            <w:r>
              <w:rPr>
                <w:sz w:val="20"/>
                <w:szCs w:val="20"/>
              </w:rPr>
              <w:t>416* 60% = 250</w:t>
            </w:r>
            <w:r w:rsidRPr="0039112B">
              <w:rPr>
                <w:sz w:val="20"/>
                <w:szCs w:val="20"/>
              </w:rPr>
              <w:t xml:space="preserve"> тыс. рублей (</w:t>
            </w:r>
            <w:r w:rsidRPr="0039112B">
              <w:rPr>
                <w:i/>
                <w:sz w:val="20"/>
                <w:szCs w:val="20"/>
              </w:rPr>
              <w:t>с учетом округления</w:t>
            </w:r>
            <w:r w:rsidRPr="0039112B">
              <w:rPr>
                <w:sz w:val="20"/>
                <w:szCs w:val="20"/>
              </w:rPr>
              <w:t>)</w:t>
            </w:r>
          </w:p>
        </w:tc>
        <w:tc>
          <w:tcPr>
            <w:tcW w:w="1824" w:type="dxa"/>
          </w:tcPr>
          <w:p w:rsidR="007D54B9" w:rsidRDefault="007D54B9" w:rsidP="00E7317C">
            <w:pPr>
              <w:jc w:val="center"/>
              <w:rPr>
                <w:sz w:val="20"/>
                <w:szCs w:val="20"/>
              </w:rPr>
            </w:pPr>
          </w:p>
          <w:p w:rsidR="007D54B9" w:rsidRPr="005008DC" w:rsidRDefault="007D54B9" w:rsidP="00E7317C">
            <w:pPr>
              <w:jc w:val="center"/>
              <w:rPr>
                <w:b/>
                <w:sz w:val="20"/>
                <w:szCs w:val="20"/>
              </w:rPr>
            </w:pPr>
            <w:r>
              <w:rPr>
                <w:b/>
                <w:sz w:val="20"/>
                <w:szCs w:val="20"/>
              </w:rPr>
              <w:t>250</w:t>
            </w:r>
          </w:p>
        </w:tc>
      </w:tr>
      <w:tr w:rsidR="007D54B9" w:rsidRPr="000D187A" w:rsidTr="00E7317C">
        <w:tc>
          <w:tcPr>
            <w:tcW w:w="7740" w:type="dxa"/>
            <w:tcBorders>
              <w:left w:val="single" w:sz="12" w:space="0" w:color="auto"/>
            </w:tcBorders>
          </w:tcPr>
          <w:p w:rsidR="007D54B9" w:rsidRDefault="007D54B9" w:rsidP="00E7317C">
            <w:pPr>
              <w:ind w:left="360"/>
              <w:rPr>
                <w:sz w:val="20"/>
                <w:szCs w:val="20"/>
              </w:rPr>
            </w:pPr>
            <w:r>
              <w:rPr>
                <w:sz w:val="20"/>
                <w:szCs w:val="20"/>
              </w:rPr>
              <w:t>10</w:t>
            </w:r>
            <w:r w:rsidRPr="00DD4024">
              <w:rPr>
                <w:sz w:val="20"/>
                <w:szCs w:val="20"/>
              </w:rPr>
              <w:t xml:space="preserve">. </w:t>
            </w:r>
            <w:r>
              <w:rPr>
                <w:sz w:val="20"/>
                <w:szCs w:val="20"/>
              </w:rPr>
              <w:t>Сумма налога, подлежащая уплате в бюджет всего в 2023 году, тыс. рублей</w:t>
            </w:r>
          </w:p>
          <w:p w:rsidR="007D54B9" w:rsidRPr="00DD4024" w:rsidRDefault="007D54B9" w:rsidP="00E7317C">
            <w:pPr>
              <w:ind w:left="360"/>
              <w:rPr>
                <w:sz w:val="20"/>
                <w:szCs w:val="20"/>
              </w:rPr>
            </w:pPr>
          </w:p>
        </w:tc>
        <w:tc>
          <w:tcPr>
            <w:tcW w:w="1824" w:type="dxa"/>
          </w:tcPr>
          <w:p w:rsidR="007D54B9" w:rsidRDefault="007D54B9" w:rsidP="00E7317C">
            <w:pPr>
              <w:jc w:val="center"/>
              <w:rPr>
                <w:sz w:val="20"/>
                <w:szCs w:val="20"/>
              </w:rPr>
            </w:pPr>
            <w:r>
              <w:rPr>
                <w:sz w:val="20"/>
                <w:szCs w:val="20"/>
              </w:rPr>
              <w:t>471</w:t>
            </w:r>
          </w:p>
        </w:tc>
      </w:tr>
      <w:tr w:rsidR="007D54B9" w:rsidRPr="000D187A" w:rsidTr="00E7317C">
        <w:tc>
          <w:tcPr>
            <w:tcW w:w="7740" w:type="dxa"/>
            <w:tcBorders>
              <w:left w:val="single" w:sz="12" w:space="0" w:color="auto"/>
            </w:tcBorders>
          </w:tcPr>
          <w:p w:rsidR="007D54B9" w:rsidRDefault="007D54B9" w:rsidP="00E7317C">
            <w:pPr>
              <w:ind w:left="357"/>
              <w:rPr>
                <w:sz w:val="20"/>
                <w:szCs w:val="20"/>
              </w:rPr>
            </w:pPr>
            <w:r>
              <w:rPr>
                <w:sz w:val="20"/>
                <w:szCs w:val="20"/>
              </w:rPr>
              <w:t>10.1. (стр. 8.1.*100,8%) = 156*100,8%=157 тыс. рублей               Минеральные воды</w:t>
            </w:r>
          </w:p>
          <w:p w:rsidR="007D54B9" w:rsidRPr="00DD4024" w:rsidRDefault="007D54B9" w:rsidP="00E7317C">
            <w:pPr>
              <w:ind w:left="357"/>
              <w:rPr>
                <w:sz w:val="20"/>
                <w:szCs w:val="20"/>
              </w:rPr>
            </w:pPr>
          </w:p>
        </w:tc>
        <w:tc>
          <w:tcPr>
            <w:tcW w:w="1824" w:type="dxa"/>
          </w:tcPr>
          <w:p w:rsidR="007D54B9" w:rsidRDefault="007D54B9" w:rsidP="00E7317C">
            <w:pPr>
              <w:jc w:val="center"/>
              <w:rPr>
                <w:sz w:val="20"/>
                <w:szCs w:val="20"/>
              </w:rPr>
            </w:pPr>
            <w:r>
              <w:rPr>
                <w:sz w:val="20"/>
                <w:szCs w:val="20"/>
              </w:rPr>
              <w:t>157</w:t>
            </w:r>
          </w:p>
        </w:tc>
      </w:tr>
      <w:tr w:rsidR="007D54B9" w:rsidRPr="000D187A" w:rsidTr="00E7317C">
        <w:tc>
          <w:tcPr>
            <w:tcW w:w="7740" w:type="dxa"/>
            <w:tcBorders>
              <w:left w:val="single" w:sz="12" w:space="0" w:color="auto"/>
            </w:tcBorders>
          </w:tcPr>
          <w:p w:rsidR="007D54B9" w:rsidRPr="004D4A7D" w:rsidRDefault="007D54B9" w:rsidP="00E7317C">
            <w:pPr>
              <w:ind w:left="357"/>
              <w:rPr>
                <w:i/>
                <w:sz w:val="20"/>
                <w:szCs w:val="20"/>
              </w:rPr>
            </w:pPr>
            <w:r>
              <w:rPr>
                <w:sz w:val="20"/>
                <w:szCs w:val="20"/>
              </w:rPr>
              <w:t xml:space="preserve">10.2. (стр. 8.2. * 100,8%) = 311*100,8%=314 тыс. рублей   </w:t>
            </w:r>
            <w:r w:rsidRPr="004D4A7D">
              <w:rPr>
                <w:i/>
                <w:sz w:val="20"/>
                <w:szCs w:val="20"/>
              </w:rPr>
              <w:t>(с учетом округления)</w:t>
            </w:r>
          </w:p>
          <w:p w:rsidR="007D54B9" w:rsidRPr="00DD4024" w:rsidRDefault="007D54B9" w:rsidP="00E7317C">
            <w:pPr>
              <w:ind w:left="357"/>
              <w:rPr>
                <w:sz w:val="20"/>
                <w:szCs w:val="20"/>
              </w:rPr>
            </w:pPr>
            <w:r w:rsidRPr="00C83520">
              <w:rPr>
                <w:sz w:val="20"/>
                <w:szCs w:val="20"/>
              </w:rPr>
              <w:lastRenderedPageBreak/>
              <w:t>Горнорудное неметаллическое сырье</w:t>
            </w:r>
          </w:p>
        </w:tc>
        <w:tc>
          <w:tcPr>
            <w:tcW w:w="1824" w:type="dxa"/>
          </w:tcPr>
          <w:p w:rsidR="007D54B9" w:rsidRDefault="007D54B9" w:rsidP="00E7317C">
            <w:pPr>
              <w:jc w:val="center"/>
              <w:rPr>
                <w:sz w:val="20"/>
                <w:szCs w:val="20"/>
              </w:rPr>
            </w:pPr>
            <w:r>
              <w:rPr>
                <w:sz w:val="20"/>
                <w:szCs w:val="20"/>
              </w:rPr>
              <w:lastRenderedPageBreak/>
              <w:t>314</w:t>
            </w:r>
          </w:p>
        </w:tc>
      </w:tr>
      <w:tr w:rsidR="007D54B9" w:rsidRPr="000D187A" w:rsidTr="00E7317C">
        <w:tc>
          <w:tcPr>
            <w:tcW w:w="7740" w:type="dxa"/>
            <w:tcBorders>
              <w:left w:val="single" w:sz="12" w:space="0" w:color="auto"/>
            </w:tcBorders>
          </w:tcPr>
          <w:p w:rsidR="007D54B9" w:rsidRPr="00DD4024" w:rsidRDefault="007D54B9" w:rsidP="00E7317C">
            <w:pPr>
              <w:rPr>
                <w:sz w:val="20"/>
                <w:szCs w:val="20"/>
              </w:rPr>
            </w:pPr>
            <w:r w:rsidRPr="00DD4024">
              <w:rPr>
                <w:sz w:val="20"/>
                <w:szCs w:val="20"/>
              </w:rPr>
              <w:t xml:space="preserve">       </w:t>
            </w:r>
            <w:r>
              <w:rPr>
                <w:sz w:val="20"/>
                <w:szCs w:val="20"/>
              </w:rPr>
              <w:t>11</w:t>
            </w:r>
            <w:r w:rsidRPr="00DD4024">
              <w:rPr>
                <w:sz w:val="20"/>
                <w:szCs w:val="20"/>
              </w:rPr>
              <w:t xml:space="preserve">. Прогноз поступления </w:t>
            </w:r>
            <w:r>
              <w:rPr>
                <w:sz w:val="20"/>
                <w:szCs w:val="20"/>
              </w:rPr>
              <w:t>НДПИ в</w:t>
            </w:r>
            <w:r w:rsidRPr="00DD4024">
              <w:rPr>
                <w:sz w:val="20"/>
                <w:szCs w:val="20"/>
              </w:rPr>
              <w:t xml:space="preserve"> 20</w:t>
            </w:r>
            <w:r>
              <w:rPr>
                <w:sz w:val="20"/>
                <w:szCs w:val="20"/>
              </w:rPr>
              <w:t xml:space="preserve">23 </w:t>
            </w:r>
            <w:r w:rsidRPr="00DD4024">
              <w:rPr>
                <w:sz w:val="20"/>
                <w:szCs w:val="20"/>
              </w:rPr>
              <w:t>год</w:t>
            </w:r>
            <w:r>
              <w:rPr>
                <w:sz w:val="20"/>
                <w:szCs w:val="20"/>
              </w:rPr>
              <w:t>у всего:</w:t>
            </w:r>
            <w:r w:rsidRPr="00DD4024">
              <w:rPr>
                <w:sz w:val="20"/>
                <w:szCs w:val="20"/>
              </w:rPr>
              <w:t xml:space="preserve"> </w:t>
            </w:r>
          </w:p>
          <w:p w:rsidR="007D54B9" w:rsidRPr="0039112B" w:rsidRDefault="007D54B9" w:rsidP="00E7317C">
            <w:pPr>
              <w:ind w:left="357"/>
              <w:rPr>
                <w:sz w:val="20"/>
                <w:szCs w:val="20"/>
              </w:rPr>
            </w:pPr>
            <w:r w:rsidRPr="00370C2D">
              <w:rPr>
                <w:szCs w:val="28"/>
              </w:rPr>
              <w:t xml:space="preserve">НДПИ </w:t>
            </w:r>
            <w:r w:rsidRPr="00370C2D">
              <w:rPr>
                <w:szCs w:val="28"/>
                <w:vertAlign w:val="subscript"/>
              </w:rPr>
              <w:t>общ. ПИ</w:t>
            </w:r>
            <w:r w:rsidRPr="00370C2D">
              <w:rPr>
                <w:szCs w:val="28"/>
              </w:rPr>
              <w:t xml:space="preserve"> = (Ʃ(</w:t>
            </w:r>
            <w:r w:rsidRPr="00370C2D">
              <w:rPr>
                <w:szCs w:val="28"/>
                <w:lang w:val="en-US"/>
              </w:rPr>
              <w:t>U</w:t>
            </w:r>
            <w:r>
              <w:rPr>
                <w:szCs w:val="28"/>
              </w:rPr>
              <w:t xml:space="preserve"> </w:t>
            </w:r>
            <w:r>
              <w:rPr>
                <w:szCs w:val="28"/>
                <w:vertAlign w:val="subscript"/>
              </w:rPr>
              <w:t>проч.</w:t>
            </w:r>
            <w:r w:rsidRPr="00370C2D">
              <w:rPr>
                <w:szCs w:val="28"/>
                <w:vertAlign w:val="subscript"/>
              </w:rPr>
              <w:t xml:space="preserve"> ПИ</w:t>
            </w:r>
            <w:r w:rsidRPr="00370C2D">
              <w:rPr>
                <w:szCs w:val="28"/>
              </w:rPr>
              <w:t xml:space="preserve"> </w:t>
            </w:r>
            <w:r w:rsidRPr="00370C2D">
              <w:rPr>
                <w:szCs w:val="28"/>
                <w:vertAlign w:val="subscript"/>
              </w:rPr>
              <w:t>факт</w:t>
            </w:r>
            <w:r w:rsidRPr="00370C2D">
              <w:rPr>
                <w:szCs w:val="28"/>
              </w:rPr>
              <w:t xml:space="preserve"> × </w:t>
            </w:r>
            <w:r w:rsidRPr="00370C2D">
              <w:rPr>
                <w:szCs w:val="28"/>
                <w:lang w:val="en-US"/>
              </w:rPr>
              <w:t>J</w:t>
            </w:r>
            <w:r w:rsidRPr="00370C2D">
              <w:rPr>
                <w:szCs w:val="28"/>
              </w:rPr>
              <w:t xml:space="preserve"> </w:t>
            </w:r>
            <w:r w:rsidRPr="00370C2D">
              <w:rPr>
                <w:szCs w:val="28"/>
                <w:vertAlign w:val="subscript"/>
              </w:rPr>
              <w:t xml:space="preserve"> </w:t>
            </w:r>
            <w:r>
              <w:rPr>
                <w:szCs w:val="28"/>
                <w:vertAlign w:val="subscript"/>
              </w:rPr>
              <w:t xml:space="preserve">проч. </w:t>
            </w:r>
            <w:r w:rsidRPr="00370C2D">
              <w:rPr>
                <w:szCs w:val="28"/>
                <w:vertAlign w:val="subscript"/>
              </w:rPr>
              <w:t>ПИ</w:t>
            </w:r>
            <w:r w:rsidRPr="00370C2D">
              <w:rPr>
                <w:szCs w:val="28"/>
              </w:rPr>
              <w:t xml:space="preserve"> × S ) (+-) P) × </w:t>
            </w:r>
            <w:r w:rsidRPr="00370C2D">
              <w:rPr>
                <w:szCs w:val="28"/>
                <w:lang w:val="en-US"/>
              </w:rPr>
              <w:t>K</w:t>
            </w:r>
            <w:r w:rsidRPr="00370C2D">
              <w:rPr>
                <w:szCs w:val="28"/>
              </w:rPr>
              <w:t xml:space="preserve"> </w:t>
            </w:r>
            <w:r w:rsidRPr="00370C2D">
              <w:rPr>
                <w:szCs w:val="28"/>
                <w:vertAlign w:val="subscript"/>
              </w:rPr>
              <w:t>соб.</w:t>
            </w:r>
            <w:r w:rsidRPr="00370C2D">
              <w:rPr>
                <w:szCs w:val="28"/>
              </w:rPr>
              <w:t xml:space="preserve"> (+-) F </w:t>
            </w:r>
            <w:r>
              <w:rPr>
                <w:szCs w:val="28"/>
              </w:rPr>
              <w:t xml:space="preserve"> </w:t>
            </w:r>
            <w:r w:rsidRPr="0039112B">
              <w:rPr>
                <w:sz w:val="20"/>
                <w:szCs w:val="20"/>
              </w:rPr>
              <w:t>=</w:t>
            </w:r>
            <w:r>
              <w:rPr>
                <w:sz w:val="20"/>
                <w:szCs w:val="20"/>
              </w:rPr>
              <w:t xml:space="preserve"> 471*89,3% - 1(7-8)=420т</w:t>
            </w:r>
            <w:r w:rsidRPr="0039112B">
              <w:rPr>
                <w:sz w:val="20"/>
                <w:szCs w:val="20"/>
              </w:rPr>
              <w:t>ыс. руб</w:t>
            </w:r>
            <w:r>
              <w:rPr>
                <w:sz w:val="20"/>
                <w:szCs w:val="20"/>
              </w:rPr>
              <w:t>лей</w:t>
            </w:r>
          </w:p>
          <w:p w:rsidR="007D54B9" w:rsidRDefault="007D54B9" w:rsidP="00E7317C">
            <w:pPr>
              <w:ind w:left="360"/>
              <w:rPr>
                <w:sz w:val="20"/>
                <w:szCs w:val="20"/>
              </w:rPr>
            </w:pPr>
            <w:r w:rsidRPr="0039112B">
              <w:rPr>
                <w:sz w:val="20"/>
                <w:szCs w:val="20"/>
              </w:rPr>
              <w:t xml:space="preserve">в том числе в областной бюджет Тверской области с учетом норматива зачисления 60% = </w:t>
            </w:r>
            <w:r>
              <w:rPr>
                <w:sz w:val="20"/>
                <w:szCs w:val="20"/>
              </w:rPr>
              <w:t>420* 60% = 252</w:t>
            </w:r>
            <w:r w:rsidRPr="0039112B">
              <w:rPr>
                <w:sz w:val="20"/>
                <w:szCs w:val="20"/>
              </w:rPr>
              <w:t xml:space="preserve"> тыс. рублей (</w:t>
            </w:r>
            <w:r w:rsidRPr="0039112B">
              <w:rPr>
                <w:i/>
                <w:sz w:val="20"/>
                <w:szCs w:val="20"/>
              </w:rPr>
              <w:t>с учетом округления</w:t>
            </w:r>
            <w:r w:rsidRPr="0039112B">
              <w:rPr>
                <w:sz w:val="20"/>
                <w:szCs w:val="20"/>
              </w:rPr>
              <w:t>)</w:t>
            </w:r>
            <w:r w:rsidRPr="00DD4024">
              <w:rPr>
                <w:sz w:val="20"/>
                <w:szCs w:val="20"/>
              </w:rPr>
              <w:t xml:space="preserve"> </w:t>
            </w:r>
          </w:p>
          <w:p w:rsidR="007D54B9" w:rsidRPr="00DD4024" w:rsidRDefault="007D54B9" w:rsidP="00E7317C">
            <w:pPr>
              <w:ind w:left="360"/>
              <w:rPr>
                <w:sz w:val="20"/>
                <w:szCs w:val="20"/>
              </w:rPr>
            </w:pPr>
          </w:p>
        </w:tc>
        <w:tc>
          <w:tcPr>
            <w:tcW w:w="1824" w:type="dxa"/>
          </w:tcPr>
          <w:p w:rsidR="007D54B9" w:rsidRDefault="007D54B9" w:rsidP="00E7317C">
            <w:pPr>
              <w:jc w:val="center"/>
              <w:rPr>
                <w:sz w:val="20"/>
                <w:szCs w:val="20"/>
              </w:rPr>
            </w:pPr>
          </w:p>
          <w:p w:rsidR="007D54B9" w:rsidRPr="003D2CF4" w:rsidRDefault="007D54B9" w:rsidP="00E7317C">
            <w:pPr>
              <w:jc w:val="center"/>
              <w:rPr>
                <w:b/>
                <w:sz w:val="20"/>
                <w:szCs w:val="20"/>
              </w:rPr>
            </w:pPr>
            <w:r>
              <w:rPr>
                <w:b/>
                <w:sz w:val="20"/>
                <w:szCs w:val="20"/>
              </w:rPr>
              <w:t>252</w:t>
            </w:r>
          </w:p>
          <w:p w:rsidR="007D54B9" w:rsidRPr="00DD4024" w:rsidRDefault="007D54B9" w:rsidP="00E7317C">
            <w:pPr>
              <w:jc w:val="center"/>
              <w:rPr>
                <w:sz w:val="20"/>
                <w:szCs w:val="20"/>
              </w:rPr>
            </w:pPr>
          </w:p>
          <w:p w:rsidR="007D54B9" w:rsidRPr="00DD4024" w:rsidRDefault="007D54B9" w:rsidP="00E7317C">
            <w:pPr>
              <w:jc w:val="center"/>
              <w:rPr>
                <w:b/>
                <w:sz w:val="20"/>
                <w:szCs w:val="20"/>
              </w:rPr>
            </w:pPr>
          </w:p>
          <w:p w:rsidR="007D54B9" w:rsidRPr="00DD4024" w:rsidRDefault="007D54B9" w:rsidP="00E7317C">
            <w:pPr>
              <w:rPr>
                <w:sz w:val="20"/>
                <w:szCs w:val="20"/>
              </w:rPr>
            </w:pPr>
          </w:p>
        </w:tc>
      </w:tr>
      <w:tr w:rsidR="007D54B9" w:rsidRPr="000D187A" w:rsidTr="00E7317C">
        <w:tc>
          <w:tcPr>
            <w:tcW w:w="7740" w:type="dxa"/>
            <w:tcBorders>
              <w:left w:val="single" w:sz="12" w:space="0" w:color="auto"/>
            </w:tcBorders>
          </w:tcPr>
          <w:p w:rsidR="007D54B9" w:rsidRPr="00DD4024" w:rsidRDefault="007D54B9" w:rsidP="00E7317C">
            <w:pPr>
              <w:ind w:left="360"/>
              <w:rPr>
                <w:sz w:val="20"/>
                <w:szCs w:val="20"/>
              </w:rPr>
            </w:pPr>
            <w:r>
              <w:rPr>
                <w:sz w:val="20"/>
                <w:szCs w:val="20"/>
              </w:rPr>
              <w:t>12</w:t>
            </w:r>
            <w:r w:rsidRPr="00DD4024">
              <w:rPr>
                <w:sz w:val="20"/>
                <w:szCs w:val="20"/>
              </w:rPr>
              <w:t xml:space="preserve">. </w:t>
            </w:r>
            <w:r>
              <w:rPr>
                <w:sz w:val="20"/>
                <w:szCs w:val="20"/>
              </w:rPr>
              <w:t>Сумма налога, подлежащая уплате в бюджет всего в 2024 году, тыс. рублей</w:t>
            </w:r>
          </w:p>
        </w:tc>
        <w:tc>
          <w:tcPr>
            <w:tcW w:w="1824" w:type="dxa"/>
          </w:tcPr>
          <w:p w:rsidR="007D54B9" w:rsidRDefault="007D54B9" w:rsidP="00E7317C">
            <w:pPr>
              <w:jc w:val="center"/>
              <w:rPr>
                <w:sz w:val="20"/>
                <w:szCs w:val="20"/>
              </w:rPr>
            </w:pPr>
            <w:r>
              <w:rPr>
                <w:sz w:val="20"/>
                <w:szCs w:val="20"/>
              </w:rPr>
              <w:t>474</w:t>
            </w:r>
          </w:p>
        </w:tc>
      </w:tr>
      <w:tr w:rsidR="007D54B9" w:rsidRPr="000D187A" w:rsidTr="00E7317C">
        <w:tc>
          <w:tcPr>
            <w:tcW w:w="7740" w:type="dxa"/>
            <w:tcBorders>
              <w:left w:val="single" w:sz="12" w:space="0" w:color="auto"/>
            </w:tcBorders>
          </w:tcPr>
          <w:p w:rsidR="007D54B9" w:rsidRPr="00DD4024" w:rsidRDefault="007D54B9" w:rsidP="00E7317C">
            <w:pPr>
              <w:ind w:left="357"/>
              <w:rPr>
                <w:sz w:val="20"/>
                <w:szCs w:val="20"/>
              </w:rPr>
            </w:pPr>
            <w:r>
              <w:rPr>
                <w:sz w:val="20"/>
                <w:szCs w:val="20"/>
              </w:rPr>
              <w:t>12.1. (стр. 10.1.*100,6%) = 157*100,6%=158 тыс. рублей             Минеральные воды</w:t>
            </w:r>
          </w:p>
        </w:tc>
        <w:tc>
          <w:tcPr>
            <w:tcW w:w="1824" w:type="dxa"/>
          </w:tcPr>
          <w:p w:rsidR="007D54B9" w:rsidRDefault="007D54B9" w:rsidP="00E7317C">
            <w:pPr>
              <w:jc w:val="center"/>
              <w:rPr>
                <w:sz w:val="20"/>
                <w:szCs w:val="20"/>
              </w:rPr>
            </w:pPr>
            <w:r>
              <w:rPr>
                <w:sz w:val="20"/>
                <w:szCs w:val="20"/>
              </w:rPr>
              <w:t>158</w:t>
            </w:r>
          </w:p>
        </w:tc>
      </w:tr>
      <w:tr w:rsidR="007D54B9" w:rsidRPr="000D187A" w:rsidTr="00E7317C">
        <w:tc>
          <w:tcPr>
            <w:tcW w:w="7740" w:type="dxa"/>
            <w:tcBorders>
              <w:left w:val="single" w:sz="12" w:space="0" w:color="auto"/>
            </w:tcBorders>
          </w:tcPr>
          <w:p w:rsidR="007D54B9" w:rsidRDefault="007D54B9" w:rsidP="00E7317C">
            <w:pPr>
              <w:ind w:left="357"/>
              <w:rPr>
                <w:sz w:val="20"/>
                <w:szCs w:val="20"/>
              </w:rPr>
            </w:pPr>
            <w:r>
              <w:rPr>
                <w:sz w:val="20"/>
                <w:szCs w:val="20"/>
              </w:rPr>
              <w:t xml:space="preserve">12.2. (стр. 10.2. * 100,6%) = 314*100,6%=316 тыс. рублей  </w:t>
            </w:r>
          </w:p>
          <w:p w:rsidR="007D54B9" w:rsidRPr="00DD4024" w:rsidRDefault="007D54B9" w:rsidP="00E7317C">
            <w:pPr>
              <w:ind w:left="357"/>
              <w:rPr>
                <w:sz w:val="20"/>
                <w:szCs w:val="20"/>
              </w:rPr>
            </w:pPr>
            <w:r w:rsidRPr="00C83520">
              <w:rPr>
                <w:sz w:val="20"/>
                <w:szCs w:val="20"/>
              </w:rPr>
              <w:t>Горнорудное неметаллическое сырье</w:t>
            </w:r>
          </w:p>
        </w:tc>
        <w:tc>
          <w:tcPr>
            <w:tcW w:w="1824" w:type="dxa"/>
          </w:tcPr>
          <w:p w:rsidR="007D54B9" w:rsidRDefault="007D54B9" w:rsidP="00E7317C">
            <w:pPr>
              <w:jc w:val="center"/>
              <w:rPr>
                <w:sz w:val="20"/>
                <w:szCs w:val="20"/>
              </w:rPr>
            </w:pPr>
            <w:r>
              <w:rPr>
                <w:sz w:val="20"/>
                <w:szCs w:val="20"/>
              </w:rPr>
              <w:t>316</w:t>
            </w:r>
          </w:p>
        </w:tc>
      </w:tr>
      <w:tr w:rsidR="007D54B9" w:rsidRPr="000D187A" w:rsidTr="00E7317C">
        <w:tc>
          <w:tcPr>
            <w:tcW w:w="7740" w:type="dxa"/>
            <w:tcBorders>
              <w:left w:val="single" w:sz="12" w:space="0" w:color="auto"/>
            </w:tcBorders>
          </w:tcPr>
          <w:p w:rsidR="007D54B9" w:rsidRPr="00370C2D" w:rsidRDefault="007D54B9" w:rsidP="00E7317C">
            <w:pPr>
              <w:ind w:left="360"/>
              <w:rPr>
                <w:sz w:val="20"/>
                <w:szCs w:val="20"/>
              </w:rPr>
            </w:pPr>
            <w:r w:rsidRPr="00DD4024">
              <w:rPr>
                <w:sz w:val="20"/>
                <w:szCs w:val="20"/>
              </w:rPr>
              <w:t>10</w:t>
            </w:r>
            <w:r>
              <w:rPr>
                <w:sz w:val="20"/>
                <w:szCs w:val="20"/>
              </w:rPr>
              <w:t>. Прогноз</w:t>
            </w:r>
            <w:r w:rsidRPr="00370C2D">
              <w:rPr>
                <w:sz w:val="20"/>
                <w:szCs w:val="20"/>
              </w:rPr>
              <w:t xml:space="preserve"> поступления НДПИ </w:t>
            </w:r>
            <w:r>
              <w:rPr>
                <w:sz w:val="20"/>
                <w:szCs w:val="20"/>
              </w:rPr>
              <w:t>в 2024</w:t>
            </w:r>
            <w:r w:rsidRPr="00370C2D">
              <w:rPr>
                <w:sz w:val="20"/>
                <w:szCs w:val="20"/>
              </w:rPr>
              <w:t xml:space="preserve"> год</w:t>
            </w:r>
            <w:r>
              <w:rPr>
                <w:sz w:val="20"/>
                <w:szCs w:val="20"/>
              </w:rPr>
              <w:t>у всего</w:t>
            </w:r>
            <w:r w:rsidRPr="00370C2D">
              <w:rPr>
                <w:sz w:val="20"/>
                <w:szCs w:val="20"/>
              </w:rPr>
              <w:t xml:space="preserve"> :</w:t>
            </w:r>
          </w:p>
          <w:p w:rsidR="007D54B9" w:rsidRPr="0039112B" w:rsidRDefault="007D54B9" w:rsidP="00E7317C">
            <w:pPr>
              <w:ind w:left="357"/>
              <w:rPr>
                <w:sz w:val="20"/>
                <w:szCs w:val="20"/>
              </w:rPr>
            </w:pPr>
            <w:r w:rsidRPr="00370C2D">
              <w:rPr>
                <w:szCs w:val="28"/>
              </w:rPr>
              <w:t xml:space="preserve">НДПИ </w:t>
            </w:r>
            <w:r w:rsidRPr="00370C2D">
              <w:rPr>
                <w:szCs w:val="28"/>
                <w:vertAlign w:val="subscript"/>
              </w:rPr>
              <w:t>общ. ПИ</w:t>
            </w:r>
            <w:r w:rsidRPr="00370C2D">
              <w:rPr>
                <w:szCs w:val="28"/>
              </w:rPr>
              <w:t xml:space="preserve"> = (Ʃ(</w:t>
            </w:r>
            <w:r w:rsidRPr="00370C2D">
              <w:rPr>
                <w:szCs w:val="28"/>
                <w:lang w:val="en-US"/>
              </w:rPr>
              <w:t>U</w:t>
            </w:r>
            <w:r>
              <w:rPr>
                <w:szCs w:val="28"/>
              </w:rPr>
              <w:t xml:space="preserve"> </w:t>
            </w:r>
            <w:r>
              <w:rPr>
                <w:szCs w:val="28"/>
                <w:vertAlign w:val="subscript"/>
              </w:rPr>
              <w:t>проч.</w:t>
            </w:r>
            <w:r w:rsidRPr="00370C2D">
              <w:rPr>
                <w:szCs w:val="28"/>
                <w:vertAlign w:val="subscript"/>
              </w:rPr>
              <w:t xml:space="preserve"> ПИ</w:t>
            </w:r>
            <w:r w:rsidRPr="00370C2D">
              <w:rPr>
                <w:szCs w:val="28"/>
              </w:rPr>
              <w:t xml:space="preserve"> </w:t>
            </w:r>
            <w:r w:rsidRPr="00370C2D">
              <w:rPr>
                <w:szCs w:val="28"/>
                <w:vertAlign w:val="subscript"/>
              </w:rPr>
              <w:t>факт</w:t>
            </w:r>
            <w:r w:rsidRPr="00370C2D">
              <w:rPr>
                <w:szCs w:val="28"/>
              </w:rPr>
              <w:t xml:space="preserve"> × </w:t>
            </w:r>
            <w:r w:rsidRPr="00370C2D">
              <w:rPr>
                <w:szCs w:val="28"/>
                <w:lang w:val="en-US"/>
              </w:rPr>
              <w:t>J</w:t>
            </w:r>
            <w:r w:rsidRPr="00370C2D">
              <w:rPr>
                <w:szCs w:val="28"/>
              </w:rPr>
              <w:t xml:space="preserve"> </w:t>
            </w:r>
            <w:r w:rsidRPr="00370C2D">
              <w:rPr>
                <w:szCs w:val="28"/>
                <w:vertAlign w:val="subscript"/>
              </w:rPr>
              <w:t xml:space="preserve"> </w:t>
            </w:r>
            <w:r>
              <w:rPr>
                <w:szCs w:val="28"/>
                <w:vertAlign w:val="subscript"/>
              </w:rPr>
              <w:t xml:space="preserve">проч. </w:t>
            </w:r>
            <w:r w:rsidRPr="00370C2D">
              <w:rPr>
                <w:szCs w:val="28"/>
                <w:vertAlign w:val="subscript"/>
              </w:rPr>
              <w:t>ПИ</w:t>
            </w:r>
            <w:r w:rsidRPr="00370C2D">
              <w:rPr>
                <w:szCs w:val="28"/>
              </w:rPr>
              <w:t xml:space="preserve"> × S ) (+-) P) × </w:t>
            </w:r>
            <w:r w:rsidRPr="00370C2D">
              <w:rPr>
                <w:szCs w:val="28"/>
                <w:lang w:val="en-US"/>
              </w:rPr>
              <w:t>K</w:t>
            </w:r>
            <w:r w:rsidRPr="00370C2D">
              <w:rPr>
                <w:szCs w:val="28"/>
              </w:rPr>
              <w:t xml:space="preserve"> </w:t>
            </w:r>
            <w:r w:rsidRPr="00370C2D">
              <w:rPr>
                <w:szCs w:val="28"/>
                <w:vertAlign w:val="subscript"/>
              </w:rPr>
              <w:t>соб.</w:t>
            </w:r>
            <w:r w:rsidRPr="00370C2D">
              <w:rPr>
                <w:szCs w:val="28"/>
              </w:rPr>
              <w:t xml:space="preserve"> (+-) F </w:t>
            </w:r>
            <w:r>
              <w:rPr>
                <w:szCs w:val="28"/>
              </w:rPr>
              <w:t xml:space="preserve"> </w:t>
            </w:r>
            <w:r w:rsidRPr="0039112B">
              <w:rPr>
                <w:sz w:val="20"/>
                <w:szCs w:val="20"/>
              </w:rPr>
              <w:t>=</w:t>
            </w:r>
            <w:r>
              <w:rPr>
                <w:sz w:val="20"/>
                <w:szCs w:val="20"/>
              </w:rPr>
              <w:t>474</w:t>
            </w:r>
            <w:r w:rsidRPr="0039112B">
              <w:rPr>
                <w:sz w:val="20"/>
                <w:szCs w:val="20"/>
              </w:rPr>
              <w:t>*</w:t>
            </w:r>
            <w:r>
              <w:rPr>
                <w:sz w:val="20"/>
                <w:szCs w:val="20"/>
              </w:rPr>
              <w:t>89,3</w:t>
            </w:r>
            <w:r w:rsidRPr="0039112B">
              <w:rPr>
                <w:sz w:val="20"/>
                <w:szCs w:val="20"/>
              </w:rPr>
              <w:t xml:space="preserve"> %</w:t>
            </w:r>
            <w:r>
              <w:rPr>
                <w:sz w:val="20"/>
                <w:szCs w:val="20"/>
              </w:rPr>
              <w:t>-1 (8-9)</w:t>
            </w:r>
            <w:r w:rsidRPr="0039112B">
              <w:rPr>
                <w:sz w:val="20"/>
                <w:szCs w:val="20"/>
              </w:rPr>
              <w:t xml:space="preserve">= </w:t>
            </w:r>
            <w:r>
              <w:rPr>
                <w:sz w:val="20"/>
                <w:szCs w:val="20"/>
              </w:rPr>
              <w:t>422</w:t>
            </w:r>
            <w:r w:rsidRPr="0039112B">
              <w:rPr>
                <w:sz w:val="20"/>
                <w:szCs w:val="20"/>
              </w:rPr>
              <w:t xml:space="preserve"> тыс. руб</w:t>
            </w:r>
            <w:r>
              <w:rPr>
                <w:sz w:val="20"/>
                <w:szCs w:val="20"/>
              </w:rPr>
              <w:t>лей</w:t>
            </w:r>
          </w:p>
          <w:p w:rsidR="007D54B9" w:rsidRPr="00DD4024" w:rsidRDefault="007D54B9" w:rsidP="00E7317C">
            <w:pPr>
              <w:rPr>
                <w:sz w:val="20"/>
                <w:szCs w:val="20"/>
              </w:rPr>
            </w:pPr>
            <w:r w:rsidRPr="0039112B">
              <w:rPr>
                <w:sz w:val="20"/>
                <w:szCs w:val="20"/>
              </w:rPr>
              <w:t xml:space="preserve">в том числе в областной бюджет Тверской области с учетом норматива зачисления 60% = </w:t>
            </w:r>
            <w:r>
              <w:rPr>
                <w:sz w:val="20"/>
                <w:szCs w:val="20"/>
              </w:rPr>
              <w:t>422* 60% = 253</w:t>
            </w:r>
            <w:r w:rsidRPr="0039112B">
              <w:rPr>
                <w:sz w:val="20"/>
                <w:szCs w:val="20"/>
              </w:rPr>
              <w:t xml:space="preserve"> тыс. рублей </w:t>
            </w:r>
          </w:p>
        </w:tc>
        <w:tc>
          <w:tcPr>
            <w:tcW w:w="1824" w:type="dxa"/>
          </w:tcPr>
          <w:p w:rsidR="007D54B9" w:rsidRDefault="007D54B9" w:rsidP="00E7317C">
            <w:pPr>
              <w:jc w:val="center"/>
              <w:rPr>
                <w:sz w:val="20"/>
                <w:szCs w:val="20"/>
              </w:rPr>
            </w:pPr>
          </w:p>
          <w:p w:rsidR="007D54B9" w:rsidRPr="003D2CF4" w:rsidRDefault="007D54B9" w:rsidP="00E7317C">
            <w:pPr>
              <w:jc w:val="center"/>
              <w:rPr>
                <w:b/>
                <w:sz w:val="20"/>
                <w:szCs w:val="20"/>
              </w:rPr>
            </w:pPr>
            <w:r>
              <w:rPr>
                <w:b/>
                <w:sz w:val="20"/>
                <w:szCs w:val="20"/>
              </w:rPr>
              <w:t>253</w:t>
            </w:r>
          </w:p>
          <w:p w:rsidR="007D54B9" w:rsidRPr="00DD4024" w:rsidRDefault="007D54B9" w:rsidP="00E7317C">
            <w:pPr>
              <w:jc w:val="center"/>
              <w:rPr>
                <w:sz w:val="20"/>
                <w:szCs w:val="20"/>
              </w:rPr>
            </w:pPr>
          </w:p>
        </w:tc>
      </w:tr>
    </w:tbl>
    <w:p w:rsidR="000B4E16" w:rsidRDefault="000B4E16" w:rsidP="000B4E16">
      <w:pPr>
        <w:ind w:firstLine="709"/>
        <w:jc w:val="both"/>
        <w:rPr>
          <w:sz w:val="28"/>
          <w:szCs w:val="28"/>
        </w:rPr>
      </w:pPr>
      <w:r w:rsidRPr="003224E6">
        <w:rPr>
          <w:sz w:val="28"/>
          <w:szCs w:val="28"/>
        </w:rPr>
        <w:t>Прогноз поступления налога на добычу полезных ископаемых</w:t>
      </w:r>
      <w:r>
        <w:rPr>
          <w:sz w:val="28"/>
          <w:szCs w:val="28"/>
        </w:rPr>
        <w:t xml:space="preserve"> всего:</w:t>
      </w:r>
    </w:p>
    <w:p w:rsidR="000B4E16" w:rsidRDefault="000B4E16" w:rsidP="000B4E16">
      <w:pPr>
        <w:ind w:firstLine="709"/>
        <w:jc w:val="both"/>
        <w:rPr>
          <w:sz w:val="28"/>
          <w:szCs w:val="28"/>
        </w:rPr>
      </w:pPr>
      <w:r>
        <w:rPr>
          <w:sz w:val="28"/>
          <w:szCs w:val="28"/>
        </w:rPr>
        <w:t xml:space="preserve">( </w:t>
      </w:r>
      <w:r w:rsidRPr="00F46892">
        <w:rPr>
          <w:b/>
          <w:i/>
          <w:sz w:val="28"/>
          <w:szCs w:val="28"/>
        </w:rPr>
        <w:t xml:space="preserve">НДПИ </w:t>
      </w:r>
      <w:r w:rsidRPr="00F46892">
        <w:rPr>
          <w:b/>
          <w:i/>
          <w:sz w:val="28"/>
          <w:szCs w:val="28"/>
          <w:vertAlign w:val="subscript"/>
        </w:rPr>
        <w:t>общ. ПИ</w:t>
      </w:r>
      <w:r>
        <w:rPr>
          <w:b/>
          <w:sz w:val="28"/>
          <w:szCs w:val="28"/>
          <w:vertAlign w:val="subscript"/>
        </w:rPr>
        <w:t xml:space="preserve"> + </w:t>
      </w:r>
      <w:r w:rsidRPr="00F648C2">
        <w:rPr>
          <w:b/>
          <w:i/>
          <w:color w:val="000000"/>
          <w:sz w:val="28"/>
          <w:szCs w:val="28"/>
        </w:rPr>
        <w:t xml:space="preserve">НДПИ </w:t>
      </w:r>
      <w:r w:rsidRPr="00F648C2">
        <w:rPr>
          <w:b/>
          <w:i/>
          <w:color w:val="000000"/>
          <w:sz w:val="28"/>
          <w:szCs w:val="28"/>
          <w:vertAlign w:val="subscript"/>
        </w:rPr>
        <w:t>проч. ПИ</w:t>
      </w:r>
      <w:r>
        <w:rPr>
          <w:b/>
          <w:i/>
          <w:color w:val="000000"/>
          <w:sz w:val="28"/>
          <w:szCs w:val="28"/>
          <w:vertAlign w:val="subscript"/>
        </w:rPr>
        <w:t xml:space="preserve"> </w:t>
      </w:r>
      <w:r>
        <w:rPr>
          <w:sz w:val="28"/>
          <w:szCs w:val="28"/>
        </w:rPr>
        <w:t>)</w:t>
      </w:r>
    </w:p>
    <w:p w:rsidR="000B4E16" w:rsidRDefault="000B4E16" w:rsidP="000B4E16">
      <w:pPr>
        <w:ind w:firstLine="709"/>
        <w:jc w:val="both"/>
        <w:rPr>
          <w:sz w:val="28"/>
          <w:szCs w:val="28"/>
        </w:rPr>
      </w:pPr>
      <w:r>
        <w:rPr>
          <w:sz w:val="28"/>
          <w:szCs w:val="28"/>
        </w:rPr>
        <w:t xml:space="preserve">2022 год = 38 530 тыс. рублей + 250 тыс. рублей = </w:t>
      </w:r>
      <w:r>
        <w:rPr>
          <w:b/>
          <w:sz w:val="28"/>
          <w:szCs w:val="28"/>
        </w:rPr>
        <w:t>38 780</w:t>
      </w:r>
      <w:r>
        <w:rPr>
          <w:sz w:val="28"/>
          <w:szCs w:val="28"/>
        </w:rPr>
        <w:t xml:space="preserve"> тыс. рублей;</w:t>
      </w:r>
    </w:p>
    <w:p w:rsidR="000B4E16" w:rsidRDefault="000B4E16" w:rsidP="000B4E16">
      <w:pPr>
        <w:ind w:firstLine="709"/>
        <w:jc w:val="both"/>
        <w:rPr>
          <w:sz w:val="28"/>
          <w:szCs w:val="28"/>
        </w:rPr>
      </w:pPr>
      <w:r>
        <w:rPr>
          <w:sz w:val="28"/>
          <w:szCs w:val="28"/>
        </w:rPr>
        <w:t xml:space="preserve">2022 год = 38 822 тыс. рублей + 252 тыс. рублей = </w:t>
      </w:r>
      <w:r w:rsidRPr="00410A69">
        <w:rPr>
          <w:b/>
          <w:sz w:val="28"/>
          <w:szCs w:val="28"/>
        </w:rPr>
        <w:t>39</w:t>
      </w:r>
      <w:r>
        <w:rPr>
          <w:b/>
          <w:sz w:val="28"/>
          <w:szCs w:val="28"/>
        </w:rPr>
        <w:t xml:space="preserve"> 074</w:t>
      </w:r>
      <w:r>
        <w:rPr>
          <w:sz w:val="28"/>
          <w:szCs w:val="28"/>
        </w:rPr>
        <w:t xml:space="preserve"> тыс. рублей;</w:t>
      </w:r>
    </w:p>
    <w:p w:rsidR="000B4E16" w:rsidRPr="003224E6" w:rsidRDefault="000B4E16" w:rsidP="000B4E16">
      <w:pPr>
        <w:ind w:firstLine="709"/>
        <w:jc w:val="both"/>
        <w:rPr>
          <w:sz w:val="28"/>
          <w:szCs w:val="28"/>
        </w:rPr>
      </w:pPr>
      <w:r>
        <w:rPr>
          <w:sz w:val="28"/>
          <w:szCs w:val="28"/>
        </w:rPr>
        <w:t xml:space="preserve">2023 год = 39 052 тыс. рублей + 253 тыс. рублей = </w:t>
      </w:r>
      <w:r w:rsidRPr="00410A69">
        <w:rPr>
          <w:b/>
          <w:sz w:val="28"/>
          <w:szCs w:val="28"/>
        </w:rPr>
        <w:t xml:space="preserve">39 </w:t>
      </w:r>
      <w:r>
        <w:rPr>
          <w:b/>
          <w:sz w:val="28"/>
          <w:szCs w:val="28"/>
        </w:rPr>
        <w:t>305</w:t>
      </w:r>
      <w:r>
        <w:rPr>
          <w:sz w:val="28"/>
          <w:szCs w:val="28"/>
        </w:rPr>
        <w:t xml:space="preserve"> тыс. рублей</w:t>
      </w:r>
    </w:p>
    <w:p w:rsidR="007D54B9" w:rsidRDefault="007D54B9" w:rsidP="007D54B9">
      <w:pPr>
        <w:pStyle w:val="21"/>
        <w:ind w:firstLine="0"/>
        <w:rPr>
          <w:color w:val="000000" w:themeColor="text1"/>
        </w:rPr>
      </w:pPr>
    </w:p>
    <w:p w:rsidR="003C5B97" w:rsidRDefault="003C5B97" w:rsidP="006A79A2">
      <w:pPr>
        <w:pStyle w:val="21"/>
        <w:ind w:firstLine="0"/>
        <w:jc w:val="center"/>
        <w:rPr>
          <w:color w:val="000000" w:themeColor="text1"/>
        </w:rPr>
      </w:pPr>
    </w:p>
    <w:p w:rsidR="003A1E06" w:rsidRPr="000B4E16" w:rsidRDefault="003A1E06" w:rsidP="003A1E06">
      <w:pPr>
        <w:pStyle w:val="21"/>
        <w:jc w:val="center"/>
        <w:rPr>
          <w:b/>
          <w:color w:val="000000" w:themeColor="text1"/>
        </w:rPr>
      </w:pPr>
      <w:r w:rsidRPr="000B4E16">
        <w:rPr>
          <w:b/>
          <w:color w:val="000000" w:themeColor="text1"/>
        </w:rPr>
        <w:t>Сбор за пользование объектами животного мира</w:t>
      </w:r>
    </w:p>
    <w:p w:rsidR="003A1E06" w:rsidRPr="000B4E16" w:rsidRDefault="003A1E06" w:rsidP="003A1E06">
      <w:pPr>
        <w:pStyle w:val="21"/>
        <w:jc w:val="center"/>
        <w:rPr>
          <w:b/>
          <w:color w:val="000000" w:themeColor="text1"/>
        </w:rPr>
      </w:pPr>
      <w:r w:rsidRPr="000B4E16">
        <w:rPr>
          <w:b/>
          <w:color w:val="000000" w:themeColor="text1"/>
        </w:rPr>
        <w:t>(000 1 07 04010 01 0000 110)</w:t>
      </w:r>
    </w:p>
    <w:p w:rsidR="000B4E16" w:rsidRPr="00157EE6" w:rsidRDefault="000B4E16" w:rsidP="000B4E16">
      <w:pPr>
        <w:ind w:firstLine="720"/>
        <w:jc w:val="both"/>
        <w:rPr>
          <w:sz w:val="28"/>
          <w:szCs w:val="28"/>
        </w:rPr>
      </w:pPr>
      <w:r w:rsidRPr="00157EE6">
        <w:rPr>
          <w:sz w:val="28"/>
          <w:szCs w:val="28"/>
        </w:rPr>
        <w:t>Расчет ожидаемой оценки поступления сбора за пользование объектами  животного мира  на 20</w:t>
      </w:r>
      <w:r>
        <w:rPr>
          <w:sz w:val="28"/>
          <w:szCs w:val="28"/>
        </w:rPr>
        <w:t>21</w:t>
      </w:r>
      <w:r w:rsidRPr="00157EE6">
        <w:rPr>
          <w:sz w:val="28"/>
          <w:szCs w:val="28"/>
        </w:rPr>
        <w:t xml:space="preserve"> год и прогноз на 20</w:t>
      </w:r>
      <w:r>
        <w:rPr>
          <w:sz w:val="28"/>
          <w:szCs w:val="28"/>
        </w:rPr>
        <w:t>22-2</w:t>
      </w:r>
      <w:r w:rsidRPr="00157EE6">
        <w:rPr>
          <w:sz w:val="28"/>
          <w:szCs w:val="28"/>
        </w:rPr>
        <w:t>02</w:t>
      </w:r>
      <w:r>
        <w:rPr>
          <w:sz w:val="28"/>
          <w:szCs w:val="28"/>
        </w:rPr>
        <w:t xml:space="preserve">4 </w:t>
      </w:r>
      <w:r w:rsidRPr="00157EE6">
        <w:rPr>
          <w:sz w:val="28"/>
          <w:szCs w:val="28"/>
        </w:rPr>
        <w:t xml:space="preserve">годы составлен Управлением Федеральной налоговой службы по Тверской области в соответствии с главой 25.1 части второй Налогового кодекса Российской Федерации «Сборы за пользование объектами животного мира и за пользование объектами водных биологических ресурсов» с учетом норматива зачисления сбора, установленного статьей 56 Бюджетного кодекса Российской Федерации (100% в бюджет субъекта Российской Федерации). </w:t>
      </w:r>
    </w:p>
    <w:p w:rsidR="000B4E16" w:rsidRPr="00376719" w:rsidRDefault="000B4E16" w:rsidP="000B4E16">
      <w:pPr>
        <w:ind w:firstLine="720"/>
        <w:jc w:val="both"/>
        <w:rPr>
          <w:color w:val="000000"/>
          <w:sz w:val="28"/>
          <w:szCs w:val="28"/>
        </w:rPr>
      </w:pPr>
      <w:r w:rsidRPr="00376719">
        <w:rPr>
          <w:color w:val="000000"/>
          <w:sz w:val="28"/>
          <w:szCs w:val="28"/>
        </w:rPr>
        <w:t>Расчёт прогнозного объёма поступлений сбора за пользование объектами животного мира осуществляется методом прямого расчёта, основанного на непосредственном использовании расчётного прогнозного значения полученных разрешений, среднегодовых расчетных ставок по сбору и других показателей.</w:t>
      </w:r>
    </w:p>
    <w:p w:rsidR="000B4E16" w:rsidRPr="00376719" w:rsidRDefault="000B4E16" w:rsidP="000B4E16">
      <w:pPr>
        <w:ind w:firstLine="720"/>
        <w:jc w:val="both"/>
        <w:rPr>
          <w:color w:val="000000"/>
          <w:sz w:val="28"/>
          <w:szCs w:val="28"/>
        </w:rPr>
      </w:pPr>
      <w:r w:rsidRPr="00376719">
        <w:rPr>
          <w:color w:val="000000"/>
          <w:sz w:val="28"/>
          <w:szCs w:val="28"/>
        </w:rPr>
        <w:t xml:space="preserve">Оценка поступлений сбора за пользование объектами животного мира на текущий  год и прогноз на очередной финансовый год и плановый период производится исходя из динамики налоговой базы по сбору согласно отчёту по форме № 5-ЖМ «О структуре начислений по сбору за пользование объектами животного мира», по полученным в установленном порядке разрешениям на добычу объектов животного мира на территории субъекта. </w:t>
      </w:r>
    </w:p>
    <w:p w:rsidR="000B4E16" w:rsidRPr="00376719" w:rsidRDefault="000B4E16" w:rsidP="000B4E16">
      <w:pPr>
        <w:ind w:firstLine="720"/>
        <w:jc w:val="both"/>
        <w:rPr>
          <w:color w:val="000000"/>
          <w:sz w:val="28"/>
          <w:szCs w:val="28"/>
        </w:rPr>
      </w:pPr>
      <w:r w:rsidRPr="00376719">
        <w:rPr>
          <w:color w:val="000000"/>
          <w:sz w:val="28"/>
          <w:szCs w:val="28"/>
        </w:rPr>
        <w:t>Прогнозный объём поступлений сбора за пользование объектами животного мира (ЖМ), определяется исходя из следующего алгоритма расчёта:</w:t>
      </w:r>
    </w:p>
    <w:p w:rsidR="000B4E16" w:rsidRPr="00376719" w:rsidRDefault="000B4E16" w:rsidP="000B4E16">
      <w:pPr>
        <w:ind w:firstLine="720"/>
        <w:jc w:val="both"/>
        <w:rPr>
          <w:color w:val="000000"/>
          <w:sz w:val="28"/>
          <w:szCs w:val="28"/>
        </w:rPr>
      </w:pPr>
    </w:p>
    <w:p w:rsidR="000B4E16" w:rsidRPr="00376719" w:rsidRDefault="000B4E16" w:rsidP="000B4E16">
      <w:pPr>
        <w:ind w:firstLine="720"/>
        <w:jc w:val="center"/>
        <w:rPr>
          <w:b/>
          <w:color w:val="000000"/>
          <w:sz w:val="28"/>
          <w:szCs w:val="28"/>
        </w:rPr>
      </w:pPr>
      <w:r w:rsidRPr="00376719">
        <w:rPr>
          <w:b/>
          <w:color w:val="000000"/>
          <w:sz w:val="28"/>
          <w:szCs w:val="28"/>
        </w:rPr>
        <w:t>ЖМ прогноз. = V</w:t>
      </w:r>
      <w:r>
        <w:rPr>
          <w:b/>
          <w:color w:val="000000"/>
          <w:sz w:val="28"/>
          <w:szCs w:val="28"/>
        </w:rPr>
        <w:t xml:space="preserve"> </w:t>
      </w:r>
      <w:r w:rsidRPr="00376719">
        <w:rPr>
          <w:b/>
          <w:color w:val="000000"/>
          <w:sz w:val="28"/>
          <w:szCs w:val="28"/>
        </w:rPr>
        <w:t xml:space="preserve">разреш.  * S </w:t>
      </w:r>
      <w:r w:rsidRPr="00376719">
        <w:rPr>
          <w:b/>
          <w:color w:val="000000"/>
          <w:sz w:val="28"/>
          <w:szCs w:val="28"/>
          <w:vertAlign w:val="subscript"/>
        </w:rPr>
        <w:t>ЖМ</w:t>
      </w:r>
      <w:r w:rsidRPr="00376719">
        <w:rPr>
          <w:b/>
          <w:color w:val="000000"/>
          <w:sz w:val="28"/>
          <w:szCs w:val="28"/>
        </w:rPr>
        <w:t xml:space="preserve"> расчет. (+/-) F,</w:t>
      </w:r>
    </w:p>
    <w:p w:rsidR="000B4E16" w:rsidRPr="00376719" w:rsidRDefault="000B4E16" w:rsidP="000B4E16">
      <w:pPr>
        <w:ind w:firstLine="720"/>
        <w:jc w:val="both"/>
        <w:rPr>
          <w:color w:val="000000"/>
          <w:sz w:val="28"/>
          <w:szCs w:val="28"/>
        </w:rPr>
      </w:pPr>
      <w:r w:rsidRPr="00376719">
        <w:rPr>
          <w:color w:val="000000"/>
          <w:sz w:val="28"/>
          <w:szCs w:val="28"/>
        </w:rPr>
        <w:t>где:</w:t>
      </w:r>
    </w:p>
    <w:p w:rsidR="000B4E16" w:rsidRPr="00376719" w:rsidRDefault="000B4E16" w:rsidP="000B4E16">
      <w:pPr>
        <w:ind w:firstLine="720"/>
        <w:jc w:val="both"/>
        <w:rPr>
          <w:color w:val="000000"/>
          <w:sz w:val="28"/>
          <w:szCs w:val="28"/>
        </w:rPr>
      </w:pPr>
      <w:r w:rsidRPr="00376719">
        <w:rPr>
          <w:b/>
          <w:color w:val="000000"/>
          <w:sz w:val="28"/>
          <w:szCs w:val="28"/>
        </w:rPr>
        <w:lastRenderedPageBreak/>
        <w:t>V</w:t>
      </w:r>
      <w:r>
        <w:rPr>
          <w:b/>
          <w:color w:val="000000"/>
          <w:sz w:val="28"/>
          <w:szCs w:val="28"/>
        </w:rPr>
        <w:t xml:space="preserve"> </w:t>
      </w:r>
      <w:r w:rsidRPr="00376719">
        <w:rPr>
          <w:b/>
          <w:color w:val="000000"/>
          <w:sz w:val="28"/>
          <w:szCs w:val="28"/>
        </w:rPr>
        <w:t>разреш.</w:t>
      </w:r>
      <w:r w:rsidRPr="00376719">
        <w:rPr>
          <w:color w:val="000000"/>
          <w:sz w:val="28"/>
          <w:szCs w:val="28"/>
        </w:rPr>
        <w:t xml:space="preserve">  – прогнозируемое количество полученных разрешений, штук;</w:t>
      </w:r>
    </w:p>
    <w:p w:rsidR="000B4E16" w:rsidRPr="00376719" w:rsidRDefault="000B4E16" w:rsidP="000B4E16">
      <w:pPr>
        <w:ind w:firstLine="720"/>
        <w:jc w:val="both"/>
        <w:rPr>
          <w:color w:val="000000"/>
          <w:sz w:val="28"/>
          <w:szCs w:val="28"/>
        </w:rPr>
      </w:pPr>
      <w:r w:rsidRPr="00376719">
        <w:rPr>
          <w:b/>
          <w:color w:val="000000"/>
          <w:sz w:val="28"/>
          <w:szCs w:val="28"/>
        </w:rPr>
        <w:t xml:space="preserve">S </w:t>
      </w:r>
      <w:r w:rsidRPr="00376719">
        <w:rPr>
          <w:b/>
          <w:color w:val="000000"/>
          <w:sz w:val="28"/>
          <w:szCs w:val="28"/>
          <w:vertAlign w:val="subscript"/>
        </w:rPr>
        <w:t>ЖМ</w:t>
      </w:r>
      <w:r w:rsidRPr="00376719">
        <w:rPr>
          <w:b/>
          <w:color w:val="000000"/>
          <w:sz w:val="28"/>
          <w:szCs w:val="28"/>
        </w:rPr>
        <w:t xml:space="preserve"> расчет.</w:t>
      </w:r>
      <w:r w:rsidRPr="00376719">
        <w:rPr>
          <w:color w:val="000000"/>
          <w:sz w:val="28"/>
          <w:szCs w:val="28"/>
        </w:rPr>
        <w:t xml:space="preserve"> – средняя расчетная ставка сбора, тыс. рублей /1 разрешение;</w:t>
      </w:r>
    </w:p>
    <w:p w:rsidR="000B4E16" w:rsidRPr="00376719" w:rsidRDefault="000B4E16" w:rsidP="000B4E16">
      <w:pPr>
        <w:ind w:firstLine="720"/>
        <w:jc w:val="both"/>
        <w:rPr>
          <w:color w:val="000000"/>
          <w:sz w:val="28"/>
          <w:szCs w:val="28"/>
        </w:rPr>
      </w:pPr>
      <w:r w:rsidRPr="00376719">
        <w:rPr>
          <w:b/>
          <w:color w:val="000000"/>
          <w:sz w:val="28"/>
          <w:szCs w:val="28"/>
        </w:rPr>
        <w:t>F</w:t>
      </w:r>
      <w:r w:rsidRPr="00376719">
        <w:rPr>
          <w:color w:val="000000"/>
          <w:sz w:val="28"/>
          <w:szCs w:val="28"/>
        </w:rPr>
        <w:t xml:space="preserve"> – </w:t>
      </w:r>
      <w:r w:rsidRPr="001062D8">
        <w:rPr>
          <w:color w:val="000000"/>
          <w:sz w:val="28"/>
          <w:szCs w:val="28"/>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r w:rsidRPr="00376719">
        <w:rPr>
          <w:color w:val="000000"/>
          <w:sz w:val="28"/>
          <w:szCs w:val="28"/>
        </w:rPr>
        <w:t>.</w:t>
      </w:r>
    </w:p>
    <w:p w:rsidR="000B4E16" w:rsidRDefault="000B4E16" w:rsidP="000B4E16">
      <w:pPr>
        <w:ind w:firstLine="720"/>
        <w:jc w:val="both"/>
        <w:rPr>
          <w:color w:val="000000"/>
          <w:sz w:val="28"/>
          <w:szCs w:val="28"/>
        </w:rPr>
      </w:pPr>
      <w:r w:rsidRPr="00376719">
        <w:rPr>
          <w:color w:val="000000"/>
          <w:sz w:val="28"/>
          <w:szCs w:val="28"/>
        </w:rPr>
        <w:t>Средняя расчетная ставка сбора (</w:t>
      </w:r>
      <w:r w:rsidRPr="00376719">
        <w:rPr>
          <w:b/>
          <w:color w:val="000000"/>
          <w:sz w:val="28"/>
          <w:szCs w:val="28"/>
        </w:rPr>
        <w:t xml:space="preserve">S </w:t>
      </w:r>
      <w:r w:rsidRPr="00376719">
        <w:rPr>
          <w:b/>
          <w:color w:val="000000"/>
          <w:sz w:val="28"/>
          <w:szCs w:val="28"/>
          <w:vertAlign w:val="subscript"/>
        </w:rPr>
        <w:t>ЖМ</w:t>
      </w:r>
      <w:r w:rsidRPr="00376719">
        <w:rPr>
          <w:b/>
          <w:color w:val="000000"/>
          <w:sz w:val="28"/>
          <w:szCs w:val="28"/>
        </w:rPr>
        <w:t xml:space="preserve"> расчет.</w:t>
      </w:r>
      <w:r w:rsidRPr="00376719">
        <w:rPr>
          <w:color w:val="000000"/>
          <w:sz w:val="28"/>
          <w:szCs w:val="28"/>
        </w:rPr>
        <w:t>) рассчитывается как частное от деления суммы сбора, подлежащей уплате в бюджет за предыдущий</w:t>
      </w:r>
      <w:r>
        <w:rPr>
          <w:color w:val="000000"/>
          <w:sz w:val="28"/>
          <w:szCs w:val="28"/>
        </w:rPr>
        <w:t xml:space="preserve"> </w:t>
      </w:r>
      <w:r w:rsidRPr="00376719">
        <w:rPr>
          <w:color w:val="000000"/>
          <w:sz w:val="28"/>
          <w:szCs w:val="28"/>
        </w:rPr>
        <w:t>период</w:t>
      </w:r>
      <w:r>
        <w:rPr>
          <w:color w:val="000000"/>
          <w:sz w:val="28"/>
          <w:szCs w:val="28"/>
        </w:rPr>
        <w:t xml:space="preserve"> </w:t>
      </w:r>
      <w:r w:rsidRPr="00376719">
        <w:rPr>
          <w:color w:val="000000"/>
          <w:sz w:val="28"/>
          <w:szCs w:val="28"/>
        </w:rPr>
        <w:t>(</w:t>
      </w:r>
      <w:r w:rsidRPr="00376719">
        <w:rPr>
          <w:b/>
          <w:color w:val="000000"/>
          <w:sz w:val="28"/>
          <w:szCs w:val="28"/>
        </w:rPr>
        <w:t>ЖМ пред. период</w:t>
      </w:r>
      <w:r w:rsidRPr="00376719">
        <w:rPr>
          <w:color w:val="000000"/>
          <w:sz w:val="28"/>
          <w:szCs w:val="28"/>
        </w:rPr>
        <w:t>) на общее количество полученных разрешений за предыдущий период (</w:t>
      </w:r>
      <w:r w:rsidRPr="00376719">
        <w:rPr>
          <w:b/>
          <w:color w:val="000000"/>
          <w:sz w:val="28"/>
          <w:szCs w:val="28"/>
        </w:rPr>
        <w:t>V</w:t>
      </w:r>
      <w:r>
        <w:rPr>
          <w:b/>
          <w:color w:val="000000"/>
          <w:sz w:val="28"/>
          <w:szCs w:val="28"/>
        </w:rPr>
        <w:t xml:space="preserve"> </w:t>
      </w:r>
      <w:r w:rsidRPr="00376719">
        <w:rPr>
          <w:b/>
          <w:color w:val="000000"/>
          <w:sz w:val="28"/>
          <w:szCs w:val="28"/>
        </w:rPr>
        <w:t>разреш. пред. период</w:t>
      </w:r>
      <w:r w:rsidRPr="00376719">
        <w:rPr>
          <w:color w:val="000000"/>
          <w:sz w:val="28"/>
          <w:szCs w:val="28"/>
        </w:rPr>
        <w:t>) из показателей отчёта по форме № 5-ЖМ.</w:t>
      </w:r>
    </w:p>
    <w:p w:rsidR="000B4E16" w:rsidRPr="00376719" w:rsidRDefault="000B4E16" w:rsidP="000B4E16">
      <w:pPr>
        <w:ind w:firstLine="720"/>
        <w:jc w:val="both"/>
        <w:rPr>
          <w:color w:val="000000"/>
          <w:sz w:val="28"/>
          <w:szCs w:val="28"/>
        </w:rPr>
      </w:pPr>
    </w:p>
    <w:p w:rsidR="000B4E16" w:rsidRDefault="000B4E16" w:rsidP="000B4E16">
      <w:pPr>
        <w:ind w:firstLine="720"/>
        <w:jc w:val="both"/>
        <w:rPr>
          <w:b/>
          <w:color w:val="000000"/>
          <w:sz w:val="28"/>
          <w:szCs w:val="28"/>
        </w:rPr>
      </w:pPr>
      <w:r w:rsidRPr="00376719">
        <w:rPr>
          <w:b/>
          <w:color w:val="000000"/>
          <w:sz w:val="28"/>
          <w:szCs w:val="28"/>
        </w:rPr>
        <w:t xml:space="preserve">S </w:t>
      </w:r>
      <w:r w:rsidRPr="00376719">
        <w:rPr>
          <w:b/>
          <w:color w:val="000000"/>
          <w:sz w:val="28"/>
          <w:szCs w:val="28"/>
          <w:vertAlign w:val="subscript"/>
        </w:rPr>
        <w:t>ЖМ</w:t>
      </w:r>
      <w:r w:rsidRPr="00376719">
        <w:rPr>
          <w:b/>
          <w:color w:val="000000"/>
          <w:sz w:val="28"/>
          <w:szCs w:val="28"/>
        </w:rPr>
        <w:t xml:space="preserve"> расчет.  = (ЖМ пред. период  ÷ V</w:t>
      </w:r>
      <w:r>
        <w:rPr>
          <w:b/>
          <w:color w:val="000000"/>
          <w:sz w:val="28"/>
          <w:szCs w:val="28"/>
        </w:rPr>
        <w:t xml:space="preserve"> </w:t>
      </w:r>
      <w:r w:rsidRPr="00376719">
        <w:rPr>
          <w:b/>
          <w:color w:val="000000"/>
          <w:sz w:val="28"/>
          <w:szCs w:val="28"/>
        </w:rPr>
        <w:t>разреш. пред. период)</w:t>
      </w:r>
    </w:p>
    <w:p w:rsidR="000B4E16" w:rsidRPr="00376719" w:rsidRDefault="000B4E16" w:rsidP="000B4E16">
      <w:pPr>
        <w:ind w:firstLine="720"/>
        <w:jc w:val="both"/>
        <w:rPr>
          <w:b/>
          <w:color w:val="000000"/>
          <w:sz w:val="28"/>
          <w:szCs w:val="28"/>
        </w:rPr>
      </w:pPr>
    </w:p>
    <w:p w:rsidR="000B4E16" w:rsidRPr="00BA4E4F" w:rsidRDefault="000B4E16" w:rsidP="000B4E16">
      <w:pPr>
        <w:shd w:val="clear" w:color="auto" w:fill="FFFFFF"/>
        <w:tabs>
          <w:tab w:val="right" w:pos="-3240"/>
        </w:tabs>
        <w:ind w:firstLine="709"/>
        <w:jc w:val="both"/>
        <w:rPr>
          <w:color w:val="000000"/>
          <w:sz w:val="28"/>
          <w:szCs w:val="28"/>
        </w:rPr>
      </w:pPr>
      <w:r w:rsidRPr="00BA4E4F">
        <w:rPr>
          <w:color w:val="000000"/>
          <w:sz w:val="28"/>
          <w:szCs w:val="28"/>
        </w:rPr>
        <w:t xml:space="preserve">Оценка поступления сбора за пользование объектами животного мира на 2021 год и прогноз поступлений на 2022-2024 годы произведены исходя из показателей (количество разрешений, средняя расчетная ставка сбора), рассчитанных на основании данных отчётов по форме № 5-ЖМ «О структуре начислений по сбору за пользование объектами животного мира». </w:t>
      </w:r>
    </w:p>
    <w:p w:rsidR="000B4E16" w:rsidRPr="00BA4E4F" w:rsidRDefault="000B4E16" w:rsidP="000B4E16">
      <w:pPr>
        <w:ind w:firstLine="709"/>
        <w:jc w:val="both"/>
        <w:rPr>
          <w:color w:val="000000"/>
          <w:sz w:val="28"/>
          <w:szCs w:val="28"/>
        </w:rPr>
      </w:pPr>
      <w:r w:rsidRPr="00BA4E4F">
        <w:rPr>
          <w:color w:val="000000"/>
          <w:sz w:val="28"/>
          <w:szCs w:val="28"/>
        </w:rPr>
        <w:t>Количество разрешений в 2021-2024 годах прогнозируется на уровне среднего показателя 2019-2020 годов – 9 859 ед. (9 981 ед. + 9 736 ед. / 2).</w:t>
      </w:r>
    </w:p>
    <w:p w:rsidR="000B4E16" w:rsidRPr="00BA4E4F" w:rsidRDefault="000B4E16" w:rsidP="000B4E16">
      <w:pPr>
        <w:ind w:firstLine="709"/>
        <w:jc w:val="both"/>
        <w:rPr>
          <w:color w:val="000000"/>
          <w:sz w:val="28"/>
          <w:szCs w:val="28"/>
        </w:rPr>
      </w:pPr>
      <w:r w:rsidRPr="00BA4E4F">
        <w:rPr>
          <w:color w:val="000000"/>
          <w:sz w:val="28"/>
          <w:szCs w:val="28"/>
        </w:rPr>
        <w:t>Средняя расчетная ставка сбора рассчитывается как частное от деления суммы сбора, подлежащей уплате в бюджет, на количество выданных разрешений в отчетном периоде.</w:t>
      </w:r>
    </w:p>
    <w:p w:rsidR="000B4E16" w:rsidRPr="00BA4E4F" w:rsidRDefault="000B4E16" w:rsidP="000B4E16">
      <w:pPr>
        <w:shd w:val="clear" w:color="auto" w:fill="FFFFFF"/>
        <w:tabs>
          <w:tab w:val="right" w:pos="-3240"/>
        </w:tabs>
        <w:ind w:firstLine="709"/>
        <w:jc w:val="both"/>
        <w:rPr>
          <w:color w:val="000000"/>
          <w:sz w:val="28"/>
          <w:szCs w:val="28"/>
        </w:rPr>
      </w:pPr>
      <w:r w:rsidRPr="00BA4E4F">
        <w:rPr>
          <w:color w:val="000000"/>
          <w:sz w:val="28"/>
          <w:szCs w:val="28"/>
        </w:rPr>
        <w:t xml:space="preserve">Принимая во внимание, что расчетная средняя ставка на 1 разрешение в 2020 году (0,54 тыс. рублей) сложилась ниже на 13% по сравнению с </w:t>
      </w:r>
      <w:r w:rsidRPr="00BA4E4F">
        <w:rPr>
          <w:color w:val="000000"/>
          <w:sz w:val="28"/>
          <w:szCs w:val="28"/>
        </w:rPr>
        <w:br/>
        <w:t>2019 годом (0,62 тыс. рублей), на что оказало влияние ограничение охоты на территории охотничьих угодий Тверской области до 1 июля 2020 года (запрет на любительскую и спортивную охоты), введенного в целях снижения риска распространения коронавирусной инфекции, для оценки и прогноза поступлений сбора в 2021-2024 годах применено среднее значение показателя за 2019-2020 годы – 0,58 тыс. рублей (0,62 тыс. рублей +0,54 тыс. рублей / 2).</w:t>
      </w:r>
    </w:p>
    <w:p w:rsidR="000B4E16" w:rsidRDefault="000B4E16" w:rsidP="000B4E16">
      <w:pPr>
        <w:ind w:firstLine="720"/>
        <w:jc w:val="both"/>
        <w:rPr>
          <w:sz w:val="28"/>
          <w:szCs w:val="28"/>
        </w:rPr>
      </w:pPr>
      <w:r>
        <w:rPr>
          <w:sz w:val="28"/>
          <w:szCs w:val="28"/>
        </w:rPr>
        <w:t>Оценка 2021 год = 9 859*0,58 = 5 718 тыс. руб.</w:t>
      </w:r>
    </w:p>
    <w:p w:rsidR="000B4E16" w:rsidRDefault="000B4E16" w:rsidP="000B4E16">
      <w:pPr>
        <w:ind w:firstLine="720"/>
        <w:jc w:val="both"/>
        <w:rPr>
          <w:sz w:val="28"/>
          <w:szCs w:val="28"/>
        </w:rPr>
      </w:pPr>
      <w:r>
        <w:rPr>
          <w:sz w:val="28"/>
          <w:szCs w:val="28"/>
        </w:rPr>
        <w:t>Прогноз на 2022 год = 9 859*0,58= 5 718 тыс. руб.</w:t>
      </w:r>
    </w:p>
    <w:p w:rsidR="000B4E16" w:rsidRDefault="000B4E16" w:rsidP="000B4E16">
      <w:pPr>
        <w:ind w:firstLine="720"/>
        <w:jc w:val="both"/>
        <w:rPr>
          <w:sz w:val="28"/>
          <w:szCs w:val="28"/>
        </w:rPr>
      </w:pPr>
      <w:r>
        <w:rPr>
          <w:sz w:val="28"/>
          <w:szCs w:val="28"/>
        </w:rPr>
        <w:t>Прогноз на 2022 год = 9 859*0,58= 5 718 тыс. руб.</w:t>
      </w:r>
    </w:p>
    <w:p w:rsidR="000B4E16" w:rsidRDefault="000B4E16" w:rsidP="000B4E16">
      <w:pPr>
        <w:ind w:firstLine="720"/>
        <w:jc w:val="both"/>
        <w:rPr>
          <w:sz w:val="28"/>
          <w:szCs w:val="28"/>
        </w:rPr>
      </w:pPr>
      <w:r>
        <w:rPr>
          <w:sz w:val="28"/>
          <w:szCs w:val="28"/>
        </w:rPr>
        <w:t>Прогноз на 2023 год = 9 859*0,58= 5 718 тыс. руб. (</w:t>
      </w:r>
      <w:r w:rsidRPr="00D90D15">
        <w:rPr>
          <w:sz w:val="28"/>
          <w:szCs w:val="28"/>
        </w:rPr>
        <w:t xml:space="preserve"> </w:t>
      </w:r>
      <w:r>
        <w:rPr>
          <w:sz w:val="28"/>
          <w:szCs w:val="28"/>
        </w:rPr>
        <w:t>с учетом округления).</w:t>
      </w:r>
    </w:p>
    <w:p w:rsidR="000B4E16" w:rsidRDefault="000B4E16" w:rsidP="000B4E16">
      <w:pPr>
        <w:ind w:firstLine="709"/>
        <w:rPr>
          <w:sz w:val="28"/>
          <w:szCs w:val="28"/>
        </w:rPr>
      </w:pPr>
    </w:p>
    <w:p w:rsidR="000B4E16" w:rsidRPr="00130B89" w:rsidRDefault="000B4E16" w:rsidP="000B4E16">
      <w:pPr>
        <w:autoSpaceDE w:val="0"/>
        <w:autoSpaceDN w:val="0"/>
        <w:adjustRightInd w:val="0"/>
        <w:jc w:val="center"/>
        <w:rPr>
          <w:b/>
          <w:sz w:val="28"/>
          <w:szCs w:val="28"/>
        </w:rPr>
      </w:pPr>
      <w:r w:rsidRPr="00130B89">
        <w:rPr>
          <w:b/>
          <w:sz w:val="28"/>
          <w:szCs w:val="28"/>
        </w:rPr>
        <w:t>Сбор за пользование объектами   водных биологических ресурсов</w:t>
      </w:r>
    </w:p>
    <w:p w:rsidR="000B4E16" w:rsidRPr="00130B89" w:rsidRDefault="000B4E16" w:rsidP="000B4E16">
      <w:pPr>
        <w:autoSpaceDE w:val="0"/>
        <w:autoSpaceDN w:val="0"/>
        <w:adjustRightInd w:val="0"/>
        <w:jc w:val="center"/>
        <w:rPr>
          <w:b/>
          <w:sz w:val="28"/>
          <w:szCs w:val="28"/>
        </w:rPr>
      </w:pPr>
      <w:r w:rsidRPr="00130B89">
        <w:rPr>
          <w:b/>
          <w:sz w:val="28"/>
          <w:szCs w:val="28"/>
        </w:rPr>
        <w:t xml:space="preserve"> (по внутренним водным объектам)</w:t>
      </w:r>
    </w:p>
    <w:p w:rsidR="000B4E16" w:rsidRPr="00130B89" w:rsidRDefault="000B4E16" w:rsidP="000B4E16">
      <w:pPr>
        <w:autoSpaceDE w:val="0"/>
        <w:autoSpaceDN w:val="0"/>
        <w:adjustRightInd w:val="0"/>
        <w:jc w:val="center"/>
        <w:rPr>
          <w:b/>
          <w:sz w:val="28"/>
          <w:szCs w:val="28"/>
        </w:rPr>
      </w:pPr>
      <w:r w:rsidRPr="00130B89">
        <w:rPr>
          <w:b/>
          <w:sz w:val="28"/>
          <w:szCs w:val="28"/>
        </w:rPr>
        <w:t xml:space="preserve"> (000   1 07 04030 01 0000 110)</w:t>
      </w:r>
    </w:p>
    <w:p w:rsidR="000B4E16" w:rsidRPr="000D187A" w:rsidRDefault="000B4E16" w:rsidP="000B4E16">
      <w:pPr>
        <w:autoSpaceDE w:val="0"/>
        <w:autoSpaceDN w:val="0"/>
        <w:adjustRightInd w:val="0"/>
        <w:jc w:val="center"/>
        <w:rPr>
          <w:b/>
          <w:sz w:val="28"/>
          <w:szCs w:val="28"/>
          <w:highlight w:val="yellow"/>
        </w:rPr>
      </w:pPr>
    </w:p>
    <w:p w:rsidR="000B4E16" w:rsidRPr="00130B89" w:rsidRDefault="000B4E16" w:rsidP="000B4E16">
      <w:pPr>
        <w:pStyle w:val="21"/>
      </w:pPr>
      <w:r w:rsidRPr="00130B89">
        <w:t>Расчет ожидаемой оценки поступления за пользование объектами водных биологических  ресурсов  (по внутренним водным объектам) на 20</w:t>
      </w:r>
      <w:r>
        <w:t xml:space="preserve">21 </w:t>
      </w:r>
      <w:r w:rsidRPr="00130B89">
        <w:t>год и прогноз на 20</w:t>
      </w:r>
      <w:r>
        <w:t>22</w:t>
      </w:r>
      <w:r w:rsidRPr="00130B89">
        <w:t>-202</w:t>
      </w:r>
      <w:r>
        <w:t>4</w:t>
      </w:r>
      <w:r w:rsidRPr="00130B89">
        <w:t xml:space="preserve"> годы составлен Управлением Федеральной налоговой службы по Тверской области</w:t>
      </w:r>
      <w:r>
        <w:t>.</w:t>
      </w:r>
      <w:r w:rsidRPr="00130B89">
        <w:t xml:space="preserve"> </w:t>
      </w:r>
    </w:p>
    <w:p w:rsidR="000B4E16" w:rsidRPr="00130B89" w:rsidRDefault="000B4E16" w:rsidP="000B4E16">
      <w:pPr>
        <w:ind w:firstLine="709"/>
        <w:jc w:val="both"/>
        <w:rPr>
          <w:sz w:val="28"/>
          <w:szCs w:val="28"/>
        </w:rPr>
      </w:pPr>
      <w:r w:rsidRPr="00130B89">
        <w:rPr>
          <w:sz w:val="28"/>
          <w:szCs w:val="28"/>
        </w:rPr>
        <w:lastRenderedPageBreak/>
        <w:t>Прогнозный объём поступлений сбора за пользование объектами водных биологических ресурсов (по внутренним водным объектам) (</w:t>
      </w:r>
      <w:r w:rsidRPr="00130B89">
        <w:rPr>
          <w:b/>
          <w:i/>
          <w:sz w:val="28"/>
          <w:szCs w:val="28"/>
        </w:rPr>
        <w:t>ВБР</w:t>
      </w:r>
      <w:r w:rsidRPr="00130B89">
        <w:rPr>
          <w:sz w:val="28"/>
          <w:szCs w:val="28"/>
        </w:rPr>
        <w:t xml:space="preserve">), определяется </w:t>
      </w:r>
      <w:r w:rsidRPr="00E46A0F">
        <w:rPr>
          <w:sz w:val="28"/>
          <w:szCs w:val="28"/>
        </w:rPr>
        <w:t xml:space="preserve">методом прямого расчёта </w:t>
      </w:r>
      <w:r w:rsidRPr="00130B89">
        <w:rPr>
          <w:sz w:val="28"/>
          <w:szCs w:val="28"/>
        </w:rPr>
        <w:t>исходя из следующего алгоритма:</w:t>
      </w:r>
    </w:p>
    <w:p w:rsidR="000B4E16" w:rsidRPr="00130B89" w:rsidRDefault="000B4E16" w:rsidP="000B4E16">
      <w:pPr>
        <w:spacing w:before="120" w:after="120"/>
        <w:ind w:firstLine="709"/>
        <w:jc w:val="center"/>
        <w:rPr>
          <w:b/>
          <w:i/>
          <w:sz w:val="28"/>
          <w:szCs w:val="28"/>
        </w:rPr>
      </w:pPr>
      <w:r w:rsidRPr="00130B89">
        <w:rPr>
          <w:b/>
          <w:i/>
          <w:sz w:val="28"/>
          <w:szCs w:val="28"/>
        </w:rPr>
        <w:t xml:space="preserve">ВБР </w:t>
      </w:r>
      <w:r w:rsidRPr="00130B89">
        <w:rPr>
          <w:b/>
          <w:i/>
          <w:sz w:val="28"/>
          <w:szCs w:val="28"/>
          <w:vertAlign w:val="subscript"/>
        </w:rPr>
        <w:t>прогноз.</w:t>
      </w:r>
      <w:r w:rsidRPr="00130B89">
        <w:rPr>
          <w:b/>
          <w:i/>
          <w:sz w:val="28"/>
          <w:szCs w:val="28"/>
        </w:rPr>
        <w:t xml:space="preserve"> =  (</w:t>
      </w:r>
      <w:r w:rsidRPr="00130B89">
        <w:rPr>
          <w:b/>
          <w:i/>
          <w:sz w:val="28"/>
          <w:szCs w:val="28"/>
          <w:lang w:val="en-US"/>
        </w:rPr>
        <w:t>V</w:t>
      </w:r>
      <w:r w:rsidRPr="00130B89">
        <w:rPr>
          <w:b/>
          <w:i/>
          <w:sz w:val="28"/>
          <w:szCs w:val="28"/>
          <w:vertAlign w:val="subscript"/>
        </w:rPr>
        <w:t>разреш.  *</w:t>
      </w:r>
      <w:r w:rsidRPr="00130B89">
        <w:rPr>
          <w:sz w:val="28"/>
          <w:szCs w:val="28"/>
        </w:rPr>
        <w:t xml:space="preserve"> </w:t>
      </w:r>
      <w:r w:rsidRPr="00130B89">
        <w:rPr>
          <w:b/>
          <w:i/>
          <w:sz w:val="28"/>
          <w:szCs w:val="28"/>
          <w:lang w:val="en-US"/>
        </w:rPr>
        <w:t>S</w:t>
      </w:r>
      <w:r w:rsidRPr="00130B89">
        <w:rPr>
          <w:b/>
          <w:sz w:val="28"/>
          <w:szCs w:val="28"/>
          <w:vertAlign w:val="subscript"/>
        </w:rPr>
        <w:t xml:space="preserve"> ВБР расчет.</w:t>
      </w:r>
      <w:r w:rsidRPr="00130B89">
        <w:rPr>
          <w:b/>
          <w:i/>
          <w:sz w:val="28"/>
          <w:szCs w:val="28"/>
        </w:rPr>
        <w:t xml:space="preserve">) (+/-) </w:t>
      </w:r>
      <w:r w:rsidRPr="00130B89">
        <w:rPr>
          <w:b/>
          <w:i/>
          <w:sz w:val="28"/>
          <w:szCs w:val="28"/>
          <w:lang w:val="en-US"/>
        </w:rPr>
        <w:t>F</w:t>
      </w:r>
      <w:r w:rsidRPr="00130B89">
        <w:rPr>
          <w:b/>
          <w:i/>
          <w:sz w:val="28"/>
          <w:szCs w:val="28"/>
        </w:rPr>
        <w:t>,</w:t>
      </w:r>
    </w:p>
    <w:p w:rsidR="000B4E16" w:rsidRPr="00130B89" w:rsidRDefault="000B4E16" w:rsidP="000B4E16">
      <w:pPr>
        <w:ind w:firstLine="709"/>
        <w:jc w:val="both"/>
        <w:rPr>
          <w:sz w:val="28"/>
          <w:szCs w:val="28"/>
        </w:rPr>
      </w:pPr>
      <w:r w:rsidRPr="00130B89">
        <w:rPr>
          <w:sz w:val="28"/>
          <w:szCs w:val="28"/>
        </w:rPr>
        <w:t>где:</w:t>
      </w:r>
    </w:p>
    <w:p w:rsidR="000B4E16" w:rsidRPr="00130B89" w:rsidRDefault="000B4E16" w:rsidP="000B4E16">
      <w:pPr>
        <w:ind w:firstLine="709"/>
        <w:jc w:val="both"/>
        <w:rPr>
          <w:color w:val="000000"/>
          <w:sz w:val="28"/>
          <w:szCs w:val="28"/>
        </w:rPr>
      </w:pPr>
      <w:r w:rsidRPr="00130B89">
        <w:rPr>
          <w:b/>
          <w:i/>
          <w:color w:val="000000"/>
          <w:sz w:val="28"/>
          <w:szCs w:val="28"/>
          <w:lang w:val="en-US"/>
        </w:rPr>
        <w:t>V</w:t>
      </w:r>
      <w:r w:rsidRPr="00130B89">
        <w:rPr>
          <w:b/>
          <w:i/>
          <w:color w:val="000000"/>
          <w:sz w:val="28"/>
          <w:szCs w:val="28"/>
          <w:vertAlign w:val="subscript"/>
        </w:rPr>
        <w:t xml:space="preserve">разреш.  </w:t>
      </w:r>
      <w:r w:rsidRPr="00130B89">
        <w:rPr>
          <w:color w:val="000000"/>
          <w:sz w:val="28"/>
          <w:szCs w:val="28"/>
        </w:rPr>
        <w:t>– прогнозируемое количество полученных разрешений</w:t>
      </w:r>
      <w:r>
        <w:rPr>
          <w:color w:val="000000"/>
          <w:sz w:val="28"/>
          <w:szCs w:val="28"/>
        </w:rPr>
        <w:t>,</w:t>
      </w:r>
      <w:r w:rsidRPr="00130B89">
        <w:rPr>
          <w:color w:val="000000"/>
          <w:sz w:val="28"/>
          <w:szCs w:val="28"/>
        </w:rPr>
        <w:t xml:space="preserve"> штук;</w:t>
      </w:r>
    </w:p>
    <w:p w:rsidR="000B4E16" w:rsidRDefault="000B4E16" w:rsidP="000B4E16">
      <w:pPr>
        <w:ind w:firstLine="709"/>
        <w:jc w:val="both"/>
        <w:rPr>
          <w:sz w:val="28"/>
          <w:szCs w:val="28"/>
        </w:rPr>
      </w:pPr>
      <w:r w:rsidRPr="00130B89">
        <w:rPr>
          <w:b/>
          <w:i/>
          <w:sz w:val="28"/>
          <w:szCs w:val="28"/>
          <w:lang w:val="en-US"/>
        </w:rPr>
        <w:t>S</w:t>
      </w:r>
      <w:r w:rsidRPr="00130B89">
        <w:rPr>
          <w:b/>
          <w:sz w:val="28"/>
          <w:szCs w:val="28"/>
          <w:vertAlign w:val="subscript"/>
        </w:rPr>
        <w:t xml:space="preserve"> ВБР расчет.</w:t>
      </w:r>
      <w:r w:rsidRPr="00130B89">
        <w:rPr>
          <w:b/>
          <w:i/>
          <w:sz w:val="28"/>
          <w:szCs w:val="28"/>
        </w:rPr>
        <w:t xml:space="preserve"> </w:t>
      </w:r>
      <w:r w:rsidRPr="00130B89">
        <w:rPr>
          <w:sz w:val="28"/>
          <w:szCs w:val="28"/>
        </w:rPr>
        <w:t>– средняя расчетная ставка сбора, тыс. рублей /1 разрешение;</w:t>
      </w:r>
    </w:p>
    <w:p w:rsidR="000B4E16" w:rsidRPr="007A4852" w:rsidRDefault="000B4E16" w:rsidP="000B4E16">
      <w:pPr>
        <w:ind w:firstLine="709"/>
        <w:jc w:val="both"/>
        <w:rPr>
          <w:sz w:val="28"/>
          <w:szCs w:val="28"/>
        </w:rPr>
      </w:pPr>
      <w:r w:rsidRPr="00130B89">
        <w:rPr>
          <w:b/>
          <w:i/>
          <w:sz w:val="28"/>
          <w:szCs w:val="28"/>
          <w:lang w:val="en-US"/>
        </w:rPr>
        <w:t>F</w:t>
      </w:r>
      <w:r>
        <w:rPr>
          <w:b/>
          <w:i/>
          <w:sz w:val="28"/>
          <w:szCs w:val="28"/>
        </w:rPr>
        <w:t xml:space="preserve"> </w:t>
      </w:r>
      <w:r w:rsidRPr="00D16CC0">
        <w:rPr>
          <w:sz w:val="28"/>
          <w:szCs w:val="28"/>
        </w:rPr>
        <w:t>-</w:t>
      </w:r>
      <w:r>
        <w:rPr>
          <w:b/>
          <w:i/>
          <w:sz w:val="28"/>
          <w:szCs w:val="28"/>
        </w:rPr>
        <w:t xml:space="preserve"> </w:t>
      </w:r>
      <w:r w:rsidRPr="007A4852">
        <w:rPr>
          <w:sz w:val="28"/>
          <w:szCs w:val="28"/>
        </w:rPr>
        <w:t>корректирующая сумма поступлений, учитывающая изменения законодательства о налогах и сборах, а также другие факторы, тыс. руб</w:t>
      </w:r>
      <w:r>
        <w:rPr>
          <w:sz w:val="28"/>
          <w:szCs w:val="28"/>
        </w:rPr>
        <w:t>.</w:t>
      </w:r>
    </w:p>
    <w:p w:rsidR="000B4E16" w:rsidRPr="00F61A9A" w:rsidRDefault="000B4E16" w:rsidP="000B4E16">
      <w:pPr>
        <w:ind w:firstLine="709"/>
        <w:jc w:val="both"/>
        <w:rPr>
          <w:sz w:val="28"/>
          <w:szCs w:val="28"/>
        </w:rPr>
      </w:pPr>
      <w:r w:rsidRPr="00F61A9A">
        <w:rPr>
          <w:sz w:val="28"/>
          <w:szCs w:val="28"/>
        </w:rPr>
        <w:t>Оценка поступлений сбора за пользование объектами водных биологических ресурсов в консолидированный бюджет Тверской области на 20</w:t>
      </w:r>
      <w:r>
        <w:rPr>
          <w:sz w:val="28"/>
          <w:szCs w:val="28"/>
        </w:rPr>
        <w:t>21 год произведена</w:t>
      </w:r>
      <w:r w:rsidRPr="00F61A9A">
        <w:rPr>
          <w:sz w:val="28"/>
          <w:szCs w:val="28"/>
        </w:rPr>
        <w:t xml:space="preserve"> исходя из следующих показателей, рассчитанных на основании данных отчёта по форме № 5-ВБР «О структуре начислений по сбору за пользование объектами водных биологических ресурсов» за 20</w:t>
      </w:r>
      <w:r>
        <w:rPr>
          <w:sz w:val="28"/>
          <w:szCs w:val="28"/>
        </w:rPr>
        <w:t>20</w:t>
      </w:r>
      <w:r w:rsidRPr="00F61A9A">
        <w:rPr>
          <w:sz w:val="28"/>
          <w:szCs w:val="28"/>
        </w:rPr>
        <w:t xml:space="preserve"> год:</w:t>
      </w:r>
    </w:p>
    <w:p w:rsidR="000B4E16" w:rsidRPr="00F61A9A" w:rsidRDefault="000B4E16" w:rsidP="000B4E16">
      <w:pPr>
        <w:ind w:firstLine="709"/>
        <w:jc w:val="both"/>
        <w:rPr>
          <w:sz w:val="28"/>
          <w:szCs w:val="28"/>
        </w:rPr>
      </w:pPr>
      <w:r w:rsidRPr="00F61A9A">
        <w:rPr>
          <w:sz w:val="28"/>
          <w:szCs w:val="28"/>
        </w:rPr>
        <w:t>- </w:t>
      </w:r>
      <w:r w:rsidRPr="000C1864">
        <w:rPr>
          <w:sz w:val="28"/>
          <w:szCs w:val="28"/>
        </w:rPr>
        <w:t>количества полученных разрешений в 20</w:t>
      </w:r>
      <w:r>
        <w:rPr>
          <w:sz w:val="28"/>
          <w:szCs w:val="28"/>
        </w:rPr>
        <w:t>20</w:t>
      </w:r>
      <w:r w:rsidRPr="000C1864">
        <w:rPr>
          <w:sz w:val="28"/>
          <w:szCs w:val="28"/>
        </w:rPr>
        <w:t xml:space="preserve"> году</w:t>
      </w:r>
      <w:r>
        <w:rPr>
          <w:sz w:val="28"/>
          <w:szCs w:val="28"/>
        </w:rPr>
        <w:t xml:space="preserve"> 27 ед.</w:t>
      </w:r>
      <w:r w:rsidRPr="000C1864">
        <w:rPr>
          <w:sz w:val="28"/>
          <w:szCs w:val="28"/>
        </w:rPr>
        <w:t xml:space="preserve"> с учетом среднего темпа роста показателя «Количество полученных разрешений» за 201</w:t>
      </w:r>
      <w:r>
        <w:rPr>
          <w:sz w:val="28"/>
          <w:szCs w:val="28"/>
        </w:rPr>
        <w:t>8</w:t>
      </w:r>
      <w:r w:rsidRPr="000C1864">
        <w:rPr>
          <w:sz w:val="28"/>
          <w:szCs w:val="28"/>
        </w:rPr>
        <w:t>-20</w:t>
      </w:r>
      <w:r>
        <w:rPr>
          <w:sz w:val="28"/>
          <w:szCs w:val="28"/>
        </w:rPr>
        <w:t>20</w:t>
      </w:r>
      <w:r w:rsidRPr="000C1864">
        <w:rPr>
          <w:sz w:val="28"/>
          <w:szCs w:val="28"/>
        </w:rPr>
        <w:t> годы ((7</w:t>
      </w:r>
      <w:r>
        <w:rPr>
          <w:sz w:val="28"/>
          <w:szCs w:val="28"/>
        </w:rPr>
        <w:t>5</w:t>
      </w:r>
      <w:r w:rsidRPr="000C1864">
        <w:rPr>
          <w:sz w:val="28"/>
          <w:szCs w:val="28"/>
        </w:rPr>
        <w:t>,</w:t>
      </w:r>
      <w:r>
        <w:rPr>
          <w:sz w:val="28"/>
          <w:szCs w:val="28"/>
        </w:rPr>
        <w:t>0</w:t>
      </w:r>
      <w:r w:rsidRPr="000C1864">
        <w:rPr>
          <w:sz w:val="28"/>
          <w:szCs w:val="28"/>
        </w:rPr>
        <w:t>%+</w:t>
      </w:r>
      <w:r>
        <w:rPr>
          <w:sz w:val="28"/>
          <w:szCs w:val="28"/>
        </w:rPr>
        <w:t>88,9</w:t>
      </w:r>
      <w:r w:rsidRPr="000C1864">
        <w:rPr>
          <w:sz w:val="28"/>
          <w:szCs w:val="28"/>
        </w:rPr>
        <w:t>%+</w:t>
      </w:r>
      <w:r>
        <w:rPr>
          <w:sz w:val="28"/>
          <w:szCs w:val="28"/>
        </w:rPr>
        <w:t>168,8%</w:t>
      </w:r>
      <w:r w:rsidRPr="000C1864">
        <w:rPr>
          <w:sz w:val="28"/>
          <w:szCs w:val="28"/>
        </w:rPr>
        <w:t>)/3=</w:t>
      </w:r>
      <w:r>
        <w:rPr>
          <w:sz w:val="28"/>
          <w:szCs w:val="28"/>
        </w:rPr>
        <w:t>111</w:t>
      </w:r>
      <w:r w:rsidRPr="000C1864">
        <w:rPr>
          <w:sz w:val="28"/>
          <w:szCs w:val="28"/>
        </w:rPr>
        <w:t>%.). Прогнозируемое количество на 202</w:t>
      </w:r>
      <w:r>
        <w:rPr>
          <w:sz w:val="28"/>
          <w:szCs w:val="28"/>
        </w:rPr>
        <w:t>2</w:t>
      </w:r>
      <w:r w:rsidRPr="000C1864">
        <w:rPr>
          <w:sz w:val="28"/>
          <w:szCs w:val="28"/>
        </w:rPr>
        <w:t>-202</w:t>
      </w:r>
      <w:r>
        <w:rPr>
          <w:sz w:val="28"/>
          <w:szCs w:val="28"/>
        </w:rPr>
        <w:t>4</w:t>
      </w:r>
      <w:r w:rsidRPr="000C1864">
        <w:rPr>
          <w:sz w:val="28"/>
          <w:szCs w:val="28"/>
        </w:rPr>
        <w:t xml:space="preserve"> годы определено на уровне оценки количества разрешений в 202</w:t>
      </w:r>
      <w:r>
        <w:rPr>
          <w:sz w:val="28"/>
          <w:szCs w:val="28"/>
        </w:rPr>
        <w:t>1</w:t>
      </w:r>
      <w:r w:rsidRPr="000C1864">
        <w:rPr>
          <w:sz w:val="28"/>
          <w:szCs w:val="28"/>
        </w:rPr>
        <w:t> году</w:t>
      </w:r>
      <w:r w:rsidRPr="00F61A9A">
        <w:rPr>
          <w:sz w:val="28"/>
          <w:szCs w:val="28"/>
        </w:rPr>
        <w:t>;</w:t>
      </w:r>
    </w:p>
    <w:p w:rsidR="000B4E16" w:rsidRDefault="000B4E16" w:rsidP="000B4E16">
      <w:pPr>
        <w:shd w:val="clear" w:color="auto" w:fill="FFFFFF"/>
        <w:tabs>
          <w:tab w:val="right" w:pos="-3240"/>
        </w:tabs>
        <w:ind w:firstLine="709"/>
        <w:jc w:val="both"/>
        <w:rPr>
          <w:sz w:val="28"/>
          <w:szCs w:val="28"/>
        </w:rPr>
      </w:pPr>
      <w:r w:rsidRPr="005C2A16">
        <w:rPr>
          <w:rFonts w:eastAsia="Calibri"/>
          <w:snapToGrid w:val="0"/>
          <w:szCs w:val="28"/>
        </w:rPr>
        <w:t>- </w:t>
      </w:r>
      <w:r w:rsidRPr="000C1864">
        <w:rPr>
          <w:sz w:val="28"/>
          <w:szCs w:val="28"/>
        </w:rPr>
        <w:t>средних расчётных ставок сбора. Средняя расчетная ставка сбора на 202</w:t>
      </w:r>
      <w:r>
        <w:rPr>
          <w:sz w:val="28"/>
          <w:szCs w:val="28"/>
        </w:rPr>
        <w:t>2</w:t>
      </w:r>
      <w:r w:rsidRPr="000C1864">
        <w:rPr>
          <w:sz w:val="28"/>
          <w:szCs w:val="28"/>
        </w:rPr>
        <w:t>-202</w:t>
      </w:r>
      <w:r>
        <w:rPr>
          <w:sz w:val="28"/>
          <w:szCs w:val="28"/>
        </w:rPr>
        <w:t>4</w:t>
      </w:r>
      <w:r w:rsidRPr="000C1864">
        <w:rPr>
          <w:sz w:val="28"/>
          <w:szCs w:val="28"/>
        </w:rPr>
        <w:t xml:space="preserve"> годы определена как частное от деления суммы сбора, подлежащей уплате в бюджет</w:t>
      </w:r>
      <w:r>
        <w:rPr>
          <w:sz w:val="28"/>
          <w:szCs w:val="28"/>
        </w:rPr>
        <w:t xml:space="preserve"> за 2020 год</w:t>
      </w:r>
      <w:r w:rsidRPr="000C1864">
        <w:rPr>
          <w:sz w:val="28"/>
          <w:szCs w:val="28"/>
        </w:rPr>
        <w:t>, на количество полученных разрешений за 20</w:t>
      </w:r>
      <w:r>
        <w:rPr>
          <w:sz w:val="28"/>
          <w:szCs w:val="28"/>
        </w:rPr>
        <w:t>20</w:t>
      </w:r>
      <w:r w:rsidRPr="000C1864">
        <w:rPr>
          <w:sz w:val="28"/>
          <w:szCs w:val="28"/>
        </w:rPr>
        <w:t xml:space="preserve"> год (</w:t>
      </w:r>
      <w:r>
        <w:rPr>
          <w:sz w:val="28"/>
          <w:szCs w:val="28"/>
        </w:rPr>
        <w:t>10 тыс. руб.</w:t>
      </w:r>
      <w:r w:rsidRPr="000C1864">
        <w:rPr>
          <w:sz w:val="28"/>
          <w:szCs w:val="28"/>
        </w:rPr>
        <w:t>/</w:t>
      </w:r>
      <w:r>
        <w:rPr>
          <w:sz w:val="28"/>
          <w:szCs w:val="28"/>
        </w:rPr>
        <w:t>27</w:t>
      </w:r>
      <w:r w:rsidRPr="000C1864">
        <w:rPr>
          <w:sz w:val="28"/>
          <w:szCs w:val="28"/>
        </w:rPr>
        <w:t xml:space="preserve"> = 0,3</w:t>
      </w:r>
      <w:r>
        <w:rPr>
          <w:sz w:val="28"/>
          <w:szCs w:val="28"/>
        </w:rPr>
        <w:t>7</w:t>
      </w:r>
      <w:r w:rsidRPr="000C1864">
        <w:rPr>
          <w:sz w:val="28"/>
          <w:szCs w:val="28"/>
        </w:rPr>
        <w:t xml:space="preserve"> тыс. рублей/1 разрешение).</w:t>
      </w:r>
    </w:p>
    <w:p w:rsidR="000B4E16" w:rsidRPr="00D16CC0" w:rsidRDefault="000B4E16" w:rsidP="000B4E16">
      <w:pPr>
        <w:shd w:val="clear" w:color="auto" w:fill="FFFFFF"/>
        <w:tabs>
          <w:tab w:val="right" w:pos="-3240"/>
        </w:tabs>
        <w:ind w:firstLine="709"/>
        <w:jc w:val="both"/>
        <w:rPr>
          <w:sz w:val="28"/>
          <w:szCs w:val="28"/>
        </w:rPr>
      </w:pPr>
      <w:r w:rsidRPr="00D16CC0">
        <w:rPr>
          <w:sz w:val="28"/>
          <w:szCs w:val="28"/>
        </w:rPr>
        <w:t>Корректирующая сумма поступлений рассчитана с учетом средней собираемости за 2018-2020 годы</w:t>
      </w:r>
      <w:r>
        <w:rPr>
          <w:sz w:val="28"/>
          <w:szCs w:val="28"/>
        </w:rPr>
        <w:t xml:space="preserve"> 58</w:t>
      </w:r>
      <w:r w:rsidRPr="00D16CC0">
        <w:rPr>
          <w:sz w:val="28"/>
          <w:szCs w:val="28"/>
        </w:rPr>
        <w:t>,6 %.</w:t>
      </w:r>
    </w:p>
    <w:p w:rsidR="000B4E16" w:rsidRPr="000C1864" w:rsidRDefault="000B4E16" w:rsidP="000B4E16">
      <w:pPr>
        <w:shd w:val="clear" w:color="auto" w:fill="FFFFFF"/>
        <w:tabs>
          <w:tab w:val="right" w:pos="-3240"/>
        </w:tabs>
        <w:ind w:firstLine="709"/>
        <w:jc w:val="both"/>
        <w:rPr>
          <w:sz w:val="28"/>
          <w:szCs w:val="28"/>
        </w:rPr>
      </w:pPr>
      <w:r w:rsidRPr="000C1864">
        <w:rPr>
          <w:sz w:val="28"/>
          <w:szCs w:val="28"/>
        </w:rPr>
        <w:t>Оценка поступлений сбора на 202</w:t>
      </w:r>
      <w:r>
        <w:rPr>
          <w:sz w:val="28"/>
          <w:szCs w:val="28"/>
        </w:rPr>
        <w:t>1</w:t>
      </w:r>
      <w:r w:rsidRPr="000C1864">
        <w:rPr>
          <w:sz w:val="28"/>
          <w:szCs w:val="28"/>
        </w:rPr>
        <w:t xml:space="preserve"> год и прогноз на 202</w:t>
      </w:r>
      <w:r>
        <w:rPr>
          <w:sz w:val="28"/>
          <w:szCs w:val="28"/>
        </w:rPr>
        <w:t>2</w:t>
      </w:r>
      <w:r w:rsidRPr="000C1864">
        <w:rPr>
          <w:sz w:val="28"/>
          <w:szCs w:val="28"/>
        </w:rPr>
        <w:t>-202</w:t>
      </w:r>
      <w:r>
        <w:rPr>
          <w:sz w:val="28"/>
          <w:szCs w:val="28"/>
        </w:rPr>
        <w:t>4</w:t>
      </w:r>
      <w:r w:rsidRPr="000C1864">
        <w:rPr>
          <w:sz w:val="28"/>
          <w:szCs w:val="28"/>
        </w:rPr>
        <w:t xml:space="preserve"> годы произведены с учетом норматива зачисления в консолидированный бюджет субъекта Российской Федерации (80%).</w:t>
      </w:r>
    </w:p>
    <w:p w:rsidR="000B4E16" w:rsidRPr="00130B89" w:rsidRDefault="000B4E16" w:rsidP="000B4E16">
      <w:pPr>
        <w:spacing w:before="120" w:after="120"/>
        <w:ind w:firstLine="709"/>
        <w:jc w:val="both"/>
        <w:rPr>
          <w:sz w:val="28"/>
          <w:szCs w:val="28"/>
        </w:rPr>
      </w:pPr>
      <w:r w:rsidRPr="00130B89">
        <w:rPr>
          <w:sz w:val="28"/>
          <w:szCs w:val="28"/>
        </w:rPr>
        <w:t>Оценка поступления сбора на 20</w:t>
      </w:r>
      <w:r>
        <w:rPr>
          <w:sz w:val="28"/>
          <w:szCs w:val="28"/>
        </w:rPr>
        <w:t>21</w:t>
      </w:r>
      <w:r w:rsidRPr="00130B89">
        <w:rPr>
          <w:sz w:val="28"/>
          <w:szCs w:val="28"/>
        </w:rPr>
        <w:t xml:space="preserve"> год составит: </w:t>
      </w:r>
      <w:r>
        <w:rPr>
          <w:sz w:val="28"/>
          <w:szCs w:val="28"/>
        </w:rPr>
        <w:t>27</w:t>
      </w:r>
      <w:r w:rsidRPr="00130B89">
        <w:rPr>
          <w:sz w:val="28"/>
          <w:szCs w:val="28"/>
        </w:rPr>
        <w:t>*</w:t>
      </w:r>
      <w:r>
        <w:rPr>
          <w:sz w:val="28"/>
          <w:szCs w:val="28"/>
        </w:rPr>
        <w:t>111%*</w:t>
      </w:r>
      <w:r w:rsidRPr="00130B89">
        <w:rPr>
          <w:sz w:val="28"/>
          <w:szCs w:val="28"/>
        </w:rPr>
        <w:t>0,</w:t>
      </w:r>
      <w:r>
        <w:rPr>
          <w:sz w:val="28"/>
          <w:szCs w:val="28"/>
        </w:rPr>
        <w:t>37-(27</w:t>
      </w:r>
      <w:r w:rsidRPr="00130B89">
        <w:rPr>
          <w:sz w:val="28"/>
          <w:szCs w:val="28"/>
        </w:rPr>
        <w:t>*</w:t>
      </w:r>
      <w:r>
        <w:rPr>
          <w:sz w:val="28"/>
          <w:szCs w:val="28"/>
        </w:rPr>
        <w:t>111%*</w:t>
      </w:r>
      <w:r w:rsidRPr="00130B89">
        <w:rPr>
          <w:sz w:val="28"/>
          <w:szCs w:val="28"/>
        </w:rPr>
        <w:t>0,</w:t>
      </w:r>
      <w:r>
        <w:rPr>
          <w:sz w:val="28"/>
          <w:szCs w:val="28"/>
        </w:rPr>
        <w:t xml:space="preserve">37*58,6%) </w:t>
      </w:r>
      <w:r w:rsidRPr="00130B89">
        <w:rPr>
          <w:sz w:val="28"/>
          <w:szCs w:val="28"/>
        </w:rPr>
        <w:t xml:space="preserve"> = </w:t>
      </w:r>
      <w:r>
        <w:rPr>
          <w:sz w:val="28"/>
          <w:szCs w:val="28"/>
        </w:rPr>
        <w:t>5,0</w:t>
      </w:r>
      <w:r w:rsidRPr="00130B89">
        <w:rPr>
          <w:sz w:val="28"/>
          <w:szCs w:val="28"/>
        </w:rPr>
        <w:t xml:space="preserve"> тыс. руб.</w:t>
      </w:r>
    </w:p>
    <w:p w:rsidR="000B4E16" w:rsidRPr="00130B89" w:rsidRDefault="000B4E16" w:rsidP="000B4E16">
      <w:pPr>
        <w:spacing w:before="120" w:after="120"/>
        <w:ind w:firstLine="709"/>
        <w:jc w:val="both"/>
        <w:rPr>
          <w:sz w:val="28"/>
          <w:szCs w:val="28"/>
        </w:rPr>
      </w:pPr>
      <w:r w:rsidRPr="00130B89">
        <w:rPr>
          <w:sz w:val="28"/>
          <w:szCs w:val="28"/>
        </w:rPr>
        <w:t>С учетом норматива зачисления в областной бюджет Тверской области (80%), оценка поступления сбора на</w:t>
      </w:r>
      <w:r w:rsidRPr="00130B89">
        <w:rPr>
          <w:b/>
          <w:sz w:val="28"/>
          <w:szCs w:val="28"/>
        </w:rPr>
        <w:t xml:space="preserve"> 20</w:t>
      </w:r>
      <w:r>
        <w:rPr>
          <w:b/>
          <w:sz w:val="28"/>
          <w:szCs w:val="28"/>
        </w:rPr>
        <w:t>21</w:t>
      </w:r>
      <w:r w:rsidRPr="00130B89">
        <w:rPr>
          <w:sz w:val="28"/>
          <w:szCs w:val="28"/>
        </w:rPr>
        <w:t xml:space="preserve"> год составит: </w:t>
      </w:r>
      <w:r>
        <w:rPr>
          <w:sz w:val="28"/>
          <w:szCs w:val="28"/>
        </w:rPr>
        <w:t>5,0</w:t>
      </w:r>
      <w:r w:rsidRPr="00130B89">
        <w:rPr>
          <w:sz w:val="28"/>
          <w:szCs w:val="28"/>
        </w:rPr>
        <w:t xml:space="preserve">*0,8= </w:t>
      </w:r>
      <w:r>
        <w:rPr>
          <w:sz w:val="28"/>
          <w:szCs w:val="28"/>
        </w:rPr>
        <w:t>4</w:t>
      </w:r>
      <w:r w:rsidRPr="00130B89">
        <w:rPr>
          <w:sz w:val="28"/>
          <w:szCs w:val="28"/>
        </w:rPr>
        <w:t xml:space="preserve"> тыс. руб.</w:t>
      </w:r>
      <w:r>
        <w:rPr>
          <w:sz w:val="28"/>
          <w:szCs w:val="28"/>
        </w:rPr>
        <w:t xml:space="preserve"> (с учетом округления).</w:t>
      </w:r>
    </w:p>
    <w:p w:rsidR="000B4E16" w:rsidRPr="00130B89" w:rsidRDefault="000B4E16" w:rsidP="000B4E16">
      <w:pPr>
        <w:pStyle w:val="a7"/>
        <w:ind w:left="0" w:firstLine="709"/>
        <w:jc w:val="both"/>
        <w:rPr>
          <w:sz w:val="28"/>
          <w:szCs w:val="28"/>
        </w:rPr>
      </w:pPr>
      <w:r w:rsidRPr="00130B89">
        <w:rPr>
          <w:sz w:val="28"/>
          <w:szCs w:val="28"/>
        </w:rPr>
        <w:t xml:space="preserve">Прогноз поступления сбора на </w:t>
      </w:r>
      <w:r w:rsidRPr="00130B89">
        <w:rPr>
          <w:b/>
          <w:sz w:val="28"/>
          <w:szCs w:val="28"/>
        </w:rPr>
        <w:t>20</w:t>
      </w:r>
      <w:r>
        <w:rPr>
          <w:b/>
          <w:sz w:val="28"/>
          <w:szCs w:val="28"/>
        </w:rPr>
        <w:t>22</w:t>
      </w:r>
      <w:r w:rsidRPr="00130B89">
        <w:rPr>
          <w:b/>
          <w:sz w:val="28"/>
          <w:szCs w:val="28"/>
        </w:rPr>
        <w:t>-202</w:t>
      </w:r>
      <w:r>
        <w:rPr>
          <w:b/>
          <w:sz w:val="28"/>
          <w:szCs w:val="28"/>
        </w:rPr>
        <w:t>4</w:t>
      </w:r>
      <w:r w:rsidRPr="00130B89">
        <w:rPr>
          <w:sz w:val="28"/>
          <w:szCs w:val="28"/>
        </w:rPr>
        <w:t xml:space="preserve"> годы (с учетом норматива зачисления) составит: </w:t>
      </w:r>
      <w:r>
        <w:rPr>
          <w:sz w:val="28"/>
          <w:szCs w:val="28"/>
        </w:rPr>
        <w:t>27</w:t>
      </w:r>
      <w:r w:rsidRPr="00130B89">
        <w:rPr>
          <w:sz w:val="28"/>
          <w:szCs w:val="28"/>
        </w:rPr>
        <w:t>*</w:t>
      </w:r>
      <w:r>
        <w:rPr>
          <w:sz w:val="28"/>
          <w:szCs w:val="28"/>
        </w:rPr>
        <w:t>111%*</w:t>
      </w:r>
      <w:r w:rsidRPr="00130B89">
        <w:rPr>
          <w:sz w:val="28"/>
          <w:szCs w:val="28"/>
        </w:rPr>
        <w:t>0,</w:t>
      </w:r>
      <w:r>
        <w:rPr>
          <w:sz w:val="28"/>
          <w:szCs w:val="28"/>
        </w:rPr>
        <w:t>37-(27</w:t>
      </w:r>
      <w:r w:rsidRPr="00130B89">
        <w:rPr>
          <w:sz w:val="28"/>
          <w:szCs w:val="28"/>
        </w:rPr>
        <w:t>*</w:t>
      </w:r>
      <w:r>
        <w:rPr>
          <w:sz w:val="28"/>
          <w:szCs w:val="28"/>
        </w:rPr>
        <w:t>111%*</w:t>
      </w:r>
      <w:r w:rsidRPr="00130B89">
        <w:rPr>
          <w:sz w:val="28"/>
          <w:szCs w:val="28"/>
        </w:rPr>
        <w:t>0,</w:t>
      </w:r>
      <w:r>
        <w:rPr>
          <w:sz w:val="28"/>
          <w:szCs w:val="28"/>
        </w:rPr>
        <w:t>37*58,6%)</w:t>
      </w:r>
      <w:r w:rsidRPr="00130B89">
        <w:rPr>
          <w:sz w:val="28"/>
          <w:szCs w:val="28"/>
        </w:rPr>
        <w:t xml:space="preserve">*0,8 </w:t>
      </w:r>
      <w:r>
        <w:rPr>
          <w:sz w:val="28"/>
          <w:szCs w:val="28"/>
        </w:rPr>
        <w:t xml:space="preserve">                                     </w:t>
      </w:r>
      <w:r w:rsidRPr="00130B89">
        <w:rPr>
          <w:sz w:val="28"/>
          <w:szCs w:val="28"/>
        </w:rPr>
        <w:t>=</w:t>
      </w:r>
      <w:r>
        <w:rPr>
          <w:sz w:val="28"/>
          <w:szCs w:val="28"/>
        </w:rPr>
        <w:t xml:space="preserve">  </w:t>
      </w:r>
      <w:r w:rsidRPr="00EA2FCD">
        <w:rPr>
          <w:b/>
          <w:sz w:val="28"/>
          <w:szCs w:val="28"/>
        </w:rPr>
        <w:t>4,0</w:t>
      </w:r>
      <w:r w:rsidRPr="00FC6221">
        <w:rPr>
          <w:b/>
          <w:sz w:val="28"/>
          <w:szCs w:val="28"/>
        </w:rPr>
        <w:t xml:space="preserve"> тыс. рублей</w:t>
      </w:r>
      <w:r w:rsidRPr="00130B89">
        <w:rPr>
          <w:sz w:val="28"/>
          <w:szCs w:val="28"/>
        </w:rPr>
        <w:t>.</w:t>
      </w:r>
    </w:p>
    <w:p w:rsidR="00C72AA2" w:rsidRDefault="00C72AA2" w:rsidP="000B4E16">
      <w:pPr>
        <w:pStyle w:val="21"/>
        <w:ind w:firstLine="0"/>
        <w:rPr>
          <w:color w:val="000000" w:themeColor="text1"/>
        </w:rPr>
      </w:pPr>
    </w:p>
    <w:p w:rsidR="000B4E16" w:rsidRDefault="000B4E16" w:rsidP="006A79A2">
      <w:pPr>
        <w:pStyle w:val="21"/>
        <w:ind w:firstLine="0"/>
        <w:jc w:val="center"/>
        <w:rPr>
          <w:color w:val="000000" w:themeColor="text1"/>
        </w:rPr>
      </w:pPr>
    </w:p>
    <w:p w:rsidR="00450738" w:rsidRPr="00450738" w:rsidRDefault="00450738" w:rsidP="00450738">
      <w:pPr>
        <w:pStyle w:val="21"/>
        <w:jc w:val="center"/>
        <w:rPr>
          <w:color w:val="000000" w:themeColor="text1"/>
        </w:rPr>
      </w:pPr>
      <w:r w:rsidRPr="00450738">
        <w:rPr>
          <w:color w:val="000000" w:themeColor="text1"/>
        </w:rPr>
        <w:t>Государственная пошлина</w:t>
      </w:r>
    </w:p>
    <w:p w:rsidR="00450738" w:rsidRDefault="00450738" w:rsidP="00450738">
      <w:pPr>
        <w:pStyle w:val="21"/>
        <w:jc w:val="center"/>
        <w:rPr>
          <w:color w:val="000000" w:themeColor="text1"/>
        </w:rPr>
      </w:pPr>
      <w:r w:rsidRPr="00450738">
        <w:rPr>
          <w:color w:val="000000" w:themeColor="text1"/>
        </w:rPr>
        <w:t>(000 1 08 00000 00 0000 000)</w:t>
      </w:r>
    </w:p>
    <w:p w:rsidR="0058574E" w:rsidRPr="00450738" w:rsidRDefault="0058574E" w:rsidP="00450738">
      <w:pPr>
        <w:pStyle w:val="21"/>
        <w:jc w:val="center"/>
        <w:rPr>
          <w:color w:val="000000" w:themeColor="text1"/>
        </w:rPr>
      </w:pPr>
    </w:p>
    <w:p w:rsidR="0058574E" w:rsidRDefault="0058574E" w:rsidP="0058574E">
      <w:pPr>
        <w:pStyle w:val="21"/>
        <w:rPr>
          <w:bCs/>
        </w:rPr>
      </w:pPr>
      <w:r w:rsidRPr="006C45AE">
        <w:rPr>
          <w:bCs/>
        </w:rPr>
        <w:t xml:space="preserve">Сумма прогноза государственной пошлины, подлежащей зачислению </w:t>
      </w:r>
      <w:r w:rsidRPr="006C45AE">
        <w:rPr>
          <w:bCs/>
        </w:rPr>
        <w:br/>
        <w:t xml:space="preserve">в областной бюджет Тверской области, определена на основании данных, предоставленных главными администраторами поступлений в бюджет </w:t>
      </w:r>
      <w:r w:rsidRPr="006C45AE">
        <w:rPr>
          <w:bCs/>
        </w:rPr>
        <w:lastRenderedPageBreak/>
        <w:t>государственной пошлины по следующим кодам бюджетной классификации доходов:</w:t>
      </w:r>
    </w:p>
    <w:p w:rsidR="0058574E" w:rsidRPr="000C7712" w:rsidRDefault="0058574E" w:rsidP="0058574E">
      <w:pPr>
        <w:pStyle w:val="21"/>
        <w:ind w:left="709"/>
        <w:jc w:val="right"/>
        <w:rPr>
          <w:color w:val="FF0000"/>
        </w:rPr>
      </w:pPr>
      <w:r w:rsidRPr="006C45AE">
        <w:t xml:space="preserve">                                                                   тыс.</w:t>
      </w:r>
      <w:r>
        <w:t xml:space="preserve"> </w:t>
      </w:r>
      <w:r w:rsidRPr="006C45AE">
        <w:t>руб</w:t>
      </w:r>
      <w:r w:rsidRPr="000C7712">
        <w:rPr>
          <w:color w:val="FF0000"/>
        </w:rPr>
        <w:t>.</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8"/>
        <w:gridCol w:w="1485"/>
        <w:gridCol w:w="1633"/>
        <w:gridCol w:w="1701"/>
      </w:tblGrid>
      <w:tr w:rsidR="0058574E" w:rsidRPr="000C7712" w:rsidTr="00E7317C">
        <w:trPr>
          <w:tblHeader/>
        </w:trPr>
        <w:tc>
          <w:tcPr>
            <w:tcW w:w="5388" w:type="dxa"/>
          </w:tcPr>
          <w:p w:rsidR="0058574E" w:rsidRPr="00FC1551" w:rsidRDefault="0058574E" w:rsidP="00E7317C">
            <w:pPr>
              <w:pStyle w:val="21"/>
              <w:ind w:left="720"/>
              <w:jc w:val="center"/>
              <w:rPr>
                <w:sz w:val="20"/>
                <w:szCs w:val="20"/>
              </w:rPr>
            </w:pPr>
            <w:r w:rsidRPr="00FC1551">
              <w:rPr>
                <w:sz w:val="20"/>
                <w:szCs w:val="20"/>
              </w:rPr>
              <w:t>Наименование</w:t>
            </w:r>
          </w:p>
        </w:tc>
        <w:tc>
          <w:tcPr>
            <w:tcW w:w="1485" w:type="dxa"/>
          </w:tcPr>
          <w:p w:rsidR="0058574E" w:rsidRPr="00FC1551" w:rsidRDefault="0058574E" w:rsidP="00E7317C">
            <w:pPr>
              <w:pStyle w:val="21"/>
              <w:ind w:left="720" w:hanging="720"/>
              <w:jc w:val="center"/>
              <w:rPr>
                <w:sz w:val="20"/>
                <w:szCs w:val="20"/>
              </w:rPr>
            </w:pPr>
            <w:r w:rsidRPr="00FC1551">
              <w:rPr>
                <w:sz w:val="20"/>
                <w:szCs w:val="20"/>
              </w:rPr>
              <w:t>2022 год</w:t>
            </w:r>
          </w:p>
        </w:tc>
        <w:tc>
          <w:tcPr>
            <w:tcW w:w="1633" w:type="dxa"/>
          </w:tcPr>
          <w:p w:rsidR="0058574E" w:rsidRPr="00FC1551" w:rsidRDefault="0058574E" w:rsidP="00E7317C">
            <w:pPr>
              <w:pStyle w:val="21"/>
              <w:ind w:left="720" w:hanging="720"/>
              <w:jc w:val="center"/>
              <w:rPr>
                <w:sz w:val="20"/>
                <w:szCs w:val="20"/>
              </w:rPr>
            </w:pPr>
            <w:r w:rsidRPr="00FC1551">
              <w:rPr>
                <w:sz w:val="20"/>
                <w:szCs w:val="20"/>
              </w:rPr>
              <w:t>2023 год</w:t>
            </w:r>
          </w:p>
        </w:tc>
        <w:tc>
          <w:tcPr>
            <w:tcW w:w="1701" w:type="dxa"/>
          </w:tcPr>
          <w:p w:rsidR="0058574E" w:rsidRPr="00FC1551" w:rsidRDefault="0058574E" w:rsidP="00E7317C">
            <w:pPr>
              <w:pStyle w:val="21"/>
              <w:ind w:left="720" w:hanging="720"/>
              <w:jc w:val="center"/>
              <w:rPr>
                <w:sz w:val="20"/>
                <w:szCs w:val="20"/>
              </w:rPr>
            </w:pPr>
            <w:r w:rsidRPr="00FC1551">
              <w:rPr>
                <w:sz w:val="20"/>
                <w:szCs w:val="20"/>
              </w:rPr>
              <w:t>2024 год</w:t>
            </w:r>
          </w:p>
        </w:tc>
      </w:tr>
      <w:tr w:rsidR="0058574E" w:rsidRPr="000C7712" w:rsidTr="00E7317C">
        <w:tc>
          <w:tcPr>
            <w:tcW w:w="5388" w:type="dxa"/>
          </w:tcPr>
          <w:p w:rsidR="0058574E" w:rsidRPr="00FC1551" w:rsidRDefault="0058574E" w:rsidP="005D6ACF">
            <w:pPr>
              <w:pStyle w:val="21"/>
              <w:numPr>
                <w:ilvl w:val="0"/>
                <w:numId w:val="13"/>
              </w:numPr>
              <w:ind w:left="0" w:firstLine="0"/>
              <w:jc w:val="left"/>
              <w:rPr>
                <w:sz w:val="20"/>
                <w:szCs w:val="20"/>
              </w:rPr>
            </w:pPr>
            <w:r w:rsidRPr="00FC1551">
              <w:rPr>
                <w:sz w:val="20"/>
                <w:szCs w:val="20"/>
              </w:rPr>
              <w:t xml:space="preserve">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 по данным УМВД России по Тверской области </w:t>
            </w:r>
            <w:r w:rsidRPr="00FC1551">
              <w:rPr>
                <w:sz w:val="20"/>
                <w:szCs w:val="20"/>
              </w:rPr>
              <w:br/>
              <w:t>(000 1 08 06000 01 0000 110)</w:t>
            </w:r>
          </w:p>
          <w:p w:rsidR="0058574E" w:rsidRPr="00FC1551" w:rsidRDefault="0058574E" w:rsidP="00E7317C">
            <w:pPr>
              <w:pStyle w:val="21"/>
              <w:ind w:left="31" w:firstLine="0"/>
              <w:jc w:val="left"/>
              <w:rPr>
                <w:sz w:val="20"/>
                <w:szCs w:val="20"/>
              </w:rPr>
            </w:pPr>
          </w:p>
        </w:tc>
        <w:tc>
          <w:tcPr>
            <w:tcW w:w="1485" w:type="dxa"/>
            <w:vAlign w:val="bottom"/>
          </w:tcPr>
          <w:p w:rsidR="0058574E" w:rsidRPr="00FC1551" w:rsidRDefault="0058574E" w:rsidP="00E7317C">
            <w:pPr>
              <w:pStyle w:val="21"/>
              <w:ind w:firstLine="0"/>
              <w:jc w:val="center"/>
              <w:rPr>
                <w:sz w:val="20"/>
                <w:szCs w:val="20"/>
              </w:rPr>
            </w:pPr>
          </w:p>
          <w:p w:rsidR="0058574E" w:rsidRPr="00FC1551" w:rsidRDefault="0058574E" w:rsidP="00E7317C">
            <w:pPr>
              <w:pStyle w:val="21"/>
              <w:ind w:firstLine="0"/>
              <w:jc w:val="center"/>
              <w:rPr>
                <w:sz w:val="20"/>
                <w:szCs w:val="20"/>
              </w:rPr>
            </w:pPr>
          </w:p>
          <w:p w:rsidR="0058574E" w:rsidRPr="00FC1551" w:rsidRDefault="0058574E" w:rsidP="00E7317C">
            <w:pPr>
              <w:pStyle w:val="21"/>
              <w:ind w:firstLine="0"/>
              <w:jc w:val="center"/>
              <w:rPr>
                <w:sz w:val="20"/>
                <w:szCs w:val="20"/>
              </w:rPr>
            </w:pPr>
          </w:p>
          <w:p w:rsidR="0058574E" w:rsidRPr="00FC1551" w:rsidRDefault="0058574E" w:rsidP="00E7317C">
            <w:pPr>
              <w:pStyle w:val="21"/>
              <w:ind w:firstLine="0"/>
              <w:jc w:val="center"/>
              <w:rPr>
                <w:sz w:val="20"/>
                <w:szCs w:val="20"/>
              </w:rPr>
            </w:pPr>
            <w:r w:rsidRPr="00FC1551">
              <w:rPr>
                <w:sz w:val="20"/>
                <w:szCs w:val="20"/>
              </w:rPr>
              <w:t>6 575,5</w:t>
            </w:r>
          </w:p>
          <w:p w:rsidR="0058574E" w:rsidRPr="00FC1551" w:rsidRDefault="0058574E" w:rsidP="00E7317C">
            <w:pPr>
              <w:pStyle w:val="21"/>
              <w:ind w:firstLine="0"/>
              <w:jc w:val="center"/>
              <w:rPr>
                <w:sz w:val="20"/>
                <w:szCs w:val="20"/>
              </w:rPr>
            </w:pPr>
          </w:p>
        </w:tc>
        <w:tc>
          <w:tcPr>
            <w:tcW w:w="1633" w:type="dxa"/>
            <w:vAlign w:val="bottom"/>
          </w:tcPr>
          <w:p w:rsidR="0058574E" w:rsidRPr="00FC1551" w:rsidRDefault="0058574E" w:rsidP="00E7317C">
            <w:pPr>
              <w:pStyle w:val="21"/>
              <w:ind w:firstLine="0"/>
              <w:jc w:val="center"/>
              <w:rPr>
                <w:sz w:val="20"/>
                <w:szCs w:val="20"/>
              </w:rPr>
            </w:pPr>
          </w:p>
          <w:p w:rsidR="0058574E" w:rsidRPr="00FC1551" w:rsidRDefault="0058574E" w:rsidP="00E7317C">
            <w:pPr>
              <w:pStyle w:val="21"/>
              <w:ind w:firstLine="0"/>
              <w:jc w:val="center"/>
              <w:rPr>
                <w:sz w:val="20"/>
                <w:szCs w:val="20"/>
              </w:rPr>
            </w:pPr>
          </w:p>
          <w:p w:rsidR="0058574E" w:rsidRPr="00FC1551" w:rsidRDefault="0058574E" w:rsidP="00E7317C">
            <w:pPr>
              <w:pStyle w:val="21"/>
              <w:ind w:firstLine="0"/>
              <w:jc w:val="center"/>
              <w:rPr>
                <w:sz w:val="20"/>
                <w:szCs w:val="20"/>
              </w:rPr>
            </w:pPr>
          </w:p>
          <w:p w:rsidR="0058574E" w:rsidRPr="00FC1551" w:rsidRDefault="0058574E" w:rsidP="00E7317C">
            <w:pPr>
              <w:pStyle w:val="21"/>
              <w:ind w:firstLine="0"/>
              <w:jc w:val="center"/>
              <w:rPr>
                <w:sz w:val="20"/>
                <w:szCs w:val="20"/>
              </w:rPr>
            </w:pPr>
          </w:p>
          <w:p w:rsidR="0058574E" w:rsidRPr="00FC1551" w:rsidRDefault="0058574E" w:rsidP="00E7317C">
            <w:pPr>
              <w:pStyle w:val="21"/>
              <w:ind w:firstLine="0"/>
              <w:jc w:val="center"/>
              <w:rPr>
                <w:sz w:val="20"/>
                <w:szCs w:val="20"/>
              </w:rPr>
            </w:pPr>
            <w:r w:rsidRPr="00FC1551">
              <w:rPr>
                <w:sz w:val="20"/>
                <w:szCs w:val="20"/>
              </w:rPr>
              <w:t>5 763,1</w:t>
            </w:r>
          </w:p>
          <w:p w:rsidR="0058574E" w:rsidRPr="00FC1551" w:rsidRDefault="0058574E" w:rsidP="00E7317C">
            <w:pPr>
              <w:pStyle w:val="21"/>
              <w:ind w:left="180" w:firstLine="0"/>
              <w:jc w:val="center"/>
              <w:rPr>
                <w:sz w:val="20"/>
                <w:szCs w:val="20"/>
              </w:rPr>
            </w:pPr>
          </w:p>
        </w:tc>
        <w:tc>
          <w:tcPr>
            <w:tcW w:w="1701" w:type="dxa"/>
            <w:vAlign w:val="bottom"/>
          </w:tcPr>
          <w:p w:rsidR="0058574E" w:rsidRPr="00FC1551" w:rsidRDefault="0058574E" w:rsidP="00E7317C">
            <w:pPr>
              <w:pStyle w:val="21"/>
              <w:ind w:firstLine="0"/>
              <w:jc w:val="center"/>
              <w:rPr>
                <w:sz w:val="20"/>
                <w:szCs w:val="20"/>
              </w:rPr>
            </w:pPr>
          </w:p>
          <w:p w:rsidR="0058574E" w:rsidRPr="00FC1551" w:rsidRDefault="0058574E" w:rsidP="00E7317C">
            <w:pPr>
              <w:pStyle w:val="21"/>
              <w:ind w:firstLine="0"/>
              <w:jc w:val="center"/>
              <w:rPr>
                <w:sz w:val="20"/>
                <w:szCs w:val="20"/>
              </w:rPr>
            </w:pPr>
          </w:p>
          <w:p w:rsidR="0058574E" w:rsidRPr="00FC1551" w:rsidRDefault="0058574E" w:rsidP="00E7317C">
            <w:pPr>
              <w:pStyle w:val="21"/>
              <w:ind w:firstLine="0"/>
              <w:jc w:val="center"/>
              <w:rPr>
                <w:sz w:val="20"/>
                <w:szCs w:val="20"/>
              </w:rPr>
            </w:pPr>
          </w:p>
          <w:p w:rsidR="0058574E" w:rsidRPr="00FC1551" w:rsidRDefault="0058574E" w:rsidP="00E7317C">
            <w:pPr>
              <w:pStyle w:val="21"/>
              <w:ind w:firstLine="0"/>
              <w:jc w:val="center"/>
              <w:rPr>
                <w:sz w:val="20"/>
                <w:szCs w:val="20"/>
              </w:rPr>
            </w:pPr>
          </w:p>
          <w:p w:rsidR="0058574E" w:rsidRPr="00FC1551" w:rsidRDefault="0058574E" w:rsidP="00E7317C">
            <w:pPr>
              <w:pStyle w:val="21"/>
              <w:ind w:firstLine="0"/>
              <w:jc w:val="center"/>
              <w:rPr>
                <w:sz w:val="20"/>
                <w:szCs w:val="20"/>
              </w:rPr>
            </w:pPr>
            <w:r w:rsidRPr="00FC1551">
              <w:rPr>
                <w:sz w:val="20"/>
                <w:szCs w:val="20"/>
              </w:rPr>
              <w:t>6 532,3</w:t>
            </w:r>
          </w:p>
          <w:p w:rsidR="0058574E" w:rsidRPr="00FC1551" w:rsidRDefault="0058574E" w:rsidP="00E7317C">
            <w:pPr>
              <w:pStyle w:val="21"/>
              <w:ind w:left="180" w:firstLine="0"/>
              <w:jc w:val="center"/>
              <w:rPr>
                <w:sz w:val="20"/>
                <w:szCs w:val="20"/>
              </w:rPr>
            </w:pPr>
          </w:p>
        </w:tc>
      </w:tr>
      <w:tr w:rsidR="0058574E" w:rsidRPr="000C7712" w:rsidTr="00E7317C">
        <w:tc>
          <w:tcPr>
            <w:tcW w:w="5388" w:type="dxa"/>
          </w:tcPr>
          <w:p w:rsidR="0058574E" w:rsidRPr="00FC1551" w:rsidRDefault="0058574E" w:rsidP="00E7317C">
            <w:pPr>
              <w:pStyle w:val="21"/>
              <w:ind w:firstLine="0"/>
              <w:jc w:val="left"/>
              <w:rPr>
                <w:sz w:val="20"/>
                <w:szCs w:val="20"/>
              </w:rPr>
            </w:pPr>
            <w:r w:rsidRPr="00FC1551">
              <w:rPr>
                <w:sz w:val="20"/>
                <w:szCs w:val="20"/>
              </w:rPr>
              <w:t>2.  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 по данным УФНС России по Тверской области</w:t>
            </w:r>
          </w:p>
          <w:p w:rsidR="0058574E" w:rsidRPr="00FC1551" w:rsidRDefault="0058574E" w:rsidP="00E7317C">
            <w:pPr>
              <w:pStyle w:val="21"/>
              <w:ind w:firstLine="0"/>
              <w:jc w:val="left"/>
              <w:rPr>
                <w:sz w:val="20"/>
                <w:szCs w:val="20"/>
              </w:rPr>
            </w:pPr>
            <w:r w:rsidRPr="00FC1551">
              <w:rPr>
                <w:sz w:val="20"/>
                <w:szCs w:val="20"/>
              </w:rPr>
              <w:t>(000 1 08 07010 01 0000 110)</w:t>
            </w:r>
          </w:p>
        </w:tc>
        <w:tc>
          <w:tcPr>
            <w:tcW w:w="1485" w:type="dxa"/>
          </w:tcPr>
          <w:p w:rsidR="0058574E" w:rsidRPr="00FC1551" w:rsidRDefault="0058574E" w:rsidP="00E7317C">
            <w:pPr>
              <w:pStyle w:val="21"/>
              <w:ind w:left="180" w:firstLine="0"/>
              <w:jc w:val="center"/>
              <w:rPr>
                <w:sz w:val="20"/>
                <w:szCs w:val="20"/>
              </w:rPr>
            </w:pPr>
          </w:p>
          <w:p w:rsidR="0058574E" w:rsidRPr="00FC1551" w:rsidRDefault="0058574E" w:rsidP="00E7317C">
            <w:pPr>
              <w:pStyle w:val="21"/>
              <w:ind w:left="180" w:firstLine="0"/>
              <w:jc w:val="center"/>
              <w:rPr>
                <w:sz w:val="20"/>
                <w:szCs w:val="20"/>
              </w:rPr>
            </w:pPr>
          </w:p>
          <w:p w:rsidR="0058574E" w:rsidRPr="00FC1551" w:rsidRDefault="0058574E" w:rsidP="00E7317C">
            <w:pPr>
              <w:pStyle w:val="21"/>
              <w:ind w:left="180" w:firstLine="0"/>
              <w:jc w:val="center"/>
              <w:rPr>
                <w:sz w:val="20"/>
                <w:szCs w:val="20"/>
              </w:rPr>
            </w:pPr>
          </w:p>
          <w:p w:rsidR="0058574E" w:rsidRPr="00FC1551" w:rsidRDefault="0058574E" w:rsidP="00E7317C">
            <w:pPr>
              <w:pStyle w:val="21"/>
              <w:ind w:left="180" w:firstLine="0"/>
              <w:jc w:val="center"/>
              <w:rPr>
                <w:sz w:val="20"/>
                <w:szCs w:val="20"/>
              </w:rPr>
            </w:pPr>
          </w:p>
          <w:p w:rsidR="0058574E" w:rsidRPr="00FC1551" w:rsidRDefault="0058574E" w:rsidP="00E7317C">
            <w:pPr>
              <w:pStyle w:val="21"/>
              <w:ind w:left="180" w:firstLine="0"/>
              <w:jc w:val="center"/>
              <w:rPr>
                <w:sz w:val="20"/>
                <w:szCs w:val="20"/>
              </w:rPr>
            </w:pPr>
          </w:p>
          <w:p w:rsidR="0058574E" w:rsidRPr="00FC1551" w:rsidRDefault="0058574E" w:rsidP="00E7317C">
            <w:pPr>
              <w:pStyle w:val="21"/>
              <w:ind w:left="180" w:firstLine="0"/>
              <w:jc w:val="center"/>
              <w:rPr>
                <w:sz w:val="20"/>
                <w:szCs w:val="20"/>
              </w:rPr>
            </w:pPr>
          </w:p>
          <w:p w:rsidR="0058574E" w:rsidRPr="00FC1551" w:rsidRDefault="0058574E" w:rsidP="00E7317C">
            <w:pPr>
              <w:pStyle w:val="21"/>
              <w:ind w:left="180" w:firstLine="0"/>
              <w:jc w:val="center"/>
              <w:rPr>
                <w:sz w:val="20"/>
                <w:szCs w:val="20"/>
              </w:rPr>
            </w:pPr>
            <w:r w:rsidRPr="00FC1551">
              <w:rPr>
                <w:sz w:val="20"/>
                <w:szCs w:val="20"/>
              </w:rPr>
              <w:t>0,0</w:t>
            </w:r>
          </w:p>
          <w:p w:rsidR="0058574E" w:rsidRDefault="0058574E" w:rsidP="00E7317C">
            <w:pPr>
              <w:pStyle w:val="21"/>
              <w:ind w:left="180" w:firstLine="0"/>
              <w:jc w:val="center"/>
              <w:rPr>
                <w:sz w:val="20"/>
                <w:szCs w:val="20"/>
              </w:rPr>
            </w:pPr>
          </w:p>
          <w:p w:rsidR="0058574E" w:rsidRPr="00FC1551" w:rsidRDefault="0058574E" w:rsidP="00E7317C">
            <w:pPr>
              <w:pStyle w:val="21"/>
              <w:ind w:left="180" w:firstLine="0"/>
              <w:jc w:val="center"/>
              <w:rPr>
                <w:sz w:val="20"/>
                <w:szCs w:val="20"/>
              </w:rPr>
            </w:pPr>
          </w:p>
        </w:tc>
        <w:tc>
          <w:tcPr>
            <w:tcW w:w="1633" w:type="dxa"/>
          </w:tcPr>
          <w:p w:rsidR="0058574E" w:rsidRPr="00FC1551" w:rsidRDefault="0058574E" w:rsidP="00E7317C">
            <w:pPr>
              <w:pStyle w:val="21"/>
              <w:ind w:left="180" w:firstLine="0"/>
              <w:jc w:val="center"/>
              <w:rPr>
                <w:sz w:val="20"/>
                <w:szCs w:val="20"/>
              </w:rPr>
            </w:pPr>
          </w:p>
          <w:p w:rsidR="0058574E" w:rsidRPr="00FC1551" w:rsidRDefault="0058574E" w:rsidP="00E7317C">
            <w:pPr>
              <w:pStyle w:val="21"/>
              <w:ind w:left="180" w:firstLine="0"/>
              <w:jc w:val="center"/>
              <w:rPr>
                <w:sz w:val="20"/>
                <w:szCs w:val="20"/>
              </w:rPr>
            </w:pPr>
          </w:p>
          <w:p w:rsidR="0058574E" w:rsidRPr="00FC1551" w:rsidRDefault="0058574E" w:rsidP="00E7317C">
            <w:pPr>
              <w:pStyle w:val="21"/>
              <w:ind w:left="180" w:firstLine="0"/>
              <w:jc w:val="center"/>
              <w:rPr>
                <w:sz w:val="20"/>
                <w:szCs w:val="20"/>
              </w:rPr>
            </w:pPr>
          </w:p>
          <w:p w:rsidR="0058574E" w:rsidRPr="00FC1551" w:rsidRDefault="0058574E" w:rsidP="00E7317C">
            <w:pPr>
              <w:pStyle w:val="21"/>
              <w:ind w:left="180" w:firstLine="0"/>
              <w:jc w:val="center"/>
              <w:rPr>
                <w:sz w:val="20"/>
                <w:szCs w:val="20"/>
              </w:rPr>
            </w:pPr>
          </w:p>
          <w:p w:rsidR="0058574E" w:rsidRPr="00FC1551" w:rsidRDefault="0058574E" w:rsidP="00E7317C">
            <w:pPr>
              <w:pStyle w:val="21"/>
              <w:ind w:left="180" w:firstLine="0"/>
              <w:jc w:val="center"/>
              <w:rPr>
                <w:sz w:val="20"/>
                <w:szCs w:val="20"/>
              </w:rPr>
            </w:pPr>
          </w:p>
          <w:p w:rsidR="0058574E" w:rsidRPr="00FC1551" w:rsidRDefault="0058574E" w:rsidP="00E7317C">
            <w:pPr>
              <w:pStyle w:val="21"/>
              <w:ind w:left="180" w:firstLine="0"/>
              <w:jc w:val="center"/>
              <w:rPr>
                <w:sz w:val="20"/>
                <w:szCs w:val="20"/>
              </w:rPr>
            </w:pPr>
          </w:p>
          <w:p w:rsidR="0058574E" w:rsidRPr="00FC1551" w:rsidRDefault="0058574E" w:rsidP="00E7317C">
            <w:pPr>
              <w:pStyle w:val="21"/>
              <w:ind w:left="180" w:firstLine="0"/>
              <w:jc w:val="center"/>
              <w:rPr>
                <w:sz w:val="20"/>
                <w:szCs w:val="20"/>
              </w:rPr>
            </w:pPr>
            <w:r w:rsidRPr="00FC1551">
              <w:rPr>
                <w:sz w:val="20"/>
                <w:szCs w:val="20"/>
              </w:rPr>
              <w:t>0,0</w:t>
            </w:r>
          </w:p>
        </w:tc>
        <w:tc>
          <w:tcPr>
            <w:tcW w:w="1701" w:type="dxa"/>
          </w:tcPr>
          <w:p w:rsidR="0058574E" w:rsidRPr="00FC1551" w:rsidRDefault="0058574E" w:rsidP="00E7317C">
            <w:pPr>
              <w:pStyle w:val="21"/>
              <w:ind w:left="180" w:firstLine="0"/>
              <w:jc w:val="center"/>
              <w:rPr>
                <w:sz w:val="20"/>
                <w:szCs w:val="20"/>
              </w:rPr>
            </w:pPr>
          </w:p>
          <w:p w:rsidR="0058574E" w:rsidRPr="00FC1551" w:rsidRDefault="0058574E" w:rsidP="00E7317C">
            <w:pPr>
              <w:pStyle w:val="21"/>
              <w:ind w:left="180" w:firstLine="0"/>
              <w:jc w:val="center"/>
              <w:rPr>
                <w:sz w:val="20"/>
                <w:szCs w:val="20"/>
              </w:rPr>
            </w:pPr>
          </w:p>
          <w:p w:rsidR="0058574E" w:rsidRPr="00FC1551" w:rsidRDefault="0058574E" w:rsidP="00E7317C">
            <w:pPr>
              <w:pStyle w:val="21"/>
              <w:ind w:left="180" w:firstLine="0"/>
              <w:jc w:val="center"/>
              <w:rPr>
                <w:sz w:val="20"/>
                <w:szCs w:val="20"/>
              </w:rPr>
            </w:pPr>
          </w:p>
          <w:p w:rsidR="0058574E" w:rsidRPr="00FC1551" w:rsidRDefault="0058574E" w:rsidP="00E7317C">
            <w:pPr>
              <w:pStyle w:val="21"/>
              <w:ind w:left="180" w:firstLine="0"/>
              <w:jc w:val="center"/>
              <w:rPr>
                <w:sz w:val="20"/>
                <w:szCs w:val="20"/>
              </w:rPr>
            </w:pPr>
          </w:p>
          <w:p w:rsidR="0058574E" w:rsidRPr="00FC1551" w:rsidRDefault="0058574E" w:rsidP="00E7317C">
            <w:pPr>
              <w:pStyle w:val="21"/>
              <w:ind w:left="180" w:firstLine="0"/>
              <w:jc w:val="center"/>
              <w:rPr>
                <w:sz w:val="20"/>
                <w:szCs w:val="20"/>
              </w:rPr>
            </w:pPr>
          </w:p>
          <w:p w:rsidR="0058574E" w:rsidRPr="00FC1551" w:rsidRDefault="0058574E" w:rsidP="00E7317C">
            <w:pPr>
              <w:pStyle w:val="21"/>
              <w:ind w:left="180" w:firstLine="0"/>
              <w:jc w:val="center"/>
              <w:rPr>
                <w:sz w:val="20"/>
                <w:szCs w:val="20"/>
              </w:rPr>
            </w:pPr>
          </w:p>
          <w:p w:rsidR="0058574E" w:rsidRPr="00FC1551" w:rsidRDefault="0058574E" w:rsidP="00E7317C">
            <w:pPr>
              <w:pStyle w:val="21"/>
              <w:ind w:left="180" w:firstLine="0"/>
              <w:jc w:val="center"/>
              <w:rPr>
                <w:sz w:val="20"/>
                <w:szCs w:val="20"/>
              </w:rPr>
            </w:pPr>
            <w:r w:rsidRPr="00FC1551">
              <w:rPr>
                <w:sz w:val="20"/>
                <w:szCs w:val="20"/>
              </w:rPr>
              <w:t>0,0</w:t>
            </w:r>
          </w:p>
        </w:tc>
      </w:tr>
      <w:tr w:rsidR="0058574E" w:rsidRPr="000C7712" w:rsidTr="00E7317C">
        <w:tc>
          <w:tcPr>
            <w:tcW w:w="5388" w:type="dxa"/>
          </w:tcPr>
          <w:p w:rsidR="0058574E" w:rsidRPr="00FC1551" w:rsidRDefault="0058574E" w:rsidP="00E7317C">
            <w:pPr>
              <w:pStyle w:val="21"/>
              <w:ind w:firstLine="0"/>
              <w:jc w:val="left"/>
              <w:rPr>
                <w:sz w:val="20"/>
                <w:szCs w:val="20"/>
              </w:rPr>
            </w:pPr>
            <w:r w:rsidRPr="00FC1551">
              <w:rPr>
                <w:sz w:val="20"/>
                <w:szCs w:val="20"/>
              </w:rPr>
              <w:t>3. Государственная пошлина за государственную регистрацию прав, ограничений (обременений) прав на недвижимое имущество и сделок с ним – по данным Управления Федеральной службы государственной регистрации, кадастра и картографии по Тверской области (000 1 08 07020 01 0000 110)</w:t>
            </w:r>
          </w:p>
        </w:tc>
        <w:tc>
          <w:tcPr>
            <w:tcW w:w="1485" w:type="dxa"/>
            <w:vAlign w:val="center"/>
          </w:tcPr>
          <w:p w:rsidR="0058574E" w:rsidRPr="00FC1551" w:rsidRDefault="0058574E" w:rsidP="00E7317C">
            <w:pPr>
              <w:jc w:val="center"/>
              <w:rPr>
                <w:sz w:val="20"/>
                <w:szCs w:val="20"/>
              </w:rPr>
            </w:pPr>
          </w:p>
          <w:p w:rsidR="0058574E" w:rsidRPr="00FC1551" w:rsidRDefault="0058574E" w:rsidP="00E7317C">
            <w:pPr>
              <w:jc w:val="center"/>
              <w:rPr>
                <w:sz w:val="20"/>
                <w:szCs w:val="20"/>
              </w:rPr>
            </w:pPr>
          </w:p>
          <w:p w:rsidR="0058574E" w:rsidRPr="00FC1551" w:rsidRDefault="0058574E" w:rsidP="00E7317C">
            <w:pPr>
              <w:jc w:val="center"/>
              <w:rPr>
                <w:sz w:val="20"/>
                <w:szCs w:val="20"/>
              </w:rPr>
            </w:pPr>
          </w:p>
          <w:p w:rsidR="0058574E" w:rsidRPr="00FC1551" w:rsidRDefault="0058574E" w:rsidP="00E7317C">
            <w:pPr>
              <w:jc w:val="center"/>
              <w:rPr>
                <w:sz w:val="20"/>
                <w:szCs w:val="20"/>
              </w:rPr>
            </w:pPr>
          </w:p>
          <w:p w:rsidR="0058574E" w:rsidRPr="00FC1551" w:rsidRDefault="0058574E" w:rsidP="00E7317C">
            <w:pPr>
              <w:jc w:val="center"/>
              <w:rPr>
                <w:sz w:val="20"/>
                <w:szCs w:val="20"/>
              </w:rPr>
            </w:pPr>
          </w:p>
          <w:p w:rsidR="0058574E" w:rsidRPr="00FC1551" w:rsidRDefault="0058574E" w:rsidP="00E7317C">
            <w:pPr>
              <w:jc w:val="center"/>
              <w:rPr>
                <w:sz w:val="20"/>
                <w:szCs w:val="20"/>
              </w:rPr>
            </w:pPr>
            <w:r w:rsidRPr="00FC1551">
              <w:rPr>
                <w:sz w:val="20"/>
                <w:szCs w:val="20"/>
              </w:rPr>
              <w:t>124 800,8</w:t>
            </w:r>
          </w:p>
          <w:p w:rsidR="0058574E" w:rsidRPr="00FC1551" w:rsidRDefault="0058574E" w:rsidP="00E7317C">
            <w:pPr>
              <w:jc w:val="center"/>
              <w:rPr>
                <w:sz w:val="20"/>
                <w:szCs w:val="20"/>
              </w:rPr>
            </w:pPr>
          </w:p>
        </w:tc>
        <w:tc>
          <w:tcPr>
            <w:tcW w:w="1633" w:type="dxa"/>
            <w:vAlign w:val="center"/>
          </w:tcPr>
          <w:p w:rsidR="0058574E" w:rsidRPr="00FC1551" w:rsidRDefault="0058574E" w:rsidP="00E7317C">
            <w:pPr>
              <w:pStyle w:val="21"/>
              <w:ind w:left="180" w:firstLine="0"/>
              <w:jc w:val="center"/>
              <w:rPr>
                <w:sz w:val="20"/>
                <w:szCs w:val="20"/>
              </w:rPr>
            </w:pPr>
          </w:p>
          <w:p w:rsidR="0058574E" w:rsidRPr="00FC1551" w:rsidRDefault="0058574E" w:rsidP="00E7317C">
            <w:pPr>
              <w:pStyle w:val="21"/>
              <w:ind w:left="180" w:firstLine="0"/>
              <w:jc w:val="center"/>
              <w:rPr>
                <w:sz w:val="20"/>
                <w:szCs w:val="20"/>
              </w:rPr>
            </w:pPr>
          </w:p>
          <w:p w:rsidR="0058574E" w:rsidRPr="00FC1551" w:rsidRDefault="0058574E" w:rsidP="00E7317C">
            <w:pPr>
              <w:pStyle w:val="21"/>
              <w:ind w:left="180" w:firstLine="0"/>
              <w:jc w:val="center"/>
              <w:rPr>
                <w:sz w:val="20"/>
                <w:szCs w:val="20"/>
              </w:rPr>
            </w:pPr>
          </w:p>
          <w:p w:rsidR="0058574E" w:rsidRPr="00FC1551" w:rsidRDefault="0058574E" w:rsidP="00E7317C">
            <w:pPr>
              <w:pStyle w:val="21"/>
              <w:ind w:left="180" w:firstLine="0"/>
              <w:jc w:val="center"/>
              <w:rPr>
                <w:sz w:val="20"/>
                <w:szCs w:val="20"/>
              </w:rPr>
            </w:pPr>
          </w:p>
          <w:p w:rsidR="0058574E" w:rsidRPr="00FC1551" w:rsidRDefault="0058574E" w:rsidP="00E7317C">
            <w:pPr>
              <w:pStyle w:val="21"/>
              <w:ind w:left="180" w:firstLine="0"/>
              <w:jc w:val="center"/>
              <w:rPr>
                <w:sz w:val="20"/>
                <w:szCs w:val="20"/>
              </w:rPr>
            </w:pPr>
            <w:r w:rsidRPr="00FC1551">
              <w:rPr>
                <w:sz w:val="20"/>
                <w:szCs w:val="20"/>
              </w:rPr>
              <w:t>124 805,8</w:t>
            </w:r>
          </w:p>
        </w:tc>
        <w:tc>
          <w:tcPr>
            <w:tcW w:w="1701" w:type="dxa"/>
            <w:vAlign w:val="center"/>
          </w:tcPr>
          <w:p w:rsidR="0058574E" w:rsidRPr="00FC1551" w:rsidRDefault="0058574E" w:rsidP="00E7317C">
            <w:pPr>
              <w:pStyle w:val="21"/>
              <w:ind w:left="180" w:firstLine="0"/>
              <w:jc w:val="center"/>
              <w:rPr>
                <w:sz w:val="20"/>
                <w:szCs w:val="20"/>
              </w:rPr>
            </w:pPr>
          </w:p>
          <w:p w:rsidR="0058574E" w:rsidRPr="00FC1551" w:rsidRDefault="0058574E" w:rsidP="00E7317C">
            <w:pPr>
              <w:pStyle w:val="21"/>
              <w:ind w:left="180" w:firstLine="0"/>
              <w:jc w:val="center"/>
              <w:rPr>
                <w:sz w:val="20"/>
                <w:szCs w:val="20"/>
              </w:rPr>
            </w:pPr>
          </w:p>
          <w:p w:rsidR="0058574E" w:rsidRPr="00FC1551" w:rsidRDefault="0058574E" w:rsidP="00E7317C">
            <w:pPr>
              <w:pStyle w:val="21"/>
              <w:ind w:left="180" w:firstLine="0"/>
              <w:jc w:val="center"/>
              <w:rPr>
                <w:sz w:val="20"/>
                <w:szCs w:val="20"/>
              </w:rPr>
            </w:pPr>
          </w:p>
          <w:p w:rsidR="0058574E" w:rsidRPr="00FC1551" w:rsidRDefault="0058574E" w:rsidP="00E7317C">
            <w:pPr>
              <w:pStyle w:val="21"/>
              <w:ind w:left="180" w:firstLine="0"/>
              <w:jc w:val="center"/>
              <w:rPr>
                <w:sz w:val="20"/>
                <w:szCs w:val="20"/>
              </w:rPr>
            </w:pPr>
          </w:p>
          <w:p w:rsidR="0058574E" w:rsidRPr="00FC1551" w:rsidRDefault="0058574E" w:rsidP="00E7317C">
            <w:pPr>
              <w:pStyle w:val="21"/>
              <w:ind w:left="180" w:firstLine="0"/>
              <w:jc w:val="center"/>
              <w:rPr>
                <w:sz w:val="20"/>
                <w:szCs w:val="20"/>
              </w:rPr>
            </w:pPr>
            <w:r w:rsidRPr="00FC1551">
              <w:rPr>
                <w:sz w:val="20"/>
                <w:szCs w:val="20"/>
              </w:rPr>
              <w:t>124 803,8</w:t>
            </w:r>
          </w:p>
        </w:tc>
      </w:tr>
      <w:tr w:rsidR="0058574E" w:rsidRPr="000C7712" w:rsidTr="00E7317C">
        <w:trPr>
          <w:trHeight w:val="2815"/>
        </w:trPr>
        <w:tc>
          <w:tcPr>
            <w:tcW w:w="5388" w:type="dxa"/>
          </w:tcPr>
          <w:p w:rsidR="0058574E" w:rsidRPr="0010257C" w:rsidRDefault="0058574E" w:rsidP="00E7317C">
            <w:pPr>
              <w:pStyle w:val="21"/>
              <w:ind w:firstLine="0"/>
              <w:rPr>
                <w:sz w:val="20"/>
                <w:szCs w:val="20"/>
              </w:rPr>
            </w:pPr>
            <w:r w:rsidRPr="0010257C">
              <w:rPr>
                <w:sz w:val="20"/>
                <w:szCs w:val="20"/>
              </w:rPr>
              <w:t xml:space="preserve">4. 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 (000 1 08 07082 01 0000 110) - всего, </w:t>
            </w:r>
          </w:p>
          <w:p w:rsidR="0058574E" w:rsidRPr="0010257C" w:rsidRDefault="0058574E" w:rsidP="00E7317C">
            <w:pPr>
              <w:pStyle w:val="21"/>
              <w:ind w:left="180" w:hanging="180"/>
              <w:rPr>
                <w:sz w:val="20"/>
                <w:szCs w:val="20"/>
              </w:rPr>
            </w:pPr>
            <w:r w:rsidRPr="0010257C">
              <w:rPr>
                <w:sz w:val="20"/>
                <w:szCs w:val="20"/>
              </w:rPr>
              <w:t>в том числе:</w:t>
            </w:r>
          </w:p>
          <w:p w:rsidR="0058574E" w:rsidRPr="0010257C" w:rsidRDefault="0058574E" w:rsidP="00E7317C">
            <w:pPr>
              <w:pStyle w:val="21"/>
              <w:ind w:left="180" w:hanging="180"/>
              <w:rPr>
                <w:sz w:val="20"/>
                <w:szCs w:val="20"/>
              </w:rPr>
            </w:pPr>
            <w:r w:rsidRPr="0010257C">
              <w:rPr>
                <w:sz w:val="20"/>
                <w:szCs w:val="20"/>
              </w:rPr>
              <w:t>- по данным Министерства Тверской области по обеспечению контрольных функций</w:t>
            </w:r>
          </w:p>
          <w:p w:rsidR="0058574E" w:rsidRPr="0010257C" w:rsidRDefault="0058574E" w:rsidP="00E7317C">
            <w:pPr>
              <w:pStyle w:val="21"/>
              <w:ind w:left="180" w:hanging="180"/>
              <w:rPr>
                <w:sz w:val="20"/>
                <w:szCs w:val="20"/>
              </w:rPr>
            </w:pPr>
            <w:r w:rsidRPr="0010257C">
              <w:rPr>
                <w:sz w:val="20"/>
                <w:szCs w:val="20"/>
              </w:rPr>
              <w:t>- по данным Министерства природных ресурсов и экологии Тверской области</w:t>
            </w:r>
          </w:p>
          <w:p w:rsidR="0058574E" w:rsidRPr="0010257C" w:rsidRDefault="0058574E" w:rsidP="00E7317C">
            <w:pPr>
              <w:pStyle w:val="21"/>
              <w:ind w:left="180" w:hanging="180"/>
              <w:rPr>
                <w:sz w:val="20"/>
                <w:szCs w:val="20"/>
              </w:rPr>
            </w:pPr>
            <w:r w:rsidRPr="0010257C">
              <w:rPr>
                <w:sz w:val="20"/>
                <w:szCs w:val="20"/>
              </w:rPr>
              <w:t>- по данным Министерства образования Тверской области</w:t>
            </w:r>
          </w:p>
          <w:p w:rsidR="0058574E" w:rsidRPr="0010257C" w:rsidRDefault="0058574E" w:rsidP="00E7317C">
            <w:pPr>
              <w:pStyle w:val="21"/>
              <w:ind w:left="180" w:hanging="180"/>
              <w:rPr>
                <w:sz w:val="20"/>
                <w:szCs w:val="20"/>
              </w:rPr>
            </w:pPr>
          </w:p>
        </w:tc>
        <w:tc>
          <w:tcPr>
            <w:tcW w:w="1485" w:type="dxa"/>
          </w:tcPr>
          <w:p w:rsidR="0058574E" w:rsidRPr="0010257C" w:rsidRDefault="0058574E" w:rsidP="00E7317C">
            <w:pPr>
              <w:pStyle w:val="21"/>
              <w:ind w:left="360"/>
              <w:jc w:val="center"/>
              <w:rPr>
                <w:sz w:val="20"/>
                <w:szCs w:val="20"/>
              </w:rPr>
            </w:pPr>
          </w:p>
          <w:p w:rsidR="0058574E" w:rsidRPr="0010257C" w:rsidRDefault="0058574E" w:rsidP="00E7317C">
            <w:pPr>
              <w:pStyle w:val="21"/>
              <w:ind w:left="360"/>
              <w:jc w:val="center"/>
              <w:rPr>
                <w:sz w:val="20"/>
                <w:szCs w:val="20"/>
              </w:rPr>
            </w:pPr>
          </w:p>
          <w:p w:rsidR="0058574E" w:rsidRPr="0010257C" w:rsidRDefault="0058574E" w:rsidP="00E7317C">
            <w:pPr>
              <w:pStyle w:val="21"/>
              <w:ind w:left="360"/>
              <w:jc w:val="center"/>
              <w:rPr>
                <w:sz w:val="20"/>
                <w:szCs w:val="20"/>
              </w:rPr>
            </w:pPr>
          </w:p>
          <w:p w:rsidR="0058574E" w:rsidRPr="0010257C" w:rsidRDefault="0058574E" w:rsidP="00E7317C">
            <w:pPr>
              <w:pStyle w:val="21"/>
              <w:ind w:left="360"/>
              <w:jc w:val="center"/>
              <w:rPr>
                <w:sz w:val="20"/>
                <w:szCs w:val="20"/>
              </w:rPr>
            </w:pPr>
          </w:p>
          <w:p w:rsidR="0058574E" w:rsidRPr="0010257C" w:rsidRDefault="0058574E" w:rsidP="00E7317C">
            <w:pPr>
              <w:pStyle w:val="21"/>
              <w:ind w:left="360"/>
              <w:jc w:val="center"/>
              <w:rPr>
                <w:sz w:val="20"/>
                <w:szCs w:val="20"/>
              </w:rPr>
            </w:pPr>
          </w:p>
          <w:p w:rsidR="0058574E" w:rsidRPr="0010257C" w:rsidRDefault="0058574E" w:rsidP="00E7317C">
            <w:pPr>
              <w:pStyle w:val="21"/>
              <w:ind w:firstLine="0"/>
              <w:jc w:val="center"/>
              <w:rPr>
                <w:sz w:val="20"/>
                <w:szCs w:val="20"/>
              </w:rPr>
            </w:pPr>
            <w:r w:rsidRPr="0010257C">
              <w:rPr>
                <w:sz w:val="20"/>
                <w:szCs w:val="20"/>
              </w:rPr>
              <w:t>47 470,0</w:t>
            </w:r>
          </w:p>
          <w:p w:rsidR="0058574E" w:rsidRPr="0010257C" w:rsidRDefault="0058574E" w:rsidP="00E7317C">
            <w:pPr>
              <w:pStyle w:val="21"/>
              <w:ind w:firstLine="0"/>
              <w:rPr>
                <w:sz w:val="20"/>
                <w:szCs w:val="20"/>
              </w:rPr>
            </w:pPr>
          </w:p>
          <w:p w:rsidR="0058574E" w:rsidRPr="0010257C" w:rsidRDefault="0058574E" w:rsidP="00E7317C">
            <w:pPr>
              <w:ind w:left="720" w:hanging="853"/>
              <w:jc w:val="center"/>
              <w:rPr>
                <w:sz w:val="20"/>
                <w:szCs w:val="20"/>
                <w:lang w:val="en-US"/>
              </w:rPr>
            </w:pPr>
            <w:r w:rsidRPr="0010257C">
              <w:rPr>
                <w:sz w:val="20"/>
                <w:szCs w:val="20"/>
              </w:rPr>
              <w:t>46 532,0</w:t>
            </w:r>
          </w:p>
          <w:p w:rsidR="0058574E" w:rsidRPr="0010257C" w:rsidRDefault="0058574E" w:rsidP="00E7317C">
            <w:pPr>
              <w:pStyle w:val="21"/>
              <w:ind w:left="360"/>
              <w:jc w:val="center"/>
              <w:rPr>
                <w:sz w:val="20"/>
                <w:szCs w:val="20"/>
              </w:rPr>
            </w:pPr>
          </w:p>
          <w:p w:rsidR="0058574E" w:rsidRPr="0010257C" w:rsidRDefault="0058574E" w:rsidP="00E7317C">
            <w:pPr>
              <w:jc w:val="center"/>
              <w:rPr>
                <w:sz w:val="20"/>
                <w:szCs w:val="20"/>
              </w:rPr>
            </w:pPr>
            <w:r w:rsidRPr="0010257C">
              <w:rPr>
                <w:sz w:val="20"/>
                <w:szCs w:val="20"/>
              </w:rPr>
              <w:t>524,0</w:t>
            </w:r>
          </w:p>
          <w:p w:rsidR="0058574E" w:rsidRPr="0010257C" w:rsidRDefault="0058574E" w:rsidP="00E7317C">
            <w:pPr>
              <w:pStyle w:val="21"/>
              <w:ind w:left="360" w:firstLine="0"/>
              <w:jc w:val="center"/>
              <w:rPr>
                <w:sz w:val="20"/>
                <w:szCs w:val="20"/>
              </w:rPr>
            </w:pPr>
          </w:p>
          <w:p w:rsidR="0058574E" w:rsidRPr="0010257C" w:rsidRDefault="0058574E" w:rsidP="00E7317C">
            <w:pPr>
              <w:pStyle w:val="21"/>
              <w:ind w:firstLine="0"/>
              <w:jc w:val="center"/>
              <w:rPr>
                <w:sz w:val="20"/>
                <w:szCs w:val="20"/>
              </w:rPr>
            </w:pPr>
            <w:r w:rsidRPr="0010257C">
              <w:rPr>
                <w:sz w:val="20"/>
                <w:szCs w:val="20"/>
              </w:rPr>
              <w:t>414,0</w:t>
            </w:r>
          </w:p>
        </w:tc>
        <w:tc>
          <w:tcPr>
            <w:tcW w:w="1633" w:type="dxa"/>
          </w:tcPr>
          <w:p w:rsidR="0058574E" w:rsidRPr="0010257C" w:rsidRDefault="0058574E" w:rsidP="00E7317C">
            <w:pPr>
              <w:pStyle w:val="21"/>
              <w:ind w:left="720"/>
              <w:jc w:val="center"/>
              <w:rPr>
                <w:sz w:val="20"/>
                <w:szCs w:val="20"/>
              </w:rPr>
            </w:pPr>
          </w:p>
          <w:p w:rsidR="0058574E" w:rsidRPr="0010257C" w:rsidRDefault="0058574E" w:rsidP="00E7317C">
            <w:pPr>
              <w:pStyle w:val="21"/>
              <w:ind w:left="720"/>
              <w:jc w:val="center"/>
              <w:rPr>
                <w:sz w:val="20"/>
                <w:szCs w:val="20"/>
              </w:rPr>
            </w:pPr>
          </w:p>
          <w:p w:rsidR="0058574E" w:rsidRPr="0010257C" w:rsidRDefault="0058574E" w:rsidP="00E7317C">
            <w:pPr>
              <w:pStyle w:val="21"/>
              <w:ind w:firstLine="0"/>
              <w:jc w:val="center"/>
              <w:rPr>
                <w:sz w:val="20"/>
                <w:szCs w:val="20"/>
                <w:lang w:val="en-US"/>
              </w:rPr>
            </w:pPr>
          </w:p>
          <w:p w:rsidR="0058574E" w:rsidRPr="0010257C" w:rsidRDefault="0058574E" w:rsidP="00E7317C">
            <w:pPr>
              <w:pStyle w:val="21"/>
              <w:rPr>
                <w:sz w:val="20"/>
                <w:szCs w:val="20"/>
              </w:rPr>
            </w:pPr>
          </w:p>
          <w:p w:rsidR="0058574E" w:rsidRPr="0010257C" w:rsidRDefault="0058574E" w:rsidP="00E7317C">
            <w:pPr>
              <w:pStyle w:val="21"/>
              <w:rPr>
                <w:sz w:val="20"/>
                <w:szCs w:val="20"/>
              </w:rPr>
            </w:pPr>
          </w:p>
          <w:p w:rsidR="0058574E" w:rsidRPr="0010257C" w:rsidRDefault="0058574E" w:rsidP="00E7317C">
            <w:pPr>
              <w:pStyle w:val="21"/>
              <w:ind w:firstLine="0"/>
              <w:jc w:val="center"/>
              <w:rPr>
                <w:sz w:val="20"/>
                <w:szCs w:val="20"/>
              </w:rPr>
            </w:pPr>
            <w:r w:rsidRPr="0010257C">
              <w:rPr>
                <w:sz w:val="20"/>
                <w:szCs w:val="20"/>
              </w:rPr>
              <w:t>47 428,0</w:t>
            </w:r>
          </w:p>
          <w:p w:rsidR="0058574E" w:rsidRPr="0010257C" w:rsidRDefault="0058574E" w:rsidP="00E7317C">
            <w:pPr>
              <w:pStyle w:val="21"/>
              <w:ind w:left="720"/>
              <w:jc w:val="center"/>
              <w:rPr>
                <w:sz w:val="20"/>
                <w:szCs w:val="20"/>
              </w:rPr>
            </w:pPr>
          </w:p>
          <w:p w:rsidR="0058574E" w:rsidRPr="0010257C" w:rsidRDefault="0058574E" w:rsidP="00E7317C">
            <w:pPr>
              <w:ind w:left="720" w:hanging="853"/>
              <w:jc w:val="center"/>
              <w:rPr>
                <w:sz w:val="20"/>
                <w:szCs w:val="20"/>
                <w:lang w:val="en-US"/>
              </w:rPr>
            </w:pPr>
            <w:r w:rsidRPr="0010257C">
              <w:rPr>
                <w:sz w:val="20"/>
                <w:szCs w:val="20"/>
              </w:rPr>
              <w:t>46 532,0</w:t>
            </w:r>
          </w:p>
          <w:p w:rsidR="0058574E" w:rsidRPr="0010257C" w:rsidRDefault="0058574E" w:rsidP="00E7317C">
            <w:pPr>
              <w:pStyle w:val="21"/>
              <w:jc w:val="center"/>
              <w:rPr>
                <w:sz w:val="20"/>
                <w:szCs w:val="20"/>
              </w:rPr>
            </w:pPr>
          </w:p>
          <w:p w:rsidR="0058574E" w:rsidRPr="0010257C" w:rsidRDefault="0058574E" w:rsidP="00E7317C">
            <w:pPr>
              <w:jc w:val="center"/>
              <w:rPr>
                <w:sz w:val="20"/>
                <w:szCs w:val="20"/>
              </w:rPr>
            </w:pPr>
            <w:r w:rsidRPr="0010257C">
              <w:rPr>
                <w:sz w:val="20"/>
                <w:szCs w:val="20"/>
              </w:rPr>
              <w:t>524,0</w:t>
            </w:r>
          </w:p>
          <w:p w:rsidR="0058574E" w:rsidRPr="0010257C" w:rsidRDefault="0058574E" w:rsidP="00E7317C">
            <w:pPr>
              <w:pStyle w:val="21"/>
              <w:ind w:firstLine="0"/>
              <w:jc w:val="center"/>
              <w:rPr>
                <w:sz w:val="20"/>
                <w:szCs w:val="20"/>
              </w:rPr>
            </w:pPr>
          </w:p>
          <w:p w:rsidR="0058574E" w:rsidRPr="0010257C" w:rsidRDefault="0058574E" w:rsidP="00E7317C">
            <w:pPr>
              <w:pStyle w:val="21"/>
              <w:ind w:firstLine="0"/>
              <w:jc w:val="center"/>
              <w:rPr>
                <w:sz w:val="20"/>
                <w:szCs w:val="20"/>
              </w:rPr>
            </w:pPr>
            <w:r w:rsidRPr="0010257C">
              <w:rPr>
                <w:sz w:val="20"/>
                <w:szCs w:val="20"/>
              </w:rPr>
              <w:t>372,0</w:t>
            </w:r>
          </w:p>
        </w:tc>
        <w:tc>
          <w:tcPr>
            <w:tcW w:w="1701" w:type="dxa"/>
          </w:tcPr>
          <w:p w:rsidR="0058574E" w:rsidRPr="0010257C" w:rsidRDefault="0058574E" w:rsidP="00E7317C">
            <w:pPr>
              <w:pStyle w:val="21"/>
              <w:ind w:left="720"/>
              <w:jc w:val="center"/>
              <w:rPr>
                <w:sz w:val="20"/>
                <w:szCs w:val="20"/>
              </w:rPr>
            </w:pPr>
          </w:p>
          <w:p w:rsidR="0058574E" w:rsidRPr="0010257C" w:rsidRDefault="0058574E" w:rsidP="00E7317C">
            <w:pPr>
              <w:pStyle w:val="21"/>
              <w:ind w:left="720"/>
              <w:jc w:val="center"/>
              <w:rPr>
                <w:sz w:val="20"/>
                <w:szCs w:val="20"/>
              </w:rPr>
            </w:pPr>
          </w:p>
          <w:p w:rsidR="0058574E" w:rsidRPr="0010257C" w:rsidRDefault="0058574E" w:rsidP="00E7317C">
            <w:pPr>
              <w:pStyle w:val="21"/>
              <w:ind w:firstLine="0"/>
              <w:jc w:val="center"/>
              <w:rPr>
                <w:sz w:val="20"/>
                <w:szCs w:val="20"/>
                <w:lang w:val="en-US"/>
              </w:rPr>
            </w:pPr>
          </w:p>
          <w:p w:rsidR="0058574E" w:rsidRPr="0010257C" w:rsidRDefault="0058574E" w:rsidP="00E7317C">
            <w:pPr>
              <w:pStyle w:val="21"/>
              <w:ind w:firstLine="0"/>
              <w:jc w:val="center"/>
              <w:rPr>
                <w:sz w:val="20"/>
                <w:szCs w:val="20"/>
                <w:lang w:val="en-US"/>
              </w:rPr>
            </w:pPr>
          </w:p>
          <w:p w:rsidR="0058574E" w:rsidRPr="0010257C" w:rsidRDefault="0058574E" w:rsidP="00E7317C">
            <w:pPr>
              <w:pStyle w:val="21"/>
              <w:ind w:firstLine="0"/>
              <w:jc w:val="center"/>
              <w:rPr>
                <w:sz w:val="20"/>
                <w:szCs w:val="20"/>
                <w:lang w:val="en-US"/>
              </w:rPr>
            </w:pPr>
          </w:p>
          <w:p w:rsidR="0058574E" w:rsidRPr="0010257C" w:rsidRDefault="0058574E" w:rsidP="00E7317C">
            <w:pPr>
              <w:pStyle w:val="21"/>
              <w:ind w:left="-3" w:firstLine="3"/>
              <w:jc w:val="center"/>
              <w:rPr>
                <w:sz w:val="20"/>
                <w:szCs w:val="20"/>
              </w:rPr>
            </w:pPr>
            <w:r w:rsidRPr="0010257C">
              <w:rPr>
                <w:sz w:val="20"/>
                <w:szCs w:val="20"/>
              </w:rPr>
              <w:t>47 450,0</w:t>
            </w:r>
          </w:p>
          <w:p w:rsidR="0058574E" w:rsidRPr="0010257C" w:rsidRDefault="0058574E" w:rsidP="00E7317C">
            <w:pPr>
              <w:pStyle w:val="21"/>
              <w:ind w:left="720"/>
              <w:jc w:val="center"/>
              <w:rPr>
                <w:sz w:val="20"/>
                <w:szCs w:val="20"/>
              </w:rPr>
            </w:pPr>
          </w:p>
          <w:p w:rsidR="0058574E" w:rsidRPr="0010257C" w:rsidRDefault="0058574E" w:rsidP="00E7317C">
            <w:pPr>
              <w:ind w:left="720" w:hanging="853"/>
              <w:jc w:val="center"/>
              <w:rPr>
                <w:sz w:val="20"/>
                <w:szCs w:val="20"/>
                <w:lang w:val="en-US"/>
              </w:rPr>
            </w:pPr>
            <w:r w:rsidRPr="0010257C">
              <w:rPr>
                <w:sz w:val="20"/>
                <w:szCs w:val="20"/>
              </w:rPr>
              <w:t>46 532,0</w:t>
            </w:r>
          </w:p>
          <w:p w:rsidR="0058574E" w:rsidRPr="0010257C" w:rsidRDefault="0058574E" w:rsidP="00E7317C">
            <w:pPr>
              <w:jc w:val="center"/>
              <w:rPr>
                <w:sz w:val="20"/>
                <w:szCs w:val="20"/>
              </w:rPr>
            </w:pPr>
          </w:p>
          <w:p w:rsidR="0058574E" w:rsidRPr="0010257C" w:rsidRDefault="0058574E" w:rsidP="00E7317C">
            <w:pPr>
              <w:jc w:val="center"/>
              <w:rPr>
                <w:sz w:val="20"/>
                <w:szCs w:val="20"/>
              </w:rPr>
            </w:pPr>
            <w:r w:rsidRPr="0010257C">
              <w:rPr>
                <w:sz w:val="20"/>
                <w:szCs w:val="20"/>
              </w:rPr>
              <w:t>524,0</w:t>
            </w:r>
          </w:p>
          <w:p w:rsidR="0058574E" w:rsidRPr="0010257C" w:rsidRDefault="0058574E" w:rsidP="00E7317C">
            <w:pPr>
              <w:pStyle w:val="21"/>
              <w:ind w:left="720" w:firstLine="0"/>
              <w:jc w:val="center"/>
              <w:rPr>
                <w:sz w:val="20"/>
                <w:szCs w:val="20"/>
              </w:rPr>
            </w:pPr>
          </w:p>
          <w:p w:rsidR="0058574E" w:rsidRPr="0010257C" w:rsidRDefault="0058574E" w:rsidP="00E7317C">
            <w:pPr>
              <w:pStyle w:val="21"/>
              <w:ind w:firstLine="0"/>
              <w:jc w:val="center"/>
              <w:rPr>
                <w:sz w:val="20"/>
                <w:szCs w:val="20"/>
              </w:rPr>
            </w:pPr>
            <w:r w:rsidRPr="0010257C">
              <w:rPr>
                <w:sz w:val="20"/>
                <w:szCs w:val="20"/>
              </w:rPr>
              <w:t>394,0</w:t>
            </w:r>
          </w:p>
        </w:tc>
      </w:tr>
      <w:tr w:rsidR="0058574E" w:rsidRPr="000C7712" w:rsidTr="00E7317C">
        <w:tc>
          <w:tcPr>
            <w:tcW w:w="5388" w:type="dxa"/>
          </w:tcPr>
          <w:p w:rsidR="0058574E" w:rsidRPr="00774346" w:rsidRDefault="0058574E" w:rsidP="00E7317C">
            <w:pPr>
              <w:pStyle w:val="21"/>
              <w:ind w:firstLine="0"/>
              <w:jc w:val="left"/>
              <w:rPr>
                <w:sz w:val="20"/>
                <w:szCs w:val="20"/>
              </w:rPr>
            </w:pPr>
            <w:r w:rsidRPr="00774346">
              <w:rPr>
                <w:sz w:val="20"/>
                <w:szCs w:val="20"/>
              </w:rPr>
              <w:t xml:space="preserve">5. Государственная пошлина за выдачу и обмен паспорта гражданина Российской Федерации – по данным УМВД России по Тверской области             </w:t>
            </w:r>
            <w:r w:rsidRPr="00774346">
              <w:rPr>
                <w:sz w:val="20"/>
                <w:szCs w:val="20"/>
              </w:rPr>
              <w:br/>
              <w:t>(000 1 08 07100 01 0000 110)</w:t>
            </w:r>
          </w:p>
          <w:p w:rsidR="0058574E" w:rsidRPr="00774346" w:rsidRDefault="0058574E" w:rsidP="00E7317C">
            <w:pPr>
              <w:pStyle w:val="21"/>
              <w:ind w:firstLine="0"/>
              <w:jc w:val="left"/>
              <w:rPr>
                <w:sz w:val="20"/>
                <w:szCs w:val="20"/>
              </w:rPr>
            </w:pPr>
          </w:p>
        </w:tc>
        <w:tc>
          <w:tcPr>
            <w:tcW w:w="1485" w:type="dxa"/>
          </w:tcPr>
          <w:p w:rsidR="0058574E" w:rsidRPr="00774346" w:rsidRDefault="0058574E" w:rsidP="00E7317C">
            <w:pPr>
              <w:pStyle w:val="21"/>
              <w:ind w:firstLine="0"/>
              <w:jc w:val="center"/>
              <w:rPr>
                <w:sz w:val="20"/>
                <w:szCs w:val="20"/>
              </w:rPr>
            </w:pPr>
          </w:p>
          <w:p w:rsidR="0058574E" w:rsidRPr="00774346" w:rsidRDefault="0058574E" w:rsidP="00E7317C">
            <w:pPr>
              <w:pStyle w:val="21"/>
              <w:ind w:firstLine="0"/>
              <w:jc w:val="center"/>
              <w:rPr>
                <w:sz w:val="20"/>
                <w:szCs w:val="20"/>
              </w:rPr>
            </w:pPr>
          </w:p>
          <w:p w:rsidR="0058574E" w:rsidRPr="00774346" w:rsidRDefault="0058574E" w:rsidP="00E7317C">
            <w:pPr>
              <w:pStyle w:val="21"/>
              <w:ind w:firstLine="0"/>
              <w:jc w:val="center"/>
              <w:rPr>
                <w:sz w:val="20"/>
                <w:szCs w:val="20"/>
              </w:rPr>
            </w:pPr>
            <w:r w:rsidRPr="00774346">
              <w:rPr>
                <w:sz w:val="20"/>
                <w:szCs w:val="20"/>
              </w:rPr>
              <w:t>6 463,6</w:t>
            </w:r>
          </w:p>
        </w:tc>
        <w:tc>
          <w:tcPr>
            <w:tcW w:w="1633" w:type="dxa"/>
          </w:tcPr>
          <w:p w:rsidR="0058574E" w:rsidRPr="00774346" w:rsidRDefault="0058574E" w:rsidP="00E7317C">
            <w:pPr>
              <w:jc w:val="center"/>
              <w:rPr>
                <w:sz w:val="20"/>
                <w:szCs w:val="20"/>
              </w:rPr>
            </w:pPr>
          </w:p>
          <w:p w:rsidR="0058574E" w:rsidRPr="00774346" w:rsidRDefault="0058574E" w:rsidP="00E7317C">
            <w:pPr>
              <w:jc w:val="center"/>
              <w:rPr>
                <w:sz w:val="20"/>
                <w:szCs w:val="20"/>
              </w:rPr>
            </w:pPr>
          </w:p>
          <w:p w:rsidR="0058574E" w:rsidRPr="00774346" w:rsidRDefault="0058574E" w:rsidP="00E7317C">
            <w:pPr>
              <w:jc w:val="center"/>
            </w:pPr>
            <w:r w:rsidRPr="00774346">
              <w:rPr>
                <w:sz w:val="20"/>
                <w:szCs w:val="20"/>
              </w:rPr>
              <w:t>6 321,3</w:t>
            </w:r>
          </w:p>
        </w:tc>
        <w:tc>
          <w:tcPr>
            <w:tcW w:w="1701" w:type="dxa"/>
          </w:tcPr>
          <w:p w:rsidR="0058574E" w:rsidRPr="00774346" w:rsidRDefault="0058574E" w:rsidP="00E7317C">
            <w:pPr>
              <w:jc w:val="center"/>
              <w:rPr>
                <w:sz w:val="20"/>
                <w:szCs w:val="20"/>
              </w:rPr>
            </w:pPr>
          </w:p>
          <w:p w:rsidR="0058574E" w:rsidRPr="00774346" w:rsidRDefault="0058574E" w:rsidP="00E7317C">
            <w:pPr>
              <w:jc w:val="center"/>
              <w:rPr>
                <w:sz w:val="20"/>
                <w:szCs w:val="20"/>
              </w:rPr>
            </w:pPr>
          </w:p>
          <w:p w:rsidR="0058574E" w:rsidRPr="00774346" w:rsidRDefault="0058574E" w:rsidP="00E7317C">
            <w:pPr>
              <w:jc w:val="center"/>
            </w:pPr>
            <w:r w:rsidRPr="00774346">
              <w:rPr>
                <w:sz w:val="20"/>
                <w:szCs w:val="20"/>
              </w:rPr>
              <w:t>6 447,6</w:t>
            </w:r>
          </w:p>
        </w:tc>
      </w:tr>
      <w:tr w:rsidR="0058574E" w:rsidRPr="000C7712" w:rsidTr="00E7317C">
        <w:tc>
          <w:tcPr>
            <w:tcW w:w="5388" w:type="dxa"/>
          </w:tcPr>
          <w:p w:rsidR="0058574E" w:rsidRPr="00774346" w:rsidRDefault="0058574E" w:rsidP="00E7317C">
            <w:pPr>
              <w:pStyle w:val="21"/>
              <w:ind w:firstLine="18"/>
              <w:rPr>
                <w:sz w:val="20"/>
                <w:szCs w:val="20"/>
              </w:rPr>
            </w:pPr>
            <w:r w:rsidRPr="00774346">
              <w:rPr>
                <w:sz w:val="20"/>
                <w:szCs w:val="20"/>
              </w:rPr>
              <w:t>6. Государственная пошлина 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 – по данным Управления Министерства юстиции Российской Федерации по Тверской области</w:t>
            </w:r>
          </w:p>
          <w:p w:rsidR="0058574E" w:rsidRPr="00774346" w:rsidRDefault="0058574E" w:rsidP="00E7317C">
            <w:pPr>
              <w:pStyle w:val="21"/>
              <w:ind w:left="180" w:hanging="180"/>
              <w:rPr>
                <w:sz w:val="20"/>
                <w:szCs w:val="20"/>
              </w:rPr>
            </w:pPr>
            <w:r w:rsidRPr="00774346">
              <w:rPr>
                <w:sz w:val="20"/>
                <w:szCs w:val="20"/>
              </w:rPr>
              <w:t>(000 1 08 07110 01 0000 110)</w:t>
            </w:r>
          </w:p>
        </w:tc>
        <w:tc>
          <w:tcPr>
            <w:tcW w:w="1485" w:type="dxa"/>
          </w:tcPr>
          <w:p w:rsidR="0058574E" w:rsidRPr="00774346" w:rsidRDefault="0058574E" w:rsidP="00E7317C">
            <w:pPr>
              <w:pStyle w:val="21"/>
              <w:ind w:left="720"/>
              <w:jc w:val="center"/>
              <w:rPr>
                <w:sz w:val="20"/>
                <w:szCs w:val="20"/>
              </w:rPr>
            </w:pPr>
          </w:p>
          <w:p w:rsidR="0058574E" w:rsidRPr="00774346" w:rsidRDefault="0058574E" w:rsidP="00E7317C">
            <w:pPr>
              <w:pStyle w:val="21"/>
              <w:ind w:left="720"/>
              <w:jc w:val="center"/>
              <w:rPr>
                <w:sz w:val="20"/>
                <w:szCs w:val="20"/>
              </w:rPr>
            </w:pPr>
          </w:p>
          <w:p w:rsidR="0058574E" w:rsidRPr="00774346" w:rsidRDefault="0058574E" w:rsidP="00E7317C">
            <w:pPr>
              <w:pStyle w:val="21"/>
              <w:ind w:left="720"/>
              <w:jc w:val="center"/>
              <w:rPr>
                <w:sz w:val="20"/>
                <w:szCs w:val="20"/>
              </w:rPr>
            </w:pPr>
          </w:p>
          <w:p w:rsidR="0058574E" w:rsidRPr="00774346" w:rsidRDefault="0058574E" w:rsidP="00E7317C">
            <w:pPr>
              <w:pStyle w:val="21"/>
              <w:ind w:left="720"/>
              <w:jc w:val="center"/>
              <w:rPr>
                <w:sz w:val="20"/>
                <w:szCs w:val="20"/>
              </w:rPr>
            </w:pPr>
          </w:p>
          <w:p w:rsidR="0058574E" w:rsidRPr="00774346" w:rsidRDefault="0058574E" w:rsidP="00E7317C">
            <w:pPr>
              <w:pStyle w:val="21"/>
              <w:ind w:left="720"/>
              <w:jc w:val="center"/>
              <w:rPr>
                <w:sz w:val="20"/>
                <w:szCs w:val="20"/>
              </w:rPr>
            </w:pPr>
          </w:p>
          <w:p w:rsidR="0058574E" w:rsidRPr="00774346" w:rsidRDefault="0058574E" w:rsidP="00E7317C">
            <w:pPr>
              <w:pStyle w:val="21"/>
              <w:ind w:left="720"/>
              <w:jc w:val="center"/>
              <w:rPr>
                <w:sz w:val="20"/>
                <w:szCs w:val="20"/>
              </w:rPr>
            </w:pPr>
          </w:p>
          <w:p w:rsidR="0058574E" w:rsidRPr="00774346" w:rsidRDefault="0058574E" w:rsidP="00E7317C">
            <w:pPr>
              <w:pStyle w:val="21"/>
              <w:ind w:firstLine="0"/>
              <w:jc w:val="center"/>
              <w:rPr>
                <w:sz w:val="20"/>
                <w:szCs w:val="20"/>
              </w:rPr>
            </w:pPr>
            <w:r w:rsidRPr="00774346">
              <w:rPr>
                <w:sz w:val="20"/>
                <w:szCs w:val="20"/>
              </w:rPr>
              <w:t>132,4</w:t>
            </w:r>
          </w:p>
        </w:tc>
        <w:tc>
          <w:tcPr>
            <w:tcW w:w="1633" w:type="dxa"/>
          </w:tcPr>
          <w:p w:rsidR="0058574E" w:rsidRPr="00774346" w:rsidRDefault="0058574E" w:rsidP="00E7317C">
            <w:pPr>
              <w:pStyle w:val="21"/>
              <w:ind w:left="720"/>
              <w:jc w:val="center"/>
              <w:rPr>
                <w:sz w:val="20"/>
                <w:szCs w:val="20"/>
              </w:rPr>
            </w:pPr>
          </w:p>
          <w:p w:rsidR="0058574E" w:rsidRPr="00774346" w:rsidRDefault="0058574E" w:rsidP="00E7317C">
            <w:pPr>
              <w:pStyle w:val="21"/>
              <w:ind w:left="720"/>
              <w:jc w:val="center"/>
              <w:rPr>
                <w:sz w:val="20"/>
                <w:szCs w:val="20"/>
              </w:rPr>
            </w:pPr>
          </w:p>
          <w:p w:rsidR="0058574E" w:rsidRPr="00774346" w:rsidRDefault="0058574E" w:rsidP="00E7317C">
            <w:pPr>
              <w:pStyle w:val="21"/>
              <w:ind w:left="720"/>
              <w:jc w:val="center"/>
              <w:rPr>
                <w:sz w:val="20"/>
                <w:szCs w:val="20"/>
              </w:rPr>
            </w:pPr>
          </w:p>
          <w:p w:rsidR="0058574E" w:rsidRPr="00774346" w:rsidRDefault="0058574E" w:rsidP="00E7317C">
            <w:pPr>
              <w:pStyle w:val="21"/>
              <w:ind w:left="720"/>
              <w:jc w:val="center"/>
              <w:rPr>
                <w:sz w:val="20"/>
                <w:szCs w:val="20"/>
              </w:rPr>
            </w:pPr>
          </w:p>
          <w:p w:rsidR="0058574E" w:rsidRPr="00774346" w:rsidRDefault="0058574E" w:rsidP="00E7317C">
            <w:pPr>
              <w:pStyle w:val="21"/>
              <w:ind w:left="720"/>
              <w:jc w:val="center"/>
              <w:rPr>
                <w:sz w:val="20"/>
                <w:szCs w:val="20"/>
              </w:rPr>
            </w:pPr>
          </w:p>
          <w:p w:rsidR="0058574E" w:rsidRPr="00774346" w:rsidRDefault="0058574E" w:rsidP="00E7317C">
            <w:pPr>
              <w:pStyle w:val="21"/>
              <w:ind w:left="720"/>
              <w:jc w:val="center"/>
              <w:rPr>
                <w:sz w:val="20"/>
                <w:szCs w:val="20"/>
              </w:rPr>
            </w:pPr>
          </w:p>
          <w:p w:rsidR="0058574E" w:rsidRPr="00774346" w:rsidRDefault="0058574E" w:rsidP="00E7317C">
            <w:pPr>
              <w:pStyle w:val="21"/>
              <w:ind w:firstLine="0"/>
              <w:jc w:val="center"/>
              <w:rPr>
                <w:sz w:val="20"/>
                <w:szCs w:val="20"/>
              </w:rPr>
            </w:pPr>
            <w:r w:rsidRPr="00774346">
              <w:rPr>
                <w:sz w:val="20"/>
                <w:szCs w:val="20"/>
              </w:rPr>
              <w:t>132,4</w:t>
            </w:r>
          </w:p>
        </w:tc>
        <w:tc>
          <w:tcPr>
            <w:tcW w:w="1701" w:type="dxa"/>
            <w:vAlign w:val="center"/>
          </w:tcPr>
          <w:p w:rsidR="0058574E" w:rsidRPr="00774346" w:rsidRDefault="0058574E" w:rsidP="00E7317C">
            <w:pPr>
              <w:pStyle w:val="21"/>
              <w:ind w:left="720"/>
              <w:jc w:val="center"/>
              <w:rPr>
                <w:sz w:val="20"/>
                <w:szCs w:val="20"/>
              </w:rPr>
            </w:pPr>
          </w:p>
          <w:p w:rsidR="0058574E" w:rsidRPr="00774346" w:rsidRDefault="0058574E" w:rsidP="00E7317C">
            <w:pPr>
              <w:pStyle w:val="21"/>
              <w:ind w:firstLine="0"/>
              <w:jc w:val="center"/>
              <w:rPr>
                <w:sz w:val="20"/>
                <w:szCs w:val="20"/>
              </w:rPr>
            </w:pPr>
          </w:p>
          <w:p w:rsidR="0058574E" w:rsidRPr="00774346" w:rsidRDefault="0058574E" w:rsidP="00E7317C">
            <w:pPr>
              <w:pStyle w:val="21"/>
              <w:ind w:firstLine="0"/>
              <w:jc w:val="center"/>
              <w:rPr>
                <w:sz w:val="20"/>
                <w:szCs w:val="20"/>
              </w:rPr>
            </w:pPr>
          </w:p>
          <w:p w:rsidR="0058574E" w:rsidRPr="00774346" w:rsidRDefault="0058574E" w:rsidP="00E7317C">
            <w:pPr>
              <w:pStyle w:val="21"/>
              <w:ind w:firstLine="0"/>
              <w:jc w:val="center"/>
              <w:rPr>
                <w:sz w:val="20"/>
                <w:szCs w:val="20"/>
              </w:rPr>
            </w:pPr>
          </w:p>
          <w:p w:rsidR="0058574E" w:rsidRPr="00774346" w:rsidRDefault="0058574E" w:rsidP="00E7317C">
            <w:pPr>
              <w:pStyle w:val="21"/>
              <w:ind w:firstLine="0"/>
              <w:jc w:val="center"/>
              <w:rPr>
                <w:sz w:val="20"/>
                <w:szCs w:val="20"/>
              </w:rPr>
            </w:pPr>
          </w:p>
          <w:p w:rsidR="0058574E" w:rsidRPr="00774346" w:rsidRDefault="0058574E" w:rsidP="00E7317C">
            <w:pPr>
              <w:pStyle w:val="21"/>
              <w:ind w:firstLine="0"/>
              <w:jc w:val="center"/>
              <w:rPr>
                <w:sz w:val="20"/>
                <w:szCs w:val="20"/>
              </w:rPr>
            </w:pPr>
            <w:r w:rsidRPr="00774346">
              <w:rPr>
                <w:sz w:val="20"/>
                <w:szCs w:val="20"/>
              </w:rPr>
              <w:t>132,4</w:t>
            </w:r>
          </w:p>
        </w:tc>
      </w:tr>
      <w:tr w:rsidR="0058574E" w:rsidRPr="000C7712" w:rsidTr="00E7317C">
        <w:tc>
          <w:tcPr>
            <w:tcW w:w="5388" w:type="dxa"/>
            <w:shd w:val="clear" w:color="auto" w:fill="auto"/>
          </w:tcPr>
          <w:p w:rsidR="0058574E" w:rsidRPr="00774346" w:rsidRDefault="0058574E" w:rsidP="00E7317C">
            <w:pPr>
              <w:autoSpaceDE w:val="0"/>
              <w:autoSpaceDN w:val="0"/>
              <w:adjustRightInd w:val="0"/>
              <w:jc w:val="both"/>
              <w:rPr>
                <w:sz w:val="20"/>
                <w:szCs w:val="20"/>
              </w:rPr>
            </w:pPr>
            <w:r w:rsidRPr="00774346">
              <w:rPr>
                <w:sz w:val="20"/>
                <w:szCs w:val="20"/>
              </w:rPr>
              <w:t>7. Государственная пошлина за государственную регистрацию политических партий и региональных отделений политических партий - по данным Управления Министерства юстиции Российской Федерации по Тверской области</w:t>
            </w:r>
          </w:p>
          <w:p w:rsidR="0058574E" w:rsidRPr="00774346" w:rsidRDefault="0058574E" w:rsidP="00E7317C">
            <w:pPr>
              <w:pStyle w:val="21"/>
              <w:ind w:left="18" w:firstLine="0"/>
              <w:rPr>
                <w:sz w:val="20"/>
                <w:szCs w:val="20"/>
              </w:rPr>
            </w:pPr>
            <w:r w:rsidRPr="00774346">
              <w:rPr>
                <w:sz w:val="20"/>
                <w:szCs w:val="20"/>
              </w:rPr>
              <w:t>(000 1 08 07120 01 0000 110)</w:t>
            </w:r>
          </w:p>
          <w:p w:rsidR="0058574E" w:rsidRPr="00774346" w:rsidRDefault="0058574E" w:rsidP="00E7317C">
            <w:pPr>
              <w:pStyle w:val="21"/>
              <w:ind w:left="18" w:firstLine="0"/>
              <w:rPr>
                <w:sz w:val="20"/>
                <w:szCs w:val="20"/>
              </w:rPr>
            </w:pPr>
          </w:p>
        </w:tc>
        <w:tc>
          <w:tcPr>
            <w:tcW w:w="1485" w:type="dxa"/>
            <w:shd w:val="clear" w:color="auto" w:fill="auto"/>
            <w:vAlign w:val="bottom"/>
          </w:tcPr>
          <w:p w:rsidR="0058574E" w:rsidRPr="00774346" w:rsidRDefault="0058574E" w:rsidP="00E7317C">
            <w:pPr>
              <w:pStyle w:val="21"/>
              <w:ind w:left="720"/>
              <w:jc w:val="center"/>
              <w:rPr>
                <w:sz w:val="20"/>
                <w:szCs w:val="20"/>
              </w:rPr>
            </w:pPr>
          </w:p>
          <w:p w:rsidR="0058574E" w:rsidRPr="00774346" w:rsidRDefault="0058574E" w:rsidP="00E7317C">
            <w:pPr>
              <w:pStyle w:val="21"/>
              <w:ind w:left="720"/>
              <w:jc w:val="center"/>
              <w:rPr>
                <w:sz w:val="20"/>
                <w:szCs w:val="20"/>
              </w:rPr>
            </w:pPr>
          </w:p>
          <w:p w:rsidR="0058574E" w:rsidRPr="00774346" w:rsidRDefault="0058574E" w:rsidP="00E7317C">
            <w:pPr>
              <w:pStyle w:val="21"/>
              <w:ind w:left="720"/>
              <w:jc w:val="center"/>
              <w:rPr>
                <w:sz w:val="20"/>
                <w:szCs w:val="20"/>
              </w:rPr>
            </w:pPr>
          </w:p>
          <w:p w:rsidR="0058574E" w:rsidRPr="00774346" w:rsidRDefault="0058574E" w:rsidP="00E7317C">
            <w:pPr>
              <w:pStyle w:val="21"/>
              <w:ind w:left="720"/>
              <w:jc w:val="center"/>
              <w:rPr>
                <w:sz w:val="20"/>
                <w:szCs w:val="20"/>
              </w:rPr>
            </w:pPr>
          </w:p>
          <w:p w:rsidR="0058574E" w:rsidRPr="00774346" w:rsidRDefault="0058574E" w:rsidP="00E7317C">
            <w:pPr>
              <w:pStyle w:val="21"/>
              <w:ind w:firstLine="0"/>
              <w:jc w:val="center"/>
              <w:rPr>
                <w:sz w:val="20"/>
                <w:szCs w:val="20"/>
              </w:rPr>
            </w:pPr>
            <w:r w:rsidRPr="00774346">
              <w:rPr>
                <w:sz w:val="20"/>
                <w:szCs w:val="20"/>
              </w:rPr>
              <w:t>21,0</w:t>
            </w:r>
          </w:p>
        </w:tc>
        <w:tc>
          <w:tcPr>
            <w:tcW w:w="1633" w:type="dxa"/>
            <w:shd w:val="clear" w:color="auto" w:fill="auto"/>
            <w:vAlign w:val="bottom"/>
          </w:tcPr>
          <w:p w:rsidR="0058574E" w:rsidRPr="00774346" w:rsidRDefault="0058574E" w:rsidP="00E7317C">
            <w:pPr>
              <w:pStyle w:val="21"/>
              <w:ind w:left="720"/>
              <w:jc w:val="center"/>
              <w:rPr>
                <w:sz w:val="20"/>
                <w:szCs w:val="20"/>
              </w:rPr>
            </w:pPr>
          </w:p>
          <w:p w:rsidR="0058574E" w:rsidRPr="00774346" w:rsidRDefault="0058574E" w:rsidP="00E7317C">
            <w:pPr>
              <w:pStyle w:val="21"/>
              <w:ind w:left="720"/>
              <w:jc w:val="center"/>
              <w:rPr>
                <w:sz w:val="20"/>
                <w:szCs w:val="20"/>
              </w:rPr>
            </w:pPr>
          </w:p>
          <w:p w:rsidR="0058574E" w:rsidRPr="00774346" w:rsidRDefault="0058574E" w:rsidP="00E7317C">
            <w:pPr>
              <w:pStyle w:val="21"/>
              <w:ind w:left="720"/>
              <w:jc w:val="center"/>
              <w:rPr>
                <w:sz w:val="20"/>
                <w:szCs w:val="20"/>
              </w:rPr>
            </w:pPr>
          </w:p>
          <w:p w:rsidR="0058574E" w:rsidRPr="00774346" w:rsidRDefault="0058574E" w:rsidP="00E7317C">
            <w:pPr>
              <w:pStyle w:val="21"/>
              <w:ind w:left="720"/>
              <w:jc w:val="center"/>
              <w:rPr>
                <w:sz w:val="20"/>
                <w:szCs w:val="20"/>
              </w:rPr>
            </w:pPr>
          </w:p>
          <w:p w:rsidR="0058574E" w:rsidRPr="00774346" w:rsidRDefault="0058574E" w:rsidP="00E7317C">
            <w:pPr>
              <w:pStyle w:val="21"/>
              <w:ind w:firstLine="0"/>
              <w:jc w:val="center"/>
              <w:rPr>
                <w:sz w:val="20"/>
                <w:szCs w:val="20"/>
              </w:rPr>
            </w:pPr>
            <w:r w:rsidRPr="00774346">
              <w:rPr>
                <w:sz w:val="20"/>
                <w:szCs w:val="20"/>
              </w:rPr>
              <w:t>21,0</w:t>
            </w:r>
          </w:p>
        </w:tc>
        <w:tc>
          <w:tcPr>
            <w:tcW w:w="1701" w:type="dxa"/>
            <w:shd w:val="clear" w:color="auto" w:fill="auto"/>
            <w:vAlign w:val="bottom"/>
          </w:tcPr>
          <w:p w:rsidR="0058574E" w:rsidRPr="00774346" w:rsidRDefault="0058574E" w:rsidP="00E7317C">
            <w:pPr>
              <w:pStyle w:val="21"/>
              <w:ind w:left="720"/>
              <w:jc w:val="center"/>
              <w:rPr>
                <w:sz w:val="20"/>
                <w:szCs w:val="20"/>
              </w:rPr>
            </w:pPr>
          </w:p>
          <w:p w:rsidR="0058574E" w:rsidRPr="00774346" w:rsidRDefault="0058574E" w:rsidP="00E7317C">
            <w:pPr>
              <w:pStyle w:val="21"/>
              <w:ind w:left="720"/>
              <w:jc w:val="center"/>
              <w:rPr>
                <w:sz w:val="20"/>
                <w:szCs w:val="20"/>
              </w:rPr>
            </w:pPr>
          </w:p>
          <w:p w:rsidR="0058574E" w:rsidRPr="00774346" w:rsidRDefault="0058574E" w:rsidP="00E7317C">
            <w:pPr>
              <w:pStyle w:val="21"/>
              <w:ind w:left="720"/>
              <w:jc w:val="center"/>
              <w:rPr>
                <w:sz w:val="20"/>
                <w:szCs w:val="20"/>
              </w:rPr>
            </w:pPr>
          </w:p>
          <w:p w:rsidR="0058574E" w:rsidRPr="00774346" w:rsidRDefault="0058574E" w:rsidP="00E7317C">
            <w:pPr>
              <w:pStyle w:val="21"/>
              <w:ind w:left="720"/>
              <w:jc w:val="center"/>
              <w:rPr>
                <w:sz w:val="20"/>
                <w:szCs w:val="20"/>
              </w:rPr>
            </w:pPr>
          </w:p>
          <w:p w:rsidR="0058574E" w:rsidRPr="00774346" w:rsidRDefault="0058574E" w:rsidP="00E7317C">
            <w:pPr>
              <w:pStyle w:val="21"/>
              <w:ind w:firstLine="0"/>
              <w:jc w:val="center"/>
              <w:rPr>
                <w:sz w:val="20"/>
                <w:szCs w:val="20"/>
              </w:rPr>
            </w:pPr>
            <w:r w:rsidRPr="00774346">
              <w:rPr>
                <w:sz w:val="20"/>
                <w:szCs w:val="20"/>
              </w:rPr>
              <w:t>21,0</w:t>
            </w:r>
          </w:p>
        </w:tc>
      </w:tr>
      <w:tr w:rsidR="0058574E" w:rsidRPr="000C7712" w:rsidTr="00E7317C">
        <w:tc>
          <w:tcPr>
            <w:tcW w:w="5388" w:type="dxa"/>
          </w:tcPr>
          <w:p w:rsidR="0058574E" w:rsidRPr="00774346" w:rsidRDefault="0058574E" w:rsidP="00E7317C">
            <w:pPr>
              <w:autoSpaceDE w:val="0"/>
              <w:autoSpaceDN w:val="0"/>
              <w:adjustRightInd w:val="0"/>
              <w:jc w:val="both"/>
              <w:rPr>
                <w:sz w:val="20"/>
                <w:szCs w:val="20"/>
              </w:rPr>
            </w:pPr>
            <w:r w:rsidRPr="00774346">
              <w:rPr>
                <w:sz w:val="20"/>
                <w:szCs w:val="20"/>
              </w:rPr>
              <w:lastRenderedPageBreak/>
              <w:t>8. Государственная пошлина за государственную регистрацию средства массовой информации, за внесение изменений в запись о регистрации средства массовой информации (в том числе связанных с изменением тематики или специализации), продукция которого предназначена для распространения преимущественно на территории субъекта Российской Федерации, территории муниципального образования – по данным Управления Федеральной службы по надзору в сфере связи, информационных технологий и массовых коммуникаций по Тверской области</w:t>
            </w:r>
          </w:p>
          <w:p w:rsidR="0058574E" w:rsidRPr="00774346" w:rsidRDefault="0058574E" w:rsidP="00E7317C">
            <w:pPr>
              <w:pStyle w:val="21"/>
              <w:ind w:left="720" w:hanging="720"/>
              <w:rPr>
                <w:sz w:val="20"/>
                <w:szCs w:val="20"/>
              </w:rPr>
            </w:pPr>
            <w:r w:rsidRPr="00774346">
              <w:rPr>
                <w:sz w:val="20"/>
                <w:szCs w:val="20"/>
              </w:rPr>
              <w:t>(000 1 08 07130 01 0000 110)</w:t>
            </w:r>
          </w:p>
          <w:p w:rsidR="0058574E" w:rsidRPr="00774346" w:rsidRDefault="0058574E" w:rsidP="00E7317C">
            <w:pPr>
              <w:pStyle w:val="21"/>
              <w:ind w:left="720" w:hanging="720"/>
              <w:rPr>
                <w:sz w:val="20"/>
                <w:szCs w:val="20"/>
              </w:rPr>
            </w:pPr>
          </w:p>
        </w:tc>
        <w:tc>
          <w:tcPr>
            <w:tcW w:w="1485" w:type="dxa"/>
          </w:tcPr>
          <w:p w:rsidR="0058574E" w:rsidRPr="00774346" w:rsidRDefault="0058574E" w:rsidP="00E7317C">
            <w:pPr>
              <w:pStyle w:val="21"/>
              <w:ind w:left="720"/>
              <w:rPr>
                <w:sz w:val="20"/>
                <w:szCs w:val="20"/>
              </w:rPr>
            </w:pPr>
          </w:p>
          <w:p w:rsidR="0058574E" w:rsidRPr="00774346" w:rsidRDefault="0058574E" w:rsidP="00E7317C">
            <w:pPr>
              <w:pStyle w:val="21"/>
              <w:ind w:left="720"/>
              <w:rPr>
                <w:sz w:val="20"/>
                <w:szCs w:val="20"/>
              </w:rPr>
            </w:pPr>
          </w:p>
          <w:p w:rsidR="0058574E" w:rsidRPr="00774346" w:rsidRDefault="0058574E" w:rsidP="00E7317C">
            <w:pPr>
              <w:pStyle w:val="21"/>
              <w:ind w:left="720"/>
              <w:rPr>
                <w:sz w:val="20"/>
                <w:szCs w:val="20"/>
              </w:rPr>
            </w:pPr>
          </w:p>
          <w:p w:rsidR="0058574E" w:rsidRPr="00774346" w:rsidRDefault="0058574E" w:rsidP="00E7317C">
            <w:pPr>
              <w:pStyle w:val="21"/>
              <w:ind w:left="720"/>
              <w:rPr>
                <w:sz w:val="20"/>
                <w:szCs w:val="20"/>
              </w:rPr>
            </w:pPr>
          </w:p>
          <w:p w:rsidR="0058574E" w:rsidRPr="00774346" w:rsidRDefault="0058574E" w:rsidP="00E7317C">
            <w:pPr>
              <w:pStyle w:val="21"/>
              <w:ind w:left="720"/>
              <w:rPr>
                <w:sz w:val="20"/>
                <w:szCs w:val="20"/>
              </w:rPr>
            </w:pPr>
          </w:p>
          <w:p w:rsidR="0058574E" w:rsidRPr="00774346" w:rsidRDefault="0058574E" w:rsidP="00E7317C">
            <w:pPr>
              <w:pStyle w:val="21"/>
              <w:ind w:left="720"/>
              <w:rPr>
                <w:sz w:val="20"/>
                <w:szCs w:val="20"/>
              </w:rPr>
            </w:pPr>
          </w:p>
          <w:p w:rsidR="0058574E" w:rsidRPr="00774346" w:rsidRDefault="0058574E" w:rsidP="00E7317C">
            <w:pPr>
              <w:pStyle w:val="21"/>
              <w:ind w:left="720"/>
              <w:rPr>
                <w:sz w:val="20"/>
                <w:szCs w:val="20"/>
              </w:rPr>
            </w:pPr>
          </w:p>
          <w:p w:rsidR="0058574E" w:rsidRPr="00774346" w:rsidRDefault="0058574E" w:rsidP="00E7317C">
            <w:pPr>
              <w:pStyle w:val="21"/>
              <w:ind w:left="720"/>
              <w:rPr>
                <w:sz w:val="20"/>
                <w:szCs w:val="20"/>
              </w:rPr>
            </w:pPr>
          </w:p>
          <w:p w:rsidR="0058574E" w:rsidRPr="00774346" w:rsidRDefault="0058574E" w:rsidP="00E7317C">
            <w:pPr>
              <w:pStyle w:val="21"/>
              <w:ind w:left="720"/>
              <w:rPr>
                <w:sz w:val="20"/>
                <w:szCs w:val="20"/>
              </w:rPr>
            </w:pPr>
          </w:p>
          <w:p w:rsidR="0058574E" w:rsidRPr="00774346" w:rsidRDefault="0058574E" w:rsidP="00E7317C">
            <w:pPr>
              <w:pStyle w:val="21"/>
              <w:ind w:left="720"/>
              <w:rPr>
                <w:sz w:val="20"/>
                <w:szCs w:val="20"/>
              </w:rPr>
            </w:pPr>
          </w:p>
          <w:p w:rsidR="0058574E" w:rsidRPr="00774346" w:rsidRDefault="0058574E" w:rsidP="00E7317C">
            <w:pPr>
              <w:pStyle w:val="21"/>
              <w:ind w:firstLine="0"/>
              <w:rPr>
                <w:sz w:val="20"/>
                <w:szCs w:val="20"/>
                <w:lang w:val="en-US"/>
              </w:rPr>
            </w:pPr>
          </w:p>
          <w:p w:rsidR="0058574E" w:rsidRPr="00774346" w:rsidRDefault="0058574E" w:rsidP="00E7317C">
            <w:pPr>
              <w:pStyle w:val="21"/>
              <w:ind w:firstLine="0"/>
              <w:jc w:val="center"/>
              <w:rPr>
                <w:sz w:val="20"/>
                <w:szCs w:val="20"/>
              </w:rPr>
            </w:pPr>
            <w:r w:rsidRPr="00774346">
              <w:rPr>
                <w:sz w:val="20"/>
                <w:szCs w:val="20"/>
              </w:rPr>
              <w:t>48,0</w:t>
            </w:r>
          </w:p>
        </w:tc>
        <w:tc>
          <w:tcPr>
            <w:tcW w:w="1633" w:type="dxa"/>
          </w:tcPr>
          <w:p w:rsidR="0058574E" w:rsidRPr="00774346" w:rsidRDefault="0058574E" w:rsidP="00E7317C">
            <w:pPr>
              <w:pStyle w:val="21"/>
              <w:ind w:left="720"/>
              <w:rPr>
                <w:sz w:val="20"/>
                <w:szCs w:val="20"/>
              </w:rPr>
            </w:pPr>
          </w:p>
          <w:p w:rsidR="0058574E" w:rsidRPr="00774346" w:rsidRDefault="0058574E" w:rsidP="00E7317C">
            <w:pPr>
              <w:pStyle w:val="21"/>
              <w:ind w:left="720"/>
              <w:rPr>
                <w:sz w:val="20"/>
                <w:szCs w:val="20"/>
              </w:rPr>
            </w:pPr>
          </w:p>
          <w:p w:rsidR="0058574E" w:rsidRPr="00774346" w:rsidRDefault="0058574E" w:rsidP="00E7317C">
            <w:pPr>
              <w:pStyle w:val="21"/>
              <w:ind w:left="720"/>
              <w:rPr>
                <w:sz w:val="20"/>
                <w:szCs w:val="20"/>
              </w:rPr>
            </w:pPr>
          </w:p>
          <w:p w:rsidR="0058574E" w:rsidRPr="00774346" w:rsidRDefault="0058574E" w:rsidP="00E7317C">
            <w:pPr>
              <w:pStyle w:val="21"/>
              <w:ind w:left="720"/>
              <w:rPr>
                <w:sz w:val="20"/>
                <w:szCs w:val="20"/>
              </w:rPr>
            </w:pPr>
          </w:p>
          <w:p w:rsidR="0058574E" w:rsidRPr="00774346" w:rsidRDefault="0058574E" w:rsidP="00E7317C">
            <w:pPr>
              <w:pStyle w:val="21"/>
              <w:ind w:left="720"/>
              <w:rPr>
                <w:sz w:val="20"/>
                <w:szCs w:val="20"/>
              </w:rPr>
            </w:pPr>
          </w:p>
          <w:p w:rsidR="0058574E" w:rsidRPr="00774346" w:rsidRDefault="0058574E" w:rsidP="00E7317C">
            <w:pPr>
              <w:pStyle w:val="21"/>
              <w:ind w:left="720"/>
              <w:rPr>
                <w:sz w:val="20"/>
                <w:szCs w:val="20"/>
              </w:rPr>
            </w:pPr>
          </w:p>
          <w:p w:rsidR="0058574E" w:rsidRPr="00774346" w:rsidRDefault="0058574E" w:rsidP="00E7317C">
            <w:pPr>
              <w:pStyle w:val="21"/>
              <w:ind w:left="720"/>
              <w:rPr>
                <w:sz w:val="20"/>
                <w:szCs w:val="20"/>
              </w:rPr>
            </w:pPr>
          </w:p>
          <w:p w:rsidR="0058574E" w:rsidRPr="00774346" w:rsidRDefault="0058574E" w:rsidP="00E7317C">
            <w:pPr>
              <w:pStyle w:val="21"/>
              <w:ind w:left="720"/>
              <w:rPr>
                <w:sz w:val="20"/>
                <w:szCs w:val="20"/>
              </w:rPr>
            </w:pPr>
          </w:p>
          <w:p w:rsidR="0058574E" w:rsidRPr="00774346" w:rsidRDefault="0058574E" w:rsidP="00E7317C">
            <w:pPr>
              <w:pStyle w:val="21"/>
              <w:ind w:left="720"/>
              <w:rPr>
                <w:sz w:val="20"/>
                <w:szCs w:val="20"/>
              </w:rPr>
            </w:pPr>
          </w:p>
          <w:p w:rsidR="0058574E" w:rsidRPr="00774346" w:rsidRDefault="0058574E" w:rsidP="00E7317C">
            <w:pPr>
              <w:pStyle w:val="21"/>
              <w:ind w:left="720"/>
              <w:rPr>
                <w:sz w:val="20"/>
                <w:szCs w:val="20"/>
              </w:rPr>
            </w:pPr>
          </w:p>
          <w:p w:rsidR="0058574E" w:rsidRPr="00774346" w:rsidRDefault="0058574E" w:rsidP="00E7317C">
            <w:pPr>
              <w:pStyle w:val="21"/>
              <w:ind w:firstLine="0"/>
              <w:rPr>
                <w:sz w:val="20"/>
                <w:szCs w:val="20"/>
              </w:rPr>
            </w:pPr>
          </w:p>
          <w:p w:rsidR="0058574E" w:rsidRPr="00774346" w:rsidRDefault="0058574E" w:rsidP="00E7317C">
            <w:pPr>
              <w:pStyle w:val="21"/>
              <w:ind w:firstLine="0"/>
              <w:jc w:val="center"/>
              <w:rPr>
                <w:sz w:val="20"/>
                <w:szCs w:val="20"/>
              </w:rPr>
            </w:pPr>
            <w:r w:rsidRPr="00774346">
              <w:rPr>
                <w:sz w:val="20"/>
                <w:szCs w:val="20"/>
              </w:rPr>
              <w:t>48,0</w:t>
            </w:r>
          </w:p>
        </w:tc>
        <w:tc>
          <w:tcPr>
            <w:tcW w:w="1701" w:type="dxa"/>
          </w:tcPr>
          <w:p w:rsidR="0058574E" w:rsidRPr="00774346" w:rsidRDefault="0058574E" w:rsidP="00E7317C">
            <w:pPr>
              <w:pStyle w:val="21"/>
              <w:ind w:left="720"/>
              <w:rPr>
                <w:sz w:val="20"/>
                <w:szCs w:val="20"/>
              </w:rPr>
            </w:pPr>
          </w:p>
          <w:p w:rsidR="0058574E" w:rsidRPr="00774346" w:rsidRDefault="0058574E" w:rsidP="00E7317C">
            <w:pPr>
              <w:pStyle w:val="21"/>
              <w:ind w:left="720"/>
              <w:rPr>
                <w:sz w:val="20"/>
                <w:szCs w:val="20"/>
              </w:rPr>
            </w:pPr>
          </w:p>
          <w:p w:rsidR="0058574E" w:rsidRPr="00774346" w:rsidRDefault="0058574E" w:rsidP="00E7317C">
            <w:pPr>
              <w:pStyle w:val="21"/>
              <w:ind w:left="720"/>
              <w:rPr>
                <w:sz w:val="20"/>
                <w:szCs w:val="20"/>
              </w:rPr>
            </w:pPr>
          </w:p>
          <w:p w:rsidR="0058574E" w:rsidRPr="00774346" w:rsidRDefault="0058574E" w:rsidP="00E7317C">
            <w:pPr>
              <w:pStyle w:val="21"/>
              <w:ind w:left="720"/>
              <w:rPr>
                <w:sz w:val="20"/>
                <w:szCs w:val="20"/>
              </w:rPr>
            </w:pPr>
          </w:p>
          <w:p w:rsidR="0058574E" w:rsidRPr="00774346" w:rsidRDefault="0058574E" w:rsidP="00E7317C">
            <w:pPr>
              <w:pStyle w:val="21"/>
              <w:ind w:left="720"/>
              <w:rPr>
                <w:sz w:val="20"/>
                <w:szCs w:val="20"/>
              </w:rPr>
            </w:pPr>
          </w:p>
          <w:p w:rsidR="0058574E" w:rsidRPr="00774346" w:rsidRDefault="0058574E" w:rsidP="00E7317C">
            <w:pPr>
              <w:pStyle w:val="21"/>
              <w:ind w:left="720"/>
              <w:rPr>
                <w:sz w:val="20"/>
                <w:szCs w:val="20"/>
              </w:rPr>
            </w:pPr>
          </w:p>
          <w:p w:rsidR="0058574E" w:rsidRPr="00774346" w:rsidRDefault="0058574E" w:rsidP="00E7317C">
            <w:pPr>
              <w:pStyle w:val="21"/>
              <w:ind w:left="720"/>
              <w:rPr>
                <w:sz w:val="20"/>
                <w:szCs w:val="20"/>
              </w:rPr>
            </w:pPr>
          </w:p>
          <w:p w:rsidR="0058574E" w:rsidRPr="00774346" w:rsidRDefault="0058574E" w:rsidP="00E7317C">
            <w:pPr>
              <w:pStyle w:val="21"/>
              <w:ind w:firstLine="0"/>
              <w:rPr>
                <w:sz w:val="20"/>
                <w:szCs w:val="20"/>
              </w:rPr>
            </w:pPr>
          </w:p>
          <w:p w:rsidR="0058574E" w:rsidRPr="00774346" w:rsidRDefault="0058574E" w:rsidP="00E7317C">
            <w:pPr>
              <w:pStyle w:val="21"/>
              <w:ind w:firstLine="0"/>
              <w:rPr>
                <w:sz w:val="20"/>
                <w:szCs w:val="20"/>
              </w:rPr>
            </w:pPr>
          </w:p>
          <w:p w:rsidR="0058574E" w:rsidRPr="00774346" w:rsidRDefault="0058574E" w:rsidP="00E7317C">
            <w:pPr>
              <w:pStyle w:val="21"/>
              <w:ind w:firstLine="0"/>
              <w:rPr>
                <w:sz w:val="20"/>
                <w:szCs w:val="20"/>
              </w:rPr>
            </w:pPr>
          </w:p>
          <w:p w:rsidR="0058574E" w:rsidRPr="00774346" w:rsidRDefault="0058574E" w:rsidP="00E7317C">
            <w:pPr>
              <w:pStyle w:val="21"/>
              <w:ind w:firstLine="0"/>
              <w:rPr>
                <w:sz w:val="20"/>
                <w:szCs w:val="20"/>
              </w:rPr>
            </w:pPr>
          </w:p>
          <w:p w:rsidR="0058574E" w:rsidRPr="00774346" w:rsidRDefault="0058574E" w:rsidP="00E7317C">
            <w:pPr>
              <w:pStyle w:val="21"/>
              <w:ind w:firstLine="0"/>
              <w:jc w:val="center"/>
              <w:rPr>
                <w:sz w:val="20"/>
                <w:szCs w:val="20"/>
              </w:rPr>
            </w:pPr>
            <w:r w:rsidRPr="00774346">
              <w:rPr>
                <w:sz w:val="20"/>
                <w:szCs w:val="20"/>
              </w:rPr>
              <w:t>48,0</w:t>
            </w:r>
          </w:p>
        </w:tc>
      </w:tr>
      <w:tr w:rsidR="0058574E" w:rsidRPr="000C7712" w:rsidTr="00E7317C">
        <w:tc>
          <w:tcPr>
            <w:tcW w:w="5388" w:type="dxa"/>
          </w:tcPr>
          <w:p w:rsidR="0058574E" w:rsidRPr="00DC7FEB" w:rsidRDefault="0058574E" w:rsidP="00E7317C">
            <w:pPr>
              <w:autoSpaceDE w:val="0"/>
              <w:autoSpaceDN w:val="0"/>
              <w:adjustRightInd w:val="0"/>
              <w:jc w:val="both"/>
              <w:rPr>
                <w:sz w:val="20"/>
                <w:szCs w:val="20"/>
              </w:rPr>
            </w:pPr>
            <w:r w:rsidRPr="00DC7FEB">
              <w:rPr>
                <w:sz w:val="20"/>
                <w:szCs w:val="20"/>
              </w:rPr>
              <w:t xml:space="preserve">9. 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 – по данным УМВД России по Тверской области            </w:t>
            </w:r>
          </w:p>
          <w:p w:rsidR="0058574E" w:rsidRPr="00DC7FEB" w:rsidRDefault="0058574E" w:rsidP="00E7317C">
            <w:pPr>
              <w:pStyle w:val="21"/>
              <w:ind w:left="18" w:firstLine="0"/>
              <w:rPr>
                <w:sz w:val="20"/>
                <w:szCs w:val="20"/>
              </w:rPr>
            </w:pPr>
            <w:r w:rsidRPr="00DC7FEB">
              <w:rPr>
                <w:sz w:val="20"/>
                <w:szCs w:val="20"/>
              </w:rPr>
              <w:t>(000 1 08 07141 01 0000 110)</w:t>
            </w:r>
          </w:p>
          <w:p w:rsidR="0058574E" w:rsidRPr="00DC7FEB" w:rsidRDefault="0058574E" w:rsidP="00E7317C">
            <w:pPr>
              <w:pStyle w:val="21"/>
              <w:ind w:left="18" w:firstLine="0"/>
              <w:rPr>
                <w:sz w:val="20"/>
                <w:szCs w:val="20"/>
              </w:rPr>
            </w:pPr>
          </w:p>
        </w:tc>
        <w:tc>
          <w:tcPr>
            <w:tcW w:w="1485" w:type="dxa"/>
            <w:vAlign w:val="bottom"/>
          </w:tcPr>
          <w:p w:rsidR="0058574E" w:rsidRPr="00DC7FEB" w:rsidRDefault="0058574E" w:rsidP="00E7317C">
            <w:pPr>
              <w:pStyle w:val="21"/>
              <w:ind w:firstLine="0"/>
              <w:jc w:val="center"/>
              <w:rPr>
                <w:sz w:val="20"/>
                <w:szCs w:val="20"/>
              </w:rPr>
            </w:pPr>
            <w:r w:rsidRPr="00DC7FEB">
              <w:rPr>
                <w:sz w:val="20"/>
                <w:szCs w:val="20"/>
              </w:rPr>
              <w:t>10 196,3</w:t>
            </w:r>
          </w:p>
        </w:tc>
        <w:tc>
          <w:tcPr>
            <w:tcW w:w="1633" w:type="dxa"/>
            <w:vAlign w:val="bottom"/>
          </w:tcPr>
          <w:p w:rsidR="0058574E" w:rsidRPr="00DC7FEB" w:rsidRDefault="0058574E" w:rsidP="00E7317C">
            <w:pPr>
              <w:pStyle w:val="21"/>
              <w:ind w:firstLine="0"/>
              <w:jc w:val="center"/>
              <w:rPr>
                <w:sz w:val="20"/>
                <w:szCs w:val="20"/>
              </w:rPr>
            </w:pPr>
            <w:r w:rsidRPr="00DC7FEB">
              <w:rPr>
                <w:sz w:val="20"/>
                <w:szCs w:val="20"/>
              </w:rPr>
              <w:t>8 956,6</w:t>
            </w:r>
          </w:p>
        </w:tc>
        <w:tc>
          <w:tcPr>
            <w:tcW w:w="1701" w:type="dxa"/>
            <w:vAlign w:val="bottom"/>
          </w:tcPr>
          <w:p w:rsidR="0058574E" w:rsidRPr="00DC7FEB" w:rsidRDefault="0058574E" w:rsidP="00E7317C">
            <w:pPr>
              <w:pStyle w:val="21"/>
              <w:ind w:firstLine="0"/>
              <w:jc w:val="center"/>
              <w:rPr>
                <w:sz w:val="20"/>
                <w:szCs w:val="20"/>
              </w:rPr>
            </w:pPr>
            <w:r w:rsidRPr="00DC7FEB">
              <w:rPr>
                <w:sz w:val="20"/>
                <w:szCs w:val="20"/>
              </w:rPr>
              <w:t>9 173,2</w:t>
            </w:r>
          </w:p>
        </w:tc>
      </w:tr>
      <w:tr w:rsidR="0058574E" w:rsidRPr="000C7712" w:rsidTr="00E7317C">
        <w:tc>
          <w:tcPr>
            <w:tcW w:w="5388" w:type="dxa"/>
          </w:tcPr>
          <w:p w:rsidR="0058574E" w:rsidRPr="00DC7FEB" w:rsidRDefault="0058574E" w:rsidP="00E7317C">
            <w:pPr>
              <w:pStyle w:val="21"/>
              <w:ind w:left="18" w:firstLine="0"/>
              <w:rPr>
                <w:sz w:val="20"/>
                <w:szCs w:val="20"/>
              </w:rPr>
            </w:pPr>
            <w:r w:rsidRPr="00DC7FEB">
              <w:rPr>
                <w:sz w:val="20"/>
                <w:szCs w:val="20"/>
              </w:rPr>
              <w:t>10. Государственная пошлина за совершение действий уполномоченными органами исполнительной власти субъектов Российской Федерации, связанных с выдачей документов о проведении государственного технического осмотра тракторов, самоходных дорожно-строительных и иных самоходных машин и прицепов к ним, государственной регистрацией мототранспортных средств, прицепов, тракторов, самоходных дорожно-строительных и иных самоходных машин, выдачей удостоверений тракториста-машиниста (тракториста), временных удостоверений на право управления самоходными машинами, в том числе взамен утраченных или пришедших в негодность – по данным Главного управления  «Государственная инспекция по надзору за техническим состоянием самоходных машин и других видов техники» Тверской области</w:t>
            </w:r>
          </w:p>
          <w:p w:rsidR="0058574E" w:rsidRPr="00DC7FEB" w:rsidRDefault="0058574E" w:rsidP="00E7317C">
            <w:pPr>
              <w:autoSpaceDE w:val="0"/>
              <w:autoSpaceDN w:val="0"/>
              <w:adjustRightInd w:val="0"/>
              <w:jc w:val="both"/>
              <w:rPr>
                <w:sz w:val="20"/>
                <w:szCs w:val="20"/>
              </w:rPr>
            </w:pPr>
            <w:r w:rsidRPr="00DC7FEB">
              <w:rPr>
                <w:sz w:val="20"/>
                <w:szCs w:val="20"/>
              </w:rPr>
              <w:t>(000 1 08 07142 01 0000 110)</w:t>
            </w:r>
          </w:p>
          <w:p w:rsidR="0058574E" w:rsidRPr="00DC7FEB" w:rsidRDefault="0058574E" w:rsidP="00E7317C">
            <w:pPr>
              <w:autoSpaceDE w:val="0"/>
              <w:autoSpaceDN w:val="0"/>
              <w:adjustRightInd w:val="0"/>
              <w:jc w:val="both"/>
              <w:rPr>
                <w:sz w:val="20"/>
                <w:szCs w:val="20"/>
              </w:rPr>
            </w:pPr>
          </w:p>
        </w:tc>
        <w:tc>
          <w:tcPr>
            <w:tcW w:w="1485" w:type="dxa"/>
            <w:vAlign w:val="bottom"/>
          </w:tcPr>
          <w:p w:rsidR="0058574E" w:rsidRPr="00DC7FEB" w:rsidRDefault="0058574E" w:rsidP="00E7317C">
            <w:pPr>
              <w:pStyle w:val="21"/>
              <w:ind w:left="720"/>
              <w:jc w:val="center"/>
              <w:rPr>
                <w:sz w:val="20"/>
                <w:szCs w:val="20"/>
              </w:rPr>
            </w:pPr>
          </w:p>
          <w:p w:rsidR="0058574E" w:rsidRPr="00DC7FEB" w:rsidRDefault="0058574E" w:rsidP="00E7317C">
            <w:pPr>
              <w:pStyle w:val="21"/>
              <w:ind w:left="720"/>
              <w:jc w:val="center"/>
              <w:rPr>
                <w:sz w:val="20"/>
                <w:szCs w:val="20"/>
              </w:rPr>
            </w:pPr>
          </w:p>
          <w:p w:rsidR="0058574E" w:rsidRPr="00DC7FEB" w:rsidRDefault="0058574E" w:rsidP="00E7317C">
            <w:pPr>
              <w:pStyle w:val="21"/>
              <w:ind w:left="720"/>
              <w:jc w:val="center"/>
              <w:rPr>
                <w:sz w:val="20"/>
                <w:szCs w:val="20"/>
              </w:rPr>
            </w:pPr>
          </w:p>
          <w:p w:rsidR="0058574E" w:rsidRPr="00DC7FEB" w:rsidRDefault="0058574E" w:rsidP="00E7317C">
            <w:pPr>
              <w:pStyle w:val="21"/>
              <w:ind w:left="720"/>
              <w:jc w:val="center"/>
              <w:rPr>
                <w:sz w:val="20"/>
                <w:szCs w:val="20"/>
              </w:rPr>
            </w:pPr>
          </w:p>
          <w:p w:rsidR="0058574E" w:rsidRPr="00DC7FEB" w:rsidRDefault="0058574E" w:rsidP="00E7317C">
            <w:pPr>
              <w:pStyle w:val="21"/>
              <w:ind w:left="720"/>
              <w:jc w:val="center"/>
              <w:rPr>
                <w:sz w:val="20"/>
                <w:szCs w:val="20"/>
              </w:rPr>
            </w:pPr>
          </w:p>
          <w:p w:rsidR="0058574E" w:rsidRPr="00DC7FEB" w:rsidRDefault="0058574E" w:rsidP="00E7317C">
            <w:pPr>
              <w:pStyle w:val="21"/>
              <w:ind w:left="720"/>
              <w:jc w:val="center"/>
              <w:rPr>
                <w:sz w:val="20"/>
                <w:szCs w:val="20"/>
              </w:rPr>
            </w:pPr>
          </w:p>
          <w:p w:rsidR="0058574E" w:rsidRPr="00DC7FEB" w:rsidRDefault="0058574E" w:rsidP="00E7317C">
            <w:pPr>
              <w:pStyle w:val="21"/>
              <w:ind w:left="720"/>
              <w:jc w:val="center"/>
              <w:rPr>
                <w:sz w:val="20"/>
                <w:szCs w:val="20"/>
              </w:rPr>
            </w:pPr>
          </w:p>
          <w:p w:rsidR="0058574E" w:rsidRPr="00DC7FEB" w:rsidRDefault="0058574E" w:rsidP="00E7317C">
            <w:pPr>
              <w:pStyle w:val="21"/>
              <w:ind w:firstLine="0"/>
              <w:jc w:val="center"/>
              <w:rPr>
                <w:sz w:val="20"/>
                <w:szCs w:val="20"/>
              </w:rPr>
            </w:pPr>
            <w:r w:rsidRPr="00DC7FEB">
              <w:rPr>
                <w:sz w:val="20"/>
                <w:szCs w:val="20"/>
              </w:rPr>
              <w:t>21 866,7</w:t>
            </w:r>
          </w:p>
        </w:tc>
        <w:tc>
          <w:tcPr>
            <w:tcW w:w="1633" w:type="dxa"/>
          </w:tcPr>
          <w:p w:rsidR="0058574E" w:rsidRPr="00DC7FEB" w:rsidRDefault="0058574E" w:rsidP="00E7317C">
            <w:pPr>
              <w:pStyle w:val="21"/>
              <w:ind w:left="720"/>
              <w:rPr>
                <w:sz w:val="20"/>
                <w:szCs w:val="20"/>
              </w:rPr>
            </w:pPr>
          </w:p>
          <w:p w:rsidR="0058574E" w:rsidRPr="00DC7FEB" w:rsidRDefault="0058574E" w:rsidP="00E7317C">
            <w:pPr>
              <w:pStyle w:val="21"/>
              <w:ind w:left="720"/>
              <w:rPr>
                <w:sz w:val="20"/>
                <w:szCs w:val="20"/>
              </w:rPr>
            </w:pPr>
          </w:p>
          <w:p w:rsidR="0058574E" w:rsidRPr="00DC7FEB" w:rsidRDefault="0058574E" w:rsidP="00E7317C">
            <w:pPr>
              <w:pStyle w:val="21"/>
              <w:ind w:left="720"/>
              <w:rPr>
                <w:sz w:val="20"/>
                <w:szCs w:val="20"/>
              </w:rPr>
            </w:pPr>
          </w:p>
          <w:p w:rsidR="0058574E" w:rsidRPr="00DC7FEB" w:rsidRDefault="0058574E" w:rsidP="00E7317C">
            <w:pPr>
              <w:pStyle w:val="21"/>
              <w:ind w:left="720"/>
              <w:rPr>
                <w:sz w:val="20"/>
                <w:szCs w:val="20"/>
              </w:rPr>
            </w:pPr>
          </w:p>
          <w:p w:rsidR="0058574E" w:rsidRPr="00DC7FEB" w:rsidRDefault="0058574E" w:rsidP="00E7317C">
            <w:pPr>
              <w:pStyle w:val="21"/>
              <w:ind w:left="720"/>
              <w:rPr>
                <w:sz w:val="20"/>
                <w:szCs w:val="20"/>
              </w:rPr>
            </w:pPr>
          </w:p>
          <w:p w:rsidR="0058574E" w:rsidRPr="00DC7FEB" w:rsidRDefault="0058574E" w:rsidP="00E7317C">
            <w:pPr>
              <w:pStyle w:val="21"/>
              <w:ind w:left="720"/>
              <w:rPr>
                <w:sz w:val="20"/>
                <w:szCs w:val="20"/>
              </w:rPr>
            </w:pPr>
          </w:p>
          <w:p w:rsidR="0058574E" w:rsidRPr="00DC7FEB" w:rsidRDefault="0058574E" w:rsidP="00E7317C">
            <w:pPr>
              <w:pStyle w:val="21"/>
              <w:ind w:left="720"/>
              <w:rPr>
                <w:sz w:val="20"/>
                <w:szCs w:val="20"/>
              </w:rPr>
            </w:pPr>
          </w:p>
          <w:p w:rsidR="0058574E" w:rsidRPr="00DC7FEB" w:rsidRDefault="0058574E" w:rsidP="00E7317C">
            <w:pPr>
              <w:pStyle w:val="21"/>
              <w:ind w:left="720"/>
              <w:rPr>
                <w:sz w:val="20"/>
                <w:szCs w:val="20"/>
              </w:rPr>
            </w:pPr>
          </w:p>
          <w:p w:rsidR="0058574E" w:rsidRPr="00DC7FEB" w:rsidRDefault="0058574E" w:rsidP="00E7317C">
            <w:pPr>
              <w:pStyle w:val="21"/>
              <w:ind w:firstLine="0"/>
              <w:rPr>
                <w:sz w:val="20"/>
                <w:szCs w:val="20"/>
                <w:lang w:val="en-US"/>
              </w:rPr>
            </w:pPr>
          </w:p>
          <w:p w:rsidR="0058574E" w:rsidRPr="00DC7FEB" w:rsidRDefault="0058574E" w:rsidP="00E7317C">
            <w:pPr>
              <w:pStyle w:val="21"/>
              <w:ind w:left="720" w:firstLine="0"/>
              <w:rPr>
                <w:sz w:val="20"/>
                <w:szCs w:val="20"/>
                <w:lang w:val="en-US"/>
              </w:rPr>
            </w:pPr>
          </w:p>
          <w:p w:rsidR="0058574E" w:rsidRPr="00DC7FEB" w:rsidRDefault="0058574E" w:rsidP="00E7317C">
            <w:pPr>
              <w:pStyle w:val="21"/>
              <w:ind w:left="720" w:firstLine="0"/>
              <w:rPr>
                <w:sz w:val="20"/>
                <w:szCs w:val="20"/>
                <w:lang w:val="en-US"/>
              </w:rPr>
            </w:pPr>
          </w:p>
          <w:p w:rsidR="0058574E" w:rsidRPr="00DC7FEB" w:rsidRDefault="0058574E" w:rsidP="00E7317C">
            <w:pPr>
              <w:pStyle w:val="21"/>
              <w:ind w:left="720" w:firstLine="0"/>
              <w:rPr>
                <w:sz w:val="20"/>
                <w:szCs w:val="20"/>
                <w:lang w:val="en-US"/>
              </w:rPr>
            </w:pPr>
          </w:p>
          <w:p w:rsidR="0058574E" w:rsidRPr="00DC7FEB" w:rsidRDefault="0058574E" w:rsidP="00E7317C">
            <w:pPr>
              <w:pStyle w:val="21"/>
              <w:ind w:left="720" w:firstLine="0"/>
              <w:rPr>
                <w:sz w:val="20"/>
                <w:szCs w:val="20"/>
                <w:lang w:val="en-US"/>
              </w:rPr>
            </w:pPr>
          </w:p>
          <w:p w:rsidR="0058574E" w:rsidRPr="00DC7FEB" w:rsidRDefault="0058574E" w:rsidP="00E7317C">
            <w:pPr>
              <w:pStyle w:val="21"/>
              <w:ind w:left="720" w:firstLine="0"/>
              <w:rPr>
                <w:sz w:val="20"/>
                <w:szCs w:val="20"/>
                <w:lang w:val="en-US"/>
              </w:rPr>
            </w:pPr>
          </w:p>
          <w:p w:rsidR="0058574E" w:rsidRPr="00DC7FEB" w:rsidRDefault="0058574E" w:rsidP="00E7317C">
            <w:pPr>
              <w:pStyle w:val="21"/>
              <w:ind w:left="720" w:firstLine="0"/>
              <w:rPr>
                <w:sz w:val="20"/>
                <w:szCs w:val="20"/>
                <w:lang w:val="en-US"/>
              </w:rPr>
            </w:pPr>
          </w:p>
          <w:p w:rsidR="0058574E" w:rsidRPr="00DC7FEB" w:rsidRDefault="0058574E" w:rsidP="00E7317C">
            <w:pPr>
              <w:pStyle w:val="21"/>
              <w:ind w:left="720" w:firstLine="0"/>
              <w:rPr>
                <w:sz w:val="20"/>
                <w:szCs w:val="20"/>
                <w:lang w:val="en-US"/>
              </w:rPr>
            </w:pPr>
          </w:p>
          <w:p w:rsidR="0058574E" w:rsidRPr="00DC7FEB" w:rsidRDefault="0058574E" w:rsidP="00E7317C">
            <w:pPr>
              <w:pStyle w:val="21"/>
              <w:ind w:left="720" w:firstLine="0"/>
              <w:rPr>
                <w:sz w:val="20"/>
                <w:szCs w:val="20"/>
                <w:lang w:val="en-US"/>
              </w:rPr>
            </w:pPr>
          </w:p>
          <w:p w:rsidR="0058574E" w:rsidRPr="00DC7FEB" w:rsidRDefault="0058574E" w:rsidP="00E7317C">
            <w:pPr>
              <w:pStyle w:val="21"/>
              <w:ind w:firstLine="0"/>
              <w:jc w:val="center"/>
              <w:rPr>
                <w:sz w:val="20"/>
                <w:szCs w:val="20"/>
              </w:rPr>
            </w:pPr>
            <w:r w:rsidRPr="00DC7FEB">
              <w:rPr>
                <w:sz w:val="20"/>
                <w:szCs w:val="20"/>
              </w:rPr>
              <w:t>22 009,6</w:t>
            </w:r>
          </w:p>
        </w:tc>
        <w:tc>
          <w:tcPr>
            <w:tcW w:w="1701" w:type="dxa"/>
          </w:tcPr>
          <w:p w:rsidR="0058574E" w:rsidRPr="00DC7FEB" w:rsidRDefault="0058574E" w:rsidP="00E7317C">
            <w:pPr>
              <w:pStyle w:val="21"/>
              <w:ind w:left="720"/>
              <w:rPr>
                <w:sz w:val="20"/>
                <w:szCs w:val="20"/>
              </w:rPr>
            </w:pPr>
          </w:p>
          <w:p w:rsidR="0058574E" w:rsidRPr="00DC7FEB" w:rsidRDefault="0058574E" w:rsidP="00E7317C">
            <w:pPr>
              <w:pStyle w:val="21"/>
              <w:ind w:left="720"/>
              <w:rPr>
                <w:sz w:val="20"/>
                <w:szCs w:val="20"/>
              </w:rPr>
            </w:pPr>
          </w:p>
          <w:p w:rsidR="0058574E" w:rsidRPr="00DC7FEB" w:rsidRDefault="0058574E" w:rsidP="00E7317C">
            <w:pPr>
              <w:pStyle w:val="21"/>
              <w:ind w:left="720"/>
              <w:rPr>
                <w:sz w:val="20"/>
                <w:szCs w:val="20"/>
              </w:rPr>
            </w:pPr>
          </w:p>
          <w:p w:rsidR="0058574E" w:rsidRPr="00DC7FEB" w:rsidRDefault="0058574E" w:rsidP="00E7317C">
            <w:pPr>
              <w:pStyle w:val="21"/>
              <w:ind w:left="720"/>
              <w:rPr>
                <w:sz w:val="20"/>
                <w:szCs w:val="20"/>
              </w:rPr>
            </w:pPr>
          </w:p>
          <w:p w:rsidR="0058574E" w:rsidRPr="00DC7FEB" w:rsidRDefault="0058574E" w:rsidP="00E7317C">
            <w:pPr>
              <w:pStyle w:val="21"/>
              <w:ind w:left="720"/>
              <w:rPr>
                <w:sz w:val="20"/>
                <w:szCs w:val="20"/>
              </w:rPr>
            </w:pPr>
          </w:p>
          <w:p w:rsidR="0058574E" w:rsidRPr="00DC7FEB" w:rsidRDefault="0058574E" w:rsidP="00E7317C">
            <w:pPr>
              <w:pStyle w:val="21"/>
              <w:ind w:left="720"/>
              <w:rPr>
                <w:sz w:val="20"/>
                <w:szCs w:val="20"/>
              </w:rPr>
            </w:pPr>
          </w:p>
          <w:p w:rsidR="0058574E" w:rsidRPr="00DC7FEB" w:rsidRDefault="0058574E" w:rsidP="00E7317C">
            <w:pPr>
              <w:pStyle w:val="21"/>
              <w:ind w:left="720"/>
              <w:rPr>
                <w:sz w:val="20"/>
                <w:szCs w:val="20"/>
              </w:rPr>
            </w:pPr>
          </w:p>
          <w:p w:rsidR="0058574E" w:rsidRPr="00DC7FEB" w:rsidRDefault="0058574E" w:rsidP="00E7317C">
            <w:pPr>
              <w:pStyle w:val="21"/>
              <w:ind w:left="720"/>
              <w:rPr>
                <w:sz w:val="20"/>
                <w:szCs w:val="20"/>
              </w:rPr>
            </w:pPr>
          </w:p>
          <w:p w:rsidR="0058574E" w:rsidRPr="00DC7FEB" w:rsidRDefault="0058574E" w:rsidP="00E7317C">
            <w:pPr>
              <w:pStyle w:val="21"/>
              <w:ind w:left="720"/>
              <w:rPr>
                <w:sz w:val="20"/>
                <w:szCs w:val="20"/>
              </w:rPr>
            </w:pPr>
          </w:p>
          <w:p w:rsidR="0058574E" w:rsidRPr="00DC7FEB" w:rsidRDefault="0058574E" w:rsidP="00E7317C">
            <w:pPr>
              <w:pStyle w:val="21"/>
              <w:ind w:firstLine="0"/>
              <w:rPr>
                <w:sz w:val="20"/>
                <w:szCs w:val="20"/>
                <w:lang w:val="en-US"/>
              </w:rPr>
            </w:pPr>
          </w:p>
          <w:p w:rsidR="0058574E" w:rsidRPr="00DC7FEB" w:rsidRDefault="0058574E" w:rsidP="00E7317C">
            <w:pPr>
              <w:pStyle w:val="21"/>
              <w:ind w:firstLine="0"/>
              <w:rPr>
                <w:sz w:val="20"/>
                <w:szCs w:val="20"/>
                <w:lang w:val="en-US"/>
              </w:rPr>
            </w:pPr>
          </w:p>
          <w:p w:rsidR="0058574E" w:rsidRPr="00DC7FEB" w:rsidRDefault="0058574E" w:rsidP="00E7317C">
            <w:pPr>
              <w:pStyle w:val="21"/>
              <w:ind w:firstLine="0"/>
              <w:rPr>
                <w:sz w:val="20"/>
                <w:szCs w:val="20"/>
                <w:lang w:val="en-US"/>
              </w:rPr>
            </w:pPr>
          </w:p>
          <w:p w:rsidR="0058574E" w:rsidRPr="00DC7FEB" w:rsidRDefault="0058574E" w:rsidP="00E7317C">
            <w:pPr>
              <w:pStyle w:val="21"/>
              <w:ind w:firstLine="0"/>
              <w:rPr>
                <w:sz w:val="20"/>
                <w:szCs w:val="20"/>
                <w:lang w:val="en-US"/>
              </w:rPr>
            </w:pPr>
          </w:p>
          <w:p w:rsidR="0058574E" w:rsidRPr="00DC7FEB" w:rsidRDefault="0058574E" w:rsidP="00E7317C">
            <w:pPr>
              <w:pStyle w:val="21"/>
              <w:ind w:firstLine="0"/>
              <w:rPr>
                <w:sz w:val="20"/>
                <w:szCs w:val="20"/>
                <w:lang w:val="en-US"/>
              </w:rPr>
            </w:pPr>
          </w:p>
          <w:p w:rsidR="0058574E" w:rsidRPr="00DC7FEB" w:rsidRDefault="0058574E" w:rsidP="00E7317C">
            <w:pPr>
              <w:pStyle w:val="21"/>
              <w:ind w:firstLine="0"/>
              <w:rPr>
                <w:sz w:val="20"/>
                <w:szCs w:val="20"/>
                <w:lang w:val="en-US"/>
              </w:rPr>
            </w:pPr>
          </w:p>
          <w:p w:rsidR="0058574E" w:rsidRPr="00DC7FEB" w:rsidRDefault="0058574E" w:rsidP="00E7317C">
            <w:pPr>
              <w:pStyle w:val="21"/>
              <w:ind w:firstLine="0"/>
              <w:rPr>
                <w:sz w:val="20"/>
                <w:szCs w:val="20"/>
                <w:lang w:val="en-US"/>
              </w:rPr>
            </w:pPr>
          </w:p>
          <w:p w:rsidR="0058574E" w:rsidRPr="00DC7FEB" w:rsidRDefault="0058574E" w:rsidP="00E7317C">
            <w:pPr>
              <w:pStyle w:val="21"/>
              <w:ind w:firstLine="0"/>
              <w:rPr>
                <w:sz w:val="20"/>
                <w:szCs w:val="20"/>
                <w:lang w:val="en-US"/>
              </w:rPr>
            </w:pPr>
          </w:p>
          <w:p w:rsidR="0058574E" w:rsidRPr="00DC7FEB" w:rsidRDefault="0058574E" w:rsidP="00E7317C">
            <w:pPr>
              <w:pStyle w:val="21"/>
              <w:ind w:firstLine="0"/>
              <w:jc w:val="center"/>
              <w:rPr>
                <w:sz w:val="20"/>
                <w:szCs w:val="20"/>
              </w:rPr>
            </w:pPr>
            <w:r w:rsidRPr="00DC7FEB">
              <w:rPr>
                <w:sz w:val="20"/>
                <w:szCs w:val="20"/>
              </w:rPr>
              <w:t>22 156,1</w:t>
            </w:r>
          </w:p>
        </w:tc>
      </w:tr>
      <w:tr w:rsidR="0058574E" w:rsidRPr="000C7712" w:rsidTr="00E7317C">
        <w:trPr>
          <w:trHeight w:val="2996"/>
        </w:trPr>
        <w:tc>
          <w:tcPr>
            <w:tcW w:w="5388" w:type="dxa"/>
          </w:tcPr>
          <w:p w:rsidR="0058574E" w:rsidRPr="00DC7FEB" w:rsidRDefault="0058574E" w:rsidP="00E7317C">
            <w:pPr>
              <w:jc w:val="both"/>
              <w:rPr>
                <w:sz w:val="20"/>
                <w:szCs w:val="20"/>
              </w:rPr>
            </w:pPr>
            <w:r w:rsidRPr="00DC7FEB">
              <w:rPr>
                <w:sz w:val="20"/>
                <w:szCs w:val="20"/>
              </w:rPr>
              <w:t>11. Государственная пошлина за выдачу уполномоченными органами исполнительной власти субъектов Российской Федерации учебным учреждениям образовательных свидетельств о соответствии требованиям оборудования и оснащенности образовательного процесса для рассмотрения соответствующими органами вопроса об аккредитации и выдачи указанным учреждениям лицензии на право подготовки трактористов и машинистов самоходных машин - по данным Главного управления  «Государственная инспекция по надзору за техническим состоянием самоходных машин и других видов техники» Тверской области</w:t>
            </w:r>
          </w:p>
          <w:p w:rsidR="0058574E" w:rsidRPr="00DC7FEB" w:rsidRDefault="0058574E" w:rsidP="00E7317C">
            <w:pPr>
              <w:jc w:val="both"/>
              <w:rPr>
                <w:sz w:val="20"/>
                <w:szCs w:val="20"/>
              </w:rPr>
            </w:pPr>
            <w:r w:rsidRPr="00DC7FEB">
              <w:rPr>
                <w:sz w:val="20"/>
                <w:szCs w:val="20"/>
              </w:rPr>
              <w:t>(000 1 08 07160 01 0000 110)</w:t>
            </w:r>
          </w:p>
          <w:p w:rsidR="0058574E" w:rsidRPr="00DC7FEB" w:rsidRDefault="0058574E" w:rsidP="00E7317C">
            <w:pPr>
              <w:jc w:val="both"/>
              <w:rPr>
                <w:sz w:val="20"/>
                <w:szCs w:val="20"/>
              </w:rPr>
            </w:pPr>
          </w:p>
          <w:p w:rsidR="0058574E" w:rsidRPr="00DC7FEB" w:rsidRDefault="0058574E" w:rsidP="00E7317C">
            <w:pPr>
              <w:jc w:val="both"/>
              <w:rPr>
                <w:sz w:val="20"/>
                <w:szCs w:val="20"/>
              </w:rPr>
            </w:pPr>
          </w:p>
        </w:tc>
        <w:tc>
          <w:tcPr>
            <w:tcW w:w="1485" w:type="dxa"/>
          </w:tcPr>
          <w:p w:rsidR="0058574E" w:rsidRPr="00DC7FEB" w:rsidRDefault="0058574E" w:rsidP="00E7317C">
            <w:pPr>
              <w:pStyle w:val="21"/>
              <w:ind w:left="720"/>
              <w:rPr>
                <w:sz w:val="20"/>
                <w:szCs w:val="20"/>
              </w:rPr>
            </w:pPr>
          </w:p>
          <w:p w:rsidR="0058574E" w:rsidRPr="00DC7FEB" w:rsidRDefault="0058574E" w:rsidP="00E7317C">
            <w:pPr>
              <w:pStyle w:val="21"/>
              <w:ind w:left="720"/>
              <w:rPr>
                <w:sz w:val="20"/>
                <w:szCs w:val="20"/>
              </w:rPr>
            </w:pPr>
          </w:p>
          <w:p w:rsidR="0058574E" w:rsidRPr="00DC7FEB" w:rsidRDefault="0058574E" w:rsidP="00E7317C">
            <w:pPr>
              <w:pStyle w:val="21"/>
              <w:ind w:left="720"/>
              <w:rPr>
                <w:sz w:val="20"/>
                <w:szCs w:val="20"/>
              </w:rPr>
            </w:pPr>
          </w:p>
          <w:p w:rsidR="0058574E" w:rsidRPr="00DC7FEB" w:rsidRDefault="0058574E" w:rsidP="00E7317C">
            <w:pPr>
              <w:pStyle w:val="21"/>
              <w:ind w:left="720"/>
              <w:rPr>
                <w:sz w:val="20"/>
                <w:szCs w:val="20"/>
              </w:rPr>
            </w:pPr>
          </w:p>
          <w:p w:rsidR="0058574E" w:rsidRPr="00DC7FEB" w:rsidRDefault="0058574E" w:rsidP="00E7317C">
            <w:pPr>
              <w:pStyle w:val="21"/>
              <w:ind w:left="720"/>
              <w:rPr>
                <w:sz w:val="20"/>
                <w:szCs w:val="20"/>
              </w:rPr>
            </w:pPr>
          </w:p>
          <w:p w:rsidR="0058574E" w:rsidRPr="00DC7FEB" w:rsidRDefault="0058574E" w:rsidP="00E7317C">
            <w:pPr>
              <w:pStyle w:val="21"/>
              <w:ind w:left="720"/>
              <w:rPr>
                <w:sz w:val="20"/>
                <w:szCs w:val="20"/>
              </w:rPr>
            </w:pPr>
          </w:p>
          <w:p w:rsidR="0058574E" w:rsidRPr="00DC7FEB" w:rsidRDefault="0058574E" w:rsidP="00E7317C">
            <w:pPr>
              <w:pStyle w:val="21"/>
              <w:ind w:left="720"/>
              <w:rPr>
                <w:sz w:val="20"/>
                <w:szCs w:val="20"/>
              </w:rPr>
            </w:pPr>
          </w:p>
          <w:p w:rsidR="0058574E" w:rsidRPr="00DC7FEB" w:rsidRDefault="0058574E" w:rsidP="00E7317C">
            <w:pPr>
              <w:pStyle w:val="21"/>
              <w:ind w:left="720"/>
              <w:rPr>
                <w:sz w:val="20"/>
                <w:szCs w:val="20"/>
              </w:rPr>
            </w:pPr>
          </w:p>
          <w:p w:rsidR="0058574E" w:rsidRPr="00DC7FEB" w:rsidRDefault="0058574E" w:rsidP="00E7317C">
            <w:pPr>
              <w:pStyle w:val="21"/>
              <w:ind w:left="720"/>
              <w:rPr>
                <w:sz w:val="20"/>
                <w:szCs w:val="20"/>
              </w:rPr>
            </w:pPr>
          </w:p>
          <w:p w:rsidR="0058574E" w:rsidRPr="00DC7FEB" w:rsidRDefault="0058574E" w:rsidP="00E7317C">
            <w:pPr>
              <w:pStyle w:val="21"/>
              <w:ind w:left="720"/>
              <w:rPr>
                <w:sz w:val="20"/>
                <w:szCs w:val="20"/>
              </w:rPr>
            </w:pPr>
          </w:p>
          <w:p w:rsidR="0058574E" w:rsidRPr="00DC7FEB" w:rsidRDefault="0058574E" w:rsidP="00E7317C">
            <w:pPr>
              <w:pStyle w:val="21"/>
              <w:ind w:left="720"/>
              <w:rPr>
                <w:sz w:val="20"/>
                <w:szCs w:val="20"/>
              </w:rPr>
            </w:pPr>
          </w:p>
          <w:p w:rsidR="0058574E" w:rsidRPr="00DC7FEB" w:rsidRDefault="0058574E" w:rsidP="00E7317C">
            <w:pPr>
              <w:pStyle w:val="21"/>
              <w:ind w:firstLine="0"/>
              <w:rPr>
                <w:sz w:val="20"/>
                <w:szCs w:val="20"/>
                <w:lang w:val="en-US"/>
              </w:rPr>
            </w:pPr>
          </w:p>
          <w:p w:rsidR="0058574E" w:rsidRPr="00DC7FEB" w:rsidRDefault="0058574E" w:rsidP="00E7317C">
            <w:pPr>
              <w:pStyle w:val="21"/>
              <w:ind w:firstLine="0"/>
              <w:jc w:val="center"/>
              <w:rPr>
                <w:sz w:val="20"/>
                <w:szCs w:val="20"/>
                <w:lang w:val="en-US"/>
              </w:rPr>
            </w:pPr>
            <w:r w:rsidRPr="00DC7FEB">
              <w:rPr>
                <w:sz w:val="20"/>
                <w:szCs w:val="20"/>
              </w:rPr>
              <w:t>1,6</w:t>
            </w:r>
          </w:p>
        </w:tc>
        <w:tc>
          <w:tcPr>
            <w:tcW w:w="1633" w:type="dxa"/>
          </w:tcPr>
          <w:p w:rsidR="0058574E" w:rsidRPr="00DC7FEB" w:rsidRDefault="0058574E" w:rsidP="00E7317C">
            <w:pPr>
              <w:pStyle w:val="21"/>
              <w:ind w:left="720"/>
              <w:rPr>
                <w:sz w:val="20"/>
                <w:szCs w:val="20"/>
              </w:rPr>
            </w:pPr>
          </w:p>
          <w:p w:rsidR="0058574E" w:rsidRPr="00DC7FEB" w:rsidRDefault="0058574E" w:rsidP="00E7317C">
            <w:pPr>
              <w:pStyle w:val="21"/>
              <w:ind w:left="720"/>
              <w:rPr>
                <w:sz w:val="20"/>
                <w:szCs w:val="20"/>
              </w:rPr>
            </w:pPr>
          </w:p>
          <w:p w:rsidR="0058574E" w:rsidRPr="00DC7FEB" w:rsidRDefault="0058574E" w:rsidP="00E7317C">
            <w:pPr>
              <w:pStyle w:val="21"/>
              <w:ind w:left="720"/>
              <w:rPr>
                <w:sz w:val="20"/>
                <w:szCs w:val="20"/>
              </w:rPr>
            </w:pPr>
          </w:p>
          <w:p w:rsidR="0058574E" w:rsidRPr="00DC7FEB" w:rsidRDefault="0058574E" w:rsidP="00E7317C">
            <w:pPr>
              <w:pStyle w:val="21"/>
              <w:ind w:left="720"/>
              <w:rPr>
                <w:sz w:val="20"/>
                <w:szCs w:val="20"/>
              </w:rPr>
            </w:pPr>
          </w:p>
          <w:p w:rsidR="0058574E" w:rsidRPr="00DC7FEB" w:rsidRDefault="0058574E" w:rsidP="00E7317C">
            <w:pPr>
              <w:pStyle w:val="21"/>
              <w:ind w:left="720"/>
              <w:rPr>
                <w:sz w:val="20"/>
                <w:szCs w:val="20"/>
              </w:rPr>
            </w:pPr>
          </w:p>
          <w:p w:rsidR="0058574E" w:rsidRPr="00DC7FEB" w:rsidRDefault="0058574E" w:rsidP="00E7317C">
            <w:pPr>
              <w:pStyle w:val="21"/>
              <w:ind w:left="720"/>
              <w:rPr>
                <w:sz w:val="20"/>
                <w:szCs w:val="20"/>
              </w:rPr>
            </w:pPr>
          </w:p>
          <w:p w:rsidR="0058574E" w:rsidRPr="00DC7FEB" w:rsidRDefault="0058574E" w:rsidP="00E7317C">
            <w:pPr>
              <w:pStyle w:val="21"/>
              <w:ind w:left="720"/>
              <w:rPr>
                <w:sz w:val="20"/>
                <w:szCs w:val="20"/>
              </w:rPr>
            </w:pPr>
          </w:p>
          <w:p w:rsidR="0058574E" w:rsidRPr="00DC7FEB" w:rsidRDefault="0058574E" w:rsidP="00E7317C">
            <w:pPr>
              <w:pStyle w:val="21"/>
              <w:ind w:left="720"/>
              <w:rPr>
                <w:sz w:val="20"/>
                <w:szCs w:val="20"/>
              </w:rPr>
            </w:pPr>
          </w:p>
          <w:p w:rsidR="0058574E" w:rsidRPr="00DC7FEB" w:rsidRDefault="0058574E" w:rsidP="00E7317C">
            <w:pPr>
              <w:pStyle w:val="21"/>
              <w:ind w:left="720"/>
              <w:rPr>
                <w:sz w:val="20"/>
                <w:szCs w:val="20"/>
              </w:rPr>
            </w:pPr>
          </w:p>
          <w:p w:rsidR="0058574E" w:rsidRPr="00DC7FEB" w:rsidRDefault="0058574E" w:rsidP="00E7317C">
            <w:pPr>
              <w:pStyle w:val="21"/>
              <w:ind w:left="720"/>
              <w:rPr>
                <w:sz w:val="20"/>
                <w:szCs w:val="20"/>
              </w:rPr>
            </w:pPr>
          </w:p>
          <w:p w:rsidR="0058574E" w:rsidRPr="00DC7FEB" w:rsidRDefault="0058574E" w:rsidP="00E7317C">
            <w:pPr>
              <w:pStyle w:val="21"/>
              <w:ind w:left="720"/>
              <w:rPr>
                <w:sz w:val="20"/>
                <w:szCs w:val="20"/>
              </w:rPr>
            </w:pPr>
          </w:p>
          <w:p w:rsidR="0058574E" w:rsidRPr="00DC7FEB" w:rsidRDefault="0058574E" w:rsidP="00E7317C">
            <w:pPr>
              <w:pStyle w:val="21"/>
              <w:ind w:firstLine="0"/>
              <w:rPr>
                <w:sz w:val="20"/>
                <w:szCs w:val="20"/>
                <w:lang w:val="en-US"/>
              </w:rPr>
            </w:pPr>
          </w:p>
          <w:p w:rsidR="0058574E" w:rsidRPr="00DC7FEB" w:rsidRDefault="0058574E" w:rsidP="00E7317C">
            <w:pPr>
              <w:pStyle w:val="21"/>
              <w:ind w:firstLine="0"/>
              <w:jc w:val="center"/>
              <w:rPr>
                <w:sz w:val="20"/>
                <w:szCs w:val="20"/>
              </w:rPr>
            </w:pPr>
            <w:r w:rsidRPr="00DC7FEB">
              <w:rPr>
                <w:sz w:val="20"/>
                <w:szCs w:val="20"/>
              </w:rPr>
              <w:t>1,6</w:t>
            </w:r>
          </w:p>
        </w:tc>
        <w:tc>
          <w:tcPr>
            <w:tcW w:w="1701" w:type="dxa"/>
          </w:tcPr>
          <w:p w:rsidR="0058574E" w:rsidRPr="00DC7FEB" w:rsidRDefault="0058574E" w:rsidP="00E7317C">
            <w:pPr>
              <w:pStyle w:val="21"/>
              <w:ind w:left="720"/>
              <w:rPr>
                <w:sz w:val="20"/>
                <w:szCs w:val="20"/>
              </w:rPr>
            </w:pPr>
          </w:p>
          <w:p w:rsidR="0058574E" w:rsidRPr="00DC7FEB" w:rsidRDefault="0058574E" w:rsidP="00E7317C">
            <w:pPr>
              <w:pStyle w:val="21"/>
              <w:ind w:left="720"/>
              <w:rPr>
                <w:sz w:val="20"/>
                <w:szCs w:val="20"/>
              </w:rPr>
            </w:pPr>
          </w:p>
          <w:p w:rsidR="0058574E" w:rsidRPr="00DC7FEB" w:rsidRDefault="0058574E" w:rsidP="00E7317C">
            <w:pPr>
              <w:pStyle w:val="21"/>
              <w:ind w:left="720"/>
              <w:rPr>
                <w:sz w:val="20"/>
                <w:szCs w:val="20"/>
              </w:rPr>
            </w:pPr>
          </w:p>
          <w:p w:rsidR="0058574E" w:rsidRPr="00DC7FEB" w:rsidRDefault="0058574E" w:rsidP="00E7317C">
            <w:pPr>
              <w:pStyle w:val="21"/>
              <w:ind w:left="720"/>
              <w:rPr>
                <w:sz w:val="20"/>
                <w:szCs w:val="20"/>
              </w:rPr>
            </w:pPr>
          </w:p>
          <w:p w:rsidR="0058574E" w:rsidRPr="00DC7FEB" w:rsidRDefault="0058574E" w:rsidP="00E7317C">
            <w:pPr>
              <w:pStyle w:val="21"/>
              <w:ind w:left="720"/>
              <w:rPr>
                <w:sz w:val="20"/>
                <w:szCs w:val="20"/>
              </w:rPr>
            </w:pPr>
          </w:p>
          <w:p w:rsidR="0058574E" w:rsidRPr="00DC7FEB" w:rsidRDefault="0058574E" w:rsidP="00E7317C">
            <w:pPr>
              <w:pStyle w:val="21"/>
              <w:ind w:left="720"/>
              <w:rPr>
                <w:sz w:val="20"/>
                <w:szCs w:val="20"/>
              </w:rPr>
            </w:pPr>
          </w:p>
          <w:p w:rsidR="0058574E" w:rsidRPr="00DC7FEB" w:rsidRDefault="0058574E" w:rsidP="00E7317C">
            <w:pPr>
              <w:pStyle w:val="21"/>
              <w:ind w:left="720"/>
              <w:rPr>
                <w:sz w:val="20"/>
                <w:szCs w:val="20"/>
              </w:rPr>
            </w:pPr>
          </w:p>
          <w:p w:rsidR="0058574E" w:rsidRPr="00DC7FEB" w:rsidRDefault="0058574E" w:rsidP="00E7317C">
            <w:pPr>
              <w:pStyle w:val="21"/>
              <w:ind w:left="720"/>
              <w:rPr>
                <w:sz w:val="20"/>
                <w:szCs w:val="20"/>
              </w:rPr>
            </w:pPr>
          </w:p>
          <w:p w:rsidR="0058574E" w:rsidRPr="00DC7FEB" w:rsidRDefault="0058574E" w:rsidP="00E7317C">
            <w:pPr>
              <w:pStyle w:val="21"/>
              <w:ind w:left="720"/>
              <w:rPr>
                <w:sz w:val="20"/>
                <w:szCs w:val="20"/>
              </w:rPr>
            </w:pPr>
          </w:p>
          <w:p w:rsidR="0058574E" w:rsidRPr="00DC7FEB" w:rsidRDefault="0058574E" w:rsidP="00E7317C">
            <w:pPr>
              <w:pStyle w:val="21"/>
              <w:ind w:left="720"/>
              <w:rPr>
                <w:sz w:val="20"/>
                <w:szCs w:val="20"/>
              </w:rPr>
            </w:pPr>
          </w:p>
          <w:p w:rsidR="0058574E" w:rsidRPr="00DC7FEB" w:rsidRDefault="0058574E" w:rsidP="00E7317C">
            <w:pPr>
              <w:pStyle w:val="21"/>
              <w:ind w:left="720"/>
              <w:rPr>
                <w:sz w:val="20"/>
                <w:szCs w:val="20"/>
              </w:rPr>
            </w:pPr>
          </w:p>
          <w:p w:rsidR="0058574E" w:rsidRPr="00DC7FEB" w:rsidRDefault="0058574E" w:rsidP="00E7317C">
            <w:pPr>
              <w:pStyle w:val="21"/>
              <w:ind w:firstLine="0"/>
              <w:rPr>
                <w:sz w:val="20"/>
                <w:szCs w:val="20"/>
                <w:lang w:val="en-US"/>
              </w:rPr>
            </w:pPr>
          </w:p>
          <w:p w:rsidR="0058574E" w:rsidRPr="00DC7FEB" w:rsidRDefault="0058574E" w:rsidP="00E7317C">
            <w:pPr>
              <w:pStyle w:val="21"/>
              <w:ind w:firstLine="0"/>
              <w:jc w:val="center"/>
              <w:rPr>
                <w:sz w:val="20"/>
                <w:szCs w:val="20"/>
              </w:rPr>
            </w:pPr>
            <w:r w:rsidRPr="00DC7FEB">
              <w:rPr>
                <w:sz w:val="20"/>
                <w:szCs w:val="20"/>
              </w:rPr>
              <w:t>1,6</w:t>
            </w:r>
          </w:p>
        </w:tc>
      </w:tr>
      <w:tr w:rsidR="0058574E" w:rsidRPr="000C7712" w:rsidTr="00E7317C">
        <w:tc>
          <w:tcPr>
            <w:tcW w:w="5388" w:type="dxa"/>
          </w:tcPr>
          <w:p w:rsidR="0058574E" w:rsidRPr="00B00077" w:rsidRDefault="0058574E" w:rsidP="00E7317C">
            <w:pPr>
              <w:pStyle w:val="21"/>
              <w:ind w:left="18" w:hanging="18"/>
              <w:rPr>
                <w:sz w:val="20"/>
                <w:szCs w:val="20"/>
              </w:rPr>
            </w:pPr>
            <w:r w:rsidRPr="00B00077">
              <w:rPr>
                <w:sz w:val="20"/>
                <w:szCs w:val="20"/>
              </w:rPr>
              <w:t>12. Государственная пошлина за выдачу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субъектов Российской Федерации - по данным Министерства транспорта Тверской области</w:t>
            </w:r>
          </w:p>
          <w:p w:rsidR="0058574E" w:rsidRPr="00B00077" w:rsidRDefault="0058574E" w:rsidP="00E7317C">
            <w:pPr>
              <w:pStyle w:val="21"/>
              <w:ind w:left="720" w:hanging="720"/>
              <w:rPr>
                <w:sz w:val="20"/>
                <w:szCs w:val="20"/>
              </w:rPr>
            </w:pPr>
            <w:r w:rsidRPr="00B00077">
              <w:rPr>
                <w:sz w:val="20"/>
                <w:szCs w:val="20"/>
              </w:rPr>
              <w:t>(000 1 08 07172 01 0000 110)</w:t>
            </w:r>
          </w:p>
        </w:tc>
        <w:tc>
          <w:tcPr>
            <w:tcW w:w="1485" w:type="dxa"/>
            <w:vAlign w:val="bottom"/>
          </w:tcPr>
          <w:p w:rsidR="0058574E" w:rsidRPr="00B00077" w:rsidRDefault="0058574E" w:rsidP="00E7317C">
            <w:pPr>
              <w:pStyle w:val="21"/>
              <w:ind w:firstLine="0"/>
              <w:jc w:val="center"/>
              <w:rPr>
                <w:sz w:val="20"/>
                <w:szCs w:val="20"/>
              </w:rPr>
            </w:pPr>
            <w:r w:rsidRPr="00B00077">
              <w:rPr>
                <w:sz w:val="20"/>
                <w:szCs w:val="20"/>
              </w:rPr>
              <w:t>1 612,8</w:t>
            </w:r>
          </w:p>
        </w:tc>
        <w:tc>
          <w:tcPr>
            <w:tcW w:w="1633" w:type="dxa"/>
            <w:vAlign w:val="bottom"/>
          </w:tcPr>
          <w:p w:rsidR="0058574E" w:rsidRPr="00B00077" w:rsidRDefault="0058574E" w:rsidP="00E7317C">
            <w:pPr>
              <w:pStyle w:val="21"/>
              <w:ind w:firstLine="0"/>
              <w:jc w:val="center"/>
              <w:rPr>
                <w:sz w:val="20"/>
                <w:szCs w:val="20"/>
              </w:rPr>
            </w:pPr>
            <w:r w:rsidRPr="00B00077">
              <w:rPr>
                <w:sz w:val="20"/>
                <w:szCs w:val="20"/>
              </w:rPr>
              <w:t>1 612,8</w:t>
            </w:r>
          </w:p>
        </w:tc>
        <w:tc>
          <w:tcPr>
            <w:tcW w:w="1701" w:type="dxa"/>
            <w:vAlign w:val="bottom"/>
          </w:tcPr>
          <w:p w:rsidR="0058574E" w:rsidRPr="00B00077" w:rsidRDefault="0058574E" w:rsidP="00E7317C">
            <w:pPr>
              <w:pStyle w:val="21"/>
              <w:ind w:firstLine="0"/>
              <w:jc w:val="center"/>
              <w:rPr>
                <w:sz w:val="20"/>
                <w:szCs w:val="20"/>
              </w:rPr>
            </w:pPr>
            <w:r w:rsidRPr="00B00077">
              <w:rPr>
                <w:sz w:val="20"/>
                <w:szCs w:val="20"/>
              </w:rPr>
              <w:t>1 612,8</w:t>
            </w:r>
          </w:p>
        </w:tc>
      </w:tr>
      <w:tr w:rsidR="0058574E" w:rsidRPr="000C7712" w:rsidTr="00E7317C">
        <w:tc>
          <w:tcPr>
            <w:tcW w:w="5388" w:type="dxa"/>
            <w:shd w:val="clear" w:color="auto" w:fill="auto"/>
          </w:tcPr>
          <w:p w:rsidR="0058574E" w:rsidRPr="00B00077" w:rsidRDefault="0058574E" w:rsidP="00E7317C">
            <w:pPr>
              <w:pStyle w:val="21"/>
              <w:ind w:left="18" w:firstLine="0"/>
              <w:rPr>
                <w:sz w:val="20"/>
                <w:szCs w:val="20"/>
              </w:rPr>
            </w:pPr>
            <w:r w:rsidRPr="00B00077">
              <w:rPr>
                <w:sz w:val="20"/>
                <w:szCs w:val="20"/>
              </w:rPr>
              <w:lastRenderedPageBreak/>
              <w:t>13. Государственная пошлина за повторную выдачу свидетельства о постановке на учет в налоговом органе по данным УФНС России по Тверской области</w:t>
            </w:r>
          </w:p>
          <w:p w:rsidR="0058574E" w:rsidRPr="00B00077" w:rsidRDefault="0058574E" w:rsidP="00E7317C">
            <w:pPr>
              <w:pStyle w:val="21"/>
              <w:ind w:left="18" w:firstLine="0"/>
              <w:rPr>
                <w:sz w:val="20"/>
                <w:szCs w:val="20"/>
              </w:rPr>
            </w:pPr>
            <w:r w:rsidRPr="00B00077">
              <w:rPr>
                <w:sz w:val="20"/>
                <w:szCs w:val="20"/>
              </w:rPr>
              <w:t>(000 1 08 07310 01 0000 110)</w:t>
            </w:r>
          </w:p>
        </w:tc>
        <w:tc>
          <w:tcPr>
            <w:tcW w:w="1485" w:type="dxa"/>
            <w:shd w:val="clear" w:color="auto" w:fill="auto"/>
            <w:vAlign w:val="center"/>
          </w:tcPr>
          <w:p w:rsidR="0058574E" w:rsidRPr="00B00077" w:rsidRDefault="0058574E" w:rsidP="00E7317C">
            <w:pPr>
              <w:pStyle w:val="21"/>
              <w:ind w:firstLine="0"/>
              <w:jc w:val="center"/>
              <w:rPr>
                <w:sz w:val="20"/>
                <w:szCs w:val="20"/>
              </w:rPr>
            </w:pPr>
          </w:p>
          <w:p w:rsidR="0058574E" w:rsidRPr="00B00077" w:rsidRDefault="0058574E" w:rsidP="00E7317C">
            <w:pPr>
              <w:pStyle w:val="21"/>
              <w:ind w:firstLine="0"/>
              <w:jc w:val="center"/>
              <w:rPr>
                <w:sz w:val="20"/>
                <w:szCs w:val="20"/>
              </w:rPr>
            </w:pPr>
            <w:r w:rsidRPr="00B00077">
              <w:rPr>
                <w:sz w:val="20"/>
                <w:szCs w:val="20"/>
              </w:rPr>
              <w:t>12,0</w:t>
            </w:r>
          </w:p>
        </w:tc>
        <w:tc>
          <w:tcPr>
            <w:tcW w:w="1633" w:type="dxa"/>
            <w:shd w:val="clear" w:color="auto" w:fill="auto"/>
            <w:vAlign w:val="center"/>
          </w:tcPr>
          <w:p w:rsidR="0058574E" w:rsidRPr="00B00077" w:rsidRDefault="0058574E" w:rsidP="00E7317C">
            <w:pPr>
              <w:pStyle w:val="21"/>
              <w:ind w:firstLine="0"/>
              <w:jc w:val="center"/>
              <w:rPr>
                <w:sz w:val="20"/>
                <w:szCs w:val="20"/>
              </w:rPr>
            </w:pPr>
          </w:p>
          <w:p w:rsidR="0058574E" w:rsidRPr="00B00077" w:rsidRDefault="0058574E" w:rsidP="00E7317C">
            <w:pPr>
              <w:pStyle w:val="21"/>
              <w:ind w:firstLine="0"/>
              <w:jc w:val="center"/>
              <w:rPr>
                <w:sz w:val="20"/>
                <w:szCs w:val="20"/>
              </w:rPr>
            </w:pPr>
            <w:r w:rsidRPr="00B00077">
              <w:rPr>
                <w:sz w:val="20"/>
                <w:szCs w:val="20"/>
              </w:rPr>
              <w:t>12,0</w:t>
            </w:r>
          </w:p>
        </w:tc>
        <w:tc>
          <w:tcPr>
            <w:tcW w:w="1701" w:type="dxa"/>
            <w:shd w:val="clear" w:color="auto" w:fill="auto"/>
            <w:vAlign w:val="center"/>
          </w:tcPr>
          <w:p w:rsidR="0058574E" w:rsidRPr="00B00077" w:rsidRDefault="0058574E" w:rsidP="00E7317C">
            <w:pPr>
              <w:pStyle w:val="21"/>
              <w:ind w:firstLine="0"/>
              <w:jc w:val="center"/>
              <w:rPr>
                <w:sz w:val="20"/>
                <w:szCs w:val="20"/>
              </w:rPr>
            </w:pPr>
          </w:p>
          <w:p w:rsidR="0058574E" w:rsidRPr="00B00077" w:rsidRDefault="0058574E" w:rsidP="00E7317C">
            <w:pPr>
              <w:pStyle w:val="21"/>
              <w:ind w:firstLine="0"/>
              <w:jc w:val="center"/>
              <w:rPr>
                <w:sz w:val="20"/>
                <w:szCs w:val="20"/>
              </w:rPr>
            </w:pPr>
            <w:r w:rsidRPr="00B00077">
              <w:rPr>
                <w:sz w:val="20"/>
                <w:szCs w:val="20"/>
              </w:rPr>
              <w:t>12,0</w:t>
            </w:r>
          </w:p>
        </w:tc>
      </w:tr>
      <w:tr w:rsidR="0058574E" w:rsidRPr="000C7712" w:rsidTr="00E7317C">
        <w:tc>
          <w:tcPr>
            <w:tcW w:w="5388" w:type="dxa"/>
            <w:shd w:val="clear" w:color="auto" w:fill="auto"/>
          </w:tcPr>
          <w:p w:rsidR="0058574E" w:rsidRPr="00B00077" w:rsidRDefault="0058574E" w:rsidP="00E7317C">
            <w:pPr>
              <w:pStyle w:val="21"/>
              <w:ind w:left="18" w:firstLine="0"/>
              <w:rPr>
                <w:sz w:val="20"/>
                <w:szCs w:val="20"/>
              </w:rPr>
            </w:pPr>
            <w:r w:rsidRPr="00B00077">
              <w:rPr>
                <w:sz w:val="20"/>
                <w:szCs w:val="20"/>
              </w:rPr>
              <w:t>14. Государственная пошлина за действия органов исполнительной власти субъектов Российской Федерации, связанные с государственной аккредитацией образовательных учреждений, осуществляемой в пределах переданных полномочий Российской Федерации в области образования - по данным Министерства образования Тверской области</w:t>
            </w:r>
          </w:p>
          <w:p w:rsidR="0058574E" w:rsidRPr="00B00077" w:rsidRDefault="0058574E" w:rsidP="00E7317C">
            <w:pPr>
              <w:pStyle w:val="21"/>
              <w:ind w:firstLine="0"/>
              <w:rPr>
                <w:sz w:val="20"/>
                <w:szCs w:val="20"/>
              </w:rPr>
            </w:pPr>
            <w:r w:rsidRPr="00B00077">
              <w:rPr>
                <w:sz w:val="20"/>
                <w:szCs w:val="20"/>
              </w:rPr>
              <w:t>(000 1 08 07380 01 0000 110)</w:t>
            </w:r>
          </w:p>
        </w:tc>
        <w:tc>
          <w:tcPr>
            <w:tcW w:w="1485" w:type="dxa"/>
            <w:shd w:val="clear" w:color="auto" w:fill="auto"/>
            <w:vAlign w:val="bottom"/>
          </w:tcPr>
          <w:p w:rsidR="0058574E" w:rsidRPr="00B00077" w:rsidRDefault="0058574E" w:rsidP="00E7317C">
            <w:pPr>
              <w:pStyle w:val="21"/>
              <w:ind w:left="720"/>
              <w:jc w:val="center"/>
              <w:rPr>
                <w:sz w:val="20"/>
                <w:szCs w:val="20"/>
              </w:rPr>
            </w:pPr>
          </w:p>
          <w:p w:rsidR="0058574E" w:rsidRPr="00B00077" w:rsidRDefault="0058574E" w:rsidP="00E7317C">
            <w:pPr>
              <w:pStyle w:val="21"/>
              <w:ind w:left="720"/>
              <w:jc w:val="center"/>
              <w:rPr>
                <w:sz w:val="20"/>
                <w:szCs w:val="20"/>
              </w:rPr>
            </w:pPr>
          </w:p>
          <w:p w:rsidR="0058574E" w:rsidRPr="00B00077" w:rsidRDefault="0058574E" w:rsidP="00E7317C">
            <w:pPr>
              <w:pStyle w:val="21"/>
              <w:ind w:left="720"/>
              <w:jc w:val="center"/>
              <w:rPr>
                <w:sz w:val="20"/>
                <w:szCs w:val="20"/>
              </w:rPr>
            </w:pPr>
          </w:p>
          <w:p w:rsidR="0058574E" w:rsidRPr="00B00077" w:rsidRDefault="0058574E" w:rsidP="00E7317C">
            <w:pPr>
              <w:pStyle w:val="21"/>
              <w:ind w:left="720"/>
              <w:jc w:val="center"/>
              <w:rPr>
                <w:sz w:val="20"/>
                <w:szCs w:val="20"/>
              </w:rPr>
            </w:pPr>
          </w:p>
          <w:p w:rsidR="0058574E" w:rsidRPr="00B00077" w:rsidRDefault="0058574E" w:rsidP="00E7317C">
            <w:pPr>
              <w:pStyle w:val="21"/>
              <w:ind w:firstLine="0"/>
              <w:jc w:val="center"/>
              <w:rPr>
                <w:sz w:val="20"/>
                <w:szCs w:val="20"/>
              </w:rPr>
            </w:pPr>
          </w:p>
          <w:p w:rsidR="0058574E" w:rsidRPr="00B00077" w:rsidRDefault="0058574E" w:rsidP="00E7317C">
            <w:pPr>
              <w:pStyle w:val="21"/>
              <w:ind w:firstLine="0"/>
              <w:jc w:val="center"/>
              <w:rPr>
                <w:sz w:val="20"/>
                <w:szCs w:val="20"/>
              </w:rPr>
            </w:pPr>
            <w:r w:rsidRPr="00B00077">
              <w:rPr>
                <w:sz w:val="20"/>
                <w:szCs w:val="20"/>
              </w:rPr>
              <w:t>776,0</w:t>
            </w:r>
          </w:p>
          <w:p w:rsidR="0058574E" w:rsidRPr="00B00077" w:rsidRDefault="0058574E" w:rsidP="00E7317C">
            <w:pPr>
              <w:pStyle w:val="21"/>
              <w:ind w:firstLine="0"/>
              <w:jc w:val="center"/>
              <w:rPr>
                <w:sz w:val="20"/>
                <w:szCs w:val="20"/>
              </w:rPr>
            </w:pPr>
          </w:p>
        </w:tc>
        <w:tc>
          <w:tcPr>
            <w:tcW w:w="1633" w:type="dxa"/>
            <w:shd w:val="clear" w:color="auto" w:fill="auto"/>
            <w:vAlign w:val="bottom"/>
          </w:tcPr>
          <w:p w:rsidR="0058574E" w:rsidRPr="00B00077" w:rsidRDefault="0058574E" w:rsidP="00E7317C">
            <w:pPr>
              <w:pStyle w:val="21"/>
              <w:ind w:left="720"/>
              <w:jc w:val="center"/>
              <w:rPr>
                <w:sz w:val="20"/>
                <w:szCs w:val="20"/>
              </w:rPr>
            </w:pPr>
          </w:p>
          <w:p w:rsidR="0058574E" w:rsidRPr="00B00077" w:rsidRDefault="0058574E" w:rsidP="00E7317C">
            <w:pPr>
              <w:pStyle w:val="21"/>
              <w:ind w:left="720"/>
              <w:jc w:val="center"/>
              <w:rPr>
                <w:sz w:val="20"/>
                <w:szCs w:val="20"/>
              </w:rPr>
            </w:pPr>
          </w:p>
          <w:p w:rsidR="0058574E" w:rsidRPr="00B00077" w:rsidRDefault="0058574E" w:rsidP="00E7317C">
            <w:pPr>
              <w:pStyle w:val="21"/>
              <w:ind w:left="720"/>
              <w:jc w:val="center"/>
              <w:rPr>
                <w:sz w:val="20"/>
                <w:szCs w:val="20"/>
              </w:rPr>
            </w:pPr>
          </w:p>
          <w:p w:rsidR="0058574E" w:rsidRPr="00B00077" w:rsidRDefault="0058574E" w:rsidP="00E7317C">
            <w:pPr>
              <w:pStyle w:val="21"/>
              <w:ind w:left="720"/>
              <w:jc w:val="center"/>
              <w:rPr>
                <w:sz w:val="20"/>
                <w:szCs w:val="20"/>
              </w:rPr>
            </w:pPr>
          </w:p>
          <w:p w:rsidR="0058574E" w:rsidRPr="00B00077" w:rsidRDefault="0058574E" w:rsidP="00E7317C">
            <w:pPr>
              <w:pStyle w:val="21"/>
              <w:ind w:left="720"/>
              <w:jc w:val="center"/>
              <w:rPr>
                <w:sz w:val="20"/>
                <w:szCs w:val="20"/>
              </w:rPr>
            </w:pPr>
          </w:p>
          <w:p w:rsidR="0058574E" w:rsidRPr="00B00077" w:rsidRDefault="0058574E" w:rsidP="00E7317C">
            <w:pPr>
              <w:pStyle w:val="21"/>
              <w:ind w:firstLine="0"/>
              <w:jc w:val="center"/>
              <w:rPr>
                <w:sz w:val="20"/>
                <w:szCs w:val="20"/>
              </w:rPr>
            </w:pPr>
            <w:r w:rsidRPr="00B00077">
              <w:rPr>
                <w:sz w:val="20"/>
                <w:szCs w:val="20"/>
              </w:rPr>
              <w:t>660,0</w:t>
            </w:r>
          </w:p>
          <w:p w:rsidR="0058574E" w:rsidRPr="00B00077" w:rsidRDefault="0058574E" w:rsidP="00E7317C">
            <w:pPr>
              <w:pStyle w:val="21"/>
              <w:ind w:firstLine="0"/>
              <w:jc w:val="center"/>
              <w:rPr>
                <w:sz w:val="20"/>
                <w:szCs w:val="20"/>
              </w:rPr>
            </w:pPr>
          </w:p>
        </w:tc>
        <w:tc>
          <w:tcPr>
            <w:tcW w:w="1701" w:type="dxa"/>
            <w:shd w:val="clear" w:color="auto" w:fill="auto"/>
            <w:vAlign w:val="bottom"/>
          </w:tcPr>
          <w:p w:rsidR="0058574E" w:rsidRPr="00B00077" w:rsidRDefault="0058574E" w:rsidP="00E7317C">
            <w:pPr>
              <w:pStyle w:val="21"/>
              <w:ind w:left="720"/>
              <w:jc w:val="center"/>
              <w:rPr>
                <w:sz w:val="20"/>
                <w:szCs w:val="20"/>
              </w:rPr>
            </w:pPr>
          </w:p>
          <w:p w:rsidR="0058574E" w:rsidRPr="00B00077" w:rsidRDefault="0058574E" w:rsidP="00E7317C">
            <w:pPr>
              <w:pStyle w:val="21"/>
              <w:ind w:left="720"/>
              <w:jc w:val="center"/>
              <w:rPr>
                <w:sz w:val="20"/>
                <w:szCs w:val="20"/>
              </w:rPr>
            </w:pPr>
          </w:p>
          <w:p w:rsidR="0058574E" w:rsidRPr="00B00077" w:rsidRDefault="0058574E" w:rsidP="00E7317C">
            <w:pPr>
              <w:pStyle w:val="21"/>
              <w:ind w:left="720"/>
              <w:jc w:val="center"/>
              <w:rPr>
                <w:sz w:val="20"/>
                <w:szCs w:val="20"/>
              </w:rPr>
            </w:pPr>
          </w:p>
          <w:p w:rsidR="0058574E" w:rsidRPr="00B00077" w:rsidRDefault="0058574E" w:rsidP="00E7317C">
            <w:pPr>
              <w:pStyle w:val="21"/>
              <w:ind w:left="720"/>
              <w:jc w:val="center"/>
              <w:rPr>
                <w:sz w:val="20"/>
                <w:szCs w:val="20"/>
              </w:rPr>
            </w:pPr>
          </w:p>
          <w:p w:rsidR="0058574E" w:rsidRPr="00B00077" w:rsidRDefault="0058574E" w:rsidP="00E7317C">
            <w:pPr>
              <w:pStyle w:val="21"/>
              <w:ind w:left="720"/>
              <w:jc w:val="center"/>
              <w:rPr>
                <w:sz w:val="20"/>
                <w:szCs w:val="20"/>
              </w:rPr>
            </w:pPr>
          </w:p>
          <w:p w:rsidR="0058574E" w:rsidRPr="00B00077" w:rsidRDefault="0058574E" w:rsidP="00E7317C">
            <w:pPr>
              <w:pStyle w:val="21"/>
              <w:ind w:left="720" w:firstLine="0"/>
              <w:jc w:val="center"/>
              <w:rPr>
                <w:sz w:val="20"/>
                <w:szCs w:val="20"/>
                <w:lang w:val="en-US"/>
              </w:rPr>
            </w:pPr>
          </w:p>
          <w:p w:rsidR="0058574E" w:rsidRPr="00B00077" w:rsidRDefault="0058574E" w:rsidP="00E7317C">
            <w:pPr>
              <w:pStyle w:val="21"/>
              <w:ind w:firstLine="0"/>
              <w:jc w:val="center"/>
              <w:rPr>
                <w:sz w:val="20"/>
                <w:szCs w:val="20"/>
              </w:rPr>
            </w:pPr>
            <w:r w:rsidRPr="00B00077">
              <w:rPr>
                <w:sz w:val="20"/>
                <w:szCs w:val="20"/>
              </w:rPr>
              <w:t>723,0</w:t>
            </w:r>
          </w:p>
          <w:p w:rsidR="0058574E" w:rsidRPr="00B00077" w:rsidRDefault="0058574E" w:rsidP="00E7317C">
            <w:pPr>
              <w:pStyle w:val="21"/>
              <w:ind w:firstLine="0"/>
              <w:jc w:val="center"/>
              <w:rPr>
                <w:sz w:val="20"/>
                <w:szCs w:val="20"/>
              </w:rPr>
            </w:pPr>
          </w:p>
        </w:tc>
      </w:tr>
      <w:tr w:rsidR="0058574E" w:rsidRPr="000C7712" w:rsidTr="00E7317C">
        <w:tc>
          <w:tcPr>
            <w:tcW w:w="5388" w:type="dxa"/>
            <w:shd w:val="clear" w:color="auto" w:fill="auto"/>
          </w:tcPr>
          <w:p w:rsidR="0058574E" w:rsidRPr="005F4310" w:rsidRDefault="0058574E" w:rsidP="00E7317C">
            <w:pPr>
              <w:jc w:val="both"/>
              <w:rPr>
                <w:sz w:val="20"/>
                <w:szCs w:val="20"/>
              </w:rPr>
            </w:pPr>
            <w:r w:rsidRPr="005F4310">
              <w:rPr>
                <w:sz w:val="20"/>
                <w:szCs w:val="20"/>
              </w:rPr>
              <w:t>15. Государственная пошлина за действия органов исполнительной власти субъектов Российской Федерации по проставлению апостиля на документах государственного образца об образовании, об ученых степенях и ученых званиях в пределах переданных полномочий Российской Федерации в области образования - по данным Министерства образования Тверской области</w:t>
            </w:r>
          </w:p>
          <w:p w:rsidR="0058574E" w:rsidRPr="005F4310" w:rsidRDefault="0058574E" w:rsidP="00E7317C">
            <w:pPr>
              <w:pStyle w:val="21"/>
              <w:ind w:firstLine="0"/>
              <w:rPr>
                <w:sz w:val="20"/>
                <w:szCs w:val="20"/>
              </w:rPr>
            </w:pPr>
            <w:r w:rsidRPr="005F4310">
              <w:rPr>
                <w:sz w:val="20"/>
                <w:szCs w:val="20"/>
              </w:rPr>
              <w:t>(000 1 08 07390 01 0000 110)</w:t>
            </w:r>
          </w:p>
        </w:tc>
        <w:tc>
          <w:tcPr>
            <w:tcW w:w="1485" w:type="dxa"/>
            <w:shd w:val="clear" w:color="auto" w:fill="auto"/>
            <w:vAlign w:val="bottom"/>
          </w:tcPr>
          <w:p w:rsidR="0058574E" w:rsidRPr="005F4310" w:rsidRDefault="0058574E" w:rsidP="00E7317C">
            <w:pPr>
              <w:pStyle w:val="21"/>
              <w:ind w:left="720"/>
              <w:jc w:val="center"/>
              <w:rPr>
                <w:sz w:val="20"/>
                <w:szCs w:val="20"/>
              </w:rPr>
            </w:pPr>
            <w:r w:rsidRPr="005F4310">
              <w:rPr>
                <w:sz w:val="20"/>
                <w:szCs w:val="20"/>
              </w:rPr>
              <w:t>3</w:t>
            </w:r>
          </w:p>
          <w:p w:rsidR="0058574E" w:rsidRPr="005F4310" w:rsidRDefault="0058574E" w:rsidP="00E7317C">
            <w:pPr>
              <w:pStyle w:val="21"/>
              <w:ind w:left="720"/>
              <w:jc w:val="center"/>
              <w:rPr>
                <w:sz w:val="20"/>
                <w:szCs w:val="20"/>
              </w:rPr>
            </w:pPr>
          </w:p>
          <w:p w:rsidR="0058574E" w:rsidRPr="005F4310" w:rsidRDefault="0058574E" w:rsidP="00E7317C">
            <w:pPr>
              <w:pStyle w:val="21"/>
              <w:ind w:left="720"/>
              <w:jc w:val="center"/>
              <w:rPr>
                <w:sz w:val="20"/>
                <w:szCs w:val="20"/>
              </w:rPr>
            </w:pPr>
          </w:p>
          <w:p w:rsidR="0058574E" w:rsidRPr="005F4310" w:rsidRDefault="0058574E" w:rsidP="00E7317C">
            <w:pPr>
              <w:pStyle w:val="21"/>
              <w:ind w:left="720"/>
              <w:jc w:val="center"/>
              <w:rPr>
                <w:sz w:val="20"/>
                <w:szCs w:val="20"/>
              </w:rPr>
            </w:pPr>
          </w:p>
          <w:p w:rsidR="0058574E" w:rsidRPr="005F4310" w:rsidRDefault="0058574E" w:rsidP="00E7317C">
            <w:pPr>
              <w:pStyle w:val="21"/>
              <w:ind w:firstLine="0"/>
              <w:jc w:val="center"/>
              <w:rPr>
                <w:sz w:val="20"/>
                <w:szCs w:val="20"/>
              </w:rPr>
            </w:pPr>
            <w:r w:rsidRPr="005F4310">
              <w:rPr>
                <w:sz w:val="20"/>
                <w:szCs w:val="20"/>
              </w:rPr>
              <w:t>437,5</w:t>
            </w:r>
          </w:p>
          <w:p w:rsidR="0058574E" w:rsidRPr="005F4310" w:rsidRDefault="0058574E" w:rsidP="00E7317C">
            <w:pPr>
              <w:pStyle w:val="21"/>
              <w:ind w:firstLine="0"/>
              <w:jc w:val="center"/>
              <w:rPr>
                <w:sz w:val="20"/>
                <w:szCs w:val="20"/>
              </w:rPr>
            </w:pPr>
          </w:p>
        </w:tc>
        <w:tc>
          <w:tcPr>
            <w:tcW w:w="1633" w:type="dxa"/>
            <w:shd w:val="clear" w:color="auto" w:fill="auto"/>
            <w:vAlign w:val="bottom"/>
          </w:tcPr>
          <w:p w:rsidR="0058574E" w:rsidRPr="005F4310" w:rsidRDefault="0058574E" w:rsidP="00E7317C">
            <w:pPr>
              <w:pStyle w:val="21"/>
              <w:ind w:left="720"/>
              <w:jc w:val="center"/>
              <w:rPr>
                <w:sz w:val="20"/>
                <w:szCs w:val="20"/>
              </w:rPr>
            </w:pPr>
          </w:p>
          <w:p w:rsidR="0058574E" w:rsidRPr="005F4310" w:rsidRDefault="0058574E" w:rsidP="00E7317C">
            <w:pPr>
              <w:pStyle w:val="21"/>
              <w:ind w:left="720"/>
              <w:jc w:val="center"/>
              <w:rPr>
                <w:sz w:val="20"/>
                <w:szCs w:val="20"/>
              </w:rPr>
            </w:pPr>
          </w:p>
          <w:p w:rsidR="0058574E" w:rsidRPr="005F4310" w:rsidRDefault="0058574E" w:rsidP="00E7317C">
            <w:pPr>
              <w:pStyle w:val="21"/>
              <w:ind w:left="720"/>
              <w:jc w:val="center"/>
              <w:rPr>
                <w:sz w:val="20"/>
                <w:szCs w:val="20"/>
              </w:rPr>
            </w:pPr>
          </w:p>
          <w:p w:rsidR="0058574E" w:rsidRPr="005F4310" w:rsidRDefault="0058574E" w:rsidP="00E7317C">
            <w:pPr>
              <w:pStyle w:val="21"/>
              <w:ind w:left="720"/>
              <w:jc w:val="center"/>
              <w:rPr>
                <w:sz w:val="20"/>
                <w:szCs w:val="20"/>
              </w:rPr>
            </w:pPr>
          </w:p>
          <w:p w:rsidR="0058574E" w:rsidRPr="005F4310" w:rsidRDefault="0058574E" w:rsidP="00E7317C">
            <w:pPr>
              <w:pStyle w:val="21"/>
              <w:ind w:left="720"/>
              <w:jc w:val="center"/>
              <w:rPr>
                <w:sz w:val="20"/>
                <w:szCs w:val="20"/>
              </w:rPr>
            </w:pPr>
          </w:p>
          <w:p w:rsidR="0058574E" w:rsidRPr="005F4310" w:rsidRDefault="0058574E" w:rsidP="00E7317C">
            <w:pPr>
              <w:pStyle w:val="21"/>
              <w:ind w:firstLine="0"/>
              <w:jc w:val="center"/>
              <w:rPr>
                <w:sz w:val="20"/>
                <w:szCs w:val="20"/>
              </w:rPr>
            </w:pPr>
            <w:r w:rsidRPr="005F4310">
              <w:rPr>
                <w:sz w:val="20"/>
                <w:szCs w:val="20"/>
              </w:rPr>
              <w:t>412,5</w:t>
            </w:r>
          </w:p>
          <w:p w:rsidR="0058574E" w:rsidRPr="005F4310" w:rsidRDefault="0058574E" w:rsidP="00E7317C">
            <w:pPr>
              <w:pStyle w:val="21"/>
              <w:ind w:firstLine="0"/>
              <w:jc w:val="center"/>
              <w:rPr>
                <w:sz w:val="20"/>
                <w:szCs w:val="20"/>
              </w:rPr>
            </w:pPr>
          </w:p>
        </w:tc>
        <w:tc>
          <w:tcPr>
            <w:tcW w:w="1701" w:type="dxa"/>
            <w:shd w:val="clear" w:color="auto" w:fill="auto"/>
            <w:vAlign w:val="bottom"/>
          </w:tcPr>
          <w:p w:rsidR="0058574E" w:rsidRPr="005F4310" w:rsidRDefault="0058574E" w:rsidP="00E7317C">
            <w:pPr>
              <w:pStyle w:val="21"/>
              <w:ind w:left="720"/>
              <w:jc w:val="center"/>
              <w:rPr>
                <w:sz w:val="20"/>
                <w:szCs w:val="20"/>
              </w:rPr>
            </w:pPr>
          </w:p>
          <w:p w:rsidR="0058574E" w:rsidRPr="005F4310" w:rsidRDefault="0058574E" w:rsidP="00E7317C">
            <w:pPr>
              <w:pStyle w:val="21"/>
              <w:ind w:left="720"/>
              <w:jc w:val="center"/>
              <w:rPr>
                <w:sz w:val="20"/>
                <w:szCs w:val="20"/>
              </w:rPr>
            </w:pPr>
          </w:p>
          <w:p w:rsidR="0058574E" w:rsidRPr="005F4310" w:rsidRDefault="0058574E" w:rsidP="00E7317C">
            <w:pPr>
              <w:pStyle w:val="21"/>
              <w:ind w:left="720"/>
              <w:jc w:val="center"/>
              <w:rPr>
                <w:sz w:val="20"/>
                <w:szCs w:val="20"/>
              </w:rPr>
            </w:pPr>
          </w:p>
          <w:p w:rsidR="0058574E" w:rsidRPr="005F4310" w:rsidRDefault="0058574E" w:rsidP="00E7317C">
            <w:pPr>
              <w:pStyle w:val="21"/>
              <w:ind w:left="720"/>
              <w:jc w:val="center"/>
              <w:rPr>
                <w:sz w:val="20"/>
                <w:szCs w:val="20"/>
              </w:rPr>
            </w:pPr>
          </w:p>
          <w:p w:rsidR="0058574E" w:rsidRPr="005F4310" w:rsidRDefault="0058574E" w:rsidP="00E7317C">
            <w:pPr>
              <w:pStyle w:val="21"/>
              <w:ind w:left="720"/>
              <w:jc w:val="center"/>
              <w:rPr>
                <w:sz w:val="20"/>
                <w:szCs w:val="20"/>
              </w:rPr>
            </w:pPr>
          </w:p>
          <w:p w:rsidR="0058574E" w:rsidRPr="005F4310" w:rsidRDefault="0058574E" w:rsidP="00E7317C">
            <w:pPr>
              <w:pStyle w:val="21"/>
              <w:ind w:firstLine="0"/>
              <w:jc w:val="center"/>
              <w:rPr>
                <w:sz w:val="20"/>
                <w:szCs w:val="20"/>
              </w:rPr>
            </w:pPr>
            <w:r w:rsidRPr="005F4310">
              <w:rPr>
                <w:sz w:val="20"/>
                <w:szCs w:val="20"/>
              </w:rPr>
              <w:t>445,0</w:t>
            </w:r>
          </w:p>
          <w:p w:rsidR="0058574E" w:rsidRPr="005F4310" w:rsidRDefault="0058574E" w:rsidP="00E7317C">
            <w:pPr>
              <w:pStyle w:val="21"/>
              <w:ind w:firstLine="0"/>
              <w:jc w:val="center"/>
              <w:rPr>
                <w:sz w:val="20"/>
                <w:szCs w:val="20"/>
              </w:rPr>
            </w:pPr>
          </w:p>
        </w:tc>
      </w:tr>
      <w:tr w:rsidR="0058574E" w:rsidRPr="000C7712" w:rsidTr="00E7317C">
        <w:tc>
          <w:tcPr>
            <w:tcW w:w="5388" w:type="dxa"/>
            <w:shd w:val="clear" w:color="auto" w:fill="auto"/>
          </w:tcPr>
          <w:p w:rsidR="0058574E" w:rsidRPr="005F4310" w:rsidRDefault="0058574E" w:rsidP="00E7317C">
            <w:pPr>
              <w:pStyle w:val="21"/>
              <w:ind w:left="34" w:hanging="34"/>
              <w:rPr>
                <w:sz w:val="20"/>
                <w:szCs w:val="20"/>
              </w:rPr>
            </w:pPr>
            <w:r w:rsidRPr="005F4310">
              <w:rPr>
                <w:sz w:val="20"/>
                <w:szCs w:val="20"/>
              </w:rPr>
              <w:t>16. Государственная пошлина за действия уполномоченных органов субъектов Российской Федерации, связанные с лицензированием предпринимательской деятельности по управлению многоквартирными домами – по данным Главного управления «Государственная жилищная инспекция Тверской области»</w:t>
            </w:r>
          </w:p>
          <w:p w:rsidR="0058574E" w:rsidRPr="005F4310" w:rsidRDefault="0058574E" w:rsidP="00E7317C">
            <w:pPr>
              <w:pStyle w:val="21"/>
              <w:ind w:firstLine="0"/>
              <w:rPr>
                <w:sz w:val="20"/>
                <w:szCs w:val="20"/>
              </w:rPr>
            </w:pPr>
            <w:r w:rsidRPr="005F4310">
              <w:rPr>
                <w:sz w:val="20"/>
                <w:szCs w:val="20"/>
              </w:rPr>
              <w:t>(000 1 08 07400 01 0000 110)</w:t>
            </w:r>
          </w:p>
        </w:tc>
        <w:tc>
          <w:tcPr>
            <w:tcW w:w="1485" w:type="dxa"/>
            <w:shd w:val="clear" w:color="auto" w:fill="auto"/>
            <w:vAlign w:val="bottom"/>
          </w:tcPr>
          <w:p w:rsidR="0058574E" w:rsidRPr="005F4310" w:rsidRDefault="0058574E" w:rsidP="00E7317C">
            <w:pPr>
              <w:pStyle w:val="21"/>
              <w:ind w:left="180" w:firstLine="0"/>
              <w:jc w:val="center"/>
              <w:rPr>
                <w:sz w:val="20"/>
                <w:szCs w:val="20"/>
              </w:rPr>
            </w:pPr>
          </w:p>
          <w:p w:rsidR="0058574E" w:rsidRPr="005F4310" w:rsidRDefault="0058574E" w:rsidP="00E7317C">
            <w:pPr>
              <w:pStyle w:val="21"/>
              <w:ind w:left="180" w:firstLine="0"/>
              <w:jc w:val="center"/>
              <w:rPr>
                <w:sz w:val="20"/>
                <w:szCs w:val="20"/>
              </w:rPr>
            </w:pPr>
          </w:p>
          <w:p w:rsidR="0058574E" w:rsidRPr="005F4310" w:rsidRDefault="0058574E" w:rsidP="00E7317C">
            <w:pPr>
              <w:pStyle w:val="21"/>
              <w:ind w:left="180" w:firstLine="0"/>
              <w:jc w:val="center"/>
              <w:rPr>
                <w:sz w:val="20"/>
                <w:szCs w:val="20"/>
              </w:rPr>
            </w:pPr>
          </w:p>
          <w:p w:rsidR="0058574E" w:rsidRPr="005F4310" w:rsidRDefault="0058574E" w:rsidP="00E7317C">
            <w:pPr>
              <w:pStyle w:val="21"/>
              <w:ind w:left="180" w:firstLine="0"/>
              <w:jc w:val="center"/>
              <w:rPr>
                <w:sz w:val="20"/>
                <w:szCs w:val="20"/>
              </w:rPr>
            </w:pPr>
          </w:p>
          <w:p w:rsidR="0058574E" w:rsidRPr="005F4310" w:rsidRDefault="0058574E" w:rsidP="00E7317C">
            <w:pPr>
              <w:pStyle w:val="21"/>
              <w:ind w:left="180" w:firstLine="0"/>
              <w:jc w:val="center"/>
              <w:rPr>
                <w:sz w:val="20"/>
                <w:szCs w:val="20"/>
              </w:rPr>
            </w:pPr>
          </w:p>
          <w:p w:rsidR="0058574E" w:rsidRPr="005F4310" w:rsidRDefault="0058574E" w:rsidP="00E7317C">
            <w:pPr>
              <w:pStyle w:val="21"/>
              <w:ind w:firstLine="0"/>
              <w:jc w:val="center"/>
              <w:rPr>
                <w:sz w:val="20"/>
                <w:szCs w:val="20"/>
              </w:rPr>
            </w:pPr>
            <w:r w:rsidRPr="005F4310">
              <w:rPr>
                <w:sz w:val="20"/>
                <w:szCs w:val="20"/>
              </w:rPr>
              <w:t>495,0</w:t>
            </w:r>
          </w:p>
        </w:tc>
        <w:tc>
          <w:tcPr>
            <w:tcW w:w="1633" w:type="dxa"/>
            <w:shd w:val="clear" w:color="auto" w:fill="auto"/>
            <w:vAlign w:val="bottom"/>
          </w:tcPr>
          <w:p w:rsidR="0058574E" w:rsidRPr="005F4310" w:rsidRDefault="0058574E" w:rsidP="00E7317C">
            <w:pPr>
              <w:pStyle w:val="21"/>
              <w:ind w:left="180" w:firstLine="0"/>
              <w:jc w:val="center"/>
              <w:rPr>
                <w:sz w:val="20"/>
                <w:szCs w:val="20"/>
              </w:rPr>
            </w:pPr>
          </w:p>
          <w:p w:rsidR="0058574E" w:rsidRPr="005F4310" w:rsidRDefault="0058574E" w:rsidP="00E7317C">
            <w:pPr>
              <w:pStyle w:val="21"/>
              <w:ind w:left="180" w:firstLine="0"/>
              <w:jc w:val="center"/>
              <w:rPr>
                <w:sz w:val="20"/>
                <w:szCs w:val="20"/>
              </w:rPr>
            </w:pPr>
          </w:p>
          <w:p w:rsidR="0058574E" w:rsidRPr="005F4310" w:rsidRDefault="0058574E" w:rsidP="00E7317C">
            <w:pPr>
              <w:pStyle w:val="21"/>
              <w:ind w:left="180" w:firstLine="0"/>
              <w:jc w:val="center"/>
              <w:rPr>
                <w:sz w:val="20"/>
                <w:szCs w:val="20"/>
              </w:rPr>
            </w:pPr>
          </w:p>
          <w:p w:rsidR="0058574E" w:rsidRPr="005F4310" w:rsidRDefault="0058574E" w:rsidP="00E7317C">
            <w:pPr>
              <w:pStyle w:val="21"/>
              <w:ind w:left="180" w:firstLine="0"/>
              <w:jc w:val="center"/>
              <w:rPr>
                <w:sz w:val="20"/>
                <w:szCs w:val="20"/>
              </w:rPr>
            </w:pPr>
          </w:p>
          <w:p w:rsidR="0058574E" w:rsidRPr="005F4310" w:rsidRDefault="0058574E" w:rsidP="00E7317C">
            <w:pPr>
              <w:pStyle w:val="21"/>
              <w:ind w:left="180" w:firstLine="0"/>
              <w:jc w:val="center"/>
              <w:rPr>
                <w:sz w:val="20"/>
                <w:szCs w:val="20"/>
              </w:rPr>
            </w:pPr>
          </w:p>
          <w:p w:rsidR="0058574E" w:rsidRPr="005F4310" w:rsidRDefault="0058574E" w:rsidP="00E7317C">
            <w:pPr>
              <w:pStyle w:val="21"/>
              <w:ind w:firstLine="0"/>
              <w:jc w:val="center"/>
              <w:rPr>
                <w:sz w:val="20"/>
                <w:szCs w:val="20"/>
              </w:rPr>
            </w:pPr>
            <w:r w:rsidRPr="005F4310">
              <w:rPr>
                <w:sz w:val="20"/>
                <w:szCs w:val="20"/>
              </w:rPr>
              <w:t>495,0</w:t>
            </w:r>
          </w:p>
        </w:tc>
        <w:tc>
          <w:tcPr>
            <w:tcW w:w="1701" w:type="dxa"/>
            <w:shd w:val="clear" w:color="auto" w:fill="auto"/>
          </w:tcPr>
          <w:p w:rsidR="0058574E" w:rsidRPr="005F4310" w:rsidRDefault="0058574E" w:rsidP="00E7317C">
            <w:pPr>
              <w:pStyle w:val="21"/>
              <w:ind w:left="180" w:firstLine="0"/>
              <w:jc w:val="center"/>
              <w:rPr>
                <w:sz w:val="20"/>
                <w:szCs w:val="20"/>
              </w:rPr>
            </w:pPr>
          </w:p>
          <w:p w:rsidR="0058574E" w:rsidRPr="005F4310" w:rsidRDefault="0058574E" w:rsidP="00E7317C">
            <w:pPr>
              <w:pStyle w:val="21"/>
              <w:ind w:left="180" w:firstLine="0"/>
              <w:jc w:val="center"/>
              <w:rPr>
                <w:sz w:val="20"/>
                <w:szCs w:val="20"/>
              </w:rPr>
            </w:pPr>
          </w:p>
          <w:p w:rsidR="0058574E" w:rsidRPr="005F4310" w:rsidRDefault="0058574E" w:rsidP="00E7317C">
            <w:pPr>
              <w:pStyle w:val="21"/>
              <w:ind w:left="180" w:firstLine="0"/>
              <w:jc w:val="center"/>
              <w:rPr>
                <w:sz w:val="20"/>
                <w:szCs w:val="20"/>
              </w:rPr>
            </w:pPr>
          </w:p>
          <w:p w:rsidR="0058574E" w:rsidRPr="005F4310" w:rsidRDefault="0058574E" w:rsidP="00E7317C">
            <w:pPr>
              <w:pStyle w:val="21"/>
              <w:ind w:left="180" w:firstLine="0"/>
              <w:jc w:val="center"/>
              <w:rPr>
                <w:sz w:val="20"/>
                <w:szCs w:val="20"/>
              </w:rPr>
            </w:pPr>
          </w:p>
          <w:p w:rsidR="0058574E" w:rsidRPr="005F4310" w:rsidRDefault="0058574E" w:rsidP="00E7317C">
            <w:pPr>
              <w:pStyle w:val="21"/>
              <w:ind w:left="180" w:firstLine="0"/>
              <w:jc w:val="center"/>
              <w:rPr>
                <w:sz w:val="20"/>
                <w:szCs w:val="20"/>
              </w:rPr>
            </w:pPr>
          </w:p>
          <w:p w:rsidR="0058574E" w:rsidRPr="005F4310" w:rsidRDefault="0058574E" w:rsidP="00E7317C">
            <w:pPr>
              <w:pStyle w:val="21"/>
              <w:ind w:left="180" w:firstLine="0"/>
              <w:jc w:val="center"/>
              <w:rPr>
                <w:sz w:val="20"/>
                <w:szCs w:val="20"/>
              </w:rPr>
            </w:pPr>
          </w:p>
          <w:p w:rsidR="0058574E" w:rsidRPr="005F4310" w:rsidRDefault="0058574E" w:rsidP="00E7317C">
            <w:pPr>
              <w:pStyle w:val="21"/>
              <w:ind w:firstLine="0"/>
              <w:jc w:val="center"/>
              <w:rPr>
                <w:sz w:val="20"/>
                <w:szCs w:val="20"/>
              </w:rPr>
            </w:pPr>
            <w:r w:rsidRPr="005F4310">
              <w:rPr>
                <w:sz w:val="20"/>
                <w:szCs w:val="20"/>
              </w:rPr>
              <w:t>495,0</w:t>
            </w:r>
          </w:p>
        </w:tc>
      </w:tr>
      <w:tr w:rsidR="0058574E" w:rsidRPr="000C7712" w:rsidTr="00E7317C">
        <w:tc>
          <w:tcPr>
            <w:tcW w:w="5388" w:type="dxa"/>
            <w:shd w:val="clear" w:color="auto" w:fill="auto"/>
          </w:tcPr>
          <w:p w:rsidR="0058574E" w:rsidRPr="005F4310" w:rsidRDefault="0058574E" w:rsidP="00E7317C">
            <w:pPr>
              <w:pStyle w:val="21"/>
              <w:ind w:firstLine="0"/>
              <w:rPr>
                <w:sz w:val="20"/>
                <w:szCs w:val="20"/>
              </w:rPr>
            </w:pPr>
            <w:r w:rsidRPr="005F4310">
              <w:rPr>
                <w:sz w:val="20"/>
                <w:szCs w:val="20"/>
              </w:rPr>
              <w:t>17. Государственная пошлина за совершение уполномоченным органом исполнительной власти субъектов российской Федерации юридически значимых действий, связанных с государственной регистрацией аттракционов – по данным Главного управления «Государственная инспекция по надзору за техническим состоянием самоходных машин и других видов техники Тверской области»</w:t>
            </w:r>
          </w:p>
          <w:p w:rsidR="0058574E" w:rsidRPr="005F4310" w:rsidRDefault="0058574E" w:rsidP="00E7317C">
            <w:pPr>
              <w:pStyle w:val="21"/>
              <w:ind w:firstLine="0"/>
              <w:rPr>
                <w:sz w:val="20"/>
                <w:szCs w:val="20"/>
              </w:rPr>
            </w:pPr>
            <w:r w:rsidRPr="005F4310">
              <w:rPr>
                <w:sz w:val="20"/>
                <w:szCs w:val="20"/>
              </w:rPr>
              <w:t>(000 1 08 07510 01 0000 110)</w:t>
            </w:r>
          </w:p>
        </w:tc>
        <w:tc>
          <w:tcPr>
            <w:tcW w:w="1485" w:type="dxa"/>
            <w:shd w:val="clear" w:color="auto" w:fill="auto"/>
            <w:vAlign w:val="bottom"/>
          </w:tcPr>
          <w:p w:rsidR="0058574E" w:rsidRPr="005F4310" w:rsidRDefault="0058574E" w:rsidP="00E7317C">
            <w:pPr>
              <w:pStyle w:val="21"/>
              <w:ind w:left="180" w:firstLine="0"/>
              <w:jc w:val="center"/>
              <w:rPr>
                <w:sz w:val="20"/>
                <w:szCs w:val="20"/>
              </w:rPr>
            </w:pPr>
            <w:r w:rsidRPr="005F4310">
              <w:rPr>
                <w:sz w:val="20"/>
                <w:szCs w:val="20"/>
              </w:rPr>
              <w:t>280,6</w:t>
            </w:r>
          </w:p>
        </w:tc>
        <w:tc>
          <w:tcPr>
            <w:tcW w:w="1633" w:type="dxa"/>
            <w:shd w:val="clear" w:color="auto" w:fill="auto"/>
            <w:vAlign w:val="bottom"/>
          </w:tcPr>
          <w:p w:rsidR="0058574E" w:rsidRPr="005F4310" w:rsidRDefault="0058574E" w:rsidP="00E7317C">
            <w:pPr>
              <w:pStyle w:val="21"/>
              <w:ind w:left="180" w:firstLine="0"/>
              <w:jc w:val="center"/>
              <w:rPr>
                <w:sz w:val="20"/>
                <w:szCs w:val="20"/>
              </w:rPr>
            </w:pPr>
            <w:r w:rsidRPr="005F4310">
              <w:rPr>
                <w:sz w:val="20"/>
                <w:szCs w:val="20"/>
              </w:rPr>
              <w:t>565,5</w:t>
            </w:r>
          </w:p>
        </w:tc>
        <w:tc>
          <w:tcPr>
            <w:tcW w:w="1701" w:type="dxa"/>
            <w:shd w:val="clear" w:color="auto" w:fill="auto"/>
            <w:vAlign w:val="bottom"/>
          </w:tcPr>
          <w:p w:rsidR="0058574E" w:rsidRPr="005F4310" w:rsidRDefault="0058574E" w:rsidP="00E7317C">
            <w:pPr>
              <w:pStyle w:val="21"/>
              <w:ind w:firstLine="0"/>
              <w:jc w:val="center"/>
              <w:rPr>
                <w:sz w:val="20"/>
                <w:szCs w:val="20"/>
              </w:rPr>
            </w:pPr>
            <w:r w:rsidRPr="005F4310">
              <w:rPr>
                <w:sz w:val="20"/>
                <w:szCs w:val="20"/>
              </w:rPr>
              <w:t>534,0</w:t>
            </w:r>
          </w:p>
        </w:tc>
      </w:tr>
      <w:tr w:rsidR="0058574E" w:rsidRPr="005F4310" w:rsidTr="00E7317C">
        <w:tc>
          <w:tcPr>
            <w:tcW w:w="5388" w:type="dxa"/>
          </w:tcPr>
          <w:p w:rsidR="0058574E" w:rsidRPr="005F4310" w:rsidRDefault="0058574E" w:rsidP="00E7317C">
            <w:pPr>
              <w:pStyle w:val="21"/>
              <w:ind w:left="180"/>
              <w:rPr>
                <w:sz w:val="20"/>
                <w:szCs w:val="20"/>
              </w:rPr>
            </w:pPr>
            <w:r w:rsidRPr="005F4310">
              <w:rPr>
                <w:sz w:val="20"/>
                <w:szCs w:val="20"/>
              </w:rPr>
              <w:t>Итого</w:t>
            </w:r>
          </w:p>
        </w:tc>
        <w:tc>
          <w:tcPr>
            <w:tcW w:w="1485" w:type="dxa"/>
          </w:tcPr>
          <w:p w:rsidR="0058574E" w:rsidRPr="005F4310" w:rsidRDefault="0058574E" w:rsidP="00E7317C">
            <w:pPr>
              <w:pStyle w:val="21"/>
              <w:ind w:left="180" w:firstLine="0"/>
              <w:jc w:val="center"/>
              <w:rPr>
                <w:sz w:val="20"/>
                <w:szCs w:val="20"/>
              </w:rPr>
            </w:pPr>
            <w:r w:rsidRPr="005F4310">
              <w:rPr>
                <w:sz w:val="20"/>
                <w:szCs w:val="20"/>
              </w:rPr>
              <w:t>221 189,8</w:t>
            </w:r>
          </w:p>
        </w:tc>
        <w:tc>
          <w:tcPr>
            <w:tcW w:w="1633" w:type="dxa"/>
          </w:tcPr>
          <w:p w:rsidR="0058574E" w:rsidRPr="005F4310" w:rsidRDefault="0058574E" w:rsidP="00E7317C">
            <w:pPr>
              <w:pStyle w:val="21"/>
              <w:ind w:left="180" w:firstLine="0"/>
              <w:jc w:val="center"/>
              <w:rPr>
                <w:sz w:val="20"/>
                <w:szCs w:val="20"/>
              </w:rPr>
            </w:pPr>
            <w:r w:rsidRPr="005F4310">
              <w:rPr>
                <w:sz w:val="20"/>
                <w:szCs w:val="20"/>
              </w:rPr>
              <w:t>219 245,2</w:t>
            </w:r>
          </w:p>
        </w:tc>
        <w:tc>
          <w:tcPr>
            <w:tcW w:w="1701" w:type="dxa"/>
          </w:tcPr>
          <w:p w:rsidR="0058574E" w:rsidRPr="005F4310" w:rsidRDefault="0058574E" w:rsidP="00E7317C">
            <w:pPr>
              <w:pStyle w:val="21"/>
              <w:ind w:firstLine="0"/>
              <w:jc w:val="center"/>
              <w:rPr>
                <w:sz w:val="20"/>
                <w:szCs w:val="20"/>
              </w:rPr>
            </w:pPr>
            <w:r w:rsidRPr="005F4310">
              <w:rPr>
                <w:sz w:val="20"/>
                <w:szCs w:val="20"/>
              </w:rPr>
              <w:t>220 587,8</w:t>
            </w:r>
          </w:p>
        </w:tc>
      </w:tr>
    </w:tbl>
    <w:p w:rsidR="0058574E" w:rsidRPr="005F4310" w:rsidRDefault="0058574E" w:rsidP="0058574E">
      <w:pPr>
        <w:pStyle w:val="21"/>
        <w:ind w:firstLine="0"/>
        <w:rPr>
          <w:sz w:val="20"/>
          <w:szCs w:val="20"/>
          <w:highlight w:val="red"/>
        </w:rPr>
      </w:pPr>
    </w:p>
    <w:p w:rsidR="0058574E" w:rsidRPr="005F4310" w:rsidRDefault="0058574E" w:rsidP="0058574E">
      <w:pPr>
        <w:rPr>
          <w:b/>
          <w:bCs/>
          <w:iCs/>
          <w:sz w:val="28"/>
          <w:szCs w:val="28"/>
        </w:rPr>
      </w:pPr>
      <w:r w:rsidRPr="005F4310">
        <w:rPr>
          <w:b/>
          <w:bCs/>
          <w:iCs/>
          <w:sz w:val="28"/>
          <w:szCs w:val="28"/>
        </w:rPr>
        <w:br w:type="page"/>
      </w:r>
    </w:p>
    <w:p w:rsidR="0058574E" w:rsidRPr="00A7134B" w:rsidRDefault="0058574E" w:rsidP="0058574E">
      <w:pPr>
        <w:jc w:val="center"/>
        <w:rPr>
          <w:b/>
          <w:bCs/>
          <w:iCs/>
          <w:sz w:val="28"/>
          <w:szCs w:val="28"/>
        </w:rPr>
      </w:pPr>
      <w:r w:rsidRPr="00A7134B">
        <w:rPr>
          <w:b/>
          <w:bCs/>
          <w:iCs/>
          <w:sz w:val="28"/>
          <w:szCs w:val="28"/>
        </w:rPr>
        <w:lastRenderedPageBreak/>
        <w:t>1.</w:t>
      </w:r>
      <w:r>
        <w:rPr>
          <w:b/>
          <w:bCs/>
          <w:iCs/>
          <w:sz w:val="28"/>
          <w:szCs w:val="28"/>
        </w:rPr>
        <w:t xml:space="preserve"> </w:t>
      </w:r>
      <w:r w:rsidRPr="00A7134B">
        <w:rPr>
          <w:b/>
          <w:bCs/>
          <w:iCs/>
          <w:sz w:val="28"/>
          <w:szCs w:val="28"/>
        </w:rPr>
        <w:t>Государственная пошлина за совершение действий, связанных с</w:t>
      </w:r>
      <w:r>
        <w:rPr>
          <w:b/>
          <w:bCs/>
          <w:iCs/>
          <w:sz w:val="28"/>
          <w:szCs w:val="28"/>
        </w:rPr>
        <w:t> </w:t>
      </w:r>
      <w:r w:rsidRPr="00A7134B">
        <w:rPr>
          <w:b/>
          <w:bCs/>
          <w:iCs/>
          <w:sz w:val="28"/>
          <w:szCs w:val="28"/>
        </w:rPr>
        <w:t>приобретением гражданства Российской Федерации или выходом из</w:t>
      </w:r>
      <w:r>
        <w:rPr>
          <w:b/>
          <w:bCs/>
          <w:iCs/>
          <w:sz w:val="28"/>
          <w:szCs w:val="28"/>
        </w:rPr>
        <w:t> </w:t>
      </w:r>
      <w:r w:rsidRPr="00A7134B">
        <w:rPr>
          <w:b/>
          <w:bCs/>
          <w:iCs/>
          <w:sz w:val="28"/>
          <w:szCs w:val="28"/>
        </w:rPr>
        <w:t>гражданства Российской Федерации, а также с въездом в Российскую Федерацию или выездом из Российской Федерации</w:t>
      </w:r>
    </w:p>
    <w:p w:rsidR="0058574E" w:rsidRPr="00A7134B" w:rsidRDefault="0058574E" w:rsidP="0058574E">
      <w:pPr>
        <w:jc w:val="center"/>
        <w:rPr>
          <w:b/>
          <w:bCs/>
          <w:iCs/>
          <w:sz w:val="28"/>
          <w:szCs w:val="28"/>
        </w:rPr>
      </w:pPr>
      <w:r w:rsidRPr="00A7134B">
        <w:t>(УМВД России по Тверской области)</w:t>
      </w:r>
    </w:p>
    <w:p w:rsidR="0058574E" w:rsidRPr="00A7134B" w:rsidRDefault="0058574E" w:rsidP="0058574E">
      <w:pPr>
        <w:jc w:val="center"/>
        <w:rPr>
          <w:b/>
          <w:bCs/>
          <w:iCs/>
        </w:rPr>
      </w:pPr>
      <w:r w:rsidRPr="00A7134B">
        <w:rPr>
          <w:b/>
          <w:bCs/>
          <w:iCs/>
        </w:rPr>
        <w:t xml:space="preserve"> (000 1 08 06000 01 0000 110)</w:t>
      </w:r>
    </w:p>
    <w:p w:rsidR="0058574E" w:rsidRPr="00A7134B" w:rsidRDefault="0058574E" w:rsidP="0058574E">
      <w:pPr>
        <w:ind w:left="900"/>
        <w:jc w:val="center"/>
        <w:rPr>
          <w:bCs/>
          <w:iCs/>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8"/>
        <w:gridCol w:w="1417"/>
        <w:gridCol w:w="1701"/>
        <w:gridCol w:w="1701"/>
      </w:tblGrid>
      <w:tr w:rsidR="0058574E" w:rsidRPr="00A7134B" w:rsidTr="00E7317C">
        <w:tc>
          <w:tcPr>
            <w:tcW w:w="5388" w:type="dxa"/>
          </w:tcPr>
          <w:p w:rsidR="0058574E" w:rsidRPr="00A7134B" w:rsidRDefault="0058574E" w:rsidP="00E7317C">
            <w:pPr>
              <w:pStyle w:val="21"/>
              <w:ind w:firstLine="0"/>
              <w:jc w:val="center"/>
              <w:rPr>
                <w:sz w:val="20"/>
                <w:szCs w:val="20"/>
              </w:rPr>
            </w:pPr>
            <w:r w:rsidRPr="00A7134B">
              <w:rPr>
                <w:sz w:val="20"/>
                <w:szCs w:val="20"/>
              </w:rPr>
              <w:t>Наименование показателя</w:t>
            </w:r>
          </w:p>
        </w:tc>
        <w:tc>
          <w:tcPr>
            <w:tcW w:w="1417" w:type="dxa"/>
          </w:tcPr>
          <w:p w:rsidR="0058574E" w:rsidRPr="00A7134B" w:rsidRDefault="0058574E" w:rsidP="00E7317C">
            <w:pPr>
              <w:pStyle w:val="21"/>
              <w:ind w:firstLine="0"/>
              <w:jc w:val="center"/>
              <w:rPr>
                <w:sz w:val="20"/>
                <w:szCs w:val="20"/>
              </w:rPr>
            </w:pPr>
            <w:r w:rsidRPr="00A7134B">
              <w:rPr>
                <w:sz w:val="20"/>
                <w:szCs w:val="20"/>
              </w:rPr>
              <w:t>2022 год</w:t>
            </w:r>
          </w:p>
        </w:tc>
        <w:tc>
          <w:tcPr>
            <w:tcW w:w="1701" w:type="dxa"/>
          </w:tcPr>
          <w:p w:rsidR="0058574E" w:rsidRPr="00A7134B" w:rsidRDefault="0058574E" w:rsidP="00E7317C">
            <w:pPr>
              <w:pStyle w:val="21"/>
              <w:ind w:firstLine="0"/>
              <w:jc w:val="center"/>
              <w:rPr>
                <w:sz w:val="20"/>
                <w:szCs w:val="20"/>
              </w:rPr>
            </w:pPr>
            <w:r w:rsidRPr="00A7134B">
              <w:rPr>
                <w:sz w:val="20"/>
                <w:szCs w:val="20"/>
              </w:rPr>
              <w:t>2023 год</w:t>
            </w:r>
          </w:p>
        </w:tc>
        <w:tc>
          <w:tcPr>
            <w:tcW w:w="1701" w:type="dxa"/>
          </w:tcPr>
          <w:p w:rsidR="0058574E" w:rsidRPr="00A7134B" w:rsidRDefault="0058574E" w:rsidP="00E7317C">
            <w:pPr>
              <w:pStyle w:val="21"/>
              <w:ind w:firstLine="0"/>
              <w:jc w:val="center"/>
              <w:rPr>
                <w:sz w:val="20"/>
                <w:szCs w:val="20"/>
              </w:rPr>
            </w:pPr>
            <w:r w:rsidRPr="00A7134B">
              <w:rPr>
                <w:sz w:val="20"/>
                <w:szCs w:val="20"/>
              </w:rPr>
              <w:t>2024 год</w:t>
            </w:r>
          </w:p>
        </w:tc>
      </w:tr>
      <w:tr w:rsidR="0058574E" w:rsidRPr="00A7134B" w:rsidTr="00E7317C">
        <w:trPr>
          <w:trHeight w:val="1502"/>
        </w:trPr>
        <w:tc>
          <w:tcPr>
            <w:tcW w:w="5388" w:type="dxa"/>
          </w:tcPr>
          <w:p w:rsidR="0058574E" w:rsidRPr="00A7134B" w:rsidRDefault="0058574E" w:rsidP="00E7317C">
            <w:pPr>
              <w:pStyle w:val="21"/>
              <w:ind w:firstLine="0"/>
              <w:jc w:val="left"/>
              <w:rPr>
                <w:sz w:val="20"/>
                <w:szCs w:val="20"/>
              </w:rPr>
            </w:pPr>
            <w:r w:rsidRPr="00A7134B">
              <w:rPr>
                <w:sz w:val="20"/>
                <w:szCs w:val="20"/>
              </w:rPr>
              <w:t>1. Количество обращений (рассчитывается как среднее за 3 предшествующих года):</w:t>
            </w:r>
          </w:p>
          <w:p w:rsidR="0058574E" w:rsidRPr="00A7134B" w:rsidRDefault="0058574E" w:rsidP="00E7317C">
            <w:pPr>
              <w:pStyle w:val="21"/>
              <w:ind w:firstLine="0"/>
              <w:jc w:val="left"/>
              <w:rPr>
                <w:sz w:val="20"/>
                <w:szCs w:val="20"/>
              </w:rPr>
            </w:pPr>
            <w:r w:rsidRPr="00A7134B">
              <w:rPr>
                <w:sz w:val="20"/>
                <w:szCs w:val="20"/>
              </w:rPr>
              <w:t>- на выдачу паспорта</w:t>
            </w:r>
            <w:r>
              <w:rPr>
                <w:sz w:val="20"/>
                <w:szCs w:val="20"/>
              </w:rPr>
              <w:t xml:space="preserve"> </w:t>
            </w:r>
            <w:r w:rsidRPr="00A7134B">
              <w:rPr>
                <w:sz w:val="20"/>
                <w:szCs w:val="20"/>
              </w:rPr>
              <w:t>(с округлением)</w:t>
            </w:r>
          </w:p>
          <w:p w:rsidR="0058574E" w:rsidRPr="00A7134B" w:rsidRDefault="0058574E" w:rsidP="00E7317C">
            <w:pPr>
              <w:pStyle w:val="21"/>
              <w:ind w:firstLine="0"/>
              <w:jc w:val="left"/>
              <w:rPr>
                <w:sz w:val="20"/>
                <w:szCs w:val="20"/>
              </w:rPr>
            </w:pPr>
            <w:r w:rsidRPr="00A7134B">
              <w:rPr>
                <w:sz w:val="20"/>
                <w:szCs w:val="20"/>
              </w:rPr>
              <w:t>- на выдачу паспорта нового поколения (с округлением)</w:t>
            </w:r>
          </w:p>
          <w:p w:rsidR="0058574E" w:rsidRPr="00A7134B" w:rsidRDefault="0058574E" w:rsidP="00E7317C">
            <w:pPr>
              <w:pStyle w:val="21"/>
              <w:ind w:firstLine="0"/>
              <w:jc w:val="left"/>
              <w:rPr>
                <w:sz w:val="20"/>
                <w:szCs w:val="20"/>
              </w:rPr>
            </w:pPr>
            <w:r w:rsidRPr="00A7134B">
              <w:rPr>
                <w:sz w:val="20"/>
                <w:szCs w:val="20"/>
              </w:rPr>
              <w:t>- на выдачу паспорта в возрасте до 14 лет (с округлением)</w:t>
            </w:r>
          </w:p>
          <w:p w:rsidR="0058574E" w:rsidRPr="00A7134B" w:rsidRDefault="0058574E" w:rsidP="00E7317C">
            <w:pPr>
              <w:pStyle w:val="21"/>
              <w:ind w:firstLine="0"/>
              <w:jc w:val="left"/>
              <w:rPr>
                <w:sz w:val="20"/>
                <w:szCs w:val="20"/>
              </w:rPr>
            </w:pPr>
            <w:r w:rsidRPr="00A7134B">
              <w:rPr>
                <w:sz w:val="20"/>
                <w:szCs w:val="20"/>
              </w:rPr>
              <w:t>- на выдачу паспорта нового поколения в возрасте до 14 лет (с округлением)</w:t>
            </w:r>
          </w:p>
          <w:p w:rsidR="0058574E" w:rsidRPr="00A7134B" w:rsidRDefault="0058574E" w:rsidP="00E7317C">
            <w:pPr>
              <w:pStyle w:val="21"/>
              <w:ind w:firstLine="0"/>
              <w:jc w:val="left"/>
              <w:rPr>
                <w:sz w:val="20"/>
                <w:szCs w:val="20"/>
              </w:rPr>
            </w:pPr>
            <w:r w:rsidRPr="00A7134B">
              <w:rPr>
                <w:sz w:val="20"/>
                <w:szCs w:val="20"/>
              </w:rPr>
              <w:t>- на внесение изменений в паспорт (с округлением)</w:t>
            </w:r>
          </w:p>
        </w:tc>
        <w:tc>
          <w:tcPr>
            <w:tcW w:w="1417" w:type="dxa"/>
          </w:tcPr>
          <w:p w:rsidR="0058574E" w:rsidRPr="00A7134B" w:rsidRDefault="0058574E" w:rsidP="00E7317C">
            <w:pPr>
              <w:pStyle w:val="21"/>
              <w:ind w:firstLine="0"/>
              <w:jc w:val="center"/>
              <w:rPr>
                <w:sz w:val="20"/>
                <w:szCs w:val="20"/>
              </w:rPr>
            </w:pPr>
          </w:p>
          <w:p w:rsidR="0058574E" w:rsidRPr="00A7134B" w:rsidRDefault="0058574E" w:rsidP="00E7317C">
            <w:pPr>
              <w:pStyle w:val="21"/>
              <w:ind w:firstLine="0"/>
              <w:jc w:val="center"/>
              <w:rPr>
                <w:sz w:val="20"/>
                <w:szCs w:val="20"/>
              </w:rPr>
            </w:pPr>
          </w:p>
          <w:p w:rsidR="0058574E" w:rsidRPr="00A7134B" w:rsidRDefault="0058574E" w:rsidP="00E7317C">
            <w:pPr>
              <w:pStyle w:val="21"/>
              <w:ind w:firstLine="0"/>
              <w:jc w:val="center"/>
              <w:rPr>
                <w:sz w:val="20"/>
                <w:szCs w:val="20"/>
              </w:rPr>
            </w:pPr>
            <w:r w:rsidRPr="00A7134B">
              <w:rPr>
                <w:sz w:val="20"/>
                <w:szCs w:val="20"/>
              </w:rPr>
              <w:t>5</w:t>
            </w:r>
            <w:r>
              <w:rPr>
                <w:sz w:val="20"/>
                <w:szCs w:val="20"/>
              </w:rPr>
              <w:t> </w:t>
            </w:r>
            <w:r w:rsidRPr="00A7134B">
              <w:rPr>
                <w:sz w:val="20"/>
                <w:szCs w:val="20"/>
              </w:rPr>
              <w:t>69</w:t>
            </w:r>
            <w:r>
              <w:rPr>
                <w:sz w:val="20"/>
                <w:szCs w:val="20"/>
              </w:rPr>
              <w:t>3,80</w:t>
            </w:r>
          </w:p>
          <w:p w:rsidR="0058574E" w:rsidRPr="00A7134B" w:rsidRDefault="0058574E" w:rsidP="00E7317C">
            <w:pPr>
              <w:pStyle w:val="21"/>
              <w:ind w:firstLine="0"/>
              <w:jc w:val="center"/>
              <w:rPr>
                <w:sz w:val="20"/>
                <w:szCs w:val="20"/>
              </w:rPr>
            </w:pPr>
            <w:r>
              <w:rPr>
                <w:sz w:val="20"/>
                <w:szCs w:val="20"/>
              </w:rPr>
              <w:t>2,77</w:t>
            </w:r>
          </w:p>
          <w:p w:rsidR="0058574E" w:rsidRPr="00A7134B" w:rsidRDefault="0058574E" w:rsidP="00E7317C">
            <w:pPr>
              <w:pStyle w:val="21"/>
              <w:ind w:firstLine="0"/>
              <w:jc w:val="center"/>
              <w:rPr>
                <w:sz w:val="20"/>
                <w:szCs w:val="20"/>
              </w:rPr>
            </w:pPr>
            <w:r w:rsidRPr="00A7134B">
              <w:rPr>
                <w:sz w:val="20"/>
                <w:szCs w:val="20"/>
              </w:rPr>
              <w:t>1</w:t>
            </w:r>
            <w:r>
              <w:rPr>
                <w:sz w:val="20"/>
                <w:szCs w:val="20"/>
              </w:rPr>
              <w:t> </w:t>
            </w:r>
            <w:r w:rsidRPr="00A7134B">
              <w:rPr>
                <w:sz w:val="20"/>
                <w:szCs w:val="20"/>
              </w:rPr>
              <w:t>747</w:t>
            </w:r>
            <w:r>
              <w:rPr>
                <w:sz w:val="20"/>
                <w:szCs w:val="20"/>
              </w:rPr>
              <w:t>,21</w:t>
            </w:r>
          </w:p>
          <w:p w:rsidR="0058574E" w:rsidRPr="00A7134B" w:rsidRDefault="0058574E" w:rsidP="00E7317C">
            <w:pPr>
              <w:pStyle w:val="21"/>
              <w:ind w:firstLine="0"/>
              <w:jc w:val="center"/>
              <w:rPr>
                <w:sz w:val="20"/>
                <w:szCs w:val="20"/>
              </w:rPr>
            </w:pPr>
            <w:r w:rsidRPr="00A7134B">
              <w:rPr>
                <w:sz w:val="20"/>
                <w:szCs w:val="20"/>
              </w:rPr>
              <w:t>0</w:t>
            </w:r>
            <w:r>
              <w:rPr>
                <w:sz w:val="20"/>
                <w:szCs w:val="20"/>
              </w:rPr>
              <w:t>,0</w:t>
            </w:r>
          </w:p>
          <w:p w:rsidR="0058574E" w:rsidRPr="00A7134B" w:rsidRDefault="0058574E" w:rsidP="00E7317C">
            <w:pPr>
              <w:pStyle w:val="21"/>
              <w:ind w:firstLine="0"/>
              <w:jc w:val="center"/>
              <w:rPr>
                <w:sz w:val="20"/>
                <w:szCs w:val="20"/>
              </w:rPr>
            </w:pPr>
          </w:p>
          <w:p w:rsidR="0058574E" w:rsidRPr="00A7134B" w:rsidRDefault="0058574E" w:rsidP="00E7317C">
            <w:pPr>
              <w:pStyle w:val="21"/>
              <w:ind w:firstLine="0"/>
              <w:jc w:val="center"/>
              <w:rPr>
                <w:sz w:val="20"/>
                <w:szCs w:val="20"/>
              </w:rPr>
            </w:pPr>
            <w:r>
              <w:rPr>
                <w:sz w:val="20"/>
                <w:szCs w:val="20"/>
              </w:rPr>
              <w:t>4,67</w:t>
            </w:r>
          </w:p>
        </w:tc>
        <w:tc>
          <w:tcPr>
            <w:tcW w:w="1701" w:type="dxa"/>
          </w:tcPr>
          <w:p w:rsidR="0058574E" w:rsidRPr="00A7134B" w:rsidRDefault="0058574E" w:rsidP="00E7317C">
            <w:pPr>
              <w:pStyle w:val="21"/>
              <w:ind w:firstLine="0"/>
              <w:rPr>
                <w:sz w:val="20"/>
                <w:szCs w:val="20"/>
              </w:rPr>
            </w:pPr>
          </w:p>
          <w:p w:rsidR="0058574E" w:rsidRPr="00A7134B" w:rsidRDefault="0058574E" w:rsidP="00E7317C">
            <w:pPr>
              <w:pStyle w:val="21"/>
              <w:ind w:firstLine="0"/>
              <w:rPr>
                <w:sz w:val="20"/>
                <w:szCs w:val="20"/>
              </w:rPr>
            </w:pPr>
          </w:p>
          <w:p w:rsidR="0058574E" w:rsidRPr="00A7134B" w:rsidRDefault="0058574E" w:rsidP="00E7317C">
            <w:pPr>
              <w:pStyle w:val="21"/>
              <w:ind w:firstLine="0"/>
              <w:jc w:val="center"/>
              <w:rPr>
                <w:sz w:val="20"/>
                <w:szCs w:val="20"/>
              </w:rPr>
            </w:pPr>
            <w:r w:rsidRPr="00A7134B">
              <w:rPr>
                <w:sz w:val="20"/>
                <w:szCs w:val="20"/>
              </w:rPr>
              <w:t>4</w:t>
            </w:r>
            <w:r>
              <w:rPr>
                <w:sz w:val="20"/>
                <w:szCs w:val="20"/>
              </w:rPr>
              <w:t> </w:t>
            </w:r>
            <w:r w:rsidRPr="00A7134B">
              <w:rPr>
                <w:sz w:val="20"/>
                <w:szCs w:val="20"/>
              </w:rPr>
              <w:t>99</w:t>
            </w:r>
            <w:r>
              <w:rPr>
                <w:sz w:val="20"/>
                <w:szCs w:val="20"/>
              </w:rPr>
              <w:t>7,83</w:t>
            </w:r>
          </w:p>
          <w:p w:rsidR="0058574E" w:rsidRPr="00A7134B" w:rsidRDefault="0058574E" w:rsidP="00E7317C">
            <w:pPr>
              <w:pStyle w:val="21"/>
              <w:ind w:firstLine="0"/>
              <w:jc w:val="center"/>
              <w:rPr>
                <w:sz w:val="20"/>
                <w:szCs w:val="20"/>
              </w:rPr>
            </w:pPr>
            <w:r w:rsidRPr="00A7134B">
              <w:rPr>
                <w:sz w:val="20"/>
                <w:szCs w:val="20"/>
              </w:rPr>
              <w:t>3</w:t>
            </w:r>
            <w:r>
              <w:rPr>
                <w:sz w:val="20"/>
                <w:szCs w:val="20"/>
              </w:rPr>
              <w:t>,09</w:t>
            </w:r>
          </w:p>
          <w:p w:rsidR="0058574E" w:rsidRPr="00A7134B" w:rsidRDefault="0058574E" w:rsidP="00E7317C">
            <w:pPr>
              <w:pStyle w:val="21"/>
              <w:ind w:firstLine="0"/>
              <w:jc w:val="center"/>
              <w:rPr>
                <w:sz w:val="20"/>
                <w:szCs w:val="20"/>
              </w:rPr>
            </w:pPr>
            <w:r w:rsidRPr="00A7134B">
              <w:rPr>
                <w:sz w:val="20"/>
                <w:szCs w:val="20"/>
              </w:rPr>
              <w:t>1 514</w:t>
            </w:r>
            <w:r>
              <w:rPr>
                <w:sz w:val="20"/>
                <w:szCs w:val="20"/>
              </w:rPr>
              <w:t>,02</w:t>
            </w:r>
          </w:p>
          <w:p w:rsidR="0058574E" w:rsidRPr="00A7134B" w:rsidRDefault="0058574E" w:rsidP="00E7317C">
            <w:pPr>
              <w:pStyle w:val="21"/>
              <w:ind w:firstLine="0"/>
              <w:jc w:val="center"/>
              <w:rPr>
                <w:sz w:val="20"/>
                <w:szCs w:val="20"/>
              </w:rPr>
            </w:pPr>
            <w:r w:rsidRPr="00A7134B">
              <w:rPr>
                <w:sz w:val="20"/>
                <w:szCs w:val="20"/>
              </w:rPr>
              <w:t>0</w:t>
            </w:r>
            <w:r>
              <w:rPr>
                <w:sz w:val="20"/>
                <w:szCs w:val="20"/>
              </w:rPr>
              <w:t>,0</w:t>
            </w:r>
          </w:p>
          <w:p w:rsidR="0058574E" w:rsidRPr="00A7134B" w:rsidRDefault="0058574E" w:rsidP="00E7317C">
            <w:pPr>
              <w:pStyle w:val="21"/>
              <w:ind w:firstLine="0"/>
              <w:jc w:val="center"/>
              <w:rPr>
                <w:sz w:val="20"/>
                <w:szCs w:val="20"/>
              </w:rPr>
            </w:pPr>
          </w:p>
          <w:p w:rsidR="0058574E" w:rsidRPr="00A7134B" w:rsidRDefault="0058574E" w:rsidP="00E7317C">
            <w:pPr>
              <w:pStyle w:val="21"/>
              <w:ind w:firstLine="0"/>
              <w:jc w:val="center"/>
              <w:rPr>
                <w:sz w:val="20"/>
                <w:szCs w:val="20"/>
              </w:rPr>
            </w:pPr>
            <w:r>
              <w:rPr>
                <w:sz w:val="20"/>
                <w:szCs w:val="20"/>
              </w:rPr>
              <w:t>1,89</w:t>
            </w:r>
          </w:p>
        </w:tc>
        <w:tc>
          <w:tcPr>
            <w:tcW w:w="1701" w:type="dxa"/>
          </w:tcPr>
          <w:p w:rsidR="0058574E" w:rsidRPr="00A7134B" w:rsidRDefault="0058574E" w:rsidP="00E7317C">
            <w:pPr>
              <w:pStyle w:val="21"/>
              <w:ind w:firstLine="0"/>
              <w:jc w:val="center"/>
              <w:rPr>
                <w:sz w:val="20"/>
                <w:szCs w:val="20"/>
              </w:rPr>
            </w:pPr>
          </w:p>
          <w:p w:rsidR="0058574E" w:rsidRPr="00A7134B" w:rsidRDefault="0058574E" w:rsidP="00E7317C">
            <w:pPr>
              <w:pStyle w:val="21"/>
              <w:ind w:firstLine="0"/>
              <w:jc w:val="center"/>
              <w:rPr>
                <w:sz w:val="20"/>
                <w:szCs w:val="20"/>
              </w:rPr>
            </w:pPr>
          </w:p>
          <w:p w:rsidR="0058574E" w:rsidRPr="00A7134B" w:rsidRDefault="0058574E" w:rsidP="00E7317C">
            <w:pPr>
              <w:pStyle w:val="21"/>
              <w:ind w:firstLine="0"/>
              <w:jc w:val="center"/>
              <w:rPr>
                <w:sz w:val="20"/>
                <w:szCs w:val="20"/>
              </w:rPr>
            </w:pPr>
            <w:r w:rsidRPr="00A7134B">
              <w:rPr>
                <w:sz w:val="20"/>
                <w:szCs w:val="20"/>
              </w:rPr>
              <w:t>5</w:t>
            </w:r>
            <w:r>
              <w:rPr>
                <w:sz w:val="20"/>
                <w:szCs w:val="20"/>
              </w:rPr>
              <w:t> </w:t>
            </w:r>
            <w:r w:rsidRPr="00A7134B">
              <w:rPr>
                <w:sz w:val="20"/>
                <w:szCs w:val="20"/>
              </w:rPr>
              <w:t>65</w:t>
            </w:r>
            <w:r>
              <w:rPr>
                <w:sz w:val="20"/>
                <w:szCs w:val="20"/>
              </w:rPr>
              <w:t>2,74</w:t>
            </w:r>
          </w:p>
          <w:p w:rsidR="0058574E" w:rsidRPr="00A7134B" w:rsidRDefault="0058574E" w:rsidP="00E7317C">
            <w:pPr>
              <w:pStyle w:val="21"/>
              <w:ind w:firstLine="0"/>
              <w:jc w:val="center"/>
              <w:rPr>
                <w:sz w:val="20"/>
                <w:szCs w:val="20"/>
              </w:rPr>
            </w:pPr>
            <w:r>
              <w:rPr>
                <w:sz w:val="20"/>
                <w:szCs w:val="20"/>
              </w:rPr>
              <w:t>2,79</w:t>
            </w:r>
          </w:p>
          <w:p w:rsidR="0058574E" w:rsidRPr="00A7134B" w:rsidRDefault="0058574E" w:rsidP="00E7317C">
            <w:pPr>
              <w:pStyle w:val="21"/>
              <w:ind w:firstLine="0"/>
              <w:jc w:val="center"/>
              <w:rPr>
                <w:sz w:val="20"/>
                <w:szCs w:val="20"/>
              </w:rPr>
            </w:pPr>
            <w:r w:rsidRPr="00A7134B">
              <w:rPr>
                <w:sz w:val="20"/>
                <w:szCs w:val="20"/>
              </w:rPr>
              <w:t>1 743</w:t>
            </w:r>
            <w:r>
              <w:rPr>
                <w:sz w:val="20"/>
                <w:szCs w:val="20"/>
              </w:rPr>
              <w:t>,29</w:t>
            </w:r>
          </w:p>
          <w:p w:rsidR="0058574E" w:rsidRPr="00A7134B" w:rsidRDefault="0058574E" w:rsidP="00E7317C">
            <w:pPr>
              <w:pStyle w:val="21"/>
              <w:ind w:firstLine="0"/>
              <w:jc w:val="center"/>
              <w:rPr>
                <w:sz w:val="20"/>
                <w:szCs w:val="20"/>
              </w:rPr>
            </w:pPr>
            <w:r w:rsidRPr="00A7134B">
              <w:rPr>
                <w:sz w:val="20"/>
                <w:szCs w:val="20"/>
              </w:rPr>
              <w:t>0</w:t>
            </w:r>
            <w:r>
              <w:rPr>
                <w:sz w:val="20"/>
                <w:szCs w:val="20"/>
              </w:rPr>
              <w:t>,0</w:t>
            </w:r>
          </w:p>
          <w:p w:rsidR="0058574E" w:rsidRPr="00A7134B" w:rsidRDefault="0058574E" w:rsidP="00E7317C">
            <w:pPr>
              <w:pStyle w:val="21"/>
              <w:ind w:firstLine="0"/>
              <w:jc w:val="center"/>
              <w:rPr>
                <w:sz w:val="20"/>
                <w:szCs w:val="20"/>
              </w:rPr>
            </w:pPr>
          </w:p>
          <w:p w:rsidR="0058574E" w:rsidRPr="00A7134B" w:rsidRDefault="0058574E" w:rsidP="00E7317C">
            <w:pPr>
              <w:pStyle w:val="21"/>
              <w:ind w:firstLine="0"/>
              <w:jc w:val="center"/>
              <w:rPr>
                <w:sz w:val="20"/>
                <w:szCs w:val="20"/>
              </w:rPr>
            </w:pPr>
            <w:r>
              <w:rPr>
                <w:sz w:val="20"/>
                <w:szCs w:val="20"/>
              </w:rPr>
              <w:t>3,85</w:t>
            </w:r>
          </w:p>
        </w:tc>
      </w:tr>
      <w:tr w:rsidR="0058574E" w:rsidRPr="00A7134B" w:rsidTr="00E7317C">
        <w:tc>
          <w:tcPr>
            <w:tcW w:w="5388" w:type="dxa"/>
          </w:tcPr>
          <w:p w:rsidR="0058574E" w:rsidRPr="00A7134B" w:rsidRDefault="0058574E" w:rsidP="00E7317C">
            <w:pPr>
              <w:pStyle w:val="21"/>
              <w:ind w:firstLine="0"/>
              <w:jc w:val="left"/>
              <w:rPr>
                <w:sz w:val="20"/>
                <w:szCs w:val="20"/>
              </w:rPr>
            </w:pPr>
            <w:r w:rsidRPr="00A7134B">
              <w:rPr>
                <w:sz w:val="20"/>
                <w:szCs w:val="20"/>
              </w:rPr>
              <w:t>2. Размер госпошлины, руб.:</w:t>
            </w:r>
          </w:p>
          <w:p w:rsidR="0058574E" w:rsidRPr="00A7134B" w:rsidRDefault="0058574E" w:rsidP="00E7317C">
            <w:pPr>
              <w:pStyle w:val="21"/>
              <w:ind w:firstLine="0"/>
              <w:jc w:val="left"/>
              <w:rPr>
                <w:sz w:val="20"/>
                <w:szCs w:val="20"/>
              </w:rPr>
            </w:pPr>
            <w:r w:rsidRPr="00A7134B">
              <w:rPr>
                <w:sz w:val="20"/>
                <w:szCs w:val="20"/>
              </w:rPr>
              <w:t xml:space="preserve">- за выдачу паспорта </w:t>
            </w:r>
          </w:p>
          <w:p w:rsidR="0058574E" w:rsidRPr="00A7134B" w:rsidRDefault="0058574E" w:rsidP="00E7317C">
            <w:pPr>
              <w:pStyle w:val="21"/>
              <w:ind w:firstLine="0"/>
              <w:jc w:val="left"/>
              <w:rPr>
                <w:sz w:val="20"/>
                <w:szCs w:val="20"/>
              </w:rPr>
            </w:pPr>
            <w:r w:rsidRPr="00A7134B">
              <w:rPr>
                <w:sz w:val="20"/>
                <w:szCs w:val="20"/>
              </w:rPr>
              <w:t xml:space="preserve">- за выдачу паспорта нового поколения </w:t>
            </w:r>
          </w:p>
          <w:p w:rsidR="0058574E" w:rsidRPr="00A7134B" w:rsidRDefault="0058574E" w:rsidP="00E7317C">
            <w:pPr>
              <w:pStyle w:val="21"/>
              <w:ind w:firstLine="0"/>
              <w:jc w:val="left"/>
              <w:rPr>
                <w:sz w:val="20"/>
                <w:szCs w:val="20"/>
              </w:rPr>
            </w:pPr>
            <w:r w:rsidRPr="00A7134B">
              <w:rPr>
                <w:sz w:val="20"/>
                <w:szCs w:val="20"/>
              </w:rPr>
              <w:t xml:space="preserve">- за выдачу паспорта в возрасте до 14 лет </w:t>
            </w:r>
          </w:p>
          <w:p w:rsidR="0058574E" w:rsidRPr="00A7134B" w:rsidRDefault="0058574E" w:rsidP="00E7317C">
            <w:pPr>
              <w:pStyle w:val="21"/>
              <w:ind w:firstLine="0"/>
              <w:jc w:val="left"/>
              <w:rPr>
                <w:sz w:val="20"/>
                <w:szCs w:val="20"/>
              </w:rPr>
            </w:pPr>
            <w:r w:rsidRPr="00A7134B">
              <w:rPr>
                <w:sz w:val="20"/>
                <w:szCs w:val="20"/>
              </w:rPr>
              <w:t xml:space="preserve">- за выдачу паспорта нового поколения в возрасте до 14 лет </w:t>
            </w:r>
          </w:p>
          <w:p w:rsidR="0058574E" w:rsidRPr="00A7134B" w:rsidRDefault="0058574E" w:rsidP="00E7317C">
            <w:pPr>
              <w:pStyle w:val="21"/>
              <w:ind w:firstLine="0"/>
              <w:jc w:val="left"/>
              <w:rPr>
                <w:sz w:val="20"/>
                <w:szCs w:val="20"/>
              </w:rPr>
            </w:pPr>
            <w:r w:rsidRPr="00A7134B">
              <w:rPr>
                <w:sz w:val="20"/>
                <w:szCs w:val="20"/>
              </w:rPr>
              <w:t xml:space="preserve">- за внесение изменений в паспорт </w:t>
            </w:r>
          </w:p>
        </w:tc>
        <w:tc>
          <w:tcPr>
            <w:tcW w:w="1417" w:type="dxa"/>
          </w:tcPr>
          <w:p w:rsidR="0058574E" w:rsidRPr="00A7134B" w:rsidRDefault="0058574E" w:rsidP="00E7317C">
            <w:pPr>
              <w:pStyle w:val="21"/>
              <w:ind w:firstLine="0"/>
              <w:jc w:val="center"/>
              <w:rPr>
                <w:sz w:val="20"/>
                <w:szCs w:val="20"/>
              </w:rPr>
            </w:pPr>
          </w:p>
          <w:p w:rsidR="0058574E" w:rsidRPr="00A7134B" w:rsidRDefault="0058574E" w:rsidP="00E7317C">
            <w:pPr>
              <w:pStyle w:val="21"/>
              <w:ind w:firstLine="0"/>
              <w:jc w:val="center"/>
              <w:rPr>
                <w:sz w:val="20"/>
                <w:szCs w:val="20"/>
              </w:rPr>
            </w:pPr>
            <w:r w:rsidRPr="00A7134B">
              <w:rPr>
                <w:sz w:val="20"/>
                <w:szCs w:val="20"/>
              </w:rPr>
              <w:t>2 000</w:t>
            </w:r>
          </w:p>
          <w:p w:rsidR="0058574E" w:rsidRPr="00A7134B" w:rsidRDefault="0058574E" w:rsidP="00E7317C">
            <w:pPr>
              <w:pStyle w:val="21"/>
              <w:ind w:firstLine="0"/>
              <w:jc w:val="center"/>
              <w:rPr>
                <w:sz w:val="20"/>
                <w:szCs w:val="20"/>
              </w:rPr>
            </w:pPr>
            <w:r w:rsidRPr="00A7134B">
              <w:rPr>
                <w:sz w:val="20"/>
                <w:szCs w:val="20"/>
              </w:rPr>
              <w:t>5 000</w:t>
            </w:r>
          </w:p>
          <w:p w:rsidR="0058574E" w:rsidRPr="00A7134B" w:rsidRDefault="0058574E" w:rsidP="00E7317C">
            <w:pPr>
              <w:pStyle w:val="21"/>
              <w:ind w:firstLine="0"/>
              <w:jc w:val="center"/>
              <w:rPr>
                <w:sz w:val="20"/>
                <w:szCs w:val="20"/>
              </w:rPr>
            </w:pPr>
            <w:r w:rsidRPr="00A7134B">
              <w:rPr>
                <w:sz w:val="20"/>
                <w:szCs w:val="20"/>
              </w:rPr>
              <w:t>1 000</w:t>
            </w:r>
          </w:p>
          <w:p w:rsidR="0058574E" w:rsidRPr="00A7134B" w:rsidRDefault="0058574E" w:rsidP="00E7317C">
            <w:pPr>
              <w:pStyle w:val="21"/>
              <w:ind w:firstLine="0"/>
              <w:jc w:val="center"/>
              <w:rPr>
                <w:sz w:val="20"/>
                <w:szCs w:val="20"/>
              </w:rPr>
            </w:pPr>
            <w:r w:rsidRPr="00A7134B">
              <w:rPr>
                <w:sz w:val="20"/>
                <w:szCs w:val="20"/>
              </w:rPr>
              <w:t>2 500</w:t>
            </w:r>
          </w:p>
          <w:p w:rsidR="0058574E" w:rsidRPr="00A7134B" w:rsidRDefault="0058574E" w:rsidP="00E7317C">
            <w:pPr>
              <w:pStyle w:val="21"/>
              <w:ind w:firstLine="0"/>
              <w:jc w:val="center"/>
              <w:rPr>
                <w:sz w:val="20"/>
                <w:szCs w:val="20"/>
              </w:rPr>
            </w:pPr>
            <w:r w:rsidRPr="00A7134B">
              <w:rPr>
                <w:sz w:val="20"/>
                <w:szCs w:val="20"/>
              </w:rPr>
              <w:t>500</w:t>
            </w:r>
          </w:p>
        </w:tc>
        <w:tc>
          <w:tcPr>
            <w:tcW w:w="1701" w:type="dxa"/>
          </w:tcPr>
          <w:p w:rsidR="0058574E" w:rsidRPr="00A7134B" w:rsidRDefault="0058574E" w:rsidP="00E7317C">
            <w:pPr>
              <w:pStyle w:val="21"/>
              <w:ind w:firstLine="0"/>
              <w:jc w:val="center"/>
              <w:rPr>
                <w:sz w:val="20"/>
                <w:szCs w:val="20"/>
              </w:rPr>
            </w:pPr>
          </w:p>
          <w:p w:rsidR="0058574E" w:rsidRPr="00A7134B" w:rsidRDefault="0058574E" w:rsidP="00E7317C">
            <w:pPr>
              <w:pStyle w:val="21"/>
              <w:ind w:firstLine="0"/>
              <w:jc w:val="center"/>
              <w:rPr>
                <w:sz w:val="20"/>
                <w:szCs w:val="20"/>
              </w:rPr>
            </w:pPr>
            <w:r w:rsidRPr="00A7134B">
              <w:rPr>
                <w:sz w:val="20"/>
                <w:szCs w:val="20"/>
              </w:rPr>
              <w:t>2 000</w:t>
            </w:r>
          </w:p>
          <w:p w:rsidR="0058574E" w:rsidRPr="00A7134B" w:rsidRDefault="0058574E" w:rsidP="00E7317C">
            <w:pPr>
              <w:pStyle w:val="21"/>
              <w:ind w:firstLine="0"/>
              <w:jc w:val="center"/>
              <w:rPr>
                <w:sz w:val="20"/>
                <w:szCs w:val="20"/>
              </w:rPr>
            </w:pPr>
            <w:r w:rsidRPr="00A7134B">
              <w:rPr>
                <w:sz w:val="20"/>
                <w:szCs w:val="20"/>
              </w:rPr>
              <w:t>5 000</w:t>
            </w:r>
          </w:p>
          <w:p w:rsidR="0058574E" w:rsidRPr="00A7134B" w:rsidRDefault="0058574E" w:rsidP="00E7317C">
            <w:pPr>
              <w:pStyle w:val="21"/>
              <w:ind w:firstLine="0"/>
              <w:jc w:val="center"/>
              <w:rPr>
                <w:sz w:val="20"/>
                <w:szCs w:val="20"/>
              </w:rPr>
            </w:pPr>
            <w:r w:rsidRPr="00A7134B">
              <w:rPr>
                <w:sz w:val="20"/>
                <w:szCs w:val="20"/>
              </w:rPr>
              <w:t>1 000</w:t>
            </w:r>
          </w:p>
          <w:p w:rsidR="0058574E" w:rsidRPr="00A7134B" w:rsidRDefault="0058574E" w:rsidP="00E7317C">
            <w:pPr>
              <w:pStyle w:val="21"/>
              <w:ind w:firstLine="0"/>
              <w:jc w:val="center"/>
              <w:rPr>
                <w:sz w:val="20"/>
                <w:szCs w:val="20"/>
              </w:rPr>
            </w:pPr>
            <w:r w:rsidRPr="00A7134B">
              <w:rPr>
                <w:sz w:val="20"/>
                <w:szCs w:val="20"/>
              </w:rPr>
              <w:t>2 500</w:t>
            </w:r>
          </w:p>
          <w:p w:rsidR="0058574E" w:rsidRPr="00A7134B" w:rsidRDefault="0058574E" w:rsidP="00E7317C">
            <w:pPr>
              <w:pStyle w:val="21"/>
              <w:ind w:firstLine="0"/>
              <w:jc w:val="center"/>
              <w:rPr>
                <w:sz w:val="20"/>
                <w:szCs w:val="20"/>
              </w:rPr>
            </w:pPr>
            <w:r w:rsidRPr="00A7134B">
              <w:rPr>
                <w:sz w:val="20"/>
                <w:szCs w:val="20"/>
              </w:rPr>
              <w:t>500</w:t>
            </w:r>
          </w:p>
        </w:tc>
        <w:tc>
          <w:tcPr>
            <w:tcW w:w="1701" w:type="dxa"/>
          </w:tcPr>
          <w:p w:rsidR="0058574E" w:rsidRPr="00A7134B" w:rsidRDefault="0058574E" w:rsidP="00E7317C">
            <w:pPr>
              <w:pStyle w:val="21"/>
              <w:jc w:val="center"/>
              <w:rPr>
                <w:sz w:val="20"/>
                <w:szCs w:val="20"/>
              </w:rPr>
            </w:pPr>
          </w:p>
          <w:p w:rsidR="0058574E" w:rsidRPr="00A7134B" w:rsidRDefault="0058574E" w:rsidP="00E7317C">
            <w:pPr>
              <w:pStyle w:val="21"/>
              <w:ind w:firstLine="0"/>
              <w:jc w:val="center"/>
              <w:rPr>
                <w:sz w:val="20"/>
                <w:szCs w:val="20"/>
              </w:rPr>
            </w:pPr>
            <w:r w:rsidRPr="00A7134B">
              <w:rPr>
                <w:sz w:val="20"/>
                <w:szCs w:val="20"/>
              </w:rPr>
              <w:t>2 000</w:t>
            </w:r>
          </w:p>
          <w:p w:rsidR="0058574E" w:rsidRPr="00A7134B" w:rsidRDefault="0058574E" w:rsidP="00E7317C">
            <w:pPr>
              <w:pStyle w:val="21"/>
              <w:ind w:firstLine="0"/>
              <w:jc w:val="center"/>
              <w:rPr>
                <w:sz w:val="20"/>
                <w:szCs w:val="20"/>
              </w:rPr>
            </w:pPr>
            <w:r w:rsidRPr="00A7134B">
              <w:rPr>
                <w:sz w:val="20"/>
                <w:szCs w:val="20"/>
              </w:rPr>
              <w:t>5 000</w:t>
            </w:r>
          </w:p>
          <w:p w:rsidR="0058574E" w:rsidRPr="00A7134B" w:rsidRDefault="0058574E" w:rsidP="00E7317C">
            <w:pPr>
              <w:pStyle w:val="21"/>
              <w:ind w:firstLine="0"/>
              <w:jc w:val="center"/>
              <w:rPr>
                <w:sz w:val="20"/>
                <w:szCs w:val="20"/>
              </w:rPr>
            </w:pPr>
            <w:r w:rsidRPr="00A7134B">
              <w:rPr>
                <w:sz w:val="20"/>
                <w:szCs w:val="20"/>
              </w:rPr>
              <w:t>1 000</w:t>
            </w:r>
          </w:p>
          <w:p w:rsidR="0058574E" w:rsidRPr="00A7134B" w:rsidRDefault="0058574E" w:rsidP="00E7317C">
            <w:pPr>
              <w:pStyle w:val="21"/>
              <w:ind w:firstLine="0"/>
              <w:jc w:val="center"/>
              <w:rPr>
                <w:sz w:val="20"/>
                <w:szCs w:val="20"/>
              </w:rPr>
            </w:pPr>
            <w:r w:rsidRPr="00A7134B">
              <w:rPr>
                <w:sz w:val="20"/>
                <w:szCs w:val="20"/>
              </w:rPr>
              <w:t>2 500</w:t>
            </w:r>
          </w:p>
          <w:p w:rsidR="0058574E" w:rsidRPr="00A7134B" w:rsidRDefault="0058574E" w:rsidP="00E7317C">
            <w:pPr>
              <w:pStyle w:val="21"/>
              <w:ind w:firstLine="0"/>
              <w:jc w:val="center"/>
              <w:rPr>
                <w:sz w:val="20"/>
                <w:szCs w:val="20"/>
              </w:rPr>
            </w:pPr>
            <w:r w:rsidRPr="00A7134B">
              <w:rPr>
                <w:sz w:val="20"/>
                <w:szCs w:val="20"/>
              </w:rPr>
              <w:t>500</w:t>
            </w:r>
          </w:p>
        </w:tc>
      </w:tr>
      <w:tr w:rsidR="0058574E" w:rsidRPr="00A7134B" w:rsidTr="00E7317C">
        <w:tc>
          <w:tcPr>
            <w:tcW w:w="5388" w:type="dxa"/>
          </w:tcPr>
          <w:p w:rsidR="0058574E" w:rsidRPr="00A7134B" w:rsidRDefault="0058574E" w:rsidP="00E7317C">
            <w:pPr>
              <w:pStyle w:val="21"/>
              <w:ind w:firstLine="0"/>
              <w:jc w:val="left"/>
              <w:rPr>
                <w:sz w:val="20"/>
                <w:szCs w:val="20"/>
              </w:rPr>
            </w:pPr>
            <w:r w:rsidRPr="00A7134B">
              <w:rPr>
                <w:sz w:val="20"/>
                <w:szCs w:val="20"/>
              </w:rPr>
              <w:t>3. Государственная пошлина – всего (норматив зачисления госпошлины в областной бюджет – 50 %), тыс. руб., в том числе:</w:t>
            </w:r>
          </w:p>
          <w:p w:rsidR="0058574E" w:rsidRPr="00A7134B" w:rsidRDefault="0058574E" w:rsidP="00E7317C">
            <w:pPr>
              <w:pStyle w:val="21"/>
              <w:ind w:firstLine="0"/>
              <w:jc w:val="left"/>
              <w:rPr>
                <w:sz w:val="20"/>
                <w:szCs w:val="20"/>
              </w:rPr>
            </w:pPr>
            <w:r w:rsidRPr="00A7134B">
              <w:rPr>
                <w:sz w:val="20"/>
                <w:szCs w:val="20"/>
              </w:rPr>
              <w:t xml:space="preserve">- за выдачу паспорта </w:t>
            </w:r>
          </w:p>
          <w:p w:rsidR="0058574E" w:rsidRPr="00A7134B" w:rsidRDefault="0058574E" w:rsidP="00E7317C">
            <w:pPr>
              <w:pStyle w:val="21"/>
              <w:ind w:firstLine="0"/>
              <w:jc w:val="left"/>
              <w:rPr>
                <w:sz w:val="20"/>
                <w:szCs w:val="20"/>
              </w:rPr>
            </w:pPr>
            <w:r w:rsidRPr="00A7134B">
              <w:rPr>
                <w:sz w:val="20"/>
                <w:szCs w:val="20"/>
              </w:rPr>
              <w:t>- за выдачу паспорта нового поколения (с округлением)</w:t>
            </w:r>
          </w:p>
          <w:p w:rsidR="0058574E" w:rsidRPr="00A7134B" w:rsidRDefault="0058574E" w:rsidP="00E7317C">
            <w:pPr>
              <w:pStyle w:val="21"/>
              <w:ind w:firstLine="0"/>
              <w:jc w:val="left"/>
              <w:rPr>
                <w:sz w:val="20"/>
                <w:szCs w:val="20"/>
              </w:rPr>
            </w:pPr>
            <w:r w:rsidRPr="00A7134B">
              <w:rPr>
                <w:sz w:val="20"/>
                <w:szCs w:val="20"/>
              </w:rPr>
              <w:t>- за выдачу паспорта в возрасте до 14 лет (с округлением)</w:t>
            </w:r>
          </w:p>
          <w:p w:rsidR="0058574E" w:rsidRPr="00A7134B" w:rsidRDefault="0058574E" w:rsidP="00E7317C">
            <w:pPr>
              <w:pStyle w:val="21"/>
              <w:ind w:firstLine="0"/>
              <w:jc w:val="left"/>
              <w:rPr>
                <w:sz w:val="20"/>
                <w:szCs w:val="20"/>
              </w:rPr>
            </w:pPr>
            <w:r w:rsidRPr="00A7134B">
              <w:rPr>
                <w:sz w:val="20"/>
                <w:szCs w:val="20"/>
              </w:rPr>
              <w:t>- за выдачу паспорта нового поколения в возрасте до 14 лет (с округлением)</w:t>
            </w:r>
          </w:p>
          <w:p w:rsidR="0058574E" w:rsidRPr="00A7134B" w:rsidRDefault="0058574E" w:rsidP="00E7317C">
            <w:pPr>
              <w:pStyle w:val="21"/>
              <w:ind w:firstLine="0"/>
              <w:jc w:val="left"/>
              <w:rPr>
                <w:sz w:val="20"/>
                <w:szCs w:val="20"/>
              </w:rPr>
            </w:pPr>
            <w:r w:rsidRPr="00A7134B">
              <w:rPr>
                <w:sz w:val="20"/>
                <w:szCs w:val="20"/>
              </w:rPr>
              <w:t>- за внесение изменений в паспорт (с округлением)</w:t>
            </w:r>
          </w:p>
        </w:tc>
        <w:tc>
          <w:tcPr>
            <w:tcW w:w="1417" w:type="dxa"/>
          </w:tcPr>
          <w:p w:rsidR="0058574E" w:rsidRPr="00A7134B" w:rsidRDefault="0058574E" w:rsidP="00E7317C">
            <w:pPr>
              <w:jc w:val="center"/>
              <w:rPr>
                <w:sz w:val="20"/>
                <w:szCs w:val="20"/>
              </w:rPr>
            </w:pPr>
            <w:r w:rsidRPr="00A7134B">
              <w:rPr>
                <w:sz w:val="20"/>
                <w:szCs w:val="20"/>
              </w:rPr>
              <w:t>6 575,5</w:t>
            </w:r>
          </w:p>
          <w:p w:rsidR="0058574E" w:rsidRPr="00A7134B" w:rsidRDefault="0058574E" w:rsidP="00E7317C">
            <w:pPr>
              <w:jc w:val="center"/>
              <w:rPr>
                <w:sz w:val="20"/>
                <w:szCs w:val="20"/>
              </w:rPr>
            </w:pPr>
          </w:p>
          <w:p w:rsidR="0058574E" w:rsidRPr="00A7134B" w:rsidRDefault="0058574E" w:rsidP="00E7317C">
            <w:pPr>
              <w:rPr>
                <w:sz w:val="20"/>
                <w:szCs w:val="20"/>
              </w:rPr>
            </w:pPr>
          </w:p>
          <w:p w:rsidR="0058574E" w:rsidRPr="00A7134B" w:rsidRDefault="0058574E" w:rsidP="00E7317C">
            <w:pPr>
              <w:jc w:val="center"/>
              <w:rPr>
                <w:sz w:val="20"/>
                <w:szCs w:val="20"/>
              </w:rPr>
            </w:pPr>
            <w:r w:rsidRPr="00A7134B">
              <w:rPr>
                <w:sz w:val="20"/>
                <w:szCs w:val="20"/>
              </w:rPr>
              <w:t>5</w:t>
            </w:r>
            <w:r>
              <w:rPr>
                <w:sz w:val="20"/>
                <w:szCs w:val="20"/>
              </w:rPr>
              <w:t> </w:t>
            </w:r>
            <w:r w:rsidRPr="00A7134B">
              <w:rPr>
                <w:sz w:val="20"/>
                <w:szCs w:val="20"/>
              </w:rPr>
              <w:t>69</w:t>
            </w:r>
            <w:r>
              <w:rPr>
                <w:sz w:val="20"/>
                <w:szCs w:val="20"/>
              </w:rPr>
              <w:t>3,80</w:t>
            </w:r>
          </w:p>
          <w:p w:rsidR="0058574E" w:rsidRPr="00A7134B" w:rsidRDefault="0058574E" w:rsidP="00E7317C">
            <w:pPr>
              <w:jc w:val="center"/>
              <w:rPr>
                <w:sz w:val="20"/>
                <w:szCs w:val="20"/>
              </w:rPr>
            </w:pPr>
            <w:r>
              <w:rPr>
                <w:sz w:val="20"/>
                <w:szCs w:val="20"/>
              </w:rPr>
              <w:t>6,93</w:t>
            </w:r>
          </w:p>
          <w:p w:rsidR="0058574E" w:rsidRPr="00A7134B" w:rsidRDefault="0058574E" w:rsidP="00E7317C">
            <w:pPr>
              <w:jc w:val="center"/>
              <w:rPr>
                <w:sz w:val="20"/>
                <w:szCs w:val="20"/>
              </w:rPr>
            </w:pPr>
            <w:r w:rsidRPr="00A7134B">
              <w:rPr>
                <w:sz w:val="20"/>
                <w:szCs w:val="20"/>
              </w:rPr>
              <w:t>873,6</w:t>
            </w:r>
            <w:r>
              <w:rPr>
                <w:sz w:val="20"/>
                <w:szCs w:val="20"/>
              </w:rPr>
              <w:t>1</w:t>
            </w:r>
          </w:p>
          <w:p w:rsidR="0058574E" w:rsidRPr="00A7134B" w:rsidRDefault="0058574E" w:rsidP="00E7317C">
            <w:pPr>
              <w:jc w:val="center"/>
              <w:rPr>
                <w:sz w:val="20"/>
                <w:szCs w:val="20"/>
              </w:rPr>
            </w:pPr>
            <w:r>
              <w:rPr>
                <w:sz w:val="20"/>
                <w:szCs w:val="20"/>
              </w:rPr>
              <w:t>0,0</w:t>
            </w:r>
          </w:p>
          <w:p w:rsidR="0058574E" w:rsidRPr="00A7134B" w:rsidRDefault="0058574E" w:rsidP="00E7317C">
            <w:pPr>
              <w:jc w:val="center"/>
              <w:rPr>
                <w:sz w:val="20"/>
                <w:szCs w:val="20"/>
              </w:rPr>
            </w:pPr>
          </w:p>
          <w:p w:rsidR="0058574E" w:rsidRPr="00A7134B" w:rsidRDefault="0058574E" w:rsidP="00E7317C">
            <w:pPr>
              <w:jc w:val="center"/>
              <w:rPr>
                <w:sz w:val="20"/>
                <w:szCs w:val="20"/>
              </w:rPr>
            </w:pPr>
            <w:r w:rsidRPr="00A7134B">
              <w:rPr>
                <w:sz w:val="20"/>
                <w:szCs w:val="20"/>
              </w:rPr>
              <w:t>1,</w:t>
            </w:r>
            <w:r>
              <w:rPr>
                <w:sz w:val="20"/>
                <w:szCs w:val="20"/>
              </w:rPr>
              <w:t>17</w:t>
            </w:r>
          </w:p>
        </w:tc>
        <w:tc>
          <w:tcPr>
            <w:tcW w:w="1701" w:type="dxa"/>
          </w:tcPr>
          <w:p w:rsidR="0058574E" w:rsidRPr="00A7134B" w:rsidRDefault="0058574E" w:rsidP="00E7317C">
            <w:pPr>
              <w:pStyle w:val="21"/>
              <w:ind w:firstLine="0"/>
              <w:jc w:val="center"/>
              <w:rPr>
                <w:sz w:val="20"/>
                <w:szCs w:val="20"/>
              </w:rPr>
            </w:pPr>
            <w:r w:rsidRPr="00A7134B">
              <w:rPr>
                <w:sz w:val="20"/>
                <w:szCs w:val="20"/>
              </w:rPr>
              <w:t>5 763,1</w:t>
            </w:r>
          </w:p>
          <w:p w:rsidR="0058574E" w:rsidRPr="00A7134B" w:rsidRDefault="0058574E" w:rsidP="00E7317C">
            <w:pPr>
              <w:pStyle w:val="21"/>
              <w:ind w:left="180" w:firstLine="0"/>
              <w:jc w:val="center"/>
              <w:rPr>
                <w:sz w:val="20"/>
                <w:szCs w:val="20"/>
              </w:rPr>
            </w:pPr>
          </w:p>
          <w:p w:rsidR="0058574E" w:rsidRPr="00A7134B" w:rsidRDefault="0058574E" w:rsidP="00E7317C">
            <w:pPr>
              <w:pStyle w:val="21"/>
              <w:ind w:left="180" w:firstLine="0"/>
              <w:jc w:val="center"/>
              <w:rPr>
                <w:sz w:val="20"/>
                <w:szCs w:val="20"/>
              </w:rPr>
            </w:pPr>
          </w:p>
          <w:p w:rsidR="0058574E" w:rsidRPr="00A7134B" w:rsidRDefault="0058574E" w:rsidP="00E7317C">
            <w:pPr>
              <w:pStyle w:val="21"/>
              <w:ind w:firstLine="0"/>
              <w:jc w:val="center"/>
              <w:rPr>
                <w:sz w:val="20"/>
                <w:szCs w:val="20"/>
              </w:rPr>
            </w:pPr>
            <w:r w:rsidRPr="00A7134B">
              <w:rPr>
                <w:sz w:val="20"/>
                <w:szCs w:val="20"/>
              </w:rPr>
              <w:t>4 997,</w:t>
            </w:r>
            <w:r>
              <w:rPr>
                <w:sz w:val="20"/>
                <w:szCs w:val="20"/>
              </w:rPr>
              <w:t>83</w:t>
            </w:r>
          </w:p>
          <w:p w:rsidR="0058574E" w:rsidRPr="00A7134B" w:rsidRDefault="0058574E" w:rsidP="00E7317C">
            <w:pPr>
              <w:pStyle w:val="21"/>
              <w:ind w:firstLine="0"/>
              <w:jc w:val="center"/>
              <w:rPr>
                <w:sz w:val="20"/>
                <w:szCs w:val="20"/>
              </w:rPr>
            </w:pPr>
            <w:r w:rsidRPr="00A7134B">
              <w:rPr>
                <w:sz w:val="20"/>
                <w:szCs w:val="20"/>
              </w:rPr>
              <w:t>7,7</w:t>
            </w:r>
            <w:r>
              <w:rPr>
                <w:sz w:val="20"/>
                <w:szCs w:val="20"/>
              </w:rPr>
              <w:t>4</w:t>
            </w:r>
          </w:p>
          <w:p w:rsidR="0058574E" w:rsidRPr="00A7134B" w:rsidRDefault="0058574E" w:rsidP="00E7317C">
            <w:pPr>
              <w:pStyle w:val="21"/>
              <w:ind w:firstLine="0"/>
              <w:jc w:val="center"/>
              <w:rPr>
                <w:sz w:val="20"/>
                <w:szCs w:val="20"/>
              </w:rPr>
            </w:pPr>
            <w:r w:rsidRPr="00A7134B">
              <w:rPr>
                <w:sz w:val="20"/>
                <w:szCs w:val="20"/>
              </w:rPr>
              <w:t>757,0</w:t>
            </w:r>
            <w:r>
              <w:rPr>
                <w:sz w:val="20"/>
                <w:szCs w:val="20"/>
              </w:rPr>
              <w:t>1</w:t>
            </w:r>
          </w:p>
          <w:p w:rsidR="0058574E" w:rsidRPr="00A7134B" w:rsidRDefault="0058574E" w:rsidP="00E7317C">
            <w:pPr>
              <w:pStyle w:val="21"/>
              <w:ind w:firstLine="0"/>
              <w:jc w:val="center"/>
              <w:rPr>
                <w:sz w:val="20"/>
                <w:szCs w:val="20"/>
              </w:rPr>
            </w:pPr>
            <w:r w:rsidRPr="00A7134B">
              <w:rPr>
                <w:sz w:val="20"/>
                <w:szCs w:val="20"/>
              </w:rPr>
              <w:t>0,0</w:t>
            </w:r>
          </w:p>
          <w:p w:rsidR="0058574E" w:rsidRPr="00A7134B" w:rsidRDefault="0058574E" w:rsidP="00E7317C">
            <w:pPr>
              <w:pStyle w:val="21"/>
              <w:ind w:firstLine="0"/>
              <w:jc w:val="center"/>
              <w:rPr>
                <w:sz w:val="20"/>
                <w:szCs w:val="20"/>
              </w:rPr>
            </w:pPr>
          </w:p>
          <w:p w:rsidR="0058574E" w:rsidRPr="00A7134B" w:rsidRDefault="0058574E" w:rsidP="00E7317C">
            <w:pPr>
              <w:pStyle w:val="21"/>
              <w:ind w:firstLine="0"/>
              <w:jc w:val="center"/>
              <w:rPr>
                <w:sz w:val="20"/>
                <w:szCs w:val="20"/>
              </w:rPr>
            </w:pPr>
            <w:r w:rsidRPr="00A7134B">
              <w:rPr>
                <w:sz w:val="20"/>
                <w:szCs w:val="20"/>
              </w:rPr>
              <w:t>0,</w:t>
            </w:r>
            <w:r>
              <w:rPr>
                <w:sz w:val="20"/>
                <w:szCs w:val="20"/>
              </w:rPr>
              <w:t>47</w:t>
            </w:r>
          </w:p>
        </w:tc>
        <w:tc>
          <w:tcPr>
            <w:tcW w:w="1701" w:type="dxa"/>
          </w:tcPr>
          <w:p w:rsidR="0058574E" w:rsidRPr="00A7134B" w:rsidRDefault="0058574E" w:rsidP="00E7317C">
            <w:pPr>
              <w:pStyle w:val="21"/>
              <w:ind w:firstLine="0"/>
              <w:jc w:val="center"/>
              <w:rPr>
                <w:sz w:val="20"/>
                <w:szCs w:val="20"/>
              </w:rPr>
            </w:pPr>
            <w:r w:rsidRPr="00A7134B">
              <w:rPr>
                <w:sz w:val="20"/>
                <w:szCs w:val="20"/>
              </w:rPr>
              <w:t>6 532,3</w:t>
            </w:r>
          </w:p>
          <w:p w:rsidR="0058574E" w:rsidRPr="00A7134B" w:rsidRDefault="0058574E" w:rsidP="00E7317C">
            <w:pPr>
              <w:pStyle w:val="21"/>
              <w:ind w:firstLine="0"/>
              <w:jc w:val="center"/>
              <w:rPr>
                <w:sz w:val="20"/>
                <w:szCs w:val="20"/>
              </w:rPr>
            </w:pPr>
          </w:p>
          <w:p w:rsidR="0058574E" w:rsidRPr="00A7134B" w:rsidRDefault="0058574E" w:rsidP="00E7317C">
            <w:pPr>
              <w:pStyle w:val="21"/>
              <w:ind w:firstLine="0"/>
              <w:rPr>
                <w:sz w:val="20"/>
                <w:szCs w:val="20"/>
              </w:rPr>
            </w:pPr>
          </w:p>
          <w:p w:rsidR="0058574E" w:rsidRPr="00A7134B" w:rsidRDefault="0058574E" w:rsidP="00E7317C">
            <w:pPr>
              <w:pStyle w:val="21"/>
              <w:ind w:firstLine="0"/>
              <w:jc w:val="center"/>
              <w:rPr>
                <w:sz w:val="20"/>
                <w:szCs w:val="20"/>
              </w:rPr>
            </w:pPr>
            <w:r w:rsidRPr="00A7134B">
              <w:rPr>
                <w:sz w:val="20"/>
                <w:szCs w:val="20"/>
              </w:rPr>
              <w:t>5 652,7</w:t>
            </w:r>
            <w:r>
              <w:rPr>
                <w:sz w:val="20"/>
                <w:szCs w:val="20"/>
              </w:rPr>
              <w:t>4</w:t>
            </w:r>
          </w:p>
          <w:p w:rsidR="0058574E" w:rsidRPr="00A7134B" w:rsidRDefault="0058574E" w:rsidP="00E7317C">
            <w:pPr>
              <w:pStyle w:val="21"/>
              <w:ind w:firstLine="0"/>
              <w:jc w:val="center"/>
              <w:rPr>
                <w:sz w:val="20"/>
                <w:szCs w:val="20"/>
              </w:rPr>
            </w:pPr>
            <w:r>
              <w:rPr>
                <w:sz w:val="20"/>
                <w:szCs w:val="20"/>
              </w:rPr>
              <w:t>6,98</w:t>
            </w:r>
          </w:p>
          <w:p w:rsidR="0058574E" w:rsidRPr="00A7134B" w:rsidRDefault="0058574E" w:rsidP="00E7317C">
            <w:pPr>
              <w:pStyle w:val="21"/>
              <w:ind w:firstLine="0"/>
              <w:jc w:val="center"/>
              <w:rPr>
                <w:sz w:val="20"/>
                <w:szCs w:val="20"/>
              </w:rPr>
            </w:pPr>
            <w:r w:rsidRPr="00A7134B">
              <w:rPr>
                <w:sz w:val="20"/>
                <w:szCs w:val="20"/>
              </w:rPr>
              <w:t>871,6</w:t>
            </w:r>
            <w:r>
              <w:rPr>
                <w:sz w:val="20"/>
                <w:szCs w:val="20"/>
              </w:rPr>
              <w:t>4</w:t>
            </w:r>
          </w:p>
          <w:p w:rsidR="0058574E" w:rsidRPr="00A7134B" w:rsidRDefault="0058574E" w:rsidP="00E7317C">
            <w:pPr>
              <w:pStyle w:val="21"/>
              <w:ind w:firstLine="0"/>
              <w:jc w:val="center"/>
              <w:rPr>
                <w:sz w:val="20"/>
                <w:szCs w:val="20"/>
              </w:rPr>
            </w:pPr>
            <w:r w:rsidRPr="00A7134B">
              <w:rPr>
                <w:sz w:val="20"/>
                <w:szCs w:val="20"/>
              </w:rPr>
              <w:t>0,0</w:t>
            </w:r>
          </w:p>
          <w:p w:rsidR="0058574E" w:rsidRPr="00A7134B" w:rsidRDefault="0058574E" w:rsidP="00E7317C">
            <w:pPr>
              <w:pStyle w:val="21"/>
              <w:ind w:firstLine="0"/>
              <w:jc w:val="center"/>
              <w:rPr>
                <w:sz w:val="20"/>
                <w:szCs w:val="20"/>
              </w:rPr>
            </w:pPr>
          </w:p>
          <w:p w:rsidR="0058574E" w:rsidRPr="00A7134B" w:rsidRDefault="0058574E" w:rsidP="00E7317C">
            <w:pPr>
              <w:pStyle w:val="21"/>
              <w:ind w:firstLine="0"/>
              <w:jc w:val="center"/>
              <w:rPr>
                <w:sz w:val="20"/>
                <w:szCs w:val="20"/>
              </w:rPr>
            </w:pPr>
            <w:r>
              <w:rPr>
                <w:sz w:val="20"/>
                <w:szCs w:val="20"/>
              </w:rPr>
              <w:t>0,96</w:t>
            </w:r>
          </w:p>
        </w:tc>
      </w:tr>
    </w:tbl>
    <w:p w:rsidR="0058574E" w:rsidRPr="000C7712" w:rsidRDefault="0058574E" w:rsidP="0058574E">
      <w:pPr>
        <w:pStyle w:val="21"/>
        <w:ind w:firstLine="0"/>
        <w:rPr>
          <w:color w:val="FF0000"/>
          <w:sz w:val="20"/>
          <w:szCs w:val="20"/>
        </w:rPr>
      </w:pPr>
    </w:p>
    <w:p w:rsidR="0058574E" w:rsidRPr="00E90FAF" w:rsidRDefault="0058574E" w:rsidP="0058574E">
      <w:pPr>
        <w:pStyle w:val="21"/>
        <w:ind w:firstLine="0"/>
        <w:jc w:val="center"/>
        <w:rPr>
          <w:b/>
        </w:rPr>
      </w:pPr>
      <w:r w:rsidRPr="00E90FAF">
        <w:rPr>
          <w:b/>
        </w:rPr>
        <w:t>2.Государственная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w:t>
      </w:r>
    </w:p>
    <w:p w:rsidR="0058574E" w:rsidRPr="00E90FAF" w:rsidRDefault="0058574E" w:rsidP="0058574E">
      <w:pPr>
        <w:pStyle w:val="21"/>
        <w:ind w:left="180"/>
        <w:jc w:val="center"/>
        <w:rPr>
          <w:b/>
          <w:sz w:val="24"/>
          <w:szCs w:val="24"/>
        </w:rPr>
      </w:pPr>
      <w:r w:rsidRPr="00E90FAF">
        <w:rPr>
          <w:sz w:val="24"/>
          <w:szCs w:val="24"/>
        </w:rPr>
        <w:t>(по данным УФНС России по Тверской области)</w:t>
      </w:r>
    </w:p>
    <w:p w:rsidR="0058574E" w:rsidRPr="00E90FAF" w:rsidRDefault="0058574E" w:rsidP="0058574E">
      <w:pPr>
        <w:pStyle w:val="21"/>
        <w:ind w:left="180"/>
        <w:jc w:val="center"/>
        <w:rPr>
          <w:b/>
          <w:sz w:val="24"/>
          <w:szCs w:val="24"/>
        </w:rPr>
      </w:pPr>
      <w:r w:rsidRPr="00E90FAF">
        <w:rPr>
          <w:b/>
          <w:sz w:val="24"/>
          <w:szCs w:val="24"/>
        </w:rPr>
        <w:t>(000 1 08 07010 01 0000 110)</w:t>
      </w:r>
    </w:p>
    <w:p w:rsidR="0058574E" w:rsidRPr="00385F3A" w:rsidRDefault="0058574E" w:rsidP="0058574E">
      <w:pPr>
        <w:pStyle w:val="21"/>
        <w:ind w:left="180"/>
        <w:jc w:val="center"/>
        <w:rPr>
          <w:b/>
          <w:sz w:val="24"/>
          <w:szCs w:val="24"/>
        </w:rPr>
      </w:pPr>
    </w:p>
    <w:p w:rsidR="0058574E" w:rsidRPr="00E90FAF" w:rsidRDefault="0058574E" w:rsidP="0058574E">
      <w:pPr>
        <w:pStyle w:val="21"/>
        <w:ind w:left="180"/>
        <w:rPr>
          <w:sz w:val="24"/>
          <w:szCs w:val="24"/>
        </w:rPr>
      </w:pPr>
      <w:r w:rsidRPr="00E90FAF">
        <w:rPr>
          <w:sz w:val="24"/>
          <w:szCs w:val="24"/>
        </w:rPr>
        <w:t>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(КБК 182 1 08 07010 01 0000 110) не прогнозируется, так как государственная пошлина не уплачивается за совершение юридически значимых действий, предусмотренных подпунктами 1, 3, 6 и 7 пункта 1 статьи 333.33 НК РФ при направлении в регистрирующий орган документов, необходимых для совершения указанных юридически значимых действий, в форме электронных документов через многофункциональный центр (разъяснения Министерства финансов Российской Федерации - письмо от 21.10.2020 № 03-05-04-03/91632).</w:t>
      </w:r>
    </w:p>
    <w:p w:rsidR="0058574E" w:rsidRDefault="0058574E" w:rsidP="0058574E">
      <w:pPr>
        <w:pStyle w:val="21"/>
        <w:ind w:left="180"/>
        <w:jc w:val="center"/>
        <w:rPr>
          <w:b/>
          <w:color w:val="FF0000"/>
          <w:sz w:val="24"/>
          <w:szCs w:val="24"/>
        </w:rPr>
      </w:pPr>
    </w:p>
    <w:p w:rsidR="0058574E" w:rsidRDefault="0058574E" w:rsidP="0058574E">
      <w:pPr>
        <w:pStyle w:val="21"/>
        <w:ind w:left="180"/>
        <w:jc w:val="center"/>
        <w:rPr>
          <w:b/>
          <w:color w:val="FF0000"/>
          <w:sz w:val="24"/>
          <w:szCs w:val="24"/>
        </w:rPr>
      </w:pPr>
    </w:p>
    <w:p w:rsidR="0058574E" w:rsidRPr="000C7712" w:rsidRDefault="0058574E" w:rsidP="0058574E">
      <w:pPr>
        <w:pStyle w:val="21"/>
        <w:ind w:left="180"/>
        <w:jc w:val="center"/>
        <w:rPr>
          <w:b/>
          <w:color w:val="FF0000"/>
          <w:sz w:val="24"/>
          <w:szCs w:val="24"/>
        </w:rPr>
      </w:pPr>
    </w:p>
    <w:p w:rsidR="0058574E" w:rsidRPr="005831F7" w:rsidRDefault="0058574E" w:rsidP="0058574E">
      <w:pPr>
        <w:pStyle w:val="21"/>
        <w:ind w:firstLine="0"/>
        <w:jc w:val="center"/>
        <w:rPr>
          <w:b/>
        </w:rPr>
      </w:pPr>
      <w:r w:rsidRPr="005831F7">
        <w:rPr>
          <w:b/>
        </w:rPr>
        <w:t xml:space="preserve">3.Государственная пошлина за государственную регистрацию прав, ограничений (обременений) прав на недвижимое имущество </w:t>
      </w:r>
    </w:p>
    <w:p w:rsidR="0058574E" w:rsidRPr="005831F7" w:rsidRDefault="0058574E" w:rsidP="0058574E">
      <w:pPr>
        <w:pStyle w:val="21"/>
        <w:ind w:firstLine="0"/>
        <w:jc w:val="center"/>
        <w:rPr>
          <w:b/>
        </w:rPr>
      </w:pPr>
      <w:r w:rsidRPr="005831F7">
        <w:rPr>
          <w:b/>
        </w:rPr>
        <w:lastRenderedPageBreak/>
        <w:t>и сделок с ним</w:t>
      </w:r>
    </w:p>
    <w:p w:rsidR="0058574E" w:rsidRPr="005831F7" w:rsidRDefault="0058574E" w:rsidP="0058574E">
      <w:pPr>
        <w:pStyle w:val="21"/>
        <w:ind w:firstLine="0"/>
        <w:jc w:val="center"/>
        <w:rPr>
          <w:b/>
        </w:rPr>
      </w:pPr>
      <w:r w:rsidRPr="005831F7">
        <w:rPr>
          <w:b/>
          <w:sz w:val="24"/>
          <w:szCs w:val="24"/>
        </w:rPr>
        <w:t>(</w:t>
      </w:r>
      <w:r w:rsidRPr="005831F7">
        <w:rPr>
          <w:sz w:val="24"/>
          <w:szCs w:val="24"/>
        </w:rPr>
        <w:t>по данным Управления Федеральной службы государственной регистрации, кадастра и картографии по Тверской области)</w:t>
      </w:r>
    </w:p>
    <w:p w:rsidR="0058574E" w:rsidRPr="005831F7" w:rsidRDefault="0058574E" w:rsidP="0058574E">
      <w:pPr>
        <w:pStyle w:val="21"/>
        <w:ind w:firstLine="0"/>
        <w:jc w:val="center"/>
        <w:rPr>
          <w:b/>
          <w:sz w:val="24"/>
          <w:szCs w:val="24"/>
        </w:rPr>
      </w:pPr>
      <w:r w:rsidRPr="005831F7">
        <w:rPr>
          <w:b/>
          <w:sz w:val="24"/>
          <w:szCs w:val="24"/>
        </w:rPr>
        <w:t>(000 1 08 07020 01 0000 110)</w:t>
      </w:r>
    </w:p>
    <w:tbl>
      <w:tblPr>
        <w:tblStyle w:val="a6"/>
        <w:tblW w:w="5000" w:type="pct"/>
        <w:tblLook w:val="04A0" w:firstRow="1" w:lastRow="0" w:firstColumn="1" w:lastColumn="0" w:noHBand="0" w:noVBand="1"/>
      </w:tblPr>
      <w:tblGrid>
        <w:gridCol w:w="881"/>
        <w:gridCol w:w="5784"/>
        <w:gridCol w:w="1036"/>
        <w:gridCol w:w="1036"/>
        <w:gridCol w:w="1034"/>
      </w:tblGrid>
      <w:tr w:rsidR="0058574E" w:rsidRPr="005831F7" w:rsidTr="00E7317C">
        <w:trPr>
          <w:tblHeader/>
        </w:trPr>
        <w:tc>
          <w:tcPr>
            <w:tcW w:w="451" w:type="pct"/>
            <w:shd w:val="clear" w:color="auto" w:fill="EAF1DD" w:themeFill="accent3" w:themeFillTint="33"/>
          </w:tcPr>
          <w:p w:rsidR="0058574E" w:rsidRPr="005831F7" w:rsidRDefault="0058574E" w:rsidP="00E7317C">
            <w:pPr>
              <w:pStyle w:val="21"/>
              <w:ind w:firstLine="0"/>
              <w:jc w:val="center"/>
              <w:rPr>
                <w:b/>
                <w:sz w:val="20"/>
                <w:szCs w:val="20"/>
              </w:rPr>
            </w:pPr>
          </w:p>
        </w:tc>
        <w:tc>
          <w:tcPr>
            <w:tcW w:w="2960" w:type="pct"/>
            <w:shd w:val="clear" w:color="auto" w:fill="EAF1DD" w:themeFill="accent3" w:themeFillTint="33"/>
          </w:tcPr>
          <w:p w:rsidR="0058574E" w:rsidRPr="005831F7" w:rsidRDefault="0058574E" w:rsidP="00E7317C">
            <w:pPr>
              <w:pStyle w:val="21"/>
              <w:ind w:firstLine="0"/>
              <w:jc w:val="center"/>
              <w:rPr>
                <w:sz w:val="20"/>
                <w:szCs w:val="20"/>
              </w:rPr>
            </w:pPr>
            <w:r w:rsidRPr="005831F7">
              <w:rPr>
                <w:sz w:val="20"/>
                <w:szCs w:val="20"/>
              </w:rPr>
              <w:t>Наименование показателя</w:t>
            </w:r>
          </w:p>
        </w:tc>
        <w:tc>
          <w:tcPr>
            <w:tcW w:w="530" w:type="pct"/>
            <w:shd w:val="clear" w:color="auto" w:fill="EAF1DD" w:themeFill="accent3" w:themeFillTint="33"/>
          </w:tcPr>
          <w:p w:rsidR="0058574E" w:rsidRPr="005831F7" w:rsidRDefault="0058574E" w:rsidP="00E7317C">
            <w:pPr>
              <w:pStyle w:val="21"/>
              <w:ind w:firstLine="0"/>
              <w:jc w:val="center"/>
              <w:rPr>
                <w:sz w:val="20"/>
                <w:szCs w:val="20"/>
              </w:rPr>
            </w:pPr>
            <w:r w:rsidRPr="005831F7">
              <w:rPr>
                <w:sz w:val="20"/>
                <w:szCs w:val="20"/>
              </w:rPr>
              <w:t>2022 год</w:t>
            </w:r>
          </w:p>
        </w:tc>
        <w:tc>
          <w:tcPr>
            <w:tcW w:w="530" w:type="pct"/>
            <w:shd w:val="clear" w:color="auto" w:fill="EAF1DD" w:themeFill="accent3" w:themeFillTint="33"/>
          </w:tcPr>
          <w:p w:rsidR="0058574E" w:rsidRPr="005831F7" w:rsidRDefault="0058574E" w:rsidP="00E7317C">
            <w:pPr>
              <w:pStyle w:val="21"/>
              <w:ind w:firstLine="0"/>
              <w:jc w:val="center"/>
              <w:rPr>
                <w:sz w:val="20"/>
                <w:szCs w:val="20"/>
              </w:rPr>
            </w:pPr>
            <w:r w:rsidRPr="005831F7">
              <w:rPr>
                <w:sz w:val="20"/>
                <w:szCs w:val="20"/>
              </w:rPr>
              <w:t>2023 год</w:t>
            </w:r>
          </w:p>
        </w:tc>
        <w:tc>
          <w:tcPr>
            <w:tcW w:w="530" w:type="pct"/>
            <w:shd w:val="clear" w:color="auto" w:fill="EAF1DD" w:themeFill="accent3" w:themeFillTint="33"/>
          </w:tcPr>
          <w:p w:rsidR="0058574E" w:rsidRPr="005831F7" w:rsidRDefault="0058574E" w:rsidP="00E7317C">
            <w:pPr>
              <w:pStyle w:val="21"/>
              <w:ind w:firstLine="0"/>
              <w:jc w:val="center"/>
              <w:rPr>
                <w:sz w:val="20"/>
                <w:szCs w:val="20"/>
              </w:rPr>
            </w:pPr>
            <w:r w:rsidRPr="005831F7">
              <w:rPr>
                <w:sz w:val="20"/>
                <w:szCs w:val="20"/>
              </w:rPr>
              <w:t>2024 год</w:t>
            </w:r>
          </w:p>
        </w:tc>
      </w:tr>
      <w:tr w:rsidR="0058574E" w:rsidRPr="00E11575" w:rsidTr="00E7317C">
        <w:tc>
          <w:tcPr>
            <w:tcW w:w="3411" w:type="pct"/>
            <w:gridSpan w:val="2"/>
            <w:shd w:val="clear" w:color="auto" w:fill="EAF1DD" w:themeFill="accent3" w:themeFillTint="33"/>
          </w:tcPr>
          <w:p w:rsidR="0058574E" w:rsidRPr="00E11575" w:rsidRDefault="0058574E" w:rsidP="00E7317C">
            <w:pPr>
              <w:pStyle w:val="21"/>
              <w:ind w:firstLine="22"/>
              <w:jc w:val="left"/>
              <w:rPr>
                <w:b/>
                <w:sz w:val="20"/>
                <w:szCs w:val="20"/>
              </w:rPr>
            </w:pPr>
            <w:r w:rsidRPr="00E11575">
              <w:rPr>
                <w:b/>
                <w:sz w:val="20"/>
                <w:szCs w:val="20"/>
              </w:rPr>
              <w:t xml:space="preserve">Прогнозируемое количество обращений (рассчитано как среднее количество обращений </w:t>
            </w:r>
          </w:p>
          <w:p w:rsidR="0058574E" w:rsidRPr="00E11575" w:rsidRDefault="0058574E" w:rsidP="00E7317C">
            <w:pPr>
              <w:pStyle w:val="21"/>
              <w:ind w:firstLine="22"/>
              <w:jc w:val="left"/>
              <w:rPr>
                <w:b/>
                <w:sz w:val="20"/>
                <w:szCs w:val="20"/>
              </w:rPr>
            </w:pPr>
            <w:r w:rsidRPr="00E11575">
              <w:rPr>
                <w:b/>
                <w:sz w:val="20"/>
                <w:szCs w:val="20"/>
              </w:rPr>
              <w:t>за 3 года с учетом корректирующего показателя количества обращений), в том числе:</w:t>
            </w:r>
          </w:p>
        </w:tc>
        <w:tc>
          <w:tcPr>
            <w:tcW w:w="530" w:type="pct"/>
            <w:shd w:val="clear" w:color="auto" w:fill="EAF1DD" w:themeFill="accent3" w:themeFillTint="33"/>
          </w:tcPr>
          <w:p w:rsidR="0058574E" w:rsidRPr="00E11575" w:rsidRDefault="0058574E" w:rsidP="00E7317C">
            <w:pPr>
              <w:pStyle w:val="21"/>
              <w:ind w:firstLine="22"/>
              <w:jc w:val="center"/>
              <w:rPr>
                <w:b/>
                <w:sz w:val="20"/>
                <w:szCs w:val="20"/>
              </w:rPr>
            </w:pPr>
            <w:r w:rsidRPr="00E11575">
              <w:rPr>
                <w:b/>
                <w:sz w:val="20"/>
                <w:szCs w:val="20"/>
              </w:rPr>
              <w:t>109 379</w:t>
            </w:r>
          </w:p>
        </w:tc>
        <w:tc>
          <w:tcPr>
            <w:tcW w:w="530" w:type="pct"/>
            <w:shd w:val="clear" w:color="auto" w:fill="EAF1DD" w:themeFill="accent3" w:themeFillTint="33"/>
          </w:tcPr>
          <w:p w:rsidR="0058574E" w:rsidRPr="00E11575" w:rsidRDefault="0058574E" w:rsidP="00E7317C">
            <w:pPr>
              <w:pStyle w:val="21"/>
              <w:ind w:firstLine="22"/>
              <w:jc w:val="center"/>
              <w:rPr>
                <w:b/>
                <w:sz w:val="20"/>
                <w:szCs w:val="20"/>
              </w:rPr>
            </w:pPr>
            <w:r w:rsidRPr="00E11575">
              <w:rPr>
                <w:b/>
                <w:sz w:val="20"/>
                <w:szCs w:val="20"/>
              </w:rPr>
              <w:t>109 379</w:t>
            </w:r>
          </w:p>
        </w:tc>
        <w:tc>
          <w:tcPr>
            <w:tcW w:w="530" w:type="pct"/>
            <w:shd w:val="clear" w:color="auto" w:fill="EAF1DD" w:themeFill="accent3" w:themeFillTint="33"/>
          </w:tcPr>
          <w:p w:rsidR="0058574E" w:rsidRPr="00E11575" w:rsidRDefault="0058574E" w:rsidP="00E7317C">
            <w:pPr>
              <w:pStyle w:val="21"/>
              <w:ind w:firstLine="22"/>
              <w:jc w:val="center"/>
              <w:rPr>
                <w:b/>
                <w:sz w:val="20"/>
                <w:szCs w:val="20"/>
              </w:rPr>
            </w:pPr>
            <w:r w:rsidRPr="00E11575">
              <w:rPr>
                <w:b/>
                <w:sz w:val="20"/>
                <w:szCs w:val="20"/>
              </w:rPr>
              <w:t>109 379</w:t>
            </w:r>
          </w:p>
        </w:tc>
      </w:tr>
      <w:tr w:rsidR="0058574E" w:rsidRPr="00E11575" w:rsidTr="00E7317C">
        <w:tc>
          <w:tcPr>
            <w:tcW w:w="451" w:type="pct"/>
          </w:tcPr>
          <w:p w:rsidR="0058574E" w:rsidRPr="00E11575" w:rsidRDefault="0058574E" w:rsidP="00E7317C">
            <w:pPr>
              <w:pStyle w:val="21"/>
              <w:ind w:firstLine="0"/>
              <w:jc w:val="center"/>
              <w:rPr>
                <w:sz w:val="20"/>
                <w:szCs w:val="20"/>
              </w:rPr>
            </w:pPr>
            <w:r w:rsidRPr="00E11575">
              <w:rPr>
                <w:sz w:val="20"/>
                <w:szCs w:val="20"/>
              </w:rPr>
              <w:t>1</w:t>
            </w:r>
          </w:p>
        </w:tc>
        <w:tc>
          <w:tcPr>
            <w:tcW w:w="2960" w:type="pct"/>
          </w:tcPr>
          <w:p w:rsidR="0058574E" w:rsidRPr="00E11575" w:rsidRDefault="0058574E" w:rsidP="00E7317C">
            <w:pPr>
              <w:pStyle w:val="21"/>
              <w:ind w:firstLine="0"/>
              <w:jc w:val="left"/>
              <w:rPr>
                <w:sz w:val="20"/>
                <w:szCs w:val="20"/>
              </w:rPr>
            </w:pPr>
            <w:r w:rsidRPr="00E11575">
              <w:rPr>
                <w:sz w:val="20"/>
                <w:szCs w:val="20"/>
              </w:rPr>
              <w:t>на гос. регистрацию прав, ограничений (обременений) прав на недвижимое имущество, договоров об отчуждении недвижимого имущества:</w:t>
            </w:r>
          </w:p>
          <w:p w:rsidR="0058574E" w:rsidRPr="005045AA" w:rsidRDefault="0058574E" w:rsidP="00E7317C">
            <w:pPr>
              <w:pStyle w:val="21"/>
              <w:ind w:firstLine="0"/>
              <w:jc w:val="left"/>
              <w:rPr>
                <w:i/>
                <w:sz w:val="20"/>
                <w:szCs w:val="20"/>
              </w:rPr>
            </w:pPr>
            <w:r w:rsidRPr="005045AA">
              <w:rPr>
                <w:i/>
                <w:sz w:val="20"/>
                <w:szCs w:val="20"/>
              </w:rPr>
              <w:t>физические лица</w:t>
            </w:r>
          </w:p>
          <w:p w:rsidR="0058574E" w:rsidRPr="00E11575" w:rsidRDefault="0058574E" w:rsidP="00E7317C">
            <w:pPr>
              <w:pStyle w:val="21"/>
              <w:ind w:firstLine="0"/>
              <w:jc w:val="left"/>
              <w:rPr>
                <w:sz w:val="20"/>
                <w:szCs w:val="20"/>
              </w:rPr>
            </w:pPr>
            <w:r w:rsidRPr="005045AA">
              <w:rPr>
                <w:i/>
                <w:sz w:val="20"/>
                <w:szCs w:val="20"/>
              </w:rPr>
              <w:t>юридические лица</w:t>
            </w:r>
          </w:p>
        </w:tc>
        <w:tc>
          <w:tcPr>
            <w:tcW w:w="530" w:type="pct"/>
          </w:tcPr>
          <w:p w:rsidR="0058574E" w:rsidRPr="00E11575" w:rsidRDefault="0058574E" w:rsidP="00E7317C">
            <w:pPr>
              <w:pStyle w:val="21"/>
              <w:ind w:hanging="26"/>
              <w:jc w:val="center"/>
              <w:rPr>
                <w:sz w:val="20"/>
                <w:szCs w:val="20"/>
              </w:rPr>
            </w:pPr>
            <w:r w:rsidRPr="00E11575">
              <w:rPr>
                <w:sz w:val="20"/>
                <w:szCs w:val="20"/>
              </w:rPr>
              <w:t>99</w:t>
            </w:r>
            <w:r>
              <w:rPr>
                <w:sz w:val="20"/>
                <w:szCs w:val="20"/>
              </w:rPr>
              <w:t> </w:t>
            </w:r>
            <w:r w:rsidRPr="00E11575">
              <w:rPr>
                <w:sz w:val="20"/>
                <w:szCs w:val="20"/>
              </w:rPr>
              <w:t>880</w:t>
            </w:r>
          </w:p>
          <w:p w:rsidR="0058574E" w:rsidRDefault="0058574E" w:rsidP="00E7317C">
            <w:pPr>
              <w:pStyle w:val="21"/>
              <w:ind w:hanging="26"/>
              <w:jc w:val="center"/>
              <w:rPr>
                <w:sz w:val="20"/>
                <w:szCs w:val="20"/>
              </w:rPr>
            </w:pPr>
          </w:p>
          <w:p w:rsidR="0058574E" w:rsidRDefault="0058574E" w:rsidP="00E7317C">
            <w:pPr>
              <w:pStyle w:val="21"/>
              <w:ind w:hanging="26"/>
              <w:jc w:val="center"/>
              <w:rPr>
                <w:sz w:val="20"/>
                <w:szCs w:val="20"/>
              </w:rPr>
            </w:pPr>
          </w:p>
          <w:p w:rsidR="0058574E" w:rsidRPr="005045AA" w:rsidRDefault="0058574E" w:rsidP="00E7317C">
            <w:pPr>
              <w:pStyle w:val="21"/>
              <w:ind w:firstLine="0"/>
              <w:jc w:val="center"/>
              <w:rPr>
                <w:i/>
                <w:sz w:val="20"/>
                <w:szCs w:val="20"/>
              </w:rPr>
            </w:pPr>
            <w:r w:rsidRPr="005045AA">
              <w:rPr>
                <w:i/>
                <w:sz w:val="20"/>
                <w:szCs w:val="20"/>
              </w:rPr>
              <w:t>74 980</w:t>
            </w:r>
          </w:p>
          <w:p w:rsidR="0058574E" w:rsidRPr="00E11575" w:rsidRDefault="0058574E" w:rsidP="00E7317C">
            <w:pPr>
              <w:pStyle w:val="21"/>
              <w:ind w:firstLine="0"/>
              <w:jc w:val="center"/>
              <w:rPr>
                <w:sz w:val="20"/>
                <w:szCs w:val="20"/>
              </w:rPr>
            </w:pPr>
            <w:r w:rsidRPr="005045AA">
              <w:rPr>
                <w:i/>
                <w:sz w:val="20"/>
                <w:szCs w:val="20"/>
              </w:rPr>
              <w:t>24 900</w:t>
            </w:r>
          </w:p>
        </w:tc>
        <w:tc>
          <w:tcPr>
            <w:tcW w:w="530" w:type="pct"/>
          </w:tcPr>
          <w:p w:rsidR="0058574E" w:rsidRPr="00E11575" w:rsidRDefault="0058574E" w:rsidP="00E7317C">
            <w:pPr>
              <w:pStyle w:val="21"/>
              <w:ind w:hanging="26"/>
              <w:jc w:val="center"/>
              <w:rPr>
                <w:sz w:val="20"/>
                <w:szCs w:val="20"/>
              </w:rPr>
            </w:pPr>
            <w:r w:rsidRPr="00E11575">
              <w:rPr>
                <w:sz w:val="20"/>
                <w:szCs w:val="20"/>
              </w:rPr>
              <w:t>99</w:t>
            </w:r>
            <w:r>
              <w:rPr>
                <w:sz w:val="20"/>
                <w:szCs w:val="20"/>
              </w:rPr>
              <w:t> </w:t>
            </w:r>
            <w:r w:rsidRPr="00E11575">
              <w:rPr>
                <w:sz w:val="20"/>
                <w:szCs w:val="20"/>
              </w:rPr>
              <w:t>880</w:t>
            </w:r>
          </w:p>
          <w:p w:rsidR="0058574E" w:rsidRDefault="0058574E" w:rsidP="00E7317C">
            <w:pPr>
              <w:pStyle w:val="21"/>
              <w:ind w:hanging="26"/>
              <w:jc w:val="center"/>
              <w:rPr>
                <w:sz w:val="20"/>
                <w:szCs w:val="20"/>
              </w:rPr>
            </w:pPr>
          </w:p>
          <w:p w:rsidR="0058574E" w:rsidRDefault="0058574E" w:rsidP="00E7317C">
            <w:pPr>
              <w:pStyle w:val="21"/>
              <w:ind w:hanging="26"/>
              <w:jc w:val="center"/>
              <w:rPr>
                <w:sz w:val="20"/>
                <w:szCs w:val="20"/>
              </w:rPr>
            </w:pPr>
          </w:p>
          <w:p w:rsidR="0058574E" w:rsidRPr="005045AA" w:rsidRDefault="0058574E" w:rsidP="00E7317C">
            <w:pPr>
              <w:pStyle w:val="21"/>
              <w:ind w:firstLine="0"/>
              <w:jc w:val="center"/>
              <w:rPr>
                <w:i/>
                <w:sz w:val="20"/>
                <w:szCs w:val="20"/>
              </w:rPr>
            </w:pPr>
            <w:r w:rsidRPr="005045AA">
              <w:rPr>
                <w:i/>
                <w:sz w:val="20"/>
                <w:szCs w:val="20"/>
              </w:rPr>
              <w:t>74 980</w:t>
            </w:r>
          </w:p>
          <w:p w:rsidR="0058574E" w:rsidRPr="00E11575" w:rsidRDefault="0058574E" w:rsidP="00E7317C">
            <w:pPr>
              <w:pStyle w:val="21"/>
              <w:ind w:firstLine="0"/>
              <w:jc w:val="center"/>
              <w:rPr>
                <w:sz w:val="20"/>
                <w:szCs w:val="20"/>
              </w:rPr>
            </w:pPr>
            <w:r w:rsidRPr="005045AA">
              <w:rPr>
                <w:i/>
                <w:sz w:val="20"/>
                <w:szCs w:val="20"/>
              </w:rPr>
              <w:t>24 900</w:t>
            </w:r>
          </w:p>
        </w:tc>
        <w:tc>
          <w:tcPr>
            <w:tcW w:w="530" w:type="pct"/>
          </w:tcPr>
          <w:p w:rsidR="0058574E" w:rsidRPr="00E11575" w:rsidRDefault="0058574E" w:rsidP="00E7317C">
            <w:pPr>
              <w:pStyle w:val="21"/>
              <w:ind w:hanging="26"/>
              <w:jc w:val="center"/>
              <w:rPr>
                <w:sz w:val="20"/>
                <w:szCs w:val="20"/>
              </w:rPr>
            </w:pPr>
            <w:r w:rsidRPr="00E11575">
              <w:rPr>
                <w:sz w:val="20"/>
                <w:szCs w:val="20"/>
              </w:rPr>
              <w:t>99</w:t>
            </w:r>
            <w:r>
              <w:rPr>
                <w:sz w:val="20"/>
                <w:szCs w:val="20"/>
              </w:rPr>
              <w:t> </w:t>
            </w:r>
            <w:r w:rsidRPr="00E11575">
              <w:rPr>
                <w:sz w:val="20"/>
                <w:szCs w:val="20"/>
              </w:rPr>
              <w:t>880</w:t>
            </w:r>
          </w:p>
          <w:p w:rsidR="0058574E" w:rsidRDefault="0058574E" w:rsidP="00E7317C">
            <w:pPr>
              <w:pStyle w:val="21"/>
              <w:ind w:hanging="26"/>
              <w:jc w:val="center"/>
              <w:rPr>
                <w:sz w:val="20"/>
                <w:szCs w:val="20"/>
              </w:rPr>
            </w:pPr>
          </w:p>
          <w:p w:rsidR="0058574E" w:rsidRDefault="0058574E" w:rsidP="00E7317C">
            <w:pPr>
              <w:pStyle w:val="21"/>
              <w:ind w:hanging="26"/>
              <w:jc w:val="center"/>
              <w:rPr>
                <w:sz w:val="20"/>
                <w:szCs w:val="20"/>
              </w:rPr>
            </w:pPr>
          </w:p>
          <w:p w:rsidR="0058574E" w:rsidRPr="005045AA" w:rsidRDefault="0058574E" w:rsidP="00E7317C">
            <w:pPr>
              <w:pStyle w:val="21"/>
              <w:ind w:firstLine="0"/>
              <w:jc w:val="center"/>
              <w:rPr>
                <w:i/>
                <w:sz w:val="20"/>
                <w:szCs w:val="20"/>
              </w:rPr>
            </w:pPr>
            <w:r w:rsidRPr="005045AA">
              <w:rPr>
                <w:i/>
                <w:sz w:val="20"/>
                <w:szCs w:val="20"/>
              </w:rPr>
              <w:t>74 980</w:t>
            </w:r>
          </w:p>
          <w:p w:rsidR="0058574E" w:rsidRPr="00E11575" w:rsidRDefault="0058574E" w:rsidP="00E7317C">
            <w:pPr>
              <w:pStyle w:val="21"/>
              <w:ind w:firstLine="0"/>
              <w:jc w:val="center"/>
              <w:rPr>
                <w:sz w:val="20"/>
                <w:szCs w:val="20"/>
              </w:rPr>
            </w:pPr>
            <w:r w:rsidRPr="005045AA">
              <w:rPr>
                <w:i/>
                <w:sz w:val="20"/>
                <w:szCs w:val="20"/>
              </w:rPr>
              <w:t>24 900</w:t>
            </w:r>
          </w:p>
        </w:tc>
      </w:tr>
      <w:tr w:rsidR="0058574E" w:rsidRPr="00E11575" w:rsidTr="00E7317C">
        <w:trPr>
          <w:trHeight w:val="1539"/>
        </w:trPr>
        <w:tc>
          <w:tcPr>
            <w:tcW w:w="451" w:type="pct"/>
          </w:tcPr>
          <w:p w:rsidR="0058574E" w:rsidRPr="00E11575" w:rsidRDefault="0058574E" w:rsidP="00E7317C">
            <w:pPr>
              <w:pStyle w:val="21"/>
              <w:ind w:firstLine="0"/>
              <w:jc w:val="center"/>
              <w:rPr>
                <w:sz w:val="20"/>
                <w:szCs w:val="20"/>
              </w:rPr>
            </w:pPr>
            <w:r>
              <w:rPr>
                <w:sz w:val="20"/>
                <w:szCs w:val="20"/>
              </w:rPr>
              <w:t>2</w:t>
            </w:r>
          </w:p>
        </w:tc>
        <w:tc>
          <w:tcPr>
            <w:tcW w:w="2960" w:type="pct"/>
          </w:tcPr>
          <w:p w:rsidR="0058574E" w:rsidRPr="00E11575" w:rsidRDefault="0058574E" w:rsidP="00E7317C">
            <w:pPr>
              <w:pStyle w:val="21"/>
              <w:ind w:firstLine="0"/>
              <w:jc w:val="left"/>
              <w:rPr>
                <w:sz w:val="20"/>
                <w:szCs w:val="20"/>
              </w:rPr>
            </w:pPr>
            <w:r w:rsidRPr="00E11575">
              <w:rPr>
                <w:sz w:val="20"/>
                <w:szCs w:val="20"/>
              </w:rPr>
              <w:t>за государственную регистрацию права общей долевой собственности владельцев инвестиционных паев на недвижимое имущество, составляющее паевой инвестиционный фонд (приобретаемое для включения в состав паевого инвестиционного фонда), ограничения этого права и обременений данного имущества или сделок с данным имущество</w:t>
            </w:r>
          </w:p>
        </w:tc>
        <w:tc>
          <w:tcPr>
            <w:tcW w:w="530" w:type="pct"/>
          </w:tcPr>
          <w:p w:rsidR="0058574E" w:rsidRPr="00E11575" w:rsidRDefault="0058574E" w:rsidP="00E7317C">
            <w:pPr>
              <w:pStyle w:val="21"/>
              <w:ind w:hanging="26"/>
              <w:jc w:val="center"/>
              <w:rPr>
                <w:sz w:val="20"/>
                <w:szCs w:val="20"/>
              </w:rPr>
            </w:pPr>
            <w:r>
              <w:rPr>
                <w:sz w:val="20"/>
                <w:szCs w:val="20"/>
              </w:rPr>
              <w:t>320</w:t>
            </w:r>
          </w:p>
        </w:tc>
        <w:tc>
          <w:tcPr>
            <w:tcW w:w="530" w:type="pct"/>
          </w:tcPr>
          <w:p w:rsidR="0058574E" w:rsidRPr="00E11575" w:rsidRDefault="0058574E" w:rsidP="00E7317C">
            <w:pPr>
              <w:pStyle w:val="21"/>
              <w:ind w:hanging="26"/>
              <w:jc w:val="center"/>
              <w:rPr>
                <w:sz w:val="20"/>
                <w:szCs w:val="20"/>
              </w:rPr>
            </w:pPr>
            <w:r>
              <w:rPr>
                <w:sz w:val="20"/>
                <w:szCs w:val="20"/>
              </w:rPr>
              <w:t>320</w:t>
            </w:r>
          </w:p>
        </w:tc>
        <w:tc>
          <w:tcPr>
            <w:tcW w:w="530" w:type="pct"/>
          </w:tcPr>
          <w:p w:rsidR="0058574E" w:rsidRPr="00E11575" w:rsidRDefault="0058574E" w:rsidP="00E7317C">
            <w:pPr>
              <w:pStyle w:val="21"/>
              <w:ind w:hanging="26"/>
              <w:jc w:val="center"/>
              <w:rPr>
                <w:sz w:val="20"/>
                <w:szCs w:val="20"/>
              </w:rPr>
            </w:pPr>
            <w:r>
              <w:rPr>
                <w:sz w:val="20"/>
                <w:szCs w:val="20"/>
              </w:rPr>
              <w:t>320</w:t>
            </w:r>
          </w:p>
        </w:tc>
      </w:tr>
      <w:tr w:rsidR="0058574E" w:rsidRPr="00E11575" w:rsidTr="00E7317C">
        <w:tc>
          <w:tcPr>
            <w:tcW w:w="451" w:type="pct"/>
          </w:tcPr>
          <w:p w:rsidR="0058574E" w:rsidRDefault="0058574E" w:rsidP="00E7317C">
            <w:pPr>
              <w:pStyle w:val="21"/>
              <w:ind w:firstLine="0"/>
              <w:jc w:val="center"/>
              <w:rPr>
                <w:sz w:val="20"/>
                <w:szCs w:val="20"/>
              </w:rPr>
            </w:pPr>
            <w:r>
              <w:rPr>
                <w:sz w:val="20"/>
                <w:szCs w:val="20"/>
              </w:rPr>
              <w:t>3</w:t>
            </w:r>
          </w:p>
        </w:tc>
        <w:tc>
          <w:tcPr>
            <w:tcW w:w="2960" w:type="pct"/>
          </w:tcPr>
          <w:p w:rsidR="0058574E" w:rsidRPr="00E11575" w:rsidRDefault="0058574E" w:rsidP="00E7317C">
            <w:pPr>
              <w:pStyle w:val="21"/>
              <w:ind w:firstLine="0"/>
              <w:jc w:val="left"/>
              <w:rPr>
                <w:sz w:val="20"/>
                <w:szCs w:val="20"/>
              </w:rPr>
            </w:pPr>
            <w:r w:rsidRPr="00E11575">
              <w:rPr>
                <w:sz w:val="20"/>
                <w:szCs w:val="20"/>
              </w:rPr>
              <w:t>на гос. регистрацию доли в праве общей собственности на общее недвижимое имущество в многоквартирном доме</w:t>
            </w:r>
          </w:p>
        </w:tc>
        <w:tc>
          <w:tcPr>
            <w:tcW w:w="530" w:type="pct"/>
          </w:tcPr>
          <w:p w:rsidR="0058574E" w:rsidRDefault="0058574E" w:rsidP="00E7317C">
            <w:pPr>
              <w:pStyle w:val="21"/>
              <w:ind w:hanging="26"/>
              <w:jc w:val="center"/>
              <w:rPr>
                <w:sz w:val="20"/>
                <w:szCs w:val="20"/>
              </w:rPr>
            </w:pPr>
            <w:r>
              <w:rPr>
                <w:sz w:val="20"/>
                <w:szCs w:val="20"/>
              </w:rPr>
              <w:t>75</w:t>
            </w:r>
          </w:p>
        </w:tc>
        <w:tc>
          <w:tcPr>
            <w:tcW w:w="530" w:type="pct"/>
          </w:tcPr>
          <w:p w:rsidR="0058574E" w:rsidRDefault="0058574E" w:rsidP="00E7317C">
            <w:pPr>
              <w:pStyle w:val="21"/>
              <w:ind w:hanging="26"/>
              <w:jc w:val="center"/>
              <w:rPr>
                <w:sz w:val="20"/>
                <w:szCs w:val="20"/>
              </w:rPr>
            </w:pPr>
            <w:r>
              <w:rPr>
                <w:sz w:val="20"/>
                <w:szCs w:val="20"/>
              </w:rPr>
              <w:t>75</w:t>
            </w:r>
          </w:p>
        </w:tc>
        <w:tc>
          <w:tcPr>
            <w:tcW w:w="530" w:type="pct"/>
          </w:tcPr>
          <w:p w:rsidR="0058574E" w:rsidRDefault="0058574E" w:rsidP="00E7317C">
            <w:pPr>
              <w:pStyle w:val="21"/>
              <w:ind w:hanging="26"/>
              <w:jc w:val="center"/>
              <w:rPr>
                <w:sz w:val="20"/>
                <w:szCs w:val="20"/>
              </w:rPr>
            </w:pPr>
            <w:r>
              <w:rPr>
                <w:sz w:val="20"/>
                <w:szCs w:val="20"/>
              </w:rPr>
              <w:t>75</w:t>
            </w:r>
          </w:p>
        </w:tc>
      </w:tr>
      <w:tr w:rsidR="0058574E" w:rsidRPr="00E11575" w:rsidTr="00E7317C">
        <w:tc>
          <w:tcPr>
            <w:tcW w:w="451" w:type="pct"/>
          </w:tcPr>
          <w:p w:rsidR="0058574E" w:rsidRPr="00E11575" w:rsidRDefault="0058574E" w:rsidP="00E7317C">
            <w:pPr>
              <w:pStyle w:val="21"/>
              <w:ind w:firstLine="0"/>
              <w:jc w:val="center"/>
              <w:rPr>
                <w:sz w:val="20"/>
                <w:szCs w:val="20"/>
              </w:rPr>
            </w:pPr>
            <w:r>
              <w:rPr>
                <w:sz w:val="20"/>
                <w:szCs w:val="20"/>
              </w:rPr>
              <w:t>4</w:t>
            </w:r>
          </w:p>
        </w:tc>
        <w:tc>
          <w:tcPr>
            <w:tcW w:w="2960" w:type="pct"/>
          </w:tcPr>
          <w:p w:rsidR="0058574E" w:rsidRPr="00E11575" w:rsidRDefault="0058574E" w:rsidP="00E7317C">
            <w:pPr>
              <w:pStyle w:val="21"/>
              <w:ind w:firstLine="0"/>
              <w:jc w:val="left"/>
              <w:rPr>
                <w:sz w:val="20"/>
                <w:szCs w:val="20"/>
              </w:rPr>
            </w:pPr>
            <w:r w:rsidRPr="00E11575">
              <w:rPr>
                <w:sz w:val="20"/>
                <w:szCs w:val="20"/>
              </w:rPr>
              <w:t>на гос. регистрацию права собственности физического лица на земельный участок, предназначенный для ведения личного подсобного, дачного хозяйства, огородничества, садоводства, индивидуального гаражного или индивидуального жилищного строительства</w:t>
            </w:r>
          </w:p>
        </w:tc>
        <w:tc>
          <w:tcPr>
            <w:tcW w:w="530" w:type="pct"/>
          </w:tcPr>
          <w:p w:rsidR="0058574E" w:rsidRPr="00E11575" w:rsidRDefault="0058574E" w:rsidP="00E7317C">
            <w:pPr>
              <w:pStyle w:val="21"/>
              <w:ind w:hanging="26"/>
              <w:jc w:val="center"/>
              <w:rPr>
                <w:sz w:val="20"/>
                <w:szCs w:val="20"/>
              </w:rPr>
            </w:pPr>
            <w:r>
              <w:rPr>
                <w:sz w:val="20"/>
                <w:szCs w:val="20"/>
              </w:rPr>
              <w:t>1 256</w:t>
            </w:r>
          </w:p>
        </w:tc>
        <w:tc>
          <w:tcPr>
            <w:tcW w:w="530" w:type="pct"/>
          </w:tcPr>
          <w:p w:rsidR="0058574E" w:rsidRPr="00E11575" w:rsidRDefault="0058574E" w:rsidP="00E7317C">
            <w:pPr>
              <w:pStyle w:val="21"/>
              <w:ind w:hanging="26"/>
              <w:jc w:val="center"/>
              <w:rPr>
                <w:sz w:val="20"/>
                <w:szCs w:val="20"/>
              </w:rPr>
            </w:pPr>
            <w:r>
              <w:rPr>
                <w:sz w:val="20"/>
                <w:szCs w:val="20"/>
              </w:rPr>
              <w:t>1 256</w:t>
            </w:r>
          </w:p>
        </w:tc>
        <w:tc>
          <w:tcPr>
            <w:tcW w:w="530" w:type="pct"/>
          </w:tcPr>
          <w:p w:rsidR="0058574E" w:rsidRPr="00E11575" w:rsidRDefault="0058574E" w:rsidP="00E7317C">
            <w:pPr>
              <w:pStyle w:val="21"/>
              <w:ind w:hanging="26"/>
              <w:jc w:val="center"/>
              <w:rPr>
                <w:sz w:val="20"/>
                <w:szCs w:val="20"/>
              </w:rPr>
            </w:pPr>
            <w:r>
              <w:rPr>
                <w:sz w:val="20"/>
                <w:szCs w:val="20"/>
              </w:rPr>
              <w:t>1 256</w:t>
            </w:r>
          </w:p>
        </w:tc>
      </w:tr>
      <w:tr w:rsidR="0058574E" w:rsidRPr="00E11575" w:rsidTr="00E7317C">
        <w:tc>
          <w:tcPr>
            <w:tcW w:w="451" w:type="pct"/>
          </w:tcPr>
          <w:p w:rsidR="0058574E" w:rsidRPr="00E11575" w:rsidRDefault="0058574E" w:rsidP="00E7317C">
            <w:pPr>
              <w:pStyle w:val="21"/>
              <w:ind w:firstLine="0"/>
              <w:jc w:val="center"/>
              <w:rPr>
                <w:sz w:val="20"/>
                <w:szCs w:val="20"/>
              </w:rPr>
            </w:pPr>
            <w:r>
              <w:rPr>
                <w:sz w:val="20"/>
                <w:szCs w:val="20"/>
              </w:rPr>
              <w:t>5</w:t>
            </w:r>
          </w:p>
        </w:tc>
        <w:tc>
          <w:tcPr>
            <w:tcW w:w="2960" w:type="pct"/>
          </w:tcPr>
          <w:p w:rsidR="0058574E" w:rsidRPr="00E11575" w:rsidRDefault="0058574E" w:rsidP="00E7317C">
            <w:pPr>
              <w:pStyle w:val="21"/>
              <w:ind w:firstLine="0"/>
              <w:jc w:val="left"/>
              <w:rPr>
                <w:sz w:val="20"/>
                <w:szCs w:val="20"/>
              </w:rPr>
            </w:pPr>
            <w:r w:rsidRPr="00AB31B1">
              <w:rPr>
                <w:sz w:val="20"/>
                <w:szCs w:val="20"/>
              </w:rPr>
              <w:t>за государственную регистрацию прав, ограничений прав и обременений земельных участков из земель сельскохозяйственного назначения, сделок с такими земельными участками, если данные сделки подлежат государственной регистрации в соответствии с федеральным законом</w:t>
            </w:r>
          </w:p>
        </w:tc>
        <w:tc>
          <w:tcPr>
            <w:tcW w:w="530" w:type="pct"/>
          </w:tcPr>
          <w:p w:rsidR="0058574E" w:rsidRPr="00E11575" w:rsidRDefault="0058574E" w:rsidP="00E7317C">
            <w:pPr>
              <w:pStyle w:val="21"/>
              <w:ind w:hanging="26"/>
              <w:jc w:val="center"/>
              <w:rPr>
                <w:sz w:val="20"/>
                <w:szCs w:val="20"/>
              </w:rPr>
            </w:pPr>
            <w:r>
              <w:rPr>
                <w:sz w:val="20"/>
                <w:szCs w:val="20"/>
              </w:rPr>
              <w:t>90</w:t>
            </w:r>
          </w:p>
        </w:tc>
        <w:tc>
          <w:tcPr>
            <w:tcW w:w="530" w:type="pct"/>
          </w:tcPr>
          <w:p w:rsidR="0058574E" w:rsidRPr="00E11575" w:rsidRDefault="0058574E" w:rsidP="00E7317C">
            <w:pPr>
              <w:pStyle w:val="21"/>
              <w:ind w:hanging="26"/>
              <w:jc w:val="center"/>
              <w:rPr>
                <w:sz w:val="20"/>
                <w:szCs w:val="20"/>
              </w:rPr>
            </w:pPr>
            <w:r>
              <w:rPr>
                <w:sz w:val="20"/>
                <w:szCs w:val="20"/>
              </w:rPr>
              <w:t>90</w:t>
            </w:r>
          </w:p>
        </w:tc>
        <w:tc>
          <w:tcPr>
            <w:tcW w:w="530" w:type="pct"/>
          </w:tcPr>
          <w:p w:rsidR="0058574E" w:rsidRPr="00E11575" w:rsidRDefault="0058574E" w:rsidP="00E7317C">
            <w:pPr>
              <w:pStyle w:val="21"/>
              <w:ind w:hanging="26"/>
              <w:jc w:val="center"/>
              <w:rPr>
                <w:sz w:val="20"/>
                <w:szCs w:val="20"/>
              </w:rPr>
            </w:pPr>
            <w:r>
              <w:rPr>
                <w:sz w:val="20"/>
                <w:szCs w:val="20"/>
              </w:rPr>
              <w:t>90</w:t>
            </w:r>
          </w:p>
        </w:tc>
      </w:tr>
      <w:tr w:rsidR="0058574E" w:rsidRPr="00E11575" w:rsidTr="00E7317C">
        <w:tc>
          <w:tcPr>
            <w:tcW w:w="451" w:type="pct"/>
          </w:tcPr>
          <w:p w:rsidR="0058574E" w:rsidRPr="00E11575" w:rsidRDefault="0058574E" w:rsidP="00E7317C">
            <w:pPr>
              <w:pStyle w:val="21"/>
              <w:ind w:firstLine="0"/>
              <w:jc w:val="center"/>
              <w:rPr>
                <w:sz w:val="20"/>
                <w:szCs w:val="20"/>
              </w:rPr>
            </w:pPr>
            <w:r>
              <w:rPr>
                <w:sz w:val="20"/>
                <w:szCs w:val="20"/>
              </w:rPr>
              <w:t>6</w:t>
            </w:r>
          </w:p>
        </w:tc>
        <w:tc>
          <w:tcPr>
            <w:tcW w:w="2960" w:type="pct"/>
          </w:tcPr>
          <w:p w:rsidR="0058574E" w:rsidRPr="00E11575" w:rsidRDefault="0058574E" w:rsidP="00E7317C">
            <w:pPr>
              <w:ind w:firstLine="0"/>
              <w:jc w:val="left"/>
              <w:rPr>
                <w:sz w:val="20"/>
                <w:szCs w:val="20"/>
              </w:rPr>
            </w:pPr>
            <w:r w:rsidRPr="009025CC">
              <w:rPr>
                <w:sz w:val="20"/>
                <w:szCs w:val="20"/>
              </w:rPr>
              <w:t>на гос. регистрацию в праве общей собственности на зем. участок из земель с/х назначения</w:t>
            </w:r>
          </w:p>
        </w:tc>
        <w:tc>
          <w:tcPr>
            <w:tcW w:w="530" w:type="pct"/>
          </w:tcPr>
          <w:p w:rsidR="0058574E" w:rsidRPr="00E11575" w:rsidRDefault="0058574E" w:rsidP="00E7317C">
            <w:pPr>
              <w:pStyle w:val="21"/>
              <w:ind w:hanging="26"/>
              <w:jc w:val="center"/>
              <w:rPr>
                <w:sz w:val="20"/>
                <w:szCs w:val="20"/>
              </w:rPr>
            </w:pPr>
            <w:r>
              <w:rPr>
                <w:sz w:val="20"/>
                <w:szCs w:val="20"/>
              </w:rPr>
              <w:t>25</w:t>
            </w:r>
          </w:p>
        </w:tc>
        <w:tc>
          <w:tcPr>
            <w:tcW w:w="530" w:type="pct"/>
          </w:tcPr>
          <w:p w:rsidR="0058574E" w:rsidRPr="00E11575" w:rsidRDefault="0058574E" w:rsidP="00E7317C">
            <w:pPr>
              <w:pStyle w:val="21"/>
              <w:ind w:hanging="26"/>
              <w:jc w:val="center"/>
              <w:rPr>
                <w:sz w:val="20"/>
                <w:szCs w:val="20"/>
              </w:rPr>
            </w:pPr>
            <w:r>
              <w:rPr>
                <w:sz w:val="20"/>
                <w:szCs w:val="20"/>
              </w:rPr>
              <w:t>25</w:t>
            </w:r>
          </w:p>
        </w:tc>
        <w:tc>
          <w:tcPr>
            <w:tcW w:w="530" w:type="pct"/>
          </w:tcPr>
          <w:p w:rsidR="0058574E" w:rsidRPr="00E11575" w:rsidRDefault="0058574E" w:rsidP="00E7317C">
            <w:pPr>
              <w:pStyle w:val="21"/>
              <w:ind w:hanging="26"/>
              <w:jc w:val="center"/>
              <w:rPr>
                <w:sz w:val="20"/>
                <w:szCs w:val="20"/>
              </w:rPr>
            </w:pPr>
            <w:r>
              <w:rPr>
                <w:sz w:val="20"/>
                <w:szCs w:val="20"/>
              </w:rPr>
              <w:t>25</w:t>
            </w:r>
          </w:p>
        </w:tc>
      </w:tr>
      <w:tr w:rsidR="0058574E" w:rsidRPr="00E11575" w:rsidTr="00E7317C">
        <w:tc>
          <w:tcPr>
            <w:tcW w:w="451" w:type="pct"/>
          </w:tcPr>
          <w:p w:rsidR="0058574E" w:rsidRPr="00E11575" w:rsidRDefault="0058574E" w:rsidP="00E7317C">
            <w:pPr>
              <w:pStyle w:val="21"/>
              <w:ind w:firstLine="0"/>
              <w:jc w:val="center"/>
              <w:rPr>
                <w:sz w:val="20"/>
                <w:szCs w:val="20"/>
              </w:rPr>
            </w:pPr>
            <w:r>
              <w:rPr>
                <w:sz w:val="20"/>
                <w:szCs w:val="20"/>
              </w:rPr>
              <w:t>7</w:t>
            </w:r>
          </w:p>
        </w:tc>
        <w:tc>
          <w:tcPr>
            <w:tcW w:w="2960" w:type="pct"/>
          </w:tcPr>
          <w:p w:rsidR="0058574E" w:rsidRPr="00E11575" w:rsidRDefault="0058574E" w:rsidP="00E7317C">
            <w:pPr>
              <w:pStyle w:val="21"/>
              <w:ind w:firstLine="0"/>
              <w:jc w:val="left"/>
              <w:rPr>
                <w:sz w:val="20"/>
                <w:szCs w:val="20"/>
              </w:rPr>
            </w:pPr>
            <w:r w:rsidRPr="00E11575">
              <w:rPr>
                <w:sz w:val="20"/>
                <w:szCs w:val="20"/>
              </w:rPr>
              <w:t>на внесение изменений в записи Единого государственного реестра прав на недвижимое имущество и сделок с ним:</w:t>
            </w:r>
          </w:p>
          <w:p w:rsidR="0058574E" w:rsidRPr="005045AA" w:rsidRDefault="0058574E" w:rsidP="00E7317C">
            <w:pPr>
              <w:pStyle w:val="21"/>
              <w:ind w:firstLine="0"/>
              <w:jc w:val="left"/>
              <w:rPr>
                <w:i/>
                <w:sz w:val="20"/>
                <w:szCs w:val="20"/>
              </w:rPr>
            </w:pPr>
            <w:r w:rsidRPr="005045AA">
              <w:rPr>
                <w:i/>
                <w:sz w:val="20"/>
                <w:szCs w:val="20"/>
              </w:rPr>
              <w:t>физические лица</w:t>
            </w:r>
          </w:p>
          <w:p w:rsidR="0058574E" w:rsidRPr="00E11575" w:rsidRDefault="0058574E" w:rsidP="00E7317C">
            <w:pPr>
              <w:pStyle w:val="21"/>
              <w:ind w:firstLine="0"/>
              <w:jc w:val="left"/>
              <w:rPr>
                <w:sz w:val="20"/>
                <w:szCs w:val="20"/>
              </w:rPr>
            </w:pPr>
            <w:r w:rsidRPr="005045AA">
              <w:rPr>
                <w:i/>
                <w:sz w:val="20"/>
                <w:szCs w:val="20"/>
              </w:rPr>
              <w:t>юридические лица</w:t>
            </w:r>
          </w:p>
        </w:tc>
        <w:tc>
          <w:tcPr>
            <w:tcW w:w="530" w:type="pct"/>
          </w:tcPr>
          <w:p w:rsidR="0058574E" w:rsidRPr="00D53E6F" w:rsidRDefault="0058574E" w:rsidP="00E7317C">
            <w:pPr>
              <w:pStyle w:val="21"/>
              <w:ind w:firstLine="0"/>
              <w:jc w:val="center"/>
              <w:rPr>
                <w:sz w:val="20"/>
                <w:szCs w:val="20"/>
              </w:rPr>
            </w:pPr>
            <w:r w:rsidRPr="00D53E6F">
              <w:rPr>
                <w:sz w:val="20"/>
                <w:szCs w:val="20"/>
              </w:rPr>
              <w:t>600</w:t>
            </w:r>
          </w:p>
          <w:p w:rsidR="0058574E" w:rsidRPr="00D53E6F" w:rsidRDefault="0058574E" w:rsidP="00E7317C">
            <w:pPr>
              <w:pStyle w:val="21"/>
              <w:ind w:firstLine="0"/>
              <w:jc w:val="center"/>
              <w:rPr>
                <w:sz w:val="20"/>
                <w:szCs w:val="20"/>
              </w:rPr>
            </w:pPr>
          </w:p>
          <w:p w:rsidR="0058574E" w:rsidRPr="005045AA" w:rsidRDefault="0058574E" w:rsidP="00E7317C">
            <w:pPr>
              <w:pStyle w:val="21"/>
              <w:ind w:firstLine="0"/>
              <w:jc w:val="center"/>
              <w:rPr>
                <w:i/>
                <w:sz w:val="20"/>
                <w:szCs w:val="20"/>
              </w:rPr>
            </w:pPr>
            <w:r w:rsidRPr="005045AA">
              <w:rPr>
                <w:i/>
                <w:sz w:val="20"/>
                <w:szCs w:val="20"/>
              </w:rPr>
              <w:t>300</w:t>
            </w:r>
          </w:p>
          <w:p w:rsidR="0058574E" w:rsidRPr="00E11575" w:rsidRDefault="0058574E" w:rsidP="00E7317C">
            <w:pPr>
              <w:pStyle w:val="21"/>
              <w:ind w:firstLine="0"/>
              <w:jc w:val="center"/>
              <w:rPr>
                <w:sz w:val="20"/>
                <w:szCs w:val="20"/>
              </w:rPr>
            </w:pPr>
            <w:r w:rsidRPr="005045AA">
              <w:rPr>
                <w:i/>
                <w:sz w:val="20"/>
                <w:szCs w:val="20"/>
              </w:rPr>
              <w:t>300</w:t>
            </w:r>
          </w:p>
        </w:tc>
        <w:tc>
          <w:tcPr>
            <w:tcW w:w="530" w:type="pct"/>
          </w:tcPr>
          <w:p w:rsidR="0058574E" w:rsidRPr="00D53E6F" w:rsidRDefault="0058574E" w:rsidP="00E7317C">
            <w:pPr>
              <w:pStyle w:val="21"/>
              <w:ind w:firstLine="0"/>
              <w:jc w:val="center"/>
              <w:rPr>
                <w:sz w:val="20"/>
                <w:szCs w:val="20"/>
              </w:rPr>
            </w:pPr>
            <w:r w:rsidRPr="00D53E6F">
              <w:rPr>
                <w:sz w:val="20"/>
                <w:szCs w:val="20"/>
              </w:rPr>
              <w:t>600</w:t>
            </w:r>
          </w:p>
          <w:p w:rsidR="0058574E" w:rsidRPr="00D53E6F" w:rsidRDefault="0058574E" w:rsidP="00E7317C">
            <w:pPr>
              <w:pStyle w:val="21"/>
              <w:ind w:firstLine="0"/>
              <w:jc w:val="center"/>
              <w:rPr>
                <w:sz w:val="20"/>
                <w:szCs w:val="20"/>
              </w:rPr>
            </w:pPr>
          </w:p>
          <w:p w:rsidR="0058574E" w:rsidRPr="005045AA" w:rsidRDefault="0058574E" w:rsidP="00E7317C">
            <w:pPr>
              <w:pStyle w:val="21"/>
              <w:ind w:firstLine="0"/>
              <w:jc w:val="center"/>
              <w:rPr>
                <w:i/>
                <w:sz w:val="20"/>
                <w:szCs w:val="20"/>
              </w:rPr>
            </w:pPr>
            <w:r w:rsidRPr="005045AA">
              <w:rPr>
                <w:i/>
                <w:sz w:val="20"/>
                <w:szCs w:val="20"/>
              </w:rPr>
              <w:t>300</w:t>
            </w:r>
          </w:p>
          <w:p w:rsidR="0058574E" w:rsidRPr="00E11575" w:rsidRDefault="0058574E" w:rsidP="00E7317C">
            <w:pPr>
              <w:pStyle w:val="21"/>
              <w:ind w:firstLine="0"/>
              <w:jc w:val="center"/>
              <w:rPr>
                <w:sz w:val="20"/>
                <w:szCs w:val="20"/>
              </w:rPr>
            </w:pPr>
            <w:r w:rsidRPr="005045AA">
              <w:rPr>
                <w:i/>
                <w:sz w:val="20"/>
                <w:szCs w:val="20"/>
              </w:rPr>
              <w:t>300</w:t>
            </w:r>
          </w:p>
        </w:tc>
        <w:tc>
          <w:tcPr>
            <w:tcW w:w="530" w:type="pct"/>
          </w:tcPr>
          <w:p w:rsidR="0058574E" w:rsidRPr="00D53E6F" w:rsidRDefault="0058574E" w:rsidP="00E7317C">
            <w:pPr>
              <w:pStyle w:val="21"/>
              <w:ind w:firstLine="0"/>
              <w:jc w:val="center"/>
              <w:rPr>
                <w:sz w:val="20"/>
                <w:szCs w:val="20"/>
              </w:rPr>
            </w:pPr>
            <w:r w:rsidRPr="00D53E6F">
              <w:rPr>
                <w:sz w:val="20"/>
                <w:szCs w:val="20"/>
              </w:rPr>
              <w:t>600</w:t>
            </w:r>
          </w:p>
          <w:p w:rsidR="0058574E" w:rsidRPr="00D53E6F" w:rsidRDefault="0058574E" w:rsidP="00E7317C">
            <w:pPr>
              <w:pStyle w:val="21"/>
              <w:ind w:firstLine="0"/>
              <w:jc w:val="center"/>
              <w:rPr>
                <w:sz w:val="20"/>
                <w:szCs w:val="20"/>
              </w:rPr>
            </w:pPr>
          </w:p>
          <w:p w:rsidR="0058574E" w:rsidRPr="005045AA" w:rsidRDefault="0058574E" w:rsidP="00E7317C">
            <w:pPr>
              <w:pStyle w:val="21"/>
              <w:ind w:firstLine="0"/>
              <w:jc w:val="center"/>
              <w:rPr>
                <w:i/>
                <w:sz w:val="20"/>
                <w:szCs w:val="20"/>
              </w:rPr>
            </w:pPr>
            <w:r w:rsidRPr="005045AA">
              <w:rPr>
                <w:i/>
                <w:sz w:val="20"/>
                <w:szCs w:val="20"/>
              </w:rPr>
              <w:t>300</w:t>
            </w:r>
          </w:p>
          <w:p w:rsidR="0058574E" w:rsidRPr="00E11575" w:rsidRDefault="0058574E" w:rsidP="00E7317C">
            <w:pPr>
              <w:pStyle w:val="21"/>
              <w:ind w:firstLine="0"/>
              <w:jc w:val="center"/>
              <w:rPr>
                <w:sz w:val="20"/>
                <w:szCs w:val="20"/>
              </w:rPr>
            </w:pPr>
            <w:r w:rsidRPr="005045AA">
              <w:rPr>
                <w:i/>
                <w:sz w:val="20"/>
                <w:szCs w:val="20"/>
              </w:rPr>
              <w:t>300</w:t>
            </w:r>
          </w:p>
        </w:tc>
      </w:tr>
      <w:tr w:rsidR="0058574E" w:rsidRPr="00E11575" w:rsidTr="00E7317C">
        <w:tc>
          <w:tcPr>
            <w:tcW w:w="451" w:type="pct"/>
          </w:tcPr>
          <w:p w:rsidR="0058574E" w:rsidRPr="00E11575" w:rsidRDefault="0058574E" w:rsidP="00E7317C">
            <w:pPr>
              <w:pStyle w:val="21"/>
              <w:ind w:firstLine="0"/>
              <w:jc w:val="center"/>
              <w:rPr>
                <w:sz w:val="20"/>
                <w:szCs w:val="20"/>
              </w:rPr>
            </w:pPr>
            <w:r>
              <w:rPr>
                <w:sz w:val="20"/>
                <w:szCs w:val="20"/>
              </w:rPr>
              <w:t>8</w:t>
            </w:r>
          </w:p>
        </w:tc>
        <w:tc>
          <w:tcPr>
            <w:tcW w:w="2960" w:type="pct"/>
          </w:tcPr>
          <w:p w:rsidR="0058574E" w:rsidRPr="009025CC" w:rsidRDefault="0058574E" w:rsidP="00E7317C">
            <w:pPr>
              <w:ind w:firstLine="0"/>
              <w:rPr>
                <w:sz w:val="20"/>
                <w:szCs w:val="20"/>
              </w:rPr>
            </w:pPr>
            <w:r w:rsidRPr="009025CC">
              <w:rPr>
                <w:sz w:val="20"/>
                <w:szCs w:val="20"/>
              </w:rPr>
              <w:t>на гос. регистрацию ипотеки:</w:t>
            </w:r>
          </w:p>
          <w:p w:rsidR="0058574E" w:rsidRPr="005045AA" w:rsidRDefault="0058574E" w:rsidP="00E7317C">
            <w:pPr>
              <w:pStyle w:val="21"/>
              <w:ind w:firstLine="0"/>
              <w:jc w:val="left"/>
              <w:rPr>
                <w:i/>
                <w:sz w:val="20"/>
                <w:szCs w:val="20"/>
              </w:rPr>
            </w:pPr>
            <w:r w:rsidRPr="005045AA">
              <w:rPr>
                <w:i/>
                <w:sz w:val="20"/>
                <w:szCs w:val="20"/>
              </w:rPr>
              <w:t>физические лица</w:t>
            </w:r>
          </w:p>
          <w:p w:rsidR="0058574E" w:rsidRPr="00E11575" w:rsidRDefault="0058574E" w:rsidP="00E7317C">
            <w:pPr>
              <w:pStyle w:val="21"/>
              <w:ind w:firstLine="0"/>
              <w:jc w:val="left"/>
              <w:rPr>
                <w:sz w:val="20"/>
                <w:szCs w:val="20"/>
              </w:rPr>
            </w:pPr>
            <w:r w:rsidRPr="005045AA">
              <w:rPr>
                <w:i/>
                <w:sz w:val="20"/>
                <w:szCs w:val="20"/>
              </w:rPr>
              <w:t>юридические лица</w:t>
            </w:r>
          </w:p>
        </w:tc>
        <w:tc>
          <w:tcPr>
            <w:tcW w:w="530" w:type="pct"/>
          </w:tcPr>
          <w:p w:rsidR="0058574E" w:rsidRPr="00D53E6F" w:rsidRDefault="0058574E" w:rsidP="00E7317C">
            <w:pPr>
              <w:pStyle w:val="21"/>
              <w:ind w:firstLine="0"/>
              <w:jc w:val="center"/>
              <w:rPr>
                <w:sz w:val="20"/>
                <w:szCs w:val="20"/>
              </w:rPr>
            </w:pPr>
            <w:r w:rsidRPr="00D53E6F">
              <w:rPr>
                <w:sz w:val="20"/>
                <w:szCs w:val="20"/>
              </w:rPr>
              <w:t>5 033</w:t>
            </w:r>
          </w:p>
          <w:p w:rsidR="0058574E" w:rsidRPr="005045AA" w:rsidRDefault="0058574E" w:rsidP="00E7317C">
            <w:pPr>
              <w:pStyle w:val="21"/>
              <w:ind w:firstLine="0"/>
              <w:jc w:val="center"/>
              <w:rPr>
                <w:i/>
                <w:sz w:val="20"/>
                <w:szCs w:val="20"/>
              </w:rPr>
            </w:pPr>
            <w:r w:rsidRPr="005045AA">
              <w:rPr>
                <w:i/>
                <w:sz w:val="20"/>
                <w:szCs w:val="20"/>
              </w:rPr>
              <w:t>3 999</w:t>
            </w:r>
          </w:p>
          <w:p w:rsidR="0058574E" w:rsidRPr="00E11575" w:rsidRDefault="0058574E" w:rsidP="00E7317C">
            <w:pPr>
              <w:pStyle w:val="21"/>
              <w:ind w:firstLine="0"/>
              <w:jc w:val="center"/>
              <w:rPr>
                <w:sz w:val="20"/>
                <w:szCs w:val="20"/>
              </w:rPr>
            </w:pPr>
            <w:r w:rsidRPr="005045AA">
              <w:rPr>
                <w:i/>
                <w:sz w:val="20"/>
                <w:szCs w:val="20"/>
              </w:rPr>
              <w:t>1 034</w:t>
            </w:r>
          </w:p>
        </w:tc>
        <w:tc>
          <w:tcPr>
            <w:tcW w:w="530" w:type="pct"/>
          </w:tcPr>
          <w:p w:rsidR="0058574E" w:rsidRPr="00D53E6F" w:rsidRDefault="0058574E" w:rsidP="00E7317C">
            <w:pPr>
              <w:pStyle w:val="21"/>
              <w:ind w:firstLine="0"/>
              <w:jc w:val="center"/>
              <w:rPr>
                <w:sz w:val="20"/>
                <w:szCs w:val="20"/>
              </w:rPr>
            </w:pPr>
            <w:r w:rsidRPr="00D53E6F">
              <w:rPr>
                <w:sz w:val="20"/>
                <w:szCs w:val="20"/>
              </w:rPr>
              <w:t>5 033</w:t>
            </w:r>
          </w:p>
          <w:p w:rsidR="0058574E" w:rsidRPr="005045AA" w:rsidRDefault="0058574E" w:rsidP="00E7317C">
            <w:pPr>
              <w:pStyle w:val="21"/>
              <w:ind w:firstLine="0"/>
              <w:jc w:val="center"/>
              <w:rPr>
                <w:i/>
                <w:sz w:val="20"/>
                <w:szCs w:val="20"/>
              </w:rPr>
            </w:pPr>
            <w:r w:rsidRPr="005045AA">
              <w:rPr>
                <w:i/>
                <w:sz w:val="20"/>
                <w:szCs w:val="20"/>
              </w:rPr>
              <w:t>3 999</w:t>
            </w:r>
          </w:p>
          <w:p w:rsidR="0058574E" w:rsidRPr="00E11575" w:rsidRDefault="0058574E" w:rsidP="00E7317C">
            <w:pPr>
              <w:pStyle w:val="21"/>
              <w:ind w:firstLine="0"/>
              <w:jc w:val="center"/>
              <w:rPr>
                <w:sz w:val="20"/>
                <w:szCs w:val="20"/>
              </w:rPr>
            </w:pPr>
            <w:r w:rsidRPr="005045AA">
              <w:rPr>
                <w:i/>
                <w:sz w:val="20"/>
                <w:szCs w:val="20"/>
              </w:rPr>
              <w:t>1 034</w:t>
            </w:r>
          </w:p>
        </w:tc>
        <w:tc>
          <w:tcPr>
            <w:tcW w:w="530" w:type="pct"/>
          </w:tcPr>
          <w:p w:rsidR="0058574E" w:rsidRPr="00D53E6F" w:rsidRDefault="0058574E" w:rsidP="00E7317C">
            <w:pPr>
              <w:pStyle w:val="21"/>
              <w:ind w:firstLine="0"/>
              <w:jc w:val="center"/>
              <w:rPr>
                <w:sz w:val="20"/>
                <w:szCs w:val="20"/>
              </w:rPr>
            </w:pPr>
            <w:r w:rsidRPr="00D53E6F">
              <w:rPr>
                <w:sz w:val="20"/>
                <w:szCs w:val="20"/>
              </w:rPr>
              <w:t>5 033</w:t>
            </w:r>
          </w:p>
          <w:p w:rsidR="0058574E" w:rsidRPr="005045AA" w:rsidRDefault="0058574E" w:rsidP="00E7317C">
            <w:pPr>
              <w:pStyle w:val="21"/>
              <w:ind w:firstLine="0"/>
              <w:jc w:val="center"/>
              <w:rPr>
                <w:i/>
                <w:sz w:val="20"/>
                <w:szCs w:val="20"/>
              </w:rPr>
            </w:pPr>
            <w:r w:rsidRPr="005045AA">
              <w:rPr>
                <w:i/>
                <w:sz w:val="20"/>
                <w:szCs w:val="20"/>
              </w:rPr>
              <w:t>3 999</w:t>
            </w:r>
          </w:p>
          <w:p w:rsidR="0058574E" w:rsidRPr="00E11575" w:rsidRDefault="0058574E" w:rsidP="00E7317C">
            <w:pPr>
              <w:pStyle w:val="21"/>
              <w:ind w:firstLine="0"/>
              <w:jc w:val="center"/>
              <w:rPr>
                <w:sz w:val="20"/>
                <w:szCs w:val="20"/>
              </w:rPr>
            </w:pPr>
            <w:r w:rsidRPr="005045AA">
              <w:rPr>
                <w:i/>
                <w:sz w:val="20"/>
                <w:szCs w:val="20"/>
              </w:rPr>
              <w:t>1 034</w:t>
            </w:r>
          </w:p>
        </w:tc>
      </w:tr>
      <w:tr w:rsidR="0058574E" w:rsidRPr="00E11575" w:rsidTr="00E7317C">
        <w:tc>
          <w:tcPr>
            <w:tcW w:w="451" w:type="pct"/>
          </w:tcPr>
          <w:p w:rsidR="0058574E" w:rsidRPr="00E11575" w:rsidRDefault="0058574E" w:rsidP="00E7317C">
            <w:pPr>
              <w:pStyle w:val="21"/>
              <w:ind w:firstLine="0"/>
              <w:jc w:val="center"/>
              <w:rPr>
                <w:sz w:val="20"/>
                <w:szCs w:val="20"/>
              </w:rPr>
            </w:pPr>
            <w:r>
              <w:rPr>
                <w:sz w:val="20"/>
                <w:szCs w:val="20"/>
              </w:rPr>
              <w:t>9</w:t>
            </w:r>
          </w:p>
        </w:tc>
        <w:tc>
          <w:tcPr>
            <w:tcW w:w="2960" w:type="pct"/>
          </w:tcPr>
          <w:p w:rsidR="0058574E" w:rsidRPr="00E11575" w:rsidRDefault="0058574E" w:rsidP="00E7317C">
            <w:pPr>
              <w:pStyle w:val="21"/>
              <w:ind w:firstLine="0"/>
              <w:jc w:val="left"/>
              <w:rPr>
                <w:sz w:val="20"/>
                <w:szCs w:val="20"/>
              </w:rPr>
            </w:pPr>
            <w:r w:rsidRPr="00E11575">
              <w:rPr>
                <w:sz w:val="20"/>
                <w:szCs w:val="20"/>
              </w:rPr>
              <w:t>на внесение изменений и дополнений в регистрационную запись об ипотеке</w:t>
            </w:r>
          </w:p>
          <w:p w:rsidR="0058574E" w:rsidRPr="005045AA" w:rsidRDefault="0058574E" w:rsidP="00E7317C">
            <w:pPr>
              <w:pStyle w:val="21"/>
              <w:ind w:firstLine="0"/>
              <w:jc w:val="left"/>
              <w:rPr>
                <w:i/>
                <w:sz w:val="20"/>
                <w:szCs w:val="20"/>
              </w:rPr>
            </w:pPr>
            <w:r w:rsidRPr="005045AA">
              <w:rPr>
                <w:i/>
                <w:sz w:val="20"/>
                <w:szCs w:val="20"/>
              </w:rPr>
              <w:t>физические лица</w:t>
            </w:r>
          </w:p>
          <w:p w:rsidR="0058574E" w:rsidRPr="00E11575" w:rsidRDefault="0058574E" w:rsidP="00E7317C">
            <w:pPr>
              <w:pStyle w:val="21"/>
              <w:ind w:firstLine="0"/>
              <w:jc w:val="left"/>
              <w:rPr>
                <w:sz w:val="20"/>
                <w:szCs w:val="20"/>
              </w:rPr>
            </w:pPr>
            <w:r w:rsidRPr="005045AA">
              <w:rPr>
                <w:i/>
                <w:sz w:val="20"/>
                <w:szCs w:val="20"/>
              </w:rPr>
              <w:t>юридические лица</w:t>
            </w:r>
          </w:p>
        </w:tc>
        <w:tc>
          <w:tcPr>
            <w:tcW w:w="530" w:type="pct"/>
          </w:tcPr>
          <w:p w:rsidR="0058574E" w:rsidRDefault="0058574E" w:rsidP="00E7317C">
            <w:pPr>
              <w:pStyle w:val="21"/>
              <w:ind w:hanging="26"/>
              <w:jc w:val="center"/>
              <w:rPr>
                <w:sz w:val="20"/>
                <w:szCs w:val="20"/>
              </w:rPr>
            </w:pPr>
            <w:r w:rsidRPr="00B74EE8">
              <w:rPr>
                <w:sz w:val="20"/>
                <w:szCs w:val="20"/>
              </w:rPr>
              <w:t>240</w:t>
            </w:r>
          </w:p>
          <w:p w:rsidR="0058574E" w:rsidRPr="00B74EE8" w:rsidRDefault="0058574E" w:rsidP="00E7317C">
            <w:pPr>
              <w:pStyle w:val="21"/>
              <w:ind w:hanging="26"/>
              <w:jc w:val="center"/>
              <w:rPr>
                <w:sz w:val="20"/>
                <w:szCs w:val="20"/>
              </w:rPr>
            </w:pPr>
          </w:p>
          <w:p w:rsidR="0058574E" w:rsidRPr="005045AA" w:rsidRDefault="0058574E" w:rsidP="00E7317C">
            <w:pPr>
              <w:pStyle w:val="21"/>
              <w:ind w:firstLine="0"/>
              <w:jc w:val="center"/>
              <w:rPr>
                <w:i/>
                <w:sz w:val="20"/>
                <w:szCs w:val="20"/>
              </w:rPr>
            </w:pPr>
            <w:r w:rsidRPr="005045AA">
              <w:rPr>
                <w:i/>
                <w:sz w:val="20"/>
                <w:szCs w:val="20"/>
              </w:rPr>
              <w:t>150</w:t>
            </w:r>
          </w:p>
          <w:p w:rsidR="0058574E" w:rsidRPr="00E11575" w:rsidRDefault="0058574E" w:rsidP="00E7317C">
            <w:pPr>
              <w:pStyle w:val="21"/>
              <w:ind w:firstLine="0"/>
              <w:jc w:val="center"/>
              <w:rPr>
                <w:sz w:val="20"/>
                <w:szCs w:val="20"/>
              </w:rPr>
            </w:pPr>
            <w:r w:rsidRPr="005045AA">
              <w:rPr>
                <w:i/>
                <w:sz w:val="20"/>
                <w:szCs w:val="20"/>
              </w:rPr>
              <w:t>90</w:t>
            </w:r>
          </w:p>
        </w:tc>
        <w:tc>
          <w:tcPr>
            <w:tcW w:w="530" w:type="pct"/>
          </w:tcPr>
          <w:p w:rsidR="0058574E" w:rsidRDefault="0058574E" w:rsidP="00E7317C">
            <w:pPr>
              <w:pStyle w:val="21"/>
              <w:ind w:hanging="26"/>
              <w:jc w:val="center"/>
              <w:rPr>
                <w:sz w:val="20"/>
                <w:szCs w:val="20"/>
              </w:rPr>
            </w:pPr>
            <w:r w:rsidRPr="00B74EE8">
              <w:rPr>
                <w:sz w:val="20"/>
                <w:szCs w:val="20"/>
              </w:rPr>
              <w:t>240</w:t>
            </w:r>
          </w:p>
          <w:p w:rsidR="0058574E" w:rsidRPr="00B74EE8" w:rsidRDefault="0058574E" w:rsidP="00E7317C">
            <w:pPr>
              <w:pStyle w:val="21"/>
              <w:ind w:hanging="26"/>
              <w:jc w:val="center"/>
              <w:rPr>
                <w:sz w:val="20"/>
                <w:szCs w:val="20"/>
              </w:rPr>
            </w:pPr>
          </w:p>
          <w:p w:rsidR="0058574E" w:rsidRPr="005045AA" w:rsidRDefault="0058574E" w:rsidP="00E7317C">
            <w:pPr>
              <w:pStyle w:val="21"/>
              <w:ind w:firstLine="0"/>
              <w:jc w:val="center"/>
              <w:rPr>
                <w:i/>
                <w:sz w:val="20"/>
                <w:szCs w:val="20"/>
              </w:rPr>
            </w:pPr>
            <w:r w:rsidRPr="005045AA">
              <w:rPr>
                <w:i/>
                <w:sz w:val="20"/>
                <w:szCs w:val="20"/>
              </w:rPr>
              <w:t>150</w:t>
            </w:r>
          </w:p>
          <w:p w:rsidR="0058574E" w:rsidRPr="00E11575" w:rsidRDefault="0058574E" w:rsidP="00E7317C">
            <w:pPr>
              <w:pStyle w:val="21"/>
              <w:ind w:firstLine="0"/>
              <w:jc w:val="center"/>
              <w:rPr>
                <w:sz w:val="20"/>
                <w:szCs w:val="20"/>
              </w:rPr>
            </w:pPr>
            <w:r w:rsidRPr="005045AA">
              <w:rPr>
                <w:i/>
                <w:sz w:val="20"/>
                <w:szCs w:val="20"/>
              </w:rPr>
              <w:t>90</w:t>
            </w:r>
          </w:p>
        </w:tc>
        <w:tc>
          <w:tcPr>
            <w:tcW w:w="530" w:type="pct"/>
          </w:tcPr>
          <w:p w:rsidR="0058574E" w:rsidRDefault="0058574E" w:rsidP="00E7317C">
            <w:pPr>
              <w:pStyle w:val="21"/>
              <w:ind w:hanging="26"/>
              <w:jc w:val="center"/>
              <w:rPr>
                <w:sz w:val="20"/>
                <w:szCs w:val="20"/>
              </w:rPr>
            </w:pPr>
            <w:r w:rsidRPr="00B74EE8">
              <w:rPr>
                <w:sz w:val="20"/>
                <w:szCs w:val="20"/>
              </w:rPr>
              <w:t>240</w:t>
            </w:r>
          </w:p>
          <w:p w:rsidR="0058574E" w:rsidRPr="00B74EE8" w:rsidRDefault="0058574E" w:rsidP="00E7317C">
            <w:pPr>
              <w:pStyle w:val="21"/>
              <w:ind w:hanging="26"/>
              <w:jc w:val="center"/>
              <w:rPr>
                <w:sz w:val="20"/>
                <w:szCs w:val="20"/>
              </w:rPr>
            </w:pPr>
          </w:p>
          <w:p w:rsidR="0058574E" w:rsidRPr="005045AA" w:rsidRDefault="0058574E" w:rsidP="00E7317C">
            <w:pPr>
              <w:pStyle w:val="21"/>
              <w:ind w:firstLine="0"/>
              <w:jc w:val="center"/>
              <w:rPr>
                <w:i/>
                <w:sz w:val="20"/>
                <w:szCs w:val="20"/>
              </w:rPr>
            </w:pPr>
            <w:r w:rsidRPr="005045AA">
              <w:rPr>
                <w:i/>
                <w:sz w:val="20"/>
                <w:szCs w:val="20"/>
              </w:rPr>
              <w:t>150</w:t>
            </w:r>
          </w:p>
          <w:p w:rsidR="0058574E" w:rsidRPr="00E11575" w:rsidRDefault="0058574E" w:rsidP="00E7317C">
            <w:pPr>
              <w:pStyle w:val="21"/>
              <w:ind w:firstLine="0"/>
              <w:jc w:val="center"/>
              <w:rPr>
                <w:sz w:val="20"/>
                <w:szCs w:val="20"/>
              </w:rPr>
            </w:pPr>
            <w:r w:rsidRPr="005045AA">
              <w:rPr>
                <w:i/>
                <w:sz w:val="20"/>
                <w:szCs w:val="20"/>
              </w:rPr>
              <w:t>90</w:t>
            </w:r>
          </w:p>
        </w:tc>
      </w:tr>
      <w:tr w:rsidR="0058574E" w:rsidRPr="00E11575" w:rsidTr="00E7317C">
        <w:tc>
          <w:tcPr>
            <w:tcW w:w="451" w:type="pct"/>
          </w:tcPr>
          <w:p w:rsidR="0058574E" w:rsidRDefault="0058574E" w:rsidP="00E7317C">
            <w:pPr>
              <w:pStyle w:val="21"/>
              <w:ind w:firstLine="0"/>
              <w:jc w:val="center"/>
              <w:rPr>
                <w:sz w:val="20"/>
                <w:szCs w:val="20"/>
              </w:rPr>
            </w:pPr>
            <w:r>
              <w:rPr>
                <w:sz w:val="20"/>
                <w:szCs w:val="20"/>
              </w:rPr>
              <w:t>10</w:t>
            </w:r>
          </w:p>
        </w:tc>
        <w:tc>
          <w:tcPr>
            <w:tcW w:w="2960" w:type="pct"/>
          </w:tcPr>
          <w:p w:rsidR="0058574E" w:rsidRDefault="0058574E" w:rsidP="00E7317C">
            <w:pPr>
              <w:pStyle w:val="21"/>
              <w:ind w:firstLine="0"/>
              <w:jc w:val="left"/>
              <w:rPr>
                <w:sz w:val="20"/>
                <w:szCs w:val="20"/>
              </w:rPr>
            </w:pPr>
            <w:r w:rsidRPr="00B74EE8">
              <w:rPr>
                <w:sz w:val="20"/>
                <w:szCs w:val="20"/>
              </w:rPr>
              <w:t>за государственную регистрацию смены залогодержателя вследствие уступки прав по основному обязательству, обеспеченному ипотекой, либо по договору об ипотеке, в том числе сделки по уступке прав требования, включая внесение в Единый государственный реестр прав на недвижимое имущество и сделок с ним записи об ипотеке, осуществляемой при смене залогодержателя</w:t>
            </w:r>
          </w:p>
          <w:p w:rsidR="0058574E" w:rsidRDefault="0058574E" w:rsidP="00E7317C">
            <w:pPr>
              <w:pStyle w:val="21"/>
              <w:ind w:firstLine="0"/>
              <w:jc w:val="left"/>
              <w:rPr>
                <w:sz w:val="20"/>
                <w:szCs w:val="20"/>
              </w:rPr>
            </w:pPr>
          </w:p>
          <w:p w:rsidR="0058574E" w:rsidRDefault="0058574E" w:rsidP="00E7317C">
            <w:pPr>
              <w:pStyle w:val="21"/>
              <w:ind w:firstLine="0"/>
              <w:jc w:val="left"/>
              <w:rPr>
                <w:sz w:val="20"/>
                <w:szCs w:val="20"/>
              </w:rPr>
            </w:pPr>
          </w:p>
          <w:p w:rsidR="0058574E" w:rsidRPr="00E11575" w:rsidRDefault="0058574E" w:rsidP="00E7317C">
            <w:pPr>
              <w:pStyle w:val="21"/>
              <w:ind w:firstLine="0"/>
              <w:jc w:val="left"/>
              <w:rPr>
                <w:sz w:val="20"/>
                <w:szCs w:val="20"/>
              </w:rPr>
            </w:pPr>
          </w:p>
        </w:tc>
        <w:tc>
          <w:tcPr>
            <w:tcW w:w="530" w:type="pct"/>
          </w:tcPr>
          <w:p w:rsidR="0058574E" w:rsidRPr="00B74EE8" w:rsidRDefault="0058574E" w:rsidP="00E7317C">
            <w:pPr>
              <w:pStyle w:val="21"/>
              <w:ind w:hanging="26"/>
              <w:jc w:val="center"/>
              <w:rPr>
                <w:sz w:val="20"/>
                <w:szCs w:val="20"/>
              </w:rPr>
            </w:pPr>
            <w:r>
              <w:rPr>
                <w:sz w:val="20"/>
                <w:szCs w:val="20"/>
              </w:rPr>
              <w:t>90</w:t>
            </w:r>
          </w:p>
        </w:tc>
        <w:tc>
          <w:tcPr>
            <w:tcW w:w="530" w:type="pct"/>
          </w:tcPr>
          <w:p w:rsidR="0058574E" w:rsidRPr="00B74EE8" w:rsidRDefault="0058574E" w:rsidP="00E7317C">
            <w:pPr>
              <w:pStyle w:val="21"/>
              <w:ind w:hanging="26"/>
              <w:jc w:val="center"/>
              <w:rPr>
                <w:sz w:val="20"/>
                <w:szCs w:val="20"/>
              </w:rPr>
            </w:pPr>
            <w:r>
              <w:rPr>
                <w:sz w:val="20"/>
                <w:szCs w:val="20"/>
              </w:rPr>
              <w:t>90</w:t>
            </w:r>
          </w:p>
        </w:tc>
        <w:tc>
          <w:tcPr>
            <w:tcW w:w="530" w:type="pct"/>
          </w:tcPr>
          <w:p w:rsidR="0058574E" w:rsidRPr="00B74EE8" w:rsidRDefault="0058574E" w:rsidP="00E7317C">
            <w:pPr>
              <w:pStyle w:val="21"/>
              <w:ind w:hanging="26"/>
              <w:jc w:val="center"/>
              <w:rPr>
                <w:sz w:val="20"/>
                <w:szCs w:val="20"/>
              </w:rPr>
            </w:pPr>
            <w:r>
              <w:rPr>
                <w:sz w:val="20"/>
                <w:szCs w:val="20"/>
              </w:rPr>
              <w:t>90</w:t>
            </w:r>
          </w:p>
        </w:tc>
      </w:tr>
      <w:tr w:rsidR="0058574E" w:rsidRPr="00E11575" w:rsidTr="00E7317C">
        <w:tc>
          <w:tcPr>
            <w:tcW w:w="451" w:type="pct"/>
          </w:tcPr>
          <w:p w:rsidR="0058574E" w:rsidRDefault="0058574E" w:rsidP="00E7317C">
            <w:pPr>
              <w:pStyle w:val="21"/>
              <w:ind w:firstLine="0"/>
              <w:jc w:val="center"/>
              <w:rPr>
                <w:sz w:val="20"/>
                <w:szCs w:val="20"/>
              </w:rPr>
            </w:pPr>
            <w:r>
              <w:rPr>
                <w:sz w:val="20"/>
                <w:szCs w:val="20"/>
              </w:rPr>
              <w:t>11</w:t>
            </w:r>
          </w:p>
        </w:tc>
        <w:tc>
          <w:tcPr>
            <w:tcW w:w="2960" w:type="pct"/>
          </w:tcPr>
          <w:p w:rsidR="0058574E" w:rsidRPr="00B74EE8" w:rsidRDefault="0058574E" w:rsidP="00E7317C">
            <w:pPr>
              <w:pStyle w:val="21"/>
              <w:ind w:firstLine="0"/>
              <w:jc w:val="left"/>
              <w:rPr>
                <w:sz w:val="20"/>
                <w:szCs w:val="20"/>
              </w:rPr>
            </w:pPr>
            <w:r w:rsidRPr="00B74EE8">
              <w:rPr>
                <w:sz w:val="20"/>
                <w:szCs w:val="20"/>
              </w:rPr>
              <w:t>за государственную регистрацию смены владельца закладной, в том числе сделки по уступке прав требования, включая внесение в Единый государственный реестр прав на недвижимое имущество и сделок с ним записи об ипотеке, осуществляемой при смене владельца закладной</w:t>
            </w:r>
          </w:p>
        </w:tc>
        <w:tc>
          <w:tcPr>
            <w:tcW w:w="530" w:type="pct"/>
          </w:tcPr>
          <w:p w:rsidR="0058574E" w:rsidRDefault="0058574E" w:rsidP="00E7317C">
            <w:pPr>
              <w:pStyle w:val="21"/>
              <w:ind w:hanging="26"/>
              <w:jc w:val="center"/>
              <w:rPr>
                <w:sz w:val="20"/>
                <w:szCs w:val="20"/>
              </w:rPr>
            </w:pPr>
            <w:r>
              <w:rPr>
                <w:sz w:val="20"/>
                <w:szCs w:val="20"/>
              </w:rPr>
              <w:t>20</w:t>
            </w:r>
          </w:p>
        </w:tc>
        <w:tc>
          <w:tcPr>
            <w:tcW w:w="530" w:type="pct"/>
          </w:tcPr>
          <w:p w:rsidR="0058574E" w:rsidRDefault="0058574E" w:rsidP="00E7317C">
            <w:pPr>
              <w:pStyle w:val="21"/>
              <w:ind w:hanging="26"/>
              <w:jc w:val="center"/>
              <w:rPr>
                <w:sz w:val="20"/>
                <w:szCs w:val="20"/>
              </w:rPr>
            </w:pPr>
            <w:r>
              <w:rPr>
                <w:sz w:val="20"/>
                <w:szCs w:val="20"/>
              </w:rPr>
              <w:t>20</w:t>
            </w:r>
          </w:p>
        </w:tc>
        <w:tc>
          <w:tcPr>
            <w:tcW w:w="530" w:type="pct"/>
          </w:tcPr>
          <w:p w:rsidR="0058574E" w:rsidRDefault="0058574E" w:rsidP="00E7317C">
            <w:pPr>
              <w:pStyle w:val="21"/>
              <w:ind w:hanging="26"/>
              <w:jc w:val="center"/>
              <w:rPr>
                <w:sz w:val="20"/>
                <w:szCs w:val="20"/>
              </w:rPr>
            </w:pPr>
            <w:r>
              <w:rPr>
                <w:sz w:val="20"/>
                <w:szCs w:val="20"/>
              </w:rPr>
              <w:t>20</w:t>
            </w:r>
          </w:p>
        </w:tc>
      </w:tr>
      <w:tr w:rsidR="0058574E" w:rsidRPr="00E11575" w:rsidTr="00E7317C">
        <w:tc>
          <w:tcPr>
            <w:tcW w:w="451" w:type="pct"/>
          </w:tcPr>
          <w:p w:rsidR="0058574E" w:rsidRDefault="0058574E" w:rsidP="00E7317C">
            <w:pPr>
              <w:pStyle w:val="21"/>
              <w:ind w:firstLine="0"/>
              <w:jc w:val="center"/>
              <w:rPr>
                <w:sz w:val="20"/>
                <w:szCs w:val="20"/>
              </w:rPr>
            </w:pPr>
            <w:r>
              <w:rPr>
                <w:sz w:val="20"/>
                <w:szCs w:val="20"/>
              </w:rPr>
              <w:lastRenderedPageBreak/>
              <w:t>12</w:t>
            </w:r>
          </w:p>
        </w:tc>
        <w:tc>
          <w:tcPr>
            <w:tcW w:w="2960" w:type="pct"/>
          </w:tcPr>
          <w:p w:rsidR="0058574E" w:rsidRPr="00E11575" w:rsidRDefault="0058574E" w:rsidP="00E7317C">
            <w:pPr>
              <w:pStyle w:val="21"/>
              <w:ind w:firstLine="0"/>
              <w:jc w:val="left"/>
              <w:rPr>
                <w:sz w:val="20"/>
                <w:szCs w:val="20"/>
              </w:rPr>
            </w:pPr>
            <w:r w:rsidRPr="00E11575">
              <w:rPr>
                <w:sz w:val="20"/>
                <w:szCs w:val="20"/>
              </w:rPr>
              <w:t>на гос. регистрацию договора участия в долевом строительстве:</w:t>
            </w:r>
          </w:p>
          <w:p w:rsidR="0058574E" w:rsidRPr="005045AA" w:rsidRDefault="0058574E" w:rsidP="00E7317C">
            <w:pPr>
              <w:pStyle w:val="21"/>
              <w:ind w:firstLine="0"/>
              <w:jc w:val="left"/>
              <w:rPr>
                <w:i/>
                <w:sz w:val="20"/>
                <w:szCs w:val="20"/>
              </w:rPr>
            </w:pPr>
            <w:r w:rsidRPr="005045AA">
              <w:rPr>
                <w:i/>
                <w:sz w:val="20"/>
                <w:szCs w:val="20"/>
              </w:rPr>
              <w:t>физические лица</w:t>
            </w:r>
          </w:p>
          <w:p w:rsidR="0058574E" w:rsidRPr="00B74EE8" w:rsidRDefault="0058574E" w:rsidP="00E7317C">
            <w:pPr>
              <w:pStyle w:val="21"/>
              <w:ind w:firstLine="0"/>
              <w:jc w:val="left"/>
              <w:rPr>
                <w:sz w:val="20"/>
                <w:szCs w:val="20"/>
              </w:rPr>
            </w:pPr>
            <w:r w:rsidRPr="005045AA">
              <w:rPr>
                <w:i/>
                <w:sz w:val="20"/>
                <w:szCs w:val="20"/>
              </w:rPr>
              <w:t>юридические лица</w:t>
            </w:r>
          </w:p>
        </w:tc>
        <w:tc>
          <w:tcPr>
            <w:tcW w:w="530" w:type="pct"/>
          </w:tcPr>
          <w:p w:rsidR="0058574E" w:rsidRPr="00C265FE" w:rsidRDefault="0058574E" w:rsidP="00E7317C">
            <w:pPr>
              <w:pStyle w:val="21"/>
              <w:ind w:firstLine="0"/>
              <w:jc w:val="center"/>
              <w:rPr>
                <w:sz w:val="20"/>
                <w:szCs w:val="20"/>
              </w:rPr>
            </w:pPr>
            <w:r w:rsidRPr="00C265FE">
              <w:rPr>
                <w:sz w:val="20"/>
                <w:szCs w:val="20"/>
              </w:rPr>
              <w:t>1 230</w:t>
            </w:r>
          </w:p>
          <w:p w:rsidR="0058574E" w:rsidRPr="00C265FE" w:rsidRDefault="0058574E" w:rsidP="00E7317C">
            <w:pPr>
              <w:pStyle w:val="21"/>
              <w:ind w:firstLine="0"/>
              <w:jc w:val="center"/>
              <w:rPr>
                <w:sz w:val="20"/>
                <w:szCs w:val="20"/>
              </w:rPr>
            </w:pPr>
          </w:p>
          <w:p w:rsidR="0058574E" w:rsidRPr="005045AA" w:rsidRDefault="0058574E" w:rsidP="00E7317C">
            <w:pPr>
              <w:pStyle w:val="21"/>
              <w:ind w:firstLine="0"/>
              <w:jc w:val="center"/>
              <w:rPr>
                <w:i/>
                <w:sz w:val="20"/>
                <w:szCs w:val="20"/>
              </w:rPr>
            </w:pPr>
            <w:r w:rsidRPr="005045AA">
              <w:rPr>
                <w:i/>
                <w:sz w:val="20"/>
                <w:szCs w:val="20"/>
              </w:rPr>
              <w:t>649</w:t>
            </w:r>
          </w:p>
          <w:p w:rsidR="0058574E" w:rsidRDefault="0058574E" w:rsidP="00E7317C">
            <w:pPr>
              <w:pStyle w:val="21"/>
              <w:ind w:firstLine="0"/>
              <w:jc w:val="center"/>
              <w:rPr>
                <w:sz w:val="20"/>
                <w:szCs w:val="20"/>
              </w:rPr>
            </w:pPr>
            <w:r w:rsidRPr="005045AA">
              <w:rPr>
                <w:i/>
                <w:sz w:val="20"/>
                <w:szCs w:val="20"/>
              </w:rPr>
              <w:t>581</w:t>
            </w:r>
          </w:p>
        </w:tc>
        <w:tc>
          <w:tcPr>
            <w:tcW w:w="530" w:type="pct"/>
          </w:tcPr>
          <w:p w:rsidR="0058574E" w:rsidRPr="00C265FE" w:rsidRDefault="0058574E" w:rsidP="00E7317C">
            <w:pPr>
              <w:pStyle w:val="21"/>
              <w:ind w:firstLine="0"/>
              <w:jc w:val="center"/>
              <w:rPr>
                <w:sz w:val="20"/>
                <w:szCs w:val="20"/>
              </w:rPr>
            </w:pPr>
            <w:r w:rsidRPr="00C265FE">
              <w:rPr>
                <w:sz w:val="20"/>
                <w:szCs w:val="20"/>
              </w:rPr>
              <w:t>1 230</w:t>
            </w:r>
          </w:p>
          <w:p w:rsidR="0058574E" w:rsidRPr="00C265FE" w:rsidRDefault="0058574E" w:rsidP="00E7317C">
            <w:pPr>
              <w:pStyle w:val="21"/>
              <w:ind w:firstLine="0"/>
              <w:jc w:val="center"/>
              <w:rPr>
                <w:sz w:val="20"/>
                <w:szCs w:val="20"/>
              </w:rPr>
            </w:pPr>
          </w:p>
          <w:p w:rsidR="0058574E" w:rsidRPr="005045AA" w:rsidRDefault="0058574E" w:rsidP="00E7317C">
            <w:pPr>
              <w:pStyle w:val="21"/>
              <w:ind w:firstLine="0"/>
              <w:jc w:val="center"/>
              <w:rPr>
                <w:i/>
                <w:sz w:val="20"/>
                <w:szCs w:val="20"/>
              </w:rPr>
            </w:pPr>
            <w:r w:rsidRPr="005045AA">
              <w:rPr>
                <w:i/>
                <w:sz w:val="20"/>
                <w:szCs w:val="20"/>
              </w:rPr>
              <w:t>649</w:t>
            </w:r>
          </w:p>
          <w:p w:rsidR="0058574E" w:rsidRDefault="0058574E" w:rsidP="00E7317C">
            <w:pPr>
              <w:pStyle w:val="21"/>
              <w:ind w:firstLine="0"/>
              <w:jc w:val="center"/>
              <w:rPr>
                <w:sz w:val="20"/>
                <w:szCs w:val="20"/>
              </w:rPr>
            </w:pPr>
            <w:r w:rsidRPr="005045AA">
              <w:rPr>
                <w:i/>
                <w:sz w:val="20"/>
                <w:szCs w:val="20"/>
              </w:rPr>
              <w:t>581</w:t>
            </w:r>
          </w:p>
        </w:tc>
        <w:tc>
          <w:tcPr>
            <w:tcW w:w="530" w:type="pct"/>
          </w:tcPr>
          <w:p w:rsidR="0058574E" w:rsidRPr="005045AA" w:rsidRDefault="0058574E" w:rsidP="00E7317C">
            <w:pPr>
              <w:pStyle w:val="21"/>
              <w:ind w:firstLine="0"/>
              <w:jc w:val="center"/>
              <w:rPr>
                <w:sz w:val="20"/>
                <w:szCs w:val="20"/>
              </w:rPr>
            </w:pPr>
            <w:r w:rsidRPr="005045AA">
              <w:rPr>
                <w:sz w:val="20"/>
                <w:szCs w:val="20"/>
              </w:rPr>
              <w:t>1 230</w:t>
            </w:r>
          </w:p>
          <w:p w:rsidR="0058574E" w:rsidRPr="005045AA" w:rsidRDefault="0058574E" w:rsidP="00E7317C">
            <w:pPr>
              <w:pStyle w:val="21"/>
              <w:ind w:firstLine="0"/>
              <w:jc w:val="center"/>
              <w:rPr>
                <w:sz w:val="20"/>
                <w:szCs w:val="20"/>
              </w:rPr>
            </w:pPr>
          </w:p>
          <w:p w:rsidR="0058574E" w:rsidRPr="005045AA" w:rsidRDefault="0058574E" w:rsidP="00E7317C">
            <w:pPr>
              <w:pStyle w:val="21"/>
              <w:ind w:firstLine="0"/>
              <w:jc w:val="center"/>
              <w:rPr>
                <w:i/>
                <w:sz w:val="20"/>
                <w:szCs w:val="20"/>
              </w:rPr>
            </w:pPr>
            <w:r w:rsidRPr="005045AA">
              <w:rPr>
                <w:i/>
                <w:sz w:val="20"/>
                <w:szCs w:val="20"/>
              </w:rPr>
              <w:t>649</w:t>
            </w:r>
          </w:p>
          <w:p w:rsidR="0058574E" w:rsidRPr="005045AA" w:rsidRDefault="0058574E" w:rsidP="00E7317C">
            <w:pPr>
              <w:pStyle w:val="21"/>
              <w:ind w:hanging="26"/>
              <w:jc w:val="center"/>
              <w:rPr>
                <w:i/>
                <w:sz w:val="20"/>
                <w:szCs w:val="20"/>
              </w:rPr>
            </w:pPr>
            <w:r w:rsidRPr="005045AA">
              <w:rPr>
                <w:i/>
                <w:sz w:val="20"/>
                <w:szCs w:val="20"/>
              </w:rPr>
              <w:t>581</w:t>
            </w:r>
          </w:p>
        </w:tc>
      </w:tr>
      <w:tr w:rsidR="0058574E" w:rsidRPr="00E11575" w:rsidTr="00E7317C">
        <w:tc>
          <w:tcPr>
            <w:tcW w:w="451" w:type="pct"/>
          </w:tcPr>
          <w:p w:rsidR="0058574E" w:rsidRPr="00E11575" w:rsidRDefault="0058574E" w:rsidP="00E7317C">
            <w:pPr>
              <w:pStyle w:val="21"/>
              <w:ind w:firstLine="0"/>
              <w:jc w:val="center"/>
              <w:rPr>
                <w:sz w:val="20"/>
                <w:szCs w:val="20"/>
              </w:rPr>
            </w:pPr>
            <w:r>
              <w:rPr>
                <w:sz w:val="20"/>
                <w:szCs w:val="20"/>
              </w:rPr>
              <w:t>13</w:t>
            </w:r>
          </w:p>
        </w:tc>
        <w:tc>
          <w:tcPr>
            <w:tcW w:w="2960" w:type="pct"/>
          </w:tcPr>
          <w:p w:rsidR="0058574E" w:rsidRPr="00E11575" w:rsidRDefault="0058574E" w:rsidP="00E7317C">
            <w:pPr>
              <w:ind w:firstLine="0"/>
              <w:jc w:val="left"/>
              <w:rPr>
                <w:sz w:val="20"/>
                <w:szCs w:val="20"/>
              </w:rPr>
            </w:pPr>
            <w:r w:rsidRPr="008838D8">
              <w:rPr>
                <w:sz w:val="20"/>
                <w:szCs w:val="20"/>
              </w:rPr>
              <w:t>за государственную регистрацию соглашения об изменении или о расторжении договора участия в долевом строительстве, уступки прав требования по договору участия в долевом строительстве, включая внесение соответствующих изменений в Единый государственный реестр прав на недвижимое имущество и сделок с ним</w:t>
            </w:r>
          </w:p>
        </w:tc>
        <w:tc>
          <w:tcPr>
            <w:tcW w:w="530" w:type="pct"/>
          </w:tcPr>
          <w:p w:rsidR="0058574E" w:rsidRPr="00E11575" w:rsidRDefault="0058574E" w:rsidP="00E7317C">
            <w:pPr>
              <w:pStyle w:val="21"/>
              <w:ind w:hanging="26"/>
              <w:jc w:val="center"/>
              <w:rPr>
                <w:sz w:val="20"/>
                <w:szCs w:val="20"/>
              </w:rPr>
            </w:pPr>
            <w:r>
              <w:rPr>
                <w:sz w:val="20"/>
                <w:szCs w:val="20"/>
              </w:rPr>
              <w:t>490</w:t>
            </w:r>
          </w:p>
        </w:tc>
        <w:tc>
          <w:tcPr>
            <w:tcW w:w="530" w:type="pct"/>
          </w:tcPr>
          <w:p w:rsidR="0058574E" w:rsidRPr="00E11575" w:rsidRDefault="0058574E" w:rsidP="00E7317C">
            <w:pPr>
              <w:pStyle w:val="21"/>
              <w:ind w:hanging="26"/>
              <w:jc w:val="center"/>
              <w:rPr>
                <w:sz w:val="20"/>
                <w:szCs w:val="20"/>
              </w:rPr>
            </w:pPr>
            <w:r>
              <w:rPr>
                <w:sz w:val="20"/>
                <w:szCs w:val="20"/>
              </w:rPr>
              <w:t>490</w:t>
            </w:r>
          </w:p>
        </w:tc>
        <w:tc>
          <w:tcPr>
            <w:tcW w:w="530" w:type="pct"/>
          </w:tcPr>
          <w:p w:rsidR="0058574E" w:rsidRPr="00E11575" w:rsidRDefault="0058574E" w:rsidP="00E7317C">
            <w:pPr>
              <w:pStyle w:val="21"/>
              <w:ind w:hanging="26"/>
              <w:jc w:val="center"/>
              <w:rPr>
                <w:sz w:val="20"/>
                <w:szCs w:val="20"/>
              </w:rPr>
            </w:pPr>
            <w:r>
              <w:rPr>
                <w:sz w:val="20"/>
                <w:szCs w:val="20"/>
              </w:rPr>
              <w:t>490</w:t>
            </w:r>
          </w:p>
        </w:tc>
      </w:tr>
      <w:tr w:rsidR="0058574E" w:rsidRPr="00E11575" w:rsidTr="00E7317C">
        <w:tc>
          <w:tcPr>
            <w:tcW w:w="451" w:type="pct"/>
          </w:tcPr>
          <w:p w:rsidR="0058574E" w:rsidRPr="00E11575" w:rsidRDefault="0058574E" w:rsidP="00E7317C">
            <w:pPr>
              <w:pStyle w:val="21"/>
              <w:ind w:firstLine="0"/>
              <w:jc w:val="center"/>
              <w:rPr>
                <w:sz w:val="20"/>
                <w:szCs w:val="20"/>
              </w:rPr>
            </w:pPr>
            <w:r>
              <w:rPr>
                <w:sz w:val="20"/>
                <w:szCs w:val="20"/>
              </w:rPr>
              <w:t>15</w:t>
            </w:r>
          </w:p>
        </w:tc>
        <w:tc>
          <w:tcPr>
            <w:tcW w:w="2960" w:type="pct"/>
          </w:tcPr>
          <w:p w:rsidR="0058574E" w:rsidRPr="00E11575" w:rsidRDefault="0058574E" w:rsidP="00E7317C">
            <w:pPr>
              <w:pStyle w:val="21"/>
              <w:ind w:firstLine="0"/>
              <w:jc w:val="left"/>
              <w:rPr>
                <w:sz w:val="20"/>
                <w:szCs w:val="20"/>
              </w:rPr>
            </w:pPr>
            <w:r w:rsidRPr="00E11575">
              <w:rPr>
                <w:sz w:val="20"/>
                <w:szCs w:val="20"/>
              </w:rPr>
              <w:t>за государственную регистрацию сервитутов</w:t>
            </w:r>
          </w:p>
          <w:p w:rsidR="0058574E" w:rsidRPr="005045AA" w:rsidRDefault="0058574E" w:rsidP="00E7317C">
            <w:pPr>
              <w:pStyle w:val="21"/>
              <w:ind w:firstLine="0"/>
              <w:jc w:val="left"/>
              <w:rPr>
                <w:i/>
                <w:sz w:val="20"/>
                <w:szCs w:val="20"/>
              </w:rPr>
            </w:pPr>
            <w:r w:rsidRPr="005045AA">
              <w:rPr>
                <w:i/>
                <w:sz w:val="20"/>
                <w:szCs w:val="20"/>
              </w:rPr>
              <w:t>физические лица</w:t>
            </w:r>
          </w:p>
          <w:p w:rsidR="0058574E" w:rsidRPr="00E11575" w:rsidRDefault="0058574E" w:rsidP="00E7317C">
            <w:pPr>
              <w:pStyle w:val="21"/>
              <w:ind w:firstLine="0"/>
              <w:jc w:val="left"/>
              <w:rPr>
                <w:sz w:val="20"/>
                <w:szCs w:val="20"/>
              </w:rPr>
            </w:pPr>
            <w:r w:rsidRPr="005045AA">
              <w:rPr>
                <w:i/>
                <w:sz w:val="20"/>
                <w:szCs w:val="20"/>
              </w:rPr>
              <w:t>юридические лица</w:t>
            </w:r>
          </w:p>
        </w:tc>
        <w:tc>
          <w:tcPr>
            <w:tcW w:w="530" w:type="pct"/>
          </w:tcPr>
          <w:p w:rsidR="0058574E" w:rsidRPr="005045AA" w:rsidRDefault="0058574E" w:rsidP="00E7317C">
            <w:pPr>
              <w:pStyle w:val="21"/>
              <w:ind w:hanging="26"/>
              <w:jc w:val="center"/>
              <w:rPr>
                <w:sz w:val="20"/>
                <w:szCs w:val="20"/>
              </w:rPr>
            </w:pPr>
            <w:r w:rsidRPr="005045AA">
              <w:rPr>
                <w:sz w:val="20"/>
                <w:szCs w:val="20"/>
              </w:rPr>
              <w:t>21</w:t>
            </w:r>
          </w:p>
          <w:p w:rsidR="0058574E" w:rsidRPr="005045AA" w:rsidRDefault="0058574E" w:rsidP="00E7317C">
            <w:pPr>
              <w:pStyle w:val="21"/>
              <w:ind w:hanging="26"/>
              <w:jc w:val="center"/>
              <w:rPr>
                <w:i/>
                <w:sz w:val="20"/>
                <w:szCs w:val="20"/>
              </w:rPr>
            </w:pPr>
            <w:r w:rsidRPr="005045AA">
              <w:rPr>
                <w:i/>
                <w:sz w:val="20"/>
                <w:szCs w:val="20"/>
              </w:rPr>
              <w:t>12</w:t>
            </w:r>
          </w:p>
          <w:p w:rsidR="0058574E" w:rsidRPr="00E11575" w:rsidRDefault="0058574E" w:rsidP="00E7317C">
            <w:pPr>
              <w:pStyle w:val="21"/>
              <w:ind w:hanging="26"/>
              <w:jc w:val="center"/>
              <w:rPr>
                <w:sz w:val="20"/>
                <w:szCs w:val="20"/>
              </w:rPr>
            </w:pPr>
            <w:r w:rsidRPr="005045AA">
              <w:rPr>
                <w:i/>
                <w:sz w:val="20"/>
                <w:szCs w:val="20"/>
              </w:rPr>
              <w:t>9</w:t>
            </w:r>
          </w:p>
        </w:tc>
        <w:tc>
          <w:tcPr>
            <w:tcW w:w="530" w:type="pct"/>
          </w:tcPr>
          <w:p w:rsidR="0058574E" w:rsidRPr="005045AA" w:rsidRDefault="0058574E" w:rsidP="00E7317C">
            <w:pPr>
              <w:pStyle w:val="21"/>
              <w:ind w:hanging="26"/>
              <w:jc w:val="center"/>
              <w:rPr>
                <w:sz w:val="20"/>
                <w:szCs w:val="20"/>
              </w:rPr>
            </w:pPr>
            <w:r w:rsidRPr="005045AA">
              <w:rPr>
                <w:sz w:val="20"/>
                <w:szCs w:val="20"/>
              </w:rPr>
              <w:t>21</w:t>
            </w:r>
          </w:p>
          <w:p w:rsidR="0058574E" w:rsidRPr="005045AA" w:rsidRDefault="0058574E" w:rsidP="00E7317C">
            <w:pPr>
              <w:pStyle w:val="21"/>
              <w:ind w:hanging="26"/>
              <w:jc w:val="center"/>
              <w:rPr>
                <w:i/>
                <w:sz w:val="20"/>
                <w:szCs w:val="20"/>
              </w:rPr>
            </w:pPr>
            <w:r w:rsidRPr="005045AA">
              <w:rPr>
                <w:i/>
                <w:sz w:val="20"/>
                <w:szCs w:val="20"/>
              </w:rPr>
              <w:t>12</w:t>
            </w:r>
          </w:p>
          <w:p w:rsidR="0058574E" w:rsidRPr="00E11575" w:rsidRDefault="0058574E" w:rsidP="00E7317C">
            <w:pPr>
              <w:pStyle w:val="21"/>
              <w:ind w:hanging="26"/>
              <w:jc w:val="center"/>
              <w:rPr>
                <w:sz w:val="20"/>
                <w:szCs w:val="20"/>
              </w:rPr>
            </w:pPr>
            <w:r w:rsidRPr="005045AA">
              <w:rPr>
                <w:i/>
                <w:sz w:val="20"/>
                <w:szCs w:val="20"/>
              </w:rPr>
              <w:t>9</w:t>
            </w:r>
          </w:p>
        </w:tc>
        <w:tc>
          <w:tcPr>
            <w:tcW w:w="530" w:type="pct"/>
          </w:tcPr>
          <w:p w:rsidR="0058574E" w:rsidRPr="005045AA" w:rsidRDefault="0058574E" w:rsidP="00E7317C">
            <w:pPr>
              <w:pStyle w:val="21"/>
              <w:ind w:hanging="26"/>
              <w:jc w:val="center"/>
              <w:rPr>
                <w:sz w:val="20"/>
                <w:szCs w:val="20"/>
              </w:rPr>
            </w:pPr>
            <w:r w:rsidRPr="005045AA">
              <w:rPr>
                <w:sz w:val="20"/>
                <w:szCs w:val="20"/>
              </w:rPr>
              <w:t>21</w:t>
            </w:r>
          </w:p>
          <w:p w:rsidR="0058574E" w:rsidRPr="005045AA" w:rsidRDefault="0058574E" w:rsidP="00E7317C">
            <w:pPr>
              <w:pStyle w:val="21"/>
              <w:ind w:hanging="26"/>
              <w:jc w:val="center"/>
              <w:rPr>
                <w:i/>
                <w:sz w:val="20"/>
                <w:szCs w:val="20"/>
              </w:rPr>
            </w:pPr>
            <w:r w:rsidRPr="005045AA">
              <w:rPr>
                <w:i/>
                <w:sz w:val="20"/>
                <w:szCs w:val="20"/>
              </w:rPr>
              <w:t>12</w:t>
            </w:r>
          </w:p>
          <w:p w:rsidR="0058574E" w:rsidRPr="00E11575" w:rsidRDefault="0058574E" w:rsidP="00E7317C">
            <w:pPr>
              <w:pStyle w:val="21"/>
              <w:ind w:hanging="26"/>
              <w:jc w:val="center"/>
              <w:rPr>
                <w:sz w:val="20"/>
                <w:szCs w:val="20"/>
              </w:rPr>
            </w:pPr>
            <w:r w:rsidRPr="005045AA">
              <w:rPr>
                <w:i/>
                <w:sz w:val="20"/>
                <w:szCs w:val="20"/>
              </w:rPr>
              <w:t>9</w:t>
            </w:r>
          </w:p>
        </w:tc>
      </w:tr>
      <w:tr w:rsidR="0058574E" w:rsidRPr="00E11575" w:rsidTr="00E7317C">
        <w:tc>
          <w:tcPr>
            <w:tcW w:w="451" w:type="pct"/>
          </w:tcPr>
          <w:p w:rsidR="0058574E" w:rsidRPr="00E11575" w:rsidRDefault="0058574E" w:rsidP="00E7317C">
            <w:pPr>
              <w:pStyle w:val="21"/>
              <w:ind w:firstLine="0"/>
              <w:jc w:val="center"/>
              <w:rPr>
                <w:sz w:val="20"/>
                <w:szCs w:val="20"/>
              </w:rPr>
            </w:pPr>
            <w:r>
              <w:rPr>
                <w:sz w:val="20"/>
                <w:szCs w:val="20"/>
              </w:rPr>
              <w:t>16</w:t>
            </w:r>
          </w:p>
        </w:tc>
        <w:tc>
          <w:tcPr>
            <w:tcW w:w="2960" w:type="pct"/>
          </w:tcPr>
          <w:p w:rsidR="0058574E" w:rsidRPr="00E11575" w:rsidRDefault="0058574E" w:rsidP="00E7317C">
            <w:pPr>
              <w:pStyle w:val="21"/>
              <w:ind w:firstLine="0"/>
              <w:jc w:val="left"/>
              <w:rPr>
                <w:sz w:val="20"/>
                <w:szCs w:val="20"/>
              </w:rPr>
            </w:pPr>
            <w:r w:rsidRPr="00E11575">
              <w:rPr>
                <w:sz w:val="20"/>
                <w:szCs w:val="20"/>
              </w:rPr>
              <w:t>за государственную регистрацию перехода права собственности на объект недвижимости в связи с реорганизацией юридического лица в форме преобразования</w:t>
            </w:r>
          </w:p>
        </w:tc>
        <w:tc>
          <w:tcPr>
            <w:tcW w:w="530" w:type="pct"/>
          </w:tcPr>
          <w:p w:rsidR="0058574E" w:rsidRPr="00E11575" w:rsidRDefault="0058574E" w:rsidP="00E7317C">
            <w:pPr>
              <w:pStyle w:val="21"/>
              <w:ind w:hanging="26"/>
              <w:jc w:val="center"/>
              <w:rPr>
                <w:sz w:val="20"/>
                <w:szCs w:val="20"/>
              </w:rPr>
            </w:pPr>
            <w:r>
              <w:rPr>
                <w:sz w:val="20"/>
                <w:szCs w:val="20"/>
              </w:rPr>
              <w:t>9</w:t>
            </w:r>
          </w:p>
        </w:tc>
        <w:tc>
          <w:tcPr>
            <w:tcW w:w="530" w:type="pct"/>
          </w:tcPr>
          <w:p w:rsidR="0058574E" w:rsidRPr="00E11575" w:rsidRDefault="0058574E" w:rsidP="00E7317C">
            <w:pPr>
              <w:pStyle w:val="21"/>
              <w:ind w:hanging="26"/>
              <w:jc w:val="center"/>
              <w:rPr>
                <w:sz w:val="20"/>
                <w:szCs w:val="20"/>
              </w:rPr>
            </w:pPr>
            <w:r>
              <w:rPr>
                <w:sz w:val="20"/>
                <w:szCs w:val="20"/>
              </w:rPr>
              <w:t>9</w:t>
            </w:r>
          </w:p>
        </w:tc>
        <w:tc>
          <w:tcPr>
            <w:tcW w:w="530" w:type="pct"/>
          </w:tcPr>
          <w:p w:rsidR="0058574E" w:rsidRPr="00E11575" w:rsidRDefault="0058574E" w:rsidP="00E7317C">
            <w:pPr>
              <w:pStyle w:val="21"/>
              <w:ind w:hanging="26"/>
              <w:jc w:val="center"/>
              <w:rPr>
                <w:sz w:val="20"/>
                <w:szCs w:val="20"/>
              </w:rPr>
            </w:pPr>
            <w:r>
              <w:rPr>
                <w:sz w:val="20"/>
                <w:szCs w:val="20"/>
              </w:rPr>
              <w:t>9</w:t>
            </w:r>
          </w:p>
        </w:tc>
      </w:tr>
      <w:tr w:rsidR="0058574E" w:rsidRPr="00E11575" w:rsidTr="00E7317C">
        <w:tc>
          <w:tcPr>
            <w:tcW w:w="3411" w:type="pct"/>
            <w:gridSpan w:val="2"/>
            <w:shd w:val="clear" w:color="auto" w:fill="EAF1DD" w:themeFill="accent3" w:themeFillTint="33"/>
          </w:tcPr>
          <w:p w:rsidR="0058574E" w:rsidRPr="00DE14A6" w:rsidRDefault="0058574E" w:rsidP="00E7317C">
            <w:pPr>
              <w:pStyle w:val="21"/>
              <w:ind w:firstLine="0"/>
              <w:jc w:val="left"/>
              <w:rPr>
                <w:b/>
                <w:sz w:val="20"/>
                <w:szCs w:val="20"/>
              </w:rPr>
            </w:pPr>
            <w:r w:rsidRPr="00DE14A6">
              <w:rPr>
                <w:b/>
                <w:sz w:val="20"/>
                <w:szCs w:val="20"/>
              </w:rPr>
              <w:t>Размер госпошлины, руб.</w:t>
            </w:r>
          </w:p>
        </w:tc>
        <w:tc>
          <w:tcPr>
            <w:tcW w:w="530" w:type="pct"/>
            <w:shd w:val="clear" w:color="auto" w:fill="EAF1DD" w:themeFill="accent3" w:themeFillTint="33"/>
          </w:tcPr>
          <w:p w:rsidR="0058574E" w:rsidRPr="00E11575" w:rsidRDefault="0058574E" w:rsidP="00E7317C">
            <w:pPr>
              <w:pStyle w:val="21"/>
              <w:ind w:hanging="26"/>
              <w:jc w:val="center"/>
              <w:rPr>
                <w:sz w:val="20"/>
                <w:szCs w:val="20"/>
              </w:rPr>
            </w:pPr>
          </w:p>
        </w:tc>
        <w:tc>
          <w:tcPr>
            <w:tcW w:w="530" w:type="pct"/>
            <w:shd w:val="clear" w:color="auto" w:fill="EAF1DD" w:themeFill="accent3" w:themeFillTint="33"/>
          </w:tcPr>
          <w:p w:rsidR="0058574E" w:rsidRPr="00E11575" w:rsidRDefault="0058574E" w:rsidP="00E7317C">
            <w:pPr>
              <w:pStyle w:val="21"/>
              <w:ind w:hanging="26"/>
              <w:jc w:val="center"/>
              <w:rPr>
                <w:sz w:val="20"/>
                <w:szCs w:val="20"/>
              </w:rPr>
            </w:pPr>
          </w:p>
        </w:tc>
        <w:tc>
          <w:tcPr>
            <w:tcW w:w="530" w:type="pct"/>
            <w:shd w:val="clear" w:color="auto" w:fill="EAF1DD" w:themeFill="accent3" w:themeFillTint="33"/>
          </w:tcPr>
          <w:p w:rsidR="0058574E" w:rsidRPr="00E11575" w:rsidRDefault="0058574E" w:rsidP="00E7317C">
            <w:pPr>
              <w:pStyle w:val="21"/>
              <w:ind w:hanging="26"/>
              <w:jc w:val="center"/>
              <w:rPr>
                <w:sz w:val="20"/>
                <w:szCs w:val="20"/>
              </w:rPr>
            </w:pPr>
          </w:p>
        </w:tc>
      </w:tr>
      <w:tr w:rsidR="0058574E" w:rsidRPr="00E11575" w:rsidTr="00E7317C">
        <w:tc>
          <w:tcPr>
            <w:tcW w:w="451" w:type="pct"/>
          </w:tcPr>
          <w:p w:rsidR="0058574E" w:rsidRPr="00E11575" w:rsidRDefault="0058574E" w:rsidP="00E7317C">
            <w:pPr>
              <w:pStyle w:val="21"/>
              <w:ind w:firstLine="0"/>
              <w:jc w:val="center"/>
              <w:rPr>
                <w:sz w:val="20"/>
                <w:szCs w:val="20"/>
              </w:rPr>
            </w:pPr>
            <w:r w:rsidRPr="00E11575">
              <w:rPr>
                <w:sz w:val="20"/>
                <w:szCs w:val="20"/>
              </w:rPr>
              <w:t>1</w:t>
            </w:r>
          </w:p>
        </w:tc>
        <w:tc>
          <w:tcPr>
            <w:tcW w:w="2960" w:type="pct"/>
          </w:tcPr>
          <w:p w:rsidR="0058574E" w:rsidRPr="00E11575" w:rsidRDefault="0058574E" w:rsidP="00E7317C">
            <w:pPr>
              <w:pStyle w:val="21"/>
              <w:ind w:firstLine="0"/>
              <w:jc w:val="left"/>
              <w:rPr>
                <w:sz w:val="20"/>
                <w:szCs w:val="20"/>
              </w:rPr>
            </w:pPr>
            <w:r w:rsidRPr="00E11575">
              <w:rPr>
                <w:sz w:val="20"/>
                <w:szCs w:val="20"/>
              </w:rPr>
              <w:t>на гос. регистрацию прав, ограничений (обременений) прав на недвижимое имущество, договоров об отчуждении недвижимого имущества:</w:t>
            </w:r>
          </w:p>
          <w:p w:rsidR="0058574E" w:rsidRPr="005045AA" w:rsidRDefault="0058574E" w:rsidP="00E7317C">
            <w:pPr>
              <w:pStyle w:val="21"/>
              <w:ind w:firstLine="0"/>
              <w:jc w:val="left"/>
              <w:rPr>
                <w:i/>
                <w:sz w:val="20"/>
                <w:szCs w:val="20"/>
              </w:rPr>
            </w:pPr>
            <w:r w:rsidRPr="005045AA">
              <w:rPr>
                <w:i/>
                <w:sz w:val="20"/>
                <w:szCs w:val="20"/>
              </w:rPr>
              <w:t>физические лица</w:t>
            </w:r>
          </w:p>
          <w:p w:rsidR="0058574E" w:rsidRPr="00E11575" w:rsidRDefault="0058574E" w:rsidP="00E7317C">
            <w:pPr>
              <w:pStyle w:val="21"/>
              <w:ind w:firstLine="0"/>
              <w:jc w:val="left"/>
              <w:rPr>
                <w:sz w:val="20"/>
                <w:szCs w:val="20"/>
              </w:rPr>
            </w:pPr>
            <w:r w:rsidRPr="005045AA">
              <w:rPr>
                <w:i/>
                <w:sz w:val="20"/>
                <w:szCs w:val="20"/>
              </w:rPr>
              <w:t>юридические лица</w:t>
            </w:r>
          </w:p>
        </w:tc>
        <w:tc>
          <w:tcPr>
            <w:tcW w:w="530" w:type="pct"/>
          </w:tcPr>
          <w:p w:rsidR="0058574E" w:rsidRDefault="0058574E" w:rsidP="00E7317C">
            <w:pPr>
              <w:pStyle w:val="21"/>
              <w:ind w:hanging="26"/>
              <w:jc w:val="center"/>
              <w:rPr>
                <w:sz w:val="20"/>
                <w:szCs w:val="20"/>
              </w:rPr>
            </w:pPr>
          </w:p>
          <w:p w:rsidR="0058574E" w:rsidRDefault="0058574E" w:rsidP="00E7317C">
            <w:pPr>
              <w:pStyle w:val="21"/>
              <w:ind w:hanging="26"/>
              <w:jc w:val="center"/>
              <w:rPr>
                <w:sz w:val="20"/>
                <w:szCs w:val="20"/>
              </w:rPr>
            </w:pPr>
          </w:p>
          <w:p w:rsidR="0058574E" w:rsidRDefault="0058574E" w:rsidP="00E7317C">
            <w:pPr>
              <w:pStyle w:val="21"/>
              <w:ind w:hanging="26"/>
              <w:jc w:val="center"/>
              <w:rPr>
                <w:sz w:val="20"/>
                <w:szCs w:val="20"/>
              </w:rPr>
            </w:pPr>
          </w:p>
          <w:p w:rsidR="0058574E" w:rsidRPr="00DE14A6" w:rsidRDefault="0058574E" w:rsidP="00E7317C">
            <w:pPr>
              <w:pStyle w:val="21"/>
              <w:ind w:firstLine="0"/>
              <w:jc w:val="center"/>
              <w:rPr>
                <w:i/>
                <w:sz w:val="20"/>
                <w:szCs w:val="20"/>
              </w:rPr>
            </w:pPr>
            <w:r w:rsidRPr="00DE14A6">
              <w:rPr>
                <w:i/>
                <w:sz w:val="20"/>
                <w:szCs w:val="20"/>
              </w:rPr>
              <w:t>2 000</w:t>
            </w:r>
          </w:p>
          <w:p w:rsidR="0058574E" w:rsidRPr="00DE14A6" w:rsidRDefault="0058574E" w:rsidP="00E7317C">
            <w:pPr>
              <w:pStyle w:val="21"/>
              <w:ind w:firstLine="0"/>
              <w:jc w:val="center"/>
              <w:rPr>
                <w:color w:val="FF0000"/>
                <w:sz w:val="20"/>
                <w:szCs w:val="20"/>
              </w:rPr>
            </w:pPr>
            <w:r w:rsidRPr="00DE14A6">
              <w:rPr>
                <w:i/>
                <w:sz w:val="20"/>
                <w:szCs w:val="20"/>
              </w:rPr>
              <w:t>22 000</w:t>
            </w:r>
          </w:p>
        </w:tc>
        <w:tc>
          <w:tcPr>
            <w:tcW w:w="530" w:type="pct"/>
          </w:tcPr>
          <w:p w:rsidR="0058574E" w:rsidRDefault="0058574E" w:rsidP="00E7317C">
            <w:pPr>
              <w:pStyle w:val="21"/>
              <w:ind w:hanging="26"/>
              <w:jc w:val="center"/>
              <w:rPr>
                <w:sz w:val="20"/>
                <w:szCs w:val="20"/>
              </w:rPr>
            </w:pPr>
          </w:p>
          <w:p w:rsidR="0058574E" w:rsidRDefault="0058574E" w:rsidP="00E7317C">
            <w:pPr>
              <w:pStyle w:val="21"/>
              <w:ind w:hanging="26"/>
              <w:jc w:val="center"/>
              <w:rPr>
                <w:sz w:val="20"/>
                <w:szCs w:val="20"/>
              </w:rPr>
            </w:pPr>
          </w:p>
          <w:p w:rsidR="0058574E" w:rsidRDefault="0058574E" w:rsidP="00E7317C">
            <w:pPr>
              <w:pStyle w:val="21"/>
              <w:ind w:hanging="26"/>
              <w:jc w:val="center"/>
              <w:rPr>
                <w:sz w:val="20"/>
                <w:szCs w:val="20"/>
              </w:rPr>
            </w:pPr>
          </w:p>
          <w:p w:rsidR="0058574E" w:rsidRPr="00DE14A6" w:rsidRDefault="0058574E" w:rsidP="00E7317C">
            <w:pPr>
              <w:pStyle w:val="21"/>
              <w:ind w:firstLine="0"/>
              <w:jc w:val="center"/>
              <w:rPr>
                <w:i/>
                <w:sz w:val="20"/>
                <w:szCs w:val="20"/>
              </w:rPr>
            </w:pPr>
            <w:r w:rsidRPr="00DE14A6">
              <w:rPr>
                <w:i/>
                <w:sz w:val="20"/>
                <w:szCs w:val="20"/>
              </w:rPr>
              <w:t>2 000</w:t>
            </w:r>
          </w:p>
          <w:p w:rsidR="0058574E" w:rsidRPr="00E11575" w:rsidRDefault="0058574E" w:rsidP="00E7317C">
            <w:pPr>
              <w:pStyle w:val="21"/>
              <w:ind w:hanging="26"/>
              <w:jc w:val="center"/>
              <w:rPr>
                <w:sz w:val="20"/>
                <w:szCs w:val="20"/>
              </w:rPr>
            </w:pPr>
            <w:r w:rsidRPr="00DE14A6">
              <w:rPr>
                <w:i/>
                <w:sz w:val="20"/>
                <w:szCs w:val="20"/>
              </w:rPr>
              <w:t>22 000</w:t>
            </w:r>
          </w:p>
        </w:tc>
        <w:tc>
          <w:tcPr>
            <w:tcW w:w="530" w:type="pct"/>
          </w:tcPr>
          <w:p w:rsidR="0058574E" w:rsidRDefault="0058574E" w:rsidP="00E7317C">
            <w:pPr>
              <w:pStyle w:val="21"/>
              <w:ind w:hanging="26"/>
              <w:jc w:val="center"/>
              <w:rPr>
                <w:sz w:val="20"/>
                <w:szCs w:val="20"/>
              </w:rPr>
            </w:pPr>
          </w:p>
          <w:p w:rsidR="0058574E" w:rsidRDefault="0058574E" w:rsidP="00E7317C">
            <w:pPr>
              <w:pStyle w:val="21"/>
              <w:ind w:hanging="26"/>
              <w:jc w:val="center"/>
              <w:rPr>
                <w:sz w:val="20"/>
                <w:szCs w:val="20"/>
              </w:rPr>
            </w:pPr>
          </w:p>
          <w:p w:rsidR="0058574E" w:rsidRDefault="0058574E" w:rsidP="00E7317C">
            <w:pPr>
              <w:pStyle w:val="21"/>
              <w:ind w:hanging="26"/>
              <w:jc w:val="center"/>
              <w:rPr>
                <w:sz w:val="20"/>
                <w:szCs w:val="20"/>
              </w:rPr>
            </w:pPr>
          </w:p>
          <w:p w:rsidR="0058574E" w:rsidRPr="00DE14A6" w:rsidRDefault="0058574E" w:rsidP="00E7317C">
            <w:pPr>
              <w:pStyle w:val="21"/>
              <w:ind w:firstLine="0"/>
              <w:jc w:val="center"/>
              <w:rPr>
                <w:i/>
                <w:sz w:val="20"/>
                <w:szCs w:val="20"/>
              </w:rPr>
            </w:pPr>
            <w:r w:rsidRPr="00DE14A6">
              <w:rPr>
                <w:i/>
                <w:sz w:val="20"/>
                <w:szCs w:val="20"/>
              </w:rPr>
              <w:t>2 000</w:t>
            </w:r>
          </w:p>
          <w:p w:rsidR="0058574E" w:rsidRPr="00E11575" w:rsidRDefault="0058574E" w:rsidP="00E7317C">
            <w:pPr>
              <w:pStyle w:val="21"/>
              <w:ind w:hanging="26"/>
              <w:jc w:val="center"/>
              <w:rPr>
                <w:sz w:val="20"/>
                <w:szCs w:val="20"/>
              </w:rPr>
            </w:pPr>
            <w:r w:rsidRPr="00DE14A6">
              <w:rPr>
                <w:i/>
                <w:sz w:val="20"/>
                <w:szCs w:val="20"/>
              </w:rPr>
              <w:t>22 000</w:t>
            </w:r>
          </w:p>
        </w:tc>
      </w:tr>
      <w:tr w:rsidR="0058574E" w:rsidRPr="00E11575" w:rsidTr="00E7317C">
        <w:tc>
          <w:tcPr>
            <w:tcW w:w="451" w:type="pct"/>
          </w:tcPr>
          <w:p w:rsidR="0058574E" w:rsidRPr="00E11575" w:rsidRDefault="0058574E" w:rsidP="00E7317C">
            <w:pPr>
              <w:pStyle w:val="21"/>
              <w:ind w:firstLine="0"/>
              <w:jc w:val="center"/>
              <w:rPr>
                <w:sz w:val="20"/>
                <w:szCs w:val="20"/>
              </w:rPr>
            </w:pPr>
            <w:r>
              <w:rPr>
                <w:sz w:val="20"/>
                <w:szCs w:val="20"/>
              </w:rPr>
              <w:t>2</w:t>
            </w:r>
          </w:p>
        </w:tc>
        <w:tc>
          <w:tcPr>
            <w:tcW w:w="2960" w:type="pct"/>
          </w:tcPr>
          <w:p w:rsidR="0058574E" w:rsidRPr="00E11575" w:rsidRDefault="0058574E" w:rsidP="00E7317C">
            <w:pPr>
              <w:pStyle w:val="21"/>
              <w:ind w:firstLine="0"/>
              <w:jc w:val="left"/>
              <w:rPr>
                <w:sz w:val="20"/>
                <w:szCs w:val="20"/>
              </w:rPr>
            </w:pPr>
            <w:r w:rsidRPr="00E11575">
              <w:rPr>
                <w:sz w:val="20"/>
                <w:szCs w:val="20"/>
              </w:rPr>
              <w:t>за государственную регистрацию права общей долевой собственности владельцев инвестиционных паев на недвижимое имущество, составляющее паевой инвестиционный фонд (приобретаемое для включения в состав паевого инвестиционного фонда), ограничения этого права и обременений данного имущества или сделок с данным имущество</w:t>
            </w:r>
          </w:p>
        </w:tc>
        <w:tc>
          <w:tcPr>
            <w:tcW w:w="530" w:type="pct"/>
          </w:tcPr>
          <w:p w:rsidR="0058574E" w:rsidRPr="00776A5F" w:rsidRDefault="0058574E" w:rsidP="00E7317C">
            <w:pPr>
              <w:pStyle w:val="21"/>
              <w:ind w:hanging="26"/>
              <w:jc w:val="center"/>
              <w:rPr>
                <w:sz w:val="20"/>
                <w:szCs w:val="20"/>
              </w:rPr>
            </w:pPr>
            <w:r w:rsidRPr="00776A5F">
              <w:rPr>
                <w:sz w:val="20"/>
                <w:szCs w:val="20"/>
              </w:rPr>
              <w:t>22 000</w:t>
            </w:r>
          </w:p>
        </w:tc>
        <w:tc>
          <w:tcPr>
            <w:tcW w:w="530" w:type="pct"/>
          </w:tcPr>
          <w:p w:rsidR="0058574E" w:rsidRPr="00776A5F" w:rsidRDefault="0058574E" w:rsidP="00E7317C">
            <w:pPr>
              <w:pStyle w:val="21"/>
              <w:ind w:hanging="26"/>
              <w:jc w:val="center"/>
              <w:rPr>
                <w:sz w:val="20"/>
                <w:szCs w:val="20"/>
              </w:rPr>
            </w:pPr>
            <w:r w:rsidRPr="00776A5F">
              <w:rPr>
                <w:sz w:val="20"/>
                <w:szCs w:val="20"/>
              </w:rPr>
              <w:t>22 000</w:t>
            </w:r>
          </w:p>
        </w:tc>
        <w:tc>
          <w:tcPr>
            <w:tcW w:w="530" w:type="pct"/>
          </w:tcPr>
          <w:p w:rsidR="0058574E" w:rsidRPr="00776A5F" w:rsidRDefault="0058574E" w:rsidP="00E7317C">
            <w:pPr>
              <w:pStyle w:val="21"/>
              <w:ind w:hanging="26"/>
              <w:jc w:val="center"/>
              <w:rPr>
                <w:sz w:val="20"/>
                <w:szCs w:val="20"/>
              </w:rPr>
            </w:pPr>
            <w:r w:rsidRPr="00776A5F">
              <w:rPr>
                <w:sz w:val="20"/>
                <w:szCs w:val="20"/>
              </w:rPr>
              <w:t>22 000</w:t>
            </w:r>
          </w:p>
        </w:tc>
      </w:tr>
      <w:tr w:rsidR="0058574E" w:rsidRPr="00E11575" w:rsidTr="00E7317C">
        <w:tc>
          <w:tcPr>
            <w:tcW w:w="451" w:type="pct"/>
          </w:tcPr>
          <w:p w:rsidR="0058574E" w:rsidRDefault="0058574E" w:rsidP="00E7317C">
            <w:pPr>
              <w:pStyle w:val="21"/>
              <w:ind w:firstLine="0"/>
              <w:jc w:val="center"/>
              <w:rPr>
                <w:sz w:val="20"/>
                <w:szCs w:val="20"/>
              </w:rPr>
            </w:pPr>
            <w:r>
              <w:rPr>
                <w:sz w:val="20"/>
                <w:szCs w:val="20"/>
              </w:rPr>
              <w:t>3</w:t>
            </w:r>
          </w:p>
        </w:tc>
        <w:tc>
          <w:tcPr>
            <w:tcW w:w="2960" w:type="pct"/>
          </w:tcPr>
          <w:p w:rsidR="0058574E" w:rsidRPr="00E11575" w:rsidRDefault="0058574E" w:rsidP="00E7317C">
            <w:pPr>
              <w:pStyle w:val="21"/>
              <w:ind w:firstLine="0"/>
              <w:jc w:val="left"/>
              <w:rPr>
                <w:sz w:val="20"/>
                <w:szCs w:val="20"/>
              </w:rPr>
            </w:pPr>
            <w:r w:rsidRPr="00E11575">
              <w:rPr>
                <w:sz w:val="20"/>
                <w:szCs w:val="20"/>
              </w:rPr>
              <w:t>на гос. регистрацию доли в праве общей собственности на общее недвижимое имущество в многоквартирном доме</w:t>
            </w:r>
          </w:p>
        </w:tc>
        <w:tc>
          <w:tcPr>
            <w:tcW w:w="530" w:type="pct"/>
          </w:tcPr>
          <w:p w:rsidR="0058574E" w:rsidRPr="00776A5F" w:rsidRDefault="0058574E" w:rsidP="00E7317C">
            <w:pPr>
              <w:pStyle w:val="21"/>
              <w:ind w:hanging="26"/>
              <w:jc w:val="center"/>
              <w:rPr>
                <w:sz w:val="20"/>
                <w:szCs w:val="20"/>
              </w:rPr>
            </w:pPr>
            <w:r w:rsidRPr="00776A5F">
              <w:rPr>
                <w:sz w:val="20"/>
                <w:szCs w:val="20"/>
              </w:rPr>
              <w:t>200</w:t>
            </w:r>
          </w:p>
        </w:tc>
        <w:tc>
          <w:tcPr>
            <w:tcW w:w="530" w:type="pct"/>
          </w:tcPr>
          <w:p w:rsidR="0058574E" w:rsidRPr="00776A5F" w:rsidRDefault="0058574E" w:rsidP="00E7317C">
            <w:pPr>
              <w:pStyle w:val="21"/>
              <w:ind w:hanging="26"/>
              <w:jc w:val="center"/>
              <w:rPr>
                <w:sz w:val="20"/>
                <w:szCs w:val="20"/>
              </w:rPr>
            </w:pPr>
            <w:r w:rsidRPr="00776A5F">
              <w:rPr>
                <w:sz w:val="20"/>
                <w:szCs w:val="20"/>
              </w:rPr>
              <w:t>200</w:t>
            </w:r>
          </w:p>
        </w:tc>
        <w:tc>
          <w:tcPr>
            <w:tcW w:w="530" w:type="pct"/>
          </w:tcPr>
          <w:p w:rsidR="0058574E" w:rsidRPr="00776A5F" w:rsidRDefault="0058574E" w:rsidP="00E7317C">
            <w:pPr>
              <w:pStyle w:val="21"/>
              <w:ind w:hanging="26"/>
              <w:jc w:val="center"/>
              <w:rPr>
                <w:sz w:val="20"/>
                <w:szCs w:val="20"/>
              </w:rPr>
            </w:pPr>
            <w:r w:rsidRPr="00776A5F">
              <w:rPr>
                <w:sz w:val="20"/>
                <w:szCs w:val="20"/>
              </w:rPr>
              <w:t>200</w:t>
            </w:r>
          </w:p>
        </w:tc>
      </w:tr>
      <w:tr w:rsidR="0058574E" w:rsidRPr="00E11575" w:rsidTr="00E7317C">
        <w:tc>
          <w:tcPr>
            <w:tcW w:w="451" w:type="pct"/>
          </w:tcPr>
          <w:p w:rsidR="0058574E" w:rsidRPr="00E11575" w:rsidRDefault="0058574E" w:rsidP="00E7317C">
            <w:pPr>
              <w:pStyle w:val="21"/>
              <w:ind w:firstLine="0"/>
              <w:jc w:val="center"/>
              <w:rPr>
                <w:sz w:val="20"/>
                <w:szCs w:val="20"/>
              </w:rPr>
            </w:pPr>
            <w:r>
              <w:rPr>
                <w:sz w:val="20"/>
                <w:szCs w:val="20"/>
              </w:rPr>
              <w:t>4</w:t>
            </w:r>
          </w:p>
        </w:tc>
        <w:tc>
          <w:tcPr>
            <w:tcW w:w="2960" w:type="pct"/>
          </w:tcPr>
          <w:p w:rsidR="0058574E" w:rsidRPr="00E11575" w:rsidRDefault="0058574E" w:rsidP="00E7317C">
            <w:pPr>
              <w:pStyle w:val="21"/>
              <w:ind w:firstLine="0"/>
              <w:jc w:val="left"/>
              <w:rPr>
                <w:sz w:val="20"/>
                <w:szCs w:val="20"/>
              </w:rPr>
            </w:pPr>
            <w:r w:rsidRPr="00E11575">
              <w:rPr>
                <w:sz w:val="20"/>
                <w:szCs w:val="20"/>
              </w:rPr>
              <w:t>на гос. регистрацию права собственности физического лица на земельный участок, предназначенный для ведения личного подсобного, дачного хозяйства, огородничества, садоводства, индивидуального гаражного или индивидуального жилищного строительства</w:t>
            </w:r>
          </w:p>
        </w:tc>
        <w:tc>
          <w:tcPr>
            <w:tcW w:w="530" w:type="pct"/>
          </w:tcPr>
          <w:p w:rsidR="0058574E" w:rsidRPr="00776A5F" w:rsidRDefault="0058574E" w:rsidP="00E7317C">
            <w:pPr>
              <w:pStyle w:val="21"/>
              <w:ind w:hanging="26"/>
              <w:jc w:val="center"/>
              <w:rPr>
                <w:sz w:val="20"/>
                <w:szCs w:val="20"/>
              </w:rPr>
            </w:pPr>
            <w:r w:rsidRPr="00776A5F">
              <w:rPr>
                <w:sz w:val="20"/>
                <w:szCs w:val="20"/>
              </w:rPr>
              <w:t>350</w:t>
            </w:r>
          </w:p>
        </w:tc>
        <w:tc>
          <w:tcPr>
            <w:tcW w:w="530" w:type="pct"/>
          </w:tcPr>
          <w:p w:rsidR="0058574E" w:rsidRPr="00776A5F" w:rsidRDefault="0058574E" w:rsidP="00E7317C">
            <w:pPr>
              <w:pStyle w:val="21"/>
              <w:ind w:hanging="26"/>
              <w:jc w:val="center"/>
              <w:rPr>
                <w:sz w:val="20"/>
                <w:szCs w:val="20"/>
              </w:rPr>
            </w:pPr>
            <w:r w:rsidRPr="00776A5F">
              <w:rPr>
                <w:sz w:val="20"/>
                <w:szCs w:val="20"/>
              </w:rPr>
              <w:t>350</w:t>
            </w:r>
          </w:p>
        </w:tc>
        <w:tc>
          <w:tcPr>
            <w:tcW w:w="530" w:type="pct"/>
          </w:tcPr>
          <w:p w:rsidR="0058574E" w:rsidRPr="00776A5F" w:rsidRDefault="0058574E" w:rsidP="00E7317C">
            <w:pPr>
              <w:pStyle w:val="21"/>
              <w:ind w:hanging="26"/>
              <w:jc w:val="center"/>
              <w:rPr>
                <w:sz w:val="20"/>
                <w:szCs w:val="20"/>
              </w:rPr>
            </w:pPr>
            <w:r w:rsidRPr="00776A5F">
              <w:rPr>
                <w:sz w:val="20"/>
                <w:szCs w:val="20"/>
              </w:rPr>
              <w:t>350</w:t>
            </w:r>
          </w:p>
        </w:tc>
      </w:tr>
      <w:tr w:rsidR="0058574E" w:rsidRPr="00E11575" w:rsidTr="00E7317C">
        <w:tc>
          <w:tcPr>
            <w:tcW w:w="451" w:type="pct"/>
          </w:tcPr>
          <w:p w:rsidR="0058574E" w:rsidRPr="00E11575" w:rsidRDefault="0058574E" w:rsidP="00E7317C">
            <w:pPr>
              <w:pStyle w:val="21"/>
              <w:ind w:firstLine="0"/>
              <w:jc w:val="center"/>
              <w:rPr>
                <w:sz w:val="20"/>
                <w:szCs w:val="20"/>
              </w:rPr>
            </w:pPr>
            <w:r>
              <w:rPr>
                <w:sz w:val="20"/>
                <w:szCs w:val="20"/>
              </w:rPr>
              <w:t>5</w:t>
            </w:r>
          </w:p>
        </w:tc>
        <w:tc>
          <w:tcPr>
            <w:tcW w:w="2960" w:type="pct"/>
          </w:tcPr>
          <w:p w:rsidR="0058574E" w:rsidRPr="00E11575" w:rsidRDefault="0058574E" w:rsidP="00E7317C">
            <w:pPr>
              <w:pStyle w:val="21"/>
              <w:ind w:firstLine="0"/>
              <w:jc w:val="left"/>
              <w:rPr>
                <w:sz w:val="20"/>
                <w:szCs w:val="20"/>
              </w:rPr>
            </w:pPr>
            <w:r w:rsidRPr="00AB31B1">
              <w:rPr>
                <w:sz w:val="20"/>
                <w:szCs w:val="20"/>
              </w:rPr>
              <w:t>за государственную регистрацию прав, ограничений прав и обременений земельных участков из земель сельскохозяйственного назначения, сделок с такими земельными участками, если данные сделки подлежат государственной регистрации в соответствии с федеральным законом</w:t>
            </w:r>
          </w:p>
        </w:tc>
        <w:tc>
          <w:tcPr>
            <w:tcW w:w="530" w:type="pct"/>
          </w:tcPr>
          <w:p w:rsidR="0058574E" w:rsidRPr="00776A5F" w:rsidRDefault="0058574E" w:rsidP="00E7317C">
            <w:pPr>
              <w:pStyle w:val="21"/>
              <w:ind w:hanging="26"/>
              <w:jc w:val="center"/>
              <w:rPr>
                <w:sz w:val="20"/>
                <w:szCs w:val="20"/>
              </w:rPr>
            </w:pPr>
            <w:r w:rsidRPr="00776A5F">
              <w:rPr>
                <w:sz w:val="20"/>
                <w:szCs w:val="20"/>
              </w:rPr>
              <w:t>350</w:t>
            </w:r>
          </w:p>
        </w:tc>
        <w:tc>
          <w:tcPr>
            <w:tcW w:w="530" w:type="pct"/>
          </w:tcPr>
          <w:p w:rsidR="0058574E" w:rsidRPr="00776A5F" w:rsidRDefault="0058574E" w:rsidP="00E7317C">
            <w:pPr>
              <w:pStyle w:val="21"/>
              <w:ind w:hanging="26"/>
              <w:jc w:val="center"/>
              <w:rPr>
                <w:sz w:val="20"/>
                <w:szCs w:val="20"/>
              </w:rPr>
            </w:pPr>
            <w:r w:rsidRPr="00776A5F">
              <w:rPr>
                <w:sz w:val="20"/>
                <w:szCs w:val="20"/>
              </w:rPr>
              <w:t>350</w:t>
            </w:r>
          </w:p>
        </w:tc>
        <w:tc>
          <w:tcPr>
            <w:tcW w:w="530" w:type="pct"/>
          </w:tcPr>
          <w:p w:rsidR="0058574E" w:rsidRPr="00776A5F" w:rsidRDefault="0058574E" w:rsidP="00E7317C">
            <w:pPr>
              <w:pStyle w:val="21"/>
              <w:ind w:hanging="26"/>
              <w:jc w:val="center"/>
              <w:rPr>
                <w:sz w:val="20"/>
                <w:szCs w:val="20"/>
              </w:rPr>
            </w:pPr>
            <w:r w:rsidRPr="00776A5F">
              <w:rPr>
                <w:sz w:val="20"/>
                <w:szCs w:val="20"/>
              </w:rPr>
              <w:t>350</w:t>
            </w:r>
          </w:p>
        </w:tc>
      </w:tr>
      <w:tr w:rsidR="0058574E" w:rsidRPr="00E11575" w:rsidTr="00E7317C">
        <w:tc>
          <w:tcPr>
            <w:tcW w:w="451" w:type="pct"/>
          </w:tcPr>
          <w:p w:rsidR="0058574E" w:rsidRPr="00E11575" w:rsidRDefault="0058574E" w:rsidP="00E7317C">
            <w:pPr>
              <w:pStyle w:val="21"/>
              <w:ind w:firstLine="0"/>
              <w:jc w:val="center"/>
              <w:rPr>
                <w:sz w:val="20"/>
                <w:szCs w:val="20"/>
              </w:rPr>
            </w:pPr>
            <w:r>
              <w:rPr>
                <w:sz w:val="20"/>
                <w:szCs w:val="20"/>
              </w:rPr>
              <w:t>6</w:t>
            </w:r>
          </w:p>
        </w:tc>
        <w:tc>
          <w:tcPr>
            <w:tcW w:w="2960" w:type="pct"/>
          </w:tcPr>
          <w:p w:rsidR="0058574E" w:rsidRPr="00E11575" w:rsidRDefault="0058574E" w:rsidP="00E7317C">
            <w:pPr>
              <w:ind w:firstLine="0"/>
              <w:jc w:val="left"/>
              <w:rPr>
                <w:sz w:val="20"/>
                <w:szCs w:val="20"/>
              </w:rPr>
            </w:pPr>
            <w:r w:rsidRPr="009025CC">
              <w:rPr>
                <w:sz w:val="20"/>
                <w:szCs w:val="20"/>
              </w:rPr>
              <w:t>на гос. регистрацию в праве общей собственности на зем. участок из земель с/х назначения</w:t>
            </w:r>
          </w:p>
        </w:tc>
        <w:tc>
          <w:tcPr>
            <w:tcW w:w="530" w:type="pct"/>
          </w:tcPr>
          <w:p w:rsidR="0058574E" w:rsidRPr="00E11575" w:rsidRDefault="0058574E" w:rsidP="00E7317C">
            <w:pPr>
              <w:pStyle w:val="21"/>
              <w:ind w:hanging="26"/>
              <w:jc w:val="center"/>
              <w:rPr>
                <w:sz w:val="20"/>
                <w:szCs w:val="20"/>
              </w:rPr>
            </w:pPr>
            <w:r>
              <w:rPr>
                <w:sz w:val="20"/>
                <w:szCs w:val="20"/>
              </w:rPr>
              <w:t>100</w:t>
            </w:r>
          </w:p>
        </w:tc>
        <w:tc>
          <w:tcPr>
            <w:tcW w:w="530" w:type="pct"/>
          </w:tcPr>
          <w:p w:rsidR="0058574E" w:rsidRPr="00E11575" w:rsidRDefault="0058574E" w:rsidP="00E7317C">
            <w:pPr>
              <w:pStyle w:val="21"/>
              <w:ind w:hanging="26"/>
              <w:jc w:val="center"/>
              <w:rPr>
                <w:sz w:val="20"/>
                <w:szCs w:val="20"/>
              </w:rPr>
            </w:pPr>
            <w:r>
              <w:rPr>
                <w:sz w:val="20"/>
                <w:szCs w:val="20"/>
              </w:rPr>
              <w:t>100</w:t>
            </w:r>
          </w:p>
        </w:tc>
        <w:tc>
          <w:tcPr>
            <w:tcW w:w="530" w:type="pct"/>
          </w:tcPr>
          <w:p w:rsidR="0058574E" w:rsidRPr="00E11575" w:rsidRDefault="0058574E" w:rsidP="00E7317C">
            <w:pPr>
              <w:pStyle w:val="21"/>
              <w:ind w:hanging="26"/>
              <w:jc w:val="center"/>
              <w:rPr>
                <w:sz w:val="20"/>
                <w:szCs w:val="20"/>
              </w:rPr>
            </w:pPr>
            <w:r>
              <w:rPr>
                <w:sz w:val="20"/>
                <w:szCs w:val="20"/>
              </w:rPr>
              <w:t>100</w:t>
            </w:r>
          </w:p>
        </w:tc>
      </w:tr>
      <w:tr w:rsidR="0058574E" w:rsidRPr="00E11575" w:rsidTr="00E7317C">
        <w:tc>
          <w:tcPr>
            <w:tcW w:w="451" w:type="pct"/>
          </w:tcPr>
          <w:p w:rsidR="0058574E" w:rsidRPr="00E11575" w:rsidRDefault="0058574E" w:rsidP="00E7317C">
            <w:pPr>
              <w:pStyle w:val="21"/>
              <w:ind w:firstLine="0"/>
              <w:jc w:val="center"/>
              <w:rPr>
                <w:sz w:val="20"/>
                <w:szCs w:val="20"/>
              </w:rPr>
            </w:pPr>
            <w:r>
              <w:rPr>
                <w:sz w:val="20"/>
                <w:szCs w:val="20"/>
              </w:rPr>
              <w:t>7</w:t>
            </w:r>
          </w:p>
        </w:tc>
        <w:tc>
          <w:tcPr>
            <w:tcW w:w="2960" w:type="pct"/>
          </w:tcPr>
          <w:p w:rsidR="0058574E" w:rsidRPr="00E11575" w:rsidRDefault="0058574E" w:rsidP="00E7317C">
            <w:pPr>
              <w:pStyle w:val="21"/>
              <w:ind w:firstLine="0"/>
              <w:jc w:val="left"/>
              <w:rPr>
                <w:sz w:val="20"/>
                <w:szCs w:val="20"/>
              </w:rPr>
            </w:pPr>
            <w:r w:rsidRPr="00E11575">
              <w:rPr>
                <w:sz w:val="20"/>
                <w:szCs w:val="20"/>
              </w:rPr>
              <w:t>на внесение изменений в записи Единого государственного реестра прав на недвижимое имущество и сделок с ним:</w:t>
            </w:r>
          </w:p>
          <w:p w:rsidR="0058574E" w:rsidRPr="005045AA" w:rsidRDefault="0058574E" w:rsidP="00E7317C">
            <w:pPr>
              <w:pStyle w:val="21"/>
              <w:ind w:firstLine="0"/>
              <w:jc w:val="left"/>
              <w:rPr>
                <w:i/>
                <w:sz w:val="20"/>
                <w:szCs w:val="20"/>
              </w:rPr>
            </w:pPr>
            <w:r w:rsidRPr="005045AA">
              <w:rPr>
                <w:i/>
                <w:sz w:val="20"/>
                <w:szCs w:val="20"/>
              </w:rPr>
              <w:t>физические лица</w:t>
            </w:r>
          </w:p>
          <w:p w:rsidR="0058574E" w:rsidRPr="00E11575" w:rsidRDefault="0058574E" w:rsidP="00E7317C">
            <w:pPr>
              <w:pStyle w:val="21"/>
              <w:ind w:firstLine="0"/>
              <w:jc w:val="left"/>
              <w:rPr>
                <w:sz w:val="20"/>
                <w:szCs w:val="20"/>
              </w:rPr>
            </w:pPr>
            <w:r w:rsidRPr="005045AA">
              <w:rPr>
                <w:i/>
                <w:sz w:val="20"/>
                <w:szCs w:val="20"/>
              </w:rPr>
              <w:t>юридические лица</w:t>
            </w:r>
          </w:p>
        </w:tc>
        <w:tc>
          <w:tcPr>
            <w:tcW w:w="530" w:type="pct"/>
          </w:tcPr>
          <w:p w:rsidR="0058574E" w:rsidRDefault="0058574E" w:rsidP="00E7317C">
            <w:pPr>
              <w:pStyle w:val="21"/>
              <w:ind w:hanging="26"/>
              <w:jc w:val="center"/>
              <w:rPr>
                <w:sz w:val="20"/>
                <w:szCs w:val="20"/>
              </w:rPr>
            </w:pPr>
          </w:p>
          <w:p w:rsidR="0058574E" w:rsidRDefault="0058574E" w:rsidP="00E7317C">
            <w:pPr>
              <w:pStyle w:val="21"/>
              <w:ind w:hanging="26"/>
              <w:jc w:val="center"/>
              <w:rPr>
                <w:sz w:val="20"/>
                <w:szCs w:val="20"/>
              </w:rPr>
            </w:pPr>
          </w:p>
          <w:p w:rsidR="0058574E" w:rsidRPr="00776A5F" w:rsidRDefault="0058574E" w:rsidP="00E7317C">
            <w:pPr>
              <w:pStyle w:val="21"/>
              <w:ind w:hanging="26"/>
              <w:jc w:val="center"/>
              <w:rPr>
                <w:i/>
                <w:sz w:val="20"/>
                <w:szCs w:val="20"/>
              </w:rPr>
            </w:pPr>
            <w:r w:rsidRPr="00776A5F">
              <w:rPr>
                <w:i/>
                <w:sz w:val="20"/>
                <w:szCs w:val="20"/>
              </w:rPr>
              <w:t>350</w:t>
            </w:r>
          </w:p>
          <w:p w:rsidR="0058574E" w:rsidRPr="00E11575" w:rsidRDefault="0058574E" w:rsidP="00E7317C">
            <w:pPr>
              <w:pStyle w:val="21"/>
              <w:ind w:hanging="26"/>
              <w:jc w:val="center"/>
              <w:rPr>
                <w:sz w:val="20"/>
                <w:szCs w:val="20"/>
              </w:rPr>
            </w:pPr>
            <w:r w:rsidRPr="00776A5F">
              <w:rPr>
                <w:i/>
                <w:sz w:val="20"/>
                <w:szCs w:val="20"/>
              </w:rPr>
              <w:t>1 000</w:t>
            </w:r>
          </w:p>
        </w:tc>
        <w:tc>
          <w:tcPr>
            <w:tcW w:w="530" w:type="pct"/>
          </w:tcPr>
          <w:p w:rsidR="0058574E" w:rsidRDefault="0058574E" w:rsidP="00E7317C">
            <w:pPr>
              <w:pStyle w:val="21"/>
              <w:ind w:hanging="26"/>
              <w:jc w:val="center"/>
              <w:rPr>
                <w:sz w:val="20"/>
                <w:szCs w:val="20"/>
              </w:rPr>
            </w:pPr>
          </w:p>
          <w:p w:rsidR="0058574E" w:rsidRDefault="0058574E" w:rsidP="00E7317C">
            <w:pPr>
              <w:pStyle w:val="21"/>
              <w:ind w:hanging="26"/>
              <w:jc w:val="center"/>
              <w:rPr>
                <w:sz w:val="20"/>
                <w:szCs w:val="20"/>
              </w:rPr>
            </w:pPr>
          </w:p>
          <w:p w:rsidR="0058574E" w:rsidRPr="00776A5F" w:rsidRDefault="0058574E" w:rsidP="00E7317C">
            <w:pPr>
              <w:pStyle w:val="21"/>
              <w:ind w:hanging="26"/>
              <w:jc w:val="center"/>
              <w:rPr>
                <w:i/>
                <w:sz w:val="20"/>
                <w:szCs w:val="20"/>
              </w:rPr>
            </w:pPr>
            <w:r w:rsidRPr="00776A5F">
              <w:rPr>
                <w:i/>
                <w:sz w:val="20"/>
                <w:szCs w:val="20"/>
              </w:rPr>
              <w:t>350</w:t>
            </w:r>
          </w:p>
          <w:p w:rsidR="0058574E" w:rsidRPr="00E11575" w:rsidRDefault="0058574E" w:rsidP="00E7317C">
            <w:pPr>
              <w:pStyle w:val="21"/>
              <w:ind w:hanging="26"/>
              <w:jc w:val="center"/>
              <w:rPr>
                <w:sz w:val="20"/>
                <w:szCs w:val="20"/>
              </w:rPr>
            </w:pPr>
            <w:r w:rsidRPr="00776A5F">
              <w:rPr>
                <w:i/>
                <w:sz w:val="20"/>
                <w:szCs w:val="20"/>
              </w:rPr>
              <w:t>1 000</w:t>
            </w:r>
          </w:p>
        </w:tc>
        <w:tc>
          <w:tcPr>
            <w:tcW w:w="530" w:type="pct"/>
          </w:tcPr>
          <w:p w:rsidR="0058574E" w:rsidRDefault="0058574E" w:rsidP="00E7317C">
            <w:pPr>
              <w:pStyle w:val="21"/>
              <w:ind w:hanging="26"/>
              <w:jc w:val="center"/>
              <w:rPr>
                <w:sz w:val="20"/>
                <w:szCs w:val="20"/>
              </w:rPr>
            </w:pPr>
          </w:p>
          <w:p w:rsidR="0058574E" w:rsidRDefault="0058574E" w:rsidP="00E7317C">
            <w:pPr>
              <w:pStyle w:val="21"/>
              <w:ind w:hanging="26"/>
              <w:jc w:val="center"/>
              <w:rPr>
                <w:sz w:val="20"/>
                <w:szCs w:val="20"/>
              </w:rPr>
            </w:pPr>
          </w:p>
          <w:p w:rsidR="0058574E" w:rsidRPr="00776A5F" w:rsidRDefault="0058574E" w:rsidP="00E7317C">
            <w:pPr>
              <w:pStyle w:val="21"/>
              <w:ind w:hanging="26"/>
              <w:jc w:val="center"/>
              <w:rPr>
                <w:i/>
                <w:sz w:val="20"/>
                <w:szCs w:val="20"/>
              </w:rPr>
            </w:pPr>
            <w:r w:rsidRPr="00776A5F">
              <w:rPr>
                <w:i/>
                <w:sz w:val="20"/>
                <w:szCs w:val="20"/>
              </w:rPr>
              <w:t>350</w:t>
            </w:r>
          </w:p>
          <w:p w:rsidR="0058574E" w:rsidRPr="00E11575" w:rsidRDefault="0058574E" w:rsidP="00E7317C">
            <w:pPr>
              <w:pStyle w:val="21"/>
              <w:ind w:hanging="26"/>
              <w:jc w:val="center"/>
              <w:rPr>
                <w:sz w:val="20"/>
                <w:szCs w:val="20"/>
              </w:rPr>
            </w:pPr>
            <w:r w:rsidRPr="00776A5F">
              <w:rPr>
                <w:i/>
                <w:sz w:val="20"/>
                <w:szCs w:val="20"/>
              </w:rPr>
              <w:t>1 000</w:t>
            </w:r>
          </w:p>
        </w:tc>
      </w:tr>
      <w:tr w:rsidR="0058574E" w:rsidRPr="00E11575" w:rsidTr="00E7317C">
        <w:tc>
          <w:tcPr>
            <w:tcW w:w="451" w:type="pct"/>
          </w:tcPr>
          <w:p w:rsidR="0058574E" w:rsidRPr="00E11575" w:rsidRDefault="0058574E" w:rsidP="00E7317C">
            <w:pPr>
              <w:pStyle w:val="21"/>
              <w:ind w:firstLine="0"/>
              <w:jc w:val="center"/>
              <w:rPr>
                <w:sz w:val="20"/>
                <w:szCs w:val="20"/>
              </w:rPr>
            </w:pPr>
            <w:r>
              <w:rPr>
                <w:sz w:val="20"/>
                <w:szCs w:val="20"/>
              </w:rPr>
              <w:t>8</w:t>
            </w:r>
          </w:p>
        </w:tc>
        <w:tc>
          <w:tcPr>
            <w:tcW w:w="2960" w:type="pct"/>
          </w:tcPr>
          <w:p w:rsidR="0058574E" w:rsidRPr="009025CC" w:rsidRDefault="0058574E" w:rsidP="00E7317C">
            <w:pPr>
              <w:ind w:firstLine="0"/>
              <w:rPr>
                <w:sz w:val="20"/>
                <w:szCs w:val="20"/>
              </w:rPr>
            </w:pPr>
            <w:r w:rsidRPr="009025CC">
              <w:rPr>
                <w:sz w:val="20"/>
                <w:szCs w:val="20"/>
              </w:rPr>
              <w:t>на гос. регистрацию ипотеки:</w:t>
            </w:r>
          </w:p>
          <w:p w:rsidR="0058574E" w:rsidRPr="005045AA" w:rsidRDefault="0058574E" w:rsidP="00E7317C">
            <w:pPr>
              <w:pStyle w:val="21"/>
              <w:ind w:firstLine="0"/>
              <w:jc w:val="left"/>
              <w:rPr>
                <w:i/>
                <w:sz w:val="20"/>
                <w:szCs w:val="20"/>
              </w:rPr>
            </w:pPr>
            <w:r w:rsidRPr="005045AA">
              <w:rPr>
                <w:i/>
                <w:sz w:val="20"/>
                <w:szCs w:val="20"/>
              </w:rPr>
              <w:t>физические лица</w:t>
            </w:r>
          </w:p>
          <w:p w:rsidR="0058574E" w:rsidRPr="00E11575" w:rsidRDefault="0058574E" w:rsidP="00E7317C">
            <w:pPr>
              <w:pStyle w:val="21"/>
              <w:ind w:firstLine="0"/>
              <w:jc w:val="left"/>
              <w:rPr>
                <w:sz w:val="20"/>
                <w:szCs w:val="20"/>
              </w:rPr>
            </w:pPr>
            <w:r w:rsidRPr="005045AA">
              <w:rPr>
                <w:i/>
                <w:sz w:val="20"/>
                <w:szCs w:val="20"/>
              </w:rPr>
              <w:t>юридические лица</w:t>
            </w:r>
          </w:p>
        </w:tc>
        <w:tc>
          <w:tcPr>
            <w:tcW w:w="530" w:type="pct"/>
          </w:tcPr>
          <w:p w:rsidR="0058574E" w:rsidRDefault="0058574E" w:rsidP="00E7317C">
            <w:pPr>
              <w:pStyle w:val="21"/>
              <w:ind w:hanging="26"/>
              <w:jc w:val="center"/>
              <w:rPr>
                <w:sz w:val="20"/>
                <w:szCs w:val="20"/>
              </w:rPr>
            </w:pPr>
          </w:p>
          <w:p w:rsidR="0058574E" w:rsidRPr="00776A5F" w:rsidRDefault="0058574E" w:rsidP="00E7317C">
            <w:pPr>
              <w:pStyle w:val="21"/>
              <w:ind w:hanging="26"/>
              <w:jc w:val="center"/>
              <w:rPr>
                <w:i/>
                <w:sz w:val="20"/>
                <w:szCs w:val="20"/>
              </w:rPr>
            </w:pPr>
            <w:r w:rsidRPr="00776A5F">
              <w:rPr>
                <w:i/>
                <w:sz w:val="20"/>
                <w:szCs w:val="20"/>
              </w:rPr>
              <w:t>1 000</w:t>
            </w:r>
          </w:p>
          <w:p w:rsidR="0058574E" w:rsidRPr="00E11575" w:rsidRDefault="0058574E" w:rsidP="00E7317C">
            <w:pPr>
              <w:pStyle w:val="21"/>
              <w:ind w:hanging="26"/>
              <w:jc w:val="center"/>
              <w:rPr>
                <w:sz w:val="20"/>
                <w:szCs w:val="20"/>
              </w:rPr>
            </w:pPr>
            <w:r w:rsidRPr="00776A5F">
              <w:rPr>
                <w:i/>
                <w:sz w:val="20"/>
                <w:szCs w:val="20"/>
              </w:rPr>
              <w:t>4 000</w:t>
            </w:r>
          </w:p>
        </w:tc>
        <w:tc>
          <w:tcPr>
            <w:tcW w:w="530" w:type="pct"/>
          </w:tcPr>
          <w:p w:rsidR="0058574E" w:rsidRDefault="0058574E" w:rsidP="00E7317C">
            <w:pPr>
              <w:pStyle w:val="21"/>
              <w:ind w:hanging="26"/>
              <w:jc w:val="center"/>
              <w:rPr>
                <w:sz w:val="20"/>
                <w:szCs w:val="20"/>
              </w:rPr>
            </w:pPr>
          </w:p>
          <w:p w:rsidR="0058574E" w:rsidRPr="00776A5F" w:rsidRDefault="0058574E" w:rsidP="00E7317C">
            <w:pPr>
              <w:pStyle w:val="21"/>
              <w:ind w:hanging="26"/>
              <w:jc w:val="center"/>
              <w:rPr>
                <w:i/>
                <w:sz w:val="20"/>
                <w:szCs w:val="20"/>
              </w:rPr>
            </w:pPr>
            <w:r w:rsidRPr="00776A5F">
              <w:rPr>
                <w:i/>
                <w:sz w:val="20"/>
                <w:szCs w:val="20"/>
              </w:rPr>
              <w:t>1 000</w:t>
            </w:r>
          </w:p>
          <w:p w:rsidR="0058574E" w:rsidRPr="00E11575" w:rsidRDefault="0058574E" w:rsidP="00E7317C">
            <w:pPr>
              <w:pStyle w:val="21"/>
              <w:ind w:hanging="26"/>
              <w:jc w:val="center"/>
              <w:rPr>
                <w:sz w:val="20"/>
                <w:szCs w:val="20"/>
              </w:rPr>
            </w:pPr>
            <w:r w:rsidRPr="00776A5F">
              <w:rPr>
                <w:i/>
                <w:sz w:val="20"/>
                <w:szCs w:val="20"/>
              </w:rPr>
              <w:t>4 000</w:t>
            </w:r>
          </w:p>
        </w:tc>
        <w:tc>
          <w:tcPr>
            <w:tcW w:w="530" w:type="pct"/>
          </w:tcPr>
          <w:p w:rsidR="0058574E" w:rsidRDefault="0058574E" w:rsidP="00E7317C">
            <w:pPr>
              <w:pStyle w:val="21"/>
              <w:ind w:hanging="26"/>
              <w:jc w:val="center"/>
              <w:rPr>
                <w:sz w:val="20"/>
                <w:szCs w:val="20"/>
              </w:rPr>
            </w:pPr>
          </w:p>
          <w:p w:rsidR="0058574E" w:rsidRPr="00776A5F" w:rsidRDefault="0058574E" w:rsidP="00E7317C">
            <w:pPr>
              <w:pStyle w:val="21"/>
              <w:ind w:hanging="26"/>
              <w:jc w:val="center"/>
              <w:rPr>
                <w:i/>
                <w:sz w:val="20"/>
                <w:szCs w:val="20"/>
              </w:rPr>
            </w:pPr>
            <w:r w:rsidRPr="00776A5F">
              <w:rPr>
                <w:i/>
                <w:sz w:val="20"/>
                <w:szCs w:val="20"/>
              </w:rPr>
              <w:t>1 000</w:t>
            </w:r>
          </w:p>
          <w:p w:rsidR="0058574E" w:rsidRPr="00E11575" w:rsidRDefault="0058574E" w:rsidP="00E7317C">
            <w:pPr>
              <w:pStyle w:val="21"/>
              <w:ind w:hanging="26"/>
              <w:jc w:val="center"/>
              <w:rPr>
                <w:sz w:val="20"/>
                <w:szCs w:val="20"/>
              </w:rPr>
            </w:pPr>
            <w:r w:rsidRPr="00776A5F">
              <w:rPr>
                <w:i/>
                <w:sz w:val="20"/>
                <w:szCs w:val="20"/>
              </w:rPr>
              <w:t>4 000</w:t>
            </w:r>
          </w:p>
        </w:tc>
      </w:tr>
      <w:tr w:rsidR="0058574E" w:rsidRPr="00E11575" w:rsidTr="00E7317C">
        <w:tc>
          <w:tcPr>
            <w:tcW w:w="451" w:type="pct"/>
          </w:tcPr>
          <w:p w:rsidR="0058574E" w:rsidRPr="00E11575" w:rsidRDefault="0058574E" w:rsidP="00E7317C">
            <w:pPr>
              <w:pStyle w:val="21"/>
              <w:ind w:firstLine="0"/>
              <w:jc w:val="center"/>
              <w:rPr>
                <w:sz w:val="20"/>
                <w:szCs w:val="20"/>
              </w:rPr>
            </w:pPr>
            <w:r>
              <w:rPr>
                <w:sz w:val="20"/>
                <w:szCs w:val="20"/>
              </w:rPr>
              <w:t>9</w:t>
            </w:r>
          </w:p>
        </w:tc>
        <w:tc>
          <w:tcPr>
            <w:tcW w:w="2960" w:type="pct"/>
          </w:tcPr>
          <w:p w:rsidR="0058574E" w:rsidRPr="00E11575" w:rsidRDefault="0058574E" w:rsidP="00E7317C">
            <w:pPr>
              <w:pStyle w:val="21"/>
              <w:ind w:firstLine="0"/>
              <w:jc w:val="left"/>
              <w:rPr>
                <w:sz w:val="20"/>
                <w:szCs w:val="20"/>
              </w:rPr>
            </w:pPr>
            <w:r w:rsidRPr="00E11575">
              <w:rPr>
                <w:sz w:val="20"/>
                <w:szCs w:val="20"/>
              </w:rPr>
              <w:t>на внесение изменений и дополнений в регистрационную запись об ипотеке</w:t>
            </w:r>
          </w:p>
          <w:p w:rsidR="0058574E" w:rsidRPr="005045AA" w:rsidRDefault="0058574E" w:rsidP="00E7317C">
            <w:pPr>
              <w:pStyle w:val="21"/>
              <w:ind w:firstLine="0"/>
              <w:jc w:val="left"/>
              <w:rPr>
                <w:i/>
                <w:sz w:val="20"/>
                <w:szCs w:val="20"/>
              </w:rPr>
            </w:pPr>
            <w:r w:rsidRPr="005045AA">
              <w:rPr>
                <w:i/>
                <w:sz w:val="20"/>
                <w:szCs w:val="20"/>
              </w:rPr>
              <w:t>физические лица</w:t>
            </w:r>
          </w:p>
          <w:p w:rsidR="0058574E" w:rsidRPr="00E11575" w:rsidRDefault="0058574E" w:rsidP="00E7317C">
            <w:pPr>
              <w:pStyle w:val="21"/>
              <w:ind w:firstLine="0"/>
              <w:jc w:val="left"/>
              <w:rPr>
                <w:sz w:val="20"/>
                <w:szCs w:val="20"/>
              </w:rPr>
            </w:pPr>
            <w:r w:rsidRPr="005045AA">
              <w:rPr>
                <w:i/>
                <w:sz w:val="20"/>
                <w:szCs w:val="20"/>
              </w:rPr>
              <w:t>юридические лица</w:t>
            </w:r>
          </w:p>
        </w:tc>
        <w:tc>
          <w:tcPr>
            <w:tcW w:w="530" w:type="pct"/>
          </w:tcPr>
          <w:p w:rsidR="0058574E" w:rsidRDefault="0058574E" w:rsidP="00E7317C">
            <w:pPr>
              <w:pStyle w:val="21"/>
              <w:ind w:hanging="26"/>
              <w:jc w:val="center"/>
              <w:rPr>
                <w:sz w:val="20"/>
                <w:szCs w:val="20"/>
              </w:rPr>
            </w:pPr>
          </w:p>
          <w:p w:rsidR="0058574E" w:rsidRDefault="0058574E" w:rsidP="00E7317C">
            <w:pPr>
              <w:pStyle w:val="21"/>
              <w:ind w:hanging="26"/>
              <w:jc w:val="center"/>
              <w:rPr>
                <w:sz w:val="20"/>
                <w:szCs w:val="20"/>
              </w:rPr>
            </w:pPr>
          </w:p>
          <w:p w:rsidR="0058574E" w:rsidRPr="00776A5F" w:rsidRDefault="0058574E" w:rsidP="00E7317C">
            <w:pPr>
              <w:pStyle w:val="21"/>
              <w:ind w:hanging="26"/>
              <w:jc w:val="center"/>
              <w:rPr>
                <w:i/>
                <w:sz w:val="20"/>
                <w:szCs w:val="20"/>
              </w:rPr>
            </w:pPr>
            <w:r w:rsidRPr="00776A5F">
              <w:rPr>
                <w:i/>
                <w:sz w:val="20"/>
                <w:szCs w:val="20"/>
              </w:rPr>
              <w:t>200</w:t>
            </w:r>
          </w:p>
          <w:p w:rsidR="0058574E" w:rsidRPr="00E11575" w:rsidRDefault="0058574E" w:rsidP="00E7317C">
            <w:pPr>
              <w:pStyle w:val="21"/>
              <w:ind w:hanging="26"/>
              <w:jc w:val="center"/>
              <w:rPr>
                <w:sz w:val="20"/>
                <w:szCs w:val="20"/>
              </w:rPr>
            </w:pPr>
            <w:r w:rsidRPr="00776A5F">
              <w:rPr>
                <w:i/>
                <w:sz w:val="20"/>
                <w:szCs w:val="20"/>
              </w:rPr>
              <w:t>600</w:t>
            </w:r>
          </w:p>
        </w:tc>
        <w:tc>
          <w:tcPr>
            <w:tcW w:w="530" w:type="pct"/>
          </w:tcPr>
          <w:p w:rsidR="0058574E" w:rsidRDefault="0058574E" w:rsidP="00E7317C">
            <w:pPr>
              <w:pStyle w:val="21"/>
              <w:ind w:hanging="26"/>
              <w:jc w:val="center"/>
              <w:rPr>
                <w:sz w:val="20"/>
                <w:szCs w:val="20"/>
              </w:rPr>
            </w:pPr>
          </w:p>
          <w:p w:rsidR="0058574E" w:rsidRDefault="0058574E" w:rsidP="00E7317C">
            <w:pPr>
              <w:pStyle w:val="21"/>
              <w:ind w:hanging="26"/>
              <w:jc w:val="center"/>
              <w:rPr>
                <w:sz w:val="20"/>
                <w:szCs w:val="20"/>
              </w:rPr>
            </w:pPr>
          </w:p>
          <w:p w:rsidR="0058574E" w:rsidRPr="00776A5F" w:rsidRDefault="0058574E" w:rsidP="00E7317C">
            <w:pPr>
              <w:pStyle w:val="21"/>
              <w:ind w:hanging="26"/>
              <w:jc w:val="center"/>
              <w:rPr>
                <w:i/>
                <w:sz w:val="20"/>
                <w:szCs w:val="20"/>
              </w:rPr>
            </w:pPr>
            <w:r w:rsidRPr="00776A5F">
              <w:rPr>
                <w:i/>
                <w:sz w:val="20"/>
                <w:szCs w:val="20"/>
              </w:rPr>
              <w:t>200</w:t>
            </w:r>
          </w:p>
          <w:p w:rsidR="0058574E" w:rsidRPr="00E11575" w:rsidRDefault="0058574E" w:rsidP="00E7317C">
            <w:pPr>
              <w:pStyle w:val="21"/>
              <w:ind w:hanging="26"/>
              <w:jc w:val="center"/>
              <w:rPr>
                <w:sz w:val="20"/>
                <w:szCs w:val="20"/>
              </w:rPr>
            </w:pPr>
            <w:r w:rsidRPr="00776A5F">
              <w:rPr>
                <w:i/>
                <w:sz w:val="20"/>
                <w:szCs w:val="20"/>
              </w:rPr>
              <w:t>600</w:t>
            </w:r>
          </w:p>
        </w:tc>
        <w:tc>
          <w:tcPr>
            <w:tcW w:w="530" w:type="pct"/>
          </w:tcPr>
          <w:p w:rsidR="0058574E" w:rsidRDefault="0058574E" w:rsidP="00E7317C">
            <w:pPr>
              <w:pStyle w:val="21"/>
              <w:ind w:hanging="26"/>
              <w:jc w:val="center"/>
              <w:rPr>
                <w:sz w:val="20"/>
                <w:szCs w:val="20"/>
              </w:rPr>
            </w:pPr>
          </w:p>
          <w:p w:rsidR="0058574E" w:rsidRDefault="0058574E" w:rsidP="00E7317C">
            <w:pPr>
              <w:pStyle w:val="21"/>
              <w:ind w:hanging="26"/>
              <w:jc w:val="center"/>
              <w:rPr>
                <w:sz w:val="20"/>
                <w:szCs w:val="20"/>
              </w:rPr>
            </w:pPr>
          </w:p>
          <w:p w:rsidR="0058574E" w:rsidRPr="00776A5F" w:rsidRDefault="0058574E" w:rsidP="00E7317C">
            <w:pPr>
              <w:pStyle w:val="21"/>
              <w:ind w:hanging="26"/>
              <w:jc w:val="center"/>
              <w:rPr>
                <w:i/>
                <w:sz w:val="20"/>
                <w:szCs w:val="20"/>
              </w:rPr>
            </w:pPr>
            <w:r w:rsidRPr="00776A5F">
              <w:rPr>
                <w:i/>
                <w:sz w:val="20"/>
                <w:szCs w:val="20"/>
              </w:rPr>
              <w:t>200</w:t>
            </w:r>
          </w:p>
          <w:p w:rsidR="0058574E" w:rsidRPr="00E11575" w:rsidRDefault="0058574E" w:rsidP="00E7317C">
            <w:pPr>
              <w:pStyle w:val="21"/>
              <w:ind w:hanging="26"/>
              <w:jc w:val="center"/>
              <w:rPr>
                <w:sz w:val="20"/>
                <w:szCs w:val="20"/>
              </w:rPr>
            </w:pPr>
            <w:r w:rsidRPr="00776A5F">
              <w:rPr>
                <w:i/>
                <w:sz w:val="20"/>
                <w:szCs w:val="20"/>
              </w:rPr>
              <w:t>600</w:t>
            </w:r>
          </w:p>
        </w:tc>
      </w:tr>
      <w:tr w:rsidR="0058574E" w:rsidRPr="00E11575" w:rsidTr="00E7317C">
        <w:tc>
          <w:tcPr>
            <w:tcW w:w="451" w:type="pct"/>
          </w:tcPr>
          <w:p w:rsidR="0058574E" w:rsidRDefault="0058574E" w:rsidP="00E7317C">
            <w:pPr>
              <w:pStyle w:val="21"/>
              <w:ind w:firstLine="0"/>
              <w:jc w:val="center"/>
              <w:rPr>
                <w:sz w:val="20"/>
                <w:szCs w:val="20"/>
              </w:rPr>
            </w:pPr>
            <w:r>
              <w:rPr>
                <w:sz w:val="20"/>
                <w:szCs w:val="20"/>
              </w:rPr>
              <w:t>10</w:t>
            </w:r>
          </w:p>
        </w:tc>
        <w:tc>
          <w:tcPr>
            <w:tcW w:w="2960" w:type="pct"/>
          </w:tcPr>
          <w:p w:rsidR="0058574E" w:rsidRPr="00E11575" w:rsidRDefault="0058574E" w:rsidP="00E7317C">
            <w:pPr>
              <w:pStyle w:val="21"/>
              <w:ind w:firstLine="0"/>
              <w:jc w:val="left"/>
              <w:rPr>
                <w:sz w:val="20"/>
                <w:szCs w:val="20"/>
              </w:rPr>
            </w:pPr>
            <w:r w:rsidRPr="00B74EE8">
              <w:rPr>
                <w:sz w:val="20"/>
                <w:szCs w:val="20"/>
              </w:rPr>
              <w:t>за государственную регистрацию смены залогодержателя вследствие уступки прав по основному обязательству, обеспеченному ипотекой, либо по договору об ипотеке, в том числе сделки по уступке прав требования, включая внесение в Единый государственный реестр прав на недвижимое имущество и сделок с ним записи об ипотеке, осуществляемой при смене залогодержателя</w:t>
            </w:r>
          </w:p>
        </w:tc>
        <w:tc>
          <w:tcPr>
            <w:tcW w:w="530" w:type="pct"/>
          </w:tcPr>
          <w:p w:rsidR="0058574E" w:rsidRPr="00E11575" w:rsidRDefault="0058574E" w:rsidP="00E7317C">
            <w:pPr>
              <w:pStyle w:val="21"/>
              <w:ind w:hanging="26"/>
              <w:jc w:val="center"/>
              <w:rPr>
                <w:sz w:val="20"/>
                <w:szCs w:val="20"/>
              </w:rPr>
            </w:pPr>
            <w:r>
              <w:rPr>
                <w:sz w:val="20"/>
                <w:szCs w:val="20"/>
              </w:rPr>
              <w:t>1 600</w:t>
            </w:r>
          </w:p>
        </w:tc>
        <w:tc>
          <w:tcPr>
            <w:tcW w:w="530" w:type="pct"/>
          </w:tcPr>
          <w:p w:rsidR="0058574E" w:rsidRPr="00E11575" w:rsidRDefault="0058574E" w:rsidP="00E7317C">
            <w:pPr>
              <w:pStyle w:val="21"/>
              <w:ind w:hanging="26"/>
              <w:jc w:val="center"/>
              <w:rPr>
                <w:sz w:val="20"/>
                <w:szCs w:val="20"/>
              </w:rPr>
            </w:pPr>
            <w:r>
              <w:rPr>
                <w:sz w:val="20"/>
                <w:szCs w:val="20"/>
              </w:rPr>
              <w:t>1 600</w:t>
            </w:r>
          </w:p>
        </w:tc>
        <w:tc>
          <w:tcPr>
            <w:tcW w:w="530" w:type="pct"/>
          </w:tcPr>
          <w:p w:rsidR="0058574E" w:rsidRPr="00E11575" w:rsidRDefault="0058574E" w:rsidP="00E7317C">
            <w:pPr>
              <w:pStyle w:val="21"/>
              <w:ind w:hanging="26"/>
              <w:jc w:val="center"/>
              <w:rPr>
                <w:sz w:val="20"/>
                <w:szCs w:val="20"/>
              </w:rPr>
            </w:pPr>
            <w:r>
              <w:rPr>
                <w:sz w:val="20"/>
                <w:szCs w:val="20"/>
              </w:rPr>
              <w:t>1 600</w:t>
            </w:r>
          </w:p>
        </w:tc>
      </w:tr>
      <w:tr w:rsidR="0058574E" w:rsidRPr="00E11575" w:rsidTr="00E7317C">
        <w:tc>
          <w:tcPr>
            <w:tcW w:w="451" w:type="pct"/>
          </w:tcPr>
          <w:p w:rsidR="0058574E" w:rsidRDefault="0058574E" w:rsidP="00E7317C">
            <w:pPr>
              <w:pStyle w:val="21"/>
              <w:ind w:firstLine="0"/>
              <w:jc w:val="center"/>
              <w:rPr>
                <w:sz w:val="20"/>
                <w:szCs w:val="20"/>
              </w:rPr>
            </w:pPr>
            <w:r>
              <w:rPr>
                <w:sz w:val="20"/>
                <w:szCs w:val="20"/>
              </w:rPr>
              <w:lastRenderedPageBreak/>
              <w:t>11</w:t>
            </w:r>
          </w:p>
        </w:tc>
        <w:tc>
          <w:tcPr>
            <w:tcW w:w="2960" w:type="pct"/>
          </w:tcPr>
          <w:p w:rsidR="0058574E" w:rsidRPr="00B74EE8" w:rsidRDefault="0058574E" w:rsidP="00E7317C">
            <w:pPr>
              <w:pStyle w:val="21"/>
              <w:ind w:firstLine="0"/>
              <w:jc w:val="left"/>
              <w:rPr>
                <w:sz w:val="20"/>
                <w:szCs w:val="20"/>
              </w:rPr>
            </w:pPr>
            <w:r w:rsidRPr="00B74EE8">
              <w:rPr>
                <w:sz w:val="20"/>
                <w:szCs w:val="20"/>
              </w:rPr>
              <w:t>за государственную регистрацию смены владельца закладной, в том числе сделки по уступке прав требования, включая внесение в Единый государственный реестр прав на недвижимое имущество и сделок с ним записи об ипотеке, осуществляемой при смене владельца закладной</w:t>
            </w:r>
          </w:p>
        </w:tc>
        <w:tc>
          <w:tcPr>
            <w:tcW w:w="530" w:type="pct"/>
          </w:tcPr>
          <w:p w:rsidR="0058574E" w:rsidRPr="00E11575" w:rsidRDefault="0058574E" w:rsidP="00E7317C">
            <w:pPr>
              <w:pStyle w:val="21"/>
              <w:ind w:hanging="26"/>
              <w:jc w:val="center"/>
              <w:rPr>
                <w:sz w:val="20"/>
                <w:szCs w:val="20"/>
              </w:rPr>
            </w:pPr>
            <w:r>
              <w:rPr>
                <w:sz w:val="20"/>
                <w:szCs w:val="20"/>
              </w:rPr>
              <w:t>350</w:t>
            </w:r>
          </w:p>
        </w:tc>
        <w:tc>
          <w:tcPr>
            <w:tcW w:w="530" w:type="pct"/>
          </w:tcPr>
          <w:p w:rsidR="0058574E" w:rsidRPr="00E11575" w:rsidRDefault="0058574E" w:rsidP="00E7317C">
            <w:pPr>
              <w:pStyle w:val="21"/>
              <w:ind w:hanging="26"/>
              <w:jc w:val="center"/>
              <w:rPr>
                <w:sz w:val="20"/>
                <w:szCs w:val="20"/>
              </w:rPr>
            </w:pPr>
            <w:r>
              <w:rPr>
                <w:sz w:val="20"/>
                <w:szCs w:val="20"/>
              </w:rPr>
              <w:t>350</w:t>
            </w:r>
          </w:p>
        </w:tc>
        <w:tc>
          <w:tcPr>
            <w:tcW w:w="530" w:type="pct"/>
          </w:tcPr>
          <w:p w:rsidR="0058574E" w:rsidRPr="00E11575" w:rsidRDefault="0058574E" w:rsidP="00E7317C">
            <w:pPr>
              <w:pStyle w:val="21"/>
              <w:ind w:hanging="26"/>
              <w:jc w:val="center"/>
              <w:rPr>
                <w:sz w:val="20"/>
                <w:szCs w:val="20"/>
              </w:rPr>
            </w:pPr>
            <w:r>
              <w:rPr>
                <w:sz w:val="20"/>
                <w:szCs w:val="20"/>
              </w:rPr>
              <w:t>350</w:t>
            </w:r>
          </w:p>
        </w:tc>
      </w:tr>
      <w:tr w:rsidR="0058574E" w:rsidRPr="00E11575" w:rsidTr="00E7317C">
        <w:tc>
          <w:tcPr>
            <w:tcW w:w="451" w:type="pct"/>
          </w:tcPr>
          <w:p w:rsidR="0058574E" w:rsidRDefault="0058574E" w:rsidP="00E7317C">
            <w:pPr>
              <w:pStyle w:val="21"/>
              <w:ind w:firstLine="0"/>
              <w:jc w:val="center"/>
              <w:rPr>
                <w:sz w:val="20"/>
                <w:szCs w:val="20"/>
              </w:rPr>
            </w:pPr>
            <w:r>
              <w:rPr>
                <w:sz w:val="20"/>
                <w:szCs w:val="20"/>
              </w:rPr>
              <w:t>12</w:t>
            </w:r>
          </w:p>
        </w:tc>
        <w:tc>
          <w:tcPr>
            <w:tcW w:w="2960" w:type="pct"/>
          </w:tcPr>
          <w:p w:rsidR="0058574E" w:rsidRPr="00E11575" w:rsidRDefault="0058574E" w:rsidP="00E7317C">
            <w:pPr>
              <w:pStyle w:val="21"/>
              <w:ind w:firstLine="0"/>
              <w:jc w:val="left"/>
              <w:rPr>
                <w:sz w:val="20"/>
                <w:szCs w:val="20"/>
              </w:rPr>
            </w:pPr>
            <w:r w:rsidRPr="00E11575">
              <w:rPr>
                <w:sz w:val="20"/>
                <w:szCs w:val="20"/>
              </w:rPr>
              <w:t>на гос. регистрацию договора участия в долевом строительстве:</w:t>
            </w:r>
          </w:p>
          <w:p w:rsidR="0058574E" w:rsidRPr="005045AA" w:rsidRDefault="0058574E" w:rsidP="00E7317C">
            <w:pPr>
              <w:pStyle w:val="21"/>
              <w:ind w:firstLine="0"/>
              <w:jc w:val="left"/>
              <w:rPr>
                <w:i/>
                <w:sz w:val="20"/>
                <w:szCs w:val="20"/>
              </w:rPr>
            </w:pPr>
            <w:r w:rsidRPr="005045AA">
              <w:rPr>
                <w:i/>
                <w:sz w:val="20"/>
                <w:szCs w:val="20"/>
              </w:rPr>
              <w:t>физические лица</w:t>
            </w:r>
          </w:p>
          <w:p w:rsidR="0058574E" w:rsidRPr="00B74EE8" w:rsidRDefault="0058574E" w:rsidP="00E7317C">
            <w:pPr>
              <w:pStyle w:val="21"/>
              <w:ind w:firstLine="0"/>
              <w:jc w:val="left"/>
              <w:rPr>
                <w:sz w:val="20"/>
                <w:szCs w:val="20"/>
              </w:rPr>
            </w:pPr>
            <w:r w:rsidRPr="005045AA">
              <w:rPr>
                <w:i/>
                <w:sz w:val="20"/>
                <w:szCs w:val="20"/>
              </w:rPr>
              <w:t>юридические лица</w:t>
            </w:r>
          </w:p>
        </w:tc>
        <w:tc>
          <w:tcPr>
            <w:tcW w:w="530" w:type="pct"/>
          </w:tcPr>
          <w:p w:rsidR="0058574E" w:rsidRPr="00776A5F" w:rsidRDefault="0058574E" w:rsidP="00E7317C">
            <w:pPr>
              <w:pStyle w:val="21"/>
              <w:ind w:hanging="26"/>
              <w:jc w:val="center"/>
              <w:rPr>
                <w:sz w:val="20"/>
                <w:szCs w:val="20"/>
              </w:rPr>
            </w:pPr>
          </w:p>
          <w:p w:rsidR="0058574E" w:rsidRPr="00776A5F" w:rsidRDefault="0058574E" w:rsidP="00E7317C">
            <w:pPr>
              <w:pStyle w:val="21"/>
              <w:ind w:hanging="26"/>
              <w:jc w:val="center"/>
              <w:rPr>
                <w:sz w:val="20"/>
                <w:szCs w:val="20"/>
              </w:rPr>
            </w:pPr>
          </w:p>
          <w:p w:rsidR="0058574E" w:rsidRPr="00776A5F" w:rsidRDefault="0058574E" w:rsidP="00E7317C">
            <w:pPr>
              <w:pStyle w:val="21"/>
              <w:ind w:firstLine="0"/>
              <w:jc w:val="center"/>
              <w:rPr>
                <w:i/>
                <w:sz w:val="20"/>
                <w:szCs w:val="20"/>
              </w:rPr>
            </w:pPr>
            <w:r w:rsidRPr="00776A5F">
              <w:rPr>
                <w:i/>
                <w:sz w:val="20"/>
                <w:szCs w:val="20"/>
              </w:rPr>
              <w:t>350</w:t>
            </w:r>
          </w:p>
          <w:p w:rsidR="0058574E" w:rsidRPr="00776A5F" w:rsidRDefault="0058574E" w:rsidP="00E7317C">
            <w:pPr>
              <w:pStyle w:val="21"/>
              <w:ind w:firstLine="0"/>
              <w:jc w:val="center"/>
              <w:rPr>
                <w:color w:val="FF0000"/>
                <w:sz w:val="20"/>
                <w:szCs w:val="20"/>
              </w:rPr>
            </w:pPr>
            <w:r w:rsidRPr="00776A5F">
              <w:rPr>
                <w:i/>
                <w:sz w:val="20"/>
                <w:szCs w:val="20"/>
              </w:rPr>
              <w:t>6 000</w:t>
            </w:r>
          </w:p>
        </w:tc>
        <w:tc>
          <w:tcPr>
            <w:tcW w:w="530" w:type="pct"/>
          </w:tcPr>
          <w:p w:rsidR="0058574E" w:rsidRPr="00776A5F" w:rsidRDefault="0058574E" w:rsidP="00E7317C">
            <w:pPr>
              <w:pStyle w:val="21"/>
              <w:ind w:hanging="26"/>
              <w:jc w:val="center"/>
              <w:rPr>
                <w:sz w:val="20"/>
                <w:szCs w:val="20"/>
              </w:rPr>
            </w:pPr>
          </w:p>
          <w:p w:rsidR="0058574E" w:rsidRPr="00776A5F" w:rsidRDefault="0058574E" w:rsidP="00E7317C">
            <w:pPr>
              <w:pStyle w:val="21"/>
              <w:ind w:hanging="26"/>
              <w:jc w:val="center"/>
              <w:rPr>
                <w:sz w:val="20"/>
                <w:szCs w:val="20"/>
              </w:rPr>
            </w:pPr>
          </w:p>
          <w:p w:rsidR="0058574E" w:rsidRPr="00776A5F" w:rsidRDefault="0058574E" w:rsidP="00E7317C">
            <w:pPr>
              <w:pStyle w:val="21"/>
              <w:ind w:hanging="26"/>
              <w:jc w:val="center"/>
              <w:rPr>
                <w:i/>
                <w:sz w:val="20"/>
                <w:szCs w:val="20"/>
              </w:rPr>
            </w:pPr>
            <w:r w:rsidRPr="00776A5F">
              <w:rPr>
                <w:i/>
                <w:sz w:val="20"/>
                <w:szCs w:val="20"/>
              </w:rPr>
              <w:t>350</w:t>
            </w:r>
          </w:p>
          <w:p w:rsidR="0058574E" w:rsidRPr="00E11575" w:rsidRDefault="0058574E" w:rsidP="00E7317C">
            <w:pPr>
              <w:pStyle w:val="21"/>
              <w:ind w:hanging="26"/>
              <w:jc w:val="center"/>
              <w:rPr>
                <w:sz w:val="20"/>
                <w:szCs w:val="20"/>
              </w:rPr>
            </w:pPr>
            <w:r w:rsidRPr="00776A5F">
              <w:rPr>
                <w:i/>
                <w:sz w:val="20"/>
                <w:szCs w:val="20"/>
              </w:rPr>
              <w:t>6 000</w:t>
            </w:r>
          </w:p>
        </w:tc>
        <w:tc>
          <w:tcPr>
            <w:tcW w:w="530" w:type="pct"/>
          </w:tcPr>
          <w:p w:rsidR="0058574E" w:rsidRPr="00776A5F" w:rsidRDefault="0058574E" w:rsidP="00E7317C">
            <w:pPr>
              <w:ind w:hanging="26"/>
              <w:jc w:val="center"/>
              <w:rPr>
                <w:sz w:val="20"/>
                <w:szCs w:val="20"/>
              </w:rPr>
            </w:pPr>
          </w:p>
          <w:p w:rsidR="0058574E" w:rsidRPr="00776A5F" w:rsidRDefault="0058574E" w:rsidP="00E7317C">
            <w:pPr>
              <w:ind w:hanging="26"/>
              <w:jc w:val="center"/>
              <w:rPr>
                <w:sz w:val="20"/>
                <w:szCs w:val="20"/>
              </w:rPr>
            </w:pPr>
          </w:p>
          <w:p w:rsidR="0058574E" w:rsidRPr="00776A5F" w:rsidRDefault="0058574E" w:rsidP="00E7317C">
            <w:pPr>
              <w:ind w:firstLine="0"/>
              <w:jc w:val="center"/>
              <w:rPr>
                <w:i/>
                <w:sz w:val="20"/>
                <w:szCs w:val="20"/>
              </w:rPr>
            </w:pPr>
            <w:r w:rsidRPr="00776A5F">
              <w:rPr>
                <w:i/>
                <w:sz w:val="20"/>
                <w:szCs w:val="20"/>
              </w:rPr>
              <w:t>350</w:t>
            </w:r>
          </w:p>
          <w:p w:rsidR="0058574E" w:rsidRPr="00E11575" w:rsidRDefault="0058574E" w:rsidP="00E7317C">
            <w:pPr>
              <w:pStyle w:val="21"/>
              <w:ind w:hanging="26"/>
              <w:jc w:val="center"/>
              <w:rPr>
                <w:sz w:val="20"/>
                <w:szCs w:val="20"/>
              </w:rPr>
            </w:pPr>
            <w:r w:rsidRPr="00776A5F">
              <w:rPr>
                <w:i/>
                <w:sz w:val="20"/>
                <w:szCs w:val="20"/>
              </w:rPr>
              <w:t>6 000</w:t>
            </w:r>
          </w:p>
        </w:tc>
      </w:tr>
      <w:tr w:rsidR="0058574E" w:rsidRPr="00E11575" w:rsidTr="00E7317C">
        <w:tc>
          <w:tcPr>
            <w:tcW w:w="451" w:type="pct"/>
          </w:tcPr>
          <w:p w:rsidR="0058574E" w:rsidRPr="00E11575" w:rsidRDefault="0058574E" w:rsidP="00E7317C">
            <w:pPr>
              <w:pStyle w:val="21"/>
              <w:ind w:firstLine="0"/>
              <w:jc w:val="center"/>
              <w:rPr>
                <w:sz w:val="20"/>
                <w:szCs w:val="20"/>
              </w:rPr>
            </w:pPr>
            <w:r>
              <w:rPr>
                <w:sz w:val="20"/>
                <w:szCs w:val="20"/>
              </w:rPr>
              <w:t>13</w:t>
            </w:r>
          </w:p>
        </w:tc>
        <w:tc>
          <w:tcPr>
            <w:tcW w:w="2960" w:type="pct"/>
          </w:tcPr>
          <w:p w:rsidR="0058574E" w:rsidRPr="00E11575" w:rsidRDefault="0058574E" w:rsidP="00E7317C">
            <w:pPr>
              <w:ind w:firstLine="0"/>
              <w:jc w:val="left"/>
              <w:rPr>
                <w:sz w:val="20"/>
                <w:szCs w:val="20"/>
              </w:rPr>
            </w:pPr>
            <w:r w:rsidRPr="008838D8">
              <w:rPr>
                <w:sz w:val="20"/>
                <w:szCs w:val="20"/>
              </w:rPr>
              <w:t>за государственную регистрацию соглашения об изменении или о расторжении договора участия в долевом строительстве, уступки прав требования по договору участия в долевом строительстве, включая внесение соответствующих изменений в Единый государственный реестр прав на недвижимое имущество и сделок с ним</w:t>
            </w:r>
          </w:p>
        </w:tc>
        <w:tc>
          <w:tcPr>
            <w:tcW w:w="530" w:type="pct"/>
          </w:tcPr>
          <w:p w:rsidR="0058574E" w:rsidRPr="00E11575" w:rsidRDefault="0058574E" w:rsidP="00E7317C">
            <w:pPr>
              <w:pStyle w:val="21"/>
              <w:ind w:hanging="26"/>
              <w:jc w:val="center"/>
              <w:rPr>
                <w:sz w:val="20"/>
                <w:szCs w:val="20"/>
              </w:rPr>
            </w:pPr>
            <w:r>
              <w:rPr>
                <w:sz w:val="20"/>
                <w:szCs w:val="20"/>
              </w:rPr>
              <w:t>350</w:t>
            </w:r>
          </w:p>
        </w:tc>
        <w:tc>
          <w:tcPr>
            <w:tcW w:w="530" w:type="pct"/>
          </w:tcPr>
          <w:p w:rsidR="0058574E" w:rsidRPr="00E11575" w:rsidRDefault="0058574E" w:rsidP="00E7317C">
            <w:pPr>
              <w:pStyle w:val="21"/>
              <w:ind w:hanging="26"/>
              <w:jc w:val="center"/>
              <w:rPr>
                <w:sz w:val="20"/>
                <w:szCs w:val="20"/>
              </w:rPr>
            </w:pPr>
            <w:r>
              <w:rPr>
                <w:sz w:val="20"/>
                <w:szCs w:val="20"/>
              </w:rPr>
              <w:t>350</w:t>
            </w:r>
          </w:p>
        </w:tc>
        <w:tc>
          <w:tcPr>
            <w:tcW w:w="530" w:type="pct"/>
          </w:tcPr>
          <w:p w:rsidR="0058574E" w:rsidRPr="00E11575" w:rsidRDefault="0058574E" w:rsidP="00E7317C">
            <w:pPr>
              <w:pStyle w:val="21"/>
              <w:ind w:hanging="26"/>
              <w:jc w:val="center"/>
              <w:rPr>
                <w:sz w:val="20"/>
                <w:szCs w:val="20"/>
              </w:rPr>
            </w:pPr>
            <w:r>
              <w:rPr>
                <w:sz w:val="20"/>
                <w:szCs w:val="20"/>
              </w:rPr>
              <w:t>350</w:t>
            </w:r>
          </w:p>
        </w:tc>
      </w:tr>
      <w:tr w:rsidR="0058574E" w:rsidRPr="00E11575" w:rsidTr="00E7317C">
        <w:tc>
          <w:tcPr>
            <w:tcW w:w="451" w:type="pct"/>
          </w:tcPr>
          <w:p w:rsidR="0058574E" w:rsidRPr="00E11575" w:rsidRDefault="0058574E" w:rsidP="00E7317C">
            <w:pPr>
              <w:pStyle w:val="21"/>
              <w:ind w:firstLine="0"/>
              <w:jc w:val="center"/>
              <w:rPr>
                <w:sz w:val="20"/>
                <w:szCs w:val="20"/>
              </w:rPr>
            </w:pPr>
            <w:r>
              <w:rPr>
                <w:sz w:val="20"/>
                <w:szCs w:val="20"/>
              </w:rPr>
              <w:t>15</w:t>
            </w:r>
          </w:p>
        </w:tc>
        <w:tc>
          <w:tcPr>
            <w:tcW w:w="2960" w:type="pct"/>
          </w:tcPr>
          <w:p w:rsidR="0058574E" w:rsidRPr="00E11575" w:rsidRDefault="0058574E" w:rsidP="00E7317C">
            <w:pPr>
              <w:pStyle w:val="21"/>
              <w:ind w:firstLine="0"/>
              <w:jc w:val="left"/>
              <w:rPr>
                <w:sz w:val="20"/>
                <w:szCs w:val="20"/>
              </w:rPr>
            </w:pPr>
            <w:r w:rsidRPr="00E11575">
              <w:rPr>
                <w:sz w:val="20"/>
                <w:szCs w:val="20"/>
              </w:rPr>
              <w:t>за государственную регистрацию сервитутов</w:t>
            </w:r>
          </w:p>
          <w:p w:rsidR="0058574E" w:rsidRPr="005045AA" w:rsidRDefault="0058574E" w:rsidP="00E7317C">
            <w:pPr>
              <w:pStyle w:val="21"/>
              <w:ind w:firstLine="0"/>
              <w:jc w:val="left"/>
              <w:rPr>
                <w:i/>
                <w:sz w:val="20"/>
                <w:szCs w:val="20"/>
              </w:rPr>
            </w:pPr>
            <w:r w:rsidRPr="005045AA">
              <w:rPr>
                <w:i/>
                <w:sz w:val="20"/>
                <w:szCs w:val="20"/>
              </w:rPr>
              <w:t>физические лица</w:t>
            </w:r>
          </w:p>
          <w:p w:rsidR="0058574E" w:rsidRPr="00E11575" w:rsidRDefault="0058574E" w:rsidP="00E7317C">
            <w:pPr>
              <w:pStyle w:val="21"/>
              <w:ind w:firstLine="0"/>
              <w:jc w:val="left"/>
              <w:rPr>
                <w:sz w:val="20"/>
                <w:szCs w:val="20"/>
              </w:rPr>
            </w:pPr>
            <w:r w:rsidRPr="005045AA">
              <w:rPr>
                <w:i/>
                <w:sz w:val="20"/>
                <w:szCs w:val="20"/>
              </w:rPr>
              <w:t>юридические лица</w:t>
            </w:r>
          </w:p>
        </w:tc>
        <w:tc>
          <w:tcPr>
            <w:tcW w:w="530" w:type="pct"/>
          </w:tcPr>
          <w:p w:rsidR="0058574E" w:rsidRDefault="0058574E" w:rsidP="00E7317C">
            <w:pPr>
              <w:pStyle w:val="21"/>
              <w:ind w:hanging="26"/>
              <w:jc w:val="center"/>
              <w:rPr>
                <w:sz w:val="20"/>
                <w:szCs w:val="20"/>
              </w:rPr>
            </w:pPr>
          </w:p>
          <w:p w:rsidR="0058574E" w:rsidRPr="00776A5F" w:rsidRDefault="0058574E" w:rsidP="00E7317C">
            <w:pPr>
              <w:pStyle w:val="21"/>
              <w:ind w:hanging="26"/>
              <w:jc w:val="center"/>
              <w:rPr>
                <w:i/>
                <w:sz w:val="20"/>
                <w:szCs w:val="20"/>
              </w:rPr>
            </w:pPr>
            <w:r w:rsidRPr="00776A5F">
              <w:rPr>
                <w:i/>
                <w:sz w:val="20"/>
                <w:szCs w:val="20"/>
              </w:rPr>
              <w:t>1 500</w:t>
            </w:r>
          </w:p>
          <w:p w:rsidR="0058574E" w:rsidRPr="00E11575" w:rsidRDefault="0058574E" w:rsidP="00E7317C">
            <w:pPr>
              <w:pStyle w:val="21"/>
              <w:ind w:hanging="26"/>
              <w:jc w:val="center"/>
              <w:rPr>
                <w:sz w:val="20"/>
                <w:szCs w:val="20"/>
              </w:rPr>
            </w:pPr>
            <w:r w:rsidRPr="00776A5F">
              <w:rPr>
                <w:i/>
                <w:sz w:val="20"/>
                <w:szCs w:val="20"/>
              </w:rPr>
              <w:t>6 000</w:t>
            </w:r>
          </w:p>
        </w:tc>
        <w:tc>
          <w:tcPr>
            <w:tcW w:w="530" w:type="pct"/>
          </w:tcPr>
          <w:p w:rsidR="0058574E" w:rsidRPr="00776A5F" w:rsidRDefault="0058574E" w:rsidP="00E7317C">
            <w:pPr>
              <w:pStyle w:val="21"/>
              <w:ind w:hanging="26"/>
              <w:jc w:val="center"/>
              <w:rPr>
                <w:sz w:val="20"/>
                <w:szCs w:val="20"/>
              </w:rPr>
            </w:pPr>
          </w:p>
          <w:p w:rsidR="0058574E" w:rsidRPr="00776A5F" w:rsidRDefault="0058574E" w:rsidP="00E7317C">
            <w:pPr>
              <w:pStyle w:val="21"/>
              <w:ind w:hanging="26"/>
              <w:jc w:val="center"/>
              <w:rPr>
                <w:i/>
                <w:sz w:val="20"/>
                <w:szCs w:val="20"/>
              </w:rPr>
            </w:pPr>
            <w:r w:rsidRPr="00776A5F">
              <w:rPr>
                <w:i/>
                <w:sz w:val="20"/>
                <w:szCs w:val="20"/>
              </w:rPr>
              <w:t>1 500</w:t>
            </w:r>
          </w:p>
          <w:p w:rsidR="0058574E" w:rsidRPr="00E11575" w:rsidRDefault="0058574E" w:rsidP="00E7317C">
            <w:pPr>
              <w:pStyle w:val="21"/>
              <w:ind w:hanging="26"/>
              <w:jc w:val="center"/>
              <w:rPr>
                <w:sz w:val="20"/>
                <w:szCs w:val="20"/>
              </w:rPr>
            </w:pPr>
            <w:r w:rsidRPr="00776A5F">
              <w:rPr>
                <w:i/>
                <w:sz w:val="20"/>
                <w:szCs w:val="20"/>
              </w:rPr>
              <w:t>6 000</w:t>
            </w:r>
          </w:p>
        </w:tc>
        <w:tc>
          <w:tcPr>
            <w:tcW w:w="530" w:type="pct"/>
          </w:tcPr>
          <w:p w:rsidR="0058574E" w:rsidRPr="00776A5F" w:rsidRDefault="0058574E" w:rsidP="00E7317C">
            <w:pPr>
              <w:pStyle w:val="21"/>
              <w:ind w:hanging="26"/>
              <w:jc w:val="center"/>
              <w:rPr>
                <w:sz w:val="20"/>
                <w:szCs w:val="20"/>
              </w:rPr>
            </w:pPr>
          </w:p>
          <w:p w:rsidR="0058574E" w:rsidRPr="00776A5F" w:rsidRDefault="0058574E" w:rsidP="00E7317C">
            <w:pPr>
              <w:pStyle w:val="21"/>
              <w:ind w:hanging="26"/>
              <w:jc w:val="center"/>
              <w:rPr>
                <w:i/>
                <w:sz w:val="20"/>
                <w:szCs w:val="20"/>
              </w:rPr>
            </w:pPr>
            <w:r w:rsidRPr="00776A5F">
              <w:rPr>
                <w:i/>
                <w:sz w:val="20"/>
                <w:szCs w:val="20"/>
              </w:rPr>
              <w:t>1 500</w:t>
            </w:r>
          </w:p>
          <w:p w:rsidR="0058574E" w:rsidRPr="00E11575" w:rsidRDefault="0058574E" w:rsidP="00E7317C">
            <w:pPr>
              <w:pStyle w:val="21"/>
              <w:ind w:hanging="26"/>
              <w:jc w:val="center"/>
              <w:rPr>
                <w:sz w:val="20"/>
                <w:szCs w:val="20"/>
              </w:rPr>
            </w:pPr>
            <w:r w:rsidRPr="00776A5F">
              <w:rPr>
                <w:i/>
                <w:sz w:val="20"/>
                <w:szCs w:val="20"/>
              </w:rPr>
              <w:t>6 000</w:t>
            </w:r>
          </w:p>
        </w:tc>
      </w:tr>
      <w:tr w:rsidR="0058574E" w:rsidRPr="00E11575" w:rsidTr="00E7317C">
        <w:tc>
          <w:tcPr>
            <w:tcW w:w="451" w:type="pct"/>
          </w:tcPr>
          <w:p w:rsidR="0058574E" w:rsidRPr="00E11575" w:rsidRDefault="0058574E" w:rsidP="00E7317C">
            <w:pPr>
              <w:pStyle w:val="21"/>
              <w:ind w:firstLine="0"/>
              <w:jc w:val="center"/>
              <w:rPr>
                <w:sz w:val="20"/>
                <w:szCs w:val="20"/>
              </w:rPr>
            </w:pPr>
            <w:r>
              <w:rPr>
                <w:sz w:val="20"/>
                <w:szCs w:val="20"/>
              </w:rPr>
              <w:t>16</w:t>
            </w:r>
          </w:p>
        </w:tc>
        <w:tc>
          <w:tcPr>
            <w:tcW w:w="2960" w:type="pct"/>
          </w:tcPr>
          <w:p w:rsidR="0058574E" w:rsidRPr="00E11575" w:rsidRDefault="0058574E" w:rsidP="00E7317C">
            <w:pPr>
              <w:pStyle w:val="21"/>
              <w:ind w:firstLine="0"/>
              <w:jc w:val="left"/>
              <w:rPr>
                <w:sz w:val="20"/>
                <w:szCs w:val="20"/>
              </w:rPr>
            </w:pPr>
            <w:r w:rsidRPr="00E11575">
              <w:rPr>
                <w:sz w:val="20"/>
                <w:szCs w:val="20"/>
              </w:rPr>
              <w:t>за государственную регистрацию перехода права собственности на объект недвижимости в связи с реорганизацией юридического лица в форме преобразования</w:t>
            </w:r>
          </w:p>
        </w:tc>
        <w:tc>
          <w:tcPr>
            <w:tcW w:w="530" w:type="pct"/>
          </w:tcPr>
          <w:p w:rsidR="0058574E" w:rsidRPr="00E11575" w:rsidRDefault="0058574E" w:rsidP="00E7317C">
            <w:pPr>
              <w:pStyle w:val="21"/>
              <w:ind w:hanging="26"/>
              <w:jc w:val="center"/>
              <w:rPr>
                <w:sz w:val="20"/>
                <w:szCs w:val="20"/>
              </w:rPr>
            </w:pPr>
            <w:r>
              <w:rPr>
                <w:sz w:val="20"/>
                <w:szCs w:val="20"/>
              </w:rPr>
              <w:t>1 000</w:t>
            </w:r>
          </w:p>
        </w:tc>
        <w:tc>
          <w:tcPr>
            <w:tcW w:w="530" w:type="pct"/>
          </w:tcPr>
          <w:p w:rsidR="0058574E" w:rsidRPr="00E11575" w:rsidRDefault="0058574E" w:rsidP="00E7317C">
            <w:pPr>
              <w:pStyle w:val="21"/>
              <w:ind w:hanging="26"/>
              <w:jc w:val="center"/>
              <w:rPr>
                <w:sz w:val="20"/>
                <w:szCs w:val="20"/>
              </w:rPr>
            </w:pPr>
            <w:r>
              <w:rPr>
                <w:sz w:val="20"/>
                <w:szCs w:val="20"/>
              </w:rPr>
              <w:t>1 000</w:t>
            </w:r>
          </w:p>
        </w:tc>
        <w:tc>
          <w:tcPr>
            <w:tcW w:w="530" w:type="pct"/>
          </w:tcPr>
          <w:p w:rsidR="0058574E" w:rsidRPr="00E11575" w:rsidRDefault="0058574E" w:rsidP="00E7317C">
            <w:pPr>
              <w:pStyle w:val="21"/>
              <w:ind w:hanging="26"/>
              <w:jc w:val="center"/>
              <w:rPr>
                <w:sz w:val="20"/>
                <w:szCs w:val="20"/>
              </w:rPr>
            </w:pPr>
            <w:r>
              <w:rPr>
                <w:sz w:val="20"/>
                <w:szCs w:val="20"/>
              </w:rPr>
              <w:t>1 000</w:t>
            </w:r>
          </w:p>
        </w:tc>
      </w:tr>
      <w:tr w:rsidR="0058574E" w:rsidRPr="00E11575" w:rsidTr="00E7317C">
        <w:tc>
          <w:tcPr>
            <w:tcW w:w="3411" w:type="pct"/>
            <w:gridSpan w:val="2"/>
            <w:shd w:val="clear" w:color="auto" w:fill="EAF1DD" w:themeFill="accent3" w:themeFillTint="33"/>
          </w:tcPr>
          <w:p w:rsidR="0058574E" w:rsidRPr="00117B58" w:rsidRDefault="0058574E" w:rsidP="00E7317C">
            <w:pPr>
              <w:pStyle w:val="21"/>
              <w:ind w:firstLine="0"/>
              <w:jc w:val="left"/>
              <w:rPr>
                <w:b/>
                <w:sz w:val="20"/>
                <w:szCs w:val="20"/>
              </w:rPr>
            </w:pPr>
            <w:r w:rsidRPr="00117B58">
              <w:rPr>
                <w:b/>
                <w:sz w:val="20"/>
                <w:szCs w:val="20"/>
              </w:rPr>
              <w:t>Государственная пошлина – всего (норматив зачисления госпошлины в областной бюджет – 50 %), тыс. руб., в том числе:</w:t>
            </w:r>
          </w:p>
        </w:tc>
        <w:tc>
          <w:tcPr>
            <w:tcW w:w="530" w:type="pct"/>
            <w:shd w:val="clear" w:color="auto" w:fill="EAF1DD" w:themeFill="accent3" w:themeFillTint="33"/>
          </w:tcPr>
          <w:p w:rsidR="0058574E" w:rsidRPr="00AE688D" w:rsidRDefault="0058574E" w:rsidP="00E7317C">
            <w:pPr>
              <w:pStyle w:val="21"/>
              <w:ind w:hanging="26"/>
              <w:jc w:val="center"/>
              <w:rPr>
                <w:b/>
                <w:sz w:val="20"/>
                <w:szCs w:val="20"/>
              </w:rPr>
            </w:pPr>
            <w:r w:rsidRPr="00AE688D">
              <w:rPr>
                <w:b/>
                <w:sz w:val="20"/>
                <w:szCs w:val="20"/>
              </w:rPr>
              <w:t>126 014,8</w:t>
            </w:r>
          </w:p>
        </w:tc>
        <w:tc>
          <w:tcPr>
            <w:tcW w:w="530" w:type="pct"/>
            <w:shd w:val="clear" w:color="auto" w:fill="EAF1DD" w:themeFill="accent3" w:themeFillTint="33"/>
          </w:tcPr>
          <w:p w:rsidR="0058574E" w:rsidRPr="00AE688D" w:rsidRDefault="0058574E" w:rsidP="00E7317C">
            <w:pPr>
              <w:pStyle w:val="21"/>
              <w:ind w:hanging="26"/>
              <w:jc w:val="center"/>
              <w:rPr>
                <w:b/>
                <w:sz w:val="20"/>
                <w:szCs w:val="20"/>
              </w:rPr>
            </w:pPr>
            <w:r w:rsidRPr="00AE688D">
              <w:rPr>
                <w:b/>
                <w:sz w:val="20"/>
                <w:szCs w:val="20"/>
              </w:rPr>
              <w:t>126 014,8</w:t>
            </w:r>
          </w:p>
        </w:tc>
        <w:tc>
          <w:tcPr>
            <w:tcW w:w="530" w:type="pct"/>
            <w:shd w:val="clear" w:color="auto" w:fill="EAF1DD" w:themeFill="accent3" w:themeFillTint="33"/>
          </w:tcPr>
          <w:p w:rsidR="0058574E" w:rsidRPr="00AE688D" w:rsidRDefault="0058574E" w:rsidP="00E7317C">
            <w:pPr>
              <w:pStyle w:val="21"/>
              <w:ind w:hanging="26"/>
              <w:jc w:val="center"/>
              <w:rPr>
                <w:b/>
                <w:sz w:val="20"/>
                <w:szCs w:val="20"/>
              </w:rPr>
            </w:pPr>
            <w:r w:rsidRPr="00AE688D">
              <w:rPr>
                <w:b/>
                <w:sz w:val="20"/>
                <w:szCs w:val="20"/>
              </w:rPr>
              <w:t>126 014,8</w:t>
            </w:r>
          </w:p>
        </w:tc>
      </w:tr>
      <w:tr w:rsidR="0058574E" w:rsidRPr="00E11575" w:rsidTr="00E7317C">
        <w:tc>
          <w:tcPr>
            <w:tcW w:w="451" w:type="pct"/>
          </w:tcPr>
          <w:p w:rsidR="0058574E" w:rsidRPr="00E11575" w:rsidRDefault="0058574E" w:rsidP="00E7317C">
            <w:pPr>
              <w:pStyle w:val="21"/>
              <w:ind w:firstLine="0"/>
              <w:jc w:val="center"/>
              <w:rPr>
                <w:sz w:val="20"/>
                <w:szCs w:val="20"/>
              </w:rPr>
            </w:pPr>
            <w:r w:rsidRPr="00E11575">
              <w:rPr>
                <w:sz w:val="20"/>
                <w:szCs w:val="20"/>
              </w:rPr>
              <w:t>1</w:t>
            </w:r>
          </w:p>
        </w:tc>
        <w:tc>
          <w:tcPr>
            <w:tcW w:w="2960" w:type="pct"/>
          </w:tcPr>
          <w:p w:rsidR="0058574E" w:rsidRPr="00E11575" w:rsidRDefault="0058574E" w:rsidP="00E7317C">
            <w:pPr>
              <w:pStyle w:val="21"/>
              <w:ind w:firstLine="0"/>
              <w:jc w:val="left"/>
              <w:rPr>
                <w:sz w:val="20"/>
                <w:szCs w:val="20"/>
              </w:rPr>
            </w:pPr>
            <w:r w:rsidRPr="00E11575">
              <w:rPr>
                <w:sz w:val="20"/>
                <w:szCs w:val="20"/>
              </w:rPr>
              <w:t>на гос. регистрацию прав, ограничений (обременений) прав на недвижимое имущество, договоров об отчуждении недвижимого имущества:</w:t>
            </w:r>
          </w:p>
          <w:p w:rsidR="0058574E" w:rsidRPr="005045AA" w:rsidRDefault="0058574E" w:rsidP="00E7317C">
            <w:pPr>
              <w:pStyle w:val="21"/>
              <w:ind w:firstLine="0"/>
              <w:jc w:val="left"/>
              <w:rPr>
                <w:i/>
                <w:sz w:val="20"/>
                <w:szCs w:val="20"/>
              </w:rPr>
            </w:pPr>
            <w:r w:rsidRPr="005045AA">
              <w:rPr>
                <w:i/>
                <w:sz w:val="20"/>
                <w:szCs w:val="20"/>
              </w:rPr>
              <w:t>физические лица</w:t>
            </w:r>
          </w:p>
          <w:p w:rsidR="0058574E" w:rsidRPr="00E11575" w:rsidRDefault="0058574E" w:rsidP="00E7317C">
            <w:pPr>
              <w:pStyle w:val="21"/>
              <w:ind w:firstLine="0"/>
              <w:jc w:val="left"/>
              <w:rPr>
                <w:sz w:val="20"/>
                <w:szCs w:val="20"/>
              </w:rPr>
            </w:pPr>
            <w:r w:rsidRPr="005045AA">
              <w:rPr>
                <w:i/>
                <w:sz w:val="20"/>
                <w:szCs w:val="20"/>
              </w:rPr>
              <w:t>юридические лица</w:t>
            </w:r>
          </w:p>
        </w:tc>
        <w:tc>
          <w:tcPr>
            <w:tcW w:w="530" w:type="pct"/>
          </w:tcPr>
          <w:p w:rsidR="0058574E" w:rsidRDefault="0058574E" w:rsidP="00E7317C">
            <w:pPr>
              <w:pStyle w:val="21"/>
              <w:ind w:hanging="26"/>
              <w:jc w:val="center"/>
              <w:rPr>
                <w:sz w:val="20"/>
                <w:szCs w:val="20"/>
              </w:rPr>
            </w:pPr>
            <w:r>
              <w:rPr>
                <w:sz w:val="20"/>
                <w:szCs w:val="20"/>
              </w:rPr>
              <w:t>115 880,0</w:t>
            </w:r>
          </w:p>
          <w:p w:rsidR="0058574E" w:rsidRDefault="0058574E" w:rsidP="00E7317C">
            <w:pPr>
              <w:pStyle w:val="21"/>
              <w:ind w:hanging="26"/>
              <w:jc w:val="center"/>
              <w:rPr>
                <w:sz w:val="20"/>
                <w:szCs w:val="20"/>
              </w:rPr>
            </w:pPr>
          </w:p>
          <w:p w:rsidR="0058574E" w:rsidRDefault="0058574E" w:rsidP="00E7317C">
            <w:pPr>
              <w:pStyle w:val="21"/>
              <w:ind w:hanging="26"/>
              <w:jc w:val="center"/>
              <w:rPr>
                <w:sz w:val="20"/>
                <w:szCs w:val="20"/>
              </w:rPr>
            </w:pPr>
          </w:p>
          <w:p w:rsidR="0058574E" w:rsidRPr="00AE688D" w:rsidRDefault="0058574E" w:rsidP="00E7317C">
            <w:pPr>
              <w:pStyle w:val="21"/>
              <w:ind w:hanging="26"/>
              <w:jc w:val="center"/>
              <w:rPr>
                <w:i/>
                <w:sz w:val="20"/>
                <w:szCs w:val="20"/>
              </w:rPr>
            </w:pPr>
            <w:r w:rsidRPr="00AE688D">
              <w:rPr>
                <w:i/>
                <w:sz w:val="20"/>
                <w:szCs w:val="20"/>
              </w:rPr>
              <w:t>74 980,0</w:t>
            </w:r>
          </w:p>
          <w:p w:rsidR="0058574E" w:rsidRPr="00E11575" w:rsidRDefault="0058574E" w:rsidP="00E7317C">
            <w:pPr>
              <w:pStyle w:val="21"/>
              <w:ind w:hanging="26"/>
              <w:jc w:val="center"/>
              <w:rPr>
                <w:sz w:val="20"/>
                <w:szCs w:val="20"/>
              </w:rPr>
            </w:pPr>
            <w:r w:rsidRPr="00AE688D">
              <w:rPr>
                <w:i/>
                <w:sz w:val="20"/>
                <w:szCs w:val="20"/>
              </w:rPr>
              <w:t>40 900,0</w:t>
            </w:r>
          </w:p>
        </w:tc>
        <w:tc>
          <w:tcPr>
            <w:tcW w:w="530" w:type="pct"/>
          </w:tcPr>
          <w:p w:rsidR="0058574E" w:rsidRDefault="0058574E" w:rsidP="00E7317C">
            <w:pPr>
              <w:pStyle w:val="21"/>
              <w:ind w:hanging="26"/>
              <w:jc w:val="center"/>
              <w:rPr>
                <w:sz w:val="20"/>
                <w:szCs w:val="20"/>
              </w:rPr>
            </w:pPr>
            <w:r>
              <w:rPr>
                <w:sz w:val="20"/>
                <w:szCs w:val="20"/>
              </w:rPr>
              <w:t>115 880,0</w:t>
            </w:r>
          </w:p>
          <w:p w:rsidR="0058574E" w:rsidRDefault="0058574E" w:rsidP="00E7317C">
            <w:pPr>
              <w:pStyle w:val="21"/>
              <w:ind w:hanging="26"/>
              <w:jc w:val="center"/>
              <w:rPr>
                <w:sz w:val="20"/>
                <w:szCs w:val="20"/>
              </w:rPr>
            </w:pPr>
          </w:p>
          <w:p w:rsidR="0058574E" w:rsidRDefault="0058574E" w:rsidP="00E7317C">
            <w:pPr>
              <w:pStyle w:val="21"/>
              <w:ind w:hanging="26"/>
              <w:jc w:val="center"/>
              <w:rPr>
                <w:sz w:val="20"/>
                <w:szCs w:val="20"/>
              </w:rPr>
            </w:pPr>
          </w:p>
          <w:p w:rsidR="0058574E" w:rsidRPr="00AE688D" w:rsidRDefault="0058574E" w:rsidP="00E7317C">
            <w:pPr>
              <w:pStyle w:val="21"/>
              <w:ind w:hanging="26"/>
              <w:jc w:val="center"/>
              <w:rPr>
                <w:i/>
                <w:sz w:val="20"/>
                <w:szCs w:val="20"/>
              </w:rPr>
            </w:pPr>
            <w:r w:rsidRPr="00AE688D">
              <w:rPr>
                <w:i/>
                <w:sz w:val="20"/>
                <w:szCs w:val="20"/>
              </w:rPr>
              <w:t>74 980,0</w:t>
            </w:r>
          </w:p>
          <w:p w:rsidR="0058574E" w:rsidRPr="00E11575" w:rsidRDefault="0058574E" w:rsidP="00E7317C">
            <w:pPr>
              <w:pStyle w:val="21"/>
              <w:ind w:hanging="26"/>
              <w:jc w:val="center"/>
              <w:rPr>
                <w:sz w:val="20"/>
                <w:szCs w:val="20"/>
              </w:rPr>
            </w:pPr>
            <w:r w:rsidRPr="00AE688D">
              <w:rPr>
                <w:i/>
                <w:sz w:val="20"/>
                <w:szCs w:val="20"/>
              </w:rPr>
              <w:t>40 900,0</w:t>
            </w:r>
          </w:p>
        </w:tc>
        <w:tc>
          <w:tcPr>
            <w:tcW w:w="530" w:type="pct"/>
          </w:tcPr>
          <w:p w:rsidR="0058574E" w:rsidRDefault="0058574E" w:rsidP="00E7317C">
            <w:pPr>
              <w:pStyle w:val="21"/>
              <w:ind w:hanging="26"/>
              <w:jc w:val="center"/>
              <w:rPr>
                <w:sz w:val="20"/>
                <w:szCs w:val="20"/>
              </w:rPr>
            </w:pPr>
            <w:r>
              <w:rPr>
                <w:sz w:val="20"/>
                <w:szCs w:val="20"/>
              </w:rPr>
              <w:t>115 880,0</w:t>
            </w:r>
          </w:p>
          <w:p w:rsidR="0058574E" w:rsidRDefault="0058574E" w:rsidP="00E7317C">
            <w:pPr>
              <w:pStyle w:val="21"/>
              <w:ind w:hanging="26"/>
              <w:jc w:val="center"/>
              <w:rPr>
                <w:sz w:val="20"/>
                <w:szCs w:val="20"/>
              </w:rPr>
            </w:pPr>
          </w:p>
          <w:p w:rsidR="0058574E" w:rsidRDefault="0058574E" w:rsidP="00E7317C">
            <w:pPr>
              <w:pStyle w:val="21"/>
              <w:ind w:hanging="26"/>
              <w:jc w:val="center"/>
              <w:rPr>
                <w:sz w:val="20"/>
                <w:szCs w:val="20"/>
              </w:rPr>
            </w:pPr>
          </w:p>
          <w:p w:rsidR="0058574E" w:rsidRPr="00AE688D" w:rsidRDefault="0058574E" w:rsidP="00E7317C">
            <w:pPr>
              <w:pStyle w:val="21"/>
              <w:ind w:hanging="26"/>
              <w:jc w:val="center"/>
              <w:rPr>
                <w:i/>
                <w:sz w:val="20"/>
                <w:szCs w:val="20"/>
              </w:rPr>
            </w:pPr>
            <w:r w:rsidRPr="00AE688D">
              <w:rPr>
                <w:i/>
                <w:sz w:val="20"/>
                <w:szCs w:val="20"/>
              </w:rPr>
              <w:t>74 980,0</w:t>
            </w:r>
          </w:p>
          <w:p w:rsidR="0058574E" w:rsidRPr="00E11575" w:rsidRDefault="0058574E" w:rsidP="00E7317C">
            <w:pPr>
              <w:pStyle w:val="21"/>
              <w:ind w:hanging="26"/>
              <w:jc w:val="center"/>
              <w:rPr>
                <w:sz w:val="20"/>
                <w:szCs w:val="20"/>
              </w:rPr>
            </w:pPr>
            <w:r w:rsidRPr="00AE688D">
              <w:rPr>
                <w:i/>
                <w:sz w:val="20"/>
                <w:szCs w:val="20"/>
              </w:rPr>
              <w:t>40 900,0</w:t>
            </w:r>
          </w:p>
        </w:tc>
      </w:tr>
      <w:tr w:rsidR="0058574E" w:rsidRPr="00E11575" w:rsidTr="00E7317C">
        <w:tc>
          <w:tcPr>
            <w:tcW w:w="451" w:type="pct"/>
          </w:tcPr>
          <w:p w:rsidR="0058574E" w:rsidRPr="00E11575" w:rsidRDefault="0058574E" w:rsidP="00E7317C">
            <w:pPr>
              <w:pStyle w:val="21"/>
              <w:ind w:firstLine="0"/>
              <w:jc w:val="center"/>
              <w:rPr>
                <w:sz w:val="20"/>
                <w:szCs w:val="20"/>
              </w:rPr>
            </w:pPr>
            <w:r>
              <w:rPr>
                <w:sz w:val="20"/>
                <w:szCs w:val="20"/>
              </w:rPr>
              <w:t>2</w:t>
            </w:r>
          </w:p>
        </w:tc>
        <w:tc>
          <w:tcPr>
            <w:tcW w:w="2960" w:type="pct"/>
          </w:tcPr>
          <w:p w:rsidR="0058574E" w:rsidRPr="00E11575" w:rsidRDefault="0058574E" w:rsidP="00E7317C">
            <w:pPr>
              <w:pStyle w:val="21"/>
              <w:ind w:firstLine="0"/>
              <w:jc w:val="left"/>
              <w:rPr>
                <w:sz w:val="20"/>
                <w:szCs w:val="20"/>
              </w:rPr>
            </w:pPr>
            <w:r w:rsidRPr="00E11575">
              <w:rPr>
                <w:sz w:val="20"/>
                <w:szCs w:val="20"/>
              </w:rPr>
              <w:t>за государственную регистрацию права общей долевой собственности владельцев инвестиционных паев на недвижимое имущество, составляющее паевой инвестиционный фонд (приобретаемое для включения в состав паевого инвестиционного фонда), ограничения этого права и обременений данного имущества или сделок с данным имущество</w:t>
            </w:r>
          </w:p>
        </w:tc>
        <w:tc>
          <w:tcPr>
            <w:tcW w:w="530" w:type="pct"/>
          </w:tcPr>
          <w:p w:rsidR="0058574E" w:rsidRPr="00E11575" w:rsidRDefault="0058574E" w:rsidP="00E7317C">
            <w:pPr>
              <w:pStyle w:val="21"/>
              <w:ind w:hanging="26"/>
              <w:jc w:val="center"/>
              <w:rPr>
                <w:sz w:val="20"/>
                <w:szCs w:val="20"/>
              </w:rPr>
            </w:pPr>
            <w:r>
              <w:rPr>
                <w:sz w:val="20"/>
                <w:szCs w:val="20"/>
              </w:rPr>
              <w:t>3 520</w:t>
            </w:r>
          </w:p>
        </w:tc>
        <w:tc>
          <w:tcPr>
            <w:tcW w:w="530" w:type="pct"/>
          </w:tcPr>
          <w:p w:rsidR="0058574E" w:rsidRPr="00E11575" w:rsidRDefault="0058574E" w:rsidP="00E7317C">
            <w:pPr>
              <w:pStyle w:val="21"/>
              <w:ind w:hanging="26"/>
              <w:jc w:val="center"/>
              <w:rPr>
                <w:sz w:val="20"/>
                <w:szCs w:val="20"/>
              </w:rPr>
            </w:pPr>
            <w:r>
              <w:rPr>
                <w:sz w:val="20"/>
                <w:szCs w:val="20"/>
              </w:rPr>
              <w:t>3 520</w:t>
            </w:r>
          </w:p>
        </w:tc>
        <w:tc>
          <w:tcPr>
            <w:tcW w:w="530" w:type="pct"/>
          </w:tcPr>
          <w:p w:rsidR="0058574E" w:rsidRPr="00E11575" w:rsidRDefault="0058574E" w:rsidP="00E7317C">
            <w:pPr>
              <w:pStyle w:val="21"/>
              <w:ind w:hanging="26"/>
              <w:jc w:val="center"/>
              <w:rPr>
                <w:sz w:val="20"/>
                <w:szCs w:val="20"/>
              </w:rPr>
            </w:pPr>
            <w:r>
              <w:rPr>
                <w:sz w:val="20"/>
                <w:szCs w:val="20"/>
              </w:rPr>
              <w:t>3 520</w:t>
            </w:r>
          </w:p>
        </w:tc>
      </w:tr>
      <w:tr w:rsidR="0058574E" w:rsidRPr="00E11575" w:rsidTr="00E7317C">
        <w:tc>
          <w:tcPr>
            <w:tcW w:w="451" w:type="pct"/>
          </w:tcPr>
          <w:p w:rsidR="0058574E" w:rsidRDefault="0058574E" w:rsidP="00E7317C">
            <w:pPr>
              <w:pStyle w:val="21"/>
              <w:ind w:firstLine="0"/>
              <w:jc w:val="center"/>
              <w:rPr>
                <w:sz w:val="20"/>
                <w:szCs w:val="20"/>
              </w:rPr>
            </w:pPr>
            <w:r>
              <w:rPr>
                <w:sz w:val="20"/>
                <w:szCs w:val="20"/>
              </w:rPr>
              <w:t>3</w:t>
            </w:r>
          </w:p>
        </w:tc>
        <w:tc>
          <w:tcPr>
            <w:tcW w:w="2960" w:type="pct"/>
          </w:tcPr>
          <w:p w:rsidR="0058574E" w:rsidRPr="00E11575" w:rsidRDefault="0058574E" w:rsidP="00E7317C">
            <w:pPr>
              <w:pStyle w:val="21"/>
              <w:ind w:firstLine="0"/>
              <w:jc w:val="left"/>
              <w:rPr>
                <w:sz w:val="20"/>
                <w:szCs w:val="20"/>
              </w:rPr>
            </w:pPr>
            <w:r w:rsidRPr="00E11575">
              <w:rPr>
                <w:sz w:val="20"/>
                <w:szCs w:val="20"/>
              </w:rPr>
              <w:t>на гос. регистрацию доли в праве общей собственности на общее недвижимое имущество в многоквартирном доме</w:t>
            </w:r>
          </w:p>
        </w:tc>
        <w:tc>
          <w:tcPr>
            <w:tcW w:w="530" w:type="pct"/>
          </w:tcPr>
          <w:p w:rsidR="0058574E" w:rsidRPr="00E11575" w:rsidRDefault="0058574E" w:rsidP="00E7317C">
            <w:pPr>
              <w:pStyle w:val="21"/>
              <w:ind w:hanging="26"/>
              <w:jc w:val="center"/>
              <w:rPr>
                <w:sz w:val="20"/>
                <w:szCs w:val="20"/>
              </w:rPr>
            </w:pPr>
            <w:r>
              <w:rPr>
                <w:sz w:val="20"/>
                <w:szCs w:val="20"/>
              </w:rPr>
              <w:t>7,5</w:t>
            </w:r>
          </w:p>
        </w:tc>
        <w:tc>
          <w:tcPr>
            <w:tcW w:w="530" w:type="pct"/>
          </w:tcPr>
          <w:p w:rsidR="0058574E" w:rsidRPr="00E11575" w:rsidRDefault="0058574E" w:rsidP="00E7317C">
            <w:pPr>
              <w:pStyle w:val="21"/>
              <w:ind w:hanging="26"/>
              <w:jc w:val="center"/>
              <w:rPr>
                <w:sz w:val="20"/>
                <w:szCs w:val="20"/>
              </w:rPr>
            </w:pPr>
            <w:r>
              <w:rPr>
                <w:sz w:val="20"/>
                <w:szCs w:val="20"/>
              </w:rPr>
              <w:t>7,5</w:t>
            </w:r>
          </w:p>
        </w:tc>
        <w:tc>
          <w:tcPr>
            <w:tcW w:w="530" w:type="pct"/>
          </w:tcPr>
          <w:p w:rsidR="0058574E" w:rsidRPr="00E11575" w:rsidRDefault="0058574E" w:rsidP="00E7317C">
            <w:pPr>
              <w:pStyle w:val="21"/>
              <w:ind w:hanging="26"/>
              <w:jc w:val="center"/>
              <w:rPr>
                <w:sz w:val="20"/>
                <w:szCs w:val="20"/>
              </w:rPr>
            </w:pPr>
            <w:r>
              <w:rPr>
                <w:sz w:val="20"/>
                <w:szCs w:val="20"/>
              </w:rPr>
              <w:t>7,5</w:t>
            </w:r>
          </w:p>
        </w:tc>
      </w:tr>
      <w:tr w:rsidR="0058574E" w:rsidRPr="00E11575" w:rsidTr="00E7317C">
        <w:tc>
          <w:tcPr>
            <w:tcW w:w="451" w:type="pct"/>
          </w:tcPr>
          <w:p w:rsidR="0058574E" w:rsidRPr="00E11575" w:rsidRDefault="0058574E" w:rsidP="00E7317C">
            <w:pPr>
              <w:pStyle w:val="21"/>
              <w:ind w:firstLine="0"/>
              <w:jc w:val="center"/>
              <w:rPr>
                <w:sz w:val="20"/>
                <w:szCs w:val="20"/>
              </w:rPr>
            </w:pPr>
            <w:r>
              <w:rPr>
                <w:sz w:val="20"/>
                <w:szCs w:val="20"/>
              </w:rPr>
              <w:t>4</w:t>
            </w:r>
          </w:p>
        </w:tc>
        <w:tc>
          <w:tcPr>
            <w:tcW w:w="2960" w:type="pct"/>
          </w:tcPr>
          <w:p w:rsidR="0058574E" w:rsidRPr="00E11575" w:rsidRDefault="0058574E" w:rsidP="00E7317C">
            <w:pPr>
              <w:pStyle w:val="21"/>
              <w:ind w:firstLine="0"/>
              <w:jc w:val="left"/>
              <w:rPr>
                <w:sz w:val="20"/>
                <w:szCs w:val="20"/>
              </w:rPr>
            </w:pPr>
            <w:r w:rsidRPr="00E11575">
              <w:rPr>
                <w:sz w:val="20"/>
                <w:szCs w:val="20"/>
              </w:rPr>
              <w:t>на гос. регистрацию права собственности физического лица на земельный участок, предназначенный для ведения личного подсобного, дачного хозяйства, огородничества, садоводства, индивидуального гаражного или индивидуального жилищного строительства</w:t>
            </w:r>
          </w:p>
        </w:tc>
        <w:tc>
          <w:tcPr>
            <w:tcW w:w="530" w:type="pct"/>
          </w:tcPr>
          <w:p w:rsidR="0058574E" w:rsidRPr="00E11575" w:rsidRDefault="0058574E" w:rsidP="00E7317C">
            <w:pPr>
              <w:pStyle w:val="21"/>
              <w:ind w:hanging="26"/>
              <w:jc w:val="center"/>
              <w:rPr>
                <w:sz w:val="20"/>
                <w:szCs w:val="20"/>
              </w:rPr>
            </w:pPr>
            <w:r>
              <w:rPr>
                <w:sz w:val="20"/>
                <w:szCs w:val="20"/>
              </w:rPr>
              <w:t>219,8</w:t>
            </w:r>
          </w:p>
        </w:tc>
        <w:tc>
          <w:tcPr>
            <w:tcW w:w="530" w:type="pct"/>
          </w:tcPr>
          <w:p w:rsidR="0058574E" w:rsidRPr="00E11575" w:rsidRDefault="0058574E" w:rsidP="00E7317C">
            <w:pPr>
              <w:pStyle w:val="21"/>
              <w:ind w:hanging="26"/>
              <w:jc w:val="center"/>
              <w:rPr>
                <w:sz w:val="20"/>
                <w:szCs w:val="20"/>
              </w:rPr>
            </w:pPr>
            <w:r>
              <w:rPr>
                <w:sz w:val="20"/>
                <w:szCs w:val="20"/>
              </w:rPr>
              <w:t>219,8</w:t>
            </w:r>
          </w:p>
        </w:tc>
        <w:tc>
          <w:tcPr>
            <w:tcW w:w="530" w:type="pct"/>
          </w:tcPr>
          <w:p w:rsidR="0058574E" w:rsidRPr="00E11575" w:rsidRDefault="0058574E" w:rsidP="00E7317C">
            <w:pPr>
              <w:pStyle w:val="21"/>
              <w:ind w:hanging="26"/>
              <w:jc w:val="center"/>
              <w:rPr>
                <w:sz w:val="20"/>
                <w:szCs w:val="20"/>
              </w:rPr>
            </w:pPr>
            <w:r>
              <w:rPr>
                <w:sz w:val="20"/>
                <w:szCs w:val="20"/>
              </w:rPr>
              <w:t>219,8</w:t>
            </w:r>
          </w:p>
        </w:tc>
      </w:tr>
      <w:tr w:rsidR="0058574E" w:rsidRPr="00E11575" w:rsidTr="00E7317C">
        <w:tc>
          <w:tcPr>
            <w:tcW w:w="451" w:type="pct"/>
          </w:tcPr>
          <w:p w:rsidR="0058574E" w:rsidRPr="00E11575" w:rsidRDefault="0058574E" w:rsidP="00E7317C">
            <w:pPr>
              <w:pStyle w:val="21"/>
              <w:ind w:firstLine="0"/>
              <w:jc w:val="center"/>
              <w:rPr>
                <w:sz w:val="20"/>
                <w:szCs w:val="20"/>
              </w:rPr>
            </w:pPr>
            <w:r>
              <w:rPr>
                <w:sz w:val="20"/>
                <w:szCs w:val="20"/>
              </w:rPr>
              <w:t>5</w:t>
            </w:r>
          </w:p>
        </w:tc>
        <w:tc>
          <w:tcPr>
            <w:tcW w:w="2960" w:type="pct"/>
          </w:tcPr>
          <w:p w:rsidR="0058574E" w:rsidRPr="00E11575" w:rsidRDefault="0058574E" w:rsidP="00E7317C">
            <w:pPr>
              <w:pStyle w:val="21"/>
              <w:ind w:firstLine="0"/>
              <w:jc w:val="left"/>
              <w:rPr>
                <w:sz w:val="20"/>
                <w:szCs w:val="20"/>
              </w:rPr>
            </w:pPr>
            <w:r w:rsidRPr="00AB31B1">
              <w:rPr>
                <w:sz w:val="20"/>
                <w:szCs w:val="20"/>
              </w:rPr>
              <w:t>за государственную регистрацию прав, ограничений прав и обременений земельных участков из земель сельскохозяйственного назначения, сделок с такими земельными участками, если данные сделки подлежат государственной регистрации в соответствии с федеральным законом</w:t>
            </w:r>
          </w:p>
        </w:tc>
        <w:tc>
          <w:tcPr>
            <w:tcW w:w="530" w:type="pct"/>
          </w:tcPr>
          <w:p w:rsidR="0058574E" w:rsidRPr="00E11575" w:rsidRDefault="0058574E" w:rsidP="00E7317C">
            <w:pPr>
              <w:pStyle w:val="21"/>
              <w:ind w:hanging="26"/>
              <w:jc w:val="center"/>
              <w:rPr>
                <w:sz w:val="20"/>
                <w:szCs w:val="20"/>
              </w:rPr>
            </w:pPr>
            <w:r>
              <w:rPr>
                <w:sz w:val="20"/>
                <w:szCs w:val="20"/>
              </w:rPr>
              <w:t>15,8</w:t>
            </w:r>
          </w:p>
        </w:tc>
        <w:tc>
          <w:tcPr>
            <w:tcW w:w="530" w:type="pct"/>
          </w:tcPr>
          <w:p w:rsidR="0058574E" w:rsidRPr="00E11575" w:rsidRDefault="0058574E" w:rsidP="00E7317C">
            <w:pPr>
              <w:pStyle w:val="21"/>
              <w:ind w:hanging="26"/>
              <w:jc w:val="center"/>
              <w:rPr>
                <w:sz w:val="20"/>
                <w:szCs w:val="20"/>
              </w:rPr>
            </w:pPr>
            <w:r>
              <w:rPr>
                <w:sz w:val="20"/>
                <w:szCs w:val="20"/>
              </w:rPr>
              <w:t>15,8</w:t>
            </w:r>
          </w:p>
        </w:tc>
        <w:tc>
          <w:tcPr>
            <w:tcW w:w="530" w:type="pct"/>
          </w:tcPr>
          <w:p w:rsidR="0058574E" w:rsidRPr="00E11575" w:rsidRDefault="0058574E" w:rsidP="00E7317C">
            <w:pPr>
              <w:pStyle w:val="21"/>
              <w:ind w:hanging="26"/>
              <w:jc w:val="center"/>
              <w:rPr>
                <w:sz w:val="20"/>
                <w:szCs w:val="20"/>
              </w:rPr>
            </w:pPr>
            <w:r>
              <w:rPr>
                <w:sz w:val="20"/>
                <w:szCs w:val="20"/>
              </w:rPr>
              <w:t>15,8</w:t>
            </w:r>
          </w:p>
        </w:tc>
      </w:tr>
      <w:tr w:rsidR="0058574E" w:rsidRPr="00E11575" w:rsidTr="00E7317C">
        <w:tc>
          <w:tcPr>
            <w:tcW w:w="451" w:type="pct"/>
          </w:tcPr>
          <w:p w:rsidR="0058574E" w:rsidRPr="00E11575" w:rsidRDefault="0058574E" w:rsidP="00E7317C">
            <w:pPr>
              <w:pStyle w:val="21"/>
              <w:ind w:firstLine="0"/>
              <w:jc w:val="center"/>
              <w:rPr>
                <w:sz w:val="20"/>
                <w:szCs w:val="20"/>
              </w:rPr>
            </w:pPr>
            <w:r>
              <w:rPr>
                <w:sz w:val="20"/>
                <w:szCs w:val="20"/>
              </w:rPr>
              <w:t>6</w:t>
            </w:r>
          </w:p>
        </w:tc>
        <w:tc>
          <w:tcPr>
            <w:tcW w:w="2960" w:type="pct"/>
          </w:tcPr>
          <w:p w:rsidR="0058574E" w:rsidRPr="00E11575" w:rsidRDefault="0058574E" w:rsidP="00E7317C">
            <w:pPr>
              <w:ind w:firstLine="0"/>
              <w:jc w:val="left"/>
              <w:rPr>
                <w:sz w:val="20"/>
                <w:szCs w:val="20"/>
              </w:rPr>
            </w:pPr>
            <w:r w:rsidRPr="009025CC">
              <w:rPr>
                <w:sz w:val="20"/>
                <w:szCs w:val="20"/>
              </w:rPr>
              <w:t>на гос. регистрацию в праве общей собственности на зем. участок из земель с/х назначения</w:t>
            </w:r>
          </w:p>
        </w:tc>
        <w:tc>
          <w:tcPr>
            <w:tcW w:w="530" w:type="pct"/>
          </w:tcPr>
          <w:p w:rsidR="0058574E" w:rsidRPr="00E11575" w:rsidRDefault="0058574E" w:rsidP="00E7317C">
            <w:pPr>
              <w:pStyle w:val="21"/>
              <w:ind w:hanging="26"/>
              <w:jc w:val="center"/>
              <w:rPr>
                <w:sz w:val="20"/>
                <w:szCs w:val="20"/>
              </w:rPr>
            </w:pPr>
            <w:r>
              <w:rPr>
                <w:sz w:val="20"/>
                <w:szCs w:val="20"/>
              </w:rPr>
              <w:t>1,3</w:t>
            </w:r>
          </w:p>
        </w:tc>
        <w:tc>
          <w:tcPr>
            <w:tcW w:w="530" w:type="pct"/>
          </w:tcPr>
          <w:p w:rsidR="0058574E" w:rsidRPr="00E11575" w:rsidRDefault="0058574E" w:rsidP="00E7317C">
            <w:pPr>
              <w:pStyle w:val="21"/>
              <w:ind w:hanging="26"/>
              <w:jc w:val="center"/>
              <w:rPr>
                <w:sz w:val="20"/>
                <w:szCs w:val="20"/>
              </w:rPr>
            </w:pPr>
            <w:r>
              <w:rPr>
                <w:sz w:val="20"/>
                <w:szCs w:val="20"/>
              </w:rPr>
              <w:t>1,3</w:t>
            </w:r>
          </w:p>
        </w:tc>
        <w:tc>
          <w:tcPr>
            <w:tcW w:w="530" w:type="pct"/>
          </w:tcPr>
          <w:p w:rsidR="0058574E" w:rsidRPr="00E11575" w:rsidRDefault="0058574E" w:rsidP="00E7317C">
            <w:pPr>
              <w:pStyle w:val="21"/>
              <w:ind w:hanging="26"/>
              <w:jc w:val="center"/>
              <w:rPr>
                <w:sz w:val="20"/>
                <w:szCs w:val="20"/>
              </w:rPr>
            </w:pPr>
            <w:r>
              <w:rPr>
                <w:sz w:val="20"/>
                <w:szCs w:val="20"/>
              </w:rPr>
              <w:t>1,3</w:t>
            </w:r>
          </w:p>
        </w:tc>
      </w:tr>
      <w:tr w:rsidR="0058574E" w:rsidRPr="00E11575" w:rsidTr="00E7317C">
        <w:tc>
          <w:tcPr>
            <w:tcW w:w="451" w:type="pct"/>
          </w:tcPr>
          <w:p w:rsidR="0058574E" w:rsidRPr="00E11575" w:rsidRDefault="0058574E" w:rsidP="00E7317C">
            <w:pPr>
              <w:pStyle w:val="21"/>
              <w:ind w:firstLine="0"/>
              <w:jc w:val="center"/>
              <w:rPr>
                <w:sz w:val="20"/>
                <w:szCs w:val="20"/>
              </w:rPr>
            </w:pPr>
            <w:r>
              <w:rPr>
                <w:sz w:val="20"/>
                <w:szCs w:val="20"/>
              </w:rPr>
              <w:t>7</w:t>
            </w:r>
          </w:p>
        </w:tc>
        <w:tc>
          <w:tcPr>
            <w:tcW w:w="2960" w:type="pct"/>
          </w:tcPr>
          <w:p w:rsidR="0058574E" w:rsidRPr="00E11575" w:rsidRDefault="0058574E" w:rsidP="00E7317C">
            <w:pPr>
              <w:pStyle w:val="21"/>
              <w:ind w:firstLine="0"/>
              <w:jc w:val="left"/>
              <w:rPr>
                <w:sz w:val="20"/>
                <w:szCs w:val="20"/>
              </w:rPr>
            </w:pPr>
            <w:r w:rsidRPr="00E11575">
              <w:rPr>
                <w:sz w:val="20"/>
                <w:szCs w:val="20"/>
              </w:rPr>
              <w:t>на внесение изменений в записи Единого государственного реестра прав на недвижимое имущество и сделок с ним:</w:t>
            </w:r>
          </w:p>
          <w:p w:rsidR="0058574E" w:rsidRPr="005045AA" w:rsidRDefault="0058574E" w:rsidP="00E7317C">
            <w:pPr>
              <w:pStyle w:val="21"/>
              <w:ind w:firstLine="0"/>
              <w:jc w:val="left"/>
              <w:rPr>
                <w:i/>
                <w:sz w:val="20"/>
                <w:szCs w:val="20"/>
              </w:rPr>
            </w:pPr>
            <w:r w:rsidRPr="005045AA">
              <w:rPr>
                <w:i/>
                <w:sz w:val="20"/>
                <w:szCs w:val="20"/>
              </w:rPr>
              <w:t>физические лица</w:t>
            </w:r>
          </w:p>
          <w:p w:rsidR="0058574E" w:rsidRPr="00E11575" w:rsidRDefault="0058574E" w:rsidP="00E7317C">
            <w:pPr>
              <w:pStyle w:val="21"/>
              <w:ind w:firstLine="0"/>
              <w:jc w:val="left"/>
              <w:rPr>
                <w:sz w:val="20"/>
                <w:szCs w:val="20"/>
              </w:rPr>
            </w:pPr>
            <w:r w:rsidRPr="005045AA">
              <w:rPr>
                <w:i/>
                <w:sz w:val="20"/>
                <w:szCs w:val="20"/>
              </w:rPr>
              <w:t>юридические лица</w:t>
            </w:r>
          </w:p>
        </w:tc>
        <w:tc>
          <w:tcPr>
            <w:tcW w:w="530" w:type="pct"/>
          </w:tcPr>
          <w:p w:rsidR="0058574E" w:rsidRDefault="0058574E" w:rsidP="00E7317C">
            <w:pPr>
              <w:pStyle w:val="21"/>
              <w:ind w:hanging="26"/>
              <w:jc w:val="center"/>
              <w:rPr>
                <w:sz w:val="20"/>
                <w:szCs w:val="20"/>
              </w:rPr>
            </w:pPr>
            <w:r>
              <w:rPr>
                <w:sz w:val="20"/>
                <w:szCs w:val="20"/>
              </w:rPr>
              <w:t>202,5</w:t>
            </w:r>
          </w:p>
          <w:p w:rsidR="0058574E" w:rsidRDefault="0058574E" w:rsidP="00E7317C">
            <w:pPr>
              <w:pStyle w:val="21"/>
              <w:ind w:hanging="26"/>
              <w:jc w:val="center"/>
              <w:rPr>
                <w:sz w:val="20"/>
                <w:szCs w:val="20"/>
              </w:rPr>
            </w:pPr>
          </w:p>
          <w:p w:rsidR="0058574E" w:rsidRDefault="0058574E" w:rsidP="00E7317C">
            <w:pPr>
              <w:pStyle w:val="21"/>
              <w:ind w:hanging="26"/>
              <w:jc w:val="center"/>
              <w:rPr>
                <w:sz w:val="20"/>
                <w:szCs w:val="20"/>
              </w:rPr>
            </w:pPr>
            <w:r>
              <w:rPr>
                <w:sz w:val="20"/>
                <w:szCs w:val="20"/>
              </w:rPr>
              <w:t>52,5</w:t>
            </w:r>
          </w:p>
          <w:p w:rsidR="0058574E" w:rsidRPr="00E11575" w:rsidRDefault="0058574E" w:rsidP="00E7317C">
            <w:pPr>
              <w:pStyle w:val="21"/>
              <w:ind w:hanging="26"/>
              <w:jc w:val="center"/>
              <w:rPr>
                <w:sz w:val="20"/>
                <w:szCs w:val="20"/>
              </w:rPr>
            </w:pPr>
            <w:r>
              <w:rPr>
                <w:sz w:val="20"/>
                <w:szCs w:val="20"/>
              </w:rPr>
              <w:t>150,0</w:t>
            </w:r>
          </w:p>
        </w:tc>
        <w:tc>
          <w:tcPr>
            <w:tcW w:w="530" w:type="pct"/>
          </w:tcPr>
          <w:p w:rsidR="0058574E" w:rsidRDefault="0058574E" w:rsidP="00E7317C">
            <w:pPr>
              <w:pStyle w:val="21"/>
              <w:ind w:hanging="26"/>
              <w:jc w:val="center"/>
              <w:rPr>
                <w:sz w:val="20"/>
                <w:szCs w:val="20"/>
              </w:rPr>
            </w:pPr>
            <w:r>
              <w:rPr>
                <w:sz w:val="20"/>
                <w:szCs w:val="20"/>
              </w:rPr>
              <w:t>202,5</w:t>
            </w:r>
          </w:p>
          <w:p w:rsidR="0058574E" w:rsidRDefault="0058574E" w:rsidP="00E7317C">
            <w:pPr>
              <w:pStyle w:val="21"/>
              <w:ind w:hanging="26"/>
              <w:jc w:val="center"/>
              <w:rPr>
                <w:sz w:val="20"/>
                <w:szCs w:val="20"/>
              </w:rPr>
            </w:pPr>
          </w:p>
          <w:p w:rsidR="0058574E" w:rsidRDefault="0058574E" w:rsidP="00E7317C">
            <w:pPr>
              <w:pStyle w:val="21"/>
              <w:ind w:hanging="26"/>
              <w:jc w:val="center"/>
              <w:rPr>
                <w:sz w:val="20"/>
                <w:szCs w:val="20"/>
              </w:rPr>
            </w:pPr>
            <w:r>
              <w:rPr>
                <w:sz w:val="20"/>
                <w:szCs w:val="20"/>
              </w:rPr>
              <w:t>52,5</w:t>
            </w:r>
          </w:p>
          <w:p w:rsidR="0058574E" w:rsidRPr="00E11575" w:rsidRDefault="0058574E" w:rsidP="00E7317C">
            <w:pPr>
              <w:pStyle w:val="21"/>
              <w:ind w:hanging="26"/>
              <w:jc w:val="center"/>
              <w:rPr>
                <w:sz w:val="20"/>
                <w:szCs w:val="20"/>
              </w:rPr>
            </w:pPr>
            <w:r>
              <w:rPr>
                <w:sz w:val="20"/>
                <w:szCs w:val="20"/>
              </w:rPr>
              <w:t>150,0</w:t>
            </w:r>
          </w:p>
        </w:tc>
        <w:tc>
          <w:tcPr>
            <w:tcW w:w="530" w:type="pct"/>
          </w:tcPr>
          <w:p w:rsidR="0058574E" w:rsidRDefault="0058574E" w:rsidP="00E7317C">
            <w:pPr>
              <w:pStyle w:val="21"/>
              <w:ind w:hanging="26"/>
              <w:jc w:val="center"/>
              <w:rPr>
                <w:sz w:val="20"/>
                <w:szCs w:val="20"/>
              </w:rPr>
            </w:pPr>
            <w:r>
              <w:rPr>
                <w:sz w:val="20"/>
                <w:szCs w:val="20"/>
              </w:rPr>
              <w:t>202,5</w:t>
            </w:r>
          </w:p>
          <w:p w:rsidR="0058574E" w:rsidRDefault="0058574E" w:rsidP="00E7317C">
            <w:pPr>
              <w:pStyle w:val="21"/>
              <w:ind w:hanging="26"/>
              <w:jc w:val="center"/>
              <w:rPr>
                <w:sz w:val="20"/>
                <w:szCs w:val="20"/>
              </w:rPr>
            </w:pPr>
          </w:p>
          <w:p w:rsidR="0058574E" w:rsidRDefault="0058574E" w:rsidP="00E7317C">
            <w:pPr>
              <w:pStyle w:val="21"/>
              <w:ind w:hanging="26"/>
              <w:jc w:val="center"/>
              <w:rPr>
                <w:sz w:val="20"/>
                <w:szCs w:val="20"/>
              </w:rPr>
            </w:pPr>
            <w:r>
              <w:rPr>
                <w:sz w:val="20"/>
                <w:szCs w:val="20"/>
              </w:rPr>
              <w:t>52,5</w:t>
            </w:r>
          </w:p>
          <w:p w:rsidR="0058574E" w:rsidRPr="00E11575" w:rsidRDefault="0058574E" w:rsidP="00E7317C">
            <w:pPr>
              <w:pStyle w:val="21"/>
              <w:ind w:hanging="26"/>
              <w:jc w:val="center"/>
              <w:rPr>
                <w:sz w:val="20"/>
                <w:szCs w:val="20"/>
              </w:rPr>
            </w:pPr>
            <w:r>
              <w:rPr>
                <w:sz w:val="20"/>
                <w:szCs w:val="20"/>
              </w:rPr>
              <w:t>150,0</w:t>
            </w:r>
          </w:p>
        </w:tc>
      </w:tr>
      <w:tr w:rsidR="0058574E" w:rsidRPr="00E11575" w:rsidTr="00E7317C">
        <w:tc>
          <w:tcPr>
            <w:tcW w:w="451" w:type="pct"/>
          </w:tcPr>
          <w:p w:rsidR="0058574E" w:rsidRPr="00E11575" w:rsidRDefault="0058574E" w:rsidP="00E7317C">
            <w:pPr>
              <w:pStyle w:val="21"/>
              <w:ind w:firstLine="0"/>
              <w:jc w:val="center"/>
              <w:rPr>
                <w:sz w:val="20"/>
                <w:szCs w:val="20"/>
              </w:rPr>
            </w:pPr>
            <w:r>
              <w:rPr>
                <w:sz w:val="20"/>
                <w:szCs w:val="20"/>
              </w:rPr>
              <w:t>8</w:t>
            </w:r>
          </w:p>
        </w:tc>
        <w:tc>
          <w:tcPr>
            <w:tcW w:w="2960" w:type="pct"/>
          </w:tcPr>
          <w:p w:rsidR="0058574E" w:rsidRPr="009025CC" w:rsidRDefault="0058574E" w:rsidP="00E7317C">
            <w:pPr>
              <w:ind w:firstLine="0"/>
              <w:rPr>
                <w:sz w:val="20"/>
                <w:szCs w:val="20"/>
              </w:rPr>
            </w:pPr>
            <w:r w:rsidRPr="009025CC">
              <w:rPr>
                <w:sz w:val="20"/>
                <w:szCs w:val="20"/>
              </w:rPr>
              <w:t>на гос. регистрацию ипотеки:</w:t>
            </w:r>
          </w:p>
          <w:p w:rsidR="0058574E" w:rsidRPr="005045AA" w:rsidRDefault="0058574E" w:rsidP="00E7317C">
            <w:pPr>
              <w:pStyle w:val="21"/>
              <w:ind w:firstLine="0"/>
              <w:jc w:val="left"/>
              <w:rPr>
                <w:i/>
                <w:sz w:val="20"/>
                <w:szCs w:val="20"/>
              </w:rPr>
            </w:pPr>
            <w:r w:rsidRPr="005045AA">
              <w:rPr>
                <w:i/>
                <w:sz w:val="20"/>
                <w:szCs w:val="20"/>
              </w:rPr>
              <w:t>физические лица</w:t>
            </w:r>
          </w:p>
          <w:p w:rsidR="0058574E" w:rsidRPr="00E11575" w:rsidRDefault="0058574E" w:rsidP="00E7317C">
            <w:pPr>
              <w:pStyle w:val="21"/>
              <w:ind w:firstLine="0"/>
              <w:jc w:val="left"/>
              <w:rPr>
                <w:sz w:val="20"/>
                <w:szCs w:val="20"/>
              </w:rPr>
            </w:pPr>
            <w:r w:rsidRPr="005045AA">
              <w:rPr>
                <w:i/>
                <w:sz w:val="20"/>
                <w:szCs w:val="20"/>
              </w:rPr>
              <w:t>юридические лица</w:t>
            </w:r>
          </w:p>
        </w:tc>
        <w:tc>
          <w:tcPr>
            <w:tcW w:w="530" w:type="pct"/>
          </w:tcPr>
          <w:p w:rsidR="0058574E" w:rsidRDefault="0058574E" w:rsidP="00E7317C">
            <w:pPr>
              <w:pStyle w:val="21"/>
              <w:ind w:hanging="26"/>
              <w:jc w:val="center"/>
              <w:rPr>
                <w:sz w:val="20"/>
                <w:szCs w:val="20"/>
              </w:rPr>
            </w:pPr>
            <w:r>
              <w:rPr>
                <w:sz w:val="20"/>
                <w:szCs w:val="20"/>
              </w:rPr>
              <w:t>4 067,5</w:t>
            </w:r>
          </w:p>
          <w:p w:rsidR="0058574E" w:rsidRPr="00D9448B" w:rsidRDefault="0058574E" w:rsidP="00E7317C">
            <w:pPr>
              <w:pStyle w:val="21"/>
              <w:ind w:hanging="26"/>
              <w:jc w:val="center"/>
              <w:rPr>
                <w:i/>
                <w:sz w:val="20"/>
                <w:szCs w:val="20"/>
              </w:rPr>
            </w:pPr>
            <w:r w:rsidRPr="00D9448B">
              <w:rPr>
                <w:i/>
                <w:sz w:val="20"/>
                <w:szCs w:val="20"/>
              </w:rPr>
              <w:t>1 999,5</w:t>
            </w:r>
          </w:p>
          <w:p w:rsidR="0058574E" w:rsidRPr="00E11575" w:rsidRDefault="0058574E" w:rsidP="00E7317C">
            <w:pPr>
              <w:pStyle w:val="21"/>
              <w:ind w:hanging="26"/>
              <w:jc w:val="center"/>
              <w:rPr>
                <w:sz w:val="20"/>
                <w:szCs w:val="20"/>
              </w:rPr>
            </w:pPr>
            <w:r w:rsidRPr="00D9448B">
              <w:rPr>
                <w:i/>
                <w:sz w:val="20"/>
                <w:szCs w:val="20"/>
              </w:rPr>
              <w:t>2 068,0</w:t>
            </w:r>
          </w:p>
        </w:tc>
        <w:tc>
          <w:tcPr>
            <w:tcW w:w="530" w:type="pct"/>
          </w:tcPr>
          <w:p w:rsidR="0058574E" w:rsidRDefault="0058574E" w:rsidP="00E7317C">
            <w:pPr>
              <w:pStyle w:val="21"/>
              <w:ind w:hanging="26"/>
              <w:jc w:val="center"/>
              <w:rPr>
                <w:sz w:val="20"/>
                <w:szCs w:val="20"/>
              </w:rPr>
            </w:pPr>
            <w:r>
              <w:rPr>
                <w:sz w:val="20"/>
                <w:szCs w:val="20"/>
              </w:rPr>
              <w:t>4 067,5</w:t>
            </w:r>
          </w:p>
          <w:p w:rsidR="0058574E" w:rsidRPr="00D9448B" w:rsidRDefault="0058574E" w:rsidP="00E7317C">
            <w:pPr>
              <w:pStyle w:val="21"/>
              <w:ind w:hanging="26"/>
              <w:jc w:val="center"/>
              <w:rPr>
                <w:i/>
                <w:sz w:val="20"/>
                <w:szCs w:val="20"/>
              </w:rPr>
            </w:pPr>
            <w:r w:rsidRPr="00D9448B">
              <w:rPr>
                <w:i/>
                <w:sz w:val="20"/>
                <w:szCs w:val="20"/>
              </w:rPr>
              <w:t>1 999,5</w:t>
            </w:r>
          </w:p>
          <w:p w:rsidR="0058574E" w:rsidRPr="00E11575" w:rsidRDefault="0058574E" w:rsidP="00E7317C">
            <w:pPr>
              <w:pStyle w:val="21"/>
              <w:ind w:hanging="26"/>
              <w:jc w:val="center"/>
              <w:rPr>
                <w:sz w:val="20"/>
                <w:szCs w:val="20"/>
              </w:rPr>
            </w:pPr>
            <w:r w:rsidRPr="00D9448B">
              <w:rPr>
                <w:i/>
                <w:sz w:val="20"/>
                <w:szCs w:val="20"/>
              </w:rPr>
              <w:t>2 068,0</w:t>
            </w:r>
          </w:p>
        </w:tc>
        <w:tc>
          <w:tcPr>
            <w:tcW w:w="530" w:type="pct"/>
          </w:tcPr>
          <w:p w:rsidR="0058574E" w:rsidRDefault="0058574E" w:rsidP="00E7317C">
            <w:pPr>
              <w:pStyle w:val="21"/>
              <w:ind w:hanging="26"/>
              <w:jc w:val="center"/>
              <w:rPr>
                <w:sz w:val="20"/>
                <w:szCs w:val="20"/>
              </w:rPr>
            </w:pPr>
            <w:r>
              <w:rPr>
                <w:sz w:val="20"/>
                <w:szCs w:val="20"/>
              </w:rPr>
              <w:t>4 067,5</w:t>
            </w:r>
          </w:p>
          <w:p w:rsidR="0058574E" w:rsidRPr="00D9448B" w:rsidRDefault="0058574E" w:rsidP="00E7317C">
            <w:pPr>
              <w:pStyle w:val="21"/>
              <w:ind w:hanging="26"/>
              <w:jc w:val="center"/>
              <w:rPr>
                <w:i/>
                <w:sz w:val="20"/>
                <w:szCs w:val="20"/>
              </w:rPr>
            </w:pPr>
            <w:r w:rsidRPr="00D9448B">
              <w:rPr>
                <w:i/>
                <w:sz w:val="20"/>
                <w:szCs w:val="20"/>
              </w:rPr>
              <w:t>1 999,5</w:t>
            </w:r>
          </w:p>
          <w:p w:rsidR="0058574E" w:rsidRPr="00E11575" w:rsidRDefault="0058574E" w:rsidP="00E7317C">
            <w:pPr>
              <w:pStyle w:val="21"/>
              <w:ind w:hanging="26"/>
              <w:jc w:val="center"/>
              <w:rPr>
                <w:sz w:val="20"/>
                <w:szCs w:val="20"/>
              </w:rPr>
            </w:pPr>
            <w:r w:rsidRPr="00D9448B">
              <w:rPr>
                <w:i/>
                <w:sz w:val="20"/>
                <w:szCs w:val="20"/>
              </w:rPr>
              <w:t>2 068,0</w:t>
            </w:r>
          </w:p>
        </w:tc>
      </w:tr>
      <w:tr w:rsidR="0058574E" w:rsidRPr="00E11575" w:rsidTr="00E7317C">
        <w:tc>
          <w:tcPr>
            <w:tcW w:w="451" w:type="pct"/>
          </w:tcPr>
          <w:p w:rsidR="0058574E" w:rsidRPr="00E11575" w:rsidRDefault="0058574E" w:rsidP="00E7317C">
            <w:pPr>
              <w:pStyle w:val="21"/>
              <w:ind w:firstLine="0"/>
              <w:jc w:val="center"/>
              <w:rPr>
                <w:sz w:val="20"/>
                <w:szCs w:val="20"/>
              </w:rPr>
            </w:pPr>
            <w:r>
              <w:rPr>
                <w:sz w:val="20"/>
                <w:szCs w:val="20"/>
              </w:rPr>
              <w:t>9</w:t>
            </w:r>
          </w:p>
        </w:tc>
        <w:tc>
          <w:tcPr>
            <w:tcW w:w="2960" w:type="pct"/>
          </w:tcPr>
          <w:p w:rsidR="0058574E" w:rsidRPr="00E11575" w:rsidRDefault="0058574E" w:rsidP="00E7317C">
            <w:pPr>
              <w:pStyle w:val="21"/>
              <w:ind w:firstLine="0"/>
              <w:jc w:val="left"/>
              <w:rPr>
                <w:sz w:val="20"/>
                <w:szCs w:val="20"/>
              </w:rPr>
            </w:pPr>
            <w:r w:rsidRPr="00E11575">
              <w:rPr>
                <w:sz w:val="20"/>
                <w:szCs w:val="20"/>
              </w:rPr>
              <w:t>на внесение изменений и дополнений в регистрационную запись об ипотеке</w:t>
            </w:r>
          </w:p>
          <w:p w:rsidR="0058574E" w:rsidRPr="005045AA" w:rsidRDefault="0058574E" w:rsidP="00E7317C">
            <w:pPr>
              <w:pStyle w:val="21"/>
              <w:ind w:firstLine="0"/>
              <w:jc w:val="left"/>
              <w:rPr>
                <w:i/>
                <w:sz w:val="20"/>
                <w:szCs w:val="20"/>
              </w:rPr>
            </w:pPr>
            <w:r w:rsidRPr="005045AA">
              <w:rPr>
                <w:i/>
                <w:sz w:val="20"/>
                <w:szCs w:val="20"/>
              </w:rPr>
              <w:t>физические лица</w:t>
            </w:r>
          </w:p>
          <w:p w:rsidR="0058574E" w:rsidRPr="00E11575" w:rsidRDefault="0058574E" w:rsidP="00E7317C">
            <w:pPr>
              <w:pStyle w:val="21"/>
              <w:ind w:firstLine="0"/>
              <w:jc w:val="left"/>
              <w:rPr>
                <w:sz w:val="20"/>
                <w:szCs w:val="20"/>
              </w:rPr>
            </w:pPr>
            <w:r w:rsidRPr="005045AA">
              <w:rPr>
                <w:i/>
                <w:sz w:val="20"/>
                <w:szCs w:val="20"/>
              </w:rPr>
              <w:t>юридические лица</w:t>
            </w:r>
          </w:p>
        </w:tc>
        <w:tc>
          <w:tcPr>
            <w:tcW w:w="530" w:type="pct"/>
          </w:tcPr>
          <w:p w:rsidR="0058574E" w:rsidRDefault="0058574E" w:rsidP="00E7317C">
            <w:pPr>
              <w:pStyle w:val="21"/>
              <w:ind w:hanging="26"/>
              <w:jc w:val="center"/>
              <w:rPr>
                <w:sz w:val="20"/>
                <w:szCs w:val="20"/>
              </w:rPr>
            </w:pPr>
            <w:r>
              <w:rPr>
                <w:sz w:val="20"/>
                <w:szCs w:val="20"/>
              </w:rPr>
              <w:t>42,0</w:t>
            </w:r>
          </w:p>
          <w:p w:rsidR="0058574E" w:rsidRDefault="0058574E" w:rsidP="00E7317C">
            <w:pPr>
              <w:pStyle w:val="21"/>
              <w:ind w:hanging="26"/>
              <w:jc w:val="center"/>
              <w:rPr>
                <w:sz w:val="20"/>
                <w:szCs w:val="20"/>
              </w:rPr>
            </w:pPr>
          </w:p>
          <w:p w:rsidR="0058574E" w:rsidRPr="00440BF9" w:rsidRDefault="0058574E" w:rsidP="00E7317C">
            <w:pPr>
              <w:pStyle w:val="21"/>
              <w:ind w:hanging="26"/>
              <w:jc w:val="center"/>
              <w:rPr>
                <w:i/>
                <w:sz w:val="20"/>
                <w:szCs w:val="20"/>
              </w:rPr>
            </w:pPr>
            <w:r w:rsidRPr="00440BF9">
              <w:rPr>
                <w:i/>
                <w:sz w:val="20"/>
                <w:szCs w:val="20"/>
              </w:rPr>
              <w:t>15,0</w:t>
            </w:r>
          </w:p>
          <w:p w:rsidR="0058574E" w:rsidRPr="00E11575" w:rsidRDefault="0058574E" w:rsidP="00E7317C">
            <w:pPr>
              <w:pStyle w:val="21"/>
              <w:ind w:hanging="26"/>
              <w:jc w:val="center"/>
              <w:rPr>
                <w:sz w:val="20"/>
                <w:szCs w:val="20"/>
              </w:rPr>
            </w:pPr>
            <w:r w:rsidRPr="00440BF9">
              <w:rPr>
                <w:i/>
                <w:sz w:val="20"/>
                <w:szCs w:val="20"/>
              </w:rPr>
              <w:t>27,0</w:t>
            </w:r>
          </w:p>
        </w:tc>
        <w:tc>
          <w:tcPr>
            <w:tcW w:w="530" w:type="pct"/>
          </w:tcPr>
          <w:p w:rsidR="0058574E" w:rsidRDefault="0058574E" w:rsidP="00E7317C">
            <w:pPr>
              <w:pStyle w:val="21"/>
              <w:ind w:hanging="26"/>
              <w:jc w:val="center"/>
              <w:rPr>
                <w:sz w:val="20"/>
                <w:szCs w:val="20"/>
              </w:rPr>
            </w:pPr>
            <w:r>
              <w:rPr>
                <w:sz w:val="20"/>
                <w:szCs w:val="20"/>
              </w:rPr>
              <w:t>42,0</w:t>
            </w:r>
          </w:p>
          <w:p w:rsidR="0058574E" w:rsidRDefault="0058574E" w:rsidP="00E7317C">
            <w:pPr>
              <w:pStyle w:val="21"/>
              <w:ind w:hanging="26"/>
              <w:jc w:val="center"/>
              <w:rPr>
                <w:sz w:val="20"/>
                <w:szCs w:val="20"/>
              </w:rPr>
            </w:pPr>
          </w:p>
          <w:p w:rsidR="0058574E" w:rsidRPr="00440BF9" w:rsidRDefault="0058574E" w:rsidP="00E7317C">
            <w:pPr>
              <w:pStyle w:val="21"/>
              <w:ind w:hanging="26"/>
              <w:jc w:val="center"/>
              <w:rPr>
                <w:i/>
                <w:sz w:val="20"/>
                <w:szCs w:val="20"/>
              </w:rPr>
            </w:pPr>
            <w:r w:rsidRPr="00440BF9">
              <w:rPr>
                <w:i/>
                <w:sz w:val="20"/>
                <w:szCs w:val="20"/>
              </w:rPr>
              <w:t>15,0</w:t>
            </w:r>
          </w:p>
          <w:p w:rsidR="0058574E" w:rsidRPr="00E11575" w:rsidRDefault="0058574E" w:rsidP="00E7317C">
            <w:pPr>
              <w:pStyle w:val="21"/>
              <w:ind w:hanging="26"/>
              <w:jc w:val="center"/>
              <w:rPr>
                <w:sz w:val="20"/>
                <w:szCs w:val="20"/>
              </w:rPr>
            </w:pPr>
            <w:r w:rsidRPr="00440BF9">
              <w:rPr>
                <w:i/>
                <w:sz w:val="20"/>
                <w:szCs w:val="20"/>
              </w:rPr>
              <w:t>27,0</w:t>
            </w:r>
          </w:p>
        </w:tc>
        <w:tc>
          <w:tcPr>
            <w:tcW w:w="530" w:type="pct"/>
          </w:tcPr>
          <w:p w:rsidR="0058574E" w:rsidRDefault="0058574E" w:rsidP="00E7317C">
            <w:pPr>
              <w:pStyle w:val="21"/>
              <w:ind w:hanging="26"/>
              <w:jc w:val="center"/>
              <w:rPr>
                <w:sz w:val="20"/>
                <w:szCs w:val="20"/>
              </w:rPr>
            </w:pPr>
            <w:r>
              <w:rPr>
                <w:sz w:val="20"/>
                <w:szCs w:val="20"/>
              </w:rPr>
              <w:t>42,0</w:t>
            </w:r>
          </w:p>
          <w:p w:rsidR="0058574E" w:rsidRDefault="0058574E" w:rsidP="00E7317C">
            <w:pPr>
              <w:pStyle w:val="21"/>
              <w:ind w:hanging="26"/>
              <w:jc w:val="center"/>
              <w:rPr>
                <w:sz w:val="20"/>
                <w:szCs w:val="20"/>
              </w:rPr>
            </w:pPr>
          </w:p>
          <w:p w:rsidR="0058574E" w:rsidRPr="00440BF9" w:rsidRDefault="0058574E" w:rsidP="00E7317C">
            <w:pPr>
              <w:pStyle w:val="21"/>
              <w:ind w:hanging="26"/>
              <w:jc w:val="center"/>
              <w:rPr>
                <w:i/>
                <w:sz w:val="20"/>
                <w:szCs w:val="20"/>
              </w:rPr>
            </w:pPr>
            <w:r w:rsidRPr="00440BF9">
              <w:rPr>
                <w:i/>
                <w:sz w:val="20"/>
                <w:szCs w:val="20"/>
              </w:rPr>
              <w:t>15,0</w:t>
            </w:r>
          </w:p>
          <w:p w:rsidR="0058574E" w:rsidRPr="00E11575" w:rsidRDefault="0058574E" w:rsidP="00E7317C">
            <w:pPr>
              <w:pStyle w:val="21"/>
              <w:ind w:hanging="26"/>
              <w:jc w:val="center"/>
              <w:rPr>
                <w:sz w:val="20"/>
                <w:szCs w:val="20"/>
              </w:rPr>
            </w:pPr>
            <w:r w:rsidRPr="00440BF9">
              <w:rPr>
                <w:i/>
                <w:sz w:val="20"/>
                <w:szCs w:val="20"/>
              </w:rPr>
              <w:t>27,0</w:t>
            </w:r>
          </w:p>
        </w:tc>
      </w:tr>
      <w:tr w:rsidR="0058574E" w:rsidRPr="00E11575" w:rsidTr="00E7317C">
        <w:tc>
          <w:tcPr>
            <w:tcW w:w="451" w:type="pct"/>
          </w:tcPr>
          <w:p w:rsidR="0058574E" w:rsidRDefault="0058574E" w:rsidP="00E7317C">
            <w:pPr>
              <w:pStyle w:val="21"/>
              <w:ind w:firstLine="0"/>
              <w:jc w:val="center"/>
              <w:rPr>
                <w:sz w:val="20"/>
                <w:szCs w:val="20"/>
              </w:rPr>
            </w:pPr>
            <w:r>
              <w:rPr>
                <w:sz w:val="20"/>
                <w:szCs w:val="20"/>
              </w:rPr>
              <w:lastRenderedPageBreak/>
              <w:t>10</w:t>
            </w:r>
          </w:p>
        </w:tc>
        <w:tc>
          <w:tcPr>
            <w:tcW w:w="2960" w:type="pct"/>
          </w:tcPr>
          <w:p w:rsidR="0058574E" w:rsidRPr="00E11575" w:rsidRDefault="0058574E" w:rsidP="00E7317C">
            <w:pPr>
              <w:pStyle w:val="21"/>
              <w:ind w:firstLine="0"/>
              <w:jc w:val="left"/>
              <w:rPr>
                <w:sz w:val="20"/>
                <w:szCs w:val="20"/>
              </w:rPr>
            </w:pPr>
            <w:r w:rsidRPr="00B74EE8">
              <w:rPr>
                <w:sz w:val="20"/>
                <w:szCs w:val="20"/>
              </w:rPr>
              <w:t>за государственную регистрацию смены залогодержателя вследствие уступки прав по основному обязательству, обеспеченному ипотекой, либо по договору об ипотеке, в том числе сделки по уступке прав требования, включая внесение в Единый государственный реестр прав на недвижимое имущество и сделок с ним записи об ипотеке, осуществляемой при смене залогодержателя</w:t>
            </w:r>
          </w:p>
        </w:tc>
        <w:tc>
          <w:tcPr>
            <w:tcW w:w="530" w:type="pct"/>
          </w:tcPr>
          <w:p w:rsidR="0058574E" w:rsidRPr="00E11575" w:rsidRDefault="0058574E" w:rsidP="00E7317C">
            <w:pPr>
              <w:pStyle w:val="21"/>
              <w:ind w:hanging="26"/>
              <w:jc w:val="center"/>
              <w:rPr>
                <w:sz w:val="20"/>
                <w:szCs w:val="20"/>
              </w:rPr>
            </w:pPr>
            <w:r>
              <w:rPr>
                <w:sz w:val="20"/>
                <w:szCs w:val="20"/>
              </w:rPr>
              <w:t>72,0</w:t>
            </w:r>
          </w:p>
        </w:tc>
        <w:tc>
          <w:tcPr>
            <w:tcW w:w="530" w:type="pct"/>
          </w:tcPr>
          <w:p w:rsidR="0058574E" w:rsidRPr="00E11575" w:rsidRDefault="0058574E" w:rsidP="00E7317C">
            <w:pPr>
              <w:pStyle w:val="21"/>
              <w:ind w:hanging="26"/>
              <w:jc w:val="center"/>
              <w:rPr>
                <w:sz w:val="20"/>
                <w:szCs w:val="20"/>
              </w:rPr>
            </w:pPr>
            <w:r>
              <w:rPr>
                <w:sz w:val="20"/>
                <w:szCs w:val="20"/>
              </w:rPr>
              <w:t>72,0</w:t>
            </w:r>
          </w:p>
        </w:tc>
        <w:tc>
          <w:tcPr>
            <w:tcW w:w="530" w:type="pct"/>
          </w:tcPr>
          <w:p w:rsidR="0058574E" w:rsidRPr="00E11575" w:rsidRDefault="0058574E" w:rsidP="00E7317C">
            <w:pPr>
              <w:pStyle w:val="21"/>
              <w:ind w:hanging="26"/>
              <w:jc w:val="center"/>
              <w:rPr>
                <w:sz w:val="20"/>
                <w:szCs w:val="20"/>
              </w:rPr>
            </w:pPr>
            <w:r>
              <w:rPr>
                <w:sz w:val="20"/>
                <w:szCs w:val="20"/>
              </w:rPr>
              <w:t>72,0</w:t>
            </w:r>
          </w:p>
        </w:tc>
      </w:tr>
      <w:tr w:rsidR="0058574E" w:rsidRPr="00E11575" w:rsidTr="00E7317C">
        <w:tc>
          <w:tcPr>
            <w:tcW w:w="451" w:type="pct"/>
          </w:tcPr>
          <w:p w:rsidR="0058574E" w:rsidRDefault="0058574E" w:rsidP="00E7317C">
            <w:pPr>
              <w:pStyle w:val="21"/>
              <w:ind w:firstLine="0"/>
              <w:jc w:val="center"/>
              <w:rPr>
                <w:sz w:val="20"/>
                <w:szCs w:val="20"/>
              </w:rPr>
            </w:pPr>
            <w:r>
              <w:rPr>
                <w:sz w:val="20"/>
                <w:szCs w:val="20"/>
              </w:rPr>
              <w:t>11</w:t>
            </w:r>
          </w:p>
        </w:tc>
        <w:tc>
          <w:tcPr>
            <w:tcW w:w="2960" w:type="pct"/>
          </w:tcPr>
          <w:p w:rsidR="0058574E" w:rsidRPr="00B74EE8" w:rsidRDefault="0058574E" w:rsidP="00E7317C">
            <w:pPr>
              <w:pStyle w:val="21"/>
              <w:ind w:firstLine="0"/>
              <w:jc w:val="left"/>
              <w:rPr>
                <w:sz w:val="20"/>
                <w:szCs w:val="20"/>
              </w:rPr>
            </w:pPr>
            <w:r w:rsidRPr="00B74EE8">
              <w:rPr>
                <w:sz w:val="20"/>
                <w:szCs w:val="20"/>
              </w:rPr>
              <w:t>за государственную регистрацию смены владельца закладной, в том числе сделки по уступке прав требования, включая внесение в Единый государственный реестр прав на недвижимое имущество и сделок с ним записи об ипотеке, осуществляемой при смене владельца закладной</w:t>
            </w:r>
          </w:p>
        </w:tc>
        <w:tc>
          <w:tcPr>
            <w:tcW w:w="530" w:type="pct"/>
          </w:tcPr>
          <w:p w:rsidR="0058574E" w:rsidRPr="00E11575" w:rsidRDefault="0058574E" w:rsidP="00E7317C">
            <w:pPr>
              <w:pStyle w:val="21"/>
              <w:ind w:hanging="26"/>
              <w:jc w:val="center"/>
              <w:rPr>
                <w:sz w:val="20"/>
                <w:szCs w:val="20"/>
              </w:rPr>
            </w:pPr>
            <w:r>
              <w:rPr>
                <w:sz w:val="20"/>
                <w:szCs w:val="20"/>
              </w:rPr>
              <w:t>3,5</w:t>
            </w:r>
          </w:p>
        </w:tc>
        <w:tc>
          <w:tcPr>
            <w:tcW w:w="530" w:type="pct"/>
          </w:tcPr>
          <w:p w:rsidR="0058574E" w:rsidRPr="00E11575" w:rsidRDefault="0058574E" w:rsidP="00E7317C">
            <w:pPr>
              <w:pStyle w:val="21"/>
              <w:ind w:hanging="26"/>
              <w:jc w:val="center"/>
              <w:rPr>
                <w:sz w:val="20"/>
                <w:szCs w:val="20"/>
              </w:rPr>
            </w:pPr>
            <w:r>
              <w:rPr>
                <w:sz w:val="20"/>
                <w:szCs w:val="20"/>
              </w:rPr>
              <w:t>3,5</w:t>
            </w:r>
          </w:p>
        </w:tc>
        <w:tc>
          <w:tcPr>
            <w:tcW w:w="530" w:type="pct"/>
          </w:tcPr>
          <w:p w:rsidR="0058574E" w:rsidRPr="00E11575" w:rsidRDefault="0058574E" w:rsidP="00E7317C">
            <w:pPr>
              <w:pStyle w:val="21"/>
              <w:ind w:hanging="26"/>
              <w:jc w:val="center"/>
              <w:rPr>
                <w:sz w:val="20"/>
                <w:szCs w:val="20"/>
              </w:rPr>
            </w:pPr>
            <w:r>
              <w:rPr>
                <w:sz w:val="20"/>
                <w:szCs w:val="20"/>
              </w:rPr>
              <w:t>3,5</w:t>
            </w:r>
          </w:p>
        </w:tc>
      </w:tr>
      <w:tr w:rsidR="0058574E" w:rsidRPr="00E11575" w:rsidTr="00E7317C">
        <w:tc>
          <w:tcPr>
            <w:tcW w:w="451" w:type="pct"/>
          </w:tcPr>
          <w:p w:rsidR="0058574E" w:rsidRDefault="0058574E" w:rsidP="00E7317C">
            <w:pPr>
              <w:pStyle w:val="21"/>
              <w:ind w:firstLine="0"/>
              <w:jc w:val="center"/>
              <w:rPr>
                <w:sz w:val="20"/>
                <w:szCs w:val="20"/>
              </w:rPr>
            </w:pPr>
            <w:r>
              <w:rPr>
                <w:sz w:val="20"/>
                <w:szCs w:val="20"/>
              </w:rPr>
              <w:t>12</w:t>
            </w:r>
          </w:p>
        </w:tc>
        <w:tc>
          <w:tcPr>
            <w:tcW w:w="2960" w:type="pct"/>
          </w:tcPr>
          <w:p w:rsidR="0058574E" w:rsidRPr="00E11575" w:rsidRDefault="0058574E" w:rsidP="00E7317C">
            <w:pPr>
              <w:pStyle w:val="21"/>
              <w:ind w:firstLine="0"/>
              <w:jc w:val="left"/>
              <w:rPr>
                <w:sz w:val="20"/>
                <w:szCs w:val="20"/>
              </w:rPr>
            </w:pPr>
            <w:r w:rsidRPr="00E11575">
              <w:rPr>
                <w:sz w:val="20"/>
                <w:szCs w:val="20"/>
              </w:rPr>
              <w:t>на гос. регистрацию договора участия в долевом строительстве:</w:t>
            </w:r>
          </w:p>
          <w:p w:rsidR="0058574E" w:rsidRPr="005045AA" w:rsidRDefault="0058574E" w:rsidP="00E7317C">
            <w:pPr>
              <w:pStyle w:val="21"/>
              <w:ind w:firstLine="0"/>
              <w:jc w:val="left"/>
              <w:rPr>
                <w:i/>
                <w:sz w:val="20"/>
                <w:szCs w:val="20"/>
              </w:rPr>
            </w:pPr>
            <w:r w:rsidRPr="005045AA">
              <w:rPr>
                <w:i/>
                <w:sz w:val="20"/>
                <w:szCs w:val="20"/>
              </w:rPr>
              <w:t>физические лица</w:t>
            </w:r>
          </w:p>
          <w:p w:rsidR="0058574E" w:rsidRPr="00B74EE8" w:rsidRDefault="0058574E" w:rsidP="00E7317C">
            <w:pPr>
              <w:pStyle w:val="21"/>
              <w:ind w:firstLine="0"/>
              <w:jc w:val="left"/>
              <w:rPr>
                <w:sz w:val="20"/>
                <w:szCs w:val="20"/>
              </w:rPr>
            </w:pPr>
            <w:r w:rsidRPr="005045AA">
              <w:rPr>
                <w:i/>
                <w:sz w:val="20"/>
                <w:szCs w:val="20"/>
              </w:rPr>
              <w:t>юридические лица</w:t>
            </w:r>
          </w:p>
        </w:tc>
        <w:tc>
          <w:tcPr>
            <w:tcW w:w="530" w:type="pct"/>
          </w:tcPr>
          <w:p w:rsidR="0058574E" w:rsidRDefault="0058574E" w:rsidP="00E7317C">
            <w:pPr>
              <w:pStyle w:val="21"/>
              <w:ind w:hanging="26"/>
              <w:jc w:val="center"/>
              <w:rPr>
                <w:sz w:val="20"/>
                <w:szCs w:val="20"/>
              </w:rPr>
            </w:pPr>
            <w:r>
              <w:rPr>
                <w:sz w:val="20"/>
                <w:szCs w:val="20"/>
              </w:rPr>
              <w:t>1 856,6</w:t>
            </w:r>
          </w:p>
          <w:p w:rsidR="0058574E" w:rsidRDefault="0058574E" w:rsidP="00E7317C">
            <w:pPr>
              <w:pStyle w:val="21"/>
              <w:ind w:hanging="26"/>
              <w:jc w:val="center"/>
              <w:rPr>
                <w:sz w:val="20"/>
                <w:szCs w:val="20"/>
              </w:rPr>
            </w:pPr>
          </w:p>
          <w:p w:rsidR="0058574E" w:rsidRPr="00440BF9" w:rsidRDefault="0058574E" w:rsidP="00E7317C">
            <w:pPr>
              <w:pStyle w:val="21"/>
              <w:ind w:hanging="26"/>
              <w:jc w:val="center"/>
              <w:rPr>
                <w:i/>
                <w:sz w:val="20"/>
                <w:szCs w:val="20"/>
              </w:rPr>
            </w:pPr>
            <w:r w:rsidRPr="00440BF9">
              <w:rPr>
                <w:i/>
                <w:sz w:val="20"/>
                <w:szCs w:val="20"/>
              </w:rPr>
              <w:t>113,6</w:t>
            </w:r>
          </w:p>
          <w:p w:rsidR="0058574E" w:rsidRPr="00E11575" w:rsidRDefault="0058574E" w:rsidP="00E7317C">
            <w:pPr>
              <w:pStyle w:val="21"/>
              <w:ind w:hanging="26"/>
              <w:jc w:val="center"/>
              <w:rPr>
                <w:sz w:val="20"/>
                <w:szCs w:val="20"/>
              </w:rPr>
            </w:pPr>
            <w:r w:rsidRPr="00440BF9">
              <w:rPr>
                <w:i/>
                <w:sz w:val="20"/>
                <w:szCs w:val="20"/>
              </w:rPr>
              <w:t>1 743,0</w:t>
            </w:r>
          </w:p>
        </w:tc>
        <w:tc>
          <w:tcPr>
            <w:tcW w:w="530" w:type="pct"/>
          </w:tcPr>
          <w:p w:rsidR="0058574E" w:rsidRDefault="0058574E" w:rsidP="00E7317C">
            <w:pPr>
              <w:pStyle w:val="21"/>
              <w:ind w:hanging="26"/>
              <w:jc w:val="center"/>
              <w:rPr>
                <w:sz w:val="20"/>
                <w:szCs w:val="20"/>
              </w:rPr>
            </w:pPr>
            <w:r>
              <w:rPr>
                <w:sz w:val="20"/>
                <w:szCs w:val="20"/>
              </w:rPr>
              <w:t>1 856,6</w:t>
            </w:r>
          </w:p>
          <w:p w:rsidR="0058574E" w:rsidRDefault="0058574E" w:rsidP="00E7317C">
            <w:pPr>
              <w:pStyle w:val="21"/>
              <w:ind w:hanging="26"/>
              <w:jc w:val="center"/>
              <w:rPr>
                <w:sz w:val="20"/>
                <w:szCs w:val="20"/>
              </w:rPr>
            </w:pPr>
          </w:p>
          <w:p w:rsidR="0058574E" w:rsidRPr="00440BF9" w:rsidRDefault="0058574E" w:rsidP="00E7317C">
            <w:pPr>
              <w:pStyle w:val="21"/>
              <w:ind w:hanging="26"/>
              <w:jc w:val="center"/>
              <w:rPr>
                <w:i/>
                <w:sz w:val="20"/>
                <w:szCs w:val="20"/>
              </w:rPr>
            </w:pPr>
            <w:r w:rsidRPr="00440BF9">
              <w:rPr>
                <w:i/>
                <w:sz w:val="20"/>
                <w:szCs w:val="20"/>
              </w:rPr>
              <w:t>113,6</w:t>
            </w:r>
          </w:p>
          <w:p w:rsidR="0058574E" w:rsidRPr="00E11575" w:rsidRDefault="0058574E" w:rsidP="00E7317C">
            <w:pPr>
              <w:pStyle w:val="21"/>
              <w:ind w:hanging="26"/>
              <w:jc w:val="center"/>
              <w:rPr>
                <w:sz w:val="20"/>
                <w:szCs w:val="20"/>
              </w:rPr>
            </w:pPr>
            <w:r w:rsidRPr="00440BF9">
              <w:rPr>
                <w:i/>
                <w:sz w:val="20"/>
                <w:szCs w:val="20"/>
              </w:rPr>
              <w:t>1 743,0</w:t>
            </w:r>
          </w:p>
        </w:tc>
        <w:tc>
          <w:tcPr>
            <w:tcW w:w="530" w:type="pct"/>
          </w:tcPr>
          <w:p w:rsidR="0058574E" w:rsidRDefault="0058574E" w:rsidP="00E7317C">
            <w:pPr>
              <w:pStyle w:val="21"/>
              <w:ind w:hanging="26"/>
              <w:jc w:val="center"/>
              <w:rPr>
                <w:sz w:val="20"/>
                <w:szCs w:val="20"/>
              </w:rPr>
            </w:pPr>
            <w:r>
              <w:rPr>
                <w:sz w:val="20"/>
                <w:szCs w:val="20"/>
              </w:rPr>
              <w:t>1 856,6</w:t>
            </w:r>
          </w:p>
          <w:p w:rsidR="0058574E" w:rsidRDefault="0058574E" w:rsidP="00E7317C">
            <w:pPr>
              <w:pStyle w:val="21"/>
              <w:ind w:hanging="26"/>
              <w:jc w:val="center"/>
              <w:rPr>
                <w:sz w:val="20"/>
                <w:szCs w:val="20"/>
              </w:rPr>
            </w:pPr>
          </w:p>
          <w:p w:rsidR="0058574E" w:rsidRPr="00440BF9" w:rsidRDefault="0058574E" w:rsidP="00E7317C">
            <w:pPr>
              <w:pStyle w:val="21"/>
              <w:ind w:hanging="26"/>
              <w:jc w:val="center"/>
              <w:rPr>
                <w:i/>
                <w:sz w:val="20"/>
                <w:szCs w:val="20"/>
              </w:rPr>
            </w:pPr>
            <w:r w:rsidRPr="00440BF9">
              <w:rPr>
                <w:i/>
                <w:sz w:val="20"/>
                <w:szCs w:val="20"/>
              </w:rPr>
              <w:t>113,6</w:t>
            </w:r>
          </w:p>
          <w:p w:rsidR="0058574E" w:rsidRPr="00E11575" w:rsidRDefault="0058574E" w:rsidP="00E7317C">
            <w:pPr>
              <w:pStyle w:val="21"/>
              <w:ind w:hanging="26"/>
              <w:jc w:val="center"/>
              <w:rPr>
                <w:sz w:val="20"/>
                <w:szCs w:val="20"/>
              </w:rPr>
            </w:pPr>
            <w:r w:rsidRPr="00440BF9">
              <w:rPr>
                <w:i/>
                <w:sz w:val="20"/>
                <w:szCs w:val="20"/>
              </w:rPr>
              <w:t>1 743,0</w:t>
            </w:r>
          </w:p>
        </w:tc>
      </w:tr>
      <w:tr w:rsidR="0058574E" w:rsidRPr="00E11575" w:rsidTr="00E7317C">
        <w:tc>
          <w:tcPr>
            <w:tcW w:w="451" w:type="pct"/>
          </w:tcPr>
          <w:p w:rsidR="0058574E" w:rsidRPr="00E11575" w:rsidRDefault="0058574E" w:rsidP="00E7317C">
            <w:pPr>
              <w:pStyle w:val="21"/>
              <w:ind w:firstLine="0"/>
              <w:jc w:val="center"/>
              <w:rPr>
                <w:sz w:val="20"/>
                <w:szCs w:val="20"/>
              </w:rPr>
            </w:pPr>
            <w:r>
              <w:rPr>
                <w:sz w:val="20"/>
                <w:szCs w:val="20"/>
              </w:rPr>
              <w:t>13</w:t>
            </w:r>
          </w:p>
        </w:tc>
        <w:tc>
          <w:tcPr>
            <w:tcW w:w="2960" w:type="pct"/>
          </w:tcPr>
          <w:p w:rsidR="0058574E" w:rsidRPr="00E11575" w:rsidRDefault="0058574E" w:rsidP="00E7317C">
            <w:pPr>
              <w:ind w:firstLine="0"/>
              <w:jc w:val="left"/>
              <w:rPr>
                <w:sz w:val="20"/>
                <w:szCs w:val="20"/>
              </w:rPr>
            </w:pPr>
            <w:r w:rsidRPr="008838D8">
              <w:rPr>
                <w:sz w:val="20"/>
                <w:szCs w:val="20"/>
              </w:rPr>
              <w:t>за государственную регистрацию соглашения об изменении или о расторжении договора участия в долевом строительстве, уступки прав требования по договору участия в долевом строительстве, включая внесение соответствующих изменений в Единый государственный реестр прав на недвижимое имущество и сделок с ним</w:t>
            </w:r>
          </w:p>
        </w:tc>
        <w:tc>
          <w:tcPr>
            <w:tcW w:w="530" w:type="pct"/>
          </w:tcPr>
          <w:p w:rsidR="0058574E" w:rsidRPr="00E11575" w:rsidRDefault="0058574E" w:rsidP="00E7317C">
            <w:pPr>
              <w:pStyle w:val="21"/>
              <w:ind w:hanging="26"/>
              <w:jc w:val="center"/>
              <w:rPr>
                <w:sz w:val="20"/>
                <w:szCs w:val="20"/>
              </w:rPr>
            </w:pPr>
            <w:r>
              <w:rPr>
                <w:sz w:val="20"/>
                <w:szCs w:val="20"/>
              </w:rPr>
              <w:t>85,8</w:t>
            </w:r>
          </w:p>
        </w:tc>
        <w:tc>
          <w:tcPr>
            <w:tcW w:w="530" w:type="pct"/>
          </w:tcPr>
          <w:p w:rsidR="0058574E" w:rsidRPr="00E11575" w:rsidRDefault="0058574E" w:rsidP="00E7317C">
            <w:pPr>
              <w:pStyle w:val="21"/>
              <w:ind w:hanging="26"/>
              <w:jc w:val="center"/>
              <w:rPr>
                <w:sz w:val="20"/>
                <w:szCs w:val="20"/>
              </w:rPr>
            </w:pPr>
            <w:r w:rsidRPr="006B5B6B">
              <w:rPr>
                <w:sz w:val="20"/>
                <w:szCs w:val="20"/>
              </w:rPr>
              <w:t>85,8</w:t>
            </w:r>
          </w:p>
        </w:tc>
        <w:tc>
          <w:tcPr>
            <w:tcW w:w="530" w:type="pct"/>
          </w:tcPr>
          <w:p w:rsidR="0058574E" w:rsidRPr="00E11575" w:rsidRDefault="0058574E" w:rsidP="00E7317C">
            <w:pPr>
              <w:pStyle w:val="21"/>
              <w:ind w:hanging="26"/>
              <w:jc w:val="center"/>
              <w:rPr>
                <w:sz w:val="20"/>
                <w:szCs w:val="20"/>
              </w:rPr>
            </w:pPr>
            <w:r w:rsidRPr="006B5B6B">
              <w:rPr>
                <w:sz w:val="20"/>
                <w:szCs w:val="20"/>
              </w:rPr>
              <w:t>85,8</w:t>
            </w:r>
          </w:p>
        </w:tc>
      </w:tr>
      <w:tr w:rsidR="0058574E" w:rsidRPr="00E11575" w:rsidTr="00E7317C">
        <w:tc>
          <w:tcPr>
            <w:tcW w:w="451" w:type="pct"/>
          </w:tcPr>
          <w:p w:rsidR="0058574E" w:rsidRPr="00E11575" w:rsidRDefault="0058574E" w:rsidP="00E7317C">
            <w:pPr>
              <w:pStyle w:val="21"/>
              <w:ind w:firstLine="0"/>
              <w:jc w:val="center"/>
              <w:rPr>
                <w:sz w:val="20"/>
                <w:szCs w:val="20"/>
              </w:rPr>
            </w:pPr>
            <w:r>
              <w:rPr>
                <w:sz w:val="20"/>
                <w:szCs w:val="20"/>
              </w:rPr>
              <w:t>15</w:t>
            </w:r>
          </w:p>
        </w:tc>
        <w:tc>
          <w:tcPr>
            <w:tcW w:w="2960" w:type="pct"/>
          </w:tcPr>
          <w:p w:rsidR="0058574E" w:rsidRPr="00E11575" w:rsidRDefault="0058574E" w:rsidP="00E7317C">
            <w:pPr>
              <w:pStyle w:val="21"/>
              <w:ind w:firstLine="0"/>
              <w:jc w:val="left"/>
              <w:rPr>
                <w:sz w:val="20"/>
                <w:szCs w:val="20"/>
              </w:rPr>
            </w:pPr>
            <w:r w:rsidRPr="00E11575">
              <w:rPr>
                <w:sz w:val="20"/>
                <w:szCs w:val="20"/>
              </w:rPr>
              <w:t>за государственную регистрацию сервитутов</w:t>
            </w:r>
          </w:p>
          <w:p w:rsidR="0058574E" w:rsidRPr="005045AA" w:rsidRDefault="0058574E" w:rsidP="00E7317C">
            <w:pPr>
              <w:pStyle w:val="21"/>
              <w:ind w:firstLine="0"/>
              <w:jc w:val="left"/>
              <w:rPr>
                <w:i/>
                <w:sz w:val="20"/>
                <w:szCs w:val="20"/>
              </w:rPr>
            </w:pPr>
            <w:r w:rsidRPr="005045AA">
              <w:rPr>
                <w:i/>
                <w:sz w:val="20"/>
                <w:szCs w:val="20"/>
              </w:rPr>
              <w:t>физические лица</w:t>
            </w:r>
          </w:p>
          <w:p w:rsidR="0058574E" w:rsidRPr="00E11575" w:rsidRDefault="0058574E" w:rsidP="00E7317C">
            <w:pPr>
              <w:pStyle w:val="21"/>
              <w:ind w:firstLine="0"/>
              <w:jc w:val="left"/>
              <w:rPr>
                <w:sz w:val="20"/>
                <w:szCs w:val="20"/>
              </w:rPr>
            </w:pPr>
            <w:r w:rsidRPr="005045AA">
              <w:rPr>
                <w:i/>
                <w:sz w:val="20"/>
                <w:szCs w:val="20"/>
              </w:rPr>
              <w:t>юридические лица</w:t>
            </w:r>
          </w:p>
        </w:tc>
        <w:tc>
          <w:tcPr>
            <w:tcW w:w="530" w:type="pct"/>
          </w:tcPr>
          <w:p w:rsidR="0058574E" w:rsidRDefault="0058574E" w:rsidP="00E7317C">
            <w:pPr>
              <w:pStyle w:val="21"/>
              <w:ind w:hanging="26"/>
              <w:jc w:val="center"/>
              <w:rPr>
                <w:sz w:val="20"/>
                <w:szCs w:val="20"/>
              </w:rPr>
            </w:pPr>
            <w:r>
              <w:rPr>
                <w:sz w:val="20"/>
                <w:szCs w:val="20"/>
              </w:rPr>
              <w:t>36,0</w:t>
            </w:r>
          </w:p>
          <w:p w:rsidR="0058574E" w:rsidRPr="006B5B6B" w:rsidRDefault="0058574E" w:rsidP="00E7317C">
            <w:pPr>
              <w:pStyle w:val="21"/>
              <w:ind w:hanging="26"/>
              <w:jc w:val="center"/>
              <w:rPr>
                <w:i/>
                <w:sz w:val="20"/>
                <w:szCs w:val="20"/>
              </w:rPr>
            </w:pPr>
            <w:r w:rsidRPr="006B5B6B">
              <w:rPr>
                <w:i/>
                <w:sz w:val="20"/>
                <w:szCs w:val="20"/>
              </w:rPr>
              <w:t>9,0</w:t>
            </w:r>
          </w:p>
          <w:p w:rsidR="0058574E" w:rsidRPr="00E11575" w:rsidRDefault="0058574E" w:rsidP="00E7317C">
            <w:pPr>
              <w:pStyle w:val="21"/>
              <w:ind w:hanging="26"/>
              <w:jc w:val="center"/>
              <w:rPr>
                <w:sz w:val="20"/>
                <w:szCs w:val="20"/>
              </w:rPr>
            </w:pPr>
            <w:r w:rsidRPr="006B5B6B">
              <w:rPr>
                <w:i/>
                <w:sz w:val="20"/>
                <w:szCs w:val="20"/>
              </w:rPr>
              <w:t>27,0</w:t>
            </w:r>
          </w:p>
        </w:tc>
        <w:tc>
          <w:tcPr>
            <w:tcW w:w="530" w:type="pct"/>
          </w:tcPr>
          <w:p w:rsidR="0058574E" w:rsidRDefault="0058574E" w:rsidP="00E7317C">
            <w:pPr>
              <w:pStyle w:val="21"/>
              <w:ind w:hanging="26"/>
              <w:jc w:val="center"/>
              <w:rPr>
                <w:sz w:val="20"/>
                <w:szCs w:val="20"/>
              </w:rPr>
            </w:pPr>
            <w:r>
              <w:rPr>
                <w:sz w:val="20"/>
                <w:szCs w:val="20"/>
              </w:rPr>
              <w:t>36,0</w:t>
            </w:r>
          </w:p>
          <w:p w:rsidR="0058574E" w:rsidRPr="006B5B6B" w:rsidRDefault="0058574E" w:rsidP="00E7317C">
            <w:pPr>
              <w:pStyle w:val="21"/>
              <w:ind w:hanging="26"/>
              <w:jc w:val="center"/>
              <w:rPr>
                <w:i/>
                <w:sz w:val="20"/>
                <w:szCs w:val="20"/>
              </w:rPr>
            </w:pPr>
            <w:r w:rsidRPr="006B5B6B">
              <w:rPr>
                <w:i/>
                <w:sz w:val="20"/>
                <w:szCs w:val="20"/>
              </w:rPr>
              <w:t>9,0</w:t>
            </w:r>
          </w:p>
          <w:p w:rsidR="0058574E" w:rsidRPr="00E11575" w:rsidRDefault="0058574E" w:rsidP="00E7317C">
            <w:pPr>
              <w:pStyle w:val="21"/>
              <w:ind w:hanging="26"/>
              <w:jc w:val="center"/>
              <w:rPr>
                <w:sz w:val="20"/>
                <w:szCs w:val="20"/>
              </w:rPr>
            </w:pPr>
            <w:r w:rsidRPr="006B5B6B">
              <w:rPr>
                <w:i/>
                <w:sz w:val="20"/>
                <w:szCs w:val="20"/>
              </w:rPr>
              <w:t>27,0</w:t>
            </w:r>
          </w:p>
        </w:tc>
        <w:tc>
          <w:tcPr>
            <w:tcW w:w="530" w:type="pct"/>
          </w:tcPr>
          <w:p w:rsidR="0058574E" w:rsidRDefault="0058574E" w:rsidP="00E7317C">
            <w:pPr>
              <w:pStyle w:val="21"/>
              <w:ind w:hanging="26"/>
              <w:jc w:val="center"/>
              <w:rPr>
                <w:sz w:val="20"/>
                <w:szCs w:val="20"/>
              </w:rPr>
            </w:pPr>
            <w:r>
              <w:rPr>
                <w:sz w:val="20"/>
                <w:szCs w:val="20"/>
              </w:rPr>
              <w:t>36,0</w:t>
            </w:r>
          </w:p>
          <w:p w:rsidR="0058574E" w:rsidRPr="006B5B6B" w:rsidRDefault="0058574E" w:rsidP="00E7317C">
            <w:pPr>
              <w:pStyle w:val="21"/>
              <w:ind w:hanging="26"/>
              <w:jc w:val="center"/>
              <w:rPr>
                <w:i/>
                <w:sz w:val="20"/>
                <w:szCs w:val="20"/>
              </w:rPr>
            </w:pPr>
            <w:r w:rsidRPr="006B5B6B">
              <w:rPr>
                <w:i/>
                <w:sz w:val="20"/>
                <w:szCs w:val="20"/>
              </w:rPr>
              <w:t>9,0</w:t>
            </w:r>
          </w:p>
          <w:p w:rsidR="0058574E" w:rsidRPr="00E11575" w:rsidRDefault="0058574E" w:rsidP="00E7317C">
            <w:pPr>
              <w:pStyle w:val="21"/>
              <w:ind w:hanging="26"/>
              <w:jc w:val="center"/>
              <w:rPr>
                <w:sz w:val="20"/>
                <w:szCs w:val="20"/>
              </w:rPr>
            </w:pPr>
            <w:r w:rsidRPr="006B5B6B">
              <w:rPr>
                <w:i/>
                <w:sz w:val="20"/>
                <w:szCs w:val="20"/>
              </w:rPr>
              <w:t>27,0</w:t>
            </w:r>
          </w:p>
        </w:tc>
      </w:tr>
      <w:tr w:rsidR="0058574E" w:rsidRPr="00E11575" w:rsidTr="00E7317C">
        <w:tc>
          <w:tcPr>
            <w:tcW w:w="451" w:type="pct"/>
          </w:tcPr>
          <w:p w:rsidR="0058574E" w:rsidRPr="00E11575" w:rsidRDefault="0058574E" w:rsidP="00E7317C">
            <w:pPr>
              <w:pStyle w:val="21"/>
              <w:ind w:firstLine="0"/>
              <w:jc w:val="center"/>
              <w:rPr>
                <w:sz w:val="20"/>
                <w:szCs w:val="20"/>
              </w:rPr>
            </w:pPr>
            <w:r>
              <w:rPr>
                <w:sz w:val="20"/>
                <w:szCs w:val="20"/>
              </w:rPr>
              <w:t>16</w:t>
            </w:r>
          </w:p>
        </w:tc>
        <w:tc>
          <w:tcPr>
            <w:tcW w:w="2960" w:type="pct"/>
          </w:tcPr>
          <w:p w:rsidR="0058574E" w:rsidRPr="00E11575" w:rsidRDefault="0058574E" w:rsidP="00E7317C">
            <w:pPr>
              <w:pStyle w:val="21"/>
              <w:ind w:firstLine="0"/>
              <w:jc w:val="left"/>
              <w:rPr>
                <w:sz w:val="20"/>
                <w:szCs w:val="20"/>
              </w:rPr>
            </w:pPr>
            <w:r w:rsidRPr="00E11575">
              <w:rPr>
                <w:sz w:val="20"/>
                <w:szCs w:val="20"/>
              </w:rPr>
              <w:t>за государственную регистрацию перехода права собственности на объект недвижимости в связи с реорганизацией юридического лица в форме преобразования</w:t>
            </w:r>
          </w:p>
        </w:tc>
        <w:tc>
          <w:tcPr>
            <w:tcW w:w="530" w:type="pct"/>
          </w:tcPr>
          <w:p w:rsidR="0058574E" w:rsidRPr="00E11575" w:rsidRDefault="0058574E" w:rsidP="00E7317C">
            <w:pPr>
              <w:pStyle w:val="21"/>
              <w:ind w:hanging="26"/>
              <w:jc w:val="center"/>
              <w:rPr>
                <w:sz w:val="20"/>
                <w:szCs w:val="20"/>
              </w:rPr>
            </w:pPr>
            <w:r>
              <w:rPr>
                <w:sz w:val="20"/>
                <w:szCs w:val="20"/>
              </w:rPr>
              <w:t>4,5</w:t>
            </w:r>
          </w:p>
        </w:tc>
        <w:tc>
          <w:tcPr>
            <w:tcW w:w="530" w:type="pct"/>
          </w:tcPr>
          <w:p w:rsidR="0058574E" w:rsidRPr="00E11575" w:rsidRDefault="0058574E" w:rsidP="00E7317C">
            <w:pPr>
              <w:pStyle w:val="21"/>
              <w:ind w:hanging="26"/>
              <w:jc w:val="center"/>
              <w:rPr>
                <w:sz w:val="20"/>
                <w:szCs w:val="20"/>
              </w:rPr>
            </w:pPr>
            <w:r>
              <w:rPr>
                <w:sz w:val="20"/>
                <w:szCs w:val="20"/>
              </w:rPr>
              <w:t>4,5</w:t>
            </w:r>
          </w:p>
        </w:tc>
        <w:tc>
          <w:tcPr>
            <w:tcW w:w="530" w:type="pct"/>
          </w:tcPr>
          <w:p w:rsidR="0058574E" w:rsidRPr="00E11575" w:rsidRDefault="0058574E" w:rsidP="00E7317C">
            <w:pPr>
              <w:pStyle w:val="21"/>
              <w:ind w:hanging="26"/>
              <w:jc w:val="center"/>
              <w:rPr>
                <w:sz w:val="20"/>
                <w:szCs w:val="20"/>
              </w:rPr>
            </w:pPr>
            <w:r>
              <w:rPr>
                <w:sz w:val="20"/>
                <w:szCs w:val="20"/>
              </w:rPr>
              <w:t>4,5</w:t>
            </w:r>
          </w:p>
        </w:tc>
      </w:tr>
      <w:tr w:rsidR="0058574E" w:rsidRPr="00E11575" w:rsidTr="00E7317C">
        <w:tc>
          <w:tcPr>
            <w:tcW w:w="3411" w:type="pct"/>
            <w:gridSpan w:val="2"/>
            <w:shd w:val="clear" w:color="auto" w:fill="EAF1DD" w:themeFill="accent3" w:themeFillTint="33"/>
          </w:tcPr>
          <w:p w:rsidR="0058574E" w:rsidRPr="00BB6658" w:rsidRDefault="0058574E" w:rsidP="00E7317C">
            <w:pPr>
              <w:pStyle w:val="21"/>
              <w:ind w:firstLine="0"/>
              <w:jc w:val="left"/>
              <w:rPr>
                <w:b/>
                <w:sz w:val="20"/>
                <w:szCs w:val="20"/>
              </w:rPr>
            </w:pPr>
            <w:r w:rsidRPr="00BB6658">
              <w:rPr>
                <w:b/>
                <w:sz w:val="20"/>
                <w:szCs w:val="20"/>
              </w:rPr>
              <w:t>Корректирующий показатель</w:t>
            </w:r>
            <w:r>
              <w:rPr>
                <w:b/>
                <w:sz w:val="20"/>
                <w:szCs w:val="20"/>
              </w:rPr>
              <w:t>, тыс. руб.</w:t>
            </w:r>
          </w:p>
        </w:tc>
        <w:tc>
          <w:tcPr>
            <w:tcW w:w="530" w:type="pct"/>
            <w:shd w:val="clear" w:color="auto" w:fill="EAF1DD" w:themeFill="accent3" w:themeFillTint="33"/>
          </w:tcPr>
          <w:p w:rsidR="0058574E" w:rsidRPr="00BB6658" w:rsidRDefault="0058574E" w:rsidP="00E7317C">
            <w:pPr>
              <w:pStyle w:val="21"/>
              <w:ind w:hanging="26"/>
              <w:jc w:val="center"/>
              <w:rPr>
                <w:b/>
                <w:sz w:val="20"/>
                <w:szCs w:val="20"/>
              </w:rPr>
            </w:pPr>
            <w:r w:rsidRPr="00BB6658">
              <w:rPr>
                <w:b/>
                <w:sz w:val="20"/>
                <w:szCs w:val="20"/>
              </w:rPr>
              <w:t>-1 214,0</w:t>
            </w:r>
          </w:p>
        </w:tc>
        <w:tc>
          <w:tcPr>
            <w:tcW w:w="530" w:type="pct"/>
            <w:shd w:val="clear" w:color="auto" w:fill="EAF1DD" w:themeFill="accent3" w:themeFillTint="33"/>
          </w:tcPr>
          <w:p w:rsidR="0058574E" w:rsidRPr="00BB6658" w:rsidRDefault="0058574E" w:rsidP="00E7317C">
            <w:pPr>
              <w:pStyle w:val="21"/>
              <w:ind w:hanging="26"/>
              <w:jc w:val="center"/>
              <w:rPr>
                <w:b/>
                <w:sz w:val="20"/>
                <w:szCs w:val="20"/>
              </w:rPr>
            </w:pPr>
            <w:r w:rsidRPr="00BB6658">
              <w:rPr>
                <w:b/>
                <w:sz w:val="20"/>
                <w:szCs w:val="20"/>
              </w:rPr>
              <w:t>-1 209,0</w:t>
            </w:r>
          </w:p>
        </w:tc>
        <w:tc>
          <w:tcPr>
            <w:tcW w:w="530" w:type="pct"/>
            <w:shd w:val="clear" w:color="auto" w:fill="EAF1DD" w:themeFill="accent3" w:themeFillTint="33"/>
          </w:tcPr>
          <w:p w:rsidR="0058574E" w:rsidRPr="00BB6658" w:rsidRDefault="0058574E" w:rsidP="00E7317C">
            <w:pPr>
              <w:pStyle w:val="21"/>
              <w:ind w:hanging="26"/>
              <w:jc w:val="center"/>
              <w:rPr>
                <w:b/>
                <w:sz w:val="20"/>
                <w:szCs w:val="20"/>
              </w:rPr>
            </w:pPr>
            <w:r w:rsidRPr="00BB6658">
              <w:rPr>
                <w:b/>
                <w:sz w:val="20"/>
                <w:szCs w:val="20"/>
              </w:rPr>
              <w:t>1 211,0</w:t>
            </w:r>
          </w:p>
        </w:tc>
      </w:tr>
      <w:tr w:rsidR="0058574E" w:rsidRPr="00E11575" w:rsidTr="00E7317C">
        <w:tc>
          <w:tcPr>
            <w:tcW w:w="451" w:type="pct"/>
          </w:tcPr>
          <w:p w:rsidR="0058574E" w:rsidRPr="00E11575" w:rsidRDefault="0058574E" w:rsidP="00E7317C">
            <w:pPr>
              <w:pStyle w:val="21"/>
              <w:ind w:firstLine="0"/>
              <w:jc w:val="center"/>
              <w:rPr>
                <w:sz w:val="20"/>
                <w:szCs w:val="20"/>
              </w:rPr>
            </w:pPr>
            <w:r>
              <w:rPr>
                <w:sz w:val="20"/>
                <w:szCs w:val="20"/>
              </w:rPr>
              <w:t>1</w:t>
            </w:r>
          </w:p>
        </w:tc>
        <w:tc>
          <w:tcPr>
            <w:tcW w:w="2960" w:type="pct"/>
          </w:tcPr>
          <w:p w:rsidR="0058574E" w:rsidRPr="00E11575" w:rsidRDefault="0058574E" w:rsidP="00E7317C">
            <w:pPr>
              <w:pStyle w:val="21"/>
              <w:ind w:firstLine="0"/>
              <w:jc w:val="left"/>
              <w:rPr>
                <w:sz w:val="20"/>
                <w:szCs w:val="20"/>
              </w:rPr>
            </w:pPr>
            <w:r>
              <w:rPr>
                <w:sz w:val="20"/>
                <w:szCs w:val="20"/>
              </w:rPr>
              <w:t>Прогнозируемый объем возвратов плательщиков излишне уплаченной госпошлины</w:t>
            </w:r>
          </w:p>
        </w:tc>
        <w:tc>
          <w:tcPr>
            <w:tcW w:w="530" w:type="pct"/>
          </w:tcPr>
          <w:p w:rsidR="0058574E" w:rsidRPr="00E11575" w:rsidRDefault="0058574E" w:rsidP="00E7317C">
            <w:pPr>
              <w:pStyle w:val="21"/>
              <w:ind w:hanging="26"/>
              <w:jc w:val="center"/>
              <w:rPr>
                <w:sz w:val="20"/>
                <w:szCs w:val="20"/>
              </w:rPr>
            </w:pPr>
            <w:r>
              <w:rPr>
                <w:sz w:val="20"/>
                <w:szCs w:val="20"/>
              </w:rPr>
              <w:t>-1 214,0</w:t>
            </w:r>
          </w:p>
        </w:tc>
        <w:tc>
          <w:tcPr>
            <w:tcW w:w="530" w:type="pct"/>
          </w:tcPr>
          <w:p w:rsidR="0058574E" w:rsidRPr="00E11575" w:rsidRDefault="0058574E" w:rsidP="00E7317C">
            <w:pPr>
              <w:pStyle w:val="21"/>
              <w:ind w:hanging="26"/>
              <w:jc w:val="center"/>
              <w:rPr>
                <w:sz w:val="20"/>
                <w:szCs w:val="20"/>
              </w:rPr>
            </w:pPr>
            <w:r>
              <w:rPr>
                <w:sz w:val="20"/>
                <w:szCs w:val="20"/>
              </w:rPr>
              <w:t>-1 209,0</w:t>
            </w:r>
          </w:p>
        </w:tc>
        <w:tc>
          <w:tcPr>
            <w:tcW w:w="530" w:type="pct"/>
          </w:tcPr>
          <w:p w:rsidR="0058574E" w:rsidRPr="00E11575" w:rsidRDefault="0058574E" w:rsidP="00E7317C">
            <w:pPr>
              <w:pStyle w:val="21"/>
              <w:ind w:hanging="26"/>
              <w:jc w:val="center"/>
              <w:rPr>
                <w:sz w:val="20"/>
                <w:szCs w:val="20"/>
              </w:rPr>
            </w:pPr>
            <w:r>
              <w:rPr>
                <w:sz w:val="20"/>
                <w:szCs w:val="20"/>
              </w:rPr>
              <w:t>1 211,0</w:t>
            </w:r>
          </w:p>
        </w:tc>
      </w:tr>
      <w:tr w:rsidR="0058574E" w:rsidRPr="00E11575" w:rsidTr="00E7317C">
        <w:tc>
          <w:tcPr>
            <w:tcW w:w="3411" w:type="pct"/>
            <w:gridSpan w:val="2"/>
            <w:shd w:val="clear" w:color="auto" w:fill="EAF1DD" w:themeFill="accent3" w:themeFillTint="33"/>
          </w:tcPr>
          <w:p w:rsidR="0058574E" w:rsidRPr="00BB6658" w:rsidRDefault="0058574E" w:rsidP="00E7317C">
            <w:pPr>
              <w:pStyle w:val="21"/>
              <w:ind w:firstLine="0"/>
              <w:jc w:val="left"/>
              <w:rPr>
                <w:b/>
                <w:sz w:val="20"/>
                <w:szCs w:val="20"/>
              </w:rPr>
            </w:pPr>
            <w:r w:rsidRPr="00BB6658">
              <w:rPr>
                <w:b/>
                <w:sz w:val="20"/>
                <w:szCs w:val="20"/>
              </w:rPr>
              <w:t>Итого</w:t>
            </w:r>
            <w:r>
              <w:rPr>
                <w:b/>
                <w:sz w:val="20"/>
                <w:szCs w:val="20"/>
              </w:rPr>
              <w:t>, тыс. руб.</w:t>
            </w:r>
          </w:p>
        </w:tc>
        <w:tc>
          <w:tcPr>
            <w:tcW w:w="530" w:type="pct"/>
            <w:shd w:val="clear" w:color="auto" w:fill="EAF1DD" w:themeFill="accent3" w:themeFillTint="33"/>
          </w:tcPr>
          <w:p w:rsidR="0058574E" w:rsidRPr="00BB6658" w:rsidRDefault="0058574E" w:rsidP="00E7317C">
            <w:pPr>
              <w:pStyle w:val="21"/>
              <w:ind w:hanging="26"/>
              <w:jc w:val="center"/>
              <w:rPr>
                <w:b/>
                <w:sz w:val="20"/>
                <w:szCs w:val="20"/>
              </w:rPr>
            </w:pPr>
            <w:r w:rsidRPr="00BB6658">
              <w:rPr>
                <w:b/>
                <w:sz w:val="20"/>
                <w:szCs w:val="20"/>
              </w:rPr>
              <w:t>124 </w:t>
            </w:r>
            <w:r>
              <w:rPr>
                <w:b/>
                <w:sz w:val="20"/>
                <w:szCs w:val="20"/>
              </w:rPr>
              <w:t>8</w:t>
            </w:r>
            <w:r w:rsidRPr="00BB6658">
              <w:rPr>
                <w:b/>
                <w:sz w:val="20"/>
                <w:szCs w:val="20"/>
              </w:rPr>
              <w:t>00,8</w:t>
            </w:r>
          </w:p>
        </w:tc>
        <w:tc>
          <w:tcPr>
            <w:tcW w:w="530" w:type="pct"/>
            <w:shd w:val="clear" w:color="auto" w:fill="EAF1DD" w:themeFill="accent3" w:themeFillTint="33"/>
          </w:tcPr>
          <w:p w:rsidR="0058574E" w:rsidRPr="00BB6658" w:rsidRDefault="0058574E" w:rsidP="00E7317C">
            <w:pPr>
              <w:pStyle w:val="21"/>
              <w:ind w:hanging="26"/>
              <w:jc w:val="center"/>
              <w:rPr>
                <w:b/>
                <w:sz w:val="20"/>
                <w:szCs w:val="20"/>
              </w:rPr>
            </w:pPr>
            <w:r w:rsidRPr="00BB6658">
              <w:rPr>
                <w:b/>
                <w:sz w:val="20"/>
                <w:szCs w:val="20"/>
              </w:rPr>
              <w:t>124 805,8</w:t>
            </w:r>
          </w:p>
        </w:tc>
        <w:tc>
          <w:tcPr>
            <w:tcW w:w="530" w:type="pct"/>
            <w:shd w:val="clear" w:color="auto" w:fill="EAF1DD" w:themeFill="accent3" w:themeFillTint="33"/>
          </w:tcPr>
          <w:p w:rsidR="0058574E" w:rsidRPr="00BB6658" w:rsidRDefault="0058574E" w:rsidP="00E7317C">
            <w:pPr>
              <w:pStyle w:val="21"/>
              <w:ind w:hanging="26"/>
              <w:jc w:val="center"/>
              <w:rPr>
                <w:b/>
                <w:sz w:val="20"/>
                <w:szCs w:val="20"/>
              </w:rPr>
            </w:pPr>
            <w:r w:rsidRPr="00BB6658">
              <w:rPr>
                <w:b/>
                <w:sz w:val="20"/>
                <w:szCs w:val="20"/>
              </w:rPr>
              <w:t>124 803,8</w:t>
            </w:r>
          </w:p>
        </w:tc>
      </w:tr>
    </w:tbl>
    <w:p w:rsidR="0058574E" w:rsidRPr="00BB0035" w:rsidRDefault="0058574E" w:rsidP="0058574E">
      <w:pPr>
        <w:pStyle w:val="21"/>
        <w:ind w:firstLine="0"/>
        <w:rPr>
          <w:b/>
          <w:sz w:val="24"/>
          <w:szCs w:val="24"/>
        </w:rPr>
      </w:pPr>
    </w:p>
    <w:p w:rsidR="0058574E" w:rsidRPr="00BB0035" w:rsidRDefault="0058574E" w:rsidP="0058574E">
      <w:pPr>
        <w:pStyle w:val="21"/>
        <w:ind w:firstLine="0"/>
        <w:jc w:val="center"/>
        <w:rPr>
          <w:b/>
        </w:rPr>
      </w:pPr>
      <w:r w:rsidRPr="00BB0035">
        <w:rPr>
          <w:b/>
          <w:sz w:val="24"/>
          <w:szCs w:val="24"/>
        </w:rPr>
        <w:t xml:space="preserve">4. </w:t>
      </w:r>
      <w:r w:rsidRPr="00BB0035">
        <w:rPr>
          <w:b/>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p w:rsidR="0058574E" w:rsidRPr="00BB0035" w:rsidRDefault="0058574E" w:rsidP="0058574E">
      <w:pPr>
        <w:pStyle w:val="21"/>
        <w:ind w:firstLine="0"/>
        <w:jc w:val="center"/>
        <w:rPr>
          <w:b/>
        </w:rPr>
      </w:pPr>
      <w:r w:rsidRPr="00BB0035">
        <w:rPr>
          <w:b/>
          <w:sz w:val="24"/>
          <w:szCs w:val="24"/>
        </w:rPr>
        <w:t>(000 1 08 07082 01 0000 110)</w:t>
      </w:r>
    </w:p>
    <w:p w:rsidR="0058574E" w:rsidRPr="00BB0035" w:rsidRDefault="0058574E" w:rsidP="0058574E">
      <w:pPr>
        <w:pStyle w:val="21"/>
        <w:jc w:val="center"/>
        <w:rPr>
          <w:b/>
          <w:sz w:val="24"/>
          <w:szCs w:val="24"/>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6"/>
        <w:gridCol w:w="1436"/>
        <w:gridCol w:w="1436"/>
        <w:gridCol w:w="1554"/>
      </w:tblGrid>
      <w:tr w:rsidR="0058574E" w:rsidRPr="00BB0035" w:rsidTr="00E7317C">
        <w:trPr>
          <w:trHeight w:val="148"/>
          <w:tblHeader/>
        </w:trPr>
        <w:tc>
          <w:tcPr>
            <w:tcW w:w="5356" w:type="dxa"/>
          </w:tcPr>
          <w:p w:rsidR="0058574E" w:rsidRPr="00BB0035" w:rsidRDefault="0058574E" w:rsidP="00E7317C">
            <w:pPr>
              <w:jc w:val="center"/>
              <w:rPr>
                <w:sz w:val="20"/>
                <w:szCs w:val="20"/>
              </w:rPr>
            </w:pPr>
            <w:r w:rsidRPr="00BB0035">
              <w:rPr>
                <w:sz w:val="20"/>
                <w:szCs w:val="20"/>
              </w:rPr>
              <w:t>Наименование показателя</w:t>
            </w:r>
          </w:p>
        </w:tc>
        <w:tc>
          <w:tcPr>
            <w:tcW w:w="1436" w:type="dxa"/>
          </w:tcPr>
          <w:p w:rsidR="0058574E" w:rsidRPr="00BB0035" w:rsidRDefault="0058574E" w:rsidP="00E7317C">
            <w:pPr>
              <w:ind w:left="720" w:hanging="371"/>
              <w:jc w:val="both"/>
              <w:rPr>
                <w:sz w:val="20"/>
                <w:szCs w:val="20"/>
              </w:rPr>
            </w:pPr>
            <w:r w:rsidRPr="00BB0035">
              <w:rPr>
                <w:sz w:val="20"/>
                <w:szCs w:val="20"/>
              </w:rPr>
              <w:t>2022 год</w:t>
            </w:r>
          </w:p>
        </w:tc>
        <w:tc>
          <w:tcPr>
            <w:tcW w:w="1436" w:type="dxa"/>
          </w:tcPr>
          <w:p w:rsidR="0058574E" w:rsidRPr="00BB0035" w:rsidRDefault="0058574E" w:rsidP="00E7317C">
            <w:pPr>
              <w:jc w:val="center"/>
              <w:rPr>
                <w:sz w:val="20"/>
                <w:szCs w:val="20"/>
              </w:rPr>
            </w:pPr>
            <w:r w:rsidRPr="00BB0035">
              <w:rPr>
                <w:sz w:val="20"/>
                <w:szCs w:val="20"/>
              </w:rPr>
              <w:t>2023 год</w:t>
            </w:r>
          </w:p>
        </w:tc>
        <w:tc>
          <w:tcPr>
            <w:tcW w:w="1554" w:type="dxa"/>
          </w:tcPr>
          <w:p w:rsidR="0058574E" w:rsidRPr="00BB0035" w:rsidRDefault="0058574E" w:rsidP="00E7317C">
            <w:pPr>
              <w:jc w:val="center"/>
              <w:rPr>
                <w:sz w:val="20"/>
                <w:szCs w:val="20"/>
              </w:rPr>
            </w:pPr>
            <w:r w:rsidRPr="00BB0035">
              <w:rPr>
                <w:sz w:val="20"/>
                <w:szCs w:val="20"/>
              </w:rPr>
              <w:t>2024 год</w:t>
            </w:r>
          </w:p>
        </w:tc>
      </w:tr>
      <w:tr w:rsidR="0058574E" w:rsidRPr="00BB0035" w:rsidTr="00E7317C">
        <w:trPr>
          <w:trHeight w:val="521"/>
        </w:trPr>
        <w:tc>
          <w:tcPr>
            <w:tcW w:w="9782" w:type="dxa"/>
            <w:gridSpan w:val="4"/>
          </w:tcPr>
          <w:p w:rsidR="0058574E" w:rsidRPr="00BB0035" w:rsidRDefault="0058574E" w:rsidP="00E7317C">
            <w:pPr>
              <w:ind w:left="2340"/>
              <w:rPr>
                <w:b/>
                <w:sz w:val="20"/>
                <w:szCs w:val="20"/>
              </w:rPr>
            </w:pPr>
            <w:r w:rsidRPr="00BB0035">
              <w:rPr>
                <w:b/>
                <w:sz w:val="20"/>
                <w:szCs w:val="20"/>
              </w:rPr>
              <w:t>4.1. Лицензирование розничной продажи алкогольной продукции</w:t>
            </w:r>
          </w:p>
          <w:p w:rsidR="0058574E" w:rsidRPr="00BB0035" w:rsidRDefault="0058574E" w:rsidP="00E7317C">
            <w:pPr>
              <w:ind w:left="720"/>
              <w:jc w:val="center"/>
              <w:rPr>
                <w:sz w:val="20"/>
                <w:szCs w:val="20"/>
              </w:rPr>
            </w:pPr>
            <w:r w:rsidRPr="00BB0035">
              <w:rPr>
                <w:sz w:val="20"/>
                <w:szCs w:val="20"/>
              </w:rPr>
              <w:t>(Министерство Тверской области по обеспечению контрольных функций)</w:t>
            </w:r>
          </w:p>
        </w:tc>
      </w:tr>
      <w:tr w:rsidR="0058574E" w:rsidRPr="00BB0035" w:rsidTr="00E7317C">
        <w:trPr>
          <w:trHeight w:val="995"/>
        </w:trPr>
        <w:tc>
          <w:tcPr>
            <w:tcW w:w="5356" w:type="dxa"/>
          </w:tcPr>
          <w:p w:rsidR="0058574E" w:rsidRPr="00BB0035" w:rsidRDefault="0058574E" w:rsidP="00E7317C">
            <w:pPr>
              <w:numPr>
                <w:ilvl w:val="1"/>
                <w:numId w:val="2"/>
              </w:numPr>
              <w:ind w:left="180" w:hanging="1260"/>
              <w:rPr>
                <w:sz w:val="20"/>
                <w:szCs w:val="20"/>
              </w:rPr>
            </w:pPr>
            <w:r w:rsidRPr="00BB0035">
              <w:rPr>
                <w:sz w:val="20"/>
                <w:szCs w:val="20"/>
              </w:rPr>
              <w:t>1.1. Количество выданных и продленных лицензий, ед. - всего,</w:t>
            </w:r>
          </w:p>
          <w:p w:rsidR="0058574E" w:rsidRPr="00BB0035" w:rsidRDefault="0058574E" w:rsidP="00E7317C">
            <w:pPr>
              <w:numPr>
                <w:ilvl w:val="1"/>
                <w:numId w:val="2"/>
              </w:numPr>
              <w:ind w:left="180" w:hanging="1260"/>
              <w:rPr>
                <w:sz w:val="20"/>
                <w:szCs w:val="20"/>
              </w:rPr>
            </w:pPr>
            <w:r w:rsidRPr="00BB0035">
              <w:rPr>
                <w:sz w:val="20"/>
                <w:szCs w:val="20"/>
              </w:rPr>
              <w:t>в том числе сроком:</w:t>
            </w:r>
          </w:p>
          <w:p w:rsidR="0058574E" w:rsidRPr="00BB0035" w:rsidRDefault="0058574E" w:rsidP="00E7317C">
            <w:pPr>
              <w:numPr>
                <w:ilvl w:val="1"/>
                <w:numId w:val="2"/>
              </w:numPr>
              <w:ind w:left="180" w:hanging="1260"/>
              <w:rPr>
                <w:sz w:val="20"/>
                <w:szCs w:val="20"/>
              </w:rPr>
            </w:pPr>
            <w:r w:rsidRPr="00BB0035">
              <w:rPr>
                <w:sz w:val="20"/>
                <w:szCs w:val="20"/>
              </w:rPr>
              <w:t>1.1.1. на 1 год</w:t>
            </w:r>
          </w:p>
          <w:p w:rsidR="0058574E" w:rsidRPr="00BB0035" w:rsidRDefault="0058574E" w:rsidP="00E7317C">
            <w:pPr>
              <w:numPr>
                <w:ilvl w:val="1"/>
                <w:numId w:val="2"/>
              </w:numPr>
              <w:ind w:left="180" w:hanging="1260"/>
              <w:rPr>
                <w:sz w:val="20"/>
                <w:szCs w:val="20"/>
              </w:rPr>
            </w:pPr>
            <w:r w:rsidRPr="00BB0035">
              <w:rPr>
                <w:sz w:val="20"/>
                <w:szCs w:val="20"/>
              </w:rPr>
              <w:t>1.1.2. на 2 года</w:t>
            </w:r>
          </w:p>
          <w:p w:rsidR="0058574E" w:rsidRPr="00BB0035" w:rsidRDefault="0058574E" w:rsidP="00E7317C">
            <w:pPr>
              <w:numPr>
                <w:ilvl w:val="1"/>
                <w:numId w:val="2"/>
              </w:numPr>
              <w:ind w:left="180" w:hanging="1260"/>
              <w:rPr>
                <w:sz w:val="20"/>
                <w:szCs w:val="20"/>
              </w:rPr>
            </w:pPr>
            <w:r w:rsidRPr="00BB0035">
              <w:rPr>
                <w:sz w:val="20"/>
                <w:szCs w:val="20"/>
              </w:rPr>
              <w:t>1.1.3. на 3 года</w:t>
            </w:r>
          </w:p>
          <w:p w:rsidR="0058574E" w:rsidRPr="00BB0035" w:rsidRDefault="0058574E" w:rsidP="00E7317C">
            <w:pPr>
              <w:numPr>
                <w:ilvl w:val="1"/>
                <w:numId w:val="2"/>
              </w:numPr>
              <w:ind w:left="180" w:hanging="1260"/>
              <w:rPr>
                <w:sz w:val="20"/>
                <w:szCs w:val="20"/>
              </w:rPr>
            </w:pPr>
            <w:r w:rsidRPr="00BB0035">
              <w:rPr>
                <w:sz w:val="20"/>
                <w:szCs w:val="20"/>
              </w:rPr>
              <w:t>1.1.4. на 4 года</w:t>
            </w:r>
          </w:p>
          <w:p w:rsidR="0058574E" w:rsidRPr="00BB0035" w:rsidRDefault="0058574E" w:rsidP="00E7317C">
            <w:pPr>
              <w:numPr>
                <w:ilvl w:val="1"/>
                <w:numId w:val="2"/>
              </w:numPr>
              <w:ind w:left="180" w:hanging="1260"/>
              <w:rPr>
                <w:sz w:val="20"/>
                <w:szCs w:val="20"/>
              </w:rPr>
            </w:pPr>
            <w:r w:rsidRPr="00BB0035">
              <w:rPr>
                <w:sz w:val="20"/>
                <w:szCs w:val="20"/>
              </w:rPr>
              <w:t xml:space="preserve">1.1.5. на 5 лет </w:t>
            </w:r>
          </w:p>
          <w:p w:rsidR="0058574E" w:rsidRPr="00BB0035" w:rsidRDefault="0058574E" w:rsidP="00E7317C">
            <w:pPr>
              <w:numPr>
                <w:ilvl w:val="1"/>
                <w:numId w:val="2"/>
              </w:numPr>
              <w:ind w:left="180" w:hanging="1260"/>
              <w:rPr>
                <w:sz w:val="20"/>
                <w:szCs w:val="20"/>
              </w:rPr>
            </w:pPr>
            <w:r w:rsidRPr="00BB0035">
              <w:rPr>
                <w:sz w:val="20"/>
                <w:szCs w:val="20"/>
              </w:rPr>
              <w:t>1.2. Количество переоформленных лицензий, ед.</w:t>
            </w:r>
          </w:p>
        </w:tc>
        <w:tc>
          <w:tcPr>
            <w:tcW w:w="1436" w:type="dxa"/>
          </w:tcPr>
          <w:p w:rsidR="0058574E" w:rsidRPr="00BB0035" w:rsidRDefault="0058574E" w:rsidP="00E7317C">
            <w:pPr>
              <w:jc w:val="center"/>
              <w:rPr>
                <w:sz w:val="20"/>
                <w:szCs w:val="20"/>
              </w:rPr>
            </w:pPr>
          </w:p>
          <w:p w:rsidR="0058574E" w:rsidRPr="00BB0035" w:rsidRDefault="0058574E" w:rsidP="00E7317C">
            <w:pPr>
              <w:jc w:val="center"/>
              <w:rPr>
                <w:sz w:val="20"/>
                <w:szCs w:val="20"/>
              </w:rPr>
            </w:pPr>
            <w:r w:rsidRPr="00BB0035">
              <w:rPr>
                <w:sz w:val="20"/>
                <w:szCs w:val="20"/>
                <w:lang w:val="en-US"/>
              </w:rPr>
              <w:t>5</w:t>
            </w:r>
            <w:r w:rsidRPr="00BB0035">
              <w:rPr>
                <w:sz w:val="20"/>
                <w:szCs w:val="20"/>
              </w:rPr>
              <w:t>41</w:t>
            </w:r>
          </w:p>
          <w:p w:rsidR="0058574E" w:rsidRPr="00BB0035" w:rsidRDefault="0058574E" w:rsidP="00E7317C">
            <w:pPr>
              <w:jc w:val="center"/>
              <w:rPr>
                <w:sz w:val="20"/>
                <w:szCs w:val="20"/>
              </w:rPr>
            </w:pPr>
          </w:p>
          <w:p w:rsidR="0058574E" w:rsidRPr="00BB0035" w:rsidRDefault="0058574E" w:rsidP="00E7317C">
            <w:pPr>
              <w:jc w:val="center"/>
              <w:rPr>
                <w:sz w:val="20"/>
                <w:szCs w:val="20"/>
              </w:rPr>
            </w:pPr>
            <w:r w:rsidRPr="00BB0035">
              <w:rPr>
                <w:sz w:val="20"/>
                <w:szCs w:val="20"/>
              </w:rPr>
              <w:t>446</w:t>
            </w:r>
          </w:p>
          <w:p w:rsidR="0058574E" w:rsidRPr="00BB0035" w:rsidRDefault="0058574E" w:rsidP="00E7317C">
            <w:pPr>
              <w:jc w:val="center"/>
              <w:rPr>
                <w:sz w:val="20"/>
                <w:szCs w:val="20"/>
              </w:rPr>
            </w:pPr>
            <w:r w:rsidRPr="00BB0035">
              <w:rPr>
                <w:sz w:val="20"/>
                <w:szCs w:val="20"/>
              </w:rPr>
              <w:t>56</w:t>
            </w:r>
          </w:p>
          <w:p w:rsidR="0058574E" w:rsidRPr="00BB0035" w:rsidRDefault="0058574E" w:rsidP="00E7317C">
            <w:pPr>
              <w:jc w:val="center"/>
              <w:rPr>
                <w:sz w:val="20"/>
                <w:szCs w:val="20"/>
              </w:rPr>
            </w:pPr>
            <w:r w:rsidRPr="00BB0035">
              <w:rPr>
                <w:sz w:val="20"/>
                <w:szCs w:val="20"/>
              </w:rPr>
              <w:t>27</w:t>
            </w:r>
          </w:p>
          <w:p w:rsidR="0058574E" w:rsidRPr="00BB0035" w:rsidRDefault="0058574E" w:rsidP="00E7317C">
            <w:pPr>
              <w:jc w:val="center"/>
              <w:rPr>
                <w:sz w:val="20"/>
                <w:szCs w:val="20"/>
              </w:rPr>
            </w:pPr>
          </w:p>
          <w:p w:rsidR="0058574E" w:rsidRPr="00BB0035" w:rsidRDefault="0058574E" w:rsidP="00E7317C">
            <w:pPr>
              <w:jc w:val="center"/>
              <w:rPr>
                <w:sz w:val="20"/>
                <w:szCs w:val="20"/>
                <w:lang w:val="en-US"/>
              </w:rPr>
            </w:pPr>
            <w:r w:rsidRPr="00BB0035">
              <w:rPr>
                <w:sz w:val="20"/>
                <w:szCs w:val="20"/>
              </w:rPr>
              <w:t>1</w:t>
            </w:r>
            <w:r w:rsidRPr="00BB0035">
              <w:rPr>
                <w:sz w:val="20"/>
                <w:szCs w:val="20"/>
                <w:lang w:val="en-US"/>
              </w:rPr>
              <w:t>2</w:t>
            </w:r>
          </w:p>
          <w:p w:rsidR="0058574E" w:rsidRPr="00BB0035" w:rsidRDefault="0058574E" w:rsidP="00E7317C">
            <w:pPr>
              <w:jc w:val="center"/>
              <w:rPr>
                <w:sz w:val="20"/>
                <w:szCs w:val="20"/>
              </w:rPr>
            </w:pPr>
            <w:r w:rsidRPr="00BB0035">
              <w:rPr>
                <w:sz w:val="20"/>
                <w:szCs w:val="20"/>
              </w:rPr>
              <w:t>277</w:t>
            </w:r>
          </w:p>
        </w:tc>
        <w:tc>
          <w:tcPr>
            <w:tcW w:w="1436" w:type="dxa"/>
          </w:tcPr>
          <w:p w:rsidR="0058574E" w:rsidRPr="00BB0035" w:rsidRDefault="0058574E" w:rsidP="00E7317C">
            <w:pPr>
              <w:jc w:val="center"/>
              <w:rPr>
                <w:sz w:val="20"/>
                <w:szCs w:val="20"/>
                <w:lang w:val="en-US"/>
              </w:rPr>
            </w:pPr>
          </w:p>
          <w:p w:rsidR="0058574E" w:rsidRPr="00BB0035" w:rsidRDefault="0058574E" w:rsidP="00E7317C">
            <w:pPr>
              <w:jc w:val="center"/>
              <w:rPr>
                <w:sz w:val="20"/>
                <w:szCs w:val="20"/>
              </w:rPr>
            </w:pPr>
            <w:r w:rsidRPr="00BB0035">
              <w:rPr>
                <w:sz w:val="20"/>
                <w:szCs w:val="20"/>
                <w:lang w:val="en-US"/>
              </w:rPr>
              <w:t>5</w:t>
            </w:r>
            <w:r w:rsidRPr="00BB0035">
              <w:rPr>
                <w:sz w:val="20"/>
                <w:szCs w:val="20"/>
              </w:rPr>
              <w:t>41</w:t>
            </w:r>
          </w:p>
          <w:p w:rsidR="0058574E" w:rsidRPr="00BB0035" w:rsidRDefault="0058574E" w:rsidP="00E7317C">
            <w:pPr>
              <w:jc w:val="center"/>
              <w:rPr>
                <w:sz w:val="20"/>
                <w:szCs w:val="20"/>
              </w:rPr>
            </w:pPr>
          </w:p>
          <w:p w:rsidR="0058574E" w:rsidRPr="00BB0035" w:rsidRDefault="0058574E" w:rsidP="00E7317C">
            <w:pPr>
              <w:jc w:val="center"/>
              <w:rPr>
                <w:sz w:val="20"/>
                <w:szCs w:val="20"/>
              </w:rPr>
            </w:pPr>
            <w:r w:rsidRPr="00BB0035">
              <w:rPr>
                <w:sz w:val="20"/>
                <w:szCs w:val="20"/>
              </w:rPr>
              <w:t>446</w:t>
            </w:r>
          </w:p>
          <w:p w:rsidR="0058574E" w:rsidRPr="00BB0035" w:rsidRDefault="0058574E" w:rsidP="00E7317C">
            <w:pPr>
              <w:jc w:val="center"/>
              <w:rPr>
                <w:sz w:val="20"/>
                <w:szCs w:val="20"/>
              </w:rPr>
            </w:pPr>
            <w:r w:rsidRPr="00BB0035">
              <w:rPr>
                <w:sz w:val="20"/>
                <w:szCs w:val="20"/>
              </w:rPr>
              <w:t>56</w:t>
            </w:r>
          </w:p>
          <w:p w:rsidR="0058574E" w:rsidRPr="00BB0035" w:rsidRDefault="0058574E" w:rsidP="00E7317C">
            <w:pPr>
              <w:jc w:val="center"/>
              <w:rPr>
                <w:sz w:val="20"/>
                <w:szCs w:val="20"/>
              </w:rPr>
            </w:pPr>
            <w:r w:rsidRPr="00BB0035">
              <w:rPr>
                <w:sz w:val="20"/>
                <w:szCs w:val="20"/>
              </w:rPr>
              <w:t>27</w:t>
            </w:r>
          </w:p>
          <w:p w:rsidR="0058574E" w:rsidRPr="00BB0035" w:rsidRDefault="0058574E" w:rsidP="00E7317C">
            <w:pPr>
              <w:jc w:val="center"/>
              <w:rPr>
                <w:sz w:val="20"/>
                <w:szCs w:val="20"/>
              </w:rPr>
            </w:pPr>
          </w:p>
          <w:p w:rsidR="0058574E" w:rsidRPr="00BB0035" w:rsidRDefault="0058574E" w:rsidP="00E7317C">
            <w:pPr>
              <w:jc w:val="center"/>
              <w:rPr>
                <w:sz w:val="20"/>
                <w:szCs w:val="20"/>
                <w:lang w:val="en-US"/>
              </w:rPr>
            </w:pPr>
            <w:r w:rsidRPr="00BB0035">
              <w:rPr>
                <w:sz w:val="20"/>
                <w:szCs w:val="20"/>
              </w:rPr>
              <w:t>1</w:t>
            </w:r>
            <w:r w:rsidRPr="00BB0035">
              <w:rPr>
                <w:sz w:val="20"/>
                <w:szCs w:val="20"/>
                <w:lang w:val="en-US"/>
              </w:rPr>
              <w:t>2</w:t>
            </w:r>
          </w:p>
          <w:p w:rsidR="0058574E" w:rsidRPr="00BB0035" w:rsidRDefault="0058574E" w:rsidP="00E7317C">
            <w:pPr>
              <w:jc w:val="center"/>
              <w:rPr>
                <w:sz w:val="20"/>
                <w:szCs w:val="20"/>
                <w:lang w:val="en-US"/>
              </w:rPr>
            </w:pPr>
            <w:r w:rsidRPr="00BB0035">
              <w:rPr>
                <w:sz w:val="20"/>
                <w:szCs w:val="20"/>
              </w:rPr>
              <w:t>277</w:t>
            </w:r>
          </w:p>
        </w:tc>
        <w:tc>
          <w:tcPr>
            <w:tcW w:w="1554" w:type="dxa"/>
          </w:tcPr>
          <w:p w:rsidR="0058574E" w:rsidRPr="00BB0035" w:rsidRDefault="0058574E" w:rsidP="00E7317C">
            <w:pPr>
              <w:rPr>
                <w:sz w:val="20"/>
                <w:szCs w:val="20"/>
                <w:lang w:val="en-US"/>
              </w:rPr>
            </w:pPr>
          </w:p>
          <w:p w:rsidR="0058574E" w:rsidRPr="00BB0035" w:rsidRDefault="0058574E" w:rsidP="00E7317C">
            <w:pPr>
              <w:jc w:val="center"/>
              <w:rPr>
                <w:sz w:val="20"/>
                <w:szCs w:val="20"/>
              </w:rPr>
            </w:pPr>
            <w:r w:rsidRPr="00BB0035">
              <w:rPr>
                <w:sz w:val="20"/>
                <w:szCs w:val="20"/>
                <w:lang w:val="en-US"/>
              </w:rPr>
              <w:t>5</w:t>
            </w:r>
            <w:r w:rsidRPr="00BB0035">
              <w:rPr>
                <w:sz w:val="20"/>
                <w:szCs w:val="20"/>
              </w:rPr>
              <w:t>41</w:t>
            </w:r>
          </w:p>
          <w:p w:rsidR="0058574E" w:rsidRPr="00BB0035" w:rsidRDefault="0058574E" w:rsidP="00E7317C">
            <w:pPr>
              <w:jc w:val="center"/>
              <w:rPr>
                <w:sz w:val="20"/>
                <w:szCs w:val="20"/>
              </w:rPr>
            </w:pPr>
          </w:p>
          <w:p w:rsidR="0058574E" w:rsidRPr="00BB0035" w:rsidRDefault="0058574E" w:rsidP="00E7317C">
            <w:pPr>
              <w:jc w:val="center"/>
              <w:rPr>
                <w:sz w:val="20"/>
                <w:szCs w:val="20"/>
              </w:rPr>
            </w:pPr>
            <w:r w:rsidRPr="00BB0035">
              <w:rPr>
                <w:sz w:val="20"/>
                <w:szCs w:val="20"/>
              </w:rPr>
              <w:t>447</w:t>
            </w:r>
          </w:p>
          <w:p w:rsidR="0058574E" w:rsidRPr="00BB0035" w:rsidRDefault="0058574E" w:rsidP="00E7317C">
            <w:pPr>
              <w:jc w:val="center"/>
              <w:rPr>
                <w:sz w:val="20"/>
                <w:szCs w:val="20"/>
              </w:rPr>
            </w:pPr>
            <w:r w:rsidRPr="00BB0035">
              <w:rPr>
                <w:sz w:val="20"/>
                <w:szCs w:val="20"/>
              </w:rPr>
              <w:t>56</w:t>
            </w:r>
          </w:p>
          <w:p w:rsidR="0058574E" w:rsidRPr="00BB0035" w:rsidRDefault="0058574E" w:rsidP="00E7317C">
            <w:pPr>
              <w:jc w:val="center"/>
              <w:rPr>
                <w:sz w:val="20"/>
                <w:szCs w:val="20"/>
              </w:rPr>
            </w:pPr>
            <w:r w:rsidRPr="00BB0035">
              <w:rPr>
                <w:sz w:val="20"/>
                <w:szCs w:val="20"/>
              </w:rPr>
              <w:t>27</w:t>
            </w:r>
          </w:p>
          <w:p w:rsidR="0058574E" w:rsidRPr="00BB0035" w:rsidRDefault="0058574E" w:rsidP="00E7317C">
            <w:pPr>
              <w:jc w:val="center"/>
              <w:rPr>
                <w:sz w:val="20"/>
                <w:szCs w:val="20"/>
              </w:rPr>
            </w:pPr>
          </w:p>
          <w:p w:rsidR="0058574E" w:rsidRPr="00BB0035" w:rsidRDefault="0058574E" w:rsidP="00E7317C">
            <w:pPr>
              <w:jc w:val="center"/>
              <w:rPr>
                <w:sz w:val="20"/>
                <w:szCs w:val="20"/>
                <w:lang w:val="en-US"/>
              </w:rPr>
            </w:pPr>
            <w:r w:rsidRPr="00BB0035">
              <w:rPr>
                <w:sz w:val="20"/>
                <w:szCs w:val="20"/>
              </w:rPr>
              <w:t>1</w:t>
            </w:r>
            <w:r w:rsidRPr="00BB0035">
              <w:rPr>
                <w:sz w:val="20"/>
                <w:szCs w:val="20"/>
                <w:lang w:val="en-US"/>
              </w:rPr>
              <w:t>2</w:t>
            </w:r>
          </w:p>
          <w:p w:rsidR="0058574E" w:rsidRPr="00BB0035" w:rsidRDefault="0058574E" w:rsidP="00E7317C">
            <w:pPr>
              <w:jc w:val="center"/>
              <w:rPr>
                <w:sz w:val="20"/>
                <w:szCs w:val="20"/>
              </w:rPr>
            </w:pPr>
            <w:r w:rsidRPr="00BB0035">
              <w:rPr>
                <w:sz w:val="20"/>
                <w:szCs w:val="20"/>
              </w:rPr>
              <w:t>277</w:t>
            </w:r>
          </w:p>
        </w:tc>
      </w:tr>
      <w:tr w:rsidR="0058574E" w:rsidRPr="00BB0035" w:rsidTr="00E7317C">
        <w:trPr>
          <w:trHeight w:val="1415"/>
        </w:trPr>
        <w:tc>
          <w:tcPr>
            <w:tcW w:w="5356" w:type="dxa"/>
          </w:tcPr>
          <w:p w:rsidR="0058574E" w:rsidRPr="00BB0035" w:rsidRDefault="0058574E" w:rsidP="00E7317C">
            <w:pPr>
              <w:rPr>
                <w:sz w:val="20"/>
                <w:szCs w:val="20"/>
              </w:rPr>
            </w:pPr>
            <w:r w:rsidRPr="00BB0035">
              <w:rPr>
                <w:sz w:val="20"/>
                <w:szCs w:val="20"/>
              </w:rPr>
              <w:t>2. Размер государственной пошлины, тыс. руб. за каждый год действия лицензии</w:t>
            </w:r>
          </w:p>
          <w:p w:rsidR="0058574E" w:rsidRPr="00BB0035" w:rsidRDefault="0058574E" w:rsidP="00E7317C">
            <w:pPr>
              <w:ind w:left="360"/>
              <w:rPr>
                <w:sz w:val="20"/>
                <w:szCs w:val="20"/>
              </w:rPr>
            </w:pPr>
            <w:r w:rsidRPr="00BB0035">
              <w:rPr>
                <w:sz w:val="20"/>
                <w:szCs w:val="20"/>
              </w:rPr>
              <w:t>2.1 за выдачу и продление лицензии</w:t>
            </w:r>
          </w:p>
          <w:p w:rsidR="0058574E" w:rsidRPr="00BB0035" w:rsidRDefault="0058574E" w:rsidP="00E7317C">
            <w:pPr>
              <w:ind w:left="360"/>
              <w:rPr>
                <w:sz w:val="20"/>
                <w:szCs w:val="20"/>
              </w:rPr>
            </w:pPr>
            <w:r w:rsidRPr="00BB0035">
              <w:rPr>
                <w:sz w:val="20"/>
                <w:szCs w:val="20"/>
              </w:rPr>
              <w:t>2.2. за переоформление лицензий в связи с изменением наименования юр. лица (без его реорганизации), его местонахождения или указанного в лицензии места осуществления деятельности либо иных указываемых в лицензии данных, а также в связи с утратой лицензии</w:t>
            </w:r>
          </w:p>
          <w:p w:rsidR="0058574E" w:rsidRPr="00BB0035" w:rsidRDefault="0058574E" w:rsidP="00E7317C">
            <w:pPr>
              <w:ind w:left="360"/>
              <w:rPr>
                <w:sz w:val="20"/>
                <w:szCs w:val="20"/>
              </w:rPr>
            </w:pPr>
          </w:p>
        </w:tc>
        <w:tc>
          <w:tcPr>
            <w:tcW w:w="1436" w:type="dxa"/>
          </w:tcPr>
          <w:p w:rsidR="0058574E" w:rsidRPr="00BB0035" w:rsidRDefault="0058574E" w:rsidP="00E7317C">
            <w:pPr>
              <w:ind w:left="720"/>
              <w:jc w:val="center"/>
              <w:rPr>
                <w:sz w:val="20"/>
                <w:szCs w:val="20"/>
              </w:rPr>
            </w:pPr>
          </w:p>
          <w:p w:rsidR="0058574E" w:rsidRPr="00BB0035" w:rsidRDefault="0058574E" w:rsidP="00E7317C">
            <w:pPr>
              <w:jc w:val="center"/>
              <w:rPr>
                <w:sz w:val="20"/>
                <w:szCs w:val="20"/>
              </w:rPr>
            </w:pPr>
          </w:p>
          <w:p w:rsidR="0058574E" w:rsidRPr="00BB0035" w:rsidRDefault="0058574E" w:rsidP="00E7317C">
            <w:pPr>
              <w:jc w:val="center"/>
              <w:rPr>
                <w:sz w:val="20"/>
                <w:szCs w:val="20"/>
              </w:rPr>
            </w:pPr>
            <w:r w:rsidRPr="00BB0035">
              <w:rPr>
                <w:sz w:val="20"/>
                <w:szCs w:val="20"/>
              </w:rPr>
              <w:t>65</w:t>
            </w:r>
          </w:p>
          <w:p w:rsidR="0058574E" w:rsidRPr="00BB0035" w:rsidRDefault="0058574E" w:rsidP="00E7317C">
            <w:pPr>
              <w:ind w:left="720"/>
              <w:jc w:val="center"/>
              <w:rPr>
                <w:sz w:val="20"/>
                <w:szCs w:val="20"/>
              </w:rPr>
            </w:pPr>
          </w:p>
          <w:p w:rsidR="0058574E" w:rsidRPr="00BB0035" w:rsidRDefault="0058574E" w:rsidP="00E7317C">
            <w:pPr>
              <w:ind w:left="720"/>
              <w:jc w:val="center"/>
              <w:rPr>
                <w:sz w:val="20"/>
                <w:szCs w:val="20"/>
              </w:rPr>
            </w:pPr>
          </w:p>
          <w:p w:rsidR="0058574E" w:rsidRPr="00BB0035" w:rsidRDefault="0058574E" w:rsidP="00E7317C">
            <w:pPr>
              <w:jc w:val="center"/>
              <w:rPr>
                <w:sz w:val="20"/>
                <w:szCs w:val="20"/>
              </w:rPr>
            </w:pPr>
            <w:r w:rsidRPr="00BB0035">
              <w:rPr>
                <w:sz w:val="20"/>
                <w:szCs w:val="20"/>
              </w:rPr>
              <w:t>3,5</w:t>
            </w:r>
          </w:p>
        </w:tc>
        <w:tc>
          <w:tcPr>
            <w:tcW w:w="1436" w:type="dxa"/>
          </w:tcPr>
          <w:p w:rsidR="0058574E" w:rsidRPr="00BB0035" w:rsidRDefault="0058574E" w:rsidP="00E7317C">
            <w:pPr>
              <w:ind w:left="720"/>
              <w:jc w:val="center"/>
              <w:rPr>
                <w:sz w:val="20"/>
                <w:szCs w:val="20"/>
              </w:rPr>
            </w:pPr>
          </w:p>
          <w:p w:rsidR="0058574E" w:rsidRPr="00BB0035" w:rsidRDefault="0058574E" w:rsidP="00E7317C">
            <w:pPr>
              <w:jc w:val="center"/>
              <w:rPr>
                <w:sz w:val="20"/>
                <w:szCs w:val="20"/>
              </w:rPr>
            </w:pPr>
          </w:p>
          <w:p w:rsidR="0058574E" w:rsidRPr="00BB0035" w:rsidRDefault="0058574E" w:rsidP="00E7317C">
            <w:pPr>
              <w:jc w:val="center"/>
              <w:rPr>
                <w:sz w:val="20"/>
                <w:szCs w:val="20"/>
              </w:rPr>
            </w:pPr>
            <w:r w:rsidRPr="00BB0035">
              <w:rPr>
                <w:sz w:val="20"/>
                <w:szCs w:val="20"/>
              </w:rPr>
              <w:t>65</w:t>
            </w:r>
          </w:p>
          <w:p w:rsidR="0058574E" w:rsidRPr="00BB0035" w:rsidRDefault="0058574E" w:rsidP="00E7317C">
            <w:pPr>
              <w:ind w:left="720"/>
              <w:jc w:val="center"/>
              <w:rPr>
                <w:sz w:val="20"/>
                <w:szCs w:val="20"/>
              </w:rPr>
            </w:pPr>
          </w:p>
          <w:p w:rsidR="0058574E" w:rsidRPr="00BB0035" w:rsidRDefault="0058574E" w:rsidP="00E7317C">
            <w:pPr>
              <w:ind w:left="720"/>
              <w:jc w:val="center"/>
              <w:rPr>
                <w:sz w:val="20"/>
                <w:szCs w:val="20"/>
              </w:rPr>
            </w:pPr>
          </w:p>
          <w:p w:rsidR="0058574E" w:rsidRPr="00BB0035" w:rsidRDefault="0058574E" w:rsidP="00E7317C">
            <w:pPr>
              <w:jc w:val="center"/>
              <w:rPr>
                <w:sz w:val="20"/>
                <w:szCs w:val="20"/>
              </w:rPr>
            </w:pPr>
            <w:r w:rsidRPr="00BB0035">
              <w:rPr>
                <w:sz w:val="20"/>
                <w:szCs w:val="20"/>
              </w:rPr>
              <w:t>3,5</w:t>
            </w:r>
          </w:p>
        </w:tc>
        <w:tc>
          <w:tcPr>
            <w:tcW w:w="1554" w:type="dxa"/>
          </w:tcPr>
          <w:p w:rsidR="0058574E" w:rsidRPr="00BB0035" w:rsidRDefault="0058574E" w:rsidP="00E7317C">
            <w:pPr>
              <w:jc w:val="center"/>
              <w:rPr>
                <w:sz w:val="20"/>
                <w:szCs w:val="20"/>
              </w:rPr>
            </w:pPr>
          </w:p>
          <w:p w:rsidR="0058574E" w:rsidRPr="00BB0035" w:rsidRDefault="0058574E" w:rsidP="00E7317C">
            <w:pPr>
              <w:jc w:val="center"/>
              <w:rPr>
                <w:sz w:val="20"/>
                <w:szCs w:val="20"/>
              </w:rPr>
            </w:pPr>
          </w:p>
          <w:p w:rsidR="0058574E" w:rsidRPr="00BB0035" w:rsidRDefault="0058574E" w:rsidP="00E7317C">
            <w:pPr>
              <w:jc w:val="center"/>
              <w:rPr>
                <w:sz w:val="20"/>
                <w:szCs w:val="20"/>
              </w:rPr>
            </w:pPr>
            <w:r w:rsidRPr="00BB0035">
              <w:rPr>
                <w:sz w:val="20"/>
                <w:szCs w:val="20"/>
              </w:rPr>
              <w:t>65</w:t>
            </w:r>
          </w:p>
          <w:p w:rsidR="0058574E" w:rsidRPr="00BB0035" w:rsidRDefault="0058574E" w:rsidP="00E7317C">
            <w:pPr>
              <w:jc w:val="center"/>
              <w:rPr>
                <w:sz w:val="20"/>
                <w:szCs w:val="20"/>
              </w:rPr>
            </w:pPr>
          </w:p>
          <w:p w:rsidR="0058574E" w:rsidRPr="00BB0035" w:rsidRDefault="0058574E" w:rsidP="00E7317C">
            <w:pPr>
              <w:jc w:val="center"/>
              <w:rPr>
                <w:sz w:val="20"/>
                <w:szCs w:val="20"/>
              </w:rPr>
            </w:pPr>
          </w:p>
          <w:p w:rsidR="0058574E" w:rsidRPr="00BB0035" w:rsidRDefault="0058574E" w:rsidP="00E7317C">
            <w:pPr>
              <w:jc w:val="center"/>
              <w:rPr>
                <w:sz w:val="20"/>
                <w:szCs w:val="20"/>
              </w:rPr>
            </w:pPr>
            <w:r w:rsidRPr="00BB0035">
              <w:rPr>
                <w:sz w:val="20"/>
                <w:szCs w:val="20"/>
              </w:rPr>
              <w:t>3,5</w:t>
            </w:r>
          </w:p>
        </w:tc>
      </w:tr>
      <w:tr w:rsidR="0058574E" w:rsidRPr="00BB0035" w:rsidTr="00E7317C">
        <w:trPr>
          <w:trHeight w:val="1692"/>
        </w:trPr>
        <w:tc>
          <w:tcPr>
            <w:tcW w:w="5356" w:type="dxa"/>
            <w:shd w:val="clear" w:color="auto" w:fill="auto"/>
          </w:tcPr>
          <w:p w:rsidR="0058574E" w:rsidRPr="00BB0035" w:rsidRDefault="0058574E" w:rsidP="00E7317C">
            <w:pPr>
              <w:numPr>
                <w:ilvl w:val="0"/>
                <w:numId w:val="2"/>
              </w:numPr>
              <w:ind w:left="0" w:hanging="720"/>
              <w:rPr>
                <w:sz w:val="20"/>
                <w:szCs w:val="20"/>
              </w:rPr>
            </w:pPr>
            <w:r w:rsidRPr="00BB0035">
              <w:rPr>
                <w:sz w:val="20"/>
                <w:szCs w:val="20"/>
              </w:rPr>
              <w:lastRenderedPageBreak/>
              <w:t>3. Исчисленная сумма госпошлины - итого, тыс. руб. (стр. 3.1 + стр. 3.2)</w:t>
            </w:r>
          </w:p>
          <w:p w:rsidR="0058574E" w:rsidRPr="00BB0035" w:rsidRDefault="0058574E" w:rsidP="00E7317C">
            <w:pPr>
              <w:numPr>
                <w:ilvl w:val="0"/>
                <w:numId w:val="2"/>
              </w:numPr>
              <w:ind w:left="0" w:hanging="720"/>
              <w:rPr>
                <w:sz w:val="20"/>
                <w:szCs w:val="20"/>
              </w:rPr>
            </w:pPr>
            <w:r w:rsidRPr="00BB0035">
              <w:rPr>
                <w:sz w:val="20"/>
                <w:szCs w:val="20"/>
              </w:rPr>
              <w:t>в том числе</w:t>
            </w:r>
          </w:p>
          <w:p w:rsidR="0058574E" w:rsidRPr="00BB0035" w:rsidRDefault="0058574E" w:rsidP="00E7317C">
            <w:pPr>
              <w:numPr>
                <w:ilvl w:val="1"/>
                <w:numId w:val="2"/>
              </w:numPr>
              <w:ind w:hanging="1440"/>
              <w:rPr>
                <w:sz w:val="20"/>
                <w:szCs w:val="20"/>
              </w:rPr>
            </w:pPr>
            <w:r w:rsidRPr="00BB0035">
              <w:rPr>
                <w:sz w:val="20"/>
                <w:szCs w:val="20"/>
              </w:rPr>
              <w:t>3.1. за выданные и продленные лицензии - итого, тыс. руб. (стр. 3.1.1 + стр. 3.1.2. +стр. 3.1.3.+ стр. 3.1.4 +стр.3.1.5),</w:t>
            </w:r>
          </w:p>
          <w:p w:rsidR="0058574E" w:rsidRPr="00BB0035" w:rsidRDefault="0058574E" w:rsidP="00E7317C">
            <w:pPr>
              <w:numPr>
                <w:ilvl w:val="1"/>
                <w:numId w:val="2"/>
              </w:numPr>
              <w:ind w:hanging="1440"/>
              <w:rPr>
                <w:sz w:val="20"/>
                <w:szCs w:val="20"/>
              </w:rPr>
            </w:pPr>
            <w:r w:rsidRPr="00BB0035">
              <w:rPr>
                <w:sz w:val="20"/>
                <w:szCs w:val="20"/>
              </w:rPr>
              <w:t xml:space="preserve"> из них: </w:t>
            </w:r>
          </w:p>
          <w:p w:rsidR="0058574E" w:rsidRPr="00BB0035" w:rsidRDefault="0058574E" w:rsidP="00E7317C">
            <w:pPr>
              <w:numPr>
                <w:ilvl w:val="1"/>
                <w:numId w:val="2"/>
              </w:numPr>
              <w:ind w:left="180" w:hanging="1260"/>
              <w:rPr>
                <w:sz w:val="20"/>
                <w:szCs w:val="20"/>
              </w:rPr>
            </w:pPr>
            <w:r w:rsidRPr="00BB0035">
              <w:rPr>
                <w:sz w:val="20"/>
                <w:szCs w:val="20"/>
              </w:rPr>
              <w:t>3.1.1. за лицензии сроком на 1 год (стр. 1.1.1. * стр.2.1)</w:t>
            </w:r>
          </w:p>
          <w:p w:rsidR="0058574E" w:rsidRPr="00BB0035" w:rsidRDefault="0058574E" w:rsidP="00E7317C">
            <w:pPr>
              <w:numPr>
                <w:ilvl w:val="1"/>
                <w:numId w:val="2"/>
              </w:numPr>
              <w:ind w:left="180" w:hanging="1260"/>
              <w:rPr>
                <w:sz w:val="20"/>
                <w:szCs w:val="20"/>
              </w:rPr>
            </w:pPr>
            <w:r w:rsidRPr="00BB0035">
              <w:rPr>
                <w:sz w:val="20"/>
                <w:szCs w:val="20"/>
              </w:rPr>
              <w:t>3.1.2. за лицензии сроком на 2 года (стр. 1.1.2. * стр.2.1*2)</w:t>
            </w:r>
          </w:p>
          <w:p w:rsidR="0058574E" w:rsidRPr="00BB0035" w:rsidRDefault="0058574E" w:rsidP="00E7317C">
            <w:pPr>
              <w:numPr>
                <w:ilvl w:val="1"/>
                <w:numId w:val="2"/>
              </w:numPr>
              <w:ind w:left="180" w:hanging="1260"/>
              <w:rPr>
                <w:sz w:val="20"/>
                <w:szCs w:val="20"/>
              </w:rPr>
            </w:pPr>
            <w:r w:rsidRPr="00BB0035">
              <w:rPr>
                <w:sz w:val="20"/>
                <w:szCs w:val="20"/>
              </w:rPr>
              <w:t>3.1.3. за лицензии сроком на 3 года (стр. 1.1.3. * стр.2.1*3)</w:t>
            </w:r>
          </w:p>
          <w:p w:rsidR="0058574E" w:rsidRPr="00BB0035" w:rsidRDefault="0058574E" w:rsidP="00E7317C">
            <w:pPr>
              <w:numPr>
                <w:ilvl w:val="1"/>
                <w:numId w:val="2"/>
              </w:numPr>
              <w:ind w:left="180" w:hanging="1260"/>
              <w:rPr>
                <w:sz w:val="20"/>
                <w:szCs w:val="20"/>
              </w:rPr>
            </w:pPr>
            <w:r w:rsidRPr="00BB0035">
              <w:rPr>
                <w:sz w:val="20"/>
                <w:szCs w:val="20"/>
              </w:rPr>
              <w:t>3.1.4. за лицензии сроком на 4 года (стр. 1.1.4. * стр.2.1*4)</w:t>
            </w:r>
          </w:p>
          <w:p w:rsidR="0058574E" w:rsidRPr="00BB0035" w:rsidRDefault="0058574E" w:rsidP="00E7317C">
            <w:pPr>
              <w:numPr>
                <w:ilvl w:val="1"/>
                <w:numId w:val="2"/>
              </w:numPr>
              <w:ind w:left="180" w:hanging="1260"/>
              <w:rPr>
                <w:sz w:val="20"/>
                <w:szCs w:val="20"/>
              </w:rPr>
            </w:pPr>
            <w:r w:rsidRPr="00BB0035">
              <w:rPr>
                <w:sz w:val="20"/>
                <w:szCs w:val="20"/>
              </w:rPr>
              <w:t>3.1.5. за лицензии сроком на 5 лет (стр. 1.1.5. * стр.2.1*5)</w:t>
            </w:r>
          </w:p>
          <w:p w:rsidR="0058574E" w:rsidRPr="00BB0035" w:rsidRDefault="0058574E" w:rsidP="00E7317C">
            <w:pPr>
              <w:numPr>
                <w:ilvl w:val="1"/>
                <w:numId w:val="2"/>
              </w:numPr>
              <w:ind w:left="180" w:hanging="1260"/>
              <w:rPr>
                <w:sz w:val="20"/>
                <w:szCs w:val="20"/>
              </w:rPr>
            </w:pPr>
          </w:p>
          <w:p w:rsidR="0058574E" w:rsidRPr="00BB0035" w:rsidRDefault="0058574E" w:rsidP="00E7317C">
            <w:pPr>
              <w:numPr>
                <w:ilvl w:val="1"/>
                <w:numId w:val="2"/>
              </w:numPr>
              <w:ind w:left="180" w:hanging="1260"/>
              <w:rPr>
                <w:sz w:val="20"/>
                <w:szCs w:val="20"/>
              </w:rPr>
            </w:pPr>
            <w:r w:rsidRPr="00BB0035">
              <w:rPr>
                <w:sz w:val="20"/>
                <w:szCs w:val="20"/>
              </w:rPr>
              <w:t>3.2. за переоформленные лицензии в связи с изменением наименования юр. лица (без его реорганизации), его местонахождения или указанного в лицензии места осуществления деятельности либо иных указываемых в лицензии данных, а также в связи с утратой лицензии (стр. 1.2 * стр. 2.2)</w:t>
            </w:r>
          </w:p>
          <w:p w:rsidR="0058574E" w:rsidRPr="00BB0035" w:rsidRDefault="0058574E" w:rsidP="00E7317C">
            <w:pPr>
              <w:numPr>
                <w:ilvl w:val="1"/>
                <w:numId w:val="2"/>
              </w:numPr>
              <w:ind w:left="180" w:hanging="1260"/>
              <w:rPr>
                <w:sz w:val="20"/>
                <w:szCs w:val="20"/>
              </w:rPr>
            </w:pPr>
          </w:p>
        </w:tc>
        <w:tc>
          <w:tcPr>
            <w:tcW w:w="1436" w:type="dxa"/>
            <w:shd w:val="clear" w:color="auto" w:fill="auto"/>
          </w:tcPr>
          <w:p w:rsidR="0058574E" w:rsidRPr="00BB0035" w:rsidRDefault="0058574E" w:rsidP="00E7317C">
            <w:pPr>
              <w:ind w:left="720" w:hanging="853"/>
              <w:jc w:val="center"/>
              <w:rPr>
                <w:sz w:val="20"/>
                <w:szCs w:val="20"/>
              </w:rPr>
            </w:pPr>
          </w:p>
          <w:p w:rsidR="0058574E" w:rsidRPr="00BB0035" w:rsidRDefault="0058574E" w:rsidP="00E7317C">
            <w:pPr>
              <w:ind w:left="720" w:hanging="853"/>
              <w:jc w:val="center"/>
              <w:rPr>
                <w:sz w:val="20"/>
                <w:szCs w:val="20"/>
                <w:lang w:val="en-US"/>
              </w:rPr>
            </w:pPr>
            <w:r w:rsidRPr="00BB0035">
              <w:rPr>
                <w:sz w:val="20"/>
                <w:szCs w:val="20"/>
              </w:rPr>
              <w:t>46 404,5</w:t>
            </w:r>
          </w:p>
          <w:p w:rsidR="0058574E" w:rsidRPr="00BB0035" w:rsidRDefault="0058574E" w:rsidP="00E7317C">
            <w:pPr>
              <w:rPr>
                <w:sz w:val="20"/>
                <w:szCs w:val="20"/>
                <w:lang w:val="en-US"/>
              </w:rPr>
            </w:pPr>
          </w:p>
          <w:p w:rsidR="0058574E" w:rsidRPr="00BB0035" w:rsidRDefault="0058574E" w:rsidP="00E7317C">
            <w:pPr>
              <w:jc w:val="center"/>
              <w:rPr>
                <w:sz w:val="20"/>
                <w:szCs w:val="20"/>
              </w:rPr>
            </w:pPr>
          </w:p>
          <w:p w:rsidR="0058574E" w:rsidRPr="00BB0035" w:rsidRDefault="0058574E" w:rsidP="00E7317C">
            <w:pPr>
              <w:jc w:val="center"/>
              <w:rPr>
                <w:sz w:val="20"/>
                <w:szCs w:val="20"/>
                <w:lang w:val="en-US"/>
              </w:rPr>
            </w:pPr>
            <w:r w:rsidRPr="00BB0035">
              <w:rPr>
                <w:sz w:val="20"/>
                <w:szCs w:val="20"/>
              </w:rPr>
              <w:t>45 435</w:t>
            </w:r>
          </w:p>
          <w:p w:rsidR="0058574E" w:rsidRPr="00BB0035" w:rsidRDefault="0058574E" w:rsidP="00E7317C">
            <w:pPr>
              <w:ind w:left="720" w:hanging="853"/>
              <w:jc w:val="center"/>
              <w:rPr>
                <w:sz w:val="20"/>
                <w:szCs w:val="20"/>
                <w:lang w:val="en-US"/>
              </w:rPr>
            </w:pPr>
          </w:p>
          <w:p w:rsidR="0058574E" w:rsidRPr="00BB0035" w:rsidRDefault="0058574E" w:rsidP="00E7317C">
            <w:pPr>
              <w:jc w:val="center"/>
              <w:rPr>
                <w:sz w:val="20"/>
                <w:szCs w:val="20"/>
              </w:rPr>
            </w:pPr>
            <w:r w:rsidRPr="00BB0035">
              <w:rPr>
                <w:sz w:val="20"/>
                <w:szCs w:val="20"/>
              </w:rPr>
              <w:t>28 990</w:t>
            </w:r>
          </w:p>
          <w:p w:rsidR="0058574E" w:rsidRPr="00BB0035" w:rsidRDefault="0058574E" w:rsidP="00E7317C">
            <w:pPr>
              <w:ind w:left="720" w:hanging="853"/>
              <w:jc w:val="center"/>
              <w:rPr>
                <w:sz w:val="20"/>
                <w:szCs w:val="20"/>
              </w:rPr>
            </w:pPr>
          </w:p>
          <w:p w:rsidR="0058574E" w:rsidRPr="00BB0035" w:rsidRDefault="0058574E" w:rsidP="00E7317C">
            <w:pPr>
              <w:ind w:left="720" w:hanging="853"/>
              <w:jc w:val="center"/>
              <w:rPr>
                <w:sz w:val="20"/>
                <w:szCs w:val="20"/>
              </w:rPr>
            </w:pPr>
            <w:r w:rsidRPr="00BB0035">
              <w:rPr>
                <w:sz w:val="20"/>
                <w:szCs w:val="20"/>
              </w:rPr>
              <w:t>7 280</w:t>
            </w:r>
          </w:p>
          <w:p w:rsidR="0058574E" w:rsidRPr="00BB0035" w:rsidRDefault="0058574E" w:rsidP="00E7317C">
            <w:pPr>
              <w:ind w:left="720" w:hanging="853"/>
              <w:jc w:val="center"/>
              <w:rPr>
                <w:sz w:val="20"/>
                <w:szCs w:val="20"/>
                <w:lang w:val="en-US"/>
              </w:rPr>
            </w:pPr>
          </w:p>
          <w:p w:rsidR="0058574E" w:rsidRPr="00BB0035" w:rsidRDefault="0058574E" w:rsidP="00E7317C">
            <w:pPr>
              <w:ind w:left="720" w:hanging="853"/>
              <w:jc w:val="center"/>
              <w:rPr>
                <w:sz w:val="20"/>
                <w:szCs w:val="20"/>
              </w:rPr>
            </w:pPr>
            <w:r w:rsidRPr="00BB0035">
              <w:rPr>
                <w:sz w:val="20"/>
                <w:szCs w:val="20"/>
              </w:rPr>
              <w:t>5 265</w:t>
            </w:r>
          </w:p>
          <w:p w:rsidR="0058574E" w:rsidRPr="00BB0035" w:rsidRDefault="0058574E" w:rsidP="00E7317C">
            <w:pPr>
              <w:rPr>
                <w:sz w:val="20"/>
                <w:szCs w:val="20"/>
              </w:rPr>
            </w:pPr>
          </w:p>
          <w:p w:rsidR="0058574E" w:rsidRPr="00BB0035" w:rsidRDefault="0058574E" w:rsidP="00E7317C">
            <w:pPr>
              <w:ind w:left="720" w:hanging="853"/>
              <w:jc w:val="center"/>
              <w:rPr>
                <w:sz w:val="20"/>
                <w:szCs w:val="20"/>
              </w:rPr>
            </w:pPr>
          </w:p>
          <w:p w:rsidR="0058574E" w:rsidRPr="00BB0035" w:rsidRDefault="0058574E" w:rsidP="00E7317C">
            <w:pPr>
              <w:ind w:left="720" w:hanging="853"/>
              <w:jc w:val="center"/>
              <w:rPr>
                <w:sz w:val="20"/>
                <w:szCs w:val="20"/>
                <w:lang w:val="en-US"/>
              </w:rPr>
            </w:pPr>
            <w:r w:rsidRPr="00BB0035">
              <w:rPr>
                <w:sz w:val="20"/>
                <w:szCs w:val="20"/>
              </w:rPr>
              <w:t>3 900</w:t>
            </w:r>
          </w:p>
          <w:p w:rsidR="0058574E" w:rsidRPr="00BB0035" w:rsidRDefault="0058574E" w:rsidP="00E7317C">
            <w:pPr>
              <w:ind w:left="720" w:hanging="853"/>
              <w:jc w:val="center"/>
              <w:rPr>
                <w:sz w:val="20"/>
                <w:szCs w:val="20"/>
                <w:lang w:val="en-US"/>
              </w:rPr>
            </w:pPr>
          </w:p>
          <w:p w:rsidR="0058574E" w:rsidRPr="00BB0035" w:rsidRDefault="0058574E" w:rsidP="00E7317C">
            <w:pPr>
              <w:ind w:left="720" w:hanging="853"/>
              <w:jc w:val="center"/>
              <w:rPr>
                <w:sz w:val="20"/>
                <w:szCs w:val="20"/>
                <w:lang w:val="en-US"/>
              </w:rPr>
            </w:pPr>
          </w:p>
          <w:p w:rsidR="0058574E" w:rsidRPr="00BB0035" w:rsidRDefault="0058574E" w:rsidP="00E7317C">
            <w:pPr>
              <w:ind w:left="720" w:hanging="853"/>
              <w:jc w:val="center"/>
              <w:rPr>
                <w:sz w:val="20"/>
                <w:szCs w:val="20"/>
                <w:lang w:val="en-US"/>
              </w:rPr>
            </w:pPr>
          </w:p>
          <w:p w:rsidR="0058574E" w:rsidRPr="00BB0035" w:rsidRDefault="0058574E" w:rsidP="00E7317C">
            <w:pPr>
              <w:ind w:left="720" w:hanging="853"/>
              <w:jc w:val="center"/>
              <w:rPr>
                <w:sz w:val="20"/>
                <w:szCs w:val="20"/>
                <w:lang w:val="en-US"/>
              </w:rPr>
            </w:pPr>
          </w:p>
          <w:p w:rsidR="0058574E" w:rsidRPr="00BB0035" w:rsidRDefault="0058574E" w:rsidP="00E7317C">
            <w:pPr>
              <w:ind w:left="720" w:hanging="853"/>
              <w:jc w:val="center"/>
              <w:rPr>
                <w:sz w:val="20"/>
                <w:szCs w:val="20"/>
                <w:lang w:val="en-US"/>
              </w:rPr>
            </w:pPr>
          </w:p>
          <w:p w:rsidR="0058574E" w:rsidRPr="00BB0035" w:rsidRDefault="0058574E" w:rsidP="00E7317C">
            <w:pPr>
              <w:rPr>
                <w:sz w:val="20"/>
                <w:szCs w:val="20"/>
              </w:rPr>
            </w:pPr>
          </w:p>
          <w:p w:rsidR="0058574E" w:rsidRPr="00BB0035" w:rsidRDefault="0058574E" w:rsidP="00E7317C">
            <w:pPr>
              <w:ind w:left="720" w:hanging="853"/>
              <w:jc w:val="center"/>
              <w:rPr>
                <w:sz w:val="20"/>
                <w:szCs w:val="20"/>
              </w:rPr>
            </w:pPr>
            <w:r w:rsidRPr="00BB0035">
              <w:rPr>
                <w:sz w:val="20"/>
                <w:szCs w:val="20"/>
              </w:rPr>
              <w:t>969,5</w:t>
            </w:r>
          </w:p>
        </w:tc>
        <w:tc>
          <w:tcPr>
            <w:tcW w:w="1436" w:type="dxa"/>
            <w:shd w:val="clear" w:color="auto" w:fill="auto"/>
          </w:tcPr>
          <w:p w:rsidR="0058574E" w:rsidRPr="00BB0035" w:rsidRDefault="0058574E" w:rsidP="00E7317C">
            <w:pPr>
              <w:ind w:left="720" w:hanging="853"/>
              <w:jc w:val="center"/>
              <w:rPr>
                <w:sz w:val="20"/>
                <w:szCs w:val="20"/>
              </w:rPr>
            </w:pPr>
          </w:p>
          <w:p w:rsidR="0058574E" w:rsidRPr="00BB0035" w:rsidRDefault="0058574E" w:rsidP="00E7317C">
            <w:pPr>
              <w:ind w:left="720" w:hanging="853"/>
              <w:jc w:val="center"/>
              <w:rPr>
                <w:sz w:val="20"/>
                <w:szCs w:val="20"/>
                <w:lang w:val="en-US"/>
              </w:rPr>
            </w:pPr>
            <w:r w:rsidRPr="00BB0035">
              <w:rPr>
                <w:sz w:val="20"/>
                <w:szCs w:val="20"/>
              </w:rPr>
              <w:t>46 404,5</w:t>
            </w:r>
          </w:p>
          <w:p w:rsidR="0058574E" w:rsidRPr="00BB0035" w:rsidRDefault="0058574E" w:rsidP="00E7317C">
            <w:pPr>
              <w:rPr>
                <w:sz w:val="20"/>
                <w:szCs w:val="20"/>
              </w:rPr>
            </w:pPr>
          </w:p>
          <w:p w:rsidR="0058574E" w:rsidRPr="00BB0035" w:rsidRDefault="0058574E" w:rsidP="00E7317C">
            <w:pPr>
              <w:jc w:val="center"/>
              <w:rPr>
                <w:sz w:val="20"/>
                <w:szCs w:val="20"/>
              </w:rPr>
            </w:pPr>
          </w:p>
          <w:p w:rsidR="0058574E" w:rsidRPr="00BB0035" w:rsidRDefault="0058574E" w:rsidP="00E7317C">
            <w:pPr>
              <w:jc w:val="center"/>
              <w:rPr>
                <w:sz w:val="20"/>
                <w:szCs w:val="20"/>
                <w:lang w:val="en-US"/>
              </w:rPr>
            </w:pPr>
            <w:r w:rsidRPr="00BB0035">
              <w:rPr>
                <w:sz w:val="20"/>
                <w:szCs w:val="20"/>
              </w:rPr>
              <w:t>45 435</w:t>
            </w:r>
          </w:p>
          <w:p w:rsidR="0058574E" w:rsidRPr="00BB0035" w:rsidRDefault="0058574E" w:rsidP="00E7317C">
            <w:pPr>
              <w:ind w:left="720" w:hanging="853"/>
              <w:jc w:val="center"/>
              <w:rPr>
                <w:sz w:val="20"/>
                <w:szCs w:val="20"/>
                <w:lang w:val="en-US"/>
              </w:rPr>
            </w:pPr>
          </w:p>
          <w:p w:rsidR="0058574E" w:rsidRPr="00BB0035" w:rsidRDefault="0058574E" w:rsidP="00E7317C">
            <w:pPr>
              <w:jc w:val="center"/>
              <w:rPr>
                <w:sz w:val="20"/>
                <w:szCs w:val="20"/>
              </w:rPr>
            </w:pPr>
            <w:r w:rsidRPr="00BB0035">
              <w:rPr>
                <w:sz w:val="20"/>
                <w:szCs w:val="20"/>
              </w:rPr>
              <w:t>28 990</w:t>
            </w:r>
          </w:p>
          <w:p w:rsidR="0058574E" w:rsidRPr="00BB0035" w:rsidRDefault="0058574E" w:rsidP="00E7317C">
            <w:pPr>
              <w:ind w:left="720" w:hanging="853"/>
              <w:jc w:val="center"/>
              <w:rPr>
                <w:sz w:val="20"/>
                <w:szCs w:val="20"/>
              </w:rPr>
            </w:pPr>
          </w:p>
          <w:p w:rsidR="0058574E" w:rsidRPr="00BB0035" w:rsidRDefault="0058574E" w:rsidP="00E7317C">
            <w:pPr>
              <w:ind w:left="720" w:hanging="853"/>
              <w:jc w:val="center"/>
              <w:rPr>
                <w:sz w:val="20"/>
                <w:szCs w:val="20"/>
              </w:rPr>
            </w:pPr>
            <w:r w:rsidRPr="00BB0035">
              <w:rPr>
                <w:sz w:val="20"/>
                <w:szCs w:val="20"/>
              </w:rPr>
              <w:t>7 280</w:t>
            </w:r>
          </w:p>
          <w:p w:rsidR="0058574E" w:rsidRPr="00BB0035" w:rsidRDefault="0058574E" w:rsidP="00E7317C">
            <w:pPr>
              <w:ind w:left="720" w:hanging="853"/>
              <w:jc w:val="center"/>
              <w:rPr>
                <w:sz w:val="20"/>
                <w:szCs w:val="20"/>
                <w:lang w:val="en-US"/>
              </w:rPr>
            </w:pPr>
          </w:p>
          <w:p w:rsidR="0058574E" w:rsidRPr="00BB0035" w:rsidRDefault="0058574E" w:rsidP="00E7317C">
            <w:pPr>
              <w:ind w:left="720" w:hanging="853"/>
              <w:jc w:val="center"/>
              <w:rPr>
                <w:sz w:val="20"/>
                <w:szCs w:val="20"/>
              </w:rPr>
            </w:pPr>
            <w:r w:rsidRPr="00BB0035">
              <w:rPr>
                <w:sz w:val="20"/>
                <w:szCs w:val="20"/>
              </w:rPr>
              <w:t>5 265</w:t>
            </w:r>
          </w:p>
          <w:p w:rsidR="0058574E" w:rsidRPr="00BB0035" w:rsidRDefault="0058574E" w:rsidP="00E7317C">
            <w:pPr>
              <w:rPr>
                <w:sz w:val="20"/>
                <w:szCs w:val="20"/>
              </w:rPr>
            </w:pPr>
          </w:p>
          <w:p w:rsidR="0058574E" w:rsidRPr="00BB0035" w:rsidRDefault="0058574E" w:rsidP="00E7317C">
            <w:pPr>
              <w:ind w:left="720" w:hanging="853"/>
              <w:jc w:val="center"/>
              <w:rPr>
                <w:sz w:val="20"/>
                <w:szCs w:val="20"/>
              </w:rPr>
            </w:pPr>
          </w:p>
          <w:p w:rsidR="0058574E" w:rsidRPr="00BB0035" w:rsidRDefault="0058574E" w:rsidP="00E7317C">
            <w:pPr>
              <w:ind w:left="720" w:hanging="853"/>
              <w:jc w:val="center"/>
              <w:rPr>
                <w:sz w:val="20"/>
                <w:szCs w:val="20"/>
                <w:lang w:val="en-US"/>
              </w:rPr>
            </w:pPr>
            <w:r w:rsidRPr="00BB0035">
              <w:rPr>
                <w:sz w:val="20"/>
                <w:szCs w:val="20"/>
              </w:rPr>
              <w:t>3 900</w:t>
            </w:r>
          </w:p>
          <w:p w:rsidR="0058574E" w:rsidRPr="00BB0035" w:rsidRDefault="0058574E" w:rsidP="00E7317C">
            <w:pPr>
              <w:ind w:left="720" w:hanging="853"/>
              <w:jc w:val="center"/>
              <w:rPr>
                <w:sz w:val="20"/>
                <w:szCs w:val="20"/>
                <w:lang w:val="en-US"/>
              </w:rPr>
            </w:pPr>
          </w:p>
          <w:p w:rsidR="0058574E" w:rsidRPr="00BB0035" w:rsidRDefault="0058574E" w:rsidP="00E7317C">
            <w:pPr>
              <w:ind w:left="720" w:hanging="853"/>
              <w:jc w:val="center"/>
              <w:rPr>
                <w:sz w:val="20"/>
                <w:szCs w:val="20"/>
                <w:lang w:val="en-US"/>
              </w:rPr>
            </w:pPr>
          </w:p>
          <w:p w:rsidR="0058574E" w:rsidRPr="00BB0035" w:rsidRDefault="0058574E" w:rsidP="00E7317C">
            <w:pPr>
              <w:ind w:left="720" w:hanging="853"/>
              <w:jc w:val="center"/>
              <w:rPr>
                <w:sz w:val="20"/>
                <w:szCs w:val="20"/>
                <w:lang w:val="en-US"/>
              </w:rPr>
            </w:pPr>
          </w:p>
          <w:p w:rsidR="0058574E" w:rsidRPr="00BB0035" w:rsidRDefault="0058574E" w:rsidP="00E7317C">
            <w:pPr>
              <w:ind w:left="720" w:hanging="853"/>
              <w:jc w:val="center"/>
              <w:rPr>
                <w:sz w:val="20"/>
                <w:szCs w:val="20"/>
                <w:lang w:val="en-US"/>
              </w:rPr>
            </w:pPr>
          </w:p>
          <w:p w:rsidR="0058574E" w:rsidRPr="00BB0035" w:rsidRDefault="0058574E" w:rsidP="00E7317C">
            <w:pPr>
              <w:ind w:left="720" w:hanging="853"/>
              <w:jc w:val="center"/>
              <w:rPr>
                <w:sz w:val="20"/>
                <w:szCs w:val="20"/>
                <w:lang w:val="en-US"/>
              </w:rPr>
            </w:pPr>
          </w:p>
          <w:p w:rsidR="0058574E" w:rsidRPr="00BB0035" w:rsidRDefault="0058574E" w:rsidP="00E7317C">
            <w:pPr>
              <w:rPr>
                <w:sz w:val="20"/>
                <w:szCs w:val="20"/>
              </w:rPr>
            </w:pPr>
          </w:p>
          <w:p w:rsidR="0058574E" w:rsidRPr="00BB0035" w:rsidRDefault="0058574E" w:rsidP="00E7317C">
            <w:pPr>
              <w:ind w:left="720" w:hanging="889"/>
              <w:jc w:val="center"/>
              <w:rPr>
                <w:sz w:val="20"/>
                <w:szCs w:val="20"/>
              </w:rPr>
            </w:pPr>
            <w:r w:rsidRPr="00BB0035">
              <w:rPr>
                <w:sz w:val="20"/>
                <w:szCs w:val="20"/>
              </w:rPr>
              <w:t>969,5</w:t>
            </w:r>
          </w:p>
        </w:tc>
        <w:tc>
          <w:tcPr>
            <w:tcW w:w="1554" w:type="dxa"/>
            <w:shd w:val="clear" w:color="auto" w:fill="auto"/>
          </w:tcPr>
          <w:p w:rsidR="0058574E" w:rsidRPr="00BB0035" w:rsidRDefault="0058574E" w:rsidP="00E7317C">
            <w:pPr>
              <w:ind w:left="720" w:hanging="853"/>
              <w:jc w:val="center"/>
              <w:rPr>
                <w:sz w:val="20"/>
                <w:szCs w:val="20"/>
              </w:rPr>
            </w:pPr>
          </w:p>
          <w:p w:rsidR="0058574E" w:rsidRPr="00BB0035" w:rsidRDefault="0058574E" w:rsidP="00E7317C">
            <w:pPr>
              <w:ind w:left="720" w:hanging="853"/>
              <w:jc w:val="center"/>
              <w:rPr>
                <w:sz w:val="20"/>
                <w:szCs w:val="20"/>
                <w:lang w:val="en-US"/>
              </w:rPr>
            </w:pPr>
            <w:r w:rsidRPr="00BB0035">
              <w:rPr>
                <w:sz w:val="20"/>
                <w:szCs w:val="20"/>
              </w:rPr>
              <w:t>46 404,5</w:t>
            </w:r>
          </w:p>
          <w:p w:rsidR="0058574E" w:rsidRPr="00BB0035" w:rsidRDefault="0058574E" w:rsidP="00E7317C">
            <w:pPr>
              <w:rPr>
                <w:sz w:val="20"/>
                <w:szCs w:val="20"/>
              </w:rPr>
            </w:pPr>
          </w:p>
          <w:p w:rsidR="0058574E" w:rsidRPr="00BB0035" w:rsidRDefault="0058574E" w:rsidP="00E7317C">
            <w:pPr>
              <w:jc w:val="center"/>
              <w:rPr>
                <w:sz w:val="20"/>
                <w:szCs w:val="20"/>
              </w:rPr>
            </w:pPr>
          </w:p>
          <w:p w:rsidR="0058574E" w:rsidRPr="00BB0035" w:rsidRDefault="0058574E" w:rsidP="00E7317C">
            <w:pPr>
              <w:jc w:val="center"/>
              <w:rPr>
                <w:sz w:val="20"/>
                <w:szCs w:val="20"/>
                <w:lang w:val="en-US"/>
              </w:rPr>
            </w:pPr>
            <w:r w:rsidRPr="00BB0035">
              <w:rPr>
                <w:sz w:val="20"/>
                <w:szCs w:val="20"/>
              </w:rPr>
              <w:t>45 435</w:t>
            </w:r>
          </w:p>
          <w:p w:rsidR="0058574E" w:rsidRPr="00BB0035" w:rsidRDefault="0058574E" w:rsidP="00E7317C">
            <w:pPr>
              <w:ind w:left="720" w:hanging="853"/>
              <w:jc w:val="center"/>
              <w:rPr>
                <w:sz w:val="20"/>
                <w:szCs w:val="20"/>
                <w:lang w:val="en-US"/>
              </w:rPr>
            </w:pPr>
          </w:p>
          <w:p w:rsidR="0058574E" w:rsidRPr="00BB0035" w:rsidRDefault="0058574E" w:rsidP="00E7317C">
            <w:pPr>
              <w:jc w:val="center"/>
              <w:rPr>
                <w:sz w:val="20"/>
                <w:szCs w:val="20"/>
              </w:rPr>
            </w:pPr>
            <w:r w:rsidRPr="00BB0035">
              <w:rPr>
                <w:sz w:val="20"/>
                <w:szCs w:val="20"/>
              </w:rPr>
              <w:t>28 990</w:t>
            </w:r>
          </w:p>
          <w:p w:rsidR="0058574E" w:rsidRPr="00BB0035" w:rsidRDefault="0058574E" w:rsidP="00E7317C">
            <w:pPr>
              <w:ind w:left="720" w:hanging="853"/>
              <w:jc w:val="center"/>
              <w:rPr>
                <w:sz w:val="20"/>
                <w:szCs w:val="20"/>
              </w:rPr>
            </w:pPr>
          </w:p>
          <w:p w:rsidR="0058574E" w:rsidRPr="00BB0035" w:rsidRDefault="0058574E" w:rsidP="00E7317C">
            <w:pPr>
              <w:ind w:left="720" w:hanging="853"/>
              <w:jc w:val="center"/>
              <w:rPr>
                <w:sz w:val="20"/>
                <w:szCs w:val="20"/>
              </w:rPr>
            </w:pPr>
            <w:r w:rsidRPr="00BB0035">
              <w:rPr>
                <w:sz w:val="20"/>
                <w:szCs w:val="20"/>
              </w:rPr>
              <w:t>7 280</w:t>
            </w:r>
          </w:p>
          <w:p w:rsidR="0058574E" w:rsidRPr="00BB0035" w:rsidRDefault="0058574E" w:rsidP="00E7317C">
            <w:pPr>
              <w:ind w:left="720" w:hanging="853"/>
              <w:jc w:val="center"/>
              <w:rPr>
                <w:sz w:val="20"/>
                <w:szCs w:val="20"/>
                <w:lang w:val="en-US"/>
              </w:rPr>
            </w:pPr>
          </w:p>
          <w:p w:rsidR="0058574E" w:rsidRPr="00BB0035" w:rsidRDefault="0058574E" w:rsidP="00E7317C">
            <w:pPr>
              <w:ind w:left="720" w:hanging="853"/>
              <w:jc w:val="center"/>
              <w:rPr>
                <w:sz w:val="20"/>
                <w:szCs w:val="20"/>
              </w:rPr>
            </w:pPr>
            <w:r w:rsidRPr="00BB0035">
              <w:rPr>
                <w:sz w:val="20"/>
                <w:szCs w:val="20"/>
              </w:rPr>
              <w:t>5 265</w:t>
            </w:r>
          </w:p>
          <w:p w:rsidR="0058574E" w:rsidRPr="00BB0035" w:rsidRDefault="0058574E" w:rsidP="00E7317C">
            <w:pPr>
              <w:rPr>
                <w:sz w:val="20"/>
                <w:szCs w:val="20"/>
              </w:rPr>
            </w:pPr>
          </w:p>
          <w:p w:rsidR="0058574E" w:rsidRPr="00BB0035" w:rsidRDefault="0058574E" w:rsidP="00E7317C">
            <w:pPr>
              <w:ind w:left="720" w:hanging="853"/>
              <w:jc w:val="center"/>
              <w:rPr>
                <w:sz w:val="20"/>
                <w:szCs w:val="20"/>
              </w:rPr>
            </w:pPr>
          </w:p>
          <w:p w:rsidR="0058574E" w:rsidRPr="00BB0035" w:rsidRDefault="0058574E" w:rsidP="00E7317C">
            <w:pPr>
              <w:ind w:left="720" w:hanging="853"/>
              <w:jc w:val="center"/>
              <w:rPr>
                <w:sz w:val="20"/>
                <w:szCs w:val="20"/>
                <w:lang w:val="en-US"/>
              </w:rPr>
            </w:pPr>
            <w:r w:rsidRPr="00BB0035">
              <w:rPr>
                <w:sz w:val="20"/>
                <w:szCs w:val="20"/>
              </w:rPr>
              <w:t>3 900</w:t>
            </w:r>
          </w:p>
          <w:p w:rsidR="0058574E" w:rsidRPr="00BB0035" w:rsidRDefault="0058574E" w:rsidP="00E7317C">
            <w:pPr>
              <w:ind w:left="720" w:hanging="853"/>
              <w:jc w:val="center"/>
              <w:rPr>
                <w:sz w:val="20"/>
                <w:szCs w:val="20"/>
                <w:lang w:val="en-US"/>
              </w:rPr>
            </w:pPr>
          </w:p>
          <w:p w:rsidR="0058574E" w:rsidRPr="00BB0035" w:rsidRDefault="0058574E" w:rsidP="00E7317C">
            <w:pPr>
              <w:ind w:left="720" w:hanging="853"/>
              <w:jc w:val="center"/>
              <w:rPr>
                <w:sz w:val="20"/>
                <w:szCs w:val="20"/>
                <w:lang w:val="en-US"/>
              </w:rPr>
            </w:pPr>
          </w:p>
          <w:p w:rsidR="0058574E" w:rsidRPr="00BB0035" w:rsidRDefault="0058574E" w:rsidP="00E7317C">
            <w:pPr>
              <w:ind w:left="720" w:hanging="853"/>
              <w:jc w:val="center"/>
              <w:rPr>
                <w:sz w:val="20"/>
                <w:szCs w:val="20"/>
                <w:lang w:val="en-US"/>
              </w:rPr>
            </w:pPr>
          </w:p>
          <w:p w:rsidR="0058574E" w:rsidRPr="00BB0035" w:rsidRDefault="0058574E" w:rsidP="00E7317C">
            <w:pPr>
              <w:ind w:left="720" w:hanging="853"/>
              <w:jc w:val="center"/>
              <w:rPr>
                <w:sz w:val="20"/>
                <w:szCs w:val="20"/>
                <w:lang w:val="en-US"/>
              </w:rPr>
            </w:pPr>
          </w:p>
          <w:p w:rsidR="0058574E" w:rsidRPr="00BB0035" w:rsidRDefault="0058574E" w:rsidP="00E7317C">
            <w:pPr>
              <w:ind w:left="720" w:hanging="853"/>
              <w:jc w:val="center"/>
              <w:rPr>
                <w:sz w:val="20"/>
                <w:szCs w:val="20"/>
                <w:lang w:val="en-US"/>
              </w:rPr>
            </w:pPr>
          </w:p>
          <w:p w:rsidR="0058574E" w:rsidRPr="00BB0035" w:rsidRDefault="0058574E" w:rsidP="00E7317C">
            <w:pPr>
              <w:rPr>
                <w:sz w:val="20"/>
                <w:szCs w:val="20"/>
              </w:rPr>
            </w:pPr>
          </w:p>
          <w:p w:rsidR="0058574E" w:rsidRPr="00BB0035" w:rsidRDefault="0058574E" w:rsidP="00E7317C">
            <w:pPr>
              <w:jc w:val="center"/>
              <w:rPr>
                <w:sz w:val="20"/>
                <w:szCs w:val="20"/>
              </w:rPr>
            </w:pPr>
            <w:r w:rsidRPr="00BB0035">
              <w:rPr>
                <w:sz w:val="20"/>
                <w:szCs w:val="20"/>
              </w:rPr>
              <w:t>969,5</w:t>
            </w:r>
          </w:p>
        </w:tc>
      </w:tr>
      <w:tr w:rsidR="0058574E" w:rsidRPr="00BB0035" w:rsidTr="00E7317C">
        <w:trPr>
          <w:trHeight w:val="653"/>
        </w:trPr>
        <w:tc>
          <w:tcPr>
            <w:tcW w:w="9782" w:type="dxa"/>
            <w:gridSpan w:val="4"/>
          </w:tcPr>
          <w:p w:rsidR="0058574E" w:rsidRPr="00BB0035" w:rsidRDefault="0058574E" w:rsidP="00E7317C">
            <w:pPr>
              <w:ind w:left="720"/>
              <w:rPr>
                <w:b/>
                <w:sz w:val="20"/>
                <w:szCs w:val="20"/>
              </w:rPr>
            </w:pPr>
            <w:r w:rsidRPr="00BB0035">
              <w:rPr>
                <w:b/>
                <w:sz w:val="20"/>
                <w:szCs w:val="20"/>
              </w:rPr>
              <w:t xml:space="preserve">4.2 Лицензирование заготовки, хранения, переработки и реализации лома черных и цветных металлов </w:t>
            </w:r>
            <w:r w:rsidRPr="00BB0035">
              <w:rPr>
                <w:sz w:val="20"/>
                <w:szCs w:val="20"/>
              </w:rPr>
              <w:t>(Министерство Тверской области по обеспечению контрольных функций)</w:t>
            </w:r>
          </w:p>
        </w:tc>
      </w:tr>
      <w:tr w:rsidR="0058574E" w:rsidRPr="00BB0035" w:rsidTr="00E7317C">
        <w:trPr>
          <w:trHeight w:val="241"/>
        </w:trPr>
        <w:tc>
          <w:tcPr>
            <w:tcW w:w="5356" w:type="dxa"/>
          </w:tcPr>
          <w:p w:rsidR="0058574E" w:rsidRPr="00BB0035" w:rsidRDefault="0058574E" w:rsidP="00E7317C">
            <w:pPr>
              <w:numPr>
                <w:ilvl w:val="0"/>
                <w:numId w:val="6"/>
              </w:numPr>
              <w:rPr>
                <w:sz w:val="20"/>
                <w:szCs w:val="20"/>
              </w:rPr>
            </w:pPr>
            <w:r w:rsidRPr="00BB0035">
              <w:rPr>
                <w:sz w:val="20"/>
                <w:szCs w:val="20"/>
              </w:rPr>
              <w:t xml:space="preserve">Количество выданных лицензий, шт. </w:t>
            </w:r>
          </w:p>
        </w:tc>
        <w:tc>
          <w:tcPr>
            <w:tcW w:w="1436" w:type="dxa"/>
          </w:tcPr>
          <w:p w:rsidR="0058574E" w:rsidRPr="00BB0035" w:rsidRDefault="0058574E" w:rsidP="00E7317C">
            <w:pPr>
              <w:jc w:val="center"/>
              <w:rPr>
                <w:sz w:val="20"/>
                <w:szCs w:val="20"/>
              </w:rPr>
            </w:pPr>
            <w:r w:rsidRPr="00BB0035">
              <w:rPr>
                <w:sz w:val="20"/>
                <w:szCs w:val="20"/>
              </w:rPr>
              <w:t>10</w:t>
            </w:r>
          </w:p>
        </w:tc>
        <w:tc>
          <w:tcPr>
            <w:tcW w:w="1436" w:type="dxa"/>
          </w:tcPr>
          <w:p w:rsidR="0058574E" w:rsidRPr="00BB0035" w:rsidRDefault="0058574E" w:rsidP="00E7317C">
            <w:pPr>
              <w:jc w:val="center"/>
              <w:rPr>
                <w:sz w:val="20"/>
                <w:szCs w:val="20"/>
              </w:rPr>
            </w:pPr>
            <w:r w:rsidRPr="00BB0035">
              <w:rPr>
                <w:sz w:val="20"/>
                <w:szCs w:val="20"/>
              </w:rPr>
              <w:t>10</w:t>
            </w:r>
          </w:p>
        </w:tc>
        <w:tc>
          <w:tcPr>
            <w:tcW w:w="1554" w:type="dxa"/>
          </w:tcPr>
          <w:p w:rsidR="0058574E" w:rsidRPr="00BB0035" w:rsidRDefault="0058574E" w:rsidP="00E7317C">
            <w:pPr>
              <w:jc w:val="center"/>
              <w:rPr>
                <w:sz w:val="20"/>
                <w:szCs w:val="20"/>
              </w:rPr>
            </w:pPr>
            <w:r w:rsidRPr="00BB0035">
              <w:rPr>
                <w:sz w:val="20"/>
                <w:szCs w:val="20"/>
              </w:rPr>
              <w:t>10</w:t>
            </w:r>
          </w:p>
        </w:tc>
      </w:tr>
      <w:tr w:rsidR="0058574E" w:rsidRPr="00BB0035" w:rsidTr="00E7317C">
        <w:trPr>
          <w:trHeight w:val="132"/>
        </w:trPr>
        <w:tc>
          <w:tcPr>
            <w:tcW w:w="5356" w:type="dxa"/>
          </w:tcPr>
          <w:p w:rsidR="0058574E" w:rsidRPr="00BB0035" w:rsidRDefault="0058574E" w:rsidP="00E7317C">
            <w:pPr>
              <w:numPr>
                <w:ilvl w:val="0"/>
                <w:numId w:val="6"/>
              </w:numPr>
              <w:rPr>
                <w:sz w:val="20"/>
                <w:szCs w:val="20"/>
              </w:rPr>
            </w:pPr>
            <w:r w:rsidRPr="00BB0035">
              <w:rPr>
                <w:sz w:val="20"/>
                <w:szCs w:val="20"/>
              </w:rPr>
              <w:t>Количество переоформленных лицензий, шт.</w:t>
            </w:r>
          </w:p>
        </w:tc>
        <w:tc>
          <w:tcPr>
            <w:tcW w:w="1436" w:type="dxa"/>
          </w:tcPr>
          <w:p w:rsidR="0058574E" w:rsidRPr="00BB0035" w:rsidRDefault="0058574E" w:rsidP="00E7317C">
            <w:pPr>
              <w:jc w:val="center"/>
              <w:rPr>
                <w:sz w:val="20"/>
                <w:szCs w:val="20"/>
              </w:rPr>
            </w:pPr>
            <w:r w:rsidRPr="00BB0035">
              <w:rPr>
                <w:sz w:val="20"/>
                <w:szCs w:val="20"/>
              </w:rPr>
              <w:t>15</w:t>
            </w:r>
          </w:p>
        </w:tc>
        <w:tc>
          <w:tcPr>
            <w:tcW w:w="1436" w:type="dxa"/>
          </w:tcPr>
          <w:p w:rsidR="0058574E" w:rsidRPr="00BB0035" w:rsidRDefault="0058574E" w:rsidP="00E7317C">
            <w:pPr>
              <w:jc w:val="center"/>
              <w:rPr>
                <w:sz w:val="20"/>
                <w:szCs w:val="20"/>
              </w:rPr>
            </w:pPr>
            <w:r w:rsidRPr="00BB0035">
              <w:rPr>
                <w:sz w:val="20"/>
                <w:szCs w:val="20"/>
              </w:rPr>
              <w:t>15</w:t>
            </w:r>
          </w:p>
        </w:tc>
        <w:tc>
          <w:tcPr>
            <w:tcW w:w="1554" w:type="dxa"/>
          </w:tcPr>
          <w:p w:rsidR="0058574E" w:rsidRPr="00BB0035" w:rsidRDefault="0058574E" w:rsidP="00E7317C">
            <w:pPr>
              <w:jc w:val="center"/>
              <w:rPr>
                <w:sz w:val="20"/>
                <w:szCs w:val="20"/>
              </w:rPr>
            </w:pPr>
            <w:r w:rsidRPr="00BB0035">
              <w:rPr>
                <w:sz w:val="20"/>
                <w:szCs w:val="20"/>
              </w:rPr>
              <w:t>15</w:t>
            </w:r>
          </w:p>
        </w:tc>
      </w:tr>
      <w:tr w:rsidR="0058574E" w:rsidRPr="00BB0035" w:rsidTr="00E7317C">
        <w:trPr>
          <w:trHeight w:val="178"/>
        </w:trPr>
        <w:tc>
          <w:tcPr>
            <w:tcW w:w="5356" w:type="dxa"/>
          </w:tcPr>
          <w:p w:rsidR="0058574E" w:rsidRPr="00BB0035" w:rsidRDefault="0058574E" w:rsidP="00E7317C">
            <w:pPr>
              <w:numPr>
                <w:ilvl w:val="0"/>
                <w:numId w:val="6"/>
              </w:numPr>
              <w:rPr>
                <w:sz w:val="20"/>
                <w:szCs w:val="20"/>
              </w:rPr>
            </w:pPr>
            <w:r w:rsidRPr="00BB0035">
              <w:rPr>
                <w:sz w:val="20"/>
                <w:szCs w:val="20"/>
              </w:rPr>
              <w:t>Размер госпошлины за выдачу лицензии, тыс. руб.</w:t>
            </w:r>
          </w:p>
        </w:tc>
        <w:tc>
          <w:tcPr>
            <w:tcW w:w="1436" w:type="dxa"/>
          </w:tcPr>
          <w:p w:rsidR="0058574E" w:rsidRPr="00BB0035" w:rsidRDefault="0058574E" w:rsidP="00E7317C">
            <w:pPr>
              <w:jc w:val="center"/>
              <w:rPr>
                <w:sz w:val="20"/>
                <w:szCs w:val="20"/>
              </w:rPr>
            </w:pPr>
            <w:r w:rsidRPr="00BB0035">
              <w:rPr>
                <w:sz w:val="20"/>
                <w:szCs w:val="20"/>
              </w:rPr>
              <w:t>7,5</w:t>
            </w:r>
          </w:p>
        </w:tc>
        <w:tc>
          <w:tcPr>
            <w:tcW w:w="1436" w:type="dxa"/>
            <w:tcBorders>
              <w:bottom w:val="single" w:sz="4" w:space="0" w:color="auto"/>
            </w:tcBorders>
          </w:tcPr>
          <w:p w:rsidR="0058574E" w:rsidRPr="00BB0035" w:rsidRDefault="0058574E" w:rsidP="00E7317C">
            <w:pPr>
              <w:jc w:val="center"/>
              <w:rPr>
                <w:sz w:val="20"/>
                <w:szCs w:val="20"/>
              </w:rPr>
            </w:pPr>
            <w:r w:rsidRPr="00BB0035">
              <w:rPr>
                <w:sz w:val="20"/>
                <w:szCs w:val="20"/>
              </w:rPr>
              <w:t>7,5</w:t>
            </w:r>
          </w:p>
        </w:tc>
        <w:tc>
          <w:tcPr>
            <w:tcW w:w="1554" w:type="dxa"/>
            <w:tcBorders>
              <w:bottom w:val="single" w:sz="4" w:space="0" w:color="auto"/>
            </w:tcBorders>
          </w:tcPr>
          <w:p w:rsidR="0058574E" w:rsidRPr="00BB0035" w:rsidRDefault="0058574E" w:rsidP="00E7317C">
            <w:pPr>
              <w:jc w:val="center"/>
              <w:rPr>
                <w:sz w:val="20"/>
                <w:szCs w:val="20"/>
              </w:rPr>
            </w:pPr>
            <w:r w:rsidRPr="00BB0035">
              <w:rPr>
                <w:sz w:val="20"/>
                <w:szCs w:val="20"/>
              </w:rPr>
              <w:t>7,5</w:t>
            </w:r>
          </w:p>
        </w:tc>
      </w:tr>
      <w:tr w:rsidR="0058574E" w:rsidRPr="00BB0035" w:rsidTr="00E7317C">
        <w:trPr>
          <w:trHeight w:val="554"/>
        </w:trPr>
        <w:tc>
          <w:tcPr>
            <w:tcW w:w="5356" w:type="dxa"/>
          </w:tcPr>
          <w:p w:rsidR="0058574E" w:rsidRPr="00BB0035" w:rsidRDefault="0058574E" w:rsidP="00E7317C">
            <w:pPr>
              <w:numPr>
                <w:ilvl w:val="0"/>
                <w:numId w:val="6"/>
              </w:numPr>
              <w:rPr>
                <w:sz w:val="20"/>
                <w:szCs w:val="20"/>
              </w:rPr>
            </w:pPr>
            <w:r w:rsidRPr="00BB0035">
              <w:rPr>
                <w:sz w:val="20"/>
                <w:szCs w:val="20"/>
              </w:rPr>
              <w:t>Размер госпошлины за переоформление лицензии, тыс. руб.</w:t>
            </w:r>
          </w:p>
        </w:tc>
        <w:tc>
          <w:tcPr>
            <w:tcW w:w="1436" w:type="dxa"/>
          </w:tcPr>
          <w:p w:rsidR="0058574E" w:rsidRPr="00BB0035" w:rsidRDefault="0058574E" w:rsidP="00E7317C">
            <w:pPr>
              <w:jc w:val="center"/>
              <w:rPr>
                <w:sz w:val="20"/>
                <w:szCs w:val="20"/>
              </w:rPr>
            </w:pPr>
            <w:r w:rsidRPr="00BB0035">
              <w:rPr>
                <w:sz w:val="20"/>
                <w:szCs w:val="20"/>
              </w:rPr>
              <w:t>3,5</w:t>
            </w:r>
          </w:p>
        </w:tc>
        <w:tc>
          <w:tcPr>
            <w:tcW w:w="1436" w:type="dxa"/>
            <w:tcBorders>
              <w:bottom w:val="single" w:sz="4" w:space="0" w:color="auto"/>
            </w:tcBorders>
          </w:tcPr>
          <w:p w:rsidR="0058574E" w:rsidRPr="00BB0035" w:rsidRDefault="0058574E" w:rsidP="00E7317C">
            <w:pPr>
              <w:jc w:val="center"/>
              <w:rPr>
                <w:sz w:val="20"/>
                <w:szCs w:val="20"/>
              </w:rPr>
            </w:pPr>
            <w:r w:rsidRPr="00BB0035">
              <w:rPr>
                <w:sz w:val="20"/>
                <w:szCs w:val="20"/>
              </w:rPr>
              <w:t>3,5</w:t>
            </w:r>
          </w:p>
        </w:tc>
        <w:tc>
          <w:tcPr>
            <w:tcW w:w="1554" w:type="dxa"/>
            <w:tcBorders>
              <w:bottom w:val="single" w:sz="4" w:space="0" w:color="auto"/>
            </w:tcBorders>
          </w:tcPr>
          <w:p w:rsidR="0058574E" w:rsidRPr="00BB0035" w:rsidRDefault="0058574E" w:rsidP="00E7317C">
            <w:pPr>
              <w:jc w:val="center"/>
              <w:rPr>
                <w:sz w:val="20"/>
                <w:szCs w:val="20"/>
              </w:rPr>
            </w:pPr>
            <w:r w:rsidRPr="00BB0035">
              <w:rPr>
                <w:sz w:val="20"/>
                <w:szCs w:val="20"/>
              </w:rPr>
              <w:t>3,5</w:t>
            </w:r>
          </w:p>
        </w:tc>
      </w:tr>
      <w:tr w:rsidR="0058574E" w:rsidRPr="00BB0035" w:rsidTr="00E7317C">
        <w:trPr>
          <w:trHeight w:val="460"/>
        </w:trPr>
        <w:tc>
          <w:tcPr>
            <w:tcW w:w="5356" w:type="dxa"/>
          </w:tcPr>
          <w:p w:rsidR="0058574E" w:rsidRPr="00BB0035" w:rsidRDefault="0058574E" w:rsidP="00E7317C">
            <w:pPr>
              <w:numPr>
                <w:ilvl w:val="0"/>
                <w:numId w:val="6"/>
              </w:numPr>
              <w:rPr>
                <w:sz w:val="20"/>
                <w:szCs w:val="20"/>
              </w:rPr>
            </w:pPr>
            <w:r w:rsidRPr="00BB0035">
              <w:rPr>
                <w:sz w:val="20"/>
                <w:szCs w:val="20"/>
              </w:rPr>
              <w:t>Сумма госпошлины, тыс. руб. (стр. 1.* стр.3) +(стр.2*стр.4) (с округлением)</w:t>
            </w:r>
          </w:p>
        </w:tc>
        <w:tc>
          <w:tcPr>
            <w:tcW w:w="1436" w:type="dxa"/>
          </w:tcPr>
          <w:p w:rsidR="0058574E" w:rsidRPr="00BB0035" w:rsidRDefault="0058574E" w:rsidP="00E7317C">
            <w:pPr>
              <w:jc w:val="center"/>
              <w:rPr>
                <w:sz w:val="20"/>
                <w:szCs w:val="20"/>
              </w:rPr>
            </w:pPr>
            <w:r w:rsidRPr="00BB0035">
              <w:rPr>
                <w:sz w:val="20"/>
                <w:szCs w:val="20"/>
              </w:rPr>
              <w:t>127,5</w:t>
            </w:r>
          </w:p>
        </w:tc>
        <w:tc>
          <w:tcPr>
            <w:tcW w:w="1436" w:type="dxa"/>
            <w:tcBorders>
              <w:top w:val="single" w:sz="4" w:space="0" w:color="auto"/>
            </w:tcBorders>
          </w:tcPr>
          <w:p w:rsidR="0058574E" w:rsidRPr="00BB0035" w:rsidRDefault="0058574E" w:rsidP="00E7317C">
            <w:pPr>
              <w:jc w:val="center"/>
              <w:rPr>
                <w:sz w:val="20"/>
                <w:szCs w:val="20"/>
              </w:rPr>
            </w:pPr>
            <w:r w:rsidRPr="00BB0035">
              <w:rPr>
                <w:sz w:val="20"/>
                <w:szCs w:val="20"/>
              </w:rPr>
              <w:t>127,5</w:t>
            </w:r>
          </w:p>
        </w:tc>
        <w:tc>
          <w:tcPr>
            <w:tcW w:w="1554" w:type="dxa"/>
            <w:tcBorders>
              <w:top w:val="single" w:sz="4" w:space="0" w:color="auto"/>
            </w:tcBorders>
          </w:tcPr>
          <w:p w:rsidR="0058574E" w:rsidRPr="00BB0035" w:rsidRDefault="0058574E" w:rsidP="00E7317C">
            <w:pPr>
              <w:jc w:val="center"/>
              <w:rPr>
                <w:sz w:val="20"/>
                <w:szCs w:val="20"/>
              </w:rPr>
            </w:pPr>
            <w:r w:rsidRPr="00BB0035">
              <w:rPr>
                <w:sz w:val="20"/>
                <w:szCs w:val="20"/>
              </w:rPr>
              <w:t>127,5</w:t>
            </w:r>
          </w:p>
        </w:tc>
      </w:tr>
      <w:tr w:rsidR="0058574E" w:rsidRPr="000C7712" w:rsidTr="00E7317C">
        <w:trPr>
          <w:trHeight w:val="554"/>
        </w:trPr>
        <w:tc>
          <w:tcPr>
            <w:tcW w:w="9782" w:type="dxa"/>
            <w:gridSpan w:val="4"/>
          </w:tcPr>
          <w:p w:rsidR="0058574E" w:rsidRPr="00BF64B2" w:rsidRDefault="0058574E" w:rsidP="005D6ACF">
            <w:pPr>
              <w:numPr>
                <w:ilvl w:val="1"/>
                <w:numId w:val="8"/>
              </w:numPr>
              <w:jc w:val="center"/>
              <w:rPr>
                <w:b/>
                <w:sz w:val="20"/>
                <w:szCs w:val="20"/>
              </w:rPr>
            </w:pPr>
            <w:r w:rsidRPr="00BF64B2">
              <w:rPr>
                <w:b/>
                <w:sz w:val="20"/>
                <w:szCs w:val="20"/>
              </w:rPr>
              <w:t xml:space="preserve">Лицензирование пользования участками недр, содержащими месторождения общераспространенных полезных ископаемых, или участками недр местного значения </w:t>
            </w:r>
            <w:r w:rsidRPr="00BF64B2">
              <w:rPr>
                <w:b/>
                <w:sz w:val="20"/>
                <w:szCs w:val="20"/>
              </w:rPr>
              <w:br/>
              <w:t xml:space="preserve">(в том числе участками недр местного значения, используемыми для строительства </w:t>
            </w:r>
            <w:r w:rsidRPr="00BF64B2">
              <w:rPr>
                <w:b/>
                <w:sz w:val="20"/>
                <w:szCs w:val="20"/>
              </w:rPr>
              <w:br/>
              <w:t>и эксплуатации подземных сооружений, не связанных с добычей полезных ископаемых)</w:t>
            </w:r>
          </w:p>
          <w:p w:rsidR="0058574E" w:rsidRPr="00BF64B2" w:rsidRDefault="0058574E" w:rsidP="00E7317C">
            <w:pPr>
              <w:ind w:left="360"/>
              <w:jc w:val="center"/>
              <w:rPr>
                <w:sz w:val="20"/>
                <w:szCs w:val="20"/>
              </w:rPr>
            </w:pPr>
            <w:r w:rsidRPr="00BF64B2">
              <w:rPr>
                <w:sz w:val="20"/>
                <w:szCs w:val="20"/>
              </w:rPr>
              <w:t>(Министерство природных ресурсов и экологии Тверской области)</w:t>
            </w:r>
          </w:p>
        </w:tc>
      </w:tr>
      <w:tr w:rsidR="0058574E" w:rsidRPr="000C7712" w:rsidTr="00E7317C">
        <w:trPr>
          <w:trHeight w:val="554"/>
        </w:trPr>
        <w:tc>
          <w:tcPr>
            <w:tcW w:w="5356" w:type="dxa"/>
          </w:tcPr>
          <w:p w:rsidR="0058574E" w:rsidRPr="00BF64B2" w:rsidRDefault="0058574E" w:rsidP="00E7317C">
            <w:pPr>
              <w:numPr>
                <w:ilvl w:val="0"/>
                <w:numId w:val="3"/>
              </w:numPr>
              <w:rPr>
                <w:sz w:val="20"/>
                <w:szCs w:val="20"/>
              </w:rPr>
            </w:pPr>
            <w:r w:rsidRPr="00BF64B2">
              <w:rPr>
                <w:sz w:val="20"/>
                <w:szCs w:val="20"/>
              </w:rPr>
              <w:t>Количество выданных и переоформленных лицензий - всего, ед. (как среднее за 2018-2020 годы)</w:t>
            </w:r>
          </w:p>
          <w:p w:rsidR="0058574E" w:rsidRPr="00BF64B2" w:rsidRDefault="0058574E" w:rsidP="00E7317C">
            <w:pPr>
              <w:ind w:left="360"/>
              <w:rPr>
                <w:sz w:val="20"/>
                <w:szCs w:val="20"/>
              </w:rPr>
            </w:pPr>
            <w:r w:rsidRPr="00BF64B2">
              <w:rPr>
                <w:sz w:val="20"/>
                <w:szCs w:val="20"/>
              </w:rPr>
              <w:t>в том числе:</w:t>
            </w:r>
          </w:p>
          <w:p w:rsidR="0058574E" w:rsidRPr="00BF64B2" w:rsidRDefault="0058574E" w:rsidP="005D6ACF">
            <w:pPr>
              <w:numPr>
                <w:ilvl w:val="1"/>
                <w:numId w:val="7"/>
              </w:numPr>
              <w:rPr>
                <w:sz w:val="20"/>
                <w:szCs w:val="20"/>
              </w:rPr>
            </w:pPr>
            <w:r w:rsidRPr="00BF64B2">
              <w:rPr>
                <w:sz w:val="20"/>
                <w:szCs w:val="20"/>
              </w:rPr>
              <w:t>вновь выданных лицензий(с округлением)</w:t>
            </w:r>
          </w:p>
          <w:p w:rsidR="0058574E" w:rsidRPr="00BF64B2" w:rsidRDefault="0058574E" w:rsidP="005D6ACF">
            <w:pPr>
              <w:numPr>
                <w:ilvl w:val="1"/>
                <w:numId w:val="7"/>
              </w:numPr>
              <w:rPr>
                <w:sz w:val="20"/>
                <w:szCs w:val="20"/>
              </w:rPr>
            </w:pPr>
            <w:r w:rsidRPr="00BF64B2">
              <w:rPr>
                <w:sz w:val="20"/>
                <w:szCs w:val="20"/>
              </w:rPr>
              <w:t>продлеваемых лицензий, выдаваемых дубликатов (с округлением)</w:t>
            </w:r>
          </w:p>
          <w:p w:rsidR="0058574E" w:rsidRPr="00BF64B2" w:rsidRDefault="0058574E" w:rsidP="00E7317C">
            <w:pPr>
              <w:ind w:left="360"/>
              <w:rPr>
                <w:sz w:val="20"/>
                <w:szCs w:val="20"/>
              </w:rPr>
            </w:pPr>
            <w:r w:rsidRPr="00BF64B2">
              <w:rPr>
                <w:sz w:val="20"/>
                <w:szCs w:val="20"/>
              </w:rPr>
              <w:t xml:space="preserve">       1.3. переоформленных лицензий(с округлением)</w:t>
            </w:r>
          </w:p>
        </w:tc>
        <w:tc>
          <w:tcPr>
            <w:tcW w:w="1436" w:type="dxa"/>
          </w:tcPr>
          <w:p w:rsidR="0058574E" w:rsidRPr="00BF64B2" w:rsidRDefault="0058574E" w:rsidP="00E7317C">
            <w:pPr>
              <w:jc w:val="center"/>
              <w:rPr>
                <w:sz w:val="20"/>
                <w:szCs w:val="20"/>
              </w:rPr>
            </w:pPr>
          </w:p>
          <w:p w:rsidR="0058574E" w:rsidRPr="00BF64B2" w:rsidRDefault="0058574E" w:rsidP="00E7317C">
            <w:pPr>
              <w:jc w:val="center"/>
              <w:rPr>
                <w:sz w:val="20"/>
                <w:szCs w:val="20"/>
              </w:rPr>
            </w:pPr>
            <w:r w:rsidRPr="00BF64B2">
              <w:rPr>
                <w:sz w:val="20"/>
                <w:szCs w:val="20"/>
              </w:rPr>
              <w:t>90</w:t>
            </w:r>
          </w:p>
          <w:p w:rsidR="0058574E" w:rsidRPr="00BF64B2" w:rsidRDefault="0058574E" w:rsidP="00E7317C">
            <w:pPr>
              <w:jc w:val="center"/>
              <w:rPr>
                <w:sz w:val="20"/>
                <w:szCs w:val="20"/>
              </w:rPr>
            </w:pPr>
          </w:p>
          <w:p w:rsidR="0058574E" w:rsidRPr="00BF64B2" w:rsidRDefault="0058574E" w:rsidP="00E7317C">
            <w:pPr>
              <w:jc w:val="center"/>
              <w:rPr>
                <w:sz w:val="20"/>
                <w:szCs w:val="20"/>
              </w:rPr>
            </w:pPr>
          </w:p>
          <w:p w:rsidR="0058574E" w:rsidRPr="00BF64B2" w:rsidRDefault="0058574E" w:rsidP="00E7317C">
            <w:pPr>
              <w:jc w:val="center"/>
              <w:rPr>
                <w:sz w:val="20"/>
                <w:szCs w:val="20"/>
              </w:rPr>
            </w:pPr>
            <w:r w:rsidRPr="00BF64B2">
              <w:rPr>
                <w:sz w:val="20"/>
                <w:szCs w:val="20"/>
              </w:rPr>
              <w:t>66</w:t>
            </w:r>
          </w:p>
          <w:p w:rsidR="0058574E" w:rsidRPr="00BF64B2" w:rsidRDefault="0058574E" w:rsidP="00E7317C">
            <w:pPr>
              <w:jc w:val="center"/>
              <w:rPr>
                <w:sz w:val="20"/>
                <w:szCs w:val="20"/>
              </w:rPr>
            </w:pPr>
            <w:r w:rsidRPr="00BF64B2">
              <w:rPr>
                <w:sz w:val="20"/>
                <w:szCs w:val="20"/>
              </w:rPr>
              <w:t>20</w:t>
            </w:r>
          </w:p>
          <w:p w:rsidR="0058574E" w:rsidRPr="00BF64B2" w:rsidRDefault="0058574E" w:rsidP="00E7317C">
            <w:pPr>
              <w:jc w:val="center"/>
              <w:rPr>
                <w:sz w:val="20"/>
                <w:szCs w:val="20"/>
              </w:rPr>
            </w:pPr>
          </w:p>
          <w:p w:rsidR="0058574E" w:rsidRPr="00BF64B2" w:rsidRDefault="0058574E" w:rsidP="00E7317C">
            <w:pPr>
              <w:jc w:val="center"/>
              <w:rPr>
                <w:sz w:val="20"/>
                <w:szCs w:val="20"/>
              </w:rPr>
            </w:pPr>
            <w:r w:rsidRPr="00BF64B2">
              <w:rPr>
                <w:sz w:val="20"/>
                <w:szCs w:val="20"/>
              </w:rPr>
              <w:t>4</w:t>
            </w:r>
          </w:p>
        </w:tc>
        <w:tc>
          <w:tcPr>
            <w:tcW w:w="1436" w:type="dxa"/>
          </w:tcPr>
          <w:p w:rsidR="0058574E" w:rsidRPr="00BF64B2" w:rsidRDefault="0058574E" w:rsidP="00E7317C">
            <w:pPr>
              <w:jc w:val="center"/>
              <w:rPr>
                <w:sz w:val="20"/>
                <w:szCs w:val="20"/>
              </w:rPr>
            </w:pPr>
          </w:p>
          <w:p w:rsidR="0058574E" w:rsidRPr="00BF64B2" w:rsidRDefault="0058574E" w:rsidP="00E7317C">
            <w:pPr>
              <w:jc w:val="center"/>
              <w:rPr>
                <w:sz w:val="20"/>
                <w:szCs w:val="20"/>
              </w:rPr>
            </w:pPr>
            <w:r w:rsidRPr="00BF64B2">
              <w:rPr>
                <w:sz w:val="20"/>
                <w:szCs w:val="20"/>
              </w:rPr>
              <w:t>90</w:t>
            </w:r>
          </w:p>
          <w:p w:rsidR="0058574E" w:rsidRPr="00BF64B2" w:rsidRDefault="0058574E" w:rsidP="00E7317C">
            <w:pPr>
              <w:jc w:val="center"/>
              <w:rPr>
                <w:sz w:val="20"/>
                <w:szCs w:val="20"/>
              </w:rPr>
            </w:pPr>
          </w:p>
          <w:p w:rsidR="0058574E" w:rsidRPr="00BF64B2" w:rsidRDefault="0058574E" w:rsidP="00E7317C">
            <w:pPr>
              <w:jc w:val="center"/>
              <w:rPr>
                <w:sz w:val="20"/>
                <w:szCs w:val="20"/>
              </w:rPr>
            </w:pPr>
          </w:p>
          <w:p w:rsidR="0058574E" w:rsidRPr="00BF64B2" w:rsidRDefault="0058574E" w:rsidP="00E7317C">
            <w:pPr>
              <w:jc w:val="center"/>
              <w:rPr>
                <w:sz w:val="20"/>
                <w:szCs w:val="20"/>
              </w:rPr>
            </w:pPr>
            <w:r w:rsidRPr="00BF64B2">
              <w:rPr>
                <w:sz w:val="20"/>
                <w:szCs w:val="20"/>
              </w:rPr>
              <w:t>66</w:t>
            </w:r>
          </w:p>
          <w:p w:rsidR="0058574E" w:rsidRPr="00BF64B2" w:rsidRDefault="0058574E" w:rsidP="00E7317C">
            <w:pPr>
              <w:jc w:val="center"/>
              <w:rPr>
                <w:sz w:val="20"/>
                <w:szCs w:val="20"/>
              </w:rPr>
            </w:pPr>
            <w:r w:rsidRPr="00BF64B2">
              <w:rPr>
                <w:sz w:val="20"/>
                <w:szCs w:val="20"/>
              </w:rPr>
              <w:t>20</w:t>
            </w:r>
          </w:p>
          <w:p w:rsidR="0058574E" w:rsidRPr="00BF64B2" w:rsidRDefault="0058574E" w:rsidP="00E7317C">
            <w:pPr>
              <w:jc w:val="center"/>
              <w:rPr>
                <w:sz w:val="20"/>
                <w:szCs w:val="20"/>
              </w:rPr>
            </w:pPr>
          </w:p>
          <w:p w:rsidR="0058574E" w:rsidRPr="00BF64B2" w:rsidRDefault="0058574E" w:rsidP="00E7317C">
            <w:pPr>
              <w:jc w:val="center"/>
              <w:rPr>
                <w:sz w:val="20"/>
                <w:szCs w:val="20"/>
              </w:rPr>
            </w:pPr>
            <w:r w:rsidRPr="00BF64B2">
              <w:rPr>
                <w:sz w:val="20"/>
                <w:szCs w:val="20"/>
              </w:rPr>
              <w:t>4</w:t>
            </w:r>
          </w:p>
        </w:tc>
        <w:tc>
          <w:tcPr>
            <w:tcW w:w="1554" w:type="dxa"/>
          </w:tcPr>
          <w:p w:rsidR="0058574E" w:rsidRPr="00BF64B2" w:rsidRDefault="0058574E" w:rsidP="00E7317C">
            <w:pPr>
              <w:jc w:val="center"/>
              <w:rPr>
                <w:sz w:val="20"/>
                <w:szCs w:val="20"/>
              </w:rPr>
            </w:pPr>
          </w:p>
          <w:p w:rsidR="0058574E" w:rsidRPr="00BF64B2" w:rsidRDefault="0058574E" w:rsidP="00E7317C">
            <w:pPr>
              <w:jc w:val="center"/>
              <w:rPr>
                <w:sz w:val="20"/>
                <w:szCs w:val="20"/>
              </w:rPr>
            </w:pPr>
            <w:r w:rsidRPr="00BF64B2">
              <w:rPr>
                <w:sz w:val="20"/>
                <w:szCs w:val="20"/>
              </w:rPr>
              <w:t>90</w:t>
            </w:r>
          </w:p>
          <w:p w:rsidR="0058574E" w:rsidRPr="00BF64B2" w:rsidRDefault="0058574E" w:rsidP="00E7317C">
            <w:pPr>
              <w:jc w:val="center"/>
              <w:rPr>
                <w:sz w:val="20"/>
                <w:szCs w:val="20"/>
              </w:rPr>
            </w:pPr>
          </w:p>
          <w:p w:rsidR="0058574E" w:rsidRPr="00BF64B2" w:rsidRDefault="0058574E" w:rsidP="00E7317C">
            <w:pPr>
              <w:jc w:val="center"/>
              <w:rPr>
                <w:sz w:val="20"/>
                <w:szCs w:val="20"/>
              </w:rPr>
            </w:pPr>
          </w:p>
          <w:p w:rsidR="0058574E" w:rsidRPr="00BF64B2" w:rsidRDefault="0058574E" w:rsidP="00E7317C">
            <w:pPr>
              <w:jc w:val="center"/>
              <w:rPr>
                <w:sz w:val="20"/>
                <w:szCs w:val="20"/>
              </w:rPr>
            </w:pPr>
            <w:r w:rsidRPr="00BF64B2">
              <w:rPr>
                <w:sz w:val="20"/>
                <w:szCs w:val="20"/>
              </w:rPr>
              <w:t>66</w:t>
            </w:r>
          </w:p>
          <w:p w:rsidR="0058574E" w:rsidRPr="00BF64B2" w:rsidRDefault="0058574E" w:rsidP="00E7317C">
            <w:pPr>
              <w:jc w:val="center"/>
              <w:rPr>
                <w:sz w:val="20"/>
                <w:szCs w:val="20"/>
              </w:rPr>
            </w:pPr>
            <w:r w:rsidRPr="00BF64B2">
              <w:rPr>
                <w:sz w:val="20"/>
                <w:szCs w:val="20"/>
              </w:rPr>
              <w:t>20</w:t>
            </w:r>
          </w:p>
          <w:p w:rsidR="0058574E" w:rsidRPr="00BF64B2" w:rsidRDefault="0058574E" w:rsidP="00E7317C">
            <w:pPr>
              <w:jc w:val="center"/>
              <w:rPr>
                <w:sz w:val="20"/>
                <w:szCs w:val="20"/>
              </w:rPr>
            </w:pPr>
          </w:p>
          <w:p w:rsidR="0058574E" w:rsidRPr="00BF64B2" w:rsidRDefault="0058574E" w:rsidP="00E7317C">
            <w:pPr>
              <w:jc w:val="center"/>
              <w:rPr>
                <w:sz w:val="20"/>
                <w:szCs w:val="20"/>
              </w:rPr>
            </w:pPr>
            <w:r w:rsidRPr="00BF64B2">
              <w:rPr>
                <w:sz w:val="20"/>
                <w:szCs w:val="20"/>
              </w:rPr>
              <w:t>4</w:t>
            </w:r>
          </w:p>
        </w:tc>
      </w:tr>
      <w:tr w:rsidR="0058574E" w:rsidRPr="000C7712" w:rsidTr="00E7317C">
        <w:trPr>
          <w:trHeight w:val="554"/>
        </w:trPr>
        <w:tc>
          <w:tcPr>
            <w:tcW w:w="5356" w:type="dxa"/>
          </w:tcPr>
          <w:p w:rsidR="0058574E" w:rsidRPr="00BF64B2" w:rsidRDefault="0058574E" w:rsidP="00E7317C">
            <w:pPr>
              <w:ind w:left="360"/>
              <w:rPr>
                <w:sz w:val="20"/>
                <w:szCs w:val="20"/>
              </w:rPr>
            </w:pPr>
            <w:r w:rsidRPr="00BF64B2">
              <w:rPr>
                <w:sz w:val="20"/>
                <w:szCs w:val="20"/>
              </w:rPr>
              <w:t>2. Размер госпошлины, тыс. руб.</w:t>
            </w:r>
          </w:p>
          <w:p w:rsidR="0058574E" w:rsidRPr="00BF64B2" w:rsidRDefault="0058574E" w:rsidP="00E7317C">
            <w:pPr>
              <w:ind w:left="360"/>
              <w:rPr>
                <w:sz w:val="20"/>
                <w:szCs w:val="20"/>
              </w:rPr>
            </w:pPr>
            <w:r w:rsidRPr="00BF64B2">
              <w:rPr>
                <w:sz w:val="20"/>
                <w:szCs w:val="20"/>
              </w:rPr>
              <w:t>2.1. за выдачу лицензии</w:t>
            </w:r>
          </w:p>
          <w:p w:rsidR="0058574E" w:rsidRPr="00BF64B2" w:rsidRDefault="0058574E" w:rsidP="00E7317C">
            <w:pPr>
              <w:ind w:left="360"/>
              <w:rPr>
                <w:sz w:val="20"/>
                <w:szCs w:val="20"/>
              </w:rPr>
            </w:pPr>
            <w:r w:rsidRPr="00BF64B2">
              <w:rPr>
                <w:sz w:val="20"/>
                <w:szCs w:val="20"/>
              </w:rPr>
              <w:t>2.2. за продление лицензии, выдачу дубликата</w:t>
            </w:r>
          </w:p>
          <w:p w:rsidR="0058574E" w:rsidRPr="00BF64B2" w:rsidRDefault="0058574E" w:rsidP="00E7317C">
            <w:pPr>
              <w:ind w:left="360"/>
              <w:rPr>
                <w:sz w:val="20"/>
                <w:szCs w:val="20"/>
              </w:rPr>
            </w:pPr>
            <w:r w:rsidRPr="00BF64B2">
              <w:rPr>
                <w:sz w:val="20"/>
                <w:szCs w:val="20"/>
              </w:rPr>
              <w:t>2.3. за переоформление лицензии</w:t>
            </w:r>
          </w:p>
          <w:p w:rsidR="0058574E" w:rsidRPr="00BF64B2" w:rsidRDefault="0058574E" w:rsidP="00E7317C">
            <w:pPr>
              <w:rPr>
                <w:sz w:val="20"/>
                <w:szCs w:val="20"/>
              </w:rPr>
            </w:pPr>
          </w:p>
        </w:tc>
        <w:tc>
          <w:tcPr>
            <w:tcW w:w="1436" w:type="dxa"/>
          </w:tcPr>
          <w:p w:rsidR="0058574E" w:rsidRPr="00BF64B2" w:rsidRDefault="0058574E" w:rsidP="00E7317C">
            <w:pPr>
              <w:jc w:val="center"/>
              <w:rPr>
                <w:sz w:val="20"/>
                <w:szCs w:val="20"/>
              </w:rPr>
            </w:pPr>
          </w:p>
          <w:p w:rsidR="0058574E" w:rsidRPr="00BF64B2" w:rsidRDefault="0058574E" w:rsidP="00E7317C">
            <w:pPr>
              <w:jc w:val="center"/>
              <w:rPr>
                <w:sz w:val="20"/>
                <w:szCs w:val="20"/>
              </w:rPr>
            </w:pPr>
            <w:r w:rsidRPr="00BF64B2">
              <w:rPr>
                <w:sz w:val="20"/>
                <w:szCs w:val="20"/>
              </w:rPr>
              <w:t>7,5</w:t>
            </w:r>
          </w:p>
          <w:p w:rsidR="0058574E" w:rsidRPr="00BF64B2" w:rsidRDefault="0058574E" w:rsidP="00E7317C">
            <w:pPr>
              <w:jc w:val="center"/>
              <w:rPr>
                <w:sz w:val="20"/>
                <w:szCs w:val="20"/>
              </w:rPr>
            </w:pPr>
            <w:r w:rsidRPr="00BF64B2">
              <w:rPr>
                <w:sz w:val="20"/>
                <w:szCs w:val="20"/>
              </w:rPr>
              <w:t>0,75</w:t>
            </w:r>
          </w:p>
          <w:p w:rsidR="0058574E" w:rsidRPr="00BF64B2" w:rsidRDefault="0058574E" w:rsidP="00E7317C">
            <w:pPr>
              <w:jc w:val="center"/>
              <w:rPr>
                <w:sz w:val="20"/>
                <w:szCs w:val="20"/>
              </w:rPr>
            </w:pPr>
            <w:r w:rsidRPr="00BF64B2">
              <w:rPr>
                <w:sz w:val="20"/>
                <w:szCs w:val="20"/>
              </w:rPr>
              <w:t>3,5</w:t>
            </w:r>
          </w:p>
        </w:tc>
        <w:tc>
          <w:tcPr>
            <w:tcW w:w="1436" w:type="dxa"/>
          </w:tcPr>
          <w:p w:rsidR="0058574E" w:rsidRPr="00BF64B2" w:rsidRDefault="0058574E" w:rsidP="00E7317C">
            <w:pPr>
              <w:jc w:val="center"/>
              <w:rPr>
                <w:sz w:val="20"/>
                <w:szCs w:val="20"/>
              </w:rPr>
            </w:pPr>
          </w:p>
          <w:p w:rsidR="0058574E" w:rsidRPr="00BF64B2" w:rsidRDefault="0058574E" w:rsidP="00E7317C">
            <w:pPr>
              <w:jc w:val="center"/>
              <w:rPr>
                <w:sz w:val="20"/>
                <w:szCs w:val="20"/>
              </w:rPr>
            </w:pPr>
            <w:r w:rsidRPr="00BF64B2">
              <w:rPr>
                <w:sz w:val="20"/>
                <w:szCs w:val="20"/>
              </w:rPr>
              <w:t>7,5</w:t>
            </w:r>
          </w:p>
          <w:p w:rsidR="0058574E" w:rsidRPr="00BF64B2" w:rsidRDefault="0058574E" w:rsidP="00E7317C">
            <w:pPr>
              <w:jc w:val="center"/>
              <w:rPr>
                <w:sz w:val="20"/>
                <w:szCs w:val="20"/>
              </w:rPr>
            </w:pPr>
            <w:r w:rsidRPr="00BF64B2">
              <w:rPr>
                <w:sz w:val="20"/>
                <w:szCs w:val="20"/>
              </w:rPr>
              <w:t>0,75</w:t>
            </w:r>
          </w:p>
          <w:p w:rsidR="0058574E" w:rsidRPr="00BF64B2" w:rsidRDefault="0058574E" w:rsidP="00E7317C">
            <w:pPr>
              <w:jc w:val="center"/>
              <w:rPr>
                <w:sz w:val="20"/>
                <w:szCs w:val="20"/>
              </w:rPr>
            </w:pPr>
            <w:r w:rsidRPr="00BF64B2">
              <w:rPr>
                <w:sz w:val="20"/>
                <w:szCs w:val="20"/>
              </w:rPr>
              <w:t>3,5</w:t>
            </w:r>
          </w:p>
        </w:tc>
        <w:tc>
          <w:tcPr>
            <w:tcW w:w="1554" w:type="dxa"/>
          </w:tcPr>
          <w:p w:rsidR="0058574E" w:rsidRPr="00BF64B2" w:rsidRDefault="0058574E" w:rsidP="00E7317C">
            <w:pPr>
              <w:jc w:val="center"/>
              <w:rPr>
                <w:sz w:val="20"/>
                <w:szCs w:val="20"/>
              </w:rPr>
            </w:pPr>
          </w:p>
          <w:p w:rsidR="0058574E" w:rsidRPr="00BF64B2" w:rsidRDefault="0058574E" w:rsidP="00E7317C">
            <w:pPr>
              <w:jc w:val="center"/>
              <w:rPr>
                <w:sz w:val="20"/>
                <w:szCs w:val="20"/>
              </w:rPr>
            </w:pPr>
            <w:r w:rsidRPr="00BF64B2">
              <w:rPr>
                <w:sz w:val="20"/>
                <w:szCs w:val="20"/>
              </w:rPr>
              <w:t>7,5</w:t>
            </w:r>
          </w:p>
          <w:p w:rsidR="0058574E" w:rsidRPr="00BF64B2" w:rsidRDefault="0058574E" w:rsidP="00E7317C">
            <w:pPr>
              <w:jc w:val="center"/>
              <w:rPr>
                <w:sz w:val="20"/>
                <w:szCs w:val="20"/>
              </w:rPr>
            </w:pPr>
            <w:r w:rsidRPr="00BF64B2">
              <w:rPr>
                <w:sz w:val="20"/>
                <w:szCs w:val="20"/>
              </w:rPr>
              <w:t>0,75</w:t>
            </w:r>
          </w:p>
          <w:p w:rsidR="0058574E" w:rsidRPr="00BF64B2" w:rsidRDefault="0058574E" w:rsidP="00E7317C">
            <w:pPr>
              <w:jc w:val="center"/>
              <w:rPr>
                <w:sz w:val="20"/>
                <w:szCs w:val="20"/>
              </w:rPr>
            </w:pPr>
            <w:r w:rsidRPr="00BF64B2">
              <w:rPr>
                <w:sz w:val="20"/>
                <w:szCs w:val="20"/>
              </w:rPr>
              <w:t>3,5</w:t>
            </w:r>
          </w:p>
        </w:tc>
      </w:tr>
      <w:tr w:rsidR="0058574E" w:rsidRPr="000C7712" w:rsidTr="00E7317C">
        <w:trPr>
          <w:trHeight w:val="554"/>
        </w:trPr>
        <w:tc>
          <w:tcPr>
            <w:tcW w:w="5356" w:type="dxa"/>
          </w:tcPr>
          <w:p w:rsidR="0058574E" w:rsidRPr="003C3621" w:rsidRDefault="0058574E" w:rsidP="00E7317C">
            <w:pPr>
              <w:ind w:left="360"/>
              <w:rPr>
                <w:sz w:val="20"/>
                <w:szCs w:val="20"/>
              </w:rPr>
            </w:pPr>
            <w:r w:rsidRPr="003C3621">
              <w:rPr>
                <w:sz w:val="20"/>
                <w:szCs w:val="20"/>
              </w:rPr>
              <w:t>3. Сумма госпошлины - итого, тыс. руб. (стр. 3.1.+ стр. 3.2 + стр. 3.3)</w:t>
            </w:r>
          </w:p>
          <w:p w:rsidR="0058574E" w:rsidRPr="003C3621" w:rsidRDefault="0058574E" w:rsidP="00E7317C">
            <w:pPr>
              <w:ind w:left="360"/>
              <w:rPr>
                <w:sz w:val="20"/>
                <w:szCs w:val="20"/>
              </w:rPr>
            </w:pPr>
            <w:r w:rsidRPr="003C3621">
              <w:rPr>
                <w:sz w:val="20"/>
                <w:szCs w:val="20"/>
              </w:rPr>
              <w:t>3.1 за вновь выданные лицензии (стр. 1.1* стр. 2.1)</w:t>
            </w:r>
          </w:p>
          <w:p w:rsidR="0058574E" w:rsidRPr="003C3621" w:rsidRDefault="0058574E" w:rsidP="00E7317C">
            <w:pPr>
              <w:ind w:left="360"/>
              <w:rPr>
                <w:sz w:val="20"/>
                <w:szCs w:val="20"/>
              </w:rPr>
            </w:pPr>
            <w:r w:rsidRPr="003C3621">
              <w:rPr>
                <w:sz w:val="20"/>
                <w:szCs w:val="20"/>
              </w:rPr>
              <w:t>3.2. за продление лицензии, выдачу дубликата (стр. 1.2 *стр. 2.2)(с округлением)</w:t>
            </w:r>
          </w:p>
          <w:p w:rsidR="0058574E" w:rsidRPr="003C3621" w:rsidRDefault="0058574E" w:rsidP="00E7317C">
            <w:pPr>
              <w:ind w:left="360"/>
              <w:rPr>
                <w:sz w:val="20"/>
                <w:szCs w:val="20"/>
              </w:rPr>
            </w:pPr>
            <w:r w:rsidRPr="003C3621">
              <w:rPr>
                <w:sz w:val="20"/>
                <w:szCs w:val="20"/>
              </w:rPr>
              <w:t>3.3. за переоформленные лицензии (стр. 1.3* стр. 2.3)</w:t>
            </w:r>
          </w:p>
          <w:p w:rsidR="0058574E" w:rsidRPr="003C3621" w:rsidRDefault="0058574E" w:rsidP="00E7317C">
            <w:pPr>
              <w:rPr>
                <w:sz w:val="20"/>
                <w:szCs w:val="20"/>
              </w:rPr>
            </w:pPr>
          </w:p>
        </w:tc>
        <w:tc>
          <w:tcPr>
            <w:tcW w:w="1436" w:type="dxa"/>
          </w:tcPr>
          <w:p w:rsidR="0058574E" w:rsidRPr="003C3621" w:rsidRDefault="0058574E" w:rsidP="00E7317C">
            <w:pPr>
              <w:jc w:val="center"/>
              <w:rPr>
                <w:sz w:val="20"/>
                <w:szCs w:val="20"/>
              </w:rPr>
            </w:pPr>
            <w:r w:rsidRPr="003C3621">
              <w:rPr>
                <w:sz w:val="20"/>
                <w:szCs w:val="20"/>
              </w:rPr>
              <w:t>524,0</w:t>
            </w:r>
          </w:p>
          <w:p w:rsidR="0058574E" w:rsidRPr="003C3621" w:rsidRDefault="0058574E" w:rsidP="00E7317C">
            <w:pPr>
              <w:jc w:val="center"/>
              <w:rPr>
                <w:sz w:val="20"/>
                <w:szCs w:val="20"/>
              </w:rPr>
            </w:pPr>
          </w:p>
          <w:p w:rsidR="0058574E" w:rsidRPr="003C3621" w:rsidRDefault="0058574E" w:rsidP="00E7317C">
            <w:pPr>
              <w:jc w:val="center"/>
              <w:rPr>
                <w:sz w:val="20"/>
                <w:szCs w:val="20"/>
              </w:rPr>
            </w:pPr>
            <w:r w:rsidRPr="003C3621">
              <w:rPr>
                <w:sz w:val="20"/>
                <w:szCs w:val="20"/>
              </w:rPr>
              <w:t>495,0</w:t>
            </w:r>
          </w:p>
          <w:p w:rsidR="0058574E" w:rsidRPr="003C3621" w:rsidRDefault="0058574E" w:rsidP="00E7317C">
            <w:pPr>
              <w:jc w:val="center"/>
              <w:rPr>
                <w:sz w:val="20"/>
                <w:szCs w:val="20"/>
              </w:rPr>
            </w:pPr>
            <w:r w:rsidRPr="003C3621">
              <w:rPr>
                <w:sz w:val="20"/>
                <w:szCs w:val="20"/>
              </w:rPr>
              <w:t>15,0</w:t>
            </w:r>
          </w:p>
          <w:p w:rsidR="0058574E" w:rsidRPr="003C3621" w:rsidRDefault="0058574E" w:rsidP="00E7317C">
            <w:pPr>
              <w:jc w:val="center"/>
              <w:rPr>
                <w:sz w:val="20"/>
                <w:szCs w:val="20"/>
              </w:rPr>
            </w:pPr>
          </w:p>
          <w:p w:rsidR="0058574E" w:rsidRPr="003C3621" w:rsidRDefault="0058574E" w:rsidP="00E7317C">
            <w:pPr>
              <w:jc w:val="center"/>
              <w:rPr>
                <w:sz w:val="20"/>
                <w:szCs w:val="20"/>
              </w:rPr>
            </w:pPr>
            <w:r w:rsidRPr="003C3621">
              <w:rPr>
                <w:sz w:val="20"/>
                <w:szCs w:val="20"/>
              </w:rPr>
              <w:t>14,0</w:t>
            </w:r>
          </w:p>
        </w:tc>
        <w:tc>
          <w:tcPr>
            <w:tcW w:w="1436" w:type="dxa"/>
          </w:tcPr>
          <w:p w:rsidR="0058574E" w:rsidRPr="003C3621" w:rsidRDefault="0058574E" w:rsidP="00E7317C">
            <w:pPr>
              <w:jc w:val="center"/>
              <w:rPr>
                <w:sz w:val="20"/>
                <w:szCs w:val="20"/>
              </w:rPr>
            </w:pPr>
            <w:r w:rsidRPr="003C3621">
              <w:rPr>
                <w:sz w:val="20"/>
                <w:szCs w:val="20"/>
              </w:rPr>
              <w:t>524,0</w:t>
            </w:r>
          </w:p>
          <w:p w:rsidR="0058574E" w:rsidRPr="003C3621" w:rsidRDefault="0058574E" w:rsidP="00E7317C">
            <w:pPr>
              <w:jc w:val="center"/>
              <w:rPr>
                <w:sz w:val="20"/>
                <w:szCs w:val="20"/>
              </w:rPr>
            </w:pPr>
          </w:p>
          <w:p w:rsidR="0058574E" w:rsidRPr="003C3621" w:rsidRDefault="0058574E" w:rsidP="00E7317C">
            <w:pPr>
              <w:jc w:val="center"/>
              <w:rPr>
                <w:sz w:val="20"/>
                <w:szCs w:val="20"/>
              </w:rPr>
            </w:pPr>
            <w:r w:rsidRPr="003C3621">
              <w:rPr>
                <w:sz w:val="20"/>
                <w:szCs w:val="20"/>
              </w:rPr>
              <w:t>495,0</w:t>
            </w:r>
          </w:p>
          <w:p w:rsidR="0058574E" w:rsidRPr="003C3621" w:rsidRDefault="0058574E" w:rsidP="00E7317C">
            <w:pPr>
              <w:jc w:val="center"/>
              <w:rPr>
                <w:sz w:val="20"/>
                <w:szCs w:val="20"/>
              </w:rPr>
            </w:pPr>
            <w:r w:rsidRPr="003C3621">
              <w:rPr>
                <w:sz w:val="20"/>
                <w:szCs w:val="20"/>
              </w:rPr>
              <w:t>15,0</w:t>
            </w:r>
          </w:p>
          <w:p w:rsidR="0058574E" w:rsidRPr="003C3621" w:rsidRDefault="0058574E" w:rsidP="00E7317C">
            <w:pPr>
              <w:jc w:val="center"/>
              <w:rPr>
                <w:sz w:val="20"/>
                <w:szCs w:val="20"/>
              </w:rPr>
            </w:pPr>
          </w:p>
          <w:p w:rsidR="0058574E" w:rsidRPr="003C3621" w:rsidRDefault="0058574E" w:rsidP="00E7317C">
            <w:pPr>
              <w:jc w:val="center"/>
              <w:rPr>
                <w:sz w:val="20"/>
                <w:szCs w:val="20"/>
              </w:rPr>
            </w:pPr>
            <w:r w:rsidRPr="003C3621">
              <w:rPr>
                <w:sz w:val="20"/>
                <w:szCs w:val="20"/>
              </w:rPr>
              <w:t>14,0</w:t>
            </w:r>
          </w:p>
        </w:tc>
        <w:tc>
          <w:tcPr>
            <w:tcW w:w="1554" w:type="dxa"/>
          </w:tcPr>
          <w:p w:rsidR="0058574E" w:rsidRPr="003C3621" w:rsidRDefault="0058574E" w:rsidP="00E7317C">
            <w:pPr>
              <w:jc w:val="center"/>
              <w:rPr>
                <w:sz w:val="20"/>
                <w:szCs w:val="20"/>
              </w:rPr>
            </w:pPr>
            <w:r w:rsidRPr="003C3621">
              <w:rPr>
                <w:sz w:val="20"/>
                <w:szCs w:val="20"/>
              </w:rPr>
              <w:t>524,0</w:t>
            </w:r>
          </w:p>
          <w:p w:rsidR="0058574E" w:rsidRPr="003C3621" w:rsidRDefault="0058574E" w:rsidP="00E7317C">
            <w:pPr>
              <w:jc w:val="center"/>
              <w:rPr>
                <w:sz w:val="20"/>
                <w:szCs w:val="20"/>
              </w:rPr>
            </w:pPr>
          </w:p>
          <w:p w:rsidR="0058574E" w:rsidRPr="003C3621" w:rsidRDefault="0058574E" w:rsidP="00E7317C">
            <w:pPr>
              <w:jc w:val="center"/>
              <w:rPr>
                <w:sz w:val="20"/>
                <w:szCs w:val="20"/>
              </w:rPr>
            </w:pPr>
            <w:r w:rsidRPr="003C3621">
              <w:rPr>
                <w:sz w:val="20"/>
                <w:szCs w:val="20"/>
              </w:rPr>
              <w:t>495,0</w:t>
            </w:r>
          </w:p>
          <w:p w:rsidR="0058574E" w:rsidRPr="003C3621" w:rsidRDefault="0058574E" w:rsidP="00E7317C">
            <w:pPr>
              <w:jc w:val="center"/>
              <w:rPr>
                <w:sz w:val="20"/>
                <w:szCs w:val="20"/>
              </w:rPr>
            </w:pPr>
            <w:r w:rsidRPr="003C3621">
              <w:rPr>
                <w:sz w:val="20"/>
                <w:szCs w:val="20"/>
              </w:rPr>
              <w:t>15,0</w:t>
            </w:r>
          </w:p>
          <w:p w:rsidR="0058574E" w:rsidRPr="003C3621" w:rsidRDefault="0058574E" w:rsidP="00E7317C">
            <w:pPr>
              <w:jc w:val="center"/>
              <w:rPr>
                <w:sz w:val="20"/>
                <w:szCs w:val="20"/>
              </w:rPr>
            </w:pPr>
          </w:p>
          <w:p w:rsidR="0058574E" w:rsidRPr="003C3621" w:rsidRDefault="0058574E" w:rsidP="00E7317C">
            <w:pPr>
              <w:jc w:val="center"/>
              <w:rPr>
                <w:sz w:val="20"/>
                <w:szCs w:val="20"/>
              </w:rPr>
            </w:pPr>
            <w:r w:rsidRPr="003C3621">
              <w:rPr>
                <w:sz w:val="20"/>
                <w:szCs w:val="20"/>
              </w:rPr>
              <w:t>14,0</w:t>
            </w:r>
          </w:p>
        </w:tc>
      </w:tr>
      <w:tr w:rsidR="0058574E" w:rsidRPr="000C7712" w:rsidTr="00E7317C">
        <w:trPr>
          <w:trHeight w:val="554"/>
        </w:trPr>
        <w:tc>
          <w:tcPr>
            <w:tcW w:w="9782" w:type="dxa"/>
            <w:gridSpan w:val="4"/>
          </w:tcPr>
          <w:p w:rsidR="0058574E" w:rsidRPr="003C3621" w:rsidRDefault="0058574E" w:rsidP="00E7317C">
            <w:pPr>
              <w:jc w:val="center"/>
              <w:rPr>
                <w:b/>
                <w:sz w:val="20"/>
                <w:szCs w:val="20"/>
              </w:rPr>
            </w:pPr>
            <w:r w:rsidRPr="003C3621">
              <w:rPr>
                <w:b/>
                <w:sz w:val="20"/>
                <w:szCs w:val="20"/>
              </w:rPr>
              <w:t>4.4. Лицензирование образовательной деятельности</w:t>
            </w:r>
          </w:p>
          <w:p w:rsidR="0058574E" w:rsidRPr="003C3621" w:rsidRDefault="0058574E" w:rsidP="00E7317C">
            <w:pPr>
              <w:jc w:val="center"/>
              <w:rPr>
                <w:sz w:val="20"/>
                <w:szCs w:val="20"/>
              </w:rPr>
            </w:pPr>
            <w:r w:rsidRPr="003C3621">
              <w:rPr>
                <w:sz w:val="20"/>
                <w:szCs w:val="20"/>
              </w:rPr>
              <w:t>(Министерство образования Тверской области)</w:t>
            </w:r>
          </w:p>
        </w:tc>
      </w:tr>
      <w:tr w:rsidR="0058574E" w:rsidRPr="000C7712" w:rsidTr="00E7317C">
        <w:trPr>
          <w:trHeight w:val="1882"/>
        </w:trPr>
        <w:tc>
          <w:tcPr>
            <w:tcW w:w="5356" w:type="dxa"/>
          </w:tcPr>
          <w:p w:rsidR="0058574E" w:rsidRPr="003C3621" w:rsidRDefault="0058574E" w:rsidP="005D6ACF">
            <w:pPr>
              <w:numPr>
                <w:ilvl w:val="0"/>
                <w:numId w:val="12"/>
              </w:numPr>
              <w:ind w:left="457" w:firstLine="0"/>
              <w:rPr>
                <w:sz w:val="20"/>
                <w:szCs w:val="20"/>
              </w:rPr>
            </w:pPr>
            <w:r w:rsidRPr="003C3621">
              <w:rPr>
                <w:sz w:val="20"/>
                <w:szCs w:val="20"/>
              </w:rPr>
              <w:lastRenderedPageBreak/>
              <w:t xml:space="preserve">Количество лицензий - всего, ед. </w:t>
            </w:r>
          </w:p>
          <w:p w:rsidR="0058574E" w:rsidRPr="003C3621" w:rsidRDefault="0058574E" w:rsidP="00E7317C">
            <w:pPr>
              <w:ind w:left="357"/>
              <w:rPr>
                <w:sz w:val="20"/>
                <w:szCs w:val="20"/>
              </w:rPr>
            </w:pPr>
            <w:r w:rsidRPr="003C3621">
              <w:rPr>
                <w:sz w:val="20"/>
                <w:szCs w:val="20"/>
              </w:rPr>
              <w:t>в том числе (методом усреднения за три предшествующих года)):</w:t>
            </w:r>
          </w:p>
          <w:p w:rsidR="0058574E" w:rsidRPr="003C3621" w:rsidRDefault="0058574E" w:rsidP="00E7317C">
            <w:pPr>
              <w:ind w:left="357"/>
              <w:rPr>
                <w:sz w:val="20"/>
                <w:szCs w:val="20"/>
              </w:rPr>
            </w:pPr>
            <w:r w:rsidRPr="003C3621">
              <w:rPr>
                <w:sz w:val="20"/>
                <w:szCs w:val="20"/>
              </w:rPr>
              <w:t>1.1.  вновь выданных лицензий</w:t>
            </w:r>
          </w:p>
          <w:p w:rsidR="0058574E" w:rsidRPr="003C3621" w:rsidRDefault="0058574E" w:rsidP="00E7317C">
            <w:pPr>
              <w:ind w:left="357"/>
              <w:rPr>
                <w:sz w:val="20"/>
                <w:szCs w:val="20"/>
              </w:rPr>
            </w:pPr>
            <w:r w:rsidRPr="003C3621">
              <w:rPr>
                <w:sz w:val="20"/>
                <w:szCs w:val="20"/>
              </w:rPr>
              <w:t>1.2. переоформленных лицензий в связи с внесением дополнений в сведения</w:t>
            </w:r>
          </w:p>
          <w:p w:rsidR="0058574E" w:rsidRPr="003C3621" w:rsidRDefault="0058574E" w:rsidP="00E7317C">
            <w:pPr>
              <w:ind w:left="357"/>
              <w:rPr>
                <w:sz w:val="20"/>
                <w:szCs w:val="20"/>
              </w:rPr>
            </w:pPr>
            <w:r w:rsidRPr="003C3621">
              <w:rPr>
                <w:sz w:val="20"/>
                <w:szCs w:val="20"/>
              </w:rPr>
              <w:t>1.3. переоформление лицензий в др. случаях</w:t>
            </w:r>
          </w:p>
          <w:p w:rsidR="0058574E" w:rsidRPr="003C3621" w:rsidRDefault="0058574E" w:rsidP="00E7317C">
            <w:pPr>
              <w:ind w:left="357"/>
              <w:rPr>
                <w:sz w:val="20"/>
                <w:szCs w:val="20"/>
              </w:rPr>
            </w:pPr>
            <w:r w:rsidRPr="003C3621">
              <w:rPr>
                <w:sz w:val="20"/>
                <w:szCs w:val="20"/>
              </w:rPr>
              <w:t>1.4. предоставление временной лицензии</w:t>
            </w:r>
          </w:p>
          <w:p w:rsidR="0058574E" w:rsidRPr="003C3621" w:rsidRDefault="0058574E" w:rsidP="00E7317C">
            <w:pPr>
              <w:ind w:left="357"/>
              <w:rPr>
                <w:sz w:val="20"/>
                <w:szCs w:val="20"/>
              </w:rPr>
            </w:pPr>
            <w:r w:rsidRPr="003C3621">
              <w:rPr>
                <w:sz w:val="20"/>
                <w:szCs w:val="20"/>
              </w:rPr>
              <w:t>1.5.предоставление дубликата лицензии</w:t>
            </w:r>
          </w:p>
        </w:tc>
        <w:tc>
          <w:tcPr>
            <w:tcW w:w="1436" w:type="dxa"/>
          </w:tcPr>
          <w:p w:rsidR="0058574E" w:rsidRPr="003C3621" w:rsidRDefault="0058574E" w:rsidP="00E7317C">
            <w:pPr>
              <w:jc w:val="center"/>
              <w:rPr>
                <w:sz w:val="20"/>
                <w:szCs w:val="20"/>
              </w:rPr>
            </w:pPr>
            <w:r w:rsidRPr="003C3621">
              <w:rPr>
                <w:sz w:val="20"/>
                <w:szCs w:val="20"/>
              </w:rPr>
              <w:t>1</w:t>
            </w:r>
            <w:r>
              <w:rPr>
                <w:sz w:val="20"/>
                <w:szCs w:val="20"/>
              </w:rPr>
              <w:t>55</w:t>
            </w:r>
          </w:p>
          <w:p w:rsidR="0058574E" w:rsidRPr="003C3621" w:rsidRDefault="0058574E" w:rsidP="00E7317C">
            <w:pPr>
              <w:jc w:val="center"/>
              <w:rPr>
                <w:sz w:val="20"/>
                <w:szCs w:val="20"/>
              </w:rPr>
            </w:pPr>
          </w:p>
          <w:p w:rsidR="0058574E" w:rsidRPr="003C3621" w:rsidRDefault="0058574E" w:rsidP="00E7317C">
            <w:pPr>
              <w:jc w:val="center"/>
              <w:rPr>
                <w:sz w:val="20"/>
                <w:szCs w:val="20"/>
              </w:rPr>
            </w:pPr>
          </w:p>
          <w:p w:rsidR="0058574E" w:rsidRPr="003C3621" w:rsidRDefault="0058574E" w:rsidP="00E7317C">
            <w:pPr>
              <w:jc w:val="center"/>
              <w:rPr>
                <w:sz w:val="20"/>
                <w:szCs w:val="20"/>
              </w:rPr>
            </w:pPr>
            <w:r w:rsidRPr="003C3621">
              <w:rPr>
                <w:sz w:val="20"/>
                <w:szCs w:val="20"/>
              </w:rPr>
              <w:t>16</w:t>
            </w:r>
          </w:p>
          <w:p w:rsidR="0058574E" w:rsidRPr="003C3621" w:rsidRDefault="0058574E" w:rsidP="00E7317C">
            <w:pPr>
              <w:jc w:val="center"/>
              <w:rPr>
                <w:sz w:val="20"/>
                <w:szCs w:val="20"/>
              </w:rPr>
            </w:pPr>
            <w:r w:rsidRPr="003C3621">
              <w:rPr>
                <w:sz w:val="20"/>
                <w:szCs w:val="20"/>
              </w:rPr>
              <w:t>69</w:t>
            </w:r>
          </w:p>
          <w:p w:rsidR="0058574E" w:rsidRPr="003C3621" w:rsidRDefault="0058574E" w:rsidP="00E7317C">
            <w:pPr>
              <w:jc w:val="center"/>
              <w:rPr>
                <w:sz w:val="20"/>
                <w:szCs w:val="20"/>
              </w:rPr>
            </w:pPr>
          </w:p>
          <w:p w:rsidR="0058574E" w:rsidRPr="003C3621" w:rsidRDefault="0058574E" w:rsidP="00E7317C">
            <w:pPr>
              <w:jc w:val="center"/>
              <w:rPr>
                <w:sz w:val="20"/>
                <w:szCs w:val="20"/>
              </w:rPr>
            </w:pPr>
            <w:r w:rsidRPr="003C3621">
              <w:rPr>
                <w:sz w:val="20"/>
                <w:szCs w:val="20"/>
              </w:rPr>
              <w:t>70</w:t>
            </w:r>
          </w:p>
          <w:p w:rsidR="0058574E" w:rsidRPr="003C3621" w:rsidRDefault="0058574E" w:rsidP="00E7317C">
            <w:pPr>
              <w:jc w:val="center"/>
              <w:rPr>
                <w:sz w:val="20"/>
                <w:szCs w:val="20"/>
              </w:rPr>
            </w:pPr>
            <w:r w:rsidRPr="003C3621">
              <w:rPr>
                <w:sz w:val="20"/>
                <w:szCs w:val="20"/>
              </w:rPr>
              <w:t>0</w:t>
            </w:r>
          </w:p>
          <w:p w:rsidR="0058574E" w:rsidRPr="003C3621" w:rsidRDefault="0058574E" w:rsidP="00E7317C">
            <w:pPr>
              <w:jc w:val="center"/>
              <w:rPr>
                <w:sz w:val="20"/>
                <w:szCs w:val="20"/>
              </w:rPr>
            </w:pPr>
            <w:r w:rsidRPr="003C3621">
              <w:rPr>
                <w:sz w:val="20"/>
                <w:szCs w:val="20"/>
              </w:rPr>
              <w:t>0</w:t>
            </w:r>
          </w:p>
        </w:tc>
        <w:tc>
          <w:tcPr>
            <w:tcW w:w="1436" w:type="dxa"/>
          </w:tcPr>
          <w:p w:rsidR="0058574E" w:rsidRPr="003C3621" w:rsidRDefault="0058574E" w:rsidP="00E7317C">
            <w:pPr>
              <w:jc w:val="center"/>
              <w:rPr>
                <w:sz w:val="20"/>
                <w:szCs w:val="20"/>
              </w:rPr>
            </w:pPr>
            <w:r>
              <w:rPr>
                <w:sz w:val="20"/>
                <w:szCs w:val="20"/>
              </w:rPr>
              <w:t>132</w:t>
            </w:r>
          </w:p>
          <w:p w:rsidR="0058574E" w:rsidRPr="003C3621" w:rsidRDefault="0058574E" w:rsidP="00E7317C">
            <w:pPr>
              <w:jc w:val="center"/>
              <w:rPr>
                <w:sz w:val="20"/>
                <w:szCs w:val="20"/>
              </w:rPr>
            </w:pPr>
          </w:p>
          <w:p w:rsidR="0058574E" w:rsidRPr="003C3621" w:rsidRDefault="0058574E" w:rsidP="00E7317C">
            <w:pPr>
              <w:jc w:val="center"/>
              <w:rPr>
                <w:sz w:val="20"/>
                <w:szCs w:val="20"/>
              </w:rPr>
            </w:pPr>
          </w:p>
          <w:p w:rsidR="0058574E" w:rsidRPr="003C3621" w:rsidRDefault="0058574E" w:rsidP="00E7317C">
            <w:pPr>
              <w:jc w:val="center"/>
              <w:rPr>
                <w:sz w:val="20"/>
                <w:szCs w:val="20"/>
              </w:rPr>
            </w:pPr>
            <w:r w:rsidRPr="003C3621">
              <w:rPr>
                <w:sz w:val="20"/>
                <w:szCs w:val="20"/>
              </w:rPr>
              <w:t>16</w:t>
            </w:r>
          </w:p>
          <w:p w:rsidR="0058574E" w:rsidRPr="003C3621" w:rsidRDefault="0058574E" w:rsidP="00E7317C">
            <w:pPr>
              <w:jc w:val="center"/>
              <w:rPr>
                <w:sz w:val="20"/>
                <w:szCs w:val="20"/>
              </w:rPr>
            </w:pPr>
            <w:r w:rsidRPr="003C3621">
              <w:rPr>
                <w:sz w:val="20"/>
                <w:szCs w:val="20"/>
              </w:rPr>
              <w:t>60</w:t>
            </w:r>
          </w:p>
          <w:p w:rsidR="0058574E" w:rsidRPr="003C3621" w:rsidRDefault="0058574E" w:rsidP="00E7317C">
            <w:pPr>
              <w:jc w:val="center"/>
              <w:rPr>
                <w:sz w:val="20"/>
                <w:szCs w:val="20"/>
              </w:rPr>
            </w:pPr>
          </w:p>
          <w:p w:rsidR="0058574E" w:rsidRPr="003C3621" w:rsidRDefault="0058574E" w:rsidP="00E7317C">
            <w:pPr>
              <w:jc w:val="center"/>
              <w:rPr>
                <w:sz w:val="20"/>
                <w:szCs w:val="20"/>
              </w:rPr>
            </w:pPr>
            <w:r w:rsidRPr="003C3621">
              <w:rPr>
                <w:sz w:val="20"/>
                <w:szCs w:val="20"/>
              </w:rPr>
              <w:t>56</w:t>
            </w:r>
          </w:p>
          <w:p w:rsidR="0058574E" w:rsidRPr="003C3621" w:rsidRDefault="0058574E" w:rsidP="00E7317C">
            <w:pPr>
              <w:jc w:val="center"/>
              <w:rPr>
                <w:sz w:val="20"/>
                <w:szCs w:val="20"/>
              </w:rPr>
            </w:pPr>
            <w:r w:rsidRPr="003C3621">
              <w:rPr>
                <w:sz w:val="20"/>
                <w:szCs w:val="20"/>
              </w:rPr>
              <w:t>0</w:t>
            </w:r>
          </w:p>
          <w:p w:rsidR="0058574E" w:rsidRPr="003C3621" w:rsidRDefault="0058574E" w:rsidP="00E7317C">
            <w:pPr>
              <w:jc w:val="center"/>
              <w:rPr>
                <w:sz w:val="20"/>
                <w:szCs w:val="20"/>
              </w:rPr>
            </w:pPr>
            <w:r w:rsidRPr="003C3621">
              <w:rPr>
                <w:sz w:val="20"/>
                <w:szCs w:val="20"/>
              </w:rPr>
              <w:t>0</w:t>
            </w:r>
          </w:p>
        </w:tc>
        <w:tc>
          <w:tcPr>
            <w:tcW w:w="1554" w:type="dxa"/>
          </w:tcPr>
          <w:p w:rsidR="0058574E" w:rsidRPr="003C3621" w:rsidRDefault="0058574E" w:rsidP="00E7317C">
            <w:pPr>
              <w:jc w:val="center"/>
              <w:rPr>
                <w:sz w:val="20"/>
                <w:szCs w:val="20"/>
              </w:rPr>
            </w:pPr>
            <w:r w:rsidRPr="003C3621">
              <w:rPr>
                <w:sz w:val="20"/>
                <w:szCs w:val="20"/>
              </w:rPr>
              <w:t>1</w:t>
            </w:r>
            <w:r>
              <w:rPr>
                <w:sz w:val="20"/>
                <w:szCs w:val="20"/>
              </w:rPr>
              <w:t>4</w:t>
            </w:r>
            <w:r w:rsidRPr="003C3621">
              <w:rPr>
                <w:sz w:val="20"/>
                <w:szCs w:val="20"/>
              </w:rPr>
              <w:t>3</w:t>
            </w:r>
          </w:p>
          <w:p w:rsidR="0058574E" w:rsidRPr="003C3621" w:rsidRDefault="0058574E" w:rsidP="00E7317C">
            <w:pPr>
              <w:jc w:val="center"/>
              <w:rPr>
                <w:sz w:val="20"/>
                <w:szCs w:val="20"/>
              </w:rPr>
            </w:pPr>
          </w:p>
          <w:p w:rsidR="0058574E" w:rsidRPr="003C3621" w:rsidRDefault="0058574E" w:rsidP="00E7317C">
            <w:pPr>
              <w:jc w:val="center"/>
              <w:rPr>
                <w:sz w:val="20"/>
                <w:szCs w:val="20"/>
              </w:rPr>
            </w:pPr>
          </w:p>
          <w:p w:rsidR="0058574E" w:rsidRPr="003C3621" w:rsidRDefault="0058574E" w:rsidP="00E7317C">
            <w:pPr>
              <w:jc w:val="center"/>
              <w:rPr>
                <w:sz w:val="20"/>
                <w:szCs w:val="20"/>
              </w:rPr>
            </w:pPr>
            <w:r w:rsidRPr="003C3621">
              <w:rPr>
                <w:sz w:val="20"/>
                <w:szCs w:val="20"/>
              </w:rPr>
              <w:t>16</w:t>
            </w:r>
          </w:p>
          <w:p w:rsidR="0058574E" w:rsidRPr="003C3621" w:rsidRDefault="0058574E" w:rsidP="00E7317C">
            <w:pPr>
              <w:jc w:val="center"/>
              <w:rPr>
                <w:sz w:val="20"/>
                <w:szCs w:val="20"/>
              </w:rPr>
            </w:pPr>
            <w:r w:rsidRPr="003C3621">
              <w:rPr>
                <w:sz w:val="20"/>
                <w:szCs w:val="20"/>
              </w:rPr>
              <w:t>65</w:t>
            </w:r>
          </w:p>
          <w:p w:rsidR="0058574E" w:rsidRPr="003C3621" w:rsidRDefault="0058574E" w:rsidP="00E7317C">
            <w:pPr>
              <w:jc w:val="center"/>
              <w:rPr>
                <w:sz w:val="20"/>
                <w:szCs w:val="20"/>
              </w:rPr>
            </w:pPr>
          </w:p>
          <w:p w:rsidR="0058574E" w:rsidRPr="003C3621" w:rsidRDefault="0058574E" w:rsidP="00E7317C">
            <w:pPr>
              <w:jc w:val="center"/>
              <w:rPr>
                <w:sz w:val="20"/>
                <w:szCs w:val="20"/>
              </w:rPr>
            </w:pPr>
            <w:r w:rsidRPr="003C3621">
              <w:rPr>
                <w:sz w:val="20"/>
                <w:szCs w:val="20"/>
              </w:rPr>
              <w:t>62</w:t>
            </w:r>
          </w:p>
          <w:p w:rsidR="0058574E" w:rsidRPr="003C3621" w:rsidRDefault="0058574E" w:rsidP="00E7317C">
            <w:pPr>
              <w:jc w:val="center"/>
              <w:rPr>
                <w:sz w:val="20"/>
                <w:szCs w:val="20"/>
              </w:rPr>
            </w:pPr>
            <w:r w:rsidRPr="003C3621">
              <w:rPr>
                <w:sz w:val="20"/>
                <w:szCs w:val="20"/>
              </w:rPr>
              <w:t>0</w:t>
            </w:r>
          </w:p>
          <w:p w:rsidR="0058574E" w:rsidRPr="003C3621" w:rsidRDefault="0058574E" w:rsidP="00E7317C">
            <w:pPr>
              <w:jc w:val="center"/>
              <w:rPr>
                <w:sz w:val="20"/>
                <w:szCs w:val="20"/>
              </w:rPr>
            </w:pPr>
            <w:r w:rsidRPr="003C3621">
              <w:rPr>
                <w:sz w:val="20"/>
                <w:szCs w:val="20"/>
              </w:rPr>
              <w:t>0</w:t>
            </w:r>
          </w:p>
        </w:tc>
      </w:tr>
      <w:tr w:rsidR="0058574E" w:rsidRPr="000C7712" w:rsidTr="00E7317C">
        <w:trPr>
          <w:trHeight w:val="1621"/>
        </w:trPr>
        <w:tc>
          <w:tcPr>
            <w:tcW w:w="5356" w:type="dxa"/>
          </w:tcPr>
          <w:p w:rsidR="0058574E" w:rsidRPr="003C3621" w:rsidRDefault="0058574E" w:rsidP="005D6ACF">
            <w:pPr>
              <w:numPr>
                <w:ilvl w:val="0"/>
                <w:numId w:val="12"/>
              </w:numPr>
              <w:ind w:left="315" w:firstLine="142"/>
              <w:rPr>
                <w:sz w:val="20"/>
                <w:szCs w:val="20"/>
              </w:rPr>
            </w:pPr>
            <w:r w:rsidRPr="003C3621">
              <w:rPr>
                <w:sz w:val="20"/>
                <w:szCs w:val="20"/>
              </w:rPr>
              <w:t>Размер госпошлины, тыс. руб.</w:t>
            </w:r>
          </w:p>
          <w:p w:rsidR="0058574E" w:rsidRPr="003C3621" w:rsidRDefault="0058574E" w:rsidP="00E7317C">
            <w:pPr>
              <w:ind w:left="360"/>
              <w:rPr>
                <w:sz w:val="20"/>
                <w:szCs w:val="20"/>
              </w:rPr>
            </w:pPr>
            <w:r w:rsidRPr="003C3621">
              <w:rPr>
                <w:sz w:val="20"/>
                <w:szCs w:val="20"/>
              </w:rPr>
              <w:t>2.1. за выдачу лицензии</w:t>
            </w:r>
          </w:p>
          <w:p w:rsidR="0058574E" w:rsidRPr="003C3621" w:rsidRDefault="0058574E" w:rsidP="00E7317C">
            <w:pPr>
              <w:ind w:left="360"/>
              <w:rPr>
                <w:sz w:val="20"/>
                <w:szCs w:val="20"/>
              </w:rPr>
            </w:pPr>
            <w:r w:rsidRPr="003C3621">
              <w:rPr>
                <w:sz w:val="20"/>
                <w:szCs w:val="20"/>
              </w:rPr>
              <w:t>2.2. за переоформление лицензии в связи с внесением дополнений в сведения</w:t>
            </w:r>
          </w:p>
          <w:p w:rsidR="0058574E" w:rsidRPr="003C3621" w:rsidRDefault="0058574E" w:rsidP="00E7317C">
            <w:pPr>
              <w:ind w:left="360"/>
              <w:rPr>
                <w:sz w:val="20"/>
                <w:szCs w:val="20"/>
              </w:rPr>
            </w:pPr>
            <w:r w:rsidRPr="003C3621">
              <w:rPr>
                <w:sz w:val="20"/>
                <w:szCs w:val="20"/>
              </w:rPr>
              <w:t>2.3.за переоформление лицензий в др.случаях</w:t>
            </w:r>
          </w:p>
          <w:p w:rsidR="0058574E" w:rsidRPr="003C3621" w:rsidRDefault="0058574E" w:rsidP="00E7317C">
            <w:pPr>
              <w:ind w:left="360"/>
              <w:rPr>
                <w:sz w:val="20"/>
                <w:szCs w:val="20"/>
              </w:rPr>
            </w:pPr>
            <w:r w:rsidRPr="003C3621">
              <w:rPr>
                <w:sz w:val="20"/>
                <w:szCs w:val="20"/>
              </w:rPr>
              <w:t>2.4.за предоставление временной лицензии</w:t>
            </w:r>
          </w:p>
          <w:p w:rsidR="0058574E" w:rsidRPr="003C3621" w:rsidRDefault="0058574E" w:rsidP="00E7317C">
            <w:pPr>
              <w:ind w:left="360"/>
              <w:rPr>
                <w:sz w:val="20"/>
                <w:szCs w:val="20"/>
              </w:rPr>
            </w:pPr>
            <w:r w:rsidRPr="003C3621">
              <w:rPr>
                <w:sz w:val="20"/>
                <w:szCs w:val="20"/>
              </w:rPr>
              <w:t>2.5.за предоставление дубликата лицензии</w:t>
            </w:r>
          </w:p>
        </w:tc>
        <w:tc>
          <w:tcPr>
            <w:tcW w:w="1436" w:type="dxa"/>
          </w:tcPr>
          <w:p w:rsidR="0058574E" w:rsidRPr="003C3621" w:rsidRDefault="0058574E" w:rsidP="00E7317C">
            <w:pPr>
              <w:jc w:val="center"/>
              <w:rPr>
                <w:sz w:val="20"/>
                <w:szCs w:val="20"/>
              </w:rPr>
            </w:pPr>
          </w:p>
          <w:p w:rsidR="0058574E" w:rsidRPr="003C3621" w:rsidRDefault="0058574E" w:rsidP="00E7317C">
            <w:pPr>
              <w:jc w:val="center"/>
              <w:rPr>
                <w:sz w:val="20"/>
                <w:szCs w:val="20"/>
              </w:rPr>
            </w:pPr>
            <w:r w:rsidRPr="003C3621">
              <w:rPr>
                <w:sz w:val="20"/>
                <w:szCs w:val="20"/>
              </w:rPr>
              <w:t>7,5</w:t>
            </w:r>
          </w:p>
          <w:p w:rsidR="0058574E" w:rsidRPr="003C3621" w:rsidRDefault="0058574E" w:rsidP="00E7317C">
            <w:pPr>
              <w:jc w:val="center"/>
              <w:rPr>
                <w:sz w:val="20"/>
                <w:szCs w:val="20"/>
              </w:rPr>
            </w:pPr>
          </w:p>
          <w:p w:rsidR="0058574E" w:rsidRPr="003C3621" w:rsidRDefault="0058574E" w:rsidP="00E7317C">
            <w:pPr>
              <w:jc w:val="center"/>
              <w:rPr>
                <w:sz w:val="20"/>
                <w:szCs w:val="20"/>
              </w:rPr>
            </w:pPr>
            <w:r w:rsidRPr="003C3621">
              <w:rPr>
                <w:sz w:val="20"/>
                <w:szCs w:val="20"/>
              </w:rPr>
              <w:t>3,5</w:t>
            </w:r>
          </w:p>
          <w:p w:rsidR="0058574E" w:rsidRPr="003C3621" w:rsidRDefault="0058574E" w:rsidP="00E7317C">
            <w:pPr>
              <w:jc w:val="center"/>
              <w:rPr>
                <w:sz w:val="20"/>
                <w:szCs w:val="20"/>
              </w:rPr>
            </w:pPr>
            <w:r w:rsidRPr="003C3621">
              <w:rPr>
                <w:sz w:val="20"/>
                <w:szCs w:val="20"/>
              </w:rPr>
              <w:t>0,75</w:t>
            </w:r>
          </w:p>
          <w:p w:rsidR="0058574E" w:rsidRPr="003C3621" w:rsidRDefault="0058574E" w:rsidP="00E7317C">
            <w:pPr>
              <w:jc w:val="center"/>
              <w:rPr>
                <w:sz w:val="20"/>
                <w:szCs w:val="20"/>
              </w:rPr>
            </w:pPr>
            <w:r w:rsidRPr="003C3621">
              <w:rPr>
                <w:sz w:val="20"/>
                <w:szCs w:val="20"/>
              </w:rPr>
              <w:t>0,75</w:t>
            </w:r>
          </w:p>
          <w:p w:rsidR="0058574E" w:rsidRPr="003C3621" w:rsidRDefault="0058574E" w:rsidP="00E7317C">
            <w:pPr>
              <w:jc w:val="center"/>
              <w:rPr>
                <w:sz w:val="20"/>
                <w:szCs w:val="20"/>
              </w:rPr>
            </w:pPr>
            <w:r w:rsidRPr="003C3621">
              <w:rPr>
                <w:sz w:val="20"/>
                <w:szCs w:val="20"/>
              </w:rPr>
              <w:t>0,75</w:t>
            </w:r>
          </w:p>
        </w:tc>
        <w:tc>
          <w:tcPr>
            <w:tcW w:w="1436" w:type="dxa"/>
          </w:tcPr>
          <w:p w:rsidR="0058574E" w:rsidRPr="003C3621" w:rsidRDefault="0058574E" w:rsidP="00E7317C">
            <w:pPr>
              <w:jc w:val="center"/>
              <w:rPr>
                <w:sz w:val="20"/>
                <w:szCs w:val="20"/>
              </w:rPr>
            </w:pPr>
          </w:p>
          <w:p w:rsidR="0058574E" w:rsidRPr="003C3621" w:rsidRDefault="0058574E" w:rsidP="00E7317C">
            <w:pPr>
              <w:jc w:val="center"/>
              <w:rPr>
                <w:sz w:val="20"/>
                <w:szCs w:val="20"/>
              </w:rPr>
            </w:pPr>
            <w:r w:rsidRPr="003C3621">
              <w:rPr>
                <w:sz w:val="20"/>
                <w:szCs w:val="20"/>
              </w:rPr>
              <w:t>7,5</w:t>
            </w:r>
          </w:p>
          <w:p w:rsidR="0058574E" w:rsidRPr="003C3621" w:rsidRDefault="0058574E" w:rsidP="00E7317C">
            <w:pPr>
              <w:jc w:val="center"/>
              <w:rPr>
                <w:sz w:val="20"/>
                <w:szCs w:val="20"/>
              </w:rPr>
            </w:pPr>
          </w:p>
          <w:p w:rsidR="0058574E" w:rsidRPr="003C3621" w:rsidRDefault="0058574E" w:rsidP="00E7317C">
            <w:pPr>
              <w:jc w:val="center"/>
              <w:rPr>
                <w:sz w:val="20"/>
                <w:szCs w:val="20"/>
              </w:rPr>
            </w:pPr>
            <w:r w:rsidRPr="003C3621">
              <w:rPr>
                <w:sz w:val="20"/>
                <w:szCs w:val="20"/>
              </w:rPr>
              <w:t>3,5</w:t>
            </w:r>
          </w:p>
          <w:p w:rsidR="0058574E" w:rsidRPr="003C3621" w:rsidRDefault="0058574E" w:rsidP="00E7317C">
            <w:pPr>
              <w:jc w:val="center"/>
              <w:rPr>
                <w:sz w:val="20"/>
                <w:szCs w:val="20"/>
              </w:rPr>
            </w:pPr>
            <w:r w:rsidRPr="003C3621">
              <w:rPr>
                <w:sz w:val="20"/>
                <w:szCs w:val="20"/>
              </w:rPr>
              <w:t>0,75</w:t>
            </w:r>
          </w:p>
          <w:p w:rsidR="0058574E" w:rsidRPr="003C3621" w:rsidRDefault="0058574E" w:rsidP="00E7317C">
            <w:pPr>
              <w:jc w:val="center"/>
              <w:rPr>
                <w:sz w:val="20"/>
                <w:szCs w:val="20"/>
              </w:rPr>
            </w:pPr>
            <w:r w:rsidRPr="003C3621">
              <w:rPr>
                <w:sz w:val="20"/>
                <w:szCs w:val="20"/>
              </w:rPr>
              <w:t>0,75</w:t>
            </w:r>
          </w:p>
          <w:p w:rsidR="0058574E" w:rsidRPr="003C3621" w:rsidRDefault="0058574E" w:rsidP="00E7317C">
            <w:pPr>
              <w:jc w:val="center"/>
              <w:rPr>
                <w:sz w:val="20"/>
                <w:szCs w:val="20"/>
              </w:rPr>
            </w:pPr>
            <w:r w:rsidRPr="003C3621">
              <w:rPr>
                <w:sz w:val="20"/>
                <w:szCs w:val="20"/>
              </w:rPr>
              <w:t>0,75</w:t>
            </w:r>
          </w:p>
        </w:tc>
        <w:tc>
          <w:tcPr>
            <w:tcW w:w="1554" w:type="dxa"/>
          </w:tcPr>
          <w:p w:rsidR="0058574E" w:rsidRPr="003C3621" w:rsidRDefault="0058574E" w:rsidP="00E7317C">
            <w:pPr>
              <w:jc w:val="center"/>
              <w:rPr>
                <w:sz w:val="20"/>
                <w:szCs w:val="20"/>
              </w:rPr>
            </w:pPr>
          </w:p>
          <w:p w:rsidR="0058574E" w:rsidRPr="003C3621" w:rsidRDefault="0058574E" w:rsidP="00E7317C">
            <w:pPr>
              <w:jc w:val="center"/>
              <w:rPr>
                <w:sz w:val="20"/>
                <w:szCs w:val="20"/>
              </w:rPr>
            </w:pPr>
            <w:r w:rsidRPr="003C3621">
              <w:rPr>
                <w:sz w:val="20"/>
                <w:szCs w:val="20"/>
              </w:rPr>
              <w:t>7,5</w:t>
            </w:r>
          </w:p>
          <w:p w:rsidR="0058574E" w:rsidRPr="003C3621" w:rsidRDefault="0058574E" w:rsidP="00E7317C">
            <w:pPr>
              <w:jc w:val="center"/>
              <w:rPr>
                <w:sz w:val="20"/>
                <w:szCs w:val="20"/>
              </w:rPr>
            </w:pPr>
          </w:p>
          <w:p w:rsidR="0058574E" w:rsidRPr="003C3621" w:rsidRDefault="0058574E" w:rsidP="00E7317C">
            <w:pPr>
              <w:jc w:val="center"/>
              <w:rPr>
                <w:sz w:val="20"/>
                <w:szCs w:val="20"/>
              </w:rPr>
            </w:pPr>
            <w:r w:rsidRPr="003C3621">
              <w:rPr>
                <w:sz w:val="20"/>
                <w:szCs w:val="20"/>
              </w:rPr>
              <w:t>3,5</w:t>
            </w:r>
          </w:p>
          <w:p w:rsidR="0058574E" w:rsidRPr="003C3621" w:rsidRDefault="0058574E" w:rsidP="00E7317C">
            <w:pPr>
              <w:jc w:val="center"/>
              <w:rPr>
                <w:sz w:val="20"/>
                <w:szCs w:val="20"/>
              </w:rPr>
            </w:pPr>
            <w:r w:rsidRPr="003C3621">
              <w:rPr>
                <w:sz w:val="20"/>
                <w:szCs w:val="20"/>
              </w:rPr>
              <w:t>0,75</w:t>
            </w:r>
          </w:p>
          <w:p w:rsidR="0058574E" w:rsidRPr="003C3621" w:rsidRDefault="0058574E" w:rsidP="00E7317C">
            <w:pPr>
              <w:jc w:val="center"/>
              <w:rPr>
                <w:sz w:val="20"/>
                <w:szCs w:val="20"/>
              </w:rPr>
            </w:pPr>
            <w:r w:rsidRPr="003C3621">
              <w:rPr>
                <w:sz w:val="20"/>
                <w:szCs w:val="20"/>
              </w:rPr>
              <w:t>0,75</w:t>
            </w:r>
          </w:p>
          <w:p w:rsidR="0058574E" w:rsidRPr="003C3621" w:rsidRDefault="0058574E" w:rsidP="00E7317C">
            <w:pPr>
              <w:jc w:val="center"/>
              <w:rPr>
                <w:sz w:val="20"/>
                <w:szCs w:val="20"/>
              </w:rPr>
            </w:pPr>
            <w:r w:rsidRPr="003C3621">
              <w:rPr>
                <w:sz w:val="20"/>
                <w:szCs w:val="20"/>
              </w:rPr>
              <w:t>0,75</w:t>
            </w:r>
          </w:p>
        </w:tc>
      </w:tr>
      <w:tr w:rsidR="0058574E" w:rsidRPr="000C7712" w:rsidTr="00E7317C">
        <w:trPr>
          <w:trHeight w:val="554"/>
        </w:trPr>
        <w:tc>
          <w:tcPr>
            <w:tcW w:w="5356" w:type="dxa"/>
          </w:tcPr>
          <w:p w:rsidR="0058574E" w:rsidRPr="003C3621" w:rsidRDefault="0058574E" w:rsidP="005D6ACF">
            <w:pPr>
              <w:numPr>
                <w:ilvl w:val="0"/>
                <w:numId w:val="12"/>
              </w:numPr>
              <w:ind w:left="457" w:firstLine="0"/>
              <w:rPr>
                <w:sz w:val="20"/>
                <w:szCs w:val="20"/>
              </w:rPr>
            </w:pPr>
            <w:r w:rsidRPr="003C3621">
              <w:rPr>
                <w:sz w:val="20"/>
                <w:szCs w:val="20"/>
              </w:rPr>
              <w:t xml:space="preserve">Сумма госпошлины - итого, тыс. руб. </w:t>
            </w:r>
          </w:p>
          <w:p w:rsidR="0058574E" w:rsidRPr="003C3621" w:rsidRDefault="0058574E" w:rsidP="00E7317C">
            <w:pPr>
              <w:ind w:left="360"/>
              <w:rPr>
                <w:sz w:val="20"/>
                <w:szCs w:val="20"/>
              </w:rPr>
            </w:pPr>
            <w:r w:rsidRPr="003C3621">
              <w:rPr>
                <w:sz w:val="20"/>
                <w:szCs w:val="20"/>
              </w:rPr>
              <w:t>3.1 за вновь выданные лицензии (стр. 1.1* стр. 2.1)</w:t>
            </w:r>
          </w:p>
          <w:p w:rsidR="0058574E" w:rsidRPr="003C3621" w:rsidRDefault="0058574E" w:rsidP="00E7317C">
            <w:pPr>
              <w:ind w:left="360"/>
              <w:rPr>
                <w:sz w:val="20"/>
                <w:szCs w:val="20"/>
              </w:rPr>
            </w:pPr>
            <w:r w:rsidRPr="003C3621">
              <w:rPr>
                <w:sz w:val="20"/>
                <w:szCs w:val="20"/>
              </w:rPr>
              <w:t>3.2. за переоформленные лицензии в связи с внесением дополнений в сведения (стр. 1.2* стр. 2.2)</w:t>
            </w:r>
          </w:p>
          <w:p w:rsidR="0058574E" w:rsidRPr="003C3621" w:rsidRDefault="0058574E" w:rsidP="00E7317C">
            <w:pPr>
              <w:ind w:left="360"/>
              <w:rPr>
                <w:sz w:val="20"/>
                <w:szCs w:val="20"/>
              </w:rPr>
            </w:pPr>
            <w:r w:rsidRPr="003C3621">
              <w:rPr>
                <w:sz w:val="20"/>
                <w:szCs w:val="20"/>
              </w:rPr>
              <w:t>3.3. за переоформленные лицензии в др. случаях (стр. 1.3* стр. 2.3)</w:t>
            </w:r>
          </w:p>
          <w:p w:rsidR="0058574E" w:rsidRPr="003C3621" w:rsidRDefault="0058574E" w:rsidP="00E7317C">
            <w:pPr>
              <w:ind w:left="360"/>
              <w:rPr>
                <w:sz w:val="20"/>
                <w:szCs w:val="20"/>
              </w:rPr>
            </w:pPr>
            <w:r w:rsidRPr="003C3621">
              <w:rPr>
                <w:sz w:val="20"/>
                <w:szCs w:val="20"/>
              </w:rPr>
              <w:t>3.4.за предоставление временной лицензии (стр.1.4*стр.2.4)</w:t>
            </w:r>
          </w:p>
          <w:p w:rsidR="0058574E" w:rsidRPr="003C3621" w:rsidRDefault="0058574E" w:rsidP="00E7317C">
            <w:pPr>
              <w:ind w:left="360"/>
              <w:rPr>
                <w:sz w:val="20"/>
                <w:szCs w:val="20"/>
              </w:rPr>
            </w:pPr>
            <w:r w:rsidRPr="003C3621">
              <w:rPr>
                <w:sz w:val="20"/>
                <w:szCs w:val="20"/>
              </w:rPr>
              <w:t>3.5.за предоставление дубликата лицензии (стр.1.5*стр.2.5)</w:t>
            </w:r>
          </w:p>
        </w:tc>
        <w:tc>
          <w:tcPr>
            <w:tcW w:w="1436" w:type="dxa"/>
          </w:tcPr>
          <w:p w:rsidR="0058574E" w:rsidRPr="003C3621" w:rsidRDefault="0058574E" w:rsidP="00E7317C">
            <w:pPr>
              <w:jc w:val="center"/>
              <w:rPr>
                <w:sz w:val="20"/>
                <w:szCs w:val="20"/>
              </w:rPr>
            </w:pPr>
            <w:r w:rsidRPr="003C3621">
              <w:rPr>
                <w:sz w:val="20"/>
                <w:szCs w:val="20"/>
              </w:rPr>
              <w:t>414,0</w:t>
            </w:r>
          </w:p>
          <w:p w:rsidR="0058574E" w:rsidRPr="003C3621" w:rsidRDefault="0058574E" w:rsidP="00E7317C">
            <w:pPr>
              <w:jc w:val="center"/>
              <w:rPr>
                <w:sz w:val="20"/>
                <w:szCs w:val="20"/>
              </w:rPr>
            </w:pPr>
            <w:r w:rsidRPr="003C3621">
              <w:rPr>
                <w:sz w:val="20"/>
                <w:szCs w:val="20"/>
              </w:rPr>
              <w:t>120,0</w:t>
            </w:r>
          </w:p>
          <w:p w:rsidR="0058574E" w:rsidRPr="003C3621" w:rsidRDefault="0058574E" w:rsidP="00E7317C">
            <w:pPr>
              <w:jc w:val="center"/>
              <w:rPr>
                <w:sz w:val="20"/>
                <w:szCs w:val="20"/>
              </w:rPr>
            </w:pPr>
            <w:r w:rsidRPr="003C3621">
              <w:rPr>
                <w:sz w:val="20"/>
                <w:szCs w:val="20"/>
              </w:rPr>
              <w:t>241,5</w:t>
            </w:r>
          </w:p>
          <w:p w:rsidR="0058574E" w:rsidRPr="003C3621" w:rsidRDefault="0058574E" w:rsidP="00E7317C">
            <w:pPr>
              <w:jc w:val="center"/>
              <w:rPr>
                <w:sz w:val="20"/>
                <w:szCs w:val="20"/>
              </w:rPr>
            </w:pPr>
          </w:p>
          <w:p w:rsidR="0058574E" w:rsidRPr="003C3621" w:rsidRDefault="0058574E" w:rsidP="00E7317C">
            <w:pPr>
              <w:jc w:val="center"/>
              <w:rPr>
                <w:sz w:val="20"/>
                <w:szCs w:val="20"/>
              </w:rPr>
            </w:pPr>
            <w:r w:rsidRPr="003C3621">
              <w:rPr>
                <w:sz w:val="20"/>
                <w:szCs w:val="20"/>
              </w:rPr>
              <w:t>52,5</w:t>
            </w:r>
          </w:p>
          <w:p w:rsidR="0058574E" w:rsidRPr="003C3621" w:rsidRDefault="0058574E" w:rsidP="00E7317C">
            <w:pPr>
              <w:jc w:val="center"/>
              <w:rPr>
                <w:sz w:val="20"/>
                <w:szCs w:val="20"/>
              </w:rPr>
            </w:pPr>
          </w:p>
          <w:p w:rsidR="0058574E" w:rsidRPr="003C3621" w:rsidRDefault="0058574E" w:rsidP="00E7317C">
            <w:pPr>
              <w:jc w:val="center"/>
              <w:rPr>
                <w:sz w:val="20"/>
                <w:szCs w:val="20"/>
              </w:rPr>
            </w:pPr>
            <w:r w:rsidRPr="003C3621">
              <w:rPr>
                <w:sz w:val="20"/>
                <w:szCs w:val="20"/>
              </w:rPr>
              <w:t>0</w:t>
            </w:r>
          </w:p>
          <w:p w:rsidR="0058574E" w:rsidRPr="003C3621" w:rsidRDefault="0058574E" w:rsidP="00E7317C">
            <w:pPr>
              <w:jc w:val="center"/>
              <w:rPr>
                <w:sz w:val="20"/>
                <w:szCs w:val="20"/>
              </w:rPr>
            </w:pPr>
          </w:p>
          <w:p w:rsidR="0058574E" w:rsidRPr="003C3621" w:rsidRDefault="0058574E" w:rsidP="00E7317C">
            <w:pPr>
              <w:jc w:val="center"/>
              <w:rPr>
                <w:sz w:val="20"/>
                <w:szCs w:val="20"/>
              </w:rPr>
            </w:pPr>
            <w:r w:rsidRPr="003C3621">
              <w:rPr>
                <w:sz w:val="20"/>
                <w:szCs w:val="20"/>
              </w:rPr>
              <w:t>0</w:t>
            </w:r>
          </w:p>
        </w:tc>
        <w:tc>
          <w:tcPr>
            <w:tcW w:w="1436" w:type="dxa"/>
          </w:tcPr>
          <w:p w:rsidR="0058574E" w:rsidRPr="003C3621" w:rsidRDefault="0058574E" w:rsidP="00E7317C">
            <w:pPr>
              <w:jc w:val="center"/>
              <w:rPr>
                <w:sz w:val="20"/>
                <w:szCs w:val="20"/>
              </w:rPr>
            </w:pPr>
            <w:r w:rsidRPr="003C3621">
              <w:rPr>
                <w:sz w:val="20"/>
                <w:szCs w:val="20"/>
              </w:rPr>
              <w:t>372,0</w:t>
            </w:r>
          </w:p>
          <w:p w:rsidR="0058574E" w:rsidRPr="003C3621" w:rsidRDefault="0058574E" w:rsidP="00E7317C">
            <w:pPr>
              <w:jc w:val="center"/>
              <w:rPr>
                <w:sz w:val="20"/>
                <w:szCs w:val="20"/>
              </w:rPr>
            </w:pPr>
            <w:r w:rsidRPr="003C3621">
              <w:rPr>
                <w:sz w:val="20"/>
                <w:szCs w:val="20"/>
              </w:rPr>
              <w:t>120,0</w:t>
            </w:r>
          </w:p>
          <w:p w:rsidR="0058574E" w:rsidRPr="003C3621" w:rsidRDefault="0058574E" w:rsidP="00E7317C">
            <w:pPr>
              <w:jc w:val="center"/>
              <w:rPr>
                <w:sz w:val="20"/>
                <w:szCs w:val="20"/>
              </w:rPr>
            </w:pPr>
            <w:r w:rsidRPr="003C3621">
              <w:rPr>
                <w:sz w:val="20"/>
                <w:szCs w:val="20"/>
              </w:rPr>
              <w:t>210,0</w:t>
            </w:r>
          </w:p>
          <w:p w:rsidR="0058574E" w:rsidRPr="003C3621" w:rsidRDefault="0058574E" w:rsidP="00E7317C">
            <w:pPr>
              <w:jc w:val="center"/>
              <w:rPr>
                <w:sz w:val="20"/>
                <w:szCs w:val="20"/>
              </w:rPr>
            </w:pPr>
          </w:p>
          <w:p w:rsidR="0058574E" w:rsidRPr="003C3621" w:rsidRDefault="0058574E" w:rsidP="00E7317C">
            <w:pPr>
              <w:jc w:val="center"/>
              <w:rPr>
                <w:sz w:val="20"/>
                <w:szCs w:val="20"/>
              </w:rPr>
            </w:pPr>
            <w:r w:rsidRPr="003C3621">
              <w:rPr>
                <w:sz w:val="20"/>
                <w:szCs w:val="20"/>
              </w:rPr>
              <w:t>42,0</w:t>
            </w:r>
          </w:p>
          <w:p w:rsidR="0058574E" w:rsidRPr="003C3621" w:rsidRDefault="0058574E" w:rsidP="00E7317C">
            <w:pPr>
              <w:jc w:val="center"/>
              <w:rPr>
                <w:sz w:val="20"/>
                <w:szCs w:val="20"/>
              </w:rPr>
            </w:pPr>
          </w:p>
          <w:p w:rsidR="0058574E" w:rsidRPr="003C3621" w:rsidRDefault="0058574E" w:rsidP="00E7317C">
            <w:pPr>
              <w:jc w:val="center"/>
              <w:rPr>
                <w:sz w:val="20"/>
                <w:szCs w:val="20"/>
              </w:rPr>
            </w:pPr>
            <w:r w:rsidRPr="003C3621">
              <w:rPr>
                <w:sz w:val="20"/>
                <w:szCs w:val="20"/>
              </w:rPr>
              <w:t>0</w:t>
            </w:r>
          </w:p>
          <w:p w:rsidR="0058574E" w:rsidRPr="003C3621" w:rsidRDefault="0058574E" w:rsidP="00E7317C">
            <w:pPr>
              <w:jc w:val="center"/>
              <w:rPr>
                <w:sz w:val="20"/>
                <w:szCs w:val="20"/>
              </w:rPr>
            </w:pPr>
          </w:p>
          <w:p w:rsidR="0058574E" w:rsidRPr="003C3621" w:rsidRDefault="0058574E" w:rsidP="00E7317C">
            <w:pPr>
              <w:jc w:val="center"/>
              <w:rPr>
                <w:sz w:val="20"/>
                <w:szCs w:val="20"/>
              </w:rPr>
            </w:pPr>
            <w:r w:rsidRPr="003C3621">
              <w:rPr>
                <w:sz w:val="20"/>
                <w:szCs w:val="20"/>
              </w:rPr>
              <w:t>0</w:t>
            </w:r>
          </w:p>
        </w:tc>
        <w:tc>
          <w:tcPr>
            <w:tcW w:w="1554" w:type="dxa"/>
          </w:tcPr>
          <w:p w:rsidR="0058574E" w:rsidRPr="003C3621" w:rsidRDefault="0058574E" w:rsidP="00E7317C">
            <w:pPr>
              <w:jc w:val="center"/>
              <w:rPr>
                <w:sz w:val="20"/>
                <w:szCs w:val="20"/>
              </w:rPr>
            </w:pPr>
            <w:r w:rsidRPr="003C3621">
              <w:rPr>
                <w:sz w:val="20"/>
                <w:szCs w:val="20"/>
              </w:rPr>
              <w:t>394,0</w:t>
            </w:r>
          </w:p>
          <w:p w:rsidR="0058574E" w:rsidRPr="003C3621" w:rsidRDefault="0058574E" w:rsidP="00E7317C">
            <w:pPr>
              <w:jc w:val="center"/>
              <w:rPr>
                <w:sz w:val="20"/>
                <w:szCs w:val="20"/>
              </w:rPr>
            </w:pPr>
            <w:r w:rsidRPr="003C3621">
              <w:rPr>
                <w:sz w:val="20"/>
                <w:szCs w:val="20"/>
              </w:rPr>
              <w:t>120,0</w:t>
            </w:r>
          </w:p>
          <w:p w:rsidR="0058574E" w:rsidRPr="003C3621" w:rsidRDefault="0058574E" w:rsidP="00E7317C">
            <w:pPr>
              <w:jc w:val="center"/>
              <w:rPr>
                <w:sz w:val="20"/>
                <w:szCs w:val="20"/>
              </w:rPr>
            </w:pPr>
            <w:r w:rsidRPr="003C3621">
              <w:rPr>
                <w:sz w:val="20"/>
                <w:szCs w:val="20"/>
              </w:rPr>
              <w:t>227,5</w:t>
            </w:r>
          </w:p>
          <w:p w:rsidR="0058574E" w:rsidRPr="003C3621" w:rsidRDefault="0058574E" w:rsidP="00E7317C">
            <w:pPr>
              <w:jc w:val="center"/>
              <w:rPr>
                <w:sz w:val="20"/>
                <w:szCs w:val="20"/>
              </w:rPr>
            </w:pPr>
          </w:p>
          <w:p w:rsidR="0058574E" w:rsidRPr="003C3621" w:rsidRDefault="0058574E" w:rsidP="00E7317C">
            <w:pPr>
              <w:jc w:val="center"/>
              <w:rPr>
                <w:sz w:val="20"/>
                <w:szCs w:val="20"/>
              </w:rPr>
            </w:pPr>
            <w:r w:rsidRPr="003C3621">
              <w:rPr>
                <w:sz w:val="20"/>
                <w:szCs w:val="20"/>
              </w:rPr>
              <w:t>46,5</w:t>
            </w:r>
          </w:p>
          <w:p w:rsidR="0058574E" w:rsidRPr="003C3621" w:rsidRDefault="0058574E" w:rsidP="00E7317C">
            <w:pPr>
              <w:jc w:val="center"/>
              <w:rPr>
                <w:sz w:val="20"/>
                <w:szCs w:val="20"/>
              </w:rPr>
            </w:pPr>
          </w:p>
          <w:p w:rsidR="0058574E" w:rsidRPr="003C3621" w:rsidRDefault="0058574E" w:rsidP="00E7317C">
            <w:pPr>
              <w:jc w:val="center"/>
              <w:rPr>
                <w:sz w:val="20"/>
                <w:szCs w:val="20"/>
              </w:rPr>
            </w:pPr>
            <w:r w:rsidRPr="003C3621">
              <w:rPr>
                <w:sz w:val="20"/>
                <w:szCs w:val="20"/>
              </w:rPr>
              <w:t>0</w:t>
            </w:r>
          </w:p>
          <w:p w:rsidR="0058574E" w:rsidRPr="003C3621" w:rsidRDefault="0058574E" w:rsidP="00E7317C">
            <w:pPr>
              <w:jc w:val="center"/>
              <w:rPr>
                <w:sz w:val="20"/>
                <w:szCs w:val="20"/>
              </w:rPr>
            </w:pPr>
          </w:p>
          <w:p w:rsidR="0058574E" w:rsidRPr="003C3621" w:rsidRDefault="0058574E" w:rsidP="00E7317C">
            <w:pPr>
              <w:jc w:val="center"/>
              <w:rPr>
                <w:sz w:val="20"/>
                <w:szCs w:val="20"/>
              </w:rPr>
            </w:pPr>
            <w:r w:rsidRPr="003C3621">
              <w:rPr>
                <w:sz w:val="20"/>
                <w:szCs w:val="20"/>
              </w:rPr>
              <w:t>0</w:t>
            </w:r>
          </w:p>
        </w:tc>
      </w:tr>
    </w:tbl>
    <w:p w:rsidR="0058574E" w:rsidRPr="000C7712" w:rsidRDefault="0058574E" w:rsidP="0058574E">
      <w:pPr>
        <w:pStyle w:val="21"/>
        <w:ind w:firstLine="0"/>
        <w:rPr>
          <w:b/>
          <w:color w:val="FF0000"/>
        </w:rPr>
      </w:pPr>
    </w:p>
    <w:tbl>
      <w:tblPr>
        <w:tblpPr w:leftFromText="180" w:rightFromText="180" w:vertAnchor="text" w:tblpX="21629" w:tblpY="-246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58574E" w:rsidRPr="000C7712" w:rsidTr="00E7317C">
        <w:trPr>
          <w:trHeight w:val="1800"/>
        </w:trPr>
        <w:tc>
          <w:tcPr>
            <w:tcW w:w="324" w:type="dxa"/>
          </w:tcPr>
          <w:p w:rsidR="0058574E" w:rsidRPr="000C7712" w:rsidRDefault="0058574E" w:rsidP="00E7317C">
            <w:pPr>
              <w:pStyle w:val="21"/>
              <w:rPr>
                <w:b/>
                <w:color w:val="FF0000"/>
              </w:rPr>
            </w:pPr>
          </w:p>
        </w:tc>
      </w:tr>
    </w:tbl>
    <w:p w:rsidR="0058574E" w:rsidRPr="00EA408F" w:rsidRDefault="0058574E" w:rsidP="0058574E">
      <w:pPr>
        <w:jc w:val="center"/>
        <w:rPr>
          <w:b/>
          <w:bCs/>
          <w:iCs/>
          <w:sz w:val="28"/>
          <w:szCs w:val="28"/>
        </w:rPr>
      </w:pPr>
      <w:r w:rsidRPr="00EA408F">
        <w:rPr>
          <w:b/>
          <w:bCs/>
          <w:iCs/>
          <w:sz w:val="28"/>
          <w:szCs w:val="28"/>
        </w:rPr>
        <w:t>5. Государственная пошлина за выдачу и обмен паспорта гражданина Российской Федерации</w:t>
      </w:r>
    </w:p>
    <w:p w:rsidR="0058574E" w:rsidRPr="00EA408F" w:rsidRDefault="0058574E" w:rsidP="0058574E">
      <w:pPr>
        <w:jc w:val="center"/>
        <w:rPr>
          <w:b/>
          <w:bCs/>
          <w:iCs/>
          <w:sz w:val="28"/>
          <w:szCs w:val="28"/>
        </w:rPr>
      </w:pPr>
      <w:r w:rsidRPr="00EA408F">
        <w:t>(УМВД России по Тверской области)</w:t>
      </w:r>
    </w:p>
    <w:p w:rsidR="0058574E" w:rsidRPr="00EA408F" w:rsidRDefault="0058574E" w:rsidP="0058574E">
      <w:pPr>
        <w:jc w:val="center"/>
        <w:rPr>
          <w:b/>
          <w:bCs/>
          <w:iCs/>
          <w:sz w:val="28"/>
          <w:szCs w:val="28"/>
        </w:rPr>
      </w:pPr>
      <w:r w:rsidRPr="00EA408F">
        <w:rPr>
          <w:b/>
          <w:bCs/>
          <w:iCs/>
        </w:rPr>
        <w:t>(000 1 08 07100 01 0000 110)</w:t>
      </w:r>
    </w:p>
    <w:p w:rsidR="0058574E" w:rsidRPr="00EA408F" w:rsidRDefault="0058574E" w:rsidP="0058574E">
      <w:pPr>
        <w:ind w:left="900"/>
        <w:jc w:val="center"/>
        <w:rPr>
          <w:bCs/>
          <w:iCs/>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8"/>
        <w:gridCol w:w="1417"/>
        <w:gridCol w:w="1701"/>
        <w:gridCol w:w="1701"/>
      </w:tblGrid>
      <w:tr w:rsidR="0058574E" w:rsidRPr="00EA408F" w:rsidTr="00E7317C">
        <w:tc>
          <w:tcPr>
            <w:tcW w:w="5388" w:type="dxa"/>
          </w:tcPr>
          <w:p w:rsidR="0058574E" w:rsidRPr="00EA408F" w:rsidRDefault="0058574E" w:rsidP="00E7317C">
            <w:pPr>
              <w:pStyle w:val="21"/>
              <w:ind w:left="720"/>
              <w:jc w:val="center"/>
              <w:rPr>
                <w:sz w:val="20"/>
                <w:szCs w:val="20"/>
              </w:rPr>
            </w:pPr>
            <w:r w:rsidRPr="00EA408F">
              <w:rPr>
                <w:sz w:val="20"/>
                <w:szCs w:val="20"/>
              </w:rPr>
              <w:t>Наименование показателя</w:t>
            </w:r>
          </w:p>
        </w:tc>
        <w:tc>
          <w:tcPr>
            <w:tcW w:w="1417" w:type="dxa"/>
          </w:tcPr>
          <w:p w:rsidR="0058574E" w:rsidRPr="00EA408F" w:rsidRDefault="0058574E" w:rsidP="00E7317C">
            <w:pPr>
              <w:pStyle w:val="21"/>
              <w:ind w:firstLine="0"/>
              <w:jc w:val="center"/>
              <w:rPr>
                <w:sz w:val="20"/>
                <w:szCs w:val="20"/>
              </w:rPr>
            </w:pPr>
            <w:r w:rsidRPr="00EA408F">
              <w:rPr>
                <w:sz w:val="20"/>
                <w:szCs w:val="20"/>
              </w:rPr>
              <w:t>2022 год</w:t>
            </w:r>
          </w:p>
        </w:tc>
        <w:tc>
          <w:tcPr>
            <w:tcW w:w="1701" w:type="dxa"/>
          </w:tcPr>
          <w:p w:rsidR="0058574E" w:rsidRPr="00EA408F" w:rsidRDefault="0058574E" w:rsidP="00E7317C">
            <w:pPr>
              <w:pStyle w:val="21"/>
              <w:ind w:firstLine="0"/>
              <w:jc w:val="center"/>
              <w:rPr>
                <w:sz w:val="20"/>
                <w:szCs w:val="20"/>
              </w:rPr>
            </w:pPr>
            <w:r w:rsidRPr="00EA408F">
              <w:rPr>
                <w:sz w:val="20"/>
                <w:szCs w:val="20"/>
              </w:rPr>
              <w:t>2023 год</w:t>
            </w:r>
          </w:p>
          <w:p w:rsidR="0058574E" w:rsidRPr="00EA408F" w:rsidRDefault="0058574E" w:rsidP="00E7317C">
            <w:pPr>
              <w:pStyle w:val="21"/>
              <w:ind w:left="720"/>
              <w:jc w:val="center"/>
              <w:rPr>
                <w:sz w:val="20"/>
                <w:szCs w:val="20"/>
              </w:rPr>
            </w:pPr>
          </w:p>
        </w:tc>
        <w:tc>
          <w:tcPr>
            <w:tcW w:w="1701" w:type="dxa"/>
          </w:tcPr>
          <w:p w:rsidR="0058574E" w:rsidRPr="00EA408F" w:rsidRDefault="0058574E" w:rsidP="00E7317C">
            <w:pPr>
              <w:pStyle w:val="21"/>
              <w:ind w:left="360" w:firstLine="0"/>
              <w:rPr>
                <w:sz w:val="20"/>
                <w:szCs w:val="20"/>
              </w:rPr>
            </w:pPr>
            <w:r w:rsidRPr="00EA408F">
              <w:rPr>
                <w:sz w:val="20"/>
                <w:szCs w:val="20"/>
              </w:rPr>
              <w:t>2024 год</w:t>
            </w:r>
          </w:p>
        </w:tc>
      </w:tr>
      <w:tr w:rsidR="0058574E" w:rsidRPr="00EA408F" w:rsidTr="00E7317C">
        <w:trPr>
          <w:trHeight w:val="838"/>
        </w:trPr>
        <w:tc>
          <w:tcPr>
            <w:tcW w:w="5388" w:type="dxa"/>
          </w:tcPr>
          <w:p w:rsidR="0058574E" w:rsidRPr="00EA408F" w:rsidRDefault="0058574E" w:rsidP="00E7317C">
            <w:pPr>
              <w:pStyle w:val="21"/>
              <w:rPr>
                <w:sz w:val="20"/>
                <w:szCs w:val="20"/>
              </w:rPr>
            </w:pPr>
            <w:r w:rsidRPr="00EA408F">
              <w:rPr>
                <w:sz w:val="20"/>
                <w:szCs w:val="20"/>
              </w:rPr>
              <w:t>1. Количество обращений (рассчитывается как среднее за 3 предшествующих года):</w:t>
            </w:r>
          </w:p>
          <w:p w:rsidR="0058574E" w:rsidRPr="00EA408F" w:rsidRDefault="0058574E" w:rsidP="00E7317C">
            <w:pPr>
              <w:pStyle w:val="21"/>
              <w:rPr>
                <w:sz w:val="20"/>
                <w:szCs w:val="20"/>
              </w:rPr>
            </w:pPr>
            <w:r w:rsidRPr="00EA408F">
              <w:rPr>
                <w:sz w:val="20"/>
                <w:szCs w:val="20"/>
              </w:rPr>
              <w:t>- на выдачу паспорта (с округлением)</w:t>
            </w:r>
          </w:p>
          <w:p w:rsidR="0058574E" w:rsidRPr="00EA408F" w:rsidRDefault="0058574E" w:rsidP="00E7317C">
            <w:pPr>
              <w:pStyle w:val="21"/>
              <w:rPr>
                <w:sz w:val="20"/>
                <w:szCs w:val="20"/>
              </w:rPr>
            </w:pPr>
            <w:r w:rsidRPr="00EA408F">
              <w:rPr>
                <w:sz w:val="20"/>
                <w:szCs w:val="20"/>
              </w:rPr>
              <w:t>- на выдачу паспорта взамен ранее утраченного или пришедшего в негодность(с округлением)</w:t>
            </w:r>
          </w:p>
        </w:tc>
        <w:tc>
          <w:tcPr>
            <w:tcW w:w="1417" w:type="dxa"/>
          </w:tcPr>
          <w:p w:rsidR="0058574E" w:rsidRPr="00EA408F" w:rsidRDefault="0058574E" w:rsidP="00E7317C">
            <w:pPr>
              <w:pStyle w:val="21"/>
              <w:ind w:firstLine="0"/>
              <w:jc w:val="center"/>
              <w:rPr>
                <w:sz w:val="20"/>
                <w:szCs w:val="20"/>
              </w:rPr>
            </w:pPr>
          </w:p>
          <w:p w:rsidR="0058574E" w:rsidRPr="00EA408F" w:rsidRDefault="0058574E" w:rsidP="00E7317C">
            <w:pPr>
              <w:pStyle w:val="21"/>
              <w:ind w:firstLine="0"/>
              <w:jc w:val="center"/>
              <w:rPr>
                <w:sz w:val="20"/>
                <w:szCs w:val="20"/>
              </w:rPr>
            </w:pPr>
          </w:p>
          <w:p w:rsidR="0058574E" w:rsidRPr="00EA408F" w:rsidRDefault="0058574E" w:rsidP="00E7317C">
            <w:pPr>
              <w:pStyle w:val="21"/>
              <w:ind w:firstLine="0"/>
              <w:jc w:val="center"/>
              <w:rPr>
                <w:sz w:val="20"/>
                <w:szCs w:val="20"/>
              </w:rPr>
            </w:pPr>
            <w:r w:rsidRPr="00EA408F">
              <w:rPr>
                <w:sz w:val="20"/>
                <w:szCs w:val="20"/>
              </w:rPr>
              <w:t>36 572,1</w:t>
            </w:r>
          </w:p>
          <w:p w:rsidR="0058574E" w:rsidRPr="00EA408F" w:rsidRDefault="0058574E" w:rsidP="00E7317C">
            <w:pPr>
              <w:pStyle w:val="21"/>
              <w:ind w:firstLine="0"/>
              <w:jc w:val="center"/>
              <w:rPr>
                <w:sz w:val="20"/>
                <w:szCs w:val="20"/>
              </w:rPr>
            </w:pPr>
            <w:r w:rsidRPr="00EA408F">
              <w:rPr>
                <w:sz w:val="20"/>
                <w:szCs w:val="20"/>
              </w:rPr>
              <w:t>1 303,7</w:t>
            </w:r>
          </w:p>
        </w:tc>
        <w:tc>
          <w:tcPr>
            <w:tcW w:w="1701" w:type="dxa"/>
          </w:tcPr>
          <w:p w:rsidR="0058574E" w:rsidRPr="00EA408F" w:rsidRDefault="0058574E" w:rsidP="00E7317C">
            <w:pPr>
              <w:pStyle w:val="21"/>
              <w:ind w:firstLine="0"/>
              <w:jc w:val="center"/>
              <w:rPr>
                <w:sz w:val="20"/>
                <w:szCs w:val="20"/>
              </w:rPr>
            </w:pPr>
          </w:p>
          <w:p w:rsidR="0058574E" w:rsidRPr="00EA408F" w:rsidRDefault="0058574E" w:rsidP="00E7317C">
            <w:pPr>
              <w:pStyle w:val="21"/>
              <w:ind w:firstLine="0"/>
              <w:jc w:val="center"/>
              <w:rPr>
                <w:sz w:val="20"/>
                <w:szCs w:val="20"/>
              </w:rPr>
            </w:pPr>
          </w:p>
          <w:p w:rsidR="0058574E" w:rsidRPr="00EA408F" w:rsidRDefault="0058574E" w:rsidP="00E7317C">
            <w:pPr>
              <w:pStyle w:val="21"/>
              <w:ind w:firstLine="0"/>
              <w:jc w:val="center"/>
              <w:rPr>
                <w:sz w:val="20"/>
                <w:szCs w:val="20"/>
              </w:rPr>
            </w:pPr>
            <w:r w:rsidRPr="00EA408F">
              <w:rPr>
                <w:sz w:val="20"/>
                <w:szCs w:val="20"/>
              </w:rPr>
              <w:t>35 753,5</w:t>
            </w:r>
          </w:p>
          <w:p w:rsidR="0058574E" w:rsidRPr="00EA408F" w:rsidRDefault="0058574E" w:rsidP="00E7317C">
            <w:pPr>
              <w:pStyle w:val="21"/>
              <w:ind w:firstLine="0"/>
              <w:jc w:val="center"/>
              <w:rPr>
                <w:sz w:val="20"/>
                <w:szCs w:val="20"/>
              </w:rPr>
            </w:pPr>
            <w:r w:rsidRPr="00EA408F">
              <w:rPr>
                <w:sz w:val="20"/>
                <w:szCs w:val="20"/>
              </w:rPr>
              <w:t>1 277,7</w:t>
            </w:r>
          </w:p>
        </w:tc>
        <w:tc>
          <w:tcPr>
            <w:tcW w:w="1701" w:type="dxa"/>
          </w:tcPr>
          <w:p w:rsidR="0058574E" w:rsidRPr="00EA408F" w:rsidRDefault="0058574E" w:rsidP="00E7317C">
            <w:pPr>
              <w:pStyle w:val="21"/>
              <w:ind w:firstLine="0"/>
              <w:jc w:val="center"/>
              <w:rPr>
                <w:sz w:val="20"/>
                <w:szCs w:val="20"/>
              </w:rPr>
            </w:pPr>
          </w:p>
          <w:p w:rsidR="0058574E" w:rsidRPr="00EA408F" w:rsidRDefault="0058574E" w:rsidP="00E7317C">
            <w:pPr>
              <w:pStyle w:val="21"/>
              <w:ind w:firstLine="0"/>
              <w:jc w:val="center"/>
              <w:rPr>
                <w:sz w:val="20"/>
                <w:szCs w:val="20"/>
              </w:rPr>
            </w:pPr>
          </w:p>
          <w:p w:rsidR="0058574E" w:rsidRPr="00EA408F" w:rsidRDefault="0058574E" w:rsidP="00E7317C">
            <w:pPr>
              <w:pStyle w:val="21"/>
              <w:ind w:firstLine="0"/>
              <w:jc w:val="center"/>
              <w:rPr>
                <w:sz w:val="20"/>
                <w:szCs w:val="20"/>
              </w:rPr>
            </w:pPr>
            <w:r w:rsidRPr="00EA408F">
              <w:rPr>
                <w:sz w:val="20"/>
                <w:szCs w:val="20"/>
              </w:rPr>
              <w:t>36 489,8</w:t>
            </w:r>
          </w:p>
          <w:p w:rsidR="0058574E" w:rsidRPr="00EA408F" w:rsidRDefault="0058574E" w:rsidP="00E7317C">
            <w:pPr>
              <w:pStyle w:val="21"/>
              <w:ind w:firstLine="0"/>
              <w:jc w:val="center"/>
              <w:rPr>
                <w:sz w:val="20"/>
                <w:szCs w:val="20"/>
              </w:rPr>
            </w:pPr>
            <w:r w:rsidRPr="00EA408F">
              <w:rPr>
                <w:sz w:val="20"/>
                <w:szCs w:val="20"/>
              </w:rPr>
              <w:t>1 298,8</w:t>
            </w:r>
          </w:p>
        </w:tc>
      </w:tr>
      <w:tr w:rsidR="0058574E" w:rsidRPr="00EA408F" w:rsidTr="00E7317C">
        <w:tc>
          <w:tcPr>
            <w:tcW w:w="5388" w:type="dxa"/>
          </w:tcPr>
          <w:p w:rsidR="0058574E" w:rsidRPr="00EA408F" w:rsidRDefault="0058574E" w:rsidP="00E7317C">
            <w:pPr>
              <w:pStyle w:val="21"/>
              <w:jc w:val="left"/>
              <w:rPr>
                <w:sz w:val="20"/>
                <w:szCs w:val="20"/>
              </w:rPr>
            </w:pPr>
            <w:r w:rsidRPr="00EA408F">
              <w:rPr>
                <w:sz w:val="20"/>
                <w:szCs w:val="20"/>
              </w:rPr>
              <w:t>2. Размер госпошлины, руб.:</w:t>
            </w:r>
          </w:p>
          <w:p w:rsidR="0058574E" w:rsidRPr="00EA408F" w:rsidRDefault="0058574E" w:rsidP="00E7317C">
            <w:pPr>
              <w:pStyle w:val="21"/>
              <w:jc w:val="left"/>
              <w:rPr>
                <w:sz w:val="20"/>
                <w:szCs w:val="20"/>
              </w:rPr>
            </w:pPr>
            <w:r w:rsidRPr="00EA408F">
              <w:rPr>
                <w:sz w:val="20"/>
                <w:szCs w:val="20"/>
              </w:rPr>
              <w:t>- за выдачу паспорта</w:t>
            </w:r>
          </w:p>
          <w:p w:rsidR="0058574E" w:rsidRPr="00EA408F" w:rsidRDefault="0058574E" w:rsidP="00E7317C">
            <w:pPr>
              <w:pStyle w:val="21"/>
              <w:jc w:val="left"/>
              <w:rPr>
                <w:sz w:val="20"/>
                <w:szCs w:val="20"/>
              </w:rPr>
            </w:pPr>
            <w:r w:rsidRPr="00EA408F">
              <w:rPr>
                <w:sz w:val="20"/>
                <w:szCs w:val="20"/>
              </w:rPr>
              <w:t>- за выдачу паспорта взамен ранее утраченного или пришедшего в негодность</w:t>
            </w:r>
          </w:p>
        </w:tc>
        <w:tc>
          <w:tcPr>
            <w:tcW w:w="1417" w:type="dxa"/>
          </w:tcPr>
          <w:p w:rsidR="0058574E" w:rsidRPr="00EA408F" w:rsidRDefault="0058574E" w:rsidP="00E7317C">
            <w:pPr>
              <w:pStyle w:val="21"/>
              <w:ind w:firstLine="0"/>
              <w:rPr>
                <w:sz w:val="20"/>
                <w:szCs w:val="20"/>
              </w:rPr>
            </w:pPr>
          </w:p>
          <w:p w:rsidR="0058574E" w:rsidRPr="00EA408F" w:rsidRDefault="0058574E" w:rsidP="00E7317C">
            <w:pPr>
              <w:pStyle w:val="21"/>
              <w:ind w:firstLine="0"/>
              <w:jc w:val="center"/>
              <w:rPr>
                <w:sz w:val="20"/>
                <w:szCs w:val="20"/>
              </w:rPr>
            </w:pPr>
            <w:r w:rsidRPr="00EA408F">
              <w:rPr>
                <w:sz w:val="20"/>
                <w:szCs w:val="20"/>
              </w:rPr>
              <w:t>300</w:t>
            </w:r>
          </w:p>
          <w:p w:rsidR="0058574E" w:rsidRPr="00EA408F" w:rsidRDefault="0058574E" w:rsidP="00E7317C">
            <w:pPr>
              <w:pStyle w:val="21"/>
              <w:ind w:firstLine="0"/>
              <w:jc w:val="center"/>
              <w:rPr>
                <w:sz w:val="20"/>
                <w:szCs w:val="20"/>
              </w:rPr>
            </w:pPr>
            <w:r w:rsidRPr="00EA408F">
              <w:rPr>
                <w:sz w:val="20"/>
                <w:szCs w:val="20"/>
              </w:rPr>
              <w:t>1 500</w:t>
            </w:r>
          </w:p>
        </w:tc>
        <w:tc>
          <w:tcPr>
            <w:tcW w:w="1701" w:type="dxa"/>
          </w:tcPr>
          <w:p w:rsidR="0058574E" w:rsidRPr="00EA408F" w:rsidRDefault="0058574E" w:rsidP="00E7317C">
            <w:pPr>
              <w:pStyle w:val="21"/>
              <w:ind w:left="180" w:firstLine="0"/>
              <w:jc w:val="center"/>
              <w:rPr>
                <w:sz w:val="20"/>
                <w:szCs w:val="20"/>
              </w:rPr>
            </w:pPr>
          </w:p>
          <w:p w:rsidR="0058574E" w:rsidRPr="00EA408F" w:rsidRDefault="0058574E" w:rsidP="00E7317C">
            <w:pPr>
              <w:pStyle w:val="21"/>
              <w:ind w:firstLine="0"/>
              <w:jc w:val="center"/>
              <w:rPr>
                <w:sz w:val="20"/>
                <w:szCs w:val="20"/>
              </w:rPr>
            </w:pPr>
            <w:r w:rsidRPr="00EA408F">
              <w:rPr>
                <w:sz w:val="20"/>
                <w:szCs w:val="20"/>
              </w:rPr>
              <w:t>300</w:t>
            </w:r>
          </w:p>
          <w:p w:rsidR="0058574E" w:rsidRPr="00EA408F" w:rsidRDefault="0058574E" w:rsidP="00E7317C">
            <w:pPr>
              <w:pStyle w:val="21"/>
              <w:ind w:firstLine="0"/>
              <w:jc w:val="center"/>
              <w:rPr>
                <w:sz w:val="20"/>
                <w:szCs w:val="20"/>
              </w:rPr>
            </w:pPr>
            <w:r w:rsidRPr="00EA408F">
              <w:rPr>
                <w:sz w:val="20"/>
                <w:szCs w:val="20"/>
              </w:rPr>
              <w:t>1 500</w:t>
            </w:r>
          </w:p>
        </w:tc>
        <w:tc>
          <w:tcPr>
            <w:tcW w:w="1701" w:type="dxa"/>
          </w:tcPr>
          <w:p w:rsidR="0058574E" w:rsidRPr="00EA408F" w:rsidRDefault="0058574E" w:rsidP="00E7317C">
            <w:pPr>
              <w:pStyle w:val="21"/>
              <w:ind w:left="180" w:firstLine="0"/>
              <w:jc w:val="center"/>
              <w:rPr>
                <w:sz w:val="20"/>
                <w:szCs w:val="20"/>
              </w:rPr>
            </w:pPr>
          </w:p>
          <w:p w:rsidR="0058574E" w:rsidRPr="00EA408F" w:rsidRDefault="0058574E" w:rsidP="00E7317C">
            <w:pPr>
              <w:pStyle w:val="21"/>
              <w:ind w:firstLine="0"/>
              <w:jc w:val="center"/>
              <w:rPr>
                <w:sz w:val="20"/>
                <w:szCs w:val="20"/>
              </w:rPr>
            </w:pPr>
            <w:r w:rsidRPr="00EA408F">
              <w:rPr>
                <w:sz w:val="20"/>
                <w:szCs w:val="20"/>
              </w:rPr>
              <w:t>300</w:t>
            </w:r>
          </w:p>
          <w:p w:rsidR="0058574E" w:rsidRPr="00EA408F" w:rsidRDefault="0058574E" w:rsidP="00E7317C">
            <w:pPr>
              <w:pStyle w:val="21"/>
              <w:ind w:firstLine="0"/>
              <w:jc w:val="center"/>
              <w:rPr>
                <w:sz w:val="20"/>
                <w:szCs w:val="20"/>
              </w:rPr>
            </w:pPr>
            <w:r w:rsidRPr="00EA408F">
              <w:rPr>
                <w:sz w:val="20"/>
                <w:szCs w:val="20"/>
              </w:rPr>
              <w:t>1 500</w:t>
            </w:r>
          </w:p>
        </w:tc>
      </w:tr>
      <w:tr w:rsidR="0058574E" w:rsidRPr="00EA408F" w:rsidTr="00E7317C">
        <w:tc>
          <w:tcPr>
            <w:tcW w:w="5388" w:type="dxa"/>
          </w:tcPr>
          <w:p w:rsidR="0058574E" w:rsidRPr="00EA408F" w:rsidRDefault="0058574E" w:rsidP="00E7317C">
            <w:pPr>
              <w:pStyle w:val="21"/>
              <w:jc w:val="left"/>
              <w:rPr>
                <w:sz w:val="20"/>
                <w:szCs w:val="20"/>
              </w:rPr>
            </w:pPr>
            <w:r w:rsidRPr="00EA408F">
              <w:rPr>
                <w:sz w:val="20"/>
                <w:szCs w:val="20"/>
              </w:rPr>
              <w:t>3. Государственная пошлина – всего (норматив зачисления госпошлины в областной бюджет – 50 %), тыс. руб., в том числе (с округлением):</w:t>
            </w:r>
          </w:p>
          <w:p w:rsidR="0058574E" w:rsidRPr="00EA408F" w:rsidRDefault="0058574E" w:rsidP="00E7317C">
            <w:pPr>
              <w:pStyle w:val="21"/>
              <w:jc w:val="left"/>
              <w:rPr>
                <w:sz w:val="20"/>
                <w:szCs w:val="20"/>
              </w:rPr>
            </w:pPr>
            <w:r w:rsidRPr="00EA408F">
              <w:rPr>
                <w:sz w:val="20"/>
                <w:szCs w:val="20"/>
              </w:rPr>
              <w:t>- за выдачу паспорта (с округлением)</w:t>
            </w:r>
          </w:p>
          <w:p w:rsidR="0058574E" w:rsidRPr="00EA408F" w:rsidRDefault="0058574E" w:rsidP="00E7317C">
            <w:pPr>
              <w:pStyle w:val="21"/>
              <w:jc w:val="left"/>
              <w:rPr>
                <w:sz w:val="20"/>
                <w:szCs w:val="20"/>
              </w:rPr>
            </w:pPr>
            <w:r w:rsidRPr="00EA408F">
              <w:rPr>
                <w:sz w:val="20"/>
                <w:szCs w:val="20"/>
              </w:rPr>
              <w:t>- за выдачу паспорта взамен ранее утраченного или пришедшего в негодность (с округлением)</w:t>
            </w:r>
          </w:p>
        </w:tc>
        <w:tc>
          <w:tcPr>
            <w:tcW w:w="1417" w:type="dxa"/>
          </w:tcPr>
          <w:p w:rsidR="0058574E" w:rsidRPr="00EA408F" w:rsidRDefault="0058574E" w:rsidP="00E7317C">
            <w:pPr>
              <w:pStyle w:val="21"/>
              <w:ind w:firstLine="0"/>
              <w:jc w:val="center"/>
              <w:rPr>
                <w:sz w:val="20"/>
                <w:szCs w:val="20"/>
              </w:rPr>
            </w:pPr>
            <w:r w:rsidRPr="00EA408F">
              <w:rPr>
                <w:sz w:val="20"/>
                <w:szCs w:val="20"/>
              </w:rPr>
              <w:t>6 463,6</w:t>
            </w:r>
          </w:p>
          <w:p w:rsidR="0058574E" w:rsidRPr="00EA408F" w:rsidRDefault="0058574E" w:rsidP="00E7317C">
            <w:pPr>
              <w:jc w:val="center"/>
              <w:rPr>
                <w:sz w:val="20"/>
                <w:szCs w:val="20"/>
              </w:rPr>
            </w:pPr>
          </w:p>
          <w:p w:rsidR="0058574E" w:rsidRPr="00EA408F" w:rsidRDefault="0058574E" w:rsidP="00E7317C">
            <w:pPr>
              <w:jc w:val="center"/>
              <w:rPr>
                <w:sz w:val="20"/>
                <w:szCs w:val="20"/>
              </w:rPr>
            </w:pPr>
          </w:p>
          <w:p w:rsidR="0058574E" w:rsidRPr="00EA408F" w:rsidRDefault="0058574E" w:rsidP="00E7317C">
            <w:pPr>
              <w:jc w:val="center"/>
              <w:rPr>
                <w:sz w:val="20"/>
                <w:szCs w:val="20"/>
              </w:rPr>
            </w:pPr>
            <w:r w:rsidRPr="00EA408F">
              <w:rPr>
                <w:sz w:val="20"/>
                <w:szCs w:val="20"/>
              </w:rPr>
              <w:t>5 485,8</w:t>
            </w:r>
          </w:p>
          <w:p w:rsidR="0058574E" w:rsidRPr="00EA408F" w:rsidRDefault="0058574E" w:rsidP="00E7317C">
            <w:pPr>
              <w:jc w:val="center"/>
              <w:rPr>
                <w:sz w:val="20"/>
                <w:szCs w:val="20"/>
              </w:rPr>
            </w:pPr>
            <w:r w:rsidRPr="00EA408F">
              <w:rPr>
                <w:sz w:val="20"/>
                <w:szCs w:val="20"/>
              </w:rPr>
              <w:t>977,8</w:t>
            </w:r>
          </w:p>
        </w:tc>
        <w:tc>
          <w:tcPr>
            <w:tcW w:w="1701" w:type="dxa"/>
          </w:tcPr>
          <w:p w:rsidR="0058574E" w:rsidRPr="00EA408F" w:rsidRDefault="0058574E" w:rsidP="00E7317C">
            <w:pPr>
              <w:pStyle w:val="21"/>
              <w:ind w:firstLine="0"/>
              <w:jc w:val="center"/>
              <w:rPr>
                <w:sz w:val="20"/>
                <w:szCs w:val="20"/>
              </w:rPr>
            </w:pPr>
            <w:r w:rsidRPr="00EA408F">
              <w:rPr>
                <w:sz w:val="20"/>
                <w:szCs w:val="20"/>
              </w:rPr>
              <w:t>6 321,3</w:t>
            </w:r>
          </w:p>
          <w:p w:rsidR="0058574E" w:rsidRPr="00EA408F" w:rsidRDefault="0058574E" w:rsidP="00E7317C">
            <w:pPr>
              <w:pStyle w:val="21"/>
              <w:ind w:left="180" w:firstLine="0"/>
              <w:jc w:val="center"/>
              <w:rPr>
                <w:sz w:val="20"/>
                <w:szCs w:val="20"/>
              </w:rPr>
            </w:pPr>
          </w:p>
          <w:p w:rsidR="0058574E" w:rsidRPr="00EA408F" w:rsidRDefault="0058574E" w:rsidP="00E7317C">
            <w:pPr>
              <w:jc w:val="center"/>
              <w:rPr>
                <w:sz w:val="20"/>
                <w:szCs w:val="20"/>
              </w:rPr>
            </w:pPr>
          </w:p>
          <w:p w:rsidR="0058574E" w:rsidRPr="00EA408F" w:rsidRDefault="0058574E" w:rsidP="00E7317C">
            <w:pPr>
              <w:jc w:val="center"/>
              <w:rPr>
                <w:sz w:val="20"/>
                <w:szCs w:val="20"/>
              </w:rPr>
            </w:pPr>
            <w:r w:rsidRPr="00EA408F">
              <w:rPr>
                <w:sz w:val="20"/>
                <w:szCs w:val="20"/>
              </w:rPr>
              <w:t>5 363,0</w:t>
            </w:r>
          </w:p>
          <w:p w:rsidR="0058574E" w:rsidRPr="00EA408F" w:rsidRDefault="0058574E" w:rsidP="00E7317C">
            <w:pPr>
              <w:jc w:val="center"/>
              <w:rPr>
                <w:sz w:val="20"/>
                <w:szCs w:val="20"/>
              </w:rPr>
            </w:pPr>
            <w:r w:rsidRPr="00EA408F">
              <w:rPr>
                <w:sz w:val="20"/>
                <w:szCs w:val="20"/>
              </w:rPr>
              <w:t>958,3</w:t>
            </w:r>
          </w:p>
        </w:tc>
        <w:tc>
          <w:tcPr>
            <w:tcW w:w="1701" w:type="dxa"/>
          </w:tcPr>
          <w:p w:rsidR="0058574E" w:rsidRPr="00EA408F" w:rsidRDefault="0058574E" w:rsidP="00E7317C">
            <w:pPr>
              <w:pStyle w:val="21"/>
              <w:ind w:firstLine="0"/>
              <w:jc w:val="center"/>
              <w:rPr>
                <w:sz w:val="20"/>
                <w:szCs w:val="20"/>
              </w:rPr>
            </w:pPr>
            <w:r w:rsidRPr="00EA408F">
              <w:rPr>
                <w:sz w:val="20"/>
                <w:szCs w:val="20"/>
              </w:rPr>
              <w:t>6 447,6</w:t>
            </w:r>
          </w:p>
          <w:p w:rsidR="0058574E" w:rsidRPr="00EA408F" w:rsidRDefault="0058574E" w:rsidP="00E7317C">
            <w:pPr>
              <w:pStyle w:val="21"/>
              <w:ind w:left="180" w:firstLine="0"/>
              <w:jc w:val="center"/>
              <w:rPr>
                <w:sz w:val="20"/>
                <w:szCs w:val="20"/>
              </w:rPr>
            </w:pPr>
          </w:p>
          <w:p w:rsidR="0058574E" w:rsidRPr="00EA408F" w:rsidRDefault="0058574E" w:rsidP="00E7317C">
            <w:pPr>
              <w:jc w:val="center"/>
              <w:rPr>
                <w:sz w:val="20"/>
                <w:szCs w:val="20"/>
              </w:rPr>
            </w:pPr>
          </w:p>
          <w:p w:rsidR="0058574E" w:rsidRPr="00EA408F" w:rsidRDefault="0058574E" w:rsidP="00E7317C">
            <w:pPr>
              <w:jc w:val="center"/>
              <w:rPr>
                <w:sz w:val="20"/>
                <w:szCs w:val="20"/>
              </w:rPr>
            </w:pPr>
            <w:r w:rsidRPr="00EA408F">
              <w:rPr>
                <w:sz w:val="20"/>
                <w:szCs w:val="20"/>
              </w:rPr>
              <w:t>5 473,5</w:t>
            </w:r>
          </w:p>
          <w:p w:rsidR="0058574E" w:rsidRPr="00EA408F" w:rsidRDefault="0058574E" w:rsidP="00E7317C">
            <w:pPr>
              <w:jc w:val="center"/>
              <w:rPr>
                <w:sz w:val="20"/>
                <w:szCs w:val="20"/>
              </w:rPr>
            </w:pPr>
            <w:r w:rsidRPr="00EA408F">
              <w:rPr>
                <w:sz w:val="20"/>
                <w:szCs w:val="20"/>
              </w:rPr>
              <w:t>974,1</w:t>
            </w:r>
          </w:p>
        </w:tc>
      </w:tr>
    </w:tbl>
    <w:p w:rsidR="0058574E" w:rsidRPr="000C7712" w:rsidRDefault="0058574E" w:rsidP="0058574E">
      <w:pPr>
        <w:pStyle w:val="21"/>
        <w:ind w:firstLine="0"/>
        <w:rPr>
          <w:b/>
          <w:color w:val="FF0000"/>
        </w:rPr>
      </w:pPr>
    </w:p>
    <w:p w:rsidR="0058574E" w:rsidRPr="00A8256C" w:rsidRDefault="0058574E" w:rsidP="0058574E">
      <w:pPr>
        <w:pStyle w:val="21"/>
        <w:ind w:firstLine="0"/>
        <w:jc w:val="center"/>
        <w:rPr>
          <w:b/>
          <w:bCs/>
          <w:iCs/>
        </w:rPr>
      </w:pPr>
      <w:r w:rsidRPr="00A8256C">
        <w:rPr>
          <w:b/>
        </w:rPr>
        <w:t xml:space="preserve">6. Государственная пошлина за государственную регистрацию межрегиональных, региональных и местных общественных объединений, отделений общественных объединений, а также за </w:t>
      </w:r>
      <w:r w:rsidRPr="00A8256C">
        <w:rPr>
          <w:b/>
          <w:bCs/>
          <w:iCs/>
        </w:rPr>
        <w:t>государственную регистрацию изменений их учредительных документов</w:t>
      </w:r>
    </w:p>
    <w:p w:rsidR="0058574E" w:rsidRPr="00A8256C" w:rsidRDefault="0058574E" w:rsidP="0058574E">
      <w:pPr>
        <w:pStyle w:val="21"/>
        <w:ind w:firstLine="0"/>
        <w:jc w:val="center"/>
        <w:rPr>
          <w:b/>
          <w:bCs/>
          <w:iCs/>
        </w:rPr>
      </w:pPr>
      <w:r w:rsidRPr="00A8256C">
        <w:rPr>
          <w:sz w:val="24"/>
          <w:szCs w:val="24"/>
        </w:rPr>
        <w:t xml:space="preserve">(по данным Управления Министерства юстиции Российской Федерации </w:t>
      </w:r>
      <w:r w:rsidRPr="00A8256C">
        <w:rPr>
          <w:sz w:val="24"/>
          <w:szCs w:val="24"/>
        </w:rPr>
        <w:br/>
        <w:t>по Тверской области)</w:t>
      </w:r>
    </w:p>
    <w:p w:rsidR="0058574E" w:rsidRPr="00A8256C" w:rsidRDefault="0058574E" w:rsidP="0058574E">
      <w:pPr>
        <w:pStyle w:val="21"/>
        <w:ind w:firstLine="0"/>
        <w:jc w:val="center"/>
        <w:rPr>
          <w:b/>
          <w:bCs/>
          <w:iCs/>
        </w:rPr>
      </w:pPr>
      <w:r w:rsidRPr="00A8256C">
        <w:rPr>
          <w:b/>
          <w:bCs/>
          <w:iCs/>
        </w:rPr>
        <w:t>(000 1 08 07110 01 0000 110)</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8"/>
        <w:gridCol w:w="1417"/>
        <w:gridCol w:w="1701"/>
        <w:gridCol w:w="1701"/>
      </w:tblGrid>
      <w:tr w:rsidR="0058574E" w:rsidRPr="00A8256C" w:rsidTr="00E7317C">
        <w:tc>
          <w:tcPr>
            <w:tcW w:w="5388" w:type="dxa"/>
          </w:tcPr>
          <w:p w:rsidR="0058574E" w:rsidRPr="00A8256C" w:rsidRDefault="0058574E" w:rsidP="00E7317C">
            <w:pPr>
              <w:pStyle w:val="21"/>
              <w:ind w:firstLine="0"/>
              <w:jc w:val="center"/>
              <w:rPr>
                <w:sz w:val="20"/>
                <w:szCs w:val="20"/>
              </w:rPr>
            </w:pPr>
            <w:r w:rsidRPr="00A8256C">
              <w:rPr>
                <w:sz w:val="20"/>
                <w:szCs w:val="20"/>
              </w:rPr>
              <w:t>Наименование показателя</w:t>
            </w:r>
          </w:p>
        </w:tc>
        <w:tc>
          <w:tcPr>
            <w:tcW w:w="1417" w:type="dxa"/>
          </w:tcPr>
          <w:p w:rsidR="0058574E" w:rsidRPr="00A8256C" w:rsidRDefault="0058574E" w:rsidP="00E7317C">
            <w:pPr>
              <w:pStyle w:val="21"/>
              <w:ind w:left="720" w:hanging="720"/>
              <w:jc w:val="center"/>
              <w:rPr>
                <w:sz w:val="20"/>
                <w:szCs w:val="20"/>
              </w:rPr>
            </w:pPr>
            <w:r w:rsidRPr="00A8256C">
              <w:rPr>
                <w:sz w:val="20"/>
                <w:szCs w:val="20"/>
              </w:rPr>
              <w:t>20</w:t>
            </w:r>
            <w:r w:rsidRPr="00A8256C">
              <w:rPr>
                <w:sz w:val="20"/>
                <w:szCs w:val="20"/>
                <w:lang w:val="en-US"/>
              </w:rPr>
              <w:t>2</w:t>
            </w:r>
            <w:r w:rsidRPr="00A8256C">
              <w:rPr>
                <w:sz w:val="20"/>
                <w:szCs w:val="20"/>
              </w:rPr>
              <w:t>2 год</w:t>
            </w:r>
          </w:p>
        </w:tc>
        <w:tc>
          <w:tcPr>
            <w:tcW w:w="1701" w:type="dxa"/>
          </w:tcPr>
          <w:p w:rsidR="0058574E" w:rsidRPr="00A8256C" w:rsidRDefault="0058574E" w:rsidP="00E7317C">
            <w:pPr>
              <w:pStyle w:val="21"/>
              <w:ind w:left="720" w:hanging="720"/>
              <w:jc w:val="center"/>
              <w:rPr>
                <w:sz w:val="20"/>
                <w:szCs w:val="20"/>
              </w:rPr>
            </w:pPr>
            <w:r w:rsidRPr="00A8256C">
              <w:rPr>
                <w:sz w:val="20"/>
                <w:szCs w:val="20"/>
              </w:rPr>
              <w:t>2023 год</w:t>
            </w:r>
          </w:p>
          <w:p w:rsidR="0058574E" w:rsidRPr="00A8256C" w:rsidRDefault="0058574E" w:rsidP="00E7317C">
            <w:pPr>
              <w:pStyle w:val="21"/>
              <w:ind w:left="720"/>
              <w:jc w:val="center"/>
              <w:rPr>
                <w:sz w:val="20"/>
                <w:szCs w:val="20"/>
              </w:rPr>
            </w:pPr>
          </w:p>
        </w:tc>
        <w:tc>
          <w:tcPr>
            <w:tcW w:w="1701" w:type="dxa"/>
          </w:tcPr>
          <w:p w:rsidR="0058574E" w:rsidRPr="00A8256C" w:rsidRDefault="0058574E" w:rsidP="00E7317C">
            <w:pPr>
              <w:pStyle w:val="21"/>
              <w:ind w:left="720" w:hanging="720"/>
              <w:jc w:val="center"/>
              <w:rPr>
                <w:sz w:val="20"/>
                <w:szCs w:val="20"/>
              </w:rPr>
            </w:pPr>
            <w:r w:rsidRPr="00A8256C">
              <w:rPr>
                <w:sz w:val="20"/>
                <w:szCs w:val="20"/>
              </w:rPr>
              <w:lastRenderedPageBreak/>
              <w:t>2024 год</w:t>
            </w:r>
          </w:p>
        </w:tc>
      </w:tr>
      <w:tr w:rsidR="0058574E" w:rsidRPr="00A8256C" w:rsidTr="00E7317C">
        <w:trPr>
          <w:trHeight w:val="810"/>
        </w:trPr>
        <w:tc>
          <w:tcPr>
            <w:tcW w:w="5388" w:type="dxa"/>
          </w:tcPr>
          <w:p w:rsidR="0058574E" w:rsidRPr="00A8256C" w:rsidRDefault="0058574E" w:rsidP="005D6ACF">
            <w:pPr>
              <w:pStyle w:val="21"/>
              <w:numPr>
                <w:ilvl w:val="0"/>
                <w:numId w:val="9"/>
              </w:numPr>
              <w:ind w:left="0" w:firstLine="777"/>
              <w:jc w:val="left"/>
              <w:rPr>
                <w:sz w:val="20"/>
                <w:szCs w:val="20"/>
              </w:rPr>
            </w:pPr>
            <w:r w:rsidRPr="00A8256C">
              <w:rPr>
                <w:sz w:val="20"/>
                <w:szCs w:val="20"/>
              </w:rPr>
              <w:t>Количество обращений (как среднегодовое за 3 года, предшествующих первому году планируемого периода):</w:t>
            </w:r>
          </w:p>
          <w:p w:rsidR="0058574E" w:rsidRPr="00A8256C" w:rsidRDefault="0058574E" w:rsidP="00E7317C">
            <w:pPr>
              <w:pStyle w:val="21"/>
              <w:ind w:firstLine="777"/>
              <w:jc w:val="left"/>
              <w:rPr>
                <w:sz w:val="20"/>
                <w:szCs w:val="20"/>
              </w:rPr>
            </w:pPr>
            <w:r w:rsidRPr="00A8256C">
              <w:rPr>
                <w:sz w:val="20"/>
                <w:szCs w:val="20"/>
              </w:rPr>
              <w:t xml:space="preserve">- на регистрацию </w:t>
            </w:r>
          </w:p>
          <w:p w:rsidR="0058574E" w:rsidRPr="00A8256C" w:rsidRDefault="0058574E" w:rsidP="00E7317C">
            <w:pPr>
              <w:pStyle w:val="21"/>
              <w:ind w:firstLine="777"/>
              <w:jc w:val="left"/>
              <w:rPr>
                <w:sz w:val="20"/>
                <w:szCs w:val="20"/>
              </w:rPr>
            </w:pPr>
            <w:r w:rsidRPr="00A8256C">
              <w:rPr>
                <w:sz w:val="20"/>
                <w:szCs w:val="20"/>
              </w:rPr>
              <w:t>- на внесение изменений в учредительные документы (с округлением)</w:t>
            </w:r>
          </w:p>
        </w:tc>
        <w:tc>
          <w:tcPr>
            <w:tcW w:w="1417" w:type="dxa"/>
          </w:tcPr>
          <w:p w:rsidR="0058574E" w:rsidRPr="00A8256C" w:rsidRDefault="0058574E" w:rsidP="00E7317C">
            <w:pPr>
              <w:pStyle w:val="21"/>
              <w:ind w:left="180" w:firstLine="0"/>
              <w:jc w:val="center"/>
              <w:rPr>
                <w:sz w:val="20"/>
                <w:szCs w:val="20"/>
              </w:rPr>
            </w:pPr>
          </w:p>
          <w:p w:rsidR="0058574E" w:rsidRPr="00A8256C" w:rsidRDefault="0058574E" w:rsidP="00E7317C">
            <w:pPr>
              <w:pStyle w:val="21"/>
              <w:ind w:left="180" w:firstLine="0"/>
              <w:jc w:val="center"/>
              <w:rPr>
                <w:sz w:val="20"/>
                <w:szCs w:val="20"/>
              </w:rPr>
            </w:pPr>
          </w:p>
          <w:p w:rsidR="0058574E" w:rsidRPr="00A8256C" w:rsidRDefault="0058574E" w:rsidP="00E7317C">
            <w:pPr>
              <w:pStyle w:val="21"/>
              <w:ind w:left="180" w:firstLine="0"/>
              <w:jc w:val="center"/>
              <w:rPr>
                <w:sz w:val="20"/>
                <w:szCs w:val="20"/>
              </w:rPr>
            </w:pPr>
          </w:p>
          <w:p w:rsidR="0058574E" w:rsidRPr="00A8256C" w:rsidRDefault="0058574E" w:rsidP="00E7317C">
            <w:pPr>
              <w:pStyle w:val="21"/>
              <w:ind w:firstLine="0"/>
              <w:jc w:val="center"/>
              <w:rPr>
                <w:sz w:val="20"/>
                <w:szCs w:val="20"/>
              </w:rPr>
            </w:pPr>
            <w:r w:rsidRPr="00A8256C">
              <w:rPr>
                <w:sz w:val="20"/>
                <w:szCs w:val="20"/>
                <w:lang w:val="en-US"/>
              </w:rPr>
              <w:t>2</w:t>
            </w:r>
            <w:r w:rsidRPr="00A8256C">
              <w:rPr>
                <w:sz w:val="20"/>
                <w:szCs w:val="20"/>
              </w:rPr>
              <w:t>1</w:t>
            </w:r>
          </w:p>
          <w:p w:rsidR="0058574E" w:rsidRPr="00A8256C" w:rsidRDefault="0058574E" w:rsidP="00E7317C">
            <w:pPr>
              <w:pStyle w:val="21"/>
              <w:ind w:firstLine="0"/>
              <w:jc w:val="center"/>
              <w:rPr>
                <w:sz w:val="20"/>
                <w:szCs w:val="20"/>
              </w:rPr>
            </w:pPr>
            <w:r w:rsidRPr="00A8256C">
              <w:rPr>
                <w:sz w:val="20"/>
                <w:szCs w:val="20"/>
              </w:rPr>
              <w:t>17</w:t>
            </w:r>
          </w:p>
        </w:tc>
        <w:tc>
          <w:tcPr>
            <w:tcW w:w="1701" w:type="dxa"/>
          </w:tcPr>
          <w:p w:rsidR="0058574E" w:rsidRPr="00A8256C" w:rsidRDefault="0058574E" w:rsidP="00E7317C">
            <w:pPr>
              <w:pStyle w:val="21"/>
              <w:ind w:firstLine="0"/>
              <w:rPr>
                <w:sz w:val="20"/>
                <w:szCs w:val="20"/>
              </w:rPr>
            </w:pPr>
          </w:p>
          <w:p w:rsidR="0058574E" w:rsidRPr="00A8256C" w:rsidRDefault="0058574E" w:rsidP="00E7317C">
            <w:pPr>
              <w:pStyle w:val="21"/>
              <w:ind w:firstLine="0"/>
              <w:rPr>
                <w:sz w:val="20"/>
                <w:szCs w:val="20"/>
              </w:rPr>
            </w:pPr>
          </w:p>
          <w:p w:rsidR="0058574E" w:rsidRPr="00A8256C" w:rsidRDefault="0058574E" w:rsidP="00E7317C">
            <w:pPr>
              <w:pStyle w:val="21"/>
              <w:ind w:firstLine="0"/>
              <w:rPr>
                <w:sz w:val="20"/>
                <w:szCs w:val="20"/>
              </w:rPr>
            </w:pPr>
          </w:p>
          <w:p w:rsidR="0058574E" w:rsidRPr="00A8256C" w:rsidRDefault="0058574E" w:rsidP="00E7317C">
            <w:pPr>
              <w:pStyle w:val="21"/>
              <w:ind w:firstLine="0"/>
              <w:jc w:val="center"/>
              <w:rPr>
                <w:sz w:val="20"/>
                <w:szCs w:val="20"/>
              </w:rPr>
            </w:pPr>
            <w:r w:rsidRPr="00A8256C">
              <w:rPr>
                <w:sz w:val="20"/>
                <w:szCs w:val="20"/>
                <w:lang w:val="en-US"/>
              </w:rPr>
              <w:t>2</w:t>
            </w:r>
            <w:r w:rsidRPr="00A8256C">
              <w:rPr>
                <w:sz w:val="20"/>
                <w:szCs w:val="20"/>
              </w:rPr>
              <w:t>1</w:t>
            </w:r>
          </w:p>
          <w:p w:rsidR="0058574E" w:rsidRPr="00A8256C" w:rsidRDefault="0058574E" w:rsidP="00E7317C">
            <w:pPr>
              <w:pStyle w:val="21"/>
              <w:ind w:firstLine="0"/>
              <w:jc w:val="center"/>
              <w:rPr>
                <w:sz w:val="20"/>
                <w:szCs w:val="20"/>
              </w:rPr>
            </w:pPr>
            <w:r w:rsidRPr="00A8256C">
              <w:rPr>
                <w:sz w:val="20"/>
                <w:szCs w:val="20"/>
              </w:rPr>
              <w:t>17</w:t>
            </w:r>
          </w:p>
        </w:tc>
        <w:tc>
          <w:tcPr>
            <w:tcW w:w="1701" w:type="dxa"/>
          </w:tcPr>
          <w:p w:rsidR="0058574E" w:rsidRPr="00A8256C" w:rsidRDefault="0058574E" w:rsidP="00E7317C">
            <w:pPr>
              <w:pStyle w:val="21"/>
              <w:ind w:firstLine="0"/>
              <w:rPr>
                <w:sz w:val="20"/>
                <w:szCs w:val="20"/>
              </w:rPr>
            </w:pPr>
          </w:p>
          <w:p w:rsidR="0058574E" w:rsidRPr="00A8256C" w:rsidRDefault="0058574E" w:rsidP="00E7317C">
            <w:pPr>
              <w:pStyle w:val="21"/>
              <w:ind w:firstLine="0"/>
              <w:rPr>
                <w:sz w:val="20"/>
                <w:szCs w:val="20"/>
              </w:rPr>
            </w:pPr>
          </w:p>
          <w:p w:rsidR="0058574E" w:rsidRPr="00A8256C" w:rsidRDefault="0058574E" w:rsidP="00E7317C">
            <w:pPr>
              <w:pStyle w:val="21"/>
              <w:ind w:firstLine="0"/>
              <w:rPr>
                <w:sz w:val="20"/>
                <w:szCs w:val="20"/>
              </w:rPr>
            </w:pPr>
          </w:p>
          <w:p w:rsidR="0058574E" w:rsidRPr="00A8256C" w:rsidRDefault="0058574E" w:rsidP="00E7317C">
            <w:pPr>
              <w:pStyle w:val="21"/>
              <w:ind w:firstLine="0"/>
              <w:jc w:val="center"/>
              <w:rPr>
                <w:sz w:val="20"/>
                <w:szCs w:val="20"/>
              </w:rPr>
            </w:pPr>
            <w:r w:rsidRPr="00A8256C">
              <w:rPr>
                <w:sz w:val="20"/>
                <w:szCs w:val="20"/>
                <w:lang w:val="en-US"/>
              </w:rPr>
              <w:t>2</w:t>
            </w:r>
            <w:r w:rsidRPr="00A8256C">
              <w:rPr>
                <w:sz w:val="20"/>
                <w:szCs w:val="20"/>
              </w:rPr>
              <w:t>1</w:t>
            </w:r>
          </w:p>
          <w:p w:rsidR="0058574E" w:rsidRPr="00A8256C" w:rsidRDefault="0058574E" w:rsidP="00E7317C">
            <w:pPr>
              <w:pStyle w:val="21"/>
              <w:ind w:firstLine="0"/>
              <w:jc w:val="center"/>
              <w:rPr>
                <w:sz w:val="20"/>
                <w:szCs w:val="20"/>
              </w:rPr>
            </w:pPr>
            <w:r w:rsidRPr="00A8256C">
              <w:rPr>
                <w:sz w:val="20"/>
                <w:szCs w:val="20"/>
              </w:rPr>
              <w:t>17</w:t>
            </w:r>
          </w:p>
        </w:tc>
      </w:tr>
      <w:tr w:rsidR="0058574E" w:rsidRPr="00A8256C" w:rsidTr="00E7317C">
        <w:tc>
          <w:tcPr>
            <w:tcW w:w="5388" w:type="dxa"/>
            <w:tcBorders>
              <w:bottom w:val="nil"/>
            </w:tcBorders>
          </w:tcPr>
          <w:p w:rsidR="0058574E" w:rsidRPr="00A8256C" w:rsidRDefault="0058574E" w:rsidP="005D6ACF">
            <w:pPr>
              <w:pStyle w:val="21"/>
              <w:numPr>
                <w:ilvl w:val="0"/>
                <w:numId w:val="9"/>
              </w:numPr>
              <w:ind w:left="0" w:firstLine="777"/>
              <w:jc w:val="left"/>
              <w:rPr>
                <w:sz w:val="20"/>
                <w:szCs w:val="20"/>
              </w:rPr>
            </w:pPr>
            <w:r w:rsidRPr="00A8256C">
              <w:rPr>
                <w:sz w:val="20"/>
                <w:szCs w:val="20"/>
              </w:rPr>
              <w:t>Размер госпошлины, тыс. руб.:</w:t>
            </w:r>
          </w:p>
          <w:p w:rsidR="0058574E" w:rsidRPr="00A8256C" w:rsidRDefault="0058574E" w:rsidP="00E7317C">
            <w:pPr>
              <w:pStyle w:val="21"/>
              <w:ind w:firstLine="777"/>
              <w:jc w:val="left"/>
              <w:rPr>
                <w:sz w:val="20"/>
                <w:szCs w:val="20"/>
              </w:rPr>
            </w:pPr>
            <w:r w:rsidRPr="00A8256C">
              <w:rPr>
                <w:sz w:val="20"/>
                <w:szCs w:val="20"/>
              </w:rPr>
              <w:t>- за регистрацию</w:t>
            </w:r>
          </w:p>
          <w:p w:rsidR="0058574E" w:rsidRPr="00A8256C" w:rsidRDefault="0058574E" w:rsidP="00E7317C">
            <w:pPr>
              <w:pStyle w:val="21"/>
              <w:ind w:firstLine="777"/>
              <w:jc w:val="left"/>
              <w:rPr>
                <w:sz w:val="20"/>
                <w:szCs w:val="20"/>
              </w:rPr>
            </w:pPr>
            <w:r w:rsidRPr="00A8256C">
              <w:rPr>
                <w:sz w:val="20"/>
                <w:szCs w:val="20"/>
              </w:rPr>
              <w:t>- за внесение изменений в учредительные документы</w:t>
            </w:r>
          </w:p>
        </w:tc>
        <w:tc>
          <w:tcPr>
            <w:tcW w:w="1417" w:type="dxa"/>
            <w:tcBorders>
              <w:bottom w:val="nil"/>
            </w:tcBorders>
          </w:tcPr>
          <w:p w:rsidR="0058574E" w:rsidRPr="00A8256C" w:rsidRDefault="0058574E" w:rsidP="00E7317C">
            <w:pPr>
              <w:pStyle w:val="21"/>
              <w:ind w:firstLine="0"/>
              <w:jc w:val="center"/>
              <w:rPr>
                <w:sz w:val="20"/>
                <w:szCs w:val="20"/>
              </w:rPr>
            </w:pPr>
          </w:p>
          <w:p w:rsidR="0058574E" w:rsidRPr="00A8256C" w:rsidRDefault="0058574E" w:rsidP="00E7317C">
            <w:pPr>
              <w:pStyle w:val="21"/>
              <w:ind w:firstLine="0"/>
              <w:jc w:val="center"/>
              <w:rPr>
                <w:sz w:val="20"/>
                <w:szCs w:val="20"/>
              </w:rPr>
            </w:pPr>
            <w:r w:rsidRPr="00A8256C">
              <w:rPr>
                <w:sz w:val="20"/>
                <w:szCs w:val="20"/>
              </w:rPr>
              <w:t>4,0</w:t>
            </w:r>
          </w:p>
          <w:p w:rsidR="0058574E" w:rsidRPr="00A8256C" w:rsidRDefault="0058574E" w:rsidP="00E7317C">
            <w:pPr>
              <w:pStyle w:val="21"/>
              <w:ind w:firstLine="0"/>
              <w:jc w:val="center"/>
              <w:rPr>
                <w:sz w:val="20"/>
                <w:szCs w:val="20"/>
              </w:rPr>
            </w:pPr>
            <w:r w:rsidRPr="00A8256C">
              <w:rPr>
                <w:sz w:val="20"/>
                <w:szCs w:val="20"/>
              </w:rPr>
              <w:t>0,8</w:t>
            </w:r>
          </w:p>
          <w:p w:rsidR="0058574E" w:rsidRPr="00A8256C" w:rsidRDefault="0058574E" w:rsidP="00E7317C">
            <w:pPr>
              <w:pStyle w:val="21"/>
              <w:ind w:left="180" w:firstLine="0"/>
              <w:jc w:val="center"/>
              <w:rPr>
                <w:sz w:val="20"/>
                <w:szCs w:val="20"/>
              </w:rPr>
            </w:pPr>
          </w:p>
          <w:p w:rsidR="0058574E" w:rsidRPr="00A8256C" w:rsidRDefault="0058574E" w:rsidP="00E7317C">
            <w:pPr>
              <w:pStyle w:val="21"/>
              <w:ind w:left="180" w:firstLine="0"/>
              <w:jc w:val="center"/>
              <w:rPr>
                <w:sz w:val="20"/>
                <w:szCs w:val="20"/>
              </w:rPr>
            </w:pPr>
          </w:p>
        </w:tc>
        <w:tc>
          <w:tcPr>
            <w:tcW w:w="1701" w:type="dxa"/>
            <w:tcBorders>
              <w:bottom w:val="nil"/>
            </w:tcBorders>
          </w:tcPr>
          <w:p w:rsidR="0058574E" w:rsidRPr="00A8256C" w:rsidRDefault="0058574E" w:rsidP="00E7317C">
            <w:pPr>
              <w:pStyle w:val="21"/>
              <w:ind w:left="180" w:firstLine="0"/>
              <w:jc w:val="center"/>
              <w:rPr>
                <w:sz w:val="20"/>
                <w:szCs w:val="20"/>
              </w:rPr>
            </w:pPr>
          </w:p>
          <w:p w:rsidR="0058574E" w:rsidRPr="00A8256C" w:rsidRDefault="0058574E" w:rsidP="00E7317C">
            <w:pPr>
              <w:pStyle w:val="21"/>
              <w:ind w:firstLine="0"/>
              <w:jc w:val="center"/>
              <w:rPr>
                <w:sz w:val="20"/>
                <w:szCs w:val="20"/>
              </w:rPr>
            </w:pPr>
            <w:r w:rsidRPr="00A8256C">
              <w:rPr>
                <w:sz w:val="20"/>
                <w:szCs w:val="20"/>
              </w:rPr>
              <w:t>4,0</w:t>
            </w:r>
          </w:p>
          <w:p w:rsidR="0058574E" w:rsidRPr="00A8256C" w:rsidRDefault="0058574E" w:rsidP="00E7317C">
            <w:pPr>
              <w:pStyle w:val="21"/>
              <w:ind w:firstLine="0"/>
              <w:jc w:val="center"/>
              <w:rPr>
                <w:sz w:val="20"/>
                <w:szCs w:val="20"/>
              </w:rPr>
            </w:pPr>
            <w:r w:rsidRPr="00A8256C">
              <w:rPr>
                <w:sz w:val="20"/>
                <w:szCs w:val="20"/>
              </w:rPr>
              <w:t>0,8</w:t>
            </w:r>
          </w:p>
          <w:p w:rsidR="0058574E" w:rsidRPr="00A8256C" w:rsidRDefault="0058574E" w:rsidP="00E7317C">
            <w:pPr>
              <w:pStyle w:val="21"/>
              <w:ind w:left="180" w:firstLine="0"/>
              <w:jc w:val="center"/>
              <w:rPr>
                <w:sz w:val="20"/>
                <w:szCs w:val="20"/>
              </w:rPr>
            </w:pPr>
          </w:p>
          <w:p w:rsidR="0058574E" w:rsidRPr="00A8256C" w:rsidRDefault="0058574E" w:rsidP="00E7317C">
            <w:pPr>
              <w:pStyle w:val="21"/>
              <w:ind w:left="180" w:firstLine="0"/>
              <w:jc w:val="center"/>
              <w:rPr>
                <w:sz w:val="20"/>
                <w:szCs w:val="20"/>
              </w:rPr>
            </w:pPr>
          </w:p>
        </w:tc>
        <w:tc>
          <w:tcPr>
            <w:tcW w:w="1701" w:type="dxa"/>
            <w:tcBorders>
              <w:bottom w:val="nil"/>
            </w:tcBorders>
          </w:tcPr>
          <w:p w:rsidR="0058574E" w:rsidRPr="00A8256C" w:rsidRDefault="0058574E" w:rsidP="00E7317C">
            <w:pPr>
              <w:pStyle w:val="21"/>
              <w:ind w:left="180" w:firstLine="0"/>
              <w:jc w:val="center"/>
              <w:rPr>
                <w:sz w:val="20"/>
                <w:szCs w:val="20"/>
              </w:rPr>
            </w:pPr>
          </w:p>
          <w:p w:rsidR="0058574E" w:rsidRPr="00A8256C" w:rsidRDefault="0058574E" w:rsidP="00E7317C">
            <w:pPr>
              <w:pStyle w:val="21"/>
              <w:ind w:firstLine="0"/>
              <w:jc w:val="center"/>
              <w:rPr>
                <w:sz w:val="20"/>
                <w:szCs w:val="20"/>
              </w:rPr>
            </w:pPr>
            <w:r w:rsidRPr="00A8256C">
              <w:rPr>
                <w:sz w:val="20"/>
                <w:szCs w:val="20"/>
              </w:rPr>
              <w:t>4,0</w:t>
            </w:r>
          </w:p>
          <w:p w:rsidR="0058574E" w:rsidRPr="00A8256C" w:rsidRDefault="0058574E" w:rsidP="00E7317C">
            <w:pPr>
              <w:pStyle w:val="21"/>
              <w:ind w:firstLine="0"/>
              <w:jc w:val="center"/>
              <w:rPr>
                <w:sz w:val="20"/>
                <w:szCs w:val="20"/>
              </w:rPr>
            </w:pPr>
            <w:r w:rsidRPr="00A8256C">
              <w:rPr>
                <w:sz w:val="20"/>
                <w:szCs w:val="20"/>
              </w:rPr>
              <w:t>0,8</w:t>
            </w:r>
          </w:p>
          <w:p w:rsidR="0058574E" w:rsidRPr="00A8256C" w:rsidRDefault="0058574E" w:rsidP="00E7317C">
            <w:pPr>
              <w:pStyle w:val="21"/>
              <w:ind w:left="180" w:firstLine="0"/>
              <w:jc w:val="center"/>
              <w:rPr>
                <w:sz w:val="20"/>
                <w:szCs w:val="20"/>
              </w:rPr>
            </w:pPr>
          </w:p>
          <w:p w:rsidR="0058574E" w:rsidRPr="00A8256C" w:rsidRDefault="0058574E" w:rsidP="00E7317C">
            <w:pPr>
              <w:pStyle w:val="21"/>
              <w:ind w:left="180" w:firstLine="0"/>
              <w:jc w:val="center"/>
              <w:rPr>
                <w:sz w:val="20"/>
                <w:szCs w:val="20"/>
              </w:rPr>
            </w:pPr>
          </w:p>
        </w:tc>
      </w:tr>
      <w:tr w:rsidR="0058574E" w:rsidRPr="00A8256C" w:rsidTr="00E7317C">
        <w:tc>
          <w:tcPr>
            <w:tcW w:w="5388" w:type="dxa"/>
            <w:tcBorders>
              <w:top w:val="nil"/>
            </w:tcBorders>
          </w:tcPr>
          <w:p w:rsidR="0058574E" w:rsidRPr="00A8256C" w:rsidRDefault="0058574E" w:rsidP="005D6ACF">
            <w:pPr>
              <w:pStyle w:val="21"/>
              <w:numPr>
                <w:ilvl w:val="0"/>
                <w:numId w:val="9"/>
              </w:numPr>
              <w:jc w:val="left"/>
              <w:rPr>
                <w:sz w:val="20"/>
                <w:szCs w:val="20"/>
              </w:rPr>
            </w:pPr>
            <w:r w:rsidRPr="00A8256C">
              <w:rPr>
                <w:sz w:val="20"/>
                <w:szCs w:val="20"/>
              </w:rPr>
              <w:t>Государственная пошлина - всего, тыс. руб.,</w:t>
            </w:r>
          </w:p>
          <w:p w:rsidR="0058574E" w:rsidRPr="00A8256C" w:rsidRDefault="0058574E" w:rsidP="00E7317C">
            <w:pPr>
              <w:pStyle w:val="21"/>
              <w:ind w:firstLine="777"/>
              <w:jc w:val="left"/>
              <w:rPr>
                <w:sz w:val="20"/>
                <w:szCs w:val="20"/>
              </w:rPr>
            </w:pPr>
            <w:r w:rsidRPr="00A8256C">
              <w:rPr>
                <w:sz w:val="20"/>
                <w:szCs w:val="20"/>
              </w:rPr>
              <w:t>в том числе:</w:t>
            </w:r>
          </w:p>
          <w:p w:rsidR="0058574E" w:rsidRPr="00A8256C" w:rsidRDefault="0058574E" w:rsidP="00E7317C">
            <w:pPr>
              <w:pStyle w:val="21"/>
              <w:ind w:firstLine="777"/>
              <w:jc w:val="left"/>
              <w:rPr>
                <w:sz w:val="20"/>
                <w:szCs w:val="20"/>
              </w:rPr>
            </w:pPr>
            <w:r w:rsidRPr="00A8256C">
              <w:rPr>
                <w:sz w:val="20"/>
                <w:szCs w:val="20"/>
              </w:rPr>
              <w:t>- за регистрацию</w:t>
            </w:r>
          </w:p>
          <w:p w:rsidR="0058574E" w:rsidRPr="00A8256C" w:rsidRDefault="0058574E" w:rsidP="00E7317C">
            <w:pPr>
              <w:pStyle w:val="21"/>
              <w:ind w:firstLine="777"/>
              <w:jc w:val="left"/>
              <w:rPr>
                <w:sz w:val="20"/>
                <w:szCs w:val="20"/>
              </w:rPr>
            </w:pPr>
            <w:r w:rsidRPr="00A8256C">
              <w:rPr>
                <w:sz w:val="20"/>
                <w:szCs w:val="20"/>
              </w:rPr>
              <w:t>- за внесение изменений в учредительные документы (с округлением)</w:t>
            </w:r>
          </w:p>
          <w:p w:rsidR="0058574E" w:rsidRPr="00A8256C" w:rsidRDefault="0058574E" w:rsidP="005D6ACF">
            <w:pPr>
              <w:pStyle w:val="21"/>
              <w:numPr>
                <w:ilvl w:val="0"/>
                <w:numId w:val="9"/>
              </w:numPr>
              <w:jc w:val="left"/>
              <w:rPr>
                <w:sz w:val="20"/>
                <w:szCs w:val="20"/>
              </w:rPr>
            </w:pPr>
            <w:r w:rsidRPr="00A8256C">
              <w:rPr>
                <w:sz w:val="20"/>
                <w:szCs w:val="20"/>
              </w:rPr>
              <w:t>Корректирующая сумма</w:t>
            </w:r>
          </w:p>
        </w:tc>
        <w:tc>
          <w:tcPr>
            <w:tcW w:w="1417" w:type="dxa"/>
            <w:tcBorders>
              <w:top w:val="nil"/>
            </w:tcBorders>
          </w:tcPr>
          <w:p w:rsidR="0058574E" w:rsidRPr="00A8256C" w:rsidRDefault="0058574E" w:rsidP="00E7317C">
            <w:pPr>
              <w:pStyle w:val="21"/>
              <w:ind w:firstLine="0"/>
              <w:jc w:val="center"/>
              <w:rPr>
                <w:sz w:val="20"/>
                <w:szCs w:val="20"/>
              </w:rPr>
            </w:pPr>
            <w:r w:rsidRPr="00A8256C">
              <w:rPr>
                <w:sz w:val="20"/>
                <w:szCs w:val="20"/>
              </w:rPr>
              <w:t>132,4</w:t>
            </w:r>
          </w:p>
          <w:p w:rsidR="0058574E" w:rsidRPr="00A8256C" w:rsidRDefault="0058574E" w:rsidP="00E7317C">
            <w:pPr>
              <w:pStyle w:val="21"/>
              <w:ind w:firstLine="0"/>
              <w:rPr>
                <w:sz w:val="20"/>
                <w:szCs w:val="20"/>
              </w:rPr>
            </w:pPr>
          </w:p>
          <w:p w:rsidR="0058574E" w:rsidRPr="00A8256C" w:rsidRDefault="0058574E" w:rsidP="00E7317C">
            <w:pPr>
              <w:jc w:val="center"/>
              <w:rPr>
                <w:sz w:val="20"/>
                <w:szCs w:val="20"/>
              </w:rPr>
            </w:pPr>
            <w:r w:rsidRPr="00A8256C">
              <w:rPr>
                <w:sz w:val="20"/>
                <w:szCs w:val="20"/>
              </w:rPr>
              <w:t>84,0</w:t>
            </w:r>
          </w:p>
          <w:p w:rsidR="0058574E" w:rsidRPr="00A8256C" w:rsidRDefault="0058574E" w:rsidP="00E7317C">
            <w:pPr>
              <w:jc w:val="center"/>
              <w:rPr>
                <w:sz w:val="20"/>
                <w:szCs w:val="20"/>
              </w:rPr>
            </w:pPr>
            <w:r w:rsidRPr="00A8256C">
              <w:rPr>
                <w:sz w:val="20"/>
                <w:szCs w:val="20"/>
              </w:rPr>
              <w:t>13,6</w:t>
            </w:r>
          </w:p>
          <w:p w:rsidR="0058574E" w:rsidRPr="00A8256C" w:rsidRDefault="0058574E" w:rsidP="00E7317C">
            <w:pPr>
              <w:jc w:val="center"/>
              <w:rPr>
                <w:sz w:val="20"/>
                <w:szCs w:val="20"/>
              </w:rPr>
            </w:pPr>
          </w:p>
          <w:p w:rsidR="0058574E" w:rsidRPr="00A8256C" w:rsidRDefault="0058574E" w:rsidP="00E7317C">
            <w:pPr>
              <w:jc w:val="center"/>
              <w:rPr>
                <w:sz w:val="20"/>
                <w:szCs w:val="20"/>
              </w:rPr>
            </w:pPr>
            <w:r w:rsidRPr="00A8256C">
              <w:rPr>
                <w:sz w:val="20"/>
                <w:szCs w:val="20"/>
              </w:rPr>
              <w:t>34,8</w:t>
            </w:r>
          </w:p>
        </w:tc>
        <w:tc>
          <w:tcPr>
            <w:tcW w:w="1701" w:type="dxa"/>
            <w:tcBorders>
              <w:top w:val="nil"/>
            </w:tcBorders>
          </w:tcPr>
          <w:p w:rsidR="0058574E" w:rsidRPr="00A8256C" w:rsidRDefault="0058574E" w:rsidP="00E7317C">
            <w:pPr>
              <w:pStyle w:val="21"/>
              <w:ind w:firstLine="0"/>
              <w:jc w:val="center"/>
              <w:rPr>
                <w:sz w:val="20"/>
                <w:szCs w:val="20"/>
              </w:rPr>
            </w:pPr>
            <w:r w:rsidRPr="00A8256C">
              <w:rPr>
                <w:sz w:val="20"/>
                <w:szCs w:val="20"/>
              </w:rPr>
              <w:t>132,4</w:t>
            </w:r>
          </w:p>
          <w:p w:rsidR="0058574E" w:rsidRPr="00A8256C" w:rsidRDefault="0058574E" w:rsidP="00E7317C">
            <w:pPr>
              <w:pStyle w:val="21"/>
              <w:ind w:firstLine="0"/>
              <w:rPr>
                <w:sz w:val="20"/>
                <w:szCs w:val="20"/>
              </w:rPr>
            </w:pPr>
          </w:p>
          <w:p w:rsidR="0058574E" w:rsidRPr="00A8256C" w:rsidRDefault="0058574E" w:rsidP="00E7317C">
            <w:pPr>
              <w:jc w:val="center"/>
              <w:rPr>
                <w:sz w:val="20"/>
                <w:szCs w:val="20"/>
              </w:rPr>
            </w:pPr>
            <w:r w:rsidRPr="00A8256C">
              <w:rPr>
                <w:sz w:val="20"/>
                <w:szCs w:val="20"/>
              </w:rPr>
              <w:t>84,0</w:t>
            </w:r>
          </w:p>
          <w:p w:rsidR="0058574E" w:rsidRPr="00A8256C" w:rsidRDefault="0058574E" w:rsidP="00E7317C">
            <w:pPr>
              <w:jc w:val="center"/>
              <w:rPr>
                <w:sz w:val="20"/>
                <w:szCs w:val="20"/>
              </w:rPr>
            </w:pPr>
            <w:r w:rsidRPr="00A8256C">
              <w:rPr>
                <w:sz w:val="20"/>
                <w:szCs w:val="20"/>
              </w:rPr>
              <w:t>13,6</w:t>
            </w:r>
          </w:p>
          <w:p w:rsidR="0058574E" w:rsidRPr="00A8256C" w:rsidRDefault="0058574E" w:rsidP="00E7317C">
            <w:pPr>
              <w:jc w:val="center"/>
              <w:rPr>
                <w:sz w:val="20"/>
                <w:szCs w:val="20"/>
              </w:rPr>
            </w:pPr>
          </w:p>
          <w:p w:rsidR="0058574E" w:rsidRPr="00A8256C" w:rsidRDefault="0058574E" w:rsidP="00E7317C">
            <w:pPr>
              <w:pStyle w:val="21"/>
              <w:ind w:left="180" w:firstLine="0"/>
              <w:jc w:val="center"/>
              <w:rPr>
                <w:sz w:val="20"/>
                <w:szCs w:val="20"/>
              </w:rPr>
            </w:pPr>
            <w:r w:rsidRPr="00A8256C">
              <w:rPr>
                <w:sz w:val="20"/>
                <w:szCs w:val="20"/>
              </w:rPr>
              <w:t>34,8</w:t>
            </w:r>
          </w:p>
        </w:tc>
        <w:tc>
          <w:tcPr>
            <w:tcW w:w="1701" w:type="dxa"/>
            <w:tcBorders>
              <w:top w:val="nil"/>
            </w:tcBorders>
          </w:tcPr>
          <w:p w:rsidR="0058574E" w:rsidRPr="00A8256C" w:rsidRDefault="0058574E" w:rsidP="00E7317C">
            <w:pPr>
              <w:pStyle w:val="21"/>
              <w:ind w:firstLine="0"/>
              <w:jc w:val="center"/>
              <w:rPr>
                <w:sz w:val="20"/>
                <w:szCs w:val="20"/>
              </w:rPr>
            </w:pPr>
            <w:r w:rsidRPr="00A8256C">
              <w:rPr>
                <w:sz w:val="20"/>
                <w:szCs w:val="20"/>
              </w:rPr>
              <w:t>132,4</w:t>
            </w:r>
          </w:p>
          <w:p w:rsidR="0058574E" w:rsidRPr="00A8256C" w:rsidRDefault="0058574E" w:rsidP="00E7317C">
            <w:pPr>
              <w:pStyle w:val="21"/>
              <w:ind w:firstLine="0"/>
              <w:rPr>
                <w:sz w:val="20"/>
                <w:szCs w:val="20"/>
              </w:rPr>
            </w:pPr>
          </w:p>
          <w:p w:rsidR="0058574E" w:rsidRPr="00A8256C" w:rsidRDefault="0058574E" w:rsidP="00E7317C">
            <w:pPr>
              <w:jc w:val="center"/>
              <w:rPr>
                <w:sz w:val="20"/>
                <w:szCs w:val="20"/>
              </w:rPr>
            </w:pPr>
            <w:r w:rsidRPr="00A8256C">
              <w:rPr>
                <w:sz w:val="20"/>
                <w:szCs w:val="20"/>
              </w:rPr>
              <w:t>84,0</w:t>
            </w:r>
          </w:p>
          <w:p w:rsidR="0058574E" w:rsidRPr="00A8256C" w:rsidRDefault="0058574E" w:rsidP="00E7317C">
            <w:pPr>
              <w:jc w:val="center"/>
              <w:rPr>
                <w:sz w:val="20"/>
                <w:szCs w:val="20"/>
              </w:rPr>
            </w:pPr>
            <w:r w:rsidRPr="00A8256C">
              <w:rPr>
                <w:sz w:val="20"/>
                <w:szCs w:val="20"/>
              </w:rPr>
              <w:t>13,6</w:t>
            </w:r>
          </w:p>
          <w:p w:rsidR="0058574E" w:rsidRPr="00A8256C" w:rsidRDefault="0058574E" w:rsidP="00E7317C">
            <w:pPr>
              <w:jc w:val="center"/>
              <w:rPr>
                <w:sz w:val="20"/>
                <w:szCs w:val="20"/>
              </w:rPr>
            </w:pPr>
          </w:p>
          <w:p w:rsidR="0058574E" w:rsidRPr="00A8256C" w:rsidRDefault="0058574E" w:rsidP="00E7317C">
            <w:pPr>
              <w:pStyle w:val="21"/>
              <w:ind w:left="180" w:firstLine="0"/>
              <w:jc w:val="center"/>
              <w:rPr>
                <w:sz w:val="20"/>
                <w:szCs w:val="20"/>
              </w:rPr>
            </w:pPr>
            <w:r w:rsidRPr="00A8256C">
              <w:rPr>
                <w:sz w:val="20"/>
                <w:szCs w:val="20"/>
              </w:rPr>
              <w:t>34,8</w:t>
            </w:r>
          </w:p>
        </w:tc>
      </w:tr>
    </w:tbl>
    <w:p w:rsidR="0058574E" w:rsidRPr="000E2B94" w:rsidRDefault="0058574E" w:rsidP="0058574E">
      <w:pPr>
        <w:pStyle w:val="21"/>
        <w:ind w:firstLine="0"/>
        <w:rPr>
          <w:b/>
        </w:rPr>
      </w:pPr>
    </w:p>
    <w:p w:rsidR="0058574E" w:rsidRPr="000E2B94" w:rsidRDefault="0058574E" w:rsidP="0058574E">
      <w:pPr>
        <w:pStyle w:val="21"/>
        <w:ind w:firstLine="0"/>
        <w:jc w:val="center"/>
        <w:rPr>
          <w:b/>
        </w:rPr>
      </w:pPr>
    </w:p>
    <w:p w:rsidR="0058574E" w:rsidRPr="000E2B94" w:rsidRDefault="0058574E" w:rsidP="0058574E">
      <w:pPr>
        <w:pStyle w:val="21"/>
        <w:ind w:firstLine="0"/>
        <w:jc w:val="center"/>
        <w:rPr>
          <w:b/>
        </w:rPr>
      </w:pPr>
    </w:p>
    <w:p w:rsidR="0058574E" w:rsidRPr="000E2B94" w:rsidRDefault="0058574E" w:rsidP="0058574E">
      <w:pPr>
        <w:pStyle w:val="21"/>
        <w:ind w:firstLine="0"/>
        <w:jc w:val="center"/>
        <w:rPr>
          <w:b/>
        </w:rPr>
      </w:pPr>
    </w:p>
    <w:p w:rsidR="0058574E" w:rsidRPr="000E2B94" w:rsidRDefault="0058574E" w:rsidP="0058574E">
      <w:pPr>
        <w:pStyle w:val="21"/>
        <w:ind w:firstLine="0"/>
        <w:jc w:val="center"/>
        <w:rPr>
          <w:b/>
        </w:rPr>
      </w:pPr>
    </w:p>
    <w:p w:rsidR="0058574E" w:rsidRPr="000E2B94" w:rsidRDefault="0058574E" w:rsidP="0058574E">
      <w:pPr>
        <w:pStyle w:val="21"/>
        <w:ind w:firstLine="0"/>
        <w:jc w:val="center"/>
        <w:rPr>
          <w:b/>
        </w:rPr>
      </w:pPr>
    </w:p>
    <w:p w:rsidR="0058574E" w:rsidRPr="000E2B94" w:rsidRDefault="0058574E" w:rsidP="0058574E">
      <w:pPr>
        <w:pStyle w:val="21"/>
        <w:ind w:firstLine="0"/>
        <w:jc w:val="center"/>
        <w:rPr>
          <w:b/>
        </w:rPr>
      </w:pPr>
    </w:p>
    <w:p w:rsidR="0058574E" w:rsidRPr="00247ADB" w:rsidRDefault="0058574E" w:rsidP="0058574E">
      <w:pPr>
        <w:pStyle w:val="21"/>
        <w:ind w:firstLine="0"/>
        <w:jc w:val="center"/>
        <w:rPr>
          <w:sz w:val="24"/>
          <w:szCs w:val="24"/>
        </w:rPr>
      </w:pPr>
      <w:r w:rsidRPr="00247ADB">
        <w:rPr>
          <w:b/>
        </w:rPr>
        <w:t>7. Государственная пошлина за государственную регистрацию политических партий и региональных отделений политических партий</w:t>
      </w:r>
    </w:p>
    <w:p w:rsidR="0058574E" w:rsidRPr="00247ADB" w:rsidRDefault="0058574E" w:rsidP="0058574E">
      <w:pPr>
        <w:pStyle w:val="21"/>
        <w:ind w:firstLine="0"/>
        <w:jc w:val="center"/>
        <w:rPr>
          <w:sz w:val="24"/>
          <w:szCs w:val="24"/>
        </w:rPr>
      </w:pPr>
      <w:r w:rsidRPr="00247ADB">
        <w:rPr>
          <w:sz w:val="24"/>
          <w:szCs w:val="24"/>
        </w:rPr>
        <w:t xml:space="preserve">(по данным Управления Министерства юстиции Российской Федерации </w:t>
      </w:r>
      <w:r w:rsidRPr="00247ADB">
        <w:rPr>
          <w:sz w:val="24"/>
          <w:szCs w:val="24"/>
        </w:rPr>
        <w:br/>
        <w:t>по Тверской области)</w:t>
      </w:r>
    </w:p>
    <w:p w:rsidR="0058574E" w:rsidRPr="00247ADB" w:rsidRDefault="0058574E" w:rsidP="0058574E">
      <w:pPr>
        <w:pStyle w:val="21"/>
        <w:ind w:firstLine="0"/>
        <w:jc w:val="center"/>
        <w:rPr>
          <w:sz w:val="24"/>
          <w:szCs w:val="24"/>
        </w:rPr>
      </w:pPr>
      <w:r w:rsidRPr="00247ADB">
        <w:rPr>
          <w:b/>
          <w:sz w:val="24"/>
          <w:szCs w:val="24"/>
        </w:rPr>
        <w:t>(000 1 08 07120 01 0000 110)</w:t>
      </w:r>
    </w:p>
    <w:p w:rsidR="0058574E" w:rsidRPr="00247ADB" w:rsidRDefault="0058574E" w:rsidP="0058574E">
      <w:pPr>
        <w:pStyle w:val="21"/>
        <w:ind w:left="360"/>
        <w:jc w:val="right"/>
        <w:rPr>
          <w:bCs/>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8"/>
        <w:gridCol w:w="1417"/>
        <w:gridCol w:w="1701"/>
        <w:gridCol w:w="1701"/>
      </w:tblGrid>
      <w:tr w:rsidR="0058574E" w:rsidRPr="00247ADB" w:rsidTr="00E7317C">
        <w:tc>
          <w:tcPr>
            <w:tcW w:w="5388" w:type="dxa"/>
          </w:tcPr>
          <w:p w:rsidR="0058574E" w:rsidRPr="00247ADB" w:rsidRDefault="0058574E" w:rsidP="00E7317C">
            <w:pPr>
              <w:pStyle w:val="21"/>
              <w:ind w:firstLine="0"/>
              <w:jc w:val="center"/>
              <w:rPr>
                <w:sz w:val="20"/>
                <w:szCs w:val="20"/>
              </w:rPr>
            </w:pPr>
            <w:r w:rsidRPr="00247ADB">
              <w:rPr>
                <w:sz w:val="20"/>
                <w:szCs w:val="20"/>
              </w:rPr>
              <w:t>Наименование показателя</w:t>
            </w:r>
          </w:p>
        </w:tc>
        <w:tc>
          <w:tcPr>
            <w:tcW w:w="1417" w:type="dxa"/>
          </w:tcPr>
          <w:p w:rsidR="0058574E" w:rsidRPr="00247ADB" w:rsidRDefault="0058574E" w:rsidP="00E7317C">
            <w:pPr>
              <w:pStyle w:val="21"/>
              <w:ind w:left="720" w:hanging="720"/>
              <w:jc w:val="center"/>
              <w:rPr>
                <w:sz w:val="20"/>
                <w:szCs w:val="20"/>
              </w:rPr>
            </w:pPr>
            <w:r w:rsidRPr="00247ADB">
              <w:rPr>
                <w:sz w:val="20"/>
                <w:szCs w:val="20"/>
              </w:rPr>
              <w:t>2022 год</w:t>
            </w:r>
          </w:p>
        </w:tc>
        <w:tc>
          <w:tcPr>
            <w:tcW w:w="1701" w:type="dxa"/>
          </w:tcPr>
          <w:p w:rsidR="0058574E" w:rsidRPr="00247ADB" w:rsidRDefault="0058574E" w:rsidP="00E7317C">
            <w:pPr>
              <w:pStyle w:val="21"/>
              <w:ind w:left="720" w:hanging="720"/>
              <w:jc w:val="center"/>
              <w:rPr>
                <w:sz w:val="20"/>
                <w:szCs w:val="20"/>
              </w:rPr>
            </w:pPr>
            <w:r w:rsidRPr="00247ADB">
              <w:rPr>
                <w:sz w:val="20"/>
                <w:szCs w:val="20"/>
              </w:rPr>
              <w:t>2023 год</w:t>
            </w:r>
          </w:p>
          <w:p w:rsidR="0058574E" w:rsidRPr="00247ADB" w:rsidRDefault="0058574E" w:rsidP="00E7317C">
            <w:pPr>
              <w:pStyle w:val="21"/>
              <w:ind w:left="720"/>
              <w:jc w:val="center"/>
              <w:rPr>
                <w:sz w:val="20"/>
                <w:szCs w:val="20"/>
              </w:rPr>
            </w:pPr>
          </w:p>
        </w:tc>
        <w:tc>
          <w:tcPr>
            <w:tcW w:w="1701" w:type="dxa"/>
          </w:tcPr>
          <w:p w:rsidR="0058574E" w:rsidRPr="00247ADB" w:rsidRDefault="0058574E" w:rsidP="00E7317C">
            <w:pPr>
              <w:pStyle w:val="21"/>
              <w:ind w:firstLine="0"/>
              <w:jc w:val="center"/>
              <w:rPr>
                <w:sz w:val="20"/>
                <w:szCs w:val="20"/>
              </w:rPr>
            </w:pPr>
            <w:r w:rsidRPr="00247ADB">
              <w:rPr>
                <w:sz w:val="20"/>
                <w:szCs w:val="20"/>
              </w:rPr>
              <w:t>2024 год</w:t>
            </w:r>
          </w:p>
        </w:tc>
      </w:tr>
      <w:tr w:rsidR="0058574E" w:rsidRPr="00247ADB" w:rsidTr="00E7317C">
        <w:trPr>
          <w:trHeight w:val="459"/>
        </w:trPr>
        <w:tc>
          <w:tcPr>
            <w:tcW w:w="5388" w:type="dxa"/>
          </w:tcPr>
          <w:p w:rsidR="0058574E" w:rsidRPr="00247ADB" w:rsidRDefault="0058574E" w:rsidP="00E7317C">
            <w:pPr>
              <w:pStyle w:val="21"/>
              <w:jc w:val="left"/>
              <w:rPr>
                <w:sz w:val="20"/>
                <w:szCs w:val="20"/>
              </w:rPr>
            </w:pPr>
            <w:r w:rsidRPr="00247ADB">
              <w:rPr>
                <w:sz w:val="20"/>
                <w:szCs w:val="20"/>
              </w:rPr>
              <w:t>1. Количество обращений(как среднегодовое количество за 2018 – 2020 гг.) (с округлением)</w:t>
            </w:r>
          </w:p>
        </w:tc>
        <w:tc>
          <w:tcPr>
            <w:tcW w:w="1417" w:type="dxa"/>
          </w:tcPr>
          <w:p w:rsidR="0058574E" w:rsidRPr="00247ADB" w:rsidRDefault="0058574E" w:rsidP="00E7317C">
            <w:pPr>
              <w:pStyle w:val="21"/>
              <w:ind w:firstLine="0"/>
              <w:jc w:val="center"/>
              <w:rPr>
                <w:sz w:val="20"/>
                <w:szCs w:val="20"/>
              </w:rPr>
            </w:pPr>
            <w:r w:rsidRPr="00247ADB">
              <w:rPr>
                <w:sz w:val="20"/>
                <w:szCs w:val="20"/>
              </w:rPr>
              <w:t>2</w:t>
            </w:r>
          </w:p>
        </w:tc>
        <w:tc>
          <w:tcPr>
            <w:tcW w:w="1701" w:type="dxa"/>
          </w:tcPr>
          <w:p w:rsidR="0058574E" w:rsidRPr="00247ADB" w:rsidRDefault="0058574E" w:rsidP="00E7317C">
            <w:pPr>
              <w:pStyle w:val="21"/>
              <w:ind w:firstLine="0"/>
              <w:jc w:val="center"/>
              <w:rPr>
                <w:sz w:val="20"/>
                <w:szCs w:val="20"/>
              </w:rPr>
            </w:pPr>
            <w:r w:rsidRPr="00247ADB">
              <w:rPr>
                <w:sz w:val="20"/>
                <w:szCs w:val="20"/>
              </w:rPr>
              <w:t>2</w:t>
            </w:r>
          </w:p>
        </w:tc>
        <w:tc>
          <w:tcPr>
            <w:tcW w:w="1701" w:type="dxa"/>
          </w:tcPr>
          <w:p w:rsidR="0058574E" w:rsidRPr="00247ADB" w:rsidRDefault="0058574E" w:rsidP="00E7317C">
            <w:pPr>
              <w:pStyle w:val="21"/>
              <w:ind w:firstLine="0"/>
              <w:jc w:val="center"/>
              <w:rPr>
                <w:sz w:val="20"/>
                <w:szCs w:val="20"/>
              </w:rPr>
            </w:pPr>
            <w:r w:rsidRPr="00247ADB">
              <w:rPr>
                <w:sz w:val="20"/>
                <w:szCs w:val="20"/>
              </w:rPr>
              <w:t>2</w:t>
            </w:r>
          </w:p>
        </w:tc>
      </w:tr>
      <w:tr w:rsidR="0058574E" w:rsidRPr="00247ADB" w:rsidTr="00E7317C">
        <w:tc>
          <w:tcPr>
            <w:tcW w:w="5388" w:type="dxa"/>
            <w:tcBorders>
              <w:bottom w:val="nil"/>
            </w:tcBorders>
          </w:tcPr>
          <w:p w:rsidR="0058574E" w:rsidRPr="00247ADB" w:rsidRDefault="0058574E" w:rsidP="005D6ACF">
            <w:pPr>
              <w:pStyle w:val="21"/>
              <w:numPr>
                <w:ilvl w:val="0"/>
                <w:numId w:val="7"/>
              </w:numPr>
              <w:jc w:val="left"/>
              <w:rPr>
                <w:sz w:val="20"/>
                <w:szCs w:val="20"/>
              </w:rPr>
            </w:pPr>
            <w:r w:rsidRPr="00247ADB">
              <w:rPr>
                <w:sz w:val="20"/>
                <w:szCs w:val="20"/>
              </w:rPr>
              <w:t>Размер госпошлины, тыс. руб.:</w:t>
            </w:r>
          </w:p>
          <w:p w:rsidR="0058574E" w:rsidRPr="00247ADB" w:rsidRDefault="0058574E" w:rsidP="005D6ACF">
            <w:pPr>
              <w:pStyle w:val="21"/>
              <w:numPr>
                <w:ilvl w:val="0"/>
                <w:numId w:val="7"/>
              </w:numPr>
              <w:jc w:val="left"/>
              <w:rPr>
                <w:sz w:val="20"/>
                <w:szCs w:val="20"/>
              </w:rPr>
            </w:pPr>
            <w:r w:rsidRPr="00247ADB">
              <w:rPr>
                <w:sz w:val="20"/>
                <w:szCs w:val="20"/>
              </w:rPr>
              <w:t>Корректирующая сумма</w:t>
            </w:r>
          </w:p>
        </w:tc>
        <w:tc>
          <w:tcPr>
            <w:tcW w:w="1417" w:type="dxa"/>
            <w:tcBorders>
              <w:bottom w:val="nil"/>
            </w:tcBorders>
          </w:tcPr>
          <w:p w:rsidR="0058574E" w:rsidRPr="00247ADB" w:rsidRDefault="0058574E" w:rsidP="00E7317C">
            <w:pPr>
              <w:pStyle w:val="21"/>
              <w:ind w:firstLine="0"/>
              <w:jc w:val="center"/>
              <w:rPr>
                <w:sz w:val="20"/>
                <w:szCs w:val="20"/>
              </w:rPr>
            </w:pPr>
            <w:r w:rsidRPr="00247ADB">
              <w:rPr>
                <w:sz w:val="20"/>
                <w:szCs w:val="20"/>
              </w:rPr>
              <w:t>3,5</w:t>
            </w:r>
          </w:p>
          <w:p w:rsidR="0058574E" w:rsidRPr="00247ADB" w:rsidRDefault="0058574E" w:rsidP="00E7317C">
            <w:pPr>
              <w:pStyle w:val="21"/>
              <w:ind w:firstLine="0"/>
              <w:jc w:val="center"/>
              <w:rPr>
                <w:sz w:val="20"/>
                <w:szCs w:val="20"/>
              </w:rPr>
            </w:pPr>
            <w:r w:rsidRPr="00247ADB">
              <w:rPr>
                <w:sz w:val="20"/>
                <w:szCs w:val="20"/>
              </w:rPr>
              <w:t>14</w:t>
            </w:r>
          </w:p>
        </w:tc>
        <w:tc>
          <w:tcPr>
            <w:tcW w:w="1701" w:type="dxa"/>
            <w:tcBorders>
              <w:bottom w:val="nil"/>
            </w:tcBorders>
          </w:tcPr>
          <w:p w:rsidR="0058574E" w:rsidRPr="00247ADB" w:rsidRDefault="0058574E" w:rsidP="00E7317C">
            <w:pPr>
              <w:pStyle w:val="21"/>
              <w:ind w:firstLine="0"/>
              <w:jc w:val="center"/>
              <w:rPr>
                <w:sz w:val="20"/>
                <w:szCs w:val="20"/>
              </w:rPr>
            </w:pPr>
            <w:r w:rsidRPr="00247ADB">
              <w:rPr>
                <w:sz w:val="20"/>
                <w:szCs w:val="20"/>
              </w:rPr>
              <w:t>3,5</w:t>
            </w:r>
          </w:p>
          <w:p w:rsidR="0058574E" w:rsidRPr="00247ADB" w:rsidRDefault="0058574E" w:rsidP="00E7317C">
            <w:pPr>
              <w:pStyle w:val="21"/>
              <w:ind w:firstLine="0"/>
              <w:jc w:val="center"/>
              <w:rPr>
                <w:sz w:val="20"/>
                <w:szCs w:val="20"/>
              </w:rPr>
            </w:pPr>
            <w:r w:rsidRPr="00247ADB">
              <w:rPr>
                <w:sz w:val="20"/>
                <w:szCs w:val="20"/>
              </w:rPr>
              <w:t>14</w:t>
            </w:r>
          </w:p>
        </w:tc>
        <w:tc>
          <w:tcPr>
            <w:tcW w:w="1701" w:type="dxa"/>
            <w:tcBorders>
              <w:bottom w:val="nil"/>
            </w:tcBorders>
          </w:tcPr>
          <w:p w:rsidR="0058574E" w:rsidRPr="00247ADB" w:rsidRDefault="0058574E" w:rsidP="00E7317C">
            <w:pPr>
              <w:pStyle w:val="21"/>
              <w:ind w:firstLine="0"/>
              <w:jc w:val="center"/>
              <w:rPr>
                <w:sz w:val="20"/>
                <w:szCs w:val="20"/>
              </w:rPr>
            </w:pPr>
            <w:r w:rsidRPr="00247ADB">
              <w:rPr>
                <w:sz w:val="20"/>
                <w:szCs w:val="20"/>
              </w:rPr>
              <w:t>3,5</w:t>
            </w:r>
          </w:p>
          <w:p w:rsidR="0058574E" w:rsidRPr="00247ADB" w:rsidRDefault="0058574E" w:rsidP="00E7317C">
            <w:pPr>
              <w:pStyle w:val="21"/>
              <w:ind w:firstLine="0"/>
              <w:jc w:val="center"/>
              <w:rPr>
                <w:sz w:val="20"/>
                <w:szCs w:val="20"/>
              </w:rPr>
            </w:pPr>
            <w:r w:rsidRPr="00247ADB">
              <w:rPr>
                <w:sz w:val="20"/>
                <w:szCs w:val="20"/>
              </w:rPr>
              <w:t>14</w:t>
            </w:r>
          </w:p>
        </w:tc>
      </w:tr>
      <w:tr w:rsidR="0058574E" w:rsidRPr="00247ADB" w:rsidTr="00E7317C">
        <w:tc>
          <w:tcPr>
            <w:tcW w:w="5388" w:type="dxa"/>
            <w:tcBorders>
              <w:top w:val="nil"/>
            </w:tcBorders>
          </w:tcPr>
          <w:p w:rsidR="0058574E" w:rsidRPr="00247ADB" w:rsidRDefault="0058574E" w:rsidP="005D6ACF">
            <w:pPr>
              <w:pStyle w:val="21"/>
              <w:numPr>
                <w:ilvl w:val="0"/>
                <w:numId w:val="7"/>
              </w:numPr>
              <w:jc w:val="left"/>
              <w:rPr>
                <w:sz w:val="20"/>
                <w:szCs w:val="20"/>
              </w:rPr>
            </w:pPr>
            <w:r w:rsidRPr="00247ADB">
              <w:rPr>
                <w:sz w:val="20"/>
                <w:szCs w:val="20"/>
              </w:rPr>
              <w:t>Государственная пошлина - всего, тыс. руб.</w:t>
            </w:r>
          </w:p>
        </w:tc>
        <w:tc>
          <w:tcPr>
            <w:tcW w:w="1417" w:type="dxa"/>
            <w:tcBorders>
              <w:top w:val="nil"/>
            </w:tcBorders>
          </w:tcPr>
          <w:p w:rsidR="0058574E" w:rsidRPr="00247ADB" w:rsidRDefault="0058574E" w:rsidP="00E7317C">
            <w:pPr>
              <w:jc w:val="center"/>
              <w:rPr>
                <w:sz w:val="20"/>
                <w:szCs w:val="20"/>
              </w:rPr>
            </w:pPr>
            <w:r w:rsidRPr="00247ADB">
              <w:rPr>
                <w:sz w:val="20"/>
                <w:szCs w:val="20"/>
              </w:rPr>
              <w:t>21</w:t>
            </w:r>
          </w:p>
        </w:tc>
        <w:tc>
          <w:tcPr>
            <w:tcW w:w="1701" w:type="dxa"/>
            <w:tcBorders>
              <w:top w:val="nil"/>
            </w:tcBorders>
          </w:tcPr>
          <w:p w:rsidR="0058574E" w:rsidRPr="00247ADB" w:rsidRDefault="0058574E" w:rsidP="00E7317C">
            <w:pPr>
              <w:pStyle w:val="21"/>
              <w:ind w:firstLine="0"/>
              <w:jc w:val="center"/>
              <w:rPr>
                <w:sz w:val="20"/>
                <w:szCs w:val="20"/>
              </w:rPr>
            </w:pPr>
            <w:r w:rsidRPr="00247ADB">
              <w:rPr>
                <w:sz w:val="20"/>
                <w:szCs w:val="20"/>
              </w:rPr>
              <w:t>21</w:t>
            </w:r>
          </w:p>
        </w:tc>
        <w:tc>
          <w:tcPr>
            <w:tcW w:w="1701" w:type="dxa"/>
            <w:tcBorders>
              <w:top w:val="nil"/>
            </w:tcBorders>
          </w:tcPr>
          <w:p w:rsidR="0058574E" w:rsidRPr="00247ADB" w:rsidRDefault="0058574E" w:rsidP="00E7317C">
            <w:pPr>
              <w:pStyle w:val="21"/>
              <w:ind w:firstLine="0"/>
              <w:jc w:val="center"/>
              <w:rPr>
                <w:sz w:val="20"/>
                <w:szCs w:val="20"/>
              </w:rPr>
            </w:pPr>
            <w:r w:rsidRPr="00247ADB">
              <w:rPr>
                <w:sz w:val="20"/>
                <w:szCs w:val="20"/>
              </w:rPr>
              <w:t>21</w:t>
            </w:r>
          </w:p>
        </w:tc>
      </w:tr>
    </w:tbl>
    <w:p w:rsidR="0058574E" w:rsidRPr="00247ADB" w:rsidRDefault="0058574E" w:rsidP="0058574E">
      <w:pPr>
        <w:pStyle w:val="21"/>
        <w:ind w:firstLine="0"/>
        <w:rPr>
          <w:b/>
        </w:rPr>
      </w:pPr>
    </w:p>
    <w:tbl>
      <w:tblPr>
        <w:tblpPr w:leftFromText="180" w:rightFromText="180" w:vertAnchor="text" w:tblpX="21629" w:tblpY="-244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58574E" w:rsidRPr="000C7712" w:rsidTr="00E7317C">
        <w:trPr>
          <w:trHeight w:val="7920"/>
        </w:trPr>
        <w:tc>
          <w:tcPr>
            <w:tcW w:w="324" w:type="dxa"/>
          </w:tcPr>
          <w:p w:rsidR="0058574E" w:rsidRPr="000C7712" w:rsidRDefault="0058574E" w:rsidP="00E7317C">
            <w:pPr>
              <w:pStyle w:val="21"/>
              <w:rPr>
                <w:b/>
                <w:color w:val="FF0000"/>
              </w:rPr>
            </w:pPr>
          </w:p>
        </w:tc>
      </w:tr>
    </w:tbl>
    <w:p w:rsidR="0058574E" w:rsidRPr="000E2B94" w:rsidRDefault="0058574E" w:rsidP="0058574E">
      <w:pPr>
        <w:autoSpaceDE w:val="0"/>
        <w:autoSpaceDN w:val="0"/>
        <w:adjustRightInd w:val="0"/>
        <w:jc w:val="center"/>
        <w:rPr>
          <w:b/>
          <w:sz w:val="28"/>
          <w:szCs w:val="28"/>
        </w:rPr>
      </w:pPr>
      <w:r w:rsidRPr="000E2B94">
        <w:rPr>
          <w:b/>
          <w:sz w:val="28"/>
          <w:szCs w:val="28"/>
        </w:rPr>
        <w:t>8. Государственная пошлина за государственную регистрацию средства массовой информации, за внесение изменений в запись о регистрации средства массовой информации (в том числе связанных с изменением тематики или специализации), продукция которого предназначена для распространения преимущественно на территории субъекта Российской Федерации, территории муниципального образования</w:t>
      </w:r>
    </w:p>
    <w:p w:rsidR="0058574E" w:rsidRPr="000E2B94" w:rsidRDefault="0058574E" w:rsidP="0058574E">
      <w:pPr>
        <w:autoSpaceDE w:val="0"/>
        <w:autoSpaceDN w:val="0"/>
        <w:adjustRightInd w:val="0"/>
        <w:jc w:val="center"/>
      </w:pPr>
      <w:r w:rsidRPr="000E2B94">
        <w:rPr>
          <w:b/>
        </w:rPr>
        <w:t>(</w:t>
      </w:r>
      <w:r w:rsidRPr="000E2B94">
        <w:t>по данным Управления Федеральной службы по надзору в сфере связи, информационных технологий и массовых коммуникаций по Тверской области)</w:t>
      </w:r>
    </w:p>
    <w:p w:rsidR="0058574E" w:rsidRPr="000E2B94" w:rsidRDefault="0058574E" w:rsidP="0058574E">
      <w:pPr>
        <w:autoSpaceDE w:val="0"/>
        <w:autoSpaceDN w:val="0"/>
        <w:adjustRightInd w:val="0"/>
        <w:jc w:val="center"/>
        <w:rPr>
          <w:b/>
        </w:rPr>
      </w:pPr>
      <w:r w:rsidRPr="000E2B94">
        <w:rPr>
          <w:b/>
        </w:rPr>
        <w:t>(000 1 08 07130 01 0000 110)</w:t>
      </w:r>
    </w:p>
    <w:p w:rsidR="0058574E" w:rsidRPr="000E2B94" w:rsidRDefault="0058574E" w:rsidP="0058574E">
      <w:pPr>
        <w:autoSpaceDE w:val="0"/>
        <w:autoSpaceDN w:val="0"/>
        <w:adjustRightInd w:val="0"/>
        <w:jc w:val="center"/>
        <w:rPr>
          <w:b/>
          <w:sz w:val="28"/>
          <w:szCs w:val="28"/>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8"/>
        <w:gridCol w:w="1559"/>
        <w:gridCol w:w="1559"/>
        <w:gridCol w:w="1559"/>
      </w:tblGrid>
      <w:tr w:rsidR="0058574E" w:rsidRPr="000E2B94" w:rsidTr="00E7317C">
        <w:tc>
          <w:tcPr>
            <w:tcW w:w="5388" w:type="dxa"/>
          </w:tcPr>
          <w:p w:rsidR="0058574E" w:rsidRPr="000E2B94" w:rsidRDefault="0058574E" w:rsidP="00E7317C">
            <w:pPr>
              <w:pStyle w:val="21"/>
              <w:ind w:firstLine="0"/>
              <w:jc w:val="center"/>
              <w:rPr>
                <w:sz w:val="20"/>
                <w:szCs w:val="20"/>
              </w:rPr>
            </w:pPr>
            <w:r w:rsidRPr="000E2B94">
              <w:rPr>
                <w:sz w:val="20"/>
                <w:szCs w:val="20"/>
              </w:rPr>
              <w:t>Наименование показателя</w:t>
            </w:r>
          </w:p>
        </w:tc>
        <w:tc>
          <w:tcPr>
            <w:tcW w:w="1559" w:type="dxa"/>
          </w:tcPr>
          <w:p w:rsidR="0058574E" w:rsidRPr="000E2B94" w:rsidRDefault="0058574E" w:rsidP="00E7317C">
            <w:pPr>
              <w:pStyle w:val="21"/>
              <w:ind w:left="720" w:hanging="720"/>
              <w:jc w:val="center"/>
              <w:rPr>
                <w:sz w:val="20"/>
                <w:szCs w:val="20"/>
              </w:rPr>
            </w:pPr>
            <w:r w:rsidRPr="000E2B94">
              <w:rPr>
                <w:sz w:val="20"/>
                <w:szCs w:val="20"/>
              </w:rPr>
              <w:t>2022 год</w:t>
            </w:r>
          </w:p>
        </w:tc>
        <w:tc>
          <w:tcPr>
            <w:tcW w:w="1559" w:type="dxa"/>
          </w:tcPr>
          <w:p w:rsidR="0058574E" w:rsidRPr="000E2B94" w:rsidRDefault="0058574E" w:rsidP="00E7317C">
            <w:pPr>
              <w:pStyle w:val="21"/>
              <w:ind w:firstLine="0"/>
              <w:jc w:val="center"/>
              <w:rPr>
                <w:sz w:val="20"/>
                <w:szCs w:val="20"/>
              </w:rPr>
            </w:pPr>
            <w:r w:rsidRPr="000E2B94">
              <w:rPr>
                <w:sz w:val="20"/>
                <w:szCs w:val="20"/>
              </w:rPr>
              <w:t>2023 год</w:t>
            </w:r>
          </w:p>
        </w:tc>
        <w:tc>
          <w:tcPr>
            <w:tcW w:w="1559" w:type="dxa"/>
          </w:tcPr>
          <w:p w:rsidR="0058574E" w:rsidRPr="000E2B94" w:rsidRDefault="0058574E" w:rsidP="00E7317C">
            <w:pPr>
              <w:pStyle w:val="21"/>
              <w:ind w:firstLine="0"/>
              <w:jc w:val="center"/>
              <w:rPr>
                <w:sz w:val="20"/>
                <w:szCs w:val="20"/>
              </w:rPr>
            </w:pPr>
            <w:r w:rsidRPr="000E2B94">
              <w:rPr>
                <w:sz w:val="20"/>
                <w:szCs w:val="20"/>
              </w:rPr>
              <w:t>2024 год</w:t>
            </w:r>
          </w:p>
        </w:tc>
      </w:tr>
      <w:tr w:rsidR="0058574E" w:rsidRPr="000E2B94" w:rsidTr="00E7317C">
        <w:trPr>
          <w:trHeight w:val="810"/>
        </w:trPr>
        <w:tc>
          <w:tcPr>
            <w:tcW w:w="5388" w:type="dxa"/>
          </w:tcPr>
          <w:p w:rsidR="0058574E" w:rsidRPr="000E2B94" w:rsidRDefault="0058574E" w:rsidP="00E7317C">
            <w:pPr>
              <w:pStyle w:val="21"/>
              <w:ind w:firstLine="0"/>
              <w:jc w:val="left"/>
              <w:rPr>
                <w:sz w:val="20"/>
                <w:szCs w:val="20"/>
              </w:rPr>
            </w:pPr>
            <w:r w:rsidRPr="000E2B94">
              <w:rPr>
                <w:sz w:val="20"/>
                <w:szCs w:val="20"/>
              </w:rPr>
              <w:t>1. Количество обращений на регистрацию (среднее за три предыдущих года):</w:t>
            </w:r>
          </w:p>
          <w:p w:rsidR="0058574E" w:rsidRPr="000E2B94" w:rsidRDefault="0058574E" w:rsidP="00E7317C">
            <w:pPr>
              <w:pStyle w:val="21"/>
              <w:ind w:firstLine="0"/>
              <w:jc w:val="left"/>
              <w:rPr>
                <w:sz w:val="20"/>
                <w:szCs w:val="20"/>
              </w:rPr>
            </w:pPr>
            <w:r w:rsidRPr="000E2B94">
              <w:rPr>
                <w:sz w:val="20"/>
                <w:szCs w:val="20"/>
              </w:rPr>
              <w:t>- регистрация СМИ (с округлением)</w:t>
            </w:r>
          </w:p>
          <w:p w:rsidR="0058574E" w:rsidRPr="000E2B94" w:rsidRDefault="0058574E" w:rsidP="00E7317C">
            <w:pPr>
              <w:pStyle w:val="21"/>
              <w:ind w:firstLine="0"/>
              <w:jc w:val="left"/>
              <w:rPr>
                <w:sz w:val="20"/>
                <w:szCs w:val="20"/>
              </w:rPr>
            </w:pPr>
            <w:r w:rsidRPr="000E2B94">
              <w:rPr>
                <w:sz w:val="20"/>
                <w:szCs w:val="20"/>
              </w:rPr>
              <w:t>- внесение изменений (с округлением)</w:t>
            </w:r>
          </w:p>
        </w:tc>
        <w:tc>
          <w:tcPr>
            <w:tcW w:w="1559" w:type="dxa"/>
          </w:tcPr>
          <w:p w:rsidR="0058574E" w:rsidRPr="000E2B94" w:rsidRDefault="0058574E" w:rsidP="00E7317C">
            <w:pPr>
              <w:pStyle w:val="21"/>
              <w:ind w:firstLine="0"/>
              <w:jc w:val="center"/>
              <w:rPr>
                <w:sz w:val="20"/>
                <w:szCs w:val="20"/>
              </w:rPr>
            </w:pPr>
          </w:p>
          <w:p w:rsidR="0058574E" w:rsidRPr="000E2B94" w:rsidRDefault="0058574E" w:rsidP="00E7317C">
            <w:pPr>
              <w:pStyle w:val="21"/>
              <w:ind w:firstLine="0"/>
              <w:jc w:val="center"/>
              <w:rPr>
                <w:sz w:val="20"/>
                <w:szCs w:val="20"/>
              </w:rPr>
            </w:pPr>
          </w:p>
          <w:p w:rsidR="0058574E" w:rsidRPr="000E2B94" w:rsidRDefault="0058574E" w:rsidP="00E7317C">
            <w:pPr>
              <w:pStyle w:val="21"/>
              <w:ind w:firstLine="0"/>
              <w:jc w:val="center"/>
              <w:rPr>
                <w:sz w:val="20"/>
                <w:szCs w:val="20"/>
              </w:rPr>
            </w:pPr>
            <w:r w:rsidRPr="000E2B94">
              <w:rPr>
                <w:sz w:val="20"/>
                <w:szCs w:val="20"/>
              </w:rPr>
              <w:t>5</w:t>
            </w:r>
          </w:p>
          <w:p w:rsidR="0058574E" w:rsidRPr="000E2B94" w:rsidRDefault="0058574E" w:rsidP="00E7317C">
            <w:pPr>
              <w:pStyle w:val="21"/>
              <w:ind w:firstLine="0"/>
              <w:jc w:val="center"/>
              <w:rPr>
                <w:sz w:val="20"/>
                <w:szCs w:val="20"/>
              </w:rPr>
            </w:pPr>
            <w:r w:rsidRPr="000E2B94">
              <w:rPr>
                <w:sz w:val="20"/>
                <w:szCs w:val="20"/>
              </w:rPr>
              <w:t>7</w:t>
            </w:r>
          </w:p>
        </w:tc>
        <w:tc>
          <w:tcPr>
            <w:tcW w:w="1559" w:type="dxa"/>
          </w:tcPr>
          <w:p w:rsidR="0058574E" w:rsidRPr="000E2B94" w:rsidRDefault="0058574E" w:rsidP="00E7317C">
            <w:pPr>
              <w:pStyle w:val="21"/>
              <w:ind w:firstLine="0"/>
              <w:jc w:val="center"/>
              <w:rPr>
                <w:sz w:val="20"/>
                <w:szCs w:val="20"/>
              </w:rPr>
            </w:pPr>
          </w:p>
          <w:p w:rsidR="0058574E" w:rsidRPr="000E2B94" w:rsidRDefault="0058574E" w:rsidP="00E7317C">
            <w:pPr>
              <w:pStyle w:val="21"/>
              <w:ind w:firstLine="0"/>
              <w:jc w:val="center"/>
              <w:rPr>
                <w:sz w:val="20"/>
                <w:szCs w:val="20"/>
              </w:rPr>
            </w:pPr>
          </w:p>
          <w:p w:rsidR="0058574E" w:rsidRPr="000E2B94" w:rsidRDefault="0058574E" w:rsidP="00E7317C">
            <w:pPr>
              <w:pStyle w:val="21"/>
              <w:ind w:firstLine="0"/>
              <w:jc w:val="center"/>
              <w:rPr>
                <w:sz w:val="20"/>
                <w:szCs w:val="20"/>
              </w:rPr>
            </w:pPr>
            <w:r w:rsidRPr="000E2B94">
              <w:rPr>
                <w:sz w:val="20"/>
                <w:szCs w:val="20"/>
              </w:rPr>
              <w:t>5</w:t>
            </w:r>
          </w:p>
          <w:p w:rsidR="0058574E" w:rsidRPr="000E2B94" w:rsidRDefault="0058574E" w:rsidP="00E7317C">
            <w:pPr>
              <w:pStyle w:val="21"/>
              <w:ind w:firstLine="0"/>
              <w:jc w:val="center"/>
              <w:rPr>
                <w:sz w:val="20"/>
                <w:szCs w:val="20"/>
              </w:rPr>
            </w:pPr>
            <w:r w:rsidRPr="000E2B94">
              <w:rPr>
                <w:sz w:val="20"/>
                <w:szCs w:val="20"/>
              </w:rPr>
              <w:t>7</w:t>
            </w:r>
          </w:p>
        </w:tc>
        <w:tc>
          <w:tcPr>
            <w:tcW w:w="1559" w:type="dxa"/>
          </w:tcPr>
          <w:p w:rsidR="0058574E" w:rsidRPr="000E2B94" w:rsidRDefault="0058574E" w:rsidP="00E7317C">
            <w:pPr>
              <w:pStyle w:val="21"/>
              <w:ind w:firstLine="0"/>
              <w:jc w:val="center"/>
              <w:rPr>
                <w:sz w:val="20"/>
                <w:szCs w:val="20"/>
              </w:rPr>
            </w:pPr>
          </w:p>
          <w:p w:rsidR="0058574E" w:rsidRPr="000E2B94" w:rsidRDefault="0058574E" w:rsidP="00E7317C">
            <w:pPr>
              <w:pStyle w:val="21"/>
              <w:ind w:firstLine="0"/>
              <w:jc w:val="center"/>
              <w:rPr>
                <w:sz w:val="20"/>
                <w:szCs w:val="20"/>
              </w:rPr>
            </w:pPr>
          </w:p>
          <w:p w:rsidR="0058574E" w:rsidRPr="000E2B94" w:rsidRDefault="0058574E" w:rsidP="00E7317C">
            <w:pPr>
              <w:pStyle w:val="21"/>
              <w:ind w:firstLine="0"/>
              <w:jc w:val="center"/>
              <w:rPr>
                <w:sz w:val="20"/>
                <w:szCs w:val="20"/>
              </w:rPr>
            </w:pPr>
            <w:r w:rsidRPr="000E2B94">
              <w:rPr>
                <w:sz w:val="20"/>
                <w:szCs w:val="20"/>
              </w:rPr>
              <w:t>5</w:t>
            </w:r>
          </w:p>
          <w:p w:rsidR="0058574E" w:rsidRPr="000E2B94" w:rsidRDefault="0058574E" w:rsidP="00E7317C">
            <w:pPr>
              <w:pStyle w:val="21"/>
              <w:ind w:firstLine="0"/>
              <w:jc w:val="center"/>
              <w:rPr>
                <w:sz w:val="20"/>
                <w:szCs w:val="20"/>
              </w:rPr>
            </w:pPr>
            <w:r w:rsidRPr="000E2B94">
              <w:rPr>
                <w:sz w:val="20"/>
                <w:szCs w:val="20"/>
              </w:rPr>
              <w:t>7</w:t>
            </w:r>
          </w:p>
        </w:tc>
      </w:tr>
      <w:tr w:rsidR="0058574E" w:rsidRPr="000E2B94" w:rsidTr="00E7317C">
        <w:tc>
          <w:tcPr>
            <w:tcW w:w="5388" w:type="dxa"/>
            <w:tcBorders>
              <w:bottom w:val="nil"/>
            </w:tcBorders>
          </w:tcPr>
          <w:p w:rsidR="0058574E" w:rsidRPr="000E2B94" w:rsidRDefault="0058574E" w:rsidP="00E7317C">
            <w:pPr>
              <w:pStyle w:val="21"/>
              <w:ind w:firstLine="0"/>
              <w:jc w:val="left"/>
              <w:rPr>
                <w:sz w:val="20"/>
                <w:szCs w:val="20"/>
              </w:rPr>
            </w:pPr>
            <w:r w:rsidRPr="000E2B94">
              <w:rPr>
                <w:sz w:val="20"/>
                <w:szCs w:val="20"/>
              </w:rPr>
              <w:t>2. Размер госпошлины, тыс. руб.:</w:t>
            </w:r>
          </w:p>
          <w:p w:rsidR="0058574E" w:rsidRPr="000E2B94" w:rsidRDefault="0058574E" w:rsidP="00E7317C">
            <w:pPr>
              <w:pStyle w:val="21"/>
              <w:ind w:firstLine="0"/>
              <w:jc w:val="left"/>
              <w:rPr>
                <w:sz w:val="20"/>
                <w:szCs w:val="20"/>
              </w:rPr>
            </w:pPr>
            <w:r w:rsidRPr="000E2B94">
              <w:rPr>
                <w:sz w:val="20"/>
                <w:szCs w:val="20"/>
              </w:rPr>
              <w:t>- регистрация СМИ (с округлением)</w:t>
            </w:r>
          </w:p>
          <w:p w:rsidR="0058574E" w:rsidRPr="000E2B94" w:rsidRDefault="0058574E" w:rsidP="00E7317C">
            <w:pPr>
              <w:pStyle w:val="21"/>
              <w:ind w:firstLine="0"/>
              <w:jc w:val="left"/>
              <w:rPr>
                <w:sz w:val="20"/>
                <w:szCs w:val="20"/>
              </w:rPr>
            </w:pPr>
            <w:r w:rsidRPr="000E2B94">
              <w:rPr>
                <w:sz w:val="20"/>
                <w:szCs w:val="20"/>
              </w:rPr>
              <w:t>- внесение изменений (с округлением)</w:t>
            </w:r>
          </w:p>
          <w:p w:rsidR="0058574E" w:rsidRPr="000E2B94" w:rsidRDefault="0058574E" w:rsidP="00E7317C">
            <w:pPr>
              <w:pStyle w:val="21"/>
              <w:ind w:firstLine="0"/>
              <w:jc w:val="left"/>
              <w:rPr>
                <w:sz w:val="20"/>
                <w:szCs w:val="20"/>
              </w:rPr>
            </w:pPr>
          </w:p>
        </w:tc>
        <w:tc>
          <w:tcPr>
            <w:tcW w:w="1559" w:type="dxa"/>
            <w:tcBorders>
              <w:bottom w:val="nil"/>
            </w:tcBorders>
          </w:tcPr>
          <w:p w:rsidR="0058574E" w:rsidRPr="000E2B94" w:rsidRDefault="0058574E" w:rsidP="00E7317C">
            <w:pPr>
              <w:pStyle w:val="21"/>
              <w:ind w:firstLine="0"/>
              <w:jc w:val="center"/>
              <w:rPr>
                <w:sz w:val="20"/>
                <w:szCs w:val="20"/>
              </w:rPr>
            </w:pPr>
          </w:p>
          <w:p w:rsidR="0058574E" w:rsidRPr="000E2B94" w:rsidRDefault="0058574E" w:rsidP="00E7317C">
            <w:pPr>
              <w:pStyle w:val="21"/>
              <w:ind w:firstLine="0"/>
              <w:jc w:val="center"/>
              <w:rPr>
                <w:sz w:val="20"/>
                <w:szCs w:val="20"/>
              </w:rPr>
            </w:pPr>
            <w:r w:rsidRPr="000E2B94">
              <w:rPr>
                <w:sz w:val="20"/>
                <w:szCs w:val="20"/>
              </w:rPr>
              <w:t>4,0</w:t>
            </w:r>
          </w:p>
          <w:p w:rsidR="0058574E" w:rsidRPr="000E2B94" w:rsidRDefault="0058574E" w:rsidP="00E7317C">
            <w:pPr>
              <w:pStyle w:val="21"/>
              <w:ind w:firstLine="0"/>
              <w:jc w:val="center"/>
              <w:rPr>
                <w:sz w:val="20"/>
                <w:szCs w:val="20"/>
              </w:rPr>
            </w:pPr>
            <w:r w:rsidRPr="000E2B94">
              <w:rPr>
                <w:sz w:val="20"/>
                <w:szCs w:val="20"/>
              </w:rPr>
              <w:t>4,0</w:t>
            </w:r>
          </w:p>
          <w:p w:rsidR="0058574E" w:rsidRPr="000E2B94" w:rsidRDefault="0058574E" w:rsidP="00E7317C">
            <w:pPr>
              <w:pStyle w:val="21"/>
              <w:ind w:firstLine="0"/>
              <w:jc w:val="center"/>
              <w:rPr>
                <w:sz w:val="20"/>
                <w:szCs w:val="20"/>
              </w:rPr>
            </w:pPr>
          </w:p>
        </w:tc>
        <w:tc>
          <w:tcPr>
            <w:tcW w:w="1559" w:type="dxa"/>
            <w:tcBorders>
              <w:bottom w:val="nil"/>
            </w:tcBorders>
          </w:tcPr>
          <w:p w:rsidR="0058574E" w:rsidRPr="000E2B94" w:rsidRDefault="0058574E" w:rsidP="00E7317C">
            <w:pPr>
              <w:pStyle w:val="21"/>
              <w:ind w:firstLine="0"/>
              <w:jc w:val="center"/>
              <w:rPr>
                <w:sz w:val="20"/>
                <w:szCs w:val="20"/>
              </w:rPr>
            </w:pPr>
          </w:p>
          <w:p w:rsidR="0058574E" w:rsidRPr="000E2B94" w:rsidRDefault="0058574E" w:rsidP="00E7317C">
            <w:pPr>
              <w:pStyle w:val="21"/>
              <w:ind w:firstLine="0"/>
              <w:jc w:val="center"/>
              <w:rPr>
                <w:sz w:val="20"/>
                <w:szCs w:val="20"/>
              </w:rPr>
            </w:pPr>
            <w:r w:rsidRPr="000E2B94">
              <w:rPr>
                <w:sz w:val="20"/>
                <w:szCs w:val="20"/>
              </w:rPr>
              <w:t>4,0</w:t>
            </w:r>
          </w:p>
          <w:p w:rsidR="0058574E" w:rsidRPr="000E2B94" w:rsidRDefault="0058574E" w:rsidP="00E7317C">
            <w:pPr>
              <w:pStyle w:val="21"/>
              <w:ind w:firstLine="0"/>
              <w:jc w:val="center"/>
              <w:rPr>
                <w:sz w:val="20"/>
                <w:szCs w:val="20"/>
              </w:rPr>
            </w:pPr>
            <w:r w:rsidRPr="000E2B94">
              <w:rPr>
                <w:sz w:val="20"/>
                <w:szCs w:val="20"/>
              </w:rPr>
              <w:t>4,0</w:t>
            </w:r>
          </w:p>
          <w:p w:rsidR="0058574E" w:rsidRPr="000E2B94" w:rsidRDefault="0058574E" w:rsidP="00E7317C">
            <w:pPr>
              <w:pStyle w:val="21"/>
              <w:ind w:firstLine="0"/>
              <w:jc w:val="center"/>
              <w:rPr>
                <w:sz w:val="20"/>
                <w:szCs w:val="20"/>
              </w:rPr>
            </w:pPr>
          </w:p>
        </w:tc>
        <w:tc>
          <w:tcPr>
            <w:tcW w:w="1559" w:type="dxa"/>
            <w:tcBorders>
              <w:bottom w:val="nil"/>
            </w:tcBorders>
          </w:tcPr>
          <w:p w:rsidR="0058574E" w:rsidRPr="000E2B94" w:rsidRDefault="0058574E" w:rsidP="00E7317C">
            <w:pPr>
              <w:pStyle w:val="21"/>
              <w:ind w:firstLine="0"/>
              <w:jc w:val="center"/>
              <w:rPr>
                <w:sz w:val="20"/>
                <w:szCs w:val="20"/>
              </w:rPr>
            </w:pPr>
          </w:p>
          <w:p w:rsidR="0058574E" w:rsidRPr="000E2B94" w:rsidRDefault="0058574E" w:rsidP="00E7317C">
            <w:pPr>
              <w:pStyle w:val="21"/>
              <w:ind w:firstLine="0"/>
              <w:jc w:val="center"/>
              <w:rPr>
                <w:sz w:val="20"/>
                <w:szCs w:val="20"/>
              </w:rPr>
            </w:pPr>
            <w:r w:rsidRPr="000E2B94">
              <w:rPr>
                <w:sz w:val="20"/>
                <w:szCs w:val="20"/>
              </w:rPr>
              <w:t>4,0</w:t>
            </w:r>
          </w:p>
          <w:p w:rsidR="0058574E" w:rsidRPr="000E2B94" w:rsidRDefault="0058574E" w:rsidP="00E7317C">
            <w:pPr>
              <w:pStyle w:val="21"/>
              <w:ind w:firstLine="0"/>
              <w:jc w:val="center"/>
              <w:rPr>
                <w:sz w:val="20"/>
                <w:szCs w:val="20"/>
              </w:rPr>
            </w:pPr>
            <w:r w:rsidRPr="000E2B94">
              <w:rPr>
                <w:sz w:val="20"/>
                <w:szCs w:val="20"/>
              </w:rPr>
              <w:t>20,0</w:t>
            </w:r>
          </w:p>
        </w:tc>
      </w:tr>
      <w:tr w:rsidR="0058574E" w:rsidRPr="000E2B94" w:rsidTr="00E7317C">
        <w:trPr>
          <w:trHeight w:val="953"/>
        </w:trPr>
        <w:tc>
          <w:tcPr>
            <w:tcW w:w="5388" w:type="dxa"/>
            <w:tcBorders>
              <w:top w:val="nil"/>
            </w:tcBorders>
          </w:tcPr>
          <w:p w:rsidR="0058574E" w:rsidRPr="000E2B94" w:rsidRDefault="0058574E" w:rsidP="00E7317C">
            <w:pPr>
              <w:pStyle w:val="21"/>
              <w:ind w:firstLine="0"/>
              <w:jc w:val="left"/>
              <w:rPr>
                <w:sz w:val="20"/>
                <w:szCs w:val="20"/>
              </w:rPr>
            </w:pPr>
            <w:r w:rsidRPr="000E2B94">
              <w:rPr>
                <w:sz w:val="20"/>
                <w:szCs w:val="20"/>
              </w:rPr>
              <w:t xml:space="preserve">3. Государственная пошлина - всего, тыс. руб. </w:t>
            </w:r>
          </w:p>
          <w:p w:rsidR="0058574E" w:rsidRPr="000E2B94" w:rsidRDefault="0058574E" w:rsidP="00E7317C">
            <w:pPr>
              <w:pStyle w:val="21"/>
              <w:ind w:firstLine="0"/>
              <w:jc w:val="left"/>
              <w:rPr>
                <w:sz w:val="20"/>
                <w:szCs w:val="20"/>
              </w:rPr>
            </w:pPr>
            <w:r w:rsidRPr="000E2B94">
              <w:rPr>
                <w:sz w:val="20"/>
                <w:szCs w:val="20"/>
              </w:rPr>
              <w:t>в том числе:</w:t>
            </w:r>
          </w:p>
          <w:p w:rsidR="0058574E" w:rsidRPr="000E2B94" w:rsidRDefault="0058574E" w:rsidP="00E7317C">
            <w:pPr>
              <w:pStyle w:val="21"/>
              <w:ind w:firstLine="0"/>
              <w:jc w:val="left"/>
              <w:rPr>
                <w:sz w:val="20"/>
                <w:szCs w:val="20"/>
              </w:rPr>
            </w:pPr>
            <w:r w:rsidRPr="000E2B94">
              <w:rPr>
                <w:sz w:val="20"/>
                <w:szCs w:val="20"/>
              </w:rPr>
              <w:t>- регистрация СМИ (с округлением)</w:t>
            </w:r>
          </w:p>
          <w:p w:rsidR="0058574E" w:rsidRPr="000E2B94" w:rsidRDefault="0058574E" w:rsidP="00E7317C">
            <w:pPr>
              <w:pStyle w:val="21"/>
              <w:ind w:firstLine="0"/>
              <w:jc w:val="left"/>
              <w:rPr>
                <w:sz w:val="20"/>
                <w:szCs w:val="20"/>
              </w:rPr>
            </w:pPr>
            <w:r w:rsidRPr="000E2B94">
              <w:rPr>
                <w:sz w:val="20"/>
                <w:szCs w:val="20"/>
              </w:rPr>
              <w:t>- внесение изменений (с округлением)</w:t>
            </w:r>
          </w:p>
        </w:tc>
        <w:tc>
          <w:tcPr>
            <w:tcW w:w="1559" w:type="dxa"/>
            <w:tcBorders>
              <w:top w:val="nil"/>
            </w:tcBorders>
          </w:tcPr>
          <w:p w:rsidR="0058574E" w:rsidRPr="000E2B94" w:rsidRDefault="0058574E" w:rsidP="00E7317C">
            <w:pPr>
              <w:pStyle w:val="21"/>
              <w:ind w:firstLine="0"/>
              <w:jc w:val="center"/>
              <w:rPr>
                <w:sz w:val="20"/>
                <w:szCs w:val="20"/>
              </w:rPr>
            </w:pPr>
            <w:r w:rsidRPr="000E2B94">
              <w:rPr>
                <w:sz w:val="20"/>
                <w:szCs w:val="20"/>
              </w:rPr>
              <w:t>48,0</w:t>
            </w:r>
          </w:p>
          <w:p w:rsidR="0058574E" w:rsidRPr="000E2B94" w:rsidRDefault="0058574E" w:rsidP="00E7317C">
            <w:pPr>
              <w:pStyle w:val="21"/>
              <w:ind w:firstLine="0"/>
              <w:jc w:val="center"/>
              <w:rPr>
                <w:sz w:val="20"/>
                <w:szCs w:val="20"/>
              </w:rPr>
            </w:pPr>
          </w:p>
          <w:p w:rsidR="0058574E" w:rsidRPr="000E2B94" w:rsidRDefault="0058574E" w:rsidP="00E7317C">
            <w:pPr>
              <w:pStyle w:val="21"/>
              <w:ind w:firstLine="0"/>
              <w:jc w:val="center"/>
              <w:rPr>
                <w:sz w:val="20"/>
                <w:szCs w:val="20"/>
              </w:rPr>
            </w:pPr>
            <w:r w:rsidRPr="000E2B94">
              <w:rPr>
                <w:sz w:val="20"/>
                <w:szCs w:val="20"/>
              </w:rPr>
              <w:t>20,0</w:t>
            </w:r>
          </w:p>
          <w:p w:rsidR="0058574E" w:rsidRPr="000E2B94" w:rsidRDefault="0058574E" w:rsidP="00E7317C">
            <w:pPr>
              <w:pStyle w:val="21"/>
              <w:ind w:firstLine="0"/>
              <w:jc w:val="center"/>
              <w:rPr>
                <w:sz w:val="20"/>
                <w:szCs w:val="20"/>
              </w:rPr>
            </w:pPr>
            <w:r w:rsidRPr="000E2B94">
              <w:rPr>
                <w:sz w:val="20"/>
                <w:szCs w:val="20"/>
              </w:rPr>
              <w:t>28,0</w:t>
            </w:r>
          </w:p>
        </w:tc>
        <w:tc>
          <w:tcPr>
            <w:tcW w:w="1559" w:type="dxa"/>
            <w:tcBorders>
              <w:top w:val="nil"/>
            </w:tcBorders>
          </w:tcPr>
          <w:p w:rsidR="0058574E" w:rsidRPr="000E2B94" w:rsidRDefault="0058574E" w:rsidP="00E7317C">
            <w:pPr>
              <w:pStyle w:val="21"/>
              <w:ind w:firstLine="0"/>
              <w:jc w:val="center"/>
              <w:rPr>
                <w:sz w:val="20"/>
                <w:szCs w:val="20"/>
              </w:rPr>
            </w:pPr>
            <w:r w:rsidRPr="000E2B94">
              <w:rPr>
                <w:sz w:val="20"/>
                <w:szCs w:val="20"/>
              </w:rPr>
              <w:t>48,0</w:t>
            </w:r>
          </w:p>
          <w:p w:rsidR="0058574E" w:rsidRPr="000E2B94" w:rsidRDefault="0058574E" w:rsidP="00E7317C">
            <w:pPr>
              <w:pStyle w:val="21"/>
              <w:ind w:firstLine="0"/>
              <w:jc w:val="center"/>
              <w:rPr>
                <w:sz w:val="20"/>
                <w:szCs w:val="20"/>
              </w:rPr>
            </w:pPr>
          </w:p>
          <w:p w:rsidR="0058574E" w:rsidRPr="000E2B94" w:rsidRDefault="0058574E" w:rsidP="00E7317C">
            <w:pPr>
              <w:pStyle w:val="21"/>
              <w:ind w:firstLine="0"/>
              <w:jc w:val="center"/>
              <w:rPr>
                <w:sz w:val="20"/>
                <w:szCs w:val="20"/>
              </w:rPr>
            </w:pPr>
            <w:r w:rsidRPr="000E2B94">
              <w:rPr>
                <w:sz w:val="20"/>
                <w:szCs w:val="20"/>
              </w:rPr>
              <w:t>20,0</w:t>
            </w:r>
          </w:p>
          <w:p w:rsidR="0058574E" w:rsidRPr="000E2B94" w:rsidRDefault="0058574E" w:rsidP="00E7317C">
            <w:pPr>
              <w:pStyle w:val="21"/>
              <w:ind w:firstLine="0"/>
              <w:jc w:val="center"/>
              <w:rPr>
                <w:sz w:val="20"/>
                <w:szCs w:val="20"/>
              </w:rPr>
            </w:pPr>
            <w:r w:rsidRPr="000E2B94">
              <w:rPr>
                <w:sz w:val="20"/>
                <w:szCs w:val="20"/>
              </w:rPr>
              <w:t>28,0</w:t>
            </w:r>
          </w:p>
        </w:tc>
        <w:tc>
          <w:tcPr>
            <w:tcW w:w="1559" w:type="dxa"/>
            <w:tcBorders>
              <w:top w:val="nil"/>
            </w:tcBorders>
          </w:tcPr>
          <w:p w:rsidR="0058574E" w:rsidRPr="000E2B94" w:rsidRDefault="0058574E" w:rsidP="00E7317C">
            <w:pPr>
              <w:pStyle w:val="21"/>
              <w:ind w:firstLine="0"/>
              <w:jc w:val="center"/>
              <w:rPr>
                <w:sz w:val="20"/>
                <w:szCs w:val="20"/>
              </w:rPr>
            </w:pPr>
            <w:r w:rsidRPr="000E2B94">
              <w:rPr>
                <w:sz w:val="20"/>
                <w:szCs w:val="20"/>
              </w:rPr>
              <w:t>48,0</w:t>
            </w:r>
          </w:p>
          <w:p w:rsidR="0058574E" w:rsidRPr="000E2B94" w:rsidRDefault="0058574E" w:rsidP="00E7317C">
            <w:pPr>
              <w:pStyle w:val="21"/>
              <w:ind w:firstLine="0"/>
              <w:jc w:val="center"/>
              <w:rPr>
                <w:sz w:val="20"/>
                <w:szCs w:val="20"/>
              </w:rPr>
            </w:pPr>
          </w:p>
          <w:p w:rsidR="0058574E" w:rsidRPr="000E2B94" w:rsidRDefault="0058574E" w:rsidP="00E7317C">
            <w:pPr>
              <w:pStyle w:val="21"/>
              <w:ind w:firstLine="0"/>
              <w:jc w:val="center"/>
              <w:rPr>
                <w:sz w:val="20"/>
                <w:szCs w:val="20"/>
              </w:rPr>
            </w:pPr>
            <w:r w:rsidRPr="000E2B94">
              <w:rPr>
                <w:sz w:val="20"/>
                <w:szCs w:val="20"/>
              </w:rPr>
              <w:t>20,0</w:t>
            </w:r>
          </w:p>
          <w:p w:rsidR="0058574E" w:rsidRPr="000E2B94" w:rsidRDefault="0058574E" w:rsidP="00E7317C">
            <w:pPr>
              <w:jc w:val="center"/>
              <w:rPr>
                <w:sz w:val="20"/>
                <w:szCs w:val="20"/>
              </w:rPr>
            </w:pPr>
            <w:r w:rsidRPr="000E2B94">
              <w:rPr>
                <w:sz w:val="20"/>
                <w:szCs w:val="20"/>
              </w:rPr>
              <w:t>28,0</w:t>
            </w:r>
          </w:p>
        </w:tc>
      </w:tr>
    </w:tbl>
    <w:p w:rsidR="0058574E" w:rsidRPr="000C7712" w:rsidRDefault="0058574E" w:rsidP="0058574E">
      <w:pPr>
        <w:autoSpaceDE w:val="0"/>
        <w:autoSpaceDN w:val="0"/>
        <w:adjustRightInd w:val="0"/>
        <w:jc w:val="center"/>
        <w:rPr>
          <w:b/>
          <w:color w:val="FF0000"/>
        </w:rPr>
      </w:pPr>
    </w:p>
    <w:p w:rsidR="0058574E" w:rsidRPr="00120028" w:rsidRDefault="0058574E" w:rsidP="0058574E">
      <w:pPr>
        <w:autoSpaceDE w:val="0"/>
        <w:autoSpaceDN w:val="0"/>
        <w:adjustRightInd w:val="0"/>
        <w:jc w:val="center"/>
        <w:rPr>
          <w:b/>
          <w:bCs/>
          <w:sz w:val="28"/>
          <w:szCs w:val="28"/>
        </w:rPr>
      </w:pPr>
      <w:r w:rsidRPr="00120028">
        <w:rPr>
          <w:b/>
          <w:bCs/>
          <w:sz w:val="28"/>
          <w:szCs w:val="28"/>
        </w:rPr>
        <w:t>9. 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w:t>
      </w:r>
    </w:p>
    <w:p w:rsidR="0058574E" w:rsidRPr="00120028" w:rsidRDefault="0058574E" w:rsidP="0058574E">
      <w:pPr>
        <w:ind w:left="360"/>
        <w:jc w:val="center"/>
      </w:pPr>
      <w:r w:rsidRPr="00120028">
        <w:t>(УМВД России по Тверской области)</w:t>
      </w:r>
    </w:p>
    <w:p w:rsidR="0058574E" w:rsidRPr="00120028" w:rsidRDefault="0058574E" w:rsidP="0058574E">
      <w:pPr>
        <w:pStyle w:val="21"/>
        <w:ind w:firstLine="0"/>
        <w:jc w:val="center"/>
        <w:rPr>
          <w:b/>
          <w:sz w:val="24"/>
          <w:szCs w:val="24"/>
        </w:rPr>
      </w:pPr>
      <w:r w:rsidRPr="00120028">
        <w:rPr>
          <w:b/>
          <w:sz w:val="24"/>
          <w:szCs w:val="24"/>
        </w:rPr>
        <w:t>(000 1 08 07141 01 0000 110)</w:t>
      </w:r>
    </w:p>
    <w:p w:rsidR="0058574E" w:rsidRPr="00120028" w:rsidRDefault="0058574E" w:rsidP="0058574E">
      <w:pPr>
        <w:pStyle w:val="21"/>
        <w:ind w:firstLine="0"/>
        <w:jc w:val="center"/>
        <w:rPr>
          <w:b/>
          <w:sz w:val="24"/>
          <w:szCs w:val="24"/>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8"/>
        <w:gridCol w:w="1417"/>
        <w:gridCol w:w="1701"/>
        <w:gridCol w:w="1701"/>
      </w:tblGrid>
      <w:tr w:rsidR="0058574E" w:rsidRPr="00120028" w:rsidTr="00E7317C">
        <w:trPr>
          <w:tblHeader/>
        </w:trPr>
        <w:tc>
          <w:tcPr>
            <w:tcW w:w="5388" w:type="dxa"/>
          </w:tcPr>
          <w:p w:rsidR="0058574E" w:rsidRPr="00120028" w:rsidRDefault="0058574E" w:rsidP="00E7317C">
            <w:pPr>
              <w:pStyle w:val="21"/>
              <w:ind w:firstLine="0"/>
              <w:jc w:val="center"/>
              <w:rPr>
                <w:sz w:val="20"/>
                <w:szCs w:val="20"/>
              </w:rPr>
            </w:pPr>
            <w:r w:rsidRPr="00120028">
              <w:rPr>
                <w:sz w:val="20"/>
                <w:szCs w:val="20"/>
              </w:rPr>
              <w:t>Наименование показателя</w:t>
            </w:r>
          </w:p>
        </w:tc>
        <w:tc>
          <w:tcPr>
            <w:tcW w:w="1417" w:type="dxa"/>
          </w:tcPr>
          <w:p w:rsidR="0058574E" w:rsidRPr="00120028" w:rsidRDefault="0058574E" w:rsidP="00E7317C">
            <w:pPr>
              <w:pStyle w:val="21"/>
              <w:ind w:firstLine="0"/>
              <w:jc w:val="center"/>
              <w:rPr>
                <w:sz w:val="20"/>
                <w:szCs w:val="20"/>
              </w:rPr>
            </w:pPr>
            <w:r w:rsidRPr="00120028">
              <w:rPr>
                <w:sz w:val="20"/>
                <w:szCs w:val="20"/>
              </w:rPr>
              <w:t>2022 год</w:t>
            </w:r>
          </w:p>
        </w:tc>
        <w:tc>
          <w:tcPr>
            <w:tcW w:w="1701" w:type="dxa"/>
          </w:tcPr>
          <w:p w:rsidR="0058574E" w:rsidRPr="00120028" w:rsidRDefault="0058574E" w:rsidP="00E7317C">
            <w:pPr>
              <w:pStyle w:val="21"/>
              <w:ind w:firstLine="0"/>
              <w:jc w:val="center"/>
              <w:rPr>
                <w:sz w:val="20"/>
                <w:szCs w:val="20"/>
              </w:rPr>
            </w:pPr>
            <w:r w:rsidRPr="00120028">
              <w:rPr>
                <w:sz w:val="20"/>
                <w:szCs w:val="20"/>
              </w:rPr>
              <w:t>2023 год</w:t>
            </w:r>
          </w:p>
        </w:tc>
        <w:tc>
          <w:tcPr>
            <w:tcW w:w="1701" w:type="dxa"/>
          </w:tcPr>
          <w:p w:rsidR="0058574E" w:rsidRPr="00120028" w:rsidRDefault="0058574E" w:rsidP="00E7317C">
            <w:pPr>
              <w:pStyle w:val="21"/>
              <w:ind w:firstLine="0"/>
              <w:jc w:val="center"/>
              <w:rPr>
                <w:sz w:val="20"/>
                <w:szCs w:val="20"/>
              </w:rPr>
            </w:pPr>
            <w:r w:rsidRPr="00120028">
              <w:rPr>
                <w:sz w:val="20"/>
                <w:szCs w:val="20"/>
              </w:rPr>
              <w:t>2024 год</w:t>
            </w:r>
          </w:p>
        </w:tc>
      </w:tr>
      <w:tr w:rsidR="0058574E" w:rsidRPr="00120028" w:rsidTr="00E7317C">
        <w:trPr>
          <w:trHeight w:val="759"/>
        </w:trPr>
        <w:tc>
          <w:tcPr>
            <w:tcW w:w="5388" w:type="dxa"/>
          </w:tcPr>
          <w:p w:rsidR="0058574E" w:rsidRPr="00120028" w:rsidRDefault="0058574E" w:rsidP="005D6ACF">
            <w:pPr>
              <w:pStyle w:val="21"/>
              <w:numPr>
                <w:ilvl w:val="0"/>
                <w:numId w:val="11"/>
              </w:numPr>
              <w:ind w:left="0" w:firstLine="0"/>
              <w:jc w:val="left"/>
              <w:rPr>
                <w:sz w:val="20"/>
                <w:szCs w:val="20"/>
              </w:rPr>
            </w:pPr>
            <w:r w:rsidRPr="00120028">
              <w:rPr>
                <w:sz w:val="20"/>
                <w:szCs w:val="20"/>
              </w:rPr>
              <w:t>Количество обращений (среднегодовое количество действий (обращений) за 3 предыдущих года):</w:t>
            </w:r>
          </w:p>
          <w:p w:rsidR="0058574E" w:rsidRPr="00120028" w:rsidRDefault="0058574E" w:rsidP="00E7317C">
            <w:pPr>
              <w:pStyle w:val="21"/>
              <w:ind w:firstLine="0"/>
              <w:jc w:val="left"/>
              <w:rPr>
                <w:sz w:val="20"/>
                <w:szCs w:val="20"/>
              </w:rPr>
            </w:pPr>
            <w:r w:rsidRPr="00120028">
              <w:rPr>
                <w:sz w:val="20"/>
                <w:szCs w:val="20"/>
              </w:rPr>
              <w:t>- за выдачу национального водительского удостоверения</w:t>
            </w:r>
          </w:p>
          <w:p w:rsidR="0058574E" w:rsidRPr="00120028" w:rsidRDefault="0058574E" w:rsidP="00E7317C">
            <w:pPr>
              <w:pStyle w:val="21"/>
              <w:ind w:firstLine="0"/>
              <w:jc w:val="left"/>
              <w:rPr>
                <w:sz w:val="20"/>
                <w:szCs w:val="20"/>
              </w:rPr>
            </w:pPr>
            <w:r w:rsidRPr="00120028">
              <w:rPr>
                <w:sz w:val="20"/>
                <w:szCs w:val="20"/>
              </w:rPr>
              <w:t>- за выдачу международного водительского удостоверения</w:t>
            </w:r>
          </w:p>
        </w:tc>
        <w:tc>
          <w:tcPr>
            <w:tcW w:w="1417" w:type="dxa"/>
          </w:tcPr>
          <w:p w:rsidR="0058574E" w:rsidRPr="00120028" w:rsidRDefault="0058574E" w:rsidP="00E7317C">
            <w:pPr>
              <w:pStyle w:val="21"/>
              <w:ind w:firstLine="0"/>
              <w:jc w:val="center"/>
              <w:rPr>
                <w:sz w:val="20"/>
                <w:szCs w:val="20"/>
              </w:rPr>
            </w:pPr>
            <w:r>
              <w:rPr>
                <w:sz w:val="20"/>
                <w:szCs w:val="20"/>
              </w:rPr>
              <w:t>10 210</w:t>
            </w:r>
          </w:p>
          <w:p w:rsidR="0058574E" w:rsidRPr="00120028" w:rsidRDefault="0058574E" w:rsidP="00E7317C">
            <w:pPr>
              <w:pStyle w:val="21"/>
              <w:ind w:firstLine="0"/>
              <w:jc w:val="center"/>
              <w:rPr>
                <w:sz w:val="20"/>
                <w:szCs w:val="20"/>
              </w:rPr>
            </w:pPr>
          </w:p>
          <w:p w:rsidR="0058574E" w:rsidRPr="00120028" w:rsidRDefault="0058574E" w:rsidP="00E7317C">
            <w:pPr>
              <w:pStyle w:val="21"/>
              <w:ind w:firstLine="0"/>
              <w:jc w:val="center"/>
              <w:rPr>
                <w:sz w:val="20"/>
                <w:szCs w:val="20"/>
              </w:rPr>
            </w:pPr>
            <w:r w:rsidRPr="00120028">
              <w:rPr>
                <w:sz w:val="20"/>
                <w:szCs w:val="20"/>
              </w:rPr>
              <w:t>10</w:t>
            </w:r>
            <w:r>
              <w:rPr>
                <w:sz w:val="20"/>
                <w:szCs w:val="20"/>
              </w:rPr>
              <w:t> </w:t>
            </w:r>
            <w:r w:rsidRPr="00120028">
              <w:rPr>
                <w:sz w:val="20"/>
                <w:szCs w:val="20"/>
              </w:rPr>
              <w:t>140</w:t>
            </w:r>
            <w:r>
              <w:rPr>
                <w:sz w:val="20"/>
                <w:szCs w:val="20"/>
              </w:rPr>
              <w:t>,1</w:t>
            </w:r>
          </w:p>
          <w:p w:rsidR="0058574E" w:rsidRPr="00120028" w:rsidRDefault="0058574E" w:rsidP="00E7317C">
            <w:pPr>
              <w:pStyle w:val="21"/>
              <w:ind w:firstLine="0"/>
              <w:jc w:val="center"/>
              <w:rPr>
                <w:sz w:val="20"/>
                <w:szCs w:val="20"/>
              </w:rPr>
            </w:pPr>
            <w:r w:rsidRPr="00120028">
              <w:rPr>
                <w:sz w:val="20"/>
                <w:szCs w:val="20"/>
              </w:rPr>
              <w:t>70</w:t>
            </w:r>
            <w:r>
              <w:rPr>
                <w:sz w:val="20"/>
                <w:szCs w:val="20"/>
              </w:rPr>
              <w:t>,3</w:t>
            </w:r>
          </w:p>
        </w:tc>
        <w:tc>
          <w:tcPr>
            <w:tcW w:w="1701" w:type="dxa"/>
          </w:tcPr>
          <w:p w:rsidR="0058574E" w:rsidRPr="00120028" w:rsidRDefault="0058574E" w:rsidP="00E7317C">
            <w:pPr>
              <w:pStyle w:val="21"/>
              <w:ind w:firstLine="0"/>
              <w:jc w:val="center"/>
              <w:rPr>
                <w:sz w:val="20"/>
                <w:szCs w:val="20"/>
              </w:rPr>
            </w:pPr>
            <w:r>
              <w:rPr>
                <w:sz w:val="20"/>
                <w:szCs w:val="20"/>
              </w:rPr>
              <w:t>8 966,8</w:t>
            </w:r>
          </w:p>
          <w:p w:rsidR="0058574E" w:rsidRPr="00120028" w:rsidRDefault="0058574E" w:rsidP="00E7317C">
            <w:pPr>
              <w:pStyle w:val="21"/>
              <w:ind w:firstLine="0"/>
              <w:jc w:val="center"/>
              <w:rPr>
                <w:sz w:val="20"/>
                <w:szCs w:val="20"/>
              </w:rPr>
            </w:pPr>
          </w:p>
          <w:p w:rsidR="0058574E" w:rsidRPr="00120028" w:rsidRDefault="0058574E" w:rsidP="00E7317C">
            <w:pPr>
              <w:pStyle w:val="21"/>
              <w:ind w:firstLine="0"/>
              <w:jc w:val="center"/>
              <w:rPr>
                <w:sz w:val="20"/>
                <w:szCs w:val="20"/>
              </w:rPr>
            </w:pPr>
            <w:r w:rsidRPr="00120028">
              <w:rPr>
                <w:sz w:val="20"/>
                <w:szCs w:val="20"/>
              </w:rPr>
              <w:t>8 917,8</w:t>
            </w:r>
          </w:p>
          <w:p w:rsidR="0058574E" w:rsidRPr="00120028" w:rsidRDefault="0058574E" w:rsidP="00E7317C">
            <w:pPr>
              <w:pStyle w:val="21"/>
              <w:ind w:firstLine="0"/>
              <w:jc w:val="center"/>
              <w:rPr>
                <w:sz w:val="20"/>
                <w:szCs w:val="20"/>
              </w:rPr>
            </w:pPr>
            <w:r w:rsidRPr="00120028">
              <w:rPr>
                <w:sz w:val="20"/>
                <w:szCs w:val="20"/>
              </w:rPr>
              <w:t>4</w:t>
            </w:r>
            <w:r>
              <w:rPr>
                <w:sz w:val="20"/>
                <w:szCs w:val="20"/>
              </w:rPr>
              <w:t>8,5</w:t>
            </w:r>
          </w:p>
        </w:tc>
        <w:tc>
          <w:tcPr>
            <w:tcW w:w="1701" w:type="dxa"/>
          </w:tcPr>
          <w:p w:rsidR="0058574E" w:rsidRPr="00120028" w:rsidRDefault="0058574E" w:rsidP="00E7317C">
            <w:pPr>
              <w:pStyle w:val="21"/>
              <w:ind w:firstLine="0"/>
              <w:jc w:val="center"/>
              <w:rPr>
                <w:sz w:val="20"/>
                <w:szCs w:val="20"/>
              </w:rPr>
            </w:pPr>
            <w:r>
              <w:rPr>
                <w:sz w:val="20"/>
                <w:szCs w:val="20"/>
              </w:rPr>
              <w:t>9 184,8</w:t>
            </w:r>
          </w:p>
          <w:p w:rsidR="0058574E" w:rsidRPr="00120028" w:rsidRDefault="0058574E" w:rsidP="00E7317C">
            <w:pPr>
              <w:pStyle w:val="21"/>
              <w:ind w:firstLine="0"/>
              <w:jc w:val="center"/>
              <w:rPr>
                <w:sz w:val="20"/>
                <w:szCs w:val="20"/>
              </w:rPr>
            </w:pPr>
          </w:p>
          <w:p w:rsidR="0058574E" w:rsidRPr="00120028" w:rsidRDefault="0058574E" w:rsidP="00E7317C">
            <w:pPr>
              <w:pStyle w:val="21"/>
              <w:ind w:firstLine="0"/>
              <w:jc w:val="center"/>
              <w:rPr>
                <w:sz w:val="20"/>
                <w:szCs w:val="20"/>
              </w:rPr>
            </w:pPr>
            <w:r w:rsidRPr="00120028">
              <w:rPr>
                <w:sz w:val="20"/>
                <w:szCs w:val="20"/>
              </w:rPr>
              <w:t>9 125,8</w:t>
            </w:r>
          </w:p>
          <w:p w:rsidR="0058574E" w:rsidRPr="00120028" w:rsidRDefault="0058574E" w:rsidP="00E7317C">
            <w:pPr>
              <w:pStyle w:val="21"/>
              <w:ind w:firstLine="0"/>
              <w:jc w:val="center"/>
              <w:rPr>
                <w:sz w:val="20"/>
                <w:szCs w:val="20"/>
              </w:rPr>
            </w:pPr>
            <w:r w:rsidRPr="00120028">
              <w:rPr>
                <w:sz w:val="20"/>
                <w:szCs w:val="20"/>
              </w:rPr>
              <w:t>59</w:t>
            </w:r>
            <w:r>
              <w:rPr>
                <w:sz w:val="20"/>
                <w:szCs w:val="20"/>
              </w:rPr>
              <w:t>,2</w:t>
            </w:r>
          </w:p>
        </w:tc>
      </w:tr>
      <w:tr w:rsidR="0058574E" w:rsidRPr="00120028" w:rsidTr="00E7317C">
        <w:trPr>
          <w:trHeight w:val="759"/>
        </w:trPr>
        <w:tc>
          <w:tcPr>
            <w:tcW w:w="5388" w:type="dxa"/>
          </w:tcPr>
          <w:p w:rsidR="0058574E" w:rsidRPr="00120028" w:rsidRDefault="0058574E" w:rsidP="005D6ACF">
            <w:pPr>
              <w:pStyle w:val="21"/>
              <w:numPr>
                <w:ilvl w:val="0"/>
                <w:numId w:val="11"/>
              </w:numPr>
              <w:ind w:left="0" w:firstLine="0"/>
              <w:jc w:val="left"/>
              <w:rPr>
                <w:sz w:val="20"/>
                <w:szCs w:val="20"/>
              </w:rPr>
            </w:pPr>
            <w:r w:rsidRPr="00120028">
              <w:rPr>
                <w:sz w:val="20"/>
                <w:szCs w:val="20"/>
              </w:rPr>
              <w:t>Размер госпошлины, тыс. руб.:</w:t>
            </w:r>
          </w:p>
          <w:p w:rsidR="0058574E" w:rsidRPr="00120028" w:rsidRDefault="0058574E" w:rsidP="00E7317C">
            <w:pPr>
              <w:pStyle w:val="21"/>
              <w:ind w:firstLine="0"/>
              <w:jc w:val="left"/>
              <w:rPr>
                <w:sz w:val="20"/>
                <w:szCs w:val="20"/>
              </w:rPr>
            </w:pPr>
            <w:r w:rsidRPr="00120028">
              <w:rPr>
                <w:sz w:val="20"/>
                <w:szCs w:val="20"/>
              </w:rPr>
              <w:t>- за выдачу национального водительского удостоверения</w:t>
            </w:r>
          </w:p>
          <w:p w:rsidR="0058574E" w:rsidRPr="00120028" w:rsidRDefault="0058574E" w:rsidP="00E7317C">
            <w:pPr>
              <w:pStyle w:val="21"/>
              <w:ind w:firstLine="0"/>
              <w:jc w:val="left"/>
              <w:rPr>
                <w:sz w:val="20"/>
                <w:szCs w:val="20"/>
              </w:rPr>
            </w:pPr>
            <w:r w:rsidRPr="00120028">
              <w:rPr>
                <w:sz w:val="20"/>
                <w:szCs w:val="20"/>
              </w:rPr>
              <w:t>- за выдачу международного водительского удостоверения</w:t>
            </w:r>
          </w:p>
          <w:p w:rsidR="0058574E" w:rsidRPr="00120028" w:rsidRDefault="0058574E" w:rsidP="00E7317C">
            <w:pPr>
              <w:pStyle w:val="21"/>
              <w:ind w:firstLine="0"/>
              <w:jc w:val="left"/>
              <w:rPr>
                <w:sz w:val="20"/>
                <w:szCs w:val="20"/>
              </w:rPr>
            </w:pPr>
          </w:p>
        </w:tc>
        <w:tc>
          <w:tcPr>
            <w:tcW w:w="1417" w:type="dxa"/>
          </w:tcPr>
          <w:p w:rsidR="0058574E" w:rsidRPr="00120028" w:rsidRDefault="0058574E" w:rsidP="00E7317C">
            <w:pPr>
              <w:pStyle w:val="21"/>
              <w:ind w:firstLine="0"/>
              <w:jc w:val="center"/>
              <w:rPr>
                <w:sz w:val="20"/>
                <w:szCs w:val="20"/>
              </w:rPr>
            </w:pPr>
          </w:p>
          <w:p w:rsidR="0058574E" w:rsidRPr="00120028" w:rsidRDefault="0058574E" w:rsidP="00E7317C">
            <w:pPr>
              <w:pStyle w:val="21"/>
              <w:ind w:firstLine="0"/>
              <w:jc w:val="center"/>
              <w:rPr>
                <w:sz w:val="20"/>
                <w:szCs w:val="20"/>
              </w:rPr>
            </w:pPr>
            <w:r w:rsidRPr="00120028">
              <w:rPr>
                <w:sz w:val="20"/>
                <w:szCs w:val="20"/>
              </w:rPr>
              <w:t>2000</w:t>
            </w:r>
          </w:p>
          <w:p w:rsidR="0058574E" w:rsidRPr="00120028" w:rsidRDefault="0058574E" w:rsidP="00E7317C">
            <w:pPr>
              <w:pStyle w:val="21"/>
              <w:ind w:firstLine="0"/>
              <w:jc w:val="center"/>
              <w:rPr>
                <w:sz w:val="20"/>
                <w:szCs w:val="20"/>
              </w:rPr>
            </w:pPr>
            <w:r w:rsidRPr="00120028">
              <w:rPr>
                <w:sz w:val="20"/>
                <w:szCs w:val="20"/>
              </w:rPr>
              <w:t>1600</w:t>
            </w:r>
          </w:p>
        </w:tc>
        <w:tc>
          <w:tcPr>
            <w:tcW w:w="1701" w:type="dxa"/>
          </w:tcPr>
          <w:p w:rsidR="0058574E" w:rsidRPr="00120028" w:rsidRDefault="0058574E" w:rsidP="00E7317C">
            <w:pPr>
              <w:pStyle w:val="21"/>
              <w:ind w:firstLine="0"/>
              <w:jc w:val="center"/>
              <w:rPr>
                <w:sz w:val="20"/>
                <w:szCs w:val="20"/>
              </w:rPr>
            </w:pPr>
          </w:p>
          <w:p w:rsidR="0058574E" w:rsidRPr="00120028" w:rsidRDefault="0058574E" w:rsidP="00E7317C">
            <w:pPr>
              <w:pStyle w:val="21"/>
              <w:ind w:firstLine="0"/>
              <w:jc w:val="center"/>
              <w:rPr>
                <w:sz w:val="20"/>
                <w:szCs w:val="20"/>
              </w:rPr>
            </w:pPr>
            <w:r w:rsidRPr="00120028">
              <w:rPr>
                <w:sz w:val="20"/>
                <w:szCs w:val="20"/>
              </w:rPr>
              <w:t>2000</w:t>
            </w:r>
          </w:p>
          <w:p w:rsidR="0058574E" w:rsidRPr="00120028" w:rsidRDefault="0058574E" w:rsidP="00E7317C">
            <w:pPr>
              <w:pStyle w:val="21"/>
              <w:ind w:firstLine="0"/>
              <w:jc w:val="center"/>
              <w:rPr>
                <w:sz w:val="20"/>
                <w:szCs w:val="20"/>
              </w:rPr>
            </w:pPr>
            <w:r w:rsidRPr="00120028">
              <w:rPr>
                <w:sz w:val="20"/>
                <w:szCs w:val="20"/>
              </w:rPr>
              <w:t>1600</w:t>
            </w:r>
          </w:p>
        </w:tc>
        <w:tc>
          <w:tcPr>
            <w:tcW w:w="1701" w:type="dxa"/>
          </w:tcPr>
          <w:p w:rsidR="0058574E" w:rsidRPr="00120028" w:rsidRDefault="0058574E" w:rsidP="00E7317C">
            <w:pPr>
              <w:pStyle w:val="21"/>
              <w:ind w:firstLine="0"/>
              <w:jc w:val="center"/>
              <w:rPr>
                <w:sz w:val="20"/>
                <w:szCs w:val="20"/>
              </w:rPr>
            </w:pPr>
          </w:p>
          <w:p w:rsidR="0058574E" w:rsidRPr="00120028" w:rsidRDefault="0058574E" w:rsidP="00E7317C">
            <w:pPr>
              <w:pStyle w:val="21"/>
              <w:ind w:firstLine="0"/>
              <w:jc w:val="center"/>
              <w:rPr>
                <w:sz w:val="20"/>
                <w:szCs w:val="20"/>
              </w:rPr>
            </w:pPr>
            <w:r w:rsidRPr="00120028">
              <w:rPr>
                <w:sz w:val="20"/>
                <w:szCs w:val="20"/>
              </w:rPr>
              <w:t>2000</w:t>
            </w:r>
          </w:p>
          <w:p w:rsidR="0058574E" w:rsidRPr="00120028" w:rsidRDefault="0058574E" w:rsidP="00E7317C">
            <w:pPr>
              <w:pStyle w:val="21"/>
              <w:ind w:firstLine="0"/>
              <w:jc w:val="center"/>
              <w:rPr>
                <w:sz w:val="20"/>
                <w:szCs w:val="20"/>
              </w:rPr>
            </w:pPr>
            <w:r w:rsidRPr="00120028">
              <w:rPr>
                <w:sz w:val="20"/>
                <w:szCs w:val="20"/>
              </w:rPr>
              <w:t>1600</w:t>
            </w:r>
          </w:p>
        </w:tc>
      </w:tr>
      <w:tr w:rsidR="0058574E" w:rsidRPr="00120028" w:rsidTr="00E7317C">
        <w:trPr>
          <w:trHeight w:val="759"/>
        </w:trPr>
        <w:tc>
          <w:tcPr>
            <w:tcW w:w="5388" w:type="dxa"/>
          </w:tcPr>
          <w:p w:rsidR="0058574E" w:rsidRPr="00120028" w:rsidRDefault="0058574E" w:rsidP="005D6ACF">
            <w:pPr>
              <w:pStyle w:val="21"/>
              <w:numPr>
                <w:ilvl w:val="0"/>
                <w:numId w:val="11"/>
              </w:numPr>
              <w:ind w:left="0" w:firstLine="0"/>
              <w:jc w:val="left"/>
              <w:rPr>
                <w:sz w:val="20"/>
                <w:szCs w:val="20"/>
              </w:rPr>
            </w:pPr>
            <w:r w:rsidRPr="00120028">
              <w:rPr>
                <w:sz w:val="20"/>
                <w:szCs w:val="20"/>
              </w:rPr>
              <w:t>Государственная пошлина - всего, тыс. руб. (норматив зачисления госпошлины в областной бюджет – 50 %):</w:t>
            </w:r>
          </w:p>
          <w:p w:rsidR="0058574E" w:rsidRPr="00120028" w:rsidRDefault="0058574E" w:rsidP="00E7317C">
            <w:pPr>
              <w:pStyle w:val="21"/>
              <w:ind w:firstLine="0"/>
              <w:jc w:val="left"/>
              <w:rPr>
                <w:sz w:val="20"/>
                <w:szCs w:val="20"/>
              </w:rPr>
            </w:pPr>
            <w:r w:rsidRPr="00120028">
              <w:rPr>
                <w:sz w:val="20"/>
                <w:szCs w:val="20"/>
              </w:rPr>
              <w:t>- за выдачу национального водительского</w:t>
            </w:r>
            <w:r>
              <w:rPr>
                <w:sz w:val="20"/>
                <w:szCs w:val="20"/>
              </w:rPr>
              <w:t xml:space="preserve"> </w:t>
            </w:r>
            <w:r w:rsidRPr="00120028">
              <w:rPr>
                <w:sz w:val="20"/>
                <w:szCs w:val="20"/>
              </w:rPr>
              <w:t>удостоверения. (норматив зачисления госпошлины в областной бюджет – 50 %)</w:t>
            </w:r>
          </w:p>
          <w:p w:rsidR="0058574E" w:rsidRPr="00120028" w:rsidRDefault="0058574E" w:rsidP="00E7317C">
            <w:pPr>
              <w:pStyle w:val="21"/>
              <w:ind w:firstLine="0"/>
              <w:jc w:val="left"/>
              <w:rPr>
                <w:sz w:val="20"/>
                <w:szCs w:val="20"/>
              </w:rPr>
            </w:pPr>
            <w:r w:rsidRPr="00120028">
              <w:rPr>
                <w:sz w:val="20"/>
                <w:szCs w:val="20"/>
              </w:rPr>
              <w:t xml:space="preserve">- за выдачу международного водительского удостоверения </w:t>
            </w:r>
          </w:p>
        </w:tc>
        <w:tc>
          <w:tcPr>
            <w:tcW w:w="1417" w:type="dxa"/>
          </w:tcPr>
          <w:p w:rsidR="0058574E" w:rsidRPr="00120028" w:rsidRDefault="0058574E" w:rsidP="00E7317C">
            <w:pPr>
              <w:pStyle w:val="21"/>
              <w:ind w:firstLine="0"/>
              <w:jc w:val="center"/>
              <w:rPr>
                <w:sz w:val="20"/>
                <w:szCs w:val="20"/>
              </w:rPr>
            </w:pPr>
            <w:r>
              <w:rPr>
                <w:sz w:val="20"/>
                <w:szCs w:val="20"/>
              </w:rPr>
              <w:t>10 196,3</w:t>
            </w:r>
          </w:p>
          <w:p w:rsidR="0058574E" w:rsidRPr="00120028" w:rsidRDefault="0058574E" w:rsidP="00E7317C">
            <w:pPr>
              <w:pStyle w:val="21"/>
              <w:ind w:firstLine="0"/>
              <w:jc w:val="center"/>
              <w:rPr>
                <w:sz w:val="20"/>
                <w:szCs w:val="20"/>
              </w:rPr>
            </w:pPr>
          </w:p>
          <w:p w:rsidR="0058574E" w:rsidRPr="00120028" w:rsidRDefault="0058574E" w:rsidP="00E7317C">
            <w:pPr>
              <w:pStyle w:val="21"/>
              <w:ind w:firstLine="0"/>
              <w:jc w:val="center"/>
              <w:rPr>
                <w:sz w:val="20"/>
                <w:szCs w:val="20"/>
              </w:rPr>
            </w:pPr>
          </w:p>
          <w:p w:rsidR="0058574E" w:rsidRPr="00120028" w:rsidRDefault="0058574E" w:rsidP="00E7317C">
            <w:pPr>
              <w:pStyle w:val="21"/>
              <w:ind w:firstLine="0"/>
              <w:jc w:val="center"/>
              <w:rPr>
                <w:sz w:val="20"/>
                <w:szCs w:val="20"/>
              </w:rPr>
            </w:pPr>
            <w:r>
              <w:rPr>
                <w:sz w:val="20"/>
                <w:szCs w:val="20"/>
              </w:rPr>
              <w:t>10 140,1</w:t>
            </w:r>
          </w:p>
          <w:p w:rsidR="0058574E" w:rsidRPr="00120028" w:rsidRDefault="0058574E" w:rsidP="00E7317C">
            <w:pPr>
              <w:pStyle w:val="21"/>
              <w:ind w:firstLine="0"/>
              <w:jc w:val="center"/>
              <w:rPr>
                <w:sz w:val="20"/>
                <w:szCs w:val="20"/>
              </w:rPr>
            </w:pPr>
          </w:p>
          <w:p w:rsidR="0058574E" w:rsidRPr="00120028" w:rsidRDefault="0058574E" w:rsidP="00E7317C">
            <w:pPr>
              <w:pStyle w:val="21"/>
              <w:ind w:firstLine="0"/>
              <w:jc w:val="center"/>
              <w:rPr>
                <w:sz w:val="20"/>
                <w:szCs w:val="20"/>
              </w:rPr>
            </w:pPr>
          </w:p>
          <w:p w:rsidR="0058574E" w:rsidRPr="00120028" w:rsidRDefault="0058574E" w:rsidP="00E7317C">
            <w:pPr>
              <w:pStyle w:val="21"/>
              <w:ind w:firstLine="0"/>
              <w:jc w:val="center"/>
              <w:rPr>
                <w:sz w:val="20"/>
                <w:szCs w:val="20"/>
              </w:rPr>
            </w:pPr>
            <w:r w:rsidRPr="00120028">
              <w:rPr>
                <w:sz w:val="20"/>
                <w:szCs w:val="20"/>
              </w:rPr>
              <w:t>56,2</w:t>
            </w:r>
          </w:p>
        </w:tc>
        <w:tc>
          <w:tcPr>
            <w:tcW w:w="1701" w:type="dxa"/>
          </w:tcPr>
          <w:p w:rsidR="0058574E" w:rsidRPr="00120028" w:rsidRDefault="0058574E" w:rsidP="00E7317C">
            <w:pPr>
              <w:pStyle w:val="21"/>
              <w:ind w:firstLine="0"/>
              <w:jc w:val="center"/>
              <w:rPr>
                <w:sz w:val="20"/>
                <w:szCs w:val="20"/>
              </w:rPr>
            </w:pPr>
            <w:r>
              <w:rPr>
                <w:sz w:val="20"/>
                <w:szCs w:val="20"/>
              </w:rPr>
              <w:t>8 956,6</w:t>
            </w:r>
          </w:p>
          <w:p w:rsidR="0058574E" w:rsidRPr="00120028" w:rsidRDefault="0058574E" w:rsidP="00E7317C">
            <w:pPr>
              <w:pStyle w:val="21"/>
              <w:ind w:firstLine="0"/>
              <w:jc w:val="center"/>
              <w:rPr>
                <w:sz w:val="20"/>
                <w:szCs w:val="20"/>
              </w:rPr>
            </w:pPr>
          </w:p>
          <w:p w:rsidR="0058574E" w:rsidRPr="00120028" w:rsidRDefault="0058574E" w:rsidP="00E7317C">
            <w:pPr>
              <w:pStyle w:val="21"/>
              <w:ind w:firstLine="0"/>
              <w:jc w:val="center"/>
              <w:rPr>
                <w:sz w:val="20"/>
                <w:szCs w:val="20"/>
              </w:rPr>
            </w:pPr>
          </w:p>
          <w:p w:rsidR="0058574E" w:rsidRPr="00120028" w:rsidRDefault="0058574E" w:rsidP="00E7317C">
            <w:pPr>
              <w:pStyle w:val="21"/>
              <w:ind w:firstLine="0"/>
              <w:jc w:val="center"/>
              <w:rPr>
                <w:sz w:val="20"/>
                <w:szCs w:val="20"/>
              </w:rPr>
            </w:pPr>
            <w:r w:rsidRPr="00120028">
              <w:rPr>
                <w:sz w:val="20"/>
                <w:szCs w:val="20"/>
              </w:rPr>
              <w:t>8 917,8</w:t>
            </w:r>
          </w:p>
          <w:p w:rsidR="0058574E" w:rsidRPr="00120028" w:rsidRDefault="0058574E" w:rsidP="00E7317C">
            <w:pPr>
              <w:pStyle w:val="21"/>
              <w:ind w:firstLine="0"/>
              <w:jc w:val="center"/>
              <w:rPr>
                <w:sz w:val="20"/>
                <w:szCs w:val="20"/>
              </w:rPr>
            </w:pPr>
          </w:p>
          <w:p w:rsidR="0058574E" w:rsidRPr="00120028" w:rsidRDefault="0058574E" w:rsidP="00E7317C">
            <w:pPr>
              <w:pStyle w:val="21"/>
              <w:ind w:firstLine="0"/>
              <w:jc w:val="center"/>
              <w:rPr>
                <w:sz w:val="20"/>
                <w:szCs w:val="20"/>
              </w:rPr>
            </w:pPr>
          </w:p>
          <w:p w:rsidR="0058574E" w:rsidRPr="00120028" w:rsidRDefault="0058574E" w:rsidP="00E7317C">
            <w:pPr>
              <w:pStyle w:val="21"/>
              <w:ind w:firstLine="0"/>
              <w:jc w:val="center"/>
              <w:rPr>
                <w:sz w:val="20"/>
                <w:szCs w:val="20"/>
              </w:rPr>
            </w:pPr>
            <w:r w:rsidRPr="00120028">
              <w:rPr>
                <w:sz w:val="20"/>
                <w:szCs w:val="20"/>
              </w:rPr>
              <w:t>38,8</w:t>
            </w:r>
          </w:p>
        </w:tc>
        <w:tc>
          <w:tcPr>
            <w:tcW w:w="1701" w:type="dxa"/>
          </w:tcPr>
          <w:p w:rsidR="0058574E" w:rsidRPr="00120028" w:rsidRDefault="0058574E" w:rsidP="00E7317C">
            <w:pPr>
              <w:pStyle w:val="21"/>
              <w:ind w:firstLine="0"/>
              <w:jc w:val="center"/>
              <w:rPr>
                <w:sz w:val="20"/>
                <w:szCs w:val="20"/>
              </w:rPr>
            </w:pPr>
            <w:r>
              <w:rPr>
                <w:sz w:val="20"/>
                <w:szCs w:val="20"/>
              </w:rPr>
              <w:t>9 173,2</w:t>
            </w:r>
          </w:p>
          <w:p w:rsidR="0058574E" w:rsidRPr="00120028" w:rsidRDefault="0058574E" w:rsidP="00E7317C">
            <w:pPr>
              <w:pStyle w:val="21"/>
              <w:ind w:firstLine="0"/>
              <w:jc w:val="center"/>
              <w:rPr>
                <w:sz w:val="20"/>
                <w:szCs w:val="20"/>
              </w:rPr>
            </w:pPr>
          </w:p>
          <w:p w:rsidR="0058574E" w:rsidRPr="00120028" w:rsidRDefault="0058574E" w:rsidP="00E7317C">
            <w:pPr>
              <w:pStyle w:val="21"/>
              <w:ind w:firstLine="0"/>
              <w:jc w:val="center"/>
              <w:rPr>
                <w:sz w:val="20"/>
                <w:szCs w:val="20"/>
              </w:rPr>
            </w:pPr>
          </w:p>
          <w:p w:rsidR="0058574E" w:rsidRPr="00120028" w:rsidRDefault="0058574E" w:rsidP="00E7317C">
            <w:pPr>
              <w:pStyle w:val="21"/>
              <w:ind w:firstLine="0"/>
              <w:jc w:val="center"/>
              <w:rPr>
                <w:sz w:val="20"/>
                <w:szCs w:val="20"/>
              </w:rPr>
            </w:pPr>
            <w:r w:rsidRPr="00120028">
              <w:rPr>
                <w:sz w:val="20"/>
                <w:szCs w:val="20"/>
              </w:rPr>
              <w:t>9</w:t>
            </w:r>
            <w:r>
              <w:rPr>
                <w:sz w:val="20"/>
                <w:szCs w:val="20"/>
              </w:rPr>
              <w:t> </w:t>
            </w:r>
            <w:r w:rsidRPr="00120028">
              <w:rPr>
                <w:sz w:val="20"/>
                <w:szCs w:val="20"/>
              </w:rPr>
              <w:t>125,8</w:t>
            </w:r>
          </w:p>
          <w:p w:rsidR="0058574E" w:rsidRPr="00120028" w:rsidRDefault="0058574E" w:rsidP="00E7317C">
            <w:pPr>
              <w:pStyle w:val="21"/>
              <w:ind w:firstLine="0"/>
              <w:jc w:val="center"/>
              <w:rPr>
                <w:sz w:val="20"/>
                <w:szCs w:val="20"/>
              </w:rPr>
            </w:pPr>
          </w:p>
          <w:p w:rsidR="0058574E" w:rsidRPr="00120028" w:rsidRDefault="0058574E" w:rsidP="00E7317C">
            <w:pPr>
              <w:pStyle w:val="21"/>
              <w:ind w:firstLine="0"/>
              <w:jc w:val="center"/>
              <w:rPr>
                <w:sz w:val="20"/>
                <w:szCs w:val="20"/>
              </w:rPr>
            </w:pPr>
          </w:p>
          <w:p w:rsidR="0058574E" w:rsidRPr="00120028" w:rsidRDefault="0058574E" w:rsidP="00E7317C">
            <w:pPr>
              <w:pStyle w:val="21"/>
              <w:ind w:firstLine="0"/>
              <w:jc w:val="center"/>
              <w:rPr>
                <w:sz w:val="20"/>
                <w:szCs w:val="20"/>
              </w:rPr>
            </w:pPr>
            <w:r w:rsidRPr="00120028">
              <w:rPr>
                <w:sz w:val="20"/>
                <w:szCs w:val="20"/>
              </w:rPr>
              <w:t>47,4</w:t>
            </w:r>
          </w:p>
        </w:tc>
      </w:tr>
    </w:tbl>
    <w:p w:rsidR="0058574E" w:rsidRPr="00A45F17" w:rsidRDefault="0058574E" w:rsidP="0058574E">
      <w:pPr>
        <w:pStyle w:val="21"/>
        <w:ind w:firstLine="0"/>
        <w:jc w:val="center"/>
        <w:rPr>
          <w:b/>
          <w:sz w:val="16"/>
        </w:rPr>
      </w:pPr>
    </w:p>
    <w:p w:rsidR="0058574E" w:rsidRPr="00A45F17" w:rsidRDefault="0058574E" w:rsidP="0058574E">
      <w:pPr>
        <w:pStyle w:val="21"/>
        <w:ind w:firstLine="0"/>
        <w:jc w:val="center"/>
        <w:rPr>
          <w:b/>
        </w:rPr>
      </w:pPr>
    </w:p>
    <w:p w:rsidR="0058574E" w:rsidRPr="00A45F17" w:rsidRDefault="0058574E" w:rsidP="0058574E">
      <w:pPr>
        <w:pStyle w:val="21"/>
        <w:ind w:firstLine="0"/>
        <w:jc w:val="center"/>
        <w:rPr>
          <w:b/>
        </w:rPr>
      </w:pPr>
    </w:p>
    <w:p w:rsidR="0058574E" w:rsidRPr="00A45F17" w:rsidRDefault="0058574E" w:rsidP="0058574E">
      <w:pPr>
        <w:pStyle w:val="21"/>
        <w:ind w:firstLine="0"/>
        <w:jc w:val="center"/>
        <w:rPr>
          <w:b/>
        </w:rPr>
      </w:pPr>
    </w:p>
    <w:p w:rsidR="0058574E" w:rsidRPr="00A45F17" w:rsidRDefault="0058574E" w:rsidP="0058574E">
      <w:pPr>
        <w:pStyle w:val="21"/>
        <w:ind w:firstLine="0"/>
        <w:jc w:val="center"/>
        <w:rPr>
          <w:b/>
        </w:rPr>
      </w:pPr>
    </w:p>
    <w:p w:rsidR="0058574E" w:rsidRPr="00333651" w:rsidRDefault="0058574E" w:rsidP="0058574E">
      <w:pPr>
        <w:pStyle w:val="21"/>
        <w:ind w:firstLine="0"/>
        <w:jc w:val="center"/>
        <w:rPr>
          <w:b/>
        </w:rPr>
      </w:pPr>
      <w:r w:rsidRPr="00333651">
        <w:rPr>
          <w:b/>
        </w:rPr>
        <w:t xml:space="preserve">10. Государственная пошлина за совершение действий уполномоченными органами исполнительной власти субъектов Российской Федерации, </w:t>
      </w:r>
      <w:r w:rsidRPr="00333651">
        <w:rPr>
          <w:b/>
        </w:rPr>
        <w:lastRenderedPageBreak/>
        <w:t>связанных с выдачей документов о проведении государственного технического осмотра тракторов, самоходных дорожно-строительных и иных самоходных машин и прицепов к ним, государственной регистрацией мототранспортных средств, прицепов, тракторов, самоходных дорожно-строительных и иных самоходных машин, выдачей удостоверений тракториста-машиниста (тракториста), временных удостоверений на право управления самоходными машинами, в том числе взамен утраченных или пришедших в негодность</w:t>
      </w:r>
    </w:p>
    <w:p w:rsidR="0058574E" w:rsidRPr="00333651" w:rsidRDefault="0058574E" w:rsidP="0058574E">
      <w:pPr>
        <w:pStyle w:val="21"/>
        <w:ind w:firstLine="0"/>
        <w:jc w:val="center"/>
        <w:rPr>
          <w:b/>
        </w:rPr>
      </w:pPr>
      <w:r w:rsidRPr="00333651">
        <w:rPr>
          <w:b/>
          <w:sz w:val="24"/>
          <w:szCs w:val="24"/>
        </w:rPr>
        <w:t>(</w:t>
      </w:r>
      <w:r w:rsidRPr="00333651">
        <w:rPr>
          <w:sz w:val="24"/>
          <w:szCs w:val="24"/>
        </w:rPr>
        <w:t>по данным Главного управления «Государственная инспекция по надзору за техническим состоянием самоходных машин и других видов техники» Тверской области)</w:t>
      </w:r>
    </w:p>
    <w:p w:rsidR="0058574E" w:rsidRPr="00333651" w:rsidRDefault="0058574E" w:rsidP="0058574E">
      <w:pPr>
        <w:pStyle w:val="21"/>
        <w:ind w:firstLine="0"/>
        <w:jc w:val="center"/>
        <w:rPr>
          <w:b/>
        </w:rPr>
      </w:pPr>
      <w:r w:rsidRPr="00333651">
        <w:rPr>
          <w:b/>
          <w:sz w:val="24"/>
          <w:szCs w:val="24"/>
        </w:rPr>
        <w:t xml:space="preserve">(000 </w:t>
      </w:r>
      <w:r w:rsidRPr="00333651">
        <w:rPr>
          <w:b/>
          <w:sz w:val="24"/>
          <w:szCs w:val="24"/>
          <w:lang w:val="en-US"/>
        </w:rPr>
        <w:t>1 08 07142 01 0000 110</w:t>
      </w:r>
      <w:r w:rsidRPr="00333651">
        <w:rPr>
          <w:b/>
          <w:sz w:val="24"/>
          <w:szCs w:val="24"/>
        </w:rPr>
        <w:t>)</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8"/>
        <w:gridCol w:w="1559"/>
        <w:gridCol w:w="1559"/>
        <w:gridCol w:w="1559"/>
      </w:tblGrid>
      <w:tr w:rsidR="0058574E" w:rsidRPr="00333651" w:rsidTr="00E7317C">
        <w:trPr>
          <w:tblHeader/>
        </w:trPr>
        <w:tc>
          <w:tcPr>
            <w:tcW w:w="5388" w:type="dxa"/>
          </w:tcPr>
          <w:p w:rsidR="0058574E" w:rsidRPr="00333651" w:rsidRDefault="0058574E" w:rsidP="00E7317C">
            <w:pPr>
              <w:pStyle w:val="21"/>
              <w:ind w:firstLine="0"/>
              <w:jc w:val="center"/>
              <w:rPr>
                <w:sz w:val="20"/>
                <w:szCs w:val="20"/>
              </w:rPr>
            </w:pPr>
            <w:r w:rsidRPr="00333651">
              <w:rPr>
                <w:sz w:val="20"/>
                <w:szCs w:val="20"/>
              </w:rPr>
              <w:t>Наименование показателя</w:t>
            </w:r>
          </w:p>
        </w:tc>
        <w:tc>
          <w:tcPr>
            <w:tcW w:w="1559" w:type="dxa"/>
          </w:tcPr>
          <w:p w:rsidR="0058574E" w:rsidRPr="00333651" w:rsidRDefault="0058574E" w:rsidP="00E7317C">
            <w:pPr>
              <w:pStyle w:val="21"/>
              <w:ind w:left="720" w:hanging="720"/>
              <w:jc w:val="center"/>
              <w:rPr>
                <w:sz w:val="20"/>
                <w:szCs w:val="20"/>
              </w:rPr>
            </w:pPr>
            <w:r w:rsidRPr="00333651">
              <w:rPr>
                <w:sz w:val="20"/>
                <w:szCs w:val="20"/>
              </w:rPr>
              <w:t>2022 год</w:t>
            </w:r>
          </w:p>
        </w:tc>
        <w:tc>
          <w:tcPr>
            <w:tcW w:w="1559" w:type="dxa"/>
          </w:tcPr>
          <w:p w:rsidR="0058574E" w:rsidRPr="00333651" w:rsidRDefault="0058574E" w:rsidP="00E7317C">
            <w:pPr>
              <w:pStyle w:val="21"/>
              <w:ind w:firstLine="0"/>
              <w:jc w:val="center"/>
              <w:rPr>
                <w:sz w:val="20"/>
                <w:szCs w:val="20"/>
              </w:rPr>
            </w:pPr>
            <w:r w:rsidRPr="00333651">
              <w:rPr>
                <w:sz w:val="20"/>
                <w:szCs w:val="20"/>
              </w:rPr>
              <w:t>2023 год</w:t>
            </w:r>
          </w:p>
        </w:tc>
        <w:tc>
          <w:tcPr>
            <w:tcW w:w="1559" w:type="dxa"/>
          </w:tcPr>
          <w:p w:rsidR="0058574E" w:rsidRPr="00333651" w:rsidRDefault="0058574E" w:rsidP="00E7317C">
            <w:pPr>
              <w:pStyle w:val="21"/>
              <w:ind w:firstLine="0"/>
              <w:jc w:val="center"/>
              <w:rPr>
                <w:sz w:val="20"/>
                <w:szCs w:val="20"/>
              </w:rPr>
            </w:pPr>
            <w:r w:rsidRPr="00333651">
              <w:rPr>
                <w:sz w:val="20"/>
                <w:szCs w:val="20"/>
              </w:rPr>
              <w:t>2024 год</w:t>
            </w:r>
          </w:p>
        </w:tc>
      </w:tr>
      <w:tr w:rsidR="0058574E" w:rsidRPr="00333651" w:rsidTr="00E7317C">
        <w:trPr>
          <w:trHeight w:val="4288"/>
        </w:trPr>
        <w:tc>
          <w:tcPr>
            <w:tcW w:w="5388" w:type="dxa"/>
          </w:tcPr>
          <w:p w:rsidR="0058574E" w:rsidRPr="00333651" w:rsidRDefault="0058574E" w:rsidP="00E7317C">
            <w:pPr>
              <w:pStyle w:val="21"/>
              <w:ind w:firstLine="0"/>
              <w:jc w:val="left"/>
              <w:rPr>
                <w:sz w:val="20"/>
                <w:szCs w:val="20"/>
              </w:rPr>
            </w:pPr>
            <w:r w:rsidRPr="00333651">
              <w:rPr>
                <w:sz w:val="20"/>
                <w:szCs w:val="20"/>
              </w:rPr>
              <w:t>1. Количество регистрационных действий:</w:t>
            </w:r>
          </w:p>
          <w:p w:rsidR="0058574E" w:rsidRPr="00333651" w:rsidRDefault="0058574E" w:rsidP="00E7317C">
            <w:pPr>
              <w:pStyle w:val="21"/>
              <w:ind w:firstLine="0"/>
              <w:jc w:val="left"/>
              <w:rPr>
                <w:sz w:val="20"/>
                <w:szCs w:val="20"/>
              </w:rPr>
            </w:pPr>
            <w:r w:rsidRPr="00333651">
              <w:rPr>
                <w:sz w:val="20"/>
                <w:szCs w:val="20"/>
              </w:rPr>
              <w:t>1.1. выдача государственных регистрационных знаков на тракторы, самоходные дорожно-строительные и иные самоходные машины (по каждому муниципальному образованию)</w:t>
            </w:r>
          </w:p>
          <w:p w:rsidR="0058574E" w:rsidRPr="00333651" w:rsidRDefault="0058574E" w:rsidP="00E7317C">
            <w:pPr>
              <w:pStyle w:val="21"/>
              <w:ind w:firstLine="0"/>
              <w:jc w:val="left"/>
              <w:rPr>
                <w:sz w:val="20"/>
                <w:szCs w:val="20"/>
              </w:rPr>
            </w:pPr>
            <w:r w:rsidRPr="00333651">
              <w:rPr>
                <w:sz w:val="20"/>
                <w:szCs w:val="20"/>
              </w:rPr>
              <w:t>1.2. выдача свидетельства о регистрации самоходной машины (по каждому муниципальному образованию)</w:t>
            </w:r>
          </w:p>
          <w:p w:rsidR="0058574E" w:rsidRPr="00333651" w:rsidRDefault="0058574E" w:rsidP="00E7317C">
            <w:pPr>
              <w:pStyle w:val="21"/>
              <w:ind w:firstLine="0"/>
              <w:jc w:val="left"/>
              <w:rPr>
                <w:sz w:val="20"/>
                <w:szCs w:val="20"/>
              </w:rPr>
            </w:pPr>
            <w:r w:rsidRPr="00333651">
              <w:rPr>
                <w:sz w:val="20"/>
                <w:szCs w:val="20"/>
              </w:rPr>
              <w:t>1.3. выдача паспорта самоходной машины (по каждому муниципальному образованию)</w:t>
            </w:r>
          </w:p>
          <w:p w:rsidR="0058574E" w:rsidRPr="00333651" w:rsidRDefault="0058574E" w:rsidP="00E7317C">
            <w:pPr>
              <w:pStyle w:val="21"/>
              <w:ind w:firstLine="0"/>
              <w:jc w:val="left"/>
              <w:rPr>
                <w:sz w:val="20"/>
                <w:szCs w:val="20"/>
              </w:rPr>
            </w:pPr>
            <w:r w:rsidRPr="00333651">
              <w:rPr>
                <w:sz w:val="20"/>
                <w:szCs w:val="20"/>
              </w:rPr>
              <w:t>1.4. количество изменений в ранее выданный паспорт самоходной машины (по каждому муниципальному образованию)</w:t>
            </w:r>
          </w:p>
          <w:p w:rsidR="0058574E" w:rsidRPr="00333651" w:rsidRDefault="0058574E" w:rsidP="00E7317C">
            <w:pPr>
              <w:pStyle w:val="21"/>
              <w:ind w:firstLine="0"/>
              <w:jc w:val="left"/>
              <w:rPr>
                <w:sz w:val="20"/>
                <w:szCs w:val="20"/>
              </w:rPr>
            </w:pPr>
            <w:r w:rsidRPr="00333651">
              <w:rPr>
                <w:sz w:val="20"/>
                <w:szCs w:val="20"/>
              </w:rPr>
              <w:t>1.5. выдача государственных регистрационных знаков транспортных средств «Транзит» (по каждому муниципальному образованию)</w:t>
            </w:r>
          </w:p>
          <w:p w:rsidR="0058574E" w:rsidRPr="00333651" w:rsidRDefault="0058574E" w:rsidP="00E7317C">
            <w:pPr>
              <w:pStyle w:val="21"/>
              <w:ind w:firstLine="0"/>
              <w:jc w:val="left"/>
              <w:rPr>
                <w:sz w:val="20"/>
                <w:szCs w:val="20"/>
              </w:rPr>
            </w:pPr>
            <w:r w:rsidRPr="00333651">
              <w:rPr>
                <w:sz w:val="20"/>
                <w:szCs w:val="20"/>
              </w:rPr>
              <w:t>1.6. выдача свидетельства на высвободившийся номерной агрегат (по каждому муниципальному образованию)</w:t>
            </w:r>
          </w:p>
          <w:p w:rsidR="0058574E" w:rsidRPr="00333651" w:rsidRDefault="0058574E" w:rsidP="00E7317C">
            <w:pPr>
              <w:pStyle w:val="21"/>
              <w:ind w:firstLine="0"/>
              <w:jc w:val="left"/>
              <w:rPr>
                <w:sz w:val="20"/>
                <w:szCs w:val="20"/>
              </w:rPr>
            </w:pPr>
            <w:r w:rsidRPr="00333651">
              <w:rPr>
                <w:sz w:val="20"/>
                <w:szCs w:val="20"/>
              </w:rPr>
              <w:t>2. Количество выданных удостоверений тракториста-машиниста (по каждому муниципальному образованию)</w:t>
            </w:r>
          </w:p>
          <w:p w:rsidR="0058574E" w:rsidRPr="00333651" w:rsidRDefault="0058574E" w:rsidP="00E7317C">
            <w:pPr>
              <w:pStyle w:val="21"/>
              <w:ind w:firstLine="0"/>
              <w:jc w:val="left"/>
              <w:rPr>
                <w:sz w:val="20"/>
                <w:szCs w:val="20"/>
              </w:rPr>
            </w:pPr>
            <w:r w:rsidRPr="00333651">
              <w:rPr>
                <w:sz w:val="20"/>
                <w:szCs w:val="20"/>
              </w:rPr>
              <w:t>3. Количество выданных документов о прохождении технического осмотра:</w:t>
            </w:r>
          </w:p>
          <w:p w:rsidR="0058574E" w:rsidRPr="00333651" w:rsidRDefault="0058574E" w:rsidP="00E7317C">
            <w:pPr>
              <w:pStyle w:val="21"/>
              <w:ind w:firstLine="0"/>
              <w:jc w:val="left"/>
              <w:rPr>
                <w:sz w:val="20"/>
                <w:szCs w:val="20"/>
              </w:rPr>
            </w:pPr>
            <w:r w:rsidRPr="00333651">
              <w:rPr>
                <w:sz w:val="20"/>
                <w:szCs w:val="20"/>
              </w:rPr>
              <w:t>3.1. количество выданных свидетельств (по каждому муниципальному образованию)</w:t>
            </w:r>
          </w:p>
          <w:p w:rsidR="0058574E" w:rsidRPr="00333651" w:rsidRDefault="0058574E" w:rsidP="00E7317C">
            <w:pPr>
              <w:pStyle w:val="21"/>
              <w:ind w:firstLine="0"/>
              <w:jc w:val="left"/>
              <w:rPr>
                <w:sz w:val="20"/>
                <w:szCs w:val="20"/>
              </w:rPr>
            </w:pPr>
            <w:r w:rsidRPr="00333651">
              <w:rPr>
                <w:sz w:val="20"/>
                <w:szCs w:val="20"/>
              </w:rPr>
              <w:t>3.2. количество выданных актов (по каждому муниципальному образованию)</w:t>
            </w:r>
          </w:p>
        </w:tc>
        <w:tc>
          <w:tcPr>
            <w:tcW w:w="1559" w:type="dxa"/>
          </w:tcPr>
          <w:p w:rsidR="0058574E" w:rsidRPr="00333651" w:rsidRDefault="0058574E" w:rsidP="00E7317C">
            <w:pPr>
              <w:pStyle w:val="21"/>
              <w:ind w:firstLine="0"/>
              <w:jc w:val="center"/>
              <w:rPr>
                <w:sz w:val="20"/>
                <w:szCs w:val="20"/>
              </w:rPr>
            </w:pPr>
          </w:p>
          <w:p w:rsidR="0058574E" w:rsidRPr="00333651" w:rsidRDefault="0058574E" w:rsidP="00E7317C">
            <w:pPr>
              <w:pStyle w:val="21"/>
              <w:ind w:firstLine="0"/>
              <w:jc w:val="center"/>
              <w:rPr>
                <w:sz w:val="20"/>
                <w:szCs w:val="20"/>
              </w:rPr>
            </w:pPr>
            <w:r w:rsidRPr="00333651">
              <w:rPr>
                <w:sz w:val="20"/>
                <w:szCs w:val="20"/>
              </w:rPr>
              <w:t>3 039</w:t>
            </w:r>
          </w:p>
          <w:p w:rsidR="0058574E" w:rsidRPr="00333651" w:rsidRDefault="0058574E" w:rsidP="00E7317C">
            <w:pPr>
              <w:pStyle w:val="21"/>
              <w:ind w:firstLine="0"/>
              <w:jc w:val="center"/>
              <w:rPr>
                <w:sz w:val="20"/>
                <w:szCs w:val="20"/>
              </w:rPr>
            </w:pPr>
          </w:p>
          <w:p w:rsidR="0058574E" w:rsidRPr="00333651" w:rsidRDefault="0058574E" w:rsidP="00E7317C">
            <w:pPr>
              <w:pStyle w:val="21"/>
              <w:ind w:firstLine="0"/>
              <w:rPr>
                <w:sz w:val="20"/>
                <w:szCs w:val="20"/>
              </w:rPr>
            </w:pPr>
          </w:p>
          <w:p w:rsidR="0058574E" w:rsidRPr="00333651" w:rsidRDefault="0058574E" w:rsidP="00E7317C">
            <w:pPr>
              <w:pStyle w:val="21"/>
              <w:ind w:firstLine="0"/>
              <w:rPr>
                <w:sz w:val="20"/>
                <w:szCs w:val="20"/>
              </w:rPr>
            </w:pPr>
          </w:p>
          <w:p w:rsidR="0058574E" w:rsidRPr="00333651" w:rsidRDefault="0058574E" w:rsidP="00E7317C">
            <w:pPr>
              <w:pStyle w:val="21"/>
              <w:ind w:firstLine="0"/>
              <w:jc w:val="center"/>
              <w:rPr>
                <w:sz w:val="20"/>
                <w:szCs w:val="20"/>
              </w:rPr>
            </w:pPr>
            <w:r w:rsidRPr="00333651">
              <w:rPr>
                <w:sz w:val="20"/>
                <w:szCs w:val="20"/>
              </w:rPr>
              <w:t>3 694</w:t>
            </w:r>
          </w:p>
          <w:p w:rsidR="0058574E" w:rsidRPr="00333651" w:rsidRDefault="0058574E" w:rsidP="00E7317C">
            <w:pPr>
              <w:pStyle w:val="21"/>
              <w:ind w:firstLine="0"/>
              <w:jc w:val="center"/>
              <w:rPr>
                <w:sz w:val="20"/>
                <w:szCs w:val="20"/>
              </w:rPr>
            </w:pPr>
          </w:p>
          <w:p w:rsidR="0058574E" w:rsidRPr="00333651" w:rsidRDefault="0058574E" w:rsidP="00E7317C">
            <w:pPr>
              <w:pStyle w:val="21"/>
              <w:ind w:firstLine="0"/>
              <w:jc w:val="center"/>
              <w:rPr>
                <w:sz w:val="20"/>
                <w:szCs w:val="20"/>
              </w:rPr>
            </w:pPr>
            <w:r w:rsidRPr="00333651">
              <w:rPr>
                <w:sz w:val="20"/>
                <w:szCs w:val="20"/>
              </w:rPr>
              <w:t>0</w:t>
            </w:r>
          </w:p>
          <w:p w:rsidR="0058574E" w:rsidRPr="00333651" w:rsidRDefault="0058574E" w:rsidP="00E7317C">
            <w:pPr>
              <w:pStyle w:val="21"/>
              <w:ind w:firstLine="0"/>
              <w:jc w:val="center"/>
              <w:rPr>
                <w:sz w:val="20"/>
                <w:szCs w:val="20"/>
              </w:rPr>
            </w:pPr>
          </w:p>
          <w:p w:rsidR="0058574E" w:rsidRPr="00333651" w:rsidRDefault="0058574E" w:rsidP="00E7317C">
            <w:pPr>
              <w:pStyle w:val="21"/>
              <w:ind w:firstLine="0"/>
              <w:jc w:val="center"/>
              <w:rPr>
                <w:sz w:val="20"/>
                <w:szCs w:val="20"/>
                <w:lang w:val="en-US"/>
              </w:rPr>
            </w:pPr>
            <w:r w:rsidRPr="00333651">
              <w:rPr>
                <w:sz w:val="20"/>
                <w:szCs w:val="20"/>
              </w:rPr>
              <w:t>5</w:t>
            </w:r>
            <w:r w:rsidRPr="00333651">
              <w:rPr>
                <w:sz w:val="20"/>
                <w:szCs w:val="20"/>
                <w:lang w:val="en-US"/>
              </w:rPr>
              <w:t> </w:t>
            </w:r>
            <w:r w:rsidRPr="00333651">
              <w:rPr>
                <w:sz w:val="20"/>
                <w:szCs w:val="20"/>
              </w:rPr>
              <w:t>228</w:t>
            </w:r>
            <w:r w:rsidRPr="00333651">
              <w:rPr>
                <w:sz w:val="20"/>
                <w:szCs w:val="20"/>
                <w:lang w:val="en-US"/>
              </w:rPr>
              <w:t xml:space="preserve"> </w:t>
            </w:r>
          </w:p>
          <w:p w:rsidR="0058574E" w:rsidRPr="00333651" w:rsidRDefault="0058574E" w:rsidP="00E7317C">
            <w:pPr>
              <w:pStyle w:val="21"/>
              <w:ind w:firstLine="0"/>
              <w:jc w:val="center"/>
              <w:rPr>
                <w:sz w:val="20"/>
                <w:szCs w:val="20"/>
              </w:rPr>
            </w:pPr>
          </w:p>
          <w:p w:rsidR="0058574E" w:rsidRPr="00333651" w:rsidRDefault="0058574E" w:rsidP="00E7317C">
            <w:pPr>
              <w:pStyle w:val="21"/>
              <w:ind w:firstLine="0"/>
              <w:jc w:val="center"/>
              <w:rPr>
                <w:sz w:val="20"/>
                <w:szCs w:val="20"/>
              </w:rPr>
            </w:pPr>
          </w:p>
          <w:p w:rsidR="0058574E" w:rsidRPr="00333651" w:rsidRDefault="0058574E" w:rsidP="00E7317C">
            <w:pPr>
              <w:pStyle w:val="21"/>
              <w:ind w:firstLine="0"/>
              <w:jc w:val="center"/>
              <w:rPr>
                <w:sz w:val="20"/>
                <w:szCs w:val="20"/>
              </w:rPr>
            </w:pPr>
            <w:r w:rsidRPr="00333651">
              <w:rPr>
                <w:sz w:val="20"/>
                <w:szCs w:val="20"/>
                <w:lang w:val="en-US"/>
              </w:rPr>
              <w:t>1</w:t>
            </w:r>
            <w:r w:rsidRPr="00333651">
              <w:rPr>
                <w:sz w:val="20"/>
                <w:szCs w:val="20"/>
              </w:rPr>
              <w:t>9</w:t>
            </w:r>
          </w:p>
          <w:p w:rsidR="0058574E" w:rsidRPr="00333651" w:rsidRDefault="0058574E" w:rsidP="00E7317C">
            <w:pPr>
              <w:pStyle w:val="21"/>
              <w:ind w:firstLine="0"/>
              <w:jc w:val="center"/>
              <w:rPr>
                <w:sz w:val="20"/>
                <w:szCs w:val="20"/>
              </w:rPr>
            </w:pPr>
          </w:p>
          <w:p w:rsidR="0058574E" w:rsidRPr="00333651" w:rsidRDefault="0058574E" w:rsidP="00E7317C">
            <w:pPr>
              <w:pStyle w:val="21"/>
              <w:ind w:firstLine="0"/>
              <w:jc w:val="center"/>
              <w:rPr>
                <w:sz w:val="20"/>
                <w:szCs w:val="20"/>
              </w:rPr>
            </w:pPr>
          </w:p>
          <w:p w:rsidR="0058574E" w:rsidRPr="00333651" w:rsidRDefault="0058574E" w:rsidP="00E7317C">
            <w:pPr>
              <w:pStyle w:val="21"/>
              <w:ind w:firstLine="0"/>
              <w:jc w:val="center"/>
              <w:rPr>
                <w:sz w:val="20"/>
                <w:szCs w:val="20"/>
                <w:lang w:val="en-US"/>
              </w:rPr>
            </w:pPr>
            <w:r w:rsidRPr="00333651">
              <w:rPr>
                <w:sz w:val="20"/>
                <w:szCs w:val="20"/>
                <w:lang w:val="en-US"/>
              </w:rPr>
              <w:t>42</w:t>
            </w:r>
          </w:p>
          <w:p w:rsidR="0058574E" w:rsidRPr="00333651" w:rsidRDefault="0058574E" w:rsidP="00E7317C">
            <w:pPr>
              <w:pStyle w:val="21"/>
              <w:ind w:firstLine="0"/>
              <w:jc w:val="center"/>
              <w:rPr>
                <w:sz w:val="20"/>
                <w:szCs w:val="20"/>
              </w:rPr>
            </w:pPr>
          </w:p>
          <w:p w:rsidR="0058574E" w:rsidRPr="00333651" w:rsidRDefault="0058574E" w:rsidP="00E7317C">
            <w:pPr>
              <w:pStyle w:val="21"/>
              <w:ind w:firstLine="0"/>
              <w:jc w:val="center"/>
              <w:rPr>
                <w:sz w:val="20"/>
                <w:szCs w:val="20"/>
                <w:lang w:val="en-US"/>
              </w:rPr>
            </w:pPr>
            <w:r w:rsidRPr="00333651">
              <w:rPr>
                <w:sz w:val="20"/>
                <w:szCs w:val="20"/>
              </w:rPr>
              <w:t>4 885</w:t>
            </w:r>
          </w:p>
          <w:p w:rsidR="0058574E" w:rsidRPr="00333651" w:rsidRDefault="0058574E" w:rsidP="00E7317C">
            <w:pPr>
              <w:pStyle w:val="21"/>
              <w:ind w:firstLine="0"/>
              <w:jc w:val="center"/>
              <w:rPr>
                <w:sz w:val="20"/>
                <w:szCs w:val="20"/>
              </w:rPr>
            </w:pPr>
          </w:p>
          <w:p w:rsidR="0058574E" w:rsidRPr="00333651" w:rsidRDefault="0058574E" w:rsidP="00E7317C">
            <w:pPr>
              <w:pStyle w:val="21"/>
              <w:ind w:firstLine="0"/>
              <w:jc w:val="center"/>
              <w:rPr>
                <w:sz w:val="20"/>
                <w:szCs w:val="20"/>
              </w:rPr>
            </w:pPr>
          </w:p>
          <w:p w:rsidR="0058574E" w:rsidRPr="00333651" w:rsidRDefault="0058574E" w:rsidP="00E7317C">
            <w:pPr>
              <w:pStyle w:val="21"/>
              <w:ind w:firstLine="0"/>
              <w:jc w:val="center"/>
              <w:rPr>
                <w:sz w:val="20"/>
                <w:szCs w:val="20"/>
              </w:rPr>
            </w:pPr>
          </w:p>
          <w:p w:rsidR="0058574E" w:rsidRPr="00333651" w:rsidRDefault="0058574E" w:rsidP="00E7317C">
            <w:pPr>
              <w:pStyle w:val="21"/>
              <w:ind w:firstLine="0"/>
              <w:jc w:val="center"/>
              <w:rPr>
                <w:sz w:val="20"/>
                <w:szCs w:val="20"/>
                <w:lang w:val="en-US"/>
              </w:rPr>
            </w:pPr>
            <w:r w:rsidRPr="00333651">
              <w:rPr>
                <w:sz w:val="20"/>
                <w:szCs w:val="20"/>
              </w:rPr>
              <w:t>24 156</w:t>
            </w:r>
          </w:p>
          <w:p w:rsidR="0058574E" w:rsidRPr="00333651" w:rsidRDefault="0058574E" w:rsidP="00E7317C">
            <w:pPr>
              <w:pStyle w:val="21"/>
              <w:ind w:firstLine="0"/>
              <w:jc w:val="center"/>
              <w:rPr>
                <w:sz w:val="20"/>
                <w:szCs w:val="20"/>
              </w:rPr>
            </w:pPr>
          </w:p>
          <w:p w:rsidR="0058574E" w:rsidRPr="00333651" w:rsidRDefault="0058574E" w:rsidP="00E7317C">
            <w:pPr>
              <w:pStyle w:val="21"/>
              <w:ind w:firstLine="0"/>
              <w:jc w:val="center"/>
              <w:rPr>
                <w:sz w:val="20"/>
                <w:szCs w:val="20"/>
              </w:rPr>
            </w:pPr>
            <w:r w:rsidRPr="00333651">
              <w:rPr>
                <w:sz w:val="20"/>
                <w:szCs w:val="20"/>
              </w:rPr>
              <w:t>3 770</w:t>
            </w:r>
          </w:p>
        </w:tc>
        <w:tc>
          <w:tcPr>
            <w:tcW w:w="1559" w:type="dxa"/>
          </w:tcPr>
          <w:p w:rsidR="0058574E" w:rsidRPr="00333651" w:rsidRDefault="0058574E" w:rsidP="00E7317C">
            <w:pPr>
              <w:pStyle w:val="21"/>
              <w:ind w:firstLine="0"/>
              <w:jc w:val="center"/>
              <w:rPr>
                <w:sz w:val="20"/>
                <w:szCs w:val="20"/>
              </w:rPr>
            </w:pPr>
          </w:p>
          <w:p w:rsidR="0058574E" w:rsidRPr="00333651" w:rsidRDefault="0058574E" w:rsidP="00E7317C">
            <w:pPr>
              <w:pStyle w:val="21"/>
              <w:ind w:firstLine="0"/>
              <w:jc w:val="center"/>
              <w:rPr>
                <w:sz w:val="20"/>
                <w:szCs w:val="20"/>
              </w:rPr>
            </w:pPr>
            <w:r w:rsidRPr="00333651">
              <w:rPr>
                <w:sz w:val="20"/>
                <w:szCs w:val="20"/>
              </w:rPr>
              <w:t>3 051</w:t>
            </w:r>
          </w:p>
          <w:p w:rsidR="0058574E" w:rsidRPr="00333651" w:rsidRDefault="0058574E" w:rsidP="00E7317C">
            <w:pPr>
              <w:pStyle w:val="21"/>
              <w:ind w:firstLine="0"/>
              <w:jc w:val="center"/>
              <w:rPr>
                <w:sz w:val="20"/>
                <w:szCs w:val="20"/>
              </w:rPr>
            </w:pPr>
          </w:p>
          <w:p w:rsidR="0058574E" w:rsidRPr="00333651" w:rsidRDefault="0058574E" w:rsidP="00E7317C">
            <w:pPr>
              <w:pStyle w:val="21"/>
              <w:ind w:firstLine="0"/>
              <w:rPr>
                <w:sz w:val="20"/>
                <w:szCs w:val="20"/>
              </w:rPr>
            </w:pPr>
          </w:p>
          <w:p w:rsidR="0058574E" w:rsidRPr="00333651" w:rsidRDefault="0058574E" w:rsidP="00E7317C">
            <w:pPr>
              <w:pStyle w:val="21"/>
              <w:ind w:firstLine="0"/>
              <w:rPr>
                <w:sz w:val="20"/>
                <w:szCs w:val="20"/>
              </w:rPr>
            </w:pPr>
          </w:p>
          <w:p w:rsidR="0058574E" w:rsidRPr="00333651" w:rsidRDefault="0058574E" w:rsidP="00E7317C">
            <w:pPr>
              <w:pStyle w:val="21"/>
              <w:ind w:firstLine="0"/>
              <w:jc w:val="center"/>
              <w:rPr>
                <w:sz w:val="20"/>
                <w:szCs w:val="20"/>
                <w:lang w:val="en-US"/>
              </w:rPr>
            </w:pPr>
            <w:r w:rsidRPr="00333651">
              <w:rPr>
                <w:sz w:val="20"/>
                <w:szCs w:val="20"/>
              </w:rPr>
              <w:t>3 729</w:t>
            </w:r>
          </w:p>
          <w:p w:rsidR="0058574E" w:rsidRPr="00333651" w:rsidRDefault="0058574E" w:rsidP="00E7317C">
            <w:pPr>
              <w:pStyle w:val="21"/>
              <w:ind w:firstLine="0"/>
              <w:jc w:val="center"/>
              <w:rPr>
                <w:sz w:val="20"/>
                <w:szCs w:val="20"/>
              </w:rPr>
            </w:pPr>
          </w:p>
          <w:p w:rsidR="0058574E" w:rsidRPr="00333651" w:rsidRDefault="0058574E" w:rsidP="00E7317C">
            <w:pPr>
              <w:pStyle w:val="21"/>
              <w:ind w:firstLine="0"/>
              <w:jc w:val="center"/>
              <w:rPr>
                <w:sz w:val="20"/>
                <w:szCs w:val="20"/>
                <w:lang w:val="en-US"/>
              </w:rPr>
            </w:pPr>
            <w:r w:rsidRPr="00333651">
              <w:rPr>
                <w:sz w:val="20"/>
                <w:szCs w:val="20"/>
              </w:rPr>
              <w:t>0</w:t>
            </w:r>
          </w:p>
          <w:p w:rsidR="0058574E" w:rsidRPr="00333651" w:rsidRDefault="0058574E" w:rsidP="00E7317C">
            <w:pPr>
              <w:pStyle w:val="21"/>
              <w:ind w:firstLine="0"/>
              <w:jc w:val="center"/>
              <w:rPr>
                <w:sz w:val="20"/>
                <w:szCs w:val="20"/>
              </w:rPr>
            </w:pPr>
          </w:p>
          <w:p w:rsidR="0058574E" w:rsidRPr="00333651" w:rsidRDefault="0058574E" w:rsidP="00E7317C">
            <w:pPr>
              <w:pStyle w:val="21"/>
              <w:ind w:firstLine="0"/>
              <w:jc w:val="center"/>
              <w:rPr>
                <w:sz w:val="20"/>
                <w:szCs w:val="20"/>
              </w:rPr>
            </w:pPr>
            <w:r w:rsidRPr="00333651">
              <w:rPr>
                <w:sz w:val="20"/>
                <w:szCs w:val="20"/>
              </w:rPr>
              <w:t>5 300</w:t>
            </w:r>
          </w:p>
          <w:p w:rsidR="0058574E" w:rsidRPr="00333651" w:rsidRDefault="0058574E" w:rsidP="00E7317C">
            <w:pPr>
              <w:pStyle w:val="21"/>
              <w:ind w:firstLine="0"/>
              <w:jc w:val="center"/>
              <w:rPr>
                <w:sz w:val="20"/>
                <w:szCs w:val="20"/>
              </w:rPr>
            </w:pPr>
          </w:p>
          <w:p w:rsidR="0058574E" w:rsidRPr="00333651" w:rsidRDefault="0058574E" w:rsidP="00E7317C">
            <w:pPr>
              <w:pStyle w:val="21"/>
              <w:ind w:firstLine="0"/>
              <w:jc w:val="center"/>
              <w:rPr>
                <w:sz w:val="20"/>
                <w:szCs w:val="20"/>
              </w:rPr>
            </w:pPr>
          </w:p>
          <w:p w:rsidR="0058574E" w:rsidRPr="00333651" w:rsidRDefault="0058574E" w:rsidP="00E7317C">
            <w:pPr>
              <w:pStyle w:val="21"/>
              <w:ind w:firstLine="0"/>
              <w:jc w:val="center"/>
              <w:rPr>
                <w:sz w:val="20"/>
                <w:szCs w:val="20"/>
              </w:rPr>
            </w:pPr>
            <w:r w:rsidRPr="00333651">
              <w:rPr>
                <w:sz w:val="20"/>
                <w:szCs w:val="20"/>
                <w:lang w:val="en-US"/>
              </w:rPr>
              <w:t>1</w:t>
            </w:r>
            <w:r w:rsidRPr="00333651">
              <w:rPr>
                <w:sz w:val="20"/>
                <w:szCs w:val="20"/>
              </w:rPr>
              <w:t>9</w:t>
            </w:r>
          </w:p>
          <w:p w:rsidR="0058574E" w:rsidRPr="00333651" w:rsidRDefault="0058574E" w:rsidP="00E7317C">
            <w:pPr>
              <w:pStyle w:val="21"/>
              <w:ind w:firstLine="0"/>
              <w:jc w:val="center"/>
              <w:rPr>
                <w:sz w:val="20"/>
                <w:szCs w:val="20"/>
              </w:rPr>
            </w:pPr>
          </w:p>
          <w:p w:rsidR="0058574E" w:rsidRPr="00333651" w:rsidRDefault="0058574E" w:rsidP="00E7317C">
            <w:pPr>
              <w:pStyle w:val="21"/>
              <w:ind w:firstLine="0"/>
              <w:jc w:val="center"/>
              <w:rPr>
                <w:sz w:val="20"/>
                <w:szCs w:val="20"/>
              </w:rPr>
            </w:pPr>
          </w:p>
          <w:p w:rsidR="0058574E" w:rsidRPr="00333651" w:rsidRDefault="0058574E" w:rsidP="00E7317C">
            <w:pPr>
              <w:pStyle w:val="21"/>
              <w:ind w:firstLine="0"/>
              <w:jc w:val="center"/>
              <w:rPr>
                <w:sz w:val="20"/>
                <w:szCs w:val="20"/>
                <w:lang w:val="en-US"/>
              </w:rPr>
            </w:pPr>
            <w:r w:rsidRPr="00333651">
              <w:rPr>
                <w:sz w:val="20"/>
                <w:szCs w:val="20"/>
                <w:lang w:val="en-US"/>
              </w:rPr>
              <w:t>42</w:t>
            </w:r>
          </w:p>
          <w:p w:rsidR="0058574E" w:rsidRPr="00333651" w:rsidRDefault="0058574E" w:rsidP="00E7317C">
            <w:pPr>
              <w:pStyle w:val="21"/>
              <w:ind w:firstLine="0"/>
              <w:jc w:val="center"/>
              <w:rPr>
                <w:sz w:val="20"/>
                <w:szCs w:val="20"/>
              </w:rPr>
            </w:pPr>
          </w:p>
          <w:p w:rsidR="0058574E" w:rsidRPr="00333651" w:rsidRDefault="0058574E" w:rsidP="00E7317C">
            <w:pPr>
              <w:pStyle w:val="21"/>
              <w:ind w:firstLine="0"/>
              <w:jc w:val="center"/>
              <w:rPr>
                <w:sz w:val="20"/>
                <w:szCs w:val="20"/>
                <w:lang w:val="en-US"/>
              </w:rPr>
            </w:pPr>
            <w:r w:rsidRPr="00333651">
              <w:rPr>
                <w:sz w:val="20"/>
                <w:szCs w:val="20"/>
              </w:rPr>
              <w:t>4 935</w:t>
            </w:r>
          </w:p>
          <w:p w:rsidR="0058574E" w:rsidRPr="00333651" w:rsidRDefault="0058574E" w:rsidP="00E7317C">
            <w:pPr>
              <w:pStyle w:val="21"/>
              <w:ind w:firstLine="0"/>
              <w:jc w:val="center"/>
              <w:rPr>
                <w:sz w:val="20"/>
                <w:szCs w:val="20"/>
              </w:rPr>
            </w:pPr>
          </w:p>
          <w:p w:rsidR="0058574E" w:rsidRPr="00333651" w:rsidRDefault="0058574E" w:rsidP="00E7317C">
            <w:pPr>
              <w:pStyle w:val="21"/>
              <w:ind w:firstLine="0"/>
              <w:jc w:val="center"/>
              <w:rPr>
                <w:sz w:val="20"/>
                <w:szCs w:val="20"/>
              </w:rPr>
            </w:pPr>
          </w:p>
          <w:p w:rsidR="0058574E" w:rsidRPr="00333651" w:rsidRDefault="0058574E" w:rsidP="00E7317C">
            <w:pPr>
              <w:pStyle w:val="21"/>
              <w:ind w:firstLine="0"/>
              <w:jc w:val="center"/>
              <w:rPr>
                <w:sz w:val="20"/>
                <w:szCs w:val="20"/>
              </w:rPr>
            </w:pPr>
          </w:p>
          <w:p w:rsidR="0058574E" w:rsidRPr="00333651" w:rsidRDefault="0058574E" w:rsidP="00E7317C">
            <w:pPr>
              <w:pStyle w:val="21"/>
              <w:ind w:firstLine="0"/>
              <w:jc w:val="center"/>
              <w:rPr>
                <w:sz w:val="20"/>
                <w:szCs w:val="20"/>
                <w:lang w:val="en-US"/>
              </w:rPr>
            </w:pPr>
            <w:r w:rsidRPr="00333651">
              <w:rPr>
                <w:sz w:val="20"/>
                <w:szCs w:val="20"/>
              </w:rPr>
              <w:t>24 364</w:t>
            </w:r>
          </w:p>
          <w:p w:rsidR="0058574E" w:rsidRPr="00333651" w:rsidRDefault="0058574E" w:rsidP="00E7317C">
            <w:pPr>
              <w:pStyle w:val="21"/>
              <w:ind w:firstLine="0"/>
              <w:jc w:val="center"/>
              <w:rPr>
                <w:sz w:val="20"/>
                <w:szCs w:val="20"/>
              </w:rPr>
            </w:pPr>
          </w:p>
          <w:p w:rsidR="0058574E" w:rsidRPr="00333651" w:rsidRDefault="0058574E" w:rsidP="00E7317C">
            <w:pPr>
              <w:pStyle w:val="21"/>
              <w:ind w:firstLine="0"/>
              <w:jc w:val="center"/>
              <w:rPr>
                <w:sz w:val="20"/>
                <w:szCs w:val="20"/>
              </w:rPr>
            </w:pPr>
            <w:r w:rsidRPr="00333651">
              <w:rPr>
                <w:sz w:val="20"/>
                <w:szCs w:val="20"/>
              </w:rPr>
              <w:t>3 705</w:t>
            </w:r>
          </w:p>
        </w:tc>
        <w:tc>
          <w:tcPr>
            <w:tcW w:w="1559" w:type="dxa"/>
          </w:tcPr>
          <w:p w:rsidR="0058574E" w:rsidRPr="00333651" w:rsidRDefault="0058574E" w:rsidP="00E7317C">
            <w:pPr>
              <w:pStyle w:val="21"/>
              <w:ind w:firstLine="0"/>
              <w:jc w:val="center"/>
              <w:rPr>
                <w:sz w:val="20"/>
                <w:szCs w:val="20"/>
              </w:rPr>
            </w:pPr>
          </w:p>
          <w:p w:rsidR="0058574E" w:rsidRPr="00333651" w:rsidRDefault="0058574E" w:rsidP="00E7317C">
            <w:pPr>
              <w:pStyle w:val="21"/>
              <w:ind w:firstLine="0"/>
              <w:jc w:val="center"/>
              <w:rPr>
                <w:sz w:val="20"/>
                <w:szCs w:val="20"/>
                <w:lang w:val="en-US"/>
              </w:rPr>
            </w:pPr>
            <w:r w:rsidRPr="00333651">
              <w:rPr>
                <w:sz w:val="20"/>
                <w:szCs w:val="20"/>
              </w:rPr>
              <w:t>3 072</w:t>
            </w:r>
          </w:p>
          <w:p w:rsidR="0058574E" w:rsidRPr="00333651" w:rsidRDefault="0058574E" w:rsidP="00E7317C">
            <w:pPr>
              <w:pStyle w:val="21"/>
              <w:ind w:firstLine="0"/>
              <w:jc w:val="center"/>
              <w:rPr>
                <w:sz w:val="20"/>
                <w:szCs w:val="20"/>
              </w:rPr>
            </w:pPr>
          </w:p>
          <w:p w:rsidR="0058574E" w:rsidRPr="00333651" w:rsidRDefault="0058574E" w:rsidP="00E7317C">
            <w:pPr>
              <w:pStyle w:val="21"/>
              <w:ind w:firstLine="0"/>
              <w:rPr>
                <w:sz w:val="20"/>
                <w:szCs w:val="20"/>
              </w:rPr>
            </w:pPr>
          </w:p>
          <w:p w:rsidR="0058574E" w:rsidRPr="00333651" w:rsidRDefault="0058574E" w:rsidP="00E7317C">
            <w:pPr>
              <w:pStyle w:val="21"/>
              <w:ind w:firstLine="0"/>
              <w:rPr>
                <w:sz w:val="20"/>
                <w:szCs w:val="20"/>
              </w:rPr>
            </w:pPr>
          </w:p>
          <w:p w:rsidR="0058574E" w:rsidRPr="00333651" w:rsidRDefault="0058574E" w:rsidP="00E7317C">
            <w:pPr>
              <w:pStyle w:val="21"/>
              <w:ind w:firstLine="0"/>
              <w:jc w:val="center"/>
              <w:rPr>
                <w:sz w:val="20"/>
                <w:szCs w:val="20"/>
              </w:rPr>
            </w:pPr>
            <w:r w:rsidRPr="00333651">
              <w:rPr>
                <w:sz w:val="20"/>
                <w:szCs w:val="20"/>
              </w:rPr>
              <w:t>3 765</w:t>
            </w:r>
          </w:p>
          <w:p w:rsidR="0058574E" w:rsidRPr="00333651" w:rsidRDefault="0058574E" w:rsidP="00E7317C">
            <w:pPr>
              <w:pStyle w:val="21"/>
              <w:ind w:firstLine="0"/>
              <w:jc w:val="center"/>
              <w:rPr>
                <w:sz w:val="20"/>
                <w:szCs w:val="20"/>
              </w:rPr>
            </w:pPr>
          </w:p>
          <w:p w:rsidR="0058574E" w:rsidRPr="00333651" w:rsidRDefault="0058574E" w:rsidP="00E7317C">
            <w:pPr>
              <w:pStyle w:val="21"/>
              <w:ind w:firstLine="0"/>
              <w:jc w:val="center"/>
              <w:rPr>
                <w:sz w:val="20"/>
                <w:szCs w:val="20"/>
                <w:lang w:val="en-US"/>
              </w:rPr>
            </w:pPr>
            <w:r w:rsidRPr="00333651">
              <w:rPr>
                <w:sz w:val="20"/>
                <w:szCs w:val="20"/>
              </w:rPr>
              <w:t>0</w:t>
            </w:r>
          </w:p>
          <w:p w:rsidR="0058574E" w:rsidRPr="00333651" w:rsidRDefault="0058574E" w:rsidP="00E7317C">
            <w:pPr>
              <w:pStyle w:val="21"/>
              <w:ind w:firstLine="0"/>
              <w:rPr>
                <w:sz w:val="20"/>
                <w:szCs w:val="20"/>
              </w:rPr>
            </w:pPr>
          </w:p>
          <w:p w:rsidR="0058574E" w:rsidRPr="00333651" w:rsidRDefault="0058574E" w:rsidP="00E7317C">
            <w:pPr>
              <w:pStyle w:val="21"/>
              <w:ind w:firstLine="0"/>
              <w:jc w:val="center"/>
              <w:rPr>
                <w:sz w:val="20"/>
                <w:szCs w:val="20"/>
              </w:rPr>
            </w:pPr>
            <w:r w:rsidRPr="00333651">
              <w:rPr>
                <w:sz w:val="20"/>
                <w:szCs w:val="20"/>
              </w:rPr>
              <w:t>5 380</w:t>
            </w:r>
          </w:p>
          <w:p w:rsidR="0058574E" w:rsidRPr="00333651" w:rsidRDefault="0058574E" w:rsidP="00E7317C">
            <w:pPr>
              <w:pStyle w:val="21"/>
              <w:ind w:firstLine="0"/>
              <w:jc w:val="center"/>
              <w:rPr>
                <w:sz w:val="20"/>
                <w:szCs w:val="20"/>
              </w:rPr>
            </w:pPr>
          </w:p>
          <w:p w:rsidR="0058574E" w:rsidRPr="00333651" w:rsidRDefault="0058574E" w:rsidP="00E7317C">
            <w:pPr>
              <w:pStyle w:val="21"/>
              <w:ind w:firstLine="0"/>
              <w:jc w:val="center"/>
              <w:rPr>
                <w:sz w:val="20"/>
                <w:szCs w:val="20"/>
              </w:rPr>
            </w:pPr>
          </w:p>
          <w:p w:rsidR="0058574E" w:rsidRPr="00333651" w:rsidRDefault="0058574E" w:rsidP="00E7317C">
            <w:pPr>
              <w:pStyle w:val="21"/>
              <w:ind w:firstLine="0"/>
              <w:jc w:val="center"/>
              <w:rPr>
                <w:sz w:val="20"/>
                <w:szCs w:val="20"/>
              </w:rPr>
            </w:pPr>
            <w:r w:rsidRPr="00333651">
              <w:rPr>
                <w:sz w:val="20"/>
                <w:szCs w:val="20"/>
                <w:lang w:val="en-US"/>
              </w:rPr>
              <w:t>1</w:t>
            </w:r>
            <w:r w:rsidRPr="00333651">
              <w:rPr>
                <w:sz w:val="20"/>
                <w:szCs w:val="20"/>
              </w:rPr>
              <w:t>9</w:t>
            </w:r>
          </w:p>
          <w:p w:rsidR="0058574E" w:rsidRPr="00333651" w:rsidRDefault="0058574E" w:rsidP="00E7317C">
            <w:pPr>
              <w:pStyle w:val="21"/>
              <w:ind w:firstLine="0"/>
              <w:jc w:val="center"/>
              <w:rPr>
                <w:sz w:val="20"/>
                <w:szCs w:val="20"/>
              </w:rPr>
            </w:pPr>
          </w:p>
          <w:p w:rsidR="0058574E" w:rsidRPr="00333651" w:rsidRDefault="0058574E" w:rsidP="00E7317C">
            <w:pPr>
              <w:pStyle w:val="21"/>
              <w:ind w:firstLine="0"/>
              <w:jc w:val="center"/>
              <w:rPr>
                <w:sz w:val="20"/>
                <w:szCs w:val="20"/>
              </w:rPr>
            </w:pPr>
          </w:p>
          <w:p w:rsidR="0058574E" w:rsidRPr="00333651" w:rsidRDefault="0058574E" w:rsidP="00E7317C">
            <w:pPr>
              <w:pStyle w:val="21"/>
              <w:ind w:firstLine="0"/>
              <w:jc w:val="center"/>
              <w:rPr>
                <w:sz w:val="20"/>
                <w:szCs w:val="20"/>
                <w:lang w:val="en-US"/>
              </w:rPr>
            </w:pPr>
            <w:r w:rsidRPr="00333651">
              <w:rPr>
                <w:sz w:val="20"/>
                <w:szCs w:val="20"/>
                <w:lang w:val="en-US"/>
              </w:rPr>
              <w:t>42</w:t>
            </w:r>
          </w:p>
          <w:p w:rsidR="0058574E" w:rsidRPr="00333651" w:rsidRDefault="0058574E" w:rsidP="00E7317C">
            <w:pPr>
              <w:pStyle w:val="21"/>
              <w:ind w:firstLine="0"/>
              <w:jc w:val="center"/>
              <w:rPr>
                <w:sz w:val="20"/>
                <w:szCs w:val="20"/>
              </w:rPr>
            </w:pPr>
          </w:p>
          <w:p w:rsidR="0058574E" w:rsidRPr="00333651" w:rsidRDefault="0058574E" w:rsidP="00E7317C">
            <w:pPr>
              <w:pStyle w:val="21"/>
              <w:ind w:firstLine="0"/>
              <w:jc w:val="center"/>
              <w:rPr>
                <w:sz w:val="20"/>
                <w:szCs w:val="20"/>
                <w:lang w:val="en-US"/>
              </w:rPr>
            </w:pPr>
            <w:r w:rsidRPr="00333651">
              <w:rPr>
                <w:sz w:val="20"/>
                <w:szCs w:val="20"/>
              </w:rPr>
              <w:t>4 985</w:t>
            </w:r>
          </w:p>
          <w:p w:rsidR="0058574E" w:rsidRPr="00333651" w:rsidRDefault="0058574E" w:rsidP="00E7317C">
            <w:pPr>
              <w:pStyle w:val="21"/>
              <w:ind w:firstLine="0"/>
              <w:jc w:val="center"/>
              <w:rPr>
                <w:sz w:val="20"/>
                <w:szCs w:val="20"/>
              </w:rPr>
            </w:pPr>
          </w:p>
          <w:p w:rsidR="0058574E" w:rsidRPr="00333651" w:rsidRDefault="0058574E" w:rsidP="00E7317C">
            <w:pPr>
              <w:pStyle w:val="21"/>
              <w:ind w:firstLine="0"/>
              <w:jc w:val="center"/>
              <w:rPr>
                <w:sz w:val="20"/>
                <w:szCs w:val="20"/>
              </w:rPr>
            </w:pPr>
          </w:p>
          <w:p w:rsidR="0058574E" w:rsidRPr="00333651" w:rsidRDefault="0058574E" w:rsidP="00E7317C">
            <w:pPr>
              <w:pStyle w:val="21"/>
              <w:ind w:firstLine="0"/>
              <w:jc w:val="center"/>
              <w:rPr>
                <w:sz w:val="20"/>
                <w:szCs w:val="20"/>
              </w:rPr>
            </w:pPr>
          </w:p>
          <w:p w:rsidR="0058574E" w:rsidRPr="00333651" w:rsidRDefault="0058574E" w:rsidP="00E7317C">
            <w:pPr>
              <w:pStyle w:val="21"/>
              <w:ind w:firstLine="0"/>
              <w:jc w:val="center"/>
              <w:rPr>
                <w:sz w:val="20"/>
                <w:szCs w:val="20"/>
                <w:lang w:val="en-US"/>
              </w:rPr>
            </w:pPr>
            <w:r w:rsidRPr="00333651">
              <w:rPr>
                <w:sz w:val="20"/>
                <w:szCs w:val="20"/>
              </w:rPr>
              <w:t>24 516</w:t>
            </w:r>
          </w:p>
          <w:p w:rsidR="0058574E" w:rsidRPr="00333651" w:rsidRDefault="0058574E" w:rsidP="00E7317C">
            <w:pPr>
              <w:pStyle w:val="21"/>
              <w:ind w:firstLine="0"/>
              <w:jc w:val="center"/>
              <w:rPr>
                <w:sz w:val="20"/>
                <w:szCs w:val="20"/>
              </w:rPr>
            </w:pPr>
          </w:p>
          <w:p w:rsidR="0058574E" w:rsidRPr="00333651" w:rsidRDefault="0058574E" w:rsidP="00E7317C">
            <w:pPr>
              <w:pStyle w:val="21"/>
              <w:ind w:firstLine="0"/>
              <w:jc w:val="center"/>
              <w:rPr>
                <w:sz w:val="20"/>
                <w:szCs w:val="20"/>
              </w:rPr>
            </w:pPr>
            <w:r w:rsidRPr="00333651">
              <w:rPr>
                <w:sz w:val="20"/>
                <w:szCs w:val="20"/>
              </w:rPr>
              <w:t>3 663</w:t>
            </w:r>
          </w:p>
          <w:p w:rsidR="0058574E" w:rsidRPr="00333651" w:rsidRDefault="0058574E" w:rsidP="00E7317C">
            <w:pPr>
              <w:pStyle w:val="21"/>
              <w:ind w:firstLine="0"/>
              <w:jc w:val="center"/>
              <w:rPr>
                <w:sz w:val="20"/>
                <w:szCs w:val="20"/>
              </w:rPr>
            </w:pPr>
          </w:p>
        </w:tc>
      </w:tr>
      <w:tr w:rsidR="0058574E" w:rsidRPr="00333651" w:rsidTr="00E7317C">
        <w:tc>
          <w:tcPr>
            <w:tcW w:w="5388" w:type="dxa"/>
            <w:tcBorders>
              <w:bottom w:val="nil"/>
            </w:tcBorders>
          </w:tcPr>
          <w:p w:rsidR="0058574E" w:rsidRPr="00333651" w:rsidRDefault="0058574E" w:rsidP="00E7317C">
            <w:pPr>
              <w:pStyle w:val="21"/>
              <w:ind w:firstLine="0"/>
              <w:jc w:val="left"/>
              <w:rPr>
                <w:sz w:val="20"/>
                <w:szCs w:val="20"/>
              </w:rPr>
            </w:pPr>
            <w:r w:rsidRPr="00333651">
              <w:rPr>
                <w:sz w:val="20"/>
                <w:szCs w:val="20"/>
              </w:rPr>
              <w:t>4. Размер государственной пошлины за совершение определенного регистрационного действия, тыс. руб.:</w:t>
            </w:r>
          </w:p>
          <w:p w:rsidR="0058574E" w:rsidRPr="00333651" w:rsidRDefault="0058574E" w:rsidP="00E7317C">
            <w:pPr>
              <w:pStyle w:val="21"/>
              <w:ind w:firstLine="0"/>
              <w:jc w:val="left"/>
              <w:rPr>
                <w:sz w:val="20"/>
                <w:szCs w:val="20"/>
              </w:rPr>
            </w:pPr>
            <w:r w:rsidRPr="00333651">
              <w:rPr>
                <w:sz w:val="20"/>
                <w:szCs w:val="20"/>
              </w:rPr>
              <w:t>4.1. за выдачу государственных регистрационных знаков на тракторы, самоходные дорожно-строительные и иные самоходные машины</w:t>
            </w:r>
          </w:p>
          <w:p w:rsidR="0058574E" w:rsidRPr="00333651" w:rsidRDefault="0058574E" w:rsidP="00E7317C">
            <w:pPr>
              <w:pStyle w:val="21"/>
              <w:ind w:firstLine="0"/>
              <w:jc w:val="left"/>
              <w:rPr>
                <w:sz w:val="20"/>
                <w:szCs w:val="20"/>
              </w:rPr>
            </w:pPr>
            <w:r w:rsidRPr="00333651">
              <w:rPr>
                <w:sz w:val="20"/>
                <w:szCs w:val="20"/>
              </w:rPr>
              <w:t>4.2. за выдачу свидетельства о регистрации самоходной машины</w:t>
            </w:r>
          </w:p>
          <w:p w:rsidR="0058574E" w:rsidRPr="00333651" w:rsidRDefault="0058574E" w:rsidP="00E7317C">
            <w:pPr>
              <w:pStyle w:val="21"/>
              <w:ind w:firstLine="0"/>
              <w:jc w:val="left"/>
              <w:rPr>
                <w:sz w:val="20"/>
                <w:szCs w:val="20"/>
              </w:rPr>
            </w:pPr>
            <w:r w:rsidRPr="00333651">
              <w:rPr>
                <w:sz w:val="20"/>
                <w:szCs w:val="20"/>
              </w:rPr>
              <w:t xml:space="preserve">4.3. за выдачу паспорта самоходной машины </w:t>
            </w:r>
          </w:p>
          <w:p w:rsidR="0058574E" w:rsidRPr="00333651" w:rsidRDefault="0058574E" w:rsidP="00E7317C">
            <w:pPr>
              <w:pStyle w:val="21"/>
              <w:ind w:firstLine="0"/>
              <w:jc w:val="left"/>
              <w:rPr>
                <w:sz w:val="20"/>
                <w:szCs w:val="20"/>
              </w:rPr>
            </w:pPr>
            <w:r w:rsidRPr="00333651">
              <w:rPr>
                <w:sz w:val="20"/>
                <w:szCs w:val="20"/>
              </w:rPr>
              <w:t xml:space="preserve">4.4. за внесение изменений в ранее выданный паспорт самоходной машины </w:t>
            </w:r>
          </w:p>
          <w:p w:rsidR="0058574E" w:rsidRPr="00333651" w:rsidRDefault="0058574E" w:rsidP="00E7317C">
            <w:pPr>
              <w:pStyle w:val="21"/>
              <w:ind w:firstLine="0"/>
              <w:jc w:val="left"/>
              <w:rPr>
                <w:sz w:val="20"/>
                <w:szCs w:val="20"/>
              </w:rPr>
            </w:pPr>
            <w:r w:rsidRPr="00333651">
              <w:rPr>
                <w:sz w:val="20"/>
                <w:szCs w:val="20"/>
              </w:rPr>
              <w:t>4.5. выдача государственных регистрационных знаков транспортных средств «Транзит»</w:t>
            </w:r>
          </w:p>
          <w:p w:rsidR="0058574E" w:rsidRPr="00333651" w:rsidRDefault="0058574E" w:rsidP="00E7317C">
            <w:pPr>
              <w:pStyle w:val="21"/>
              <w:ind w:firstLine="0"/>
              <w:jc w:val="left"/>
              <w:rPr>
                <w:sz w:val="20"/>
                <w:szCs w:val="20"/>
              </w:rPr>
            </w:pPr>
            <w:r w:rsidRPr="00333651">
              <w:rPr>
                <w:sz w:val="20"/>
                <w:szCs w:val="20"/>
              </w:rPr>
              <w:t>4.6. выдача свидетельства на высвободившийся номерной агрегат</w:t>
            </w:r>
          </w:p>
          <w:p w:rsidR="0058574E" w:rsidRDefault="0058574E" w:rsidP="00E7317C">
            <w:pPr>
              <w:pStyle w:val="21"/>
              <w:ind w:firstLine="0"/>
              <w:jc w:val="left"/>
              <w:rPr>
                <w:sz w:val="20"/>
                <w:szCs w:val="20"/>
              </w:rPr>
            </w:pPr>
            <w:r w:rsidRPr="00333651">
              <w:rPr>
                <w:sz w:val="20"/>
                <w:szCs w:val="20"/>
              </w:rPr>
              <w:t xml:space="preserve">5. Размер государственной пошлины за выдачу удостоверений тракториста-машиниста </w:t>
            </w:r>
          </w:p>
          <w:p w:rsidR="0058574E" w:rsidRPr="00333651" w:rsidRDefault="0058574E" w:rsidP="00E7317C">
            <w:pPr>
              <w:pStyle w:val="21"/>
              <w:ind w:firstLine="0"/>
              <w:jc w:val="left"/>
              <w:rPr>
                <w:sz w:val="20"/>
                <w:szCs w:val="20"/>
              </w:rPr>
            </w:pPr>
            <w:r w:rsidRPr="00333651">
              <w:rPr>
                <w:sz w:val="20"/>
                <w:szCs w:val="20"/>
              </w:rPr>
              <w:t>6. Размер государственной пошлины за выдачу документов о прохождении технического осмотра</w:t>
            </w:r>
          </w:p>
          <w:p w:rsidR="0058574E" w:rsidRPr="00333651" w:rsidRDefault="0058574E" w:rsidP="00E7317C">
            <w:pPr>
              <w:pStyle w:val="21"/>
              <w:ind w:left="1249" w:firstLine="0"/>
              <w:jc w:val="left"/>
              <w:rPr>
                <w:sz w:val="20"/>
                <w:szCs w:val="20"/>
              </w:rPr>
            </w:pPr>
          </w:p>
        </w:tc>
        <w:tc>
          <w:tcPr>
            <w:tcW w:w="1559" w:type="dxa"/>
            <w:tcBorders>
              <w:bottom w:val="nil"/>
            </w:tcBorders>
          </w:tcPr>
          <w:p w:rsidR="0058574E" w:rsidRPr="00333651" w:rsidRDefault="0058574E" w:rsidP="00E7317C">
            <w:pPr>
              <w:pStyle w:val="21"/>
              <w:ind w:firstLine="0"/>
              <w:jc w:val="center"/>
              <w:rPr>
                <w:sz w:val="20"/>
                <w:szCs w:val="20"/>
              </w:rPr>
            </w:pPr>
          </w:p>
          <w:p w:rsidR="0058574E" w:rsidRPr="00333651" w:rsidRDefault="0058574E" w:rsidP="00E7317C">
            <w:pPr>
              <w:pStyle w:val="21"/>
              <w:ind w:firstLine="0"/>
              <w:jc w:val="center"/>
              <w:rPr>
                <w:sz w:val="20"/>
                <w:szCs w:val="20"/>
              </w:rPr>
            </w:pPr>
          </w:p>
          <w:p w:rsidR="0058574E" w:rsidRPr="00333651" w:rsidRDefault="0058574E" w:rsidP="00E7317C">
            <w:pPr>
              <w:pStyle w:val="21"/>
              <w:ind w:firstLine="0"/>
              <w:jc w:val="center"/>
              <w:rPr>
                <w:sz w:val="20"/>
                <w:szCs w:val="20"/>
              </w:rPr>
            </w:pPr>
            <w:r w:rsidRPr="00333651">
              <w:rPr>
                <w:sz w:val="20"/>
                <w:szCs w:val="20"/>
              </w:rPr>
              <w:t>1,5</w:t>
            </w:r>
          </w:p>
          <w:p w:rsidR="0058574E" w:rsidRPr="00333651" w:rsidRDefault="0058574E" w:rsidP="00E7317C">
            <w:pPr>
              <w:pStyle w:val="21"/>
              <w:ind w:firstLine="0"/>
              <w:jc w:val="center"/>
              <w:rPr>
                <w:sz w:val="20"/>
                <w:szCs w:val="20"/>
              </w:rPr>
            </w:pPr>
          </w:p>
          <w:p w:rsidR="0058574E" w:rsidRPr="00333651" w:rsidRDefault="0058574E" w:rsidP="00E7317C">
            <w:pPr>
              <w:pStyle w:val="21"/>
              <w:ind w:firstLine="0"/>
              <w:jc w:val="center"/>
              <w:rPr>
                <w:sz w:val="20"/>
                <w:szCs w:val="20"/>
              </w:rPr>
            </w:pPr>
          </w:p>
          <w:p w:rsidR="0058574E" w:rsidRPr="00333651" w:rsidRDefault="0058574E" w:rsidP="00E7317C">
            <w:pPr>
              <w:pStyle w:val="21"/>
              <w:ind w:firstLine="0"/>
              <w:jc w:val="center"/>
              <w:rPr>
                <w:sz w:val="20"/>
                <w:szCs w:val="20"/>
              </w:rPr>
            </w:pPr>
            <w:r w:rsidRPr="00333651">
              <w:rPr>
                <w:sz w:val="20"/>
                <w:szCs w:val="20"/>
              </w:rPr>
              <w:t>0,5</w:t>
            </w:r>
          </w:p>
          <w:p w:rsidR="0058574E" w:rsidRPr="00333651" w:rsidRDefault="0058574E" w:rsidP="00E7317C">
            <w:pPr>
              <w:pStyle w:val="21"/>
              <w:ind w:firstLine="0"/>
              <w:jc w:val="center"/>
              <w:rPr>
                <w:sz w:val="20"/>
                <w:szCs w:val="20"/>
              </w:rPr>
            </w:pPr>
          </w:p>
          <w:p w:rsidR="0058574E" w:rsidRPr="00333651" w:rsidRDefault="0058574E" w:rsidP="00E7317C">
            <w:pPr>
              <w:pStyle w:val="21"/>
              <w:ind w:firstLine="0"/>
              <w:jc w:val="center"/>
              <w:rPr>
                <w:sz w:val="20"/>
                <w:szCs w:val="20"/>
              </w:rPr>
            </w:pPr>
            <w:r w:rsidRPr="00333651">
              <w:rPr>
                <w:sz w:val="20"/>
                <w:szCs w:val="20"/>
              </w:rPr>
              <w:t>0,8</w:t>
            </w:r>
          </w:p>
          <w:p w:rsidR="0058574E" w:rsidRPr="00333651" w:rsidRDefault="0058574E" w:rsidP="00E7317C">
            <w:pPr>
              <w:pStyle w:val="21"/>
              <w:ind w:firstLine="0"/>
              <w:jc w:val="center"/>
              <w:rPr>
                <w:sz w:val="20"/>
                <w:szCs w:val="20"/>
              </w:rPr>
            </w:pPr>
            <w:r w:rsidRPr="00333651">
              <w:rPr>
                <w:sz w:val="20"/>
                <w:szCs w:val="20"/>
              </w:rPr>
              <w:t>0,35</w:t>
            </w:r>
          </w:p>
          <w:p w:rsidR="0058574E" w:rsidRPr="00333651" w:rsidRDefault="0058574E" w:rsidP="00E7317C">
            <w:pPr>
              <w:pStyle w:val="21"/>
              <w:ind w:firstLine="0"/>
              <w:jc w:val="center"/>
              <w:rPr>
                <w:sz w:val="20"/>
                <w:szCs w:val="20"/>
              </w:rPr>
            </w:pPr>
          </w:p>
          <w:p w:rsidR="0058574E" w:rsidRPr="00333651" w:rsidRDefault="0058574E" w:rsidP="00E7317C">
            <w:pPr>
              <w:pStyle w:val="21"/>
              <w:ind w:firstLine="0"/>
              <w:jc w:val="center"/>
              <w:rPr>
                <w:sz w:val="20"/>
                <w:szCs w:val="20"/>
              </w:rPr>
            </w:pPr>
            <w:r w:rsidRPr="00333651">
              <w:rPr>
                <w:sz w:val="20"/>
                <w:szCs w:val="20"/>
              </w:rPr>
              <w:t>0,2</w:t>
            </w:r>
          </w:p>
          <w:p w:rsidR="0058574E" w:rsidRPr="00333651" w:rsidRDefault="0058574E" w:rsidP="00E7317C">
            <w:pPr>
              <w:pStyle w:val="21"/>
              <w:ind w:firstLine="0"/>
              <w:jc w:val="center"/>
              <w:rPr>
                <w:sz w:val="20"/>
                <w:szCs w:val="20"/>
              </w:rPr>
            </w:pPr>
          </w:p>
          <w:p w:rsidR="0058574E" w:rsidRPr="00333651" w:rsidRDefault="0058574E" w:rsidP="00E7317C">
            <w:pPr>
              <w:pStyle w:val="21"/>
              <w:ind w:firstLine="0"/>
              <w:jc w:val="center"/>
              <w:rPr>
                <w:sz w:val="20"/>
                <w:szCs w:val="20"/>
              </w:rPr>
            </w:pPr>
            <w:r w:rsidRPr="00333651">
              <w:rPr>
                <w:sz w:val="20"/>
                <w:szCs w:val="20"/>
              </w:rPr>
              <w:t>0,35</w:t>
            </w:r>
          </w:p>
          <w:p w:rsidR="0058574E" w:rsidRPr="00333651" w:rsidRDefault="0058574E" w:rsidP="00E7317C">
            <w:pPr>
              <w:pStyle w:val="21"/>
              <w:ind w:firstLine="0"/>
              <w:jc w:val="center"/>
              <w:rPr>
                <w:sz w:val="20"/>
                <w:szCs w:val="20"/>
              </w:rPr>
            </w:pPr>
          </w:p>
          <w:p w:rsidR="0058574E" w:rsidRPr="00333651" w:rsidRDefault="0058574E" w:rsidP="00E7317C">
            <w:pPr>
              <w:pStyle w:val="21"/>
              <w:ind w:firstLine="0"/>
              <w:jc w:val="center"/>
              <w:rPr>
                <w:sz w:val="20"/>
                <w:szCs w:val="20"/>
              </w:rPr>
            </w:pPr>
            <w:r w:rsidRPr="00333651">
              <w:rPr>
                <w:sz w:val="20"/>
                <w:szCs w:val="20"/>
              </w:rPr>
              <w:t>0,5</w:t>
            </w:r>
          </w:p>
          <w:p w:rsidR="0058574E" w:rsidRPr="00333651" w:rsidRDefault="0058574E" w:rsidP="00E7317C">
            <w:pPr>
              <w:pStyle w:val="21"/>
              <w:ind w:firstLine="0"/>
              <w:jc w:val="center"/>
              <w:rPr>
                <w:sz w:val="20"/>
                <w:szCs w:val="20"/>
              </w:rPr>
            </w:pPr>
          </w:p>
          <w:p w:rsidR="0058574E" w:rsidRPr="00333651" w:rsidRDefault="0058574E" w:rsidP="00E7317C">
            <w:pPr>
              <w:pStyle w:val="21"/>
              <w:ind w:firstLine="0"/>
              <w:jc w:val="center"/>
              <w:rPr>
                <w:sz w:val="20"/>
                <w:szCs w:val="20"/>
              </w:rPr>
            </w:pPr>
            <w:r w:rsidRPr="00333651">
              <w:rPr>
                <w:sz w:val="20"/>
                <w:szCs w:val="20"/>
              </w:rPr>
              <w:t>0,4</w:t>
            </w:r>
          </w:p>
          <w:p w:rsidR="0058574E" w:rsidRPr="00333651" w:rsidRDefault="0058574E" w:rsidP="00E7317C">
            <w:pPr>
              <w:pStyle w:val="21"/>
              <w:ind w:firstLine="0"/>
              <w:jc w:val="center"/>
              <w:rPr>
                <w:sz w:val="20"/>
                <w:szCs w:val="20"/>
              </w:rPr>
            </w:pPr>
          </w:p>
        </w:tc>
        <w:tc>
          <w:tcPr>
            <w:tcW w:w="1559" w:type="dxa"/>
            <w:tcBorders>
              <w:bottom w:val="nil"/>
            </w:tcBorders>
          </w:tcPr>
          <w:p w:rsidR="0058574E" w:rsidRPr="00333651" w:rsidRDefault="0058574E" w:rsidP="00E7317C">
            <w:pPr>
              <w:pStyle w:val="21"/>
              <w:ind w:firstLine="0"/>
              <w:jc w:val="center"/>
              <w:rPr>
                <w:sz w:val="20"/>
                <w:szCs w:val="20"/>
              </w:rPr>
            </w:pPr>
          </w:p>
          <w:p w:rsidR="0058574E" w:rsidRPr="00333651" w:rsidRDefault="0058574E" w:rsidP="00E7317C">
            <w:pPr>
              <w:pStyle w:val="21"/>
              <w:ind w:firstLine="0"/>
              <w:jc w:val="center"/>
              <w:rPr>
                <w:sz w:val="20"/>
                <w:szCs w:val="20"/>
              </w:rPr>
            </w:pPr>
          </w:p>
          <w:p w:rsidR="0058574E" w:rsidRPr="00333651" w:rsidRDefault="0058574E" w:rsidP="00E7317C">
            <w:pPr>
              <w:pStyle w:val="21"/>
              <w:ind w:firstLine="0"/>
              <w:jc w:val="center"/>
              <w:rPr>
                <w:sz w:val="20"/>
                <w:szCs w:val="20"/>
              </w:rPr>
            </w:pPr>
            <w:r w:rsidRPr="00333651">
              <w:rPr>
                <w:sz w:val="20"/>
                <w:szCs w:val="20"/>
              </w:rPr>
              <w:t>1,5</w:t>
            </w:r>
          </w:p>
          <w:p w:rsidR="0058574E" w:rsidRPr="00333651" w:rsidRDefault="0058574E" w:rsidP="00E7317C">
            <w:pPr>
              <w:pStyle w:val="21"/>
              <w:ind w:firstLine="0"/>
              <w:jc w:val="center"/>
              <w:rPr>
                <w:sz w:val="20"/>
                <w:szCs w:val="20"/>
              </w:rPr>
            </w:pPr>
          </w:p>
          <w:p w:rsidR="0058574E" w:rsidRPr="00333651" w:rsidRDefault="0058574E" w:rsidP="00E7317C">
            <w:pPr>
              <w:pStyle w:val="21"/>
              <w:ind w:firstLine="0"/>
              <w:jc w:val="center"/>
              <w:rPr>
                <w:sz w:val="20"/>
                <w:szCs w:val="20"/>
              </w:rPr>
            </w:pPr>
          </w:p>
          <w:p w:rsidR="0058574E" w:rsidRPr="00333651" w:rsidRDefault="0058574E" w:rsidP="00E7317C">
            <w:pPr>
              <w:pStyle w:val="21"/>
              <w:ind w:firstLine="0"/>
              <w:jc w:val="center"/>
              <w:rPr>
                <w:sz w:val="20"/>
                <w:szCs w:val="20"/>
              </w:rPr>
            </w:pPr>
            <w:r w:rsidRPr="00333651">
              <w:rPr>
                <w:sz w:val="20"/>
                <w:szCs w:val="20"/>
              </w:rPr>
              <w:t>0,5</w:t>
            </w:r>
          </w:p>
          <w:p w:rsidR="0058574E" w:rsidRPr="00333651" w:rsidRDefault="0058574E" w:rsidP="00E7317C">
            <w:pPr>
              <w:pStyle w:val="21"/>
              <w:ind w:firstLine="0"/>
              <w:jc w:val="center"/>
              <w:rPr>
                <w:sz w:val="20"/>
                <w:szCs w:val="20"/>
              </w:rPr>
            </w:pPr>
          </w:p>
          <w:p w:rsidR="0058574E" w:rsidRPr="00333651" w:rsidRDefault="0058574E" w:rsidP="00E7317C">
            <w:pPr>
              <w:pStyle w:val="21"/>
              <w:ind w:firstLine="0"/>
              <w:jc w:val="center"/>
              <w:rPr>
                <w:sz w:val="20"/>
                <w:szCs w:val="20"/>
              </w:rPr>
            </w:pPr>
            <w:r w:rsidRPr="00333651">
              <w:rPr>
                <w:sz w:val="20"/>
                <w:szCs w:val="20"/>
              </w:rPr>
              <w:t>0,8</w:t>
            </w:r>
          </w:p>
          <w:p w:rsidR="0058574E" w:rsidRPr="00333651" w:rsidRDefault="0058574E" w:rsidP="00E7317C">
            <w:pPr>
              <w:pStyle w:val="21"/>
              <w:ind w:firstLine="0"/>
              <w:jc w:val="center"/>
              <w:rPr>
                <w:sz w:val="20"/>
                <w:szCs w:val="20"/>
              </w:rPr>
            </w:pPr>
            <w:r w:rsidRPr="00333651">
              <w:rPr>
                <w:sz w:val="20"/>
                <w:szCs w:val="20"/>
              </w:rPr>
              <w:t>0,35</w:t>
            </w:r>
          </w:p>
          <w:p w:rsidR="0058574E" w:rsidRPr="00333651" w:rsidRDefault="0058574E" w:rsidP="00E7317C">
            <w:pPr>
              <w:pStyle w:val="21"/>
              <w:ind w:firstLine="0"/>
              <w:jc w:val="center"/>
              <w:rPr>
                <w:sz w:val="20"/>
                <w:szCs w:val="20"/>
              </w:rPr>
            </w:pPr>
          </w:p>
          <w:p w:rsidR="0058574E" w:rsidRPr="00333651" w:rsidRDefault="0058574E" w:rsidP="00E7317C">
            <w:pPr>
              <w:pStyle w:val="21"/>
              <w:ind w:firstLine="0"/>
              <w:jc w:val="center"/>
              <w:rPr>
                <w:sz w:val="20"/>
                <w:szCs w:val="20"/>
              </w:rPr>
            </w:pPr>
            <w:r w:rsidRPr="00333651">
              <w:rPr>
                <w:sz w:val="20"/>
                <w:szCs w:val="20"/>
              </w:rPr>
              <w:t>0,2</w:t>
            </w:r>
          </w:p>
          <w:p w:rsidR="0058574E" w:rsidRPr="00333651" w:rsidRDefault="0058574E" w:rsidP="00E7317C">
            <w:pPr>
              <w:pStyle w:val="21"/>
              <w:ind w:firstLine="0"/>
              <w:jc w:val="center"/>
              <w:rPr>
                <w:sz w:val="20"/>
                <w:szCs w:val="20"/>
              </w:rPr>
            </w:pPr>
          </w:p>
          <w:p w:rsidR="0058574E" w:rsidRPr="00333651" w:rsidRDefault="0058574E" w:rsidP="00E7317C">
            <w:pPr>
              <w:pStyle w:val="21"/>
              <w:ind w:firstLine="0"/>
              <w:jc w:val="center"/>
              <w:rPr>
                <w:sz w:val="20"/>
                <w:szCs w:val="20"/>
              </w:rPr>
            </w:pPr>
            <w:r w:rsidRPr="00333651">
              <w:rPr>
                <w:sz w:val="20"/>
                <w:szCs w:val="20"/>
              </w:rPr>
              <w:t>0,35</w:t>
            </w:r>
          </w:p>
          <w:p w:rsidR="0058574E" w:rsidRPr="00333651" w:rsidRDefault="0058574E" w:rsidP="00E7317C">
            <w:pPr>
              <w:pStyle w:val="21"/>
              <w:ind w:firstLine="0"/>
              <w:jc w:val="center"/>
              <w:rPr>
                <w:sz w:val="20"/>
                <w:szCs w:val="20"/>
              </w:rPr>
            </w:pPr>
          </w:p>
          <w:p w:rsidR="0058574E" w:rsidRPr="00333651" w:rsidRDefault="0058574E" w:rsidP="00E7317C">
            <w:pPr>
              <w:pStyle w:val="21"/>
              <w:ind w:firstLine="0"/>
              <w:jc w:val="center"/>
              <w:rPr>
                <w:sz w:val="20"/>
                <w:szCs w:val="20"/>
              </w:rPr>
            </w:pPr>
            <w:r w:rsidRPr="00333651">
              <w:rPr>
                <w:sz w:val="20"/>
                <w:szCs w:val="20"/>
              </w:rPr>
              <w:t>0,5</w:t>
            </w:r>
          </w:p>
          <w:p w:rsidR="0058574E" w:rsidRPr="00333651" w:rsidRDefault="0058574E" w:rsidP="00E7317C">
            <w:pPr>
              <w:pStyle w:val="21"/>
              <w:ind w:firstLine="0"/>
              <w:jc w:val="center"/>
              <w:rPr>
                <w:sz w:val="20"/>
                <w:szCs w:val="20"/>
              </w:rPr>
            </w:pPr>
          </w:p>
          <w:p w:rsidR="0058574E" w:rsidRPr="00333651" w:rsidRDefault="0058574E" w:rsidP="00E7317C">
            <w:pPr>
              <w:pStyle w:val="21"/>
              <w:ind w:firstLine="0"/>
              <w:jc w:val="center"/>
              <w:rPr>
                <w:sz w:val="20"/>
                <w:szCs w:val="20"/>
              </w:rPr>
            </w:pPr>
            <w:r w:rsidRPr="00333651">
              <w:rPr>
                <w:sz w:val="20"/>
                <w:szCs w:val="20"/>
              </w:rPr>
              <w:t>0,4</w:t>
            </w:r>
          </w:p>
          <w:p w:rsidR="0058574E" w:rsidRPr="00333651" w:rsidRDefault="0058574E" w:rsidP="00E7317C">
            <w:pPr>
              <w:pStyle w:val="21"/>
              <w:ind w:firstLine="0"/>
              <w:jc w:val="center"/>
              <w:rPr>
                <w:sz w:val="20"/>
                <w:szCs w:val="20"/>
              </w:rPr>
            </w:pPr>
          </w:p>
        </w:tc>
        <w:tc>
          <w:tcPr>
            <w:tcW w:w="1559" w:type="dxa"/>
            <w:tcBorders>
              <w:bottom w:val="nil"/>
            </w:tcBorders>
          </w:tcPr>
          <w:p w:rsidR="0058574E" w:rsidRPr="00333651" w:rsidRDefault="0058574E" w:rsidP="00E7317C">
            <w:pPr>
              <w:pStyle w:val="21"/>
              <w:ind w:firstLine="0"/>
              <w:jc w:val="center"/>
              <w:rPr>
                <w:sz w:val="20"/>
                <w:szCs w:val="20"/>
              </w:rPr>
            </w:pPr>
          </w:p>
          <w:p w:rsidR="0058574E" w:rsidRPr="00333651" w:rsidRDefault="0058574E" w:rsidP="00E7317C">
            <w:pPr>
              <w:pStyle w:val="21"/>
              <w:ind w:firstLine="0"/>
              <w:jc w:val="center"/>
              <w:rPr>
                <w:sz w:val="20"/>
                <w:szCs w:val="20"/>
              </w:rPr>
            </w:pPr>
          </w:p>
          <w:p w:rsidR="0058574E" w:rsidRPr="00333651" w:rsidRDefault="0058574E" w:rsidP="00E7317C">
            <w:pPr>
              <w:pStyle w:val="21"/>
              <w:ind w:firstLine="0"/>
              <w:jc w:val="center"/>
              <w:rPr>
                <w:sz w:val="20"/>
                <w:szCs w:val="20"/>
              </w:rPr>
            </w:pPr>
            <w:r w:rsidRPr="00333651">
              <w:rPr>
                <w:sz w:val="20"/>
                <w:szCs w:val="20"/>
              </w:rPr>
              <w:t>1,5</w:t>
            </w:r>
          </w:p>
          <w:p w:rsidR="0058574E" w:rsidRPr="00333651" w:rsidRDefault="0058574E" w:rsidP="00E7317C">
            <w:pPr>
              <w:pStyle w:val="21"/>
              <w:ind w:firstLine="0"/>
              <w:jc w:val="center"/>
              <w:rPr>
                <w:sz w:val="20"/>
                <w:szCs w:val="20"/>
              </w:rPr>
            </w:pPr>
          </w:p>
          <w:p w:rsidR="0058574E" w:rsidRPr="00333651" w:rsidRDefault="0058574E" w:rsidP="00E7317C">
            <w:pPr>
              <w:pStyle w:val="21"/>
              <w:ind w:firstLine="0"/>
              <w:jc w:val="center"/>
              <w:rPr>
                <w:sz w:val="20"/>
                <w:szCs w:val="20"/>
              </w:rPr>
            </w:pPr>
          </w:p>
          <w:p w:rsidR="0058574E" w:rsidRPr="00333651" w:rsidRDefault="0058574E" w:rsidP="00E7317C">
            <w:pPr>
              <w:pStyle w:val="21"/>
              <w:ind w:firstLine="0"/>
              <w:jc w:val="center"/>
              <w:rPr>
                <w:sz w:val="20"/>
                <w:szCs w:val="20"/>
              </w:rPr>
            </w:pPr>
            <w:r w:rsidRPr="00333651">
              <w:rPr>
                <w:sz w:val="20"/>
                <w:szCs w:val="20"/>
              </w:rPr>
              <w:t>0,5</w:t>
            </w:r>
          </w:p>
          <w:p w:rsidR="0058574E" w:rsidRPr="00333651" w:rsidRDefault="0058574E" w:rsidP="00E7317C">
            <w:pPr>
              <w:pStyle w:val="21"/>
              <w:ind w:firstLine="0"/>
              <w:jc w:val="center"/>
              <w:rPr>
                <w:sz w:val="20"/>
                <w:szCs w:val="20"/>
              </w:rPr>
            </w:pPr>
          </w:p>
          <w:p w:rsidR="0058574E" w:rsidRPr="00333651" w:rsidRDefault="0058574E" w:rsidP="00E7317C">
            <w:pPr>
              <w:pStyle w:val="21"/>
              <w:ind w:firstLine="0"/>
              <w:jc w:val="center"/>
              <w:rPr>
                <w:sz w:val="20"/>
                <w:szCs w:val="20"/>
              </w:rPr>
            </w:pPr>
            <w:r w:rsidRPr="00333651">
              <w:rPr>
                <w:sz w:val="20"/>
                <w:szCs w:val="20"/>
              </w:rPr>
              <w:t>0,8</w:t>
            </w:r>
          </w:p>
          <w:p w:rsidR="0058574E" w:rsidRPr="00333651" w:rsidRDefault="0058574E" w:rsidP="00E7317C">
            <w:pPr>
              <w:pStyle w:val="21"/>
              <w:ind w:firstLine="0"/>
              <w:jc w:val="center"/>
              <w:rPr>
                <w:sz w:val="20"/>
                <w:szCs w:val="20"/>
              </w:rPr>
            </w:pPr>
            <w:r w:rsidRPr="00333651">
              <w:rPr>
                <w:sz w:val="20"/>
                <w:szCs w:val="20"/>
              </w:rPr>
              <w:t>0,35</w:t>
            </w:r>
          </w:p>
          <w:p w:rsidR="0058574E" w:rsidRPr="00333651" w:rsidRDefault="0058574E" w:rsidP="00E7317C">
            <w:pPr>
              <w:pStyle w:val="21"/>
              <w:ind w:firstLine="0"/>
              <w:jc w:val="center"/>
              <w:rPr>
                <w:sz w:val="20"/>
                <w:szCs w:val="20"/>
              </w:rPr>
            </w:pPr>
          </w:p>
          <w:p w:rsidR="0058574E" w:rsidRPr="00333651" w:rsidRDefault="0058574E" w:rsidP="00E7317C">
            <w:pPr>
              <w:pStyle w:val="21"/>
              <w:ind w:firstLine="0"/>
              <w:jc w:val="center"/>
              <w:rPr>
                <w:sz w:val="20"/>
                <w:szCs w:val="20"/>
              </w:rPr>
            </w:pPr>
            <w:r w:rsidRPr="00333651">
              <w:rPr>
                <w:sz w:val="20"/>
                <w:szCs w:val="20"/>
              </w:rPr>
              <w:t>0,2</w:t>
            </w:r>
          </w:p>
          <w:p w:rsidR="0058574E" w:rsidRPr="00333651" w:rsidRDefault="0058574E" w:rsidP="00E7317C">
            <w:pPr>
              <w:pStyle w:val="21"/>
              <w:ind w:firstLine="0"/>
              <w:jc w:val="center"/>
              <w:rPr>
                <w:sz w:val="20"/>
                <w:szCs w:val="20"/>
              </w:rPr>
            </w:pPr>
          </w:p>
          <w:p w:rsidR="0058574E" w:rsidRPr="00333651" w:rsidRDefault="0058574E" w:rsidP="00E7317C">
            <w:pPr>
              <w:pStyle w:val="21"/>
              <w:ind w:firstLine="0"/>
              <w:jc w:val="center"/>
              <w:rPr>
                <w:sz w:val="20"/>
                <w:szCs w:val="20"/>
              </w:rPr>
            </w:pPr>
            <w:r w:rsidRPr="00333651">
              <w:rPr>
                <w:sz w:val="20"/>
                <w:szCs w:val="20"/>
              </w:rPr>
              <w:t>0,35</w:t>
            </w:r>
          </w:p>
          <w:p w:rsidR="0058574E" w:rsidRPr="00333651" w:rsidRDefault="0058574E" w:rsidP="00E7317C">
            <w:pPr>
              <w:pStyle w:val="21"/>
              <w:ind w:firstLine="0"/>
              <w:rPr>
                <w:sz w:val="20"/>
                <w:szCs w:val="20"/>
              </w:rPr>
            </w:pPr>
          </w:p>
          <w:p w:rsidR="0058574E" w:rsidRPr="00333651" w:rsidRDefault="0058574E" w:rsidP="00E7317C">
            <w:pPr>
              <w:pStyle w:val="21"/>
              <w:ind w:firstLine="0"/>
              <w:jc w:val="center"/>
              <w:rPr>
                <w:sz w:val="20"/>
                <w:szCs w:val="20"/>
              </w:rPr>
            </w:pPr>
            <w:r w:rsidRPr="00333651">
              <w:rPr>
                <w:sz w:val="20"/>
                <w:szCs w:val="20"/>
              </w:rPr>
              <w:t>0,5</w:t>
            </w:r>
          </w:p>
          <w:p w:rsidR="0058574E" w:rsidRPr="00333651" w:rsidRDefault="0058574E" w:rsidP="00E7317C">
            <w:pPr>
              <w:pStyle w:val="21"/>
              <w:ind w:firstLine="0"/>
              <w:jc w:val="center"/>
              <w:rPr>
                <w:sz w:val="20"/>
                <w:szCs w:val="20"/>
              </w:rPr>
            </w:pPr>
          </w:p>
          <w:p w:rsidR="0058574E" w:rsidRPr="00333651" w:rsidRDefault="0058574E" w:rsidP="00E7317C">
            <w:pPr>
              <w:pStyle w:val="21"/>
              <w:ind w:firstLine="0"/>
              <w:jc w:val="center"/>
              <w:rPr>
                <w:sz w:val="20"/>
                <w:szCs w:val="20"/>
              </w:rPr>
            </w:pPr>
            <w:r w:rsidRPr="00333651">
              <w:rPr>
                <w:sz w:val="20"/>
                <w:szCs w:val="20"/>
              </w:rPr>
              <w:t>0,4</w:t>
            </w:r>
          </w:p>
          <w:p w:rsidR="0058574E" w:rsidRPr="00333651" w:rsidRDefault="0058574E" w:rsidP="00E7317C">
            <w:pPr>
              <w:pStyle w:val="21"/>
              <w:ind w:firstLine="0"/>
              <w:jc w:val="center"/>
              <w:rPr>
                <w:sz w:val="20"/>
                <w:szCs w:val="20"/>
              </w:rPr>
            </w:pPr>
          </w:p>
        </w:tc>
      </w:tr>
      <w:tr w:rsidR="0058574E" w:rsidRPr="00333651" w:rsidTr="00E7317C">
        <w:trPr>
          <w:trHeight w:val="2693"/>
        </w:trPr>
        <w:tc>
          <w:tcPr>
            <w:tcW w:w="5388" w:type="dxa"/>
            <w:tcBorders>
              <w:top w:val="nil"/>
            </w:tcBorders>
          </w:tcPr>
          <w:p w:rsidR="0058574E" w:rsidRPr="00333651" w:rsidRDefault="0058574E" w:rsidP="00E7317C">
            <w:pPr>
              <w:pStyle w:val="21"/>
              <w:ind w:firstLine="0"/>
              <w:jc w:val="left"/>
              <w:rPr>
                <w:sz w:val="20"/>
                <w:szCs w:val="20"/>
              </w:rPr>
            </w:pPr>
            <w:r w:rsidRPr="00333651">
              <w:rPr>
                <w:sz w:val="20"/>
                <w:szCs w:val="20"/>
              </w:rPr>
              <w:lastRenderedPageBreak/>
              <w:t>7. Государственная пошлина - всего, тыс. руб. (стр.7.1+стр.7.2+стр.7.3), в том числе:</w:t>
            </w:r>
          </w:p>
          <w:p w:rsidR="0058574E" w:rsidRPr="00333651" w:rsidRDefault="0058574E" w:rsidP="00E7317C">
            <w:pPr>
              <w:pStyle w:val="21"/>
              <w:ind w:firstLine="0"/>
              <w:jc w:val="left"/>
              <w:rPr>
                <w:sz w:val="20"/>
                <w:szCs w:val="20"/>
              </w:rPr>
            </w:pPr>
            <w:r w:rsidRPr="00333651">
              <w:rPr>
                <w:sz w:val="20"/>
                <w:szCs w:val="20"/>
              </w:rPr>
              <w:t>7.1. за совершение определенного регистрационного действия (стр.7.1.1.+стр.7.1.2.+стр.7.1.3.+стр.7.1.4.+ +стр.7.1.5.+стр.7.1.6):</w:t>
            </w:r>
          </w:p>
          <w:p w:rsidR="0058574E" w:rsidRPr="00333651" w:rsidRDefault="0058574E" w:rsidP="00E7317C">
            <w:pPr>
              <w:pStyle w:val="21"/>
              <w:ind w:firstLine="0"/>
              <w:jc w:val="left"/>
              <w:rPr>
                <w:sz w:val="20"/>
                <w:szCs w:val="20"/>
              </w:rPr>
            </w:pPr>
            <w:r w:rsidRPr="00333651">
              <w:rPr>
                <w:sz w:val="20"/>
                <w:szCs w:val="20"/>
              </w:rPr>
              <w:t xml:space="preserve"> 7.1.1. за выдачу государственных регистрационных знаков на тракторы, самоходные дорожно-строительные и иные самоходные машины (стр.1.1.*стр.4.1.)</w:t>
            </w:r>
          </w:p>
          <w:p w:rsidR="0058574E" w:rsidRPr="00333651" w:rsidRDefault="0058574E" w:rsidP="00E7317C">
            <w:pPr>
              <w:pStyle w:val="21"/>
              <w:ind w:firstLine="0"/>
              <w:jc w:val="left"/>
              <w:rPr>
                <w:sz w:val="20"/>
                <w:szCs w:val="20"/>
              </w:rPr>
            </w:pPr>
            <w:r w:rsidRPr="00333651">
              <w:rPr>
                <w:sz w:val="20"/>
                <w:szCs w:val="20"/>
              </w:rPr>
              <w:t>7.1.2. за выдачу свидетельства о регистрации самоходной машины (стр.1.2.*стр.4.2.)</w:t>
            </w:r>
          </w:p>
          <w:p w:rsidR="0058574E" w:rsidRPr="00333651" w:rsidRDefault="0058574E" w:rsidP="00E7317C">
            <w:pPr>
              <w:pStyle w:val="21"/>
              <w:ind w:firstLine="0"/>
              <w:jc w:val="left"/>
              <w:rPr>
                <w:sz w:val="20"/>
                <w:szCs w:val="20"/>
              </w:rPr>
            </w:pPr>
            <w:r w:rsidRPr="00333651">
              <w:rPr>
                <w:sz w:val="20"/>
                <w:szCs w:val="20"/>
              </w:rPr>
              <w:t>7.1.3. за выдачу паспорта самоходной машины</w:t>
            </w:r>
            <w:r>
              <w:rPr>
                <w:sz w:val="20"/>
                <w:szCs w:val="20"/>
              </w:rPr>
              <w:t xml:space="preserve"> </w:t>
            </w:r>
            <w:r w:rsidRPr="00333651">
              <w:rPr>
                <w:sz w:val="20"/>
                <w:szCs w:val="20"/>
              </w:rPr>
              <w:t>(стр.1.3.*стр.4.3.)</w:t>
            </w:r>
          </w:p>
          <w:p w:rsidR="0058574E" w:rsidRPr="00333651" w:rsidRDefault="0058574E" w:rsidP="00E7317C">
            <w:pPr>
              <w:pStyle w:val="21"/>
              <w:ind w:firstLine="0"/>
              <w:jc w:val="left"/>
              <w:rPr>
                <w:sz w:val="20"/>
                <w:szCs w:val="20"/>
              </w:rPr>
            </w:pPr>
            <w:r w:rsidRPr="00333651">
              <w:rPr>
                <w:sz w:val="20"/>
                <w:szCs w:val="20"/>
              </w:rPr>
              <w:t xml:space="preserve">7.1.4. за внесение изменений в ранее выданный паспорт самоходной машины (стр.1.4.*стр.4.4.) </w:t>
            </w:r>
          </w:p>
          <w:p w:rsidR="0058574E" w:rsidRPr="00333651" w:rsidRDefault="0058574E" w:rsidP="00E7317C">
            <w:pPr>
              <w:pStyle w:val="21"/>
              <w:ind w:firstLine="0"/>
              <w:jc w:val="left"/>
              <w:rPr>
                <w:sz w:val="20"/>
                <w:szCs w:val="20"/>
              </w:rPr>
            </w:pPr>
            <w:r w:rsidRPr="00333651">
              <w:rPr>
                <w:sz w:val="20"/>
                <w:szCs w:val="20"/>
              </w:rPr>
              <w:t>(с округлением)</w:t>
            </w:r>
          </w:p>
          <w:p w:rsidR="0058574E" w:rsidRPr="00333651" w:rsidRDefault="0058574E" w:rsidP="00E7317C">
            <w:pPr>
              <w:pStyle w:val="21"/>
              <w:ind w:firstLine="0"/>
              <w:jc w:val="left"/>
              <w:rPr>
                <w:sz w:val="20"/>
                <w:szCs w:val="20"/>
              </w:rPr>
            </w:pPr>
            <w:r w:rsidRPr="00333651">
              <w:rPr>
                <w:sz w:val="20"/>
                <w:szCs w:val="20"/>
              </w:rPr>
              <w:t>7.1.5. за выдачу государственных регистрационных знаков транспортных средств «Транзит» (стр.1.5.*стр.4.5)</w:t>
            </w:r>
          </w:p>
          <w:p w:rsidR="0058574E" w:rsidRPr="00333651" w:rsidRDefault="0058574E" w:rsidP="00E7317C">
            <w:pPr>
              <w:pStyle w:val="21"/>
              <w:ind w:firstLine="0"/>
              <w:jc w:val="left"/>
              <w:rPr>
                <w:sz w:val="20"/>
                <w:szCs w:val="20"/>
              </w:rPr>
            </w:pPr>
            <w:r w:rsidRPr="00333651">
              <w:rPr>
                <w:sz w:val="20"/>
                <w:szCs w:val="20"/>
              </w:rPr>
              <w:t xml:space="preserve">7.1.6. выдача свидетельства на высвободившийся номерной агрегат (стр.1.6 *стр.4.6.) </w:t>
            </w:r>
          </w:p>
          <w:p w:rsidR="0058574E" w:rsidRPr="00333651" w:rsidRDefault="0058574E" w:rsidP="00E7317C">
            <w:pPr>
              <w:pStyle w:val="21"/>
              <w:ind w:firstLine="0"/>
              <w:jc w:val="left"/>
              <w:rPr>
                <w:sz w:val="20"/>
                <w:szCs w:val="20"/>
              </w:rPr>
            </w:pPr>
            <w:r w:rsidRPr="00333651">
              <w:rPr>
                <w:sz w:val="20"/>
                <w:szCs w:val="20"/>
              </w:rPr>
              <w:t xml:space="preserve">7.2. за выдачу удостоверений тракториста-машиниста (стр.2*стр.5)  </w:t>
            </w:r>
          </w:p>
          <w:p w:rsidR="0058574E" w:rsidRPr="00333651" w:rsidRDefault="0058574E" w:rsidP="00E7317C">
            <w:pPr>
              <w:pStyle w:val="21"/>
              <w:ind w:firstLine="0"/>
              <w:jc w:val="left"/>
              <w:rPr>
                <w:sz w:val="20"/>
                <w:szCs w:val="20"/>
              </w:rPr>
            </w:pPr>
            <w:r w:rsidRPr="00333651">
              <w:rPr>
                <w:sz w:val="20"/>
                <w:szCs w:val="20"/>
              </w:rPr>
              <w:t xml:space="preserve">7.3. за выдачу документов о прохождении технического осмотра ((стр.3.1.+стр.3.2.)*стр.6) </w:t>
            </w:r>
          </w:p>
        </w:tc>
        <w:tc>
          <w:tcPr>
            <w:tcW w:w="1559" w:type="dxa"/>
            <w:tcBorders>
              <w:top w:val="nil"/>
            </w:tcBorders>
          </w:tcPr>
          <w:p w:rsidR="0058574E" w:rsidRPr="00333651" w:rsidRDefault="0058574E" w:rsidP="00E7317C">
            <w:pPr>
              <w:pStyle w:val="21"/>
              <w:ind w:firstLine="0"/>
              <w:jc w:val="center"/>
              <w:rPr>
                <w:sz w:val="20"/>
                <w:szCs w:val="20"/>
              </w:rPr>
            </w:pPr>
            <w:r>
              <w:rPr>
                <w:sz w:val="20"/>
                <w:szCs w:val="20"/>
              </w:rPr>
              <w:t>21 866,7</w:t>
            </w:r>
          </w:p>
          <w:p w:rsidR="0058574E" w:rsidRPr="00333651" w:rsidRDefault="0058574E" w:rsidP="00E7317C">
            <w:pPr>
              <w:pStyle w:val="21"/>
              <w:ind w:firstLine="0"/>
              <w:jc w:val="center"/>
              <w:rPr>
                <w:sz w:val="20"/>
                <w:szCs w:val="20"/>
              </w:rPr>
            </w:pPr>
          </w:p>
          <w:p w:rsidR="0058574E" w:rsidRPr="00333651" w:rsidRDefault="0058574E" w:rsidP="00E7317C">
            <w:pPr>
              <w:pStyle w:val="21"/>
              <w:ind w:firstLine="0"/>
              <w:jc w:val="center"/>
              <w:rPr>
                <w:sz w:val="20"/>
                <w:szCs w:val="20"/>
              </w:rPr>
            </w:pPr>
          </w:p>
          <w:p w:rsidR="0058574E" w:rsidRPr="00333651" w:rsidRDefault="0058574E" w:rsidP="00E7317C">
            <w:pPr>
              <w:pStyle w:val="21"/>
              <w:ind w:firstLine="0"/>
              <w:jc w:val="center"/>
              <w:rPr>
                <w:sz w:val="20"/>
                <w:szCs w:val="20"/>
              </w:rPr>
            </w:pPr>
          </w:p>
          <w:p w:rsidR="0058574E" w:rsidRPr="00333651" w:rsidRDefault="0058574E" w:rsidP="00E7317C">
            <w:pPr>
              <w:pStyle w:val="21"/>
              <w:ind w:firstLine="0"/>
              <w:jc w:val="center"/>
              <w:rPr>
                <w:sz w:val="20"/>
                <w:szCs w:val="20"/>
              </w:rPr>
            </w:pPr>
            <w:r>
              <w:rPr>
                <w:sz w:val="20"/>
                <w:szCs w:val="20"/>
              </w:rPr>
              <w:t>8 235,3</w:t>
            </w:r>
          </w:p>
          <w:p w:rsidR="0058574E" w:rsidRPr="00333651" w:rsidRDefault="0058574E" w:rsidP="00E7317C">
            <w:pPr>
              <w:pStyle w:val="21"/>
              <w:ind w:firstLine="0"/>
              <w:jc w:val="center"/>
              <w:rPr>
                <w:sz w:val="20"/>
                <w:szCs w:val="20"/>
              </w:rPr>
            </w:pPr>
          </w:p>
          <w:p w:rsidR="0058574E" w:rsidRPr="00333651" w:rsidRDefault="0058574E" w:rsidP="00E7317C">
            <w:pPr>
              <w:pStyle w:val="21"/>
              <w:ind w:firstLine="0"/>
              <w:jc w:val="center"/>
              <w:rPr>
                <w:sz w:val="20"/>
                <w:szCs w:val="20"/>
              </w:rPr>
            </w:pPr>
          </w:p>
          <w:p w:rsidR="0058574E" w:rsidRPr="00333651" w:rsidRDefault="0058574E" w:rsidP="00E7317C">
            <w:pPr>
              <w:pStyle w:val="21"/>
              <w:ind w:firstLine="0"/>
              <w:jc w:val="center"/>
              <w:rPr>
                <w:sz w:val="20"/>
                <w:szCs w:val="20"/>
              </w:rPr>
            </w:pPr>
            <w:r>
              <w:rPr>
                <w:sz w:val="20"/>
                <w:szCs w:val="20"/>
              </w:rPr>
              <w:t>4 558,5</w:t>
            </w:r>
          </w:p>
          <w:p w:rsidR="0058574E" w:rsidRPr="00333651" w:rsidRDefault="0058574E" w:rsidP="00E7317C">
            <w:pPr>
              <w:pStyle w:val="21"/>
              <w:ind w:firstLine="0"/>
              <w:jc w:val="center"/>
              <w:rPr>
                <w:sz w:val="20"/>
                <w:szCs w:val="20"/>
              </w:rPr>
            </w:pPr>
          </w:p>
          <w:p w:rsidR="0058574E" w:rsidRPr="00333651" w:rsidRDefault="0058574E" w:rsidP="00E7317C">
            <w:pPr>
              <w:pStyle w:val="21"/>
              <w:ind w:firstLine="0"/>
              <w:jc w:val="center"/>
              <w:rPr>
                <w:sz w:val="20"/>
                <w:szCs w:val="20"/>
              </w:rPr>
            </w:pPr>
            <w:r w:rsidRPr="00333651">
              <w:rPr>
                <w:sz w:val="20"/>
                <w:szCs w:val="20"/>
              </w:rPr>
              <w:t>1 847,0</w:t>
            </w:r>
          </w:p>
          <w:p w:rsidR="0058574E" w:rsidRPr="00333651" w:rsidRDefault="0058574E" w:rsidP="00E7317C">
            <w:pPr>
              <w:pStyle w:val="21"/>
              <w:ind w:firstLine="0"/>
              <w:jc w:val="center"/>
              <w:rPr>
                <w:sz w:val="20"/>
                <w:szCs w:val="20"/>
              </w:rPr>
            </w:pPr>
          </w:p>
          <w:p w:rsidR="0058574E" w:rsidRPr="00333651" w:rsidRDefault="0058574E" w:rsidP="00E7317C">
            <w:pPr>
              <w:pStyle w:val="21"/>
              <w:ind w:firstLine="0"/>
              <w:jc w:val="center"/>
              <w:rPr>
                <w:sz w:val="20"/>
                <w:szCs w:val="20"/>
              </w:rPr>
            </w:pPr>
            <w:r w:rsidRPr="00333651">
              <w:rPr>
                <w:sz w:val="20"/>
                <w:szCs w:val="20"/>
              </w:rPr>
              <w:t>0</w:t>
            </w:r>
          </w:p>
          <w:p w:rsidR="0058574E" w:rsidRPr="00333651" w:rsidRDefault="0058574E" w:rsidP="00E7317C">
            <w:pPr>
              <w:pStyle w:val="21"/>
              <w:ind w:firstLine="0"/>
              <w:jc w:val="center"/>
              <w:rPr>
                <w:sz w:val="20"/>
                <w:szCs w:val="20"/>
              </w:rPr>
            </w:pPr>
          </w:p>
          <w:p w:rsidR="0058574E" w:rsidRPr="00333651" w:rsidRDefault="0058574E" w:rsidP="00E7317C">
            <w:pPr>
              <w:pStyle w:val="21"/>
              <w:ind w:firstLine="0"/>
              <w:jc w:val="center"/>
              <w:rPr>
                <w:sz w:val="20"/>
                <w:szCs w:val="20"/>
              </w:rPr>
            </w:pPr>
          </w:p>
          <w:p w:rsidR="0058574E" w:rsidRPr="00333651" w:rsidRDefault="0058574E" w:rsidP="00E7317C">
            <w:pPr>
              <w:pStyle w:val="21"/>
              <w:ind w:firstLine="0"/>
              <w:jc w:val="center"/>
              <w:rPr>
                <w:sz w:val="20"/>
                <w:szCs w:val="20"/>
              </w:rPr>
            </w:pPr>
            <w:r w:rsidRPr="00333651">
              <w:rPr>
                <w:sz w:val="20"/>
                <w:szCs w:val="20"/>
              </w:rPr>
              <w:t>1 829,8</w:t>
            </w:r>
          </w:p>
          <w:p w:rsidR="0058574E" w:rsidRPr="00333651" w:rsidRDefault="0058574E" w:rsidP="00E7317C">
            <w:pPr>
              <w:pStyle w:val="21"/>
              <w:ind w:firstLine="0"/>
              <w:jc w:val="center"/>
              <w:rPr>
                <w:sz w:val="20"/>
                <w:szCs w:val="20"/>
              </w:rPr>
            </w:pPr>
          </w:p>
          <w:p w:rsidR="0058574E" w:rsidRPr="00333651" w:rsidRDefault="0058574E" w:rsidP="00E7317C">
            <w:pPr>
              <w:pStyle w:val="21"/>
              <w:ind w:firstLine="0"/>
              <w:jc w:val="center"/>
              <w:rPr>
                <w:sz w:val="20"/>
                <w:szCs w:val="20"/>
              </w:rPr>
            </w:pPr>
            <w:r w:rsidRPr="00333651">
              <w:rPr>
                <w:sz w:val="20"/>
                <w:szCs w:val="20"/>
              </w:rPr>
              <w:t>18,5</w:t>
            </w:r>
          </w:p>
          <w:p w:rsidR="0058574E" w:rsidRPr="00333651" w:rsidRDefault="0058574E" w:rsidP="00E7317C">
            <w:pPr>
              <w:pStyle w:val="21"/>
              <w:ind w:firstLine="0"/>
              <w:jc w:val="center"/>
              <w:rPr>
                <w:sz w:val="20"/>
                <w:szCs w:val="20"/>
              </w:rPr>
            </w:pPr>
          </w:p>
          <w:p w:rsidR="0058574E" w:rsidRPr="00333651" w:rsidRDefault="0058574E" w:rsidP="00E7317C">
            <w:pPr>
              <w:pStyle w:val="21"/>
              <w:ind w:firstLine="0"/>
              <w:jc w:val="center"/>
              <w:rPr>
                <w:sz w:val="20"/>
                <w:szCs w:val="20"/>
              </w:rPr>
            </w:pPr>
          </w:p>
          <w:p w:rsidR="0058574E" w:rsidRPr="00333651" w:rsidRDefault="0058574E" w:rsidP="00E7317C">
            <w:pPr>
              <w:pStyle w:val="21"/>
              <w:ind w:firstLine="0"/>
              <w:jc w:val="center"/>
              <w:rPr>
                <w:sz w:val="20"/>
                <w:szCs w:val="20"/>
              </w:rPr>
            </w:pPr>
          </w:p>
          <w:p w:rsidR="0058574E" w:rsidRPr="00333651" w:rsidRDefault="0058574E" w:rsidP="00E7317C">
            <w:pPr>
              <w:pStyle w:val="21"/>
              <w:ind w:firstLine="0"/>
              <w:jc w:val="center"/>
              <w:rPr>
                <w:sz w:val="20"/>
                <w:szCs w:val="20"/>
              </w:rPr>
            </w:pPr>
            <w:r w:rsidRPr="00333651">
              <w:rPr>
                <w:sz w:val="20"/>
                <w:szCs w:val="20"/>
              </w:rPr>
              <w:t>2 442,5</w:t>
            </w:r>
          </w:p>
          <w:p w:rsidR="0058574E" w:rsidRPr="00333651" w:rsidRDefault="0058574E" w:rsidP="00E7317C">
            <w:pPr>
              <w:pStyle w:val="21"/>
              <w:ind w:firstLine="0"/>
              <w:jc w:val="center"/>
              <w:rPr>
                <w:sz w:val="20"/>
                <w:szCs w:val="20"/>
              </w:rPr>
            </w:pPr>
          </w:p>
          <w:p w:rsidR="0058574E" w:rsidRPr="00333651" w:rsidRDefault="0058574E" w:rsidP="00E7317C">
            <w:pPr>
              <w:pStyle w:val="21"/>
              <w:ind w:firstLine="0"/>
              <w:jc w:val="center"/>
              <w:rPr>
                <w:sz w:val="20"/>
                <w:szCs w:val="20"/>
              </w:rPr>
            </w:pPr>
            <w:r w:rsidRPr="00333651">
              <w:rPr>
                <w:sz w:val="20"/>
                <w:szCs w:val="20"/>
              </w:rPr>
              <w:t>11 170,4</w:t>
            </w:r>
          </w:p>
        </w:tc>
        <w:tc>
          <w:tcPr>
            <w:tcW w:w="1559" w:type="dxa"/>
            <w:tcBorders>
              <w:top w:val="nil"/>
            </w:tcBorders>
          </w:tcPr>
          <w:p w:rsidR="0058574E" w:rsidRPr="00333651" w:rsidRDefault="0058574E" w:rsidP="00E7317C">
            <w:pPr>
              <w:pStyle w:val="21"/>
              <w:ind w:firstLine="0"/>
              <w:jc w:val="center"/>
              <w:rPr>
                <w:sz w:val="20"/>
                <w:szCs w:val="20"/>
              </w:rPr>
            </w:pPr>
            <w:r w:rsidRPr="00333651">
              <w:rPr>
                <w:sz w:val="20"/>
                <w:szCs w:val="20"/>
              </w:rPr>
              <w:t>22</w:t>
            </w:r>
            <w:r>
              <w:rPr>
                <w:sz w:val="20"/>
                <w:szCs w:val="20"/>
              </w:rPr>
              <w:t> 009,6</w:t>
            </w:r>
          </w:p>
          <w:p w:rsidR="0058574E" w:rsidRPr="00333651" w:rsidRDefault="0058574E" w:rsidP="00E7317C">
            <w:pPr>
              <w:pStyle w:val="21"/>
              <w:ind w:firstLine="0"/>
              <w:jc w:val="center"/>
              <w:rPr>
                <w:sz w:val="20"/>
                <w:szCs w:val="20"/>
              </w:rPr>
            </w:pPr>
          </w:p>
          <w:p w:rsidR="0058574E" w:rsidRPr="00333651" w:rsidRDefault="0058574E" w:rsidP="00E7317C">
            <w:pPr>
              <w:pStyle w:val="21"/>
              <w:ind w:firstLine="0"/>
              <w:jc w:val="center"/>
              <w:rPr>
                <w:sz w:val="20"/>
                <w:szCs w:val="20"/>
              </w:rPr>
            </w:pPr>
          </w:p>
          <w:p w:rsidR="0058574E" w:rsidRPr="00333651" w:rsidRDefault="0058574E" w:rsidP="00E7317C">
            <w:pPr>
              <w:pStyle w:val="21"/>
              <w:ind w:firstLine="0"/>
              <w:jc w:val="center"/>
              <w:rPr>
                <w:sz w:val="20"/>
                <w:szCs w:val="20"/>
              </w:rPr>
            </w:pPr>
          </w:p>
          <w:p w:rsidR="0058574E" w:rsidRPr="00333651" w:rsidRDefault="0058574E" w:rsidP="00E7317C">
            <w:pPr>
              <w:pStyle w:val="21"/>
              <w:ind w:firstLine="0"/>
              <w:jc w:val="center"/>
              <w:rPr>
                <w:sz w:val="20"/>
                <w:szCs w:val="20"/>
              </w:rPr>
            </w:pPr>
            <w:r>
              <w:rPr>
                <w:sz w:val="20"/>
                <w:szCs w:val="20"/>
              </w:rPr>
              <w:t>8 296,0</w:t>
            </w:r>
          </w:p>
          <w:p w:rsidR="0058574E" w:rsidRPr="00333651" w:rsidRDefault="0058574E" w:rsidP="00E7317C">
            <w:pPr>
              <w:pStyle w:val="21"/>
              <w:ind w:firstLine="0"/>
              <w:jc w:val="center"/>
              <w:rPr>
                <w:sz w:val="20"/>
                <w:szCs w:val="20"/>
              </w:rPr>
            </w:pPr>
          </w:p>
          <w:p w:rsidR="0058574E" w:rsidRPr="00333651" w:rsidRDefault="0058574E" w:rsidP="00E7317C">
            <w:pPr>
              <w:pStyle w:val="21"/>
              <w:ind w:firstLine="0"/>
              <w:jc w:val="center"/>
              <w:rPr>
                <w:sz w:val="20"/>
                <w:szCs w:val="20"/>
              </w:rPr>
            </w:pPr>
          </w:p>
          <w:p w:rsidR="0058574E" w:rsidRPr="00333651" w:rsidRDefault="0058574E" w:rsidP="00E7317C">
            <w:pPr>
              <w:pStyle w:val="21"/>
              <w:ind w:firstLine="0"/>
              <w:jc w:val="center"/>
              <w:rPr>
                <w:sz w:val="20"/>
                <w:szCs w:val="20"/>
              </w:rPr>
            </w:pPr>
            <w:r w:rsidRPr="00333651">
              <w:rPr>
                <w:sz w:val="20"/>
                <w:szCs w:val="20"/>
              </w:rPr>
              <w:t>4 576,5</w:t>
            </w:r>
          </w:p>
          <w:p w:rsidR="0058574E" w:rsidRPr="00333651" w:rsidRDefault="0058574E" w:rsidP="00E7317C">
            <w:pPr>
              <w:pStyle w:val="21"/>
              <w:ind w:firstLine="0"/>
              <w:jc w:val="center"/>
              <w:rPr>
                <w:sz w:val="20"/>
                <w:szCs w:val="20"/>
              </w:rPr>
            </w:pPr>
          </w:p>
          <w:p w:rsidR="0058574E" w:rsidRDefault="0058574E" w:rsidP="00E7317C">
            <w:pPr>
              <w:pStyle w:val="21"/>
              <w:ind w:firstLine="0"/>
              <w:jc w:val="center"/>
              <w:rPr>
                <w:sz w:val="20"/>
                <w:szCs w:val="20"/>
              </w:rPr>
            </w:pPr>
            <w:r w:rsidRPr="00333651">
              <w:rPr>
                <w:sz w:val="20"/>
                <w:szCs w:val="20"/>
              </w:rPr>
              <w:t>1</w:t>
            </w:r>
            <w:r>
              <w:rPr>
                <w:sz w:val="20"/>
                <w:szCs w:val="20"/>
              </w:rPr>
              <w:t> </w:t>
            </w:r>
            <w:r w:rsidRPr="00333651">
              <w:rPr>
                <w:sz w:val="20"/>
                <w:szCs w:val="20"/>
              </w:rPr>
              <w:t>8</w:t>
            </w:r>
            <w:r>
              <w:rPr>
                <w:sz w:val="20"/>
                <w:szCs w:val="20"/>
              </w:rPr>
              <w:t>64,5</w:t>
            </w:r>
          </w:p>
          <w:p w:rsidR="0058574E" w:rsidRPr="00333651" w:rsidRDefault="0058574E" w:rsidP="00E7317C">
            <w:pPr>
              <w:pStyle w:val="21"/>
              <w:ind w:firstLine="0"/>
              <w:jc w:val="center"/>
              <w:rPr>
                <w:sz w:val="20"/>
                <w:szCs w:val="20"/>
              </w:rPr>
            </w:pPr>
          </w:p>
          <w:p w:rsidR="0058574E" w:rsidRPr="00333651" w:rsidRDefault="0058574E" w:rsidP="00E7317C">
            <w:pPr>
              <w:pStyle w:val="21"/>
              <w:ind w:firstLine="0"/>
              <w:jc w:val="center"/>
              <w:rPr>
                <w:sz w:val="20"/>
                <w:szCs w:val="20"/>
              </w:rPr>
            </w:pPr>
            <w:r w:rsidRPr="00333651">
              <w:rPr>
                <w:sz w:val="20"/>
                <w:szCs w:val="20"/>
              </w:rPr>
              <w:t>0</w:t>
            </w:r>
          </w:p>
          <w:p w:rsidR="0058574E" w:rsidRPr="00333651" w:rsidRDefault="0058574E" w:rsidP="00E7317C">
            <w:pPr>
              <w:pStyle w:val="21"/>
              <w:ind w:firstLine="0"/>
              <w:jc w:val="center"/>
              <w:rPr>
                <w:sz w:val="20"/>
                <w:szCs w:val="20"/>
              </w:rPr>
            </w:pPr>
          </w:p>
          <w:p w:rsidR="0058574E" w:rsidRPr="00333651" w:rsidRDefault="0058574E" w:rsidP="00E7317C">
            <w:pPr>
              <w:pStyle w:val="21"/>
              <w:ind w:firstLine="0"/>
              <w:jc w:val="center"/>
              <w:rPr>
                <w:sz w:val="20"/>
                <w:szCs w:val="20"/>
              </w:rPr>
            </w:pPr>
          </w:p>
          <w:p w:rsidR="0058574E" w:rsidRPr="00333651" w:rsidRDefault="0058574E" w:rsidP="00E7317C">
            <w:pPr>
              <w:pStyle w:val="21"/>
              <w:ind w:firstLine="0"/>
              <w:jc w:val="center"/>
              <w:rPr>
                <w:sz w:val="20"/>
                <w:szCs w:val="20"/>
              </w:rPr>
            </w:pPr>
            <w:r w:rsidRPr="00333651">
              <w:rPr>
                <w:sz w:val="20"/>
                <w:szCs w:val="20"/>
              </w:rPr>
              <w:t>1 855,0</w:t>
            </w:r>
          </w:p>
          <w:p w:rsidR="0058574E" w:rsidRPr="00333651" w:rsidRDefault="0058574E" w:rsidP="00E7317C">
            <w:pPr>
              <w:pStyle w:val="21"/>
              <w:ind w:firstLine="0"/>
              <w:jc w:val="center"/>
              <w:rPr>
                <w:sz w:val="20"/>
                <w:szCs w:val="20"/>
              </w:rPr>
            </w:pPr>
          </w:p>
          <w:p w:rsidR="0058574E" w:rsidRPr="00333651" w:rsidRDefault="0058574E" w:rsidP="00E7317C">
            <w:pPr>
              <w:pStyle w:val="21"/>
              <w:ind w:firstLine="0"/>
              <w:jc w:val="center"/>
              <w:rPr>
                <w:sz w:val="20"/>
                <w:szCs w:val="20"/>
              </w:rPr>
            </w:pPr>
            <w:r w:rsidRPr="00333651">
              <w:rPr>
                <w:sz w:val="20"/>
                <w:szCs w:val="20"/>
              </w:rPr>
              <w:t>18,5</w:t>
            </w:r>
          </w:p>
          <w:p w:rsidR="0058574E" w:rsidRPr="00333651" w:rsidRDefault="0058574E" w:rsidP="00E7317C">
            <w:pPr>
              <w:pStyle w:val="21"/>
              <w:ind w:firstLine="0"/>
              <w:rPr>
                <w:sz w:val="20"/>
                <w:szCs w:val="20"/>
              </w:rPr>
            </w:pPr>
          </w:p>
          <w:p w:rsidR="0058574E" w:rsidRPr="00333651" w:rsidRDefault="0058574E" w:rsidP="00E7317C">
            <w:pPr>
              <w:pStyle w:val="21"/>
              <w:ind w:firstLine="0"/>
              <w:rPr>
                <w:sz w:val="20"/>
                <w:szCs w:val="20"/>
              </w:rPr>
            </w:pPr>
          </w:p>
          <w:p w:rsidR="0058574E" w:rsidRPr="00333651" w:rsidRDefault="0058574E" w:rsidP="00E7317C">
            <w:pPr>
              <w:pStyle w:val="21"/>
              <w:ind w:firstLine="0"/>
              <w:jc w:val="center"/>
              <w:rPr>
                <w:sz w:val="20"/>
                <w:szCs w:val="20"/>
              </w:rPr>
            </w:pPr>
          </w:p>
          <w:p w:rsidR="0058574E" w:rsidRPr="00333651" w:rsidRDefault="0058574E" w:rsidP="00E7317C">
            <w:pPr>
              <w:pStyle w:val="21"/>
              <w:ind w:firstLine="0"/>
              <w:jc w:val="center"/>
              <w:rPr>
                <w:sz w:val="20"/>
                <w:szCs w:val="20"/>
              </w:rPr>
            </w:pPr>
            <w:r w:rsidRPr="00333651">
              <w:rPr>
                <w:sz w:val="20"/>
                <w:szCs w:val="20"/>
              </w:rPr>
              <w:t>2 467,5</w:t>
            </w:r>
          </w:p>
          <w:p w:rsidR="0058574E" w:rsidRPr="00333651" w:rsidRDefault="0058574E" w:rsidP="00E7317C">
            <w:pPr>
              <w:pStyle w:val="21"/>
              <w:ind w:firstLine="0"/>
              <w:jc w:val="center"/>
              <w:rPr>
                <w:sz w:val="20"/>
                <w:szCs w:val="20"/>
              </w:rPr>
            </w:pPr>
          </w:p>
          <w:p w:rsidR="0058574E" w:rsidRPr="00333651" w:rsidRDefault="0058574E" w:rsidP="00E7317C">
            <w:pPr>
              <w:pStyle w:val="21"/>
              <w:ind w:firstLine="0"/>
              <w:jc w:val="center"/>
              <w:rPr>
                <w:sz w:val="20"/>
                <w:szCs w:val="20"/>
              </w:rPr>
            </w:pPr>
            <w:r w:rsidRPr="00333651">
              <w:rPr>
                <w:sz w:val="20"/>
                <w:szCs w:val="20"/>
              </w:rPr>
              <w:t>11 227,6</w:t>
            </w:r>
          </w:p>
          <w:p w:rsidR="0058574E" w:rsidRPr="00333651" w:rsidRDefault="0058574E" w:rsidP="00E7317C">
            <w:pPr>
              <w:pStyle w:val="21"/>
              <w:ind w:firstLine="0"/>
              <w:jc w:val="center"/>
              <w:rPr>
                <w:sz w:val="20"/>
                <w:szCs w:val="20"/>
              </w:rPr>
            </w:pPr>
          </w:p>
        </w:tc>
        <w:tc>
          <w:tcPr>
            <w:tcW w:w="1559" w:type="dxa"/>
            <w:tcBorders>
              <w:top w:val="nil"/>
            </w:tcBorders>
          </w:tcPr>
          <w:p w:rsidR="0058574E" w:rsidRPr="00333651" w:rsidRDefault="0058574E" w:rsidP="00E7317C">
            <w:pPr>
              <w:jc w:val="center"/>
              <w:rPr>
                <w:sz w:val="20"/>
                <w:szCs w:val="20"/>
              </w:rPr>
            </w:pPr>
            <w:r w:rsidRPr="00333651">
              <w:rPr>
                <w:sz w:val="20"/>
                <w:szCs w:val="20"/>
              </w:rPr>
              <w:t>22</w:t>
            </w:r>
            <w:r>
              <w:rPr>
                <w:sz w:val="20"/>
                <w:szCs w:val="20"/>
              </w:rPr>
              <w:t> 156,1</w:t>
            </w:r>
          </w:p>
          <w:p w:rsidR="0058574E" w:rsidRPr="00333651" w:rsidRDefault="0058574E" w:rsidP="00E7317C">
            <w:pPr>
              <w:jc w:val="center"/>
              <w:rPr>
                <w:sz w:val="20"/>
                <w:szCs w:val="20"/>
              </w:rPr>
            </w:pPr>
          </w:p>
          <w:p w:rsidR="0058574E" w:rsidRPr="00333651" w:rsidRDefault="0058574E" w:rsidP="00E7317C">
            <w:pPr>
              <w:jc w:val="center"/>
              <w:rPr>
                <w:sz w:val="20"/>
                <w:szCs w:val="20"/>
              </w:rPr>
            </w:pPr>
          </w:p>
          <w:p w:rsidR="0058574E" w:rsidRPr="00333651" w:rsidRDefault="0058574E" w:rsidP="00E7317C">
            <w:pPr>
              <w:jc w:val="center"/>
              <w:rPr>
                <w:sz w:val="20"/>
                <w:szCs w:val="20"/>
              </w:rPr>
            </w:pPr>
          </w:p>
          <w:p w:rsidR="0058574E" w:rsidRPr="00333651" w:rsidRDefault="0058574E" w:rsidP="00E7317C">
            <w:pPr>
              <w:jc w:val="center"/>
              <w:rPr>
                <w:sz w:val="20"/>
                <w:szCs w:val="20"/>
              </w:rPr>
            </w:pPr>
            <w:r>
              <w:rPr>
                <w:sz w:val="20"/>
                <w:szCs w:val="20"/>
              </w:rPr>
              <w:t>8 373,5</w:t>
            </w:r>
          </w:p>
          <w:p w:rsidR="0058574E" w:rsidRPr="00333651" w:rsidRDefault="0058574E" w:rsidP="00E7317C">
            <w:pPr>
              <w:jc w:val="center"/>
              <w:rPr>
                <w:sz w:val="20"/>
                <w:szCs w:val="20"/>
              </w:rPr>
            </w:pPr>
          </w:p>
          <w:p w:rsidR="0058574E" w:rsidRPr="00333651" w:rsidRDefault="0058574E" w:rsidP="00E7317C">
            <w:pPr>
              <w:jc w:val="center"/>
              <w:rPr>
                <w:sz w:val="20"/>
                <w:szCs w:val="20"/>
              </w:rPr>
            </w:pPr>
          </w:p>
          <w:p w:rsidR="0058574E" w:rsidRPr="00333651" w:rsidRDefault="0058574E" w:rsidP="00E7317C">
            <w:pPr>
              <w:jc w:val="center"/>
              <w:rPr>
                <w:sz w:val="20"/>
                <w:szCs w:val="20"/>
              </w:rPr>
            </w:pPr>
            <w:r w:rsidRPr="00333651">
              <w:rPr>
                <w:sz w:val="20"/>
                <w:szCs w:val="20"/>
              </w:rPr>
              <w:t>4 608,0</w:t>
            </w:r>
          </w:p>
          <w:p w:rsidR="0058574E" w:rsidRPr="00333651" w:rsidRDefault="0058574E" w:rsidP="00E7317C">
            <w:pPr>
              <w:jc w:val="center"/>
              <w:rPr>
                <w:sz w:val="20"/>
                <w:szCs w:val="20"/>
              </w:rPr>
            </w:pPr>
          </w:p>
          <w:p w:rsidR="0058574E" w:rsidRPr="00333651" w:rsidRDefault="0058574E" w:rsidP="00E7317C">
            <w:pPr>
              <w:jc w:val="center"/>
              <w:rPr>
                <w:sz w:val="20"/>
                <w:szCs w:val="20"/>
              </w:rPr>
            </w:pPr>
            <w:r w:rsidRPr="00333651">
              <w:rPr>
                <w:sz w:val="20"/>
                <w:szCs w:val="20"/>
              </w:rPr>
              <w:t>1 882,5</w:t>
            </w:r>
          </w:p>
          <w:p w:rsidR="0058574E" w:rsidRPr="00333651" w:rsidRDefault="0058574E" w:rsidP="00E7317C">
            <w:pPr>
              <w:jc w:val="center"/>
              <w:rPr>
                <w:sz w:val="20"/>
                <w:szCs w:val="20"/>
              </w:rPr>
            </w:pPr>
          </w:p>
          <w:p w:rsidR="0058574E" w:rsidRPr="00333651" w:rsidRDefault="0058574E" w:rsidP="00E7317C">
            <w:pPr>
              <w:jc w:val="center"/>
              <w:rPr>
                <w:sz w:val="20"/>
                <w:szCs w:val="20"/>
              </w:rPr>
            </w:pPr>
            <w:r w:rsidRPr="00333651">
              <w:rPr>
                <w:sz w:val="20"/>
                <w:szCs w:val="20"/>
              </w:rPr>
              <w:t>0</w:t>
            </w:r>
          </w:p>
          <w:p w:rsidR="0058574E" w:rsidRPr="00333651" w:rsidRDefault="0058574E" w:rsidP="00E7317C">
            <w:pPr>
              <w:jc w:val="center"/>
              <w:rPr>
                <w:sz w:val="20"/>
                <w:szCs w:val="20"/>
              </w:rPr>
            </w:pPr>
          </w:p>
          <w:p w:rsidR="0058574E" w:rsidRPr="00333651" w:rsidRDefault="0058574E" w:rsidP="00E7317C">
            <w:pPr>
              <w:rPr>
                <w:sz w:val="20"/>
                <w:szCs w:val="20"/>
              </w:rPr>
            </w:pPr>
          </w:p>
          <w:p w:rsidR="0058574E" w:rsidRPr="00333651" w:rsidRDefault="0058574E" w:rsidP="00E7317C">
            <w:pPr>
              <w:jc w:val="center"/>
              <w:rPr>
                <w:sz w:val="20"/>
                <w:szCs w:val="20"/>
              </w:rPr>
            </w:pPr>
            <w:r>
              <w:rPr>
                <w:sz w:val="20"/>
                <w:szCs w:val="20"/>
              </w:rPr>
              <w:t>1 883,0</w:t>
            </w:r>
          </w:p>
          <w:p w:rsidR="0058574E" w:rsidRPr="00333651" w:rsidRDefault="0058574E" w:rsidP="00E7317C">
            <w:pPr>
              <w:jc w:val="center"/>
              <w:rPr>
                <w:sz w:val="20"/>
                <w:szCs w:val="20"/>
              </w:rPr>
            </w:pPr>
          </w:p>
          <w:p w:rsidR="0058574E" w:rsidRPr="00333651" w:rsidRDefault="0058574E" w:rsidP="00E7317C">
            <w:pPr>
              <w:jc w:val="center"/>
              <w:rPr>
                <w:sz w:val="20"/>
                <w:szCs w:val="20"/>
              </w:rPr>
            </w:pPr>
            <w:r w:rsidRPr="00333651">
              <w:rPr>
                <w:sz w:val="20"/>
                <w:szCs w:val="20"/>
              </w:rPr>
              <w:t>18,5</w:t>
            </w:r>
          </w:p>
          <w:p w:rsidR="0058574E" w:rsidRPr="00333651" w:rsidRDefault="0058574E" w:rsidP="00E7317C">
            <w:pPr>
              <w:rPr>
                <w:sz w:val="20"/>
                <w:szCs w:val="20"/>
              </w:rPr>
            </w:pPr>
          </w:p>
          <w:p w:rsidR="0058574E" w:rsidRPr="00333651" w:rsidRDefault="0058574E" w:rsidP="00E7317C">
            <w:pPr>
              <w:rPr>
                <w:sz w:val="20"/>
                <w:szCs w:val="20"/>
              </w:rPr>
            </w:pPr>
          </w:p>
          <w:p w:rsidR="0058574E" w:rsidRPr="00333651" w:rsidRDefault="0058574E" w:rsidP="00E7317C">
            <w:pPr>
              <w:rPr>
                <w:sz w:val="20"/>
                <w:szCs w:val="20"/>
              </w:rPr>
            </w:pPr>
          </w:p>
          <w:p w:rsidR="0058574E" w:rsidRPr="00333651" w:rsidRDefault="0058574E" w:rsidP="00E7317C">
            <w:pPr>
              <w:jc w:val="center"/>
              <w:rPr>
                <w:sz w:val="20"/>
                <w:szCs w:val="20"/>
              </w:rPr>
            </w:pPr>
            <w:r w:rsidRPr="00333651">
              <w:rPr>
                <w:sz w:val="20"/>
                <w:szCs w:val="20"/>
              </w:rPr>
              <w:t>2 492,5</w:t>
            </w:r>
          </w:p>
          <w:p w:rsidR="0058574E" w:rsidRPr="00333651" w:rsidRDefault="0058574E" w:rsidP="00E7317C">
            <w:pPr>
              <w:jc w:val="center"/>
              <w:rPr>
                <w:sz w:val="20"/>
                <w:szCs w:val="20"/>
              </w:rPr>
            </w:pPr>
          </w:p>
          <w:p w:rsidR="0058574E" w:rsidRPr="00333651" w:rsidRDefault="0058574E" w:rsidP="00E7317C">
            <w:pPr>
              <w:jc w:val="center"/>
              <w:rPr>
                <w:sz w:val="20"/>
                <w:szCs w:val="20"/>
              </w:rPr>
            </w:pPr>
            <w:r w:rsidRPr="00333651">
              <w:rPr>
                <w:sz w:val="20"/>
                <w:szCs w:val="20"/>
              </w:rPr>
              <w:t>11 271,6</w:t>
            </w:r>
          </w:p>
        </w:tc>
      </w:tr>
    </w:tbl>
    <w:p w:rsidR="0058574E" w:rsidRPr="00611BA2" w:rsidRDefault="0058574E" w:rsidP="0058574E">
      <w:pPr>
        <w:pStyle w:val="21"/>
        <w:ind w:firstLine="0"/>
        <w:rPr>
          <w:sz w:val="20"/>
        </w:rPr>
      </w:pPr>
    </w:p>
    <w:p w:rsidR="0058574E" w:rsidRPr="00611BA2" w:rsidRDefault="0058574E" w:rsidP="0058574E">
      <w:pPr>
        <w:pStyle w:val="21"/>
        <w:ind w:firstLine="0"/>
        <w:jc w:val="center"/>
        <w:rPr>
          <w:b/>
        </w:rPr>
      </w:pPr>
      <w:r w:rsidRPr="00611BA2">
        <w:rPr>
          <w:b/>
        </w:rPr>
        <w:t>11.Государственная пошлина за выдачу уполномоченными органами исполнительной власти субъектов Российской Федерации учебным учреждениям образовательных свидетельств о соответствии требованиям оборудования и оснащенности образовательного процесса для рассмотрения соответствующими органами вопроса об аккредитации и выдачи указанным учреждениям лицензии на право подготовки трактористов и машинистов самоходных машин</w:t>
      </w:r>
    </w:p>
    <w:p w:rsidR="0058574E" w:rsidRPr="00611BA2" w:rsidRDefault="0058574E" w:rsidP="0058574E">
      <w:pPr>
        <w:pStyle w:val="21"/>
        <w:ind w:firstLine="0"/>
        <w:jc w:val="center"/>
        <w:rPr>
          <w:sz w:val="24"/>
          <w:szCs w:val="24"/>
        </w:rPr>
      </w:pPr>
      <w:r w:rsidRPr="00611BA2">
        <w:rPr>
          <w:b/>
          <w:sz w:val="24"/>
          <w:szCs w:val="24"/>
        </w:rPr>
        <w:t>(</w:t>
      </w:r>
      <w:r w:rsidRPr="00611BA2">
        <w:rPr>
          <w:sz w:val="24"/>
          <w:szCs w:val="24"/>
        </w:rPr>
        <w:t>по данным Главного управления «Государственная инспекция по надзору за техническим состоянием самоходных машин и других видов техники» Тверской области)</w:t>
      </w:r>
    </w:p>
    <w:p w:rsidR="0058574E" w:rsidRPr="00611BA2" w:rsidRDefault="0058574E" w:rsidP="0058574E">
      <w:pPr>
        <w:pStyle w:val="21"/>
        <w:ind w:left="180"/>
        <w:jc w:val="center"/>
        <w:rPr>
          <w:b/>
          <w:bCs/>
          <w:sz w:val="24"/>
          <w:szCs w:val="24"/>
        </w:rPr>
      </w:pPr>
      <w:r w:rsidRPr="00611BA2">
        <w:rPr>
          <w:b/>
          <w:sz w:val="24"/>
          <w:szCs w:val="24"/>
        </w:rPr>
        <w:t xml:space="preserve">(000 </w:t>
      </w:r>
      <w:r w:rsidRPr="00611BA2">
        <w:rPr>
          <w:b/>
          <w:sz w:val="24"/>
          <w:szCs w:val="24"/>
          <w:lang w:val="en-US"/>
        </w:rPr>
        <w:t>1 08 071</w:t>
      </w:r>
      <w:r w:rsidRPr="00611BA2">
        <w:rPr>
          <w:b/>
          <w:sz w:val="24"/>
          <w:szCs w:val="24"/>
        </w:rPr>
        <w:t>60</w:t>
      </w:r>
      <w:r w:rsidRPr="00611BA2">
        <w:rPr>
          <w:b/>
          <w:sz w:val="24"/>
          <w:szCs w:val="24"/>
          <w:lang w:val="en-US"/>
        </w:rPr>
        <w:t xml:space="preserve"> 01 0000 110</w:t>
      </w:r>
      <w:r w:rsidRPr="00611BA2">
        <w:rPr>
          <w:b/>
          <w:sz w:val="24"/>
          <w:szCs w:val="24"/>
        </w:rPr>
        <w:t>)</w:t>
      </w:r>
    </w:p>
    <w:p w:rsidR="0058574E" w:rsidRPr="00611BA2" w:rsidRDefault="0058574E" w:rsidP="0058574E">
      <w:pPr>
        <w:pStyle w:val="21"/>
        <w:ind w:left="357"/>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8"/>
        <w:gridCol w:w="1722"/>
      </w:tblGrid>
      <w:tr w:rsidR="0058574E" w:rsidRPr="00611BA2" w:rsidTr="00E7317C">
        <w:trPr>
          <w:trHeight w:val="177"/>
        </w:trPr>
        <w:tc>
          <w:tcPr>
            <w:tcW w:w="7848" w:type="dxa"/>
          </w:tcPr>
          <w:p w:rsidR="0058574E" w:rsidRPr="00611BA2" w:rsidRDefault="0058574E" w:rsidP="00E7317C">
            <w:pPr>
              <w:pStyle w:val="21"/>
              <w:ind w:firstLine="0"/>
              <w:jc w:val="center"/>
            </w:pPr>
            <w:r w:rsidRPr="00611BA2">
              <w:rPr>
                <w:sz w:val="20"/>
                <w:szCs w:val="20"/>
              </w:rPr>
              <w:t>Наименование показателя</w:t>
            </w:r>
          </w:p>
        </w:tc>
        <w:tc>
          <w:tcPr>
            <w:tcW w:w="1722" w:type="dxa"/>
          </w:tcPr>
          <w:p w:rsidR="0058574E" w:rsidRPr="00611BA2" w:rsidRDefault="0058574E" w:rsidP="00E7317C">
            <w:pPr>
              <w:pStyle w:val="21"/>
              <w:rPr>
                <w:b/>
              </w:rPr>
            </w:pPr>
          </w:p>
        </w:tc>
      </w:tr>
      <w:tr w:rsidR="0058574E" w:rsidRPr="00611BA2" w:rsidTr="00E7317C">
        <w:tc>
          <w:tcPr>
            <w:tcW w:w="7848" w:type="dxa"/>
          </w:tcPr>
          <w:p w:rsidR="0058574E" w:rsidRPr="00611BA2" w:rsidRDefault="0058574E" w:rsidP="00E7317C">
            <w:pPr>
              <w:pStyle w:val="21"/>
              <w:rPr>
                <w:sz w:val="20"/>
                <w:szCs w:val="20"/>
              </w:rPr>
            </w:pPr>
            <w:r w:rsidRPr="00611BA2">
              <w:rPr>
                <w:sz w:val="20"/>
                <w:szCs w:val="20"/>
              </w:rPr>
              <w:t>1. Количество регистрационных действий, ед.</w:t>
            </w:r>
          </w:p>
        </w:tc>
        <w:tc>
          <w:tcPr>
            <w:tcW w:w="1722" w:type="dxa"/>
          </w:tcPr>
          <w:p w:rsidR="0058574E" w:rsidRPr="00611BA2" w:rsidRDefault="0058574E" w:rsidP="00E7317C">
            <w:pPr>
              <w:pStyle w:val="21"/>
              <w:jc w:val="center"/>
              <w:rPr>
                <w:sz w:val="20"/>
                <w:szCs w:val="20"/>
              </w:rPr>
            </w:pPr>
          </w:p>
        </w:tc>
      </w:tr>
      <w:tr w:rsidR="0058574E" w:rsidRPr="00611BA2" w:rsidTr="00E7317C">
        <w:tc>
          <w:tcPr>
            <w:tcW w:w="7848" w:type="dxa"/>
          </w:tcPr>
          <w:p w:rsidR="0058574E" w:rsidRPr="00611BA2" w:rsidRDefault="0058574E" w:rsidP="00E7317C">
            <w:pPr>
              <w:pStyle w:val="21"/>
              <w:rPr>
                <w:sz w:val="20"/>
                <w:szCs w:val="20"/>
              </w:rPr>
            </w:pPr>
            <w:r w:rsidRPr="00611BA2">
              <w:rPr>
                <w:sz w:val="20"/>
                <w:szCs w:val="20"/>
              </w:rPr>
              <w:t>1.1. за 2022 год</w:t>
            </w:r>
          </w:p>
        </w:tc>
        <w:tc>
          <w:tcPr>
            <w:tcW w:w="1722" w:type="dxa"/>
          </w:tcPr>
          <w:p w:rsidR="0058574E" w:rsidRPr="00611BA2" w:rsidRDefault="0058574E" w:rsidP="00E7317C">
            <w:pPr>
              <w:pStyle w:val="21"/>
              <w:jc w:val="center"/>
              <w:rPr>
                <w:sz w:val="20"/>
                <w:szCs w:val="20"/>
              </w:rPr>
            </w:pPr>
            <w:r w:rsidRPr="00611BA2">
              <w:rPr>
                <w:sz w:val="20"/>
                <w:szCs w:val="20"/>
              </w:rPr>
              <w:t>1</w:t>
            </w:r>
          </w:p>
        </w:tc>
      </w:tr>
      <w:tr w:rsidR="0058574E" w:rsidRPr="00611BA2" w:rsidTr="00E7317C">
        <w:tc>
          <w:tcPr>
            <w:tcW w:w="7848" w:type="dxa"/>
          </w:tcPr>
          <w:p w:rsidR="0058574E" w:rsidRPr="00611BA2" w:rsidRDefault="0058574E" w:rsidP="00E7317C">
            <w:pPr>
              <w:pStyle w:val="21"/>
              <w:rPr>
                <w:sz w:val="20"/>
                <w:szCs w:val="20"/>
              </w:rPr>
            </w:pPr>
            <w:r w:rsidRPr="00611BA2">
              <w:rPr>
                <w:sz w:val="20"/>
                <w:szCs w:val="20"/>
              </w:rPr>
              <w:t>1.2. за 2023 год</w:t>
            </w:r>
          </w:p>
        </w:tc>
        <w:tc>
          <w:tcPr>
            <w:tcW w:w="1722" w:type="dxa"/>
          </w:tcPr>
          <w:p w:rsidR="0058574E" w:rsidRPr="00611BA2" w:rsidRDefault="0058574E" w:rsidP="00E7317C">
            <w:pPr>
              <w:pStyle w:val="21"/>
              <w:jc w:val="center"/>
              <w:rPr>
                <w:sz w:val="20"/>
                <w:szCs w:val="20"/>
              </w:rPr>
            </w:pPr>
            <w:r w:rsidRPr="00611BA2">
              <w:rPr>
                <w:sz w:val="20"/>
                <w:szCs w:val="20"/>
              </w:rPr>
              <w:t>1</w:t>
            </w:r>
          </w:p>
        </w:tc>
      </w:tr>
      <w:tr w:rsidR="0058574E" w:rsidRPr="00611BA2" w:rsidTr="00E7317C">
        <w:tc>
          <w:tcPr>
            <w:tcW w:w="7848" w:type="dxa"/>
          </w:tcPr>
          <w:p w:rsidR="0058574E" w:rsidRPr="00611BA2" w:rsidRDefault="0058574E" w:rsidP="00E7317C">
            <w:pPr>
              <w:pStyle w:val="21"/>
              <w:rPr>
                <w:sz w:val="20"/>
                <w:szCs w:val="20"/>
              </w:rPr>
            </w:pPr>
            <w:r w:rsidRPr="00611BA2">
              <w:rPr>
                <w:sz w:val="20"/>
                <w:szCs w:val="20"/>
              </w:rPr>
              <w:t>1.3. за 2024 год</w:t>
            </w:r>
          </w:p>
        </w:tc>
        <w:tc>
          <w:tcPr>
            <w:tcW w:w="1722" w:type="dxa"/>
          </w:tcPr>
          <w:p w:rsidR="0058574E" w:rsidRPr="00611BA2" w:rsidRDefault="0058574E" w:rsidP="00E7317C">
            <w:pPr>
              <w:pStyle w:val="21"/>
              <w:jc w:val="center"/>
              <w:rPr>
                <w:sz w:val="20"/>
                <w:szCs w:val="20"/>
              </w:rPr>
            </w:pPr>
            <w:r w:rsidRPr="00611BA2">
              <w:rPr>
                <w:sz w:val="20"/>
                <w:szCs w:val="20"/>
              </w:rPr>
              <w:t>1</w:t>
            </w:r>
          </w:p>
        </w:tc>
      </w:tr>
      <w:tr w:rsidR="0058574E" w:rsidRPr="00611BA2" w:rsidTr="00E7317C">
        <w:tc>
          <w:tcPr>
            <w:tcW w:w="7848" w:type="dxa"/>
          </w:tcPr>
          <w:p w:rsidR="0058574E" w:rsidRPr="00611BA2" w:rsidRDefault="0058574E" w:rsidP="00E7317C">
            <w:pPr>
              <w:pStyle w:val="21"/>
              <w:ind w:left="720" w:firstLine="0"/>
              <w:rPr>
                <w:sz w:val="20"/>
                <w:szCs w:val="20"/>
              </w:rPr>
            </w:pPr>
            <w:r w:rsidRPr="00611BA2">
              <w:rPr>
                <w:sz w:val="20"/>
                <w:szCs w:val="20"/>
              </w:rPr>
              <w:t>2.Размер госпошлины, тыс. руб.</w:t>
            </w:r>
          </w:p>
        </w:tc>
        <w:tc>
          <w:tcPr>
            <w:tcW w:w="1722" w:type="dxa"/>
          </w:tcPr>
          <w:p w:rsidR="0058574E" w:rsidRPr="00611BA2" w:rsidRDefault="0058574E" w:rsidP="00E7317C">
            <w:pPr>
              <w:pStyle w:val="21"/>
              <w:jc w:val="center"/>
              <w:rPr>
                <w:sz w:val="20"/>
                <w:szCs w:val="20"/>
              </w:rPr>
            </w:pPr>
            <w:r w:rsidRPr="00611BA2">
              <w:rPr>
                <w:sz w:val="20"/>
                <w:szCs w:val="20"/>
              </w:rPr>
              <w:t>1,6</w:t>
            </w:r>
          </w:p>
        </w:tc>
      </w:tr>
      <w:tr w:rsidR="0058574E" w:rsidRPr="00611BA2" w:rsidTr="00E7317C">
        <w:tc>
          <w:tcPr>
            <w:tcW w:w="7848" w:type="dxa"/>
          </w:tcPr>
          <w:p w:rsidR="0058574E" w:rsidRPr="00611BA2" w:rsidRDefault="0058574E" w:rsidP="00E7317C">
            <w:pPr>
              <w:pStyle w:val="21"/>
              <w:rPr>
                <w:b/>
                <w:sz w:val="20"/>
                <w:szCs w:val="20"/>
              </w:rPr>
            </w:pPr>
            <w:r w:rsidRPr="00611BA2">
              <w:rPr>
                <w:b/>
                <w:sz w:val="20"/>
                <w:szCs w:val="20"/>
              </w:rPr>
              <w:t>3. Прогноз на 2022 год (стр. 1.1 * стр. 2)</w:t>
            </w:r>
          </w:p>
        </w:tc>
        <w:tc>
          <w:tcPr>
            <w:tcW w:w="1722" w:type="dxa"/>
          </w:tcPr>
          <w:p w:rsidR="0058574E" w:rsidRPr="00611BA2" w:rsidRDefault="0058574E" w:rsidP="00E7317C">
            <w:pPr>
              <w:pStyle w:val="21"/>
              <w:jc w:val="center"/>
              <w:rPr>
                <w:b/>
                <w:sz w:val="20"/>
                <w:szCs w:val="20"/>
              </w:rPr>
            </w:pPr>
            <w:r w:rsidRPr="00611BA2">
              <w:rPr>
                <w:sz w:val="20"/>
                <w:szCs w:val="20"/>
              </w:rPr>
              <w:t>1,6</w:t>
            </w:r>
          </w:p>
        </w:tc>
      </w:tr>
      <w:tr w:rsidR="0058574E" w:rsidRPr="00611BA2" w:rsidTr="00E7317C">
        <w:tc>
          <w:tcPr>
            <w:tcW w:w="7848" w:type="dxa"/>
          </w:tcPr>
          <w:p w:rsidR="0058574E" w:rsidRPr="00611BA2" w:rsidRDefault="0058574E" w:rsidP="00E7317C">
            <w:pPr>
              <w:pStyle w:val="21"/>
              <w:rPr>
                <w:b/>
                <w:sz w:val="20"/>
                <w:szCs w:val="20"/>
              </w:rPr>
            </w:pPr>
            <w:r w:rsidRPr="00611BA2">
              <w:rPr>
                <w:b/>
                <w:sz w:val="20"/>
                <w:szCs w:val="20"/>
              </w:rPr>
              <w:t>4. Прогноз на 2023 год (стр. 1.2 * стр. 2)</w:t>
            </w:r>
          </w:p>
        </w:tc>
        <w:tc>
          <w:tcPr>
            <w:tcW w:w="1722" w:type="dxa"/>
          </w:tcPr>
          <w:p w:rsidR="0058574E" w:rsidRPr="00611BA2" w:rsidRDefault="0058574E" w:rsidP="00E7317C">
            <w:pPr>
              <w:pStyle w:val="21"/>
              <w:jc w:val="center"/>
              <w:rPr>
                <w:b/>
                <w:sz w:val="20"/>
                <w:szCs w:val="20"/>
              </w:rPr>
            </w:pPr>
            <w:r w:rsidRPr="00611BA2">
              <w:rPr>
                <w:sz w:val="20"/>
                <w:szCs w:val="20"/>
              </w:rPr>
              <w:t>1,6</w:t>
            </w:r>
          </w:p>
        </w:tc>
      </w:tr>
      <w:tr w:rsidR="0058574E" w:rsidRPr="00611BA2" w:rsidTr="00E7317C">
        <w:tc>
          <w:tcPr>
            <w:tcW w:w="7848" w:type="dxa"/>
          </w:tcPr>
          <w:p w:rsidR="0058574E" w:rsidRPr="00611BA2" w:rsidRDefault="0058574E" w:rsidP="00E7317C">
            <w:pPr>
              <w:pStyle w:val="21"/>
              <w:rPr>
                <w:b/>
                <w:sz w:val="20"/>
                <w:szCs w:val="20"/>
              </w:rPr>
            </w:pPr>
            <w:r w:rsidRPr="00611BA2">
              <w:rPr>
                <w:b/>
                <w:sz w:val="20"/>
                <w:szCs w:val="20"/>
              </w:rPr>
              <w:t>5. Прогноз на 2024 год (стр. 1.3 * стр. 2)</w:t>
            </w:r>
          </w:p>
        </w:tc>
        <w:tc>
          <w:tcPr>
            <w:tcW w:w="1722" w:type="dxa"/>
          </w:tcPr>
          <w:p w:rsidR="0058574E" w:rsidRPr="00611BA2" w:rsidRDefault="0058574E" w:rsidP="00E7317C">
            <w:pPr>
              <w:pStyle w:val="21"/>
              <w:jc w:val="center"/>
              <w:rPr>
                <w:b/>
                <w:sz w:val="20"/>
                <w:szCs w:val="20"/>
              </w:rPr>
            </w:pPr>
            <w:r w:rsidRPr="00611BA2">
              <w:rPr>
                <w:sz w:val="20"/>
                <w:szCs w:val="20"/>
              </w:rPr>
              <w:t>1,6</w:t>
            </w:r>
          </w:p>
        </w:tc>
      </w:tr>
    </w:tbl>
    <w:p w:rsidR="0058574E" w:rsidRPr="00611BA2" w:rsidRDefault="0058574E" w:rsidP="0058574E">
      <w:pPr>
        <w:pStyle w:val="21"/>
        <w:ind w:firstLine="0"/>
        <w:jc w:val="center"/>
        <w:rPr>
          <w:b/>
        </w:rPr>
      </w:pPr>
    </w:p>
    <w:p w:rsidR="0058574E" w:rsidRPr="00611BA2" w:rsidRDefault="0058574E" w:rsidP="0058574E">
      <w:pPr>
        <w:pStyle w:val="21"/>
        <w:ind w:firstLine="0"/>
        <w:jc w:val="center"/>
        <w:rPr>
          <w:b/>
        </w:rPr>
      </w:pPr>
    </w:p>
    <w:p w:rsidR="0058574E" w:rsidRDefault="0058574E" w:rsidP="0058574E">
      <w:pPr>
        <w:pStyle w:val="21"/>
        <w:ind w:firstLine="0"/>
        <w:jc w:val="center"/>
        <w:rPr>
          <w:b/>
        </w:rPr>
      </w:pPr>
    </w:p>
    <w:p w:rsidR="0058574E" w:rsidRDefault="0058574E" w:rsidP="0058574E">
      <w:pPr>
        <w:pStyle w:val="21"/>
        <w:ind w:firstLine="0"/>
        <w:jc w:val="center"/>
        <w:rPr>
          <w:b/>
        </w:rPr>
      </w:pPr>
    </w:p>
    <w:p w:rsidR="0058574E" w:rsidRPr="00611BA2" w:rsidRDefault="0058574E" w:rsidP="0058574E">
      <w:pPr>
        <w:pStyle w:val="21"/>
        <w:ind w:firstLine="0"/>
        <w:jc w:val="center"/>
        <w:rPr>
          <w:b/>
        </w:rPr>
      </w:pPr>
    </w:p>
    <w:p w:rsidR="0058574E" w:rsidRPr="00611BA2" w:rsidRDefault="0058574E" w:rsidP="0058574E">
      <w:pPr>
        <w:pStyle w:val="21"/>
        <w:ind w:firstLine="0"/>
        <w:jc w:val="center"/>
        <w:rPr>
          <w:b/>
        </w:rPr>
      </w:pPr>
    </w:p>
    <w:p w:rsidR="0058574E" w:rsidRPr="00611BA2" w:rsidRDefault="0058574E" w:rsidP="0058574E">
      <w:pPr>
        <w:pStyle w:val="21"/>
        <w:ind w:firstLine="0"/>
        <w:jc w:val="center"/>
        <w:rPr>
          <w:b/>
        </w:rPr>
      </w:pPr>
    </w:p>
    <w:p w:rsidR="0058574E" w:rsidRPr="00305977" w:rsidRDefault="0058574E" w:rsidP="0058574E">
      <w:pPr>
        <w:pStyle w:val="21"/>
        <w:ind w:firstLine="0"/>
        <w:jc w:val="center"/>
        <w:rPr>
          <w:b/>
        </w:rPr>
      </w:pPr>
      <w:r w:rsidRPr="00305977">
        <w:rPr>
          <w:b/>
        </w:rPr>
        <w:t xml:space="preserve">12. Государственная пошлина за выдачу органом исполнительной власти субъекта Российской Федерации специального разрешения на движение по </w:t>
      </w:r>
      <w:r w:rsidRPr="00305977">
        <w:rPr>
          <w:b/>
        </w:rPr>
        <w:lastRenderedPageBreak/>
        <w:t>автомобильным дорогам транспортных средств, осуществляющих перевозки опасных, тяжеловесных и (или) крупногабаритных грузов, зачисляемая в бюджеты субъектов Российской Федерации</w:t>
      </w:r>
    </w:p>
    <w:p w:rsidR="0058574E" w:rsidRPr="00305977" w:rsidRDefault="0058574E" w:rsidP="0058574E">
      <w:pPr>
        <w:pStyle w:val="21"/>
        <w:ind w:firstLine="0"/>
        <w:jc w:val="center"/>
        <w:rPr>
          <w:b/>
        </w:rPr>
      </w:pPr>
      <w:r w:rsidRPr="00305977">
        <w:rPr>
          <w:bCs/>
          <w:sz w:val="24"/>
          <w:szCs w:val="24"/>
        </w:rPr>
        <w:t>(по данным Министерства транспорта Тверской области)</w:t>
      </w:r>
    </w:p>
    <w:p w:rsidR="0058574E" w:rsidRPr="00305977" w:rsidRDefault="0058574E" w:rsidP="0058574E">
      <w:pPr>
        <w:pStyle w:val="21"/>
        <w:ind w:firstLine="0"/>
        <w:jc w:val="center"/>
        <w:rPr>
          <w:b/>
        </w:rPr>
      </w:pPr>
      <w:r w:rsidRPr="00305977">
        <w:rPr>
          <w:b/>
          <w:sz w:val="24"/>
          <w:szCs w:val="24"/>
        </w:rPr>
        <w:t>(000 1 08 07172 01 0000 110)</w:t>
      </w:r>
    </w:p>
    <w:p w:rsidR="0058574E" w:rsidRPr="00305977" w:rsidRDefault="0058574E" w:rsidP="0058574E">
      <w:pPr>
        <w:pStyle w:val="21"/>
        <w:ind w:left="180"/>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8"/>
        <w:gridCol w:w="1722"/>
      </w:tblGrid>
      <w:tr w:rsidR="0058574E" w:rsidRPr="00305977" w:rsidTr="00E7317C">
        <w:tc>
          <w:tcPr>
            <w:tcW w:w="7848" w:type="dxa"/>
          </w:tcPr>
          <w:p w:rsidR="0058574E" w:rsidRPr="00305977" w:rsidRDefault="0058574E" w:rsidP="00E7317C">
            <w:pPr>
              <w:pStyle w:val="21"/>
              <w:jc w:val="center"/>
              <w:rPr>
                <w:b/>
              </w:rPr>
            </w:pPr>
            <w:r w:rsidRPr="00305977">
              <w:rPr>
                <w:b/>
              </w:rPr>
              <w:t>Наименование показателя</w:t>
            </w:r>
          </w:p>
        </w:tc>
        <w:tc>
          <w:tcPr>
            <w:tcW w:w="1722" w:type="dxa"/>
          </w:tcPr>
          <w:p w:rsidR="0058574E" w:rsidRPr="00305977" w:rsidRDefault="0058574E" w:rsidP="00E7317C">
            <w:pPr>
              <w:pStyle w:val="21"/>
              <w:rPr>
                <w:b/>
              </w:rPr>
            </w:pPr>
          </w:p>
        </w:tc>
      </w:tr>
      <w:tr w:rsidR="0058574E" w:rsidRPr="00305977" w:rsidTr="00E7317C">
        <w:tc>
          <w:tcPr>
            <w:tcW w:w="7848" w:type="dxa"/>
          </w:tcPr>
          <w:p w:rsidR="0058574E" w:rsidRPr="00305977" w:rsidRDefault="0058574E" w:rsidP="00E7317C">
            <w:pPr>
              <w:pStyle w:val="21"/>
              <w:rPr>
                <w:sz w:val="20"/>
                <w:szCs w:val="20"/>
              </w:rPr>
            </w:pPr>
            <w:r w:rsidRPr="00305977">
              <w:rPr>
                <w:sz w:val="20"/>
                <w:szCs w:val="20"/>
              </w:rPr>
              <w:t>1. Количество выданных специальных разрешений, ед.</w:t>
            </w:r>
          </w:p>
        </w:tc>
        <w:tc>
          <w:tcPr>
            <w:tcW w:w="1722" w:type="dxa"/>
          </w:tcPr>
          <w:p w:rsidR="0058574E" w:rsidRPr="00305977" w:rsidRDefault="0058574E" w:rsidP="00E7317C">
            <w:pPr>
              <w:pStyle w:val="21"/>
              <w:jc w:val="center"/>
              <w:rPr>
                <w:sz w:val="20"/>
                <w:szCs w:val="20"/>
              </w:rPr>
            </w:pPr>
          </w:p>
        </w:tc>
      </w:tr>
      <w:tr w:rsidR="0058574E" w:rsidRPr="00305977" w:rsidTr="00E7317C">
        <w:tc>
          <w:tcPr>
            <w:tcW w:w="7848" w:type="dxa"/>
          </w:tcPr>
          <w:p w:rsidR="0058574E" w:rsidRPr="00305977" w:rsidRDefault="0058574E" w:rsidP="00E7317C">
            <w:pPr>
              <w:pStyle w:val="21"/>
              <w:rPr>
                <w:sz w:val="20"/>
                <w:szCs w:val="20"/>
              </w:rPr>
            </w:pPr>
            <w:r w:rsidRPr="00305977">
              <w:rPr>
                <w:sz w:val="20"/>
                <w:szCs w:val="20"/>
              </w:rPr>
              <w:t>1.1. за 2022 год</w:t>
            </w:r>
          </w:p>
        </w:tc>
        <w:tc>
          <w:tcPr>
            <w:tcW w:w="1722" w:type="dxa"/>
          </w:tcPr>
          <w:p w:rsidR="0058574E" w:rsidRPr="00305977" w:rsidRDefault="0058574E" w:rsidP="00E7317C">
            <w:pPr>
              <w:pStyle w:val="21"/>
              <w:ind w:firstLine="0"/>
              <w:jc w:val="center"/>
              <w:rPr>
                <w:sz w:val="20"/>
                <w:szCs w:val="20"/>
              </w:rPr>
            </w:pPr>
            <w:r w:rsidRPr="00305977">
              <w:rPr>
                <w:sz w:val="20"/>
                <w:szCs w:val="20"/>
              </w:rPr>
              <w:t>1 008</w:t>
            </w:r>
          </w:p>
        </w:tc>
      </w:tr>
      <w:tr w:rsidR="0058574E" w:rsidRPr="00305977" w:rsidTr="00E7317C">
        <w:tc>
          <w:tcPr>
            <w:tcW w:w="7848" w:type="dxa"/>
          </w:tcPr>
          <w:p w:rsidR="0058574E" w:rsidRPr="00305977" w:rsidRDefault="0058574E" w:rsidP="00E7317C">
            <w:pPr>
              <w:pStyle w:val="21"/>
              <w:rPr>
                <w:sz w:val="20"/>
                <w:szCs w:val="20"/>
              </w:rPr>
            </w:pPr>
            <w:r w:rsidRPr="00305977">
              <w:rPr>
                <w:sz w:val="20"/>
                <w:szCs w:val="20"/>
              </w:rPr>
              <w:t>1.2. за 2023 год</w:t>
            </w:r>
          </w:p>
        </w:tc>
        <w:tc>
          <w:tcPr>
            <w:tcW w:w="1722" w:type="dxa"/>
          </w:tcPr>
          <w:p w:rsidR="0058574E" w:rsidRPr="00305977" w:rsidRDefault="0058574E" w:rsidP="00E7317C">
            <w:pPr>
              <w:pStyle w:val="21"/>
              <w:ind w:firstLine="0"/>
              <w:jc w:val="center"/>
              <w:rPr>
                <w:sz w:val="20"/>
                <w:szCs w:val="20"/>
              </w:rPr>
            </w:pPr>
            <w:r w:rsidRPr="00305977">
              <w:rPr>
                <w:sz w:val="20"/>
                <w:szCs w:val="20"/>
              </w:rPr>
              <w:t>1 008</w:t>
            </w:r>
          </w:p>
        </w:tc>
      </w:tr>
      <w:tr w:rsidR="0058574E" w:rsidRPr="00305977" w:rsidTr="00E7317C">
        <w:tc>
          <w:tcPr>
            <w:tcW w:w="7848" w:type="dxa"/>
          </w:tcPr>
          <w:p w:rsidR="0058574E" w:rsidRPr="00305977" w:rsidRDefault="0058574E" w:rsidP="00E7317C">
            <w:pPr>
              <w:pStyle w:val="21"/>
              <w:rPr>
                <w:sz w:val="20"/>
                <w:szCs w:val="20"/>
              </w:rPr>
            </w:pPr>
            <w:r w:rsidRPr="00305977">
              <w:rPr>
                <w:sz w:val="20"/>
                <w:szCs w:val="20"/>
              </w:rPr>
              <w:t>1.3. за 2024 год</w:t>
            </w:r>
          </w:p>
        </w:tc>
        <w:tc>
          <w:tcPr>
            <w:tcW w:w="1722" w:type="dxa"/>
          </w:tcPr>
          <w:p w:rsidR="0058574E" w:rsidRPr="00305977" w:rsidRDefault="0058574E" w:rsidP="00E7317C">
            <w:pPr>
              <w:pStyle w:val="21"/>
              <w:ind w:firstLine="0"/>
              <w:jc w:val="center"/>
              <w:rPr>
                <w:sz w:val="20"/>
                <w:szCs w:val="20"/>
              </w:rPr>
            </w:pPr>
            <w:r w:rsidRPr="00305977">
              <w:rPr>
                <w:sz w:val="20"/>
                <w:szCs w:val="20"/>
              </w:rPr>
              <w:t>1 008</w:t>
            </w:r>
          </w:p>
        </w:tc>
      </w:tr>
      <w:tr w:rsidR="0058574E" w:rsidRPr="00305977" w:rsidTr="00E7317C">
        <w:tc>
          <w:tcPr>
            <w:tcW w:w="7848" w:type="dxa"/>
          </w:tcPr>
          <w:p w:rsidR="0058574E" w:rsidRPr="00305977" w:rsidRDefault="0058574E" w:rsidP="00E7317C">
            <w:pPr>
              <w:pStyle w:val="21"/>
              <w:ind w:left="720" w:firstLine="0"/>
              <w:rPr>
                <w:sz w:val="20"/>
                <w:szCs w:val="20"/>
              </w:rPr>
            </w:pPr>
            <w:r w:rsidRPr="00305977">
              <w:rPr>
                <w:sz w:val="20"/>
                <w:szCs w:val="20"/>
              </w:rPr>
              <w:t>2.Размер госпошлины, тыс. руб.</w:t>
            </w:r>
          </w:p>
        </w:tc>
        <w:tc>
          <w:tcPr>
            <w:tcW w:w="1722" w:type="dxa"/>
          </w:tcPr>
          <w:p w:rsidR="0058574E" w:rsidRPr="00305977" w:rsidRDefault="0058574E" w:rsidP="00E7317C">
            <w:pPr>
              <w:pStyle w:val="21"/>
              <w:ind w:firstLine="0"/>
              <w:jc w:val="center"/>
              <w:rPr>
                <w:sz w:val="20"/>
                <w:szCs w:val="20"/>
              </w:rPr>
            </w:pPr>
            <w:r w:rsidRPr="00305977">
              <w:rPr>
                <w:sz w:val="20"/>
                <w:szCs w:val="20"/>
              </w:rPr>
              <w:t>1,6</w:t>
            </w:r>
          </w:p>
        </w:tc>
      </w:tr>
      <w:tr w:rsidR="0058574E" w:rsidRPr="00305977" w:rsidTr="00E7317C">
        <w:tc>
          <w:tcPr>
            <w:tcW w:w="7848" w:type="dxa"/>
          </w:tcPr>
          <w:p w:rsidR="0058574E" w:rsidRPr="00305977" w:rsidRDefault="0058574E" w:rsidP="00E7317C">
            <w:pPr>
              <w:pStyle w:val="21"/>
              <w:rPr>
                <w:b/>
                <w:sz w:val="20"/>
                <w:szCs w:val="20"/>
              </w:rPr>
            </w:pPr>
            <w:r w:rsidRPr="00305977">
              <w:rPr>
                <w:b/>
                <w:sz w:val="20"/>
                <w:szCs w:val="20"/>
              </w:rPr>
              <w:t>3. Прогноз на 2020год (стр. 1.1 * стр. 2)</w:t>
            </w:r>
          </w:p>
        </w:tc>
        <w:tc>
          <w:tcPr>
            <w:tcW w:w="1722" w:type="dxa"/>
          </w:tcPr>
          <w:p w:rsidR="0058574E" w:rsidRPr="00305977" w:rsidRDefault="0058574E" w:rsidP="00E7317C">
            <w:pPr>
              <w:pStyle w:val="21"/>
              <w:ind w:firstLine="0"/>
              <w:jc w:val="center"/>
              <w:rPr>
                <w:b/>
                <w:sz w:val="20"/>
                <w:szCs w:val="20"/>
              </w:rPr>
            </w:pPr>
            <w:r w:rsidRPr="00305977">
              <w:rPr>
                <w:b/>
                <w:sz w:val="20"/>
                <w:szCs w:val="20"/>
              </w:rPr>
              <w:t>1 612,8</w:t>
            </w:r>
          </w:p>
        </w:tc>
      </w:tr>
      <w:tr w:rsidR="0058574E" w:rsidRPr="00305977" w:rsidTr="00E7317C">
        <w:tc>
          <w:tcPr>
            <w:tcW w:w="7848" w:type="dxa"/>
          </w:tcPr>
          <w:p w:rsidR="0058574E" w:rsidRPr="00305977" w:rsidRDefault="0058574E" w:rsidP="00E7317C">
            <w:pPr>
              <w:pStyle w:val="21"/>
              <w:rPr>
                <w:b/>
                <w:sz w:val="20"/>
                <w:szCs w:val="20"/>
              </w:rPr>
            </w:pPr>
            <w:r w:rsidRPr="00305977">
              <w:rPr>
                <w:b/>
                <w:sz w:val="20"/>
                <w:szCs w:val="20"/>
              </w:rPr>
              <w:t>4. Прогноз на 2021 год (стр. 1.2 * стр. 2)</w:t>
            </w:r>
          </w:p>
        </w:tc>
        <w:tc>
          <w:tcPr>
            <w:tcW w:w="1722" w:type="dxa"/>
          </w:tcPr>
          <w:p w:rsidR="0058574E" w:rsidRPr="00305977" w:rsidRDefault="0058574E" w:rsidP="00E7317C">
            <w:pPr>
              <w:pStyle w:val="21"/>
              <w:ind w:firstLine="0"/>
              <w:jc w:val="center"/>
              <w:rPr>
                <w:b/>
                <w:sz w:val="20"/>
                <w:szCs w:val="20"/>
              </w:rPr>
            </w:pPr>
            <w:r w:rsidRPr="00305977">
              <w:rPr>
                <w:b/>
                <w:sz w:val="20"/>
                <w:szCs w:val="20"/>
              </w:rPr>
              <w:t>1 612,8</w:t>
            </w:r>
          </w:p>
        </w:tc>
      </w:tr>
      <w:tr w:rsidR="0058574E" w:rsidRPr="00305977" w:rsidTr="00E7317C">
        <w:tc>
          <w:tcPr>
            <w:tcW w:w="7848" w:type="dxa"/>
          </w:tcPr>
          <w:p w:rsidR="0058574E" w:rsidRPr="00305977" w:rsidRDefault="0058574E" w:rsidP="00E7317C">
            <w:pPr>
              <w:pStyle w:val="21"/>
              <w:rPr>
                <w:b/>
                <w:sz w:val="20"/>
                <w:szCs w:val="20"/>
              </w:rPr>
            </w:pPr>
            <w:r w:rsidRPr="00305977">
              <w:rPr>
                <w:b/>
                <w:sz w:val="20"/>
                <w:szCs w:val="20"/>
              </w:rPr>
              <w:t>5. Прогноз на 2022 год (стр. 1.3 * стр. 2)</w:t>
            </w:r>
          </w:p>
        </w:tc>
        <w:tc>
          <w:tcPr>
            <w:tcW w:w="1722" w:type="dxa"/>
          </w:tcPr>
          <w:p w:rsidR="0058574E" w:rsidRPr="00305977" w:rsidRDefault="0058574E" w:rsidP="00E7317C">
            <w:pPr>
              <w:pStyle w:val="21"/>
              <w:ind w:firstLine="0"/>
              <w:jc w:val="center"/>
              <w:rPr>
                <w:b/>
                <w:sz w:val="20"/>
                <w:szCs w:val="20"/>
              </w:rPr>
            </w:pPr>
            <w:r w:rsidRPr="00305977">
              <w:rPr>
                <w:b/>
                <w:sz w:val="20"/>
                <w:szCs w:val="20"/>
              </w:rPr>
              <w:t>1 612,8</w:t>
            </w:r>
          </w:p>
        </w:tc>
      </w:tr>
    </w:tbl>
    <w:p w:rsidR="0058574E" w:rsidRPr="000C7712" w:rsidRDefault="0058574E" w:rsidP="0058574E">
      <w:pPr>
        <w:tabs>
          <w:tab w:val="left" w:pos="7020"/>
        </w:tabs>
        <w:rPr>
          <w:color w:val="FF0000"/>
        </w:rPr>
      </w:pPr>
      <w:r w:rsidRPr="000C7712">
        <w:rPr>
          <w:color w:val="FF0000"/>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1389"/>
        <w:gridCol w:w="1389"/>
        <w:gridCol w:w="1675"/>
      </w:tblGrid>
      <w:tr w:rsidR="0058574E" w:rsidRPr="000C7712" w:rsidTr="00E7317C">
        <w:trPr>
          <w:trHeight w:val="554"/>
        </w:trPr>
        <w:tc>
          <w:tcPr>
            <w:tcW w:w="5000" w:type="pct"/>
            <w:gridSpan w:val="4"/>
            <w:tcBorders>
              <w:top w:val="nil"/>
              <w:left w:val="nil"/>
              <w:bottom w:val="single" w:sz="4" w:space="0" w:color="auto"/>
              <w:right w:val="nil"/>
            </w:tcBorders>
          </w:tcPr>
          <w:p w:rsidR="0058574E" w:rsidRPr="00385F3A" w:rsidRDefault="0058574E" w:rsidP="00E7317C">
            <w:pPr>
              <w:jc w:val="center"/>
              <w:rPr>
                <w:b/>
                <w:sz w:val="28"/>
                <w:szCs w:val="28"/>
              </w:rPr>
            </w:pPr>
          </w:p>
          <w:p w:rsidR="0058574E" w:rsidRPr="00385F3A" w:rsidRDefault="0058574E" w:rsidP="00E7317C">
            <w:pPr>
              <w:jc w:val="center"/>
              <w:rPr>
                <w:b/>
                <w:sz w:val="28"/>
                <w:szCs w:val="28"/>
              </w:rPr>
            </w:pPr>
            <w:r w:rsidRPr="00385F3A">
              <w:rPr>
                <w:b/>
                <w:sz w:val="28"/>
                <w:szCs w:val="28"/>
              </w:rPr>
              <w:t xml:space="preserve">13. Государственная пошлина за повторную выдачу свидетельства </w:t>
            </w:r>
            <w:r>
              <w:rPr>
                <w:b/>
                <w:sz w:val="28"/>
                <w:szCs w:val="28"/>
              </w:rPr>
              <w:br/>
            </w:r>
            <w:r w:rsidRPr="00385F3A">
              <w:rPr>
                <w:b/>
                <w:sz w:val="28"/>
                <w:szCs w:val="28"/>
              </w:rPr>
              <w:t>о постановке на учет в налоговом органе</w:t>
            </w:r>
          </w:p>
          <w:p w:rsidR="0058574E" w:rsidRPr="00385F3A" w:rsidRDefault="0058574E" w:rsidP="00E7317C">
            <w:pPr>
              <w:pStyle w:val="21"/>
              <w:ind w:left="180"/>
              <w:jc w:val="center"/>
              <w:rPr>
                <w:b/>
                <w:sz w:val="24"/>
                <w:szCs w:val="24"/>
              </w:rPr>
            </w:pPr>
            <w:r w:rsidRPr="00385F3A">
              <w:t>(</w:t>
            </w:r>
            <w:r w:rsidRPr="00385F3A">
              <w:rPr>
                <w:sz w:val="24"/>
                <w:szCs w:val="24"/>
              </w:rPr>
              <w:t>по данным УФНС России по Тверской области)</w:t>
            </w:r>
          </w:p>
          <w:p w:rsidR="0058574E" w:rsidRPr="00385F3A" w:rsidRDefault="0058574E" w:rsidP="00E7317C">
            <w:pPr>
              <w:pStyle w:val="21"/>
              <w:ind w:left="180"/>
              <w:jc w:val="center"/>
              <w:rPr>
                <w:b/>
                <w:sz w:val="24"/>
                <w:szCs w:val="24"/>
              </w:rPr>
            </w:pPr>
            <w:r w:rsidRPr="00385F3A">
              <w:rPr>
                <w:b/>
                <w:sz w:val="24"/>
                <w:szCs w:val="24"/>
              </w:rPr>
              <w:t>(000 1 08 07310 01 0000 110)</w:t>
            </w:r>
          </w:p>
          <w:p w:rsidR="0058574E" w:rsidRPr="00385F3A" w:rsidRDefault="0058574E" w:rsidP="00E7317C">
            <w:pPr>
              <w:jc w:val="center"/>
              <w:rPr>
                <w:b/>
                <w:sz w:val="20"/>
                <w:szCs w:val="20"/>
              </w:rPr>
            </w:pPr>
          </w:p>
        </w:tc>
      </w:tr>
      <w:tr w:rsidR="0058574E" w:rsidRPr="000C7712" w:rsidTr="00E7317C">
        <w:trPr>
          <w:trHeight w:val="310"/>
        </w:trPr>
        <w:tc>
          <w:tcPr>
            <w:tcW w:w="2724" w:type="pct"/>
            <w:tcBorders>
              <w:top w:val="single" w:sz="4" w:space="0" w:color="auto"/>
              <w:left w:val="single" w:sz="4" w:space="0" w:color="auto"/>
              <w:bottom w:val="single" w:sz="4" w:space="0" w:color="auto"/>
              <w:right w:val="single" w:sz="4" w:space="0" w:color="auto"/>
            </w:tcBorders>
          </w:tcPr>
          <w:p w:rsidR="0058574E" w:rsidRPr="00385F3A" w:rsidRDefault="0058574E" w:rsidP="00E7317C">
            <w:pPr>
              <w:tabs>
                <w:tab w:val="num" w:pos="585"/>
              </w:tabs>
              <w:ind w:left="18"/>
              <w:jc w:val="center"/>
              <w:rPr>
                <w:sz w:val="20"/>
                <w:szCs w:val="20"/>
              </w:rPr>
            </w:pPr>
            <w:r w:rsidRPr="00385F3A">
              <w:rPr>
                <w:sz w:val="20"/>
                <w:szCs w:val="20"/>
              </w:rPr>
              <w:t>Наименование показателя</w:t>
            </w:r>
          </w:p>
        </w:tc>
        <w:tc>
          <w:tcPr>
            <w:tcW w:w="710" w:type="pct"/>
            <w:tcBorders>
              <w:top w:val="single" w:sz="4" w:space="0" w:color="auto"/>
              <w:left w:val="single" w:sz="4" w:space="0" w:color="auto"/>
              <w:bottom w:val="single" w:sz="4" w:space="0" w:color="auto"/>
              <w:right w:val="single" w:sz="4" w:space="0" w:color="auto"/>
            </w:tcBorders>
          </w:tcPr>
          <w:p w:rsidR="0058574E" w:rsidRPr="00385F3A" w:rsidRDefault="0058574E" w:rsidP="00E7317C">
            <w:pPr>
              <w:jc w:val="center"/>
              <w:rPr>
                <w:sz w:val="20"/>
                <w:szCs w:val="20"/>
              </w:rPr>
            </w:pPr>
            <w:r w:rsidRPr="00385F3A">
              <w:rPr>
                <w:sz w:val="20"/>
                <w:szCs w:val="20"/>
              </w:rPr>
              <w:t>2022 год</w:t>
            </w:r>
          </w:p>
        </w:tc>
        <w:tc>
          <w:tcPr>
            <w:tcW w:w="710" w:type="pct"/>
            <w:tcBorders>
              <w:top w:val="single" w:sz="4" w:space="0" w:color="auto"/>
              <w:left w:val="single" w:sz="4" w:space="0" w:color="auto"/>
              <w:bottom w:val="single" w:sz="4" w:space="0" w:color="auto"/>
              <w:right w:val="single" w:sz="4" w:space="0" w:color="auto"/>
            </w:tcBorders>
          </w:tcPr>
          <w:p w:rsidR="0058574E" w:rsidRPr="00385F3A" w:rsidRDefault="0058574E" w:rsidP="00E7317C">
            <w:pPr>
              <w:jc w:val="center"/>
              <w:rPr>
                <w:sz w:val="20"/>
                <w:szCs w:val="20"/>
              </w:rPr>
            </w:pPr>
            <w:r w:rsidRPr="00385F3A">
              <w:rPr>
                <w:sz w:val="20"/>
                <w:szCs w:val="20"/>
              </w:rPr>
              <w:t>2023 год</w:t>
            </w:r>
          </w:p>
        </w:tc>
        <w:tc>
          <w:tcPr>
            <w:tcW w:w="856" w:type="pct"/>
            <w:tcBorders>
              <w:top w:val="single" w:sz="4" w:space="0" w:color="auto"/>
              <w:left w:val="single" w:sz="4" w:space="0" w:color="auto"/>
              <w:bottom w:val="single" w:sz="4" w:space="0" w:color="auto"/>
              <w:right w:val="single" w:sz="4" w:space="0" w:color="auto"/>
            </w:tcBorders>
          </w:tcPr>
          <w:p w:rsidR="0058574E" w:rsidRPr="00385F3A" w:rsidRDefault="0058574E" w:rsidP="00E7317C">
            <w:pPr>
              <w:jc w:val="center"/>
              <w:rPr>
                <w:sz w:val="20"/>
                <w:szCs w:val="20"/>
              </w:rPr>
            </w:pPr>
            <w:r w:rsidRPr="00385F3A">
              <w:rPr>
                <w:sz w:val="20"/>
                <w:szCs w:val="20"/>
              </w:rPr>
              <w:t>2024 год</w:t>
            </w:r>
          </w:p>
        </w:tc>
      </w:tr>
      <w:tr w:rsidR="0058574E" w:rsidRPr="000C7712" w:rsidTr="00E7317C">
        <w:trPr>
          <w:trHeight w:val="554"/>
        </w:trPr>
        <w:tc>
          <w:tcPr>
            <w:tcW w:w="2724" w:type="pct"/>
            <w:tcBorders>
              <w:top w:val="single" w:sz="4" w:space="0" w:color="auto"/>
            </w:tcBorders>
          </w:tcPr>
          <w:p w:rsidR="0058574E" w:rsidRPr="00385F3A" w:rsidRDefault="0058574E" w:rsidP="00E7317C">
            <w:pPr>
              <w:ind w:firstLine="18"/>
              <w:rPr>
                <w:sz w:val="20"/>
                <w:szCs w:val="20"/>
              </w:rPr>
            </w:pPr>
            <w:r w:rsidRPr="00385F3A">
              <w:rPr>
                <w:sz w:val="20"/>
                <w:szCs w:val="20"/>
              </w:rPr>
              <w:t>1. Количество выданных свидетельств, ед. (с учетом среднего количества за 5 мес. 2021г. (35/ 5*12 месяцев) )</w:t>
            </w:r>
            <w:r w:rsidRPr="00385F3A">
              <w:rPr>
                <w:sz w:val="20"/>
                <w:szCs w:val="20"/>
              </w:rPr>
              <w:br/>
              <w:t>(с округлением)</w:t>
            </w:r>
          </w:p>
        </w:tc>
        <w:tc>
          <w:tcPr>
            <w:tcW w:w="710" w:type="pct"/>
            <w:tcBorders>
              <w:top w:val="single" w:sz="4" w:space="0" w:color="auto"/>
            </w:tcBorders>
          </w:tcPr>
          <w:p w:rsidR="0058574E" w:rsidRPr="00385F3A" w:rsidRDefault="0058574E" w:rsidP="00E7317C">
            <w:pPr>
              <w:jc w:val="center"/>
              <w:rPr>
                <w:sz w:val="20"/>
                <w:szCs w:val="20"/>
              </w:rPr>
            </w:pPr>
            <w:r w:rsidRPr="00385F3A">
              <w:rPr>
                <w:sz w:val="20"/>
                <w:szCs w:val="20"/>
              </w:rPr>
              <w:t>84</w:t>
            </w:r>
          </w:p>
        </w:tc>
        <w:tc>
          <w:tcPr>
            <w:tcW w:w="710" w:type="pct"/>
            <w:tcBorders>
              <w:top w:val="single" w:sz="4" w:space="0" w:color="auto"/>
            </w:tcBorders>
          </w:tcPr>
          <w:p w:rsidR="0058574E" w:rsidRPr="00385F3A" w:rsidRDefault="0058574E" w:rsidP="00E7317C">
            <w:pPr>
              <w:jc w:val="center"/>
              <w:rPr>
                <w:sz w:val="20"/>
                <w:szCs w:val="20"/>
              </w:rPr>
            </w:pPr>
            <w:r w:rsidRPr="00385F3A">
              <w:rPr>
                <w:sz w:val="20"/>
                <w:szCs w:val="20"/>
              </w:rPr>
              <w:t>84</w:t>
            </w:r>
          </w:p>
        </w:tc>
        <w:tc>
          <w:tcPr>
            <w:tcW w:w="856" w:type="pct"/>
            <w:tcBorders>
              <w:top w:val="single" w:sz="4" w:space="0" w:color="auto"/>
            </w:tcBorders>
          </w:tcPr>
          <w:p w:rsidR="0058574E" w:rsidRPr="00385F3A" w:rsidRDefault="0058574E" w:rsidP="00E7317C">
            <w:pPr>
              <w:jc w:val="center"/>
              <w:rPr>
                <w:sz w:val="20"/>
                <w:szCs w:val="20"/>
              </w:rPr>
            </w:pPr>
            <w:r w:rsidRPr="00385F3A">
              <w:rPr>
                <w:sz w:val="20"/>
                <w:szCs w:val="20"/>
              </w:rPr>
              <w:t>84</w:t>
            </w:r>
          </w:p>
        </w:tc>
      </w:tr>
      <w:tr w:rsidR="0058574E" w:rsidRPr="000C7712" w:rsidTr="00E7317C">
        <w:trPr>
          <w:trHeight w:val="314"/>
        </w:trPr>
        <w:tc>
          <w:tcPr>
            <w:tcW w:w="2724" w:type="pct"/>
          </w:tcPr>
          <w:p w:rsidR="0058574E" w:rsidRPr="00385F3A" w:rsidRDefault="0058574E" w:rsidP="00E7317C">
            <w:pPr>
              <w:ind w:firstLine="18"/>
              <w:rPr>
                <w:sz w:val="20"/>
                <w:szCs w:val="20"/>
              </w:rPr>
            </w:pPr>
            <w:r w:rsidRPr="00385F3A">
              <w:rPr>
                <w:sz w:val="20"/>
                <w:szCs w:val="20"/>
              </w:rPr>
              <w:t>2. Размер госпошлины, тыс. руб. (300 руб.)</w:t>
            </w:r>
          </w:p>
        </w:tc>
        <w:tc>
          <w:tcPr>
            <w:tcW w:w="710" w:type="pct"/>
          </w:tcPr>
          <w:p w:rsidR="0058574E" w:rsidRPr="00385F3A" w:rsidRDefault="0058574E" w:rsidP="00E7317C">
            <w:pPr>
              <w:jc w:val="center"/>
              <w:rPr>
                <w:sz w:val="20"/>
                <w:szCs w:val="20"/>
              </w:rPr>
            </w:pPr>
            <w:r w:rsidRPr="00385F3A">
              <w:rPr>
                <w:sz w:val="20"/>
                <w:szCs w:val="20"/>
              </w:rPr>
              <w:t>0,3</w:t>
            </w:r>
          </w:p>
        </w:tc>
        <w:tc>
          <w:tcPr>
            <w:tcW w:w="710" w:type="pct"/>
          </w:tcPr>
          <w:p w:rsidR="0058574E" w:rsidRPr="00385F3A" w:rsidRDefault="0058574E" w:rsidP="00E7317C">
            <w:pPr>
              <w:jc w:val="center"/>
              <w:rPr>
                <w:sz w:val="20"/>
                <w:szCs w:val="20"/>
              </w:rPr>
            </w:pPr>
            <w:r w:rsidRPr="00385F3A">
              <w:rPr>
                <w:sz w:val="20"/>
                <w:szCs w:val="20"/>
              </w:rPr>
              <w:t>0,3</w:t>
            </w:r>
          </w:p>
        </w:tc>
        <w:tc>
          <w:tcPr>
            <w:tcW w:w="856" w:type="pct"/>
          </w:tcPr>
          <w:p w:rsidR="0058574E" w:rsidRPr="00385F3A" w:rsidRDefault="0058574E" w:rsidP="00E7317C">
            <w:pPr>
              <w:jc w:val="center"/>
              <w:rPr>
                <w:sz w:val="20"/>
                <w:szCs w:val="20"/>
              </w:rPr>
            </w:pPr>
            <w:r w:rsidRPr="00385F3A">
              <w:rPr>
                <w:sz w:val="20"/>
                <w:szCs w:val="20"/>
              </w:rPr>
              <w:t>0,3</w:t>
            </w:r>
          </w:p>
        </w:tc>
      </w:tr>
      <w:tr w:rsidR="0058574E" w:rsidRPr="000C7712" w:rsidTr="00E7317C">
        <w:trPr>
          <w:trHeight w:val="314"/>
        </w:trPr>
        <w:tc>
          <w:tcPr>
            <w:tcW w:w="2724" w:type="pct"/>
          </w:tcPr>
          <w:p w:rsidR="0058574E" w:rsidRPr="00385F3A" w:rsidRDefault="0058574E" w:rsidP="00E7317C">
            <w:pPr>
              <w:pStyle w:val="af4"/>
              <w:ind w:left="0"/>
              <w:rPr>
                <w:sz w:val="20"/>
                <w:szCs w:val="20"/>
              </w:rPr>
            </w:pPr>
            <w:r w:rsidRPr="00385F3A">
              <w:rPr>
                <w:sz w:val="20"/>
                <w:szCs w:val="20"/>
              </w:rPr>
              <w:t>3.</w:t>
            </w:r>
            <w:r w:rsidRPr="00385F3A">
              <w:t xml:space="preserve"> </w:t>
            </w:r>
            <w:r w:rsidRPr="00385F3A">
              <w:rPr>
                <w:sz w:val="20"/>
                <w:szCs w:val="20"/>
              </w:rPr>
              <w:t>Корректирующая сумма поступлений (сумма выпадающих доходов при обращении в электронной форме и выдаче через многофункциональные центры, так как норматив зачисления в бюджет субъекта РФ составляет 25%), тыс. рублей</w:t>
            </w:r>
          </w:p>
        </w:tc>
        <w:tc>
          <w:tcPr>
            <w:tcW w:w="710" w:type="pct"/>
          </w:tcPr>
          <w:p w:rsidR="0058574E" w:rsidRPr="00385F3A" w:rsidRDefault="0058574E" w:rsidP="00E7317C">
            <w:pPr>
              <w:jc w:val="center"/>
              <w:rPr>
                <w:sz w:val="20"/>
                <w:szCs w:val="20"/>
              </w:rPr>
            </w:pPr>
            <w:r w:rsidRPr="00385F3A">
              <w:rPr>
                <w:sz w:val="20"/>
                <w:szCs w:val="20"/>
              </w:rPr>
              <w:t>-1</w:t>
            </w:r>
          </w:p>
        </w:tc>
        <w:tc>
          <w:tcPr>
            <w:tcW w:w="710" w:type="pct"/>
          </w:tcPr>
          <w:p w:rsidR="0058574E" w:rsidRPr="00385F3A" w:rsidRDefault="0058574E" w:rsidP="00E7317C">
            <w:pPr>
              <w:jc w:val="center"/>
              <w:rPr>
                <w:sz w:val="20"/>
                <w:szCs w:val="20"/>
              </w:rPr>
            </w:pPr>
            <w:r w:rsidRPr="00385F3A">
              <w:rPr>
                <w:sz w:val="20"/>
                <w:szCs w:val="20"/>
              </w:rPr>
              <w:t>-1</w:t>
            </w:r>
          </w:p>
        </w:tc>
        <w:tc>
          <w:tcPr>
            <w:tcW w:w="856" w:type="pct"/>
          </w:tcPr>
          <w:p w:rsidR="0058574E" w:rsidRPr="00385F3A" w:rsidRDefault="0058574E" w:rsidP="00E7317C">
            <w:pPr>
              <w:jc w:val="center"/>
              <w:rPr>
                <w:sz w:val="20"/>
                <w:szCs w:val="20"/>
              </w:rPr>
            </w:pPr>
            <w:r w:rsidRPr="00385F3A">
              <w:rPr>
                <w:sz w:val="20"/>
                <w:szCs w:val="20"/>
              </w:rPr>
              <w:t>-1</w:t>
            </w:r>
          </w:p>
        </w:tc>
      </w:tr>
      <w:tr w:rsidR="0058574E" w:rsidRPr="000C7712" w:rsidTr="00E7317C">
        <w:trPr>
          <w:trHeight w:val="321"/>
        </w:trPr>
        <w:tc>
          <w:tcPr>
            <w:tcW w:w="2724" w:type="pct"/>
          </w:tcPr>
          <w:p w:rsidR="0058574E" w:rsidRPr="00385F3A" w:rsidRDefault="0058574E" w:rsidP="00E7317C">
            <w:pPr>
              <w:ind w:left="18"/>
              <w:rPr>
                <w:sz w:val="20"/>
                <w:szCs w:val="20"/>
              </w:rPr>
            </w:pPr>
            <w:r w:rsidRPr="00385F3A">
              <w:rPr>
                <w:sz w:val="20"/>
                <w:szCs w:val="20"/>
              </w:rPr>
              <w:t xml:space="preserve">3. Сумма госпошлины, тыс. руб. (стр. 1*стр.2 с учетом норматива (при обращении через МФЦ - 50%)) </w:t>
            </w:r>
            <w:r w:rsidRPr="00385F3A">
              <w:rPr>
                <w:sz w:val="20"/>
                <w:szCs w:val="20"/>
              </w:rPr>
              <w:br/>
              <w:t>(с округлением)</w:t>
            </w:r>
          </w:p>
        </w:tc>
        <w:tc>
          <w:tcPr>
            <w:tcW w:w="710" w:type="pct"/>
          </w:tcPr>
          <w:p w:rsidR="0058574E" w:rsidRPr="00385F3A" w:rsidRDefault="0058574E" w:rsidP="00E7317C">
            <w:pPr>
              <w:jc w:val="center"/>
              <w:rPr>
                <w:sz w:val="20"/>
                <w:szCs w:val="20"/>
              </w:rPr>
            </w:pPr>
            <w:r w:rsidRPr="00385F3A">
              <w:rPr>
                <w:sz w:val="20"/>
                <w:szCs w:val="20"/>
              </w:rPr>
              <w:t>12</w:t>
            </w:r>
          </w:p>
        </w:tc>
        <w:tc>
          <w:tcPr>
            <w:tcW w:w="710" w:type="pct"/>
          </w:tcPr>
          <w:p w:rsidR="0058574E" w:rsidRPr="00385F3A" w:rsidRDefault="0058574E" w:rsidP="00E7317C">
            <w:pPr>
              <w:jc w:val="center"/>
              <w:rPr>
                <w:sz w:val="20"/>
                <w:szCs w:val="20"/>
              </w:rPr>
            </w:pPr>
            <w:r w:rsidRPr="00385F3A">
              <w:rPr>
                <w:sz w:val="20"/>
                <w:szCs w:val="20"/>
              </w:rPr>
              <w:t>12</w:t>
            </w:r>
          </w:p>
        </w:tc>
        <w:tc>
          <w:tcPr>
            <w:tcW w:w="856" w:type="pct"/>
          </w:tcPr>
          <w:p w:rsidR="0058574E" w:rsidRPr="00385F3A" w:rsidRDefault="0058574E" w:rsidP="00E7317C">
            <w:pPr>
              <w:jc w:val="center"/>
              <w:rPr>
                <w:sz w:val="20"/>
                <w:szCs w:val="20"/>
              </w:rPr>
            </w:pPr>
            <w:r w:rsidRPr="00385F3A">
              <w:rPr>
                <w:sz w:val="20"/>
                <w:szCs w:val="20"/>
              </w:rPr>
              <w:t>12</w:t>
            </w:r>
          </w:p>
        </w:tc>
      </w:tr>
    </w:tbl>
    <w:p w:rsidR="0058574E" w:rsidRPr="000C7712" w:rsidRDefault="0058574E" w:rsidP="0058574E">
      <w:pPr>
        <w:pStyle w:val="21"/>
        <w:ind w:firstLine="0"/>
        <w:jc w:val="center"/>
        <w:rPr>
          <w:b/>
          <w:color w:val="FF0000"/>
        </w:rPr>
      </w:pPr>
    </w:p>
    <w:p w:rsidR="0058574E" w:rsidRPr="009E2846" w:rsidRDefault="0058574E" w:rsidP="0058574E">
      <w:pPr>
        <w:pStyle w:val="21"/>
        <w:ind w:firstLine="0"/>
        <w:jc w:val="center"/>
        <w:rPr>
          <w:b/>
        </w:rPr>
      </w:pPr>
      <w:r w:rsidRPr="009E2846">
        <w:rPr>
          <w:b/>
        </w:rPr>
        <w:t xml:space="preserve">14. Государственная пошлина за действия органов исполнительной власти субъектов Российской Федерации, связанные с государственной аккредитацией образовательных учреждений, осуществляемой в пределах переданных полномочий Российской Федерации </w:t>
      </w:r>
    </w:p>
    <w:p w:rsidR="0058574E" w:rsidRPr="009E2846" w:rsidRDefault="0058574E" w:rsidP="0058574E">
      <w:pPr>
        <w:pStyle w:val="21"/>
        <w:ind w:firstLine="0"/>
        <w:jc w:val="center"/>
        <w:rPr>
          <w:b/>
        </w:rPr>
      </w:pPr>
      <w:r w:rsidRPr="009E2846">
        <w:rPr>
          <w:b/>
        </w:rPr>
        <w:t>в области образования</w:t>
      </w:r>
    </w:p>
    <w:p w:rsidR="0058574E" w:rsidRPr="009E2846" w:rsidRDefault="0058574E" w:rsidP="0058574E">
      <w:pPr>
        <w:pStyle w:val="21"/>
        <w:ind w:firstLine="0"/>
        <w:jc w:val="center"/>
        <w:rPr>
          <w:b/>
        </w:rPr>
      </w:pPr>
      <w:r w:rsidRPr="009E2846">
        <w:rPr>
          <w:sz w:val="24"/>
          <w:szCs w:val="24"/>
        </w:rPr>
        <w:t>(по данным Министерства образования Тверской области)</w:t>
      </w:r>
    </w:p>
    <w:p w:rsidR="0058574E" w:rsidRPr="009E2846" w:rsidRDefault="0058574E" w:rsidP="0058574E">
      <w:pPr>
        <w:pStyle w:val="21"/>
        <w:ind w:left="180"/>
        <w:jc w:val="center"/>
        <w:rPr>
          <w:b/>
          <w:sz w:val="24"/>
          <w:szCs w:val="24"/>
        </w:rPr>
      </w:pPr>
      <w:r w:rsidRPr="009E2846">
        <w:rPr>
          <w:b/>
          <w:sz w:val="24"/>
          <w:szCs w:val="24"/>
        </w:rPr>
        <w:t>(000 1 08 07380 01 0000 110)</w:t>
      </w:r>
    </w:p>
    <w:p w:rsidR="0058574E" w:rsidRPr="009E2846" w:rsidRDefault="0058574E" w:rsidP="0058574E">
      <w:pPr>
        <w:pStyle w:val="21"/>
        <w:jc w:val="center"/>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5"/>
        <w:gridCol w:w="1458"/>
        <w:gridCol w:w="1458"/>
        <w:gridCol w:w="1460"/>
      </w:tblGrid>
      <w:tr w:rsidR="0058574E" w:rsidRPr="009E2846" w:rsidTr="00E7317C">
        <w:trPr>
          <w:trHeight w:val="148"/>
          <w:tblHeader/>
        </w:trPr>
        <w:tc>
          <w:tcPr>
            <w:tcW w:w="2761" w:type="pct"/>
          </w:tcPr>
          <w:p w:rsidR="0058574E" w:rsidRPr="009E2846" w:rsidRDefault="0058574E" w:rsidP="00E7317C">
            <w:pPr>
              <w:jc w:val="center"/>
              <w:rPr>
                <w:sz w:val="20"/>
                <w:szCs w:val="20"/>
              </w:rPr>
            </w:pPr>
            <w:r w:rsidRPr="009E2846">
              <w:rPr>
                <w:sz w:val="20"/>
                <w:szCs w:val="20"/>
              </w:rPr>
              <w:t>Наименование показателя</w:t>
            </w:r>
          </w:p>
        </w:tc>
        <w:tc>
          <w:tcPr>
            <w:tcW w:w="746" w:type="pct"/>
          </w:tcPr>
          <w:p w:rsidR="0058574E" w:rsidRPr="009E2846" w:rsidRDefault="0058574E" w:rsidP="00E7317C">
            <w:pPr>
              <w:jc w:val="center"/>
              <w:rPr>
                <w:sz w:val="20"/>
                <w:szCs w:val="20"/>
              </w:rPr>
            </w:pPr>
            <w:r w:rsidRPr="009E2846">
              <w:rPr>
                <w:sz w:val="20"/>
                <w:szCs w:val="20"/>
              </w:rPr>
              <w:t>2022 год</w:t>
            </w:r>
          </w:p>
        </w:tc>
        <w:tc>
          <w:tcPr>
            <w:tcW w:w="746" w:type="pct"/>
          </w:tcPr>
          <w:p w:rsidR="0058574E" w:rsidRPr="009E2846" w:rsidRDefault="0058574E" w:rsidP="00E7317C">
            <w:pPr>
              <w:jc w:val="center"/>
              <w:rPr>
                <w:sz w:val="20"/>
                <w:szCs w:val="20"/>
              </w:rPr>
            </w:pPr>
            <w:r w:rsidRPr="009E2846">
              <w:rPr>
                <w:sz w:val="20"/>
                <w:szCs w:val="20"/>
              </w:rPr>
              <w:t>2023 год</w:t>
            </w:r>
          </w:p>
        </w:tc>
        <w:tc>
          <w:tcPr>
            <w:tcW w:w="746" w:type="pct"/>
          </w:tcPr>
          <w:p w:rsidR="0058574E" w:rsidRPr="009E2846" w:rsidRDefault="0058574E" w:rsidP="00E7317C">
            <w:pPr>
              <w:jc w:val="center"/>
              <w:rPr>
                <w:sz w:val="20"/>
                <w:szCs w:val="20"/>
              </w:rPr>
            </w:pPr>
            <w:r w:rsidRPr="009E2846">
              <w:rPr>
                <w:sz w:val="20"/>
                <w:szCs w:val="20"/>
              </w:rPr>
              <w:t>2024 год</w:t>
            </w:r>
          </w:p>
        </w:tc>
      </w:tr>
      <w:tr w:rsidR="0058574E" w:rsidRPr="009E2846" w:rsidTr="00E7317C">
        <w:trPr>
          <w:trHeight w:val="273"/>
        </w:trPr>
        <w:tc>
          <w:tcPr>
            <w:tcW w:w="2761" w:type="pct"/>
          </w:tcPr>
          <w:p w:rsidR="0058574E" w:rsidRPr="009E2846" w:rsidRDefault="0058574E" w:rsidP="00E7317C">
            <w:pPr>
              <w:numPr>
                <w:ilvl w:val="0"/>
                <w:numId w:val="4"/>
              </w:numPr>
              <w:tabs>
                <w:tab w:val="clear" w:pos="705"/>
                <w:tab w:val="num" w:pos="585"/>
              </w:tabs>
              <w:ind w:left="18" w:firstLine="0"/>
              <w:rPr>
                <w:sz w:val="20"/>
                <w:szCs w:val="20"/>
              </w:rPr>
            </w:pPr>
            <w:r w:rsidRPr="009E2846">
              <w:rPr>
                <w:sz w:val="20"/>
                <w:szCs w:val="20"/>
              </w:rPr>
              <w:t>Количество выдаваемых свидетельств, ед. (методом усреднения за три предшествующих года)</w:t>
            </w:r>
          </w:p>
          <w:p w:rsidR="0058574E" w:rsidRPr="009E2846" w:rsidRDefault="0058574E" w:rsidP="00E7317C">
            <w:pPr>
              <w:numPr>
                <w:ilvl w:val="1"/>
                <w:numId w:val="4"/>
              </w:numPr>
              <w:tabs>
                <w:tab w:val="clear" w:pos="360"/>
                <w:tab w:val="num" w:pos="585"/>
              </w:tabs>
              <w:ind w:left="18" w:firstLine="0"/>
              <w:rPr>
                <w:sz w:val="20"/>
                <w:szCs w:val="20"/>
              </w:rPr>
            </w:pPr>
            <w:r w:rsidRPr="009E2846">
              <w:rPr>
                <w:sz w:val="20"/>
                <w:szCs w:val="20"/>
              </w:rPr>
              <w:t>по основным образовательным программам начального общего, основного общего, среднего общего образования, ед. (с округлением)</w:t>
            </w:r>
          </w:p>
          <w:p w:rsidR="0058574E" w:rsidRPr="009E2846" w:rsidRDefault="0058574E" w:rsidP="00E7317C">
            <w:pPr>
              <w:numPr>
                <w:ilvl w:val="1"/>
                <w:numId w:val="4"/>
              </w:numPr>
              <w:tabs>
                <w:tab w:val="clear" w:pos="360"/>
                <w:tab w:val="num" w:pos="585"/>
              </w:tabs>
              <w:ind w:left="18" w:firstLine="0"/>
              <w:rPr>
                <w:sz w:val="20"/>
                <w:szCs w:val="20"/>
              </w:rPr>
            </w:pPr>
            <w:r w:rsidRPr="009E2846">
              <w:rPr>
                <w:sz w:val="20"/>
                <w:szCs w:val="20"/>
              </w:rPr>
              <w:t xml:space="preserve"> по основным образовательным программам среднего  профессионального образования, ед. (с округлением)</w:t>
            </w:r>
          </w:p>
        </w:tc>
        <w:tc>
          <w:tcPr>
            <w:tcW w:w="746" w:type="pct"/>
          </w:tcPr>
          <w:p w:rsidR="0058574E" w:rsidRPr="009E2846" w:rsidRDefault="0058574E" w:rsidP="00E7317C">
            <w:pPr>
              <w:jc w:val="center"/>
              <w:rPr>
                <w:sz w:val="20"/>
                <w:szCs w:val="20"/>
              </w:rPr>
            </w:pPr>
          </w:p>
          <w:p w:rsidR="0058574E" w:rsidRPr="009E2846" w:rsidRDefault="0058574E" w:rsidP="00E7317C">
            <w:pPr>
              <w:jc w:val="center"/>
              <w:rPr>
                <w:sz w:val="20"/>
                <w:szCs w:val="20"/>
              </w:rPr>
            </w:pPr>
          </w:p>
          <w:p w:rsidR="0058574E" w:rsidRPr="009E2846" w:rsidRDefault="0058574E" w:rsidP="00E7317C">
            <w:pPr>
              <w:jc w:val="center"/>
              <w:rPr>
                <w:sz w:val="20"/>
                <w:szCs w:val="20"/>
              </w:rPr>
            </w:pPr>
            <w:r w:rsidRPr="009E2846">
              <w:rPr>
                <w:sz w:val="20"/>
                <w:szCs w:val="20"/>
              </w:rPr>
              <w:t>2</w:t>
            </w:r>
          </w:p>
          <w:p w:rsidR="0058574E" w:rsidRPr="009E2846" w:rsidRDefault="0058574E" w:rsidP="00E7317C">
            <w:pPr>
              <w:jc w:val="center"/>
              <w:rPr>
                <w:sz w:val="20"/>
                <w:szCs w:val="20"/>
              </w:rPr>
            </w:pPr>
          </w:p>
          <w:p w:rsidR="0058574E" w:rsidRPr="009E2846" w:rsidRDefault="0058574E" w:rsidP="00E7317C">
            <w:pPr>
              <w:jc w:val="center"/>
              <w:rPr>
                <w:sz w:val="20"/>
                <w:szCs w:val="20"/>
              </w:rPr>
            </w:pPr>
          </w:p>
          <w:p w:rsidR="0058574E" w:rsidRPr="009E2846" w:rsidRDefault="0058574E" w:rsidP="00E7317C">
            <w:pPr>
              <w:jc w:val="center"/>
              <w:rPr>
                <w:sz w:val="20"/>
                <w:szCs w:val="20"/>
              </w:rPr>
            </w:pPr>
            <w:r w:rsidRPr="009E2846">
              <w:rPr>
                <w:sz w:val="20"/>
                <w:szCs w:val="20"/>
              </w:rPr>
              <w:t>18</w:t>
            </w:r>
          </w:p>
        </w:tc>
        <w:tc>
          <w:tcPr>
            <w:tcW w:w="746" w:type="pct"/>
          </w:tcPr>
          <w:p w:rsidR="0058574E" w:rsidRPr="009E2846" w:rsidRDefault="0058574E" w:rsidP="00E7317C">
            <w:pPr>
              <w:jc w:val="center"/>
              <w:rPr>
                <w:sz w:val="20"/>
                <w:szCs w:val="20"/>
              </w:rPr>
            </w:pPr>
          </w:p>
          <w:p w:rsidR="0058574E" w:rsidRPr="009E2846" w:rsidRDefault="0058574E" w:rsidP="00E7317C">
            <w:pPr>
              <w:jc w:val="center"/>
              <w:rPr>
                <w:sz w:val="20"/>
                <w:szCs w:val="20"/>
              </w:rPr>
            </w:pPr>
          </w:p>
          <w:p w:rsidR="0058574E" w:rsidRPr="009E2846" w:rsidRDefault="0058574E" w:rsidP="00E7317C">
            <w:pPr>
              <w:jc w:val="center"/>
              <w:rPr>
                <w:sz w:val="20"/>
                <w:szCs w:val="20"/>
              </w:rPr>
            </w:pPr>
            <w:r>
              <w:rPr>
                <w:sz w:val="20"/>
                <w:szCs w:val="20"/>
              </w:rPr>
              <w:t>1</w:t>
            </w:r>
          </w:p>
          <w:p w:rsidR="0058574E" w:rsidRPr="009E2846" w:rsidRDefault="0058574E" w:rsidP="00E7317C">
            <w:pPr>
              <w:jc w:val="center"/>
              <w:rPr>
                <w:sz w:val="20"/>
                <w:szCs w:val="20"/>
              </w:rPr>
            </w:pPr>
          </w:p>
          <w:p w:rsidR="0058574E" w:rsidRPr="009E2846" w:rsidRDefault="0058574E" w:rsidP="00E7317C">
            <w:pPr>
              <w:jc w:val="center"/>
              <w:rPr>
                <w:sz w:val="20"/>
                <w:szCs w:val="20"/>
              </w:rPr>
            </w:pPr>
          </w:p>
          <w:p w:rsidR="0058574E" w:rsidRPr="009E2846" w:rsidRDefault="0058574E" w:rsidP="00E7317C">
            <w:pPr>
              <w:jc w:val="center"/>
              <w:rPr>
                <w:sz w:val="20"/>
                <w:szCs w:val="20"/>
              </w:rPr>
            </w:pPr>
            <w:r w:rsidRPr="009E2846">
              <w:rPr>
                <w:sz w:val="20"/>
                <w:szCs w:val="20"/>
              </w:rPr>
              <w:t>14</w:t>
            </w:r>
          </w:p>
          <w:p w:rsidR="0058574E" w:rsidRPr="009E2846" w:rsidRDefault="0058574E" w:rsidP="00E7317C">
            <w:pPr>
              <w:rPr>
                <w:sz w:val="20"/>
                <w:szCs w:val="20"/>
              </w:rPr>
            </w:pPr>
          </w:p>
        </w:tc>
        <w:tc>
          <w:tcPr>
            <w:tcW w:w="746" w:type="pct"/>
          </w:tcPr>
          <w:p w:rsidR="0058574E" w:rsidRPr="009E2846" w:rsidRDefault="0058574E" w:rsidP="00E7317C">
            <w:pPr>
              <w:rPr>
                <w:sz w:val="20"/>
                <w:szCs w:val="20"/>
              </w:rPr>
            </w:pPr>
          </w:p>
          <w:p w:rsidR="0058574E" w:rsidRPr="009E2846" w:rsidRDefault="0058574E" w:rsidP="00E7317C">
            <w:pPr>
              <w:rPr>
                <w:sz w:val="20"/>
                <w:szCs w:val="20"/>
              </w:rPr>
            </w:pPr>
          </w:p>
          <w:p w:rsidR="0058574E" w:rsidRPr="009E2846" w:rsidRDefault="0058574E" w:rsidP="00E7317C">
            <w:pPr>
              <w:jc w:val="center"/>
              <w:rPr>
                <w:sz w:val="20"/>
                <w:szCs w:val="20"/>
              </w:rPr>
            </w:pPr>
            <w:r w:rsidRPr="009E2846">
              <w:rPr>
                <w:sz w:val="20"/>
                <w:szCs w:val="20"/>
              </w:rPr>
              <w:t>1</w:t>
            </w:r>
          </w:p>
          <w:p w:rsidR="0058574E" w:rsidRPr="009E2846" w:rsidRDefault="0058574E" w:rsidP="00E7317C">
            <w:pPr>
              <w:jc w:val="center"/>
              <w:rPr>
                <w:sz w:val="20"/>
                <w:szCs w:val="20"/>
              </w:rPr>
            </w:pPr>
          </w:p>
          <w:p w:rsidR="0058574E" w:rsidRPr="009E2846" w:rsidRDefault="0058574E" w:rsidP="00E7317C">
            <w:pPr>
              <w:jc w:val="center"/>
              <w:rPr>
                <w:sz w:val="20"/>
                <w:szCs w:val="20"/>
              </w:rPr>
            </w:pPr>
          </w:p>
          <w:p w:rsidR="0058574E" w:rsidRPr="009E2846" w:rsidRDefault="0058574E" w:rsidP="00E7317C">
            <w:pPr>
              <w:jc w:val="center"/>
              <w:rPr>
                <w:sz w:val="20"/>
                <w:szCs w:val="20"/>
              </w:rPr>
            </w:pPr>
            <w:r w:rsidRPr="009E2846">
              <w:rPr>
                <w:sz w:val="20"/>
                <w:szCs w:val="20"/>
              </w:rPr>
              <w:t>17</w:t>
            </w:r>
          </w:p>
          <w:p w:rsidR="0058574E" w:rsidRPr="009E2846" w:rsidRDefault="0058574E" w:rsidP="00E7317C">
            <w:pPr>
              <w:rPr>
                <w:sz w:val="20"/>
                <w:szCs w:val="20"/>
              </w:rPr>
            </w:pPr>
          </w:p>
        </w:tc>
      </w:tr>
      <w:tr w:rsidR="0058574E" w:rsidRPr="009E2846" w:rsidTr="00E7317C">
        <w:trPr>
          <w:trHeight w:val="2038"/>
        </w:trPr>
        <w:tc>
          <w:tcPr>
            <w:tcW w:w="2761" w:type="pct"/>
          </w:tcPr>
          <w:p w:rsidR="0058574E" w:rsidRPr="009E2846" w:rsidRDefault="0058574E" w:rsidP="00E7317C">
            <w:pPr>
              <w:numPr>
                <w:ilvl w:val="0"/>
                <w:numId w:val="4"/>
              </w:numPr>
              <w:tabs>
                <w:tab w:val="clear" w:pos="705"/>
                <w:tab w:val="num" w:pos="585"/>
              </w:tabs>
              <w:ind w:left="18" w:firstLine="0"/>
              <w:rPr>
                <w:sz w:val="20"/>
                <w:szCs w:val="20"/>
              </w:rPr>
            </w:pPr>
            <w:r w:rsidRPr="009E2846">
              <w:rPr>
                <w:sz w:val="20"/>
                <w:szCs w:val="20"/>
              </w:rPr>
              <w:lastRenderedPageBreak/>
              <w:t>Количество переоформленных свидетельств о государственной аккредитации образовательной деятельности в связи с государственной аккредитацией в отношении ранее неаккредитованных образовательных программ (методом усреднения за три предшествующих года):</w:t>
            </w:r>
          </w:p>
          <w:p w:rsidR="0058574E" w:rsidRPr="009E2846" w:rsidRDefault="0058574E" w:rsidP="00E7317C">
            <w:pPr>
              <w:numPr>
                <w:ilvl w:val="1"/>
                <w:numId w:val="4"/>
              </w:numPr>
              <w:tabs>
                <w:tab w:val="clear" w:pos="360"/>
                <w:tab w:val="num" w:pos="585"/>
              </w:tabs>
              <w:ind w:left="18" w:firstLine="0"/>
              <w:rPr>
                <w:sz w:val="20"/>
                <w:szCs w:val="20"/>
              </w:rPr>
            </w:pPr>
            <w:r w:rsidRPr="009E2846">
              <w:rPr>
                <w:sz w:val="20"/>
                <w:szCs w:val="20"/>
              </w:rPr>
              <w:t>Основных образовательных программ начального общего, основного общего, среднего общего образования, шт. (с округлением)</w:t>
            </w:r>
          </w:p>
          <w:p w:rsidR="0058574E" w:rsidRPr="009E2846" w:rsidRDefault="0058574E" w:rsidP="00E7317C">
            <w:pPr>
              <w:rPr>
                <w:sz w:val="20"/>
                <w:szCs w:val="20"/>
              </w:rPr>
            </w:pPr>
            <w:r w:rsidRPr="009E2846">
              <w:rPr>
                <w:sz w:val="20"/>
                <w:szCs w:val="20"/>
              </w:rPr>
              <w:t>2.2. Каждой укрупненной группы профессий и специальностей среднего профессионального образования, шт. (с округлением)</w:t>
            </w:r>
          </w:p>
        </w:tc>
        <w:tc>
          <w:tcPr>
            <w:tcW w:w="746" w:type="pct"/>
          </w:tcPr>
          <w:p w:rsidR="0058574E" w:rsidRPr="009E2846" w:rsidRDefault="0058574E" w:rsidP="00E7317C">
            <w:pPr>
              <w:jc w:val="center"/>
              <w:rPr>
                <w:sz w:val="20"/>
                <w:szCs w:val="20"/>
              </w:rPr>
            </w:pPr>
          </w:p>
          <w:p w:rsidR="0058574E" w:rsidRPr="009E2846" w:rsidRDefault="0058574E" w:rsidP="00E7317C">
            <w:pPr>
              <w:rPr>
                <w:sz w:val="20"/>
                <w:szCs w:val="20"/>
              </w:rPr>
            </w:pPr>
          </w:p>
          <w:p w:rsidR="0058574E" w:rsidRPr="009E2846" w:rsidRDefault="0058574E" w:rsidP="00E7317C">
            <w:pPr>
              <w:jc w:val="center"/>
              <w:rPr>
                <w:sz w:val="20"/>
                <w:szCs w:val="20"/>
              </w:rPr>
            </w:pPr>
          </w:p>
          <w:p w:rsidR="0058574E" w:rsidRPr="009E2846" w:rsidRDefault="0058574E" w:rsidP="00E7317C">
            <w:pPr>
              <w:jc w:val="center"/>
              <w:rPr>
                <w:sz w:val="20"/>
                <w:szCs w:val="20"/>
              </w:rPr>
            </w:pPr>
          </w:p>
          <w:p w:rsidR="0058574E" w:rsidRPr="009E2846" w:rsidRDefault="0058574E" w:rsidP="00E7317C">
            <w:pPr>
              <w:jc w:val="center"/>
              <w:rPr>
                <w:sz w:val="20"/>
                <w:szCs w:val="20"/>
              </w:rPr>
            </w:pPr>
          </w:p>
          <w:p w:rsidR="0058574E" w:rsidRPr="009E2846" w:rsidRDefault="0058574E" w:rsidP="00E7317C">
            <w:pPr>
              <w:jc w:val="center"/>
              <w:rPr>
                <w:sz w:val="20"/>
                <w:szCs w:val="20"/>
              </w:rPr>
            </w:pPr>
          </w:p>
          <w:p w:rsidR="0058574E" w:rsidRPr="009E2846" w:rsidRDefault="0058574E" w:rsidP="00E7317C">
            <w:pPr>
              <w:jc w:val="center"/>
              <w:rPr>
                <w:sz w:val="20"/>
                <w:szCs w:val="20"/>
              </w:rPr>
            </w:pPr>
          </w:p>
          <w:p w:rsidR="0058574E" w:rsidRPr="009E2846" w:rsidRDefault="0058574E" w:rsidP="00E7317C">
            <w:pPr>
              <w:jc w:val="center"/>
              <w:rPr>
                <w:sz w:val="20"/>
                <w:szCs w:val="20"/>
              </w:rPr>
            </w:pPr>
            <w:r w:rsidRPr="009E2846">
              <w:rPr>
                <w:sz w:val="20"/>
                <w:szCs w:val="20"/>
              </w:rPr>
              <w:t>2</w:t>
            </w:r>
          </w:p>
          <w:p w:rsidR="0058574E" w:rsidRPr="009E2846" w:rsidRDefault="0058574E" w:rsidP="00E7317C">
            <w:pPr>
              <w:jc w:val="center"/>
              <w:rPr>
                <w:sz w:val="20"/>
                <w:szCs w:val="20"/>
              </w:rPr>
            </w:pPr>
          </w:p>
          <w:p w:rsidR="0058574E" w:rsidRPr="009E2846" w:rsidRDefault="0058574E" w:rsidP="00E7317C">
            <w:pPr>
              <w:jc w:val="center"/>
              <w:rPr>
                <w:sz w:val="20"/>
                <w:szCs w:val="20"/>
              </w:rPr>
            </w:pPr>
            <w:r w:rsidRPr="009E2846">
              <w:rPr>
                <w:sz w:val="20"/>
                <w:szCs w:val="20"/>
              </w:rPr>
              <w:t>1</w:t>
            </w:r>
          </w:p>
          <w:p w:rsidR="0058574E" w:rsidRPr="009E2846" w:rsidRDefault="0058574E" w:rsidP="00E7317C">
            <w:pPr>
              <w:jc w:val="center"/>
              <w:rPr>
                <w:sz w:val="20"/>
                <w:szCs w:val="20"/>
              </w:rPr>
            </w:pPr>
          </w:p>
        </w:tc>
        <w:tc>
          <w:tcPr>
            <w:tcW w:w="746" w:type="pct"/>
          </w:tcPr>
          <w:p w:rsidR="0058574E" w:rsidRPr="009E2846" w:rsidRDefault="0058574E" w:rsidP="00E7317C">
            <w:pPr>
              <w:jc w:val="center"/>
              <w:rPr>
                <w:sz w:val="20"/>
                <w:szCs w:val="20"/>
              </w:rPr>
            </w:pPr>
          </w:p>
          <w:p w:rsidR="0058574E" w:rsidRPr="009E2846" w:rsidRDefault="0058574E" w:rsidP="00E7317C">
            <w:pPr>
              <w:rPr>
                <w:sz w:val="20"/>
                <w:szCs w:val="20"/>
              </w:rPr>
            </w:pPr>
          </w:p>
          <w:p w:rsidR="0058574E" w:rsidRPr="009E2846" w:rsidRDefault="0058574E" w:rsidP="00E7317C">
            <w:pPr>
              <w:rPr>
                <w:sz w:val="20"/>
                <w:szCs w:val="20"/>
              </w:rPr>
            </w:pPr>
          </w:p>
          <w:p w:rsidR="0058574E" w:rsidRPr="009E2846" w:rsidRDefault="0058574E" w:rsidP="00E7317C">
            <w:pPr>
              <w:jc w:val="center"/>
              <w:rPr>
                <w:sz w:val="20"/>
                <w:szCs w:val="20"/>
              </w:rPr>
            </w:pPr>
          </w:p>
          <w:p w:rsidR="0058574E" w:rsidRPr="009E2846" w:rsidRDefault="0058574E" w:rsidP="00E7317C">
            <w:pPr>
              <w:jc w:val="center"/>
              <w:rPr>
                <w:sz w:val="20"/>
                <w:szCs w:val="20"/>
              </w:rPr>
            </w:pPr>
          </w:p>
          <w:p w:rsidR="0058574E" w:rsidRPr="009E2846" w:rsidRDefault="0058574E" w:rsidP="00E7317C">
            <w:pPr>
              <w:jc w:val="center"/>
              <w:rPr>
                <w:sz w:val="20"/>
                <w:szCs w:val="20"/>
              </w:rPr>
            </w:pPr>
          </w:p>
          <w:p w:rsidR="0058574E" w:rsidRPr="009E2846" w:rsidRDefault="0058574E" w:rsidP="00E7317C">
            <w:pPr>
              <w:jc w:val="center"/>
              <w:rPr>
                <w:sz w:val="20"/>
                <w:szCs w:val="20"/>
              </w:rPr>
            </w:pPr>
          </w:p>
          <w:p w:rsidR="0058574E" w:rsidRPr="009E2846" w:rsidRDefault="0058574E" w:rsidP="00E7317C">
            <w:pPr>
              <w:jc w:val="center"/>
              <w:rPr>
                <w:sz w:val="20"/>
                <w:szCs w:val="20"/>
              </w:rPr>
            </w:pPr>
            <w:r w:rsidRPr="009E2846">
              <w:rPr>
                <w:sz w:val="20"/>
                <w:szCs w:val="20"/>
              </w:rPr>
              <w:t>1</w:t>
            </w:r>
          </w:p>
          <w:p w:rsidR="0058574E" w:rsidRPr="009E2846" w:rsidRDefault="0058574E" w:rsidP="00E7317C">
            <w:pPr>
              <w:tabs>
                <w:tab w:val="left" w:pos="465"/>
                <w:tab w:val="center" w:pos="610"/>
              </w:tabs>
              <w:rPr>
                <w:sz w:val="20"/>
                <w:szCs w:val="20"/>
              </w:rPr>
            </w:pPr>
            <w:r w:rsidRPr="009E2846">
              <w:rPr>
                <w:sz w:val="20"/>
                <w:szCs w:val="20"/>
              </w:rPr>
              <w:tab/>
            </w:r>
          </w:p>
          <w:p w:rsidR="0058574E" w:rsidRPr="009E2846" w:rsidRDefault="0058574E" w:rsidP="00E7317C">
            <w:pPr>
              <w:tabs>
                <w:tab w:val="left" w:pos="465"/>
                <w:tab w:val="center" w:pos="610"/>
              </w:tabs>
              <w:jc w:val="center"/>
              <w:rPr>
                <w:sz w:val="20"/>
                <w:szCs w:val="20"/>
              </w:rPr>
            </w:pPr>
            <w:r w:rsidRPr="009E2846">
              <w:rPr>
                <w:sz w:val="20"/>
                <w:szCs w:val="20"/>
              </w:rPr>
              <w:t>1</w:t>
            </w:r>
          </w:p>
        </w:tc>
        <w:tc>
          <w:tcPr>
            <w:tcW w:w="746" w:type="pct"/>
          </w:tcPr>
          <w:p w:rsidR="0058574E" w:rsidRPr="009E2846" w:rsidRDefault="0058574E" w:rsidP="00E7317C">
            <w:pPr>
              <w:jc w:val="center"/>
              <w:rPr>
                <w:sz w:val="20"/>
                <w:szCs w:val="20"/>
              </w:rPr>
            </w:pPr>
          </w:p>
          <w:p w:rsidR="0058574E" w:rsidRPr="009E2846" w:rsidRDefault="0058574E" w:rsidP="00E7317C">
            <w:pPr>
              <w:jc w:val="center"/>
              <w:rPr>
                <w:sz w:val="20"/>
                <w:szCs w:val="20"/>
              </w:rPr>
            </w:pPr>
          </w:p>
          <w:p w:rsidR="0058574E" w:rsidRPr="009E2846" w:rsidRDefault="0058574E" w:rsidP="00E7317C">
            <w:pPr>
              <w:jc w:val="center"/>
              <w:rPr>
                <w:sz w:val="20"/>
                <w:szCs w:val="20"/>
              </w:rPr>
            </w:pPr>
          </w:p>
          <w:p w:rsidR="0058574E" w:rsidRPr="009E2846" w:rsidRDefault="0058574E" w:rsidP="00E7317C">
            <w:pPr>
              <w:jc w:val="center"/>
              <w:rPr>
                <w:sz w:val="20"/>
                <w:szCs w:val="20"/>
              </w:rPr>
            </w:pPr>
          </w:p>
          <w:p w:rsidR="0058574E" w:rsidRPr="009E2846" w:rsidRDefault="0058574E" w:rsidP="00E7317C">
            <w:pPr>
              <w:jc w:val="center"/>
              <w:rPr>
                <w:sz w:val="20"/>
                <w:szCs w:val="20"/>
              </w:rPr>
            </w:pPr>
          </w:p>
          <w:p w:rsidR="0058574E" w:rsidRPr="009E2846" w:rsidRDefault="0058574E" w:rsidP="00E7317C">
            <w:pPr>
              <w:jc w:val="center"/>
              <w:rPr>
                <w:sz w:val="20"/>
                <w:szCs w:val="20"/>
              </w:rPr>
            </w:pPr>
          </w:p>
          <w:p w:rsidR="0058574E" w:rsidRPr="009E2846" w:rsidRDefault="0058574E" w:rsidP="00E7317C">
            <w:pPr>
              <w:jc w:val="center"/>
              <w:rPr>
                <w:sz w:val="20"/>
                <w:szCs w:val="20"/>
              </w:rPr>
            </w:pPr>
          </w:p>
          <w:p w:rsidR="0058574E" w:rsidRPr="009E2846" w:rsidRDefault="0058574E" w:rsidP="00E7317C">
            <w:pPr>
              <w:jc w:val="center"/>
              <w:rPr>
                <w:sz w:val="20"/>
                <w:szCs w:val="20"/>
              </w:rPr>
            </w:pPr>
            <w:r w:rsidRPr="009E2846">
              <w:rPr>
                <w:sz w:val="20"/>
                <w:szCs w:val="20"/>
              </w:rPr>
              <w:t>2</w:t>
            </w:r>
          </w:p>
          <w:p w:rsidR="0058574E" w:rsidRPr="009E2846" w:rsidRDefault="0058574E" w:rsidP="00E7317C">
            <w:pPr>
              <w:jc w:val="center"/>
              <w:rPr>
                <w:sz w:val="20"/>
                <w:szCs w:val="20"/>
              </w:rPr>
            </w:pPr>
          </w:p>
          <w:p w:rsidR="0058574E" w:rsidRPr="009E2846" w:rsidRDefault="0058574E" w:rsidP="00E7317C">
            <w:pPr>
              <w:jc w:val="center"/>
              <w:rPr>
                <w:sz w:val="20"/>
                <w:szCs w:val="20"/>
              </w:rPr>
            </w:pPr>
            <w:r w:rsidRPr="009E2846">
              <w:rPr>
                <w:sz w:val="20"/>
                <w:szCs w:val="20"/>
              </w:rPr>
              <w:t>1</w:t>
            </w:r>
          </w:p>
        </w:tc>
      </w:tr>
      <w:tr w:rsidR="0058574E" w:rsidRPr="009E2846" w:rsidTr="00E7317C">
        <w:trPr>
          <w:trHeight w:val="554"/>
        </w:trPr>
        <w:tc>
          <w:tcPr>
            <w:tcW w:w="2761" w:type="pct"/>
          </w:tcPr>
          <w:p w:rsidR="0058574E" w:rsidRPr="009E2846" w:rsidRDefault="0058574E" w:rsidP="00E7317C">
            <w:pPr>
              <w:numPr>
                <w:ilvl w:val="0"/>
                <w:numId w:val="4"/>
              </w:numPr>
              <w:tabs>
                <w:tab w:val="clear" w:pos="705"/>
                <w:tab w:val="num" w:pos="585"/>
              </w:tabs>
              <w:ind w:left="18" w:firstLine="0"/>
              <w:rPr>
                <w:sz w:val="20"/>
                <w:szCs w:val="20"/>
              </w:rPr>
            </w:pPr>
            <w:r w:rsidRPr="009E2846">
              <w:rPr>
                <w:sz w:val="20"/>
                <w:szCs w:val="20"/>
              </w:rPr>
              <w:t>Количество переоформленных свидетельств в других случаях, ед.  (методом усреднения за три предшествующих года) (с округлением)</w:t>
            </w:r>
          </w:p>
        </w:tc>
        <w:tc>
          <w:tcPr>
            <w:tcW w:w="746" w:type="pct"/>
          </w:tcPr>
          <w:p w:rsidR="0058574E" w:rsidRPr="009E2846" w:rsidRDefault="0058574E" w:rsidP="00E7317C">
            <w:pPr>
              <w:jc w:val="center"/>
              <w:rPr>
                <w:sz w:val="20"/>
                <w:szCs w:val="20"/>
              </w:rPr>
            </w:pPr>
          </w:p>
          <w:p w:rsidR="0058574E" w:rsidRPr="009E2846" w:rsidRDefault="0058574E" w:rsidP="00E7317C">
            <w:pPr>
              <w:jc w:val="center"/>
              <w:rPr>
                <w:sz w:val="20"/>
                <w:szCs w:val="20"/>
              </w:rPr>
            </w:pPr>
            <w:r w:rsidRPr="009E2846">
              <w:rPr>
                <w:sz w:val="20"/>
                <w:szCs w:val="20"/>
              </w:rPr>
              <w:t>17</w:t>
            </w:r>
          </w:p>
        </w:tc>
        <w:tc>
          <w:tcPr>
            <w:tcW w:w="746" w:type="pct"/>
          </w:tcPr>
          <w:p w:rsidR="0058574E" w:rsidRPr="009E2846" w:rsidRDefault="0058574E" w:rsidP="00E7317C">
            <w:pPr>
              <w:jc w:val="center"/>
              <w:rPr>
                <w:sz w:val="20"/>
                <w:szCs w:val="20"/>
              </w:rPr>
            </w:pPr>
          </w:p>
          <w:p w:rsidR="0058574E" w:rsidRPr="009E2846" w:rsidRDefault="0058574E" w:rsidP="00E7317C">
            <w:pPr>
              <w:jc w:val="center"/>
              <w:rPr>
                <w:sz w:val="20"/>
                <w:szCs w:val="20"/>
              </w:rPr>
            </w:pPr>
            <w:r w:rsidRPr="009E2846">
              <w:rPr>
                <w:sz w:val="20"/>
                <w:szCs w:val="20"/>
              </w:rPr>
              <w:t>15</w:t>
            </w:r>
          </w:p>
        </w:tc>
        <w:tc>
          <w:tcPr>
            <w:tcW w:w="746" w:type="pct"/>
          </w:tcPr>
          <w:p w:rsidR="0058574E" w:rsidRPr="009E2846" w:rsidRDefault="0058574E" w:rsidP="00E7317C">
            <w:pPr>
              <w:jc w:val="center"/>
              <w:rPr>
                <w:sz w:val="20"/>
                <w:szCs w:val="20"/>
              </w:rPr>
            </w:pPr>
          </w:p>
          <w:p w:rsidR="0058574E" w:rsidRPr="009E2846" w:rsidRDefault="0058574E" w:rsidP="00E7317C">
            <w:pPr>
              <w:jc w:val="center"/>
              <w:rPr>
                <w:sz w:val="20"/>
                <w:szCs w:val="20"/>
              </w:rPr>
            </w:pPr>
            <w:r w:rsidRPr="009E2846">
              <w:rPr>
                <w:sz w:val="20"/>
                <w:szCs w:val="20"/>
              </w:rPr>
              <w:t>16</w:t>
            </w:r>
          </w:p>
        </w:tc>
      </w:tr>
      <w:tr w:rsidR="0058574E" w:rsidRPr="009E2846" w:rsidTr="00E7317C">
        <w:trPr>
          <w:trHeight w:val="323"/>
        </w:trPr>
        <w:tc>
          <w:tcPr>
            <w:tcW w:w="2761" w:type="pct"/>
          </w:tcPr>
          <w:p w:rsidR="0058574E" w:rsidRPr="009E2846" w:rsidRDefault="0058574E" w:rsidP="00E7317C">
            <w:pPr>
              <w:tabs>
                <w:tab w:val="num" w:pos="585"/>
              </w:tabs>
              <w:ind w:left="18"/>
              <w:rPr>
                <w:sz w:val="20"/>
                <w:szCs w:val="20"/>
              </w:rPr>
            </w:pPr>
            <w:r w:rsidRPr="009E2846">
              <w:rPr>
                <w:sz w:val="20"/>
                <w:szCs w:val="20"/>
              </w:rPr>
              <w:t xml:space="preserve">4. Количество временных свидетельств, ед. (методом усреднения за три предшествующих года) </w:t>
            </w:r>
          </w:p>
        </w:tc>
        <w:tc>
          <w:tcPr>
            <w:tcW w:w="746" w:type="pct"/>
          </w:tcPr>
          <w:p w:rsidR="0058574E" w:rsidRPr="009E2846" w:rsidRDefault="0058574E" w:rsidP="00E7317C">
            <w:pPr>
              <w:jc w:val="center"/>
              <w:rPr>
                <w:sz w:val="20"/>
                <w:szCs w:val="20"/>
              </w:rPr>
            </w:pPr>
            <w:r w:rsidRPr="009E2846">
              <w:rPr>
                <w:sz w:val="20"/>
                <w:szCs w:val="20"/>
              </w:rPr>
              <w:t>0</w:t>
            </w:r>
          </w:p>
        </w:tc>
        <w:tc>
          <w:tcPr>
            <w:tcW w:w="746" w:type="pct"/>
          </w:tcPr>
          <w:p w:rsidR="0058574E" w:rsidRPr="009E2846" w:rsidRDefault="0058574E" w:rsidP="00E7317C">
            <w:pPr>
              <w:jc w:val="center"/>
              <w:rPr>
                <w:sz w:val="20"/>
                <w:szCs w:val="20"/>
              </w:rPr>
            </w:pPr>
            <w:r w:rsidRPr="009E2846">
              <w:rPr>
                <w:sz w:val="20"/>
                <w:szCs w:val="20"/>
              </w:rPr>
              <w:t>0</w:t>
            </w:r>
          </w:p>
        </w:tc>
        <w:tc>
          <w:tcPr>
            <w:tcW w:w="746" w:type="pct"/>
          </w:tcPr>
          <w:p w:rsidR="0058574E" w:rsidRPr="009E2846" w:rsidRDefault="0058574E" w:rsidP="00E7317C">
            <w:pPr>
              <w:jc w:val="center"/>
              <w:rPr>
                <w:sz w:val="20"/>
                <w:szCs w:val="20"/>
              </w:rPr>
            </w:pPr>
            <w:r w:rsidRPr="009E2846">
              <w:rPr>
                <w:sz w:val="20"/>
                <w:szCs w:val="20"/>
              </w:rPr>
              <w:t>0</w:t>
            </w:r>
          </w:p>
        </w:tc>
      </w:tr>
      <w:tr w:rsidR="0058574E" w:rsidRPr="009E2846" w:rsidTr="00E7317C">
        <w:trPr>
          <w:trHeight w:val="554"/>
        </w:trPr>
        <w:tc>
          <w:tcPr>
            <w:tcW w:w="2761" w:type="pct"/>
            <w:tcBorders>
              <w:bottom w:val="single" w:sz="4" w:space="0" w:color="auto"/>
            </w:tcBorders>
          </w:tcPr>
          <w:p w:rsidR="0058574E" w:rsidRPr="009E2846" w:rsidRDefault="0058574E" w:rsidP="00E7317C">
            <w:pPr>
              <w:tabs>
                <w:tab w:val="num" w:pos="585"/>
              </w:tabs>
              <w:spacing w:after="200" w:line="276" w:lineRule="auto"/>
              <w:ind w:left="18"/>
              <w:rPr>
                <w:sz w:val="20"/>
                <w:szCs w:val="20"/>
              </w:rPr>
            </w:pPr>
            <w:r w:rsidRPr="009E2846">
              <w:rPr>
                <w:sz w:val="20"/>
                <w:szCs w:val="20"/>
              </w:rPr>
              <w:t>5. Размер госпошлины, тыс. руб.</w:t>
            </w:r>
          </w:p>
          <w:p w:rsidR="0058574E" w:rsidRPr="009E2846" w:rsidRDefault="0058574E" w:rsidP="00E7317C">
            <w:pPr>
              <w:numPr>
                <w:ilvl w:val="1"/>
                <w:numId w:val="2"/>
              </w:numPr>
              <w:ind w:left="705" w:hanging="360"/>
              <w:rPr>
                <w:sz w:val="20"/>
                <w:szCs w:val="20"/>
              </w:rPr>
            </w:pPr>
            <w:r w:rsidRPr="009E2846">
              <w:rPr>
                <w:sz w:val="20"/>
                <w:szCs w:val="20"/>
              </w:rPr>
              <w:t>5.1.за выдачу свидетельств  по основным образовательным программам  начального общего, основного общего, среднего общего образования, тыс. руб.</w:t>
            </w:r>
          </w:p>
          <w:p w:rsidR="0058574E" w:rsidRPr="009E2846" w:rsidRDefault="0058574E" w:rsidP="00E7317C">
            <w:pPr>
              <w:numPr>
                <w:ilvl w:val="1"/>
                <w:numId w:val="2"/>
              </w:numPr>
              <w:ind w:left="705" w:hanging="360"/>
              <w:rPr>
                <w:sz w:val="20"/>
                <w:szCs w:val="20"/>
              </w:rPr>
            </w:pPr>
            <w:r w:rsidRPr="009E2846">
              <w:rPr>
                <w:sz w:val="20"/>
                <w:szCs w:val="20"/>
              </w:rPr>
              <w:t xml:space="preserve"> 5.2. за выдачу свидетельств по основным образовательным программам среднего профессионального образования, тыс. руб.</w:t>
            </w:r>
          </w:p>
          <w:p w:rsidR="0058574E" w:rsidRPr="009E2846" w:rsidRDefault="0058574E" w:rsidP="00E7317C">
            <w:pPr>
              <w:numPr>
                <w:ilvl w:val="1"/>
                <w:numId w:val="2"/>
              </w:numPr>
              <w:tabs>
                <w:tab w:val="num" w:pos="585"/>
              </w:tabs>
              <w:ind w:left="18"/>
              <w:rPr>
                <w:sz w:val="20"/>
                <w:szCs w:val="20"/>
              </w:rPr>
            </w:pPr>
            <w:r w:rsidRPr="009E2846">
              <w:rPr>
                <w:sz w:val="20"/>
                <w:szCs w:val="20"/>
              </w:rPr>
              <w:t>5.3. за переоформление свидетельств, тыс. руб.</w:t>
            </w:r>
          </w:p>
          <w:p w:rsidR="0058574E" w:rsidRPr="009E2846" w:rsidRDefault="0058574E" w:rsidP="00E7317C">
            <w:pPr>
              <w:numPr>
                <w:ilvl w:val="1"/>
                <w:numId w:val="2"/>
              </w:numPr>
              <w:tabs>
                <w:tab w:val="num" w:pos="585"/>
              </w:tabs>
              <w:ind w:left="18"/>
              <w:rPr>
                <w:sz w:val="20"/>
                <w:szCs w:val="20"/>
              </w:rPr>
            </w:pPr>
            <w:r w:rsidRPr="009E2846">
              <w:rPr>
                <w:sz w:val="20"/>
                <w:szCs w:val="20"/>
              </w:rPr>
              <w:t>5.3.1. основных образовательных программ начального общего, основного общего, среднего общего образования, тыс. руб.;</w:t>
            </w:r>
          </w:p>
          <w:p w:rsidR="0058574E" w:rsidRPr="009E2846" w:rsidRDefault="0058574E" w:rsidP="00E7317C">
            <w:pPr>
              <w:numPr>
                <w:ilvl w:val="1"/>
                <w:numId w:val="2"/>
              </w:numPr>
              <w:tabs>
                <w:tab w:val="num" w:pos="585"/>
              </w:tabs>
              <w:ind w:left="18"/>
              <w:rPr>
                <w:sz w:val="20"/>
                <w:szCs w:val="20"/>
              </w:rPr>
            </w:pPr>
            <w:r w:rsidRPr="009E2846">
              <w:rPr>
                <w:sz w:val="20"/>
                <w:szCs w:val="20"/>
              </w:rPr>
              <w:t>5.3.2. каждой укрупненной группы профессий и специальностей среднего профессионального образования, тыс. руб.</w:t>
            </w:r>
          </w:p>
          <w:p w:rsidR="0058574E" w:rsidRPr="009E2846" w:rsidRDefault="0058574E" w:rsidP="00E7317C">
            <w:pPr>
              <w:numPr>
                <w:ilvl w:val="1"/>
                <w:numId w:val="2"/>
              </w:numPr>
              <w:tabs>
                <w:tab w:val="num" w:pos="585"/>
              </w:tabs>
              <w:ind w:left="18"/>
              <w:rPr>
                <w:sz w:val="20"/>
                <w:szCs w:val="20"/>
              </w:rPr>
            </w:pPr>
            <w:r w:rsidRPr="009E2846">
              <w:rPr>
                <w:sz w:val="20"/>
                <w:szCs w:val="20"/>
              </w:rPr>
              <w:t>5.4. за переоформление свидетельств в других случаях, тыс. руб.</w:t>
            </w:r>
          </w:p>
          <w:p w:rsidR="0058574E" w:rsidRPr="009E2846" w:rsidRDefault="0058574E" w:rsidP="00E7317C">
            <w:pPr>
              <w:numPr>
                <w:ilvl w:val="1"/>
                <w:numId w:val="2"/>
              </w:numPr>
              <w:tabs>
                <w:tab w:val="num" w:pos="585"/>
              </w:tabs>
              <w:ind w:left="18"/>
              <w:rPr>
                <w:sz w:val="20"/>
                <w:szCs w:val="20"/>
              </w:rPr>
            </w:pPr>
            <w:r w:rsidRPr="009E2846">
              <w:rPr>
                <w:sz w:val="20"/>
                <w:szCs w:val="20"/>
              </w:rPr>
              <w:t>5.5. за выдачу временного свидетельства, тыс. руб.</w:t>
            </w:r>
          </w:p>
        </w:tc>
        <w:tc>
          <w:tcPr>
            <w:tcW w:w="746" w:type="pct"/>
            <w:tcBorders>
              <w:bottom w:val="single" w:sz="4" w:space="0" w:color="auto"/>
            </w:tcBorders>
          </w:tcPr>
          <w:p w:rsidR="0058574E" w:rsidRPr="009E2846" w:rsidRDefault="0058574E" w:rsidP="00E7317C">
            <w:pPr>
              <w:jc w:val="center"/>
              <w:rPr>
                <w:sz w:val="20"/>
                <w:szCs w:val="20"/>
              </w:rPr>
            </w:pPr>
          </w:p>
          <w:p w:rsidR="0058574E" w:rsidRPr="009E2846" w:rsidRDefault="0058574E" w:rsidP="00E7317C">
            <w:pPr>
              <w:jc w:val="center"/>
              <w:rPr>
                <w:sz w:val="20"/>
                <w:szCs w:val="20"/>
              </w:rPr>
            </w:pPr>
          </w:p>
          <w:p w:rsidR="0058574E" w:rsidRPr="009E2846" w:rsidRDefault="0058574E" w:rsidP="00E7317C">
            <w:pPr>
              <w:jc w:val="center"/>
              <w:rPr>
                <w:sz w:val="20"/>
                <w:szCs w:val="20"/>
              </w:rPr>
            </w:pPr>
          </w:p>
          <w:p w:rsidR="0058574E" w:rsidRPr="009E2846" w:rsidRDefault="0058574E" w:rsidP="00E7317C">
            <w:pPr>
              <w:jc w:val="center"/>
              <w:rPr>
                <w:sz w:val="20"/>
                <w:szCs w:val="20"/>
              </w:rPr>
            </w:pPr>
            <w:r w:rsidRPr="009E2846">
              <w:rPr>
                <w:sz w:val="20"/>
                <w:szCs w:val="20"/>
              </w:rPr>
              <w:t>15,0</w:t>
            </w:r>
          </w:p>
          <w:p w:rsidR="0058574E" w:rsidRPr="009E2846" w:rsidRDefault="0058574E" w:rsidP="00E7317C">
            <w:pPr>
              <w:jc w:val="center"/>
              <w:rPr>
                <w:sz w:val="20"/>
                <w:szCs w:val="20"/>
              </w:rPr>
            </w:pPr>
          </w:p>
          <w:p w:rsidR="0058574E" w:rsidRPr="009E2846" w:rsidRDefault="0058574E" w:rsidP="00E7317C">
            <w:pPr>
              <w:jc w:val="center"/>
              <w:rPr>
                <w:sz w:val="20"/>
                <w:szCs w:val="20"/>
              </w:rPr>
            </w:pPr>
          </w:p>
          <w:p w:rsidR="0058574E" w:rsidRPr="009E2846" w:rsidRDefault="0058574E" w:rsidP="00E7317C">
            <w:pPr>
              <w:jc w:val="center"/>
              <w:rPr>
                <w:sz w:val="20"/>
                <w:szCs w:val="20"/>
              </w:rPr>
            </w:pPr>
            <w:r w:rsidRPr="009E2846">
              <w:rPr>
                <w:sz w:val="20"/>
                <w:szCs w:val="20"/>
              </w:rPr>
              <w:t>35,0</w:t>
            </w:r>
          </w:p>
          <w:p w:rsidR="0058574E" w:rsidRPr="009E2846" w:rsidRDefault="0058574E" w:rsidP="00E7317C">
            <w:pPr>
              <w:jc w:val="center"/>
              <w:rPr>
                <w:sz w:val="20"/>
                <w:szCs w:val="20"/>
              </w:rPr>
            </w:pPr>
          </w:p>
          <w:p w:rsidR="0058574E" w:rsidRPr="009E2846" w:rsidRDefault="0058574E" w:rsidP="00E7317C">
            <w:pPr>
              <w:jc w:val="center"/>
              <w:rPr>
                <w:sz w:val="20"/>
                <w:szCs w:val="20"/>
              </w:rPr>
            </w:pPr>
          </w:p>
          <w:p w:rsidR="0058574E" w:rsidRPr="009E2846" w:rsidRDefault="0058574E" w:rsidP="00E7317C">
            <w:pPr>
              <w:jc w:val="center"/>
              <w:rPr>
                <w:sz w:val="20"/>
                <w:szCs w:val="20"/>
              </w:rPr>
            </w:pPr>
          </w:p>
          <w:p w:rsidR="0058574E" w:rsidRPr="009E2846" w:rsidRDefault="0058574E" w:rsidP="00E7317C">
            <w:pPr>
              <w:jc w:val="center"/>
              <w:rPr>
                <w:sz w:val="20"/>
                <w:szCs w:val="20"/>
              </w:rPr>
            </w:pPr>
          </w:p>
          <w:p w:rsidR="0058574E" w:rsidRPr="009E2846" w:rsidRDefault="0058574E" w:rsidP="00E7317C">
            <w:pPr>
              <w:jc w:val="center"/>
              <w:rPr>
                <w:sz w:val="20"/>
                <w:szCs w:val="20"/>
              </w:rPr>
            </w:pPr>
            <w:r w:rsidRPr="009E2846">
              <w:rPr>
                <w:sz w:val="20"/>
                <w:szCs w:val="20"/>
              </w:rPr>
              <w:t>15,0</w:t>
            </w:r>
          </w:p>
          <w:p w:rsidR="0058574E" w:rsidRPr="009E2846" w:rsidRDefault="0058574E" w:rsidP="00E7317C">
            <w:pPr>
              <w:jc w:val="center"/>
              <w:rPr>
                <w:sz w:val="20"/>
                <w:szCs w:val="20"/>
              </w:rPr>
            </w:pPr>
          </w:p>
          <w:p w:rsidR="0058574E" w:rsidRPr="009E2846" w:rsidRDefault="0058574E" w:rsidP="00E7317C">
            <w:pPr>
              <w:jc w:val="center"/>
              <w:rPr>
                <w:sz w:val="20"/>
                <w:szCs w:val="20"/>
              </w:rPr>
            </w:pPr>
          </w:p>
          <w:p w:rsidR="0058574E" w:rsidRPr="009E2846" w:rsidRDefault="0058574E" w:rsidP="00E7317C">
            <w:pPr>
              <w:jc w:val="center"/>
              <w:rPr>
                <w:sz w:val="20"/>
                <w:szCs w:val="20"/>
              </w:rPr>
            </w:pPr>
            <w:r w:rsidRPr="009E2846">
              <w:rPr>
                <w:sz w:val="20"/>
                <w:szCs w:val="20"/>
              </w:rPr>
              <w:t>35,0</w:t>
            </w:r>
          </w:p>
          <w:p w:rsidR="0058574E" w:rsidRPr="009E2846" w:rsidRDefault="0058574E" w:rsidP="00E7317C">
            <w:pPr>
              <w:jc w:val="center"/>
              <w:rPr>
                <w:sz w:val="20"/>
                <w:szCs w:val="20"/>
              </w:rPr>
            </w:pPr>
          </w:p>
          <w:p w:rsidR="0058574E" w:rsidRPr="009E2846" w:rsidRDefault="0058574E" w:rsidP="00E7317C">
            <w:pPr>
              <w:jc w:val="center"/>
              <w:rPr>
                <w:sz w:val="20"/>
                <w:szCs w:val="20"/>
              </w:rPr>
            </w:pPr>
            <w:r w:rsidRPr="009E2846">
              <w:rPr>
                <w:sz w:val="20"/>
                <w:szCs w:val="20"/>
              </w:rPr>
              <w:t>3,0</w:t>
            </w:r>
          </w:p>
          <w:p w:rsidR="0058574E" w:rsidRPr="009E2846" w:rsidRDefault="0058574E" w:rsidP="00E7317C">
            <w:pPr>
              <w:jc w:val="center"/>
              <w:rPr>
                <w:sz w:val="20"/>
                <w:szCs w:val="20"/>
              </w:rPr>
            </w:pPr>
          </w:p>
          <w:p w:rsidR="0058574E" w:rsidRPr="009E2846" w:rsidRDefault="0058574E" w:rsidP="00E7317C">
            <w:pPr>
              <w:jc w:val="center"/>
              <w:rPr>
                <w:sz w:val="20"/>
                <w:szCs w:val="20"/>
              </w:rPr>
            </w:pPr>
            <w:r w:rsidRPr="009E2846">
              <w:rPr>
                <w:sz w:val="20"/>
                <w:szCs w:val="20"/>
              </w:rPr>
              <w:t>3,0</w:t>
            </w:r>
          </w:p>
        </w:tc>
        <w:tc>
          <w:tcPr>
            <w:tcW w:w="746" w:type="pct"/>
            <w:tcBorders>
              <w:bottom w:val="single" w:sz="4" w:space="0" w:color="auto"/>
            </w:tcBorders>
          </w:tcPr>
          <w:p w:rsidR="0058574E" w:rsidRPr="009E2846" w:rsidRDefault="0058574E" w:rsidP="00E7317C">
            <w:pPr>
              <w:jc w:val="center"/>
              <w:rPr>
                <w:sz w:val="20"/>
                <w:szCs w:val="20"/>
              </w:rPr>
            </w:pPr>
          </w:p>
          <w:p w:rsidR="0058574E" w:rsidRPr="009E2846" w:rsidRDefault="0058574E" w:rsidP="00E7317C">
            <w:pPr>
              <w:jc w:val="center"/>
              <w:rPr>
                <w:sz w:val="20"/>
                <w:szCs w:val="20"/>
              </w:rPr>
            </w:pPr>
          </w:p>
          <w:p w:rsidR="0058574E" w:rsidRPr="009E2846" w:rsidRDefault="0058574E" w:rsidP="00E7317C">
            <w:pPr>
              <w:jc w:val="center"/>
              <w:rPr>
                <w:sz w:val="20"/>
                <w:szCs w:val="20"/>
              </w:rPr>
            </w:pPr>
          </w:p>
          <w:p w:rsidR="0058574E" w:rsidRPr="009E2846" w:rsidRDefault="0058574E" w:rsidP="00E7317C">
            <w:pPr>
              <w:jc w:val="center"/>
              <w:rPr>
                <w:sz w:val="20"/>
                <w:szCs w:val="20"/>
              </w:rPr>
            </w:pPr>
            <w:r w:rsidRPr="009E2846">
              <w:rPr>
                <w:sz w:val="20"/>
                <w:szCs w:val="20"/>
              </w:rPr>
              <w:t>15,0</w:t>
            </w:r>
          </w:p>
          <w:p w:rsidR="0058574E" w:rsidRPr="009E2846" w:rsidRDefault="0058574E" w:rsidP="00E7317C">
            <w:pPr>
              <w:jc w:val="center"/>
              <w:rPr>
                <w:sz w:val="20"/>
                <w:szCs w:val="20"/>
              </w:rPr>
            </w:pPr>
          </w:p>
          <w:p w:rsidR="0058574E" w:rsidRPr="009E2846" w:rsidRDefault="0058574E" w:rsidP="00E7317C">
            <w:pPr>
              <w:jc w:val="center"/>
              <w:rPr>
                <w:sz w:val="20"/>
                <w:szCs w:val="20"/>
              </w:rPr>
            </w:pPr>
          </w:p>
          <w:p w:rsidR="0058574E" w:rsidRPr="009E2846" w:rsidRDefault="0058574E" w:rsidP="00E7317C">
            <w:pPr>
              <w:jc w:val="center"/>
              <w:rPr>
                <w:sz w:val="20"/>
                <w:szCs w:val="20"/>
              </w:rPr>
            </w:pPr>
            <w:r w:rsidRPr="009E2846">
              <w:rPr>
                <w:sz w:val="20"/>
                <w:szCs w:val="20"/>
              </w:rPr>
              <w:t>35,0</w:t>
            </w:r>
          </w:p>
          <w:p w:rsidR="0058574E" w:rsidRPr="009E2846" w:rsidRDefault="0058574E" w:rsidP="00E7317C">
            <w:pPr>
              <w:jc w:val="center"/>
              <w:rPr>
                <w:sz w:val="20"/>
                <w:szCs w:val="20"/>
              </w:rPr>
            </w:pPr>
          </w:p>
          <w:p w:rsidR="0058574E" w:rsidRPr="009E2846" w:rsidRDefault="0058574E" w:rsidP="00E7317C">
            <w:pPr>
              <w:jc w:val="center"/>
              <w:rPr>
                <w:sz w:val="20"/>
                <w:szCs w:val="20"/>
              </w:rPr>
            </w:pPr>
          </w:p>
          <w:p w:rsidR="0058574E" w:rsidRPr="009E2846" w:rsidRDefault="0058574E" w:rsidP="00E7317C">
            <w:pPr>
              <w:jc w:val="center"/>
              <w:rPr>
                <w:sz w:val="20"/>
                <w:szCs w:val="20"/>
              </w:rPr>
            </w:pPr>
          </w:p>
          <w:p w:rsidR="0058574E" w:rsidRPr="009E2846" w:rsidRDefault="0058574E" w:rsidP="00E7317C">
            <w:pPr>
              <w:jc w:val="center"/>
              <w:rPr>
                <w:sz w:val="20"/>
                <w:szCs w:val="20"/>
              </w:rPr>
            </w:pPr>
          </w:p>
          <w:p w:rsidR="0058574E" w:rsidRPr="009E2846" w:rsidRDefault="0058574E" w:rsidP="00E7317C">
            <w:pPr>
              <w:jc w:val="center"/>
              <w:rPr>
                <w:sz w:val="20"/>
                <w:szCs w:val="20"/>
              </w:rPr>
            </w:pPr>
            <w:r w:rsidRPr="009E2846">
              <w:rPr>
                <w:sz w:val="20"/>
                <w:szCs w:val="20"/>
              </w:rPr>
              <w:t>15,0</w:t>
            </w:r>
          </w:p>
          <w:p w:rsidR="0058574E" w:rsidRPr="009E2846" w:rsidRDefault="0058574E" w:rsidP="00E7317C">
            <w:pPr>
              <w:jc w:val="center"/>
              <w:rPr>
                <w:sz w:val="20"/>
                <w:szCs w:val="20"/>
              </w:rPr>
            </w:pPr>
          </w:p>
          <w:p w:rsidR="0058574E" w:rsidRPr="009E2846" w:rsidRDefault="0058574E" w:rsidP="00E7317C">
            <w:pPr>
              <w:jc w:val="center"/>
              <w:rPr>
                <w:sz w:val="20"/>
                <w:szCs w:val="20"/>
              </w:rPr>
            </w:pPr>
          </w:p>
          <w:p w:rsidR="0058574E" w:rsidRPr="009E2846" w:rsidRDefault="0058574E" w:rsidP="00E7317C">
            <w:pPr>
              <w:jc w:val="center"/>
              <w:rPr>
                <w:sz w:val="20"/>
                <w:szCs w:val="20"/>
              </w:rPr>
            </w:pPr>
            <w:r w:rsidRPr="009E2846">
              <w:rPr>
                <w:sz w:val="20"/>
                <w:szCs w:val="20"/>
              </w:rPr>
              <w:t>35,0</w:t>
            </w:r>
          </w:p>
          <w:p w:rsidR="0058574E" w:rsidRPr="009E2846" w:rsidRDefault="0058574E" w:rsidP="00E7317C">
            <w:pPr>
              <w:jc w:val="center"/>
              <w:rPr>
                <w:sz w:val="20"/>
                <w:szCs w:val="20"/>
              </w:rPr>
            </w:pPr>
          </w:p>
          <w:p w:rsidR="0058574E" w:rsidRPr="009E2846" w:rsidRDefault="0058574E" w:rsidP="00E7317C">
            <w:pPr>
              <w:jc w:val="center"/>
              <w:rPr>
                <w:sz w:val="20"/>
                <w:szCs w:val="20"/>
              </w:rPr>
            </w:pPr>
            <w:r w:rsidRPr="009E2846">
              <w:rPr>
                <w:sz w:val="20"/>
                <w:szCs w:val="20"/>
              </w:rPr>
              <w:t>3,0</w:t>
            </w:r>
          </w:p>
          <w:p w:rsidR="0058574E" w:rsidRPr="009E2846" w:rsidRDefault="0058574E" w:rsidP="00E7317C">
            <w:pPr>
              <w:jc w:val="center"/>
              <w:rPr>
                <w:sz w:val="20"/>
                <w:szCs w:val="20"/>
              </w:rPr>
            </w:pPr>
          </w:p>
          <w:p w:rsidR="0058574E" w:rsidRPr="009E2846" w:rsidRDefault="0058574E" w:rsidP="00E7317C">
            <w:pPr>
              <w:jc w:val="center"/>
              <w:rPr>
                <w:sz w:val="20"/>
                <w:szCs w:val="20"/>
              </w:rPr>
            </w:pPr>
            <w:r w:rsidRPr="009E2846">
              <w:rPr>
                <w:sz w:val="20"/>
                <w:szCs w:val="20"/>
              </w:rPr>
              <w:t>3,0</w:t>
            </w:r>
          </w:p>
        </w:tc>
        <w:tc>
          <w:tcPr>
            <w:tcW w:w="746" w:type="pct"/>
            <w:tcBorders>
              <w:bottom w:val="single" w:sz="4" w:space="0" w:color="auto"/>
            </w:tcBorders>
          </w:tcPr>
          <w:p w:rsidR="0058574E" w:rsidRPr="009E2846" w:rsidRDefault="0058574E" w:rsidP="00E7317C">
            <w:pPr>
              <w:rPr>
                <w:sz w:val="20"/>
                <w:szCs w:val="20"/>
              </w:rPr>
            </w:pPr>
          </w:p>
          <w:p w:rsidR="0058574E" w:rsidRPr="009E2846" w:rsidRDefault="0058574E" w:rsidP="00E7317C">
            <w:pPr>
              <w:rPr>
                <w:sz w:val="20"/>
                <w:szCs w:val="20"/>
              </w:rPr>
            </w:pPr>
          </w:p>
          <w:p w:rsidR="0058574E" w:rsidRPr="009E2846" w:rsidRDefault="0058574E" w:rsidP="00E7317C">
            <w:pPr>
              <w:jc w:val="center"/>
              <w:rPr>
                <w:sz w:val="20"/>
                <w:szCs w:val="20"/>
              </w:rPr>
            </w:pPr>
          </w:p>
          <w:p w:rsidR="0058574E" w:rsidRPr="009E2846" w:rsidRDefault="0058574E" w:rsidP="00E7317C">
            <w:pPr>
              <w:jc w:val="center"/>
              <w:rPr>
                <w:sz w:val="20"/>
                <w:szCs w:val="20"/>
              </w:rPr>
            </w:pPr>
            <w:r w:rsidRPr="009E2846">
              <w:rPr>
                <w:sz w:val="20"/>
                <w:szCs w:val="20"/>
              </w:rPr>
              <w:t>15,0</w:t>
            </w:r>
          </w:p>
          <w:p w:rsidR="0058574E" w:rsidRPr="009E2846" w:rsidRDefault="0058574E" w:rsidP="00E7317C">
            <w:pPr>
              <w:jc w:val="center"/>
              <w:rPr>
                <w:sz w:val="20"/>
                <w:szCs w:val="20"/>
              </w:rPr>
            </w:pPr>
          </w:p>
          <w:p w:rsidR="0058574E" w:rsidRPr="009E2846" w:rsidRDefault="0058574E" w:rsidP="00E7317C">
            <w:pPr>
              <w:jc w:val="center"/>
              <w:rPr>
                <w:sz w:val="20"/>
                <w:szCs w:val="20"/>
              </w:rPr>
            </w:pPr>
          </w:p>
          <w:p w:rsidR="0058574E" w:rsidRPr="009E2846" w:rsidRDefault="0058574E" w:rsidP="00E7317C">
            <w:pPr>
              <w:jc w:val="center"/>
              <w:rPr>
                <w:sz w:val="20"/>
                <w:szCs w:val="20"/>
              </w:rPr>
            </w:pPr>
            <w:r w:rsidRPr="009E2846">
              <w:rPr>
                <w:sz w:val="20"/>
                <w:szCs w:val="20"/>
              </w:rPr>
              <w:t>35,0</w:t>
            </w:r>
          </w:p>
          <w:p w:rsidR="0058574E" w:rsidRPr="009E2846" w:rsidRDefault="0058574E" w:rsidP="00E7317C">
            <w:pPr>
              <w:jc w:val="center"/>
              <w:rPr>
                <w:sz w:val="20"/>
                <w:szCs w:val="20"/>
              </w:rPr>
            </w:pPr>
          </w:p>
          <w:p w:rsidR="0058574E" w:rsidRPr="009E2846" w:rsidRDefault="0058574E" w:rsidP="00E7317C">
            <w:pPr>
              <w:jc w:val="center"/>
              <w:rPr>
                <w:sz w:val="20"/>
                <w:szCs w:val="20"/>
              </w:rPr>
            </w:pPr>
          </w:p>
          <w:p w:rsidR="0058574E" w:rsidRPr="009E2846" w:rsidRDefault="0058574E" w:rsidP="00E7317C">
            <w:pPr>
              <w:jc w:val="center"/>
              <w:rPr>
                <w:sz w:val="20"/>
                <w:szCs w:val="20"/>
              </w:rPr>
            </w:pPr>
          </w:p>
          <w:p w:rsidR="0058574E" w:rsidRPr="009E2846" w:rsidRDefault="0058574E" w:rsidP="00E7317C">
            <w:pPr>
              <w:jc w:val="center"/>
              <w:rPr>
                <w:sz w:val="20"/>
                <w:szCs w:val="20"/>
              </w:rPr>
            </w:pPr>
          </w:p>
          <w:p w:rsidR="0058574E" w:rsidRPr="009E2846" w:rsidRDefault="0058574E" w:rsidP="00E7317C">
            <w:pPr>
              <w:jc w:val="center"/>
              <w:rPr>
                <w:sz w:val="20"/>
                <w:szCs w:val="20"/>
              </w:rPr>
            </w:pPr>
            <w:r w:rsidRPr="009E2846">
              <w:rPr>
                <w:sz w:val="20"/>
                <w:szCs w:val="20"/>
              </w:rPr>
              <w:t>15,0</w:t>
            </w:r>
          </w:p>
          <w:p w:rsidR="0058574E" w:rsidRPr="009E2846" w:rsidRDefault="0058574E" w:rsidP="00E7317C">
            <w:pPr>
              <w:jc w:val="center"/>
              <w:rPr>
                <w:sz w:val="20"/>
                <w:szCs w:val="20"/>
              </w:rPr>
            </w:pPr>
          </w:p>
          <w:p w:rsidR="0058574E" w:rsidRPr="009E2846" w:rsidRDefault="0058574E" w:rsidP="00E7317C">
            <w:pPr>
              <w:jc w:val="center"/>
              <w:rPr>
                <w:sz w:val="20"/>
                <w:szCs w:val="20"/>
              </w:rPr>
            </w:pPr>
          </w:p>
          <w:p w:rsidR="0058574E" w:rsidRPr="009E2846" w:rsidRDefault="0058574E" w:rsidP="00E7317C">
            <w:pPr>
              <w:jc w:val="center"/>
              <w:rPr>
                <w:sz w:val="20"/>
                <w:szCs w:val="20"/>
              </w:rPr>
            </w:pPr>
            <w:r w:rsidRPr="009E2846">
              <w:rPr>
                <w:sz w:val="20"/>
                <w:szCs w:val="20"/>
              </w:rPr>
              <w:t>35,0</w:t>
            </w:r>
          </w:p>
          <w:p w:rsidR="0058574E" w:rsidRPr="009E2846" w:rsidRDefault="0058574E" w:rsidP="00E7317C">
            <w:pPr>
              <w:jc w:val="center"/>
              <w:rPr>
                <w:sz w:val="20"/>
                <w:szCs w:val="20"/>
              </w:rPr>
            </w:pPr>
          </w:p>
          <w:p w:rsidR="0058574E" w:rsidRPr="009E2846" w:rsidRDefault="0058574E" w:rsidP="00E7317C">
            <w:pPr>
              <w:jc w:val="center"/>
              <w:rPr>
                <w:sz w:val="20"/>
                <w:szCs w:val="20"/>
              </w:rPr>
            </w:pPr>
            <w:r w:rsidRPr="009E2846">
              <w:rPr>
                <w:sz w:val="20"/>
                <w:szCs w:val="20"/>
              </w:rPr>
              <w:t>3,0</w:t>
            </w:r>
          </w:p>
          <w:p w:rsidR="0058574E" w:rsidRPr="009E2846" w:rsidRDefault="0058574E" w:rsidP="00E7317C">
            <w:pPr>
              <w:jc w:val="center"/>
              <w:rPr>
                <w:sz w:val="20"/>
                <w:szCs w:val="20"/>
              </w:rPr>
            </w:pPr>
          </w:p>
          <w:p w:rsidR="0058574E" w:rsidRPr="009E2846" w:rsidRDefault="0058574E" w:rsidP="00E7317C">
            <w:pPr>
              <w:jc w:val="center"/>
              <w:rPr>
                <w:sz w:val="20"/>
                <w:szCs w:val="20"/>
              </w:rPr>
            </w:pPr>
            <w:r w:rsidRPr="009E2846">
              <w:rPr>
                <w:sz w:val="20"/>
                <w:szCs w:val="20"/>
              </w:rPr>
              <w:t>3,0</w:t>
            </w:r>
          </w:p>
        </w:tc>
      </w:tr>
      <w:tr w:rsidR="0058574E" w:rsidRPr="009E2846" w:rsidTr="00E7317C">
        <w:trPr>
          <w:trHeight w:val="795"/>
        </w:trPr>
        <w:tc>
          <w:tcPr>
            <w:tcW w:w="2761" w:type="pct"/>
            <w:tcBorders>
              <w:bottom w:val="single" w:sz="4" w:space="0" w:color="auto"/>
            </w:tcBorders>
          </w:tcPr>
          <w:p w:rsidR="0058574E" w:rsidRPr="009E2846" w:rsidRDefault="0058574E" w:rsidP="00E7317C">
            <w:pPr>
              <w:tabs>
                <w:tab w:val="num" w:pos="585"/>
              </w:tabs>
              <w:ind w:left="18"/>
              <w:rPr>
                <w:sz w:val="20"/>
                <w:szCs w:val="20"/>
              </w:rPr>
            </w:pPr>
            <w:r w:rsidRPr="009E2846">
              <w:rPr>
                <w:sz w:val="20"/>
                <w:szCs w:val="20"/>
              </w:rPr>
              <w:t>6. Сумма госпошлины  - всего, тыс. руб. (стр.1.1 * стр. 5.1) + (стр.1.2*стр.5.2) +(стр. 2.1*стр.5.3.1) + (стр.2.2*стр.5.3.2) + (стр.3*стр.5.4)+(стр.4 * стр.5.5)</w:t>
            </w:r>
          </w:p>
        </w:tc>
        <w:tc>
          <w:tcPr>
            <w:tcW w:w="746" w:type="pct"/>
            <w:tcBorders>
              <w:bottom w:val="single" w:sz="4" w:space="0" w:color="auto"/>
            </w:tcBorders>
          </w:tcPr>
          <w:p w:rsidR="0058574E" w:rsidRPr="009E2846" w:rsidRDefault="0058574E" w:rsidP="00E7317C">
            <w:pPr>
              <w:jc w:val="center"/>
              <w:rPr>
                <w:sz w:val="20"/>
                <w:szCs w:val="20"/>
              </w:rPr>
            </w:pPr>
            <w:r w:rsidRPr="009E2846">
              <w:rPr>
                <w:sz w:val="20"/>
                <w:szCs w:val="20"/>
              </w:rPr>
              <w:t>776,0</w:t>
            </w:r>
          </w:p>
          <w:p w:rsidR="0058574E" w:rsidRPr="009E2846" w:rsidRDefault="0058574E" w:rsidP="00E7317C">
            <w:pPr>
              <w:rPr>
                <w:sz w:val="20"/>
                <w:szCs w:val="20"/>
              </w:rPr>
            </w:pPr>
          </w:p>
          <w:p w:rsidR="0058574E" w:rsidRPr="009E2846" w:rsidRDefault="0058574E" w:rsidP="00E7317C">
            <w:pPr>
              <w:rPr>
                <w:sz w:val="20"/>
                <w:szCs w:val="20"/>
              </w:rPr>
            </w:pPr>
          </w:p>
        </w:tc>
        <w:tc>
          <w:tcPr>
            <w:tcW w:w="746" w:type="pct"/>
            <w:tcBorders>
              <w:bottom w:val="single" w:sz="4" w:space="0" w:color="auto"/>
            </w:tcBorders>
          </w:tcPr>
          <w:p w:rsidR="0058574E" w:rsidRPr="009E2846" w:rsidRDefault="0058574E" w:rsidP="00E7317C">
            <w:pPr>
              <w:jc w:val="center"/>
              <w:rPr>
                <w:sz w:val="20"/>
                <w:szCs w:val="20"/>
              </w:rPr>
            </w:pPr>
            <w:r w:rsidRPr="009E2846">
              <w:rPr>
                <w:sz w:val="20"/>
                <w:szCs w:val="20"/>
              </w:rPr>
              <w:t>660,0</w:t>
            </w:r>
          </w:p>
          <w:p w:rsidR="0058574E" w:rsidRPr="009E2846" w:rsidRDefault="0058574E" w:rsidP="00E7317C">
            <w:pPr>
              <w:rPr>
                <w:sz w:val="20"/>
                <w:szCs w:val="20"/>
              </w:rPr>
            </w:pPr>
          </w:p>
          <w:p w:rsidR="0058574E" w:rsidRPr="009E2846" w:rsidRDefault="0058574E" w:rsidP="00E7317C">
            <w:pPr>
              <w:rPr>
                <w:sz w:val="20"/>
                <w:szCs w:val="20"/>
              </w:rPr>
            </w:pPr>
          </w:p>
        </w:tc>
        <w:tc>
          <w:tcPr>
            <w:tcW w:w="746" w:type="pct"/>
            <w:tcBorders>
              <w:bottom w:val="single" w:sz="4" w:space="0" w:color="auto"/>
            </w:tcBorders>
          </w:tcPr>
          <w:p w:rsidR="0058574E" w:rsidRPr="009E2846" w:rsidRDefault="0058574E" w:rsidP="00E7317C">
            <w:pPr>
              <w:jc w:val="center"/>
              <w:rPr>
                <w:sz w:val="20"/>
                <w:szCs w:val="20"/>
              </w:rPr>
            </w:pPr>
            <w:r w:rsidRPr="009E2846">
              <w:rPr>
                <w:sz w:val="20"/>
                <w:szCs w:val="20"/>
              </w:rPr>
              <w:t>723,0</w:t>
            </w:r>
          </w:p>
        </w:tc>
      </w:tr>
      <w:tr w:rsidR="0058574E" w:rsidRPr="00C138D3" w:rsidTr="00E7317C">
        <w:trPr>
          <w:trHeight w:val="554"/>
        </w:trPr>
        <w:tc>
          <w:tcPr>
            <w:tcW w:w="5000" w:type="pct"/>
            <w:gridSpan w:val="4"/>
            <w:tcBorders>
              <w:top w:val="nil"/>
              <w:left w:val="nil"/>
              <w:bottom w:val="single" w:sz="4" w:space="0" w:color="auto"/>
              <w:right w:val="nil"/>
            </w:tcBorders>
          </w:tcPr>
          <w:p w:rsidR="0058574E" w:rsidRPr="00C138D3" w:rsidRDefault="0058574E" w:rsidP="00E7317C">
            <w:pPr>
              <w:jc w:val="center"/>
              <w:rPr>
                <w:b/>
                <w:sz w:val="28"/>
                <w:szCs w:val="28"/>
              </w:rPr>
            </w:pPr>
          </w:p>
          <w:p w:rsidR="0058574E" w:rsidRPr="00C138D3" w:rsidRDefault="0058574E" w:rsidP="00E7317C">
            <w:pPr>
              <w:jc w:val="center"/>
              <w:rPr>
                <w:b/>
                <w:sz w:val="28"/>
                <w:szCs w:val="28"/>
              </w:rPr>
            </w:pPr>
            <w:r w:rsidRPr="00C138D3">
              <w:rPr>
                <w:b/>
                <w:sz w:val="28"/>
                <w:szCs w:val="28"/>
              </w:rPr>
              <w:t xml:space="preserve">15. Государственная пошлина за действия органов исполнительной власти субъектов Российской Федерации по проставлению апостиля </w:t>
            </w:r>
            <w:r w:rsidRPr="00C138D3">
              <w:rPr>
                <w:b/>
                <w:sz w:val="28"/>
                <w:szCs w:val="28"/>
              </w:rPr>
              <w:br/>
              <w:t>на документах государственного образца об образовании, об ученых степенях и ученых званиях в пределах переданных полномочий Российской Федерации в области образования</w:t>
            </w:r>
          </w:p>
          <w:p w:rsidR="0058574E" w:rsidRPr="00C138D3" w:rsidRDefault="0058574E" w:rsidP="00E7317C">
            <w:pPr>
              <w:jc w:val="center"/>
              <w:rPr>
                <w:b/>
                <w:sz w:val="28"/>
                <w:szCs w:val="28"/>
              </w:rPr>
            </w:pPr>
            <w:r w:rsidRPr="00C138D3">
              <w:t xml:space="preserve"> (по данным Министерства образования Тверской области)</w:t>
            </w:r>
          </w:p>
          <w:p w:rsidR="0058574E" w:rsidRPr="00C138D3" w:rsidRDefault="0058574E" w:rsidP="00E7317C">
            <w:pPr>
              <w:jc w:val="center"/>
              <w:rPr>
                <w:b/>
              </w:rPr>
            </w:pPr>
            <w:r w:rsidRPr="00C138D3">
              <w:rPr>
                <w:b/>
              </w:rPr>
              <w:t>(000 108 07390 01 0000 110)</w:t>
            </w:r>
          </w:p>
          <w:p w:rsidR="0058574E" w:rsidRPr="00C138D3" w:rsidRDefault="0058574E" w:rsidP="00E7317C">
            <w:pPr>
              <w:jc w:val="center"/>
              <w:rPr>
                <w:b/>
                <w:sz w:val="20"/>
                <w:szCs w:val="20"/>
              </w:rPr>
            </w:pPr>
          </w:p>
        </w:tc>
      </w:tr>
      <w:tr w:rsidR="0058574E" w:rsidRPr="00C138D3" w:rsidTr="00E7317C">
        <w:trPr>
          <w:trHeight w:val="310"/>
        </w:trPr>
        <w:tc>
          <w:tcPr>
            <w:tcW w:w="2761" w:type="pct"/>
            <w:tcBorders>
              <w:top w:val="single" w:sz="4" w:space="0" w:color="auto"/>
              <w:left w:val="single" w:sz="4" w:space="0" w:color="auto"/>
              <w:bottom w:val="single" w:sz="4" w:space="0" w:color="auto"/>
              <w:right w:val="single" w:sz="4" w:space="0" w:color="auto"/>
            </w:tcBorders>
          </w:tcPr>
          <w:p w:rsidR="0058574E" w:rsidRPr="00C138D3" w:rsidRDefault="0058574E" w:rsidP="00E7317C">
            <w:pPr>
              <w:tabs>
                <w:tab w:val="num" w:pos="585"/>
              </w:tabs>
              <w:ind w:left="18"/>
              <w:jc w:val="center"/>
              <w:rPr>
                <w:sz w:val="20"/>
                <w:szCs w:val="20"/>
              </w:rPr>
            </w:pPr>
            <w:r w:rsidRPr="00C138D3">
              <w:rPr>
                <w:sz w:val="20"/>
                <w:szCs w:val="20"/>
              </w:rPr>
              <w:t>Наименование показателя</w:t>
            </w:r>
          </w:p>
        </w:tc>
        <w:tc>
          <w:tcPr>
            <w:tcW w:w="746" w:type="pct"/>
            <w:tcBorders>
              <w:top w:val="single" w:sz="4" w:space="0" w:color="auto"/>
              <w:left w:val="single" w:sz="4" w:space="0" w:color="auto"/>
              <w:bottom w:val="single" w:sz="4" w:space="0" w:color="auto"/>
              <w:right w:val="single" w:sz="4" w:space="0" w:color="auto"/>
            </w:tcBorders>
          </w:tcPr>
          <w:p w:rsidR="0058574E" w:rsidRPr="00C138D3" w:rsidRDefault="0058574E" w:rsidP="00E7317C">
            <w:pPr>
              <w:jc w:val="center"/>
              <w:rPr>
                <w:sz w:val="20"/>
                <w:szCs w:val="20"/>
              </w:rPr>
            </w:pPr>
            <w:r w:rsidRPr="00C138D3">
              <w:rPr>
                <w:sz w:val="20"/>
                <w:szCs w:val="20"/>
              </w:rPr>
              <w:t>2022 год</w:t>
            </w:r>
          </w:p>
        </w:tc>
        <w:tc>
          <w:tcPr>
            <w:tcW w:w="746" w:type="pct"/>
            <w:tcBorders>
              <w:top w:val="single" w:sz="4" w:space="0" w:color="auto"/>
              <w:left w:val="single" w:sz="4" w:space="0" w:color="auto"/>
              <w:bottom w:val="single" w:sz="4" w:space="0" w:color="auto"/>
              <w:right w:val="single" w:sz="4" w:space="0" w:color="auto"/>
            </w:tcBorders>
          </w:tcPr>
          <w:p w:rsidR="0058574E" w:rsidRPr="00C138D3" w:rsidRDefault="0058574E" w:rsidP="00E7317C">
            <w:pPr>
              <w:jc w:val="center"/>
              <w:rPr>
                <w:sz w:val="20"/>
                <w:szCs w:val="20"/>
              </w:rPr>
            </w:pPr>
            <w:r w:rsidRPr="00C138D3">
              <w:rPr>
                <w:sz w:val="20"/>
                <w:szCs w:val="20"/>
              </w:rPr>
              <w:t>2023 год</w:t>
            </w:r>
          </w:p>
        </w:tc>
        <w:tc>
          <w:tcPr>
            <w:tcW w:w="746" w:type="pct"/>
            <w:tcBorders>
              <w:top w:val="single" w:sz="4" w:space="0" w:color="auto"/>
              <w:left w:val="single" w:sz="4" w:space="0" w:color="auto"/>
              <w:bottom w:val="single" w:sz="4" w:space="0" w:color="auto"/>
              <w:right w:val="single" w:sz="4" w:space="0" w:color="auto"/>
            </w:tcBorders>
          </w:tcPr>
          <w:p w:rsidR="0058574E" w:rsidRPr="00C138D3" w:rsidRDefault="0058574E" w:rsidP="00E7317C">
            <w:pPr>
              <w:jc w:val="center"/>
              <w:rPr>
                <w:sz w:val="20"/>
                <w:szCs w:val="20"/>
              </w:rPr>
            </w:pPr>
            <w:r w:rsidRPr="00C138D3">
              <w:rPr>
                <w:sz w:val="20"/>
                <w:szCs w:val="20"/>
              </w:rPr>
              <w:t>2024 год</w:t>
            </w:r>
          </w:p>
        </w:tc>
      </w:tr>
      <w:tr w:rsidR="0058574E" w:rsidRPr="00C138D3" w:rsidTr="00E7317C">
        <w:trPr>
          <w:trHeight w:val="554"/>
        </w:trPr>
        <w:tc>
          <w:tcPr>
            <w:tcW w:w="2761" w:type="pct"/>
            <w:tcBorders>
              <w:top w:val="single" w:sz="4" w:space="0" w:color="auto"/>
            </w:tcBorders>
          </w:tcPr>
          <w:p w:rsidR="0058574E" w:rsidRPr="00C138D3" w:rsidRDefault="0058574E" w:rsidP="00E7317C">
            <w:pPr>
              <w:ind w:firstLine="18"/>
              <w:rPr>
                <w:sz w:val="20"/>
                <w:szCs w:val="20"/>
              </w:rPr>
            </w:pPr>
            <w:r w:rsidRPr="00C138D3">
              <w:rPr>
                <w:sz w:val="20"/>
                <w:szCs w:val="20"/>
              </w:rPr>
              <w:t>1. Количество документов, ед. (методом усреднения за три предшествующих года) (с округлением)</w:t>
            </w:r>
          </w:p>
        </w:tc>
        <w:tc>
          <w:tcPr>
            <w:tcW w:w="746" w:type="pct"/>
            <w:tcBorders>
              <w:top w:val="single" w:sz="4" w:space="0" w:color="auto"/>
            </w:tcBorders>
          </w:tcPr>
          <w:p w:rsidR="0058574E" w:rsidRPr="00C138D3" w:rsidRDefault="0058574E" w:rsidP="00E7317C">
            <w:pPr>
              <w:jc w:val="center"/>
              <w:rPr>
                <w:sz w:val="20"/>
                <w:szCs w:val="20"/>
              </w:rPr>
            </w:pPr>
            <w:r w:rsidRPr="00C138D3">
              <w:rPr>
                <w:sz w:val="20"/>
                <w:szCs w:val="20"/>
              </w:rPr>
              <w:t>175</w:t>
            </w:r>
          </w:p>
        </w:tc>
        <w:tc>
          <w:tcPr>
            <w:tcW w:w="746" w:type="pct"/>
            <w:tcBorders>
              <w:top w:val="single" w:sz="4" w:space="0" w:color="auto"/>
            </w:tcBorders>
          </w:tcPr>
          <w:p w:rsidR="0058574E" w:rsidRPr="00C138D3" w:rsidRDefault="0058574E" w:rsidP="00E7317C">
            <w:pPr>
              <w:jc w:val="center"/>
              <w:rPr>
                <w:sz w:val="20"/>
                <w:szCs w:val="20"/>
              </w:rPr>
            </w:pPr>
            <w:r w:rsidRPr="00C138D3">
              <w:rPr>
                <w:sz w:val="20"/>
                <w:szCs w:val="20"/>
              </w:rPr>
              <w:t>165</w:t>
            </w:r>
          </w:p>
        </w:tc>
        <w:tc>
          <w:tcPr>
            <w:tcW w:w="746" w:type="pct"/>
            <w:tcBorders>
              <w:top w:val="single" w:sz="4" w:space="0" w:color="auto"/>
            </w:tcBorders>
          </w:tcPr>
          <w:p w:rsidR="0058574E" w:rsidRPr="00C138D3" w:rsidRDefault="0058574E" w:rsidP="00E7317C">
            <w:pPr>
              <w:jc w:val="center"/>
              <w:rPr>
                <w:sz w:val="20"/>
                <w:szCs w:val="20"/>
              </w:rPr>
            </w:pPr>
            <w:r w:rsidRPr="00C138D3">
              <w:rPr>
                <w:sz w:val="20"/>
                <w:szCs w:val="20"/>
              </w:rPr>
              <w:t>178</w:t>
            </w:r>
          </w:p>
        </w:tc>
      </w:tr>
      <w:tr w:rsidR="0058574E" w:rsidRPr="00C138D3" w:rsidTr="00E7317C">
        <w:trPr>
          <w:trHeight w:val="314"/>
        </w:trPr>
        <w:tc>
          <w:tcPr>
            <w:tcW w:w="2761" w:type="pct"/>
          </w:tcPr>
          <w:p w:rsidR="0058574E" w:rsidRPr="00C138D3" w:rsidRDefault="0058574E" w:rsidP="00E7317C">
            <w:pPr>
              <w:ind w:firstLine="18"/>
              <w:rPr>
                <w:sz w:val="20"/>
                <w:szCs w:val="20"/>
              </w:rPr>
            </w:pPr>
            <w:r w:rsidRPr="00C138D3">
              <w:rPr>
                <w:sz w:val="20"/>
                <w:szCs w:val="20"/>
              </w:rPr>
              <w:t>2.Размер госпошлины, тыс. руб.</w:t>
            </w:r>
          </w:p>
        </w:tc>
        <w:tc>
          <w:tcPr>
            <w:tcW w:w="746" w:type="pct"/>
          </w:tcPr>
          <w:p w:rsidR="0058574E" w:rsidRPr="00C138D3" w:rsidRDefault="0058574E" w:rsidP="00E7317C">
            <w:pPr>
              <w:jc w:val="center"/>
              <w:rPr>
                <w:sz w:val="20"/>
                <w:szCs w:val="20"/>
              </w:rPr>
            </w:pPr>
            <w:r w:rsidRPr="00C138D3">
              <w:rPr>
                <w:sz w:val="20"/>
                <w:szCs w:val="20"/>
              </w:rPr>
              <w:t>2,5</w:t>
            </w:r>
          </w:p>
        </w:tc>
        <w:tc>
          <w:tcPr>
            <w:tcW w:w="746" w:type="pct"/>
          </w:tcPr>
          <w:p w:rsidR="0058574E" w:rsidRPr="00C138D3" w:rsidRDefault="0058574E" w:rsidP="00E7317C">
            <w:pPr>
              <w:jc w:val="center"/>
              <w:rPr>
                <w:sz w:val="20"/>
                <w:szCs w:val="20"/>
              </w:rPr>
            </w:pPr>
            <w:r w:rsidRPr="00C138D3">
              <w:rPr>
                <w:sz w:val="20"/>
                <w:szCs w:val="20"/>
              </w:rPr>
              <w:t>2,5</w:t>
            </w:r>
          </w:p>
        </w:tc>
        <w:tc>
          <w:tcPr>
            <w:tcW w:w="746" w:type="pct"/>
          </w:tcPr>
          <w:p w:rsidR="0058574E" w:rsidRPr="00C138D3" w:rsidRDefault="0058574E" w:rsidP="00E7317C">
            <w:pPr>
              <w:jc w:val="center"/>
              <w:rPr>
                <w:sz w:val="20"/>
                <w:szCs w:val="20"/>
              </w:rPr>
            </w:pPr>
            <w:r w:rsidRPr="00C138D3">
              <w:rPr>
                <w:sz w:val="20"/>
                <w:szCs w:val="20"/>
              </w:rPr>
              <w:t>2,5</w:t>
            </w:r>
          </w:p>
        </w:tc>
      </w:tr>
      <w:tr w:rsidR="0058574E" w:rsidRPr="00C138D3" w:rsidTr="00E7317C">
        <w:trPr>
          <w:trHeight w:val="321"/>
        </w:trPr>
        <w:tc>
          <w:tcPr>
            <w:tcW w:w="2761" w:type="pct"/>
          </w:tcPr>
          <w:p w:rsidR="0058574E" w:rsidRPr="00C138D3" w:rsidRDefault="0058574E" w:rsidP="00E7317C">
            <w:pPr>
              <w:ind w:left="18"/>
              <w:rPr>
                <w:sz w:val="20"/>
                <w:szCs w:val="20"/>
              </w:rPr>
            </w:pPr>
            <w:r w:rsidRPr="00C138D3">
              <w:rPr>
                <w:sz w:val="20"/>
                <w:szCs w:val="20"/>
              </w:rPr>
              <w:t>3.Сумма госпошлины, тыс. руб. (стр. 1*стр.2)</w:t>
            </w:r>
          </w:p>
        </w:tc>
        <w:tc>
          <w:tcPr>
            <w:tcW w:w="746" w:type="pct"/>
          </w:tcPr>
          <w:p w:rsidR="0058574E" w:rsidRPr="00C138D3" w:rsidRDefault="0058574E" w:rsidP="00E7317C">
            <w:pPr>
              <w:jc w:val="center"/>
              <w:rPr>
                <w:sz w:val="20"/>
                <w:szCs w:val="20"/>
              </w:rPr>
            </w:pPr>
            <w:r w:rsidRPr="00C138D3">
              <w:rPr>
                <w:sz w:val="20"/>
                <w:szCs w:val="20"/>
              </w:rPr>
              <w:t>437,5</w:t>
            </w:r>
          </w:p>
        </w:tc>
        <w:tc>
          <w:tcPr>
            <w:tcW w:w="746" w:type="pct"/>
          </w:tcPr>
          <w:p w:rsidR="0058574E" w:rsidRPr="00C138D3" w:rsidRDefault="0058574E" w:rsidP="00E7317C">
            <w:pPr>
              <w:jc w:val="center"/>
              <w:rPr>
                <w:sz w:val="20"/>
                <w:szCs w:val="20"/>
              </w:rPr>
            </w:pPr>
            <w:r w:rsidRPr="00C138D3">
              <w:rPr>
                <w:sz w:val="20"/>
                <w:szCs w:val="20"/>
              </w:rPr>
              <w:t>412,5</w:t>
            </w:r>
          </w:p>
        </w:tc>
        <w:tc>
          <w:tcPr>
            <w:tcW w:w="746" w:type="pct"/>
          </w:tcPr>
          <w:p w:rsidR="0058574E" w:rsidRPr="00C138D3" w:rsidRDefault="0058574E" w:rsidP="00E7317C">
            <w:pPr>
              <w:jc w:val="center"/>
              <w:rPr>
                <w:sz w:val="20"/>
                <w:szCs w:val="20"/>
              </w:rPr>
            </w:pPr>
            <w:r w:rsidRPr="00C138D3">
              <w:rPr>
                <w:sz w:val="20"/>
                <w:szCs w:val="20"/>
              </w:rPr>
              <w:t>445,0</w:t>
            </w:r>
          </w:p>
        </w:tc>
      </w:tr>
    </w:tbl>
    <w:p w:rsidR="0058574E" w:rsidRPr="00446B3E" w:rsidRDefault="0058574E" w:rsidP="0058574E">
      <w:pPr>
        <w:rPr>
          <w:b/>
          <w:bCs/>
          <w:iCs/>
          <w:sz w:val="28"/>
          <w:szCs w:val="28"/>
        </w:rPr>
      </w:pPr>
    </w:p>
    <w:p w:rsidR="0058574E" w:rsidRPr="00446B3E" w:rsidRDefault="0058574E" w:rsidP="0058574E">
      <w:pPr>
        <w:jc w:val="center"/>
        <w:rPr>
          <w:b/>
          <w:bCs/>
          <w:iCs/>
          <w:sz w:val="28"/>
          <w:szCs w:val="28"/>
        </w:rPr>
      </w:pPr>
      <w:r w:rsidRPr="00446B3E">
        <w:rPr>
          <w:b/>
          <w:bCs/>
          <w:iCs/>
          <w:sz w:val="28"/>
          <w:szCs w:val="28"/>
        </w:rPr>
        <w:lastRenderedPageBreak/>
        <w:t xml:space="preserve">16. Государственная пошлина за действия уполномоченных органов субъектов Российской Федерации, связанные с лицензированием предпринимательской деятельности по управлению </w:t>
      </w:r>
    </w:p>
    <w:p w:rsidR="0058574E" w:rsidRPr="00446B3E" w:rsidRDefault="0058574E" w:rsidP="0058574E">
      <w:pPr>
        <w:jc w:val="center"/>
        <w:rPr>
          <w:b/>
          <w:bCs/>
          <w:iCs/>
          <w:sz w:val="28"/>
          <w:szCs w:val="28"/>
        </w:rPr>
      </w:pPr>
      <w:r w:rsidRPr="00446B3E">
        <w:rPr>
          <w:b/>
          <w:bCs/>
          <w:iCs/>
          <w:sz w:val="28"/>
          <w:szCs w:val="28"/>
        </w:rPr>
        <w:t>многоквартирными домами</w:t>
      </w:r>
    </w:p>
    <w:p w:rsidR="0058574E" w:rsidRPr="00446B3E" w:rsidRDefault="0058574E" w:rsidP="0058574E">
      <w:pPr>
        <w:jc w:val="center"/>
        <w:rPr>
          <w:b/>
          <w:bCs/>
          <w:iCs/>
          <w:sz w:val="28"/>
          <w:szCs w:val="28"/>
        </w:rPr>
      </w:pPr>
      <w:r w:rsidRPr="00446B3E">
        <w:rPr>
          <w:bCs/>
          <w:iCs/>
        </w:rPr>
        <w:t>(по данным Главного управления «Государственная жилищная инспекция Тверской области»)</w:t>
      </w:r>
    </w:p>
    <w:p w:rsidR="0058574E" w:rsidRPr="00446B3E" w:rsidRDefault="0058574E" w:rsidP="0058574E">
      <w:pPr>
        <w:jc w:val="center"/>
        <w:rPr>
          <w:b/>
          <w:bCs/>
          <w:iCs/>
          <w:sz w:val="28"/>
          <w:szCs w:val="28"/>
        </w:rPr>
      </w:pPr>
      <w:r w:rsidRPr="00446B3E">
        <w:rPr>
          <w:b/>
          <w:bCs/>
          <w:iCs/>
        </w:rPr>
        <w:t>(000 1 08 07400 01 0000 110)</w:t>
      </w:r>
    </w:p>
    <w:p w:rsidR="0058574E" w:rsidRPr="00446B3E" w:rsidRDefault="0058574E" w:rsidP="0058574E">
      <w:pPr>
        <w:ind w:firstLine="900"/>
        <w:jc w:val="center"/>
        <w:rPr>
          <w:b/>
          <w:bCs/>
          <w:i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42"/>
        <w:gridCol w:w="1458"/>
        <w:gridCol w:w="1313"/>
        <w:gridCol w:w="1458"/>
      </w:tblGrid>
      <w:tr w:rsidR="0058574E" w:rsidRPr="00446B3E" w:rsidTr="00E7317C">
        <w:trPr>
          <w:trHeight w:val="299"/>
        </w:trPr>
        <w:tc>
          <w:tcPr>
            <w:tcW w:w="2836" w:type="pct"/>
          </w:tcPr>
          <w:p w:rsidR="0058574E" w:rsidRPr="00446B3E" w:rsidRDefault="0058574E" w:rsidP="00E7317C">
            <w:pPr>
              <w:jc w:val="center"/>
              <w:rPr>
                <w:sz w:val="20"/>
                <w:szCs w:val="20"/>
              </w:rPr>
            </w:pPr>
            <w:r w:rsidRPr="00446B3E">
              <w:rPr>
                <w:sz w:val="20"/>
                <w:szCs w:val="20"/>
              </w:rPr>
              <w:t>Наименование показателя</w:t>
            </w:r>
          </w:p>
        </w:tc>
        <w:tc>
          <w:tcPr>
            <w:tcW w:w="746" w:type="pct"/>
          </w:tcPr>
          <w:p w:rsidR="0058574E" w:rsidRPr="00446B3E" w:rsidRDefault="0058574E" w:rsidP="00E7317C">
            <w:pPr>
              <w:jc w:val="center"/>
              <w:rPr>
                <w:sz w:val="20"/>
                <w:szCs w:val="20"/>
              </w:rPr>
            </w:pPr>
            <w:r w:rsidRPr="00446B3E">
              <w:rPr>
                <w:sz w:val="20"/>
                <w:szCs w:val="20"/>
              </w:rPr>
              <w:t>2022 год</w:t>
            </w:r>
          </w:p>
        </w:tc>
        <w:tc>
          <w:tcPr>
            <w:tcW w:w="672" w:type="pct"/>
          </w:tcPr>
          <w:p w:rsidR="0058574E" w:rsidRPr="00446B3E" w:rsidRDefault="0058574E" w:rsidP="00E7317C">
            <w:pPr>
              <w:jc w:val="center"/>
              <w:rPr>
                <w:sz w:val="20"/>
                <w:szCs w:val="20"/>
              </w:rPr>
            </w:pPr>
            <w:r w:rsidRPr="00446B3E">
              <w:rPr>
                <w:sz w:val="20"/>
                <w:szCs w:val="20"/>
              </w:rPr>
              <w:t>2023 год</w:t>
            </w:r>
          </w:p>
        </w:tc>
        <w:tc>
          <w:tcPr>
            <w:tcW w:w="746" w:type="pct"/>
          </w:tcPr>
          <w:p w:rsidR="0058574E" w:rsidRPr="00446B3E" w:rsidRDefault="0058574E" w:rsidP="00E7317C">
            <w:pPr>
              <w:jc w:val="center"/>
              <w:rPr>
                <w:sz w:val="20"/>
                <w:szCs w:val="20"/>
              </w:rPr>
            </w:pPr>
            <w:r w:rsidRPr="00446B3E">
              <w:rPr>
                <w:sz w:val="20"/>
                <w:szCs w:val="20"/>
              </w:rPr>
              <w:t>2024 год</w:t>
            </w:r>
          </w:p>
        </w:tc>
      </w:tr>
      <w:tr w:rsidR="0058574E" w:rsidRPr="00446B3E" w:rsidTr="00E7317C">
        <w:trPr>
          <w:trHeight w:val="276"/>
        </w:trPr>
        <w:tc>
          <w:tcPr>
            <w:tcW w:w="2836" w:type="pct"/>
          </w:tcPr>
          <w:p w:rsidR="0058574E" w:rsidRPr="00446B3E" w:rsidRDefault="0058574E" w:rsidP="00E7317C">
            <w:pPr>
              <w:numPr>
                <w:ilvl w:val="0"/>
                <w:numId w:val="5"/>
              </w:numPr>
              <w:rPr>
                <w:sz w:val="20"/>
                <w:szCs w:val="20"/>
              </w:rPr>
            </w:pPr>
            <w:r w:rsidRPr="00446B3E">
              <w:rPr>
                <w:sz w:val="20"/>
                <w:szCs w:val="20"/>
              </w:rPr>
              <w:t>Количество предоставленных лицензий, шт.</w:t>
            </w:r>
          </w:p>
        </w:tc>
        <w:tc>
          <w:tcPr>
            <w:tcW w:w="746" w:type="pct"/>
          </w:tcPr>
          <w:p w:rsidR="0058574E" w:rsidRPr="00446B3E" w:rsidRDefault="0058574E" w:rsidP="00E7317C">
            <w:pPr>
              <w:jc w:val="center"/>
              <w:rPr>
                <w:sz w:val="20"/>
                <w:szCs w:val="20"/>
              </w:rPr>
            </w:pPr>
            <w:r w:rsidRPr="00446B3E">
              <w:rPr>
                <w:sz w:val="20"/>
                <w:szCs w:val="20"/>
              </w:rPr>
              <w:t>15</w:t>
            </w:r>
          </w:p>
        </w:tc>
        <w:tc>
          <w:tcPr>
            <w:tcW w:w="672" w:type="pct"/>
          </w:tcPr>
          <w:p w:rsidR="0058574E" w:rsidRPr="00446B3E" w:rsidRDefault="0058574E" w:rsidP="00E7317C">
            <w:pPr>
              <w:jc w:val="center"/>
              <w:rPr>
                <w:sz w:val="20"/>
                <w:szCs w:val="20"/>
              </w:rPr>
            </w:pPr>
            <w:r w:rsidRPr="00446B3E">
              <w:rPr>
                <w:sz w:val="20"/>
                <w:szCs w:val="20"/>
              </w:rPr>
              <w:t>15</w:t>
            </w:r>
          </w:p>
        </w:tc>
        <w:tc>
          <w:tcPr>
            <w:tcW w:w="746" w:type="pct"/>
          </w:tcPr>
          <w:p w:rsidR="0058574E" w:rsidRPr="00446B3E" w:rsidRDefault="0058574E" w:rsidP="00E7317C">
            <w:pPr>
              <w:jc w:val="center"/>
              <w:rPr>
                <w:sz w:val="20"/>
                <w:szCs w:val="20"/>
              </w:rPr>
            </w:pPr>
            <w:r w:rsidRPr="00446B3E">
              <w:rPr>
                <w:sz w:val="20"/>
                <w:szCs w:val="20"/>
              </w:rPr>
              <w:t>15</w:t>
            </w:r>
          </w:p>
        </w:tc>
      </w:tr>
      <w:tr w:rsidR="0058574E" w:rsidRPr="00446B3E" w:rsidTr="00E7317C">
        <w:trPr>
          <w:trHeight w:val="265"/>
        </w:trPr>
        <w:tc>
          <w:tcPr>
            <w:tcW w:w="2836" w:type="pct"/>
          </w:tcPr>
          <w:p w:rsidR="0058574E" w:rsidRPr="00446B3E" w:rsidRDefault="0058574E" w:rsidP="00E7317C">
            <w:pPr>
              <w:numPr>
                <w:ilvl w:val="0"/>
                <w:numId w:val="5"/>
              </w:numPr>
              <w:rPr>
                <w:sz w:val="20"/>
                <w:szCs w:val="20"/>
              </w:rPr>
            </w:pPr>
            <w:r w:rsidRPr="00446B3E">
              <w:rPr>
                <w:sz w:val="20"/>
                <w:szCs w:val="20"/>
              </w:rPr>
              <w:t>Количество переоформленных лицензий, шт.</w:t>
            </w:r>
          </w:p>
        </w:tc>
        <w:tc>
          <w:tcPr>
            <w:tcW w:w="746" w:type="pct"/>
          </w:tcPr>
          <w:p w:rsidR="0058574E" w:rsidRPr="00446B3E" w:rsidRDefault="0058574E" w:rsidP="00E7317C">
            <w:pPr>
              <w:jc w:val="center"/>
              <w:rPr>
                <w:sz w:val="20"/>
                <w:szCs w:val="20"/>
              </w:rPr>
            </w:pPr>
            <w:r w:rsidRPr="00446B3E">
              <w:rPr>
                <w:sz w:val="20"/>
                <w:szCs w:val="20"/>
              </w:rPr>
              <w:t>9</w:t>
            </w:r>
          </w:p>
        </w:tc>
        <w:tc>
          <w:tcPr>
            <w:tcW w:w="672" w:type="pct"/>
          </w:tcPr>
          <w:p w:rsidR="0058574E" w:rsidRPr="00446B3E" w:rsidRDefault="0058574E" w:rsidP="00E7317C">
            <w:pPr>
              <w:jc w:val="center"/>
              <w:rPr>
                <w:sz w:val="20"/>
                <w:szCs w:val="20"/>
              </w:rPr>
            </w:pPr>
            <w:r w:rsidRPr="00446B3E">
              <w:rPr>
                <w:sz w:val="20"/>
                <w:szCs w:val="20"/>
              </w:rPr>
              <w:t>9</w:t>
            </w:r>
          </w:p>
        </w:tc>
        <w:tc>
          <w:tcPr>
            <w:tcW w:w="746" w:type="pct"/>
          </w:tcPr>
          <w:p w:rsidR="0058574E" w:rsidRPr="00446B3E" w:rsidRDefault="0058574E" w:rsidP="00E7317C">
            <w:pPr>
              <w:jc w:val="center"/>
              <w:rPr>
                <w:sz w:val="20"/>
                <w:szCs w:val="20"/>
              </w:rPr>
            </w:pPr>
            <w:r w:rsidRPr="00446B3E">
              <w:rPr>
                <w:sz w:val="20"/>
                <w:szCs w:val="20"/>
              </w:rPr>
              <w:t>9</w:t>
            </w:r>
          </w:p>
        </w:tc>
      </w:tr>
      <w:tr w:rsidR="0058574E" w:rsidRPr="00446B3E" w:rsidTr="00E7317C">
        <w:trPr>
          <w:trHeight w:val="286"/>
        </w:trPr>
        <w:tc>
          <w:tcPr>
            <w:tcW w:w="2836" w:type="pct"/>
          </w:tcPr>
          <w:p w:rsidR="0058574E" w:rsidRPr="00446B3E" w:rsidRDefault="0058574E" w:rsidP="00E7317C">
            <w:pPr>
              <w:numPr>
                <w:ilvl w:val="0"/>
                <w:numId w:val="5"/>
              </w:numPr>
              <w:rPr>
                <w:sz w:val="20"/>
                <w:szCs w:val="20"/>
              </w:rPr>
            </w:pPr>
            <w:r w:rsidRPr="00446B3E">
              <w:rPr>
                <w:sz w:val="20"/>
                <w:szCs w:val="20"/>
              </w:rPr>
              <w:t>Размер госпошлины за выдачу лицензии, тыс. руб.</w:t>
            </w:r>
          </w:p>
        </w:tc>
        <w:tc>
          <w:tcPr>
            <w:tcW w:w="746" w:type="pct"/>
          </w:tcPr>
          <w:p w:rsidR="0058574E" w:rsidRPr="00446B3E" w:rsidRDefault="0058574E" w:rsidP="00E7317C">
            <w:pPr>
              <w:jc w:val="center"/>
              <w:rPr>
                <w:sz w:val="20"/>
                <w:szCs w:val="20"/>
              </w:rPr>
            </w:pPr>
            <w:r w:rsidRPr="00446B3E">
              <w:rPr>
                <w:sz w:val="20"/>
                <w:szCs w:val="20"/>
              </w:rPr>
              <w:t>30,0</w:t>
            </w:r>
          </w:p>
        </w:tc>
        <w:tc>
          <w:tcPr>
            <w:tcW w:w="672" w:type="pct"/>
          </w:tcPr>
          <w:p w:rsidR="0058574E" w:rsidRPr="00446B3E" w:rsidRDefault="0058574E" w:rsidP="00E7317C">
            <w:pPr>
              <w:jc w:val="center"/>
              <w:rPr>
                <w:sz w:val="20"/>
                <w:szCs w:val="20"/>
              </w:rPr>
            </w:pPr>
            <w:r w:rsidRPr="00446B3E">
              <w:rPr>
                <w:sz w:val="20"/>
                <w:szCs w:val="20"/>
              </w:rPr>
              <w:t>30,0</w:t>
            </w:r>
          </w:p>
        </w:tc>
        <w:tc>
          <w:tcPr>
            <w:tcW w:w="746" w:type="pct"/>
          </w:tcPr>
          <w:p w:rsidR="0058574E" w:rsidRPr="00446B3E" w:rsidRDefault="0058574E" w:rsidP="00E7317C">
            <w:pPr>
              <w:jc w:val="center"/>
              <w:rPr>
                <w:sz w:val="20"/>
                <w:szCs w:val="20"/>
              </w:rPr>
            </w:pPr>
            <w:r w:rsidRPr="00446B3E">
              <w:rPr>
                <w:sz w:val="20"/>
                <w:szCs w:val="20"/>
              </w:rPr>
              <w:t>30,0</w:t>
            </w:r>
          </w:p>
        </w:tc>
      </w:tr>
      <w:tr w:rsidR="0058574E" w:rsidRPr="00446B3E" w:rsidTr="00E7317C">
        <w:trPr>
          <w:trHeight w:val="554"/>
        </w:trPr>
        <w:tc>
          <w:tcPr>
            <w:tcW w:w="2836" w:type="pct"/>
          </w:tcPr>
          <w:p w:rsidR="0058574E" w:rsidRPr="00446B3E" w:rsidRDefault="0058574E" w:rsidP="00E7317C">
            <w:pPr>
              <w:numPr>
                <w:ilvl w:val="0"/>
                <w:numId w:val="5"/>
              </w:numPr>
              <w:rPr>
                <w:sz w:val="20"/>
                <w:szCs w:val="20"/>
              </w:rPr>
            </w:pPr>
            <w:r w:rsidRPr="00446B3E">
              <w:rPr>
                <w:sz w:val="20"/>
                <w:szCs w:val="20"/>
              </w:rPr>
              <w:t>Размер госпошлины за переоформление лицензии, тыс. руб.</w:t>
            </w:r>
          </w:p>
        </w:tc>
        <w:tc>
          <w:tcPr>
            <w:tcW w:w="746" w:type="pct"/>
          </w:tcPr>
          <w:p w:rsidR="0058574E" w:rsidRPr="00446B3E" w:rsidRDefault="0058574E" w:rsidP="00E7317C">
            <w:pPr>
              <w:jc w:val="center"/>
              <w:rPr>
                <w:sz w:val="20"/>
                <w:szCs w:val="20"/>
              </w:rPr>
            </w:pPr>
            <w:r w:rsidRPr="00446B3E">
              <w:rPr>
                <w:sz w:val="20"/>
                <w:szCs w:val="20"/>
              </w:rPr>
              <w:t>5,0</w:t>
            </w:r>
          </w:p>
        </w:tc>
        <w:tc>
          <w:tcPr>
            <w:tcW w:w="672" w:type="pct"/>
          </w:tcPr>
          <w:p w:rsidR="0058574E" w:rsidRPr="00446B3E" w:rsidRDefault="0058574E" w:rsidP="00E7317C">
            <w:pPr>
              <w:jc w:val="center"/>
              <w:rPr>
                <w:sz w:val="20"/>
                <w:szCs w:val="20"/>
              </w:rPr>
            </w:pPr>
            <w:r w:rsidRPr="00446B3E">
              <w:rPr>
                <w:sz w:val="20"/>
                <w:szCs w:val="20"/>
              </w:rPr>
              <w:t>5,0</w:t>
            </w:r>
          </w:p>
        </w:tc>
        <w:tc>
          <w:tcPr>
            <w:tcW w:w="746" w:type="pct"/>
          </w:tcPr>
          <w:p w:rsidR="0058574E" w:rsidRPr="00446B3E" w:rsidRDefault="0058574E" w:rsidP="00E7317C">
            <w:pPr>
              <w:jc w:val="center"/>
              <w:rPr>
                <w:sz w:val="20"/>
                <w:szCs w:val="20"/>
              </w:rPr>
            </w:pPr>
            <w:r w:rsidRPr="00446B3E">
              <w:rPr>
                <w:sz w:val="20"/>
                <w:szCs w:val="20"/>
              </w:rPr>
              <w:t>5,0</w:t>
            </w:r>
          </w:p>
        </w:tc>
      </w:tr>
      <w:tr w:rsidR="0058574E" w:rsidRPr="00446B3E" w:rsidTr="00E7317C">
        <w:trPr>
          <w:trHeight w:val="554"/>
        </w:trPr>
        <w:tc>
          <w:tcPr>
            <w:tcW w:w="2836" w:type="pct"/>
          </w:tcPr>
          <w:p w:rsidR="0058574E" w:rsidRPr="00446B3E" w:rsidRDefault="0058574E" w:rsidP="00E7317C">
            <w:pPr>
              <w:pStyle w:val="af4"/>
              <w:numPr>
                <w:ilvl w:val="0"/>
                <w:numId w:val="5"/>
              </w:numPr>
              <w:rPr>
                <w:sz w:val="20"/>
                <w:szCs w:val="20"/>
              </w:rPr>
            </w:pPr>
            <w:r w:rsidRPr="00446B3E">
              <w:rPr>
                <w:sz w:val="20"/>
                <w:szCs w:val="20"/>
              </w:rPr>
              <w:t xml:space="preserve">Сумма госпошлины, тыс. руб. (стр. 1*стр.3)+(стр. 2*стр.4) </w:t>
            </w:r>
          </w:p>
        </w:tc>
        <w:tc>
          <w:tcPr>
            <w:tcW w:w="746" w:type="pct"/>
          </w:tcPr>
          <w:p w:rsidR="0058574E" w:rsidRPr="00446B3E" w:rsidRDefault="0058574E" w:rsidP="00E7317C">
            <w:pPr>
              <w:jc w:val="center"/>
              <w:rPr>
                <w:sz w:val="20"/>
                <w:szCs w:val="20"/>
              </w:rPr>
            </w:pPr>
            <w:r w:rsidRPr="00446B3E">
              <w:rPr>
                <w:sz w:val="20"/>
                <w:szCs w:val="20"/>
              </w:rPr>
              <w:t>495,0</w:t>
            </w:r>
          </w:p>
        </w:tc>
        <w:tc>
          <w:tcPr>
            <w:tcW w:w="672" w:type="pct"/>
          </w:tcPr>
          <w:p w:rsidR="0058574E" w:rsidRPr="00446B3E" w:rsidRDefault="0058574E" w:rsidP="00E7317C">
            <w:pPr>
              <w:jc w:val="center"/>
              <w:rPr>
                <w:sz w:val="20"/>
                <w:szCs w:val="20"/>
              </w:rPr>
            </w:pPr>
            <w:r w:rsidRPr="00446B3E">
              <w:rPr>
                <w:sz w:val="20"/>
                <w:szCs w:val="20"/>
              </w:rPr>
              <w:t>495,0</w:t>
            </w:r>
          </w:p>
        </w:tc>
        <w:tc>
          <w:tcPr>
            <w:tcW w:w="746" w:type="pct"/>
          </w:tcPr>
          <w:p w:rsidR="0058574E" w:rsidRPr="00446B3E" w:rsidRDefault="0058574E" w:rsidP="00E7317C">
            <w:pPr>
              <w:jc w:val="center"/>
              <w:rPr>
                <w:sz w:val="20"/>
                <w:szCs w:val="20"/>
              </w:rPr>
            </w:pPr>
            <w:r w:rsidRPr="00446B3E">
              <w:rPr>
                <w:sz w:val="20"/>
                <w:szCs w:val="20"/>
              </w:rPr>
              <w:t>495,0</w:t>
            </w:r>
          </w:p>
        </w:tc>
      </w:tr>
    </w:tbl>
    <w:p w:rsidR="0058574E" w:rsidRPr="00446B3E" w:rsidRDefault="0058574E" w:rsidP="0058574E">
      <w:pPr>
        <w:ind w:firstLine="900"/>
        <w:jc w:val="center"/>
        <w:rPr>
          <w:b/>
          <w:bCs/>
          <w:iCs/>
          <w:sz w:val="28"/>
          <w:szCs w:val="28"/>
          <w:lang w:val="en-US"/>
        </w:rPr>
      </w:pPr>
    </w:p>
    <w:p w:rsidR="0058574E" w:rsidRPr="00056458" w:rsidRDefault="0058574E" w:rsidP="0058574E">
      <w:pPr>
        <w:jc w:val="center"/>
        <w:rPr>
          <w:b/>
          <w:bCs/>
          <w:iCs/>
          <w:sz w:val="28"/>
          <w:szCs w:val="28"/>
        </w:rPr>
      </w:pPr>
      <w:r w:rsidRPr="00446B3E">
        <w:rPr>
          <w:b/>
          <w:bCs/>
          <w:iCs/>
          <w:sz w:val="28"/>
          <w:szCs w:val="28"/>
        </w:rPr>
        <w:t xml:space="preserve">17. Государственная пошлина за совершение </w:t>
      </w:r>
      <w:r w:rsidRPr="00056458">
        <w:rPr>
          <w:b/>
          <w:bCs/>
          <w:iCs/>
          <w:sz w:val="28"/>
          <w:szCs w:val="28"/>
        </w:rPr>
        <w:t>уполномоченным органом исполнительной власти субъектов Российской Федерации юридически значимых действий, связанных с государственной регистрацией аттракционов, зачисляемая в бюджеты субъектов</w:t>
      </w:r>
    </w:p>
    <w:p w:rsidR="0058574E" w:rsidRPr="00056458" w:rsidRDefault="0058574E" w:rsidP="0058574E">
      <w:pPr>
        <w:jc w:val="center"/>
        <w:rPr>
          <w:b/>
          <w:bCs/>
          <w:iCs/>
          <w:sz w:val="28"/>
          <w:szCs w:val="28"/>
        </w:rPr>
      </w:pPr>
      <w:r w:rsidRPr="00056458">
        <w:rPr>
          <w:b/>
          <w:bCs/>
          <w:iCs/>
          <w:sz w:val="28"/>
          <w:szCs w:val="28"/>
        </w:rPr>
        <w:t xml:space="preserve"> Российской Федерации</w:t>
      </w:r>
    </w:p>
    <w:p w:rsidR="0058574E" w:rsidRPr="00056458" w:rsidRDefault="0058574E" w:rsidP="0058574E">
      <w:pPr>
        <w:jc w:val="center"/>
        <w:rPr>
          <w:b/>
          <w:bCs/>
          <w:iCs/>
          <w:sz w:val="28"/>
          <w:szCs w:val="28"/>
        </w:rPr>
      </w:pPr>
      <w:r w:rsidRPr="00056458">
        <w:rPr>
          <w:bCs/>
          <w:iCs/>
        </w:rPr>
        <w:t xml:space="preserve">(по данным Главного управления «Государственной инспекции по надзору за техническим состоянием самоходных машин и других видов техники </w:t>
      </w:r>
      <w:r w:rsidRPr="00056458">
        <w:rPr>
          <w:bCs/>
          <w:iCs/>
        </w:rPr>
        <w:br/>
        <w:t>Тверской области»)</w:t>
      </w:r>
    </w:p>
    <w:p w:rsidR="0058574E" w:rsidRPr="00056458" w:rsidRDefault="0058574E" w:rsidP="0058574E">
      <w:pPr>
        <w:jc w:val="center"/>
        <w:rPr>
          <w:b/>
          <w:bCs/>
          <w:iCs/>
          <w:sz w:val="28"/>
          <w:szCs w:val="28"/>
        </w:rPr>
      </w:pPr>
      <w:r w:rsidRPr="00056458">
        <w:rPr>
          <w:b/>
          <w:bCs/>
          <w:iCs/>
        </w:rPr>
        <w:t>(000 1 08 07510 01 0000 110)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7"/>
        <w:gridCol w:w="1292"/>
        <w:gridCol w:w="1675"/>
        <w:gridCol w:w="1577"/>
      </w:tblGrid>
      <w:tr w:rsidR="0058574E" w:rsidRPr="000C7712" w:rsidTr="00E7317C">
        <w:trPr>
          <w:trHeight w:val="148"/>
          <w:tblHeader/>
        </w:trPr>
        <w:tc>
          <w:tcPr>
            <w:tcW w:w="2675" w:type="pct"/>
          </w:tcPr>
          <w:p w:rsidR="0058574E" w:rsidRPr="00333651" w:rsidRDefault="0058574E" w:rsidP="00E7317C">
            <w:pPr>
              <w:jc w:val="center"/>
              <w:rPr>
                <w:sz w:val="20"/>
                <w:szCs w:val="20"/>
              </w:rPr>
            </w:pPr>
            <w:r w:rsidRPr="00333651">
              <w:rPr>
                <w:sz w:val="20"/>
                <w:szCs w:val="20"/>
              </w:rPr>
              <w:t>Наименование показателя</w:t>
            </w:r>
          </w:p>
        </w:tc>
        <w:tc>
          <w:tcPr>
            <w:tcW w:w="661" w:type="pct"/>
          </w:tcPr>
          <w:p w:rsidR="0058574E" w:rsidRPr="00810661" w:rsidRDefault="0058574E" w:rsidP="005D6ACF">
            <w:pPr>
              <w:pStyle w:val="af4"/>
              <w:numPr>
                <w:ilvl w:val="0"/>
                <w:numId w:val="18"/>
              </w:numPr>
              <w:jc w:val="center"/>
              <w:rPr>
                <w:sz w:val="20"/>
                <w:szCs w:val="20"/>
              </w:rPr>
            </w:pPr>
            <w:r w:rsidRPr="00810661">
              <w:rPr>
                <w:sz w:val="20"/>
                <w:szCs w:val="20"/>
              </w:rPr>
              <w:t>год</w:t>
            </w:r>
          </w:p>
        </w:tc>
        <w:tc>
          <w:tcPr>
            <w:tcW w:w="857" w:type="pct"/>
          </w:tcPr>
          <w:p w:rsidR="0058574E" w:rsidRPr="00810661" w:rsidRDefault="0058574E" w:rsidP="00E7317C">
            <w:pPr>
              <w:ind w:left="360"/>
              <w:jc w:val="center"/>
              <w:rPr>
                <w:sz w:val="20"/>
                <w:szCs w:val="20"/>
              </w:rPr>
            </w:pPr>
            <w:r>
              <w:rPr>
                <w:sz w:val="20"/>
                <w:szCs w:val="20"/>
              </w:rPr>
              <w:t xml:space="preserve">2023 </w:t>
            </w:r>
            <w:r w:rsidRPr="00810661">
              <w:rPr>
                <w:sz w:val="20"/>
                <w:szCs w:val="20"/>
              </w:rPr>
              <w:t>год</w:t>
            </w:r>
          </w:p>
        </w:tc>
        <w:tc>
          <w:tcPr>
            <w:tcW w:w="807" w:type="pct"/>
          </w:tcPr>
          <w:p w:rsidR="0058574E" w:rsidRPr="00333651" w:rsidRDefault="0058574E" w:rsidP="00E7317C">
            <w:pPr>
              <w:pStyle w:val="af4"/>
              <w:ind w:left="0"/>
              <w:jc w:val="center"/>
              <w:rPr>
                <w:sz w:val="20"/>
                <w:szCs w:val="20"/>
              </w:rPr>
            </w:pPr>
            <w:r w:rsidRPr="00333651">
              <w:rPr>
                <w:sz w:val="20"/>
                <w:szCs w:val="20"/>
              </w:rPr>
              <w:t>202</w:t>
            </w:r>
            <w:r>
              <w:rPr>
                <w:sz w:val="20"/>
                <w:szCs w:val="20"/>
              </w:rPr>
              <w:t>4</w:t>
            </w:r>
            <w:r w:rsidRPr="00333651">
              <w:rPr>
                <w:sz w:val="20"/>
                <w:szCs w:val="20"/>
              </w:rPr>
              <w:t xml:space="preserve"> год</w:t>
            </w:r>
          </w:p>
        </w:tc>
      </w:tr>
      <w:tr w:rsidR="0058574E" w:rsidRPr="000C7712" w:rsidTr="00E7317C">
        <w:trPr>
          <w:trHeight w:val="2187"/>
        </w:trPr>
        <w:tc>
          <w:tcPr>
            <w:tcW w:w="2675" w:type="pct"/>
          </w:tcPr>
          <w:p w:rsidR="0058574E" w:rsidRPr="00333651" w:rsidRDefault="0058574E" w:rsidP="005D6ACF">
            <w:pPr>
              <w:pStyle w:val="af4"/>
              <w:numPr>
                <w:ilvl w:val="0"/>
                <w:numId w:val="10"/>
              </w:numPr>
              <w:tabs>
                <w:tab w:val="clear" w:pos="705"/>
                <w:tab w:val="num" w:pos="345"/>
                <w:tab w:val="num" w:pos="1211"/>
              </w:tabs>
              <w:ind w:left="0" w:firstLine="0"/>
              <w:rPr>
                <w:sz w:val="20"/>
                <w:szCs w:val="20"/>
              </w:rPr>
            </w:pPr>
            <w:r w:rsidRPr="00333651">
              <w:rPr>
                <w:sz w:val="20"/>
                <w:szCs w:val="20"/>
              </w:rPr>
              <w:t>Количество предоставляемых услуг по государственной регистрации (возобновление государственной регистрации) аттракциона, включая выдачу свидетельства о государственной регистрации аттракциона и государственного регистрационного знака на аттракцион, ед. (начисление госпошлины производится с 2020 года, количественные показатели предоставлены государственными инженерами-инспекторами гостехнадзора)</w:t>
            </w:r>
          </w:p>
          <w:p w:rsidR="0058574E" w:rsidRPr="00333651" w:rsidRDefault="0058574E" w:rsidP="005D6ACF">
            <w:pPr>
              <w:numPr>
                <w:ilvl w:val="1"/>
                <w:numId w:val="10"/>
              </w:numPr>
              <w:tabs>
                <w:tab w:val="clear" w:pos="360"/>
                <w:tab w:val="num" w:pos="0"/>
              </w:tabs>
              <w:ind w:left="0" w:firstLine="0"/>
              <w:rPr>
                <w:sz w:val="20"/>
                <w:szCs w:val="20"/>
              </w:rPr>
            </w:pPr>
            <w:r w:rsidRPr="00333651">
              <w:rPr>
                <w:sz w:val="20"/>
                <w:szCs w:val="20"/>
              </w:rPr>
              <w:t>С высокой степенью потенциального биомеханического риска (</w:t>
            </w:r>
            <w:r w:rsidRPr="00333651">
              <w:rPr>
                <w:sz w:val="20"/>
                <w:szCs w:val="20"/>
                <w:lang w:val="en-US"/>
              </w:rPr>
              <w:t>RB</w:t>
            </w:r>
            <w:r w:rsidRPr="00333651">
              <w:rPr>
                <w:sz w:val="20"/>
                <w:szCs w:val="20"/>
              </w:rPr>
              <w:t>-1);</w:t>
            </w:r>
          </w:p>
          <w:p w:rsidR="0058574E" w:rsidRPr="00333651" w:rsidRDefault="0058574E" w:rsidP="005D6ACF">
            <w:pPr>
              <w:numPr>
                <w:ilvl w:val="1"/>
                <w:numId w:val="10"/>
              </w:numPr>
              <w:tabs>
                <w:tab w:val="clear" w:pos="360"/>
                <w:tab w:val="num" w:pos="0"/>
              </w:tabs>
              <w:ind w:left="0" w:firstLine="0"/>
              <w:rPr>
                <w:sz w:val="20"/>
                <w:szCs w:val="20"/>
              </w:rPr>
            </w:pPr>
            <w:r w:rsidRPr="00333651">
              <w:rPr>
                <w:sz w:val="20"/>
                <w:szCs w:val="20"/>
              </w:rPr>
              <w:t xml:space="preserve"> Со средней степенью потенциального биомеханического риска (</w:t>
            </w:r>
            <w:r w:rsidRPr="00333651">
              <w:rPr>
                <w:sz w:val="20"/>
                <w:szCs w:val="20"/>
                <w:lang w:val="en-US"/>
              </w:rPr>
              <w:t>RB</w:t>
            </w:r>
            <w:r w:rsidRPr="00333651">
              <w:rPr>
                <w:sz w:val="20"/>
                <w:szCs w:val="20"/>
              </w:rPr>
              <w:t>-2);</w:t>
            </w:r>
          </w:p>
          <w:p w:rsidR="0058574E" w:rsidRPr="00333651" w:rsidRDefault="0058574E" w:rsidP="005D6ACF">
            <w:pPr>
              <w:numPr>
                <w:ilvl w:val="1"/>
                <w:numId w:val="10"/>
              </w:numPr>
              <w:tabs>
                <w:tab w:val="clear" w:pos="360"/>
                <w:tab w:val="num" w:pos="0"/>
              </w:tabs>
              <w:ind w:left="0" w:firstLine="0"/>
              <w:rPr>
                <w:sz w:val="20"/>
                <w:szCs w:val="20"/>
              </w:rPr>
            </w:pPr>
            <w:r w:rsidRPr="00333651">
              <w:rPr>
                <w:sz w:val="20"/>
                <w:szCs w:val="20"/>
              </w:rPr>
              <w:t>С низкой степенью потенциального биомеханического риска (</w:t>
            </w:r>
            <w:r w:rsidRPr="00333651">
              <w:rPr>
                <w:sz w:val="20"/>
                <w:szCs w:val="20"/>
                <w:lang w:val="en-US"/>
              </w:rPr>
              <w:t>RB</w:t>
            </w:r>
            <w:r w:rsidRPr="00333651">
              <w:rPr>
                <w:sz w:val="20"/>
                <w:szCs w:val="20"/>
              </w:rPr>
              <w:t>-3);</w:t>
            </w:r>
          </w:p>
        </w:tc>
        <w:tc>
          <w:tcPr>
            <w:tcW w:w="661" w:type="pct"/>
          </w:tcPr>
          <w:p w:rsidR="0058574E" w:rsidRPr="00333651" w:rsidRDefault="0058574E" w:rsidP="00E7317C">
            <w:pPr>
              <w:jc w:val="center"/>
              <w:rPr>
                <w:sz w:val="20"/>
                <w:szCs w:val="20"/>
              </w:rPr>
            </w:pPr>
          </w:p>
          <w:p w:rsidR="0058574E" w:rsidRPr="00333651" w:rsidRDefault="0058574E" w:rsidP="00E7317C">
            <w:pPr>
              <w:jc w:val="center"/>
              <w:rPr>
                <w:sz w:val="20"/>
                <w:szCs w:val="20"/>
              </w:rPr>
            </w:pPr>
          </w:p>
          <w:p w:rsidR="0058574E" w:rsidRPr="00333651" w:rsidRDefault="0058574E" w:rsidP="00E7317C">
            <w:pPr>
              <w:jc w:val="center"/>
              <w:rPr>
                <w:sz w:val="20"/>
                <w:szCs w:val="20"/>
              </w:rPr>
            </w:pPr>
          </w:p>
          <w:p w:rsidR="0058574E" w:rsidRPr="00333651" w:rsidRDefault="0058574E" w:rsidP="00E7317C">
            <w:pPr>
              <w:jc w:val="center"/>
              <w:rPr>
                <w:sz w:val="20"/>
                <w:szCs w:val="20"/>
              </w:rPr>
            </w:pPr>
          </w:p>
          <w:p w:rsidR="0058574E" w:rsidRPr="00333651" w:rsidRDefault="0058574E" w:rsidP="00E7317C">
            <w:pPr>
              <w:jc w:val="center"/>
              <w:rPr>
                <w:sz w:val="20"/>
                <w:szCs w:val="20"/>
              </w:rPr>
            </w:pPr>
          </w:p>
          <w:p w:rsidR="0058574E" w:rsidRPr="00333651" w:rsidRDefault="0058574E" w:rsidP="00E7317C">
            <w:pPr>
              <w:jc w:val="center"/>
              <w:rPr>
                <w:sz w:val="20"/>
                <w:szCs w:val="20"/>
              </w:rPr>
            </w:pPr>
          </w:p>
          <w:p w:rsidR="0058574E" w:rsidRPr="00333651" w:rsidRDefault="0058574E" w:rsidP="00E7317C">
            <w:pPr>
              <w:jc w:val="center"/>
              <w:rPr>
                <w:sz w:val="20"/>
                <w:szCs w:val="20"/>
              </w:rPr>
            </w:pPr>
          </w:p>
          <w:p w:rsidR="0058574E" w:rsidRPr="00333651" w:rsidRDefault="0058574E" w:rsidP="00E7317C">
            <w:pPr>
              <w:jc w:val="center"/>
              <w:rPr>
                <w:sz w:val="20"/>
                <w:szCs w:val="20"/>
              </w:rPr>
            </w:pPr>
          </w:p>
          <w:p w:rsidR="0058574E" w:rsidRPr="00333651" w:rsidRDefault="0058574E" w:rsidP="00E7317C">
            <w:pPr>
              <w:jc w:val="center"/>
              <w:rPr>
                <w:sz w:val="20"/>
                <w:szCs w:val="20"/>
              </w:rPr>
            </w:pPr>
          </w:p>
          <w:p w:rsidR="0058574E" w:rsidRPr="00333651" w:rsidRDefault="0058574E" w:rsidP="00E7317C">
            <w:pPr>
              <w:jc w:val="center"/>
              <w:rPr>
                <w:sz w:val="20"/>
                <w:szCs w:val="20"/>
              </w:rPr>
            </w:pPr>
            <w:r w:rsidRPr="00333651">
              <w:rPr>
                <w:sz w:val="20"/>
                <w:szCs w:val="20"/>
              </w:rPr>
              <w:t>2</w:t>
            </w:r>
          </w:p>
          <w:p w:rsidR="0058574E" w:rsidRPr="00333651" w:rsidRDefault="0058574E" w:rsidP="00E7317C">
            <w:pPr>
              <w:jc w:val="center"/>
              <w:rPr>
                <w:sz w:val="20"/>
                <w:szCs w:val="20"/>
              </w:rPr>
            </w:pPr>
          </w:p>
          <w:p w:rsidR="0058574E" w:rsidRPr="00333651" w:rsidRDefault="0058574E" w:rsidP="00E7317C">
            <w:pPr>
              <w:jc w:val="center"/>
              <w:rPr>
                <w:sz w:val="20"/>
                <w:szCs w:val="20"/>
              </w:rPr>
            </w:pPr>
            <w:r w:rsidRPr="00333651">
              <w:rPr>
                <w:sz w:val="20"/>
                <w:szCs w:val="20"/>
              </w:rPr>
              <w:t>5</w:t>
            </w:r>
          </w:p>
          <w:p w:rsidR="0058574E" w:rsidRPr="00333651" w:rsidRDefault="0058574E" w:rsidP="00E7317C">
            <w:pPr>
              <w:jc w:val="center"/>
              <w:rPr>
                <w:sz w:val="20"/>
                <w:szCs w:val="20"/>
              </w:rPr>
            </w:pPr>
          </w:p>
          <w:p w:rsidR="0058574E" w:rsidRPr="00333651" w:rsidRDefault="0058574E" w:rsidP="00E7317C">
            <w:pPr>
              <w:jc w:val="center"/>
              <w:rPr>
                <w:sz w:val="20"/>
                <w:szCs w:val="20"/>
              </w:rPr>
            </w:pPr>
            <w:r w:rsidRPr="00333651">
              <w:rPr>
                <w:sz w:val="20"/>
                <w:szCs w:val="20"/>
              </w:rPr>
              <w:t>12</w:t>
            </w:r>
          </w:p>
        </w:tc>
        <w:tc>
          <w:tcPr>
            <w:tcW w:w="857" w:type="pct"/>
          </w:tcPr>
          <w:p w:rsidR="0058574E" w:rsidRPr="00333651" w:rsidRDefault="0058574E" w:rsidP="00E7317C">
            <w:pPr>
              <w:jc w:val="center"/>
              <w:rPr>
                <w:sz w:val="20"/>
                <w:szCs w:val="20"/>
              </w:rPr>
            </w:pPr>
          </w:p>
          <w:p w:rsidR="0058574E" w:rsidRPr="00333651" w:rsidRDefault="0058574E" w:rsidP="00E7317C">
            <w:pPr>
              <w:jc w:val="center"/>
              <w:rPr>
                <w:sz w:val="20"/>
                <w:szCs w:val="20"/>
              </w:rPr>
            </w:pPr>
          </w:p>
          <w:p w:rsidR="0058574E" w:rsidRPr="00333651" w:rsidRDefault="0058574E" w:rsidP="00E7317C">
            <w:pPr>
              <w:jc w:val="center"/>
              <w:rPr>
                <w:sz w:val="20"/>
                <w:szCs w:val="20"/>
              </w:rPr>
            </w:pPr>
          </w:p>
          <w:p w:rsidR="0058574E" w:rsidRPr="00333651" w:rsidRDefault="0058574E" w:rsidP="00E7317C">
            <w:pPr>
              <w:jc w:val="center"/>
              <w:rPr>
                <w:sz w:val="20"/>
                <w:szCs w:val="20"/>
              </w:rPr>
            </w:pPr>
          </w:p>
          <w:p w:rsidR="0058574E" w:rsidRPr="00333651" w:rsidRDefault="0058574E" w:rsidP="00E7317C">
            <w:pPr>
              <w:jc w:val="center"/>
              <w:rPr>
                <w:sz w:val="20"/>
                <w:szCs w:val="20"/>
              </w:rPr>
            </w:pPr>
          </w:p>
          <w:p w:rsidR="0058574E" w:rsidRPr="00333651" w:rsidRDefault="0058574E" w:rsidP="00E7317C">
            <w:pPr>
              <w:jc w:val="center"/>
              <w:rPr>
                <w:sz w:val="20"/>
                <w:szCs w:val="20"/>
              </w:rPr>
            </w:pPr>
          </w:p>
          <w:p w:rsidR="0058574E" w:rsidRPr="00333651" w:rsidRDefault="0058574E" w:rsidP="00E7317C">
            <w:pPr>
              <w:jc w:val="center"/>
              <w:rPr>
                <w:sz w:val="20"/>
                <w:szCs w:val="20"/>
              </w:rPr>
            </w:pPr>
          </w:p>
          <w:p w:rsidR="0058574E" w:rsidRPr="00333651" w:rsidRDefault="0058574E" w:rsidP="00E7317C">
            <w:pPr>
              <w:jc w:val="center"/>
              <w:rPr>
                <w:sz w:val="20"/>
                <w:szCs w:val="20"/>
              </w:rPr>
            </w:pPr>
          </w:p>
          <w:p w:rsidR="0058574E" w:rsidRPr="00333651" w:rsidRDefault="0058574E" w:rsidP="00E7317C">
            <w:pPr>
              <w:jc w:val="center"/>
              <w:rPr>
                <w:sz w:val="20"/>
                <w:szCs w:val="20"/>
              </w:rPr>
            </w:pPr>
          </w:p>
          <w:p w:rsidR="0058574E" w:rsidRPr="00333651" w:rsidRDefault="0058574E" w:rsidP="00E7317C">
            <w:pPr>
              <w:jc w:val="center"/>
              <w:rPr>
                <w:sz w:val="20"/>
                <w:szCs w:val="20"/>
              </w:rPr>
            </w:pPr>
            <w:r w:rsidRPr="00333651">
              <w:rPr>
                <w:sz w:val="20"/>
                <w:szCs w:val="20"/>
              </w:rPr>
              <w:t>1</w:t>
            </w:r>
          </w:p>
          <w:p w:rsidR="0058574E" w:rsidRPr="00333651" w:rsidRDefault="0058574E" w:rsidP="00E7317C">
            <w:pPr>
              <w:jc w:val="center"/>
              <w:rPr>
                <w:sz w:val="20"/>
                <w:szCs w:val="20"/>
              </w:rPr>
            </w:pPr>
          </w:p>
          <w:p w:rsidR="0058574E" w:rsidRPr="00333651" w:rsidRDefault="0058574E" w:rsidP="00E7317C">
            <w:pPr>
              <w:jc w:val="center"/>
              <w:rPr>
                <w:sz w:val="20"/>
                <w:szCs w:val="20"/>
              </w:rPr>
            </w:pPr>
            <w:r w:rsidRPr="00333651">
              <w:rPr>
                <w:sz w:val="20"/>
                <w:szCs w:val="20"/>
              </w:rPr>
              <w:t>8</w:t>
            </w:r>
          </w:p>
          <w:p w:rsidR="0058574E" w:rsidRPr="00333651" w:rsidRDefault="0058574E" w:rsidP="00E7317C">
            <w:pPr>
              <w:jc w:val="center"/>
              <w:rPr>
                <w:sz w:val="20"/>
                <w:szCs w:val="20"/>
              </w:rPr>
            </w:pPr>
          </w:p>
          <w:p w:rsidR="0058574E" w:rsidRPr="00333651" w:rsidRDefault="0058574E" w:rsidP="00E7317C">
            <w:pPr>
              <w:jc w:val="center"/>
              <w:rPr>
                <w:sz w:val="20"/>
                <w:szCs w:val="20"/>
              </w:rPr>
            </w:pPr>
            <w:r w:rsidRPr="00333651">
              <w:rPr>
                <w:sz w:val="20"/>
                <w:szCs w:val="20"/>
              </w:rPr>
              <w:t>8</w:t>
            </w:r>
          </w:p>
        </w:tc>
        <w:tc>
          <w:tcPr>
            <w:tcW w:w="807" w:type="pct"/>
          </w:tcPr>
          <w:p w:rsidR="0058574E" w:rsidRPr="00333651" w:rsidRDefault="0058574E" w:rsidP="00E7317C">
            <w:pPr>
              <w:rPr>
                <w:sz w:val="20"/>
                <w:szCs w:val="20"/>
              </w:rPr>
            </w:pPr>
          </w:p>
          <w:p w:rsidR="0058574E" w:rsidRPr="00333651" w:rsidRDefault="0058574E" w:rsidP="00E7317C">
            <w:pPr>
              <w:rPr>
                <w:sz w:val="20"/>
                <w:szCs w:val="20"/>
              </w:rPr>
            </w:pPr>
          </w:p>
          <w:p w:rsidR="0058574E" w:rsidRPr="00333651" w:rsidRDefault="0058574E" w:rsidP="00E7317C">
            <w:pPr>
              <w:jc w:val="center"/>
              <w:rPr>
                <w:sz w:val="20"/>
                <w:szCs w:val="20"/>
              </w:rPr>
            </w:pPr>
          </w:p>
          <w:p w:rsidR="0058574E" w:rsidRPr="00333651" w:rsidRDefault="0058574E" w:rsidP="00E7317C">
            <w:pPr>
              <w:jc w:val="center"/>
              <w:rPr>
                <w:sz w:val="20"/>
                <w:szCs w:val="20"/>
              </w:rPr>
            </w:pPr>
          </w:p>
          <w:p w:rsidR="0058574E" w:rsidRPr="00333651" w:rsidRDefault="0058574E" w:rsidP="00E7317C">
            <w:pPr>
              <w:jc w:val="center"/>
              <w:rPr>
                <w:sz w:val="20"/>
                <w:szCs w:val="20"/>
              </w:rPr>
            </w:pPr>
          </w:p>
          <w:p w:rsidR="0058574E" w:rsidRPr="00333651" w:rsidRDefault="0058574E" w:rsidP="00E7317C">
            <w:pPr>
              <w:jc w:val="center"/>
              <w:rPr>
                <w:sz w:val="20"/>
                <w:szCs w:val="20"/>
              </w:rPr>
            </w:pPr>
          </w:p>
          <w:p w:rsidR="0058574E" w:rsidRPr="00333651" w:rsidRDefault="0058574E" w:rsidP="00E7317C">
            <w:pPr>
              <w:jc w:val="center"/>
              <w:rPr>
                <w:sz w:val="20"/>
                <w:szCs w:val="20"/>
              </w:rPr>
            </w:pPr>
          </w:p>
          <w:p w:rsidR="0058574E" w:rsidRPr="00333651" w:rsidRDefault="0058574E" w:rsidP="00E7317C">
            <w:pPr>
              <w:jc w:val="center"/>
              <w:rPr>
                <w:sz w:val="20"/>
                <w:szCs w:val="20"/>
              </w:rPr>
            </w:pPr>
          </w:p>
          <w:p w:rsidR="0058574E" w:rsidRPr="00333651" w:rsidRDefault="0058574E" w:rsidP="00E7317C">
            <w:pPr>
              <w:jc w:val="center"/>
              <w:rPr>
                <w:sz w:val="20"/>
                <w:szCs w:val="20"/>
              </w:rPr>
            </w:pPr>
          </w:p>
          <w:p w:rsidR="0058574E" w:rsidRPr="00333651" w:rsidRDefault="0058574E" w:rsidP="00E7317C">
            <w:pPr>
              <w:jc w:val="center"/>
              <w:rPr>
                <w:sz w:val="20"/>
                <w:szCs w:val="20"/>
              </w:rPr>
            </w:pPr>
            <w:r w:rsidRPr="00333651">
              <w:rPr>
                <w:sz w:val="20"/>
                <w:szCs w:val="20"/>
              </w:rPr>
              <w:t>1</w:t>
            </w:r>
          </w:p>
          <w:p w:rsidR="0058574E" w:rsidRPr="00333651" w:rsidRDefault="0058574E" w:rsidP="00E7317C">
            <w:pPr>
              <w:jc w:val="center"/>
              <w:rPr>
                <w:sz w:val="20"/>
                <w:szCs w:val="20"/>
              </w:rPr>
            </w:pPr>
          </w:p>
          <w:p w:rsidR="0058574E" w:rsidRPr="00333651" w:rsidRDefault="0058574E" w:rsidP="00E7317C">
            <w:pPr>
              <w:jc w:val="center"/>
              <w:rPr>
                <w:sz w:val="20"/>
                <w:szCs w:val="20"/>
              </w:rPr>
            </w:pPr>
            <w:r w:rsidRPr="00333651">
              <w:rPr>
                <w:sz w:val="20"/>
                <w:szCs w:val="20"/>
              </w:rPr>
              <w:t>4</w:t>
            </w:r>
          </w:p>
          <w:p w:rsidR="0058574E" w:rsidRPr="00333651" w:rsidRDefault="0058574E" w:rsidP="00E7317C">
            <w:pPr>
              <w:jc w:val="center"/>
              <w:rPr>
                <w:sz w:val="20"/>
                <w:szCs w:val="20"/>
              </w:rPr>
            </w:pPr>
          </w:p>
          <w:p w:rsidR="0058574E" w:rsidRPr="00333651" w:rsidRDefault="0058574E" w:rsidP="00E7317C">
            <w:pPr>
              <w:jc w:val="center"/>
              <w:rPr>
                <w:sz w:val="20"/>
                <w:szCs w:val="20"/>
              </w:rPr>
            </w:pPr>
            <w:r w:rsidRPr="00333651">
              <w:rPr>
                <w:sz w:val="20"/>
                <w:szCs w:val="20"/>
              </w:rPr>
              <w:t>7</w:t>
            </w:r>
          </w:p>
        </w:tc>
      </w:tr>
      <w:tr w:rsidR="0058574E" w:rsidRPr="000C7712" w:rsidTr="00E7317C">
        <w:trPr>
          <w:trHeight w:val="415"/>
        </w:trPr>
        <w:tc>
          <w:tcPr>
            <w:tcW w:w="2675" w:type="pct"/>
          </w:tcPr>
          <w:p w:rsidR="0058574E" w:rsidRPr="00333651" w:rsidRDefault="0058574E" w:rsidP="005D6ACF">
            <w:pPr>
              <w:pStyle w:val="af4"/>
              <w:numPr>
                <w:ilvl w:val="0"/>
                <w:numId w:val="10"/>
              </w:numPr>
              <w:tabs>
                <w:tab w:val="clear" w:pos="705"/>
                <w:tab w:val="num" w:pos="345"/>
                <w:tab w:val="num" w:pos="1211"/>
              </w:tabs>
              <w:ind w:left="0" w:firstLine="0"/>
              <w:rPr>
                <w:sz w:val="20"/>
                <w:szCs w:val="20"/>
              </w:rPr>
            </w:pPr>
            <w:r w:rsidRPr="00333651">
              <w:rPr>
                <w:sz w:val="20"/>
                <w:szCs w:val="20"/>
              </w:rPr>
              <w:t>Количество предоставляемых услуг за временную государственную регистрацию по месту пребывания ранее зарегистрированного аттракциона, ед. (начисление госпошлины производится с 2020 года, количественные показатели предоставлены государственными инженерами-инспекторами гостехнадзора):</w:t>
            </w:r>
          </w:p>
          <w:p w:rsidR="0058574E" w:rsidRPr="00333651" w:rsidRDefault="0058574E" w:rsidP="005D6ACF">
            <w:pPr>
              <w:numPr>
                <w:ilvl w:val="1"/>
                <w:numId w:val="10"/>
              </w:numPr>
              <w:tabs>
                <w:tab w:val="clear" w:pos="360"/>
                <w:tab w:val="num" w:pos="0"/>
              </w:tabs>
              <w:ind w:left="0" w:firstLine="0"/>
              <w:rPr>
                <w:sz w:val="20"/>
                <w:szCs w:val="20"/>
              </w:rPr>
            </w:pPr>
            <w:r w:rsidRPr="00333651">
              <w:rPr>
                <w:sz w:val="20"/>
                <w:szCs w:val="20"/>
              </w:rPr>
              <w:t>С высокой степенью потенциального биомеханического риска (</w:t>
            </w:r>
            <w:r w:rsidRPr="00333651">
              <w:rPr>
                <w:sz w:val="20"/>
                <w:szCs w:val="20"/>
                <w:lang w:val="en-US"/>
              </w:rPr>
              <w:t>RB</w:t>
            </w:r>
            <w:r w:rsidRPr="00333651">
              <w:rPr>
                <w:sz w:val="20"/>
                <w:szCs w:val="20"/>
              </w:rPr>
              <w:t>-1)</w:t>
            </w:r>
          </w:p>
          <w:p w:rsidR="0058574E" w:rsidRPr="00333651" w:rsidRDefault="0058574E" w:rsidP="005D6ACF">
            <w:pPr>
              <w:numPr>
                <w:ilvl w:val="1"/>
                <w:numId w:val="10"/>
              </w:numPr>
              <w:tabs>
                <w:tab w:val="clear" w:pos="360"/>
                <w:tab w:val="num" w:pos="0"/>
              </w:tabs>
              <w:ind w:left="0" w:firstLine="0"/>
              <w:rPr>
                <w:sz w:val="20"/>
                <w:szCs w:val="20"/>
              </w:rPr>
            </w:pPr>
            <w:r w:rsidRPr="00333651">
              <w:rPr>
                <w:sz w:val="20"/>
                <w:szCs w:val="20"/>
              </w:rPr>
              <w:t xml:space="preserve"> Со средней степенью потенциального биомеханического риска (</w:t>
            </w:r>
            <w:r w:rsidRPr="00333651">
              <w:rPr>
                <w:sz w:val="20"/>
                <w:szCs w:val="20"/>
                <w:lang w:val="en-US"/>
              </w:rPr>
              <w:t>RB</w:t>
            </w:r>
            <w:r w:rsidRPr="00333651">
              <w:rPr>
                <w:sz w:val="20"/>
                <w:szCs w:val="20"/>
              </w:rPr>
              <w:t>-2);</w:t>
            </w:r>
          </w:p>
          <w:p w:rsidR="0058574E" w:rsidRPr="00333651" w:rsidRDefault="0058574E" w:rsidP="005D6ACF">
            <w:pPr>
              <w:numPr>
                <w:ilvl w:val="1"/>
                <w:numId w:val="10"/>
              </w:numPr>
              <w:tabs>
                <w:tab w:val="clear" w:pos="360"/>
                <w:tab w:val="num" w:pos="0"/>
              </w:tabs>
              <w:ind w:left="0" w:firstLine="0"/>
              <w:rPr>
                <w:sz w:val="20"/>
                <w:szCs w:val="20"/>
              </w:rPr>
            </w:pPr>
            <w:r w:rsidRPr="00333651">
              <w:rPr>
                <w:sz w:val="20"/>
                <w:szCs w:val="20"/>
              </w:rPr>
              <w:t>С низкой степенью потенциального биомеханического риска (</w:t>
            </w:r>
            <w:r w:rsidRPr="00333651">
              <w:rPr>
                <w:sz w:val="20"/>
                <w:szCs w:val="20"/>
                <w:lang w:val="en-US"/>
              </w:rPr>
              <w:t>RB</w:t>
            </w:r>
            <w:r w:rsidRPr="00333651">
              <w:rPr>
                <w:sz w:val="20"/>
                <w:szCs w:val="20"/>
              </w:rPr>
              <w:t>-3)</w:t>
            </w:r>
          </w:p>
        </w:tc>
        <w:tc>
          <w:tcPr>
            <w:tcW w:w="661" w:type="pct"/>
          </w:tcPr>
          <w:p w:rsidR="0058574E" w:rsidRPr="00333651" w:rsidRDefault="0058574E" w:rsidP="00E7317C">
            <w:pPr>
              <w:jc w:val="center"/>
              <w:rPr>
                <w:sz w:val="20"/>
                <w:szCs w:val="20"/>
              </w:rPr>
            </w:pPr>
          </w:p>
          <w:p w:rsidR="0058574E" w:rsidRPr="00333651" w:rsidRDefault="0058574E" w:rsidP="00E7317C">
            <w:pPr>
              <w:jc w:val="center"/>
              <w:rPr>
                <w:sz w:val="20"/>
                <w:szCs w:val="20"/>
              </w:rPr>
            </w:pPr>
          </w:p>
          <w:p w:rsidR="0058574E" w:rsidRPr="00333651" w:rsidRDefault="0058574E" w:rsidP="00E7317C">
            <w:pPr>
              <w:jc w:val="center"/>
              <w:rPr>
                <w:sz w:val="20"/>
                <w:szCs w:val="20"/>
              </w:rPr>
            </w:pPr>
          </w:p>
          <w:p w:rsidR="0058574E" w:rsidRPr="00333651" w:rsidRDefault="0058574E" w:rsidP="00E7317C">
            <w:pPr>
              <w:jc w:val="center"/>
              <w:rPr>
                <w:sz w:val="20"/>
                <w:szCs w:val="20"/>
              </w:rPr>
            </w:pPr>
          </w:p>
          <w:p w:rsidR="0058574E" w:rsidRPr="00333651" w:rsidRDefault="0058574E" w:rsidP="00E7317C">
            <w:pPr>
              <w:jc w:val="center"/>
              <w:rPr>
                <w:sz w:val="20"/>
                <w:szCs w:val="20"/>
              </w:rPr>
            </w:pPr>
          </w:p>
          <w:p w:rsidR="0058574E" w:rsidRPr="00333651" w:rsidRDefault="0058574E" w:rsidP="00E7317C">
            <w:pPr>
              <w:jc w:val="center"/>
              <w:rPr>
                <w:sz w:val="20"/>
                <w:szCs w:val="20"/>
              </w:rPr>
            </w:pPr>
          </w:p>
          <w:p w:rsidR="0058574E" w:rsidRPr="00333651" w:rsidRDefault="0058574E" w:rsidP="00E7317C">
            <w:pPr>
              <w:jc w:val="center"/>
              <w:rPr>
                <w:sz w:val="20"/>
                <w:szCs w:val="20"/>
              </w:rPr>
            </w:pPr>
          </w:p>
          <w:p w:rsidR="0058574E" w:rsidRPr="00333651" w:rsidRDefault="0058574E" w:rsidP="00E7317C">
            <w:pPr>
              <w:jc w:val="center"/>
              <w:rPr>
                <w:sz w:val="20"/>
                <w:szCs w:val="20"/>
              </w:rPr>
            </w:pPr>
          </w:p>
          <w:p w:rsidR="0058574E" w:rsidRPr="00333651" w:rsidRDefault="0058574E" w:rsidP="00E7317C">
            <w:pPr>
              <w:jc w:val="center"/>
              <w:rPr>
                <w:sz w:val="20"/>
                <w:szCs w:val="20"/>
              </w:rPr>
            </w:pPr>
            <w:r w:rsidRPr="00333651">
              <w:rPr>
                <w:sz w:val="20"/>
                <w:szCs w:val="20"/>
              </w:rPr>
              <w:t>2</w:t>
            </w:r>
          </w:p>
          <w:p w:rsidR="0058574E" w:rsidRPr="00333651" w:rsidRDefault="0058574E" w:rsidP="00E7317C">
            <w:pPr>
              <w:jc w:val="center"/>
              <w:rPr>
                <w:sz w:val="20"/>
                <w:szCs w:val="20"/>
              </w:rPr>
            </w:pPr>
          </w:p>
          <w:p w:rsidR="0058574E" w:rsidRPr="00333651" w:rsidRDefault="0058574E" w:rsidP="00E7317C">
            <w:pPr>
              <w:jc w:val="center"/>
              <w:rPr>
                <w:sz w:val="20"/>
                <w:szCs w:val="20"/>
              </w:rPr>
            </w:pPr>
            <w:r w:rsidRPr="00333651">
              <w:rPr>
                <w:sz w:val="20"/>
                <w:szCs w:val="20"/>
              </w:rPr>
              <w:t>44</w:t>
            </w:r>
          </w:p>
          <w:p w:rsidR="0058574E" w:rsidRPr="00333651" w:rsidRDefault="0058574E" w:rsidP="00E7317C">
            <w:pPr>
              <w:jc w:val="center"/>
              <w:rPr>
                <w:sz w:val="20"/>
                <w:szCs w:val="20"/>
              </w:rPr>
            </w:pPr>
          </w:p>
          <w:p w:rsidR="0058574E" w:rsidRPr="00333651" w:rsidRDefault="0058574E" w:rsidP="00E7317C">
            <w:pPr>
              <w:jc w:val="center"/>
              <w:rPr>
                <w:sz w:val="20"/>
                <w:szCs w:val="20"/>
              </w:rPr>
            </w:pPr>
            <w:r w:rsidRPr="00333651">
              <w:rPr>
                <w:sz w:val="20"/>
                <w:szCs w:val="20"/>
              </w:rPr>
              <w:t>72</w:t>
            </w:r>
          </w:p>
        </w:tc>
        <w:tc>
          <w:tcPr>
            <w:tcW w:w="857" w:type="pct"/>
          </w:tcPr>
          <w:p w:rsidR="0058574E" w:rsidRPr="00333651" w:rsidRDefault="0058574E" w:rsidP="00E7317C">
            <w:pPr>
              <w:jc w:val="center"/>
              <w:rPr>
                <w:sz w:val="20"/>
                <w:szCs w:val="20"/>
              </w:rPr>
            </w:pPr>
          </w:p>
          <w:p w:rsidR="0058574E" w:rsidRPr="00333651" w:rsidRDefault="0058574E" w:rsidP="00E7317C">
            <w:pPr>
              <w:jc w:val="center"/>
              <w:rPr>
                <w:sz w:val="20"/>
                <w:szCs w:val="20"/>
              </w:rPr>
            </w:pPr>
          </w:p>
          <w:p w:rsidR="0058574E" w:rsidRPr="00333651" w:rsidRDefault="0058574E" w:rsidP="00E7317C">
            <w:pPr>
              <w:jc w:val="center"/>
              <w:rPr>
                <w:sz w:val="20"/>
                <w:szCs w:val="20"/>
              </w:rPr>
            </w:pPr>
          </w:p>
          <w:p w:rsidR="0058574E" w:rsidRPr="00333651" w:rsidRDefault="0058574E" w:rsidP="00E7317C">
            <w:pPr>
              <w:jc w:val="center"/>
              <w:rPr>
                <w:sz w:val="20"/>
                <w:szCs w:val="20"/>
              </w:rPr>
            </w:pPr>
          </w:p>
          <w:p w:rsidR="0058574E" w:rsidRPr="00333651" w:rsidRDefault="0058574E" w:rsidP="00E7317C">
            <w:pPr>
              <w:jc w:val="center"/>
              <w:rPr>
                <w:sz w:val="20"/>
                <w:szCs w:val="20"/>
              </w:rPr>
            </w:pPr>
          </w:p>
          <w:p w:rsidR="0058574E" w:rsidRPr="00333651" w:rsidRDefault="0058574E" w:rsidP="00E7317C">
            <w:pPr>
              <w:jc w:val="center"/>
              <w:rPr>
                <w:sz w:val="20"/>
                <w:szCs w:val="20"/>
              </w:rPr>
            </w:pPr>
          </w:p>
          <w:p w:rsidR="0058574E" w:rsidRPr="00333651" w:rsidRDefault="0058574E" w:rsidP="00E7317C">
            <w:pPr>
              <w:jc w:val="center"/>
              <w:rPr>
                <w:sz w:val="20"/>
                <w:szCs w:val="20"/>
              </w:rPr>
            </w:pPr>
          </w:p>
          <w:p w:rsidR="0058574E" w:rsidRPr="00333651" w:rsidRDefault="0058574E" w:rsidP="00E7317C">
            <w:pPr>
              <w:jc w:val="center"/>
              <w:rPr>
                <w:sz w:val="20"/>
                <w:szCs w:val="20"/>
              </w:rPr>
            </w:pPr>
          </w:p>
          <w:p w:rsidR="0058574E" w:rsidRPr="00333651" w:rsidRDefault="0058574E" w:rsidP="00E7317C">
            <w:pPr>
              <w:jc w:val="center"/>
              <w:rPr>
                <w:sz w:val="20"/>
                <w:szCs w:val="20"/>
              </w:rPr>
            </w:pPr>
            <w:r w:rsidRPr="00333651">
              <w:rPr>
                <w:sz w:val="20"/>
                <w:szCs w:val="20"/>
              </w:rPr>
              <w:t>47</w:t>
            </w:r>
          </w:p>
          <w:p w:rsidR="0058574E" w:rsidRPr="00333651" w:rsidRDefault="0058574E" w:rsidP="00E7317C">
            <w:pPr>
              <w:jc w:val="center"/>
              <w:rPr>
                <w:sz w:val="20"/>
                <w:szCs w:val="20"/>
              </w:rPr>
            </w:pPr>
          </w:p>
          <w:p w:rsidR="0058574E" w:rsidRPr="00333651" w:rsidRDefault="0058574E" w:rsidP="00E7317C">
            <w:pPr>
              <w:jc w:val="center"/>
              <w:rPr>
                <w:sz w:val="20"/>
                <w:szCs w:val="20"/>
              </w:rPr>
            </w:pPr>
            <w:r w:rsidRPr="00333651">
              <w:rPr>
                <w:sz w:val="20"/>
                <w:szCs w:val="20"/>
              </w:rPr>
              <w:t>103</w:t>
            </w:r>
          </w:p>
          <w:p w:rsidR="0058574E" w:rsidRPr="00333651" w:rsidRDefault="0058574E" w:rsidP="00E7317C">
            <w:pPr>
              <w:jc w:val="center"/>
              <w:rPr>
                <w:sz w:val="20"/>
                <w:szCs w:val="20"/>
              </w:rPr>
            </w:pPr>
          </w:p>
          <w:p w:rsidR="0058574E" w:rsidRPr="00333651" w:rsidRDefault="0058574E" w:rsidP="00E7317C">
            <w:pPr>
              <w:jc w:val="center"/>
              <w:rPr>
                <w:sz w:val="20"/>
                <w:szCs w:val="20"/>
              </w:rPr>
            </w:pPr>
            <w:r w:rsidRPr="00333651">
              <w:rPr>
                <w:sz w:val="20"/>
                <w:szCs w:val="20"/>
              </w:rPr>
              <w:t>215</w:t>
            </w:r>
          </w:p>
        </w:tc>
        <w:tc>
          <w:tcPr>
            <w:tcW w:w="807" w:type="pct"/>
          </w:tcPr>
          <w:p w:rsidR="0058574E" w:rsidRPr="00333651" w:rsidRDefault="0058574E" w:rsidP="00E7317C">
            <w:pPr>
              <w:jc w:val="center"/>
              <w:rPr>
                <w:sz w:val="20"/>
                <w:szCs w:val="20"/>
              </w:rPr>
            </w:pPr>
          </w:p>
          <w:p w:rsidR="0058574E" w:rsidRPr="00333651" w:rsidRDefault="0058574E" w:rsidP="00E7317C">
            <w:pPr>
              <w:jc w:val="center"/>
              <w:rPr>
                <w:sz w:val="20"/>
                <w:szCs w:val="20"/>
              </w:rPr>
            </w:pPr>
          </w:p>
          <w:p w:rsidR="0058574E" w:rsidRPr="00333651" w:rsidRDefault="0058574E" w:rsidP="00E7317C">
            <w:pPr>
              <w:jc w:val="center"/>
              <w:rPr>
                <w:sz w:val="20"/>
                <w:szCs w:val="20"/>
              </w:rPr>
            </w:pPr>
          </w:p>
          <w:p w:rsidR="0058574E" w:rsidRPr="00333651" w:rsidRDefault="0058574E" w:rsidP="00E7317C">
            <w:pPr>
              <w:jc w:val="center"/>
              <w:rPr>
                <w:sz w:val="20"/>
                <w:szCs w:val="20"/>
              </w:rPr>
            </w:pPr>
          </w:p>
          <w:p w:rsidR="0058574E" w:rsidRPr="00333651" w:rsidRDefault="0058574E" w:rsidP="00E7317C">
            <w:pPr>
              <w:jc w:val="center"/>
              <w:rPr>
                <w:sz w:val="20"/>
                <w:szCs w:val="20"/>
              </w:rPr>
            </w:pPr>
          </w:p>
          <w:p w:rsidR="0058574E" w:rsidRPr="00333651" w:rsidRDefault="0058574E" w:rsidP="00E7317C">
            <w:pPr>
              <w:jc w:val="center"/>
              <w:rPr>
                <w:sz w:val="20"/>
                <w:szCs w:val="20"/>
              </w:rPr>
            </w:pPr>
          </w:p>
          <w:p w:rsidR="0058574E" w:rsidRPr="00333651" w:rsidRDefault="0058574E" w:rsidP="00E7317C">
            <w:pPr>
              <w:jc w:val="center"/>
              <w:rPr>
                <w:sz w:val="20"/>
                <w:szCs w:val="20"/>
              </w:rPr>
            </w:pPr>
          </w:p>
          <w:p w:rsidR="0058574E" w:rsidRPr="00333651" w:rsidRDefault="0058574E" w:rsidP="00E7317C">
            <w:pPr>
              <w:jc w:val="center"/>
              <w:rPr>
                <w:sz w:val="20"/>
                <w:szCs w:val="20"/>
              </w:rPr>
            </w:pPr>
          </w:p>
          <w:p w:rsidR="0058574E" w:rsidRPr="00333651" w:rsidRDefault="0058574E" w:rsidP="00E7317C">
            <w:pPr>
              <w:jc w:val="center"/>
              <w:rPr>
                <w:sz w:val="20"/>
                <w:szCs w:val="20"/>
              </w:rPr>
            </w:pPr>
            <w:r w:rsidRPr="00333651">
              <w:rPr>
                <w:sz w:val="20"/>
                <w:szCs w:val="20"/>
              </w:rPr>
              <w:t>47</w:t>
            </w:r>
          </w:p>
          <w:p w:rsidR="0058574E" w:rsidRPr="00333651" w:rsidRDefault="0058574E" w:rsidP="00E7317C">
            <w:pPr>
              <w:jc w:val="center"/>
              <w:rPr>
                <w:sz w:val="20"/>
                <w:szCs w:val="20"/>
              </w:rPr>
            </w:pPr>
          </w:p>
          <w:p w:rsidR="0058574E" w:rsidRPr="00333651" w:rsidRDefault="0058574E" w:rsidP="00E7317C">
            <w:pPr>
              <w:jc w:val="center"/>
              <w:rPr>
                <w:sz w:val="20"/>
                <w:szCs w:val="20"/>
              </w:rPr>
            </w:pPr>
            <w:r w:rsidRPr="00333651">
              <w:rPr>
                <w:sz w:val="20"/>
                <w:szCs w:val="20"/>
              </w:rPr>
              <w:t>103</w:t>
            </w:r>
          </w:p>
          <w:p w:rsidR="0058574E" w:rsidRPr="00333651" w:rsidRDefault="0058574E" w:rsidP="00E7317C">
            <w:pPr>
              <w:jc w:val="center"/>
              <w:rPr>
                <w:sz w:val="20"/>
                <w:szCs w:val="20"/>
              </w:rPr>
            </w:pPr>
          </w:p>
          <w:p w:rsidR="0058574E" w:rsidRPr="00333651" w:rsidRDefault="0058574E" w:rsidP="00E7317C">
            <w:pPr>
              <w:jc w:val="center"/>
              <w:rPr>
                <w:sz w:val="20"/>
                <w:szCs w:val="20"/>
              </w:rPr>
            </w:pPr>
            <w:r w:rsidRPr="00333651">
              <w:rPr>
                <w:sz w:val="20"/>
                <w:szCs w:val="20"/>
              </w:rPr>
              <w:t>220</w:t>
            </w:r>
          </w:p>
        </w:tc>
      </w:tr>
      <w:tr w:rsidR="0058574E" w:rsidRPr="000C7712" w:rsidTr="00E7317C">
        <w:trPr>
          <w:trHeight w:val="364"/>
        </w:trPr>
        <w:tc>
          <w:tcPr>
            <w:tcW w:w="2675" w:type="pct"/>
            <w:tcBorders>
              <w:bottom w:val="single" w:sz="4" w:space="0" w:color="auto"/>
            </w:tcBorders>
          </w:tcPr>
          <w:p w:rsidR="0058574E" w:rsidRPr="00333651" w:rsidRDefault="0058574E" w:rsidP="005D6ACF">
            <w:pPr>
              <w:pStyle w:val="af4"/>
              <w:numPr>
                <w:ilvl w:val="0"/>
                <w:numId w:val="10"/>
              </w:numPr>
              <w:tabs>
                <w:tab w:val="clear" w:pos="705"/>
                <w:tab w:val="num" w:pos="0"/>
                <w:tab w:val="num" w:pos="585"/>
                <w:tab w:val="num" w:pos="1211"/>
              </w:tabs>
              <w:spacing w:after="200" w:line="276" w:lineRule="auto"/>
              <w:ind w:left="18" w:firstLine="0"/>
              <w:rPr>
                <w:sz w:val="20"/>
                <w:szCs w:val="20"/>
              </w:rPr>
            </w:pPr>
            <w:r w:rsidRPr="00333651">
              <w:rPr>
                <w:sz w:val="20"/>
                <w:szCs w:val="20"/>
              </w:rPr>
              <w:lastRenderedPageBreak/>
              <w:t>Количество дубликатов свидетельства о государственной регистрации аттракциона</w:t>
            </w:r>
          </w:p>
        </w:tc>
        <w:tc>
          <w:tcPr>
            <w:tcW w:w="661" w:type="pct"/>
            <w:tcBorders>
              <w:bottom w:val="single" w:sz="4" w:space="0" w:color="auto"/>
            </w:tcBorders>
          </w:tcPr>
          <w:p w:rsidR="0058574E" w:rsidRPr="00333651" w:rsidRDefault="0058574E" w:rsidP="00E7317C">
            <w:pPr>
              <w:jc w:val="center"/>
              <w:rPr>
                <w:sz w:val="20"/>
                <w:szCs w:val="20"/>
              </w:rPr>
            </w:pPr>
            <w:r w:rsidRPr="00333651">
              <w:rPr>
                <w:sz w:val="20"/>
                <w:szCs w:val="20"/>
              </w:rPr>
              <w:t>0</w:t>
            </w:r>
          </w:p>
        </w:tc>
        <w:tc>
          <w:tcPr>
            <w:tcW w:w="857" w:type="pct"/>
            <w:tcBorders>
              <w:bottom w:val="single" w:sz="4" w:space="0" w:color="auto"/>
            </w:tcBorders>
          </w:tcPr>
          <w:p w:rsidR="0058574E" w:rsidRPr="00333651" w:rsidRDefault="0058574E" w:rsidP="00E7317C">
            <w:pPr>
              <w:jc w:val="center"/>
              <w:rPr>
                <w:sz w:val="20"/>
                <w:szCs w:val="20"/>
              </w:rPr>
            </w:pPr>
            <w:r w:rsidRPr="00333651">
              <w:rPr>
                <w:sz w:val="20"/>
                <w:szCs w:val="20"/>
              </w:rPr>
              <w:t>0</w:t>
            </w:r>
          </w:p>
        </w:tc>
        <w:tc>
          <w:tcPr>
            <w:tcW w:w="807" w:type="pct"/>
            <w:tcBorders>
              <w:bottom w:val="single" w:sz="4" w:space="0" w:color="auto"/>
            </w:tcBorders>
          </w:tcPr>
          <w:p w:rsidR="0058574E" w:rsidRPr="00333651" w:rsidRDefault="0058574E" w:rsidP="00E7317C">
            <w:pPr>
              <w:jc w:val="center"/>
              <w:rPr>
                <w:sz w:val="20"/>
                <w:szCs w:val="20"/>
              </w:rPr>
            </w:pPr>
            <w:r w:rsidRPr="00333651">
              <w:rPr>
                <w:sz w:val="20"/>
                <w:szCs w:val="20"/>
              </w:rPr>
              <w:t>0</w:t>
            </w:r>
          </w:p>
        </w:tc>
      </w:tr>
      <w:tr w:rsidR="0058574E" w:rsidRPr="000C7712" w:rsidTr="00E7317C">
        <w:trPr>
          <w:trHeight w:val="474"/>
        </w:trPr>
        <w:tc>
          <w:tcPr>
            <w:tcW w:w="2675" w:type="pct"/>
            <w:tcBorders>
              <w:bottom w:val="single" w:sz="4" w:space="0" w:color="auto"/>
            </w:tcBorders>
          </w:tcPr>
          <w:p w:rsidR="0058574E" w:rsidRPr="00333651" w:rsidRDefault="0058574E" w:rsidP="005D6ACF">
            <w:pPr>
              <w:pStyle w:val="af4"/>
              <w:numPr>
                <w:ilvl w:val="0"/>
                <w:numId w:val="10"/>
              </w:numPr>
              <w:tabs>
                <w:tab w:val="clear" w:pos="705"/>
                <w:tab w:val="num" w:pos="0"/>
                <w:tab w:val="num" w:pos="585"/>
                <w:tab w:val="num" w:pos="1211"/>
              </w:tabs>
              <w:spacing w:after="200" w:line="276" w:lineRule="auto"/>
              <w:ind w:left="18" w:firstLine="0"/>
              <w:rPr>
                <w:sz w:val="20"/>
                <w:szCs w:val="20"/>
              </w:rPr>
            </w:pPr>
            <w:r w:rsidRPr="00333651">
              <w:rPr>
                <w:sz w:val="20"/>
                <w:szCs w:val="20"/>
              </w:rPr>
              <w:t>Количество справок о совершенных регистрационных действиях в отношении аттракциона</w:t>
            </w:r>
          </w:p>
        </w:tc>
        <w:tc>
          <w:tcPr>
            <w:tcW w:w="661" w:type="pct"/>
            <w:tcBorders>
              <w:bottom w:val="single" w:sz="4" w:space="0" w:color="auto"/>
            </w:tcBorders>
          </w:tcPr>
          <w:p w:rsidR="0058574E" w:rsidRPr="00333651" w:rsidRDefault="0058574E" w:rsidP="00E7317C">
            <w:pPr>
              <w:jc w:val="center"/>
              <w:rPr>
                <w:sz w:val="20"/>
                <w:szCs w:val="20"/>
              </w:rPr>
            </w:pPr>
            <w:r w:rsidRPr="00333651">
              <w:rPr>
                <w:sz w:val="20"/>
                <w:szCs w:val="20"/>
              </w:rPr>
              <w:t>0</w:t>
            </w:r>
          </w:p>
        </w:tc>
        <w:tc>
          <w:tcPr>
            <w:tcW w:w="857" w:type="pct"/>
            <w:tcBorders>
              <w:bottom w:val="single" w:sz="4" w:space="0" w:color="auto"/>
            </w:tcBorders>
          </w:tcPr>
          <w:p w:rsidR="0058574E" w:rsidRPr="00333651" w:rsidRDefault="0058574E" w:rsidP="00E7317C">
            <w:pPr>
              <w:jc w:val="center"/>
              <w:rPr>
                <w:sz w:val="20"/>
                <w:szCs w:val="20"/>
              </w:rPr>
            </w:pPr>
            <w:r w:rsidRPr="00333651">
              <w:rPr>
                <w:sz w:val="20"/>
                <w:szCs w:val="20"/>
              </w:rPr>
              <w:t>0</w:t>
            </w:r>
          </w:p>
        </w:tc>
        <w:tc>
          <w:tcPr>
            <w:tcW w:w="807" w:type="pct"/>
            <w:tcBorders>
              <w:bottom w:val="single" w:sz="4" w:space="0" w:color="auto"/>
            </w:tcBorders>
          </w:tcPr>
          <w:p w:rsidR="0058574E" w:rsidRPr="00333651" w:rsidRDefault="0058574E" w:rsidP="00E7317C">
            <w:pPr>
              <w:jc w:val="center"/>
              <w:rPr>
                <w:sz w:val="20"/>
                <w:szCs w:val="20"/>
              </w:rPr>
            </w:pPr>
            <w:r w:rsidRPr="00333651">
              <w:rPr>
                <w:sz w:val="20"/>
                <w:szCs w:val="20"/>
              </w:rPr>
              <w:t>0</w:t>
            </w:r>
          </w:p>
        </w:tc>
      </w:tr>
      <w:tr w:rsidR="0058574E" w:rsidRPr="000C7712" w:rsidTr="00E7317C">
        <w:trPr>
          <w:trHeight w:val="725"/>
        </w:trPr>
        <w:tc>
          <w:tcPr>
            <w:tcW w:w="2675" w:type="pct"/>
            <w:tcBorders>
              <w:bottom w:val="single" w:sz="4" w:space="0" w:color="auto"/>
            </w:tcBorders>
          </w:tcPr>
          <w:p w:rsidR="0058574E" w:rsidRPr="00333651" w:rsidRDefault="0058574E" w:rsidP="005D6ACF">
            <w:pPr>
              <w:pStyle w:val="af4"/>
              <w:numPr>
                <w:ilvl w:val="0"/>
                <w:numId w:val="10"/>
              </w:numPr>
              <w:tabs>
                <w:tab w:val="clear" w:pos="705"/>
                <w:tab w:val="num" w:pos="0"/>
                <w:tab w:val="num" w:pos="585"/>
                <w:tab w:val="num" w:pos="1211"/>
              </w:tabs>
              <w:spacing w:after="200" w:line="276" w:lineRule="auto"/>
              <w:ind w:left="18" w:firstLine="0"/>
              <w:rPr>
                <w:sz w:val="20"/>
                <w:szCs w:val="20"/>
              </w:rPr>
            </w:pPr>
            <w:r w:rsidRPr="00333651">
              <w:rPr>
                <w:sz w:val="20"/>
                <w:szCs w:val="20"/>
              </w:rPr>
              <w:t>Количество выданных государственных регистрационных знаков взамен утраченных или пришедших в негодность</w:t>
            </w:r>
          </w:p>
        </w:tc>
        <w:tc>
          <w:tcPr>
            <w:tcW w:w="661" w:type="pct"/>
            <w:tcBorders>
              <w:bottom w:val="single" w:sz="4" w:space="0" w:color="auto"/>
            </w:tcBorders>
          </w:tcPr>
          <w:p w:rsidR="0058574E" w:rsidRPr="00333651" w:rsidRDefault="0058574E" w:rsidP="00E7317C">
            <w:pPr>
              <w:jc w:val="center"/>
              <w:rPr>
                <w:sz w:val="20"/>
                <w:szCs w:val="20"/>
              </w:rPr>
            </w:pPr>
            <w:r w:rsidRPr="00333651">
              <w:rPr>
                <w:sz w:val="20"/>
                <w:szCs w:val="20"/>
              </w:rPr>
              <w:t>0</w:t>
            </w:r>
          </w:p>
        </w:tc>
        <w:tc>
          <w:tcPr>
            <w:tcW w:w="857" w:type="pct"/>
            <w:tcBorders>
              <w:bottom w:val="single" w:sz="4" w:space="0" w:color="auto"/>
            </w:tcBorders>
          </w:tcPr>
          <w:p w:rsidR="0058574E" w:rsidRPr="00333651" w:rsidRDefault="0058574E" w:rsidP="00E7317C">
            <w:pPr>
              <w:jc w:val="center"/>
              <w:rPr>
                <w:sz w:val="20"/>
                <w:szCs w:val="20"/>
              </w:rPr>
            </w:pPr>
            <w:r w:rsidRPr="00333651">
              <w:rPr>
                <w:sz w:val="20"/>
                <w:szCs w:val="20"/>
              </w:rPr>
              <w:t>0</w:t>
            </w:r>
          </w:p>
        </w:tc>
        <w:tc>
          <w:tcPr>
            <w:tcW w:w="807" w:type="pct"/>
            <w:tcBorders>
              <w:bottom w:val="single" w:sz="4" w:space="0" w:color="auto"/>
            </w:tcBorders>
          </w:tcPr>
          <w:p w:rsidR="0058574E" w:rsidRPr="00333651" w:rsidRDefault="0058574E" w:rsidP="00E7317C">
            <w:pPr>
              <w:jc w:val="center"/>
              <w:rPr>
                <w:sz w:val="20"/>
                <w:szCs w:val="20"/>
              </w:rPr>
            </w:pPr>
            <w:r w:rsidRPr="00333651">
              <w:rPr>
                <w:sz w:val="20"/>
                <w:szCs w:val="20"/>
              </w:rPr>
              <w:t>0</w:t>
            </w:r>
          </w:p>
        </w:tc>
      </w:tr>
      <w:tr w:rsidR="0058574E" w:rsidRPr="000C7712" w:rsidTr="00E7317C">
        <w:trPr>
          <w:trHeight w:val="554"/>
        </w:trPr>
        <w:tc>
          <w:tcPr>
            <w:tcW w:w="2675" w:type="pct"/>
            <w:tcBorders>
              <w:bottom w:val="single" w:sz="4" w:space="0" w:color="auto"/>
            </w:tcBorders>
          </w:tcPr>
          <w:p w:rsidR="0058574E" w:rsidRPr="00333651" w:rsidRDefault="0058574E" w:rsidP="005D6ACF">
            <w:pPr>
              <w:pStyle w:val="af4"/>
              <w:numPr>
                <w:ilvl w:val="0"/>
                <w:numId w:val="10"/>
              </w:numPr>
              <w:tabs>
                <w:tab w:val="clear" w:pos="705"/>
                <w:tab w:val="num" w:pos="0"/>
                <w:tab w:val="num" w:pos="585"/>
                <w:tab w:val="num" w:pos="1211"/>
              </w:tabs>
              <w:spacing w:after="200" w:line="276" w:lineRule="auto"/>
              <w:ind w:left="18" w:firstLine="0"/>
              <w:rPr>
                <w:sz w:val="20"/>
                <w:szCs w:val="20"/>
              </w:rPr>
            </w:pPr>
            <w:r w:rsidRPr="00333651">
              <w:rPr>
                <w:sz w:val="20"/>
                <w:szCs w:val="20"/>
              </w:rPr>
              <w:t>Размер госпошлины, тыс. руб.</w:t>
            </w:r>
          </w:p>
          <w:p w:rsidR="0058574E" w:rsidRPr="00333651" w:rsidRDefault="0058574E" w:rsidP="005D6ACF">
            <w:pPr>
              <w:pStyle w:val="af4"/>
              <w:numPr>
                <w:ilvl w:val="1"/>
                <w:numId w:val="10"/>
              </w:numPr>
              <w:tabs>
                <w:tab w:val="clear" w:pos="360"/>
                <w:tab w:val="num" w:pos="0"/>
                <w:tab w:val="num" w:pos="585"/>
              </w:tabs>
              <w:spacing w:after="200" w:line="276" w:lineRule="auto"/>
              <w:ind w:left="0" w:firstLine="0"/>
              <w:rPr>
                <w:sz w:val="20"/>
                <w:szCs w:val="20"/>
              </w:rPr>
            </w:pPr>
            <w:r w:rsidRPr="00333651">
              <w:rPr>
                <w:sz w:val="20"/>
                <w:szCs w:val="20"/>
              </w:rPr>
              <w:t>За государственную регистрацию (возобновление государственной регистрации) аттракциона, включая выдачу свидетельства о государственной регистрации аттракциона и государственного регистрационного знака на аттракцион, тыс. руб.</w:t>
            </w:r>
          </w:p>
          <w:p w:rsidR="0058574E" w:rsidRPr="00333651" w:rsidRDefault="0058574E" w:rsidP="005D6ACF">
            <w:pPr>
              <w:pStyle w:val="af4"/>
              <w:numPr>
                <w:ilvl w:val="2"/>
                <w:numId w:val="10"/>
              </w:numPr>
              <w:tabs>
                <w:tab w:val="clear" w:pos="1065"/>
                <w:tab w:val="num" w:pos="0"/>
                <w:tab w:val="num" w:pos="585"/>
              </w:tabs>
              <w:spacing w:after="200" w:line="276" w:lineRule="auto"/>
              <w:ind w:left="0" w:firstLine="0"/>
              <w:rPr>
                <w:sz w:val="20"/>
                <w:szCs w:val="20"/>
              </w:rPr>
            </w:pPr>
            <w:r w:rsidRPr="00333651">
              <w:rPr>
                <w:sz w:val="20"/>
                <w:szCs w:val="20"/>
              </w:rPr>
              <w:t xml:space="preserve"> С высокой степенью потенциального биомеханического риска (</w:t>
            </w:r>
            <w:r w:rsidRPr="00333651">
              <w:rPr>
                <w:sz w:val="20"/>
                <w:szCs w:val="20"/>
                <w:lang w:val="en-US"/>
              </w:rPr>
              <w:t>RB</w:t>
            </w:r>
            <w:r w:rsidRPr="00333651">
              <w:rPr>
                <w:sz w:val="20"/>
                <w:szCs w:val="20"/>
              </w:rPr>
              <w:t>-1), тыс. руб.;</w:t>
            </w:r>
          </w:p>
          <w:p w:rsidR="0058574E" w:rsidRPr="00333651" w:rsidRDefault="0058574E" w:rsidP="005D6ACF">
            <w:pPr>
              <w:pStyle w:val="af4"/>
              <w:numPr>
                <w:ilvl w:val="2"/>
                <w:numId w:val="10"/>
              </w:numPr>
              <w:tabs>
                <w:tab w:val="clear" w:pos="1065"/>
                <w:tab w:val="num" w:pos="0"/>
                <w:tab w:val="num" w:pos="585"/>
              </w:tabs>
              <w:spacing w:after="200" w:line="276" w:lineRule="auto"/>
              <w:ind w:left="0" w:firstLine="0"/>
              <w:rPr>
                <w:sz w:val="20"/>
                <w:szCs w:val="20"/>
              </w:rPr>
            </w:pPr>
            <w:r w:rsidRPr="00333651">
              <w:rPr>
                <w:sz w:val="20"/>
                <w:szCs w:val="20"/>
              </w:rPr>
              <w:t>Со средней степенью потенциального биомеханического риска (</w:t>
            </w:r>
            <w:r w:rsidRPr="00333651">
              <w:rPr>
                <w:sz w:val="20"/>
                <w:szCs w:val="20"/>
                <w:lang w:val="en-US"/>
              </w:rPr>
              <w:t>RB</w:t>
            </w:r>
            <w:r w:rsidRPr="00333651">
              <w:rPr>
                <w:sz w:val="20"/>
                <w:szCs w:val="20"/>
              </w:rPr>
              <w:t>-2), тыс. руб.;</w:t>
            </w:r>
          </w:p>
          <w:p w:rsidR="0058574E" w:rsidRPr="00333651" w:rsidRDefault="0058574E" w:rsidP="005D6ACF">
            <w:pPr>
              <w:pStyle w:val="af4"/>
              <w:numPr>
                <w:ilvl w:val="2"/>
                <w:numId w:val="10"/>
              </w:numPr>
              <w:tabs>
                <w:tab w:val="clear" w:pos="1065"/>
                <w:tab w:val="num" w:pos="0"/>
                <w:tab w:val="num" w:pos="585"/>
              </w:tabs>
              <w:spacing w:after="200" w:line="276" w:lineRule="auto"/>
              <w:ind w:left="0" w:firstLine="0"/>
              <w:rPr>
                <w:sz w:val="20"/>
                <w:szCs w:val="20"/>
              </w:rPr>
            </w:pPr>
            <w:r w:rsidRPr="00333651">
              <w:rPr>
                <w:sz w:val="20"/>
                <w:szCs w:val="20"/>
              </w:rPr>
              <w:t>С низкой степенью потенциального биомеханического риска (</w:t>
            </w:r>
            <w:r w:rsidRPr="00333651">
              <w:rPr>
                <w:sz w:val="20"/>
                <w:szCs w:val="20"/>
                <w:lang w:val="en-US"/>
              </w:rPr>
              <w:t>RB</w:t>
            </w:r>
            <w:r w:rsidRPr="00333651">
              <w:rPr>
                <w:sz w:val="20"/>
                <w:szCs w:val="20"/>
              </w:rPr>
              <w:t>-3), тыс. руб.;</w:t>
            </w:r>
          </w:p>
          <w:p w:rsidR="0058574E" w:rsidRPr="00333651" w:rsidRDefault="0058574E" w:rsidP="005D6ACF">
            <w:pPr>
              <w:pStyle w:val="af4"/>
              <w:numPr>
                <w:ilvl w:val="1"/>
                <w:numId w:val="10"/>
              </w:numPr>
              <w:tabs>
                <w:tab w:val="clear" w:pos="360"/>
                <w:tab w:val="num" w:pos="0"/>
              </w:tabs>
              <w:ind w:left="0" w:firstLine="0"/>
              <w:rPr>
                <w:sz w:val="20"/>
                <w:szCs w:val="20"/>
              </w:rPr>
            </w:pPr>
            <w:r w:rsidRPr="00333651">
              <w:rPr>
                <w:sz w:val="20"/>
                <w:szCs w:val="20"/>
              </w:rPr>
              <w:t>За временную государственную регистрацию по месту пребывания ранее зарегистрированного аттракциона, тыс. руб.</w:t>
            </w:r>
          </w:p>
          <w:p w:rsidR="0058574E" w:rsidRPr="00333651" w:rsidRDefault="0058574E" w:rsidP="005D6ACF">
            <w:pPr>
              <w:pStyle w:val="af4"/>
              <w:numPr>
                <w:ilvl w:val="2"/>
                <w:numId w:val="10"/>
              </w:numPr>
              <w:tabs>
                <w:tab w:val="clear" w:pos="1065"/>
                <w:tab w:val="num" w:pos="345"/>
              </w:tabs>
              <w:ind w:left="0" w:firstLine="0"/>
              <w:rPr>
                <w:sz w:val="20"/>
                <w:szCs w:val="20"/>
              </w:rPr>
            </w:pPr>
            <w:r w:rsidRPr="00333651">
              <w:rPr>
                <w:sz w:val="20"/>
                <w:szCs w:val="20"/>
              </w:rPr>
              <w:t xml:space="preserve"> С высокой степенью потенциального биомеханического риска (RB-1), тыс. руб.</w:t>
            </w:r>
          </w:p>
          <w:p w:rsidR="0058574E" w:rsidRPr="00333651" w:rsidRDefault="0058574E" w:rsidP="005D6ACF">
            <w:pPr>
              <w:pStyle w:val="af4"/>
              <w:numPr>
                <w:ilvl w:val="2"/>
                <w:numId w:val="10"/>
              </w:numPr>
              <w:tabs>
                <w:tab w:val="clear" w:pos="1065"/>
                <w:tab w:val="num" w:pos="345"/>
              </w:tabs>
              <w:ind w:left="0" w:firstLine="0"/>
              <w:rPr>
                <w:sz w:val="20"/>
                <w:szCs w:val="20"/>
              </w:rPr>
            </w:pPr>
            <w:r w:rsidRPr="00333651">
              <w:rPr>
                <w:sz w:val="20"/>
                <w:szCs w:val="20"/>
              </w:rPr>
              <w:t>Со средней степенью потенциального биомеханического риска (</w:t>
            </w:r>
            <w:r w:rsidRPr="00333651">
              <w:rPr>
                <w:sz w:val="20"/>
                <w:szCs w:val="20"/>
                <w:lang w:val="en-US"/>
              </w:rPr>
              <w:t>RB</w:t>
            </w:r>
            <w:r w:rsidRPr="00333651">
              <w:rPr>
                <w:sz w:val="20"/>
                <w:szCs w:val="20"/>
              </w:rPr>
              <w:t>-2), тыс. руб.</w:t>
            </w:r>
          </w:p>
          <w:p w:rsidR="0058574E" w:rsidRPr="00333651" w:rsidRDefault="0058574E" w:rsidP="005D6ACF">
            <w:pPr>
              <w:pStyle w:val="af4"/>
              <w:numPr>
                <w:ilvl w:val="2"/>
                <w:numId w:val="10"/>
              </w:numPr>
              <w:tabs>
                <w:tab w:val="clear" w:pos="1065"/>
                <w:tab w:val="num" w:pos="345"/>
              </w:tabs>
              <w:ind w:left="0" w:firstLine="0"/>
              <w:rPr>
                <w:sz w:val="20"/>
                <w:szCs w:val="20"/>
              </w:rPr>
            </w:pPr>
            <w:r w:rsidRPr="00333651">
              <w:rPr>
                <w:sz w:val="20"/>
                <w:szCs w:val="20"/>
              </w:rPr>
              <w:t>С низкой степенью потенциального биомеханического риска (</w:t>
            </w:r>
            <w:r w:rsidRPr="00333651">
              <w:rPr>
                <w:sz w:val="20"/>
                <w:szCs w:val="20"/>
                <w:lang w:val="en-US"/>
              </w:rPr>
              <w:t>RB</w:t>
            </w:r>
            <w:r w:rsidRPr="00333651">
              <w:rPr>
                <w:sz w:val="20"/>
                <w:szCs w:val="20"/>
              </w:rPr>
              <w:t>-3), тыс. руб.</w:t>
            </w:r>
          </w:p>
          <w:p w:rsidR="0058574E" w:rsidRPr="00333651" w:rsidRDefault="0058574E" w:rsidP="005D6ACF">
            <w:pPr>
              <w:pStyle w:val="af4"/>
              <w:numPr>
                <w:ilvl w:val="1"/>
                <w:numId w:val="10"/>
              </w:numPr>
              <w:tabs>
                <w:tab w:val="clear" w:pos="360"/>
                <w:tab w:val="num" w:pos="0"/>
              </w:tabs>
              <w:ind w:left="0" w:firstLine="0"/>
              <w:rPr>
                <w:sz w:val="20"/>
                <w:szCs w:val="20"/>
              </w:rPr>
            </w:pPr>
            <w:r w:rsidRPr="00333651">
              <w:rPr>
                <w:sz w:val="20"/>
                <w:szCs w:val="20"/>
              </w:rPr>
              <w:t>за выдачу дубликата свидетельства о государственной регистрации аттракциона, тыс. руб.;</w:t>
            </w:r>
          </w:p>
          <w:p w:rsidR="0058574E" w:rsidRPr="00333651" w:rsidRDefault="0058574E" w:rsidP="005D6ACF">
            <w:pPr>
              <w:pStyle w:val="af4"/>
              <w:numPr>
                <w:ilvl w:val="1"/>
                <w:numId w:val="10"/>
              </w:numPr>
              <w:tabs>
                <w:tab w:val="clear" w:pos="360"/>
                <w:tab w:val="num" w:pos="0"/>
              </w:tabs>
              <w:ind w:left="0" w:firstLine="0"/>
              <w:rPr>
                <w:sz w:val="20"/>
                <w:szCs w:val="20"/>
              </w:rPr>
            </w:pPr>
            <w:r w:rsidRPr="00333651">
              <w:rPr>
                <w:sz w:val="20"/>
                <w:szCs w:val="20"/>
              </w:rPr>
              <w:t>за выдачу справки о совершенных регистрационных действиях в отношении аттракциона, тыс. руб.;</w:t>
            </w:r>
          </w:p>
          <w:p w:rsidR="0058574E" w:rsidRPr="00333651" w:rsidRDefault="0058574E" w:rsidP="005D6ACF">
            <w:pPr>
              <w:pStyle w:val="af4"/>
              <w:numPr>
                <w:ilvl w:val="1"/>
                <w:numId w:val="10"/>
              </w:numPr>
              <w:tabs>
                <w:tab w:val="clear" w:pos="360"/>
                <w:tab w:val="num" w:pos="0"/>
              </w:tabs>
              <w:ind w:left="0" w:firstLine="0"/>
              <w:rPr>
                <w:sz w:val="20"/>
                <w:szCs w:val="20"/>
              </w:rPr>
            </w:pPr>
            <w:r w:rsidRPr="00333651">
              <w:rPr>
                <w:sz w:val="20"/>
                <w:szCs w:val="20"/>
              </w:rPr>
              <w:t>за выдачу государственного регистрационного знака взамен траченного или пришедшего в негодность, тыс. руб.;</w:t>
            </w:r>
          </w:p>
        </w:tc>
        <w:tc>
          <w:tcPr>
            <w:tcW w:w="661" w:type="pct"/>
            <w:tcBorders>
              <w:bottom w:val="single" w:sz="4" w:space="0" w:color="auto"/>
            </w:tcBorders>
          </w:tcPr>
          <w:p w:rsidR="0058574E" w:rsidRPr="00333651" w:rsidRDefault="0058574E" w:rsidP="00E7317C">
            <w:pPr>
              <w:jc w:val="center"/>
              <w:rPr>
                <w:sz w:val="20"/>
                <w:szCs w:val="20"/>
              </w:rPr>
            </w:pPr>
          </w:p>
          <w:p w:rsidR="0058574E" w:rsidRPr="00333651" w:rsidRDefault="0058574E" w:rsidP="00E7317C">
            <w:pPr>
              <w:jc w:val="center"/>
              <w:rPr>
                <w:sz w:val="20"/>
                <w:szCs w:val="20"/>
              </w:rPr>
            </w:pPr>
          </w:p>
          <w:p w:rsidR="0058574E" w:rsidRPr="00333651" w:rsidRDefault="0058574E" w:rsidP="00E7317C">
            <w:pPr>
              <w:jc w:val="center"/>
              <w:rPr>
                <w:sz w:val="20"/>
                <w:szCs w:val="20"/>
              </w:rPr>
            </w:pPr>
          </w:p>
          <w:p w:rsidR="0058574E" w:rsidRPr="00333651" w:rsidRDefault="0058574E" w:rsidP="00E7317C">
            <w:pPr>
              <w:jc w:val="center"/>
              <w:rPr>
                <w:sz w:val="20"/>
                <w:szCs w:val="20"/>
              </w:rPr>
            </w:pPr>
          </w:p>
          <w:p w:rsidR="0058574E" w:rsidRPr="00333651" w:rsidRDefault="0058574E" w:rsidP="00E7317C">
            <w:pPr>
              <w:jc w:val="center"/>
              <w:rPr>
                <w:sz w:val="20"/>
                <w:szCs w:val="20"/>
              </w:rPr>
            </w:pPr>
          </w:p>
          <w:p w:rsidR="0058574E" w:rsidRPr="00333651" w:rsidRDefault="0058574E" w:rsidP="00E7317C">
            <w:pPr>
              <w:jc w:val="center"/>
              <w:rPr>
                <w:sz w:val="20"/>
                <w:szCs w:val="20"/>
              </w:rPr>
            </w:pPr>
          </w:p>
          <w:p w:rsidR="0058574E" w:rsidRPr="00333651" w:rsidRDefault="0058574E" w:rsidP="00E7317C">
            <w:pPr>
              <w:jc w:val="center"/>
              <w:rPr>
                <w:sz w:val="20"/>
                <w:szCs w:val="20"/>
              </w:rPr>
            </w:pPr>
          </w:p>
          <w:p w:rsidR="0058574E" w:rsidRPr="00333651" w:rsidRDefault="0058574E" w:rsidP="00E7317C">
            <w:pPr>
              <w:jc w:val="center"/>
              <w:rPr>
                <w:sz w:val="20"/>
                <w:szCs w:val="20"/>
              </w:rPr>
            </w:pPr>
          </w:p>
          <w:p w:rsidR="0058574E" w:rsidRPr="00333651" w:rsidRDefault="0058574E" w:rsidP="00E7317C">
            <w:pPr>
              <w:jc w:val="center"/>
              <w:rPr>
                <w:sz w:val="20"/>
                <w:szCs w:val="20"/>
              </w:rPr>
            </w:pPr>
            <w:r w:rsidRPr="00333651">
              <w:rPr>
                <w:sz w:val="20"/>
                <w:szCs w:val="20"/>
              </w:rPr>
              <w:t>13,0</w:t>
            </w:r>
          </w:p>
          <w:p w:rsidR="0058574E" w:rsidRPr="00333651" w:rsidRDefault="0058574E" w:rsidP="00E7317C">
            <w:pPr>
              <w:jc w:val="center"/>
              <w:rPr>
                <w:sz w:val="20"/>
                <w:szCs w:val="20"/>
              </w:rPr>
            </w:pPr>
          </w:p>
          <w:p w:rsidR="0058574E" w:rsidRPr="00333651" w:rsidRDefault="0058574E" w:rsidP="00E7317C">
            <w:pPr>
              <w:jc w:val="center"/>
              <w:rPr>
                <w:sz w:val="20"/>
                <w:szCs w:val="20"/>
              </w:rPr>
            </w:pPr>
            <w:r w:rsidRPr="00333651">
              <w:rPr>
                <w:sz w:val="20"/>
                <w:szCs w:val="20"/>
              </w:rPr>
              <w:t>7,0</w:t>
            </w:r>
          </w:p>
          <w:p w:rsidR="0058574E" w:rsidRPr="00333651" w:rsidRDefault="0058574E" w:rsidP="00E7317C">
            <w:pPr>
              <w:jc w:val="center"/>
              <w:rPr>
                <w:sz w:val="20"/>
                <w:szCs w:val="20"/>
              </w:rPr>
            </w:pPr>
          </w:p>
          <w:p w:rsidR="0058574E" w:rsidRPr="00333651" w:rsidRDefault="0058574E" w:rsidP="00E7317C">
            <w:pPr>
              <w:jc w:val="center"/>
              <w:rPr>
                <w:sz w:val="20"/>
                <w:szCs w:val="20"/>
              </w:rPr>
            </w:pPr>
            <w:r w:rsidRPr="00333651">
              <w:rPr>
                <w:sz w:val="20"/>
                <w:szCs w:val="20"/>
              </w:rPr>
              <w:t>3,5</w:t>
            </w:r>
          </w:p>
          <w:p w:rsidR="0058574E" w:rsidRPr="00333651" w:rsidRDefault="0058574E" w:rsidP="00E7317C">
            <w:pPr>
              <w:jc w:val="center"/>
              <w:rPr>
                <w:sz w:val="20"/>
                <w:szCs w:val="20"/>
              </w:rPr>
            </w:pPr>
          </w:p>
          <w:p w:rsidR="0058574E" w:rsidRPr="00333651" w:rsidRDefault="0058574E" w:rsidP="00E7317C">
            <w:pPr>
              <w:jc w:val="center"/>
              <w:rPr>
                <w:sz w:val="20"/>
                <w:szCs w:val="20"/>
              </w:rPr>
            </w:pPr>
          </w:p>
          <w:p w:rsidR="0058574E" w:rsidRPr="00333651" w:rsidRDefault="0058574E" w:rsidP="00E7317C">
            <w:pPr>
              <w:jc w:val="center"/>
              <w:rPr>
                <w:sz w:val="20"/>
                <w:szCs w:val="20"/>
              </w:rPr>
            </w:pPr>
          </w:p>
          <w:p w:rsidR="0058574E" w:rsidRPr="00333651" w:rsidRDefault="0058574E" w:rsidP="00E7317C">
            <w:pPr>
              <w:jc w:val="center"/>
              <w:rPr>
                <w:sz w:val="20"/>
                <w:szCs w:val="20"/>
              </w:rPr>
            </w:pPr>
          </w:p>
          <w:p w:rsidR="0058574E" w:rsidRPr="00333651" w:rsidRDefault="0058574E" w:rsidP="00E7317C">
            <w:pPr>
              <w:jc w:val="center"/>
              <w:rPr>
                <w:sz w:val="20"/>
                <w:szCs w:val="20"/>
              </w:rPr>
            </w:pPr>
          </w:p>
          <w:p w:rsidR="0058574E" w:rsidRPr="00333651" w:rsidRDefault="0058574E" w:rsidP="00E7317C">
            <w:pPr>
              <w:jc w:val="center"/>
              <w:rPr>
                <w:sz w:val="20"/>
                <w:szCs w:val="20"/>
              </w:rPr>
            </w:pPr>
            <w:r w:rsidRPr="00333651">
              <w:rPr>
                <w:sz w:val="20"/>
                <w:szCs w:val="20"/>
              </w:rPr>
              <w:t>2,4</w:t>
            </w:r>
          </w:p>
          <w:p w:rsidR="0058574E" w:rsidRPr="00333651" w:rsidRDefault="0058574E" w:rsidP="00E7317C">
            <w:pPr>
              <w:jc w:val="center"/>
              <w:rPr>
                <w:sz w:val="20"/>
                <w:szCs w:val="20"/>
              </w:rPr>
            </w:pPr>
          </w:p>
          <w:p w:rsidR="0058574E" w:rsidRPr="00333651" w:rsidRDefault="0058574E" w:rsidP="00E7317C">
            <w:pPr>
              <w:jc w:val="center"/>
              <w:rPr>
                <w:sz w:val="20"/>
                <w:szCs w:val="20"/>
              </w:rPr>
            </w:pPr>
            <w:r w:rsidRPr="00333651">
              <w:rPr>
                <w:sz w:val="20"/>
                <w:szCs w:val="20"/>
              </w:rPr>
              <w:t>1,8</w:t>
            </w:r>
          </w:p>
          <w:p w:rsidR="0058574E" w:rsidRPr="00333651" w:rsidRDefault="0058574E" w:rsidP="00E7317C">
            <w:pPr>
              <w:jc w:val="center"/>
              <w:rPr>
                <w:sz w:val="20"/>
                <w:szCs w:val="20"/>
              </w:rPr>
            </w:pPr>
          </w:p>
          <w:p w:rsidR="0058574E" w:rsidRPr="00333651" w:rsidRDefault="0058574E" w:rsidP="00E7317C">
            <w:pPr>
              <w:jc w:val="center"/>
              <w:rPr>
                <w:sz w:val="20"/>
                <w:szCs w:val="20"/>
              </w:rPr>
            </w:pPr>
            <w:r w:rsidRPr="00333651">
              <w:rPr>
                <w:sz w:val="20"/>
                <w:szCs w:val="20"/>
              </w:rPr>
              <w:t>1,3</w:t>
            </w:r>
          </w:p>
          <w:p w:rsidR="0058574E" w:rsidRPr="00333651" w:rsidRDefault="0058574E" w:rsidP="00E7317C">
            <w:pPr>
              <w:jc w:val="center"/>
              <w:rPr>
                <w:sz w:val="20"/>
                <w:szCs w:val="20"/>
              </w:rPr>
            </w:pPr>
          </w:p>
          <w:p w:rsidR="0058574E" w:rsidRPr="00333651" w:rsidRDefault="0058574E" w:rsidP="00E7317C">
            <w:pPr>
              <w:jc w:val="center"/>
              <w:rPr>
                <w:sz w:val="20"/>
                <w:szCs w:val="20"/>
              </w:rPr>
            </w:pPr>
            <w:r w:rsidRPr="00333651">
              <w:rPr>
                <w:sz w:val="20"/>
                <w:szCs w:val="20"/>
              </w:rPr>
              <w:t>0,6</w:t>
            </w:r>
          </w:p>
          <w:p w:rsidR="0058574E" w:rsidRPr="00333651" w:rsidRDefault="0058574E" w:rsidP="00E7317C">
            <w:pPr>
              <w:jc w:val="center"/>
              <w:rPr>
                <w:sz w:val="20"/>
                <w:szCs w:val="20"/>
              </w:rPr>
            </w:pPr>
          </w:p>
          <w:p w:rsidR="0058574E" w:rsidRPr="00333651" w:rsidRDefault="0058574E" w:rsidP="00E7317C">
            <w:pPr>
              <w:jc w:val="center"/>
              <w:rPr>
                <w:sz w:val="20"/>
                <w:szCs w:val="20"/>
              </w:rPr>
            </w:pPr>
            <w:r w:rsidRPr="00333651">
              <w:rPr>
                <w:sz w:val="20"/>
                <w:szCs w:val="20"/>
              </w:rPr>
              <w:t>0,6</w:t>
            </w:r>
          </w:p>
          <w:p w:rsidR="0058574E" w:rsidRPr="00333651" w:rsidRDefault="0058574E" w:rsidP="00E7317C">
            <w:pPr>
              <w:jc w:val="center"/>
              <w:rPr>
                <w:sz w:val="20"/>
                <w:szCs w:val="20"/>
              </w:rPr>
            </w:pPr>
          </w:p>
          <w:p w:rsidR="0058574E" w:rsidRPr="00333651" w:rsidRDefault="0058574E" w:rsidP="00E7317C">
            <w:pPr>
              <w:jc w:val="center"/>
              <w:rPr>
                <w:sz w:val="20"/>
                <w:szCs w:val="20"/>
              </w:rPr>
            </w:pPr>
            <w:r w:rsidRPr="00333651">
              <w:rPr>
                <w:sz w:val="20"/>
                <w:szCs w:val="20"/>
              </w:rPr>
              <w:t>1,5</w:t>
            </w:r>
          </w:p>
          <w:p w:rsidR="0058574E" w:rsidRPr="00333651" w:rsidRDefault="0058574E" w:rsidP="00E7317C">
            <w:pPr>
              <w:jc w:val="center"/>
              <w:rPr>
                <w:sz w:val="20"/>
                <w:szCs w:val="20"/>
              </w:rPr>
            </w:pPr>
          </w:p>
        </w:tc>
        <w:tc>
          <w:tcPr>
            <w:tcW w:w="857" w:type="pct"/>
            <w:tcBorders>
              <w:bottom w:val="single" w:sz="4" w:space="0" w:color="auto"/>
            </w:tcBorders>
          </w:tcPr>
          <w:p w:rsidR="0058574E" w:rsidRPr="00333651" w:rsidRDefault="0058574E" w:rsidP="00E7317C">
            <w:pPr>
              <w:jc w:val="center"/>
              <w:rPr>
                <w:sz w:val="20"/>
                <w:szCs w:val="20"/>
              </w:rPr>
            </w:pPr>
          </w:p>
          <w:p w:rsidR="0058574E" w:rsidRPr="00333651" w:rsidRDefault="0058574E" w:rsidP="00E7317C">
            <w:pPr>
              <w:jc w:val="center"/>
              <w:rPr>
                <w:sz w:val="20"/>
                <w:szCs w:val="20"/>
              </w:rPr>
            </w:pPr>
          </w:p>
          <w:p w:rsidR="0058574E" w:rsidRPr="00333651" w:rsidRDefault="0058574E" w:rsidP="00E7317C">
            <w:pPr>
              <w:jc w:val="center"/>
              <w:rPr>
                <w:sz w:val="20"/>
                <w:szCs w:val="20"/>
              </w:rPr>
            </w:pPr>
          </w:p>
          <w:p w:rsidR="0058574E" w:rsidRPr="00333651" w:rsidRDefault="0058574E" w:rsidP="00E7317C">
            <w:pPr>
              <w:jc w:val="center"/>
              <w:rPr>
                <w:sz w:val="20"/>
                <w:szCs w:val="20"/>
              </w:rPr>
            </w:pPr>
          </w:p>
          <w:p w:rsidR="0058574E" w:rsidRPr="00333651" w:rsidRDefault="0058574E" w:rsidP="00E7317C">
            <w:pPr>
              <w:jc w:val="center"/>
              <w:rPr>
                <w:sz w:val="20"/>
                <w:szCs w:val="20"/>
              </w:rPr>
            </w:pPr>
          </w:p>
          <w:p w:rsidR="0058574E" w:rsidRPr="00333651" w:rsidRDefault="0058574E" w:rsidP="00E7317C">
            <w:pPr>
              <w:jc w:val="center"/>
              <w:rPr>
                <w:sz w:val="20"/>
                <w:szCs w:val="20"/>
              </w:rPr>
            </w:pPr>
          </w:p>
          <w:p w:rsidR="0058574E" w:rsidRPr="00333651" w:rsidRDefault="0058574E" w:rsidP="00E7317C">
            <w:pPr>
              <w:jc w:val="center"/>
              <w:rPr>
                <w:sz w:val="20"/>
                <w:szCs w:val="20"/>
              </w:rPr>
            </w:pPr>
          </w:p>
          <w:p w:rsidR="0058574E" w:rsidRPr="00333651" w:rsidRDefault="0058574E" w:rsidP="00E7317C">
            <w:pPr>
              <w:jc w:val="center"/>
              <w:rPr>
                <w:sz w:val="20"/>
                <w:szCs w:val="20"/>
              </w:rPr>
            </w:pPr>
          </w:p>
          <w:p w:rsidR="0058574E" w:rsidRPr="00333651" w:rsidRDefault="0058574E" w:rsidP="00E7317C">
            <w:pPr>
              <w:jc w:val="center"/>
              <w:rPr>
                <w:sz w:val="20"/>
                <w:szCs w:val="20"/>
              </w:rPr>
            </w:pPr>
            <w:r w:rsidRPr="00333651">
              <w:rPr>
                <w:sz w:val="20"/>
                <w:szCs w:val="20"/>
              </w:rPr>
              <w:t>13,0</w:t>
            </w:r>
          </w:p>
          <w:p w:rsidR="0058574E" w:rsidRPr="00333651" w:rsidRDefault="0058574E" w:rsidP="00E7317C">
            <w:pPr>
              <w:jc w:val="center"/>
              <w:rPr>
                <w:sz w:val="20"/>
                <w:szCs w:val="20"/>
              </w:rPr>
            </w:pPr>
          </w:p>
          <w:p w:rsidR="0058574E" w:rsidRPr="00333651" w:rsidRDefault="0058574E" w:rsidP="00E7317C">
            <w:pPr>
              <w:jc w:val="center"/>
              <w:rPr>
                <w:sz w:val="20"/>
                <w:szCs w:val="20"/>
              </w:rPr>
            </w:pPr>
            <w:r w:rsidRPr="00333651">
              <w:rPr>
                <w:sz w:val="20"/>
                <w:szCs w:val="20"/>
              </w:rPr>
              <w:t>7,0</w:t>
            </w:r>
          </w:p>
          <w:p w:rsidR="0058574E" w:rsidRPr="00333651" w:rsidRDefault="0058574E" w:rsidP="00E7317C">
            <w:pPr>
              <w:jc w:val="center"/>
              <w:rPr>
                <w:sz w:val="20"/>
                <w:szCs w:val="20"/>
              </w:rPr>
            </w:pPr>
          </w:p>
          <w:p w:rsidR="0058574E" w:rsidRPr="00333651" w:rsidRDefault="0058574E" w:rsidP="00E7317C">
            <w:pPr>
              <w:jc w:val="center"/>
              <w:rPr>
                <w:sz w:val="20"/>
                <w:szCs w:val="20"/>
              </w:rPr>
            </w:pPr>
            <w:r w:rsidRPr="00333651">
              <w:rPr>
                <w:sz w:val="20"/>
                <w:szCs w:val="20"/>
              </w:rPr>
              <w:t>3,5</w:t>
            </w:r>
          </w:p>
          <w:p w:rsidR="0058574E" w:rsidRPr="00333651" w:rsidRDefault="0058574E" w:rsidP="00E7317C">
            <w:pPr>
              <w:jc w:val="center"/>
              <w:rPr>
                <w:sz w:val="20"/>
                <w:szCs w:val="20"/>
              </w:rPr>
            </w:pPr>
          </w:p>
          <w:p w:rsidR="0058574E" w:rsidRPr="00333651" w:rsidRDefault="0058574E" w:rsidP="00E7317C">
            <w:pPr>
              <w:jc w:val="center"/>
              <w:rPr>
                <w:sz w:val="20"/>
                <w:szCs w:val="20"/>
              </w:rPr>
            </w:pPr>
          </w:p>
          <w:p w:rsidR="0058574E" w:rsidRPr="00333651" w:rsidRDefault="0058574E" w:rsidP="00E7317C">
            <w:pPr>
              <w:jc w:val="center"/>
              <w:rPr>
                <w:sz w:val="20"/>
                <w:szCs w:val="20"/>
              </w:rPr>
            </w:pPr>
          </w:p>
          <w:p w:rsidR="0058574E" w:rsidRPr="00333651" w:rsidRDefault="0058574E" w:rsidP="00E7317C">
            <w:pPr>
              <w:jc w:val="center"/>
              <w:rPr>
                <w:sz w:val="20"/>
                <w:szCs w:val="20"/>
              </w:rPr>
            </w:pPr>
          </w:p>
          <w:p w:rsidR="0058574E" w:rsidRPr="00333651" w:rsidRDefault="0058574E" w:rsidP="00E7317C">
            <w:pPr>
              <w:jc w:val="center"/>
              <w:rPr>
                <w:sz w:val="20"/>
                <w:szCs w:val="20"/>
              </w:rPr>
            </w:pPr>
          </w:p>
          <w:p w:rsidR="0058574E" w:rsidRPr="00333651" w:rsidRDefault="0058574E" w:rsidP="00E7317C">
            <w:pPr>
              <w:jc w:val="center"/>
              <w:rPr>
                <w:sz w:val="20"/>
                <w:szCs w:val="20"/>
              </w:rPr>
            </w:pPr>
            <w:r w:rsidRPr="00333651">
              <w:rPr>
                <w:sz w:val="20"/>
                <w:szCs w:val="20"/>
              </w:rPr>
              <w:t>2,4</w:t>
            </w:r>
          </w:p>
          <w:p w:rsidR="0058574E" w:rsidRPr="00333651" w:rsidRDefault="0058574E" w:rsidP="00E7317C">
            <w:pPr>
              <w:jc w:val="center"/>
              <w:rPr>
                <w:sz w:val="20"/>
                <w:szCs w:val="20"/>
              </w:rPr>
            </w:pPr>
          </w:p>
          <w:p w:rsidR="0058574E" w:rsidRPr="00333651" w:rsidRDefault="0058574E" w:rsidP="00E7317C">
            <w:pPr>
              <w:jc w:val="center"/>
              <w:rPr>
                <w:sz w:val="20"/>
                <w:szCs w:val="20"/>
              </w:rPr>
            </w:pPr>
            <w:r w:rsidRPr="00333651">
              <w:rPr>
                <w:sz w:val="20"/>
                <w:szCs w:val="20"/>
              </w:rPr>
              <w:t>1,8</w:t>
            </w:r>
          </w:p>
          <w:p w:rsidR="0058574E" w:rsidRPr="00333651" w:rsidRDefault="0058574E" w:rsidP="00E7317C">
            <w:pPr>
              <w:jc w:val="center"/>
              <w:rPr>
                <w:sz w:val="20"/>
                <w:szCs w:val="20"/>
              </w:rPr>
            </w:pPr>
          </w:p>
          <w:p w:rsidR="0058574E" w:rsidRPr="00333651" w:rsidRDefault="0058574E" w:rsidP="00E7317C">
            <w:pPr>
              <w:jc w:val="center"/>
              <w:rPr>
                <w:sz w:val="20"/>
                <w:szCs w:val="20"/>
              </w:rPr>
            </w:pPr>
            <w:r w:rsidRPr="00333651">
              <w:rPr>
                <w:sz w:val="20"/>
                <w:szCs w:val="20"/>
              </w:rPr>
              <w:t>1,3</w:t>
            </w:r>
          </w:p>
          <w:p w:rsidR="0058574E" w:rsidRPr="00333651" w:rsidRDefault="0058574E" w:rsidP="00E7317C">
            <w:pPr>
              <w:jc w:val="center"/>
              <w:rPr>
                <w:sz w:val="20"/>
                <w:szCs w:val="20"/>
              </w:rPr>
            </w:pPr>
          </w:p>
          <w:p w:rsidR="0058574E" w:rsidRPr="00333651" w:rsidRDefault="0058574E" w:rsidP="00E7317C">
            <w:pPr>
              <w:jc w:val="center"/>
              <w:rPr>
                <w:sz w:val="20"/>
                <w:szCs w:val="20"/>
              </w:rPr>
            </w:pPr>
            <w:r w:rsidRPr="00333651">
              <w:rPr>
                <w:sz w:val="20"/>
                <w:szCs w:val="20"/>
              </w:rPr>
              <w:t>0,6</w:t>
            </w:r>
          </w:p>
          <w:p w:rsidR="0058574E" w:rsidRPr="00333651" w:rsidRDefault="0058574E" w:rsidP="00E7317C">
            <w:pPr>
              <w:jc w:val="center"/>
              <w:rPr>
                <w:sz w:val="20"/>
                <w:szCs w:val="20"/>
              </w:rPr>
            </w:pPr>
          </w:p>
          <w:p w:rsidR="0058574E" w:rsidRPr="00333651" w:rsidRDefault="0058574E" w:rsidP="00E7317C">
            <w:pPr>
              <w:jc w:val="center"/>
              <w:rPr>
                <w:sz w:val="20"/>
                <w:szCs w:val="20"/>
              </w:rPr>
            </w:pPr>
            <w:r w:rsidRPr="00333651">
              <w:rPr>
                <w:sz w:val="20"/>
                <w:szCs w:val="20"/>
              </w:rPr>
              <w:t>0,6</w:t>
            </w:r>
          </w:p>
          <w:p w:rsidR="0058574E" w:rsidRPr="00333651" w:rsidRDefault="0058574E" w:rsidP="00E7317C">
            <w:pPr>
              <w:jc w:val="center"/>
              <w:rPr>
                <w:sz w:val="20"/>
                <w:szCs w:val="20"/>
              </w:rPr>
            </w:pPr>
          </w:p>
          <w:p w:rsidR="0058574E" w:rsidRPr="00333651" w:rsidRDefault="0058574E" w:rsidP="00E7317C">
            <w:pPr>
              <w:jc w:val="center"/>
              <w:rPr>
                <w:sz w:val="20"/>
                <w:szCs w:val="20"/>
              </w:rPr>
            </w:pPr>
            <w:r w:rsidRPr="00333651">
              <w:rPr>
                <w:sz w:val="20"/>
                <w:szCs w:val="20"/>
              </w:rPr>
              <w:t>1,5</w:t>
            </w:r>
          </w:p>
          <w:p w:rsidR="0058574E" w:rsidRPr="00333651" w:rsidRDefault="0058574E" w:rsidP="00E7317C">
            <w:pPr>
              <w:jc w:val="center"/>
              <w:rPr>
                <w:sz w:val="20"/>
                <w:szCs w:val="20"/>
              </w:rPr>
            </w:pPr>
          </w:p>
          <w:p w:rsidR="0058574E" w:rsidRPr="00333651" w:rsidRDefault="0058574E" w:rsidP="00E7317C">
            <w:pPr>
              <w:jc w:val="center"/>
              <w:rPr>
                <w:sz w:val="20"/>
                <w:szCs w:val="20"/>
              </w:rPr>
            </w:pPr>
          </w:p>
        </w:tc>
        <w:tc>
          <w:tcPr>
            <w:tcW w:w="807" w:type="pct"/>
            <w:tcBorders>
              <w:bottom w:val="single" w:sz="4" w:space="0" w:color="auto"/>
            </w:tcBorders>
          </w:tcPr>
          <w:p w:rsidR="0058574E" w:rsidRPr="00333651" w:rsidRDefault="0058574E" w:rsidP="00E7317C">
            <w:pPr>
              <w:rPr>
                <w:sz w:val="20"/>
                <w:szCs w:val="20"/>
              </w:rPr>
            </w:pPr>
          </w:p>
          <w:p w:rsidR="0058574E" w:rsidRPr="00333651" w:rsidRDefault="0058574E" w:rsidP="00E7317C">
            <w:pPr>
              <w:rPr>
                <w:sz w:val="20"/>
                <w:szCs w:val="20"/>
              </w:rPr>
            </w:pPr>
          </w:p>
          <w:p w:rsidR="0058574E" w:rsidRPr="00333651" w:rsidRDefault="0058574E" w:rsidP="00E7317C">
            <w:pPr>
              <w:jc w:val="center"/>
              <w:rPr>
                <w:sz w:val="20"/>
                <w:szCs w:val="20"/>
              </w:rPr>
            </w:pPr>
          </w:p>
          <w:p w:rsidR="0058574E" w:rsidRPr="00333651" w:rsidRDefault="0058574E" w:rsidP="00E7317C">
            <w:pPr>
              <w:jc w:val="center"/>
              <w:rPr>
                <w:sz w:val="20"/>
                <w:szCs w:val="20"/>
              </w:rPr>
            </w:pPr>
          </w:p>
          <w:p w:rsidR="0058574E" w:rsidRPr="00333651" w:rsidRDefault="0058574E" w:rsidP="00E7317C">
            <w:pPr>
              <w:jc w:val="center"/>
              <w:rPr>
                <w:sz w:val="20"/>
                <w:szCs w:val="20"/>
              </w:rPr>
            </w:pPr>
          </w:p>
          <w:p w:rsidR="0058574E" w:rsidRPr="00333651" w:rsidRDefault="0058574E" w:rsidP="00E7317C">
            <w:pPr>
              <w:jc w:val="center"/>
              <w:rPr>
                <w:sz w:val="20"/>
                <w:szCs w:val="20"/>
              </w:rPr>
            </w:pPr>
          </w:p>
          <w:p w:rsidR="0058574E" w:rsidRPr="00333651" w:rsidRDefault="0058574E" w:rsidP="00E7317C">
            <w:pPr>
              <w:jc w:val="center"/>
              <w:rPr>
                <w:sz w:val="20"/>
                <w:szCs w:val="20"/>
              </w:rPr>
            </w:pPr>
          </w:p>
          <w:p w:rsidR="0058574E" w:rsidRPr="00333651" w:rsidRDefault="0058574E" w:rsidP="00E7317C">
            <w:pPr>
              <w:jc w:val="center"/>
              <w:rPr>
                <w:sz w:val="20"/>
                <w:szCs w:val="20"/>
              </w:rPr>
            </w:pPr>
          </w:p>
          <w:p w:rsidR="0058574E" w:rsidRPr="00333651" w:rsidRDefault="0058574E" w:rsidP="00E7317C">
            <w:pPr>
              <w:jc w:val="center"/>
              <w:rPr>
                <w:sz w:val="20"/>
                <w:szCs w:val="20"/>
              </w:rPr>
            </w:pPr>
            <w:r w:rsidRPr="00333651">
              <w:rPr>
                <w:sz w:val="20"/>
                <w:szCs w:val="20"/>
              </w:rPr>
              <w:t>13,0</w:t>
            </w:r>
          </w:p>
          <w:p w:rsidR="0058574E" w:rsidRPr="00333651" w:rsidRDefault="0058574E" w:rsidP="00E7317C">
            <w:pPr>
              <w:jc w:val="center"/>
              <w:rPr>
                <w:sz w:val="20"/>
                <w:szCs w:val="20"/>
              </w:rPr>
            </w:pPr>
          </w:p>
          <w:p w:rsidR="0058574E" w:rsidRPr="00333651" w:rsidRDefault="0058574E" w:rsidP="00E7317C">
            <w:pPr>
              <w:jc w:val="center"/>
              <w:rPr>
                <w:sz w:val="20"/>
                <w:szCs w:val="20"/>
              </w:rPr>
            </w:pPr>
            <w:r w:rsidRPr="00333651">
              <w:rPr>
                <w:sz w:val="20"/>
                <w:szCs w:val="20"/>
              </w:rPr>
              <w:t>7,0</w:t>
            </w:r>
          </w:p>
          <w:p w:rsidR="0058574E" w:rsidRPr="00333651" w:rsidRDefault="0058574E" w:rsidP="00E7317C">
            <w:pPr>
              <w:jc w:val="center"/>
              <w:rPr>
                <w:sz w:val="20"/>
                <w:szCs w:val="20"/>
              </w:rPr>
            </w:pPr>
          </w:p>
          <w:p w:rsidR="0058574E" w:rsidRPr="00333651" w:rsidRDefault="0058574E" w:rsidP="00E7317C">
            <w:pPr>
              <w:jc w:val="center"/>
              <w:rPr>
                <w:sz w:val="20"/>
                <w:szCs w:val="20"/>
              </w:rPr>
            </w:pPr>
            <w:r w:rsidRPr="00333651">
              <w:rPr>
                <w:sz w:val="20"/>
                <w:szCs w:val="20"/>
              </w:rPr>
              <w:t>3,5</w:t>
            </w:r>
          </w:p>
          <w:p w:rsidR="0058574E" w:rsidRPr="00333651" w:rsidRDefault="0058574E" w:rsidP="00E7317C">
            <w:pPr>
              <w:jc w:val="center"/>
              <w:rPr>
                <w:sz w:val="20"/>
                <w:szCs w:val="20"/>
              </w:rPr>
            </w:pPr>
          </w:p>
          <w:p w:rsidR="0058574E" w:rsidRPr="00333651" w:rsidRDefault="0058574E" w:rsidP="00E7317C">
            <w:pPr>
              <w:jc w:val="center"/>
              <w:rPr>
                <w:sz w:val="20"/>
                <w:szCs w:val="20"/>
              </w:rPr>
            </w:pPr>
          </w:p>
          <w:p w:rsidR="0058574E" w:rsidRPr="00333651" w:rsidRDefault="0058574E" w:rsidP="00E7317C">
            <w:pPr>
              <w:jc w:val="center"/>
              <w:rPr>
                <w:sz w:val="20"/>
                <w:szCs w:val="20"/>
              </w:rPr>
            </w:pPr>
          </w:p>
          <w:p w:rsidR="0058574E" w:rsidRPr="00333651" w:rsidRDefault="0058574E" w:rsidP="00E7317C">
            <w:pPr>
              <w:jc w:val="center"/>
              <w:rPr>
                <w:sz w:val="20"/>
                <w:szCs w:val="20"/>
              </w:rPr>
            </w:pPr>
          </w:p>
          <w:p w:rsidR="0058574E" w:rsidRPr="00333651" w:rsidRDefault="0058574E" w:rsidP="00E7317C">
            <w:pPr>
              <w:jc w:val="center"/>
              <w:rPr>
                <w:sz w:val="20"/>
                <w:szCs w:val="20"/>
              </w:rPr>
            </w:pPr>
          </w:p>
          <w:p w:rsidR="0058574E" w:rsidRPr="00333651" w:rsidRDefault="0058574E" w:rsidP="00E7317C">
            <w:pPr>
              <w:jc w:val="center"/>
              <w:rPr>
                <w:sz w:val="20"/>
                <w:szCs w:val="20"/>
              </w:rPr>
            </w:pPr>
            <w:r w:rsidRPr="00333651">
              <w:rPr>
                <w:sz w:val="20"/>
                <w:szCs w:val="20"/>
              </w:rPr>
              <w:t>2,4</w:t>
            </w:r>
          </w:p>
          <w:p w:rsidR="0058574E" w:rsidRPr="00333651" w:rsidRDefault="0058574E" w:rsidP="00E7317C">
            <w:pPr>
              <w:jc w:val="center"/>
              <w:rPr>
                <w:sz w:val="20"/>
                <w:szCs w:val="20"/>
              </w:rPr>
            </w:pPr>
          </w:p>
          <w:p w:rsidR="0058574E" w:rsidRPr="00333651" w:rsidRDefault="0058574E" w:rsidP="00E7317C">
            <w:pPr>
              <w:jc w:val="center"/>
              <w:rPr>
                <w:sz w:val="20"/>
                <w:szCs w:val="20"/>
              </w:rPr>
            </w:pPr>
            <w:r w:rsidRPr="00333651">
              <w:rPr>
                <w:sz w:val="20"/>
                <w:szCs w:val="20"/>
              </w:rPr>
              <w:t>1,8</w:t>
            </w:r>
          </w:p>
          <w:p w:rsidR="0058574E" w:rsidRPr="00333651" w:rsidRDefault="0058574E" w:rsidP="00E7317C">
            <w:pPr>
              <w:jc w:val="center"/>
              <w:rPr>
                <w:sz w:val="20"/>
                <w:szCs w:val="20"/>
              </w:rPr>
            </w:pPr>
          </w:p>
          <w:p w:rsidR="0058574E" w:rsidRPr="00333651" w:rsidRDefault="0058574E" w:rsidP="00E7317C">
            <w:pPr>
              <w:jc w:val="center"/>
              <w:rPr>
                <w:sz w:val="20"/>
                <w:szCs w:val="20"/>
              </w:rPr>
            </w:pPr>
            <w:r w:rsidRPr="00333651">
              <w:rPr>
                <w:sz w:val="20"/>
                <w:szCs w:val="20"/>
              </w:rPr>
              <w:t>1,3</w:t>
            </w:r>
          </w:p>
          <w:p w:rsidR="0058574E" w:rsidRPr="00333651" w:rsidRDefault="0058574E" w:rsidP="00E7317C">
            <w:pPr>
              <w:jc w:val="center"/>
              <w:rPr>
                <w:sz w:val="20"/>
                <w:szCs w:val="20"/>
              </w:rPr>
            </w:pPr>
          </w:p>
          <w:p w:rsidR="0058574E" w:rsidRPr="00333651" w:rsidRDefault="0058574E" w:rsidP="00E7317C">
            <w:pPr>
              <w:jc w:val="center"/>
              <w:rPr>
                <w:sz w:val="20"/>
                <w:szCs w:val="20"/>
              </w:rPr>
            </w:pPr>
            <w:r w:rsidRPr="00333651">
              <w:rPr>
                <w:sz w:val="20"/>
                <w:szCs w:val="20"/>
              </w:rPr>
              <w:t>0,6</w:t>
            </w:r>
          </w:p>
          <w:p w:rsidR="0058574E" w:rsidRPr="00333651" w:rsidRDefault="0058574E" w:rsidP="00E7317C">
            <w:pPr>
              <w:jc w:val="center"/>
              <w:rPr>
                <w:sz w:val="20"/>
                <w:szCs w:val="20"/>
              </w:rPr>
            </w:pPr>
          </w:p>
          <w:p w:rsidR="0058574E" w:rsidRPr="00333651" w:rsidRDefault="0058574E" w:rsidP="00E7317C">
            <w:pPr>
              <w:jc w:val="center"/>
              <w:rPr>
                <w:sz w:val="20"/>
                <w:szCs w:val="20"/>
              </w:rPr>
            </w:pPr>
            <w:r w:rsidRPr="00333651">
              <w:rPr>
                <w:sz w:val="20"/>
                <w:szCs w:val="20"/>
              </w:rPr>
              <w:t>0,6</w:t>
            </w:r>
          </w:p>
          <w:p w:rsidR="0058574E" w:rsidRPr="00333651" w:rsidRDefault="0058574E" w:rsidP="00E7317C">
            <w:pPr>
              <w:jc w:val="center"/>
              <w:rPr>
                <w:sz w:val="20"/>
                <w:szCs w:val="20"/>
              </w:rPr>
            </w:pPr>
          </w:p>
          <w:p w:rsidR="0058574E" w:rsidRPr="00333651" w:rsidRDefault="0058574E" w:rsidP="00E7317C">
            <w:pPr>
              <w:jc w:val="center"/>
              <w:rPr>
                <w:sz w:val="20"/>
                <w:szCs w:val="20"/>
              </w:rPr>
            </w:pPr>
            <w:r w:rsidRPr="00333651">
              <w:rPr>
                <w:sz w:val="20"/>
                <w:szCs w:val="20"/>
              </w:rPr>
              <w:t>1,5</w:t>
            </w:r>
          </w:p>
          <w:p w:rsidR="0058574E" w:rsidRPr="00333651" w:rsidRDefault="0058574E" w:rsidP="00E7317C">
            <w:pPr>
              <w:jc w:val="center"/>
              <w:rPr>
                <w:sz w:val="20"/>
                <w:szCs w:val="20"/>
              </w:rPr>
            </w:pPr>
          </w:p>
          <w:p w:rsidR="0058574E" w:rsidRPr="00333651" w:rsidRDefault="0058574E" w:rsidP="00E7317C">
            <w:pPr>
              <w:jc w:val="center"/>
              <w:rPr>
                <w:sz w:val="20"/>
                <w:szCs w:val="20"/>
              </w:rPr>
            </w:pPr>
          </w:p>
        </w:tc>
      </w:tr>
      <w:tr w:rsidR="0058574E" w:rsidRPr="000C7712" w:rsidTr="00E7317C">
        <w:trPr>
          <w:trHeight w:val="795"/>
        </w:trPr>
        <w:tc>
          <w:tcPr>
            <w:tcW w:w="2675" w:type="pct"/>
            <w:tcBorders>
              <w:bottom w:val="single" w:sz="4" w:space="0" w:color="auto"/>
            </w:tcBorders>
          </w:tcPr>
          <w:p w:rsidR="0058574E" w:rsidRPr="00056458" w:rsidRDefault="0058574E" w:rsidP="005D6ACF">
            <w:pPr>
              <w:pStyle w:val="af4"/>
              <w:numPr>
                <w:ilvl w:val="0"/>
                <w:numId w:val="10"/>
              </w:numPr>
              <w:tabs>
                <w:tab w:val="clear" w:pos="705"/>
                <w:tab w:val="num" w:pos="0"/>
                <w:tab w:val="num" w:pos="585"/>
                <w:tab w:val="num" w:pos="1211"/>
              </w:tabs>
              <w:spacing w:after="200" w:line="276" w:lineRule="auto"/>
              <w:ind w:left="18" w:firstLine="0"/>
              <w:rPr>
                <w:sz w:val="20"/>
                <w:szCs w:val="20"/>
              </w:rPr>
            </w:pPr>
            <w:r w:rsidRPr="00056458">
              <w:rPr>
                <w:sz w:val="20"/>
                <w:szCs w:val="20"/>
              </w:rPr>
              <w:t>Сумма госпошлины, тыс. руб.</w:t>
            </w:r>
          </w:p>
          <w:p w:rsidR="0058574E" w:rsidRPr="00056458" w:rsidRDefault="0058574E" w:rsidP="005D6ACF">
            <w:pPr>
              <w:pStyle w:val="af4"/>
              <w:numPr>
                <w:ilvl w:val="1"/>
                <w:numId w:val="10"/>
              </w:numPr>
              <w:tabs>
                <w:tab w:val="clear" w:pos="360"/>
                <w:tab w:val="num" w:pos="0"/>
                <w:tab w:val="num" w:pos="585"/>
              </w:tabs>
              <w:spacing w:after="200" w:line="276" w:lineRule="auto"/>
              <w:ind w:left="0" w:firstLine="0"/>
              <w:rPr>
                <w:sz w:val="20"/>
                <w:szCs w:val="20"/>
              </w:rPr>
            </w:pPr>
            <w:r w:rsidRPr="00056458">
              <w:rPr>
                <w:sz w:val="20"/>
                <w:szCs w:val="20"/>
              </w:rPr>
              <w:t xml:space="preserve"> За государственную регистрацию (возобновление государственной регистрации) аттракциона, включая выдачу свидетельства о государственной регистрации аттракциона и государственного регистрационного знака на аттракцион, тыс. руб. (стр.7.1.1 + стр. 7.1.2 + </w:t>
            </w:r>
            <w:r w:rsidRPr="00056458">
              <w:rPr>
                <w:sz w:val="20"/>
                <w:szCs w:val="20"/>
              </w:rPr>
              <w:br/>
              <w:t>стр. 7.1.3.)</w:t>
            </w:r>
          </w:p>
          <w:p w:rsidR="0058574E" w:rsidRPr="00056458" w:rsidRDefault="0058574E" w:rsidP="005D6ACF">
            <w:pPr>
              <w:pStyle w:val="af4"/>
              <w:numPr>
                <w:ilvl w:val="2"/>
                <w:numId w:val="10"/>
              </w:numPr>
              <w:tabs>
                <w:tab w:val="clear" w:pos="1065"/>
                <w:tab w:val="num" w:pos="0"/>
                <w:tab w:val="num" w:pos="585"/>
              </w:tabs>
              <w:spacing w:after="200" w:line="276" w:lineRule="auto"/>
              <w:ind w:left="0" w:firstLine="0"/>
              <w:rPr>
                <w:sz w:val="20"/>
                <w:szCs w:val="20"/>
              </w:rPr>
            </w:pPr>
            <w:r w:rsidRPr="00056458">
              <w:rPr>
                <w:sz w:val="20"/>
                <w:szCs w:val="20"/>
              </w:rPr>
              <w:t xml:space="preserve"> С высокой степенью потенциального биомеханического риска (</w:t>
            </w:r>
            <w:r w:rsidRPr="00056458">
              <w:rPr>
                <w:sz w:val="20"/>
                <w:szCs w:val="20"/>
                <w:lang w:val="en-US"/>
              </w:rPr>
              <w:t>RB</w:t>
            </w:r>
            <w:r w:rsidRPr="00056458">
              <w:rPr>
                <w:sz w:val="20"/>
                <w:szCs w:val="20"/>
              </w:rPr>
              <w:t>-1), тыс. руб.;</w:t>
            </w:r>
          </w:p>
          <w:p w:rsidR="0058574E" w:rsidRPr="00056458" w:rsidRDefault="0058574E" w:rsidP="005D6ACF">
            <w:pPr>
              <w:pStyle w:val="af4"/>
              <w:numPr>
                <w:ilvl w:val="2"/>
                <w:numId w:val="10"/>
              </w:numPr>
              <w:tabs>
                <w:tab w:val="clear" w:pos="1065"/>
                <w:tab w:val="num" w:pos="0"/>
                <w:tab w:val="num" w:pos="585"/>
              </w:tabs>
              <w:spacing w:after="200" w:line="276" w:lineRule="auto"/>
              <w:ind w:left="0" w:firstLine="0"/>
              <w:rPr>
                <w:sz w:val="20"/>
                <w:szCs w:val="20"/>
              </w:rPr>
            </w:pPr>
            <w:r w:rsidRPr="00056458">
              <w:rPr>
                <w:sz w:val="20"/>
                <w:szCs w:val="20"/>
              </w:rPr>
              <w:t>Со средней степенью потенциального биомеханического риска (</w:t>
            </w:r>
            <w:r w:rsidRPr="00056458">
              <w:rPr>
                <w:sz w:val="20"/>
                <w:szCs w:val="20"/>
                <w:lang w:val="en-US"/>
              </w:rPr>
              <w:t>RB</w:t>
            </w:r>
            <w:r w:rsidRPr="00056458">
              <w:rPr>
                <w:sz w:val="20"/>
                <w:szCs w:val="20"/>
              </w:rPr>
              <w:t>-2), тыс. руб.;</w:t>
            </w:r>
          </w:p>
          <w:p w:rsidR="0058574E" w:rsidRPr="00056458" w:rsidRDefault="0058574E" w:rsidP="005D6ACF">
            <w:pPr>
              <w:pStyle w:val="af4"/>
              <w:numPr>
                <w:ilvl w:val="2"/>
                <w:numId w:val="10"/>
              </w:numPr>
              <w:tabs>
                <w:tab w:val="clear" w:pos="1065"/>
                <w:tab w:val="num" w:pos="0"/>
                <w:tab w:val="num" w:pos="585"/>
              </w:tabs>
              <w:spacing w:after="200" w:line="276" w:lineRule="auto"/>
              <w:ind w:left="0" w:firstLine="0"/>
              <w:rPr>
                <w:sz w:val="20"/>
                <w:szCs w:val="20"/>
              </w:rPr>
            </w:pPr>
            <w:r w:rsidRPr="00056458">
              <w:rPr>
                <w:sz w:val="20"/>
                <w:szCs w:val="20"/>
              </w:rPr>
              <w:t>С низкой степенью потенциального биомеханического риска (</w:t>
            </w:r>
            <w:r w:rsidRPr="00056458">
              <w:rPr>
                <w:sz w:val="20"/>
                <w:szCs w:val="20"/>
                <w:lang w:val="en-US"/>
              </w:rPr>
              <w:t>RB</w:t>
            </w:r>
            <w:r w:rsidRPr="00056458">
              <w:rPr>
                <w:sz w:val="20"/>
                <w:szCs w:val="20"/>
              </w:rPr>
              <w:t>-3), тыс. руб.;</w:t>
            </w:r>
          </w:p>
          <w:p w:rsidR="0058574E" w:rsidRPr="00056458" w:rsidRDefault="0058574E" w:rsidP="005D6ACF">
            <w:pPr>
              <w:pStyle w:val="af4"/>
              <w:numPr>
                <w:ilvl w:val="1"/>
                <w:numId w:val="10"/>
              </w:numPr>
              <w:tabs>
                <w:tab w:val="clear" w:pos="360"/>
                <w:tab w:val="num" w:pos="0"/>
              </w:tabs>
              <w:ind w:left="0" w:firstLine="0"/>
              <w:rPr>
                <w:sz w:val="20"/>
                <w:szCs w:val="20"/>
              </w:rPr>
            </w:pPr>
            <w:r w:rsidRPr="00056458">
              <w:rPr>
                <w:sz w:val="20"/>
                <w:szCs w:val="20"/>
              </w:rPr>
              <w:t>За временную государственную регистрацию по месту пребывания ранее зарегистрированного аттракциона, тыс. руб.</w:t>
            </w:r>
          </w:p>
          <w:p w:rsidR="0058574E" w:rsidRPr="00056458" w:rsidRDefault="0058574E" w:rsidP="005D6ACF">
            <w:pPr>
              <w:pStyle w:val="af4"/>
              <w:numPr>
                <w:ilvl w:val="2"/>
                <w:numId w:val="10"/>
              </w:numPr>
              <w:tabs>
                <w:tab w:val="clear" w:pos="1065"/>
                <w:tab w:val="num" w:pos="345"/>
              </w:tabs>
              <w:ind w:left="0" w:firstLine="0"/>
              <w:rPr>
                <w:sz w:val="20"/>
                <w:szCs w:val="20"/>
              </w:rPr>
            </w:pPr>
            <w:r w:rsidRPr="00056458">
              <w:rPr>
                <w:sz w:val="20"/>
                <w:szCs w:val="20"/>
              </w:rPr>
              <w:t xml:space="preserve"> С высокой степенью потенциального биомеханического риска (RB-1), тыс. руб.</w:t>
            </w:r>
          </w:p>
          <w:p w:rsidR="0058574E" w:rsidRPr="00056458" w:rsidRDefault="0058574E" w:rsidP="005D6ACF">
            <w:pPr>
              <w:pStyle w:val="af4"/>
              <w:numPr>
                <w:ilvl w:val="2"/>
                <w:numId w:val="10"/>
              </w:numPr>
              <w:tabs>
                <w:tab w:val="clear" w:pos="1065"/>
                <w:tab w:val="num" w:pos="345"/>
              </w:tabs>
              <w:ind w:left="0" w:firstLine="0"/>
              <w:rPr>
                <w:sz w:val="20"/>
                <w:szCs w:val="20"/>
              </w:rPr>
            </w:pPr>
            <w:r w:rsidRPr="00056458">
              <w:rPr>
                <w:sz w:val="20"/>
                <w:szCs w:val="20"/>
              </w:rPr>
              <w:lastRenderedPageBreak/>
              <w:t>Со средней степенью потенциального биомеханического риска (</w:t>
            </w:r>
            <w:r w:rsidRPr="00056458">
              <w:rPr>
                <w:sz w:val="20"/>
                <w:szCs w:val="20"/>
                <w:lang w:val="en-US"/>
              </w:rPr>
              <w:t>RB</w:t>
            </w:r>
            <w:r w:rsidRPr="00056458">
              <w:rPr>
                <w:sz w:val="20"/>
                <w:szCs w:val="20"/>
              </w:rPr>
              <w:t>-2), тыс. руб.</w:t>
            </w:r>
          </w:p>
          <w:p w:rsidR="0058574E" w:rsidRPr="00056458" w:rsidRDefault="0058574E" w:rsidP="005D6ACF">
            <w:pPr>
              <w:pStyle w:val="af4"/>
              <w:numPr>
                <w:ilvl w:val="2"/>
                <w:numId w:val="10"/>
              </w:numPr>
              <w:tabs>
                <w:tab w:val="clear" w:pos="1065"/>
                <w:tab w:val="num" w:pos="345"/>
              </w:tabs>
              <w:ind w:left="0" w:firstLine="0"/>
              <w:rPr>
                <w:sz w:val="20"/>
                <w:szCs w:val="20"/>
              </w:rPr>
            </w:pPr>
            <w:r w:rsidRPr="00056458">
              <w:rPr>
                <w:sz w:val="20"/>
                <w:szCs w:val="20"/>
              </w:rPr>
              <w:t>С низкой степенью потенциального биомеханического риска (</w:t>
            </w:r>
            <w:r w:rsidRPr="00056458">
              <w:rPr>
                <w:sz w:val="20"/>
                <w:szCs w:val="20"/>
                <w:lang w:val="en-US"/>
              </w:rPr>
              <w:t>RB</w:t>
            </w:r>
            <w:r w:rsidRPr="00056458">
              <w:rPr>
                <w:sz w:val="20"/>
                <w:szCs w:val="20"/>
              </w:rPr>
              <w:t>-3), тыс. руб.</w:t>
            </w:r>
          </w:p>
          <w:p w:rsidR="0058574E" w:rsidRPr="00056458" w:rsidRDefault="0058574E" w:rsidP="005D6ACF">
            <w:pPr>
              <w:pStyle w:val="af4"/>
              <w:numPr>
                <w:ilvl w:val="1"/>
                <w:numId w:val="10"/>
              </w:numPr>
              <w:tabs>
                <w:tab w:val="clear" w:pos="360"/>
                <w:tab w:val="num" w:pos="0"/>
              </w:tabs>
              <w:ind w:left="0" w:firstLine="0"/>
              <w:rPr>
                <w:sz w:val="20"/>
                <w:szCs w:val="20"/>
              </w:rPr>
            </w:pPr>
            <w:r w:rsidRPr="00056458">
              <w:rPr>
                <w:sz w:val="20"/>
                <w:szCs w:val="20"/>
              </w:rPr>
              <w:t>за выдачу дубликата свидетельства о государственной регистрации аттракциона, тыс. руб.;</w:t>
            </w:r>
          </w:p>
          <w:p w:rsidR="0058574E" w:rsidRPr="00056458" w:rsidRDefault="0058574E" w:rsidP="005D6ACF">
            <w:pPr>
              <w:pStyle w:val="af4"/>
              <w:numPr>
                <w:ilvl w:val="1"/>
                <w:numId w:val="10"/>
              </w:numPr>
              <w:tabs>
                <w:tab w:val="clear" w:pos="360"/>
                <w:tab w:val="num" w:pos="0"/>
              </w:tabs>
              <w:ind w:left="0" w:firstLine="0"/>
              <w:rPr>
                <w:sz w:val="20"/>
                <w:szCs w:val="20"/>
              </w:rPr>
            </w:pPr>
            <w:r w:rsidRPr="00056458">
              <w:rPr>
                <w:sz w:val="20"/>
                <w:szCs w:val="20"/>
              </w:rPr>
              <w:t>за выдачу справки о совершенных регистрационных действиях в отношении аттракциона, тыс. руб.;</w:t>
            </w:r>
          </w:p>
          <w:p w:rsidR="0058574E" w:rsidRPr="00056458" w:rsidRDefault="0058574E" w:rsidP="005D6ACF">
            <w:pPr>
              <w:pStyle w:val="af4"/>
              <w:numPr>
                <w:ilvl w:val="1"/>
                <w:numId w:val="10"/>
              </w:numPr>
              <w:tabs>
                <w:tab w:val="clear" w:pos="360"/>
                <w:tab w:val="num" w:pos="0"/>
              </w:tabs>
              <w:ind w:left="0" w:firstLine="0"/>
              <w:rPr>
                <w:sz w:val="20"/>
                <w:szCs w:val="20"/>
              </w:rPr>
            </w:pPr>
            <w:r w:rsidRPr="00056458">
              <w:rPr>
                <w:sz w:val="20"/>
                <w:szCs w:val="20"/>
              </w:rPr>
              <w:t>за выдачу государственного регистрационного знака взамен траченного или пришедшего в негодность, тыс. руб.;</w:t>
            </w:r>
          </w:p>
        </w:tc>
        <w:tc>
          <w:tcPr>
            <w:tcW w:w="661" w:type="pct"/>
            <w:tcBorders>
              <w:bottom w:val="single" w:sz="4" w:space="0" w:color="auto"/>
            </w:tcBorders>
          </w:tcPr>
          <w:p w:rsidR="0058574E" w:rsidRPr="00056458" w:rsidRDefault="0058574E" w:rsidP="00E7317C">
            <w:pPr>
              <w:jc w:val="center"/>
              <w:rPr>
                <w:sz w:val="20"/>
                <w:szCs w:val="20"/>
              </w:rPr>
            </w:pPr>
          </w:p>
          <w:p w:rsidR="0058574E" w:rsidRPr="00056458" w:rsidRDefault="0058574E" w:rsidP="00E7317C">
            <w:pPr>
              <w:jc w:val="center"/>
              <w:rPr>
                <w:sz w:val="20"/>
                <w:szCs w:val="20"/>
              </w:rPr>
            </w:pPr>
          </w:p>
          <w:p w:rsidR="0058574E" w:rsidRPr="00056458" w:rsidRDefault="0058574E" w:rsidP="00E7317C">
            <w:pPr>
              <w:jc w:val="center"/>
              <w:rPr>
                <w:sz w:val="20"/>
                <w:szCs w:val="20"/>
              </w:rPr>
            </w:pPr>
          </w:p>
          <w:p w:rsidR="0058574E" w:rsidRPr="00056458" w:rsidRDefault="0058574E" w:rsidP="00E7317C">
            <w:pPr>
              <w:jc w:val="center"/>
              <w:rPr>
                <w:sz w:val="20"/>
                <w:szCs w:val="20"/>
              </w:rPr>
            </w:pPr>
          </w:p>
          <w:p w:rsidR="0058574E" w:rsidRPr="00056458" w:rsidRDefault="0058574E" w:rsidP="00E7317C">
            <w:pPr>
              <w:jc w:val="center"/>
              <w:rPr>
                <w:sz w:val="20"/>
                <w:szCs w:val="20"/>
              </w:rPr>
            </w:pPr>
          </w:p>
          <w:p w:rsidR="0058574E" w:rsidRPr="00056458" w:rsidRDefault="0058574E" w:rsidP="00E7317C">
            <w:pPr>
              <w:jc w:val="center"/>
              <w:rPr>
                <w:sz w:val="20"/>
                <w:szCs w:val="20"/>
              </w:rPr>
            </w:pPr>
          </w:p>
          <w:p w:rsidR="0058574E" w:rsidRPr="00056458" w:rsidRDefault="0058574E" w:rsidP="00E7317C">
            <w:pPr>
              <w:jc w:val="center"/>
              <w:rPr>
                <w:sz w:val="20"/>
                <w:szCs w:val="20"/>
              </w:rPr>
            </w:pPr>
          </w:p>
          <w:p w:rsidR="0058574E" w:rsidRPr="00056458" w:rsidRDefault="0058574E" w:rsidP="00E7317C">
            <w:pPr>
              <w:jc w:val="center"/>
              <w:rPr>
                <w:sz w:val="20"/>
                <w:szCs w:val="20"/>
              </w:rPr>
            </w:pPr>
          </w:p>
          <w:p w:rsidR="0058574E" w:rsidRPr="00056458" w:rsidRDefault="0058574E" w:rsidP="00E7317C">
            <w:pPr>
              <w:jc w:val="center"/>
              <w:rPr>
                <w:sz w:val="20"/>
                <w:szCs w:val="20"/>
              </w:rPr>
            </w:pPr>
            <w:r w:rsidRPr="00056458">
              <w:rPr>
                <w:sz w:val="20"/>
                <w:szCs w:val="20"/>
              </w:rPr>
              <w:t>103,0</w:t>
            </w:r>
          </w:p>
          <w:p w:rsidR="0058574E" w:rsidRPr="00056458" w:rsidRDefault="0058574E" w:rsidP="00E7317C">
            <w:pPr>
              <w:jc w:val="center"/>
              <w:rPr>
                <w:sz w:val="20"/>
                <w:szCs w:val="20"/>
              </w:rPr>
            </w:pPr>
          </w:p>
          <w:p w:rsidR="0058574E" w:rsidRPr="00056458" w:rsidRDefault="0058574E" w:rsidP="00E7317C">
            <w:pPr>
              <w:jc w:val="center"/>
              <w:rPr>
                <w:sz w:val="20"/>
                <w:szCs w:val="20"/>
              </w:rPr>
            </w:pPr>
          </w:p>
          <w:p w:rsidR="0058574E" w:rsidRPr="00056458" w:rsidRDefault="0058574E" w:rsidP="00E7317C">
            <w:pPr>
              <w:jc w:val="center"/>
              <w:rPr>
                <w:sz w:val="20"/>
                <w:szCs w:val="20"/>
              </w:rPr>
            </w:pPr>
            <w:r w:rsidRPr="00056458">
              <w:rPr>
                <w:sz w:val="20"/>
                <w:szCs w:val="20"/>
              </w:rPr>
              <w:t>26,0</w:t>
            </w:r>
          </w:p>
          <w:p w:rsidR="0058574E" w:rsidRPr="00056458" w:rsidRDefault="0058574E" w:rsidP="00E7317C">
            <w:pPr>
              <w:jc w:val="center"/>
              <w:rPr>
                <w:sz w:val="20"/>
                <w:szCs w:val="20"/>
              </w:rPr>
            </w:pPr>
          </w:p>
          <w:p w:rsidR="0058574E" w:rsidRPr="00056458" w:rsidRDefault="0058574E" w:rsidP="00E7317C">
            <w:pPr>
              <w:jc w:val="center"/>
              <w:rPr>
                <w:sz w:val="20"/>
                <w:szCs w:val="20"/>
              </w:rPr>
            </w:pPr>
            <w:r w:rsidRPr="00056458">
              <w:rPr>
                <w:sz w:val="20"/>
                <w:szCs w:val="20"/>
              </w:rPr>
              <w:t>35,0</w:t>
            </w:r>
          </w:p>
          <w:p w:rsidR="0058574E" w:rsidRPr="00056458" w:rsidRDefault="0058574E" w:rsidP="00E7317C">
            <w:pPr>
              <w:jc w:val="center"/>
              <w:rPr>
                <w:sz w:val="20"/>
                <w:szCs w:val="20"/>
              </w:rPr>
            </w:pPr>
          </w:p>
          <w:p w:rsidR="0058574E" w:rsidRPr="00056458" w:rsidRDefault="0058574E" w:rsidP="00E7317C">
            <w:pPr>
              <w:jc w:val="center"/>
              <w:rPr>
                <w:sz w:val="20"/>
                <w:szCs w:val="20"/>
              </w:rPr>
            </w:pPr>
            <w:r w:rsidRPr="00056458">
              <w:rPr>
                <w:sz w:val="20"/>
                <w:szCs w:val="20"/>
              </w:rPr>
              <w:t>42,0</w:t>
            </w:r>
          </w:p>
          <w:p w:rsidR="0058574E" w:rsidRPr="00056458" w:rsidRDefault="0058574E" w:rsidP="00E7317C">
            <w:pPr>
              <w:jc w:val="center"/>
              <w:rPr>
                <w:sz w:val="20"/>
                <w:szCs w:val="20"/>
              </w:rPr>
            </w:pPr>
          </w:p>
          <w:p w:rsidR="0058574E" w:rsidRPr="00056458" w:rsidRDefault="0058574E" w:rsidP="00E7317C">
            <w:pPr>
              <w:jc w:val="center"/>
              <w:rPr>
                <w:sz w:val="20"/>
                <w:szCs w:val="20"/>
              </w:rPr>
            </w:pPr>
          </w:p>
          <w:p w:rsidR="0058574E" w:rsidRPr="00056458" w:rsidRDefault="0058574E" w:rsidP="00E7317C">
            <w:pPr>
              <w:jc w:val="center"/>
              <w:rPr>
                <w:sz w:val="20"/>
                <w:szCs w:val="20"/>
              </w:rPr>
            </w:pPr>
          </w:p>
          <w:p w:rsidR="0058574E" w:rsidRPr="00056458" w:rsidRDefault="0058574E" w:rsidP="00E7317C">
            <w:pPr>
              <w:jc w:val="center"/>
              <w:rPr>
                <w:sz w:val="20"/>
                <w:szCs w:val="20"/>
              </w:rPr>
            </w:pPr>
          </w:p>
          <w:p w:rsidR="0058574E" w:rsidRPr="00056458" w:rsidRDefault="0058574E" w:rsidP="00E7317C">
            <w:pPr>
              <w:jc w:val="center"/>
              <w:rPr>
                <w:sz w:val="20"/>
                <w:szCs w:val="20"/>
              </w:rPr>
            </w:pPr>
            <w:r w:rsidRPr="00056458">
              <w:rPr>
                <w:sz w:val="20"/>
                <w:szCs w:val="20"/>
              </w:rPr>
              <w:t>177,6</w:t>
            </w:r>
          </w:p>
          <w:p w:rsidR="0058574E" w:rsidRPr="00056458" w:rsidRDefault="0058574E" w:rsidP="00E7317C">
            <w:pPr>
              <w:jc w:val="center"/>
              <w:rPr>
                <w:sz w:val="20"/>
                <w:szCs w:val="20"/>
              </w:rPr>
            </w:pPr>
          </w:p>
          <w:p w:rsidR="0058574E" w:rsidRPr="00056458" w:rsidRDefault="0058574E" w:rsidP="00E7317C">
            <w:pPr>
              <w:jc w:val="center"/>
              <w:rPr>
                <w:sz w:val="20"/>
                <w:szCs w:val="20"/>
              </w:rPr>
            </w:pPr>
            <w:r w:rsidRPr="00056458">
              <w:rPr>
                <w:sz w:val="20"/>
                <w:szCs w:val="20"/>
              </w:rPr>
              <w:t>4,8</w:t>
            </w:r>
          </w:p>
          <w:p w:rsidR="0058574E" w:rsidRPr="00056458" w:rsidRDefault="0058574E" w:rsidP="00E7317C">
            <w:pPr>
              <w:jc w:val="center"/>
              <w:rPr>
                <w:sz w:val="20"/>
                <w:szCs w:val="20"/>
              </w:rPr>
            </w:pPr>
          </w:p>
          <w:p w:rsidR="0058574E" w:rsidRPr="00056458" w:rsidRDefault="0058574E" w:rsidP="00E7317C">
            <w:pPr>
              <w:jc w:val="center"/>
              <w:rPr>
                <w:sz w:val="20"/>
                <w:szCs w:val="20"/>
              </w:rPr>
            </w:pPr>
            <w:r w:rsidRPr="00056458">
              <w:rPr>
                <w:sz w:val="20"/>
                <w:szCs w:val="20"/>
              </w:rPr>
              <w:t>79,2</w:t>
            </w:r>
          </w:p>
          <w:p w:rsidR="0058574E" w:rsidRPr="00056458" w:rsidRDefault="0058574E" w:rsidP="00E7317C">
            <w:pPr>
              <w:jc w:val="center"/>
              <w:rPr>
                <w:sz w:val="20"/>
                <w:szCs w:val="20"/>
              </w:rPr>
            </w:pPr>
          </w:p>
          <w:p w:rsidR="0058574E" w:rsidRPr="00056458" w:rsidRDefault="0058574E" w:rsidP="00E7317C">
            <w:pPr>
              <w:jc w:val="center"/>
              <w:rPr>
                <w:sz w:val="20"/>
                <w:szCs w:val="20"/>
              </w:rPr>
            </w:pPr>
            <w:r w:rsidRPr="00056458">
              <w:rPr>
                <w:sz w:val="20"/>
                <w:szCs w:val="20"/>
              </w:rPr>
              <w:t>93,6</w:t>
            </w:r>
          </w:p>
          <w:p w:rsidR="0058574E" w:rsidRPr="00056458" w:rsidRDefault="0058574E" w:rsidP="00E7317C">
            <w:pPr>
              <w:jc w:val="center"/>
              <w:rPr>
                <w:sz w:val="20"/>
                <w:szCs w:val="20"/>
              </w:rPr>
            </w:pPr>
          </w:p>
          <w:p w:rsidR="0058574E" w:rsidRPr="00056458" w:rsidRDefault="0058574E" w:rsidP="00E7317C">
            <w:pPr>
              <w:jc w:val="center"/>
              <w:rPr>
                <w:sz w:val="20"/>
                <w:szCs w:val="20"/>
              </w:rPr>
            </w:pPr>
            <w:r w:rsidRPr="00056458">
              <w:rPr>
                <w:sz w:val="20"/>
                <w:szCs w:val="20"/>
              </w:rPr>
              <w:t>0</w:t>
            </w:r>
          </w:p>
          <w:p w:rsidR="0058574E" w:rsidRPr="00056458" w:rsidRDefault="0058574E" w:rsidP="00E7317C">
            <w:pPr>
              <w:jc w:val="center"/>
              <w:rPr>
                <w:sz w:val="20"/>
                <w:szCs w:val="20"/>
              </w:rPr>
            </w:pPr>
          </w:p>
          <w:p w:rsidR="0058574E" w:rsidRPr="00056458" w:rsidRDefault="0058574E" w:rsidP="00E7317C">
            <w:pPr>
              <w:jc w:val="center"/>
              <w:rPr>
                <w:sz w:val="20"/>
                <w:szCs w:val="20"/>
              </w:rPr>
            </w:pPr>
            <w:r w:rsidRPr="00056458">
              <w:rPr>
                <w:sz w:val="20"/>
                <w:szCs w:val="20"/>
              </w:rPr>
              <w:t>0</w:t>
            </w:r>
          </w:p>
          <w:p w:rsidR="0058574E" w:rsidRPr="00056458" w:rsidRDefault="0058574E" w:rsidP="00E7317C">
            <w:pPr>
              <w:jc w:val="center"/>
              <w:rPr>
                <w:sz w:val="20"/>
                <w:szCs w:val="20"/>
              </w:rPr>
            </w:pPr>
          </w:p>
          <w:p w:rsidR="0058574E" w:rsidRPr="00056458" w:rsidRDefault="0058574E" w:rsidP="00E7317C">
            <w:pPr>
              <w:jc w:val="center"/>
              <w:rPr>
                <w:sz w:val="20"/>
                <w:szCs w:val="20"/>
              </w:rPr>
            </w:pPr>
            <w:r w:rsidRPr="00056458">
              <w:rPr>
                <w:sz w:val="20"/>
                <w:szCs w:val="20"/>
              </w:rPr>
              <w:t>0</w:t>
            </w:r>
          </w:p>
          <w:p w:rsidR="0058574E" w:rsidRPr="00056458" w:rsidRDefault="0058574E" w:rsidP="00E7317C">
            <w:pPr>
              <w:jc w:val="center"/>
              <w:rPr>
                <w:sz w:val="20"/>
                <w:szCs w:val="20"/>
              </w:rPr>
            </w:pPr>
          </w:p>
        </w:tc>
        <w:tc>
          <w:tcPr>
            <w:tcW w:w="857" w:type="pct"/>
            <w:tcBorders>
              <w:bottom w:val="single" w:sz="4" w:space="0" w:color="auto"/>
            </w:tcBorders>
          </w:tcPr>
          <w:p w:rsidR="0058574E" w:rsidRPr="00056458" w:rsidRDefault="0058574E" w:rsidP="00E7317C">
            <w:pPr>
              <w:jc w:val="center"/>
              <w:rPr>
                <w:sz w:val="20"/>
                <w:szCs w:val="20"/>
              </w:rPr>
            </w:pPr>
          </w:p>
          <w:p w:rsidR="0058574E" w:rsidRPr="00056458" w:rsidRDefault="0058574E" w:rsidP="00E7317C">
            <w:pPr>
              <w:jc w:val="center"/>
              <w:rPr>
                <w:sz w:val="20"/>
                <w:szCs w:val="20"/>
              </w:rPr>
            </w:pPr>
          </w:p>
          <w:p w:rsidR="0058574E" w:rsidRPr="00056458" w:rsidRDefault="0058574E" w:rsidP="00E7317C">
            <w:pPr>
              <w:jc w:val="center"/>
              <w:rPr>
                <w:sz w:val="20"/>
                <w:szCs w:val="20"/>
              </w:rPr>
            </w:pPr>
          </w:p>
          <w:p w:rsidR="0058574E" w:rsidRPr="00056458" w:rsidRDefault="0058574E" w:rsidP="00E7317C">
            <w:pPr>
              <w:jc w:val="center"/>
              <w:rPr>
                <w:sz w:val="20"/>
                <w:szCs w:val="20"/>
              </w:rPr>
            </w:pPr>
          </w:p>
          <w:p w:rsidR="0058574E" w:rsidRPr="00056458" w:rsidRDefault="0058574E" w:rsidP="00E7317C">
            <w:pPr>
              <w:jc w:val="center"/>
              <w:rPr>
                <w:sz w:val="20"/>
                <w:szCs w:val="20"/>
              </w:rPr>
            </w:pPr>
          </w:p>
          <w:p w:rsidR="0058574E" w:rsidRPr="00056458" w:rsidRDefault="0058574E" w:rsidP="00E7317C">
            <w:pPr>
              <w:jc w:val="center"/>
              <w:rPr>
                <w:sz w:val="20"/>
                <w:szCs w:val="20"/>
              </w:rPr>
            </w:pPr>
          </w:p>
          <w:p w:rsidR="0058574E" w:rsidRPr="00056458" w:rsidRDefault="0058574E" w:rsidP="00E7317C">
            <w:pPr>
              <w:jc w:val="center"/>
              <w:rPr>
                <w:sz w:val="20"/>
                <w:szCs w:val="20"/>
              </w:rPr>
            </w:pPr>
          </w:p>
          <w:p w:rsidR="0058574E" w:rsidRPr="00056458" w:rsidRDefault="0058574E" w:rsidP="00E7317C">
            <w:pPr>
              <w:jc w:val="center"/>
              <w:rPr>
                <w:sz w:val="20"/>
                <w:szCs w:val="20"/>
              </w:rPr>
            </w:pPr>
          </w:p>
          <w:p w:rsidR="0058574E" w:rsidRPr="00056458" w:rsidRDefault="0058574E" w:rsidP="00E7317C">
            <w:pPr>
              <w:jc w:val="center"/>
              <w:rPr>
                <w:sz w:val="20"/>
                <w:szCs w:val="20"/>
              </w:rPr>
            </w:pPr>
            <w:r w:rsidRPr="00056458">
              <w:rPr>
                <w:sz w:val="20"/>
                <w:szCs w:val="20"/>
              </w:rPr>
              <w:t>97,0</w:t>
            </w:r>
          </w:p>
          <w:p w:rsidR="0058574E" w:rsidRPr="00056458" w:rsidRDefault="0058574E" w:rsidP="00E7317C">
            <w:pPr>
              <w:jc w:val="center"/>
              <w:rPr>
                <w:sz w:val="20"/>
                <w:szCs w:val="20"/>
              </w:rPr>
            </w:pPr>
          </w:p>
          <w:p w:rsidR="0058574E" w:rsidRPr="00056458" w:rsidRDefault="0058574E" w:rsidP="00E7317C">
            <w:pPr>
              <w:jc w:val="center"/>
              <w:rPr>
                <w:sz w:val="20"/>
                <w:szCs w:val="20"/>
              </w:rPr>
            </w:pPr>
          </w:p>
          <w:p w:rsidR="0058574E" w:rsidRPr="00056458" w:rsidRDefault="0058574E" w:rsidP="00E7317C">
            <w:pPr>
              <w:jc w:val="center"/>
              <w:rPr>
                <w:sz w:val="20"/>
                <w:szCs w:val="20"/>
              </w:rPr>
            </w:pPr>
            <w:r w:rsidRPr="00056458">
              <w:rPr>
                <w:sz w:val="20"/>
                <w:szCs w:val="20"/>
              </w:rPr>
              <w:t>13,0</w:t>
            </w:r>
          </w:p>
          <w:p w:rsidR="0058574E" w:rsidRPr="00056458" w:rsidRDefault="0058574E" w:rsidP="00E7317C">
            <w:pPr>
              <w:jc w:val="center"/>
              <w:rPr>
                <w:sz w:val="20"/>
                <w:szCs w:val="20"/>
              </w:rPr>
            </w:pPr>
          </w:p>
          <w:p w:rsidR="0058574E" w:rsidRPr="00056458" w:rsidRDefault="0058574E" w:rsidP="00E7317C">
            <w:pPr>
              <w:jc w:val="center"/>
              <w:rPr>
                <w:sz w:val="20"/>
                <w:szCs w:val="20"/>
              </w:rPr>
            </w:pPr>
            <w:r w:rsidRPr="00056458">
              <w:rPr>
                <w:sz w:val="20"/>
                <w:szCs w:val="20"/>
              </w:rPr>
              <w:t>56,0</w:t>
            </w:r>
          </w:p>
          <w:p w:rsidR="0058574E" w:rsidRPr="00056458" w:rsidRDefault="0058574E" w:rsidP="00E7317C">
            <w:pPr>
              <w:jc w:val="center"/>
              <w:rPr>
                <w:sz w:val="20"/>
                <w:szCs w:val="20"/>
              </w:rPr>
            </w:pPr>
          </w:p>
          <w:p w:rsidR="0058574E" w:rsidRPr="00056458" w:rsidRDefault="0058574E" w:rsidP="00E7317C">
            <w:pPr>
              <w:jc w:val="center"/>
              <w:rPr>
                <w:sz w:val="20"/>
                <w:szCs w:val="20"/>
              </w:rPr>
            </w:pPr>
            <w:r w:rsidRPr="00056458">
              <w:rPr>
                <w:sz w:val="20"/>
                <w:szCs w:val="20"/>
              </w:rPr>
              <w:t>28,0</w:t>
            </w:r>
          </w:p>
          <w:p w:rsidR="0058574E" w:rsidRPr="00056458" w:rsidRDefault="0058574E" w:rsidP="00E7317C">
            <w:pPr>
              <w:jc w:val="center"/>
              <w:rPr>
                <w:sz w:val="20"/>
                <w:szCs w:val="20"/>
              </w:rPr>
            </w:pPr>
          </w:p>
          <w:p w:rsidR="0058574E" w:rsidRPr="00056458" w:rsidRDefault="0058574E" w:rsidP="00E7317C">
            <w:pPr>
              <w:jc w:val="center"/>
              <w:rPr>
                <w:sz w:val="20"/>
                <w:szCs w:val="20"/>
              </w:rPr>
            </w:pPr>
          </w:p>
          <w:p w:rsidR="0058574E" w:rsidRPr="00056458" w:rsidRDefault="0058574E" w:rsidP="00E7317C">
            <w:pPr>
              <w:jc w:val="center"/>
              <w:rPr>
                <w:sz w:val="20"/>
                <w:szCs w:val="20"/>
              </w:rPr>
            </w:pPr>
          </w:p>
          <w:p w:rsidR="0058574E" w:rsidRPr="00056458" w:rsidRDefault="0058574E" w:rsidP="00E7317C">
            <w:pPr>
              <w:jc w:val="center"/>
              <w:rPr>
                <w:sz w:val="20"/>
                <w:szCs w:val="20"/>
              </w:rPr>
            </w:pPr>
          </w:p>
          <w:p w:rsidR="0058574E" w:rsidRPr="00056458" w:rsidRDefault="0058574E" w:rsidP="00E7317C">
            <w:pPr>
              <w:jc w:val="center"/>
              <w:rPr>
                <w:sz w:val="20"/>
                <w:szCs w:val="20"/>
              </w:rPr>
            </w:pPr>
            <w:r w:rsidRPr="00056458">
              <w:rPr>
                <w:sz w:val="20"/>
                <w:szCs w:val="20"/>
              </w:rPr>
              <w:t>468,5</w:t>
            </w:r>
          </w:p>
          <w:p w:rsidR="0058574E" w:rsidRPr="00056458" w:rsidRDefault="0058574E" w:rsidP="00E7317C">
            <w:pPr>
              <w:jc w:val="center"/>
              <w:rPr>
                <w:sz w:val="20"/>
                <w:szCs w:val="20"/>
              </w:rPr>
            </w:pPr>
          </w:p>
          <w:p w:rsidR="0058574E" w:rsidRPr="00056458" w:rsidRDefault="0058574E" w:rsidP="00E7317C">
            <w:pPr>
              <w:jc w:val="center"/>
              <w:rPr>
                <w:sz w:val="20"/>
                <w:szCs w:val="20"/>
              </w:rPr>
            </w:pPr>
            <w:r w:rsidRPr="00056458">
              <w:rPr>
                <w:sz w:val="20"/>
                <w:szCs w:val="20"/>
              </w:rPr>
              <w:t>112,8</w:t>
            </w:r>
          </w:p>
          <w:p w:rsidR="0058574E" w:rsidRPr="00056458" w:rsidRDefault="0058574E" w:rsidP="00E7317C">
            <w:pPr>
              <w:jc w:val="center"/>
              <w:rPr>
                <w:sz w:val="20"/>
                <w:szCs w:val="20"/>
              </w:rPr>
            </w:pPr>
          </w:p>
          <w:p w:rsidR="0058574E" w:rsidRPr="00056458" w:rsidRDefault="0058574E" w:rsidP="00E7317C">
            <w:pPr>
              <w:jc w:val="center"/>
              <w:rPr>
                <w:sz w:val="20"/>
                <w:szCs w:val="20"/>
              </w:rPr>
            </w:pPr>
            <w:r w:rsidRPr="00056458">
              <w:rPr>
                <w:sz w:val="20"/>
                <w:szCs w:val="20"/>
              </w:rPr>
              <w:t>185,4</w:t>
            </w:r>
          </w:p>
          <w:p w:rsidR="0058574E" w:rsidRPr="00056458" w:rsidRDefault="0058574E" w:rsidP="00E7317C">
            <w:pPr>
              <w:jc w:val="center"/>
              <w:rPr>
                <w:sz w:val="20"/>
                <w:szCs w:val="20"/>
              </w:rPr>
            </w:pPr>
          </w:p>
          <w:p w:rsidR="0058574E" w:rsidRPr="00056458" w:rsidRDefault="0058574E" w:rsidP="00E7317C">
            <w:pPr>
              <w:jc w:val="center"/>
              <w:rPr>
                <w:sz w:val="20"/>
                <w:szCs w:val="20"/>
              </w:rPr>
            </w:pPr>
            <w:r w:rsidRPr="00056458">
              <w:rPr>
                <w:sz w:val="20"/>
                <w:szCs w:val="20"/>
              </w:rPr>
              <w:t>170,3</w:t>
            </w:r>
          </w:p>
          <w:p w:rsidR="0058574E" w:rsidRPr="00056458" w:rsidRDefault="0058574E" w:rsidP="00E7317C">
            <w:pPr>
              <w:jc w:val="center"/>
              <w:rPr>
                <w:sz w:val="20"/>
                <w:szCs w:val="20"/>
              </w:rPr>
            </w:pPr>
          </w:p>
          <w:p w:rsidR="0058574E" w:rsidRPr="00056458" w:rsidRDefault="0058574E" w:rsidP="00E7317C">
            <w:pPr>
              <w:jc w:val="center"/>
              <w:rPr>
                <w:sz w:val="20"/>
                <w:szCs w:val="20"/>
              </w:rPr>
            </w:pPr>
            <w:r w:rsidRPr="00056458">
              <w:rPr>
                <w:sz w:val="20"/>
                <w:szCs w:val="20"/>
              </w:rPr>
              <w:t>0</w:t>
            </w:r>
          </w:p>
          <w:p w:rsidR="0058574E" w:rsidRPr="00056458" w:rsidRDefault="0058574E" w:rsidP="00E7317C">
            <w:pPr>
              <w:jc w:val="center"/>
              <w:rPr>
                <w:sz w:val="20"/>
                <w:szCs w:val="20"/>
              </w:rPr>
            </w:pPr>
          </w:p>
          <w:p w:rsidR="0058574E" w:rsidRPr="00056458" w:rsidRDefault="0058574E" w:rsidP="00E7317C">
            <w:pPr>
              <w:jc w:val="center"/>
              <w:rPr>
                <w:sz w:val="20"/>
                <w:szCs w:val="20"/>
              </w:rPr>
            </w:pPr>
            <w:r w:rsidRPr="00056458">
              <w:rPr>
                <w:sz w:val="20"/>
                <w:szCs w:val="20"/>
              </w:rPr>
              <w:t>0</w:t>
            </w:r>
          </w:p>
          <w:p w:rsidR="0058574E" w:rsidRPr="00056458" w:rsidRDefault="0058574E" w:rsidP="00E7317C">
            <w:pPr>
              <w:jc w:val="center"/>
              <w:rPr>
                <w:sz w:val="20"/>
                <w:szCs w:val="20"/>
              </w:rPr>
            </w:pPr>
          </w:p>
          <w:p w:rsidR="0058574E" w:rsidRPr="00056458" w:rsidRDefault="0058574E" w:rsidP="00E7317C">
            <w:pPr>
              <w:jc w:val="center"/>
              <w:rPr>
                <w:sz w:val="20"/>
                <w:szCs w:val="20"/>
              </w:rPr>
            </w:pPr>
            <w:r w:rsidRPr="00056458">
              <w:rPr>
                <w:sz w:val="20"/>
                <w:szCs w:val="20"/>
              </w:rPr>
              <w:t>0</w:t>
            </w:r>
          </w:p>
          <w:p w:rsidR="0058574E" w:rsidRPr="00056458" w:rsidRDefault="0058574E" w:rsidP="00E7317C">
            <w:pPr>
              <w:jc w:val="center"/>
              <w:rPr>
                <w:sz w:val="20"/>
                <w:szCs w:val="20"/>
              </w:rPr>
            </w:pPr>
          </w:p>
          <w:p w:rsidR="0058574E" w:rsidRPr="00056458" w:rsidRDefault="0058574E" w:rsidP="00E7317C">
            <w:pPr>
              <w:jc w:val="center"/>
              <w:rPr>
                <w:sz w:val="20"/>
                <w:szCs w:val="20"/>
              </w:rPr>
            </w:pPr>
          </w:p>
        </w:tc>
        <w:tc>
          <w:tcPr>
            <w:tcW w:w="807" w:type="pct"/>
            <w:tcBorders>
              <w:bottom w:val="single" w:sz="4" w:space="0" w:color="auto"/>
            </w:tcBorders>
          </w:tcPr>
          <w:p w:rsidR="0058574E" w:rsidRPr="00056458" w:rsidRDefault="0058574E" w:rsidP="00E7317C">
            <w:pPr>
              <w:rPr>
                <w:sz w:val="20"/>
                <w:szCs w:val="20"/>
              </w:rPr>
            </w:pPr>
          </w:p>
          <w:p w:rsidR="0058574E" w:rsidRPr="00056458" w:rsidRDefault="0058574E" w:rsidP="00E7317C">
            <w:pPr>
              <w:rPr>
                <w:sz w:val="20"/>
                <w:szCs w:val="20"/>
              </w:rPr>
            </w:pPr>
          </w:p>
          <w:p w:rsidR="0058574E" w:rsidRPr="00056458" w:rsidRDefault="0058574E" w:rsidP="00E7317C">
            <w:pPr>
              <w:jc w:val="center"/>
              <w:rPr>
                <w:sz w:val="20"/>
                <w:szCs w:val="20"/>
              </w:rPr>
            </w:pPr>
          </w:p>
          <w:p w:rsidR="0058574E" w:rsidRPr="00056458" w:rsidRDefault="0058574E" w:rsidP="00E7317C">
            <w:pPr>
              <w:jc w:val="center"/>
              <w:rPr>
                <w:sz w:val="20"/>
                <w:szCs w:val="20"/>
              </w:rPr>
            </w:pPr>
          </w:p>
          <w:p w:rsidR="0058574E" w:rsidRPr="00056458" w:rsidRDefault="0058574E" w:rsidP="00E7317C">
            <w:pPr>
              <w:jc w:val="center"/>
              <w:rPr>
                <w:sz w:val="20"/>
                <w:szCs w:val="20"/>
              </w:rPr>
            </w:pPr>
          </w:p>
          <w:p w:rsidR="0058574E" w:rsidRPr="00056458" w:rsidRDefault="0058574E" w:rsidP="00E7317C">
            <w:pPr>
              <w:jc w:val="center"/>
              <w:rPr>
                <w:sz w:val="20"/>
                <w:szCs w:val="20"/>
              </w:rPr>
            </w:pPr>
          </w:p>
          <w:p w:rsidR="0058574E" w:rsidRPr="00056458" w:rsidRDefault="0058574E" w:rsidP="00E7317C">
            <w:pPr>
              <w:jc w:val="center"/>
              <w:rPr>
                <w:sz w:val="20"/>
                <w:szCs w:val="20"/>
              </w:rPr>
            </w:pPr>
          </w:p>
          <w:p w:rsidR="0058574E" w:rsidRPr="00056458" w:rsidRDefault="0058574E" w:rsidP="00E7317C">
            <w:pPr>
              <w:jc w:val="center"/>
              <w:rPr>
                <w:sz w:val="20"/>
                <w:szCs w:val="20"/>
              </w:rPr>
            </w:pPr>
          </w:p>
          <w:p w:rsidR="0058574E" w:rsidRPr="00056458" w:rsidRDefault="0058574E" w:rsidP="00E7317C">
            <w:pPr>
              <w:jc w:val="center"/>
              <w:rPr>
                <w:sz w:val="20"/>
                <w:szCs w:val="20"/>
              </w:rPr>
            </w:pPr>
            <w:r w:rsidRPr="00056458">
              <w:rPr>
                <w:sz w:val="20"/>
                <w:szCs w:val="20"/>
              </w:rPr>
              <w:t>65,5</w:t>
            </w:r>
          </w:p>
          <w:p w:rsidR="0058574E" w:rsidRPr="00056458" w:rsidRDefault="0058574E" w:rsidP="00E7317C">
            <w:pPr>
              <w:jc w:val="center"/>
              <w:rPr>
                <w:sz w:val="20"/>
                <w:szCs w:val="20"/>
              </w:rPr>
            </w:pPr>
          </w:p>
          <w:p w:rsidR="0058574E" w:rsidRPr="00056458" w:rsidRDefault="0058574E" w:rsidP="00E7317C">
            <w:pPr>
              <w:jc w:val="center"/>
              <w:rPr>
                <w:sz w:val="20"/>
                <w:szCs w:val="20"/>
              </w:rPr>
            </w:pPr>
          </w:p>
          <w:p w:rsidR="0058574E" w:rsidRPr="00056458" w:rsidRDefault="0058574E" w:rsidP="00E7317C">
            <w:pPr>
              <w:jc w:val="center"/>
              <w:rPr>
                <w:sz w:val="20"/>
                <w:szCs w:val="20"/>
              </w:rPr>
            </w:pPr>
            <w:r w:rsidRPr="00056458">
              <w:rPr>
                <w:sz w:val="20"/>
                <w:szCs w:val="20"/>
              </w:rPr>
              <w:t>13,0</w:t>
            </w:r>
          </w:p>
          <w:p w:rsidR="0058574E" w:rsidRPr="00056458" w:rsidRDefault="0058574E" w:rsidP="00E7317C">
            <w:pPr>
              <w:jc w:val="center"/>
              <w:rPr>
                <w:sz w:val="20"/>
                <w:szCs w:val="20"/>
              </w:rPr>
            </w:pPr>
          </w:p>
          <w:p w:rsidR="0058574E" w:rsidRPr="00056458" w:rsidRDefault="0058574E" w:rsidP="00E7317C">
            <w:pPr>
              <w:jc w:val="center"/>
              <w:rPr>
                <w:sz w:val="20"/>
                <w:szCs w:val="20"/>
              </w:rPr>
            </w:pPr>
            <w:r w:rsidRPr="00056458">
              <w:rPr>
                <w:sz w:val="20"/>
                <w:szCs w:val="20"/>
              </w:rPr>
              <w:t>28,0</w:t>
            </w:r>
          </w:p>
          <w:p w:rsidR="0058574E" w:rsidRPr="00056458" w:rsidRDefault="0058574E" w:rsidP="00E7317C">
            <w:pPr>
              <w:jc w:val="center"/>
              <w:rPr>
                <w:sz w:val="20"/>
                <w:szCs w:val="20"/>
              </w:rPr>
            </w:pPr>
          </w:p>
          <w:p w:rsidR="0058574E" w:rsidRPr="00056458" w:rsidRDefault="0058574E" w:rsidP="00E7317C">
            <w:pPr>
              <w:jc w:val="center"/>
              <w:rPr>
                <w:sz w:val="20"/>
                <w:szCs w:val="20"/>
              </w:rPr>
            </w:pPr>
            <w:r w:rsidRPr="00056458">
              <w:rPr>
                <w:sz w:val="20"/>
                <w:szCs w:val="20"/>
              </w:rPr>
              <w:t>24,5</w:t>
            </w:r>
          </w:p>
          <w:p w:rsidR="0058574E" w:rsidRPr="00056458" w:rsidRDefault="0058574E" w:rsidP="00E7317C">
            <w:pPr>
              <w:jc w:val="center"/>
              <w:rPr>
                <w:sz w:val="20"/>
                <w:szCs w:val="20"/>
              </w:rPr>
            </w:pPr>
          </w:p>
          <w:p w:rsidR="0058574E" w:rsidRPr="00056458" w:rsidRDefault="0058574E" w:rsidP="00E7317C">
            <w:pPr>
              <w:jc w:val="center"/>
              <w:rPr>
                <w:sz w:val="20"/>
                <w:szCs w:val="20"/>
              </w:rPr>
            </w:pPr>
          </w:p>
          <w:p w:rsidR="0058574E" w:rsidRPr="00056458" w:rsidRDefault="0058574E" w:rsidP="00E7317C">
            <w:pPr>
              <w:jc w:val="center"/>
              <w:rPr>
                <w:sz w:val="20"/>
                <w:szCs w:val="20"/>
              </w:rPr>
            </w:pPr>
          </w:p>
          <w:p w:rsidR="0058574E" w:rsidRPr="00056458" w:rsidRDefault="0058574E" w:rsidP="00E7317C">
            <w:pPr>
              <w:jc w:val="center"/>
              <w:rPr>
                <w:sz w:val="20"/>
                <w:szCs w:val="20"/>
              </w:rPr>
            </w:pPr>
          </w:p>
          <w:p w:rsidR="0058574E" w:rsidRPr="00056458" w:rsidRDefault="0058574E" w:rsidP="00E7317C">
            <w:pPr>
              <w:jc w:val="center"/>
              <w:rPr>
                <w:sz w:val="20"/>
                <w:szCs w:val="20"/>
              </w:rPr>
            </w:pPr>
            <w:r w:rsidRPr="00056458">
              <w:rPr>
                <w:sz w:val="20"/>
                <w:szCs w:val="20"/>
              </w:rPr>
              <w:t>468,5</w:t>
            </w:r>
          </w:p>
          <w:p w:rsidR="0058574E" w:rsidRPr="00056458" w:rsidRDefault="0058574E" w:rsidP="00E7317C">
            <w:pPr>
              <w:jc w:val="center"/>
              <w:rPr>
                <w:sz w:val="20"/>
                <w:szCs w:val="20"/>
              </w:rPr>
            </w:pPr>
          </w:p>
          <w:p w:rsidR="0058574E" w:rsidRPr="00056458" w:rsidRDefault="0058574E" w:rsidP="00E7317C">
            <w:pPr>
              <w:jc w:val="center"/>
              <w:rPr>
                <w:sz w:val="20"/>
                <w:szCs w:val="20"/>
              </w:rPr>
            </w:pPr>
            <w:r w:rsidRPr="00056458">
              <w:rPr>
                <w:sz w:val="20"/>
                <w:szCs w:val="20"/>
              </w:rPr>
              <w:t>112,8</w:t>
            </w:r>
          </w:p>
          <w:p w:rsidR="0058574E" w:rsidRPr="00056458" w:rsidRDefault="0058574E" w:rsidP="00E7317C">
            <w:pPr>
              <w:jc w:val="center"/>
              <w:rPr>
                <w:sz w:val="20"/>
                <w:szCs w:val="20"/>
              </w:rPr>
            </w:pPr>
          </w:p>
          <w:p w:rsidR="0058574E" w:rsidRPr="00056458" w:rsidRDefault="0058574E" w:rsidP="00E7317C">
            <w:pPr>
              <w:jc w:val="center"/>
              <w:rPr>
                <w:sz w:val="20"/>
                <w:szCs w:val="20"/>
              </w:rPr>
            </w:pPr>
            <w:r w:rsidRPr="00056458">
              <w:rPr>
                <w:sz w:val="20"/>
                <w:szCs w:val="20"/>
              </w:rPr>
              <w:t>185,4</w:t>
            </w:r>
          </w:p>
          <w:p w:rsidR="0058574E" w:rsidRPr="00056458" w:rsidRDefault="0058574E" w:rsidP="00E7317C">
            <w:pPr>
              <w:jc w:val="center"/>
              <w:rPr>
                <w:sz w:val="20"/>
                <w:szCs w:val="20"/>
              </w:rPr>
            </w:pPr>
          </w:p>
          <w:p w:rsidR="0058574E" w:rsidRPr="00056458" w:rsidRDefault="0058574E" w:rsidP="00E7317C">
            <w:pPr>
              <w:jc w:val="center"/>
              <w:rPr>
                <w:sz w:val="20"/>
                <w:szCs w:val="20"/>
              </w:rPr>
            </w:pPr>
            <w:r w:rsidRPr="00056458">
              <w:rPr>
                <w:sz w:val="20"/>
                <w:szCs w:val="20"/>
              </w:rPr>
              <w:t>170,3</w:t>
            </w:r>
          </w:p>
          <w:p w:rsidR="0058574E" w:rsidRPr="00056458" w:rsidRDefault="0058574E" w:rsidP="00E7317C">
            <w:pPr>
              <w:jc w:val="center"/>
              <w:rPr>
                <w:sz w:val="20"/>
                <w:szCs w:val="20"/>
              </w:rPr>
            </w:pPr>
          </w:p>
          <w:p w:rsidR="0058574E" w:rsidRPr="00056458" w:rsidRDefault="0058574E" w:rsidP="00E7317C">
            <w:pPr>
              <w:jc w:val="center"/>
              <w:rPr>
                <w:sz w:val="20"/>
                <w:szCs w:val="20"/>
              </w:rPr>
            </w:pPr>
            <w:r w:rsidRPr="00056458">
              <w:rPr>
                <w:sz w:val="20"/>
                <w:szCs w:val="20"/>
              </w:rPr>
              <w:t>0</w:t>
            </w:r>
          </w:p>
          <w:p w:rsidR="0058574E" w:rsidRPr="00056458" w:rsidRDefault="0058574E" w:rsidP="00E7317C">
            <w:pPr>
              <w:jc w:val="center"/>
              <w:rPr>
                <w:sz w:val="20"/>
                <w:szCs w:val="20"/>
              </w:rPr>
            </w:pPr>
          </w:p>
          <w:p w:rsidR="0058574E" w:rsidRPr="00056458" w:rsidRDefault="0058574E" w:rsidP="00E7317C">
            <w:pPr>
              <w:jc w:val="center"/>
              <w:rPr>
                <w:sz w:val="20"/>
                <w:szCs w:val="20"/>
              </w:rPr>
            </w:pPr>
            <w:r w:rsidRPr="00056458">
              <w:rPr>
                <w:sz w:val="20"/>
                <w:szCs w:val="20"/>
              </w:rPr>
              <w:t>0</w:t>
            </w:r>
          </w:p>
          <w:p w:rsidR="0058574E" w:rsidRPr="00056458" w:rsidRDefault="0058574E" w:rsidP="00E7317C">
            <w:pPr>
              <w:jc w:val="center"/>
              <w:rPr>
                <w:sz w:val="20"/>
                <w:szCs w:val="20"/>
              </w:rPr>
            </w:pPr>
          </w:p>
          <w:p w:rsidR="0058574E" w:rsidRPr="00056458" w:rsidRDefault="0058574E" w:rsidP="00E7317C">
            <w:pPr>
              <w:jc w:val="center"/>
              <w:rPr>
                <w:sz w:val="20"/>
                <w:szCs w:val="20"/>
              </w:rPr>
            </w:pPr>
            <w:r w:rsidRPr="00056458">
              <w:rPr>
                <w:sz w:val="20"/>
                <w:szCs w:val="20"/>
              </w:rPr>
              <w:t>0</w:t>
            </w:r>
          </w:p>
          <w:p w:rsidR="0058574E" w:rsidRPr="00056458" w:rsidRDefault="0058574E" w:rsidP="00E7317C">
            <w:pPr>
              <w:jc w:val="center"/>
              <w:rPr>
                <w:sz w:val="20"/>
                <w:szCs w:val="20"/>
              </w:rPr>
            </w:pPr>
          </w:p>
          <w:p w:rsidR="0058574E" w:rsidRPr="00056458" w:rsidRDefault="0058574E" w:rsidP="00E7317C">
            <w:pPr>
              <w:jc w:val="center"/>
              <w:rPr>
                <w:sz w:val="20"/>
                <w:szCs w:val="20"/>
              </w:rPr>
            </w:pPr>
          </w:p>
        </w:tc>
      </w:tr>
      <w:tr w:rsidR="0058574E" w:rsidRPr="000C7712" w:rsidTr="00E7317C">
        <w:trPr>
          <w:trHeight w:val="350"/>
        </w:trPr>
        <w:tc>
          <w:tcPr>
            <w:tcW w:w="2675" w:type="pct"/>
            <w:tcBorders>
              <w:bottom w:val="single" w:sz="4" w:space="0" w:color="auto"/>
            </w:tcBorders>
          </w:tcPr>
          <w:p w:rsidR="0058574E" w:rsidRPr="00056458" w:rsidRDefault="0058574E" w:rsidP="005D6ACF">
            <w:pPr>
              <w:pStyle w:val="af4"/>
              <w:numPr>
                <w:ilvl w:val="0"/>
                <w:numId w:val="10"/>
              </w:numPr>
              <w:tabs>
                <w:tab w:val="clear" w:pos="705"/>
                <w:tab w:val="num" w:pos="345"/>
                <w:tab w:val="num" w:pos="1211"/>
              </w:tabs>
              <w:ind w:left="0" w:firstLine="0"/>
              <w:rPr>
                <w:sz w:val="20"/>
                <w:szCs w:val="20"/>
              </w:rPr>
            </w:pPr>
            <w:r w:rsidRPr="00056458">
              <w:rPr>
                <w:sz w:val="20"/>
                <w:szCs w:val="20"/>
              </w:rPr>
              <w:lastRenderedPageBreak/>
              <w:t xml:space="preserve"> Сумма госпошлины  - всего, тыс. руб. (стр.7.1 + стр. 7.2 + стр. 7.3 + стр. 7.4)</w:t>
            </w:r>
          </w:p>
        </w:tc>
        <w:tc>
          <w:tcPr>
            <w:tcW w:w="661" w:type="pct"/>
            <w:tcBorders>
              <w:bottom w:val="single" w:sz="4" w:space="0" w:color="auto"/>
            </w:tcBorders>
            <w:vAlign w:val="center"/>
          </w:tcPr>
          <w:p w:rsidR="0058574E" w:rsidRPr="00056458" w:rsidRDefault="0058574E" w:rsidP="00E7317C">
            <w:pPr>
              <w:jc w:val="center"/>
              <w:rPr>
                <w:sz w:val="20"/>
                <w:szCs w:val="20"/>
              </w:rPr>
            </w:pPr>
            <w:r w:rsidRPr="00056458">
              <w:rPr>
                <w:sz w:val="20"/>
                <w:szCs w:val="20"/>
              </w:rPr>
              <w:t>280,6,0</w:t>
            </w:r>
          </w:p>
        </w:tc>
        <w:tc>
          <w:tcPr>
            <w:tcW w:w="857" w:type="pct"/>
            <w:tcBorders>
              <w:bottom w:val="single" w:sz="4" w:space="0" w:color="auto"/>
            </w:tcBorders>
            <w:vAlign w:val="center"/>
          </w:tcPr>
          <w:p w:rsidR="0058574E" w:rsidRPr="00056458" w:rsidRDefault="0058574E" w:rsidP="00E7317C">
            <w:pPr>
              <w:jc w:val="center"/>
              <w:rPr>
                <w:sz w:val="20"/>
                <w:szCs w:val="20"/>
              </w:rPr>
            </w:pPr>
            <w:r w:rsidRPr="00056458">
              <w:rPr>
                <w:sz w:val="20"/>
                <w:szCs w:val="20"/>
              </w:rPr>
              <w:t>565,5</w:t>
            </w:r>
          </w:p>
        </w:tc>
        <w:tc>
          <w:tcPr>
            <w:tcW w:w="807" w:type="pct"/>
            <w:tcBorders>
              <w:bottom w:val="single" w:sz="4" w:space="0" w:color="auto"/>
            </w:tcBorders>
            <w:vAlign w:val="center"/>
          </w:tcPr>
          <w:p w:rsidR="0058574E" w:rsidRPr="00056458" w:rsidRDefault="0058574E" w:rsidP="00E7317C">
            <w:pPr>
              <w:jc w:val="center"/>
              <w:rPr>
                <w:sz w:val="20"/>
                <w:szCs w:val="20"/>
              </w:rPr>
            </w:pPr>
            <w:r w:rsidRPr="00056458">
              <w:rPr>
                <w:sz w:val="20"/>
                <w:szCs w:val="20"/>
              </w:rPr>
              <w:t>534,0</w:t>
            </w:r>
          </w:p>
        </w:tc>
      </w:tr>
    </w:tbl>
    <w:p w:rsidR="0058574E" w:rsidRPr="00446B3E" w:rsidRDefault="0058574E" w:rsidP="0058574E">
      <w:pPr>
        <w:pStyle w:val="21"/>
        <w:ind w:firstLine="0"/>
        <w:jc w:val="center"/>
        <w:rPr>
          <w:b/>
          <w:bCs/>
        </w:rPr>
      </w:pPr>
    </w:p>
    <w:p w:rsidR="0058574E" w:rsidRPr="001F52E5" w:rsidRDefault="0058574E" w:rsidP="0058574E">
      <w:pPr>
        <w:pStyle w:val="21"/>
        <w:ind w:firstLine="0"/>
        <w:jc w:val="center"/>
        <w:rPr>
          <w:b/>
          <w:bCs/>
        </w:rPr>
      </w:pPr>
      <w:r w:rsidRPr="001F52E5">
        <w:rPr>
          <w:b/>
          <w:bCs/>
        </w:rPr>
        <w:t>Задолженность и перерасчеты по отмененным налогам, сборам и иным обязательным платежам</w:t>
      </w:r>
    </w:p>
    <w:p w:rsidR="0058574E" w:rsidRPr="001F52E5" w:rsidRDefault="0058574E" w:rsidP="0058574E">
      <w:pPr>
        <w:pStyle w:val="21"/>
        <w:ind w:firstLine="0"/>
        <w:jc w:val="center"/>
        <w:rPr>
          <w:b/>
          <w:bCs/>
        </w:rPr>
      </w:pPr>
      <w:r w:rsidRPr="001F52E5">
        <w:rPr>
          <w:b/>
          <w:bCs/>
        </w:rPr>
        <w:t>(000 1 09 00000 00 0000 000)</w:t>
      </w:r>
    </w:p>
    <w:p w:rsidR="0058574E" w:rsidRPr="001F52E5" w:rsidRDefault="0058574E" w:rsidP="0058574E">
      <w:pPr>
        <w:pStyle w:val="21"/>
        <w:ind w:firstLine="0"/>
        <w:jc w:val="center"/>
        <w:rPr>
          <w:b/>
          <w:bCs/>
        </w:rPr>
      </w:pPr>
    </w:p>
    <w:p w:rsidR="0058574E" w:rsidRPr="001F52E5" w:rsidRDefault="0058574E" w:rsidP="0058574E">
      <w:pPr>
        <w:shd w:val="clear" w:color="auto" w:fill="FFFFFF"/>
        <w:ind w:left="14" w:right="14" w:firstLine="713"/>
        <w:jc w:val="both"/>
        <w:rPr>
          <w:bCs/>
          <w:sz w:val="28"/>
          <w:szCs w:val="28"/>
        </w:rPr>
      </w:pPr>
      <w:r w:rsidRPr="001F52E5">
        <w:rPr>
          <w:spacing w:val="-10"/>
          <w:sz w:val="28"/>
          <w:szCs w:val="28"/>
        </w:rPr>
        <w:t xml:space="preserve">Расчёт прогноза поступления </w:t>
      </w:r>
      <w:r w:rsidRPr="001F52E5">
        <w:rPr>
          <w:bCs/>
          <w:sz w:val="28"/>
          <w:szCs w:val="28"/>
        </w:rPr>
        <w:t xml:space="preserve">задолженности и перерасчетов </w:t>
      </w:r>
      <w:r w:rsidRPr="001F52E5">
        <w:rPr>
          <w:bCs/>
          <w:sz w:val="28"/>
          <w:szCs w:val="28"/>
        </w:rPr>
        <w:br/>
        <w:t>по отмененным налогам, сборам и иным обязательным платежам на 202</w:t>
      </w:r>
      <w:r>
        <w:rPr>
          <w:bCs/>
          <w:sz w:val="28"/>
          <w:szCs w:val="28"/>
        </w:rPr>
        <w:t>2</w:t>
      </w:r>
      <w:r w:rsidRPr="001F52E5">
        <w:rPr>
          <w:bCs/>
          <w:sz w:val="28"/>
          <w:szCs w:val="28"/>
        </w:rPr>
        <w:t xml:space="preserve"> – 202</w:t>
      </w:r>
      <w:r>
        <w:rPr>
          <w:bCs/>
          <w:sz w:val="28"/>
          <w:szCs w:val="28"/>
        </w:rPr>
        <w:t>4</w:t>
      </w:r>
      <w:r w:rsidRPr="001F52E5">
        <w:rPr>
          <w:bCs/>
          <w:sz w:val="28"/>
          <w:szCs w:val="28"/>
        </w:rPr>
        <w:t xml:space="preserve"> годы осуществляется Управлением Федеральной налоговой службы </w:t>
      </w:r>
      <w:r w:rsidRPr="001F52E5">
        <w:rPr>
          <w:bCs/>
          <w:sz w:val="28"/>
          <w:szCs w:val="28"/>
        </w:rPr>
        <w:br/>
        <w:t xml:space="preserve">по Тверской области. Оценка поступлений в областной бюджет на 2020 год произведена, исходя из среднего удельного веса поступлений </w:t>
      </w:r>
      <w:r w:rsidRPr="001F52E5">
        <w:rPr>
          <w:bCs/>
          <w:sz w:val="28"/>
          <w:szCs w:val="28"/>
        </w:rPr>
        <w:br/>
        <w:t>в задолженности за предыдущие 3 года (4,9%) в общей сумме задолженности на 01.01.202</w:t>
      </w:r>
      <w:r>
        <w:rPr>
          <w:bCs/>
          <w:sz w:val="28"/>
          <w:szCs w:val="28"/>
        </w:rPr>
        <w:t>1</w:t>
      </w:r>
      <w:r w:rsidRPr="001F52E5">
        <w:rPr>
          <w:bCs/>
          <w:sz w:val="28"/>
          <w:szCs w:val="28"/>
        </w:rPr>
        <w:t xml:space="preserve"> год.</w:t>
      </w:r>
    </w:p>
    <w:p w:rsidR="0058574E" w:rsidRPr="001F52E5" w:rsidRDefault="0058574E" w:rsidP="0058574E">
      <w:pPr>
        <w:shd w:val="clear" w:color="auto" w:fill="FFFFFF"/>
        <w:ind w:left="14" w:right="14" w:firstLine="713"/>
        <w:jc w:val="both"/>
        <w:rPr>
          <w:bCs/>
          <w:sz w:val="28"/>
          <w:szCs w:val="28"/>
        </w:rPr>
      </w:pPr>
    </w:p>
    <w:tbl>
      <w:tblPr>
        <w:tblW w:w="5000" w:type="pct"/>
        <w:tblLook w:val="04A0" w:firstRow="1" w:lastRow="0" w:firstColumn="1" w:lastColumn="0" w:noHBand="0" w:noVBand="1"/>
      </w:tblPr>
      <w:tblGrid>
        <w:gridCol w:w="3616"/>
        <w:gridCol w:w="2737"/>
        <w:gridCol w:w="1140"/>
        <w:gridCol w:w="1139"/>
        <w:gridCol w:w="1139"/>
      </w:tblGrid>
      <w:tr w:rsidR="0058574E" w:rsidRPr="001F52E5" w:rsidTr="00E7317C">
        <w:trPr>
          <w:trHeight w:val="300"/>
          <w:tblHeader/>
        </w:trPr>
        <w:tc>
          <w:tcPr>
            <w:tcW w:w="185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574E" w:rsidRPr="001F52E5" w:rsidRDefault="0058574E" w:rsidP="00E7317C">
            <w:pPr>
              <w:jc w:val="center"/>
              <w:rPr>
                <w:bCs/>
              </w:rPr>
            </w:pPr>
            <w:r w:rsidRPr="001F52E5">
              <w:rPr>
                <w:bCs/>
              </w:rPr>
              <w:t>Наименование</w:t>
            </w:r>
          </w:p>
        </w:tc>
        <w:tc>
          <w:tcPr>
            <w:tcW w:w="140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574E" w:rsidRPr="001F52E5" w:rsidRDefault="0058574E" w:rsidP="00E7317C">
            <w:pPr>
              <w:jc w:val="center"/>
              <w:rPr>
                <w:bCs/>
              </w:rPr>
            </w:pPr>
            <w:r w:rsidRPr="001F52E5">
              <w:rPr>
                <w:bCs/>
              </w:rPr>
              <w:t>КБК</w:t>
            </w:r>
          </w:p>
        </w:tc>
        <w:tc>
          <w:tcPr>
            <w:tcW w:w="58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8574E" w:rsidRPr="001F52E5" w:rsidRDefault="0058574E" w:rsidP="00E7317C">
            <w:pPr>
              <w:jc w:val="center"/>
              <w:rPr>
                <w:bCs/>
              </w:rPr>
            </w:pPr>
            <w:r w:rsidRPr="001F52E5">
              <w:rPr>
                <w:bCs/>
              </w:rPr>
              <w:t>Прогноз</w:t>
            </w:r>
            <w:r w:rsidRPr="001F52E5">
              <w:rPr>
                <w:bCs/>
              </w:rPr>
              <w:br/>
              <w:t>2022 г.</w:t>
            </w:r>
          </w:p>
        </w:tc>
        <w:tc>
          <w:tcPr>
            <w:tcW w:w="58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574E" w:rsidRPr="001F52E5" w:rsidRDefault="0058574E" w:rsidP="00E7317C">
            <w:pPr>
              <w:jc w:val="center"/>
              <w:rPr>
                <w:bCs/>
              </w:rPr>
            </w:pPr>
            <w:r w:rsidRPr="001F52E5">
              <w:rPr>
                <w:bCs/>
              </w:rPr>
              <w:t xml:space="preserve">Прогноз </w:t>
            </w:r>
            <w:r w:rsidRPr="001F52E5">
              <w:rPr>
                <w:bCs/>
              </w:rPr>
              <w:br/>
              <w:t>2023 г.</w:t>
            </w:r>
          </w:p>
        </w:tc>
        <w:tc>
          <w:tcPr>
            <w:tcW w:w="58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574E" w:rsidRPr="001F52E5" w:rsidRDefault="0058574E" w:rsidP="00E7317C">
            <w:pPr>
              <w:jc w:val="center"/>
              <w:rPr>
                <w:bCs/>
              </w:rPr>
            </w:pPr>
            <w:r w:rsidRPr="001F52E5">
              <w:rPr>
                <w:bCs/>
              </w:rPr>
              <w:t xml:space="preserve">Прогноз </w:t>
            </w:r>
            <w:r w:rsidRPr="001F52E5">
              <w:rPr>
                <w:bCs/>
              </w:rPr>
              <w:br/>
              <w:t>2024 г.</w:t>
            </w:r>
          </w:p>
        </w:tc>
      </w:tr>
      <w:tr w:rsidR="0058574E" w:rsidRPr="001F52E5" w:rsidTr="00E7317C">
        <w:trPr>
          <w:trHeight w:val="405"/>
          <w:tblHeader/>
        </w:trPr>
        <w:tc>
          <w:tcPr>
            <w:tcW w:w="1850" w:type="pct"/>
            <w:vMerge/>
            <w:tcBorders>
              <w:top w:val="single" w:sz="4" w:space="0" w:color="auto"/>
              <w:left w:val="single" w:sz="4" w:space="0" w:color="auto"/>
              <w:bottom w:val="single" w:sz="4" w:space="0" w:color="auto"/>
              <w:right w:val="single" w:sz="4" w:space="0" w:color="auto"/>
            </w:tcBorders>
            <w:vAlign w:val="center"/>
            <w:hideMark/>
          </w:tcPr>
          <w:p w:rsidR="0058574E" w:rsidRPr="001F52E5" w:rsidRDefault="0058574E" w:rsidP="00E7317C">
            <w:pPr>
              <w:rPr>
                <w:bCs/>
              </w:rPr>
            </w:pPr>
          </w:p>
        </w:tc>
        <w:tc>
          <w:tcPr>
            <w:tcW w:w="1400" w:type="pct"/>
            <w:vMerge/>
            <w:tcBorders>
              <w:top w:val="single" w:sz="4" w:space="0" w:color="auto"/>
              <w:left w:val="single" w:sz="4" w:space="0" w:color="auto"/>
              <w:bottom w:val="single" w:sz="4" w:space="0" w:color="auto"/>
              <w:right w:val="single" w:sz="4" w:space="0" w:color="auto"/>
            </w:tcBorders>
            <w:vAlign w:val="center"/>
            <w:hideMark/>
          </w:tcPr>
          <w:p w:rsidR="0058574E" w:rsidRPr="001F52E5" w:rsidRDefault="0058574E" w:rsidP="00E7317C">
            <w:pPr>
              <w:rPr>
                <w:bCs/>
              </w:rPr>
            </w:pPr>
          </w:p>
        </w:tc>
        <w:tc>
          <w:tcPr>
            <w:tcW w:w="583" w:type="pct"/>
            <w:vMerge/>
            <w:tcBorders>
              <w:top w:val="single" w:sz="4" w:space="0" w:color="auto"/>
              <w:left w:val="single" w:sz="4" w:space="0" w:color="auto"/>
              <w:bottom w:val="single" w:sz="4" w:space="0" w:color="auto"/>
              <w:right w:val="single" w:sz="4" w:space="0" w:color="auto"/>
            </w:tcBorders>
            <w:vAlign w:val="center"/>
            <w:hideMark/>
          </w:tcPr>
          <w:p w:rsidR="0058574E" w:rsidRPr="001F52E5" w:rsidRDefault="0058574E" w:rsidP="00E7317C">
            <w:pPr>
              <w:rPr>
                <w:bCs/>
              </w:rPr>
            </w:pPr>
          </w:p>
        </w:tc>
        <w:tc>
          <w:tcPr>
            <w:tcW w:w="583" w:type="pct"/>
            <w:vMerge/>
            <w:tcBorders>
              <w:top w:val="single" w:sz="4" w:space="0" w:color="auto"/>
              <w:left w:val="single" w:sz="4" w:space="0" w:color="auto"/>
              <w:bottom w:val="single" w:sz="4" w:space="0" w:color="auto"/>
              <w:right w:val="single" w:sz="4" w:space="0" w:color="auto"/>
            </w:tcBorders>
            <w:vAlign w:val="center"/>
            <w:hideMark/>
          </w:tcPr>
          <w:p w:rsidR="0058574E" w:rsidRPr="001F52E5" w:rsidRDefault="0058574E" w:rsidP="00E7317C">
            <w:pPr>
              <w:rPr>
                <w:bCs/>
              </w:rPr>
            </w:pPr>
          </w:p>
        </w:tc>
        <w:tc>
          <w:tcPr>
            <w:tcW w:w="583" w:type="pct"/>
            <w:vMerge/>
            <w:tcBorders>
              <w:top w:val="single" w:sz="4" w:space="0" w:color="auto"/>
              <w:left w:val="single" w:sz="4" w:space="0" w:color="auto"/>
              <w:bottom w:val="single" w:sz="4" w:space="0" w:color="auto"/>
              <w:right w:val="single" w:sz="4" w:space="0" w:color="auto"/>
            </w:tcBorders>
            <w:vAlign w:val="center"/>
            <w:hideMark/>
          </w:tcPr>
          <w:p w:rsidR="0058574E" w:rsidRPr="001F52E5" w:rsidRDefault="0058574E" w:rsidP="00E7317C">
            <w:pPr>
              <w:rPr>
                <w:bCs/>
              </w:rPr>
            </w:pPr>
          </w:p>
        </w:tc>
      </w:tr>
      <w:tr w:rsidR="0058574E" w:rsidRPr="001F52E5" w:rsidTr="00E7317C">
        <w:trPr>
          <w:trHeight w:val="615"/>
        </w:trPr>
        <w:tc>
          <w:tcPr>
            <w:tcW w:w="1850" w:type="pct"/>
            <w:tcBorders>
              <w:top w:val="nil"/>
              <w:left w:val="single" w:sz="4" w:space="0" w:color="auto"/>
              <w:bottom w:val="single" w:sz="4" w:space="0" w:color="auto"/>
              <w:right w:val="single" w:sz="4" w:space="0" w:color="auto"/>
            </w:tcBorders>
            <w:shd w:val="clear" w:color="auto" w:fill="auto"/>
            <w:vAlign w:val="center"/>
            <w:hideMark/>
          </w:tcPr>
          <w:p w:rsidR="0058574E" w:rsidRPr="001F52E5" w:rsidRDefault="0058574E" w:rsidP="005D6ACF">
            <w:pPr>
              <w:pStyle w:val="af4"/>
              <w:numPr>
                <w:ilvl w:val="0"/>
                <w:numId w:val="14"/>
              </w:numPr>
              <w:ind w:left="0" w:firstLine="0"/>
              <w:rPr>
                <w:bCs/>
              </w:rPr>
            </w:pPr>
            <w:r w:rsidRPr="001F52E5">
              <w:rPr>
                <w:bCs/>
              </w:rPr>
              <w:t>Налог на прибыль организаций, зачислявшийся до 1 января 2005 года в местные бюджеты, мобилизуемый на территориях муниципальных районов</w:t>
            </w:r>
          </w:p>
        </w:tc>
        <w:tc>
          <w:tcPr>
            <w:tcW w:w="1400" w:type="pct"/>
            <w:tcBorders>
              <w:top w:val="nil"/>
              <w:left w:val="nil"/>
              <w:bottom w:val="single" w:sz="4" w:space="0" w:color="auto"/>
              <w:right w:val="single" w:sz="4" w:space="0" w:color="auto"/>
            </w:tcBorders>
            <w:shd w:val="clear" w:color="auto" w:fill="auto"/>
            <w:vAlign w:val="center"/>
            <w:hideMark/>
          </w:tcPr>
          <w:p w:rsidR="0058574E" w:rsidRPr="001F52E5" w:rsidRDefault="0058574E" w:rsidP="00E7317C">
            <w:pPr>
              <w:rPr>
                <w:bCs/>
              </w:rPr>
            </w:pPr>
            <w:r w:rsidRPr="001F52E5">
              <w:rPr>
                <w:bCs/>
              </w:rPr>
              <w:t>18210901030050000110</w:t>
            </w:r>
          </w:p>
        </w:tc>
        <w:tc>
          <w:tcPr>
            <w:tcW w:w="583" w:type="pct"/>
            <w:tcBorders>
              <w:top w:val="nil"/>
              <w:left w:val="nil"/>
              <w:bottom w:val="single" w:sz="4" w:space="0" w:color="auto"/>
              <w:right w:val="single" w:sz="4" w:space="0" w:color="auto"/>
            </w:tcBorders>
            <w:shd w:val="clear" w:color="auto" w:fill="auto"/>
            <w:vAlign w:val="center"/>
            <w:hideMark/>
          </w:tcPr>
          <w:p w:rsidR="0058574E" w:rsidRPr="001F52E5" w:rsidRDefault="0058574E" w:rsidP="00E7317C">
            <w:pPr>
              <w:jc w:val="center"/>
              <w:rPr>
                <w:bCs/>
              </w:rPr>
            </w:pPr>
            <w:r w:rsidRPr="001F52E5">
              <w:rPr>
                <w:bCs/>
              </w:rPr>
              <w:t>0</w:t>
            </w:r>
          </w:p>
        </w:tc>
        <w:tc>
          <w:tcPr>
            <w:tcW w:w="583" w:type="pct"/>
            <w:tcBorders>
              <w:top w:val="nil"/>
              <w:left w:val="nil"/>
              <w:bottom w:val="single" w:sz="4" w:space="0" w:color="auto"/>
              <w:right w:val="single" w:sz="4" w:space="0" w:color="auto"/>
            </w:tcBorders>
            <w:shd w:val="clear" w:color="auto" w:fill="auto"/>
            <w:vAlign w:val="center"/>
            <w:hideMark/>
          </w:tcPr>
          <w:p w:rsidR="0058574E" w:rsidRPr="001F52E5" w:rsidRDefault="0058574E" w:rsidP="00E7317C">
            <w:pPr>
              <w:jc w:val="center"/>
              <w:rPr>
                <w:bCs/>
              </w:rPr>
            </w:pPr>
            <w:r w:rsidRPr="001F52E5">
              <w:rPr>
                <w:bCs/>
              </w:rPr>
              <w:t>0</w:t>
            </w:r>
          </w:p>
        </w:tc>
        <w:tc>
          <w:tcPr>
            <w:tcW w:w="583" w:type="pct"/>
            <w:tcBorders>
              <w:top w:val="nil"/>
              <w:left w:val="nil"/>
              <w:bottom w:val="single" w:sz="4" w:space="0" w:color="auto"/>
              <w:right w:val="single" w:sz="4" w:space="0" w:color="auto"/>
            </w:tcBorders>
            <w:shd w:val="clear" w:color="auto" w:fill="auto"/>
            <w:vAlign w:val="center"/>
            <w:hideMark/>
          </w:tcPr>
          <w:p w:rsidR="0058574E" w:rsidRPr="001F52E5" w:rsidRDefault="0058574E" w:rsidP="00E7317C">
            <w:pPr>
              <w:jc w:val="center"/>
              <w:rPr>
                <w:bCs/>
              </w:rPr>
            </w:pPr>
            <w:r w:rsidRPr="001F52E5">
              <w:rPr>
                <w:bCs/>
              </w:rPr>
              <w:t>0</w:t>
            </w:r>
          </w:p>
        </w:tc>
      </w:tr>
      <w:tr w:rsidR="0058574E" w:rsidRPr="001F52E5" w:rsidTr="00E7317C">
        <w:trPr>
          <w:trHeight w:val="615"/>
        </w:trPr>
        <w:tc>
          <w:tcPr>
            <w:tcW w:w="1850" w:type="pct"/>
            <w:tcBorders>
              <w:top w:val="nil"/>
              <w:left w:val="single" w:sz="4" w:space="0" w:color="auto"/>
              <w:bottom w:val="single" w:sz="4" w:space="0" w:color="auto"/>
              <w:right w:val="single" w:sz="4" w:space="0" w:color="auto"/>
            </w:tcBorders>
            <w:shd w:val="clear" w:color="auto" w:fill="auto"/>
            <w:vAlign w:val="center"/>
            <w:hideMark/>
          </w:tcPr>
          <w:p w:rsidR="0058574E" w:rsidRPr="001F52E5" w:rsidRDefault="0058574E" w:rsidP="005D6ACF">
            <w:pPr>
              <w:pStyle w:val="af4"/>
              <w:numPr>
                <w:ilvl w:val="0"/>
                <w:numId w:val="14"/>
              </w:numPr>
              <w:ind w:left="0" w:firstLine="0"/>
              <w:rPr>
                <w:bCs/>
              </w:rPr>
            </w:pPr>
            <w:r w:rsidRPr="001F52E5">
              <w:rPr>
                <w:bCs/>
              </w:rPr>
              <w:t>Отчисления на воспроизводство минерально-сырьевой базы, зачисляемые в бюджеты субъектов Российской Федерации, за исключением уплачиваемых при добыче общераспространенных полезных ископаемых и подземных вод, используемых для местных нужд</w:t>
            </w:r>
          </w:p>
        </w:tc>
        <w:tc>
          <w:tcPr>
            <w:tcW w:w="1400" w:type="pct"/>
            <w:tcBorders>
              <w:top w:val="nil"/>
              <w:left w:val="nil"/>
              <w:bottom w:val="single" w:sz="4" w:space="0" w:color="auto"/>
              <w:right w:val="single" w:sz="4" w:space="0" w:color="auto"/>
            </w:tcBorders>
            <w:shd w:val="clear" w:color="auto" w:fill="auto"/>
            <w:vAlign w:val="center"/>
            <w:hideMark/>
          </w:tcPr>
          <w:p w:rsidR="0058574E" w:rsidRPr="001F52E5" w:rsidRDefault="0058574E" w:rsidP="00E7317C">
            <w:pPr>
              <w:rPr>
                <w:bCs/>
              </w:rPr>
            </w:pPr>
            <w:r w:rsidRPr="001F52E5">
              <w:rPr>
                <w:bCs/>
              </w:rPr>
              <w:t>18210903082020000110</w:t>
            </w:r>
          </w:p>
        </w:tc>
        <w:tc>
          <w:tcPr>
            <w:tcW w:w="583" w:type="pct"/>
            <w:tcBorders>
              <w:top w:val="nil"/>
              <w:left w:val="nil"/>
              <w:bottom w:val="single" w:sz="4" w:space="0" w:color="auto"/>
              <w:right w:val="single" w:sz="4" w:space="0" w:color="auto"/>
            </w:tcBorders>
            <w:shd w:val="clear" w:color="auto" w:fill="auto"/>
            <w:vAlign w:val="center"/>
            <w:hideMark/>
          </w:tcPr>
          <w:p w:rsidR="0058574E" w:rsidRPr="001F52E5" w:rsidRDefault="0058574E" w:rsidP="00E7317C">
            <w:pPr>
              <w:jc w:val="center"/>
              <w:rPr>
                <w:bCs/>
              </w:rPr>
            </w:pPr>
            <w:r w:rsidRPr="001F52E5">
              <w:rPr>
                <w:bCs/>
              </w:rPr>
              <w:t>0</w:t>
            </w:r>
          </w:p>
        </w:tc>
        <w:tc>
          <w:tcPr>
            <w:tcW w:w="583" w:type="pct"/>
            <w:tcBorders>
              <w:top w:val="nil"/>
              <w:left w:val="nil"/>
              <w:bottom w:val="single" w:sz="4" w:space="0" w:color="auto"/>
              <w:right w:val="single" w:sz="4" w:space="0" w:color="auto"/>
            </w:tcBorders>
            <w:shd w:val="clear" w:color="auto" w:fill="auto"/>
            <w:vAlign w:val="center"/>
            <w:hideMark/>
          </w:tcPr>
          <w:p w:rsidR="0058574E" w:rsidRPr="001F52E5" w:rsidRDefault="0058574E" w:rsidP="00E7317C">
            <w:pPr>
              <w:jc w:val="center"/>
              <w:rPr>
                <w:bCs/>
              </w:rPr>
            </w:pPr>
            <w:r w:rsidRPr="001F52E5">
              <w:rPr>
                <w:bCs/>
              </w:rPr>
              <w:t>0</w:t>
            </w:r>
          </w:p>
        </w:tc>
        <w:tc>
          <w:tcPr>
            <w:tcW w:w="583" w:type="pct"/>
            <w:tcBorders>
              <w:top w:val="nil"/>
              <w:left w:val="nil"/>
              <w:bottom w:val="single" w:sz="4" w:space="0" w:color="auto"/>
              <w:right w:val="single" w:sz="4" w:space="0" w:color="auto"/>
            </w:tcBorders>
            <w:shd w:val="clear" w:color="auto" w:fill="auto"/>
            <w:vAlign w:val="center"/>
            <w:hideMark/>
          </w:tcPr>
          <w:p w:rsidR="0058574E" w:rsidRPr="001F52E5" w:rsidRDefault="0058574E" w:rsidP="00E7317C">
            <w:pPr>
              <w:jc w:val="center"/>
              <w:rPr>
                <w:bCs/>
              </w:rPr>
            </w:pPr>
            <w:r w:rsidRPr="001F52E5">
              <w:rPr>
                <w:bCs/>
              </w:rPr>
              <w:t>0</w:t>
            </w:r>
          </w:p>
        </w:tc>
      </w:tr>
      <w:tr w:rsidR="0058574E" w:rsidRPr="001F52E5" w:rsidTr="00E7317C">
        <w:trPr>
          <w:trHeight w:val="300"/>
        </w:trPr>
        <w:tc>
          <w:tcPr>
            <w:tcW w:w="18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8574E" w:rsidRPr="001F52E5" w:rsidRDefault="0058574E" w:rsidP="005D6ACF">
            <w:pPr>
              <w:pStyle w:val="af4"/>
              <w:numPr>
                <w:ilvl w:val="0"/>
                <w:numId w:val="14"/>
              </w:numPr>
              <w:ind w:left="0" w:firstLine="0"/>
              <w:rPr>
                <w:bCs/>
              </w:rPr>
            </w:pPr>
            <w:r w:rsidRPr="001F52E5">
              <w:rPr>
                <w:bCs/>
              </w:rPr>
              <w:t>Налог  на имущество предприятий</w:t>
            </w:r>
          </w:p>
        </w:tc>
        <w:tc>
          <w:tcPr>
            <w:tcW w:w="14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8574E" w:rsidRPr="001F52E5" w:rsidRDefault="0058574E" w:rsidP="00E7317C">
            <w:pPr>
              <w:rPr>
                <w:bCs/>
              </w:rPr>
            </w:pPr>
            <w:r w:rsidRPr="001F52E5">
              <w:rPr>
                <w:bCs/>
              </w:rPr>
              <w:t>18210904010020000110</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8574E" w:rsidRPr="001F52E5" w:rsidRDefault="0058574E" w:rsidP="00E7317C">
            <w:pPr>
              <w:jc w:val="center"/>
              <w:rPr>
                <w:bCs/>
              </w:rPr>
            </w:pPr>
            <w:r w:rsidRPr="001F52E5">
              <w:rPr>
                <w:bCs/>
              </w:rPr>
              <w:t>11</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8574E" w:rsidRPr="001F52E5" w:rsidRDefault="0058574E" w:rsidP="00E7317C">
            <w:pPr>
              <w:jc w:val="center"/>
              <w:rPr>
                <w:bCs/>
              </w:rPr>
            </w:pPr>
            <w:r w:rsidRPr="001F52E5">
              <w:rPr>
                <w:bCs/>
              </w:rPr>
              <w:t>11</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8574E" w:rsidRPr="001F52E5" w:rsidRDefault="0058574E" w:rsidP="00E7317C">
            <w:pPr>
              <w:jc w:val="center"/>
              <w:rPr>
                <w:bCs/>
              </w:rPr>
            </w:pPr>
            <w:r w:rsidRPr="001F52E5">
              <w:rPr>
                <w:bCs/>
              </w:rPr>
              <w:t>11</w:t>
            </w:r>
          </w:p>
        </w:tc>
      </w:tr>
      <w:tr w:rsidR="0058574E" w:rsidRPr="001F52E5" w:rsidTr="00E7317C">
        <w:trPr>
          <w:trHeight w:val="420"/>
        </w:trPr>
        <w:tc>
          <w:tcPr>
            <w:tcW w:w="18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8574E" w:rsidRPr="001F52E5" w:rsidRDefault="0058574E" w:rsidP="005D6ACF">
            <w:pPr>
              <w:pStyle w:val="af4"/>
              <w:numPr>
                <w:ilvl w:val="0"/>
                <w:numId w:val="14"/>
              </w:numPr>
              <w:ind w:left="0" w:firstLine="0"/>
              <w:rPr>
                <w:bCs/>
              </w:rPr>
            </w:pPr>
            <w:r w:rsidRPr="001F52E5">
              <w:rPr>
                <w:bCs/>
              </w:rPr>
              <w:t xml:space="preserve">Налог с владельцев транспортных средств и налог </w:t>
            </w:r>
            <w:r w:rsidRPr="001F52E5">
              <w:rPr>
                <w:bCs/>
              </w:rPr>
              <w:lastRenderedPageBreak/>
              <w:t>на приобретение транспортных средств</w:t>
            </w:r>
          </w:p>
        </w:tc>
        <w:tc>
          <w:tcPr>
            <w:tcW w:w="1400" w:type="pct"/>
            <w:tcBorders>
              <w:top w:val="single" w:sz="4" w:space="0" w:color="auto"/>
              <w:left w:val="nil"/>
              <w:bottom w:val="single" w:sz="4" w:space="0" w:color="auto"/>
              <w:right w:val="single" w:sz="4" w:space="0" w:color="auto"/>
            </w:tcBorders>
            <w:shd w:val="clear" w:color="auto" w:fill="auto"/>
            <w:vAlign w:val="center"/>
            <w:hideMark/>
          </w:tcPr>
          <w:p w:rsidR="0058574E" w:rsidRPr="001F52E5" w:rsidRDefault="0058574E" w:rsidP="00E7317C">
            <w:pPr>
              <w:rPr>
                <w:bCs/>
              </w:rPr>
            </w:pPr>
            <w:r w:rsidRPr="001F52E5">
              <w:rPr>
                <w:bCs/>
              </w:rPr>
              <w:lastRenderedPageBreak/>
              <w:t>18210904020020000110</w:t>
            </w:r>
          </w:p>
        </w:tc>
        <w:tc>
          <w:tcPr>
            <w:tcW w:w="583" w:type="pct"/>
            <w:tcBorders>
              <w:top w:val="single" w:sz="4" w:space="0" w:color="auto"/>
              <w:left w:val="nil"/>
              <w:bottom w:val="single" w:sz="4" w:space="0" w:color="auto"/>
              <w:right w:val="single" w:sz="4" w:space="0" w:color="auto"/>
            </w:tcBorders>
            <w:shd w:val="clear" w:color="auto" w:fill="auto"/>
            <w:vAlign w:val="center"/>
            <w:hideMark/>
          </w:tcPr>
          <w:p w:rsidR="0058574E" w:rsidRPr="001F52E5" w:rsidRDefault="0058574E" w:rsidP="00E7317C">
            <w:pPr>
              <w:jc w:val="center"/>
              <w:rPr>
                <w:bCs/>
              </w:rPr>
            </w:pPr>
            <w:r w:rsidRPr="001F52E5">
              <w:rPr>
                <w:bCs/>
              </w:rPr>
              <w:t>0</w:t>
            </w:r>
          </w:p>
        </w:tc>
        <w:tc>
          <w:tcPr>
            <w:tcW w:w="583" w:type="pct"/>
            <w:tcBorders>
              <w:top w:val="single" w:sz="4" w:space="0" w:color="auto"/>
              <w:left w:val="nil"/>
              <w:bottom w:val="single" w:sz="4" w:space="0" w:color="auto"/>
              <w:right w:val="single" w:sz="4" w:space="0" w:color="auto"/>
            </w:tcBorders>
            <w:shd w:val="clear" w:color="auto" w:fill="auto"/>
            <w:vAlign w:val="center"/>
            <w:hideMark/>
          </w:tcPr>
          <w:p w:rsidR="0058574E" w:rsidRPr="001F52E5" w:rsidRDefault="0058574E" w:rsidP="00E7317C">
            <w:pPr>
              <w:jc w:val="center"/>
              <w:rPr>
                <w:bCs/>
              </w:rPr>
            </w:pPr>
            <w:r w:rsidRPr="001F52E5">
              <w:rPr>
                <w:bCs/>
              </w:rPr>
              <w:t>0</w:t>
            </w:r>
          </w:p>
        </w:tc>
        <w:tc>
          <w:tcPr>
            <w:tcW w:w="583" w:type="pct"/>
            <w:tcBorders>
              <w:top w:val="single" w:sz="4" w:space="0" w:color="auto"/>
              <w:left w:val="nil"/>
              <w:bottom w:val="single" w:sz="4" w:space="0" w:color="auto"/>
              <w:right w:val="single" w:sz="4" w:space="0" w:color="auto"/>
            </w:tcBorders>
            <w:shd w:val="clear" w:color="auto" w:fill="auto"/>
            <w:vAlign w:val="center"/>
            <w:hideMark/>
          </w:tcPr>
          <w:p w:rsidR="0058574E" w:rsidRPr="001F52E5" w:rsidRDefault="0058574E" w:rsidP="00E7317C">
            <w:pPr>
              <w:jc w:val="center"/>
              <w:rPr>
                <w:bCs/>
              </w:rPr>
            </w:pPr>
            <w:r w:rsidRPr="001F52E5">
              <w:rPr>
                <w:bCs/>
              </w:rPr>
              <w:t>0</w:t>
            </w:r>
          </w:p>
        </w:tc>
      </w:tr>
      <w:tr w:rsidR="0058574E" w:rsidRPr="001F52E5" w:rsidTr="00E7317C">
        <w:trPr>
          <w:trHeight w:val="300"/>
        </w:trPr>
        <w:tc>
          <w:tcPr>
            <w:tcW w:w="1850" w:type="pct"/>
            <w:tcBorders>
              <w:top w:val="nil"/>
              <w:left w:val="single" w:sz="4" w:space="0" w:color="auto"/>
              <w:bottom w:val="single" w:sz="4" w:space="0" w:color="auto"/>
              <w:right w:val="single" w:sz="4" w:space="0" w:color="auto"/>
            </w:tcBorders>
            <w:shd w:val="clear" w:color="auto" w:fill="auto"/>
            <w:vAlign w:val="center"/>
            <w:hideMark/>
          </w:tcPr>
          <w:p w:rsidR="0058574E" w:rsidRPr="001F52E5" w:rsidRDefault="0058574E" w:rsidP="005D6ACF">
            <w:pPr>
              <w:pStyle w:val="af4"/>
              <w:numPr>
                <w:ilvl w:val="0"/>
                <w:numId w:val="14"/>
              </w:numPr>
              <w:ind w:left="0" w:firstLine="0"/>
              <w:rPr>
                <w:bCs/>
              </w:rPr>
            </w:pPr>
            <w:r w:rsidRPr="001F52E5">
              <w:rPr>
                <w:bCs/>
              </w:rPr>
              <w:t>Налог на пользователей автомобильных дорог</w:t>
            </w:r>
          </w:p>
        </w:tc>
        <w:tc>
          <w:tcPr>
            <w:tcW w:w="1400" w:type="pct"/>
            <w:tcBorders>
              <w:top w:val="nil"/>
              <w:left w:val="nil"/>
              <w:bottom w:val="single" w:sz="4" w:space="0" w:color="auto"/>
              <w:right w:val="single" w:sz="4" w:space="0" w:color="auto"/>
            </w:tcBorders>
            <w:shd w:val="clear" w:color="auto" w:fill="auto"/>
            <w:vAlign w:val="center"/>
            <w:hideMark/>
          </w:tcPr>
          <w:p w:rsidR="0058574E" w:rsidRPr="001F52E5" w:rsidRDefault="0058574E" w:rsidP="00E7317C">
            <w:pPr>
              <w:rPr>
                <w:bCs/>
              </w:rPr>
            </w:pPr>
            <w:r w:rsidRPr="001F52E5">
              <w:rPr>
                <w:bCs/>
              </w:rPr>
              <w:t>18210904030010000110</w:t>
            </w:r>
          </w:p>
        </w:tc>
        <w:tc>
          <w:tcPr>
            <w:tcW w:w="583" w:type="pct"/>
            <w:tcBorders>
              <w:top w:val="nil"/>
              <w:left w:val="nil"/>
              <w:bottom w:val="single" w:sz="4" w:space="0" w:color="auto"/>
              <w:right w:val="single" w:sz="4" w:space="0" w:color="auto"/>
            </w:tcBorders>
            <w:shd w:val="clear" w:color="auto" w:fill="auto"/>
            <w:vAlign w:val="center"/>
            <w:hideMark/>
          </w:tcPr>
          <w:p w:rsidR="0058574E" w:rsidRPr="001F52E5" w:rsidRDefault="0058574E" w:rsidP="00E7317C">
            <w:pPr>
              <w:jc w:val="center"/>
              <w:rPr>
                <w:bCs/>
              </w:rPr>
            </w:pPr>
            <w:r w:rsidRPr="001F52E5">
              <w:rPr>
                <w:bCs/>
              </w:rPr>
              <w:t>1</w:t>
            </w:r>
          </w:p>
        </w:tc>
        <w:tc>
          <w:tcPr>
            <w:tcW w:w="583" w:type="pct"/>
            <w:tcBorders>
              <w:top w:val="nil"/>
              <w:left w:val="nil"/>
              <w:bottom w:val="single" w:sz="4" w:space="0" w:color="auto"/>
              <w:right w:val="single" w:sz="4" w:space="0" w:color="auto"/>
            </w:tcBorders>
            <w:shd w:val="clear" w:color="auto" w:fill="auto"/>
            <w:vAlign w:val="center"/>
            <w:hideMark/>
          </w:tcPr>
          <w:p w:rsidR="0058574E" w:rsidRPr="001F52E5" w:rsidRDefault="0058574E" w:rsidP="00E7317C">
            <w:pPr>
              <w:jc w:val="center"/>
              <w:rPr>
                <w:bCs/>
              </w:rPr>
            </w:pPr>
            <w:r w:rsidRPr="001F52E5">
              <w:rPr>
                <w:bCs/>
              </w:rPr>
              <w:t>1</w:t>
            </w:r>
          </w:p>
        </w:tc>
        <w:tc>
          <w:tcPr>
            <w:tcW w:w="583" w:type="pct"/>
            <w:tcBorders>
              <w:top w:val="nil"/>
              <w:left w:val="nil"/>
              <w:bottom w:val="single" w:sz="4" w:space="0" w:color="auto"/>
              <w:right w:val="single" w:sz="4" w:space="0" w:color="auto"/>
            </w:tcBorders>
            <w:shd w:val="clear" w:color="auto" w:fill="auto"/>
            <w:vAlign w:val="center"/>
            <w:hideMark/>
          </w:tcPr>
          <w:p w:rsidR="0058574E" w:rsidRPr="001F52E5" w:rsidRDefault="0058574E" w:rsidP="00E7317C">
            <w:pPr>
              <w:jc w:val="center"/>
              <w:rPr>
                <w:bCs/>
              </w:rPr>
            </w:pPr>
            <w:r w:rsidRPr="001F52E5">
              <w:rPr>
                <w:bCs/>
              </w:rPr>
              <w:t>1</w:t>
            </w:r>
          </w:p>
        </w:tc>
      </w:tr>
      <w:tr w:rsidR="0058574E" w:rsidRPr="001F52E5" w:rsidTr="00E7317C">
        <w:trPr>
          <w:trHeight w:val="300"/>
        </w:trPr>
        <w:tc>
          <w:tcPr>
            <w:tcW w:w="1850" w:type="pct"/>
            <w:tcBorders>
              <w:top w:val="nil"/>
              <w:left w:val="single" w:sz="4" w:space="0" w:color="auto"/>
              <w:bottom w:val="single" w:sz="4" w:space="0" w:color="auto"/>
              <w:right w:val="single" w:sz="4" w:space="0" w:color="auto"/>
            </w:tcBorders>
            <w:shd w:val="clear" w:color="auto" w:fill="auto"/>
            <w:vAlign w:val="center"/>
            <w:hideMark/>
          </w:tcPr>
          <w:p w:rsidR="0058574E" w:rsidRPr="001F52E5" w:rsidRDefault="0058574E" w:rsidP="005D6ACF">
            <w:pPr>
              <w:pStyle w:val="af4"/>
              <w:numPr>
                <w:ilvl w:val="0"/>
                <w:numId w:val="14"/>
              </w:numPr>
              <w:ind w:left="0" w:firstLine="0"/>
              <w:rPr>
                <w:bCs/>
              </w:rPr>
            </w:pPr>
            <w:r w:rsidRPr="001F52E5">
              <w:rPr>
                <w:bCs/>
              </w:rPr>
              <w:t>Налог с продаж</w:t>
            </w:r>
          </w:p>
        </w:tc>
        <w:tc>
          <w:tcPr>
            <w:tcW w:w="1400" w:type="pct"/>
            <w:tcBorders>
              <w:top w:val="nil"/>
              <w:left w:val="nil"/>
              <w:bottom w:val="single" w:sz="4" w:space="0" w:color="auto"/>
              <w:right w:val="single" w:sz="4" w:space="0" w:color="auto"/>
            </w:tcBorders>
            <w:shd w:val="clear" w:color="auto" w:fill="auto"/>
            <w:vAlign w:val="center"/>
            <w:hideMark/>
          </w:tcPr>
          <w:p w:rsidR="0058574E" w:rsidRPr="001F52E5" w:rsidRDefault="0058574E" w:rsidP="00E7317C">
            <w:pPr>
              <w:rPr>
                <w:bCs/>
              </w:rPr>
            </w:pPr>
            <w:r w:rsidRPr="001F52E5">
              <w:rPr>
                <w:bCs/>
              </w:rPr>
              <w:t>18210906010020000110</w:t>
            </w:r>
          </w:p>
        </w:tc>
        <w:tc>
          <w:tcPr>
            <w:tcW w:w="583" w:type="pct"/>
            <w:tcBorders>
              <w:top w:val="nil"/>
              <w:left w:val="nil"/>
              <w:bottom w:val="single" w:sz="4" w:space="0" w:color="auto"/>
              <w:right w:val="single" w:sz="4" w:space="0" w:color="auto"/>
            </w:tcBorders>
            <w:shd w:val="clear" w:color="auto" w:fill="auto"/>
            <w:vAlign w:val="center"/>
            <w:hideMark/>
          </w:tcPr>
          <w:p w:rsidR="0058574E" w:rsidRPr="001F52E5" w:rsidRDefault="0058574E" w:rsidP="00E7317C">
            <w:pPr>
              <w:jc w:val="center"/>
              <w:rPr>
                <w:bCs/>
              </w:rPr>
            </w:pPr>
            <w:r w:rsidRPr="001F52E5">
              <w:rPr>
                <w:bCs/>
              </w:rPr>
              <w:t>20</w:t>
            </w:r>
          </w:p>
        </w:tc>
        <w:tc>
          <w:tcPr>
            <w:tcW w:w="583" w:type="pct"/>
            <w:tcBorders>
              <w:top w:val="nil"/>
              <w:left w:val="nil"/>
              <w:bottom w:val="single" w:sz="4" w:space="0" w:color="auto"/>
              <w:right w:val="single" w:sz="4" w:space="0" w:color="auto"/>
            </w:tcBorders>
            <w:shd w:val="clear" w:color="auto" w:fill="auto"/>
            <w:vAlign w:val="center"/>
            <w:hideMark/>
          </w:tcPr>
          <w:p w:rsidR="0058574E" w:rsidRPr="001F52E5" w:rsidRDefault="0058574E" w:rsidP="00E7317C">
            <w:pPr>
              <w:jc w:val="center"/>
              <w:rPr>
                <w:bCs/>
              </w:rPr>
            </w:pPr>
            <w:r w:rsidRPr="001F52E5">
              <w:rPr>
                <w:bCs/>
              </w:rPr>
              <w:t>20</w:t>
            </w:r>
          </w:p>
        </w:tc>
        <w:tc>
          <w:tcPr>
            <w:tcW w:w="583" w:type="pct"/>
            <w:tcBorders>
              <w:top w:val="nil"/>
              <w:left w:val="nil"/>
              <w:bottom w:val="single" w:sz="4" w:space="0" w:color="auto"/>
              <w:right w:val="single" w:sz="4" w:space="0" w:color="auto"/>
            </w:tcBorders>
            <w:shd w:val="clear" w:color="auto" w:fill="auto"/>
            <w:vAlign w:val="center"/>
            <w:hideMark/>
          </w:tcPr>
          <w:p w:rsidR="0058574E" w:rsidRPr="001F52E5" w:rsidRDefault="0058574E" w:rsidP="00E7317C">
            <w:pPr>
              <w:jc w:val="center"/>
              <w:rPr>
                <w:bCs/>
              </w:rPr>
            </w:pPr>
            <w:r w:rsidRPr="001F52E5">
              <w:rPr>
                <w:bCs/>
              </w:rPr>
              <w:t>20</w:t>
            </w:r>
          </w:p>
        </w:tc>
      </w:tr>
      <w:tr w:rsidR="0058574E" w:rsidRPr="001F52E5" w:rsidTr="00E7317C">
        <w:trPr>
          <w:trHeight w:val="465"/>
        </w:trPr>
        <w:tc>
          <w:tcPr>
            <w:tcW w:w="1850" w:type="pct"/>
            <w:tcBorders>
              <w:top w:val="nil"/>
              <w:left w:val="single" w:sz="4" w:space="0" w:color="auto"/>
              <w:bottom w:val="single" w:sz="4" w:space="0" w:color="auto"/>
              <w:right w:val="single" w:sz="4" w:space="0" w:color="auto"/>
            </w:tcBorders>
            <w:shd w:val="clear" w:color="auto" w:fill="auto"/>
            <w:vAlign w:val="center"/>
            <w:hideMark/>
          </w:tcPr>
          <w:p w:rsidR="0058574E" w:rsidRPr="001F52E5" w:rsidRDefault="0058574E" w:rsidP="005D6ACF">
            <w:pPr>
              <w:pStyle w:val="af4"/>
              <w:numPr>
                <w:ilvl w:val="0"/>
                <w:numId w:val="14"/>
              </w:numPr>
              <w:ind w:left="0" w:firstLine="0"/>
              <w:rPr>
                <w:bCs/>
              </w:rPr>
            </w:pPr>
            <w:r w:rsidRPr="001F52E5">
              <w:rPr>
                <w:bCs/>
              </w:rPr>
              <w:t>Сбор на нужды образовательных учреждений, взимаемый с юридических лиц</w:t>
            </w:r>
          </w:p>
        </w:tc>
        <w:tc>
          <w:tcPr>
            <w:tcW w:w="1400" w:type="pct"/>
            <w:tcBorders>
              <w:top w:val="nil"/>
              <w:left w:val="nil"/>
              <w:bottom w:val="single" w:sz="4" w:space="0" w:color="auto"/>
              <w:right w:val="single" w:sz="4" w:space="0" w:color="auto"/>
            </w:tcBorders>
            <w:shd w:val="clear" w:color="auto" w:fill="auto"/>
            <w:vAlign w:val="center"/>
            <w:hideMark/>
          </w:tcPr>
          <w:p w:rsidR="0058574E" w:rsidRPr="001F52E5" w:rsidRDefault="0058574E" w:rsidP="00E7317C">
            <w:pPr>
              <w:rPr>
                <w:bCs/>
              </w:rPr>
            </w:pPr>
            <w:r w:rsidRPr="001F52E5">
              <w:rPr>
                <w:bCs/>
              </w:rPr>
              <w:t>18210906020020000110</w:t>
            </w:r>
          </w:p>
        </w:tc>
        <w:tc>
          <w:tcPr>
            <w:tcW w:w="583" w:type="pct"/>
            <w:tcBorders>
              <w:top w:val="nil"/>
              <w:left w:val="nil"/>
              <w:bottom w:val="single" w:sz="4" w:space="0" w:color="auto"/>
              <w:right w:val="single" w:sz="4" w:space="0" w:color="auto"/>
            </w:tcBorders>
            <w:shd w:val="clear" w:color="auto" w:fill="auto"/>
            <w:vAlign w:val="center"/>
            <w:hideMark/>
          </w:tcPr>
          <w:p w:rsidR="0058574E" w:rsidRPr="001F52E5" w:rsidRDefault="0058574E" w:rsidP="00E7317C">
            <w:pPr>
              <w:jc w:val="center"/>
              <w:rPr>
                <w:bCs/>
              </w:rPr>
            </w:pPr>
            <w:r w:rsidRPr="001F52E5">
              <w:rPr>
                <w:bCs/>
              </w:rPr>
              <w:t>0</w:t>
            </w:r>
          </w:p>
        </w:tc>
        <w:tc>
          <w:tcPr>
            <w:tcW w:w="583" w:type="pct"/>
            <w:tcBorders>
              <w:top w:val="nil"/>
              <w:left w:val="nil"/>
              <w:bottom w:val="single" w:sz="4" w:space="0" w:color="auto"/>
              <w:right w:val="single" w:sz="4" w:space="0" w:color="auto"/>
            </w:tcBorders>
            <w:shd w:val="clear" w:color="auto" w:fill="auto"/>
            <w:vAlign w:val="center"/>
            <w:hideMark/>
          </w:tcPr>
          <w:p w:rsidR="0058574E" w:rsidRPr="001F52E5" w:rsidRDefault="0058574E" w:rsidP="00E7317C">
            <w:pPr>
              <w:jc w:val="center"/>
              <w:rPr>
                <w:bCs/>
              </w:rPr>
            </w:pPr>
            <w:r w:rsidRPr="001F52E5">
              <w:rPr>
                <w:bCs/>
              </w:rPr>
              <w:t>0</w:t>
            </w:r>
          </w:p>
        </w:tc>
        <w:tc>
          <w:tcPr>
            <w:tcW w:w="583" w:type="pct"/>
            <w:tcBorders>
              <w:top w:val="nil"/>
              <w:left w:val="nil"/>
              <w:bottom w:val="single" w:sz="4" w:space="0" w:color="auto"/>
              <w:right w:val="single" w:sz="4" w:space="0" w:color="auto"/>
            </w:tcBorders>
            <w:shd w:val="clear" w:color="auto" w:fill="auto"/>
            <w:vAlign w:val="center"/>
            <w:hideMark/>
          </w:tcPr>
          <w:p w:rsidR="0058574E" w:rsidRPr="001F52E5" w:rsidRDefault="0058574E" w:rsidP="00E7317C">
            <w:pPr>
              <w:jc w:val="center"/>
              <w:rPr>
                <w:bCs/>
              </w:rPr>
            </w:pPr>
            <w:r w:rsidRPr="001F52E5">
              <w:rPr>
                <w:bCs/>
              </w:rPr>
              <w:t>0</w:t>
            </w:r>
          </w:p>
        </w:tc>
      </w:tr>
      <w:tr w:rsidR="0058574E" w:rsidRPr="001F52E5" w:rsidTr="00E7317C">
        <w:trPr>
          <w:trHeight w:val="465"/>
        </w:trPr>
        <w:tc>
          <w:tcPr>
            <w:tcW w:w="1850" w:type="pct"/>
            <w:tcBorders>
              <w:top w:val="single" w:sz="4" w:space="0" w:color="auto"/>
              <w:left w:val="single" w:sz="4" w:space="0" w:color="auto"/>
              <w:bottom w:val="single" w:sz="4" w:space="0" w:color="auto"/>
              <w:right w:val="single" w:sz="4" w:space="0" w:color="auto"/>
            </w:tcBorders>
            <w:shd w:val="clear" w:color="auto" w:fill="auto"/>
            <w:vAlign w:val="center"/>
          </w:tcPr>
          <w:p w:rsidR="0058574E" w:rsidRPr="001F52E5" w:rsidRDefault="0058574E" w:rsidP="00E7317C">
            <w:pPr>
              <w:pStyle w:val="af4"/>
              <w:ind w:left="0"/>
              <w:rPr>
                <w:bCs/>
              </w:rPr>
            </w:pPr>
            <w:r w:rsidRPr="001F52E5">
              <w:rPr>
                <w:bCs/>
              </w:rPr>
              <w:t>Итого</w:t>
            </w:r>
          </w:p>
        </w:tc>
        <w:tc>
          <w:tcPr>
            <w:tcW w:w="1400" w:type="pct"/>
            <w:tcBorders>
              <w:top w:val="single" w:sz="4" w:space="0" w:color="auto"/>
              <w:left w:val="nil"/>
              <w:bottom w:val="single" w:sz="4" w:space="0" w:color="auto"/>
              <w:right w:val="single" w:sz="4" w:space="0" w:color="auto"/>
            </w:tcBorders>
            <w:shd w:val="clear" w:color="auto" w:fill="auto"/>
            <w:vAlign w:val="center"/>
          </w:tcPr>
          <w:p w:rsidR="0058574E" w:rsidRPr="001F52E5" w:rsidRDefault="0058574E" w:rsidP="00E7317C">
            <w:pPr>
              <w:rPr>
                <w:bCs/>
              </w:rPr>
            </w:pPr>
          </w:p>
        </w:tc>
        <w:tc>
          <w:tcPr>
            <w:tcW w:w="583" w:type="pct"/>
            <w:tcBorders>
              <w:top w:val="single" w:sz="4" w:space="0" w:color="auto"/>
              <w:left w:val="nil"/>
              <w:bottom w:val="single" w:sz="4" w:space="0" w:color="auto"/>
              <w:right w:val="single" w:sz="4" w:space="0" w:color="auto"/>
            </w:tcBorders>
            <w:shd w:val="clear" w:color="auto" w:fill="auto"/>
            <w:vAlign w:val="center"/>
          </w:tcPr>
          <w:p w:rsidR="0058574E" w:rsidRPr="001F52E5" w:rsidRDefault="0058574E" w:rsidP="00E7317C">
            <w:pPr>
              <w:jc w:val="center"/>
              <w:rPr>
                <w:bCs/>
              </w:rPr>
            </w:pPr>
            <w:r w:rsidRPr="001F52E5">
              <w:rPr>
                <w:bCs/>
              </w:rPr>
              <w:t>32</w:t>
            </w:r>
          </w:p>
        </w:tc>
        <w:tc>
          <w:tcPr>
            <w:tcW w:w="583" w:type="pct"/>
            <w:tcBorders>
              <w:top w:val="single" w:sz="4" w:space="0" w:color="auto"/>
              <w:left w:val="nil"/>
              <w:bottom w:val="single" w:sz="4" w:space="0" w:color="auto"/>
              <w:right w:val="single" w:sz="4" w:space="0" w:color="auto"/>
            </w:tcBorders>
            <w:shd w:val="clear" w:color="auto" w:fill="auto"/>
            <w:vAlign w:val="center"/>
          </w:tcPr>
          <w:p w:rsidR="0058574E" w:rsidRPr="001F52E5" w:rsidRDefault="0058574E" w:rsidP="00E7317C">
            <w:pPr>
              <w:jc w:val="center"/>
              <w:rPr>
                <w:bCs/>
              </w:rPr>
            </w:pPr>
            <w:r w:rsidRPr="001F52E5">
              <w:rPr>
                <w:bCs/>
              </w:rPr>
              <w:t>32</w:t>
            </w:r>
          </w:p>
        </w:tc>
        <w:tc>
          <w:tcPr>
            <w:tcW w:w="583" w:type="pct"/>
            <w:tcBorders>
              <w:top w:val="single" w:sz="4" w:space="0" w:color="auto"/>
              <w:left w:val="nil"/>
              <w:bottom w:val="single" w:sz="4" w:space="0" w:color="auto"/>
              <w:right w:val="single" w:sz="4" w:space="0" w:color="auto"/>
            </w:tcBorders>
            <w:shd w:val="clear" w:color="auto" w:fill="auto"/>
            <w:vAlign w:val="center"/>
          </w:tcPr>
          <w:p w:rsidR="0058574E" w:rsidRPr="001F52E5" w:rsidRDefault="0058574E" w:rsidP="00E7317C">
            <w:pPr>
              <w:jc w:val="center"/>
              <w:rPr>
                <w:bCs/>
              </w:rPr>
            </w:pPr>
            <w:r w:rsidRPr="001F52E5">
              <w:rPr>
                <w:bCs/>
              </w:rPr>
              <w:t>32</w:t>
            </w:r>
          </w:p>
        </w:tc>
      </w:tr>
    </w:tbl>
    <w:p w:rsidR="008726DC" w:rsidRDefault="008726DC" w:rsidP="006A79A2">
      <w:pPr>
        <w:pStyle w:val="21"/>
        <w:ind w:firstLine="0"/>
        <w:jc w:val="center"/>
        <w:rPr>
          <w:color w:val="000000" w:themeColor="text1"/>
        </w:rPr>
      </w:pPr>
    </w:p>
    <w:p w:rsidR="000D2350" w:rsidRPr="000D2350" w:rsidRDefault="000D2350" w:rsidP="000D2350">
      <w:pPr>
        <w:pStyle w:val="21"/>
        <w:jc w:val="center"/>
        <w:rPr>
          <w:color w:val="000000" w:themeColor="text1"/>
        </w:rPr>
      </w:pPr>
      <w:r w:rsidRPr="000D2350">
        <w:rPr>
          <w:color w:val="000000" w:themeColor="text1"/>
        </w:rPr>
        <w:t>Доходы от использования имущества, находящегося в государственной и муниципальной собственности</w:t>
      </w:r>
    </w:p>
    <w:p w:rsidR="001710EB" w:rsidRDefault="000D2350" w:rsidP="000D2350">
      <w:pPr>
        <w:pStyle w:val="21"/>
        <w:ind w:firstLine="0"/>
        <w:jc w:val="center"/>
        <w:rPr>
          <w:color w:val="000000" w:themeColor="text1"/>
        </w:rPr>
      </w:pPr>
      <w:r w:rsidRPr="000D2350">
        <w:rPr>
          <w:color w:val="000000" w:themeColor="text1"/>
        </w:rPr>
        <w:t>(000 1 11 00000 00 0000 000)</w:t>
      </w:r>
    </w:p>
    <w:p w:rsidR="000D2350" w:rsidRDefault="000D2350" w:rsidP="000D2350">
      <w:pPr>
        <w:pStyle w:val="21"/>
        <w:ind w:firstLine="0"/>
        <w:jc w:val="center"/>
        <w:rPr>
          <w:color w:val="000000" w:themeColor="text1"/>
        </w:rPr>
      </w:pPr>
    </w:p>
    <w:p w:rsidR="005D6ACF" w:rsidRDefault="005D6ACF" w:rsidP="005D6ACF">
      <w:pPr>
        <w:ind w:firstLine="900"/>
        <w:jc w:val="center"/>
        <w:rPr>
          <w:b/>
          <w:snapToGrid w:val="0"/>
          <w:sz w:val="28"/>
          <w:szCs w:val="28"/>
        </w:rPr>
      </w:pPr>
    </w:p>
    <w:tbl>
      <w:tblPr>
        <w:tblW w:w="10485" w:type="dxa"/>
        <w:tblLook w:val="04A0" w:firstRow="1" w:lastRow="0" w:firstColumn="1" w:lastColumn="0" w:noHBand="0" w:noVBand="1"/>
      </w:tblPr>
      <w:tblGrid>
        <w:gridCol w:w="3114"/>
        <w:gridCol w:w="3544"/>
        <w:gridCol w:w="1275"/>
        <w:gridCol w:w="1276"/>
        <w:gridCol w:w="1276"/>
      </w:tblGrid>
      <w:tr w:rsidR="005D6ACF" w:rsidTr="008A253E">
        <w:trPr>
          <w:trHeight w:val="330"/>
        </w:trPr>
        <w:tc>
          <w:tcPr>
            <w:tcW w:w="311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D6ACF" w:rsidRDefault="005D6ACF" w:rsidP="008A253E">
            <w:pPr>
              <w:jc w:val="center"/>
              <w:rPr>
                <w:color w:val="000000"/>
              </w:rPr>
            </w:pPr>
            <w:r>
              <w:rPr>
                <w:color w:val="000000"/>
              </w:rPr>
              <w:t>Код бюджетной классификации Российской Федерации</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D6ACF" w:rsidRDefault="005D6ACF" w:rsidP="008A253E">
            <w:pPr>
              <w:jc w:val="center"/>
              <w:rPr>
                <w:color w:val="000000"/>
              </w:rPr>
            </w:pPr>
            <w:r>
              <w:rPr>
                <w:color w:val="000000"/>
              </w:rPr>
              <w:t>Наименование</w:t>
            </w:r>
            <w:r>
              <w:rPr>
                <w:color w:val="000000"/>
              </w:rPr>
              <w:br/>
              <w:t>дохода</w:t>
            </w:r>
          </w:p>
        </w:tc>
        <w:tc>
          <w:tcPr>
            <w:tcW w:w="3827" w:type="dxa"/>
            <w:gridSpan w:val="3"/>
            <w:tcBorders>
              <w:top w:val="single" w:sz="4" w:space="0" w:color="000000"/>
              <w:left w:val="nil"/>
              <w:bottom w:val="single" w:sz="4" w:space="0" w:color="000000"/>
              <w:right w:val="single" w:sz="4" w:space="0" w:color="000000"/>
            </w:tcBorders>
            <w:shd w:val="clear" w:color="auto" w:fill="auto"/>
            <w:vAlign w:val="center"/>
            <w:hideMark/>
          </w:tcPr>
          <w:p w:rsidR="005D6ACF" w:rsidRDefault="005D6ACF" w:rsidP="008A253E">
            <w:pPr>
              <w:jc w:val="center"/>
              <w:rPr>
                <w:color w:val="000000"/>
              </w:rPr>
            </w:pPr>
            <w:r>
              <w:rPr>
                <w:color w:val="000000"/>
              </w:rPr>
              <w:t>Сумма (тыс. рублей)</w:t>
            </w:r>
          </w:p>
        </w:tc>
      </w:tr>
      <w:tr w:rsidR="005D6ACF" w:rsidTr="008A253E">
        <w:trPr>
          <w:trHeight w:val="394"/>
        </w:trPr>
        <w:tc>
          <w:tcPr>
            <w:tcW w:w="3114" w:type="dxa"/>
            <w:vMerge/>
            <w:tcBorders>
              <w:top w:val="single" w:sz="4" w:space="0" w:color="000000"/>
              <w:left w:val="single" w:sz="4" w:space="0" w:color="000000"/>
              <w:bottom w:val="single" w:sz="4" w:space="0" w:color="000000"/>
              <w:right w:val="single" w:sz="4" w:space="0" w:color="000000"/>
            </w:tcBorders>
            <w:vAlign w:val="center"/>
            <w:hideMark/>
          </w:tcPr>
          <w:p w:rsidR="005D6ACF" w:rsidRDefault="005D6ACF" w:rsidP="008A253E">
            <w:pPr>
              <w:rPr>
                <w:color w:val="000000"/>
              </w:rPr>
            </w:pPr>
          </w:p>
        </w:tc>
        <w:tc>
          <w:tcPr>
            <w:tcW w:w="3544" w:type="dxa"/>
            <w:vMerge/>
            <w:tcBorders>
              <w:top w:val="single" w:sz="4" w:space="0" w:color="000000"/>
              <w:left w:val="single" w:sz="4" w:space="0" w:color="000000"/>
              <w:bottom w:val="single" w:sz="4" w:space="0" w:color="000000"/>
              <w:right w:val="single" w:sz="4" w:space="0" w:color="000000"/>
            </w:tcBorders>
            <w:vAlign w:val="center"/>
            <w:hideMark/>
          </w:tcPr>
          <w:p w:rsidR="005D6ACF" w:rsidRDefault="005D6ACF" w:rsidP="008A253E">
            <w:pPr>
              <w:rPr>
                <w:color w:val="000000"/>
              </w:rPr>
            </w:pPr>
          </w:p>
        </w:tc>
        <w:tc>
          <w:tcPr>
            <w:tcW w:w="1275" w:type="dxa"/>
            <w:tcBorders>
              <w:top w:val="nil"/>
              <w:left w:val="nil"/>
              <w:bottom w:val="single" w:sz="4" w:space="0" w:color="000000"/>
              <w:right w:val="single" w:sz="4" w:space="0" w:color="000000"/>
            </w:tcBorders>
            <w:shd w:val="clear" w:color="auto" w:fill="auto"/>
            <w:vAlign w:val="center"/>
            <w:hideMark/>
          </w:tcPr>
          <w:p w:rsidR="005D6ACF" w:rsidRDefault="005D6ACF" w:rsidP="008A253E">
            <w:pPr>
              <w:jc w:val="center"/>
              <w:rPr>
                <w:color w:val="000000"/>
              </w:rPr>
            </w:pPr>
            <w:r>
              <w:rPr>
                <w:color w:val="000000"/>
              </w:rPr>
              <w:t>2022 год</w:t>
            </w:r>
          </w:p>
        </w:tc>
        <w:tc>
          <w:tcPr>
            <w:tcW w:w="1276" w:type="dxa"/>
            <w:tcBorders>
              <w:top w:val="nil"/>
              <w:left w:val="nil"/>
              <w:bottom w:val="single" w:sz="4" w:space="0" w:color="000000"/>
              <w:right w:val="single" w:sz="4" w:space="0" w:color="000000"/>
            </w:tcBorders>
            <w:shd w:val="clear" w:color="auto" w:fill="auto"/>
            <w:vAlign w:val="center"/>
            <w:hideMark/>
          </w:tcPr>
          <w:p w:rsidR="005D6ACF" w:rsidRDefault="005D6ACF" w:rsidP="008A253E">
            <w:pPr>
              <w:jc w:val="center"/>
              <w:rPr>
                <w:color w:val="000000"/>
              </w:rPr>
            </w:pPr>
            <w:r>
              <w:rPr>
                <w:color w:val="000000"/>
              </w:rPr>
              <w:t>2023 год</w:t>
            </w:r>
          </w:p>
        </w:tc>
        <w:tc>
          <w:tcPr>
            <w:tcW w:w="1276" w:type="dxa"/>
            <w:tcBorders>
              <w:top w:val="nil"/>
              <w:left w:val="nil"/>
              <w:bottom w:val="single" w:sz="4" w:space="0" w:color="000000"/>
              <w:right w:val="single" w:sz="4" w:space="0" w:color="000000"/>
            </w:tcBorders>
            <w:shd w:val="clear" w:color="auto" w:fill="auto"/>
            <w:vAlign w:val="center"/>
            <w:hideMark/>
          </w:tcPr>
          <w:p w:rsidR="005D6ACF" w:rsidRDefault="005D6ACF" w:rsidP="008A253E">
            <w:pPr>
              <w:jc w:val="center"/>
              <w:rPr>
                <w:color w:val="000000"/>
              </w:rPr>
            </w:pPr>
            <w:r>
              <w:rPr>
                <w:color w:val="000000"/>
              </w:rPr>
              <w:t>2024 год</w:t>
            </w:r>
          </w:p>
        </w:tc>
      </w:tr>
      <w:tr w:rsidR="005D6ACF" w:rsidTr="008A253E">
        <w:trPr>
          <w:trHeight w:val="289"/>
        </w:trPr>
        <w:tc>
          <w:tcPr>
            <w:tcW w:w="3114" w:type="dxa"/>
            <w:tcBorders>
              <w:top w:val="nil"/>
              <w:left w:val="single" w:sz="4" w:space="0" w:color="000000"/>
              <w:bottom w:val="single" w:sz="4" w:space="0" w:color="000000"/>
              <w:right w:val="single" w:sz="4" w:space="0" w:color="000000"/>
            </w:tcBorders>
            <w:shd w:val="clear" w:color="auto" w:fill="auto"/>
            <w:vAlign w:val="center"/>
            <w:hideMark/>
          </w:tcPr>
          <w:p w:rsidR="005D6ACF" w:rsidRDefault="005D6ACF" w:rsidP="008A253E">
            <w:pPr>
              <w:jc w:val="center"/>
              <w:rPr>
                <w:color w:val="000000"/>
              </w:rPr>
            </w:pPr>
            <w:r>
              <w:rPr>
                <w:color w:val="000000"/>
              </w:rPr>
              <w:t>1</w:t>
            </w:r>
          </w:p>
        </w:tc>
        <w:tc>
          <w:tcPr>
            <w:tcW w:w="3544" w:type="dxa"/>
            <w:tcBorders>
              <w:top w:val="nil"/>
              <w:left w:val="nil"/>
              <w:bottom w:val="single" w:sz="4" w:space="0" w:color="000000"/>
              <w:right w:val="single" w:sz="4" w:space="0" w:color="000000"/>
            </w:tcBorders>
            <w:shd w:val="clear" w:color="auto" w:fill="auto"/>
            <w:vAlign w:val="center"/>
            <w:hideMark/>
          </w:tcPr>
          <w:p w:rsidR="005D6ACF" w:rsidRDefault="005D6ACF" w:rsidP="008A253E">
            <w:pPr>
              <w:jc w:val="center"/>
              <w:rPr>
                <w:color w:val="000000"/>
              </w:rPr>
            </w:pPr>
            <w:r>
              <w:rPr>
                <w:color w:val="000000"/>
              </w:rPr>
              <w:t>2</w:t>
            </w:r>
          </w:p>
        </w:tc>
        <w:tc>
          <w:tcPr>
            <w:tcW w:w="1275" w:type="dxa"/>
            <w:tcBorders>
              <w:top w:val="nil"/>
              <w:left w:val="nil"/>
              <w:bottom w:val="single" w:sz="4" w:space="0" w:color="000000"/>
              <w:right w:val="single" w:sz="4" w:space="0" w:color="000000"/>
            </w:tcBorders>
            <w:shd w:val="clear" w:color="auto" w:fill="auto"/>
            <w:vAlign w:val="center"/>
            <w:hideMark/>
          </w:tcPr>
          <w:p w:rsidR="005D6ACF" w:rsidRDefault="005D6ACF" w:rsidP="008A253E">
            <w:pPr>
              <w:jc w:val="center"/>
              <w:rPr>
                <w:color w:val="000000"/>
              </w:rPr>
            </w:pPr>
            <w:r>
              <w:rPr>
                <w:color w:val="000000"/>
              </w:rPr>
              <w:t>3</w:t>
            </w:r>
          </w:p>
        </w:tc>
        <w:tc>
          <w:tcPr>
            <w:tcW w:w="1276" w:type="dxa"/>
            <w:tcBorders>
              <w:top w:val="nil"/>
              <w:left w:val="nil"/>
              <w:bottom w:val="single" w:sz="4" w:space="0" w:color="000000"/>
              <w:right w:val="single" w:sz="4" w:space="0" w:color="000000"/>
            </w:tcBorders>
            <w:shd w:val="clear" w:color="auto" w:fill="auto"/>
            <w:vAlign w:val="center"/>
            <w:hideMark/>
          </w:tcPr>
          <w:p w:rsidR="005D6ACF" w:rsidRDefault="005D6ACF" w:rsidP="008A253E">
            <w:pPr>
              <w:jc w:val="center"/>
              <w:rPr>
                <w:color w:val="000000"/>
              </w:rPr>
            </w:pPr>
            <w:r>
              <w:rPr>
                <w:color w:val="000000"/>
              </w:rPr>
              <w:t>4</w:t>
            </w:r>
          </w:p>
        </w:tc>
        <w:tc>
          <w:tcPr>
            <w:tcW w:w="1276" w:type="dxa"/>
            <w:tcBorders>
              <w:top w:val="nil"/>
              <w:left w:val="nil"/>
              <w:bottom w:val="single" w:sz="4" w:space="0" w:color="000000"/>
              <w:right w:val="single" w:sz="4" w:space="0" w:color="000000"/>
            </w:tcBorders>
            <w:shd w:val="clear" w:color="auto" w:fill="auto"/>
            <w:vAlign w:val="center"/>
            <w:hideMark/>
          </w:tcPr>
          <w:p w:rsidR="005D6ACF" w:rsidRDefault="005D6ACF" w:rsidP="008A253E">
            <w:pPr>
              <w:jc w:val="center"/>
              <w:rPr>
                <w:color w:val="000000"/>
              </w:rPr>
            </w:pPr>
            <w:r>
              <w:rPr>
                <w:color w:val="000000"/>
              </w:rPr>
              <w:t>5</w:t>
            </w:r>
          </w:p>
        </w:tc>
      </w:tr>
      <w:tr w:rsidR="005D6ACF" w:rsidTr="008A253E">
        <w:trPr>
          <w:trHeight w:val="979"/>
        </w:trPr>
        <w:tc>
          <w:tcPr>
            <w:tcW w:w="3114" w:type="dxa"/>
            <w:tcBorders>
              <w:top w:val="nil"/>
              <w:left w:val="single" w:sz="4" w:space="0" w:color="000000"/>
              <w:bottom w:val="single" w:sz="4" w:space="0" w:color="000000"/>
              <w:right w:val="single" w:sz="4" w:space="0" w:color="000000"/>
            </w:tcBorders>
            <w:shd w:val="clear" w:color="auto" w:fill="auto"/>
            <w:vAlign w:val="center"/>
            <w:hideMark/>
          </w:tcPr>
          <w:p w:rsidR="005D6ACF" w:rsidRDefault="005D6ACF" w:rsidP="008A253E">
            <w:pPr>
              <w:jc w:val="center"/>
              <w:rPr>
                <w:b/>
                <w:bCs/>
                <w:color w:val="000000"/>
              </w:rPr>
            </w:pPr>
            <w:r>
              <w:rPr>
                <w:b/>
                <w:bCs/>
                <w:color w:val="000000"/>
              </w:rPr>
              <w:t>000 1 11 00000 00 0000 000</w:t>
            </w:r>
          </w:p>
        </w:tc>
        <w:tc>
          <w:tcPr>
            <w:tcW w:w="3544" w:type="dxa"/>
            <w:tcBorders>
              <w:top w:val="nil"/>
              <w:left w:val="nil"/>
              <w:bottom w:val="single" w:sz="4" w:space="0" w:color="000000"/>
              <w:right w:val="single" w:sz="4" w:space="0" w:color="000000"/>
            </w:tcBorders>
            <w:shd w:val="clear" w:color="auto" w:fill="auto"/>
            <w:hideMark/>
          </w:tcPr>
          <w:p w:rsidR="005D6ACF" w:rsidRDefault="005D6ACF" w:rsidP="008A253E">
            <w:pPr>
              <w:rPr>
                <w:b/>
                <w:bCs/>
                <w:color w:val="000000"/>
              </w:rPr>
            </w:pPr>
            <w:r>
              <w:rPr>
                <w:b/>
                <w:bCs/>
                <w:color w:val="000000"/>
              </w:rPr>
              <w:t>ДОХОДЫ ОТ ИСПОЛЬЗОВАНИЯ ИМУЩЕСТВА, НАХОДЯЩЕГОСЯ В ГОСУДАРСТВЕННОЙ И МУНИЦИПАЛЬНОЙ СОБСТВЕННОСТИ</w:t>
            </w:r>
          </w:p>
        </w:tc>
        <w:tc>
          <w:tcPr>
            <w:tcW w:w="1275" w:type="dxa"/>
            <w:tcBorders>
              <w:top w:val="nil"/>
              <w:left w:val="nil"/>
              <w:bottom w:val="single" w:sz="4" w:space="0" w:color="000000"/>
              <w:right w:val="single" w:sz="4" w:space="0" w:color="000000"/>
            </w:tcBorders>
            <w:shd w:val="clear" w:color="auto" w:fill="auto"/>
            <w:vAlign w:val="center"/>
            <w:hideMark/>
          </w:tcPr>
          <w:p w:rsidR="005D6ACF" w:rsidRDefault="005D6ACF" w:rsidP="008A253E">
            <w:pPr>
              <w:jc w:val="right"/>
              <w:rPr>
                <w:b/>
                <w:bCs/>
                <w:color w:val="000000"/>
              </w:rPr>
            </w:pPr>
            <w:r>
              <w:rPr>
                <w:b/>
                <w:bCs/>
                <w:color w:val="000000"/>
              </w:rPr>
              <w:t>298 463,8</w:t>
            </w:r>
          </w:p>
        </w:tc>
        <w:tc>
          <w:tcPr>
            <w:tcW w:w="1276" w:type="dxa"/>
            <w:tcBorders>
              <w:top w:val="nil"/>
              <w:left w:val="nil"/>
              <w:bottom w:val="single" w:sz="4" w:space="0" w:color="000000"/>
              <w:right w:val="single" w:sz="4" w:space="0" w:color="000000"/>
            </w:tcBorders>
            <w:shd w:val="clear" w:color="auto" w:fill="auto"/>
            <w:vAlign w:val="center"/>
            <w:hideMark/>
          </w:tcPr>
          <w:p w:rsidR="005D6ACF" w:rsidRDefault="005D6ACF" w:rsidP="008A253E">
            <w:pPr>
              <w:jc w:val="right"/>
              <w:rPr>
                <w:b/>
                <w:bCs/>
                <w:color w:val="000000"/>
              </w:rPr>
            </w:pPr>
            <w:r>
              <w:rPr>
                <w:b/>
                <w:bCs/>
                <w:color w:val="000000"/>
              </w:rPr>
              <w:t>299 189,4</w:t>
            </w:r>
          </w:p>
        </w:tc>
        <w:tc>
          <w:tcPr>
            <w:tcW w:w="1276" w:type="dxa"/>
            <w:tcBorders>
              <w:top w:val="nil"/>
              <w:left w:val="nil"/>
              <w:bottom w:val="single" w:sz="4" w:space="0" w:color="000000"/>
              <w:right w:val="single" w:sz="4" w:space="0" w:color="000000"/>
            </w:tcBorders>
            <w:shd w:val="clear" w:color="auto" w:fill="auto"/>
            <w:vAlign w:val="center"/>
            <w:hideMark/>
          </w:tcPr>
          <w:p w:rsidR="005D6ACF" w:rsidRDefault="005D6ACF" w:rsidP="008A253E">
            <w:pPr>
              <w:jc w:val="right"/>
              <w:rPr>
                <w:b/>
                <w:bCs/>
                <w:color w:val="000000"/>
              </w:rPr>
            </w:pPr>
            <w:r>
              <w:rPr>
                <w:b/>
                <w:bCs/>
                <w:color w:val="000000"/>
              </w:rPr>
              <w:t>300 910,5</w:t>
            </w:r>
          </w:p>
        </w:tc>
      </w:tr>
      <w:tr w:rsidR="005D6ACF" w:rsidTr="008A253E">
        <w:trPr>
          <w:trHeight w:val="1290"/>
        </w:trPr>
        <w:tc>
          <w:tcPr>
            <w:tcW w:w="3114" w:type="dxa"/>
            <w:tcBorders>
              <w:top w:val="nil"/>
              <w:left w:val="single" w:sz="4" w:space="0" w:color="000000"/>
              <w:bottom w:val="single" w:sz="4" w:space="0" w:color="000000"/>
              <w:right w:val="single" w:sz="4" w:space="0" w:color="000000"/>
            </w:tcBorders>
            <w:shd w:val="clear" w:color="auto" w:fill="auto"/>
            <w:vAlign w:val="center"/>
            <w:hideMark/>
          </w:tcPr>
          <w:p w:rsidR="005D6ACF" w:rsidRDefault="005D6ACF" w:rsidP="008A253E">
            <w:pPr>
              <w:jc w:val="center"/>
              <w:rPr>
                <w:color w:val="000000"/>
              </w:rPr>
            </w:pPr>
            <w:r>
              <w:rPr>
                <w:color w:val="000000"/>
              </w:rPr>
              <w:t>000 1 11 01020 02 0000 120</w:t>
            </w:r>
          </w:p>
        </w:tc>
        <w:tc>
          <w:tcPr>
            <w:tcW w:w="3544" w:type="dxa"/>
            <w:tcBorders>
              <w:top w:val="nil"/>
              <w:left w:val="nil"/>
              <w:bottom w:val="single" w:sz="4" w:space="0" w:color="000000"/>
              <w:right w:val="single" w:sz="4" w:space="0" w:color="000000"/>
            </w:tcBorders>
            <w:shd w:val="clear" w:color="auto" w:fill="auto"/>
            <w:hideMark/>
          </w:tcPr>
          <w:p w:rsidR="005D6ACF" w:rsidRDefault="005D6ACF" w:rsidP="008A253E">
            <w:pPr>
              <w:rPr>
                <w:color w:val="000000"/>
              </w:rPr>
            </w:pPr>
            <w:r>
              <w:rPr>
                <w:color w:val="000000"/>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субъектам Российской Федерации</w:t>
            </w:r>
          </w:p>
        </w:tc>
        <w:tc>
          <w:tcPr>
            <w:tcW w:w="1275" w:type="dxa"/>
            <w:tcBorders>
              <w:top w:val="nil"/>
              <w:left w:val="nil"/>
              <w:bottom w:val="single" w:sz="4" w:space="0" w:color="000000"/>
              <w:right w:val="single" w:sz="4" w:space="0" w:color="000000"/>
            </w:tcBorders>
            <w:shd w:val="clear" w:color="auto" w:fill="auto"/>
            <w:vAlign w:val="center"/>
            <w:hideMark/>
          </w:tcPr>
          <w:p w:rsidR="005D6ACF" w:rsidRDefault="005D6ACF" w:rsidP="008A253E">
            <w:pPr>
              <w:jc w:val="right"/>
              <w:rPr>
                <w:color w:val="000000"/>
              </w:rPr>
            </w:pPr>
            <w:r>
              <w:rPr>
                <w:color w:val="000000"/>
              </w:rPr>
              <w:t>3 369,0</w:t>
            </w:r>
          </w:p>
        </w:tc>
        <w:tc>
          <w:tcPr>
            <w:tcW w:w="1276" w:type="dxa"/>
            <w:tcBorders>
              <w:top w:val="nil"/>
              <w:left w:val="nil"/>
              <w:bottom w:val="single" w:sz="4" w:space="0" w:color="000000"/>
              <w:right w:val="single" w:sz="4" w:space="0" w:color="000000"/>
            </w:tcBorders>
            <w:shd w:val="clear" w:color="auto" w:fill="auto"/>
            <w:vAlign w:val="center"/>
            <w:hideMark/>
          </w:tcPr>
          <w:p w:rsidR="005D6ACF" w:rsidRDefault="005D6ACF" w:rsidP="008A253E">
            <w:pPr>
              <w:jc w:val="right"/>
              <w:rPr>
                <w:color w:val="000000"/>
              </w:rPr>
            </w:pPr>
            <w:r>
              <w:rPr>
                <w:color w:val="000000"/>
              </w:rPr>
              <w:t>4 195,0</w:t>
            </w:r>
          </w:p>
        </w:tc>
        <w:tc>
          <w:tcPr>
            <w:tcW w:w="1276" w:type="dxa"/>
            <w:tcBorders>
              <w:top w:val="nil"/>
              <w:left w:val="nil"/>
              <w:bottom w:val="single" w:sz="4" w:space="0" w:color="000000"/>
              <w:right w:val="single" w:sz="4" w:space="0" w:color="000000"/>
            </w:tcBorders>
            <w:shd w:val="clear" w:color="auto" w:fill="auto"/>
            <w:vAlign w:val="center"/>
            <w:hideMark/>
          </w:tcPr>
          <w:p w:rsidR="005D6ACF" w:rsidRDefault="005D6ACF" w:rsidP="008A253E">
            <w:pPr>
              <w:jc w:val="right"/>
              <w:rPr>
                <w:color w:val="000000"/>
              </w:rPr>
            </w:pPr>
            <w:r>
              <w:rPr>
                <w:color w:val="000000"/>
              </w:rPr>
              <w:t>4 277,0</w:t>
            </w:r>
          </w:p>
        </w:tc>
      </w:tr>
      <w:tr w:rsidR="005D6ACF" w:rsidTr="008A253E">
        <w:trPr>
          <w:trHeight w:val="300"/>
        </w:trPr>
        <w:tc>
          <w:tcPr>
            <w:tcW w:w="3114" w:type="dxa"/>
            <w:tcBorders>
              <w:top w:val="nil"/>
              <w:left w:val="single" w:sz="4" w:space="0" w:color="000000"/>
              <w:bottom w:val="single" w:sz="4" w:space="0" w:color="000000"/>
              <w:right w:val="single" w:sz="4" w:space="0" w:color="000000"/>
            </w:tcBorders>
            <w:shd w:val="clear" w:color="auto" w:fill="auto"/>
            <w:vAlign w:val="center"/>
            <w:hideMark/>
          </w:tcPr>
          <w:p w:rsidR="005D6ACF" w:rsidRDefault="005D6ACF" w:rsidP="008A253E">
            <w:pPr>
              <w:jc w:val="center"/>
              <w:rPr>
                <w:b/>
                <w:bCs/>
                <w:color w:val="000000"/>
              </w:rPr>
            </w:pPr>
            <w:r>
              <w:rPr>
                <w:b/>
                <w:bCs/>
                <w:color w:val="000000"/>
              </w:rPr>
              <w:t>000 1 11 02000 00 0000 120</w:t>
            </w:r>
          </w:p>
        </w:tc>
        <w:tc>
          <w:tcPr>
            <w:tcW w:w="3544" w:type="dxa"/>
            <w:tcBorders>
              <w:top w:val="nil"/>
              <w:left w:val="nil"/>
              <w:bottom w:val="single" w:sz="4" w:space="0" w:color="000000"/>
              <w:right w:val="single" w:sz="4" w:space="0" w:color="000000"/>
            </w:tcBorders>
            <w:shd w:val="clear" w:color="auto" w:fill="auto"/>
            <w:hideMark/>
          </w:tcPr>
          <w:p w:rsidR="005D6ACF" w:rsidRDefault="005D6ACF" w:rsidP="008A253E">
            <w:pPr>
              <w:rPr>
                <w:b/>
                <w:bCs/>
                <w:color w:val="000000"/>
              </w:rPr>
            </w:pPr>
            <w:r>
              <w:rPr>
                <w:b/>
                <w:bCs/>
                <w:color w:val="000000"/>
              </w:rPr>
              <w:t>Доходы от размещения средств бюджетов</w:t>
            </w:r>
          </w:p>
        </w:tc>
        <w:tc>
          <w:tcPr>
            <w:tcW w:w="1275" w:type="dxa"/>
            <w:tcBorders>
              <w:top w:val="nil"/>
              <w:left w:val="nil"/>
              <w:bottom w:val="single" w:sz="4" w:space="0" w:color="000000"/>
              <w:right w:val="single" w:sz="4" w:space="0" w:color="000000"/>
            </w:tcBorders>
            <w:shd w:val="clear" w:color="auto" w:fill="auto"/>
            <w:vAlign w:val="center"/>
            <w:hideMark/>
          </w:tcPr>
          <w:p w:rsidR="005D6ACF" w:rsidRDefault="005D6ACF" w:rsidP="008A253E">
            <w:pPr>
              <w:jc w:val="right"/>
              <w:rPr>
                <w:b/>
                <w:bCs/>
                <w:color w:val="000000"/>
              </w:rPr>
            </w:pPr>
            <w:r>
              <w:rPr>
                <w:b/>
                <w:bCs/>
                <w:color w:val="000000"/>
              </w:rPr>
              <w:t>223 301,6</w:t>
            </w:r>
          </w:p>
        </w:tc>
        <w:tc>
          <w:tcPr>
            <w:tcW w:w="1276" w:type="dxa"/>
            <w:tcBorders>
              <w:top w:val="nil"/>
              <w:left w:val="nil"/>
              <w:bottom w:val="single" w:sz="4" w:space="0" w:color="000000"/>
              <w:right w:val="single" w:sz="4" w:space="0" w:color="000000"/>
            </w:tcBorders>
            <w:shd w:val="clear" w:color="auto" w:fill="auto"/>
            <w:vAlign w:val="center"/>
            <w:hideMark/>
          </w:tcPr>
          <w:p w:rsidR="005D6ACF" w:rsidRDefault="005D6ACF" w:rsidP="008A253E">
            <w:pPr>
              <w:jc w:val="right"/>
              <w:rPr>
                <w:b/>
                <w:bCs/>
                <w:color w:val="000000"/>
              </w:rPr>
            </w:pPr>
            <w:r>
              <w:rPr>
                <w:b/>
                <w:bCs/>
                <w:color w:val="000000"/>
              </w:rPr>
              <w:t>223 301,6</w:t>
            </w:r>
          </w:p>
        </w:tc>
        <w:tc>
          <w:tcPr>
            <w:tcW w:w="1276" w:type="dxa"/>
            <w:tcBorders>
              <w:top w:val="nil"/>
              <w:left w:val="nil"/>
              <w:bottom w:val="single" w:sz="4" w:space="0" w:color="000000"/>
              <w:right w:val="single" w:sz="4" w:space="0" w:color="000000"/>
            </w:tcBorders>
            <w:shd w:val="clear" w:color="auto" w:fill="auto"/>
            <w:vAlign w:val="center"/>
            <w:hideMark/>
          </w:tcPr>
          <w:p w:rsidR="005D6ACF" w:rsidRDefault="005D6ACF" w:rsidP="008A253E">
            <w:pPr>
              <w:jc w:val="right"/>
              <w:rPr>
                <w:b/>
                <w:bCs/>
                <w:color w:val="000000"/>
              </w:rPr>
            </w:pPr>
            <w:r>
              <w:rPr>
                <w:b/>
                <w:bCs/>
                <w:color w:val="000000"/>
              </w:rPr>
              <w:t>223 301,6</w:t>
            </w:r>
          </w:p>
        </w:tc>
      </w:tr>
      <w:tr w:rsidR="005D6ACF" w:rsidTr="008A253E">
        <w:trPr>
          <w:trHeight w:val="979"/>
        </w:trPr>
        <w:tc>
          <w:tcPr>
            <w:tcW w:w="3114" w:type="dxa"/>
            <w:tcBorders>
              <w:top w:val="nil"/>
              <w:left w:val="single" w:sz="4" w:space="0" w:color="000000"/>
              <w:bottom w:val="single" w:sz="4" w:space="0" w:color="000000"/>
              <w:right w:val="single" w:sz="4" w:space="0" w:color="000000"/>
            </w:tcBorders>
            <w:shd w:val="clear" w:color="auto" w:fill="auto"/>
            <w:vAlign w:val="center"/>
            <w:hideMark/>
          </w:tcPr>
          <w:p w:rsidR="005D6ACF" w:rsidRDefault="005D6ACF" w:rsidP="008A253E">
            <w:pPr>
              <w:jc w:val="center"/>
              <w:rPr>
                <w:color w:val="000000"/>
              </w:rPr>
            </w:pPr>
            <w:r>
              <w:rPr>
                <w:color w:val="000000"/>
              </w:rPr>
              <w:t>000 1 11 02102 02 0000 120</w:t>
            </w:r>
          </w:p>
        </w:tc>
        <w:tc>
          <w:tcPr>
            <w:tcW w:w="3544" w:type="dxa"/>
            <w:tcBorders>
              <w:top w:val="nil"/>
              <w:left w:val="nil"/>
              <w:bottom w:val="single" w:sz="4" w:space="0" w:color="000000"/>
              <w:right w:val="single" w:sz="4" w:space="0" w:color="000000"/>
            </w:tcBorders>
            <w:shd w:val="clear" w:color="auto" w:fill="auto"/>
            <w:hideMark/>
          </w:tcPr>
          <w:p w:rsidR="005D6ACF" w:rsidRDefault="005D6ACF" w:rsidP="008A253E">
            <w:pPr>
              <w:rPr>
                <w:color w:val="000000"/>
              </w:rPr>
            </w:pPr>
            <w:r>
              <w:rPr>
                <w:color w:val="000000"/>
              </w:rPr>
              <w:t>Доходы от операций по управлению остатками средств на едином казначейском счете, зачисляемые в бюджеты субъектов Российской Федерации</w:t>
            </w:r>
          </w:p>
        </w:tc>
        <w:tc>
          <w:tcPr>
            <w:tcW w:w="1275" w:type="dxa"/>
            <w:tcBorders>
              <w:top w:val="nil"/>
              <w:left w:val="nil"/>
              <w:bottom w:val="single" w:sz="4" w:space="0" w:color="000000"/>
              <w:right w:val="single" w:sz="4" w:space="0" w:color="000000"/>
            </w:tcBorders>
            <w:shd w:val="clear" w:color="auto" w:fill="auto"/>
            <w:vAlign w:val="center"/>
            <w:hideMark/>
          </w:tcPr>
          <w:p w:rsidR="005D6ACF" w:rsidRDefault="005D6ACF" w:rsidP="008A253E">
            <w:pPr>
              <w:jc w:val="right"/>
              <w:rPr>
                <w:color w:val="000000"/>
              </w:rPr>
            </w:pPr>
            <w:r>
              <w:rPr>
                <w:color w:val="000000"/>
              </w:rPr>
              <w:t>223 301,6</w:t>
            </w:r>
          </w:p>
        </w:tc>
        <w:tc>
          <w:tcPr>
            <w:tcW w:w="1276" w:type="dxa"/>
            <w:tcBorders>
              <w:top w:val="nil"/>
              <w:left w:val="nil"/>
              <w:bottom w:val="single" w:sz="4" w:space="0" w:color="000000"/>
              <w:right w:val="single" w:sz="4" w:space="0" w:color="000000"/>
            </w:tcBorders>
            <w:shd w:val="clear" w:color="auto" w:fill="auto"/>
            <w:vAlign w:val="center"/>
            <w:hideMark/>
          </w:tcPr>
          <w:p w:rsidR="005D6ACF" w:rsidRDefault="005D6ACF" w:rsidP="008A253E">
            <w:pPr>
              <w:jc w:val="right"/>
              <w:rPr>
                <w:color w:val="000000"/>
              </w:rPr>
            </w:pPr>
            <w:r>
              <w:rPr>
                <w:color w:val="000000"/>
              </w:rPr>
              <w:t>223 301,6</w:t>
            </w:r>
          </w:p>
        </w:tc>
        <w:tc>
          <w:tcPr>
            <w:tcW w:w="1276" w:type="dxa"/>
            <w:tcBorders>
              <w:top w:val="nil"/>
              <w:left w:val="nil"/>
              <w:bottom w:val="single" w:sz="4" w:space="0" w:color="000000"/>
              <w:right w:val="single" w:sz="4" w:space="0" w:color="000000"/>
            </w:tcBorders>
            <w:shd w:val="clear" w:color="auto" w:fill="auto"/>
            <w:vAlign w:val="center"/>
            <w:hideMark/>
          </w:tcPr>
          <w:p w:rsidR="005D6ACF" w:rsidRDefault="005D6ACF" w:rsidP="008A253E">
            <w:pPr>
              <w:jc w:val="right"/>
              <w:rPr>
                <w:color w:val="000000"/>
              </w:rPr>
            </w:pPr>
            <w:r>
              <w:rPr>
                <w:color w:val="000000"/>
              </w:rPr>
              <w:t>223 301,6</w:t>
            </w:r>
          </w:p>
        </w:tc>
      </w:tr>
      <w:tr w:rsidR="005D6ACF" w:rsidTr="008A253E">
        <w:trPr>
          <w:trHeight w:val="645"/>
        </w:trPr>
        <w:tc>
          <w:tcPr>
            <w:tcW w:w="3114" w:type="dxa"/>
            <w:tcBorders>
              <w:top w:val="nil"/>
              <w:left w:val="single" w:sz="4" w:space="0" w:color="000000"/>
              <w:bottom w:val="single" w:sz="4" w:space="0" w:color="000000"/>
              <w:right w:val="single" w:sz="4" w:space="0" w:color="000000"/>
            </w:tcBorders>
            <w:shd w:val="clear" w:color="auto" w:fill="auto"/>
            <w:vAlign w:val="center"/>
            <w:hideMark/>
          </w:tcPr>
          <w:p w:rsidR="005D6ACF" w:rsidRDefault="005D6ACF" w:rsidP="008A253E">
            <w:pPr>
              <w:jc w:val="center"/>
              <w:rPr>
                <w:b/>
                <w:bCs/>
                <w:color w:val="000000"/>
              </w:rPr>
            </w:pPr>
            <w:r>
              <w:rPr>
                <w:b/>
                <w:bCs/>
                <w:color w:val="000000"/>
              </w:rPr>
              <w:t>000 1 11 03000 00 0000 120</w:t>
            </w:r>
          </w:p>
        </w:tc>
        <w:tc>
          <w:tcPr>
            <w:tcW w:w="3544" w:type="dxa"/>
            <w:tcBorders>
              <w:top w:val="nil"/>
              <w:left w:val="nil"/>
              <w:bottom w:val="single" w:sz="4" w:space="0" w:color="000000"/>
              <w:right w:val="single" w:sz="4" w:space="0" w:color="000000"/>
            </w:tcBorders>
            <w:shd w:val="clear" w:color="auto" w:fill="auto"/>
            <w:hideMark/>
          </w:tcPr>
          <w:p w:rsidR="005D6ACF" w:rsidRDefault="005D6ACF" w:rsidP="008A253E">
            <w:pPr>
              <w:rPr>
                <w:b/>
                <w:bCs/>
                <w:color w:val="000000"/>
              </w:rPr>
            </w:pPr>
            <w:r>
              <w:rPr>
                <w:b/>
                <w:bCs/>
                <w:color w:val="000000"/>
              </w:rPr>
              <w:t>Проценты, полученные от предоставления бюджетных кредитов внутри страны</w:t>
            </w:r>
          </w:p>
        </w:tc>
        <w:tc>
          <w:tcPr>
            <w:tcW w:w="1275" w:type="dxa"/>
            <w:tcBorders>
              <w:top w:val="nil"/>
              <w:left w:val="nil"/>
              <w:bottom w:val="single" w:sz="4" w:space="0" w:color="000000"/>
              <w:right w:val="single" w:sz="4" w:space="0" w:color="000000"/>
            </w:tcBorders>
            <w:shd w:val="clear" w:color="auto" w:fill="auto"/>
            <w:vAlign w:val="center"/>
            <w:hideMark/>
          </w:tcPr>
          <w:p w:rsidR="005D6ACF" w:rsidRDefault="005D6ACF" w:rsidP="008A253E">
            <w:pPr>
              <w:jc w:val="right"/>
              <w:rPr>
                <w:b/>
                <w:bCs/>
                <w:color w:val="000000"/>
              </w:rPr>
            </w:pPr>
            <w:r>
              <w:rPr>
                <w:b/>
                <w:bCs/>
                <w:color w:val="000000"/>
              </w:rPr>
              <w:t>366,0</w:t>
            </w:r>
          </w:p>
        </w:tc>
        <w:tc>
          <w:tcPr>
            <w:tcW w:w="1276" w:type="dxa"/>
            <w:tcBorders>
              <w:top w:val="nil"/>
              <w:left w:val="nil"/>
              <w:bottom w:val="single" w:sz="4" w:space="0" w:color="000000"/>
              <w:right w:val="single" w:sz="4" w:space="0" w:color="000000"/>
            </w:tcBorders>
            <w:shd w:val="clear" w:color="auto" w:fill="auto"/>
            <w:vAlign w:val="center"/>
            <w:hideMark/>
          </w:tcPr>
          <w:p w:rsidR="005D6ACF" w:rsidRDefault="005D6ACF" w:rsidP="008A253E">
            <w:pPr>
              <w:jc w:val="right"/>
              <w:rPr>
                <w:b/>
                <w:bCs/>
                <w:color w:val="000000"/>
              </w:rPr>
            </w:pPr>
            <w:r>
              <w:rPr>
                <w:b/>
                <w:bCs/>
                <w:color w:val="000000"/>
              </w:rPr>
              <w:t>390,9</w:t>
            </w:r>
          </w:p>
        </w:tc>
        <w:tc>
          <w:tcPr>
            <w:tcW w:w="1276" w:type="dxa"/>
            <w:tcBorders>
              <w:top w:val="nil"/>
              <w:left w:val="nil"/>
              <w:bottom w:val="single" w:sz="4" w:space="0" w:color="000000"/>
              <w:right w:val="single" w:sz="4" w:space="0" w:color="000000"/>
            </w:tcBorders>
            <w:shd w:val="clear" w:color="auto" w:fill="auto"/>
            <w:vAlign w:val="center"/>
            <w:hideMark/>
          </w:tcPr>
          <w:p w:rsidR="005D6ACF" w:rsidRDefault="005D6ACF" w:rsidP="008A253E">
            <w:pPr>
              <w:jc w:val="right"/>
              <w:rPr>
                <w:b/>
                <w:bCs/>
                <w:color w:val="000000"/>
              </w:rPr>
            </w:pPr>
            <w:r>
              <w:rPr>
                <w:b/>
                <w:bCs/>
                <w:color w:val="000000"/>
              </w:rPr>
              <w:t>405,8</w:t>
            </w:r>
          </w:p>
        </w:tc>
      </w:tr>
      <w:tr w:rsidR="005D6ACF" w:rsidTr="008A253E">
        <w:trPr>
          <w:trHeight w:val="979"/>
        </w:trPr>
        <w:tc>
          <w:tcPr>
            <w:tcW w:w="3114" w:type="dxa"/>
            <w:tcBorders>
              <w:top w:val="nil"/>
              <w:left w:val="single" w:sz="4" w:space="0" w:color="000000"/>
              <w:bottom w:val="single" w:sz="4" w:space="0" w:color="000000"/>
              <w:right w:val="single" w:sz="4" w:space="0" w:color="000000"/>
            </w:tcBorders>
            <w:shd w:val="clear" w:color="auto" w:fill="auto"/>
            <w:vAlign w:val="center"/>
            <w:hideMark/>
          </w:tcPr>
          <w:p w:rsidR="005D6ACF" w:rsidRDefault="005D6ACF" w:rsidP="008A253E">
            <w:pPr>
              <w:jc w:val="center"/>
              <w:rPr>
                <w:color w:val="000000"/>
              </w:rPr>
            </w:pPr>
            <w:r>
              <w:rPr>
                <w:color w:val="000000"/>
              </w:rPr>
              <w:t>000 1 11 03020 02 0000 120</w:t>
            </w:r>
          </w:p>
        </w:tc>
        <w:tc>
          <w:tcPr>
            <w:tcW w:w="3544" w:type="dxa"/>
            <w:tcBorders>
              <w:top w:val="nil"/>
              <w:left w:val="nil"/>
              <w:bottom w:val="single" w:sz="4" w:space="0" w:color="000000"/>
              <w:right w:val="single" w:sz="4" w:space="0" w:color="000000"/>
            </w:tcBorders>
            <w:shd w:val="clear" w:color="auto" w:fill="auto"/>
            <w:hideMark/>
          </w:tcPr>
          <w:p w:rsidR="005D6ACF" w:rsidRDefault="005D6ACF" w:rsidP="008A253E">
            <w:pPr>
              <w:rPr>
                <w:color w:val="000000"/>
              </w:rPr>
            </w:pPr>
            <w:r>
              <w:rPr>
                <w:color w:val="000000"/>
              </w:rPr>
              <w:t xml:space="preserve">Проценты, полученные от предоставления бюджетных кредитов внутри страны за счет </w:t>
            </w:r>
            <w:r>
              <w:rPr>
                <w:color w:val="000000"/>
              </w:rPr>
              <w:lastRenderedPageBreak/>
              <w:t>средств бюджетов субъектов Российской Федерации</w:t>
            </w:r>
          </w:p>
        </w:tc>
        <w:tc>
          <w:tcPr>
            <w:tcW w:w="1275" w:type="dxa"/>
            <w:tcBorders>
              <w:top w:val="nil"/>
              <w:left w:val="nil"/>
              <w:bottom w:val="single" w:sz="4" w:space="0" w:color="000000"/>
              <w:right w:val="single" w:sz="4" w:space="0" w:color="000000"/>
            </w:tcBorders>
            <w:shd w:val="clear" w:color="auto" w:fill="auto"/>
            <w:vAlign w:val="center"/>
            <w:hideMark/>
          </w:tcPr>
          <w:p w:rsidR="005D6ACF" w:rsidRDefault="005D6ACF" w:rsidP="008A253E">
            <w:pPr>
              <w:jc w:val="right"/>
              <w:rPr>
                <w:color w:val="000000"/>
              </w:rPr>
            </w:pPr>
            <w:r>
              <w:rPr>
                <w:color w:val="000000"/>
              </w:rPr>
              <w:lastRenderedPageBreak/>
              <w:t>366,0</w:t>
            </w:r>
          </w:p>
        </w:tc>
        <w:tc>
          <w:tcPr>
            <w:tcW w:w="1276" w:type="dxa"/>
            <w:tcBorders>
              <w:top w:val="nil"/>
              <w:left w:val="nil"/>
              <w:bottom w:val="single" w:sz="4" w:space="0" w:color="000000"/>
              <w:right w:val="single" w:sz="4" w:space="0" w:color="000000"/>
            </w:tcBorders>
            <w:shd w:val="clear" w:color="auto" w:fill="auto"/>
            <w:vAlign w:val="center"/>
            <w:hideMark/>
          </w:tcPr>
          <w:p w:rsidR="005D6ACF" w:rsidRDefault="005D6ACF" w:rsidP="008A253E">
            <w:pPr>
              <w:jc w:val="right"/>
              <w:rPr>
                <w:color w:val="000000"/>
              </w:rPr>
            </w:pPr>
            <w:r>
              <w:rPr>
                <w:color w:val="000000"/>
              </w:rPr>
              <w:t>390,9</w:t>
            </w:r>
          </w:p>
        </w:tc>
        <w:tc>
          <w:tcPr>
            <w:tcW w:w="1276" w:type="dxa"/>
            <w:tcBorders>
              <w:top w:val="nil"/>
              <w:left w:val="nil"/>
              <w:bottom w:val="single" w:sz="4" w:space="0" w:color="000000"/>
              <w:right w:val="single" w:sz="4" w:space="0" w:color="000000"/>
            </w:tcBorders>
            <w:shd w:val="clear" w:color="auto" w:fill="auto"/>
            <w:vAlign w:val="center"/>
            <w:hideMark/>
          </w:tcPr>
          <w:p w:rsidR="005D6ACF" w:rsidRDefault="005D6ACF" w:rsidP="008A253E">
            <w:pPr>
              <w:jc w:val="right"/>
              <w:rPr>
                <w:color w:val="000000"/>
              </w:rPr>
            </w:pPr>
            <w:r>
              <w:rPr>
                <w:color w:val="000000"/>
              </w:rPr>
              <w:t>405,8</w:t>
            </w:r>
          </w:p>
        </w:tc>
      </w:tr>
      <w:tr w:rsidR="005D6ACF" w:rsidTr="008A253E">
        <w:trPr>
          <w:trHeight w:val="1932"/>
        </w:trPr>
        <w:tc>
          <w:tcPr>
            <w:tcW w:w="3114" w:type="dxa"/>
            <w:tcBorders>
              <w:top w:val="nil"/>
              <w:left w:val="single" w:sz="4" w:space="0" w:color="000000"/>
              <w:bottom w:val="single" w:sz="4" w:space="0" w:color="000000"/>
              <w:right w:val="single" w:sz="4" w:space="0" w:color="000000"/>
            </w:tcBorders>
            <w:shd w:val="clear" w:color="auto" w:fill="auto"/>
            <w:vAlign w:val="center"/>
            <w:hideMark/>
          </w:tcPr>
          <w:p w:rsidR="005D6ACF" w:rsidRDefault="005D6ACF" w:rsidP="008A253E">
            <w:pPr>
              <w:jc w:val="center"/>
              <w:rPr>
                <w:b/>
                <w:bCs/>
                <w:color w:val="000000"/>
              </w:rPr>
            </w:pPr>
            <w:r>
              <w:rPr>
                <w:b/>
                <w:bCs/>
                <w:color w:val="000000"/>
              </w:rPr>
              <w:t>000 1 11 05000 00 0000 120</w:t>
            </w:r>
          </w:p>
        </w:tc>
        <w:tc>
          <w:tcPr>
            <w:tcW w:w="3544" w:type="dxa"/>
            <w:tcBorders>
              <w:top w:val="nil"/>
              <w:left w:val="nil"/>
              <w:bottom w:val="single" w:sz="4" w:space="0" w:color="000000"/>
              <w:right w:val="single" w:sz="4" w:space="0" w:color="000000"/>
            </w:tcBorders>
            <w:shd w:val="clear" w:color="auto" w:fill="auto"/>
            <w:hideMark/>
          </w:tcPr>
          <w:p w:rsidR="005D6ACF" w:rsidRDefault="005D6ACF" w:rsidP="008A253E">
            <w:pPr>
              <w:rPr>
                <w:b/>
                <w:bCs/>
                <w:color w:val="000000"/>
              </w:rPr>
            </w:pPr>
            <w:r>
              <w:rPr>
                <w:b/>
                <w:bCs/>
                <w:color w:val="00000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5" w:type="dxa"/>
            <w:tcBorders>
              <w:top w:val="nil"/>
              <w:left w:val="nil"/>
              <w:bottom w:val="single" w:sz="4" w:space="0" w:color="000000"/>
              <w:right w:val="single" w:sz="4" w:space="0" w:color="000000"/>
            </w:tcBorders>
            <w:shd w:val="clear" w:color="auto" w:fill="auto"/>
            <w:vAlign w:val="center"/>
            <w:hideMark/>
          </w:tcPr>
          <w:p w:rsidR="005D6ACF" w:rsidRDefault="005D6ACF" w:rsidP="008A253E">
            <w:pPr>
              <w:jc w:val="right"/>
              <w:rPr>
                <w:b/>
                <w:bCs/>
                <w:color w:val="000000"/>
              </w:rPr>
            </w:pPr>
            <w:r>
              <w:rPr>
                <w:b/>
                <w:bCs/>
                <w:color w:val="000000"/>
              </w:rPr>
              <w:t>69 438,1</w:t>
            </w:r>
          </w:p>
        </w:tc>
        <w:tc>
          <w:tcPr>
            <w:tcW w:w="1276" w:type="dxa"/>
            <w:tcBorders>
              <w:top w:val="nil"/>
              <w:left w:val="nil"/>
              <w:bottom w:val="single" w:sz="4" w:space="0" w:color="000000"/>
              <w:right w:val="single" w:sz="4" w:space="0" w:color="000000"/>
            </w:tcBorders>
            <w:shd w:val="clear" w:color="auto" w:fill="auto"/>
            <w:vAlign w:val="center"/>
            <w:hideMark/>
          </w:tcPr>
          <w:p w:rsidR="005D6ACF" w:rsidRDefault="005D6ACF" w:rsidP="008A253E">
            <w:pPr>
              <w:jc w:val="right"/>
              <w:rPr>
                <w:b/>
                <w:bCs/>
                <w:color w:val="000000"/>
              </w:rPr>
            </w:pPr>
            <w:r>
              <w:rPr>
                <w:b/>
                <w:bCs/>
                <w:color w:val="000000"/>
              </w:rPr>
              <w:t>69 074,2</w:t>
            </w:r>
          </w:p>
        </w:tc>
        <w:tc>
          <w:tcPr>
            <w:tcW w:w="1276" w:type="dxa"/>
            <w:tcBorders>
              <w:top w:val="nil"/>
              <w:left w:val="nil"/>
              <w:bottom w:val="single" w:sz="4" w:space="0" w:color="000000"/>
              <w:right w:val="single" w:sz="4" w:space="0" w:color="000000"/>
            </w:tcBorders>
            <w:shd w:val="clear" w:color="auto" w:fill="auto"/>
            <w:vAlign w:val="center"/>
            <w:hideMark/>
          </w:tcPr>
          <w:p w:rsidR="005D6ACF" w:rsidRDefault="005D6ACF" w:rsidP="008A253E">
            <w:pPr>
              <w:jc w:val="right"/>
              <w:rPr>
                <w:b/>
                <w:bCs/>
                <w:color w:val="000000"/>
              </w:rPr>
            </w:pPr>
            <w:r>
              <w:rPr>
                <w:b/>
                <w:bCs/>
                <w:color w:val="000000"/>
              </w:rPr>
              <w:t>70 518,5</w:t>
            </w:r>
          </w:p>
        </w:tc>
      </w:tr>
      <w:tr w:rsidR="005D6ACF" w:rsidTr="008A253E">
        <w:trPr>
          <w:trHeight w:val="1602"/>
        </w:trPr>
        <w:tc>
          <w:tcPr>
            <w:tcW w:w="3114" w:type="dxa"/>
            <w:tcBorders>
              <w:top w:val="nil"/>
              <w:left w:val="single" w:sz="4" w:space="0" w:color="000000"/>
              <w:bottom w:val="single" w:sz="4" w:space="0" w:color="000000"/>
              <w:right w:val="single" w:sz="4" w:space="0" w:color="000000"/>
            </w:tcBorders>
            <w:shd w:val="clear" w:color="auto" w:fill="auto"/>
            <w:vAlign w:val="center"/>
            <w:hideMark/>
          </w:tcPr>
          <w:p w:rsidR="005D6ACF" w:rsidRDefault="005D6ACF" w:rsidP="008A253E">
            <w:pPr>
              <w:jc w:val="center"/>
              <w:rPr>
                <w:color w:val="000000"/>
              </w:rPr>
            </w:pPr>
            <w:r>
              <w:rPr>
                <w:color w:val="000000"/>
              </w:rPr>
              <w:t>000 1 11 05022 02 0000 120</w:t>
            </w:r>
          </w:p>
        </w:tc>
        <w:tc>
          <w:tcPr>
            <w:tcW w:w="3544" w:type="dxa"/>
            <w:tcBorders>
              <w:top w:val="nil"/>
              <w:left w:val="nil"/>
              <w:bottom w:val="single" w:sz="4" w:space="0" w:color="000000"/>
              <w:right w:val="single" w:sz="4" w:space="0" w:color="000000"/>
            </w:tcBorders>
            <w:shd w:val="clear" w:color="auto" w:fill="auto"/>
            <w:hideMark/>
          </w:tcPr>
          <w:p w:rsidR="005D6ACF" w:rsidRDefault="005D6ACF" w:rsidP="008A253E">
            <w:pPr>
              <w:rPr>
                <w:color w:val="000000"/>
              </w:rPr>
            </w:pPr>
            <w:r>
              <w:rPr>
                <w:color w:val="000000"/>
              </w:rPr>
              <w:t>Доходы, получаемые в виде арендной платы, а также средства от продажи права на заключение договоров аренды за земли, находящиеся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c>
          <w:tcPr>
            <w:tcW w:w="1275" w:type="dxa"/>
            <w:tcBorders>
              <w:top w:val="nil"/>
              <w:left w:val="nil"/>
              <w:bottom w:val="single" w:sz="4" w:space="0" w:color="000000"/>
              <w:right w:val="single" w:sz="4" w:space="0" w:color="000000"/>
            </w:tcBorders>
            <w:shd w:val="clear" w:color="auto" w:fill="auto"/>
            <w:vAlign w:val="center"/>
            <w:hideMark/>
          </w:tcPr>
          <w:p w:rsidR="005D6ACF" w:rsidRDefault="005D6ACF" w:rsidP="008A253E">
            <w:pPr>
              <w:jc w:val="right"/>
              <w:rPr>
                <w:color w:val="000000"/>
              </w:rPr>
            </w:pPr>
            <w:r>
              <w:rPr>
                <w:color w:val="000000"/>
              </w:rPr>
              <w:t>50 907,8</w:t>
            </w:r>
          </w:p>
        </w:tc>
        <w:tc>
          <w:tcPr>
            <w:tcW w:w="1276" w:type="dxa"/>
            <w:tcBorders>
              <w:top w:val="nil"/>
              <w:left w:val="nil"/>
              <w:bottom w:val="single" w:sz="4" w:space="0" w:color="000000"/>
              <w:right w:val="single" w:sz="4" w:space="0" w:color="000000"/>
            </w:tcBorders>
            <w:shd w:val="clear" w:color="auto" w:fill="auto"/>
            <w:vAlign w:val="center"/>
            <w:hideMark/>
          </w:tcPr>
          <w:p w:rsidR="005D6ACF" w:rsidRDefault="005D6ACF" w:rsidP="008A253E">
            <w:pPr>
              <w:jc w:val="right"/>
              <w:rPr>
                <w:color w:val="000000"/>
              </w:rPr>
            </w:pPr>
            <w:r>
              <w:rPr>
                <w:color w:val="000000"/>
              </w:rPr>
              <w:t>52 326,4</w:t>
            </w:r>
          </w:p>
        </w:tc>
        <w:tc>
          <w:tcPr>
            <w:tcW w:w="1276" w:type="dxa"/>
            <w:tcBorders>
              <w:top w:val="nil"/>
              <w:left w:val="nil"/>
              <w:bottom w:val="single" w:sz="4" w:space="0" w:color="000000"/>
              <w:right w:val="single" w:sz="4" w:space="0" w:color="000000"/>
            </w:tcBorders>
            <w:shd w:val="clear" w:color="auto" w:fill="auto"/>
            <w:vAlign w:val="center"/>
            <w:hideMark/>
          </w:tcPr>
          <w:p w:rsidR="005D6ACF" w:rsidRDefault="005D6ACF" w:rsidP="008A253E">
            <w:pPr>
              <w:jc w:val="right"/>
              <w:rPr>
                <w:color w:val="000000"/>
              </w:rPr>
            </w:pPr>
            <w:r>
              <w:rPr>
                <w:color w:val="000000"/>
              </w:rPr>
              <w:t>54 109,3</w:t>
            </w:r>
          </w:p>
        </w:tc>
      </w:tr>
      <w:tr w:rsidR="005D6ACF" w:rsidTr="008A253E">
        <w:trPr>
          <w:trHeight w:val="1602"/>
        </w:trPr>
        <w:tc>
          <w:tcPr>
            <w:tcW w:w="3114" w:type="dxa"/>
            <w:tcBorders>
              <w:top w:val="nil"/>
              <w:left w:val="single" w:sz="4" w:space="0" w:color="000000"/>
              <w:bottom w:val="single" w:sz="4" w:space="0" w:color="000000"/>
              <w:right w:val="single" w:sz="4" w:space="0" w:color="000000"/>
            </w:tcBorders>
            <w:shd w:val="clear" w:color="auto" w:fill="auto"/>
            <w:vAlign w:val="center"/>
            <w:hideMark/>
          </w:tcPr>
          <w:p w:rsidR="005D6ACF" w:rsidRDefault="005D6ACF" w:rsidP="008A253E">
            <w:pPr>
              <w:jc w:val="center"/>
              <w:rPr>
                <w:color w:val="000000"/>
              </w:rPr>
            </w:pPr>
            <w:r>
              <w:rPr>
                <w:color w:val="000000"/>
              </w:rPr>
              <w:t>000 1 11 05032 02 0000 120</w:t>
            </w:r>
          </w:p>
        </w:tc>
        <w:tc>
          <w:tcPr>
            <w:tcW w:w="3544" w:type="dxa"/>
            <w:tcBorders>
              <w:top w:val="nil"/>
              <w:left w:val="nil"/>
              <w:bottom w:val="single" w:sz="4" w:space="0" w:color="000000"/>
              <w:right w:val="single" w:sz="4" w:space="0" w:color="000000"/>
            </w:tcBorders>
            <w:shd w:val="clear" w:color="auto" w:fill="auto"/>
            <w:hideMark/>
          </w:tcPr>
          <w:p w:rsidR="005D6ACF" w:rsidRDefault="005D6ACF" w:rsidP="008A253E">
            <w:pPr>
              <w:rPr>
                <w:color w:val="000000"/>
              </w:rPr>
            </w:pPr>
            <w:r>
              <w:rPr>
                <w:color w:val="000000"/>
              </w:rP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w:t>
            </w:r>
          </w:p>
        </w:tc>
        <w:tc>
          <w:tcPr>
            <w:tcW w:w="1275" w:type="dxa"/>
            <w:tcBorders>
              <w:top w:val="nil"/>
              <w:left w:val="nil"/>
              <w:bottom w:val="single" w:sz="4" w:space="0" w:color="000000"/>
              <w:right w:val="single" w:sz="4" w:space="0" w:color="000000"/>
            </w:tcBorders>
            <w:shd w:val="clear" w:color="auto" w:fill="auto"/>
            <w:vAlign w:val="center"/>
            <w:hideMark/>
          </w:tcPr>
          <w:p w:rsidR="005D6ACF" w:rsidRDefault="005D6ACF" w:rsidP="008A253E">
            <w:pPr>
              <w:jc w:val="right"/>
              <w:rPr>
                <w:color w:val="000000"/>
              </w:rPr>
            </w:pPr>
            <w:r>
              <w:rPr>
                <w:color w:val="000000"/>
              </w:rPr>
              <w:t>4 035,7</w:t>
            </w:r>
          </w:p>
        </w:tc>
        <w:tc>
          <w:tcPr>
            <w:tcW w:w="1276" w:type="dxa"/>
            <w:tcBorders>
              <w:top w:val="nil"/>
              <w:left w:val="nil"/>
              <w:bottom w:val="single" w:sz="4" w:space="0" w:color="000000"/>
              <w:right w:val="single" w:sz="4" w:space="0" w:color="000000"/>
            </w:tcBorders>
            <w:shd w:val="clear" w:color="auto" w:fill="auto"/>
            <w:vAlign w:val="center"/>
            <w:hideMark/>
          </w:tcPr>
          <w:p w:rsidR="005D6ACF" w:rsidRDefault="005D6ACF" w:rsidP="008A253E">
            <w:pPr>
              <w:jc w:val="right"/>
              <w:rPr>
                <w:color w:val="000000"/>
              </w:rPr>
            </w:pPr>
            <w:r>
              <w:rPr>
                <w:color w:val="000000"/>
              </w:rPr>
              <w:t>4 197,8</w:t>
            </w:r>
          </w:p>
        </w:tc>
        <w:tc>
          <w:tcPr>
            <w:tcW w:w="1276" w:type="dxa"/>
            <w:tcBorders>
              <w:top w:val="nil"/>
              <w:left w:val="nil"/>
              <w:bottom w:val="single" w:sz="4" w:space="0" w:color="000000"/>
              <w:right w:val="single" w:sz="4" w:space="0" w:color="000000"/>
            </w:tcBorders>
            <w:shd w:val="clear" w:color="auto" w:fill="auto"/>
            <w:vAlign w:val="center"/>
            <w:hideMark/>
          </w:tcPr>
          <w:p w:rsidR="005D6ACF" w:rsidRDefault="005D6ACF" w:rsidP="008A253E">
            <w:pPr>
              <w:jc w:val="right"/>
              <w:rPr>
                <w:color w:val="000000"/>
              </w:rPr>
            </w:pPr>
            <w:r>
              <w:rPr>
                <w:color w:val="000000"/>
              </w:rPr>
              <w:t>4 365,7</w:t>
            </w:r>
          </w:p>
        </w:tc>
      </w:tr>
      <w:tr w:rsidR="005D6ACF" w:rsidTr="008A253E">
        <w:trPr>
          <w:trHeight w:val="979"/>
        </w:trPr>
        <w:tc>
          <w:tcPr>
            <w:tcW w:w="3114" w:type="dxa"/>
            <w:tcBorders>
              <w:top w:val="nil"/>
              <w:left w:val="single" w:sz="4" w:space="0" w:color="000000"/>
              <w:bottom w:val="single" w:sz="4" w:space="0" w:color="000000"/>
              <w:right w:val="single" w:sz="4" w:space="0" w:color="000000"/>
            </w:tcBorders>
            <w:shd w:val="clear" w:color="auto" w:fill="auto"/>
            <w:vAlign w:val="center"/>
            <w:hideMark/>
          </w:tcPr>
          <w:p w:rsidR="005D6ACF" w:rsidRDefault="005D6ACF" w:rsidP="008A253E">
            <w:pPr>
              <w:jc w:val="center"/>
              <w:rPr>
                <w:color w:val="000000"/>
              </w:rPr>
            </w:pPr>
            <w:r>
              <w:rPr>
                <w:color w:val="000000"/>
              </w:rPr>
              <w:t>000 1 11 05072 02 0000 120</w:t>
            </w:r>
          </w:p>
        </w:tc>
        <w:tc>
          <w:tcPr>
            <w:tcW w:w="3544" w:type="dxa"/>
            <w:tcBorders>
              <w:top w:val="nil"/>
              <w:left w:val="nil"/>
              <w:bottom w:val="single" w:sz="4" w:space="0" w:color="000000"/>
              <w:right w:val="single" w:sz="4" w:space="0" w:color="000000"/>
            </w:tcBorders>
            <w:shd w:val="clear" w:color="auto" w:fill="auto"/>
            <w:hideMark/>
          </w:tcPr>
          <w:p w:rsidR="005D6ACF" w:rsidRDefault="005D6ACF" w:rsidP="008A253E">
            <w:pPr>
              <w:rPr>
                <w:color w:val="000000"/>
              </w:rPr>
            </w:pPr>
            <w:r>
              <w:rPr>
                <w:color w:val="000000"/>
              </w:rPr>
              <w:t>Доходы от сдачи в аренду имущества, составляющего казну субъекта Российской Федерации (за исключением земельных участков)</w:t>
            </w:r>
          </w:p>
        </w:tc>
        <w:tc>
          <w:tcPr>
            <w:tcW w:w="1275" w:type="dxa"/>
            <w:tcBorders>
              <w:top w:val="nil"/>
              <w:left w:val="nil"/>
              <w:bottom w:val="single" w:sz="4" w:space="0" w:color="000000"/>
              <w:right w:val="single" w:sz="4" w:space="0" w:color="000000"/>
            </w:tcBorders>
            <w:shd w:val="clear" w:color="auto" w:fill="auto"/>
            <w:vAlign w:val="center"/>
            <w:hideMark/>
          </w:tcPr>
          <w:p w:rsidR="005D6ACF" w:rsidRDefault="005D6ACF" w:rsidP="008A253E">
            <w:pPr>
              <w:jc w:val="right"/>
              <w:rPr>
                <w:color w:val="000000"/>
              </w:rPr>
            </w:pPr>
            <w:r>
              <w:rPr>
                <w:color w:val="000000"/>
              </w:rPr>
              <w:t>14 345,0</w:t>
            </w:r>
          </w:p>
        </w:tc>
        <w:tc>
          <w:tcPr>
            <w:tcW w:w="1276" w:type="dxa"/>
            <w:tcBorders>
              <w:top w:val="nil"/>
              <w:left w:val="nil"/>
              <w:bottom w:val="single" w:sz="4" w:space="0" w:color="000000"/>
              <w:right w:val="single" w:sz="4" w:space="0" w:color="000000"/>
            </w:tcBorders>
            <w:shd w:val="clear" w:color="auto" w:fill="auto"/>
            <w:vAlign w:val="center"/>
            <w:hideMark/>
          </w:tcPr>
          <w:p w:rsidR="005D6ACF" w:rsidRDefault="005D6ACF" w:rsidP="008A253E">
            <w:pPr>
              <w:jc w:val="right"/>
              <w:rPr>
                <w:color w:val="000000"/>
              </w:rPr>
            </w:pPr>
            <w:r>
              <w:rPr>
                <w:color w:val="000000"/>
              </w:rPr>
              <w:t>12 400,4</w:t>
            </w:r>
          </w:p>
        </w:tc>
        <w:tc>
          <w:tcPr>
            <w:tcW w:w="1276" w:type="dxa"/>
            <w:tcBorders>
              <w:top w:val="nil"/>
              <w:left w:val="nil"/>
              <w:bottom w:val="single" w:sz="4" w:space="0" w:color="000000"/>
              <w:right w:val="single" w:sz="4" w:space="0" w:color="000000"/>
            </w:tcBorders>
            <w:shd w:val="clear" w:color="auto" w:fill="auto"/>
            <w:vAlign w:val="center"/>
            <w:hideMark/>
          </w:tcPr>
          <w:p w:rsidR="005D6ACF" w:rsidRDefault="005D6ACF" w:rsidP="008A253E">
            <w:pPr>
              <w:jc w:val="right"/>
              <w:rPr>
                <w:color w:val="000000"/>
              </w:rPr>
            </w:pPr>
            <w:r>
              <w:rPr>
                <w:color w:val="000000"/>
              </w:rPr>
              <w:t>11 893,9</w:t>
            </w:r>
          </w:p>
        </w:tc>
      </w:tr>
      <w:tr w:rsidR="005D6ACF" w:rsidTr="008A253E">
        <w:trPr>
          <w:trHeight w:val="2558"/>
        </w:trPr>
        <w:tc>
          <w:tcPr>
            <w:tcW w:w="3114" w:type="dxa"/>
            <w:tcBorders>
              <w:top w:val="nil"/>
              <w:left w:val="single" w:sz="4" w:space="0" w:color="000000"/>
              <w:bottom w:val="single" w:sz="4" w:space="0" w:color="000000"/>
              <w:right w:val="single" w:sz="4" w:space="0" w:color="000000"/>
            </w:tcBorders>
            <w:shd w:val="clear" w:color="auto" w:fill="auto"/>
            <w:vAlign w:val="center"/>
            <w:hideMark/>
          </w:tcPr>
          <w:p w:rsidR="005D6ACF" w:rsidRDefault="005D6ACF" w:rsidP="008A253E">
            <w:pPr>
              <w:jc w:val="center"/>
              <w:rPr>
                <w:color w:val="000000"/>
              </w:rPr>
            </w:pPr>
            <w:r>
              <w:rPr>
                <w:color w:val="000000"/>
              </w:rPr>
              <w:lastRenderedPageBreak/>
              <w:t>000 1 11 05100 02 0000 120</w:t>
            </w:r>
          </w:p>
        </w:tc>
        <w:tc>
          <w:tcPr>
            <w:tcW w:w="3544" w:type="dxa"/>
            <w:tcBorders>
              <w:top w:val="nil"/>
              <w:left w:val="nil"/>
              <w:bottom w:val="single" w:sz="4" w:space="0" w:color="000000"/>
              <w:right w:val="single" w:sz="4" w:space="0" w:color="000000"/>
            </w:tcBorders>
            <w:shd w:val="clear" w:color="auto" w:fill="auto"/>
            <w:hideMark/>
          </w:tcPr>
          <w:p w:rsidR="005D6ACF" w:rsidRDefault="005D6ACF" w:rsidP="008A253E">
            <w:pPr>
              <w:rPr>
                <w:color w:val="000000"/>
              </w:rPr>
            </w:pPr>
            <w:r>
              <w:rPr>
                <w:color w:val="000000"/>
              </w:rPr>
              <w:t>Плата от реализации соглашений об установлении сервитутов в отношении земельных участков в границах полос отвода автомобильных дорог общего пользования регионального или межмуниципального значения в целях строительства (реконструкции), капитального ремонта и эксплуатации объектов дорожного сервиса, прокладки, переноса, переустройства и эксплуатации инженерных коммуникаций, установки и эксплуатации рекламных конструкций</w:t>
            </w:r>
          </w:p>
        </w:tc>
        <w:tc>
          <w:tcPr>
            <w:tcW w:w="1275" w:type="dxa"/>
            <w:tcBorders>
              <w:top w:val="nil"/>
              <w:left w:val="nil"/>
              <w:bottom w:val="single" w:sz="4" w:space="0" w:color="000000"/>
              <w:right w:val="single" w:sz="4" w:space="0" w:color="000000"/>
            </w:tcBorders>
            <w:shd w:val="clear" w:color="auto" w:fill="auto"/>
            <w:vAlign w:val="center"/>
            <w:hideMark/>
          </w:tcPr>
          <w:p w:rsidR="005D6ACF" w:rsidRDefault="005D6ACF" w:rsidP="008A253E">
            <w:pPr>
              <w:jc w:val="right"/>
              <w:rPr>
                <w:color w:val="000000"/>
              </w:rPr>
            </w:pPr>
            <w:r>
              <w:rPr>
                <w:color w:val="000000"/>
              </w:rPr>
              <w:t>149,6</w:t>
            </w:r>
          </w:p>
        </w:tc>
        <w:tc>
          <w:tcPr>
            <w:tcW w:w="1276" w:type="dxa"/>
            <w:tcBorders>
              <w:top w:val="nil"/>
              <w:left w:val="nil"/>
              <w:bottom w:val="single" w:sz="4" w:space="0" w:color="000000"/>
              <w:right w:val="single" w:sz="4" w:space="0" w:color="000000"/>
            </w:tcBorders>
            <w:shd w:val="clear" w:color="auto" w:fill="auto"/>
            <w:vAlign w:val="center"/>
            <w:hideMark/>
          </w:tcPr>
          <w:p w:rsidR="005D6ACF" w:rsidRDefault="005D6ACF" w:rsidP="008A253E">
            <w:pPr>
              <w:jc w:val="right"/>
              <w:rPr>
                <w:color w:val="000000"/>
              </w:rPr>
            </w:pPr>
            <w:r>
              <w:rPr>
                <w:color w:val="000000"/>
              </w:rPr>
              <w:t>149,6</w:t>
            </w:r>
          </w:p>
        </w:tc>
        <w:tc>
          <w:tcPr>
            <w:tcW w:w="1276" w:type="dxa"/>
            <w:tcBorders>
              <w:top w:val="nil"/>
              <w:left w:val="nil"/>
              <w:bottom w:val="single" w:sz="4" w:space="0" w:color="000000"/>
              <w:right w:val="single" w:sz="4" w:space="0" w:color="000000"/>
            </w:tcBorders>
            <w:shd w:val="clear" w:color="auto" w:fill="auto"/>
            <w:vAlign w:val="center"/>
            <w:hideMark/>
          </w:tcPr>
          <w:p w:rsidR="005D6ACF" w:rsidRDefault="005D6ACF" w:rsidP="008A253E">
            <w:pPr>
              <w:jc w:val="right"/>
              <w:rPr>
                <w:color w:val="000000"/>
              </w:rPr>
            </w:pPr>
            <w:r>
              <w:rPr>
                <w:color w:val="000000"/>
              </w:rPr>
              <w:t>149,6</w:t>
            </w:r>
          </w:p>
        </w:tc>
      </w:tr>
      <w:tr w:rsidR="005D6ACF" w:rsidTr="008A253E">
        <w:trPr>
          <w:trHeight w:val="979"/>
        </w:trPr>
        <w:tc>
          <w:tcPr>
            <w:tcW w:w="3114" w:type="dxa"/>
            <w:tcBorders>
              <w:top w:val="nil"/>
              <w:left w:val="single" w:sz="4" w:space="0" w:color="000000"/>
              <w:bottom w:val="single" w:sz="4" w:space="0" w:color="000000"/>
              <w:right w:val="single" w:sz="4" w:space="0" w:color="000000"/>
            </w:tcBorders>
            <w:shd w:val="clear" w:color="auto" w:fill="auto"/>
            <w:vAlign w:val="center"/>
            <w:hideMark/>
          </w:tcPr>
          <w:p w:rsidR="005D6ACF" w:rsidRDefault="005D6ACF" w:rsidP="008A253E">
            <w:pPr>
              <w:jc w:val="center"/>
              <w:rPr>
                <w:b/>
                <w:bCs/>
                <w:color w:val="000000"/>
              </w:rPr>
            </w:pPr>
            <w:r>
              <w:rPr>
                <w:b/>
                <w:bCs/>
                <w:color w:val="000000"/>
              </w:rPr>
              <w:t>000 1 11 05300 00 0000 120</w:t>
            </w:r>
          </w:p>
        </w:tc>
        <w:tc>
          <w:tcPr>
            <w:tcW w:w="3544" w:type="dxa"/>
            <w:tcBorders>
              <w:top w:val="nil"/>
              <w:left w:val="nil"/>
              <w:bottom w:val="single" w:sz="4" w:space="0" w:color="000000"/>
              <w:right w:val="single" w:sz="4" w:space="0" w:color="000000"/>
            </w:tcBorders>
            <w:shd w:val="clear" w:color="auto" w:fill="auto"/>
            <w:hideMark/>
          </w:tcPr>
          <w:p w:rsidR="005D6ACF" w:rsidRDefault="005D6ACF" w:rsidP="008A253E">
            <w:pPr>
              <w:rPr>
                <w:b/>
                <w:bCs/>
                <w:color w:val="000000"/>
              </w:rPr>
            </w:pPr>
            <w:r>
              <w:rPr>
                <w:b/>
                <w:bCs/>
                <w:color w:val="000000"/>
              </w:rPr>
              <w:t>Плата по соглашениям об установлении сервитута в отношении земельных участков, находящихся в государственной или муниципальной собственности</w:t>
            </w:r>
          </w:p>
        </w:tc>
        <w:tc>
          <w:tcPr>
            <w:tcW w:w="1275" w:type="dxa"/>
            <w:tcBorders>
              <w:top w:val="nil"/>
              <w:left w:val="nil"/>
              <w:bottom w:val="single" w:sz="4" w:space="0" w:color="000000"/>
              <w:right w:val="single" w:sz="4" w:space="0" w:color="000000"/>
            </w:tcBorders>
            <w:shd w:val="clear" w:color="auto" w:fill="auto"/>
            <w:vAlign w:val="center"/>
            <w:hideMark/>
          </w:tcPr>
          <w:p w:rsidR="005D6ACF" w:rsidRDefault="005D6ACF" w:rsidP="008A253E">
            <w:pPr>
              <w:jc w:val="right"/>
              <w:rPr>
                <w:b/>
                <w:bCs/>
                <w:color w:val="000000"/>
              </w:rPr>
            </w:pPr>
            <w:r>
              <w:rPr>
                <w:b/>
                <w:bCs/>
                <w:color w:val="000000"/>
              </w:rPr>
              <w:t>77,6</w:t>
            </w:r>
          </w:p>
        </w:tc>
        <w:tc>
          <w:tcPr>
            <w:tcW w:w="1276" w:type="dxa"/>
            <w:tcBorders>
              <w:top w:val="nil"/>
              <w:left w:val="nil"/>
              <w:bottom w:val="single" w:sz="4" w:space="0" w:color="000000"/>
              <w:right w:val="single" w:sz="4" w:space="0" w:color="000000"/>
            </w:tcBorders>
            <w:shd w:val="clear" w:color="auto" w:fill="auto"/>
            <w:vAlign w:val="center"/>
            <w:hideMark/>
          </w:tcPr>
          <w:p w:rsidR="005D6ACF" w:rsidRDefault="005D6ACF" w:rsidP="008A253E">
            <w:pPr>
              <w:jc w:val="right"/>
              <w:rPr>
                <w:b/>
                <w:bCs/>
                <w:color w:val="000000"/>
              </w:rPr>
            </w:pPr>
            <w:r>
              <w:rPr>
                <w:b/>
                <w:bCs/>
                <w:color w:val="000000"/>
              </w:rPr>
              <w:t>58,5</w:t>
            </w:r>
          </w:p>
        </w:tc>
        <w:tc>
          <w:tcPr>
            <w:tcW w:w="1276" w:type="dxa"/>
            <w:tcBorders>
              <w:top w:val="nil"/>
              <w:left w:val="nil"/>
              <w:bottom w:val="single" w:sz="4" w:space="0" w:color="000000"/>
              <w:right w:val="single" w:sz="4" w:space="0" w:color="000000"/>
            </w:tcBorders>
            <w:shd w:val="clear" w:color="auto" w:fill="auto"/>
            <w:vAlign w:val="center"/>
            <w:hideMark/>
          </w:tcPr>
          <w:p w:rsidR="005D6ACF" w:rsidRDefault="005D6ACF" w:rsidP="008A253E">
            <w:pPr>
              <w:jc w:val="right"/>
              <w:rPr>
                <w:b/>
                <w:bCs/>
                <w:color w:val="000000"/>
              </w:rPr>
            </w:pPr>
            <w:r>
              <w:rPr>
                <w:b/>
                <w:bCs/>
                <w:color w:val="000000"/>
              </w:rPr>
              <w:t>0,0</w:t>
            </w:r>
          </w:p>
        </w:tc>
      </w:tr>
      <w:tr w:rsidR="005D6ACF" w:rsidTr="008A253E">
        <w:trPr>
          <w:trHeight w:val="2247"/>
        </w:trPr>
        <w:tc>
          <w:tcPr>
            <w:tcW w:w="3114" w:type="dxa"/>
            <w:tcBorders>
              <w:top w:val="nil"/>
              <w:left w:val="single" w:sz="4" w:space="0" w:color="000000"/>
              <w:bottom w:val="single" w:sz="4" w:space="0" w:color="000000"/>
              <w:right w:val="single" w:sz="4" w:space="0" w:color="000000"/>
            </w:tcBorders>
            <w:shd w:val="clear" w:color="auto" w:fill="auto"/>
            <w:vAlign w:val="center"/>
            <w:hideMark/>
          </w:tcPr>
          <w:p w:rsidR="005D6ACF" w:rsidRDefault="005D6ACF" w:rsidP="008A253E">
            <w:pPr>
              <w:jc w:val="center"/>
              <w:rPr>
                <w:color w:val="000000"/>
              </w:rPr>
            </w:pPr>
            <w:r>
              <w:rPr>
                <w:color w:val="000000"/>
              </w:rPr>
              <w:t>000 1 11 05322 02 0000 120</w:t>
            </w:r>
          </w:p>
        </w:tc>
        <w:tc>
          <w:tcPr>
            <w:tcW w:w="3544" w:type="dxa"/>
            <w:tcBorders>
              <w:top w:val="nil"/>
              <w:left w:val="nil"/>
              <w:bottom w:val="single" w:sz="4" w:space="0" w:color="000000"/>
              <w:right w:val="single" w:sz="4" w:space="0" w:color="000000"/>
            </w:tcBorders>
            <w:shd w:val="clear" w:color="auto" w:fill="auto"/>
            <w:hideMark/>
          </w:tcPr>
          <w:p w:rsidR="005D6ACF" w:rsidRDefault="005D6ACF" w:rsidP="008A253E">
            <w:pPr>
              <w:rPr>
                <w:color w:val="000000"/>
              </w:rPr>
            </w:pPr>
            <w:r>
              <w:rPr>
                <w:color w:val="000000"/>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субъектов Российской Федерации</w:t>
            </w:r>
          </w:p>
        </w:tc>
        <w:tc>
          <w:tcPr>
            <w:tcW w:w="1275" w:type="dxa"/>
            <w:tcBorders>
              <w:top w:val="nil"/>
              <w:left w:val="nil"/>
              <w:bottom w:val="single" w:sz="4" w:space="0" w:color="000000"/>
              <w:right w:val="single" w:sz="4" w:space="0" w:color="000000"/>
            </w:tcBorders>
            <w:shd w:val="clear" w:color="auto" w:fill="auto"/>
            <w:vAlign w:val="center"/>
            <w:hideMark/>
          </w:tcPr>
          <w:p w:rsidR="005D6ACF" w:rsidRDefault="005D6ACF" w:rsidP="008A253E">
            <w:pPr>
              <w:jc w:val="right"/>
              <w:rPr>
                <w:color w:val="000000"/>
              </w:rPr>
            </w:pPr>
            <w:r>
              <w:rPr>
                <w:color w:val="000000"/>
              </w:rPr>
              <w:t>77,6</w:t>
            </w:r>
          </w:p>
        </w:tc>
        <w:tc>
          <w:tcPr>
            <w:tcW w:w="1276" w:type="dxa"/>
            <w:tcBorders>
              <w:top w:val="nil"/>
              <w:left w:val="nil"/>
              <w:bottom w:val="single" w:sz="4" w:space="0" w:color="000000"/>
              <w:right w:val="single" w:sz="4" w:space="0" w:color="000000"/>
            </w:tcBorders>
            <w:shd w:val="clear" w:color="auto" w:fill="auto"/>
            <w:vAlign w:val="center"/>
            <w:hideMark/>
          </w:tcPr>
          <w:p w:rsidR="005D6ACF" w:rsidRDefault="005D6ACF" w:rsidP="008A253E">
            <w:pPr>
              <w:jc w:val="right"/>
              <w:rPr>
                <w:color w:val="000000"/>
              </w:rPr>
            </w:pPr>
            <w:r>
              <w:rPr>
                <w:color w:val="000000"/>
              </w:rPr>
              <w:t>58,5</w:t>
            </w:r>
          </w:p>
        </w:tc>
        <w:tc>
          <w:tcPr>
            <w:tcW w:w="1276" w:type="dxa"/>
            <w:tcBorders>
              <w:top w:val="nil"/>
              <w:left w:val="nil"/>
              <w:bottom w:val="single" w:sz="4" w:space="0" w:color="000000"/>
              <w:right w:val="single" w:sz="4" w:space="0" w:color="000000"/>
            </w:tcBorders>
            <w:shd w:val="clear" w:color="auto" w:fill="auto"/>
            <w:vAlign w:val="center"/>
            <w:hideMark/>
          </w:tcPr>
          <w:p w:rsidR="005D6ACF" w:rsidRDefault="005D6ACF" w:rsidP="008A253E">
            <w:pPr>
              <w:jc w:val="right"/>
              <w:rPr>
                <w:color w:val="000000"/>
              </w:rPr>
            </w:pPr>
            <w:r>
              <w:rPr>
                <w:color w:val="000000"/>
              </w:rPr>
              <w:t>0,0</w:t>
            </w:r>
          </w:p>
        </w:tc>
      </w:tr>
      <w:tr w:rsidR="005D6ACF" w:rsidTr="008A253E">
        <w:trPr>
          <w:trHeight w:val="645"/>
        </w:trPr>
        <w:tc>
          <w:tcPr>
            <w:tcW w:w="3114" w:type="dxa"/>
            <w:tcBorders>
              <w:top w:val="nil"/>
              <w:left w:val="single" w:sz="4" w:space="0" w:color="000000"/>
              <w:bottom w:val="single" w:sz="4" w:space="0" w:color="000000"/>
              <w:right w:val="single" w:sz="4" w:space="0" w:color="000000"/>
            </w:tcBorders>
            <w:shd w:val="clear" w:color="auto" w:fill="auto"/>
            <w:vAlign w:val="center"/>
            <w:hideMark/>
          </w:tcPr>
          <w:p w:rsidR="005D6ACF" w:rsidRDefault="005D6ACF" w:rsidP="008A253E">
            <w:pPr>
              <w:jc w:val="center"/>
              <w:rPr>
                <w:b/>
                <w:bCs/>
                <w:color w:val="000000"/>
              </w:rPr>
            </w:pPr>
            <w:r>
              <w:rPr>
                <w:b/>
                <w:bCs/>
                <w:color w:val="000000"/>
              </w:rPr>
              <w:t>000 1 11 07000 00 0000 120</w:t>
            </w:r>
          </w:p>
        </w:tc>
        <w:tc>
          <w:tcPr>
            <w:tcW w:w="3544" w:type="dxa"/>
            <w:tcBorders>
              <w:top w:val="nil"/>
              <w:left w:val="nil"/>
              <w:bottom w:val="single" w:sz="4" w:space="0" w:color="000000"/>
              <w:right w:val="single" w:sz="4" w:space="0" w:color="000000"/>
            </w:tcBorders>
            <w:shd w:val="clear" w:color="auto" w:fill="auto"/>
            <w:hideMark/>
          </w:tcPr>
          <w:p w:rsidR="005D6ACF" w:rsidRDefault="005D6ACF" w:rsidP="008A253E">
            <w:pPr>
              <w:rPr>
                <w:b/>
                <w:bCs/>
                <w:color w:val="000000"/>
              </w:rPr>
            </w:pPr>
            <w:r>
              <w:rPr>
                <w:b/>
                <w:bCs/>
                <w:color w:val="000000"/>
              </w:rPr>
              <w:t>Платежи от государственных и муниципальных унитарных предприятий</w:t>
            </w:r>
          </w:p>
        </w:tc>
        <w:tc>
          <w:tcPr>
            <w:tcW w:w="1275" w:type="dxa"/>
            <w:tcBorders>
              <w:top w:val="nil"/>
              <w:left w:val="nil"/>
              <w:bottom w:val="single" w:sz="4" w:space="0" w:color="000000"/>
              <w:right w:val="single" w:sz="4" w:space="0" w:color="000000"/>
            </w:tcBorders>
            <w:shd w:val="clear" w:color="auto" w:fill="auto"/>
            <w:vAlign w:val="center"/>
            <w:hideMark/>
          </w:tcPr>
          <w:p w:rsidR="005D6ACF" w:rsidRDefault="005D6ACF" w:rsidP="008A253E">
            <w:pPr>
              <w:jc w:val="right"/>
              <w:rPr>
                <w:b/>
                <w:bCs/>
                <w:color w:val="000000"/>
              </w:rPr>
            </w:pPr>
            <w:r>
              <w:rPr>
                <w:b/>
                <w:bCs/>
                <w:color w:val="000000"/>
              </w:rPr>
              <w:t>1 505,6</w:t>
            </w:r>
          </w:p>
        </w:tc>
        <w:tc>
          <w:tcPr>
            <w:tcW w:w="1276" w:type="dxa"/>
            <w:tcBorders>
              <w:top w:val="nil"/>
              <w:left w:val="nil"/>
              <w:bottom w:val="single" w:sz="4" w:space="0" w:color="000000"/>
              <w:right w:val="single" w:sz="4" w:space="0" w:color="000000"/>
            </w:tcBorders>
            <w:shd w:val="clear" w:color="auto" w:fill="auto"/>
            <w:vAlign w:val="center"/>
            <w:hideMark/>
          </w:tcPr>
          <w:p w:rsidR="005D6ACF" w:rsidRDefault="005D6ACF" w:rsidP="008A253E">
            <w:pPr>
              <w:jc w:val="right"/>
              <w:rPr>
                <w:b/>
                <w:bCs/>
                <w:color w:val="000000"/>
              </w:rPr>
            </w:pPr>
            <w:r>
              <w:rPr>
                <w:b/>
                <w:bCs/>
                <w:color w:val="000000"/>
              </w:rPr>
              <w:t>1 763,6</w:t>
            </w:r>
          </w:p>
        </w:tc>
        <w:tc>
          <w:tcPr>
            <w:tcW w:w="1276" w:type="dxa"/>
            <w:tcBorders>
              <w:top w:val="nil"/>
              <w:left w:val="nil"/>
              <w:bottom w:val="single" w:sz="4" w:space="0" w:color="000000"/>
              <w:right w:val="single" w:sz="4" w:space="0" w:color="000000"/>
            </w:tcBorders>
            <w:shd w:val="clear" w:color="auto" w:fill="auto"/>
            <w:vAlign w:val="center"/>
            <w:hideMark/>
          </w:tcPr>
          <w:p w:rsidR="005D6ACF" w:rsidRDefault="005D6ACF" w:rsidP="008A253E">
            <w:pPr>
              <w:jc w:val="right"/>
              <w:rPr>
                <w:b/>
                <w:bCs/>
                <w:color w:val="000000"/>
              </w:rPr>
            </w:pPr>
            <w:r>
              <w:rPr>
                <w:b/>
                <w:bCs/>
                <w:color w:val="000000"/>
              </w:rPr>
              <w:t>2 002,0</w:t>
            </w:r>
          </w:p>
        </w:tc>
      </w:tr>
      <w:tr w:rsidR="005D6ACF" w:rsidTr="008A253E">
        <w:trPr>
          <w:trHeight w:val="1290"/>
        </w:trPr>
        <w:tc>
          <w:tcPr>
            <w:tcW w:w="3114" w:type="dxa"/>
            <w:tcBorders>
              <w:top w:val="nil"/>
              <w:left w:val="single" w:sz="4" w:space="0" w:color="000000"/>
              <w:bottom w:val="single" w:sz="4" w:space="0" w:color="000000"/>
              <w:right w:val="single" w:sz="4" w:space="0" w:color="000000"/>
            </w:tcBorders>
            <w:shd w:val="clear" w:color="auto" w:fill="auto"/>
            <w:vAlign w:val="center"/>
            <w:hideMark/>
          </w:tcPr>
          <w:p w:rsidR="005D6ACF" w:rsidRDefault="005D6ACF" w:rsidP="008A253E">
            <w:pPr>
              <w:jc w:val="center"/>
              <w:rPr>
                <w:color w:val="000000"/>
              </w:rPr>
            </w:pPr>
            <w:r>
              <w:rPr>
                <w:color w:val="000000"/>
              </w:rPr>
              <w:t>000 1 11 07012 02 0000 120</w:t>
            </w:r>
          </w:p>
        </w:tc>
        <w:tc>
          <w:tcPr>
            <w:tcW w:w="3544" w:type="dxa"/>
            <w:tcBorders>
              <w:top w:val="nil"/>
              <w:left w:val="nil"/>
              <w:bottom w:val="single" w:sz="4" w:space="0" w:color="000000"/>
              <w:right w:val="single" w:sz="4" w:space="0" w:color="000000"/>
            </w:tcBorders>
            <w:shd w:val="clear" w:color="auto" w:fill="auto"/>
            <w:hideMark/>
          </w:tcPr>
          <w:p w:rsidR="005D6ACF" w:rsidRDefault="005D6ACF" w:rsidP="008A253E">
            <w:pPr>
              <w:rPr>
                <w:color w:val="000000"/>
              </w:rPr>
            </w:pPr>
            <w:r>
              <w:rPr>
                <w:color w:val="000000"/>
              </w:rPr>
              <w:t>Доходы от перечисления части прибыли, остающейся после уплаты налогов и иных обязательных платежей государственных унитарных предприятий субъектов Российской Федерации</w:t>
            </w:r>
          </w:p>
        </w:tc>
        <w:tc>
          <w:tcPr>
            <w:tcW w:w="1275" w:type="dxa"/>
            <w:tcBorders>
              <w:top w:val="nil"/>
              <w:left w:val="nil"/>
              <w:bottom w:val="single" w:sz="4" w:space="0" w:color="000000"/>
              <w:right w:val="single" w:sz="4" w:space="0" w:color="000000"/>
            </w:tcBorders>
            <w:shd w:val="clear" w:color="auto" w:fill="auto"/>
            <w:vAlign w:val="center"/>
            <w:hideMark/>
          </w:tcPr>
          <w:p w:rsidR="005D6ACF" w:rsidRDefault="005D6ACF" w:rsidP="008A253E">
            <w:pPr>
              <w:jc w:val="right"/>
              <w:rPr>
                <w:color w:val="000000"/>
              </w:rPr>
            </w:pPr>
            <w:r>
              <w:rPr>
                <w:color w:val="000000"/>
              </w:rPr>
              <w:t>1 505,6</w:t>
            </w:r>
          </w:p>
        </w:tc>
        <w:tc>
          <w:tcPr>
            <w:tcW w:w="1276" w:type="dxa"/>
            <w:tcBorders>
              <w:top w:val="nil"/>
              <w:left w:val="nil"/>
              <w:bottom w:val="single" w:sz="4" w:space="0" w:color="000000"/>
              <w:right w:val="single" w:sz="4" w:space="0" w:color="000000"/>
            </w:tcBorders>
            <w:shd w:val="clear" w:color="auto" w:fill="auto"/>
            <w:vAlign w:val="center"/>
            <w:hideMark/>
          </w:tcPr>
          <w:p w:rsidR="005D6ACF" w:rsidRDefault="005D6ACF" w:rsidP="008A253E">
            <w:pPr>
              <w:jc w:val="right"/>
              <w:rPr>
                <w:color w:val="000000"/>
              </w:rPr>
            </w:pPr>
            <w:r>
              <w:rPr>
                <w:color w:val="000000"/>
              </w:rPr>
              <w:t>1 763,6</w:t>
            </w:r>
          </w:p>
        </w:tc>
        <w:tc>
          <w:tcPr>
            <w:tcW w:w="1276" w:type="dxa"/>
            <w:tcBorders>
              <w:top w:val="nil"/>
              <w:left w:val="nil"/>
              <w:bottom w:val="single" w:sz="4" w:space="0" w:color="000000"/>
              <w:right w:val="single" w:sz="4" w:space="0" w:color="000000"/>
            </w:tcBorders>
            <w:shd w:val="clear" w:color="auto" w:fill="auto"/>
            <w:vAlign w:val="center"/>
            <w:hideMark/>
          </w:tcPr>
          <w:p w:rsidR="005D6ACF" w:rsidRDefault="005D6ACF" w:rsidP="008A253E">
            <w:pPr>
              <w:jc w:val="right"/>
              <w:rPr>
                <w:color w:val="000000"/>
              </w:rPr>
            </w:pPr>
            <w:r>
              <w:rPr>
                <w:color w:val="000000"/>
              </w:rPr>
              <w:t>2 002,0</w:t>
            </w:r>
          </w:p>
        </w:tc>
      </w:tr>
      <w:tr w:rsidR="005D6ACF" w:rsidTr="008A253E">
        <w:trPr>
          <w:trHeight w:val="1932"/>
        </w:trPr>
        <w:tc>
          <w:tcPr>
            <w:tcW w:w="3114" w:type="dxa"/>
            <w:tcBorders>
              <w:top w:val="nil"/>
              <w:left w:val="single" w:sz="4" w:space="0" w:color="000000"/>
              <w:bottom w:val="single" w:sz="4" w:space="0" w:color="000000"/>
              <w:right w:val="single" w:sz="4" w:space="0" w:color="000000"/>
            </w:tcBorders>
            <w:shd w:val="clear" w:color="auto" w:fill="auto"/>
            <w:vAlign w:val="center"/>
            <w:hideMark/>
          </w:tcPr>
          <w:p w:rsidR="005D6ACF" w:rsidRDefault="005D6ACF" w:rsidP="008A253E">
            <w:pPr>
              <w:jc w:val="center"/>
              <w:rPr>
                <w:b/>
                <w:bCs/>
                <w:color w:val="000000"/>
              </w:rPr>
            </w:pPr>
            <w:r>
              <w:rPr>
                <w:b/>
                <w:bCs/>
                <w:color w:val="000000"/>
              </w:rPr>
              <w:lastRenderedPageBreak/>
              <w:t>000 1 11 09000 00 0000 120</w:t>
            </w:r>
          </w:p>
        </w:tc>
        <w:tc>
          <w:tcPr>
            <w:tcW w:w="3544" w:type="dxa"/>
            <w:tcBorders>
              <w:top w:val="nil"/>
              <w:left w:val="nil"/>
              <w:bottom w:val="single" w:sz="4" w:space="0" w:color="000000"/>
              <w:right w:val="single" w:sz="4" w:space="0" w:color="000000"/>
            </w:tcBorders>
            <w:shd w:val="clear" w:color="auto" w:fill="auto"/>
            <w:hideMark/>
          </w:tcPr>
          <w:p w:rsidR="005D6ACF" w:rsidRDefault="005D6ACF" w:rsidP="008A253E">
            <w:pPr>
              <w:rPr>
                <w:b/>
                <w:bCs/>
                <w:color w:val="000000"/>
              </w:rPr>
            </w:pPr>
            <w:r>
              <w:rPr>
                <w:b/>
                <w:bCs/>
                <w:color w:val="00000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5" w:type="dxa"/>
            <w:tcBorders>
              <w:top w:val="nil"/>
              <w:left w:val="nil"/>
              <w:bottom w:val="single" w:sz="4" w:space="0" w:color="000000"/>
              <w:right w:val="single" w:sz="4" w:space="0" w:color="000000"/>
            </w:tcBorders>
            <w:shd w:val="clear" w:color="auto" w:fill="auto"/>
            <w:vAlign w:val="center"/>
            <w:hideMark/>
          </w:tcPr>
          <w:p w:rsidR="005D6ACF" w:rsidRDefault="005D6ACF" w:rsidP="008A253E">
            <w:pPr>
              <w:jc w:val="right"/>
              <w:rPr>
                <w:b/>
                <w:bCs/>
                <w:color w:val="000000"/>
              </w:rPr>
            </w:pPr>
            <w:r>
              <w:rPr>
                <w:b/>
                <w:bCs/>
                <w:color w:val="000000"/>
              </w:rPr>
              <w:t>405,9</w:t>
            </w:r>
          </w:p>
        </w:tc>
        <w:tc>
          <w:tcPr>
            <w:tcW w:w="1276" w:type="dxa"/>
            <w:tcBorders>
              <w:top w:val="nil"/>
              <w:left w:val="nil"/>
              <w:bottom w:val="single" w:sz="4" w:space="0" w:color="000000"/>
              <w:right w:val="single" w:sz="4" w:space="0" w:color="000000"/>
            </w:tcBorders>
            <w:shd w:val="clear" w:color="auto" w:fill="auto"/>
            <w:vAlign w:val="center"/>
            <w:hideMark/>
          </w:tcPr>
          <w:p w:rsidR="005D6ACF" w:rsidRDefault="005D6ACF" w:rsidP="008A253E">
            <w:pPr>
              <w:jc w:val="right"/>
              <w:rPr>
                <w:b/>
                <w:bCs/>
                <w:color w:val="000000"/>
              </w:rPr>
            </w:pPr>
            <w:r>
              <w:rPr>
                <w:b/>
                <w:bCs/>
                <w:color w:val="000000"/>
              </w:rPr>
              <w:t>405,6</w:t>
            </w:r>
          </w:p>
        </w:tc>
        <w:tc>
          <w:tcPr>
            <w:tcW w:w="1276" w:type="dxa"/>
            <w:tcBorders>
              <w:top w:val="nil"/>
              <w:left w:val="nil"/>
              <w:bottom w:val="single" w:sz="4" w:space="0" w:color="000000"/>
              <w:right w:val="single" w:sz="4" w:space="0" w:color="000000"/>
            </w:tcBorders>
            <w:shd w:val="clear" w:color="auto" w:fill="auto"/>
            <w:vAlign w:val="center"/>
            <w:hideMark/>
          </w:tcPr>
          <w:p w:rsidR="005D6ACF" w:rsidRDefault="005D6ACF" w:rsidP="008A253E">
            <w:pPr>
              <w:jc w:val="right"/>
              <w:rPr>
                <w:b/>
                <w:bCs/>
                <w:color w:val="000000"/>
              </w:rPr>
            </w:pPr>
            <w:r>
              <w:rPr>
                <w:b/>
                <w:bCs/>
                <w:color w:val="000000"/>
              </w:rPr>
              <w:t>405,6</w:t>
            </w:r>
          </w:p>
        </w:tc>
      </w:tr>
      <w:tr w:rsidR="005D6ACF" w:rsidTr="008A253E">
        <w:trPr>
          <w:trHeight w:val="1932"/>
        </w:trPr>
        <w:tc>
          <w:tcPr>
            <w:tcW w:w="3114" w:type="dxa"/>
            <w:tcBorders>
              <w:top w:val="nil"/>
              <w:left w:val="single" w:sz="4" w:space="0" w:color="000000"/>
              <w:bottom w:val="single" w:sz="4" w:space="0" w:color="000000"/>
              <w:right w:val="single" w:sz="4" w:space="0" w:color="000000"/>
            </w:tcBorders>
            <w:shd w:val="clear" w:color="auto" w:fill="auto"/>
            <w:vAlign w:val="center"/>
            <w:hideMark/>
          </w:tcPr>
          <w:p w:rsidR="005D6ACF" w:rsidRDefault="005D6ACF" w:rsidP="008A253E">
            <w:pPr>
              <w:jc w:val="center"/>
              <w:rPr>
                <w:color w:val="000000"/>
              </w:rPr>
            </w:pPr>
            <w:r>
              <w:rPr>
                <w:color w:val="000000"/>
              </w:rPr>
              <w:t>000 1 11 09042 02 0000 120</w:t>
            </w:r>
          </w:p>
        </w:tc>
        <w:tc>
          <w:tcPr>
            <w:tcW w:w="3544" w:type="dxa"/>
            <w:tcBorders>
              <w:top w:val="nil"/>
              <w:left w:val="nil"/>
              <w:bottom w:val="single" w:sz="4" w:space="0" w:color="000000"/>
              <w:right w:val="single" w:sz="4" w:space="0" w:color="000000"/>
            </w:tcBorders>
            <w:shd w:val="clear" w:color="auto" w:fill="auto"/>
            <w:hideMark/>
          </w:tcPr>
          <w:p w:rsidR="005D6ACF" w:rsidRDefault="005D6ACF" w:rsidP="008A253E">
            <w:pPr>
              <w:rPr>
                <w:color w:val="000000"/>
              </w:rPr>
            </w:pPr>
            <w:r>
              <w:rPr>
                <w:color w:val="000000"/>
              </w:rPr>
              <w:t>Прочие поступления от использования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w:t>
            </w:r>
          </w:p>
        </w:tc>
        <w:tc>
          <w:tcPr>
            <w:tcW w:w="1275" w:type="dxa"/>
            <w:tcBorders>
              <w:top w:val="nil"/>
              <w:left w:val="nil"/>
              <w:bottom w:val="single" w:sz="4" w:space="0" w:color="000000"/>
              <w:right w:val="single" w:sz="4" w:space="0" w:color="000000"/>
            </w:tcBorders>
            <w:shd w:val="clear" w:color="auto" w:fill="auto"/>
            <w:vAlign w:val="center"/>
            <w:hideMark/>
          </w:tcPr>
          <w:p w:rsidR="005D6ACF" w:rsidRDefault="005D6ACF" w:rsidP="008A253E">
            <w:pPr>
              <w:jc w:val="right"/>
              <w:rPr>
                <w:color w:val="000000"/>
              </w:rPr>
            </w:pPr>
            <w:r>
              <w:rPr>
                <w:color w:val="000000"/>
              </w:rPr>
              <w:t>405,9</w:t>
            </w:r>
          </w:p>
        </w:tc>
        <w:tc>
          <w:tcPr>
            <w:tcW w:w="1276" w:type="dxa"/>
            <w:tcBorders>
              <w:top w:val="nil"/>
              <w:left w:val="nil"/>
              <w:bottom w:val="single" w:sz="4" w:space="0" w:color="000000"/>
              <w:right w:val="single" w:sz="4" w:space="0" w:color="000000"/>
            </w:tcBorders>
            <w:shd w:val="clear" w:color="auto" w:fill="auto"/>
            <w:vAlign w:val="center"/>
            <w:hideMark/>
          </w:tcPr>
          <w:p w:rsidR="005D6ACF" w:rsidRDefault="005D6ACF" w:rsidP="008A253E">
            <w:pPr>
              <w:jc w:val="right"/>
              <w:rPr>
                <w:color w:val="000000"/>
              </w:rPr>
            </w:pPr>
            <w:r>
              <w:rPr>
                <w:color w:val="000000"/>
              </w:rPr>
              <w:t>405,6</w:t>
            </w:r>
          </w:p>
        </w:tc>
        <w:tc>
          <w:tcPr>
            <w:tcW w:w="1276" w:type="dxa"/>
            <w:tcBorders>
              <w:top w:val="nil"/>
              <w:left w:val="nil"/>
              <w:bottom w:val="single" w:sz="4" w:space="0" w:color="000000"/>
              <w:right w:val="single" w:sz="4" w:space="0" w:color="000000"/>
            </w:tcBorders>
            <w:shd w:val="clear" w:color="auto" w:fill="auto"/>
            <w:vAlign w:val="center"/>
            <w:hideMark/>
          </w:tcPr>
          <w:p w:rsidR="005D6ACF" w:rsidRDefault="005D6ACF" w:rsidP="008A253E">
            <w:pPr>
              <w:jc w:val="right"/>
              <w:rPr>
                <w:color w:val="000000"/>
              </w:rPr>
            </w:pPr>
            <w:r>
              <w:rPr>
                <w:color w:val="000000"/>
              </w:rPr>
              <w:t>405,6</w:t>
            </w:r>
          </w:p>
        </w:tc>
      </w:tr>
    </w:tbl>
    <w:p w:rsidR="005D6ACF" w:rsidRDefault="005D6ACF" w:rsidP="005D6ACF">
      <w:pPr>
        <w:ind w:firstLine="900"/>
        <w:jc w:val="center"/>
        <w:rPr>
          <w:b/>
          <w:snapToGrid w:val="0"/>
          <w:sz w:val="28"/>
          <w:szCs w:val="28"/>
        </w:rPr>
      </w:pPr>
    </w:p>
    <w:p w:rsidR="005D6ACF" w:rsidRDefault="005D6ACF" w:rsidP="005D6ACF">
      <w:pPr>
        <w:ind w:firstLine="900"/>
        <w:jc w:val="right"/>
        <w:rPr>
          <w:b/>
          <w:snapToGrid w:val="0"/>
          <w:sz w:val="28"/>
          <w:szCs w:val="28"/>
        </w:rPr>
      </w:pPr>
    </w:p>
    <w:p w:rsidR="005D6ACF" w:rsidRPr="005E0DD4" w:rsidRDefault="005D6ACF" w:rsidP="005D6ACF">
      <w:pPr>
        <w:ind w:firstLine="900"/>
        <w:jc w:val="center"/>
        <w:rPr>
          <w:b/>
          <w:snapToGrid w:val="0"/>
          <w:sz w:val="28"/>
          <w:szCs w:val="28"/>
        </w:rPr>
      </w:pPr>
    </w:p>
    <w:p w:rsidR="005D6ACF" w:rsidRPr="005E0DD4" w:rsidRDefault="005D6ACF" w:rsidP="005D6ACF">
      <w:pPr>
        <w:pStyle w:val="21"/>
        <w:rPr>
          <w:bCs/>
        </w:rPr>
      </w:pPr>
      <w:r w:rsidRPr="005E0DD4">
        <w:rPr>
          <w:b/>
          <w:bCs/>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субъектам Российской Федерации</w:t>
      </w:r>
      <w:r w:rsidRPr="005E0DD4">
        <w:rPr>
          <w:bCs/>
        </w:rPr>
        <w:t xml:space="preserve"> (1 11 01020 02 0000 120) прогнозируются:</w:t>
      </w:r>
    </w:p>
    <w:p w:rsidR="005D6ACF" w:rsidRPr="005E0DD4" w:rsidRDefault="005D6ACF" w:rsidP="005D6ACF">
      <w:pPr>
        <w:pStyle w:val="21"/>
        <w:jc w:val="right"/>
        <w:rPr>
          <w:bCs/>
        </w:rPr>
      </w:pPr>
      <w:r w:rsidRPr="005E0DD4">
        <w:rPr>
          <w:bCs/>
        </w:rPr>
        <w:t>тыс. руб.</w:t>
      </w:r>
    </w:p>
    <w:tbl>
      <w:tblPr>
        <w:tblStyle w:val="a6"/>
        <w:tblW w:w="0" w:type="auto"/>
        <w:tblInd w:w="848" w:type="dxa"/>
        <w:tblLook w:val="04A0" w:firstRow="1" w:lastRow="0" w:firstColumn="1" w:lastColumn="0" w:noHBand="0" w:noVBand="1"/>
      </w:tblPr>
      <w:tblGrid>
        <w:gridCol w:w="2973"/>
        <w:gridCol w:w="2972"/>
        <w:gridCol w:w="2978"/>
      </w:tblGrid>
      <w:tr w:rsidR="005D6ACF" w:rsidRPr="005E0DD4" w:rsidTr="008A253E">
        <w:tc>
          <w:tcPr>
            <w:tcW w:w="3068" w:type="dxa"/>
          </w:tcPr>
          <w:p w:rsidR="005D6ACF" w:rsidRPr="005E0DD4" w:rsidRDefault="005D6ACF" w:rsidP="008A253E">
            <w:pPr>
              <w:pStyle w:val="21"/>
              <w:ind w:firstLine="0"/>
              <w:jc w:val="center"/>
              <w:rPr>
                <w:bCs/>
              </w:rPr>
            </w:pPr>
            <w:r w:rsidRPr="005E0DD4">
              <w:rPr>
                <w:bCs/>
              </w:rPr>
              <w:t>202</w:t>
            </w:r>
            <w:r>
              <w:rPr>
                <w:bCs/>
              </w:rPr>
              <w:t>2</w:t>
            </w:r>
            <w:r w:rsidRPr="005E0DD4">
              <w:rPr>
                <w:bCs/>
              </w:rPr>
              <w:t xml:space="preserve"> год</w:t>
            </w:r>
          </w:p>
        </w:tc>
        <w:tc>
          <w:tcPr>
            <w:tcW w:w="3068" w:type="dxa"/>
          </w:tcPr>
          <w:p w:rsidR="005D6ACF" w:rsidRPr="005E0DD4" w:rsidRDefault="005D6ACF" w:rsidP="008A253E">
            <w:pPr>
              <w:pStyle w:val="21"/>
              <w:ind w:firstLine="0"/>
              <w:jc w:val="center"/>
              <w:rPr>
                <w:bCs/>
              </w:rPr>
            </w:pPr>
            <w:r w:rsidRPr="005E0DD4">
              <w:rPr>
                <w:bCs/>
              </w:rPr>
              <w:t>202</w:t>
            </w:r>
            <w:r>
              <w:rPr>
                <w:bCs/>
              </w:rPr>
              <w:t>3</w:t>
            </w:r>
            <w:r w:rsidRPr="005E0DD4">
              <w:rPr>
                <w:bCs/>
              </w:rPr>
              <w:t xml:space="preserve"> год</w:t>
            </w:r>
          </w:p>
        </w:tc>
        <w:tc>
          <w:tcPr>
            <w:tcW w:w="3068" w:type="dxa"/>
          </w:tcPr>
          <w:p w:rsidR="005D6ACF" w:rsidRPr="005E0DD4" w:rsidRDefault="005D6ACF" w:rsidP="008A253E">
            <w:pPr>
              <w:pStyle w:val="21"/>
              <w:ind w:firstLine="0"/>
              <w:jc w:val="center"/>
              <w:rPr>
                <w:bCs/>
              </w:rPr>
            </w:pPr>
            <w:r w:rsidRPr="005E0DD4">
              <w:rPr>
                <w:bCs/>
              </w:rPr>
              <w:t>202</w:t>
            </w:r>
            <w:r>
              <w:rPr>
                <w:bCs/>
              </w:rPr>
              <w:t>4</w:t>
            </w:r>
            <w:r w:rsidRPr="005E0DD4">
              <w:rPr>
                <w:bCs/>
              </w:rPr>
              <w:t>год</w:t>
            </w:r>
          </w:p>
        </w:tc>
      </w:tr>
      <w:tr w:rsidR="005D6ACF" w:rsidRPr="005E0DD4" w:rsidTr="008A253E">
        <w:tc>
          <w:tcPr>
            <w:tcW w:w="3068" w:type="dxa"/>
          </w:tcPr>
          <w:p w:rsidR="005D6ACF" w:rsidRPr="005E0DD4" w:rsidRDefault="005D6ACF" w:rsidP="008A253E">
            <w:pPr>
              <w:pStyle w:val="21"/>
              <w:ind w:firstLine="0"/>
              <w:jc w:val="center"/>
              <w:rPr>
                <w:bCs/>
              </w:rPr>
            </w:pPr>
            <w:r>
              <w:rPr>
                <w:bCs/>
              </w:rPr>
              <w:t>3 369,0</w:t>
            </w:r>
          </w:p>
        </w:tc>
        <w:tc>
          <w:tcPr>
            <w:tcW w:w="3068" w:type="dxa"/>
          </w:tcPr>
          <w:p w:rsidR="005D6ACF" w:rsidRPr="005E0DD4" w:rsidRDefault="005D6ACF" w:rsidP="008A253E">
            <w:pPr>
              <w:pStyle w:val="21"/>
              <w:ind w:firstLine="0"/>
              <w:jc w:val="center"/>
              <w:rPr>
                <w:bCs/>
              </w:rPr>
            </w:pPr>
            <w:r>
              <w:rPr>
                <w:bCs/>
              </w:rPr>
              <w:t>4 195,0</w:t>
            </w:r>
          </w:p>
        </w:tc>
        <w:tc>
          <w:tcPr>
            <w:tcW w:w="3068" w:type="dxa"/>
          </w:tcPr>
          <w:p w:rsidR="005D6ACF" w:rsidRPr="005E0DD4" w:rsidRDefault="005D6ACF" w:rsidP="008A253E">
            <w:pPr>
              <w:pStyle w:val="21"/>
              <w:ind w:firstLine="0"/>
              <w:jc w:val="center"/>
              <w:rPr>
                <w:bCs/>
              </w:rPr>
            </w:pPr>
            <w:r>
              <w:rPr>
                <w:bCs/>
              </w:rPr>
              <w:t>4 277,0</w:t>
            </w:r>
          </w:p>
        </w:tc>
      </w:tr>
    </w:tbl>
    <w:p w:rsidR="005D6ACF" w:rsidRPr="00C93A58" w:rsidRDefault="005D6ACF" w:rsidP="005D6ACF">
      <w:pPr>
        <w:pStyle w:val="21"/>
        <w:jc w:val="right"/>
        <w:rPr>
          <w:b/>
          <w:bCs/>
        </w:rPr>
      </w:pPr>
    </w:p>
    <w:p w:rsidR="005D6ACF" w:rsidRPr="00C93A58" w:rsidRDefault="005D6ACF" w:rsidP="005D6ACF">
      <w:pPr>
        <w:pStyle w:val="21"/>
        <w:rPr>
          <w:bCs/>
        </w:rPr>
      </w:pPr>
      <w:r w:rsidRPr="00C93A58">
        <w:rPr>
          <w:bCs/>
        </w:rPr>
        <w:t>Главным администратором данного доходного источника является Министерство имущественных и земельных отношений Тверской области.</w:t>
      </w:r>
    </w:p>
    <w:p w:rsidR="005D6ACF" w:rsidRPr="00C93A58" w:rsidRDefault="005D6ACF" w:rsidP="005D6ACF">
      <w:pPr>
        <w:pStyle w:val="21"/>
        <w:rPr>
          <w:bCs/>
        </w:rPr>
      </w:pPr>
      <w:r>
        <w:rPr>
          <w:bCs/>
        </w:rPr>
        <w:t>М</w:t>
      </w:r>
      <w:r w:rsidRPr="00C93A58">
        <w:rPr>
          <w:bCs/>
        </w:rPr>
        <w:t>етодика прогнозирования поступлений неналоговых доходов в бюджет Тверской области, главным администратором которых является Министерство имущественных и земельных отношений Тверской области (далее – Методика)</w:t>
      </w:r>
      <w:r w:rsidRPr="00B72764">
        <w:rPr>
          <w:bCs/>
        </w:rPr>
        <w:t xml:space="preserve"> </w:t>
      </w:r>
      <w:r>
        <w:rPr>
          <w:bCs/>
        </w:rPr>
        <w:t xml:space="preserve"> утверждена </w:t>
      </w:r>
      <w:r w:rsidRPr="00C93A58">
        <w:rPr>
          <w:bCs/>
        </w:rPr>
        <w:t xml:space="preserve">Приказом Министерства имущественных и земельных отношений Тверской области от </w:t>
      </w:r>
      <w:r>
        <w:rPr>
          <w:bCs/>
        </w:rPr>
        <w:t>17.10.2019 № 103</w:t>
      </w:r>
      <w:r w:rsidRPr="00C93A58">
        <w:rPr>
          <w:bCs/>
        </w:rPr>
        <w:t xml:space="preserve">. </w:t>
      </w:r>
    </w:p>
    <w:p w:rsidR="005D6ACF" w:rsidRPr="00C93A58" w:rsidRDefault="005D6ACF" w:rsidP="005D6ACF">
      <w:pPr>
        <w:ind w:firstLine="709"/>
        <w:jc w:val="both"/>
        <w:rPr>
          <w:sz w:val="28"/>
          <w:szCs w:val="28"/>
        </w:rPr>
      </w:pPr>
      <w:r w:rsidRPr="00C93A58">
        <w:rPr>
          <w:bCs/>
          <w:sz w:val="28"/>
          <w:szCs w:val="28"/>
        </w:rPr>
        <w:t>В соответствии с вышеназванной Методикой р</w:t>
      </w:r>
      <w:r w:rsidRPr="00C93A58">
        <w:rPr>
          <w:sz w:val="28"/>
          <w:szCs w:val="28"/>
        </w:rPr>
        <w:t>асчет прогноза поступлений на очередной финансовый год и плановый период рассчитан    с применением метода прямого расчета по следующей формуле:</w:t>
      </w:r>
      <w:r w:rsidRPr="00C93A58">
        <w:rPr>
          <w:spacing w:val="2"/>
          <w:sz w:val="28"/>
          <w:szCs w:val="28"/>
        </w:rPr>
        <w:t xml:space="preserve">                   </w:t>
      </w:r>
      <w:r w:rsidRPr="00C93A58">
        <w:rPr>
          <w:sz w:val="28"/>
          <w:szCs w:val="28"/>
        </w:rPr>
        <w:t xml:space="preserve">                                                                 </w:t>
      </w:r>
    </w:p>
    <w:p w:rsidR="005D6ACF" w:rsidRPr="00C93A58" w:rsidRDefault="005D6ACF" w:rsidP="005D6ACF">
      <w:pPr>
        <w:shd w:val="clear" w:color="auto" w:fill="FFFFFF"/>
        <w:ind w:firstLine="708"/>
        <w:jc w:val="both"/>
        <w:textAlignment w:val="baseline"/>
        <w:rPr>
          <w:spacing w:val="2"/>
          <w:sz w:val="28"/>
          <w:szCs w:val="28"/>
        </w:rPr>
      </w:pPr>
      <w:r w:rsidRPr="00C93A58">
        <w:rPr>
          <w:spacing w:val="2"/>
          <w:sz w:val="28"/>
          <w:szCs w:val="28"/>
        </w:rPr>
        <w:t xml:space="preserve">                    </w:t>
      </w:r>
    </w:p>
    <w:p w:rsidR="005D6ACF" w:rsidRPr="00C93A58" w:rsidRDefault="005D6ACF" w:rsidP="005D6ACF">
      <w:pPr>
        <w:pStyle w:val="ConsPlusNormal"/>
        <w:tabs>
          <w:tab w:val="left" w:pos="6096"/>
        </w:tabs>
        <w:ind w:firstLine="540"/>
        <w:jc w:val="center"/>
        <w:rPr>
          <w:rFonts w:ascii="Times New Roman" w:hAnsi="Times New Roman" w:cs="Times New Roman"/>
          <w:b/>
          <w:sz w:val="28"/>
          <w:szCs w:val="28"/>
        </w:rPr>
      </w:pPr>
      <w:r w:rsidRPr="00C93A58">
        <w:rPr>
          <w:rFonts w:ascii="Times New Roman" w:hAnsi="Times New Roman" w:cs="Times New Roman"/>
          <w:b/>
          <w:spacing w:val="2"/>
          <w:sz w:val="28"/>
          <w:szCs w:val="28"/>
        </w:rPr>
        <w:t>ДИВрг</w:t>
      </w:r>
      <w:r w:rsidRPr="00C93A58">
        <w:rPr>
          <w:rFonts w:ascii="Times New Roman" w:hAnsi="Times New Roman" w:cs="Times New Roman"/>
          <w:b/>
          <w:sz w:val="28"/>
          <w:szCs w:val="28"/>
        </w:rPr>
        <w:t xml:space="preserve"> = ЧП × </w:t>
      </w:r>
      <w:r w:rsidRPr="00C93A58">
        <w:rPr>
          <w:rFonts w:ascii="Times New Roman" w:hAnsi="Times New Roman" w:cs="Times New Roman"/>
          <w:b/>
          <w:sz w:val="28"/>
          <w:szCs w:val="28"/>
          <w:lang w:val="en-US"/>
        </w:rPr>
        <w:t>H</w:t>
      </w:r>
      <w:r w:rsidRPr="00C93A58">
        <w:rPr>
          <w:rFonts w:ascii="Times New Roman" w:hAnsi="Times New Roman" w:cs="Times New Roman"/>
          <w:sz w:val="28"/>
          <w:szCs w:val="28"/>
        </w:rPr>
        <w:t xml:space="preserve">, </w:t>
      </w:r>
      <w:r w:rsidRPr="00C93A58">
        <w:rPr>
          <w:rFonts w:ascii="Times New Roman" w:hAnsi="Times New Roman" w:cs="Times New Roman"/>
          <w:b/>
          <w:sz w:val="28"/>
          <w:szCs w:val="28"/>
        </w:rPr>
        <w:t>где</w:t>
      </w:r>
    </w:p>
    <w:p w:rsidR="005D6ACF" w:rsidRPr="00C93A58" w:rsidRDefault="005D6ACF" w:rsidP="005D6ACF">
      <w:pPr>
        <w:pStyle w:val="ConsPlusNormal"/>
        <w:tabs>
          <w:tab w:val="left" w:pos="6096"/>
        </w:tabs>
        <w:ind w:firstLine="540"/>
        <w:jc w:val="both"/>
        <w:rPr>
          <w:rFonts w:ascii="Times New Roman" w:hAnsi="Times New Roman" w:cs="Times New Roman"/>
          <w:sz w:val="28"/>
          <w:szCs w:val="28"/>
        </w:rPr>
      </w:pPr>
    </w:p>
    <w:p w:rsidR="005D6ACF" w:rsidRPr="00C93A58" w:rsidRDefault="005D6ACF" w:rsidP="005D6ACF">
      <w:pPr>
        <w:pStyle w:val="ConsPlusNormal"/>
        <w:tabs>
          <w:tab w:val="left" w:pos="6096"/>
        </w:tabs>
        <w:ind w:firstLine="709"/>
        <w:jc w:val="both"/>
        <w:rPr>
          <w:rFonts w:ascii="Times New Roman" w:hAnsi="Times New Roman" w:cs="Times New Roman"/>
          <w:sz w:val="28"/>
          <w:szCs w:val="28"/>
        </w:rPr>
      </w:pPr>
      <w:r w:rsidRPr="00C93A58">
        <w:rPr>
          <w:rFonts w:ascii="Times New Roman" w:hAnsi="Times New Roman" w:cs="Times New Roman"/>
          <w:sz w:val="28"/>
          <w:szCs w:val="28"/>
        </w:rPr>
        <w:t>ЧП - суммарный размер чистой прибыли в прогнозируемому году;</w:t>
      </w:r>
    </w:p>
    <w:p w:rsidR="005D6ACF" w:rsidRDefault="005D6ACF" w:rsidP="005D6ACF">
      <w:pPr>
        <w:pStyle w:val="ConsPlusNormal"/>
        <w:tabs>
          <w:tab w:val="left" w:pos="6096"/>
        </w:tabs>
        <w:ind w:firstLine="709"/>
        <w:jc w:val="both"/>
        <w:rPr>
          <w:rFonts w:ascii="Times New Roman" w:hAnsi="Times New Roman" w:cs="Times New Roman"/>
          <w:sz w:val="28"/>
          <w:szCs w:val="28"/>
        </w:rPr>
      </w:pPr>
      <w:r w:rsidRPr="00C93A58">
        <w:rPr>
          <w:rFonts w:ascii="Times New Roman" w:hAnsi="Times New Roman" w:cs="Times New Roman"/>
          <w:sz w:val="28"/>
          <w:szCs w:val="28"/>
        </w:rPr>
        <w:t>Н - установленный норматив отчислений от чистой прибыли.</w:t>
      </w:r>
    </w:p>
    <w:p w:rsidR="005D6ACF" w:rsidRDefault="005D6ACF" w:rsidP="005D6ACF">
      <w:pPr>
        <w:ind w:firstLine="709"/>
        <w:jc w:val="both"/>
        <w:rPr>
          <w:sz w:val="28"/>
          <w:szCs w:val="28"/>
        </w:rPr>
      </w:pPr>
      <w:r w:rsidRPr="00B427C4">
        <w:rPr>
          <w:sz w:val="28"/>
          <w:szCs w:val="28"/>
        </w:rPr>
        <w:t>Прогноз доходов от получения дивидендов составлен с учетом планов финансово-хозяйственной деятельности акционерных обществ, обществ с ограниченной ответственностью, 100% акций (долей) которых находятся в государственной собственности Тверской области на 202</w:t>
      </w:r>
      <w:r>
        <w:rPr>
          <w:sz w:val="28"/>
          <w:szCs w:val="28"/>
        </w:rPr>
        <w:t>1</w:t>
      </w:r>
      <w:r w:rsidRPr="00B427C4">
        <w:rPr>
          <w:sz w:val="28"/>
          <w:szCs w:val="28"/>
        </w:rPr>
        <w:t xml:space="preserve"> – 202</w:t>
      </w:r>
      <w:r>
        <w:rPr>
          <w:sz w:val="28"/>
          <w:szCs w:val="28"/>
        </w:rPr>
        <w:t>3</w:t>
      </w:r>
      <w:r w:rsidRPr="00B427C4">
        <w:rPr>
          <w:sz w:val="28"/>
          <w:szCs w:val="28"/>
        </w:rPr>
        <w:t xml:space="preserve"> годы и размера дивидендов, подлежащих перечислению в областной бюджет Тверской области из расчета 50 %</w:t>
      </w:r>
      <w:r>
        <w:rPr>
          <w:sz w:val="28"/>
          <w:szCs w:val="28"/>
        </w:rPr>
        <w:t>*</w:t>
      </w:r>
      <w:r w:rsidRPr="00B427C4">
        <w:rPr>
          <w:sz w:val="28"/>
          <w:szCs w:val="28"/>
        </w:rPr>
        <w:t xml:space="preserve"> от чистой прибыли составит:</w:t>
      </w:r>
    </w:p>
    <w:p w:rsidR="005D6ACF" w:rsidRPr="00B427C4" w:rsidRDefault="005D6ACF" w:rsidP="005D6ACF">
      <w:pPr>
        <w:ind w:firstLine="709"/>
        <w:jc w:val="both"/>
        <w:rPr>
          <w:sz w:val="28"/>
          <w:szCs w:val="28"/>
        </w:rPr>
      </w:pPr>
    </w:p>
    <w:p w:rsidR="005D6ACF" w:rsidRDefault="005D6ACF" w:rsidP="005D6ACF">
      <w:pPr>
        <w:jc w:val="right"/>
        <w:rPr>
          <w:bCs/>
        </w:rPr>
      </w:pPr>
      <w:r>
        <w:rPr>
          <w:bCs/>
        </w:rPr>
        <w:t>тыс. руб.</w:t>
      </w:r>
    </w:p>
    <w:p w:rsidR="005D6ACF" w:rsidRDefault="005D6ACF" w:rsidP="005D6ACF">
      <w:pPr>
        <w:ind w:firstLine="709"/>
        <w:jc w:val="both"/>
        <w:rPr>
          <w:sz w:val="22"/>
          <w:szCs w:val="22"/>
        </w:rPr>
      </w:pPr>
    </w:p>
    <w:tbl>
      <w:tblPr>
        <w:tblW w:w="10323" w:type="dxa"/>
        <w:tblLayout w:type="fixed"/>
        <w:tblLook w:val="04A0" w:firstRow="1" w:lastRow="0" w:firstColumn="1" w:lastColumn="0" w:noHBand="0" w:noVBand="1"/>
      </w:tblPr>
      <w:tblGrid>
        <w:gridCol w:w="465"/>
        <w:gridCol w:w="2791"/>
        <w:gridCol w:w="1275"/>
        <w:gridCol w:w="1025"/>
        <w:gridCol w:w="11"/>
        <w:gridCol w:w="1232"/>
        <w:gridCol w:w="1076"/>
        <w:gridCol w:w="26"/>
        <w:gridCol w:w="1308"/>
        <w:gridCol w:w="1079"/>
        <w:gridCol w:w="35"/>
      </w:tblGrid>
      <w:tr w:rsidR="005D6ACF" w:rsidRPr="00B72764" w:rsidTr="008A253E">
        <w:trPr>
          <w:trHeight w:val="423"/>
        </w:trPr>
        <w:tc>
          <w:tcPr>
            <w:tcW w:w="46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D6ACF" w:rsidRPr="00B72764" w:rsidRDefault="005D6ACF" w:rsidP="008A253E">
            <w:pPr>
              <w:jc w:val="center"/>
              <w:rPr>
                <w:color w:val="000000"/>
                <w:sz w:val="22"/>
                <w:szCs w:val="22"/>
              </w:rPr>
            </w:pPr>
            <w:r w:rsidRPr="00B72764">
              <w:rPr>
                <w:color w:val="000000"/>
                <w:sz w:val="22"/>
                <w:szCs w:val="22"/>
              </w:rPr>
              <w:t>п/п</w:t>
            </w:r>
          </w:p>
        </w:tc>
        <w:tc>
          <w:tcPr>
            <w:tcW w:w="27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6ACF" w:rsidRPr="00B72764" w:rsidRDefault="005D6ACF" w:rsidP="008A253E">
            <w:pPr>
              <w:jc w:val="center"/>
              <w:rPr>
                <w:color w:val="000000"/>
                <w:sz w:val="22"/>
                <w:szCs w:val="22"/>
              </w:rPr>
            </w:pPr>
            <w:r w:rsidRPr="00B72764">
              <w:rPr>
                <w:color w:val="000000"/>
                <w:sz w:val="22"/>
                <w:szCs w:val="22"/>
              </w:rPr>
              <w:t> </w:t>
            </w:r>
          </w:p>
        </w:tc>
        <w:tc>
          <w:tcPr>
            <w:tcW w:w="7067" w:type="dxa"/>
            <w:gridSpan w:val="9"/>
            <w:tcBorders>
              <w:top w:val="single" w:sz="4" w:space="0" w:color="auto"/>
              <w:left w:val="nil"/>
              <w:bottom w:val="single" w:sz="4" w:space="0" w:color="auto"/>
              <w:right w:val="single" w:sz="4" w:space="0" w:color="auto"/>
            </w:tcBorders>
            <w:shd w:val="clear" w:color="auto" w:fill="auto"/>
            <w:vAlign w:val="center"/>
            <w:hideMark/>
          </w:tcPr>
          <w:p w:rsidR="005D6ACF" w:rsidRPr="00B72764" w:rsidRDefault="005D6ACF" w:rsidP="008A253E">
            <w:pPr>
              <w:jc w:val="center"/>
              <w:rPr>
                <w:b/>
                <w:bCs/>
                <w:color w:val="000000"/>
                <w:sz w:val="22"/>
                <w:szCs w:val="22"/>
              </w:rPr>
            </w:pPr>
            <w:r w:rsidRPr="00B72764">
              <w:rPr>
                <w:b/>
                <w:bCs/>
                <w:color w:val="000000"/>
                <w:sz w:val="22"/>
                <w:szCs w:val="22"/>
              </w:rPr>
              <w:t>ПРОГНОЗ ДОХОДОВ</w:t>
            </w:r>
          </w:p>
        </w:tc>
      </w:tr>
      <w:tr w:rsidR="005D6ACF" w:rsidRPr="00B72764" w:rsidTr="008A253E">
        <w:trPr>
          <w:trHeight w:val="302"/>
        </w:trPr>
        <w:tc>
          <w:tcPr>
            <w:tcW w:w="465" w:type="dxa"/>
            <w:vMerge/>
            <w:tcBorders>
              <w:top w:val="single" w:sz="4" w:space="0" w:color="auto"/>
              <w:left w:val="single" w:sz="4" w:space="0" w:color="auto"/>
              <w:bottom w:val="single" w:sz="4" w:space="0" w:color="000000"/>
              <w:right w:val="single" w:sz="4" w:space="0" w:color="auto"/>
            </w:tcBorders>
            <w:vAlign w:val="center"/>
            <w:hideMark/>
          </w:tcPr>
          <w:p w:rsidR="005D6ACF" w:rsidRPr="00B72764" w:rsidRDefault="005D6ACF" w:rsidP="008A253E">
            <w:pPr>
              <w:rPr>
                <w:color w:val="000000"/>
                <w:sz w:val="22"/>
                <w:szCs w:val="22"/>
              </w:rPr>
            </w:pPr>
          </w:p>
        </w:tc>
        <w:tc>
          <w:tcPr>
            <w:tcW w:w="2791" w:type="dxa"/>
            <w:vMerge/>
            <w:tcBorders>
              <w:top w:val="single" w:sz="4" w:space="0" w:color="auto"/>
              <w:left w:val="single" w:sz="4" w:space="0" w:color="auto"/>
              <w:bottom w:val="single" w:sz="4" w:space="0" w:color="auto"/>
              <w:right w:val="single" w:sz="4" w:space="0" w:color="auto"/>
            </w:tcBorders>
            <w:vAlign w:val="center"/>
            <w:hideMark/>
          </w:tcPr>
          <w:p w:rsidR="005D6ACF" w:rsidRPr="00B72764" w:rsidRDefault="005D6ACF" w:rsidP="008A253E">
            <w:pPr>
              <w:rPr>
                <w:color w:val="000000"/>
                <w:sz w:val="22"/>
                <w:szCs w:val="22"/>
              </w:rPr>
            </w:pPr>
          </w:p>
        </w:tc>
        <w:tc>
          <w:tcPr>
            <w:tcW w:w="2311" w:type="dxa"/>
            <w:gridSpan w:val="3"/>
            <w:tcBorders>
              <w:top w:val="single" w:sz="4" w:space="0" w:color="auto"/>
              <w:left w:val="nil"/>
              <w:bottom w:val="single" w:sz="4" w:space="0" w:color="auto"/>
              <w:right w:val="single" w:sz="4" w:space="0" w:color="auto"/>
            </w:tcBorders>
            <w:shd w:val="clear" w:color="auto" w:fill="auto"/>
            <w:vAlign w:val="center"/>
            <w:hideMark/>
          </w:tcPr>
          <w:p w:rsidR="005D6ACF" w:rsidRPr="00B72764" w:rsidRDefault="005D6ACF" w:rsidP="008A253E">
            <w:pPr>
              <w:jc w:val="center"/>
              <w:rPr>
                <w:b/>
                <w:bCs/>
                <w:color w:val="000000"/>
                <w:sz w:val="22"/>
                <w:szCs w:val="22"/>
              </w:rPr>
            </w:pPr>
            <w:r w:rsidRPr="00B72764">
              <w:rPr>
                <w:b/>
                <w:bCs/>
                <w:color w:val="000000"/>
                <w:sz w:val="22"/>
                <w:szCs w:val="22"/>
              </w:rPr>
              <w:t>2022 год</w:t>
            </w:r>
          </w:p>
        </w:tc>
        <w:tc>
          <w:tcPr>
            <w:tcW w:w="2334" w:type="dxa"/>
            <w:gridSpan w:val="3"/>
            <w:tcBorders>
              <w:top w:val="single" w:sz="4" w:space="0" w:color="auto"/>
              <w:left w:val="nil"/>
              <w:bottom w:val="single" w:sz="4" w:space="0" w:color="auto"/>
              <w:right w:val="single" w:sz="4" w:space="0" w:color="auto"/>
            </w:tcBorders>
            <w:shd w:val="clear" w:color="auto" w:fill="auto"/>
            <w:vAlign w:val="center"/>
            <w:hideMark/>
          </w:tcPr>
          <w:p w:rsidR="005D6ACF" w:rsidRPr="00B72764" w:rsidRDefault="005D6ACF" w:rsidP="008A253E">
            <w:pPr>
              <w:jc w:val="center"/>
              <w:rPr>
                <w:b/>
                <w:bCs/>
                <w:color w:val="000000"/>
                <w:sz w:val="22"/>
                <w:szCs w:val="22"/>
              </w:rPr>
            </w:pPr>
            <w:r w:rsidRPr="00B72764">
              <w:rPr>
                <w:b/>
                <w:bCs/>
                <w:color w:val="000000"/>
                <w:sz w:val="22"/>
                <w:szCs w:val="22"/>
              </w:rPr>
              <w:t>2023 год</w:t>
            </w:r>
          </w:p>
        </w:tc>
        <w:tc>
          <w:tcPr>
            <w:tcW w:w="2422" w:type="dxa"/>
            <w:gridSpan w:val="3"/>
            <w:tcBorders>
              <w:top w:val="single" w:sz="4" w:space="0" w:color="auto"/>
              <w:left w:val="nil"/>
              <w:bottom w:val="single" w:sz="4" w:space="0" w:color="auto"/>
              <w:right w:val="single" w:sz="4" w:space="0" w:color="auto"/>
            </w:tcBorders>
            <w:shd w:val="clear" w:color="auto" w:fill="auto"/>
            <w:vAlign w:val="center"/>
            <w:hideMark/>
          </w:tcPr>
          <w:p w:rsidR="005D6ACF" w:rsidRPr="00B72764" w:rsidRDefault="005D6ACF" w:rsidP="008A253E">
            <w:pPr>
              <w:jc w:val="center"/>
              <w:rPr>
                <w:b/>
                <w:bCs/>
                <w:color w:val="000000"/>
                <w:sz w:val="22"/>
                <w:szCs w:val="22"/>
              </w:rPr>
            </w:pPr>
            <w:r w:rsidRPr="00B72764">
              <w:rPr>
                <w:b/>
                <w:bCs/>
                <w:color w:val="000000"/>
                <w:sz w:val="22"/>
                <w:szCs w:val="22"/>
              </w:rPr>
              <w:t>2024 год</w:t>
            </w:r>
          </w:p>
        </w:tc>
      </w:tr>
      <w:tr w:rsidR="005D6ACF" w:rsidRPr="00B72764" w:rsidTr="008A253E">
        <w:trPr>
          <w:gridAfter w:val="1"/>
          <w:wAfter w:w="35" w:type="dxa"/>
          <w:trHeight w:val="3401"/>
        </w:trPr>
        <w:tc>
          <w:tcPr>
            <w:tcW w:w="465" w:type="dxa"/>
            <w:vMerge/>
            <w:tcBorders>
              <w:top w:val="single" w:sz="4" w:space="0" w:color="auto"/>
              <w:left w:val="single" w:sz="4" w:space="0" w:color="auto"/>
              <w:bottom w:val="single" w:sz="4" w:space="0" w:color="000000"/>
              <w:right w:val="single" w:sz="4" w:space="0" w:color="auto"/>
            </w:tcBorders>
            <w:vAlign w:val="center"/>
            <w:hideMark/>
          </w:tcPr>
          <w:p w:rsidR="005D6ACF" w:rsidRPr="00B72764" w:rsidRDefault="005D6ACF" w:rsidP="008A253E">
            <w:pPr>
              <w:rPr>
                <w:color w:val="000000"/>
                <w:sz w:val="22"/>
                <w:szCs w:val="22"/>
              </w:rPr>
            </w:pPr>
          </w:p>
        </w:tc>
        <w:tc>
          <w:tcPr>
            <w:tcW w:w="2791" w:type="dxa"/>
            <w:vMerge/>
            <w:tcBorders>
              <w:top w:val="single" w:sz="4" w:space="0" w:color="auto"/>
              <w:left w:val="single" w:sz="4" w:space="0" w:color="auto"/>
              <w:bottom w:val="single" w:sz="4" w:space="0" w:color="auto"/>
              <w:right w:val="single" w:sz="4" w:space="0" w:color="auto"/>
            </w:tcBorders>
            <w:vAlign w:val="center"/>
            <w:hideMark/>
          </w:tcPr>
          <w:p w:rsidR="005D6ACF" w:rsidRPr="00B72764" w:rsidRDefault="005D6ACF" w:rsidP="008A253E">
            <w:pPr>
              <w:rPr>
                <w:color w:val="000000"/>
                <w:sz w:val="22"/>
                <w:szCs w:val="22"/>
              </w:rPr>
            </w:pPr>
          </w:p>
        </w:tc>
        <w:tc>
          <w:tcPr>
            <w:tcW w:w="1275" w:type="dxa"/>
            <w:tcBorders>
              <w:top w:val="nil"/>
              <w:left w:val="nil"/>
              <w:bottom w:val="single" w:sz="4" w:space="0" w:color="auto"/>
              <w:right w:val="single" w:sz="4" w:space="0" w:color="auto"/>
            </w:tcBorders>
            <w:shd w:val="clear" w:color="auto" w:fill="auto"/>
            <w:vAlign w:val="center"/>
            <w:hideMark/>
          </w:tcPr>
          <w:p w:rsidR="005D6ACF" w:rsidRPr="00B72764" w:rsidRDefault="005D6ACF" w:rsidP="008A253E">
            <w:pPr>
              <w:jc w:val="center"/>
              <w:rPr>
                <w:color w:val="000000"/>
                <w:sz w:val="22"/>
                <w:szCs w:val="22"/>
              </w:rPr>
            </w:pPr>
            <w:r w:rsidRPr="00B72764">
              <w:rPr>
                <w:color w:val="000000"/>
                <w:sz w:val="22"/>
                <w:szCs w:val="22"/>
              </w:rPr>
              <w:t>Чистая прибыль 2021 года, от которой произво</w:t>
            </w:r>
            <w:r w:rsidRPr="00B72764">
              <w:rPr>
                <w:color w:val="000000"/>
                <w:sz w:val="22"/>
                <w:szCs w:val="22"/>
              </w:rPr>
              <w:softHyphen/>
              <w:t>дится расчет дивиден</w:t>
            </w:r>
            <w:r w:rsidRPr="00B72764">
              <w:rPr>
                <w:color w:val="000000"/>
                <w:sz w:val="22"/>
                <w:szCs w:val="22"/>
              </w:rPr>
              <w:softHyphen/>
              <w:t>дов, подле</w:t>
            </w:r>
            <w:r w:rsidRPr="00B72764">
              <w:rPr>
                <w:color w:val="000000"/>
                <w:sz w:val="22"/>
                <w:szCs w:val="22"/>
              </w:rPr>
              <w:softHyphen/>
              <w:t>жащих перечисле</w:t>
            </w:r>
            <w:r w:rsidRPr="00B72764">
              <w:rPr>
                <w:color w:val="000000"/>
                <w:sz w:val="22"/>
                <w:szCs w:val="22"/>
              </w:rPr>
              <w:softHyphen/>
              <w:t xml:space="preserve">нию в бюджет Тверской области </w:t>
            </w:r>
          </w:p>
        </w:tc>
        <w:tc>
          <w:tcPr>
            <w:tcW w:w="1025" w:type="dxa"/>
            <w:tcBorders>
              <w:top w:val="nil"/>
              <w:left w:val="nil"/>
              <w:bottom w:val="single" w:sz="4" w:space="0" w:color="auto"/>
              <w:right w:val="single" w:sz="4" w:space="0" w:color="auto"/>
            </w:tcBorders>
            <w:shd w:val="clear" w:color="auto" w:fill="auto"/>
            <w:vAlign w:val="center"/>
            <w:hideMark/>
          </w:tcPr>
          <w:p w:rsidR="005D6ACF" w:rsidRPr="00B72764" w:rsidRDefault="005D6ACF" w:rsidP="008A253E">
            <w:pPr>
              <w:jc w:val="center"/>
              <w:rPr>
                <w:color w:val="000000"/>
                <w:sz w:val="22"/>
                <w:szCs w:val="22"/>
              </w:rPr>
            </w:pPr>
            <w:r w:rsidRPr="00B72764">
              <w:rPr>
                <w:color w:val="000000"/>
                <w:sz w:val="22"/>
                <w:szCs w:val="22"/>
              </w:rPr>
              <w:t>Дивиден</w:t>
            </w:r>
            <w:r w:rsidRPr="00B72764">
              <w:rPr>
                <w:color w:val="000000"/>
                <w:sz w:val="22"/>
                <w:szCs w:val="22"/>
              </w:rPr>
              <w:softHyphen/>
              <w:t>ды, прогно</w:t>
            </w:r>
            <w:r w:rsidRPr="00B72764">
              <w:rPr>
                <w:color w:val="000000"/>
                <w:sz w:val="22"/>
                <w:szCs w:val="22"/>
              </w:rPr>
              <w:softHyphen/>
              <w:t>зируемые к перечис</w:t>
            </w:r>
            <w:r w:rsidRPr="00B72764">
              <w:rPr>
                <w:color w:val="000000"/>
                <w:sz w:val="22"/>
                <w:szCs w:val="22"/>
              </w:rPr>
              <w:softHyphen/>
              <w:t>лению в областной бюджет Тверской области 50%</w:t>
            </w:r>
          </w:p>
        </w:tc>
        <w:tc>
          <w:tcPr>
            <w:tcW w:w="1243" w:type="dxa"/>
            <w:gridSpan w:val="2"/>
            <w:tcBorders>
              <w:top w:val="nil"/>
              <w:left w:val="nil"/>
              <w:bottom w:val="single" w:sz="4" w:space="0" w:color="auto"/>
              <w:right w:val="single" w:sz="4" w:space="0" w:color="auto"/>
            </w:tcBorders>
            <w:shd w:val="clear" w:color="auto" w:fill="auto"/>
            <w:vAlign w:val="center"/>
            <w:hideMark/>
          </w:tcPr>
          <w:p w:rsidR="005D6ACF" w:rsidRPr="00B72764" w:rsidRDefault="005D6ACF" w:rsidP="008A253E">
            <w:pPr>
              <w:jc w:val="center"/>
              <w:rPr>
                <w:color w:val="000000"/>
                <w:sz w:val="22"/>
                <w:szCs w:val="22"/>
              </w:rPr>
            </w:pPr>
            <w:r w:rsidRPr="00B72764">
              <w:rPr>
                <w:color w:val="000000"/>
                <w:sz w:val="22"/>
                <w:szCs w:val="22"/>
              </w:rPr>
              <w:t>Чистая прибыль 2022 года, от которой произво</w:t>
            </w:r>
            <w:r w:rsidRPr="00B72764">
              <w:rPr>
                <w:color w:val="000000"/>
                <w:sz w:val="22"/>
                <w:szCs w:val="22"/>
              </w:rPr>
              <w:softHyphen/>
              <w:t>дится расчет дивиден</w:t>
            </w:r>
            <w:r w:rsidRPr="00B72764">
              <w:rPr>
                <w:color w:val="000000"/>
                <w:sz w:val="22"/>
                <w:szCs w:val="22"/>
              </w:rPr>
              <w:softHyphen/>
              <w:t>дов, подлежа</w:t>
            </w:r>
            <w:r w:rsidRPr="00B72764">
              <w:rPr>
                <w:color w:val="000000"/>
                <w:sz w:val="22"/>
                <w:szCs w:val="22"/>
              </w:rPr>
              <w:softHyphen/>
              <w:t>щих перечисле</w:t>
            </w:r>
            <w:r w:rsidRPr="00B72764">
              <w:rPr>
                <w:color w:val="000000"/>
                <w:sz w:val="22"/>
                <w:szCs w:val="22"/>
              </w:rPr>
              <w:softHyphen/>
              <w:t xml:space="preserve">нию в бюджет Тверской области </w:t>
            </w:r>
          </w:p>
        </w:tc>
        <w:tc>
          <w:tcPr>
            <w:tcW w:w="1076" w:type="dxa"/>
            <w:tcBorders>
              <w:top w:val="nil"/>
              <w:left w:val="nil"/>
              <w:bottom w:val="single" w:sz="4" w:space="0" w:color="auto"/>
              <w:right w:val="single" w:sz="4" w:space="0" w:color="auto"/>
            </w:tcBorders>
            <w:shd w:val="clear" w:color="auto" w:fill="auto"/>
            <w:vAlign w:val="center"/>
            <w:hideMark/>
          </w:tcPr>
          <w:p w:rsidR="005D6ACF" w:rsidRPr="00B72764" w:rsidRDefault="005D6ACF" w:rsidP="008A253E">
            <w:pPr>
              <w:jc w:val="center"/>
              <w:rPr>
                <w:color w:val="000000"/>
                <w:sz w:val="22"/>
                <w:szCs w:val="22"/>
              </w:rPr>
            </w:pPr>
            <w:r w:rsidRPr="00B72764">
              <w:rPr>
                <w:color w:val="000000"/>
                <w:sz w:val="22"/>
                <w:szCs w:val="22"/>
              </w:rPr>
              <w:t>Дивиден</w:t>
            </w:r>
            <w:r w:rsidRPr="00B72764">
              <w:rPr>
                <w:color w:val="000000"/>
                <w:sz w:val="22"/>
                <w:szCs w:val="22"/>
              </w:rPr>
              <w:softHyphen/>
              <w:t>ды, прогнози</w:t>
            </w:r>
            <w:r w:rsidRPr="00B72764">
              <w:rPr>
                <w:color w:val="000000"/>
                <w:sz w:val="22"/>
                <w:szCs w:val="22"/>
              </w:rPr>
              <w:softHyphen/>
              <w:t>руемые к перечисле</w:t>
            </w:r>
            <w:r w:rsidRPr="00B72764">
              <w:rPr>
                <w:color w:val="000000"/>
                <w:sz w:val="22"/>
                <w:szCs w:val="22"/>
              </w:rPr>
              <w:softHyphen/>
              <w:t>нию в областной бюджет Тверской области 50%</w:t>
            </w:r>
          </w:p>
        </w:tc>
        <w:tc>
          <w:tcPr>
            <w:tcW w:w="1334" w:type="dxa"/>
            <w:gridSpan w:val="2"/>
            <w:tcBorders>
              <w:top w:val="nil"/>
              <w:left w:val="nil"/>
              <w:bottom w:val="single" w:sz="4" w:space="0" w:color="auto"/>
              <w:right w:val="single" w:sz="4" w:space="0" w:color="auto"/>
            </w:tcBorders>
            <w:shd w:val="clear" w:color="auto" w:fill="auto"/>
            <w:vAlign w:val="center"/>
            <w:hideMark/>
          </w:tcPr>
          <w:p w:rsidR="005D6ACF" w:rsidRPr="00B72764" w:rsidRDefault="005D6ACF" w:rsidP="008A253E">
            <w:pPr>
              <w:jc w:val="center"/>
              <w:rPr>
                <w:color w:val="000000"/>
                <w:sz w:val="22"/>
                <w:szCs w:val="22"/>
              </w:rPr>
            </w:pPr>
            <w:r w:rsidRPr="00B72764">
              <w:rPr>
                <w:color w:val="000000"/>
                <w:sz w:val="22"/>
                <w:szCs w:val="22"/>
              </w:rPr>
              <w:t>Чистая прибыль 2023 года, от которой произво</w:t>
            </w:r>
            <w:r w:rsidRPr="00B72764">
              <w:rPr>
                <w:color w:val="000000"/>
                <w:sz w:val="22"/>
                <w:szCs w:val="22"/>
              </w:rPr>
              <w:softHyphen/>
              <w:t>дится расчет дивиден</w:t>
            </w:r>
            <w:r w:rsidRPr="00B72764">
              <w:rPr>
                <w:color w:val="000000"/>
                <w:sz w:val="22"/>
                <w:szCs w:val="22"/>
              </w:rPr>
              <w:softHyphen/>
              <w:t>дов, подлежа</w:t>
            </w:r>
            <w:r w:rsidRPr="00B72764">
              <w:rPr>
                <w:color w:val="000000"/>
                <w:sz w:val="22"/>
                <w:szCs w:val="22"/>
              </w:rPr>
              <w:softHyphen/>
              <w:t>щих перечисле</w:t>
            </w:r>
            <w:r w:rsidRPr="00B72764">
              <w:rPr>
                <w:color w:val="000000"/>
                <w:sz w:val="22"/>
                <w:szCs w:val="22"/>
              </w:rPr>
              <w:softHyphen/>
              <w:t>нию в бюджет Тверской области</w:t>
            </w:r>
          </w:p>
        </w:tc>
        <w:tc>
          <w:tcPr>
            <w:tcW w:w="1079" w:type="dxa"/>
            <w:tcBorders>
              <w:top w:val="nil"/>
              <w:left w:val="nil"/>
              <w:bottom w:val="single" w:sz="4" w:space="0" w:color="auto"/>
              <w:right w:val="single" w:sz="4" w:space="0" w:color="auto"/>
            </w:tcBorders>
            <w:shd w:val="clear" w:color="auto" w:fill="auto"/>
            <w:vAlign w:val="center"/>
            <w:hideMark/>
          </w:tcPr>
          <w:p w:rsidR="005D6ACF" w:rsidRPr="00B72764" w:rsidRDefault="005D6ACF" w:rsidP="008A253E">
            <w:pPr>
              <w:jc w:val="center"/>
              <w:rPr>
                <w:color w:val="000000"/>
                <w:sz w:val="22"/>
                <w:szCs w:val="22"/>
              </w:rPr>
            </w:pPr>
            <w:r w:rsidRPr="00B72764">
              <w:rPr>
                <w:color w:val="000000"/>
                <w:sz w:val="22"/>
                <w:szCs w:val="22"/>
              </w:rPr>
              <w:t>Дивиден</w:t>
            </w:r>
            <w:r w:rsidRPr="00B72764">
              <w:rPr>
                <w:color w:val="000000"/>
                <w:sz w:val="22"/>
                <w:szCs w:val="22"/>
              </w:rPr>
              <w:softHyphen/>
              <w:t>ды, прогнози</w:t>
            </w:r>
            <w:r w:rsidRPr="00B72764">
              <w:rPr>
                <w:color w:val="000000"/>
                <w:sz w:val="22"/>
                <w:szCs w:val="22"/>
              </w:rPr>
              <w:softHyphen/>
              <w:t>руемые к перечисле</w:t>
            </w:r>
            <w:r w:rsidRPr="00B72764">
              <w:rPr>
                <w:color w:val="000000"/>
                <w:sz w:val="22"/>
                <w:szCs w:val="22"/>
              </w:rPr>
              <w:softHyphen/>
              <w:t>нию в областной бюджет Тверской области 50%</w:t>
            </w:r>
          </w:p>
        </w:tc>
      </w:tr>
      <w:tr w:rsidR="005D6ACF" w:rsidRPr="00B72764" w:rsidTr="008A253E">
        <w:trPr>
          <w:gridAfter w:val="1"/>
          <w:wAfter w:w="35" w:type="dxa"/>
          <w:trHeight w:val="302"/>
        </w:trPr>
        <w:tc>
          <w:tcPr>
            <w:tcW w:w="465" w:type="dxa"/>
            <w:tcBorders>
              <w:top w:val="nil"/>
              <w:left w:val="single" w:sz="4" w:space="0" w:color="auto"/>
              <w:bottom w:val="single" w:sz="4" w:space="0" w:color="auto"/>
              <w:right w:val="single" w:sz="4" w:space="0" w:color="auto"/>
            </w:tcBorders>
            <w:shd w:val="clear" w:color="auto" w:fill="auto"/>
            <w:vAlign w:val="center"/>
            <w:hideMark/>
          </w:tcPr>
          <w:p w:rsidR="005D6ACF" w:rsidRPr="00B72764" w:rsidRDefault="005D6ACF" w:rsidP="008A253E">
            <w:pPr>
              <w:jc w:val="center"/>
              <w:rPr>
                <w:color w:val="000000"/>
                <w:sz w:val="22"/>
                <w:szCs w:val="22"/>
              </w:rPr>
            </w:pPr>
            <w:r w:rsidRPr="00B72764">
              <w:rPr>
                <w:color w:val="000000"/>
                <w:sz w:val="22"/>
                <w:szCs w:val="22"/>
              </w:rPr>
              <w:t>1</w:t>
            </w:r>
          </w:p>
        </w:tc>
        <w:tc>
          <w:tcPr>
            <w:tcW w:w="2791" w:type="dxa"/>
            <w:tcBorders>
              <w:top w:val="nil"/>
              <w:left w:val="nil"/>
              <w:bottom w:val="single" w:sz="4" w:space="0" w:color="auto"/>
              <w:right w:val="single" w:sz="4" w:space="0" w:color="auto"/>
            </w:tcBorders>
            <w:shd w:val="clear" w:color="auto" w:fill="auto"/>
            <w:vAlign w:val="center"/>
            <w:hideMark/>
          </w:tcPr>
          <w:p w:rsidR="005D6ACF" w:rsidRPr="00B72764" w:rsidRDefault="005D6ACF" w:rsidP="008A253E">
            <w:pPr>
              <w:jc w:val="center"/>
              <w:rPr>
                <w:color w:val="000000"/>
                <w:sz w:val="22"/>
                <w:szCs w:val="22"/>
              </w:rPr>
            </w:pPr>
            <w:r w:rsidRPr="00B72764">
              <w:rPr>
                <w:color w:val="000000"/>
                <w:sz w:val="22"/>
                <w:szCs w:val="22"/>
              </w:rPr>
              <w:t>2</w:t>
            </w:r>
          </w:p>
        </w:tc>
        <w:tc>
          <w:tcPr>
            <w:tcW w:w="1275" w:type="dxa"/>
            <w:tcBorders>
              <w:top w:val="nil"/>
              <w:left w:val="nil"/>
              <w:bottom w:val="single" w:sz="4" w:space="0" w:color="auto"/>
              <w:right w:val="single" w:sz="4" w:space="0" w:color="auto"/>
            </w:tcBorders>
            <w:shd w:val="clear" w:color="auto" w:fill="auto"/>
            <w:vAlign w:val="center"/>
            <w:hideMark/>
          </w:tcPr>
          <w:p w:rsidR="005D6ACF" w:rsidRPr="00B72764" w:rsidRDefault="005D6ACF" w:rsidP="008A253E">
            <w:pPr>
              <w:jc w:val="center"/>
              <w:rPr>
                <w:color w:val="000000"/>
                <w:sz w:val="22"/>
                <w:szCs w:val="22"/>
              </w:rPr>
            </w:pPr>
            <w:r w:rsidRPr="00B72764">
              <w:rPr>
                <w:color w:val="000000"/>
                <w:sz w:val="22"/>
                <w:szCs w:val="22"/>
              </w:rPr>
              <w:t>5</w:t>
            </w:r>
          </w:p>
        </w:tc>
        <w:tc>
          <w:tcPr>
            <w:tcW w:w="1025" w:type="dxa"/>
            <w:tcBorders>
              <w:top w:val="nil"/>
              <w:left w:val="nil"/>
              <w:bottom w:val="single" w:sz="4" w:space="0" w:color="auto"/>
              <w:right w:val="single" w:sz="4" w:space="0" w:color="auto"/>
            </w:tcBorders>
            <w:shd w:val="clear" w:color="auto" w:fill="auto"/>
            <w:vAlign w:val="center"/>
            <w:hideMark/>
          </w:tcPr>
          <w:p w:rsidR="005D6ACF" w:rsidRPr="00B72764" w:rsidRDefault="005D6ACF" w:rsidP="008A253E">
            <w:pPr>
              <w:jc w:val="center"/>
              <w:rPr>
                <w:color w:val="000000"/>
                <w:sz w:val="22"/>
                <w:szCs w:val="22"/>
              </w:rPr>
            </w:pPr>
            <w:r w:rsidRPr="00B72764">
              <w:rPr>
                <w:color w:val="000000"/>
                <w:sz w:val="22"/>
                <w:szCs w:val="22"/>
              </w:rPr>
              <w:t>6</w:t>
            </w:r>
          </w:p>
        </w:tc>
        <w:tc>
          <w:tcPr>
            <w:tcW w:w="1243" w:type="dxa"/>
            <w:gridSpan w:val="2"/>
            <w:tcBorders>
              <w:top w:val="nil"/>
              <w:left w:val="nil"/>
              <w:bottom w:val="single" w:sz="4" w:space="0" w:color="auto"/>
              <w:right w:val="single" w:sz="4" w:space="0" w:color="auto"/>
            </w:tcBorders>
            <w:shd w:val="clear" w:color="auto" w:fill="auto"/>
            <w:vAlign w:val="center"/>
            <w:hideMark/>
          </w:tcPr>
          <w:p w:rsidR="005D6ACF" w:rsidRPr="00B72764" w:rsidRDefault="005D6ACF" w:rsidP="008A253E">
            <w:pPr>
              <w:jc w:val="center"/>
              <w:rPr>
                <w:color w:val="000000"/>
                <w:sz w:val="22"/>
                <w:szCs w:val="22"/>
              </w:rPr>
            </w:pPr>
            <w:r w:rsidRPr="00B72764">
              <w:rPr>
                <w:color w:val="000000"/>
                <w:sz w:val="22"/>
                <w:szCs w:val="22"/>
              </w:rPr>
              <w:t>7</w:t>
            </w:r>
          </w:p>
        </w:tc>
        <w:tc>
          <w:tcPr>
            <w:tcW w:w="1076" w:type="dxa"/>
            <w:tcBorders>
              <w:top w:val="nil"/>
              <w:left w:val="nil"/>
              <w:bottom w:val="single" w:sz="4" w:space="0" w:color="auto"/>
              <w:right w:val="single" w:sz="4" w:space="0" w:color="auto"/>
            </w:tcBorders>
            <w:shd w:val="clear" w:color="auto" w:fill="auto"/>
            <w:vAlign w:val="center"/>
            <w:hideMark/>
          </w:tcPr>
          <w:p w:rsidR="005D6ACF" w:rsidRPr="00B72764" w:rsidRDefault="005D6ACF" w:rsidP="008A253E">
            <w:pPr>
              <w:jc w:val="center"/>
              <w:rPr>
                <w:color w:val="000000"/>
                <w:sz w:val="22"/>
                <w:szCs w:val="22"/>
              </w:rPr>
            </w:pPr>
            <w:r w:rsidRPr="00B72764">
              <w:rPr>
                <w:color w:val="000000"/>
                <w:sz w:val="22"/>
                <w:szCs w:val="22"/>
              </w:rPr>
              <w:t>8</w:t>
            </w:r>
          </w:p>
        </w:tc>
        <w:tc>
          <w:tcPr>
            <w:tcW w:w="1334" w:type="dxa"/>
            <w:gridSpan w:val="2"/>
            <w:tcBorders>
              <w:top w:val="nil"/>
              <w:left w:val="nil"/>
              <w:bottom w:val="single" w:sz="4" w:space="0" w:color="auto"/>
              <w:right w:val="single" w:sz="4" w:space="0" w:color="auto"/>
            </w:tcBorders>
            <w:shd w:val="clear" w:color="auto" w:fill="auto"/>
            <w:vAlign w:val="center"/>
            <w:hideMark/>
          </w:tcPr>
          <w:p w:rsidR="005D6ACF" w:rsidRPr="00B72764" w:rsidRDefault="005D6ACF" w:rsidP="008A253E">
            <w:pPr>
              <w:jc w:val="center"/>
              <w:rPr>
                <w:color w:val="000000"/>
                <w:sz w:val="22"/>
                <w:szCs w:val="22"/>
              </w:rPr>
            </w:pPr>
            <w:r w:rsidRPr="00B72764">
              <w:rPr>
                <w:color w:val="000000"/>
                <w:sz w:val="22"/>
                <w:szCs w:val="22"/>
              </w:rPr>
              <w:t>9</w:t>
            </w:r>
          </w:p>
        </w:tc>
        <w:tc>
          <w:tcPr>
            <w:tcW w:w="1079" w:type="dxa"/>
            <w:tcBorders>
              <w:top w:val="nil"/>
              <w:left w:val="nil"/>
              <w:bottom w:val="single" w:sz="4" w:space="0" w:color="auto"/>
              <w:right w:val="single" w:sz="4" w:space="0" w:color="auto"/>
            </w:tcBorders>
            <w:shd w:val="clear" w:color="auto" w:fill="auto"/>
            <w:vAlign w:val="center"/>
            <w:hideMark/>
          </w:tcPr>
          <w:p w:rsidR="005D6ACF" w:rsidRPr="00B72764" w:rsidRDefault="005D6ACF" w:rsidP="008A253E">
            <w:pPr>
              <w:jc w:val="center"/>
              <w:rPr>
                <w:color w:val="000000"/>
                <w:sz w:val="22"/>
                <w:szCs w:val="22"/>
              </w:rPr>
            </w:pPr>
            <w:r w:rsidRPr="00B72764">
              <w:rPr>
                <w:color w:val="000000"/>
                <w:sz w:val="22"/>
                <w:szCs w:val="22"/>
              </w:rPr>
              <w:t>10</w:t>
            </w:r>
          </w:p>
        </w:tc>
      </w:tr>
      <w:tr w:rsidR="005D6ACF" w:rsidRPr="00B72764" w:rsidTr="008A253E">
        <w:trPr>
          <w:trHeight w:val="302"/>
        </w:trPr>
        <w:tc>
          <w:tcPr>
            <w:tcW w:w="10323"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5D6ACF" w:rsidRPr="00B72764" w:rsidRDefault="005D6ACF" w:rsidP="008A253E">
            <w:pPr>
              <w:jc w:val="center"/>
              <w:rPr>
                <w:color w:val="000000"/>
                <w:sz w:val="22"/>
                <w:szCs w:val="22"/>
              </w:rPr>
            </w:pPr>
            <w:r w:rsidRPr="00B72764">
              <w:rPr>
                <w:color w:val="000000"/>
                <w:sz w:val="22"/>
                <w:szCs w:val="22"/>
              </w:rPr>
              <w:t>с долей участия Тверской области 100 %</w:t>
            </w:r>
          </w:p>
        </w:tc>
      </w:tr>
      <w:tr w:rsidR="005D6ACF" w:rsidRPr="00B72764" w:rsidTr="008A253E">
        <w:trPr>
          <w:gridAfter w:val="1"/>
          <w:wAfter w:w="35" w:type="dxa"/>
          <w:trHeight w:val="302"/>
        </w:trPr>
        <w:tc>
          <w:tcPr>
            <w:tcW w:w="465" w:type="dxa"/>
            <w:tcBorders>
              <w:top w:val="nil"/>
              <w:left w:val="single" w:sz="4" w:space="0" w:color="auto"/>
              <w:bottom w:val="single" w:sz="4" w:space="0" w:color="auto"/>
              <w:right w:val="single" w:sz="4" w:space="0" w:color="auto"/>
            </w:tcBorders>
            <w:shd w:val="clear" w:color="auto" w:fill="auto"/>
            <w:vAlign w:val="center"/>
            <w:hideMark/>
          </w:tcPr>
          <w:p w:rsidR="005D6ACF" w:rsidRPr="00B72764" w:rsidRDefault="005D6ACF" w:rsidP="008A253E">
            <w:pPr>
              <w:jc w:val="center"/>
              <w:rPr>
                <w:color w:val="000000"/>
                <w:sz w:val="22"/>
                <w:szCs w:val="22"/>
              </w:rPr>
            </w:pPr>
            <w:r w:rsidRPr="00B72764">
              <w:rPr>
                <w:color w:val="000000"/>
                <w:sz w:val="22"/>
                <w:szCs w:val="22"/>
              </w:rPr>
              <w:t>1</w:t>
            </w:r>
          </w:p>
        </w:tc>
        <w:tc>
          <w:tcPr>
            <w:tcW w:w="2791" w:type="dxa"/>
            <w:tcBorders>
              <w:top w:val="nil"/>
              <w:left w:val="nil"/>
              <w:bottom w:val="single" w:sz="4" w:space="0" w:color="auto"/>
              <w:right w:val="single" w:sz="4" w:space="0" w:color="auto"/>
            </w:tcBorders>
            <w:shd w:val="clear" w:color="auto" w:fill="auto"/>
            <w:vAlign w:val="center"/>
            <w:hideMark/>
          </w:tcPr>
          <w:p w:rsidR="005D6ACF" w:rsidRPr="00B72764" w:rsidRDefault="005D6ACF" w:rsidP="008A253E">
            <w:pPr>
              <w:rPr>
                <w:color w:val="000000"/>
                <w:sz w:val="22"/>
                <w:szCs w:val="22"/>
              </w:rPr>
            </w:pPr>
            <w:r w:rsidRPr="00B72764">
              <w:rPr>
                <w:color w:val="000000"/>
                <w:sz w:val="22"/>
                <w:szCs w:val="22"/>
              </w:rPr>
              <w:t>АО «Краснохолмское ДРСУ»</w:t>
            </w:r>
          </w:p>
        </w:tc>
        <w:tc>
          <w:tcPr>
            <w:tcW w:w="1275" w:type="dxa"/>
            <w:tcBorders>
              <w:top w:val="nil"/>
              <w:left w:val="nil"/>
              <w:bottom w:val="single" w:sz="4" w:space="0" w:color="auto"/>
              <w:right w:val="single" w:sz="4" w:space="0" w:color="auto"/>
            </w:tcBorders>
            <w:shd w:val="clear" w:color="auto" w:fill="auto"/>
            <w:vAlign w:val="center"/>
            <w:hideMark/>
          </w:tcPr>
          <w:p w:rsidR="005D6ACF" w:rsidRPr="00B72764" w:rsidRDefault="005D6ACF" w:rsidP="008A253E">
            <w:pPr>
              <w:jc w:val="center"/>
              <w:rPr>
                <w:color w:val="000000"/>
                <w:sz w:val="22"/>
                <w:szCs w:val="22"/>
              </w:rPr>
            </w:pPr>
            <w:r w:rsidRPr="00B72764">
              <w:rPr>
                <w:color w:val="000000"/>
                <w:sz w:val="22"/>
                <w:szCs w:val="22"/>
              </w:rPr>
              <w:t>1 200,0</w:t>
            </w:r>
          </w:p>
        </w:tc>
        <w:tc>
          <w:tcPr>
            <w:tcW w:w="1025" w:type="dxa"/>
            <w:tcBorders>
              <w:top w:val="nil"/>
              <w:left w:val="nil"/>
              <w:bottom w:val="single" w:sz="4" w:space="0" w:color="auto"/>
              <w:right w:val="single" w:sz="4" w:space="0" w:color="auto"/>
            </w:tcBorders>
            <w:shd w:val="clear" w:color="auto" w:fill="auto"/>
            <w:vAlign w:val="center"/>
            <w:hideMark/>
          </w:tcPr>
          <w:p w:rsidR="005D6ACF" w:rsidRPr="00B72764" w:rsidRDefault="005D6ACF" w:rsidP="008A253E">
            <w:pPr>
              <w:jc w:val="center"/>
              <w:rPr>
                <w:color w:val="000000"/>
                <w:sz w:val="22"/>
                <w:szCs w:val="22"/>
              </w:rPr>
            </w:pPr>
            <w:r w:rsidRPr="00B72764">
              <w:rPr>
                <w:color w:val="000000"/>
                <w:sz w:val="22"/>
                <w:szCs w:val="22"/>
              </w:rPr>
              <w:t>600</w:t>
            </w:r>
          </w:p>
        </w:tc>
        <w:tc>
          <w:tcPr>
            <w:tcW w:w="1243" w:type="dxa"/>
            <w:gridSpan w:val="2"/>
            <w:tcBorders>
              <w:top w:val="nil"/>
              <w:left w:val="nil"/>
              <w:bottom w:val="single" w:sz="4" w:space="0" w:color="auto"/>
              <w:right w:val="single" w:sz="4" w:space="0" w:color="auto"/>
            </w:tcBorders>
            <w:shd w:val="clear" w:color="auto" w:fill="auto"/>
            <w:vAlign w:val="center"/>
            <w:hideMark/>
          </w:tcPr>
          <w:p w:rsidR="005D6ACF" w:rsidRPr="00B72764" w:rsidRDefault="005D6ACF" w:rsidP="008A253E">
            <w:pPr>
              <w:jc w:val="center"/>
              <w:rPr>
                <w:color w:val="000000"/>
                <w:sz w:val="22"/>
                <w:szCs w:val="22"/>
              </w:rPr>
            </w:pPr>
            <w:r w:rsidRPr="00B72764">
              <w:rPr>
                <w:color w:val="000000"/>
                <w:sz w:val="22"/>
                <w:szCs w:val="22"/>
              </w:rPr>
              <w:t>1 200,0</w:t>
            </w:r>
          </w:p>
        </w:tc>
        <w:tc>
          <w:tcPr>
            <w:tcW w:w="1076" w:type="dxa"/>
            <w:tcBorders>
              <w:top w:val="nil"/>
              <w:left w:val="nil"/>
              <w:bottom w:val="single" w:sz="4" w:space="0" w:color="auto"/>
              <w:right w:val="single" w:sz="4" w:space="0" w:color="auto"/>
            </w:tcBorders>
            <w:shd w:val="clear" w:color="auto" w:fill="auto"/>
            <w:vAlign w:val="center"/>
            <w:hideMark/>
          </w:tcPr>
          <w:p w:rsidR="005D6ACF" w:rsidRPr="00B72764" w:rsidRDefault="005D6ACF" w:rsidP="008A253E">
            <w:pPr>
              <w:jc w:val="center"/>
              <w:rPr>
                <w:color w:val="000000"/>
                <w:sz w:val="22"/>
                <w:szCs w:val="22"/>
              </w:rPr>
            </w:pPr>
            <w:r w:rsidRPr="00B72764">
              <w:rPr>
                <w:color w:val="000000"/>
                <w:sz w:val="22"/>
                <w:szCs w:val="22"/>
              </w:rPr>
              <w:t>600</w:t>
            </w:r>
          </w:p>
        </w:tc>
        <w:tc>
          <w:tcPr>
            <w:tcW w:w="1334" w:type="dxa"/>
            <w:gridSpan w:val="2"/>
            <w:tcBorders>
              <w:top w:val="nil"/>
              <w:left w:val="nil"/>
              <w:bottom w:val="single" w:sz="4" w:space="0" w:color="auto"/>
              <w:right w:val="single" w:sz="4" w:space="0" w:color="auto"/>
            </w:tcBorders>
            <w:shd w:val="clear" w:color="auto" w:fill="auto"/>
            <w:vAlign w:val="center"/>
            <w:hideMark/>
          </w:tcPr>
          <w:p w:rsidR="005D6ACF" w:rsidRPr="00B72764" w:rsidRDefault="005D6ACF" w:rsidP="008A253E">
            <w:pPr>
              <w:jc w:val="center"/>
              <w:rPr>
                <w:color w:val="000000"/>
                <w:sz w:val="22"/>
                <w:szCs w:val="22"/>
              </w:rPr>
            </w:pPr>
            <w:r w:rsidRPr="00B72764">
              <w:rPr>
                <w:color w:val="000000"/>
                <w:sz w:val="22"/>
                <w:szCs w:val="22"/>
              </w:rPr>
              <w:t>1 200,0</w:t>
            </w:r>
          </w:p>
        </w:tc>
        <w:tc>
          <w:tcPr>
            <w:tcW w:w="1079" w:type="dxa"/>
            <w:tcBorders>
              <w:top w:val="nil"/>
              <w:left w:val="nil"/>
              <w:bottom w:val="single" w:sz="4" w:space="0" w:color="auto"/>
              <w:right w:val="single" w:sz="4" w:space="0" w:color="auto"/>
            </w:tcBorders>
            <w:shd w:val="clear" w:color="auto" w:fill="auto"/>
            <w:vAlign w:val="center"/>
            <w:hideMark/>
          </w:tcPr>
          <w:p w:rsidR="005D6ACF" w:rsidRPr="00B72764" w:rsidRDefault="005D6ACF" w:rsidP="008A253E">
            <w:pPr>
              <w:jc w:val="center"/>
              <w:rPr>
                <w:color w:val="000000"/>
                <w:sz w:val="22"/>
                <w:szCs w:val="22"/>
              </w:rPr>
            </w:pPr>
            <w:r w:rsidRPr="00B72764">
              <w:rPr>
                <w:color w:val="000000"/>
                <w:sz w:val="22"/>
                <w:szCs w:val="22"/>
              </w:rPr>
              <w:t>600</w:t>
            </w:r>
          </w:p>
        </w:tc>
      </w:tr>
      <w:tr w:rsidR="005D6ACF" w:rsidRPr="00B72764" w:rsidTr="008A253E">
        <w:trPr>
          <w:gridAfter w:val="1"/>
          <w:wAfter w:w="35" w:type="dxa"/>
          <w:trHeight w:val="302"/>
        </w:trPr>
        <w:tc>
          <w:tcPr>
            <w:tcW w:w="465" w:type="dxa"/>
            <w:tcBorders>
              <w:top w:val="nil"/>
              <w:left w:val="single" w:sz="4" w:space="0" w:color="auto"/>
              <w:bottom w:val="single" w:sz="4" w:space="0" w:color="auto"/>
              <w:right w:val="single" w:sz="4" w:space="0" w:color="auto"/>
            </w:tcBorders>
            <w:shd w:val="clear" w:color="auto" w:fill="auto"/>
            <w:vAlign w:val="center"/>
            <w:hideMark/>
          </w:tcPr>
          <w:p w:rsidR="005D6ACF" w:rsidRPr="00B72764" w:rsidRDefault="005D6ACF" w:rsidP="008A253E">
            <w:pPr>
              <w:jc w:val="center"/>
              <w:rPr>
                <w:color w:val="000000"/>
                <w:sz w:val="22"/>
                <w:szCs w:val="22"/>
              </w:rPr>
            </w:pPr>
            <w:r w:rsidRPr="00B72764">
              <w:rPr>
                <w:color w:val="000000"/>
                <w:sz w:val="22"/>
                <w:szCs w:val="22"/>
              </w:rPr>
              <w:t>2</w:t>
            </w:r>
          </w:p>
        </w:tc>
        <w:tc>
          <w:tcPr>
            <w:tcW w:w="2791" w:type="dxa"/>
            <w:tcBorders>
              <w:top w:val="nil"/>
              <w:left w:val="nil"/>
              <w:bottom w:val="single" w:sz="4" w:space="0" w:color="auto"/>
              <w:right w:val="single" w:sz="4" w:space="0" w:color="auto"/>
            </w:tcBorders>
            <w:shd w:val="clear" w:color="auto" w:fill="auto"/>
            <w:vAlign w:val="center"/>
            <w:hideMark/>
          </w:tcPr>
          <w:p w:rsidR="005D6ACF" w:rsidRPr="00B72764" w:rsidRDefault="005D6ACF" w:rsidP="008A253E">
            <w:pPr>
              <w:rPr>
                <w:color w:val="000000"/>
                <w:sz w:val="22"/>
                <w:szCs w:val="22"/>
              </w:rPr>
            </w:pPr>
            <w:r w:rsidRPr="00B72764">
              <w:rPr>
                <w:color w:val="000000"/>
                <w:sz w:val="22"/>
                <w:szCs w:val="22"/>
              </w:rPr>
              <w:t xml:space="preserve">АО «Оленинское ДРСУ» </w:t>
            </w:r>
          </w:p>
        </w:tc>
        <w:tc>
          <w:tcPr>
            <w:tcW w:w="1275" w:type="dxa"/>
            <w:tcBorders>
              <w:top w:val="nil"/>
              <w:left w:val="nil"/>
              <w:bottom w:val="single" w:sz="4" w:space="0" w:color="auto"/>
              <w:right w:val="single" w:sz="4" w:space="0" w:color="auto"/>
            </w:tcBorders>
            <w:shd w:val="clear" w:color="auto" w:fill="auto"/>
            <w:vAlign w:val="center"/>
            <w:hideMark/>
          </w:tcPr>
          <w:p w:rsidR="005D6ACF" w:rsidRPr="00B72764" w:rsidRDefault="005D6ACF" w:rsidP="008A253E">
            <w:pPr>
              <w:jc w:val="center"/>
              <w:rPr>
                <w:color w:val="000000"/>
                <w:sz w:val="22"/>
                <w:szCs w:val="22"/>
              </w:rPr>
            </w:pPr>
            <w:r w:rsidRPr="00B72764">
              <w:rPr>
                <w:color w:val="000000"/>
                <w:sz w:val="22"/>
                <w:szCs w:val="22"/>
              </w:rPr>
              <w:t>1 560,0</w:t>
            </w:r>
          </w:p>
        </w:tc>
        <w:tc>
          <w:tcPr>
            <w:tcW w:w="1025" w:type="dxa"/>
            <w:tcBorders>
              <w:top w:val="nil"/>
              <w:left w:val="nil"/>
              <w:bottom w:val="single" w:sz="4" w:space="0" w:color="auto"/>
              <w:right w:val="single" w:sz="4" w:space="0" w:color="auto"/>
            </w:tcBorders>
            <w:shd w:val="clear" w:color="auto" w:fill="auto"/>
            <w:vAlign w:val="center"/>
            <w:hideMark/>
          </w:tcPr>
          <w:p w:rsidR="005D6ACF" w:rsidRPr="00B72764" w:rsidRDefault="005D6ACF" w:rsidP="008A253E">
            <w:pPr>
              <w:jc w:val="center"/>
              <w:rPr>
                <w:color w:val="000000"/>
                <w:sz w:val="22"/>
                <w:szCs w:val="22"/>
              </w:rPr>
            </w:pPr>
            <w:r w:rsidRPr="00B72764">
              <w:rPr>
                <w:color w:val="000000"/>
                <w:sz w:val="22"/>
                <w:szCs w:val="22"/>
              </w:rPr>
              <w:t>780</w:t>
            </w:r>
          </w:p>
        </w:tc>
        <w:tc>
          <w:tcPr>
            <w:tcW w:w="1243" w:type="dxa"/>
            <w:gridSpan w:val="2"/>
            <w:tcBorders>
              <w:top w:val="nil"/>
              <w:left w:val="nil"/>
              <w:bottom w:val="single" w:sz="4" w:space="0" w:color="auto"/>
              <w:right w:val="single" w:sz="4" w:space="0" w:color="auto"/>
            </w:tcBorders>
            <w:shd w:val="clear" w:color="auto" w:fill="auto"/>
            <w:vAlign w:val="center"/>
            <w:hideMark/>
          </w:tcPr>
          <w:p w:rsidR="005D6ACF" w:rsidRPr="00B72764" w:rsidRDefault="005D6ACF" w:rsidP="008A253E">
            <w:pPr>
              <w:jc w:val="center"/>
              <w:rPr>
                <w:color w:val="000000"/>
                <w:sz w:val="22"/>
                <w:szCs w:val="22"/>
              </w:rPr>
            </w:pPr>
            <w:r w:rsidRPr="00B72764">
              <w:rPr>
                <w:color w:val="000000"/>
                <w:sz w:val="22"/>
                <w:szCs w:val="22"/>
              </w:rPr>
              <w:t>1 570,0</w:t>
            </w:r>
          </w:p>
        </w:tc>
        <w:tc>
          <w:tcPr>
            <w:tcW w:w="1076" w:type="dxa"/>
            <w:tcBorders>
              <w:top w:val="nil"/>
              <w:left w:val="nil"/>
              <w:bottom w:val="single" w:sz="4" w:space="0" w:color="auto"/>
              <w:right w:val="single" w:sz="4" w:space="0" w:color="auto"/>
            </w:tcBorders>
            <w:shd w:val="clear" w:color="auto" w:fill="auto"/>
            <w:vAlign w:val="center"/>
            <w:hideMark/>
          </w:tcPr>
          <w:p w:rsidR="005D6ACF" w:rsidRPr="00B72764" w:rsidRDefault="005D6ACF" w:rsidP="008A253E">
            <w:pPr>
              <w:jc w:val="center"/>
              <w:rPr>
                <w:color w:val="000000"/>
                <w:sz w:val="22"/>
                <w:szCs w:val="22"/>
              </w:rPr>
            </w:pPr>
            <w:r w:rsidRPr="00B72764">
              <w:rPr>
                <w:color w:val="000000"/>
                <w:sz w:val="22"/>
                <w:szCs w:val="22"/>
              </w:rPr>
              <w:t>785</w:t>
            </w:r>
          </w:p>
        </w:tc>
        <w:tc>
          <w:tcPr>
            <w:tcW w:w="1334" w:type="dxa"/>
            <w:gridSpan w:val="2"/>
            <w:tcBorders>
              <w:top w:val="nil"/>
              <w:left w:val="nil"/>
              <w:bottom w:val="single" w:sz="4" w:space="0" w:color="auto"/>
              <w:right w:val="single" w:sz="4" w:space="0" w:color="auto"/>
            </w:tcBorders>
            <w:shd w:val="clear" w:color="auto" w:fill="auto"/>
            <w:vAlign w:val="center"/>
            <w:hideMark/>
          </w:tcPr>
          <w:p w:rsidR="005D6ACF" w:rsidRPr="00B72764" w:rsidRDefault="005D6ACF" w:rsidP="008A253E">
            <w:pPr>
              <w:jc w:val="center"/>
              <w:rPr>
                <w:color w:val="000000"/>
                <w:sz w:val="22"/>
                <w:szCs w:val="22"/>
              </w:rPr>
            </w:pPr>
            <w:r w:rsidRPr="00B72764">
              <w:rPr>
                <w:color w:val="000000"/>
                <w:sz w:val="22"/>
                <w:szCs w:val="22"/>
              </w:rPr>
              <w:t>1 572,0</w:t>
            </w:r>
          </w:p>
        </w:tc>
        <w:tc>
          <w:tcPr>
            <w:tcW w:w="1079" w:type="dxa"/>
            <w:tcBorders>
              <w:top w:val="nil"/>
              <w:left w:val="nil"/>
              <w:bottom w:val="single" w:sz="4" w:space="0" w:color="auto"/>
              <w:right w:val="single" w:sz="4" w:space="0" w:color="auto"/>
            </w:tcBorders>
            <w:shd w:val="clear" w:color="auto" w:fill="auto"/>
            <w:vAlign w:val="center"/>
            <w:hideMark/>
          </w:tcPr>
          <w:p w:rsidR="005D6ACF" w:rsidRPr="00B72764" w:rsidRDefault="005D6ACF" w:rsidP="008A253E">
            <w:pPr>
              <w:jc w:val="center"/>
              <w:rPr>
                <w:color w:val="000000"/>
                <w:sz w:val="22"/>
                <w:szCs w:val="22"/>
              </w:rPr>
            </w:pPr>
            <w:r w:rsidRPr="00B72764">
              <w:rPr>
                <w:color w:val="000000"/>
                <w:sz w:val="22"/>
                <w:szCs w:val="22"/>
              </w:rPr>
              <w:t>786</w:t>
            </w:r>
          </w:p>
        </w:tc>
      </w:tr>
      <w:tr w:rsidR="005D6ACF" w:rsidRPr="00B72764" w:rsidTr="008A253E">
        <w:trPr>
          <w:gridAfter w:val="1"/>
          <w:wAfter w:w="35" w:type="dxa"/>
          <w:trHeight w:val="302"/>
        </w:trPr>
        <w:tc>
          <w:tcPr>
            <w:tcW w:w="465" w:type="dxa"/>
            <w:tcBorders>
              <w:top w:val="nil"/>
              <w:left w:val="single" w:sz="4" w:space="0" w:color="auto"/>
              <w:bottom w:val="single" w:sz="4" w:space="0" w:color="auto"/>
              <w:right w:val="single" w:sz="4" w:space="0" w:color="auto"/>
            </w:tcBorders>
            <w:shd w:val="clear" w:color="auto" w:fill="auto"/>
            <w:vAlign w:val="center"/>
            <w:hideMark/>
          </w:tcPr>
          <w:p w:rsidR="005D6ACF" w:rsidRPr="00B72764" w:rsidRDefault="005D6ACF" w:rsidP="008A253E">
            <w:pPr>
              <w:jc w:val="center"/>
              <w:rPr>
                <w:color w:val="000000"/>
                <w:sz w:val="22"/>
                <w:szCs w:val="22"/>
              </w:rPr>
            </w:pPr>
            <w:r w:rsidRPr="00B72764">
              <w:rPr>
                <w:color w:val="000000"/>
                <w:sz w:val="22"/>
                <w:szCs w:val="22"/>
              </w:rPr>
              <w:t>3</w:t>
            </w:r>
          </w:p>
        </w:tc>
        <w:tc>
          <w:tcPr>
            <w:tcW w:w="2791" w:type="dxa"/>
            <w:tcBorders>
              <w:top w:val="nil"/>
              <w:left w:val="nil"/>
              <w:bottom w:val="single" w:sz="4" w:space="0" w:color="auto"/>
              <w:right w:val="single" w:sz="4" w:space="0" w:color="auto"/>
            </w:tcBorders>
            <w:shd w:val="clear" w:color="auto" w:fill="auto"/>
            <w:vAlign w:val="center"/>
            <w:hideMark/>
          </w:tcPr>
          <w:p w:rsidR="005D6ACF" w:rsidRPr="00B72764" w:rsidRDefault="005D6ACF" w:rsidP="008A253E">
            <w:pPr>
              <w:rPr>
                <w:color w:val="000000"/>
                <w:sz w:val="22"/>
                <w:szCs w:val="22"/>
              </w:rPr>
            </w:pPr>
            <w:r w:rsidRPr="00B72764">
              <w:rPr>
                <w:color w:val="000000"/>
                <w:sz w:val="22"/>
                <w:szCs w:val="22"/>
              </w:rPr>
              <w:t>АО «Рамешковское ДРСУ»</w:t>
            </w:r>
          </w:p>
        </w:tc>
        <w:tc>
          <w:tcPr>
            <w:tcW w:w="1275" w:type="dxa"/>
            <w:tcBorders>
              <w:top w:val="nil"/>
              <w:left w:val="nil"/>
              <w:bottom w:val="single" w:sz="4" w:space="0" w:color="auto"/>
              <w:right w:val="single" w:sz="4" w:space="0" w:color="auto"/>
            </w:tcBorders>
            <w:shd w:val="clear" w:color="auto" w:fill="auto"/>
            <w:vAlign w:val="center"/>
            <w:hideMark/>
          </w:tcPr>
          <w:p w:rsidR="005D6ACF" w:rsidRPr="00B72764" w:rsidRDefault="005D6ACF" w:rsidP="008A253E">
            <w:pPr>
              <w:jc w:val="center"/>
              <w:rPr>
                <w:color w:val="000000"/>
                <w:sz w:val="22"/>
                <w:szCs w:val="22"/>
              </w:rPr>
            </w:pPr>
            <w:r w:rsidRPr="00B72764">
              <w:rPr>
                <w:color w:val="000000"/>
                <w:sz w:val="22"/>
                <w:szCs w:val="22"/>
              </w:rPr>
              <w:t>1 440,0</w:t>
            </w:r>
          </w:p>
        </w:tc>
        <w:tc>
          <w:tcPr>
            <w:tcW w:w="1025" w:type="dxa"/>
            <w:tcBorders>
              <w:top w:val="nil"/>
              <w:left w:val="nil"/>
              <w:bottom w:val="single" w:sz="4" w:space="0" w:color="auto"/>
              <w:right w:val="single" w:sz="4" w:space="0" w:color="auto"/>
            </w:tcBorders>
            <w:shd w:val="clear" w:color="auto" w:fill="auto"/>
            <w:vAlign w:val="center"/>
            <w:hideMark/>
          </w:tcPr>
          <w:p w:rsidR="005D6ACF" w:rsidRPr="00B72764" w:rsidRDefault="005D6ACF" w:rsidP="008A253E">
            <w:pPr>
              <w:jc w:val="center"/>
              <w:rPr>
                <w:color w:val="000000"/>
                <w:sz w:val="22"/>
                <w:szCs w:val="22"/>
              </w:rPr>
            </w:pPr>
            <w:r w:rsidRPr="00B72764">
              <w:rPr>
                <w:color w:val="000000"/>
                <w:sz w:val="22"/>
                <w:szCs w:val="22"/>
              </w:rPr>
              <w:t>720</w:t>
            </w:r>
          </w:p>
        </w:tc>
        <w:tc>
          <w:tcPr>
            <w:tcW w:w="1243" w:type="dxa"/>
            <w:gridSpan w:val="2"/>
            <w:tcBorders>
              <w:top w:val="nil"/>
              <w:left w:val="nil"/>
              <w:bottom w:val="single" w:sz="4" w:space="0" w:color="auto"/>
              <w:right w:val="single" w:sz="4" w:space="0" w:color="auto"/>
            </w:tcBorders>
            <w:shd w:val="clear" w:color="auto" w:fill="auto"/>
            <w:vAlign w:val="center"/>
            <w:hideMark/>
          </w:tcPr>
          <w:p w:rsidR="005D6ACF" w:rsidRPr="00B72764" w:rsidRDefault="005D6ACF" w:rsidP="008A253E">
            <w:pPr>
              <w:jc w:val="center"/>
              <w:rPr>
                <w:color w:val="000000"/>
                <w:sz w:val="22"/>
                <w:szCs w:val="22"/>
              </w:rPr>
            </w:pPr>
            <w:r w:rsidRPr="00B72764">
              <w:rPr>
                <w:color w:val="000000"/>
                <w:sz w:val="22"/>
                <w:szCs w:val="22"/>
              </w:rPr>
              <w:t>1 800,0</w:t>
            </w:r>
          </w:p>
        </w:tc>
        <w:tc>
          <w:tcPr>
            <w:tcW w:w="1076" w:type="dxa"/>
            <w:tcBorders>
              <w:top w:val="nil"/>
              <w:left w:val="nil"/>
              <w:bottom w:val="single" w:sz="4" w:space="0" w:color="auto"/>
              <w:right w:val="single" w:sz="4" w:space="0" w:color="auto"/>
            </w:tcBorders>
            <w:shd w:val="clear" w:color="auto" w:fill="auto"/>
            <w:vAlign w:val="center"/>
            <w:hideMark/>
          </w:tcPr>
          <w:p w:rsidR="005D6ACF" w:rsidRPr="00B72764" w:rsidRDefault="005D6ACF" w:rsidP="008A253E">
            <w:pPr>
              <w:jc w:val="center"/>
              <w:rPr>
                <w:color w:val="000000"/>
                <w:sz w:val="22"/>
                <w:szCs w:val="22"/>
              </w:rPr>
            </w:pPr>
            <w:r w:rsidRPr="00B72764">
              <w:rPr>
                <w:color w:val="000000"/>
                <w:sz w:val="22"/>
                <w:szCs w:val="22"/>
              </w:rPr>
              <w:t>900</w:t>
            </w:r>
          </w:p>
        </w:tc>
        <w:tc>
          <w:tcPr>
            <w:tcW w:w="1334" w:type="dxa"/>
            <w:gridSpan w:val="2"/>
            <w:tcBorders>
              <w:top w:val="nil"/>
              <w:left w:val="nil"/>
              <w:bottom w:val="single" w:sz="4" w:space="0" w:color="auto"/>
              <w:right w:val="single" w:sz="4" w:space="0" w:color="auto"/>
            </w:tcBorders>
            <w:shd w:val="clear" w:color="auto" w:fill="auto"/>
            <w:vAlign w:val="center"/>
            <w:hideMark/>
          </w:tcPr>
          <w:p w:rsidR="005D6ACF" w:rsidRPr="00B72764" w:rsidRDefault="005D6ACF" w:rsidP="008A253E">
            <w:pPr>
              <w:jc w:val="center"/>
              <w:rPr>
                <w:color w:val="000000"/>
                <w:sz w:val="22"/>
                <w:szCs w:val="22"/>
              </w:rPr>
            </w:pPr>
            <w:r w:rsidRPr="00B72764">
              <w:rPr>
                <w:color w:val="000000"/>
                <w:sz w:val="22"/>
                <w:szCs w:val="22"/>
              </w:rPr>
              <w:t>1 850,0</w:t>
            </w:r>
          </w:p>
        </w:tc>
        <w:tc>
          <w:tcPr>
            <w:tcW w:w="1079" w:type="dxa"/>
            <w:tcBorders>
              <w:top w:val="nil"/>
              <w:left w:val="nil"/>
              <w:bottom w:val="single" w:sz="4" w:space="0" w:color="auto"/>
              <w:right w:val="single" w:sz="4" w:space="0" w:color="auto"/>
            </w:tcBorders>
            <w:shd w:val="clear" w:color="auto" w:fill="auto"/>
            <w:vAlign w:val="center"/>
            <w:hideMark/>
          </w:tcPr>
          <w:p w:rsidR="005D6ACF" w:rsidRPr="00B72764" w:rsidRDefault="005D6ACF" w:rsidP="008A253E">
            <w:pPr>
              <w:jc w:val="center"/>
              <w:rPr>
                <w:color w:val="000000"/>
                <w:sz w:val="22"/>
                <w:szCs w:val="22"/>
              </w:rPr>
            </w:pPr>
            <w:r w:rsidRPr="00B72764">
              <w:rPr>
                <w:color w:val="000000"/>
                <w:sz w:val="22"/>
                <w:szCs w:val="22"/>
              </w:rPr>
              <w:t>925</w:t>
            </w:r>
          </w:p>
        </w:tc>
      </w:tr>
      <w:tr w:rsidR="005D6ACF" w:rsidRPr="00B72764" w:rsidTr="008A253E">
        <w:trPr>
          <w:gridAfter w:val="1"/>
          <w:wAfter w:w="35" w:type="dxa"/>
          <w:trHeight w:val="302"/>
        </w:trPr>
        <w:tc>
          <w:tcPr>
            <w:tcW w:w="465" w:type="dxa"/>
            <w:tcBorders>
              <w:top w:val="nil"/>
              <w:left w:val="single" w:sz="4" w:space="0" w:color="auto"/>
              <w:bottom w:val="single" w:sz="4" w:space="0" w:color="auto"/>
              <w:right w:val="single" w:sz="4" w:space="0" w:color="auto"/>
            </w:tcBorders>
            <w:shd w:val="clear" w:color="auto" w:fill="auto"/>
            <w:vAlign w:val="center"/>
            <w:hideMark/>
          </w:tcPr>
          <w:p w:rsidR="005D6ACF" w:rsidRPr="00B72764" w:rsidRDefault="005D6ACF" w:rsidP="008A253E">
            <w:pPr>
              <w:jc w:val="center"/>
              <w:rPr>
                <w:color w:val="000000"/>
                <w:sz w:val="22"/>
                <w:szCs w:val="22"/>
              </w:rPr>
            </w:pPr>
            <w:r w:rsidRPr="00B72764">
              <w:rPr>
                <w:color w:val="000000"/>
                <w:sz w:val="22"/>
                <w:szCs w:val="22"/>
              </w:rPr>
              <w:t>4</w:t>
            </w:r>
          </w:p>
        </w:tc>
        <w:tc>
          <w:tcPr>
            <w:tcW w:w="2791" w:type="dxa"/>
            <w:tcBorders>
              <w:top w:val="nil"/>
              <w:left w:val="nil"/>
              <w:bottom w:val="single" w:sz="4" w:space="0" w:color="auto"/>
              <w:right w:val="single" w:sz="4" w:space="0" w:color="auto"/>
            </w:tcBorders>
            <w:shd w:val="clear" w:color="auto" w:fill="auto"/>
            <w:vAlign w:val="center"/>
            <w:hideMark/>
          </w:tcPr>
          <w:p w:rsidR="005D6ACF" w:rsidRPr="00B72764" w:rsidRDefault="005D6ACF" w:rsidP="008A253E">
            <w:pPr>
              <w:rPr>
                <w:color w:val="000000"/>
                <w:sz w:val="22"/>
                <w:szCs w:val="22"/>
              </w:rPr>
            </w:pPr>
            <w:r w:rsidRPr="00B72764">
              <w:rPr>
                <w:color w:val="000000"/>
                <w:sz w:val="22"/>
                <w:szCs w:val="22"/>
              </w:rPr>
              <w:t>АО «Сонковское ДРСУ»</w:t>
            </w:r>
          </w:p>
        </w:tc>
        <w:tc>
          <w:tcPr>
            <w:tcW w:w="1275" w:type="dxa"/>
            <w:tcBorders>
              <w:top w:val="nil"/>
              <w:left w:val="nil"/>
              <w:bottom w:val="single" w:sz="4" w:space="0" w:color="auto"/>
              <w:right w:val="single" w:sz="4" w:space="0" w:color="auto"/>
            </w:tcBorders>
            <w:shd w:val="clear" w:color="auto" w:fill="auto"/>
            <w:vAlign w:val="center"/>
            <w:hideMark/>
          </w:tcPr>
          <w:p w:rsidR="005D6ACF" w:rsidRPr="00B72764" w:rsidRDefault="005D6ACF" w:rsidP="008A253E">
            <w:pPr>
              <w:jc w:val="center"/>
              <w:rPr>
                <w:color w:val="000000"/>
                <w:sz w:val="22"/>
                <w:szCs w:val="22"/>
              </w:rPr>
            </w:pPr>
            <w:r w:rsidRPr="00B72764">
              <w:rPr>
                <w:color w:val="000000"/>
                <w:sz w:val="22"/>
                <w:szCs w:val="22"/>
              </w:rPr>
              <w:t>190</w:t>
            </w:r>
          </w:p>
        </w:tc>
        <w:tc>
          <w:tcPr>
            <w:tcW w:w="1025" w:type="dxa"/>
            <w:tcBorders>
              <w:top w:val="nil"/>
              <w:left w:val="nil"/>
              <w:bottom w:val="single" w:sz="4" w:space="0" w:color="auto"/>
              <w:right w:val="single" w:sz="4" w:space="0" w:color="auto"/>
            </w:tcBorders>
            <w:shd w:val="clear" w:color="auto" w:fill="auto"/>
            <w:vAlign w:val="center"/>
            <w:hideMark/>
          </w:tcPr>
          <w:p w:rsidR="005D6ACF" w:rsidRPr="00B72764" w:rsidRDefault="005D6ACF" w:rsidP="008A253E">
            <w:pPr>
              <w:jc w:val="center"/>
              <w:rPr>
                <w:color w:val="000000"/>
                <w:sz w:val="22"/>
                <w:szCs w:val="22"/>
              </w:rPr>
            </w:pPr>
            <w:r w:rsidRPr="00B72764">
              <w:rPr>
                <w:color w:val="000000"/>
                <w:sz w:val="22"/>
                <w:szCs w:val="22"/>
              </w:rPr>
              <w:t>95</w:t>
            </w:r>
          </w:p>
        </w:tc>
        <w:tc>
          <w:tcPr>
            <w:tcW w:w="1243" w:type="dxa"/>
            <w:gridSpan w:val="2"/>
            <w:tcBorders>
              <w:top w:val="nil"/>
              <w:left w:val="nil"/>
              <w:bottom w:val="single" w:sz="4" w:space="0" w:color="auto"/>
              <w:right w:val="single" w:sz="4" w:space="0" w:color="auto"/>
            </w:tcBorders>
            <w:shd w:val="clear" w:color="auto" w:fill="auto"/>
            <w:vAlign w:val="center"/>
            <w:hideMark/>
          </w:tcPr>
          <w:p w:rsidR="005D6ACF" w:rsidRPr="00B72764" w:rsidRDefault="005D6ACF" w:rsidP="008A253E">
            <w:pPr>
              <w:jc w:val="center"/>
              <w:rPr>
                <w:color w:val="000000"/>
                <w:sz w:val="22"/>
                <w:szCs w:val="22"/>
              </w:rPr>
            </w:pPr>
            <w:r w:rsidRPr="00B72764">
              <w:rPr>
                <w:color w:val="000000"/>
                <w:sz w:val="22"/>
                <w:szCs w:val="22"/>
              </w:rPr>
              <w:t>390</w:t>
            </w:r>
          </w:p>
        </w:tc>
        <w:tc>
          <w:tcPr>
            <w:tcW w:w="1076" w:type="dxa"/>
            <w:tcBorders>
              <w:top w:val="nil"/>
              <w:left w:val="nil"/>
              <w:bottom w:val="single" w:sz="4" w:space="0" w:color="auto"/>
              <w:right w:val="single" w:sz="4" w:space="0" w:color="auto"/>
            </w:tcBorders>
            <w:shd w:val="clear" w:color="auto" w:fill="auto"/>
            <w:vAlign w:val="center"/>
            <w:hideMark/>
          </w:tcPr>
          <w:p w:rsidR="005D6ACF" w:rsidRPr="00B72764" w:rsidRDefault="005D6ACF" w:rsidP="008A253E">
            <w:pPr>
              <w:jc w:val="center"/>
              <w:rPr>
                <w:color w:val="000000"/>
                <w:sz w:val="22"/>
                <w:szCs w:val="22"/>
              </w:rPr>
            </w:pPr>
            <w:r w:rsidRPr="00B72764">
              <w:rPr>
                <w:color w:val="000000"/>
                <w:sz w:val="22"/>
                <w:szCs w:val="22"/>
              </w:rPr>
              <w:t>195</w:t>
            </w:r>
          </w:p>
        </w:tc>
        <w:tc>
          <w:tcPr>
            <w:tcW w:w="1334" w:type="dxa"/>
            <w:gridSpan w:val="2"/>
            <w:tcBorders>
              <w:top w:val="nil"/>
              <w:left w:val="nil"/>
              <w:bottom w:val="single" w:sz="4" w:space="0" w:color="auto"/>
              <w:right w:val="single" w:sz="4" w:space="0" w:color="auto"/>
            </w:tcBorders>
            <w:shd w:val="clear" w:color="auto" w:fill="auto"/>
            <w:vAlign w:val="center"/>
            <w:hideMark/>
          </w:tcPr>
          <w:p w:rsidR="005D6ACF" w:rsidRPr="00B72764" w:rsidRDefault="005D6ACF" w:rsidP="008A253E">
            <w:pPr>
              <w:jc w:val="center"/>
              <w:rPr>
                <w:color w:val="000000"/>
                <w:sz w:val="22"/>
                <w:szCs w:val="22"/>
              </w:rPr>
            </w:pPr>
            <w:r w:rsidRPr="00B72764">
              <w:rPr>
                <w:color w:val="000000"/>
                <w:sz w:val="22"/>
                <w:szCs w:val="22"/>
              </w:rPr>
              <w:t>350</w:t>
            </w:r>
          </w:p>
        </w:tc>
        <w:tc>
          <w:tcPr>
            <w:tcW w:w="1079" w:type="dxa"/>
            <w:tcBorders>
              <w:top w:val="nil"/>
              <w:left w:val="nil"/>
              <w:bottom w:val="single" w:sz="4" w:space="0" w:color="auto"/>
              <w:right w:val="single" w:sz="4" w:space="0" w:color="auto"/>
            </w:tcBorders>
            <w:shd w:val="clear" w:color="auto" w:fill="auto"/>
            <w:vAlign w:val="center"/>
            <w:hideMark/>
          </w:tcPr>
          <w:p w:rsidR="005D6ACF" w:rsidRPr="00B72764" w:rsidRDefault="005D6ACF" w:rsidP="008A253E">
            <w:pPr>
              <w:jc w:val="center"/>
              <w:rPr>
                <w:color w:val="000000"/>
                <w:sz w:val="22"/>
                <w:szCs w:val="22"/>
              </w:rPr>
            </w:pPr>
            <w:r w:rsidRPr="00B72764">
              <w:rPr>
                <w:color w:val="000000"/>
                <w:sz w:val="22"/>
                <w:szCs w:val="22"/>
              </w:rPr>
              <w:t>175</w:t>
            </w:r>
          </w:p>
        </w:tc>
      </w:tr>
      <w:tr w:rsidR="005D6ACF" w:rsidRPr="00B72764" w:rsidTr="008A253E">
        <w:trPr>
          <w:gridAfter w:val="1"/>
          <w:wAfter w:w="35" w:type="dxa"/>
          <w:trHeight w:val="302"/>
        </w:trPr>
        <w:tc>
          <w:tcPr>
            <w:tcW w:w="465" w:type="dxa"/>
            <w:tcBorders>
              <w:top w:val="nil"/>
              <w:left w:val="single" w:sz="4" w:space="0" w:color="auto"/>
              <w:bottom w:val="single" w:sz="4" w:space="0" w:color="auto"/>
              <w:right w:val="single" w:sz="4" w:space="0" w:color="auto"/>
            </w:tcBorders>
            <w:shd w:val="clear" w:color="auto" w:fill="auto"/>
            <w:vAlign w:val="center"/>
            <w:hideMark/>
          </w:tcPr>
          <w:p w:rsidR="005D6ACF" w:rsidRPr="00B72764" w:rsidRDefault="005D6ACF" w:rsidP="008A253E">
            <w:pPr>
              <w:jc w:val="center"/>
              <w:rPr>
                <w:color w:val="000000"/>
                <w:sz w:val="22"/>
                <w:szCs w:val="22"/>
              </w:rPr>
            </w:pPr>
            <w:r w:rsidRPr="00B72764">
              <w:rPr>
                <w:color w:val="000000"/>
                <w:sz w:val="22"/>
                <w:szCs w:val="22"/>
              </w:rPr>
              <w:t>5</w:t>
            </w:r>
          </w:p>
        </w:tc>
        <w:tc>
          <w:tcPr>
            <w:tcW w:w="2791" w:type="dxa"/>
            <w:tcBorders>
              <w:top w:val="nil"/>
              <w:left w:val="nil"/>
              <w:bottom w:val="single" w:sz="4" w:space="0" w:color="auto"/>
              <w:right w:val="single" w:sz="4" w:space="0" w:color="auto"/>
            </w:tcBorders>
            <w:shd w:val="clear" w:color="auto" w:fill="auto"/>
            <w:vAlign w:val="center"/>
            <w:hideMark/>
          </w:tcPr>
          <w:p w:rsidR="005D6ACF" w:rsidRPr="00B72764" w:rsidRDefault="005D6ACF" w:rsidP="008A253E">
            <w:pPr>
              <w:rPr>
                <w:color w:val="000000"/>
                <w:sz w:val="22"/>
                <w:szCs w:val="22"/>
              </w:rPr>
            </w:pPr>
            <w:r w:rsidRPr="00B72764">
              <w:rPr>
                <w:color w:val="000000"/>
                <w:sz w:val="22"/>
                <w:szCs w:val="22"/>
              </w:rPr>
              <w:t>АО «Торопецкое ДРСУ»</w:t>
            </w:r>
          </w:p>
        </w:tc>
        <w:tc>
          <w:tcPr>
            <w:tcW w:w="1275" w:type="dxa"/>
            <w:tcBorders>
              <w:top w:val="nil"/>
              <w:left w:val="nil"/>
              <w:bottom w:val="single" w:sz="4" w:space="0" w:color="auto"/>
              <w:right w:val="single" w:sz="4" w:space="0" w:color="auto"/>
            </w:tcBorders>
            <w:shd w:val="clear" w:color="auto" w:fill="auto"/>
            <w:vAlign w:val="center"/>
            <w:hideMark/>
          </w:tcPr>
          <w:p w:rsidR="005D6ACF" w:rsidRPr="00B72764" w:rsidRDefault="005D6ACF" w:rsidP="008A253E">
            <w:pPr>
              <w:jc w:val="center"/>
              <w:rPr>
                <w:color w:val="000000"/>
                <w:sz w:val="22"/>
                <w:szCs w:val="22"/>
              </w:rPr>
            </w:pPr>
            <w:r w:rsidRPr="00B72764">
              <w:rPr>
                <w:color w:val="000000"/>
                <w:sz w:val="22"/>
                <w:szCs w:val="22"/>
              </w:rPr>
              <w:t>1 298,0</w:t>
            </w:r>
          </w:p>
        </w:tc>
        <w:tc>
          <w:tcPr>
            <w:tcW w:w="1025" w:type="dxa"/>
            <w:tcBorders>
              <w:top w:val="nil"/>
              <w:left w:val="nil"/>
              <w:bottom w:val="single" w:sz="4" w:space="0" w:color="auto"/>
              <w:right w:val="single" w:sz="4" w:space="0" w:color="auto"/>
            </w:tcBorders>
            <w:shd w:val="clear" w:color="auto" w:fill="auto"/>
            <w:vAlign w:val="center"/>
            <w:hideMark/>
          </w:tcPr>
          <w:p w:rsidR="005D6ACF" w:rsidRPr="00B72764" w:rsidRDefault="005D6ACF" w:rsidP="008A253E">
            <w:pPr>
              <w:jc w:val="center"/>
              <w:rPr>
                <w:color w:val="000000"/>
                <w:sz w:val="22"/>
                <w:szCs w:val="22"/>
              </w:rPr>
            </w:pPr>
            <w:r w:rsidRPr="00B72764">
              <w:rPr>
                <w:color w:val="000000"/>
                <w:sz w:val="22"/>
                <w:szCs w:val="22"/>
              </w:rPr>
              <w:t>649</w:t>
            </w:r>
          </w:p>
        </w:tc>
        <w:tc>
          <w:tcPr>
            <w:tcW w:w="1243" w:type="dxa"/>
            <w:gridSpan w:val="2"/>
            <w:tcBorders>
              <w:top w:val="nil"/>
              <w:left w:val="nil"/>
              <w:bottom w:val="single" w:sz="4" w:space="0" w:color="auto"/>
              <w:right w:val="single" w:sz="4" w:space="0" w:color="auto"/>
            </w:tcBorders>
            <w:shd w:val="clear" w:color="auto" w:fill="auto"/>
            <w:vAlign w:val="center"/>
            <w:hideMark/>
          </w:tcPr>
          <w:p w:rsidR="005D6ACF" w:rsidRPr="00B72764" w:rsidRDefault="005D6ACF" w:rsidP="008A253E">
            <w:pPr>
              <w:jc w:val="center"/>
              <w:rPr>
                <w:color w:val="000000"/>
                <w:sz w:val="22"/>
                <w:szCs w:val="22"/>
              </w:rPr>
            </w:pPr>
            <w:r w:rsidRPr="00B72764">
              <w:rPr>
                <w:color w:val="000000"/>
                <w:sz w:val="22"/>
                <w:szCs w:val="22"/>
              </w:rPr>
              <w:t>2 280,0</w:t>
            </w:r>
          </w:p>
        </w:tc>
        <w:tc>
          <w:tcPr>
            <w:tcW w:w="1076" w:type="dxa"/>
            <w:tcBorders>
              <w:top w:val="nil"/>
              <w:left w:val="nil"/>
              <w:bottom w:val="single" w:sz="4" w:space="0" w:color="auto"/>
              <w:right w:val="single" w:sz="4" w:space="0" w:color="auto"/>
            </w:tcBorders>
            <w:shd w:val="clear" w:color="auto" w:fill="auto"/>
            <w:vAlign w:val="center"/>
            <w:hideMark/>
          </w:tcPr>
          <w:p w:rsidR="005D6ACF" w:rsidRPr="00B72764" w:rsidRDefault="005D6ACF" w:rsidP="008A253E">
            <w:pPr>
              <w:jc w:val="center"/>
              <w:rPr>
                <w:color w:val="000000"/>
                <w:sz w:val="22"/>
                <w:szCs w:val="22"/>
              </w:rPr>
            </w:pPr>
            <w:r w:rsidRPr="00B72764">
              <w:rPr>
                <w:color w:val="000000"/>
                <w:sz w:val="22"/>
                <w:szCs w:val="22"/>
              </w:rPr>
              <w:t>1 140,0</w:t>
            </w:r>
          </w:p>
        </w:tc>
        <w:tc>
          <w:tcPr>
            <w:tcW w:w="1334" w:type="dxa"/>
            <w:gridSpan w:val="2"/>
            <w:tcBorders>
              <w:top w:val="nil"/>
              <w:left w:val="nil"/>
              <w:bottom w:val="single" w:sz="4" w:space="0" w:color="auto"/>
              <w:right w:val="single" w:sz="4" w:space="0" w:color="auto"/>
            </w:tcBorders>
            <w:shd w:val="clear" w:color="auto" w:fill="auto"/>
            <w:vAlign w:val="center"/>
            <w:hideMark/>
          </w:tcPr>
          <w:p w:rsidR="005D6ACF" w:rsidRPr="00B72764" w:rsidRDefault="005D6ACF" w:rsidP="008A253E">
            <w:pPr>
              <w:jc w:val="center"/>
              <w:rPr>
                <w:color w:val="000000"/>
                <w:sz w:val="22"/>
                <w:szCs w:val="22"/>
              </w:rPr>
            </w:pPr>
            <w:r w:rsidRPr="00B72764">
              <w:rPr>
                <w:color w:val="000000"/>
                <w:sz w:val="22"/>
                <w:szCs w:val="22"/>
              </w:rPr>
              <w:t>2 432,0</w:t>
            </w:r>
          </w:p>
        </w:tc>
        <w:tc>
          <w:tcPr>
            <w:tcW w:w="1079" w:type="dxa"/>
            <w:tcBorders>
              <w:top w:val="nil"/>
              <w:left w:val="nil"/>
              <w:bottom w:val="single" w:sz="4" w:space="0" w:color="auto"/>
              <w:right w:val="single" w:sz="4" w:space="0" w:color="auto"/>
            </w:tcBorders>
            <w:shd w:val="clear" w:color="auto" w:fill="auto"/>
            <w:vAlign w:val="center"/>
            <w:hideMark/>
          </w:tcPr>
          <w:p w:rsidR="005D6ACF" w:rsidRPr="00B72764" w:rsidRDefault="005D6ACF" w:rsidP="008A253E">
            <w:pPr>
              <w:jc w:val="center"/>
              <w:rPr>
                <w:color w:val="000000"/>
                <w:sz w:val="22"/>
                <w:szCs w:val="22"/>
              </w:rPr>
            </w:pPr>
            <w:r w:rsidRPr="00B72764">
              <w:rPr>
                <w:color w:val="000000"/>
                <w:sz w:val="22"/>
                <w:szCs w:val="22"/>
              </w:rPr>
              <w:t>1 216,0</w:t>
            </w:r>
          </w:p>
        </w:tc>
      </w:tr>
      <w:tr w:rsidR="005D6ACF" w:rsidRPr="00B72764" w:rsidTr="008A253E">
        <w:trPr>
          <w:gridAfter w:val="1"/>
          <w:wAfter w:w="35" w:type="dxa"/>
          <w:trHeight w:val="453"/>
        </w:trPr>
        <w:tc>
          <w:tcPr>
            <w:tcW w:w="465" w:type="dxa"/>
            <w:tcBorders>
              <w:top w:val="nil"/>
              <w:left w:val="single" w:sz="4" w:space="0" w:color="auto"/>
              <w:bottom w:val="single" w:sz="4" w:space="0" w:color="auto"/>
              <w:right w:val="single" w:sz="4" w:space="0" w:color="auto"/>
            </w:tcBorders>
            <w:shd w:val="clear" w:color="auto" w:fill="auto"/>
            <w:vAlign w:val="center"/>
            <w:hideMark/>
          </w:tcPr>
          <w:p w:rsidR="005D6ACF" w:rsidRPr="00B72764" w:rsidRDefault="005D6ACF" w:rsidP="008A253E">
            <w:pPr>
              <w:jc w:val="center"/>
              <w:rPr>
                <w:color w:val="000000"/>
                <w:sz w:val="22"/>
                <w:szCs w:val="22"/>
              </w:rPr>
            </w:pPr>
            <w:r w:rsidRPr="00B72764">
              <w:rPr>
                <w:color w:val="000000"/>
                <w:sz w:val="22"/>
                <w:szCs w:val="22"/>
              </w:rPr>
              <w:t>6</w:t>
            </w:r>
          </w:p>
        </w:tc>
        <w:tc>
          <w:tcPr>
            <w:tcW w:w="2791" w:type="dxa"/>
            <w:tcBorders>
              <w:top w:val="nil"/>
              <w:left w:val="nil"/>
              <w:bottom w:val="single" w:sz="4" w:space="0" w:color="auto"/>
              <w:right w:val="single" w:sz="4" w:space="0" w:color="auto"/>
            </w:tcBorders>
            <w:shd w:val="clear" w:color="auto" w:fill="auto"/>
            <w:vAlign w:val="center"/>
            <w:hideMark/>
          </w:tcPr>
          <w:p w:rsidR="005D6ACF" w:rsidRPr="00B72764" w:rsidRDefault="005D6ACF" w:rsidP="008A253E">
            <w:pPr>
              <w:rPr>
                <w:color w:val="000000"/>
                <w:sz w:val="22"/>
                <w:szCs w:val="22"/>
              </w:rPr>
            </w:pPr>
            <w:r>
              <w:rPr>
                <w:color w:val="000000"/>
                <w:sz w:val="22"/>
                <w:szCs w:val="22"/>
              </w:rPr>
              <w:t>АО «Спировское ДРСУ»</w:t>
            </w:r>
          </w:p>
        </w:tc>
        <w:tc>
          <w:tcPr>
            <w:tcW w:w="1275" w:type="dxa"/>
            <w:tcBorders>
              <w:top w:val="nil"/>
              <w:left w:val="nil"/>
              <w:bottom w:val="single" w:sz="4" w:space="0" w:color="auto"/>
              <w:right w:val="single" w:sz="4" w:space="0" w:color="auto"/>
            </w:tcBorders>
            <w:shd w:val="clear" w:color="auto" w:fill="auto"/>
            <w:vAlign w:val="center"/>
            <w:hideMark/>
          </w:tcPr>
          <w:p w:rsidR="005D6ACF" w:rsidRPr="00B72764" w:rsidRDefault="005D6ACF" w:rsidP="008A253E">
            <w:pPr>
              <w:jc w:val="center"/>
              <w:rPr>
                <w:color w:val="000000"/>
                <w:sz w:val="22"/>
                <w:szCs w:val="22"/>
              </w:rPr>
            </w:pPr>
            <w:r w:rsidRPr="00B72764">
              <w:rPr>
                <w:color w:val="000000"/>
                <w:sz w:val="22"/>
                <w:szCs w:val="22"/>
              </w:rPr>
              <w:t>100</w:t>
            </w:r>
          </w:p>
        </w:tc>
        <w:tc>
          <w:tcPr>
            <w:tcW w:w="1025" w:type="dxa"/>
            <w:tcBorders>
              <w:top w:val="nil"/>
              <w:left w:val="nil"/>
              <w:bottom w:val="single" w:sz="4" w:space="0" w:color="auto"/>
              <w:right w:val="single" w:sz="4" w:space="0" w:color="auto"/>
            </w:tcBorders>
            <w:shd w:val="clear" w:color="auto" w:fill="auto"/>
            <w:vAlign w:val="center"/>
            <w:hideMark/>
          </w:tcPr>
          <w:p w:rsidR="005D6ACF" w:rsidRPr="00B72764" w:rsidRDefault="005D6ACF" w:rsidP="008A253E">
            <w:pPr>
              <w:jc w:val="center"/>
              <w:rPr>
                <w:color w:val="000000"/>
                <w:sz w:val="22"/>
                <w:szCs w:val="22"/>
              </w:rPr>
            </w:pPr>
            <w:r w:rsidRPr="00B72764">
              <w:rPr>
                <w:color w:val="000000"/>
                <w:sz w:val="22"/>
                <w:szCs w:val="22"/>
              </w:rPr>
              <w:t>50</w:t>
            </w:r>
          </w:p>
        </w:tc>
        <w:tc>
          <w:tcPr>
            <w:tcW w:w="1243" w:type="dxa"/>
            <w:gridSpan w:val="2"/>
            <w:tcBorders>
              <w:top w:val="nil"/>
              <w:left w:val="nil"/>
              <w:bottom w:val="single" w:sz="4" w:space="0" w:color="auto"/>
              <w:right w:val="single" w:sz="4" w:space="0" w:color="auto"/>
            </w:tcBorders>
            <w:shd w:val="clear" w:color="auto" w:fill="auto"/>
            <w:vAlign w:val="center"/>
            <w:hideMark/>
          </w:tcPr>
          <w:p w:rsidR="005D6ACF" w:rsidRPr="00B72764" w:rsidRDefault="005D6ACF" w:rsidP="008A253E">
            <w:pPr>
              <w:jc w:val="center"/>
              <w:rPr>
                <w:color w:val="000000"/>
                <w:sz w:val="22"/>
                <w:szCs w:val="22"/>
              </w:rPr>
            </w:pPr>
            <w:r w:rsidRPr="00B72764">
              <w:rPr>
                <w:color w:val="000000"/>
                <w:sz w:val="22"/>
                <w:szCs w:val="22"/>
              </w:rPr>
              <w:t>200</w:t>
            </w:r>
          </w:p>
        </w:tc>
        <w:tc>
          <w:tcPr>
            <w:tcW w:w="1076" w:type="dxa"/>
            <w:tcBorders>
              <w:top w:val="nil"/>
              <w:left w:val="nil"/>
              <w:bottom w:val="single" w:sz="4" w:space="0" w:color="auto"/>
              <w:right w:val="single" w:sz="4" w:space="0" w:color="auto"/>
            </w:tcBorders>
            <w:shd w:val="clear" w:color="auto" w:fill="auto"/>
            <w:vAlign w:val="center"/>
            <w:hideMark/>
          </w:tcPr>
          <w:p w:rsidR="005D6ACF" w:rsidRPr="00B72764" w:rsidRDefault="005D6ACF" w:rsidP="008A253E">
            <w:pPr>
              <w:jc w:val="center"/>
              <w:rPr>
                <w:color w:val="000000"/>
                <w:sz w:val="22"/>
                <w:szCs w:val="22"/>
              </w:rPr>
            </w:pPr>
            <w:r w:rsidRPr="00B72764">
              <w:rPr>
                <w:color w:val="000000"/>
                <w:sz w:val="22"/>
                <w:szCs w:val="22"/>
              </w:rPr>
              <w:t>100</w:t>
            </w:r>
          </w:p>
        </w:tc>
        <w:tc>
          <w:tcPr>
            <w:tcW w:w="1334" w:type="dxa"/>
            <w:gridSpan w:val="2"/>
            <w:tcBorders>
              <w:top w:val="nil"/>
              <w:left w:val="nil"/>
              <w:bottom w:val="single" w:sz="4" w:space="0" w:color="auto"/>
              <w:right w:val="single" w:sz="4" w:space="0" w:color="auto"/>
            </w:tcBorders>
            <w:shd w:val="clear" w:color="auto" w:fill="auto"/>
            <w:vAlign w:val="center"/>
            <w:hideMark/>
          </w:tcPr>
          <w:p w:rsidR="005D6ACF" w:rsidRPr="00B72764" w:rsidRDefault="005D6ACF" w:rsidP="008A253E">
            <w:pPr>
              <w:jc w:val="center"/>
              <w:rPr>
                <w:color w:val="000000"/>
                <w:sz w:val="22"/>
                <w:szCs w:val="22"/>
              </w:rPr>
            </w:pPr>
            <w:r w:rsidRPr="00B72764">
              <w:rPr>
                <w:color w:val="000000"/>
                <w:sz w:val="22"/>
                <w:szCs w:val="22"/>
              </w:rPr>
              <w:t>200</w:t>
            </w:r>
          </w:p>
        </w:tc>
        <w:tc>
          <w:tcPr>
            <w:tcW w:w="1079" w:type="dxa"/>
            <w:tcBorders>
              <w:top w:val="nil"/>
              <w:left w:val="nil"/>
              <w:bottom w:val="single" w:sz="4" w:space="0" w:color="auto"/>
              <w:right w:val="single" w:sz="4" w:space="0" w:color="auto"/>
            </w:tcBorders>
            <w:shd w:val="clear" w:color="auto" w:fill="auto"/>
            <w:vAlign w:val="center"/>
            <w:hideMark/>
          </w:tcPr>
          <w:p w:rsidR="005D6ACF" w:rsidRPr="00B72764" w:rsidRDefault="005D6ACF" w:rsidP="008A253E">
            <w:pPr>
              <w:jc w:val="center"/>
              <w:rPr>
                <w:color w:val="000000"/>
                <w:sz w:val="22"/>
                <w:szCs w:val="22"/>
              </w:rPr>
            </w:pPr>
            <w:r w:rsidRPr="00B72764">
              <w:rPr>
                <w:color w:val="000000"/>
                <w:sz w:val="22"/>
                <w:szCs w:val="22"/>
              </w:rPr>
              <w:t>100</w:t>
            </w:r>
          </w:p>
        </w:tc>
      </w:tr>
      <w:tr w:rsidR="005D6ACF" w:rsidRPr="00B72764" w:rsidTr="008A253E">
        <w:trPr>
          <w:gridAfter w:val="1"/>
          <w:wAfter w:w="35" w:type="dxa"/>
          <w:trHeight w:val="302"/>
        </w:trPr>
        <w:tc>
          <w:tcPr>
            <w:tcW w:w="465" w:type="dxa"/>
            <w:tcBorders>
              <w:top w:val="nil"/>
              <w:left w:val="single" w:sz="4" w:space="0" w:color="auto"/>
              <w:bottom w:val="single" w:sz="4" w:space="0" w:color="auto"/>
              <w:right w:val="single" w:sz="4" w:space="0" w:color="auto"/>
            </w:tcBorders>
            <w:shd w:val="clear" w:color="auto" w:fill="auto"/>
            <w:vAlign w:val="center"/>
            <w:hideMark/>
          </w:tcPr>
          <w:p w:rsidR="005D6ACF" w:rsidRPr="00B72764" w:rsidRDefault="005D6ACF" w:rsidP="008A253E">
            <w:pPr>
              <w:jc w:val="center"/>
              <w:rPr>
                <w:color w:val="000000"/>
                <w:sz w:val="22"/>
                <w:szCs w:val="22"/>
              </w:rPr>
            </w:pPr>
            <w:r w:rsidRPr="00B72764">
              <w:rPr>
                <w:color w:val="000000"/>
                <w:sz w:val="22"/>
                <w:szCs w:val="22"/>
              </w:rPr>
              <w:t>7</w:t>
            </w:r>
          </w:p>
        </w:tc>
        <w:tc>
          <w:tcPr>
            <w:tcW w:w="2791" w:type="dxa"/>
            <w:tcBorders>
              <w:top w:val="nil"/>
              <w:left w:val="nil"/>
              <w:bottom w:val="single" w:sz="4" w:space="0" w:color="auto"/>
              <w:right w:val="single" w:sz="4" w:space="0" w:color="auto"/>
            </w:tcBorders>
            <w:shd w:val="clear" w:color="auto" w:fill="auto"/>
            <w:vAlign w:val="center"/>
            <w:hideMark/>
          </w:tcPr>
          <w:p w:rsidR="005D6ACF" w:rsidRPr="00B72764" w:rsidRDefault="005D6ACF" w:rsidP="008A253E">
            <w:pPr>
              <w:rPr>
                <w:color w:val="000000"/>
                <w:sz w:val="22"/>
                <w:szCs w:val="22"/>
              </w:rPr>
            </w:pPr>
            <w:r w:rsidRPr="00B72764">
              <w:rPr>
                <w:color w:val="000000"/>
                <w:sz w:val="22"/>
                <w:szCs w:val="22"/>
              </w:rPr>
              <w:t>ООО «Тверь Водоканал»</w:t>
            </w:r>
            <w:r>
              <w:rPr>
                <w:color w:val="000000"/>
                <w:sz w:val="22"/>
                <w:szCs w:val="22"/>
              </w:rPr>
              <w:t>**</w:t>
            </w:r>
          </w:p>
        </w:tc>
        <w:tc>
          <w:tcPr>
            <w:tcW w:w="1275" w:type="dxa"/>
            <w:tcBorders>
              <w:top w:val="nil"/>
              <w:left w:val="nil"/>
              <w:bottom w:val="single" w:sz="4" w:space="0" w:color="auto"/>
              <w:right w:val="single" w:sz="4" w:space="0" w:color="auto"/>
            </w:tcBorders>
            <w:shd w:val="clear" w:color="auto" w:fill="auto"/>
            <w:vAlign w:val="center"/>
            <w:hideMark/>
          </w:tcPr>
          <w:p w:rsidR="005D6ACF" w:rsidRPr="00B72764" w:rsidRDefault="005D6ACF" w:rsidP="008A253E">
            <w:pPr>
              <w:jc w:val="center"/>
              <w:rPr>
                <w:color w:val="000000"/>
                <w:sz w:val="22"/>
                <w:szCs w:val="22"/>
              </w:rPr>
            </w:pPr>
            <w:r w:rsidRPr="00B72764">
              <w:rPr>
                <w:color w:val="000000"/>
                <w:sz w:val="22"/>
                <w:szCs w:val="22"/>
              </w:rPr>
              <w:t>69 881,0</w:t>
            </w:r>
          </w:p>
        </w:tc>
        <w:tc>
          <w:tcPr>
            <w:tcW w:w="1025" w:type="dxa"/>
            <w:tcBorders>
              <w:top w:val="nil"/>
              <w:left w:val="nil"/>
              <w:bottom w:val="single" w:sz="4" w:space="0" w:color="auto"/>
              <w:right w:val="single" w:sz="4" w:space="0" w:color="auto"/>
            </w:tcBorders>
            <w:shd w:val="clear" w:color="auto" w:fill="auto"/>
            <w:vAlign w:val="center"/>
            <w:hideMark/>
          </w:tcPr>
          <w:p w:rsidR="005D6ACF" w:rsidRPr="00B72764" w:rsidRDefault="005D6ACF" w:rsidP="008A253E">
            <w:pPr>
              <w:jc w:val="center"/>
              <w:rPr>
                <w:color w:val="000000"/>
                <w:sz w:val="22"/>
                <w:szCs w:val="22"/>
              </w:rPr>
            </w:pPr>
            <w:r w:rsidRPr="00B72764">
              <w:rPr>
                <w:color w:val="000000"/>
                <w:sz w:val="22"/>
                <w:szCs w:val="22"/>
              </w:rPr>
              <w:t>0</w:t>
            </w:r>
          </w:p>
        </w:tc>
        <w:tc>
          <w:tcPr>
            <w:tcW w:w="1243" w:type="dxa"/>
            <w:gridSpan w:val="2"/>
            <w:tcBorders>
              <w:top w:val="nil"/>
              <w:left w:val="nil"/>
              <w:bottom w:val="single" w:sz="4" w:space="0" w:color="auto"/>
              <w:right w:val="single" w:sz="4" w:space="0" w:color="auto"/>
            </w:tcBorders>
            <w:shd w:val="clear" w:color="auto" w:fill="auto"/>
            <w:vAlign w:val="center"/>
            <w:hideMark/>
          </w:tcPr>
          <w:p w:rsidR="005D6ACF" w:rsidRPr="00B72764" w:rsidRDefault="005D6ACF" w:rsidP="008A253E">
            <w:pPr>
              <w:jc w:val="center"/>
              <w:rPr>
                <w:color w:val="000000"/>
                <w:sz w:val="22"/>
                <w:szCs w:val="22"/>
              </w:rPr>
            </w:pPr>
            <w:r w:rsidRPr="00B72764">
              <w:rPr>
                <w:color w:val="000000"/>
                <w:sz w:val="22"/>
                <w:szCs w:val="22"/>
              </w:rPr>
              <w:t>69 881,00</w:t>
            </w:r>
          </w:p>
        </w:tc>
        <w:tc>
          <w:tcPr>
            <w:tcW w:w="1076" w:type="dxa"/>
            <w:tcBorders>
              <w:top w:val="nil"/>
              <w:left w:val="nil"/>
              <w:bottom w:val="single" w:sz="4" w:space="0" w:color="auto"/>
              <w:right w:val="single" w:sz="4" w:space="0" w:color="auto"/>
            </w:tcBorders>
            <w:shd w:val="clear" w:color="auto" w:fill="auto"/>
            <w:vAlign w:val="center"/>
            <w:hideMark/>
          </w:tcPr>
          <w:p w:rsidR="005D6ACF" w:rsidRPr="00B72764" w:rsidRDefault="005D6ACF" w:rsidP="008A253E">
            <w:pPr>
              <w:jc w:val="center"/>
              <w:rPr>
                <w:color w:val="000000"/>
                <w:sz w:val="22"/>
                <w:szCs w:val="22"/>
              </w:rPr>
            </w:pPr>
            <w:r w:rsidRPr="00B72764">
              <w:rPr>
                <w:color w:val="000000"/>
                <w:sz w:val="22"/>
                <w:szCs w:val="22"/>
              </w:rPr>
              <w:t>0</w:t>
            </w:r>
          </w:p>
        </w:tc>
        <w:tc>
          <w:tcPr>
            <w:tcW w:w="1334" w:type="dxa"/>
            <w:gridSpan w:val="2"/>
            <w:tcBorders>
              <w:top w:val="nil"/>
              <w:left w:val="nil"/>
              <w:bottom w:val="single" w:sz="4" w:space="0" w:color="auto"/>
              <w:right w:val="single" w:sz="4" w:space="0" w:color="auto"/>
            </w:tcBorders>
            <w:shd w:val="clear" w:color="auto" w:fill="auto"/>
            <w:vAlign w:val="center"/>
            <w:hideMark/>
          </w:tcPr>
          <w:p w:rsidR="005D6ACF" w:rsidRPr="00B72764" w:rsidRDefault="005D6ACF" w:rsidP="008A253E">
            <w:pPr>
              <w:jc w:val="center"/>
              <w:rPr>
                <w:color w:val="000000"/>
                <w:sz w:val="22"/>
                <w:szCs w:val="22"/>
              </w:rPr>
            </w:pPr>
            <w:r w:rsidRPr="00B72764">
              <w:rPr>
                <w:color w:val="000000"/>
                <w:sz w:val="22"/>
                <w:szCs w:val="22"/>
              </w:rPr>
              <w:t>69 881,00</w:t>
            </w:r>
          </w:p>
        </w:tc>
        <w:tc>
          <w:tcPr>
            <w:tcW w:w="1079" w:type="dxa"/>
            <w:tcBorders>
              <w:top w:val="nil"/>
              <w:left w:val="nil"/>
              <w:bottom w:val="single" w:sz="4" w:space="0" w:color="auto"/>
              <w:right w:val="single" w:sz="4" w:space="0" w:color="auto"/>
            </w:tcBorders>
            <w:shd w:val="clear" w:color="auto" w:fill="auto"/>
            <w:vAlign w:val="center"/>
            <w:hideMark/>
          </w:tcPr>
          <w:p w:rsidR="005D6ACF" w:rsidRPr="00B72764" w:rsidRDefault="005D6ACF" w:rsidP="008A253E">
            <w:pPr>
              <w:jc w:val="center"/>
              <w:rPr>
                <w:color w:val="000000"/>
                <w:sz w:val="22"/>
                <w:szCs w:val="22"/>
              </w:rPr>
            </w:pPr>
            <w:r w:rsidRPr="00B72764">
              <w:rPr>
                <w:color w:val="000000"/>
                <w:sz w:val="22"/>
                <w:szCs w:val="22"/>
              </w:rPr>
              <w:t>0</w:t>
            </w:r>
          </w:p>
        </w:tc>
      </w:tr>
      <w:tr w:rsidR="005D6ACF" w:rsidRPr="00B72764" w:rsidTr="008A253E">
        <w:trPr>
          <w:gridAfter w:val="1"/>
          <w:wAfter w:w="35" w:type="dxa"/>
          <w:trHeight w:val="680"/>
        </w:trPr>
        <w:tc>
          <w:tcPr>
            <w:tcW w:w="465" w:type="dxa"/>
            <w:tcBorders>
              <w:top w:val="nil"/>
              <w:left w:val="single" w:sz="4" w:space="0" w:color="auto"/>
              <w:bottom w:val="single" w:sz="4" w:space="0" w:color="auto"/>
              <w:right w:val="single" w:sz="4" w:space="0" w:color="auto"/>
            </w:tcBorders>
            <w:shd w:val="clear" w:color="auto" w:fill="auto"/>
            <w:vAlign w:val="center"/>
            <w:hideMark/>
          </w:tcPr>
          <w:p w:rsidR="005D6ACF" w:rsidRPr="00B72764" w:rsidRDefault="005D6ACF" w:rsidP="008A253E">
            <w:pPr>
              <w:jc w:val="center"/>
              <w:rPr>
                <w:color w:val="000000"/>
                <w:sz w:val="22"/>
                <w:szCs w:val="22"/>
              </w:rPr>
            </w:pPr>
            <w:r w:rsidRPr="00B72764">
              <w:rPr>
                <w:color w:val="000000"/>
                <w:sz w:val="22"/>
                <w:szCs w:val="22"/>
              </w:rPr>
              <w:t>8</w:t>
            </w:r>
          </w:p>
        </w:tc>
        <w:tc>
          <w:tcPr>
            <w:tcW w:w="2791" w:type="dxa"/>
            <w:tcBorders>
              <w:top w:val="nil"/>
              <w:left w:val="nil"/>
              <w:bottom w:val="single" w:sz="4" w:space="0" w:color="auto"/>
              <w:right w:val="single" w:sz="4" w:space="0" w:color="auto"/>
            </w:tcBorders>
            <w:shd w:val="clear" w:color="auto" w:fill="auto"/>
            <w:vAlign w:val="center"/>
            <w:hideMark/>
          </w:tcPr>
          <w:p w:rsidR="005D6ACF" w:rsidRPr="00B72764" w:rsidRDefault="005D6ACF" w:rsidP="008A253E">
            <w:pPr>
              <w:rPr>
                <w:color w:val="000000"/>
                <w:sz w:val="22"/>
                <w:szCs w:val="22"/>
              </w:rPr>
            </w:pPr>
            <w:r w:rsidRPr="00B72764">
              <w:rPr>
                <w:color w:val="000000"/>
                <w:sz w:val="22"/>
                <w:szCs w:val="22"/>
              </w:rPr>
              <w:t>ООО «Пассажирское автотранспортное предприятие № 1»</w:t>
            </w:r>
          </w:p>
        </w:tc>
        <w:tc>
          <w:tcPr>
            <w:tcW w:w="1275" w:type="dxa"/>
            <w:tcBorders>
              <w:top w:val="nil"/>
              <w:left w:val="nil"/>
              <w:bottom w:val="single" w:sz="4" w:space="0" w:color="auto"/>
              <w:right w:val="single" w:sz="4" w:space="0" w:color="auto"/>
            </w:tcBorders>
            <w:shd w:val="clear" w:color="auto" w:fill="auto"/>
            <w:vAlign w:val="center"/>
            <w:hideMark/>
          </w:tcPr>
          <w:p w:rsidR="005D6ACF" w:rsidRPr="00B72764" w:rsidRDefault="005D6ACF" w:rsidP="008A253E">
            <w:pPr>
              <w:jc w:val="center"/>
              <w:rPr>
                <w:color w:val="000000"/>
                <w:sz w:val="22"/>
                <w:szCs w:val="22"/>
              </w:rPr>
            </w:pPr>
            <w:r w:rsidRPr="00B72764">
              <w:rPr>
                <w:color w:val="000000"/>
                <w:sz w:val="22"/>
                <w:szCs w:val="22"/>
              </w:rPr>
              <w:t xml:space="preserve">Убыток </w:t>
            </w:r>
          </w:p>
        </w:tc>
        <w:tc>
          <w:tcPr>
            <w:tcW w:w="1025" w:type="dxa"/>
            <w:tcBorders>
              <w:top w:val="nil"/>
              <w:left w:val="nil"/>
              <w:bottom w:val="single" w:sz="4" w:space="0" w:color="auto"/>
              <w:right w:val="single" w:sz="4" w:space="0" w:color="auto"/>
            </w:tcBorders>
            <w:shd w:val="clear" w:color="auto" w:fill="auto"/>
            <w:vAlign w:val="center"/>
            <w:hideMark/>
          </w:tcPr>
          <w:p w:rsidR="005D6ACF" w:rsidRPr="00B72764" w:rsidRDefault="005D6ACF" w:rsidP="008A253E">
            <w:pPr>
              <w:jc w:val="center"/>
              <w:rPr>
                <w:color w:val="000000"/>
                <w:sz w:val="22"/>
                <w:szCs w:val="22"/>
              </w:rPr>
            </w:pPr>
            <w:r w:rsidRPr="00B72764">
              <w:rPr>
                <w:color w:val="000000"/>
                <w:sz w:val="22"/>
                <w:szCs w:val="22"/>
              </w:rPr>
              <w:t>0</w:t>
            </w:r>
          </w:p>
        </w:tc>
        <w:tc>
          <w:tcPr>
            <w:tcW w:w="1243" w:type="dxa"/>
            <w:gridSpan w:val="2"/>
            <w:tcBorders>
              <w:top w:val="nil"/>
              <w:left w:val="nil"/>
              <w:bottom w:val="single" w:sz="4" w:space="0" w:color="auto"/>
              <w:right w:val="single" w:sz="4" w:space="0" w:color="auto"/>
            </w:tcBorders>
            <w:shd w:val="clear" w:color="auto" w:fill="auto"/>
            <w:vAlign w:val="center"/>
            <w:hideMark/>
          </w:tcPr>
          <w:p w:rsidR="005D6ACF" w:rsidRPr="00B72764" w:rsidRDefault="005D6ACF" w:rsidP="008A253E">
            <w:pPr>
              <w:jc w:val="center"/>
              <w:rPr>
                <w:color w:val="000000"/>
                <w:sz w:val="22"/>
                <w:szCs w:val="22"/>
              </w:rPr>
            </w:pPr>
            <w:r w:rsidRPr="00B72764">
              <w:rPr>
                <w:color w:val="000000"/>
                <w:sz w:val="22"/>
                <w:szCs w:val="22"/>
              </w:rPr>
              <w:t>Убыток</w:t>
            </w:r>
          </w:p>
        </w:tc>
        <w:tc>
          <w:tcPr>
            <w:tcW w:w="1076" w:type="dxa"/>
            <w:tcBorders>
              <w:top w:val="nil"/>
              <w:left w:val="nil"/>
              <w:bottom w:val="single" w:sz="4" w:space="0" w:color="auto"/>
              <w:right w:val="single" w:sz="4" w:space="0" w:color="auto"/>
            </w:tcBorders>
            <w:shd w:val="clear" w:color="auto" w:fill="auto"/>
            <w:vAlign w:val="center"/>
            <w:hideMark/>
          </w:tcPr>
          <w:p w:rsidR="005D6ACF" w:rsidRPr="00B72764" w:rsidRDefault="005D6ACF" w:rsidP="008A253E">
            <w:pPr>
              <w:jc w:val="center"/>
              <w:rPr>
                <w:color w:val="000000"/>
                <w:sz w:val="22"/>
                <w:szCs w:val="22"/>
              </w:rPr>
            </w:pPr>
            <w:r w:rsidRPr="00B72764">
              <w:rPr>
                <w:color w:val="000000"/>
                <w:sz w:val="22"/>
                <w:szCs w:val="22"/>
              </w:rPr>
              <w:t>0</w:t>
            </w:r>
          </w:p>
        </w:tc>
        <w:tc>
          <w:tcPr>
            <w:tcW w:w="1334" w:type="dxa"/>
            <w:gridSpan w:val="2"/>
            <w:tcBorders>
              <w:top w:val="nil"/>
              <w:left w:val="nil"/>
              <w:bottom w:val="single" w:sz="4" w:space="0" w:color="auto"/>
              <w:right w:val="single" w:sz="4" w:space="0" w:color="auto"/>
            </w:tcBorders>
            <w:shd w:val="clear" w:color="auto" w:fill="auto"/>
            <w:vAlign w:val="center"/>
            <w:hideMark/>
          </w:tcPr>
          <w:p w:rsidR="005D6ACF" w:rsidRPr="00B72764" w:rsidRDefault="005D6ACF" w:rsidP="008A253E">
            <w:pPr>
              <w:jc w:val="center"/>
              <w:rPr>
                <w:color w:val="000000"/>
                <w:sz w:val="22"/>
                <w:szCs w:val="22"/>
              </w:rPr>
            </w:pPr>
            <w:r w:rsidRPr="00B72764">
              <w:rPr>
                <w:color w:val="000000"/>
                <w:sz w:val="22"/>
                <w:szCs w:val="22"/>
              </w:rPr>
              <w:t>Убыток</w:t>
            </w:r>
          </w:p>
        </w:tc>
        <w:tc>
          <w:tcPr>
            <w:tcW w:w="1079" w:type="dxa"/>
            <w:tcBorders>
              <w:top w:val="nil"/>
              <w:left w:val="nil"/>
              <w:bottom w:val="single" w:sz="4" w:space="0" w:color="auto"/>
              <w:right w:val="single" w:sz="4" w:space="0" w:color="auto"/>
            </w:tcBorders>
            <w:shd w:val="clear" w:color="auto" w:fill="auto"/>
            <w:vAlign w:val="center"/>
            <w:hideMark/>
          </w:tcPr>
          <w:p w:rsidR="005D6ACF" w:rsidRPr="00B72764" w:rsidRDefault="005D6ACF" w:rsidP="008A253E">
            <w:pPr>
              <w:jc w:val="center"/>
              <w:rPr>
                <w:color w:val="000000"/>
                <w:sz w:val="22"/>
                <w:szCs w:val="22"/>
              </w:rPr>
            </w:pPr>
            <w:r w:rsidRPr="00B72764">
              <w:rPr>
                <w:color w:val="000000"/>
                <w:sz w:val="22"/>
                <w:szCs w:val="22"/>
              </w:rPr>
              <w:t>0</w:t>
            </w:r>
          </w:p>
        </w:tc>
      </w:tr>
      <w:tr w:rsidR="005D6ACF" w:rsidRPr="00B72764" w:rsidTr="008A253E">
        <w:trPr>
          <w:gridAfter w:val="1"/>
          <w:wAfter w:w="35" w:type="dxa"/>
          <w:trHeight w:val="1360"/>
        </w:trPr>
        <w:tc>
          <w:tcPr>
            <w:tcW w:w="465" w:type="dxa"/>
            <w:tcBorders>
              <w:top w:val="nil"/>
              <w:left w:val="single" w:sz="4" w:space="0" w:color="auto"/>
              <w:bottom w:val="single" w:sz="4" w:space="0" w:color="auto"/>
              <w:right w:val="single" w:sz="4" w:space="0" w:color="auto"/>
            </w:tcBorders>
            <w:shd w:val="clear" w:color="auto" w:fill="auto"/>
            <w:vAlign w:val="center"/>
            <w:hideMark/>
          </w:tcPr>
          <w:p w:rsidR="005D6ACF" w:rsidRPr="00B72764" w:rsidRDefault="005D6ACF" w:rsidP="008A253E">
            <w:pPr>
              <w:jc w:val="center"/>
              <w:rPr>
                <w:color w:val="000000"/>
                <w:sz w:val="22"/>
                <w:szCs w:val="22"/>
              </w:rPr>
            </w:pPr>
            <w:r w:rsidRPr="00B72764">
              <w:rPr>
                <w:color w:val="000000"/>
                <w:sz w:val="22"/>
                <w:szCs w:val="22"/>
              </w:rPr>
              <w:t>9</w:t>
            </w:r>
          </w:p>
        </w:tc>
        <w:tc>
          <w:tcPr>
            <w:tcW w:w="2791" w:type="dxa"/>
            <w:tcBorders>
              <w:top w:val="nil"/>
              <w:left w:val="nil"/>
              <w:bottom w:val="single" w:sz="4" w:space="0" w:color="auto"/>
              <w:right w:val="single" w:sz="4" w:space="0" w:color="auto"/>
            </w:tcBorders>
            <w:shd w:val="clear" w:color="auto" w:fill="auto"/>
            <w:vAlign w:val="center"/>
            <w:hideMark/>
          </w:tcPr>
          <w:p w:rsidR="005D6ACF" w:rsidRPr="00B72764" w:rsidRDefault="005D6ACF" w:rsidP="008A253E">
            <w:pPr>
              <w:rPr>
                <w:color w:val="000000"/>
                <w:sz w:val="22"/>
                <w:szCs w:val="22"/>
              </w:rPr>
            </w:pPr>
            <w:r w:rsidRPr="00B72764">
              <w:rPr>
                <w:color w:val="000000"/>
                <w:sz w:val="22"/>
                <w:szCs w:val="22"/>
              </w:rPr>
              <w:t>АО «Тверь Регион Авиа»</w:t>
            </w:r>
          </w:p>
        </w:tc>
        <w:tc>
          <w:tcPr>
            <w:tcW w:w="1275" w:type="dxa"/>
            <w:tcBorders>
              <w:top w:val="nil"/>
              <w:left w:val="nil"/>
              <w:bottom w:val="single" w:sz="4" w:space="0" w:color="auto"/>
              <w:right w:val="single" w:sz="4" w:space="0" w:color="auto"/>
            </w:tcBorders>
            <w:shd w:val="clear" w:color="auto" w:fill="auto"/>
            <w:vAlign w:val="center"/>
            <w:hideMark/>
          </w:tcPr>
          <w:p w:rsidR="005D6ACF" w:rsidRPr="00B72764" w:rsidRDefault="005D6ACF" w:rsidP="008A253E">
            <w:pPr>
              <w:jc w:val="center"/>
              <w:rPr>
                <w:color w:val="000000"/>
                <w:sz w:val="22"/>
                <w:szCs w:val="22"/>
              </w:rPr>
            </w:pPr>
            <w:r w:rsidRPr="00B72764">
              <w:rPr>
                <w:color w:val="000000"/>
                <w:sz w:val="22"/>
                <w:szCs w:val="22"/>
              </w:rPr>
              <w:t>Стоимость чистых активов меньше уставного капитала</w:t>
            </w:r>
          </w:p>
        </w:tc>
        <w:tc>
          <w:tcPr>
            <w:tcW w:w="1025" w:type="dxa"/>
            <w:tcBorders>
              <w:top w:val="nil"/>
              <w:left w:val="nil"/>
              <w:bottom w:val="single" w:sz="4" w:space="0" w:color="auto"/>
              <w:right w:val="single" w:sz="4" w:space="0" w:color="auto"/>
            </w:tcBorders>
            <w:shd w:val="clear" w:color="auto" w:fill="auto"/>
            <w:vAlign w:val="center"/>
            <w:hideMark/>
          </w:tcPr>
          <w:p w:rsidR="005D6ACF" w:rsidRPr="00B72764" w:rsidRDefault="005D6ACF" w:rsidP="008A253E">
            <w:pPr>
              <w:jc w:val="center"/>
              <w:rPr>
                <w:color w:val="000000"/>
                <w:sz w:val="22"/>
                <w:szCs w:val="22"/>
              </w:rPr>
            </w:pPr>
            <w:r w:rsidRPr="00B72764">
              <w:rPr>
                <w:color w:val="000000"/>
                <w:sz w:val="22"/>
                <w:szCs w:val="22"/>
              </w:rPr>
              <w:t>0</w:t>
            </w:r>
          </w:p>
        </w:tc>
        <w:tc>
          <w:tcPr>
            <w:tcW w:w="1243" w:type="dxa"/>
            <w:gridSpan w:val="2"/>
            <w:tcBorders>
              <w:top w:val="nil"/>
              <w:left w:val="nil"/>
              <w:bottom w:val="single" w:sz="4" w:space="0" w:color="auto"/>
              <w:right w:val="single" w:sz="4" w:space="0" w:color="auto"/>
            </w:tcBorders>
            <w:shd w:val="clear" w:color="auto" w:fill="auto"/>
            <w:vAlign w:val="center"/>
            <w:hideMark/>
          </w:tcPr>
          <w:p w:rsidR="005D6ACF" w:rsidRPr="00B72764" w:rsidRDefault="005D6ACF" w:rsidP="008A253E">
            <w:pPr>
              <w:jc w:val="center"/>
              <w:rPr>
                <w:color w:val="000000"/>
                <w:sz w:val="22"/>
                <w:szCs w:val="22"/>
              </w:rPr>
            </w:pPr>
            <w:r w:rsidRPr="00B72764">
              <w:rPr>
                <w:color w:val="000000"/>
                <w:sz w:val="22"/>
                <w:szCs w:val="22"/>
              </w:rPr>
              <w:t>Стоимость чистых активов меньше уставного капитала</w:t>
            </w:r>
          </w:p>
        </w:tc>
        <w:tc>
          <w:tcPr>
            <w:tcW w:w="1076" w:type="dxa"/>
            <w:tcBorders>
              <w:top w:val="nil"/>
              <w:left w:val="nil"/>
              <w:bottom w:val="single" w:sz="4" w:space="0" w:color="auto"/>
              <w:right w:val="single" w:sz="4" w:space="0" w:color="auto"/>
            </w:tcBorders>
            <w:shd w:val="clear" w:color="auto" w:fill="auto"/>
            <w:vAlign w:val="center"/>
            <w:hideMark/>
          </w:tcPr>
          <w:p w:rsidR="005D6ACF" w:rsidRPr="00B72764" w:rsidRDefault="005D6ACF" w:rsidP="008A253E">
            <w:pPr>
              <w:jc w:val="center"/>
              <w:rPr>
                <w:color w:val="000000"/>
                <w:sz w:val="22"/>
                <w:szCs w:val="22"/>
              </w:rPr>
            </w:pPr>
            <w:r w:rsidRPr="00B72764">
              <w:rPr>
                <w:color w:val="000000"/>
                <w:sz w:val="22"/>
                <w:szCs w:val="22"/>
              </w:rPr>
              <w:t>0</w:t>
            </w:r>
          </w:p>
        </w:tc>
        <w:tc>
          <w:tcPr>
            <w:tcW w:w="1334" w:type="dxa"/>
            <w:gridSpan w:val="2"/>
            <w:tcBorders>
              <w:top w:val="nil"/>
              <w:left w:val="nil"/>
              <w:bottom w:val="single" w:sz="4" w:space="0" w:color="auto"/>
              <w:right w:val="single" w:sz="4" w:space="0" w:color="auto"/>
            </w:tcBorders>
            <w:shd w:val="clear" w:color="auto" w:fill="auto"/>
            <w:vAlign w:val="center"/>
            <w:hideMark/>
          </w:tcPr>
          <w:p w:rsidR="005D6ACF" w:rsidRPr="00B72764" w:rsidRDefault="005D6ACF" w:rsidP="008A253E">
            <w:pPr>
              <w:jc w:val="center"/>
              <w:rPr>
                <w:color w:val="000000"/>
                <w:sz w:val="22"/>
                <w:szCs w:val="22"/>
              </w:rPr>
            </w:pPr>
            <w:r w:rsidRPr="00B72764">
              <w:rPr>
                <w:color w:val="000000"/>
                <w:sz w:val="22"/>
                <w:szCs w:val="22"/>
              </w:rPr>
              <w:t>Стоимость чистых активов меньше уставного капитала</w:t>
            </w:r>
          </w:p>
        </w:tc>
        <w:tc>
          <w:tcPr>
            <w:tcW w:w="1079" w:type="dxa"/>
            <w:tcBorders>
              <w:top w:val="nil"/>
              <w:left w:val="nil"/>
              <w:bottom w:val="single" w:sz="4" w:space="0" w:color="auto"/>
              <w:right w:val="single" w:sz="4" w:space="0" w:color="auto"/>
            </w:tcBorders>
            <w:shd w:val="clear" w:color="auto" w:fill="auto"/>
            <w:vAlign w:val="center"/>
            <w:hideMark/>
          </w:tcPr>
          <w:p w:rsidR="005D6ACF" w:rsidRPr="00B72764" w:rsidRDefault="005D6ACF" w:rsidP="008A253E">
            <w:pPr>
              <w:jc w:val="center"/>
              <w:rPr>
                <w:color w:val="000000"/>
                <w:sz w:val="22"/>
                <w:szCs w:val="22"/>
              </w:rPr>
            </w:pPr>
            <w:r w:rsidRPr="00B72764">
              <w:rPr>
                <w:color w:val="000000"/>
                <w:sz w:val="22"/>
                <w:szCs w:val="22"/>
              </w:rPr>
              <w:t>0</w:t>
            </w:r>
          </w:p>
        </w:tc>
      </w:tr>
      <w:tr w:rsidR="005D6ACF" w:rsidRPr="00B72764" w:rsidTr="008A253E">
        <w:trPr>
          <w:gridAfter w:val="1"/>
          <w:wAfter w:w="35" w:type="dxa"/>
          <w:trHeight w:val="1360"/>
        </w:trPr>
        <w:tc>
          <w:tcPr>
            <w:tcW w:w="465" w:type="dxa"/>
            <w:tcBorders>
              <w:top w:val="nil"/>
              <w:left w:val="single" w:sz="4" w:space="0" w:color="auto"/>
              <w:bottom w:val="single" w:sz="4" w:space="0" w:color="auto"/>
              <w:right w:val="single" w:sz="4" w:space="0" w:color="auto"/>
            </w:tcBorders>
            <w:shd w:val="clear" w:color="auto" w:fill="auto"/>
            <w:vAlign w:val="center"/>
            <w:hideMark/>
          </w:tcPr>
          <w:p w:rsidR="005D6ACF" w:rsidRPr="00B72764" w:rsidRDefault="005D6ACF" w:rsidP="008A253E">
            <w:pPr>
              <w:jc w:val="center"/>
              <w:rPr>
                <w:color w:val="000000"/>
                <w:sz w:val="22"/>
                <w:szCs w:val="22"/>
              </w:rPr>
            </w:pPr>
            <w:r w:rsidRPr="00B72764">
              <w:rPr>
                <w:color w:val="000000"/>
                <w:sz w:val="22"/>
                <w:szCs w:val="22"/>
              </w:rPr>
              <w:lastRenderedPageBreak/>
              <w:t>10</w:t>
            </w:r>
          </w:p>
        </w:tc>
        <w:tc>
          <w:tcPr>
            <w:tcW w:w="2791" w:type="dxa"/>
            <w:tcBorders>
              <w:top w:val="nil"/>
              <w:left w:val="nil"/>
              <w:bottom w:val="single" w:sz="4" w:space="0" w:color="auto"/>
              <w:right w:val="single" w:sz="4" w:space="0" w:color="auto"/>
            </w:tcBorders>
            <w:shd w:val="clear" w:color="auto" w:fill="auto"/>
            <w:vAlign w:val="center"/>
            <w:hideMark/>
          </w:tcPr>
          <w:p w:rsidR="005D6ACF" w:rsidRPr="00B72764" w:rsidRDefault="005D6ACF" w:rsidP="008A253E">
            <w:pPr>
              <w:rPr>
                <w:color w:val="000000"/>
                <w:sz w:val="22"/>
                <w:szCs w:val="22"/>
              </w:rPr>
            </w:pPr>
            <w:r w:rsidRPr="00B72764">
              <w:rPr>
                <w:color w:val="000000"/>
                <w:sz w:val="22"/>
                <w:szCs w:val="22"/>
              </w:rPr>
              <w:t>АО «Тверская областная типография»</w:t>
            </w:r>
          </w:p>
        </w:tc>
        <w:tc>
          <w:tcPr>
            <w:tcW w:w="1275" w:type="dxa"/>
            <w:tcBorders>
              <w:top w:val="nil"/>
              <w:left w:val="nil"/>
              <w:bottom w:val="single" w:sz="4" w:space="0" w:color="auto"/>
              <w:right w:val="single" w:sz="4" w:space="0" w:color="auto"/>
            </w:tcBorders>
            <w:shd w:val="clear" w:color="auto" w:fill="auto"/>
            <w:vAlign w:val="center"/>
            <w:hideMark/>
          </w:tcPr>
          <w:p w:rsidR="005D6ACF" w:rsidRPr="00B72764" w:rsidRDefault="005D6ACF" w:rsidP="008A253E">
            <w:pPr>
              <w:jc w:val="center"/>
              <w:rPr>
                <w:color w:val="000000"/>
                <w:sz w:val="22"/>
                <w:szCs w:val="22"/>
              </w:rPr>
            </w:pPr>
            <w:r w:rsidRPr="00B72764">
              <w:rPr>
                <w:color w:val="000000"/>
                <w:sz w:val="22"/>
                <w:szCs w:val="22"/>
              </w:rPr>
              <w:t>Стоимость чистых активов меньше уставного капитала</w:t>
            </w:r>
          </w:p>
        </w:tc>
        <w:tc>
          <w:tcPr>
            <w:tcW w:w="1025" w:type="dxa"/>
            <w:tcBorders>
              <w:top w:val="nil"/>
              <w:left w:val="nil"/>
              <w:bottom w:val="single" w:sz="4" w:space="0" w:color="auto"/>
              <w:right w:val="single" w:sz="4" w:space="0" w:color="auto"/>
            </w:tcBorders>
            <w:shd w:val="clear" w:color="auto" w:fill="auto"/>
            <w:vAlign w:val="center"/>
            <w:hideMark/>
          </w:tcPr>
          <w:p w:rsidR="005D6ACF" w:rsidRPr="00B72764" w:rsidRDefault="005D6ACF" w:rsidP="008A253E">
            <w:pPr>
              <w:jc w:val="center"/>
              <w:rPr>
                <w:color w:val="000000"/>
                <w:sz w:val="22"/>
                <w:szCs w:val="22"/>
              </w:rPr>
            </w:pPr>
            <w:r w:rsidRPr="00B72764">
              <w:rPr>
                <w:color w:val="000000"/>
                <w:sz w:val="22"/>
                <w:szCs w:val="22"/>
              </w:rPr>
              <w:t>0</w:t>
            </w:r>
          </w:p>
        </w:tc>
        <w:tc>
          <w:tcPr>
            <w:tcW w:w="1243" w:type="dxa"/>
            <w:gridSpan w:val="2"/>
            <w:tcBorders>
              <w:top w:val="nil"/>
              <w:left w:val="nil"/>
              <w:bottom w:val="single" w:sz="4" w:space="0" w:color="auto"/>
              <w:right w:val="single" w:sz="4" w:space="0" w:color="auto"/>
            </w:tcBorders>
            <w:shd w:val="clear" w:color="auto" w:fill="auto"/>
            <w:vAlign w:val="center"/>
            <w:hideMark/>
          </w:tcPr>
          <w:p w:rsidR="005D6ACF" w:rsidRPr="00B72764" w:rsidRDefault="005D6ACF" w:rsidP="008A253E">
            <w:pPr>
              <w:jc w:val="center"/>
              <w:rPr>
                <w:color w:val="000000"/>
                <w:sz w:val="22"/>
                <w:szCs w:val="22"/>
              </w:rPr>
            </w:pPr>
            <w:r w:rsidRPr="00B72764">
              <w:rPr>
                <w:color w:val="000000"/>
                <w:sz w:val="22"/>
                <w:szCs w:val="22"/>
              </w:rPr>
              <w:t>Стоимость чистых активов меньше уставного капитала</w:t>
            </w:r>
          </w:p>
        </w:tc>
        <w:tc>
          <w:tcPr>
            <w:tcW w:w="1076" w:type="dxa"/>
            <w:tcBorders>
              <w:top w:val="nil"/>
              <w:left w:val="nil"/>
              <w:bottom w:val="single" w:sz="4" w:space="0" w:color="auto"/>
              <w:right w:val="single" w:sz="4" w:space="0" w:color="auto"/>
            </w:tcBorders>
            <w:shd w:val="clear" w:color="auto" w:fill="auto"/>
            <w:vAlign w:val="center"/>
            <w:hideMark/>
          </w:tcPr>
          <w:p w:rsidR="005D6ACF" w:rsidRPr="00B72764" w:rsidRDefault="005D6ACF" w:rsidP="008A253E">
            <w:pPr>
              <w:jc w:val="center"/>
              <w:rPr>
                <w:color w:val="000000"/>
                <w:sz w:val="22"/>
                <w:szCs w:val="22"/>
              </w:rPr>
            </w:pPr>
            <w:r w:rsidRPr="00B72764">
              <w:rPr>
                <w:color w:val="000000"/>
                <w:sz w:val="22"/>
                <w:szCs w:val="22"/>
              </w:rPr>
              <w:t>0</w:t>
            </w:r>
          </w:p>
        </w:tc>
        <w:tc>
          <w:tcPr>
            <w:tcW w:w="1334" w:type="dxa"/>
            <w:gridSpan w:val="2"/>
            <w:tcBorders>
              <w:top w:val="nil"/>
              <w:left w:val="nil"/>
              <w:bottom w:val="single" w:sz="4" w:space="0" w:color="auto"/>
              <w:right w:val="single" w:sz="4" w:space="0" w:color="auto"/>
            </w:tcBorders>
            <w:shd w:val="clear" w:color="auto" w:fill="auto"/>
            <w:vAlign w:val="center"/>
            <w:hideMark/>
          </w:tcPr>
          <w:p w:rsidR="005D6ACF" w:rsidRPr="00B72764" w:rsidRDefault="005D6ACF" w:rsidP="008A253E">
            <w:pPr>
              <w:jc w:val="center"/>
              <w:rPr>
                <w:color w:val="000000"/>
                <w:sz w:val="22"/>
                <w:szCs w:val="22"/>
              </w:rPr>
            </w:pPr>
            <w:r w:rsidRPr="00B72764">
              <w:rPr>
                <w:color w:val="000000"/>
                <w:sz w:val="22"/>
                <w:szCs w:val="22"/>
              </w:rPr>
              <w:t>Стоимость чистых активов меньше уставного капитала</w:t>
            </w:r>
          </w:p>
        </w:tc>
        <w:tc>
          <w:tcPr>
            <w:tcW w:w="1079" w:type="dxa"/>
            <w:tcBorders>
              <w:top w:val="nil"/>
              <w:left w:val="nil"/>
              <w:bottom w:val="single" w:sz="4" w:space="0" w:color="auto"/>
              <w:right w:val="single" w:sz="4" w:space="0" w:color="auto"/>
            </w:tcBorders>
            <w:shd w:val="clear" w:color="auto" w:fill="auto"/>
            <w:vAlign w:val="center"/>
            <w:hideMark/>
          </w:tcPr>
          <w:p w:rsidR="005D6ACF" w:rsidRPr="00B72764" w:rsidRDefault="005D6ACF" w:rsidP="008A253E">
            <w:pPr>
              <w:jc w:val="center"/>
              <w:rPr>
                <w:color w:val="000000"/>
                <w:sz w:val="22"/>
                <w:szCs w:val="22"/>
              </w:rPr>
            </w:pPr>
            <w:r w:rsidRPr="00B72764">
              <w:rPr>
                <w:color w:val="000000"/>
                <w:sz w:val="22"/>
                <w:szCs w:val="22"/>
              </w:rPr>
              <w:t>0</w:t>
            </w:r>
          </w:p>
        </w:tc>
      </w:tr>
      <w:tr w:rsidR="005D6ACF" w:rsidRPr="00B72764" w:rsidTr="008A253E">
        <w:trPr>
          <w:gridAfter w:val="1"/>
          <w:wAfter w:w="35" w:type="dxa"/>
          <w:trHeight w:val="1043"/>
        </w:trPr>
        <w:tc>
          <w:tcPr>
            <w:tcW w:w="465" w:type="dxa"/>
            <w:vMerge w:val="restart"/>
            <w:tcBorders>
              <w:top w:val="nil"/>
              <w:left w:val="single" w:sz="4" w:space="0" w:color="auto"/>
              <w:bottom w:val="single" w:sz="4" w:space="0" w:color="auto"/>
              <w:right w:val="single" w:sz="4" w:space="0" w:color="auto"/>
            </w:tcBorders>
            <w:shd w:val="clear" w:color="auto" w:fill="auto"/>
            <w:vAlign w:val="center"/>
            <w:hideMark/>
          </w:tcPr>
          <w:p w:rsidR="005D6ACF" w:rsidRPr="00B72764" w:rsidRDefault="005D6ACF" w:rsidP="008A253E">
            <w:pPr>
              <w:jc w:val="center"/>
              <w:rPr>
                <w:color w:val="000000"/>
                <w:sz w:val="22"/>
                <w:szCs w:val="22"/>
              </w:rPr>
            </w:pPr>
            <w:r w:rsidRPr="00B72764">
              <w:rPr>
                <w:color w:val="000000"/>
                <w:sz w:val="22"/>
                <w:szCs w:val="22"/>
              </w:rPr>
              <w:t>11</w:t>
            </w:r>
          </w:p>
        </w:tc>
        <w:tc>
          <w:tcPr>
            <w:tcW w:w="2791" w:type="dxa"/>
            <w:vMerge w:val="restart"/>
            <w:tcBorders>
              <w:top w:val="nil"/>
              <w:left w:val="single" w:sz="4" w:space="0" w:color="auto"/>
              <w:bottom w:val="single" w:sz="4" w:space="0" w:color="auto"/>
              <w:right w:val="single" w:sz="4" w:space="0" w:color="auto"/>
            </w:tcBorders>
            <w:shd w:val="clear" w:color="auto" w:fill="auto"/>
            <w:vAlign w:val="center"/>
            <w:hideMark/>
          </w:tcPr>
          <w:p w:rsidR="005D6ACF" w:rsidRPr="00B72764" w:rsidRDefault="005D6ACF" w:rsidP="008A253E">
            <w:pPr>
              <w:rPr>
                <w:color w:val="000000"/>
                <w:sz w:val="22"/>
                <w:szCs w:val="22"/>
              </w:rPr>
            </w:pPr>
            <w:r w:rsidRPr="00B72764">
              <w:rPr>
                <w:color w:val="000000"/>
                <w:sz w:val="22"/>
                <w:szCs w:val="22"/>
              </w:rPr>
              <w:t>АО «Инженерно-инвестиционная компания»</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5D6ACF" w:rsidRPr="00B72764" w:rsidRDefault="005D6ACF" w:rsidP="008A253E">
            <w:pPr>
              <w:jc w:val="center"/>
              <w:rPr>
                <w:color w:val="000000"/>
                <w:sz w:val="22"/>
                <w:szCs w:val="22"/>
              </w:rPr>
            </w:pPr>
            <w:r w:rsidRPr="00B72764">
              <w:rPr>
                <w:color w:val="000000"/>
                <w:sz w:val="22"/>
                <w:szCs w:val="22"/>
              </w:rPr>
              <w:t>Убыток</w:t>
            </w:r>
          </w:p>
        </w:tc>
        <w:tc>
          <w:tcPr>
            <w:tcW w:w="1025" w:type="dxa"/>
            <w:vMerge w:val="restart"/>
            <w:tcBorders>
              <w:top w:val="nil"/>
              <w:left w:val="single" w:sz="4" w:space="0" w:color="auto"/>
              <w:bottom w:val="single" w:sz="4" w:space="0" w:color="auto"/>
              <w:right w:val="single" w:sz="4" w:space="0" w:color="auto"/>
            </w:tcBorders>
            <w:shd w:val="clear" w:color="auto" w:fill="auto"/>
            <w:vAlign w:val="center"/>
            <w:hideMark/>
          </w:tcPr>
          <w:p w:rsidR="005D6ACF" w:rsidRPr="00B72764" w:rsidRDefault="005D6ACF" w:rsidP="008A253E">
            <w:pPr>
              <w:jc w:val="center"/>
              <w:rPr>
                <w:color w:val="000000"/>
                <w:sz w:val="22"/>
                <w:szCs w:val="22"/>
              </w:rPr>
            </w:pPr>
            <w:r w:rsidRPr="00B72764">
              <w:rPr>
                <w:color w:val="000000"/>
                <w:sz w:val="22"/>
                <w:szCs w:val="22"/>
              </w:rPr>
              <w:t>0</w:t>
            </w:r>
          </w:p>
        </w:tc>
        <w:tc>
          <w:tcPr>
            <w:tcW w:w="124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5D6ACF" w:rsidRPr="00B72764" w:rsidRDefault="005D6ACF" w:rsidP="008A253E">
            <w:pPr>
              <w:jc w:val="center"/>
              <w:rPr>
                <w:color w:val="000000"/>
                <w:sz w:val="22"/>
                <w:szCs w:val="22"/>
              </w:rPr>
            </w:pPr>
            <w:r w:rsidRPr="00B72764">
              <w:rPr>
                <w:color w:val="000000"/>
                <w:sz w:val="22"/>
                <w:szCs w:val="22"/>
              </w:rPr>
              <w:t>Стоимость чистых активов меньше уставного капитала</w:t>
            </w:r>
          </w:p>
        </w:tc>
        <w:tc>
          <w:tcPr>
            <w:tcW w:w="1076" w:type="dxa"/>
            <w:vMerge w:val="restart"/>
            <w:tcBorders>
              <w:top w:val="nil"/>
              <w:left w:val="single" w:sz="4" w:space="0" w:color="auto"/>
              <w:bottom w:val="single" w:sz="4" w:space="0" w:color="auto"/>
              <w:right w:val="single" w:sz="4" w:space="0" w:color="auto"/>
            </w:tcBorders>
            <w:shd w:val="clear" w:color="auto" w:fill="auto"/>
            <w:vAlign w:val="center"/>
            <w:hideMark/>
          </w:tcPr>
          <w:p w:rsidR="005D6ACF" w:rsidRPr="00B72764" w:rsidRDefault="005D6ACF" w:rsidP="008A253E">
            <w:pPr>
              <w:jc w:val="center"/>
              <w:rPr>
                <w:color w:val="000000"/>
                <w:sz w:val="22"/>
                <w:szCs w:val="22"/>
              </w:rPr>
            </w:pPr>
            <w:r w:rsidRPr="00B72764">
              <w:rPr>
                <w:color w:val="000000"/>
                <w:sz w:val="22"/>
                <w:szCs w:val="22"/>
              </w:rPr>
              <w:t>0</w:t>
            </w:r>
          </w:p>
        </w:tc>
        <w:tc>
          <w:tcPr>
            <w:tcW w:w="133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5D6ACF" w:rsidRPr="00B72764" w:rsidRDefault="005D6ACF" w:rsidP="008A253E">
            <w:pPr>
              <w:jc w:val="center"/>
              <w:rPr>
                <w:color w:val="000000"/>
                <w:sz w:val="22"/>
                <w:szCs w:val="22"/>
              </w:rPr>
            </w:pPr>
            <w:r w:rsidRPr="00B72764">
              <w:rPr>
                <w:color w:val="000000"/>
                <w:sz w:val="22"/>
                <w:szCs w:val="22"/>
              </w:rPr>
              <w:t>Стоимость чистых активов меньше уставного капитала</w:t>
            </w:r>
          </w:p>
        </w:tc>
        <w:tc>
          <w:tcPr>
            <w:tcW w:w="1079" w:type="dxa"/>
            <w:vMerge w:val="restart"/>
            <w:tcBorders>
              <w:top w:val="nil"/>
              <w:left w:val="single" w:sz="4" w:space="0" w:color="auto"/>
              <w:bottom w:val="single" w:sz="4" w:space="0" w:color="auto"/>
              <w:right w:val="single" w:sz="4" w:space="0" w:color="auto"/>
            </w:tcBorders>
            <w:shd w:val="clear" w:color="auto" w:fill="auto"/>
            <w:vAlign w:val="center"/>
            <w:hideMark/>
          </w:tcPr>
          <w:p w:rsidR="005D6ACF" w:rsidRPr="00B72764" w:rsidRDefault="005D6ACF" w:rsidP="008A253E">
            <w:pPr>
              <w:jc w:val="center"/>
              <w:rPr>
                <w:color w:val="000000"/>
                <w:sz w:val="22"/>
                <w:szCs w:val="22"/>
              </w:rPr>
            </w:pPr>
            <w:r w:rsidRPr="00B72764">
              <w:rPr>
                <w:color w:val="000000"/>
                <w:sz w:val="22"/>
                <w:szCs w:val="22"/>
              </w:rPr>
              <w:t>0</w:t>
            </w:r>
          </w:p>
        </w:tc>
      </w:tr>
      <w:tr w:rsidR="005D6ACF" w:rsidRPr="00B72764" w:rsidTr="008A253E">
        <w:trPr>
          <w:gridAfter w:val="1"/>
          <w:wAfter w:w="35" w:type="dxa"/>
          <w:trHeight w:val="302"/>
        </w:trPr>
        <w:tc>
          <w:tcPr>
            <w:tcW w:w="465" w:type="dxa"/>
            <w:vMerge/>
            <w:tcBorders>
              <w:top w:val="nil"/>
              <w:left w:val="single" w:sz="4" w:space="0" w:color="auto"/>
              <w:bottom w:val="single" w:sz="4" w:space="0" w:color="auto"/>
              <w:right w:val="single" w:sz="4" w:space="0" w:color="auto"/>
            </w:tcBorders>
            <w:vAlign w:val="center"/>
            <w:hideMark/>
          </w:tcPr>
          <w:p w:rsidR="005D6ACF" w:rsidRPr="00B72764" w:rsidRDefault="005D6ACF" w:rsidP="008A253E">
            <w:pPr>
              <w:rPr>
                <w:color w:val="000000"/>
                <w:sz w:val="22"/>
                <w:szCs w:val="22"/>
              </w:rPr>
            </w:pPr>
          </w:p>
        </w:tc>
        <w:tc>
          <w:tcPr>
            <w:tcW w:w="2791" w:type="dxa"/>
            <w:vMerge/>
            <w:tcBorders>
              <w:top w:val="nil"/>
              <w:left w:val="single" w:sz="4" w:space="0" w:color="auto"/>
              <w:bottom w:val="single" w:sz="4" w:space="0" w:color="auto"/>
              <w:right w:val="single" w:sz="4" w:space="0" w:color="auto"/>
            </w:tcBorders>
            <w:vAlign w:val="center"/>
            <w:hideMark/>
          </w:tcPr>
          <w:p w:rsidR="005D6ACF" w:rsidRPr="00B72764" w:rsidRDefault="005D6ACF" w:rsidP="008A253E">
            <w:pPr>
              <w:rPr>
                <w:color w:val="000000"/>
                <w:sz w:val="22"/>
                <w:szCs w:val="22"/>
              </w:rPr>
            </w:pPr>
          </w:p>
        </w:tc>
        <w:tc>
          <w:tcPr>
            <w:tcW w:w="1275" w:type="dxa"/>
            <w:vMerge/>
            <w:tcBorders>
              <w:top w:val="nil"/>
              <w:left w:val="single" w:sz="4" w:space="0" w:color="auto"/>
              <w:bottom w:val="single" w:sz="4" w:space="0" w:color="auto"/>
              <w:right w:val="single" w:sz="4" w:space="0" w:color="auto"/>
            </w:tcBorders>
            <w:vAlign w:val="center"/>
            <w:hideMark/>
          </w:tcPr>
          <w:p w:rsidR="005D6ACF" w:rsidRPr="00B72764" w:rsidRDefault="005D6ACF" w:rsidP="008A253E">
            <w:pPr>
              <w:rPr>
                <w:color w:val="000000"/>
                <w:sz w:val="22"/>
                <w:szCs w:val="22"/>
              </w:rPr>
            </w:pPr>
          </w:p>
        </w:tc>
        <w:tc>
          <w:tcPr>
            <w:tcW w:w="1025" w:type="dxa"/>
            <w:vMerge/>
            <w:tcBorders>
              <w:top w:val="nil"/>
              <w:left w:val="single" w:sz="4" w:space="0" w:color="auto"/>
              <w:bottom w:val="single" w:sz="4" w:space="0" w:color="auto"/>
              <w:right w:val="single" w:sz="4" w:space="0" w:color="auto"/>
            </w:tcBorders>
            <w:vAlign w:val="center"/>
            <w:hideMark/>
          </w:tcPr>
          <w:p w:rsidR="005D6ACF" w:rsidRPr="00B72764" w:rsidRDefault="005D6ACF" w:rsidP="008A253E">
            <w:pPr>
              <w:rPr>
                <w:color w:val="000000"/>
                <w:sz w:val="22"/>
                <w:szCs w:val="22"/>
              </w:rPr>
            </w:pPr>
          </w:p>
        </w:tc>
        <w:tc>
          <w:tcPr>
            <w:tcW w:w="1243" w:type="dxa"/>
            <w:gridSpan w:val="2"/>
            <w:vMerge/>
            <w:tcBorders>
              <w:top w:val="nil"/>
              <w:left w:val="single" w:sz="4" w:space="0" w:color="auto"/>
              <w:bottom w:val="single" w:sz="4" w:space="0" w:color="auto"/>
              <w:right w:val="single" w:sz="4" w:space="0" w:color="auto"/>
            </w:tcBorders>
            <w:vAlign w:val="center"/>
            <w:hideMark/>
          </w:tcPr>
          <w:p w:rsidR="005D6ACF" w:rsidRPr="00B72764" w:rsidRDefault="005D6ACF" w:rsidP="008A253E">
            <w:pPr>
              <w:rPr>
                <w:color w:val="000000"/>
                <w:sz w:val="22"/>
                <w:szCs w:val="22"/>
              </w:rPr>
            </w:pPr>
          </w:p>
        </w:tc>
        <w:tc>
          <w:tcPr>
            <w:tcW w:w="1076" w:type="dxa"/>
            <w:vMerge/>
            <w:tcBorders>
              <w:top w:val="nil"/>
              <w:left w:val="single" w:sz="4" w:space="0" w:color="auto"/>
              <w:bottom w:val="single" w:sz="4" w:space="0" w:color="auto"/>
              <w:right w:val="single" w:sz="4" w:space="0" w:color="auto"/>
            </w:tcBorders>
            <w:vAlign w:val="center"/>
            <w:hideMark/>
          </w:tcPr>
          <w:p w:rsidR="005D6ACF" w:rsidRPr="00B72764" w:rsidRDefault="005D6ACF" w:rsidP="008A253E">
            <w:pPr>
              <w:rPr>
                <w:color w:val="000000"/>
                <w:sz w:val="22"/>
                <w:szCs w:val="22"/>
              </w:rPr>
            </w:pPr>
          </w:p>
        </w:tc>
        <w:tc>
          <w:tcPr>
            <w:tcW w:w="1334" w:type="dxa"/>
            <w:gridSpan w:val="2"/>
            <w:vMerge/>
            <w:tcBorders>
              <w:top w:val="nil"/>
              <w:left w:val="single" w:sz="4" w:space="0" w:color="auto"/>
              <w:bottom w:val="single" w:sz="4" w:space="0" w:color="auto"/>
              <w:right w:val="single" w:sz="4" w:space="0" w:color="auto"/>
            </w:tcBorders>
            <w:vAlign w:val="center"/>
            <w:hideMark/>
          </w:tcPr>
          <w:p w:rsidR="005D6ACF" w:rsidRPr="00B72764" w:rsidRDefault="005D6ACF" w:rsidP="008A253E">
            <w:pPr>
              <w:rPr>
                <w:color w:val="000000"/>
                <w:sz w:val="22"/>
                <w:szCs w:val="22"/>
              </w:rPr>
            </w:pPr>
          </w:p>
        </w:tc>
        <w:tc>
          <w:tcPr>
            <w:tcW w:w="1079" w:type="dxa"/>
            <w:vMerge/>
            <w:tcBorders>
              <w:top w:val="nil"/>
              <w:left w:val="single" w:sz="4" w:space="0" w:color="auto"/>
              <w:bottom w:val="single" w:sz="4" w:space="0" w:color="auto"/>
              <w:right w:val="single" w:sz="4" w:space="0" w:color="auto"/>
            </w:tcBorders>
            <w:vAlign w:val="center"/>
            <w:hideMark/>
          </w:tcPr>
          <w:p w:rsidR="005D6ACF" w:rsidRPr="00B72764" w:rsidRDefault="005D6ACF" w:rsidP="008A253E">
            <w:pPr>
              <w:rPr>
                <w:color w:val="000000"/>
                <w:sz w:val="22"/>
                <w:szCs w:val="22"/>
              </w:rPr>
            </w:pPr>
          </w:p>
        </w:tc>
      </w:tr>
      <w:tr w:rsidR="005D6ACF" w:rsidRPr="00B72764" w:rsidTr="008A253E">
        <w:trPr>
          <w:gridAfter w:val="1"/>
          <w:wAfter w:w="35" w:type="dxa"/>
          <w:trHeight w:val="1043"/>
        </w:trPr>
        <w:tc>
          <w:tcPr>
            <w:tcW w:w="465" w:type="dxa"/>
            <w:vMerge w:val="restart"/>
            <w:tcBorders>
              <w:top w:val="nil"/>
              <w:left w:val="single" w:sz="4" w:space="0" w:color="auto"/>
              <w:bottom w:val="single" w:sz="4" w:space="0" w:color="auto"/>
              <w:right w:val="single" w:sz="4" w:space="0" w:color="auto"/>
            </w:tcBorders>
            <w:shd w:val="clear" w:color="auto" w:fill="auto"/>
            <w:vAlign w:val="center"/>
            <w:hideMark/>
          </w:tcPr>
          <w:p w:rsidR="005D6ACF" w:rsidRPr="00B72764" w:rsidRDefault="005D6ACF" w:rsidP="008A253E">
            <w:pPr>
              <w:jc w:val="center"/>
              <w:rPr>
                <w:color w:val="000000"/>
                <w:sz w:val="22"/>
                <w:szCs w:val="22"/>
              </w:rPr>
            </w:pPr>
            <w:r w:rsidRPr="00B72764">
              <w:rPr>
                <w:color w:val="000000"/>
                <w:sz w:val="22"/>
                <w:szCs w:val="22"/>
              </w:rPr>
              <w:t>12</w:t>
            </w:r>
          </w:p>
        </w:tc>
        <w:tc>
          <w:tcPr>
            <w:tcW w:w="2791" w:type="dxa"/>
            <w:vMerge w:val="restart"/>
            <w:tcBorders>
              <w:top w:val="nil"/>
              <w:left w:val="single" w:sz="4" w:space="0" w:color="auto"/>
              <w:bottom w:val="single" w:sz="4" w:space="0" w:color="auto"/>
              <w:right w:val="single" w:sz="4" w:space="0" w:color="auto"/>
            </w:tcBorders>
            <w:shd w:val="clear" w:color="auto" w:fill="auto"/>
            <w:vAlign w:val="center"/>
            <w:hideMark/>
          </w:tcPr>
          <w:p w:rsidR="005D6ACF" w:rsidRPr="00B72764" w:rsidRDefault="005D6ACF" w:rsidP="008A253E">
            <w:pPr>
              <w:rPr>
                <w:color w:val="000000"/>
                <w:sz w:val="22"/>
                <w:szCs w:val="22"/>
              </w:rPr>
            </w:pPr>
            <w:r w:rsidRPr="00B72764">
              <w:rPr>
                <w:color w:val="000000"/>
                <w:sz w:val="22"/>
                <w:szCs w:val="22"/>
              </w:rPr>
              <w:t>АО «Региональная газовая компания»</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5D6ACF" w:rsidRPr="00B72764" w:rsidRDefault="005D6ACF" w:rsidP="008A253E">
            <w:pPr>
              <w:jc w:val="center"/>
              <w:rPr>
                <w:color w:val="000000"/>
                <w:sz w:val="22"/>
                <w:szCs w:val="22"/>
              </w:rPr>
            </w:pPr>
            <w:r w:rsidRPr="00B72764">
              <w:rPr>
                <w:color w:val="000000"/>
                <w:sz w:val="22"/>
                <w:szCs w:val="22"/>
              </w:rPr>
              <w:t>Убыток</w:t>
            </w:r>
          </w:p>
        </w:tc>
        <w:tc>
          <w:tcPr>
            <w:tcW w:w="1025" w:type="dxa"/>
            <w:vMerge w:val="restart"/>
            <w:tcBorders>
              <w:top w:val="nil"/>
              <w:left w:val="single" w:sz="4" w:space="0" w:color="auto"/>
              <w:bottom w:val="single" w:sz="4" w:space="0" w:color="auto"/>
              <w:right w:val="single" w:sz="4" w:space="0" w:color="auto"/>
            </w:tcBorders>
            <w:shd w:val="clear" w:color="auto" w:fill="auto"/>
            <w:vAlign w:val="center"/>
            <w:hideMark/>
          </w:tcPr>
          <w:p w:rsidR="005D6ACF" w:rsidRPr="00B72764" w:rsidRDefault="005D6ACF" w:rsidP="008A253E">
            <w:pPr>
              <w:jc w:val="center"/>
              <w:rPr>
                <w:color w:val="000000"/>
                <w:sz w:val="22"/>
                <w:szCs w:val="22"/>
              </w:rPr>
            </w:pPr>
            <w:r w:rsidRPr="00B72764">
              <w:rPr>
                <w:color w:val="000000"/>
                <w:sz w:val="22"/>
                <w:szCs w:val="22"/>
              </w:rPr>
              <w:t>0</w:t>
            </w:r>
          </w:p>
        </w:tc>
        <w:tc>
          <w:tcPr>
            <w:tcW w:w="124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5D6ACF" w:rsidRPr="00B72764" w:rsidRDefault="005D6ACF" w:rsidP="008A253E">
            <w:pPr>
              <w:jc w:val="center"/>
              <w:rPr>
                <w:color w:val="000000"/>
                <w:sz w:val="22"/>
                <w:szCs w:val="22"/>
              </w:rPr>
            </w:pPr>
            <w:r w:rsidRPr="00B72764">
              <w:rPr>
                <w:color w:val="000000"/>
                <w:sz w:val="22"/>
                <w:szCs w:val="22"/>
              </w:rPr>
              <w:t>Стоимость чистых активов меньше уставного капитала</w:t>
            </w:r>
          </w:p>
        </w:tc>
        <w:tc>
          <w:tcPr>
            <w:tcW w:w="1076" w:type="dxa"/>
            <w:vMerge w:val="restart"/>
            <w:tcBorders>
              <w:top w:val="nil"/>
              <w:left w:val="single" w:sz="4" w:space="0" w:color="auto"/>
              <w:bottom w:val="single" w:sz="4" w:space="0" w:color="auto"/>
              <w:right w:val="single" w:sz="4" w:space="0" w:color="auto"/>
            </w:tcBorders>
            <w:shd w:val="clear" w:color="auto" w:fill="auto"/>
            <w:vAlign w:val="center"/>
            <w:hideMark/>
          </w:tcPr>
          <w:p w:rsidR="005D6ACF" w:rsidRPr="00B72764" w:rsidRDefault="005D6ACF" w:rsidP="008A253E">
            <w:pPr>
              <w:jc w:val="center"/>
              <w:rPr>
                <w:color w:val="000000"/>
                <w:sz w:val="22"/>
                <w:szCs w:val="22"/>
              </w:rPr>
            </w:pPr>
            <w:r w:rsidRPr="00B72764">
              <w:rPr>
                <w:color w:val="000000"/>
                <w:sz w:val="22"/>
                <w:szCs w:val="22"/>
              </w:rPr>
              <w:t>0</w:t>
            </w:r>
          </w:p>
        </w:tc>
        <w:tc>
          <w:tcPr>
            <w:tcW w:w="133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5D6ACF" w:rsidRPr="00B72764" w:rsidRDefault="005D6ACF" w:rsidP="008A253E">
            <w:pPr>
              <w:jc w:val="center"/>
              <w:rPr>
                <w:color w:val="000000"/>
                <w:sz w:val="22"/>
                <w:szCs w:val="22"/>
              </w:rPr>
            </w:pPr>
            <w:r w:rsidRPr="00B72764">
              <w:rPr>
                <w:color w:val="000000"/>
                <w:sz w:val="22"/>
                <w:szCs w:val="22"/>
              </w:rPr>
              <w:t>Стоимость чистых активов меньше уставного капитала</w:t>
            </w:r>
          </w:p>
        </w:tc>
        <w:tc>
          <w:tcPr>
            <w:tcW w:w="1079" w:type="dxa"/>
            <w:vMerge w:val="restart"/>
            <w:tcBorders>
              <w:top w:val="nil"/>
              <w:left w:val="single" w:sz="4" w:space="0" w:color="auto"/>
              <w:bottom w:val="single" w:sz="4" w:space="0" w:color="auto"/>
              <w:right w:val="single" w:sz="4" w:space="0" w:color="auto"/>
            </w:tcBorders>
            <w:shd w:val="clear" w:color="auto" w:fill="auto"/>
            <w:vAlign w:val="center"/>
            <w:hideMark/>
          </w:tcPr>
          <w:p w:rsidR="005D6ACF" w:rsidRPr="00B72764" w:rsidRDefault="005D6ACF" w:rsidP="008A253E">
            <w:pPr>
              <w:jc w:val="center"/>
              <w:rPr>
                <w:color w:val="000000"/>
                <w:sz w:val="22"/>
                <w:szCs w:val="22"/>
              </w:rPr>
            </w:pPr>
            <w:r w:rsidRPr="00B72764">
              <w:rPr>
                <w:color w:val="000000"/>
                <w:sz w:val="22"/>
                <w:szCs w:val="22"/>
              </w:rPr>
              <w:t>0</w:t>
            </w:r>
          </w:p>
        </w:tc>
      </w:tr>
      <w:tr w:rsidR="005D6ACF" w:rsidRPr="00B72764" w:rsidTr="008A253E">
        <w:trPr>
          <w:gridAfter w:val="1"/>
          <w:wAfter w:w="35" w:type="dxa"/>
          <w:trHeight w:val="302"/>
        </w:trPr>
        <w:tc>
          <w:tcPr>
            <w:tcW w:w="465" w:type="dxa"/>
            <w:vMerge/>
            <w:tcBorders>
              <w:top w:val="nil"/>
              <w:left w:val="single" w:sz="4" w:space="0" w:color="auto"/>
              <w:bottom w:val="single" w:sz="4" w:space="0" w:color="auto"/>
              <w:right w:val="single" w:sz="4" w:space="0" w:color="auto"/>
            </w:tcBorders>
            <w:vAlign w:val="center"/>
            <w:hideMark/>
          </w:tcPr>
          <w:p w:rsidR="005D6ACF" w:rsidRPr="00B72764" w:rsidRDefault="005D6ACF" w:rsidP="008A253E">
            <w:pPr>
              <w:rPr>
                <w:color w:val="000000"/>
                <w:sz w:val="22"/>
                <w:szCs w:val="22"/>
              </w:rPr>
            </w:pPr>
          </w:p>
        </w:tc>
        <w:tc>
          <w:tcPr>
            <w:tcW w:w="2791" w:type="dxa"/>
            <w:vMerge/>
            <w:tcBorders>
              <w:top w:val="nil"/>
              <w:left w:val="single" w:sz="4" w:space="0" w:color="auto"/>
              <w:bottom w:val="single" w:sz="4" w:space="0" w:color="auto"/>
              <w:right w:val="single" w:sz="4" w:space="0" w:color="auto"/>
            </w:tcBorders>
            <w:vAlign w:val="center"/>
            <w:hideMark/>
          </w:tcPr>
          <w:p w:rsidR="005D6ACF" w:rsidRPr="00B72764" w:rsidRDefault="005D6ACF" w:rsidP="008A253E">
            <w:pPr>
              <w:rPr>
                <w:color w:val="000000"/>
                <w:sz w:val="22"/>
                <w:szCs w:val="22"/>
              </w:rPr>
            </w:pPr>
          </w:p>
        </w:tc>
        <w:tc>
          <w:tcPr>
            <w:tcW w:w="1275" w:type="dxa"/>
            <w:vMerge/>
            <w:tcBorders>
              <w:top w:val="nil"/>
              <w:left w:val="single" w:sz="4" w:space="0" w:color="auto"/>
              <w:bottom w:val="single" w:sz="4" w:space="0" w:color="auto"/>
              <w:right w:val="single" w:sz="4" w:space="0" w:color="auto"/>
            </w:tcBorders>
            <w:vAlign w:val="center"/>
            <w:hideMark/>
          </w:tcPr>
          <w:p w:rsidR="005D6ACF" w:rsidRPr="00B72764" w:rsidRDefault="005D6ACF" w:rsidP="008A253E">
            <w:pPr>
              <w:rPr>
                <w:color w:val="000000"/>
                <w:sz w:val="22"/>
                <w:szCs w:val="22"/>
              </w:rPr>
            </w:pPr>
          </w:p>
        </w:tc>
        <w:tc>
          <w:tcPr>
            <w:tcW w:w="1025" w:type="dxa"/>
            <w:vMerge/>
            <w:tcBorders>
              <w:top w:val="nil"/>
              <w:left w:val="single" w:sz="4" w:space="0" w:color="auto"/>
              <w:bottom w:val="single" w:sz="4" w:space="0" w:color="auto"/>
              <w:right w:val="single" w:sz="4" w:space="0" w:color="auto"/>
            </w:tcBorders>
            <w:vAlign w:val="center"/>
            <w:hideMark/>
          </w:tcPr>
          <w:p w:rsidR="005D6ACF" w:rsidRPr="00B72764" w:rsidRDefault="005D6ACF" w:rsidP="008A253E">
            <w:pPr>
              <w:rPr>
                <w:color w:val="000000"/>
                <w:sz w:val="22"/>
                <w:szCs w:val="22"/>
              </w:rPr>
            </w:pPr>
          </w:p>
        </w:tc>
        <w:tc>
          <w:tcPr>
            <w:tcW w:w="1243" w:type="dxa"/>
            <w:gridSpan w:val="2"/>
            <w:vMerge/>
            <w:tcBorders>
              <w:top w:val="nil"/>
              <w:left w:val="single" w:sz="4" w:space="0" w:color="auto"/>
              <w:bottom w:val="single" w:sz="4" w:space="0" w:color="auto"/>
              <w:right w:val="single" w:sz="4" w:space="0" w:color="auto"/>
            </w:tcBorders>
            <w:vAlign w:val="center"/>
            <w:hideMark/>
          </w:tcPr>
          <w:p w:rsidR="005D6ACF" w:rsidRPr="00B72764" w:rsidRDefault="005D6ACF" w:rsidP="008A253E">
            <w:pPr>
              <w:rPr>
                <w:color w:val="000000"/>
                <w:sz w:val="22"/>
                <w:szCs w:val="22"/>
              </w:rPr>
            </w:pPr>
          </w:p>
        </w:tc>
        <w:tc>
          <w:tcPr>
            <w:tcW w:w="1076" w:type="dxa"/>
            <w:vMerge/>
            <w:tcBorders>
              <w:top w:val="nil"/>
              <w:left w:val="single" w:sz="4" w:space="0" w:color="auto"/>
              <w:bottom w:val="single" w:sz="4" w:space="0" w:color="auto"/>
              <w:right w:val="single" w:sz="4" w:space="0" w:color="auto"/>
            </w:tcBorders>
            <w:vAlign w:val="center"/>
            <w:hideMark/>
          </w:tcPr>
          <w:p w:rsidR="005D6ACF" w:rsidRPr="00B72764" w:rsidRDefault="005D6ACF" w:rsidP="008A253E">
            <w:pPr>
              <w:rPr>
                <w:color w:val="000000"/>
                <w:sz w:val="22"/>
                <w:szCs w:val="22"/>
              </w:rPr>
            </w:pPr>
          </w:p>
        </w:tc>
        <w:tc>
          <w:tcPr>
            <w:tcW w:w="1334" w:type="dxa"/>
            <w:gridSpan w:val="2"/>
            <w:vMerge/>
            <w:tcBorders>
              <w:top w:val="nil"/>
              <w:left w:val="single" w:sz="4" w:space="0" w:color="auto"/>
              <w:bottom w:val="single" w:sz="4" w:space="0" w:color="auto"/>
              <w:right w:val="single" w:sz="4" w:space="0" w:color="auto"/>
            </w:tcBorders>
            <w:vAlign w:val="center"/>
            <w:hideMark/>
          </w:tcPr>
          <w:p w:rsidR="005D6ACF" w:rsidRPr="00B72764" w:rsidRDefault="005D6ACF" w:rsidP="008A253E">
            <w:pPr>
              <w:rPr>
                <w:color w:val="000000"/>
                <w:sz w:val="22"/>
                <w:szCs w:val="22"/>
              </w:rPr>
            </w:pPr>
          </w:p>
        </w:tc>
        <w:tc>
          <w:tcPr>
            <w:tcW w:w="1079" w:type="dxa"/>
            <w:vMerge/>
            <w:tcBorders>
              <w:top w:val="nil"/>
              <w:left w:val="single" w:sz="4" w:space="0" w:color="auto"/>
              <w:bottom w:val="single" w:sz="4" w:space="0" w:color="auto"/>
              <w:right w:val="single" w:sz="4" w:space="0" w:color="auto"/>
            </w:tcBorders>
            <w:vAlign w:val="center"/>
            <w:hideMark/>
          </w:tcPr>
          <w:p w:rsidR="005D6ACF" w:rsidRPr="00B72764" w:rsidRDefault="005D6ACF" w:rsidP="008A253E">
            <w:pPr>
              <w:rPr>
                <w:color w:val="000000"/>
                <w:sz w:val="22"/>
                <w:szCs w:val="22"/>
              </w:rPr>
            </w:pPr>
          </w:p>
        </w:tc>
      </w:tr>
      <w:tr w:rsidR="005D6ACF" w:rsidRPr="00B72764" w:rsidTr="008A253E">
        <w:trPr>
          <w:gridAfter w:val="1"/>
          <w:wAfter w:w="35" w:type="dxa"/>
          <w:trHeight w:val="1496"/>
        </w:trPr>
        <w:tc>
          <w:tcPr>
            <w:tcW w:w="465" w:type="dxa"/>
            <w:vMerge w:val="restart"/>
            <w:tcBorders>
              <w:top w:val="nil"/>
              <w:left w:val="single" w:sz="4" w:space="0" w:color="auto"/>
              <w:bottom w:val="single" w:sz="4" w:space="0" w:color="auto"/>
              <w:right w:val="single" w:sz="4" w:space="0" w:color="auto"/>
            </w:tcBorders>
            <w:shd w:val="clear" w:color="auto" w:fill="auto"/>
            <w:vAlign w:val="center"/>
            <w:hideMark/>
          </w:tcPr>
          <w:p w:rsidR="005D6ACF" w:rsidRPr="00B72764" w:rsidRDefault="005D6ACF" w:rsidP="008A253E">
            <w:pPr>
              <w:jc w:val="center"/>
              <w:rPr>
                <w:color w:val="000000"/>
                <w:sz w:val="22"/>
                <w:szCs w:val="22"/>
              </w:rPr>
            </w:pPr>
            <w:r w:rsidRPr="00B72764">
              <w:rPr>
                <w:color w:val="000000"/>
                <w:sz w:val="22"/>
                <w:szCs w:val="22"/>
              </w:rPr>
              <w:t>13</w:t>
            </w:r>
          </w:p>
        </w:tc>
        <w:tc>
          <w:tcPr>
            <w:tcW w:w="2791" w:type="dxa"/>
            <w:vMerge w:val="restart"/>
            <w:tcBorders>
              <w:top w:val="nil"/>
              <w:left w:val="single" w:sz="4" w:space="0" w:color="auto"/>
              <w:bottom w:val="single" w:sz="4" w:space="0" w:color="auto"/>
              <w:right w:val="single" w:sz="4" w:space="0" w:color="auto"/>
            </w:tcBorders>
            <w:shd w:val="clear" w:color="auto" w:fill="auto"/>
            <w:vAlign w:val="center"/>
            <w:hideMark/>
          </w:tcPr>
          <w:p w:rsidR="005D6ACF" w:rsidRPr="00B72764" w:rsidRDefault="005D6ACF" w:rsidP="008A253E">
            <w:pPr>
              <w:rPr>
                <w:color w:val="000000"/>
                <w:sz w:val="22"/>
                <w:szCs w:val="22"/>
              </w:rPr>
            </w:pPr>
            <w:r w:rsidRPr="00B72764">
              <w:rPr>
                <w:color w:val="000000"/>
                <w:sz w:val="22"/>
                <w:szCs w:val="22"/>
              </w:rPr>
              <w:t>АО «Научно-реставрационный центр «Тверьпроектреставрация»</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5D6ACF" w:rsidRPr="00B72764" w:rsidRDefault="005D6ACF" w:rsidP="008A253E">
            <w:pPr>
              <w:jc w:val="center"/>
              <w:rPr>
                <w:color w:val="000000"/>
                <w:sz w:val="22"/>
                <w:szCs w:val="22"/>
              </w:rPr>
            </w:pPr>
            <w:r w:rsidRPr="00B72764">
              <w:rPr>
                <w:color w:val="000000"/>
                <w:sz w:val="22"/>
                <w:szCs w:val="22"/>
              </w:rPr>
              <w:t>Стоимость чистых активов меньше уставного капитала</w:t>
            </w:r>
          </w:p>
        </w:tc>
        <w:tc>
          <w:tcPr>
            <w:tcW w:w="1025" w:type="dxa"/>
            <w:vMerge w:val="restart"/>
            <w:tcBorders>
              <w:top w:val="nil"/>
              <w:left w:val="single" w:sz="4" w:space="0" w:color="auto"/>
              <w:bottom w:val="single" w:sz="4" w:space="0" w:color="auto"/>
              <w:right w:val="single" w:sz="4" w:space="0" w:color="auto"/>
            </w:tcBorders>
            <w:shd w:val="clear" w:color="auto" w:fill="auto"/>
            <w:vAlign w:val="center"/>
            <w:hideMark/>
          </w:tcPr>
          <w:p w:rsidR="005D6ACF" w:rsidRPr="00B72764" w:rsidRDefault="005D6ACF" w:rsidP="008A253E">
            <w:pPr>
              <w:jc w:val="center"/>
              <w:rPr>
                <w:color w:val="000000"/>
                <w:sz w:val="22"/>
                <w:szCs w:val="22"/>
              </w:rPr>
            </w:pPr>
            <w:r w:rsidRPr="00B72764">
              <w:rPr>
                <w:color w:val="000000"/>
                <w:sz w:val="22"/>
                <w:szCs w:val="22"/>
              </w:rPr>
              <w:t>0</w:t>
            </w:r>
          </w:p>
        </w:tc>
        <w:tc>
          <w:tcPr>
            <w:tcW w:w="124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5D6ACF" w:rsidRPr="00B72764" w:rsidRDefault="005D6ACF" w:rsidP="008A253E">
            <w:pPr>
              <w:jc w:val="center"/>
              <w:rPr>
                <w:color w:val="000000"/>
                <w:sz w:val="22"/>
                <w:szCs w:val="22"/>
              </w:rPr>
            </w:pPr>
            <w:r w:rsidRPr="00B72764">
              <w:rPr>
                <w:color w:val="000000"/>
                <w:sz w:val="22"/>
                <w:szCs w:val="22"/>
              </w:rPr>
              <w:t>Стоимость чистых активов меньше уставного капитала</w:t>
            </w:r>
          </w:p>
        </w:tc>
        <w:tc>
          <w:tcPr>
            <w:tcW w:w="1076" w:type="dxa"/>
            <w:vMerge w:val="restart"/>
            <w:tcBorders>
              <w:top w:val="nil"/>
              <w:left w:val="single" w:sz="4" w:space="0" w:color="auto"/>
              <w:bottom w:val="single" w:sz="4" w:space="0" w:color="auto"/>
              <w:right w:val="single" w:sz="4" w:space="0" w:color="auto"/>
            </w:tcBorders>
            <w:shd w:val="clear" w:color="auto" w:fill="auto"/>
            <w:vAlign w:val="center"/>
            <w:hideMark/>
          </w:tcPr>
          <w:p w:rsidR="005D6ACF" w:rsidRPr="00B72764" w:rsidRDefault="005D6ACF" w:rsidP="008A253E">
            <w:pPr>
              <w:jc w:val="center"/>
              <w:rPr>
                <w:color w:val="000000"/>
                <w:sz w:val="22"/>
                <w:szCs w:val="22"/>
              </w:rPr>
            </w:pPr>
            <w:r w:rsidRPr="00B72764">
              <w:rPr>
                <w:color w:val="000000"/>
                <w:sz w:val="22"/>
                <w:szCs w:val="22"/>
              </w:rPr>
              <w:t>0</w:t>
            </w:r>
          </w:p>
        </w:tc>
        <w:tc>
          <w:tcPr>
            <w:tcW w:w="133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5D6ACF" w:rsidRPr="00B72764" w:rsidRDefault="005D6ACF" w:rsidP="008A253E">
            <w:pPr>
              <w:jc w:val="center"/>
              <w:rPr>
                <w:color w:val="000000"/>
                <w:sz w:val="22"/>
                <w:szCs w:val="22"/>
              </w:rPr>
            </w:pPr>
            <w:r w:rsidRPr="00B72764">
              <w:rPr>
                <w:color w:val="000000"/>
                <w:sz w:val="22"/>
                <w:szCs w:val="22"/>
              </w:rPr>
              <w:t>Стоимость чистых активов меньше уставного капитала</w:t>
            </w:r>
          </w:p>
        </w:tc>
        <w:tc>
          <w:tcPr>
            <w:tcW w:w="1079" w:type="dxa"/>
            <w:vMerge w:val="restart"/>
            <w:tcBorders>
              <w:top w:val="nil"/>
              <w:left w:val="single" w:sz="4" w:space="0" w:color="auto"/>
              <w:bottom w:val="single" w:sz="4" w:space="0" w:color="auto"/>
              <w:right w:val="single" w:sz="4" w:space="0" w:color="auto"/>
            </w:tcBorders>
            <w:shd w:val="clear" w:color="auto" w:fill="auto"/>
            <w:vAlign w:val="center"/>
            <w:hideMark/>
          </w:tcPr>
          <w:p w:rsidR="005D6ACF" w:rsidRPr="00B72764" w:rsidRDefault="005D6ACF" w:rsidP="008A253E">
            <w:pPr>
              <w:jc w:val="center"/>
              <w:rPr>
                <w:color w:val="000000"/>
                <w:sz w:val="22"/>
                <w:szCs w:val="22"/>
              </w:rPr>
            </w:pPr>
            <w:r w:rsidRPr="00B72764">
              <w:rPr>
                <w:color w:val="000000"/>
                <w:sz w:val="22"/>
                <w:szCs w:val="22"/>
              </w:rPr>
              <w:t>0</w:t>
            </w:r>
          </w:p>
        </w:tc>
      </w:tr>
      <w:tr w:rsidR="005D6ACF" w:rsidRPr="00B72764" w:rsidTr="008A253E">
        <w:trPr>
          <w:gridAfter w:val="1"/>
          <w:wAfter w:w="35" w:type="dxa"/>
          <w:trHeight w:val="302"/>
        </w:trPr>
        <w:tc>
          <w:tcPr>
            <w:tcW w:w="465" w:type="dxa"/>
            <w:vMerge/>
            <w:tcBorders>
              <w:top w:val="nil"/>
              <w:left w:val="single" w:sz="4" w:space="0" w:color="auto"/>
              <w:bottom w:val="single" w:sz="4" w:space="0" w:color="auto"/>
              <w:right w:val="single" w:sz="4" w:space="0" w:color="auto"/>
            </w:tcBorders>
            <w:vAlign w:val="center"/>
            <w:hideMark/>
          </w:tcPr>
          <w:p w:rsidR="005D6ACF" w:rsidRPr="00B72764" w:rsidRDefault="005D6ACF" w:rsidP="008A253E">
            <w:pPr>
              <w:rPr>
                <w:color w:val="000000"/>
                <w:sz w:val="22"/>
                <w:szCs w:val="22"/>
              </w:rPr>
            </w:pPr>
          </w:p>
        </w:tc>
        <w:tc>
          <w:tcPr>
            <w:tcW w:w="2791" w:type="dxa"/>
            <w:vMerge/>
            <w:tcBorders>
              <w:top w:val="nil"/>
              <w:left w:val="single" w:sz="4" w:space="0" w:color="auto"/>
              <w:bottom w:val="single" w:sz="4" w:space="0" w:color="auto"/>
              <w:right w:val="single" w:sz="4" w:space="0" w:color="auto"/>
            </w:tcBorders>
            <w:vAlign w:val="center"/>
            <w:hideMark/>
          </w:tcPr>
          <w:p w:rsidR="005D6ACF" w:rsidRPr="00B72764" w:rsidRDefault="005D6ACF" w:rsidP="008A253E">
            <w:pPr>
              <w:rPr>
                <w:color w:val="000000"/>
                <w:sz w:val="22"/>
                <w:szCs w:val="22"/>
              </w:rPr>
            </w:pPr>
          </w:p>
        </w:tc>
        <w:tc>
          <w:tcPr>
            <w:tcW w:w="1275" w:type="dxa"/>
            <w:vMerge/>
            <w:tcBorders>
              <w:top w:val="nil"/>
              <w:left w:val="single" w:sz="4" w:space="0" w:color="auto"/>
              <w:bottom w:val="single" w:sz="4" w:space="0" w:color="auto"/>
              <w:right w:val="single" w:sz="4" w:space="0" w:color="auto"/>
            </w:tcBorders>
            <w:vAlign w:val="center"/>
            <w:hideMark/>
          </w:tcPr>
          <w:p w:rsidR="005D6ACF" w:rsidRPr="00B72764" w:rsidRDefault="005D6ACF" w:rsidP="008A253E">
            <w:pPr>
              <w:rPr>
                <w:color w:val="000000"/>
                <w:sz w:val="22"/>
                <w:szCs w:val="22"/>
              </w:rPr>
            </w:pPr>
          </w:p>
        </w:tc>
        <w:tc>
          <w:tcPr>
            <w:tcW w:w="1025" w:type="dxa"/>
            <w:vMerge/>
            <w:tcBorders>
              <w:top w:val="nil"/>
              <w:left w:val="single" w:sz="4" w:space="0" w:color="auto"/>
              <w:bottom w:val="single" w:sz="4" w:space="0" w:color="auto"/>
              <w:right w:val="single" w:sz="4" w:space="0" w:color="auto"/>
            </w:tcBorders>
            <w:vAlign w:val="center"/>
            <w:hideMark/>
          </w:tcPr>
          <w:p w:rsidR="005D6ACF" w:rsidRPr="00B72764" w:rsidRDefault="005D6ACF" w:rsidP="008A253E">
            <w:pPr>
              <w:rPr>
                <w:color w:val="000000"/>
                <w:sz w:val="22"/>
                <w:szCs w:val="22"/>
              </w:rPr>
            </w:pPr>
          </w:p>
        </w:tc>
        <w:tc>
          <w:tcPr>
            <w:tcW w:w="1243" w:type="dxa"/>
            <w:gridSpan w:val="2"/>
            <w:vMerge/>
            <w:tcBorders>
              <w:top w:val="nil"/>
              <w:left w:val="single" w:sz="4" w:space="0" w:color="auto"/>
              <w:bottom w:val="single" w:sz="4" w:space="0" w:color="auto"/>
              <w:right w:val="single" w:sz="4" w:space="0" w:color="auto"/>
            </w:tcBorders>
            <w:vAlign w:val="center"/>
            <w:hideMark/>
          </w:tcPr>
          <w:p w:rsidR="005D6ACF" w:rsidRPr="00B72764" w:rsidRDefault="005D6ACF" w:rsidP="008A253E">
            <w:pPr>
              <w:rPr>
                <w:color w:val="000000"/>
                <w:sz w:val="22"/>
                <w:szCs w:val="22"/>
              </w:rPr>
            </w:pPr>
          </w:p>
        </w:tc>
        <w:tc>
          <w:tcPr>
            <w:tcW w:w="1076" w:type="dxa"/>
            <w:vMerge/>
            <w:tcBorders>
              <w:top w:val="nil"/>
              <w:left w:val="single" w:sz="4" w:space="0" w:color="auto"/>
              <w:bottom w:val="single" w:sz="4" w:space="0" w:color="auto"/>
              <w:right w:val="single" w:sz="4" w:space="0" w:color="auto"/>
            </w:tcBorders>
            <w:vAlign w:val="center"/>
            <w:hideMark/>
          </w:tcPr>
          <w:p w:rsidR="005D6ACF" w:rsidRPr="00B72764" w:rsidRDefault="005D6ACF" w:rsidP="008A253E">
            <w:pPr>
              <w:rPr>
                <w:color w:val="000000"/>
                <w:sz w:val="22"/>
                <w:szCs w:val="22"/>
              </w:rPr>
            </w:pPr>
          </w:p>
        </w:tc>
        <w:tc>
          <w:tcPr>
            <w:tcW w:w="1334" w:type="dxa"/>
            <w:gridSpan w:val="2"/>
            <w:vMerge/>
            <w:tcBorders>
              <w:top w:val="nil"/>
              <w:left w:val="single" w:sz="4" w:space="0" w:color="auto"/>
              <w:bottom w:val="single" w:sz="4" w:space="0" w:color="auto"/>
              <w:right w:val="single" w:sz="4" w:space="0" w:color="auto"/>
            </w:tcBorders>
            <w:vAlign w:val="center"/>
            <w:hideMark/>
          </w:tcPr>
          <w:p w:rsidR="005D6ACF" w:rsidRPr="00B72764" w:rsidRDefault="005D6ACF" w:rsidP="008A253E">
            <w:pPr>
              <w:rPr>
                <w:color w:val="000000"/>
                <w:sz w:val="22"/>
                <w:szCs w:val="22"/>
              </w:rPr>
            </w:pPr>
          </w:p>
        </w:tc>
        <w:tc>
          <w:tcPr>
            <w:tcW w:w="1079" w:type="dxa"/>
            <w:vMerge/>
            <w:tcBorders>
              <w:top w:val="nil"/>
              <w:left w:val="single" w:sz="4" w:space="0" w:color="auto"/>
              <w:bottom w:val="single" w:sz="4" w:space="0" w:color="auto"/>
              <w:right w:val="single" w:sz="4" w:space="0" w:color="auto"/>
            </w:tcBorders>
            <w:vAlign w:val="center"/>
            <w:hideMark/>
          </w:tcPr>
          <w:p w:rsidR="005D6ACF" w:rsidRPr="00B72764" w:rsidRDefault="005D6ACF" w:rsidP="008A253E">
            <w:pPr>
              <w:rPr>
                <w:color w:val="000000"/>
                <w:sz w:val="22"/>
                <w:szCs w:val="22"/>
              </w:rPr>
            </w:pPr>
          </w:p>
        </w:tc>
      </w:tr>
      <w:tr w:rsidR="005D6ACF" w:rsidRPr="00B72764" w:rsidTr="008A253E">
        <w:trPr>
          <w:gridAfter w:val="1"/>
          <w:wAfter w:w="35" w:type="dxa"/>
          <w:trHeight w:val="816"/>
        </w:trPr>
        <w:tc>
          <w:tcPr>
            <w:tcW w:w="465" w:type="dxa"/>
            <w:vMerge w:val="restart"/>
            <w:tcBorders>
              <w:top w:val="nil"/>
              <w:left w:val="single" w:sz="4" w:space="0" w:color="auto"/>
              <w:bottom w:val="single" w:sz="4" w:space="0" w:color="auto"/>
              <w:right w:val="single" w:sz="4" w:space="0" w:color="auto"/>
            </w:tcBorders>
            <w:shd w:val="clear" w:color="auto" w:fill="auto"/>
            <w:vAlign w:val="center"/>
            <w:hideMark/>
          </w:tcPr>
          <w:p w:rsidR="005D6ACF" w:rsidRPr="00B72764" w:rsidRDefault="005D6ACF" w:rsidP="008A253E">
            <w:pPr>
              <w:jc w:val="center"/>
              <w:rPr>
                <w:color w:val="000000"/>
                <w:sz w:val="22"/>
                <w:szCs w:val="22"/>
              </w:rPr>
            </w:pPr>
            <w:r w:rsidRPr="00B72764">
              <w:rPr>
                <w:color w:val="000000"/>
                <w:sz w:val="22"/>
                <w:szCs w:val="22"/>
              </w:rPr>
              <w:t>14</w:t>
            </w:r>
          </w:p>
        </w:tc>
        <w:tc>
          <w:tcPr>
            <w:tcW w:w="2791" w:type="dxa"/>
            <w:vMerge w:val="restart"/>
            <w:tcBorders>
              <w:top w:val="nil"/>
              <w:left w:val="single" w:sz="4" w:space="0" w:color="auto"/>
              <w:bottom w:val="single" w:sz="4" w:space="0" w:color="auto"/>
              <w:right w:val="single" w:sz="4" w:space="0" w:color="auto"/>
            </w:tcBorders>
            <w:shd w:val="clear" w:color="auto" w:fill="auto"/>
            <w:vAlign w:val="center"/>
            <w:hideMark/>
          </w:tcPr>
          <w:p w:rsidR="005D6ACF" w:rsidRPr="00B72764" w:rsidRDefault="005D6ACF" w:rsidP="008A253E">
            <w:pPr>
              <w:rPr>
                <w:color w:val="000000"/>
                <w:sz w:val="22"/>
                <w:szCs w:val="22"/>
              </w:rPr>
            </w:pPr>
            <w:r w:rsidRPr="00B72764">
              <w:rPr>
                <w:color w:val="000000"/>
                <w:sz w:val="22"/>
                <w:szCs w:val="22"/>
              </w:rPr>
              <w:t>АО «Осташковское ДРСУ»</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5D6ACF" w:rsidRPr="00B72764" w:rsidRDefault="005D6ACF" w:rsidP="008A253E">
            <w:pPr>
              <w:jc w:val="center"/>
              <w:rPr>
                <w:color w:val="000000"/>
                <w:sz w:val="22"/>
                <w:szCs w:val="22"/>
              </w:rPr>
            </w:pPr>
            <w:r w:rsidRPr="00B72764">
              <w:rPr>
                <w:color w:val="000000"/>
                <w:sz w:val="22"/>
                <w:szCs w:val="22"/>
              </w:rPr>
              <w:t>950</w:t>
            </w:r>
          </w:p>
        </w:tc>
        <w:tc>
          <w:tcPr>
            <w:tcW w:w="1025" w:type="dxa"/>
            <w:vMerge w:val="restart"/>
            <w:tcBorders>
              <w:top w:val="nil"/>
              <w:left w:val="single" w:sz="4" w:space="0" w:color="auto"/>
              <w:bottom w:val="single" w:sz="4" w:space="0" w:color="auto"/>
              <w:right w:val="single" w:sz="4" w:space="0" w:color="auto"/>
            </w:tcBorders>
            <w:shd w:val="clear" w:color="auto" w:fill="auto"/>
            <w:vAlign w:val="center"/>
            <w:hideMark/>
          </w:tcPr>
          <w:p w:rsidR="005D6ACF" w:rsidRPr="00B72764" w:rsidRDefault="005D6ACF" w:rsidP="008A253E">
            <w:pPr>
              <w:jc w:val="center"/>
              <w:rPr>
                <w:color w:val="000000"/>
                <w:sz w:val="22"/>
                <w:szCs w:val="22"/>
              </w:rPr>
            </w:pPr>
            <w:r w:rsidRPr="00B72764">
              <w:rPr>
                <w:color w:val="000000"/>
                <w:sz w:val="22"/>
                <w:szCs w:val="22"/>
              </w:rPr>
              <w:t>475</w:t>
            </w:r>
          </w:p>
        </w:tc>
        <w:tc>
          <w:tcPr>
            <w:tcW w:w="124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5D6ACF" w:rsidRPr="00B72764" w:rsidRDefault="005D6ACF" w:rsidP="008A253E">
            <w:pPr>
              <w:jc w:val="center"/>
              <w:rPr>
                <w:color w:val="000000"/>
                <w:sz w:val="22"/>
                <w:szCs w:val="22"/>
              </w:rPr>
            </w:pPr>
            <w:r w:rsidRPr="00B72764">
              <w:rPr>
                <w:color w:val="000000"/>
                <w:sz w:val="22"/>
                <w:szCs w:val="22"/>
              </w:rPr>
              <w:t>950</w:t>
            </w:r>
          </w:p>
        </w:tc>
        <w:tc>
          <w:tcPr>
            <w:tcW w:w="1076" w:type="dxa"/>
            <w:vMerge w:val="restart"/>
            <w:tcBorders>
              <w:top w:val="nil"/>
              <w:left w:val="single" w:sz="4" w:space="0" w:color="auto"/>
              <w:bottom w:val="single" w:sz="4" w:space="0" w:color="auto"/>
              <w:right w:val="single" w:sz="4" w:space="0" w:color="auto"/>
            </w:tcBorders>
            <w:shd w:val="clear" w:color="auto" w:fill="auto"/>
            <w:vAlign w:val="center"/>
            <w:hideMark/>
          </w:tcPr>
          <w:p w:rsidR="005D6ACF" w:rsidRPr="00B72764" w:rsidRDefault="005D6ACF" w:rsidP="008A253E">
            <w:pPr>
              <w:jc w:val="center"/>
              <w:rPr>
                <w:color w:val="000000"/>
                <w:sz w:val="22"/>
                <w:szCs w:val="22"/>
              </w:rPr>
            </w:pPr>
            <w:r w:rsidRPr="00B72764">
              <w:rPr>
                <w:color w:val="000000"/>
                <w:sz w:val="22"/>
                <w:szCs w:val="22"/>
              </w:rPr>
              <w:t>475</w:t>
            </w:r>
          </w:p>
        </w:tc>
        <w:tc>
          <w:tcPr>
            <w:tcW w:w="133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5D6ACF" w:rsidRPr="00B72764" w:rsidRDefault="005D6ACF" w:rsidP="008A253E">
            <w:pPr>
              <w:jc w:val="center"/>
              <w:rPr>
                <w:color w:val="000000"/>
                <w:sz w:val="22"/>
                <w:szCs w:val="22"/>
              </w:rPr>
            </w:pPr>
            <w:r w:rsidRPr="00B72764">
              <w:rPr>
                <w:color w:val="000000"/>
                <w:sz w:val="22"/>
                <w:szCs w:val="22"/>
              </w:rPr>
              <w:t>950</w:t>
            </w:r>
          </w:p>
        </w:tc>
        <w:tc>
          <w:tcPr>
            <w:tcW w:w="1079" w:type="dxa"/>
            <w:vMerge w:val="restart"/>
            <w:tcBorders>
              <w:top w:val="nil"/>
              <w:left w:val="single" w:sz="4" w:space="0" w:color="auto"/>
              <w:bottom w:val="single" w:sz="4" w:space="0" w:color="auto"/>
              <w:right w:val="single" w:sz="4" w:space="0" w:color="auto"/>
            </w:tcBorders>
            <w:shd w:val="clear" w:color="auto" w:fill="auto"/>
            <w:vAlign w:val="center"/>
            <w:hideMark/>
          </w:tcPr>
          <w:p w:rsidR="005D6ACF" w:rsidRPr="00B72764" w:rsidRDefault="005D6ACF" w:rsidP="008A253E">
            <w:pPr>
              <w:jc w:val="center"/>
              <w:rPr>
                <w:color w:val="000000"/>
                <w:sz w:val="22"/>
                <w:szCs w:val="22"/>
              </w:rPr>
            </w:pPr>
            <w:r w:rsidRPr="00B72764">
              <w:rPr>
                <w:color w:val="000000"/>
                <w:sz w:val="22"/>
                <w:szCs w:val="22"/>
              </w:rPr>
              <w:t>475</w:t>
            </w:r>
          </w:p>
        </w:tc>
      </w:tr>
      <w:tr w:rsidR="005D6ACF" w:rsidRPr="00B72764" w:rsidTr="008A253E">
        <w:trPr>
          <w:gridAfter w:val="1"/>
          <w:wAfter w:w="35" w:type="dxa"/>
          <w:trHeight w:val="302"/>
        </w:trPr>
        <w:tc>
          <w:tcPr>
            <w:tcW w:w="465" w:type="dxa"/>
            <w:vMerge/>
            <w:tcBorders>
              <w:top w:val="nil"/>
              <w:left w:val="single" w:sz="4" w:space="0" w:color="auto"/>
              <w:bottom w:val="single" w:sz="4" w:space="0" w:color="auto"/>
              <w:right w:val="single" w:sz="4" w:space="0" w:color="auto"/>
            </w:tcBorders>
            <w:vAlign w:val="center"/>
            <w:hideMark/>
          </w:tcPr>
          <w:p w:rsidR="005D6ACF" w:rsidRPr="00B72764" w:rsidRDefault="005D6ACF" w:rsidP="008A253E">
            <w:pPr>
              <w:rPr>
                <w:color w:val="000000"/>
                <w:sz w:val="22"/>
                <w:szCs w:val="22"/>
              </w:rPr>
            </w:pPr>
          </w:p>
        </w:tc>
        <w:tc>
          <w:tcPr>
            <w:tcW w:w="2791" w:type="dxa"/>
            <w:vMerge/>
            <w:tcBorders>
              <w:top w:val="nil"/>
              <w:left w:val="single" w:sz="4" w:space="0" w:color="auto"/>
              <w:bottom w:val="single" w:sz="4" w:space="0" w:color="auto"/>
              <w:right w:val="single" w:sz="4" w:space="0" w:color="auto"/>
            </w:tcBorders>
            <w:vAlign w:val="center"/>
            <w:hideMark/>
          </w:tcPr>
          <w:p w:rsidR="005D6ACF" w:rsidRPr="00B72764" w:rsidRDefault="005D6ACF" w:rsidP="008A253E">
            <w:pPr>
              <w:rPr>
                <w:color w:val="000000"/>
                <w:sz w:val="22"/>
                <w:szCs w:val="22"/>
              </w:rPr>
            </w:pPr>
          </w:p>
        </w:tc>
        <w:tc>
          <w:tcPr>
            <w:tcW w:w="1275" w:type="dxa"/>
            <w:vMerge/>
            <w:tcBorders>
              <w:top w:val="nil"/>
              <w:left w:val="single" w:sz="4" w:space="0" w:color="auto"/>
              <w:bottom w:val="single" w:sz="4" w:space="0" w:color="auto"/>
              <w:right w:val="single" w:sz="4" w:space="0" w:color="auto"/>
            </w:tcBorders>
            <w:vAlign w:val="center"/>
            <w:hideMark/>
          </w:tcPr>
          <w:p w:rsidR="005D6ACF" w:rsidRPr="00B72764" w:rsidRDefault="005D6ACF" w:rsidP="008A253E">
            <w:pPr>
              <w:rPr>
                <w:color w:val="000000"/>
                <w:sz w:val="22"/>
                <w:szCs w:val="22"/>
              </w:rPr>
            </w:pPr>
          </w:p>
        </w:tc>
        <w:tc>
          <w:tcPr>
            <w:tcW w:w="1025" w:type="dxa"/>
            <w:vMerge/>
            <w:tcBorders>
              <w:top w:val="nil"/>
              <w:left w:val="single" w:sz="4" w:space="0" w:color="auto"/>
              <w:bottom w:val="single" w:sz="4" w:space="0" w:color="auto"/>
              <w:right w:val="single" w:sz="4" w:space="0" w:color="auto"/>
            </w:tcBorders>
            <w:vAlign w:val="center"/>
            <w:hideMark/>
          </w:tcPr>
          <w:p w:rsidR="005D6ACF" w:rsidRPr="00B72764" w:rsidRDefault="005D6ACF" w:rsidP="008A253E">
            <w:pPr>
              <w:rPr>
                <w:color w:val="000000"/>
                <w:sz w:val="22"/>
                <w:szCs w:val="22"/>
              </w:rPr>
            </w:pPr>
          </w:p>
        </w:tc>
        <w:tc>
          <w:tcPr>
            <w:tcW w:w="1243" w:type="dxa"/>
            <w:gridSpan w:val="2"/>
            <w:vMerge/>
            <w:tcBorders>
              <w:top w:val="nil"/>
              <w:left w:val="single" w:sz="4" w:space="0" w:color="auto"/>
              <w:bottom w:val="single" w:sz="4" w:space="0" w:color="auto"/>
              <w:right w:val="single" w:sz="4" w:space="0" w:color="auto"/>
            </w:tcBorders>
            <w:vAlign w:val="center"/>
            <w:hideMark/>
          </w:tcPr>
          <w:p w:rsidR="005D6ACF" w:rsidRPr="00B72764" w:rsidRDefault="005D6ACF" w:rsidP="008A253E">
            <w:pPr>
              <w:rPr>
                <w:color w:val="000000"/>
                <w:sz w:val="22"/>
                <w:szCs w:val="22"/>
              </w:rPr>
            </w:pPr>
          </w:p>
        </w:tc>
        <w:tc>
          <w:tcPr>
            <w:tcW w:w="1076" w:type="dxa"/>
            <w:vMerge/>
            <w:tcBorders>
              <w:top w:val="nil"/>
              <w:left w:val="single" w:sz="4" w:space="0" w:color="auto"/>
              <w:bottom w:val="single" w:sz="4" w:space="0" w:color="auto"/>
              <w:right w:val="single" w:sz="4" w:space="0" w:color="auto"/>
            </w:tcBorders>
            <w:vAlign w:val="center"/>
            <w:hideMark/>
          </w:tcPr>
          <w:p w:rsidR="005D6ACF" w:rsidRPr="00B72764" w:rsidRDefault="005D6ACF" w:rsidP="008A253E">
            <w:pPr>
              <w:rPr>
                <w:color w:val="000000"/>
                <w:sz w:val="22"/>
                <w:szCs w:val="22"/>
              </w:rPr>
            </w:pPr>
          </w:p>
        </w:tc>
        <w:tc>
          <w:tcPr>
            <w:tcW w:w="1334" w:type="dxa"/>
            <w:gridSpan w:val="2"/>
            <w:vMerge/>
            <w:tcBorders>
              <w:top w:val="nil"/>
              <w:left w:val="single" w:sz="4" w:space="0" w:color="auto"/>
              <w:bottom w:val="single" w:sz="4" w:space="0" w:color="auto"/>
              <w:right w:val="single" w:sz="4" w:space="0" w:color="auto"/>
            </w:tcBorders>
            <w:vAlign w:val="center"/>
            <w:hideMark/>
          </w:tcPr>
          <w:p w:rsidR="005D6ACF" w:rsidRPr="00B72764" w:rsidRDefault="005D6ACF" w:rsidP="008A253E">
            <w:pPr>
              <w:rPr>
                <w:color w:val="000000"/>
                <w:sz w:val="22"/>
                <w:szCs w:val="22"/>
              </w:rPr>
            </w:pPr>
          </w:p>
        </w:tc>
        <w:tc>
          <w:tcPr>
            <w:tcW w:w="1079" w:type="dxa"/>
            <w:vMerge/>
            <w:tcBorders>
              <w:top w:val="nil"/>
              <w:left w:val="single" w:sz="4" w:space="0" w:color="auto"/>
              <w:bottom w:val="single" w:sz="4" w:space="0" w:color="auto"/>
              <w:right w:val="single" w:sz="4" w:space="0" w:color="auto"/>
            </w:tcBorders>
            <w:vAlign w:val="center"/>
            <w:hideMark/>
          </w:tcPr>
          <w:p w:rsidR="005D6ACF" w:rsidRPr="00B72764" w:rsidRDefault="005D6ACF" w:rsidP="008A253E">
            <w:pPr>
              <w:rPr>
                <w:color w:val="000000"/>
                <w:sz w:val="22"/>
                <w:szCs w:val="22"/>
              </w:rPr>
            </w:pPr>
          </w:p>
        </w:tc>
      </w:tr>
      <w:tr w:rsidR="005D6ACF" w:rsidRPr="00B72764" w:rsidTr="008A253E">
        <w:trPr>
          <w:gridAfter w:val="1"/>
          <w:wAfter w:w="35" w:type="dxa"/>
          <w:trHeight w:val="362"/>
        </w:trPr>
        <w:tc>
          <w:tcPr>
            <w:tcW w:w="465" w:type="dxa"/>
            <w:vMerge w:val="restart"/>
            <w:tcBorders>
              <w:top w:val="nil"/>
              <w:left w:val="single" w:sz="4" w:space="0" w:color="auto"/>
              <w:bottom w:val="single" w:sz="4" w:space="0" w:color="auto"/>
              <w:right w:val="single" w:sz="4" w:space="0" w:color="auto"/>
            </w:tcBorders>
            <w:shd w:val="clear" w:color="auto" w:fill="auto"/>
            <w:vAlign w:val="center"/>
            <w:hideMark/>
          </w:tcPr>
          <w:p w:rsidR="005D6ACF" w:rsidRPr="00B72764" w:rsidRDefault="005D6ACF" w:rsidP="008A253E">
            <w:pPr>
              <w:jc w:val="center"/>
              <w:rPr>
                <w:color w:val="000000"/>
                <w:sz w:val="22"/>
                <w:szCs w:val="22"/>
              </w:rPr>
            </w:pPr>
            <w:r w:rsidRPr="00B72764">
              <w:rPr>
                <w:color w:val="000000"/>
                <w:sz w:val="22"/>
                <w:szCs w:val="22"/>
              </w:rPr>
              <w:t>15</w:t>
            </w:r>
          </w:p>
        </w:tc>
        <w:tc>
          <w:tcPr>
            <w:tcW w:w="2791" w:type="dxa"/>
            <w:vMerge w:val="restart"/>
            <w:tcBorders>
              <w:top w:val="nil"/>
              <w:left w:val="single" w:sz="4" w:space="0" w:color="auto"/>
              <w:bottom w:val="single" w:sz="4" w:space="0" w:color="auto"/>
              <w:right w:val="single" w:sz="4" w:space="0" w:color="auto"/>
            </w:tcBorders>
            <w:shd w:val="clear" w:color="auto" w:fill="auto"/>
            <w:vAlign w:val="center"/>
            <w:hideMark/>
          </w:tcPr>
          <w:p w:rsidR="005D6ACF" w:rsidRPr="00B72764" w:rsidRDefault="005D6ACF" w:rsidP="008A253E">
            <w:pPr>
              <w:rPr>
                <w:color w:val="000000"/>
                <w:sz w:val="22"/>
                <w:szCs w:val="22"/>
              </w:rPr>
            </w:pPr>
            <w:r w:rsidRPr="00B72764">
              <w:rPr>
                <w:color w:val="000000"/>
                <w:sz w:val="22"/>
                <w:szCs w:val="22"/>
              </w:rPr>
              <w:t>АО «Ржевское ДРСУ»</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5D6ACF" w:rsidRPr="00B72764" w:rsidRDefault="005D6ACF" w:rsidP="008A253E">
            <w:pPr>
              <w:jc w:val="center"/>
              <w:rPr>
                <w:color w:val="000000"/>
                <w:sz w:val="22"/>
                <w:szCs w:val="22"/>
              </w:rPr>
            </w:pPr>
            <w:r w:rsidRPr="00B72764">
              <w:rPr>
                <w:color w:val="000000"/>
                <w:sz w:val="22"/>
                <w:szCs w:val="22"/>
              </w:rPr>
              <w:t>Убыток</w:t>
            </w:r>
          </w:p>
        </w:tc>
        <w:tc>
          <w:tcPr>
            <w:tcW w:w="1025" w:type="dxa"/>
            <w:vMerge w:val="restart"/>
            <w:tcBorders>
              <w:top w:val="nil"/>
              <w:left w:val="single" w:sz="4" w:space="0" w:color="auto"/>
              <w:bottom w:val="single" w:sz="4" w:space="0" w:color="auto"/>
              <w:right w:val="single" w:sz="4" w:space="0" w:color="auto"/>
            </w:tcBorders>
            <w:shd w:val="clear" w:color="auto" w:fill="auto"/>
            <w:vAlign w:val="center"/>
            <w:hideMark/>
          </w:tcPr>
          <w:p w:rsidR="005D6ACF" w:rsidRPr="00B72764" w:rsidRDefault="005D6ACF" w:rsidP="008A253E">
            <w:pPr>
              <w:jc w:val="center"/>
              <w:rPr>
                <w:color w:val="000000"/>
                <w:sz w:val="22"/>
                <w:szCs w:val="22"/>
              </w:rPr>
            </w:pPr>
            <w:r w:rsidRPr="00B72764">
              <w:rPr>
                <w:color w:val="000000"/>
                <w:sz w:val="22"/>
                <w:szCs w:val="22"/>
              </w:rPr>
              <w:t>0</w:t>
            </w:r>
          </w:p>
        </w:tc>
        <w:tc>
          <w:tcPr>
            <w:tcW w:w="124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5D6ACF" w:rsidRPr="00B72764" w:rsidRDefault="005D6ACF" w:rsidP="008A253E">
            <w:pPr>
              <w:jc w:val="center"/>
              <w:rPr>
                <w:color w:val="000000"/>
                <w:sz w:val="22"/>
                <w:szCs w:val="22"/>
              </w:rPr>
            </w:pPr>
            <w:r w:rsidRPr="00B72764">
              <w:rPr>
                <w:color w:val="000000"/>
                <w:sz w:val="22"/>
                <w:szCs w:val="22"/>
              </w:rPr>
              <w:t>Убыток</w:t>
            </w:r>
          </w:p>
        </w:tc>
        <w:tc>
          <w:tcPr>
            <w:tcW w:w="1076" w:type="dxa"/>
            <w:vMerge w:val="restart"/>
            <w:tcBorders>
              <w:top w:val="nil"/>
              <w:left w:val="single" w:sz="4" w:space="0" w:color="auto"/>
              <w:bottom w:val="single" w:sz="4" w:space="0" w:color="auto"/>
              <w:right w:val="single" w:sz="4" w:space="0" w:color="auto"/>
            </w:tcBorders>
            <w:shd w:val="clear" w:color="auto" w:fill="auto"/>
            <w:vAlign w:val="center"/>
            <w:hideMark/>
          </w:tcPr>
          <w:p w:rsidR="005D6ACF" w:rsidRPr="00B72764" w:rsidRDefault="005D6ACF" w:rsidP="008A253E">
            <w:pPr>
              <w:jc w:val="center"/>
              <w:rPr>
                <w:color w:val="000000"/>
                <w:sz w:val="22"/>
                <w:szCs w:val="22"/>
              </w:rPr>
            </w:pPr>
            <w:r w:rsidRPr="00B72764">
              <w:rPr>
                <w:color w:val="000000"/>
                <w:sz w:val="22"/>
                <w:szCs w:val="22"/>
              </w:rPr>
              <w:t>0</w:t>
            </w:r>
          </w:p>
        </w:tc>
        <w:tc>
          <w:tcPr>
            <w:tcW w:w="133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5D6ACF" w:rsidRPr="00B72764" w:rsidRDefault="005D6ACF" w:rsidP="008A253E">
            <w:pPr>
              <w:jc w:val="center"/>
              <w:rPr>
                <w:color w:val="000000"/>
                <w:sz w:val="22"/>
                <w:szCs w:val="22"/>
              </w:rPr>
            </w:pPr>
            <w:r w:rsidRPr="00B72764">
              <w:rPr>
                <w:color w:val="000000"/>
                <w:sz w:val="22"/>
                <w:szCs w:val="22"/>
              </w:rPr>
              <w:t>Убыток</w:t>
            </w:r>
          </w:p>
        </w:tc>
        <w:tc>
          <w:tcPr>
            <w:tcW w:w="1079" w:type="dxa"/>
            <w:vMerge w:val="restart"/>
            <w:tcBorders>
              <w:top w:val="nil"/>
              <w:left w:val="single" w:sz="4" w:space="0" w:color="auto"/>
              <w:bottom w:val="single" w:sz="4" w:space="0" w:color="auto"/>
              <w:right w:val="single" w:sz="4" w:space="0" w:color="auto"/>
            </w:tcBorders>
            <w:shd w:val="clear" w:color="auto" w:fill="auto"/>
            <w:vAlign w:val="center"/>
            <w:hideMark/>
          </w:tcPr>
          <w:p w:rsidR="005D6ACF" w:rsidRPr="00B72764" w:rsidRDefault="005D6ACF" w:rsidP="008A253E">
            <w:pPr>
              <w:jc w:val="center"/>
              <w:rPr>
                <w:color w:val="000000"/>
                <w:sz w:val="22"/>
                <w:szCs w:val="22"/>
              </w:rPr>
            </w:pPr>
            <w:r w:rsidRPr="00B72764">
              <w:rPr>
                <w:color w:val="000000"/>
                <w:sz w:val="22"/>
                <w:szCs w:val="22"/>
              </w:rPr>
              <w:t>0</w:t>
            </w:r>
          </w:p>
        </w:tc>
      </w:tr>
      <w:tr w:rsidR="005D6ACF" w:rsidRPr="00B72764" w:rsidTr="008A253E">
        <w:trPr>
          <w:gridAfter w:val="1"/>
          <w:wAfter w:w="35" w:type="dxa"/>
          <w:trHeight w:val="302"/>
        </w:trPr>
        <w:tc>
          <w:tcPr>
            <w:tcW w:w="465" w:type="dxa"/>
            <w:vMerge/>
            <w:tcBorders>
              <w:top w:val="nil"/>
              <w:left w:val="single" w:sz="4" w:space="0" w:color="auto"/>
              <w:bottom w:val="single" w:sz="4" w:space="0" w:color="auto"/>
              <w:right w:val="single" w:sz="4" w:space="0" w:color="auto"/>
            </w:tcBorders>
            <w:vAlign w:val="center"/>
            <w:hideMark/>
          </w:tcPr>
          <w:p w:rsidR="005D6ACF" w:rsidRPr="00B72764" w:rsidRDefault="005D6ACF" w:rsidP="008A253E">
            <w:pPr>
              <w:rPr>
                <w:color w:val="000000"/>
                <w:sz w:val="22"/>
                <w:szCs w:val="22"/>
              </w:rPr>
            </w:pPr>
          </w:p>
        </w:tc>
        <w:tc>
          <w:tcPr>
            <w:tcW w:w="2791" w:type="dxa"/>
            <w:vMerge/>
            <w:tcBorders>
              <w:top w:val="nil"/>
              <w:left w:val="single" w:sz="4" w:space="0" w:color="auto"/>
              <w:bottom w:val="single" w:sz="4" w:space="0" w:color="auto"/>
              <w:right w:val="single" w:sz="4" w:space="0" w:color="auto"/>
            </w:tcBorders>
            <w:vAlign w:val="center"/>
            <w:hideMark/>
          </w:tcPr>
          <w:p w:rsidR="005D6ACF" w:rsidRPr="00B72764" w:rsidRDefault="005D6ACF" w:rsidP="008A253E">
            <w:pPr>
              <w:rPr>
                <w:color w:val="000000"/>
                <w:sz w:val="22"/>
                <w:szCs w:val="22"/>
              </w:rPr>
            </w:pPr>
          </w:p>
        </w:tc>
        <w:tc>
          <w:tcPr>
            <w:tcW w:w="1275" w:type="dxa"/>
            <w:vMerge/>
            <w:tcBorders>
              <w:top w:val="nil"/>
              <w:left w:val="single" w:sz="4" w:space="0" w:color="auto"/>
              <w:bottom w:val="single" w:sz="4" w:space="0" w:color="auto"/>
              <w:right w:val="single" w:sz="4" w:space="0" w:color="auto"/>
            </w:tcBorders>
            <w:vAlign w:val="center"/>
            <w:hideMark/>
          </w:tcPr>
          <w:p w:rsidR="005D6ACF" w:rsidRPr="00B72764" w:rsidRDefault="005D6ACF" w:rsidP="008A253E">
            <w:pPr>
              <w:rPr>
                <w:color w:val="000000"/>
                <w:sz w:val="22"/>
                <w:szCs w:val="22"/>
              </w:rPr>
            </w:pPr>
          </w:p>
        </w:tc>
        <w:tc>
          <w:tcPr>
            <w:tcW w:w="1025" w:type="dxa"/>
            <w:vMerge/>
            <w:tcBorders>
              <w:top w:val="nil"/>
              <w:left w:val="single" w:sz="4" w:space="0" w:color="auto"/>
              <w:bottom w:val="single" w:sz="4" w:space="0" w:color="auto"/>
              <w:right w:val="single" w:sz="4" w:space="0" w:color="auto"/>
            </w:tcBorders>
            <w:vAlign w:val="center"/>
            <w:hideMark/>
          </w:tcPr>
          <w:p w:rsidR="005D6ACF" w:rsidRPr="00B72764" w:rsidRDefault="005D6ACF" w:rsidP="008A253E">
            <w:pPr>
              <w:rPr>
                <w:color w:val="000000"/>
                <w:sz w:val="22"/>
                <w:szCs w:val="22"/>
              </w:rPr>
            </w:pPr>
          </w:p>
        </w:tc>
        <w:tc>
          <w:tcPr>
            <w:tcW w:w="1243" w:type="dxa"/>
            <w:gridSpan w:val="2"/>
            <w:vMerge/>
            <w:tcBorders>
              <w:top w:val="nil"/>
              <w:left w:val="single" w:sz="4" w:space="0" w:color="auto"/>
              <w:bottom w:val="single" w:sz="4" w:space="0" w:color="auto"/>
              <w:right w:val="single" w:sz="4" w:space="0" w:color="auto"/>
            </w:tcBorders>
            <w:vAlign w:val="center"/>
            <w:hideMark/>
          </w:tcPr>
          <w:p w:rsidR="005D6ACF" w:rsidRPr="00B72764" w:rsidRDefault="005D6ACF" w:rsidP="008A253E">
            <w:pPr>
              <w:rPr>
                <w:color w:val="000000"/>
                <w:sz w:val="22"/>
                <w:szCs w:val="22"/>
              </w:rPr>
            </w:pPr>
          </w:p>
        </w:tc>
        <w:tc>
          <w:tcPr>
            <w:tcW w:w="1076" w:type="dxa"/>
            <w:vMerge/>
            <w:tcBorders>
              <w:top w:val="nil"/>
              <w:left w:val="single" w:sz="4" w:space="0" w:color="auto"/>
              <w:bottom w:val="single" w:sz="4" w:space="0" w:color="auto"/>
              <w:right w:val="single" w:sz="4" w:space="0" w:color="auto"/>
            </w:tcBorders>
            <w:vAlign w:val="center"/>
            <w:hideMark/>
          </w:tcPr>
          <w:p w:rsidR="005D6ACF" w:rsidRPr="00B72764" w:rsidRDefault="005D6ACF" w:rsidP="008A253E">
            <w:pPr>
              <w:rPr>
                <w:color w:val="000000"/>
                <w:sz w:val="22"/>
                <w:szCs w:val="22"/>
              </w:rPr>
            </w:pPr>
          </w:p>
        </w:tc>
        <w:tc>
          <w:tcPr>
            <w:tcW w:w="1334" w:type="dxa"/>
            <w:gridSpan w:val="2"/>
            <w:vMerge/>
            <w:tcBorders>
              <w:top w:val="nil"/>
              <w:left w:val="single" w:sz="4" w:space="0" w:color="auto"/>
              <w:bottom w:val="single" w:sz="4" w:space="0" w:color="auto"/>
              <w:right w:val="single" w:sz="4" w:space="0" w:color="auto"/>
            </w:tcBorders>
            <w:vAlign w:val="center"/>
            <w:hideMark/>
          </w:tcPr>
          <w:p w:rsidR="005D6ACF" w:rsidRPr="00B72764" w:rsidRDefault="005D6ACF" w:rsidP="008A253E">
            <w:pPr>
              <w:rPr>
                <w:color w:val="000000"/>
                <w:sz w:val="22"/>
                <w:szCs w:val="22"/>
              </w:rPr>
            </w:pPr>
          </w:p>
        </w:tc>
        <w:tc>
          <w:tcPr>
            <w:tcW w:w="1079" w:type="dxa"/>
            <w:vMerge/>
            <w:tcBorders>
              <w:top w:val="nil"/>
              <w:left w:val="single" w:sz="4" w:space="0" w:color="auto"/>
              <w:bottom w:val="single" w:sz="4" w:space="0" w:color="auto"/>
              <w:right w:val="single" w:sz="4" w:space="0" w:color="auto"/>
            </w:tcBorders>
            <w:vAlign w:val="center"/>
            <w:hideMark/>
          </w:tcPr>
          <w:p w:rsidR="005D6ACF" w:rsidRPr="00B72764" w:rsidRDefault="005D6ACF" w:rsidP="008A253E">
            <w:pPr>
              <w:rPr>
                <w:color w:val="000000"/>
                <w:sz w:val="22"/>
                <w:szCs w:val="22"/>
              </w:rPr>
            </w:pPr>
          </w:p>
        </w:tc>
      </w:tr>
      <w:tr w:rsidR="005D6ACF" w:rsidRPr="00B72764" w:rsidTr="008A253E">
        <w:trPr>
          <w:gridAfter w:val="1"/>
          <w:wAfter w:w="35" w:type="dxa"/>
          <w:trHeight w:val="1043"/>
        </w:trPr>
        <w:tc>
          <w:tcPr>
            <w:tcW w:w="465" w:type="dxa"/>
            <w:vMerge w:val="restart"/>
            <w:tcBorders>
              <w:top w:val="nil"/>
              <w:left w:val="single" w:sz="4" w:space="0" w:color="auto"/>
              <w:bottom w:val="single" w:sz="4" w:space="0" w:color="auto"/>
              <w:right w:val="single" w:sz="4" w:space="0" w:color="auto"/>
            </w:tcBorders>
            <w:shd w:val="clear" w:color="auto" w:fill="auto"/>
            <w:vAlign w:val="center"/>
            <w:hideMark/>
          </w:tcPr>
          <w:p w:rsidR="005D6ACF" w:rsidRPr="00B72764" w:rsidRDefault="005D6ACF" w:rsidP="008A253E">
            <w:pPr>
              <w:jc w:val="center"/>
              <w:rPr>
                <w:color w:val="000000"/>
                <w:sz w:val="22"/>
                <w:szCs w:val="22"/>
              </w:rPr>
            </w:pPr>
            <w:r w:rsidRPr="00B72764">
              <w:rPr>
                <w:color w:val="000000"/>
                <w:sz w:val="22"/>
                <w:szCs w:val="22"/>
              </w:rPr>
              <w:t>16</w:t>
            </w:r>
          </w:p>
        </w:tc>
        <w:tc>
          <w:tcPr>
            <w:tcW w:w="2791" w:type="dxa"/>
            <w:vMerge w:val="restart"/>
            <w:tcBorders>
              <w:top w:val="nil"/>
              <w:left w:val="single" w:sz="4" w:space="0" w:color="auto"/>
              <w:bottom w:val="single" w:sz="4" w:space="0" w:color="auto"/>
              <w:right w:val="single" w:sz="4" w:space="0" w:color="auto"/>
            </w:tcBorders>
            <w:shd w:val="clear" w:color="auto" w:fill="auto"/>
            <w:vAlign w:val="center"/>
            <w:hideMark/>
          </w:tcPr>
          <w:p w:rsidR="005D6ACF" w:rsidRPr="00B72764" w:rsidRDefault="005D6ACF" w:rsidP="008A253E">
            <w:pPr>
              <w:rPr>
                <w:color w:val="000000"/>
                <w:sz w:val="22"/>
                <w:szCs w:val="22"/>
              </w:rPr>
            </w:pPr>
            <w:r w:rsidRPr="00B72764">
              <w:rPr>
                <w:color w:val="000000"/>
                <w:sz w:val="22"/>
                <w:szCs w:val="22"/>
              </w:rPr>
              <w:t>ОАО «Селижаровское ДРСУ»</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5D6ACF" w:rsidRPr="00B72764" w:rsidRDefault="005D6ACF" w:rsidP="008A253E">
            <w:pPr>
              <w:jc w:val="center"/>
              <w:rPr>
                <w:color w:val="000000"/>
                <w:sz w:val="22"/>
                <w:szCs w:val="22"/>
              </w:rPr>
            </w:pPr>
            <w:r w:rsidRPr="00B72764">
              <w:rPr>
                <w:color w:val="000000"/>
                <w:sz w:val="22"/>
                <w:szCs w:val="22"/>
              </w:rPr>
              <w:t>Стоимость чистых активов меньше уставного капитала</w:t>
            </w:r>
          </w:p>
        </w:tc>
        <w:tc>
          <w:tcPr>
            <w:tcW w:w="1025" w:type="dxa"/>
            <w:vMerge w:val="restart"/>
            <w:tcBorders>
              <w:top w:val="nil"/>
              <w:left w:val="single" w:sz="4" w:space="0" w:color="auto"/>
              <w:bottom w:val="single" w:sz="4" w:space="0" w:color="auto"/>
              <w:right w:val="single" w:sz="4" w:space="0" w:color="auto"/>
            </w:tcBorders>
            <w:shd w:val="clear" w:color="auto" w:fill="auto"/>
            <w:vAlign w:val="center"/>
            <w:hideMark/>
          </w:tcPr>
          <w:p w:rsidR="005D6ACF" w:rsidRPr="00B72764" w:rsidRDefault="005D6ACF" w:rsidP="008A253E">
            <w:pPr>
              <w:jc w:val="center"/>
              <w:rPr>
                <w:color w:val="000000"/>
                <w:sz w:val="22"/>
                <w:szCs w:val="22"/>
              </w:rPr>
            </w:pPr>
            <w:r w:rsidRPr="00B72764">
              <w:rPr>
                <w:color w:val="000000"/>
                <w:sz w:val="22"/>
                <w:szCs w:val="22"/>
              </w:rPr>
              <w:t>0</w:t>
            </w:r>
          </w:p>
        </w:tc>
        <w:tc>
          <w:tcPr>
            <w:tcW w:w="124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5D6ACF" w:rsidRPr="00B72764" w:rsidRDefault="005D6ACF" w:rsidP="008A253E">
            <w:pPr>
              <w:jc w:val="center"/>
              <w:rPr>
                <w:color w:val="000000"/>
                <w:sz w:val="22"/>
                <w:szCs w:val="22"/>
              </w:rPr>
            </w:pPr>
            <w:r w:rsidRPr="00B72764">
              <w:rPr>
                <w:color w:val="000000"/>
                <w:sz w:val="22"/>
                <w:szCs w:val="22"/>
              </w:rPr>
              <w:t>Стоимость чистых активов меньше уставного капитала</w:t>
            </w:r>
          </w:p>
        </w:tc>
        <w:tc>
          <w:tcPr>
            <w:tcW w:w="1076" w:type="dxa"/>
            <w:vMerge w:val="restart"/>
            <w:tcBorders>
              <w:top w:val="nil"/>
              <w:left w:val="single" w:sz="4" w:space="0" w:color="auto"/>
              <w:bottom w:val="single" w:sz="4" w:space="0" w:color="auto"/>
              <w:right w:val="single" w:sz="4" w:space="0" w:color="auto"/>
            </w:tcBorders>
            <w:shd w:val="clear" w:color="auto" w:fill="auto"/>
            <w:vAlign w:val="center"/>
            <w:hideMark/>
          </w:tcPr>
          <w:p w:rsidR="005D6ACF" w:rsidRPr="00B72764" w:rsidRDefault="005D6ACF" w:rsidP="008A253E">
            <w:pPr>
              <w:jc w:val="center"/>
              <w:rPr>
                <w:color w:val="000000"/>
                <w:sz w:val="22"/>
                <w:szCs w:val="22"/>
              </w:rPr>
            </w:pPr>
            <w:r w:rsidRPr="00B72764">
              <w:rPr>
                <w:color w:val="000000"/>
                <w:sz w:val="22"/>
                <w:szCs w:val="22"/>
              </w:rPr>
              <w:t>0</w:t>
            </w:r>
          </w:p>
        </w:tc>
        <w:tc>
          <w:tcPr>
            <w:tcW w:w="133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5D6ACF" w:rsidRPr="00B72764" w:rsidRDefault="005D6ACF" w:rsidP="008A253E">
            <w:pPr>
              <w:jc w:val="center"/>
              <w:rPr>
                <w:color w:val="000000"/>
                <w:sz w:val="22"/>
                <w:szCs w:val="22"/>
              </w:rPr>
            </w:pPr>
            <w:r w:rsidRPr="00B72764">
              <w:rPr>
                <w:color w:val="000000"/>
                <w:sz w:val="22"/>
                <w:szCs w:val="22"/>
              </w:rPr>
              <w:t>Стоимость чистых активов меньше уставного капитала</w:t>
            </w:r>
          </w:p>
        </w:tc>
        <w:tc>
          <w:tcPr>
            <w:tcW w:w="1079" w:type="dxa"/>
            <w:vMerge w:val="restart"/>
            <w:tcBorders>
              <w:top w:val="nil"/>
              <w:left w:val="single" w:sz="4" w:space="0" w:color="auto"/>
              <w:bottom w:val="single" w:sz="4" w:space="0" w:color="auto"/>
              <w:right w:val="single" w:sz="4" w:space="0" w:color="auto"/>
            </w:tcBorders>
            <w:shd w:val="clear" w:color="auto" w:fill="auto"/>
            <w:vAlign w:val="center"/>
            <w:hideMark/>
          </w:tcPr>
          <w:p w:rsidR="005D6ACF" w:rsidRPr="00B72764" w:rsidRDefault="005D6ACF" w:rsidP="008A253E">
            <w:pPr>
              <w:jc w:val="center"/>
              <w:rPr>
                <w:color w:val="000000"/>
                <w:sz w:val="22"/>
                <w:szCs w:val="22"/>
              </w:rPr>
            </w:pPr>
            <w:r w:rsidRPr="00B72764">
              <w:rPr>
                <w:color w:val="000000"/>
                <w:sz w:val="22"/>
                <w:szCs w:val="22"/>
              </w:rPr>
              <w:t>0</w:t>
            </w:r>
          </w:p>
        </w:tc>
      </w:tr>
      <w:tr w:rsidR="005D6ACF" w:rsidRPr="00B72764" w:rsidTr="008A253E">
        <w:trPr>
          <w:gridAfter w:val="1"/>
          <w:wAfter w:w="35" w:type="dxa"/>
          <w:trHeight w:val="302"/>
        </w:trPr>
        <w:tc>
          <w:tcPr>
            <w:tcW w:w="465" w:type="dxa"/>
            <w:vMerge/>
            <w:tcBorders>
              <w:top w:val="nil"/>
              <w:left w:val="single" w:sz="4" w:space="0" w:color="auto"/>
              <w:bottom w:val="single" w:sz="4" w:space="0" w:color="auto"/>
              <w:right w:val="single" w:sz="4" w:space="0" w:color="auto"/>
            </w:tcBorders>
            <w:vAlign w:val="center"/>
            <w:hideMark/>
          </w:tcPr>
          <w:p w:rsidR="005D6ACF" w:rsidRPr="00B72764" w:rsidRDefault="005D6ACF" w:rsidP="008A253E">
            <w:pPr>
              <w:rPr>
                <w:color w:val="000000"/>
                <w:sz w:val="22"/>
                <w:szCs w:val="22"/>
              </w:rPr>
            </w:pPr>
          </w:p>
        </w:tc>
        <w:tc>
          <w:tcPr>
            <w:tcW w:w="2791" w:type="dxa"/>
            <w:vMerge/>
            <w:tcBorders>
              <w:top w:val="nil"/>
              <w:left w:val="single" w:sz="4" w:space="0" w:color="auto"/>
              <w:bottom w:val="single" w:sz="4" w:space="0" w:color="auto"/>
              <w:right w:val="single" w:sz="4" w:space="0" w:color="auto"/>
            </w:tcBorders>
            <w:vAlign w:val="center"/>
            <w:hideMark/>
          </w:tcPr>
          <w:p w:rsidR="005D6ACF" w:rsidRPr="00B72764" w:rsidRDefault="005D6ACF" w:rsidP="008A253E">
            <w:pPr>
              <w:rPr>
                <w:color w:val="000000"/>
                <w:sz w:val="22"/>
                <w:szCs w:val="22"/>
              </w:rPr>
            </w:pPr>
          </w:p>
        </w:tc>
        <w:tc>
          <w:tcPr>
            <w:tcW w:w="1275" w:type="dxa"/>
            <w:vMerge/>
            <w:tcBorders>
              <w:top w:val="nil"/>
              <w:left w:val="single" w:sz="4" w:space="0" w:color="auto"/>
              <w:bottom w:val="single" w:sz="4" w:space="0" w:color="auto"/>
              <w:right w:val="single" w:sz="4" w:space="0" w:color="auto"/>
            </w:tcBorders>
            <w:vAlign w:val="center"/>
            <w:hideMark/>
          </w:tcPr>
          <w:p w:rsidR="005D6ACF" w:rsidRPr="00B72764" w:rsidRDefault="005D6ACF" w:rsidP="008A253E">
            <w:pPr>
              <w:rPr>
                <w:color w:val="000000"/>
                <w:sz w:val="22"/>
                <w:szCs w:val="22"/>
              </w:rPr>
            </w:pPr>
          </w:p>
        </w:tc>
        <w:tc>
          <w:tcPr>
            <w:tcW w:w="1025" w:type="dxa"/>
            <w:vMerge/>
            <w:tcBorders>
              <w:top w:val="nil"/>
              <w:left w:val="single" w:sz="4" w:space="0" w:color="auto"/>
              <w:bottom w:val="single" w:sz="4" w:space="0" w:color="auto"/>
              <w:right w:val="single" w:sz="4" w:space="0" w:color="auto"/>
            </w:tcBorders>
            <w:vAlign w:val="center"/>
            <w:hideMark/>
          </w:tcPr>
          <w:p w:rsidR="005D6ACF" w:rsidRPr="00B72764" w:rsidRDefault="005D6ACF" w:rsidP="008A253E">
            <w:pPr>
              <w:rPr>
                <w:color w:val="000000"/>
                <w:sz w:val="22"/>
                <w:szCs w:val="22"/>
              </w:rPr>
            </w:pPr>
          </w:p>
        </w:tc>
        <w:tc>
          <w:tcPr>
            <w:tcW w:w="1243" w:type="dxa"/>
            <w:gridSpan w:val="2"/>
            <w:vMerge/>
            <w:tcBorders>
              <w:top w:val="nil"/>
              <w:left w:val="single" w:sz="4" w:space="0" w:color="auto"/>
              <w:bottom w:val="single" w:sz="4" w:space="0" w:color="auto"/>
              <w:right w:val="single" w:sz="4" w:space="0" w:color="auto"/>
            </w:tcBorders>
            <w:vAlign w:val="center"/>
            <w:hideMark/>
          </w:tcPr>
          <w:p w:rsidR="005D6ACF" w:rsidRPr="00B72764" w:rsidRDefault="005D6ACF" w:rsidP="008A253E">
            <w:pPr>
              <w:rPr>
                <w:color w:val="000000"/>
                <w:sz w:val="22"/>
                <w:szCs w:val="22"/>
              </w:rPr>
            </w:pPr>
          </w:p>
        </w:tc>
        <w:tc>
          <w:tcPr>
            <w:tcW w:w="1076" w:type="dxa"/>
            <w:vMerge/>
            <w:tcBorders>
              <w:top w:val="nil"/>
              <w:left w:val="single" w:sz="4" w:space="0" w:color="auto"/>
              <w:bottom w:val="single" w:sz="4" w:space="0" w:color="auto"/>
              <w:right w:val="single" w:sz="4" w:space="0" w:color="auto"/>
            </w:tcBorders>
            <w:vAlign w:val="center"/>
            <w:hideMark/>
          </w:tcPr>
          <w:p w:rsidR="005D6ACF" w:rsidRPr="00B72764" w:rsidRDefault="005D6ACF" w:rsidP="008A253E">
            <w:pPr>
              <w:rPr>
                <w:color w:val="000000"/>
                <w:sz w:val="22"/>
                <w:szCs w:val="22"/>
              </w:rPr>
            </w:pPr>
          </w:p>
        </w:tc>
        <w:tc>
          <w:tcPr>
            <w:tcW w:w="1334" w:type="dxa"/>
            <w:gridSpan w:val="2"/>
            <w:vMerge/>
            <w:tcBorders>
              <w:top w:val="nil"/>
              <w:left w:val="single" w:sz="4" w:space="0" w:color="auto"/>
              <w:bottom w:val="single" w:sz="4" w:space="0" w:color="auto"/>
              <w:right w:val="single" w:sz="4" w:space="0" w:color="auto"/>
            </w:tcBorders>
            <w:vAlign w:val="center"/>
            <w:hideMark/>
          </w:tcPr>
          <w:p w:rsidR="005D6ACF" w:rsidRPr="00B72764" w:rsidRDefault="005D6ACF" w:rsidP="008A253E">
            <w:pPr>
              <w:rPr>
                <w:color w:val="000000"/>
                <w:sz w:val="22"/>
                <w:szCs w:val="22"/>
              </w:rPr>
            </w:pPr>
          </w:p>
        </w:tc>
        <w:tc>
          <w:tcPr>
            <w:tcW w:w="1079" w:type="dxa"/>
            <w:vMerge/>
            <w:tcBorders>
              <w:top w:val="nil"/>
              <w:left w:val="single" w:sz="4" w:space="0" w:color="auto"/>
              <w:bottom w:val="single" w:sz="4" w:space="0" w:color="auto"/>
              <w:right w:val="single" w:sz="4" w:space="0" w:color="auto"/>
            </w:tcBorders>
            <w:vAlign w:val="center"/>
            <w:hideMark/>
          </w:tcPr>
          <w:p w:rsidR="005D6ACF" w:rsidRPr="00B72764" w:rsidRDefault="005D6ACF" w:rsidP="008A253E">
            <w:pPr>
              <w:rPr>
                <w:color w:val="000000"/>
                <w:sz w:val="22"/>
                <w:szCs w:val="22"/>
              </w:rPr>
            </w:pPr>
          </w:p>
        </w:tc>
      </w:tr>
      <w:tr w:rsidR="005D6ACF" w:rsidRPr="00B72764" w:rsidTr="008A253E">
        <w:trPr>
          <w:gridAfter w:val="1"/>
          <w:wAfter w:w="35" w:type="dxa"/>
          <w:trHeight w:val="362"/>
        </w:trPr>
        <w:tc>
          <w:tcPr>
            <w:tcW w:w="465" w:type="dxa"/>
            <w:vMerge w:val="restart"/>
            <w:tcBorders>
              <w:top w:val="nil"/>
              <w:left w:val="single" w:sz="4" w:space="0" w:color="auto"/>
              <w:bottom w:val="single" w:sz="4" w:space="0" w:color="auto"/>
              <w:right w:val="single" w:sz="4" w:space="0" w:color="auto"/>
            </w:tcBorders>
            <w:shd w:val="clear" w:color="auto" w:fill="auto"/>
            <w:vAlign w:val="center"/>
            <w:hideMark/>
          </w:tcPr>
          <w:p w:rsidR="005D6ACF" w:rsidRPr="00B72764" w:rsidRDefault="005D6ACF" w:rsidP="008A253E">
            <w:pPr>
              <w:jc w:val="center"/>
              <w:rPr>
                <w:color w:val="000000"/>
                <w:sz w:val="22"/>
                <w:szCs w:val="22"/>
              </w:rPr>
            </w:pPr>
            <w:r w:rsidRPr="00B72764">
              <w:rPr>
                <w:color w:val="000000"/>
                <w:sz w:val="22"/>
                <w:szCs w:val="22"/>
              </w:rPr>
              <w:t>17</w:t>
            </w:r>
          </w:p>
        </w:tc>
        <w:tc>
          <w:tcPr>
            <w:tcW w:w="2791" w:type="dxa"/>
            <w:vMerge w:val="restart"/>
            <w:tcBorders>
              <w:top w:val="nil"/>
              <w:left w:val="single" w:sz="4" w:space="0" w:color="auto"/>
              <w:bottom w:val="single" w:sz="4" w:space="0" w:color="auto"/>
              <w:right w:val="single" w:sz="4" w:space="0" w:color="auto"/>
            </w:tcBorders>
            <w:shd w:val="clear" w:color="auto" w:fill="auto"/>
            <w:vAlign w:val="center"/>
            <w:hideMark/>
          </w:tcPr>
          <w:p w:rsidR="005D6ACF" w:rsidRPr="00B72764" w:rsidRDefault="005D6ACF" w:rsidP="008A253E">
            <w:pPr>
              <w:rPr>
                <w:color w:val="000000"/>
                <w:sz w:val="22"/>
                <w:szCs w:val="22"/>
              </w:rPr>
            </w:pPr>
            <w:r w:rsidRPr="00B72764">
              <w:rPr>
                <w:color w:val="000000"/>
                <w:sz w:val="22"/>
                <w:szCs w:val="22"/>
              </w:rPr>
              <w:t>АО «Тверьавтотранс»</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5D6ACF" w:rsidRPr="00B72764" w:rsidRDefault="005D6ACF" w:rsidP="008A253E">
            <w:pPr>
              <w:jc w:val="center"/>
              <w:rPr>
                <w:color w:val="000000"/>
                <w:sz w:val="22"/>
                <w:szCs w:val="22"/>
              </w:rPr>
            </w:pPr>
            <w:r w:rsidRPr="00B72764">
              <w:rPr>
                <w:color w:val="000000"/>
                <w:sz w:val="22"/>
                <w:szCs w:val="22"/>
              </w:rPr>
              <w:t>Убыток</w:t>
            </w:r>
          </w:p>
        </w:tc>
        <w:tc>
          <w:tcPr>
            <w:tcW w:w="1025" w:type="dxa"/>
            <w:vMerge w:val="restart"/>
            <w:tcBorders>
              <w:top w:val="nil"/>
              <w:left w:val="single" w:sz="4" w:space="0" w:color="auto"/>
              <w:bottom w:val="single" w:sz="4" w:space="0" w:color="auto"/>
              <w:right w:val="single" w:sz="4" w:space="0" w:color="auto"/>
            </w:tcBorders>
            <w:shd w:val="clear" w:color="auto" w:fill="auto"/>
            <w:vAlign w:val="center"/>
            <w:hideMark/>
          </w:tcPr>
          <w:p w:rsidR="005D6ACF" w:rsidRPr="00B72764" w:rsidRDefault="005D6ACF" w:rsidP="008A253E">
            <w:pPr>
              <w:jc w:val="center"/>
              <w:rPr>
                <w:color w:val="000000"/>
                <w:sz w:val="22"/>
                <w:szCs w:val="22"/>
              </w:rPr>
            </w:pPr>
            <w:r w:rsidRPr="00B72764">
              <w:rPr>
                <w:color w:val="000000"/>
                <w:sz w:val="22"/>
                <w:szCs w:val="22"/>
              </w:rPr>
              <w:t>0</w:t>
            </w:r>
          </w:p>
        </w:tc>
        <w:tc>
          <w:tcPr>
            <w:tcW w:w="124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5D6ACF" w:rsidRPr="00B72764" w:rsidRDefault="005D6ACF" w:rsidP="008A253E">
            <w:pPr>
              <w:jc w:val="center"/>
              <w:rPr>
                <w:color w:val="000000"/>
                <w:sz w:val="22"/>
                <w:szCs w:val="22"/>
              </w:rPr>
            </w:pPr>
            <w:r w:rsidRPr="00B72764">
              <w:rPr>
                <w:color w:val="000000"/>
                <w:sz w:val="22"/>
                <w:szCs w:val="22"/>
              </w:rPr>
              <w:t>Убыток</w:t>
            </w:r>
          </w:p>
        </w:tc>
        <w:tc>
          <w:tcPr>
            <w:tcW w:w="1076" w:type="dxa"/>
            <w:vMerge w:val="restart"/>
            <w:tcBorders>
              <w:top w:val="nil"/>
              <w:left w:val="single" w:sz="4" w:space="0" w:color="auto"/>
              <w:bottom w:val="single" w:sz="4" w:space="0" w:color="auto"/>
              <w:right w:val="single" w:sz="4" w:space="0" w:color="auto"/>
            </w:tcBorders>
            <w:shd w:val="clear" w:color="auto" w:fill="auto"/>
            <w:vAlign w:val="center"/>
            <w:hideMark/>
          </w:tcPr>
          <w:p w:rsidR="005D6ACF" w:rsidRPr="00B72764" w:rsidRDefault="005D6ACF" w:rsidP="008A253E">
            <w:pPr>
              <w:jc w:val="center"/>
              <w:rPr>
                <w:color w:val="000000"/>
                <w:sz w:val="22"/>
                <w:szCs w:val="22"/>
              </w:rPr>
            </w:pPr>
            <w:r w:rsidRPr="00B72764">
              <w:rPr>
                <w:color w:val="000000"/>
                <w:sz w:val="22"/>
                <w:szCs w:val="22"/>
              </w:rPr>
              <w:t>0</w:t>
            </w:r>
          </w:p>
        </w:tc>
        <w:tc>
          <w:tcPr>
            <w:tcW w:w="133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5D6ACF" w:rsidRPr="00B72764" w:rsidRDefault="005D6ACF" w:rsidP="008A253E">
            <w:pPr>
              <w:jc w:val="center"/>
              <w:rPr>
                <w:color w:val="000000"/>
                <w:sz w:val="22"/>
                <w:szCs w:val="22"/>
              </w:rPr>
            </w:pPr>
            <w:r w:rsidRPr="00B72764">
              <w:rPr>
                <w:color w:val="000000"/>
                <w:sz w:val="22"/>
                <w:szCs w:val="22"/>
              </w:rPr>
              <w:t>Убыток</w:t>
            </w:r>
          </w:p>
        </w:tc>
        <w:tc>
          <w:tcPr>
            <w:tcW w:w="1079" w:type="dxa"/>
            <w:vMerge w:val="restart"/>
            <w:tcBorders>
              <w:top w:val="nil"/>
              <w:left w:val="single" w:sz="4" w:space="0" w:color="auto"/>
              <w:bottom w:val="single" w:sz="4" w:space="0" w:color="auto"/>
              <w:right w:val="single" w:sz="4" w:space="0" w:color="auto"/>
            </w:tcBorders>
            <w:shd w:val="clear" w:color="auto" w:fill="auto"/>
            <w:vAlign w:val="center"/>
            <w:hideMark/>
          </w:tcPr>
          <w:p w:rsidR="005D6ACF" w:rsidRPr="00B72764" w:rsidRDefault="005D6ACF" w:rsidP="008A253E">
            <w:pPr>
              <w:jc w:val="center"/>
              <w:rPr>
                <w:color w:val="000000"/>
                <w:sz w:val="22"/>
                <w:szCs w:val="22"/>
              </w:rPr>
            </w:pPr>
            <w:r w:rsidRPr="00B72764">
              <w:rPr>
                <w:color w:val="000000"/>
                <w:sz w:val="22"/>
                <w:szCs w:val="22"/>
              </w:rPr>
              <w:t>0</w:t>
            </w:r>
          </w:p>
        </w:tc>
      </w:tr>
      <w:tr w:rsidR="005D6ACF" w:rsidRPr="00B72764" w:rsidTr="008A253E">
        <w:trPr>
          <w:gridAfter w:val="1"/>
          <w:wAfter w:w="35" w:type="dxa"/>
          <w:trHeight w:val="302"/>
        </w:trPr>
        <w:tc>
          <w:tcPr>
            <w:tcW w:w="465" w:type="dxa"/>
            <w:vMerge/>
            <w:tcBorders>
              <w:top w:val="nil"/>
              <w:left w:val="single" w:sz="4" w:space="0" w:color="auto"/>
              <w:bottom w:val="single" w:sz="4" w:space="0" w:color="auto"/>
              <w:right w:val="single" w:sz="4" w:space="0" w:color="auto"/>
            </w:tcBorders>
            <w:vAlign w:val="center"/>
            <w:hideMark/>
          </w:tcPr>
          <w:p w:rsidR="005D6ACF" w:rsidRPr="00B72764" w:rsidRDefault="005D6ACF" w:rsidP="008A253E">
            <w:pPr>
              <w:rPr>
                <w:color w:val="000000"/>
                <w:sz w:val="22"/>
                <w:szCs w:val="22"/>
              </w:rPr>
            </w:pPr>
          </w:p>
        </w:tc>
        <w:tc>
          <w:tcPr>
            <w:tcW w:w="2791" w:type="dxa"/>
            <w:vMerge/>
            <w:tcBorders>
              <w:top w:val="nil"/>
              <w:left w:val="single" w:sz="4" w:space="0" w:color="auto"/>
              <w:bottom w:val="single" w:sz="4" w:space="0" w:color="auto"/>
              <w:right w:val="single" w:sz="4" w:space="0" w:color="auto"/>
            </w:tcBorders>
            <w:vAlign w:val="center"/>
            <w:hideMark/>
          </w:tcPr>
          <w:p w:rsidR="005D6ACF" w:rsidRPr="00B72764" w:rsidRDefault="005D6ACF" w:rsidP="008A253E">
            <w:pPr>
              <w:rPr>
                <w:color w:val="000000"/>
                <w:sz w:val="22"/>
                <w:szCs w:val="22"/>
              </w:rPr>
            </w:pPr>
          </w:p>
        </w:tc>
        <w:tc>
          <w:tcPr>
            <w:tcW w:w="1275" w:type="dxa"/>
            <w:vMerge/>
            <w:tcBorders>
              <w:top w:val="nil"/>
              <w:left w:val="single" w:sz="4" w:space="0" w:color="auto"/>
              <w:bottom w:val="single" w:sz="4" w:space="0" w:color="auto"/>
              <w:right w:val="single" w:sz="4" w:space="0" w:color="auto"/>
            </w:tcBorders>
            <w:vAlign w:val="center"/>
            <w:hideMark/>
          </w:tcPr>
          <w:p w:rsidR="005D6ACF" w:rsidRPr="00B72764" w:rsidRDefault="005D6ACF" w:rsidP="008A253E">
            <w:pPr>
              <w:rPr>
                <w:color w:val="000000"/>
                <w:sz w:val="22"/>
                <w:szCs w:val="22"/>
              </w:rPr>
            </w:pPr>
          </w:p>
        </w:tc>
        <w:tc>
          <w:tcPr>
            <w:tcW w:w="1025" w:type="dxa"/>
            <w:vMerge/>
            <w:tcBorders>
              <w:top w:val="nil"/>
              <w:left w:val="single" w:sz="4" w:space="0" w:color="auto"/>
              <w:bottom w:val="single" w:sz="4" w:space="0" w:color="auto"/>
              <w:right w:val="single" w:sz="4" w:space="0" w:color="auto"/>
            </w:tcBorders>
            <w:vAlign w:val="center"/>
            <w:hideMark/>
          </w:tcPr>
          <w:p w:rsidR="005D6ACF" w:rsidRPr="00B72764" w:rsidRDefault="005D6ACF" w:rsidP="008A253E">
            <w:pPr>
              <w:rPr>
                <w:color w:val="000000"/>
                <w:sz w:val="22"/>
                <w:szCs w:val="22"/>
              </w:rPr>
            </w:pPr>
          </w:p>
        </w:tc>
        <w:tc>
          <w:tcPr>
            <w:tcW w:w="1243" w:type="dxa"/>
            <w:gridSpan w:val="2"/>
            <w:vMerge/>
            <w:tcBorders>
              <w:top w:val="nil"/>
              <w:left w:val="single" w:sz="4" w:space="0" w:color="auto"/>
              <w:bottom w:val="single" w:sz="4" w:space="0" w:color="auto"/>
              <w:right w:val="single" w:sz="4" w:space="0" w:color="auto"/>
            </w:tcBorders>
            <w:vAlign w:val="center"/>
            <w:hideMark/>
          </w:tcPr>
          <w:p w:rsidR="005D6ACF" w:rsidRPr="00B72764" w:rsidRDefault="005D6ACF" w:rsidP="008A253E">
            <w:pPr>
              <w:rPr>
                <w:color w:val="000000"/>
                <w:sz w:val="22"/>
                <w:szCs w:val="22"/>
              </w:rPr>
            </w:pPr>
          </w:p>
        </w:tc>
        <w:tc>
          <w:tcPr>
            <w:tcW w:w="1076" w:type="dxa"/>
            <w:vMerge/>
            <w:tcBorders>
              <w:top w:val="nil"/>
              <w:left w:val="single" w:sz="4" w:space="0" w:color="auto"/>
              <w:bottom w:val="single" w:sz="4" w:space="0" w:color="auto"/>
              <w:right w:val="single" w:sz="4" w:space="0" w:color="auto"/>
            </w:tcBorders>
            <w:vAlign w:val="center"/>
            <w:hideMark/>
          </w:tcPr>
          <w:p w:rsidR="005D6ACF" w:rsidRPr="00B72764" w:rsidRDefault="005D6ACF" w:rsidP="008A253E">
            <w:pPr>
              <w:rPr>
                <w:color w:val="000000"/>
                <w:sz w:val="22"/>
                <w:szCs w:val="22"/>
              </w:rPr>
            </w:pPr>
          </w:p>
        </w:tc>
        <w:tc>
          <w:tcPr>
            <w:tcW w:w="1334" w:type="dxa"/>
            <w:gridSpan w:val="2"/>
            <w:vMerge/>
            <w:tcBorders>
              <w:top w:val="nil"/>
              <w:left w:val="single" w:sz="4" w:space="0" w:color="auto"/>
              <w:bottom w:val="single" w:sz="4" w:space="0" w:color="auto"/>
              <w:right w:val="single" w:sz="4" w:space="0" w:color="auto"/>
            </w:tcBorders>
            <w:vAlign w:val="center"/>
            <w:hideMark/>
          </w:tcPr>
          <w:p w:rsidR="005D6ACF" w:rsidRPr="00B72764" w:rsidRDefault="005D6ACF" w:rsidP="008A253E">
            <w:pPr>
              <w:rPr>
                <w:color w:val="000000"/>
                <w:sz w:val="22"/>
                <w:szCs w:val="22"/>
              </w:rPr>
            </w:pPr>
          </w:p>
        </w:tc>
        <w:tc>
          <w:tcPr>
            <w:tcW w:w="1079" w:type="dxa"/>
            <w:vMerge/>
            <w:tcBorders>
              <w:top w:val="nil"/>
              <w:left w:val="single" w:sz="4" w:space="0" w:color="auto"/>
              <w:bottom w:val="single" w:sz="4" w:space="0" w:color="auto"/>
              <w:right w:val="single" w:sz="4" w:space="0" w:color="auto"/>
            </w:tcBorders>
            <w:vAlign w:val="center"/>
            <w:hideMark/>
          </w:tcPr>
          <w:p w:rsidR="005D6ACF" w:rsidRPr="00B72764" w:rsidRDefault="005D6ACF" w:rsidP="008A253E">
            <w:pPr>
              <w:rPr>
                <w:color w:val="000000"/>
                <w:sz w:val="22"/>
                <w:szCs w:val="22"/>
              </w:rPr>
            </w:pPr>
          </w:p>
        </w:tc>
      </w:tr>
      <w:tr w:rsidR="005D6ACF" w:rsidRPr="00B72764" w:rsidTr="008A253E">
        <w:trPr>
          <w:gridAfter w:val="1"/>
          <w:wAfter w:w="35" w:type="dxa"/>
          <w:trHeight w:val="589"/>
        </w:trPr>
        <w:tc>
          <w:tcPr>
            <w:tcW w:w="465" w:type="dxa"/>
            <w:vMerge w:val="restart"/>
            <w:tcBorders>
              <w:top w:val="nil"/>
              <w:left w:val="single" w:sz="4" w:space="0" w:color="auto"/>
              <w:bottom w:val="single" w:sz="4" w:space="0" w:color="auto"/>
              <w:right w:val="single" w:sz="4" w:space="0" w:color="auto"/>
            </w:tcBorders>
            <w:shd w:val="clear" w:color="auto" w:fill="auto"/>
            <w:vAlign w:val="center"/>
            <w:hideMark/>
          </w:tcPr>
          <w:p w:rsidR="005D6ACF" w:rsidRPr="00B72764" w:rsidRDefault="005D6ACF" w:rsidP="008A253E">
            <w:pPr>
              <w:jc w:val="center"/>
              <w:rPr>
                <w:color w:val="000000"/>
                <w:sz w:val="22"/>
                <w:szCs w:val="22"/>
              </w:rPr>
            </w:pPr>
            <w:r w:rsidRPr="00B72764">
              <w:rPr>
                <w:color w:val="000000"/>
                <w:sz w:val="22"/>
                <w:szCs w:val="22"/>
              </w:rPr>
              <w:t>18</w:t>
            </w:r>
          </w:p>
        </w:tc>
        <w:tc>
          <w:tcPr>
            <w:tcW w:w="2791" w:type="dxa"/>
            <w:vMerge w:val="restart"/>
            <w:tcBorders>
              <w:top w:val="nil"/>
              <w:left w:val="single" w:sz="4" w:space="0" w:color="auto"/>
              <w:bottom w:val="single" w:sz="4" w:space="0" w:color="auto"/>
              <w:right w:val="single" w:sz="4" w:space="0" w:color="auto"/>
            </w:tcBorders>
            <w:shd w:val="clear" w:color="auto" w:fill="auto"/>
            <w:vAlign w:val="center"/>
            <w:hideMark/>
          </w:tcPr>
          <w:p w:rsidR="005D6ACF" w:rsidRPr="00B72764" w:rsidRDefault="005D6ACF" w:rsidP="008A253E">
            <w:pPr>
              <w:rPr>
                <w:color w:val="000000"/>
                <w:sz w:val="22"/>
                <w:szCs w:val="22"/>
              </w:rPr>
            </w:pPr>
            <w:r w:rsidRPr="00B72764">
              <w:rPr>
                <w:color w:val="000000"/>
                <w:sz w:val="22"/>
                <w:szCs w:val="22"/>
              </w:rPr>
              <w:t>АО «Тверской областной ипподром»</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5D6ACF" w:rsidRPr="00B72764" w:rsidRDefault="005D6ACF" w:rsidP="008A253E">
            <w:pPr>
              <w:jc w:val="center"/>
              <w:rPr>
                <w:color w:val="000000"/>
                <w:sz w:val="22"/>
                <w:szCs w:val="22"/>
              </w:rPr>
            </w:pPr>
            <w:r w:rsidRPr="00B72764">
              <w:rPr>
                <w:color w:val="000000"/>
                <w:sz w:val="22"/>
                <w:szCs w:val="22"/>
              </w:rPr>
              <w:t>Убыток</w:t>
            </w:r>
          </w:p>
        </w:tc>
        <w:tc>
          <w:tcPr>
            <w:tcW w:w="1025" w:type="dxa"/>
            <w:vMerge w:val="restart"/>
            <w:tcBorders>
              <w:top w:val="nil"/>
              <w:left w:val="single" w:sz="4" w:space="0" w:color="auto"/>
              <w:bottom w:val="single" w:sz="4" w:space="0" w:color="auto"/>
              <w:right w:val="single" w:sz="4" w:space="0" w:color="auto"/>
            </w:tcBorders>
            <w:shd w:val="clear" w:color="auto" w:fill="auto"/>
            <w:vAlign w:val="center"/>
            <w:hideMark/>
          </w:tcPr>
          <w:p w:rsidR="005D6ACF" w:rsidRPr="00B72764" w:rsidRDefault="005D6ACF" w:rsidP="008A253E">
            <w:pPr>
              <w:jc w:val="center"/>
              <w:rPr>
                <w:color w:val="000000"/>
                <w:sz w:val="22"/>
                <w:szCs w:val="22"/>
              </w:rPr>
            </w:pPr>
            <w:r w:rsidRPr="00B72764">
              <w:rPr>
                <w:color w:val="000000"/>
                <w:sz w:val="22"/>
                <w:szCs w:val="22"/>
              </w:rPr>
              <w:t>0</w:t>
            </w:r>
          </w:p>
        </w:tc>
        <w:tc>
          <w:tcPr>
            <w:tcW w:w="124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5D6ACF" w:rsidRPr="00B72764" w:rsidRDefault="005D6ACF" w:rsidP="008A253E">
            <w:pPr>
              <w:jc w:val="center"/>
              <w:rPr>
                <w:color w:val="000000"/>
                <w:sz w:val="22"/>
                <w:szCs w:val="22"/>
              </w:rPr>
            </w:pPr>
            <w:r w:rsidRPr="00B72764">
              <w:rPr>
                <w:color w:val="000000"/>
                <w:sz w:val="22"/>
                <w:szCs w:val="22"/>
              </w:rPr>
              <w:t>Убыток</w:t>
            </w:r>
          </w:p>
        </w:tc>
        <w:tc>
          <w:tcPr>
            <w:tcW w:w="1076" w:type="dxa"/>
            <w:vMerge w:val="restart"/>
            <w:tcBorders>
              <w:top w:val="nil"/>
              <w:left w:val="single" w:sz="4" w:space="0" w:color="auto"/>
              <w:bottom w:val="single" w:sz="4" w:space="0" w:color="auto"/>
              <w:right w:val="single" w:sz="4" w:space="0" w:color="auto"/>
            </w:tcBorders>
            <w:shd w:val="clear" w:color="auto" w:fill="auto"/>
            <w:vAlign w:val="center"/>
            <w:hideMark/>
          </w:tcPr>
          <w:p w:rsidR="005D6ACF" w:rsidRPr="00B72764" w:rsidRDefault="005D6ACF" w:rsidP="008A253E">
            <w:pPr>
              <w:jc w:val="center"/>
              <w:rPr>
                <w:color w:val="000000"/>
                <w:sz w:val="22"/>
                <w:szCs w:val="22"/>
              </w:rPr>
            </w:pPr>
            <w:r w:rsidRPr="00B72764">
              <w:rPr>
                <w:color w:val="000000"/>
                <w:sz w:val="22"/>
                <w:szCs w:val="22"/>
              </w:rPr>
              <w:t>0</w:t>
            </w:r>
          </w:p>
        </w:tc>
        <w:tc>
          <w:tcPr>
            <w:tcW w:w="133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5D6ACF" w:rsidRPr="00B72764" w:rsidRDefault="005D6ACF" w:rsidP="008A253E">
            <w:pPr>
              <w:jc w:val="center"/>
              <w:rPr>
                <w:color w:val="000000"/>
                <w:sz w:val="22"/>
                <w:szCs w:val="22"/>
              </w:rPr>
            </w:pPr>
            <w:r w:rsidRPr="00B72764">
              <w:rPr>
                <w:color w:val="000000"/>
                <w:sz w:val="22"/>
                <w:szCs w:val="22"/>
              </w:rPr>
              <w:t>Убыток</w:t>
            </w:r>
          </w:p>
        </w:tc>
        <w:tc>
          <w:tcPr>
            <w:tcW w:w="1079" w:type="dxa"/>
            <w:vMerge w:val="restart"/>
            <w:tcBorders>
              <w:top w:val="nil"/>
              <w:left w:val="single" w:sz="4" w:space="0" w:color="auto"/>
              <w:bottom w:val="single" w:sz="4" w:space="0" w:color="auto"/>
              <w:right w:val="single" w:sz="4" w:space="0" w:color="auto"/>
            </w:tcBorders>
            <w:shd w:val="clear" w:color="auto" w:fill="auto"/>
            <w:vAlign w:val="center"/>
            <w:hideMark/>
          </w:tcPr>
          <w:p w:rsidR="005D6ACF" w:rsidRPr="00B72764" w:rsidRDefault="005D6ACF" w:rsidP="008A253E">
            <w:pPr>
              <w:jc w:val="center"/>
              <w:rPr>
                <w:color w:val="000000"/>
                <w:sz w:val="22"/>
                <w:szCs w:val="22"/>
              </w:rPr>
            </w:pPr>
            <w:r w:rsidRPr="00B72764">
              <w:rPr>
                <w:color w:val="000000"/>
                <w:sz w:val="22"/>
                <w:szCs w:val="22"/>
              </w:rPr>
              <w:t>0</w:t>
            </w:r>
          </w:p>
        </w:tc>
      </w:tr>
      <w:tr w:rsidR="005D6ACF" w:rsidRPr="00B72764" w:rsidTr="008A253E">
        <w:trPr>
          <w:gridAfter w:val="1"/>
          <w:wAfter w:w="35" w:type="dxa"/>
          <w:trHeight w:val="302"/>
        </w:trPr>
        <w:tc>
          <w:tcPr>
            <w:tcW w:w="465" w:type="dxa"/>
            <w:vMerge/>
            <w:tcBorders>
              <w:top w:val="nil"/>
              <w:left w:val="single" w:sz="4" w:space="0" w:color="auto"/>
              <w:bottom w:val="single" w:sz="4" w:space="0" w:color="auto"/>
              <w:right w:val="single" w:sz="4" w:space="0" w:color="auto"/>
            </w:tcBorders>
            <w:vAlign w:val="center"/>
            <w:hideMark/>
          </w:tcPr>
          <w:p w:rsidR="005D6ACF" w:rsidRPr="00B72764" w:rsidRDefault="005D6ACF" w:rsidP="008A253E">
            <w:pPr>
              <w:rPr>
                <w:color w:val="000000"/>
                <w:sz w:val="22"/>
                <w:szCs w:val="22"/>
              </w:rPr>
            </w:pPr>
          </w:p>
        </w:tc>
        <w:tc>
          <w:tcPr>
            <w:tcW w:w="2791" w:type="dxa"/>
            <w:vMerge/>
            <w:tcBorders>
              <w:top w:val="nil"/>
              <w:left w:val="single" w:sz="4" w:space="0" w:color="auto"/>
              <w:bottom w:val="single" w:sz="4" w:space="0" w:color="auto"/>
              <w:right w:val="single" w:sz="4" w:space="0" w:color="auto"/>
            </w:tcBorders>
            <w:vAlign w:val="center"/>
            <w:hideMark/>
          </w:tcPr>
          <w:p w:rsidR="005D6ACF" w:rsidRPr="00B72764" w:rsidRDefault="005D6ACF" w:rsidP="008A253E">
            <w:pPr>
              <w:rPr>
                <w:color w:val="000000"/>
                <w:sz w:val="22"/>
                <w:szCs w:val="22"/>
              </w:rPr>
            </w:pPr>
          </w:p>
        </w:tc>
        <w:tc>
          <w:tcPr>
            <w:tcW w:w="1275" w:type="dxa"/>
            <w:vMerge/>
            <w:tcBorders>
              <w:top w:val="nil"/>
              <w:left w:val="single" w:sz="4" w:space="0" w:color="auto"/>
              <w:bottom w:val="single" w:sz="4" w:space="0" w:color="auto"/>
              <w:right w:val="single" w:sz="4" w:space="0" w:color="auto"/>
            </w:tcBorders>
            <w:vAlign w:val="center"/>
            <w:hideMark/>
          </w:tcPr>
          <w:p w:rsidR="005D6ACF" w:rsidRPr="00B72764" w:rsidRDefault="005D6ACF" w:rsidP="008A253E">
            <w:pPr>
              <w:rPr>
                <w:color w:val="000000"/>
                <w:sz w:val="22"/>
                <w:szCs w:val="22"/>
              </w:rPr>
            </w:pPr>
          </w:p>
        </w:tc>
        <w:tc>
          <w:tcPr>
            <w:tcW w:w="1025" w:type="dxa"/>
            <w:vMerge/>
            <w:tcBorders>
              <w:top w:val="nil"/>
              <w:left w:val="single" w:sz="4" w:space="0" w:color="auto"/>
              <w:bottom w:val="single" w:sz="4" w:space="0" w:color="auto"/>
              <w:right w:val="single" w:sz="4" w:space="0" w:color="auto"/>
            </w:tcBorders>
            <w:vAlign w:val="center"/>
            <w:hideMark/>
          </w:tcPr>
          <w:p w:rsidR="005D6ACF" w:rsidRPr="00B72764" w:rsidRDefault="005D6ACF" w:rsidP="008A253E">
            <w:pPr>
              <w:rPr>
                <w:color w:val="000000"/>
                <w:sz w:val="22"/>
                <w:szCs w:val="22"/>
              </w:rPr>
            </w:pPr>
          </w:p>
        </w:tc>
        <w:tc>
          <w:tcPr>
            <w:tcW w:w="1243" w:type="dxa"/>
            <w:gridSpan w:val="2"/>
            <w:vMerge/>
            <w:tcBorders>
              <w:top w:val="nil"/>
              <w:left w:val="single" w:sz="4" w:space="0" w:color="auto"/>
              <w:bottom w:val="single" w:sz="4" w:space="0" w:color="auto"/>
              <w:right w:val="single" w:sz="4" w:space="0" w:color="auto"/>
            </w:tcBorders>
            <w:vAlign w:val="center"/>
            <w:hideMark/>
          </w:tcPr>
          <w:p w:rsidR="005D6ACF" w:rsidRPr="00B72764" w:rsidRDefault="005D6ACF" w:rsidP="008A253E">
            <w:pPr>
              <w:rPr>
                <w:color w:val="000000"/>
                <w:sz w:val="22"/>
                <w:szCs w:val="22"/>
              </w:rPr>
            </w:pPr>
          </w:p>
        </w:tc>
        <w:tc>
          <w:tcPr>
            <w:tcW w:w="1076" w:type="dxa"/>
            <w:vMerge/>
            <w:tcBorders>
              <w:top w:val="nil"/>
              <w:left w:val="single" w:sz="4" w:space="0" w:color="auto"/>
              <w:bottom w:val="single" w:sz="4" w:space="0" w:color="auto"/>
              <w:right w:val="single" w:sz="4" w:space="0" w:color="auto"/>
            </w:tcBorders>
            <w:vAlign w:val="center"/>
            <w:hideMark/>
          </w:tcPr>
          <w:p w:rsidR="005D6ACF" w:rsidRPr="00B72764" w:rsidRDefault="005D6ACF" w:rsidP="008A253E">
            <w:pPr>
              <w:rPr>
                <w:color w:val="000000"/>
                <w:sz w:val="22"/>
                <w:szCs w:val="22"/>
              </w:rPr>
            </w:pPr>
          </w:p>
        </w:tc>
        <w:tc>
          <w:tcPr>
            <w:tcW w:w="1334" w:type="dxa"/>
            <w:gridSpan w:val="2"/>
            <w:vMerge/>
            <w:tcBorders>
              <w:top w:val="nil"/>
              <w:left w:val="single" w:sz="4" w:space="0" w:color="auto"/>
              <w:bottom w:val="single" w:sz="4" w:space="0" w:color="auto"/>
              <w:right w:val="single" w:sz="4" w:space="0" w:color="auto"/>
            </w:tcBorders>
            <w:vAlign w:val="center"/>
            <w:hideMark/>
          </w:tcPr>
          <w:p w:rsidR="005D6ACF" w:rsidRPr="00B72764" w:rsidRDefault="005D6ACF" w:rsidP="008A253E">
            <w:pPr>
              <w:rPr>
                <w:color w:val="000000"/>
                <w:sz w:val="22"/>
                <w:szCs w:val="22"/>
              </w:rPr>
            </w:pPr>
          </w:p>
        </w:tc>
        <w:tc>
          <w:tcPr>
            <w:tcW w:w="1079" w:type="dxa"/>
            <w:vMerge/>
            <w:tcBorders>
              <w:top w:val="nil"/>
              <w:left w:val="single" w:sz="4" w:space="0" w:color="auto"/>
              <w:bottom w:val="single" w:sz="4" w:space="0" w:color="auto"/>
              <w:right w:val="single" w:sz="4" w:space="0" w:color="auto"/>
            </w:tcBorders>
            <w:vAlign w:val="center"/>
            <w:hideMark/>
          </w:tcPr>
          <w:p w:rsidR="005D6ACF" w:rsidRPr="00B72764" w:rsidRDefault="005D6ACF" w:rsidP="008A253E">
            <w:pPr>
              <w:rPr>
                <w:color w:val="000000"/>
                <w:sz w:val="22"/>
                <w:szCs w:val="22"/>
              </w:rPr>
            </w:pPr>
          </w:p>
        </w:tc>
      </w:tr>
      <w:tr w:rsidR="005D6ACF" w:rsidRPr="00B72764" w:rsidTr="008A253E">
        <w:trPr>
          <w:gridAfter w:val="1"/>
          <w:wAfter w:w="35" w:type="dxa"/>
          <w:trHeight w:val="1043"/>
        </w:trPr>
        <w:tc>
          <w:tcPr>
            <w:tcW w:w="465" w:type="dxa"/>
            <w:vMerge w:val="restart"/>
            <w:tcBorders>
              <w:top w:val="nil"/>
              <w:left w:val="single" w:sz="4" w:space="0" w:color="auto"/>
              <w:bottom w:val="single" w:sz="4" w:space="0" w:color="auto"/>
              <w:right w:val="single" w:sz="4" w:space="0" w:color="auto"/>
            </w:tcBorders>
            <w:shd w:val="clear" w:color="auto" w:fill="auto"/>
            <w:vAlign w:val="center"/>
            <w:hideMark/>
          </w:tcPr>
          <w:p w:rsidR="005D6ACF" w:rsidRPr="00B72764" w:rsidRDefault="005D6ACF" w:rsidP="008A253E">
            <w:pPr>
              <w:jc w:val="center"/>
              <w:rPr>
                <w:color w:val="000000"/>
                <w:sz w:val="22"/>
                <w:szCs w:val="22"/>
              </w:rPr>
            </w:pPr>
            <w:r w:rsidRPr="00B72764">
              <w:rPr>
                <w:color w:val="000000"/>
                <w:sz w:val="22"/>
                <w:szCs w:val="22"/>
              </w:rPr>
              <w:t>19</w:t>
            </w:r>
          </w:p>
        </w:tc>
        <w:tc>
          <w:tcPr>
            <w:tcW w:w="2791" w:type="dxa"/>
            <w:vMerge w:val="restart"/>
            <w:tcBorders>
              <w:top w:val="nil"/>
              <w:left w:val="single" w:sz="4" w:space="0" w:color="auto"/>
              <w:bottom w:val="single" w:sz="4" w:space="0" w:color="auto"/>
              <w:right w:val="single" w:sz="4" w:space="0" w:color="auto"/>
            </w:tcBorders>
            <w:shd w:val="clear" w:color="auto" w:fill="auto"/>
            <w:vAlign w:val="center"/>
            <w:hideMark/>
          </w:tcPr>
          <w:p w:rsidR="005D6ACF" w:rsidRPr="00B72764" w:rsidRDefault="005D6ACF" w:rsidP="008A253E">
            <w:pPr>
              <w:rPr>
                <w:color w:val="000000"/>
                <w:sz w:val="22"/>
                <w:szCs w:val="22"/>
              </w:rPr>
            </w:pPr>
            <w:r w:rsidRPr="00B72764">
              <w:rPr>
                <w:color w:val="000000"/>
                <w:sz w:val="22"/>
                <w:szCs w:val="22"/>
              </w:rPr>
              <w:t>ООО «Единый расчетный-кассовый центр»</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5D6ACF" w:rsidRPr="00B72764" w:rsidRDefault="005D6ACF" w:rsidP="008A253E">
            <w:pPr>
              <w:jc w:val="center"/>
              <w:rPr>
                <w:color w:val="000000"/>
                <w:sz w:val="22"/>
                <w:szCs w:val="22"/>
              </w:rPr>
            </w:pPr>
            <w:r w:rsidRPr="00B72764">
              <w:rPr>
                <w:color w:val="000000"/>
                <w:sz w:val="22"/>
                <w:szCs w:val="22"/>
              </w:rPr>
              <w:t>Стоимость чистых активов меньше уставного капитала</w:t>
            </w:r>
          </w:p>
        </w:tc>
        <w:tc>
          <w:tcPr>
            <w:tcW w:w="1025" w:type="dxa"/>
            <w:vMerge w:val="restart"/>
            <w:tcBorders>
              <w:top w:val="nil"/>
              <w:left w:val="single" w:sz="4" w:space="0" w:color="auto"/>
              <w:bottom w:val="single" w:sz="4" w:space="0" w:color="auto"/>
              <w:right w:val="single" w:sz="4" w:space="0" w:color="auto"/>
            </w:tcBorders>
            <w:shd w:val="clear" w:color="auto" w:fill="auto"/>
            <w:vAlign w:val="center"/>
            <w:hideMark/>
          </w:tcPr>
          <w:p w:rsidR="005D6ACF" w:rsidRPr="00B72764" w:rsidRDefault="005D6ACF" w:rsidP="008A253E">
            <w:pPr>
              <w:jc w:val="center"/>
              <w:rPr>
                <w:color w:val="000000"/>
                <w:sz w:val="22"/>
                <w:szCs w:val="22"/>
              </w:rPr>
            </w:pPr>
            <w:r w:rsidRPr="00B72764">
              <w:rPr>
                <w:color w:val="000000"/>
                <w:sz w:val="22"/>
                <w:szCs w:val="22"/>
              </w:rPr>
              <w:t>0</w:t>
            </w:r>
          </w:p>
        </w:tc>
        <w:tc>
          <w:tcPr>
            <w:tcW w:w="124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5D6ACF" w:rsidRPr="00B72764" w:rsidRDefault="005D6ACF" w:rsidP="008A253E">
            <w:pPr>
              <w:jc w:val="center"/>
              <w:rPr>
                <w:color w:val="000000"/>
                <w:sz w:val="22"/>
                <w:szCs w:val="22"/>
              </w:rPr>
            </w:pPr>
            <w:r w:rsidRPr="00B72764">
              <w:rPr>
                <w:color w:val="000000"/>
                <w:sz w:val="22"/>
                <w:szCs w:val="22"/>
              </w:rPr>
              <w:t>Стоимость чистых активов меньше уставного капитала</w:t>
            </w:r>
          </w:p>
        </w:tc>
        <w:tc>
          <w:tcPr>
            <w:tcW w:w="1076" w:type="dxa"/>
            <w:vMerge w:val="restart"/>
            <w:tcBorders>
              <w:top w:val="nil"/>
              <w:left w:val="single" w:sz="4" w:space="0" w:color="auto"/>
              <w:bottom w:val="single" w:sz="4" w:space="0" w:color="auto"/>
              <w:right w:val="single" w:sz="4" w:space="0" w:color="auto"/>
            </w:tcBorders>
            <w:shd w:val="clear" w:color="auto" w:fill="auto"/>
            <w:vAlign w:val="center"/>
            <w:hideMark/>
          </w:tcPr>
          <w:p w:rsidR="005D6ACF" w:rsidRPr="00B72764" w:rsidRDefault="005D6ACF" w:rsidP="008A253E">
            <w:pPr>
              <w:jc w:val="center"/>
              <w:rPr>
                <w:color w:val="000000"/>
                <w:sz w:val="22"/>
                <w:szCs w:val="22"/>
              </w:rPr>
            </w:pPr>
            <w:r w:rsidRPr="00B72764">
              <w:rPr>
                <w:color w:val="000000"/>
                <w:sz w:val="22"/>
                <w:szCs w:val="22"/>
              </w:rPr>
              <w:t>0</w:t>
            </w:r>
          </w:p>
        </w:tc>
        <w:tc>
          <w:tcPr>
            <w:tcW w:w="133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5D6ACF" w:rsidRPr="00B72764" w:rsidRDefault="005D6ACF" w:rsidP="008A253E">
            <w:pPr>
              <w:jc w:val="center"/>
              <w:rPr>
                <w:color w:val="000000"/>
                <w:sz w:val="22"/>
                <w:szCs w:val="22"/>
              </w:rPr>
            </w:pPr>
            <w:r w:rsidRPr="00B72764">
              <w:rPr>
                <w:color w:val="000000"/>
                <w:sz w:val="22"/>
                <w:szCs w:val="22"/>
              </w:rPr>
              <w:t>Стоимость чистых активов меньше уставного капитала</w:t>
            </w:r>
          </w:p>
        </w:tc>
        <w:tc>
          <w:tcPr>
            <w:tcW w:w="1079" w:type="dxa"/>
            <w:vMerge w:val="restart"/>
            <w:tcBorders>
              <w:top w:val="nil"/>
              <w:left w:val="single" w:sz="4" w:space="0" w:color="auto"/>
              <w:bottom w:val="single" w:sz="4" w:space="0" w:color="auto"/>
              <w:right w:val="single" w:sz="4" w:space="0" w:color="auto"/>
            </w:tcBorders>
            <w:shd w:val="clear" w:color="auto" w:fill="auto"/>
            <w:vAlign w:val="center"/>
            <w:hideMark/>
          </w:tcPr>
          <w:p w:rsidR="005D6ACF" w:rsidRPr="00B72764" w:rsidRDefault="005D6ACF" w:rsidP="008A253E">
            <w:pPr>
              <w:jc w:val="center"/>
              <w:rPr>
                <w:color w:val="000000"/>
                <w:sz w:val="22"/>
                <w:szCs w:val="22"/>
              </w:rPr>
            </w:pPr>
            <w:r w:rsidRPr="00B72764">
              <w:rPr>
                <w:color w:val="000000"/>
                <w:sz w:val="22"/>
                <w:szCs w:val="22"/>
              </w:rPr>
              <w:t>0</w:t>
            </w:r>
          </w:p>
        </w:tc>
      </w:tr>
      <w:tr w:rsidR="005D6ACF" w:rsidRPr="00B72764" w:rsidTr="008A253E">
        <w:trPr>
          <w:gridAfter w:val="1"/>
          <w:wAfter w:w="35" w:type="dxa"/>
          <w:trHeight w:val="302"/>
        </w:trPr>
        <w:tc>
          <w:tcPr>
            <w:tcW w:w="465" w:type="dxa"/>
            <w:vMerge/>
            <w:tcBorders>
              <w:top w:val="nil"/>
              <w:left w:val="single" w:sz="4" w:space="0" w:color="auto"/>
              <w:bottom w:val="single" w:sz="4" w:space="0" w:color="auto"/>
              <w:right w:val="single" w:sz="4" w:space="0" w:color="auto"/>
            </w:tcBorders>
            <w:vAlign w:val="center"/>
            <w:hideMark/>
          </w:tcPr>
          <w:p w:rsidR="005D6ACF" w:rsidRPr="00B72764" w:rsidRDefault="005D6ACF" w:rsidP="008A253E">
            <w:pPr>
              <w:rPr>
                <w:color w:val="000000"/>
                <w:sz w:val="22"/>
                <w:szCs w:val="22"/>
              </w:rPr>
            </w:pPr>
          </w:p>
        </w:tc>
        <w:tc>
          <w:tcPr>
            <w:tcW w:w="2791" w:type="dxa"/>
            <w:vMerge/>
            <w:tcBorders>
              <w:top w:val="nil"/>
              <w:left w:val="single" w:sz="4" w:space="0" w:color="auto"/>
              <w:bottom w:val="single" w:sz="4" w:space="0" w:color="auto"/>
              <w:right w:val="single" w:sz="4" w:space="0" w:color="auto"/>
            </w:tcBorders>
            <w:vAlign w:val="center"/>
            <w:hideMark/>
          </w:tcPr>
          <w:p w:rsidR="005D6ACF" w:rsidRPr="00B72764" w:rsidRDefault="005D6ACF" w:rsidP="008A253E">
            <w:pPr>
              <w:rPr>
                <w:color w:val="000000"/>
                <w:sz w:val="22"/>
                <w:szCs w:val="22"/>
              </w:rPr>
            </w:pPr>
          </w:p>
        </w:tc>
        <w:tc>
          <w:tcPr>
            <w:tcW w:w="1275" w:type="dxa"/>
            <w:vMerge/>
            <w:tcBorders>
              <w:top w:val="nil"/>
              <w:left w:val="single" w:sz="4" w:space="0" w:color="auto"/>
              <w:bottom w:val="single" w:sz="4" w:space="0" w:color="auto"/>
              <w:right w:val="single" w:sz="4" w:space="0" w:color="auto"/>
            </w:tcBorders>
            <w:vAlign w:val="center"/>
            <w:hideMark/>
          </w:tcPr>
          <w:p w:rsidR="005D6ACF" w:rsidRPr="00B72764" w:rsidRDefault="005D6ACF" w:rsidP="008A253E">
            <w:pPr>
              <w:rPr>
                <w:color w:val="000000"/>
                <w:sz w:val="22"/>
                <w:szCs w:val="22"/>
              </w:rPr>
            </w:pPr>
          </w:p>
        </w:tc>
        <w:tc>
          <w:tcPr>
            <w:tcW w:w="1025" w:type="dxa"/>
            <w:vMerge/>
            <w:tcBorders>
              <w:top w:val="nil"/>
              <w:left w:val="single" w:sz="4" w:space="0" w:color="auto"/>
              <w:bottom w:val="single" w:sz="4" w:space="0" w:color="auto"/>
              <w:right w:val="single" w:sz="4" w:space="0" w:color="auto"/>
            </w:tcBorders>
            <w:vAlign w:val="center"/>
            <w:hideMark/>
          </w:tcPr>
          <w:p w:rsidR="005D6ACF" w:rsidRPr="00B72764" w:rsidRDefault="005D6ACF" w:rsidP="008A253E">
            <w:pPr>
              <w:rPr>
                <w:color w:val="000000"/>
                <w:sz w:val="22"/>
                <w:szCs w:val="22"/>
              </w:rPr>
            </w:pPr>
          </w:p>
        </w:tc>
        <w:tc>
          <w:tcPr>
            <w:tcW w:w="1243" w:type="dxa"/>
            <w:gridSpan w:val="2"/>
            <w:vMerge/>
            <w:tcBorders>
              <w:top w:val="nil"/>
              <w:left w:val="single" w:sz="4" w:space="0" w:color="auto"/>
              <w:bottom w:val="single" w:sz="4" w:space="0" w:color="auto"/>
              <w:right w:val="single" w:sz="4" w:space="0" w:color="auto"/>
            </w:tcBorders>
            <w:vAlign w:val="center"/>
            <w:hideMark/>
          </w:tcPr>
          <w:p w:rsidR="005D6ACF" w:rsidRPr="00B72764" w:rsidRDefault="005D6ACF" w:rsidP="008A253E">
            <w:pPr>
              <w:rPr>
                <w:color w:val="000000"/>
                <w:sz w:val="22"/>
                <w:szCs w:val="22"/>
              </w:rPr>
            </w:pPr>
          </w:p>
        </w:tc>
        <w:tc>
          <w:tcPr>
            <w:tcW w:w="1076" w:type="dxa"/>
            <w:vMerge/>
            <w:tcBorders>
              <w:top w:val="nil"/>
              <w:left w:val="single" w:sz="4" w:space="0" w:color="auto"/>
              <w:bottom w:val="single" w:sz="4" w:space="0" w:color="auto"/>
              <w:right w:val="single" w:sz="4" w:space="0" w:color="auto"/>
            </w:tcBorders>
            <w:vAlign w:val="center"/>
            <w:hideMark/>
          </w:tcPr>
          <w:p w:rsidR="005D6ACF" w:rsidRPr="00B72764" w:rsidRDefault="005D6ACF" w:rsidP="008A253E">
            <w:pPr>
              <w:rPr>
                <w:color w:val="000000"/>
                <w:sz w:val="22"/>
                <w:szCs w:val="22"/>
              </w:rPr>
            </w:pPr>
          </w:p>
        </w:tc>
        <w:tc>
          <w:tcPr>
            <w:tcW w:w="1334" w:type="dxa"/>
            <w:gridSpan w:val="2"/>
            <w:vMerge/>
            <w:tcBorders>
              <w:top w:val="nil"/>
              <w:left w:val="single" w:sz="4" w:space="0" w:color="auto"/>
              <w:bottom w:val="single" w:sz="4" w:space="0" w:color="auto"/>
              <w:right w:val="single" w:sz="4" w:space="0" w:color="auto"/>
            </w:tcBorders>
            <w:vAlign w:val="center"/>
            <w:hideMark/>
          </w:tcPr>
          <w:p w:rsidR="005D6ACF" w:rsidRPr="00B72764" w:rsidRDefault="005D6ACF" w:rsidP="008A253E">
            <w:pPr>
              <w:rPr>
                <w:color w:val="000000"/>
                <w:sz w:val="22"/>
                <w:szCs w:val="22"/>
              </w:rPr>
            </w:pPr>
          </w:p>
        </w:tc>
        <w:tc>
          <w:tcPr>
            <w:tcW w:w="1079" w:type="dxa"/>
            <w:vMerge/>
            <w:tcBorders>
              <w:top w:val="nil"/>
              <w:left w:val="single" w:sz="4" w:space="0" w:color="auto"/>
              <w:bottom w:val="single" w:sz="4" w:space="0" w:color="auto"/>
              <w:right w:val="single" w:sz="4" w:space="0" w:color="auto"/>
            </w:tcBorders>
            <w:vAlign w:val="center"/>
            <w:hideMark/>
          </w:tcPr>
          <w:p w:rsidR="005D6ACF" w:rsidRPr="00B72764" w:rsidRDefault="005D6ACF" w:rsidP="008A253E">
            <w:pPr>
              <w:rPr>
                <w:color w:val="000000"/>
                <w:sz w:val="22"/>
                <w:szCs w:val="22"/>
              </w:rPr>
            </w:pPr>
          </w:p>
        </w:tc>
      </w:tr>
      <w:tr w:rsidR="005D6ACF" w:rsidRPr="00B72764" w:rsidTr="008A253E">
        <w:trPr>
          <w:gridAfter w:val="1"/>
          <w:wAfter w:w="35" w:type="dxa"/>
          <w:trHeight w:val="302"/>
        </w:trPr>
        <w:tc>
          <w:tcPr>
            <w:tcW w:w="465" w:type="dxa"/>
            <w:vMerge w:val="restart"/>
            <w:tcBorders>
              <w:top w:val="nil"/>
              <w:left w:val="single" w:sz="4" w:space="0" w:color="auto"/>
              <w:bottom w:val="single" w:sz="4" w:space="0" w:color="auto"/>
              <w:right w:val="single" w:sz="4" w:space="0" w:color="auto"/>
            </w:tcBorders>
            <w:shd w:val="clear" w:color="auto" w:fill="auto"/>
            <w:vAlign w:val="center"/>
            <w:hideMark/>
          </w:tcPr>
          <w:p w:rsidR="005D6ACF" w:rsidRPr="00B72764" w:rsidRDefault="005D6ACF" w:rsidP="008A253E">
            <w:pPr>
              <w:jc w:val="center"/>
              <w:rPr>
                <w:color w:val="000000"/>
                <w:sz w:val="22"/>
                <w:szCs w:val="22"/>
              </w:rPr>
            </w:pPr>
            <w:r w:rsidRPr="00B72764">
              <w:rPr>
                <w:color w:val="000000"/>
                <w:sz w:val="22"/>
                <w:szCs w:val="22"/>
              </w:rPr>
              <w:t>20</w:t>
            </w:r>
          </w:p>
        </w:tc>
        <w:tc>
          <w:tcPr>
            <w:tcW w:w="2791" w:type="dxa"/>
            <w:vMerge w:val="restart"/>
            <w:tcBorders>
              <w:top w:val="nil"/>
              <w:left w:val="single" w:sz="4" w:space="0" w:color="auto"/>
              <w:bottom w:val="single" w:sz="4" w:space="0" w:color="auto"/>
              <w:right w:val="single" w:sz="4" w:space="0" w:color="auto"/>
            </w:tcBorders>
            <w:shd w:val="clear" w:color="auto" w:fill="auto"/>
            <w:vAlign w:val="center"/>
            <w:hideMark/>
          </w:tcPr>
          <w:p w:rsidR="005D6ACF" w:rsidRPr="00B72764" w:rsidRDefault="005D6ACF" w:rsidP="008A253E">
            <w:pPr>
              <w:rPr>
                <w:color w:val="000000"/>
                <w:sz w:val="22"/>
                <w:szCs w:val="22"/>
              </w:rPr>
            </w:pPr>
            <w:r w:rsidRPr="00B72764">
              <w:rPr>
                <w:color w:val="000000"/>
                <w:sz w:val="22"/>
                <w:szCs w:val="22"/>
              </w:rPr>
              <w:t>ООО «Полигон»</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5D6ACF" w:rsidRPr="00B72764" w:rsidRDefault="005D6ACF" w:rsidP="008A253E">
            <w:pPr>
              <w:jc w:val="center"/>
              <w:rPr>
                <w:color w:val="000000"/>
                <w:sz w:val="22"/>
                <w:szCs w:val="22"/>
              </w:rPr>
            </w:pPr>
            <w:r w:rsidRPr="00B72764">
              <w:rPr>
                <w:color w:val="000000"/>
                <w:sz w:val="22"/>
                <w:szCs w:val="22"/>
              </w:rPr>
              <w:t>Убыток</w:t>
            </w:r>
          </w:p>
        </w:tc>
        <w:tc>
          <w:tcPr>
            <w:tcW w:w="1025" w:type="dxa"/>
            <w:vMerge w:val="restart"/>
            <w:tcBorders>
              <w:top w:val="nil"/>
              <w:left w:val="single" w:sz="4" w:space="0" w:color="auto"/>
              <w:bottom w:val="single" w:sz="4" w:space="0" w:color="auto"/>
              <w:right w:val="single" w:sz="4" w:space="0" w:color="auto"/>
            </w:tcBorders>
            <w:shd w:val="clear" w:color="auto" w:fill="auto"/>
            <w:vAlign w:val="center"/>
            <w:hideMark/>
          </w:tcPr>
          <w:p w:rsidR="005D6ACF" w:rsidRPr="00B72764" w:rsidRDefault="005D6ACF" w:rsidP="008A253E">
            <w:pPr>
              <w:jc w:val="center"/>
              <w:rPr>
                <w:color w:val="000000"/>
                <w:sz w:val="22"/>
                <w:szCs w:val="22"/>
              </w:rPr>
            </w:pPr>
            <w:r w:rsidRPr="00B72764">
              <w:rPr>
                <w:color w:val="000000"/>
                <w:sz w:val="22"/>
                <w:szCs w:val="22"/>
              </w:rPr>
              <w:t>0</w:t>
            </w:r>
          </w:p>
        </w:tc>
        <w:tc>
          <w:tcPr>
            <w:tcW w:w="124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5D6ACF" w:rsidRPr="00B72764" w:rsidRDefault="005D6ACF" w:rsidP="008A253E">
            <w:pPr>
              <w:jc w:val="center"/>
              <w:rPr>
                <w:color w:val="000000"/>
                <w:sz w:val="22"/>
                <w:szCs w:val="22"/>
              </w:rPr>
            </w:pPr>
            <w:r w:rsidRPr="00B72764">
              <w:rPr>
                <w:color w:val="000000"/>
                <w:sz w:val="22"/>
                <w:szCs w:val="22"/>
              </w:rPr>
              <w:t>Убыток</w:t>
            </w:r>
          </w:p>
        </w:tc>
        <w:tc>
          <w:tcPr>
            <w:tcW w:w="1076" w:type="dxa"/>
            <w:vMerge w:val="restart"/>
            <w:tcBorders>
              <w:top w:val="nil"/>
              <w:left w:val="single" w:sz="4" w:space="0" w:color="auto"/>
              <w:bottom w:val="single" w:sz="4" w:space="0" w:color="auto"/>
              <w:right w:val="single" w:sz="4" w:space="0" w:color="auto"/>
            </w:tcBorders>
            <w:shd w:val="clear" w:color="auto" w:fill="auto"/>
            <w:vAlign w:val="center"/>
            <w:hideMark/>
          </w:tcPr>
          <w:p w:rsidR="005D6ACF" w:rsidRPr="00B72764" w:rsidRDefault="005D6ACF" w:rsidP="008A253E">
            <w:pPr>
              <w:jc w:val="center"/>
              <w:rPr>
                <w:color w:val="000000"/>
                <w:sz w:val="22"/>
                <w:szCs w:val="22"/>
              </w:rPr>
            </w:pPr>
            <w:r w:rsidRPr="00B72764">
              <w:rPr>
                <w:color w:val="000000"/>
                <w:sz w:val="22"/>
                <w:szCs w:val="22"/>
              </w:rPr>
              <w:t>0</w:t>
            </w:r>
          </w:p>
        </w:tc>
        <w:tc>
          <w:tcPr>
            <w:tcW w:w="133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5D6ACF" w:rsidRPr="00B72764" w:rsidRDefault="005D6ACF" w:rsidP="008A253E">
            <w:pPr>
              <w:jc w:val="center"/>
              <w:rPr>
                <w:color w:val="000000"/>
                <w:sz w:val="22"/>
                <w:szCs w:val="22"/>
              </w:rPr>
            </w:pPr>
            <w:r w:rsidRPr="00B72764">
              <w:rPr>
                <w:color w:val="000000"/>
                <w:sz w:val="22"/>
                <w:szCs w:val="22"/>
              </w:rPr>
              <w:t>Убыток</w:t>
            </w:r>
          </w:p>
        </w:tc>
        <w:tc>
          <w:tcPr>
            <w:tcW w:w="1079" w:type="dxa"/>
            <w:vMerge w:val="restart"/>
            <w:tcBorders>
              <w:top w:val="nil"/>
              <w:left w:val="single" w:sz="4" w:space="0" w:color="auto"/>
              <w:bottom w:val="single" w:sz="4" w:space="0" w:color="auto"/>
              <w:right w:val="single" w:sz="4" w:space="0" w:color="auto"/>
            </w:tcBorders>
            <w:shd w:val="clear" w:color="auto" w:fill="auto"/>
            <w:vAlign w:val="center"/>
            <w:hideMark/>
          </w:tcPr>
          <w:p w:rsidR="005D6ACF" w:rsidRPr="00B72764" w:rsidRDefault="005D6ACF" w:rsidP="008A253E">
            <w:pPr>
              <w:jc w:val="center"/>
              <w:rPr>
                <w:color w:val="000000"/>
                <w:sz w:val="22"/>
                <w:szCs w:val="22"/>
              </w:rPr>
            </w:pPr>
            <w:r w:rsidRPr="00B72764">
              <w:rPr>
                <w:color w:val="000000"/>
                <w:sz w:val="22"/>
                <w:szCs w:val="22"/>
              </w:rPr>
              <w:t>0</w:t>
            </w:r>
          </w:p>
        </w:tc>
      </w:tr>
      <w:tr w:rsidR="005D6ACF" w:rsidRPr="00B72764" w:rsidTr="008A253E">
        <w:trPr>
          <w:gridAfter w:val="1"/>
          <w:wAfter w:w="35" w:type="dxa"/>
          <w:trHeight w:val="302"/>
        </w:trPr>
        <w:tc>
          <w:tcPr>
            <w:tcW w:w="465" w:type="dxa"/>
            <w:vMerge/>
            <w:tcBorders>
              <w:top w:val="nil"/>
              <w:left w:val="single" w:sz="4" w:space="0" w:color="auto"/>
              <w:bottom w:val="single" w:sz="4" w:space="0" w:color="auto"/>
              <w:right w:val="single" w:sz="4" w:space="0" w:color="auto"/>
            </w:tcBorders>
            <w:vAlign w:val="center"/>
            <w:hideMark/>
          </w:tcPr>
          <w:p w:rsidR="005D6ACF" w:rsidRPr="00B72764" w:rsidRDefault="005D6ACF" w:rsidP="008A253E">
            <w:pPr>
              <w:rPr>
                <w:color w:val="000000"/>
                <w:sz w:val="22"/>
                <w:szCs w:val="22"/>
              </w:rPr>
            </w:pPr>
          </w:p>
        </w:tc>
        <w:tc>
          <w:tcPr>
            <w:tcW w:w="2791" w:type="dxa"/>
            <w:vMerge/>
            <w:tcBorders>
              <w:top w:val="nil"/>
              <w:left w:val="single" w:sz="4" w:space="0" w:color="auto"/>
              <w:bottom w:val="single" w:sz="4" w:space="0" w:color="auto"/>
              <w:right w:val="single" w:sz="4" w:space="0" w:color="auto"/>
            </w:tcBorders>
            <w:vAlign w:val="center"/>
            <w:hideMark/>
          </w:tcPr>
          <w:p w:rsidR="005D6ACF" w:rsidRPr="00B72764" w:rsidRDefault="005D6ACF" w:rsidP="008A253E">
            <w:pPr>
              <w:rPr>
                <w:color w:val="000000"/>
                <w:sz w:val="22"/>
                <w:szCs w:val="22"/>
              </w:rPr>
            </w:pPr>
          </w:p>
        </w:tc>
        <w:tc>
          <w:tcPr>
            <w:tcW w:w="1275" w:type="dxa"/>
            <w:vMerge/>
            <w:tcBorders>
              <w:top w:val="nil"/>
              <w:left w:val="single" w:sz="4" w:space="0" w:color="auto"/>
              <w:bottom w:val="single" w:sz="4" w:space="0" w:color="auto"/>
              <w:right w:val="single" w:sz="4" w:space="0" w:color="auto"/>
            </w:tcBorders>
            <w:vAlign w:val="center"/>
            <w:hideMark/>
          </w:tcPr>
          <w:p w:rsidR="005D6ACF" w:rsidRPr="00B72764" w:rsidRDefault="005D6ACF" w:rsidP="008A253E">
            <w:pPr>
              <w:rPr>
                <w:color w:val="000000"/>
                <w:sz w:val="22"/>
                <w:szCs w:val="22"/>
              </w:rPr>
            </w:pPr>
          </w:p>
        </w:tc>
        <w:tc>
          <w:tcPr>
            <w:tcW w:w="1025" w:type="dxa"/>
            <w:vMerge/>
            <w:tcBorders>
              <w:top w:val="nil"/>
              <w:left w:val="single" w:sz="4" w:space="0" w:color="auto"/>
              <w:bottom w:val="single" w:sz="4" w:space="0" w:color="auto"/>
              <w:right w:val="single" w:sz="4" w:space="0" w:color="auto"/>
            </w:tcBorders>
            <w:vAlign w:val="center"/>
            <w:hideMark/>
          </w:tcPr>
          <w:p w:rsidR="005D6ACF" w:rsidRPr="00B72764" w:rsidRDefault="005D6ACF" w:rsidP="008A253E">
            <w:pPr>
              <w:rPr>
                <w:color w:val="000000"/>
                <w:sz w:val="22"/>
                <w:szCs w:val="22"/>
              </w:rPr>
            </w:pPr>
          </w:p>
        </w:tc>
        <w:tc>
          <w:tcPr>
            <w:tcW w:w="1243" w:type="dxa"/>
            <w:gridSpan w:val="2"/>
            <w:vMerge/>
            <w:tcBorders>
              <w:top w:val="nil"/>
              <w:left w:val="single" w:sz="4" w:space="0" w:color="auto"/>
              <w:bottom w:val="single" w:sz="4" w:space="0" w:color="auto"/>
              <w:right w:val="single" w:sz="4" w:space="0" w:color="auto"/>
            </w:tcBorders>
            <w:vAlign w:val="center"/>
            <w:hideMark/>
          </w:tcPr>
          <w:p w:rsidR="005D6ACF" w:rsidRPr="00B72764" w:rsidRDefault="005D6ACF" w:rsidP="008A253E">
            <w:pPr>
              <w:rPr>
                <w:color w:val="000000"/>
                <w:sz w:val="22"/>
                <w:szCs w:val="22"/>
              </w:rPr>
            </w:pPr>
          </w:p>
        </w:tc>
        <w:tc>
          <w:tcPr>
            <w:tcW w:w="1076" w:type="dxa"/>
            <w:vMerge/>
            <w:tcBorders>
              <w:top w:val="nil"/>
              <w:left w:val="single" w:sz="4" w:space="0" w:color="auto"/>
              <w:bottom w:val="single" w:sz="4" w:space="0" w:color="auto"/>
              <w:right w:val="single" w:sz="4" w:space="0" w:color="auto"/>
            </w:tcBorders>
            <w:vAlign w:val="center"/>
            <w:hideMark/>
          </w:tcPr>
          <w:p w:rsidR="005D6ACF" w:rsidRPr="00B72764" w:rsidRDefault="005D6ACF" w:rsidP="008A253E">
            <w:pPr>
              <w:rPr>
                <w:color w:val="000000"/>
                <w:sz w:val="22"/>
                <w:szCs w:val="22"/>
              </w:rPr>
            </w:pPr>
          </w:p>
        </w:tc>
        <w:tc>
          <w:tcPr>
            <w:tcW w:w="1334" w:type="dxa"/>
            <w:gridSpan w:val="2"/>
            <w:vMerge/>
            <w:tcBorders>
              <w:top w:val="nil"/>
              <w:left w:val="single" w:sz="4" w:space="0" w:color="auto"/>
              <w:bottom w:val="single" w:sz="4" w:space="0" w:color="auto"/>
              <w:right w:val="single" w:sz="4" w:space="0" w:color="auto"/>
            </w:tcBorders>
            <w:vAlign w:val="center"/>
            <w:hideMark/>
          </w:tcPr>
          <w:p w:rsidR="005D6ACF" w:rsidRPr="00B72764" w:rsidRDefault="005D6ACF" w:rsidP="008A253E">
            <w:pPr>
              <w:rPr>
                <w:color w:val="000000"/>
                <w:sz w:val="22"/>
                <w:szCs w:val="22"/>
              </w:rPr>
            </w:pPr>
          </w:p>
        </w:tc>
        <w:tc>
          <w:tcPr>
            <w:tcW w:w="1079" w:type="dxa"/>
            <w:vMerge/>
            <w:tcBorders>
              <w:top w:val="nil"/>
              <w:left w:val="single" w:sz="4" w:space="0" w:color="auto"/>
              <w:bottom w:val="single" w:sz="4" w:space="0" w:color="auto"/>
              <w:right w:val="single" w:sz="4" w:space="0" w:color="auto"/>
            </w:tcBorders>
            <w:vAlign w:val="center"/>
            <w:hideMark/>
          </w:tcPr>
          <w:p w:rsidR="005D6ACF" w:rsidRPr="00B72764" w:rsidRDefault="005D6ACF" w:rsidP="008A253E">
            <w:pPr>
              <w:rPr>
                <w:color w:val="000000"/>
                <w:sz w:val="22"/>
                <w:szCs w:val="22"/>
              </w:rPr>
            </w:pPr>
          </w:p>
        </w:tc>
      </w:tr>
      <w:tr w:rsidR="005D6ACF" w:rsidRPr="00B72764" w:rsidTr="008A253E">
        <w:trPr>
          <w:gridAfter w:val="1"/>
          <w:wAfter w:w="35" w:type="dxa"/>
          <w:trHeight w:val="1043"/>
        </w:trPr>
        <w:tc>
          <w:tcPr>
            <w:tcW w:w="465" w:type="dxa"/>
            <w:vMerge w:val="restart"/>
            <w:tcBorders>
              <w:top w:val="nil"/>
              <w:left w:val="single" w:sz="4" w:space="0" w:color="auto"/>
              <w:bottom w:val="single" w:sz="4" w:space="0" w:color="auto"/>
              <w:right w:val="single" w:sz="4" w:space="0" w:color="auto"/>
            </w:tcBorders>
            <w:shd w:val="clear" w:color="auto" w:fill="auto"/>
            <w:vAlign w:val="center"/>
            <w:hideMark/>
          </w:tcPr>
          <w:p w:rsidR="005D6ACF" w:rsidRPr="00B72764" w:rsidRDefault="005D6ACF" w:rsidP="008A253E">
            <w:pPr>
              <w:jc w:val="center"/>
              <w:rPr>
                <w:color w:val="000000"/>
                <w:sz w:val="22"/>
                <w:szCs w:val="22"/>
              </w:rPr>
            </w:pPr>
            <w:r w:rsidRPr="00B72764">
              <w:rPr>
                <w:color w:val="000000"/>
                <w:sz w:val="22"/>
                <w:szCs w:val="22"/>
              </w:rPr>
              <w:t>21</w:t>
            </w:r>
          </w:p>
        </w:tc>
        <w:tc>
          <w:tcPr>
            <w:tcW w:w="2791" w:type="dxa"/>
            <w:vMerge w:val="restart"/>
            <w:tcBorders>
              <w:top w:val="nil"/>
              <w:left w:val="single" w:sz="4" w:space="0" w:color="auto"/>
              <w:bottom w:val="single" w:sz="4" w:space="0" w:color="auto"/>
              <w:right w:val="single" w:sz="4" w:space="0" w:color="auto"/>
            </w:tcBorders>
            <w:shd w:val="clear" w:color="auto" w:fill="auto"/>
            <w:vAlign w:val="center"/>
            <w:hideMark/>
          </w:tcPr>
          <w:p w:rsidR="005D6ACF" w:rsidRPr="00B72764" w:rsidRDefault="005D6ACF" w:rsidP="008A253E">
            <w:pPr>
              <w:rPr>
                <w:color w:val="000000"/>
                <w:sz w:val="22"/>
                <w:szCs w:val="22"/>
              </w:rPr>
            </w:pPr>
            <w:r w:rsidRPr="00B72764">
              <w:rPr>
                <w:color w:val="000000"/>
                <w:sz w:val="22"/>
                <w:szCs w:val="22"/>
              </w:rPr>
              <w:t>ООО «Тверьспецавтохозяйство»</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5D6ACF" w:rsidRPr="00B72764" w:rsidRDefault="005D6ACF" w:rsidP="008A253E">
            <w:pPr>
              <w:jc w:val="center"/>
              <w:rPr>
                <w:color w:val="000000"/>
                <w:sz w:val="22"/>
                <w:szCs w:val="22"/>
              </w:rPr>
            </w:pPr>
            <w:r w:rsidRPr="00B72764">
              <w:rPr>
                <w:color w:val="000000"/>
                <w:sz w:val="22"/>
                <w:szCs w:val="22"/>
              </w:rPr>
              <w:t xml:space="preserve">Стоимость чистых активов меньше </w:t>
            </w:r>
            <w:r w:rsidRPr="00B72764">
              <w:rPr>
                <w:color w:val="000000"/>
                <w:sz w:val="22"/>
                <w:szCs w:val="22"/>
              </w:rPr>
              <w:lastRenderedPageBreak/>
              <w:t>уставного капитала</w:t>
            </w:r>
          </w:p>
        </w:tc>
        <w:tc>
          <w:tcPr>
            <w:tcW w:w="1025" w:type="dxa"/>
            <w:vMerge w:val="restart"/>
            <w:tcBorders>
              <w:top w:val="nil"/>
              <w:left w:val="single" w:sz="4" w:space="0" w:color="auto"/>
              <w:bottom w:val="single" w:sz="4" w:space="0" w:color="auto"/>
              <w:right w:val="single" w:sz="4" w:space="0" w:color="auto"/>
            </w:tcBorders>
            <w:shd w:val="clear" w:color="auto" w:fill="auto"/>
            <w:vAlign w:val="center"/>
            <w:hideMark/>
          </w:tcPr>
          <w:p w:rsidR="005D6ACF" w:rsidRPr="00B72764" w:rsidRDefault="005D6ACF" w:rsidP="008A253E">
            <w:pPr>
              <w:jc w:val="center"/>
              <w:rPr>
                <w:color w:val="000000"/>
                <w:sz w:val="22"/>
                <w:szCs w:val="22"/>
              </w:rPr>
            </w:pPr>
            <w:r w:rsidRPr="00B72764">
              <w:rPr>
                <w:color w:val="000000"/>
                <w:sz w:val="22"/>
                <w:szCs w:val="22"/>
              </w:rPr>
              <w:lastRenderedPageBreak/>
              <w:t>0</w:t>
            </w:r>
          </w:p>
        </w:tc>
        <w:tc>
          <w:tcPr>
            <w:tcW w:w="124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5D6ACF" w:rsidRPr="00B72764" w:rsidRDefault="005D6ACF" w:rsidP="008A253E">
            <w:pPr>
              <w:jc w:val="center"/>
              <w:rPr>
                <w:color w:val="000000"/>
                <w:sz w:val="22"/>
                <w:szCs w:val="22"/>
              </w:rPr>
            </w:pPr>
            <w:r w:rsidRPr="00B72764">
              <w:rPr>
                <w:color w:val="000000"/>
                <w:sz w:val="22"/>
                <w:szCs w:val="22"/>
              </w:rPr>
              <w:t xml:space="preserve">Стоимость чистых активов меньше </w:t>
            </w:r>
            <w:r w:rsidRPr="00B72764">
              <w:rPr>
                <w:color w:val="000000"/>
                <w:sz w:val="22"/>
                <w:szCs w:val="22"/>
              </w:rPr>
              <w:lastRenderedPageBreak/>
              <w:t>уставного капитала</w:t>
            </w:r>
          </w:p>
        </w:tc>
        <w:tc>
          <w:tcPr>
            <w:tcW w:w="1076" w:type="dxa"/>
            <w:vMerge w:val="restart"/>
            <w:tcBorders>
              <w:top w:val="nil"/>
              <w:left w:val="single" w:sz="4" w:space="0" w:color="auto"/>
              <w:bottom w:val="single" w:sz="4" w:space="0" w:color="auto"/>
              <w:right w:val="single" w:sz="4" w:space="0" w:color="auto"/>
            </w:tcBorders>
            <w:shd w:val="clear" w:color="auto" w:fill="auto"/>
            <w:vAlign w:val="center"/>
            <w:hideMark/>
          </w:tcPr>
          <w:p w:rsidR="005D6ACF" w:rsidRPr="00B72764" w:rsidRDefault="005D6ACF" w:rsidP="008A253E">
            <w:pPr>
              <w:jc w:val="center"/>
              <w:rPr>
                <w:color w:val="000000"/>
                <w:sz w:val="22"/>
                <w:szCs w:val="22"/>
              </w:rPr>
            </w:pPr>
            <w:r w:rsidRPr="00B72764">
              <w:rPr>
                <w:color w:val="000000"/>
                <w:sz w:val="22"/>
                <w:szCs w:val="22"/>
              </w:rPr>
              <w:lastRenderedPageBreak/>
              <w:t>0</w:t>
            </w:r>
          </w:p>
        </w:tc>
        <w:tc>
          <w:tcPr>
            <w:tcW w:w="133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5D6ACF" w:rsidRPr="00B72764" w:rsidRDefault="005D6ACF" w:rsidP="008A253E">
            <w:pPr>
              <w:jc w:val="center"/>
              <w:rPr>
                <w:color w:val="000000"/>
                <w:sz w:val="22"/>
                <w:szCs w:val="22"/>
              </w:rPr>
            </w:pPr>
            <w:r w:rsidRPr="00B72764">
              <w:rPr>
                <w:color w:val="000000"/>
                <w:sz w:val="22"/>
                <w:szCs w:val="22"/>
              </w:rPr>
              <w:t xml:space="preserve">Стоимость чистых активов меньше </w:t>
            </w:r>
            <w:r w:rsidRPr="00B72764">
              <w:rPr>
                <w:color w:val="000000"/>
                <w:sz w:val="22"/>
                <w:szCs w:val="22"/>
              </w:rPr>
              <w:lastRenderedPageBreak/>
              <w:t>уставного капитала</w:t>
            </w:r>
          </w:p>
        </w:tc>
        <w:tc>
          <w:tcPr>
            <w:tcW w:w="1079" w:type="dxa"/>
            <w:vMerge w:val="restart"/>
            <w:tcBorders>
              <w:top w:val="nil"/>
              <w:left w:val="single" w:sz="4" w:space="0" w:color="auto"/>
              <w:bottom w:val="single" w:sz="4" w:space="0" w:color="auto"/>
              <w:right w:val="single" w:sz="4" w:space="0" w:color="auto"/>
            </w:tcBorders>
            <w:shd w:val="clear" w:color="auto" w:fill="auto"/>
            <w:vAlign w:val="center"/>
            <w:hideMark/>
          </w:tcPr>
          <w:p w:rsidR="005D6ACF" w:rsidRPr="00B72764" w:rsidRDefault="005D6ACF" w:rsidP="008A253E">
            <w:pPr>
              <w:jc w:val="center"/>
              <w:rPr>
                <w:color w:val="000000"/>
                <w:sz w:val="22"/>
                <w:szCs w:val="22"/>
              </w:rPr>
            </w:pPr>
            <w:r w:rsidRPr="00B72764">
              <w:rPr>
                <w:color w:val="000000"/>
                <w:sz w:val="22"/>
                <w:szCs w:val="22"/>
              </w:rPr>
              <w:lastRenderedPageBreak/>
              <w:t>0</w:t>
            </w:r>
          </w:p>
        </w:tc>
      </w:tr>
      <w:tr w:rsidR="005D6ACF" w:rsidRPr="00B72764" w:rsidTr="008A253E">
        <w:trPr>
          <w:gridAfter w:val="1"/>
          <w:wAfter w:w="35" w:type="dxa"/>
          <w:trHeight w:val="302"/>
        </w:trPr>
        <w:tc>
          <w:tcPr>
            <w:tcW w:w="465" w:type="dxa"/>
            <w:vMerge/>
            <w:tcBorders>
              <w:top w:val="nil"/>
              <w:left w:val="single" w:sz="4" w:space="0" w:color="auto"/>
              <w:bottom w:val="single" w:sz="4" w:space="0" w:color="auto"/>
              <w:right w:val="single" w:sz="4" w:space="0" w:color="auto"/>
            </w:tcBorders>
            <w:vAlign w:val="center"/>
            <w:hideMark/>
          </w:tcPr>
          <w:p w:rsidR="005D6ACF" w:rsidRPr="00B72764" w:rsidRDefault="005D6ACF" w:rsidP="008A253E">
            <w:pPr>
              <w:rPr>
                <w:color w:val="000000"/>
                <w:sz w:val="22"/>
                <w:szCs w:val="22"/>
              </w:rPr>
            </w:pPr>
          </w:p>
        </w:tc>
        <w:tc>
          <w:tcPr>
            <w:tcW w:w="2791" w:type="dxa"/>
            <w:vMerge/>
            <w:tcBorders>
              <w:top w:val="nil"/>
              <w:left w:val="single" w:sz="4" w:space="0" w:color="auto"/>
              <w:bottom w:val="single" w:sz="4" w:space="0" w:color="auto"/>
              <w:right w:val="single" w:sz="4" w:space="0" w:color="auto"/>
            </w:tcBorders>
            <w:vAlign w:val="center"/>
            <w:hideMark/>
          </w:tcPr>
          <w:p w:rsidR="005D6ACF" w:rsidRPr="00B72764" w:rsidRDefault="005D6ACF" w:rsidP="008A253E">
            <w:pPr>
              <w:rPr>
                <w:color w:val="000000"/>
                <w:sz w:val="22"/>
                <w:szCs w:val="22"/>
              </w:rPr>
            </w:pPr>
          </w:p>
        </w:tc>
        <w:tc>
          <w:tcPr>
            <w:tcW w:w="1275" w:type="dxa"/>
            <w:vMerge/>
            <w:tcBorders>
              <w:top w:val="nil"/>
              <w:left w:val="single" w:sz="4" w:space="0" w:color="auto"/>
              <w:bottom w:val="single" w:sz="4" w:space="0" w:color="auto"/>
              <w:right w:val="single" w:sz="4" w:space="0" w:color="auto"/>
            </w:tcBorders>
            <w:vAlign w:val="center"/>
            <w:hideMark/>
          </w:tcPr>
          <w:p w:rsidR="005D6ACF" w:rsidRPr="00B72764" w:rsidRDefault="005D6ACF" w:rsidP="008A253E">
            <w:pPr>
              <w:rPr>
                <w:color w:val="000000"/>
                <w:sz w:val="22"/>
                <w:szCs w:val="22"/>
              </w:rPr>
            </w:pPr>
          </w:p>
        </w:tc>
        <w:tc>
          <w:tcPr>
            <w:tcW w:w="1025" w:type="dxa"/>
            <w:vMerge/>
            <w:tcBorders>
              <w:top w:val="nil"/>
              <w:left w:val="single" w:sz="4" w:space="0" w:color="auto"/>
              <w:bottom w:val="single" w:sz="4" w:space="0" w:color="auto"/>
              <w:right w:val="single" w:sz="4" w:space="0" w:color="auto"/>
            </w:tcBorders>
            <w:vAlign w:val="center"/>
            <w:hideMark/>
          </w:tcPr>
          <w:p w:rsidR="005D6ACF" w:rsidRPr="00B72764" w:rsidRDefault="005D6ACF" w:rsidP="008A253E">
            <w:pPr>
              <w:rPr>
                <w:color w:val="000000"/>
                <w:sz w:val="22"/>
                <w:szCs w:val="22"/>
              </w:rPr>
            </w:pPr>
          </w:p>
        </w:tc>
        <w:tc>
          <w:tcPr>
            <w:tcW w:w="1243" w:type="dxa"/>
            <w:gridSpan w:val="2"/>
            <w:vMerge/>
            <w:tcBorders>
              <w:top w:val="nil"/>
              <w:left w:val="single" w:sz="4" w:space="0" w:color="auto"/>
              <w:bottom w:val="single" w:sz="4" w:space="0" w:color="auto"/>
              <w:right w:val="single" w:sz="4" w:space="0" w:color="auto"/>
            </w:tcBorders>
            <w:vAlign w:val="center"/>
            <w:hideMark/>
          </w:tcPr>
          <w:p w:rsidR="005D6ACF" w:rsidRPr="00B72764" w:rsidRDefault="005D6ACF" w:rsidP="008A253E">
            <w:pPr>
              <w:rPr>
                <w:color w:val="000000"/>
                <w:sz w:val="22"/>
                <w:szCs w:val="22"/>
              </w:rPr>
            </w:pPr>
          </w:p>
        </w:tc>
        <w:tc>
          <w:tcPr>
            <w:tcW w:w="1076" w:type="dxa"/>
            <w:vMerge/>
            <w:tcBorders>
              <w:top w:val="nil"/>
              <w:left w:val="single" w:sz="4" w:space="0" w:color="auto"/>
              <w:bottom w:val="single" w:sz="4" w:space="0" w:color="auto"/>
              <w:right w:val="single" w:sz="4" w:space="0" w:color="auto"/>
            </w:tcBorders>
            <w:vAlign w:val="center"/>
            <w:hideMark/>
          </w:tcPr>
          <w:p w:rsidR="005D6ACF" w:rsidRPr="00B72764" w:rsidRDefault="005D6ACF" w:rsidP="008A253E">
            <w:pPr>
              <w:rPr>
                <w:color w:val="000000"/>
                <w:sz w:val="22"/>
                <w:szCs w:val="22"/>
              </w:rPr>
            </w:pPr>
          </w:p>
        </w:tc>
        <w:tc>
          <w:tcPr>
            <w:tcW w:w="1334" w:type="dxa"/>
            <w:gridSpan w:val="2"/>
            <w:vMerge/>
            <w:tcBorders>
              <w:top w:val="nil"/>
              <w:left w:val="single" w:sz="4" w:space="0" w:color="auto"/>
              <w:bottom w:val="single" w:sz="4" w:space="0" w:color="auto"/>
              <w:right w:val="single" w:sz="4" w:space="0" w:color="auto"/>
            </w:tcBorders>
            <w:vAlign w:val="center"/>
            <w:hideMark/>
          </w:tcPr>
          <w:p w:rsidR="005D6ACF" w:rsidRPr="00B72764" w:rsidRDefault="005D6ACF" w:rsidP="008A253E">
            <w:pPr>
              <w:rPr>
                <w:color w:val="000000"/>
                <w:sz w:val="22"/>
                <w:szCs w:val="22"/>
              </w:rPr>
            </w:pPr>
          </w:p>
        </w:tc>
        <w:tc>
          <w:tcPr>
            <w:tcW w:w="1079" w:type="dxa"/>
            <w:vMerge/>
            <w:tcBorders>
              <w:top w:val="nil"/>
              <w:left w:val="single" w:sz="4" w:space="0" w:color="auto"/>
              <w:bottom w:val="single" w:sz="4" w:space="0" w:color="auto"/>
              <w:right w:val="single" w:sz="4" w:space="0" w:color="auto"/>
            </w:tcBorders>
            <w:vAlign w:val="center"/>
            <w:hideMark/>
          </w:tcPr>
          <w:p w:rsidR="005D6ACF" w:rsidRPr="00B72764" w:rsidRDefault="005D6ACF" w:rsidP="008A253E">
            <w:pPr>
              <w:rPr>
                <w:color w:val="000000"/>
                <w:sz w:val="22"/>
                <w:szCs w:val="22"/>
              </w:rPr>
            </w:pPr>
          </w:p>
        </w:tc>
      </w:tr>
      <w:tr w:rsidR="005D6ACF" w:rsidRPr="00B72764" w:rsidTr="008A253E">
        <w:trPr>
          <w:gridAfter w:val="1"/>
          <w:wAfter w:w="35" w:type="dxa"/>
          <w:trHeight w:val="302"/>
        </w:trPr>
        <w:tc>
          <w:tcPr>
            <w:tcW w:w="465" w:type="dxa"/>
            <w:tcBorders>
              <w:top w:val="nil"/>
              <w:left w:val="single" w:sz="4" w:space="0" w:color="auto"/>
              <w:bottom w:val="single" w:sz="4" w:space="0" w:color="auto"/>
              <w:right w:val="single" w:sz="4" w:space="0" w:color="auto"/>
            </w:tcBorders>
            <w:shd w:val="clear" w:color="auto" w:fill="auto"/>
            <w:vAlign w:val="center"/>
            <w:hideMark/>
          </w:tcPr>
          <w:p w:rsidR="005D6ACF" w:rsidRPr="00B72764" w:rsidRDefault="005D6ACF" w:rsidP="008A253E">
            <w:pPr>
              <w:jc w:val="center"/>
              <w:rPr>
                <w:b/>
                <w:bCs/>
                <w:color w:val="000000"/>
                <w:sz w:val="22"/>
                <w:szCs w:val="22"/>
              </w:rPr>
            </w:pPr>
            <w:r w:rsidRPr="00B72764">
              <w:rPr>
                <w:b/>
                <w:bCs/>
                <w:color w:val="000000"/>
                <w:sz w:val="22"/>
                <w:szCs w:val="22"/>
              </w:rPr>
              <w:t>21</w:t>
            </w:r>
          </w:p>
        </w:tc>
        <w:tc>
          <w:tcPr>
            <w:tcW w:w="2791" w:type="dxa"/>
            <w:tcBorders>
              <w:top w:val="nil"/>
              <w:left w:val="nil"/>
              <w:bottom w:val="single" w:sz="4" w:space="0" w:color="auto"/>
              <w:right w:val="single" w:sz="4" w:space="0" w:color="auto"/>
            </w:tcBorders>
            <w:shd w:val="clear" w:color="auto" w:fill="auto"/>
            <w:vAlign w:val="center"/>
            <w:hideMark/>
          </w:tcPr>
          <w:p w:rsidR="005D6ACF" w:rsidRPr="00B72764" w:rsidRDefault="005D6ACF" w:rsidP="008A253E">
            <w:pPr>
              <w:jc w:val="center"/>
              <w:rPr>
                <w:b/>
                <w:bCs/>
                <w:color w:val="000000"/>
                <w:sz w:val="22"/>
                <w:szCs w:val="22"/>
              </w:rPr>
            </w:pPr>
            <w:r w:rsidRPr="00B72764">
              <w:rPr>
                <w:b/>
                <w:bCs/>
                <w:color w:val="000000"/>
                <w:sz w:val="22"/>
                <w:szCs w:val="22"/>
              </w:rPr>
              <w:t>Итого:</w:t>
            </w:r>
          </w:p>
        </w:tc>
        <w:tc>
          <w:tcPr>
            <w:tcW w:w="1275" w:type="dxa"/>
            <w:tcBorders>
              <w:top w:val="nil"/>
              <w:left w:val="nil"/>
              <w:bottom w:val="single" w:sz="4" w:space="0" w:color="auto"/>
              <w:right w:val="single" w:sz="4" w:space="0" w:color="auto"/>
            </w:tcBorders>
            <w:shd w:val="clear" w:color="auto" w:fill="auto"/>
            <w:vAlign w:val="center"/>
            <w:hideMark/>
          </w:tcPr>
          <w:p w:rsidR="005D6ACF" w:rsidRPr="00B72764" w:rsidRDefault="005D6ACF" w:rsidP="008A253E">
            <w:pPr>
              <w:jc w:val="center"/>
              <w:rPr>
                <w:b/>
                <w:bCs/>
                <w:color w:val="000000"/>
                <w:sz w:val="22"/>
                <w:szCs w:val="22"/>
              </w:rPr>
            </w:pPr>
            <w:r w:rsidRPr="00B72764">
              <w:rPr>
                <w:b/>
                <w:bCs/>
                <w:color w:val="000000"/>
                <w:sz w:val="22"/>
                <w:szCs w:val="22"/>
              </w:rPr>
              <w:t>76 619,0</w:t>
            </w:r>
          </w:p>
        </w:tc>
        <w:tc>
          <w:tcPr>
            <w:tcW w:w="1025" w:type="dxa"/>
            <w:tcBorders>
              <w:top w:val="nil"/>
              <w:left w:val="nil"/>
              <w:bottom w:val="single" w:sz="4" w:space="0" w:color="auto"/>
              <w:right w:val="single" w:sz="4" w:space="0" w:color="auto"/>
            </w:tcBorders>
            <w:shd w:val="clear" w:color="auto" w:fill="auto"/>
            <w:vAlign w:val="center"/>
            <w:hideMark/>
          </w:tcPr>
          <w:p w:rsidR="005D6ACF" w:rsidRPr="00B72764" w:rsidRDefault="005D6ACF" w:rsidP="008A253E">
            <w:pPr>
              <w:jc w:val="center"/>
              <w:rPr>
                <w:b/>
                <w:bCs/>
                <w:color w:val="000000"/>
                <w:sz w:val="22"/>
                <w:szCs w:val="22"/>
              </w:rPr>
            </w:pPr>
            <w:r w:rsidRPr="00B72764">
              <w:rPr>
                <w:b/>
                <w:bCs/>
                <w:color w:val="000000"/>
                <w:sz w:val="22"/>
                <w:szCs w:val="22"/>
              </w:rPr>
              <w:t>3 369,0</w:t>
            </w:r>
          </w:p>
        </w:tc>
        <w:tc>
          <w:tcPr>
            <w:tcW w:w="1243" w:type="dxa"/>
            <w:gridSpan w:val="2"/>
            <w:tcBorders>
              <w:top w:val="nil"/>
              <w:left w:val="nil"/>
              <w:bottom w:val="single" w:sz="4" w:space="0" w:color="auto"/>
              <w:right w:val="single" w:sz="4" w:space="0" w:color="auto"/>
            </w:tcBorders>
            <w:shd w:val="clear" w:color="auto" w:fill="auto"/>
            <w:vAlign w:val="center"/>
            <w:hideMark/>
          </w:tcPr>
          <w:p w:rsidR="005D6ACF" w:rsidRPr="00B72764" w:rsidRDefault="005D6ACF" w:rsidP="008A253E">
            <w:pPr>
              <w:jc w:val="center"/>
              <w:rPr>
                <w:b/>
                <w:bCs/>
                <w:color w:val="000000"/>
                <w:sz w:val="22"/>
                <w:szCs w:val="22"/>
              </w:rPr>
            </w:pPr>
            <w:r w:rsidRPr="00B72764">
              <w:rPr>
                <w:b/>
                <w:bCs/>
                <w:color w:val="000000"/>
                <w:sz w:val="22"/>
                <w:szCs w:val="22"/>
              </w:rPr>
              <w:t>78 271,0</w:t>
            </w:r>
          </w:p>
        </w:tc>
        <w:tc>
          <w:tcPr>
            <w:tcW w:w="1076" w:type="dxa"/>
            <w:tcBorders>
              <w:top w:val="nil"/>
              <w:left w:val="nil"/>
              <w:bottom w:val="single" w:sz="4" w:space="0" w:color="auto"/>
              <w:right w:val="single" w:sz="4" w:space="0" w:color="auto"/>
            </w:tcBorders>
            <w:shd w:val="clear" w:color="auto" w:fill="auto"/>
            <w:vAlign w:val="center"/>
            <w:hideMark/>
          </w:tcPr>
          <w:p w:rsidR="005D6ACF" w:rsidRPr="00B72764" w:rsidRDefault="005D6ACF" w:rsidP="008A253E">
            <w:pPr>
              <w:jc w:val="center"/>
              <w:rPr>
                <w:b/>
                <w:bCs/>
                <w:color w:val="000000"/>
                <w:sz w:val="22"/>
                <w:szCs w:val="22"/>
              </w:rPr>
            </w:pPr>
            <w:r w:rsidRPr="00B72764">
              <w:rPr>
                <w:b/>
                <w:bCs/>
                <w:color w:val="000000"/>
                <w:sz w:val="22"/>
                <w:szCs w:val="22"/>
              </w:rPr>
              <w:t>4 195,0</w:t>
            </w:r>
          </w:p>
        </w:tc>
        <w:tc>
          <w:tcPr>
            <w:tcW w:w="1334" w:type="dxa"/>
            <w:gridSpan w:val="2"/>
            <w:tcBorders>
              <w:top w:val="nil"/>
              <w:left w:val="nil"/>
              <w:bottom w:val="single" w:sz="4" w:space="0" w:color="auto"/>
              <w:right w:val="single" w:sz="4" w:space="0" w:color="auto"/>
            </w:tcBorders>
            <w:shd w:val="clear" w:color="auto" w:fill="auto"/>
            <w:vAlign w:val="center"/>
            <w:hideMark/>
          </w:tcPr>
          <w:p w:rsidR="005D6ACF" w:rsidRPr="00B72764" w:rsidRDefault="005D6ACF" w:rsidP="008A253E">
            <w:pPr>
              <w:jc w:val="center"/>
              <w:rPr>
                <w:b/>
                <w:bCs/>
                <w:color w:val="000000"/>
                <w:sz w:val="22"/>
                <w:szCs w:val="22"/>
              </w:rPr>
            </w:pPr>
            <w:r w:rsidRPr="00B72764">
              <w:rPr>
                <w:b/>
                <w:bCs/>
                <w:color w:val="000000"/>
                <w:sz w:val="22"/>
                <w:szCs w:val="22"/>
              </w:rPr>
              <w:t>78 435,0</w:t>
            </w:r>
          </w:p>
        </w:tc>
        <w:tc>
          <w:tcPr>
            <w:tcW w:w="1079" w:type="dxa"/>
            <w:tcBorders>
              <w:top w:val="nil"/>
              <w:left w:val="nil"/>
              <w:bottom w:val="single" w:sz="4" w:space="0" w:color="auto"/>
              <w:right w:val="single" w:sz="4" w:space="0" w:color="auto"/>
            </w:tcBorders>
            <w:shd w:val="clear" w:color="auto" w:fill="auto"/>
            <w:vAlign w:val="center"/>
            <w:hideMark/>
          </w:tcPr>
          <w:p w:rsidR="005D6ACF" w:rsidRPr="00B72764" w:rsidRDefault="005D6ACF" w:rsidP="008A253E">
            <w:pPr>
              <w:jc w:val="center"/>
              <w:rPr>
                <w:b/>
                <w:bCs/>
                <w:color w:val="000000"/>
                <w:sz w:val="22"/>
                <w:szCs w:val="22"/>
              </w:rPr>
            </w:pPr>
            <w:r w:rsidRPr="00B72764">
              <w:rPr>
                <w:b/>
                <w:bCs/>
                <w:color w:val="000000"/>
                <w:sz w:val="22"/>
                <w:szCs w:val="22"/>
              </w:rPr>
              <w:t>4 277,0</w:t>
            </w:r>
          </w:p>
        </w:tc>
      </w:tr>
    </w:tbl>
    <w:p w:rsidR="005D6ACF" w:rsidRDefault="005D6ACF" w:rsidP="005D6ACF">
      <w:pPr>
        <w:ind w:firstLine="709"/>
        <w:jc w:val="both"/>
        <w:rPr>
          <w:bCs/>
        </w:rPr>
      </w:pPr>
    </w:p>
    <w:p w:rsidR="005D6ACF" w:rsidRDefault="005D6ACF" w:rsidP="005D6ACF">
      <w:pPr>
        <w:ind w:firstLine="709"/>
        <w:jc w:val="right"/>
        <w:rPr>
          <w:bCs/>
        </w:rPr>
      </w:pPr>
    </w:p>
    <w:p w:rsidR="005D6ACF" w:rsidRPr="009727B2" w:rsidRDefault="005D6ACF" w:rsidP="005D6ACF">
      <w:pPr>
        <w:autoSpaceDE w:val="0"/>
        <w:autoSpaceDN w:val="0"/>
        <w:adjustRightInd w:val="0"/>
        <w:ind w:firstLine="709"/>
        <w:jc w:val="both"/>
      </w:pPr>
      <w:r>
        <w:rPr>
          <w:sz w:val="28"/>
          <w:szCs w:val="28"/>
        </w:rPr>
        <w:t xml:space="preserve">* </w:t>
      </w:r>
      <w:r w:rsidRPr="009727B2">
        <w:t>Министерством финансов Российской Федерации письмо</w:t>
      </w:r>
      <w:r>
        <w:t xml:space="preserve">м от 01.12.2014 </w:t>
      </w:r>
      <w:r w:rsidRPr="009727B2">
        <w:t xml:space="preserve">  № 06-03-05 рекомендовано органам исполнительной власти в отношении акционерных обществ, акции которых находятся в государственной собственности субъектов Российской Федерации, исходить из необходимости направления на выплату дивидендов не менее 35% чистой прибыли акционерного общества начиная с 2016 года. </w:t>
      </w:r>
    </w:p>
    <w:p w:rsidR="005D6ACF" w:rsidRPr="009727B2" w:rsidRDefault="005D6ACF" w:rsidP="005D6ACF">
      <w:pPr>
        <w:autoSpaceDE w:val="0"/>
        <w:autoSpaceDN w:val="0"/>
        <w:adjustRightInd w:val="0"/>
        <w:ind w:firstLine="709"/>
        <w:jc w:val="both"/>
      </w:pPr>
      <w:r w:rsidRPr="009727B2">
        <w:t>Министерством</w:t>
      </w:r>
      <w:r>
        <w:t xml:space="preserve"> имущественных и земельных отношений Тверской области</w:t>
      </w:r>
      <w:r w:rsidRPr="009727B2">
        <w:t>, как единственным акционером, советам директоров акционерных обществ с долей участия Тверской области будет рекомендовано направлять на выплату дивидендов не менее 50 % чистой прибыли общества.</w:t>
      </w:r>
    </w:p>
    <w:p w:rsidR="005D6ACF" w:rsidRPr="000C6C6D" w:rsidRDefault="005D6ACF" w:rsidP="005D6ACF">
      <w:pPr>
        <w:autoSpaceDE w:val="0"/>
        <w:autoSpaceDN w:val="0"/>
        <w:adjustRightInd w:val="0"/>
        <w:ind w:firstLine="709"/>
        <w:jc w:val="both"/>
        <w:rPr>
          <w:shd w:val="clear" w:color="auto" w:fill="FFFFFF"/>
        </w:rPr>
      </w:pPr>
      <w:r>
        <w:rPr>
          <w:color w:val="000000"/>
          <w:sz w:val="22"/>
          <w:szCs w:val="22"/>
        </w:rPr>
        <w:t>**В</w:t>
      </w:r>
      <w:r w:rsidRPr="000C6C6D">
        <w:rPr>
          <w:shd w:val="clear" w:color="auto" w:fill="FFFFFF"/>
        </w:rPr>
        <w:t xml:space="preserve"> связи с действующей методикой расчета дивидендов на основании методики расчета прибыли к распределению, утвержденной Положением о дивидендной политике ООО «Тверь Водоканал», основной составляющей при расчете прибыли к распределению между участниками Общества являются тарифы, утверждаемые на текущий год приказом ГУ РЭК Тверской области. </w:t>
      </w:r>
    </w:p>
    <w:p w:rsidR="005D6ACF" w:rsidRPr="000C6C6D" w:rsidRDefault="005D6ACF" w:rsidP="005D6ACF">
      <w:pPr>
        <w:ind w:firstLine="709"/>
        <w:jc w:val="both"/>
      </w:pPr>
      <w:r w:rsidRPr="000C6C6D">
        <w:rPr>
          <w:shd w:val="clear" w:color="auto" w:fill="FFFFFF"/>
        </w:rPr>
        <w:t>В состав выручки организации, получаемой от тарифной деятельности, входит инвестиционная составляющая, которую направлять на выплату дивидендов участникам Общества нельзя в связи с ее целевым характером (целевые деньги</w:t>
      </w:r>
      <w:r w:rsidRPr="000C6C6D">
        <w:rPr>
          <w:rFonts w:ascii="Arial" w:hAnsi="Arial" w:cs="Arial"/>
          <w:color w:val="333333"/>
          <w:sz w:val="21"/>
          <w:szCs w:val="21"/>
          <w:shd w:val="clear" w:color="auto" w:fill="FFFFFF"/>
        </w:rPr>
        <w:t xml:space="preserve"> </w:t>
      </w:r>
      <w:r w:rsidRPr="000C6C6D">
        <w:rPr>
          <w:shd w:val="clear" w:color="auto" w:fill="FFFFFF"/>
        </w:rPr>
        <w:t>на финансирование строительства и (или) модернизации системы коммунальной инфраструктуры). Кроме того, в состав выручки организации входят денежные средства в виде платы</w:t>
      </w:r>
      <w:r w:rsidRPr="000C6C6D">
        <w:t xml:space="preserve"> за негативное воздействие на окружающую среду, платы за предельно допустимую концентрацию загрязняющих веществ (далее – плата за негативное воздействие), которые также в соответствии с законодательством Российской Федерации являются целевыми и, соответственно, не подлежат направлению на выплату дивидендов участникам Общества. </w:t>
      </w:r>
    </w:p>
    <w:p w:rsidR="005D6ACF" w:rsidRPr="000C6C6D" w:rsidRDefault="005D6ACF" w:rsidP="005D6ACF">
      <w:pPr>
        <w:ind w:firstLine="709"/>
        <w:jc w:val="both"/>
      </w:pPr>
      <w:r w:rsidRPr="000C6C6D">
        <w:t xml:space="preserve">В этой связи при расчете чистой прибыли к распределению между участниками Общества вычитается инвестиционная составляющая и плата за негативное воздействие. </w:t>
      </w:r>
    </w:p>
    <w:p w:rsidR="005D6ACF" w:rsidRPr="000C6C6D" w:rsidRDefault="005D6ACF" w:rsidP="005D6ACF">
      <w:pPr>
        <w:autoSpaceDE w:val="0"/>
        <w:autoSpaceDN w:val="0"/>
        <w:adjustRightInd w:val="0"/>
        <w:ind w:firstLine="709"/>
        <w:jc w:val="both"/>
      </w:pPr>
      <w:r w:rsidRPr="000C6C6D">
        <w:t>Кроме того, принятие решения советом директоров Общества о распределении чистой прибыли Общества (в том числе между участниками Общества) осуществляется на основании фактически достигнутых Обществом результатов финансово-хозяйственной деятельности по итогам года, в том числе на основании потребности хозяйственного Общества в пополнении собственного оборотного капитала и обновлении основных производственных фондов.</w:t>
      </w:r>
    </w:p>
    <w:p w:rsidR="005D6ACF" w:rsidRPr="000C6C6D" w:rsidRDefault="005D6ACF" w:rsidP="005D6ACF">
      <w:pPr>
        <w:ind w:firstLine="709"/>
        <w:jc w:val="both"/>
      </w:pPr>
      <w:r w:rsidRPr="000C6C6D">
        <w:rPr>
          <w:rFonts w:eastAsia="SimSun"/>
          <w:lang w:eastAsia="zh-CN"/>
        </w:rPr>
        <w:t>В этой связи, учитывая существующую потребность Общества в обновлении основных фондов в целях улучшения качества услуг, предоставляемых населению Тверской области, может быть принято решение о необходимости направления чистой прибыли Общества на выше</w:t>
      </w:r>
      <w:r w:rsidRPr="000C6C6D">
        <w:t xml:space="preserve">указанные цели. </w:t>
      </w:r>
    </w:p>
    <w:p w:rsidR="005D6ACF" w:rsidRPr="000C6C6D" w:rsidRDefault="005D6ACF" w:rsidP="005D6ACF">
      <w:pPr>
        <w:ind w:firstLine="709"/>
        <w:jc w:val="both"/>
      </w:pPr>
      <w:r w:rsidRPr="000C6C6D">
        <w:t xml:space="preserve">Учитывая вышеизложенное, спрогнозировать размер чистой прибыли </w:t>
      </w:r>
      <w:r w:rsidRPr="000C6C6D">
        <w:rPr>
          <w:shd w:val="clear" w:color="auto" w:fill="FFFFFF"/>
        </w:rPr>
        <w:t>ООО «Тверь Водоканал»</w:t>
      </w:r>
      <w:r w:rsidRPr="000C6C6D">
        <w:t>, который будет направлен на выплату дивидендов участникам Общества, не представляется возможным.</w:t>
      </w:r>
    </w:p>
    <w:p w:rsidR="005D6ACF" w:rsidRPr="000C6C6D" w:rsidRDefault="005D6ACF" w:rsidP="005D6ACF">
      <w:pPr>
        <w:autoSpaceDE w:val="0"/>
        <w:autoSpaceDN w:val="0"/>
        <w:adjustRightInd w:val="0"/>
        <w:spacing w:line="235" w:lineRule="auto"/>
        <w:ind w:firstLine="709"/>
        <w:jc w:val="both"/>
        <w:rPr>
          <w:rFonts w:eastAsia="Calibri"/>
          <w:lang w:eastAsia="en-US"/>
        </w:rPr>
      </w:pPr>
    </w:p>
    <w:p w:rsidR="005D6ACF" w:rsidRPr="00C12720" w:rsidRDefault="005D6ACF" w:rsidP="005D6ACF">
      <w:pPr>
        <w:autoSpaceDE w:val="0"/>
        <w:autoSpaceDN w:val="0"/>
        <w:adjustRightInd w:val="0"/>
        <w:ind w:firstLine="709"/>
        <w:jc w:val="both"/>
        <w:rPr>
          <w:rFonts w:eastAsia="Calibri"/>
          <w:sz w:val="28"/>
          <w:szCs w:val="28"/>
          <w:lang w:eastAsia="en-US"/>
        </w:rPr>
      </w:pPr>
      <w:r w:rsidRPr="00C12720">
        <w:rPr>
          <w:rFonts w:eastAsia="Calibri"/>
          <w:sz w:val="28"/>
          <w:szCs w:val="28"/>
        </w:rPr>
        <w:t xml:space="preserve">Решения о выплате дивидендов принимаются Советом директоров обществ с учетом ограничений, установленных </w:t>
      </w:r>
      <w:r w:rsidRPr="00C12720">
        <w:rPr>
          <w:rFonts w:eastAsia="Calibri"/>
          <w:sz w:val="28"/>
          <w:szCs w:val="28"/>
          <w:lang w:eastAsia="en-US"/>
        </w:rPr>
        <w:t>статьей 43 Федерального закона от 26.12.1995 № 208-ФЗ «Об акционерных обществах»: акционерное общество не вправе принимать решение (объявлять) о выплате дивидендов по акциям, если на день принятия такого решения стоимость чистых активов общества меньше его уставного капитала.</w:t>
      </w:r>
    </w:p>
    <w:p w:rsidR="005D6ACF" w:rsidRDefault="005D6ACF" w:rsidP="005D6ACF">
      <w:pPr>
        <w:autoSpaceDE w:val="0"/>
        <w:autoSpaceDN w:val="0"/>
        <w:adjustRightInd w:val="0"/>
        <w:ind w:firstLine="709"/>
        <w:jc w:val="both"/>
        <w:rPr>
          <w:rFonts w:eastAsia="Calibri"/>
          <w:sz w:val="28"/>
          <w:szCs w:val="28"/>
        </w:rPr>
      </w:pPr>
      <w:r w:rsidRPr="00C12720">
        <w:rPr>
          <w:rFonts w:eastAsia="Calibri"/>
          <w:sz w:val="28"/>
          <w:szCs w:val="28"/>
        </w:rPr>
        <w:t>В соответствии со статьей 29 Федерального закона от 08.</w:t>
      </w:r>
      <w:r>
        <w:rPr>
          <w:rFonts w:eastAsia="Calibri"/>
          <w:sz w:val="28"/>
          <w:szCs w:val="28"/>
        </w:rPr>
        <w:t>02.1998     № 14-ФЗ</w:t>
      </w:r>
      <w:r w:rsidRPr="00C12720">
        <w:rPr>
          <w:rFonts w:eastAsia="Calibri"/>
          <w:sz w:val="28"/>
          <w:szCs w:val="28"/>
        </w:rPr>
        <w:t xml:space="preserve"> «Об обществах с ограниченной ответственностью» Общество не вправе принимать решение о распределении своей прибыли между участниками </w:t>
      </w:r>
      <w:r w:rsidRPr="00C12720">
        <w:rPr>
          <w:rFonts w:eastAsia="Calibri"/>
          <w:sz w:val="28"/>
          <w:szCs w:val="28"/>
        </w:rPr>
        <w:lastRenderedPageBreak/>
        <w:t xml:space="preserve">общества, если на момент принятия такого решения стоимость </w:t>
      </w:r>
      <w:hyperlink r:id="rId24" w:history="1">
        <w:r w:rsidRPr="00C12720">
          <w:rPr>
            <w:rFonts w:eastAsia="Calibri"/>
            <w:sz w:val="28"/>
            <w:szCs w:val="28"/>
          </w:rPr>
          <w:t>чистых активов</w:t>
        </w:r>
      </w:hyperlink>
      <w:r w:rsidRPr="00C12720">
        <w:rPr>
          <w:rFonts w:eastAsia="Calibri"/>
          <w:sz w:val="28"/>
          <w:szCs w:val="28"/>
        </w:rPr>
        <w:t xml:space="preserve"> общества меньше его уставного капитала и резервного фонда или станет меньше их размера в результате принятия такого решения.</w:t>
      </w:r>
    </w:p>
    <w:p w:rsidR="005D6ACF" w:rsidRDefault="005D6ACF" w:rsidP="005D6ACF">
      <w:pPr>
        <w:autoSpaceDE w:val="0"/>
        <w:autoSpaceDN w:val="0"/>
        <w:adjustRightInd w:val="0"/>
        <w:ind w:firstLine="709"/>
        <w:jc w:val="both"/>
        <w:rPr>
          <w:rFonts w:eastAsia="Calibri"/>
          <w:sz w:val="28"/>
          <w:szCs w:val="28"/>
        </w:rPr>
      </w:pPr>
    </w:p>
    <w:p w:rsidR="005D6ACF" w:rsidRDefault="005D6ACF" w:rsidP="005D6ACF">
      <w:pPr>
        <w:autoSpaceDE w:val="0"/>
        <w:autoSpaceDN w:val="0"/>
        <w:adjustRightInd w:val="0"/>
        <w:ind w:firstLine="709"/>
        <w:jc w:val="both"/>
        <w:rPr>
          <w:color w:val="000000"/>
          <w:sz w:val="28"/>
          <w:szCs w:val="28"/>
        </w:rPr>
      </w:pPr>
      <w:r w:rsidRPr="007D761F">
        <w:rPr>
          <w:b/>
          <w:bCs/>
          <w:color w:val="000000" w:themeColor="text1"/>
          <w:sz w:val="28"/>
          <w:szCs w:val="28"/>
        </w:rPr>
        <w:t xml:space="preserve">Доходы от операций по управлению остатками средств на едином казначейском счете, зачисляемые в бюджеты субъектов Российской Федерации </w:t>
      </w:r>
      <w:r w:rsidRPr="007D761F">
        <w:rPr>
          <w:bCs/>
          <w:color w:val="000000" w:themeColor="text1"/>
          <w:sz w:val="28"/>
          <w:szCs w:val="28"/>
        </w:rPr>
        <w:t>(</w:t>
      </w:r>
      <w:r w:rsidRPr="007D761F">
        <w:rPr>
          <w:color w:val="000000"/>
          <w:sz w:val="28"/>
          <w:szCs w:val="28"/>
        </w:rPr>
        <w:t>000 1 11 02102 02 0000 120)</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8"/>
        <w:gridCol w:w="1800"/>
        <w:gridCol w:w="1800"/>
        <w:gridCol w:w="1800"/>
      </w:tblGrid>
      <w:tr w:rsidR="005D6ACF" w:rsidRPr="004954E8" w:rsidTr="008A253E">
        <w:tc>
          <w:tcPr>
            <w:tcW w:w="4068" w:type="dxa"/>
          </w:tcPr>
          <w:p w:rsidR="005D6ACF" w:rsidRPr="004954E8" w:rsidRDefault="005D6ACF" w:rsidP="008A253E">
            <w:pPr>
              <w:pStyle w:val="21"/>
              <w:rPr>
                <w:b/>
                <w:color w:val="000000" w:themeColor="text1"/>
              </w:rPr>
            </w:pPr>
            <w:r w:rsidRPr="004954E8">
              <w:rPr>
                <w:b/>
                <w:color w:val="000000" w:themeColor="text1"/>
              </w:rPr>
              <w:t>Наименование</w:t>
            </w:r>
          </w:p>
        </w:tc>
        <w:tc>
          <w:tcPr>
            <w:tcW w:w="1800" w:type="dxa"/>
            <w:tcBorders>
              <w:bottom w:val="single" w:sz="4" w:space="0" w:color="auto"/>
            </w:tcBorders>
          </w:tcPr>
          <w:p w:rsidR="005D6ACF" w:rsidRPr="004954E8" w:rsidRDefault="005D6ACF" w:rsidP="008A253E">
            <w:pPr>
              <w:jc w:val="center"/>
              <w:rPr>
                <w:b/>
                <w:color w:val="000000" w:themeColor="text1"/>
                <w:sz w:val="28"/>
                <w:szCs w:val="28"/>
              </w:rPr>
            </w:pPr>
            <w:r w:rsidRPr="004954E8">
              <w:rPr>
                <w:b/>
                <w:color w:val="000000" w:themeColor="text1"/>
                <w:sz w:val="28"/>
                <w:szCs w:val="28"/>
              </w:rPr>
              <w:t>Прогноз на 2022 год</w:t>
            </w:r>
          </w:p>
        </w:tc>
        <w:tc>
          <w:tcPr>
            <w:tcW w:w="1800" w:type="dxa"/>
            <w:tcBorders>
              <w:bottom w:val="single" w:sz="4" w:space="0" w:color="auto"/>
            </w:tcBorders>
          </w:tcPr>
          <w:p w:rsidR="005D6ACF" w:rsidRPr="004954E8" w:rsidRDefault="005D6ACF" w:rsidP="008A253E">
            <w:pPr>
              <w:jc w:val="center"/>
              <w:rPr>
                <w:b/>
                <w:color w:val="000000" w:themeColor="text1"/>
                <w:sz w:val="28"/>
                <w:szCs w:val="28"/>
                <w:lang w:val="en-US"/>
              </w:rPr>
            </w:pPr>
            <w:r w:rsidRPr="004954E8">
              <w:rPr>
                <w:b/>
                <w:color w:val="000000" w:themeColor="text1"/>
                <w:sz w:val="28"/>
                <w:szCs w:val="28"/>
              </w:rPr>
              <w:t>Прогноз на 2023 год</w:t>
            </w:r>
          </w:p>
        </w:tc>
        <w:tc>
          <w:tcPr>
            <w:tcW w:w="1800" w:type="dxa"/>
            <w:tcBorders>
              <w:bottom w:val="single" w:sz="4" w:space="0" w:color="auto"/>
            </w:tcBorders>
          </w:tcPr>
          <w:p w:rsidR="005D6ACF" w:rsidRPr="004954E8" w:rsidRDefault="005D6ACF" w:rsidP="008A253E">
            <w:pPr>
              <w:jc w:val="center"/>
              <w:rPr>
                <w:b/>
                <w:color w:val="000000" w:themeColor="text1"/>
                <w:sz w:val="28"/>
                <w:szCs w:val="28"/>
                <w:lang w:val="en-US"/>
              </w:rPr>
            </w:pPr>
            <w:r w:rsidRPr="004954E8">
              <w:rPr>
                <w:b/>
                <w:color w:val="000000" w:themeColor="text1"/>
                <w:sz w:val="28"/>
                <w:szCs w:val="28"/>
              </w:rPr>
              <w:t>Прогноз на 2024 год</w:t>
            </w:r>
          </w:p>
        </w:tc>
      </w:tr>
      <w:tr w:rsidR="005D6ACF" w:rsidRPr="004954E8" w:rsidTr="008A253E">
        <w:tc>
          <w:tcPr>
            <w:tcW w:w="4068" w:type="dxa"/>
          </w:tcPr>
          <w:p w:rsidR="005D6ACF" w:rsidRPr="007D761F" w:rsidRDefault="005D6ACF" w:rsidP="008A253E">
            <w:pPr>
              <w:pStyle w:val="21"/>
              <w:rPr>
                <w:color w:val="000000" w:themeColor="text1"/>
              </w:rPr>
            </w:pPr>
            <w:r w:rsidRPr="007D761F">
              <w:rPr>
                <w:bCs/>
                <w:color w:val="000000" w:themeColor="text1"/>
              </w:rPr>
              <w:t>Доходы от операций по управлению остатками средств на едином казначейском счете, зачисляемые в бюджеты субъектов Российской Федерации</w:t>
            </w:r>
          </w:p>
        </w:tc>
        <w:tc>
          <w:tcPr>
            <w:tcW w:w="1800" w:type="dxa"/>
            <w:vAlign w:val="center"/>
          </w:tcPr>
          <w:p w:rsidR="005D6ACF" w:rsidRPr="004954E8" w:rsidRDefault="005D6ACF" w:rsidP="008A253E">
            <w:pPr>
              <w:jc w:val="center"/>
              <w:rPr>
                <w:color w:val="000000" w:themeColor="text1"/>
              </w:rPr>
            </w:pPr>
            <w:r>
              <w:rPr>
                <w:color w:val="000000" w:themeColor="text1"/>
              </w:rPr>
              <w:t>223 301,6</w:t>
            </w:r>
          </w:p>
        </w:tc>
        <w:tc>
          <w:tcPr>
            <w:tcW w:w="1800" w:type="dxa"/>
            <w:vAlign w:val="center"/>
          </w:tcPr>
          <w:p w:rsidR="005D6ACF" w:rsidRPr="004954E8" w:rsidRDefault="005D6ACF" w:rsidP="008A253E">
            <w:pPr>
              <w:jc w:val="center"/>
              <w:rPr>
                <w:color w:val="000000" w:themeColor="text1"/>
              </w:rPr>
            </w:pPr>
            <w:r>
              <w:rPr>
                <w:color w:val="000000" w:themeColor="text1"/>
              </w:rPr>
              <w:t>223 301,6</w:t>
            </w:r>
          </w:p>
        </w:tc>
        <w:tc>
          <w:tcPr>
            <w:tcW w:w="1800" w:type="dxa"/>
            <w:vAlign w:val="center"/>
          </w:tcPr>
          <w:p w:rsidR="005D6ACF" w:rsidRPr="004954E8" w:rsidRDefault="005D6ACF" w:rsidP="008A253E">
            <w:pPr>
              <w:jc w:val="center"/>
              <w:rPr>
                <w:color w:val="000000" w:themeColor="text1"/>
              </w:rPr>
            </w:pPr>
            <w:r>
              <w:rPr>
                <w:color w:val="000000" w:themeColor="text1"/>
              </w:rPr>
              <w:t>223 301,6</w:t>
            </w:r>
          </w:p>
        </w:tc>
      </w:tr>
    </w:tbl>
    <w:p w:rsidR="005D6ACF" w:rsidRPr="009D7824" w:rsidRDefault="005D6ACF" w:rsidP="005D6ACF">
      <w:pPr>
        <w:ind w:left="-15" w:firstLine="582"/>
        <w:jc w:val="both"/>
        <w:rPr>
          <w:sz w:val="28"/>
          <w:szCs w:val="28"/>
        </w:rPr>
      </w:pPr>
      <w:r w:rsidRPr="009D7824">
        <w:rPr>
          <w:sz w:val="28"/>
          <w:szCs w:val="28"/>
        </w:rPr>
        <w:t xml:space="preserve">Прогноз поступления доходов по КБК 090 1 11 02102 02 0000 120 «Доходы от операций по управлению остатками средств на едином казначейском счете, зачисляемые в бюджеты субъектов Российской Федерации» на 2022 – 2024 годы составляет 223 301,6 тыс. руб., с учетом проекта приказа Министерства финансов Тверской области «О внесении изменений в приказ Министерства финансов Тверской области от 31.08.2016 № 50 «Об утверждении Методики прогнозирования поступлений доходов в областной бюджет Тверской области, главным администратором которых является Министерство финансов Тверской области» (ВР-625014), согласованного управлением доходов. </w:t>
      </w:r>
    </w:p>
    <w:p w:rsidR="005D6ACF" w:rsidRPr="009D7824" w:rsidRDefault="005D6ACF" w:rsidP="005D6ACF">
      <w:pPr>
        <w:ind w:left="-15"/>
        <w:jc w:val="both"/>
        <w:rPr>
          <w:sz w:val="28"/>
          <w:szCs w:val="28"/>
        </w:rPr>
      </w:pPr>
      <w:r w:rsidRPr="009D7824">
        <w:rPr>
          <w:sz w:val="28"/>
          <w:szCs w:val="28"/>
        </w:rPr>
        <w:t xml:space="preserve">Указанная сумма поступлений определена исходя из минимальной суммы фактического поступления доходов за квартал в течение 2021 года (55 825,4 тыс. руб.).  55 825,4 тыс. руб. * 4 = 223 301,6 тыс. руб. </w:t>
      </w:r>
    </w:p>
    <w:p w:rsidR="005D6ACF" w:rsidRPr="007D761F" w:rsidRDefault="005D6ACF" w:rsidP="005D6ACF">
      <w:pPr>
        <w:autoSpaceDE w:val="0"/>
        <w:autoSpaceDN w:val="0"/>
        <w:adjustRightInd w:val="0"/>
        <w:ind w:firstLine="709"/>
        <w:jc w:val="both"/>
        <w:rPr>
          <w:b/>
          <w:bCs/>
          <w:color w:val="000000" w:themeColor="text1"/>
          <w:sz w:val="28"/>
          <w:szCs w:val="28"/>
        </w:rPr>
      </w:pPr>
    </w:p>
    <w:p w:rsidR="005D6ACF" w:rsidRPr="004954E8" w:rsidRDefault="005D6ACF" w:rsidP="005D6ACF">
      <w:pPr>
        <w:pStyle w:val="21"/>
        <w:rPr>
          <w:bCs/>
          <w:color w:val="000000" w:themeColor="text1"/>
        </w:rPr>
      </w:pPr>
      <w:r w:rsidRPr="004954E8">
        <w:rPr>
          <w:b/>
          <w:bCs/>
          <w:color w:val="000000" w:themeColor="text1"/>
        </w:rPr>
        <w:t>Проценты, полученные от предоставления бюджетных кредитов внутри страны за счет средств бюджетов субъектов Российской Федерации</w:t>
      </w:r>
      <w:r w:rsidRPr="004954E8">
        <w:rPr>
          <w:bCs/>
          <w:color w:val="000000" w:themeColor="text1"/>
        </w:rPr>
        <w:t xml:space="preserve"> (0</w:t>
      </w:r>
      <w:r>
        <w:rPr>
          <w:bCs/>
          <w:color w:val="000000" w:themeColor="text1"/>
        </w:rPr>
        <w:t>0</w:t>
      </w:r>
      <w:r w:rsidRPr="004954E8">
        <w:rPr>
          <w:bCs/>
          <w:color w:val="000000" w:themeColor="text1"/>
        </w:rPr>
        <w:t>0 1 11 03020 02 0000 120</w:t>
      </w:r>
    </w:p>
    <w:p w:rsidR="005D6ACF" w:rsidRPr="004954E8" w:rsidRDefault="005D6ACF" w:rsidP="005D6ACF">
      <w:pPr>
        <w:pStyle w:val="21"/>
        <w:ind w:left="709"/>
        <w:jc w:val="right"/>
        <w:rPr>
          <w:b/>
          <w:color w:val="000000" w:themeColor="text1"/>
        </w:rPr>
      </w:pPr>
      <w:r w:rsidRPr="004954E8">
        <w:rPr>
          <w:b/>
          <w:color w:val="000000" w:themeColor="text1"/>
        </w:rPr>
        <w:t>тыс. руб.</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8"/>
        <w:gridCol w:w="1800"/>
        <w:gridCol w:w="1800"/>
        <w:gridCol w:w="1800"/>
      </w:tblGrid>
      <w:tr w:rsidR="005D6ACF" w:rsidRPr="004954E8" w:rsidTr="008A253E">
        <w:tc>
          <w:tcPr>
            <w:tcW w:w="4068" w:type="dxa"/>
          </w:tcPr>
          <w:p w:rsidR="005D6ACF" w:rsidRPr="004954E8" w:rsidRDefault="005D6ACF" w:rsidP="008A253E">
            <w:pPr>
              <w:pStyle w:val="21"/>
              <w:rPr>
                <w:b/>
                <w:color w:val="000000" w:themeColor="text1"/>
              </w:rPr>
            </w:pPr>
            <w:r w:rsidRPr="004954E8">
              <w:rPr>
                <w:b/>
                <w:color w:val="000000" w:themeColor="text1"/>
              </w:rPr>
              <w:t>Наименование</w:t>
            </w:r>
          </w:p>
        </w:tc>
        <w:tc>
          <w:tcPr>
            <w:tcW w:w="1800" w:type="dxa"/>
            <w:tcBorders>
              <w:bottom w:val="single" w:sz="4" w:space="0" w:color="auto"/>
            </w:tcBorders>
          </w:tcPr>
          <w:p w:rsidR="005D6ACF" w:rsidRPr="004954E8" w:rsidRDefault="005D6ACF" w:rsidP="008A253E">
            <w:pPr>
              <w:jc w:val="center"/>
              <w:rPr>
                <w:b/>
                <w:color w:val="000000" w:themeColor="text1"/>
                <w:sz w:val="28"/>
                <w:szCs w:val="28"/>
              </w:rPr>
            </w:pPr>
            <w:r w:rsidRPr="004954E8">
              <w:rPr>
                <w:b/>
                <w:color w:val="000000" w:themeColor="text1"/>
                <w:sz w:val="28"/>
                <w:szCs w:val="28"/>
              </w:rPr>
              <w:t>Прогноз на 2022 год</w:t>
            </w:r>
          </w:p>
        </w:tc>
        <w:tc>
          <w:tcPr>
            <w:tcW w:w="1800" w:type="dxa"/>
            <w:tcBorders>
              <w:bottom w:val="single" w:sz="4" w:space="0" w:color="auto"/>
            </w:tcBorders>
          </w:tcPr>
          <w:p w:rsidR="005D6ACF" w:rsidRPr="004954E8" w:rsidRDefault="005D6ACF" w:rsidP="008A253E">
            <w:pPr>
              <w:jc w:val="center"/>
              <w:rPr>
                <w:b/>
                <w:color w:val="000000" w:themeColor="text1"/>
                <w:sz w:val="28"/>
                <w:szCs w:val="28"/>
                <w:lang w:val="en-US"/>
              </w:rPr>
            </w:pPr>
            <w:r w:rsidRPr="004954E8">
              <w:rPr>
                <w:b/>
                <w:color w:val="000000" w:themeColor="text1"/>
                <w:sz w:val="28"/>
                <w:szCs w:val="28"/>
              </w:rPr>
              <w:t>Прогноз на 2023 год</w:t>
            </w:r>
          </w:p>
        </w:tc>
        <w:tc>
          <w:tcPr>
            <w:tcW w:w="1800" w:type="dxa"/>
            <w:tcBorders>
              <w:bottom w:val="single" w:sz="4" w:space="0" w:color="auto"/>
            </w:tcBorders>
          </w:tcPr>
          <w:p w:rsidR="005D6ACF" w:rsidRPr="004954E8" w:rsidRDefault="005D6ACF" w:rsidP="008A253E">
            <w:pPr>
              <w:jc w:val="center"/>
              <w:rPr>
                <w:b/>
                <w:color w:val="000000" w:themeColor="text1"/>
                <w:sz w:val="28"/>
                <w:szCs w:val="28"/>
                <w:lang w:val="en-US"/>
              </w:rPr>
            </w:pPr>
            <w:r w:rsidRPr="004954E8">
              <w:rPr>
                <w:b/>
                <w:color w:val="000000" w:themeColor="text1"/>
                <w:sz w:val="28"/>
                <w:szCs w:val="28"/>
              </w:rPr>
              <w:t>Прогноз на 2024 год</w:t>
            </w:r>
          </w:p>
        </w:tc>
      </w:tr>
      <w:tr w:rsidR="005D6ACF" w:rsidRPr="004954E8" w:rsidTr="008A253E">
        <w:tc>
          <w:tcPr>
            <w:tcW w:w="4068" w:type="dxa"/>
          </w:tcPr>
          <w:p w:rsidR="005D6ACF" w:rsidRPr="004954E8" w:rsidRDefault="005D6ACF" w:rsidP="008A253E">
            <w:pPr>
              <w:pStyle w:val="21"/>
              <w:rPr>
                <w:color w:val="000000" w:themeColor="text1"/>
              </w:rPr>
            </w:pPr>
            <w:r w:rsidRPr="004954E8">
              <w:rPr>
                <w:color w:val="000000" w:themeColor="text1"/>
              </w:rPr>
              <w:t xml:space="preserve">Проценты, полученные от предоставления бюджетных кредитов внутри страны за счет средств бюджетов субъектов Российской Федерации </w:t>
            </w:r>
          </w:p>
        </w:tc>
        <w:tc>
          <w:tcPr>
            <w:tcW w:w="1800" w:type="dxa"/>
            <w:vAlign w:val="center"/>
          </w:tcPr>
          <w:p w:rsidR="005D6ACF" w:rsidRPr="004954E8" w:rsidRDefault="005D6ACF" w:rsidP="008A253E">
            <w:pPr>
              <w:jc w:val="center"/>
              <w:rPr>
                <w:color w:val="000000" w:themeColor="text1"/>
              </w:rPr>
            </w:pPr>
            <w:r w:rsidRPr="004954E8">
              <w:rPr>
                <w:color w:val="000000" w:themeColor="text1"/>
              </w:rPr>
              <w:t>366,0</w:t>
            </w:r>
          </w:p>
        </w:tc>
        <w:tc>
          <w:tcPr>
            <w:tcW w:w="1800" w:type="dxa"/>
            <w:vAlign w:val="center"/>
          </w:tcPr>
          <w:p w:rsidR="005D6ACF" w:rsidRPr="004954E8" w:rsidRDefault="005D6ACF" w:rsidP="008A253E">
            <w:pPr>
              <w:jc w:val="center"/>
              <w:rPr>
                <w:color w:val="000000" w:themeColor="text1"/>
              </w:rPr>
            </w:pPr>
            <w:r w:rsidRPr="004954E8">
              <w:rPr>
                <w:color w:val="000000" w:themeColor="text1"/>
              </w:rPr>
              <w:t>390,9</w:t>
            </w:r>
          </w:p>
        </w:tc>
        <w:tc>
          <w:tcPr>
            <w:tcW w:w="1800" w:type="dxa"/>
            <w:vAlign w:val="center"/>
          </w:tcPr>
          <w:p w:rsidR="005D6ACF" w:rsidRPr="004954E8" w:rsidRDefault="005D6ACF" w:rsidP="008A253E">
            <w:pPr>
              <w:jc w:val="center"/>
              <w:rPr>
                <w:color w:val="000000" w:themeColor="text1"/>
              </w:rPr>
            </w:pPr>
            <w:r w:rsidRPr="004954E8">
              <w:rPr>
                <w:color w:val="000000" w:themeColor="text1"/>
              </w:rPr>
              <w:t>405,8</w:t>
            </w:r>
          </w:p>
        </w:tc>
      </w:tr>
    </w:tbl>
    <w:p w:rsidR="005D6ACF" w:rsidRPr="00C93A58" w:rsidRDefault="005D6ACF" w:rsidP="005D6ACF">
      <w:pPr>
        <w:ind w:firstLine="708"/>
        <w:jc w:val="both"/>
        <w:rPr>
          <w:sz w:val="28"/>
          <w:szCs w:val="28"/>
        </w:rPr>
      </w:pPr>
      <w:r w:rsidRPr="003337FF">
        <w:rPr>
          <w:color w:val="000000" w:themeColor="text1"/>
          <w:sz w:val="28"/>
          <w:szCs w:val="28"/>
        </w:rPr>
        <w:t xml:space="preserve">В соответствии с Методикой прогнозирования утвержденной приказом Министерства финансов Тверской области от 31.08.2016 № 50 «Об утверждении Методики прогнозирования поступлений доходов в областной бюджет Тверской области, главным администратором которых является Министерство финансов  Тверской области» </w:t>
      </w:r>
      <w:r w:rsidRPr="00C93A58">
        <w:rPr>
          <w:sz w:val="28"/>
          <w:szCs w:val="28"/>
        </w:rPr>
        <w:t xml:space="preserve">прогнозирование поступлений доходов в областной бюджет по коду доходов «Проценты, полученные от предоставления бюджетных кредитов </w:t>
      </w:r>
      <w:r w:rsidRPr="00C93A58">
        <w:rPr>
          <w:sz w:val="28"/>
          <w:szCs w:val="28"/>
        </w:rPr>
        <w:lastRenderedPageBreak/>
        <w:t>внутри страны за счет средств бюджетов субъектов Российской Федерации» осуществляется исходя из объема задолженности по ранее предоставленным бюджетам муниципальных образований Тверской области бюджетным кредитам из областного бюджета,  планируемого объема бюджетных ассигнований на предоставление бюджетных кредитов бюджетам муниципальных образований Тверской области из областного бюджета и  условий действующих и планируемых к заключению договоров о предоставлении бюджетных кредитов из областного бюджета Тверской области.</w:t>
      </w:r>
    </w:p>
    <w:p w:rsidR="005D6ACF" w:rsidRPr="00C93A58" w:rsidRDefault="005D6ACF" w:rsidP="005D6ACF">
      <w:pPr>
        <w:pStyle w:val="ConsPlusNormal"/>
        <w:ind w:firstLine="709"/>
        <w:jc w:val="both"/>
        <w:rPr>
          <w:rFonts w:ascii="Times New Roman" w:hAnsi="Times New Roman" w:cs="Times New Roman"/>
          <w:sz w:val="28"/>
          <w:szCs w:val="28"/>
        </w:rPr>
      </w:pPr>
      <w:r w:rsidRPr="00C93A58">
        <w:rPr>
          <w:rFonts w:ascii="Times New Roman" w:hAnsi="Times New Roman" w:cs="Times New Roman"/>
          <w:sz w:val="28"/>
          <w:szCs w:val="28"/>
        </w:rPr>
        <w:t>Прогнозирование поступлений доходов в областной бюджет по коду доходов «Проценты, полученные от предоставления бюджетных кредитов внутри страны за счет средств бюджетов субъектов Российской Федерации» осуществляется методом прямого расчета по следующим формулам:</w:t>
      </w:r>
    </w:p>
    <w:p w:rsidR="005D6ACF" w:rsidRPr="00C93A58" w:rsidRDefault="005D6ACF" w:rsidP="005D6ACF">
      <w:pPr>
        <w:pStyle w:val="ConsNormal"/>
        <w:widowControl/>
        <w:suppressLineNumbers/>
        <w:ind w:firstLine="0"/>
        <w:rPr>
          <w:b/>
          <w:sz w:val="28"/>
          <w:szCs w:val="28"/>
        </w:rPr>
      </w:pPr>
    </w:p>
    <w:p w:rsidR="005D6ACF" w:rsidRPr="00C93A58" w:rsidRDefault="005D6ACF" w:rsidP="005D6ACF">
      <w:pPr>
        <w:pStyle w:val="ConsNormal"/>
        <w:suppressLineNumbers/>
        <w:ind w:firstLine="0"/>
        <w:jc w:val="center"/>
        <w:rPr>
          <w:bCs/>
          <w:sz w:val="28"/>
          <w:szCs w:val="28"/>
        </w:rPr>
      </w:pPr>
      <w:r w:rsidRPr="00C93A58">
        <w:rPr>
          <w:sz w:val="28"/>
          <w:szCs w:val="28"/>
        </w:rPr>
        <w:t>Д = Пмо1 + Пмо2,</w:t>
      </w:r>
      <w:r w:rsidRPr="00C93A58">
        <w:rPr>
          <w:b/>
          <w:sz w:val="28"/>
          <w:szCs w:val="28"/>
        </w:rPr>
        <w:t xml:space="preserve"> </w:t>
      </w:r>
    </w:p>
    <w:p w:rsidR="005D6ACF" w:rsidRPr="00C93A58" w:rsidRDefault="005D6ACF" w:rsidP="005D6ACF">
      <w:pPr>
        <w:pStyle w:val="ConsNormal"/>
        <w:suppressLineNumbers/>
        <w:jc w:val="both"/>
        <w:rPr>
          <w:b/>
          <w:sz w:val="28"/>
          <w:szCs w:val="28"/>
        </w:rPr>
      </w:pPr>
      <w:r w:rsidRPr="00C93A58">
        <w:rPr>
          <w:b/>
          <w:sz w:val="28"/>
          <w:szCs w:val="28"/>
        </w:rPr>
        <w:t xml:space="preserve">                                                                                                                                                                                                                                                                                                                           </w:t>
      </w:r>
    </w:p>
    <w:p w:rsidR="005D6ACF" w:rsidRPr="00C93A58" w:rsidRDefault="005D6ACF" w:rsidP="005D6ACF">
      <w:pPr>
        <w:pStyle w:val="ConsNormal"/>
        <w:suppressLineNumbers/>
        <w:ind w:firstLine="709"/>
        <w:jc w:val="both"/>
        <w:rPr>
          <w:sz w:val="28"/>
          <w:szCs w:val="28"/>
        </w:rPr>
      </w:pPr>
      <w:r w:rsidRPr="00C93A58">
        <w:rPr>
          <w:sz w:val="28"/>
          <w:szCs w:val="28"/>
        </w:rPr>
        <w:t xml:space="preserve">где: </w:t>
      </w:r>
    </w:p>
    <w:p w:rsidR="005D6ACF" w:rsidRPr="00C93A58" w:rsidRDefault="005D6ACF" w:rsidP="005D6ACF">
      <w:pPr>
        <w:pStyle w:val="ConsNormal"/>
        <w:suppressLineNumbers/>
        <w:ind w:firstLine="709"/>
        <w:jc w:val="both"/>
        <w:rPr>
          <w:b/>
          <w:sz w:val="28"/>
          <w:szCs w:val="28"/>
        </w:rPr>
      </w:pPr>
      <w:r w:rsidRPr="00C93A58">
        <w:rPr>
          <w:sz w:val="28"/>
          <w:szCs w:val="28"/>
        </w:rPr>
        <w:t>Д</w:t>
      </w:r>
      <w:r w:rsidRPr="00C93A58">
        <w:rPr>
          <w:b/>
          <w:sz w:val="28"/>
          <w:szCs w:val="28"/>
        </w:rPr>
        <w:t xml:space="preserve"> </w:t>
      </w:r>
      <w:r w:rsidRPr="00C93A58">
        <w:rPr>
          <w:sz w:val="28"/>
          <w:szCs w:val="28"/>
        </w:rPr>
        <w:t>– прогноз поступлений доходов от уплаты процентов по бюджетным кредитам, прогнозируемых к поступлению</w:t>
      </w:r>
      <w:r w:rsidRPr="00C93A58">
        <w:rPr>
          <w:b/>
          <w:sz w:val="28"/>
          <w:szCs w:val="28"/>
        </w:rPr>
        <w:t xml:space="preserve"> </w:t>
      </w:r>
      <w:r w:rsidRPr="00C93A58">
        <w:rPr>
          <w:sz w:val="28"/>
          <w:szCs w:val="28"/>
        </w:rPr>
        <w:t>в областной бюджет;</w:t>
      </w:r>
    </w:p>
    <w:p w:rsidR="005D6ACF" w:rsidRPr="00C93A58" w:rsidRDefault="005D6ACF" w:rsidP="005D6ACF">
      <w:pPr>
        <w:pStyle w:val="ConsNormal"/>
        <w:suppressLineNumbers/>
        <w:ind w:firstLine="709"/>
        <w:jc w:val="both"/>
        <w:rPr>
          <w:b/>
          <w:sz w:val="28"/>
          <w:szCs w:val="28"/>
        </w:rPr>
      </w:pPr>
      <w:r w:rsidRPr="00C93A58">
        <w:rPr>
          <w:sz w:val="28"/>
          <w:szCs w:val="28"/>
        </w:rPr>
        <w:t>Пмо1</w:t>
      </w:r>
      <w:r w:rsidRPr="00C93A58">
        <w:rPr>
          <w:b/>
          <w:sz w:val="28"/>
          <w:szCs w:val="28"/>
        </w:rPr>
        <w:t xml:space="preserve"> </w:t>
      </w:r>
      <w:r w:rsidRPr="00C93A58">
        <w:rPr>
          <w:sz w:val="28"/>
          <w:szCs w:val="28"/>
        </w:rPr>
        <w:t>–</w:t>
      </w:r>
      <w:r w:rsidRPr="00C93A58">
        <w:rPr>
          <w:b/>
          <w:sz w:val="28"/>
          <w:szCs w:val="28"/>
        </w:rPr>
        <w:t xml:space="preserve"> </w:t>
      </w:r>
      <w:r w:rsidRPr="00C93A58">
        <w:rPr>
          <w:sz w:val="28"/>
          <w:szCs w:val="28"/>
        </w:rPr>
        <w:t>проценты, полученные от предоставления бюджетных кредитов из областного бюджета бюджетам муниципальных образований Тверской области по ранее заключенным договорам о предоставлении бюджетных кредитов;</w:t>
      </w:r>
    </w:p>
    <w:p w:rsidR="005D6ACF" w:rsidRPr="00C93A58" w:rsidRDefault="005D6ACF" w:rsidP="005D6ACF">
      <w:pPr>
        <w:pStyle w:val="ConsNormal"/>
        <w:suppressLineNumbers/>
        <w:ind w:firstLine="709"/>
        <w:jc w:val="both"/>
        <w:rPr>
          <w:b/>
          <w:sz w:val="28"/>
          <w:szCs w:val="28"/>
        </w:rPr>
      </w:pPr>
      <w:r w:rsidRPr="00C93A58">
        <w:rPr>
          <w:sz w:val="28"/>
          <w:szCs w:val="28"/>
        </w:rPr>
        <w:t>Пмо2</w:t>
      </w:r>
      <w:r w:rsidRPr="00C93A58">
        <w:rPr>
          <w:b/>
          <w:sz w:val="28"/>
          <w:szCs w:val="28"/>
        </w:rPr>
        <w:t xml:space="preserve"> </w:t>
      </w:r>
      <w:r w:rsidRPr="00C93A58">
        <w:rPr>
          <w:sz w:val="28"/>
          <w:szCs w:val="28"/>
        </w:rPr>
        <w:t>–</w:t>
      </w:r>
      <w:r w:rsidRPr="00C93A58">
        <w:rPr>
          <w:b/>
          <w:sz w:val="28"/>
          <w:szCs w:val="28"/>
        </w:rPr>
        <w:t xml:space="preserve"> </w:t>
      </w:r>
      <w:r w:rsidRPr="00C93A58">
        <w:rPr>
          <w:sz w:val="28"/>
          <w:szCs w:val="28"/>
        </w:rPr>
        <w:t>проценты от планируемого предоставления бюджетных кредитов из областного бюджета бюджетам муниципальных образований Тверской области.</w:t>
      </w:r>
    </w:p>
    <w:p w:rsidR="005D6ACF" w:rsidRPr="00C93A58" w:rsidRDefault="005D6ACF" w:rsidP="005D6ACF">
      <w:pPr>
        <w:pStyle w:val="ConsNormal"/>
        <w:suppressLineNumbers/>
        <w:ind w:firstLine="0"/>
        <w:rPr>
          <w:sz w:val="28"/>
          <w:szCs w:val="28"/>
        </w:rPr>
      </w:pPr>
    </w:p>
    <w:p w:rsidR="005D6ACF" w:rsidRPr="00C93A58" w:rsidRDefault="005D6ACF" w:rsidP="005D6ACF">
      <w:pPr>
        <w:pStyle w:val="ConsNormal"/>
        <w:suppressLineNumbers/>
        <w:ind w:firstLine="0"/>
        <w:jc w:val="center"/>
        <w:rPr>
          <w:sz w:val="28"/>
          <w:szCs w:val="28"/>
        </w:rPr>
      </w:pPr>
      <w:r w:rsidRPr="00C93A58">
        <w:rPr>
          <w:sz w:val="28"/>
          <w:szCs w:val="28"/>
        </w:rPr>
        <w:t>Пмо1 = ОЗ</w:t>
      </w:r>
      <w:r w:rsidRPr="00C93A58">
        <w:rPr>
          <w:sz w:val="28"/>
          <w:szCs w:val="28"/>
          <w:u w:val="single"/>
        </w:rPr>
        <w:t>Дмо x РПмо х КДПмо</w:t>
      </w:r>
      <w:r w:rsidRPr="00C93A58">
        <w:rPr>
          <w:sz w:val="28"/>
          <w:szCs w:val="28"/>
        </w:rPr>
        <w:t xml:space="preserve">,  </w:t>
      </w:r>
    </w:p>
    <w:p w:rsidR="005D6ACF" w:rsidRPr="00C93A58" w:rsidRDefault="005D6ACF" w:rsidP="005D6ACF">
      <w:pPr>
        <w:pStyle w:val="ConsNormal"/>
        <w:suppressLineNumbers/>
        <w:ind w:firstLine="0"/>
        <w:jc w:val="both"/>
        <w:rPr>
          <w:sz w:val="28"/>
          <w:szCs w:val="28"/>
        </w:rPr>
      </w:pPr>
      <w:r w:rsidRPr="00C93A58">
        <w:rPr>
          <w:sz w:val="28"/>
          <w:szCs w:val="28"/>
        </w:rPr>
        <w:t xml:space="preserve">                                                                КД х 100</w:t>
      </w:r>
    </w:p>
    <w:p w:rsidR="005D6ACF" w:rsidRPr="00C93A58" w:rsidRDefault="005D6ACF" w:rsidP="005D6ACF">
      <w:pPr>
        <w:pStyle w:val="ConsNormal"/>
        <w:suppressLineNumbers/>
        <w:ind w:firstLine="0"/>
        <w:jc w:val="both"/>
        <w:rPr>
          <w:b/>
          <w:sz w:val="28"/>
          <w:szCs w:val="28"/>
        </w:rPr>
      </w:pPr>
    </w:p>
    <w:p w:rsidR="005D6ACF" w:rsidRPr="00C93A58" w:rsidRDefault="005D6ACF" w:rsidP="005D6ACF">
      <w:pPr>
        <w:pStyle w:val="ConsNormal"/>
        <w:suppressLineNumbers/>
        <w:ind w:firstLine="709"/>
        <w:jc w:val="both"/>
        <w:rPr>
          <w:sz w:val="28"/>
          <w:szCs w:val="28"/>
        </w:rPr>
      </w:pPr>
      <w:r w:rsidRPr="00C93A58">
        <w:rPr>
          <w:sz w:val="28"/>
          <w:szCs w:val="28"/>
        </w:rPr>
        <w:t xml:space="preserve">где: </w:t>
      </w:r>
    </w:p>
    <w:p w:rsidR="005D6ACF" w:rsidRPr="00C93A58" w:rsidRDefault="005D6ACF" w:rsidP="005D6ACF">
      <w:pPr>
        <w:pStyle w:val="ConsNormal"/>
        <w:suppressLineNumbers/>
        <w:ind w:firstLine="709"/>
        <w:jc w:val="both"/>
        <w:rPr>
          <w:b/>
          <w:sz w:val="28"/>
          <w:szCs w:val="28"/>
        </w:rPr>
      </w:pPr>
      <w:r w:rsidRPr="00C93A58">
        <w:rPr>
          <w:sz w:val="28"/>
          <w:szCs w:val="28"/>
        </w:rPr>
        <w:t>ОЗДмо</w:t>
      </w:r>
      <w:r w:rsidRPr="00C93A58">
        <w:rPr>
          <w:b/>
          <w:sz w:val="28"/>
          <w:szCs w:val="28"/>
        </w:rPr>
        <w:t xml:space="preserve"> </w:t>
      </w:r>
      <w:r w:rsidRPr="00C93A58">
        <w:rPr>
          <w:sz w:val="28"/>
          <w:szCs w:val="28"/>
        </w:rPr>
        <w:t>–</w:t>
      </w:r>
      <w:r w:rsidRPr="00C93A58">
        <w:rPr>
          <w:b/>
          <w:sz w:val="28"/>
          <w:szCs w:val="28"/>
        </w:rPr>
        <w:t xml:space="preserve"> </w:t>
      </w:r>
      <w:r w:rsidRPr="00C93A58">
        <w:rPr>
          <w:sz w:val="28"/>
          <w:szCs w:val="28"/>
        </w:rPr>
        <w:t>объем задолженности по ранее предоставленным бюджетам муниципальных образований Тверской области бюджетным кредитам из областного бюджета;</w:t>
      </w:r>
    </w:p>
    <w:p w:rsidR="005D6ACF" w:rsidRPr="00C93A58" w:rsidRDefault="005D6ACF" w:rsidP="005D6ACF">
      <w:pPr>
        <w:pStyle w:val="ConsNormal"/>
        <w:suppressLineNumbers/>
        <w:ind w:firstLine="709"/>
        <w:jc w:val="both"/>
        <w:rPr>
          <w:sz w:val="28"/>
          <w:szCs w:val="28"/>
        </w:rPr>
      </w:pPr>
      <w:r w:rsidRPr="00C93A58">
        <w:rPr>
          <w:sz w:val="28"/>
          <w:szCs w:val="28"/>
        </w:rPr>
        <w:t>РПмо</w:t>
      </w:r>
      <w:r w:rsidRPr="00C93A58">
        <w:rPr>
          <w:b/>
          <w:sz w:val="28"/>
          <w:szCs w:val="28"/>
        </w:rPr>
        <w:t xml:space="preserve"> </w:t>
      </w:r>
      <w:r w:rsidRPr="00C93A58">
        <w:rPr>
          <w:sz w:val="28"/>
          <w:szCs w:val="28"/>
        </w:rPr>
        <w:t>– размер платы за пользование бюджетными кредитами исходя из условий действующих договоров о предоставлении бюджетных кредитов;</w:t>
      </w:r>
    </w:p>
    <w:p w:rsidR="005D6ACF" w:rsidRPr="00C93A58" w:rsidRDefault="005D6ACF" w:rsidP="005D6ACF">
      <w:pPr>
        <w:pStyle w:val="ConsNormal"/>
        <w:suppressLineNumbers/>
        <w:ind w:firstLine="709"/>
        <w:jc w:val="both"/>
        <w:rPr>
          <w:b/>
          <w:sz w:val="28"/>
          <w:szCs w:val="28"/>
        </w:rPr>
      </w:pPr>
      <w:r w:rsidRPr="00C93A58">
        <w:rPr>
          <w:sz w:val="28"/>
          <w:szCs w:val="28"/>
        </w:rPr>
        <w:t>КДПмо</w:t>
      </w:r>
      <w:r w:rsidRPr="00C93A58">
        <w:rPr>
          <w:b/>
          <w:sz w:val="28"/>
          <w:szCs w:val="28"/>
        </w:rPr>
        <w:t xml:space="preserve"> </w:t>
      </w:r>
      <w:r w:rsidRPr="00C93A58">
        <w:rPr>
          <w:sz w:val="28"/>
          <w:szCs w:val="28"/>
        </w:rPr>
        <w:t>–</w:t>
      </w:r>
      <w:r w:rsidRPr="00C93A58">
        <w:rPr>
          <w:b/>
          <w:sz w:val="28"/>
          <w:szCs w:val="28"/>
        </w:rPr>
        <w:t xml:space="preserve"> </w:t>
      </w:r>
      <w:r w:rsidRPr="00C93A58">
        <w:rPr>
          <w:sz w:val="28"/>
          <w:szCs w:val="28"/>
        </w:rPr>
        <w:t>количество дней пользования бюджетными кредитами муниципальными образованиями Тверской области;</w:t>
      </w:r>
    </w:p>
    <w:p w:rsidR="005D6ACF" w:rsidRPr="00C93A58" w:rsidRDefault="005D6ACF" w:rsidP="005D6ACF">
      <w:pPr>
        <w:pStyle w:val="ConsNormal"/>
        <w:suppressLineNumbers/>
        <w:ind w:firstLine="709"/>
        <w:jc w:val="both"/>
        <w:rPr>
          <w:sz w:val="28"/>
          <w:szCs w:val="28"/>
        </w:rPr>
      </w:pPr>
      <w:r w:rsidRPr="00C93A58">
        <w:rPr>
          <w:sz w:val="28"/>
          <w:szCs w:val="28"/>
        </w:rPr>
        <w:t>КД</w:t>
      </w:r>
      <w:r w:rsidRPr="00C93A58">
        <w:rPr>
          <w:b/>
          <w:sz w:val="28"/>
          <w:szCs w:val="28"/>
        </w:rPr>
        <w:t xml:space="preserve"> –</w:t>
      </w:r>
      <w:r w:rsidRPr="00C93A58">
        <w:rPr>
          <w:sz w:val="28"/>
          <w:szCs w:val="28"/>
        </w:rPr>
        <w:t xml:space="preserve"> количество дней в календарном году (365/366).</w:t>
      </w:r>
    </w:p>
    <w:p w:rsidR="005D6ACF" w:rsidRPr="00C93A58" w:rsidRDefault="005D6ACF" w:rsidP="005D6ACF">
      <w:pPr>
        <w:pStyle w:val="ConsNormal"/>
        <w:suppressLineNumbers/>
        <w:ind w:firstLine="0"/>
        <w:rPr>
          <w:sz w:val="28"/>
          <w:szCs w:val="28"/>
        </w:rPr>
      </w:pPr>
    </w:p>
    <w:p w:rsidR="005D6ACF" w:rsidRPr="00C93A58" w:rsidRDefault="005D6ACF" w:rsidP="005D6ACF">
      <w:pPr>
        <w:pStyle w:val="ConsNormal"/>
        <w:suppressLineNumbers/>
        <w:ind w:firstLine="0"/>
        <w:jc w:val="center"/>
        <w:rPr>
          <w:sz w:val="28"/>
          <w:szCs w:val="28"/>
        </w:rPr>
      </w:pPr>
      <w:r w:rsidRPr="00C93A58">
        <w:rPr>
          <w:sz w:val="28"/>
          <w:szCs w:val="28"/>
        </w:rPr>
        <w:t xml:space="preserve">Пмо2 = </w:t>
      </w:r>
      <w:r w:rsidRPr="00C93A58">
        <w:rPr>
          <w:sz w:val="28"/>
          <w:szCs w:val="28"/>
          <w:u w:val="single"/>
        </w:rPr>
        <w:t>ПБАмо x РПпмо х КДПомо</w:t>
      </w:r>
      <w:r w:rsidRPr="00C93A58">
        <w:rPr>
          <w:sz w:val="28"/>
          <w:szCs w:val="28"/>
        </w:rPr>
        <w:t xml:space="preserve">,  </w:t>
      </w:r>
    </w:p>
    <w:p w:rsidR="005D6ACF" w:rsidRPr="00C93A58" w:rsidRDefault="005D6ACF" w:rsidP="005D6ACF">
      <w:pPr>
        <w:pStyle w:val="ConsNormal"/>
        <w:suppressLineNumbers/>
        <w:ind w:firstLine="0"/>
        <w:jc w:val="center"/>
        <w:rPr>
          <w:sz w:val="28"/>
          <w:szCs w:val="28"/>
        </w:rPr>
      </w:pPr>
      <w:r w:rsidRPr="00C93A58">
        <w:rPr>
          <w:sz w:val="28"/>
          <w:szCs w:val="28"/>
        </w:rPr>
        <w:t>КД х 100</w:t>
      </w:r>
    </w:p>
    <w:p w:rsidR="005D6ACF" w:rsidRPr="00C93A58" w:rsidRDefault="005D6ACF" w:rsidP="005D6ACF">
      <w:pPr>
        <w:pStyle w:val="ConsNormal"/>
        <w:suppressLineNumbers/>
        <w:ind w:firstLine="0"/>
        <w:jc w:val="both"/>
        <w:rPr>
          <w:b/>
          <w:sz w:val="28"/>
          <w:szCs w:val="28"/>
        </w:rPr>
      </w:pPr>
    </w:p>
    <w:p w:rsidR="005D6ACF" w:rsidRPr="00C93A58" w:rsidRDefault="005D6ACF" w:rsidP="005D6ACF">
      <w:pPr>
        <w:pStyle w:val="ConsNormal"/>
        <w:suppressLineNumbers/>
        <w:ind w:firstLine="709"/>
        <w:jc w:val="both"/>
        <w:rPr>
          <w:sz w:val="28"/>
          <w:szCs w:val="28"/>
        </w:rPr>
      </w:pPr>
      <w:r w:rsidRPr="00C93A58">
        <w:rPr>
          <w:sz w:val="28"/>
          <w:szCs w:val="28"/>
        </w:rPr>
        <w:t>где:</w:t>
      </w:r>
    </w:p>
    <w:p w:rsidR="005D6ACF" w:rsidRPr="00C93A58" w:rsidRDefault="005D6ACF" w:rsidP="005D6ACF">
      <w:pPr>
        <w:pStyle w:val="ConsNormal"/>
        <w:suppressLineNumbers/>
        <w:ind w:firstLine="709"/>
        <w:jc w:val="both"/>
        <w:rPr>
          <w:b/>
          <w:sz w:val="28"/>
          <w:szCs w:val="28"/>
        </w:rPr>
      </w:pPr>
      <w:r w:rsidRPr="00C93A58">
        <w:rPr>
          <w:sz w:val="28"/>
          <w:szCs w:val="28"/>
        </w:rPr>
        <w:t>ПБАмо</w:t>
      </w:r>
      <w:r w:rsidRPr="00C93A58">
        <w:rPr>
          <w:b/>
          <w:sz w:val="28"/>
          <w:szCs w:val="28"/>
        </w:rPr>
        <w:t xml:space="preserve"> </w:t>
      </w:r>
      <w:r w:rsidRPr="00C93A58">
        <w:rPr>
          <w:sz w:val="28"/>
          <w:szCs w:val="28"/>
        </w:rPr>
        <w:t>– планируемый объем бюджетных ассигнований на предоставление бюджетных кредитов бюджетам муниципальных образований Тверской области из областного бюджета;</w:t>
      </w:r>
    </w:p>
    <w:p w:rsidR="005D6ACF" w:rsidRPr="00C93A58" w:rsidRDefault="005D6ACF" w:rsidP="005D6ACF">
      <w:pPr>
        <w:pStyle w:val="ConsNormal"/>
        <w:suppressLineNumbers/>
        <w:ind w:firstLine="709"/>
        <w:jc w:val="both"/>
        <w:rPr>
          <w:sz w:val="28"/>
          <w:szCs w:val="28"/>
        </w:rPr>
      </w:pPr>
      <w:r w:rsidRPr="00C93A58">
        <w:rPr>
          <w:sz w:val="28"/>
          <w:szCs w:val="28"/>
        </w:rPr>
        <w:t>РПпмо</w:t>
      </w:r>
      <w:r w:rsidRPr="00C93A58">
        <w:rPr>
          <w:b/>
          <w:sz w:val="28"/>
          <w:szCs w:val="28"/>
        </w:rPr>
        <w:t xml:space="preserve"> </w:t>
      </w:r>
      <w:r w:rsidRPr="00C93A58">
        <w:rPr>
          <w:sz w:val="28"/>
          <w:szCs w:val="28"/>
        </w:rPr>
        <w:t xml:space="preserve">– размер платы по планируемым к предоставлению бюджетным кредитам (определяется в соответствии с законом Тверской области об областном </w:t>
      </w:r>
      <w:r w:rsidRPr="00C93A58">
        <w:rPr>
          <w:sz w:val="28"/>
          <w:szCs w:val="28"/>
        </w:rPr>
        <w:lastRenderedPageBreak/>
        <w:t>бюджете Тверской области);</w:t>
      </w:r>
    </w:p>
    <w:p w:rsidR="005D6ACF" w:rsidRPr="00C93A58" w:rsidRDefault="005D6ACF" w:rsidP="005D6ACF">
      <w:pPr>
        <w:pStyle w:val="ConsNormal"/>
        <w:suppressLineNumbers/>
        <w:ind w:firstLine="709"/>
        <w:jc w:val="both"/>
        <w:rPr>
          <w:b/>
          <w:sz w:val="28"/>
          <w:szCs w:val="28"/>
        </w:rPr>
      </w:pPr>
      <w:r w:rsidRPr="00C93A58">
        <w:rPr>
          <w:sz w:val="28"/>
          <w:szCs w:val="28"/>
        </w:rPr>
        <w:t>КДПомо</w:t>
      </w:r>
      <w:r w:rsidRPr="00C93A58">
        <w:rPr>
          <w:b/>
          <w:sz w:val="28"/>
          <w:szCs w:val="28"/>
        </w:rPr>
        <w:t xml:space="preserve"> </w:t>
      </w:r>
      <w:r w:rsidRPr="00C93A58">
        <w:rPr>
          <w:sz w:val="28"/>
          <w:szCs w:val="28"/>
        </w:rPr>
        <w:t>–</w:t>
      </w:r>
      <w:r w:rsidRPr="00C93A58">
        <w:rPr>
          <w:b/>
          <w:sz w:val="28"/>
          <w:szCs w:val="28"/>
        </w:rPr>
        <w:t xml:space="preserve"> </w:t>
      </w:r>
      <w:r w:rsidRPr="00C93A58">
        <w:rPr>
          <w:sz w:val="28"/>
          <w:szCs w:val="28"/>
        </w:rPr>
        <w:t>количество дней ожидаемого пользования бюджетными кредитами муниципальными образованиями Тверской области;</w:t>
      </w:r>
    </w:p>
    <w:p w:rsidR="005D6ACF" w:rsidRPr="00C93A58" w:rsidRDefault="005D6ACF" w:rsidP="005D6ACF">
      <w:pPr>
        <w:pStyle w:val="ConsNormal"/>
        <w:suppressLineNumbers/>
        <w:ind w:firstLine="709"/>
        <w:jc w:val="both"/>
      </w:pPr>
      <w:r w:rsidRPr="00C93A58">
        <w:rPr>
          <w:sz w:val="28"/>
          <w:szCs w:val="28"/>
        </w:rPr>
        <w:t>КД</w:t>
      </w:r>
      <w:r w:rsidRPr="00C93A58">
        <w:rPr>
          <w:b/>
          <w:sz w:val="28"/>
          <w:szCs w:val="28"/>
        </w:rPr>
        <w:t xml:space="preserve"> </w:t>
      </w:r>
      <w:r w:rsidRPr="00C93A58">
        <w:rPr>
          <w:sz w:val="28"/>
          <w:szCs w:val="28"/>
        </w:rPr>
        <w:t>–</w:t>
      </w:r>
      <w:r w:rsidRPr="00C93A58">
        <w:rPr>
          <w:b/>
          <w:sz w:val="28"/>
          <w:szCs w:val="28"/>
        </w:rPr>
        <w:t xml:space="preserve"> </w:t>
      </w:r>
      <w:r w:rsidRPr="00C93A58">
        <w:rPr>
          <w:sz w:val="28"/>
          <w:szCs w:val="28"/>
        </w:rPr>
        <w:t>количество дней в календарном году (365/366</w:t>
      </w:r>
      <w:r w:rsidRPr="00C93A58">
        <w:t>).</w:t>
      </w:r>
    </w:p>
    <w:p w:rsidR="005D6ACF" w:rsidRPr="00C93A58" w:rsidRDefault="005D6ACF" w:rsidP="005D6ACF">
      <w:pPr>
        <w:pStyle w:val="ConsNormal"/>
        <w:suppressLineNumbers/>
        <w:ind w:firstLine="709"/>
        <w:jc w:val="both"/>
        <w:rPr>
          <w:highlight w:val="yellow"/>
        </w:rPr>
      </w:pPr>
    </w:p>
    <w:p w:rsidR="005D6ACF" w:rsidRPr="004954E8" w:rsidRDefault="005D6ACF" w:rsidP="005D6ACF">
      <w:pPr>
        <w:pStyle w:val="ConsNormal"/>
        <w:suppressLineNumbers/>
        <w:ind w:firstLine="709"/>
        <w:jc w:val="both"/>
        <w:rPr>
          <w:color w:val="000000" w:themeColor="text1"/>
          <w:sz w:val="28"/>
          <w:szCs w:val="28"/>
        </w:rPr>
      </w:pPr>
      <w:r w:rsidRPr="004954E8">
        <w:rPr>
          <w:color w:val="000000" w:themeColor="text1"/>
          <w:sz w:val="28"/>
          <w:szCs w:val="28"/>
        </w:rPr>
        <w:t xml:space="preserve">Прогноз поступлений на 2022 – 2024 годы процентов за пользование бюджетными кредитами рассчитаны исходя из условий фактически заключенных договоров предоставления бюджетных кредитов из областного бюджета Тверской области по состоянию на 01.06.2021 а также плановой суммы предоставления бюджетных кредитов в 2021 году, процентной ставки в размере 0,1 % и плановой суммы предоставления бюджетных кредитов в 2022 - 2024 годах. </w:t>
      </w:r>
    </w:p>
    <w:p w:rsidR="005D6ACF" w:rsidRPr="00381B3C" w:rsidRDefault="005D6ACF" w:rsidP="005D6ACF">
      <w:pPr>
        <w:pStyle w:val="ConsNormal"/>
        <w:suppressLineNumbers/>
        <w:ind w:firstLine="709"/>
        <w:jc w:val="both"/>
        <w:rPr>
          <w:rFonts w:ascii="Arial CYR" w:hAnsi="Arial CYR" w:cs="Arial CYR"/>
          <w:b/>
          <w:sz w:val="28"/>
          <w:szCs w:val="28"/>
        </w:rPr>
        <w:sectPr w:rsidR="005D6ACF" w:rsidRPr="00381B3C" w:rsidSect="008A253E">
          <w:footerReference w:type="even" r:id="rId25"/>
          <w:footerReference w:type="default" r:id="rId26"/>
          <w:pgSz w:w="11906" w:h="16838"/>
          <w:pgMar w:top="851" w:right="991" w:bottom="1134" w:left="1134" w:header="709" w:footer="709" w:gutter="0"/>
          <w:cols w:space="708"/>
          <w:docGrid w:linePitch="360"/>
        </w:sectPr>
      </w:pPr>
    </w:p>
    <w:tbl>
      <w:tblPr>
        <w:tblW w:w="16349" w:type="dxa"/>
        <w:tblInd w:w="-890" w:type="dxa"/>
        <w:tblLook w:val="04A0" w:firstRow="1" w:lastRow="0" w:firstColumn="1" w:lastColumn="0" w:noHBand="0" w:noVBand="1"/>
      </w:tblPr>
      <w:tblGrid>
        <w:gridCol w:w="1432"/>
        <w:gridCol w:w="1146"/>
        <w:gridCol w:w="1146"/>
        <w:gridCol w:w="1146"/>
        <w:gridCol w:w="1146"/>
        <w:gridCol w:w="1147"/>
        <w:gridCol w:w="1147"/>
        <w:gridCol w:w="1146"/>
        <w:gridCol w:w="1147"/>
        <w:gridCol w:w="1147"/>
        <w:gridCol w:w="1147"/>
        <w:gridCol w:w="1148"/>
        <w:gridCol w:w="1154"/>
        <w:gridCol w:w="1150"/>
      </w:tblGrid>
      <w:tr w:rsidR="005D6ACF" w:rsidRPr="00FA2873" w:rsidTr="008A253E">
        <w:trPr>
          <w:trHeight w:val="187"/>
        </w:trPr>
        <w:tc>
          <w:tcPr>
            <w:tcW w:w="16349" w:type="dxa"/>
            <w:gridSpan w:val="14"/>
            <w:tcBorders>
              <w:top w:val="nil"/>
              <w:left w:val="nil"/>
              <w:bottom w:val="nil"/>
              <w:right w:val="nil"/>
            </w:tcBorders>
            <w:shd w:val="clear" w:color="auto" w:fill="auto"/>
            <w:vAlign w:val="center"/>
            <w:hideMark/>
          </w:tcPr>
          <w:p w:rsidR="005D6ACF" w:rsidRPr="00491AA8" w:rsidRDefault="005D6ACF" w:rsidP="008A253E">
            <w:pPr>
              <w:jc w:val="center"/>
              <w:rPr>
                <w:b/>
                <w:color w:val="000000"/>
                <w:sz w:val="22"/>
                <w:szCs w:val="22"/>
              </w:rPr>
            </w:pPr>
            <w:r w:rsidRPr="00491AA8">
              <w:rPr>
                <w:b/>
                <w:color w:val="000000"/>
                <w:sz w:val="22"/>
                <w:szCs w:val="22"/>
              </w:rPr>
              <w:lastRenderedPageBreak/>
              <w:t>Информация о начисленных процентах по договорам бюджетного кредита в 2022 году (по ранее выданным бюджетным кредитам)</w:t>
            </w:r>
          </w:p>
        </w:tc>
      </w:tr>
      <w:tr w:rsidR="005D6ACF" w:rsidRPr="00FA2873" w:rsidTr="008A253E">
        <w:trPr>
          <w:trHeight w:val="171"/>
        </w:trPr>
        <w:tc>
          <w:tcPr>
            <w:tcW w:w="1432" w:type="dxa"/>
            <w:vMerge w:val="restart"/>
            <w:tcBorders>
              <w:top w:val="single" w:sz="4" w:space="0" w:color="000000"/>
              <w:left w:val="nil"/>
              <w:bottom w:val="single" w:sz="4" w:space="0" w:color="000000"/>
              <w:right w:val="single" w:sz="4" w:space="0" w:color="000000"/>
            </w:tcBorders>
            <w:shd w:val="clear" w:color="auto" w:fill="auto"/>
            <w:vAlign w:val="center"/>
            <w:hideMark/>
          </w:tcPr>
          <w:p w:rsidR="005D6ACF" w:rsidRPr="00FA2873" w:rsidRDefault="005D6ACF" w:rsidP="008A253E">
            <w:pPr>
              <w:jc w:val="center"/>
              <w:rPr>
                <w:color w:val="000000"/>
                <w:sz w:val="20"/>
                <w:szCs w:val="20"/>
              </w:rPr>
            </w:pPr>
            <w:r w:rsidRPr="00FA2873">
              <w:rPr>
                <w:color w:val="000000"/>
                <w:sz w:val="20"/>
                <w:szCs w:val="20"/>
              </w:rPr>
              <w:t>№ договора</w:t>
            </w:r>
          </w:p>
        </w:tc>
        <w:tc>
          <w:tcPr>
            <w:tcW w:w="13767" w:type="dxa"/>
            <w:gridSpan w:val="12"/>
            <w:tcBorders>
              <w:top w:val="single" w:sz="4" w:space="0" w:color="000000"/>
              <w:left w:val="nil"/>
              <w:bottom w:val="single" w:sz="4" w:space="0" w:color="000000"/>
              <w:right w:val="single" w:sz="4" w:space="0" w:color="000000"/>
            </w:tcBorders>
            <w:shd w:val="clear" w:color="auto" w:fill="auto"/>
            <w:vAlign w:val="center"/>
            <w:hideMark/>
          </w:tcPr>
          <w:p w:rsidR="005D6ACF" w:rsidRPr="00FA2873" w:rsidRDefault="005D6ACF" w:rsidP="008A253E">
            <w:pPr>
              <w:jc w:val="center"/>
              <w:rPr>
                <w:color w:val="000000"/>
                <w:sz w:val="20"/>
                <w:szCs w:val="20"/>
              </w:rPr>
            </w:pPr>
            <w:r w:rsidRPr="00FA2873">
              <w:rPr>
                <w:color w:val="000000"/>
                <w:sz w:val="20"/>
                <w:szCs w:val="20"/>
              </w:rPr>
              <w:t>Сумма начисленных процентов</w:t>
            </w:r>
            <w:r>
              <w:rPr>
                <w:color w:val="000000"/>
                <w:sz w:val="20"/>
                <w:szCs w:val="20"/>
              </w:rPr>
              <w:t xml:space="preserve"> (в рублях)</w:t>
            </w:r>
          </w:p>
        </w:tc>
        <w:tc>
          <w:tcPr>
            <w:tcW w:w="1150" w:type="dxa"/>
            <w:tcBorders>
              <w:top w:val="single" w:sz="4" w:space="0" w:color="000000"/>
              <w:left w:val="nil"/>
              <w:bottom w:val="single" w:sz="4" w:space="0" w:color="000000"/>
              <w:right w:val="single" w:sz="4" w:space="0" w:color="000000"/>
            </w:tcBorders>
            <w:shd w:val="clear" w:color="auto" w:fill="auto"/>
            <w:vAlign w:val="center"/>
            <w:hideMark/>
          </w:tcPr>
          <w:p w:rsidR="005D6ACF" w:rsidRPr="00FA2873" w:rsidRDefault="005D6ACF" w:rsidP="008A253E">
            <w:pPr>
              <w:jc w:val="center"/>
              <w:rPr>
                <w:color w:val="000000"/>
                <w:sz w:val="20"/>
                <w:szCs w:val="20"/>
              </w:rPr>
            </w:pPr>
            <w:r w:rsidRPr="00FA2873">
              <w:rPr>
                <w:color w:val="000000"/>
                <w:sz w:val="20"/>
                <w:szCs w:val="20"/>
              </w:rPr>
              <w:t>Итого</w:t>
            </w:r>
          </w:p>
        </w:tc>
      </w:tr>
      <w:tr w:rsidR="005D6ACF" w:rsidRPr="00FA2873" w:rsidTr="008A253E">
        <w:trPr>
          <w:trHeight w:val="487"/>
        </w:trPr>
        <w:tc>
          <w:tcPr>
            <w:tcW w:w="1432" w:type="dxa"/>
            <w:vMerge/>
            <w:tcBorders>
              <w:top w:val="single" w:sz="4" w:space="0" w:color="000000"/>
              <w:left w:val="nil"/>
              <w:bottom w:val="single" w:sz="4" w:space="0" w:color="000000"/>
              <w:right w:val="single" w:sz="4" w:space="0" w:color="000000"/>
            </w:tcBorders>
            <w:vAlign w:val="center"/>
            <w:hideMark/>
          </w:tcPr>
          <w:p w:rsidR="005D6ACF" w:rsidRPr="00FA2873" w:rsidRDefault="005D6ACF" w:rsidP="008A253E">
            <w:pPr>
              <w:rPr>
                <w:color w:val="000000"/>
                <w:sz w:val="20"/>
                <w:szCs w:val="20"/>
              </w:rPr>
            </w:pPr>
          </w:p>
        </w:tc>
        <w:tc>
          <w:tcPr>
            <w:tcW w:w="1146" w:type="dxa"/>
            <w:vMerge w:val="restart"/>
            <w:tcBorders>
              <w:top w:val="nil"/>
              <w:left w:val="nil"/>
              <w:bottom w:val="single" w:sz="4" w:space="0" w:color="000000"/>
              <w:right w:val="single" w:sz="4" w:space="0" w:color="000000"/>
            </w:tcBorders>
            <w:shd w:val="clear" w:color="auto" w:fill="auto"/>
            <w:vAlign w:val="center"/>
            <w:hideMark/>
          </w:tcPr>
          <w:p w:rsidR="005D6ACF" w:rsidRPr="00FA2873" w:rsidRDefault="005D6ACF" w:rsidP="008A253E">
            <w:pPr>
              <w:jc w:val="center"/>
              <w:rPr>
                <w:color w:val="000000"/>
                <w:sz w:val="20"/>
                <w:szCs w:val="20"/>
              </w:rPr>
            </w:pPr>
            <w:r w:rsidRPr="00FA2873">
              <w:rPr>
                <w:color w:val="000000"/>
                <w:sz w:val="20"/>
                <w:szCs w:val="20"/>
              </w:rPr>
              <w:t>январь</w:t>
            </w:r>
          </w:p>
        </w:tc>
        <w:tc>
          <w:tcPr>
            <w:tcW w:w="1146" w:type="dxa"/>
            <w:vMerge w:val="restart"/>
            <w:tcBorders>
              <w:top w:val="nil"/>
              <w:left w:val="nil"/>
              <w:bottom w:val="single" w:sz="4" w:space="0" w:color="000000"/>
              <w:right w:val="single" w:sz="4" w:space="0" w:color="000000"/>
            </w:tcBorders>
            <w:shd w:val="clear" w:color="auto" w:fill="auto"/>
            <w:vAlign w:val="center"/>
            <w:hideMark/>
          </w:tcPr>
          <w:p w:rsidR="005D6ACF" w:rsidRPr="00FA2873" w:rsidRDefault="005D6ACF" w:rsidP="008A253E">
            <w:pPr>
              <w:jc w:val="center"/>
              <w:rPr>
                <w:color w:val="000000"/>
                <w:sz w:val="20"/>
                <w:szCs w:val="20"/>
              </w:rPr>
            </w:pPr>
            <w:r w:rsidRPr="00FA2873">
              <w:rPr>
                <w:color w:val="000000"/>
                <w:sz w:val="20"/>
                <w:szCs w:val="20"/>
              </w:rPr>
              <w:t>февраль</w:t>
            </w:r>
          </w:p>
        </w:tc>
        <w:tc>
          <w:tcPr>
            <w:tcW w:w="1146" w:type="dxa"/>
            <w:vMerge w:val="restart"/>
            <w:tcBorders>
              <w:top w:val="nil"/>
              <w:left w:val="nil"/>
              <w:bottom w:val="single" w:sz="4" w:space="0" w:color="000000"/>
              <w:right w:val="single" w:sz="4" w:space="0" w:color="000000"/>
            </w:tcBorders>
            <w:shd w:val="clear" w:color="auto" w:fill="auto"/>
            <w:vAlign w:val="center"/>
            <w:hideMark/>
          </w:tcPr>
          <w:p w:rsidR="005D6ACF" w:rsidRPr="00FA2873" w:rsidRDefault="005D6ACF" w:rsidP="008A253E">
            <w:pPr>
              <w:jc w:val="center"/>
              <w:rPr>
                <w:color w:val="000000"/>
                <w:sz w:val="20"/>
                <w:szCs w:val="20"/>
              </w:rPr>
            </w:pPr>
            <w:r w:rsidRPr="00FA2873">
              <w:rPr>
                <w:color w:val="000000"/>
                <w:sz w:val="20"/>
                <w:szCs w:val="20"/>
              </w:rPr>
              <w:t>март</w:t>
            </w:r>
          </w:p>
        </w:tc>
        <w:tc>
          <w:tcPr>
            <w:tcW w:w="1146" w:type="dxa"/>
            <w:vMerge w:val="restart"/>
            <w:tcBorders>
              <w:top w:val="nil"/>
              <w:left w:val="nil"/>
              <w:bottom w:val="single" w:sz="4" w:space="0" w:color="000000"/>
              <w:right w:val="single" w:sz="4" w:space="0" w:color="000000"/>
            </w:tcBorders>
            <w:shd w:val="clear" w:color="auto" w:fill="auto"/>
            <w:vAlign w:val="center"/>
            <w:hideMark/>
          </w:tcPr>
          <w:p w:rsidR="005D6ACF" w:rsidRPr="00FA2873" w:rsidRDefault="005D6ACF" w:rsidP="008A253E">
            <w:pPr>
              <w:jc w:val="center"/>
              <w:rPr>
                <w:color w:val="000000"/>
                <w:sz w:val="20"/>
                <w:szCs w:val="20"/>
              </w:rPr>
            </w:pPr>
            <w:r w:rsidRPr="00FA2873">
              <w:rPr>
                <w:color w:val="000000"/>
                <w:sz w:val="20"/>
                <w:szCs w:val="20"/>
              </w:rPr>
              <w:t>апрель</w:t>
            </w:r>
          </w:p>
        </w:tc>
        <w:tc>
          <w:tcPr>
            <w:tcW w:w="1147" w:type="dxa"/>
            <w:vMerge w:val="restart"/>
            <w:tcBorders>
              <w:top w:val="nil"/>
              <w:left w:val="nil"/>
              <w:bottom w:val="single" w:sz="4" w:space="0" w:color="000000"/>
              <w:right w:val="single" w:sz="4" w:space="0" w:color="000000"/>
            </w:tcBorders>
            <w:shd w:val="clear" w:color="auto" w:fill="auto"/>
            <w:vAlign w:val="center"/>
            <w:hideMark/>
          </w:tcPr>
          <w:p w:rsidR="005D6ACF" w:rsidRPr="00FA2873" w:rsidRDefault="005D6ACF" w:rsidP="008A253E">
            <w:pPr>
              <w:jc w:val="center"/>
              <w:rPr>
                <w:color w:val="000000"/>
                <w:sz w:val="20"/>
                <w:szCs w:val="20"/>
              </w:rPr>
            </w:pPr>
            <w:r w:rsidRPr="00FA2873">
              <w:rPr>
                <w:color w:val="000000"/>
                <w:sz w:val="20"/>
                <w:szCs w:val="20"/>
              </w:rPr>
              <w:t>май</w:t>
            </w:r>
          </w:p>
        </w:tc>
        <w:tc>
          <w:tcPr>
            <w:tcW w:w="1147" w:type="dxa"/>
            <w:vMerge w:val="restart"/>
            <w:tcBorders>
              <w:top w:val="nil"/>
              <w:left w:val="nil"/>
              <w:bottom w:val="single" w:sz="4" w:space="0" w:color="000000"/>
              <w:right w:val="single" w:sz="4" w:space="0" w:color="000000"/>
            </w:tcBorders>
            <w:shd w:val="clear" w:color="auto" w:fill="auto"/>
            <w:vAlign w:val="center"/>
            <w:hideMark/>
          </w:tcPr>
          <w:p w:rsidR="005D6ACF" w:rsidRPr="00FA2873" w:rsidRDefault="005D6ACF" w:rsidP="008A253E">
            <w:pPr>
              <w:jc w:val="center"/>
              <w:rPr>
                <w:color w:val="000000"/>
                <w:sz w:val="20"/>
                <w:szCs w:val="20"/>
              </w:rPr>
            </w:pPr>
            <w:r w:rsidRPr="00FA2873">
              <w:rPr>
                <w:color w:val="000000"/>
                <w:sz w:val="20"/>
                <w:szCs w:val="20"/>
              </w:rPr>
              <w:t>июнь</w:t>
            </w:r>
          </w:p>
        </w:tc>
        <w:tc>
          <w:tcPr>
            <w:tcW w:w="1146" w:type="dxa"/>
            <w:vMerge w:val="restart"/>
            <w:tcBorders>
              <w:top w:val="nil"/>
              <w:left w:val="nil"/>
              <w:bottom w:val="single" w:sz="4" w:space="0" w:color="000000"/>
              <w:right w:val="single" w:sz="4" w:space="0" w:color="000000"/>
            </w:tcBorders>
            <w:shd w:val="clear" w:color="auto" w:fill="auto"/>
            <w:vAlign w:val="center"/>
            <w:hideMark/>
          </w:tcPr>
          <w:p w:rsidR="005D6ACF" w:rsidRPr="00FA2873" w:rsidRDefault="005D6ACF" w:rsidP="008A253E">
            <w:pPr>
              <w:jc w:val="center"/>
              <w:rPr>
                <w:color w:val="000000"/>
                <w:sz w:val="20"/>
                <w:szCs w:val="20"/>
              </w:rPr>
            </w:pPr>
            <w:r w:rsidRPr="00FA2873">
              <w:rPr>
                <w:color w:val="000000"/>
                <w:sz w:val="20"/>
                <w:szCs w:val="20"/>
              </w:rPr>
              <w:t>июль</w:t>
            </w:r>
          </w:p>
        </w:tc>
        <w:tc>
          <w:tcPr>
            <w:tcW w:w="1147" w:type="dxa"/>
            <w:vMerge w:val="restart"/>
            <w:tcBorders>
              <w:top w:val="nil"/>
              <w:left w:val="nil"/>
              <w:bottom w:val="single" w:sz="4" w:space="0" w:color="000000"/>
              <w:right w:val="single" w:sz="4" w:space="0" w:color="000000"/>
            </w:tcBorders>
            <w:shd w:val="clear" w:color="auto" w:fill="auto"/>
            <w:vAlign w:val="center"/>
            <w:hideMark/>
          </w:tcPr>
          <w:p w:rsidR="005D6ACF" w:rsidRPr="00FA2873" w:rsidRDefault="005D6ACF" w:rsidP="008A253E">
            <w:pPr>
              <w:jc w:val="center"/>
              <w:rPr>
                <w:color w:val="000000"/>
                <w:sz w:val="20"/>
                <w:szCs w:val="20"/>
              </w:rPr>
            </w:pPr>
            <w:r w:rsidRPr="00FA2873">
              <w:rPr>
                <w:color w:val="000000"/>
                <w:sz w:val="20"/>
                <w:szCs w:val="20"/>
              </w:rPr>
              <w:t>август</w:t>
            </w:r>
          </w:p>
        </w:tc>
        <w:tc>
          <w:tcPr>
            <w:tcW w:w="114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D6ACF" w:rsidRPr="00FA2873" w:rsidRDefault="005D6ACF" w:rsidP="008A253E">
            <w:pPr>
              <w:jc w:val="center"/>
              <w:rPr>
                <w:color w:val="000000"/>
                <w:sz w:val="20"/>
                <w:szCs w:val="20"/>
              </w:rPr>
            </w:pPr>
            <w:r w:rsidRPr="00FA2873">
              <w:rPr>
                <w:color w:val="000000"/>
                <w:sz w:val="20"/>
                <w:szCs w:val="20"/>
              </w:rPr>
              <w:t>сентябрь</w:t>
            </w:r>
          </w:p>
        </w:tc>
        <w:tc>
          <w:tcPr>
            <w:tcW w:w="1147" w:type="dxa"/>
            <w:vMerge w:val="restart"/>
            <w:tcBorders>
              <w:top w:val="nil"/>
              <w:left w:val="nil"/>
              <w:bottom w:val="single" w:sz="4" w:space="0" w:color="000000"/>
              <w:right w:val="single" w:sz="4" w:space="0" w:color="000000"/>
            </w:tcBorders>
            <w:shd w:val="clear" w:color="auto" w:fill="auto"/>
            <w:vAlign w:val="center"/>
            <w:hideMark/>
          </w:tcPr>
          <w:p w:rsidR="005D6ACF" w:rsidRPr="00FA2873" w:rsidRDefault="005D6ACF" w:rsidP="008A253E">
            <w:pPr>
              <w:jc w:val="center"/>
              <w:rPr>
                <w:color w:val="000000"/>
                <w:sz w:val="20"/>
                <w:szCs w:val="20"/>
              </w:rPr>
            </w:pPr>
            <w:r w:rsidRPr="00FA2873">
              <w:rPr>
                <w:color w:val="000000"/>
                <w:sz w:val="20"/>
                <w:szCs w:val="20"/>
              </w:rPr>
              <w:t>октябрь</w:t>
            </w:r>
          </w:p>
        </w:tc>
        <w:tc>
          <w:tcPr>
            <w:tcW w:w="1148" w:type="dxa"/>
            <w:vMerge w:val="restart"/>
            <w:tcBorders>
              <w:top w:val="nil"/>
              <w:left w:val="nil"/>
              <w:bottom w:val="single" w:sz="4" w:space="0" w:color="000000"/>
              <w:right w:val="single" w:sz="4" w:space="0" w:color="000000"/>
            </w:tcBorders>
            <w:shd w:val="clear" w:color="auto" w:fill="auto"/>
            <w:vAlign w:val="center"/>
            <w:hideMark/>
          </w:tcPr>
          <w:p w:rsidR="005D6ACF" w:rsidRPr="00FA2873" w:rsidRDefault="005D6ACF" w:rsidP="008A253E">
            <w:pPr>
              <w:jc w:val="center"/>
              <w:rPr>
                <w:color w:val="000000"/>
                <w:sz w:val="20"/>
                <w:szCs w:val="20"/>
              </w:rPr>
            </w:pPr>
            <w:r w:rsidRPr="00FA2873">
              <w:rPr>
                <w:color w:val="000000"/>
                <w:sz w:val="20"/>
                <w:szCs w:val="20"/>
              </w:rPr>
              <w:t>ноябрь</w:t>
            </w:r>
          </w:p>
        </w:tc>
        <w:tc>
          <w:tcPr>
            <w:tcW w:w="1154" w:type="dxa"/>
            <w:vMerge w:val="restart"/>
            <w:tcBorders>
              <w:top w:val="nil"/>
              <w:left w:val="nil"/>
              <w:bottom w:val="single" w:sz="4" w:space="0" w:color="000000"/>
              <w:right w:val="single" w:sz="4" w:space="0" w:color="000000"/>
            </w:tcBorders>
            <w:shd w:val="clear" w:color="auto" w:fill="auto"/>
            <w:vAlign w:val="center"/>
            <w:hideMark/>
          </w:tcPr>
          <w:p w:rsidR="005D6ACF" w:rsidRPr="00FA2873" w:rsidRDefault="005D6ACF" w:rsidP="008A253E">
            <w:pPr>
              <w:jc w:val="center"/>
              <w:rPr>
                <w:color w:val="000000"/>
                <w:sz w:val="20"/>
                <w:szCs w:val="20"/>
              </w:rPr>
            </w:pPr>
            <w:r w:rsidRPr="00FA2873">
              <w:rPr>
                <w:color w:val="000000"/>
                <w:sz w:val="20"/>
                <w:szCs w:val="20"/>
              </w:rPr>
              <w:t>декабрь</w:t>
            </w:r>
          </w:p>
        </w:tc>
        <w:tc>
          <w:tcPr>
            <w:tcW w:w="1150" w:type="dxa"/>
            <w:vMerge w:val="restart"/>
            <w:tcBorders>
              <w:top w:val="single" w:sz="4" w:space="0" w:color="000000"/>
              <w:left w:val="nil"/>
              <w:bottom w:val="single" w:sz="4" w:space="0" w:color="000000"/>
              <w:right w:val="single" w:sz="4" w:space="0" w:color="000000"/>
            </w:tcBorders>
            <w:vAlign w:val="center"/>
            <w:hideMark/>
          </w:tcPr>
          <w:p w:rsidR="005D6ACF" w:rsidRPr="00FA2873" w:rsidRDefault="005D6ACF" w:rsidP="008A253E">
            <w:pPr>
              <w:rPr>
                <w:color w:val="000000"/>
                <w:sz w:val="20"/>
                <w:szCs w:val="20"/>
              </w:rPr>
            </w:pPr>
          </w:p>
        </w:tc>
      </w:tr>
      <w:tr w:rsidR="005D6ACF" w:rsidRPr="00FA2873" w:rsidTr="008A253E">
        <w:trPr>
          <w:trHeight w:val="487"/>
        </w:trPr>
        <w:tc>
          <w:tcPr>
            <w:tcW w:w="1432" w:type="dxa"/>
            <w:vMerge/>
            <w:tcBorders>
              <w:top w:val="single" w:sz="4" w:space="0" w:color="000000"/>
              <w:left w:val="nil"/>
              <w:bottom w:val="single" w:sz="4" w:space="0" w:color="000000"/>
              <w:right w:val="single" w:sz="4" w:space="0" w:color="000000"/>
            </w:tcBorders>
            <w:vAlign w:val="center"/>
            <w:hideMark/>
          </w:tcPr>
          <w:p w:rsidR="005D6ACF" w:rsidRPr="00FA2873" w:rsidRDefault="005D6ACF" w:rsidP="008A253E">
            <w:pPr>
              <w:rPr>
                <w:color w:val="000000"/>
                <w:sz w:val="20"/>
                <w:szCs w:val="20"/>
              </w:rPr>
            </w:pPr>
          </w:p>
        </w:tc>
        <w:tc>
          <w:tcPr>
            <w:tcW w:w="1146" w:type="dxa"/>
            <w:vMerge/>
            <w:tcBorders>
              <w:top w:val="nil"/>
              <w:left w:val="nil"/>
              <w:bottom w:val="single" w:sz="4" w:space="0" w:color="000000"/>
              <w:right w:val="single" w:sz="4" w:space="0" w:color="000000"/>
            </w:tcBorders>
            <w:vAlign w:val="center"/>
            <w:hideMark/>
          </w:tcPr>
          <w:p w:rsidR="005D6ACF" w:rsidRPr="00FA2873" w:rsidRDefault="005D6ACF" w:rsidP="008A253E">
            <w:pPr>
              <w:rPr>
                <w:color w:val="000000"/>
                <w:sz w:val="20"/>
                <w:szCs w:val="20"/>
              </w:rPr>
            </w:pPr>
          </w:p>
        </w:tc>
        <w:tc>
          <w:tcPr>
            <w:tcW w:w="1146" w:type="dxa"/>
            <w:vMerge/>
            <w:tcBorders>
              <w:top w:val="nil"/>
              <w:left w:val="nil"/>
              <w:bottom w:val="single" w:sz="4" w:space="0" w:color="000000"/>
              <w:right w:val="single" w:sz="4" w:space="0" w:color="000000"/>
            </w:tcBorders>
            <w:vAlign w:val="center"/>
            <w:hideMark/>
          </w:tcPr>
          <w:p w:rsidR="005D6ACF" w:rsidRPr="00FA2873" w:rsidRDefault="005D6ACF" w:rsidP="008A253E">
            <w:pPr>
              <w:rPr>
                <w:color w:val="000000"/>
                <w:sz w:val="20"/>
                <w:szCs w:val="20"/>
              </w:rPr>
            </w:pPr>
          </w:p>
        </w:tc>
        <w:tc>
          <w:tcPr>
            <w:tcW w:w="1146" w:type="dxa"/>
            <w:vMerge/>
            <w:tcBorders>
              <w:top w:val="nil"/>
              <w:left w:val="nil"/>
              <w:bottom w:val="single" w:sz="4" w:space="0" w:color="000000"/>
              <w:right w:val="single" w:sz="4" w:space="0" w:color="000000"/>
            </w:tcBorders>
            <w:vAlign w:val="center"/>
            <w:hideMark/>
          </w:tcPr>
          <w:p w:rsidR="005D6ACF" w:rsidRPr="00FA2873" w:rsidRDefault="005D6ACF" w:rsidP="008A253E">
            <w:pPr>
              <w:rPr>
                <w:color w:val="000000"/>
                <w:sz w:val="20"/>
                <w:szCs w:val="20"/>
              </w:rPr>
            </w:pPr>
          </w:p>
        </w:tc>
        <w:tc>
          <w:tcPr>
            <w:tcW w:w="1146" w:type="dxa"/>
            <w:vMerge/>
            <w:tcBorders>
              <w:top w:val="nil"/>
              <w:left w:val="nil"/>
              <w:bottom w:val="single" w:sz="4" w:space="0" w:color="000000"/>
              <w:right w:val="single" w:sz="4" w:space="0" w:color="000000"/>
            </w:tcBorders>
            <w:vAlign w:val="center"/>
            <w:hideMark/>
          </w:tcPr>
          <w:p w:rsidR="005D6ACF" w:rsidRPr="00FA2873" w:rsidRDefault="005D6ACF" w:rsidP="008A253E">
            <w:pPr>
              <w:rPr>
                <w:color w:val="000000"/>
                <w:sz w:val="20"/>
                <w:szCs w:val="20"/>
              </w:rPr>
            </w:pPr>
          </w:p>
        </w:tc>
        <w:tc>
          <w:tcPr>
            <w:tcW w:w="1147" w:type="dxa"/>
            <w:vMerge/>
            <w:tcBorders>
              <w:top w:val="nil"/>
              <w:left w:val="nil"/>
              <w:bottom w:val="single" w:sz="4" w:space="0" w:color="000000"/>
              <w:right w:val="single" w:sz="4" w:space="0" w:color="000000"/>
            </w:tcBorders>
            <w:vAlign w:val="center"/>
            <w:hideMark/>
          </w:tcPr>
          <w:p w:rsidR="005D6ACF" w:rsidRPr="00FA2873" w:rsidRDefault="005D6ACF" w:rsidP="008A253E">
            <w:pPr>
              <w:rPr>
                <w:color w:val="000000"/>
                <w:sz w:val="20"/>
                <w:szCs w:val="20"/>
              </w:rPr>
            </w:pPr>
          </w:p>
        </w:tc>
        <w:tc>
          <w:tcPr>
            <w:tcW w:w="1147" w:type="dxa"/>
            <w:vMerge/>
            <w:tcBorders>
              <w:top w:val="nil"/>
              <w:left w:val="nil"/>
              <w:bottom w:val="single" w:sz="4" w:space="0" w:color="000000"/>
              <w:right w:val="single" w:sz="4" w:space="0" w:color="000000"/>
            </w:tcBorders>
            <w:vAlign w:val="center"/>
            <w:hideMark/>
          </w:tcPr>
          <w:p w:rsidR="005D6ACF" w:rsidRPr="00FA2873" w:rsidRDefault="005D6ACF" w:rsidP="008A253E">
            <w:pPr>
              <w:rPr>
                <w:color w:val="000000"/>
                <w:sz w:val="20"/>
                <w:szCs w:val="20"/>
              </w:rPr>
            </w:pPr>
          </w:p>
        </w:tc>
        <w:tc>
          <w:tcPr>
            <w:tcW w:w="1146" w:type="dxa"/>
            <w:vMerge/>
            <w:tcBorders>
              <w:top w:val="nil"/>
              <w:left w:val="nil"/>
              <w:bottom w:val="single" w:sz="4" w:space="0" w:color="000000"/>
              <w:right w:val="single" w:sz="4" w:space="0" w:color="000000"/>
            </w:tcBorders>
            <w:vAlign w:val="center"/>
            <w:hideMark/>
          </w:tcPr>
          <w:p w:rsidR="005D6ACF" w:rsidRPr="00FA2873" w:rsidRDefault="005D6ACF" w:rsidP="008A253E">
            <w:pPr>
              <w:rPr>
                <w:color w:val="000000"/>
                <w:sz w:val="20"/>
                <w:szCs w:val="20"/>
              </w:rPr>
            </w:pPr>
          </w:p>
        </w:tc>
        <w:tc>
          <w:tcPr>
            <w:tcW w:w="1147" w:type="dxa"/>
            <w:vMerge/>
            <w:tcBorders>
              <w:top w:val="nil"/>
              <w:left w:val="nil"/>
              <w:bottom w:val="single" w:sz="4" w:space="0" w:color="000000"/>
              <w:right w:val="single" w:sz="4" w:space="0" w:color="000000"/>
            </w:tcBorders>
            <w:vAlign w:val="center"/>
            <w:hideMark/>
          </w:tcPr>
          <w:p w:rsidR="005D6ACF" w:rsidRPr="00FA2873" w:rsidRDefault="005D6ACF" w:rsidP="008A253E">
            <w:pPr>
              <w:rPr>
                <w:color w:val="000000"/>
                <w:sz w:val="20"/>
                <w:szCs w:val="20"/>
              </w:rPr>
            </w:pPr>
          </w:p>
        </w:tc>
        <w:tc>
          <w:tcPr>
            <w:tcW w:w="1147" w:type="dxa"/>
            <w:vMerge/>
            <w:tcBorders>
              <w:top w:val="nil"/>
              <w:left w:val="single" w:sz="4" w:space="0" w:color="000000"/>
              <w:bottom w:val="single" w:sz="4" w:space="0" w:color="000000"/>
              <w:right w:val="single" w:sz="4" w:space="0" w:color="000000"/>
            </w:tcBorders>
            <w:vAlign w:val="center"/>
            <w:hideMark/>
          </w:tcPr>
          <w:p w:rsidR="005D6ACF" w:rsidRPr="00FA2873" w:rsidRDefault="005D6ACF" w:rsidP="008A253E">
            <w:pPr>
              <w:rPr>
                <w:color w:val="000000"/>
                <w:sz w:val="20"/>
                <w:szCs w:val="20"/>
              </w:rPr>
            </w:pPr>
          </w:p>
        </w:tc>
        <w:tc>
          <w:tcPr>
            <w:tcW w:w="1147" w:type="dxa"/>
            <w:vMerge/>
            <w:tcBorders>
              <w:top w:val="nil"/>
              <w:left w:val="nil"/>
              <w:bottom w:val="single" w:sz="4" w:space="0" w:color="000000"/>
              <w:right w:val="single" w:sz="4" w:space="0" w:color="000000"/>
            </w:tcBorders>
            <w:vAlign w:val="center"/>
            <w:hideMark/>
          </w:tcPr>
          <w:p w:rsidR="005D6ACF" w:rsidRPr="00FA2873" w:rsidRDefault="005D6ACF" w:rsidP="008A253E">
            <w:pPr>
              <w:rPr>
                <w:color w:val="000000"/>
                <w:sz w:val="20"/>
                <w:szCs w:val="20"/>
              </w:rPr>
            </w:pPr>
          </w:p>
        </w:tc>
        <w:tc>
          <w:tcPr>
            <w:tcW w:w="1148" w:type="dxa"/>
            <w:vMerge/>
            <w:tcBorders>
              <w:top w:val="nil"/>
              <w:left w:val="nil"/>
              <w:bottom w:val="single" w:sz="4" w:space="0" w:color="000000"/>
              <w:right w:val="single" w:sz="4" w:space="0" w:color="000000"/>
            </w:tcBorders>
            <w:vAlign w:val="center"/>
            <w:hideMark/>
          </w:tcPr>
          <w:p w:rsidR="005D6ACF" w:rsidRPr="00FA2873" w:rsidRDefault="005D6ACF" w:rsidP="008A253E">
            <w:pPr>
              <w:rPr>
                <w:color w:val="000000"/>
                <w:sz w:val="20"/>
                <w:szCs w:val="20"/>
              </w:rPr>
            </w:pPr>
          </w:p>
        </w:tc>
        <w:tc>
          <w:tcPr>
            <w:tcW w:w="1154" w:type="dxa"/>
            <w:vMerge/>
            <w:tcBorders>
              <w:top w:val="nil"/>
              <w:left w:val="nil"/>
              <w:bottom w:val="single" w:sz="4" w:space="0" w:color="000000"/>
              <w:right w:val="single" w:sz="4" w:space="0" w:color="000000"/>
            </w:tcBorders>
            <w:vAlign w:val="center"/>
            <w:hideMark/>
          </w:tcPr>
          <w:p w:rsidR="005D6ACF" w:rsidRPr="00FA2873" w:rsidRDefault="005D6ACF" w:rsidP="008A253E">
            <w:pPr>
              <w:rPr>
                <w:color w:val="000000"/>
                <w:sz w:val="20"/>
                <w:szCs w:val="20"/>
              </w:rPr>
            </w:pPr>
          </w:p>
        </w:tc>
        <w:tc>
          <w:tcPr>
            <w:tcW w:w="1150" w:type="dxa"/>
            <w:vMerge/>
            <w:tcBorders>
              <w:top w:val="single" w:sz="4" w:space="0" w:color="000000"/>
              <w:left w:val="nil"/>
              <w:bottom w:val="single" w:sz="4" w:space="0" w:color="000000"/>
              <w:right w:val="single" w:sz="4" w:space="0" w:color="000000"/>
            </w:tcBorders>
            <w:vAlign w:val="center"/>
            <w:hideMark/>
          </w:tcPr>
          <w:p w:rsidR="005D6ACF" w:rsidRPr="00FA2873" w:rsidRDefault="005D6ACF" w:rsidP="008A253E">
            <w:pPr>
              <w:rPr>
                <w:color w:val="000000"/>
                <w:sz w:val="20"/>
                <w:szCs w:val="20"/>
              </w:rPr>
            </w:pPr>
          </w:p>
        </w:tc>
      </w:tr>
      <w:tr w:rsidR="005D6ACF" w:rsidRPr="00FA2873" w:rsidTr="008A253E">
        <w:trPr>
          <w:trHeight w:val="487"/>
        </w:trPr>
        <w:tc>
          <w:tcPr>
            <w:tcW w:w="1432" w:type="dxa"/>
            <w:vMerge/>
            <w:tcBorders>
              <w:top w:val="single" w:sz="4" w:space="0" w:color="000000"/>
              <w:left w:val="nil"/>
              <w:bottom w:val="single" w:sz="4" w:space="0" w:color="000000"/>
              <w:right w:val="single" w:sz="4" w:space="0" w:color="000000"/>
            </w:tcBorders>
            <w:vAlign w:val="center"/>
            <w:hideMark/>
          </w:tcPr>
          <w:p w:rsidR="005D6ACF" w:rsidRPr="00FA2873" w:rsidRDefault="005D6ACF" w:rsidP="008A253E">
            <w:pPr>
              <w:rPr>
                <w:color w:val="000000"/>
                <w:sz w:val="20"/>
                <w:szCs w:val="20"/>
              </w:rPr>
            </w:pPr>
          </w:p>
        </w:tc>
        <w:tc>
          <w:tcPr>
            <w:tcW w:w="1146" w:type="dxa"/>
            <w:vMerge/>
            <w:tcBorders>
              <w:top w:val="nil"/>
              <w:left w:val="nil"/>
              <w:bottom w:val="single" w:sz="4" w:space="0" w:color="000000"/>
              <w:right w:val="single" w:sz="4" w:space="0" w:color="000000"/>
            </w:tcBorders>
            <w:vAlign w:val="center"/>
            <w:hideMark/>
          </w:tcPr>
          <w:p w:rsidR="005D6ACF" w:rsidRPr="00FA2873" w:rsidRDefault="005D6ACF" w:rsidP="008A253E">
            <w:pPr>
              <w:rPr>
                <w:color w:val="000000"/>
                <w:sz w:val="20"/>
                <w:szCs w:val="20"/>
              </w:rPr>
            </w:pPr>
          </w:p>
        </w:tc>
        <w:tc>
          <w:tcPr>
            <w:tcW w:w="1146" w:type="dxa"/>
            <w:vMerge/>
            <w:tcBorders>
              <w:top w:val="nil"/>
              <w:left w:val="nil"/>
              <w:bottom w:val="single" w:sz="4" w:space="0" w:color="000000"/>
              <w:right w:val="single" w:sz="4" w:space="0" w:color="000000"/>
            </w:tcBorders>
            <w:vAlign w:val="center"/>
            <w:hideMark/>
          </w:tcPr>
          <w:p w:rsidR="005D6ACF" w:rsidRPr="00FA2873" w:rsidRDefault="005D6ACF" w:rsidP="008A253E">
            <w:pPr>
              <w:rPr>
                <w:color w:val="000000"/>
                <w:sz w:val="20"/>
                <w:szCs w:val="20"/>
              </w:rPr>
            </w:pPr>
          </w:p>
        </w:tc>
        <w:tc>
          <w:tcPr>
            <w:tcW w:w="1146" w:type="dxa"/>
            <w:vMerge/>
            <w:tcBorders>
              <w:top w:val="nil"/>
              <w:left w:val="nil"/>
              <w:bottom w:val="single" w:sz="4" w:space="0" w:color="000000"/>
              <w:right w:val="single" w:sz="4" w:space="0" w:color="000000"/>
            </w:tcBorders>
            <w:vAlign w:val="center"/>
            <w:hideMark/>
          </w:tcPr>
          <w:p w:rsidR="005D6ACF" w:rsidRPr="00FA2873" w:rsidRDefault="005D6ACF" w:rsidP="008A253E">
            <w:pPr>
              <w:rPr>
                <w:color w:val="000000"/>
                <w:sz w:val="20"/>
                <w:szCs w:val="20"/>
              </w:rPr>
            </w:pPr>
          </w:p>
        </w:tc>
        <w:tc>
          <w:tcPr>
            <w:tcW w:w="1146" w:type="dxa"/>
            <w:vMerge/>
            <w:tcBorders>
              <w:top w:val="nil"/>
              <w:left w:val="nil"/>
              <w:bottom w:val="single" w:sz="4" w:space="0" w:color="000000"/>
              <w:right w:val="single" w:sz="4" w:space="0" w:color="000000"/>
            </w:tcBorders>
            <w:vAlign w:val="center"/>
            <w:hideMark/>
          </w:tcPr>
          <w:p w:rsidR="005D6ACF" w:rsidRPr="00FA2873" w:rsidRDefault="005D6ACF" w:rsidP="008A253E">
            <w:pPr>
              <w:rPr>
                <w:color w:val="000000"/>
                <w:sz w:val="20"/>
                <w:szCs w:val="20"/>
              </w:rPr>
            </w:pPr>
          </w:p>
        </w:tc>
        <w:tc>
          <w:tcPr>
            <w:tcW w:w="1147" w:type="dxa"/>
            <w:vMerge/>
            <w:tcBorders>
              <w:top w:val="nil"/>
              <w:left w:val="nil"/>
              <w:bottom w:val="single" w:sz="4" w:space="0" w:color="000000"/>
              <w:right w:val="single" w:sz="4" w:space="0" w:color="000000"/>
            </w:tcBorders>
            <w:vAlign w:val="center"/>
            <w:hideMark/>
          </w:tcPr>
          <w:p w:rsidR="005D6ACF" w:rsidRPr="00FA2873" w:rsidRDefault="005D6ACF" w:rsidP="008A253E">
            <w:pPr>
              <w:rPr>
                <w:color w:val="000000"/>
                <w:sz w:val="20"/>
                <w:szCs w:val="20"/>
              </w:rPr>
            </w:pPr>
          </w:p>
        </w:tc>
        <w:tc>
          <w:tcPr>
            <w:tcW w:w="1147" w:type="dxa"/>
            <w:vMerge/>
            <w:tcBorders>
              <w:top w:val="nil"/>
              <w:left w:val="nil"/>
              <w:bottom w:val="single" w:sz="4" w:space="0" w:color="000000"/>
              <w:right w:val="single" w:sz="4" w:space="0" w:color="000000"/>
            </w:tcBorders>
            <w:vAlign w:val="center"/>
            <w:hideMark/>
          </w:tcPr>
          <w:p w:rsidR="005D6ACF" w:rsidRPr="00FA2873" w:rsidRDefault="005D6ACF" w:rsidP="008A253E">
            <w:pPr>
              <w:rPr>
                <w:color w:val="000000"/>
                <w:sz w:val="20"/>
                <w:szCs w:val="20"/>
              </w:rPr>
            </w:pPr>
          </w:p>
        </w:tc>
        <w:tc>
          <w:tcPr>
            <w:tcW w:w="1146" w:type="dxa"/>
            <w:vMerge/>
            <w:tcBorders>
              <w:top w:val="nil"/>
              <w:left w:val="nil"/>
              <w:bottom w:val="single" w:sz="4" w:space="0" w:color="000000"/>
              <w:right w:val="single" w:sz="4" w:space="0" w:color="000000"/>
            </w:tcBorders>
            <w:vAlign w:val="center"/>
            <w:hideMark/>
          </w:tcPr>
          <w:p w:rsidR="005D6ACF" w:rsidRPr="00FA2873" w:rsidRDefault="005D6ACF" w:rsidP="008A253E">
            <w:pPr>
              <w:rPr>
                <w:color w:val="000000"/>
                <w:sz w:val="20"/>
                <w:szCs w:val="20"/>
              </w:rPr>
            </w:pPr>
          </w:p>
        </w:tc>
        <w:tc>
          <w:tcPr>
            <w:tcW w:w="1147" w:type="dxa"/>
            <w:vMerge/>
            <w:tcBorders>
              <w:top w:val="nil"/>
              <w:left w:val="nil"/>
              <w:bottom w:val="single" w:sz="4" w:space="0" w:color="000000"/>
              <w:right w:val="single" w:sz="4" w:space="0" w:color="000000"/>
            </w:tcBorders>
            <w:vAlign w:val="center"/>
            <w:hideMark/>
          </w:tcPr>
          <w:p w:rsidR="005D6ACF" w:rsidRPr="00FA2873" w:rsidRDefault="005D6ACF" w:rsidP="008A253E">
            <w:pPr>
              <w:rPr>
                <w:color w:val="000000"/>
                <w:sz w:val="20"/>
                <w:szCs w:val="20"/>
              </w:rPr>
            </w:pPr>
          </w:p>
        </w:tc>
        <w:tc>
          <w:tcPr>
            <w:tcW w:w="1147" w:type="dxa"/>
            <w:vMerge/>
            <w:tcBorders>
              <w:top w:val="nil"/>
              <w:left w:val="single" w:sz="4" w:space="0" w:color="000000"/>
              <w:bottom w:val="single" w:sz="4" w:space="0" w:color="000000"/>
              <w:right w:val="single" w:sz="4" w:space="0" w:color="000000"/>
            </w:tcBorders>
            <w:vAlign w:val="center"/>
            <w:hideMark/>
          </w:tcPr>
          <w:p w:rsidR="005D6ACF" w:rsidRPr="00FA2873" w:rsidRDefault="005D6ACF" w:rsidP="008A253E">
            <w:pPr>
              <w:rPr>
                <w:color w:val="000000"/>
                <w:sz w:val="20"/>
                <w:szCs w:val="20"/>
              </w:rPr>
            </w:pPr>
          </w:p>
        </w:tc>
        <w:tc>
          <w:tcPr>
            <w:tcW w:w="1147" w:type="dxa"/>
            <w:vMerge/>
            <w:tcBorders>
              <w:top w:val="nil"/>
              <w:left w:val="nil"/>
              <w:bottom w:val="single" w:sz="4" w:space="0" w:color="000000"/>
              <w:right w:val="single" w:sz="4" w:space="0" w:color="000000"/>
            </w:tcBorders>
            <w:vAlign w:val="center"/>
            <w:hideMark/>
          </w:tcPr>
          <w:p w:rsidR="005D6ACF" w:rsidRPr="00FA2873" w:rsidRDefault="005D6ACF" w:rsidP="008A253E">
            <w:pPr>
              <w:rPr>
                <w:color w:val="000000"/>
                <w:sz w:val="20"/>
                <w:szCs w:val="20"/>
              </w:rPr>
            </w:pPr>
          </w:p>
        </w:tc>
        <w:tc>
          <w:tcPr>
            <w:tcW w:w="1148" w:type="dxa"/>
            <w:vMerge/>
            <w:tcBorders>
              <w:top w:val="nil"/>
              <w:left w:val="nil"/>
              <w:bottom w:val="single" w:sz="4" w:space="0" w:color="000000"/>
              <w:right w:val="single" w:sz="4" w:space="0" w:color="000000"/>
            </w:tcBorders>
            <w:vAlign w:val="center"/>
            <w:hideMark/>
          </w:tcPr>
          <w:p w:rsidR="005D6ACF" w:rsidRPr="00FA2873" w:rsidRDefault="005D6ACF" w:rsidP="008A253E">
            <w:pPr>
              <w:rPr>
                <w:color w:val="000000"/>
                <w:sz w:val="20"/>
                <w:szCs w:val="20"/>
              </w:rPr>
            </w:pPr>
          </w:p>
        </w:tc>
        <w:tc>
          <w:tcPr>
            <w:tcW w:w="1154" w:type="dxa"/>
            <w:vMerge/>
            <w:tcBorders>
              <w:top w:val="nil"/>
              <w:left w:val="nil"/>
              <w:bottom w:val="single" w:sz="4" w:space="0" w:color="000000"/>
              <w:right w:val="single" w:sz="4" w:space="0" w:color="000000"/>
            </w:tcBorders>
            <w:vAlign w:val="center"/>
            <w:hideMark/>
          </w:tcPr>
          <w:p w:rsidR="005D6ACF" w:rsidRPr="00FA2873" w:rsidRDefault="005D6ACF" w:rsidP="008A253E">
            <w:pPr>
              <w:rPr>
                <w:color w:val="000000"/>
                <w:sz w:val="20"/>
                <w:szCs w:val="20"/>
              </w:rPr>
            </w:pPr>
          </w:p>
        </w:tc>
        <w:tc>
          <w:tcPr>
            <w:tcW w:w="1150" w:type="dxa"/>
            <w:vMerge/>
            <w:tcBorders>
              <w:top w:val="single" w:sz="4" w:space="0" w:color="000000"/>
              <w:left w:val="nil"/>
              <w:bottom w:val="single" w:sz="4" w:space="0" w:color="000000"/>
              <w:right w:val="single" w:sz="4" w:space="0" w:color="000000"/>
            </w:tcBorders>
            <w:vAlign w:val="center"/>
            <w:hideMark/>
          </w:tcPr>
          <w:p w:rsidR="005D6ACF" w:rsidRPr="00FA2873" w:rsidRDefault="005D6ACF" w:rsidP="008A253E">
            <w:pPr>
              <w:rPr>
                <w:color w:val="000000"/>
                <w:sz w:val="20"/>
                <w:szCs w:val="20"/>
              </w:rPr>
            </w:pPr>
          </w:p>
        </w:tc>
      </w:tr>
      <w:tr w:rsidR="005D6ACF" w:rsidRPr="00FA2873" w:rsidTr="008A253E">
        <w:trPr>
          <w:trHeight w:val="487"/>
        </w:trPr>
        <w:tc>
          <w:tcPr>
            <w:tcW w:w="1432" w:type="dxa"/>
            <w:vMerge/>
            <w:tcBorders>
              <w:top w:val="single" w:sz="4" w:space="0" w:color="000000"/>
              <w:left w:val="nil"/>
              <w:bottom w:val="single" w:sz="4" w:space="0" w:color="000000"/>
              <w:right w:val="single" w:sz="4" w:space="0" w:color="000000"/>
            </w:tcBorders>
            <w:vAlign w:val="center"/>
            <w:hideMark/>
          </w:tcPr>
          <w:p w:rsidR="005D6ACF" w:rsidRPr="00FA2873" w:rsidRDefault="005D6ACF" w:rsidP="008A253E">
            <w:pPr>
              <w:rPr>
                <w:color w:val="000000"/>
                <w:sz w:val="20"/>
                <w:szCs w:val="20"/>
              </w:rPr>
            </w:pPr>
          </w:p>
        </w:tc>
        <w:tc>
          <w:tcPr>
            <w:tcW w:w="1146" w:type="dxa"/>
            <w:vMerge/>
            <w:tcBorders>
              <w:top w:val="nil"/>
              <w:left w:val="nil"/>
              <w:bottom w:val="single" w:sz="4" w:space="0" w:color="000000"/>
              <w:right w:val="single" w:sz="4" w:space="0" w:color="000000"/>
            </w:tcBorders>
            <w:vAlign w:val="center"/>
            <w:hideMark/>
          </w:tcPr>
          <w:p w:rsidR="005D6ACF" w:rsidRPr="00FA2873" w:rsidRDefault="005D6ACF" w:rsidP="008A253E">
            <w:pPr>
              <w:rPr>
                <w:color w:val="000000"/>
                <w:sz w:val="20"/>
                <w:szCs w:val="20"/>
              </w:rPr>
            </w:pPr>
          </w:p>
        </w:tc>
        <w:tc>
          <w:tcPr>
            <w:tcW w:w="1146" w:type="dxa"/>
            <w:vMerge/>
            <w:tcBorders>
              <w:top w:val="nil"/>
              <w:left w:val="nil"/>
              <w:bottom w:val="single" w:sz="4" w:space="0" w:color="000000"/>
              <w:right w:val="single" w:sz="4" w:space="0" w:color="000000"/>
            </w:tcBorders>
            <w:vAlign w:val="center"/>
            <w:hideMark/>
          </w:tcPr>
          <w:p w:rsidR="005D6ACF" w:rsidRPr="00FA2873" w:rsidRDefault="005D6ACF" w:rsidP="008A253E">
            <w:pPr>
              <w:rPr>
                <w:color w:val="000000"/>
                <w:sz w:val="20"/>
                <w:szCs w:val="20"/>
              </w:rPr>
            </w:pPr>
          </w:p>
        </w:tc>
        <w:tc>
          <w:tcPr>
            <w:tcW w:w="1146" w:type="dxa"/>
            <w:vMerge/>
            <w:tcBorders>
              <w:top w:val="nil"/>
              <w:left w:val="nil"/>
              <w:bottom w:val="single" w:sz="4" w:space="0" w:color="000000"/>
              <w:right w:val="single" w:sz="4" w:space="0" w:color="000000"/>
            </w:tcBorders>
            <w:vAlign w:val="center"/>
            <w:hideMark/>
          </w:tcPr>
          <w:p w:rsidR="005D6ACF" w:rsidRPr="00FA2873" w:rsidRDefault="005D6ACF" w:rsidP="008A253E">
            <w:pPr>
              <w:rPr>
                <w:color w:val="000000"/>
                <w:sz w:val="20"/>
                <w:szCs w:val="20"/>
              </w:rPr>
            </w:pPr>
          </w:p>
        </w:tc>
        <w:tc>
          <w:tcPr>
            <w:tcW w:w="1146" w:type="dxa"/>
            <w:vMerge/>
            <w:tcBorders>
              <w:top w:val="nil"/>
              <w:left w:val="nil"/>
              <w:bottom w:val="single" w:sz="4" w:space="0" w:color="000000"/>
              <w:right w:val="single" w:sz="4" w:space="0" w:color="000000"/>
            </w:tcBorders>
            <w:vAlign w:val="center"/>
            <w:hideMark/>
          </w:tcPr>
          <w:p w:rsidR="005D6ACF" w:rsidRPr="00FA2873" w:rsidRDefault="005D6ACF" w:rsidP="008A253E">
            <w:pPr>
              <w:rPr>
                <w:color w:val="000000"/>
                <w:sz w:val="20"/>
                <w:szCs w:val="20"/>
              </w:rPr>
            </w:pPr>
          </w:p>
        </w:tc>
        <w:tc>
          <w:tcPr>
            <w:tcW w:w="1147" w:type="dxa"/>
            <w:vMerge/>
            <w:tcBorders>
              <w:top w:val="nil"/>
              <w:left w:val="nil"/>
              <w:bottom w:val="single" w:sz="4" w:space="0" w:color="000000"/>
              <w:right w:val="single" w:sz="4" w:space="0" w:color="000000"/>
            </w:tcBorders>
            <w:vAlign w:val="center"/>
            <w:hideMark/>
          </w:tcPr>
          <w:p w:rsidR="005D6ACF" w:rsidRPr="00FA2873" w:rsidRDefault="005D6ACF" w:rsidP="008A253E">
            <w:pPr>
              <w:rPr>
                <w:color w:val="000000"/>
                <w:sz w:val="20"/>
                <w:szCs w:val="20"/>
              </w:rPr>
            </w:pPr>
          </w:p>
        </w:tc>
        <w:tc>
          <w:tcPr>
            <w:tcW w:w="1147" w:type="dxa"/>
            <w:vMerge/>
            <w:tcBorders>
              <w:top w:val="nil"/>
              <w:left w:val="nil"/>
              <w:bottom w:val="single" w:sz="4" w:space="0" w:color="000000"/>
              <w:right w:val="single" w:sz="4" w:space="0" w:color="000000"/>
            </w:tcBorders>
            <w:vAlign w:val="center"/>
            <w:hideMark/>
          </w:tcPr>
          <w:p w:rsidR="005D6ACF" w:rsidRPr="00FA2873" w:rsidRDefault="005D6ACF" w:rsidP="008A253E">
            <w:pPr>
              <w:rPr>
                <w:color w:val="000000"/>
                <w:sz w:val="20"/>
                <w:szCs w:val="20"/>
              </w:rPr>
            </w:pPr>
          </w:p>
        </w:tc>
        <w:tc>
          <w:tcPr>
            <w:tcW w:w="1146" w:type="dxa"/>
            <w:vMerge/>
            <w:tcBorders>
              <w:top w:val="nil"/>
              <w:left w:val="nil"/>
              <w:bottom w:val="single" w:sz="4" w:space="0" w:color="000000"/>
              <w:right w:val="single" w:sz="4" w:space="0" w:color="000000"/>
            </w:tcBorders>
            <w:vAlign w:val="center"/>
            <w:hideMark/>
          </w:tcPr>
          <w:p w:rsidR="005D6ACF" w:rsidRPr="00FA2873" w:rsidRDefault="005D6ACF" w:rsidP="008A253E">
            <w:pPr>
              <w:rPr>
                <w:color w:val="000000"/>
                <w:sz w:val="20"/>
                <w:szCs w:val="20"/>
              </w:rPr>
            </w:pPr>
          </w:p>
        </w:tc>
        <w:tc>
          <w:tcPr>
            <w:tcW w:w="1147" w:type="dxa"/>
            <w:vMerge/>
            <w:tcBorders>
              <w:top w:val="nil"/>
              <w:left w:val="nil"/>
              <w:bottom w:val="single" w:sz="4" w:space="0" w:color="000000"/>
              <w:right w:val="single" w:sz="4" w:space="0" w:color="000000"/>
            </w:tcBorders>
            <w:vAlign w:val="center"/>
            <w:hideMark/>
          </w:tcPr>
          <w:p w:rsidR="005D6ACF" w:rsidRPr="00FA2873" w:rsidRDefault="005D6ACF" w:rsidP="008A253E">
            <w:pPr>
              <w:rPr>
                <w:color w:val="000000"/>
                <w:sz w:val="20"/>
                <w:szCs w:val="20"/>
              </w:rPr>
            </w:pPr>
          </w:p>
        </w:tc>
        <w:tc>
          <w:tcPr>
            <w:tcW w:w="1147" w:type="dxa"/>
            <w:vMerge/>
            <w:tcBorders>
              <w:top w:val="nil"/>
              <w:left w:val="single" w:sz="4" w:space="0" w:color="000000"/>
              <w:bottom w:val="single" w:sz="4" w:space="0" w:color="000000"/>
              <w:right w:val="single" w:sz="4" w:space="0" w:color="000000"/>
            </w:tcBorders>
            <w:vAlign w:val="center"/>
            <w:hideMark/>
          </w:tcPr>
          <w:p w:rsidR="005D6ACF" w:rsidRPr="00FA2873" w:rsidRDefault="005D6ACF" w:rsidP="008A253E">
            <w:pPr>
              <w:rPr>
                <w:color w:val="000000"/>
                <w:sz w:val="20"/>
                <w:szCs w:val="20"/>
              </w:rPr>
            </w:pPr>
          </w:p>
        </w:tc>
        <w:tc>
          <w:tcPr>
            <w:tcW w:w="1147" w:type="dxa"/>
            <w:vMerge/>
            <w:tcBorders>
              <w:top w:val="nil"/>
              <w:left w:val="nil"/>
              <w:bottom w:val="single" w:sz="4" w:space="0" w:color="000000"/>
              <w:right w:val="single" w:sz="4" w:space="0" w:color="000000"/>
            </w:tcBorders>
            <w:vAlign w:val="center"/>
            <w:hideMark/>
          </w:tcPr>
          <w:p w:rsidR="005D6ACF" w:rsidRPr="00FA2873" w:rsidRDefault="005D6ACF" w:rsidP="008A253E">
            <w:pPr>
              <w:rPr>
                <w:color w:val="000000"/>
                <w:sz w:val="20"/>
                <w:szCs w:val="20"/>
              </w:rPr>
            </w:pPr>
          </w:p>
        </w:tc>
        <w:tc>
          <w:tcPr>
            <w:tcW w:w="1148" w:type="dxa"/>
            <w:vMerge/>
            <w:tcBorders>
              <w:top w:val="nil"/>
              <w:left w:val="nil"/>
              <w:bottom w:val="single" w:sz="4" w:space="0" w:color="000000"/>
              <w:right w:val="single" w:sz="4" w:space="0" w:color="000000"/>
            </w:tcBorders>
            <w:vAlign w:val="center"/>
            <w:hideMark/>
          </w:tcPr>
          <w:p w:rsidR="005D6ACF" w:rsidRPr="00FA2873" w:rsidRDefault="005D6ACF" w:rsidP="008A253E">
            <w:pPr>
              <w:rPr>
                <w:color w:val="000000"/>
                <w:sz w:val="20"/>
                <w:szCs w:val="20"/>
              </w:rPr>
            </w:pPr>
          </w:p>
        </w:tc>
        <w:tc>
          <w:tcPr>
            <w:tcW w:w="1154" w:type="dxa"/>
            <w:vMerge/>
            <w:tcBorders>
              <w:top w:val="nil"/>
              <w:left w:val="nil"/>
              <w:bottom w:val="single" w:sz="4" w:space="0" w:color="000000"/>
              <w:right w:val="single" w:sz="4" w:space="0" w:color="000000"/>
            </w:tcBorders>
            <w:vAlign w:val="center"/>
            <w:hideMark/>
          </w:tcPr>
          <w:p w:rsidR="005D6ACF" w:rsidRPr="00FA2873" w:rsidRDefault="005D6ACF" w:rsidP="008A253E">
            <w:pPr>
              <w:rPr>
                <w:color w:val="000000"/>
                <w:sz w:val="20"/>
                <w:szCs w:val="20"/>
              </w:rPr>
            </w:pPr>
          </w:p>
        </w:tc>
        <w:tc>
          <w:tcPr>
            <w:tcW w:w="1150" w:type="dxa"/>
            <w:vMerge/>
            <w:tcBorders>
              <w:top w:val="single" w:sz="4" w:space="0" w:color="000000"/>
              <w:left w:val="nil"/>
              <w:bottom w:val="single" w:sz="4" w:space="0" w:color="000000"/>
              <w:right w:val="single" w:sz="4" w:space="0" w:color="000000"/>
            </w:tcBorders>
            <w:vAlign w:val="center"/>
            <w:hideMark/>
          </w:tcPr>
          <w:p w:rsidR="005D6ACF" w:rsidRPr="00FA2873" w:rsidRDefault="005D6ACF" w:rsidP="008A253E">
            <w:pPr>
              <w:rPr>
                <w:color w:val="000000"/>
                <w:sz w:val="20"/>
                <w:szCs w:val="20"/>
              </w:rPr>
            </w:pPr>
          </w:p>
        </w:tc>
      </w:tr>
      <w:tr w:rsidR="005D6ACF" w:rsidRPr="00FA2873" w:rsidTr="008A253E">
        <w:trPr>
          <w:trHeight w:val="169"/>
        </w:trPr>
        <w:tc>
          <w:tcPr>
            <w:tcW w:w="1432" w:type="dxa"/>
            <w:tcBorders>
              <w:top w:val="nil"/>
              <w:left w:val="nil"/>
              <w:bottom w:val="nil"/>
              <w:right w:val="single" w:sz="4" w:space="0" w:color="000000"/>
            </w:tcBorders>
            <w:shd w:val="clear" w:color="auto" w:fill="auto"/>
            <w:hideMark/>
          </w:tcPr>
          <w:p w:rsidR="005D6ACF" w:rsidRPr="000303D3" w:rsidRDefault="005D6ACF" w:rsidP="008A253E">
            <w:pPr>
              <w:jc w:val="center"/>
              <w:rPr>
                <w:sz w:val="20"/>
                <w:szCs w:val="20"/>
              </w:rPr>
            </w:pPr>
            <w:r w:rsidRPr="000303D3">
              <w:rPr>
                <w:sz w:val="20"/>
                <w:szCs w:val="20"/>
              </w:rPr>
              <w:t>№1 от 30.03.2020</w:t>
            </w:r>
          </w:p>
        </w:tc>
        <w:tc>
          <w:tcPr>
            <w:tcW w:w="1146" w:type="dxa"/>
            <w:tcBorders>
              <w:top w:val="nil"/>
              <w:left w:val="nil"/>
              <w:bottom w:val="nil"/>
              <w:right w:val="single" w:sz="4" w:space="0" w:color="000000"/>
            </w:tcBorders>
            <w:shd w:val="clear" w:color="auto" w:fill="auto"/>
            <w:hideMark/>
          </w:tcPr>
          <w:p w:rsidR="005D6ACF" w:rsidRPr="000303D3" w:rsidRDefault="005D6ACF" w:rsidP="008A253E">
            <w:pPr>
              <w:jc w:val="center"/>
              <w:rPr>
                <w:sz w:val="20"/>
                <w:szCs w:val="20"/>
              </w:rPr>
            </w:pPr>
            <w:r w:rsidRPr="000303D3">
              <w:rPr>
                <w:sz w:val="20"/>
                <w:szCs w:val="20"/>
              </w:rPr>
              <w:t>636,99</w:t>
            </w:r>
          </w:p>
        </w:tc>
        <w:tc>
          <w:tcPr>
            <w:tcW w:w="1146" w:type="dxa"/>
            <w:tcBorders>
              <w:top w:val="nil"/>
              <w:left w:val="nil"/>
              <w:bottom w:val="nil"/>
              <w:right w:val="single" w:sz="4" w:space="0" w:color="000000"/>
            </w:tcBorders>
            <w:shd w:val="clear" w:color="auto" w:fill="auto"/>
            <w:hideMark/>
          </w:tcPr>
          <w:p w:rsidR="005D6ACF" w:rsidRPr="000303D3" w:rsidRDefault="005D6ACF" w:rsidP="008A253E">
            <w:pPr>
              <w:jc w:val="center"/>
              <w:rPr>
                <w:sz w:val="20"/>
                <w:szCs w:val="20"/>
              </w:rPr>
            </w:pPr>
            <w:r w:rsidRPr="000303D3">
              <w:rPr>
                <w:sz w:val="20"/>
                <w:szCs w:val="20"/>
              </w:rPr>
              <w:t>575,34</w:t>
            </w:r>
          </w:p>
        </w:tc>
        <w:tc>
          <w:tcPr>
            <w:tcW w:w="1146" w:type="dxa"/>
            <w:tcBorders>
              <w:top w:val="nil"/>
              <w:left w:val="nil"/>
              <w:bottom w:val="nil"/>
              <w:right w:val="single" w:sz="4" w:space="0" w:color="000000"/>
            </w:tcBorders>
            <w:shd w:val="clear" w:color="auto" w:fill="auto"/>
            <w:hideMark/>
          </w:tcPr>
          <w:p w:rsidR="005D6ACF" w:rsidRPr="000303D3" w:rsidRDefault="005D6ACF" w:rsidP="008A253E">
            <w:pPr>
              <w:jc w:val="center"/>
              <w:rPr>
                <w:sz w:val="20"/>
                <w:szCs w:val="20"/>
              </w:rPr>
            </w:pPr>
            <w:r w:rsidRPr="000303D3">
              <w:rPr>
                <w:sz w:val="20"/>
                <w:szCs w:val="20"/>
              </w:rPr>
              <w:t>636,99</w:t>
            </w:r>
          </w:p>
        </w:tc>
        <w:tc>
          <w:tcPr>
            <w:tcW w:w="1146" w:type="dxa"/>
            <w:tcBorders>
              <w:top w:val="nil"/>
              <w:left w:val="nil"/>
              <w:bottom w:val="nil"/>
              <w:right w:val="single" w:sz="4" w:space="0" w:color="000000"/>
            </w:tcBorders>
            <w:shd w:val="clear" w:color="auto" w:fill="auto"/>
            <w:hideMark/>
          </w:tcPr>
          <w:p w:rsidR="005D6ACF" w:rsidRPr="000303D3" w:rsidRDefault="005D6ACF" w:rsidP="008A253E">
            <w:pPr>
              <w:jc w:val="center"/>
              <w:rPr>
                <w:sz w:val="20"/>
                <w:szCs w:val="20"/>
              </w:rPr>
            </w:pPr>
            <w:r w:rsidRPr="000303D3">
              <w:rPr>
                <w:sz w:val="20"/>
                <w:szCs w:val="20"/>
              </w:rPr>
              <w:t>616,44</w:t>
            </w:r>
          </w:p>
        </w:tc>
        <w:tc>
          <w:tcPr>
            <w:tcW w:w="1147" w:type="dxa"/>
            <w:tcBorders>
              <w:top w:val="nil"/>
              <w:left w:val="nil"/>
              <w:bottom w:val="nil"/>
              <w:right w:val="single" w:sz="4" w:space="0" w:color="000000"/>
            </w:tcBorders>
            <w:shd w:val="clear" w:color="auto" w:fill="auto"/>
            <w:hideMark/>
          </w:tcPr>
          <w:p w:rsidR="005D6ACF" w:rsidRPr="000303D3" w:rsidRDefault="005D6ACF" w:rsidP="008A253E">
            <w:pPr>
              <w:jc w:val="center"/>
              <w:rPr>
                <w:sz w:val="20"/>
                <w:szCs w:val="20"/>
              </w:rPr>
            </w:pPr>
            <w:r w:rsidRPr="000303D3">
              <w:rPr>
                <w:sz w:val="20"/>
                <w:szCs w:val="20"/>
              </w:rPr>
              <w:t>636,99</w:t>
            </w:r>
          </w:p>
        </w:tc>
        <w:tc>
          <w:tcPr>
            <w:tcW w:w="1147" w:type="dxa"/>
            <w:tcBorders>
              <w:top w:val="nil"/>
              <w:left w:val="nil"/>
              <w:bottom w:val="nil"/>
              <w:right w:val="single" w:sz="4" w:space="0" w:color="000000"/>
            </w:tcBorders>
            <w:shd w:val="clear" w:color="auto" w:fill="auto"/>
            <w:hideMark/>
          </w:tcPr>
          <w:p w:rsidR="005D6ACF" w:rsidRPr="000303D3" w:rsidRDefault="005D6ACF" w:rsidP="008A253E">
            <w:pPr>
              <w:jc w:val="center"/>
              <w:rPr>
                <w:sz w:val="20"/>
                <w:szCs w:val="20"/>
              </w:rPr>
            </w:pPr>
            <w:r w:rsidRPr="000303D3">
              <w:rPr>
                <w:sz w:val="20"/>
                <w:szCs w:val="20"/>
              </w:rPr>
              <w:t>616,44</w:t>
            </w:r>
          </w:p>
        </w:tc>
        <w:tc>
          <w:tcPr>
            <w:tcW w:w="1146" w:type="dxa"/>
            <w:tcBorders>
              <w:top w:val="nil"/>
              <w:left w:val="nil"/>
              <w:bottom w:val="nil"/>
              <w:right w:val="single" w:sz="4" w:space="0" w:color="000000"/>
            </w:tcBorders>
            <w:shd w:val="clear" w:color="auto" w:fill="auto"/>
            <w:hideMark/>
          </w:tcPr>
          <w:p w:rsidR="005D6ACF" w:rsidRPr="000303D3" w:rsidRDefault="005D6ACF" w:rsidP="008A253E">
            <w:pPr>
              <w:jc w:val="center"/>
              <w:rPr>
                <w:sz w:val="20"/>
                <w:szCs w:val="20"/>
              </w:rPr>
            </w:pPr>
            <w:r w:rsidRPr="000303D3">
              <w:rPr>
                <w:sz w:val="20"/>
                <w:szCs w:val="20"/>
              </w:rPr>
              <w:t>636,99</w:t>
            </w:r>
          </w:p>
        </w:tc>
        <w:tc>
          <w:tcPr>
            <w:tcW w:w="1147" w:type="dxa"/>
            <w:tcBorders>
              <w:top w:val="nil"/>
              <w:left w:val="nil"/>
              <w:bottom w:val="nil"/>
              <w:right w:val="single" w:sz="4" w:space="0" w:color="000000"/>
            </w:tcBorders>
            <w:shd w:val="clear" w:color="auto" w:fill="auto"/>
            <w:hideMark/>
          </w:tcPr>
          <w:p w:rsidR="005D6ACF" w:rsidRPr="000303D3" w:rsidRDefault="005D6ACF" w:rsidP="008A253E">
            <w:pPr>
              <w:jc w:val="center"/>
              <w:rPr>
                <w:sz w:val="20"/>
                <w:szCs w:val="20"/>
              </w:rPr>
            </w:pPr>
            <w:r w:rsidRPr="000303D3">
              <w:rPr>
                <w:sz w:val="20"/>
                <w:szCs w:val="20"/>
              </w:rPr>
              <w:t>636,99</w:t>
            </w:r>
          </w:p>
        </w:tc>
        <w:tc>
          <w:tcPr>
            <w:tcW w:w="1147" w:type="dxa"/>
            <w:tcBorders>
              <w:top w:val="nil"/>
              <w:left w:val="nil"/>
              <w:bottom w:val="nil"/>
              <w:right w:val="single" w:sz="4" w:space="0" w:color="000000"/>
            </w:tcBorders>
            <w:shd w:val="clear" w:color="auto" w:fill="auto"/>
            <w:hideMark/>
          </w:tcPr>
          <w:p w:rsidR="005D6ACF" w:rsidRPr="000303D3" w:rsidRDefault="005D6ACF" w:rsidP="008A253E">
            <w:pPr>
              <w:jc w:val="center"/>
              <w:rPr>
                <w:sz w:val="20"/>
                <w:szCs w:val="20"/>
              </w:rPr>
            </w:pPr>
            <w:r w:rsidRPr="000303D3">
              <w:rPr>
                <w:sz w:val="20"/>
                <w:szCs w:val="20"/>
              </w:rPr>
              <w:t>616,44</w:t>
            </w:r>
          </w:p>
        </w:tc>
        <w:tc>
          <w:tcPr>
            <w:tcW w:w="1147" w:type="dxa"/>
            <w:tcBorders>
              <w:top w:val="nil"/>
              <w:left w:val="nil"/>
              <w:bottom w:val="nil"/>
              <w:right w:val="single" w:sz="4" w:space="0" w:color="000000"/>
            </w:tcBorders>
            <w:shd w:val="clear" w:color="auto" w:fill="auto"/>
            <w:hideMark/>
          </w:tcPr>
          <w:p w:rsidR="005D6ACF" w:rsidRPr="000303D3" w:rsidRDefault="005D6ACF" w:rsidP="008A253E">
            <w:pPr>
              <w:jc w:val="center"/>
              <w:rPr>
                <w:sz w:val="20"/>
                <w:szCs w:val="20"/>
              </w:rPr>
            </w:pPr>
            <w:r w:rsidRPr="000303D3">
              <w:rPr>
                <w:sz w:val="20"/>
                <w:szCs w:val="20"/>
              </w:rPr>
              <w:t>636,99</w:t>
            </w:r>
          </w:p>
        </w:tc>
        <w:tc>
          <w:tcPr>
            <w:tcW w:w="1148" w:type="dxa"/>
            <w:tcBorders>
              <w:top w:val="nil"/>
              <w:left w:val="nil"/>
              <w:bottom w:val="nil"/>
              <w:right w:val="single" w:sz="4" w:space="0" w:color="000000"/>
            </w:tcBorders>
            <w:shd w:val="clear" w:color="auto" w:fill="auto"/>
            <w:hideMark/>
          </w:tcPr>
          <w:p w:rsidR="005D6ACF" w:rsidRPr="000303D3" w:rsidRDefault="005D6ACF" w:rsidP="008A253E">
            <w:pPr>
              <w:jc w:val="center"/>
              <w:rPr>
                <w:sz w:val="20"/>
                <w:szCs w:val="20"/>
              </w:rPr>
            </w:pPr>
            <w:r w:rsidRPr="000303D3">
              <w:rPr>
                <w:sz w:val="20"/>
                <w:szCs w:val="20"/>
              </w:rPr>
              <w:t>616,44</w:t>
            </w:r>
          </w:p>
        </w:tc>
        <w:tc>
          <w:tcPr>
            <w:tcW w:w="1154" w:type="dxa"/>
            <w:tcBorders>
              <w:top w:val="nil"/>
              <w:left w:val="nil"/>
              <w:bottom w:val="nil"/>
              <w:right w:val="single" w:sz="4" w:space="0" w:color="000000"/>
            </w:tcBorders>
            <w:shd w:val="clear" w:color="auto" w:fill="auto"/>
            <w:hideMark/>
          </w:tcPr>
          <w:p w:rsidR="005D6ACF" w:rsidRPr="000303D3" w:rsidRDefault="005D6ACF" w:rsidP="008A253E">
            <w:pPr>
              <w:jc w:val="center"/>
              <w:rPr>
                <w:sz w:val="20"/>
                <w:szCs w:val="20"/>
              </w:rPr>
            </w:pPr>
            <w:r w:rsidRPr="000303D3">
              <w:rPr>
                <w:sz w:val="20"/>
                <w:szCs w:val="20"/>
              </w:rPr>
              <w:t>472,60</w:t>
            </w:r>
          </w:p>
        </w:tc>
        <w:tc>
          <w:tcPr>
            <w:tcW w:w="1150" w:type="dxa"/>
            <w:tcBorders>
              <w:top w:val="nil"/>
              <w:left w:val="nil"/>
              <w:bottom w:val="nil"/>
              <w:right w:val="single" w:sz="4" w:space="0" w:color="000000"/>
            </w:tcBorders>
            <w:shd w:val="clear" w:color="auto" w:fill="auto"/>
            <w:hideMark/>
          </w:tcPr>
          <w:p w:rsidR="005D6ACF" w:rsidRPr="000303D3" w:rsidRDefault="005D6ACF" w:rsidP="008A253E">
            <w:pPr>
              <w:jc w:val="center"/>
              <w:rPr>
                <w:sz w:val="20"/>
                <w:szCs w:val="20"/>
              </w:rPr>
            </w:pPr>
            <w:r w:rsidRPr="000303D3">
              <w:rPr>
                <w:sz w:val="20"/>
                <w:szCs w:val="20"/>
              </w:rPr>
              <w:t>7 335,64</w:t>
            </w:r>
          </w:p>
        </w:tc>
      </w:tr>
      <w:tr w:rsidR="005D6ACF" w:rsidRPr="00FA2873" w:rsidTr="008A253E">
        <w:trPr>
          <w:trHeight w:val="169"/>
        </w:trPr>
        <w:tc>
          <w:tcPr>
            <w:tcW w:w="1432" w:type="dxa"/>
            <w:tcBorders>
              <w:top w:val="single" w:sz="4" w:space="0" w:color="000000"/>
              <w:left w:val="nil"/>
              <w:bottom w:val="nil"/>
              <w:right w:val="single" w:sz="4" w:space="0" w:color="000000"/>
            </w:tcBorders>
            <w:shd w:val="clear" w:color="auto" w:fill="auto"/>
            <w:hideMark/>
          </w:tcPr>
          <w:p w:rsidR="005D6ACF" w:rsidRPr="000303D3" w:rsidRDefault="005D6ACF" w:rsidP="008A253E">
            <w:pPr>
              <w:jc w:val="center"/>
              <w:rPr>
                <w:sz w:val="20"/>
                <w:szCs w:val="20"/>
              </w:rPr>
            </w:pPr>
            <w:r w:rsidRPr="000303D3">
              <w:rPr>
                <w:sz w:val="20"/>
                <w:szCs w:val="20"/>
              </w:rPr>
              <w:t>№3 от 27.07.2020</w:t>
            </w:r>
          </w:p>
        </w:tc>
        <w:tc>
          <w:tcPr>
            <w:tcW w:w="1146" w:type="dxa"/>
            <w:tcBorders>
              <w:top w:val="single" w:sz="4" w:space="0" w:color="000000"/>
              <w:left w:val="nil"/>
              <w:bottom w:val="nil"/>
              <w:right w:val="single" w:sz="4" w:space="0" w:color="000000"/>
            </w:tcBorders>
            <w:shd w:val="clear" w:color="auto" w:fill="auto"/>
            <w:hideMark/>
          </w:tcPr>
          <w:p w:rsidR="005D6ACF" w:rsidRPr="000303D3" w:rsidRDefault="005D6ACF" w:rsidP="008A253E">
            <w:pPr>
              <w:jc w:val="center"/>
              <w:rPr>
                <w:sz w:val="20"/>
                <w:szCs w:val="20"/>
              </w:rPr>
            </w:pPr>
            <w:r w:rsidRPr="000303D3">
              <w:rPr>
                <w:sz w:val="20"/>
                <w:szCs w:val="20"/>
              </w:rPr>
              <w:t>3 263,57</w:t>
            </w:r>
          </w:p>
        </w:tc>
        <w:tc>
          <w:tcPr>
            <w:tcW w:w="1146" w:type="dxa"/>
            <w:tcBorders>
              <w:top w:val="single" w:sz="4" w:space="0" w:color="000000"/>
              <w:left w:val="nil"/>
              <w:bottom w:val="nil"/>
              <w:right w:val="single" w:sz="4" w:space="0" w:color="000000"/>
            </w:tcBorders>
            <w:shd w:val="clear" w:color="auto" w:fill="auto"/>
            <w:hideMark/>
          </w:tcPr>
          <w:p w:rsidR="005D6ACF" w:rsidRPr="000303D3" w:rsidRDefault="005D6ACF" w:rsidP="008A253E">
            <w:pPr>
              <w:jc w:val="center"/>
              <w:rPr>
                <w:sz w:val="20"/>
                <w:szCs w:val="20"/>
              </w:rPr>
            </w:pPr>
            <w:r w:rsidRPr="000303D3">
              <w:rPr>
                <w:sz w:val="20"/>
                <w:szCs w:val="20"/>
              </w:rPr>
              <w:t>2 947,74</w:t>
            </w:r>
          </w:p>
        </w:tc>
        <w:tc>
          <w:tcPr>
            <w:tcW w:w="1146" w:type="dxa"/>
            <w:tcBorders>
              <w:top w:val="single" w:sz="4" w:space="0" w:color="000000"/>
              <w:left w:val="nil"/>
              <w:bottom w:val="nil"/>
              <w:right w:val="single" w:sz="4" w:space="0" w:color="000000"/>
            </w:tcBorders>
            <w:shd w:val="clear" w:color="auto" w:fill="auto"/>
            <w:hideMark/>
          </w:tcPr>
          <w:p w:rsidR="005D6ACF" w:rsidRPr="000303D3" w:rsidRDefault="005D6ACF" w:rsidP="008A253E">
            <w:pPr>
              <w:jc w:val="center"/>
              <w:rPr>
                <w:sz w:val="20"/>
                <w:szCs w:val="20"/>
              </w:rPr>
            </w:pPr>
            <w:r w:rsidRPr="000303D3">
              <w:rPr>
                <w:sz w:val="20"/>
                <w:szCs w:val="20"/>
              </w:rPr>
              <w:t>3 263,57</w:t>
            </w:r>
          </w:p>
        </w:tc>
        <w:tc>
          <w:tcPr>
            <w:tcW w:w="1146" w:type="dxa"/>
            <w:tcBorders>
              <w:top w:val="single" w:sz="4" w:space="0" w:color="000000"/>
              <w:left w:val="nil"/>
              <w:bottom w:val="nil"/>
              <w:right w:val="single" w:sz="4" w:space="0" w:color="000000"/>
            </w:tcBorders>
            <w:shd w:val="clear" w:color="auto" w:fill="auto"/>
            <w:hideMark/>
          </w:tcPr>
          <w:p w:rsidR="005D6ACF" w:rsidRPr="000303D3" w:rsidRDefault="005D6ACF" w:rsidP="008A253E">
            <w:pPr>
              <w:jc w:val="center"/>
              <w:rPr>
                <w:sz w:val="20"/>
                <w:szCs w:val="20"/>
              </w:rPr>
            </w:pPr>
            <w:r w:rsidRPr="000303D3">
              <w:rPr>
                <w:sz w:val="20"/>
                <w:szCs w:val="20"/>
              </w:rPr>
              <w:t>3 158,29</w:t>
            </w:r>
          </w:p>
        </w:tc>
        <w:tc>
          <w:tcPr>
            <w:tcW w:w="1147" w:type="dxa"/>
            <w:tcBorders>
              <w:top w:val="single" w:sz="4" w:space="0" w:color="000000"/>
              <w:left w:val="nil"/>
              <w:bottom w:val="nil"/>
              <w:right w:val="single" w:sz="4" w:space="0" w:color="000000"/>
            </w:tcBorders>
            <w:shd w:val="clear" w:color="auto" w:fill="auto"/>
            <w:hideMark/>
          </w:tcPr>
          <w:p w:rsidR="005D6ACF" w:rsidRPr="000303D3" w:rsidRDefault="005D6ACF" w:rsidP="008A253E">
            <w:pPr>
              <w:jc w:val="center"/>
              <w:rPr>
                <w:sz w:val="20"/>
                <w:szCs w:val="20"/>
              </w:rPr>
            </w:pPr>
            <w:r w:rsidRPr="000303D3">
              <w:rPr>
                <w:sz w:val="20"/>
                <w:szCs w:val="20"/>
              </w:rPr>
              <w:t>3 263,57</w:t>
            </w:r>
          </w:p>
        </w:tc>
        <w:tc>
          <w:tcPr>
            <w:tcW w:w="1147" w:type="dxa"/>
            <w:tcBorders>
              <w:top w:val="single" w:sz="4" w:space="0" w:color="000000"/>
              <w:left w:val="nil"/>
              <w:bottom w:val="nil"/>
              <w:right w:val="single" w:sz="4" w:space="0" w:color="000000"/>
            </w:tcBorders>
            <w:shd w:val="clear" w:color="auto" w:fill="auto"/>
            <w:hideMark/>
          </w:tcPr>
          <w:p w:rsidR="005D6ACF" w:rsidRPr="000303D3" w:rsidRDefault="005D6ACF" w:rsidP="008A253E">
            <w:pPr>
              <w:jc w:val="center"/>
              <w:rPr>
                <w:sz w:val="20"/>
                <w:szCs w:val="20"/>
              </w:rPr>
            </w:pPr>
            <w:r w:rsidRPr="000303D3">
              <w:rPr>
                <w:sz w:val="20"/>
                <w:szCs w:val="20"/>
              </w:rPr>
              <w:t>3 158,29</w:t>
            </w:r>
          </w:p>
        </w:tc>
        <w:tc>
          <w:tcPr>
            <w:tcW w:w="1146" w:type="dxa"/>
            <w:tcBorders>
              <w:top w:val="single" w:sz="4" w:space="0" w:color="000000"/>
              <w:left w:val="nil"/>
              <w:bottom w:val="nil"/>
              <w:right w:val="single" w:sz="4" w:space="0" w:color="000000"/>
            </w:tcBorders>
            <w:shd w:val="clear" w:color="auto" w:fill="auto"/>
            <w:hideMark/>
          </w:tcPr>
          <w:p w:rsidR="005D6ACF" w:rsidRPr="000303D3" w:rsidRDefault="005D6ACF" w:rsidP="008A253E">
            <w:pPr>
              <w:jc w:val="center"/>
              <w:rPr>
                <w:sz w:val="20"/>
                <w:szCs w:val="20"/>
              </w:rPr>
            </w:pPr>
            <w:r w:rsidRPr="000303D3">
              <w:rPr>
                <w:sz w:val="20"/>
                <w:szCs w:val="20"/>
              </w:rPr>
              <w:t>3 263,57</w:t>
            </w:r>
          </w:p>
        </w:tc>
        <w:tc>
          <w:tcPr>
            <w:tcW w:w="1147" w:type="dxa"/>
            <w:tcBorders>
              <w:top w:val="single" w:sz="4" w:space="0" w:color="000000"/>
              <w:left w:val="nil"/>
              <w:bottom w:val="nil"/>
              <w:right w:val="single" w:sz="4" w:space="0" w:color="000000"/>
            </w:tcBorders>
            <w:shd w:val="clear" w:color="auto" w:fill="auto"/>
            <w:hideMark/>
          </w:tcPr>
          <w:p w:rsidR="005D6ACF" w:rsidRPr="000303D3" w:rsidRDefault="005D6ACF" w:rsidP="008A253E">
            <w:pPr>
              <w:jc w:val="center"/>
              <w:rPr>
                <w:sz w:val="20"/>
                <w:szCs w:val="20"/>
              </w:rPr>
            </w:pPr>
            <w:r w:rsidRPr="000303D3">
              <w:rPr>
                <w:sz w:val="20"/>
                <w:szCs w:val="20"/>
              </w:rPr>
              <w:t>3 263,57</w:t>
            </w:r>
          </w:p>
        </w:tc>
        <w:tc>
          <w:tcPr>
            <w:tcW w:w="1147" w:type="dxa"/>
            <w:tcBorders>
              <w:top w:val="single" w:sz="4" w:space="0" w:color="000000"/>
              <w:left w:val="nil"/>
              <w:bottom w:val="nil"/>
              <w:right w:val="single" w:sz="4" w:space="0" w:color="000000"/>
            </w:tcBorders>
            <w:shd w:val="clear" w:color="auto" w:fill="auto"/>
            <w:hideMark/>
          </w:tcPr>
          <w:p w:rsidR="005D6ACF" w:rsidRPr="000303D3" w:rsidRDefault="005D6ACF" w:rsidP="008A253E">
            <w:pPr>
              <w:jc w:val="center"/>
              <w:rPr>
                <w:sz w:val="20"/>
                <w:szCs w:val="20"/>
              </w:rPr>
            </w:pPr>
            <w:r w:rsidRPr="000303D3">
              <w:rPr>
                <w:sz w:val="20"/>
                <w:szCs w:val="20"/>
              </w:rPr>
              <w:t>3 158,29</w:t>
            </w:r>
          </w:p>
        </w:tc>
        <w:tc>
          <w:tcPr>
            <w:tcW w:w="1147" w:type="dxa"/>
            <w:tcBorders>
              <w:top w:val="single" w:sz="4" w:space="0" w:color="000000"/>
              <w:left w:val="nil"/>
              <w:bottom w:val="nil"/>
              <w:right w:val="single" w:sz="4" w:space="0" w:color="000000"/>
            </w:tcBorders>
            <w:shd w:val="clear" w:color="auto" w:fill="auto"/>
            <w:hideMark/>
          </w:tcPr>
          <w:p w:rsidR="005D6ACF" w:rsidRPr="000303D3" w:rsidRDefault="005D6ACF" w:rsidP="008A253E">
            <w:pPr>
              <w:jc w:val="center"/>
              <w:rPr>
                <w:sz w:val="20"/>
                <w:szCs w:val="20"/>
              </w:rPr>
            </w:pPr>
            <w:r w:rsidRPr="000303D3">
              <w:rPr>
                <w:sz w:val="20"/>
                <w:szCs w:val="20"/>
              </w:rPr>
              <w:t>3 263,57</w:t>
            </w:r>
          </w:p>
        </w:tc>
        <w:tc>
          <w:tcPr>
            <w:tcW w:w="1148" w:type="dxa"/>
            <w:tcBorders>
              <w:top w:val="single" w:sz="4" w:space="0" w:color="000000"/>
              <w:left w:val="nil"/>
              <w:bottom w:val="nil"/>
              <w:right w:val="single" w:sz="4" w:space="0" w:color="000000"/>
            </w:tcBorders>
            <w:shd w:val="clear" w:color="auto" w:fill="auto"/>
            <w:hideMark/>
          </w:tcPr>
          <w:p w:rsidR="005D6ACF" w:rsidRPr="000303D3" w:rsidRDefault="005D6ACF" w:rsidP="008A253E">
            <w:pPr>
              <w:jc w:val="center"/>
              <w:rPr>
                <w:sz w:val="20"/>
                <w:szCs w:val="20"/>
              </w:rPr>
            </w:pPr>
            <w:r w:rsidRPr="000303D3">
              <w:rPr>
                <w:sz w:val="20"/>
                <w:szCs w:val="20"/>
              </w:rPr>
              <w:t>3 158,29</w:t>
            </w:r>
          </w:p>
        </w:tc>
        <w:tc>
          <w:tcPr>
            <w:tcW w:w="1154" w:type="dxa"/>
            <w:tcBorders>
              <w:top w:val="single" w:sz="4" w:space="0" w:color="000000"/>
              <w:left w:val="nil"/>
              <w:bottom w:val="nil"/>
              <w:right w:val="single" w:sz="4" w:space="0" w:color="000000"/>
            </w:tcBorders>
            <w:shd w:val="clear" w:color="auto" w:fill="auto"/>
            <w:hideMark/>
          </w:tcPr>
          <w:p w:rsidR="005D6ACF" w:rsidRPr="000303D3" w:rsidRDefault="005D6ACF" w:rsidP="008A253E">
            <w:pPr>
              <w:jc w:val="center"/>
              <w:rPr>
                <w:sz w:val="20"/>
                <w:szCs w:val="20"/>
              </w:rPr>
            </w:pPr>
            <w:r w:rsidRPr="000303D3">
              <w:rPr>
                <w:sz w:val="20"/>
                <w:szCs w:val="20"/>
              </w:rPr>
              <w:t>2 421,36</w:t>
            </w:r>
          </w:p>
        </w:tc>
        <w:tc>
          <w:tcPr>
            <w:tcW w:w="1150" w:type="dxa"/>
            <w:tcBorders>
              <w:top w:val="single" w:sz="4" w:space="0" w:color="000000"/>
              <w:left w:val="nil"/>
              <w:bottom w:val="nil"/>
              <w:right w:val="single" w:sz="4" w:space="0" w:color="000000"/>
            </w:tcBorders>
            <w:shd w:val="clear" w:color="auto" w:fill="auto"/>
            <w:hideMark/>
          </w:tcPr>
          <w:p w:rsidR="005D6ACF" w:rsidRPr="000303D3" w:rsidRDefault="005D6ACF" w:rsidP="008A253E">
            <w:pPr>
              <w:jc w:val="center"/>
              <w:rPr>
                <w:sz w:val="20"/>
                <w:szCs w:val="20"/>
              </w:rPr>
            </w:pPr>
            <w:r w:rsidRPr="000303D3">
              <w:rPr>
                <w:sz w:val="20"/>
                <w:szCs w:val="20"/>
              </w:rPr>
              <w:t>37 583,68</w:t>
            </w:r>
          </w:p>
        </w:tc>
      </w:tr>
      <w:tr w:rsidR="005D6ACF" w:rsidRPr="00FA2873" w:rsidTr="008A253E">
        <w:trPr>
          <w:trHeight w:val="169"/>
        </w:trPr>
        <w:tc>
          <w:tcPr>
            <w:tcW w:w="1432" w:type="dxa"/>
            <w:tcBorders>
              <w:top w:val="single" w:sz="4" w:space="0" w:color="000000"/>
              <w:left w:val="nil"/>
              <w:bottom w:val="nil"/>
              <w:right w:val="single" w:sz="4" w:space="0" w:color="000000"/>
            </w:tcBorders>
            <w:shd w:val="clear" w:color="auto" w:fill="auto"/>
            <w:hideMark/>
          </w:tcPr>
          <w:p w:rsidR="005D6ACF" w:rsidRPr="000303D3" w:rsidRDefault="005D6ACF" w:rsidP="008A253E">
            <w:pPr>
              <w:jc w:val="center"/>
              <w:rPr>
                <w:sz w:val="20"/>
                <w:szCs w:val="20"/>
              </w:rPr>
            </w:pPr>
            <w:r w:rsidRPr="000303D3">
              <w:rPr>
                <w:sz w:val="20"/>
                <w:szCs w:val="20"/>
              </w:rPr>
              <w:t>№7 от 19.11.2020</w:t>
            </w:r>
          </w:p>
        </w:tc>
        <w:tc>
          <w:tcPr>
            <w:tcW w:w="1146" w:type="dxa"/>
            <w:tcBorders>
              <w:top w:val="single" w:sz="4" w:space="0" w:color="000000"/>
              <w:left w:val="nil"/>
              <w:bottom w:val="nil"/>
              <w:right w:val="single" w:sz="4" w:space="0" w:color="000000"/>
            </w:tcBorders>
            <w:shd w:val="clear" w:color="auto" w:fill="auto"/>
            <w:hideMark/>
          </w:tcPr>
          <w:p w:rsidR="005D6ACF" w:rsidRPr="000303D3" w:rsidRDefault="005D6ACF" w:rsidP="008A253E">
            <w:pPr>
              <w:jc w:val="center"/>
              <w:rPr>
                <w:sz w:val="20"/>
                <w:szCs w:val="20"/>
              </w:rPr>
            </w:pPr>
            <w:r w:rsidRPr="000303D3">
              <w:rPr>
                <w:sz w:val="20"/>
                <w:szCs w:val="20"/>
              </w:rPr>
              <w:t>113,42</w:t>
            </w:r>
          </w:p>
        </w:tc>
        <w:tc>
          <w:tcPr>
            <w:tcW w:w="1146" w:type="dxa"/>
            <w:tcBorders>
              <w:top w:val="single" w:sz="4" w:space="0" w:color="000000"/>
              <w:left w:val="nil"/>
              <w:bottom w:val="nil"/>
              <w:right w:val="single" w:sz="4" w:space="0" w:color="000000"/>
            </w:tcBorders>
            <w:shd w:val="clear" w:color="auto" w:fill="auto"/>
            <w:hideMark/>
          </w:tcPr>
          <w:p w:rsidR="005D6ACF" w:rsidRPr="000303D3" w:rsidRDefault="005D6ACF" w:rsidP="008A253E">
            <w:pPr>
              <w:jc w:val="center"/>
              <w:rPr>
                <w:sz w:val="20"/>
                <w:szCs w:val="20"/>
              </w:rPr>
            </w:pPr>
            <w:r w:rsidRPr="000303D3">
              <w:rPr>
                <w:sz w:val="20"/>
                <w:szCs w:val="20"/>
              </w:rPr>
              <w:t>102,44</w:t>
            </w:r>
          </w:p>
        </w:tc>
        <w:tc>
          <w:tcPr>
            <w:tcW w:w="1146" w:type="dxa"/>
            <w:tcBorders>
              <w:top w:val="single" w:sz="4" w:space="0" w:color="000000"/>
              <w:left w:val="nil"/>
              <w:bottom w:val="nil"/>
              <w:right w:val="single" w:sz="4" w:space="0" w:color="000000"/>
            </w:tcBorders>
            <w:shd w:val="clear" w:color="auto" w:fill="auto"/>
            <w:hideMark/>
          </w:tcPr>
          <w:p w:rsidR="005D6ACF" w:rsidRPr="000303D3" w:rsidRDefault="005D6ACF" w:rsidP="008A253E">
            <w:pPr>
              <w:jc w:val="center"/>
              <w:rPr>
                <w:sz w:val="20"/>
                <w:szCs w:val="20"/>
              </w:rPr>
            </w:pPr>
            <w:r w:rsidRPr="000303D3">
              <w:rPr>
                <w:sz w:val="20"/>
                <w:szCs w:val="20"/>
              </w:rPr>
              <w:t>113,42</w:t>
            </w:r>
          </w:p>
        </w:tc>
        <w:tc>
          <w:tcPr>
            <w:tcW w:w="1146" w:type="dxa"/>
            <w:tcBorders>
              <w:top w:val="single" w:sz="4" w:space="0" w:color="000000"/>
              <w:left w:val="nil"/>
              <w:bottom w:val="nil"/>
              <w:right w:val="single" w:sz="4" w:space="0" w:color="000000"/>
            </w:tcBorders>
            <w:shd w:val="clear" w:color="auto" w:fill="auto"/>
            <w:hideMark/>
          </w:tcPr>
          <w:p w:rsidR="005D6ACF" w:rsidRPr="000303D3" w:rsidRDefault="005D6ACF" w:rsidP="008A253E">
            <w:pPr>
              <w:jc w:val="center"/>
              <w:rPr>
                <w:sz w:val="20"/>
                <w:szCs w:val="20"/>
              </w:rPr>
            </w:pPr>
            <w:r w:rsidRPr="000303D3">
              <w:rPr>
                <w:sz w:val="20"/>
                <w:szCs w:val="20"/>
              </w:rPr>
              <w:t>109,76</w:t>
            </w:r>
          </w:p>
        </w:tc>
        <w:tc>
          <w:tcPr>
            <w:tcW w:w="1147" w:type="dxa"/>
            <w:tcBorders>
              <w:top w:val="single" w:sz="4" w:space="0" w:color="000000"/>
              <w:left w:val="nil"/>
              <w:bottom w:val="nil"/>
              <w:right w:val="single" w:sz="4" w:space="0" w:color="000000"/>
            </w:tcBorders>
            <w:shd w:val="clear" w:color="auto" w:fill="auto"/>
            <w:hideMark/>
          </w:tcPr>
          <w:p w:rsidR="005D6ACF" w:rsidRPr="000303D3" w:rsidRDefault="005D6ACF" w:rsidP="008A253E">
            <w:pPr>
              <w:jc w:val="center"/>
              <w:rPr>
                <w:sz w:val="20"/>
                <w:szCs w:val="20"/>
              </w:rPr>
            </w:pPr>
            <w:r w:rsidRPr="000303D3">
              <w:rPr>
                <w:sz w:val="20"/>
                <w:szCs w:val="20"/>
              </w:rPr>
              <w:t>113,42</w:t>
            </w:r>
          </w:p>
        </w:tc>
        <w:tc>
          <w:tcPr>
            <w:tcW w:w="1147" w:type="dxa"/>
            <w:tcBorders>
              <w:top w:val="single" w:sz="4" w:space="0" w:color="000000"/>
              <w:left w:val="nil"/>
              <w:bottom w:val="nil"/>
              <w:right w:val="single" w:sz="4" w:space="0" w:color="000000"/>
            </w:tcBorders>
            <w:shd w:val="clear" w:color="auto" w:fill="auto"/>
            <w:hideMark/>
          </w:tcPr>
          <w:p w:rsidR="005D6ACF" w:rsidRPr="000303D3" w:rsidRDefault="005D6ACF" w:rsidP="008A253E">
            <w:pPr>
              <w:jc w:val="center"/>
              <w:rPr>
                <w:sz w:val="20"/>
                <w:szCs w:val="20"/>
              </w:rPr>
            </w:pPr>
            <w:r w:rsidRPr="000303D3">
              <w:rPr>
                <w:sz w:val="20"/>
                <w:szCs w:val="20"/>
              </w:rPr>
              <w:t>109,76</w:t>
            </w:r>
          </w:p>
        </w:tc>
        <w:tc>
          <w:tcPr>
            <w:tcW w:w="1146" w:type="dxa"/>
            <w:tcBorders>
              <w:top w:val="single" w:sz="4" w:space="0" w:color="000000"/>
              <w:left w:val="nil"/>
              <w:bottom w:val="nil"/>
              <w:right w:val="single" w:sz="4" w:space="0" w:color="000000"/>
            </w:tcBorders>
            <w:shd w:val="clear" w:color="auto" w:fill="auto"/>
            <w:hideMark/>
          </w:tcPr>
          <w:p w:rsidR="005D6ACF" w:rsidRPr="000303D3" w:rsidRDefault="005D6ACF" w:rsidP="008A253E">
            <w:pPr>
              <w:jc w:val="center"/>
              <w:rPr>
                <w:sz w:val="20"/>
                <w:szCs w:val="20"/>
              </w:rPr>
            </w:pPr>
            <w:r w:rsidRPr="000303D3">
              <w:rPr>
                <w:sz w:val="20"/>
                <w:szCs w:val="20"/>
              </w:rPr>
              <w:t>113,42</w:t>
            </w:r>
          </w:p>
        </w:tc>
        <w:tc>
          <w:tcPr>
            <w:tcW w:w="1147" w:type="dxa"/>
            <w:tcBorders>
              <w:top w:val="single" w:sz="4" w:space="0" w:color="000000"/>
              <w:left w:val="nil"/>
              <w:bottom w:val="nil"/>
              <w:right w:val="single" w:sz="4" w:space="0" w:color="000000"/>
            </w:tcBorders>
            <w:shd w:val="clear" w:color="auto" w:fill="auto"/>
            <w:hideMark/>
          </w:tcPr>
          <w:p w:rsidR="005D6ACF" w:rsidRPr="000303D3" w:rsidRDefault="005D6ACF" w:rsidP="008A253E">
            <w:pPr>
              <w:jc w:val="center"/>
              <w:rPr>
                <w:sz w:val="20"/>
                <w:szCs w:val="20"/>
              </w:rPr>
            </w:pPr>
            <w:r w:rsidRPr="000303D3">
              <w:rPr>
                <w:sz w:val="20"/>
                <w:szCs w:val="20"/>
              </w:rPr>
              <w:t>113,42</w:t>
            </w:r>
          </w:p>
        </w:tc>
        <w:tc>
          <w:tcPr>
            <w:tcW w:w="1147" w:type="dxa"/>
            <w:tcBorders>
              <w:top w:val="single" w:sz="4" w:space="0" w:color="000000"/>
              <w:left w:val="nil"/>
              <w:bottom w:val="nil"/>
              <w:right w:val="single" w:sz="4" w:space="0" w:color="000000"/>
            </w:tcBorders>
            <w:shd w:val="clear" w:color="auto" w:fill="auto"/>
            <w:hideMark/>
          </w:tcPr>
          <w:p w:rsidR="005D6ACF" w:rsidRPr="000303D3" w:rsidRDefault="005D6ACF" w:rsidP="008A253E">
            <w:pPr>
              <w:jc w:val="center"/>
              <w:rPr>
                <w:sz w:val="20"/>
                <w:szCs w:val="20"/>
              </w:rPr>
            </w:pPr>
            <w:r w:rsidRPr="000303D3">
              <w:rPr>
                <w:sz w:val="20"/>
                <w:szCs w:val="20"/>
              </w:rPr>
              <w:t>109,76</w:t>
            </w:r>
          </w:p>
        </w:tc>
        <w:tc>
          <w:tcPr>
            <w:tcW w:w="1147" w:type="dxa"/>
            <w:tcBorders>
              <w:top w:val="single" w:sz="4" w:space="0" w:color="000000"/>
              <w:left w:val="nil"/>
              <w:bottom w:val="nil"/>
              <w:right w:val="single" w:sz="4" w:space="0" w:color="000000"/>
            </w:tcBorders>
            <w:shd w:val="clear" w:color="auto" w:fill="auto"/>
            <w:hideMark/>
          </w:tcPr>
          <w:p w:rsidR="005D6ACF" w:rsidRPr="000303D3" w:rsidRDefault="005D6ACF" w:rsidP="008A253E">
            <w:pPr>
              <w:jc w:val="center"/>
              <w:rPr>
                <w:sz w:val="20"/>
                <w:szCs w:val="20"/>
              </w:rPr>
            </w:pPr>
            <w:r w:rsidRPr="000303D3">
              <w:rPr>
                <w:sz w:val="20"/>
                <w:szCs w:val="20"/>
              </w:rPr>
              <w:t>113,42</w:t>
            </w:r>
          </w:p>
        </w:tc>
        <w:tc>
          <w:tcPr>
            <w:tcW w:w="1148" w:type="dxa"/>
            <w:tcBorders>
              <w:top w:val="single" w:sz="4" w:space="0" w:color="000000"/>
              <w:left w:val="nil"/>
              <w:bottom w:val="nil"/>
              <w:right w:val="single" w:sz="4" w:space="0" w:color="000000"/>
            </w:tcBorders>
            <w:shd w:val="clear" w:color="auto" w:fill="auto"/>
            <w:hideMark/>
          </w:tcPr>
          <w:p w:rsidR="005D6ACF" w:rsidRPr="000303D3" w:rsidRDefault="005D6ACF" w:rsidP="008A253E">
            <w:pPr>
              <w:jc w:val="center"/>
              <w:rPr>
                <w:sz w:val="20"/>
                <w:szCs w:val="20"/>
              </w:rPr>
            </w:pPr>
            <w:r w:rsidRPr="000303D3">
              <w:rPr>
                <w:sz w:val="20"/>
                <w:szCs w:val="20"/>
              </w:rPr>
              <w:t>109,76</w:t>
            </w:r>
          </w:p>
        </w:tc>
        <w:tc>
          <w:tcPr>
            <w:tcW w:w="1154" w:type="dxa"/>
            <w:tcBorders>
              <w:top w:val="single" w:sz="4" w:space="0" w:color="000000"/>
              <w:left w:val="nil"/>
              <w:bottom w:val="nil"/>
              <w:right w:val="single" w:sz="4" w:space="0" w:color="000000"/>
            </w:tcBorders>
            <w:shd w:val="clear" w:color="auto" w:fill="auto"/>
            <w:hideMark/>
          </w:tcPr>
          <w:p w:rsidR="005D6ACF" w:rsidRPr="000303D3" w:rsidRDefault="005D6ACF" w:rsidP="008A253E">
            <w:pPr>
              <w:jc w:val="center"/>
              <w:rPr>
                <w:sz w:val="20"/>
                <w:szCs w:val="20"/>
              </w:rPr>
            </w:pPr>
            <w:r w:rsidRPr="000303D3">
              <w:rPr>
                <w:sz w:val="20"/>
                <w:szCs w:val="20"/>
              </w:rPr>
              <w:t>84,15</w:t>
            </w:r>
          </w:p>
        </w:tc>
        <w:tc>
          <w:tcPr>
            <w:tcW w:w="1150" w:type="dxa"/>
            <w:tcBorders>
              <w:top w:val="single" w:sz="4" w:space="0" w:color="000000"/>
              <w:left w:val="nil"/>
              <w:bottom w:val="nil"/>
              <w:right w:val="single" w:sz="4" w:space="0" w:color="000000"/>
            </w:tcBorders>
            <w:shd w:val="clear" w:color="auto" w:fill="auto"/>
            <w:hideMark/>
          </w:tcPr>
          <w:p w:rsidR="005D6ACF" w:rsidRPr="000303D3" w:rsidRDefault="005D6ACF" w:rsidP="008A253E">
            <w:pPr>
              <w:jc w:val="center"/>
              <w:rPr>
                <w:sz w:val="20"/>
                <w:szCs w:val="20"/>
              </w:rPr>
            </w:pPr>
            <w:r w:rsidRPr="000303D3">
              <w:rPr>
                <w:sz w:val="20"/>
                <w:szCs w:val="20"/>
              </w:rPr>
              <w:t>1 306,15</w:t>
            </w:r>
          </w:p>
        </w:tc>
      </w:tr>
      <w:tr w:rsidR="005D6ACF" w:rsidRPr="00FA2873" w:rsidTr="008A253E">
        <w:trPr>
          <w:trHeight w:val="169"/>
        </w:trPr>
        <w:tc>
          <w:tcPr>
            <w:tcW w:w="1432" w:type="dxa"/>
            <w:tcBorders>
              <w:top w:val="single" w:sz="4" w:space="0" w:color="000000"/>
              <w:left w:val="nil"/>
              <w:bottom w:val="nil"/>
              <w:right w:val="single" w:sz="4" w:space="0" w:color="000000"/>
            </w:tcBorders>
            <w:shd w:val="clear" w:color="auto" w:fill="auto"/>
            <w:hideMark/>
          </w:tcPr>
          <w:p w:rsidR="005D6ACF" w:rsidRPr="000303D3" w:rsidRDefault="005D6ACF" w:rsidP="008A253E">
            <w:pPr>
              <w:jc w:val="center"/>
              <w:rPr>
                <w:sz w:val="20"/>
                <w:szCs w:val="20"/>
              </w:rPr>
            </w:pPr>
            <w:r w:rsidRPr="000303D3">
              <w:rPr>
                <w:sz w:val="20"/>
                <w:szCs w:val="20"/>
              </w:rPr>
              <w:t>№8 от 01.12.2020</w:t>
            </w:r>
          </w:p>
        </w:tc>
        <w:tc>
          <w:tcPr>
            <w:tcW w:w="1146" w:type="dxa"/>
            <w:tcBorders>
              <w:top w:val="single" w:sz="4" w:space="0" w:color="000000"/>
              <w:left w:val="nil"/>
              <w:bottom w:val="nil"/>
              <w:right w:val="single" w:sz="4" w:space="0" w:color="000000"/>
            </w:tcBorders>
            <w:shd w:val="clear" w:color="auto" w:fill="auto"/>
            <w:hideMark/>
          </w:tcPr>
          <w:p w:rsidR="005D6ACF" w:rsidRPr="000303D3" w:rsidRDefault="005D6ACF" w:rsidP="008A253E">
            <w:pPr>
              <w:jc w:val="center"/>
              <w:rPr>
                <w:sz w:val="20"/>
                <w:szCs w:val="20"/>
              </w:rPr>
            </w:pPr>
            <w:r w:rsidRPr="000303D3">
              <w:rPr>
                <w:sz w:val="20"/>
                <w:szCs w:val="20"/>
              </w:rPr>
              <w:t>1 090,10</w:t>
            </w:r>
          </w:p>
        </w:tc>
        <w:tc>
          <w:tcPr>
            <w:tcW w:w="1146" w:type="dxa"/>
            <w:tcBorders>
              <w:top w:val="single" w:sz="4" w:space="0" w:color="000000"/>
              <w:left w:val="nil"/>
              <w:bottom w:val="nil"/>
              <w:right w:val="single" w:sz="4" w:space="0" w:color="000000"/>
            </w:tcBorders>
            <w:shd w:val="clear" w:color="auto" w:fill="auto"/>
            <w:hideMark/>
          </w:tcPr>
          <w:p w:rsidR="005D6ACF" w:rsidRPr="000303D3" w:rsidRDefault="005D6ACF" w:rsidP="008A253E">
            <w:pPr>
              <w:jc w:val="center"/>
              <w:rPr>
                <w:sz w:val="20"/>
                <w:szCs w:val="20"/>
              </w:rPr>
            </w:pPr>
            <w:r w:rsidRPr="000303D3">
              <w:rPr>
                <w:sz w:val="20"/>
                <w:szCs w:val="20"/>
              </w:rPr>
              <w:t>984,60</w:t>
            </w:r>
          </w:p>
        </w:tc>
        <w:tc>
          <w:tcPr>
            <w:tcW w:w="1146" w:type="dxa"/>
            <w:tcBorders>
              <w:top w:val="single" w:sz="4" w:space="0" w:color="000000"/>
              <w:left w:val="nil"/>
              <w:bottom w:val="nil"/>
              <w:right w:val="single" w:sz="4" w:space="0" w:color="000000"/>
            </w:tcBorders>
            <w:shd w:val="clear" w:color="auto" w:fill="auto"/>
            <w:hideMark/>
          </w:tcPr>
          <w:p w:rsidR="005D6ACF" w:rsidRPr="000303D3" w:rsidRDefault="005D6ACF" w:rsidP="008A253E">
            <w:pPr>
              <w:jc w:val="center"/>
              <w:rPr>
                <w:sz w:val="20"/>
                <w:szCs w:val="20"/>
              </w:rPr>
            </w:pPr>
            <w:r w:rsidRPr="000303D3">
              <w:rPr>
                <w:sz w:val="20"/>
                <w:szCs w:val="20"/>
              </w:rPr>
              <w:t>1 090,10</w:t>
            </w:r>
          </w:p>
        </w:tc>
        <w:tc>
          <w:tcPr>
            <w:tcW w:w="1146" w:type="dxa"/>
            <w:tcBorders>
              <w:top w:val="single" w:sz="4" w:space="0" w:color="000000"/>
              <w:left w:val="nil"/>
              <w:bottom w:val="nil"/>
              <w:right w:val="single" w:sz="4" w:space="0" w:color="000000"/>
            </w:tcBorders>
            <w:shd w:val="clear" w:color="auto" w:fill="auto"/>
            <w:hideMark/>
          </w:tcPr>
          <w:p w:rsidR="005D6ACF" w:rsidRPr="000303D3" w:rsidRDefault="005D6ACF" w:rsidP="008A253E">
            <w:pPr>
              <w:jc w:val="center"/>
              <w:rPr>
                <w:sz w:val="20"/>
                <w:szCs w:val="20"/>
              </w:rPr>
            </w:pPr>
            <w:r w:rsidRPr="000303D3">
              <w:rPr>
                <w:sz w:val="20"/>
                <w:szCs w:val="20"/>
              </w:rPr>
              <w:t>1 054,93</w:t>
            </w:r>
          </w:p>
        </w:tc>
        <w:tc>
          <w:tcPr>
            <w:tcW w:w="1147" w:type="dxa"/>
            <w:tcBorders>
              <w:top w:val="single" w:sz="4" w:space="0" w:color="000000"/>
              <w:left w:val="nil"/>
              <w:bottom w:val="nil"/>
              <w:right w:val="single" w:sz="4" w:space="0" w:color="000000"/>
            </w:tcBorders>
            <w:shd w:val="clear" w:color="auto" w:fill="auto"/>
            <w:hideMark/>
          </w:tcPr>
          <w:p w:rsidR="005D6ACF" w:rsidRPr="000303D3" w:rsidRDefault="005D6ACF" w:rsidP="008A253E">
            <w:pPr>
              <w:jc w:val="center"/>
              <w:rPr>
                <w:sz w:val="20"/>
                <w:szCs w:val="20"/>
              </w:rPr>
            </w:pPr>
            <w:r w:rsidRPr="000303D3">
              <w:rPr>
                <w:sz w:val="20"/>
                <w:szCs w:val="20"/>
              </w:rPr>
              <w:t>1 090,10</w:t>
            </w:r>
          </w:p>
        </w:tc>
        <w:tc>
          <w:tcPr>
            <w:tcW w:w="1147" w:type="dxa"/>
            <w:tcBorders>
              <w:top w:val="single" w:sz="4" w:space="0" w:color="000000"/>
              <w:left w:val="nil"/>
              <w:bottom w:val="nil"/>
              <w:right w:val="single" w:sz="4" w:space="0" w:color="000000"/>
            </w:tcBorders>
            <w:shd w:val="clear" w:color="auto" w:fill="auto"/>
            <w:hideMark/>
          </w:tcPr>
          <w:p w:rsidR="005D6ACF" w:rsidRPr="000303D3" w:rsidRDefault="005D6ACF" w:rsidP="008A253E">
            <w:pPr>
              <w:jc w:val="center"/>
              <w:rPr>
                <w:sz w:val="20"/>
                <w:szCs w:val="20"/>
              </w:rPr>
            </w:pPr>
            <w:r w:rsidRPr="000303D3">
              <w:rPr>
                <w:sz w:val="20"/>
                <w:szCs w:val="20"/>
              </w:rPr>
              <w:t>1 054,93</w:t>
            </w:r>
          </w:p>
        </w:tc>
        <w:tc>
          <w:tcPr>
            <w:tcW w:w="1146" w:type="dxa"/>
            <w:tcBorders>
              <w:top w:val="single" w:sz="4" w:space="0" w:color="000000"/>
              <w:left w:val="nil"/>
              <w:bottom w:val="nil"/>
              <w:right w:val="single" w:sz="4" w:space="0" w:color="000000"/>
            </w:tcBorders>
            <w:shd w:val="clear" w:color="auto" w:fill="auto"/>
            <w:hideMark/>
          </w:tcPr>
          <w:p w:rsidR="005D6ACF" w:rsidRPr="000303D3" w:rsidRDefault="005D6ACF" w:rsidP="008A253E">
            <w:pPr>
              <w:jc w:val="center"/>
              <w:rPr>
                <w:sz w:val="20"/>
                <w:szCs w:val="20"/>
              </w:rPr>
            </w:pPr>
            <w:r w:rsidRPr="000303D3">
              <w:rPr>
                <w:sz w:val="20"/>
                <w:szCs w:val="20"/>
              </w:rPr>
              <w:t>1 090,10</w:t>
            </w:r>
          </w:p>
        </w:tc>
        <w:tc>
          <w:tcPr>
            <w:tcW w:w="1147" w:type="dxa"/>
            <w:tcBorders>
              <w:top w:val="single" w:sz="4" w:space="0" w:color="000000"/>
              <w:left w:val="nil"/>
              <w:bottom w:val="nil"/>
              <w:right w:val="single" w:sz="4" w:space="0" w:color="000000"/>
            </w:tcBorders>
            <w:shd w:val="clear" w:color="auto" w:fill="auto"/>
            <w:hideMark/>
          </w:tcPr>
          <w:p w:rsidR="005D6ACF" w:rsidRPr="000303D3" w:rsidRDefault="005D6ACF" w:rsidP="008A253E">
            <w:pPr>
              <w:jc w:val="center"/>
              <w:rPr>
                <w:sz w:val="20"/>
                <w:szCs w:val="20"/>
              </w:rPr>
            </w:pPr>
            <w:r w:rsidRPr="000303D3">
              <w:rPr>
                <w:sz w:val="20"/>
                <w:szCs w:val="20"/>
              </w:rPr>
              <w:t>1 090,10</w:t>
            </w:r>
          </w:p>
        </w:tc>
        <w:tc>
          <w:tcPr>
            <w:tcW w:w="1147" w:type="dxa"/>
            <w:tcBorders>
              <w:top w:val="single" w:sz="4" w:space="0" w:color="000000"/>
              <w:left w:val="nil"/>
              <w:bottom w:val="nil"/>
              <w:right w:val="single" w:sz="4" w:space="0" w:color="000000"/>
            </w:tcBorders>
            <w:shd w:val="clear" w:color="auto" w:fill="auto"/>
            <w:hideMark/>
          </w:tcPr>
          <w:p w:rsidR="005D6ACF" w:rsidRPr="000303D3" w:rsidRDefault="005D6ACF" w:rsidP="008A253E">
            <w:pPr>
              <w:jc w:val="center"/>
              <w:rPr>
                <w:sz w:val="20"/>
                <w:szCs w:val="20"/>
              </w:rPr>
            </w:pPr>
            <w:r w:rsidRPr="000303D3">
              <w:rPr>
                <w:sz w:val="20"/>
                <w:szCs w:val="20"/>
              </w:rPr>
              <w:t>1 054,93</w:t>
            </w:r>
          </w:p>
        </w:tc>
        <w:tc>
          <w:tcPr>
            <w:tcW w:w="1147" w:type="dxa"/>
            <w:tcBorders>
              <w:top w:val="single" w:sz="4" w:space="0" w:color="000000"/>
              <w:left w:val="nil"/>
              <w:bottom w:val="nil"/>
              <w:right w:val="single" w:sz="4" w:space="0" w:color="000000"/>
            </w:tcBorders>
            <w:shd w:val="clear" w:color="auto" w:fill="auto"/>
            <w:hideMark/>
          </w:tcPr>
          <w:p w:rsidR="005D6ACF" w:rsidRPr="000303D3" w:rsidRDefault="005D6ACF" w:rsidP="008A253E">
            <w:pPr>
              <w:jc w:val="center"/>
              <w:rPr>
                <w:sz w:val="20"/>
                <w:szCs w:val="20"/>
              </w:rPr>
            </w:pPr>
            <w:r w:rsidRPr="000303D3">
              <w:rPr>
                <w:sz w:val="20"/>
                <w:szCs w:val="20"/>
              </w:rPr>
              <w:t>1 090,10</w:t>
            </w:r>
          </w:p>
        </w:tc>
        <w:tc>
          <w:tcPr>
            <w:tcW w:w="1148" w:type="dxa"/>
            <w:tcBorders>
              <w:top w:val="single" w:sz="4" w:space="0" w:color="000000"/>
              <w:left w:val="nil"/>
              <w:bottom w:val="nil"/>
              <w:right w:val="single" w:sz="4" w:space="0" w:color="000000"/>
            </w:tcBorders>
            <w:shd w:val="clear" w:color="auto" w:fill="auto"/>
            <w:hideMark/>
          </w:tcPr>
          <w:p w:rsidR="005D6ACF" w:rsidRPr="000303D3" w:rsidRDefault="005D6ACF" w:rsidP="008A253E">
            <w:pPr>
              <w:jc w:val="center"/>
              <w:rPr>
                <w:sz w:val="20"/>
                <w:szCs w:val="20"/>
              </w:rPr>
            </w:pPr>
            <w:r w:rsidRPr="000303D3">
              <w:rPr>
                <w:sz w:val="20"/>
                <w:szCs w:val="20"/>
              </w:rPr>
              <w:t>1 054,93</w:t>
            </w:r>
          </w:p>
        </w:tc>
        <w:tc>
          <w:tcPr>
            <w:tcW w:w="1154" w:type="dxa"/>
            <w:tcBorders>
              <w:top w:val="single" w:sz="4" w:space="0" w:color="000000"/>
              <w:left w:val="nil"/>
              <w:bottom w:val="nil"/>
              <w:right w:val="single" w:sz="4" w:space="0" w:color="000000"/>
            </w:tcBorders>
            <w:shd w:val="clear" w:color="auto" w:fill="auto"/>
            <w:hideMark/>
          </w:tcPr>
          <w:p w:rsidR="005D6ACF" w:rsidRPr="000303D3" w:rsidRDefault="005D6ACF" w:rsidP="008A253E">
            <w:pPr>
              <w:jc w:val="center"/>
              <w:rPr>
                <w:sz w:val="20"/>
                <w:szCs w:val="20"/>
              </w:rPr>
            </w:pPr>
            <w:r w:rsidRPr="000303D3">
              <w:rPr>
                <w:sz w:val="20"/>
                <w:szCs w:val="20"/>
              </w:rPr>
              <w:t>1 090,10</w:t>
            </w:r>
          </w:p>
        </w:tc>
        <w:tc>
          <w:tcPr>
            <w:tcW w:w="1150" w:type="dxa"/>
            <w:tcBorders>
              <w:top w:val="single" w:sz="4" w:space="0" w:color="000000"/>
              <w:left w:val="nil"/>
              <w:bottom w:val="nil"/>
              <w:right w:val="single" w:sz="4" w:space="0" w:color="000000"/>
            </w:tcBorders>
            <w:shd w:val="clear" w:color="auto" w:fill="auto"/>
            <w:hideMark/>
          </w:tcPr>
          <w:p w:rsidR="005D6ACF" w:rsidRPr="000303D3" w:rsidRDefault="005D6ACF" w:rsidP="008A253E">
            <w:pPr>
              <w:jc w:val="center"/>
              <w:rPr>
                <w:sz w:val="20"/>
                <w:szCs w:val="20"/>
              </w:rPr>
            </w:pPr>
            <w:r w:rsidRPr="000303D3">
              <w:rPr>
                <w:sz w:val="20"/>
                <w:szCs w:val="20"/>
              </w:rPr>
              <w:t>12 835,02</w:t>
            </w:r>
          </w:p>
        </w:tc>
      </w:tr>
      <w:tr w:rsidR="005D6ACF" w:rsidRPr="00FA2873" w:rsidTr="008A253E">
        <w:trPr>
          <w:trHeight w:val="169"/>
        </w:trPr>
        <w:tc>
          <w:tcPr>
            <w:tcW w:w="1432" w:type="dxa"/>
            <w:tcBorders>
              <w:top w:val="single" w:sz="4" w:space="0" w:color="000000"/>
              <w:left w:val="nil"/>
              <w:bottom w:val="nil"/>
              <w:right w:val="single" w:sz="4" w:space="0" w:color="000000"/>
            </w:tcBorders>
            <w:shd w:val="clear" w:color="auto" w:fill="auto"/>
            <w:hideMark/>
          </w:tcPr>
          <w:p w:rsidR="005D6ACF" w:rsidRPr="000303D3" w:rsidRDefault="005D6ACF" w:rsidP="008A253E">
            <w:pPr>
              <w:jc w:val="center"/>
              <w:rPr>
                <w:sz w:val="20"/>
                <w:szCs w:val="20"/>
              </w:rPr>
            </w:pPr>
            <w:r w:rsidRPr="000303D3">
              <w:rPr>
                <w:sz w:val="20"/>
                <w:szCs w:val="20"/>
              </w:rPr>
              <w:t>№9 от 22.12.2020</w:t>
            </w:r>
          </w:p>
        </w:tc>
        <w:tc>
          <w:tcPr>
            <w:tcW w:w="1146" w:type="dxa"/>
            <w:tcBorders>
              <w:top w:val="single" w:sz="4" w:space="0" w:color="000000"/>
              <w:left w:val="nil"/>
              <w:bottom w:val="nil"/>
              <w:right w:val="single" w:sz="4" w:space="0" w:color="000000"/>
            </w:tcBorders>
            <w:shd w:val="clear" w:color="auto" w:fill="auto"/>
            <w:hideMark/>
          </w:tcPr>
          <w:p w:rsidR="005D6ACF" w:rsidRPr="000303D3" w:rsidRDefault="005D6ACF" w:rsidP="008A253E">
            <w:pPr>
              <w:jc w:val="center"/>
              <w:rPr>
                <w:sz w:val="20"/>
                <w:szCs w:val="20"/>
              </w:rPr>
            </w:pPr>
            <w:r w:rsidRPr="000303D3">
              <w:rPr>
                <w:sz w:val="20"/>
                <w:szCs w:val="20"/>
              </w:rPr>
              <w:t>271,78</w:t>
            </w:r>
          </w:p>
        </w:tc>
        <w:tc>
          <w:tcPr>
            <w:tcW w:w="1146" w:type="dxa"/>
            <w:tcBorders>
              <w:top w:val="single" w:sz="4" w:space="0" w:color="000000"/>
              <w:left w:val="nil"/>
              <w:bottom w:val="nil"/>
              <w:right w:val="single" w:sz="4" w:space="0" w:color="000000"/>
            </w:tcBorders>
            <w:shd w:val="clear" w:color="auto" w:fill="auto"/>
            <w:hideMark/>
          </w:tcPr>
          <w:p w:rsidR="005D6ACF" w:rsidRPr="000303D3" w:rsidRDefault="005D6ACF" w:rsidP="008A253E">
            <w:pPr>
              <w:jc w:val="center"/>
              <w:rPr>
                <w:sz w:val="20"/>
                <w:szCs w:val="20"/>
              </w:rPr>
            </w:pPr>
            <w:r w:rsidRPr="000303D3">
              <w:rPr>
                <w:sz w:val="20"/>
                <w:szCs w:val="20"/>
              </w:rPr>
              <w:t>245,48</w:t>
            </w:r>
          </w:p>
        </w:tc>
        <w:tc>
          <w:tcPr>
            <w:tcW w:w="1146" w:type="dxa"/>
            <w:tcBorders>
              <w:top w:val="single" w:sz="4" w:space="0" w:color="000000"/>
              <w:left w:val="nil"/>
              <w:bottom w:val="nil"/>
              <w:right w:val="single" w:sz="4" w:space="0" w:color="000000"/>
            </w:tcBorders>
            <w:shd w:val="clear" w:color="auto" w:fill="auto"/>
            <w:hideMark/>
          </w:tcPr>
          <w:p w:rsidR="005D6ACF" w:rsidRPr="000303D3" w:rsidRDefault="005D6ACF" w:rsidP="008A253E">
            <w:pPr>
              <w:jc w:val="center"/>
              <w:rPr>
                <w:sz w:val="20"/>
                <w:szCs w:val="20"/>
              </w:rPr>
            </w:pPr>
            <w:r w:rsidRPr="000303D3">
              <w:rPr>
                <w:sz w:val="20"/>
                <w:szCs w:val="20"/>
              </w:rPr>
              <w:t>271,78</w:t>
            </w:r>
          </w:p>
        </w:tc>
        <w:tc>
          <w:tcPr>
            <w:tcW w:w="1146" w:type="dxa"/>
            <w:tcBorders>
              <w:top w:val="single" w:sz="4" w:space="0" w:color="000000"/>
              <w:left w:val="nil"/>
              <w:bottom w:val="nil"/>
              <w:right w:val="single" w:sz="4" w:space="0" w:color="000000"/>
            </w:tcBorders>
            <w:shd w:val="clear" w:color="auto" w:fill="auto"/>
            <w:hideMark/>
          </w:tcPr>
          <w:p w:rsidR="005D6ACF" w:rsidRPr="000303D3" w:rsidRDefault="005D6ACF" w:rsidP="008A253E">
            <w:pPr>
              <w:jc w:val="center"/>
              <w:rPr>
                <w:sz w:val="20"/>
                <w:szCs w:val="20"/>
              </w:rPr>
            </w:pPr>
            <w:r w:rsidRPr="000303D3">
              <w:rPr>
                <w:sz w:val="20"/>
                <w:szCs w:val="20"/>
              </w:rPr>
              <w:t>263,01</w:t>
            </w:r>
          </w:p>
        </w:tc>
        <w:tc>
          <w:tcPr>
            <w:tcW w:w="1147" w:type="dxa"/>
            <w:tcBorders>
              <w:top w:val="single" w:sz="4" w:space="0" w:color="000000"/>
              <w:left w:val="nil"/>
              <w:bottom w:val="nil"/>
              <w:right w:val="single" w:sz="4" w:space="0" w:color="000000"/>
            </w:tcBorders>
            <w:shd w:val="clear" w:color="auto" w:fill="auto"/>
            <w:hideMark/>
          </w:tcPr>
          <w:p w:rsidR="005D6ACF" w:rsidRPr="000303D3" w:rsidRDefault="005D6ACF" w:rsidP="008A253E">
            <w:pPr>
              <w:jc w:val="center"/>
              <w:rPr>
                <w:sz w:val="20"/>
                <w:szCs w:val="20"/>
              </w:rPr>
            </w:pPr>
            <w:r w:rsidRPr="000303D3">
              <w:rPr>
                <w:sz w:val="20"/>
                <w:szCs w:val="20"/>
              </w:rPr>
              <w:t>271,78</w:t>
            </w:r>
          </w:p>
        </w:tc>
        <w:tc>
          <w:tcPr>
            <w:tcW w:w="1147" w:type="dxa"/>
            <w:tcBorders>
              <w:top w:val="single" w:sz="4" w:space="0" w:color="000000"/>
              <w:left w:val="nil"/>
              <w:bottom w:val="nil"/>
              <w:right w:val="single" w:sz="4" w:space="0" w:color="000000"/>
            </w:tcBorders>
            <w:shd w:val="clear" w:color="auto" w:fill="auto"/>
            <w:hideMark/>
          </w:tcPr>
          <w:p w:rsidR="005D6ACF" w:rsidRPr="000303D3" w:rsidRDefault="005D6ACF" w:rsidP="008A253E">
            <w:pPr>
              <w:jc w:val="center"/>
              <w:rPr>
                <w:sz w:val="20"/>
                <w:szCs w:val="20"/>
              </w:rPr>
            </w:pPr>
            <w:r w:rsidRPr="000303D3">
              <w:rPr>
                <w:sz w:val="20"/>
                <w:szCs w:val="20"/>
              </w:rPr>
              <w:t>263,01</w:t>
            </w:r>
          </w:p>
        </w:tc>
        <w:tc>
          <w:tcPr>
            <w:tcW w:w="1146" w:type="dxa"/>
            <w:tcBorders>
              <w:top w:val="single" w:sz="4" w:space="0" w:color="000000"/>
              <w:left w:val="nil"/>
              <w:bottom w:val="nil"/>
              <w:right w:val="single" w:sz="4" w:space="0" w:color="000000"/>
            </w:tcBorders>
            <w:shd w:val="clear" w:color="auto" w:fill="auto"/>
            <w:hideMark/>
          </w:tcPr>
          <w:p w:rsidR="005D6ACF" w:rsidRPr="000303D3" w:rsidRDefault="005D6ACF" w:rsidP="008A253E">
            <w:pPr>
              <w:jc w:val="center"/>
              <w:rPr>
                <w:sz w:val="20"/>
                <w:szCs w:val="20"/>
              </w:rPr>
            </w:pPr>
            <w:r w:rsidRPr="000303D3">
              <w:rPr>
                <w:sz w:val="20"/>
                <w:szCs w:val="20"/>
              </w:rPr>
              <w:t>271,78</w:t>
            </w:r>
          </w:p>
        </w:tc>
        <w:tc>
          <w:tcPr>
            <w:tcW w:w="1147" w:type="dxa"/>
            <w:tcBorders>
              <w:top w:val="single" w:sz="4" w:space="0" w:color="000000"/>
              <w:left w:val="nil"/>
              <w:bottom w:val="nil"/>
              <w:right w:val="single" w:sz="4" w:space="0" w:color="000000"/>
            </w:tcBorders>
            <w:shd w:val="clear" w:color="auto" w:fill="auto"/>
            <w:hideMark/>
          </w:tcPr>
          <w:p w:rsidR="005D6ACF" w:rsidRPr="000303D3" w:rsidRDefault="005D6ACF" w:rsidP="008A253E">
            <w:pPr>
              <w:jc w:val="center"/>
              <w:rPr>
                <w:sz w:val="20"/>
                <w:szCs w:val="20"/>
              </w:rPr>
            </w:pPr>
            <w:r w:rsidRPr="000303D3">
              <w:rPr>
                <w:sz w:val="20"/>
                <w:szCs w:val="20"/>
              </w:rPr>
              <w:t>271,78</w:t>
            </w:r>
          </w:p>
        </w:tc>
        <w:tc>
          <w:tcPr>
            <w:tcW w:w="1147" w:type="dxa"/>
            <w:tcBorders>
              <w:top w:val="single" w:sz="4" w:space="0" w:color="000000"/>
              <w:left w:val="nil"/>
              <w:bottom w:val="nil"/>
              <w:right w:val="single" w:sz="4" w:space="0" w:color="000000"/>
            </w:tcBorders>
            <w:shd w:val="clear" w:color="auto" w:fill="auto"/>
            <w:hideMark/>
          </w:tcPr>
          <w:p w:rsidR="005D6ACF" w:rsidRPr="000303D3" w:rsidRDefault="005D6ACF" w:rsidP="008A253E">
            <w:pPr>
              <w:jc w:val="center"/>
              <w:rPr>
                <w:sz w:val="20"/>
                <w:szCs w:val="20"/>
              </w:rPr>
            </w:pPr>
            <w:r w:rsidRPr="000303D3">
              <w:rPr>
                <w:sz w:val="20"/>
                <w:szCs w:val="20"/>
              </w:rPr>
              <w:t>263,01</w:t>
            </w:r>
          </w:p>
        </w:tc>
        <w:tc>
          <w:tcPr>
            <w:tcW w:w="1147" w:type="dxa"/>
            <w:tcBorders>
              <w:top w:val="single" w:sz="4" w:space="0" w:color="000000"/>
              <w:left w:val="nil"/>
              <w:bottom w:val="nil"/>
              <w:right w:val="single" w:sz="4" w:space="0" w:color="000000"/>
            </w:tcBorders>
            <w:shd w:val="clear" w:color="auto" w:fill="auto"/>
            <w:hideMark/>
          </w:tcPr>
          <w:p w:rsidR="005D6ACF" w:rsidRPr="000303D3" w:rsidRDefault="005D6ACF" w:rsidP="008A253E">
            <w:pPr>
              <w:jc w:val="center"/>
              <w:rPr>
                <w:sz w:val="20"/>
                <w:szCs w:val="20"/>
              </w:rPr>
            </w:pPr>
            <w:r w:rsidRPr="000303D3">
              <w:rPr>
                <w:sz w:val="20"/>
                <w:szCs w:val="20"/>
              </w:rPr>
              <w:t>271,78</w:t>
            </w:r>
          </w:p>
        </w:tc>
        <w:tc>
          <w:tcPr>
            <w:tcW w:w="1148" w:type="dxa"/>
            <w:tcBorders>
              <w:top w:val="single" w:sz="4" w:space="0" w:color="000000"/>
              <w:left w:val="nil"/>
              <w:bottom w:val="nil"/>
              <w:right w:val="single" w:sz="4" w:space="0" w:color="000000"/>
            </w:tcBorders>
            <w:shd w:val="clear" w:color="auto" w:fill="auto"/>
            <w:hideMark/>
          </w:tcPr>
          <w:p w:rsidR="005D6ACF" w:rsidRPr="000303D3" w:rsidRDefault="005D6ACF" w:rsidP="008A253E">
            <w:pPr>
              <w:jc w:val="center"/>
              <w:rPr>
                <w:sz w:val="20"/>
                <w:szCs w:val="20"/>
              </w:rPr>
            </w:pPr>
            <w:r w:rsidRPr="000303D3">
              <w:rPr>
                <w:sz w:val="20"/>
                <w:szCs w:val="20"/>
              </w:rPr>
              <w:t>263,01</w:t>
            </w:r>
          </w:p>
        </w:tc>
        <w:tc>
          <w:tcPr>
            <w:tcW w:w="1154" w:type="dxa"/>
            <w:tcBorders>
              <w:top w:val="single" w:sz="4" w:space="0" w:color="000000"/>
              <w:left w:val="nil"/>
              <w:bottom w:val="nil"/>
              <w:right w:val="single" w:sz="4" w:space="0" w:color="000000"/>
            </w:tcBorders>
            <w:shd w:val="clear" w:color="auto" w:fill="auto"/>
            <w:hideMark/>
          </w:tcPr>
          <w:p w:rsidR="005D6ACF" w:rsidRPr="000303D3" w:rsidRDefault="005D6ACF" w:rsidP="008A253E">
            <w:pPr>
              <w:jc w:val="center"/>
              <w:rPr>
                <w:sz w:val="20"/>
                <w:szCs w:val="20"/>
              </w:rPr>
            </w:pPr>
            <w:r w:rsidRPr="000303D3">
              <w:rPr>
                <w:sz w:val="20"/>
                <w:szCs w:val="20"/>
              </w:rPr>
              <w:t>201,64</w:t>
            </w:r>
          </w:p>
        </w:tc>
        <w:tc>
          <w:tcPr>
            <w:tcW w:w="1150" w:type="dxa"/>
            <w:tcBorders>
              <w:top w:val="single" w:sz="4" w:space="0" w:color="000000"/>
              <w:left w:val="nil"/>
              <w:bottom w:val="nil"/>
              <w:right w:val="single" w:sz="4" w:space="0" w:color="000000"/>
            </w:tcBorders>
            <w:shd w:val="clear" w:color="auto" w:fill="auto"/>
            <w:hideMark/>
          </w:tcPr>
          <w:p w:rsidR="005D6ACF" w:rsidRPr="000303D3" w:rsidRDefault="005D6ACF" w:rsidP="008A253E">
            <w:pPr>
              <w:jc w:val="center"/>
              <w:rPr>
                <w:sz w:val="20"/>
                <w:szCs w:val="20"/>
              </w:rPr>
            </w:pPr>
            <w:r w:rsidRPr="000303D3">
              <w:rPr>
                <w:sz w:val="20"/>
                <w:szCs w:val="20"/>
              </w:rPr>
              <w:t>3 129,84</w:t>
            </w:r>
          </w:p>
        </w:tc>
      </w:tr>
      <w:tr w:rsidR="005D6ACF" w:rsidRPr="00FA2873" w:rsidTr="008A253E">
        <w:trPr>
          <w:trHeight w:val="169"/>
        </w:trPr>
        <w:tc>
          <w:tcPr>
            <w:tcW w:w="1432" w:type="dxa"/>
            <w:tcBorders>
              <w:top w:val="single" w:sz="4" w:space="0" w:color="000000"/>
              <w:left w:val="nil"/>
              <w:bottom w:val="nil"/>
              <w:right w:val="single" w:sz="4" w:space="0" w:color="000000"/>
            </w:tcBorders>
            <w:shd w:val="clear" w:color="auto" w:fill="auto"/>
            <w:hideMark/>
          </w:tcPr>
          <w:p w:rsidR="005D6ACF" w:rsidRPr="00496902" w:rsidRDefault="005D6ACF" w:rsidP="008A253E">
            <w:pPr>
              <w:jc w:val="center"/>
              <w:rPr>
                <w:sz w:val="20"/>
                <w:szCs w:val="20"/>
              </w:rPr>
            </w:pPr>
            <w:r w:rsidRPr="00496902">
              <w:rPr>
                <w:sz w:val="20"/>
                <w:szCs w:val="20"/>
              </w:rPr>
              <w:t>№10 от 23.12.2020</w:t>
            </w:r>
          </w:p>
        </w:tc>
        <w:tc>
          <w:tcPr>
            <w:tcW w:w="1146" w:type="dxa"/>
            <w:tcBorders>
              <w:top w:val="single" w:sz="4" w:space="0" w:color="000000"/>
              <w:left w:val="nil"/>
              <w:bottom w:val="nil"/>
              <w:right w:val="single" w:sz="4" w:space="0" w:color="000000"/>
            </w:tcBorders>
            <w:shd w:val="clear" w:color="auto" w:fill="auto"/>
            <w:hideMark/>
          </w:tcPr>
          <w:p w:rsidR="005D6ACF" w:rsidRPr="000303D3" w:rsidRDefault="005D6ACF" w:rsidP="008A253E">
            <w:pPr>
              <w:jc w:val="center"/>
              <w:rPr>
                <w:sz w:val="20"/>
                <w:szCs w:val="20"/>
              </w:rPr>
            </w:pPr>
            <w:r w:rsidRPr="000303D3">
              <w:rPr>
                <w:sz w:val="20"/>
                <w:szCs w:val="20"/>
              </w:rPr>
              <w:t>1 669,15</w:t>
            </w:r>
          </w:p>
        </w:tc>
        <w:tc>
          <w:tcPr>
            <w:tcW w:w="1146" w:type="dxa"/>
            <w:tcBorders>
              <w:top w:val="single" w:sz="4" w:space="0" w:color="000000"/>
              <w:left w:val="nil"/>
              <w:bottom w:val="nil"/>
              <w:right w:val="single" w:sz="4" w:space="0" w:color="000000"/>
            </w:tcBorders>
            <w:shd w:val="clear" w:color="auto" w:fill="auto"/>
            <w:hideMark/>
          </w:tcPr>
          <w:p w:rsidR="005D6ACF" w:rsidRPr="000303D3" w:rsidRDefault="005D6ACF" w:rsidP="008A253E">
            <w:pPr>
              <w:jc w:val="center"/>
              <w:rPr>
                <w:sz w:val="20"/>
                <w:szCs w:val="20"/>
              </w:rPr>
            </w:pPr>
            <w:r w:rsidRPr="000303D3">
              <w:rPr>
                <w:sz w:val="20"/>
                <w:szCs w:val="20"/>
              </w:rPr>
              <w:t>1 507,62</w:t>
            </w:r>
          </w:p>
        </w:tc>
        <w:tc>
          <w:tcPr>
            <w:tcW w:w="1146" w:type="dxa"/>
            <w:tcBorders>
              <w:top w:val="single" w:sz="4" w:space="0" w:color="000000"/>
              <w:left w:val="nil"/>
              <w:bottom w:val="nil"/>
              <w:right w:val="single" w:sz="4" w:space="0" w:color="000000"/>
            </w:tcBorders>
            <w:shd w:val="clear" w:color="auto" w:fill="auto"/>
            <w:hideMark/>
          </w:tcPr>
          <w:p w:rsidR="005D6ACF" w:rsidRPr="000303D3" w:rsidRDefault="005D6ACF" w:rsidP="008A253E">
            <w:pPr>
              <w:jc w:val="center"/>
              <w:rPr>
                <w:sz w:val="20"/>
                <w:szCs w:val="20"/>
              </w:rPr>
            </w:pPr>
            <w:r w:rsidRPr="000303D3">
              <w:rPr>
                <w:sz w:val="20"/>
                <w:szCs w:val="20"/>
              </w:rPr>
              <w:t>1 669,15</w:t>
            </w:r>
          </w:p>
        </w:tc>
        <w:tc>
          <w:tcPr>
            <w:tcW w:w="1146" w:type="dxa"/>
            <w:tcBorders>
              <w:top w:val="single" w:sz="4" w:space="0" w:color="000000"/>
              <w:left w:val="nil"/>
              <w:bottom w:val="nil"/>
              <w:right w:val="single" w:sz="4" w:space="0" w:color="000000"/>
            </w:tcBorders>
            <w:shd w:val="clear" w:color="auto" w:fill="auto"/>
            <w:hideMark/>
          </w:tcPr>
          <w:p w:rsidR="005D6ACF" w:rsidRPr="000303D3" w:rsidRDefault="005D6ACF" w:rsidP="008A253E">
            <w:pPr>
              <w:jc w:val="center"/>
              <w:rPr>
                <w:sz w:val="20"/>
                <w:szCs w:val="20"/>
              </w:rPr>
            </w:pPr>
            <w:r w:rsidRPr="000303D3">
              <w:rPr>
                <w:sz w:val="20"/>
                <w:szCs w:val="20"/>
              </w:rPr>
              <w:t>1 615,31</w:t>
            </w:r>
          </w:p>
        </w:tc>
        <w:tc>
          <w:tcPr>
            <w:tcW w:w="1147" w:type="dxa"/>
            <w:tcBorders>
              <w:top w:val="single" w:sz="4" w:space="0" w:color="000000"/>
              <w:left w:val="nil"/>
              <w:bottom w:val="nil"/>
              <w:right w:val="single" w:sz="4" w:space="0" w:color="000000"/>
            </w:tcBorders>
            <w:shd w:val="clear" w:color="auto" w:fill="auto"/>
            <w:hideMark/>
          </w:tcPr>
          <w:p w:rsidR="005D6ACF" w:rsidRPr="000303D3" w:rsidRDefault="005D6ACF" w:rsidP="008A253E">
            <w:pPr>
              <w:jc w:val="center"/>
              <w:rPr>
                <w:sz w:val="20"/>
                <w:szCs w:val="20"/>
              </w:rPr>
            </w:pPr>
            <w:r w:rsidRPr="000303D3">
              <w:rPr>
                <w:sz w:val="20"/>
                <w:szCs w:val="20"/>
              </w:rPr>
              <w:t>1 669,15</w:t>
            </w:r>
          </w:p>
        </w:tc>
        <w:tc>
          <w:tcPr>
            <w:tcW w:w="1147" w:type="dxa"/>
            <w:tcBorders>
              <w:top w:val="single" w:sz="4" w:space="0" w:color="000000"/>
              <w:left w:val="nil"/>
              <w:bottom w:val="nil"/>
              <w:right w:val="single" w:sz="4" w:space="0" w:color="000000"/>
            </w:tcBorders>
            <w:shd w:val="clear" w:color="auto" w:fill="auto"/>
            <w:hideMark/>
          </w:tcPr>
          <w:p w:rsidR="005D6ACF" w:rsidRPr="000303D3" w:rsidRDefault="005D6ACF" w:rsidP="008A253E">
            <w:pPr>
              <w:jc w:val="center"/>
              <w:rPr>
                <w:sz w:val="20"/>
                <w:szCs w:val="20"/>
              </w:rPr>
            </w:pPr>
            <w:r w:rsidRPr="000303D3">
              <w:rPr>
                <w:sz w:val="20"/>
                <w:szCs w:val="20"/>
              </w:rPr>
              <w:t>1 615,31</w:t>
            </w:r>
          </w:p>
        </w:tc>
        <w:tc>
          <w:tcPr>
            <w:tcW w:w="1146" w:type="dxa"/>
            <w:tcBorders>
              <w:top w:val="single" w:sz="4" w:space="0" w:color="000000"/>
              <w:left w:val="nil"/>
              <w:bottom w:val="nil"/>
              <w:right w:val="single" w:sz="4" w:space="0" w:color="000000"/>
            </w:tcBorders>
            <w:shd w:val="clear" w:color="auto" w:fill="auto"/>
            <w:hideMark/>
          </w:tcPr>
          <w:p w:rsidR="005D6ACF" w:rsidRPr="000303D3" w:rsidRDefault="005D6ACF" w:rsidP="008A253E">
            <w:pPr>
              <w:jc w:val="center"/>
              <w:rPr>
                <w:sz w:val="20"/>
                <w:szCs w:val="20"/>
              </w:rPr>
            </w:pPr>
            <w:r w:rsidRPr="000303D3">
              <w:rPr>
                <w:sz w:val="20"/>
                <w:szCs w:val="20"/>
              </w:rPr>
              <w:t>1 669,15</w:t>
            </w:r>
          </w:p>
        </w:tc>
        <w:tc>
          <w:tcPr>
            <w:tcW w:w="1147" w:type="dxa"/>
            <w:tcBorders>
              <w:top w:val="single" w:sz="4" w:space="0" w:color="000000"/>
              <w:left w:val="nil"/>
              <w:bottom w:val="nil"/>
              <w:right w:val="single" w:sz="4" w:space="0" w:color="000000"/>
            </w:tcBorders>
            <w:shd w:val="clear" w:color="auto" w:fill="auto"/>
            <w:hideMark/>
          </w:tcPr>
          <w:p w:rsidR="005D6ACF" w:rsidRPr="000303D3" w:rsidRDefault="005D6ACF" w:rsidP="008A253E">
            <w:pPr>
              <w:jc w:val="center"/>
              <w:rPr>
                <w:sz w:val="20"/>
                <w:szCs w:val="20"/>
              </w:rPr>
            </w:pPr>
            <w:r w:rsidRPr="000303D3">
              <w:rPr>
                <w:sz w:val="20"/>
                <w:szCs w:val="20"/>
              </w:rPr>
              <w:t>1 669,15</w:t>
            </w:r>
          </w:p>
        </w:tc>
        <w:tc>
          <w:tcPr>
            <w:tcW w:w="1147" w:type="dxa"/>
            <w:tcBorders>
              <w:top w:val="single" w:sz="4" w:space="0" w:color="000000"/>
              <w:left w:val="nil"/>
              <w:bottom w:val="nil"/>
              <w:right w:val="single" w:sz="4" w:space="0" w:color="000000"/>
            </w:tcBorders>
            <w:shd w:val="clear" w:color="auto" w:fill="auto"/>
            <w:hideMark/>
          </w:tcPr>
          <w:p w:rsidR="005D6ACF" w:rsidRPr="000303D3" w:rsidRDefault="005D6ACF" w:rsidP="008A253E">
            <w:pPr>
              <w:jc w:val="center"/>
              <w:rPr>
                <w:sz w:val="20"/>
                <w:szCs w:val="20"/>
              </w:rPr>
            </w:pPr>
            <w:r w:rsidRPr="000303D3">
              <w:rPr>
                <w:sz w:val="20"/>
                <w:szCs w:val="20"/>
              </w:rPr>
              <w:t>1 615,31</w:t>
            </w:r>
          </w:p>
        </w:tc>
        <w:tc>
          <w:tcPr>
            <w:tcW w:w="1147" w:type="dxa"/>
            <w:tcBorders>
              <w:top w:val="single" w:sz="4" w:space="0" w:color="000000"/>
              <w:left w:val="nil"/>
              <w:bottom w:val="nil"/>
              <w:right w:val="single" w:sz="4" w:space="0" w:color="000000"/>
            </w:tcBorders>
            <w:shd w:val="clear" w:color="auto" w:fill="auto"/>
            <w:hideMark/>
          </w:tcPr>
          <w:p w:rsidR="005D6ACF" w:rsidRPr="000303D3" w:rsidRDefault="005D6ACF" w:rsidP="008A253E">
            <w:pPr>
              <w:jc w:val="center"/>
              <w:rPr>
                <w:sz w:val="20"/>
                <w:szCs w:val="20"/>
              </w:rPr>
            </w:pPr>
            <w:r w:rsidRPr="000303D3">
              <w:rPr>
                <w:sz w:val="20"/>
                <w:szCs w:val="20"/>
              </w:rPr>
              <w:t>1 669,15</w:t>
            </w:r>
          </w:p>
        </w:tc>
        <w:tc>
          <w:tcPr>
            <w:tcW w:w="1148" w:type="dxa"/>
            <w:tcBorders>
              <w:top w:val="single" w:sz="4" w:space="0" w:color="000000"/>
              <w:left w:val="nil"/>
              <w:bottom w:val="nil"/>
              <w:right w:val="single" w:sz="4" w:space="0" w:color="000000"/>
            </w:tcBorders>
            <w:shd w:val="clear" w:color="auto" w:fill="auto"/>
            <w:hideMark/>
          </w:tcPr>
          <w:p w:rsidR="005D6ACF" w:rsidRPr="000303D3" w:rsidRDefault="005D6ACF" w:rsidP="008A253E">
            <w:pPr>
              <w:jc w:val="center"/>
              <w:rPr>
                <w:sz w:val="20"/>
                <w:szCs w:val="20"/>
              </w:rPr>
            </w:pPr>
            <w:r w:rsidRPr="000303D3">
              <w:rPr>
                <w:sz w:val="20"/>
                <w:szCs w:val="20"/>
              </w:rPr>
              <w:t>1 615,31</w:t>
            </w:r>
          </w:p>
        </w:tc>
        <w:tc>
          <w:tcPr>
            <w:tcW w:w="1154" w:type="dxa"/>
            <w:tcBorders>
              <w:top w:val="single" w:sz="4" w:space="0" w:color="000000"/>
              <w:left w:val="nil"/>
              <w:bottom w:val="nil"/>
              <w:right w:val="single" w:sz="4" w:space="0" w:color="000000"/>
            </w:tcBorders>
            <w:shd w:val="clear" w:color="auto" w:fill="auto"/>
            <w:hideMark/>
          </w:tcPr>
          <w:p w:rsidR="005D6ACF" w:rsidRPr="000303D3" w:rsidRDefault="005D6ACF" w:rsidP="008A253E">
            <w:pPr>
              <w:jc w:val="center"/>
              <w:rPr>
                <w:sz w:val="20"/>
                <w:szCs w:val="20"/>
              </w:rPr>
            </w:pPr>
            <w:r w:rsidRPr="000303D3">
              <w:rPr>
                <w:sz w:val="20"/>
                <w:szCs w:val="20"/>
              </w:rPr>
              <w:t>1 238,40</w:t>
            </w:r>
          </w:p>
        </w:tc>
        <w:tc>
          <w:tcPr>
            <w:tcW w:w="1150" w:type="dxa"/>
            <w:tcBorders>
              <w:top w:val="single" w:sz="4" w:space="0" w:color="000000"/>
              <w:left w:val="nil"/>
              <w:bottom w:val="nil"/>
              <w:right w:val="single" w:sz="4" w:space="0" w:color="000000"/>
            </w:tcBorders>
            <w:shd w:val="clear" w:color="auto" w:fill="auto"/>
            <w:hideMark/>
          </w:tcPr>
          <w:p w:rsidR="005D6ACF" w:rsidRPr="000303D3" w:rsidRDefault="005D6ACF" w:rsidP="008A253E">
            <w:pPr>
              <w:jc w:val="center"/>
              <w:rPr>
                <w:sz w:val="20"/>
                <w:szCs w:val="20"/>
              </w:rPr>
            </w:pPr>
            <w:r w:rsidRPr="000303D3">
              <w:rPr>
                <w:sz w:val="20"/>
                <w:szCs w:val="20"/>
              </w:rPr>
              <w:t>19 222,16</w:t>
            </w:r>
          </w:p>
        </w:tc>
      </w:tr>
      <w:tr w:rsidR="005D6ACF" w:rsidRPr="00FA2873" w:rsidTr="008A253E">
        <w:trPr>
          <w:trHeight w:val="169"/>
        </w:trPr>
        <w:tc>
          <w:tcPr>
            <w:tcW w:w="1432" w:type="dxa"/>
            <w:tcBorders>
              <w:top w:val="single" w:sz="4" w:space="0" w:color="000000"/>
              <w:left w:val="nil"/>
              <w:bottom w:val="single" w:sz="4" w:space="0" w:color="000000"/>
              <w:right w:val="single" w:sz="4" w:space="0" w:color="000000"/>
            </w:tcBorders>
            <w:shd w:val="clear" w:color="auto" w:fill="auto"/>
            <w:hideMark/>
          </w:tcPr>
          <w:p w:rsidR="005D6ACF" w:rsidRPr="00496902" w:rsidRDefault="005D6ACF" w:rsidP="008A253E">
            <w:pPr>
              <w:jc w:val="center"/>
              <w:rPr>
                <w:color w:val="000000"/>
                <w:sz w:val="20"/>
                <w:szCs w:val="20"/>
              </w:rPr>
            </w:pPr>
            <w:r w:rsidRPr="00496902">
              <w:rPr>
                <w:color w:val="000000"/>
                <w:sz w:val="20"/>
                <w:szCs w:val="20"/>
              </w:rPr>
              <w:t> </w:t>
            </w:r>
          </w:p>
        </w:tc>
        <w:tc>
          <w:tcPr>
            <w:tcW w:w="1146" w:type="dxa"/>
            <w:tcBorders>
              <w:top w:val="single" w:sz="4" w:space="0" w:color="000000"/>
              <w:left w:val="nil"/>
              <w:bottom w:val="single" w:sz="4" w:space="0" w:color="000000"/>
              <w:right w:val="single" w:sz="4" w:space="0" w:color="000000"/>
            </w:tcBorders>
            <w:shd w:val="clear" w:color="auto" w:fill="auto"/>
            <w:hideMark/>
          </w:tcPr>
          <w:p w:rsidR="005D6ACF" w:rsidRPr="000303D3" w:rsidRDefault="005D6ACF" w:rsidP="008A253E">
            <w:pPr>
              <w:jc w:val="center"/>
              <w:rPr>
                <w:sz w:val="20"/>
                <w:szCs w:val="20"/>
              </w:rPr>
            </w:pPr>
            <w:r w:rsidRPr="000303D3">
              <w:rPr>
                <w:sz w:val="20"/>
                <w:szCs w:val="20"/>
              </w:rPr>
              <w:t>7 045,01</w:t>
            </w:r>
          </w:p>
        </w:tc>
        <w:tc>
          <w:tcPr>
            <w:tcW w:w="1146" w:type="dxa"/>
            <w:tcBorders>
              <w:top w:val="single" w:sz="4" w:space="0" w:color="000000"/>
              <w:left w:val="nil"/>
              <w:bottom w:val="single" w:sz="4" w:space="0" w:color="000000"/>
              <w:right w:val="single" w:sz="4" w:space="0" w:color="000000"/>
            </w:tcBorders>
            <w:shd w:val="clear" w:color="auto" w:fill="auto"/>
            <w:hideMark/>
          </w:tcPr>
          <w:p w:rsidR="005D6ACF" w:rsidRPr="000303D3" w:rsidRDefault="005D6ACF" w:rsidP="008A253E">
            <w:pPr>
              <w:jc w:val="center"/>
              <w:rPr>
                <w:sz w:val="20"/>
                <w:szCs w:val="20"/>
              </w:rPr>
            </w:pPr>
            <w:r w:rsidRPr="000303D3">
              <w:rPr>
                <w:sz w:val="20"/>
                <w:szCs w:val="20"/>
              </w:rPr>
              <w:t>6 363,22</w:t>
            </w:r>
          </w:p>
        </w:tc>
        <w:tc>
          <w:tcPr>
            <w:tcW w:w="1146" w:type="dxa"/>
            <w:tcBorders>
              <w:top w:val="single" w:sz="4" w:space="0" w:color="000000"/>
              <w:left w:val="nil"/>
              <w:bottom w:val="single" w:sz="4" w:space="0" w:color="000000"/>
              <w:right w:val="single" w:sz="4" w:space="0" w:color="000000"/>
            </w:tcBorders>
            <w:shd w:val="clear" w:color="auto" w:fill="auto"/>
            <w:hideMark/>
          </w:tcPr>
          <w:p w:rsidR="005D6ACF" w:rsidRPr="000303D3" w:rsidRDefault="005D6ACF" w:rsidP="008A253E">
            <w:pPr>
              <w:jc w:val="center"/>
              <w:rPr>
                <w:sz w:val="20"/>
                <w:szCs w:val="20"/>
              </w:rPr>
            </w:pPr>
            <w:r w:rsidRPr="000303D3">
              <w:rPr>
                <w:sz w:val="20"/>
                <w:szCs w:val="20"/>
              </w:rPr>
              <w:t>7 045,01</w:t>
            </w:r>
          </w:p>
        </w:tc>
        <w:tc>
          <w:tcPr>
            <w:tcW w:w="1146" w:type="dxa"/>
            <w:tcBorders>
              <w:top w:val="single" w:sz="4" w:space="0" w:color="000000"/>
              <w:left w:val="nil"/>
              <w:bottom w:val="single" w:sz="4" w:space="0" w:color="000000"/>
              <w:right w:val="single" w:sz="4" w:space="0" w:color="000000"/>
            </w:tcBorders>
            <w:shd w:val="clear" w:color="auto" w:fill="auto"/>
            <w:hideMark/>
          </w:tcPr>
          <w:p w:rsidR="005D6ACF" w:rsidRPr="000303D3" w:rsidRDefault="005D6ACF" w:rsidP="008A253E">
            <w:pPr>
              <w:jc w:val="center"/>
              <w:rPr>
                <w:sz w:val="20"/>
                <w:szCs w:val="20"/>
              </w:rPr>
            </w:pPr>
            <w:r w:rsidRPr="000303D3">
              <w:rPr>
                <w:sz w:val="20"/>
                <w:szCs w:val="20"/>
              </w:rPr>
              <w:t>6 817,74</w:t>
            </w:r>
          </w:p>
        </w:tc>
        <w:tc>
          <w:tcPr>
            <w:tcW w:w="1147" w:type="dxa"/>
            <w:tcBorders>
              <w:top w:val="single" w:sz="4" w:space="0" w:color="000000"/>
              <w:left w:val="nil"/>
              <w:bottom w:val="single" w:sz="4" w:space="0" w:color="000000"/>
              <w:right w:val="single" w:sz="4" w:space="0" w:color="000000"/>
            </w:tcBorders>
            <w:shd w:val="clear" w:color="auto" w:fill="auto"/>
            <w:hideMark/>
          </w:tcPr>
          <w:p w:rsidR="005D6ACF" w:rsidRPr="000303D3" w:rsidRDefault="005D6ACF" w:rsidP="008A253E">
            <w:pPr>
              <w:jc w:val="center"/>
              <w:rPr>
                <w:sz w:val="20"/>
                <w:szCs w:val="20"/>
              </w:rPr>
            </w:pPr>
            <w:r w:rsidRPr="000303D3">
              <w:rPr>
                <w:sz w:val="20"/>
                <w:szCs w:val="20"/>
              </w:rPr>
              <w:t>7 045,01</w:t>
            </w:r>
          </w:p>
        </w:tc>
        <w:tc>
          <w:tcPr>
            <w:tcW w:w="1147" w:type="dxa"/>
            <w:tcBorders>
              <w:top w:val="single" w:sz="4" w:space="0" w:color="000000"/>
              <w:left w:val="nil"/>
              <w:bottom w:val="single" w:sz="4" w:space="0" w:color="000000"/>
              <w:right w:val="single" w:sz="4" w:space="0" w:color="000000"/>
            </w:tcBorders>
            <w:shd w:val="clear" w:color="auto" w:fill="auto"/>
            <w:hideMark/>
          </w:tcPr>
          <w:p w:rsidR="005D6ACF" w:rsidRPr="000303D3" w:rsidRDefault="005D6ACF" w:rsidP="008A253E">
            <w:pPr>
              <w:jc w:val="center"/>
              <w:rPr>
                <w:sz w:val="20"/>
                <w:szCs w:val="20"/>
              </w:rPr>
            </w:pPr>
            <w:r w:rsidRPr="000303D3">
              <w:rPr>
                <w:sz w:val="20"/>
                <w:szCs w:val="20"/>
              </w:rPr>
              <w:t>6 817,74</w:t>
            </w:r>
          </w:p>
        </w:tc>
        <w:tc>
          <w:tcPr>
            <w:tcW w:w="1146" w:type="dxa"/>
            <w:tcBorders>
              <w:top w:val="single" w:sz="4" w:space="0" w:color="000000"/>
              <w:left w:val="nil"/>
              <w:bottom w:val="single" w:sz="4" w:space="0" w:color="000000"/>
              <w:right w:val="single" w:sz="4" w:space="0" w:color="000000"/>
            </w:tcBorders>
            <w:shd w:val="clear" w:color="auto" w:fill="auto"/>
            <w:hideMark/>
          </w:tcPr>
          <w:p w:rsidR="005D6ACF" w:rsidRPr="000303D3" w:rsidRDefault="005D6ACF" w:rsidP="008A253E">
            <w:pPr>
              <w:jc w:val="center"/>
              <w:rPr>
                <w:sz w:val="20"/>
                <w:szCs w:val="20"/>
              </w:rPr>
            </w:pPr>
            <w:r w:rsidRPr="000303D3">
              <w:rPr>
                <w:sz w:val="20"/>
                <w:szCs w:val="20"/>
              </w:rPr>
              <w:t>7 045,01</w:t>
            </w:r>
          </w:p>
        </w:tc>
        <w:tc>
          <w:tcPr>
            <w:tcW w:w="1147" w:type="dxa"/>
            <w:tcBorders>
              <w:top w:val="single" w:sz="4" w:space="0" w:color="000000"/>
              <w:left w:val="nil"/>
              <w:bottom w:val="single" w:sz="4" w:space="0" w:color="000000"/>
              <w:right w:val="single" w:sz="4" w:space="0" w:color="000000"/>
            </w:tcBorders>
            <w:shd w:val="clear" w:color="auto" w:fill="auto"/>
            <w:hideMark/>
          </w:tcPr>
          <w:p w:rsidR="005D6ACF" w:rsidRPr="000303D3" w:rsidRDefault="005D6ACF" w:rsidP="008A253E">
            <w:pPr>
              <w:jc w:val="center"/>
              <w:rPr>
                <w:sz w:val="20"/>
                <w:szCs w:val="20"/>
              </w:rPr>
            </w:pPr>
            <w:r w:rsidRPr="000303D3">
              <w:rPr>
                <w:sz w:val="20"/>
                <w:szCs w:val="20"/>
              </w:rPr>
              <w:t>7 045,01</w:t>
            </w:r>
          </w:p>
        </w:tc>
        <w:tc>
          <w:tcPr>
            <w:tcW w:w="1147" w:type="dxa"/>
            <w:tcBorders>
              <w:top w:val="single" w:sz="4" w:space="0" w:color="000000"/>
              <w:left w:val="nil"/>
              <w:bottom w:val="single" w:sz="4" w:space="0" w:color="000000"/>
              <w:right w:val="single" w:sz="4" w:space="0" w:color="000000"/>
            </w:tcBorders>
            <w:shd w:val="clear" w:color="auto" w:fill="auto"/>
            <w:hideMark/>
          </w:tcPr>
          <w:p w:rsidR="005D6ACF" w:rsidRPr="000303D3" w:rsidRDefault="005D6ACF" w:rsidP="008A253E">
            <w:pPr>
              <w:jc w:val="center"/>
              <w:rPr>
                <w:sz w:val="20"/>
                <w:szCs w:val="20"/>
              </w:rPr>
            </w:pPr>
            <w:r w:rsidRPr="000303D3">
              <w:rPr>
                <w:sz w:val="20"/>
                <w:szCs w:val="20"/>
              </w:rPr>
              <w:t>6 817,74</w:t>
            </w:r>
          </w:p>
        </w:tc>
        <w:tc>
          <w:tcPr>
            <w:tcW w:w="1147" w:type="dxa"/>
            <w:tcBorders>
              <w:top w:val="single" w:sz="4" w:space="0" w:color="000000"/>
              <w:left w:val="nil"/>
              <w:bottom w:val="single" w:sz="4" w:space="0" w:color="000000"/>
              <w:right w:val="single" w:sz="4" w:space="0" w:color="000000"/>
            </w:tcBorders>
            <w:shd w:val="clear" w:color="auto" w:fill="auto"/>
            <w:hideMark/>
          </w:tcPr>
          <w:p w:rsidR="005D6ACF" w:rsidRPr="000303D3" w:rsidRDefault="005D6ACF" w:rsidP="008A253E">
            <w:pPr>
              <w:jc w:val="center"/>
              <w:rPr>
                <w:sz w:val="20"/>
                <w:szCs w:val="20"/>
              </w:rPr>
            </w:pPr>
            <w:r w:rsidRPr="000303D3">
              <w:rPr>
                <w:sz w:val="20"/>
                <w:szCs w:val="20"/>
              </w:rPr>
              <w:t>7 045,01</w:t>
            </w:r>
          </w:p>
        </w:tc>
        <w:tc>
          <w:tcPr>
            <w:tcW w:w="1148" w:type="dxa"/>
            <w:tcBorders>
              <w:top w:val="single" w:sz="4" w:space="0" w:color="000000"/>
              <w:left w:val="nil"/>
              <w:bottom w:val="single" w:sz="4" w:space="0" w:color="000000"/>
              <w:right w:val="single" w:sz="4" w:space="0" w:color="000000"/>
            </w:tcBorders>
            <w:shd w:val="clear" w:color="auto" w:fill="auto"/>
            <w:hideMark/>
          </w:tcPr>
          <w:p w:rsidR="005D6ACF" w:rsidRPr="000303D3" w:rsidRDefault="005D6ACF" w:rsidP="008A253E">
            <w:pPr>
              <w:jc w:val="center"/>
              <w:rPr>
                <w:sz w:val="20"/>
                <w:szCs w:val="20"/>
              </w:rPr>
            </w:pPr>
            <w:r w:rsidRPr="000303D3">
              <w:rPr>
                <w:sz w:val="20"/>
                <w:szCs w:val="20"/>
              </w:rPr>
              <w:t>6 817,74</w:t>
            </w:r>
          </w:p>
        </w:tc>
        <w:tc>
          <w:tcPr>
            <w:tcW w:w="1154" w:type="dxa"/>
            <w:tcBorders>
              <w:top w:val="single" w:sz="4" w:space="0" w:color="000000"/>
              <w:left w:val="nil"/>
              <w:bottom w:val="single" w:sz="4" w:space="0" w:color="000000"/>
              <w:right w:val="single" w:sz="4" w:space="0" w:color="000000"/>
            </w:tcBorders>
            <w:shd w:val="clear" w:color="auto" w:fill="auto"/>
            <w:hideMark/>
          </w:tcPr>
          <w:p w:rsidR="005D6ACF" w:rsidRPr="000303D3" w:rsidRDefault="005D6ACF" w:rsidP="008A253E">
            <w:pPr>
              <w:jc w:val="center"/>
              <w:rPr>
                <w:sz w:val="20"/>
                <w:szCs w:val="20"/>
              </w:rPr>
            </w:pPr>
            <w:r w:rsidRPr="000303D3">
              <w:rPr>
                <w:sz w:val="20"/>
                <w:szCs w:val="20"/>
              </w:rPr>
              <w:t>5 508,25</w:t>
            </w:r>
          </w:p>
        </w:tc>
        <w:tc>
          <w:tcPr>
            <w:tcW w:w="1150" w:type="dxa"/>
            <w:tcBorders>
              <w:top w:val="single" w:sz="4" w:space="0" w:color="000000"/>
              <w:left w:val="nil"/>
              <w:bottom w:val="single" w:sz="4" w:space="0" w:color="000000"/>
              <w:right w:val="single" w:sz="4" w:space="0" w:color="000000"/>
            </w:tcBorders>
            <w:shd w:val="clear" w:color="auto" w:fill="auto"/>
            <w:hideMark/>
          </w:tcPr>
          <w:p w:rsidR="005D6ACF" w:rsidRPr="000303D3" w:rsidRDefault="005D6ACF" w:rsidP="008A253E">
            <w:pPr>
              <w:jc w:val="center"/>
              <w:rPr>
                <w:sz w:val="20"/>
                <w:szCs w:val="20"/>
              </w:rPr>
            </w:pPr>
            <w:r w:rsidRPr="000303D3">
              <w:rPr>
                <w:sz w:val="20"/>
                <w:szCs w:val="20"/>
              </w:rPr>
              <w:t>81 412,49</w:t>
            </w:r>
          </w:p>
        </w:tc>
      </w:tr>
      <w:tr w:rsidR="005D6ACF" w:rsidRPr="00FA2873" w:rsidTr="008A253E">
        <w:trPr>
          <w:trHeight w:val="405"/>
        </w:trPr>
        <w:tc>
          <w:tcPr>
            <w:tcW w:w="1432" w:type="dxa"/>
            <w:tcBorders>
              <w:top w:val="nil"/>
              <w:left w:val="nil"/>
              <w:bottom w:val="single" w:sz="4" w:space="0" w:color="000000"/>
              <w:right w:val="single" w:sz="4" w:space="0" w:color="000000"/>
            </w:tcBorders>
            <w:shd w:val="clear" w:color="auto" w:fill="auto"/>
            <w:hideMark/>
          </w:tcPr>
          <w:p w:rsidR="005D6ACF" w:rsidRPr="00496902" w:rsidRDefault="005D6ACF" w:rsidP="008A253E">
            <w:pPr>
              <w:jc w:val="center"/>
              <w:rPr>
                <w:color w:val="000000"/>
                <w:sz w:val="20"/>
                <w:szCs w:val="20"/>
              </w:rPr>
            </w:pPr>
            <w:r w:rsidRPr="00496902">
              <w:rPr>
                <w:color w:val="000000"/>
                <w:sz w:val="20"/>
                <w:szCs w:val="20"/>
              </w:rPr>
              <w:t> </w:t>
            </w:r>
          </w:p>
        </w:tc>
        <w:tc>
          <w:tcPr>
            <w:tcW w:w="1146" w:type="dxa"/>
            <w:tcBorders>
              <w:top w:val="nil"/>
              <w:left w:val="nil"/>
              <w:bottom w:val="single" w:sz="4" w:space="0" w:color="000000"/>
              <w:right w:val="single" w:sz="4" w:space="0" w:color="000000"/>
            </w:tcBorders>
            <w:shd w:val="clear" w:color="auto" w:fill="auto"/>
            <w:hideMark/>
          </w:tcPr>
          <w:p w:rsidR="005D6ACF" w:rsidRPr="00FA2873" w:rsidRDefault="005D6ACF" w:rsidP="008A253E">
            <w:pPr>
              <w:jc w:val="right"/>
              <w:rPr>
                <w:color w:val="000000"/>
                <w:sz w:val="20"/>
                <w:szCs w:val="20"/>
              </w:rPr>
            </w:pPr>
            <w:r w:rsidRPr="00FA2873">
              <w:rPr>
                <w:color w:val="000000"/>
                <w:sz w:val="20"/>
                <w:szCs w:val="20"/>
              </w:rPr>
              <w:t> </w:t>
            </w:r>
          </w:p>
        </w:tc>
        <w:tc>
          <w:tcPr>
            <w:tcW w:w="1146" w:type="dxa"/>
            <w:tcBorders>
              <w:top w:val="nil"/>
              <w:left w:val="nil"/>
              <w:bottom w:val="single" w:sz="4" w:space="0" w:color="000000"/>
              <w:right w:val="single" w:sz="4" w:space="0" w:color="000000"/>
            </w:tcBorders>
            <w:shd w:val="clear" w:color="auto" w:fill="auto"/>
            <w:hideMark/>
          </w:tcPr>
          <w:p w:rsidR="005D6ACF" w:rsidRPr="00FA2873" w:rsidRDefault="005D6ACF" w:rsidP="008A253E">
            <w:pPr>
              <w:jc w:val="right"/>
              <w:rPr>
                <w:color w:val="000000"/>
                <w:sz w:val="20"/>
                <w:szCs w:val="20"/>
              </w:rPr>
            </w:pPr>
            <w:r w:rsidRPr="00FA2873">
              <w:rPr>
                <w:color w:val="000000"/>
                <w:sz w:val="20"/>
                <w:szCs w:val="20"/>
              </w:rPr>
              <w:t> </w:t>
            </w:r>
          </w:p>
        </w:tc>
        <w:tc>
          <w:tcPr>
            <w:tcW w:w="1146" w:type="dxa"/>
            <w:tcBorders>
              <w:top w:val="nil"/>
              <w:left w:val="nil"/>
              <w:bottom w:val="single" w:sz="4" w:space="0" w:color="000000"/>
              <w:right w:val="single" w:sz="4" w:space="0" w:color="000000"/>
            </w:tcBorders>
            <w:shd w:val="clear" w:color="auto" w:fill="auto"/>
            <w:hideMark/>
          </w:tcPr>
          <w:p w:rsidR="005D6ACF" w:rsidRPr="00FA2873" w:rsidRDefault="005D6ACF" w:rsidP="008A253E">
            <w:pPr>
              <w:jc w:val="right"/>
              <w:rPr>
                <w:color w:val="000000"/>
                <w:sz w:val="20"/>
                <w:szCs w:val="20"/>
              </w:rPr>
            </w:pPr>
            <w:r w:rsidRPr="00FA2873">
              <w:rPr>
                <w:color w:val="000000"/>
                <w:sz w:val="20"/>
                <w:szCs w:val="20"/>
              </w:rPr>
              <w:t> </w:t>
            </w:r>
          </w:p>
        </w:tc>
        <w:tc>
          <w:tcPr>
            <w:tcW w:w="1146" w:type="dxa"/>
            <w:tcBorders>
              <w:top w:val="nil"/>
              <w:left w:val="nil"/>
              <w:bottom w:val="single" w:sz="4" w:space="0" w:color="000000"/>
              <w:right w:val="single" w:sz="4" w:space="0" w:color="000000"/>
            </w:tcBorders>
            <w:shd w:val="clear" w:color="auto" w:fill="auto"/>
            <w:hideMark/>
          </w:tcPr>
          <w:p w:rsidR="005D6ACF" w:rsidRPr="00FA2873" w:rsidRDefault="005D6ACF" w:rsidP="008A253E">
            <w:pPr>
              <w:jc w:val="right"/>
              <w:rPr>
                <w:color w:val="000000"/>
                <w:sz w:val="20"/>
                <w:szCs w:val="20"/>
              </w:rPr>
            </w:pPr>
            <w:r w:rsidRPr="00FA2873">
              <w:rPr>
                <w:color w:val="000000"/>
                <w:sz w:val="20"/>
                <w:szCs w:val="20"/>
              </w:rPr>
              <w:t> </w:t>
            </w:r>
          </w:p>
        </w:tc>
        <w:tc>
          <w:tcPr>
            <w:tcW w:w="1147" w:type="dxa"/>
            <w:tcBorders>
              <w:top w:val="nil"/>
              <w:left w:val="nil"/>
              <w:bottom w:val="single" w:sz="4" w:space="0" w:color="000000"/>
              <w:right w:val="single" w:sz="4" w:space="0" w:color="000000"/>
            </w:tcBorders>
            <w:shd w:val="clear" w:color="auto" w:fill="auto"/>
            <w:hideMark/>
          </w:tcPr>
          <w:p w:rsidR="005D6ACF" w:rsidRPr="00FA2873" w:rsidRDefault="005D6ACF" w:rsidP="008A253E">
            <w:pPr>
              <w:jc w:val="right"/>
              <w:rPr>
                <w:color w:val="000000"/>
                <w:sz w:val="20"/>
                <w:szCs w:val="20"/>
              </w:rPr>
            </w:pPr>
            <w:r w:rsidRPr="00FA2873">
              <w:rPr>
                <w:color w:val="000000"/>
                <w:sz w:val="20"/>
                <w:szCs w:val="20"/>
              </w:rPr>
              <w:t> </w:t>
            </w:r>
          </w:p>
        </w:tc>
        <w:tc>
          <w:tcPr>
            <w:tcW w:w="1147" w:type="dxa"/>
            <w:tcBorders>
              <w:top w:val="nil"/>
              <w:left w:val="nil"/>
              <w:bottom w:val="single" w:sz="4" w:space="0" w:color="000000"/>
              <w:right w:val="single" w:sz="4" w:space="0" w:color="000000"/>
            </w:tcBorders>
            <w:shd w:val="clear" w:color="auto" w:fill="auto"/>
            <w:hideMark/>
          </w:tcPr>
          <w:p w:rsidR="005D6ACF" w:rsidRPr="00FA2873" w:rsidRDefault="005D6ACF" w:rsidP="008A253E">
            <w:pPr>
              <w:jc w:val="right"/>
              <w:rPr>
                <w:color w:val="000000"/>
                <w:sz w:val="20"/>
                <w:szCs w:val="20"/>
              </w:rPr>
            </w:pPr>
            <w:r w:rsidRPr="00FA2873">
              <w:rPr>
                <w:color w:val="000000"/>
                <w:sz w:val="20"/>
                <w:szCs w:val="20"/>
              </w:rPr>
              <w:t> </w:t>
            </w:r>
          </w:p>
        </w:tc>
        <w:tc>
          <w:tcPr>
            <w:tcW w:w="1146" w:type="dxa"/>
            <w:tcBorders>
              <w:top w:val="nil"/>
              <w:left w:val="nil"/>
              <w:bottom w:val="single" w:sz="4" w:space="0" w:color="000000"/>
              <w:right w:val="single" w:sz="4" w:space="0" w:color="000000"/>
            </w:tcBorders>
            <w:shd w:val="clear" w:color="auto" w:fill="auto"/>
            <w:hideMark/>
          </w:tcPr>
          <w:p w:rsidR="005D6ACF" w:rsidRPr="00FA2873" w:rsidRDefault="005D6ACF" w:rsidP="008A253E">
            <w:pPr>
              <w:jc w:val="right"/>
              <w:rPr>
                <w:color w:val="000000"/>
                <w:sz w:val="20"/>
                <w:szCs w:val="20"/>
              </w:rPr>
            </w:pPr>
            <w:r w:rsidRPr="00FA2873">
              <w:rPr>
                <w:color w:val="000000"/>
                <w:sz w:val="20"/>
                <w:szCs w:val="20"/>
              </w:rPr>
              <w:t> </w:t>
            </w:r>
          </w:p>
        </w:tc>
        <w:tc>
          <w:tcPr>
            <w:tcW w:w="1147" w:type="dxa"/>
            <w:tcBorders>
              <w:top w:val="nil"/>
              <w:left w:val="nil"/>
              <w:bottom w:val="single" w:sz="4" w:space="0" w:color="000000"/>
              <w:right w:val="single" w:sz="4" w:space="0" w:color="000000"/>
            </w:tcBorders>
            <w:shd w:val="clear" w:color="auto" w:fill="auto"/>
            <w:hideMark/>
          </w:tcPr>
          <w:p w:rsidR="005D6ACF" w:rsidRPr="00FA2873" w:rsidRDefault="005D6ACF" w:rsidP="008A253E">
            <w:pPr>
              <w:jc w:val="right"/>
              <w:rPr>
                <w:color w:val="000000"/>
                <w:sz w:val="20"/>
                <w:szCs w:val="20"/>
              </w:rPr>
            </w:pPr>
            <w:r w:rsidRPr="00FA2873">
              <w:rPr>
                <w:color w:val="000000"/>
                <w:sz w:val="20"/>
                <w:szCs w:val="20"/>
              </w:rPr>
              <w:t> </w:t>
            </w:r>
          </w:p>
        </w:tc>
        <w:tc>
          <w:tcPr>
            <w:tcW w:w="1147" w:type="dxa"/>
            <w:tcBorders>
              <w:top w:val="nil"/>
              <w:left w:val="nil"/>
              <w:bottom w:val="single" w:sz="4" w:space="0" w:color="000000"/>
              <w:right w:val="single" w:sz="4" w:space="0" w:color="000000"/>
            </w:tcBorders>
            <w:shd w:val="clear" w:color="auto" w:fill="auto"/>
            <w:hideMark/>
          </w:tcPr>
          <w:p w:rsidR="005D6ACF" w:rsidRPr="00FA2873" w:rsidRDefault="005D6ACF" w:rsidP="008A253E">
            <w:pPr>
              <w:jc w:val="right"/>
              <w:rPr>
                <w:color w:val="000000"/>
                <w:sz w:val="20"/>
                <w:szCs w:val="20"/>
              </w:rPr>
            </w:pPr>
            <w:r w:rsidRPr="00FA2873">
              <w:rPr>
                <w:color w:val="000000"/>
                <w:sz w:val="20"/>
                <w:szCs w:val="20"/>
              </w:rPr>
              <w:t> </w:t>
            </w:r>
          </w:p>
        </w:tc>
        <w:tc>
          <w:tcPr>
            <w:tcW w:w="1147" w:type="dxa"/>
            <w:tcBorders>
              <w:top w:val="nil"/>
              <w:left w:val="nil"/>
              <w:bottom w:val="single" w:sz="4" w:space="0" w:color="000000"/>
              <w:right w:val="single" w:sz="4" w:space="0" w:color="000000"/>
            </w:tcBorders>
            <w:shd w:val="clear" w:color="auto" w:fill="auto"/>
            <w:hideMark/>
          </w:tcPr>
          <w:p w:rsidR="005D6ACF" w:rsidRPr="00FA2873" w:rsidRDefault="005D6ACF" w:rsidP="008A253E">
            <w:pPr>
              <w:jc w:val="right"/>
              <w:rPr>
                <w:color w:val="000000"/>
                <w:sz w:val="20"/>
                <w:szCs w:val="20"/>
              </w:rPr>
            </w:pPr>
            <w:r w:rsidRPr="00FA2873">
              <w:rPr>
                <w:color w:val="000000"/>
                <w:sz w:val="20"/>
                <w:szCs w:val="20"/>
              </w:rPr>
              <w:t> </w:t>
            </w:r>
          </w:p>
        </w:tc>
        <w:tc>
          <w:tcPr>
            <w:tcW w:w="1148" w:type="dxa"/>
            <w:tcBorders>
              <w:top w:val="nil"/>
              <w:left w:val="nil"/>
              <w:bottom w:val="single" w:sz="4" w:space="0" w:color="000000"/>
              <w:right w:val="single" w:sz="4" w:space="0" w:color="000000"/>
            </w:tcBorders>
            <w:shd w:val="clear" w:color="auto" w:fill="auto"/>
            <w:hideMark/>
          </w:tcPr>
          <w:p w:rsidR="005D6ACF" w:rsidRPr="00FA2873" w:rsidRDefault="005D6ACF" w:rsidP="008A253E">
            <w:pPr>
              <w:jc w:val="right"/>
              <w:rPr>
                <w:color w:val="000000"/>
                <w:sz w:val="20"/>
                <w:szCs w:val="20"/>
              </w:rPr>
            </w:pPr>
            <w:r w:rsidRPr="00FA2873">
              <w:rPr>
                <w:color w:val="000000"/>
                <w:sz w:val="20"/>
                <w:szCs w:val="20"/>
              </w:rPr>
              <w:t> </w:t>
            </w:r>
          </w:p>
        </w:tc>
        <w:tc>
          <w:tcPr>
            <w:tcW w:w="1154" w:type="dxa"/>
            <w:tcBorders>
              <w:top w:val="nil"/>
              <w:left w:val="nil"/>
              <w:bottom w:val="single" w:sz="4" w:space="0" w:color="000000"/>
              <w:right w:val="single" w:sz="4" w:space="0" w:color="000000"/>
            </w:tcBorders>
            <w:shd w:val="clear" w:color="auto" w:fill="auto"/>
            <w:hideMark/>
          </w:tcPr>
          <w:p w:rsidR="005D6ACF" w:rsidRPr="00FA2873" w:rsidRDefault="005D6ACF" w:rsidP="008A253E">
            <w:pPr>
              <w:jc w:val="right"/>
              <w:rPr>
                <w:color w:val="000000"/>
                <w:sz w:val="20"/>
                <w:szCs w:val="20"/>
              </w:rPr>
            </w:pPr>
            <w:r w:rsidRPr="00FA2873">
              <w:rPr>
                <w:color w:val="000000"/>
                <w:sz w:val="20"/>
                <w:szCs w:val="20"/>
              </w:rPr>
              <w:t> </w:t>
            </w:r>
          </w:p>
        </w:tc>
        <w:tc>
          <w:tcPr>
            <w:tcW w:w="1150" w:type="dxa"/>
            <w:tcBorders>
              <w:top w:val="nil"/>
              <w:left w:val="nil"/>
              <w:bottom w:val="single" w:sz="4" w:space="0" w:color="000000"/>
              <w:right w:val="single" w:sz="4" w:space="0" w:color="000000"/>
            </w:tcBorders>
            <w:shd w:val="clear" w:color="auto" w:fill="auto"/>
            <w:hideMark/>
          </w:tcPr>
          <w:p w:rsidR="005D6ACF" w:rsidRPr="00FA2873" w:rsidRDefault="005D6ACF" w:rsidP="008A253E">
            <w:pPr>
              <w:jc w:val="right"/>
              <w:rPr>
                <w:color w:val="000000"/>
                <w:sz w:val="20"/>
                <w:szCs w:val="20"/>
              </w:rPr>
            </w:pPr>
            <w:r w:rsidRPr="00FA2873">
              <w:rPr>
                <w:color w:val="000000"/>
                <w:sz w:val="20"/>
                <w:szCs w:val="20"/>
              </w:rPr>
              <w:t> </w:t>
            </w:r>
          </w:p>
        </w:tc>
      </w:tr>
      <w:tr w:rsidR="005D6ACF" w:rsidRPr="00FA2873" w:rsidTr="008A253E">
        <w:trPr>
          <w:trHeight w:val="169"/>
        </w:trPr>
        <w:tc>
          <w:tcPr>
            <w:tcW w:w="1432" w:type="dxa"/>
            <w:tcBorders>
              <w:top w:val="nil"/>
              <w:left w:val="nil"/>
              <w:bottom w:val="nil"/>
              <w:right w:val="single" w:sz="4" w:space="0" w:color="000000"/>
            </w:tcBorders>
            <w:shd w:val="clear" w:color="auto" w:fill="auto"/>
            <w:hideMark/>
          </w:tcPr>
          <w:p w:rsidR="005D6ACF" w:rsidRPr="00496902" w:rsidRDefault="005D6ACF" w:rsidP="008A253E">
            <w:pPr>
              <w:jc w:val="center"/>
              <w:rPr>
                <w:sz w:val="20"/>
                <w:szCs w:val="20"/>
              </w:rPr>
            </w:pPr>
            <w:r w:rsidRPr="00496902">
              <w:rPr>
                <w:sz w:val="20"/>
                <w:szCs w:val="20"/>
              </w:rPr>
              <w:t>№1 от 08.04.2021</w:t>
            </w:r>
          </w:p>
        </w:tc>
        <w:tc>
          <w:tcPr>
            <w:tcW w:w="1146" w:type="dxa"/>
            <w:tcBorders>
              <w:top w:val="nil"/>
              <w:left w:val="nil"/>
              <w:bottom w:val="nil"/>
              <w:right w:val="single" w:sz="4" w:space="0" w:color="000000"/>
            </w:tcBorders>
            <w:shd w:val="clear" w:color="auto" w:fill="auto"/>
            <w:hideMark/>
          </w:tcPr>
          <w:p w:rsidR="005D6ACF" w:rsidRPr="000303D3" w:rsidRDefault="005D6ACF" w:rsidP="008A253E">
            <w:pPr>
              <w:jc w:val="center"/>
              <w:rPr>
                <w:sz w:val="20"/>
                <w:szCs w:val="20"/>
              </w:rPr>
            </w:pPr>
            <w:r w:rsidRPr="000303D3">
              <w:rPr>
                <w:sz w:val="20"/>
                <w:szCs w:val="20"/>
              </w:rPr>
              <w:t>594,52</w:t>
            </w:r>
          </w:p>
        </w:tc>
        <w:tc>
          <w:tcPr>
            <w:tcW w:w="1146" w:type="dxa"/>
            <w:tcBorders>
              <w:top w:val="nil"/>
              <w:left w:val="nil"/>
              <w:bottom w:val="nil"/>
              <w:right w:val="single" w:sz="4" w:space="0" w:color="000000"/>
            </w:tcBorders>
            <w:shd w:val="clear" w:color="auto" w:fill="auto"/>
            <w:hideMark/>
          </w:tcPr>
          <w:p w:rsidR="005D6ACF" w:rsidRPr="000303D3" w:rsidRDefault="005D6ACF" w:rsidP="008A253E">
            <w:pPr>
              <w:jc w:val="center"/>
              <w:rPr>
                <w:sz w:val="20"/>
                <w:szCs w:val="20"/>
              </w:rPr>
            </w:pPr>
            <w:r w:rsidRPr="000303D3">
              <w:rPr>
                <w:sz w:val="20"/>
                <w:szCs w:val="20"/>
              </w:rPr>
              <w:t>536,99</w:t>
            </w:r>
          </w:p>
        </w:tc>
        <w:tc>
          <w:tcPr>
            <w:tcW w:w="1146" w:type="dxa"/>
            <w:tcBorders>
              <w:top w:val="nil"/>
              <w:left w:val="nil"/>
              <w:bottom w:val="nil"/>
              <w:right w:val="single" w:sz="4" w:space="0" w:color="000000"/>
            </w:tcBorders>
            <w:shd w:val="clear" w:color="auto" w:fill="auto"/>
            <w:hideMark/>
          </w:tcPr>
          <w:p w:rsidR="005D6ACF" w:rsidRPr="000303D3" w:rsidRDefault="005D6ACF" w:rsidP="008A253E">
            <w:pPr>
              <w:jc w:val="center"/>
              <w:rPr>
                <w:sz w:val="20"/>
                <w:szCs w:val="20"/>
              </w:rPr>
            </w:pPr>
            <w:r w:rsidRPr="000303D3">
              <w:rPr>
                <w:sz w:val="20"/>
                <w:szCs w:val="20"/>
              </w:rPr>
              <w:t>594,52</w:t>
            </w:r>
          </w:p>
        </w:tc>
        <w:tc>
          <w:tcPr>
            <w:tcW w:w="1146" w:type="dxa"/>
            <w:tcBorders>
              <w:top w:val="nil"/>
              <w:left w:val="nil"/>
              <w:bottom w:val="nil"/>
              <w:right w:val="single" w:sz="4" w:space="0" w:color="000000"/>
            </w:tcBorders>
            <w:shd w:val="clear" w:color="auto" w:fill="auto"/>
            <w:hideMark/>
          </w:tcPr>
          <w:p w:rsidR="005D6ACF" w:rsidRPr="000303D3" w:rsidRDefault="005D6ACF" w:rsidP="008A253E">
            <w:pPr>
              <w:jc w:val="center"/>
              <w:rPr>
                <w:sz w:val="20"/>
                <w:szCs w:val="20"/>
              </w:rPr>
            </w:pPr>
            <w:r w:rsidRPr="000303D3">
              <w:rPr>
                <w:sz w:val="20"/>
                <w:szCs w:val="20"/>
              </w:rPr>
              <w:t>575,34</w:t>
            </w:r>
          </w:p>
        </w:tc>
        <w:tc>
          <w:tcPr>
            <w:tcW w:w="1147" w:type="dxa"/>
            <w:tcBorders>
              <w:top w:val="nil"/>
              <w:left w:val="nil"/>
              <w:bottom w:val="nil"/>
              <w:right w:val="single" w:sz="4" w:space="0" w:color="000000"/>
            </w:tcBorders>
            <w:shd w:val="clear" w:color="auto" w:fill="auto"/>
            <w:hideMark/>
          </w:tcPr>
          <w:p w:rsidR="005D6ACF" w:rsidRPr="000303D3" w:rsidRDefault="005D6ACF" w:rsidP="008A253E">
            <w:pPr>
              <w:jc w:val="center"/>
              <w:rPr>
                <w:sz w:val="20"/>
                <w:szCs w:val="20"/>
              </w:rPr>
            </w:pPr>
            <w:r w:rsidRPr="000303D3">
              <w:rPr>
                <w:sz w:val="20"/>
                <w:szCs w:val="20"/>
              </w:rPr>
              <w:t>594,52</w:t>
            </w:r>
          </w:p>
        </w:tc>
        <w:tc>
          <w:tcPr>
            <w:tcW w:w="1147" w:type="dxa"/>
            <w:tcBorders>
              <w:top w:val="nil"/>
              <w:left w:val="nil"/>
              <w:bottom w:val="nil"/>
              <w:right w:val="single" w:sz="4" w:space="0" w:color="000000"/>
            </w:tcBorders>
            <w:shd w:val="clear" w:color="auto" w:fill="auto"/>
            <w:hideMark/>
          </w:tcPr>
          <w:p w:rsidR="005D6ACF" w:rsidRPr="000303D3" w:rsidRDefault="005D6ACF" w:rsidP="008A253E">
            <w:pPr>
              <w:jc w:val="center"/>
              <w:rPr>
                <w:sz w:val="20"/>
                <w:szCs w:val="20"/>
              </w:rPr>
            </w:pPr>
            <w:r w:rsidRPr="000303D3">
              <w:rPr>
                <w:sz w:val="20"/>
                <w:szCs w:val="20"/>
              </w:rPr>
              <w:t>575,34</w:t>
            </w:r>
          </w:p>
        </w:tc>
        <w:tc>
          <w:tcPr>
            <w:tcW w:w="1146" w:type="dxa"/>
            <w:tcBorders>
              <w:top w:val="nil"/>
              <w:left w:val="nil"/>
              <w:bottom w:val="nil"/>
              <w:right w:val="single" w:sz="4" w:space="0" w:color="000000"/>
            </w:tcBorders>
            <w:shd w:val="clear" w:color="auto" w:fill="auto"/>
            <w:hideMark/>
          </w:tcPr>
          <w:p w:rsidR="005D6ACF" w:rsidRPr="000303D3" w:rsidRDefault="005D6ACF" w:rsidP="008A253E">
            <w:pPr>
              <w:jc w:val="center"/>
              <w:rPr>
                <w:sz w:val="20"/>
                <w:szCs w:val="20"/>
              </w:rPr>
            </w:pPr>
            <w:r w:rsidRPr="000303D3">
              <w:rPr>
                <w:sz w:val="20"/>
                <w:szCs w:val="20"/>
              </w:rPr>
              <w:t>594,52</w:t>
            </w:r>
          </w:p>
        </w:tc>
        <w:tc>
          <w:tcPr>
            <w:tcW w:w="1147" w:type="dxa"/>
            <w:tcBorders>
              <w:top w:val="nil"/>
              <w:left w:val="nil"/>
              <w:bottom w:val="nil"/>
              <w:right w:val="single" w:sz="4" w:space="0" w:color="000000"/>
            </w:tcBorders>
            <w:shd w:val="clear" w:color="auto" w:fill="auto"/>
            <w:hideMark/>
          </w:tcPr>
          <w:p w:rsidR="005D6ACF" w:rsidRPr="000303D3" w:rsidRDefault="005D6ACF" w:rsidP="008A253E">
            <w:pPr>
              <w:jc w:val="center"/>
              <w:rPr>
                <w:sz w:val="20"/>
                <w:szCs w:val="20"/>
              </w:rPr>
            </w:pPr>
            <w:r w:rsidRPr="000303D3">
              <w:rPr>
                <w:sz w:val="20"/>
                <w:szCs w:val="20"/>
              </w:rPr>
              <w:t>594,52</w:t>
            </w:r>
          </w:p>
        </w:tc>
        <w:tc>
          <w:tcPr>
            <w:tcW w:w="1147" w:type="dxa"/>
            <w:tcBorders>
              <w:top w:val="nil"/>
              <w:left w:val="nil"/>
              <w:bottom w:val="nil"/>
              <w:right w:val="single" w:sz="4" w:space="0" w:color="000000"/>
            </w:tcBorders>
            <w:shd w:val="clear" w:color="auto" w:fill="auto"/>
            <w:hideMark/>
          </w:tcPr>
          <w:p w:rsidR="005D6ACF" w:rsidRPr="000303D3" w:rsidRDefault="005D6ACF" w:rsidP="008A253E">
            <w:pPr>
              <w:jc w:val="center"/>
              <w:rPr>
                <w:sz w:val="20"/>
                <w:szCs w:val="20"/>
              </w:rPr>
            </w:pPr>
            <w:r w:rsidRPr="000303D3">
              <w:rPr>
                <w:sz w:val="20"/>
                <w:szCs w:val="20"/>
              </w:rPr>
              <w:t>575,34</w:t>
            </w:r>
          </w:p>
        </w:tc>
        <w:tc>
          <w:tcPr>
            <w:tcW w:w="1147" w:type="dxa"/>
            <w:tcBorders>
              <w:top w:val="nil"/>
              <w:left w:val="nil"/>
              <w:bottom w:val="nil"/>
              <w:right w:val="single" w:sz="4" w:space="0" w:color="000000"/>
            </w:tcBorders>
            <w:shd w:val="clear" w:color="auto" w:fill="auto"/>
            <w:hideMark/>
          </w:tcPr>
          <w:p w:rsidR="005D6ACF" w:rsidRPr="000303D3" w:rsidRDefault="005D6ACF" w:rsidP="008A253E">
            <w:pPr>
              <w:jc w:val="center"/>
              <w:rPr>
                <w:sz w:val="20"/>
                <w:szCs w:val="20"/>
              </w:rPr>
            </w:pPr>
            <w:r w:rsidRPr="000303D3">
              <w:rPr>
                <w:sz w:val="20"/>
                <w:szCs w:val="20"/>
              </w:rPr>
              <w:t>594,52</w:t>
            </w:r>
          </w:p>
        </w:tc>
        <w:tc>
          <w:tcPr>
            <w:tcW w:w="1148" w:type="dxa"/>
            <w:tcBorders>
              <w:top w:val="nil"/>
              <w:left w:val="nil"/>
              <w:bottom w:val="nil"/>
              <w:right w:val="single" w:sz="4" w:space="0" w:color="000000"/>
            </w:tcBorders>
            <w:shd w:val="clear" w:color="auto" w:fill="auto"/>
            <w:hideMark/>
          </w:tcPr>
          <w:p w:rsidR="005D6ACF" w:rsidRPr="000303D3" w:rsidRDefault="005D6ACF" w:rsidP="008A253E">
            <w:pPr>
              <w:jc w:val="center"/>
              <w:rPr>
                <w:sz w:val="20"/>
                <w:szCs w:val="20"/>
              </w:rPr>
            </w:pPr>
            <w:r w:rsidRPr="000303D3">
              <w:rPr>
                <w:sz w:val="20"/>
                <w:szCs w:val="20"/>
              </w:rPr>
              <w:t>575,34</w:t>
            </w:r>
          </w:p>
        </w:tc>
        <w:tc>
          <w:tcPr>
            <w:tcW w:w="1154" w:type="dxa"/>
            <w:tcBorders>
              <w:top w:val="nil"/>
              <w:left w:val="nil"/>
              <w:bottom w:val="nil"/>
              <w:right w:val="single" w:sz="4" w:space="0" w:color="000000"/>
            </w:tcBorders>
            <w:shd w:val="clear" w:color="auto" w:fill="auto"/>
            <w:hideMark/>
          </w:tcPr>
          <w:p w:rsidR="005D6ACF" w:rsidRPr="000303D3" w:rsidRDefault="005D6ACF" w:rsidP="008A253E">
            <w:pPr>
              <w:jc w:val="center"/>
              <w:rPr>
                <w:sz w:val="20"/>
                <w:szCs w:val="20"/>
              </w:rPr>
            </w:pPr>
            <w:r w:rsidRPr="000303D3">
              <w:rPr>
                <w:sz w:val="20"/>
                <w:szCs w:val="20"/>
              </w:rPr>
              <w:t>594,52</w:t>
            </w:r>
          </w:p>
        </w:tc>
        <w:tc>
          <w:tcPr>
            <w:tcW w:w="1150" w:type="dxa"/>
            <w:tcBorders>
              <w:top w:val="nil"/>
              <w:left w:val="nil"/>
              <w:bottom w:val="nil"/>
              <w:right w:val="single" w:sz="4" w:space="0" w:color="000000"/>
            </w:tcBorders>
            <w:shd w:val="clear" w:color="auto" w:fill="auto"/>
            <w:hideMark/>
          </w:tcPr>
          <w:p w:rsidR="005D6ACF" w:rsidRPr="000303D3" w:rsidRDefault="005D6ACF" w:rsidP="008A253E">
            <w:pPr>
              <w:jc w:val="center"/>
              <w:rPr>
                <w:sz w:val="20"/>
                <w:szCs w:val="20"/>
              </w:rPr>
            </w:pPr>
            <w:r w:rsidRPr="000303D3">
              <w:rPr>
                <w:sz w:val="20"/>
                <w:szCs w:val="20"/>
              </w:rPr>
              <w:t>6 999,99</w:t>
            </w:r>
          </w:p>
        </w:tc>
      </w:tr>
      <w:tr w:rsidR="005D6ACF" w:rsidRPr="00FA2873" w:rsidTr="008A253E">
        <w:trPr>
          <w:trHeight w:val="169"/>
        </w:trPr>
        <w:tc>
          <w:tcPr>
            <w:tcW w:w="1432" w:type="dxa"/>
            <w:tcBorders>
              <w:top w:val="single" w:sz="4" w:space="0" w:color="000000"/>
              <w:left w:val="nil"/>
              <w:bottom w:val="nil"/>
              <w:right w:val="single" w:sz="4" w:space="0" w:color="000000"/>
            </w:tcBorders>
            <w:shd w:val="clear" w:color="auto" w:fill="auto"/>
            <w:hideMark/>
          </w:tcPr>
          <w:p w:rsidR="005D6ACF" w:rsidRPr="00496902" w:rsidRDefault="005D6ACF" w:rsidP="008A253E">
            <w:pPr>
              <w:jc w:val="center"/>
              <w:rPr>
                <w:sz w:val="20"/>
                <w:szCs w:val="20"/>
              </w:rPr>
            </w:pPr>
            <w:r w:rsidRPr="00496902">
              <w:rPr>
                <w:sz w:val="20"/>
                <w:szCs w:val="20"/>
              </w:rPr>
              <w:t>№2 от 20.04.2021</w:t>
            </w:r>
          </w:p>
        </w:tc>
        <w:tc>
          <w:tcPr>
            <w:tcW w:w="1146" w:type="dxa"/>
            <w:tcBorders>
              <w:top w:val="single" w:sz="4" w:space="0" w:color="000000"/>
              <w:left w:val="nil"/>
              <w:bottom w:val="nil"/>
              <w:right w:val="single" w:sz="4" w:space="0" w:color="000000"/>
            </w:tcBorders>
            <w:shd w:val="clear" w:color="auto" w:fill="auto"/>
            <w:hideMark/>
          </w:tcPr>
          <w:p w:rsidR="005D6ACF" w:rsidRPr="000303D3" w:rsidRDefault="005D6ACF" w:rsidP="008A253E">
            <w:pPr>
              <w:jc w:val="center"/>
              <w:rPr>
                <w:sz w:val="20"/>
                <w:szCs w:val="20"/>
              </w:rPr>
            </w:pPr>
            <w:r w:rsidRPr="000303D3">
              <w:rPr>
                <w:sz w:val="20"/>
                <w:szCs w:val="20"/>
              </w:rPr>
              <w:t>2 804,22</w:t>
            </w:r>
          </w:p>
        </w:tc>
        <w:tc>
          <w:tcPr>
            <w:tcW w:w="1146" w:type="dxa"/>
            <w:tcBorders>
              <w:top w:val="single" w:sz="4" w:space="0" w:color="000000"/>
              <w:left w:val="nil"/>
              <w:bottom w:val="nil"/>
              <w:right w:val="single" w:sz="4" w:space="0" w:color="000000"/>
            </w:tcBorders>
            <w:shd w:val="clear" w:color="auto" w:fill="auto"/>
            <w:hideMark/>
          </w:tcPr>
          <w:p w:rsidR="005D6ACF" w:rsidRPr="000303D3" w:rsidRDefault="005D6ACF" w:rsidP="008A253E">
            <w:pPr>
              <w:jc w:val="center"/>
              <w:rPr>
                <w:sz w:val="20"/>
                <w:szCs w:val="20"/>
              </w:rPr>
            </w:pPr>
            <w:r w:rsidRPr="000303D3">
              <w:rPr>
                <w:sz w:val="20"/>
                <w:szCs w:val="20"/>
              </w:rPr>
              <w:t>2 532,84</w:t>
            </w:r>
          </w:p>
        </w:tc>
        <w:tc>
          <w:tcPr>
            <w:tcW w:w="1146" w:type="dxa"/>
            <w:tcBorders>
              <w:top w:val="single" w:sz="4" w:space="0" w:color="000000"/>
              <w:left w:val="nil"/>
              <w:bottom w:val="nil"/>
              <w:right w:val="single" w:sz="4" w:space="0" w:color="000000"/>
            </w:tcBorders>
            <w:shd w:val="clear" w:color="auto" w:fill="auto"/>
            <w:hideMark/>
          </w:tcPr>
          <w:p w:rsidR="005D6ACF" w:rsidRPr="000303D3" w:rsidRDefault="005D6ACF" w:rsidP="008A253E">
            <w:pPr>
              <w:jc w:val="center"/>
              <w:rPr>
                <w:sz w:val="20"/>
                <w:szCs w:val="20"/>
              </w:rPr>
            </w:pPr>
            <w:r w:rsidRPr="000303D3">
              <w:rPr>
                <w:sz w:val="20"/>
                <w:szCs w:val="20"/>
              </w:rPr>
              <w:t>2 804,22</w:t>
            </w:r>
          </w:p>
        </w:tc>
        <w:tc>
          <w:tcPr>
            <w:tcW w:w="1146" w:type="dxa"/>
            <w:tcBorders>
              <w:top w:val="single" w:sz="4" w:space="0" w:color="000000"/>
              <w:left w:val="nil"/>
              <w:bottom w:val="nil"/>
              <w:right w:val="single" w:sz="4" w:space="0" w:color="000000"/>
            </w:tcBorders>
            <w:shd w:val="clear" w:color="auto" w:fill="auto"/>
            <w:hideMark/>
          </w:tcPr>
          <w:p w:rsidR="005D6ACF" w:rsidRPr="000303D3" w:rsidRDefault="005D6ACF" w:rsidP="008A253E">
            <w:pPr>
              <w:jc w:val="center"/>
              <w:rPr>
                <w:sz w:val="20"/>
                <w:szCs w:val="20"/>
              </w:rPr>
            </w:pPr>
            <w:r w:rsidRPr="000303D3">
              <w:rPr>
                <w:sz w:val="20"/>
                <w:szCs w:val="20"/>
              </w:rPr>
              <w:t>2 713,76</w:t>
            </w:r>
          </w:p>
        </w:tc>
        <w:tc>
          <w:tcPr>
            <w:tcW w:w="1147" w:type="dxa"/>
            <w:tcBorders>
              <w:top w:val="single" w:sz="4" w:space="0" w:color="000000"/>
              <w:left w:val="nil"/>
              <w:bottom w:val="nil"/>
              <w:right w:val="single" w:sz="4" w:space="0" w:color="000000"/>
            </w:tcBorders>
            <w:shd w:val="clear" w:color="auto" w:fill="auto"/>
            <w:hideMark/>
          </w:tcPr>
          <w:p w:rsidR="005D6ACF" w:rsidRPr="000303D3" w:rsidRDefault="005D6ACF" w:rsidP="008A253E">
            <w:pPr>
              <w:jc w:val="center"/>
              <w:rPr>
                <w:sz w:val="20"/>
                <w:szCs w:val="20"/>
              </w:rPr>
            </w:pPr>
            <w:r w:rsidRPr="000303D3">
              <w:rPr>
                <w:sz w:val="20"/>
                <w:szCs w:val="20"/>
              </w:rPr>
              <w:t>2 804,22</w:t>
            </w:r>
          </w:p>
        </w:tc>
        <w:tc>
          <w:tcPr>
            <w:tcW w:w="1147" w:type="dxa"/>
            <w:tcBorders>
              <w:top w:val="single" w:sz="4" w:space="0" w:color="000000"/>
              <w:left w:val="nil"/>
              <w:bottom w:val="nil"/>
              <w:right w:val="single" w:sz="4" w:space="0" w:color="000000"/>
            </w:tcBorders>
            <w:shd w:val="clear" w:color="auto" w:fill="auto"/>
            <w:hideMark/>
          </w:tcPr>
          <w:p w:rsidR="005D6ACF" w:rsidRPr="000303D3" w:rsidRDefault="005D6ACF" w:rsidP="008A253E">
            <w:pPr>
              <w:jc w:val="center"/>
              <w:rPr>
                <w:sz w:val="20"/>
                <w:szCs w:val="20"/>
              </w:rPr>
            </w:pPr>
            <w:r w:rsidRPr="000303D3">
              <w:rPr>
                <w:sz w:val="20"/>
                <w:szCs w:val="20"/>
              </w:rPr>
              <w:t>2 713,76</w:t>
            </w:r>
          </w:p>
        </w:tc>
        <w:tc>
          <w:tcPr>
            <w:tcW w:w="1146" w:type="dxa"/>
            <w:tcBorders>
              <w:top w:val="single" w:sz="4" w:space="0" w:color="000000"/>
              <w:left w:val="nil"/>
              <w:bottom w:val="nil"/>
              <w:right w:val="single" w:sz="4" w:space="0" w:color="000000"/>
            </w:tcBorders>
            <w:shd w:val="clear" w:color="auto" w:fill="auto"/>
            <w:hideMark/>
          </w:tcPr>
          <w:p w:rsidR="005D6ACF" w:rsidRPr="000303D3" w:rsidRDefault="005D6ACF" w:rsidP="008A253E">
            <w:pPr>
              <w:jc w:val="center"/>
              <w:rPr>
                <w:sz w:val="20"/>
                <w:szCs w:val="20"/>
              </w:rPr>
            </w:pPr>
            <w:r w:rsidRPr="000303D3">
              <w:rPr>
                <w:sz w:val="20"/>
                <w:szCs w:val="20"/>
              </w:rPr>
              <w:t>2 804,22</w:t>
            </w:r>
          </w:p>
        </w:tc>
        <w:tc>
          <w:tcPr>
            <w:tcW w:w="1147" w:type="dxa"/>
            <w:tcBorders>
              <w:top w:val="single" w:sz="4" w:space="0" w:color="000000"/>
              <w:left w:val="nil"/>
              <w:bottom w:val="nil"/>
              <w:right w:val="single" w:sz="4" w:space="0" w:color="000000"/>
            </w:tcBorders>
            <w:shd w:val="clear" w:color="auto" w:fill="auto"/>
            <w:hideMark/>
          </w:tcPr>
          <w:p w:rsidR="005D6ACF" w:rsidRPr="000303D3" w:rsidRDefault="005D6ACF" w:rsidP="008A253E">
            <w:pPr>
              <w:jc w:val="center"/>
              <w:rPr>
                <w:sz w:val="20"/>
                <w:szCs w:val="20"/>
              </w:rPr>
            </w:pPr>
            <w:r w:rsidRPr="000303D3">
              <w:rPr>
                <w:sz w:val="20"/>
                <w:szCs w:val="20"/>
              </w:rPr>
              <w:t>2 804,22</w:t>
            </w:r>
          </w:p>
        </w:tc>
        <w:tc>
          <w:tcPr>
            <w:tcW w:w="1147" w:type="dxa"/>
            <w:tcBorders>
              <w:top w:val="single" w:sz="4" w:space="0" w:color="000000"/>
              <w:left w:val="nil"/>
              <w:bottom w:val="nil"/>
              <w:right w:val="single" w:sz="4" w:space="0" w:color="000000"/>
            </w:tcBorders>
            <w:shd w:val="clear" w:color="auto" w:fill="auto"/>
            <w:hideMark/>
          </w:tcPr>
          <w:p w:rsidR="005D6ACF" w:rsidRPr="000303D3" w:rsidRDefault="005D6ACF" w:rsidP="008A253E">
            <w:pPr>
              <w:jc w:val="center"/>
              <w:rPr>
                <w:sz w:val="20"/>
                <w:szCs w:val="20"/>
              </w:rPr>
            </w:pPr>
            <w:r w:rsidRPr="000303D3">
              <w:rPr>
                <w:sz w:val="20"/>
                <w:szCs w:val="20"/>
              </w:rPr>
              <w:t>2 713,76</w:t>
            </w:r>
          </w:p>
        </w:tc>
        <w:tc>
          <w:tcPr>
            <w:tcW w:w="1147" w:type="dxa"/>
            <w:tcBorders>
              <w:top w:val="single" w:sz="4" w:space="0" w:color="000000"/>
              <w:left w:val="nil"/>
              <w:bottom w:val="nil"/>
              <w:right w:val="single" w:sz="4" w:space="0" w:color="000000"/>
            </w:tcBorders>
            <w:shd w:val="clear" w:color="auto" w:fill="auto"/>
            <w:hideMark/>
          </w:tcPr>
          <w:p w:rsidR="005D6ACF" w:rsidRPr="000303D3" w:rsidRDefault="005D6ACF" w:rsidP="008A253E">
            <w:pPr>
              <w:jc w:val="center"/>
              <w:rPr>
                <w:sz w:val="20"/>
                <w:szCs w:val="20"/>
              </w:rPr>
            </w:pPr>
            <w:r w:rsidRPr="000303D3">
              <w:rPr>
                <w:sz w:val="20"/>
                <w:szCs w:val="20"/>
              </w:rPr>
              <w:t>2 804,22</w:t>
            </w:r>
          </w:p>
        </w:tc>
        <w:tc>
          <w:tcPr>
            <w:tcW w:w="1148" w:type="dxa"/>
            <w:tcBorders>
              <w:top w:val="single" w:sz="4" w:space="0" w:color="000000"/>
              <w:left w:val="nil"/>
              <w:bottom w:val="nil"/>
              <w:right w:val="single" w:sz="4" w:space="0" w:color="000000"/>
            </w:tcBorders>
            <w:shd w:val="clear" w:color="auto" w:fill="auto"/>
            <w:hideMark/>
          </w:tcPr>
          <w:p w:rsidR="005D6ACF" w:rsidRPr="000303D3" w:rsidRDefault="005D6ACF" w:rsidP="008A253E">
            <w:pPr>
              <w:jc w:val="center"/>
              <w:rPr>
                <w:sz w:val="20"/>
                <w:szCs w:val="20"/>
              </w:rPr>
            </w:pPr>
            <w:r w:rsidRPr="000303D3">
              <w:rPr>
                <w:sz w:val="20"/>
                <w:szCs w:val="20"/>
              </w:rPr>
              <w:t>2 713,76</w:t>
            </w:r>
          </w:p>
        </w:tc>
        <w:tc>
          <w:tcPr>
            <w:tcW w:w="1154" w:type="dxa"/>
            <w:tcBorders>
              <w:top w:val="single" w:sz="4" w:space="0" w:color="000000"/>
              <w:left w:val="nil"/>
              <w:bottom w:val="nil"/>
              <w:right w:val="single" w:sz="4" w:space="0" w:color="000000"/>
            </w:tcBorders>
            <w:shd w:val="clear" w:color="auto" w:fill="auto"/>
            <w:hideMark/>
          </w:tcPr>
          <w:p w:rsidR="005D6ACF" w:rsidRPr="000303D3" w:rsidRDefault="005D6ACF" w:rsidP="008A253E">
            <w:pPr>
              <w:jc w:val="center"/>
              <w:rPr>
                <w:sz w:val="20"/>
                <w:szCs w:val="20"/>
              </w:rPr>
            </w:pPr>
            <w:r w:rsidRPr="000303D3">
              <w:rPr>
                <w:sz w:val="20"/>
                <w:szCs w:val="20"/>
              </w:rPr>
              <w:t>2 485,05</w:t>
            </w:r>
          </w:p>
        </w:tc>
        <w:tc>
          <w:tcPr>
            <w:tcW w:w="1150" w:type="dxa"/>
            <w:tcBorders>
              <w:top w:val="single" w:sz="4" w:space="0" w:color="000000"/>
              <w:left w:val="nil"/>
              <w:bottom w:val="nil"/>
              <w:right w:val="single" w:sz="4" w:space="0" w:color="000000"/>
            </w:tcBorders>
            <w:shd w:val="clear" w:color="auto" w:fill="auto"/>
            <w:hideMark/>
          </w:tcPr>
          <w:p w:rsidR="005D6ACF" w:rsidRPr="000303D3" w:rsidRDefault="005D6ACF" w:rsidP="008A253E">
            <w:pPr>
              <w:jc w:val="center"/>
              <w:rPr>
                <w:sz w:val="20"/>
                <w:szCs w:val="20"/>
              </w:rPr>
            </w:pPr>
            <w:r w:rsidRPr="000303D3">
              <w:rPr>
                <w:sz w:val="20"/>
                <w:szCs w:val="20"/>
              </w:rPr>
              <w:t>32 698,25</w:t>
            </w:r>
          </w:p>
        </w:tc>
      </w:tr>
      <w:tr w:rsidR="005D6ACF" w:rsidRPr="00FA2873" w:rsidTr="008A253E">
        <w:trPr>
          <w:trHeight w:val="169"/>
        </w:trPr>
        <w:tc>
          <w:tcPr>
            <w:tcW w:w="1432" w:type="dxa"/>
            <w:tcBorders>
              <w:top w:val="single" w:sz="4" w:space="0" w:color="000000"/>
              <w:left w:val="nil"/>
              <w:bottom w:val="single" w:sz="4" w:space="0" w:color="000000"/>
              <w:right w:val="single" w:sz="4" w:space="0" w:color="000000"/>
            </w:tcBorders>
            <w:shd w:val="clear" w:color="auto" w:fill="auto"/>
            <w:hideMark/>
          </w:tcPr>
          <w:p w:rsidR="005D6ACF" w:rsidRPr="00FA2873" w:rsidRDefault="005D6ACF" w:rsidP="008A253E">
            <w:pPr>
              <w:jc w:val="center"/>
              <w:rPr>
                <w:color w:val="000000"/>
                <w:sz w:val="20"/>
                <w:szCs w:val="20"/>
              </w:rPr>
            </w:pPr>
            <w:r w:rsidRPr="00FA2873">
              <w:rPr>
                <w:color w:val="000000"/>
                <w:sz w:val="20"/>
                <w:szCs w:val="20"/>
              </w:rPr>
              <w:t> </w:t>
            </w:r>
          </w:p>
        </w:tc>
        <w:tc>
          <w:tcPr>
            <w:tcW w:w="1146" w:type="dxa"/>
            <w:tcBorders>
              <w:top w:val="single" w:sz="4" w:space="0" w:color="000000"/>
              <w:left w:val="nil"/>
              <w:bottom w:val="single" w:sz="4" w:space="0" w:color="000000"/>
              <w:right w:val="single" w:sz="4" w:space="0" w:color="000000"/>
            </w:tcBorders>
            <w:shd w:val="clear" w:color="auto" w:fill="auto"/>
            <w:hideMark/>
          </w:tcPr>
          <w:p w:rsidR="005D6ACF" w:rsidRPr="000303D3" w:rsidRDefault="005D6ACF" w:rsidP="008A253E">
            <w:pPr>
              <w:jc w:val="center"/>
              <w:rPr>
                <w:sz w:val="20"/>
                <w:szCs w:val="20"/>
              </w:rPr>
            </w:pPr>
            <w:r w:rsidRPr="000303D3">
              <w:rPr>
                <w:sz w:val="20"/>
                <w:szCs w:val="20"/>
              </w:rPr>
              <w:t>3 398,74</w:t>
            </w:r>
          </w:p>
        </w:tc>
        <w:tc>
          <w:tcPr>
            <w:tcW w:w="1146" w:type="dxa"/>
            <w:tcBorders>
              <w:top w:val="single" w:sz="4" w:space="0" w:color="000000"/>
              <w:left w:val="nil"/>
              <w:bottom w:val="single" w:sz="4" w:space="0" w:color="000000"/>
              <w:right w:val="single" w:sz="4" w:space="0" w:color="000000"/>
            </w:tcBorders>
            <w:shd w:val="clear" w:color="auto" w:fill="auto"/>
            <w:hideMark/>
          </w:tcPr>
          <w:p w:rsidR="005D6ACF" w:rsidRPr="000303D3" w:rsidRDefault="005D6ACF" w:rsidP="008A253E">
            <w:pPr>
              <w:jc w:val="center"/>
              <w:rPr>
                <w:sz w:val="20"/>
                <w:szCs w:val="20"/>
              </w:rPr>
            </w:pPr>
            <w:r w:rsidRPr="000303D3">
              <w:rPr>
                <w:sz w:val="20"/>
                <w:szCs w:val="20"/>
              </w:rPr>
              <w:t>3 069,83</w:t>
            </w:r>
          </w:p>
        </w:tc>
        <w:tc>
          <w:tcPr>
            <w:tcW w:w="1146" w:type="dxa"/>
            <w:tcBorders>
              <w:top w:val="single" w:sz="4" w:space="0" w:color="000000"/>
              <w:left w:val="nil"/>
              <w:bottom w:val="single" w:sz="4" w:space="0" w:color="000000"/>
              <w:right w:val="single" w:sz="4" w:space="0" w:color="000000"/>
            </w:tcBorders>
            <w:shd w:val="clear" w:color="auto" w:fill="auto"/>
            <w:hideMark/>
          </w:tcPr>
          <w:p w:rsidR="005D6ACF" w:rsidRPr="000303D3" w:rsidRDefault="005D6ACF" w:rsidP="008A253E">
            <w:pPr>
              <w:jc w:val="center"/>
              <w:rPr>
                <w:sz w:val="20"/>
                <w:szCs w:val="20"/>
              </w:rPr>
            </w:pPr>
            <w:r w:rsidRPr="000303D3">
              <w:rPr>
                <w:sz w:val="20"/>
                <w:szCs w:val="20"/>
              </w:rPr>
              <w:t>3 398,74</w:t>
            </w:r>
          </w:p>
        </w:tc>
        <w:tc>
          <w:tcPr>
            <w:tcW w:w="1146" w:type="dxa"/>
            <w:tcBorders>
              <w:top w:val="single" w:sz="4" w:space="0" w:color="000000"/>
              <w:left w:val="nil"/>
              <w:bottom w:val="single" w:sz="4" w:space="0" w:color="000000"/>
              <w:right w:val="single" w:sz="4" w:space="0" w:color="000000"/>
            </w:tcBorders>
            <w:shd w:val="clear" w:color="auto" w:fill="auto"/>
            <w:hideMark/>
          </w:tcPr>
          <w:p w:rsidR="005D6ACF" w:rsidRPr="000303D3" w:rsidRDefault="005D6ACF" w:rsidP="008A253E">
            <w:pPr>
              <w:jc w:val="center"/>
              <w:rPr>
                <w:sz w:val="20"/>
                <w:szCs w:val="20"/>
              </w:rPr>
            </w:pPr>
            <w:r w:rsidRPr="000303D3">
              <w:rPr>
                <w:sz w:val="20"/>
                <w:szCs w:val="20"/>
              </w:rPr>
              <w:t>3 289,10</w:t>
            </w:r>
          </w:p>
        </w:tc>
        <w:tc>
          <w:tcPr>
            <w:tcW w:w="1147" w:type="dxa"/>
            <w:tcBorders>
              <w:top w:val="single" w:sz="4" w:space="0" w:color="000000"/>
              <w:left w:val="nil"/>
              <w:bottom w:val="single" w:sz="4" w:space="0" w:color="000000"/>
              <w:right w:val="single" w:sz="4" w:space="0" w:color="000000"/>
            </w:tcBorders>
            <w:shd w:val="clear" w:color="auto" w:fill="auto"/>
            <w:hideMark/>
          </w:tcPr>
          <w:p w:rsidR="005D6ACF" w:rsidRPr="000303D3" w:rsidRDefault="005D6ACF" w:rsidP="008A253E">
            <w:pPr>
              <w:jc w:val="center"/>
              <w:rPr>
                <w:sz w:val="20"/>
                <w:szCs w:val="20"/>
              </w:rPr>
            </w:pPr>
            <w:r w:rsidRPr="000303D3">
              <w:rPr>
                <w:sz w:val="20"/>
                <w:szCs w:val="20"/>
              </w:rPr>
              <w:t>3 398,74</w:t>
            </w:r>
          </w:p>
        </w:tc>
        <w:tc>
          <w:tcPr>
            <w:tcW w:w="1147" w:type="dxa"/>
            <w:tcBorders>
              <w:top w:val="single" w:sz="4" w:space="0" w:color="000000"/>
              <w:left w:val="nil"/>
              <w:bottom w:val="single" w:sz="4" w:space="0" w:color="000000"/>
              <w:right w:val="single" w:sz="4" w:space="0" w:color="000000"/>
            </w:tcBorders>
            <w:shd w:val="clear" w:color="auto" w:fill="auto"/>
            <w:hideMark/>
          </w:tcPr>
          <w:p w:rsidR="005D6ACF" w:rsidRPr="000303D3" w:rsidRDefault="005D6ACF" w:rsidP="008A253E">
            <w:pPr>
              <w:jc w:val="center"/>
              <w:rPr>
                <w:sz w:val="20"/>
                <w:szCs w:val="20"/>
              </w:rPr>
            </w:pPr>
            <w:r w:rsidRPr="000303D3">
              <w:rPr>
                <w:sz w:val="20"/>
                <w:szCs w:val="20"/>
              </w:rPr>
              <w:t>3 289,10</w:t>
            </w:r>
          </w:p>
        </w:tc>
        <w:tc>
          <w:tcPr>
            <w:tcW w:w="1146" w:type="dxa"/>
            <w:tcBorders>
              <w:top w:val="single" w:sz="4" w:space="0" w:color="000000"/>
              <w:left w:val="nil"/>
              <w:bottom w:val="single" w:sz="4" w:space="0" w:color="000000"/>
              <w:right w:val="single" w:sz="4" w:space="0" w:color="000000"/>
            </w:tcBorders>
            <w:shd w:val="clear" w:color="auto" w:fill="auto"/>
            <w:hideMark/>
          </w:tcPr>
          <w:p w:rsidR="005D6ACF" w:rsidRPr="000303D3" w:rsidRDefault="005D6ACF" w:rsidP="008A253E">
            <w:pPr>
              <w:jc w:val="center"/>
              <w:rPr>
                <w:sz w:val="20"/>
                <w:szCs w:val="20"/>
              </w:rPr>
            </w:pPr>
            <w:r w:rsidRPr="000303D3">
              <w:rPr>
                <w:sz w:val="20"/>
                <w:szCs w:val="20"/>
              </w:rPr>
              <w:t>3 398,74</w:t>
            </w:r>
          </w:p>
        </w:tc>
        <w:tc>
          <w:tcPr>
            <w:tcW w:w="1147" w:type="dxa"/>
            <w:tcBorders>
              <w:top w:val="single" w:sz="4" w:space="0" w:color="000000"/>
              <w:left w:val="nil"/>
              <w:bottom w:val="single" w:sz="4" w:space="0" w:color="000000"/>
              <w:right w:val="single" w:sz="4" w:space="0" w:color="000000"/>
            </w:tcBorders>
            <w:shd w:val="clear" w:color="auto" w:fill="auto"/>
            <w:hideMark/>
          </w:tcPr>
          <w:p w:rsidR="005D6ACF" w:rsidRPr="000303D3" w:rsidRDefault="005D6ACF" w:rsidP="008A253E">
            <w:pPr>
              <w:jc w:val="center"/>
              <w:rPr>
                <w:sz w:val="20"/>
                <w:szCs w:val="20"/>
              </w:rPr>
            </w:pPr>
            <w:r w:rsidRPr="000303D3">
              <w:rPr>
                <w:sz w:val="20"/>
                <w:szCs w:val="20"/>
              </w:rPr>
              <w:t>3 398,74</w:t>
            </w:r>
          </w:p>
        </w:tc>
        <w:tc>
          <w:tcPr>
            <w:tcW w:w="1147" w:type="dxa"/>
            <w:tcBorders>
              <w:top w:val="single" w:sz="4" w:space="0" w:color="000000"/>
              <w:left w:val="nil"/>
              <w:bottom w:val="single" w:sz="4" w:space="0" w:color="000000"/>
              <w:right w:val="single" w:sz="4" w:space="0" w:color="000000"/>
            </w:tcBorders>
            <w:shd w:val="clear" w:color="auto" w:fill="auto"/>
            <w:hideMark/>
          </w:tcPr>
          <w:p w:rsidR="005D6ACF" w:rsidRPr="000303D3" w:rsidRDefault="005D6ACF" w:rsidP="008A253E">
            <w:pPr>
              <w:jc w:val="center"/>
              <w:rPr>
                <w:sz w:val="20"/>
                <w:szCs w:val="20"/>
              </w:rPr>
            </w:pPr>
            <w:r w:rsidRPr="000303D3">
              <w:rPr>
                <w:sz w:val="20"/>
                <w:szCs w:val="20"/>
              </w:rPr>
              <w:t>3 289,10</w:t>
            </w:r>
          </w:p>
        </w:tc>
        <w:tc>
          <w:tcPr>
            <w:tcW w:w="1147" w:type="dxa"/>
            <w:tcBorders>
              <w:top w:val="single" w:sz="4" w:space="0" w:color="000000"/>
              <w:left w:val="nil"/>
              <w:bottom w:val="single" w:sz="4" w:space="0" w:color="000000"/>
              <w:right w:val="single" w:sz="4" w:space="0" w:color="000000"/>
            </w:tcBorders>
            <w:shd w:val="clear" w:color="auto" w:fill="auto"/>
            <w:hideMark/>
          </w:tcPr>
          <w:p w:rsidR="005D6ACF" w:rsidRPr="000303D3" w:rsidRDefault="005D6ACF" w:rsidP="008A253E">
            <w:pPr>
              <w:jc w:val="center"/>
              <w:rPr>
                <w:sz w:val="20"/>
                <w:szCs w:val="20"/>
              </w:rPr>
            </w:pPr>
            <w:r w:rsidRPr="000303D3">
              <w:rPr>
                <w:sz w:val="20"/>
                <w:szCs w:val="20"/>
              </w:rPr>
              <w:t>3 398,74</w:t>
            </w:r>
          </w:p>
        </w:tc>
        <w:tc>
          <w:tcPr>
            <w:tcW w:w="1148" w:type="dxa"/>
            <w:tcBorders>
              <w:top w:val="single" w:sz="4" w:space="0" w:color="000000"/>
              <w:left w:val="nil"/>
              <w:bottom w:val="single" w:sz="4" w:space="0" w:color="000000"/>
              <w:right w:val="single" w:sz="4" w:space="0" w:color="000000"/>
            </w:tcBorders>
            <w:shd w:val="clear" w:color="auto" w:fill="auto"/>
            <w:hideMark/>
          </w:tcPr>
          <w:p w:rsidR="005D6ACF" w:rsidRPr="000303D3" w:rsidRDefault="005D6ACF" w:rsidP="008A253E">
            <w:pPr>
              <w:jc w:val="center"/>
              <w:rPr>
                <w:sz w:val="20"/>
                <w:szCs w:val="20"/>
              </w:rPr>
            </w:pPr>
            <w:r w:rsidRPr="000303D3">
              <w:rPr>
                <w:sz w:val="20"/>
                <w:szCs w:val="20"/>
              </w:rPr>
              <w:t>3 289,10</w:t>
            </w:r>
          </w:p>
        </w:tc>
        <w:tc>
          <w:tcPr>
            <w:tcW w:w="1154" w:type="dxa"/>
            <w:tcBorders>
              <w:top w:val="single" w:sz="4" w:space="0" w:color="000000"/>
              <w:left w:val="nil"/>
              <w:bottom w:val="single" w:sz="4" w:space="0" w:color="000000"/>
              <w:right w:val="single" w:sz="4" w:space="0" w:color="000000"/>
            </w:tcBorders>
            <w:shd w:val="clear" w:color="auto" w:fill="auto"/>
            <w:hideMark/>
          </w:tcPr>
          <w:p w:rsidR="005D6ACF" w:rsidRPr="000303D3" w:rsidRDefault="005D6ACF" w:rsidP="008A253E">
            <w:pPr>
              <w:jc w:val="center"/>
              <w:rPr>
                <w:sz w:val="20"/>
                <w:szCs w:val="20"/>
              </w:rPr>
            </w:pPr>
            <w:r w:rsidRPr="000303D3">
              <w:rPr>
                <w:sz w:val="20"/>
                <w:szCs w:val="20"/>
              </w:rPr>
              <w:t>3 079,57</w:t>
            </w:r>
          </w:p>
        </w:tc>
        <w:tc>
          <w:tcPr>
            <w:tcW w:w="1150" w:type="dxa"/>
            <w:tcBorders>
              <w:top w:val="single" w:sz="4" w:space="0" w:color="000000"/>
              <w:left w:val="nil"/>
              <w:bottom w:val="single" w:sz="4" w:space="0" w:color="000000"/>
              <w:right w:val="single" w:sz="4" w:space="0" w:color="000000"/>
            </w:tcBorders>
            <w:shd w:val="clear" w:color="auto" w:fill="auto"/>
            <w:hideMark/>
          </w:tcPr>
          <w:p w:rsidR="005D6ACF" w:rsidRPr="000303D3" w:rsidRDefault="005D6ACF" w:rsidP="008A253E">
            <w:pPr>
              <w:jc w:val="center"/>
              <w:rPr>
                <w:sz w:val="20"/>
                <w:szCs w:val="20"/>
              </w:rPr>
            </w:pPr>
            <w:r w:rsidRPr="000303D3">
              <w:rPr>
                <w:sz w:val="20"/>
                <w:szCs w:val="20"/>
              </w:rPr>
              <w:t>39 698,24</w:t>
            </w:r>
          </w:p>
        </w:tc>
      </w:tr>
      <w:tr w:rsidR="005D6ACF" w:rsidRPr="00FA2873" w:rsidTr="008A253E">
        <w:trPr>
          <w:trHeight w:val="169"/>
        </w:trPr>
        <w:tc>
          <w:tcPr>
            <w:tcW w:w="1432" w:type="dxa"/>
            <w:tcBorders>
              <w:top w:val="nil"/>
              <w:left w:val="nil"/>
              <w:bottom w:val="nil"/>
              <w:right w:val="single" w:sz="4" w:space="0" w:color="000000"/>
            </w:tcBorders>
            <w:shd w:val="clear" w:color="auto" w:fill="auto"/>
            <w:hideMark/>
          </w:tcPr>
          <w:p w:rsidR="005D6ACF" w:rsidRPr="00FA2873" w:rsidRDefault="005D6ACF" w:rsidP="008A253E">
            <w:pPr>
              <w:jc w:val="center"/>
              <w:rPr>
                <w:color w:val="000000"/>
                <w:sz w:val="20"/>
                <w:szCs w:val="20"/>
              </w:rPr>
            </w:pPr>
            <w:r w:rsidRPr="00FA2873">
              <w:rPr>
                <w:color w:val="000000"/>
                <w:sz w:val="20"/>
                <w:szCs w:val="20"/>
              </w:rPr>
              <w:t> </w:t>
            </w:r>
          </w:p>
        </w:tc>
        <w:tc>
          <w:tcPr>
            <w:tcW w:w="1146" w:type="dxa"/>
            <w:tcBorders>
              <w:top w:val="nil"/>
              <w:left w:val="nil"/>
              <w:bottom w:val="nil"/>
              <w:right w:val="single" w:sz="4" w:space="0" w:color="000000"/>
            </w:tcBorders>
            <w:shd w:val="clear" w:color="auto" w:fill="auto"/>
            <w:hideMark/>
          </w:tcPr>
          <w:p w:rsidR="005D6ACF" w:rsidRPr="000303D3" w:rsidRDefault="005D6ACF" w:rsidP="008A253E">
            <w:pPr>
              <w:jc w:val="center"/>
              <w:rPr>
                <w:b/>
                <w:sz w:val="20"/>
                <w:szCs w:val="20"/>
              </w:rPr>
            </w:pPr>
            <w:r w:rsidRPr="000303D3">
              <w:rPr>
                <w:b/>
                <w:sz w:val="20"/>
                <w:szCs w:val="20"/>
              </w:rPr>
              <w:t>10 443,75</w:t>
            </w:r>
          </w:p>
        </w:tc>
        <w:tc>
          <w:tcPr>
            <w:tcW w:w="1146" w:type="dxa"/>
            <w:tcBorders>
              <w:top w:val="nil"/>
              <w:left w:val="nil"/>
              <w:bottom w:val="nil"/>
              <w:right w:val="single" w:sz="4" w:space="0" w:color="000000"/>
            </w:tcBorders>
            <w:shd w:val="clear" w:color="auto" w:fill="auto"/>
            <w:hideMark/>
          </w:tcPr>
          <w:p w:rsidR="005D6ACF" w:rsidRPr="000303D3" w:rsidRDefault="005D6ACF" w:rsidP="008A253E">
            <w:pPr>
              <w:jc w:val="center"/>
              <w:rPr>
                <w:b/>
                <w:sz w:val="20"/>
                <w:szCs w:val="20"/>
              </w:rPr>
            </w:pPr>
            <w:r w:rsidRPr="000303D3">
              <w:rPr>
                <w:b/>
                <w:sz w:val="20"/>
                <w:szCs w:val="20"/>
              </w:rPr>
              <w:t>9 433,05</w:t>
            </w:r>
          </w:p>
        </w:tc>
        <w:tc>
          <w:tcPr>
            <w:tcW w:w="1146" w:type="dxa"/>
            <w:tcBorders>
              <w:top w:val="nil"/>
              <w:left w:val="nil"/>
              <w:bottom w:val="nil"/>
              <w:right w:val="single" w:sz="4" w:space="0" w:color="000000"/>
            </w:tcBorders>
            <w:shd w:val="clear" w:color="auto" w:fill="auto"/>
            <w:hideMark/>
          </w:tcPr>
          <w:p w:rsidR="005D6ACF" w:rsidRPr="000303D3" w:rsidRDefault="005D6ACF" w:rsidP="008A253E">
            <w:pPr>
              <w:jc w:val="center"/>
              <w:rPr>
                <w:b/>
                <w:sz w:val="20"/>
                <w:szCs w:val="20"/>
              </w:rPr>
            </w:pPr>
            <w:r w:rsidRPr="000303D3">
              <w:rPr>
                <w:b/>
                <w:sz w:val="20"/>
                <w:szCs w:val="20"/>
              </w:rPr>
              <w:t>10 443,75</w:t>
            </w:r>
          </w:p>
        </w:tc>
        <w:tc>
          <w:tcPr>
            <w:tcW w:w="1146" w:type="dxa"/>
            <w:tcBorders>
              <w:top w:val="nil"/>
              <w:left w:val="nil"/>
              <w:bottom w:val="nil"/>
              <w:right w:val="single" w:sz="4" w:space="0" w:color="000000"/>
            </w:tcBorders>
            <w:shd w:val="clear" w:color="auto" w:fill="auto"/>
            <w:hideMark/>
          </w:tcPr>
          <w:p w:rsidR="005D6ACF" w:rsidRPr="000303D3" w:rsidRDefault="005D6ACF" w:rsidP="008A253E">
            <w:pPr>
              <w:jc w:val="center"/>
              <w:rPr>
                <w:b/>
                <w:sz w:val="20"/>
                <w:szCs w:val="20"/>
              </w:rPr>
            </w:pPr>
            <w:r w:rsidRPr="000303D3">
              <w:rPr>
                <w:b/>
                <w:sz w:val="20"/>
                <w:szCs w:val="20"/>
              </w:rPr>
              <w:t>10 106,84</w:t>
            </w:r>
          </w:p>
        </w:tc>
        <w:tc>
          <w:tcPr>
            <w:tcW w:w="1147" w:type="dxa"/>
            <w:tcBorders>
              <w:top w:val="nil"/>
              <w:left w:val="nil"/>
              <w:bottom w:val="nil"/>
              <w:right w:val="single" w:sz="4" w:space="0" w:color="000000"/>
            </w:tcBorders>
            <w:shd w:val="clear" w:color="auto" w:fill="auto"/>
            <w:hideMark/>
          </w:tcPr>
          <w:p w:rsidR="005D6ACF" w:rsidRPr="000303D3" w:rsidRDefault="005D6ACF" w:rsidP="008A253E">
            <w:pPr>
              <w:jc w:val="center"/>
              <w:rPr>
                <w:b/>
                <w:sz w:val="20"/>
                <w:szCs w:val="20"/>
              </w:rPr>
            </w:pPr>
            <w:r w:rsidRPr="000303D3">
              <w:rPr>
                <w:b/>
                <w:sz w:val="20"/>
                <w:szCs w:val="20"/>
              </w:rPr>
              <w:t>10 443,75</w:t>
            </w:r>
          </w:p>
        </w:tc>
        <w:tc>
          <w:tcPr>
            <w:tcW w:w="1147" w:type="dxa"/>
            <w:tcBorders>
              <w:top w:val="nil"/>
              <w:left w:val="nil"/>
              <w:bottom w:val="nil"/>
              <w:right w:val="single" w:sz="4" w:space="0" w:color="000000"/>
            </w:tcBorders>
            <w:shd w:val="clear" w:color="auto" w:fill="auto"/>
            <w:hideMark/>
          </w:tcPr>
          <w:p w:rsidR="005D6ACF" w:rsidRPr="000303D3" w:rsidRDefault="005D6ACF" w:rsidP="008A253E">
            <w:pPr>
              <w:jc w:val="center"/>
              <w:rPr>
                <w:b/>
                <w:sz w:val="20"/>
                <w:szCs w:val="20"/>
              </w:rPr>
            </w:pPr>
            <w:r w:rsidRPr="000303D3">
              <w:rPr>
                <w:b/>
                <w:sz w:val="20"/>
                <w:szCs w:val="20"/>
              </w:rPr>
              <w:t>10 106,84</w:t>
            </w:r>
          </w:p>
        </w:tc>
        <w:tc>
          <w:tcPr>
            <w:tcW w:w="1146" w:type="dxa"/>
            <w:tcBorders>
              <w:top w:val="nil"/>
              <w:left w:val="nil"/>
              <w:bottom w:val="nil"/>
              <w:right w:val="single" w:sz="4" w:space="0" w:color="000000"/>
            </w:tcBorders>
            <w:shd w:val="clear" w:color="auto" w:fill="auto"/>
            <w:hideMark/>
          </w:tcPr>
          <w:p w:rsidR="005D6ACF" w:rsidRPr="000303D3" w:rsidRDefault="005D6ACF" w:rsidP="008A253E">
            <w:pPr>
              <w:jc w:val="center"/>
              <w:rPr>
                <w:b/>
                <w:sz w:val="20"/>
                <w:szCs w:val="20"/>
              </w:rPr>
            </w:pPr>
            <w:r w:rsidRPr="000303D3">
              <w:rPr>
                <w:b/>
                <w:sz w:val="20"/>
                <w:szCs w:val="20"/>
              </w:rPr>
              <w:t>10 443,75</w:t>
            </w:r>
          </w:p>
        </w:tc>
        <w:tc>
          <w:tcPr>
            <w:tcW w:w="1147" w:type="dxa"/>
            <w:tcBorders>
              <w:top w:val="nil"/>
              <w:left w:val="nil"/>
              <w:bottom w:val="nil"/>
              <w:right w:val="single" w:sz="4" w:space="0" w:color="000000"/>
            </w:tcBorders>
            <w:shd w:val="clear" w:color="auto" w:fill="auto"/>
            <w:hideMark/>
          </w:tcPr>
          <w:p w:rsidR="005D6ACF" w:rsidRPr="000303D3" w:rsidRDefault="005D6ACF" w:rsidP="008A253E">
            <w:pPr>
              <w:jc w:val="center"/>
              <w:rPr>
                <w:b/>
                <w:sz w:val="20"/>
                <w:szCs w:val="20"/>
              </w:rPr>
            </w:pPr>
            <w:r w:rsidRPr="000303D3">
              <w:rPr>
                <w:b/>
                <w:sz w:val="20"/>
                <w:szCs w:val="20"/>
              </w:rPr>
              <w:t>10 443,75</w:t>
            </w:r>
          </w:p>
        </w:tc>
        <w:tc>
          <w:tcPr>
            <w:tcW w:w="1147" w:type="dxa"/>
            <w:tcBorders>
              <w:top w:val="nil"/>
              <w:left w:val="nil"/>
              <w:bottom w:val="nil"/>
              <w:right w:val="single" w:sz="4" w:space="0" w:color="000000"/>
            </w:tcBorders>
            <w:shd w:val="clear" w:color="auto" w:fill="auto"/>
            <w:hideMark/>
          </w:tcPr>
          <w:p w:rsidR="005D6ACF" w:rsidRPr="000303D3" w:rsidRDefault="005D6ACF" w:rsidP="008A253E">
            <w:pPr>
              <w:jc w:val="center"/>
              <w:rPr>
                <w:b/>
                <w:sz w:val="20"/>
                <w:szCs w:val="20"/>
              </w:rPr>
            </w:pPr>
            <w:r w:rsidRPr="000303D3">
              <w:rPr>
                <w:b/>
                <w:sz w:val="20"/>
                <w:szCs w:val="20"/>
              </w:rPr>
              <w:t>10 106,84</w:t>
            </w:r>
          </w:p>
        </w:tc>
        <w:tc>
          <w:tcPr>
            <w:tcW w:w="1147" w:type="dxa"/>
            <w:tcBorders>
              <w:top w:val="nil"/>
              <w:left w:val="nil"/>
              <w:bottom w:val="nil"/>
              <w:right w:val="single" w:sz="4" w:space="0" w:color="000000"/>
            </w:tcBorders>
            <w:shd w:val="clear" w:color="auto" w:fill="auto"/>
            <w:hideMark/>
          </w:tcPr>
          <w:p w:rsidR="005D6ACF" w:rsidRPr="000303D3" w:rsidRDefault="005D6ACF" w:rsidP="008A253E">
            <w:pPr>
              <w:jc w:val="center"/>
              <w:rPr>
                <w:b/>
                <w:sz w:val="20"/>
                <w:szCs w:val="20"/>
              </w:rPr>
            </w:pPr>
            <w:r w:rsidRPr="000303D3">
              <w:rPr>
                <w:b/>
                <w:sz w:val="20"/>
                <w:szCs w:val="20"/>
              </w:rPr>
              <w:t>10 443,75</w:t>
            </w:r>
          </w:p>
        </w:tc>
        <w:tc>
          <w:tcPr>
            <w:tcW w:w="1148" w:type="dxa"/>
            <w:tcBorders>
              <w:top w:val="nil"/>
              <w:left w:val="nil"/>
              <w:bottom w:val="nil"/>
              <w:right w:val="single" w:sz="4" w:space="0" w:color="000000"/>
            </w:tcBorders>
            <w:shd w:val="clear" w:color="auto" w:fill="auto"/>
            <w:hideMark/>
          </w:tcPr>
          <w:p w:rsidR="005D6ACF" w:rsidRPr="000303D3" w:rsidRDefault="005D6ACF" w:rsidP="008A253E">
            <w:pPr>
              <w:jc w:val="center"/>
              <w:rPr>
                <w:b/>
                <w:sz w:val="20"/>
                <w:szCs w:val="20"/>
              </w:rPr>
            </w:pPr>
            <w:r w:rsidRPr="000303D3">
              <w:rPr>
                <w:b/>
                <w:sz w:val="20"/>
                <w:szCs w:val="20"/>
              </w:rPr>
              <w:t>10 106,84</w:t>
            </w:r>
          </w:p>
        </w:tc>
        <w:tc>
          <w:tcPr>
            <w:tcW w:w="1154" w:type="dxa"/>
            <w:tcBorders>
              <w:top w:val="nil"/>
              <w:left w:val="nil"/>
              <w:bottom w:val="nil"/>
              <w:right w:val="single" w:sz="4" w:space="0" w:color="000000"/>
            </w:tcBorders>
            <w:shd w:val="clear" w:color="auto" w:fill="auto"/>
            <w:hideMark/>
          </w:tcPr>
          <w:p w:rsidR="005D6ACF" w:rsidRPr="000303D3" w:rsidRDefault="005D6ACF" w:rsidP="008A253E">
            <w:pPr>
              <w:jc w:val="center"/>
              <w:rPr>
                <w:b/>
                <w:sz w:val="20"/>
                <w:szCs w:val="20"/>
              </w:rPr>
            </w:pPr>
            <w:r w:rsidRPr="000303D3">
              <w:rPr>
                <w:b/>
                <w:sz w:val="20"/>
                <w:szCs w:val="20"/>
              </w:rPr>
              <w:t>8 587,82</w:t>
            </w:r>
          </w:p>
        </w:tc>
        <w:tc>
          <w:tcPr>
            <w:tcW w:w="1150" w:type="dxa"/>
            <w:tcBorders>
              <w:top w:val="nil"/>
              <w:left w:val="nil"/>
              <w:bottom w:val="nil"/>
              <w:right w:val="single" w:sz="4" w:space="0" w:color="000000"/>
            </w:tcBorders>
            <w:shd w:val="clear" w:color="auto" w:fill="auto"/>
            <w:hideMark/>
          </w:tcPr>
          <w:p w:rsidR="005D6ACF" w:rsidRPr="000303D3" w:rsidRDefault="005D6ACF" w:rsidP="008A253E">
            <w:pPr>
              <w:jc w:val="center"/>
              <w:rPr>
                <w:b/>
                <w:sz w:val="20"/>
                <w:szCs w:val="20"/>
              </w:rPr>
            </w:pPr>
            <w:r w:rsidRPr="000303D3">
              <w:rPr>
                <w:b/>
                <w:sz w:val="20"/>
                <w:szCs w:val="20"/>
              </w:rPr>
              <w:t>121 110,73</w:t>
            </w:r>
          </w:p>
        </w:tc>
      </w:tr>
    </w:tbl>
    <w:p w:rsidR="005D6ACF" w:rsidRPr="00FA2873" w:rsidRDefault="005D6ACF" w:rsidP="005D6ACF">
      <w:pPr>
        <w:pStyle w:val="a4"/>
        <w:ind w:firstLine="0"/>
        <w:rPr>
          <w:b/>
          <w:sz w:val="20"/>
          <w:szCs w:val="20"/>
        </w:rPr>
      </w:pPr>
    </w:p>
    <w:p w:rsidR="005D6ACF" w:rsidRPr="00FA2873" w:rsidRDefault="005D6ACF" w:rsidP="005D6ACF">
      <w:pPr>
        <w:pStyle w:val="a4"/>
        <w:ind w:firstLine="720"/>
        <w:rPr>
          <w:b/>
          <w:sz w:val="22"/>
          <w:szCs w:val="22"/>
        </w:rPr>
      </w:pPr>
    </w:p>
    <w:p w:rsidR="005D6ACF" w:rsidRDefault="005D6ACF" w:rsidP="005D6ACF">
      <w:pPr>
        <w:pStyle w:val="a4"/>
        <w:ind w:firstLine="720"/>
        <w:rPr>
          <w:b/>
          <w:sz w:val="22"/>
          <w:szCs w:val="22"/>
        </w:rPr>
      </w:pPr>
    </w:p>
    <w:p w:rsidR="005D6ACF" w:rsidRDefault="005D6ACF" w:rsidP="005D6ACF">
      <w:pPr>
        <w:pStyle w:val="a4"/>
        <w:ind w:firstLine="720"/>
        <w:rPr>
          <w:b/>
          <w:sz w:val="22"/>
          <w:szCs w:val="22"/>
        </w:rPr>
      </w:pPr>
    </w:p>
    <w:p w:rsidR="005D6ACF" w:rsidRPr="00FA2873" w:rsidRDefault="005D6ACF" w:rsidP="005D6ACF">
      <w:pPr>
        <w:pStyle w:val="a4"/>
        <w:ind w:firstLine="720"/>
        <w:rPr>
          <w:b/>
          <w:sz w:val="22"/>
          <w:szCs w:val="22"/>
        </w:rPr>
      </w:pPr>
    </w:p>
    <w:p w:rsidR="005D6ACF" w:rsidRPr="00FA2873" w:rsidRDefault="005D6ACF" w:rsidP="005D6ACF">
      <w:pPr>
        <w:pStyle w:val="a4"/>
        <w:ind w:firstLine="720"/>
        <w:rPr>
          <w:b/>
          <w:sz w:val="22"/>
          <w:szCs w:val="22"/>
        </w:rPr>
      </w:pPr>
    </w:p>
    <w:p w:rsidR="005D6ACF" w:rsidRPr="00974FB1" w:rsidRDefault="005D6ACF" w:rsidP="005D6ACF">
      <w:pPr>
        <w:jc w:val="center"/>
        <w:rPr>
          <w:b/>
          <w:bCs/>
          <w:sz w:val="22"/>
          <w:szCs w:val="22"/>
        </w:rPr>
      </w:pPr>
    </w:p>
    <w:p w:rsidR="005D6ACF" w:rsidRPr="00974FB1" w:rsidRDefault="005D6ACF" w:rsidP="005D6ACF">
      <w:pPr>
        <w:jc w:val="center"/>
        <w:rPr>
          <w:b/>
          <w:bCs/>
          <w:sz w:val="22"/>
          <w:szCs w:val="22"/>
        </w:rPr>
      </w:pPr>
    </w:p>
    <w:p w:rsidR="005D6ACF" w:rsidRPr="006D37F5" w:rsidRDefault="005D6ACF" w:rsidP="005D6ACF">
      <w:pPr>
        <w:pStyle w:val="a4"/>
        <w:ind w:firstLine="0"/>
        <w:rPr>
          <w:b/>
          <w:sz w:val="22"/>
          <w:szCs w:val="22"/>
        </w:rPr>
      </w:pPr>
    </w:p>
    <w:tbl>
      <w:tblPr>
        <w:tblW w:w="12629" w:type="dxa"/>
        <w:tblInd w:w="970" w:type="dxa"/>
        <w:tblLook w:val="04A0" w:firstRow="1" w:lastRow="0" w:firstColumn="1" w:lastColumn="0" w:noHBand="0" w:noVBand="1"/>
      </w:tblPr>
      <w:tblGrid>
        <w:gridCol w:w="1049"/>
        <w:gridCol w:w="965"/>
        <w:gridCol w:w="2080"/>
        <w:gridCol w:w="1324"/>
        <w:gridCol w:w="1840"/>
        <w:gridCol w:w="2015"/>
        <w:gridCol w:w="1860"/>
        <w:gridCol w:w="1600"/>
      </w:tblGrid>
      <w:tr w:rsidR="005D6ACF" w:rsidRPr="00974FB1" w:rsidTr="008A253E">
        <w:trPr>
          <w:trHeight w:val="540"/>
        </w:trPr>
        <w:tc>
          <w:tcPr>
            <w:tcW w:w="12629" w:type="dxa"/>
            <w:gridSpan w:val="8"/>
            <w:tcBorders>
              <w:top w:val="nil"/>
              <w:left w:val="nil"/>
              <w:bottom w:val="nil"/>
              <w:right w:val="nil"/>
            </w:tcBorders>
            <w:shd w:val="clear" w:color="auto" w:fill="auto"/>
            <w:vAlign w:val="center"/>
            <w:hideMark/>
          </w:tcPr>
          <w:p w:rsidR="005D6ACF" w:rsidRPr="00974FB1" w:rsidRDefault="005D6ACF" w:rsidP="008A253E">
            <w:pPr>
              <w:jc w:val="center"/>
              <w:rPr>
                <w:b/>
                <w:bCs/>
                <w:sz w:val="22"/>
                <w:szCs w:val="22"/>
              </w:rPr>
            </w:pPr>
            <w:r w:rsidRPr="00974FB1">
              <w:rPr>
                <w:b/>
                <w:bCs/>
                <w:sz w:val="22"/>
                <w:szCs w:val="22"/>
              </w:rPr>
              <w:t>Расчет прогноза поступления процентов по бюджетным кредитам в 202</w:t>
            </w:r>
            <w:r>
              <w:rPr>
                <w:b/>
                <w:bCs/>
                <w:sz w:val="22"/>
                <w:szCs w:val="22"/>
              </w:rPr>
              <w:t>2</w:t>
            </w:r>
            <w:r w:rsidRPr="00974FB1">
              <w:rPr>
                <w:b/>
                <w:bCs/>
                <w:sz w:val="22"/>
                <w:szCs w:val="22"/>
              </w:rPr>
              <w:t xml:space="preserve"> году</w:t>
            </w:r>
          </w:p>
        </w:tc>
      </w:tr>
      <w:tr w:rsidR="005D6ACF" w:rsidRPr="00974FB1" w:rsidTr="008A253E">
        <w:trPr>
          <w:trHeight w:val="349"/>
        </w:trPr>
        <w:tc>
          <w:tcPr>
            <w:tcW w:w="7154" w:type="dxa"/>
            <w:gridSpan w:val="5"/>
            <w:tcBorders>
              <w:top w:val="nil"/>
              <w:left w:val="nil"/>
              <w:bottom w:val="nil"/>
              <w:right w:val="nil"/>
            </w:tcBorders>
            <w:shd w:val="clear" w:color="auto" w:fill="auto"/>
            <w:vAlign w:val="center"/>
            <w:hideMark/>
          </w:tcPr>
          <w:p w:rsidR="005D6ACF" w:rsidRPr="00974FB1" w:rsidRDefault="005D6ACF" w:rsidP="008A253E">
            <w:pPr>
              <w:jc w:val="center"/>
              <w:rPr>
                <w:b/>
                <w:bCs/>
                <w:sz w:val="22"/>
                <w:szCs w:val="22"/>
              </w:rPr>
            </w:pPr>
          </w:p>
        </w:tc>
        <w:tc>
          <w:tcPr>
            <w:tcW w:w="2015" w:type="dxa"/>
            <w:tcBorders>
              <w:top w:val="nil"/>
              <w:left w:val="nil"/>
              <w:bottom w:val="nil"/>
              <w:right w:val="nil"/>
            </w:tcBorders>
            <w:shd w:val="clear" w:color="auto" w:fill="auto"/>
            <w:vAlign w:val="center"/>
            <w:hideMark/>
          </w:tcPr>
          <w:p w:rsidR="005D6ACF" w:rsidRPr="00974FB1" w:rsidRDefault="005D6ACF" w:rsidP="008A253E">
            <w:pPr>
              <w:jc w:val="center"/>
              <w:rPr>
                <w:b/>
                <w:bCs/>
                <w:sz w:val="22"/>
                <w:szCs w:val="22"/>
              </w:rPr>
            </w:pPr>
          </w:p>
        </w:tc>
        <w:tc>
          <w:tcPr>
            <w:tcW w:w="1860" w:type="dxa"/>
            <w:tcBorders>
              <w:top w:val="nil"/>
              <w:left w:val="nil"/>
              <w:bottom w:val="nil"/>
              <w:right w:val="nil"/>
            </w:tcBorders>
            <w:shd w:val="clear" w:color="auto" w:fill="auto"/>
            <w:noWrap/>
            <w:vAlign w:val="bottom"/>
            <w:hideMark/>
          </w:tcPr>
          <w:p w:rsidR="005D6ACF" w:rsidRPr="00974FB1" w:rsidRDefault="005D6ACF" w:rsidP="008A253E">
            <w:pPr>
              <w:jc w:val="center"/>
              <w:rPr>
                <w:b/>
                <w:bCs/>
                <w:sz w:val="22"/>
                <w:szCs w:val="22"/>
              </w:rPr>
            </w:pPr>
          </w:p>
        </w:tc>
        <w:tc>
          <w:tcPr>
            <w:tcW w:w="1600" w:type="dxa"/>
            <w:tcBorders>
              <w:top w:val="nil"/>
              <w:left w:val="nil"/>
              <w:bottom w:val="nil"/>
              <w:right w:val="nil"/>
            </w:tcBorders>
            <w:shd w:val="clear" w:color="auto" w:fill="auto"/>
            <w:noWrap/>
            <w:vAlign w:val="bottom"/>
            <w:hideMark/>
          </w:tcPr>
          <w:p w:rsidR="005D6ACF" w:rsidRPr="00974FB1" w:rsidRDefault="005D6ACF" w:rsidP="008A253E">
            <w:pPr>
              <w:jc w:val="center"/>
              <w:rPr>
                <w:b/>
                <w:bCs/>
                <w:sz w:val="22"/>
                <w:szCs w:val="22"/>
              </w:rPr>
            </w:pPr>
            <w:r w:rsidRPr="00974FB1">
              <w:rPr>
                <w:b/>
                <w:bCs/>
                <w:sz w:val="22"/>
                <w:szCs w:val="22"/>
              </w:rPr>
              <w:t>(руб.)</w:t>
            </w:r>
          </w:p>
        </w:tc>
      </w:tr>
      <w:tr w:rsidR="005D6ACF" w:rsidRPr="00974FB1" w:rsidTr="008A253E">
        <w:trPr>
          <w:trHeight w:val="510"/>
        </w:trPr>
        <w:tc>
          <w:tcPr>
            <w:tcW w:w="1049"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5D6ACF" w:rsidRPr="00974FB1" w:rsidRDefault="005D6ACF" w:rsidP="008A253E">
            <w:pPr>
              <w:jc w:val="center"/>
              <w:rPr>
                <w:b/>
                <w:bCs/>
                <w:sz w:val="22"/>
                <w:szCs w:val="22"/>
              </w:rPr>
            </w:pPr>
            <w:r w:rsidRPr="00974FB1">
              <w:rPr>
                <w:b/>
                <w:bCs/>
                <w:sz w:val="22"/>
                <w:szCs w:val="22"/>
              </w:rPr>
              <w:t>Месяц</w:t>
            </w:r>
          </w:p>
        </w:tc>
        <w:tc>
          <w:tcPr>
            <w:tcW w:w="965"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5D6ACF" w:rsidRPr="00974FB1" w:rsidRDefault="005D6ACF" w:rsidP="008A253E">
            <w:pPr>
              <w:jc w:val="center"/>
              <w:rPr>
                <w:b/>
                <w:bCs/>
                <w:sz w:val="22"/>
                <w:szCs w:val="22"/>
              </w:rPr>
            </w:pPr>
            <w:r w:rsidRPr="00974FB1">
              <w:rPr>
                <w:b/>
                <w:bCs/>
                <w:sz w:val="22"/>
                <w:szCs w:val="22"/>
              </w:rPr>
              <w:t>Срок пользо-вания креди-том, дней</w:t>
            </w:r>
          </w:p>
        </w:tc>
        <w:tc>
          <w:tcPr>
            <w:tcW w:w="208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5D6ACF" w:rsidRPr="00A07586" w:rsidRDefault="005D6ACF" w:rsidP="008A253E">
            <w:pPr>
              <w:jc w:val="center"/>
              <w:rPr>
                <w:b/>
                <w:sz w:val="20"/>
                <w:szCs w:val="20"/>
              </w:rPr>
            </w:pPr>
            <w:r w:rsidRPr="00A07586">
              <w:rPr>
                <w:b/>
                <w:sz w:val="20"/>
                <w:szCs w:val="20"/>
              </w:rPr>
              <w:t>Сумма кредита, планируемая к выдаче в 2022 году                (руб.)</w:t>
            </w:r>
          </w:p>
        </w:tc>
        <w:tc>
          <w:tcPr>
            <w:tcW w:w="122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5D6ACF" w:rsidRPr="00A07586" w:rsidRDefault="005D6ACF" w:rsidP="008A253E">
            <w:pPr>
              <w:jc w:val="center"/>
              <w:rPr>
                <w:b/>
                <w:sz w:val="20"/>
                <w:szCs w:val="20"/>
              </w:rPr>
            </w:pPr>
            <w:r w:rsidRPr="00A07586">
              <w:rPr>
                <w:b/>
                <w:sz w:val="20"/>
                <w:szCs w:val="20"/>
              </w:rPr>
              <w:t>Процентная ставка, %</w:t>
            </w:r>
          </w:p>
        </w:tc>
        <w:tc>
          <w:tcPr>
            <w:tcW w:w="184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5D6ACF" w:rsidRPr="00A07586" w:rsidRDefault="005D6ACF" w:rsidP="008A253E">
            <w:pPr>
              <w:jc w:val="center"/>
              <w:rPr>
                <w:b/>
                <w:sz w:val="20"/>
                <w:szCs w:val="20"/>
              </w:rPr>
            </w:pPr>
            <w:r w:rsidRPr="00A07586">
              <w:rPr>
                <w:b/>
                <w:sz w:val="20"/>
                <w:szCs w:val="20"/>
              </w:rPr>
              <w:t>Сумма процентов за пользование кредитом в 2022 году (кредиты 2022 года)</w:t>
            </w:r>
          </w:p>
        </w:tc>
        <w:tc>
          <w:tcPr>
            <w:tcW w:w="2015"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5D6ACF" w:rsidRPr="00A07586" w:rsidRDefault="005D6ACF" w:rsidP="008A253E">
            <w:pPr>
              <w:jc w:val="center"/>
              <w:rPr>
                <w:b/>
                <w:sz w:val="20"/>
                <w:szCs w:val="20"/>
              </w:rPr>
            </w:pPr>
            <w:r w:rsidRPr="00A07586">
              <w:rPr>
                <w:b/>
                <w:sz w:val="20"/>
                <w:szCs w:val="20"/>
              </w:rPr>
              <w:t>Ожидаемая задолженность по кредитам, предоставленным в 2021 году</w:t>
            </w:r>
          </w:p>
        </w:tc>
        <w:tc>
          <w:tcPr>
            <w:tcW w:w="186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5D6ACF" w:rsidRPr="00A07586" w:rsidRDefault="005D6ACF" w:rsidP="008A253E">
            <w:pPr>
              <w:jc w:val="center"/>
              <w:rPr>
                <w:b/>
                <w:sz w:val="20"/>
                <w:szCs w:val="20"/>
              </w:rPr>
            </w:pPr>
            <w:r w:rsidRPr="00A07586">
              <w:rPr>
                <w:b/>
                <w:sz w:val="20"/>
                <w:szCs w:val="20"/>
              </w:rPr>
              <w:t>Сумма процентов за пользование кредитом в 2022 году (кредиты 2021 года)</w:t>
            </w:r>
          </w:p>
        </w:tc>
        <w:tc>
          <w:tcPr>
            <w:tcW w:w="1600"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5D6ACF" w:rsidRPr="00A07586" w:rsidRDefault="005D6ACF" w:rsidP="008A253E">
            <w:pPr>
              <w:jc w:val="center"/>
              <w:rPr>
                <w:b/>
                <w:sz w:val="20"/>
                <w:szCs w:val="20"/>
              </w:rPr>
            </w:pPr>
            <w:r w:rsidRPr="00A07586">
              <w:rPr>
                <w:b/>
                <w:sz w:val="20"/>
                <w:szCs w:val="20"/>
              </w:rPr>
              <w:t>Итого сумма процентов за пользование кредитом в 2022 году</w:t>
            </w:r>
          </w:p>
        </w:tc>
      </w:tr>
      <w:tr w:rsidR="005D6ACF" w:rsidRPr="00974FB1" w:rsidTr="008A253E">
        <w:trPr>
          <w:trHeight w:val="1536"/>
        </w:trPr>
        <w:tc>
          <w:tcPr>
            <w:tcW w:w="1049" w:type="dxa"/>
            <w:vMerge/>
            <w:tcBorders>
              <w:top w:val="single" w:sz="8" w:space="0" w:color="auto"/>
              <w:left w:val="single" w:sz="8" w:space="0" w:color="auto"/>
              <w:bottom w:val="single" w:sz="8" w:space="0" w:color="000000"/>
              <w:right w:val="single" w:sz="4" w:space="0" w:color="auto"/>
            </w:tcBorders>
            <w:vAlign w:val="center"/>
            <w:hideMark/>
          </w:tcPr>
          <w:p w:rsidR="005D6ACF" w:rsidRPr="00974FB1" w:rsidRDefault="005D6ACF" w:rsidP="008A253E">
            <w:pPr>
              <w:jc w:val="center"/>
              <w:rPr>
                <w:b/>
                <w:bCs/>
                <w:sz w:val="22"/>
                <w:szCs w:val="22"/>
              </w:rPr>
            </w:pPr>
          </w:p>
        </w:tc>
        <w:tc>
          <w:tcPr>
            <w:tcW w:w="965" w:type="dxa"/>
            <w:vMerge/>
            <w:tcBorders>
              <w:top w:val="single" w:sz="8" w:space="0" w:color="auto"/>
              <w:left w:val="single" w:sz="4" w:space="0" w:color="auto"/>
              <w:bottom w:val="single" w:sz="8" w:space="0" w:color="000000"/>
              <w:right w:val="single" w:sz="4" w:space="0" w:color="auto"/>
            </w:tcBorders>
            <w:vAlign w:val="center"/>
            <w:hideMark/>
          </w:tcPr>
          <w:p w:rsidR="005D6ACF" w:rsidRPr="00974FB1" w:rsidRDefault="005D6ACF" w:rsidP="008A253E">
            <w:pPr>
              <w:jc w:val="center"/>
              <w:rPr>
                <w:b/>
                <w:bCs/>
                <w:sz w:val="22"/>
                <w:szCs w:val="22"/>
              </w:rPr>
            </w:pPr>
          </w:p>
        </w:tc>
        <w:tc>
          <w:tcPr>
            <w:tcW w:w="2080" w:type="dxa"/>
            <w:vMerge/>
            <w:tcBorders>
              <w:top w:val="single" w:sz="8" w:space="0" w:color="auto"/>
              <w:left w:val="single" w:sz="4" w:space="0" w:color="auto"/>
              <w:bottom w:val="single" w:sz="8" w:space="0" w:color="000000"/>
              <w:right w:val="single" w:sz="4" w:space="0" w:color="auto"/>
            </w:tcBorders>
            <w:vAlign w:val="center"/>
            <w:hideMark/>
          </w:tcPr>
          <w:p w:rsidR="005D6ACF" w:rsidRPr="00974FB1" w:rsidRDefault="005D6ACF" w:rsidP="008A253E">
            <w:pPr>
              <w:jc w:val="center"/>
              <w:rPr>
                <w:b/>
                <w:bCs/>
                <w:sz w:val="22"/>
                <w:szCs w:val="22"/>
              </w:rPr>
            </w:pPr>
          </w:p>
        </w:tc>
        <w:tc>
          <w:tcPr>
            <w:tcW w:w="1220" w:type="dxa"/>
            <w:vMerge/>
            <w:tcBorders>
              <w:top w:val="single" w:sz="8" w:space="0" w:color="auto"/>
              <w:left w:val="single" w:sz="4" w:space="0" w:color="auto"/>
              <w:bottom w:val="single" w:sz="8" w:space="0" w:color="000000"/>
              <w:right w:val="single" w:sz="4" w:space="0" w:color="auto"/>
            </w:tcBorders>
            <w:vAlign w:val="center"/>
            <w:hideMark/>
          </w:tcPr>
          <w:p w:rsidR="005D6ACF" w:rsidRPr="00974FB1" w:rsidRDefault="005D6ACF" w:rsidP="008A253E">
            <w:pPr>
              <w:jc w:val="center"/>
              <w:rPr>
                <w:b/>
                <w:bCs/>
                <w:sz w:val="22"/>
                <w:szCs w:val="22"/>
              </w:rPr>
            </w:pPr>
          </w:p>
        </w:tc>
        <w:tc>
          <w:tcPr>
            <w:tcW w:w="1840" w:type="dxa"/>
            <w:vMerge/>
            <w:tcBorders>
              <w:top w:val="single" w:sz="8" w:space="0" w:color="auto"/>
              <w:left w:val="single" w:sz="4" w:space="0" w:color="auto"/>
              <w:bottom w:val="single" w:sz="4" w:space="0" w:color="auto"/>
              <w:right w:val="single" w:sz="4" w:space="0" w:color="auto"/>
            </w:tcBorders>
            <w:vAlign w:val="center"/>
            <w:hideMark/>
          </w:tcPr>
          <w:p w:rsidR="005D6ACF" w:rsidRPr="00974FB1" w:rsidRDefault="005D6ACF" w:rsidP="008A253E">
            <w:pPr>
              <w:jc w:val="center"/>
              <w:rPr>
                <w:b/>
                <w:bCs/>
                <w:sz w:val="22"/>
                <w:szCs w:val="22"/>
              </w:rPr>
            </w:pPr>
          </w:p>
        </w:tc>
        <w:tc>
          <w:tcPr>
            <w:tcW w:w="2015" w:type="dxa"/>
            <w:vMerge/>
            <w:tcBorders>
              <w:top w:val="single" w:sz="8" w:space="0" w:color="auto"/>
              <w:left w:val="single" w:sz="4" w:space="0" w:color="auto"/>
              <w:bottom w:val="single" w:sz="8" w:space="0" w:color="000000"/>
              <w:right w:val="single" w:sz="4" w:space="0" w:color="auto"/>
            </w:tcBorders>
            <w:vAlign w:val="center"/>
            <w:hideMark/>
          </w:tcPr>
          <w:p w:rsidR="005D6ACF" w:rsidRPr="00974FB1" w:rsidRDefault="005D6ACF" w:rsidP="008A253E">
            <w:pPr>
              <w:jc w:val="center"/>
              <w:rPr>
                <w:b/>
                <w:bCs/>
                <w:sz w:val="22"/>
                <w:szCs w:val="22"/>
              </w:rPr>
            </w:pPr>
          </w:p>
        </w:tc>
        <w:tc>
          <w:tcPr>
            <w:tcW w:w="1860" w:type="dxa"/>
            <w:vMerge/>
            <w:tcBorders>
              <w:top w:val="single" w:sz="8" w:space="0" w:color="auto"/>
              <w:left w:val="single" w:sz="4" w:space="0" w:color="auto"/>
              <w:bottom w:val="single" w:sz="8" w:space="0" w:color="000000"/>
              <w:right w:val="single" w:sz="4" w:space="0" w:color="auto"/>
            </w:tcBorders>
            <w:vAlign w:val="center"/>
            <w:hideMark/>
          </w:tcPr>
          <w:p w:rsidR="005D6ACF" w:rsidRPr="00974FB1" w:rsidRDefault="005D6ACF" w:rsidP="008A253E">
            <w:pPr>
              <w:jc w:val="center"/>
              <w:rPr>
                <w:b/>
                <w:bCs/>
                <w:sz w:val="22"/>
                <w:szCs w:val="22"/>
              </w:rPr>
            </w:pPr>
          </w:p>
        </w:tc>
        <w:tc>
          <w:tcPr>
            <w:tcW w:w="1600" w:type="dxa"/>
            <w:vMerge/>
            <w:tcBorders>
              <w:top w:val="single" w:sz="8" w:space="0" w:color="auto"/>
              <w:left w:val="single" w:sz="4" w:space="0" w:color="auto"/>
              <w:bottom w:val="single" w:sz="8" w:space="0" w:color="000000"/>
              <w:right w:val="single" w:sz="8" w:space="0" w:color="auto"/>
            </w:tcBorders>
            <w:vAlign w:val="center"/>
            <w:hideMark/>
          </w:tcPr>
          <w:p w:rsidR="005D6ACF" w:rsidRPr="00974FB1" w:rsidRDefault="005D6ACF" w:rsidP="008A253E">
            <w:pPr>
              <w:jc w:val="center"/>
              <w:rPr>
                <w:b/>
                <w:bCs/>
                <w:sz w:val="22"/>
                <w:szCs w:val="22"/>
              </w:rPr>
            </w:pPr>
          </w:p>
        </w:tc>
      </w:tr>
      <w:tr w:rsidR="005D6ACF" w:rsidRPr="00974FB1" w:rsidTr="008A253E">
        <w:trPr>
          <w:trHeight w:val="255"/>
        </w:trPr>
        <w:tc>
          <w:tcPr>
            <w:tcW w:w="1049" w:type="dxa"/>
            <w:tcBorders>
              <w:top w:val="nil"/>
              <w:left w:val="single" w:sz="8" w:space="0" w:color="auto"/>
              <w:bottom w:val="single" w:sz="4" w:space="0" w:color="auto"/>
              <w:right w:val="single" w:sz="4" w:space="0" w:color="auto"/>
            </w:tcBorders>
            <w:shd w:val="clear" w:color="auto" w:fill="auto"/>
            <w:noWrap/>
            <w:vAlign w:val="bottom"/>
            <w:hideMark/>
          </w:tcPr>
          <w:p w:rsidR="005D6ACF" w:rsidRPr="00974FB1" w:rsidRDefault="005D6ACF" w:rsidP="008A253E">
            <w:pPr>
              <w:jc w:val="center"/>
              <w:rPr>
                <w:bCs/>
                <w:sz w:val="22"/>
                <w:szCs w:val="22"/>
              </w:rPr>
            </w:pPr>
            <w:r w:rsidRPr="00974FB1">
              <w:rPr>
                <w:bCs/>
                <w:sz w:val="22"/>
                <w:szCs w:val="22"/>
              </w:rPr>
              <w:t>январь</w:t>
            </w:r>
          </w:p>
        </w:tc>
        <w:tc>
          <w:tcPr>
            <w:tcW w:w="965" w:type="dxa"/>
            <w:tcBorders>
              <w:top w:val="nil"/>
              <w:left w:val="nil"/>
              <w:bottom w:val="single" w:sz="4" w:space="0" w:color="auto"/>
              <w:right w:val="single" w:sz="4" w:space="0" w:color="auto"/>
            </w:tcBorders>
            <w:shd w:val="clear" w:color="auto" w:fill="auto"/>
            <w:noWrap/>
            <w:vAlign w:val="bottom"/>
            <w:hideMark/>
          </w:tcPr>
          <w:p w:rsidR="005D6ACF" w:rsidRPr="00974FB1" w:rsidRDefault="005D6ACF" w:rsidP="008A253E">
            <w:pPr>
              <w:jc w:val="center"/>
              <w:rPr>
                <w:bCs/>
                <w:sz w:val="22"/>
                <w:szCs w:val="22"/>
              </w:rPr>
            </w:pPr>
            <w:r w:rsidRPr="00974FB1">
              <w:rPr>
                <w:bCs/>
                <w:sz w:val="22"/>
                <w:szCs w:val="22"/>
              </w:rPr>
              <w:t>31</w:t>
            </w:r>
          </w:p>
        </w:tc>
        <w:tc>
          <w:tcPr>
            <w:tcW w:w="2080" w:type="dxa"/>
            <w:tcBorders>
              <w:top w:val="nil"/>
              <w:left w:val="nil"/>
              <w:bottom w:val="single" w:sz="4" w:space="0" w:color="auto"/>
              <w:right w:val="single" w:sz="4" w:space="0" w:color="auto"/>
            </w:tcBorders>
            <w:shd w:val="clear" w:color="auto" w:fill="auto"/>
            <w:noWrap/>
            <w:hideMark/>
          </w:tcPr>
          <w:p w:rsidR="005D6ACF" w:rsidRPr="00A07586" w:rsidRDefault="005D6ACF" w:rsidP="008A253E">
            <w:pPr>
              <w:jc w:val="center"/>
              <w:rPr>
                <w:sz w:val="20"/>
                <w:szCs w:val="20"/>
              </w:rPr>
            </w:pPr>
            <w:r w:rsidRPr="00A07586">
              <w:rPr>
                <w:sz w:val="20"/>
                <w:szCs w:val="20"/>
              </w:rPr>
              <w:t>0,0</w:t>
            </w:r>
          </w:p>
        </w:tc>
        <w:tc>
          <w:tcPr>
            <w:tcW w:w="1220" w:type="dxa"/>
            <w:tcBorders>
              <w:top w:val="nil"/>
              <w:left w:val="nil"/>
              <w:bottom w:val="single" w:sz="4" w:space="0" w:color="auto"/>
              <w:right w:val="single" w:sz="4" w:space="0" w:color="auto"/>
            </w:tcBorders>
            <w:shd w:val="clear" w:color="auto" w:fill="auto"/>
            <w:noWrap/>
            <w:hideMark/>
          </w:tcPr>
          <w:p w:rsidR="005D6ACF" w:rsidRPr="00A07586" w:rsidRDefault="005D6ACF" w:rsidP="008A253E">
            <w:pPr>
              <w:jc w:val="center"/>
              <w:rPr>
                <w:sz w:val="20"/>
                <w:szCs w:val="20"/>
              </w:rPr>
            </w:pPr>
            <w:r w:rsidRPr="00A07586">
              <w:rPr>
                <w:sz w:val="20"/>
                <w:szCs w:val="20"/>
              </w:rPr>
              <w:t>0,1%</w:t>
            </w:r>
          </w:p>
        </w:tc>
        <w:tc>
          <w:tcPr>
            <w:tcW w:w="1840" w:type="dxa"/>
            <w:tcBorders>
              <w:top w:val="single" w:sz="8" w:space="0" w:color="auto"/>
              <w:left w:val="nil"/>
              <w:bottom w:val="nil"/>
              <w:right w:val="single" w:sz="4" w:space="0" w:color="auto"/>
            </w:tcBorders>
            <w:shd w:val="clear" w:color="auto" w:fill="auto"/>
            <w:noWrap/>
            <w:hideMark/>
          </w:tcPr>
          <w:p w:rsidR="005D6ACF" w:rsidRPr="00A07586" w:rsidRDefault="005D6ACF" w:rsidP="008A253E">
            <w:pPr>
              <w:jc w:val="center"/>
              <w:rPr>
                <w:sz w:val="20"/>
                <w:szCs w:val="20"/>
              </w:rPr>
            </w:pPr>
            <w:r w:rsidRPr="00A07586">
              <w:rPr>
                <w:sz w:val="20"/>
                <w:szCs w:val="20"/>
              </w:rPr>
              <w:t>0</w:t>
            </w:r>
          </w:p>
        </w:tc>
        <w:tc>
          <w:tcPr>
            <w:tcW w:w="2015" w:type="dxa"/>
            <w:tcBorders>
              <w:top w:val="nil"/>
              <w:left w:val="nil"/>
              <w:bottom w:val="single" w:sz="4" w:space="0" w:color="auto"/>
              <w:right w:val="single" w:sz="4" w:space="0" w:color="auto"/>
            </w:tcBorders>
            <w:shd w:val="clear" w:color="auto" w:fill="auto"/>
            <w:noWrap/>
            <w:hideMark/>
          </w:tcPr>
          <w:p w:rsidR="005D6ACF" w:rsidRPr="00A07586" w:rsidRDefault="005D6ACF" w:rsidP="008A253E">
            <w:pPr>
              <w:jc w:val="center"/>
              <w:rPr>
                <w:sz w:val="20"/>
                <w:szCs w:val="20"/>
              </w:rPr>
            </w:pPr>
            <w:r w:rsidRPr="00A07586">
              <w:rPr>
                <w:sz w:val="20"/>
                <w:szCs w:val="20"/>
              </w:rPr>
              <w:t>169 982 600,0</w:t>
            </w:r>
          </w:p>
        </w:tc>
        <w:tc>
          <w:tcPr>
            <w:tcW w:w="1860" w:type="dxa"/>
            <w:tcBorders>
              <w:top w:val="nil"/>
              <w:left w:val="nil"/>
              <w:bottom w:val="single" w:sz="4" w:space="0" w:color="auto"/>
              <w:right w:val="single" w:sz="4" w:space="0" w:color="auto"/>
            </w:tcBorders>
            <w:shd w:val="clear" w:color="auto" w:fill="auto"/>
            <w:noWrap/>
            <w:hideMark/>
          </w:tcPr>
          <w:p w:rsidR="005D6ACF" w:rsidRPr="00A07586" w:rsidRDefault="005D6ACF" w:rsidP="008A253E">
            <w:pPr>
              <w:jc w:val="center"/>
              <w:rPr>
                <w:sz w:val="20"/>
                <w:szCs w:val="20"/>
              </w:rPr>
            </w:pPr>
            <w:r w:rsidRPr="00A07586">
              <w:rPr>
                <w:sz w:val="20"/>
                <w:szCs w:val="20"/>
              </w:rPr>
              <w:t>14 436,9</w:t>
            </w:r>
          </w:p>
        </w:tc>
        <w:tc>
          <w:tcPr>
            <w:tcW w:w="1600" w:type="dxa"/>
            <w:tcBorders>
              <w:top w:val="nil"/>
              <w:left w:val="nil"/>
              <w:bottom w:val="single" w:sz="4" w:space="0" w:color="auto"/>
              <w:right w:val="single" w:sz="8" w:space="0" w:color="auto"/>
            </w:tcBorders>
            <w:shd w:val="clear" w:color="auto" w:fill="auto"/>
            <w:noWrap/>
            <w:hideMark/>
          </w:tcPr>
          <w:p w:rsidR="005D6ACF" w:rsidRPr="00A07586" w:rsidRDefault="005D6ACF" w:rsidP="008A253E">
            <w:pPr>
              <w:jc w:val="center"/>
              <w:rPr>
                <w:sz w:val="20"/>
                <w:szCs w:val="20"/>
              </w:rPr>
            </w:pPr>
            <w:r w:rsidRPr="00A07586">
              <w:rPr>
                <w:sz w:val="20"/>
                <w:szCs w:val="20"/>
              </w:rPr>
              <w:t>14 436,9</w:t>
            </w:r>
          </w:p>
        </w:tc>
      </w:tr>
      <w:tr w:rsidR="005D6ACF" w:rsidRPr="00974FB1" w:rsidTr="008A253E">
        <w:trPr>
          <w:trHeight w:val="255"/>
        </w:trPr>
        <w:tc>
          <w:tcPr>
            <w:tcW w:w="1049" w:type="dxa"/>
            <w:tcBorders>
              <w:top w:val="nil"/>
              <w:left w:val="single" w:sz="8" w:space="0" w:color="auto"/>
              <w:bottom w:val="single" w:sz="4" w:space="0" w:color="auto"/>
              <w:right w:val="single" w:sz="4" w:space="0" w:color="auto"/>
            </w:tcBorders>
            <w:shd w:val="clear" w:color="auto" w:fill="auto"/>
            <w:noWrap/>
            <w:vAlign w:val="bottom"/>
            <w:hideMark/>
          </w:tcPr>
          <w:p w:rsidR="005D6ACF" w:rsidRPr="00974FB1" w:rsidRDefault="005D6ACF" w:rsidP="008A253E">
            <w:pPr>
              <w:jc w:val="center"/>
              <w:rPr>
                <w:bCs/>
                <w:sz w:val="22"/>
                <w:szCs w:val="22"/>
              </w:rPr>
            </w:pPr>
            <w:r w:rsidRPr="00974FB1">
              <w:rPr>
                <w:bCs/>
                <w:sz w:val="22"/>
                <w:szCs w:val="22"/>
              </w:rPr>
              <w:t>февраль</w:t>
            </w:r>
          </w:p>
        </w:tc>
        <w:tc>
          <w:tcPr>
            <w:tcW w:w="965" w:type="dxa"/>
            <w:tcBorders>
              <w:top w:val="nil"/>
              <w:left w:val="nil"/>
              <w:bottom w:val="single" w:sz="4" w:space="0" w:color="auto"/>
              <w:right w:val="single" w:sz="4" w:space="0" w:color="auto"/>
            </w:tcBorders>
            <w:shd w:val="clear" w:color="auto" w:fill="auto"/>
            <w:noWrap/>
            <w:vAlign w:val="bottom"/>
            <w:hideMark/>
          </w:tcPr>
          <w:p w:rsidR="005D6ACF" w:rsidRPr="00974FB1" w:rsidRDefault="005D6ACF" w:rsidP="008A253E">
            <w:pPr>
              <w:jc w:val="center"/>
              <w:rPr>
                <w:bCs/>
                <w:sz w:val="22"/>
                <w:szCs w:val="22"/>
              </w:rPr>
            </w:pPr>
            <w:r w:rsidRPr="00974FB1">
              <w:rPr>
                <w:bCs/>
                <w:sz w:val="22"/>
                <w:szCs w:val="22"/>
              </w:rPr>
              <w:t>28</w:t>
            </w:r>
          </w:p>
        </w:tc>
        <w:tc>
          <w:tcPr>
            <w:tcW w:w="2080" w:type="dxa"/>
            <w:tcBorders>
              <w:top w:val="nil"/>
              <w:left w:val="nil"/>
              <w:bottom w:val="single" w:sz="4" w:space="0" w:color="auto"/>
              <w:right w:val="single" w:sz="4" w:space="0" w:color="auto"/>
            </w:tcBorders>
            <w:shd w:val="clear" w:color="auto" w:fill="auto"/>
            <w:noWrap/>
            <w:hideMark/>
          </w:tcPr>
          <w:p w:rsidR="005D6ACF" w:rsidRPr="00A07586" w:rsidRDefault="005D6ACF" w:rsidP="008A253E">
            <w:pPr>
              <w:jc w:val="center"/>
              <w:rPr>
                <w:sz w:val="20"/>
                <w:szCs w:val="20"/>
              </w:rPr>
            </w:pPr>
            <w:r w:rsidRPr="00A07586">
              <w:rPr>
                <w:sz w:val="20"/>
                <w:szCs w:val="20"/>
              </w:rPr>
              <w:t>0,0</w:t>
            </w:r>
          </w:p>
        </w:tc>
        <w:tc>
          <w:tcPr>
            <w:tcW w:w="1220" w:type="dxa"/>
            <w:tcBorders>
              <w:top w:val="nil"/>
              <w:left w:val="nil"/>
              <w:bottom w:val="single" w:sz="4" w:space="0" w:color="auto"/>
              <w:right w:val="single" w:sz="4" w:space="0" w:color="auto"/>
            </w:tcBorders>
            <w:shd w:val="clear" w:color="auto" w:fill="auto"/>
            <w:noWrap/>
            <w:hideMark/>
          </w:tcPr>
          <w:p w:rsidR="005D6ACF" w:rsidRPr="00A07586" w:rsidRDefault="005D6ACF" w:rsidP="008A253E">
            <w:pPr>
              <w:jc w:val="center"/>
              <w:rPr>
                <w:sz w:val="20"/>
                <w:szCs w:val="20"/>
              </w:rPr>
            </w:pPr>
            <w:r w:rsidRPr="00A07586">
              <w:rPr>
                <w:sz w:val="20"/>
                <w:szCs w:val="20"/>
              </w:rPr>
              <w:t>0,1%</w:t>
            </w:r>
          </w:p>
        </w:tc>
        <w:tc>
          <w:tcPr>
            <w:tcW w:w="1840" w:type="dxa"/>
            <w:tcBorders>
              <w:top w:val="single" w:sz="4" w:space="0" w:color="auto"/>
              <w:left w:val="nil"/>
              <w:bottom w:val="single" w:sz="4" w:space="0" w:color="auto"/>
              <w:right w:val="single" w:sz="4" w:space="0" w:color="auto"/>
            </w:tcBorders>
            <w:shd w:val="clear" w:color="auto" w:fill="auto"/>
            <w:noWrap/>
            <w:hideMark/>
          </w:tcPr>
          <w:p w:rsidR="005D6ACF" w:rsidRPr="00A07586" w:rsidRDefault="005D6ACF" w:rsidP="008A253E">
            <w:pPr>
              <w:jc w:val="center"/>
              <w:rPr>
                <w:sz w:val="20"/>
                <w:szCs w:val="20"/>
              </w:rPr>
            </w:pPr>
            <w:r w:rsidRPr="00A07586">
              <w:rPr>
                <w:sz w:val="20"/>
                <w:szCs w:val="20"/>
              </w:rPr>
              <w:t>0</w:t>
            </w:r>
          </w:p>
        </w:tc>
        <w:tc>
          <w:tcPr>
            <w:tcW w:w="2015" w:type="dxa"/>
            <w:tcBorders>
              <w:top w:val="nil"/>
              <w:left w:val="nil"/>
              <w:bottom w:val="single" w:sz="4" w:space="0" w:color="auto"/>
              <w:right w:val="single" w:sz="4" w:space="0" w:color="auto"/>
            </w:tcBorders>
            <w:shd w:val="clear" w:color="auto" w:fill="auto"/>
            <w:noWrap/>
            <w:hideMark/>
          </w:tcPr>
          <w:p w:rsidR="005D6ACF" w:rsidRPr="00A07586" w:rsidRDefault="005D6ACF" w:rsidP="008A253E">
            <w:pPr>
              <w:jc w:val="center"/>
              <w:rPr>
                <w:sz w:val="20"/>
                <w:szCs w:val="20"/>
              </w:rPr>
            </w:pPr>
            <w:r w:rsidRPr="00A07586">
              <w:rPr>
                <w:sz w:val="20"/>
                <w:szCs w:val="20"/>
              </w:rPr>
              <w:t>169 982 600,0</w:t>
            </w:r>
          </w:p>
        </w:tc>
        <w:tc>
          <w:tcPr>
            <w:tcW w:w="1860" w:type="dxa"/>
            <w:tcBorders>
              <w:top w:val="nil"/>
              <w:left w:val="nil"/>
              <w:bottom w:val="single" w:sz="4" w:space="0" w:color="auto"/>
              <w:right w:val="single" w:sz="4" w:space="0" w:color="auto"/>
            </w:tcBorders>
            <w:shd w:val="clear" w:color="auto" w:fill="auto"/>
            <w:noWrap/>
            <w:hideMark/>
          </w:tcPr>
          <w:p w:rsidR="005D6ACF" w:rsidRPr="00A07586" w:rsidRDefault="005D6ACF" w:rsidP="008A253E">
            <w:pPr>
              <w:jc w:val="center"/>
              <w:rPr>
                <w:sz w:val="20"/>
                <w:szCs w:val="20"/>
              </w:rPr>
            </w:pPr>
            <w:r w:rsidRPr="00A07586">
              <w:rPr>
                <w:sz w:val="20"/>
                <w:szCs w:val="20"/>
              </w:rPr>
              <w:t>13 039,8</w:t>
            </w:r>
          </w:p>
        </w:tc>
        <w:tc>
          <w:tcPr>
            <w:tcW w:w="1600" w:type="dxa"/>
            <w:tcBorders>
              <w:top w:val="nil"/>
              <w:left w:val="nil"/>
              <w:bottom w:val="single" w:sz="4" w:space="0" w:color="auto"/>
              <w:right w:val="single" w:sz="8" w:space="0" w:color="auto"/>
            </w:tcBorders>
            <w:shd w:val="clear" w:color="auto" w:fill="auto"/>
            <w:noWrap/>
            <w:hideMark/>
          </w:tcPr>
          <w:p w:rsidR="005D6ACF" w:rsidRPr="00A07586" w:rsidRDefault="005D6ACF" w:rsidP="008A253E">
            <w:pPr>
              <w:jc w:val="center"/>
              <w:rPr>
                <w:sz w:val="20"/>
                <w:szCs w:val="20"/>
              </w:rPr>
            </w:pPr>
            <w:r w:rsidRPr="00A07586">
              <w:rPr>
                <w:sz w:val="20"/>
                <w:szCs w:val="20"/>
              </w:rPr>
              <w:t>13 039,8</w:t>
            </w:r>
          </w:p>
        </w:tc>
      </w:tr>
      <w:tr w:rsidR="005D6ACF" w:rsidRPr="00974FB1" w:rsidTr="008A253E">
        <w:trPr>
          <w:trHeight w:val="255"/>
        </w:trPr>
        <w:tc>
          <w:tcPr>
            <w:tcW w:w="1049" w:type="dxa"/>
            <w:tcBorders>
              <w:top w:val="nil"/>
              <w:left w:val="single" w:sz="8" w:space="0" w:color="auto"/>
              <w:bottom w:val="single" w:sz="4" w:space="0" w:color="auto"/>
              <w:right w:val="single" w:sz="4" w:space="0" w:color="auto"/>
            </w:tcBorders>
            <w:shd w:val="clear" w:color="auto" w:fill="auto"/>
            <w:noWrap/>
            <w:vAlign w:val="bottom"/>
            <w:hideMark/>
          </w:tcPr>
          <w:p w:rsidR="005D6ACF" w:rsidRPr="00974FB1" w:rsidRDefault="005D6ACF" w:rsidP="008A253E">
            <w:pPr>
              <w:jc w:val="center"/>
              <w:rPr>
                <w:bCs/>
                <w:sz w:val="22"/>
                <w:szCs w:val="22"/>
              </w:rPr>
            </w:pPr>
            <w:r w:rsidRPr="00974FB1">
              <w:rPr>
                <w:bCs/>
                <w:sz w:val="22"/>
                <w:szCs w:val="22"/>
              </w:rPr>
              <w:t>март</w:t>
            </w:r>
          </w:p>
        </w:tc>
        <w:tc>
          <w:tcPr>
            <w:tcW w:w="965" w:type="dxa"/>
            <w:tcBorders>
              <w:top w:val="nil"/>
              <w:left w:val="nil"/>
              <w:bottom w:val="single" w:sz="4" w:space="0" w:color="auto"/>
              <w:right w:val="single" w:sz="4" w:space="0" w:color="auto"/>
            </w:tcBorders>
            <w:shd w:val="clear" w:color="auto" w:fill="auto"/>
            <w:noWrap/>
            <w:vAlign w:val="bottom"/>
            <w:hideMark/>
          </w:tcPr>
          <w:p w:rsidR="005D6ACF" w:rsidRPr="00974FB1" w:rsidRDefault="005D6ACF" w:rsidP="008A253E">
            <w:pPr>
              <w:jc w:val="center"/>
              <w:rPr>
                <w:bCs/>
                <w:sz w:val="22"/>
                <w:szCs w:val="22"/>
              </w:rPr>
            </w:pPr>
            <w:r w:rsidRPr="00974FB1">
              <w:rPr>
                <w:bCs/>
                <w:sz w:val="22"/>
                <w:szCs w:val="22"/>
              </w:rPr>
              <w:t>31</w:t>
            </w:r>
          </w:p>
        </w:tc>
        <w:tc>
          <w:tcPr>
            <w:tcW w:w="2080" w:type="dxa"/>
            <w:tcBorders>
              <w:top w:val="nil"/>
              <w:left w:val="nil"/>
              <w:bottom w:val="single" w:sz="4" w:space="0" w:color="auto"/>
              <w:right w:val="single" w:sz="4" w:space="0" w:color="auto"/>
            </w:tcBorders>
            <w:shd w:val="clear" w:color="auto" w:fill="auto"/>
            <w:noWrap/>
            <w:hideMark/>
          </w:tcPr>
          <w:p w:rsidR="005D6ACF" w:rsidRPr="00A07586" w:rsidRDefault="005D6ACF" w:rsidP="008A253E">
            <w:pPr>
              <w:jc w:val="center"/>
              <w:rPr>
                <w:sz w:val="20"/>
                <w:szCs w:val="20"/>
              </w:rPr>
            </w:pPr>
            <w:r w:rsidRPr="00A07586">
              <w:rPr>
                <w:sz w:val="20"/>
                <w:szCs w:val="20"/>
              </w:rPr>
              <w:t>6 000 000,0</w:t>
            </w:r>
          </w:p>
        </w:tc>
        <w:tc>
          <w:tcPr>
            <w:tcW w:w="1220" w:type="dxa"/>
            <w:tcBorders>
              <w:top w:val="nil"/>
              <w:left w:val="nil"/>
              <w:bottom w:val="single" w:sz="4" w:space="0" w:color="auto"/>
              <w:right w:val="single" w:sz="4" w:space="0" w:color="auto"/>
            </w:tcBorders>
            <w:shd w:val="clear" w:color="auto" w:fill="auto"/>
            <w:noWrap/>
            <w:hideMark/>
          </w:tcPr>
          <w:p w:rsidR="005D6ACF" w:rsidRPr="00A07586" w:rsidRDefault="005D6ACF" w:rsidP="008A253E">
            <w:pPr>
              <w:jc w:val="center"/>
              <w:rPr>
                <w:sz w:val="20"/>
                <w:szCs w:val="20"/>
              </w:rPr>
            </w:pPr>
            <w:r w:rsidRPr="00A07586">
              <w:rPr>
                <w:sz w:val="20"/>
                <w:szCs w:val="20"/>
              </w:rPr>
              <w:t>0,1%</w:t>
            </w:r>
          </w:p>
        </w:tc>
        <w:tc>
          <w:tcPr>
            <w:tcW w:w="1840" w:type="dxa"/>
            <w:tcBorders>
              <w:top w:val="nil"/>
              <w:left w:val="nil"/>
              <w:bottom w:val="single" w:sz="4" w:space="0" w:color="auto"/>
              <w:right w:val="single" w:sz="4" w:space="0" w:color="auto"/>
            </w:tcBorders>
            <w:shd w:val="clear" w:color="auto" w:fill="auto"/>
            <w:noWrap/>
            <w:hideMark/>
          </w:tcPr>
          <w:p w:rsidR="005D6ACF" w:rsidRPr="00A07586" w:rsidRDefault="005D6ACF" w:rsidP="008A253E">
            <w:pPr>
              <w:jc w:val="center"/>
              <w:rPr>
                <w:sz w:val="20"/>
                <w:szCs w:val="20"/>
              </w:rPr>
            </w:pPr>
            <w:r w:rsidRPr="00A07586">
              <w:rPr>
                <w:sz w:val="20"/>
                <w:szCs w:val="20"/>
              </w:rPr>
              <w:t>510</w:t>
            </w:r>
          </w:p>
        </w:tc>
        <w:tc>
          <w:tcPr>
            <w:tcW w:w="2015" w:type="dxa"/>
            <w:tcBorders>
              <w:top w:val="nil"/>
              <w:left w:val="nil"/>
              <w:bottom w:val="single" w:sz="4" w:space="0" w:color="auto"/>
              <w:right w:val="single" w:sz="4" w:space="0" w:color="auto"/>
            </w:tcBorders>
            <w:shd w:val="clear" w:color="auto" w:fill="auto"/>
            <w:noWrap/>
            <w:hideMark/>
          </w:tcPr>
          <w:p w:rsidR="005D6ACF" w:rsidRPr="00A07586" w:rsidRDefault="005D6ACF" w:rsidP="008A253E">
            <w:pPr>
              <w:jc w:val="center"/>
              <w:rPr>
                <w:sz w:val="20"/>
                <w:szCs w:val="20"/>
              </w:rPr>
            </w:pPr>
            <w:r w:rsidRPr="00A07586">
              <w:rPr>
                <w:sz w:val="20"/>
                <w:szCs w:val="20"/>
              </w:rPr>
              <w:t>169 982 600,0</w:t>
            </w:r>
          </w:p>
        </w:tc>
        <w:tc>
          <w:tcPr>
            <w:tcW w:w="1860" w:type="dxa"/>
            <w:tcBorders>
              <w:top w:val="nil"/>
              <w:left w:val="nil"/>
              <w:bottom w:val="single" w:sz="4" w:space="0" w:color="auto"/>
              <w:right w:val="single" w:sz="4" w:space="0" w:color="auto"/>
            </w:tcBorders>
            <w:shd w:val="clear" w:color="auto" w:fill="auto"/>
            <w:noWrap/>
            <w:hideMark/>
          </w:tcPr>
          <w:p w:rsidR="005D6ACF" w:rsidRPr="00A07586" w:rsidRDefault="005D6ACF" w:rsidP="008A253E">
            <w:pPr>
              <w:jc w:val="center"/>
              <w:rPr>
                <w:sz w:val="20"/>
                <w:szCs w:val="20"/>
              </w:rPr>
            </w:pPr>
            <w:r w:rsidRPr="00A07586">
              <w:rPr>
                <w:sz w:val="20"/>
                <w:szCs w:val="20"/>
              </w:rPr>
              <w:t>14 436,9</w:t>
            </w:r>
          </w:p>
        </w:tc>
        <w:tc>
          <w:tcPr>
            <w:tcW w:w="1600" w:type="dxa"/>
            <w:tcBorders>
              <w:top w:val="nil"/>
              <w:left w:val="nil"/>
              <w:bottom w:val="single" w:sz="4" w:space="0" w:color="auto"/>
              <w:right w:val="single" w:sz="8" w:space="0" w:color="auto"/>
            </w:tcBorders>
            <w:shd w:val="clear" w:color="auto" w:fill="auto"/>
            <w:noWrap/>
            <w:hideMark/>
          </w:tcPr>
          <w:p w:rsidR="005D6ACF" w:rsidRPr="00A07586" w:rsidRDefault="005D6ACF" w:rsidP="008A253E">
            <w:pPr>
              <w:jc w:val="center"/>
              <w:rPr>
                <w:sz w:val="20"/>
                <w:szCs w:val="20"/>
              </w:rPr>
            </w:pPr>
            <w:r w:rsidRPr="00A07586">
              <w:rPr>
                <w:sz w:val="20"/>
                <w:szCs w:val="20"/>
              </w:rPr>
              <w:t>14 946,5</w:t>
            </w:r>
          </w:p>
        </w:tc>
      </w:tr>
      <w:tr w:rsidR="005D6ACF" w:rsidRPr="00974FB1" w:rsidTr="008A253E">
        <w:trPr>
          <w:trHeight w:val="255"/>
        </w:trPr>
        <w:tc>
          <w:tcPr>
            <w:tcW w:w="1049" w:type="dxa"/>
            <w:tcBorders>
              <w:top w:val="nil"/>
              <w:left w:val="single" w:sz="8" w:space="0" w:color="auto"/>
              <w:bottom w:val="single" w:sz="4" w:space="0" w:color="auto"/>
              <w:right w:val="single" w:sz="4" w:space="0" w:color="auto"/>
            </w:tcBorders>
            <w:shd w:val="clear" w:color="auto" w:fill="auto"/>
            <w:noWrap/>
            <w:vAlign w:val="bottom"/>
            <w:hideMark/>
          </w:tcPr>
          <w:p w:rsidR="005D6ACF" w:rsidRPr="00974FB1" w:rsidRDefault="005D6ACF" w:rsidP="008A253E">
            <w:pPr>
              <w:jc w:val="center"/>
              <w:rPr>
                <w:bCs/>
                <w:sz w:val="22"/>
                <w:szCs w:val="22"/>
              </w:rPr>
            </w:pPr>
            <w:r w:rsidRPr="00974FB1">
              <w:rPr>
                <w:bCs/>
                <w:sz w:val="22"/>
                <w:szCs w:val="22"/>
              </w:rPr>
              <w:t>апрель</w:t>
            </w:r>
          </w:p>
        </w:tc>
        <w:tc>
          <w:tcPr>
            <w:tcW w:w="965" w:type="dxa"/>
            <w:tcBorders>
              <w:top w:val="nil"/>
              <w:left w:val="nil"/>
              <w:bottom w:val="single" w:sz="4" w:space="0" w:color="auto"/>
              <w:right w:val="single" w:sz="4" w:space="0" w:color="auto"/>
            </w:tcBorders>
            <w:shd w:val="clear" w:color="auto" w:fill="auto"/>
            <w:noWrap/>
            <w:vAlign w:val="bottom"/>
            <w:hideMark/>
          </w:tcPr>
          <w:p w:rsidR="005D6ACF" w:rsidRPr="00974FB1" w:rsidRDefault="005D6ACF" w:rsidP="008A253E">
            <w:pPr>
              <w:jc w:val="center"/>
              <w:rPr>
                <w:bCs/>
                <w:sz w:val="22"/>
                <w:szCs w:val="22"/>
              </w:rPr>
            </w:pPr>
            <w:r w:rsidRPr="00974FB1">
              <w:rPr>
                <w:bCs/>
                <w:sz w:val="22"/>
                <w:szCs w:val="22"/>
              </w:rPr>
              <w:t>30</w:t>
            </w:r>
          </w:p>
        </w:tc>
        <w:tc>
          <w:tcPr>
            <w:tcW w:w="2080" w:type="dxa"/>
            <w:tcBorders>
              <w:top w:val="nil"/>
              <w:left w:val="nil"/>
              <w:bottom w:val="single" w:sz="4" w:space="0" w:color="auto"/>
              <w:right w:val="single" w:sz="4" w:space="0" w:color="auto"/>
            </w:tcBorders>
            <w:shd w:val="clear" w:color="auto" w:fill="auto"/>
            <w:noWrap/>
            <w:hideMark/>
          </w:tcPr>
          <w:p w:rsidR="005D6ACF" w:rsidRPr="00A07586" w:rsidRDefault="005D6ACF" w:rsidP="008A253E">
            <w:pPr>
              <w:jc w:val="center"/>
              <w:rPr>
                <w:sz w:val="20"/>
                <w:szCs w:val="20"/>
              </w:rPr>
            </w:pPr>
            <w:r w:rsidRPr="00A07586">
              <w:rPr>
                <w:sz w:val="20"/>
                <w:szCs w:val="20"/>
              </w:rPr>
              <w:t>6 000 000,0</w:t>
            </w:r>
          </w:p>
        </w:tc>
        <w:tc>
          <w:tcPr>
            <w:tcW w:w="1220" w:type="dxa"/>
            <w:tcBorders>
              <w:top w:val="nil"/>
              <w:left w:val="nil"/>
              <w:bottom w:val="single" w:sz="4" w:space="0" w:color="auto"/>
              <w:right w:val="single" w:sz="4" w:space="0" w:color="auto"/>
            </w:tcBorders>
            <w:shd w:val="clear" w:color="auto" w:fill="auto"/>
            <w:noWrap/>
            <w:hideMark/>
          </w:tcPr>
          <w:p w:rsidR="005D6ACF" w:rsidRPr="00A07586" w:rsidRDefault="005D6ACF" w:rsidP="008A253E">
            <w:pPr>
              <w:jc w:val="center"/>
              <w:rPr>
                <w:sz w:val="20"/>
                <w:szCs w:val="20"/>
              </w:rPr>
            </w:pPr>
            <w:r w:rsidRPr="00A07586">
              <w:rPr>
                <w:sz w:val="20"/>
                <w:szCs w:val="20"/>
              </w:rPr>
              <w:t>0,1%</w:t>
            </w:r>
          </w:p>
        </w:tc>
        <w:tc>
          <w:tcPr>
            <w:tcW w:w="1840" w:type="dxa"/>
            <w:tcBorders>
              <w:top w:val="nil"/>
              <w:left w:val="nil"/>
              <w:bottom w:val="single" w:sz="4" w:space="0" w:color="auto"/>
              <w:right w:val="single" w:sz="4" w:space="0" w:color="auto"/>
            </w:tcBorders>
            <w:shd w:val="clear" w:color="auto" w:fill="auto"/>
            <w:noWrap/>
            <w:hideMark/>
          </w:tcPr>
          <w:p w:rsidR="005D6ACF" w:rsidRPr="00A07586" w:rsidRDefault="005D6ACF" w:rsidP="008A253E">
            <w:pPr>
              <w:jc w:val="center"/>
              <w:rPr>
                <w:sz w:val="20"/>
                <w:szCs w:val="20"/>
              </w:rPr>
            </w:pPr>
            <w:r w:rsidRPr="00A07586">
              <w:rPr>
                <w:sz w:val="20"/>
                <w:szCs w:val="20"/>
              </w:rPr>
              <w:t>493</w:t>
            </w:r>
          </w:p>
        </w:tc>
        <w:tc>
          <w:tcPr>
            <w:tcW w:w="2015" w:type="dxa"/>
            <w:tcBorders>
              <w:top w:val="nil"/>
              <w:left w:val="nil"/>
              <w:bottom w:val="single" w:sz="4" w:space="0" w:color="auto"/>
              <w:right w:val="single" w:sz="4" w:space="0" w:color="auto"/>
            </w:tcBorders>
            <w:shd w:val="clear" w:color="auto" w:fill="auto"/>
            <w:noWrap/>
            <w:hideMark/>
          </w:tcPr>
          <w:p w:rsidR="005D6ACF" w:rsidRPr="00A07586" w:rsidRDefault="005D6ACF" w:rsidP="008A253E">
            <w:pPr>
              <w:jc w:val="center"/>
              <w:rPr>
                <w:sz w:val="20"/>
                <w:szCs w:val="20"/>
              </w:rPr>
            </w:pPr>
            <w:r w:rsidRPr="00A07586">
              <w:rPr>
                <w:sz w:val="20"/>
                <w:szCs w:val="20"/>
              </w:rPr>
              <w:t>169 982 600,0</w:t>
            </w:r>
          </w:p>
        </w:tc>
        <w:tc>
          <w:tcPr>
            <w:tcW w:w="1860" w:type="dxa"/>
            <w:tcBorders>
              <w:top w:val="nil"/>
              <w:left w:val="nil"/>
              <w:bottom w:val="single" w:sz="4" w:space="0" w:color="auto"/>
              <w:right w:val="single" w:sz="4" w:space="0" w:color="auto"/>
            </w:tcBorders>
            <w:shd w:val="clear" w:color="auto" w:fill="auto"/>
            <w:noWrap/>
            <w:hideMark/>
          </w:tcPr>
          <w:p w:rsidR="005D6ACF" w:rsidRPr="00A07586" w:rsidRDefault="005D6ACF" w:rsidP="008A253E">
            <w:pPr>
              <w:jc w:val="center"/>
              <w:rPr>
                <w:sz w:val="20"/>
                <w:szCs w:val="20"/>
              </w:rPr>
            </w:pPr>
            <w:r w:rsidRPr="00A07586">
              <w:rPr>
                <w:sz w:val="20"/>
                <w:szCs w:val="20"/>
              </w:rPr>
              <w:t>13 971,2</w:t>
            </w:r>
          </w:p>
        </w:tc>
        <w:tc>
          <w:tcPr>
            <w:tcW w:w="1600" w:type="dxa"/>
            <w:tcBorders>
              <w:top w:val="nil"/>
              <w:left w:val="nil"/>
              <w:bottom w:val="single" w:sz="4" w:space="0" w:color="auto"/>
              <w:right w:val="single" w:sz="8" w:space="0" w:color="auto"/>
            </w:tcBorders>
            <w:shd w:val="clear" w:color="auto" w:fill="auto"/>
            <w:noWrap/>
            <w:hideMark/>
          </w:tcPr>
          <w:p w:rsidR="005D6ACF" w:rsidRPr="00A07586" w:rsidRDefault="005D6ACF" w:rsidP="008A253E">
            <w:pPr>
              <w:jc w:val="center"/>
              <w:rPr>
                <w:sz w:val="20"/>
                <w:szCs w:val="20"/>
              </w:rPr>
            </w:pPr>
            <w:r w:rsidRPr="00A07586">
              <w:rPr>
                <w:sz w:val="20"/>
                <w:szCs w:val="20"/>
              </w:rPr>
              <w:t>14 464,3</w:t>
            </w:r>
          </w:p>
        </w:tc>
      </w:tr>
      <w:tr w:rsidR="005D6ACF" w:rsidRPr="00974FB1" w:rsidTr="008A253E">
        <w:trPr>
          <w:trHeight w:val="255"/>
        </w:trPr>
        <w:tc>
          <w:tcPr>
            <w:tcW w:w="1049" w:type="dxa"/>
            <w:tcBorders>
              <w:top w:val="nil"/>
              <w:left w:val="single" w:sz="8" w:space="0" w:color="auto"/>
              <w:bottom w:val="single" w:sz="4" w:space="0" w:color="auto"/>
              <w:right w:val="single" w:sz="4" w:space="0" w:color="auto"/>
            </w:tcBorders>
            <w:shd w:val="clear" w:color="auto" w:fill="auto"/>
            <w:noWrap/>
            <w:vAlign w:val="bottom"/>
            <w:hideMark/>
          </w:tcPr>
          <w:p w:rsidR="005D6ACF" w:rsidRPr="00974FB1" w:rsidRDefault="005D6ACF" w:rsidP="008A253E">
            <w:pPr>
              <w:jc w:val="center"/>
              <w:rPr>
                <w:bCs/>
                <w:sz w:val="22"/>
                <w:szCs w:val="22"/>
              </w:rPr>
            </w:pPr>
            <w:r w:rsidRPr="00974FB1">
              <w:rPr>
                <w:bCs/>
                <w:sz w:val="22"/>
                <w:szCs w:val="22"/>
              </w:rPr>
              <w:t>май</w:t>
            </w:r>
          </w:p>
        </w:tc>
        <w:tc>
          <w:tcPr>
            <w:tcW w:w="965" w:type="dxa"/>
            <w:tcBorders>
              <w:top w:val="nil"/>
              <w:left w:val="nil"/>
              <w:bottom w:val="single" w:sz="4" w:space="0" w:color="auto"/>
              <w:right w:val="single" w:sz="4" w:space="0" w:color="auto"/>
            </w:tcBorders>
            <w:shd w:val="clear" w:color="auto" w:fill="auto"/>
            <w:noWrap/>
            <w:vAlign w:val="bottom"/>
            <w:hideMark/>
          </w:tcPr>
          <w:p w:rsidR="005D6ACF" w:rsidRPr="00974FB1" w:rsidRDefault="005D6ACF" w:rsidP="008A253E">
            <w:pPr>
              <w:jc w:val="center"/>
              <w:rPr>
                <w:bCs/>
                <w:sz w:val="22"/>
                <w:szCs w:val="22"/>
              </w:rPr>
            </w:pPr>
            <w:r w:rsidRPr="00974FB1">
              <w:rPr>
                <w:bCs/>
                <w:sz w:val="22"/>
                <w:szCs w:val="22"/>
              </w:rPr>
              <w:t>31</w:t>
            </w:r>
          </w:p>
        </w:tc>
        <w:tc>
          <w:tcPr>
            <w:tcW w:w="2080" w:type="dxa"/>
            <w:tcBorders>
              <w:top w:val="nil"/>
              <w:left w:val="nil"/>
              <w:bottom w:val="single" w:sz="4" w:space="0" w:color="auto"/>
              <w:right w:val="single" w:sz="4" w:space="0" w:color="auto"/>
            </w:tcBorders>
            <w:shd w:val="clear" w:color="auto" w:fill="auto"/>
            <w:noWrap/>
            <w:hideMark/>
          </w:tcPr>
          <w:p w:rsidR="005D6ACF" w:rsidRPr="00A07586" w:rsidRDefault="005D6ACF" w:rsidP="008A253E">
            <w:pPr>
              <w:jc w:val="center"/>
              <w:rPr>
                <w:sz w:val="20"/>
                <w:szCs w:val="20"/>
              </w:rPr>
            </w:pPr>
            <w:r w:rsidRPr="00A07586">
              <w:rPr>
                <w:sz w:val="20"/>
                <w:szCs w:val="20"/>
              </w:rPr>
              <w:t>30 000 000,0</w:t>
            </w:r>
          </w:p>
        </w:tc>
        <w:tc>
          <w:tcPr>
            <w:tcW w:w="1220" w:type="dxa"/>
            <w:tcBorders>
              <w:top w:val="nil"/>
              <w:left w:val="nil"/>
              <w:bottom w:val="single" w:sz="4" w:space="0" w:color="auto"/>
              <w:right w:val="single" w:sz="4" w:space="0" w:color="auto"/>
            </w:tcBorders>
            <w:shd w:val="clear" w:color="auto" w:fill="auto"/>
            <w:noWrap/>
            <w:hideMark/>
          </w:tcPr>
          <w:p w:rsidR="005D6ACF" w:rsidRPr="00A07586" w:rsidRDefault="005D6ACF" w:rsidP="008A253E">
            <w:pPr>
              <w:jc w:val="center"/>
              <w:rPr>
                <w:sz w:val="20"/>
                <w:szCs w:val="20"/>
              </w:rPr>
            </w:pPr>
            <w:r w:rsidRPr="00A07586">
              <w:rPr>
                <w:sz w:val="20"/>
                <w:szCs w:val="20"/>
              </w:rPr>
              <w:t>0,1%</w:t>
            </w:r>
          </w:p>
        </w:tc>
        <w:tc>
          <w:tcPr>
            <w:tcW w:w="1840" w:type="dxa"/>
            <w:tcBorders>
              <w:top w:val="nil"/>
              <w:left w:val="nil"/>
              <w:bottom w:val="single" w:sz="4" w:space="0" w:color="auto"/>
              <w:right w:val="single" w:sz="4" w:space="0" w:color="auto"/>
            </w:tcBorders>
            <w:shd w:val="clear" w:color="auto" w:fill="auto"/>
            <w:noWrap/>
            <w:hideMark/>
          </w:tcPr>
          <w:p w:rsidR="005D6ACF" w:rsidRPr="00A07586" w:rsidRDefault="005D6ACF" w:rsidP="008A253E">
            <w:pPr>
              <w:jc w:val="center"/>
              <w:rPr>
                <w:sz w:val="20"/>
                <w:szCs w:val="20"/>
              </w:rPr>
            </w:pPr>
            <w:r w:rsidRPr="00A07586">
              <w:rPr>
                <w:sz w:val="20"/>
                <w:szCs w:val="20"/>
              </w:rPr>
              <w:t>2 548</w:t>
            </w:r>
          </w:p>
        </w:tc>
        <w:tc>
          <w:tcPr>
            <w:tcW w:w="2015" w:type="dxa"/>
            <w:tcBorders>
              <w:top w:val="nil"/>
              <w:left w:val="nil"/>
              <w:bottom w:val="single" w:sz="4" w:space="0" w:color="auto"/>
              <w:right w:val="single" w:sz="4" w:space="0" w:color="auto"/>
            </w:tcBorders>
            <w:shd w:val="clear" w:color="auto" w:fill="auto"/>
            <w:noWrap/>
            <w:hideMark/>
          </w:tcPr>
          <w:p w:rsidR="005D6ACF" w:rsidRPr="00A07586" w:rsidRDefault="005D6ACF" w:rsidP="008A253E">
            <w:pPr>
              <w:jc w:val="center"/>
              <w:rPr>
                <w:sz w:val="20"/>
                <w:szCs w:val="20"/>
              </w:rPr>
            </w:pPr>
            <w:r w:rsidRPr="00A07586">
              <w:rPr>
                <w:sz w:val="20"/>
                <w:szCs w:val="20"/>
              </w:rPr>
              <w:t>169 982 600,0</w:t>
            </w:r>
          </w:p>
        </w:tc>
        <w:tc>
          <w:tcPr>
            <w:tcW w:w="1860" w:type="dxa"/>
            <w:tcBorders>
              <w:top w:val="nil"/>
              <w:left w:val="nil"/>
              <w:bottom w:val="single" w:sz="4" w:space="0" w:color="auto"/>
              <w:right w:val="single" w:sz="4" w:space="0" w:color="auto"/>
            </w:tcBorders>
            <w:shd w:val="clear" w:color="auto" w:fill="auto"/>
            <w:noWrap/>
            <w:hideMark/>
          </w:tcPr>
          <w:p w:rsidR="005D6ACF" w:rsidRPr="00A07586" w:rsidRDefault="005D6ACF" w:rsidP="008A253E">
            <w:pPr>
              <w:jc w:val="center"/>
              <w:rPr>
                <w:sz w:val="20"/>
                <w:szCs w:val="20"/>
              </w:rPr>
            </w:pPr>
            <w:r w:rsidRPr="00A07586">
              <w:rPr>
                <w:sz w:val="20"/>
                <w:szCs w:val="20"/>
              </w:rPr>
              <w:t>14 436,9</w:t>
            </w:r>
          </w:p>
        </w:tc>
        <w:tc>
          <w:tcPr>
            <w:tcW w:w="1600" w:type="dxa"/>
            <w:tcBorders>
              <w:top w:val="nil"/>
              <w:left w:val="nil"/>
              <w:bottom w:val="single" w:sz="4" w:space="0" w:color="auto"/>
              <w:right w:val="single" w:sz="8" w:space="0" w:color="auto"/>
            </w:tcBorders>
            <w:shd w:val="clear" w:color="auto" w:fill="auto"/>
            <w:noWrap/>
            <w:hideMark/>
          </w:tcPr>
          <w:p w:rsidR="005D6ACF" w:rsidRPr="00A07586" w:rsidRDefault="005D6ACF" w:rsidP="008A253E">
            <w:pPr>
              <w:jc w:val="center"/>
              <w:rPr>
                <w:sz w:val="20"/>
                <w:szCs w:val="20"/>
              </w:rPr>
            </w:pPr>
            <w:r w:rsidRPr="00A07586">
              <w:rPr>
                <w:sz w:val="20"/>
                <w:szCs w:val="20"/>
              </w:rPr>
              <w:t>16 984,8</w:t>
            </w:r>
          </w:p>
        </w:tc>
      </w:tr>
      <w:tr w:rsidR="005D6ACF" w:rsidRPr="00974FB1" w:rsidTr="008A253E">
        <w:trPr>
          <w:trHeight w:val="255"/>
        </w:trPr>
        <w:tc>
          <w:tcPr>
            <w:tcW w:w="1049" w:type="dxa"/>
            <w:tcBorders>
              <w:top w:val="nil"/>
              <w:left w:val="single" w:sz="8" w:space="0" w:color="auto"/>
              <w:bottom w:val="single" w:sz="4" w:space="0" w:color="auto"/>
              <w:right w:val="single" w:sz="4" w:space="0" w:color="auto"/>
            </w:tcBorders>
            <w:shd w:val="clear" w:color="auto" w:fill="auto"/>
            <w:noWrap/>
            <w:vAlign w:val="bottom"/>
            <w:hideMark/>
          </w:tcPr>
          <w:p w:rsidR="005D6ACF" w:rsidRPr="00974FB1" w:rsidRDefault="005D6ACF" w:rsidP="008A253E">
            <w:pPr>
              <w:jc w:val="center"/>
              <w:rPr>
                <w:bCs/>
                <w:sz w:val="22"/>
                <w:szCs w:val="22"/>
              </w:rPr>
            </w:pPr>
            <w:r w:rsidRPr="00974FB1">
              <w:rPr>
                <w:bCs/>
                <w:sz w:val="22"/>
                <w:szCs w:val="22"/>
              </w:rPr>
              <w:t>июнь</w:t>
            </w:r>
          </w:p>
        </w:tc>
        <w:tc>
          <w:tcPr>
            <w:tcW w:w="965" w:type="dxa"/>
            <w:tcBorders>
              <w:top w:val="nil"/>
              <w:left w:val="nil"/>
              <w:bottom w:val="single" w:sz="4" w:space="0" w:color="auto"/>
              <w:right w:val="single" w:sz="4" w:space="0" w:color="auto"/>
            </w:tcBorders>
            <w:shd w:val="clear" w:color="auto" w:fill="auto"/>
            <w:noWrap/>
            <w:vAlign w:val="bottom"/>
            <w:hideMark/>
          </w:tcPr>
          <w:p w:rsidR="005D6ACF" w:rsidRPr="00974FB1" w:rsidRDefault="005D6ACF" w:rsidP="008A253E">
            <w:pPr>
              <w:jc w:val="center"/>
              <w:rPr>
                <w:bCs/>
                <w:sz w:val="22"/>
                <w:szCs w:val="22"/>
              </w:rPr>
            </w:pPr>
            <w:r w:rsidRPr="00974FB1">
              <w:rPr>
                <w:bCs/>
                <w:sz w:val="22"/>
                <w:szCs w:val="22"/>
              </w:rPr>
              <w:t>30</w:t>
            </w:r>
          </w:p>
        </w:tc>
        <w:tc>
          <w:tcPr>
            <w:tcW w:w="2080" w:type="dxa"/>
            <w:tcBorders>
              <w:top w:val="nil"/>
              <w:left w:val="nil"/>
              <w:bottom w:val="single" w:sz="4" w:space="0" w:color="auto"/>
              <w:right w:val="single" w:sz="4" w:space="0" w:color="auto"/>
            </w:tcBorders>
            <w:shd w:val="clear" w:color="auto" w:fill="auto"/>
            <w:noWrap/>
            <w:hideMark/>
          </w:tcPr>
          <w:p w:rsidR="005D6ACF" w:rsidRPr="00A07586" w:rsidRDefault="005D6ACF" w:rsidP="008A253E">
            <w:pPr>
              <w:jc w:val="center"/>
              <w:rPr>
                <w:sz w:val="20"/>
                <w:szCs w:val="20"/>
              </w:rPr>
            </w:pPr>
            <w:r w:rsidRPr="00A07586">
              <w:rPr>
                <w:sz w:val="20"/>
                <w:szCs w:val="20"/>
              </w:rPr>
              <w:t>30 000 000,0</w:t>
            </w:r>
          </w:p>
        </w:tc>
        <w:tc>
          <w:tcPr>
            <w:tcW w:w="1220" w:type="dxa"/>
            <w:tcBorders>
              <w:top w:val="nil"/>
              <w:left w:val="nil"/>
              <w:bottom w:val="single" w:sz="4" w:space="0" w:color="auto"/>
              <w:right w:val="single" w:sz="4" w:space="0" w:color="auto"/>
            </w:tcBorders>
            <w:shd w:val="clear" w:color="auto" w:fill="auto"/>
            <w:noWrap/>
            <w:hideMark/>
          </w:tcPr>
          <w:p w:rsidR="005D6ACF" w:rsidRPr="00A07586" w:rsidRDefault="005D6ACF" w:rsidP="008A253E">
            <w:pPr>
              <w:jc w:val="center"/>
              <w:rPr>
                <w:sz w:val="20"/>
                <w:szCs w:val="20"/>
              </w:rPr>
            </w:pPr>
            <w:r w:rsidRPr="00A07586">
              <w:rPr>
                <w:sz w:val="20"/>
                <w:szCs w:val="20"/>
              </w:rPr>
              <w:t>0,1%</w:t>
            </w:r>
          </w:p>
        </w:tc>
        <w:tc>
          <w:tcPr>
            <w:tcW w:w="1840" w:type="dxa"/>
            <w:tcBorders>
              <w:top w:val="nil"/>
              <w:left w:val="nil"/>
              <w:bottom w:val="single" w:sz="4" w:space="0" w:color="auto"/>
              <w:right w:val="single" w:sz="4" w:space="0" w:color="auto"/>
            </w:tcBorders>
            <w:shd w:val="clear" w:color="auto" w:fill="auto"/>
            <w:noWrap/>
            <w:hideMark/>
          </w:tcPr>
          <w:p w:rsidR="005D6ACF" w:rsidRPr="00A07586" w:rsidRDefault="005D6ACF" w:rsidP="008A253E">
            <w:pPr>
              <w:jc w:val="center"/>
              <w:rPr>
                <w:sz w:val="20"/>
                <w:szCs w:val="20"/>
              </w:rPr>
            </w:pPr>
            <w:r w:rsidRPr="00A07586">
              <w:rPr>
                <w:sz w:val="20"/>
                <w:szCs w:val="20"/>
              </w:rPr>
              <w:t>2 466</w:t>
            </w:r>
          </w:p>
        </w:tc>
        <w:tc>
          <w:tcPr>
            <w:tcW w:w="2015" w:type="dxa"/>
            <w:tcBorders>
              <w:top w:val="nil"/>
              <w:left w:val="nil"/>
              <w:bottom w:val="single" w:sz="4" w:space="0" w:color="auto"/>
              <w:right w:val="single" w:sz="4" w:space="0" w:color="auto"/>
            </w:tcBorders>
            <w:shd w:val="clear" w:color="auto" w:fill="auto"/>
            <w:noWrap/>
            <w:hideMark/>
          </w:tcPr>
          <w:p w:rsidR="005D6ACF" w:rsidRPr="00A07586" w:rsidRDefault="005D6ACF" w:rsidP="008A253E">
            <w:pPr>
              <w:jc w:val="center"/>
              <w:rPr>
                <w:sz w:val="20"/>
                <w:szCs w:val="20"/>
              </w:rPr>
            </w:pPr>
            <w:r w:rsidRPr="00A07586">
              <w:rPr>
                <w:sz w:val="20"/>
                <w:szCs w:val="20"/>
              </w:rPr>
              <w:t>169 982 600,0</w:t>
            </w:r>
          </w:p>
        </w:tc>
        <w:tc>
          <w:tcPr>
            <w:tcW w:w="1860" w:type="dxa"/>
            <w:tcBorders>
              <w:top w:val="nil"/>
              <w:left w:val="nil"/>
              <w:bottom w:val="single" w:sz="4" w:space="0" w:color="auto"/>
              <w:right w:val="single" w:sz="4" w:space="0" w:color="auto"/>
            </w:tcBorders>
            <w:shd w:val="clear" w:color="auto" w:fill="auto"/>
            <w:noWrap/>
            <w:hideMark/>
          </w:tcPr>
          <w:p w:rsidR="005D6ACF" w:rsidRPr="00A07586" w:rsidRDefault="005D6ACF" w:rsidP="008A253E">
            <w:pPr>
              <w:jc w:val="center"/>
              <w:rPr>
                <w:sz w:val="20"/>
                <w:szCs w:val="20"/>
              </w:rPr>
            </w:pPr>
            <w:r w:rsidRPr="00A07586">
              <w:rPr>
                <w:sz w:val="20"/>
                <w:szCs w:val="20"/>
              </w:rPr>
              <w:t>13 971,2</w:t>
            </w:r>
          </w:p>
        </w:tc>
        <w:tc>
          <w:tcPr>
            <w:tcW w:w="1600" w:type="dxa"/>
            <w:tcBorders>
              <w:top w:val="nil"/>
              <w:left w:val="nil"/>
              <w:bottom w:val="single" w:sz="4" w:space="0" w:color="auto"/>
              <w:right w:val="single" w:sz="8" w:space="0" w:color="auto"/>
            </w:tcBorders>
            <w:shd w:val="clear" w:color="auto" w:fill="auto"/>
            <w:noWrap/>
            <w:hideMark/>
          </w:tcPr>
          <w:p w:rsidR="005D6ACF" w:rsidRPr="00A07586" w:rsidRDefault="005D6ACF" w:rsidP="008A253E">
            <w:pPr>
              <w:jc w:val="center"/>
              <w:rPr>
                <w:sz w:val="20"/>
                <w:szCs w:val="20"/>
              </w:rPr>
            </w:pPr>
            <w:r w:rsidRPr="00A07586">
              <w:rPr>
                <w:sz w:val="20"/>
                <w:szCs w:val="20"/>
              </w:rPr>
              <w:t>16 436,9</w:t>
            </w:r>
          </w:p>
        </w:tc>
      </w:tr>
      <w:tr w:rsidR="005D6ACF" w:rsidRPr="00974FB1" w:rsidTr="008A253E">
        <w:trPr>
          <w:trHeight w:val="255"/>
        </w:trPr>
        <w:tc>
          <w:tcPr>
            <w:tcW w:w="1049" w:type="dxa"/>
            <w:tcBorders>
              <w:top w:val="nil"/>
              <w:left w:val="single" w:sz="8" w:space="0" w:color="auto"/>
              <w:bottom w:val="single" w:sz="4" w:space="0" w:color="auto"/>
              <w:right w:val="single" w:sz="4" w:space="0" w:color="auto"/>
            </w:tcBorders>
            <w:shd w:val="clear" w:color="auto" w:fill="auto"/>
            <w:noWrap/>
            <w:vAlign w:val="bottom"/>
            <w:hideMark/>
          </w:tcPr>
          <w:p w:rsidR="005D6ACF" w:rsidRPr="00974FB1" w:rsidRDefault="005D6ACF" w:rsidP="008A253E">
            <w:pPr>
              <w:jc w:val="center"/>
              <w:rPr>
                <w:bCs/>
                <w:sz w:val="22"/>
                <w:szCs w:val="22"/>
              </w:rPr>
            </w:pPr>
            <w:r w:rsidRPr="00974FB1">
              <w:rPr>
                <w:bCs/>
                <w:sz w:val="22"/>
                <w:szCs w:val="22"/>
              </w:rPr>
              <w:t>июль</w:t>
            </w:r>
          </w:p>
        </w:tc>
        <w:tc>
          <w:tcPr>
            <w:tcW w:w="965" w:type="dxa"/>
            <w:tcBorders>
              <w:top w:val="nil"/>
              <w:left w:val="nil"/>
              <w:bottom w:val="single" w:sz="4" w:space="0" w:color="auto"/>
              <w:right w:val="single" w:sz="4" w:space="0" w:color="auto"/>
            </w:tcBorders>
            <w:shd w:val="clear" w:color="auto" w:fill="auto"/>
            <w:noWrap/>
            <w:vAlign w:val="bottom"/>
            <w:hideMark/>
          </w:tcPr>
          <w:p w:rsidR="005D6ACF" w:rsidRPr="00974FB1" w:rsidRDefault="005D6ACF" w:rsidP="008A253E">
            <w:pPr>
              <w:jc w:val="center"/>
              <w:rPr>
                <w:bCs/>
                <w:sz w:val="22"/>
                <w:szCs w:val="22"/>
              </w:rPr>
            </w:pPr>
            <w:r w:rsidRPr="00974FB1">
              <w:rPr>
                <w:bCs/>
                <w:sz w:val="22"/>
                <w:szCs w:val="22"/>
              </w:rPr>
              <w:t>31</w:t>
            </w:r>
          </w:p>
        </w:tc>
        <w:tc>
          <w:tcPr>
            <w:tcW w:w="2080" w:type="dxa"/>
            <w:tcBorders>
              <w:top w:val="nil"/>
              <w:left w:val="nil"/>
              <w:bottom w:val="single" w:sz="4" w:space="0" w:color="auto"/>
              <w:right w:val="single" w:sz="4" w:space="0" w:color="auto"/>
            </w:tcBorders>
            <w:shd w:val="clear" w:color="auto" w:fill="auto"/>
            <w:noWrap/>
            <w:hideMark/>
          </w:tcPr>
          <w:p w:rsidR="005D6ACF" w:rsidRPr="00A07586" w:rsidRDefault="005D6ACF" w:rsidP="008A253E">
            <w:pPr>
              <w:jc w:val="center"/>
              <w:rPr>
                <w:sz w:val="20"/>
                <w:szCs w:val="20"/>
              </w:rPr>
            </w:pPr>
            <w:r w:rsidRPr="00A07586">
              <w:rPr>
                <w:sz w:val="20"/>
                <w:szCs w:val="20"/>
              </w:rPr>
              <w:t>60 000 000,0</w:t>
            </w:r>
          </w:p>
        </w:tc>
        <w:tc>
          <w:tcPr>
            <w:tcW w:w="1220" w:type="dxa"/>
            <w:tcBorders>
              <w:top w:val="nil"/>
              <w:left w:val="nil"/>
              <w:bottom w:val="single" w:sz="4" w:space="0" w:color="auto"/>
              <w:right w:val="single" w:sz="4" w:space="0" w:color="auto"/>
            </w:tcBorders>
            <w:shd w:val="clear" w:color="auto" w:fill="auto"/>
            <w:noWrap/>
            <w:hideMark/>
          </w:tcPr>
          <w:p w:rsidR="005D6ACF" w:rsidRPr="00A07586" w:rsidRDefault="005D6ACF" w:rsidP="008A253E">
            <w:pPr>
              <w:jc w:val="center"/>
              <w:rPr>
                <w:sz w:val="20"/>
                <w:szCs w:val="20"/>
              </w:rPr>
            </w:pPr>
            <w:r w:rsidRPr="00A07586">
              <w:rPr>
                <w:sz w:val="20"/>
                <w:szCs w:val="20"/>
              </w:rPr>
              <w:t>0,1%</w:t>
            </w:r>
          </w:p>
        </w:tc>
        <w:tc>
          <w:tcPr>
            <w:tcW w:w="1840" w:type="dxa"/>
            <w:tcBorders>
              <w:top w:val="nil"/>
              <w:left w:val="nil"/>
              <w:bottom w:val="single" w:sz="4" w:space="0" w:color="auto"/>
              <w:right w:val="single" w:sz="4" w:space="0" w:color="auto"/>
            </w:tcBorders>
            <w:shd w:val="clear" w:color="auto" w:fill="auto"/>
            <w:noWrap/>
            <w:hideMark/>
          </w:tcPr>
          <w:p w:rsidR="005D6ACF" w:rsidRPr="00A07586" w:rsidRDefault="005D6ACF" w:rsidP="008A253E">
            <w:pPr>
              <w:jc w:val="center"/>
              <w:rPr>
                <w:sz w:val="20"/>
                <w:szCs w:val="20"/>
              </w:rPr>
            </w:pPr>
            <w:r w:rsidRPr="00A07586">
              <w:rPr>
                <w:sz w:val="20"/>
                <w:szCs w:val="20"/>
              </w:rPr>
              <w:t>5 096</w:t>
            </w:r>
          </w:p>
        </w:tc>
        <w:tc>
          <w:tcPr>
            <w:tcW w:w="2015" w:type="dxa"/>
            <w:tcBorders>
              <w:top w:val="nil"/>
              <w:left w:val="nil"/>
              <w:bottom w:val="single" w:sz="4" w:space="0" w:color="auto"/>
              <w:right w:val="single" w:sz="4" w:space="0" w:color="auto"/>
            </w:tcBorders>
            <w:shd w:val="clear" w:color="auto" w:fill="auto"/>
            <w:noWrap/>
            <w:hideMark/>
          </w:tcPr>
          <w:p w:rsidR="005D6ACF" w:rsidRPr="00A07586" w:rsidRDefault="005D6ACF" w:rsidP="008A253E">
            <w:pPr>
              <w:jc w:val="center"/>
              <w:rPr>
                <w:sz w:val="20"/>
                <w:szCs w:val="20"/>
              </w:rPr>
            </w:pPr>
            <w:r w:rsidRPr="00A07586">
              <w:rPr>
                <w:sz w:val="20"/>
                <w:szCs w:val="20"/>
              </w:rPr>
              <w:t>169 982 600,0</w:t>
            </w:r>
          </w:p>
        </w:tc>
        <w:tc>
          <w:tcPr>
            <w:tcW w:w="1860" w:type="dxa"/>
            <w:tcBorders>
              <w:top w:val="nil"/>
              <w:left w:val="nil"/>
              <w:bottom w:val="single" w:sz="4" w:space="0" w:color="auto"/>
              <w:right w:val="single" w:sz="4" w:space="0" w:color="auto"/>
            </w:tcBorders>
            <w:shd w:val="clear" w:color="auto" w:fill="auto"/>
            <w:noWrap/>
            <w:hideMark/>
          </w:tcPr>
          <w:p w:rsidR="005D6ACF" w:rsidRPr="00A07586" w:rsidRDefault="005D6ACF" w:rsidP="008A253E">
            <w:pPr>
              <w:jc w:val="center"/>
              <w:rPr>
                <w:sz w:val="20"/>
                <w:szCs w:val="20"/>
              </w:rPr>
            </w:pPr>
            <w:r w:rsidRPr="00A07586">
              <w:rPr>
                <w:sz w:val="20"/>
                <w:szCs w:val="20"/>
              </w:rPr>
              <w:t>14 436,9</w:t>
            </w:r>
          </w:p>
        </w:tc>
        <w:tc>
          <w:tcPr>
            <w:tcW w:w="1600" w:type="dxa"/>
            <w:tcBorders>
              <w:top w:val="nil"/>
              <w:left w:val="nil"/>
              <w:bottom w:val="single" w:sz="4" w:space="0" w:color="auto"/>
              <w:right w:val="single" w:sz="8" w:space="0" w:color="auto"/>
            </w:tcBorders>
            <w:shd w:val="clear" w:color="auto" w:fill="auto"/>
            <w:noWrap/>
            <w:hideMark/>
          </w:tcPr>
          <w:p w:rsidR="005D6ACF" w:rsidRPr="00A07586" w:rsidRDefault="005D6ACF" w:rsidP="008A253E">
            <w:pPr>
              <w:jc w:val="center"/>
              <w:rPr>
                <w:sz w:val="20"/>
                <w:szCs w:val="20"/>
              </w:rPr>
            </w:pPr>
            <w:r w:rsidRPr="00A07586">
              <w:rPr>
                <w:sz w:val="20"/>
                <w:szCs w:val="20"/>
              </w:rPr>
              <w:t>19 532,8</w:t>
            </w:r>
          </w:p>
        </w:tc>
      </w:tr>
      <w:tr w:rsidR="005D6ACF" w:rsidRPr="00974FB1" w:rsidTr="008A253E">
        <w:trPr>
          <w:trHeight w:val="255"/>
        </w:trPr>
        <w:tc>
          <w:tcPr>
            <w:tcW w:w="1049" w:type="dxa"/>
            <w:tcBorders>
              <w:top w:val="nil"/>
              <w:left w:val="single" w:sz="8" w:space="0" w:color="auto"/>
              <w:bottom w:val="single" w:sz="4" w:space="0" w:color="auto"/>
              <w:right w:val="single" w:sz="4" w:space="0" w:color="auto"/>
            </w:tcBorders>
            <w:shd w:val="clear" w:color="auto" w:fill="auto"/>
            <w:noWrap/>
            <w:vAlign w:val="bottom"/>
            <w:hideMark/>
          </w:tcPr>
          <w:p w:rsidR="005D6ACF" w:rsidRPr="00974FB1" w:rsidRDefault="005D6ACF" w:rsidP="008A253E">
            <w:pPr>
              <w:jc w:val="center"/>
              <w:rPr>
                <w:bCs/>
                <w:sz w:val="22"/>
                <w:szCs w:val="22"/>
              </w:rPr>
            </w:pPr>
            <w:r w:rsidRPr="00974FB1">
              <w:rPr>
                <w:bCs/>
                <w:sz w:val="22"/>
                <w:szCs w:val="22"/>
              </w:rPr>
              <w:t>август</w:t>
            </w:r>
          </w:p>
        </w:tc>
        <w:tc>
          <w:tcPr>
            <w:tcW w:w="965" w:type="dxa"/>
            <w:tcBorders>
              <w:top w:val="nil"/>
              <w:left w:val="nil"/>
              <w:bottom w:val="single" w:sz="4" w:space="0" w:color="auto"/>
              <w:right w:val="single" w:sz="4" w:space="0" w:color="auto"/>
            </w:tcBorders>
            <w:shd w:val="clear" w:color="auto" w:fill="auto"/>
            <w:noWrap/>
            <w:vAlign w:val="bottom"/>
            <w:hideMark/>
          </w:tcPr>
          <w:p w:rsidR="005D6ACF" w:rsidRPr="00974FB1" w:rsidRDefault="005D6ACF" w:rsidP="008A253E">
            <w:pPr>
              <w:jc w:val="center"/>
              <w:rPr>
                <w:bCs/>
                <w:sz w:val="22"/>
                <w:szCs w:val="22"/>
              </w:rPr>
            </w:pPr>
            <w:r w:rsidRPr="00974FB1">
              <w:rPr>
                <w:bCs/>
                <w:sz w:val="22"/>
                <w:szCs w:val="22"/>
              </w:rPr>
              <w:t>31</w:t>
            </w:r>
          </w:p>
        </w:tc>
        <w:tc>
          <w:tcPr>
            <w:tcW w:w="2080" w:type="dxa"/>
            <w:tcBorders>
              <w:top w:val="nil"/>
              <w:left w:val="nil"/>
              <w:bottom w:val="single" w:sz="4" w:space="0" w:color="auto"/>
              <w:right w:val="single" w:sz="4" w:space="0" w:color="auto"/>
            </w:tcBorders>
            <w:shd w:val="clear" w:color="auto" w:fill="auto"/>
            <w:noWrap/>
            <w:hideMark/>
          </w:tcPr>
          <w:p w:rsidR="005D6ACF" w:rsidRPr="00A07586" w:rsidRDefault="005D6ACF" w:rsidP="008A253E">
            <w:pPr>
              <w:jc w:val="center"/>
              <w:rPr>
                <w:sz w:val="20"/>
                <w:szCs w:val="20"/>
              </w:rPr>
            </w:pPr>
            <w:r w:rsidRPr="00A07586">
              <w:rPr>
                <w:sz w:val="20"/>
                <w:szCs w:val="20"/>
              </w:rPr>
              <w:t>100 000 000,0</w:t>
            </w:r>
          </w:p>
        </w:tc>
        <w:tc>
          <w:tcPr>
            <w:tcW w:w="1220" w:type="dxa"/>
            <w:tcBorders>
              <w:top w:val="nil"/>
              <w:left w:val="nil"/>
              <w:bottom w:val="single" w:sz="4" w:space="0" w:color="auto"/>
              <w:right w:val="single" w:sz="4" w:space="0" w:color="auto"/>
            </w:tcBorders>
            <w:shd w:val="clear" w:color="auto" w:fill="auto"/>
            <w:noWrap/>
            <w:hideMark/>
          </w:tcPr>
          <w:p w:rsidR="005D6ACF" w:rsidRPr="00A07586" w:rsidRDefault="005D6ACF" w:rsidP="008A253E">
            <w:pPr>
              <w:jc w:val="center"/>
              <w:rPr>
                <w:sz w:val="20"/>
                <w:szCs w:val="20"/>
              </w:rPr>
            </w:pPr>
            <w:r w:rsidRPr="00A07586">
              <w:rPr>
                <w:sz w:val="20"/>
                <w:szCs w:val="20"/>
              </w:rPr>
              <w:t>0,1%</w:t>
            </w:r>
          </w:p>
        </w:tc>
        <w:tc>
          <w:tcPr>
            <w:tcW w:w="1840" w:type="dxa"/>
            <w:tcBorders>
              <w:top w:val="nil"/>
              <w:left w:val="nil"/>
              <w:bottom w:val="single" w:sz="4" w:space="0" w:color="auto"/>
              <w:right w:val="single" w:sz="4" w:space="0" w:color="auto"/>
            </w:tcBorders>
            <w:shd w:val="clear" w:color="auto" w:fill="auto"/>
            <w:noWrap/>
            <w:hideMark/>
          </w:tcPr>
          <w:p w:rsidR="005D6ACF" w:rsidRPr="00A07586" w:rsidRDefault="005D6ACF" w:rsidP="008A253E">
            <w:pPr>
              <w:jc w:val="center"/>
              <w:rPr>
                <w:sz w:val="20"/>
                <w:szCs w:val="20"/>
              </w:rPr>
            </w:pPr>
            <w:r w:rsidRPr="00A07586">
              <w:rPr>
                <w:sz w:val="20"/>
                <w:szCs w:val="20"/>
              </w:rPr>
              <w:t>8 493</w:t>
            </w:r>
          </w:p>
        </w:tc>
        <w:tc>
          <w:tcPr>
            <w:tcW w:w="2015" w:type="dxa"/>
            <w:tcBorders>
              <w:top w:val="nil"/>
              <w:left w:val="nil"/>
              <w:bottom w:val="single" w:sz="4" w:space="0" w:color="auto"/>
              <w:right w:val="single" w:sz="4" w:space="0" w:color="auto"/>
            </w:tcBorders>
            <w:shd w:val="clear" w:color="auto" w:fill="auto"/>
            <w:noWrap/>
            <w:hideMark/>
          </w:tcPr>
          <w:p w:rsidR="005D6ACF" w:rsidRPr="00A07586" w:rsidRDefault="005D6ACF" w:rsidP="008A253E">
            <w:pPr>
              <w:jc w:val="center"/>
              <w:rPr>
                <w:sz w:val="20"/>
                <w:szCs w:val="20"/>
              </w:rPr>
            </w:pPr>
            <w:r w:rsidRPr="00A07586">
              <w:rPr>
                <w:sz w:val="20"/>
                <w:szCs w:val="20"/>
              </w:rPr>
              <w:t>169 982 600,0</w:t>
            </w:r>
          </w:p>
        </w:tc>
        <w:tc>
          <w:tcPr>
            <w:tcW w:w="1860" w:type="dxa"/>
            <w:tcBorders>
              <w:top w:val="nil"/>
              <w:left w:val="nil"/>
              <w:bottom w:val="single" w:sz="4" w:space="0" w:color="auto"/>
              <w:right w:val="single" w:sz="4" w:space="0" w:color="auto"/>
            </w:tcBorders>
            <w:shd w:val="clear" w:color="auto" w:fill="auto"/>
            <w:noWrap/>
            <w:hideMark/>
          </w:tcPr>
          <w:p w:rsidR="005D6ACF" w:rsidRPr="00A07586" w:rsidRDefault="005D6ACF" w:rsidP="008A253E">
            <w:pPr>
              <w:jc w:val="center"/>
              <w:rPr>
                <w:sz w:val="20"/>
                <w:szCs w:val="20"/>
              </w:rPr>
            </w:pPr>
            <w:r w:rsidRPr="00A07586">
              <w:rPr>
                <w:sz w:val="20"/>
                <w:szCs w:val="20"/>
              </w:rPr>
              <w:t>14 436,9</w:t>
            </w:r>
          </w:p>
        </w:tc>
        <w:tc>
          <w:tcPr>
            <w:tcW w:w="1600" w:type="dxa"/>
            <w:tcBorders>
              <w:top w:val="nil"/>
              <w:left w:val="nil"/>
              <w:bottom w:val="single" w:sz="4" w:space="0" w:color="auto"/>
              <w:right w:val="single" w:sz="8" w:space="0" w:color="auto"/>
            </w:tcBorders>
            <w:shd w:val="clear" w:color="auto" w:fill="auto"/>
            <w:noWrap/>
            <w:hideMark/>
          </w:tcPr>
          <w:p w:rsidR="005D6ACF" w:rsidRPr="00A07586" w:rsidRDefault="005D6ACF" w:rsidP="008A253E">
            <w:pPr>
              <w:jc w:val="center"/>
              <w:rPr>
                <w:sz w:val="20"/>
                <w:szCs w:val="20"/>
              </w:rPr>
            </w:pPr>
            <w:r w:rsidRPr="00A07586">
              <w:rPr>
                <w:sz w:val="20"/>
                <w:szCs w:val="20"/>
              </w:rPr>
              <w:t>22 930,0</w:t>
            </w:r>
          </w:p>
        </w:tc>
      </w:tr>
      <w:tr w:rsidR="005D6ACF" w:rsidRPr="00974FB1" w:rsidTr="008A253E">
        <w:trPr>
          <w:trHeight w:val="255"/>
        </w:trPr>
        <w:tc>
          <w:tcPr>
            <w:tcW w:w="1049" w:type="dxa"/>
            <w:tcBorders>
              <w:top w:val="nil"/>
              <w:left w:val="single" w:sz="8" w:space="0" w:color="auto"/>
              <w:bottom w:val="single" w:sz="4" w:space="0" w:color="auto"/>
              <w:right w:val="single" w:sz="4" w:space="0" w:color="auto"/>
            </w:tcBorders>
            <w:shd w:val="clear" w:color="auto" w:fill="auto"/>
            <w:noWrap/>
            <w:vAlign w:val="bottom"/>
            <w:hideMark/>
          </w:tcPr>
          <w:p w:rsidR="005D6ACF" w:rsidRPr="00974FB1" w:rsidRDefault="005D6ACF" w:rsidP="008A253E">
            <w:pPr>
              <w:jc w:val="center"/>
              <w:rPr>
                <w:bCs/>
                <w:sz w:val="22"/>
                <w:szCs w:val="22"/>
              </w:rPr>
            </w:pPr>
            <w:r w:rsidRPr="00974FB1">
              <w:rPr>
                <w:bCs/>
                <w:sz w:val="22"/>
                <w:szCs w:val="22"/>
              </w:rPr>
              <w:t>сентябрь</w:t>
            </w:r>
          </w:p>
        </w:tc>
        <w:tc>
          <w:tcPr>
            <w:tcW w:w="965" w:type="dxa"/>
            <w:tcBorders>
              <w:top w:val="nil"/>
              <w:left w:val="nil"/>
              <w:bottom w:val="single" w:sz="4" w:space="0" w:color="auto"/>
              <w:right w:val="single" w:sz="4" w:space="0" w:color="auto"/>
            </w:tcBorders>
            <w:shd w:val="clear" w:color="auto" w:fill="auto"/>
            <w:noWrap/>
            <w:vAlign w:val="bottom"/>
            <w:hideMark/>
          </w:tcPr>
          <w:p w:rsidR="005D6ACF" w:rsidRPr="00974FB1" w:rsidRDefault="005D6ACF" w:rsidP="008A253E">
            <w:pPr>
              <w:jc w:val="center"/>
              <w:rPr>
                <w:bCs/>
                <w:sz w:val="22"/>
                <w:szCs w:val="22"/>
              </w:rPr>
            </w:pPr>
            <w:r w:rsidRPr="00974FB1">
              <w:rPr>
                <w:bCs/>
                <w:sz w:val="22"/>
                <w:szCs w:val="22"/>
              </w:rPr>
              <w:t>30</w:t>
            </w:r>
          </w:p>
        </w:tc>
        <w:tc>
          <w:tcPr>
            <w:tcW w:w="2080" w:type="dxa"/>
            <w:tcBorders>
              <w:top w:val="nil"/>
              <w:left w:val="nil"/>
              <w:bottom w:val="single" w:sz="4" w:space="0" w:color="auto"/>
              <w:right w:val="single" w:sz="4" w:space="0" w:color="auto"/>
            </w:tcBorders>
            <w:shd w:val="clear" w:color="auto" w:fill="auto"/>
            <w:noWrap/>
            <w:hideMark/>
          </w:tcPr>
          <w:p w:rsidR="005D6ACF" w:rsidRPr="00A07586" w:rsidRDefault="005D6ACF" w:rsidP="008A253E">
            <w:pPr>
              <w:jc w:val="center"/>
              <w:rPr>
                <w:sz w:val="20"/>
                <w:szCs w:val="20"/>
              </w:rPr>
            </w:pPr>
            <w:r w:rsidRPr="00A07586">
              <w:rPr>
                <w:sz w:val="20"/>
                <w:szCs w:val="20"/>
              </w:rPr>
              <w:t>110 000 000,0</w:t>
            </w:r>
          </w:p>
        </w:tc>
        <w:tc>
          <w:tcPr>
            <w:tcW w:w="1220" w:type="dxa"/>
            <w:tcBorders>
              <w:top w:val="nil"/>
              <w:left w:val="nil"/>
              <w:bottom w:val="single" w:sz="4" w:space="0" w:color="auto"/>
              <w:right w:val="single" w:sz="4" w:space="0" w:color="auto"/>
            </w:tcBorders>
            <w:shd w:val="clear" w:color="auto" w:fill="auto"/>
            <w:noWrap/>
            <w:hideMark/>
          </w:tcPr>
          <w:p w:rsidR="005D6ACF" w:rsidRPr="00A07586" w:rsidRDefault="005D6ACF" w:rsidP="008A253E">
            <w:pPr>
              <w:jc w:val="center"/>
              <w:rPr>
                <w:sz w:val="20"/>
                <w:szCs w:val="20"/>
              </w:rPr>
            </w:pPr>
            <w:r w:rsidRPr="00A07586">
              <w:rPr>
                <w:sz w:val="20"/>
                <w:szCs w:val="20"/>
              </w:rPr>
              <w:t>0,1%</w:t>
            </w:r>
          </w:p>
        </w:tc>
        <w:tc>
          <w:tcPr>
            <w:tcW w:w="1840" w:type="dxa"/>
            <w:tcBorders>
              <w:top w:val="nil"/>
              <w:left w:val="nil"/>
              <w:bottom w:val="single" w:sz="4" w:space="0" w:color="auto"/>
              <w:right w:val="single" w:sz="4" w:space="0" w:color="auto"/>
            </w:tcBorders>
            <w:shd w:val="clear" w:color="auto" w:fill="auto"/>
            <w:noWrap/>
            <w:hideMark/>
          </w:tcPr>
          <w:p w:rsidR="005D6ACF" w:rsidRPr="00A07586" w:rsidRDefault="005D6ACF" w:rsidP="008A253E">
            <w:pPr>
              <w:jc w:val="center"/>
              <w:rPr>
                <w:sz w:val="20"/>
                <w:szCs w:val="20"/>
              </w:rPr>
            </w:pPr>
            <w:r w:rsidRPr="00A07586">
              <w:rPr>
                <w:sz w:val="20"/>
                <w:szCs w:val="20"/>
              </w:rPr>
              <w:t>9 041</w:t>
            </w:r>
          </w:p>
        </w:tc>
        <w:tc>
          <w:tcPr>
            <w:tcW w:w="2015" w:type="dxa"/>
            <w:tcBorders>
              <w:top w:val="nil"/>
              <w:left w:val="nil"/>
              <w:bottom w:val="single" w:sz="4" w:space="0" w:color="auto"/>
              <w:right w:val="single" w:sz="4" w:space="0" w:color="auto"/>
            </w:tcBorders>
            <w:shd w:val="clear" w:color="auto" w:fill="auto"/>
            <w:noWrap/>
            <w:hideMark/>
          </w:tcPr>
          <w:p w:rsidR="005D6ACF" w:rsidRPr="00A07586" w:rsidRDefault="005D6ACF" w:rsidP="008A253E">
            <w:pPr>
              <w:jc w:val="center"/>
              <w:rPr>
                <w:sz w:val="20"/>
                <w:szCs w:val="20"/>
              </w:rPr>
            </w:pPr>
            <w:r w:rsidRPr="00A07586">
              <w:rPr>
                <w:sz w:val="20"/>
                <w:szCs w:val="20"/>
              </w:rPr>
              <w:t>169 982 600,0</w:t>
            </w:r>
          </w:p>
        </w:tc>
        <w:tc>
          <w:tcPr>
            <w:tcW w:w="1860" w:type="dxa"/>
            <w:tcBorders>
              <w:top w:val="nil"/>
              <w:left w:val="nil"/>
              <w:bottom w:val="single" w:sz="4" w:space="0" w:color="auto"/>
              <w:right w:val="single" w:sz="4" w:space="0" w:color="auto"/>
            </w:tcBorders>
            <w:shd w:val="clear" w:color="auto" w:fill="auto"/>
            <w:noWrap/>
            <w:hideMark/>
          </w:tcPr>
          <w:p w:rsidR="005D6ACF" w:rsidRPr="00A07586" w:rsidRDefault="005D6ACF" w:rsidP="008A253E">
            <w:pPr>
              <w:jc w:val="center"/>
              <w:rPr>
                <w:sz w:val="20"/>
                <w:szCs w:val="20"/>
              </w:rPr>
            </w:pPr>
            <w:r w:rsidRPr="00A07586">
              <w:rPr>
                <w:sz w:val="20"/>
                <w:szCs w:val="20"/>
              </w:rPr>
              <w:t>13 971,2</w:t>
            </w:r>
          </w:p>
        </w:tc>
        <w:tc>
          <w:tcPr>
            <w:tcW w:w="1600" w:type="dxa"/>
            <w:tcBorders>
              <w:top w:val="nil"/>
              <w:left w:val="nil"/>
              <w:bottom w:val="single" w:sz="4" w:space="0" w:color="auto"/>
              <w:right w:val="single" w:sz="8" w:space="0" w:color="auto"/>
            </w:tcBorders>
            <w:shd w:val="clear" w:color="auto" w:fill="auto"/>
            <w:noWrap/>
            <w:hideMark/>
          </w:tcPr>
          <w:p w:rsidR="005D6ACF" w:rsidRPr="00A07586" w:rsidRDefault="005D6ACF" w:rsidP="008A253E">
            <w:pPr>
              <w:jc w:val="center"/>
              <w:rPr>
                <w:sz w:val="20"/>
                <w:szCs w:val="20"/>
              </w:rPr>
            </w:pPr>
            <w:r w:rsidRPr="00A07586">
              <w:rPr>
                <w:sz w:val="20"/>
                <w:szCs w:val="20"/>
              </w:rPr>
              <w:t>23 012,3</w:t>
            </w:r>
          </w:p>
        </w:tc>
      </w:tr>
      <w:tr w:rsidR="005D6ACF" w:rsidRPr="00974FB1" w:rsidTr="008A253E">
        <w:trPr>
          <w:trHeight w:val="255"/>
        </w:trPr>
        <w:tc>
          <w:tcPr>
            <w:tcW w:w="1049" w:type="dxa"/>
            <w:tcBorders>
              <w:top w:val="nil"/>
              <w:left w:val="single" w:sz="8" w:space="0" w:color="auto"/>
              <w:bottom w:val="single" w:sz="4" w:space="0" w:color="auto"/>
              <w:right w:val="single" w:sz="4" w:space="0" w:color="auto"/>
            </w:tcBorders>
            <w:shd w:val="clear" w:color="auto" w:fill="auto"/>
            <w:noWrap/>
            <w:vAlign w:val="bottom"/>
            <w:hideMark/>
          </w:tcPr>
          <w:p w:rsidR="005D6ACF" w:rsidRPr="00974FB1" w:rsidRDefault="005D6ACF" w:rsidP="008A253E">
            <w:pPr>
              <w:jc w:val="center"/>
              <w:rPr>
                <w:bCs/>
                <w:sz w:val="22"/>
                <w:szCs w:val="22"/>
              </w:rPr>
            </w:pPr>
            <w:r w:rsidRPr="00974FB1">
              <w:rPr>
                <w:bCs/>
                <w:sz w:val="22"/>
                <w:szCs w:val="22"/>
              </w:rPr>
              <w:t>октябрь</w:t>
            </w:r>
          </w:p>
        </w:tc>
        <w:tc>
          <w:tcPr>
            <w:tcW w:w="965" w:type="dxa"/>
            <w:tcBorders>
              <w:top w:val="nil"/>
              <w:left w:val="nil"/>
              <w:bottom w:val="single" w:sz="4" w:space="0" w:color="auto"/>
              <w:right w:val="single" w:sz="4" w:space="0" w:color="auto"/>
            </w:tcBorders>
            <w:shd w:val="clear" w:color="auto" w:fill="auto"/>
            <w:noWrap/>
            <w:vAlign w:val="bottom"/>
            <w:hideMark/>
          </w:tcPr>
          <w:p w:rsidR="005D6ACF" w:rsidRPr="00974FB1" w:rsidRDefault="005D6ACF" w:rsidP="008A253E">
            <w:pPr>
              <w:jc w:val="center"/>
              <w:rPr>
                <w:bCs/>
                <w:sz w:val="22"/>
                <w:szCs w:val="22"/>
              </w:rPr>
            </w:pPr>
            <w:r w:rsidRPr="00974FB1">
              <w:rPr>
                <w:bCs/>
                <w:sz w:val="22"/>
                <w:szCs w:val="22"/>
              </w:rPr>
              <w:t>31</w:t>
            </w:r>
          </w:p>
        </w:tc>
        <w:tc>
          <w:tcPr>
            <w:tcW w:w="2080" w:type="dxa"/>
            <w:tcBorders>
              <w:top w:val="nil"/>
              <w:left w:val="nil"/>
              <w:bottom w:val="single" w:sz="4" w:space="0" w:color="auto"/>
              <w:right w:val="single" w:sz="4" w:space="0" w:color="auto"/>
            </w:tcBorders>
            <w:shd w:val="clear" w:color="auto" w:fill="auto"/>
            <w:noWrap/>
            <w:hideMark/>
          </w:tcPr>
          <w:p w:rsidR="005D6ACF" w:rsidRPr="00A07586" w:rsidRDefault="005D6ACF" w:rsidP="008A253E">
            <w:pPr>
              <w:jc w:val="center"/>
              <w:rPr>
                <w:sz w:val="20"/>
                <w:szCs w:val="20"/>
              </w:rPr>
            </w:pPr>
            <w:r w:rsidRPr="00A07586">
              <w:rPr>
                <w:sz w:val="20"/>
                <w:szCs w:val="20"/>
              </w:rPr>
              <w:t>150 000 000,0</w:t>
            </w:r>
          </w:p>
        </w:tc>
        <w:tc>
          <w:tcPr>
            <w:tcW w:w="1220" w:type="dxa"/>
            <w:tcBorders>
              <w:top w:val="nil"/>
              <w:left w:val="nil"/>
              <w:bottom w:val="single" w:sz="4" w:space="0" w:color="auto"/>
              <w:right w:val="single" w:sz="4" w:space="0" w:color="auto"/>
            </w:tcBorders>
            <w:shd w:val="clear" w:color="auto" w:fill="auto"/>
            <w:noWrap/>
            <w:hideMark/>
          </w:tcPr>
          <w:p w:rsidR="005D6ACF" w:rsidRPr="00A07586" w:rsidRDefault="005D6ACF" w:rsidP="008A253E">
            <w:pPr>
              <w:jc w:val="center"/>
              <w:rPr>
                <w:sz w:val="20"/>
                <w:szCs w:val="20"/>
              </w:rPr>
            </w:pPr>
            <w:r w:rsidRPr="00A07586">
              <w:rPr>
                <w:sz w:val="20"/>
                <w:szCs w:val="20"/>
              </w:rPr>
              <w:t>0,1%</w:t>
            </w:r>
          </w:p>
        </w:tc>
        <w:tc>
          <w:tcPr>
            <w:tcW w:w="1840" w:type="dxa"/>
            <w:tcBorders>
              <w:top w:val="nil"/>
              <w:left w:val="nil"/>
              <w:bottom w:val="single" w:sz="4" w:space="0" w:color="auto"/>
              <w:right w:val="single" w:sz="4" w:space="0" w:color="auto"/>
            </w:tcBorders>
            <w:shd w:val="clear" w:color="auto" w:fill="auto"/>
            <w:noWrap/>
            <w:hideMark/>
          </w:tcPr>
          <w:p w:rsidR="005D6ACF" w:rsidRPr="00A07586" w:rsidRDefault="005D6ACF" w:rsidP="008A253E">
            <w:pPr>
              <w:jc w:val="center"/>
              <w:rPr>
                <w:sz w:val="20"/>
                <w:szCs w:val="20"/>
              </w:rPr>
            </w:pPr>
            <w:r w:rsidRPr="00A07586">
              <w:rPr>
                <w:sz w:val="20"/>
                <w:szCs w:val="20"/>
              </w:rPr>
              <w:t>12 740</w:t>
            </w:r>
          </w:p>
        </w:tc>
        <w:tc>
          <w:tcPr>
            <w:tcW w:w="2015" w:type="dxa"/>
            <w:tcBorders>
              <w:top w:val="nil"/>
              <w:left w:val="nil"/>
              <w:bottom w:val="single" w:sz="4" w:space="0" w:color="auto"/>
              <w:right w:val="single" w:sz="4" w:space="0" w:color="auto"/>
            </w:tcBorders>
            <w:shd w:val="clear" w:color="auto" w:fill="auto"/>
            <w:noWrap/>
            <w:hideMark/>
          </w:tcPr>
          <w:p w:rsidR="005D6ACF" w:rsidRPr="00A07586" w:rsidRDefault="005D6ACF" w:rsidP="008A253E">
            <w:pPr>
              <w:jc w:val="center"/>
              <w:rPr>
                <w:sz w:val="20"/>
                <w:szCs w:val="20"/>
              </w:rPr>
            </w:pPr>
            <w:r w:rsidRPr="00A07586">
              <w:rPr>
                <w:sz w:val="20"/>
                <w:szCs w:val="20"/>
              </w:rPr>
              <w:t>169 982 600,0</w:t>
            </w:r>
          </w:p>
        </w:tc>
        <w:tc>
          <w:tcPr>
            <w:tcW w:w="1860" w:type="dxa"/>
            <w:tcBorders>
              <w:top w:val="nil"/>
              <w:left w:val="nil"/>
              <w:bottom w:val="single" w:sz="4" w:space="0" w:color="auto"/>
              <w:right w:val="single" w:sz="4" w:space="0" w:color="auto"/>
            </w:tcBorders>
            <w:shd w:val="clear" w:color="auto" w:fill="auto"/>
            <w:noWrap/>
            <w:hideMark/>
          </w:tcPr>
          <w:p w:rsidR="005D6ACF" w:rsidRPr="00A07586" w:rsidRDefault="005D6ACF" w:rsidP="008A253E">
            <w:pPr>
              <w:jc w:val="center"/>
              <w:rPr>
                <w:sz w:val="20"/>
                <w:szCs w:val="20"/>
              </w:rPr>
            </w:pPr>
            <w:r w:rsidRPr="00A07586">
              <w:rPr>
                <w:sz w:val="20"/>
                <w:szCs w:val="20"/>
              </w:rPr>
              <w:t>14 436,9</w:t>
            </w:r>
          </w:p>
        </w:tc>
        <w:tc>
          <w:tcPr>
            <w:tcW w:w="1600" w:type="dxa"/>
            <w:tcBorders>
              <w:top w:val="nil"/>
              <w:left w:val="nil"/>
              <w:bottom w:val="single" w:sz="4" w:space="0" w:color="auto"/>
              <w:right w:val="single" w:sz="8" w:space="0" w:color="auto"/>
            </w:tcBorders>
            <w:shd w:val="clear" w:color="auto" w:fill="auto"/>
            <w:noWrap/>
            <w:hideMark/>
          </w:tcPr>
          <w:p w:rsidR="005D6ACF" w:rsidRPr="00A07586" w:rsidRDefault="005D6ACF" w:rsidP="008A253E">
            <w:pPr>
              <w:jc w:val="center"/>
              <w:rPr>
                <w:sz w:val="20"/>
                <w:szCs w:val="20"/>
              </w:rPr>
            </w:pPr>
            <w:r w:rsidRPr="00A07586">
              <w:rPr>
                <w:sz w:val="20"/>
                <w:szCs w:val="20"/>
              </w:rPr>
              <w:t>27 176,6</w:t>
            </w:r>
          </w:p>
        </w:tc>
      </w:tr>
      <w:tr w:rsidR="005D6ACF" w:rsidRPr="00974FB1" w:rsidTr="008A253E">
        <w:trPr>
          <w:trHeight w:val="255"/>
        </w:trPr>
        <w:tc>
          <w:tcPr>
            <w:tcW w:w="1049" w:type="dxa"/>
            <w:tcBorders>
              <w:top w:val="nil"/>
              <w:left w:val="single" w:sz="8" w:space="0" w:color="auto"/>
              <w:bottom w:val="single" w:sz="4" w:space="0" w:color="auto"/>
              <w:right w:val="single" w:sz="4" w:space="0" w:color="auto"/>
            </w:tcBorders>
            <w:shd w:val="clear" w:color="auto" w:fill="auto"/>
            <w:noWrap/>
            <w:vAlign w:val="bottom"/>
            <w:hideMark/>
          </w:tcPr>
          <w:p w:rsidR="005D6ACF" w:rsidRPr="00974FB1" w:rsidRDefault="005D6ACF" w:rsidP="008A253E">
            <w:pPr>
              <w:jc w:val="center"/>
              <w:rPr>
                <w:bCs/>
                <w:sz w:val="22"/>
                <w:szCs w:val="22"/>
              </w:rPr>
            </w:pPr>
            <w:r w:rsidRPr="00974FB1">
              <w:rPr>
                <w:bCs/>
                <w:sz w:val="22"/>
                <w:szCs w:val="22"/>
              </w:rPr>
              <w:t>ноябрь</w:t>
            </w:r>
          </w:p>
        </w:tc>
        <w:tc>
          <w:tcPr>
            <w:tcW w:w="965" w:type="dxa"/>
            <w:tcBorders>
              <w:top w:val="nil"/>
              <w:left w:val="nil"/>
              <w:bottom w:val="single" w:sz="4" w:space="0" w:color="auto"/>
              <w:right w:val="single" w:sz="4" w:space="0" w:color="auto"/>
            </w:tcBorders>
            <w:shd w:val="clear" w:color="auto" w:fill="auto"/>
            <w:noWrap/>
            <w:vAlign w:val="bottom"/>
            <w:hideMark/>
          </w:tcPr>
          <w:p w:rsidR="005D6ACF" w:rsidRPr="00974FB1" w:rsidRDefault="005D6ACF" w:rsidP="008A253E">
            <w:pPr>
              <w:jc w:val="center"/>
              <w:rPr>
                <w:bCs/>
                <w:sz w:val="22"/>
                <w:szCs w:val="22"/>
              </w:rPr>
            </w:pPr>
            <w:r w:rsidRPr="00974FB1">
              <w:rPr>
                <w:bCs/>
                <w:sz w:val="22"/>
                <w:szCs w:val="22"/>
              </w:rPr>
              <w:t>30</w:t>
            </w:r>
          </w:p>
        </w:tc>
        <w:tc>
          <w:tcPr>
            <w:tcW w:w="2080" w:type="dxa"/>
            <w:tcBorders>
              <w:top w:val="nil"/>
              <w:left w:val="nil"/>
              <w:bottom w:val="single" w:sz="4" w:space="0" w:color="auto"/>
              <w:right w:val="single" w:sz="4" w:space="0" w:color="auto"/>
            </w:tcBorders>
            <w:shd w:val="clear" w:color="auto" w:fill="auto"/>
            <w:noWrap/>
            <w:hideMark/>
          </w:tcPr>
          <w:p w:rsidR="005D6ACF" w:rsidRPr="00A07586" w:rsidRDefault="005D6ACF" w:rsidP="008A253E">
            <w:pPr>
              <w:jc w:val="center"/>
              <w:rPr>
                <w:sz w:val="20"/>
                <w:szCs w:val="20"/>
              </w:rPr>
            </w:pPr>
            <w:r w:rsidRPr="00A07586">
              <w:rPr>
                <w:sz w:val="20"/>
                <w:szCs w:val="20"/>
              </w:rPr>
              <w:t>180 000 000,0</w:t>
            </w:r>
          </w:p>
        </w:tc>
        <w:tc>
          <w:tcPr>
            <w:tcW w:w="1220" w:type="dxa"/>
            <w:tcBorders>
              <w:top w:val="nil"/>
              <w:left w:val="nil"/>
              <w:bottom w:val="single" w:sz="4" w:space="0" w:color="auto"/>
              <w:right w:val="single" w:sz="4" w:space="0" w:color="auto"/>
            </w:tcBorders>
            <w:shd w:val="clear" w:color="auto" w:fill="auto"/>
            <w:noWrap/>
            <w:hideMark/>
          </w:tcPr>
          <w:p w:rsidR="005D6ACF" w:rsidRPr="00A07586" w:rsidRDefault="005D6ACF" w:rsidP="008A253E">
            <w:pPr>
              <w:jc w:val="center"/>
              <w:rPr>
                <w:sz w:val="20"/>
                <w:szCs w:val="20"/>
              </w:rPr>
            </w:pPr>
            <w:r w:rsidRPr="00A07586">
              <w:rPr>
                <w:sz w:val="20"/>
                <w:szCs w:val="20"/>
              </w:rPr>
              <w:t>0,1%</w:t>
            </w:r>
          </w:p>
        </w:tc>
        <w:tc>
          <w:tcPr>
            <w:tcW w:w="1840" w:type="dxa"/>
            <w:tcBorders>
              <w:top w:val="nil"/>
              <w:left w:val="nil"/>
              <w:bottom w:val="single" w:sz="4" w:space="0" w:color="auto"/>
              <w:right w:val="single" w:sz="4" w:space="0" w:color="auto"/>
            </w:tcBorders>
            <w:shd w:val="clear" w:color="auto" w:fill="auto"/>
            <w:noWrap/>
            <w:hideMark/>
          </w:tcPr>
          <w:p w:rsidR="005D6ACF" w:rsidRPr="00A07586" w:rsidRDefault="005D6ACF" w:rsidP="008A253E">
            <w:pPr>
              <w:jc w:val="center"/>
              <w:rPr>
                <w:sz w:val="20"/>
                <w:szCs w:val="20"/>
              </w:rPr>
            </w:pPr>
            <w:r w:rsidRPr="00A07586">
              <w:rPr>
                <w:sz w:val="20"/>
                <w:szCs w:val="20"/>
              </w:rPr>
              <w:t>14 795</w:t>
            </w:r>
          </w:p>
        </w:tc>
        <w:tc>
          <w:tcPr>
            <w:tcW w:w="2015" w:type="dxa"/>
            <w:tcBorders>
              <w:top w:val="nil"/>
              <w:left w:val="nil"/>
              <w:bottom w:val="single" w:sz="4" w:space="0" w:color="auto"/>
              <w:right w:val="single" w:sz="4" w:space="0" w:color="auto"/>
            </w:tcBorders>
            <w:shd w:val="clear" w:color="auto" w:fill="auto"/>
            <w:noWrap/>
            <w:hideMark/>
          </w:tcPr>
          <w:p w:rsidR="005D6ACF" w:rsidRPr="00A07586" w:rsidRDefault="005D6ACF" w:rsidP="008A253E">
            <w:pPr>
              <w:jc w:val="center"/>
              <w:rPr>
                <w:sz w:val="20"/>
                <w:szCs w:val="20"/>
              </w:rPr>
            </w:pPr>
            <w:r w:rsidRPr="00A07586">
              <w:rPr>
                <w:sz w:val="20"/>
                <w:szCs w:val="20"/>
              </w:rPr>
              <w:t>169 982 600,0</w:t>
            </w:r>
          </w:p>
        </w:tc>
        <w:tc>
          <w:tcPr>
            <w:tcW w:w="1860" w:type="dxa"/>
            <w:tcBorders>
              <w:top w:val="nil"/>
              <w:left w:val="nil"/>
              <w:bottom w:val="single" w:sz="4" w:space="0" w:color="auto"/>
              <w:right w:val="single" w:sz="4" w:space="0" w:color="auto"/>
            </w:tcBorders>
            <w:shd w:val="clear" w:color="auto" w:fill="auto"/>
            <w:noWrap/>
            <w:hideMark/>
          </w:tcPr>
          <w:p w:rsidR="005D6ACF" w:rsidRPr="00A07586" w:rsidRDefault="005D6ACF" w:rsidP="008A253E">
            <w:pPr>
              <w:jc w:val="center"/>
              <w:rPr>
                <w:sz w:val="20"/>
                <w:szCs w:val="20"/>
              </w:rPr>
            </w:pPr>
            <w:r w:rsidRPr="00A07586">
              <w:rPr>
                <w:sz w:val="20"/>
                <w:szCs w:val="20"/>
              </w:rPr>
              <w:t>13 971,2</w:t>
            </w:r>
          </w:p>
        </w:tc>
        <w:tc>
          <w:tcPr>
            <w:tcW w:w="1600" w:type="dxa"/>
            <w:tcBorders>
              <w:top w:val="nil"/>
              <w:left w:val="nil"/>
              <w:bottom w:val="single" w:sz="4" w:space="0" w:color="auto"/>
              <w:right w:val="single" w:sz="8" w:space="0" w:color="auto"/>
            </w:tcBorders>
            <w:shd w:val="clear" w:color="auto" w:fill="auto"/>
            <w:noWrap/>
            <w:hideMark/>
          </w:tcPr>
          <w:p w:rsidR="005D6ACF" w:rsidRPr="00A07586" w:rsidRDefault="005D6ACF" w:rsidP="008A253E">
            <w:pPr>
              <w:jc w:val="center"/>
              <w:rPr>
                <w:sz w:val="20"/>
                <w:szCs w:val="20"/>
              </w:rPr>
            </w:pPr>
            <w:r w:rsidRPr="00A07586">
              <w:rPr>
                <w:sz w:val="20"/>
                <w:szCs w:val="20"/>
              </w:rPr>
              <w:t>28 765,7</w:t>
            </w:r>
          </w:p>
        </w:tc>
      </w:tr>
      <w:tr w:rsidR="005D6ACF" w:rsidRPr="00974FB1" w:rsidTr="008A253E">
        <w:trPr>
          <w:trHeight w:val="255"/>
        </w:trPr>
        <w:tc>
          <w:tcPr>
            <w:tcW w:w="1049" w:type="dxa"/>
            <w:tcBorders>
              <w:top w:val="nil"/>
              <w:left w:val="single" w:sz="8" w:space="0" w:color="auto"/>
              <w:bottom w:val="single" w:sz="4" w:space="0" w:color="auto"/>
              <w:right w:val="single" w:sz="4" w:space="0" w:color="auto"/>
            </w:tcBorders>
            <w:shd w:val="clear" w:color="auto" w:fill="auto"/>
            <w:noWrap/>
            <w:vAlign w:val="bottom"/>
            <w:hideMark/>
          </w:tcPr>
          <w:p w:rsidR="005D6ACF" w:rsidRPr="00974FB1" w:rsidRDefault="005D6ACF" w:rsidP="008A253E">
            <w:pPr>
              <w:jc w:val="center"/>
              <w:rPr>
                <w:bCs/>
                <w:sz w:val="22"/>
                <w:szCs w:val="22"/>
              </w:rPr>
            </w:pPr>
            <w:r w:rsidRPr="00974FB1">
              <w:rPr>
                <w:bCs/>
                <w:sz w:val="22"/>
                <w:szCs w:val="22"/>
              </w:rPr>
              <w:t>декабрь</w:t>
            </w:r>
          </w:p>
        </w:tc>
        <w:tc>
          <w:tcPr>
            <w:tcW w:w="965" w:type="dxa"/>
            <w:tcBorders>
              <w:top w:val="nil"/>
              <w:left w:val="nil"/>
              <w:bottom w:val="single" w:sz="4" w:space="0" w:color="auto"/>
              <w:right w:val="single" w:sz="4" w:space="0" w:color="auto"/>
            </w:tcBorders>
            <w:shd w:val="clear" w:color="auto" w:fill="auto"/>
            <w:noWrap/>
            <w:vAlign w:val="bottom"/>
            <w:hideMark/>
          </w:tcPr>
          <w:p w:rsidR="005D6ACF" w:rsidRPr="00974FB1" w:rsidRDefault="005D6ACF" w:rsidP="008A253E">
            <w:pPr>
              <w:jc w:val="center"/>
              <w:rPr>
                <w:bCs/>
                <w:sz w:val="22"/>
                <w:szCs w:val="22"/>
              </w:rPr>
            </w:pPr>
            <w:r w:rsidRPr="00974FB1">
              <w:rPr>
                <w:bCs/>
                <w:sz w:val="22"/>
                <w:szCs w:val="22"/>
              </w:rPr>
              <w:t>31</w:t>
            </w:r>
          </w:p>
        </w:tc>
        <w:tc>
          <w:tcPr>
            <w:tcW w:w="2080" w:type="dxa"/>
            <w:tcBorders>
              <w:top w:val="nil"/>
              <w:left w:val="nil"/>
              <w:bottom w:val="single" w:sz="4" w:space="0" w:color="auto"/>
              <w:right w:val="single" w:sz="4" w:space="0" w:color="auto"/>
            </w:tcBorders>
            <w:shd w:val="clear" w:color="auto" w:fill="auto"/>
            <w:noWrap/>
            <w:hideMark/>
          </w:tcPr>
          <w:p w:rsidR="005D6ACF" w:rsidRPr="00A07586" w:rsidRDefault="005D6ACF" w:rsidP="008A253E">
            <w:pPr>
              <w:jc w:val="center"/>
              <w:rPr>
                <w:sz w:val="20"/>
                <w:szCs w:val="20"/>
              </w:rPr>
            </w:pPr>
            <w:r w:rsidRPr="00A07586">
              <w:rPr>
                <w:sz w:val="20"/>
                <w:szCs w:val="20"/>
              </w:rPr>
              <w:t>220 000 000,0</w:t>
            </w:r>
          </w:p>
        </w:tc>
        <w:tc>
          <w:tcPr>
            <w:tcW w:w="1220" w:type="dxa"/>
            <w:tcBorders>
              <w:top w:val="nil"/>
              <w:left w:val="nil"/>
              <w:bottom w:val="single" w:sz="4" w:space="0" w:color="auto"/>
              <w:right w:val="single" w:sz="4" w:space="0" w:color="auto"/>
            </w:tcBorders>
            <w:shd w:val="clear" w:color="auto" w:fill="auto"/>
            <w:noWrap/>
            <w:hideMark/>
          </w:tcPr>
          <w:p w:rsidR="005D6ACF" w:rsidRPr="00A07586" w:rsidRDefault="005D6ACF" w:rsidP="008A253E">
            <w:pPr>
              <w:jc w:val="center"/>
              <w:rPr>
                <w:sz w:val="20"/>
                <w:szCs w:val="20"/>
              </w:rPr>
            </w:pPr>
            <w:r w:rsidRPr="00A07586">
              <w:rPr>
                <w:sz w:val="20"/>
                <w:szCs w:val="20"/>
              </w:rPr>
              <w:t>0,1%</w:t>
            </w:r>
          </w:p>
        </w:tc>
        <w:tc>
          <w:tcPr>
            <w:tcW w:w="1840" w:type="dxa"/>
            <w:tcBorders>
              <w:top w:val="nil"/>
              <w:left w:val="nil"/>
              <w:bottom w:val="single" w:sz="4" w:space="0" w:color="auto"/>
              <w:right w:val="single" w:sz="4" w:space="0" w:color="auto"/>
            </w:tcBorders>
            <w:shd w:val="clear" w:color="auto" w:fill="auto"/>
            <w:noWrap/>
            <w:hideMark/>
          </w:tcPr>
          <w:p w:rsidR="005D6ACF" w:rsidRPr="00A07586" w:rsidRDefault="005D6ACF" w:rsidP="008A253E">
            <w:pPr>
              <w:jc w:val="center"/>
              <w:rPr>
                <w:sz w:val="20"/>
                <w:szCs w:val="20"/>
              </w:rPr>
            </w:pPr>
            <w:r w:rsidRPr="00A07586">
              <w:rPr>
                <w:sz w:val="20"/>
                <w:szCs w:val="20"/>
              </w:rPr>
              <w:t>18 685</w:t>
            </w:r>
          </w:p>
        </w:tc>
        <w:tc>
          <w:tcPr>
            <w:tcW w:w="2015" w:type="dxa"/>
            <w:tcBorders>
              <w:top w:val="nil"/>
              <w:left w:val="nil"/>
              <w:bottom w:val="single" w:sz="4" w:space="0" w:color="auto"/>
              <w:right w:val="single" w:sz="4" w:space="0" w:color="auto"/>
            </w:tcBorders>
            <w:shd w:val="clear" w:color="auto" w:fill="auto"/>
            <w:noWrap/>
            <w:hideMark/>
          </w:tcPr>
          <w:p w:rsidR="005D6ACF" w:rsidRPr="00A07586" w:rsidRDefault="005D6ACF" w:rsidP="008A253E">
            <w:pPr>
              <w:jc w:val="center"/>
              <w:rPr>
                <w:sz w:val="20"/>
                <w:szCs w:val="20"/>
              </w:rPr>
            </w:pPr>
            <w:r w:rsidRPr="00A07586">
              <w:rPr>
                <w:sz w:val="20"/>
                <w:szCs w:val="20"/>
              </w:rPr>
              <w:t>169 982 600,0</w:t>
            </w:r>
          </w:p>
        </w:tc>
        <w:tc>
          <w:tcPr>
            <w:tcW w:w="1860" w:type="dxa"/>
            <w:tcBorders>
              <w:top w:val="nil"/>
              <w:left w:val="nil"/>
              <w:bottom w:val="single" w:sz="4" w:space="0" w:color="auto"/>
              <w:right w:val="single" w:sz="4" w:space="0" w:color="auto"/>
            </w:tcBorders>
            <w:shd w:val="clear" w:color="auto" w:fill="auto"/>
            <w:noWrap/>
            <w:hideMark/>
          </w:tcPr>
          <w:p w:rsidR="005D6ACF" w:rsidRPr="00A07586" w:rsidRDefault="005D6ACF" w:rsidP="008A253E">
            <w:pPr>
              <w:jc w:val="center"/>
              <w:rPr>
                <w:sz w:val="20"/>
                <w:szCs w:val="20"/>
              </w:rPr>
            </w:pPr>
            <w:r w:rsidRPr="00A07586">
              <w:rPr>
                <w:sz w:val="20"/>
                <w:szCs w:val="20"/>
              </w:rPr>
              <w:t>14 436,9</w:t>
            </w:r>
          </w:p>
        </w:tc>
        <w:tc>
          <w:tcPr>
            <w:tcW w:w="1600" w:type="dxa"/>
            <w:tcBorders>
              <w:top w:val="nil"/>
              <w:left w:val="nil"/>
              <w:bottom w:val="single" w:sz="4" w:space="0" w:color="auto"/>
              <w:right w:val="single" w:sz="8" w:space="0" w:color="auto"/>
            </w:tcBorders>
            <w:shd w:val="clear" w:color="auto" w:fill="auto"/>
            <w:noWrap/>
            <w:hideMark/>
          </w:tcPr>
          <w:p w:rsidR="005D6ACF" w:rsidRPr="00A07586" w:rsidRDefault="005D6ACF" w:rsidP="008A253E">
            <w:pPr>
              <w:jc w:val="center"/>
              <w:rPr>
                <w:sz w:val="20"/>
                <w:szCs w:val="20"/>
              </w:rPr>
            </w:pPr>
            <w:r w:rsidRPr="00A07586">
              <w:rPr>
                <w:sz w:val="20"/>
                <w:szCs w:val="20"/>
              </w:rPr>
              <w:t>33 121,8</w:t>
            </w:r>
          </w:p>
        </w:tc>
      </w:tr>
      <w:tr w:rsidR="005D6ACF" w:rsidRPr="00974FB1" w:rsidTr="008A253E">
        <w:trPr>
          <w:trHeight w:val="270"/>
        </w:trPr>
        <w:tc>
          <w:tcPr>
            <w:tcW w:w="1049" w:type="dxa"/>
            <w:tcBorders>
              <w:top w:val="nil"/>
              <w:left w:val="single" w:sz="8" w:space="0" w:color="auto"/>
              <w:bottom w:val="single" w:sz="8" w:space="0" w:color="auto"/>
              <w:right w:val="single" w:sz="4" w:space="0" w:color="auto"/>
            </w:tcBorders>
            <w:shd w:val="clear" w:color="auto" w:fill="auto"/>
            <w:noWrap/>
            <w:vAlign w:val="bottom"/>
            <w:hideMark/>
          </w:tcPr>
          <w:p w:rsidR="005D6ACF" w:rsidRPr="00974FB1" w:rsidRDefault="005D6ACF" w:rsidP="008A253E">
            <w:pPr>
              <w:jc w:val="center"/>
              <w:rPr>
                <w:b/>
                <w:bCs/>
                <w:sz w:val="22"/>
                <w:szCs w:val="22"/>
              </w:rPr>
            </w:pPr>
            <w:r w:rsidRPr="00974FB1">
              <w:rPr>
                <w:b/>
                <w:bCs/>
                <w:sz w:val="22"/>
                <w:szCs w:val="22"/>
              </w:rPr>
              <w:t>Всего</w:t>
            </w:r>
          </w:p>
        </w:tc>
        <w:tc>
          <w:tcPr>
            <w:tcW w:w="965" w:type="dxa"/>
            <w:tcBorders>
              <w:top w:val="nil"/>
              <w:left w:val="nil"/>
              <w:bottom w:val="single" w:sz="8" w:space="0" w:color="auto"/>
              <w:right w:val="single" w:sz="4" w:space="0" w:color="auto"/>
            </w:tcBorders>
            <w:shd w:val="clear" w:color="auto" w:fill="auto"/>
            <w:noWrap/>
            <w:vAlign w:val="bottom"/>
            <w:hideMark/>
          </w:tcPr>
          <w:p w:rsidR="005D6ACF" w:rsidRPr="00974FB1" w:rsidRDefault="005D6ACF" w:rsidP="008A253E">
            <w:pPr>
              <w:jc w:val="center"/>
              <w:rPr>
                <w:b/>
                <w:bCs/>
                <w:sz w:val="22"/>
                <w:szCs w:val="22"/>
              </w:rPr>
            </w:pPr>
            <w:r w:rsidRPr="00974FB1">
              <w:rPr>
                <w:b/>
                <w:bCs/>
                <w:sz w:val="22"/>
                <w:szCs w:val="22"/>
              </w:rPr>
              <w:t>365</w:t>
            </w:r>
          </w:p>
        </w:tc>
        <w:tc>
          <w:tcPr>
            <w:tcW w:w="2080" w:type="dxa"/>
            <w:tcBorders>
              <w:top w:val="nil"/>
              <w:left w:val="nil"/>
              <w:bottom w:val="single" w:sz="8" w:space="0" w:color="auto"/>
              <w:right w:val="single" w:sz="4" w:space="0" w:color="auto"/>
            </w:tcBorders>
            <w:shd w:val="clear" w:color="auto" w:fill="auto"/>
            <w:noWrap/>
            <w:hideMark/>
          </w:tcPr>
          <w:p w:rsidR="005D6ACF" w:rsidRPr="00A07586" w:rsidRDefault="005D6ACF" w:rsidP="008A253E">
            <w:pPr>
              <w:jc w:val="center"/>
              <w:rPr>
                <w:b/>
                <w:sz w:val="20"/>
                <w:szCs w:val="20"/>
              </w:rPr>
            </w:pPr>
            <w:r w:rsidRPr="00A07586">
              <w:rPr>
                <w:b/>
                <w:sz w:val="20"/>
                <w:szCs w:val="20"/>
              </w:rPr>
              <w:t>220 000 000,0</w:t>
            </w:r>
          </w:p>
        </w:tc>
        <w:tc>
          <w:tcPr>
            <w:tcW w:w="1220" w:type="dxa"/>
            <w:tcBorders>
              <w:top w:val="nil"/>
              <w:left w:val="nil"/>
              <w:bottom w:val="single" w:sz="8" w:space="0" w:color="auto"/>
              <w:right w:val="single" w:sz="4" w:space="0" w:color="auto"/>
            </w:tcBorders>
            <w:shd w:val="clear" w:color="auto" w:fill="auto"/>
            <w:noWrap/>
            <w:hideMark/>
          </w:tcPr>
          <w:p w:rsidR="005D6ACF" w:rsidRPr="00A07586" w:rsidRDefault="005D6ACF" w:rsidP="008A253E">
            <w:pPr>
              <w:jc w:val="center"/>
              <w:rPr>
                <w:b/>
                <w:sz w:val="20"/>
                <w:szCs w:val="20"/>
              </w:rPr>
            </w:pPr>
          </w:p>
        </w:tc>
        <w:tc>
          <w:tcPr>
            <w:tcW w:w="1840" w:type="dxa"/>
            <w:tcBorders>
              <w:top w:val="nil"/>
              <w:left w:val="nil"/>
              <w:bottom w:val="single" w:sz="8" w:space="0" w:color="auto"/>
              <w:right w:val="single" w:sz="4" w:space="0" w:color="auto"/>
            </w:tcBorders>
            <w:shd w:val="clear" w:color="auto" w:fill="auto"/>
            <w:noWrap/>
            <w:hideMark/>
          </w:tcPr>
          <w:p w:rsidR="005D6ACF" w:rsidRPr="00A07586" w:rsidRDefault="005D6ACF" w:rsidP="008A253E">
            <w:pPr>
              <w:jc w:val="center"/>
              <w:rPr>
                <w:b/>
                <w:sz w:val="20"/>
                <w:szCs w:val="20"/>
              </w:rPr>
            </w:pPr>
            <w:r w:rsidRPr="00A07586">
              <w:rPr>
                <w:b/>
                <w:sz w:val="20"/>
                <w:szCs w:val="20"/>
              </w:rPr>
              <w:t>74 866</w:t>
            </w:r>
          </w:p>
        </w:tc>
        <w:tc>
          <w:tcPr>
            <w:tcW w:w="2015" w:type="dxa"/>
            <w:tcBorders>
              <w:top w:val="nil"/>
              <w:left w:val="nil"/>
              <w:bottom w:val="single" w:sz="8" w:space="0" w:color="auto"/>
              <w:right w:val="single" w:sz="4" w:space="0" w:color="auto"/>
            </w:tcBorders>
            <w:shd w:val="clear" w:color="auto" w:fill="auto"/>
            <w:noWrap/>
            <w:hideMark/>
          </w:tcPr>
          <w:p w:rsidR="005D6ACF" w:rsidRPr="00A07586" w:rsidRDefault="005D6ACF" w:rsidP="008A253E">
            <w:pPr>
              <w:jc w:val="center"/>
              <w:rPr>
                <w:b/>
                <w:sz w:val="20"/>
                <w:szCs w:val="20"/>
              </w:rPr>
            </w:pPr>
          </w:p>
        </w:tc>
        <w:tc>
          <w:tcPr>
            <w:tcW w:w="1860" w:type="dxa"/>
            <w:tcBorders>
              <w:top w:val="nil"/>
              <w:left w:val="nil"/>
              <w:bottom w:val="single" w:sz="8" w:space="0" w:color="auto"/>
              <w:right w:val="single" w:sz="4" w:space="0" w:color="auto"/>
            </w:tcBorders>
            <w:shd w:val="clear" w:color="auto" w:fill="auto"/>
            <w:noWrap/>
            <w:hideMark/>
          </w:tcPr>
          <w:p w:rsidR="005D6ACF" w:rsidRPr="00A07586" w:rsidRDefault="005D6ACF" w:rsidP="008A253E">
            <w:pPr>
              <w:jc w:val="center"/>
              <w:rPr>
                <w:b/>
                <w:sz w:val="20"/>
                <w:szCs w:val="20"/>
              </w:rPr>
            </w:pPr>
            <w:r w:rsidRPr="00A07586">
              <w:rPr>
                <w:b/>
                <w:sz w:val="20"/>
                <w:szCs w:val="20"/>
              </w:rPr>
              <w:t>169 982,6</w:t>
            </w:r>
          </w:p>
        </w:tc>
        <w:tc>
          <w:tcPr>
            <w:tcW w:w="1600" w:type="dxa"/>
            <w:tcBorders>
              <w:top w:val="nil"/>
              <w:left w:val="nil"/>
              <w:bottom w:val="single" w:sz="8" w:space="0" w:color="auto"/>
              <w:right w:val="single" w:sz="8" w:space="0" w:color="auto"/>
            </w:tcBorders>
            <w:shd w:val="clear" w:color="auto" w:fill="auto"/>
            <w:noWrap/>
            <w:hideMark/>
          </w:tcPr>
          <w:p w:rsidR="005D6ACF" w:rsidRPr="00A07586" w:rsidRDefault="005D6ACF" w:rsidP="008A253E">
            <w:pPr>
              <w:jc w:val="center"/>
              <w:rPr>
                <w:b/>
                <w:sz w:val="20"/>
                <w:szCs w:val="20"/>
              </w:rPr>
            </w:pPr>
            <w:r w:rsidRPr="00A07586">
              <w:rPr>
                <w:b/>
                <w:sz w:val="20"/>
                <w:szCs w:val="20"/>
              </w:rPr>
              <w:t>244 848,4</w:t>
            </w:r>
          </w:p>
        </w:tc>
      </w:tr>
    </w:tbl>
    <w:p w:rsidR="005D6ACF" w:rsidRDefault="005D6ACF" w:rsidP="005D6ACF">
      <w:pPr>
        <w:pStyle w:val="a4"/>
        <w:ind w:firstLine="720"/>
        <w:rPr>
          <w:b/>
        </w:rPr>
      </w:pPr>
    </w:p>
    <w:p w:rsidR="005D6ACF" w:rsidRDefault="005D6ACF" w:rsidP="005D6ACF">
      <w:pPr>
        <w:pStyle w:val="a4"/>
        <w:ind w:firstLine="720"/>
        <w:rPr>
          <w:b/>
        </w:rPr>
      </w:pPr>
    </w:p>
    <w:p w:rsidR="005D6ACF" w:rsidRDefault="005D6ACF" w:rsidP="005D6ACF">
      <w:pPr>
        <w:pStyle w:val="a4"/>
        <w:ind w:firstLine="720"/>
        <w:rPr>
          <w:b/>
        </w:rPr>
      </w:pPr>
    </w:p>
    <w:p w:rsidR="005D6ACF" w:rsidRDefault="005D6ACF" w:rsidP="005D6ACF">
      <w:pPr>
        <w:pStyle w:val="a4"/>
        <w:ind w:firstLine="720"/>
        <w:rPr>
          <w:b/>
        </w:rPr>
      </w:pPr>
    </w:p>
    <w:p w:rsidR="005D6ACF" w:rsidRDefault="005D6ACF" w:rsidP="005D6ACF">
      <w:pPr>
        <w:pStyle w:val="a4"/>
        <w:ind w:firstLine="720"/>
        <w:rPr>
          <w:b/>
        </w:rPr>
      </w:pPr>
    </w:p>
    <w:p w:rsidR="005D6ACF" w:rsidRDefault="005D6ACF" w:rsidP="005D6ACF">
      <w:pPr>
        <w:pStyle w:val="a4"/>
        <w:ind w:firstLine="720"/>
        <w:rPr>
          <w:b/>
        </w:rPr>
      </w:pPr>
    </w:p>
    <w:tbl>
      <w:tblPr>
        <w:tblW w:w="15371" w:type="dxa"/>
        <w:tblLook w:val="04A0" w:firstRow="1" w:lastRow="0" w:firstColumn="1" w:lastColumn="0" w:noHBand="0" w:noVBand="1"/>
      </w:tblPr>
      <w:tblGrid>
        <w:gridCol w:w="973"/>
        <w:gridCol w:w="897"/>
        <w:gridCol w:w="347"/>
        <w:gridCol w:w="920"/>
        <w:gridCol w:w="393"/>
        <w:gridCol w:w="635"/>
        <w:gridCol w:w="689"/>
        <w:gridCol w:w="285"/>
        <w:gridCol w:w="920"/>
        <w:gridCol w:w="455"/>
        <w:gridCol w:w="465"/>
        <w:gridCol w:w="920"/>
        <w:gridCol w:w="695"/>
        <w:gridCol w:w="233"/>
        <w:gridCol w:w="920"/>
        <w:gridCol w:w="947"/>
        <w:gridCol w:w="102"/>
        <w:gridCol w:w="953"/>
        <w:gridCol w:w="605"/>
        <w:gridCol w:w="315"/>
        <w:gridCol w:w="953"/>
        <w:gridCol w:w="392"/>
        <w:gridCol w:w="936"/>
        <w:gridCol w:w="421"/>
      </w:tblGrid>
      <w:tr w:rsidR="005D6ACF" w:rsidTr="008A253E">
        <w:trPr>
          <w:gridAfter w:val="1"/>
          <w:wAfter w:w="421" w:type="dxa"/>
          <w:trHeight w:val="334"/>
        </w:trPr>
        <w:tc>
          <w:tcPr>
            <w:tcW w:w="14950" w:type="dxa"/>
            <w:gridSpan w:val="23"/>
            <w:tcBorders>
              <w:top w:val="nil"/>
              <w:left w:val="nil"/>
              <w:bottom w:val="nil"/>
              <w:right w:val="nil"/>
            </w:tcBorders>
            <w:shd w:val="clear" w:color="auto" w:fill="auto"/>
            <w:vAlign w:val="center"/>
            <w:hideMark/>
          </w:tcPr>
          <w:p w:rsidR="005D6ACF" w:rsidRPr="00E20686" w:rsidRDefault="005D6ACF" w:rsidP="008A253E">
            <w:pPr>
              <w:jc w:val="center"/>
              <w:rPr>
                <w:b/>
                <w:color w:val="000000"/>
                <w:sz w:val="22"/>
                <w:szCs w:val="22"/>
              </w:rPr>
            </w:pPr>
            <w:r w:rsidRPr="00E20686">
              <w:rPr>
                <w:b/>
                <w:color w:val="000000"/>
                <w:sz w:val="22"/>
                <w:szCs w:val="22"/>
              </w:rPr>
              <w:lastRenderedPageBreak/>
              <w:t>Информация о начисленных процентах по договорам бюджетного кредита в 2023 году (по ранее выданным бюджетным кредитам)</w:t>
            </w:r>
          </w:p>
        </w:tc>
      </w:tr>
      <w:tr w:rsidR="005D6ACF" w:rsidTr="008A253E">
        <w:trPr>
          <w:gridAfter w:val="1"/>
          <w:wAfter w:w="421" w:type="dxa"/>
          <w:trHeight w:val="304"/>
        </w:trPr>
        <w:tc>
          <w:tcPr>
            <w:tcW w:w="2217" w:type="dxa"/>
            <w:gridSpan w:val="3"/>
            <w:vMerge w:val="restart"/>
            <w:tcBorders>
              <w:top w:val="single" w:sz="4" w:space="0" w:color="000000"/>
              <w:left w:val="nil"/>
              <w:bottom w:val="single" w:sz="4" w:space="0" w:color="000000"/>
              <w:right w:val="single" w:sz="4" w:space="0" w:color="000000"/>
            </w:tcBorders>
            <w:shd w:val="clear" w:color="auto" w:fill="auto"/>
            <w:vAlign w:val="center"/>
            <w:hideMark/>
          </w:tcPr>
          <w:p w:rsidR="005D6ACF" w:rsidRPr="00974FB1" w:rsidRDefault="005D6ACF" w:rsidP="008A253E">
            <w:pPr>
              <w:jc w:val="center"/>
              <w:rPr>
                <w:color w:val="000000"/>
                <w:sz w:val="22"/>
                <w:szCs w:val="22"/>
              </w:rPr>
            </w:pPr>
            <w:r w:rsidRPr="00974FB1">
              <w:rPr>
                <w:color w:val="000000"/>
                <w:sz w:val="22"/>
                <w:szCs w:val="22"/>
              </w:rPr>
              <w:t>№ договора</w:t>
            </w:r>
          </w:p>
        </w:tc>
        <w:tc>
          <w:tcPr>
            <w:tcW w:w="11405" w:type="dxa"/>
            <w:gridSpan w:val="18"/>
            <w:tcBorders>
              <w:top w:val="single" w:sz="4" w:space="0" w:color="000000"/>
              <w:left w:val="nil"/>
              <w:bottom w:val="single" w:sz="4" w:space="0" w:color="000000"/>
              <w:right w:val="single" w:sz="4" w:space="0" w:color="000000"/>
            </w:tcBorders>
            <w:shd w:val="clear" w:color="auto" w:fill="auto"/>
            <w:vAlign w:val="center"/>
            <w:hideMark/>
          </w:tcPr>
          <w:p w:rsidR="005D6ACF" w:rsidRPr="00974FB1" w:rsidRDefault="005D6ACF" w:rsidP="008A253E">
            <w:pPr>
              <w:jc w:val="center"/>
              <w:rPr>
                <w:color w:val="000000"/>
                <w:sz w:val="22"/>
                <w:szCs w:val="22"/>
              </w:rPr>
            </w:pPr>
            <w:r w:rsidRPr="00974FB1">
              <w:rPr>
                <w:color w:val="000000"/>
                <w:sz w:val="22"/>
                <w:szCs w:val="22"/>
              </w:rPr>
              <w:t>Сумма начисленных процентов</w:t>
            </w:r>
            <w:r>
              <w:rPr>
                <w:color w:val="000000"/>
                <w:sz w:val="22"/>
                <w:szCs w:val="22"/>
              </w:rPr>
              <w:t xml:space="preserve"> (в рублях)</w:t>
            </w:r>
          </w:p>
        </w:tc>
        <w:tc>
          <w:tcPr>
            <w:tcW w:w="1328" w:type="dxa"/>
            <w:gridSpan w:val="2"/>
            <w:vMerge w:val="restart"/>
            <w:tcBorders>
              <w:top w:val="single" w:sz="4" w:space="0" w:color="000000"/>
              <w:left w:val="nil"/>
              <w:bottom w:val="single" w:sz="4" w:space="0" w:color="000000"/>
              <w:right w:val="single" w:sz="4" w:space="0" w:color="000000"/>
            </w:tcBorders>
            <w:shd w:val="clear" w:color="auto" w:fill="auto"/>
            <w:vAlign w:val="center"/>
            <w:hideMark/>
          </w:tcPr>
          <w:p w:rsidR="005D6ACF" w:rsidRPr="00974FB1" w:rsidRDefault="005D6ACF" w:rsidP="008A253E">
            <w:pPr>
              <w:jc w:val="center"/>
              <w:rPr>
                <w:color w:val="000000"/>
                <w:sz w:val="22"/>
                <w:szCs w:val="22"/>
              </w:rPr>
            </w:pPr>
            <w:r w:rsidRPr="00974FB1">
              <w:rPr>
                <w:color w:val="000000"/>
                <w:sz w:val="22"/>
                <w:szCs w:val="22"/>
              </w:rPr>
              <w:t>Итого</w:t>
            </w:r>
          </w:p>
        </w:tc>
      </w:tr>
      <w:tr w:rsidR="005D6ACF" w:rsidTr="008A253E">
        <w:trPr>
          <w:gridAfter w:val="1"/>
          <w:wAfter w:w="421" w:type="dxa"/>
          <w:trHeight w:val="458"/>
        </w:trPr>
        <w:tc>
          <w:tcPr>
            <w:tcW w:w="2217" w:type="dxa"/>
            <w:gridSpan w:val="3"/>
            <w:vMerge/>
            <w:tcBorders>
              <w:top w:val="single" w:sz="4" w:space="0" w:color="000000"/>
              <w:left w:val="nil"/>
              <w:bottom w:val="single" w:sz="4" w:space="0" w:color="000000"/>
              <w:right w:val="single" w:sz="4" w:space="0" w:color="000000"/>
            </w:tcBorders>
            <w:vAlign w:val="center"/>
            <w:hideMark/>
          </w:tcPr>
          <w:p w:rsidR="005D6ACF" w:rsidRPr="00974FB1" w:rsidRDefault="005D6ACF" w:rsidP="008A253E">
            <w:pPr>
              <w:rPr>
                <w:color w:val="000000"/>
                <w:sz w:val="22"/>
                <w:szCs w:val="22"/>
              </w:rPr>
            </w:pPr>
          </w:p>
        </w:tc>
        <w:tc>
          <w:tcPr>
            <w:tcW w:w="920" w:type="dxa"/>
            <w:vMerge w:val="restart"/>
            <w:tcBorders>
              <w:top w:val="nil"/>
              <w:left w:val="nil"/>
              <w:bottom w:val="single" w:sz="4" w:space="0" w:color="000000"/>
              <w:right w:val="single" w:sz="4" w:space="0" w:color="000000"/>
            </w:tcBorders>
            <w:shd w:val="clear" w:color="auto" w:fill="auto"/>
            <w:vAlign w:val="center"/>
            <w:hideMark/>
          </w:tcPr>
          <w:p w:rsidR="005D6ACF" w:rsidRPr="00974FB1" w:rsidRDefault="005D6ACF" w:rsidP="008A253E">
            <w:pPr>
              <w:jc w:val="center"/>
              <w:rPr>
                <w:color w:val="000000"/>
                <w:sz w:val="22"/>
                <w:szCs w:val="22"/>
              </w:rPr>
            </w:pPr>
            <w:r w:rsidRPr="00974FB1">
              <w:rPr>
                <w:color w:val="000000"/>
                <w:sz w:val="22"/>
                <w:szCs w:val="22"/>
              </w:rPr>
              <w:t>январь</w:t>
            </w:r>
          </w:p>
        </w:tc>
        <w:tc>
          <w:tcPr>
            <w:tcW w:w="1028" w:type="dxa"/>
            <w:gridSpan w:val="2"/>
            <w:vMerge w:val="restart"/>
            <w:tcBorders>
              <w:top w:val="nil"/>
              <w:left w:val="nil"/>
              <w:bottom w:val="single" w:sz="4" w:space="0" w:color="000000"/>
              <w:right w:val="single" w:sz="4" w:space="0" w:color="000000"/>
            </w:tcBorders>
            <w:shd w:val="clear" w:color="auto" w:fill="auto"/>
            <w:vAlign w:val="center"/>
            <w:hideMark/>
          </w:tcPr>
          <w:p w:rsidR="005D6ACF" w:rsidRPr="00974FB1" w:rsidRDefault="005D6ACF" w:rsidP="008A253E">
            <w:pPr>
              <w:jc w:val="center"/>
              <w:rPr>
                <w:color w:val="000000"/>
                <w:sz w:val="22"/>
                <w:szCs w:val="22"/>
              </w:rPr>
            </w:pPr>
            <w:r w:rsidRPr="00974FB1">
              <w:rPr>
                <w:color w:val="000000"/>
                <w:sz w:val="22"/>
                <w:szCs w:val="22"/>
              </w:rPr>
              <w:t>февраль</w:t>
            </w:r>
          </w:p>
        </w:tc>
        <w:tc>
          <w:tcPr>
            <w:tcW w:w="974" w:type="dxa"/>
            <w:gridSpan w:val="2"/>
            <w:vMerge w:val="restart"/>
            <w:tcBorders>
              <w:top w:val="nil"/>
              <w:left w:val="nil"/>
              <w:bottom w:val="single" w:sz="4" w:space="0" w:color="000000"/>
              <w:right w:val="single" w:sz="4" w:space="0" w:color="000000"/>
            </w:tcBorders>
            <w:shd w:val="clear" w:color="auto" w:fill="auto"/>
            <w:vAlign w:val="center"/>
            <w:hideMark/>
          </w:tcPr>
          <w:p w:rsidR="005D6ACF" w:rsidRPr="00974FB1" w:rsidRDefault="005D6ACF" w:rsidP="008A253E">
            <w:pPr>
              <w:jc w:val="center"/>
              <w:rPr>
                <w:color w:val="000000"/>
                <w:sz w:val="22"/>
                <w:szCs w:val="22"/>
              </w:rPr>
            </w:pPr>
            <w:r w:rsidRPr="00974FB1">
              <w:rPr>
                <w:color w:val="000000"/>
                <w:sz w:val="22"/>
                <w:szCs w:val="22"/>
              </w:rPr>
              <w:t>март</w:t>
            </w:r>
          </w:p>
        </w:tc>
        <w:tc>
          <w:tcPr>
            <w:tcW w:w="920" w:type="dxa"/>
            <w:vMerge w:val="restart"/>
            <w:tcBorders>
              <w:top w:val="nil"/>
              <w:left w:val="nil"/>
              <w:bottom w:val="single" w:sz="4" w:space="0" w:color="000000"/>
              <w:right w:val="single" w:sz="4" w:space="0" w:color="000000"/>
            </w:tcBorders>
            <w:shd w:val="clear" w:color="auto" w:fill="auto"/>
            <w:vAlign w:val="center"/>
            <w:hideMark/>
          </w:tcPr>
          <w:p w:rsidR="005D6ACF" w:rsidRPr="00974FB1" w:rsidRDefault="005D6ACF" w:rsidP="008A253E">
            <w:pPr>
              <w:jc w:val="center"/>
              <w:rPr>
                <w:color w:val="000000"/>
                <w:sz w:val="22"/>
                <w:szCs w:val="22"/>
              </w:rPr>
            </w:pPr>
            <w:r w:rsidRPr="00974FB1">
              <w:rPr>
                <w:color w:val="000000"/>
                <w:sz w:val="22"/>
                <w:szCs w:val="22"/>
              </w:rPr>
              <w:t>апрель</w:t>
            </w:r>
          </w:p>
        </w:tc>
        <w:tc>
          <w:tcPr>
            <w:tcW w:w="920" w:type="dxa"/>
            <w:gridSpan w:val="2"/>
            <w:vMerge w:val="restart"/>
            <w:tcBorders>
              <w:top w:val="nil"/>
              <w:left w:val="nil"/>
              <w:bottom w:val="single" w:sz="4" w:space="0" w:color="000000"/>
              <w:right w:val="single" w:sz="4" w:space="0" w:color="000000"/>
            </w:tcBorders>
            <w:shd w:val="clear" w:color="auto" w:fill="auto"/>
            <w:vAlign w:val="center"/>
            <w:hideMark/>
          </w:tcPr>
          <w:p w:rsidR="005D6ACF" w:rsidRPr="00974FB1" w:rsidRDefault="005D6ACF" w:rsidP="008A253E">
            <w:pPr>
              <w:jc w:val="center"/>
              <w:rPr>
                <w:color w:val="000000"/>
                <w:sz w:val="22"/>
                <w:szCs w:val="22"/>
              </w:rPr>
            </w:pPr>
            <w:r w:rsidRPr="00974FB1">
              <w:rPr>
                <w:color w:val="000000"/>
                <w:sz w:val="22"/>
                <w:szCs w:val="22"/>
              </w:rPr>
              <w:t>май</w:t>
            </w:r>
          </w:p>
        </w:tc>
        <w:tc>
          <w:tcPr>
            <w:tcW w:w="920" w:type="dxa"/>
            <w:vMerge w:val="restart"/>
            <w:tcBorders>
              <w:top w:val="nil"/>
              <w:left w:val="nil"/>
              <w:bottom w:val="single" w:sz="4" w:space="0" w:color="000000"/>
              <w:right w:val="single" w:sz="4" w:space="0" w:color="000000"/>
            </w:tcBorders>
            <w:shd w:val="clear" w:color="auto" w:fill="auto"/>
            <w:vAlign w:val="center"/>
            <w:hideMark/>
          </w:tcPr>
          <w:p w:rsidR="005D6ACF" w:rsidRPr="00974FB1" w:rsidRDefault="005D6ACF" w:rsidP="008A253E">
            <w:pPr>
              <w:jc w:val="center"/>
              <w:rPr>
                <w:color w:val="000000"/>
                <w:sz w:val="22"/>
                <w:szCs w:val="22"/>
              </w:rPr>
            </w:pPr>
            <w:r w:rsidRPr="00974FB1">
              <w:rPr>
                <w:color w:val="000000"/>
                <w:sz w:val="22"/>
                <w:szCs w:val="22"/>
              </w:rPr>
              <w:t>июнь</w:t>
            </w:r>
          </w:p>
        </w:tc>
        <w:tc>
          <w:tcPr>
            <w:tcW w:w="928" w:type="dxa"/>
            <w:gridSpan w:val="2"/>
            <w:vMerge w:val="restart"/>
            <w:tcBorders>
              <w:top w:val="nil"/>
              <w:left w:val="nil"/>
              <w:bottom w:val="single" w:sz="4" w:space="0" w:color="000000"/>
              <w:right w:val="single" w:sz="4" w:space="0" w:color="000000"/>
            </w:tcBorders>
            <w:shd w:val="clear" w:color="auto" w:fill="auto"/>
            <w:vAlign w:val="center"/>
            <w:hideMark/>
          </w:tcPr>
          <w:p w:rsidR="005D6ACF" w:rsidRPr="00974FB1" w:rsidRDefault="005D6ACF" w:rsidP="008A253E">
            <w:pPr>
              <w:jc w:val="center"/>
              <w:rPr>
                <w:color w:val="000000"/>
                <w:sz w:val="22"/>
                <w:szCs w:val="22"/>
              </w:rPr>
            </w:pPr>
            <w:r w:rsidRPr="00974FB1">
              <w:rPr>
                <w:color w:val="000000"/>
                <w:sz w:val="22"/>
                <w:szCs w:val="22"/>
              </w:rPr>
              <w:t>июль</w:t>
            </w:r>
          </w:p>
        </w:tc>
        <w:tc>
          <w:tcPr>
            <w:tcW w:w="920" w:type="dxa"/>
            <w:vMerge w:val="restart"/>
            <w:tcBorders>
              <w:top w:val="nil"/>
              <w:left w:val="nil"/>
              <w:bottom w:val="single" w:sz="4" w:space="0" w:color="000000"/>
              <w:right w:val="single" w:sz="4" w:space="0" w:color="000000"/>
            </w:tcBorders>
            <w:shd w:val="clear" w:color="auto" w:fill="auto"/>
            <w:vAlign w:val="center"/>
            <w:hideMark/>
          </w:tcPr>
          <w:p w:rsidR="005D6ACF" w:rsidRPr="00974FB1" w:rsidRDefault="005D6ACF" w:rsidP="008A253E">
            <w:pPr>
              <w:jc w:val="center"/>
              <w:rPr>
                <w:color w:val="000000"/>
                <w:sz w:val="22"/>
                <w:szCs w:val="22"/>
              </w:rPr>
            </w:pPr>
            <w:r w:rsidRPr="00974FB1">
              <w:rPr>
                <w:color w:val="000000"/>
                <w:sz w:val="22"/>
                <w:szCs w:val="22"/>
              </w:rPr>
              <w:t>август</w:t>
            </w:r>
          </w:p>
        </w:tc>
        <w:tc>
          <w:tcPr>
            <w:tcW w:w="1049" w:type="dxa"/>
            <w:gridSpan w:val="2"/>
            <w:vMerge w:val="restart"/>
            <w:tcBorders>
              <w:top w:val="nil"/>
              <w:left w:val="single" w:sz="4" w:space="0" w:color="000000"/>
              <w:bottom w:val="single" w:sz="4" w:space="0" w:color="000000"/>
              <w:right w:val="single" w:sz="4" w:space="0" w:color="000000"/>
            </w:tcBorders>
            <w:shd w:val="clear" w:color="auto" w:fill="auto"/>
            <w:vAlign w:val="center"/>
            <w:hideMark/>
          </w:tcPr>
          <w:p w:rsidR="005D6ACF" w:rsidRPr="00974FB1" w:rsidRDefault="005D6ACF" w:rsidP="008A253E">
            <w:pPr>
              <w:jc w:val="center"/>
              <w:rPr>
                <w:color w:val="000000"/>
                <w:sz w:val="22"/>
                <w:szCs w:val="22"/>
              </w:rPr>
            </w:pPr>
            <w:r w:rsidRPr="00974FB1">
              <w:rPr>
                <w:color w:val="000000"/>
                <w:sz w:val="22"/>
                <w:szCs w:val="22"/>
              </w:rPr>
              <w:t>сентябрь</w:t>
            </w:r>
          </w:p>
        </w:tc>
        <w:tc>
          <w:tcPr>
            <w:tcW w:w="953" w:type="dxa"/>
            <w:vMerge w:val="restart"/>
            <w:tcBorders>
              <w:top w:val="nil"/>
              <w:left w:val="nil"/>
              <w:bottom w:val="single" w:sz="4" w:space="0" w:color="000000"/>
              <w:right w:val="single" w:sz="4" w:space="0" w:color="000000"/>
            </w:tcBorders>
            <w:shd w:val="clear" w:color="auto" w:fill="auto"/>
            <w:vAlign w:val="center"/>
            <w:hideMark/>
          </w:tcPr>
          <w:p w:rsidR="005D6ACF" w:rsidRPr="00974FB1" w:rsidRDefault="005D6ACF" w:rsidP="008A253E">
            <w:pPr>
              <w:jc w:val="center"/>
              <w:rPr>
                <w:color w:val="000000"/>
                <w:sz w:val="22"/>
                <w:szCs w:val="22"/>
              </w:rPr>
            </w:pPr>
            <w:r w:rsidRPr="00974FB1">
              <w:rPr>
                <w:color w:val="000000"/>
                <w:sz w:val="22"/>
                <w:szCs w:val="22"/>
              </w:rPr>
              <w:t>октябрь</w:t>
            </w:r>
          </w:p>
        </w:tc>
        <w:tc>
          <w:tcPr>
            <w:tcW w:w="920" w:type="dxa"/>
            <w:gridSpan w:val="2"/>
            <w:vMerge w:val="restart"/>
            <w:tcBorders>
              <w:top w:val="nil"/>
              <w:left w:val="nil"/>
              <w:bottom w:val="single" w:sz="4" w:space="0" w:color="000000"/>
              <w:right w:val="single" w:sz="4" w:space="0" w:color="000000"/>
            </w:tcBorders>
            <w:shd w:val="clear" w:color="auto" w:fill="auto"/>
            <w:vAlign w:val="center"/>
            <w:hideMark/>
          </w:tcPr>
          <w:p w:rsidR="005D6ACF" w:rsidRPr="00974FB1" w:rsidRDefault="005D6ACF" w:rsidP="008A253E">
            <w:pPr>
              <w:jc w:val="center"/>
              <w:rPr>
                <w:color w:val="000000"/>
                <w:sz w:val="22"/>
                <w:szCs w:val="22"/>
              </w:rPr>
            </w:pPr>
            <w:r w:rsidRPr="00974FB1">
              <w:rPr>
                <w:color w:val="000000"/>
                <w:sz w:val="22"/>
                <w:szCs w:val="22"/>
              </w:rPr>
              <w:t>ноябрь</w:t>
            </w:r>
          </w:p>
        </w:tc>
        <w:tc>
          <w:tcPr>
            <w:tcW w:w="953" w:type="dxa"/>
            <w:vMerge w:val="restart"/>
            <w:tcBorders>
              <w:top w:val="nil"/>
              <w:left w:val="nil"/>
              <w:bottom w:val="single" w:sz="4" w:space="0" w:color="000000"/>
              <w:right w:val="single" w:sz="4" w:space="0" w:color="000000"/>
            </w:tcBorders>
            <w:shd w:val="clear" w:color="auto" w:fill="auto"/>
            <w:vAlign w:val="center"/>
            <w:hideMark/>
          </w:tcPr>
          <w:p w:rsidR="005D6ACF" w:rsidRPr="00974FB1" w:rsidRDefault="005D6ACF" w:rsidP="008A253E">
            <w:pPr>
              <w:jc w:val="center"/>
              <w:rPr>
                <w:color w:val="000000"/>
                <w:sz w:val="22"/>
                <w:szCs w:val="22"/>
              </w:rPr>
            </w:pPr>
            <w:r w:rsidRPr="00974FB1">
              <w:rPr>
                <w:color w:val="000000"/>
                <w:sz w:val="22"/>
                <w:szCs w:val="22"/>
              </w:rPr>
              <w:t>декабрь</w:t>
            </w:r>
          </w:p>
        </w:tc>
        <w:tc>
          <w:tcPr>
            <w:tcW w:w="1328" w:type="dxa"/>
            <w:gridSpan w:val="2"/>
            <w:vMerge/>
            <w:tcBorders>
              <w:top w:val="single" w:sz="4" w:space="0" w:color="000000"/>
              <w:left w:val="nil"/>
              <w:bottom w:val="single" w:sz="4" w:space="0" w:color="000000"/>
              <w:right w:val="single" w:sz="4" w:space="0" w:color="000000"/>
            </w:tcBorders>
            <w:vAlign w:val="center"/>
            <w:hideMark/>
          </w:tcPr>
          <w:p w:rsidR="005D6ACF" w:rsidRPr="00974FB1" w:rsidRDefault="005D6ACF" w:rsidP="008A253E">
            <w:pPr>
              <w:rPr>
                <w:color w:val="000000"/>
                <w:sz w:val="22"/>
                <w:szCs w:val="22"/>
              </w:rPr>
            </w:pPr>
          </w:p>
        </w:tc>
      </w:tr>
      <w:tr w:rsidR="005D6ACF" w:rsidTr="008A253E">
        <w:trPr>
          <w:gridAfter w:val="1"/>
          <w:wAfter w:w="421" w:type="dxa"/>
          <w:trHeight w:val="458"/>
        </w:trPr>
        <w:tc>
          <w:tcPr>
            <w:tcW w:w="2217" w:type="dxa"/>
            <w:gridSpan w:val="3"/>
            <w:vMerge/>
            <w:tcBorders>
              <w:top w:val="single" w:sz="4" w:space="0" w:color="000000"/>
              <w:left w:val="nil"/>
              <w:bottom w:val="single" w:sz="4" w:space="0" w:color="000000"/>
              <w:right w:val="single" w:sz="4" w:space="0" w:color="000000"/>
            </w:tcBorders>
            <w:vAlign w:val="center"/>
            <w:hideMark/>
          </w:tcPr>
          <w:p w:rsidR="005D6ACF" w:rsidRPr="00974FB1" w:rsidRDefault="005D6ACF" w:rsidP="008A253E">
            <w:pPr>
              <w:rPr>
                <w:color w:val="000000"/>
                <w:sz w:val="22"/>
                <w:szCs w:val="22"/>
              </w:rPr>
            </w:pPr>
          </w:p>
        </w:tc>
        <w:tc>
          <w:tcPr>
            <w:tcW w:w="920" w:type="dxa"/>
            <w:vMerge/>
            <w:tcBorders>
              <w:top w:val="nil"/>
              <w:left w:val="nil"/>
              <w:bottom w:val="single" w:sz="4" w:space="0" w:color="000000"/>
              <w:right w:val="single" w:sz="4" w:space="0" w:color="000000"/>
            </w:tcBorders>
            <w:vAlign w:val="center"/>
            <w:hideMark/>
          </w:tcPr>
          <w:p w:rsidR="005D6ACF" w:rsidRPr="00974FB1" w:rsidRDefault="005D6ACF" w:rsidP="008A253E">
            <w:pPr>
              <w:rPr>
                <w:color w:val="000000"/>
                <w:sz w:val="22"/>
                <w:szCs w:val="22"/>
              </w:rPr>
            </w:pPr>
          </w:p>
        </w:tc>
        <w:tc>
          <w:tcPr>
            <w:tcW w:w="1028" w:type="dxa"/>
            <w:gridSpan w:val="2"/>
            <w:vMerge/>
            <w:tcBorders>
              <w:top w:val="nil"/>
              <w:left w:val="nil"/>
              <w:bottom w:val="single" w:sz="4" w:space="0" w:color="000000"/>
              <w:right w:val="single" w:sz="4" w:space="0" w:color="000000"/>
            </w:tcBorders>
            <w:vAlign w:val="center"/>
            <w:hideMark/>
          </w:tcPr>
          <w:p w:rsidR="005D6ACF" w:rsidRPr="00974FB1" w:rsidRDefault="005D6ACF" w:rsidP="008A253E">
            <w:pPr>
              <w:rPr>
                <w:color w:val="000000"/>
                <w:sz w:val="22"/>
                <w:szCs w:val="22"/>
              </w:rPr>
            </w:pPr>
          </w:p>
        </w:tc>
        <w:tc>
          <w:tcPr>
            <w:tcW w:w="974" w:type="dxa"/>
            <w:gridSpan w:val="2"/>
            <w:vMerge/>
            <w:tcBorders>
              <w:top w:val="nil"/>
              <w:left w:val="nil"/>
              <w:bottom w:val="single" w:sz="4" w:space="0" w:color="000000"/>
              <w:right w:val="single" w:sz="4" w:space="0" w:color="000000"/>
            </w:tcBorders>
            <w:vAlign w:val="center"/>
            <w:hideMark/>
          </w:tcPr>
          <w:p w:rsidR="005D6ACF" w:rsidRPr="00974FB1" w:rsidRDefault="005D6ACF" w:rsidP="008A253E">
            <w:pPr>
              <w:rPr>
                <w:color w:val="000000"/>
                <w:sz w:val="22"/>
                <w:szCs w:val="22"/>
              </w:rPr>
            </w:pPr>
          </w:p>
        </w:tc>
        <w:tc>
          <w:tcPr>
            <w:tcW w:w="920" w:type="dxa"/>
            <w:vMerge/>
            <w:tcBorders>
              <w:top w:val="nil"/>
              <w:left w:val="nil"/>
              <w:bottom w:val="single" w:sz="4" w:space="0" w:color="000000"/>
              <w:right w:val="single" w:sz="4" w:space="0" w:color="000000"/>
            </w:tcBorders>
            <w:vAlign w:val="center"/>
            <w:hideMark/>
          </w:tcPr>
          <w:p w:rsidR="005D6ACF" w:rsidRPr="00974FB1" w:rsidRDefault="005D6ACF" w:rsidP="008A253E">
            <w:pPr>
              <w:rPr>
                <w:color w:val="000000"/>
                <w:sz w:val="22"/>
                <w:szCs w:val="22"/>
              </w:rPr>
            </w:pPr>
          </w:p>
        </w:tc>
        <w:tc>
          <w:tcPr>
            <w:tcW w:w="920" w:type="dxa"/>
            <w:gridSpan w:val="2"/>
            <w:vMerge/>
            <w:tcBorders>
              <w:top w:val="nil"/>
              <w:left w:val="nil"/>
              <w:bottom w:val="single" w:sz="4" w:space="0" w:color="000000"/>
              <w:right w:val="single" w:sz="4" w:space="0" w:color="000000"/>
            </w:tcBorders>
            <w:vAlign w:val="center"/>
            <w:hideMark/>
          </w:tcPr>
          <w:p w:rsidR="005D6ACF" w:rsidRPr="00974FB1" w:rsidRDefault="005D6ACF" w:rsidP="008A253E">
            <w:pPr>
              <w:rPr>
                <w:color w:val="000000"/>
                <w:sz w:val="22"/>
                <w:szCs w:val="22"/>
              </w:rPr>
            </w:pPr>
          </w:p>
        </w:tc>
        <w:tc>
          <w:tcPr>
            <w:tcW w:w="920" w:type="dxa"/>
            <w:vMerge/>
            <w:tcBorders>
              <w:top w:val="nil"/>
              <w:left w:val="nil"/>
              <w:bottom w:val="single" w:sz="4" w:space="0" w:color="000000"/>
              <w:right w:val="single" w:sz="4" w:space="0" w:color="000000"/>
            </w:tcBorders>
            <w:vAlign w:val="center"/>
            <w:hideMark/>
          </w:tcPr>
          <w:p w:rsidR="005D6ACF" w:rsidRPr="00974FB1" w:rsidRDefault="005D6ACF" w:rsidP="008A253E">
            <w:pPr>
              <w:rPr>
                <w:color w:val="000000"/>
                <w:sz w:val="22"/>
                <w:szCs w:val="22"/>
              </w:rPr>
            </w:pPr>
          </w:p>
        </w:tc>
        <w:tc>
          <w:tcPr>
            <w:tcW w:w="928" w:type="dxa"/>
            <w:gridSpan w:val="2"/>
            <w:vMerge/>
            <w:tcBorders>
              <w:top w:val="nil"/>
              <w:left w:val="nil"/>
              <w:bottom w:val="single" w:sz="4" w:space="0" w:color="000000"/>
              <w:right w:val="single" w:sz="4" w:space="0" w:color="000000"/>
            </w:tcBorders>
            <w:vAlign w:val="center"/>
            <w:hideMark/>
          </w:tcPr>
          <w:p w:rsidR="005D6ACF" w:rsidRPr="00974FB1" w:rsidRDefault="005D6ACF" w:rsidP="008A253E">
            <w:pPr>
              <w:rPr>
                <w:color w:val="000000"/>
                <w:sz w:val="22"/>
                <w:szCs w:val="22"/>
              </w:rPr>
            </w:pPr>
          </w:p>
        </w:tc>
        <w:tc>
          <w:tcPr>
            <w:tcW w:w="920" w:type="dxa"/>
            <w:vMerge/>
            <w:tcBorders>
              <w:top w:val="nil"/>
              <w:left w:val="nil"/>
              <w:bottom w:val="single" w:sz="4" w:space="0" w:color="000000"/>
              <w:right w:val="single" w:sz="4" w:space="0" w:color="000000"/>
            </w:tcBorders>
            <w:vAlign w:val="center"/>
            <w:hideMark/>
          </w:tcPr>
          <w:p w:rsidR="005D6ACF" w:rsidRPr="00974FB1" w:rsidRDefault="005D6ACF" w:rsidP="008A253E">
            <w:pPr>
              <w:rPr>
                <w:color w:val="000000"/>
                <w:sz w:val="22"/>
                <w:szCs w:val="22"/>
              </w:rPr>
            </w:pPr>
          </w:p>
        </w:tc>
        <w:tc>
          <w:tcPr>
            <w:tcW w:w="1049" w:type="dxa"/>
            <w:gridSpan w:val="2"/>
            <w:vMerge/>
            <w:tcBorders>
              <w:top w:val="nil"/>
              <w:left w:val="single" w:sz="4" w:space="0" w:color="000000"/>
              <w:bottom w:val="single" w:sz="4" w:space="0" w:color="000000"/>
              <w:right w:val="single" w:sz="4" w:space="0" w:color="000000"/>
            </w:tcBorders>
            <w:vAlign w:val="center"/>
            <w:hideMark/>
          </w:tcPr>
          <w:p w:rsidR="005D6ACF" w:rsidRPr="00974FB1" w:rsidRDefault="005D6ACF" w:rsidP="008A253E">
            <w:pPr>
              <w:rPr>
                <w:color w:val="000000"/>
                <w:sz w:val="22"/>
                <w:szCs w:val="22"/>
              </w:rPr>
            </w:pPr>
          </w:p>
        </w:tc>
        <w:tc>
          <w:tcPr>
            <w:tcW w:w="953" w:type="dxa"/>
            <w:vMerge/>
            <w:tcBorders>
              <w:top w:val="nil"/>
              <w:left w:val="nil"/>
              <w:bottom w:val="single" w:sz="4" w:space="0" w:color="000000"/>
              <w:right w:val="single" w:sz="4" w:space="0" w:color="000000"/>
            </w:tcBorders>
            <w:vAlign w:val="center"/>
            <w:hideMark/>
          </w:tcPr>
          <w:p w:rsidR="005D6ACF" w:rsidRPr="00974FB1" w:rsidRDefault="005D6ACF" w:rsidP="008A253E">
            <w:pPr>
              <w:rPr>
                <w:color w:val="000000"/>
                <w:sz w:val="22"/>
                <w:szCs w:val="22"/>
              </w:rPr>
            </w:pPr>
          </w:p>
        </w:tc>
        <w:tc>
          <w:tcPr>
            <w:tcW w:w="920" w:type="dxa"/>
            <w:gridSpan w:val="2"/>
            <w:vMerge/>
            <w:tcBorders>
              <w:top w:val="nil"/>
              <w:left w:val="nil"/>
              <w:bottom w:val="single" w:sz="4" w:space="0" w:color="000000"/>
              <w:right w:val="single" w:sz="4" w:space="0" w:color="000000"/>
            </w:tcBorders>
            <w:vAlign w:val="center"/>
            <w:hideMark/>
          </w:tcPr>
          <w:p w:rsidR="005D6ACF" w:rsidRPr="00974FB1" w:rsidRDefault="005D6ACF" w:rsidP="008A253E">
            <w:pPr>
              <w:rPr>
                <w:color w:val="000000"/>
                <w:sz w:val="22"/>
                <w:szCs w:val="22"/>
              </w:rPr>
            </w:pPr>
          </w:p>
        </w:tc>
        <w:tc>
          <w:tcPr>
            <w:tcW w:w="953" w:type="dxa"/>
            <w:vMerge/>
            <w:tcBorders>
              <w:top w:val="nil"/>
              <w:left w:val="nil"/>
              <w:bottom w:val="single" w:sz="4" w:space="0" w:color="000000"/>
              <w:right w:val="single" w:sz="4" w:space="0" w:color="000000"/>
            </w:tcBorders>
            <w:vAlign w:val="center"/>
            <w:hideMark/>
          </w:tcPr>
          <w:p w:rsidR="005D6ACF" w:rsidRPr="00974FB1" w:rsidRDefault="005D6ACF" w:rsidP="008A253E">
            <w:pPr>
              <w:rPr>
                <w:color w:val="000000"/>
                <w:sz w:val="22"/>
                <w:szCs w:val="22"/>
              </w:rPr>
            </w:pPr>
          </w:p>
        </w:tc>
        <w:tc>
          <w:tcPr>
            <w:tcW w:w="1328" w:type="dxa"/>
            <w:gridSpan w:val="2"/>
            <w:vMerge/>
            <w:tcBorders>
              <w:top w:val="single" w:sz="4" w:space="0" w:color="000000"/>
              <w:left w:val="nil"/>
              <w:bottom w:val="single" w:sz="4" w:space="0" w:color="000000"/>
              <w:right w:val="single" w:sz="4" w:space="0" w:color="000000"/>
            </w:tcBorders>
            <w:vAlign w:val="center"/>
            <w:hideMark/>
          </w:tcPr>
          <w:p w:rsidR="005D6ACF" w:rsidRPr="00974FB1" w:rsidRDefault="005D6ACF" w:rsidP="008A253E">
            <w:pPr>
              <w:rPr>
                <w:color w:val="000000"/>
                <w:sz w:val="22"/>
                <w:szCs w:val="22"/>
              </w:rPr>
            </w:pPr>
          </w:p>
        </w:tc>
      </w:tr>
      <w:tr w:rsidR="005D6ACF" w:rsidTr="008A253E">
        <w:trPr>
          <w:gridAfter w:val="1"/>
          <w:wAfter w:w="421" w:type="dxa"/>
          <w:trHeight w:val="458"/>
        </w:trPr>
        <w:tc>
          <w:tcPr>
            <w:tcW w:w="2217" w:type="dxa"/>
            <w:gridSpan w:val="3"/>
            <w:vMerge/>
            <w:tcBorders>
              <w:top w:val="single" w:sz="4" w:space="0" w:color="000000"/>
              <w:left w:val="nil"/>
              <w:bottom w:val="single" w:sz="4" w:space="0" w:color="000000"/>
              <w:right w:val="single" w:sz="4" w:space="0" w:color="000000"/>
            </w:tcBorders>
            <w:vAlign w:val="center"/>
            <w:hideMark/>
          </w:tcPr>
          <w:p w:rsidR="005D6ACF" w:rsidRPr="00974FB1" w:rsidRDefault="005D6ACF" w:rsidP="008A253E">
            <w:pPr>
              <w:rPr>
                <w:color w:val="000000"/>
                <w:sz w:val="22"/>
                <w:szCs w:val="22"/>
              </w:rPr>
            </w:pPr>
          </w:p>
        </w:tc>
        <w:tc>
          <w:tcPr>
            <w:tcW w:w="920" w:type="dxa"/>
            <w:vMerge/>
            <w:tcBorders>
              <w:top w:val="nil"/>
              <w:left w:val="nil"/>
              <w:bottom w:val="single" w:sz="4" w:space="0" w:color="000000"/>
              <w:right w:val="single" w:sz="4" w:space="0" w:color="000000"/>
            </w:tcBorders>
            <w:vAlign w:val="center"/>
            <w:hideMark/>
          </w:tcPr>
          <w:p w:rsidR="005D6ACF" w:rsidRPr="00974FB1" w:rsidRDefault="005D6ACF" w:rsidP="008A253E">
            <w:pPr>
              <w:rPr>
                <w:color w:val="000000"/>
                <w:sz w:val="22"/>
                <w:szCs w:val="22"/>
              </w:rPr>
            </w:pPr>
          </w:p>
        </w:tc>
        <w:tc>
          <w:tcPr>
            <w:tcW w:w="1028" w:type="dxa"/>
            <w:gridSpan w:val="2"/>
            <w:vMerge/>
            <w:tcBorders>
              <w:top w:val="nil"/>
              <w:left w:val="nil"/>
              <w:bottom w:val="single" w:sz="4" w:space="0" w:color="000000"/>
              <w:right w:val="single" w:sz="4" w:space="0" w:color="000000"/>
            </w:tcBorders>
            <w:vAlign w:val="center"/>
            <w:hideMark/>
          </w:tcPr>
          <w:p w:rsidR="005D6ACF" w:rsidRPr="00974FB1" w:rsidRDefault="005D6ACF" w:rsidP="008A253E">
            <w:pPr>
              <w:rPr>
                <w:color w:val="000000"/>
                <w:sz w:val="22"/>
                <w:szCs w:val="22"/>
              </w:rPr>
            </w:pPr>
          </w:p>
        </w:tc>
        <w:tc>
          <w:tcPr>
            <w:tcW w:w="974" w:type="dxa"/>
            <w:gridSpan w:val="2"/>
            <w:vMerge/>
            <w:tcBorders>
              <w:top w:val="nil"/>
              <w:left w:val="nil"/>
              <w:bottom w:val="single" w:sz="4" w:space="0" w:color="000000"/>
              <w:right w:val="single" w:sz="4" w:space="0" w:color="000000"/>
            </w:tcBorders>
            <w:vAlign w:val="center"/>
            <w:hideMark/>
          </w:tcPr>
          <w:p w:rsidR="005D6ACF" w:rsidRPr="00974FB1" w:rsidRDefault="005D6ACF" w:rsidP="008A253E">
            <w:pPr>
              <w:rPr>
                <w:color w:val="000000"/>
                <w:sz w:val="22"/>
                <w:szCs w:val="22"/>
              </w:rPr>
            </w:pPr>
          </w:p>
        </w:tc>
        <w:tc>
          <w:tcPr>
            <w:tcW w:w="920" w:type="dxa"/>
            <w:vMerge/>
            <w:tcBorders>
              <w:top w:val="nil"/>
              <w:left w:val="nil"/>
              <w:bottom w:val="single" w:sz="4" w:space="0" w:color="000000"/>
              <w:right w:val="single" w:sz="4" w:space="0" w:color="000000"/>
            </w:tcBorders>
            <w:vAlign w:val="center"/>
            <w:hideMark/>
          </w:tcPr>
          <w:p w:rsidR="005D6ACF" w:rsidRPr="00974FB1" w:rsidRDefault="005D6ACF" w:rsidP="008A253E">
            <w:pPr>
              <w:rPr>
                <w:color w:val="000000"/>
                <w:sz w:val="22"/>
                <w:szCs w:val="22"/>
              </w:rPr>
            </w:pPr>
          </w:p>
        </w:tc>
        <w:tc>
          <w:tcPr>
            <w:tcW w:w="920" w:type="dxa"/>
            <w:gridSpan w:val="2"/>
            <w:vMerge/>
            <w:tcBorders>
              <w:top w:val="nil"/>
              <w:left w:val="nil"/>
              <w:bottom w:val="single" w:sz="4" w:space="0" w:color="000000"/>
              <w:right w:val="single" w:sz="4" w:space="0" w:color="000000"/>
            </w:tcBorders>
            <w:vAlign w:val="center"/>
            <w:hideMark/>
          </w:tcPr>
          <w:p w:rsidR="005D6ACF" w:rsidRPr="00974FB1" w:rsidRDefault="005D6ACF" w:rsidP="008A253E">
            <w:pPr>
              <w:rPr>
                <w:color w:val="000000"/>
                <w:sz w:val="22"/>
                <w:szCs w:val="22"/>
              </w:rPr>
            </w:pPr>
          </w:p>
        </w:tc>
        <w:tc>
          <w:tcPr>
            <w:tcW w:w="920" w:type="dxa"/>
            <w:vMerge/>
            <w:tcBorders>
              <w:top w:val="nil"/>
              <w:left w:val="nil"/>
              <w:bottom w:val="single" w:sz="4" w:space="0" w:color="000000"/>
              <w:right w:val="single" w:sz="4" w:space="0" w:color="000000"/>
            </w:tcBorders>
            <w:vAlign w:val="center"/>
            <w:hideMark/>
          </w:tcPr>
          <w:p w:rsidR="005D6ACF" w:rsidRPr="00974FB1" w:rsidRDefault="005D6ACF" w:rsidP="008A253E">
            <w:pPr>
              <w:rPr>
                <w:color w:val="000000"/>
                <w:sz w:val="22"/>
                <w:szCs w:val="22"/>
              </w:rPr>
            </w:pPr>
          </w:p>
        </w:tc>
        <w:tc>
          <w:tcPr>
            <w:tcW w:w="928" w:type="dxa"/>
            <w:gridSpan w:val="2"/>
            <w:vMerge/>
            <w:tcBorders>
              <w:top w:val="nil"/>
              <w:left w:val="nil"/>
              <w:bottom w:val="single" w:sz="4" w:space="0" w:color="000000"/>
              <w:right w:val="single" w:sz="4" w:space="0" w:color="000000"/>
            </w:tcBorders>
            <w:vAlign w:val="center"/>
            <w:hideMark/>
          </w:tcPr>
          <w:p w:rsidR="005D6ACF" w:rsidRPr="00974FB1" w:rsidRDefault="005D6ACF" w:rsidP="008A253E">
            <w:pPr>
              <w:rPr>
                <w:color w:val="000000"/>
                <w:sz w:val="22"/>
                <w:szCs w:val="22"/>
              </w:rPr>
            </w:pPr>
          </w:p>
        </w:tc>
        <w:tc>
          <w:tcPr>
            <w:tcW w:w="920" w:type="dxa"/>
            <w:vMerge/>
            <w:tcBorders>
              <w:top w:val="nil"/>
              <w:left w:val="nil"/>
              <w:bottom w:val="single" w:sz="4" w:space="0" w:color="000000"/>
              <w:right w:val="single" w:sz="4" w:space="0" w:color="000000"/>
            </w:tcBorders>
            <w:vAlign w:val="center"/>
            <w:hideMark/>
          </w:tcPr>
          <w:p w:rsidR="005D6ACF" w:rsidRPr="00974FB1" w:rsidRDefault="005D6ACF" w:rsidP="008A253E">
            <w:pPr>
              <w:rPr>
                <w:color w:val="000000"/>
                <w:sz w:val="22"/>
                <w:szCs w:val="22"/>
              </w:rPr>
            </w:pPr>
          </w:p>
        </w:tc>
        <w:tc>
          <w:tcPr>
            <w:tcW w:w="1049" w:type="dxa"/>
            <w:gridSpan w:val="2"/>
            <w:vMerge/>
            <w:tcBorders>
              <w:top w:val="nil"/>
              <w:left w:val="single" w:sz="4" w:space="0" w:color="000000"/>
              <w:bottom w:val="single" w:sz="4" w:space="0" w:color="000000"/>
              <w:right w:val="single" w:sz="4" w:space="0" w:color="000000"/>
            </w:tcBorders>
            <w:vAlign w:val="center"/>
            <w:hideMark/>
          </w:tcPr>
          <w:p w:rsidR="005D6ACF" w:rsidRPr="00974FB1" w:rsidRDefault="005D6ACF" w:rsidP="008A253E">
            <w:pPr>
              <w:rPr>
                <w:color w:val="000000"/>
                <w:sz w:val="22"/>
                <w:szCs w:val="22"/>
              </w:rPr>
            </w:pPr>
          </w:p>
        </w:tc>
        <w:tc>
          <w:tcPr>
            <w:tcW w:w="953" w:type="dxa"/>
            <w:vMerge/>
            <w:tcBorders>
              <w:top w:val="nil"/>
              <w:left w:val="nil"/>
              <w:bottom w:val="single" w:sz="4" w:space="0" w:color="000000"/>
              <w:right w:val="single" w:sz="4" w:space="0" w:color="000000"/>
            </w:tcBorders>
            <w:vAlign w:val="center"/>
            <w:hideMark/>
          </w:tcPr>
          <w:p w:rsidR="005D6ACF" w:rsidRPr="00974FB1" w:rsidRDefault="005D6ACF" w:rsidP="008A253E">
            <w:pPr>
              <w:rPr>
                <w:color w:val="000000"/>
                <w:sz w:val="22"/>
                <w:szCs w:val="22"/>
              </w:rPr>
            </w:pPr>
          </w:p>
        </w:tc>
        <w:tc>
          <w:tcPr>
            <w:tcW w:w="920" w:type="dxa"/>
            <w:gridSpan w:val="2"/>
            <w:vMerge/>
            <w:tcBorders>
              <w:top w:val="nil"/>
              <w:left w:val="nil"/>
              <w:bottom w:val="single" w:sz="4" w:space="0" w:color="000000"/>
              <w:right w:val="single" w:sz="4" w:space="0" w:color="000000"/>
            </w:tcBorders>
            <w:vAlign w:val="center"/>
            <w:hideMark/>
          </w:tcPr>
          <w:p w:rsidR="005D6ACF" w:rsidRPr="00974FB1" w:rsidRDefault="005D6ACF" w:rsidP="008A253E">
            <w:pPr>
              <w:rPr>
                <w:color w:val="000000"/>
                <w:sz w:val="22"/>
                <w:szCs w:val="22"/>
              </w:rPr>
            </w:pPr>
          </w:p>
        </w:tc>
        <w:tc>
          <w:tcPr>
            <w:tcW w:w="953" w:type="dxa"/>
            <w:vMerge/>
            <w:tcBorders>
              <w:top w:val="nil"/>
              <w:left w:val="nil"/>
              <w:bottom w:val="single" w:sz="4" w:space="0" w:color="000000"/>
              <w:right w:val="single" w:sz="4" w:space="0" w:color="000000"/>
            </w:tcBorders>
            <w:vAlign w:val="center"/>
            <w:hideMark/>
          </w:tcPr>
          <w:p w:rsidR="005D6ACF" w:rsidRPr="00974FB1" w:rsidRDefault="005D6ACF" w:rsidP="008A253E">
            <w:pPr>
              <w:rPr>
                <w:color w:val="000000"/>
                <w:sz w:val="22"/>
                <w:szCs w:val="22"/>
              </w:rPr>
            </w:pPr>
          </w:p>
        </w:tc>
        <w:tc>
          <w:tcPr>
            <w:tcW w:w="1328" w:type="dxa"/>
            <w:gridSpan w:val="2"/>
            <w:vMerge/>
            <w:tcBorders>
              <w:top w:val="single" w:sz="4" w:space="0" w:color="000000"/>
              <w:left w:val="nil"/>
              <w:bottom w:val="single" w:sz="4" w:space="0" w:color="000000"/>
              <w:right w:val="single" w:sz="4" w:space="0" w:color="000000"/>
            </w:tcBorders>
            <w:vAlign w:val="center"/>
            <w:hideMark/>
          </w:tcPr>
          <w:p w:rsidR="005D6ACF" w:rsidRPr="00974FB1" w:rsidRDefault="005D6ACF" w:rsidP="008A253E">
            <w:pPr>
              <w:rPr>
                <w:color w:val="000000"/>
                <w:sz w:val="22"/>
                <w:szCs w:val="22"/>
              </w:rPr>
            </w:pPr>
          </w:p>
        </w:tc>
      </w:tr>
      <w:tr w:rsidR="005D6ACF" w:rsidTr="008A253E">
        <w:trPr>
          <w:gridAfter w:val="1"/>
          <w:wAfter w:w="421" w:type="dxa"/>
          <w:trHeight w:val="276"/>
        </w:trPr>
        <w:tc>
          <w:tcPr>
            <w:tcW w:w="2217" w:type="dxa"/>
            <w:gridSpan w:val="3"/>
            <w:vMerge/>
            <w:tcBorders>
              <w:top w:val="single" w:sz="4" w:space="0" w:color="000000"/>
              <w:left w:val="nil"/>
              <w:bottom w:val="single" w:sz="4" w:space="0" w:color="000000"/>
              <w:right w:val="single" w:sz="4" w:space="0" w:color="000000"/>
            </w:tcBorders>
            <w:vAlign w:val="center"/>
            <w:hideMark/>
          </w:tcPr>
          <w:p w:rsidR="005D6ACF" w:rsidRPr="00974FB1" w:rsidRDefault="005D6ACF" w:rsidP="008A253E">
            <w:pPr>
              <w:rPr>
                <w:color w:val="000000"/>
                <w:sz w:val="22"/>
                <w:szCs w:val="22"/>
              </w:rPr>
            </w:pPr>
          </w:p>
        </w:tc>
        <w:tc>
          <w:tcPr>
            <w:tcW w:w="920" w:type="dxa"/>
            <w:vMerge/>
            <w:tcBorders>
              <w:top w:val="nil"/>
              <w:left w:val="nil"/>
              <w:bottom w:val="single" w:sz="4" w:space="0" w:color="000000"/>
              <w:right w:val="single" w:sz="4" w:space="0" w:color="000000"/>
            </w:tcBorders>
            <w:vAlign w:val="center"/>
            <w:hideMark/>
          </w:tcPr>
          <w:p w:rsidR="005D6ACF" w:rsidRPr="00974FB1" w:rsidRDefault="005D6ACF" w:rsidP="008A253E">
            <w:pPr>
              <w:rPr>
                <w:color w:val="000000"/>
                <w:sz w:val="22"/>
                <w:szCs w:val="22"/>
              </w:rPr>
            </w:pPr>
          </w:p>
        </w:tc>
        <w:tc>
          <w:tcPr>
            <w:tcW w:w="1028" w:type="dxa"/>
            <w:gridSpan w:val="2"/>
            <w:vMerge/>
            <w:tcBorders>
              <w:top w:val="nil"/>
              <w:left w:val="nil"/>
              <w:bottom w:val="single" w:sz="4" w:space="0" w:color="000000"/>
              <w:right w:val="single" w:sz="4" w:space="0" w:color="000000"/>
            </w:tcBorders>
            <w:vAlign w:val="center"/>
            <w:hideMark/>
          </w:tcPr>
          <w:p w:rsidR="005D6ACF" w:rsidRPr="00974FB1" w:rsidRDefault="005D6ACF" w:rsidP="008A253E">
            <w:pPr>
              <w:rPr>
                <w:color w:val="000000"/>
                <w:sz w:val="22"/>
                <w:szCs w:val="22"/>
              </w:rPr>
            </w:pPr>
          </w:p>
        </w:tc>
        <w:tc>
          <w:tcPr>
            <w:tcW w:w="974" w:type="dxa"/>
            <w:gridSpan w:val="2"/>
            <w:vMerge/>
            <w:tcBorders>
              <w:top w:val="nil"/>
              <w:left w:val="nil"/>
              <w:bottom w:val="single" w:sz="4" w:space="0" w:color="000000"/>
              <w:right w:val="single" w:sz="4" w:space="0" w:color="000000"/>
            </w:tcBorders>
            <w:vAlign w:val="center"/>
            <w:hideMark/>
          </w:tcPr>
          <w:p w:rsidR="005D6ACF" w:rsidRPr="00974FB1" w:rsidRDefault="005D6ACF" w:rsidP="008A253E">
            <w:pPr>
              <w:rPr>
                <w:color w:val="000000"/>
                <w:sz w:val="22"/>
                <w:szCs w:val="22"/>
              </w:rPr>
            </w:pPr>
          </w:p>
        </w:tc>
        <w:tc>
          <w:tcPr>
            <w:tcW w:w="920" w:type="dxa"/>
            <w:vMerge/>
            <w:tcBorders>
              <w:top w:val="nil"/>
              <w:left w:val="nil"/>
              <w:bottom w:val="single" w:sz="4" w:space="0" w:color="000000"/>
              <w:right w:val="single" w:sz="4" w:space="0" w:color="000000"/>
            </w:tcBorders>
            <w:vAlign w:val="center"/>
            <w:hideMark/>
          </w:tcPr>
          <w:p w:rsidR="005D6ACF" w:rsidRPr="00974FB1" w:rsidRDefault="005D6ACF" w:rsidP="008A253E">
            <w:pPr>
              <w:rPr>
                <w:color w:val="000000"/>
                <w:sz w:val="22"/>
                <w:szCs w:val="22"/>
              </w:rPr>
            </w:pPr>
          </w:p>
        </w:tc>
        <w:tc>
          <w:tcPr>
            <w:tcW w:w="920" w:type="dxa"/>
            <w:gridSpan w:val="2"/>
            <w:vMerge/>
            <w:tcBorders>
              <w:top w:val="nil"/>
              <w:left w:val="nil"/>
              <w:bottom w:val="single" w:sz="4" w:space="0" w:color="000000"/>
              <w:right w:val="single" w:sz="4" w:space="0" w:color="000000"/>
            </w:tcBorders>
            <w:vAlign w:val="center"/>
            <w:hideMark/>
          </w:tcPr>
          <w:p w:rsidR="005D6ACF" w:rsidRPr="00974FB1" w:rsidRDefault="005D6ACF" w:rsidP="008A253E">
            <w:pPr>
              <w:rPr>
                <w:color w:val="000000"/>
                <w:sz w:val="22"/>
                <w:szCs w:val="22"/>
              </w:rPr>
            </w:pPr>
          </w:p>
        </w:tc>
        <w:tc>
          <w:tcPr>
            <w:tcW w:w="920" w:type="dxa"/>
            <w:vMerge/>
            <w:tcBorders>
              <w:top w:val="nil"/>
              <w:left w:val="nil"/>
              <w:bottom w:val="single" w:sz="4" w:space="0" w:color="000000"/>
              <w:right w:val="single" w:sz="4" w:space="0" w:color="000000"/>
            </w:tcBorders>
            <w:vAlign w:val="center"/>
            <w:hideMark/>
          </w:tcPr>
          <w:p w:rsidR="005D6ACF" w:rsidRPr="00974FB1" w:rsidRDefault="005D6ACF" w:rsidP="008A253E">
            <w:pPr>
              <w:rPr>
                <w:color w:val="000000"/>
                <w:sz w:val="22"/>
                <w:szCs w:val="22"/>
              </w:rPr>
            </w:pPr>
          </w:p>
        </w:tc>
        <w:tc>
          <w:tcPr>
            <w:tcW w:w="928" w:type="dxa"/>
            <w:gridSpan w:val="2"/>
            <w:vMerge/>
            <w:tcBorders>
              <w:top w:val="nil"/>
              <w:left w:val="nil"/>
              <w:bottom w:val="single" w:sz="4" w:space="0" w:color="000000"/>
              <w:right w:val="single" w:sz="4" w:space="0" w:color="000000"/>
            </w:tcBorders>
            <w:vAlign w:val="center"/>
            <w:hideMark/>
          </w:tcPr>
          <w:p w:rsidR="005D6ACF" w:rsidRPr="00974FB1" w:rsidRDefault="005D6ACF" w:rsidP="008A253E">
            <w:pPr>
              <w:rPr>
                <w:color w:val="000000"/>
                <w:sz w:val="22"/>
                <w:szCs w:val="22"/>
              </w:rPr>
            </w:pPr>
          </w:p>
        </w:tc>
        <w:tc>
          <w:tcPr>
            <w:tcW w:w="920" w:type="dxa"/>
            <w:vMerge/>
            <w:tcBorders>
              <w:top w:val="nil"/>
              <w:left w:val="nil"/>
              <w:bottom w:val="single" w:sz="4" w:space="0" w:color="000000"/>
              <w:right w:val="single" w:sz="4" w:space="0" w:color="000000"/>
            </w:tcBorders>
            <w:vAlign w:val="center"/>
            <w:hideMark/>
          </w:tcPr>
          <w:p w:rsidR="005D6ACF" w:rsidRPr="00974FB1" w:rsidRDefault="005D6ACF" w:rsidP="008A253E">
            <w:pPr>
              <w:rPr>
                <w:color w:val="000000"/>
                <w:sz w:val="22"/>
                <w:szCs w:val="22"/>
              </w:rPr>
            </w:pPr>
          </w:p>
        </w:tc>
        <w:tc>
          <w:tcPr>
            <w:tcW w:w="1049" w:type="dxa"/>
            <w:gridSpan w:val="2"/>
            <w:vMerge/>
            <w:tcBorders>
              <w:top w:val="nil"/>
              <w:left w:val="single" w:sz="4" w:space="0" w:color="000000"/>
              <w:bottom w:val="single" w:sz="4" w:space="0" w:color="000000"/>
              <w:right w:val="single" w:sz="4" w:space="0" w:color="000000"/>
            </w:tcBorders>
            <w:vAlign w:val="center"/>
            <w:hideMark/>
          </w:tcPr>
          <w:p w:rsidR="005D6ACF" w:rsidRPr="00974FB1" w:rsidRDefault="005D6ACF" w:rsidP="008A253E">
            <w:pPr>
              <w:rPr>
                <w:color w:val="000000"/>
                <w:sz w:val="22"/>
                <w:szCs w:val="22"/>
              </w:rPr>
            </w:pPr>
          </w:p>
        </w:tc>
        <w:tc>
          <w:tcPr>
            <w:tcW w:w="953" w:type="dxa"/>
            <w:vMerge/>
            <w:tcBorders>
              <w:top w:val="nil"/>
              <w:left w:val="nil"/>
              <w:bottom w:val="single" w:sz="4" w:space="0" w:color="000000"/>
              <w:right w:val="single" w:sz="4" w:space="0" w:color="000000"/>
            </w:tcBorders>
            <w:vAlign w:val="center"/>
            <w:hideMark/>
          </w:tcPr>
          <w:p w:rsidR="005D6ACF" w:rsidRPr="00974FB1" w:rsidRDefault="005D6ACF" w:rsidP="008A253E">
            <w:pPr>
              <w:rPr>
                <w:color w:val="000000"/>
                <w:sz w:val="22"/>
                <w:szCs w:val="22"/>
              </w:rPr>
            </w:pPr>
          </w:p>
        </w:tc>
        <w:tc>
          <w:tcPr>
            <w:tcW w:w="920" w:type="dxa"/>
            <w:gridSpan w:val="2"/>
            <w:vMerge/>
            <w:tcBorders>
              <w:top w:val="nil"/>
              <w:left w:val="nil"/>
              <w:bottom w:val="single" w:sz="4" w:space="0" w:color="000000"/>
              <w:right w:val="single" w:sz="4" w:space="0" w:color="000000"/>
            </w:tcBorders>
            <w:vAlign w:val="center"/>
            <w:hideMark/>
          </w:tcPr>
          <w:p w:rsidR="005D6ACF" w:rsidRPr="00974FB1" w:rsidRDefault="005D6ACF" w:rsidP="008A253E">
            <w:pPr>
              <w:rPr>
                <w:color w:val="000000"/>
                <w:sz w:val="22"/>
                <w:szCs w:val="22"/>
              </w:rPr>
            </w:pPr>
          </w:p>
        </w:tc>
        <w:tc>
          <w:tcPr>
            <w:tcW w:w="953" w:type="dxa"/>
            <w:vMerge/>
            <w:tcBorders>
              <w:top w:val="nil"/>
              <w:left w:val="nil"/>
              <w:bottom w:val="single" w:sz="4" w:space="0" w:color="000000"/>
              <w:right w:val="single" w:sz="4" w:space="0" w:color="000000"/>
            </w:tcBorders>
            <w:vAlign w:val="center"/>
            <w:hideMark/>
          </w:tcPr>
          <w:p w:rsidR="005D6ACF" w:rsidRPr="00974FB1" w:rsidRDefault="005D6ACF" w:rsidP="008A253E">
            <w:pPr>
              <w:rPr>
                <w:color w:val="000000"/>
                <w:sz w:val="22"/>
                <w:szCs w:val="22"/>
              </w:rPr>
            </w:pPr>
          </w:p>
        </w:tc>
        <w:tc>
          <w:tcPr>
            <w:tcW w:w="1328" w:type="dxa"/>
            <w:gridSpan w:val="2"/>
            <w:vMerge/>
            <w:tcBorders>
              <w:top w:val="single" w:sz="4" w:space="0" w:color="000000"/>
              <w:left w:val="nil"/>
              <w:bottom w:val="single" w:sz="4" w:space="0" w:color="000000"/>
              <w:right w:val="single" w:sz="4" w:space="0" w:color="000000"/>
            </w:tcBorders>
            <w:vAlign w:val="center"/>
            <w:hideMark/>
          </w:tcPr>
          <w:p w:rsidR="005D6ACF" w:rsidRPr="00974FB1" w:rsidRDefault="005D6ACF" w:rsidP="008A253E">
            <w:pPr>
              <w:rPr>
                <w:color w:val="000000"/>
                <w:sz w:val="22"/>
                <w:szCs w:val="22"/>
              </w:rPr>
            </w:pPr>
          </w:p>
        </w:tc>
      </w:tr>
      <w:tr w:rsidR="005D6ACF" w:rsidTr="008A253E">
        <w:trPr>
          <w:gridAfter w:val="1"/>
          <w:wAfter w:w="421" w:type="dxa"/>
          <w:trHeight w:val="720"/>
        </w:trPr>
        <w:tc>
          <w:tcPr>
            <w:tcW w:w="2217" w:type="dxa"/>
            <w:gridSpan w:val="3"/>
            <w:tcBorders>
              <w:top w:val="single" w:sz="4" w:space="0" w:color="000000"/>
              <w:left w:val="nil"/>
              <w:bottom w:val="single" w:sz="4" w:space="0" w:color="000000"/>
              <w:right w:val="single" w:sz="4" w:space="0" w:color="000000"/>
            </w:tcBorders>
            <w:shd w:val="clear" w:color="auto" w:fill="auto"/>
            <w:hideMark/>
          </w:tcPr>
          <w:p w:rsidR="005D6ACF" w:rsidRPr="00974FB1" w:rsidRDefault="005D6ACF" w:rsidP="008A253E">
            <w:pPr>
              <w:jc w:val="center"/>
              <w:rPr>
                <w:color w:val="000000"/>
                <w:sz w:val="22"/>
                <w:szCs w:val="22"/>
              </w:rPr>
            </w:pPr>
            <w:r w:rsidRPr="00974FB1">
              <w:rPr>
                <w:color w:val="000000"/>
                <w:sz w:val="22"/>
                <w:szCs w:val="22"/>
              </w:rPr>
              <w:t> </w:t>
            </w:r>
          </w:p>
        </w:tc>
        <w:tc>
          <w:tcPr>
            <w:tcW w:w="920" w:type="dxa"/>
            <w:tcBorders>
              <w:top w:val="single" w:sz="4" w:space="0" w:color="000000"/>
              <w:left w:val="nil"/>
              <w:bottom w:val="single" w:sz="4" w:space="0" w:color="000000"/>
              <w:right w:val="single" w:sz="4" w:space="0" w:color="000000"/>
            </w:tcBorders>
            <w:shd w:val="clear" w:color="auto" w:fill="auto"/>
            <w:hideMark/>
          </w:tcPr>
          <w:p w:rsidR="005D6ACF" w:rsidRPr="00974FB1" w:rsidRDefault="005D6ACF" w:rsidP="008A253E">
            <w:pPr>
              <w:ind w:left="-107"/>
              <w:jc w:val="right"/>
              <w:rPr>
                <w:color w:val="000000"/>
                <w:sz w:val="22"/>
                <w:szCs w:val="22"/>
              </w:rPr>
            </w:pPr>
            <w:r w:rsidRPr="00974FB1">
              <w:rPr>
                <w:color w:val="000000"/>
                <w:sz w:val="22"/>
                <w:szCs w:val="22"/>
              </w:rPr>
              <w:t> </w:t>
            </w:r>
          </w:p>
        </w:tc>
        <w:tc>
          <w:tcPr>
            <w:tcW w:w="1028" w:type="dxa"/>
            <w:gridSpan w:val="2"/>
            <w:tcBorders>
              <w:top w:val="single" w:sz="4" w:space="0" w:color="000000"/>
              <w:left w:val="nil"/>
              <w:bottom w:val="single" w:sz="4" w:space="0" w:color="000000"/>
              <w:right w:val="single" w:sz="4" w:space="0" w:color="000000"/>
            </w:tcBorders>
            <w:shd w:val="clear" w:color="auto" w:fill="auto"/>
            <w:hideMark/>
          </w:tcPr>
          <w:p w:rsidR="005D6ACF" w:rsidRPr="00974FB1" w:rsidRDefault="005D6ACF" w:rsidP="008A253E">
            <w:pPr>
              <w:ind w:left="-107"/>
              <w:jc w:val="right"/>
              <w:rPr>
                <w:color w:val="000000"/>
                <w:sz w:val="22"/>
                <w:szCs w:val="22"/>
              </w:rPr>
            </w:pPr>
            <w:r w:rsidRPr="00974FB1">
              <w:rPr>
                <w:color w:val="000000"/>
                <w:sz w:val="22"/>
                <w:szCs w:val="22"/>
              </w:rPr>
              <w:t> </w:t>
            </w:r>
          </w:p>
        </w:tc>
        <w:tc>
          <w:tcPr>
            <w:tcW w:w="974" w:type="dxa"/>
            <w:gridSpan w:val="2"/>
            <w:tcBorders>
              <w:top w:val="single" w:sz="4" w:space="0" w:color="000000"/>
              <w:left w:val="nil"/>
              <w:bottom w:val="single" w:sz="4" w:space="0" w:color="000000"/>
              <w:right w:val="single" w:sz="4" w:space="0" w:color="000000"/>
            </w:tcBorders>
            <w:shd w:val="clear" w:color="auto" w:fill="auto"/>
            <w:hideMark/>
          </w:tcPr>
          <w:p w:rsidR="005D6ACF" w:rsidRPr="00974FB1" w:rsidRDefault="005D6ACF" w:rsidP="008A253E">
            <w:pPr>
              <w:ind w:left="-107"/>
              <w:jc w:val="right"/>
              <w:rPr>
                <w:color w:val="000000"/>
                <w:sz w:val="22"/>
                <w:szCs w:val="22"/>
              </w:rPr>
            </w:pPr>
            <w:r w:rsidRPr="00974FB1">
              <w:rPr>
                <w:color w:val="000000"/>
                <w:sz w:val="22"/>
                <w:szCs w:val="22"/>
              </w:rPr>
              <w:t> </w:t>
            </w:r>
          </w:p>
        </w:tc>
        <w:tc>
          <w:tcPr>
            <w:tcW w:w="920" w:type="dxa"/>
            <w:tcBorders>
              <w:top w:val="single" w:sz="4" w:space="0" w:color="000000"/>
              <w:left w:val="nil"/>
              <w:bottom w:val="single" w:sz="4" w:space="0" w:color="000000"/>
              <w:right w:val="single" w:sz="4" w:space="0" w:color="000000"/>
            </w:tcBorders>
            <w:shd w:val="clear" w:color="auto" w:fill="auto"/>
            <w:hideMark/>
          </w:tcPr>
          <w:p w:rsidR="005D6ACF" w:rsidRPr="00974FB1" w:rsidRDefault="005D6ACF" w:rsidP="008A253E">
            <w:pPr>
              <w:ind w:left="-107"/>
              <w:jc w:val="right"/>
              <w:rPr>
                <w:color w:val="000000"/>
                <w:sz w:val="22"/>
                <w:szCs w:val="22"/>
              </w:rPr>
            </w:pPr>
            <w:r w:rsidRPr="00974FB1">
              <w:rPr>
                <w:color w:val="000000"/>
                <w:sz w:val="22"/>
                <w:szCs w:val="22"/>
              </w:rPr>
              <w:t> </w:t>
            </w:r>
          </w:p>
        </w:tc>
        <w:tc>
          <w:tcPr>
            <w:tcW w:w="920" w:type="dxa"/>
            <w:gridSpan w:val="2"/>
            <w:tcBorders>
              <w:top w:val="single" w:sz="4" w:space="0" w:color="000000"/>
              <w:left w:val="nil"/>
              <w:bottom w:val="single" w:sz="4" w:space="0" w:color="000000"/>
              <w:right w:val="single" w:sz="4" w:space="0" w:color="000000"/>
            </w:tcBorders>
            <w:shd w:val="clear" w:color="auto" w:fill="auto"/>
            <w:hideMark/>
          </w:tcPr>
          <w:p w:rsidR="005D6ACF" w:rsidRPr="00974FB1" w:rsidRDefault="005D6ACF" w:rsidP="008A253E">
            <w:pPr>
              <w:ind w:left="-107"/>
              <w:jc w:val="right"/>
              <w:rPr>
                <w:color w:val="000000"/>
                <w:sz w:val="22"/>
                <w:szCs w:val="22"/>
              </w:rPr>
            </w:pPr>
            <w:r w:rsidRPr="00974FB1">
              <w:rPr>
                <w:color w:val="000000"/>
                <w:sz w:val="22"/>
                <w:szCs w:val="22"/>
              </w:rPr>
              <w:t> </w:t>
            </w:r>
          </w:p>
        </w:tc>
        <w:tc>
          <w:tcPr>
            <w:tcW w:w="920" w:type="dxa"/>
            <w:tcBorders>
              <w:top w:val="single" w:sz="4" w:space="0" w:color="000000"/>
              <w:left w:val="nil"/>
              <w:bottom w:val="single" w:sz="4" w:space="0" w:color="000000"/>
              <w:right w:val="single" w:sz="4" w:space="0" w:color="000000"/>
            </w:tcBorders>
            <w:shd w:val="clear" w:color="auto" w:fill="auto"/>
            <w:hideMark/>
          </w:tcPr>
          <w:p w:rsidR="005D6ACF" w:rsidRPr="00974FB1" w:rsidRDefault="005D6ACF" w:rsidP="008A253E">
            <w:pPr>
              <w:ind w:left="-107"/>
              <w:jc w:val="right"/>
              <w:rPr>
                <w:color w:val="000000"/>
                <w:sz w:val="22"/>
                <w:szCs w:val="22"/>
              </w:rPr>
            </w:pPr>
            <w:r w:rsidRPr="00974FB1">
              <w:rPr>
                <w:color w:val="000000"/>
                <w:sz w:val="22"/>
                <w:szCs w:val="22"/>
              </w:rPr>
              <w:t> </w:t>
            </w:r>
          </w:p>
        </w:tc>
        <w:tc>
          <w:tcPr>
            <w:tcW w:w="928" w:type="dxa"/>
            <w:gridSpan w:val="2"/>
            <w:tcBorders>
              <w:top w:val="single" w:sz="4" w:space="0" w:color="000000"/>
              <w:left w:val="nil"/>
              <w:bottom w:val="single" w:sz="4" w:space="0" w:color="000000"/>
              <w:right w:val="single" w:sz="4" w:space="0" w:color="000000"/>
            </w:tcBorders>
            <w:shd w:val="clear" w:color="auto" w:fill="auto"/>
            <w:hideMark/>
          </w:tcPr>
          <w:p w:rsidR="005D6ACF" w:rsidRPr="00974FB1" w:rsidRDefault="005D6ACF" w:rsidP="008A253E">
            <w:pPr>
              <w:ind w:left="-107"/>
              <w:jc w:val="right"/>
              <w:rPr>
                <w:color w:val="000000"/>
                <w:sz w:val="22"/>
                <w:szCs w:val="22"/>
              </w:rPr>
            </w:pPr>
            <w:r w:rsidRPr="00974FB1">
              <w:rPr>
                <w:color w:val="000000"/>
                <w:sz w:val="22"/>
                <w:szCs w:val="22"/>
              </w:rPr>
              <w:t> </w:t>
            </w:r>
          </w:p>
        </w:tc>
        <w:tc>
          <w:tcPr>
            <w:tcW w:w="920" w:type="dxa"/>
            <w:tcBorders>
              <w:top w:val="single" w:sz="4" w:space="0" w:color="000000"/>
              <w:left w:val="nil"/>
              <w:bottom w:val="single" w:sz="4" w:space="0" w:color="000000"/>
              <w:right w:val="single" w:sz="4" w:space="0" w:color="000000"/>
            </w:tcBorders>
            <w:shd w:val="clear" w:color="auto" w:fill="auto"/>
            <w:hideMark/>
          </w:tcPr>
          <w:p w:rsidR="005D6ACF" w:rsidRPr="00974FB1" w:rsidRDefault="005D6ACF" w:rsidP="008A253E">
            <w:pPr>
              <w:ind w:left="-107"/>
              <w:jc w:val="right"/>
              <w:rPr>
                <w:color w:val="000000"/>
                <w:sz w:val="22"/>
                <w:szCs w:val="22"/>
              </w:rPr>
            </w:pPr>
            <w:r w:rsidRPr="00974FB1">
              <w:rPr>
                <w:color w:val="000000"/>
                <w:sz w:val="22"/>
                <w:szCs w:val="22"/>
              </w:rPr>
              <w:t> </w:t>
            </w:r>
          </w:p>
        </w:tc>
        <w:tc>
          <w:tcPr>
            <w:tcW w:w="1049" w:type="dxa"/>
            <w:gridSpan w:val="2"/>
            <w:tcBorders>
              <w:top w:val="single" w:sz="4" w:space="0" w:color="000000"/>
              <w:left w:val="nil"/>
              <w:bottom w:val="single" w:sz="4" w:space="0" w:color="000000"/>
              <w:right w:val="single" w:sz="4" w:space="0" w:color="000000"/>
            </w:tcBorders>
            <w:shd w:val="clear" w:color="auto" w:fill="auto"/>
            <w:hideMark/>
          </w:tcPr>
          <w:p w:rsidR="005D6ACF" w:rsidRPr="00974FB1" w:rsidRDefault="005D6ACF" w:rsidP="008A253E">
            <w:pPr>
              <w:ind w:left="-107"/>
              <w:jc w:val="right"/>
              <w:rPr>
                <w:color w:val="000000"/>
                <w:sz w:val="22"/>
                <w:szCs w:val="22"/>
              </w:rPr>
            </w:pPr>
            <w:r w:rsidRPr="00974FB1">
              <w:rPr>
                <w:color w:val="000000"/>
                <w:sz w:val="22"/>
                <w:szCs w:val="22"/>
              </w:rPr>
              <w:t> </w:t>
            </w:r>
          </w:p>
        </w:tc>
        <w:tc>
          <w:tcPr>
            <w:tcW w:w="953" w:type="dxa"/>
            <w:tcBorders>
              <w:top w:val="single" w:sz="4" w:space="0" w:color="000000"/>
              <w:left w:val="nil"/>
              <w:bottom w:val="single" w:sz="4" w:space="0" w:color="000000"/>
              <w:right w:val="single" w:sz="4" w:space="0" w:color="000000"/>
            </w:tcBorders>
            <w:shd w:val="clear" w:color="auto" w:fill="auto"/>
            <w:hideMark/>
          </w:tcPr>
          <w:p w:rsidR="005D6ACF" w:rsidRPr="00974FB1" w:rsidRDefault="005D6ACF" w:rsidP="008A253E">
            <w:pPr>
              <w:ind w:left="-107"/>
              <w:jc w:val="right"/>
              <w:rPr>
                <w:color w:val="000000"/>
                <w:sz w:val="22"/>
                <w:szCs w:val="22"/>
              </w:rPr>
            </w:pPr>
            <w:r w:rsidRPr="00974FB1">
              <w:rPr>
                <w:color w:val="000000"/>
                <w:sz w:val="22"/>
                <w:szCs w:val="22"/>
              </w:rPr>
              <w:t> </w:t>
            </w:r>
          </w:p>
        </w:tc>
        <w:tc>
          <w:tcPr>
            <w:tcW w:w="920" w:type="dxa"/>
            <w:gridSpan w:val="2"/>
            <w:tcBorders>
              <w:top w:val="single" w:sz="4" w:space="0" w:color="000000"/>
              <w:left w:val="nil"/>
              <w:bottom w:val="single" w:sz="4" w:space="0" w:color="000000"/>
              <w:right w:val="single" w:sz="4" w:space="0" w:color="000000"/>
            </w:tcBorders>
            <w:shd w:val="clear" w:color="auto" w:fill="auto"/>
            <w:hideMark/>
          </w:tcPr>
          <w:p w:rsidR="005D6ACF" w:rsidRPr="00974FB1" w:rsidRDefault="005D6ACF" w:rsidP="008A253E">
            <w:pPr>
              <w:ind w:left="-107"/>
              <w:jc w:val="right"/>
              <w:rPr>
                <w:color w:val="000000"/>
                <w:sz w:val="22"/>
                <w:szCs w:val="22"/>
              </w:rPr>
            </w:pPr>
            <w:r w:rsidRPr="00974FB1">
              <w:rPr>
                <w:color w:val="000000"/>
                <w:sz w:val="22"/>
                <w:szCs w:val="22"/>
              </w:rPr>
              <w:t> </w:t>
            </w:r>
          </w:p>
        </w:tc>
        <w:tc>
          <w:tcPr>
            <w:tcW w:w="953" w:type="dxa"/>
            <w:tcBorders>
              <w:top w:val="single" w:sz="4" w:space="0" w:color="000000"/>
              <w:left w:val="nil"/>
              <w:bottom w:val="single" w:sz="4" w:space="0" w:color="000000"/>
              <w:right w:val="single" w:sz="4" w:space="0" w:color="000000"/>
            </w:tcBorders>
            <w:shd w:val="clear" w:color="auto" w:fill="auto"/>
            <w:hideMark/>
          </w:tcPr>
          <w:p w:rsidR="005D6ACF" w:rsidRPr="00974FB1" w:rsidRDefault="005D6ACF" w:rsidP="008A253E">
            <w:pPr>
              <w:ind w:left="-107"/>
              <w:jc w:val="right"/>
              <w:rPr>
                <w:color w:val="000000"/>
                <w:sz w:val="22"/>
                <w:szCs w:val="22"/>
              </w:rPr>
            </w:pPr>
            <w:r w:rsidRPr="00974FB1">
              <w:rPr>
                <w:color w:val="000000"/>
                <w:sz w:val="22"/>
                <w:szCs w:val="22"/>
              </w:rPr>
              <w:t> </w:t>
            </w:r>
          </w:p>
        </w:tc>
        <w:tc>
          <w:tcPr>
            <w:tcW w:w="1328" w:type="dxa"/>
            <w:gridSpan w:val="2"/>
            <w:tcBorders>
              <w:top w:val="single" w:sz="4" w:space="0" w:color="000000"/>
              <w:left w:val="nil"/>
              <w:bottom w:val="single" w:sz="4" w:space="0" w:color="000000"/>
              <w:right w:val="single" w:sz="4" w:space="0" w:color="000000"/>
            </w:tcBorders>
            <w:shd w:val="clear" w:color="auto" w:fill="auto"/>
            <w:hideMark/>
          </w:tcPr>
          <w:p w:rsidR="005D6ACF" w:rsidRPr="00974FB1" w:rsidRDefault="005D6ACF" w:rsidP="008A253E">
            <w:pPr>
              <w:ind w:left="-107"/>
              <w:jc w:val="right"/>
              <w:rPr>
                <w:color w:val="000000"/>
                <w:sz w:val="22"/>
                <w:szCs w:val="22"/>
              </w:rPr>
            </w:pPr>
            <w:r w:rsidRPr="00974FB1">
              <w:rPr>
                <w:color w:val="000000"/>
                <w:sz w:val="22"/>
                <w:szCs w:val="22"/>
              </w:rPr>
              <w:t> </w:t>
            </w:r>
          </w:p>
        </w:tc>
      </w:tr>
      <w:tr w:rsidR="005D6ACF" w:rsidTr="008A253E">
        <w:trPr>
          <w:gridAfter w:val="1"/>
          <w:wAfter w:w="421" w:type="dxa"/>
          <w:trHeight w:val="300"/>
        </w:trPr>
        <w:tc>
          <w:tcPr>
            <w:tcW w:w="2217" w:type="dxa"/>
            <w:gridSpan w:val="3"/>
            <w:tcBorders>
              <w:top w:val="nil"/>
              <w:left w:val="nil"/>
              <w:bottom w:val="nil"/>
              <w:right w:val="single" w:sz="4" w:space="0" w:color="000000"/>
            </w:tcBorders>
            <w:shd w:val="clear" w:color="auto" w:fill="auto"/>
            <w:hideMark/>
          </w:tcPr>
          <w:p w:rsidR="005D6ACF" w:rsidRPr="008071F8" w:rsidRDefault="005D6ACF" w:rsidP="008A253E">
            <w:r w:rsidRPr="008071F8">
              <w:t>№1 от 08.04.2021</w:t>
            </w:r>
          </w:p>
        </w:tc>
        <w:tc>
          <w:tcPr>
            <w:tcW w:w="920" w:type="dxa"/>
            <w:tcBorders>
              <w:top w:val="nil"/>
              <w:left w:val="nil"/>
              <w:bottom w:val="nil"/>
              <w:right w:val="single" w:sz="4" w:space="0" w:color="000000"/>
            </w:tcBorders>
            <w:shd w:val="clear" w:color="auto" w:fill="auto"/>
            <w:hideMark/>
          </w:tcPr>
          <w:p w:rsidR="005D6ACF" w:rsidRPr="000303D3" w:rsidRDefault="005D6ACF" w:rsidP="008A253E">
            <w:pPr>
              <w:rPr>
                <w:sz w:val="20"/>
                <w:szCs w:val="20"/>
              </w:rPr>
            </w:pPr>
            <w:r w:rsidRPr="000303D3">
              <w:rPr>
                <w:sz w:val="20"/>
                <w:szCs w:val="20"/>
              </w:rPr>
              <w:t>594,52</w:t>
            </w:r>
          </w:p>
        </w:tc>
        <w:tc>
          <w:tcPr>
            <w:tcW w:w="1028" w:type="dxa"/>
            <w:gridSpan w:val="2"/>
            <w:tcBorders>
              <w:top w:val="nil"/>
              <w:left w:val="nil"/>
              <w:bottom w:val="nil"/>
              <w:right w:val="single" w:sz="4" w:space="0" w:color="000000"/>
            </w:tcBorders>
            <w:shd w:val="clear" w:color="auto" w:fill="auto"/>
            <w:hideMark/>
          </w:tcPr>
          <w:p w:rsidR="005D6ACF" w:rsidRPr="000303D3" w:rsidRDefault="005D6ACF" w:rsidP="008A253E">
            <w:pPr>
              <w:rPr>
                <w:sz w:val="20"/>
                <w:szCs w:val="20"/>
              </w:rPr>
            </w:pPr>
            <w:r w:rsidRPr="000303D3">
              <w:rPr>
                <w:sz w:val="20"/>
                <w:szCs w:val="20"/>
              </w:rPr>
              <w:t>536,99</w:t>
            </w:r>
          </w:p>
        </w:tc>
        <w:tc>
          <w:tcPr>
            <w:tcW w:w="974" w:type="dxa"/>
            <w:gridSpan w:val="2"/>
            <w:tcBorders>
              <w:top w:val="nil"/>
              <w:left w:val="nil"/>
              <w:bottom w:val="nil"/>
              <w:right w:val="single" w:sz="4" w:space="0" w:color="000000"/>
            </w:tcBorders>
            <w:shd w:val="clear" w:color="auto" w:fill="auto"/>
            <w:hideMark/>
          </w:tcPr>
          <w:p w:rsidR="005D6ACF" w:rsidRPr="000303D3" w:rsidRDefault="005D6ACF" w:rsidP="008A253E">
            <w:pPr>
              <w:rPr>
                <w:sz w:val="20"/>
                <w:szCs w:val="20"/>
              </w:rPr>
            </w:pPr>
            <w:r w:rsidRPr="000303D3">
              <w:rPr>
                <w:sz w:val="20"/>
                <w:szCs w:val="20"/>
              </w:rPr>
              <w:t>594,52</w:t>
            </w:r>
          </w:p>
        </w:tc>
        <w:tc>
          <w:tcPr>
            <w:tcW w:w="920" w:type="dxa"/>
            <w:tcBorders>
              <w:top w:val="nil"/>
              <w:left w:val="nil"/>
              <w:bottom w:val="nil"/>
              <w:right w:val="single" w:sz="4" w:space="0" w:color="000000"/>
            </w:tcBorders>
            <w:shd w:val="clear" w:color="auto" w:fill="auto"/>
            <w:hideMark/>
          </w:tcPr>
          <w:p w:rsidR="005D6ACF" w:rsidRPr="000303D3" w:rsidRDefault="005D6ACF" w:rsidP="008A253E">
            <w:pPr>
              <w:rPr>
                <w:sz w:val="20"/>
                <w:szCs w:val="20"/>
              </w:rPr>
            </w:pPr>
            <w:r w:rsidRPr="000303D3">
              <w:rPr>
                <w:sz w:val="20"/>
                <w:szCs w:val="20"/>
              </w:rPr>
              <w:t>575,34</w:t>
            </w:r>
          </w:p>
        </w:tc>
        <w:tc>
          <w:tcPr>
            <w:tcW w:w="920" w:type="dxa"/>
            <w:gridSpan w:val="2"/>
            <w:tcBorders>
              <w:top w:val="nil"/>
              <w:left w:val="nil"/>
              <w:bottom w:val="nil"/>
              <w:right w:val="single" w:sz="4" w:space="0" w:color="000000"/>
            </w:tcBorders>
            <w:shd w:val="clear" w:color="auto" w:fill="auto"/>
            <w:hideMark/>
          </w:tcPr>
          <w:p w:rsidR="005D6ACF" w:rsidRPr="000303D3" w:rsidRDefault="005D6ACF" w:rsidP="008A253E">
            <w:pPr>
              <w:rPr>
                <w:sz w:val="20"/>
                <w:szCs w:val="20"/>
              </w:rPr>
            </w:pPr>
            <w:r w:rsidRPr="000303D3">
              <w:rPr>
                <w:sz w:val="20"/>
                <w:szCs w:val="20"/>
              </w:rPr>
              <w:t>594,52</w:t>
            </w:r>
          </w:p>
        </w:tc>
        <w:tc>
          <w:tcPr>
            <w:tcW w:w="920" w:type="dxa"/>
            <w:tcBorders>
              <w:top w:val="nil"/>
              <w:left w:val="nil"/>
              <w:bottom w:val="nil"/>
              <w:right w:val="single" w:sz="4" w:space="0" w:color="000000"/>
            </w:tcBorders>
            <w:shd w:val="clear" w:color="auto" w:fill="auto"/>
            <w:hideMark/>
          </w:tcPr>
          <w:p w:rsidR="005D6ACF" w:rsidRPr="000303D3" w:rsidRDefault="005D6ACF" w:rsidP="008A253E">
            <w:pPr>
              <w:rPr>
                <w:sz w:val="20"/>
                <w:szCs w:val="20"/>
              </w:rPr>
            </w:pPr>
            <w:r w:rsidRPr="000303D3">
              <w:rPr>
                <w:sz w:val="20"/>
                <w:szCs w:val="20"/>
              </w:rPr>
              <w:t>575,34</w:t>
            </w:r>
          </w:p>
        </w:tc>
        <w:tc>
          <w:tcPr>
            <w:tcW w:w="928" w:type="dxa"/>
            <w:gridSpan w:val="2"/>
            <w:tcBorders>
              <w:top w:val="nil"/>
              <w:left w:val="nil"/>
              <w:bottom w:val="nil"/>
              <w:right w:val="single" w:sz="4" w:space="0" w:color="000000"/>
            </w:tcBorders>
            <w:shd w:val="clear" w:color="auto" w:fill="auto"/>
            <w:hideMark/>
          </w:tcPr>
          <w:p w:rsidR="005D6ACF" w:rsidRPr="000303D3" w:rsidRDefault="005D6ACF" w:rsidP="008A253E">
            <w:pPr>
              <w:rPr>
                <w:sz w:val="20"/>
                <w:szCs w:val="20"/>
              </w:rPr>
            </w:pPr>
            <w:r w:rsidRPr="000303D3">
              <w:rPr>
                <w:sz w:val="20"/>
                <w:szCs w:val="20"/>
              </w:rPr>
              <w:t>594,52</w:t>
            </w:r>
          </w:p>
        </w:tc>
        <w:tc>
          <w:tcPr>
            <w:tcW w:w="920" w:type="dxa"/>
            <w:tcBorders>
              <w:top w:val="nil"/>
              <w:left w:val="nil"/>
              <w:bottom w:val="nil"/>
              <w:right w:val="single" w:sz="4" w:space="0" w:color="000000"/>
            </w:tcBorders>
            <w:shd w:val="clear" w:color="auto" w:fill="auto"/>
            <w:hideMark/>
          </w:tcPr>
          <w:p w:rsidR="005D6ACF" w:rsidRPr="000303D3" w:rsidRDefault="005D6ACF" w:rsidP="008A253E">
            <w:pPr>
              <w:rPr>
                <w:sz w:val="20"/>
                <w:szCs w:val="20"/>
              </w:rPr>
            </w:pPr>
            <w:r w:rsidRPr="000303D3">
              <w:rPr>
                <w:sz w:val="20"/>
                <w:szCs w:val="20"/>
              </w:rPr>
              <w:t>594,52</w:t>
            </w:r>
          </w:p>
        </w:tc>
        <w:tc>
          <w:tcPr>
            <w:tcW w:w="1049" w:type="dxa"/>
            <w:gridSpan w:val="2"/>
            <w:tcBorders>
              <w:top w:val="nil"/>
              <w:left w:val="nil"/>
              <w:bottom w:val="nil"/>
              <w:right w:val="single" w:sz="4" w:space="0" w:color="000000"/>
            </w:tcBorders>
            <w:shd w:val="clear" w:color="auto" w:fill="auto"/>
            <w:hideMark/>
          </w:tcPr>
          <w:p w:rsidR="005D6ACF" w:rsidRPr="000303D3" w:rsidRDefault="005D6ACF" w:rsidP="008A253E">
            <w:pPr>
              <w:rPr>
                <w:sz w:val="20"/>
                <w:szCs w:val="20"/>
              </w:rPr>
            </w:pPr>
            <w:r w:rsidRPr="000303D3">
              <w:rPr>
                <w:sz w:val="20"/>
                <w:szCs w:val="20"/>
              </w:rPr>
              <w:t>575,34</w:t>
            </w:r>
          </w:p>
        </w:tc>
        <w:tc>
          <w:tcPr>
            <w:tcW w:w="953" w:type="dxa"/>
            <w:tcBorders>
              <w:top w:val="nil"/>
              <w:left w:val="nil"/>
              <w:bottom w:val="nil"/>
              <w:right w:val="single" w:sz="4" w:space="0" w:color="000000"/>
            </w:tcBorders>
            <w:shd w:val="clear" w:color="auto" w:fill="auto"/>
            <w:hideMark/>
          </w:tcPr>
          <w:p w:rsidR="005D6ACF" w:rsidRPr="000303D3" w:rsidRDefault="005D6ACF" w:rsidP="008A253E">
            <w:pPr>
              <w:rPr>
                <w:sz w:val="20"/>
                <w:szCs w:val="20"/>
              </w:rPr>
            </w:pPr>
            <w:r w:rsidRPr="000303D3">
              <w:rPr>
                <w:sz w:val="20"/>
                <w:szCs w:val="20"/>
              </w:rPr>
              <w:t>594,52</w:t>
            </w:r>
          </w:p>
        </w:tc>
        <w:tc>
          <w:tcPr>
            <w:tcW w:w="920" w:type="dxa"/>
            <w:gridSpan w:val="2"/>
            <w:tcBorders>
              <w:top w:val="nil"/>
              <w:left w:val="nil"/>
              <w:bottom w:val="nil"/>
              <w:right w:val="single" w:sz="4" w:space="0" w:color="000000"/>
            </w:tcBorders>
            <w:shd w:val="clear" w:color="auto" w:fill="auto"/>
            <w:hideMark/>
          </w:tcPr>
          <w:p w:rsidR="005D6ACF" w:rsidRPr="000303D3" w:rsidRDefault="005D6ACF" w:rsidP="008A253E">
            <w:pPr>
              <w:rPr>
                <w:sz w:val="20"/>
                <w:szCs w:val="20"/>
              </w:rPr>
            </w:pPr>
            <w:r w:rsidRPr="000303D3">
              <w:rPr>
                <w:sz w:val="20"/>
                <w:szCs w:val="20"/>
              </w:rPr>
              <w:t>575,34</w:t>
            </w:r>
          </w:p>
        </w:tc>
        <w:tc>
          <w:tcPr>
            <w:tcW w:w="953" w:type="dxa"/>
            <w:tcBorders>
              <w:top w:val="nil"/>
              <w:left w:val="nil"/>
              <w:bottom w:val="nil"/>
              <w:right w:val="single" w:sz="4" w:space="0" w:color="000000"/>
            </w:tcBorders>
            <w:shd w:val="clear" w:color="auto" w:fill="auto"/>
            <w:hideMark/>
          </w:tcPr>
          <w:p w:rsidR="005D6ACF" w:rsidRPr="000303D3" w:rsidRDefault="005D6ACF" w:rsidP="008A253E">
            <w:pPr>
              <w:rPr>
                <w:sz w:val="20"/>
                <w:szCs w:val="20"/>
              </w:rPr>
            </w:pPr>
            <w:r w:rsidRPr="000303D3">
              <w:rPr>
                <w:sz w:val="20"/>
                <w:szCs w:val="20"/>
              </w:rPr>
              <w:t>479,45</w:t>
            </w:r>
          </w:p>
        </w:tc>
        <w:tc>
          <w:tcPr>
            <w:tcW w:w="1328" w:type="dxa"/>
            <w:gridSpan w:val="2"/>
            <w:tcBorders>
              <w:top w:val="nil"/>
              <w:left w:val="nil"/>
              <w:bottom w:val="nil"/>
              <w:right w:val="single" w:sz="4" w:space="0" w:color="000000"/>
            </w:tcBorders>
            <w:shd w:val="clear" w:color="auto" w:fill="auto"/>
            <w:hideMark/>
          </w:tcPr>
          <w:p w:rsidR="005D6ACF" w:rsidRPr="000303D3" w:rsidRDefault="005D6ACF" w:rsidP="008A253E">
            <w:pPr>
              <w:rPr>
                <w:sz w:val="20"/>
                <w:szCs w:val="20"/>
              </w:rPr>
            </w:pPr>
            <w:r w:rsidRPr="000303D3">
              <w:rPr>
                <w:sz w:val="20"/>
                <w:szCs w:val="20"/>
              </w:rPr>
              <w:t>6 884,92</w:t>
            </w:r>
          </w:p>
        </w:tc>
      </w:tr>
      <w:tr w:rsidR="005D6ACF" w:rsidTr="008A253E">
        <w:trPr>
          <w:gridAfter w:val="1"/>
          <w:wAfter w:w="421" w:type="dxa"/>
          <w:trHeight w:val="300"/>
        </w:trPr>
        <w:tc>
          <w:tcPr>
            <w:tcW w:w="2217" w:type="dxa"/>
            <w:gridSpan w:val="3"/>
            <w:tcBorders>
              <w:top w:val="single" w:sz="4" w:space="0" w:color="000000"/>
              <w:left w:val="nil"/>
              <w:bottom w:val="nil"/>
              <w:right w:val="single" w:sz="4" w:space="0" w:color="000000"/>
            </w:tcBorders>
            <w:shd w:val="clear" w:color="auto" w:fill="auto"/>
            <w:hideMark/>
          </w:tcPr>
          <w:p w:rsidR="005D6ACF" w:rsidRDefault="005D6ACF" w:rsidP="008A253E">
            <w:r w:rsidRPr="008071F8">
              <w:t>№2 от 20.04.2021</w:t>
            </w:r>
          </w:p>
        </w:tc>
        <w:tc>
          <w:tcPr>
            <w:tcW w:w="920" w:type="dxa"/>
            <w:tcBorders>
              <w:top w:val="single" w:sz="4" w:space="0" w:color="000000"/>
              <w:left w:val="nil"/>
              <w:bottom w:val="nil"/>
              <w:right w:val="single" w:sz="4" w:space="0" w:color="000000"/>
            </w:tcBorders>
            <w:shd w:val="clear" w:color="auto" w:fill="auto"/>
            <w:hideMark/>
          </w:tcPr>
          <w:p w:rsidR="005D6ACF" w:rsidRPr="000303D3" w:rsidRDefault="005D6ACF" w:rsidP="008A253E">
            <w:pPr>
              <w:rPr>
                <w:sz w:val="20"/>
                <w:szCs w:val="20"/>
              </w:rPr>
            </w:pPr>
            <w:r w:rsidRPr="000303D3">
              <w:rPr>
                <w:sz w:val="20"/>
                <w:szCs w:val="20"/>
              </w:rPr>
              <w:t>1 567,44</w:t>
            </w:r>
          </w:p>
        </w:tc>
        <w:tc>
          <w:tcPr>
            <w:tcW w:w="1028" w:type="dxa"/>
            <w:gridSpan w:val="2"/>
            <w:tcBorders>
              <w:top w:val="single" w:sz="4" w:space="0" w:color="000000"/>
              <w:left w:val="nil"/>
              <w:bottom w:val="nil"/>
              <w:right w:val="single" w:sz="4" w:space="0" w:color="000000"/>
            </w:tcBorders>
            <w:shd w:val="clear" w:color="auto" w:fill="auto"/>
            <w:hideMark/>
          </w:tcPr>
          <w:p w:rsidR="005D6ACF" w:rsidRPr="000303D3" w:rsidRDefault="005D6ACF" w:rsidP="008A253E">
            <w:pPr>
              <w:rPr>
                <w:sz w:val="20"/>
                <w:szCs w:val="20"/>
              </w:rPr>
            </w:pPr>
            <w:r w:rsidRPr="000303D3">
              <w:rPr>
                <w:sz w:val="20"/>
                <w:szCs w:val="20"/>
              </w:rPr>
              <w:t>1 415,75</w:t>
            </w:r>
          </w:p>
        </w:tc>
        <w:tc>
          <w:tcPr>
            <w:tcW w:w="974" w:type="dxa"/>
            <w:gridSpan w:val="2"/>
            <w:tcBorders>
              <w:top w:val="single" w:sz="4" w:space="0" w:color="000000"/>
              <w:left w:val="nil"/>
              <w:bottom w:val="nil"/>
              <w:right w:val="single" w:sz="4" w:space="0" w:color="000000"/>
            </w:tcBorders>
            <w:shd w:val="clear" w:color="auto" w:fill="auto"/>
            <w:hideMark/>
          </w:tcPr>
          <w:p w:rsidR="005D6ACF" w:rsidRPr="000303D3" w:rsidRDefault="005D6ACF" w:rsidP="008A253E">
            <w:pPr>
              <w:rPr>
                <w:sz w:val="20"/>
                <w:szCs w:val="20"/>
              </w:rPr>
            </w:pPr>
            <w:r w:rsidRPr="000303D3">
              <w:rPr>
                <w:sz w:val="20"/>
                <w:szCs w:val="20"/>
              </w:rPr>
              <w:t>1 567,44</w:t>
            </w:r>
          </w:p>
        </w:tc>
        <w:tc>
          <w:tcPr>
            <w:tcW w:w="920" w:type="dxa"/>
            <w:tcBorders>
              <w:top w:val="single" w:sz="4" w:space="0" w:color="000000"/>
              <w:left w:val="nil"/>
              <w:bottom w:val="nil"/>
              <w:right w:val="single" w:sz="4" w:space="0" w:color="000000"/>
            </w:tcBorders>
            <w:shd w:val="clear" w:color="auto" w:fill="auto"/>
            <w:hideMark/>
          </w:tcPr>
          <w:p w:rsidR="005D6ACF" w:rsidRPr="000303D3" w:rsidRDefault="005D6ACF" w:rsidP="008A253E">
            <w:pPr>
              <w:rPr>
                <w:sz w:val="20"/>
                <w:szCs w:val="20"/>
              </w:rPr>
            </w:pPr>
            <w:r w:rsidRPr="000303D3">
              <w:rPr>
                <w:sz w:val="20"/>
                <w:szCs w:val="20"/>
              </w:rPr>
              <w:t>1 516,87</w:t>
            </w:r>
          </w:p>
        </w:tc>
        <w:tc>
          <w:tcPr>
            <w:tcW w:w="920" w:type="dxa"/>
            <w:gridSpan w:val="2"/>
            <w:tcBorders>
              <w:top w:val="single" w:sz="4" w:space="0" w:color="000000"/>
              <w:left w:val="nil"/>
              <w:bottom w:val="nil"/>
              <w:right w:val="single" w:sz="4" w:space="0" w:color="000000"/>
            </w:tcBorders>
            <w:shd w:val="clear" w:color="auto" w:fill="auto"/>
            <w:hideMark/>
          </w:tcPr>
          <w:p w:rsidR="005D6ACF" w:rsidRPr="000303D3" w:rsidRDefault="005D6ACF" w:rsidP="008A253E">
            <w:pPr>
              <w:rPr>
                <w:sz w:val="20"/>
                <w:szCs w:val="20"/>
              </w:rPr>
            </w:pPr>
            <w:r w:rsidRPr="000303D3">
              <w:rPr>
                <w:sz w:val="20"/>
                <w:szCs w:val="20"/>
              </w:rPr>
              <w:t>1 567,44</w:t>
            </w:r>
          </w:p>
        </w:tc>
        <w:tc>
          <w:tcPr>
            <w:tcW w:w="920" w:type="dxa"/>
            <w:tcBorders>
              <w:top w:val="single" w:sz="4" w:space="0" w:color="000000"/>
              <w:left w:val="nil"/>
              <w:bottom w:val="nil"/>
              <w:right w:val="single" w:sz="4" w:space="0" w:color="000000"/>
            </w:tcBorders>
            <w:shd w:val="clear" w:color="auto" w:fill="auto"/>
            <w:hideMark/>
          </w:tcPr>
          <w:p w:rsidR="005D6ACF" w:rsidRPr="000303D3" w:rsidRDefault="005D6ACF" w:rsidP="008A253E">
            <w:pPr>
              <w:rPr>
                <w:sz w:val="20"/>
                <w:szCs w:val="20"/>
              </w:rPr>
            </w:pPr>
            <w:r w:rsidRPr="000303D3">
              <w:rPr>
                <w:sz w:val="20"/>
                <w:szCs w:val="20"/>
              </w:rPr>
              <w:t>1 516,87</w:t>
            </w:r>
          </w:p>
        </w:tc>
        <w:tc>
          <w:tcPr>
            <w:tcW w:w="928" w:type="dxa"/>
            <w:gridSpan w:val="2"/>
            <w:tcBorders>
              <w:top w:val="single" w:sz="4" w:space="0" w:color="000000"/>
              <w:left w:val="nil"/>
              <w:bottom w:val="nil"/>
              <w:right w:val="single" w:sz="4" w:space="0" w:color="000000"/>
            </w:tcBorders>
            <w:shd w:val="clear" w:color="auto" w:fill="auto"/>
            <w:hideMark/>
          </w:tcPr>
          <w:p w:rsidR="005D6ACF" w:rsidRPr="000303D3" w:rsidRDefault="005D6ACF" w:rsidP="008A253E">
            <w:pPr>
              <w:rPr>
                <w:sz w:val="20"/>
                <w:szCs w:val="20"/>
              </w:rPr>
            </w:pPr>
            <w:r w:rsidRPr="000303D3">
              <w:rPr>
                <w:sz w:val="20"/>
                <w:szCs w:val="20"/>
              </w:rPr>
              <w:t>1 567,44</w:t>
            </w:r>
          </w:p>
        </w:tc>
        <w:tc>
          <w:tcPr>
            <w:tcW w:w="920" w:type="dxa"/>
            <w:tcBorders>
              <w:top w:val="single" w:sz="4" w:space="0" w:color="000000"/>
              <w:left w:val="nil"/>
              <w:bottom w:val="nil"/>
              <w:right w:val="single" w:sz="4" w:space="0" w:color="000000"/>
            </w:tcBorders>
            <w:shd w:val="clear" w:color="auto" w:fill="auto"/>
            <w:hideMark/>
          </w:tcPr>
          <w:p w:rsidR="005D6ACF" w:rsidRPr="000303D3" w:rsidRDefault="005D6ACF" w:rsidP="008A253E">
            <w:pPr>
              <w:rPr>
                <w:sz w:val="20"/>
                <w:szCs w:val="20"/>
              </w:rPr>
            </w:pPr>
            <w:r w:rsidRPr="000303D3">
              <w:rPr>
                <w:sz w:val="20"/>
                <w:szCs w:val="20"/>
              </w:rPr>
              <w:t>1 567,44</w:t>
            </w:r>
          </w:p>
        </w:tc>
        <w:tc>
          <w:tcPr>
            <w:tcW w:w="1049" w:type="dxa"/>
            <w:gridSpan w:val="2"/>
            <w:tcBorders>
              <w:top w:val="single" w:sz="4" w:space="0" w:color="000000"/>
              <w:left w:val="nil"/>
              <w:bottom w:val="nil"/>
              <w:right w:val="single" w:sz="4" w:space="0" w:color="000000"/>
            </w:tcBorders>
            <w:shd w:val="clear" w:color="auto" w:fill="auto"/>
            <w:hideMark/>
          </w:tcPr>
          <w:p w:rsidR="005D6ACF" w:rsidRPr="000303D3" w:rsidRDefault="005D6ACF" w:rsidP="008A253E">
            <w:pPr>
              <w:rPr>
                <w:sz w:val="20"/>
                <w:szCs w:val="20"/>
              </w:rPr>
            </w:pPr>
            <w:r w:rsidRPr="000303D3">
              <w:rPr>
                <w:sz w:val="20"/>
                <w:szCs w:val="20"/>
              </w:rPr>
              <w:t>1 516,87</w:t>
            </w:r>
          </w:p>
        </w:tc>
        <w:tc>
          <w:tcPr>
            <w:tcW w:w="953" w:type="dxa"/>
            <w:tcBorders>
              <w:top w:val="single" w:sz="4" w:space="0" w:color="000000"/>
              <w:left w:val="nil"/>
              <w:bottom w:val="nil"/>
              <w:right w:val="single" w:sz="4" w:space="0" w:color="000000"/>
            </w:tcBorders>
            <w:shd w:val="clear" w:color="auto" w:fill="auto"/>
            <w:hideMark/>
          </w:tcPr>
          <w:p w:rsidR="005D6ACF" w:rsidRPr="000303D3" w:rsidRDefault="005D6ACF" w:rsidP="008A253E">
            <w:pPr>
              <w:rPr>
                <w:sz w:val="20"/>
                <w:szCs w:val="20"/>
              </w:rPr>
            </w:pPr>
            <w:r w:rsidRPr="000303D3">
              <w:rPr>
                <w:sz w:val="20"/>
                <w:szCs w:val="20"/>
              </w:rPr>
              <w:t>1 567,44</w:t>
            </w:r>
          </w:p>
        </w:tc>
        <w:tc>
          <w:tcPr>
            <w:tcW w:w="920" w:type="dxa"/>
            <w:gridSpan w:val="2"/>
            <w:tcBorders>
              <w:top w:val="single" w:sz="4" w:space="0" w:color="000000"/>
              <w:left w:val="nil"/>
              <w:bottom w:val="nil"/>
              <w:right w:val="single" w:sz="4" w:space="0" w:color="000000"/>
            </w:tcBorders>
            <w:shd w:val="clear" w:color="auto" w:fill="auto"/>
            <w:hideMark/>
          </w:tcPr>
          <w:p w:rsidR="005D6ACF" w:rsidRPr="000303D3" w:rsidRDefault="005D6ACF" w:rsidP="008A253E">
            <w:pPr>
              <w:rPr>
                <w:sz w:val="20"/>
                <w:szCs w:val="20"/>
              </w:rPr>
            </w:pPr>
            <w:r w:rsidRPr="000303D3">
              <w:rPr>
                <w:sz w:val="20"/>
                <w:szCs w:val="20"/>
              </w:rPr>
              <w:t>1 516,87</w:t>
            </w:r>
          </w:p>
        </w:tc>
        <w:tc>
          <w:tcPr>
            <w:tcW w:w="953" w:type="dxa"/>
            <w:tcBorders>
              <w:top w:val="single" w:sz="4" w:space="0" w:color="000000"/>
              <w:left w:val="nil"/>
              <w:bottom w:val="nil"/>
              <w:right w:val="single" w:sz="4" w:space="0" w:color="000000"/>
            </w:tcBorders>
            <w:shd w:val="clear" w:color="auto" w:fill="auto"/>
            <w:hideMark/>
          </w:tcPr>
          <w:p w:rsidR="005D6ACF" w:rsidRPr="000303D3" w:rsidRDefault="005D6ACF" w:rsidP="008A253E">
            <w:pPr>
              <w:rPr>
                <w:sz w:val="20"/>
                <w:szCs w:val="20"/>
              </w:rPr>
            </w:pPr>
            <w:r w:rsidRPr="000303D3">
              <w:rPr>
                <w:sz w:val="20"/>
                <w:szCs w:val="20"/>
              </w:rPr>
              <w:t>1 264,06</w:t>
            </w:r>
          </w:p>
        </w:tc>
        <w:tc>
          <w:tcPr>
            <w:tcW w:w="1328" w:type="dxa"/>
            <w:gridSpan w:val="2"/>
            <w:tcBorders>
              <w:top w:val="single" w:sz="4" w:space="0" w:color="000000"/>
              <w:left w:val="nil"/>
              <w:bottom w:val="nil"/>
              <w:right w:val="single" w:sz="4" w:space="0" w:color="000000"/>
            </w:tcBorders>
            <w:shd w:val="clear" w:color="auto" w:fill="auto"/>
            <w:hideMark/>
          </w:tcPr>
          <w:p w:rsidR="005D6ACF" w:rsidRPr="000303D3" w:rsidRDefault="005D6ACF" w:rsidP="008A253E">
            <w:pPr>
              <w:rPr>
                <w:sz w:val="20"/>
                <w:szCs w:val="20"/>
              </w:rPr>
            </w:pPr>
            <w:r w:rsidRPr="000303D3">
              <w:rPr>
                <w:sz w:val="20"/>
                <w:szCs w:val="20"/>
              </w:rPr>
              <w:t>18 151,93</w:t>
            </w:r>
          </w:p>
        </w:tc>
      </w:tr>
      <w:tr w:rsidR="005D6ACF" w:rsidTr="008A253E">
        <w:trPr>
          <w:gridAfter w:val="1"/>
          <w:wAfter w:w="421" w:type="dxa"/>
          <w:trHeight w:val="300"/>
        </w:trPr>
        <w:tc>
          <w:tcPr>
            <w:tcW w:w="2217" w:type="dxa"/>
            <w:gridSpan w:val="3"/>
            <w:tcBorders>
              <w:top w:val="nil"/>
              <w:left w:val="nil"/>
              <w:bottom w:val="nil"/>
              <w:right w:val="single" w:sz="4" w:space="0" w:color="000000"/>
            </w:tcBorders>
            <w:shd w:val="clear" w:color="auto" w:fill="auto"/>
            <w:hideMark/>
          </w:tcPr>
          <w:p w:rsidR="005D6ACF" w:rsidRPr="00974FB1" w:rsidRDefault="005D6ACF" w:rsidP="008A253E">
            <w:pPr>
              <w:jc w:val="center"/>
              <w:rPr>
                <w:color w:val="000000"/>
                <w:sz w:val="22"/>
                <w:szCs w:val="22"/>
              </w:rPr>
            </w:pPr>
            <w:r w:rsidRPr="00974FB1">
              <w:rPr>
                <w:color w:val="000000"/>
                <w:sz w:val="22"/>
                <w:szCs w:val="22"/>
              </w:rPr>
              <w:t> </w:t>
            </w:r>
          </w:p>
        </w:tc>
        <w:tc>
          <w:tcPr>
            <w:tcW w:w="920" w:type="dxa"/>
            <w:tcBorders>
              <w:top w:val="nil"/>
              <w:left w:val="nil"/>
              <w:bottom w:val="nil"/>
              <w:right w:val="single" w:sz="4" w:space="0" w:color="000000"/>
            </w:tcBorders>
            <w:shd w:val="clear" w:color="auto" w:fill="auto"/>
            <w:hideMark/>
          </w:tcPr>
          <w:p w:rsidR="005D6ACF" w:rsidRPr="000303D3" w:rsidRDefault="005D6ACF" w:rsidP="008A253E">
            <w:pPr>
              <w:rPr>
                <w:b/>
                <w:sz w:val="20"/>
                <w:szCs w:val="20"/>
              </w:rPr>
            </w:pPr>
            <w:r w:rsidRPr="000303D3">
              <w:rPr>
                <w:b/>
                <w:sz w:val="20"/>
                <w:szCs w:val="20"/>
              </w:rPr>
              <w:t>2 161,96</w:t>
            </w:r>
          </w:p>
        </w:tc>
        <w:tc>
          <w:tcPr>
            <w:tcW w:w="1028" w:type="dxa"/>
            <w:gridSpan w:val="2"/>
            <w:tcBorders>
              <w:top w:val="nil"/>
              <w:left w:val="nil"/>
              <w:bottom w:val="nil"/>
              <w:right w:val="single" w:sz="4" w:space="0" w:color="000000"/>
            </w:tcBorders>
            <w:shd w:val="clear" w:color="auto" w:fill="auto"/>
            <w:hideMark/>
          </w:tcPr>
          <w:p w:rsidR="005D6ACF" w:rsidRPr="000303D3" w:rsidRDefault="005D6ACF" w:rsidP="008A253E">
            <w:pPr>
              <w:rPr>
                <w:b/>
                <w:sz w:val="20"/>
                <w:szCs w:val="20"/>
              </w:rPr>
            </w:pPr>
            <w:r w:rsidRPr="000303D3">
              <w:rPr>
                <w:b/>
                <w:sz w:val="20"/>
                <w:szCs w:val="20"/>
              </w:rPr>
              <w:t>1 952,74</w:t>
            </w:r>
          </w:p>
        </w:tc>
        <w:tc>
          <w:tcPr>
            <w:tcW w:w="974" w:type="dxa"/>
            <w:gridSpan w:val="2"/>
            <w:tcBorders>
              <w:top w:val="nil"/>
              <w:left w:val="nil"/>
              <w:bottom w:val="nil"/>
              <w:right w:val="single" w:sz="4" w:space="0" w:color="000000"/>
            </w:tcBorders>
            <w:shd w:val="clear" w:color="auto" w:fill="auto"/>
            <w:hideMark/>
          </w:tcPr>
          <w:p w:rsidR="005D6ACF" w:rsidRPr="000303D3" w:rsidRDefault="005D6ACF" w:rsidP="008A253E">
            <w:pPr>
              <w:rPr>
                <w:b/>
                <w:sz w:val="20"/>
                <w:szCs w:val="20"/>
              </w:rPr>
            </w:pPr>
            <w:r w:rsidRPr="000303D3">
              <w:rPr>
                <w:b/>
                <w:sz w:val="20"/>
                <w:szCs w:val="20"/>
              </w:rPr>
              <w:t>2 161,96</w:t>
            </w:r>
          </w:p>
        </w:tc>
        <w:tc>
          <w:tcPr>
            <w:tcW w:w="920" w:type="dxa"/>
            <w:tcBorders>
              <w:top w:val="nil"/>
              <w:left w:val="nil"/>
              <w:bottom w:val="nil"/>
              <w:right w:val="single" w:sz="4" w:space="0" w:color="000000"/>
            </w:tcBorders>
            <w:shd w:val="clear" w:color="auto" w:fill="auto"/>
            <w:hideMark/>
          </w:tcPr>
          <w:p w:rsidR="005D6ACF" w:rsidRPr="000303D3" w:rsidRDefault="005D6ACF" w:rsidP="008A253E">
            <w:pPr>
              <w:rPr>
                <w:b/>
                <w:sz w:val="20"/>
                <w:szCs w:val="20"/>
              </w:rPr>
            </w:pPr>
            <w:r w:rsidRPr="000303D3">
              <w:rPr>
                <w:b/>
                <w:sz w:val="20"/>
                <w:szCs w:val="20"/>
              </w:rPr>
              <w:t>2 092,21</w:t>
            </w:r>
          </w:p>
        </w:tc>
        <w:tc>
          <w:tcPr>
            <w:tcW w:w="920" w:type="dxa"/>
            <w:gridSpan w:val="2"/>
            <w:tcBorders>
              <w:top w:val="nil"/>
              <w:left w:val="nil"/>
              <w:bottom w:val="nil"/>
              <w:right w:val="single" w:sz="4" w:space="0" w:color="000000"/>
            </w:tcBorders>
            <w:shd w:val="clear" w:color="auto" w:fill="auto"/>
            <w:hideMark/>
          </w:tcPr>
          <w:p w:rsidR="005D6ACF" w:rsidRPr="000303D3" w:rsidRDefault="005D6ACF" w:rsidP="008A253E">
            <w:pPr>
              <w:rPr>
                <w:b/>
                <w:sz w:val="20"/>
                <w:szCs w:val="20"/>
              </w:rPr>
            </w:pPr>
            <w:r w:rsidRPr="000303D3">
              <w:rPr>
                <w:b/>
                <w:sz w:val="20"/>
                <w:szCs w:val="20"/>
              </w:rPr>
              <w:t>2 161,96</w:t>
            </w:r>
          </w:p>
        </w:tc>
        <w:tc>
          <w:tcPr>
            <w:tcW w:w="920" w:type="dxa"/>
            <w:tcBorders>
              <w:top w:val="nil"/>
              <w:left w:val="nil"/>
              <w:bottom w:val="nil"/>
              <w:right w:val="single" w:sz="4" w:space="0" w:color="000000"/>
            </w:tcBorders>
            <w:shd w:val="clear" w:color="auto" w:fill="auto"/>
            <w:hideMark/>
          </w:tcPr>
          <w:p w:rsidR="005D6ACF" w:rsidRPr="000303D3" w:rsidRDefault="005D6ACF" w:rsidP="008A253E">
            <w:pPr>
              <w:rPr>
                <w:b/>
                <w:sz w:val="20"/>
                <w:szCs w:val="20"/>
              </w:rPr>
            </w:pPr>
            <w:r w:rsidRPr="000303D3">
              <w:rPr>
                <w:b/>
                <w:sz w:val="20"/>
                <w:szCs w:val="20"/>
              </w:rPr>
              <w:t>2 092,21</w:t>
            </w:r>
          </w:p>
        </w:tc>
        <w:tc>
          <w:tcPr>
            <w:tcW w:w="928" w:type="dxa"/>
            <w:gridSpan w:val="2"/>
            <w:tcBorders>
              <w:top w:val="nil"/>
              <w:left w:val="nil"/>
              <w:bottom w:val="nil"/>
              <w:right w:val="single" w:sz="4" w:space="0" w:color="000000"/>
            </w:tcBorders>
            <w:shd w:val="clear" w:color="auto" w:fill="auto"/>
            <w:hideMark/>
          </w:tcPr>
          <w:p w:rsidR="005D6ACF" w:rsidRPr="000303D3" w:rsidRDefault="005D6ACF" w:rsidP="008A253E">
            <w:pPr>
              <w:rPr>
                <w:b/>
                <w:sz w:val="20"/>
                <w:szCs w:val="20"/>
              </w:rPr>
            </w:pPr>
            <w:r w:rsidRPr="000303D3">
              <w:rPr>
                <w:b/>
                <w:sz w:val="20"/>
                <w:szCs w:val="20"/>
              </w:rPr>
              <w:t>2 161,96</w:t>
            </w:r>
          </w:p>
        </w:tc>
        <w:tc>
          <w:tcPr>
            <w:tcW w:w="920" w:type="dxa"/>
            <w:tcBorders>
              <w:top w:val="nil"/>
              <w:left w:val="nil"/>
              <w:bottom w:val="nil"/>
              <w:right w:val="single" w:sz="4" w:space="0" w:color="000000"/>
            </w:tcBorders>
            <w:shd w:val="clear" w:color="auto" w:fill="auto"/>
            <w:hideMark/>
          </w:tcPr>
          <w:p w:rsidR="005D6ACF" w:rsidRPr="000303D3" w:rsidRDefault="005D6ACF" w:rsidP="008A253E">
            <w:pPr>
              <w:rPr>
                <w:b/>
                <w:sz w:val="20"/>
                <w:szCs w:val="20"/>
              </w:rPr>
            </w:pPr>
            <w:r w:rsidRPr="000303D3">
              <w:rPr>
                <w:b/>
                <w:sz w:val="20"/>
                <w:szCs w:val="20"/>
              </w:rPr>
              <w:t>2 161,96</w:t>
            </w:r>
          </w:p>
        </w:tc>
        <w:tc>
          <w:tcPr>
            <w:tcW w:w="1049" w:type="dxa"/>
            <w:gridSpan w:val="2"/>
            <w:tcBorders>
              <w:top w:val="nil"/>
              <w:left w:val="nil"/>
              <w:bottom w:val="nil"/>
              <w:right w:val="single" w:sz="4" w:space="0" w:color="000000"/>
            </w:tcBorders>
            <w:shd w:val="clear" w:color="auto" w:fill="auto"/>
            <w:hideMark/>
          </w:tcPr>
          <w:p w:rsidR="005D6ACF" w:rsidRPr="000303D3" w:rsidRDefault="005D6ACF" w:rsidP="008A253E">
            <w:pPr>
              <w:rPr>
                <w:b/>
                <w:sz w:val="20"/>
                <w:szCs w:val="20"/>
              </w:rPr>
            </w:pPr>
            <w:r w:rsidRPr="000303D3">
              <w:rPr>
                <w:b/>
                <w:sz w:val="20"/>
                <w:szCs w:val="20"/>
              </w:rPr>
              <w:t>2 092,21</w:t>
            </w:r>
          </w:p>
        </w:tc>
        <w:tc>
          <w:tcPr>
            <w:tcW w:w="953" w:type="dxa"/>
            <w:tcBorders>
              <w:top w:val="nil"/>
              <w:left w:val="nil"/>
              <w:bottom w:val="nil"/>
              <w:right w:val="single" w:sz="4" w:space="0" w:color="000000"/>
            </w:tcBorders>
            <w:shd w:val="clear" w:color="auto" w:fill="auto"/>
            <w:hideMark/>
          </w:tcPr>
          <w:p w:rsidR="005D6ACF" w:rsidRPr="000303D3" w:rsidRDefault="005D6ACF" w:rsidP="008A253E">
            <w:pPr>
              <w:rPr>
                <w:b/>
                <w:sz w:val="20"/>
                <w:szCs w:val="20"/>
              </w:rPr>
            </w:pPr>
            <w:r w:rsidRPr="000303D3">
              <w:rPr>
                <w:b/>
                <w:sz w:val="20"/>
                <w:szCs w:val="20"/>
              </w:rPr>
              <w:t>2 161,96</w:t>
            </w:r>
          </w:p>
        </w:tc>
        <w:tc>
          <w:tcPr>
            <w:tcW w:w="920" w:type="dxa"/>
            <w:gridSpan w:val="2"/>
            <w:tcBorders>
              <w:top w:val="nil"/>
              <w:left w:val="nil"/>
              <w:bottom w:val="nil"/>
              <w:right w:val="single" w:sz="4" w:space="0" w:color="000000"/>
            </w:tcBorders>
            <w:shd w:val="clear" w:color="auto" w:fill="auto"/>
            <w:hideMark/>
          </w:tcPr>
          <w:p w:rsidR="005D6ACF" w:rsidRPr="000303D3" w:rsidRDefault="005D6ACF" w:rsidP="008A253E">
            <w:pPr>
              <w:rPr>
                <w:b/>
                <w:sz w:val="20"/>
                <w:szCs w:val="20"/>
              </w:rPr>
            </w:pPr>
            <w:r w:rsidRPr="000303D3">
              <w:rPr>
                <w:b/>
                <w:sz w:val="20"/>
                <w:szCs w:val="20"/>
              </w:rPr>
              <w:t>2 092,21</w:t>
            </w:r>
          </w:p>
        </w:tc>
        <w:tc>
          <w:tcPr>
            <w:tcW w:w="953" w:type="dxa"/>
            <w:tcBorders>
              <w:top w:val="nil"/>
              <w:left w:val="nil"/>
              <w:bottom w:val="nil"/>
              <w:right w:val="single" w:sz="4" w:space="0" w:color="000000"/>
            </w:tcBorders>
            <w:shd w:val="clear" w:color="auto" w:fill="auto"/>
            <w:hideMark/>
          </w:tcPr>
          <w:p w:rsidR="005D6ACF" w:rsidRPr="000303D3" w:rsidRDefault="005D6ACF" w:rsidP="008A253E">
            <w:pPr>
              <w:rPr>
                <w:b/>
                <w:sz w:val="20"/>
                <w:szCs w:val="20"/>
              </w:rPr>
            </w:pPr>
            <w:r w:rsidRPr="000303D3">
              <w:rPr>
                <w:b/>
                <w:sz w:val="20"/>
                <w:szCs w:val="20"/>
              </w:rPr>
              <w:t>1 743,51</w:t>
            </w:r>
          </w:p>
        </w:tc>
        <w:tc>
          <w:tcPr>
            <w:tcW w:w="1328" w:type="dxa"/>
            <w:gridSpan w:val="2"/>
            <w:tcBorders>
              <w:top w:val="nil"/>
              <w:left w:val="nil"/>
              <w:bottom w:val="nil"/>
              <w:right w:val="single" w:sz="4" w:space="0" w:color="000000"/>
            </w:tcBorders>
            <w:shd w:val="clear" w:color="auto" w:fill="auto"/>
            <w:hideMark/>
          </w:tcPr>
          <w:p w:rsidR="005D6ACF" w:rsidRPr="000303D3" w:rsidRDefault="005D6ACF" w:rsidP="008A253E">
            <w:pPr>
              <w:rPr>
                <w:b/>
                <w:sz w:val="20"/>
                <w:szCs w:val="20"/>
              </w:rPr>
            </w:pPr>
            <w:r w:rsidRPr="000303D3">
              <w:rPr>
                <w:b/>
                <w:sz w:val="20"/>
                <w:szCs w:val="20"/>
              </w:rPr>
              <w:t>25 036,85</w:t>
            </w:r>
          </w:p>
        </w:tc>
      </w:tr>
      <w:tr w:rsidR="005D6ACF" w:rsidRPr="00974FB1" w:rsidTr="008A253E">
        <w:trPr>
          <w:trHeight w:val="131"/>
        </w:trPr>
        <w:tc>
          <w:tcPr>
            <w:tcW w:w="15371" w:type="dxa"/>
            <w:gridSpan w:val="24"/>
            <w:tcBorders>
              <w:top w:val="nil"/>
              <w:left w:val="nil"/>
              <w:bottom w:val="nil"/>
              <w:right w:val="nil"/>
            </w:tcBorders>
            <w:shd w:val="clear" w:color="auto" w:fill="auto"/>
            <w:vAlign w:val="center"/>
          </w:tcPr>
          <w:p w:rsidR="005D6ACF" w:rsidRPr="00974FB1" w:rsidRDefault="005D6ACF" w:rsidP="008A253E">
            <w:pPr>
              <w:jc w:val="center"/>
              <w:rPr>
                <w:sz w:val="20"/>
                <w:szCs w:val="20"/>
              </w:rPr>
            </w:pPr>
            <w:r w:rsidRPr="005C3712">
              <w:rPr>
                <w:b/>
                <w:bCs/>
                <w:sz w:val="20"/>
                <w:szCs w:val="20"/>
              </w:rPr>
              <w:t>Расчет прогноза поступления процентов по бюджетным кредитам в 2023 году</w:t>
            </w:r>
          </w:p>
        </w:tc>
      </w:tr>
      <w:tr w:rsidR="005D6ACF" w:rsidRPr="00974FB1" w:rsidTr="008A253E">
        <w:trPr>
          <w:trHeight w:val="131"/>
        </w:trPr>
        <w:tc>
          <w:tcPr>
            <w:tcW w:w="6514" w:type="dxa"/>
            <w:gridSpan w:val="10"/>
            <w:tcBorders>
              <w:top w:val="nil"/>
              <w:left w:val="nil"/>
              <w:bottom w:val="nil"/>
              <w:right w:val="nil"/>
            </w:tcBorders>
            <w:shd w:val="clear" w:color="auto" w:fill="auto"/>
            <w:vAlign w:val="center"/>
            <w:hideMark/>
          </w:tcPr>
          <w:p w:rsidR="005D6ACF" w:rsidRPr="00974FB1" w:rsidRDefault="005D6ACF" w:rsidP="008A253E">
            <w:pPr>
              <w:jc w:val="center"/>
              <w:rPr>
                <w:rFonts w:ascii="Arial CYR" w:hAnsi="Arial CYR" w:cs="Arial CYR"/>
                <w:b/>
                <w:bCs/>
                <w:sz w:val="20"/>
                <w:szCs w:val="20"/>
              </w:rPr>
            </w:pPr>
          </w:p>
        </w:tc>
        <w:tc>
          <w:tcPr>
            <w:tcW w:w="2080" w:type="dxa"/>
            <w:gridSpan w:val="3"/>
            <w:tcBorders>
              <w:top w:val="nil"/>
              <w:left w:val="nil"/>
              <w:bottom w:val="nil"/>
              <w:right w:val="nil"/>
            </w:tcBorders>
            <w:shd w:val="clear" w:color="auto" w:fill="auto"/>
            <w:vAlign w:val="center"/>
            <w:hideMark/>
          </w:tcPr>
          <w:p w:rsidR="005D6ACF" w:rsidRPr="00974FB1" w:rsidRDefault="005D6ACF" w:rsidP="008A253E">
            <w:pPr>
              <w:jc w:val="center"/>
              <w:rPr>
                <w:sz w:val="20"/>
                <w:szCs w:val="20"/>
              </w:rPr>
            </w:pPr>
          </w:p>
        </w:tc>
        <w:tc>
          <w:tcPr>
            <w:tcW w:w="2100" w:type="dxa"/>
            <w:gridSpan w:val="3"/>
            <w:tcBorders>
              <w:top w:val="nil"/>
              <w:left w:val="nil"/>
              <w:bottom w:val="nil"/>
              <w:right w:val="nil"/>
            </w:tcBorders>
            <w:shd w:val="clear" w:color="auto" w:fill="auto"/>
            <w:vAlign w:val="center"/>
            <w:hideMark/>
          </w:tcPr>
          <w:p w:rsidR="005D6ACF" w:rsidRPr="00974FB1" w:rsidRDefault="005D6ACF" w:rsidP="008A253E">
            <w:pPr>
              <w:jc w:val="center"/>
              <w:rPr>
                <w:sz w:val="20"/>
                <w:szCs w:val="20"/>
              </w:rPr>
            </w:pPr>
          </w:p>
        </w:tc>
        <w:tc>
          <w:tcPr>
            <w:tcW w:w="1660" w:type="dxa"/>
            <w:gridSpan w:val="3"/>
            <w:tcBorders>
              <w:top w:val="nil"/>
              <w:left w:val="nil"/>
              <w:bottom w:val="nil"/>
              <w:right w:val="nil"/>
            </w:tcBorders>
            <w:shd w:val="clear" w:color="auto" w:fill="auto"/>
            <w:noWrap/>
            <w:vAlign w:val="bottom"/>
            <w:hideMark/>
          </w:tcPr>
          <w:p w:rsidR="005D6ACF" w:rsidRPr="00974FB1" w:rsidRDefault="005D6ACF" w:rsidP="008A253E">
            <w:pPr>
              <w:jc w:val="center"/>
              <w:rPr>
                <w:sz w:val="20"/>
                <w:szCs w:val="20"/>
              </w:rPr>
            </w:pPr>
          </w:p>
        </w:tc>
        <w:tc>
          <w:tcPr>
            <w:tcW w:w="1660" w:type="dxa"/>
            <w:gridSpan w:val="3"/>
            <w:tcBorders>
              <w:top w:val="nil"/>
              <w:left w:val="nil"/>
              <w:bottom w:val="nil"/>
              <w:right w:val="nil"/>
            </w:tcBorders>
            <w:shd w:val="clear" w:color="auto" w:fill="auto"/>
            <w:noWrap/>
            <w:vAlign w:val="bottom"/>
            <w:hideMark/>
          </w:tcPr>
          <w:p w:rsidR="005D6ACF" w:rsidRPr="00974FB1" w:rsidRDefault="005D6ACF" w:rsidP="008A253E">
            <w:pPr>
              <w:rPr>
                <w:sz w:val="20"/>
                <w:szCs w:val="20"/>
              </w:rPr>
            </w:pPr>
          </w:p>
        </w:tc>
        <w:tc>
          <w:tcPr>
            <w:tcW w:w="1357" w:type="dxa"/>
            <w:gridSpan w:val="2"/>
            <w:tcBorders>
              <w:top w:val="nil"/>
              <w:left w:val="nil"/>
              <w:bottom w:val="nil"/>
              <w:right w:val="nil"/>
            </w:tcBorders>
            <w:shd w:val="clear" w:color="auto" w:fill="auto"/>
            <w:noWrap/>
            <w:vAlign w:val="bottom"/>
            <w:hideMark/>
          </w:tcPr>
          <w:p w:rsidR="005D6ACF" w:rsidRPr="00974FB1" w:rsidRDefault="005D6ACF" w:rsidP="008A253E">
            <w:pPr>
              <w:jc w:val="right"/>
              <w:rPr>
                <w:sz w:val="20"/>
                <w:szCs w:val="20"/>
              </w:rPr>
            </w:pPr>
            <w:r w:rsidRPr="00974FB1">
              <w:rPr>
                <w:sz w:val="20"/>
                <w:szCs w:val="20"/>
              </w:rPr>
              <w:t>(руб.)</w:t>
            </w:r>
          </w:p>
        </w:tc>
      </w:tr>
      <w:tr w:rsidR="005D6ACF" w:rsidRPr="00974FB1" w:rsidTr="008A253E">
        <w:trPr>
          <w:trHeight w:val="510"/>
        </w:trPr>
        <w:tc>
          <w:tcPr>
            <w:tcW w:w="973"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5D6ACF" w:rsidRPr="00974FB1" w:rsidRDefault="005D6ACF" w:rsidP="008A253E">
            <w:pPr>
              <w:jc w:val="center"/>
              <w:rPr>
                <w:b/>
                <w:bCs/>
                <w:sz w:val="20"/>
                <w:szCs w:val="20"/>
              </w:rPr>
            </w:pPr>
            <w:r w:rsidRPr="00974FB1">
              <w:rPr>
                <w:b/>
                <w:bCs/>
                <w:sz w:val="20"/>
                <w:szCs w:val="20"/>
              </w:rPr>
              <w:t>Месяц</w:t>
            </w:r>
          </w:p>
        </w:tc>
        <w:tc>
          <w:tcPr>
            <w:tcW w:w="897"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5D6ACF" w:rsidRPr="00974FB1" w:rsidRDefault="005D6ACF" w:rsidP="008A253E">
            <w:pPr>
              <w:jc w:val="center"/>
              <w:rPr>
                <w:b/>
                <w:bCs/>
                <w:sz w:val="20"/>
                <w:szCs w:val="20"/>
              </w:rPr>
            </w:pPr>
            <w:r w:rsidRPr="00974FB1">
              <w:rPr>
                <w:b/>
                <w:bCs/>
                <w:sz w:val="20"/>
                <w:szCs w:val="20"/>
              </w:rPr>
              <w:t>Срок пользо-вания креди-том, дней</w:t>
            </w:r>
          </w:p>
        </w:tc>
        <w:tc>
          <w:tcPr>
            <w:tcW w:w="1660" w:type="dxa"/>
            <w:gridSpan w:val="3"/>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5D6ACF" w:rsidRPr="00A07586" w:rsidRDefault="005D6ACF" w:rsidP="008A253E">
            <w:pPr>
              <w:jc w:val="center"/>
              <w:rPr>
                <w:b/>
                <w:sz w:val="20"/>
                <w:szCs w:val="20"/>
              </w:rPr>
            </w:pPr>
            <w:r w:rsidRPr="00A07586">
              <w:rPr>
                <w:b/>
                <w:sz w:val="20"/>
                <w:szCs w:val="20"/>
              </w:rPr>
              <w:t>Сумма кредита, планируемая к выдаче в 2023 году                (руб.)</w:t>
            </w:r>
          </w:p>
        </w:tc>
        <w:tc>
          <w:tcPr>
            <w:tcW w:w="1324" w:type="dxa"/>
            <w:gridSpan w:val="2"/>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5D6ACF" w:rsidRPr="00A07586" w:rsidRDefault="005D6ACF" w:rsidP="008A253E">
            <w:pPr>
              <w:jc w:val="center"/>
              <w:rPr>
                <w:b/>
                <w:sz w:val="20"/>
                <w:szCs w:val="20"/>
              </w:rPr>
            </w:pPr>
            <w:r>
              <w:rPr>
                <w:b/>
                <w:sz w:val="20"/>
                <w:szCs w:val="20"/>
              </w:rPr>
              <w:t>Процент</w:t>
            </w:r>
            <w:r w:rsidRPr="00A07586">
              <w:rPr>
                <w:b/>
                <w:sz w:val="20"/>
                <w:szCs w:val="20"/>
              </w:rPr>
              <w:t>ная ставка, %</w:t>
            </w:r>
          </w:p>
        </w:tc>
        <w:tc>
          <w:tcPr>
            <w:tcW w:w="1660" w:type="dxa"/>
            <w:gridSpan w:val="3"/>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5D6ACF" w:rsidRPr="00A07586" w:rsidRDefault="005D6ACF" w:rsidP="008A253E">
            <w:pPr>
              <w:jc w:val="center"/>
              <w:rPr>
                <w:b/>
                <w:sz w:val="20"/>
                <w:szCs w:val="20"/>
              </w:rPr>
            </w:pPr>
            <w:r w:rsidRPr="00A07586">
              <w:rPr>
                <w:b/>
                <w:sz w:val="20"/>
                <w:szCs w:val="20"/>
              </w:rPr>
              <w:t>Сумма процентов за пользование кредитом в 2023 году (кредиты 2023 года)</w:t>
            </w:r>
          </w:p>
        </w:tc>
        <w:tc>
          <w:tcPr>
            <w:tcW w:w="2080" w:type="dxa"/>
            <w:gridSpan w:val="3"/>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5D6ACF" w:rsidRPr="00A07586" w:rsidRDefault="005D6ACF" w:rsidP="008A253E">
            <w:pPr>
              <w:jc w:val="center"/>
              <w:rPr>
                <w:b/>
                <w:sz w:val="20"/>
                <w:szCs w:val="20"/>
              </w:rPr>
            </w:pPr>
            <w:r w:rsidRPr="00A07586">
              <w:rPr>
                <w:b/>
                <w:sz w:val="20"/>
                <w:szCs w:val="20"/>
              </w:rPr>
              <w:t>Ожидаемая задолженность по кредитам, предоставленным в 2021 году</w:t>
            </w:r>
          </w:p>
        </w:tc>
        <w:tc>
          <w:tcPr>
            <w:tcW w:w="2100" w:type="dxa"/>
            <w:gridSpan w:val="3"/>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5D6ACF" w:rsidRPr="00A07586" w:rsidRDefault="005D6ACF" w:rsidP="008A253E">
            <w:pPr>
              <w:jc w:val="center"/>
              <w:rPr>
                <w:b/>
                <w:sz w:val="20"/>
                <w:szCs w:val="20"/>
              </w:rPr>
            </w:pPr>
            <w:r w:rsidRPr="00A07586">
              <w:rPr>
                <w:b/>
                <w:sz w:val="20"/>
                <w:szCs w:val="20"/>
              </w:rPr>
              <w:t>Ожидаемая задолженность по кредитам, предоставленным в 2022 году</w:t>
            </w:r>
          </w:p>
        </w:tc>
        <w:tc>
          <w:tcPr>
            <w:tcW w:w="1660" w:type="dxa"/>
            <w:gridSpan w:val="3"/>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5D6ACF" w:rsidRPr="00A07586" w:rsidRDefault="005D6ACF" w:rsidP="008A253E">
            <w:pPr>
              <w:jc w:val="center"/>
              <w:rPr>
                <w:b/>
                <w:sz w:val="20"/>
                <w:szCs w:val="20"/>
              </w:rPr>
            </w:pPr>
            <w:r w:rsidRPr="00A07586">
              <w:rPr>
                <w:b/>
                <w:sz w:val="20"/>
                <w:szCs w:val="20"/>
              </w:rPr>
              <w:t>Сумма процентов за пользование кредитом в 2023 году (кредиты 2021 года)</w:t>
            </w:r>
          </w:p>
        </w:tc>
        <w:tc>
          <w:tcPr>
            <w:tcW w:w="1660" w:type="dxa"/>
            <w:gridSpan w:val="3"/>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5D6ACF" w:rsidRPr="00A07586" w:rsidRDefault="005D6ACF" w:rsidP="008A253E">
            <w:pPr>
              <w:jc w:val="center"/>
              <w:rPr>
                <w:b/>
                <w:sz w:val="20"/>
                <w:szCs w:val="20"/>
              </w:rPr>
            </w:pPr>
            <w:r w:rsidRPr="00A07586">
              <w:rPr>
                <w:b/>
                <w:sz w:val="20"/>
                <w:szCs w:val="20"/>
              </w:rPr>
              <w:t>Сумма процентов за пользование кредитом в 2023 году (кредиты 2022 года)</w:t>
            </w:r>
          </w:p>
        </w:tc>
        <w:tc>
          <w:tcPr>
            <w:tcW w:w="1357" w:type="dxa"/>
            <w:gridSpan w:val="2"/>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5D6ACF" w:rsidRPr="00A07586" w:rsidRDefault="005D6ACF" w:rsidP="008A253E">
            <w:pPr>
              <w:jc w:val="center"/>
              <w:rPr>
                <w:b/>
                <w:sz w:val="20"/>
                <w:szCs w:val="20"/>
              </w:rPr>
            </w:pPr>
            <w:r w:rsidRPr="00A07586">
              <w:rPr>
                <w:b/>
                <w:sz w:val="20"/>
                <w:szCs w:val="20"/>
              </w:rPr>
              <w:t>Итого сумма процентов за пользование кредитом в 2023 году</w:t>
            </w:r>
          </w:p>
        </w:tc>
      </w:tr>
      <w:tr w:rsidR="005D6ACF" w:rsidRPr="00974FB1" w:rsidTr="008A253E">
        <w:trPr>
          <w:trHeight w:val="932"/>
        </w:trPr>
        <w:tc>
          <w:tcPr>
            <w:tcW w:w="973" w:type="dxa"/>
            <w:vMerge/>
            <w:tcBorders>
              <w:top w:val="single" w:sz="8" w:space="0" w:color="auto"/>
              <w:left w:val="single" w:sz="8" w:space="0" w:color="auto"/>
              <w:bottom w:val="single" w:sz="8" w:space="0" w:color="000000"/>
              <w:right w:val="single" w:sz="4" w:space="0" w:color="auto"/>
            </w:tcBorders>
            <w:vAlign w:val="center"/>
            <w:hideMark/>
          </w:tcPr>
          <w:p w:rsidR="005D6ACF" w:rsidRPr="00974FB1" w:rsidRDefault="005D6ACF" w:rsidP="008A253E">
            <w:pPr>
              <w:rPr>
                <w:b/>
                <w:bCs/>
                <w:sz w:val="20"/>
                <w:szCs w:val="20"/>
              </w:rPr>
            </w:pPr>
          </w:p>
        </w:tc>
        <w:tc>
          <w:tcPr>
            <w:tcW w:w="897" w:type="dxa"/>
            <w:vMerge/>
            <w:tcBorders>
              <w:top w:val="single" w:sz="8" w:space="0" w:color="auto"/>
              <w:left w:val="single" w:sz="4" w:space="0" w:color="auto"/>
              <w:bottom w:val="single" w:sz="8" w:space="0" w:color="000000"/>
              <w:right w:val="single" w:sz="4" w:space="0" w:color="auto"/>
            </w:tcBorders>
            <w:vAlign w:val="center"/>
            <w:hideMark/>
          </w:tcPr>
          <w:p w:rsidR="005D6ACF" w:rsidRPr="00974FB1" w:rsidRDefault="005D6ACF" w:rsidP="008A253E">
            <w:pPr>
              <w:rPr>
                <w:b/>
                <w:bCs/>
                <w:sz w:val="20"/>
                <w:szCs w:val="20"/>
              </w:rPr>
            </w:pPr>
          </w:p>
        </w:tc>
        <w:tc>
          <w:tcPr>
            <w:tcW w:w="1660" w:type="dxa"/>
            <w:gridSpan w:val="3"/>
            <w:vMerge/>
            <w:tcBorders>
              <w:top w:val="single" w:sz="8" w:space="0" w:color="auto"/>
              <w:left w:val="single" w:sz="4" w:space="0" w:color="auto"/>
              <w:bottom w:val="single" w:sz="8" w:space="0" w:color="000000"/>
              <w:right w:val="single" w:sz="4" w:space="0" w:color="auto"/>
            </w:tcBorders>
            <w:vAlign w:val="center"/>
            <w:hideMark/>
          </w:tcPr>
          <w:p w:rsidR="005D6ACF" w:rsidRPr="00974FB1" w:rsidRDefault="005D6ACF" w:rsidP="008A253E">
            <w:pPr>
              <w:rPr>
                <w:b/>
                <w:bCs/>
                <w:sz w:val="20"/>
                <w:szCs w:val="20"/>
              </w:rPr>
            </w:pPr>
          </w:p>
        </w:tc>
        <w:tc>
          <w:tcPr>
            <w:tcW w:w="1324" w:type="dxa"/>
            <w:gridSpan w:val="2"/>
            <w:vMerge/>
            <w:tcBorders>
              <w:top w:val="single" w:sz="8" w:space="0" w:color="auto"/>
              <w:left w:val="single" w:sz="4" w:space="0" w:color="auto"/>
              <w:bottom w:val="single" w:sz="8" w:space="0" w:color="000000"/>
              <w:right w:val="single" w:sz="4" w:space="0" w:color="auto"/>
            </w:tcBorders>
            <w:vAlign w:val="center"/>
            <w:hideMark/>
          </w:tcPr>
          <w:p w:rsidR="005D6ACF" w:rsidRPr="00974FB1" w:rsidRDefault="005D6ACF" w:rsidP="008A253E">
            <w:pPr>
              <w:rPr>
                <w:b/>
                <w:bCs/>
                <w:sz w:val="20"/>
                <w:szCs w:val="20"/>
              </w:rPr>
            </w:pPr>
          </w:p>
        </w:tc>
        <w:tc>
          <w:tcPr>
            <w:tcW w:w="1660" w:type="dxa"/>
            <w:gridSpan w:val="3"/>
            <w:vMerge/>
            <w:tcBorders>
              <w:top w:val="single" w:sz="8" w:space="0" w:color="auto"/>
              <w:left w:val="single" w:sz="4" w:space="0" w:color="auto"/>
              <w:bottom w:val="single" w:sz="4" w:space="0" w:color="auto"/>
              <w:right w:val="single" w:sz="4" w:space="0" w:color="auto"/>
            </w:tcBorders>
            <w:vAlign w:val="center"/>
            <w:hideMark/>
          </w:tcPr>
          <w:p w:rsidR="005D6ACF" w:rsidRPr="00974FB1" w:rsidRDefault="005D6ACF" w:rsidP="008A253E">
            <w:pPr>
              <w:rPr>
                <w:b/>
                <w:bCs/>
                <w:sz w:val="20"/>
                <w:szCs w:val="20"/>
              </w:rPr>
            </w:pPr>
          </w:p>
        </w:tc>
        <w:tc>
          <w:tcPr>
            <w:tcW w:w="2080" w:type="dxa"/>
            <w:gridSpan w:val="3"/>
            <w:vMerge/>
            <w:tcBorders>
              <w:top w:val="single" w:sz="8" w:space="0" w:color="auto"/>
              <w:left w:val="single" w:sz="4" w:space="0" w:color="auto"/>
              <w:bottom w:val="single" w:sz="8" w:space="0" w:color="000000"/>
              <w:right w:val="single" w:sz="4" w:space="0" w:color="auto"/>
            </w:tcBorders>
            <w:vAlign w:val="center"/>
            <w:hideMark/>
          </w:tcPr>
          <w:p w:rsidR="005D6ACF" w:rsidRPr="00974FB1" w:rsidRDefault="005D6ACF" w:rsidP="008A253E">
            <w:pPr>
              <w:rPr>
                <w:b/>
                <w:bCs/>
                <w:sz w:val="20"/>
                <w:szCs w:val="20"/>
              </w:rPr>
            </w:pPr>
          </w:p>
        </w:tc>
        <w:tc>
          <w:tcPr>
            <w:tcW w:w="2100" w:type="dxa"/>
            <w:gridSpan w:val="3"/>
            <w:vMerge/>
            <w:tcBorders>
              <w:top w:val="single" w:sz="8" w:space="0" w:color="auto"/>
              <w:left w:val="single" w:sz="4" w:space="0" w:color="auto"/>
              <w:bottom w:val="single" w:sz="8" w:space="0" w:color="000000"/>
              <w:right w:val="single" w:sz="4" w:space="0" w:color="auto"/>
            </w:tcBorders>
            <w:vAlign w:val="center"/>
            <w:hideMark/>
          </w:tcPr>
          <w:p w:rsidR="005D6ACF" w:rsidRPr="00974FB1" w:rsidRDefault="005D6ACF" w:rsidP="008A253E">
            <w:pPr>
              <w:rPr>
                <w:b/>
                <w:bCs/>
                <w:sz w:val="20"/>
                <w:szCs w:val="20"/>
              </w:rPr>
            </w:pPr>
          </w:p>
        </w:tc>
        <w:tc>
          <w:tcPr>
            <w:tcW w:w="1660" w:type="dxa"/>
            <w:gridSpan w:val="3"/>
            <w:vMerge/>
            <w:tcBorders>
              <w:top w:val="single" w:sz="8" w:space="0" w:color="auto"/>
              <w:left w:val="single" w:sz="4" w:space="0" w:color="auto"/>
              <w:bottom w:val="single" w:sz="8" w:space="0" w:color="000000"/>
              <w:right w:val="single" w:sz="4" w:space="0" w:color="auto"/>
            </w:tcBorders>
            <w:vAlign w:val="center"/>
            <w:hideMark/>
          </w:tcPr>
          <w:p w:rsidR="005D6ACF" w:rsidRPr="00974FB1" w:rsidRDefault="005D6ACF" w:rsidP="008A253E">
            <w:pPr>
              <w:rPr>
                <w:b/>
                <w:bCs/>
                <w:sz w:val="20"/>
                <w:szCs w:val="20"/>
              </w:rPr>
            </w:pPr>
          </w:p>
        </w:tc>
        <w:tc>
          <w:tcPr>
            <w:tcW w:w="1660" w:type="dxa"/>
            <w:gridSpan w:val="3"/>
            <w:vMerge/>
            <w:tcBorders>
              <w:top w:val="single" w:sz="8" w:space="0" w:color="auto"/>
              <w:left w:val="single" w:sz="4" w:space="0" w:color="auto"/>
              <w:bottom w:val="single" w:sz="8" w:space="0" w:color="000000"/>
              <w:right w:val="single" w:sz="4" w:space="0" w:color="auto"/>
            </w:tcBorders>
            <w:vAlign w:val="center"/>
            <w:hideMark/>
          </w:tcPr>
          <w:p w:rsidR="005D6ACF" w:rsidRPr="00974FB1" w:rsidRDefault="005D6ACF" w:rsidP="008A253E">
            <w:pPr>
              <w:rPr>
                <w:b/>
                <w:bCs/>
                <w:sz w:val="20"/>
                <w:szCs w:val="20"/>
              </w:rPr>
            </w:pPr>
          </w:p>
        </w:tc>
        <w:tc>
          <w:tcPr>
            <w:tcW w:w="1357" w:type="dxa"/>
            <w:gridSpan w:val="2"/>
            <w:vMerge/>
            <w:tcBorders>
              <w:top w:val="single" w:sz="8" w:space="0" w:color="auto"/>
              <w:left w:val="single" w:sz="4" w:space="0" w:color="auto"/>
              <w:bottom w:val="single" w:sz="8" w:space="0" w:color="000000"/>
              <w:right w:val="single" w:sz="8" w:space="0" w:color="auto"/>
            </w:tcBorders>
            <w:vAlign w:val="center"/>
            <w:hideMark/>
          </w:tcPr>
          <w:p w:rsidR="005D6ACF" w:rsidRPr="00974FB1" w:rsidRDefault="005D6ACF" w:rsidP="008A253E">
            <w:pPr>
              <w:rPr>
                <w:b/>
                <w:bCs/>
                <w:sz w:val="20"/>
                <w:szCs w:val="20"/>
              </w:rPr>
            </w:pPr>
          </w:p>
        </w:tc>
      </w:tr>
      <w:tr w:rsidR="005D6ACF" w:rsidRPr="00974FB1" w:rsidTr="008A253E">
        <w:trPr>
          <w:trHeight w:val="255"/>
        </w:trPr>
        <w:tc>
          <w:tcPr>
            <w:tcW w:w="973" w:type="dxa"/>
            <w:tcBorders>
              <w:top w:val="nil"/>
              <w:left w:val="single" w:sz="8" w:space="0" w:color="auto"/>
              <w:bottom w:val="single" w:sz="4" w:space="0" w:color="auto"/>
              <w:right w:val="single" w:sz="4" w:space="0" w:color="auto"/>
            </w:tcBorders>
            <w:shd w:val="clear" w:color="auto" w:fill="auto"/>
            <w:noWrap/>
            <w:vAlign w:val="bottom"/>
            <w:hideMark/>
          </w:tcPr>
          <w:p w:rsidR="005D6ACF" w:rsidRPr="00974FB1" w:rsidRDefault="005D6ACF" w:rsidP="008A253E">
            <w:pPr>
              <w:rPr>
                <w:sz w:val="20"/>
                <w:szCs w:val="20"/>
              </w:rPr>
            </w:pPr>
            <w:r w:rsidRPr="00974FB1">
              <w:rPr>
                <w:sz w:val="20"/>
                <w:szCs w:val="20"/>
              </w:rPr>
              <w:t>январь</w:t>
            </w:r>
          </w:p>
        </w:tc>
        <w:tc>
          <w:tcPr>
            <w:tcW w:w="897" w:type="dxa"/>
            <w:tcBorders>
              <w:top w:val="nil"/>
              <w:left w:val="nil"/>
              <w:bottom w:val="single" w:sz="4" w:space="0" w:color="auto"/>
              <w:right w:val="single" w:sz="4" w:space="0" w:color="auto"/>
            </w:tcBorders>
            <w:shd w:val="clear" w:color="auto" w:fill="auto"/>
            <w:noWrap/>
            <w:vAlign w:val="bottom"/>
            <w:hideMark/>
          </w:tcPr>
          <w:p w:rsidR="005D6ACF" w:rsidRPr="00974FB1" w:rsidRDefault="005D6ACF" w:rsidP="008A253E">
            <w:pPr>
              <w:jc w:val="right"/>
              <w:rPr>
                <w:sz w:val="20"/>
                <w:szCs w:val="20"/>
              </w:rPr>
            </w:pPr>
            <w:r w:rsidRPr="00974FB1">
              <w:rPr>
                <w:sz w:val="20"/>
                <w:szCs w:val="20"/>
              </w:rPr>
              <w:t>31</w:t>
            </w:r>
          </w:p>
        </w:tc>
        <w:tc>
          <w:tcPr>
            <w:tcW w:w="1660" w:type="dxa"/>
            <w:gridSpan w:val="3"/>
            <w:tcBorders>
              <w:top w:val="nil"/>
              <w:left w:val="nil"/>
              <w:bottom w:val="single" w:sz="4" w:space="0" w:color="auto"/>
              <w:right w:val="single" w:sz="4" w:space="0" w:color="auto"/>
            </w:tcBorders>
            <w:shd w:val="clear" w:color="auto" w:fill="auto"/>
            <w:noWrap/>
            <w:hideMark/>
          </w:tcPr>
          <w:p w:rsidR="005D6ACF" w:rsidRPr="002C6906" w:rsidRDefault="005D6ACF" w:rsidP="008A253E">
            <w:pPr>
              <w:jc w:val="right"/>
              <w:rPr>
                <w:sz w:val="20"/>
                <w:szCs w:val="20"/>
              </w:rPr>
            </w:pPr>
            <w:r w:rsidRPr="002C6906">
              <w:rPr>
                <w:sz w:val="20"/>
                <w:szCs w:val="20"/>
              </w:rPr>
              <w:t>0,0</w:t>
            </w:r>
          </w:p>
        </w:tc>
        <w:tc>
          <w:tcPr>
            <w:tcW w:w="1324" w:type="dxa"/>
            <w:gridSpan w:val="2"/>
            <w:tcBorders>
              <w:top w:val="nil"/>
              <w:left w:val="nil"/>
              <w:bottom w:val="single" w:sz="4" w:space="0" w:color="auto"/>
              <w:right w:val="single" w:sz="4" w:space="0" w:color="auto"/>
            </w:tcBorders>
            <w:shd w:val="clear" w:color="auto" w:fill="auto"/>
            <w:noWrap/>
            <w:hideMark/>
          </w:tcPr>
          <w:p w:rsidR="005D6ACF" w:rsidRPr="002C6906" w:rsidRDefault="005D6ACF" w:rsidP="008A253E">
            <w:pPr>
              <w:jc w:val="right"/>
              <w:rPr>
                <w:sz w:val="20"/>
                <w:szCs w:val="20"/>
              </w:rPr>
            </w:pPr>
            <w:r w:rsidRPr="002C6906">
              <w:rPr>
                <w:sz w:val="20"/>
                <w:szCs w:val="20"/>
              </w:rPr>
              <w:t>0,1%</w:t>
            </w:r>
          </w:p>
        </w:tc>
        <w:tc>
          <w:tcPr>
            <w:tcW w:w="1660" w:type="dxa"/>
            <w:gridSpan w:val="3"/>
            <w:tcBorders>
              <w:top w:val="single" w:sz="8" w:space="0" w:color="auto"/>
              <w:left w:val="nil"/>
              <w:bottom w:val="nil"/>
              <w:right w:val="single" w:sz="4" w:space="0" w:color="auto"/>
            </w:tcBorders>
            <w:shd w:val="clear" w:color="auto" w:fill="auto"/>
            <w:noWrap/>
            <w:hideMark/>
          </w:tcPr>
          <w:p w:rsidR="005D6ACF" w:rsidRPr="002C6906" w:rsidRDefault="005D6ACF" w:rsidP="008A253E">
            <w:pPr>
              <w:jc w:val="right"/>
              <w:rPr>
                <w:sz w:val="20"/>
                <w:szCs w:val="20"/>
              </w:rPr>
            </w:pPr>
            <w:r w:rsidRPr="002C6906">
              <w:rPr>
                <w:sz w:val="20"/>
                <w:szCs w:val="20"/>
              </w:rPr>
              <w:t>0,0</w:t>
            </w:r>
          </w:p>
        </w:tc>
        <w:tc>
          <w:tcPr>
            <w:tcW w:w="2080" w:type="dxa"/>
            <w:gridSpan w:val="3"/>
            <w:tcBorders>
              <w:top w:val="nil"/>
              <w:left w:val="nil"/>
              <w:bottom w:val="single" w:sz="4" w:space="0" w:color="auto"/>
              <w:right w:val="single" w:sz="4" w:space="0" w:color="auto"/>
            </w:tcBorders>
            <w:shd w:val="clear" w:color="auto" w:fill="auto"/>
            <w:noWrap/>
            <w:hideMark/>
          </w:tcPr>
          <w:p w:rsidR="005D6ACF" w:rsidRPr="002C6906" w:rsidRDefault="005D6ACF" w:rsidP="008A253E">
            <w:pPr>
              <w:jc w:val="right"/>
              <w:rPr>
                <w:sz w:val="20"/>
                <w:szCs w:val="20"/>
              </w:rPr>
            </w:pPr>
            <w:r w:rsidRPr="002C6906">
              <w:rPr>
                <w:sz w:val="20"/>
                <w:szCs w:val="20"/>
              </w:rPr>
              <w:t>90 982 600,0</w:t>
            </w:r>
          </w:p>
        </w:tc>
        <w:tc>
          <w:tcPr>
            <w:tcW w:w="2100" w:type="dxa"/>
            <w:gridSpan w:val="3"/>
            <w:tcBorders>
              <w:top w:val="nil"/>
              <w:left w:val="nil"/>
              <w:bottom w:val="single" w:sz="4" w:space="0" w:color="auto"/>
              <w:right w:val="single" w:sz="4" w:space="0" w:color="auto"/>
            </w:tcBorders>
            <w:shd w:val="clear" w:color="auto" w:fill="auto"/>
            <w:noWrap/>
            <w:hideMark/>
          </w:tcPr>
          <w:p w:rsidR="005D6ACF" w:rsidRPr="002C6906" w:rsidRDefault="005D6ACF" w:rsidP="008A253E">
            <w:pPr>
              <w:jc w:val="right"/>
              <w:rPr>
                <w:sz w:val="20"/>
                <w:szCs w:val="20"/>
              </w:rPr>
            </w:pPr>
            <w:r w:rsidRPr="002C6906">
              <w:rPr>
                <w:sz w:val="20"/>
                <w:szCs w:val="20"/>
              </w:rPr>
              <w:t>200 000 000,0</w:t>
            </w:r>
          </w:p>
        </w:tc>
        <w:tc>
          <w:tcPr>
            <w:tcW w:w="1660" w:type="dxa"/>
            <w:gridSpan w:val="3"/>
            <w:tcBorders>
              <w:top w:val="nil"/>
              <w:left w:val="nil"/>
              <w:bottom w:val="single" w:sz="4" w:space="0" w:color="auto"/>
              <w:right w:val="single" w:sz="4" w:space="0" w:color="auto"/>
            </w:tcBorders>
            <w:shd w:val="clear" w:color="auto" w:fill="auto"/>
            <w:noWrap/>
            <w:hideMark/>
          </w:tcPr>
          <w:p w:rsidR="005D6ACF" w:rsidRPr="002C6906" w:rsidRDefault="005D6ACF" w:rsidP="008A253E">
            <w:pPr>
              <w:jc w:val="right"/>
              <w:rPr>
                <w:sz w:val="20"/>
                <w:szCs w:val="20"/>
              </w:rPr>
            </w:pPr>
            <w:r w:rsidRPr="002C6906">
              <w:rPr>
                <w:sz w:val="20"/>
                <w:szCs w:val="20"/>
              </w:rPr>
              <w:t>7 727</w:t>
            </w:r>
          </w:p>
        </w:tc>
        <w:tc>
          <w:tcPr>
            <w:tcW w:w="1660" w:type="dxa"/>
            <w:gridSpan w:val="3"/>
            <w:tcBorders>
              <w:top w:val="nil"/>
              <w:left w:val="nil"/>
              <w:bottom w:val="single" w:sz="4" w:space="0" w:color="auto"/>
              <w:right w:val="single" w:sz="4" w:space="0" w:color="auto"/>
            </w:tcBorders>
            <w:shd w:val="clear" w:color="auto" w:fill="auto"/>
            <w:noWrap/>
            <w:hideMark/>
          </w:tcPr>
          <w:p w:rsidR="005D6ACF" w:rsidRPr="002C6906" w:rsidRDefault="005D6ACF" w:rsidP="008A253E">
            <w:pPr>
              <w:jc w:val="right"/>
              <w:rPr>
                <w:sz w:val="20"/>
                <w:szCs w:val="20"/>
              </w:rPr>
            </w:pPr>
            <w:r w:rsidRPr="002C6906">
              <w:rPr>
                <w:sz w:val="20"/>
                <w:szCs w:val="20"/>
              </w:rPr>
              <w:t>16 986,3</w:t>
            </w:r>
          </w:p>
        </w:tc>
        <w:tc>
          <w:tcPr>
            <w:tcW w:w="1357" w:type="dxa"/>
            <w:gridSpan w:val="2"/>
            <w:tcBorders>
              <w:top w:val="nil"/>
              <w:left w:val="nil"/>
              <w:bottom w:val="single" w:sz="4" w:space="0" w:color="auto"/>
              <w:right w:val="single" w:sz="8" w:space="0" w:color="auto"/>
            </w:tcBorders>
            <w:shd w:val="clear" w:color="auto" w:fill="auto"/>
            <w:noWrap/>
            <w:hideMark/>
          </w:tcPr>
          <w:p w:rsidR="005D6ACF" w:rsidRPr="002C6906" w:rsidRDefault="005D6ACF" w:rsidP="008A253E">
            <w:pPr>
              <w:jc w:val="right"/>
              <w:rPr>
                <w:sz w:val="20"/>
                <w:szCs w:val="20"/>
              </w:rPr>
            </w:pPr>
            <w:r w:rsidRPr="002C6906">
              <w:rPr>
                <w:sz w:val="20"/>
                <w:szCs w:val="20"/>
              </w:rPr>
              <w:t>24 713,6</w:t>
            </w:r>
          </w:p>
        </w:tc>
      </w:tr>
      <w:tr w:rsidR="005D6ACF" w:rsidRPr="00974FB1" w:rsidTr="008A253E">
        <w:trPr>
          <w:trHeight w:val="255"/>
        </w:trPr>
        <w:tc>
          <w:tcPr>
            <w:tcW w:w="973" w:type="dxa"/>
            <w:tcBorders>
              <w:top w:val="nil"/>
              <w:left w:val="single" w:sz="8" w:space="0" w:color="auto"/>
              <w:bottom w:val="single" w:sz="4" w:space="0" w:color="auto"/>
              <w:right w:val="single" w:sz="4" w:space="0" w:color="auto"/>
            </w:tcBorders>
            <w:shd w:val="clear" w:color="auto" w:fill="auto"/>
            <w:noWrap/>
            <w:vAlign w:val="bottom"/>
            <w:hideMark/>
          </w:tcPr>
          <w:p w:rsidR="005D6ACF" w:rsidRPr="00974FB1" w:rsidRDefault="005D6ACF" w:rsidP="008A253E">
            <w:pPr>
              <w:rPr>
                <w:sz w:val="20"/>
                <w:szCs w:val="20"/>
              </w:rPr>
            </w:pPr>
            <w:r w:rsidRPr="00974FB1">
              <w:rPr>
                <w:sz w:val="20"/>
                <w:szCs w:val="20"/>
              </w:rPr>
              <w:t>февраль</w:t>
            </w:r>
          </w:p>
        </w:tc>
        <w:tc>
          <w:tcPr>
            <w:tcW w:w="897" w:type="dxa"/>
            <w:tcBorders>
              <w:top w:val="nil"/>
              <w:left w:val="nil"/>
              <w:bottom w:val="single" w:sz="4" w:space="0" w:color="auto"/>
              <w:right w:val="single" w:sz="4" w:space="0" w:color="auto"/>
            </w:tcBorders>
            <w:shd w:val="clear" w:color="auto" w:fill="auto"/>
            <w:noWrap/>
            <w:vAlign w:val="bottom"/>
            <w:hideMark/>
          </w:tcPr>
          <w:p w:rsidR="005D6ACF" w:rsidRPr="00974FB1" w:rsidRDefault="005D6ACF" w:rsidP="008A253E">
            <w:pPr>
              <w:jc w:val="right"/>
              <w:rPr>
                <w:sz w:val="20"/>
                <w:szCs w:val="20"/>
              </w:rPr>
            </w:pPr>
            <w:r w:rsidRPr="00974FB1">
              <w:rPr>
                <w:sz w:val="20"/>
                <w:szCs w:val="20"/>
              </w:rPr>
              <w:t>28</w:t>
            </w:r>
          </w:p>
        </w:tc>
        <w:tc>
          <w:tcPr>
            <w:tcW w:w="1660" w:type="dxa"/>
            <w:gridSpan w:val="3"/>
            <w:tcBorders>
              <w:top w:val="nil"/>
              <w:left w:val="nil"/>
              <w:bottom w:val="single" w:sz="4" w:space="0" w:color="auto"/>
              <w:right w:val="single" w:sz="4" w:space="0" w:color="auto"/>
            </w:tcBorders>
            <w:shd w:val="clear" w:color="auto" w:fill="auto"/>
            <w:noWrap/>
            <w:hideMark/>
          </w:tcPr>
          <w:p w:rsidR="005D6ACF" w:rsidRPr="002C6906" w:rsidRDefault="005D6ACF" w:rsidP="008A253E">
            <w:pPr>
              <w:jc w:val="right"/>
              <w:rPr>
                <w:sz w:val="20"/>
                <w:szCs w:val="20"/>
              </w:rPr>
            </w:pPr>
            <w:r w:rsidRPr="002C6906">
              <w:rPr>
                <w:sz w:val="20"/>
                <w:szCs w:val="20"/>
              </w:rPr>
              <w:t>0,0</w:t>
            </w:r>
          </w:p>
        </w:tc>
        <w:tc>
          <w:tcPr>
            <w:tcW w:w="1324" w:type="dxa"/>
            <w:gridSpan w:val="2"/>
            <w:tcBorders>
              <w:top w:val="nil"/>
              <w:left w:val="nil"/>
              <w:bottom w:val="single" w:sz="4" w:space="0" w:color="auto"/>
              <w:right w:val="single" w:sz="4" w:space="0" w:color="auto"/>
            </w:tcBorders>
            <w:shd w:val="clear" w:color="auto" w:fill="auto"/>
            <w:noWrap/>
            <w:hideMark/>
          </w:tcPr>
          <w:p w:rsidR="005D6ACF" w:rsidRPr="002C6906" w:rsidRDefault="005D6ACF" w:rsidP="008A253E">
            <w:pPr>
              <w:jc w:val="right"/>
              <w:rPr>
                <w:sz w:val="20"/>
                <w:szCs w:val="20"/>
              </w:rPr>
            </w:pPr>
            <w:r w:rsidRPr="002C6906">
              <w:rPr>
                <w:sz w:val="20"/>
                <w:szCs w:val="20"/>
              </w:rPr>
              <w:t>0,1%</w:t>
            </w:r>
          </w:p>
        </w:tc>
        <w:tc>
          <w:tcPr>
            <w:tcW w:w="1660" w:type="dxa"/>
            <w:gridSpan w:val="3"/>
            <w:tcBorders>
              <w:top w:val="single" w:sz="4" w:space="0" w:color="auto"/>
              <w:left w:val="nil"/>
              <w:bottom w:val="single" w:sz="4" w:space="0" w:color="auto"/>
              <w:right w:val="single" w:sz="4" w:space="0" w:color="auto"/>
            </w:tcBorders>
            <w:shd w:val="clear" w:color="auto" w:fill="auto"/>
            <w:noWrap/>
            <w:hideMark/>
          </w:tcPr>
          <w:p w:rsidR="005D6ACF" w:rsidRPr="002C6906" w:rsidRDefault="005D6ACF" w:rsidP="008A253E">
            <w:pPr>
              <w:jc w:val="right"/>
              <w:rPr>
                <w:sz w:val="20"/>
                <w:szCs w:val="20"/>
              </w:rPr>
            </w:pPr>
            <w:r w:rsidRPr="002C6906">
              <w:rPr>
                <w:sz w:val="20"/>
                <w:szCs w:val="20"/>
              </w:rPr>
              <w:t>0,0</w:t>
            </w:r>
          </w:p>
        </w:tc>
        <w:tc>
          <w:tcPr>
            <w:tcW w:w="2080" w:type="dxa"/>
            <w:gridSpan w:val="3"/>
            <w:tcBorders>
              <w:top w:val="nil"/>
              <w:left w:val="nil"/>
              <w:bottom w:val="single" w:sz="4" w:space="0" w:color="auto"/>
              <w:right w:val="single" w:sz="4" w:space="0" w:color="auto"/>
            </w:tcBorders>
            <w:shd w:val="clear" w:color="auto" w:fill="auto"/>
            <w:noWrap/>
            <w:hideMark/>
          </w:tcPr>
          <w:p w:rsidR="005D6ACF" w:rsidRPr="002C6906" w:rsidRDefault="005D6ACF" w:rsidP="008A253E">
            <w:pPr>
              <w:jc w:val="right"/>
              <w:rPr>
                <w:sz w:val="20"/>
                <w:szCs w:val="20"/>
              </w:rPr>
            </w:pPr>
            <w:r w:rsidRPr="002C6906">
              <w:rPr>
                <w:sz w:val="20"/>
                <w:szCs w:val="20"/>
              </w:rPr>
              <w:t>90 982 600,0</w:t>
            </w:r>
          </w:p>
        </w:tc>
        <w:tc>
          <w:tcPr>
            <w:tcW w:w="2100" w:type="dxa"/>
            <w:gridSpan w:val="3"/>
            <w:tcBorders>
              <w:top w:val="nil"/>
              <w:left w:val="nil"/>
              <w:bottom w:val="single" w:sz="4" w:space="0" w:color="auto"/>
              <w:right w:val="single" w:sz="4" w:space="0" w:color="auto"/>
            </w:tcBorders>
            <w:shd w:val="clear" w:color="auto" w:fill="auto"/>
            <w:noWrap/>
            <w:hideMark/>
          </w:tcPr>
          <w:p w:rsidR="005D6ACF" w:rsidRPr="002C6906" w:rsidRDefault="005D6ACF" w:rsidP="008A253E">
            <w:pPr>
              <w:jc w:val="right"/>
              <w:rPr>
                <w:sz w:val="20"/>
                <w:szCs w:val="20"/>
              </w:rPr>
            </w:pPr>
            <w:r w:rsidRPr="002C6906">
              <w:rPr>
                <w:sz w:val="20"/>
                <w:szCs w:val="20"/>
              </w:rPr>
              <w:t>200 000 000,0</w:t>
            </w:r>
          </w:p>
        </w:tc>
        <w:tc>
          <w:tcPr>
            <w:tcW w:w="1660" w:type="dxa"/>
            <w:gridSpan w:val="3"/>
            <w:tcBorders>
              <w:top w:val="nil"/>
              <w:left w:val="nil"/>
              <w:bottom w:val="single" w:sz="4" w:space="0" w:color="auto"/>
              <w:right w:val="single" w:sz="4" w:space="0" w:color="auto"/>
            </w:tcBorders>
            <w:shd w:val="clear" w:color="auto" w:fill="auto"/>
            <w:noWrap/>
            <w:hideMark/>
          </w:tcPr>
          <w:p w:rsidR="005D6ACF" w:rsidRPr="002C6906" w:rsidRDefault="005D6ACF" w:rsidP="008A253E">
            <w:pPr>
              <w:jc w:val="right"/>
              <w:rPr>
                <w:sz w:val="20"/>
                <w:szCs w:val="20"/>
              </w:rPr>
            </w:pPr>
            <w:r w:rsidRPr="002C6906">
              <w:rPr>
                <w:sz w:val="20"/>
                <w:szCs w:val="20"/>
              </w:rPr>
              <w:t>6 979</w:t>
            </w:r>
          </w:p>
        </w:tc>
        <w:tc>
          <w:tcPr>
            <w:tcW w:w="1660" w:type="dxa"/>
            <w:gridSpan w:val="3"/>
            <w:tcBorders>
              <w:top w:val="nil"/>
              <w:left w:val="nil"/>
              <w:bottom w:val="single" w:sz="4" w:space="0" w:color="auto"/>
              <w:right w:val="single" w:sz="4" w:space="0" w:color="auto"/>
            </w:tcBorders>
            <w:shd w:val="clear" w:color="auto" w:fill="auto"/>
            <w:noWrap/>
            <w:hideMark/>
          </w:tcPr>
          <w:p w:rsidR="005D6ACF" w:rsidRPr="002C6906" w:rsidRDefault="005D6ACF" w:rsidP="008A253E">
            <w:pPr>
              <w:jc w:val="right"/>
              <w:rPr>
                <w:sz w:val="20"/>
                <w:szCs w:val="20"/>
              </w:rPr>
            </w:pPr>
            <w:r w:rsidRPr="002C6906">
              <w:rPr>
                <w:sz w:val="20"/>
                <w:szCs w:val="20"/>
              </w:rPr>
              <w:t>15 342,5</w:t>
            </w:r>
          </w:p>
        </w:tc>
        <w:tc>
          <w:tcPr>
            <w:tcW w:w="1357" w:type="dxa"/>
            <w:gridSpan w:val="2"/>
            <w:tcBorders>
              <w:top w:val="nil"/>
              <w:left w:val="nil"/>
              <w:bottom w:val="single" w:sz="4" w:space="0" w:color="auto"/>
              <w:right w:val="single" w:sz="8" w:space="0" w:color="auto"/>
            </w:tcBorders>
            <w:shd w:val="clear" w:color="auto" w:fill="auto"/>
            <w:noWrap/>
            <w:hideMark/>
          </w:tcPr>
          <w:p w:rsidR="005D6ACF" w:rsidRPr="002C6906" w:rsidRDefault="005D6ACF" w:rsidP="008A253E">
            <w:pPr>
              <w:jc w:val="right"/>
              <w:rPr>
                <w:sz w:val="20"/>
                <w:szCs w:val="20"/>
              </w:rPr>
            </w:pPr>
            <w:r w:rsidRPr="002C6906">
              <w:rPr>
                <w:sz w:val="20"/>
                <w:szCs w:val="20"/>
              </w:rPr>
              <w:t>22 322,0</w:t>
            </w:r>
          </w:p>
        </w:tc>
      </w:tr>
      <w:tr w:rsidR="005D6ACF" w:rsidRPr="00974FB1" w:rsidTr="008A253E">
        <w:trPr>
          <w:trHeight w:val="255"/>
        </w:trPr>
        <w:tc>
          <w:tcPr>
            <w:tcW w:w="973" w:type="dxa"/>
            <w:tcBorders>
              <w:top w:val="nil"/>
              <w:left w:val="single" w:sz="8" w:space="0" w:color="auto"/>
              <w:bottom w:val="single" w:sz="4" w:space="0" w:color="auto"/>
              <w:right w:val="single" w:sz="4" w:space="0" w:color="auto"/>
            </w:tcBorders>
            <w:shd w:val="clear" w:color="auto" w:fill="auto"/>
            <w:noWrap/>
            <w:vAlign w:val="bottom"/>
            <w:hideMark/>
          </w:tcPr>
          <w:p w:rsidR="005D6ACF" w:rsidRPr="00974FB1" w:rsidRDefault="005D6ACF" w:rsidP="008A253E">
            <w:pPr>
              <w:rPr>
                <w:sz w:val="20"/>
                <w:szCs w:val="20"/>
              </w:rPr>
            </w:pPr>
            <w:r w:rsidRPr="00974FB1">
              <w:rPr>
                <w:sz w:val="20"/>
                <w:szCs w:val="20"/>
              </w:rPr>
              <w:t>март</w:t>
            </w:r>
          </w:p>
        </w:tc>
        <w:tc>
          <w:tcPr>
            <w:tcW w:w="897" w:type="dxa"/>
            <w:tcBorders>
              <w:top w:val="nil"/>
              <w:left w:val="nil"/>
              <w:bottom w:val="single" w:sz="4" w:space="0" w:color="auto"/>
              <w:right w:val="single" w:sz="4" w:space="0" w:color="auto"/>
            </w:tcBorders>
            <w:shd w:val="clear" w:color="auto" w:fill="auto"/>
            <w:noWrap/>
            <w:vAlign w:val="bottom"/>
            <w:hideMark/>
          </w:tcPr>
          <w:p w:rsidR="005D6ACF" w:rsidRPr="00974FB1" w:rsidRDefault="005D6ACF" w:rsidP="008A253E">
            <w:pPr>
              <w:jc w:val="right"/>
              <w:rPr>
                <w:sz w:val="20"/>
                <w:szCs w:val="20"/>
              </w:rPr>
            </w:pPr>
            <w:r w:rsidRPr="00974FB1">
              <w:rPr>
                <w:sz w:val="20"/>
                <w:szCs w:val="20"/>
              </w:rPr>
              <w:t>31</w:t>
            </w:r>
          </w:p>
        </w:tc>
        <w:tc>
          <w:tcPr>
            <w:tcW w:w="1660" w:type="dxa"/>
            <w:gridSpan w:val="3"/>
            <w:tcBorders>
              <w:top w:val="nil"/>
              <w:left w:val="nil"/>
              <w:bottom w:val="single" w:sz="4" w:space="0" w:color="auto"/>
              <w:right w:val="single" w:sz="4" w:space="0" w:color="auto"/>
            </w:tcBorders>
            <w:shd w:val="clear" w:color="auto" w:fill="auto"/>
            <w:noWrap/>
            <w:hideMark/>
          </w:tcPr>
          <w:p w:rsidR="005D6ACF" w:rsidRPr="002C6906" w:rsidRDefault="005D6ACF" w:rsidP="008A253E">
            <w:pPr>
              <w:jc w:val="right"/>
              <w:rPr>
                <w:sz w:val="20"/>
                <w:szCs w:val="20"/>
              </w:rPr>
            </w:pPr>
            <w:r w:rsidRPr="002C6906">
              <w:rPr>
                <w:sz w:val="20"/>
                <w:szCs w:val="20"/>
              </w:rPr>
              <w:t>6 000 000,0</w:t>
            </w:r>
          </w:p>
        </w:tc>
        <w:tc>
          <w:tcPr>
            <w:tcW w:w="1324" w:type="dxa"/>
            <w:gridSpan w:val="2"/>
            <w:tcBorders>
              <w:top w:val="nil"/>
              <w:left w:val="nil"/>
              <w:bottom w:val="single" w:sz="4" w:space="0" w:color="auto"/>
              <w:right w:val="single" w:sz="4" w:space="0" w:color="auto"/>
            </w:tcBorders>
            <w:shd w:val="clear" w:color="auto" w:fill="auto"/>
            <w:noWrap/>
            <w:hideMark/>
          </w:tcPr>
          <w:p w:rsidR="005D6ACF" w:rsidRPr="002C6906" w:rsidRDefault="005D6ACF" w:rsidP="008A253E">
            <w:pPr>
              <w:jc w:val="right"/>
              <w:rPr>
                <w:sz w:val="20"/>
                <w:szCs w:val="20"/>
              </w:rPr>
            </w:pPr>
            <w:r w:rsidRPr="002C6906">
              <w:rPr>
                <w:sz w:val="20"/>
                <w:szCs w:val="20"/>
              </w:rPr>
              <w:t>0,1%</w:t>
            </w:r>
          </w:p>
        </w:tc>
        <w:tc>
          <w:tcPr>
            <w:tcW w:w="1660" w:type="dxa"/>
            <w:gridSpan w:val="3"/>
            <w:tcBorders>
              <w:top w:val="nil"/>
              <w:left w:val="nil"/>
              <w:bottom w:val="single" w:sz="4" w:space="0" w:color="auto"/>
              <w:right w:val="single" w:sz="4" w:space="0" w:color="auto"/>
            </w:tcBorders>
            <w:shd w:val="clear" w:color="auto" w:fill="auto"/>
            <w:noWrap/>
            <w:hideMark/>
          </w:tcPr>
          <w:p w:rsidR="005D6ACF" w:rsidRPr="002C6906" w:rsidRDefault="005D6ACF" w:rsidP="008A253E">
            <w:pPr>
              <w:jc w:val="right"/>
              <w:rPr>
                <w:sz w:val="20"/>
                <w:szCs w:val="20"/>
              </w:rPr>
            </w:pPr>
            <w:r w:rsidRPr="002C6906">
              <w:rPr>
                <w:sz w:val="20"/>
                <w:szCs w:val="20"/>
              </w:rPr>
              <w:t>509,6</w:t>
            </w:r>
          </w:p>
        </w:tc>
        <w:tc>
          <w:tcPr>
            <w:tcW w:w="2080" w:type="dxa"/>
            <w:gridSpan w:val="3"/>
            <w:tcBorders>
              <w:top w:val="nil"/>
              <w:left w:val="nil"/>
              <w:bottom w:val="single" w:sz="4" w:space="0" w:color="auto"/>
              <w:right w:val="single" w:sz="4" w:space="0" w:color="auto"/>
            </w:tcBorders>
            <w:shd w:val="clear" w:color="auto" w:fill="auto"/>
            <w:noWrap/>
            <w:hideMark/>
          </w:tcPr>
          <w:p w:rsidR="005D6ACF" w:rsidRPr="002C6906" w:rsidRDefault="005D6ACF" w:rsidP="008A253E">
            <w:pPr>
              <w:jc w:val="right"/>
              <w:rPr>
                <w:sz w:val="20"/>
                <w:szCs w:val="20"/>
              </w:rPr>
            </w:pPr>
            <w:r w:rsidRPr="002C6906">
              <w:rPr>
                <w:sz w:val="20"/>
                <w:szCs w:val="20"/>
              </w:rPr>
              <w:t>90 982 600,0</w:t>
            </w:r>
          </w:p>
        </w:tc>
        <w:tc>
          <w:tcPr>
            <w:tcW w:w="2100" w:type="dxa"/>
            <w:gridSpan w:val="3"/>
            <w:tcBorders>
              <w:top w:val="nil"/>
              <w:left w:val="nil"/>
              <w:bottom w:val="single" w:sz="4" w:space="0" w:color="auto"/>
              <w:right w:val="single" w:sz="4" w:space="0" w:color="auto"/>
            </w:tcBorders>
            <w:shd w:val="clear" w:color="auto" w:fill="auto"/>
            <w:noWrap/>
            <w:hideMark/>
          </w:tcPr>
          <w:p w:rsidR="005D6ACF" w:rsidRPr="002C6906" w:rsidRDefault="005D6ACF" w:rsidP="008A253E">
            <w:pPr>
              <w:jc w:val="right"/>
              <w:rPr>
                <w:sz w:val="20"/>
                <w:szCs w:val="20"/>
              </w:rPr>
            </w:pPr>
            <w:r w:rsidRPr="002C6906">
              <w:rPr>
                <w:sz w:val="20"/>
                <w:szCs w:val="20"/>
              </w:rPr>
              <w:t>200 000 000,0</w:t>
            </w:r>
          </w:p>
        </w:tc>
        <w:tc>
          <w:tcPr>
            <w:tcW w:w="1660" w:type="dxa"/>
            <w:gridSpan w:val="3"/>
            <w:tcBorders>
              <w:top w:val="nil"/>
              <w:left w:val="nil"/>
              <w:bottom w:val="single" w:sz="4" w:space="0" w:color="auto"/>
              <w:right w:val="single" w:sz="4" w:space="0" w:color="auto"/>
            </w:tcBorders>
            <w:shd w:val="clear" w:color="auto" w:fill="auto"/>
            <w:noWrap/>
            <w:hideMark/>
          </w:tcPr>
          <w:p w:rsidR="005D6ACF" w:rsidRPr="002C6906" w:rsidRDefault="005D6ACF" w:rsidP="008A253E">
            <w:pPr>
              <w:jc w:val="right"/>
              <w:rPr>
                <w:sz w:val="20"/>
                <w:szCs w:val="20"/>
              </w:rPr>
            </w:pPr>
            <w:r w:rsidRPr="002C6906">
              <w:rPr>
                <w:sz w:val="20"/>
                <w:szCs w:val="20"/>
              </w:rPr>
              <w:t>7 727</w:t>
            </w:r>
          </w:p>
        </w:tc>
        <w:tc>
          <w:tcPr>
            <w:tcW w:w="1660" w:type="dxa"/>
            <w:gridSpan w:val="3"/>
            <w:tcBorders>
              <w:top w:val="nil"/>
              <w:left w:val="nil"/>
              <w:bottom w:val="single" w:sz="4" w:space="0" w:color="auto"/>
              <w:right w:val="single" w:sz="4" w:space="0" w:color="auto"/>
            </w:tcBorders>
            <w:shd w:val="clear" w:color="auto" w:fill="auto"/>
            <w:noWrap/>
            <w:hideMark/>
          </w:tcPr>
          <w:p w:rsidR="005D6ACF" w:rsidRPr="002C6906" w:rsidRDefault="005D6ACF" w:rsidP="008A253E">
            <w:pPr>
              <w:jc w:val="right"/>
              <w:rPr>
                <w:sz w:val="20"/>
                <w:szCs w:val="20"/>
              </w:rPr>
            </w:pPr>
            <w:r w:rsidRPr="002C6906">
              <w:rPr>
                <w:sz w:val="20"/>
                <w:szCs w:val="20"/>
              </w:rPr>
              <w:t>16 986,3</w:t>
            </w:r>
          </w:p>
        </w:tc>
        <w:tc>
          <w:tcPr>
            <w:tcW w:w="1357" w:type="dxa"/>
            <w:gridSpan w:val="2"/>
            <w:tcBorders>
              <w:top w:val="nil"/>
              <w:left w:val="nil"/>
              <w:bottom w:val="single" w:sz="4" w:space="0" w:color="auto"/>
              <w:right w:val="single" w:sz="8" w:space="0" w:color="auto"/>
            </w:tcBorders>
            <w:shd w:val="clear" w:color="auto" w:fill="auto"/>
            <w:noWrap/>
            <w:hideMark/>
          </w:tcPr>
          <w:p w:rsidR="005D6ACF" w:rsidRPr="002C6906" w:rsidRDefault="005D6ACF" w:rsidP="008A253E">
            <w:pPr>
              <w:jc w:val="right"/>
              <w:rPr>
                <w:sz w:val="20"/>
                <w:szCs w:val="20"/>
              </w:rPr>
            </w:pPr>
            <w:r w:rsidRPr="002C6906">
              <w:rPr>
                <w:sz w:val="20"/>
                <w:szCs w:val="20"/>
              </w:rPr>
              <w:t>25 223,2</w:t>
            </w:r>
          </w:p>
        </w:tc>
      </w:tr>
      <w:tr w:rsidR="005D6ACF" w:rsidRPr="00974FB1" w:rsidTr="008A253E">
        <w:trPr>
          <w:trHeight w:val="255"/>
        </w:trPr>
        <w:tc>
          <w:tcPr>
            <w:tcW w:w="973" w:type="dxa"/>
            <w:tcBorders>
              <w:top w:val="nil"/>
              <w:left w:val="single" w:sz="8" w:space="0" w:color="auto"/>
              <w:bottom w:val="single" w:sz="4" w:space="0" w:color="auto"/>
              <w:right w:val="single" w:sz="4" w:space="0" w:color="auto"/>
            </w:tcBorders>
            <w:shd w:val="clear" w:color="auto" w:fill="auto"/>
            <w:noWrap/>
            <w:vAlign w:val="bottom"/>
            <w:hideMark/>
          </w:tcPr>
          <w:p w:rsidR="005D6ACF" w:rsidRPr="00974FB1" w:rsidRDefault="005D6ACF" w:rsidP="008A253E">
            <w:pPr>
              <w:rPr>
                <w:sz w:val="20"/>
                <w:szCs w:val="20"/>
              </w:rPr>
            </w:pPr>
            <w:r w:rsidRPr="00974FB1">
              <w:rPr>
                <w:sz w:val="20"/>
                <w:szCs w:val="20"/>
              </w:rPr>
              <w:t>апрель</w:t>
            </w:r>
          </w:p>
        </w:tc>
        <w:tc>
          <w:tcPr>
            <w:tcW w:w="897" w:type="dxa"/>
            <w:tcBorders>
              <w:top w:val="nil"/>
              <w:left w:val="nil"/>
              <w:bottom w:val="single" w:sz="4" w:space="0" w:color="auto"/>
              <w:right w:val="single" w:sz="4" w:space="0" w:color="auto"/>
            </w:tcBorders>
            <w:shd w:val="clear" w:color="auto" w:fill="auto"/>
            <w:noWrap/>
            <w:vAlign w:val="bottom"/>
            <w:hideMark/>
          </w:tcPr>
          <w:p w:rsidR="005D6ACF" w:rsidRPr="00974FB1" w:rsidRDefault="005D6ACF" w:rsidP="008A253E">
            <w:pPr>
              <w:jc w:val="right"/>
              <w:rPr>
                <w:sz w:val="20"/>
                <w:szCs w:val="20"/>
              </w:rPr>
            </w:pPr>
            <w:r w:rsidRPr="00974FB1">
              <w:rPr>
                <w:sz w:val="20"/>
                <w:szCs w:val="20"/>
              </w:rPr>
              <w:t>30</w:t>
            </w:r>
          </w:p>
        </w:tc>
        <w:tc>
          <w:tcPr>
            <w:tcW w:w="1660" w:type="dxa"/>
            <w:gridSpan w:val="3"/>
            <w:tcBorders>
              <w:top w:val="nil"/>
              <w:left w:val="nil"/>
              <w:bottom w:val="single" w:sz="4" w:space="0" w:color="auto"/>
              <w:right w:val="single" w:sz="4" w:space="0" w:color="auto"/>
            </w:tcBorders>
            <w:shd w:val="clear" w:color="auto" w:fill="auto"/>
            <w:noWrap/>
            <w:hideMark/>
          </w:tcPr>
          <w:p w:rsidR="005D6ACF" w:rsidRPr="002C6906" w:rsidRDefault="005D6ACF" w:rsidP="008A253E">
            <w:pPr>
              <w:jc w:val="right"/>
              <w:rPr>
                <w:sz w:val="20"/>
                <w:szCs w:val="20"/>
              </w:rPr>
            </w:pPr>
            <w:r w:rsidRPr="002C6906">
              <w:rPr>
                <w:sz w:val="20"/>
                <w:szCs w:val="20"/>
              </w:rPr>
              <w:t>6 000 000,0</w:t>
            </w:r>
          </w:p>
        </w:tc>
        <w:tc>
          <w:tcPr>
            <w:tcW w:w="1324" w:type="dxa"/>
            <w:gridSpan w:val="2"/>
            <w:tcBorders>
              <w:top w:val="nil"/>
              <w:left w:val="nil"/>
              <w:bottom w:val="single" w:sz="4" w:space="0" w:color="auto"/>
              <w:right w:val="single" w:sz="4" w:space="0" w:color="auto"/>
            </w:tcBorders>
            <w:shd w:val="clear" w:color="auto" w:fill="auto"/>
            <w:noWrap/>
            <w:hideMark/>
          </w:tcPr>
          <w:p w:rsidR="005D6ACF" w:rsidRPr="002C6906" w:rsidRDefault="005D6ACF" w:rsidP="008A253E">
            <w:pPr>
              <w:jc w:val="right"/>
              <w:rPr>
                <w:sz w:val="20"/>
                <w:szCs w:val="20"/>
              </w:rPr>
            </w:pPr>
            <w:r w:rsidRPr="002C6906">
              <w:rPr>
                <w:sz w:val="20"/>
                <w:szCs w:val="20"/>
              </w:rPr>
              <w:t>0,1%</w:t>
            </w:r>
          </w:p>
        </w:tc>
        <w:tc>
          <w:tcPr>
            <w:tcW w:w="1660" w:type="dxa"/>
            <w:gridSpan w:val="3"/>
            <w:tcBorders>
              <w:top w:val="nil"/>
              <w:left w:val="nil"/>
              <w:bottom w:val="single" w:sz="4" w:space="0" w:color="auto"/>
              <w:right w:val="single" w:sz="4" w:space="0" w:color="auto"/>
            </w:tcBorders>
            <w:shd w:val="clear" w:color="auto" w:fill="auto"/>
            <w:noWrap/>
            <w:hideMark/>
          </w:tcPr>
          <w:p w:rsidR="005D6ACF" w:rsidRPr="002C6906" w:rsidRDefault="005D6ACF" w:rsidP="008A253E">
            <w:pPr>
              <w:jc w:val="right"/>
              <w:rPr>
                <w:sz w:val="20"/>
                <w:szCs w:val="20"/>
              </w:rPr>
            </w:pPr>
            <w:r w:rsidRPr="002C6906">
              <w:rPr>
                <w:sz w:val="20"/>
                <w:szCs w:val="20"/>
              </w:rPr>
              <w:t>493,2</w:t>
            </w:r>
          </w:p>
        </w:tc>
        <w:tc>
          <w:tcPr>
            <w:tcW w:w="2080" w:type="dxa"/>
            <w:gridSpan w:val="3"/>
            <w:tcBorders>
              <w:top w:val="nil"/>
              <w:left w:val="nil"/>
              <w:bottom w:val="single" w:sz="4" w:space="0" w:color="auto"/>
              <w:right w:val="single" w:sz="4" w:space="0" w:color="auto"/>
            </w:tcBorders>
            <w:shd w:val="clear" w:color="auto" w:fill="auto"/>
            <w:noWrap/>
            <w:hideMark/>
          </w:tcPr>
          <w:p w:rsidR="005D6ACF" w:rsidRPr="002C6906" w:rsidRDefault="005D6ACF" w:rsidP="008A253E">
            <w:pPr>
              <w:jc w:val="right"/>
              <w:rPr>
                <w:sz w:val="20"/>
                <w:szCs w:val="20"/>
              </w:rPr>
            </w:pPr>
            <w:r w:rsidRPr="002C6906">
              <w:rPr>
                <w:sz w:val="20"/>
                <w:szCs w:val="20"/>
              </w:rPr>
              <w:t>90 982 600,0</w:t>
            </w:r>
          </w:p>
        </w:tc>
        <w:tc>
          <w:tcPr>
            <w:tcW w:w="2100" w:type="dxa"/>
            <w:gridSpan w:val="3"/>
            <w:tcBorders>
              <w:top w:val="nil"/>
              <w:left w:val="nil"/>
              <w:bottom w:val="single" w:sz="4" w:space="0" w:color="auto"/>
              <w:right w:val="single" w:sz="4" w:space="0" w:color="auto"/>
            </w:tcBorders>
            <w:shd w:val="clear" w:color="auto" w:fill="auto"/>
            <w:noWrap/>
            <w:hideMark/>
          </w:tcPr>
          <w:p w:rsidR="005D6ACF" w:rsidRPr="002C6906" w:rsidRDefault="005D6ACF" w:rsidP="008A253E">
            <w:pPr>
              <w:jc w:val="right"/>
              <w:rPr>
                <w:sz w:val="20"/>
                <w:szCs w:val="20"/>
              </w:rPr>
            </w:pPr>
            <w:r w:rsidRPr="002C6906">
              <w:rPr>
                <w:sz w:val="20"/>
                <w:szCs w:val="20"/>
              </w:rPr>
              <w:t>200 000 000,0</w:t>
            </w:r>
          </w:p>
        </w:tc>
        <w:tc>
          <w:tcPr>
            <w:tcW w:w="1660" w:type="dxa"/>
            <w:gridSpan w:val="3"/>
            <w:tcBorders>
              <w:top w:val="nil"/>
              <w:left w:val="nil"/>
              <w:bottom w:val="single" w:sz="4" w:space="0" w:color="auto"/>
              <w:right w:val="single" w:sz="4" w:space="0" w:color="auto"/>
            </w:tcBorders>
            <w:shd w:val="clear" w:color="auto" w:fill="auto"/>
            <w:noWrap/>
            <w:hideMark/>
          </w:tcPr>
          <w:p w:rsidR="005D6ACF" w:rsidRPr="002C6906" w:rsidRDefault="005D6ACF" w:rsidP="008A253E">
            <w:pPr>
              <w:jc w:val="right"/>
              <w:rPr>
                <w:sz w:val="20"/>
                <w:szCs w:val="20"/>
              </w:rPr>
            </w:pPr>
            <w:r w:rsidRPr="002C6906">
              <w:rPr>
                <w:sz w:val="20"/>
                <w:szCs w:val="20"/>
              </w:rPr>
              <w:t>7 478</w:t>
            </w:r>
          </w:p>
        </w:tc>
        <w:tc>
          <w:tcPr>
            <w:tcW w:w="1660" w:type="dxa"/>
            <w:gridSpan w:val="3"/>
            <w:tcBorders>
              <w:top w:val="nil"/>
              <w:left w:val="nil"/>
              <w:bottom w:val="single" w:sz="4" w:space="0" w:color="auto"/>
              <w:right w:val="single" w:sz="4" w:space="0" w:color="auto"/>
            </w:tcBorders>
            <w:shd w:val="clear" w:color="auto" w:fill="auto"/>
            <w:noWrap/>
            <w:hideMark/>
          </w:tcPr>
          <w:p w:rsidR="005D6ACF" w:rsidRPr="002C6906" w:rsidRDefault="005D6ACF" w:rsidP="008A253E">
            <w:pPr>
              <w:jc w:val="right"/>
              <w:rPr>
                <w:sz w:val="20"/>
                <w:szCs w:val="20"/>
              </w:rPr>
            </w:pPr>
            <w:r w:rsidRPr="002C6906">
              <w:rPr>
                <w:sz w:val="20"/>
                <w:szCs w:val="20"/>
              </w:rPr>
              <w:t>16 438,4</w:t>
            </w:r>
          </w:p>
        </w:tc>
        <w:tc>
          <w:tcPr>
            <w:tcW w:w="1357" w:type="dxa"/>
            <w:gridSpan w:val="2"/>
            <w:tcBorders>
              <w:top w:val="nil"/>
              <w:left w:val="nil"/>
              <w:bottom w:val="single" w:sz="4" w:space="0" w:color="auto"/>
              <w:right w:val="single" w:sz="8" w:space="0" w:color="auto"/>
            </w:tcBorders>
            <w:shd w:val="clear" w:color="auto" w:fill="auto"/>
            <w:noWrap/>
            <w:hideMark/>
          </w:tcPr>
          <w:p w:rsidR="005D6ACF" w:rsidRPr="002C6906" w:rsidRDefault="005D6ACF" w:rsidP="008A253E">
            <w:pPr>
              <w:jc w:val="right"/>
              <w:rPr>
                <w:sz w:val="20"/>
                <w:szCs w:val="20"/>
              </w:rPr>
            </w:pPr>
            <w:r w:rsidRPr="002C6906">
              <w:rPr>
                <w:sz w:val="20"/>
                <w:szCs w:val="20"/>
              </w:rPr>
              <w:t>24 409,5</w:t>
            </w:r>
          </w:p>
        </w:tc>
      </w:tr>
      <w:tr w:rsidR="005D6ACF" w:rsidRPr="00974FB1" w:rsidTr="008A253E">
        <w:trPr>
          <w:trHeight w:val="255"/>
        </w:trPr>
        <w:tc>
          <w:tcPr>
            <w:tcW w:w="973" w:type="dxa"/>
            <w:tcBorders>
              <w:top w:val="nil"/>
              <w:left w:val="single" w:sz="8" w:space="0" w:color="auto"/>
              <w:bottom w:val="single" w:sz="4" w:space="0" w:color="auto"/>
              <w:right w:val="single" w:sz="4" w:space="0" w:color="auto"/>
            </w:tcBorders>
            <w:shd w:val="clear" w:color="auto" w:fill="auto"/>
            <w:noWrap/>
            <w:vAlign w:val="bottom"/>
            <w:hideMark/>
          </w:tcPr>
          <w:p w:rsidR="005D6ACF" w:rsidRPr="00974FB1" w:rsidRDefault="005D6ACF" w:rsidP="008A253E">
            <w:pPr>
              <w:rPr>
                <w:sz w:val="20"/>
                <w:szCs w:val="20"/>
              </w:rPr>
            </w:pPr>
            <w:r w:rsidRPr="00974FB1">
              <w:rPr>
                <w:sz w:val="20"/>
                <w:szCs w:val="20"/>
              </w:rPr>
              <w:t>май</w:t>
            </w:r>
          </w:p>
        </w:tc>
        <w:tc>
          <w:tcPr>
            <w:tcW w:w="897" w:type="dxa"/>
            <w:tcBorders>
              <w:top w:val="nil"/>
              <w:left w:val="nil"/>
              <w:bottom w:val="single" w:sz="4" w:space="0" w:color="auto"/>
              <w:right w:val="single" w:sz="4" w:space="0" w:color="auto"/>
            </w:tcBorders>
            <w:shd w:val="clear" w:color="auto" w:fill="auto"/>
            <w:noWrap/>
            <w:vAlign w:val="bottom"/>
            <w:hideMark/>
          </w:tcPr>
          <w:p w:rsidR="005D6ACF" w:rsidRPr="00974FB1" w:rsidRDefault="005D6ACF" w:rsidP="008A253E">
            <w:pPr>
              <w:jc w:val="right"/>
              <w:rPr>
                <w:sz w:val="20"/>
                <w:szCs w:val="20"/>
              </w:rPr>
            </w:pPr>
            <w:r w:rsidRPr="00974FB1">
              <w:rPr>
                <w:sz w:val="20"/>
                <w:szCs w:val="20"/>
              </w:rPr>
              <w:t>31</w:t>
            </w:r>
          </w:p>
        </w:tc>
        <w:tc>
          <w:tcPr>
            <w:tcW w:w="1660" w:type="dxa"/>
            <w:gridSpan w:val="3"/>
            <w:tcBorders>
              <w:top w:val="nil"/>
              <w:left w:val="nil"/>
              <w:bottom w:val="single" w:sz="4" w:space="0" w:color="auto"/>
              <w:right w:val="single" w:sz="4" w:space="0" w:color="auto"/>
            </w:tcBorders>
            <w:shd w:val="clear" w:color="auto" w:fill="auto"/>
            <w:noWrap/>
            <w:hideMark/>
          </w:tcPr>
          <w:p w:rsidR="005D6ACF" w:rsidRPr="002C6906" w:rsidRDefault="005D6ACF" w:rsidP="008A253E">
            <w:pPr>
              <w:jc w:val="right"/>
              <w:rPr>
                <w:sz w:val="20"/>
                <w:szCs w:val="20"/>
              </w:rPr>
            </w:pPr>
            <w:r w:rsidRPr="002C6906">
              <w:rPr>
                <w:sz w:val="20"/>
                <w:szCs w:val="20"/>
              </w:rPr>
              <w:t>30 000 000,0</w:t>
            </w:r>
          </w:p>
        </w:tc>
        <w:tc>
          <w:tcPr>
            <w:tcW w:w="1324" w:type="dxa"/>
            <w:gridSpan w:val="2"/>
            <w:tcBorders>
              <w:top w:val="nil"/>
              <w:left w:val="nil"/>
              <w:bottom w:val="single" w:sz="4" w:space="0" w:color="auto"/>
              <w:right w:val="single" w:sz="4" w:space="0" w:color="auto"/>
            </w:tcBorders>
            <w:shd w:val="clear" w:color="auto" w:fill="auto"/>
            <w:noWrap/>
            <w:hideMark/>
          </w:tcPr>
          <w:p w:rsidR="005D6ACF" w:rsidRPr="002C6906" w:rsidRDefault="005D6ACF" w:rsidP="008A253E">
            <w:pPr>
              <w:jc w:val="right"/>
              <w:rPr>
                <w:sz w:val="20"/>
                <w:szCs w:val="20"/>
              </w:rPr>
            </w:pPr>
            <w:r w:rsidRPr="002C6906">
              <w:rPr>
                <w:sz w:val="20"/>
                <w:szCs w:val="20"/>
              </w:rPr>
              <w:t>0,1%</w:t>
            </w:r>
          </w:p>
        </w:tc>
        <w:tc>
          <w:tcPr>
            <w:tcW w:w="1660" w:type="dxa"/>
            <w:gridSpan w:val="3"/>
            <w:tcBorders>
              <w:top w:val="nil"/>
              <w:left w:val="nil"/>
              <w:bottom w:val="single" w:sz="4" w:space="0" w:color="auto"/>
              <w:right w:val="single" w:sz="4" w:space="0" w:color="auto"/>
            </w:tcBorders>
            <w:shd w:val="clear" w:color="auto" w:fill="auto"/>
            <w:noWrap/>
            <w:hideMark/>
          </w:tcPr>
          <w:p w:rsidR="005D6ACF" w:rsidRPr="002C6906" w:rsidRDefault="005D6ACF" w:rsidP="008A253E">
            <w:pPr>
              <w:jc w:val="right"/>
              <w:rPr>
                <w:sz w:val="20"/>
                <w:szCs w:val="20"/>
              </w:rPr>
            </w:pPr>
            <w:r w:rsidRPr="002C6906">
              <w:rPr>
                <w:sz w:val="20"/>
                <w:szCs w:val="20"/>
              </w:rPr>
              <w:t>2 547,9</w:t>
            </w:r>
          </w:p>
        </w:tc>
        <w:tc>
          <w:tcPr>
            <w:tcW w:w="2080" w:type="dxa"/>
            <w:gridSpan w:val="3"/>
            <w:tcBorders>
              <w:top w:val="nil"/>
              <w:left w:val="nil"/>
              <w:bottom w:val="single" w:sz="4" w:space="0" w:color="auto"/>
              <w:right w:val="single" w:sz="4" w:space="0" w:color="auto"/>
            </w:tcBorders>
            <w:shd w:val="clear" w:color="auto" w:fill="auto"/>
            <w:noWrap/>
            <w:hideMark/>
          </w:tcPr>
          <w:p w:rsidR="005D6ACF" w:rsidRPr="002C6906" w:rsidRDefault="005D6ACF" w:rsidP="008A253E">
            <w:pPr>
              <w:jc w:val="right"/>
              <w:rPr>
                <w:sz w:val="20"/>
                <w:szCs w:val="20"/>
              </w:rPr>
            </w:pPr>
            <w:r w:rsidRPr="002C6906">
              <w:rPr>
                <w:sz w:val="20"/>
                <w:szCs w:val="20"/>
              </w:rPr>
              <w:t>90 982 600,0</w:t>
            </w:r>
          </w:p>
        </w:tc>
        <w:tc>
          <w:tcPr>
            <w:tcW w:w="2100" w:type="dxa"/>
            <w:gridSpan w:val="3"/>
            <w:tcBorders>
              <w:top w:val="nil"/>
              <w:left w:val="nil"/>
              <w:bottom w:val="single" w:sz="4" w:space="0" w:color="auto"/>
              <w:right w:val="single" w:sz="4" w:space="0" w:color="auto"/>
            </w:tcBorders>
            <w:shd w:val="clear" w:color="auto" w:fill="auto"/>
            <w:noWrap/>
            <w:hideMark/>
          </w:tcPr>
          <w:p w:rsidR="005D6ACF" w:rsidRPr="002C6906" w:rsidRDefault="005D6ACF" w:rsidP="008A253E">
            <w:pPr>
              <w:jc w:val="right"/>
              <w:rPr>
                <w:sz w:val="20"/>
                <w:szCs w:val="20"/>
              </w:rPr>
            </w:pPr>
            <w:r w:rsidRPr="002C6906">
              <w:rPr>
                <w:sz w:val="20"/>
                <w:szCs w:val="20"/>
              </w:rPr>
              <w:t>200 000 000,0</w:t>
            </w:r>
          </w:p>
        </w:tc>
        <w:tc>
          <w:tcPr>
            <w:tcW w:w="1660" w:type="dxa"/>
            <w:gridSpan w:val="3"/>
            <w:tcBorders>
              <w:top w:val="nil"/>
              <w:left w:val="nil"/>
              <w:bottom w:val="single" w:sz="4" w:space="0" w:color="auto"/>
              <w:right w:val="single" w:sz="4" w:space="0" w:color="auto"/>
            </w:tcBorders>
            <w:shd w:val="clear" w:color="auto" w:fill="auto"/>
            <w:noWrap/>
            <w:hideMark/>
          </w:tcPr>
          <w:p w:rsidR="005D6ACF" w:rsidRPr="002C6906" w:rsidRDefault="005D6ACF" w:rsidP="008A253E">
            <w:pPr>
              <w:jc w:val="right"/>
              <w:rPr>
                <w:sz w:val="20"/>
                <w:szCs w:val="20"/>
              </w:rPr>
            </w:pPr>
            <w:r w:rsidRPr="002C6906">
              <w:rPr>
                <w:sz w:val="20"/>
                <w:szCs w:val="20"/>
              </w:rPr>
              <w:t>7 727</w:t>
            </w:r>
          </w:p>
        </w:tc>
        <w:tc>
          <w:tcPr>
            <w:tcW w:w="1660" w:type="dxa"/>
            <w:gridSpan w:val="3"/>
            <w:tcBorders>
              <w:top w:val="nil"/>
              <w:left w:val="nil"/>
              <w:bottom w:val="single" w:sz="4" w:space="0" w:color="auto"/>
              <w:right w:val="single" w:sz="4" w:space="0" w:color="auto"/>
            </w:tcBorders>
            <w:shd w:val="clear" w:color="auto" w:fill="auto"/>
            <w:noWrap/>
            <w:hideMark/>
          </w:tcPr>
          <w:p w:rsidR="005D6ACF" w:rsidRPr="002C6906" w:rsidRDefault="005D6ACF" w:rsidP="008A253E">
            <w:pPr>
              <w:jc w:val="right"/>
              <w:rPr>
                <w:sz w:val="20"/>
                <w:szCs w:val="20"/>
              </w:rPr>
            </w:pPr>
            <w:r w:rsidRPr="002C6906">
              <w:rPr>
                <w:sz w:val="20"/>
                <w:szCs w:val="20"/>
              </w:rPr>
              <w:t>16 986,3</w:t>
            </w:r>
          </w:p>
        </w:tc>
        <w:tc>
          <w:tcPr>
            <w:tcW w:w="1357" w:type="dxa"/>
            <w:gridSpan w:val="2"/>
            <w:tcBorders>
              <w:top w:val="nil"/>
              <w:left w:val="nil"/>
              <w:bottom w:val="single" w:sz="4" w:space="0" w:color="auto"/>
              <w:right w:val="single" w:sz="8" w:space="0" w:color="auto"/>
            </w:tcBorders>
            <w:shd w:val="clear" w:color="auto" w:fill="auto"/>
            <w:noWrap/>
            <w:hideMark/>
          </w:tcPr>
          <w:p w:rsidR="005D6ACF" w:rsidRPr="002C6906" w:rsidRDefault="005D6ACF" w:rsidP="008A253E">
            <w:pPr>
              <w:jc w:val="right"/>
              <w:rPr>
                <w:sz w:val="20"/>
                <w:szCs w:val="20"/>
              </w:rPr>
            </w:pPr>
            <w:r w:rsidRPr="002C6906">
              <w:rPr>
                <w:sz w:val="20"/>
                <w:szCs w:val="20"/>
              </w:rPr>
              <w:t>27 261,5</w:t>
            </w:r>
          </w:p>
        </w:tc>
      </w:tr>
      <w:tr w:rsidR="005D6ACF" w:rsidRPr="00974FB1" w:rsidTr="008A253E">
        <w:trPr>
          <w:trHeight w:val="255"/>
        </w:trPr>
        <w:tc>
          <w:tcPr>
            <w:tcW w:w="973" w:type="dxa"/>
            <w:tcBorders>
              <w:top w:val="nil"/>
              <w:left w:val="single" w:sz="8" w:space="0" w:color="auto"/>
              <w:bottom w:val="single" w:sz="4" w:space="0" w:color="auto"/>
              <w:right w:val="single" w:sz="4" w:space="0" w:color="auto"/>
            </w:tcBorders>
            <w:shd w:val="clear" w:color="auto" w:fill="auto"/>
            <w:noWrap/>
            <w:vAlign w:val="bottom"/>
            <w:hideMark/>
          </w:tcPr>
          <w:p w:rsidR="005D6ACF" w:rsidRPr="00974FB1" w:rsidRDefault="005D6ACF" w:rsidP="008A253E">
            <w:pPr>
              <w:rPr>
                <w:sz w:val="20"/>
                <w:szCs w:val="20"/>
              </w:rPr>
            </w:pPr>
            <w:r w:rsidRPr="00974FB1">
              <w:rPr>
                <w:sz w:val="20"/>
                <w:szCs w:val="20"/>
              </w:rPr>
              <w:t>июнь</w:t>
            </w:r>
          </w:p>
        </w:tc>
        <w:tc>
          <w:tcPr>
            <w:tcW w:w="897" w:type="dxa"/>
            <w:tcBorders>
              <w:top w:val="nil"/>
              <w:left w:val="nil"/>
              <w:bottom w:val="single" w:sz="4" w:space="0" w:color="auto"/>
              <w:right w:val="single" w:sz="4" w:space="0" w:color="auto"/>
            </w:tcBorders>
            <w:shd w:val="clear" w:color="auto" w:fill="auto"/>
            <w:noWrap/>
            <w:vAlign w:val="bottom"/>
            <w:hideMark/>
          </w:tcPr>
          <w:p w:rsidR="005D6ACF" w:rsidRPr="00974FB1" w:rsidRDefault="005D6ACF" w:rsidP="008A253E">
            <w:pPr>
              <w:jc w:val="right"/>
              <w:rPr>
                <w:sz w:val="20"/>
                <w:szCs w:val="20"/>
              </w:rPr>
            </w:pPr>
            <w:r w:rsidRPr="00974FB1">
              <w:rPr>
                <w:sz w:val="20"/>
                <w:szCs w:val="20"/>
              </w:rPr>
              <w:t>30</w:t>
            </w:r>
          </w:p>
        </w:tc>
        <w:tc>
          <w:tcPr>
            <w:tcW w:w="1660" w:type="dxa"/>
            <w:gridSpan w:val="3"/>
            <w:tcBorders>
              <w:top w:val="nil"/>
              <w:left w:val="nil"/>
              <w:bottom w:val="single" w:sz="4" w:space="0" w:color="auto"/>
              <w:right w:val="single" w:sz="4" w:space="0" w:color="auto"/>
            </w:tcBorders>
            <w:shd w:val="clear" w:color="auto" w:fill="auto"/>
            <w:noWrap/>
            <w:hideMark/>
          </w:tcPr>
          <w:p w:rsidR="005D6ACF" w:rsidRPr="002C6906" w:rsidRDefault="005D6ACF" w:rsidP="008A253E">
            <w:pPr>
              <w:jc w:val="right"/>
              <w:rPr>
                <w:sz w:val="20"/>
                <w:szCs w:val="20"/>
              </w:rPr>
            </w:pPr>
            <w:r w:rsidRPr="002C6906">
              <w:rPr>
                <w:sz w:val="20"/>
                <w:szCs w:val="20"/>
              </w:rPr>
              <w:t>30 000 000,0</w:t>
            </w:r>
          </w:p>
        </w:tc>
        <w:tc>
          <w:tcPr>
            <w:tcW w:w="1324" w:type="dxa"/>
            <w:gridSpan w:val="2"/>
            <w:tcBorders>
              <w:top w:val="nil"/>
              <w:left w:val="nil"/>
              <w:bottom w:val="single" w:sz="4" w:space="0" w:color="auto"/>
              <w:right w:val="single" w:sz="4" w:space="0" w:color="auto"/>
            </w:tcBorders>
            <w:shd w:val="clear" w:color="auto" w:fill="auto"/>
            <w:noWrap/>
            <w:hideMark/>
          </w:tcPr>
          <w:p w:rsidR="005D6ACF" w:rsidRPr="002C6906" w:rsidRDefault="005D6ACF" w:rsidP="008A253E">
            <w:pPr>
              <w:jc w:val="right"/>
              <w:rPr>
                <w:sz w:val="20"/>
                <w:szCs w:val="20"/>
              </w:rPr>
            </w:pPr>
            <w:r w:rsidRPr="002C6906">
              <w:rPr>
                <w:sz w:val="20"/>
                <w:szCs w:val="20"/>
              </w:rPr>
              <w:t>0,1%</w:t>
            </w:r>
          </w:p>
        </w:tc>
        <w:tc>
          <w:tcPr>
            <w:tcW w:w="1660" w:type="dxa"/>
            <w:gridSpan w:val="3"/>
            <w:tcBorders>
              <w:top w:val="nil"/>
              <w:left w:val="nil"/>
              <w:bottom w:val="single" w:sz="4" w:space="0" w:color="auto"/>
              <w:right w:val="single" w:sz="4" w:space="0" w:color="auto"/>
            </w:tcBorders>
            <w:shd w:val="clear" w:color="auto" w:fill="auto"/>
            <w:noWrap/>
            <w:hideMark/>
          </w:tcPr>
          <w:p w:rsidR="005D6ACF" w:rsidRPr="002C6906" w:rsidRDefault="005D6ACF" w:rsidP="008A253E">
            <w:pPr>
              <w:jc w:val="right"/>
              <w:rPr>
                <w:sz w:val="20"/>
                <w:szCs w:val="20"/>
              </w:rPr>
            </w:pPr>
            <w:r w:rsidRPr="002C6906">
              <w:rPr>
                <w:sz w:val="20"/>
                <w:szCs w:val="20"/>
              </w:rPr>
              <w:t>2 465,8</w:t>
            </w:r>
          </w:p>
        </w:tc>
        <w:tc>
          <w:tcPr>
            <w:tcW w:w="2080" w:type="dxa"/>
            <w:gridSpan w:val="3"/>
            <w:tcBorders>
              <w:top w:val="nil"/>
              <w:left w:val="nil"/>
              <w:bottom w:val="single" w:sz="4" w:space="0" w:color="auto"/>
              <w:right w:val="single" w:sz="4" w:space="0" w:color="auto"/>
            </w:tcBorders>
            <w:shd w:val="clear" w:color="auto" w:fill="auto"/>
            <w:noWrap/>
            <w:hideMark/>
          </w:tcPr>
          <w:p w:rsidR="005D6ACF" w:rsidRPr="002C6906" w:rsidRDefault="005D6ACF" w:rsidP="008A253E">
            <w:pPr>
              <w:jc w:val="right"/>
              <w:rPr>
                <w:sz w:val="20"/>
                <w:szCs w:val="20"/>
              </w:rPr>
            </w:pPr>
            <w:r w:rsidRPr="002C6906">
              <w:rPr>
                <w:sz w:val="20"/>
                <w:szCs w:val="20"/>
              </w:rPr>
              <w:t>90 982 600,0</w:t>
            </w:r>
          </w:p>
        </w:tc>
        <w:tc>
          <w:tcPr>
            <w:tcW w:w="2100" w:type="dxa"/>
            <w:gridSpan w:val="3"/>
            <w:tcBorders>
              <w:top w:val="nil"/>
              <w:left w:val="nil"/>
              <w:bottom w:val="single" w:sz="4" w:space="0" w:color="auto"/>
              <w:right w:val="single" w:sz="4" w:space="0" w:color="auto"/>
            </w:tcBorders>
            <w:shd w:val="clear" w:color="auto" w:fill="auto"/>
            <w:noWrap/>
            <w:hideMark/>
          </w:tcPr>
          <w:p w:rsidR="005D6ACF" w:rsidRPr="002C6906" w:rsidRDefault="005D6ACF" w:rsidP="008A253E">
            <w:pPr>
              <w:jc w:val="right"/>
              <w:rPr>
                <w:sz w:val="20"/>
                <w:szCs w:val="20"/>
              </w:rPr>
            </w:pPr>
            <w:r w:rsidRPr="002C6906">
              <w:rPr>
                <w:sz w:val="20"/>
                <w:szCs w:val="20"/>
              </w:rPr>
              <w:t>200 000 000,0</w:t>
            </w:r>
          </w:p>
        </w:tc>
        <w:tc>
          <w:tcPr>
            <w:tcW w:w="1660" w:type="dxa"/>
            <w:gridSpan w:val="3"/>
            <w:tcBorders>
              <w:top w:val="nil"/>
              <w:left w:val="nil"/>
              <w:bottom w:val="single" w:sz="4" w:space="0" w:color="auto"/>
              <w:right w:val="single" w:sz="4" w:space="0" w:color="auto"/>
            </w:tcBorders>
            <w:shd w:val="clear" w:color="auto" w:fill="auto"/>
            <w:noWrap/>
            <w:hideMark/>
          </w:tcPr>
          <w:p w:rsidR="005D6ACF" w:rsidRPr="002C6906" w:rsidRDefault="005D6ACF" w:rsidP="008A253E">
            <w:pPr>
              <w:jc w:val="right"/>
              <w:rPr>
                <w:sz w:val="20"/>
                <w:szCs w:val="20"/>
              </w:rPr>
            </w:pPr>
            <w:r w:rsidRPr="002C6906">
              <w:rPr>
                <w:sz w:val="20"/>
                <w:szCs w:val="20"/>
              </w:rPr>
              <w:t>7 478</w:t>
            </w:r>
          </w:p>
        </w:tc>
        <w:tc>
          <w:tcPr>
            <w:tcW w:w="1660" w:type="dxa"/>
            <w:gridSpan w:val="3"/>
            <w:tcBorders>
              <w:top w:val="nil"/>
              <w:left w:val="nil"/>
              <w:bottom w:val="single" w:sz="4" w:space="0" w:color="auto"/>
              <w:right w:val="single" w:sz="4" w:space="0" w:color="auto"/>
            </w:tcBorders>
            <w:shd w:val="clear" w:color="auto" w:fill="auto"/>
            <w:noWrap/>
            <w:hideMark/>
          </w:tcPr>
          <w:p w:rsidR="005D6ACF" w:rsidRPr="002C6906" w:rsidRDefault="005D6ACF" w:rsidP="008A253E">
            <w:pPr>
              <w:jc w:val="right"/>
              <w:rPr>
                <w:sz w:val="20"/>
                <w:szCs w:val="20"/>
              </w:rPr>
            </w:pPr>
            <w:r w:rsidRPr="002C6906">
              <w:rPr>
                <w:sz w:val="20"/>
                <w:szCs w:val="20"/>
              </w:rPr>
              <w:t>16 438,4</w:t>
            </w:r>
          </w:p>
        </w:tc>
        <w:tc>
          <w:tcPr>
            <w:tcW w:w="1357" w:type="dxa"/>
            <w:gridSpan w:val="2"/>
            <w:tcBorders>
              <w:top w:val="nil"/>
              <w:left w:val="nil"/>
              <w:bottom w:val="single" w:sz="4" w:space="0" w:color="auto"/>
              <w:right w:val="single" w:sz="8" w:space="0" w:color="auto"/>
            </w:tcBorders>
            <w:shd w:val="clear" w:color="auto" w:fill="auto"/>
            <w:noWrap/>
            <w:hideMark/>
          </w:tcPr>
          <w:p w:rsidR="005D6ACF" w:rsidRPr="002C6906" w:rsidRDefault="005D6ACF" w:rsidP="008A253E">
            <w:pPr>
              <w:jc w:val="right"/>
              <w:rPr>
                <w:sz w:val="20"/>
                <w:szCs w:val="20"/>
              </w:rPr>
            </w:pPr>
            <w:r w:rsidRPr="002C6906">
              <w:rPr>
                <w:sz w:val="20"/>
                <w:szCs w:val="20"/>
              </w:rPr>
              <w:t>26 382,1</w:t>
            </w:r>
          </w:p>
        </w:tc>
      </w:tr>
      <w:tr w:rsidR="005D6ACF" w:rsidRPr="00974FB1" w:rsidTr="008A253E">
        <w:trPr>
          <w:trHeight w:val="255"/>
        </w:trPr>
        <w:tc>
          <w:tcPr>
            <w:tcW w:w="973" w:type="dxa"/>
            <w:tcBorders>
              <w:top w:val="nil"/>
              <w:left w:val="single" w:sz="8" w:space="0" w:color="auto"/>
              <w:bottom w:val="single" w:sz="4" w:space="0" w:color="auto"/>
              <w:right w:val="single" w:sz="4" w:space="0" w:color="auto"/>
            </w:tcBorders>
            <w:shd w:val="clear" w:color="auto" w:fill="auto"/>
            <w:noWrap/>
            <w:vAlign w:val="bottom"/>
            <w:hideMark/>
          </w:tcPr>
          <w:p w:rsidR="005D6ACF" w:rsidRPr="00974FB1" w:rsidRDefault="005D6ACF" w:rsidP="008A253E">
            <w:pPr>
              <w:rPr>
                <w:sz w:val="20"/>
                <w:szCs w:val="20"/>
              </w:rPr>
            </w:pPr>
            <w:r w:rsidRPr="00974FB1">
              <w:rPr>
                <w:sz w:val="20"/>
                <w:szCs w:val="20"/>
              </w:rPr>
              <w:t>июль</w:t>
            </w:r>
          </w:p>
        </w:tc>
        <w:tc>
          <w:tcPr>
            <w:tcW w:w="897" w:type="dxa"/>
            <w:tcBorders>
              <w:top w:val="nil"/>
              <w:left w:val="nil"/>
              <w:bottom w:val="single" w:sz="4" w:space="0" w:color="auto"/>
              <w:right w:val="single" w:sz="4" w:space="0" w:color="auto"/>
            </w:tcBorders>
            <w:shd w:val="clear" w:color="auto" w:fill="auto"/>
            <w:noWrap/>
            <w:vAlign w:val="bottom"/>
            <w:hideMark/>
          </w:tcPr>
          <w:p w:rsidR="005D6ACF" w:rsidRPr="00974FB1" w:rsidRDefault="005D6ACF" w:rsidP="008A253E">
            <w:pPr>
              <w:jc w:val="right"/>
              <w:rPr>
                <w:sz w:val="20"/>
                <w:szCs w:val="20"/>
              </w:rPr>
            </w:pPr>
            <w:r w:rsidRPr="00974FB1">
              <w:rPr>
                <w:sz w:val="20"/>
                <w:szCs w:val="20"/>
              </w:rPr>
              <w:t>31</w:t>
            </w:r>
          </w:p>
        </w:tc>
        <w:tc>
          <w:tcPr>
            <w:tcW w:w="1660" w:type="dxa"/>
            <w:gridSpan w:val="3"/>
            <w:tcBorders>
              <w:top w:val="nil"/>
              <w:left w:val="nil"/>
              <w:bottom w:val="single" w:sz="4" w:space="0" w:color="auto"/>
              <w:right w:val="single" w:sz="4" w:space="0" w:color="auto"/>
            </w:tcBorders>
            <w:shd w:val="clear" w:color="auto" w:fill="auto"/>
            <w:noWrap/>
            <w:hideMark/>
          </w:tcPr>
          <w:p w:rsidR="005D6ACF" w:rsidRPr="002C6906" w:rsidRDefault="005D6ACF" w:rsidP="008A253E">
            <w:pPr>
              <w:jc w:val="right"/>
              <w:rPr>
                <w:sz w:val="20"/>
                <w:szCs w:val="20"/>
              </w:rPr>
            </w:pPr>
            <w:r w:rsidRPr="002C6906">
              <w:rPr>
                <w:sz w:val="20"/>
                <w:szCs w:val="20"/>
              </w:rPr>
              <w:t>60 000 000,0</w:t>
            </w:r>
          </w:p>
        </w:tc>
        <w:tc>
          <w:tcPr>
            <w:tcW w:w="1324" w:type="dxa"/>
            <w:gridSpan w:val="2"/>
            <w:tcBorders>
              <w:top w:val="nil"/>
              <w:left w:val="nil"/>
              <w:bottom w:val="single" w:sz="4" w:space="0" w:color="auto"/>
              <w:right w:val="single" w:sz="4" w:space="0" w:color="auto"/>
            </w:tcBorders>
            <w:shd w:val="clear" w:color="auto" w:fill="auto"/>
            <w:noWrap/>
            <w:hideMark/>
          </w:tcPr>
          <w:p w:rsidR="005D6ACF" w:rsidRPr="002C6906" w:rsidRDefault="005D6ACF" w:rsidP="008A253E">
            <w:pPr>
              <w:jc w:val="right"/>
              <w:rPr>
                <w:sz w:val="20"/>
                <w:szCs w:val="20"/>
              </w:rPr>
            </w:pPr>
            <w:r w:rsidRPr="002C6906">
              <w:rPr>
                <w:sz w:val="20"/>
                <w:szCs w:val="20"/>
              </w:rPr>
              <w:t>0,1%</w:t>
            </w:r>
          </w:p>
        </w:tc>
        <w:tc>
          <w:tcPr>
            <w:tcW w:w="1660" w:type="dxa"/>
            <w:gridSpan w:val="3"/>
            <w:tcBorders>
              <w:top w:val="nil"/>
              <w:left w:val="nil"/>
              <w:bottom w:val="single" w:sz="4" w:space="0" w:color="auto"/>
              <w:right w:val="single" w:sz="4" w:space="0" w:color="auto"/>
            </w:tcBorders>
            <w:shd w:val="clear" w:color="auto" w:fill="auto"/>
            <w:noWrap/>
            <w:hideMark/>
          </w:tcPr>
          <w:p w:rsidR="005D6ACF" w:rsidRPr="002C6906" w:rsidRDefault="005D6ACF" w:rsidP="008A253E">
            <w:pPr>
              <w:jc w:val="right"/>
              <w:rPr>
                <w:sz w:val="20"/>
                <w:szCs w:val="20"/>
              </w:rPr>
            </w:pPr>
            <w:r w:rsidRPr="002C6906">
              <w:rPr>
                <w:sz w:val="20"/>
                <w:szCs w:val="20"/>
              </w:rPr>
              <w:t>5 095,9</w:t>
            </w:r>
          </w:p>
        </w:tc>
        <w:tc>
          <w:tcPr>
            <w:tcW w:w="2080" w:type="dxa"/>
            <w:gridSpan w:val="3"/>
            <w:tcBorders>
              <w:top w:val="nil"/>
              <w:left w:val="nil"/>
              <w:bottom w:val="single" w:sz="4" w:space="0" w:color="auto"/>
              <w:right w:val="single" w:sz="4" w:space="0" w:color="auto"/>
            </w:tcBorders>
            <w:shd w:val="clear" w:color="auto" w:fill="auto"/>
            <w:noWrap/>
            <w:hideMark/>
          </w:tcPr>
          <w:p w:rsidR="005D6ACF" w:rsidRPr="002C6906" w:rsidRDefault="005D6ACF" w:rsidP="008A253E">
            <w:pPr>
              <w:jc w:val="right"/>
              <w:rPr>
                <w:sz w:val="20"/>
                <w:szCs w:val="20"/>
              </w:rPr>
            </w:pPr>
            <w:r w:rsidRPr="002C6906">
              <w:rPr>
                <w:sz w:val="20"/>
                <w:szCs w:val="20"/>
              </w:rPr>
              <w:t>90 982 600,0</w:t>
            </w:r>
          </w:p>
        </w:tc>
        <w:tc>
          <w:tcPr>
            <w:tcW w:w="2100" w:type="dxa"/>
            <w:gridSpan w:val="3"/>
            <w:tcBorders>
              <w:top w:val="nil"/>
              <w:left w:val="nil"/>
              <w:bottom w:val="single" w:sz="4" w:space="0" w:color="auto"/>
              <w:right w:val="single" w:sz="4" w:space="0" w:color="auto"/>
            </w:tcBorders>
            <w:shd w:val="clear" w:color="auto" w:fill="auto"/>
            <w:noWrap/>
            <w:hideMark/>
          </w:tcPr>
          <w:p w:rsidR="005D6ACF" w:rsidRPr="002C6906" w:rsidRDefault="005D6ACF" w:rsidP="008A253E">
            <w:pPr>
              <w:jc w:val="right"/>
              <w:rPr>
                <w:sz w:val="20"/>
                <w:szCs w:val="20"/>
              </w:rPr>
            </w:pPr>
            <w:r w:rsidRPr="002C6906">
              <w:rPr>
                <w:sz w:val="20"/>
                <w:szCs w:val="20"/>
              </w:rPr>
              <w:t>200 000 000,0</w:t>
            </w:r>
          </w:p>
        </w:tc>
        <w:tc>
          <w:tcPr>
            <w:tcW w:w="1660" w:type="dxa"/>
            <w:gridSpan w:val="3"/>
            <w:tcBorders>
              <w:top w:val="nil"/>
              <w:left w:val="nil"/>
              <w:bottom w:val="single" w:sz="4" w:space="0" w:color="auto"/>
              <w:right w:val="single" w:sz="4" w:space="0" w:color="auto"/>
            </w:tcBorders>
            <w:shd w:val="clear" w:color="auto" w:fill="auto"/>
            <w:noWrap/>
            <w:hideMark/>
          </w:tcPr>
          <w:p w:rsidR="005D6ACF" w:rsidRPr="002C6906" w:rsidRDefault="005D6ACF" w:rsidP="008A253E">
            <w:pPr>
              <w:jc w:val="right"/>
              <w:rPr>
                <w:sz w:val="20"/>
                <w:szCs w:val="20"/>
              </w:rPr>
            </w:pPr>
            <w:r w:rsidRPr="002C6906">
              <w:rPr>
                <w:sz w:val="20"/>
                <w:szCs w:val="20"/>
              </w:rPr>
              <w:t>7 727</w:t>
            </w:r>
          </w:p>
        </w:tc>
        <w:tc>
          <w:tcPr>
            <w:tcW w:w="1660" w:type="dxa"/>
            <w:gridSpan w:val="3"/>
            <w:tcBorders>
              <w:top w:val="nil"/>
              <w:left w:val="nil"/>
              <w:bottom w:val="single" w:sz="4" w:space="0" w:color="auto"/>
              <w:right w:val="single" w:sz="4" w:space="0" w:color="auto"/>
            </w:tcBorders>
            <w:shd w:val="clear" w:color="auto" w:fill="auto"/>
            <w:noWrap/>
            <w:hideMark/>
          </w:tcPr>
          <w:p w:rsidR="005D6ACF" w:rsidRPr="002C6906" w:rsidRDefault="005D6ACF" w:rsidP="008A253E">
            <w:pPr>
              <w:jc w:val="right"/>
              <w:rPr>
                <w:sz w:val="20"/>
                <w:szCs w:val="20"/>
              </w:rPr>
            </w:pPr>
            <w:r w:rsidRPr="002C6906">
              <w:rPr>
                <w:sz w:val="20"/>
                <w:szCs w:val="20"/>
              </w:rPr>
              <w:t>16 986,3</w:t>
            </w:r>
          </w:p>
        </w:tc>
        <w:tc>
          <w:tcPr>
            <w:tcW w:w="1357" w:type="dxa"/>
            <w:gridSpan w:val="2"/>
            <w:tcBorders>
              <w:top w:val="nil"/>
              <w:left w:val="nil"/>
              <w:bottom w:val="single" w:sz="4" w:space="0" w:color="auto"/>
              <w:right w:val="single" w:sz="8" w:space="0" w:color="auto"/>
            </w:tcBorders>
            <w:shd w:val="clear" w:color="auto" w:fill="auto"/>
            <w:noWrap/>
            <w:hideMark/>
          </w:tcPr>
          <w:p w:rsidR="005D6ACF" w:rsidRPr="002C6906" w:rsidRDefault="005D6ACF" w:rsidP="008A253E">
            <w:pPr>
              <w:jc w:val="right"/>
              <w:rPr>
                <w:sz w:val="20"/>
                <w:szCs w:val="20"/>
              </w:rPr>
            </w:pPr>
            <w:r w:rsidRPr="002C6906">
              <w:rPr>
                <w:sz w:val="20"/>
                <w:szCs w:val="20"/>
              </w:rPr>
              <w:t>29 809,5</w:t>
            </w:r>
          </w:p>
        </w:tc>
      </w:tr>
      <w:tr w:rsidR="005D6ACF" w:rsidRPr="00974FB1" w:rsidTr="008A253E">
        <w:trPr>
          <w:trHeight w:val="255"/>
        </w:trPr>
        <w:tc>
          <w:tcPr>
            <w:tcW w:w="973" w:type="dxa"/>
            <w:tcBorders>
              <w:top w:val="nil"/>
              <w:left w:val="single" w:sz="8" w:space="0" w:color="auto"/>
              <w:bottom w:val="single" w:sz="4" w:space="0" w:color="auto"/>
              <w:right w:val="single" w:sz="4" w:space="0" w:color="auto"/>
            </w:tcBorders>
            <w:shd w:val="clear" w:color="auto" w:fill="auto"/>
            <w:noWrap/>
            <w:vAlign w:val="bottom"/>
            <w:hideMark/>
          </w:tcPr>
          <w:p w:rsidR="005D6ACF" w:rsidRPr="00974FB1" w:rsidRDefault="005D6ACF" w:rsidP="008A253E">
            <w:pPr>
              <w:rPr>
                <w:sz w:val="20"/>
                <w:szCs w:val="20"/>
              </w:rPr>
            </w:pPr>
            <w:r w:rsidRPr="00974FB1">
              <w:rPr>
                <w:sz w:val="20"/>
                <w:szCs w:val="20"/>
              </w:rPr>
              <w:t>август</w:t>
            </w:r>
          </w:p>
        </w:tc>
        <w:tc>
          <w:tcPr>
            <w:tcW w:w="897" w:type="dxa"/>
            <w:tcBorders>
              <w:top w:val="nil"/>
              <w:left w:val="nil"/>
              <w:bottom w:val="single" w:sz="4" w:space="0" w:color="auto"/>
              <w:right w:val="single" w:sz="4" w:space="0" w:color="auto"/>
            </w:tcBorders>
            <w:shd w:val="clear" w:color="auto" w:fill="auto"/>
            <w:noWrap/>
            <w:vAlign w:val="bottom"/>
            <w:hideMark/>
          </w:tcPr>
          <w:p w:rsidR="005D6ACF" w:rsidRPr="00974FB1" w:rsidRDefault="005D6ACF" w:rsidP="008A253E">
            <w:pPr>
              <w:jc w:val="right"/>
              <w:rPr>
                <w:sz w:val="20"/>
                <w:szCs w:val="20"/>
              </w:rPr>
            </w:pPr>
            <w:r w:rsidRPr="00974FB1">
              <w:rPr>
                <w:sz w:val="20"/>
                <w:szCs w:val="20"/>
              </w:rPr>
              <w:t>31</w:t>
            </w:r>
          </w:p>
        </w:tc>
        <w:tc>
          <w:tcPr>
            <w:tcW w:w="1660" w:type="dxa"/>
            <w:gridSpan w:val="3"/>
            <w:tcBorders>
              <w:top w:val="nil"/>
              <w:left w:val="nil"/>
              <w:bottom w:val="single" w:sz="4" w:space="0" w:color="auto"/>
              <w:right w:val="single" w:sz="4" w:space="0" w:color="auto"/>
            </w:tcBorders>
            <w:shd w:val="clear" w:color="auto" w:fill="auto"/>
            <w:noWrap/>
            <w:hideMark/>
          </w:tcPr>
          <w:p w:rsidR="005D6ACF" w:rsidRPr="002C6906" w:rsidRDefault="005D6ACF" w:rsidP="008A253E">
            <w:pPr>
              <w:jc w:val="right"/>
              <w:rPr>
                <w:sz w:val="20"/>
                <w:szCs w:val="20"/>
              </w:rPr>
            </w:pPr>
            <w:r w:rsidRPr="002C6906">
              <w:rPr>
                <w:sz w:val="20"/>
                <w:szCs w:val="20"/>
              </w:rPr>
              <w:t>100 000 000,0</w:t>
            </w:r>
          </w:p>
        </w:tc>
        <w:tc>
          <w:tcPr>
            <w:tcW w:w="1324" w:type="dxa"/>
            <w:gridSpan w:val="2"/>
            <w:tcBorders>
              <w:top w:val="nil"/>
              <w:left w:val="nil"/>
              <w:bottom w:val="single" w:sz="4" w:space="0" w:color="auto"/>
              <w:right w:val="single" w:sz="4" w:space="0" w:color="auto"/>
            </w:tcBorders>
            <w:shd w:val="clear" w:color="auto" w:fill="auto"/>
            <w:noWrap/>
            <w:hideMark/>
          </w:tcPr>
          <w:p w:rsidR="005D6ACF" w:rsidRPr="002C6906" w:rsidRDefault="005D6ACF" w:rsidP="008A253E">
            <w:pPr>
              <w:jc w:val="right"/>
              <w:rPr>
                <w:sz w:val="20"/>
                <w:szCs w:val="20"/>
              </w:rPr>
            </w:pPr>
            <w:r w:rsidRPr="002C6906">
              <w:rPr>
                <w:sz w:val="20"/>
                <w:szCs w:val="20"/>
              </w:rPr>
              <w:t>0,1%</w:t>
            </w:r>
          </w:p>
        </w:tc>
        <w:tc>
          <w:tcPr>
            <w:tcW w:w="1660" w:type="dxa"/>
            <w:gridSpan w:val="3"/>
            <w:tcBorders>
              <w:top w:val="nil"/>
              <w:left w:val="nil"/>
              <w:bottom w:val="single" w:sz="4" w:space="0" w:color="auto"/>
              <w:right w:val="single" w:sz="4" w:space="0" w:color="auto"/>
            </w:tcBorders>
            <w:shd w:val="clear" w:color="auto" w:fill="auto"/>
            <w:noWrap/>
            <w:hideMark/>
          </w:tcPr>
          <w:p w:rsidR="005D6ACF" w:rsidRPr="002C6906" w:rsidRDefault="005D6ACF" w:rsidP="008A253E">
            <w:pPr>
              <w:jc w:val="right"/>
              <w:rPr>
                <w:sz w:val="20"/>
                <w:szCs w:val="20"/>
              </w:rPr>
            </w:pPr>
            <w:r w:rsidRPr="002C6906">
              <w:rPr>
                <w:sz w:val="20"/>
                <w:szCs w:val="20"/>
              </w:rPr>
              <w:t>8 493,2</w:t>
            </w:r>
          </w:p>
        </w:tc>
        <w:tc>
          <w:tcPr>
            <w:tcW w:w="2080" w:type="dxa"/>
            <w:gridSpan w:val="3"/>
            <w:tcBorders>
              <w:top w:val="nil"/>
              <w:left w:val="nil"/>
              <w:bottom w:val="single" w:sz="4" w:space="0" w:color="auto"/>
              <w:right w:val="single" w:sz="4" w:space="0" w:color="auto"/>
            </w:tcBorders>
            <w:shd w:val="clear" w:color="auto" w:fill="auto"/>
            <w:noWrap/>
            <w:hideMark/>
          </w:tcPr>
          <w:p w:rsidR="005D6ACF" w:rsidRPr="002C6906" w:rsidRDefault="005D6ACF" w:rsidP="008A253E">
            <w:pPr>
              <w:jc w:val="right"/>
              <w:rPr>
                <w:sz w:val="20"/>
                <w:szCs w:val="20"/>
              </w:rPr>
            </w:pPr>
            <w:r w:rsidRPr="002C6906">
              <w:rPr>
                <w:sz w:val="20"/>
                <w:szCs w:val="20"/>
              </w:rPr>
              <w:t>90 982 600,0</w:t>
            </w:r>
          </w:p>
        </w:tc>
        <w:tc>
          <w:tcPr>
            <w:tcW w:w="2100" w:type="dxa"/>
            <w:gridSpan w:val="3"/>
            <w:tcBorders>
              <w:top w:val="nil"/>
              <w:left w:val="nil"/>
              <w:bottom w:val="single" w:sz="4" w:space="0" w:color="auto"/>
              <w:right w:val="single" w:sz="4" w:space="0" w:color="auto"/>
            </w:tcBorders>
            <w:shd w:val="clear" w:color="auto" w:fill="auto"/>
            <w:noWrap/>
            <w:hideMark/>
          </w:tcPr>
          <w:p w:rsidR="005D6ACF" w:rsidRPr="002C6906" w:rsidRDefault="005D6ACF" w:rsidP="008A253E">
            <w:pPr>
              <w:jc w:val="right"/>
              <w:rPr>
                <w:sz w:val="20"/>
                <w:szCs w:val="20"/>
              </w:rPr>
            </w:pPr>
            <w:r w:rsidRPr="002C6906">
              <w:rPr>
                <w:sz w:val="20"/>
                <w:szCs w:val="20"/>
              </w:rPr>
              <w:t>200 000 000,0</w:t>
            </w:r>
          </w:p>
        </w:tc>
        <w:tc>
          <w:tcPr>
            <w:tcW w:w="1660" w:type="dxa"/>
            <w:gridSpan w:val="3"/>
            <w:tcBorders>
              <w:top w:val="nil"/>
              <w:left w:val="nil"/>
              <w:bottom w:val="single" w:sz="4" w:space="0" w:color="auto"/>
              <w:right w:val="single" w:sz="4" w:space="0" w:color="auto"/>
            </w:tcBorders>
            <w:shd w:val="clear" w:color="auto" w:fill="auto"/>
            <w:noWrap/>
            <w:hideMark/>
          </w:tcPr>
          <w:p w:rsidR="005D6ACF" w:rsidRPr="002C6906" w:rsidRDefault="005D6ACF" w:rsidP="008A253E">
            <w:pPr>
              <w:jc w:val="right"/>
              <w:rPr>
                <w:sz w:val="20"/>
                <w:szCs w:val="20"/>
              </w:rPr>
            </w:pPr>
            <w:r w:rsidRPr="002C6906">
              <w:rPr>
                <w:sz w:val="20"/>
                <w:szCs w:val="20"/>
              </w:rPr>
              <w:t>7 727</w:t>
            </w:r>
          </w:p>
        </w:tc>
        <w:tc>
          <w:tcPr>
            <w:tcW w:w="1660" w:type="dxa"/>
            <w:gridSpan w:val="3"/>
            <w:tcBorders>
              <w:top w:val="nil"/>
              <w:left w:val="nil"/>
              <w:bottom w:val="single" w:sz="4" w:space="0" w:color="auto"/>
              <w:right w:val="single" w:sz="4" w:space="0" w:color="auto"/>
            </w:tcBorders>
            <w:shd w:val="clear" w:color="auto" w:fill="auto"/>
            <w:noWrap/>
            <w:hideMark/>
          </w:tcPr>
          <w:p w:rsidR="005D6ACF" w:rsidRPr="002C6906" w:rsidRDefault="005D6ACF" w:rsidP="008A253E">
            <w:pPr>
              <w:jc w:val="right"/>
              <w:rPr>
                <w:sz w:val="20"/>
                <w:szCs w:val="20"/>
              </w:rPr>
            </w:pPr>
            <w:r w:rsidRPr="002C6906">
              <w:rPr>
                <w:sz w:val="20"/>
                <w:szCs w:val="20"/>
              </w:rPr>
              <w:t>16 986,3</w:t>
            </w:r>
          </w:p>
        </w:tc>
        <w:tc>
          <w:tcPr>
            <w:tcW w:w="1357" w:type="dxa"/>
            <w:gridSpan w:val="2"/>
            <w:tcBorders>
              <w:top w:val="nil"/>
              <w:left w:val="nil"/>
              <w:bottom w:val="single" w:sz="4" w:space="0" w:color="auto"/>
              <w:right w:val="single" w:sz="8" w:space="0" w:color="auto"/>
            </w:tcBorders>
            <w:shd w:val="clear" w:color="auto" w:fill="auto"/>
            <w:noWrap/>
            <w:hideMark/>
          </w:tcPr>
          <w:p w:rsidR="005D6ACF" w:rsidRPr="002C6906" w:rsidRDefault="005D6ACF" w:rsidP="008A253E">
            <w:pPr>
              <w:jc w:val="right"/>
              <w:rPr>
                <w:sz w:val="20"/>
                <w:szCs w:val="20"/>
              </w:rPr>
            </w:pPr>
            <w:r w:rsidRPr="002C6906">
              <w:rPr>
                <w:sz w:val="20"/>
                <w:szCs w:val="20"/>
              </w:rPr>
              <w:t>33 206,7</w:t>
            </w:r>
          </w:p>
        </w:tc>
      </w:tr>
      <w:tr w:rsidR="005D6ACF" w:rsidRPr="00974FB1" w:rsidTr="008A253E">
        <w:trPr>
          <w:trHeight w:val="255"/>
        </w:trPr>
        <w:tc>
          <w:tcPr>
            <w:tcW w:w="973" w:type="dxa"/>
            <w:tcBorders>
              <w:top w:val="nil"/>
              <w:left w:val="single" w:sz="8" w:space="0" w:color="auto"/>
              <w:bottom w:val="single" w:sz="4" w:space="0" w:color="auto"/>
              <w:right w:val="single" w:sz="4" w:space="0" w:color="auto"/>
            </w:tcBorders>
            <w:shd w:val="clear" w:color="auto" w:fill="auto"/>
            <w:noWrap/>
            <w:vAlign w:val="bottom"/>
            <w:hideMark/>
          </w:tcPr>
          <w:p w:rsidR="005D6ACF" w:rsidRPr="00974FB1" w:rsidRDefault="005D6ACF" w:rsidP="008A253E">
            <w:pPr>
              <w:rPr>
                <w:sz w:val="20"/>
                <w:szCs w:val="20"/>
              </w:rPr>
            </w:pPr>
            <w:r w:rsidRPr="00974FB1">
              <w:rPr>
                <w:sz w:val="20"/>
                <w:szCs w:val="20"/>
              </w:rPr>
              <w:t>сентябрь</w:t>
            </w:r>
          </w:p>
        </w:tc>
        <w:tc>
          <w:tcPr>
            <w:tcW w:w="897" w:type="dxa"/>
            <w:tcBorders>
              <w:top w:val="nil"/>
              <w:left w:val="nil"/>
              <w:bottom w:val="single" w:sz="4" w:space="0" w:color="auto"/>
              <w:right w:val="single" w:sz="4" w:space="0" w:color="auto"/>
            </w:tcBorders>
            <w:shd w:val="clear" w:color="auto" w:fill="auto"/>
            <w:noWrap/>
            <w:vAlign w:val="bottom"/>
            <w:hideMark/>
          </w:tcPr>
          <w:p w:rsidR="005D6ACF" w:rsidRPr="00974FB1" w:rsidRDefault="005D6ACF" w:rsidP="008A253E">
            <w:pPr>
              <w:jc w:val="right"/>
              <w:rPr>
                <w:sz w:val="20"/>
                <w:szCs w:val="20"/>
              </w:rPr>
            </w:pPr>
            <w:r w:rsidRPr="00974FB1">
              <w:rPr>
                <w:sz w:val="20"/>
                <w:szCs w:val="20"/>
              </w:rPr>
              <w:t>30</w:t>
            </w:r>
          </w:p>
        </w:tc>
        <w:tc>
          <w:tcPr>
            <w:tcW w:w="1660" w:type="dxa"/>
            <w:gridSpan w:val="3"/>
            <w:tcBorders>
              <w:top w:val="nil"/>
              <w:left w:val="nil"/>
              <w:bottom w:val="single" w:sz="4" w:space="0" w:color="auto"/>
              <w:right w:val="single" w:sz="4" w:space="0" w:color="auto"/>
            </w:tcBorders>
            <w:shd w:val="clear" w:color="auto" w:fill="auto"/>
            <w:noWrap/>
            <w:hideMark/>
          </w:tcPr>
          <w:p w:rsidR="005D6ACF" w:rsidRPr="002C6906" w:rsidRDefault="005D6ACF" w:rsidP="008A253E">
            <w:pPr>
              <w:jc w:val="right"/>
              <w:rPr>
                <w:sz w:val="20"/>
                <w:szCs w:val="20"/>
              </w:rPr>
            </w:pPr>
            <w:r w:rsidRPr="002C6906">
              <w:rPr>
                <w:sz w:val="20"/>
                <w:szCs w:val="20"/>
              </w:rPr>
              <w:t>110 000 000,0</w:t>
            </w:r>
          </w:p>
        </w:tc>
        <w:tc>
          <w:tcPr>
            <w:tcW w:w="1324" w:type="dxa"/>
            <w:gridSpan w:val="2"/>
            <w:tcBorders>
              <w:top w:val="nil"/>
              <w:left w:val="nil"/>
              <w:bottom w:val="single" w:sz="4" w:space="0" w:color="auto"/>
              <w:right w:val="single" w:sz="4" w:space="0" w:color="auto"/>
            </w:tcBorders>
            <w:shd w:val="clear" w:color="auto" w:fill="auto"/>
            <w:noWrap/>
            <w:hideMark/>
          </w:tcPr>
          <w:p w:rsidR="005D6ACF" w:rsidRPr="002C6906" w:rsidRDefault="005D6ACF" w:rsidP="008A253E">
            <w:pPr>
              <w:jc w:val="right"/>
              <w:rPr>
                <w:sz w:val="20"/>
                <w:szCs w:val="20"/>
              </w:rPr>
            </w:pPr>
            <w:r w:rsidRPr="002C6906">
              <w:rPr>
                <w:sz w:val="20"/>
                <w:szCs w:val="20"/>
              </w:rPr>
              <w:t>0,1%</w:t>
            </w:r>
          </w:p>
        </w:tc>
        <w:tc>
          <w:tcPr>
            <w:tcW w:w="1660" w:type="dxa"/>
            <w:gridSpan w:val="3"/>
            <w:tcBorders>
              <w:top w:val="nil"/>
              <w:left w:val="nil"/>
              <w:bottom w:val="single" w:sz="4" w:space="0" w:color="auto"/>
              <w:right w:val="single" w:sz="4" w:space="0" w:color="auto"/>
            </w:tcBorders>
            <w:shd w:val="clear" w:color="auto" w:fill="auto"/>
            <w:noWrap/>
            <w:hideMark/>
          </w:tcPr>
          <w:p w:rsidR="005D6ACF" w:rsidRPr="002C6906" w:rsidRDefault="005D6ACF" w:rsidP="008A253E">
            <w:pPr>
              <w:jc w:val="right"/>
              <w:rPr>
                <w:sz w:val="20"/>
                <w:szCs w:val="20"/>
              </w:rPr>
            </w:pPr>
            <w:r w:rsidRPr="002C6906">
              <w:rPr>
                <w:sz w:val="20"/>
                <w:szCs w:val="20"/>
              </w:rPr>
              <w:t>9 041,1</w:t>
            </w:r>
          </w:p>
        </w:tc>
        <w:tc>
          <w:tcPr>
            <w:tcW w:w="2080" w:type="dxa"/>
            <w:gridSpan w:val="3"/>
            <w:tcBorders>
              <w:top w:val="nil"/>
              <w:left w:val="nil"/>
              <w:bottom w:val="single" w:sz="4" w:space="0" w:color="auto"/>
              <w:right w:val="single" w:sz="4" w:space="0" w:color="auto"/>
            </w:tcBorders>
            <w:shd w:val="clear" w:color="auto" w:fill="auto"/>
            <w:noWrap/>
            <w:hideMark/>
          </w:tcPr>
          <w:p w:rsidR="005D6ACF" w:rsidRPr="002C6906" w:rsidRDefault="005D6ACF" w:rsidP="008A253E">
            <w:pPr>
              <w:jc w:val="right"/>
              <w:rPr>
                <w:sz w:val="20"/>
                <w:szCs w:val="20"/>
              </w:rPr>
            </w:pPr>
            <w:r w:rsidRPr="002C6906">
              <w:rPr>
                <w:sz w:val="20"/>
                <w:szCs w:val="20"/>
              </w:rPr>
              <w:t>90 982 600,0</w:t>
            </w:r>
          </w:p>
        </w:tc>
        <w:tc>
          <w:tcPr>
            <w:tcW w:w="2100" w:type="dxa"/>
            <w:gridSpan w:val="3"/>
            <w:tcBorders>
              <w:top w:val="nil"/>
              <w:left w:val="nil"/>
              <w:bottom w:val="single" w:sz="4" w:space="0" w:color="auto"/>
              <w:right w:val="single" w:sz="4" w:space="0" w:color="auto"/>
            </w:tcBorders>
            <w:shd w:val="clear" w:color="auto" w:fill="auto"/>
            <w:noWrap/>
            <w:hideMark/>
          </w:tcPr>
          <w:p w:rsidR="005D6ACF" w:rsidRPr="002C6906" w:rsidRDefault="005D6ACF" w:rsidP="008A253E">
            <w:pPr>
              <w:jc w:val="right"/>
              <w:rPr>
                <w:sz w:val="20"/>
                <w:szCs w:val="20"/>
              </w:rPr>
            </w:pPr>
            <w:r w:rsidRPr="002C6906">
              <w:rPr>
                <w:sz w:val="20"/>
                <w:szCs w:val="20"/>
              </w:rPr>
              <w:t>200 000 000,0</w:t>
            </w:r>
          </w:p>
        </w:tc>
        <w:tc>
          <w:tcPr>
            <w:tcW w:w="1660" w:type="dxa"/>
            <w:gridSpan w:val="3"/>
            <w:tcBorders>
              <w:top w:val="nil"/>
              <w:left w:val="nil"/>
              <w:bottom w:val="single" w:sz="4" w:space="0" w:color="auto"/>
              <w:right w:val="single" w:sz="4" w:space="0" w:color="auto"/>
            </w:tcBorders>
            <w:shd w:val="clear" w:color="auto" w:fill="auto"/>
            <w:noWrap/>
            <w:hideMark/>
          </w:tcPr>
          <w:p w:rsidR="005D6ACF" w:rsidRPr="002C6906" w:rsidRDefault="005D6ACF" w:rsidP="008A253E">
            <w:pPr>
              <w:jc w:val="right"/>
              <w:rPr>
                <w:sz w:val="20"/>
                <w:szCs w:val="20"/>
              </w:rPr>
            </w:pPr>
            <w:r w:rsidRPr="002C6906">
              <w:rPr>
                <w:sz w:val="20"/>
                <w:szCs w:val="20"/>
              </w:rPr>
              <w:t>7 478</w:t>
            </w:r>
          </w:p>
        </w:tc>
        <w:tc>
          <w:tcPr>
            <w:tcW w:w="1660" w:type="dxa"/>
            <w:gridSpan w:val="3"/>
            <w:tcBorders>
              <w:top w:val="nil"/>
              <w:left w:val="nil"/>
              <w:bottom w:val="single" w:sz="4" w:space="0" w:color="auto"/>
              <w:right w:val="single" w:sz="4" w:space="0" w:color="auto"/>
            </w:tcBorders>
            <w:shd w:val="clear" w:color="auto" w:fill="auto"/>
            <w:noWrap/>
            <w:hideMark/>
          </w:tcPr>
          <w:p w:rsidR="005D6ACF" w:rsidRPr="002C6906" w:rsidRDefault="005D6ACF" w:rsidP="008A253E">
            <w:pPr>
              <w:jc w:val="right"/>
              <w:rPr>
                <w:sz w:val="20"/>
                <w:szCs w:val="20"/>
              </w:rPr>
            </w:pPr>
            <w:r w:rsidRPr="002C6906">
              <w:rPr>
                <w:sz w:val="20"/>
                <w:szCs w:val="20"/>
              </w:rPr>
              <w:t>16 438,4</w:t>
            </w:r>
          </w:p>
        </w:tc>
        <w:tc>
          <w:tcPr>
            <w:tcW w:w="1357" w:type="dxa"/>
            <w:gridSpan w:val="2"/>
            <w:tcBorders>
              <w:top w:val="nil"/>
              <w:left w:val="nil"/>
              <w:bottom w:val="single" w:sz="4" w:space="0" w:color="auto"/>
              <w:right w:val="single" w:sz="8" w:space="0" w:color="auto"/>
            </w:tcBorders>
            <w:shd w:val="clear" w:color="auto" w:fill="auto"/>
            <w:noWrap/>
            <w:hideMark/>
          </w:tcPr>
          <w:p w:rsidR="005D6ACF" w:rsidRPr="002C6906" w:rsidRDefault="005D6ACF" w:rsidP="008A253E">
            <w:pPr>
              <w:jc w:val="right"/>
              <w:rPr>
                <w:sz w:val="20"/>
                <w:szCs w:val="20"/>
              </w:rPr>
            </w:pPr>
            <w:r w:rsidRPr="002C6906">
              <w:rPr>
                <w:sz w:val="20"/>
                <w:szCs w:val="20"/>
              </w:rPr>
              <w:t>32 957,5</w:t>
            </w:r>
          </w:p>
        </w:tc>
      </w:tr>
      <w:tr w:rsidR="005D6ACF" w:rsidRPr="00974FB1" w:rsidTr="008A253E">
        <w:trPr>
          <w:trHeight w:val="255"/>
        </w:trPr>
        <w:tc>
          <w:tcPr>
            <w:tcW w:w="973" w:type="dxa"/>
            <w:tcBorders>
              <w:top w:val="nil"/>
              <w:left w:val="single" w:sz="8" w:space="0" w:color="auto"/>
              <w:bottom w:val="single" w:sz="4" w:space="0" w:color="auto"/>
              <w:right w:val="single" w:sz="4" w:space="0" w:color="auto"/>
            </w:tcBorders>
            <w:shd w:val="clear" w:color="auto" w:fill="auto"/>
            <w:noWrap/>
            <w:vAlign w:val="bottom"/>
            <w:hideMark/>
          </w:tcPr>
          <w:p w:rsidR="005D6ACF" w:rsidRPr="00974FB1" w:rsidRDefault="005D6ACF" w:rsidP="008A253E">
            <w:pPr>
              <w:rPr>
                <w:sz w:val="20"/>
                <w:szCs w:val="20"/>
              </w:rPr>
            </w:pPr>
            <w:r w:rsidRPr="00974FB1">
              <w:rPr>
                <w:sz w:val="20"/>
                <w:szCs w:val="20"/>
              </w:rPr>
              <w:t>октябрь</w:t>
            </w:r>
          </w:p>
        </w:tc>
        <w:tc>
          <w:tcPr>
            <w:tcW w:w="897" w:type="dxa"/>
            <w:tcBorders>
              <w:top w:val="nil"/>
              <w:left w:val="nil"/>
              <w:bottom w:val="single" w:sz="4" w:space="0" w:color="auto"/>
              <w:right w:val="single" w:sz="4" w:space="0" w:color="auto"/>
            </w:tcBorders>
            <w:shd w:val="clear" w:color="auto" w:fill="auto"/>
            <w:noWrap/>
            <w:vAlign w:val="bottom"/>
            <w:hideMark/>
          </w:tcPr>
          <w:p w:rsidR="005D6ACF" w:rsidRPr="00974FB1" w:rsidRDefault="005D6ACF" w:rsidP="008A253E">
            <w:pPr>
              <w:jc w:val="right"/>
              <w:rPr>
                <w:sz w:val="20"/>
                <w:szCs w:val="20"/>
              </w:rPr>
            </w:pPr>
            <w:r w:rsidRPr="00974FB1">
              <w:rPr>
                <w:sz w:val="20"/>
                <w:szCs w:val="20"/>
              </w:rPr>
              <w:t>31</w:t>
            </w:r>
          </w:p>
        </w:tc>
        <w:tc>
          <w:tcPr>
            <w:tcW w:w="1660" w:type="dxa"/>
            <w:gridSpan w:val="3"/>
            <w:tcBorders>
              <w:top w:val="nil"/>
              <w:left w:val="nil"/>
              <w:bottom w:val="single" w:sz="4" w:space="0" w:color="auto"/>
              <w:right w:val="single" w:sz="4" w:space="0" w:color="auto"/>
            </w:tcBorders>
            <w:shd w:val="clear" w:color="auto" w:fill="auto"/>
            <w:noWrap/>
            <w:hideMark/>
          </w:tcPr>
          <w:p w:rsidR="005D6ACF" w:rsidRPr="002C6906" w:rsidRDefault="005D6ACF" w:rsidP="008A253E">
            <w:pPr>
              <w:jc w:val="right"/>
              <w:rPr>
                <w:sz w:val="20"/>
                <w:szCs w:val="20"/>
              </w:rPr>
            </w:pPr>
            <w:r w:rsidRPr="002C6906">
              <w:rPr>
                <w:sz w:val="20"/>
                <w:szCs w:val="20"/>
              </w:rPr>
              <w:t>150 000 000,0</w:t>
            </w:r>
          </w:p>
        </w:tc>
        <w:tc>
          <w:tcPr>
            <w:tcW w:w="1324" w:type="dxa"/>
            <w:gridSpan w:val="2"/>
            <w:tcBorders>
              <w:top w:val="nil"/>
              <w:left w:val="nil"/>
              <w:bottom w:val="single" w:sz="4" w:space="0" w:color="auto"/>
              <w:right w:val="single" w:sz="4" w:space="0" w:color="auto"/>
            </w:tcBorders>
            <w:shd w:val="clear" w:color="auto" w:fill="auto"/>
            <w:noWrap/>
            <w:hideMark/>
          </w:tcPr>
          <w:p w:rsidR="005D6ACF" w:rsidRPr="002C6906" w:rsidRDefault="005D6ACF" w:rsidP="008A253E">
            <w:pPr>
              <w:jc w:val="right"/>
              <w:rPr>
                <w:sz w:val="20"/>
                <w:szCs w:val="20"/>
              </w:rPr>
            </w:pPr>
            <w:r w:rsidRPr="002C6906">
              <w:rPr>
                <w:sz w:val="20"/>
                <w:szCs w:val="20"/>
              </w:rPr>
              <w:t>0,1%</w:t>
            </w:r>
          </w:p>
        </w:tc>
        <w:tc>
          <w:tcPr>
            <w:tcW w:w="1660" w:type="dxa"/>
            <w:gridSpan w:val="3"/>
            <w:tcBorders>
              <w:top w:val="nil"/>
              <w:left w:val="nil"/>
              <w:bottom w:val="single" w:sz="4" w:space="0" w:color="auto"/>
              <w:right w:val="single" w:sz="4" w:space="0" w:color="auto"/>
            </w:tcBorders>
            <w:shd w:val="clear" w:color="auto" w:fill="auto"/>
            <w:noWrap/>
            <w:hideMark/>
          </w:tcPr>
          <w:p w:rsidR="005D6ACF" w:rsidRPr="002C6906" w:rsidRDefault="005D6ACF" w:rsidP="008A253E">
            <w:pPr>
              <w:jc w:val="right"/>
              <w:rPr>
                <w:sz w:val="20"/>
                <w:szCs w:val="20"/>
              </w:rPr>
            </w:pPr>
            <w:r w:rsidRPr="002C6906">
              <w:rPr>
                <w:sz w:val="20"/>
                <w:szCs w:val="20"/>
              </w:rPr>
              <w:t>12 739,7</w:t>
            </w:r>
          </w:p>
        </w:tc>
        <w:tc>
          <w:tcPr>
            <w:tcW w:w="2080" w:type="dxa"/>
            <w:gridSpan w:val="3"/>
            <w:tcBorders>
              <w:top w:val="nil"/>
              <w:left w:val="nil"/>
              <w:bottom w:val="single" w:sz="4" w:space="0" w:color="auto"/>
              <w:right w:val="single" w:sz="4" w:space="0" w:color="auto"/>
            </w:tcBorders>
            <w:shd w:val="clear" w:color="auto" w:fill="auto"/>
            <w:noWrap/>
            <w:hideMark/>
          </w:tcPr>
          <w:p w:rsidR="005D6ACF" w:rsidRPr="002C6906" w:rsidRDefault="005D6ACF" w:rsidP="008A253E">
            <w:pPr>
              <w:jc w:val="right"/>
              <w:rPr>
                <w:sz w:val="20"/>
                <w:szCs w:val="20"/>
              </w:rPr>
            </w:pPr>
            <w:r w:rsidRPr="002C6906">
              <w:rPr>
                <w:sz w:val="20"/>
                <w:szCs w:val="20"/>
              </w:rPr>
              <w:t>90 982 600,0</w:t>
            </w:r>
          </w:p>
        </w:tc>
        <w:tc>
          <w:tcPr>
            <w:tcW w:w="2100" w:type="dxa"/>
            <w:gridSpan w:val="3"/>
            <w:tcBorders>
              <w:top w:val="nil"/>
              <w:left w:val="nil"/>
              <w:bottom w:val="single" w:sz="4" w:space="0" w:color="auto"/>
              <w:right w:val="single" w:sz="4" w:space="0" w:color="auto"/>
            </w:tcBorders>
            <w:shd w:val="clear" w:color="auto" w:fill="auto"/>
            <w:noWrap/>
            <w:hideMark/>
          </w:tcPr>
          <w:p w:rsidR="005D6ACF" w:rsidRPr="002C6906" w:rsidRDefault="005D6ACF" w:rsidP="008A253E">
            <w:pPr>
              <w:jc w:val="right"/>
              <w:rPr>
                <w:sz w:val="20"/>
                <w:szCs w:val="20"/>
              </w:rPr>
            </w:pPr>
            <w:r w:rsidRPr="002C6906">
              <w:rPr>
                <w:sz w:val="20"/>
                <w:szCs w:val="20"/>
              </w:rPr>
              <w:t>200 000 000,0</w:t>
            </w:r>
          </w:p>
        </w:tc>
        <w:tc>
          <w:tcPr>
            <w:tcW w:w="1660" w:type="dxa"/>
            <w:gridSpan w:val="3"/>
            <w:tcBorders>
              <w:top w:val="nil"/>
              <w:left w:val="nil"/>
              <w:bottom w:val="single" w:sz="4" w:space="0" w:color="auto"/>
              <w:right w:val="single" w:sz="4" w:space="0" w:color="auto"/>
            </w:tcBorders>
            <w:shd w:val="clear" w:color="auto" w:fill="auto"/>
            <w:noWrap/>
            <w:hideMark/>
          </w:tcPr>
          <w:p w:rsidR="005D6ACF" w:rsidRPr="002C6906" w:rsidRDefault="005D6ACF" w:rsidP="008A253E">
            <w:pPr>
              <w:jc w:val="right"/>
              <w:rPr>
                <w:sz w:val="20"/>
                <w:szCs w:val="20"/>
              </w:rPr>
            </w:pPr>
            <w:r w:rsidRPr="002C6906">
              <w:rPr>
                <w:sz w:val="20"/>
                <w:szCs w:val="20"/>
              </w:rPr>
              <w:t>7 727</w:t>
            </w:r>
          </w:p>
        </w:tc>
        <w:tc>
          <w:tcPr>
            <w:tcW w:w="1660" w:type="dxa"/>
            <w:gridSpan w:val="3"/>
            <w:tcBorders>
              <w:top w:val="nil"/>
              <w:left w:val="nil"/>
              <w:bottom w:val="single" w:sz="4" w:space="0" w:color="auto"/>
              <w:right w:val="single" w:sz="4" w:space="0" w:color="auto"/>
            </w:tcBorders>
            <w:shd w:val="clear" w:color="auto" w:fill="auto"/>
            <w:noWrap/>
            <w:hideMark/>
          </w:tcPr>
          <w:p w:rsidR="005D6ACF" w:rsidRPr="002C6906" w:rsidRDefault="005D6ACF" w:rsidP="008A253E">
            <w:pPr>
              <w:jc w:val="right"/>
              <w:rPr>
                <w:sz w:val="20"/>
                <w:szCs w:val="20"/>
              </w:rPr>
            </w:pPr>
            <w:r w:rsidRPr="002C6906">
              <w:rPr>
                <w:sz w:val="20"/>
                <w:szCs w:val="20"/>
              </w:rPr>
              <w:t>16 986,3</w:t>
            </w:r>
          </w:p>
        </w:tc>
        <w:tc>
          <w:tcPr>
            <w:tcW w:w="1357" w:type="dxa"/>
            <w:gridSpan w:val="2"/>
            <w:tcBorders>
              <w:top w:val="nil"/>
              <w:left w:val="nil"/>
              <w:bottom w:val="single" w:sz="4" w:space="0" w:color="auto"/>
              <w:right w:val="single" w:sz="8" w:space="0" w:color="auto"/>
            </w:tcBorders>
            <w:shd w:val="clear" w:color="auto" w:fill="auto"/>
            <w:noWrap/>
            <w:hideMark/>
          </w:tcPr>
          <w:p w:rsidR="005D6ACF" w:rsidRPr="002C6906" w:rsidRDefault="005D6ACF" w:rsidP="008A253E">
            <w:pPr>
              <w:jc w:val="right"/>
              <w:rPr>
                <w:sz w:val="20"/>
                <w:szCs w:val="20"/>
              </w:rPr>
            </w:pPr>
            <w:r w:rsidRPr="002C6906">
              <w:rPr>
                <w:sz w:val="20"/>
                <w:szCs w:val="20"/>
              </w:rPr>
              <w:t>37 453,3</w:t>
            </w:r>
          </w:p>
        </w:tc>
      </w:tr>
      <w:tr w:rsidR="005D6ACF" w:rsidRPr="00974FB1" w:rsidTr="008A253E">
        <w:trPr>
          <w:trHeight w:val="255"/>
        </w:trPr>
        <w:tc>
          <w:tcPr>
            <w:tcW w:w="973" w:type="dxa"/>
            <w:tcBorders>
              <w:top w:val="nil"/>
              <w:left w:val="single" w:sz="8" w:space="0" w:color="auto"/>
              <w:bottom w:val="single" w:sz="4" w:space="0" w:color="auto"/>
              <w:right w:val="single" w:sz="4" w:space="0" w:color="auto"/>
            </w:tcBorders>
            <w:shd w:val="clear" w:color="auto" w:fill="auto"/>
            <w:noWrap/>
            <w:vAlign w:val="bottom"/>
            <w:hideMark/>
          </w:tcPr>
          <w:p w:rsidR="005D6ACF" w:rsidRPr="00974FB1" w:rsidRDefault="005D6ACF" w:rsidP="008A253E">
            <w:pPr>
              <w:rPr>
                <w:sz w:val="20"/>
                <w:szCs w:val="20"/>
              </w:rPr>
            </w:pPr>
            <w:r w:rsidRPr="00974FB1">
              <w:rPr>
                <w:sz w:val="20"/>
                <w:szCs w:val="20"/>
              </w:rPr>
              <w:t>ноябрь</w:t>
            </w:r>
          </w:p>
        </w:tc>
        <w:tc>
          <w:tcPr>
            <w:tcW w:w="897" w:type="dxa"/>
            <w:tcBorders>
              <w:top w:val="nil"/>
              <w:left w:val="nil"/>
              <w:bottom w:val="single" w:sz="4" w:space="0" w:color="auto"/>
              <w:right w:val="single" w:sz="4" w:space="0" w:color="auto"/>
            </w:tcBorders>
            <w:shd w:val="clear" w:color="auto" w:fill="auto"/>
            <w:noWrap/>
            <w:vAlign w:val="bottom"/>
            <w:hideMark/>
          </w:tcPr>
          <w:p w:rsidR="005D6ACF" w:rsidRPr="00974FB1" w:rsidRDefault="005D6ACF" w:rsidP="008A253E">
            <w:pPr>
              <w:jc w:val="right"/>
              <w:rPr>
                <w:sz w:val="20"/>
                <w:szCs w:val="20"/>
              </w:rPr>
            </w:pPr>
            <w:r w:rsidRPr="00974FB1">
              <w:rPr>
                <w:sz w:val="20"/>
                <w:szCs w:val="20"/>
              </w:rPr>
              <w:t>30</w:t>
            </w:r>
          </w:p>
        </w:tc>
        <w:tc>
          <w:tcPr>
            <w:tcW w:w="1660" w:type="dxa"/>
            <w:gridSpan w:val="3"/>
            <w:tcBorders>
              <w:top w:val="nil"/>
              <w:left w:val="nil"/>
              <w:bottom w:val="single" w:sz="4" w:space="0" w:color="auto"/>
              <w:right w:val="single" w:sz="4" w:space="0" w:color="auto"/>
            </w:tcBorders>
            <w:shd w:val="clear" w:color="auto" w:fill="auto"/>
            <w:noWrap/>
            <w:hideMark/>
          </w:tcPr>
          <w:p w:rsidR="005D6ACF" w:rsidRPr="002C6906" w:rsidRDefault="005D6ACF" w:rsidP="008A253E">
            <w:pPr>
              <w:jc w:val="right"/>
              <w:rPr>
                <w:sz w:val="20"/>
                <w:szCs w:val="20"/>
              </w:rPr>
            </w:pPr>
            <w:r w:rsidRPr="002C6906">
              <w:rPr>
                <w:sz w:val="20"/>
                <w:szCs w:val="20"/>
              </w:rPr>
              <w:t>180 000 000,0</w:t>
            </w:r>
          </w:p>
        </w:tc>
        <w:tc>
          <w:tcPr>
            <w:tcW w:w="1324" w:type="dxa"/>
            <w:gridSpan w:val="2"/>
            <w:tcBorders>
              <w:top w:val="nil"/>
              <w:left w:val="nil"/>
              <w:bottom w:val="single" w:sz="4" w:space="0" w:color="auto"/>
              <w:right w:val="single" w:sz="4" w:space="0" w:color="auto"/>
            </w:tcBorders>
            <w:shd w:val="clear" w:color="auto" w:fill="auto"/>
            <w:noWrap/>
            <w:hideMark/>
          </w:tcPr>
          <w:p w:rsidR="005D6ACF" w:rsidRPr="002C6906" w:rsidRDefault="005D6ACF" w:rsidP="008A253E">
            <w:pPr>
              <w:jc w:val="right"/>
              <w:rPr>
                <w:sz w:val="20"/>
                <w:szCs w:val="20"/>
              </w:rPr>
            </w:pPr>
            <w:r w:rsidRPr="002C6906">
              <w:rPr>
                <w:sz w:val="20"/>
                <w:szCs w:val="20"/>
              </w:rPr>
              <w:t>0,1%</w:t>
            </w:r>
          </w:p>
        </w:tc>
        <w:tc>
          <w:tcPr>
            <w:tcW w:w="1660" w:type="dxa"/>
            <w:gridSpan w:val="3"/>
            <w:tcBorders>
              <w:top w:val="nil"/>
              <w:left w:val="nil"/>
              <w:bottom w:val="single" w:sz="4" w:space="0" w:color="auto"/>
              <w:right w:val="single" w:sz="4" w:space="0" w:color="auto"/>
            </w:tcBorders>
            <w:shd w:val="clear" w:color="auto" w:fill="auto"/>
            <w:noWrap/>
            <w:hideMark/>
          </w:tcPr>
          <w:p w:rsidR="005D6ACF" w:rsidRPr="002C6906" w:rsidRDefault="005D6ACF" w:rsidP="008A253E">
            <w:pPr>
              <w:jc w:val="right"/>
              <w:rPr>
                <w:sz w:val="20"/>
                <w:szCs w:val="20"/>
              </w:rPr>
            </w:pPr>
            <w:r w:rsidRPr="002C6906">
              <w:rPr>
                <w:sz w:val="20"/>
                <w:szCs w:val="20"/>
              </w:rPr>
              <w:t>14 794,5</w:t>
            </w:r>
          </w:p>
        </w:tc>
        <w:tc>
          <w:tcPr>
            <w:tcW w:w="2080" w:type="dxa"/>
            <w:gridSpan w:val="3"/>
            <w:tcBorders>
              <w:top w:val="nil"/>
              <w:left w:val="nil"/>
              <w:bottom w:val="single" w:sz="4" w:space="0" w:color="auto"/>
              <w:right w:val="single" w:sz="4" w:space="0" w:color="auto"/>
            </w:tcBorders>
            <w:shd w:val="clear" w:color="auto" w:fill="auto"/>
            <w:noWrap/>
            <w:hideMark/>
          </w:tcPr>
          <w:p w:rsidR="005D6ACF" w:rsidRPr="002C6906" w:rsidRDefault="005D6ACF" w:rsidP="008A253E">
            <w:pPr>
              <w:jc w:val="right"/>
              <w:rPr>
                <w:sz w:val="20"/>
                <w:szCs w:val="20"/>
              </w:rPr>
            </w:pPr>
            <w:r w:rsidRPr="002C6906">
              <w:rPr>
                <w:sz w:val="20"/>
                <w:szCs w:val="20"/>
              </w:rPr>
              <w:t>90 982 600,0</w:t>
            </w:r>
          </w:p>
        </w:tc>
        <w:tc>
          <w:tcPr>
            <w:tcW w:w="2100" w:type="dxa"/>
            <w:gridSpan w:val="3"/>
            <w:tcBorders>
              <w:top w:val="nil"/>
              <w:left w:val="nil"/>
              <w:bottom w:val="single" w:sz="4" w:space="0" w:color="auto"/>
              <w:right w:val="single" w:sz="4" w:space="0" w:color="auto"/>
            </w:tcBorders>
            <w:shd w:val="clear" w:color="auto" w:fill="auto"/>
            <w:noWrap/>
            <w:hideMark/>
          </w:tcPr>
          <w:p w:rsidR="005D6ACF" w:rsidRPr="002C6906" w:rsidRDefault="005D6ACF" w:rsidP="008A253E">
            <w:pPr>
              <w:jc w:val="right"/>
              <w:rPr>
                <w:sz w:val="20"/>
                <w:szCs w:val="20"/>
              </w:rPr>
            </w:pPr>
            <w:r w:rsidRPr="002C6906">
              <w:rPr>
                <w:sz w:val="20"/>
                <w:szCs w:val="20"/>
              </w:rPr>
              <w:t>200 000 000,0</w:t>
            </w:r>
          </w:p>
        </w:tc>
        <w:tc>
          <w:tcPr>
            <w:tcW w:w="1660" w:type="dxa"/>
            <w:gridSpan w:val="3"/>
            <w:tcBorders>
              <w:top w:val="nil"/>
              <w:left w:val="nil"/>
              <w:bottom w:val="single" w:sz="4" w:space="0" w:color="auto"/>
              <w:right w:val="single" w:sz="4" w:space="0" w:color="auto"/>
            </w:tcBorders>
            <w:shd w:val="clear" w:color="auto" w:fill="auto"/>
            <w:noWrap/>
            <w:hideMark/>
          </w:tcPr>
          <w:p w:rsidR="005D6ACF" w:rsidRPr="002C6906" w:rsidRDefault="005D6ACF" w:rsidP="008A253E">
            <w:pPr>
              <w:jc w:val="right"/>
              <w:rPr>
                <w:sz w:val="20"/>
                <w:szCs w:val="20"/>
              </w:rPr>
            </w:pPr>
            <w:r w:rsidRPr="002C6906">
              <w:rPr>
                <w:sz w:val="20"/>
                <w:szCs w:val="20"/>
              </w:rPr>
              <w:t>7 478</w:t>
            </w:r>
          </w:p>
        </w:tc>
        <w:tc>
          <w:tcPr>
            <w:tcW w:w="1660" w:type="dxa"/>
            <w:gridSpan w:val="3"/>
            <w:tcBorders>
              <w:top w:val="nil"/>
              <w:left w:val="nil"/>
              <w:bottom w:val="single" w:sz="4" w:space="0" w:color="auto"/>
              <w:right w:val="single" w:sz="4" w:space="0" w:color="auto"/>
            </w:tcBorders>
            <w:shd w:val="clear" w:color="auto" w:fill="auto"/>
            <w:noWrap/>
            <w:hideMark/>
          </w:tcPr>
          <w:p w:rsidR="005D6ACF" w:rsidRPr="002C6906" w:rsidRDefault="005D6ACF" w:rsidP="008A253E">
            <w:pPr>
              <w:jc w:val="right"/>
              <w:rPr>
                <w:sz w:val="20"/>
                <w:szCs w:val="20"/>
              </w:rPr>
            </w:pPr>
            <w:r w:rsidRPr="002C6906">
              <w:rPr>
                <w:sz w:val="20"/>
                <w:szCs w:val="20"/>
              </w:rPr>
              <w:t>16 438,4</w:t>
            </w:r>
          </w:p>
        </w:tc>
        <w:tc>
          <w:tcPr>
            <w:tcW w:w="1357" w:type="dxa"/>
            <w:gridSpan w:val="2"/>
            <w:tcBorders>
              <w:top w:val="nil"/>
              <w:left w:val="nil"/>
              <w:bottom w:val="single" w:sz="4" w:space="0" w:color="auto"/>
              <w:right w:val="single" w:sz="8" w:space="0" w:color="auto"/>
            </w:tcBorders>
            <w:shd w:val="clear" w:color="auto" w:fill="auto"/>
            <w:noWrap/>
            <w:hideMark/>
          </w:tcPr>
          <w:p w:rsidR="005D6ACF" w:rsidRPr="002C6906" w:rsidRDefault="005D6ACF" w:rsidP="008A253E">
            <w:pPr>
              <w:jc w:val="right"/>
              <w:rPr>
                <w:sz w:val="20"/>
                <w:szCs w:val="20"/>
              </w:rPr>
            </w:pPr>
            <w:r w:rsidRPr="002C6906">
              <w:rPr>
                <w:sz w:val="20"/>
                <w:szCs w:val="20"/>
              </w:rPr>
              <w:t>38 710,9</w:t>
            </w:r>
          </w:p>
        </w:tc>
      </w:tr>
      <w:tr w:rsidR="005D6ACF" w:rsidRPr="00974FB1" w:rsidTr="008A253E">
        <w:trPr>
          <w:trHeight w:val="255"/>
        </w:trPr>
        <w:tc>
          <w:tcPr>
            <w:tcW w:w="973" w:type="dxa"/>
            <w:tcBorders>
              <w:top w:val="nil"/>
              <w:left w:val="single" w:sz="8" w:space="0" w:color="auto"/>
              <w:bottom w:val="single" w:sz="4" w:space="0" w:color="auto"/>
              <w:right w:val="single" w:sz="4" w:space="0" w:color="auto"/>
            </w:tcBorders>
            <w:shd w:val="clear" w:color="auto" w:fill="auto"/>
            <w:noWrap/>
            <w:vAlign w:val="bottom"/>
            <w:hideMark/>
          </w:tcPr>
          <w:p w:rsidR="005D6ACF" w:rsidRPr="00974FB1" w:rsidRDefault="005D6ACF" w:rsidP="008A253E">
            <w:pPr>
              <w:rPr>
                <w:sz w:val="20"/>
                <w:szCs w:val="20"/>
              </w:rPr>
            </w:pPr>
            <w:r w:rsidRPr="00974FB1">
              <w:rPr>
                <w:sz w:val="20"/>
                <w:szCs w:val="20"/>
              </w:rPr>
              <w:t>декабрь</w:t>
            </w:r>
          </w:p>
        </w:tc>
        <w:tc>
          <w:tcPr>
            <w:tcW w:w="897" w:type="dxa"/>
            <w:tcBorders>
              <w:top w:val="nil"/>
              <w:left w:val="nil"/>
              <w:bottom w:val="single" w:sz="4" w:space="0" w:color="auto"/>
              <w:right w:val="single" w:sz="4" w:space="0" w:color="auto"/>
            </w:tcBorders>
            <w:shd w:val="clear" w:color="auto" w:fill="auto"/>
            <w:noWrap/>
            <w:vAlign w:val="bottom"/>
            <w:hideMark/>
          </w:tcPr>
          <w:p w:rsidR="005D6ACF" w:rsidRPr="00974FB1" w:rsidRDefault="005D6ACF" w:rsidP="008A253E">
            <w:pPr>
              <w:jc w:val="right"/>
              <w:rPr>
                <w:sz w:val="20"/>
                <w:szCs w:val="20"/>
              </w:rPr>
            </w:pPr>
            <w:r w:rsidRPr="00974FB1">
              <w:rPr>
                <w:sz w:val="20"/>
                <w:szCs w:val="20"/>
              </w:rPr>
              <w:t>31</w:t>
            </w:r>
          </w:p>
        </w:tc>
        <w:tc>
          <w:tcPr>
            <w:tcW w:w="1660" w:type="dxa"/>
            <w:gridSpan w:val="3"/>
            <w:tcBorders>
              <w:top w:val="nil"/>
              <w:left w:val="nil"/>
              <w:bottom w:val="single" w:sz="4" w:space="0" w:color="auto"/>
              <w:right w:val="single" w:sz="4" w:space="0" w:color="auto"/>
            </w:tcBorders>
            <w:shd w:val="clear" w:color="auto" w:fill="auto"/>
            <w:noWrap/>
            <w:hideMark/>
          </w:tcPr>
          <w:p w:rsidR="005D6ACF" w:rsidRPr="002C6906" w:rsidRDefault="005D6ACF" w:rsidP="008A253E">
            <w:pPr>
              <w:jc w:val="right"/>
              <w:rPr>
                <w:sz w:val="20"/>
                <w:szCs w:val="20"/>
              </w:rPr>
            </w:pPr>
            <w:r w:rsidRPr="002C6906">
              <w:rPr>
                <w:sz w:val="20"/>
                <w:szCs w:val="20"/>
              </w:rPr>
              <w:t>220 000 000,0</w:t>
            </w:r>
          </w:p>
        </w:tc>
        <w:tc>
          <w:tcPr>
            <w:tcW w:w="1324" w:type="dxa"/>
            <w:gridSpan w:val="2"/>
            <w:tcBorders>
              <w:top w:val="nil"/>
              <w:left w:val="nil"/>
              <w:bottom w:val="single" w:sz="4" w:space="0" w:color="auto"/>
              <w:right w:val="single" w:sz="4" w:space="0" w:color="auto"/>
            </w:tcBorders>
            <w:shd w:val="clear" w:color="auto" w:fill="auto"/>
            <w:noWrap/>
            <w:hideMark/>
          </w:tcPr>
          <w:p w:rsidR="005D6ACF" w:rsidRPr="002C6906" w:rsidRDefault="005D6ACF" w:rsidP="008A253E">
            <w:pPr>
              <w:jc w:val="right"/>
              <w:rPr>
                <w:sz w:val="20"/>
                <w:szCs w:val="20"/>
              </w:rPr>
            </w:pPr>
            <w:r w:rsidRPr="002C6906">
              <w:rPr>
                <w:sz w:val="20"/>
                <w:szCs w:val="20"/>
              </w:rPr>
              <w:t>0,1%</w:t>
            </w:r>
          </w:p>
        </w:tc>
        <w:tc>
          <w:tcPr>
            <w:tcW w:w="1660" w:type="dxa"/>
            <w:gridSpan w:val="3"/>
            <w:tcBorders>
              <w:top w:val="nil"/>
              <w:left w:val="nil"/>
              <w:bottom w:val="single" w:sz="4" w:space="0" w:color="auto"/>
              <w:right w:val="single" w:sz="4" w:space="0" w:color="auto"/>
            </w:tcBorders>
            <w:shd w:val="clear" w:color="auto" w:fill="auto"/>
            <w:noWrap/>
            <w:hideMark/>
          </w:tcPr>
          <w:p w:rsidR="005D6ACF" w:rsidRPr="002C6906" w:rsidRDefault="005D6ACF" w:rsidP="008A253E">
            <w:pPr>
              <w:jc w:val="right"/>
              <w:rPr>
                <w:sz w:val="20"/>
                <w:szCs w:val="20"/>
              </w:rPr>
            </w:pPr>
            <w:r w:rsidRPr="002C6906">
              <w:rPr>
                <w:sz w:val="20"/>
                <w:szCs w:val="20"/>
              </w:rPr>
              <w:t>18 684,9</w:t>
            </w:r>
          </w:p>
        </w:tc>
        <w:tc>
          <w:tcPr>
            <w:tcW w:w="2080" w:type="dxa"/>
            <w:gridSpan w:val="3"/>
            <w:tcBorders>
              <w:top w:val="nil"/>
              <w:left w:val="nil"/>
              <w:bottom w:val="single" w:sz="4" w:space="0" w:color="auto"/>
              <w:right w:val="single" w:sz="4" w:space="0" w:color="auto"/>
            </w:tcBorders>
            <w:shd w:val="clear" w:color="auto" w:fill="auto"/>
            <w:noWrap/>
            <w:hideMark/>
          </w:tcPr>
          <w:p w:rsidR="005D6ACF" w:rsidRPr="002C6906" w:rsidRDefault="005D6ACF" w:rsidP="008A253E">
            <w:pPr>
              <w:jc w:val="right"/>
              <w:rPr>
                <w:sz w:val="20"/>
                <w:szCs w:val="20"/>
              </w:rPr>
            </w:pPr>
            <w:r w:rsidRPr="002C6906">
              <w:rPr>
                <w:sz w:val="20"/>
                <w:szCs w:val="20"/>
              </w:rPr>
              <w:t>90 982 600,0</w:t>
            </w:r>
          </w:p>
        </w:tc>
        <w:tc>
          <w:tcPr>
            <w:tcW w:w="2100" w:type="dxa"/>
            <w:gridSpan w:val="3"/>
            <w:tcBorders>
              <w:top w:val="nil"/>
              <w:left w:val="nil"/>
              <w:bottom w:val="single" w:sz="4" w:space="0" w:color="auto"/>
              <w:right w:val="single" w:sz="4" w:space="0" w:color="auto"/>
            </w:tcBorders>
            <w:shd w:val="clear" w:color="auto" w:fill="auto"/>
            <w:noWrap/>
            <w:hideMark/>
          </w:tcPr>
          <w:p w:rsidR="005D6ACF" w:rsidRPr="002C6906" w:rsidRDefault="005D6ACF" w:rsidP="008A253E">
            <w:pPr>
              <w:jc w:val="right"/>
              <w:rPr>
                <w:sz w:val="20"/>
                <w:szCs w:val="20"/>
              </w:rPr>
            </w:pPr>
            <w:r w:rsidRPr="002C6906">
              <w:rPr>
                <w:sz w:val="20"/>
                <w:szCs w:val="20"/>
              </w:rPr>
              <w:t>200 000 000,0</w:t>
            </w:r>
          </w:p>
        </w:tc>
        <w:tc>
          <w:tcPr>
            <w:tcW w:w="1660" w:type="dxa"/>
            <w:gridSpan w:val="3"/>
            <w:tcBorders>
              <w:top w:val="nil"/>
              <w:left w:val="nil"/>
              <w:bottom w:val="single" w:sz="4" w:space="0" w:color="auto"/>
              <w:right w:val="single" w:sz="4" w:space="0" w:color="auto"/>
            </w:tcBorders>
            <w:shd w:val="clear" w:color="auto" w:fill="auto"/>
            <w:noWrap/>
            <w:hideMark/>
          </w:tcPr>
          <w:p w:rsidR="005D6ACF" w:rsidRPr="002C6906" w:rsidRDefault="005D6ACF" w:rsidP="008A253E">
            <w:pPr>
              <w:jc w:val="right"/>
              <w:rPr>
                <w:sz w:val="20"/>
                <w:szCs w:val="20"/>
              </w:rPr>
            </w:pPr>
            <w:r w:rsidRPr="002C6906">
              <w:rPr>
                <w:sz w:val="20"/>
                <w:szCs w:val="20"/>
              </w:rPr>
              <w:t>7 727</w:t>
            </w:r>
          </w:p>
        </w:tc>
        <w:tc>
          <w:tcPr>
            <w:tcW w:w="1660" w:type="dxa"/>
            <w:gridSpan w:val="3"/>
            <w:tcBorders>
              <w:top w:val="nil"/>
              <w:left w:val="nil"/>
              <w:bottom w:val="single" w:sz="4" w:space="0" w:color="auto"/>
              <w:right w:val="single" w:sz="4" w:space="0" w:color="auto"/>
            </w:tcBorders>
            <w:shd w:val="clear" w:color="auto" w:fill="auto"/>
            <w:noWrap/>
            <w:hideMark/>
          </w:tcPr>
          <w:p w:rsidR="005D6ACF" w:rsidRPr="002C6906" w:rsidRDefault="005D6ACF" w:rsidP="008A253E">
            <w:pPr>
              <w:jc w:val="right"/>
              <w:rPr>
                <w:sz w:val="20"/>
                <w:szCs w:val="20"/>
              </w:rPr>
            </w:pPr>
            <w:r w:rsidRPr="002C6906">
              <w:rPr>
                <w:sz w:val="20"/>
                <w:szCs w:val="20"/>
              </w:rPr>
              <w:t>16 986,3</w:t>
            </w:r>
          </w:p>
        </w:tc>
        <w:tc>
          <w:tcPr>
            <w:tcW w:w="1357" w:type="dxa"/>
            <w:gridSpan w:val="2"/>
            <w:tcBorders>
              <w:top w:val="nil"/>
              <w:left w:val="nil"/>
              <w:bottom w:val="single" w:sz="4" w:space="0" w:color="auto"/>
              <w:right w:val="single" w:sz="8" w:space="0" w:color="auto"/>
            </w:tcBorders>
            <w:shd w:val="clear" w:color="auto" w:fill="auto"/>
            <w:noWrap/>
            <w:hideMark/>
          </w:tcPr>
          <w:p w:rsidR="005D6ACF" w:rsidRPr="002C6906" w:rsidRDefault="005D6ACF" w:rsidP="008A253E">
            <w:pPr>
              <w:jc w:val="right"/>
              <w:rPr>
                <w:sz w:val="20"/>
                <w:szCs w:val="20"/>
              </w:rPr>
            </w:pPr>
            <w:r w:rsidRPr="002C6906">
              <w:rPr>
                <w:sz w:val="20"/>
                <w:szCs w:val="20"/>
              </w:rPr>
              <w:t>43 398,5</w:t>
            </w:r>
          </w:p>
        </w:tc>
      </w:tr>
      <w:tr w:rsidR="005D6ACF" w:rsidRPr="00974FB1" w:rsidTr="008A253E">
        <w:trPr>
          <w:trHeight w:val="270"/>
        </w:trPr>
        <w:tc>
          <w:tcPr>
            <w:tcW w:w="973" w:type="dxa"/>
            <w:tcBorders>
              <w:top w:val="nil"/>
              <w:left w:val="single" w:sz="8" w:space="0" w:color="auto"/>
              <w:bottom w:val="single" w:sz="8" w:space="0" w:color="auto"/>
              <w:right w:val="single" w:sz="4" w:space="0" w:color="auto"/>
            </w:tcBorders>
            <w:shd w:val="clear" w:color="auto" w:fill="auto"/>
            <w:noWrap/>
            <w:vAlign w:val="bottom"/>
            <w:hideMark/>
          </w:tcPr>
          <w:p w:rsidR="005D6ACF" w:rsidRPr="00974FB1" w:rsidRDefault="005D6ACF" w:rsidP="008A253E">
            <w:pPr>
              <w:rPr>
                <w:sz w:val="20"/>
                <w:szCs w:val="20"/>
              </w:rPr>
            </w:pPr>
            <w:r w:rsidRPr="00974FB1">
              <w:rPr>
                <w:sz w:val="20"/>
                <w:szCs w:val="20"/>
              </w:rPr>
              <w:t>Всего</w:t>
            </w:r>
          </w:p>
        </w:tc>
        <w:tc>
          <w:tcPr>
            <w:tcW w:w="897" w:type="dxa"/>
            <w:tcBorders>
              <w:top w:val="nil"/>
              <w:left w:val="nil"/>
              <w:bottom w:val="single" w:sz="8" w:space="0" w:color="auto"/>
              <w:right w:val="single" w:sz="4" w:space="0" w:color="auto"/>
            </w:tcBorders>
            <w:shd w:val="clear" w:color="auto" w:fill="auto"/>
            <w:noWrap/>
            <w:vAlign w:val="bottom"/>
            <w:hideMark/>
          </w:tcPr>
          <w:p w:rsidR="005D6ACF" w:rsidRPr="00974FB1" w:rsidRDefault="005D6ACF" w:rsidP="008A253E">
            <w:pPr>
              <w:jc w:val="right"/>
              <w:rPr>
                <w:sz w:val="20"/>
                <w:szCs w:val="20"/>
              </w:rPr>
            </w:pPr>
            <w:r w:rsidRPr="00974FB1">
              <w:rPr>
                <w:sz w:val="20"/>
                <w:szCs w:val="20"/>
              </w:rPr>
              <w:t>365</w:t>
            </w:r>
          </w:p>
        </w:tc>
        <w:tc>
          <w:tcPr>
            <w:tcW w:w="1660" w:type="dxa"/>
            <w:gridSpan w:val="3"/>
            <w:tcBorders>
              <w:top w:val="nil"/>
              <w:left w:val="nil"/>
              <w:bottom w:val="single" w:sz="8" w:space="0" w:color="auto"/>
              <w:right w:val="single" w:sz="4" w:space="0" w:color="auto"/>
            </w:tcBorders>
            <w:shd w:val="clear" w:color="auto" w:fill="auto"/>
            <w:noWrap/>
            <w:hideMark/>
          </w:tcPr>
          <w:p w:rsidR="005D6ACF" w:rsidRPr="002C6906" w:rsidRDefault="005D6ACF" w:rsidP="008A253E">
            <w:pPr>
              <w:jc w:val="right"/>
              <w:rPr>
                <w:b/>
                <w:sz w:val="20"/>
                <w:szCs w:val="20"/>
              </w:rPr>
            </w:pPr>
            <w:r w:rsidRPr="002C6906">
              <w:rPr>
                <w:b/>
                <w:sz w:val="20"/>
                <w:szCs w:val="20"/>
              </w:rPr>
              <w:t>220 000 000,0</w:t>
            </w:r>
          </w:p>
        </w:tc>
        <w:tc>
          <w:tcPr>
            <w:tcW w:w="1324" w:type="dxa"/>
            <w:gridSpan w:val="2"/>
            <w:tcBorders>
              <w:top w:val="nil"/>
              <w:left w:val="nil"/>
              <w:bottom w:val="single" w:sz="8" w:space="0" w:color="auto"/>
              <w:right w:val="single" w:sz="4" w:space="0" w:color="auto"/>
            </w:tcBorders>
            <w:shd w:val="clear" w:color="auto" w:fill="auto"/>
            <w:noWrap/>
            <w:hideMark/>
          </w:tcPr>
          <w:p w:rsidR="005D6ACF" w:rsidRPr="002C6906" w:rsidRDefault="005D6ACF" w:rsidP="008A253E">
            <w:pPr>
              <w:jc w:val="right"/>
              <w:rPr>
                <w:b/>
                <w:sz w:val="20"/>
                <w:szCs w:val="20"/>
              </w:rPr>
            </w:pPr>
          </w:p>
        </w:tc>
        <w:tc>
          <w:tcPr>
            <w:tcW w:w="1660" w:type="dxa"/>
            <w:gridSpan w:val="3"/>
            <w:tcBorders>
              <w:top w:val="nil"/>
              <w:left w:val="nil"/>
              <w:bottom w:val="single" w:sz="8" w:space="0" w:color="auto"/>
              <w:right w:val="single" w:sz="4" w:space="0" w:color="auto"/>
            </w:tcBorders>
            <w:shd w:val="clear" w:color="auto" w:fill="auto"/>
            <w:noWrap/>
            <w:hideMark/>
          </w:tcPr>
          <w:p w:rsidR="005D6ACF" w:rsidRPr="002C6906" w:rsidRDefault="005D6ACF" w:rsidP="008A253E">
            <w:pPr>
              <w:jc w:val="right"/>
              <w:rPr>
                <w:b/>
                <w:sz w:val="20"/>
                <w:szCs w:val="20"/>
              </w:rPr>
            </w:pPr>
            <w:r w:rsidRPr="002C6906">
              <w:rPr>
                <w:b/>
                <w:sz w:val="20"/>
                <w:szCs w:val="20"/>
              </w:rPr>
              <w:t>74 865,8</w:t>
            </w:r>
          </w:p>
        </w:tc>
        <w:tc>
          <w:tcPr>
            <w:tcW w:w="2080" w:type="dxa"/>
            <w:gridSpan w:val="3"/>
            <w:tcBorders>
              <w:top w:val="nil"/>
              <w:left w:val="nil"/>
              <w:bottom w:val="single" w:sz="8" w:space="0" w:color="auto"/>
              <w:right w:val="single" w:sz="4" w:space="0" w:color="auto"/>
            </w:tcBorders>
            <w:shd w:val="clear" w:color="auto" w:fill="auto"/>
            <w:noWrap/>
            <w:hideMark/>
          </w:tcPr>
          <w:p w:rsidR="005D6ACF" w:rsidRPr="002C6906" w:rsidRDefault="005D6ACF" w:rsidP="008A253E">
            <w:pPr>
              <w:jc w:val="right"/>
              <w:rPr>
                <w:b/>
                <w:sz w:val="20"/>
                <w:szCs w:val="20"/>
              </w:rPr>
            </w:pPr>
            <w:r w:rsidRPr="002C6906">
              <w:rPr>
                <w:b/>
                <w:sz w:val="20"/>
                <w:szCs w:val="20"/>
              </w:rPr>
              <w:t>Х</w:t>
            </w:r>
          </w:p>
        </w:tc>
        <w:tc>
          <w:tcPr>
            <w:tcW w:w="2100" w:type="dxa"/>
            <w:gridSpan w:val="3"/>
            <w:tcBorders>
              <w:top w:val="nil"/>
              <w:left w:val="nil"/>
              <w:bottom w:val="single" w:sz="8" w:space="0" w:color="auto"/>
              <w:right w:val="single" w:sz="4" w:space="0" w:color="auto"/>
            </w:tcBorders>
            <w:shd w:val="clear" w:color="auto" w:fill="auto"/>
            <w:noWrap/>
            <w:hideMark/>
          </w:tcPr>
          <w:p w:rsidR="005D6ACF" w:rsidRPr="002C6906" w:rsidRDefault="005D6ACF" w:rsidP="008A253E">
            <w:pPr>
              <w:jc w:val="right"/>
              <w:rPr>
                <w:b/>
                <w:sz w:val="20"/>
                <w:szCs w:val="20"/>
              </w:rPr>
            </w:pPr>
            <w:r w:rsidRPr="002C6906">
              <w:rPr>
                <w:b/>
                <w:sz w:val="20"/>
                <w:szCs w:val="20"/>
              </w:rPr>
              <w:t>Х</w:t>
            </w:r>
          </w:p>
        </w:tc>
        <w:tc>
          <w:tcPr>
            <w:tcW w:w="1660" w:type="dxa"/>
            <w:gridSpan w:val="3"/>
            <w:tcBorders>
              <w:top w:val="nil"/>
              <w:left w:val="nil"/>
              <w:bottom w:val="single" w:sz="8" w:space="0" w:color="auto"/>
              <w:right w:val="single" w:sz="4" w:space="0" w:color="auto"/>
            </w:tcBorders>
            <w:shd w:val="clear" w:color="auto" w:fill="auto"/>
            <w:noWrap/>
            <w:hideMark/>
          </w:tcPr>
          <w:p w:rsidR="005D6ACF" w:rsidRPr="002C6906" w:rsidRDefault="005D6ACF" w:rsidP="008A253E">
            <w:pPr>
              <w:jc w:val="right"/>
              <w:rPr>
                <w:b/>
                <w:sz w:val="20"/>
                <w:szCs w:val="20"/>
              </w:rPr>
            </w:pPr>
            <w:r w:rsidRPr="002C6906">
              <w:rPr>
                <w:b/>
                <w:sz w:val="20"/>
                <w:szCs w:val="20"/>
              </w:rPr>
              <w:t>90 983</w:t>
            </w:r>
          </w:p>
        </w:tc>
        <w:tc>
          <w:tcPr>
            <w:tcW w:w="1660" w:type="dxa"/>
            <w:gridSpan w:val="3"/>
            <w:tcBorders>
              <w:top w:val="nil"/>
              <w:left w:val="nil"/>
              <w:bottom w:val="single" w:sz="8" w:space="0" w:color="auto"/>
              <w:right w:val="single" w:sz="4" w:space="0" w:color="auto"/>
            </w:tcBorders>
            <w:shd w:val="clear" w:color="auto" w:fill="auto"/>
            <w:noWrap/>
            <w:hideMark/>
          </w:tcPr>
          <w:p w:rsidR="005D6ACF" w:rsidRPr="002C6906" w:rsidRDefault="005D6ACF" w:rsidP="008A253E">
            <w:pPr>
              <w:jc w:val="right"/>
              <w:rPr>
                <w:b/>
                <w:sz w:val="20"/>
                <w:szCs w:val="20"/>
              </w:rPr>
            </w:pPr>
            <w:r w:rsidRPr="002C6906">
              <w:rPr>
                <w:b/>
                <w:sz w:val="20"/>
                <w:szCs w:val="20"/>
              </w:rPr>
              <w:t>200 000,0</w:t>
            </w:r>
          </w:p>
        </w:tc>
        <w:tc>
          <w:tcPr>
            <w:tcW w:w="1357" w:type="dxa"/>
            <w:gridSpan w:val="2"/>
            <w:tcBorders>
              <w:top w:val="nil"/>
              <w:left w:val="nil"/>
              <w:bottom w:val="single" w:sz="8" w:space="0" w:color="auto"/>
              <w:right w:val="single" w:sz="8" w:space="0" w:color="auto"/>
            </w:tcBorders>
            <w:shd w:val="clear" w:color="auto" w:fill="auto"/>
            <w:noWrap/>
            <w:hideMark/>
          </w:tcPr>
          <w:p w:rsidR="005D6ACF" w:rsidRPr="002C6906" w:rsidRDefault="005D6ACF" w:rsidP="008A253E">
            <w:pPr>
              <w:jc w:val="right"/>
              <w:rPr>
                <w:b/>
                <w:sz w:val="20"/>
                <w:szCs w:val="20"/>
              </w:rPr>
            </w:pPr>
            <w:r w:rsidRPr="002C6906">
              <w:rPr>
                <w:b/>
                <w:sz w:val="20"/>
                <w:szCs w:val="20"/>
              </w:rPr>
              <w:t>365 848,4</w:t>
            </w:r>
          </w:p>
        </w:tc>
      </w:tr>
    </w:tbl>
    <w:p w:rsidR="005D6ACF" w:rsidRDefault="005D6ACF" w:rsidP="005D6ACF">
      <w:pPr>
        <w:pStyle w:val="a4"/>
        <w:ind w:firstLine="720"/>
        <w:rPr>
          <w:b/>
        </w:rPr>
      </w:pPr>
    </w:p>
    <w:tbl>
      <w:tblPr>
        <w:tblW w:w="14628" w:type="dxa"/>
        <w:tblLook w:val="04A0" w:firstRow="1" w:lastRow="0" w:firstColumn="1" w:lastColumn="0" w:noHBand="0" w:noVBand="1"/>
      </w:tblPr>
      <w:tblGrid>
        <w:gridCol w:w="1055"/>
        <w:gridCol w:w="1377"/>
        <w:gridCol w:w="1538"/>
        <w:gridCol w:w="1324"/>
        <w:gridCol w:w="1473"/>
        <w:gridCol w:w="2008"/>
        <w:gridCol w:w="2008"/>
        <w:gridCol w:w="1471"/>
        <w:gridCol w:w="1471"/>
        <w:gridCol w:w="1475"/>
      </w:tblGrid>
      <w:tr w:rsidR="005D6ACF" w:rsidTr="008A253E">
        <w:trPr>
          <w:trHeight w:val="142"/>
        </w:trPr>
        <w:tc>
          <w:tcPr>
            <w:tcW w:w="14628" w:type="dxa"/>
            <w:gridSpan w:val="10"/>
            <w:tcBorders>
              <w:top w:val="nil"/>
              <w:left w:val="nil"/>
              <w:bottom w:val="nil"/>
              <w:right w:val="nil"/>
            </w:tcBorders>
            <w:shd w:val="clear" w:color="auto" w:fill="auto"/>
            <w:vAlign w:val="center"/>
            <w:hideMark/>
          </w:tcPr>
          <w:p w:rsidR="005D6ACF" w:rsidRPr="00D5138D" w:rsidRDefault="005D6ACF" w:rsidP="008A253E">
            <w:pPr>
              <w:jc w:val="center"/>
              <w:rPr>
                <w:b/>
                <w:bCs/>
                <w:sz w:val="20"/>
                <w:szCs w:val="20"/>
              </w:rPr>
            </w:pPr>
            <w:r w:rsidRPr="00D5138D">
              <w:rPr>
                <w:b/>
                <w:bCs/>
                <w:sz w:val="20"/>
                <w:szCs w:val="20"/>
              </w:rPr>
              <w:t>Расчет прогноза поступления процентов по бюджетным кредитам в 202</w:t>
            </w:r>
            <w:r>
              <w:rPr>
                <w:b/>
                <w:bCs/>
                <w:sz w:val="20"/>
                <w:szCs w:val="20"/>
              </w:rPr>
              <w:t>4</w:t>
            </w:r>
            <w:r w:rsidRPr="00D5138D">
              <w:rPr>
                <w:b/>
                <w:bCs/>
                <w:sz w:val="20"/>
                <w:szCs w:val="20"/>
              </w:rPr>
              <w:t xml:space="preserve"> году</w:t>
            </w:r>
          </w:p>
        </w:tc>
      </w:tr>
      <w:tr w:rsidR="005D6ACF" w:rsidTr="008A253E">
        <w:trPr>
          <w:trHeight w:val="106"/>
        </w:trPr>
        <w:tc>
          <w:tcPr>
            <w:tcW w:w="6195" w:type="dxa"/>
            <w:gridSpan w:val="5"/>
            <w:tcBorders>
              <w:top w:val="nil"/>
              <w:left w:val="nil"/>
              <w:bottom w:val="nil"/>
              <w:right w:val="nil"/>
            </w:tcBorders>
            <w:shd w:val="clear" w:color="auto" w:fill="auto"/>
            <w:vAlign w:val="center"/>
            <w:hideMark/>
          </w:tcPr>
          <w:p w:rsidR="005D6ACF" w:rsidRPr="00D5138D" w:rsidRDefault="005D6ACF" w:rsidP="008A253E">
            <w:pPr>
              <w:jc w:val="center"/>
              <w:rPr>
                <w:b/>
                <w:bCs/>
                <w:sz w:val="20"/>
                <w:szCs w:val="20"/>
              </w:rPr>
            </w:pPr>
          </w:p>
        </w:tc>
        <w:tc>
          <w:tcPr>
            <w:tcW w:w="2008" w:type="dxa"/>
            <w:tcBorders>
              <w:top w:val="nil"/>
              <w:left w:val="nil"/>
              <w:bottom w:val="nil"/>
              <w:right w:val="nil"/>
            </w:tcBorders>
            <w:shd w:val="clear" w:color="auto" w:fill="auto"/>
            <w:vAlign w:val="center"/>
            <w:hideMark/>
          </w:tcPr>
          <w:p w:rsidR="005D6ACF" w:rsidRPr="00D5138D" w:rsidRDefault="005D6ACF" w:rsidP="008A253E">
            <w:pPr>
              <w:jc w:val="center"/>
              <w:rPr>
                <w:sz w:val="20"/>
                <w:szCs w:val="20"/>
              </w:rPr>
            </w:pPr>
          </w:p>
        </w:tc>
        <w:tc>
          <w:tcPr>
            <w:tcW w:w="2008" w:type="dxa"/>
            <w:tcBorders>
              <w:top w:val="nil"/>
              <w:left w:val="nil"/>
              <w:bottom w:val="nil"/>
              <w:right w:val="nil"/>
            </w:tcBorders>
            <w:shd w:val="clear" w:color="auto" w:fill="auto"/>
            <w:vAlign w:val="center"/>
            <w:hideMark/>
          </w:tcPr>
          <w:p w:rsidR="005D6ACF" w:rsidRPr="00D5138D" w:rsidRDefault="005D6ACF" w:rsidP="008A253E">
            <w:pPr>
              <w:jc w:val="center"/>
              <w:rPr>
                <w:sz w:val="20"/>
                <w:szCs w:val="20"/>
              </w:rPr>
            </w:pPr>
          </w:p>
        </w:tc>
        <w:tc>
          <w:tcPr>
            <w:tcW w:w="1471" w:type="dxa"/>
            <w:tcBorders>
              <w:top w:val="nil"/>
              <w:left w:val="nil"/>
              <w:bottom w:val="nil"/>
              <w:right w:val="nil"/>
            </w:tcBorders>
            <w:shd w:val="clear" w:color="auto" w:fill="auto"/>
            <w:noWrap/>
            <w:vAlign w:val="bottom"/>
            <w:hideMark/>
          </w:tcPr>
          <w:p w:rsidR="005D6ACF" w:rsidRPr="00D5138D" w:rsidRDefault="005D6ACF" w:rsidP="008A253E">
            <w:pPr>
              <w:jc w:val="center"/>
              <w:rPr>
                <w:sz w:val="20"/>
                <w:szCs w:val="20"/>
              </w:rPr>
            </w:pPr>
          </w:p>
        </w:tc>
        <w:tc>
          <w:tcPr>
            <w:tcW w:w="1471" w:type="dxa"/>
            <w:tcBorders>
              <w:top w:val="nil"/>
              <w:left w:val="nil"/>
              <w:bottom w:val="nil"/>
              <w:right w:val="nil"/>
            </w:tcBorders>
            <w:shd w:val="clear" w:color="auto" w:fill="auto"/>
            <w:noWrap/>
            <w:vAlign w:val="bottom"/>
            <w:hideMark/>
          </w:tcPr>
          <w:p w:rsidR="005D6ACF" w:rsidRPr="00D5138D" w:rsidRDefault="005D6ACF" w:rsidP="008A253E">
            <w:pPr>
              <w:rPr>
                <w:sz w:val="20"/>
                <w:szCs w:val="20"/>
              </w:rPr>
            </w:pPr>
          </w:p>
        </w:tc>
        <w:tc>
          <w:tcPr>
            <w:tcW w:w="1475" w:type="dxa"/>
            <w:tcBorders>
              <w:top w:val="nil"/>
              <w:left w:val="nil"/>
              <w:bottom w:val="nil"/>
              <w:right w:val="nil"/>
            </w:tcBorders>
            <w:shd w:val="clear" w:color="auto" w:fill="auto"/>
            <w:noWrap/>
            <w:vAlign w:val="bottom"/>
            <w:hideMark/>
          </w:tcPr>
          <w:p w:rsidR="005D6ACF" w:rsidRPr="00D5138D" w:rsidRDefault="005D6ACF" w:rsidP="008A253E">
            <w:pPr>
              <w:jc w:val="right"/>
              <w:rPr>
                <w:sz w:val="20"/>
                <w:szCs w:val="20"/>
              </w:rPr>
            </w:pPr>
            <w:r w:rsidRPr="00D5138D">
              <w:rPr>
                <w:sz w:val="20"/>
                <w:szCs w:val="20"/>
              </w:rPr>
              <w:t>(руб.)</w:t>
            </w:r>
          </w:p>
        </w:tc>
      </w:tr>
      <w:tr w:rsidR="005D6ACF" w:rsidTr="008A253E">
        <w:trPr>
          <w:trHeight w:val="643"/>
        </w:trPr>
        <w:tc>
          <w:tcPr>
            <w:tcW w:w="1055"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5D6ACF" w:rsidRPr="00D5138D" w:rsidRDefault="005D6ACF" w:rsidP="008A253E">
            <w:pPr>
              <w:jc w:val="center"/>
              <w:rPr>
                <w:b/>
                <w:bCs/>
                <w:sz w:val="20"/>
                <w:szCs w:val="20"/>
              </w:rPr>
            </w:pPr>
            <w:r w:rsidRPr="00D5138D">
              <w:rPr>
                <w:b/>
                <w:bCs/>
                <w:sz w:val="20"/>
                <w:szCs w:val="20"/>
              </w:rPr>
              <w:t>Месяц</w:t>
            </w:r>
          </w:p>
        </w:tc>
        <w:tc>
          <w:tcPr>
            <w:tcW w:w="97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5D6ACF" w:rsidRPr="00D5138D" w:rsidRDefault="005D6ACF" w:rsidP="008A253E">
            <w:pPr>
              <w:jc w:val="center"/>
              <w:rPr>
                <w:b/>
                <w:bCs/>
                <w:sz w:val="20"/>
                <w:szCs w:val="20"/>
              </w:rPr>
            </w:pPr>
            <w:r>
              <w:rPr>
                <w:b/>
                <w:bCs/>
                <w:sz w:val="20"/>
                <w:szCs w:val="20"/>
              </w:rPr>
              <w:t>Срок пользования креди</w:t>
            </w:r>
            <w:r w:rsidRPr="00D5138D">
              <w:rPr>
                <w:b/>
                <w:bCs/>
                <w:sz w:val="20"/>
                <w:szCs w:val="20"/>
              </w:rPr>
              <w:t>том, дней</w:t>
            </w:r>
          </w:p>
        </w:tc>
        <w:tc>
          <w:tcPr>
            <w:tcW w:w="153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5D6ACF" w:rsidRPr="00A07586" w:rsidRDefault="005D6ACF" w:rsidP="008A253E">
            <w:pPr>
              <w:jc w:val="center"/>
              <w:rPr>
                <w:b/>
                <w:sz w:val="20"/>
                <w:szCs w:val="20"/>
              </w:rPr>
            </w:pPr>
            <w:r w:rsidRPr="00A07586">
              <w:rPr>
                <w:b/>
                <w:sz w:val="20"/>
                <w:szCs w:val="20"/>
              </w:rPr>
              <w:t>Сумма кредита, планируемая к выдаче в 2024 году                (руб.)</w:t>
            </w:r>
          </w:p>
        </w:tc>
        <w:tc>
          <w:tcPr>
            <w:tcW w:w="1157"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5D6ACF" w:rsidRPr="00A07586" w:rsidRDefault="005D6ACF" w:rsidP="008A253E">
            <w:pPr>
              <w:jc w:val="center"/>
              <w:rPr>
                <w:b/>
                <w:sz w:val="20"/>
                <w:szCs w:val="20"/>
              </w:rPr>
            </w:pPr>
            <w:r>
              <w:rPr>
                <w:b/>
                <w:sz w:val="20"/>
                <w:szCs w:val="20"/>
              </w:rPr>
              <w:t>Процент</w:t>
            </w:r>
            <w:r w:rsidRPr="00A07586">
              <w:rPr>
                <w:b/>
                <w:sz w:val="20"/>
                <w:szCs w:val="20"/>
              </w:rPr>
              <w:t>ная ставка, %</w:t>
            </w:r>
          </w:p>
        </w:tc>
        <w:tc>
          <w:tcPr>
            <w:tcW w:w="1473"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5D6ACF" w:rsidRPr="00A07586" w:rsidRDefault="005D6ACF" w:rsidP="008A253E">
            <w:pPr>
              <w:jc w:val="center"/>
              <w:rPr>
                <w:b/>
                <w:sz w:val="20"/>
                <w:szCs w:val="20"/>
              </w:rPr>
            </w:pPr>
            <w:r w:rsidRPr="00A07586">
              <w:rPr>
                <w:b/>
                <w:sz w:val="20"/>
                <w:szCs w:val="20"/>
              </w:rPr>
              <w:t>Сумма процентов за пользование кредитом в 2024 году (кредиты 2024года)</w:t>
            </w:r>
          </w:p>
        </w:tc>
        <w:tc>
          <w:tcPr>
            <w:tcW w:w="200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5D6ACF" w:rsidRPr="00A07586" w:rsidRDefault="005D6ACF" w:rsidP="008A253E">
            <w:pPr>
              <w:jc w:val="center"/>
              <w:rPr>
                <w:b/>
                <w:sz w:val="20"/>
                <w:szCs w:val="20"/>
              </w:rPr>
            </w:pPr>
            <w:r w:rsidRPr="00A07586">
              <w:rPr>
                <w:b/>
                <w:sz w:val="20"/>
                <w:szCs w:val="20"/>
              </w:rPr>
              <w:t>Ожидаемая задолженность по кредитам, предоставленным в 2022 году</w:t>
            </w:r>
          </w:p>
        </w:tc>
        <w:tc>
          <w:tcPr>
            <w:tcW w:w="200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5D6ACF" w:rsidRPr="00A07586" w:rsidRDefault="005D6ACF" w:rsidP="008A253E">
            <w:pPr>
              <w:jc w:val="center"/>
              <w:rPr>
                <w:b/>
                <w:sz w:val="20"/>
                <w:szCs w:val="20"/>
              </w:rPr>
            </w:pPr>
            <w:r w:rsidRPr="00A07586">
              <w:rPr>
                <w:b/>
                <w:sz w:val="20"/>
                <w:szCs w:val="20"/>
              </w:rPr>
              <w:t>Ожидаемая задолженность по кредитам, предоставленным в 2023году</w:t>
            </w:r>
          </w:p>
        </w:tc>
        <w:tc>
          <w:tcPr>
            <w:tcW w:w="1471"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5D6ACF" w:rsidRPr="00A07586" w:rsidRDefault="005D6ACF" w:rsidP="008A253E">
            <w:pPr>
              <w:jc w:val="center"/>
              <w:rPr>
                <w:b/>
                <w:sz w:val="20"/>
                <w:szCs w:val="20"/>
              </w:rPr>
            </w:pPr>
            <w:r w:rsidRPr="00A07586">
              <w:rPr>
                <w:b/>
                <w:sz w:val="20"/>
                <w:szCs w:val="20"/>
              </w:rPr>
              <w:t>Сумма процентов за пользование кредитом в 2024 году (кредиты 2022 года)</w:t>
            </w:r>
          </w:p>
        </w:tc>
        <w:tc>
          <w:tcPr>
            <w:tcW w:w="1471"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5D6ACF" w:rsidRPr="00A07586" w:rsidRDefault="005D6ACF" w:rsidP="008A253E">
            <w:pPr>
              <w:jc w:val="center"/>
              <w:rPr>
                <w:b/>
                <w:sz w:val="20"/>
                <w:szCs w:val="20"/>
              </w:rPr>
            </w:pPr>
            <w:r w:rsidRPr="00A07586">
              <w:rPr>
                <w:b/>
                <w:sz w:val="20"/>
                <w:szCs w:val="20"/>
              </w:rPr>
              <w:t>Сумма процентов за пользование кредитом в 2024 году (кредиты 2023года)</w:t>
            </w:r>
          </w:p>
        </w:tc>
        <w:tc>
          <w:tcPr>
            <w:tcW w:w="1475"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5D6ACF" w:rsidRPr="00A07586" w:rsidRDefault="005D6ACF" w:rsidP="008A253E">
            <w:pPr>
              <w:jc w:val="center"/>
              <w:rPr>
                <w:b/>
                <w:sz w:val="20"/>
                <w:szCs w:val="20"/>
              </w:rPr>
            </w:pPr>
            <w:r w:rsidRPr="00A07586">
              <w:rPr>
                <w:b/>
                <w:sz w:val="20"/>
                <w:szCs w:val="20"/>
              </w:rPr>
              <w:t>Итого сумма процентов за пользование кредитом в 2024 году</w:t>
            </w:r>
          </w:p>
        </w:tc>
      </w:tr>
      <w:tr w:rsidR="005D6ACF" w:rsidTr="008A253E">
        <w:trPr>
          <w:trHeight w:val="2027"/>
        </w:trPr>
        <w:tc>
          <w:tcPr>
            <w:tcW w:w="1055" w:type="dxa"/>
            <w:vMerge/>
            <w:tcBorders>
              <w:top w:val="single" w:sz="8" w:space="0" w:color="auto"/>
              <w:left w:val="single" w:sz="8" w:space="0" w:color="auto"/>
              <w:bottom w:val="single" w:sz="8" w:space="0" w:color="000000"/>
              <w:right w:val="single" w:sz="4" w:space="0" w:color="auto"/>
            </w:tcBorders>
            <w:vAlign w:val="center"/>
            <w:hideMark/>
          </w:tcPr>
          <w:p w:rsidR="005D6ACF" w:rsidRPr="00D5138D" w:rsidRDefault="005D6ACF" w:rsidP="008A253E">
            <w:pPr>
              <w:rPr>
                <w:b/>
                <w:bCs/>
                <w:sz w:val="20"/>
                <w:szCs w:val="20"/>
              </w:rPr>
            </w:pPr>
          </w:p>
        </w:tc>
        <w:tc>
          <w:tcPr>
            <w:tcW w:w="972" w:type="dxa"/>
            <w:vMerge/>
            <w:tcBorders>
              <w:top w:val="single" w:sz="8" w:space="0" w:color="auto"/>
              <w:left w:val="single" w:sz="4" w:space="0" w:color="auto"/>
              <w:bottom w:val="single" w:sz="8" w:space="0" w:color="000000"/>
              <w:right w:val="single" w:sz="4" w:space="0" w:color="auto"/>
            </w:tcBorders>
            <w:vAlign w:val="center"/>
            <w:hideMark/>
          </w:tcPr>
          <w:p w:rsidR="005D6ACF" w:rsidRPr="00D5138D" w:rsidRDefault="005D6ACF" w:rsidP="008A253E">
            <w:pPr>
              <w:rPr>
                <w:b/>
                <w:bCs/>
                <w:sz w:val="20"/>
                <w:szCs w:val="20"/>
              </w:rPr>
            </w:pPr>
          </w:p>
        </w:tc>
        <w:tc>
          <w:tcPr>
            <w:tcW w:w="1538" w:type="dxa"/>
            <w:vMerge/>
            <w:tcBorders>
              <w:top w:val="single" w:sz="8" w:space="0" w:color="auto"/>
              <w:left w:val="single" w:sz="4" w:space="0" w:color="auto"/>
              <w:bottom w:val="single" w:sz="8" w:space="0" w:color="000000"/>
              <w:right w:val="single" w:sz="4" w:space="0" w:color="auto"/>
            </w:tcBorders>
            <w:vAlign w:val="center"/>
            <w:hideMark/>
          </w:tcPr>
          <w:p w:rsidR="005D6ACF" w:rsidRPr="00D5138D" w:rsidRDefault="005D6ACF" w:rsidP="008A253E">
            <w:pPr>
              <w:rPr>
                <w:b/>
                <w:bCs/>
                <w:sz w:val="20"/>
                <w:szCs w:val="20"/>
              </w:rPr>
            </w:pPr>
          </w:p>
        </w:tc>
        <w:tc>
          <w:tcPr>
            <w:tcW w:w="1157" w:type="dxa"/>
            <w:vMerge/>
            <w:tcBorders>
              <w:top w:val="single" w:sz="8" w:space="0" w:color="auto"/>
              <w:left w:val="single" w:sz="4" w:space="0" w:color="auto"/>
              <w:bottom w:val="single" w:sz="8" w:space="0" w:color="000000"/>
              <w:right w:val="single" w:sz="4" w:space="0" w:color="auto"/>
            </w:tcBorders>
            <w:vAlign w:val="center"/>
            <w:hideMark/>
          </w:tcPr>
          <w:p w:rsidR="005D6ACF" w:rsidRPr="00D5138D" w:rsidRDefault="005D6ACF" w:rsidP="008A253E">
            <w:pPr>
              <w:rPr>
                <w:b/>
                <w:bCs/>
                <w:sz w:val="20"/>
                <w:szCs w:val="20"/>
              </w:rPr>
            </w:pPr>
          </w:p>
        </w:tc>
        <w:tc>
          <w:tcPr>
            <w:tcW w:w="1473" w:type="dxa"/>
            <w:vMerge/>
            <w:tcBorders>
              <w:top w:val="single" w:sz="8" w:space="0" w:color="auto"/>
              <w:left w:val="single" w:sz="4" w:space="0" w:color="auto"/>
              <w:bottom w:val="single" w:sz="4" w:space="0" w:color="auto"/>
              <w:right w:val="single" w:sz="4" w:space="0" w:color="auto"/>
            </w:tcBorders>
            <w:vAlign w:val="center"/>
            <w:hideMark/>
          </w:tcPr>
          <w:p w:rsidR="005D6ACF" w:rsidRPr="00D5138D" w:rsidRDefault="005D6ACF" w:rsidP="008A253E">
            <w:pPr>
              <w:rPr>
                <w:b/>
                <w:bCs/>
                <w:sz w:val="20"/>
                <w:szCs w:val="20"/>
              </w:rPr>
            </w:pPr>
          </w:p>
        </w:tc>
        <w:tc>
          <w:tcPr>
            <w:tcW w:w="2008" w:type="dxa"/>
            <w:vMerge/>
            <w:tcBorders>
              <w:top w:val="single" w:sz="8" w:space="0" w:color="auto"/>
              <w:left w:val="single" w:sz="4" w:space="0" w:color="auto"/>
              <w:bottom w:val="single" w:sz="8" w:space="0" w:color="000000"/>
              <w:right w:val="single" w:sz="4" w:space="0" w:color="auto"/>
            </w:tcBorders>
            <w:vAlign w:val="center"/>
            <w:hideMark/>
          </w:tcPr>
          <w:p w:rsidR="005D6ACF" w:rsidRPr="00D5138D" w:rsidRDefault="005D6ACF" w:rsidP="008A253E">
            <w:pPr>
              <w:rPr>
                <w:b/>
                <w:bCs/>
                <w:sz w:val="20"/>
                <w:szCs w:val="20"/>
              </w:rPr>
            </w:pPr>
          </w:p>
        </w:tc>
        <w:tc>
          <w:tcPr>
            <w:tcW w:w="2008" w:type="dxa"/>
            <w:vMerge/>
            <w:tcBorders>
              <w:top w:val="single" w:sz="8" w:space="0" w:color="auto"/>
              <w:left w:val="single" w:sz="4" w:space="0" w:color="auto"/>
              <w:bottom w:val="single" w:sz="8" w:space="0" w:color="000000"/>
              <w:right w:val="single" w:sz="4" w:space="0" w:color="auto"/>
            </w:tcBorders>
            <w:vAlign w:val="center"/>
            <w:hideMark/>
          </w:tcPr>
          <w:p w:rsidR="005D6ACF" w:rsidRPr="00D5138D" w:rsidRDefault="005D6ACF" w:rsidP="008A253E">
            <w:pPr>
              <w:rPr>
                <w:b/>
                <w:bCs/>
                <w:sz w:val="20"/>
                <w:szCs w:val="20"/>
              </w:rPr>
            </w:pPr>
          </w:p>
        </w:tc>
        <w:tc>
          <w:tcPr>
            <w:tcW w:w="1471" w:type="dxa"/>
            <w:vMerge/>
            <w:tcBorders>
              <w:top w:val="single" w:sz="8" w:space="0" w:color="auto"/>
              <w:left w:val="single" w:sz="4" w:space="0" w:color="auto"/>
              <w:bottom w:val="single" w:sz="8" w:space="0" w:color="000000"/>
              <w:right w:val="single" w:sz="4" w:space="0" w:color="auto"/>
            </w:tcBorders>
            <w:vAlign w:val="center"/>
            <w:hideMark/>
          </w:tcPr>
          <w:p w:rsidR="005D6ACF" w:rsidRPr="00D5138D" w:rsidRDefault="005D6ACF" w:rsidP="008A253E">
            <w:pPr>
              <w:rPr>
                <w:b/>
                <w:bCs/>
                <w:sz w:val="20"/>
                <w:szCs w:val="20"/>
              </w:rPr>
            </w:pPr>
          </w:p>
        </w:tc>
        <w:tc>
          <w:tcPr>
            <w:tcW w:w="1471" w:type="dxa"/>
            <w:vMerge/>
            <w:tcBorders>
              <w:top w:val="single" w:sz="8" w:space="0" w:color="auto"/>
              <w:left w:val="single" w:sz="4" w:space="0" w:color="auto"/>
              <w:bottom w:val="single" w:sz="8" w:space="0" w:color="000000"/>
              <w:right w:val="single" w:sz="4" w:space="0" w:color="auto"/>
            </w:tcBorders>
            <w:vAlign w:val="center"/>
            <w:hideMark/>
          </w:tcPr>
          <w:p w:rsidR="005D6ACF" w:rsidRPr="00D5138D" w:rsidRDefault="005D6ACF" w:rsidP="008A253E">
            <w:pPr>
              <w:rPr>
                <w:b/>
                <w:bCs/>
                <w:sz w:val="20"/>
                <w:szCs w:val="20"/>
              </w:rPr>
            </w:pPr>
          </w:p>
        </w:tc>
        <w:tc>
          <w:tcPr>
            <w:tcW w:w="1475" w:type="dxa"/>
            <w:vMerge/>
            <w:tcBorders>
              <w:top w:val="single" w:sz="8" w:space="0" w:color="auto"/>
              <w:left w:val="single" w:sz="4" w:space="0" w:color="auto"/>
              <w:bottom w:val="single" w:sz="8" w:space="0" w:color="000000"/>
              <w:right w:val="single" w:sz="8" w:space="0" w:color="auto"/>
            </w:tcBorders>
            <w:vAlign w:val="center"/>
            <w:hideMark/>
          </w:tcPr>
          <w:p w:rsidR="005D6ACF" w:rsidRPr="00D5138D" w:rsidRDefault="005D6ACF" w:rsidP="008A253E">
            <w:pPr>
              <w:rPr>
                <w:b/>
                <w:bCs/>
                <w:sz w:val="20"/>
                <w:szCs w:val="20"/>
              </w:rPr>
            </w:pPr>
          </w:p>
        </w:tc>
      </w:tr>
      <w:tr w:rsidR="005D6ACF" w:rsidTr="008A253E">
        <w:trPr>
          <w:trHeight w:val="321"/>
        </w:trPr>
        <w:tc>
          <w:tcPr>
            <w:tcW w:w="1055" w:type="dxa"/>
            <w:tcBorders>
              <w:top w:val="nil"/>
              <w:left w:val="single" w:sz="8" w:space="0" w:color="auto"/>
              <w:bottom w:val="single" w:sz="4" w:space="0" w:color="auto"/>
              <w:right w:val="single" w:sz="4" w:space="0" w:color="auto"/>
            </w:tcBorders>
            <w:shd w:val="clear" w:color="auto" w:fill="auto"/>
            <w:noWrap/>
            <w:vAlign w:val="bottom"/>
            <w:hideMark/>
          </w:tcPr>
          <w:p w:rsidR="005D6ACF" w:rsidRPr="00D5138D" w:rsidRDefault="005D6ACF" w:rsidP="008A253E">
            <w:pPr>
              <w:rPr>
                <w:sz w:val="20"/>
                <w:szCs w:val="20"/>
              </w:rPr>
            </w:pPr>
            <w:r w:rsidRPr="00D5138D">
              <w:rPr>
                <w:sz w:val="20"/>
                <w:szCs w:val="20"/>
              </w:rPr>
              <w:t>январь</w:t>
            </w:r>
          </w:p>
        </w:tc>
        <w:tc>
          <w:tcPr>
            <w:tcW w:w="972" w:type="dxa"/>
            <w:tcBorders>
              <w:top w:val="nil"/>
              <w:left w:val="nil"/>
              <w:bottom w:val="single" w:sz="4" w:space="0" w:color="auto"/>
              <w:right w:val="single" w:sz="4" w:space="0" w:color="auto"/>
            </w:tcBorders>
            <w:shd w:val="clear" w:color="auto" w:fill="auto"/>
            <w:noWrap/>
            <w:vAlign w:val="bottom"/>
            <w:hideMark/>
          </w:tcPr>
          <w:p w:rsidR="005D6ACF" w:rsidRPr="00D5138D" w:rsidRDefault="005D6ACF" w:rsidP="008A253E">
            <w:pPr>
              <w:jc w:val="center"/>
              <w:rPr>
                <w:sz w:val="20"/>
                <w:szCs w:val="20"/>
              </w:rPr>
            </w:pPr>
            <w:r w:rsidRPr="00D5138D">
              <w:rPr>
                <w:sz w:val="20"/>
                <w:szCs w:val="20"/>
              </w:rPr>
              <w:t>31</w:t>
            </w:r>
          </w:p>
        </w:tc>
        <w:tc>
          <w:tcPr>
            <w:tcW w:w="1538" w:type="dxa"/>
            <w:tcBorders>
              <w:top w:val="nil"/>
              <w:left w:val="nil"/>
              <w:bottom w:val="single" w:sz="4" w:space="0" w:color="auto"/>
              <w:right w:val="single" w:sz="4" w:space="0" w:color="auto"/>
            </w:tcBorders>
            <w:shd w:val="clear" w:color="auto" w:fill="auto"/>
            <w:noWrap/>
            <w:hideMark/>
          </w:tcPr>
          <w:p w:rsidR="005D6ACF" w:rsidRPr="002C6906" w:rsidRDefault="005D6ACF" w:rsidP="008A253E">
            <w:pPr>
              <w:jc w:val="right"/>
              <w:rPr>
                <w:sz w:val="20"/>
                <w:szCs w:val="20"/>
              </w:rPr>
            </w:pPr>
            <w:r w:rsidRPr="002C6906">
              <w:rPr>
                <w:sz w:val="20"/>
                <w:szCs w:val="20"/>
              </w:rPr>
              <w:t>0</w:t>
            </w:r>
          </w:p>
        </w:tc>
        <w:tc>
          <w:tcPr>
            <w:tcW w:w="1157" w:type="dxa"/>
            <w:tcBorders>
              <w:top w:val="nil"/>
              <w:left w:val="nil"/>
              <w:bottom w:val="single" w:sz="4" w:space="0" w:color="auto"/>
              <w:right w:val="single" w:sz="4" w:space="0" w:color="auto"/>
            </w:tcBorders>
            <w:shd w:val="clear" w:color="auto" w:fill="auto"/>
            <w:noWrap/>
            <w:hideMark/>
          </w:tcPr>
          <w:p w:rsidR="005D6ACF" w:rsidRPr="002C6906" w:rsidRDefault="005D6ACF" w:rsidP="008A253E">
            <w:pPr>
              <w:jc w:val="right"/>
              <w:rPr>
                <w:sz w:val="20"/>
                <w:szCs w:val="20"/>
              </w:rPr>
            </w:pPr>
            <w:r w:rsidRPr="002C6906">
              <w:rPr>
                <w:sz w:val="20"/>
                <w:szCs w:val="20"/>
              </w:rPr>
              <w:t>0,1%</w:t>
            </w:r>
          </w:p>
        </w:tc>
        <w:tc>
          <w:tcPr>
            <w:tcW w:w="1473" w:type="dxa"/>
            <w:tcBorders>
              <w:top w:val="single" w:sz="8" w:space="0" w:color="auto"/>
              <w:left w:val="nil"/>
              <w:bottom w:val="single" w:sz="4" w:space="0" w:color="auto"/>
              <w:right w:val="single" w:sz="4" w:space="0" w:color="auto"/>
            </w:tcBorders>
            <w:shd w:val="clear" w:color="auto" w:fill="auto"/>
            <w:noWrap/>
            <w:hideMark/>
          </w:tcPr>
          <w:p w:rsidR="005D6ACF" w:rsidRPr="002C6906" w:rsidRDefault="005D6ACF" w:rsidP="008A253E">
            <w:pPr>
              <w:jc w:val="right"/>
              <w:rPr>
                <w:sz w:val="20"/>
                <w:szCs w:val="20"/>
              </w:rPr>
            </w:pPr>
            <w:r w:rsidRPr="002C6906">
              <w:rPr>
                <w:sz w:val="20"/>
                <w:szCs w:val="20"/>
              </w:rPr>
              <w:t>0</w:t>
            </w:r>
          </w:p>
        </w:tc>
        <w:tc>
          <w:tcPr>
            <w:tcW w:w="2008" w:type="dxa"/>
            <w:tcBorders>
              <w:top w:val="nil"/>
              <w:left w:val="nil"/>
              <w:bottom w:val="single" w:sz="4" w:space="0" w:color="auto"/>
              <w:right w:val="single" w:sz="4" w:space="0" w:color="auto"/>
            </w:tcBorders>
            <w:shd w:val="clear" w:color="auto" w:fill="auto"/>
            <w:noWrap/>
            <w:hideMark/>
          </w:tcPr>
          <w:p w:rsidR="005D6ACF" w:rsidRPr="002C6906" w:rsidRDefault="005D6ACF" w:rsidP="008A253E">
            <w:pPr>
              <w:jc w:val="right"/>
              <w:rPr>
                <w:sz w:val="20"/>
                <w:szCs w:val="20"/>
              </w:rPr>
            </w:pPr>
            <w:r w:rsidRPr="002C6906">
              <w:rPr>
                <w:sz w:val="20"/>
                <w:szCs w:val="20"/>
              </w:rPr>
              <w:t>130 000 000</w:t>
            </w:r>
          </w:p>
        </w:tc>
        <w:tc>
          <w:tcPr>
            <w:tcW w:w="2008" w:type="dxa"/>
            <w:tcBorders>
              <w:top w:val="nil"/>
              <w:left w:val="nil"/>
              <w:bottom w:val="single" w:sz="4" w:space="0" w:color="auto"/>
              <w:right w:val="single" w:sz="4" w:space="0" w:color="auto"/>
            </w:tcBorders>
            <w:shd w:val="clear" w:color="auto" w:fill="auto"/>
            <w:noWrap/>
            <w:hideMark/>
          </w:tcPr>
          <w:p w:rsidR="005D6ACF" w:rsidRPr="002C6906" w:rsidRDefault="005D6ACF" w:rsidP="008A253E">
            <w:pPr>
              <w:jc w:val="right"/>
              <w:rPr>
                <w:sz w:val="20"/>
                <w:szCs w:val="20"/>
              </w:rPr>
            </w:pPr>
            <w:r w:rsidRPr="002C6906">
              <w:rPr>
                <w:sz w:val="20"/>
                <w:szCs w:val="20"/>
              </w:rPr>
              <w:t>200 000 000</w:t>
            </w:r>
          </w:p>
        </w:tc>
        <w:tc>
          <w:tcPr>
            <w:tcW w:w="1471" w:type="dxa"/>
            <w:tcBorders>
              <w:top w:val="nil"/>
              <w:left w:val="nil"/>
              <w:bottom w:val="single" w:sz="4" w:space="0" w:color="auto"/>
              <w:right w:val="single" w:sz="4" w:space="0" w:color="auto"/>
            </w:tcBorders>
            <w:shd w:val="clear" w:color="auto" w:fill="auto"/>
            <w:noWrap/>
            <w:hideMark/>
          </w:tcPr>
          <w:p w:rsidR="005D6ACF" w:rsidRPr="002C6906" w:rsidRDefault="005D6ACF" w:rsidP="008A253E">
            <w:pPr>
              <w:jc w:val="right"/>
              <w:rPr>
                <w:sz w:val="20"/>
                <w:szCs w:val="20"/>
              </w:rPr>
            </w:pPr>
            <w:r w:rsidRPr="002C6906">
              <w:rPr>
                <w:sz w:val="20"/>
                <w:szCs w:val="20"/>
              </w:rPr>
              <w:t>11 041</w:t>
            </w:r>
          </w:p>
        </w:tc>
        <w:tc>
          <w:tcPr>
            <w:tcW w:w="1471" w:type="dxa"/>
            <w:tcBorders>
              <w:top w:val="nil"/>
              <w:left w:val="nil"/>
              <w:bottom w:val="single" w:sz="4" w:space="0" w:color="auto"/>
              <w:right w:val="single" w:sz="4" w:space="0" w:color="auto"/>
            </w:tcBorders>
            <w:shd w:val="clear" w:color="auto" w:fill="auto"/>
            <w:noWrap/>
            <w:hideMark/>
          </w:tcPr>
          <w:p w:rsidR="005D6ACF" w:rsidRPr="002C6906" w:rsidRDefault="005D6ACF" w:rsidP="008A253E">
            <w:pPr>
              <w:jc w:val="right"/>
              <w:rPr>
                <w:sz w:val="20"/>
                <w:szCs w:val="20"/>
              </w:rPr>
            </w:pPr>
            <w:r w:rsidRPr="002C6906">
              <w:rPr>
                <w:sz w:val="20"/>
                <w:szCs w:val="20"/>
              </w:rPr>
              <w:t>16 986</w:t>
            </w:r>
          </w:p>
        </w:tc>
        <w:tc>
          <w:tcPr>
            <w:tcW w:w="1475" w:type="dxa"/>
            <w:tcBorders>
              <w:top w:val="nil"/>
              <w:left w:val="nil"/>
              <w:bottom w:val="single" w:sz="4" w:space="0" w:color="auto"/>
              <w:right w:val="single" w:sz="8" w:space="0" w:color="auto"/>
            </w:tcBorders>
            <w:shd w:val="clear" w:color="auto" w:fill="auto"/>
            <w:noWrap/>
            <w:hideMark/>
          </w:tcPr>
          <w:p w:rsidR="005D6ACF" w:rsidRPr="002C6906" w:rsidRDefault="005D6ACF" w:rsidP="008A253E">
            <w:pPr>
              <w:jc w:val="right"/>
              <w:rPr>
                <w:sz w:val="20"/>
                <w:szCs w:val="20"/>
              </w:rPr>
            </w:pPr>
            <w:r w:rsidRPr="002C6906">
              <w:rPr>
                <w:sz w:val="20"/>
                <w:szCs w:val="20"/>
              </w:rPr>
              <w:t>28 027,4</w:t>
            </w:r>
          </w:p>
        </w:tc>
      </w:tr>
      <w:tr w:rsidR="005D6ACF" w:rsidTr="008A253E">
        <w:trPr>
          <w:trHeight w:val="321"/>
        </w:trPr>
        <w:tc>
          <w:tcPr>
            <w:tcW w:w="1055" w:type="dxa"/>
            <w:tcBorders>
              <w:top w:val="nil"/>
              <w:left w:val="single" w:sz="8" w:space="0" w:color="auto"/>
              <w:bottom w:val="single" w:sz="4" w:space="0" w:color="auto"/>
              <w:right w:val="single" w:sz="4" w:space="0" w:color="auto"/>
            </w:tcBorders>
            <w:shd w:val="clear" w:color="auto" w:fill="auto"/>
            <w:noWrap/>
            <w:vAlign w:val="bottom"/>
            <w:hideMark/>
          </w:tcPr>
          <w:p w:rsidR="005D6ACF" w:rsidRPr="00D5138D" w:rsidRDefault="005D6ACF" w:rsidP="008A253E">
            <w:pPr>
              <w:rPr>
                <w:sz w:val="20"/>
                <w:szCs w:val="20"/>
              </w:rPr>
            </w:pPr>
            <w:r w:rsidRPr="00D5138D">
              <w:rPr>
                <w:sz w:val="20"/>
                <w:szCs w:val="20"/>
              </w:rPr>
              <w:t>февраль</w:t>
            </w:r>
          </w:p>
        </w:tc>
        <w:tc>
          <w:tcPr>
            <w:tcW w:w="972" w:type="dxa"/>
            <w:tcBorders>
              <w:top w:val="nil"/>
              <w:left w:val="nil"/>
              <w:bottom w:val="single" w:sz="4" w:space="0" w:color="auto"/>
              <w:right w:val="single" w:sz="4" w:space="0" w:color="auto"/>
            </w:tcBorders>
            <w:shd w:val="clear" w:color="auto" w:fill="auto"/>
            <w:noWrap/>
            <w:vAlign w:val="bottom"/>
            <w:hideMark/>
          </w:tcPr>
          <w:p w:rsidR="005D6ACF" w:rsidRPr="00D5138D" w:rsidRDefault="005D6ACF" w:rsidP="008A253E">
            <w:pPr>
              <w:jc w:val="center"/>
              <w:rPr>
                <w:sz w:val="20"/>
                <w:szCs w:val="20"/>
              </w:rPr>
            </w:pPr>
            <w:r w:rsidRPr="00D5138D">
              <w:rPr>
                <w:sz w:val="20"/>
                <w:szCs w:val="20"/>
              </w:rPr>
              <w:t>2</w:t>
            </w:r>
            <w:r>
              <w:rPr>
                <w:sz w:val="20"/>
                <w:szCs w:val="20"/>
              </w:rPr>
              <w:t>9</w:t>
            </w:r>
          </w:p>
        </w:tc>
        <w:tc>
          <w:tcPr>
            <w:tcW w:w="1538" w:type="dxa"/>
            <w:tcBorders>
              <w:top w:val="nil"/>
              <w:left w:val="nil"/>
              <w:bottom w:val="single" w:sz="4" w:space="0" w:color="auto"/>
              <w:right w:val="single" w:sz="4" w:space="0" w:color="auto"/>
            </w:tcBorders>
            <w:shd w:val="clear" w:color="auto" w:fill="auto"/>
            <w:noWrap/>
            <w:hideMark/>
          </w:tcPr>
          <w:p w:rsidR="005D6ACF" w:rsidRPr="002C6906" w:rsidRDefault="005D6ACF" w:rsidP="008A253E">
            <w:pPr>
              <w:jc w:val="right"/>
              <w:rPr>
                <w:sz w:val="20"/>
                <w:szCs w:val="20"/>
              </w:rPr>
            </w:pPr>
            <w:r w:rsidRPr="002C6906">
              <w:rPr>
                <w:sz w:val="20"/>
                <w:szCs w:val="20"/>
              </w:rPr>
              <w:t>0</w:t>
            </w:r>
          </w:p>
        </w:tc>
        <w:tc>
          <w:tcPr>
            <w:tcW w:w="1157" w:type="dxa"/>
            <w:tcBorders>
              <w:top w:val="nil"/>
              <w:left w:val="nil"/>
              <w:bottom w:val="single" w:sz="4" w:space="0" w:color="auto"/>
              <w:right w:val="single" w:sz="4" w:space="0" w:color="auto"/>
            </w:tcBorders>
            <w:shd w:val="clear" w:color="auto" w:fill="auto"/>
            <w:noWrap/>
            <w:hideMark/>
          </w:tcPr>
          <w:p w:rsidR="005D6ACF" w:rsidRPr="002C6906" w:rsidRDefault="005D6ACF" w:rsidP="008A253E">
            <w:pPr>
              <w:jc w:val="right"/>
              <w:rPr>
                <w:sz w:val="20"/>
                <w:szCs w:val="20"/>
              </w:rPr>
            </w:pPr>
            <w:r w:rsidRPr="002C6906">
              <w:rPr>
                <w:sz w:val="20"/>
                <w:szCs w:val="20"/>
              </w:rPr>
              <w:t>0,1%</w:t>
            </w:r>
          </w:p>
        </w:tc>
        <w:tc>
          <w:tcPr>
            <w:tcW w:w="1473" w:type="dxa"/>
            <w:tcBorders>
              <w:top w:val="nil"/>
              <w:left w:val="nil"/>
              <w:bottom w:val="single" w:sz="4" w:space="0" w:color="auto"/>
              <w:right w:val="single" w:sz="4" w:space="0" w:color="auto"/>
            </w:tcBorders>
            <w:shd w:val="clear" w:color="auto" w:fill="auto"/>
            <w:noWrap/>
            <w:hideMark/>
          </w:tcPr>
          <w:p w:rsidR="005D6ACF" w:rsidRPr="002C6906" w:rsidRDefault="005D6ACF" w:rsidP="008A253E">
            <w:pPr>
              <w:jc w:val="right"/>
              <w:rPr>
                <w:sz w:val="20"/>
                <w:szCs w:val="20"/>
              </w:rPr>
            </w:pPr>
            <w:r w:rsidRPr="002C6906">
              <w:rPr>
                <w:sz w:val="20"/>
                <w:szCs w:val="20"/>
              </w:rPr>
              <w:t>0</w:t>
            </w:r>
          </w:p>
        </w:tc>
        <w:tc>
          <w:tcPr>
            <w:tcW w:w="2008" w:type="dxa"/>
            <w:tcBorders>
              <w:top w:val="nil"/>
              <w:left w:val="nil"/>
              <w:bottom w:val="single" w:sz="4" w:space="0" w:color="auto"/>
              <w:right w:val="single" w:sz="4" w:space="0" w:color="auto"/>
            </w:tcBorders>
            <w:shd w:val="clear" w:color="auto" w:fill="auto"/>
            <w:noWrap/>
            <w:hideMark/>
          </w:tcPr>
          <w:p w:rsidR="005D6ACF" w:rsidRPr="002C6906" w:rsidRDefault="005D6ACF" w:rsidP="008A253E">
            <w:pPr>
              <w:jc w:val="right"/>
              <w:rPr>
                <w:sz w:val="20"/>
                <w:szCs w:val="20"/>
              </w:rPr>
            </w:pPr>
            <w:r w:rsidRPr="002C6906">
              <w:rPr>
                <w:sz w:val="20"/>
                <w:szCs w:val="20"/>
              </w:rPr>
              <w:t>130 000 000</w:t>
            </w:r>
          </w:p>
        </w:tc>
        <w:tc>
          <w:tcPr>
            <w:tcW w:w="2008" w:type="dxa"/>
            <w:tcBorders>
              <w:top w:val="nil"/>
              <w:left w:val="nil"/>
              <w:bottom w:val="single" w:sz="4" w:space="0" w:color="auto"/>
              <w:right w:val="single" w:sz="4" w:space="0" w:color="auto"/>
            </w:tcBorders>
            <w:shd w:val="clear" w:color="auto" w:fill="auto"/>
            <w:noWrap/>
            <w:hideMark/>
          </w:tcPr>
          <w:p w:rsidR="005D6ACF" w:rsidRPr="002C6906" w:rsidRDefault="005D6ACF" w:rsidP="008A253E">
            <w:pPr>
              <w:jc w:val="right"/>
              <w:rPr>
                <w:sz w:val="20"/>
                <w:szCs w:val="20"/>
              </w:rPr>
            </w:pPr>
            <w:r w:rsidRPr="002C6906">
              <w:rPr>
                <w:sz w:val="20"/>
                <w:szCs w:val="20"/>
              </w:rPr>
              <w:t>200 000 000</w:t>
            </w:r>
          </w:p>
        </w:tc>
        <w:tc>
          <w:tcPr>
            <w:tcW w:w="1471" w:type="dxa"/>
            <w:tcBorders>
              <w:top w:val="nil"/>
              <w:left w:val="nil"/>
              <w:bottom w:val="single" w:sz="4" w:space="0" w:color="auto"/>
              <w:right w:val="single" w:sz="4" w:space="0" w:color="auto"/>
            </w:tcBorders>
            <w:shd w:val="clear" w:color="auto" w:fill="auto"/>
            <w:noWrap/>
            <w:hideMark/>
          </w:tcPr>
          <w:p w:rsidR="005D6ACF" w:rsidRPr="002C6906" w:rsidRDefault="005D6ACF" w:rsidP="008A253E">
            <w:pPr>
              <w:jc w:val="right"/>
              <w:rPr>
                <w:sz w:val="20"/>
                <w:szCs w:val="20"/>
              </w:rPr>
            </w:pPr>
            <w:r w:rsidRPr="002C6906">
              <w:rPr>
                <w:sz w:val="20"/>
                <w:szCs w:val="20"/>
              </w:rPr>
              <w:t>10 329</w:t>
            </w:r>
          </w:p>
        </w:tc>
        <w:tc>
          <w:tcPr>
            <w:tcW w:w="1471" w:type="dxa"/>
            <w:tcBorders>
              <w:top w:val="nil"/>
              <w:left w:val="nil"/>
              <w:bottom w:val="single" w:sz="4" w:space="0" w:color="auto"/>
              <w:right w:val="single" w:sz="4" w:space="0" w:color="auto"/>
            </w:tcBorders>
            <w:shd w:val="clear" w:color="auto" w:fill="auto"/>
            <w:noWrap/>
            <w:hideMark/>
          </w:tcPr>
          <w:p w:rsidR="005D6ACF" w:rsidRPr="002C6906" w:rsidRDefault="005D6ACF" w:rsidP="008A253E">
            <w:pPr>
              <w:jc w:val="right"/>
              <w:rPr>
                <w:sz w:val="20"/>
                <w:szCs w:val="20"/>
              </w:rPr>
            </w:pPr>
            <w:r w:rsidRPr="002C6906">
              <w:rPr>
                <w:sz w:val="20"/>
                <w:szCs w:val="20"/>
              </w:rPr>
              <w:t>15 890</w:t>
            </w:r>
          </w:p>
        </w:tc>
        <w:tc>
          <w:tcPr>
            <w:tcW w:w="1475" w:type="dxa"/>
            <w:tcBorders>
              <w:top w:val="nil"/>
              <w:left w:val="nil"/>
              <w:bottom w:val="single" w:sz="4" w:space="0" w:color="auto"/>
              <w:right w:val="single" w:sz="8" w:space="0" w:color="auto"/>
            </w:tcBorders>
            <w:shd w:val="clear" w:color="auto" w:fill="auto"/>
            <w:noWrap/>
            <w:hideMark/>
          </w:tcPr>
          <w:p w:rsidR="005D6ACF" w:rsidRPr="002C6906" w:rsidRDefault="005D6ACF" w:rsidP="008A253E">
            <w:pPr>
              <w:jc w:val="right"/>
              <w:rPr>
                <w:sz w:val="20"/>
                <w:szCs w:val="20"/>
              </w:rPr>
            </w:pPr>
            <w:r w:rsidRPr="002C6906">
              <w:rPr>
                <w:sz w:val="20"/>
                <w:szCs w:val="20"/>
              </w:rPr>
              <w:t>26 219,2</w:t>
            </w:r>
          </w:p>
        </w:tc>
      </w:tr>
      <w:tr w:rsidR="005D6ACF" w:rsidTr="008A253E">
        <w:trPr>
          <w:trHeight w:val="321"/>
        </w:trPr>
        <w:tc>
          <w:tcPr>
            <w:tcW w:w="1055" w:type="dxa"/>
            <w:tcBorders>
              <w:top w:val="nil"/>
              <w:left w:val="single" w:sz="8" w:space="0" w:color="auto"/>
              <w:bottom w:val="single" w:sz="4" w:space="0" w:color="auto"/>
              <w:right w:val="single" w:sz="4" w:space="0" w:color="auto"/>
            </w:tcBorders>
            <w:shd w:val="clear" w:color="auto" w:fill="auto"/>
            <w:noWrap/>
            <w:vAlign w:val="bottom"/>
            <w:hideMark/>
          </w:tcPr>
          <w:p w:rsidR="005D6ACF" w:rsidRPr="00D5138D" w:rsidRDefault="005D6ACF" w:rsidP="008A253E">
            <w:pPr>
              <w:rPr>
                <w:sz w:val="20"/>
                <w:szCs w:val="20"/>
              </w:rPr>
            </w:pPr>
            <w:r w:rsidRPr="00D5138D">
              <w:rPr>
                <w:sz w:val="20"/>
                <w:szCs w:val="20"/>
              </w:rPr>
              <w:t>март</w:t>
            </w:r>
          </w:p>
        </w:tc>
        <w:tc>
          <w:tcPr>
            <w:tcW w:w="972" w:type="dxa"/>
            <w:tcBorders>
              <w:top w:val="nil"/>
              <w:left w:val="nil"/>
              <w:bottom w:val="single" w:sz="4" w:space="0" w:color="auto"/>
              <w:right w:val="single" w:sz="4" w:space="0" w:color="auto"/>
            </w:tcBorders>
            <w:shd w:val="clear" w:color="auto" w:fill="auto"/>
            <w:noWrap/>
            <w:vAlign w:val="bottom"/>
            <w:hideMark/>
          </w:tcPr>
          <w:p w:rsidR="005D6ACF" w:rsidRPr="00D5138D" w:rsidRDefault="005D6ACF" w:rsidP="008A253E">
            <w:pPr>
              <w:jc w:val="center"/>
              <w:rPr>
                <w:sz w:val="20"/>
                <w:szCs w:val="20"/>
              </w:rPr>
            </w:pPr>
            <w:r w:rsidRPr="00D5138D">
              <w:rPr>
                <w:sz w:val="20"/>
                <w:szCs w:val="20"/>
              </w:rPr>
              <w:t>31</w:t>
            </w:r>
          </w:p>
        </w:tc>
        <w:tc>
          <w:tcPr>
            <w:tcW w:w="1538" w:type="dxa"/>
            <w:tcBorders>
              <w:top w:val="nil"/>
              <w:left w:val="nil"/>
              <w:bottom w:val="single" w:sz="4" w:space="0" w:color="auto"/>
              <w:right w:val="single" w:sz="4" w:space="0" w:color="auto"/>
            </w:tcBorders>
            <w:shd w:val="clear" w:color="auto" w:fill="auto"/>
            <w:noWrap/>
            <w:hideMark/>
          </w:tcPr>
          <w:p w:rsidR="005D6ACF" w:rsidRPr="002C6906" w:rsidRDefault="005D6ACF" w:rsidP="008A253E">
            <w:pPr>
              <w:jc w:val="right"/>
              <w:rPr>
                <w:sz w:val="20"/>
                <w:szCs w:val="20"/>
              </w:rPr>
            </w:pPr>
            <w:r w:rsidRPr="002C6906">
              <w:rPr>
                <w:sz w:val="20"/>
                <w:szCs w:val="20"/>
              </w:rPr>
              <w:t>6 000 000</w:t>
            </w:r>
          </w:p>
        </w:tc>
        <w:tc>
          <w:tcPr>
            <w:tcW w:w="1157" w:type="dxa"/>
            <w:tcBorders>
              <w:top w:val="nil"/>
              <w:left w:val="nil"/>
              <w:bottom w:val="single" w:sz="4" w:space="0" w:color="auto"/>
              <w:right w:val="single" w:sz="4" w:space="0" w:color="auto"/>
            </w:tcBorders>
            <w:shd w:val="clear" w:color="auto" w:fill="auto"/>
            <w:noWrap/>
            <w:hideMark/>
          </w:tcPr>
          <w:p w:rsidR="005D6ACF" w:rsidRPr="002C6906" w:rsidRDefault="005D6ACF" w:rsidP="008A253E">
            <w:pPr>
              <w:jc w:val="right"/>
              <w:rPr>
                <w:sz w:val="20"/>
                <w:szCs w:val="20"/>
              </w:rPr>
            </w:pPr>
            <w:r w:rsidRPr="002C6906">
              <w:rPr>
                <w:sz w:val="20"/>
                <w:szCs w:val="20"/>
              </w:rPr>
              <w:t>0,1%</w:t>
            </w:r>
          </w:p>
        </w:tc>
        <w:tc>
          <w:tcPr>
            <w:tcW w:w="1473" w:type="dxa"/>
            <w:tcBorders>
              <w:top w:val="nil"/>
              <w:left w:val="nil"/>
              <w:bottom w:val="single" w:sz="4" w:space="0" w:color="auto"/>
              <w:right w:val="single" w:sz="4" w:space="0" w:color="auto"/>
            </w:tcBorders>
            <w:shd w:val="clear" w:color="auto" w:fill="auto"/>
            <w:noWrap/>
            <w:hideMark/>
          </w:tcPr>
          <w:p w:rsidR="005D6ACF" w:rsidRPr="002C6906" w:rsidRDefault="005D6ACF" w:rsidP="008A253E">
            <w:pPr>
              <w:jc w:val="right"/>
              <w:rPr>
                <w:sz w:val="20"/>
                <w:szCs w:val="20"/>
              </w:rPr>
            </w:pPr>
            <w:r w:rsidRPr="002C6906">
              <w:rPr>
                <w:sz w:val="20"/>
                <w:szCs w:val="20"/>
              </w:rPr>
              <w:t>510</w:t>
            </w:r>
          </w:p>
        </w:tc>
        <w:tc>
          <w:tcPr>
            <w:tcW w:w="2008" w:type="dxa"/>
            <w:tcBorders>
              <w:top w:val="nil"/>
              <w:left w:val="nil"/>
              <w:bottom w:val="single" w:sz="4" w:space="0" w:color="auto"/>
              <w:right w:val="single" w:sz="4" w:space="0" w:color="auto"/>
            </w:tcBorders>
            <w:shd w:val="clear" w:color="auto" w:fill="auto"/>
            <w:noWrap/>
            <w:hideMark/>
          </w:tcPr>
          <w:p w:rsidR="005D6ACF" w:rsidRPr="002C6906" w:rsidRDefault="005D6ACF" w:rsidP="008A253E">
            <w:pPr>
              <w:jc w:val="right"/>
              <w:rPr>
                <w:sz w:val="20"/>
                <w:szCs w:val="20"/>
              </w:rPr>
            </w:pPr>
            <w:r w:rsidRPr="002C6906">
              <w:rPr>
                <w:sz w:val="20"/>
                <w:szCs w:val="20"/>
              </w:rPr>
              <w:t>130 000 000</w:t>
            </w:r>
          </w:p>
        </w:tc>
        <w:tc>
          <w:tcPr>
            <w:tcW w:w="2008" w:type="dxa"/>
            <w:tcBorders>
              <w:top w:val="nil"/>
              <w:left w:val="nil"/>
              <w:bottom w:val="single" w:sz="4" w:space="0" w:color="auto"/>
              <w:right w:val="single" w:sz="4" w:space="0" w:color="auto"/>
            </w:tcBorders>
            <w:shd w:val="clear" w:color="auto" w:fill="auto"/>
            <w:noWrap/>
            <w:hideMark/>
          </w:tcPr>
          <w:p w:rsidR="005D6ACF" w:rsidRPr="002C6906" w:rsidRDefault="005D6ACF" w:rsidP="008A253E">
            <w:pPr>
              <w:jc w:val="right"/>
              <w:rPr>
                <w:sz w:val="20"/>
                <w:szCs w:val="20"/>
              </w:rPr>
            </w:pPr>
            <w:r w:rsidRPr="002C6906">
              <w:rPr>
                <w:sz w:val="20"/>
                <w:szCs w:val="20"/>
              </w:rPr>
              <w:t>200 000 000</w:t>
            </w:r>
          </w:p>
        </w:tc>
        <w:tc>
          <w:tcPr>
            <w:tcW w:w="1471" w:type="dxa"/>
            <w:tcBorders>
              <w:top w:val="nil"/>
              <w:left w:val="nil"/>
              <w:bottom w:val="single" w:sz="4" w:space="0" w:color="auto"/>
              <w:right w:val="single" w:sz="4" w:space="0" w:color="auto"/>
            </w:tcBorders>
            <w:shd w:val="clear" w:color="auto" w:fill="auto"/>
            <w:noWrap/>
            <w:hideMark/>
          </w:tcPr>
          <w:p w:rsidR="005D6ACF" w:rsidRPr="002C6906" w:rsidRDefault="005D6ACF" w:rsidP="008A253E">
            <w:pPr>
              <w:jc w:val="right"/>
              <w:rPr>
                <w:sz w:val="20"/>
                <w:szCs w:val="20"/>
              </w:rPr>
            </w:pPr>
            <w:r w:rsidRPr="002C6906">
              <w:rPr>
                <w:sz w:val="20"/>
                <w:szCs w:val="20"/>
              </w:rPr>
              <w:t>11 041</w:t>
            </w:r>
          </w:p>
        </w:tc>
        <w:tc>
          <w:tcPr>
            <w:tcW w:w="1471" w:type="dxa"/>
            <w:tcBorders>
              <w:top w:val="nil"/>
              <w:left w:val="nil"/>
              <w:bottom w:val="single" w:sz="4" w:space="0" w:color="auto"/>
              <w:right w:val="single" w:sz="4" w:space="0" w:color="auto"/>
            </w:tcBorders>
            <w:shd w:val="clear" w:color="auto" w:fill="auto"/>
            <w:noWrap/>
            <w:hideMark/>
          </w:tcPr>
          <w:p w:rsidR="005D6ACF" w:rsidRPr="002C6906" w:rsidRDefault="005D6ACF" w:rsidP="008A253E">
            <w:pPr>
              <w:jc w:val="right"/>
              <w:rPr>
                <w:sz w:val="20"/>
                <w:szCs w:val="20"/>
              </w:rPr>
            </w:pPr>
            <w:r w:rsidRPr="002C6906">
              <w:rPr>
                <w:sz w:val="20"/>
                <w:szCs w:val="20"/>
              </w:rPr>
              <w:t>16 986</w:t>
            </w:r>
          </w:p>
        </w:tc>
        <w:tc>
          <w:tcPr>
            <w:tcW w:w="1475" w:type="dxa"/>
            <w:tcBorders>
              <w:top w:val="nil"/>
              <w:left w:val="nil"/>
              <w:bottom w:val="single" w:sz="4" w:space="0" w:color="auto"/>
              <w:right w:val="single" w:sz="8" w:space="0" w:color="auto"/>
            </w:tcBorders>
            <w:shd w:val="clear" w:color="auto" w:fill="auto"/>
            <w:noWrap/>
            <w:hideMark/>
          </w:tcPr>
          <w:p w:rsidR="005D6ACF" w:rsidRPr="002C6906" w:rsidRDefault="005D6ACF" w:rsidP="008A253E">
            <w:pPr>
              <w:jc w:val="right"/>
              <w:rPr>
                <w:sz w:val="20"/>
                <w:szCs w:val="20"/>
              </w:rPr>
            </w:pPr>
            <w:r w:rsidRPr="002C6906">
              <w:rPr>
                <w:sz w:val="20"/>
                <w:szCs w:val="20"/>
              </w:rPr>
              <w:t>28 537,0</w:t>
            </w:r>
          </w:p>
        </w:tc>
      </w:tr>
      <w:tr w:rsidR="005D6ACF" w:rsidTr="008A253E">
        <w:trPr>
          <w:trHeight w:val="321"/>
        </w:trPr>
        <w:tc>
          <w:tcPr>
            <w:tcW w:w="1055" w:type="dxa"/>
            <w:tcBorders>
              <w:top w:val="nil"/>
              <w:left w:val="single" w:sz="8" w:space="0" w:color="auto"/>
              <w:bottom w:val="single" w:sz="4" w:space="0" w:color="auto"/>
              <w:right w:val="single" w:sz="4" w:space="0" w:color="auto"/>
            </w:tcBorders>
            <w:shd w:val="clear" w:color="auto" w:fill="auto"/>
            <w:noWrap/>
            <w:vAlign w:val="bottom"/>
            <w:hideMark/>
          </w:tcPr>
          <w:p w:rsidR="005D6ACF" w:rsidRPr="00D5138D" w:rsidRDefault="005D6ACF" w:rsidP="008A253E">
            <w:pPr>
              <w:rPr>
                <w:sz w:val="20"/>
                <w:szCs w:val="20"/>
              </w:rPr>
            </w:pPr>
            <w:r w:rsidRPr="00D5138D">
              <w:rPr>
                <w:sz w:val="20"/>
                <w:szCs w:val="20"/>
              </w:rPr>
              <w:t>апрель</w:t>
            </w:r>
          </w:p>
        </w:tc>
        <w:tc>
          <w:tcPr>
            <w:tcW w:w="972" w:type="dxa"/>
            <w:tcBorders>
              <w:top w:val="nil"/>
              <w:left w:val="nil"/>
              <w:bottom w:val="single" w:sz="4" w:space="0" w:color="auto"/>
              <w:right w:val="single" w:sz="4" w:space="0" w:color="auto"/>
            </w:tcBorders>
            <w:shd w:val="clear" w:color="auto" w:fill="auto"/>
            <w:noWrap/>
            <w:vAlign w:val="bottom"/>
            <w:hideMark/>
          </w:tcPr>
          <w:p w:rsidR="005D6ACF" w:rsidRPr="00D5138D" w:rsidRDefault="005D6ACF" w:rsidP="008A253E">
            <w:pPr>
              <w:jc w:val="center"/>
              <w:rPr>
                <w:sz w:val="20"/>
                <w:szCs w:val="20"/>
              </w:rPr>
            </w:pPr>
            <w:r w:rsidRPr="00D5138D">
              <w:rPr>
                <w:sz w:val="20"/>
                <w:szCs w:val="20"/>
              </w:rPr>
              <w:t>30</w:t>
            </w:r>
          </w:p>
        </w:tc>
        <w:tc>
          <w:tcPr>
            <w:tcW w:w="1538" w:type="dxa"/>
            <w:tcBorders>
              <w:top w:val="nil"/>
              <w:left w:val="nil"/>
              <w:bottom w:val="single" w:sz="4" w:space="0" w:color="auto"/>
              <w:right w:val="single" w:sz="4" w:space="0" w:color="auto"/>
            </w:tcBorders>
            <w:shd w:val="clear" w:color="auto" w:fill="auto"/>
            <w:noWrap/>
            <w:hideMark/>
          </w:tcPr>
          <w:p w:rsidR="005D6ACF" w:rsidRPr="002C6906" w:rsidRDefault="005D6ACF" w:rsidP="008A253E">
            <w:pPr>
              <w:jc w:val="right"/>
              <w:rPr>
                <w:sz w:val="20"/>
                <w:szCs w:val="20"/>
              </w:rPr>
            </w:pPr>
            <w:r w:rsidRPr="002C6906">
              <w:rPr>
                <w:sz w:val="20"/>
                <w:szCs w:val="20"/>
              </w:rPr>
              <w:t>6 000 000</w:t>
            </w:r>
          </w:p>
        </w:tc>
        <w:tc>
          <w:tcPr>
            <w:tcW w:w="1157" w:type="dxa"/>
            <w:tcBorders>
              <w:top w:val="nil"/>
              <w:left w:val="nil"/>
              <w:bottom w:val="single" w:sz="4" w:space="0" w:color="auto"/>
              <w:right w:val="single" w:sz="4" w:space="0" w:color="auto"/>
            </w:tcBorders>
            <w:shd w:val="clear" w:color="auto" w:fill="auto"/>
            <w:noWrap/>
            <w:hideMark/>
          </w:tcPr>
          <w:p w:rsidR="005D6ACF" w:rsidRPr="002C6906" w:rsidRDefault="005D6ACF" w:rsidP="008A253E">
            <w:pPr>
              <w:jc w:val="right"/>
              <w:rPr>
                <w:sz w:val="20"/>
                <w:szCs w:val="20"/>
              </w:rPr>
            </w:pPr>
            <w:r w:rsidRPr="002C6906">
              <w:rPr>
                <w:sz w:val="20"/>
                <w:szCs w:val="20"/>
              </w:rPr>
              <w:t>0,1%</w:t>
            </w:r>
          </w:p>
        </w:tc>
        <w:tc>
          <w:tcPr>
            <w:tcW w:w="1473" w:type="dxa"/>
            <w:tcBorders>
              <w:top w:val="nil"/>
              <w:left w:val="nil"/>
              <w:bottom w:val="single" w:sz="4" w:space="0" w:color="auto"/>
              <w:right w:val="single" w:sz="4" w:space="0" w:color="auto"/>
            </w:tcBorders>
            <w:shd w:val="clear" w:color="auto" w:fill="auto"/>
            <w:noWrap/>
            <w:hideMark/>
          </w:tcPr>
          <w:p w:rsidR="005D6ACF" w:rsidRPr="002C6906" w:rsidRDefault="005D6ACF" w:rsidP="008A253E">
            <w:pPr>
              <w:jc w:val="right"/>
              <w:rPr>
                <w:sz w:val="20"/>
                <w:szCs w:val="20"/>
              </w:rPr>
            </w:pPr>
            <w:r w:rsidRPr="002C6906">
              <w:rPr>
                <w:sz w:val="20"/>
                <w:szCs w:val="20"/>
              </w:rPr>
              <w:t>493</w:t>
            </w:r>
          </w:p>
        </w:tc>
        <w:tc>
          <w:tcPr>
            <w:tcW w:w="2008" w:type="dxa"/>
            <w:tcBorders>
              <w:top w:val="nil"/>
              <w:left w:val="nil"/>
              <w:bottom w:val="single" w:sz="4" w:space="0" w:color="auto"/>
              <w:right w:val="single" w:sz="4" w:space="0" w:color="auto"/>
            </w:tcBorders>
            <w:shd w:val="clear" w:color="auto" w:fill="auto"/>
            <w:noWrap/>
            <w:hideMark/>
          </w:tcPr>
          <w:p w:rsidR="005D6ACF" w:rsidRPr="002C6906" w:rsidRDefault="005D6ACF" w:rsidP="008A253E">
            <w:pPr>
              <w:jc w:val="right"/>
              <w:rPr>
                <w:sz w:val="20"/>
                <w:szCs w:val="20"/>
              </w:rPr>
            </w:pPr>
            <w:r w:rsidRPr="002C6906">
              <w:rPr>
                <w:sz w:val="20"/>
                <w:szCs w:val="20"/>
              </w:rPr>
              <w:t>130 000 000</w:t>
            </w:r>
          </w:p>
        </w:tc>
        <w:tc>
          <w:tcPr>
            <w:tcW w:w="2008" w:type="dxa"/>
            <w:tcBorders>
              <w:top w:val="nil"/>
              <w:left w:val="nil"/>
              <w:bottom w:val="single" w:sz="4" w:space="0" w:color="auto"/>
              <w:right w:val="single" w:sz="4" w:space="0" w:color="auto"/>
            </w:tcBorders>
            <w:shd w:val="clear" w:color="auto" w:fill="auto"/>
            <w:noWrap/>
            <w:hideMark/>
          </w:tcPr>
          <w:p w:rsidR="005D6ACF" w:rsidRPr="002C6906" w:rsidRDefault="005D6ACF" w:rsidP="008A253E">
            <w:pPr>
              <w:jc w:val="right"/>
              <w:rPr>
                <w:sz w:val="20"/>
                <w:szCs w:val="20"/>
              </w:rPr>
            </w:pPr>
            <w:r w:rsidRPr="002C6906">
              <w:rPr>
                <w:sz w:val="20"/>
                <w:szCs w:val="20"/>
              </w:rPr>
              <w:t>200 000 000</w:t>
            </w:r>
          </w:p>
        </w:tc>
        <w:tc>
          <w:tcPr>
            <w:tcW w:w="1471" w:type="dxa"/>
            <w:tcBorders>
              <w:top w:val="nil"/>
              <w:left w:val="nil"/>
              <w:bottom w:val="single" w:sz="4" w:space="0" w:color="auto"/>
              <w:right w:val="single" w:sz="4" w:space="0" w:color="auto"/>
            </w:tcBorders>
            <w:shd w:val="clear" w:color="auto" w:fill="auto"/>
            <w:noWrap/>
            <w:hideMark/>
          </w:tcPr>
          <w:p w:rsidR="005D6ACF" w:rsidRPr="002C6906" w:rsidRDefault="005D6ACF" w:rsidP="008A253E">
            <w:pPr>
              <w:jc w:val="right"/>
              <w:rPr>
                <w:sz w:val="20"/>
                <w:szCs w:val="20"/>
              </w:rPr>
            </w:pPr>
            <w:r w:rsidRPr="002C6906">
              <w:rPr>
                <w:sz w:val="20"/>
                <w:szCs w:val="20"/>
              </w:rPr>
              <w:t>10 685</w:t>
            </w:r>
          </w:p>
        </w:tc>
        <w:tc>
          <w:tcPr>
            <w:tcW w:w="1471" w:type="dxa"/>
            <w:tcBorders>
              <w:top w:val="nil"/>
              <w:left w:val="nil"/>
              <w:bottom w:val="single" w:sz="4" w:space="0" w:color="auto"/>
              <w:right w:val="single" w:sz="4" w:space="0" w:color="auto"/>
            </w:tcBorders>
            <w:shd w:val="clear" w:color="auto" w:fill="auto"/>
            <w:noWrap/>
            <w:hideMark/>
          </w:tcPr>
          <w:p w:rsidR="005D6ACF" w:rsidRPr="002C6906" w:rsidRDefault="005D6ACF" w:rsidP="008A253E">
            <w:pPr>
              <w:jc w:val="right"/>
              <w:rPr>
                <w:sz w:val="20"/>
                <w:szCs w:val="20"/>
              </w:rPr>
            </w:pPr>
            <w:r w:rsidRPr="002C6906">
              <w:rPr>
                <w:sz w:val="20"/>
                <w:szCs w:val="20"/>
              </w:rPr>
              <w:t>16 438</w:t>
            </w:r>
          </w:p>
        </w:tc>
        <w:tc>
          <w:tcPr>
            <w:tcW w:w="1475" w:type="dxa"/>
            <w:tcBorders>
              <w:top w:val="nil"/>
              <w:left w:val="nil"/>
              <w:bottom w:val="single" w:sz="4" w:space="0" w:color="auto"/>
              <w:right w:val="single" w:sz="8" w:space="0" w:color="auto"/>
            </w:tcBorders>
            <w:shd w:val="clear" w:color="auto" w:fill="auto"/>
            <w:noWrap/>
            <w:hideMark/>
          </w:tcPr>
          <w:p w:rsidR="005D6ACF" w:rsidRPr="002C6906" w:rsidRDefault="005D6ACF" w:rsidP="008A253E">
            <w:pPr>
              <w:jc w:val="right"/>
              <w:rPr>
                <w:sz w:val="20"/>
                <w:szCs w:val="20"/>
              </w:rPr>
            </w:pPr>
            <w:r w:rsidRPr="002C6906">
              <w:rPr>
                <w:sz w:val="20"/>
                <w:szCs w:val="20"/>
              </w:rPr>
              <w:t>27 616,4</w:t>
            </w:r>
          </w:p>
        </w:tc>
      </w:tr>
      <w:tr w:rsidR="005D6ACF" w:rsidTr="008A253E">
        <w:trPr>
          <w:trHeight w:val="321"/>
        </w:trPr>
        <w:tc>
          <w:tcPr>
            <w:tcW w:w="1055" w:type="dxa"/>
            <w:tcBorders>
              <w:top w:val="nil"/>
              <w:left w:val="single" w:sz="8" w:space="0" w:color="auto"/>
              <w:bottom w:val="single" w:sz="4" w:space="0" w:color="auto"/>
              <w:right w:val="single" w:sz="4" w:space="0" w:color="auto"/>
            </w:tcBorders>
            <w:shd w:val="clear" w:color="auto" w:fill="auto"/>
            <w:noWrap/>
            <w:vAlign w:val="bottom"/>
            <w:hideMark/>
          </w:tcPr>
          <w:p w:rsidR="005D6ACF" w:rsidRPr="00D5138D" w:rsidRDefault="005D6ACF" w:rsidP="008A253E">
            <w:pPr>
              <w:rPr>
                <w:sz w:val="20"/>
                <w:szCs w:val="20"/>
              </w:rPr>
            </w:pPr>
            <w:r w:rsidRPr="00D5138D">
              <w:rPr>
                <w:sz w:val="20"/>
                <w:szCs w:val="20"/>
              </w:rPr>
              <w:t>май</w:t>
            </w:r>
          </w:p>
        </w:tc>
        <w:tc>
          <w:tcPr>
            <w:tcW w:w="972" w:type="dxa"/>
            <w:tcBorders>
              <w:top w:val="nil"/>
              <w:left w:val="nil"/>
              <w:bottom w:val="single" w:sz="4" w:space="0" w:color="auto"/>
              <w:right w:val="single" w:sz="4" w:space="0" w:color="auto"/>
            </w:tcBorders>
            <w:shd w:val="clear" w:color="auto" w:fill="auto"/>
            <w:noWrap/>
            <w:vAlign w:val="bottom"/>
            <w:hideMark/>
          </w:tcPr>
          <w:p w:rsidR="005D6ACF" w:rsidRPr="00D5138D" w:rsidRDefault="005D6ACF" w:rsidP="008A253E">
            <w:pPr>
              <w:jc w:val="center"/>
              <w:rPr>
                <w:sz w:val="20"/>
                <w:szCs w:val="20"/>
              </w:rPr>
            </w:pPr>
            <w:r w:rsidRPr="00D5138D">
              <w:rPr>
                <w:sz w:val="20"/>
                <w:szCs w:val="20"/>
              </w:rPr>
              <w:t>31</w:t>
            </w:r>
          </w:p>
        </w:tc>
        <w:tc>
          <w:tcPr>
            <w:tcW w:w="1538" w:type="dxa"/>
            <w:tcBorders>
              <w:top w:val="nil"/>
              <w:left w:val="nil"/>
              <w:bottom w:val="single" w:sz="4" w:space="0" w:color="auto"/>
              <w:right w:val="single" w:sz="4" w:space="0" w:color="auto"/>
            </w:tcBorders>
            <w:shd w:val="clear" w:color="auto" w:fill="auto"/>
            <w:noWrap/>
            <w:hideMark/>
          </w:tcPr>
          <w:p w:rsidR="005D6ACF" w:rsidRPr="002C6906" w:rsidRDefault="005D6ACF" w:rsidP="008A253E">
            <w:pPr>
              <w:jc w:val="right"/>
              <w:rPr>
                <w:sz w:val="20"/>
                <w:szCs w:val="20"/>
              </w:rPr>
            </w:pPr>
            <w:r w:rsidRPr="002C6906">
              <w:rPr>
                <w:sz w:val="20"/>
                <w:szCs w:val="20"/>
              </w:rPr>
              <w:t>30 000 000</w:t>
            </w:r>
          </w:p>
        </w:tc>
        <w:tc>
          <w:tcPr>
            <w:tcW w:w="1157" w:type="dxa"/>
            <w:tcBorders>
              <w:top w:val="nil"/>
              <w:left w:val="nil"/>
              <w:bottom w:val="single" w:sz="4" w:space="0" w:color="auto"/>
              <w:right w:val="single" w:sz="4" w:space="0" w:color="auto"/>
            </w:tcBorders>
            <w:shd w:val="clear" w:color="auto" w:fill="auto"/>
            <w:noWrap/>
            <w:hideMark/>
          </w:tcPr>
          <w:p w:rsidR="005D6ACF" w:rsidRPr="002C6906" w:rsidRDefault="005D6ACF" w:rsidP="008A253E">
            <w:pPr>
              <w:jc w:val="right"/>
              <w:rPr>
                <w:sz w:val="20"/>
                <w:szCs w:val="20"/>
              </w:rPr>
            </w:pPr>
            <w:r w:rsidRPr="002C6906">
              <w:rPr>
                <w:sz w:val="20"/>
                <w:szCs w:val="20"/>
              </w:rPr>
              <w:t>0,1%</w:t>
            </w:r>
          </w:p>
        </w:tc>
        <w:tc>
          <w:tcPr>
            <w:tcW w:w="1473" w:type="dxa"/>
            <w:tcBorders>
              <w:top w:val="nil"/>
              <w:left w:val="nil"/>
              <w:bottom w:val="single" w:sz="4" w:space="0" w:color="auto"/>
              <w:right w:val="single" w:sz="4" w:space="0" w:color="auto"/>
            </w:tcBorders>
            <w:shd w:val="clear" w:color="auto" w:fill="auto"/>
            <w:noWrap/>
            <w:hideMark/>
          </w:tcPr>
          <w:p w:rsidR="005D6ACF" w:rsidRPr="002C6906" w:rsidRDefault="005D6ACF" w:rsidP="008A253E">
            <w:pPr>
              <w:jc w:val="right"/>
              <w:rPr>
                <w:sz w:val="20"/>
                <w:szCs w:val="20"/>
              </w:rPr>
            </w:pPr>
            <w:r w:rsidRPr="002C6906">
              <w:rPr>
                <w:sz w:val="20"/>
                <w:szCs w:val="20"/>
              </w:rPr>
              <w:t>2 548</w:t>
            </w:r>
          </w:p>
        </w:tc>
        <w:tc>
          <w:tcPr>
            <w:tcW w:w="2008" w:type="dxa"/>
            <w:tcBorders>
              <w:top w:val="nil"/>
              <w:left w:val="nil"/>
              <w:bottom w:val="single" w:sz="4" w:space="0" w:color="auto"/>
              <w:right w:val="single" w:sz="4" w:space="0" w:color="auto"/>
            </w:tcBorders>
            <w:shd w:val="clear" w:color="auto" w:fill="auto"/>
            <w:noWrap/>
            <w:hideMark/>
          </w:tcPr>
          <w:p w:rsidR="005D6ACF" w:rsidRPr="002C6906" w:rsidRDefault="005D6ACF" w:rsidP="008A253E">
            <w:pPr>
              <w:jc w:val="right"/>
              <w:rPr>
                <w:sz w:val="20"/>
                <w:szCs w:val="20"/>
              </w:rPr>
            </w:pPr>
            <w:r w:rsidRPr="002C6906">
              <w:rPr>
                <w:sz w:val="20"/>
                <w:szCs w:val="20"/>
              </w:rPr>
              <w:t>130 000 000</w:t>
            </w:r>
          </w:p>
        </w:tc>
        <w:tc>
          <w:tcPr>
            <w:tcW w:w="2008" w:type="dxa"/>
            <w:tcBorders>
              <w:top w:val="nil"/>
              <w:left w:val="nil"/>
              <w:bottom w:val="single" w:sz="4" w:space="0" w:color="auto"/>
              <w:right w:val="single" w:sz="4" w:space="0" w:color="auto"/>
            </w:tcBorders>
            <w:shd w:val="clear" w:color="auto" w:fill="auto"/>
            <w:noWrap/>
            <w:hideMark/>
          </w:tcPr>
          <w:p w:rsidR="005D6ACF" w:rsidRPr="002C6906" w:rsidRDefault="005D6ACF" w:rsidP="008A253E">
            <w:pPr>
              <w:jc w:val="right"/>
              <w:rPr>
                <w:sz w:val="20"/>
                <w:szCs w:val="20"/>
              </w:rPr>
            </w:pPr>
            <w:r w:rsidRPr="002C6906">
              <w:rPr>
                <w:sz w:val="20"/>
                <w:szCs w:val="20"/>
              </w:rPr>
              <w:t>200 000 000</w:t>
            </w:r>
          </w:p>
        </w:tc>
        <w:tc>
          <w:tcPr>
            <w:tcW w:w="1471" w:type="dxa"/>
            <w:tcBorders>
              <w:top w:val="nil"/>
              <w:left w:val="nil"/>
              <w:bottom w:val="single" w:sz="4" w:space="0" w:color="auto"/>
              <w:right w:val="single" w:sz="4" w:space="0" w:color="auto"/>
            </w:tcBorders>
            <w:shd w:val="clear" w:color="auto" w:fill="auto"/>
            <w:noWrap/>
            <w:hideMark/>
          </w:tcPr>
          <w:p w:rsidR="005D6ACF" w:rsidRPr="002C6906" w:rsidRDefault="005D6ACF" w:rsidP="008A253E">
            <w:pPr>
              <w:jc w:val="right"/>
              <w:rPr>
                <w:sz w:val="20"/>
                <w:szCs w:val="20"/>
              </w:rPr>
            </w:pPr>
            <w:r w:rsidRPr="002C6906">
              <w:rPr>
                <w:sz w:val="20"/>
                <w:szCs w:val="20"/>
              </w:rPr>
              <w:t>11 041</w:t>
            </w:r>
          </w:p>
        </w:tc>
        <w:tc>
          <w:tcPr>
            <w:tcW w:w="1471" w:type="dxa"/>
            <w:tcBorders>
              <w:top w:val="nil"/>
              <w:left w:val="nil"/>
              <w:bottom w:val="single" w:sz="4" w:space="0" w:color="auto"/>
              <w:right w:val="single" w:sz="4" w:space="0" w:color="auto"/>
            </w:tcBorders>
            <w:shd w:val="clear" w:color="auto" w:fill="auto"/>
            <w:noWrap/>
            <w:hideMark/>
          </w:tcPr>
          <w:p w:rsidR="005D6ACF" w:rsidRPr="002C6906" w:rsidRDefault="005D6ACF" w:rsidP="008A253E">
            <w:pPr>
              <w:jc w:val="right"/>
              <w:rPr>
                <w:sz w:val="20"/>
                <w:szCs w:val="20"/>
              </w:rPr>
            </w:pPr>
            <w:r w:rsidRPr="002C6906">
              <w:rPr>
                <w:sz w:val="20"/>
                <w:szCs w:val="20"/>
              </w:rPr>
              <w:t>16 986</w:t>
            </w:r>
          </w:p>
        </w:tc>
        <w:tc>
          <w:tcPr>
            <w:tcW w:w="1475" w:type="dxa"/>
            <w:tcBorders>
              <w:top w:val="nil"/>
              <w:left w:val="nil"/>
              <w:bottom w:val="single" w:sz="4" w:space="0" w:color="auto"/>
              <w:right w:val="single" w:sz="8" w:space="0" w:color="auto"/>
            </w:tcBorders>
            <w:shd w:val="clear" w:color="auto" w:fill="auto"/>
            <w:noWrap/>
            <w:hideMark/>
          </w:tcPr>
          <w:p w:rsidR="005D6ACF" w:rsidRPr="002C6906" w:rsidRDefault="005D6ACF" w:rsidP="008A253E">
            <w:pPr>
              <w:jc w:val="right"/>
              <w:rPr>
                <w:sz w:val="20"/>
                <w:szCs w:val="20"/>
              </w:rPr>
            </w:pPr>
            <w:r w:rsidRPr="002C6906">
              <w:rPr>
                <w:sz w:val="20"/>
                <w:szCs w:val="20"/>
              </w:rPr>
              <w:t>30 575,3</w:t>
            </w:r>
          </w:p>
        </w:tc>
      </w:tr>
      <w:tr w:rsidR="005D6ACF" w:rsidTr="008A253E">
        <w:trPr>
          <w:trHeight w:val="321"/>
        </w:trPr>
        <w:tc>
          <w:tcPr>
            <w:tcW w:w="1055" w:type="dxa"/>
            <w:tcBorders>
              <w:top w:val="nil"/>
              <w:left w:val="single" w:sz="8" w:space="0" w:color="auto"/>
              <w:bottom w:val="single" w:sz="4" w:space="0" w:color="auto"/>
              <w:right w:val="single" w:sz="4" w:space="0" w:color="auto"/>
            </w:tcBorders>
            <w:shd w:val="clear" w:color="auto" w:fill="auto"/>
            <w:noWrap/>
            <w:vAlign w:val="bottom"/>
            <w:hideMark/>
          </w:tcPr>
          <w:p w:rsidR="005D6ACF" w:rsidRPr="00D5138D" w:rsidRDefault="005D6ACF" w:rsidP="008A253E">
            <w:pPr>
              <w:rPr>
                <w:sz w:val="20"/>
                <w:szCs w:val="20"/>
              </w:rPr>
            </w:pPr>
            <w:r w:rsidRPr="00D5138D">
              <w:rPr>
                <w:sz w:val="20"/>
                <w:szCs w:val="20"/>
              </w:rPr>
              <w:t>июнь</w:t>
            </w:r>
          </w:p>
        </w:tc>
        <w:tc>
          <w:tcPr>
            <w:tcW w:w="972" w:type="dxa"/>
            <w:tcBorders>
              <w:top w:val="nil"/>
              <w:left w:val="nil"/>
              <w:bottom w:val="single" w:sz="4" w:space="0" w:color="auto"/>
              <w:right w:val="single" w:sz="4" w:space="0" w:color="auto"/>
            </w:tcBorders>
            <w:shd w:val="clear" w:color="auto" w:fill="auto"/>
            <w:noWrap/>
            <w:vAlign w:val="bottom"/>
            <w:hideMark/>
          </w:tcPr>
          <w:p w:rsidR="005D6ACF" w:rsidRPr="00D5138D" w:rsidRDefault="005D6ACF" w:rsidP="008A253E">
            <w:pPr>
              <w:jc w:val="center"/>
              <w:rPr>
                <w:sz w:val="20"/>
                <w:szCs w:val="20"/>
              </w:rPr>
            </w:pPr>
            <w:r w:rsidRPr="00D5138D">
              <w:rPr>
                <w:sz w:val="20"/>
                <w:szCs w:val="20"/>
              </w:rPr>
              <w:t>30</w:t>
            </w:r>
          </w:p>
        </w:tc>
        <w:tc>
          <w:tcPr>
            <w:tcW w:w="1538" w:type="dxa"/>
            <w:tcBorders>
              <w:top w:val="nil"/>
              <w:left w:val="nil"/>
              <w:bottom w:val="single" w:sz="4" w:space="0" w:color="auto"/>
              <w:right w:val="single" w:sz="4" w:space="0" w:color="auto"/>
            </w:tcBorders>
            <w:shd w:val="clear" w:color="auto" w:fill="auto"/>
            <w:noWrap/>
            <w:hideMark/>
          </w:tcPr>
          <w:p w:rsidR="005D6ACF" w:rsidRPr="002C6906" w:rsidRDefault="005D6ACF" w:rsidP="008A253E">
            <w:pPr>
              <w:jc w:val="right"/>
              <w:rPr>
                <w:sz w:val="20"/>
                <w:szCs w:val="20"/>
              </w:rPr>
            </w:pPr>
            <w:r w:rsidRPr="002C6906">
              <w:rPr>
                <w:sz w:val="20"/>
                <w:szCs w:val="20"/>
              </w:rPr>
              <w:t>30 000 000</w:t>
            </w:r>
          </w:p>
        </w:tc>
        <w:tc>
          <w:tcPr>
            <w:tcW w:w="1157" w:type="dxa"/>
            <w:tcBorders>
              <w:top w:val="nil"/>
              <w:left w:val="nil"/>
              <w:bottom w:val="single" w:sz="4" w:space="0" w:color="auto"/>
              <w:right w:val="single" w:sz="4" w:space="0" w:color="auto"/>
            </w:tcBorders>
            <w:shd w:val="clear" w:color="auto" w:fill="auto"/>
            <w:noWrap/>
            <w:hideMark/>
          </w:tcPr>
          <w:p w:rsidR="005D6ACF" w:rsidRPr="002C6906" w:rsidRDefault="005D6ACF" w:rsidP="008A253E">
            <w:pPr>
              <w:jc w:val="right"/>
              <w:rPr>
                <w:sz w:val="20"/>
                <w:szCs w:val="20"/>
              </w:rPr>
            </w:pPr>
            <w:r w:rsidRPr="002C6906">
              <w:rPr>
                <w:sz w:val="20"/>
                <w:szCs w:val="20"/>
              </w:rPr>
              <w:t>0,1%</w:t>
            </w:r>
          </w:p>
        </w:tc>
        <w:tc>
          <w:tcPr>
            <w:tcW w:w="1473" w:type="dxa"/>
            <w:tcBorders>
              <w:top w:val="nil"/>
              <w:left w:val="nil"/>
              <w:bottom w:val="single" w:sz="4" w:space="0" w:color="auto"/>
              <w:right w:val="single" w:sz="4" w:space="0" w:color="auto"/>
            </w:tcBorders>
            <w:shd w:val="clear" w:color="auto" w:fill="auto"/>
            <w:noWrap/>
            <w:hideMark/>
          </w:tcPr>
          <w:p w:rsidR="005D6ACF" w:rsidRPr="002C6906" w:rsidRDefault="005D6ACF" w:rsidP="008A253E">
            <w:pPr>
              <w:jc w:val="right"/>
              <w:rPr>
                <w:sz w:val="20"/>
                <w:szCs w:val="20"/>
              </w:rPr>
            </w:pPr>
            <w:r w:rsidRPr="002C6906">
              <w:rPr>
                <w:sz w:val="20"/>
                <w:szCs w:val="20"/>
              </w:rPr>
              <w:t>2 466</w:t>
            </w:r>
          </w:p>
        </w:tc>
        <w:tc>
          <w:tcPr>
            <w:tcW w:w="2008" w:type="dxa"/>
            <w:tcBorders>
              <w:top w:val="nil"/>
              <w:left w:val="nil"/>
              <w:bottom w:val="single" w:sz="4" w:space="0" w:color="auto"/>
              <w:right w:val="single" w:sz="4" w:space="0" w:color="auto"/>
            </w:tcBorders>
            <w:shd w:val="clear" w:color="auto" w:fill="auto"/>
            <w:noWrap/>
            <w:hideMark/>
          </w:tcPr>
          <w:p w:rsidR="005D6ACF" w:rsidRPr="002C6906" w:rsidRDefault="005D6ACF" w:rsidP="008A253E">
            <w:pPr>
              <w:jc w:val="right"/>
              <w:rPr>
                <w:sz w:val="20"/>
                <w:szCs w:val="20"/>
              </w:rPr>
            </w:pPr>
            <w:r w:rsidRPr="002C6906">
              <w:rPr>
                <w:sz w:val="20"/>
                <w:szCs w:val="20"/>
              </w:rPr>
              <w:t>130 000 000</w:t>
            </w:r>
          </w:p>
        </w:tc>
        <w:tc>
          <w:tcPr>
            <w:tcW w:w="2008" w:type="dxa"/>
            <w:tcBorders>
              <w:top w:val="nil"/>
              <w:left w:val="nil"/>
              <w:bottom w:val="single" w:sz="4" w:space="0" w:color="auto"/>
              <w:right w:val="single" w:sz="4" w:space="0" w:color="auto"/>
            </w:tcBorders>
            <w:shd w:val="clear" w:color="auto" w:fill="auto"/>
            <w:noWrap/>
            <w:hideMark/>
          </w:tcPr>
          <w:p w:rsidR="005D6ACF" w:rsidRPr="002C6906" w:rsidRDefault="005D6ACF" w:rsidP="008A253E">
            <w:pPr>
              <w:jc w:val="right"/>
              <w:rPr>
                <w:sz w:val="20"/>
                <w:szCs w:val="20"/>
              </w:rPr>
            </w:pPr>
            <w:r w:rsidRPr="002C6906">
              <w:rPr>
                <w:sz w:val="20"/>
                <w:szCs w:val="20"/>
              </w:rPr>
              <w:t>200 000 000</w:t>
            </w:r>
          </w:p>
        </w:tc>
        <w:tc>
          <w:tcPr>
            <w:tcW w:w="1471" w:type="dxa"/>
            <w:tcBorders>
              <w:top w:val="nil"/>
              <w:left w:val="nil"/>
              <w:bottom w:val="single" w:sz="4" w:space="0" w:color="auto"/>
              <w:right w:val="single" w:sz="4" w:space="0" w:color="auto"/>
            </w:tcBorders>
            <w:shd w:val="clear" w:color="auto" w:fill="auto"/>
            <w:noWrap/>
            <w:hideMark/>
          </w:tcPr>
          <w:p w:rsidR="005D6ACF" w:rsidRPr="002C6906" w:rsidRDefault="005D6ACF" w:rsidP="008A253E">
            <w:pPr>
              <w:jc w:val="right"/>
              <w:rPr>
                <w:sz w:val="20"/>
                <w:szCs w:val="20"/>
              </w:rPr>
            </w:pPr>
            <w:r w:rsidRPr="002C6906">
              <w:rPr>
                <w:sz w:val="20"/>
                <w:szCs w:val="20"/>
              </w:rPr>
              <w:t>10 685</w:t>
            </w:r>
          </w:p>
        </w:tc>
        <w:tc>
          <w:tcPr>
            <w:tcW w:w="1471" w:type="dxa"/>
            <w:tcBorders>
              <w:top w:val="nil"/>
              <w:left w:val="nil"/>
              <w:bottom w:val="single" w:sz="4" w:space="0" w:color="auto"/>
              <w:right w:val="single" w:sz="4" w:space="0" w:color="auto"/>
            </w:tcBorders>
            <w:shd w:val="clear" w:color="auto" w:fill="auto"/>
            <w:noWrap/>
            <w:hideMark/>
          </w:tcPr>
          <w:p w:rsidR="005D6ACF" w:rsidRPr="002C6906" w:rsidRDefault="005D6ACF" w:rsidP="008A253E">
            <w:pPr>
              <w:jc w:val="right"/>
              <w:rPr>
                <w:sz w:val="20"/>
                <w:szCs w:val="20"/>
              </w:rPr>
            </w:pPr>
            <w:r w:rsidRPr="002C6906">
              <w:rPr>
                <w:sz w:val="20"/>
                <w:szCs w:val="20"/>
              </w:rPr>
              <w:t>16 438</w:t>
            </w:r>
          </w:p>
        </w:tc>
        <w:tc>
          <w:tcPr>
            <w:tcW w:w="1475" w:type="dxa"/>
            <w:tcBorders>
              <w:top w:val="nil"/>
              <w:left w:val="nil"/>
              <w:bottom w:val="single" w:sz="4" w:space="0" w:color="auto"/>
              <w:right w:val="single" w:sz="8" w:space="0" w:color="auto"/>
            </w:tcBorders>
            <w:shd w:val="clear" w:color="auto" w:fill="auto"/>
            <w:noWrap/>
            <w:hideMark/>
          </w:tcPr>
          <w:p w:rsidR="005D6ACF" w:rsidRPr="002C6906" w:rsidRDefault="005D6ACF" w:rsidP="008A253E">
            <w:pPr>
              <w:jc w:val="right"/>
              <w:rPr>
                <w:sz w:val="20"/>
                <w:szCs w:val="20"/>
              </w:rPr>
            </w:pPr>
            <w:r w:rsidRPr="002C6906">
              <w:rPr>
                <w:sz w:val="20"/>
                <w:szCs w:val="20"/>
              </w:rPr>
              <w:t>29 589,0</w:t>
            </w:r>
          </w:p>
        </w:tc>
      </w:tr>
      <w:tr w:rsidR="005D6ACF" w:rsidTr="008A253E">
        <w:trPr>
          <w:trHeight w:val="321"/>
        </w:trPr>
        <w:tc>
          <w:tcPr>
            <w:tcW w:w="1055" w:type="dxa"/>
            <w:tcBorders>
              <w:top w:val="nil"/>
              <w:left w:val="single" w:sz="8" w:space="0" w:color="auto"/>
              <w:bottom w:val="single" w:sz="4" w:space="0" w:color="auto"/>
              <w:right w:val="single" w:sz="4" w:space="0" w:color="auto"/>
            </w:tcBorders>
            <w:shd w:val="clear" w:color="auto" w:fill="auto"/>
            <w:noWrap/>
            <w:vAlign w:val="bottom"/>
            <w:hideMark/>
          </w:tcPr>
          <w:p w:rsidR="005D6ACF" w:rsidRPr="00D5138D" w:rsidRDefault="005D6ACF" w:rsidP="008A253E">
            <w:pPr>
              <w:rPr>
                <w:sz w:val="20"/>
                <w:szCs w:val="20"/>
              </w:rPr>
            </w:pPr>
            <w:r w:rsidRPr="00D5138D">
              <w:rPr>
                <w:sz w:val="20"/>
                <w:szCs w:val="20"/>
              </w:rPr>
              <w:t>июль</w:t>
            </w:r>
          </w:p>
        </w:tc>
        <w:tc>
          <w:tcPr>
            <w:tcW w:w="972" w:type="dxa"/>
            <w:tcBorders>
              <w:top w:val="nil"/>
              <w:left w:val="nil"/>
              <w:bottom w:val="single" w:sz="4" w:space="0" w:color="auto"/>
              <w:right w:val="single" w:sz="4" w:space="0" w:color="auto"/>
            </w:tcBorders>
            <w:shd w:val="clear" w:color="auto" w:fill="auto"/>
            <w:noWrap/>
            <w:vAlign w:val="bottom"/>
            <w:hideMark/>
          </w:tcPr>
          <w:p w:rsidR="005D6ACF" w:rsidRPr="00D5138D" w:rsidRDefault="005D6ACF" w:rsidP="008A253E">
            <w:pPr>
              <w:jc w:val="center"/>
              <w:rPr>
                <w:sz w:val="20"/>
                <w:szCs w:val="20"/>
              </w:rPr>
            </w:pPr>
            <w:r w:rsidRPr="00D5138D">
              <w:rPr>
                <w:sz w:val="20"/>
                <w:szCs w:val="20"/>
              </w:rPr>
              <w:t>31</w:t>
            </w:r>
          </w:p>
        </w:tc>
        <w:tc>
          <w:tcPr>
            <w:tcW w:w="1538" w:type="dxa"/>
            <w:tcBorders>
              <w:top w:val="nil"/>
              <w:left w:val="nil"/>
              <w:bottom w:val="single" w:sz="4" w:space="0" w:color="auto"/>
              <w:right w:val="single" w:sz="4" w:space="0" w:color="auto"/>
            </w:tcBorders>
            <w:shd w:val="clear" w:color="auto" w:fill="auto"/>
            <w:noWrap/>
            <w:hideMark/>
          </w:tcPr>
          <w:p w:rsidR="005D6ACF" w:rsidRPr="002C6906" w:rsidRDefault="005D6ACF" w:rsidP="008A253E">
            <w:pPr>
              <w:jc w:val="right"/>
              <w:rPr>
                <w:sz w:val="20"/>
                <w:szCs w:val="20"/>
              </w:rPr>
            </w:pPr>
            <w:r w:rsidRPr="002C6906">
              <w:rPr>
                <w:sz w:val="20"/>
                <w:szCs w:val="20"/>
              </w:rPr>
              <w:t>60 000 000</w:t>
            </w:r>
          </w:p>
        </w:tc>
        <w:tc>
          <w:tcPr>
            <w:tcW w:w="1157" w:type="dxa"/>
            <w:tcBorders>
              <w:top w:val="nil"/>
              <w:left w:val="nil"/>
              <w:bottom w:val="single" w:sz="4" w:space="0" w:color="auto"/>
              <w:right w:val="single" w:sz="4" w:space="0" w:color="auto"/>
            </w:tcBorders>
            <w:shd w:val="clear" w:color="auto" w:fill="auto"/>
            <w:noWrap/>
            <w:hideMark/>
          </w:tcPr>
          <w:p w:rsidR="005D6ACF" w:rsidRPr="002C6906" w:rsidRDefault="005D6ACF" w:rsidP="008A253E">
            <w:pPr>
              <w:jc w:val="right"/>
              <w:rPr>
                <w:sz w:val="20"/>
                <w:szCs w:val="20"/>
              </w:rPr>
            </w:pPr>
            <w:r w:rsidRPr="002C6906">
              <w:rPr>
                <w:sz w:val="20"/>
                <w:szCs w:val="20"/>
              </w:rPr>
              <w:t>0,1%</w:t>
            </w:r>
          </w:p>
        </w:tc>
        <w:tc>
          <w:tcPr>
            <w:tcW w:w="1473" w:type="dxa"/>
            <w:tcBorders>
              <w:top w:val="nil"/>
              <w:left w:val="nil"/>
              <w:bottom w:val="single" w:sz="4" w:space="0" w:color="auto"/>
              <w:right w:val="single" w:sz="4" w:space="0" w:color="auto"/>
            </w:tcBorders>
            <w:shd w:val="clear" w:color="auto" w:fill="auto"/>
            <w:noWrap/>
            <w:hideMark/>
          </w:tcPr>
          <w:p w:rsidR="005D6ACF" w:rsidRPr="002C6906" w:rsidRDefault="005D6ACF" w:rsidP="008A253E">
            <w:pPr>
              <w:jc w:val="right"/>
              <w:rPr>
                <w:sz w:val="20"/>
                <w:szCs w:val="20"/>
              </w:rPr>
            </w:pPr>
            <w:r w:rsidRPr="002C6906">
              <w:rPr>
                <w:sz w:val="20"/>
                <w:szCs w:val="20"/>
              </w:rPr>
              <w:t>5 096</w:t>
            </w:r>
          </w:p>
        </w:tc>
        <w:tc>
          <w:tcPr>
            <w:tcW w:w="2008" w:type="dxa"/>
            <w:tcBorders>
              <w:top w:val="nil"/>
              <w:left w:val="nil"/>
              <w:bottom w:val="single" w:sz="4" w:space="0" w:color="auto"/>
              <w:right w:val="single" w:sz="4" w:space="0" w:color="auto"/>
            </w:tcBorders>
            <w:shd w:val="clear" w:color="auto" w:fill="auto"/>
            <w:noWrap/>
            <w:hideMark/>
          </w:tcPr>
          <w:p w:rsidR="005D6ACF" w:rsidRPr="002C6906" w:rsidRDefault="005D6ACF" w:rsidP="008A253E">
            <w:pPr>
              <w:jc w:val="right"/>
              <w:rPr>
                <w:sz w:val="20"/>
                <w:szCs w:val="20"/>
              </w:rPr>
            </w:pPr>
            <w:r w:rsidRPr="002C6906">
              <w:rPr>
                <w:sz w:val="20"/>
                <w:szCs w:val="20"/>
              </w:rPr>
              <w:t>130 000 000</w:t>
            </w:r>
          </w:p>
        </w:tc>
        <w:tc>
          <w:tcPr>
            <w:tcW w:w="2008" w:type="dxa"/>
            <w:tcBorders>
              <w:top w:val="nil"/>
              <w:left w:val="nil"/>
              <w:bottom w:val="single" w:sz="4" w:space="0" w:color="auto"/>
              <w:right w:val="single" w:sz="4" w:space="0" w:color="auto"/>
            </w:tcBorders>
            <w:shd w:val="clear" w:color="auto" w:fill="auto"/>
            <w:noWrap/>
            <w:hideMark/>
          </w:tcPr>
          <w:p w:rsidR="005D6ACF" w:rsidRPr="002C6906" w:rsidRDefault="005D6ACF" w:rsidP="008A253E">
            <w:pPr>
              <w:jc w:val="right"/>
              <w:rPr>
                <w:sz w:val="20"/>
                <w:szCs w:val="20"/>
              </w:rPr>
            </w:pPr>
            <w:r w:rsidRPr="002C6906">
              <w:rPr>
                <w:sz w:val="20"/>
                <w:szCs w:val="20"/>
              </w:rPr>
              <w:t>200 000 000</w:t>
            </w:r>
          </w:p>
        </w:tc>
        <w:tc>
          <w:tcPr>
            <w:tcW w:w="1471" w:type="dxa"/>
            <w:tcBorders>
              <w:top w:val="nil"/>
              <w:left w:val="nil"/>
              <w:bottom w:val="single" w:sz="4" w:space="0" w:color="auto"/>
              <w:right w:val="single" w:sz="4" w:space="0" w:color="auto"/>
            </w:tcBorders>
            <w:shd w:val="clear" w:color="auto" w:fill="auto"/>
            <w:noWrap/>
            <w:hideMark/>
          </w:tcPr>
          <w:p w:rsidR="005D6ACF" w:rsidRPr="002C6906" w:rsidRDefault="005D6ACF" w:rsidP="008A253E">
            <w:pPr>
              <w:jc w:val="right"/>
              <w:rPr>
                <w:sz w:val="20"/>
                <w:szCs w:val="20"/>
              </w:rPr>
            </w:pPr>
            <w:r w:rsidRPr="002C6906">
              <w:rPr>
                <w:sz w:val="20"/>
                <w:szCs w:val="20"/>
              </w:rPr>
              <w:t>11 041</w:t>
            </w:r>
          </w:p>
        </w:tc>
        <w:tc>
          <w:tcPr>
            <w:tcW w:w="1471" w:type="dxa"/>
            <w:tcBorders>
              <w:top w:val="nil"/>
              <w:left w:val="nil"/>
              <w:bottom w:val="single" w:sz="4" w:space="0" w:color="auto"/>
              <w:right w:val="single" w:sz="4" w:space="0" w:color="auto"/>
            </w:tcBorders>
            <w:shd w:val="clear" w:color="auto" w:fill="auto"/>
            <w:noWrap/>
            <w:hideMark/>
          </w:tcPr>
          <w:p w:rsidR="005D6ACF" w:rsidRPr="002C6906" w:rsidRDefault="005D6ACF" w:rsidP="008A253E">
            <w:pPr>
              <w:jc w:val="right"/>
              <w:rPr>
                <w:sz w:val="20"/>
                <w:szCs w:val="20"/>
              </w:rPr>
            </w:pPr>
            <w:r w:rsidRPr="002C6906">
              <w:rPr>
                <w:sz w:val="20"/>
                <w:szCs w:val="20"/>
              </w:rPr>
              <w:t>16 986</w:t>
            </w:r>
          </w:p>
        </w:tc>
        <w:tc>
          <w:tcPr>
            <w:tcW w:w="1475" w:type="dxa"/>
            <w:tcBorders>
              <w:top w:val="nil"/>
              <w:left w:val="nil"/>
              <w:bottom w:val="single" w:sz="4" w:space="0" w:color="auto"/>
              <w:right w:val="single" w:sz="8" w:space="0" w:color="auto"/>
            </w:tcBorders>
            <w:shd w:val="clear" w:color="auto" w:fill="auto"/>
            <w:noWrap/>
            <w:hideMark/>
          </w:tcPr>
          <w:p w:rsidR="005D6ACF" w:rsidRPr="002C6906" w:rsidRDefault="005D6ACF" w:rsidP="008A253E">
            <w:pPr>
              <w:jc w:val="right"/>
              <w:rPr>
                <w:sz w:val="20"/>
                <w:szCs w:val="20"/>
              </w:rPr>
            </w:pPr>
            <w:r w:rsidRPr="002C6906">
              <w:rPr>
                <w:sz w:val="20"/>
                <w:szCs w:val="20"/>
              </w:rPr>
              <w:t>33 123,3</w:t>
            </w:r>
          </w:p>
        </w:tc>
      </w:tr>
      <w:tr w:rsidR="005D6ACF" w:rsidTr="008A253E">
        <w:trPr>
          <w:trHeight w:val="321"/>
        </w:trPr>
        <w:tc>
          <w:tcPr>
            <w:tcW w:w="1055" w:type="dxa"/>
            <w:tcBorders>
              <w:top w:val="nil"/>
              <w:left w:val="single" w:sz="8" w:space="0" w:color="auto"/>
              <w:bottom w:val="single" w:sz="4" w:space="0" w:color="auto"/>
              <w:right w:val="single" w:sz="4" w:space="0" w:color="auto"/>
            </w:tcBorders>
            <w:shd w:val="clear" w:color="auto" w:fill="auto"/>
            <w:noWrap/>
            <w:vAlign w:val="bottom"/>
            <w:hideMark/>
          </w:tcPr>
          <w:p w:rsidR="005D6ACF" w:rsidRPr="00D5138D" w:rsidRDefault="005D6ACF" w:rsidP="008A253E">
            <w:pPr>
              <w:rPr>
                <w:sz w:val="20"/>
                <w:szCs w:val="20"/>
              </w:rPr>
            </w:pPr>
            <w:r w:rsidRPr="00D5138D">
              <w:rPr>
                <w:sz w:val="20"/>
                <w:szCs w:val="20"/>
              </w:rPr>
              <w:t>август</w:t>
            </w:r>
          </w:p>
        </w:tc>
        <w:tc>
          <w:tcPr>
            <w:tcW w:w="972" w:type="dxa"/>
            <w:tcBorders>
              <w:top w:val="nil"/>
              <w:left w:val="nil"/>
              <w:bottom w:val="single" w:sz="4" w:space="0" w:color="auto"/>
              <w:right w:val="single" w:sz="4" w:space="0" w:color="auto"/>
            </w:tcBorders>
            <w:shd w:val="clear" w:color="auto" w:fill="auto"/>
            <w:noWrap/>
            <w:vAlign w:val="bottom"/>
            <w:hideMark/>
          </w:tcPr>
          <w:p w:rsidR="005D6ACF" w:rsidRPr="00D5138D" w:rsidRDefault="005D6ACF" w:rsidP="008A253E">
            <w:pPr>
              <w:jc w:val="center"/>
              <w:rPr>
                <w:sz w:val="20"/>
                <w:szCs w:val="20"/>
              </w:rPr>
            </w:pPr>
            <w:r w:rsidRPr="00D5138D">
              <w:rPr>
                <w:sz w:val="20"/>
                <w:szCs w:val="20"/>
              </w:rPr>
              <w:t>31</w:t>
            </w:r>
          </w:p>
        </w:tc>
        <w:tc>
          <w:tcPr>
            <w:tcW w:w="1538" w:type="dxa"/>
            <w:tcBorders>
              <w:top w:val="nil"/>
              <w:left w:val="nil"/>
              <w:bottom w:val="single" w:sz="4" w:space="0" w:color="auto"/>
              <w:right w:val="single" w:sz="4" w:space="0" w:color="auto"/>
            </w:tcBorders>
            <w:shd w:val="clear" w:color="auto" w:fill="auto"/>
            <w:noWrap/>
            <w:hideMark/>
          </w:tcPr>
          <w:p w:rsidR="005D6ACF" w:rsidRPr="002C6906" w:rsidRDefault="005D6ACF" w:rsidP="008A253E">
            <w:pPr>
              <w:jc w:val="right"/>
              <w:rPr>
                <w:sz w:val="20"/>
                <w:szCs w:val="20"/>
              </w:rPr>
            </w:pPr>
            <w:r w:rsidRPr="002C6906">
              <w:rPr>
                <w:sz w:val="20"/>
                <w:szCs w:val="20"/>
              </w:rPr>
              <w:t>100 000 000</w:t>
            </w:r>
          </w:p>
        </w:tc>
        <w:tc>
          <w:tcPr>
            <w:tcW w:w="1157" w:type="dxa"/>
            <w:tcBorders>
              <w:top w:val="nil"/>
              <w:left w:val="nil"/>
              <w:bottom w:val="single" w:sz="4" w:space="0" w:color="auto"/>
              <w:right w:val="single" w:sz="4" w:space="0" w:color="auto"/>
            </w:tcBorders>
            <w:shd w:val="clear" w:color="auto" w:fill="auto"/>
            <w:noWrap/>
            <w:hideMark/>
          </w:tcPr>
          <w:p w:rsidR="005D6ACF" w:rsidRPr="002C6906" w:rsidRDefault="005D6ACF" w:rsidP="008A253E">
            <w:pPr>
              <w:jc w:val="right"/>
              <w:rPr>
                <w:sz w:val="20"/>
                <w:szCs w:val="20"/>
              </w:rPr>
            </w:pPr>
            <w:r w:rsidRPr="002C6906">
              <w:rPr>
                <w:sz w:val="20"/>
                <w:szCs w:val="20"/>
              </w:rPr>
              <w:t>0,1%</w:t>
            </w:r>
          </w:p>
        </w:tc>
        <w:tc>
          <w:tcPr>
            <w:tcW w:w="1473" w:type="dxa"/>
            <w:tcBorders>
              <w:top w:val="nil"/>
              <w:left w:val="nil"/>
              <w:bottom w:val="single" w:sz="4" w:space="0" w:color="auto"/>
              <w:right w:val="single" w:sz="4" w:space="0" w:color="auto"/>
            </w:tcBorders>
            <w:shd w:val="clear" w:color="auto" w:fill="auto"/>
            <w:noWrap/>
            <w:hideMark/>
          </w:tcPr>
          <w:p w:rsidR="005D6ACF" w:rsidRPr="002C6906" w:rsidRDefault="005D6ACF" w:rsidP="008A253E">
            <w:pPr>
              <w:jc w:val="right"/>
              <w:rPr>
                <w:sz w:val="20"/>
                <w:szCs w:val="20"/>
              </w:rPr>
            </w:pPr>
            <w:r w:rsidRPr="002C6906">
              <w:rPr>
                <w:sz w:val="20"/>
                <w:szCs w:val="20"/>
              </w:rPr>
              <w:t>8 493</w:t>
            </w:r>
          </w:p>
        </w:tc>
        <w:tc>
          <w:tcPr>
            <w:tcW w:w="2008" w:type="dxa"/>
            <w:tcBorders>
              <w:top w:val="nil"/>
              <w:left w:val="nil"/>
              <w:bottom w:val="single" w:sz="4" w:space="0" w:color="auto"/>
              <w:right w:val="single" w:sz="4" w:space="0" w:color="auto"/>
            </w:tcBorders>
            <w:shd w:val="clear" w:color="auto" w:fill="auto"/>
            <w:noWrap/>
            <w:hideMark/>
          </w:tcPr>
          <w:p w:rsidR="005D6ACF" w:rsidRPr="002C6906" w:rsidRDefault="005D6ACF" w:rsidP="008A253E">
            <w:pPr>
              <w:jc w:val="right"/>
              <w:rPr>
                <w:sz w:val="20"/>
                <w:szCs w:val="20"/>
              </w:rPr>
            </w:pPr>
            <w:r w:rsidRPr="002C6906">
              <w:rPr>
                <w:sz w:val="20"/>
                <w:szCs w:val="20"/>
              </w:rPr>
              <w:t>130 000 000</w:t>
            </w:r>
          </w:p>
        </w:tc>
        <w:tc>
          <w:tcPr>
            <w:tcW w:w="2008" w:type="dxa"/>
            <w:tcBorders>
              <w:top w:val="nil"/>
              <w:left w:val="nil"/>
              <w:bottom w:val="single" w:sz="4" w:space="0" w:color="auto"/>
              <w:right w:val="single" w:sz="4" w:space="0" w:color="auto"/>
            </w:tcBorders>
            <w:shd w:val="clear" w:color="auto" w:fill="auto"/>
            <w:noWrap/>
            <w:hideMark/>
          </w:tcPr>
          <w:p w:rsidR="005D6ACF" w:rsidRPr="002C6906" w:rsidRDefault="005D6ACF" w:rsidP="008A253E">
            <w:pPr>
              <w:jc w:val="right"/>
              <w:rPr>
                <w:sz w:val="20"/>
                <w:szCs w:val="20"/>
              </w:rPr>
            </w:pPr>
            <w:r w:rsidRPr="002C6906">
              <w:rPr>
                <w:sz w:val="20"/>
                <w:szCs w:val="20"/>
              </w:rPr>
              <w:t>200 000 000</w:t>
            </w:r>
          </w:p>
        </w:tc>
        <w:tc>
          <w:tcPr>
            <w:tcW w:w="1471" w:type="dxa"/>
            <w:tcBorders>
              <w:top w:val="nil"/>
              <w:left w:val="nil"/>
              <w:bottom w:val="single" w:sz="4" w:space="0" w:color="auto"/>
              <w:right w:val="single" w:sz="4" w:space="0" w:color="auto"/>
            </w:tcBorders>
            <w:shd w:val="clear" w:color="auto" w:fill="auto"/>
            <w:noWrap/>
            <w:hideMark/>
          </w:tcPr>
          <w:p w:rsidR="005D6ACF" w:rsidRPr="002C6906" w:rsidRDefault="005D6ACF" w:rsidP="008A253E">
            <w:pPr>
              <w:jc w:val="right"/>
              <w:rPr>
                <w:sz w:val="20"/>
                <w:szCs w:val="20"/>
              </w:rPr>
            </w:pPr>
            <w:r w:rsidRPr="002C6906">
              <w:rPr>
                <w:sz w:val="20"/>
                <w:szCs w:val="20"/>
              </w:rPr>
              <w:t>11 041</w:t>
            </w:r>
          </w:p>
        </w:tc>
        <w:tc>
          <w:tcPr>
            <w:tcW w:w="1471" w:type="dxa"/>
            <w:tcBorders>
              <w:top w:val="nil"/>
              <w:left w:val="nil"/>
              <w:bottom w:val="single" w:sz="4" w:space="0" w:color="auto"/>
              <w:right w:val="single" w:sz="4" w:space="0" w:color="auto"/>
            </w:tcBorders>
            <w:shd w:val="clear" w:color="auto" w:fill="auto"/>
            <w:noWrap/>
            <w:hideMark/>
          </w:tcPr>
          <w:p w:rsidR="005D6ACF" w:rsidRPr="002C6906" w:rsidRDefault="005D6ACF" w:rsidP="008A253E">
            <w:pPr>
              <w:jc w:val="right"/>
              <w:rPr>
                <w:sz w:val="20"/>
                <w:szCs w:val="20"/>
              </w:rPr>
            </w:pPr>
            <w:r w:rsidRPr="002C6906">
              <w:rPr>
                <w:sz w:val="20"/>
                <w:szCs w:val="20"/>
              </w:rPr>
              <w:t>16 986</w:t>
            </w:r>
          </w:p>
        </w:tc>
        <w:tc>
          <w:tcPr>
            <w:tcW w:w="1475" w:type="dxa"/>
            <w:tcBorders>
              <w:top w:val="nil"/>
              <w:left w:val="nil"/>
              <w:bottom w:val="single" w:sz="4" w:space="0" w:color="auto"/>
              <w:right w:val="single" w:sz="8" w:space="0" w:color="auto"/>
            </w:tcBorders>
            <w:shd w:val="clear" w:color="auto" w:fill="auto"/>
            <w:noWrap/>
            <w:hideMark/>
          </w:tcPr>
          <w:p w:rsidR="005D6ACF" w:rsidRPr="002C6906" w:rsidRDefault="005D6ACF" w:rsidP="008A253E">
            <w:pPr>
              <w:jc w:val="right"/>
              <w:rPr>
                <w:sz w:val="20"/>
                <w:szCs w:val="20"/>
              </w:rPr>
            </w:pPr>
            <w:r w:rsidRPr="002C6906">
              <w:rPr>
                <w:sz w:val="20"/>
                <w:szCs w:val="20"/>
              </w:rPr>
              <w:t>36 520,5</w:t>
            </w:r>
          </w:p>
        </w:tc>
      </w:tr>
      <w:tr w:rsidR="005D6ACF" w:rsidTr="008A253E">
        <w:trPr>
          <w:trHeight w:val="321"/>
        </w:trPr>
        <w:tc>
          <w:tcPr>
            <w:tcW w:w="1055" w:type="dxa"/>
            <w:tcBorders>
              <w:top w:val="nil"/>
              <w:left w:val="single" w:sz="8" w:space="0" w:color="auto"/>
              <w:bottom w:val="single" w:sz="4" w:space="0" w:color="auto"/>
              <w:right w:val="single" w:sz="4" w:space="0" w:color="auto"/>
            </w:tcBorders>
            <w:shd w:val="clear" w:color="auto" w:fill="auto"/>
            <w:noWrap/>
            <w:vAlign w:val="bottom"/>
            <w:hideMark/>
          </w:tcPr>
          <w:p w:rsidR="005D6ACF" w:rsidRPr="00D5138D" w:rsidRDefault="005D6ACF" w:rsidP="008A253E">
            <w:pPr>
              <w:rPr>
                <w:sz w:val="20"/>
                <w:szCs w:val="20"/>
              </w:rPr>
            </w:pPr>
            <w:r w:rsidRPr="00D5138D">
              <w:rPr>
                <w:sz w:val="20"/>
                <w:szCs w:val="20"/>
              </w:rPr>
              <w:t>сентябрь</w:t>
            </w:r>
          </w:p>
        </w:tc>
        <w:tc>
          <w:tcPr>
            <w:tcW w:w="972" w:type="dxa"/>
            <w:tcBorders>
              <w:top w:val="nil"/>
              <w:left w:val="nil"/>
              <w:bottom w:val="single" w:sz="4" w:space="0" w:color="auto"/>
              <w:right w:val="single" w:sz="4" w:space="0" w:color="auto"/>
            </w:tcBorders>
            <w:shd w:val="clear" w:color="auto" w:fill="auto"/>
            <w:noWrap/>
            <w:vAlign w:val="bottom"/>
            <w:hideMark/>
          </w:tcPr>
          <w:p w:rsidR="005D6ACF" w:rsidRPr="00D5138D" w:rsidRDefault="005D6ACF" w:rsidP="008A253E">
            <w:pPr>
              <w:jc w:val="center"/>
              <w:rPr>
                <w:sz w:val="20"/>
                <w:szCs w:val="20"/>
              </w:rPr>
            </w:pPr>
            <w:r w:rsidRPr="00D5138D">
              <w:rPr>
                <w:sz w:val="20"/>
                <w:szCs w:val="20"/>
              </w:rPr>
              <w:t>30</w:t>
            </w:r>
          </w:p>
        </w:tc>
        <w:tc>
          <w:tcPr>
            <w:tcW w:w="1538" w:type="dxa"/>
            <w:tcBorders>
              <w:top w:val="nil"/>
              <w:left w:val="nil"/>
              <w:bottom w:val="single" w:sz="4" w:space="0" w:color="auto"/>
              <w:right w:val="single" w:sz="4" w:space="0" w:color="auto"/>
            </w:tcBorders>
            <w:shd w:val="clear" w:color="auto" w:fill="auto"/>
            <w:noWrap/>
            <w:hideMark/>
          </w:tcPr>
          <w:p w:rsidR="005D6ACF" w:rsidRPr="002C6906" w:rsidRDefault="005D6ACF" w:rsidP="008A253E">
            <w:pPr>
              <w:jc w:val="right"/>
              <w:rPr>
                <w:sz w:val="20"/>
                <w:szCs w:val="20"/>
              </w:rPr>
            </w:pPr>
            <w:r w:rsidRPr="002C6906">
              <w:rPr>
                <w:sz w:val="20"/>
                <w:szCs w:val="20"/>
              </w:rPr>
              <w:t>110 000 000</w:t>
            </w:r>
          </w:p>
        </w:tc>
        <w:tc>
          <w:tcPr>
            <w:tcW w:w="1157" w:type="dxa"/>
            <w:tcBorders>
              <w:top w:val="nil"/>
              <w:left w:val="nil"/>
              <w:bottom w:val="single" w:sz="4" w:space="0" w:color="auto"/>
              <w:right w:val="single" w:sz="4" w:space="0" w:color="auto"/>
            </w:tcBorders>
            <w:shd w:val="clear" w:color="auto" w:fill="auto"/>
            <w:noWrap/>
            <w:hideMark/>
          </w:tcPr>
          <w:p w:rsidR="005D6ACF" w:rsidRPr="002C6906" w:rsidRDefault="005D6ACF" w:rsidP="008A253E">
            <w:pPr>
              <w:jc w:val="right"/>
              <w:rPr>
                <w:sz w:val="20"/>
                <w:szCs w:val="20"/>
              </w:rPr>
            </w:pPr>
            <w:r w:rsidRPr="002C6906">
              <w:rPr>
                <w:sz w:val="20"/>
                <w:szCs w:val="20"/>
              </w:rPr>
              <w:t>0,1%</w:t>
            </w:r>
          </w:p>
        </w:tc>
        <w:tc>
          <w:tcPr>
            <w:tcW w:w="1473" w:type="dxa"/>
            <w:tcBorders>
              <w:top w:val="nil"/>
              <w:left w:val="nil"/>
              <w:bottom w:val="single" w:sz="4" w:space="0" w:color="auto"/>
              <w:right w:val="single" w:sz="4" w:space="0" w:color="auto"/>
            </w:tcBorders>
            <w:shd w:val="clear" w:color="auto" w:fill="auto"/>
            <w:noWrap/>
            <w:hideMark/>
          </w:tcPr>
          <w:p w:rsidR="005D6ACF" w:rsidRPr="002C6906" w:rsidRDefault="005D6ACF" w:rsidP="008A253E">
            <w:pPr>
              <w:jc w:val="right"/>
              <w:rPr>
                <w:sz w:val="20"/>
                <w:szCs w:val="20"/>
              </w:rPr>
            </w:pPr>
            <w:r w:rsidRPr="002C6906">
              <w:rPr>
                <w:sz w:val="20"/>
                <w:szCs w:val="20"/>
              </w:rPr>
              <w:t>9 041</w:t>
            </w:r>
          </w:p>
        </w:tc>
        <w:tc>
          <w:tcPr>
            <w:tcW w:w="2008" w:type="dxa"/>
            <w:tcBorders>
              <w:top w:val="nil"/>
              <w:left w:val="nil"/>
              <w:bottom w:val="single" w:sz="4" w:space="0" w:color="auto"/>
              <w:right w:val="single" w:sz="4" w:space="0" w:color="auto"/>
            </w:tcBorders>
            <w:shd w:val="clear" w:color="auto" w:fill="auto"/>
            <w:noWrap/>
            <w:hideMark/>
          </w:tcPr>
          <w:p w:rsidR="005D6ACF" w:rsidRPr="002C6906" w:rsidRDefault="005D6ACF" w:rsidP="008A253E">
            <w:pPr>
              <w:jc w:val="right"/>
              <w:rPr>
                <w:sz w:val="20"/>
                <w:szCs w:val="20"/>
              </w:rPr>
            </w:pPr>
            <w:r w:rsidRPr="002C6906">
              <w:rPr>
                <w:sz w:val="20"/>
                <w:szCs w:val="20"/>
              </w:rPr>
              <w:t>130 000 000</w:t>
            </w:r>
          </w:p>
        </w:tc>
        <w:tc>
          <w:tcPr>
            <w:tcW w:w="2008" w:type="dxa"/>
            <w:tcBorders>
              <w:top w:val="nil"/>
              <w:left w:val="nil"/>
              <w:bottom w:val="single" w:sz="4" w:space="0" w:color="auto"/>
              <w:right w:val="single" w:sz="4" w:space="0" w:color="auto"/>
            </w:tcBorders>
            <w:shd w:val="clear" w:color="auto" w:fill="auto"/>
            <w:noWrap/>
            <w:hideMark/>
          </w:tcPr>
          <w:p w:rsidR="005D6ACF" w:rsidRPr="002C6906" w:rsidRDefault="005D6ACF" w:rsidP="008A253E">
            <w:pPr>
              <w:jc w:val="right"/>
              <w:rPr>
                <w:sz w:val="20"/>
                <w:szCs w:val="20"/>
              </w:rPr>
            </w:pPr>
            <w:r w:rsidRPr="002C6906">
              <w:rPr>
                <w:sz w:val="20"/>
                <w:szCs w:val="20"/>
              </w:rPr>
              <w:t>200 000 000</w:t>
            </w:r>
          </w:p>
        </w:tc>
        <w:tc>
          <w:tcPr>
            <w:tcW w:w="1471" w:type="dxa"/>
            <w:tcBorders>
              <w:top w:val="nil"/>
              <w:left w:val="nil"/>
              <w:bottom w:val="single" w:sz="4" w:space="0" w:color="auto"/>
              <w:right w:val="single" w:sz="4" w:space="0" w:color="auto"/>
            </w:tcBorders>
            <w:shd w:val="clear" w:color="auto" w:fill="auto"/>
            <w:noWrap/>
            <w:hideMark/>
          </w:tcPr>
          <w:p w:rsidR="005D6ACF" w:rsidRPr="002C6906" w:rsidRDefault="005D6ACF" w:rsidP="008A253E">
            <w:pPr>
              <w:jc w:val="right"/>
              <w:rPr>
                <w:sz w:val="20"/>
                <w:szCs w:val="20"/>
              </w:rPr>
            </w:pPr>
            <w:r w:rsidRPr="002C6906">
              <w:rPr>
                <w:sz w:val="20"/>
                <w:szCs w:val="20"/>
              </w:rPr>
              <w:t>10 685</w:t>
            </w:r>
          </w:p>
        </w:tc>
        <w:tc>
          <w:tcPr>
            <w:tcW w:w="1471" w:type="dxa"/>
            <w:tcBorders>
              <w:top w:val="nil"/>
              <w:left w:val="nil"/>
              <w:bottom w:val="single" w:sz="4" w:space="0" w:color="auto"/>
              <w:right w:val="single" w:sz="4" w:space="0" w:color="auto"/>
            </w:tcBorders>
            <w:shd w:val="clear" w:color="auto" w:fill="auto"/>
            <w:noWrap/>
            <w:hideMark/>
          </w:tcPr>
          <w:p w:rsidR="005D6ACF" w:rsidRPr="002C6906" w:rsidRDefault="005D6ACF" w:rsidP="008A253E">
            <w:pPr>
              <w:jc w:val="right"/>
              <w:rPr>
                <w:sz w:val="20"/>
                <w:szCs w:val="20"/>
              </w:rPr>
            </w:pPr>
            <w:r w:rsidRPr="002C6906">
              <w:rPr>
                <w:sz w:val="20"/>
                <w:szCs w:val="20"/>
              </w:rPr>
              <w:t>16 438</w:t>
            </w:r>
          </w:p>
        </w:tc>
        <w:tc>
          <w:tcPr>
            <w:tcW w:w="1475" w:type="dxa"/>
            <w:tcBorders>
              <w:top w:val="nil"/>
              <w:left w:val="nil"/>
              <w:bottom w:val="single" w:sz="4" w:space="0" w:color="auto"/>
              <w:right w:val="single" w:sz="8" w:space="0" w:color="auto"/>
            </w:tcBorders>
            <w:shd w:val="clear" w:color="auto" w:fill="auto"/>
            <w:noWrap/>
            <w:hideMark/>
          </w:tcPr>
          <w:p w:rsidR="005D6ACF" w:rsidRPr="002C6906" w:rsidRDefault="005D6ACF" w:rsidP="008A253E">
            <w:pPr>
              <w:jc w:val="right"/>
              <w:rPr>
                <w:sz w:val="20"/>
                <w:szCs w:val="20"/>
              </w:rPr>
            </w:pPr>
            <w:r w:rsidRPr="002C6906">
              <w:rPr>
                <w:sz w:val="20"/>
                <w:szCs w:val="20"/>
              </w:rPr>
              <w:t>36 164,4</w:t>
            </w:r>
          </w:p>
        </w:tc>
      </w:tr>
      <w:tr w:rsidR="005D6ACF" w:rsidTr="008A253E">
        <w:trPr>
          <w:trHeight w:val="321"/>
        </w:trPr>
        <w:tc>
          <w:tcPr>
            <w:tcW w:w="1055" w:type="dxa"/>
            <w:tcBorders>
              <w:top w:val="nil"/>
              <w:left w:val="single" w:sz="8" w:space="0" w:color="auto"/>
              <w:bottom w:val="single" w:sz="4" w:space="0" w:color="auto"/>
              <w:right w:val="single" w:sz="4" w:space="0" w:color="auto"/>
            </w:tcBorders>
            <w:shd w:val="clear" w:color="auto" w:fill="auto"/>
            <w:noWrap/>
            <w:vAlign w:val="bottom"/>
            <w:hideMark/>
          </w:tcPr>
          <w:p w:rsidR="005D6ACF" w:rsidRPr="00D5138D" w:rsidRDefault="005D6ACF" w:rsidP="008A253E">
            <w:pPr>
              <w:rPr>
                <w:sz w:val="20"/>
                <w:szCs w:val="20"/>
              </w:rPr>
            </w:pPr>
            <w:r w:rsidRPr="00D5138D">
              <w:rPr>
                <w:sz w:val="20"/>
                <w:szCs w:val="20"/>
              </w:rPr>
              <w:t>октябрь</w:t>
            </w:r>
          </w:p>
        </w:tc>
        <w:tc>
          <w:tcPr>
            <w:tcW w:w="972" w:type="dxa"/>
            <w:tcBorders>
              <w:top w:val="nil"/>
              <w:left w:val="nil"/>
              <w:bottom w:val="single" w:sz="4" w:space="0" w:color="auto"/>
              <w:right w:val="single" w:sz="4" w:space="0" w:color="auto"/>
            </w:tcBorders>
            <w:shd w:val="clear" w:color="auto" w:fill="auto"/>
            <w:noWrap/>
            <w:vAlign w:val="bottom"/>
            <w:hideMark/>
          </w:tcPr>
          <w:p w:rsidR="005D6ACF" w:rsidRPr="00D5138D" w:rsidRDefault="005D6ACF" w:rsidP="008A253E">
            <w:pPr>
              <w:jc w:val="center"/>
              <w:rPr>
                <w:sz w:val="20"/>
                <w:szCs w:val="20"/>
              </w:rPr>
            </w:pPr>
            <w:r w:rsidRPr="00D5138D">
              <w:rPr>
                <w:sz w:val="20"/>
                <w:szCs w:val="20"/>
              </w:rPr>
              <w:t>31</w:t>
            </w:r>
          </w:p>
        </w:tc>
        <w:tc>
          <w:tcPr>
            <w:tcW w:w="1538" w:type="dxa"/>
            <w:tcBorders>
              <w:top w:val="nil"/>
              <w:left w:val="nil"/>
              <w:bottom w:val="single" w:sz="4" w:space="0" w:color="auto"/>
              <w:right w:val="single" w:sz="4" w:space="0" w:color="auto"/>
            </w:tcBorders>
            <w:shd w:val="clear" w:color="auto" w:fill="auto"/>
            <w:noWrap/>
            <w:hideMark/>
          </w:tcPr>
          <w:p w:rsidR="005D6ACF" w:rsidRPr="002C6906" w:rsidRDefault="005D6ACF" w:rsidP="008A253E">
            <w:pPr>
              <w:jc w:val="right"/>
              <w:rPr>
                <w:sz w:val="20"/>
                <w:szCs w:val="20"/>
              </w:rPr>
            </w:pPr>
            <w:r w:rsidRPr="002C6906">
              <w:rPr>
                <w:sz w:val="20"/>
                <w:szCs w:val="20"/>
              </w:rPr>
              <w:t>150 000 000</w:t>
            </w:r>
          </w:p>
        </w:tc>
        <w:tc>
          <w:tcPr>
            <w:tcW w:w="1157" w:type="dxa"/>
            <w:tcBorders>
              <w:top w:val="nil"/>
              <w:left w:val="nil"/>
              <w:bottom w:val="single" w:sz="4" w:space="0" w:color="auto"/>
              <w:right w:val="single" w:sz="4" w:space="0" w:color="auto"/>
            </w:tcBorders>
            <w:shd w:val="clear" w:color="auto" w:fill="auto"/>
            <w:noWrap/>
            <w:hideMark/>
          </w:tcPr>
          <w:p w:rsidR="005D6ACF" w:rsidRPr="002C6906" w:rsidRDefault="005D6ACF" w:rsidP="008A253E">
            <w:pPr>
              <w:jc w:val="right"/>
              <w:rPr>
                <w:sz w:val="20"/>
                <w:szCs w:val="20"/>
              </w:rPr>
            </w:pPr>
            <w:r w:rsidRPr="002C6906">
              <w:rPr>
                <w:sz w:val="20"/>
                <w:szCs w:val="20"/>
              </w:rPr>
              <w:t>0,1%</w:t>
            </w:r>
          </w:p>
        </w:tc>
        <w:tc>
          <w:tcPr>
            <w:tcW w:w="1473" w:type="dxa"/>
            <w:tcBorders>
              <w:top w:val="nil"/>
              <w:left w:val="nil"/>
              <w:bottom w:val="single" w:sz="4" w:space="0" w:color="auto"/>
              <w:right w:val="single" w:sz="4" w:space="0" w:color="auto"/>
            </w:tcBorders>
            <w:shd w:val="clear" w:color="auto" w:fill="auto"/>
            <w:noWrap/>
            <w:hideMark/>
          </w:tcPr>
          <w:p w:rsidR="005D6ACF" w:rsidRPr="002C6906" w:rsidRDefault="005D6ACF" w:rsidP="008A253E">
            <w:pPr>
              <w:jc w:val="right"/>
              <w:rPr>
                <w:sz w:val="20"/>
                <w:szCs w:val="20"/>
              </w:rPr>
            </w:pPr>
            <w:r w:rsidRPr="002C6906">
              <w:rPr>
                <w:sz w:val="20"/>
                <w:szCs w:val="20"/>
              </w:rPr>
              <w:t>12 740</w:t>
            </w:r>
          </w:p>
        </w:tc>
        <w:tc>
          <w:tcPr>
            <w:tcW w:w="2008" w:type="dxa"/>
            <w:tcBorders>
              <w:top w:val="nil"/>
              <w:left w:val="nil"/>
              <w:bottom w:val="single" w:sz="4" w:space="0" w:color="auto"/>
              <w:right w:val="single" w:sz="4" w:space="0" w:color="auto"/>
            </w:tcBorders>
            <w:shd w:val="clear" w:color="auto" w:fill="auto"/>
            <w:noWrap/>
            <w:hideMark/>
          </w:tcPr>
          <w:p w:rsidR="005D6ACF" w:rsidRPr="002C6906" w:rsidRDefault="005D6ACF" w:rsidP="008A253E">
            <w:pPr>
              <w:jc w:val="right"/>
              <w:rPr>
                <w:sz w:val="20"/>
                <w:szCs w:val="20"/>
              </w:rPr>
            </w:pPr>
            <w:r w:rsidRPr="002C6906">
              <w:rPr>
                <w:sz w:val="20"/>
                <w:szCs w:val="20"/>
              </w:rPr>
              <w:t>130 000 000</w:t>
            </w:r>
          </w:p>
        </w:tc>
        <w:tc>
          <w:tcPr>
            <w:tcW w:w="2008" w:type="dxa"/>
            <w:tcBorders>
              <w:top w:val="nil"/>
              <w:left w:val="nil"/>
              <w:bottom w:val="single" w:sz="4" w:space="0" w:color="auto"/>
              <w:right w:val="single" w:sz="4" w:space="0" w:color="auto"/>
            </w:tcBorders>
            <w:shd w:val="clear" w:color="auto" w:fill="auto"/>
            <w:noWrap/>
            <w:hideMark/>
          </w:tcPr>
          <w:p w:rsidR="005D6ACF" w:rsidRPr="002C6906" w:rsidRDefault="005D6ACF" w:rsidP="008A253E">
            <w:pPr>
              <w:jc w:val="right"/>
              <w:rPr>
                <w:sz w:val="20"/>
                <w:szCs w:val="20"/>
              </w:rPr>
            </w:pPr>
            <w:r w:rsidRPr="002C6906">
              <w:rPr>
                <w:sz w:val="20"/>
                <w:szCs w:val="20"/>
              </w:rPr>
              <w:t>200 000 000</w:t>
            </w:r>
          </w:p>
        </w:tc>
        <w:tc>
          <w:tcPr>
            <w:tcW w:w="1471" w:type="dxa"/>
            <w:tcBorders>
              <w:top w:val="nil"/>
              <w:left w:val="nil"/>
              <w:bottom w:val="single" w:sz="4" w:space="0" w:color="auto"/>
              <w:right w:val="single" w:sz="4" w:space="0" w:color="auto"/>
            </w:tcBorders>
            <w:shd w:val="clear" w:color="auto" w:fill="auto"/>
            <w:noWrap/>
            <w:hideMark/>
          </w:tcPr>
          <w:p w:rsidR="005D6ACF" w:rsidRPr="002C6906" w:rsidRDefault="005D6ACF" w:rsidP="008A253E">
            <w:pPr>
              <w:jc w:val="right"/>
              <w:rPr>
                <w:sz w:val="20"/>
                <w:szCs w:val="20"/>
              </w:rPr>
            </w:pPr>
            <w:r w:rsidRPr="002C6906">
              <w:rPr>
                <w:sz w:val="20"/>
                <w:szCs w:val="20"/>
              </w:rPr>
              <w:t>11 041</w:t>
            </w:r>
          </w:p>
        </w:tc>
        <w:tc>
          <w:tcPr>
            <w:tcW w:w="1471" w:type="dxa"/>
            <w:tcBorders>
              <w:top w:val="nil"/>
              <w:left w:val="nil"/>
              <w:bottom w:val="single" w:sz="4" w:space="0" w:color="auto"/>
              <w:right w:val="single" w:sz="4" w:space="0" w:color="auto"/>
            </w:tcBorders>
            <w:shd w:val="clear" w:color="auto" w:fill="auto"/>
            <w:noWrap/>
            <w:hideMark/>
          </w:tcPr>
          <w:p w:rsidR="005D6ACF" w:rsidRPr="002C6906" w:rsidRDefault="005D6ACF" w:rsidP="008A253E">
            <w:pPr>
              <w:jc w:val="right"/>
              <w:rPr>
                <w:sz w:val="20"/>
                <w:szCs w:val="20"/>
              </w:rPr>
            </w:pPr>
            <w:r w:rsidRPr="002C6906">
              <w:rPr>
                <w:sz w:val="20"/>
                <w:szCs w:val="20"/>
              </w:rPr>
              <w:t>16 986</w:t>
            </w:r>
          </w:p>
        </w:tc>
        <w:tc>
          <w:tcPr>
            <w:tcW w:w="1475" w:type="dxa"/>
            <w:tcBorders>
              <w:top w:val="nil"/>
              <w:left w:val="nil"/>
              <w:bottom w:val="single" w:sz="4" w:space="0" w:color="auto"/>
              <w:right w:val="single" w:sz="8" w:space="0" w:color="auto"/>
            </w:tcBorders>
            <w:shd w:val="clear" w:color="auto" w:fill="auto"/>
            <w:noWrap/>
            <w:hideMark/>
          </w:tcPr>
          <w:p w:rsidR="005D6ACF" w:rsidRPr="002C6906" w:rsidRDefault="005D6ACF" w:rsidP="008A253E">
            <w:pPr>
              <w:jc w:val="right"/>
              <w:rPr>
                <w:sz w:val="20"/>
                <w:szCs w:val="20"/>
              </w:rPr>
            </w:pPr>
            <w:r w:rsidRPr="002C6906">
              <w:rPr>
                <w:sz w:val="20"/>
                <w:szCs w:val="20"/>
              </w:rPr>
              <w:t>40 767,1</w:t>
            </w:r>
          </w:p>
        </w:tc>
      </w:tr>
      <w:tr w:rsidR="005D6ACF" w:rsidTr="008A253E">
        <w:trPr>
          <w:trHeight w:val="321"/>
        </w:trPr>
        <w:tc>
          <w:tcPr>
            <w:tcW w:w="1055" w:type="dxa"/>
            <w:tcBorders>
              <w:top w:val="nil"/>
              <w:left w:val="single" w:sz="8" w:space="0" w:color="auto"/>
              <w:bottom w:val="single" w:sz="4" w:space="0" w:color="auto"/>
              <w:right w:val="single" w:sz="4" w:space="0" w:color="auto"/>
            </w:tcBorders>
            <w:shd w:val="clear" w:color="auto" w:fill="auto"/>
            <w:noWrap/>
            <w:vAlign w:val="bottom"/>
            <w:hideMark/>
          </w:tcPr>
          <w:p w:rsidR="005D6ACF" w:rsidRPr="00D5138D" w:rsidRDefault="005D6ACF" w:rsidP="008A253E">
            <w:pPr>
              <w:rPr>
                <w:sz w:val="20"/>
                <w:szCs w:val="20"/>
              </w:rPr>
            </w:pPr>
            <w:r w:rsidRPr="00D5138D">
              <w:rPr>
                <w:sz w:val="20"/>
                <w:szCs w:val="20"/>
              </w:rPr>
              <w:t>ноябрь</w:t>
            </w:r>
          </w:p>
        </w:tc>
        <w:tc>
          <w:tcPr>
            <w:tcW w:w="972" w:type="dxa"/>
            <w:tcBorders>
              <w:top w:val="nil"/>
              <w:left w:val="nil"/>
              <w:bottom w:val="single" w:sz="4" w:space="0" w:color="auto"/>
              <w:right w:val="single" w:sz="4" w:space="0" w:color="auto"/>
            </w:tcBorders>
            <w:shd w:val="clear" w:color="auto" w:fill="auto"/>
            <w:noWrap/>
            <w:vAlign w:val="bottom"/>
            <w:hideMark/>
          </w:tcPr>
          <w:p w:rsidR="005D6ACF" w:rsidRPr="00D5138D" w:rsidRDefault="005D6ACF" w:rsidP="008A253E">
            <w:pPr>
              <w:jc w:val="center"/>
              <w:rPr>
                <w:sz w:val="20"/>
                <w:szCs w:val="20"/>
              </w:rPr>
            </w:pPr>
            <w:r w:rsidRPr="00D5138D">
              <w:rPr>
                <w:sz w:val="20"/>
                <w:szCs w:val="20"/>
              </w:rPr>
              <w:t>30</w:t>
            </w:r>
          </w:p>
        </w:tc>
        <w:tc>
          <w:tcPr>
            <w:tcW w:w="1538" w:type="dxa"/>
            <w:tcBorders>
              <w:top w:val="nil"/>
              <w:left w:val="nil"/>
              <w:bottom w:val="single" w:sz="4" w:space="0" w:color="auto"/>
              <w:right w:val="single" w:sz="4" w:space="0" w:color="auto"/>
            </w:tcBorders>
            <w:shd w:val="clear" w:color="auto" w:fill="auto"/>
            <w:noWrap/>
            <w:hideMark/>
          </w:tcPr>
          <w:p w:rsidR="005D6ACF" w:rsidRPr="002C6906" w:rsidRDefault="005D6ACF" w:rsidP="008A253E">
            <w:pPr>
              <w:jc w:val="right"/>
              <w:rPr>
                <w:sz w:val="20"/>
                <w:szCs w:val="20"/>
              </w:rPr>
            </w:pPr>
            <w:r w:rsidRPr="002C6906">
              <w:rPr>
                <w:sz w:val="20"/>
                <w:szCs w:val="20"/>
              </w:rPr>
              <w:t>180 000 000</w:t>
            </w:r>
          </w:p>
        </w:tc>
        <w:tc>
          <w:tcPr>
            <w:tcW w:w="1157" w:type="dxa"/>
            <w:tcBorders>
              <w:top w:val="nil"/>
              <w:left w:val="nil"/>
              <w:bottom w:val="single" w:sz="4" w:space="0" w:color="auto"/>
              <w:right w:val="single" w:sz="4" w:space="0" w:color="auto"/>
            </w:tcBorders>
            <w:shd w:val="clear" w:color="auto" w:fill="auto"/>
            <w:noWrap/>
            <w:hideMark/>
          </w:tcPr>
          <w:p w:rsidR="005D6ACF" w:rsidRPr="002C6906" w:rsidRDefault="005D6ACF" w:rsidP="008A253E">
            <w:pPr>
              <w:jc w:val="right"/>
              <w:rPr>
                <w:sz w:val="20"/>
                <w:szCs w:val="20"/>
              </w:rPr>
            </w:pPr>
            <w:r w:rsidRPr="002C6906">
              <w:rPr>
                <w:sz w:val="20"/>
                <w:szCs w:val="20"/>
              </w:rPr>
              <w:t>0,1%</w:t>
            </w:r>
          </w:p>
        </w:tc>
        <w:tc>
          <w:tcPr>
            <w:tcW w:w="1473" w:type="dxa"/>
            <w:tcBorders>
              <w:top w:val="nil"/>
              <w:left w:val="nil"/>
              <w:bottom w:val="single" w:sz="4" w:space="0" w:color="auto"/>
              <w:right w:val="single" w:sz="4" w:space="0" w:color="auto"/>
            </w:tcBorders>
            <w:shd w:val="clear" w:color="auto" w:fill="auto"/>
            <w:noWrap/>
            <w:hideMark/>
          </w:tcPr>
          <w:p w:rsidR="005D6ACF" w:rsidRPr="002C6906" w:rsidRDefault="005D6ACF" w:rsidP="008A253E">
            <w:pPr>
              <w:jc w:val="right"/>
              <w:rPr>
                <w:sz w:val="20"/>
                <w:szCs w:val="20"/>
              </w:rPr>
            </w:pPr>
            <w:r w:rsidRPr="002C6906">
              <w:rPr>
                <w:sz w:val="20"/>
                <w:szCs w:val="20"/>
              </w:rPr>
              <w:t>14 795</w:t>
            </w:r>
          </w:p>
        </w:tc>
        <w:tc>
          <w:tcPr>
            <w:tcW w:w="2008" w:type="dxa"/>
            <w:tcBorders>
              <w:top w:val="nil"/>
              <w:left w:val="nil"/>
              <w:bottom w:val="single" w:sz="4" w:space="0" w:color="auto"/>
              <w:right w:val="single" w:sz="4" w:space="0" w:color="auto"/>
            </w:tcBorders>
            <w:shd w:val="clear" w:color="auto" w:fill="auto"/>
            <w:noWrap/>
            <w:hideMark/>
          </w:tcPr>
          <w:p w:rsidR="005D6ACF" w:rsidRPr="002C6906" w:rsidRDefault="005D6ACF" w:rsidP="008A253E">
            <w:pPr>
              <w:jc w:val="right"/>
              <w:rPr>
                <w:sz w:val="20"/>
                <w:szCs w:val="20"/>
              </w:rPr>
            </w:pPr>
            <w:r w:rsidRPr="002C6906">
              <w:rPr>
                <w:sz w:val="20"/>
                <w:szCs w:val="20"/>
              </w:rPr>
              <w:t>130 000 000</w:t>
            </w:r>
          </w:p>
        </w:tc>
        <w:tc>
          <w:tcPr>
            <w:tcW w:w="2008" w:type="dxa"/>
            <w:tcBorders>
              <w:top w:val="nil"/>
              <w:left w:val="nil"/>
              <w:bottom w:val="single" w:sz="4" w:space="0" w:color="auto"/>
              <w:right w:val="single" w:sz="4" w:space="0" w:color="auto"/>
            </w:tcBorders>
            <w:shd w:val="clear" w:color="auto" w:fill="auto"/>
            <w:noWrap/>
            <w:hideMark/>
          </w:tcPr>
          <w:p w:rsidR="005D6ACF" w:rsidRPr="002C6906" w:rsidRDefault="005D6ACF" w:rsidP="008A253E">
            <w:pPr>
              <w:jc w:val="right"/>
              <w:rPr>
                <w:sz w:val="20"/>
                <w:szCs w:val="20"/>
              </w:rPr>
            </w:pPr>
            <w:r w:rsidRPr="002C6906">
              <w:rPr>
                <w:sz w:val="20"/>
                <w:szCs w:val="20"/>
              </w:rPr>
              <w:t>200 000 000</w:t>
            </w:r>
          </w:p>
        </w:tc>
        <w:tc>
          <w:tcPr>
            <w:tcW w:w="1471" w:type="dxa"/>
            <w:tcBorders>
              <w:top w:val="nil"/>
              <w:left w:val="nil"/>
              <w:bottom w:val="single" w:sz="4" w:space="0" w:color="auto"/>
              <w:right w:val="single" w:sz="4" w:space="0" w:color="auto"/>
            </w:tcBorders>
            <w:shd w:val="clear" w:color="auto" w:fill="auto"/>
            <w:noWrap/>
            <w:hideMark/>
          </w:tcPr>
          <w:p w:rsidR="005D6ACF" w:rsidRPr="002C6906" w:rsidRDefault="005D6ACF" w:rsidP="008A253E">
            <w:pPr>
              <w:jc w:val="right"/>
              <w:rPr>
                <w:sz w:val="20"/>
                <w:szCs w:val="20"/>
              </w:rPr>
            </w:pPr>
            <w:r w:rsidRPr="002C6906">
              <w:rPr>
                <w:sz w:val="20"/>
                <w:szCs w:val="20"/>
              </w:rPr>
              <w:t>10 685</w:t>
            </w:r>
          </w:p>
        </w:tc>
        <w:tc>
          <w:tcPr>
            <w:tcW w:w="1471" w:type="dxa"/>
            <w:tcBorders>
              <w:top w:val="nil"/>
              <w:left w:val="nil"/>
              <w:bottom w:val="single" w:sz="4" w:space="0" w:color="auto"/>
              <w:right w:val="single" w:sz="4" w:space="0" w:color="auto"/>
            </w:tcBorders>
            <w:shd w:val="clear" w:color="auto" w:fill="auto"/>
            <w:noWrap/>
            <w:hideMark/>
          </w:tcPr>
          <w:p w:rsidR="005D6ACF" w:rsidRPr="002C6906" w:rsidRDefault="005D6ACF" w:rsidP="008A253E">
            <w:pPr>
              <w:jc w:val="right"/>
              <w:rPr>
                <w:sz w:val="20"/>
                <w:szCs w:val="20"/>
              </w:rPr>
            </w:pPr>
            <w:r w:rsidRPr="002C6906">
              <w:rPr>
                <w:sz w:val="20"/>
                <w:szCs w:val="20"/>
              </w:rPr>
              <w:t>16 438</w:t>
            </w:r>
          </w:p>
        </w:tc>
        <w:tc>
          <w:tcPr>
            <w:tcW w:w="1475" w:type="dxa"/>
            <w:tcBorders>
              <w:top w:val="nil"/>
              <w:left w:val="nil"/>
              <w:bottom w:val="single" w:sz="4" w:space="0" w:color="auto"/>
              <w:right w:val="single" w:sz="8" w:space="0" w:color="auto"/>
            </w:tcBorders>
            <w:shd w:val="clear" w:color="auto" w:fill="auto"/>
            <w:noWrap/>
            <w:hideMark/>
          </w:tcPr>
          <w:p w:rsidR="005D6ACF" w:rsidRPr="002C6906" w:rsidRDefault="005D6ACF" w:rsidP="008A253E">
            <w:pPr>
              <w:jc w:val="right"/>
              <w:rPr>
                <w:sz w:val="20"/>
                <w:szCs w:val="20"/>
              </w:rPr>
            </w:pPr>
            <w:r w:rsidRPr="002C6906">
              <w:rPr>
                <w:sz w:val="20"/>
                <w:szCs w:val="20"/>
              </w:rPr>
              <w:t>41 917,8</w:t>
            </w:r>
          </w:p>
        </w:tc>
      </w:tr>
      <w:tr w:rsidR="005D6ACF" w:rsidTr="008A253E">
        <w:trPr>
          <w:trHeight w:val="321"/>
        </w:trPr>
        <w:tc>
          <w:tcPr>
            <w:tcW w:w="1055" w:type="dxa"/>
            <w:tcBorders>
              <w:top w:val="nil"/>
              <w:left w:val="single" w:sz="8" w:space="0" w:color="auto"/>
              <w:bottom w:val="single" w:sz="4" w:space="0" w:color="auto"/>
              <w:right w:val="single" w:sz="4" w:space="0" w:color="auto"/>
            </w:tcBorders>
            <w:shd w:val="clear" w:color="auto" w:fill="auto"/>
            <w:noWrap/>
            <w:vAlign w:val="bottom"/>
            <w:hideMark/>
          </w:tcPr>
          <w:p w:rsidR="005D6ACF" w:rsidRPr="00D5138D" w:rsidRDefault="005D6ACF" w:rsidP="008A253E">
            <w:pPr>
              <w:rPr>
                <w:sz w:val="20"/>
                <w:szCs w:val="20"/>
              </w:rPr>
            </w:pPr>
            <w:r w:rsidRPr="00D5138D">
              <w:rPr>
                <w:sz w:val="20"/>
                <w:szCs w:val="20"/>
              </w:rPr>
              <w:t>декабрь</w:t>
            </w:r>
          </w:p>
        </w:tc>
        <w:tc>
          <w:tcPr>
            <w:tcW w:w="972" w:type="dxa"/>
            <w:tcBorders>
              <w:top w:val="nil"/>
              <w:left w:val="nil"/>
              <w:bottom w:val="single" w:sz="4" w:space="0" w:color="auto"/>
              <w:right w:val="single" w:sz="4" w:space="0" w:color="auto"/>
            </w:tcBorders>
            <w:shd w:val="clear" w:color="auto" w:fill="auto"/>
            <w:noWrap/>
            <w:vAlign w:val="bottom"/>
            <w:hideMark/>
          </w:tcPr>
          <w:p w:rsidR="005D6ACF" w:rsidRPr="00D5138D" w:rsidRDefault="005D6ACF" w:rsidP="008A253E">
            <w:pPr>
              <w:jc w:val="center"/>
              <w:rPr>
                <w:sz w:val="20"/>
                <w:szCs w:val="20"/>
              </w:rPr>
            </w:pPr>
            <w:r w:rsidRPr="00D5138D">
              <w:rPr>
                <w:sz w:val="20"/>
                <w:szCs w:val="20"/>
              </w:rPr>
              <w:t>31</w:t>
            </w:r>
          </w:p>
        </w:tc>
        <w:tc>
          <w:tcPr>
            <w:tcW w:w="1538" w:type="dxa"/>
            <w:tcBorders>
              <w:top w:val="nil"/>
              <w:left w:val="nil"/>
              <w:bottom w:val="single" w:sz="4" w:space="0" w:color="auto"/>
              <w:right w:val="single" w:sz="4" w:space="0" w:color="auto"/>
            </w:tcBorders>
            <w:shd w:val="clear" w:color="auto" w:fill="auto"/>
            <w:noWrap/>
            <w:hideMark/>
          </w:tcPr>
          <w:p w:rsidR="005D6ACF" w:rsidRPr="002C6906" w:rsidRDefault="005D6ACF" w:rsidP="008A253E">
            <w:pPr>
              <w:jc w:val="right"/>
              <w:rPr>
                <w:sz w:val="20"/>
                <w:szCs w:val="20"/>
              </w:rPr>
            </w:pPr>
            <w:r w:rsidRPr="002C6906">
              <w:rPr>
                <w:sz w:val="20"/>
                <w:szCs w:val="20"/>
              </w:rPr>
              <w:t>220 000 000</w:t>
            </w:r>
          </w:p>
        </w:tc>
        <w:tc>
          <w:tcPr>
            <w:tcW w:w="1157" w:type="dxa"/>
            <w:tcBorders>
              <w:top w:val="nil"/>
              <w:left w:val="nil"/>
              <w:bottom w:val="single" w:sz="4" w:space="0" w:color="auto"/>
              <w:right w:val="single" w:sz="4" w:space="0" w:color="auto"/>
            </w:tcBorders>
            <w:shd w:val="clear" w:color="auto" w:fill="auto"/>
            <w:noWrap/>
            <w:hideMark/>
          </w:tcPr>
          <w:p w:rsidR="005D6ACF" w:rsidRPr="002C6906" w:rsidRDefault="005D6ACF" w:rsidP="008A253E">
            <w:pPr>
              <w:jc w:val="right"/>
              <w:rPr>
                <w:sz w:val="20"/>
                <w:szCs w:val="20"/>
              </w:rPr>
            </w:pPr>
            <w:r w:rsidRPr="002C6906">
              <w:rPr>
                <w:sz w:val="20"/>
                <w:szCs w:val="20"/>
              </w:rPr>
              <w:t>0,1%</w:t>
            </w:r>
          </w:p>
        </w:tc>
        <w:tc>
          <w:tcPr>
            <w:tcW w:w="1473" w:type="dxa"/>
            <w:tcBorders>
              <w:top w:val="nil"/>
              <w:left w:val="nil"/>
              <w:bottom w:val="single" w:sz="4" w:space="0" w:color="auto"/>
              <w:right w:val="single" w:sz="4" w:space="0" w:color="auto"/>
            </w:tcBorders>
            <w:shd w:val="clear" w:color="auto" w:fill="auto"/>
            <w:noWrap/>
            <w:hideMark/>
          </w:tcPr>
          <w:p w:rsidR="005D6ACF" w:rsidRPr="002C6906" w:rsidRDefault="005D6ACF" w:rsidP="008A253E">
            <w:pPr>
              <w:jc w:val="right"/>
              <w:rPr>
                <w:sz w:val="20"/>
                <w:szCs w:val="20"/>
              </w:rPr>
            </w:pPr>
            <w:r w:rsidRPr="002C6906">
              <w:rPr>
                <w:sz w:val="20"/>
                <w:szCs w:val="20"/>
              </w:rPr>
              <w:t>18 685</w:t>
            </w:r>
          </w:p>
        </w:tc>
        <w:tc>
          <w:tcPr>
            <w:tcW w:w="2008" w:type="dxa"/>
            <w:tcBorders>
              <w:top w:val="nil"/>
              <w:left w:val="nil"/>
              <w:bottom w:val="single" w:sz="4" w:space="0" w:color="auto"/>
              <w:right w:val="single" w:sz="4" w:space="0" w:color="auto"/>
            </w:tcBorders>
            <w:shd w:val="clear" w:color="auto" w:fill="auto"/>
            <w:noWrap/>
            <w:hideMark/>
          </w:tcPr>
          <w:p w:rsidR="005D6ACF" w:rsidRPr="002C6906" w:rsidRDefault="005D6ACF" w:rsidP="008A253E">
            <w:pPr>
              <w:jc w:val="right"/>
              <w:rPr>
                <w:sz w:val="20"/>
                <w:szCs w:val="20"/>
              </w:rPr>
            </w:pPr>
            <w:r w:rsidRPr="002C6906">
              <w:rPr>
                <w:sz w:val="20"/>
                <w:szCs w:val="20"/>
              </w:rPr>
              <w:t>130 000 000</w:t>
            </w:r>
          </w:p>
        </w:tc>
        <w:tc>
          <w:tcPr>
            <w:tcW w:w="2008" w:type="dxa"/>
            <w:tcBorders>
              <w:top w:val="nil"/>
              <w:left w:val="nil"/>
              <w:bottom w:val="single" w:sz="4" w:space="0" w:color="auto"/>
              <w:right w:val="single" w:sz="4" w:space="0" w:color="auto"/>
            </w:tcBorders>
            <w:shd w:val="clear" w:color="auto" w:fill="auto"/>
            <w:noWrap/>
            <w:hideMark/>
          </w:tcPr>
          <w:p w:rsidR="005D6ACF" w:rsidRPr="002C6906" w:rsidRDefault="005D6ACF" w:rsidP="008A253E">
            <w:pPr>
              <w:jc w:val="right"/>
              <w:rPr>
                <w:sz w:val="20"/>
                <w:szCs w:val="20"/>
              </w:rPr>
            </w:pPr>
            <w:r w:rsidRPr="002C6906">
              <w:rPr>
                <w:sz w:val="20"/>
                <w:szCs w:val="20"/>
              </w:rPr>
              <w:t>200 000 000</w:t>
            </w:r>
          </w:p>
        </w:tc>
        <w:tc>
          <w:tcPr>
            <w:tcW w:w="1471" w:type="dxa"/>
            <w:tcBorders>
              <w:top w:val="nil"/>
              <w:left w:val="nil"/>
              <w:bottom w:val="single" w:sz="4" w:space="0" w:color="auto"/>
              <w:right w:val="single" w:sz="4" w:space="0" w:color="auto"/>
            </w:tcBorders>
            <w:shd w:val="clear" w:color="auto" w:fill="auto"/>
            <w:noWrap/>
            <w:hideMark/>
          </w:tcPr>
          <w:p w:rsidR="005D6ACF" w:rsidRPr="002C6906" w:rsidRDefault="005D6ACF" w:rsidP="008A253E">
            <w:pPr>
              <w:jc w:val="right"/>
              <w:rPr>
                <w:sz w:val="20"/>
                <w:szCs w:val="20"/>
              </w:rPr>
            </w:pPr>
            <w:r w:rsidRPr="002C6906">
              <w:rPr>
                <w:sz w:val="20"/>
                <w:szCs w:val="20"/>
              </w:rPr>
              <w:t>11 041</w:t>
            </w:r>
          </w:p>
        </w:tc>
        <w:tc>
          <w:tcPr>
            <w:tcW w:w="1471" w:type="dxa"/>
            <w:tcBorders>
              <w:top w:val="nil"/>
              <w:left w:val="nil"/>
              <w:bottom w:val="single" w:sz="4" w:space="0" w:color="auto"/>
              <w:right w:val="single" w:sz="4" w:space="0" w:color="auto"/>
            </w:tcBorders>
            <w:shd w:val="clear" w:color="auto" w:fill="auto"/>
            <w:noWrap/>
            <w:hideMark/>
          </w:tcPr>
          <w:p w:rsidR="005D6ACF" w:rsidRPr="002C6906" w:rsidRDefault="005D6ACF" w:rsidP="008A253E">
            <w:pPr>
              <w:jc w:val="right"/>
              <w:rPr>
                <w:sz w:val="20"/>
                <w:szCs w:val="20"/>
              </w:rPr>
            </w:pPr>
            <w:r w:rsidRPr="002C6906">
              <w:rPr>
                <w:sz w:val="20"/>
                <w:szCs w:val="20"/>
              </w:rPr>
              <w:t>16 986</w:t>
            </w:r>
          </w:p>
        </w:tc>
        <w:tc>
          <w:tcPr>
            <w:tcW w:w="1475" w:type="dxa"/>
            <w:tcBorders>
              <w:top w:val="nil"/>
              <w:left w:val="nil"/>
              <w:bottom w:val="single" w:sz="4" w:space="0" w:color="auto"/>
              <w:right w:val="single" w:sz="8" w:space="0" w:color="auto"/>
            </w:tcBorders>
            <w:shd w:val="clear" w:color="auto" w:fill="auto"/>
            <w:noWrap/>
            <w:hideMark/>
          </w:tcPr>
          <w:p w:rsidR="005D6ACF" w:rsidRPr="002C6906" w:rsidRDefault="005D6ACF" w:rsidP="008A253E">
            <w:pPr>
              <w:jc w:val="right"/>
              <w:rPr>
                <w:sz w:val="20"/>
                <w:szCs w:val="20"/>
              </w:rPr>
            </w:pPr>
            <w:r w:rsidRPr="002C6906">
              <w:rPr>
                <w:sz w:val="20"/>
                <w:szCs w:val="20"/>
              </w:rPr>
              <w:t>46 712,3</w:t>
            </w:r>
          </w:p>
        </w:tc>
      </w:tr>
      <w:tr w:rsidR="005D6ACF" w:rsidTr="008A253E">
        <w:trPr>
          <w:trHeight w:val="340"/>
        </w:trPr>
        <w:tc>
          <w:tcPr>
            <w:tcW w:w="1055" w:type="dxa"/>
            <w:tcBorders>
              <w:top w:val="nil"/>
              <w:left w:val="single" w:sz="8" w:space="0" w:color="auto"/>
              <w:bottom w:val="single" w:sz="8" w:space="0" w:color="auto"/>
              <w:right w:val="single" w:sz="4" w:space="0" w:color="auto"/>
            </w:tcBorders>
            <w:shd w:val="clear" w:color="auto" w:fill="auto"/>
            <w:noWrap/>
            <w:vAlign w:val="bottom"/>
            <w:hideMark/>
          </w:tcPr>
          <w:p w:rsidR="005D6ACF" w:rsidRPr="00D5138D" w:rsidRDefault="005D6ACF" w:rsidP="008A253E">
            <w:pPr>
              <w:rPr>
                <w:sz w:val="20"/>
                <w:szCs w:val="20"/>
              </w:rPr>
            </w:pPr>
            <w:r w:rsidRPr="00D5138D">
              <w:rPr>
                <w:sz w:val="20"/>
                <w:szCs w:val="20"/>
              </w:rPr>
              <w:t>Всего</w:t>
            </w:r>
          </w:p>
        </w:tc>
        <w:tc>
          <w:tcPr>
            <w:tcW w:w="972" w:type="dxa"/>
            <w:tcBorders>
              <w:top w:val="nil"/>
              <w:left w:val="nil"/>
              <w:bottom w:val="single" w:sz="8" w:space="0" w:color="auto"/>
              <w:right w:val="single" w:sz="4" w:space="0" w:color="auto"/>
            </w:tcBorders>
            <w:shd w:val="clear" w:color="auto" w:fill="auto"/>
            <w:noWrap/>
            <w:vAlign w:val="bottom"/>
            <w:hideMark/>
          </w:tcPr>
          <w:p w:rsidR="005D6ACF" w:rsidRPr="00D5138D" w:rsidRDefault="005D6ACF" w:rsidP="008A253E">
            <w:pPr>
              <w:jc w:val="center"/>
              <w:rPr>
                <w:sz w:val="20"/>
                <w:szCs w:val="20"/>
              </w:rPr>
            </w:pPr>
            <w:r w:rsidRPr="00D5138D">
              <w:rPr>
                <w:sz w:val="20"/>
                <w:szCs w:val="20"/>
              </w:rPr>
              <w:t>36</w:t>
            </w:r>
            <w:r>
              <w:rPr>
                <w:sz w:val="20"/>
                <w:szCs w:val="20"/>
              </w:rPr>
              <w:t>6</w:t>
            </w:r>
          </w:p>
        </w:tc>
        <w:tc>
          <w:tcPr>
            <w:tcW w:w="1538" w:type="dxa"/>
            <w:tcBorders>
              <w:top w:val="nil"/>
              <w:left w:val="nil"/>
              <w:bottom w:val="single" w:sz="8" w:space="0" w:color="auto"/>
              <w:right w:val="single" w:sz="4" w:space="0" w:color="auto"/>
            </w:tcBorders>
            <w:shd w:val="clear" w:color="auto" w:fill="auto"/>
            <w:noWrap/>
            <w:hideMark/>
          </w:tcPr>
          <w:p w:rsidR="005D6ACF" w:rsidRPr="002C6906" w:rsidRDefault="005D6ACF" w:rsidP="008A253E">
            <w:pPr>
              <w:jc w:val="right"/>
              <w:rPr>
                <w:b/>
                <w:sz w:val="20"/>
                <w:szCs w:val="20"/>
              </w:rPr>
            </w:pPr>
            <w:r w:rsidRPr="002C6906">
              <w:rPr>
                <w:b/>
                <w:sz w:val="20"/>
                <w:szCs w:val="20"/>
              </w:rPr>
              <w:t>220 000 000</w:t>
            </w:r>
          </w:p>
        </w:tc>
        <w:tc>
          <w:tcPr>
            <w:tcW w:w="1157" w:type="dxa"/>
            <w:tcBorders>
              <w:top w:val="nil"/>
              <w:left w:val="nil"/>
              <w:bottom w:val="single" w:sz="8" w:space="0" w:color="auto"/>
              <w:right w:val="single" w:sz="4" w:space="0" w:color="auto"/>
            </w:tcBorders>
            <w:shd w:val="clear" w:color="auto" w:fill="auto"/>
            <w:noWrap/>
            <w:hideMark/>
          </w:tcPr>
          <w:p w:rsidR="005D6ACF" w:rsidRPr="002C6906" w:rsidRDefault="005D6ACF" w:rsidP="008A253E">
            <w:pPr>
              <w:jc w:val="right"/>
              <w:rPr>
                <w:b/>
                <w:sz w:val="20"/>
                <w:szCs w:val="20"/>
              </w:rPr>
            </w:pPr>
          </w:p>
        </w:tc>
        <w:tc>
          <w:tcPr>
            <w:tcW w:w="1473" w:type="dxa"/>
            <w:tcBorders>
              <w:top w:val="nil"/>
              <w:left w:val="nil"/>
              <w:bottom w:val="single" w:sz="8" w:space="0" w:color="auto"/>
              <w:right w:val="single" w:sz="4" w:space="0" w:color="auto"/>
            </w:tcBorders>
            <w:shd w:val="clear" w:color="auto" w:fill="auto"/>
            <w:noWrap/>
            <w:hideMark/>
          </w:tcPr>
          <w:p w:rsidR="005D6ACF" w:rsidRPr="002C6906" w:rsidRDefault="005D6ACF" w:rsidP="008A253E">
            <w:pPr>
              <w:jc w:val="right"/>
              <w:rPr>
                <w:b/>
                <w:sz w:val="20"/>
                <w:szCs w:val="20"/>
              </w:rPr>
            </w:pPr>
            <w:r w:rsidRPr="002C6906">
              <w:rPr>
                <w:b/>
                <w:sz w:val="20"/>
                <w:szCs w:val="20"/>
              </w:rPr>
              <w:t>74 866</w:t>
            </w:r>
          </w:p>
        </w:tc>
        <w:tc>
          <w:tcPr>
            <w:tcW w:w="2008" w:type="dxa"/>
            <w:tcBorders>
              <w:top w:val="nil"/>
              <w:left w:val="nil"/>
              <w:bottom w:val="single" w:sz="8" w:space="0" w:color="auto"/>
              <w:right w:val="single" w:sz="4" w:space="0" w:color="auto"/>
            </w:tcBorders>
            <w:shd w:val="clear" w:color="auto" w:fill="auto"/>
            <w:noWrap/>
            <w:hideMark/>
          </w:tcPr>
          <w:p w:rsidR="005D6ACF" w:rsidRPr="002C6906" w:rsidRDefault="005D6ACF" w:rsidP="008A253E">
            <w:pPr>
              <w:jc w:val="right"/>
              <w:rPr>
                <w:b/>
                <w:sz w:val="20"/>
                <w:szCs w:val="20"/>
              </w:rPr>
            </w:pPr>
            <w:r w:rsidRPr="002C6906">
              <w:rPr>
                <w:b/>
                <w:sz w:val="20"/>
                <w:szCs w:val="20"/>
              </w:rPr>
              <w:t>Х</w:t>
            </w:r>
          </w:p>
        </w:tc>
        <w:tc>
          <w:tcPr>
            <w:tcW w:w="2008" w:type="dxa"/>
            <w:tcBorders>
              <w:top w:val="nil"/>
              <w:left w:val="nil"/>
              <w:bottom w:val="single" w:sz="8" w:space="0" w:color="auto"/>
              <w:right w:val="single" w:sz="4" w:space="0" w:color="auto"/>
            </w:tcBorders>
            <w:shd w:val="clear" w:color="auto" w:fill="auto"/>
            <w:noWrap/>
            <w:hideMark/>
          </w:tcPr>
          <w:p w:rsidR="005D6ACF" w:rsidRPr="002C6906" w:rsidRDefault="005D6ACF" w:rsidP="008A253E">
            <w:pPr>
              <w:jc w:val="right"/>
              <w:rPr>
                <w:b/>
                <w:sz w:val="20"/>
                <w:szCs w:val="20"/>
              </w:rPr>
            </w:pPr>
            <w:r w:rsidRPr="002C6906">
              <w:rPr>
                <w:b/>
                <w:sz w:val="20"/>
                <w:szCs w:val="20"/>
              </w:rPr>
              <w:t>Х</w:t>
            </w:r>
          </w:p>
        </w:tc>
        <w:tc>
          <w:tcPr>
            <w:tcW w:w="1471" w:type="dxa"/>
            <w:tcBorders>
              <w:top w:val="nil"/>
              <w:left w:val="nil"/>
              <w:bottom w:val="single" w:sz="8" w:space="0" w:color="auto"/>
              <w:right w:val="single" w:sz="4" w:space="0" w:color="auto"/>
            </w:tcBorders>
            <w:shd w:val="clear" w:color="auto" w:fill="auto"/>
            <w:noWrap/>
            <w:hideMark/>
          </w:tcPr>
          <w:p w:rsidR="005D6ACF" w:rsidRPr="002C6906" w:rsidRDefault="005D6ACF" w:rsidP="008A253E">
            <w:pPr>
              <w:jc w:val="right"/>
              <w:rPr>
                <w:b/>
                <w:sz w:val="20"/>
                <w:szCs w:val="20"/>
              </w:rPr>
            </w:pPr>
            <w:r w:rsidRPr="002C6906">
              <w:rPr>
                <w:b/>
                <w:sz w:val="20"/>
                <w:szCs w:val="20"/>
              </w:rPr>
              <w:t>130 356</w:t>
            </w:r>
          </w:p>
        </w:tc>
        <w:tc>
          <w:tcPr>
            <w:tcW w:w="1471" w:type="dxa"/>
            <w:tcBorders>
              <w:top w:val="nil"/>
              <w:left w:val="nil"/>
              <w:bottom w:val="single" w:sz="8" w:space="0" w:color="auto"/>
              <w:right w:val="single" w:sz="4" w:space="0" w:color="auto"/>
            </w:tcBorders>
            <w:shd w:val="clear" w:color="auto" w:fill="auto"/>
            <w:noWrap/>
            <w:hideMark/>
          </w:tcPr>
          <w:p w:rsidR="005D6ACF" w:rsidRPr="002C6906" w:rsidRDefault="005D6ACF" w:rsidP="008A253E">
            <w:pPr>
              <w:jc w:val="right"/>
              <w:rPr>
                <w:b/>
                <w:sz w:val="20"/>
                <w:szCs w:val="20"/>
              </w:rPr>
            </w:pPr>
            <w:r w:rsidRPr="002C6906">
              <w:rPr>
                <w:b/>
                <w:sz w:val="20"/>
                <w:szCs w:val="20"/>
              </w:rPr>
              <w:t>200 548</w:t>
            </w:r>
          </w:p>
        </w:tc>
        <w:tc>
          <w:tcPr>
            <w:tcW w:w="1475" w:type="dxa"/>
            <w:tcBorders>
              <w:top w:val="nil"/>
              <w:left w:val="nil"/>
              <w:bottom w:val="single" w:sz="8" w:space="0" w:color="auto"/>
              <w:right w:val="single" w:sz="8" w:space="0" w:color="auto"/>
            </w:tcBorders>
            <w:shd w:val="clear" w:color="auto" w:fill="auto"/>
            <w:noWrap/>
            <w:hideMark/>
          </w:tcPr>
          <w:p w:rsidR="005D6ACF" w:rsidRPr="002C6906" w:rsidRDefault="005D6ACF" w:rsidP="008A253E">
            <w:pPr>
              <w:jc w:val="right"/>
              <w:rPr>
                <w:b/>
                <w:sz w:val="20"/>
                <w:szCs w:val="20"/>
              </w:rPr>
            </w:pPr>
            <w:r w:rsidRPr="002C6906">
              <w:rPr>
                <w:b/>
                <w:sz w:val="20"/>
                <w:szCs w:val="20"/>
              </w:rPr>
              <w:t>405 769,9</w:t>
            </w:r>
          </w:p>
        </w:tc>
      </w:tr>
    </w:tbl>
    <w:p w:rsidR="005D6ACF" w:rsidRDefault="005D6ACF" w:rsidP="005D6ACF">
      <w:pPr>
        <w:pStyle w:val="a4"/>
        <w:ind w:firstLine="720"/>
        <w:rPr>
          <w:b/>
        </w:rPr>
      </w:pPr>
    </w:p>
    <w:p w:rsidR="005D6ACF" w:rsidRPr="00C93A58" w:rsidRDefault="005D6ACF" w:rsidP="005D6ACF">
      <w:pPr>
        <w:pStyle w:val="a4"/>
        <w:ind w:firstLine="720"/>
        <w:rPr>
          <w:b/>
        </w:rPr>
      </w:pPr>
    </w:p>
    <w:p w:rsidR="005D6ACF" w:rsidRPr="00C93A58" w:rsidRDefault="005D6ACF" w:rsidP="005D6ACF">
      <w:pPr>
        <w:pStyle w:val="a4"/>
        <w:ind w:firstLine="720"/>
        <w:rPr>
          <w:b/>
        </w:rPr>
        <w:sectPr w:rsidR="005D6ACF" w:rsidRPr="00C93A58" w:rsidSect="008A253E">
          <w:pgSz w:w="16838" w:h="11906" w:orient="landscape"/>
          <w:pgMar w:top="1134" w:right="1134" w:bottom="851" w:left="1134" w:header="709" w:footer="709" w:gutter="0"/>
          <w:cols w:space="708"/>
          <w:docGrid w:linePitch="360"/>
        </w:sectPr>
      </w:pPr>
    </w:p>
    <w:p w:rsidR="005D6ACF" w:rsidRPr="00441BA1" w:rsidRDefault="005D6ACF" w:rsidP="005D6ACF">
      <w:pPr>
        <w:pStyle w:val="a4"/>
        <w:ind w:firstLine="720"/>
      </w:pPr>
      <w:r w:rsidRPr="00441BA1">
        <w:rPr>
          <w:b/>
        </w:rPr>
        <w:lastRenderedPageBreak/>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 (000 </w:t>
      </w:r>
      <w:r w:rsidRPr="00441BA1">
        <w:rPr>
          <w:b/>
          <w:snapToGrid w:val="0"/>
        </w:rPr>
        <w:t>1 11 05022 02 0000 120)</w:t>
      </w:r>
      <w:r w:rsidRPr="00441BA1">
        <w:rPr>
          <w:i/>
          <w:snapToGrid w:val="0"/>
        </w:rPr>
        <w:t xml:space="preserve"> </w:t>
      </w:r>
    </w:p>
    <w:p w:rsidR="005D6ACF" w:rsidRDefault="005D6ACF" w:rsidP="005D6ACF">
      <w:pPr>
        <w:pStyle w:val="21"/>
        <w:ind w:left="709"/>
        <w:jc w:val="right"/>
        <w:rPr>
          <w:b/>
        </w:rPr>
      </w:pPr>
      <w:r w:rsidRPr="00C93A58">
        <w:rPr>
          <w:b/>
        </w:rPr>
        <w:t>тыс. руб.</w:t>
      </w:r>
    </w:p>
    <w:p w:rsidR="005D6ACF" w:rsidRDefault="005D6ACF" w:rsidP="005D6ACF">
      <w:pPr>
        <w:pStyle w:val="21"/>
        <w:ind w:firstLine="0"/>
        <w:rPr>
          <w:b/>
        </w:rPr>
      </w:pPr>
    </w:p>
    <w:tbl>
      <w:tblPr>
        <w:tblW w:w="93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37"/>
        <w:gridCol w:w="1318"/>
        <w:gridCol w:w="1318"/>
        <w:gridCol w:w="1276"/>
      </w:tblGrid>
      <w:tr w:rsidR="005D6ACF" w:rsidRPr="006D6261" w:rsidTr="008A253E">
        <w:trPr>
          <w:trHeight w:val="337"/>
        </w:trPr>
        <w:tc>
          <w:tcPr>
            <w:tcW w:w="5437" w:type="dxa"/>
            <w:shd w:val="clear" w:color="auto" w:fill="auto"/>
            <w:vAlign w:val="center"/>
          </w:tcPr>
          <w:p w:rsidR="005D6ACF" w:rsidRPr="00034939" w:rsidRDefault="005D6ACF" w:rsidP="008A253E">
            <w:pPr>
              <w:jc w:val="center"/>
              <w:rPr>
                <w:sz w:val="28"/>
                <w:szCs w:val="28"/>
              </w:rPr>
            </w:pPr>
            <w:r w:rsidRPr="00034939">
              <w:rPr>
                <w:bCs/>
                <w:sz w:val="28"/>
                <w:szCs w:val="28"/>
              </w:rPr>
              <w:t>Наименование дохода</w:t>
            </w:r>
          </w:p>
        </w:tc>
        <w:tc>
          <w:tcPr>
            <w:tcW w:w="1318" w:type="dxa"/>
            <w:shd w:val="clear" w:color="auto" w:fill="auto"/>
            <w:vAlign w:val="center"/>
          </w:tcPr>
          <w:p w:rsidR="005D6ACF" w:rsidRPr="00034939" w:rsidRDefault="005D6ACF" w:rsidP="008A253E">
            <w:pPr>
              <w:tabs>
                <w:tab w:val="left" w:pos="851"/>
              </w:tabs>
              <w:jc w:val="center"/>
              <w:rPr>
                <w:sz w:val="28"/>
                <w:szCs w:val="28"/>
              </w:rPr>
            </w:pPr>
            <w:r w:rsidRPr="00034939">
              <w:rPr>
                <w:sz w:val="28"/>
                <w:szCs w:val="28"/>
              </w:rPr>
              <w:t>Прогноз на</w:t>
            </w:r>
          </w:p>
          <w:p w:rsidR="005D6ACF" w:rsidRPr="00034939" w:rsidRDefault="005D6ACF" w:rsidP="008A253E">
            <w:pPr>
              <w:tabs>
                <w:tab w:val="left" w:pos="851"/>
              </w:tabs>
              <w:jc w:val="center"/>
              <w:rPr>
                <w:sz w:val="28"/>
                <w:szCs w:val="28"/>
              </w:rPr>
            </w:pPr>
            <w:r w:rsidRPr="00034939">
              <w:rPr>
                <w:sz w:val="28"/>
                <w:szCs w:val="28"/>
              </w:rPr>
              <w:t>2022 год</w:t>
            </w:r>
          </w:p>
        </w:tc>
        <w:tc>
          <w:tcPr>
            <w:tcW w:w="1318" w:type="dxa"/>
            <w:shd w:val="clear" w:color="auto" w:fill="auto"/>
            <w:vAlign w:val="center"/>
          </w:tcPr>
          <w:p w:rsidR="005D6ACF" w:rsidRPr="00034939" w:rsidRDefault="005D6ACF" w:rsidP="008A253E">
            <w:pPr>
              <w:tabs>
                <w:tab w:val="left" w:pos="851"/>
              </w:tabs>
              <w:jc w:val="center"/>
              <w:rPr>
                <w:sz w:val="28"/>
                <w:szCs w:val="28"/>
              </w:rPr>
            </w:pPr>
            <w:r w:rsidRPr="00034939">
              <w:rPr>
                <w:sz w:val="28"/>
                <w:szCs w:val="28"/>
              </w:rPr>
              <w:t>Прогноз на</w:t>
            </w:r>
          </w:p>
          <w:p w:rsidR="005D6ACF" w:rsidRPr="00034939" w:rsidRDefault="005D6ACF" w:rsidP="008A253E">
            <w:pPr>
              <w:tabs>
                <w:tab w:val="left" w:pos="851"/>
              </w:tabs>
              <w:jc w:val="center"/>
              <w:rPr>
                <w:sz w:val="28"/>
                <w:szCs w:val="28"/>
              </w:rPr>
            </w:pPr>
            <w:r w:rsidRPr="00034939">
              <w:rPr>
                <w:sz w:val="28"/>
                <w:szCs w:val="28"/>
              </w:rPr>
              <w:t xml:space="preserve"> 2023 год</w:t>
            </w:r>
          </w:p>
        </w:tc>
        <w:tc>
          <w:tcPr>
            <w:tcW w:w="1276" w:type="dxa"/>
            <w:shd w:val="clear" w:color="auto" w:fill="auto"/>
            <w:vAlign w:val="center"/>
          </w:tcPr>
          <w:p w:rsidR="005D6ACF" w:rsidRPr="00034939" w:rsidRDefault="005D6ACF" w:rsidP="008A253E">
            <w:pPr>
              <w:tabs>
                <w:tab w:val="left" w:pos="851"/>
              </w:tabs>
              <w:jc w:val="center"/>
              <w:rPr>
                <w:sz w:val="28"/>
                <w:szCs w:val="28"/>
              </w:rPr>
            </w:pPr>
            <w:r w:rsidRPr="00034939">
              <w:rPr>
                <w:sz w:val="28"/>
                <w:szCs w:val="28"/>
              </w:rPr>
              <w:t>Прогноз на</w:t>
            </w:r>
          </w:p>
          <w:p w:rsidR="005D6ACF" w:rsidRPr="00034939" w:rsidRDefault="005D6ACF" w:rsidP="008A253E">
            <w:pPr>
              <w:tabs>
                <w:tab w:val="left" w:pos="851"/>
              </w:tabs>
              <w:jc w:val="center"/>
              <w:rPr>
                <w:sz w:val="28"/>
                <w:szCs w:val="28"/>
              </w:rPr>
            </w:pPr>
            <w:r w:rsidRPr="00034939">
              <w:rPr>
                <w:sz w:val="28"/>
                <w:szCs w:val="28"/>
              </w:rPr>
              <w:t xml:space="preserve"> 2024 год</w:t>
            </w:r>
          </w:p>
        </w:tc>
      </w:tr>
      <w:tr w:rsidR="005D6ACF" w:rsidRPr="006D6261" w:rsidTr="008A253E">
        <w:trPr>
          <w:trHeight w:val="359"/>
        </w:trPr>
        <w:tc>
          <w:tcPr>
            <w:tcW w:w="5437" w:type="dxa"/>
            <w:shd w:val="clear" w:color="auto" w:fill="auto"/>
          </w:tcPr>
          <w:p w:rsidR="005D6ACF" w:rsidRPr="00034939" w:rsidRDefault="005D6ACF" w:rsidP="008A253E">
            <w:pPr>
              <w:rPr>
                <w:sz w:val="28"/>
                <w:szCs w:val="28"/>
              </w:rPr>
            </w:pPr>
            <w:r w:rsidRPr="00034939">
              <w:rPr>
                <w:sz w:val="28"/>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c>
          <w:tcPr>
            <w:tcW w:w="1318" w:type="dxa"/>
            <w:shd w:val="clear" w:color="auto" w:fill="auto"/>
            <w:vAlign w:val="center"/>
          </w:tcPr>
          <w:p w:rsidR="005D6ACF" w:rsidRPr="00034939" w:rsidRDefault="005D6ACF" w:rsidP="008A253E">
            <w:pPr>
              <w:autoSpaceDE w:val="0"/>
              <w:autoSpaceDN w:val="0"/>
              <w:adjustRightInd w:val="0"/>
              <w:jc w:val="center"/>
              <w:rPr>
                <w:bCs/>
                <w:sz w:val="28"/>
                <w:szCs w:val="28"/>
              </w:rPr>
            </w:pPr>
            <w:r w:rsidRPr="00034939">
              <w:rPr>
                <w:bCs/>
                <w:sz w:val="28"/>
                <w:szCs w:val="28"/>
              </w:rPr>
              <w:t>50 907,8</w:t>
            </w:r>
          </w:p>
        </w:tc>
        <w:tc>
          <w:tcPr>
            <w:tcW w:w="1318" w:type="dxa"/>
            <w:shd w:val="clear" w:color="auto" w:fill="auto"/>
            <w:vAlign w:val="center"/>
          </w:tcPr>
          <w:p w:rsidR="005D6ACF" w:rsidRPr="00034939" w:rsidRDefault="005D6ACF" w:rsidP="008A253E">
            <w:pPr>
              <w:autoSpaceDE w:val="0"/>
              <w:autoSpaceDN w:val="0"/>
              <w:adjustRightInd w:val="0"/>
              <w:jc w:val="center"/>
              <w:rPr>
                <w:bCs/>
                <w:sz w:val="28"/>
                <w:szCs w:val="28"/>
              </w:rPr>
            </w:pPr>
            <w:r w:rsidRPr="00034939">
              <w:rPr>
                <w:bCs/>
                <w:sz w:val="28"/>
                <w:szCs w:val="28"/>
              </w:rPr>
              <w:t>52 326,4</w:t>
            </w:r>
          </w:p>
        </w:tc>
        <w:tc>
          <w:tcPr>
            <w:tcW w:w="1276" w:type="dxa"/>
            <w:shd w:val="clear" w:color="auto" w:fill="auto"/>
            <w:vAlign w:val="center"/>
          </w:tcPr>
          <w:p w:rsidR="005D6ACF" w:rsidRPr="00034939" w:rsidRDefault="005D6ACF" w:rsidP="008A253E">
            <w:pPr>
              <w:autoSpaceDE w:val="0"/>
              <w:autoSpaceDN w:val="0"/>
              <w:adjustRightInd w:val="0"/>
              <w:jc w:val="center"/>
              <w:rPr>
                <w:bCs/>
                <w:sz w:val="28"/>
                <w:szCs w:val="28"/>
              </w:rPr>
            </w:pPr>
            <w:r w:rsidRPr="00034939">
              <w:rPr>
                <w:bCs/>
                <w:sz w:val="28"/>
                <w:szCs w:val="28"/>
              </w:rPr>
              <w:t>54 109,3</w:t>
            </w:r>
          </w:p>
        </w:tc>
      </w:tr>
      <w:tr w:rsidR="005D6ACF" w:rsidRPr="006D6261" w:rsidTr="008A253E">
        <w:trPr>
          <w:trHeight w:val="359"/>
        </w:trPr>
        <w:tc>
          <w:tcPr>
            <w:tcW w:w="5437" w:type="dxa"/>
            <w:tcBorders>
              <w:top w:val="single" w:sz="4" w:space="0" w:color="auto"/>
              <w:left w:val="single" w:sz="4" w:space="0" w:color="auto"/>
              <w:bottom w:val="single" w:sz="4" w:space="0" w:color="auto"/>
              <w:right w:val="single" w:sz="4" w:space="0" w:color="auto"/>
            </w:tcBorders>
            <w:shd w:val="clear" w:color="auto" w:fill="auto"/>
          </w:tcPr>
          <w:p w:rsidR="005D6ACF" w:rsidRPr="00034939" w:rsidRDefault="005D6ACF" w:rsidP="008A253E">
            <w:pPr>
              <w:rPr>
                <w:sz w:val="28"/>
                <w:szCs w:val="28"/>
              </w:rPr>
            </w:pPr>
            <w:r w:rsidRPr="00034939">
              <w:rPr>
                <w:sz w:val="28"/>
                <w:szCs w:val="28"/>
              </w:rPr>
              <w:t>в том числе поступление задолженности</w:t>
            </w:r>
          </w:p>
        </w:tc>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rsidR="005D6ACF" w:rsidRPr="00034939" w:rsidRDefault="005D6ACF" w:rsidP="008A253E">
            <w:pPr>
              <w:autoSpaceDE w:val="0"/>
              <w:autoSpaceDN w:val="0"/>
              <w:adjustRightInd w:val="0"/>
              <w:jc w:val="center"/>
              <w:rPr>
                <w:bCs/>
                <w:sz w:val="28"/>
                <w:szCs w:val="28"/>
              </w:rPr>
            </w:pPr>
            <w:r w:rsidRPr="00034939">
              <w:rPr>
                <w:bCs/>
                <w:sz w:val="28"/>
                <w:szCs w:val="28"/>
              </w:rPr>
              <w:t>6 597,5</w:t>
            </w:r>
          </w:p>
        </w:tc>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rsidR="005D6ACF" w:rsidRPr="00034939" w:rsidRDefault="005D6ACF" w:rsidP="008A253E">
            <w:pPr>
              <w:autoSpaceDE w:val="0"/>
              <w:autoSpaceDN w:val="0"/>
              <w:adjustRightInd w:val="0"/>
              <w:jc w:val="center"/>
              <w:rPr>
                <w:bCs/>
                <w:sz w:val="28"/>
                <w:szCs w:val="28"/>
              </w:rPr>
            </w:pPr>
            <w:r w:rsidRPr="00034939">
              <w:rPr>
                <w:bCs/>
                <w:sz w:val="28"/>
                <w:szCs w:val="28"/>
              </w:rPr>
              <w:t>6 652,5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D6ACF" w:rsidRPr="00034939" w:rsidRDefault="005D6ACF" w:rsidP="008A253E">
            <w:pPr>
              <w:autoSpaceDE w:val="0"/>
              <w:autoSpaceDN w:val="0"/>
              <w:adjustRightInd w:val="0"/>
              <w:jc w:val="center"/>
              <w:rPr>
                <w:bCs/>
                <w:sz w:val="28"/>
                <w:szCs w:val="28"/>
              </w:rPr>
            </w:pPr>
            <w:r w:rsidRPr="00034939">
              <w:rPr>
                <w:bCs/>
                <w:sz w:val="28"/>
                <w:szCs w:val="28"/>
              </w:rPr>
              <w:t>6 691,7</w:t>
            </w:r>
          </w:p>
        </w:tc>
      </w:tr>
    </w:tbl>
    <w:p w:rsidR="005D6ACF" w:rsidRDefault="005D6ACF" w:rsidP="005D6ACF">
      <w:pPr>
        <w:pStyle w:val="21"/>
        <w:ind w:left="709"/>
        <w:jc w:val="right"/>
        <w:rPr>
          <w:b/>
        </w:rPr>
      </w:pPr>
    </w:p>
    <w:p w:rsidR="005D6ACF" w:rsidRPr="00F35DC1" w:rsidRDefault="005D6ACF" w:rsidP="005D6ACF">
      <w:pPr>
        <w:ind w:firstLine="709"/>
        <w:jc w:val="both"/>
        <w:rPr>
          <w:sz w:val="28"/>
          <w:szCs w:val="28"/>
        </w:rPr>
      </w:pPr>
      <w:r w:rsidRPr="00C93A58">
        <w:rPr>
          <w:bCs/>
        </w:rPr>
        <w:t xml:space="preserve">  </w:t>
      </w:r>
      <w:r w:rsidRPr="00F35DC1">
        <w:rPr>
          <w:sz w:val="28"/>
          <w:szCs w:val="28"/>
        </w:rPr>
        <w:t xml:space="preserve">По данному доходному источнику учитываются доходы в виде арендной платы (средств от продажи права): </w:t>
      </w:r>
    </w:p>
    <w:p w:rsidR="005D6ACF" w:rsidRPr="00F35DC1" w:rsidRDefault="005D6ACF" w:rsidP="005D6ACF">
      <w:pPr>
        <w:ind w:firstLine="709"/>
        <w:jc w:val="both"/>
        <w:rPr>
          <w:sz w:val="28"/>
          <w:szCs w:val="28"/>
        </w:rPr>
      </w:pPr>
      <w:r w:rsidRPr="00F35DC1">
        <w:rPr>
          <w:sz w:val="28"/>
          <w:szCs w:val="28"/>
        </w:rPr>
        <w:t>1) по действующим и планируемым к заключению договорам аренды земельных участков сельскохозяйственного назначения, находящихся в государственной собственности Тверской области;</w:t>
      </w:r>
    </w:p>
    <w:p w:rsidR="005D6ACF" w:rsidRPr="00F35DC1" w:rsidRDefault="005D6ACF" w:rsidP="005D6ACF">
      <w:pPr>
        <w:ind w:firstLine="709"/>
        <w:jc w:val="both"/>
        <w:rPr>
          <w:sz w:val="28"/>
          <w:szCs w:val="28"/>
        </w:rPr>
      </w:pPr>
      <w:r w:rsidRPr="00F35DC1">
        <w:rPr>
          <w:sz w:val="28"/>
          <w:szCs w:val="28"/>
        </w:rPr>
        <w:t>2) по действующим договорам аренды земельных участков, находящихся в государственной собственности Тверской области, предназначенных для эксплуатации и обслуживания объектов недвижимого имущества, для размещения и строительства объектов недвижимого имущества;</w:t>
      </w:r>
    </w:p>
    <w:p w:rsidR="005D6ACF" w:rsidRPr="00F35DC1" w:rsidRDefault="005D6ACF" w:rsidP="005D6ACF">
      <w:pPr>
        <w:ind w:firstLine="709"/>
        <w:jc w:val="both"/>
        <w:rPr>
          <w:sz w:val="28"/>
          <w:szCs w:val="28"/>
        </w:rPr>
      </w:pPr>
      <w:r w:rsidRPr="00F35DC1">
        <w:rPr>
          <w:sz w:val="28"/>
          <w:szCs w:val="28"/>
        </w:rPr>
        <w:t>3) от планируемых к проведению аукционов на право заключения договоров аренды земельных участков, находящихся в собственности Тверской области, предназначенных для строительства объектов недвижимого имущества (за исключением земельных участков сельскохозяйственного назначения).</w:t>
      </w:r>
    </w:p>
    <w:p w:rsidR="005D6ACF" w:rsidRPr="00C93A58" w:rsidRDefault="005D6ACF" w:rsidP="005D6ACF">
      <w:pPr>
        <w:pStyle w:val="ConsPlusNormal"/>
        <w:ind w:firstLine="709"/>
        <w:jc w:val="both"/>
        <w:rPr>
          <w:rFonts w:ascii="Times New Roman" w:hAnsi="Times New Roman" w:cs="Times New Roman"/>
          <w:sz w:val="28"/>
          <w:szCs w:val="28"/>
        </w:rPr>
      </w:pPr>
      <w:r w:rsidRPr="004825BD">
        <w:rPr>
          <w:rFonts w:ascii="Times New Roman" w:hAnsi="Times New Roman" w:cs="Times New Roman"/>
          <w:b/>
          <w:bCs/>
          <w:sz w:val="28"/>
          <w:szCs w:val="28"/>
        </w:rPr>
        <w:t>1)</w:t>
      </w:r>
      <w:r>
        <w:rPr>
          <w:rFonts w:ascii="Times New Roman" w:hAnsi="Times New Roman" w:cs="Times New Roman"/>
          <w:bCs/>
          <w:sz w:val="28"/>
          <w:szCs w:val="28"/>
        </w:rPr>
        <w:t xml:space="preserve"> В соответствии с </w:t>
      </w:r>
      <w:r w:rsidRPr="00C93A58">
        <w:rPr>
          <w:rFonts w:ascii="Times New Roman" w:hAnsi="Times New Roman" w:cs="Times New Roman"/>
          <w:bCs/>
          <w:sz w:val="28"/>
          <w:szCs w:val="28"/>
        </w:rPr>
        <w:t>Методикой</w:t>
      </w:r>
      <w:r w:rsidRPr="00C93A58">
        <w:rPr>
          <w:rFonts w:ascii="Times New Roman" w:hAnsi="Times New Roman" w:cs="Times New Roman"/>
          <w:sz w:val="28"/>
          <w:szCs w:val="28"/>
        </w:rPr>
        <w:t xml:space="preserve"> расчет поступлений на очередной финансовый год и плановый период по действующим и планируемым к заключению договорам аренды земельных участков сельскохозяйственного назначения, находящихся в государственной собственности Тверской области осуществляется с применением метода прямого расчета по следующей формуле:</w:t>
      </w:r>
    </w:p>
    <w:p w:rsidR="005D6ACF" w:rsidRPr="00C93A58" w:rsidRDefault="005D6ACF" w:rsidP="005D6ACF">
      <w:pPr>
        <w:pStyle w:val="ConsPlusNormal"/>
        <w:ind w:firstLine="709"/>
        <w:jc w:val="both"/>
        <w:rPr>
          <w:rFonts w:ascii="Times New Roman" w:hAnsi="Times New Roman" w:cs="Times New Roman"/>
          <w:b/>
          <w:sz w:val="28"/>
          <w:szCs w:val="28"/>
        </w:rPr>
      </w:pPr>
      <w:r w:rsidRPr="00C93A58">
        <w:rPr>
          <w:rFonts w:ascii="Times New Roman" w:hAnsi="Times New Roman" w:cs="Times New Roman"/>
          <w:b/>
          <w:sz w:val="28"/>
          <w:szCs w:val="28"/>
        </w:rPr>
        <w:t xml:space="preserve">                                                                 </w:t>
      </w:r>
    </w:p>
    <w:p w:rsidR="005D6ACF" w:rsidRPr="00F35DC1" w:rsidRDefault="005D6ACF" w:rsidP="005D6ACF">
      <w:pPr>
        <w:ind w:firstLine="709"/>
        <w:jc w:val="center"/>
        <w:rPr>
          <w:sz w:val="28"/>
          <w:szCs w:val="28"/>
        </w:rPr>
      </w:pPr>
      <w:r w:rsidRPr="00F35DC1">
        <w:rPr>
          <w:b/>
          <w:sz w:val="28"/>
          <w:szCs w:val="28"/>
        </w:rPr>
        <w:t>Дазу=(АПд+АПп)*СД+Пз,</w:t>
      </w:r>
      <w:r w:rsidRPr="00F35DC1">
        <w:rPr>
          <w:sz w:val="28"/>
          <w:szCs w:val="28"/>
        </w:rPr>
        <w:t xml:space="preserve"> где</w:t>
      </w:r>
    </w:p>
    <w:p w:rsidR="005D6ACF" w:rsidRPr="00F35DC1" w:rsidRDefault="005D6ACF" w:rsidP="005D6ACF">
      <w:pPr>
        <w:ind w:firstLine="709"/>
        <w:jc w:val="both"/>
        <w:rPr>
          <w:sz w:val="28"/>
          <w:szCs w:val="28"/>
        </w:rPr>
      </w:pPr>
    </w:p>
    <w:p w:rsidR="005D6ACF" w:rsidRPr="00F35DC1" w:rsidRDefault="005D6ACF" w:rsidP="005D6ACF">
      <w:pPr>
        <w:ind w:firstLine="709"/>
        <w:jc w:val="both"/>
        <w:rPr>
          <w:sz w:val="28"/>
          <w:szCs w:val="28"/>
        </w:rPr>
      </w:pPr>
      <w:r w:rsidRPr="00F35DC1">
        <w:rPr>
          <w:sz w:val="28"/>
          <w:szCs w:val="28"/>
        </w:rPr>
        <w:t>Дазу с/х - доходы, получаемые в виде арендной платы за земельные участки сельскохозяйственного использования, тыс. руб.,</w:t>
      </w:r>
    </w:p>
    <w:p w:rsidR="005D6ACF" w:rsidRPr="00F35DC1" w:rsidRDefault="005D6ACF" w:rsidP="005D6ACF">
      <w:pPr>
        <w:ind w:firstLine="709"/>
        <w:jc w:val="both"/>
        <w:rPr>
          <w:sz w:val="28"/>
          <w:szCs w:val="28"/>
        </w:rPr>
      </w:pPr>
      <w:r w:rsidRPr="00F35DC1">
        <w:rPr>
          <w:sz w:val="28"/>
          <w:szCs w:val="28"/>
        </w:rPr>
        <w:t>АПд – суммарный размер арендной платы по действующим договорам, тыс. руб.,</w:t>
      </w:r>
    </w:p>
    <w:p w:rsidR="005D6ACF" w:rsidRPr="00F35DC1" w:rsidRDefault="005D6ACF" w:rsidP="005D6ACF">
      <w:pPr>
        <w:ind w:firstLine="709"/>
        <w:jc w:val="both"/>
        <w:rPr>
          <w:sz w:val="28"/>
          <w:szCs w:val="28"/>
        </w:rPr>
      </w:pPr>
      <w:r w:rsidRPr="00F35DC1">
        <w:rPr>
          <w:sz w:val="28"/>
          <w:szCs w:val="28"/>
        </w:rPr>
        <w:t>АПп – суммарный размер арендной платы по договорам, планируемым к заключению, тыс. руб.,</w:t>
      </w:r>
    </w:p>
    <w:p w:rsidR="005D6ACF" w:rsidRPr="00F35DC1" w:rsidRDefault="005D6ACF" w:rsidP="005D6ACF">
      <w:pPr>
        <w:ind w:firstLine="709"/>
        <w:jc w:val="both"/>
        <w:rPr>
          <w:sz w:val="28"/>
          <w:szCs w:val="28"/>
        </w:rPr>
      </w:pPr>
      <w:r w:rsidRPr="00F35DC1">
        <w:rPr>
          <w:sz w:val="28"/>
          <w:szCs w:val="28"/>
        </w:rPr>
        <w:t>СД – собираемость доходов, принимаемая как среднее арифметическое значение аналогичных показателей за три года, предшествующих текущему финансовому году, %,</w:t>
      </w:r>
    </w:p>
    <w:p w:rsidR="005D6ACF" w:rsidRPr="00F35DC1" w:rsidRDefault="005D6ACF" w:rsidP="005D6ACF">
      <w:pPr>
        <w:ind w:firstLine="709"/>
        <w:jc w:val="both"/>
        <w:rPr>
          <w:sz w:val="28"/>
          <w:szCs w:val="28"/>
        </w:rPr>
      </w:pPr>
      <w:r w:rsidRPr="00F35DC1">
        <w:rPr>
          <w:sz w:val="28"/>
          <w:szCs w:val="28"/>
        </w:rPr>
        <w:t>Пз – погашение задолженности прошлых периодов.</w:t>
      </w:r>
    </w:p>
    <w:p w:rsidR="005D6ACF" w:rsidRPr="00F35DC1" w:rsidRDefault="005D6ACF" w:rsidP="005D6ACF">
      <w:pPr>
        <w:ind w:firstLine="709"/>
        <w:jc w:val="both"/>
        <w:rPr>
          <w:sz w:val="28"/>
          <w:szCs w:val="28"/>
        </w:rPr>
      </w:pPr>
      <w:r w:rsidRPr="00F35DC1">
        <w:rPr>
          <w:b/>
          <w:sz w:val="28"/>
          <w:szCs w:val="28"/>
        </w:rPr>
        <w:t>АПд</w:t>
      </w:r>
      <w:r w:rsidRPr="00F35DC1">
        <w:rPr>
          <w:sz w:val="28"/>
          <w:szCs w:val="28"/>
        </w:rPr>
        <w:t xml:space="preserve"> включает в себя:</w:t>
      </w:r>
    </w:p>
    <w:p w:rsidR="005D6ACF" w:rsidRPr="00F63780" w:rsidRDefault="005D6ACF" w:rsidP="005D6ACF">
      <w:pPr>
        <w:ind w:firstLine="709"/>
        <w:jc w:val="both"/>
        <w:rPr>
          <w:sz w:val="28"/>
          <w:szCs w:val="28"/>
        </w:rPr>
      </w:pPr>
      <w:r w:rsidRPr="00F63780">
        <w:rPr>
          <w:sz w:val="28"/>
          <w:szCs w:val="28"/>
        </w:rPr>
        <w:t>1) суммарный размер арендной платы за пользование земельными участками по действующим договорам, в случае их предоставления без проведения торгов.</w:t>
      </w:r>
    </w:p>
    <w:p w:rsidR="005D6ACF" w:rsidRPr="00F63780" w:rsidRDefault="005D6ACF" w:rsidP="005D6ACF">
      <w:pPr>
        <w:ind w:firstLine="709"/>
        <w:jc w:val="both"/>
        <w:rPr>
          <w:sz w:val="28"/>
          <w:szCs w:val="28"/>
        </w:rPr>
      </w:pPr>
      <w:r w:rsidRPr="00F63780">
        <w:rPr>
          <w:sz w:val="28"/>
          <w:szCs w:val="28"/>
        </w:rPr>
        <w:t>Расчет размера арендной платы за пользование земельными участками, в случае их предоставления без проведения торгов, производится в соответствии с Порядком определения размера арендной платы за земельные участки из категории земель сельскохозяйственного назначения, находящиеся в собственности Тверской области, и земельные участки, государственная собственность на которые не разграничена, и предоставленные в аренду без торгов, утверждённым Постановлением Правительства Тверской области от 30.05.2020 № 250-пп (далее – Порядок).</w:t>
      </w:r>
    </w:p>
    <w:p w:rsidR="005D6ACF" w:rsidRPr="00F63780" w:rsidRDefault="005D6ACF" w:rsidP="005D6ACF">
      <w:pPr>
        <w:ind w:firstLine="709"/>
        <w:jc w:val="both"/>
        <w:rPr>
          <w:sz w:val="28"/>
          <w:szCs w:val="28"/>
        </w:rPr>
      </w:pPr>
      <w:r w:rsidRPr="00F63780">
        <w:rPr>
          <w:sz w:val="28"/>
          <w:szCs w:val="28"/>
        </w:rPr>
        <w:t>В соответствии с подпунктом 11 пункта 14 раздела II Порядка годовой размер арендной платы за земельный участок устанавливается равным земельному налогу, рассчитанному в отношении такого земельного участка, в случае заключения договора аренды земельного участка сельскохозяйственного назначения, находящегося в государственной собственности Тверской области.</w:t>
      </w:r>
    </w:p>
    <w:p w:rsidR="005D6ACF" w:rsidRPr="00F63780" w:rsidRDefault="005D6ACF" w:rsidP="005D6ACF">
      <w:pPr>
        <w:ind w:firstLine="709"/>
        <w:jc w:val="both"/>
        <w:rPr>
          <w:sz w:val="28"/>
          <w:szCs w:val="28"/>
        </w:rPr>
      </w:pPr>
      <w:r w:rsidRPr="00F63780">
        <w:rPr>
          <w:sz w:val="28"/>
          <w:szCs w:val="28"/>
        </w:rPr>
        <w:t>Суммарный размер арендной платы за пользование земельными участками, в случае их предоставления без проведения торгов на 2021 год составил 1 059,8 тыс. руб. по 96 лицевым счетам плательщиков по договорам аренды, заключенным в отношении 445 земельных участков общей площадью 12 649,26 га.</w:t>
      </w:r>
    </w:p>
    <w:p w:rsidR="005D6ACF" w:rsidRPr="00F63780" w:rsidRDefault="005D6ACF" w:rsidP="005D6ACF">
      <w:pPr>
        <w:ind w:firstLine="709"/>
        <w:jc w:val="both"/>
        <w:rPr>
          <w:sz w:val="28"/>
          <w:szCs w:val="28"/>
        </w:rPr>
      </w:pPr>
      <w:r w:rsidRPr="00F63780">
        <w:rPr>
          <w:sz w:val="28"/>
          <w:szCs w:val="28"/>
        </w:rPr>
        <w:t>Суммарный размер арендной платы за пользование земельными участками, в случае их предоставления без проведения торгов:</w:t>
      </w:r>
    </w:p>
    <w:p w:rsidR="005D6ACF" w:rsidRPr="00F63780" w:rsidRDefault="005D6ACF" w:rsidP="005D6ACF">
      <w:pPr>
        <w:ind w:firstLine="709"/>
        <w:jc w:val="both"/>
        <w:rPr>
          <w:sz w:val="28"/>
          <w:szCs w:val="28"/>
        </w:rPr>
      </w:pPr>
      <w:r w:rsidRPr="00F63780">
        <w:rPr>
          <w:sz w:val="28"/>
          <w:szCs w:val="28"/>
        </w:rPr>
        <w:t>- на 2022 год составил 1 120,1 тыс. руб. по 95 лицевым счетам плательщиков по договорам аренды, заключенным в отношении 442 земельных участков общей площадью 12 599,43 га;</w:t>
      </w:r>
    </w:p>
    <w:p w:rsidR="005D6ACF" w:rsidRPr="00F63780" w:rsidRDefault="005D6ACF" w:rsidP="005D6ACF">
      <w:pPr>
        <w:ind w:firstLine="709"/>
        <w:jc w:val="both"/>
        <w:rPr>
          <w:sz w:val="28"/>
          <w:szCs w:val="28"/>
        </w:rPr>
      </w:pPr>
      <w:r w:rsidRPr="00F63780">
        <w:rPr>
          <w:sz w:val="28"/>
          <w:szCs w:val="28"/>
        </w:rPr>
        <w:t>- на 2023 год составил 1 120,1 тыс. руб. по 95 лицевым счетам плательщиков по договорам аренды, заключенным в отношении 442 земельных участков общей площадью 12 599,43 га;</w:t>
      </w:r>
    </w:p>
    <w:p w:rsidR="005D6ACF" w:rsidRPr="00F63780" w:rsidRDefault="005D6ACF" w:rsidP="005D6ACF">
      <w:pPr>
        <w:ind w:firstLine="709"/>
        <w:jc w:val="both"/>
        <w:rPr>
          <w:sz w:val="28"/>
          <w:szCs w:val="28"/>
        </w:rPr>
      </w:pPr>
      <w:r w:rsidRPr="00F63780">
        <w:rPr>
          <w:sz w:val="28"/>
          <w:szCs w:val="28"/>
        </w:rPr>
        <w:t>- на 2024 год составил 1 120,1 тыс. руб. по 95 лицевым счетам плательщиков по договорам аренды, заключенным в отношении 442 земельных участков общей площадью 12 599,43 га;</w:t>
      </w:r>
    </w:p>
    <w:p w:rsidR="005D6ACF" w:rsidRPr="00F63780" w:rsidRDefault="005D6ACF" w:rsidP="005D6ACF">
      <w:pPr>
        <w:ind w:firstLine="709"/>
        <w:jc w:val="both"/>
        <w:rPr>
          <w:sz w:val="28"/>
          <w:szCs w:val="28"/>
        </w:rPr>
      </w:pPr>
      <w:r w:rsidRPr="00F63780">
        <w:rPr>
          <w:sz w:val="28"/>
          <w:szCs w:val="28"/>
        </w:rPr>
        <w:lastRenderedPageBreak/>
        <w:t>2) суммарный размер арендной платы за пользование земельными участками по действующим договорам, в случае их предоставления на торгах.</w:t>
      </w:r>
    </w:p>
    <w:p w:rsidR="005D6ACF" w:rsidRPr="00F63780" w:rsidRDefault="005D6ACF" w:rsidP="005D6ACF">
      <w:pPr>
        <w:ind w:firstLine="709"/>
        <w:jc w:val="both"/>
        <w:rPr>
          <w:sz w:val="28"/>
          <w:szCs w:val="28"/>
        </w:rPr>
      </w:pPr>
      <w:r w:rsidRPr="00F63780">
        <w:rPr>
          <w:sz w:val="28"/>
          <w:szCs w:val="28"/>
        </w:rPr>
        <w:t>Размер арендной платы по договорам аренды земельных участков, заключенных по результатам торгов, определяется в соответствии с протоколом о результатах аукциона на право заключения договора аренды.</w:t>
      </w:r>
    </w:p>
    <w:p w:rsidR="005D6ACF" w:rsidRPr="00F63780" w:rsidRDefault="005D6ACF" w:rsidP="005D6ACF">
      <w:pPr>
        <w:ind w:firstLine="709"/>
        <w:jc w:val="both"/>
        <w:rPr>
          <w:sz w:val="28"/>
          <w:szCs w:val="28"/>
        </w:rPr>
      </w:pPr>
      <w:r w:rsidRPr="00F63780">
        <w:rPr>
          <w:sz w:val="28"/>
          <w:szCs w:val="28"/>
        </w:rPr>
        <w:t>В соответствии с условиями договоров аренды земельных участков, заключенных по результатам торгов, Арендодатель в бесспорном и одностороннем порядке вправе изменить размер арендной платы в случае изменения коэффициента инфляции.</w:t>
      </w:r>
    </w:p>
    <w:p w:rsidR="005D6ACF" w:rsidRPr="00F63780" w:rsidRDefault="005D6ACF" w:rsidP="005D6ACF">
      <w:pPr>
        <w:ind w:firstLine="709"/>
        <w:jc w:val="both"/>
        <w:rPr>
          <w:sz w:val="28"/>
          <w:szCs w:val="28"/>
        </w:rPr>
      </w:pPr>
      <w:r w:rsidRPr="00F63780">
        <w:rPr>
          <w:sz w:val="28"/>
          <w:szCs w:val="28"/>
        </w:rPr>
        <w:t xml:space="preserve">В соответствии с Методикой определения и расчета арендной платы за пользование имуществом, находящимся в государственной собственности Тверской области, утвержденной Постановлением Законодательного Собрания Тверской области от 24.06.2004 № 965-П-3 (далее – Методика), коэффициент инфляции определяется в соответствии с прогнозируемым уровнем инфляции, предусмотренным федеральным законом о федеральном бюджете на очередной финансовый год и плановый период по состоянию на начало очередного финансового года, который применяется ежегодно, за исключением года, в котором был заключен договор аренды. </w:t>
      </w:r>
    </w:p>
    <w:p w:rsidR="005D6ACF" w:rsidRPr="00F63780" w:rsidRDefault="005D6ACF" w:rsidP="005D6ACF">
      <w:pPr>
        <w:autoSpaceDE w:val="0"/>
        <w:autoSpaceDN w:val="0"/>
        <w:adjustRightInd w:val="0"/>
        <w:ind w:firstLine="709"/>
        <w:jc w:val="both"/>
        <w:rPr>
          <w:sz w:val="28"/>
          <w:szCs w:val="28"/>
        </w:rPr>
      </w:pPr>
      <w:r w:rsidRPr="00F63780">
        <w:rPr>
          <w:sz w:val="28"/>
          <w:szCs w:val="28"/>
        </w:rPr>
        <w:t>В соответствии федеральным законом от 08.12.2020 № 385-ФЗ «О федеральном бюджете на 2021 год и на плановый период 2022 и 2023 годов» уровень инфляции на 2021 год составляет 103,7% (декабрь 2021 года к декабрю 2020 года).</w:t>
      </w:r>
    </w:p>
    <w:p w:rsidR="005D6ACF" w:rsidRPr="00F63780" w:rsidRDefault="005D6ACF" w:rsidP="005D6ACF">
      <w:pPr>
        <w:ind w:firstLine="709"/>
        <w:jc w:val="both"/>
        <w:rPr>
          <w:sz w:val="28"/>
          <w:szCs w:val="28"/>
        </w:rPr>
      </w:pPr>
      <w:r w:rsidRPr="00F63780">
        <w:rPr>
          <w:sz w:val="28"/>
          <w:szCs w:val="28"/>
        </w:rPr>
        <w:t>Согласно письму Министерства экономического развития Тверской области от 18.05.2021 № 2514 прогноз показателя инфляции (базовый вариант ИПЦ) к декабрю предыдущего года составляет в 2022 году 104%, в 2023 году – 104%, в 2024 году – 104%.</w:t>
      </w:r>
    </w:p>
    <w:p w:rsidR="005D6ACF" w:rsidRPr="00F63780" w:rsidRDefault="005D6ACF" w:rsidP="005D6ACF">
      <w:pPr>
        <w:ind w:firstLine="709"/>
        <w:jc w:val="both"/>
        <w:rPr>
          <w:sz w:val="28"/>
          <w:szCs w:val="28"/>
        </w:rPr>
      </w:pPr>
      <w:r w:rsidRPr="00F63780">
        <w:rPr>
          <w:sz w:val="28"/>
          <w:szCs w:val="28"/>
        </w:rPr>
        <w:t>Суммарный размер арендной платы за пользование земельными участками, в случае их предоставления на торгах, с учетом ежегодной индексации арендной платы:</w:t>
      </w:r>
    </w:p>
    <w:p w:rsidR="005D6ACF" w:rsidRPr="00F63780" w:rsidRDefault="005D6ACF" w:rsidP="005D6ACF">
      <w:pPr>
        <w:widowControl w:val="0"/>
        <w:autoSpaceDE w:val="0"/>
        <w:autoSpaceDN w:val="0"/>
        <w:adjustRightInd w:val="0"/>
        <w:ind w:firstLine="709"/>
        <w:jc w:val="both"/>
        <w:rPr>
          <w:sz w:val="28"/>
          <w:szCs w:val="28"/>
        </w:rPr>
      </w:pPr>
      <w:r w:rsidRPr="00F63780">
        <w:rPr>
          <w:sz w:val="28"/>
          <w:szCs w:val="28"/>
        </w:rPr>
        <w:t>- на 2021 год составил 3 367,5 тыс. руб. по 112 лицевым счетам плательщиков по  договорам аренды, заключенным в отношении 112 земельных участков общей площадью 3 068,95 га;</w:t>
      </w:r>
    </w:p>
    <w:p w:rsidR="005D6ACF" w:rsidRPr="00F63780" w:rsidRDefault="005D6ACF" w:rsidP="005D6ACF">
      <w:pPr>
        <w:widowControl w:val="0"/>
        <w:autoSpaceDE w:val="0"/>
        <w:autoSpaceDN w:val="0"/>
        <w:adjustRightInd w:val="0"/>
        <w:ind w:firstLine="709"/>
        <w:jc w:val="both"/>
        <w:rPr>
          <w:sz w:val="28"/>
          <w:szCs w:val="28"/>
        </w:rPr>
      </w:pPr>
      <w:r w:rsidRPr="00F63780">
        <w:rPr>
          <w:sz w:val="28"/>
          <w:szCs w:val="28"/>
        </w:rPr>
        <w:t>- на 2022 год составил 3 503,4 тыс. руб. по 112 лицевым счетам плательщиков по договорам аренды, заключенным в отношении 112 земельных участков общей площадью 3 068,95 га;</w:t>
      </w:r>
    </w:p>
    <w:p w:rsidR="005D6ACF" w:rsidRPr="00F63780" w:rsidRDefault="005D6ACF" w:rsidP="005D6ACF">
      <w:pPr>
        <w:widowControl w:val="0"/>
        <w:autoSpaceDE w:val="0"/>
        <w:autoSpaceDN w:val="0"/>
        <w:adjustRightInd w:val="0"/>
        <w:ind w:firstLine="709"/>
        <w:jc w:val="both"/>
        <w:rPr>
          <w:sz w:val="28"/>
          <w:szCs w:val="28"/>
        </w:rPr>
      </w:pPr>
      <w:r w:rsidRPr="00F63780">
        <w:rPr>
          <w:sz w:val="28"/>
          <w:szCs w:val="28"/>
        </w:rPr>
        <w:t>- на 2023 год составил 3 643,6 тыс. руб. по 112 лицевым счетам плательщиков по договорам аренды, заключенным в отношении 112 земельных участков общей площадью 3 068,95 га;</w:t>
      </w:r>
    </w:p>
    <w:p w:rsidR="005D6ACF" w:rsidRPr="00F63780" w:rsidRDefault="005D6ACF" w:rsidP="005D6ACF">
      <w:pPr>
        <w:widowControl w:val="0"/>
        <w:autoSpaceDE w:val="0"/>
        <w:autoSpaceDN w:val="0"/>
        <w:adjustRightInd w:val="0"/>
        <w:ind w:firstLine="709"/>
        <w:jc w:val="both"/>
        <w:rPr>
          <w:sz w:val="28"/>
          <w:szCs w:val="28"/>
        </w:rPr>
      </w:pPr>
      <w:r w:rsidRPr="00F63780">
        <w:rPr>
          <w:sz w:val="28"/>
          <w:szCs w:val="28"/>
        </w:rPr>
        <w:t>- на 2024 год составил 3 789,3 тыс. руб. по 112 лицевым счетам плательщиков по договорам аренды, заключенным в отношении 112 земельных участков общей площадью 3 068,95 га.</w:t>
      </w:r>
    </w:p>
    <w:p w:rsidR="005D6ACF" w:rsidRPr="00F63780" w:rsidRDefault="005D6ACF" w:rsidP="005D6ACF">
      <w:pPr>
        <w:widowControl w:val="0"/>
        <w:autoSpaceDE w:val="0"/>
        <w:autoSpaceDN w:val="0"/>
        <w:adjustRightInd w:val="0"/>
        <w:ind w:firstLine="709"/>
        <w:jc w:val="both"/>
        <w:rPr>
          <w:sz w:val="28"/>
          <w:szCs w:val="28"/>
        </w:rPr>
      </w:pPr>
      <w:r w:rsidRPr="00F63780">
        <w:rPr>
          <w:sz w:val="28"/>
          <w:szCs w:val="28"/>
        </w:rPr>
        <w:t xml:space="preserve">В связи с тем, что расчеты арендной платы за пользование землями сельскохозяйственного назначения производятся с применением разных методик, в формуле расчете прогноза суммируются фактические начисления </w:t>
      </w:r>
      <w:r w:rsidRPr="00F63780">
        <w:rPr>
          <w:sz w:val="28"/>
          <w:szCs w:val="28"/>
        </w:rPr>
        <w:lastRenderedPageBreak/>
        <w:t>арендной платы на текущий финансовый год по действующим договорам земельных участков, в случае их предоставления на торгах и без проведения торгов (АПд).</w:t>
      </w:r>
    </w:p>
    <w:p w:rsidR="005D6ACF" w:rsidRPr="00F63780" w:rsidRDefault="005D6ACF" w:rsidP="005D6ACF">
      <w:pPr>
        <w:widowControl w:val="0"/>
        <w:autoSpaceDE w:val="0"/>
        <w:autoSpaceDN w:val="0"/>
        <w:adjustRightInd w:val="0"/>
        <w:ind w:firstLine="709"/>
        <w:jc w:val="both"/>
        <w:rPr>
          <w:sz w:val="28"/>
          <w:szCs w:val="28"/>
        </w:rPr>
      </w:pPr>
      <w:r w:rsidRPr="00F63780">
        <w:rPr>
          <w:sz w:val="28"/>
          <w:szCs w:val="28"/>
        </w:rPr>
        <w:t>Общий суммарный размер арендной платы по действующим договорам аренды земельных участков сельскохозяйственного назначения, находящихся в государственной собственности Тверской области:</w:t>
      </w:r>
    </w:p>
    <w:p w:rsidR="005D6ACF" w:rsidRPr="00F63780" w:rsidRDefault="005D6ACF" w:rsidP="005D6ACF">
      <w:pPr>
        <w:widowControl w:val="0"/>
        <w:autoSpaceDE w:val="0"/>
        <w:autoSpaceDN w:val="0"/>
        <w:adjustRightInd w:val="0"/>
        <w:ind w:firstLine="709"/>
        <w:jc w:val="both"/>
        <w:rPr>
          <w:sz w:val="28"/>
          <w:szCs w:val="28"/>
        </w:rPr>
      </w:pPr>
      <w:r w:rsidRPr="00F63780">
        <w:rPr>
          <w:sz w:val="28"/>
          <w:szCs w:val="28"/>
        </w:rPr>
        <w:t>- на 2022 год составил 4 623,5 тыс. руб. по 207 лицевым счетам плательщиков по договорам аренды, заключенным в отношении 554 земельных участков общей площадью 15 668,38 га;</w:t>
      </w:r>
    </w:p>
    <w:p w:rsidR="005D6ACF" w:rsidRPr="00F63780" w:rsidRDefault="005D6ACF" w:rsidP="005D6ACF">
      <w:pPr>
        <w:widowControl w:val="0"/>
        <w:autoSpaceDE w:val="0"/>
        <w:autoSpaceDN w:val="0"/>
        <w:adjustRightInd w:val="0"/>
        <w:ind w:firstLine="709"/>
        <w:jc w:val="both"/>
        <w:rPr>
          <w:sz w:val="28"/>
          <w:szCs w:val="28"/>
        </w:rPr>
      </w:pPr>
      <w:r w:rsidRPr="00F63780">
        <w:rPr>
          <w:sz w:val="28"/>
          <w:szCs w:val="28"/>
        </w:rPr>
        <w:t>- на 2023 год составил 4 763,7 тыс. руб. по 207 договорам аренды, заключенным в отношении 554 земельных участков общей площадью 15 668,38 га;</w:t>
      </w:r>
    </w:p>
    <w:p w:rsidR="005D6ACF" w:rsidRPr="00F63780" w:rsidRDefault="005D6ACF" w:rsidP="005D6ACF">
      <w:pPr>
        <w:widowControl w:val="0"/>
        <w:autoSpaceDE w:val="0"/>
        <w:autoSpaceDN w:val="0"/>
        <w:adjustRightInd w:val="0"/>
        <w:ind w:firstLine="709"/>
        <w:jc w:val="both"/>
        <w:rPr>
          <w:sz w:val="28"/>
          <w:szCs w:val="28"/>
        </w:rPr>
      </w:pPr>
      <w:r w:rsidRPr="00F63780">
        <w:rPr>
          <w:sz w:val="28"/>
          <w:szCs w:val="28"/>
        </w:rPr>
        <w:t>- на 2024 год составил 4 909,4 тыс. руб. по 207 договорам аренды, заключенным в отношении 554 земельных участков общей площадью 15 668,38 га.</w:t>
      </w:r>
    </w:p>
    <w:p w:rsidR="005D6ACF" w:rsidRPr="00F63780" w:rsidRDefault="005D6ACF" w:rsidP="005D6ACF">
      <w:pPr>
        <w:widowControl w:val="0"/>
        <w:autoSpaceDE w:val="0"/>
        <w:autoSpaceDN w:val="0"/>
        <w:adjustRightInd w:val="0"/>
        <w:ind w:firstLine="709"/>
        <w:jc w:val="both"/>
        <w:rPr>
          <w:sz w:val="28"/>
          <w:szCs w:val="28"/>
        </w:rPr>
      </w:pPr>
      <w:r w:rsidRPr="00F63780">
        <w:rPr>
          <w:b/>
          <w:sz w:val="28"/>
          <w:szCs w:val="28"/>
        </w:rPr>
        <w:t xml:space="preserve">АПп </w:t>
      </w:r>
      <w:r w:rsidRPr="00F63780">
        <w:rPr>
          <w:sz w:val="28"/>
          <w:szCs w:val="28"/>
        </w:rPr>
        <w:t>– суммарный размер арендной платы по договорам, планируемым к заключению.</w:t>
      </w:r>
    </w:p>
    <w:p w:rsidR="005D6ACF" w:rsidRPr="00F63780" w:rsidRDefault="005D6ACF" w:rsidP="005D6ACF">
      <w:pPr>
        <w:ind w:firstLine="709"/>
        <w:jc w:val="both"/>
        <w:rPr>
          <w:sz w:val="28"/>
          <w:szCs w:val="28"/>
        </w:rPr>
      </w:pPr>
      <w:r w:rsidRPr="00F63780">
        <w:rPr>
          <w:sz w:val="28"/>
          <w:szCs w:val="28"/>
        </w:rPr>
        <w:t>На момент составления прогноза поступлений по данному доходному источнику заявления о предоставлении земельных участков в аренду, в отношении которых принято положительное решение, в адрес Министерства не поступали.</w:t>
      </w:r>
    </w:p>
    <w:p w:rsidR="005D6ACF" w:rsidRPr="00F63780" w:rsidRDefault="005D6ACF" w:rsidP="005D6ACF">
      <w:pPr>
        <w:widowControl w:val="0"/>
        <w:autoSpaceDE w:val="0"/>
        <w:autoSpaceDN w:val="0"/>
        <w:adjustRightInd w:val="0"/>
        <w:ind w:firstLine="709"/>
        <w:jc w:val="both"/>
        <w:rPr>
          <w:sz w:val="28"/>
          <w:szCs w:val="28"/>
        </w:rPr>
      </w:pPr>
      <w:r w:rsidRPr="00F63780">
        <w:rPr>
          <w:b/>
          <w:sz w:val="28"/>
          <w:szCs w:val="28"/>
        </w:rPr>
        <w:t>СД</w:t>
      </w:r>
      <w:r w:rsidRPr="00F63780">
        <w:rPr>
          <w:sz w:val="28"/>
          <w:szCs w:val="28"/>
        </w:rPr>
        <w:t xml:space="preserve"> - собираемость доходов (в %), принимаемая как среднее арифметическое значение аналогичных показателей за три года, предшествующих текущему финансовому году, рассчитывается следующим образом.</w:t>
      </w:r>
    </w:p>
    <w:p w:rsidR="005D6ACF" w:rsidRPr="00F63780" w:rsidRDefault="005D6ACF" w:rsidP="005D6ACF">
      <w:pPr>
        <w:widowControl w:val="0"/>
        <w:autoSpaceDE w:val="0"/>
        <w:autoSpaceDN w:val="0"/>
        <w:adjustRightInd w:val="0"/>
        <w:ind w:firstLine="709"/>
        <w:jc w:val="both"/>
        <w:rPr>
          <w:sz w:val="28"/>
          <w:szCs w:val="28"/>
        </w:rPr>
      </w:pPr>
      <w:r w:rsidRPr="00F63780">
        <w:rPr>
          <w:sz w:val="28"/>
          <w:szCs w:val="28"/>
        </w:rPr>
        <w:t xml:space="preserve">Показатель собираемости доходов в виде арендной платы за пользование земельными участками сельскохозяйственного назначения, находящимися в государственной собственности Тверской области, рассчитывался исходя из начислений арендной платы на 2018 - 2020 годы и перечислений плательщиками денежных средств в счет уплаты арендной платы за соответствующий период по данному виду доходов и составил 72% ((83%+84%+50%)/3=72%). </w:t>
      </w:r>
    </w:p>
    <w:p w:rsidR="005D6ACF" w:rsidRPr="00F63780" w:rsidRDefault="005D6ACF" w:rsidP="005D6ACF">
      <w:pPr>
        <w:widowControl w:val="0"/>
        <w:autoSpaceDE w:val="0"/>
        <w:autoSpaceDN w:val="0"/>
        <w:adjustRightInd w:val="0"/>
        <w:ind w:firstLine="709"/>
        <w:jc w:val="both"/>
        <w:rPr>
          <w:sz w:val="28"/>
          <w:szCs w:val="28"/>
        </w:rPr>
      </w:pPr>
      <w:r w:rsidRPr="00F63780">
        <w:rPr>
          <w:sz w:val="28"/>
          <w:szCs w:val="28"/>
        </w:rPr>
        <w:t>В 2018 году начисления арендной платы составили 7 522,8 тыс. руб., перечисления по уплате арендной платы составили 6 246,3 тыс. руб. (83%).</w:t>
      </w:r>
    </w:p>
    <w:p w:rsidR="005D6ACF" w:rsidRPr="00F63780" w:rsidRDefault="005D6ACF" w:rsidP="005D6ACF">
      <w:pPr>
        <w:widowControl w:val="0"/>
        <w:autoSpaceDE w:val="0"/>
        <w:autoSpaceDN w:val="0"/>
        <w:adjustRightInd w:val="0"/>
        <w:ind w:firstLine="709"/>
        <w:jc w:val="both"/>
        <w:rPr>
          <w:sz w:val="28"/>
          <w:szCs w:val="28"/>
        </w:rPr>
      </w:pPr>
      <w:r w:rsidRPr="00F63780">
        <w:rPr>
          <w:sz w:val="28"/>
          <w:szCs w:val="28"/>
        </w:rPr>
        <w:t>В 2019 году начисления арендной платы составили 7 429,6 тыс. руб., перечисления по уплате арендной платы составили 6 250,6 тыс. руб.(84%).</w:t>
      </w:r>
    </w:p>
    <w:p w:rsidR="005D6ACF" w:rsidRPr="00F63780" w:rsidRDefault="005D6ACF" w:rsidP="005D6ACF">
      <w:pPr>
        <w:widowControl w:val="0"/>
        <w:autoSpaceDE w:val="0"/>
        <w:autoSpaceDN w:val="0"/>
        <w:adjustRightInd w:val="0"/>
        <w:ind w:firstLine="709"/>
        <w:jc w:val="both"/>
        <w:rPr>
          <w:sz w:val="28"/>
          <w:szCs w:val="28"/>
        </w:rPr>
      </w:pPr>
      <w:r w:rsidRPr="00F63780">
        <w:rPr>
          <w:sz w:val="28"/>
          <w:szCs w:val="28"/>
        </w:rPr>
        <w:t>В 2020 году начисления арендной платы составили 5 963,9 тыс. руб., перечисления по уплате арендной платы составили 2 998,6 тыс. руб.(50%).</w:t>
      </w:r>
    </w:p>
    <w:p w:rsidR="005D6ACF" w:rsidRPr="00F63780" w:rsidRDefault="005D6ACF" w:rsidP="005D6ACF">
      <w:pPr>
        <w:widowControl w:val="0"/>
        <w:autoSpaceDE w:val="0"/>
        <w:autoSpaceDN w:val="0"/>
        <w:adjustRightInd w:val="0"/>
        <w:ind w:firstLine="709"/>
        <w:jc w:val="both"/>
        <w:rPr>
          <w:sz w:val="28"/>
          <w:szCs w:val="28"/>
        </w:rPr>
      </w:pPr>
      <w:r w:rsidRPr="00F63780">
        <w:rPr>
          <w:sz w:val="28"/>
          <w:szCs w:val="28"/>
        </w:rPr>
        <w:t>Процент собираемости доходов применен к размеру арендной платы, начисленному на 2021-2024 годы.</w:t>
      </w:r>
    </w:p>
    <w:p w:rsidR="005D6ACF" w:rsidRPr="00F63780" w:rsidRDefault="005D6ACF" w:rsidP="005D6ACF">
      <w:pPr>
        <w:widowControl w:val="0"/>
        <w:autoSpaceDE w:val="0"/>
        <w:autoSpaceDN w:val="0"/>
        <w:adjustRightInd w:val="0"/>
        <w:ind w:firstLine="709"/>
        <w:jc w:val="both"/>
        <w:rPr>
          <w:sz w:val="28"/>
          <w:szCs w:val="28"/>
        </w:rPr>
      </w:pPr>
      <w:r w:rsidRPr="00F63780">
        <w:rPr>
          <w:b/>
          <w:sz w:val="28"/>
          <w:szCs w:val="28"/>
        </w:rPr>
        <w:t>Пз</w:t>
      </w:r>
      <w:r w:rsidRPr="00F63780">
        <w:rPr>
          <w:sz w:val="28"/>
          <w:szCs w:val="28"/>
        </w:rPr>
        <w:t xml:space="preserve"> - на 2021 год запланировано поступление денежных средств в размере </w:t>
      </w:r>
      <w:r w:rsidRPr="00F63780">
        <w:rPr>
          <w:b/>
          <w:sz w:val="28"/>
          <w:szCs w:val="28"/>
        </w:rPr>
        <w:t>1 905,2</w:t>
      </w:r>
      <w:r w:rsidRPr="00F63780">
        <w:rPr>
          <w:sz w:val="28"/>
          <w:szCs w:val="28"/>
        </w:rPr>
        <w:t xml:space="preserve"> тыс. руб. в счет уплаты задолженности прошлых лет.</w:t>
      </w:r>
    </w:p>
    <w:p w:rsidR="005D6ACF" w:rsidRPr="00F63780" w:rsidRDefault="005D6ACF" w:rsidP="005D6ACF">
      <w:pPr>
        <w:widowControl w:val="0"/>
        <w:autoSpaceDE w:val="0"/>
        <w:autoSpaceDN w:val="0"/>
        <w:adjustRightInd w:val="0"/>
        <w:ind w:firstLine="709"/>
        <w:jc w:val="both"/>
        <w:rPr>
          <w:sz w:val="28"/>
          <w:szCs w:val="28"/>
        </w:rPr>
      </w:pPr>
      <w:r w:rsidRPr="00F63780">
        <w:rPr>
          <w:sz w:val="28"/>
          <w:szCs w:val="28"/>
        </w:rPr>
        <w:t xml:space="preserve">При прогнозировании доходов на 2022-2024 годы учитывается сумма задолженности за предшествующий финансовый год по договорам аренды земельных участков, находящихся в государственной собственности </w:t>
      </w:r>
      <w:r w:rsidRPr="00F63780">
        <w:rPr>
          <w:sz w:val="28"/>
          <w:szCs w:val="28"/>
        </w:rPr>
        <w:lastRenderedPageBreak/>
        <w:t>Тверской области, ожидаемая к погашению в текущем финансовом году.</w:t>
      </w:r>
    </w:p>
    <w:p w:rsidR="005D6ACF" w:rsidRPr="00F63780" w:rsidRDefault="005D6ACF" w:rsidP="005D6ACF">
      <w:pPr>
        <w:widowControl w:val="0"/>
        <w:autoSpaceDE w:val="0"/>
        <w:autoSpaceDN w:val="0"/>
        <w:adjustRightInd w:val="0"/>
        <w:ind w:firstLine="709"/>
        <w:jc w:val="both"/>
        <w:rPr>
          <w:sz w:val="28"/>
          <w:szCs w:val="28"/>
        </w:rPr>
      </w:pPr>
      <w:r w:rsidRPr="00F63780">
        <w:rPr>
          <w:sz w:val="28"/>
          <w:szCs w:val="28"/>
        </w:rPr>
        <w:t xml:space="preserve">На 2022 год запланировано поступление денежных средств в размере </w:t>
      </w:r>
      <w:r w:rsidRPr="00F63780">
        <w:rPr>
          <w:b/>
          <w:sz w:val="28"/>
          <w:szCs w:val="28"/>
        </w:rPr>
        <w:t xml:space="preserve">1 239,6 </w:t>
      </w:r>
      <w:r w:rsidRPr="00F63780">
        <w:rPr>
          <w:sz w:val="28"/>
          <w:szCs w:val="28"/>
        </w:rPr>
        <w:t>тыс. руб. в счет уплаты задолженности прошлых лет. Расчет планируемой к поступлению суммы задолженности прошлых лет на 2021 год производился исходя из:</w:t>
      </w:r>
    </w:p>
    <w:p w:rsidR="005D6ACF" w:rsidRPr="00F63780" w:rsidRDefault="005D6ACF" w:rsidP="005D6ACF">
      <w:pPr>
        <w:widowControl w:val="0"/>
        <w:autoSpaceDE w:val="0"/>
        <w:autoSpaceDN w:val="0"/>
        <w:adjustRightInd w:val="0"/>
        <w:ind w:firstLine="709"/>
        <w:jc w:val="both"/>
        <w:rPr>
          <w:sz w:val="28"/>
          <w:szCs w:val="28"/>
        </w:rPr>
      </w:pPr>
      <w:r w:rsidRPr="00F63780">
        <w:rPr>
          <w:sz w:val="28"/>
          <w:szCs w:val="28"/>
        </w:rPr>
        <w:t>- 100% от предполагаемой суммы задолженности за 2021 год (4 427,3 * 28% = 1 239,6 тыс. руб.).</w:t>
      </w:r>
    </w:p>
    <w:p w:rsidR="005D6ACF" w:rsidRPr="00F63780" w:rsidRDefault="005D6ACF" w:rsidP="005D6ACF">
      <w:pPr>
        <w:widowControl w:val="0"/>
        <w:autoSpaceDE w:val="0"/>
        <w:autoSpaceDN w:val="0"/>
        <w:adjustRightInd w:val="0"/>
        <w:ind w:firstLine="709"/>
        <w:jc w:val="both"/>
        <w:rPr>
          <w:sz w:val="28"/>
          <w:szCs w:val="28"/>
        </w:rPr>
      </w:pPr>
      <w:r w:rsidRPr="00F63780">
        <w:rPr>
          <w:sz w:val="28"/>
          <w:szCs w:val="28"/>
        </w:rPr>
        <w:t xml:space="preserve">На 2023 год запланировано поступление денежных средств в счет уплаты задолженности прошлых лет в размере </w:t>
      </w:r>
      <w:r w:rsidRPr="00F63780">
        <w:rPr>
          <w:b/>
          <w:sz w:val="28"/>
          <w:szCs w:val="28"/>
        </w:rPr>
        <w:t xml:space="preserve">1 294,6 </w:t>
      </w:r>
      <w:r w:rsidRPr="00F63780">
        <w:rPr>
          <w:sz w:val="28"/>
          <w:szCs w:val="28"/>
        </w:rPr>
        <w:t>тыс. руб. Расчет планируемой к поступлению суммы задолженности прошлых лет на 2022 год производился исходя из:</w:t>
      </w:r>
    </w:p>
    <w:p w:rsidR="005D6ACF" w:rsidRPr="00F63780" w:rsidRDefault="005D6ACF" w:rsidP="005D6ACF">
      <w:pPr>
        <w:widowControl w:val="0"/>
        <w:autoSpaceDE w:val="0"/>
        <w:autoSpaceDN w:val="0"/>
        <w:adjustRightInd w:val="0"/>
        <w:ind w:firstLine="709"/>
        <w:jc w:val="both"/>
        <w:rPr>
          <w:sz w:val="28"/>
          <w:szCs w:val="28"/>
        </w:rPr>
      </w:pPr>
      <w:r w:rsidRPr="00F63780">
        <w:rPr>
          <w:sz w:val="28"/>
          <w:szCs w:val="28"/>
        </w:rPr>
        <w:t>- 100% от предполагаемой суммы задолженности за 2022 год (4 623,5 *28% =              1 294,6 тыс. руб.).</w:t>
      </w:r>
    </w:p>
    <w:p w:rsidR="005D6ACF" w:rsidRPr="00F63780" w:rsidRDefault="005D6ACF" w:rsidP="005D6ACF">
      <w:pPr>
        <w:widowControl w:val="0"/>
        <w:autoSpaceDE w:val="0"/>
        <w:autoSpaceDN w:val="0"/>
        <w:adjustRightInd w:val="0"/>
        <w:ind w:firstLine="709"/>
        <w:jc w:val="both"/>
        <w:rPr>
          <w:sz w:val="28"/>
          <w:szCs w:val="28"/>
        </w:rPr>
      </w:pPr>
      <w:r w:rsidRPr="00F63780">
        <w:rPr>
          <w:sz w:val="28"/>
          <w:szCs w:val="28"/>
        </w:rPr>
        <w:t xml:space="preserve">На 2024 год запланировано поступление денежных средств в счет уплаты задолженности прошлых лет в размере </w:t>
      </w:r>
      <w:r w:rsidRPr="00F63780">
        <w:rPr>
          <w:b/>
          <w:sz w:val="28"/>
          <w:szCs w:val="28"/>
        </w:rPr>
        <w:t xml:space="preserve">1 333,8 </w:t>
      </w:r>
      <w:r w:rsidRPr="00F63780">
        <w:rPr>
          <w:sz w:val="28"/>
          <w:szCs w:val="28"/>
        </w:rPr>
        <w:t>тыс. руб. Расчет планируемой к поступлению суммы задолженности прошлых лет на 2023 год производился исходя из:</w:t>
      </w:r>
    </w:p>
    <w:p w:rsidR="005D6ACF" w:rsidRPr="00F63780" w:rsidRDefault="005D6ACF" w:rsidP="005D6ACF">
      <w:pPr>
        <w:widowControl w:val="0"/>
        <w:autoSpaceDE w:val="0"/>
        <w:autoSpaceDN w:val="0"/>
        <w:adjustRightInd w:val="0"/>
        <w:ind w:firstLine="709"/>
        <w:jc w:val="both"/>
        <w:rPr>
          <w:sz w:val="28"/>
          <w:szCs w:val="28"/>
        </w:rPr>
      </w:pPr>
      <w:r w:rsidRPr="00F63780">
        <w:rPr>
          <w:sz w:val="28"/>
          <w:szCs w:val="28"/>
        </w:rPr>
        <w:t>- 100% от предполагаемой суммы задолженности за 2023 год (4 763,7 *28% = 1 333,8 тыс. руб.).</w:t>
      </w:r>
    </w:p>
    <w:p w:rsidR="005D6ACF" w:rsidRPr="00F63780" w:rsidRDefault="005D6ACF" w:rsidP="005D6ACF">
      <w:pPr>
        <w:ind w:firstLine="709"/>
        <w:jc w:val="both"/>
        <w:rPr>
          <w:sz w:val="28"/>
          <w:szCs w:val="28"/>
        </w:rPr>
      </w:pPr>
      <w:r w:rsidRPr="00F63780">
        <w:rPr>
          <w:sz w:val="28"/>
          <w:szCs w:val="28"/>
        </w:rPr>
        <w:t xml:space="preserve">Таким образом, ожидаемая оценка доходов на 2021 год составляет </w:t>
      </w:r>
      <w:r w:rsidRPr="00F63780">
        <w:rPr>
          <w:b/>
          <w:sz w:val="28"/>
          <w:szCs w:val="28"/>
        </w:rPr>
        <w:t xml:space="preserve">5 092,9 тыс. руб. </w:t>
      </w:r>
      <w:r w:rsidRPr="00F63780">
        <w:rPr>
          <w:sz w:val="28"/>
          <w:szCs w:val="28"/>
        </w:rPr>
        <w:t>(4 427,3*72%+1 905,2 = 5 092,9 тыс. руб.).</w:t>
      </w:r>
    </w:p>
    <w:p w:rsidR="005D6ACF" w:rsidRPr="00F63780" w:rsidRDefault="005D6ACF" w:rsidP="005D6ACF">
      <w:pPr>
        <w:ind w:firstLine="709"/>
        <w:jc w:val="both"/>
        <w:rPr>
          <w:sz w:val="28"/>
          <w:szCs w:val="28"/>
        </w:rPr>
      </w:pPr>
      <w:r w:rsidRPr="00F63780">
        <w:rPr>
          <w:sz w:val="28"/>
          <w:szCs w:val="28"/>
        </w:rPr>
        <w:t xml:space="preserve">Прогнозный показатель поступлений денежных средств на 2022 год составит </w:t>
      </w:r>
      <w:r w:rsidRPr="00F63780">
        <w:rPr>
          <w:b/>
          <w:sz w:val="28"/>
          <w:szCs w:val="28"/>
        </w:rPr>
        <w:t xml:space="preserve">4 568,5 тыс. руб. </w:t>
      </w:r>
      <w:r w:rsidRPr="00F63780">
        <w:rPr>
          <w:sz w:val="28"/>
          <w:szCs w:val="28"/>
        </w:rPr>
        <w:t xml:space="preserve">(4 623,5 *72% + 1 239,6 = 4 568,5 тыс. руб.). </w:t>
      </w:r>
    </w:p>
    <w:p w:rsidR="005D6ACF" w:rsidRPr="00F63780" w:rsidRDefault="005D6ACF" w:rsidP="005D6ACF">
      <w:pPr>
        <w:ind w:firstLine="709"/>
        <w:jc w:val="both"/>
        <w:rPr>
          <w:sz w:val="28"/>
          <w:szCs w:val="28"/>
        </w:rPr>
      </w:pPr>
      <w:r w:rsidRPr="00F63780">
        <w:rPr>
          <w:sz w:val="28"/>
          <w:szCs w:val="28"/>
        </w:rPr>
        <w:t xml:space="preserve">Прогнозный показатель поступлений денежных средств на 2023 год составит </w:t>
      </w:r>
      <w:r w:rsidRPr="00F63780">
        <w:rPr>
          <w:b/>
          <w:sz w:val="28"/>
          <w:szCs w:val="28"/>
        </w:rPr>
        <w:t>4 724,5 тыс. руб.</w:t>
      </w:r>
      <w:r w:rsidRPr="00F63780">
        <w:rPr>
          <w:sz w:val="28"/>
          <w:szCs w:val="28"/>
        </w:rPr>
        <w:t xml:space="preserve"> (4 763,7 *72% + 1 294,6 = 4 724,5 тыс. руб.).</w:t>
      </w:r>
    </w:p>
    <w:p w:rsidR="005D6ACF" w:rsidRPr="00F63780" w:rsidRDefault="005D6ACF" w:rsidP="005D6ACF">
      <w:pPr>
        <w:ind w:firstLine="709"/>
        <w:jc w:val="both"/>
        <w:rPr>
          <w:sz w:val="28"/>
          <w:szCs w:val="28"/>
        </w:rPr>
      </w:pPr>
      <w:r w:rsidRPr="00F63780">
        <w:rPr>
          <w:sz w:val="28"/>
          <w:szCs w:val="28"/>
        </w:rPr>
        <w:t xml:space="preserve">Прогнозный показатель поступлений денежных средств на 2024 год составит </w:t>
      </w:r>
      <w:r w:rsidRPr="00F63780">
        <w:rPr>
          <w:b/>
          <w:sz w:val="28"/>
          <w:szCs w:val="28"/>
        </w:rPr>
        <w:t>4 868,6 тыс. руб.</w:t>
      </w:r>
      <w:r w:rsidRPr="00F63780">
        <w:rPr>
          <w:sz w:val="28"/>
          <w:szCs w:val="28"/>
        </w:rPr>
        <w:t xml:space="preserve"> (4 909,4*72% + 1 333,8 = 4 868,6 руб.).</w:t>
      </w:r>
    </w:p>
    <w:p w:rsidR="005D6ACF" w:rsidRPr="00F63780" w:rsidRDefault="005D6ACF" w:rsidP="005D6ACF">
      <w:pPr>
        <w:ind w:firstLine="709"/>
        <w:jc w:val="both"/>
        <w:rPr>
          <w:sz w:val="28"/>
          <w:szCs w:val="28"/>
        </w:rPr>
      </w:pPr>
      <w:r w:rsidRPr="00F63780">
        <w:rPr>
          <w:sz w:val="28"/>
          <w:szCs w:val="28"/>
        </w:rPr>
        <w:t>При значении собираемости доходов равном 72% прогнозные показатели поступления доходов, получаемых в виде арендной платы за земли сельскохозяйственного назначения, находящиеся в собственности Тверской области, составят:</w:t>
      </w:r>
    </w:p>
    <w:p w:rsidR="005D6ACF" w:rsidRPr="00F63780" w:rsidRDefault="005D6ACF" w:rsidP="005D6ACF">
      <w:pPr>
        <w:ind w:firstLine="709"/>
        <w:jc w:val="both"/>
        <w:rPr>
          <w:sz w:val="28"/>
          <w:szCs w:val="28"/>
        </w:rPr>
      </w:pPr>
    </w:p>
    <w:p w:rsidR="005D6ACF" w:rsidRPr="00F63780" w:rsidRDefault="005D6ACF" w:rsidP="005D6ACF">
      <w:pPr>
        <w:ind w:firstLine="709"/>
        <w:jc w:val="right"/>
        <w:rPr>
          <w:sz w:val="28"/>
          <w:szCs w:val="28"/>
        </w:rPr>
      </w:pPr>
      <w:r w:rsidRPr="00F63780">
        <w:rPr>
          <w:sz w:val="28"/>
          <w:szCs w:val="28"/>
        </w:rPr>
        <w:t>тыс. руб.</w:t>
      </w:r>
    </w:p>
    <w:tbl>
      <w:tblPr>
        <w:tblW w:w="93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30"/>
        <w:gridCol w:w="3030"/>
        <w:gridCol w:w="3271"/>
      </w:tblGrid>
      <w:tr w:rsidR="005D6ACF" w:rsidRPr="00F63780" w:rsidTr="008A253E">
        <w:trPr>
          <w:trHeight w:val="754"/>
        </w:trPr>
        <w:tc>
          <w:tcPr>
            <w:tcW w:w="3030" w:type="dxa"/>
            <w:tcBorders>
              <w:top w:val="single" w:sz="4" w:space="0" w:color="auto"/>
              <w:left w:val="single" w:sz="4" w:space="0" w:color="auto"/>
              <w:bottom w:val="single" w:sz="4" w:space="0" w:color="auto"/>
              <w:right w:val="single" w:sz="4" w:space="0" w:color="auto"/>
            </w:tcBorders>
            <w:vAlign w:val="center"/>
            <w:hideMark/>
          </w:tcPr>
          <w:p w:rsidR="005D6ACF" w:rsidRPr="00F63780" w:rsidRDefault="005D6ACF" w:rsidP="008A253E">
            <w:pPr>
              <w:jc w:val="center"/>
              <w:rPr>
                <w:sz w:val="28"/>
                <w:szCs w:val="28"/>
              </w:rPr>
            </w:pPr>
            <w:r w:rsidRPr="00F63780">
              <w:rPr>
                <w:sz w:val="28"/>
                <w:szCs w:val="28"/>
              </w:rPr>
              <w:t xml:space="preserve">Прогноз на </w:t>
            </w:r>
          </w:p>
          <w:p w:rsidR="005D6ACF" w:rsidRPr="00F63780" w:rsidRDefault="005D6ACF" w:rsidP="008A253E">
            <w:pPr>
              <w:jc w:val="center"/>
              <w:rPr>
                <w:sz w:val="28"/>
                <w:szCs w:val="28"/>
              </w:rPr>
            </w:pPr>
            <w:r w:rsidRPr="00F63780">
              <w:rPr>
                <w:sz w:val="28"/>
                <w:szCs w:val="28"/>
              </w:rPr>
              <w:t>2022 год</w:t>
            </w:r>
          </w:p>
        </w:tc>
        <w:tc>
          <w:tcPr>
            <w:tcW w:w="3030" w:type="dxa"/>
            <w:tcBorders>
              <w:top w:val="single" w:sz="4" w:space="0" w:color="auto"/>
              <w:left w:val="single" w:sz="4" w:space="0" w:color="auto"/>
              <w:bottom w:val="single" w:sz="4" w:space="0" w:color="auto"/>
              <w:right w:val="single" w:sz="4" w:space="0" w:color="auto"/>
            </w:tcBorders>
            <w:vAlign w:val="center"/>
            <w:hideMark/>
          </w:tcPr>
          <w:p w:rsidR="005D6ACF" w:rsidRPr="00F63780" w:rsidRDefault="005D6ACF" w:rsidP="008A253E">
            <w:pPr>
              <w:jc w:val="center"/>
              <w:rPr>
                <w:sz w:val="28"/>
                <w:szCs w:val="28"/>
              </w:rPr>
            </w:pPr>
            <w:r w:rsidRPr="00F63780">
              <w:rPr>
                <w:sz w:val="28"/>
                <w:szCs w:val="28"/>
              </w:rPr>
              <w:t xml:space="preserve">Прогноз на </w:t>
            </w:r>
          </w:p>
          <w:p w:rsidR="005D6ACF" w:rsidRPr="00F63780" w:rsidRDefault="005D6ACF" w:rsidP="008A253E">
            <w:pPr>
              <w:jc w:val="center"/>
              <w:rPr>
                <w:sz w:val="28"/>
                <w:szCs w:val="28"/>
              </w:rPr>
            </w:pPr>
            <w:r w:rsidRPr="00F63780">
              <w:rPr>
                <w:sz w:val="28"/>
                <w:szCs w:val="28"/>
              </w:rPr>
              <w:t>2023 год</w:t>
            </w:r>
          </w:p>
        </w:tc>
        <w:tc>
          <w:tcPr>
            <w:tcW w:w="3271" w:type="dxa"/>
            <w:tcBorders>
              <w:top w:val="single" w:sz="4" w:space="0" w:color="auto"/>
              <w:left w:val="single" w:sz="4" w:space="0" w:color="auto"/>
              <w:bottom w:val="single" w:sz="4" w:space="0" w:color="auto"/>
              <w:right w:val="single" w:sz="4" w:space="0" w:color="auto"/>
            </w:tcBorders>
            <w:vAlign w:val="center"/>
            <w:hideMark/>
          </w:tcPr>
          <w:p w:rsidR="005D6ACF" w:rsidRPr="00F63780" w:rsidRDefault="005D6ACF" w:rsidP="008A253E">
            <w:pPr>
              <w:jc w:val="center"/>
              <w:rPr>
                <w:sz w:val="28"/>
                <w:szCs w:val="28"/>
              </w:rPr>
            </w:pPr>
            <w:r w:rsidRPr="00F63780">
              <w:rPr>
                <w:sz w:val="28"/>
                <w:szCs w:val="28"/>
              </w:rPr>
              <w:t xml:space="preserve">Прогноз на </w:t>
            </w:r>
          </w:p>
          <w:p w:rsidR="005D6ACF" w:rsidRPr="00F63780" w:rsidRDefault="005D6ACF" w:rsidP="008A253E">
            <w:pPr>
              <w:jc w:val="center"/>
              <w:rPr>
                <w:sz w:val="28"/>
                <w:szCs w:val="28"/>
              </w:rPr>
            </w:pPr>
            <w:r w:rsidRPr="00F63780">
              <w:rPr>
                <w:sz w:val="28"/>
                <w:szCs w:val="28"/>
              </w:rPr>
              <w:t>2024 год</w:t>
            </w:r>
          </w:p>
        </w:tc>
      </w:tr>
      <w:tr w:rsidR="005D6ACF" w:rsidRPr="00F63780" w:rsidTr="008A253E">
        <w:trPr>
          <w:trHeight w:val="350"/>
        </w:trPr>
        <w:tc>
          <w:tcPr>
            <w:tcW w:w="3030" w:type="dxa"/>
            <w:tcBorders>
              <w:top w:val="single" w:sz="4" w:space="0" w:color="auto"/>
              <w:left w:val="single" w:sz="4" w:space="0" w:color="auto"/>
              <w:bottom w:val="single" w:sz="4" w:space="0" w:color="auto"/>
              <w:right w:val="single" w:sz="4" w:space="0" w:color="auto"/>
            </w:tcBorders>
            <w:vAlign w:val="center"/>
            <w:hideMark/>
          </w:tcPr>
          <w:p w:rsidR="005D6ACF" w:rsidRPr="00F63780" w:rsidRDefault="005D6ACF" w:rsidP="008A253E">
            <w:pPr>
              <w:ind w:firstLine="709"/>
              <w:rPr>
                <w:sz w:val="28"/>
                <w:szCs w:val="28"/>
              </w:rPr>
            </w:pPr>
            <w:r w:rsidRPr="00F63780">
              <w:rPr>
                <w:b/>
                <w:sz w:val="28"/>
                <w:szCs w:val="28"/>
              </w:rPr>
              <w:t>4 568,5</w:t>
            </w:r>
          </w:p>
        </w:tc>
        <w:tc>
          <w:tcPr>
            <w:tcW w:w="3030" w:type="dxa"/>
            <w:tcBorders>
              <w:top w:val="single" w:sz="4" w:space="0" w:color="auto"/>
              <w:left w:val="single" w:sz="4" w:space="0" w:color="auto"/>
              <w:bottom w:val="single" w:sz="4" w:space="0" w:color="auto"/>
              <w:right w:val="single" w:sz="4" w:space="0" w:color="auto"/>
            </w:tcBorders>
            <w:vAlign w:val="center"/>
            <w:hideMark/>
          </w:tcPr>
          <w:p w:rsidR="005D6ACF" w:rsidRPr="00F63780" w:rsidRDefault="005D6ACF" w:rsidP="008A253E">
            <w:pPr>
              <w:ind w:firstLine="709"/>
              <w:rPr>
                <w:sz w:val="28"/>
                <w:szCs w:val="28"/>
              </w:rPr>
            </w:pPr>
            <w:r w:rsidRPr="00F63780">
              <w:rPr>
                <w:b/>
                <w:sz w:val="28"/>
                <w:szCs w:val="28"/>
              </w:rPr>
              <w:t>4 724,5</w:t>
            </w:r>
          </w:p>
        </w:tc>
        <w:tc>
          <w:tcPr>
            <w:tcW w:w="3271" w:type="dxa"/>
            <w:tcBorders>
              <w:top w:val="single" w:sz="4" w:space="0" w:color="auto"/>
              <w:left w:val="single" w:sz="4" w:space="0" w:color="auto"/>
              <w:bottom w:val="single" w:sz="4" w:space="0" w:color="auto"/>
              <w:right w:val="single" w:sz="4" w:space="0" w:color="auto"/>
            </w:tcBorders>
            <w:vAlign w:val="center"/>
            <w:hideMark/>
          </w:tcPr>
          <w:p w:rsidR="005D6ACF" w:rsidRPr="00F63780" w:rsidRDefault="005D6ACF" w:rsidP="008A253E">
            <w:pPr>
              <w:ind w:firstLine="709"/>
              <w:rPr>
                <w:sz w:val="28"/>
                <w:szCs w:val="28"/>
              </w:rPr>
            </w:pPr>
            <w:r w:rsidRPr="00F63780">
              <w:rPr>
                <w:b/>
                <w:sz w:val="28"/>
                <w:szCs w:val="28"/>
              </w:rPr>
              <w:t>4 868,6</w:t>
            </w:r>
          </w:p>
        </w:tc>
      </w:tr>
    </w:tbl>
    <w:p w:rsidR="005D6ACF" w:rsidRPr="00F63780" w:rsidRDefault="005D6ACF" w:rsidP="005D6ACF">
      <w:pPr>
        <w:ind w:firstLine="709"/>
        <w:jc w:val="both"/>
        <w:rPr>
          <w:sz w:val="28"/>
          <w:szCs w:val="28"/>
        </w:rPr>
      </w:pPr>
    </w:p>
    <w:p w:rsidR="005D6ACF" w:rsidRPr="00F63780" w:rsidRDefault="005D6ACF" w:rsidP="005D6ACF">
      <w:pPr>
        <w:ind w:firstLine="709"/>
        <w:jc w:val="both"/>
        <w:rPr>
          <w:sz w:val="28"/>
          <w:szCs w:val="28"/>
        </w:rPr>
      </w:pPr>
    </w:p>
    <w:p w:rsidR="005D6ACF" w:rsidRPr="00F63780" w:rsidRDefault="005D6ACF" w:rsidP="005D6ACF">
      <w:pPr>
        <w:autoSpaceDE w:val="0"/>
        <w:autoSpaceDN w:val="0"/>
        <w:adjustRightInd w:val="0"/>
        <w:ind w:firstLine="540"/>
        <w:jc w:val="both"/>
        <w:rPr>
          <w:sz w:val="28"/>
          <w:szCs w:val="28"/>
        </w:rPr>
      </w:pPr>
      <w:r w:rsidRPr="00F63780">
        <w:rPr>
          <w:sz w:val="28"/>
          <w:szCs w:val="28"/>
        </w:rPr>
        <w:t>При прогнозировании доходов на 2022-2024 годы применяется следующая формула:</w:t>
      </w:r>
    </w:p>
    <w:p w:rsidR="005D6ACF" w:rsidRPr="00F63780" w:rsidRDefault="005D6ACF" w:rsidP="005D6ACF">
      <w:pPr>
        <w:autoSpaceDE w:val="0"/>
        <w:autoSpaceDN w:val="0"/>
        <w:adjustRightInd w:val="0"/>
        <w:ind w:firstLine="540"/>
        <w:jc w:val="both"/>
        <w:rPr>
          <w:sz w:val="28"/>
          <w:szCs w:val="28"/>
        </w:rPr>
      </w:pPr>
    </w:p>
    <w:p w:rsidR="005D6ACF" w:rsidRPr="00F63780" w:rsidRDefault="005D6ACF" w:rsidP="005D6ACF">
      <w:pPr>
        <w:autoSpaceDE w:val="0"/>
        <w:autoSpaceDN w:val="0"/>
        <w:adjustRightInd w:val="0"/>
        <w:ind w:firstLine="540"/>
        <w:jc w:val="both"/>
        <w:rPr>
          <w:sz w:val="28"/>
          <w:szCs w:val="28"/>
        </w:rPr>
      </w:pPr>
      <w:r w:rsidRPr="00F63780">
        <w:rPr>
          <w:sz w:val="28"/>
          <w:szCs w:val="28"/>
        </w:rPr>
        <w:t>Дазу = (АПдл + (АПдс + АПдо) * ИПЦ)*СД + Спз, где</w:t>
      </w:r>
    </w:p>
    <w:p w:rsidR="005D6ACF" w:rsidRPr="00F63780" w:rsidRDefault="005D6ACF" w:rsidP="005D6ACF">
      <w:pPr>
        <w:autoSpaceDE w:val="0"/>
        <w:autoSpaceDN w:val="0"/>
        <w:adjustRightInd w:val="0"/>
        <w:ind w:firstLine="540"/>
        <w:jc w:val="both"/>
        <w:rPr>
          <w:sz w:val="28"/>
          <w:szCs w:val="28"/>
        </w:rPr>
      </w:pPr>
    </w:p>
    <w:p w:rsidR="005D6ACF" w:rsidRPr="00F63780" w:rsidRDefault="005D6ACF" w:rsidP="005D6ACF">
      <w:pPr>
        <w:autoSpaceDE w:val="0"/>
        <w:autoSpaceDN w:val="0"/>
        <w:adjustRightInd w:val="0"/>
        <w:ind w:firstLine="540"/>
        <w:jc w:val="both"/>
        <w:rPr>
          <w:sz w:val="28"/>
          <w:szCs w:val="28"/>
        </w:rPr>
      </w:pPr>
      <w:r w:rsidRPr="00F63780">
        <w:rPr>
          <w:sz w:val="28"/>
          <w:szCs w:val="28"/>
        </w:rPr>
        <w:lastRenderedPageBreak/>
        <w:t>АПдл – суммарный размер арендной платы по действующим договорам, определенный на льготных условиях;</w:t>
      </w:r>
    </w:p>
    <w:p w:rsidR="005D6ACF" w:rsidRPr="00F63780" w:rsidRDefault="005D6ACF" w:rsidP="005D6ACF">
      <w:pPr>
        <w:autoSpaceDE w:val="0"/>
        <w:autoSpaceDN w:val="0"/>
        <w:adjustRightInd w:val="0"/>
        <w:ind w:firstLine="540"/>
        <w:jc w:val="both"/>
        <w:rPr>
          <w:sz w:val="28"/>
          <w:szCs w:val="28"/>
        </w:rPr>
      </w:pPr>
      <w:r w:rsidRPr="00F63780">
        <w:rPr>
          <w:sz w:val="28"/>
          <w:szCs w:val="28"/>
        </w:rPr>
        <w:t>АПдс – суммарный размер арендной платы по действующим договорам, определенный в соответствии со ставками арендной платы либо методическими указаниями по ее расчету, утвержденными Министерством экономического развития Российской Федерации;</w:t>
      </w:r>
    </w:p>
    <w:p w:rsidR="005D6ACF" w:rsidRPr="00F63780" w:rsidRDefault="005D6ACF" w:rsidP="005D6ACF">
      <w:pPr>
        <w:autoSpaceDE w:val="0"/>
        <w:autoSpaceDN w:val="0"/>
        <w:adjustRightInd w:val="0"/>
        <w:ind w:firstLine="540"/>
        <w:jc w:val="both"/>
        <w:rPr>
          <w:sz w:val="28"/>
          <w:szCs w:val="28"/>
        </w:rPr>
      </w:pPr>
      <w:r w:rsidRPr="00F63780">
        <w:rPr>
          <w:sz w:val="28"/>
          <w:szCs w:val="28"/>
        </w:rPr>
        <w:t>АПдо – суммарный размер арендной платы по действующим договорам, определенный на основании отчета оценщика,</w:t>
      </w:r>
    </w:p>
    <w:p w:rsidR="005D6ACF" w:rsidRPr="00F63780" w:rsidRDefault="005D6ACF" w:rsidP="005D6ACF">
      <w:pPr>
        <w:autoSpaceDE w:val="0"/>
        <w:autoSpaceDN w:val="0"/>
        <w:adjustRightInd w:val="0"/>
        <w:ind w:firstLine="540"/>
        <w:jc w:val="both"/>
        <w:rPr>
          <w:sz w:val="28"/>
          <w:szCs w:val="28"/>
        </w:rPr>
      </w:pPr>
      <w:r w:rsidRPr="00F63780">
        <w:rPr>
          <w:sz w:val="28"/>
          <w:szCs w:val="28"/>
        </w:rPr>
        <w:t>СД – собираемость доходов (в %), принимаемая как среднее арифметическое значение аналогичных показателей за три года, предшествующих текущему финансовому году;</w:t>
      </w:r>
    </w:p>
    <w:p w:rsidR="005D6ACF" w:rsidRPr="00F63780" w:rsidRDefault="005D6ACF" w:rsidP="005D6ACF">
      <w:pPr>
        <w:autoSpaceDE w:val="0"/>
        <w:autoSpaceDN w:val="0"/>
        <w:adjustRightInd w:val="0"/>
        <w:ind w:firstLine="540"/>
        <w:jc w:val="both"/>
        <w:rPr>
          <w:sz w:val="28"/>
          <w:szCs w:val="28"/>
        </w:rPr>
      </w:pPr>
      <w:r w:rsidRPr="00F63780">
        <w:rPr>
          <w:sz w:val="28"/>
          <w:szCs w:val="28"/>
        </w:rPr>
        <w:t>ИПЦ – индексы потребительских цен (в %);</w:t>
      </w:r>
    </w:p>
    <w:p w:rsidR="005D6ACF" w:rsidRPr="00F63780" w:rsidRDefault="005D6ACF" w:rsidP="005D6ACF">
      <w:pPr>
        <w:autoSpaceDE w:val="0"/>
        <w:autoSpaceDN w:val="0"/>
        <w:adjustRightInd w:val="0"/>
        <w:ind w:firstLine="540"/>
        <w:jc w:val="both"/>
        <w:rPr>
          <w:sz w:val="28"/>
          <w:szCs w:val="28"/>
        </w:rPr>
      </w:pPr>
      <w:r w:rsidRPr="00F63780">
        <w:rPr>
          <w:sz w:val="28"/>
          <w:szCs w:val="28"/>
        </w:rPr>
        <w:t>Спз – средний размер поступлений в погашение задолженности прошлых лет за три года, предшествующих текущему финансовому году.</w:t>
      </w:r>
    </w:p>
    <w:p w:rsidR="005D6ACF" w:rsidRPr="00F63780" w:rsidRDefault="005D6ACF" w:rsidP="005D6ACF">
      <w:pPr>
        <w:autoSpaceDE w:val="0"/>
        <w:autoSpaceDN w:val="0"/>
        <w:adjustRightInd w:val="0"/>
        <w:ind w:firstLine="540"/>
        <w:jc w:val="both"/>
        <w:rPr>
          <w:sz w:val="28"/>
          <w:szCs w:val="28"/>
        </w:rPr>
      </w:pPr>
      <w:r w:rsidRPr="00F63780">
        <w:rPr>
          <w:sz w:val="28"/>
          <w:szCs w:val="28"/>
        </w:rPr>
        <w:t xml:space="preserve">1. </w:t>
      </w:r>
      <w:r w:rsidRPr="00F63780">
        <w:rPr>
          <w:b/>
          <w:sz w:val="28"/>
          <w:szCs w:val="28"/>
        </w:rPr>
        <w:t>АПдл</w:t>
      </w:r>
      <w:r w:rsidRPr="00F63780">
        <w:rPr>
          <w:sz w:val="28"/>
          <w:szCs w:val="28"/>
        </w:rPr>
        <w:t xml:space="preserve"> – суммарный размер арендной платы по действующим договорам, определенный на льготных условиях.</w:t>
      </w:r>
    </w:p>
    <w:p w:rsidR="005D6ACF" w:rsidRPr="00F63780" w:rsidRDefault="005D6ACF" w:rsidP="005D6ACF">
      <w:pPr>
        <w:autoSpaceDE w:val="0"/>
        <w:autoSpaceDN w:val="0"/>
        <w:adjustRightInd w:val="0"/>
        <w:ind w:firstLine="540"/>
        <w:jc w:val="both"/>
        <w:rPr>
          <w:sz w:val="28"/>
          <w:szCs w:val="28"/>
        </w:rPr>
      </w:pPr>
      <w:r w:rsidRPr="00F63780">
        <w:rPr>
          <w:sz w:val="28"/>
          <w:szCs w:val="28"/>
        </w:rPr>
        <w:t xml:space="preserve">Расчет арендной платы за пользование земельными участками, находящимся в государственной собственности Тверской области, для юридических лиц, указанных в пункте 2 статьи 3 Федерального закона «О введении в действие Земельного кодекса Российской Федерации», переоформивших право постоянного (бессрочного) пользования указанным земельным участком на право аренды такого земельного участка, осуществляется по формуле, предусмотренной пунктом 8.2 Методики, исходя из % от кадастровой стоимости земельного участка. </w:t>
      </w:r>
    </w:p>
    <w:p w:rsidR="005D6ACF" w:rsidRPr="00F63780" w:rsidRDefault="005D6ACF" w:rsidP="005D6ACF">
      <w:pPr>
        <w:autoSpaceDE w:val="0"/>
        <w:autoSpaceDN w:val="0"/>
        <w:adjustRightInd w:val="0"/>
        <w:ind w:firstLine="540"/>
        <w:jc w:val="both"/>
        <w:rPr>
          <w:sz w:val="28"/>
          <w:szCs w:val="28"/>
        </w:rPr>
      </w:pPr>
      <w:r w:rsidRPr="00F63780">
        <w:rPr>
          <w:sz w:val="28"/>
          <w:szCs w:val="28"/>
        </w:rPr>
        <w:t>Пунктом 8.4 Методики установлены случаи, при которых арендная плата за земельный участок, находящийся в государственной собственности Тверской области, устанавливается в размере земельного налога, рассчитанного в отношении такого земельного участка.</w:t>
      </w:r>
    </w:p>
    <w:p w:rsidR="005D6ACF" w:rsidRPr="00F63780" w:rsidRDefault="005D6ACF" w:rsidP="005D6ACF">
      <w:pPr>
        <w:autoSpaceDE w:val="0"/>
        <w:autoSpaceDN w:val="0"/>
        <w:adjustRightInd w:val="0"/>
        <w:ind w:firstLine="540"/>
        <w:jc w:val="both"/>
        <w:rPr>
          <w:sz w:val="28"/>
          <w:szCs w:val="28"/>
        </w:rPr>
      </w:pPr>
      <w:r w:rsidRPr="00F63780">
        <w:rPr>
          <w:sz w:val="28"/>
          <w:szCs w:val="28"/>
        </w:rPr>
        <w:t>Коэффициент инфляции к размеру арендной платы, определенному по пункту 8.2, 8.4 Методики, не применяется.</w:t>
      </w:r>
    </w:p>
    <w:p w:rsidR="005D6ACF" w:rsidRPr="00F63780" w:rsidRDefault="005D6ACF" w:rsidP="005D6ACF">
      <w:pPr>
        <w:autoSpaceDE w:val="0"/>
        <w:autoSpaceDN w:val="0"/>
        <w:adjustRightInd w:val="0"/>
        <w:ind w:firstLine="540"/>
        <w:jc w:val="both"/>
        <w:rPr>
          <w:sz w:val="28"/>
          <w:szCs w:val="28"/>
        </w:rPr>
      </w:pPr>
      <w:r w:rsidRPr="00F63780">
        <w:rPr>
          <w:sz w:val="28"/>
          <w:szCs w:val="28"/>
        </w:rPr>
        <w:t>АПдл - суммарный размер арендной платы по действующим договорам, определенный на льготных условиях, подлежащей уплате:</w:t>
      </w:r>
    </w:p>
    <w:p w:rsidR="005D6ACF" w:rsidRPr="00F63780" w:rsidRDefault="005D6ACF" w:rsidP="005D6ACF">
      <w:pPr>
        <w:autoSpaceDE w:val="0"/>
        <w:autoSpaceDN w:val="0"/>
        <w:adjustRightInd w:val="0"/>
        <w:ind w:firstLine="540"/>
        <w:jc w:val="both"/>
        <w:rPr>
          <w:sz w:val="28"/>
          <w:szCs w:val="28"/>
        </w:rPr>
      </w:pPr>
      <w:r w:rsidRPr="00F63780">
        <w:rPr>
          <w:sz w:val="28"/>
          <w:szCs w:val="28"/>
        </w:rPr>
        <w:t xml:space="preserve">- в 2022 году по действующим договорам аренды составляет 1 506,4 тыс. руб. по 12 договорам аренды общей площадью 21,5 га + 172,9 тыс. руб. по ОГУП «Фармация» за 2020 год, </w:t>
      </w:r>
    </w:p>
    <w:p w:rsidR="005D6ACF" w:rsidRPr="00F63780" w:rsidRDefault="005D6ACF" w:rsidP="005D6ACF">
      <w:pPr>
        <w:autoSpaceDE w:val="0"/>
        <w:autoSpaceDN w:val="0"/>
        <w:adjustRightInd w:val="0"/>
        <w:ind w:firstLine="540"/>
        <w:jc w:val="both"/>
        <w:rPr>
          <w:sz w:val="28"/>
          <w:szCs w:val="28"/>
        </w:rPr>
      </w:pPr>
      <w:r w:rsidRPr="00F63780">
        <w:rPr>
          <w:sz w:val="28"/>
          <w:szCs w:val="28"/>
        </w:rPr>
        <w:t xml:space="preserve">- в 2023 году по действующим договорам аренды составляет 1 506,4 тыс. руб. по 12 договорам аренды общей площадью 21,5 га; </w:t>
      </w:r>
    </w:p>
    <w:p w:rsidR="005D6ACF" w:rsidRPr="00F63780" w:rsidRDefault="005D6ACF" w:rsidP="005D6ACF">
      <w:pPr>
        <w:autoSpaceDE w:val="0"/>
        <w:autoSpaceDN w:val="0"/>
        <w:adjustRightInd w:val="0"/>
        <w:ind w:firstLine="540"/>
        <w:jc w:val="both"/>
        <w:rPr>
          <w:sz w:val="28"/>
          <w:szCs w:val="28"/>
        </w:rPr>
      </w:pPr>
      <w:r w:rsidRPr="00F63780">
        <w:rPr>
          <w:sz w:val="28"/>
          <w:szCs w:val="28"/>
        </w:rPr>
        <w:t>- в 2024 году по действующим договорам аренды составляет 1 506,4 тыс. руб. по 12 договорам аренды общей площадью 21,5 га.</w:t>
      </w:r>
    </w:p>
    <w:p w:rsidR="005D6ACF" w:rsidRPr="00F63780" w:rsidRDefault="005D6ACF" w:rsidP="005D6ACF">
      <w:pPr>
        <w:autoSpaceDE w:val="0"/>
        <w:autoSpaceDN w:val="0"/>
        <w:adjustRightInd w:val="0"/>
        <w:ind w:firstLine="540"/>
        <w:jc w:val="both"/>
        <w:rPr>
          <w:sz w:val="28"/>
          <w:szCs w:val="28"/>
        </w:rPr>
      </w:pPr>
      <w:r w:rsidRPr="00F63780">
        <w:rPr>
          <w:sz w:val="28"/>
          <w:szCs w:val="28"/>
        </w:rPr>
        <w:t xml:space="preserve">В соответствии со статьей 19 Закона № 98-ФЗ «О внесении изменений в отдельные законодательные акты Российской Федерации по вопросам предупреждения и ликвидации чрезвычайных ситуаций» между Министерством и ОГУП «Фармация» к  договору аренды земельного участка заключено дополнительное соглашение об отсрочке уплаты арендной платы за период с 17.03.2020 до 01.10.2020 в сумме 345,7 тыс. руб. В соответствии </w:t>
      </w:r>
      <w:r w:rsidRPr="00F63780">
        <w:rPr>
          <w:sz w:val="28"/>
          <w:szCs w:val="28"/>
        </w:rPr>
        <w:lastRenderedPageBreak/>
        <w:t xml:space="preserve">с графиком погашения задолженности оплата арендной платы должна вноситься ежемесячно в течение 24 месяцев, начиная с 01.01.2021 по 31.12.2022. </w:t>
      </w:r>
    </w:p>
    <w:p w:rsidR="005D6ACF" w:rsidRPr="00F63780" w:rsidRDefault="005D6ACF" w:rsidP="005D6ACF">
      <w:pPr>
        <w:autoSpaceDE w:val="0"/>
        <w:autoSpaceDN w:val="0"/>
        <w:adjustRightInd w:val="0"/>
        <w:ind w:firstLine="540"/>
        <w:jc w:val="both"/>
        <w:rPr>
          <w:sz w:val="28"/>
          <w:szCs w:val="28"/>
        </w:rPr>
      </w:pPr>
      <w:r w:rsidRPr="00F63780">
        <w:rPr>
          <w:sz w:val="28"/>
          <w:szCs w:val="28"/>
        </w:rPr>
        <w:t xml:space="preserve">2). </w:t>
      </w:r>
      <w:r w:rsidRPr="00F63780">
        <w:rPr>
          <w:b/>
          <w:sz w:val="28"/>
          <w:szCs w:val="28"/>
        </w:rPr>
        <w:t>АПдс</w:t>
      </w:r>
      <w:r w:rsidRPr="00F63780">
        <w:rPr>
          <w:sz w:val="28"/>
          <w:szCs w:val="28"/>
        </w:rPr>
        <w:t xml:space="preserve"> – суммарный размер арендной платы по действующим договорам, определенный в соответствии со ставками арендной платы либо методическими указаниями по ее расчету, утвержденными Министерством экономического развития Российской Федерации.</w:t>
      </w:r>
    </w:p>
    <w:p w:rsidR="005D6ACF" w:rsidRPr="00F63780" w:rsidRDefault="005D6ACF" w:rsidP="005D6ACF">
      <w:pPr>
        <w:autoSpaceDE w:val="0"/>
        <w:autoSpaceDN w:val="0"/>
        <w:adjustRightInd w:val="0"/>
        <w:ind w:firstLine="540"/>
        <w:jc w:val="both"/>
        <w:rPr>
          <w:sz w:val="28"/>
          <w:szCs w:val="28"/>
        </w:rPr>
      </w:pPr>
      <w:r w:rsidRPr="00F63780">
        <w:rPr>
          <w:sz w:val="28"/>
          <w:szCs w:val="28"/>
        </w:rPr>
        <w:t>В соответствии с пунктом 8.5 Методики размер арендной платы за земельные участки, находящиеся в государственной собственности Тверской области и предоставленные для размещения объектов, предусмотренных подпунктом 2 статьи 49 Земельного кодекса Российской Федерации, а также для проведения работ, связанных с пользованием недрами, устанавливается в размере арендной платы, рассчитанном для соответствующих целей в отношении земельных участков, находящихся в федеральной собственности.</w:t>
      </w:r>
    </w:p>
    <w:p w:rsidR="005D6ACF" w:rsidRPr="00F63780" w:rsidRDefault="005D6ACF" w:rsidP="005D6ACF">
      <w:pPr>
        <w:autoSpaceDE w:val="0"/>
        <w:autoSpaceDN w:val="0"/>
        <w:adjustRightInd w:val="0"/>
        <w:ind w:firstLine="540"/>
        <w:jc w:val="both"/>
        <w:rPr>
          <w:sz w:val="28"/>
          <w:szCs w:val="28"/>
        </w:rPr>
      </w:pPr>
      <w:r w:rsidRPr="00F63780">
        <w:rPr>
          <w:sz w:val="28"/>
          <w:szCs w:val="28"/>
        </w:rPr>
        <w:t>Согласно Правилам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 утвержденным Постановлением Правительства РФ от 16.07.2009 № 582 (далее Правила), размер арендной платы за земельные участки, находящиеся в федеральной собственности и предоставленные для размещения объектов, предусмотренных подпунктом 2 статьи 49 Земельного кодекса Российской Федерации, рассчитывается в соответствии со ставками арендной платы либо методическими указаниями по ее расчету, утвержденными Министерством экономического развития Российской Федерации, в отношении земельных участков, которые предоставлены без проведения торгов.</w:t>
      </w:r>
    </w:p>
    <w:p w:rsidR="005D6ACF" w:rsidRPr="00F63780" w:rsidRDefault="005D6ACF" w:rsidP="005D6ACF">
      <w:pPr>
        <w:autoSpaceDE w:val="0"/>
        <w:autoSpaceDN w:val="0"/>
        <w:adjustRightInd w:val="0"/>
        <w:ind w:firstLine="540"/>
        <w:jc w:val="both"/>
        <w:rPr>
          <w:sz w:val="28"/>
          <w:szCs w:val="28"/>
        </w:rPr>
      </w:pPr>
      <w:r w:rsidRPr="00F63780">
        <w:rPr>
          <w:sz w:val="28"/>
          <w:szCs w:val="28"/>
        </w:rPr>
        <w:t>Пунктом 8 Правил установлено, что арендная плата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указанный договор аренды.</w:t>
      </w:r>
    </w:p>
    <w:p w:rsidR="005D6ACF" w:rsidRPr="00F63780" w:rsidRDefault="005D6ACF" w:rsidP="005D6ACF">
      <w:pPr>
        <w:autoSpaceDE w:val="0"/>
        <w:autoSpaceDN w:val="0"/>
        <w:adjustRightInd w:val="0"/>
        <w:ind w:firstLine="540"/>
        <w:jc w:val="both"/>
        <w:rPr>
          <w:sz w:val="28"/>
          <w:szCs w:val="28"/>
        </w:rPr>
      </w:pPr>
      <w:r w:rsidRPr="00F63780">
        <w:rPr>
          <w:sz w:val="28"/>
          <w:szCs w:val="28"/>
        </w:rPr>
        <w:t>АПдс – суммарный размер арендной платы по действующим договорам, определенный в соответствии со ставками арендной платы либо методическими указаниями по ее расчету, утвержденными Министерством экономического развития Российской Федерации, подлежащей уплате:</w:t>
      </w:r>
    </w:p>
    <w:p w:rsidR="005D6ACF" w:rsidRPr="00F63780" w:rsidRDefault="005D6ACF" w:rsidP="005D6ACF">
      <w:pPr>
        <w:autoSpaceDE w:val="0"/>
        <w:autoSpaceDN w:val="0"/>
        <w:adjustRightInd w:val="0"/>
        <w:ind w:firstLine="540"/>
        <w:jc w:val="both"/>
        <w:rPr>
          <w:sz w:val="28"/>
          <w:szCs w:val="28"/>
        </w:rPr>
      </w:pPr>
      <w:r w:rsidRPr="00F63780">
        <w:rPr>
          <w:sz w:val="28"/>
          <w:szCs w:val="28"/>
        </w:rPr>
        <w:t>- в 2022 году по 7 договорам аренды, заключенным в отношении 22 земельного участка общей площадью 0,9 га, начислено арендной платы в размере 13,2 тыс. руб.;</w:t>
      </w:r>
    </w:p>
    <w:p w:rsidR="005D6ACF" w:rsidRPr="00F63780" w:rsidRDefault="005D6ACF" w:rsidP="005D6ACF">
      <w:pPr>
        <w:autoSpaceDE w:val="0"/>
        <w:autoSpaceDN w:val="0"/>
        <w:adjustRightInd w:val="0"/>
        <w:ind w:firstLine="540"/>
        <w:jc w:val="both"/>
        <w:rPr>
          <w:sz w:val="28"/>
          <w:szCs w:val="28"/>
        </w:rPr>
      </w:pPr>
      <w:r w:rsidRPr="00F63780">
        <w:rPr>
          <w:sz w:val="28"/>
          <w:szCs w:val="28"/>
        </w:rPr>
        <w:t>- в 2023 году по 7 договорам аренды, заключенным в отношении 22 земельного участка общей площадью 0,9 га, начислено арендной платы в размере 13,2 тыс. руб.;</w:t>
      </w:r>
    </w:p>
    <w:p w:rsidR="005D6ACF" w:rsidRPr="00F63780" w:rsidRDefault="005D6ACF" w:rsidP="005D6ACF">
      <w:pPr>
        <w:autoSpaceDE w:val="0"/>
        <w:autoSpaceDN w:val="0"/>
        <w:adjustRightInd w:val="0"/>
        <w:ind w:firstLine="540"/>
        <w:jc w:val="both"/>
        <w:rPr>
          <w:sz w:val="28"/>
          <w:szCs w:val="28"/>
        </w:rPr>
      </w:pPr>
      <w:r w:rsidRPr="00F63780">
        <w:rPr>
          <w:sz w:val="28"/>
          <w:szCs w:val="28"/>
        </w:rPr>
        <w:t>- в 2024 году по 7 договорам аренды, заключенным в отношении 22 земельного участка общей площадью 0,9 га, начислено арендной платы в размере 13,2 тыс. руб.</w:t>
      </w:r>
    </w:p>
    <w:p w:rsidR="005D6ACF" w:rsidRPr="00F63780" w:rsidRDefault="005D6ACF" w:rsidP="005D6ACF">
      <w:pPr>
        <w:autoSpaceDE w:val="0"/>
        <w:autoSpaceDN w:val="0"/>
        <w:adjustRightInd w:val="0"/>
        <w:ind w:firstLine="540"/>
        <w:jc w:val="both"/>
        <w:rPr>
          <w:sz w:val="28"/>
          <w:szCs w:val="28"/>
        </w:rPr>
      </w:pPr>
      <w:r w:rsidRPr="00F63780">
        <w:rPr>
          <w:sz w:val="28"/>
          <w:szCs w:val="28"/>
        </w:rPr>
        <w:lastRenderedPageBreak/>
        <w:t xml:space="preserve">3) </w:t>
      </w:r>
      <w:r w:rsidRPr="00F63780">
        <w:rPr>
          <w:b/>
          <w:sz w:val="28"/>
          <w:szCs w:val="28"/>
        </w:rPr>
        <w:t>АПдо</w:t>
      </w:r>
      <w:r w:rsidRPr="00F63780">
        <w:rPr>
          <w:sz w:val="28"/>
          <w:szCs w:val="28"/>
        </w:rPr>
        <w:t xml:space="preserve"> – суммарный размер арендной платы по действующим договорам, определенный на основании отчета оценщика.</w:t>
      </w:r>
    </w:p>
    <w:p w:rsidR="005D6ACF" w:rsidRPr="00F63780" w:rsidRDefault="005D6ACF" w:rsidP="005D6ACF">
      <w:pPr>
        <w:autoSpaceDE w:val="0"/>
        <w:autoSpaceDN w:val="0"/>
        <w:adjustRightInd w:val="0"/>
        <w:ind w:firstLine="540"/>
        <w:jc w:val="both"/>
        <w:rPr>
          <w:bCs/>
          <w:sz w:val="28"/>
          <w:szCs w:val="28"/>
        </w:rPr>
      </w:pPr>
      <w:r w:rsidRPr="00F63780">
        <w:rPr>
          <w:sz w:val="28"/>
          <w:szCs w:val="28"/>
        </w:rPr>
        <w:t xml:space="preserve">В соответствии с </w:t>
      </w:r>
      <w:r w:rsidRPr="00F63780">
        <w:rPr>
          <w:bCs/>
          <w:sz w:val="28"/>
          <w:szCs w:val="28"/>
        </w:rPr>
        <w:t xml:space="preserve">Методикой размер арендной платы определяется в соответствии с рыночной стоимостью права аренды государственного имущества, определенной независимым оценщиком, либо по результатам торгов. Ежегодно применяется коэффициент инфляции, определяемый в соответствии с прогнозируемым уровнем инфляции, предусмотренным федеральным законом о федеральном бюджете на очередной финансовый год и плановый период по состоянию на начало очередного финансового года, за исключением года, в котором был заключен договор аренды. </w:t>
      </w:r>
    </w:p>
    <w:p w:rsidR="005D6ACF" w:rsidRPr="00F63780" w:rsidRDefault="005D6ACF" w:rsidP="005D6ACF">
      <w:pPr>
        <w:widowControl w:val="0"/>
        <w:autoSpaceDE w:val="0"/>
        <w:autoSpaceDN w:val="0"/>
        <w:adjustRightInd w:val="0"/>
        <w:ind w:firstLine="709"/>
        <w:jc w:val="both"/>
        <w:rPr>
          <w:sz w:val="28"/>
          <w:szCs w:val="28"/>
        </w:rPr>
      </w:pPr>
      <w:r w:rsidRPr="00F63780">
        <w:rPr>
          <w:b/>
          <w:sz w:val="28"/>
          <w:szCs w:val="28"/>
        </w:rPr>
        <w:t xml:space="preserve">АПдо - </w:t>
      </w:r>
      <w:r w:rsidRPr="00F63780">
        <w:rPr>
          <w:sz w:val="28"/>
          <w:szCs w:val="28"/>
        </w:rPr>
        <w:t>суммарный размер арендной платы по действующим договорам, определенный на основании отчета оценщика (или на торгах), подлежащей уплате:</w:t>
      </w:r>
    </w:p>
    <w:p w:rsidR="005D6ACF" w:rsidRPr="00F63780" w:rsidRDefault="005D6ACF" w:rsidP="005D6ACF">
      <w:pPr>
        <w:widowControl w:val="0"/>
        <w:autoSpaceDE w:val="0"/>
        <w:autoSpaceDN w:val="0"/>
        <w:adjustRightInd w:val="0"/>
        <w:ind w:firstLine="709"/>
        <w:jc w:val="both"/>
        <w:rPr>
          <w:sz w:val="28"/>
          <w:szCs w:val="28"/>
        </w:rPr>
      </w:pPr>
      <w:r w:rsidRPr="00F63780">
        <w:rPr>
          <w:sz w:val="28"/>
          <w:szCs w:val="28"/>
        </w:rPr>
        <w:t>- в 2022 году по действующим договорам аренды составляет 45 073,0 тыс. руб. по 102 лицевым счетам плательщиков по договорам аренды, заключенным в отношении 150 земельных участков общей площадью 250,03 га, + 199,8 тыс. руб. по договору ОГУП «Фармация» по графику отсрочки;</w:t>
      </w:r>
    </w:p>
    <w:p w:rsidR="005D6ACF" w:rsidRPr="00F63780" w:rsidRDefault="005D6ACF" w:rsidP="005D6ACF">
      <w:pPr>
        <w:widowControl w:val="0"/>
        <w:autoSpaceDE w:val="0"/>
        <w:autoSpaceDN w:val="0"/>
        <w:adjustRightInd w:val="0"/>
        <w:ind w:firstLine="709"/>
        <w:jc w:val="both"/>
        <w:rPr>
          <w:sz w:val="28"/>
          <w:szCs w:val="28"/>
        </w:rPr>
      </w:pPr>
      <w:r w:rsidRPr="00F63780">
        <w:rPr>
          <w:sz w:val="28"/>
          <w:szCs w:val="28"/>
        </w:rPr>
        <w:t xml:space="preserve">- в 2023 году по действующим договорам аренды составляет 46 875,9 тыс. руб. по 102 лицевым счетам плательщиков по договорам аренды, заключенным в отношении 150 земельных участков общей площадью 250,03 га; </w:t>
      </w:r>
    </w:p>
    <w:p w:rsidR="005D6ACF" w:rsidRPr="00F63780" w:rsidRDefault="005D6ACF" w:rsidP="005D6ACF">
      <w:pPr>
        <w:widowControl w:val="0"/>
        <w:autoSpaceDE w:val="0"/>
        <w:autoSpaceDN w:val="0"/>
        <w:adjustRightInd w:val="0"/>
        <w:ind w:firstLine="709"/>
        <w:jc w:val="both"/>
        <w:rPr>
          <w:sz w:val="28"/>
          <w:szCs w:val="28"/>
        </w:rPr>
      </w:pPr>
      <w:r w:rsidRPr="00F63780">
        <w:rPr>
          <w:sz w:val="28"/>
          <w:szCs w:val="28"/>
        </w:rPr>
        <w:t xml:space="preserve">- в 2024 году по действующим договорам аренды составляет 48 751,0 тыс. руб. по 102 лицевым счетам плательщиков по договорам аренды, заключенным в отношении 150 земельных участков общей площадью 250,03 га. </w:t>
      </w:r>
    </w:p>
    <w:p w:rsidR="005D6ACF" w:rsidRPr="00F63780" w:rsidRDefault="005D6ACF" w:rsidP="005D6ACF">
      <w:pPr>
        <w:widowControl w:val="0"/>
        <w:autoSpaceDE w:val="0"/>
        <w:autoSpaceDN w:val="0"/>
        <w:adjustRightInd w:val="0"/>
        <w:ind w:firstLine="709"/>
        <w:jc w:val="both"/>
        <w:rPr>
          <w:sz w:val="28"/>
          <w:szCs w:val="28"/>
        </w:rPr>
      </w:pPr>
      <w:r w:rsidRPr="00F63780">
        <w:rPr>
          <w:sz w:val="28"/>
          <w:szCs w:val="28"/>
        </w:rPr>
        <w:t xml:space="preserve">В соответствии со статьей 19 Закона № 98-ФЗ «О внесении изменений в отдельные законодательные акты Российской Федерации по вопросам предупреждения и ликвидации чрезвычайных ситуаций» между Министерством и ОГУП «Фармация» к  договору аренды земельного участка заключено дополнительное соглашение об отсрочке уплаты арендной платы за период с 17.03.2020 до 01.10.2020 в сумме 399,5 тыс. руб. В соответствии с графиком погашения задолженности оплата арендной платы должна вноситься ежемесячно в течение 24 месяцев, начиная с 01.01.2021 по 31.12.2022. </w:t>
      </w:r>
    </w:p>
    <w:p w:rsidR="005D6ACF" w:rsidRPr="00F63780" w:rsidRDefault="005D6ACF" w:rsidP="005D6ACF">
      <w:pPr>
        <w:widowControl w:val="0"/>
        <w:autoSpaceDE w:val="0"/>
        <w:autoSpaceDN w:val="0"/>
        <w:adjustRightInd w:val="0"/>
        <w:ind w:firstLine="709"/>
        <w:jc w:val="both"/>
        <w:rPr>
          <w:sz w:val="28"/>
          <w:szCs w:val="28"/>
        </w:rPr>
      </w:pPr>
      <w:r w:rsidRPr="00F63780">
        <w:rPr>
          <w:b/>
          <w:sz w:val="28"/>
          <w:szCs w:val="28"/>
        </w:rPr>
        <w:t>СД</w:t>
      </w:r>
      <w:r w:rsidRPr="00F63780">
        <w:rPr>
          <w:sz w:val="28"/>
          <w:szCs w:val="28"/>
        </w:rPr>
        <w:t xml:space="preserve"> - Показатель собираемости доходов в виде арендной платы за пользование земельными участками, предоставленными для размещения объектов недвижимого имущества, для строительства объектов недвижимого имущества рассчитывался исходя из начислений арендной платы на 2018-2020 годы и перечислений плательщиками денежных средств в счет уплаты арендной платы за соответствующий период по данному виду дохода и составил 84% (77%+85%+89%)/3=84%).</w:t>
      </w:r>
    </w:p>
    <w:p w:rsidR="005D6ACF" w:rsidRPr="00F63780" w:rsidRDefault="005D6ACF" w:rsidP="005D6ACF">
      <w:pPr>
        <w:widowControl w:val="0"/>
        <w:autoSpaceDE w:val="0"/>
        <w:autoSpaceDN w:val="0"/>
        <w:adjustRightInd w:val="0"/>
        <w:ind w:firstLine="709"/>
        <w:jc w:val="both"/>
        <w:rPr>
          <w:sz w:val="28"/>
          <w:szCs w:val="28"/>
        </w:rPr>
      </w:pPr>
      <w:r w:rsidRPr="00F63780">
        <w:rPr>
          <w:sz w:val="28"/>
          <w:szCs w:val="28"/>
        </w:rPr>
        <w:t xml:space="preserve">Начисления арендной платы за 2018 год составили 37 683,6 тыс. руб., перечисления составили 28 971,2 тыс. руб. Платежная дисциплина составила (77%).  </w:t>
      </w:r>
    </w:p>
    <w:p w:rsidR="005D6ACF" w:rsidRPr="00F63780" w:rsidRDefault="005D6ACF" w:rsidP="005D6ACF">
      <w:pPr>
        <w:widowControl w:val="0"/>
        <w:autoSpaceDE w:val="0"/>
        <w:autoSpaceDN w:val="0"/>
        <w:adjustRightInd w:val="0"/>
        <w:ind w:firstLine="709"/>
        <w:jc w:val="both"/>
        <w:rPr>
          <w:sz w:val="28"/>
          <w:szCs w:val="28"/>
        </w:rPr>
      </w:pPr>
      <w:r w:rsidRPr="00F63780">
        <w:rPr>
          <w:sz w:val="28"/>
          <w:szCs w:val="28"/>
        </w:rPr>
        <w:t xml:space="preserve">Начисления арендной платы за 2019 год составили 45 161,06 тыс. руб., </w:t>
      </w:r>
      <w:r w:rsidRPr="00F63780">
        <w:rPr>
          <w:sz w:val="28"/>
          <w:szCs w:val="28"/>
        </w:rPr>
        <w:lastRenderedPageBreak/>
        <w:t xml:space="preserve">перечисления составили 38 484,2 тыс. руб. Платежная дисциплина составила (85%).  </w:t>
      </w:r>
    </w:p>
    <w:p w:rsidR="005D6ACF" w:rsidRPr="00F63780" w:rsidRDefault="005D6ACF" w:rsidP="005D6ACF">
      <w:pPr>
        <w:widowControl w:val="0"/>
        <w:autoSpaceDE w:val="0"/>
        <w:autoSpaceDN w:val="0"/>
        <w:adjustRightInd w:val="0"/>
        <w:ind w:firstLine="709"/>
        <w:jc w:val="both"/>
        <w:rPr>
          <w:sz w:val="28"/>
          <w:szCs w:val="28"/>
        </w:rPr>
      </w:pPr>
      <w:r w:rsidRPr="00F63780">
        <w:rPr>
          <w:sz w:val="28"/>
          <w:szCs w:val="28"/>
        </w:rPr>
        <w:t xml:space="preserve">Начисления арендной платы за 2020 год составили 53 051,12 тыс. руб., перечисления составили 47 120,12 тыс. руб. Платежная дисциплина составила (89%).  </w:t>
      </w:r>
    </w:p>
    <w:p w:rsidR="005D6ACF" w:rsidRPr="00F63780" w:rsidRDefault="005D6ACF" w:rsidP="005D6ACF">
      <w:pPr>
        <w:widowControl w:val="0"/>
        <w:autoSpaceDE w:val="0"/>
        <w:autoSpaceDN w:val="0"/>
        <w:adjustRightInd w:val="0"/>
        <w:ind w:firstLine="709"/>
        <w:jc w:val="both"/>
        <w:rPr>
          <w:sz w:val="28"/>
          <w:szCs w:val="28"/>
        </w:rPr>
      </w:pPr>
      <w:r w:rsidRPr="00F63780">
        <w:rPr>
          <w:sz w:val="28"/>
          <w:szCs w:val="28"/>
        </w:rPr>
        <w:t>Процент собираемости доходов применен к размеру арендной платы, начисленному на 2021-2024 годы.</w:t>
      </w:r>
    </w:p>
    <w:p w:rsidR="005D6ACF" w:rsidRPr="00F63780" w:rsidRDefault="005D6ACF" w:rsidP="005D6ACF">
      <w:pPr>
        <w:widowControl w:val="0"/>
        <w:autoSpaceDE w:val="0"/>
        <w:autoSpaceDN w:val="0"/>
        <w:adjustRightInd w:val="0"/>
        <w:ind w:firstLine="709"/>
        <w:jc w:val="both"/>
        <w:rPr>
          <w:sz w:val="28"/>
          <w:szCs w:val="28"/>
        </w:rPr>
      </w:pPr>
      <w:r w:rsidRPr="00F63780">
        <w:rPr>
          <w:b/>
          <w:sz w:val="28"/>
          <w:szCs w:val="28"/>
        </w:rPr>
        <w:t>ИПЦ</w:t>
      </w:r>
      <w:r w:rsidRPr="00F63780">
        <w:rPr>
          <w:sz w:val="28"/>
          <w:szCs w:val="28"/>
        </w:rPr>
        <w:t xml:space="preserve"> – индексы потребительских цен.</w:t>
      </w:r>
    </w:p>
    <w:p w:rsidR="005D6ACF" w:rsidRPr="00F63780" w:rsidRDefault="005D6ACF" w:rsidP="005D6ACF">
      <w:pPr>
        <w:widowControl w:val="0"/>
        <w:autoSpaceDE w:val="0"/>
        <w:autoSpaceDN w:val="0"/>
        <w:adjustRightInd w:val="0"/>
        <w:ind w:firstLine="709"/>
        <w:jc w:val="both"/>
        <w:rPr>
          <w:sz w:val="28"/>
          <w:szCs w:val="28"/>
        </w:rPr>
      </w:pPr>
      <w:r w:rsidRPr="00F63780">
        <w:rPr>
          <w:sz w:val="28"/>
          <w:szCs w:val="28"/>
        </w:rPr>
        <w:t>В соответствии федеральным законом от 08.12.2020 № 385-ФЗ «О федеральном бюджете на 2021 год и на плановый период 2022 и 2023 годов» уровень инфляции на 2021 год составляет 103,7% (декабрь 2021 года к декабрю 2020 года).</w:t>
      </w:r>
    </w:p>
    <w:p w:rsidR="005D6ACF" w:rsidRPr="00F63780" w:rsidRDefault="005D6ACF" w:rsidP="005D6ACF">
      <w:pPr>
        <w:widowControl w:val="0"/>
        <w:autoSpaceDE w:val="0"/>
        <w:autoSpaceDN w:val="0"/>
        <w:adjustRightInd w:val="0"/>
        <w:ind w:firstLine="709"/>
        <w:jc w:val="both"/>
        <w:rPr>
          <w:sz w:val="28"/>
          <w:szCs w:val="28"/>
        </w:rPr>
      </w:pPr>
      <w:r w:rsidRPr="00F63780">
        <w:rPr>
          <w:sz w:val="28"/>
          <w:szCs w:val="28"/>
        </w:rPr>
        <w:t>Согласно письму Министерства экономического развития Тверской области от 18.05.2021 № 2514 прогноз показателя инфляции (базовый вариант ИПЦ) к декабрю предыдущего года составляет в 2022 году 104%, в 2023 году – 104%, в 2024 году – 104%.</w:t>
      </w:r>
    </w:p>
    <w:p w:rsidR="005D6ACF" w:rsidRPr="00F63780" w:rsidRDefault="005D6ACF" w:rsidP="005D6ACF">
      <w:pPr>
        <w:widowControl w:val="0"/>
        <w:autoSpaceDE w:val="0"/>
        <w:autoSpaceDN w:val="0"/>
        <w:adjustRightInd w:val="0"/>
        <w:ind w:firstLine="709"/>
        <w:jc w:val="both"/>
        <w:rPr>
          <w:sz w:val="28"/>
          <w:szCs w:val="28"/>
        </w:rPr>
      </w:pPr>
      <w:r w:rsidRPr="00F63780">
        <w:rPr>
          <w:b/>
          <w:sz w:val="28"/>
          <w:szCs w:val="28"/>
        </w:rPr>
        <w:t>Спз</w:t>
      </w:r>
      <w:r w:rsidRPr="00F63780">
        <w:rPr>
          <w:sz w:val="28"/>
          <w:szCs w:val="28"/>
        </w:rPr>
        <w:t xml:space="preserve"> - Средний размер поступлений в погашение задолженности прошлых лет за три года, предшествующих текущему финансовому году, рассчитывается следующим образом.</w:t>
      </w:r>
    </w:p>
    <w:p w:rsidR="005D6ACF" w:rsidRPr="00F63780" w:rsidRDefault="005D6ACF" w:rsidP="005D6ACF">
      <w:pPr>
        <w:ind w:firstLine="709"/>
        <w:jc w:val="both"/>
        <w:rPr>
          <w:sz w:val="28"/>
          <w:szCs w:val="28"/>
        </w:rPr>
      </w:pPr>
      <w:r w:rsidRPr="00F63780">
        <w:rPr>
          <w:sz w:val="28"/>
          <w:szCs w:val="28"/>
        </w:rPr>
        <w:t>Поступления денежных средств в счет погашения задолженности прошлых лет составили: в 2018 году – 3 569,7 тыс. руб., в 2019 году – 4 368,0 тыс. руб., в 2020 году – 8 136,00 тыс. руб.</w:t>
      </w:r>
    </w:p>
    <w:p w:rsidR="005D6ACF" w:rsidRPr="00F63780" w:rsidRDefault="005D6ACF" w:rsidP="005D6ACF">
      <w:pPr>
        <w:ind w:firstLine="709"/>
        <w:jc w:val="both"/>
        <w:rPr>
          <w:sz w:val="28"/>
          <w:szCs w:val="28"/>
        </w:rPr>
      </w:pPr>
      <w:r w:rsidRPr="00F63780">
        <w:rPr>
          <w:sz w:val="28"/>
          <w:szCs w:val="28"/>
        </w:rPr>
        <w:t xml:space="preserve">Таким образом, средний размер поступлений за предшествующие три года составил </w:t>
      </w:r>
      <w:r w:rsidRPr="00F63780">
        <w:rPr>
          <w:b/>
          <w:sz w:val="28"/>
          <w:szCs w:val="28"/>
        </w:rPr>
        <w:t>5 357,9</w:t>
      </w:r>
      <w:r w:rsidRPr="00F63780">
        <w:rPr>
          <w:sz w:val="28"/>
          <w:szCs w:val="28"/>
        </w:rPr>
        <w:t xml:space="preserve"> тыс. рублей.</w:t>
      </w:r>
    </w:p>
    <w:p w:rsidR="005D6ACF" w:rsidRPr="00F63780" w:rsidRDefault="005D6ACF" w:rsidP="005D6ACF">
      <w:pPr>
        <w:widowControl w:val="0"/>
        <w:autoSpaceDE w:val="0"/>
        <w:autoSpaceDN w:val="0"/>
        <w:adjustRightInd w:val="0"/>
        <w:ind w:firstLine="709"/>
        <w:jc w:val="both"/>
        <w:rPr>
          <w:sz w:val="28"/>
          <w:szCs w:val="28"/>
        </w:rPr>
      </w:pPr>
      <w:r w:rsidRPr="00F63780">
        <w:rPr>
          <w:sz w:val="28"/>
          <w:szCs w:val="28"/>
        </w:rPr>
        <w:t xml:space="preserve">На 2022-2024 годы запланированы поступления денежных средств в размере </w:t>
      </w:r>
      <w:r w:rsidRPr="00F63780">
        <w:rPr>
          <w:b/>
          <w:sz w:val="28"/>
          <w:szCs w:val="28"/>
        </w:rPr>
        <w:t>5 357,9</w:t>
      </w:r>
      <w:r w:rsidRPr="00F63780">
        <w:rPr>
          <w:sz w:val="28"/>
          <w:szCs w:val="28"/>
        </w:rPr>
        <w:t xml:space="preserve"> тыс. руб. ежегодно в счет уплаты задолженности прошлых лет. </w:t>
      </w:r>
    </w:p>
    <w:p w:rsidR="005D6ACF" w:rsidRPr="00F63780" w:rsidRDefault="005D6ACF" w:rsidP="005D6ACF">
      <w:pPr>
        <w:ind w:firstLine="709"/>
        <w:jc w:val="both"/>
        <w:rPr>
          <w:sz w:val="28"/>
          <w:szCs w:val="28"/>
        </w:rPr>
      </w:pPr>
      <w:r w:rsidRPr="00F63780">
        <w:rPr>
          <w:sz w:val="28"/>
          <w:szCs w:val="28"/>
        </w:rPr>
        <w:t xml:space="preserve">Ожидаемая оценка доходов, поступающих в виде арендной платы за земельные участки, находящиеся в государственной собственности Тверской области, на которых расположены объекты недвижимого имущества, на 2021 год составляет </w:t>
      </w:r>
      <w:r w:rsidRPr="00F63780">
        <w:rPr>
          <w:b/>
          <w:sz w:val="28"/>
          <w:szCs w:val="28"/>
        </w:rPr>
        <w:t xml:space="preserve">48 571,0 </w:t>
      </w:r>
      <w:r w:rsidRPr="00F63780">
        <w:rPr>
          <w:sz w:val="28"/>
          <w:szCs w:val="28"/>
        </w:rPr>
        <w:t>тыс. руб. (1 506,4+372,5+13,2+49 273,4)*84%+5 592,0 = 48 571,0 тыс. руб.).</w:t>
      </w:r>
    </w:p>
    <w:p w:rsidR="005D6ACF" w:rsidRPr="00F63780" w:rsidRDefault="005D6ACF" w:rsidP="005D6ACF">
      <w:pPr>
        <w:ind w:firstLine="709"/>
        <w:jc w:val="both"/>
        <w:rPr>
          <w:sz w:val="28"/>
          <w:szCs w:val="28"/>
        </w:rPr>
      </w:pPr>
      <w:r w:rsidRPr="00F63780">
        <w:rPr>
          <w:sz w:val="28"/>
          <w:szCs w:val="28"/>
        </w:rPr>
        <w:t xml:space="preserve">Прогнозный показатель поступлений денежных средств на 2022 год составил </w:t>
      </w:r>
      <w:r w:rsidRPr="00F63780">
        <w:rPr>
          <w:b/>
          <w:sz w:val="28"/>
          <w:szCs w:val="28"/>
        </w:rPr>
        <w:t xml:space="preserve">46 323,6 </w:t>
      </w:r>
      <w:r w:rsidRPr="00F63780">
        <w:rPr>
          <w:sz w:val="28"/>
          <w:szCs w:val="28"/>
        </w:rPr>
        <w:t>тыс. руб. (1 506,4+372,7+(13,2+45 073,0)*104,0%)*84%+5 357,9 = 46 323,6 тыс. руб.).</w:t>
      </w:r>
    </w:p>
    <w:p w:rsidR="005D6ACF" w:rsidRPr="00F63780" w:rsidRDefault="005D6ACF" w:rsidP="005D6ACF">
      <w:pPr>
        <w:ind w:firstLine="709"/>
        <w:jc w:val="both"/>
        <w:rPr>
          <w:sz w:val="28"/>
          <w:szCs w:val="28"/>
        </w:rPr>
      </w:pPr>
      <w:r w:rsidRPr="00F63780">
        <w:rPr>
          <w:sz w:val="28"/>
          <w:szCs w:val="28"/>
        </w:rPr>
        <w:t xml:space="preserve">Прогнозный показатель поступлений денежных средств на 2023 год составил </w:t>
      </w:r>
      <w:r w:rsidRPr="00F63780">
        <w:rPr>
          <w:b/>
          <w:sz w:val="28"/>
          <w:szCs w:val="28"/>
        </w:rPr>
        <w:t xml:space="preserve">47 585,6 </w:t>
      </w:r>
      <w:r w:rsidRPr="00F63780">
        <w:rPr>
          <w:sz w:val="28"/>
          <w:szCs w:val="28"/>
        </w:rPr>
        <w:t>тыс. руб. (1 506,4+(13,2+46 875,9)*104%)*84%+5 357,9 = 47 585,6 тыс. руб.</w:t>
      </w:r>
    </w:p>
    <w:p w:rsidR="005D6ACF" w:rsidRPr="00F63780" w:rsidRDefault="005D6ACF" w:rsidP="005D6ACF">
      <w:pPr>
        <w:ind w:firstLine="709"/>
        <w:jc w:val="both"/>
        <w:rPr>
          <w:sz w:val="28"/>
          <w:szCs w:val="28"/>
        </w:rPr>
      </w:pPr>
      <w:r w:rsidRPr="00F63780">
        <w:rPr>
          <w:sz w:val="28"/>
          <w:szCs w:val="28"/>
        </w:rPr>
        <w:t xml:space="preserve">Прогнозный показатель поступлений денежных средств на 2024 год составил </w:t>
      </w:r>
      <w:r w:rsidRPr="00F63780">
        <w:rPr>
          <w:b/>
          <w:sz w:val="28"/>
          <w:szCs w:val="28"/>
        </w:rPr>
        <w:t xml:space="preserve">49 223,7 </w:t>
      </w:r>
      <w:r w:rsidRPr="00F63780">
        <w:rPr>
          <w:sz w:val="28"/>
          <w:szCs w:val="28"/>
        </w:rPr>
        <w:t>тыс. руб. (1 506,4+(13,2+48 751,0)*104%)*84%+5 357,9 = 49 223,7 тыс. руб.</w:t>
      </w:r>
    </w:p>
    <w:p w:rsidR="005D6ACF" w:rsidRPr="00F63780" w:rsidRDefault="005D6ACF" w:rsidP="005D6ACF">
      <w:pPr>
        <w:autoSpaceDE w:val="0"/>
        <w:autoSpaceDN w:val="0"/>
        <w:adjustRightInd w:val="0"/>
        <w:ind w:firstLine="540"/>
        <w:jc w:val="right"/>
        <w:rPr>
          <w:bCs/>
          <w:sz w:val="28"/>
          <w:szCs w:val="28"/>
        </w:rPr>
      </w:pPr>
      <w:r w:rsidRPr="00F63780">
        <w:rPr>
          <w:bCs/>
          <w:sz w:val="28"/>
          <w:szCs w:val="28"/>
        </w:rPr>
        <w:t>тыс. руб.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9"/>
        <w:gridCol w:w="2980"/>
        <w:gridCol w:w="2998"/>
      </w:tblGrid>
      <w:tr w:rsidR="005D6ACF" w:rsidRPr="00F63780" w:rsidTr="008A253E">
        <w:trPr>
          <w:trHeight w:val="236"/>
          <w:jc w:val="center"/>
        </w:trPr>
        <w:tc>
          <w:tcPr>
            <w:tcW w:w="3079" w:type="dxa"/>
            <w:tcBorders>
              <w:top w:val="single" w:sz="4" w:space="0" w:color="auto"/>
              <w:left w:val="single" w:sz="4" w:space="0" w:color="auto"/>
              <w:bottom w:val="single" w:sz="4" w:space="0" w:color="auto"/>
              <w:right w:val="single" w:sz="4" w:space="0" w:color="auto"/>
            </w:tcBorders>
            <w:vAlign w:val="center"/>
            <w:hideMark/>
          </w:tcPr>
          <w:p w:rsidR="005D6ACF" w:rsidRPr="00F63780" w:rsidRDefault="005D6ACF" w:rsidP="008A253E">
            <w:pPr>
              <w:jc w:val="center"/>
              <w:rPr>
                <w:sz w:val="28"/>
                <w:szCs w:val="28"/>
              </w:rPr>
            </w:pPr>
            <w:r w:rsidRPr="00F63780">
              <w:rPr>
                <w:sz w:val="28"/>
                <w:szCs w:val="28"/>
              </w:rPr>
              <w:t xml:space="preserve">Прогноз на </w:t>
            </w:r>
          </w:p>
          <w:p w:rsidR="005D6ACF" w:rsidRPr="00F63780" w:rsidRDefault="005D6ACF" w:rsidP="008A253E">
            <w:pPr>
              <w:jc w:val="center"/>
              <w:rPr>
                <w:sz w:val="28"/>
                <w:szCs w:val="28"/>
              </w:rPr>
            </w:pPr>
            <w:r w:rsidRPr="00F63780">
              <w:rPr>
                <w:sz w:val="28"/>
                <w:szCs w:val="28"/>
              </w:rPr>
              <w:t>2022 год</w:t>
            </w:r>
          </w:p>
        </w:tc>
        <w:tc>
          <w:tcPr>
            <w:tcW w:w="2980" w:type="dxa"/>
            <w:tcBorders>
              <w:top w:val="single" w:sz="4" w:space="0" w:color="auto"/>
              <w:left w:val="single" w:sz="4" w:space="0" w:color="auto"/>
              <w:bottom w:val="single" w:sz="4" w:space="0" w:color="auto"/>
              <w:right w:val="single" w:sz="4" w:space="0" w:color="auto"/>
            </w:tcBorders>
            <w:vAlign w:val="center"/>
            <w:hideMark/>
          </w:tcPr>
          <w:p w:rsidR="005D6ACF" w:rsidRPr="00F63780" w:rsidRDefault="005D6ACF" w:rsidP="008A253E">
            <w:pPr>
              <w:jc w:val="center"/>
              <w:rPr>
                <w:sz w:val="28"/>
                <w:szCs w:val="28"/>
              </w:rPr>
            </w:pPr>
            <w:r w:rsidRPr="00F63780">
              <w:rPr>
                <w:sz w:val="28"/>
                <w:szCs w:val="28"/>
              </w:rPr>
              <w:t xml:space="preserve">Прогноз на </w:t>
            </w:r>
          </w:p>
          <w:p w:rsidR="005D6ACF" w:rsidRPr="00F63780" w:rsidRDefault="005D6ACF" w:rsidP="008A253E">
            <w:pPr>
              <w:jc w:val="center"/>
              <w:rPr>
                <w:sz w:val="28"/>
                <w:szCs w:val="28"/>
              </w:rPr>
            </w:pPr>
            <w:r w:rsidRPr="00F63780">
              <w:rPr>
                <w:sz w:val="28"/>
                <w:szCs w:val="28"/>
              </w:rPr>
              <w:t>2023 год</w:t>
            </w:r>
          </w:p>
        </w:tc>
        <w:tc>
          <w:tcPr>
            <w:tcW w:w="2998" w:type="dxa"/>
            <w:tcBorders>
              <w:top w:val="single" w:sz="4" w:space="0" w:color="auto"/>
              <w:left w:val="single" w:sz="4" w:space="0" w:color="auto"/>
              <w:bottom w:val="single" w:sz="4" w:space="0" w:color="auto"/>
              <w:right w:val="single" w:sz="4" w:space="0" w:color="auto"/>
            </w:tcBorders>
            <w:vAlign w:val="center"/>
            <w:hideMark/>
          </w:tcPr>
          <w:p w:rsidR="005D6ACF" w:rsidRPr="00F63780" w:rsidRDefault="005D6ACF" w:rsidP="008A253E">
            <w:pPr>
              <w:jc w:val="center"/>
              <w:rPr>
                <w:sz w:val="28"/>
                <w:szCs w:val="28"/>
              </w:rPr>
            </w:pPr>
            <w:r w:rsidRPr="00F63780">
              <w:rPr>
                <w:sz w:val="28"/>
                <w:szCs w:val="28"/>
              </w:rPr>
              <w:t xml:space="preserve">Прогноз на </w:t>
            </w:r>
          </w:p>
          <w:p w:rsidR="005D6ACF" w:rsidRPr="00F63780" w:rsidRDefault="005D6ACF" w:rsidP="008A253E">
            <w:pPr>
              <w:jc w:val="center"/>
              <w:rPr>
                <w:sz w:val="28"/>
                <w:szCs w:val="28"/>
              </w:rPr>
            </w:pPr>
            <w:r w:rsidRPr="00F63780">
              <w:rPr>
                <w:sz w:val="28"/>
                <w:szCs w:val="28"/>
              </w:rPr>
              <w:t>2024 год</w:t>
            </w:r>
          </w:p>
        </w:tc>
      </w:tr>
      <w:tr w:rsidR="005D6ACF" w:rsidRPr="00F63780" w:rsidTr="008A253E">
        <w:trPr>
          <w:trHeight w:val="261"/>
          <w:jc w:val="center"/>
        </w:trPr>
        <w:tc>
          <w:tcPr>
            <w:tcW w:w="3079" w:type="dxa"/>
            <w:tcBorders>
              <w:top w:val="single" w:sz="4" w:space="0" w:color="auto"/>
              <w:left w:val="single" w:sz="4" w:space="0" w:color="auto"/>
              <w:bottom w:val="single" w:sz="4" w:space="0" w:color="auto"/>
              <w:right w:val="single" w:sz="4" w:space="0" w:color="auto"/>
            </w:tcBorders>
            <w:hideMark/>
          </w:tcPr>
          <w:p w:rsidR="005D6ACF" w:rsidRPr="00F63780" w:rsidRDefault="005D6ACF" w:rsidP="008A253E">
            <w:pPr>
              <w:autoSpaceDE w:val="0"/>
              <w:autoSpaceDN w:val="0"/>
              <w:adjustRightInd w:val="0"/>
              <w:jc w:val="center"/>
              <w:rPr>
                <w:bCs/>
                <w:sz w:val="28"/>
                <w:szCs w:val="28"/>
              </w:rPr>
            </w:pPr>
            <w:r w:rsidRPr="00F63780">
              <w:rPr>
                <w:b/>
                <w:sz w:val="28"/>
                <w:szCs w:val="28"/>
              </w:rPr>
              <w:t>46 323,6</w:t>
            </w:r>
          </w:p>
        </w:tc>
        <w:tc>
          <w:tcPr>
            <w:tcW w:w="2980" w:type="dxa"/>
            <w:tcBorders>
              <w:top w:val="single" w:sz="4" w:space="0" w:color="auto"/>
              <w:left w:val="single" w:sz="4" w:space="0" w:color="auto"/>
              <w:bottom w:val="single" w:sz="4" w:space="0" w:color="auto"/>
              <w:right w:val="single" w:sz="4" w:space="0" w:color="auto"/>
            </w:tcBorders>
            <w:hideMark/>
          </w:tcPr>
          <w:p w:rsidR="005D6ACF" w:rsidRPr="00F63780" w:rsidRDefault="005D6ACF" w:rsidP="008A253E">
            <w:pPr>
              <w:autoSpaceDE w:val="0"/>
              <w:autoSpaceDN w:val="0"/>
              <w:adjustRightInd w:val="0"/>
              <w:jc w:val="center"/>
              <w:rPr>
                <w:bCs/>
                <w:sz w:val="28"/>
                <w:szCs w:val="28"/>
              </w:rPr>
            </w:pPr>
            <w:r w:rsidRPr="00F63780">
              <w:rPr>
                <w:b/>
                <w:sz w:val="28"/>
                <w:szCs w:val="28"/>
              </w:rPr>
              <w:t>47 585,6</w:t>
            </w:r>
          </w:p>
        </w:tc>
        <w:tc>
          <w:tcPr>
            <w:tcW w:w="2998" w:type="dxa"/>
            <w:tcBorders>
              <w:top w:val="single" w:sz="4" w:space="0" w:color="auto"/>
              <w:left w:val="single" w:sz="4" w:space="0" w:color="auto"/>
              <w:bottom w:val="single" w:sz="4" w:space="0" w:color="auto"/>
              <w:right w:val="single" w:sz="4" w:space="0" w:color="auto"/>
            </w:tcBorders>
            <w:hideMark/>
          </w:tcPr>
          <w:p w:rsidR="005D6ACF" w:rsidRPr="00F63780" w:rsidRDefault="005D6ACF" w:rsidP="008A253E">
            <w:pPr>
              <w:autoSpaceDE w:val="0"/>
              <w:autoSpaceDN w:val="0"/>
              <w:adjustRightInd w:val="0"/>
              <w:jc w:val="center"/>
              <w:rPr>
                <w:sz w:val="28"/>
                <w:szCs w:val="28"/>
              </w:rPr>
            </w:pPr>
            <w:r w:rsidRPr="00F63780">
              <w:rPr>
                <w:b/>
                <w:sz w:val="28"/>
                <w:szCs w:val="28"/>
              </w:rPr>
              <w:t>49 223,7</w:t>
            </w:r>
          </w:p>
        </w:tc>
      </w:tr>
    </w:tbl>
    <w:p w:rsidR="005D6ACF" w:rsidRPr="00F63780" w:rsidRDefault="005D6ACF" w:rsidP="005D6ACF">
      <w:pPr>
        <w:ind w:firstLine="709"/>
        <w:jc w:val="both"/>
        <w:rPr>
          <w:sz w:val="28"/>
          <w:szCs w:val="28"/>
        </w:rPr>
      </w:pPr>
    </w:p>
    <w:p w:rsidR="005D6ACF" w:rsidRDefault="005D6ACF" w:rsidP="005D6ACF">
      <w:pPr>
        <w:autoSpaceDE w:val="0"/>
        <w:autoSpaceDN w:val="0"/>
        <w:adjustRightInd w:val="0"/>
        <w:ind w:firstLine="540"/>
        <w:jc w:val="both"/>
      </w:pPr>
    </w:p>
    <w:p w:rsidR="005D6ACF" w:rsidRPr="008F5D24" w:rsidRDefault="005D6ACF" w:rsidP="005D6ACF">
      <w:pPr>
        <w:tabs>
          <w:tab w:val="left" w:pos="709"/>
        </w:tabs>
        <w:ind w:firstLine="709"/>
        <w:jc w:val="both"/>
        <w:rPr>
          <w:color w:val="000000"/>
          <w:sz w:val="28"/>
          <w:szCs w:val="28"/>
        </w:rPr>
      </w:pPr>
      <w:r w:rsidRPr="008F5D24">
        <w:rPr>
          <w:color w:val="000000"/>
          <w:sz w:val="28"/>
          <w:szCs w:val="28"/>
        </w:rPr>
        <w:t>3) средства от планируемых к проведению аукционов на заключение договоров аренды земельных участков, находящихся в собственности Тверской области.</w:t>
      </w:r>
    </w:p>
    <w:p w:rsidR="005D6ACF" w:rsidRPr="00F63780" w:rsidRDefault="005D6ACF" w:rsidP="005D6ACF">
      <w:pPr>
        <w:ind w:firstLine="709"/>
        <w:jc w:val="both"/>
        <w:rPr>
          <w:color w:val="000000"/>
          <w:sz w:val="28"/>
          <w:szCs w:val="28"/>
        </w:rPr>
      </w:pPr>
      <w:r w:rsidRPr="006D6261">
        <w:rPr>
          <w:color w:val="000000"/>
        </w:rPr>
        <w:t xml:space="preserve">Во втором полугодии 2021 года планируется проведение аукционов на право </w:t>
      </w:r>
      <w:r w:rsidRPr="00F63780">
        <w:rPr>
          <w:color w:val="000000"/>
          <w:sz w:val="28"/>
          <w:szCs w:val="28"/>
        </w:rPr>
        <w:t>заключения договоров аренды в отношении 3 земельных участков, расположенных на территории Тверской области, находящихся в собственности Тверской области.</w:t>
      </w:r>
    </w:p>
    <w:p w:rsidR="005D6ACF" w:rsidRPr="00F63780" w:rsidRDefault="005D6ACF" w:rsidP="005D6ACF">
      <w:pPr>
        <w:ind w:firstLine="709"/>
        <w:jc w:val="both"/>
        <w:rPr>
          <w:color w:val="000000"/>
          <w:sz w:val="28"/>
          <w:szCs w:val="28"/>
        </w:rPr>
      </w:pPr>
      <w:r w:rsidRPr="00F63780">
        <w:rPr>
          <w:color w:val="000000"/>
          <w:sz w:val="28"/>
          <w:szCs w:val="28"/>
        </w:rPr>
        <w:t>В соответствии с пунктом 16 статьи 39.11. Земельного кодекса Российской Федерации по результатам аукциона на право заключения договора аренды земельного участка, находящегося в государственной собственности, определяется ежегодный размер арендной платы.</w:t>
      </w:r>
    </w:p>
    <w:p w:rsidR="005D6ACF" w:rsidRPr="00F63780" w:rsidRDefault="005D6ACF" w:rsidP="005D6ACF">
      <w:pPr>
        <w:ind w:firstLine="709"/>
        <w:jc w:val="both"/>
        <w:rPr>
          <w:color w:val="000000"/>
          <w:sz w:val="28"/>
          <w:szCs w:val="28"/>
        </w:rPr>
      </w:pPr>
    </w:p>
    <w:tbl>
      <w:tblPr>
        <w:tblW w:w="10236" w:type="dxa"/>
        <w:tblInd w:w="-318" w:type="dxa"/>
        <w:tblLayout w:type="fixed"/>
        <w:tblLook w:val="04A0" w:firstRow="1" w:lastRow="0" w:firstColumn="1" w:lastColumn="0" w:noHBand="0" w:noVBand="1"/>
      </w:tblPr>
      <w:tblGrid>
        <w:gridCol w:w="498"/>
        <w:gridCol w:w="2083"/>
        <w:gridCol w:w="1134"/>
        <w:gridCol w:w="1276"/>
        <w:gridCol w:w="1134"/>
        <w:gridCol w:w="1559"/>
        <w:gridCol w:w="1135"/>
        <w:gridCol w:w="1417"/>
      </w:tblGrid>
      <w:tr w:rsidR="005D6ACF" w:rsidRPr="00F63780" w:rsidTr="008A253E">
        <w:trPr>
          <w:trHeight w:val="1990"/>
        </w:trPr>
        <w:tc>
          <w:tcPr>
            <w:tcW w:w="4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6ACF" w:rsidRPr="00F63780" w:rsidRDefault="005D6ACF" w:rsidP="008A253E">
            <w:pPr>
              <w:jc w:val="center"/>
              <w:rPr>
                <w:color w:val="000000"/>
                <w:sz w:val="22"/>
                <w:szCs w:val="22"/>
              </w:rPr>
            </w:pPr>
            <w:r w:rsidRPr="00F63780">
              <w:rPr>
                <w:color w:val="000000"/>
                <w:sz w:val="22"/>
                <w:szCs w:val="22"/>
              </w:rPr>
              <w:t>№ п/п</w:t>
            </w:r>
          </w:p>
        </w:tc>
        <w:tc>
          <w:tcPr>
            <w:tcW w:w="2083" w:type="dxa"/>
            <w:tcBorders>
              <w:top w:val="single" w:sz="4" w:space="0" w:color="auto"/>
              <w:left w:val="nil"/>
              <w:bottom w:val="single" w:sz="4" w:space="0" w:color="auto"/>
              <w:right w:val="single" w:sz="4" w:space="0" w:color="auto"/>
            </w:tcBorders>
            <w:shd w:val="clear" w:color="auto" w:fill="auto"/>
            <w:vAlign w:val="center"/>
            <w:hideMark/>
          </w:tcPr>
          <w:p w:rsidR="005D6ACF" w:rsidRPr="00F63780" w:rsidRDefault="005D6ACF" w:rsidP="008A253E">
            <w:pPr>
              <w:jc w:val="center"/>
              <w:rPr>
                <w:color w:val="000000"/>
                <w:sz w:val="22"/>
                <w:szCs w:val="22"/>
              </w:rPr>
            </w:pPr>
            <w:r w:rsidRPr="00F63780">
              <w:rPr>
                <w:color w:val="000000"/>
                <w:sz w:val="22"/>
                <w:szCs w:val="22"/>
              </w:rPr>
              <w:t>Кадастровый номер земельного участка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D6ACF" w:rsidRPr="00F63780" w:rsidRDefault="005D6ACF" w:rsidP="008A253E">
            <w:pPr>
              <w:jc w:val="center"/>
              <w:rPr>
                <w:color w:val="000000"/>
                <w:sz w:val="22"/>
                <w:szCs w:val="22"/>
              </w:rPr>
            </w:pPr>
            <w:r w:rsidRPr="00F63780">
              <w:rPr>
                <w:color w:val="000000"/>
                <w:sz w:val="22"/>
                <w:szCs w:val="22"/>
              </w:rPr>
              <w:t>Площадь земельного участка,</w:t>
            </w:r>
          </w:p>
          <w:p w:rsidR="005D6ACF" w:rsidRPr="00F63780" w:rsidRDefault="005D6ACF" w:rsidP="008A253E">
            <w:pPr>
              <w:jc w:val="center"/>
              <w:rPr>
                <w:color w:val="000000"/>
                <w:sz w:val="22"/>
                <w:szCs w:val="22"/>
              </w:rPr>
            </w:pPr>
            <w:r w:rsidRPr="00F63780">
              <w:rPr>
                <w:color w:val="000000"/>
                <w:sz w:val="22"/>
                <w:szCs w:val="22"/>
              </w:rPr>
              <w:t>кв. м</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D6ACF" w:rsidRPr="00F63780" w:rsidRDefault="005D6ACF" w:rsidP="008A253E">
            <w:pPr>
              <w:jc w:val="center"/>
              <w:rPr>
                <w:color w:val="000000"/>
                <w:sz w:val="22"/>
                <w:szCs w:val="22"/>
              </w:rPr>
            </w:pPr>
            <w:r w:rsidRPr="00F63780">
              <w:rPr>
                <w:color w:val="000000"/>
                <w:sz w:val="22"/>
                <w:szCs w:val="22"/>
              </w:rPr>
              <w:t>Начальная цена размера ежегодной арендной платы, руб.</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D6ACF" w:rsidRPr="00F63780" w:rsidRDefault="005D6ACF" w:rsidP="008A253E">
            <w:pPr>
              <w:jc w:val="center"/>
              <w:rPr>
                <w:color w:val="000000"/>
                <w:sz w:val="22"/>
                <w:szCs w:val="22"/>
              </w:rPr>
            </w:pPr>
            <w:r w:rsidRPr="00F63780">
              <w:rPr>
                <w:color w:val="000000"/>
                <w:sz w:val="22"/>
                <w:szCs w:val="22"/>
              </w:rPr>
              <w:t>Категория земельного участка</w:t>
            </w:r>
          </w:p>
        </w:tc>
        <w:tc>
          <w:tcPr>
            <w:tcW w:w="1559" w:type="dxa"/>
            <w:tcBorders>
              <w:top w:val="single" w:sz="4" w:space="0" w:color="auto"/>
              <w:left w:val="nil"/>
              <w:bottom w:val="single" w:sz="4" w:space="0" w:color="auto"/>
              <w:right w:val="single" w:sz="4" w:space="0" w:color="auto"/>
            </w:tcBorders>
            <w:vAlign w:val="center"/>
          </w:tcPr>
          <w:p w:rsidR="005D6ACF" w:rsidRPr="00F63780" w:rsidRDefault="005D6ACF" w:rsidP="008A253E">
            <w:pPr>
              <w:jc w:val="center"/>
              <w:rPr>
                <w:color w:val="000000"/>
                <w:sz w:val="22"/>
                <w:szCs w:val="22"/>
              </w:rPr>
            </w:pPr>
            <w:r w:rsidRPr="00F63780">
              <w:rPr>
                <w:color w:val="000000"/>
                <w:sz w:val="22"/>
                <w:szCs w:val="22"/>
              </w:rPr>
              <w:t>Адрес земельного участка</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5D6ACF" w:rsidRPr="00F63780" w:rsidRDefault="005D6ACF" w:rsidP="008A253E">
            <w:pPr>
              <w:jc w:val="center"/>
              <w:rPr>
                <w:color w:val="000000"/>
                <w:sz w:val="22"/>
                <w:szCs w:val="22"/>
              </w:rPr>
            </w:pPr>
            <w:r w:rsidRPr="00F63780">
              <w:rPr>
                <w:color w:val="000000"/>
                <w:sz w:val="22"/>
                <w:szCs w:val="22"/>
              </w:rPr>
              <w:t>Планируемый доход в 2021 году от ежегодной арендной платы за земельные участки, руб.</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D6ACF" w:rsidRPr="00F63780" w:rsidRDefault="005D6ACF" w:rsidP="008A253E">
            <w:pPr>
              <w:jc w:val="center"/>
              <w:rPr>
                <w:color w:val="000000"/>
                <w:sz w:val="22"/>
                <w:szCs w:val="22"/>
              </w:rPr>
            </w:pPr>
            <w:r w:rsidRPr="00F63780">
              <w:rPr>
                <w:color w:val="000000"/>
                <w:sz w:val="22"/>
                <w:szCs w:val="22"/>
              </w:rPr>
              <w:t>Планируемый доход в 2022 году от ежегодной арендной платы за земельные участки, руб.</w:t>
            </w:r>
          </w:p>
        </w:tc>
      </w:tr>
      <w:tr w:rsidR="005D6ACF" w:rsidRPr="00F63780" w:rsidTr="008A253E">
        <w:trPr>
          <w:trHeight w:val="1020"/>
        </w:trPr>
        <w:tc>
          <w:tcPr>
            <w:tcW w:w="4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6ACF" w:rsidRPr="00F63780" w:rsidRDefault="005D6ACF" w:rsidP="008A253E">
            <w:pPr>
              <w:jc w:val="center"/>
              <w:rPr>
                <w:color w:val="000000"/>
                <w:sz w:val="22"/>
                <w:szCs w:val="22"/>
              </w:rPr>
            </w:pPr>
            <w:r w:rsidRPr="00F63780">
              <w:rPr>
                <w:color w:val="000000"/>
                <w:sz w:val="22"/>
                <w:szCs w:val="22"/>
              </w:rPr>
              <w:t>1</w:t>
            </w:r>
          </w:p>
        </w:tc>
        <w:tc>
          <w:tcPr>
            <w:tcW w:w="2083" w:type="dxa"/>
            <w:tcBorders>
              <w:top w:val="single" w:sz="4" w:space="0" w:color="auto"/>
              <w:left w:val="nil"/>
              <w:bottom w:val="single" w:sz="4" w:space="0" w:color="auto"/>
              <w:right w:val="single" w:sz="4" w:space="0" w:color="auto"/>
            </w:tcBorders>
            <w:shd w:val="clear" w:color="auto" w:fill="auto"/>
            <w:vAlign w:val="center"/>
          </w:tcPr>
          <w:p w:rsidR="005D6ACF" w:rsidRPr="00F63780" w:rsidRDefault="005D6ACF" w:rsidP="008A253E">
            <w:pPr>
              <w:jc w:val="center"/>
              <w:rPr>
                <w:color w:val="000000"/>
                <w:sz w:val="22"/>
                <w:szCs w:val="22"/>
              </w:rPr>
            </w:pPr>
            <w:r w:rsidRPr="00F63780">
              <w:rPr>
                <w:color w:val="000000"/>
                <w:sz w:val="22"/>
                <w:szCs w:val="22"/>
              </w:rPr>
              <w:t>69:32:0000014:348</w:t>
            </w:r>
          </w:p>
        </w:tc>
        <w:tc>
          <w:tcPr>
            <w:tcW w:w="1134" w:type="dxa"/>
            <w:tcBorders>
              <w:top w:val="single" w:sz="4" w:space="0" w:color="auto"/>
              <w:left w:val="nil"/>
              <w:bottom w:val="single" w:sz="4" w:space="0" w:color="auto"/>
              <w:right w:val="single" w:sz="4" w:space="0" w:color="auto"/>
            </w:tcBorders>
            <w:shd w:val="clear" w:color="auto" w:fill="auto"/>
            <w:vAlign w:val="center"/>
          </w:tcPr>
          <w:p w:rsidR="005D6ACF" w:rsidRPr="00F63780" w:rsidRDefault="005D6ACF" w:rsidP="008A253E">
            <w:pPr>
              <w:jc w:val="center"/>
              <w:rPr>
                <w:color w:val="000000"/>
                <w:sz w:val="22"/>
                <w:szCs w:val="22"/>
              </w:rPr>
            </w:pPr>
            <w:r w:rsidRPr="00F63780">
              <w:rPr>
                <w:color w:val="000000"/>
                <w:sz w:val="22"/>
                <w:szCs w:val="22"/>
              </w:rPr>
              <w:t>80943</w:t>
            </w:r>
          </w:p>
        </w:tc>
        <w:tc>
          <w:tcPr>
            <w:tcW w:w="1276" w:type="dxa"/>
            <w:tcBorders>
              <w:top w:val="single" w:sz="4" w:space="0" w:color="auto"/>
              <w:left w:val="nil"/>
              <w:bottom w:val="single" w:sz="4" w:space="0" w:color="auto"/>
              <w:right w:val="single" w:sz="4" w:space="0" w:color="auto"/>
            </w:tcBorders>
            <w:shd w:val="clear" w:color="auto" w:fill="auto"/>
            <w:vAlign w:val="center"/>
          </w:tcPr>
          <w:p w:rsidR="005D6ACF" w:rsidRPr="00F63780" w:rsidRDefault="005D6ACF" w:rsidP="008A253E">
            <w:pPr>
              <w:jc w:val="center"/>
              <w:rPr>
                <w:color w:val="000000"/>
                <w:sz w:val="22"/>
                <w:szCs w:val="22"/>
              </w:rPr>
            </w:pPr>
            <w:r w:rsidRPr="00F63780">
              <w:rPr>
                <w:color w:val="000000"/>
                <w:sz w:val="22"/>
                <w:szCs w:val="22"/>
              </w:rPr>
              <w:t>4 310,21</w:t>
            </w:r>
          </w:p>
        </w:tc>
        <w:tc>
          <w:tcPr>
            <w:tcW w:w="1134" w:type="dxa"/>
            <w:tcBorders>
              <w:top w:val="single" w:sz="4" w:space="0" w:color="auto"/>
              <w:left w:val="nil"/>
              <w:bottom w:val="single" w:sz="4" w:space="0" w:color="auto"/>
              <w:right w:val="single" w:sz="4" w:space="0" w:color="auto"/>
            </w:tcBorders>
            <w:shd w:val="clear" w:color="auto" w:fill="auto"/>
            <w:vAlign w:val="center"/>
          </w:tcPr>
          <w:p w:rsidR="005D6ACF" w:rsidRPr="00F63780" w:rsidRDefault="005D6ACF" w:rsidP="008A253E">
            <w:pPr>
              <w:jc w:val="center"/>
              <w:rPr>
                <w:color w:val="000000"/>
                <w:sz w:val="22"/>
                <w:szCs w:val="22"/>
              </w:rPr>
            </w:pPr>
            <w:r w:rsidRPr="00F63780">
              <w:rPr>
                <w:color w:val="000000"/>
                <w:sz w:val="22"/>
                <w:szCs w:val="22"/>
              </w:rPr>
              <w:t>земли с/х назначения,</w:t>
            </w:r>
          </w:p>
          <w:p w:rsidR="005D6ACF" w:rsidRPr="00F63780" w:rsidRDefault="005D6ACF" w:rsidP="008A253E">
            <w:pPr>
              <w:jc w:val="center"/>
              <w:rPr>
                <w:color w:val="000000"/>
                <w:sz w:val="22"/>
                <w:szCs w:val="22"/>
              </w:rPr>
            </w:pPr>
            <w:r w:rsidRPr="00F63780">
              <w:rPr>
                <w:color w:val="000000"/>
                <w:sz w:val="22"/>
                <w:szCs w:val="22"/>
              </w:rPr>
              <w:t>ст. 39.11 ЗК РФ</w:t>
            </w:r>
          </w:p>
        </w:tc>
        <w:tc>
          <w:tcPr>
            <w:tcW w:w="1559" w:type="dxa"/>
            <w:tcBorders>
              <w:top w:val="single" w:sz="4" w:space="0" w:color="auto"/>
              <w:left w:val="nil"/>
              <w:bottom w:val="single" w:sz="4" w:space="0" w:color="auto"/>
              <w:right w:val="single" w:sz="4" w:space="0" w:color="auto"/>
            </w:tcBorders>
          </w:tcPr>
          <w:p w:rsidR="005D6ACF" w:rsidRPr="00F63780" w:rsidRDefault="005D6ACF" w:rsidP="008A253E">
            <w:pPr>
              <w:jc w:val="center"/>
              <w:rPr>
                <w:color w:val="000000"/>
                <w:sz w:val="22"/>
                <w:szCs w:val="22"/>
              </w:rPr>
            </w:pPr>
            <w:r w:rsidRPr="00F63780">
              <w:rPr>
                <w:color w:val="000000"/>
                <w:sz w:val="22"/>
                <w:szCs w:val="22"/>
              </w:rPr>
              <w:t>Тверская область, Старицкий район, Паньковское с/п, колхоз «Знамя коммунизма»</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5D6ACF" w:rsidRPr="00F63780" w:rsidRDefault="005D6ACF" w:rsidP="008A253E">
            <w:pPr>
              <w:jc w:val="center"/>
              <w:rPr>
                <w:color w:val="000000"/>
                <w:sz w:val="22"/>
                <w:szCs w:val="22"/>
              </w:rPr>
            </w:pPr>
            <w:r w:rsidRPr="00F63780">
              <w:rPr>
                <w:color w:val="000000"/>
                <w:sz w:val="22"/>
                <w:szCs w:val="22"/>
              </w:rPr>
              <w:t>0</w:t>
            </w:r>
          </w:p>
        </w:tc>
        <w:tc>
          <w:tcPr>
            <w:tcW w:w="1417" w:type="dxa"/>
            <w:tcBorders>
              <w:top w:val="single" w:sz="4" w:space="0" w:color="auto"/>
              <w:left w:val="nil"/>
              <w:bottom w:val="single" w:sz="4" w:space="0" w:color="auto"/>
              <w:right w:val="single" w:sz="4" w:space="0" w:color="auto"/>
            </w:tcBorders>
            <w:shd w:val="clear" w:color="auto" w:fill="auto"/>
            <w:vAlign w:val="center"/>
          </w:tcPr>
          <w:p w:rsidR="005D6ACF" w:rsidRPr="00F63780" w:rsidRDefault="005D6ACF" w:rsidP="008A253E">
            <w:pPr>
              <w:jc w:val="center"/>
              <w:rPr>
                <w:color w:val="000000"/>
                <w:sz w:val="22"/>
                <w:szCs w:val="22"/>
              </w:rPr>
            </w:pPr>
            <w:r w:rsidRPr="00F63780">
              <w:rPr>
                <w:color w:val="000000"/>
                <w:sz w:val="22"/>
                <w:szCs w:val="22"/>
              </w:rPr>
              <w:t>4 310,21</w:t>
            </w:r>
          </w:p>
        </w:tc>
      </w:tr>
      <w:tr w:rsidR="005D6ACF" w:rsidRPr="00F63780" w:rsidTr="008A253E">
        <w:trPr>
          <w:trHeight w:val="1020"/>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5D6ACF" w:rsidRPr="00F63780" w:rsidRDefault="005D6ACF" w:rsidP="008A253E">
            <w:pPr>
              <w:jc w:val="center"/>
              <w:rPr>
                <w:color w:val="000000"/>
                <w:sz w:val="22"/>
                <w:szCs w:val="22"/>
              </w:rPr>
            </w:pPr>
            <w:r w:rsidRPr="00F63780">
              <w:rPr>
                <w:color w:val="000000"/>
                <w:sz w:val="22"/>
                <w:szCs w:val="22"/>
              </w:rPr>
              <w:t>2</w:t>
            </w:r>
          </w:p>
        </w:tc>
        <w:tc>
          <w:tcPr>
            <w:tcW w:w="2083" w:type="dxa"/>
            <w:tcBorders>
              <w:top w:val="nil"/>
              <w:left w:val="nil"/>
              <w:bottom w:val="single" w:sz="4" w:space="0" w:color="auto"/>
              <w:right w:val="single" w:sz="4" w:space="0" w:color="auto"/>
            </w:tcBorders>
            <w:shd w:val="clear" w:color="auto" w:fill="auto"/>
            <w:vAlign w:val="center"/>
          </w:tcPr>
          <w:p w:rsidR="005D6ACF" w:rsidRPr="00F63780" w:rsidRDefault="005D6ACF" w:rsidP="008A253E">
            <w:pPr>
              <w:jc w:val="center"/>
              <w:rPr>
                <w:color w:val="000000"/>
                <w:sz w:val="22"/>
                <w:szCs w:val="22"/>
              </w:rPr>
            </w:pPr>
            <w:r w:rsidRPr="00F63780">
              <w:rPr>
                <w:color w:val="000000"/>
                <w:sz w:val="22"/>
                <w:szCs w:val="22"/>
              </w:rPr>
              <w:t>69:32:0000014:347</w:t>
            </w:r>
          </w:p>
        </w:tc>
        <w:tc>
          <w:tcPr>
            <w:tcW w:w="1134" w:type="dxa"/>
            <w:tcBorders>
              <w:top w:val="nil"/>
              <w:left w:val="nil"/>
              <w:bottom w:val="single" w:sz="4" w:space="0" w:color="auto"/>
              <w:right w:val="single" w:sz="4" w:space="0" w:color="auto"/>
            </w:tcBorders>
            <w:shd w:val="clear" w:color="auto" w:fill="auto"/>
            <w:vAlign w:val="center"/>
          </w:tcPr>
          <w:p w:rsidR="005D6ACF" w:rsidRPr="00F63780" w:rsidRDefault="005D6ACF" w:rsidP="008A253E">
            <w:pPr>
              <w:jc w:val="center"/>
              <w:rPr>
                <w:color w:val="000000"/>
                <w:sz w:val="22"/>
                <w:szCs w:val="22"/>
              </w:rPr>
            </w:pPr>
            <w:r w:rsidRPr="00F63780">
              <w:rPr>
                <w:color w:val="000000"/>
                <w:sz w:val="22"/>
                <w:szCs w:val="22"/>
              </w:rPr>
              <w:t>182024</w:t>
            </w:r>
          </w:p>
        </w:tc>
        <w:tc>
          <w:tcPr>
            <w:tcW w:w="1276" w:type="dxa"/>
            <w:tcBorders>
              <w:top w:val="nil"/>
              <w:left w:val="nil"/>
              <w:bottom w:val="single" w:sz="4" w:space="0" w:color="auto"/>
              <w:right w:val="single" w:sz="4" w:space="0" w:color="auto"/>
            </w:tcBorders>
            <w:shd w:val="clear" w:color="auto" w:fill="auto"/>
            <w:vAlign w:val="center"/>
          </w:tcPr>
          <w:p w:rsidR="005D6ACF" w:rsidRPr="00F63780" w:rsidRDefault="005D6ACF" w:rsidP="008A253E">
            <w:pPr>
              <w:jc w:val="center"/>
              <w:rPr>
                <w:color w:val="000000"/>
                <w:sz w:val="22"/>
                <w:szCs w:val="22"/>
              </w:rPr>
            </w:pPr>
            <w:r w:rsidRPr="00F63780">
              <w:rPr>
                <w:color w:val="000000"/>
                <w:sz w:val="22"/>
                <w:szCs w:val="22"/>
              </w:rPr>
              <w:t>9 692,78</w:t>
            </w:r>
          </w:p>
        </w:tc>
        <w:tc>
          <w:tcPr>
            <w:tcW w:w="1134" w:type="dxa"/>
            <w:tcBorders>
              <w:top w:val="nil"/>
              <w:left w:val="nil"/>
              <w:bottom w:val="single" w:sz="4" w:space="0" w:color="auto"/>
              <w:right w:val="single" w:sz="4" w:space="0" w:color="auto"/>
            </w:tcBorders>
            <w:shd w:val="clear" w:color="auto" w:fill="auto"/>
            <w:vAlign w:val="center"/>
          </w:tcPr>
          <w:p w:rsidR="005D6ACF" w:rsidRPr="00F63780" w:rsidRDefault="005D6ACF" w:rsidP="008A253E">
            <w:pPr>
              <w:jc w:val="center"/>
              <w:rPr>
                <w:color w:val="000000"/>
                <w:sz w:val="22"/>
                <w:szCs w:val="22"/>
              </w:rPr>
            </w:pPr>
            <w:r w:rsidRPr="00F63780">
              <w:rPr>
                <w:color w:val="000000"/>
                <w:sz w:val="22"/>
                <w:szCs w:val="22"/>
              </w:rPr>
              <w:t>земли с/х назначения,</w:t>
            </w:r>
          </w:p>
          <w:p w:rsidR="005D6ACF" w:rsidRPr="00F63780" w:rsidRDefault="005D6ACF" w:rsidP="008A253E">
            <w:pPr>
              <w:jc w:val="center"/>
              <w:rPr>
                <w:color w:val="000000"/>
                <w:sz w:val="22"/>
                <w:szCs w:val="22"/>
              </w:rPr>
            </w:pPr>
            <w:r w:rsidRPr="00F63780">
              <w:rPr>
                <w:color w:val="000000"/>
                <w:sz w:val="22"/>
                <w:szCs w:val="22"/>
              </w:rPr>
              <w:t>ст. 39.11 ЗК РФ</w:t>
            </w:r>
          </w:p>
        </w:tc>
        <w:tc>
          <w:tcPr>
            <w:tcW w:w="1559" w:type="dxa"/>
            <w:tcBorders>
              <w:top w:val="nil"/>
              <w:left w:val="nil"/>
              <w:bottom w:val="single" w:sz="4" w:space="0" w:color="auto"/>
              <w:right w:val="single" w:sz="4" w:space="0" w:color="auto"/>
            </w:tcBorders>
          </w:tcPr>
          <w:p w:rsidR="005D6ACF" w:rsidRPr="00F63780" w:rsidRDefault="005D6ACF" w:rsidP="008A253E">
            <w:pPr>
              <w:jc w:val="center"/>
              <w:rPr>
                <w:color w:val="000000"/>
                <w:sz w:val="22"/>
                <w:szCs w:val="22"/>
              </w:rPr>
            </w:pPr>
            <w:r w:rsidRPr="00F63780">
              <w:rPr>
                <w:color w:val="000000"/>
                <w:sz w:val="22"/>
                <w:szCs w:val="22"/>
              </w:rPr>
              <w:t>Тверская область, Старицкий район, Паньковское с/п, колхоз «Знамя коммунизма»</w:t>
            </w:r>
          </w:p>
        </w:tc>
        <w:tc>
          <w:tcPr>
            <w:tcW w:w="1135" w:type="dxa"/>
            <w:tcBorders>
              <w:top w:val="nil"/>
              <w:left w:val="single" w:sz="4" w:space="0" w:color="auto"/>
              <w:bottom w:val="single" w:sz="4" w:space="0" w:color="auto"/>
              <w:right w:val="single" w:sz="4" w:space="0" w:color="auto"/>
            </w:tcBorders>
            <w:shd w:val="clear" w:color="auto" w:fill="auto"/>
            <w:vAlign w:val="center"/>
          </w:tcPr>
          <w:p w:rsidR="005D6ACF" w:rsidRPr="00F63780" w:rsidRDefault="005D6ACF" w:rsidP="008A253E">
            <w:pPr>
              <w:jc w:val="center"/>
              <w:rPr>
                <w:color w:val="000000"/>
                <w:sz w:val="22"/>
                <w:szCs w:val="22"/>
              </w:rPr>
            </w:pPr>
            <w:r w:rsidRPr="00F63780">
              <w:rPr>
                <w:color w:val="000000"/>
                <w:sz w:val="22"/>
                <w:szCs w:val="22"/>
              </w:rPr>
              <w:t>0</w:t>
            </w:r>
          </w:p>
        </w:tc>
        <w:tc>
          <w:tcPr>
            <w:tcW w:w="1417" w:type="dxa"/>
            <w:tcBorders>
              <w:top w:val="nil"/>
              <w:left w:val="nil"/>
              <w:bottom w:val="single" w:sz="4" w:space="0" w:color="auto"/>
              <w:right w:val="single" w:sz="4" w:space="0" w:color="auto"/>
            </w:tcBorders>
            <w:shd w:val="clear" w:color="auto" w:fill="auto"/>
            <w:vAlign w:val="center"/>
          </w:tcPr>
          <w:p w:rsidR="005D6ACF" w:rsidRPr="00F63780" w:rsidRDefault="005D6ACF" w:rsidP="008A253E">
            <w:pPr>
              <w:jc w:val="center"/>
              <w:rPr>
                <w:color w:val="000000"/>
                <w:sz w:val="22"/>
                <w:szCs w:val="22"/>
              </w:rPr>
            </w:pPr>
            <w:r w:rsidRPr="00F63780">
              <w:rPr>
                <w:color w:val="000000"/>
                <w:sz w:val="22"/>
                <w:szCs w:val="22"/>
              </w:rPr>
              <w:t>9 692,78</w:t>
            </w:r>
          </w:p>
        </w:tc>
      </w:tr>
      <w:tr w:rsidR="005D6ACF" w:rsidRPr="00F63780" w:rsidTr="008A253E">
        <w:trPr>
          <w:trHeight w:val="1020"/>
        </w:trPr>
        <w:tc>
          <w:tcPr>
            <w:tcW w:w="498" w:type="dxa"/>
            <w:tcBorders>
              <w:top w:val="nil"/>
              <w:left w:val="single" w:sz="4" w:space="0" w:color="auto"/>
              <w:bottom w:val="single" w:sz="4" w:space="0" w:color="auto"/>
              <w:right w:val="single" w:sz="4" w:space="0" w:color="auto"/>
            </w:tcBorders>
            <w:shd w:val="clear" w:color="auto" w:fill="auto"/>
            <w:vAlign w:val="center"/>
          </w:tcPr>
          <w:p w:rsidR="005D6ACF" w:rsidRPr="00F63780" w:rsidRDefault="005D6ACF" w:rsidP="008A253E">
            <w:pPr>
              <w:jc w:val="center"/>
              <w:rPr>
                <w:color w:val="000000"/>
                <w:sz w:val="22"/>
                <w:szCs w:val="22"/>
              </w:rPr>
            </w:pPr>
            <w:r w:rsidRPr="00F63780">
              <w:rPr>
                <w:color w:val="000000"/>
                <w:sz w:val="22"/>
                <w:szCs w:val="22"/>
              </w:rPr>
              <w:t>3</w:t>
            </w:r>
          </w:p>
        </w:tc>
        <w:tc>
          <w:tcPr>
            <w:tcW w:w="2083" w:type="dxa"/>
            <w:tcBorders>
              <w:top w:val="nil"/>
              <w:left w:val="nil"/>
              <w:bottom w:val="single" w:sz="4" w:space="0" w:color="auto"/>
              <w:right w:val="single" w:sz="4" w:space="0" w:color="auto"/>
            </w:tcBorders>
            <w:shd w:val="clear" w:color="auto" w:fill="auto"/>
            <w:vAlign w:val="center"/>
          </w:tcPr>
          <w:p w:rsidR="005D6ACF" w:rsidRPr="00F63780" w:rsidRDefault="005D6ACF" w:rsidP="008A253E">
            <w:pPr>
              <w:jc w:val="center"/>
              <w:rPr>
                <w:color w:val="000000"/>
                <w:sz w:val="22"/>
                <w:szCs w:val="22"/>
              </w:rPr>
            </w:pPr>
            <w:r w:rsidRPr="00F63780">
              <w:rPr>
                <w:color w:val="000000"/>
                <w:sz w:val="22"/>
                <w:szCs w:val="22"/>
              </w:rPr>
              <w:t>69:10:0000038:1067</w:t>
            </w:r>
          </w:p>
        </w:tc>
        <w:tc>
          <w:tcPr>
            <w:tcW w:w="1134" w:type="dxa"/>
            <w:tcBorders>
              <w:top w:val="nil"/>
              <w:left w:val="nil"/>
              <w:bottom w:val="single" w:sz="4" w:space="0" w:color="auto"/>
              <w:right w:val="single" w:sz="4" w:space="0" w:color="auto"/>
            </w:tcBorders>
            <w:shd w:val="clear" w:color="auto" w:fill="auto"/>
            <w:vAlign w:val="center"/>
          </w:tcPr>
          <w:p w:rsidR="005D6ACF" w:rsidRPr="00F63780" w:rsidRDefault="005D6ACF" w:rsidP="008A253E">
            <w:pPr>
              <w:jc w:val="center"/>
              <w:rPr>
                <w:color w:val="000000"/>
                <w:sz w:val="22"/>
                <w:szCs w:val="22"/>
              </w:rPr>
            </w:pPr>
            <w:r w:rsidRPr="00F63780">
              <w:rPr>
                <w:color w:val="000000"/>
                <w:sz w:val="22"/>
                <w:szCs w:val="22"/>
              </w:rPr>
              <w:t>42003</w:t>
            </w:r>
          </w:p>
        </w:tc>
        <w:tc>
          <w:tcPr>
            <w:tcW w:w="1276" w:type="dxa"/>
            <w:tcBorders>
              <w:top w:val="nil"/>
              <w:left w:val="nil"/>
              <w:bottom w:val="single" w:sz="4" w:space="0" w:color="auto"/>
              <w:right w:val="single" w:sz="4" w:space="0" w:color="auto"/>
            </w:tcBorders>
            <w:shd w:val="clear" w:color="auto" w:fill="auto"/>
            <w:vAlign w:val="center"/>
          </w:tcPr>
          <w:p w:rsidR="005D6ACF" w:rsidRPr="00F63780" w:rsidRDefault="005D6ACF" w:rsidP="008A253E">
            <w:pPr>
              <w:jc w:val="center"/>
              <w:rPr>
                <w:color w:val="000000"/>
                <w:sz w:val="22"/>
                <w:szCs w:val="22"/>
              </w:rPr>
            </w:pPr>
            <w:r w:rsidRPr="00F63780">
              <w:rPr>
                <w:color w:val="000000"/>
                <w:sz w:val="22"/>
                <w:szCs w:val="22"/>
              </w:rPr>
              <w:t>1 650,72</w:t>
            </w:r>
          </w:p>
        </w:tc>
        <w:tc>
          <w:tcPr>
            <w:tcW w:w="1134" w:type="dxa"/>
            <w:tcBorders>
              <w:top w:val="nil"/>
              <w:left w:val="nil"/>
              <w:bottom w:val="single" w:sz="4" w:space="0" w:color="auto"/>
              <w:right w:val="single" w:sz="4" w:space="0" w:color="auto"/>
            </w:tcBorders>
            <w:shd w:val="clear" w:color="auto" w:fill="auto"/>
            <w:vAlign w:val="center"/>
          </w:tcPr>
          <w:p w:rsidR="005D6ACF" w:rsidRPr="00F63780" w:rsidRDefault="005D6ACF" w:rsidP="008A253E">
            <w:pPr>
              <w:jc w:val="center"/>
              <w:rPr>
                <w:color w:val="000000"/>
                <w:sz w:val="22"/>
                <w:szCs w:val="22"/>
              </w:rPr>
            </w:pPr>
            <w:r w:rsidRPr="00F63780">
              <w:rPr>
                <w:color w:val="000000"/>
                <w:sz w:val="22"/>
                <w:szCs w:val="22"/>
              </w:rPr>
              <w:t>земли с/х назначения,</w:t>
            </w:r>
          </w:p>
          <w:p w:rsidR="005D6ACF" w:rsidRPr="00F63780" w:rsidRDefault="005D6ACF" w:rsidP="008A253E">
            <w:pPr>
              <w:jc w:val="center"/>
              <w:rPr>
                <w:color w:val="000000"/>
                <w:sz w:val="22"/>
                <w:szCs w:val="22"/>
              </w:rPr>
            </w:pPr>
            <w:r w:rsidRPr="00F63780">
              <w:rPr>
                <w:color w:val="000000"/>
                <w:sz w:val="22"/>
                <w:szCs w:val="22"/>
              </w:rPr>
              <w:t>ст. 39.11 ЗК РФ</w:t>
            </w:r>
          </w:p>
        </w:tc>
        <w:tc>
          <w:tcPr>
            <w:tcW w:w="1559" w:type="dxa"/>
            <w:tcBorders>
              <w:top w:val="nil"/>
              <w:left w:val="nil"/>
              <w:bottom w:val="single" w:sz="4" w:space="0" w:color="auto"/>
              <w:right w:val="single" w:sz="4" w:space="0" w:color="auto"/>
            </w:tcBorders>
          </w:tcPr>
          <w:p w:rsidR="005D6ACF" w:rsidRPr="00F63780" w:rsidRDefault="005D6ACF" w:rsidP="008A253E">
            <w:pPr>
              <w:jc w:val="center"/>
              <w:rPr>
                <w:color w:val="000000"/>
                <w:sz w:val="22"/>
                <w:szCs w:val="22"/>
              </w:rPr>
            </w:pPr>
            <w:r w:rsidRPr="00F63780">
              <w:rPr>
                <w:color w:val="000000"/>
                <w:sz w:val="22"/>
                <w:szCs w:val="22"/>
              </w:rPr>
              <w:t>Тверская область, Калининский район, Красногорское сп, д. Некрасово</w:t>
            </w:r>
          </w:p>
        </w:tc>
        <w:tc>
          <w:tcPr>
            <w:tcW w:w="1135" w:type="dxa"/>
            <w:tcBorders>
              <w:top w:val="nil"/>
              <w:left w:val="single" w:sz="4" w:space="0" w:color="auto"/>
              <w:bottom w:val="single" w:sz="4" w:space="0" w:color="auto"/>
              <w:right w:val="single" w:sz="4" w:space="0" w:color="auto"/>
            </w:tcBorders>
            <w:shd w:val="clear" w:color="auto" w:fill="auto"/>
            <w:vAlign w:val="center"/>
          </w:tcPr>
          <w:p w:rsidR="005D6ACF" w:rsidRPr="00F63780" w:rsidRDefault="005D6ACF" w:rsidP="008A253E">
            <w:pPr>
              <w:jc w:val="center"/>
              <w:rPr>
                <w:color w:val="000000"/>
                <w:sz w:val="22"/>
                <w:szCs w:val="22"/>
              </w:rPr>
            </w:pPr>
            <w:r w:rsidRPr="00F63780">
              <w:rPr>
                <w:color w:val="000000"/>
                <w:sz w:val="22"/>
                <w:szCs w:val="22"/>
              </w:rPr>
              <w:t>0</w:t>
            </w:r>
          </w:p>
        </w:tc>
        <w:tc>
          <w:tcPr>
            <w:tcW w:w="1417" w:type="dxa"/>
            <w:tcBorders>
              <w:top w:val="nil"/>
              <w:left w:val="nil"/>
              <w:bottom w:val="single" w:sz="4" w:space="0" w:color="auto"/>
              <w:right w:val="single" w:sz="4" w:space="0" w:color="auto"/>
            </w:tcBorders>
            <w:shd w:val="clear" w:color="auto" w:fill="auto"/>
            <w:vAlign w:val="center"/>
          </w:tcPr>
          <w:p w:rsidR="005D6ACF" w:rsidRPr="00F63780" w:rsidRDefault="005D6ACF" w:rsidP="008A253E">
            <w:pPr>
              <w:jc w:val="center"/>
              <w:rPr>
                <w:color w:val="000000"/>
                <w:sz w:val="22"/>
                <w:szCs w:val="22"/>
              </w:rPr>
            </w:pPr>
            <w:r w:rsidRPr="00F63780">
              <w:rPr>
                <w:color w:val="000000"/>
                <w:sz w:val="22"/>
                <w:szCs w:val="22"/>
              </w:rPr>
              <w:t>1 650,72</w:t>
            </w:r>
          </w:p>
        </w:tc>
      </w:tr>
      <w:tr w:rsidR="005D6ACF" w:rsidRPr="00F63780" w:rsidTr="008A253E">
        <w:trPr>
          <w:trHeight w:val="1020"/>
        </w:trPr>
        <w:tc>
          <w:tcPr>
            <w:tcW w:w="498" w:type="dxa"/>
            <w:tcBorders>
              <w:top w:val="nil"/>
              <w:left w:val="single" w:sz="4" w:space="0" w:color="auto"/>
              <w:bottom w:val="single" w:sz="4" w:space="0" w:color="auto"/>
              <w:right w:val="single" w:sz="4" w:space="0" w:color="auto"/>
            </w:tcBorders>
            <w:shd w:val="clear" w:color="auto" w:fill="auto"/>
            <w:vAlign w:val="center"/>
          </w:tcPr>
          <w:p w:rsidR="005D6ACF" w:rsidRPr="00F63780" w:rsidRDefault="005D6ACF" w:rsidP="008A253E">
            <w:pPr>
              <w:jc w:val="center"/>
              <w:rPr>
                <w:color w:val="000000"/>
                <w:sz w:val="22"/>
                <w:szCs w:val="22"/>
              </w:rPr>
            </w:pPr>
          </w:p>
        </w:tc>
        <w:tc>
          <w:tcPr>
            <w:tcW w:w="2083" w:type="dxa"/>
            <w:tcBorders>
              <w:top w:val="nil"/>
              <w:left w:val="nil"/>
              <w:bottom w:val="single" w:sz="4" w:space="0" w:color="auto"/>
              <w:right w:val="single" w:sz="4" w:space="0" w:color="auto"/>
            </w:tcBorders>
            <w:shd w:val="clear" w:color="auto" w:fill="auto"/>
            <w:vAlign w:val="center"/>
          </w:tcPr>
          <w:p w:rsidR="005D6ACF" w:rsidRPr="00F63780" w:rsidRDefault="005D6ACF" w:rsidP="008A253E">
            <w:pPr>
              <w:jc w:val="center"/>
              <w:rPr>
                <w:b/>
                <w:bCs/>
                <w:color w:val="000000"/>
                <w:sz w:val="22"/>
                <w:szCs w:val="22"/>
              </w:rPr>
            </w:pPr>
            <w:r w:rsidRPr="00F63780">
              <w:rPr>
                <w:b/>
                <w:bCs/>
                <w:color w:val="000000"/>
                <w:sz w:val="22"/>
                <w:szCs w:val="22"/>
              </w:rPr>
              <w:t>Итого</w:t>
            </w:r>
          </w:p>
        </w:tc>
        <w:tc>
          <w:tcPr>
            <w:tcW w:w="1134" w:type="dxa"/>
            <w:tcBorders>
              <w:top w:val="nil"/>
              <w:left w:val="nil"/>
              <w:bottom w:val="single" w:sz="4" w:space="0" w:color="auto"/>
              <w:right w:val="single" w:sz="4" w:space="0" w:color="auto"/>
            </w:tcBorders>
            <w:shd w:val="clear" w:color="auto" w:fill="auto"/>
            <w:vAlign w:val="center"/>
          </w:tcPr>
          <w:p w:rsidR="005D6ACF" w:rsidRPr="00F63780" w:rsidRDefault="005D6ACF" w:rsidP="008A253E">
            <w:pPr>
              <w:jc w:val="center"/>
              <w:rPr>
                <w:b/>
                <w:bCs/>
                <w:color w:val="000000"/>
                <w:sz w:val="22"/>
                <w:szCs w:val="22"/>
              </w:rPr>
            </w:pPr>
            <w:r w:rsidRPr="00F63780">
              <w:rPr>
                <w:b/>
                <w:bCs/>
                <w:color w:val="000000"/>
                <w:sz w:val="22"/>
                <w:szCs w:val="22"/>
              </w:rPr>
              <w:t>304970</w:t>
            </w:r>
          </w:p>
        </w:tc>
        <w:tc>
          <w:tcPr>
            <w:tcW w:w="1276" w:type="dxa"/>
            <w:tcBorders>
              <w:top w:val="nil"/>
              <w:left w:val="nil"/>
              <w:bottom w:val="single" w:sz="4" w:space="0" w:color="auto"/>
              <w:right w:val="single" w:sz="4" w:space="0" w:color="auto"/>
            </w:tcBorders>
            <w:shd w:val="clear" w:color="auto" w:fill="auto"/>
            <w:vAlign w:val="center"/>
          </w:tcPr>
          <w:p w:rsidR="005D6ACF" w:rsidRPr="00F63780" w:rsidRDefault="005D6ACF" w:rsidP="008A253E">
            <w:pPr>
              <w:jc w:val="center"/>
              <w:rPr>
                <w:b/>
                <w:bCs/>
                <w:color w:val="000000"/>
                <w:sz w:val="22"/>
                <w:szCs w:val="22"/>
              </w:rPr>
            </w:pPr>
            <w:r w:rsidRPr="00F63780">
              <w:rPr>
                <w:b/>
                <w:bCs/>
                <w:color w:val="000000"/>
                <w:sz w:val="22"/>
                <w:szCs w:val="22"/>
              </w:rPr>
              <w:t>15 653,71</w:t>
            </w:r>
          </w:p>
        </w:tc>
        <w:tc>
          <w:tcPr>
            <w:tcW w:w="1134" w:type="dxa"/>
            <w:tcBorders>
              <w:top w:val="nil"/>
              <w:left w:val="nil"/>
              <w:bottom w:val="single" w:sz="4" w:space="0" w:color="auto"/>
              <w:right w:val="single" w:sz="4" w:space="0" w:color="auto"/>
            </w:tcBorders>
            <w:shd w:val="clear" w:color="auto" w:fill="auto"/>
            <w:vAlign w:val="center"/>
          </w:tcPr>
          <w:p w:rsidR="005D6ACF" w:rsidRPr="00F63780" w:rsidRDefault="005D6ACF" w:rsidP="008A253E">
            <w:pPr>
              <w:jc w:val="center"/>
              <w:rPr>
                <w:b/>
                <w:bCs/>
                <w:color w:val="000000"/>
                <w:sz w:val="22"/>
                <w:szCs w:val="22"/>
              </w:rPr>
            </w:pPr>
          </w:p>
        </w:tc>
        <w:tc>
          <w:tcPr>
            <w:tcW w:w="1559" w:type="dxa"/>
            <w:tcBorders>
              <w:top w:val="nil"/>
              <w:left w:val="nil"/>
              <w:bottom w:val="single" w:sz="4" w:space="0" w:color="auto"/>
              <w:right w:val="single" w:sz="4" w:space="0" w:color="auto"/>
            </w:tcBorders>
          </w:tcPr>
          <w:p w:rsidR="005D6ACF" w:rsidRPr="00F63780" w:rsidRDefault="005D6ACF" w:rsidP="008A253E">
            <w:pPr>
              <w:jc w:val="center"/>
              <w:rPr>
                <w:b/>
                <w:bCs/>
                <w:color w:val="000000"/>
                <w:sz w:val="22"/>
                <w:szCs w:val="22"/>
              </w:rPr>
            </w:pPr>
          </w:p>
        </w:tc>
        <w:tc>
          <w:tcPr>
            <w:tcW w:w="1135" w:type="dxa"/>
            <w:tcBorders>
              <w:top w:val="nil"/>
              <w:left w:val="single" w:sz="4" w:space="0" w:color="auto"/>
              <w:bottom w:val="single" w:sz="4" w:space="0" w:color="auto"/>
              <w:right w:val="single" w:sz="4" w:space="0" w:color="auto"/>
            </w:tcBorders>
            <w:shd w:val="clear" w:color="auto" w:fill="auto"/>
            <w:vAlign w:val="center"/>
          </w:tcPr>
          <w:p w:rsidR="005D6ACF" w:rsidRPr="00F63780" w:rsidRDefault="005D6ACF" w:rsidP="008A253E">
            <w:pPr>
              <w:jc w:val="center"/>
              <w:rPr>
                <w:b/>
                <w:bCs/>
                <w:color w:val="000000"/>
                <w:sz w:val="22"/>
                <w:szCs w:val="22"/>
              </w:rPr>
            </w:pPr>
            <w:r w:rsidRPr="00F63780">
              <w:rPr>
                <w:b/>
                <w:bCs/>
                <w:color w:val="000000"/>
                <w:sz w:val="22"/>
                <w:szCs w:val="22"/>
              </w:rPr>
              <w:t>0</w:t>
            </w:r>
          </w:p>
        </w:tc>
        <w:tc>
          <w:tcPr>
            <w:tcW w:w="1417" w:type="dxa"/>
            <w:tcBorders>
              <w:top w:val="nil"/>
              <w:left w:val="nil"/>
              <w:bottom w:val="single" w:sz="4" w:space="0" w:color="auto"/>
              <w:right w:val="single" w:sz="4" w:space="0" w:color="auto"/>
            </w:tcBorders>
            <w:shd w:val="clear" w:color="auto" w:fill="auto"/>
            <w:vAlign w:val="center"/>
          </w:tcPr>
          <w:p w:rsidR="005D6ACF" w:rsidRPr="00F63780" w:rsidRDefault="005D6ACF" w:rsidP="008A253E">
            <w:pPr>
              <w:jc w:val="center"/>
              <w:rPr>
                <w:b/>
                <w:bCs/>
                <w:color w:val="000000"/>
                <w:sz w:val="22"/>
                <w:szCs w:val="22"/>
              </w:rPr>
            </w:pPr>
            <w:r w:rsidRPr="00F63780">
              <w:rPr>
                <w:b/>
                <w:bCs/>
                <w:color w:val="000000"/>
                <w:sz w:val="22"/>
                <w:szCs w:val="22"/>
              </w:rPr>
              <w:t>15 653,71</w:t>
            </w:r>
          </w:p>
        </w:tc>
      </w:tr>
    </w:tbl>
    <w:p w:rsidR="005D6ACF" w:rsidRPr="00F63780" w:rsidRDefault="005D6ACF" w:rsidP="005D6ACF">
      <w:pPr>
        <w:ind w:firstLine="709"/>
        <w:jc w:val="both"/>
        <w:rPr>
          <w:color w:val="000000"/>
          <w:sz w:val="28"/>
          <w:szCs w:val="28"/>
        </w:rPr>
      </w:pPr>
    </w:p>
    <w:p w:rsidR="005D6ACF" w:rsidRPr="00F63780" w:rsidRDefault="005D6ACF" w:rsidP="005D6ACF">
      <w:pPr>
        <w:autoSpaceDE w:val="0"/>
        <w:autoSpaceDN w:val="0"/>
        <w:adjustRightInd w:val="0"/>
        <w:ind w:firstLine="540"/>
        <w:jc w:val="both"/>
        <w:rPr>
          <w:bCs/>
          <w:sz w:val="28"/>
          <w:szCs w:val="28"/>
        </w:rPr>
      </w:pPr>
      <w:r w:rsidRPr="00F63780">
        <w:rPr>
          <w:sz w:val="28"/>
          <w:szCs w:val="28"/>
        </w:rPr>
        <w:t>Согласно письму Министерства экономического развития Тверской области от 18.05.2021 № 2514 прогноз показателя инфляции (базовый вариант ИПЦ) к декабрю предыдущего года составляет в 2022 году 104%, в 2023 году – 104%, в 2024 году – 104%.</w:t>
      </w:r>
    </w:p>
    <w:p w:rsidR="005D6ACF" w:rsidRPr="00F63780" w:rsidRDefault="005D6ACF" w:rsidP="005D6ACF">
      <w:pPr>
        <w:autoSpaceDE w:val="0"/>
        <w:autoSpaceDN w:val="0"/>
        <w:adjustRightInd w:val="0"/>
        <w:ind w:firstLine="540"/>
        <w:jc w:val="right"/>
        <w:rPr>
          <w:bCs/>
          <w:sz w:val="28"/>
          <w:szCs w:val="28"/>
        </w:rPr>
      </w:pPr>
      <w:r w:rsidRPr="00F63780">
        <w:rPr>
          <w:bCs/>
          <w:sz w:val="28"/>
          <w:szCs w:val="28"/>
        </w:rPr>
        <w:t>тыс. руб.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8"/>
        <w:gridCol w:w="2364"/>
        <w:gridCol w:w="2289"/>
        <w:gridCol w:w="2303"/>
      </w:tblGrid>
      <w:tr w:rsidR="005D6ACF" w:rsidRPr="00F63780" w:rsidTr="008A253E">
        <w:trPr>
          <w:trHeight w:val="317"/>
          <w:jc w:val="center"/>
        </w:trPr>
        <w:tc>
          <w:tcPr>
            <w:tcW w:w="2268" w:type="dxa"/>
            <w:vAlign w:val="center"/>
          </w:tcPr>
          <w:p w:rsidR="005D6ACF" w:rsidRPr="00F63780" w:rsidRDefault="005D6ACF" w:rsidP="008A253E">
            <w:pPr>
              <w:jc w:val="center"/>
              <w:rPr>
                <w:sz w:val="28"/>
                <w:szCs w:val="28"/>
              </w:rPr>
            </w:pPr>
            <w:r w:rsidRPr="00F63780">
              <w:rPr>
                <w:sz w:val="28"/>
                <w:szCs w:val="28"/>
              </w:rPr>
              <w:t>Ожидаемая оценка за 2021 год</w:t>
            </w:r>
          </w:p>
        </w:tc>
        <w:tc>
          <w:tcPr>
            <w:tcW w:w="2399" w:type="dxa"/>
            <w:vAlign w:val="center"/>
          </w:tcPr>
          <w:p w:rsidR="005D6ACF" w:rsidRPr="00F63780" w:rsidRDefault="005D6ACF" w:rsidP="008A253E">
            <w:pPr>
              <w:jc w:val="center"/>
              <w:rPr>
                <w:sz w:val="28"/>
                <w:szCs w:val="28"/>
              </w:rPr>
            </w:pPr>
            <w:r w:rsidRPr="00F63780">
              <w:rPr>
                <w:sz w:val="28"/>
                <w:szCs w:val="28"/>
              </w:rPr>
              <w:t xml:space="preserve">Прогноз на </w:t>
            </w:r>
          </w:p>
          <w:p w:rsidR="005D6ACF" w:rsidRPr="00F63780" w:rsidRDefault="005D6ACF" w:rsidP="008A253E">
            <w:pPr>
              <w:jc w:val="center"/>
              <w:rPr>
                <w:sz w:val="28"/>
                <w:szCs w:val="28"/>
              </w:rPr>
            </w:pPr>
            <w:r w:rsidRPr="00F63780">
              <w:rPr>
                <w:sz w:val="28"/>
                <w:szCs w:val="28"/>
              </w:rPr>
              <w:t>2022 год</w:t>
            </w:r>
          </w:p>
        </w:tc>
        <w:tc>
          <w:tcPr>
            <w:tcW w:w="2322" w:type="dxa"/>
            <w:vAlign w:val="center"/>
          </w:tcPr>
          <w:p w:rsidR="005D6ACF" w:rsidRPr="00F63780" w:rsidRDefault="005D6ACF" w:rsidP="008A253E">
            <w:pPr>
              <w:jc w:val="center"/>
              <w:rPr>
                <w:sz w:val="28"/>
                <w:szCs w:val="28"/>
              </w:rPr>
            </w:pPr>
            <w:r w:rsidRPr="00F63780">
              <w:rPr>
                <w:sz w:val="28"/>
                <w:szCs w:val="28"/>
              </w:rPr>
              <w:t xml:space="preserve">Прогноз на </w:t>
            </w:r>
          </w:p>
          <w:p w:rsidR="005D6ACF" w:rsidRPr="00F63780" w:rsidRDefault="005D6ACF" w:rsidP="008A253E">
            <w:pPr>
              <w:jc w:val="center"/>
              <w:rPr>
                <w:sz w:val="28"/>
                <w:szCs w:val="28"/>
              </w:rPr>
            </w:pPr>
            <w:r w:rsidRPr="00F63780">
              <w:rPr>
                <w:sz w:val="28"/>
                <w:szCs w:val="28"/>
              </w:rPr>
              <w:t>2023 год</w:t>
            </w:r>
          </w:p>
        </w:tc>
        <w:tc>
          <w:tcPr>
            <w:tcW w:w="2336" w:type="dxa"/>
            <w:vAlign w:val="center"/>
          </w:tcPr>
          <w:p w:rsidR="005D6ACF" w:rsidRPr="00F63780" w:rsidRDefault="005D6ACF" w:rsidP="008A253E">
            <w:pPr>
              <w:jc w:val="center"/>
              <w:rPr>
                <w:sz w:val="28"/>
                <w:szCs w:val="28"/>
              </w:rPr>
            </w:pPr>
            <w:r w:rsidRPr="00F63780">
              <w:rPr>
                <w:sz w:val="28"/>
                <w:szCs w:val="28"/>
              </w:rPr>
              <w:t xml:space="preserve">Прогноз на </w:t>
            </w:r>
          </w:p>
          <w:p w:rsidR="005D6ACF" w:rsidRPr="00F63780" w:rsidRDefault="005D6ACF" w:rsidP="008A253E">
            <w:pPr>
              <w:jc w:val="center"/>
              <w:rPr>
                <w:sz w:val="28"/>
                <w:szCs w:val="28"/>
              </w:rPr>
            </w:pPr>
            <w:r w:rsidRPr="00F63780">
              <w:rPr>
                <w:sz w:val="28"/>
                <w:szCs w:val="28"/>
              </w:rPr>
              <w:t>2024 год</w:t>
            </w:r>
          </w:p>
        </w:tc>
      </w:tr>
      <w:tr w:rsidR="005D6ACF" w:rsidRPr="00F63780" w:rsidTr="008A253E">
        <w:trPr>
          <w:trHeight w:val="350"/>
          <w:jc w:val="center"/>
        </w:trPr>
        <w:tc>
          <w:tcPr>
            <w:tcW w:w="2268" w:type="dxa"/>
          </w:tcPr>
          <w:p w:rsidR="005D6ACF" w:rsidRPr="00F63780" w:rsidRDefault="005D6ACF" w:rsidP="008A253E">
            <w:pPr>
              <w:autoSpaceDE w:val="0"/>
              <w:autoSpaceDN w:val="0"/>
              <w:adjustRightInd w:val="0"/>
              <w:jc w:val="center"/>
              <w:rPr>
                <w:sz w:val="28"/>
                <w:szCs w:val="28"/>
              </w:rPr>
            </w:pPr>
            <w:r w:rsidRPr="00F63780">
              <w:rPr>
                <w:sz w:val="28"/>
                <w:szCs w:val="28"/>
              </w:rPr>
              <w:t>0</w:t>
            </w:r>
          </w:p>
        </w:tc>
        <w:tc>
          <w:tcPr>
            <w:tcW w:w="2399" w:type="dxa"/>
          </w:tcPr>
          <w:p w:rsidR="005D6ACF" w:rsidRPr="00F63780" w:rsidRDefault="005D6ACF" w:rsidP="008A253E">
            <w:pPr>
              <w:autoSpaceDE w:val="0"/>
              <w:autoSpaceDN w:val="0"/>
              <w:adjustRightInd w:val="0"/>
              <w:jc w:val="center"/>
              <w:rPr>
                <w:bCs/>
                <w:sz w:val="28"/>
                <w:szCs w:val="28"/>
              </w:rPr>
            </w:pPr>
            <w:r w:rsidRPr="00F63780">
              <w:rPr>
                <w:sz w:val="28"/>
                <w:szCs w:val="28"/>
              </w:rPr>
              <w:t>15,7</w:t>
            </w:r>
          </w:p>
        </w:tc>
        <w:tc>
          <w:tcPr>
            <w:tcW w:w="2322" w:type="dxa"/>
          </w:tcPr>
          <w:p w:rsidR="005D6ACF" w:rsidRPr="00F63780" w:rsidRDefault="005D6ACF" w:rsidP="008A253E">
            <w:pPr>
              <w:autoSpaceDE w:val="0"/>
              <w:autoSpaceDN w:val="0"/>
              <w:adjustRightInd w:val="0"/>
              <w:jc w:val="center"/>
              <w:rPr>
                <w:bCs/>
                <w:sz w:val="28"/>
                <w:szCs w:val="28"/>
              </w:rPr>
            </w:pPr>
            <w:r w:rsidRPr="00F63780">
              <w:rPr>
                <w:bCs/>
                <w:sz w:val="28"/>
                <w:szCs w:val="28"/>
              </w:rPr>
              <w:t>16,3</w:t>
            </w:r>
          </w:p>
        </w:tc>
        <w:tc>
          <w:tcPr>
            <w:tcW w:w="2336" w:type="dxa"/>
          </w:tcPr>
          <w:p w:rsidR="005D6ACF" w:rsidRPr="00F63780" w:rsidRDefault="005D6ACF" w:rsidP="008A253E">
            <w:pPr>
              <w:autoSpaceDE w:val="0"/>
              <w:autoSpaceDN w:val="0"/>
              <w:adjustRightInd w:val="0"/>
              <w:jc w:val="center"/>
              <w:rPr>
                <w:bCs/>
                <w:sz w:val="28"/>
                <w:szCs w:val="28"/>
              </w:rPr>
            </w:pPr>
            <w:r w:rsidRPr="00F63780">
              <w:rPr>
                <w:bCs/>
                <w:sz w:val="28"/>
                <w:szCs w:val="28"/>
              </w:rPr>
              <w:t>17,0</w:t>
            </w:r>
          </w:p>
        </w:tc>
      </w:tr>
    </w:tbl>
    <w:p w:rsidR="005D6ACF" w:rsidRPr="00C93A58" w:rsidRDefault="005D6ACF" w:rsidP="005D6ACF">
      <w:pPr>
        <w:suppressAutoHyphens/>
        <w:jc w:val="center"/>
      </w:pPr>
      <w:r w:rsidRPr="00C93A58">
        <w:t xml:space="preserve">                                                                </w:t>
      </w:r>
    </w:p>
    <w:p w:rsidR="005D6ACF" w:rsidRPr="00C93A58" w:rsidRDefault="005D6ACF" w:rsidP="005D6ACF">
      <w:pPr>
        <w:ind w:firstLine="709"/>
        <w:jc w:val="both"/>
      </w:pPr>
    </w:p>
    <w:p w:rsidR="005D6ACF" w:rsidRPr="00441BA1" w:rsidRDefault="005D6ACF" w:rsidP="005D6ACF">
      <w:pPr>
        <w:widowControl w:val="0"/>
        <w:autoSpaceDE w:val="0"/>
        <w:autoSpaceDN w:val="0"/>
        <w:adjustRightInd w:val="0"/>
        <w:ind w:firstLine="709"/>
        <w:jc w:val="both"/>
        <w:rPr>
          <w:b/>
          <w:sz w:val="28"/>
          <w:szCs w:val="28"/>
        </w:rPr>
      </w:pPr>
      <w:r w:rsidRPr="00725026">
        <w:t xml:space="preserve"> </w:t>
      </w:r>
      <w:r w:rsidRPr="00441BA1">
        <w:rPr>
          <w:b/>
          <w:sz w:val="28"/>
          <w:szCs w:val="28"/>
        </w:rP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w:t>
      </w:r>
      <w:r w:rsidRPr="00441BA1">
        <w:rPr>
          <w:sz w:val="28"/>
          <w:szCs w:val="28"/>
        </w:rPr>
        <w:t xml:space="preserve"> (000 1 11 05032 02 0000 120):</w:t>
      </w:r>
    </w:p>
    <w:p w:rsidR="005D6ACF" w:rsidRDefault="005D6ACF" w:rsidP="005D6ACF">
      <w:pPr>
        <w:widowControl w:val="0"/>
        <w:autoSpaceDE w:val="0"/>
        <w:autoSpaceDN w:val="0"/>
        <w:adjustRightInd w:val="0"/>
        <w:ind w:firstLine="709"/>
        <w:jc w:val="both"/>
        <w:rPr>
          <w:b/>
          <w:sz w:val="28"/>
          <w:szCs w:val="28"/>
        </w:rPr>
      </w:pPr>
    </w:p>
    <w:p w:rsidR="005D6ACF" w:rsidRDefault="005D6ACF" w:rsidP="005D6ACF">
      <w:pPr>
        <w:pStyle w:val="21"/>
        <w:ind w:left="709"/>
        <w:jc w:val="right"/>
        <w:rPr>
          <w:b/>
        </w:rPr>
      </w:pPr>
      <w:r w:rsidRPr="00C93A58">
        <w:rPr>
          <w:b/>
        </w:rPr>
        <w:t>тыс. руб.</w:t>
      </w:r>
    </w:p>
    <w:p w:rsidR="005D6ACF" w:rsidRDefault="005D6ACF" w:rsidP="005D6ACF">
      <w:pPr>
        <w:pStyle w:val="21"/>
        <w:ind w:left="709"/>
        <w:jc w:val="right"/>
        <w:rPr>
          <w:b/>
        </w:rPr>
      </w:pPr>
    </w:p>
    <w:tbl>
      <w:tblPr>
        <w:tblW w:w="94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72"/>
        <w:gridCol w:w="1326"/>
        <w:gridCol w:w="1326"/>
        <w:gridCol w:w="1284"/>
      </w:tblGrid>
      <w:tr w:rsidR="005D6ACF" w:rsidRPr="00EB57D1" w:rsidTr="008A253E">
        <w:trPr>
          <w:trHeight w:val="344"/>
        </w:trPr>
        <w:tc>
          <w:tcPr>
            <w:tcW w:w="5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6ACF" w:rsidRPr="00EB57D1" w:rsidRDefault="005D6ACF" w:rsidP="008A253E">
            <w:pPr>
              <w:jc w:val="center"/>
              <w:rPr>
                <w:sz w:val="22"/>
                <w:szCs w:val="22"/>
              </w:rPr>
            </w:pPr>
            <w:r w:rsidRPr="00EB57D1">
              <w:rPr>
                <w:bCs/>
                <w:sz w:val="22"/>
                <w:szCs w:val="22"/>
              </w:rPr>
              <w:t>Наименование дохода</w:t>
            </w:r>
          </w:p>
        </w:tc>
        <w:tc>
          <w:tcPr>
            <w:tcW w:w="13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6ACF" w:rsidRPr="00EB57D1" w:rsidRDefault="005D6ACF" w:rsidP="008A253E">
            <w:pPr>
              <w:tabs>
                <w:tab w:val="left" w:pos="851"/>
              </w:tabs>
              <w:jc w:val="center"/>
              <w:rPr>
                <w:sz w:val="22"/>
                <w:szCs w:val="22"/>
              </w:rPr>
            </w:pPr>
            <w:r w:rsidRPr="00EB57D1">
              <w:rPr>
                <w:sz w:val="22"/>
                <w:szCs w:val="22"/>
              </w:rPr>
              <w:t>Прогноз на</w:t>
            </w:r>
          </w:p>
          <w:p w:rsidR="005D6ACF" w:rsidRPr="00EB57D1" w:rsidRDefault="005D6ACF" w:rsidP="008A253E">
            <w:pPr>
              <w:tabs>
                <w:tab w:val="left" w:pos="851"/>
              </w:tabs>
              <w:jc w:val="center"/>
              <w:rPr>
                <w:sz w:val="22"/>
                <w:szCs w:val="22"/>
              </w:rPr>
            </w:pPr>
            <w:r w:rsidRPr="00EB57D1">
              <w:rPr>
                <w:sz w:val="22"/>
                <w:szCs w:val="22"/>
              </w:rPr>
              <w:t>2022 год</w:t>
            </w:r>
          </w:p>
        </w:tc>
        <w:tc>
          <w:tcPr>
            <w:tcW w:w="13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6ACF" w:rsidRPr="00EB57D1" w:rsidRDefault="005D6ACF" w:rsidP="008A253E">
            <w:pPr>
              <w:tabs>
                <w:tab w:val="left" w:pos="851"/>
              </w:tabs>
              <w:jc w:val="center"/>
              <w:rPr>
                <w:sz w:val="22"/>
                <w:szCs w:val="22"/>
              </w:rPr>
            </w:pPr>
            <w:r w:rsidRPr="00EB57D1">
              <w:rPr>
                <w:sz w:val="22"/>
                <w:szCs w:val="22"/>
              </w:rPr>
              <w:t>Прогноз на</w:t>
            </w:r>
          </w:p>
          <w:p w:rsidR="005D6ACF" w:rsidRPr="00EB57D1" w:rsidRDefault="005D6ACF" w:rsidP="008A253E">
            <w:pPr>
              <w:tabs>
                <w:tab w:val="left" w:pos="851"/>
              </w:tabs>
              <w:jc w:val="center"/>
              <w:rPr>
                <w:sz w:val="22"/>
                <w:szCs w:val="22"/>
              </w:rPr>
            </w:pPr>
            <w:r w:rsidRPr="00EB57D1">
              <w:rPr>
                <w:sz w:val="22"/>
                <w:szCs w:val="22"/>
              </w:rPr>
              <w:t xml:space="preserve"> 2023 год</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6ACF" w:rsidRPr="00EB57D1" w:rsidRDefault="005D6ACF" w:rsidP="008A253E">
            <w:pPr>
              <w:tabs>
                <w:tab w:val="left" w:pos="851"/>
              </w:tabs>
              <w:jc w:val="center"/>
              <w:rPr>
                <w:sz w:val="22"/>
                <w:szCs w:val="22"/>
              </w:rPr>
            </w:pPr>
            <w:r w:rsidRPr="00EB57D1">
              <w:rPr>
                <w:sz w:val="22"/>
                <w:szCs w:val="22"/>
              </w:rPr>
              <w:t>Прогноз на</w:t>
            </w:r>
          </w:p>
          <w:p w:rsidR="005D6ACF" w:rsidRPr="00EB57D1" w:rsidRDefault="005D6ACF" w:rsidP="008A253E">
            <w:pPr>
              <w:tabs>
                <w:tab w:val="left" w:pos="851"/>
              </w:tabs>
              <w:jc w:val="center"/>
              <w:rPr>
                <w:sz w:val="22"/>
                <w:szCs w:val="22"/>
              </w:rPr>
            </w:pPr>
            <w:r w:rsidRPr="00EB57D1">
              <w:rPr>
                <w:sz w:val="22"/>
                <w:szCs w:val="22"/>
              </w:rPr>
              <w:t xml:space="preserve"> 2024 год</w:t>
            </w:r>
          </w:p>
        </w:tc>
      </w:tr>
      <w:tr w:rsidR="005D6ACF" w:rsidRPr="00EB57D1" w:rsidTr="008A253E">
        <w:trPr>
          <w:trHeight w:val="367"/>
        </w:trPr>
        <w:tc>
          <w:tcPr>
            <w:tcW w:w="5472" w:type="dxa"/>
            <w:tcBorders>
              <w:top w:val="single" w:sz="4" w:space="0" w:color="auto"/>
              <w:left w:val="single" w:sz="4" w:space="0" w:color="auto"/>
              <w:bottom w:val="single" w:sz="4" w:space="0" w:color="auto"/>
              <w:right w:val="single" w:sz="4" w:space="0" w:color="auto"/>
            </w:tcBorders>
            <w:hideMark/>
          </w:tcPr>
          <w:p w:rsidR="005D6ACF" w:rsidRPr="00EB57D1" w:rsidRDefault="005D6ACF" w:rsidP="008A253E">
            <w:pPr>
              <w:rPr>
                <w:sz w:val="22"/>
                <w:szCs w:val="22"/>
              </w:rPr>
            </w:pPr>
            <w:r w:rsidRPr="00EB57D1">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w:t>
            </w:r>
          </w:p>
        </w:tc>
        <w:tc>
          <w:tcPr>
            <w:tcW w:w="1326" w:type="dxa"/>
            <w:tcBorders>
              <w:top w:val="single" w:sz="4" w:space="0" w:color="auto"/>
              <w:left w:val="single" w:sz="4" w:space="0" w:color="auto"/>
              <w:bottom w:val="single" w:sz="4" w:space="0" w:color="auto"/>
              <w:right w:val="single" w:sz="4" w:space="0" w:color="auto"/>
            </w:tcBorders>
            <w:vAlign w:val="center"/>
            <w:hideMark/>
          </w:tcPr>
          <w:p w:rsidR="005D6ACF" w:rsidRPr="00EB57D1" w:rsidRDefault="005D6ACF" w:rsidP="008A253E">
            <w:pPr>
              <w:autoSpaceDE w:val="0"/>
              <w:autoSpaceDN w:val="0"/>
              <w:adjustRightInd w:val="0"/>
              <w:jc w:val="center"/>
              <w:rPr>
                <w:bCs/>
                <w:sz w:val="28"/>
                <w:szCs w:val="28"/>
              </w:rPr>
            </w:pPr>
            <w:r w:rsidRPr="00EB57D1">
              <w:rPr>
                <w:bCs/>
                <w:sz w:val="28"/>
                <w:szCs w:val="28"/>
              </w:rPr>
              <w:t>4 035,7</w:t>
            </w:r>
          </w:p>
        </w:tc>
        <w:tc>
          <w:tcPr>
            <w:tcW w:w="1326" w:type="dxa"/>
            <w:tcBorders>
              <w:top w:val="single" w:sz="4" w:space="0" w:color="auto"/>
              <w:left w:val="single" w:sz="4" w:space="0" w:color="auto"/>
              <w:bottom w:val="single" w:sz="4" w:space="0" w:color="auto"/>
              <w:right w:val="single" w:sz="4" w:space="0" w:color="auto"/>
            </w:tcBorders>
            <w:vAlign w:val="center"/>
            <w:hideMark/>
          </w:tcPr>
          <w:p w:rsidR="005D6ACF" w:rsidRPr="00EB57D1" w:rsidRDefault="005D6ACF" w:rsidP="008A253E">
            <w:pPr>
              <w:autoSpaceDE w:val="0"/>
              <w:autoSpaceDN w:val="0"/>
              <w:adjustRightInd w:val="0"/>
              <w:jc w:val="center"/>
              <w:rPr>
                <w:bCs/>
                <w:sz w:val="28"/>
                <w:szCs w:val="28"/>
              </w:rPr>
            </w:pPr>
            <w:r w:rsidRPr="00EB57D1">
              <w:rPr>
                <w:bCs/>
                <w:sz w:val="28"/>
                <w:szCs w:val="28"/>
              </w:rPr>
              <w:t>4 197,8</w:t>
            </w:r>
          </w:p>
        </w:tc>
        <w:tc>
          <w:tcPr>
            <w:tcW w:w="1284" w:type="dxa"/>
            <w:tcBorders>
              <w:top w:val="single" w:sz="4" w:space="0" w:color="auto"/>
              <w:left w:val="single" w:sz="4" w:space="0" w:color="auto"/>
              <w:bottom w:val="single" w:sz="4" w:space="0" w:color="auto"/>
              <w:right w:val="single" w:sz="4" w:space="0" w:color="auto"/>
            </w:tcBorders>
            <w:vAlign w:val="center"/>
            <w:hideMark/>
          </w:tcPr>
          <w:p w:rsidR="005D6ACF" w:rsidRPr="00EB57D1" w:rsidRDefault="005D6ACF" w:rsidP="008A253E">
            <w:pPr>
              <w:autoSpaceDE w:val="0"/>
              <w:autoSpaceDN w:val="0"/>
              <w:adjustRightInd w:val="0"/>
              <w:jc w:val="center"/>
              <w:rPr>
                <w:bCs/>
                <w:sz w:val="28"/>
                <w:szCs w:val="28"/>
              </w:rPr>
            </w:pPr>
            <w:r w:rsidRPr="00EB57D1">
              <w:rPr>
                <w:bCs/>
                <w:sz w:val="28"/>
                <w:szCs w:val="28"/>
              </w:rPr>
              <w:t>4 365,7</w:t>
            </w:r>
          </w:p>
        </w:tc>
      </w:tr>
      <w:tr w:rsidR="005D6ACF" w:rsidRPr="00EB57D1" w:rsidTr="008A253E">
        <w:trPr>
          <w:trHeight w:val="367"/>
        </w:trPr>
        <w:tc>
          <w:tcPr>
            <w:tcW w:w="5472" w:type="dxa"/>
            <w:tcBorders>
              <w:top w:val="single" w:sz="4" w:space="0" w:color="auto"/>
              <w:left w:val="single" w:sz="4" w:space="0" w:color="auto"/>
              <w:bottom w:val="single" w:sz="4" w:space="0" w:color="auto"/>
              <w:right w:val="single" w:sz="4" w:space="0" w:color="auto"/>
            </w:tcBorders>
            <w:hideMark/>
          </w:tcPr>
          <w:p w:rsidR="005D6ACF" w:rsidRPr="00EB57D1" w:rsidRDefault="005D6ACF" w:rsidP="008A253E">
            <w:r w:rsidRPr="00EB57D1">
              <w:t>в том числе поступление задолженности</w:t>
            </w:r>
          </w:p>
        </w:tc>
        <w:tc>
          <w:tcPr>
            <w:tcW w:w="1326" w:type="dxa"/>
            <w:tcBorders>
              <w:top w:val="single" w:sz="4" w:space="0" w:color="auto"/>
              <w:left w:val="single" w:sz="4" w:space="0" w:color="auto"/>
              <w:bottom w:val="single" w:sz="4" w:space="0" w:color="auto"/>
              <w:right w:val="single" w:sz="4" w:space="0" w:color="auto"/>
            </w:tcBorders>
            <w:vAlign w:val="center"/>
            <w:hideMark/>
          </w:tcPr>
          <w:p w:rsidR="005D6ACF" w:rsidRPr="00EB57D1" w:rsidRDefault="005D6ACF" w:rsidP="008A253E">
            <w:pPr>
              <w:autoSpaceDE w:val="0"/>
              <w:autoSpaceDN w:val="0"/>
              <w:adjustRightInd w:val="0"/>
              <w:jc w:val="center"/>
              <w:rPr>
                <w:bCs/>
                <w:sz w:val="28"/>
                <w:szCs w:val="28"/>
              </w:rPr>
            </w:pPr>
            <w:r w:rsidRPr="00EB57D1">
              <w:rPr>
                <w:bCs/>
                <w:sz w:val="28"/>
                <w:szCs w:val="28"/>
              </w:rPr>
              <w:t>38,2</w:t>
            </w:r>
          </w:p>
        </w:tc>
        <w:tc>
          <w:tcPr>
            <w:tcW w:w="1326" w:type="dxa"/>
            <w:tcBorders>
              <w:top w:val="single" w:sz="4" w:space="0" w:color="auto"/>
              <w:left w:val="single" w:sz="4" w:space="0" w:color="auto"/>
              <w:bottom w:val="single" w:sz="4" w:space="0" w:color="auto"/>
              <w:right w:val="single" w:sz="4" w:space="0" w:color="auto"/>
            </w:tcBorders>
            <w:vAlign w:val="center"/>
            <w:hideMark/>
          </w:tcPr>
          <w:p w:rsidR="005D6ACF" w:rsidRPr="00EB57D1" w:rsidRDefault="005D6ACF" w:rsidP="008A253E">
            <w:pPr>
              <w:autoSpaceDE w:val="0"/>
              <w:autoSpaceDN w:val="0"/>
              <w:adjustRightInd w:val="0"/>
              <w:jc w:val="center"/>
              <w:rPr>
                <w:bCs/>
                <w:sz w:val="28"/>
                <w:szCs w:val="28"/>
              </w:rPr>
            </w:pPr>
            <w:r w:rsidRPr="00EB57D1">
              <w:rPr>
                <w:bCs/>
                <w:sz w:val="28"/>
                <w:szCs w:val="28"/>
              </w:rPr>
              <w:t>40,4</w:t>
            </w:r>
          </w:p>
        </w:tc>
        <w:tc>
          <w:tcPr>
            <w:tcW w:w="1284" w:type="dxa"/>
            <w:tcBorders>
              <w:top w:val="single" w:sz="4" w:space="0" w:color="auto"/>
              <w:left w:val="single" w:sz="4" w:space="0" w:color="auto"/>
              <w:bottom w:val="single" w:sz="4" w:space="0" w:color="auto"/>
              <w:right w:val="single" w:sz="4" w:space="0" w:color="auto"/>
            </w:tcBorders>
            <w:vAlign w:val="center"/>
            <w:hideMark/>
          </w:tcPr>
          <w:p w:rsidR="005D6ACF" w:rsidRPr="00EB57D1" w:rsidRDefault="005D6ACF" w:rsidP="008A253E">
            <w:pPr>
              <w:autoSpaceDE w:val="0"/>
              <w:autoSpaceDN w:val="0"/>
              <w:adjustRightInd w:val="0"/>
              <w:jc w:val="center"/>
              <w:rPr>
                <w:bCs/>
                <w:sz w:val="28"/>
                <w:szCs w:val="28"/>
              </w:rPr>
            </w:pPr>
            <w:r w:rsidRPr="00EB57D1">
              <w:rPr>
                <w:bCs/>
                <w:sz w:val="28"/>
                <w:szCs w:val="28"/>
              </w:rPr>
              <w:t>42,0</w:t>
            </w:r>
          </w:p>
        </w:tc>
      </w:tr>
    </w:tbl>
    <w:p w:rsidR="005D6ACF" w:rsidRPr="00C93A58" w:rsidRDefault="005D6ACF" w:rsidP="005D6ACF">
      <w:pPr>
        <w:pStyle w:val="21"/>
        <w:ind w:firstLine="0"/>
        <w:rPr>
          <w:b/>
        </w:rPr>
      </w:pPr>
    </w:p>
    <w:p w:rsidR="005D6ACF" w:rsidRPr="00DF3FA6" w:rsidRDefault="005D6ACF" w:rsidP="005D6ACF">
      <w:pPr>
        <w:autoSpaceDE w:val="0"/>
        <w:autoSpaceDN w:val="0"/>
        <w:adjustRightInd w:val="0"/>
        <w:ind w:firstLine="709"/>
        <w:jc w:val="both"/>
        <w:rPr>
          <w:sz w:val="28"/>
          <w:szCs w:val="28"/>
        </w:rPr>
      </w:pPr>
      <w:r w:rsidRPr="00DF3FA6">
        <w:rPr>
          <w:sz w:val="28"/>
          <w:szCs w:val="28"/>
        </w:rPr>
        <w:t>Прогноз поступлений на 202</w:t>
      </w:r>
      <w:r>
        <w:rPr>
          <w:sz w:val="28"/>
          <w:szCs w:val="28"/>
        </w:rPr>
        <w:t>2</w:t>
      </w:r>
      <w:r w:rsidRPr="00DF3FA6">
        <w:rPr>
          <w:sz w:val="28"/>
          <w:szCs w:val="28"/>
        </w:rPr>
        <w:t>-202</w:t>
      </w:r>
      <w:r>
        <w:rPr>
          <w:sz w:val="28"/>
          <w:szCs w:val="28"/>
        </w:rPr>
        <w:t>4</w:t>
      </w:r>
      <w:r w:rsidRPr="00DF3FA6">
        <w:rPr>
          <w:sz w:val="28"/>
          <w:szCs w:val="28"/>
        </w:rPr>
        <w:t xml:space="preserve"> годы доходов от сдачи в аренду имущества (без жилых помещений) областного уровня собственности, находящегося в оперативном управлении, рассчитывается с применением метода прямого расчета по следующей формуле:</w:t>
      </w:r>
    </w:p>
    <w:p w:rsidR="005D6ACF" w:rsidRPr="00DF3FA6" w:rsidRDefault="005D6ACF" w:rsidP="005D6ACF">
      <w:pPr>
        <w:autoSpaceDE w:val="0"/>
        <w:autoSpaceDN w:val="0"/>
        <w:adjustRightInd w:val="0"/>
        <w:ind w:firstLine="709"/>
        <w:jc w:val="both"/>
        <w:rPr>
          <w:sz w:val="28"/>
          <w:szCs w:val="28"/>
        </w:rPr>
      </w:pPr>
    </w:p>
    <w:p w:rsidR="005D6ACF" w:rsidRPr="00DF3FA6" w:rsidRDefault="005D6ACF" w:rsidP="005D6ACF">
      <w:pPr>
        <w:ind w:firstLine="709"/>
        <w:jc w:val="center"/>
        <w:rPr>
          <w:sz w:val="28"/>
          <w:szCs w:val="28"/>
        </w:rPr>
      </w:pPr>
      <w:r w:rsidRPr="00DF3FA6">
        <w:rPr>
          <w:b/>
          <w:sz w:val="28"/>
          <w:szCs w:val="28"/>
        </w:rPr>
        <w:t>Даоу = (Пл * АП * С + Дди + ЛО + АПпл) * СД + Пз</w:t>
      </w:r>
      <w:r w:rsidRPr="00DF3FA6">
        <w:rPr>
          <w:sz w:val="28"/>
          <w:szCs w:val="28"/>
        </w:rPr>
        <w:t>, где</w:t>
      </w:r>
    </w:p>
    <w:p w:rsidR="005D6ACF" w:rsidRPr="00DF3FA6" w:rsidRDefault="005D6ACF" w:rsidP="005D6ACF">
      <w:pPr>
        <w:ind w:firstLine="709"/>
        <w:jc w:val="center"/>
        <w:rPr>
          <w:sz w:val="28"/>
          <w:szCs w:val="28"/>
        </w:rPr>
      </w:pPr>
    </w:p>
    <w:p w:rsidR="005D6ACF" w:rsidRPr="00DF3FA6" w:rsidRDefault="005D6ACF" w:rsidP="005D6ACF">
      <w:pPr>
        <w:ind w:firstLine="709"/>
        <w:jc w:val="both"/>
        <w:rPr>
          <w:sz w:val="28"/>
          <w:szCs w:val="28"/>
        </w:rPr>
      </w:pPr>
      <w:r w:rsidRPr="00DF3FA6">
        <w:rPr>
          <w:sz w:val="28"/>
          <w:szCs w:val="28"/>
        </w:rPr>
        <w:t>Пл – площадь, сдаваемая в аренду;</w:t>
      </w:r>
    </w:p>
    <w:p w:rsidR="005D6ACF" w:rsidRPr="00DF3FA6" w:rsidRDefault="005D6ACF" w:rsidP="005D6ACF">
      <w:pPr>
        <w:ind w:firstLine="709"/>
        <w:jc w:val="both"/>
        <w:rPr>
          <w:sz w:val="28"/>
          <w:szCs w:val="28"/>
        </w:rPr>
      </w:pPr>
      <w:r w:rsidRPr="00DF3FA6">
        <w:rPr>
          <w:sz w:val="28"/>
          <w:szCs w:val="28"/>
        </w:rPr>
        <w:t>АП – средний размер арендной платы за 1 кв. м в месяц, по действующим договорам аренды с учетом индексов потребительских цен;</w:t>
      </w:r>
    </w:p>
    <w:p w:rsidR="005D6ACF" w:rsidRPr="00DF3FA6" w:rsidRDefault="005D6ACF" w:rsidP="005D6ACF">
      <w:pPr>
        <w:ind w:firstLine="709"/>
        <w:jc w:val="both"/>
        <w:rPr>
          <w:sz w:val="28"/>
          <w:szCs w:val="28"/>
        </w:rPr>
      </w:pPr>
      <w:r w:rsidRPr="00DF3FA6">
        <w:rPr>
          <w:sz w:val="28"/>
          <w:szCs w:val="28"/>
        </w:rPr>
        <w:t>С – средняя продолжительность срока действия договоров;</w:t>
      </w:r>
    </w:p>
    <w:p w:rsidR="005D6ACF" w:rsidRPr="00DF3FA6" w:rsidRDefault="005D6ACF" w:rsidP="005D6ACF">
      <w:pPr>
        <w:ind w:firstLine="709"/>
        <w:jc w:val="both"/>
        <w:rPr>
          <w:sz w:val="28"/>
          <w:szCs w:val="28"/>
        </w:rPr>
      </w:pPr>
      <w:r w:rsidRPr="00DF3FA6">
        <w:rPr>
          <w:sz w:val="28"/>
          <w:szCs w:val="28"/>
        </w:rPr>
        <w:t>Дди – размер арендной платы по действующим договорам аренды движимого имущества;</w:t>
      </w:r>
    </w:p>
    <w:p w:rsidR="005D6ACF" w:rsidRPr="00DF3FA6" w:rsidRDefault="005D6ACF" w:rsidP="005D6ACF">
      <w:pPr>
        <w:ind w:firstLine="709"/>
        <w:jc w:val="both"/>
        <w:rPr>
          <w:sz w:val="28"/>
          <w:szCs w:val="28"/>
        </w:rPr>
      </w:pPr>
      <w:r w:rsidRPr="00DF3FA6">
        <w:rPr>
          <w:sz w:val="28"/>
          <w:szCs w:val="28"/>
        </w:rPr>
        <w:t>ЛО - размер арендной платы по действующим договорам аренды линейных объектов;</w:t>
      </w:r>
    </w:p>
    <w:p w:rsidR="005D6ACF" w:rsidRPr="00DF3FA6" w:rsidRDefault="005D6ACF" w:rsidP="005D6ACF">
      <w:pPr>
        <w:ind w:firstLine="709"/>
        <w:jc w:val="both"/>
        <w:rPr>
          <w:sz w:val="28"/>
          <w:szCs w:val="28"/>
        </w:rPr>
      </w:pPr>
      <w:r w:rsidRPr="00DF3FA6">
        <w:rPr>
          <w:sz w:val="28"/>
          <w:szCs w:val="28"/>
        </w:rPr>
        <w:lastRenderedPageBreak/>
        <w:t>АПпл – размер арендной платы по планируемым к заключению договорам аренды недвижимого имущества, движимого имущества, линейным объектам;</w:t>
      </w:r>
    </w:p>
    <w:p w:rsidR="005D6ACF" w:rsidRPr="00DF3FA6" w:rsidRDefault="005D6ACF" w:rsidP="005D6ACF">
      <w:pPr>
        <w:ind w:firstLine="709"/>
        <w:jc w:val="both"/>
        <w:rPr>
          <w:sz w:val="28"/>
          <w:szCs w:val="28"/>
        </w:rPr>
      </w:pPr>
      <w:r w:rsidRPr="00DF3FA6">
        <w:rPr>
          <w:sz w:val="28"/>
          <w:szCs w:val="28"/>
        </w:rPr>
        <w:t>СД – собираемость доходов (в %), принимаемая как среднее арифметическое значение аналогичных показателей за три года, предшествующих текущему финансовому году;</w:t>
      </w:r>
    </w:p>
    <w:p w:rsidR="005D6ACF" w:rsidRPr="00DF3FA6" w:rsidRDefault="005D6ACF" w:rsidP="005D6ACF">
      <w:pPr>
        <w:ind w:firstLine="709"/>
        <w:jc w:val="both"/>
        <w:rPr>
          <w:sz w:val="28"/>
          <w:szCs w:val="28"/>
        </w:rPr>
      </w:pPr>
      <w:r w:rsidRPr="00DF3FA6">
        <w:rPr>
          <w:sz w:val="28"/>
          <w:szCs w:val="28"/>
        </w:rPr>
        <w:t>Пз – погашение задолженности прошлых лет.</w:t>
      </w:r>
    </w:p>
    <w:p w:rsidR="005D6ACF" w:rsidRDefault="005D6ACF" w:rsidP="005D6ACF">
      <w:pPr>
        <w:widowControl w:val="0"/>
        <w:autoSpaceDE w:val="0"/>
        <w:autoSpaceDN w:val="0"/>
        <w:adjustRightInd w:val="0"/>
        <w:ind w:firstLine="709"/>
        <w:jc w:val="both"/>
        <w:rPr>
          <w:b/>
          <w:sz w:val="28"/>
          <w:szCs w:val="28"/>
        </w:rPr>
      </w:pPr>
    </w:p>
    <w:p w:rsidR="005D6ACF" w:rsidRPr="00C93A58" w:rsidRDefault="005D6ACF" w:rsidP="005D6ACF">
      <w:pPr>
        <w:ind w:firstLine="709"/>
        <w:jc w:val="both"/>
        <w:rPr>
          <w:sz w:val="28"/>
          <w:szCs w:val="28"/>
        </w:rPr>
      </w:pPr>
    </w:p>
    <w:tbl>
      <w:tblPr>
        <w:tblW w:w="9463" w:type="dxa"/>
        <w:tblLook w:val="04A0" w:firstRow="1" w:lastRow="0" w:firstColumn="1" w:lastColumn="0" w:noHBand="0" w:noVBand="1"/>
      </w:tblPr>
      <w:tblGrid>
        <w:gridCol w:w="620"/>
        <w:gridCol w:w="5050"/>
        <w:gridCol w:w="1280"/>
        <w:gridCol w:w="1260"/>
        <w:gridCol w:w="1240"/>
        <w:gridCol w:w="13"/>
      </w:tblGrid>
      <w:tr w:rsidR="005D6ACF" w:rsidRPr="00EB57D1" w:rsidTr="008A253E">
        <w:trPr>
          <w:trHeight w:val="345"/>
        </w:trPr>
        <w:tc>
          <w:tcPr>
            <w:tcW w:w="9463" w:type="dxa"/>
            <w:gridSpan w:val="6"/>
            <w:tcBorders>
              <w:top w:val="nil"/>
              <w:left w:val="nil"/>
              <w:bottom w:val="nil"/>
              <w:right w:val="nil"/>
            </w:tcBorders>
            <w:shd w:val="clear" w:color="auto" w:fill="auto"/>
            <w:vAlign w:val="center"/>
            <w:hideMark/>
          </w:tcPr>
          <w:p w:rsidR="005D6ACF" w:rsidRPr="00EB57D1" w:rsidRDefault="005D6ACF" w:rsidP="008A253E">
            <w:pPr>
              <w:jc w:val="center"/>
              <w:rPr>
                <w:b/>
                <w:bCs/>
                <w:sz w:val="28"/>
                <w:szCs w:val="28"/>
              </w:rPr>
            </w:pPr>
            <w:r w:rsidRPr="00EB57D1">
              <w:rPr>
                <w:b/>
                <w:bCs/>
                <w:sz w:val="28"/>
                <w:szCs w:val="28"/>
              </w:rPr>
              <w:t>Расчет</w:t>
            </w:r>
          </w:p>
        </w:tc>
      </w:tr>
      <w:tr w:rsidR="005D6ACF" w:rsidRPr="00EB57D1" w:rsidTr="008A253E">
        <w:trPr>
          <w:trHeight w:val="615"/>
        </w:trPr>
        <w:tc>
          <w:tcPr>
            <w:tcW w:w="9463" w:type="dxa"/>
            <w:gridSpan w:val="6"/>
            <w:tcBorders>
              <w:top w:val="nil"/>
              <w:left w:val="nil"/>
              <w:bottom w:val="nil"/>
              <w:right w:val="nil"/>
            </w:tcBorders>
            <w:shd w:val="clear" w:color="auto" w:fill="auto"/>
            <w:vAlign w:val="center"/>
            <w:hideMark/>
          </w:tcPr>
          <w:p w:rsidR="005D6ACF" w:rsidRPr="00EB57D1" w:rsidRDefault="005D6ACF" w:rsidP="008A253E">
            <w:pPr>
              <w:jc w:val="center"/>
              <w:rPr>
                <w:b/>
                <w:bCs/>
                <w:sz w:val="28"/>
                <w:szCs w:val="28"/>
              </w:rPr>
            </w:pPr>
            <w:r w:rsidRPr="00EB57D1">
              <w:rPr>
                <w:b/>
                <w:bCs/>
                <w:sz w:val="28"/>
                <w:szCs w:val="28"/>
              </w:rPr>
              <w:t xml:space="preserve">доходов от аренды имущества, находящегося в оперативном управлении исполнительных органов государственной власти Тверской области и казенных учреждений </w:t>
            </w:r>
          </w:p>
        </w:tc>
      </w:tr>
      <w:tr w:rsidR="005D6ACF" w:rsidRPr="00EB57D1" w:rsidTr="008A253E">
        <w:trPr>
          <w:trHeight w:val="285"/>
        </w:trPr>
        <w:tc>
          <w:tcPr>
            <w:tcW w:w="9463" w:type="dxa"/>
            <w:gridSpan w:val="6"/>
            <w:tcBorders>
              <w:top w:val="nil"/>
              <w:left w:val="nil"/>
              <w:bottom w:val="nil"/>
              <w:right w:val="nil"/>
            </w:tcBorders>
            <w:shd w:val="clear" w:color="auto" w:fill="auto"/>
            <w:vAlign w:val="center"/>
            <w:hideMark/>
          </w:tcPr>
          <w:p w:rsidR="005D6ACF" w:rsidRPr="00EB57D1" w:rsidRDefault="005D6ACF" w:rsidP="008A253E">
            <w:pPr>
              <w:jc w:val="center"/>
              <w:rPr>
                <w:b/>
                <w:bCs/>
                <w:sz w:val="28"/>
                <w:szCs w:val="28"/>
              </w:rPr>
            </w:pPr>
            <w:r w:rsidRPr="00EB57D1">
              <w:rPr>
                <w:b/>
                <w:bCs/>
                <w:sz w:val="28"/>
                <w:szCs w:val="28"/>
              </w:rPr>
              <w:t>на 202</w:t>
            </w:r>
            <w:r>
              <w:rPr>
                <w:b/>
                <w:bCs/>
                <w:sz w:val="28"/>
                <w:szCs w:val="28"/>
              </w:rPr>
              <w:t xml:space="preserve">2 </w:t>
            </w:r>
            <w:r w:rsidRPr="00EB57D1">
              <w:rPr>
                <w:b/>
                <w:bCs/>
                <w:sz w:val="28"/>
                <w:szCs w:val="28"/>
              </w:rPr>
              <w:t>год и плановый период 202</w:t>
            </w:r>
            <w:r>
              <w:rPr>
                <w:b/>
                <w:bCs/>
                <w:sz w:val="28"/>
                <w:szCs w:val="28"/>
              </w:rPr>
              <w:t>3</w:t>
            </w:r>
            <w:r w:rsidRPr="00EB57D1">
              <w:rPr>
                <w:b/>
                <w:bCs/>
                <w:sz w:val="28"/>
                <w:szCs w:val="28"/>
              </w:rPr>
              <w:t xml:space="preserve"> - 2024 годов</w:t>
            </w:r>
          </w:p>
        </w:tc>
      </w:tr>
      <w:tr w:rsidR="005D6ACF" w:rsidTr="008A253E">
        <w:trPr>
          <w:gridAfter w:val="1"/>
          <w:wAfter w:w="13" w:type="dxa"/>
          <w:trHeight w:val="150"/>
        </w:trPr>
        <w:tc>
          <w:tcPr>
            <w:tcW w:w="620" w:type="dxa"/>
            <w:tcBorders>
              <w:top w:val="nil"/>
              <w:left w:val="nil"/>
              <w:bottom w:val="nil"/>
              <w:right w:val="nil"/>
            </w:tcBorders>
            <w:shd w:val="clear" w:color="auto" w:fill="auto"/>
            <w:hideMark/>
          </w:tcPr>
          <w:p w:rsidR="005D6ACF" w:rsidRDefault="005D6ACF" w:rsidP="008A253E">
            <w:pPr>
              <w:jc w:val="center"/>
              <w:rPr>
                <w:b/>
                <w:bCs/>
              </w:rPr>
            </w:pPr>
          </w:p>
        </w:tc>
        <w:tc>
          <w:tcPr>
            <w:tcW w:w="5050" w:type="dxa"/>
            <w:tcBorders>
              <w:top w:val="nil"/>
              <w:left w:val="nil"/>
              <w:bottom w:val="nil"/>
              <w:right w:val="nil"/>
            </w:tcBorders>
            <w:shd w:val="clear" w:color="auto" w:fill="auto"/>
            <w:hideMark/>
          </w:tcPr>
          <w:p w:rsidR="005D6ACF" w:rsidRDefault="005D6ACF" w:rsidP="008A253E">
            <w:pPr>
              <w:rPr>
                <w:sz w:val="20"/>
                <w:szCs w:val="20"/>
              </w:rPr>
            </w:pPr>
          </w:p>
        </w:tc>
        <w:tc>
          <w:tcPr>
            <w:tcW w:w="1280" w:type="dxa"/>
            <w:tcBorders>
              <w:top w:val="nil"/>
              <w:left w:val="nil"/>
              <w:bottom w:val="nil"/>
              <w:right w:val="nil"/>
            </w:tcBorders>
            <w:shd w:val="clear" w:color="auto" w:fill="auto"/>
            <w:hideMark/>
          </w:tcPr>
          <w:p w:rsidR="005D6ACF" w:rsidRDefault="005D6ACF" w:rsidP="008A253E">
            <w:pPr>
              <w:rPr>
                <w:sz w:val="20"/>
                <w:szCs w:val="20"/>
              </w:rPr>
            </w:pPr>
          </w:p>
        </w:tc>
        <w:tc>
          <w:tcPr>
            <w:tcW w:w="1260" w:type="dxa"/>
            <w:tcBorders>
              <w:top w:val="nil"/>
              <w:left w:val="nil"/>
              <w:bottom w:val="nil"/>
              <w:right w:val="nil"/>
            </w:tcBorders>
            <w:shd w:val="clear" w:color="auto" w:fill="auto"/>
            <w:hideMark/>
          </w:tcPr>
          <w:p w:rsidR="005D6ACF" w:rsidRDefault="005D6ACF" w:rsidP="008A253E">
            <w:pPr>
              <w:rPr>
                <w:sz w:val="20"/>
                <w:szCs w:val="20"/>
              </w:rPr>
            </w:pPr>
          </w:p>
        </w:tc>
        <w:tc>
          <w:tcPr>
            <w:tcW w:w="1240" w:type="dxa"/>
            <w:tcBorders>
              <w:top w:val="nil"/>
              <w:left w:val="nil"/>
              <w:bottom w:val="nil"/>
              <w:right w:val="nil"/>
            </w:tcBorders>
            <w:shd w:val="clear" w:color="auto" w:fill="auto"/>
            <w:hideMark/>
          </w:tcPr>
          <w:p w:rsidR="005D6ACF" w:rsidRDefault="005D6ACF" w:rsidP="008A253E">
            <w:pPr>
              <w:rPr>
                <w:sz w:val="20"/>
                <w:szCs w:val="20"/>
              </w:rPr>
            </w:pPr>
          </w:p>
        </w:tc>
      </w:tr>
      <w:tr w:rsidR="005D6ACF" w:rsidTr="008A253E">
        <w:trPr>
          <w:gridAfter w:val="1"/>
          <w:wAfter w:w="13" w:type="dxa"/>
          <w:trHeight w:val="465"/>
        </w:trPr>
        <w:tc>
          <w:tcPr>
            <w:tcW w:w="6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D6ACF" w:rsidRPr="00EB57D1" w:rsidRDefault="005D6ACF" w:rsidP="008A253E">
            <w:pPr>
              <w:jc w:val="center"/>
              <w:rPr>
                <w:b/>
                <w:bCs/>
                <w:i/>
                <w:iCs/>
              </w:rPr>
            </w:pPr>
            <w:r w:rsidRPr="00EB57D1">
              <w:rPr>
                <w:b/>
                <w:bCs/>
                <w:i/>
                <w:iCs/>
              </w:rPr>
              <w:t>№ п/п</w:t>
            </w:r>
          </w:p>
        </w:tc>
        <w:tc>
          <w:tcPr>
            <w:tcW w:w="5050" w:type="dxa"/>
            <w:tcBorders>
              <w:top w:val="single" w:sz="4" w:space="0" w:color="auto"/>
              <w:left w:val="nil"/>
              <w:bottom w:val="single" w:sz="4" w:space="0" w:color="auto"/>
              <w:right w:val="single" w:sz="4" w:space="0" w:color="auto"/>
            </w:tcBorders>
            <w:shd w:val="clear" w:color="000000" w:fill="FFFFFF"/>
            <w:vAlign w:val="center"/>
            <w:hideMark/>
          </w:tcPr>
          <w:p w:rsidR="005D6ACF" w:rsidRPr="00EB57D1" w:rsidRDefault="005D6ACF" w:rsidP="008A253E">
            <w:pPr>
              <w:jc w:val="center"/>
              <w:rPr>
                <w:b/>
                <w:bCs/>
                <w:i/>
                <w:iCs/>
              </w:rPr>
            </w:pPr>
            <w:r w:rsidRPr="00EB57D1">
              <w:rPr>
                <w:b/>
                <w:bCs/>
                <w:i/>
                <w:iCs/>
              </w:rPr>
              <w:t>Наименование показателей</w:t>
            </w:r>
          </w:p>
        </w:tc>
        <w:tc>
          <w:tcPr>
            <w:tcW w:w="1280" w:type="dxa"/>
            <w:tcBorders>
              <w:top w:val="single" w:sz="4" w:space="0" w:color="auto"/>
              <w:left w:val="nil"/>
              <w:bottom w:val="single" w:sz="4" w:space="0" w:color="auto"/>
              <w:right w:val="single" w:sz="4" w:space="0" w:color="auto"/>
            </w:tcBorders>
            <w:shd w:val="clear" w:color="000000" w:fill="FFFFFF"/>
            <w:vAlign w:val="center"/>
            <w:hideMark/>
          </w:tcPr>
          <w:p w:rsidR="005D6ACF" w:rsidRPr="00EB57D1" w:rsidRDefault="005D6ACF" w:rsidP="008A253E">
            <w:pPr>
              <w:jc w:val="center"/>
              <w:rPr>
                <w:b/>
                <w:bCs/>
                <w:i/>
                <w:iCs/>
              </w:rPr>
            </w:pPr>
            <w:r w:rsidRPr="00EB57D1">
              <w:rPr>
                <w:b/>
                <w:bCs/>
                <w:i/>
                <w:iCs/>
              </w:rPr>
              <w:t>2022 год</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5D6ACF" w:rsidRPr="00EB57D1" w:rsidRDefault="005D6ACF" w:rsidP="008A253E">
            <w:pPr>
              <w:jc w:val="center"/>
              <w:rPr>
                <w:b/>
                <w:bCs/>
                <w:i/>
                <w:iCs/>
              </w:rPr>
            </w:pPr>
            <w:r w:rsidRPr="00EB57D1">
              <w:rPr>
                <w:b/>
                <w:bCs/>
                <w:i/>
                <w:iCs/>
              </w:rPr>
              <w:t>2023 год</w:t>
            </w:r>
          </w:p>
        </w:tc>
        <w:tc>
          <w:tcPr>
            <w:tcW w:w="1240" w:type="dxa"/>
            <w:tcBorders>
              <w:top w:val="single" w:sz="4" w:space="0" w:color="auto"/>
              <w:left w:val="nil"/>
              <w:bottom w:val="single" w:sz="4" w:space="0" w:color="auto"/>
              <w:right w:val="single" w:sz="4" w:space="0" w:color="auto"/>
            </w:tcBorders>
            <w:shd w:val="clear" w:color="000000" w:fill="FFFFFF"/>
            <w:vAlign w:val="center"/>
            <w:hideMark/>
          </w:tcPr>
          <w:p w:rsidR="005D6ACF" w:rsidRPr="00EB57D1" w:rsidRDefault="005D6ACF" w:rsidP="008A253E">
            <w:pPr>
              <w:jc w:val="center"/>
              <w:rPr>
                <w:b/>
                <w:bCs/>
                <w:i/>
                <w:iCs/>
              </w:rPr>
            </w:pPr>
            <w:r w:rsidRPr="00EB57D1">
              <w:rPr>
                <w:b/>
                <w:bCs/>
                <w:i/>
                <w:iCs/>
              </w:rPr>
              <w:t>2024 год</w:t>
            </w:r>
          </w:p>
        </w:tc>
      </w:tr>
      <w:tr w:rsidR="005D6ACF" w:rsidTr="008A253E">
        <w:trPr>
          <w:gridAfter w:val="1"/>
          <w:wAfter w:w="13" w:type="dxa"/>
          <w:trHeight w:val="420"/>
        </w:trPr>
        <w:tc>
          <w:tcPr>
            <w:tcW w:w="620" w:type="dxa"/>
            <w:tcBorders>
              <w:top w:val="nil"/>
              <w:left w:val="single" w:sz="4" w:space="0" w:color="auto"/>
              <w:bottom w:val="single" w:sz="4" w:space="0" w:color="auto"/>
              <w:right w:val="single" w:sz="4" w:space="0" w:color="auto"/>
            </w:tcBorders>
            <w:shd w:val="clear" w:color="000000" w:fill="FFFFFF"/>
            <w:hideMark/>
          </w:tcPr>
          <w:p w:rsidR="005D6ACF" w:rsidRPr="00EB57D1" w:rsidRDefault="005D6ACF" w:rsidP="008A253E">
            <w:pPr>
              <w:jc w:val="center"/>
            </w:pPr>
            <w:r w:rsidRPr="00EB57D1">
              <w:t>1</w:t>
            </w:r>
          </w:p>
        </w:tc>
        <w:tc>
          <w:tcPr>
            <w:tcW w:w="5050" w:type="dxa"/>
            <w:tcBorders>
              <w:top w:val="nil"/>
              <w:left w:val="nil"/>
              <w:bottom w:val="single" w:sz="4" w:space="0" w:color="auto"/>
              <w:right w:val="single" w:sz="4" w:space="0" w:color="auto"/>
            </w:tcBorders>
            <w:shd w:val="clear" w:color="000000" w:fill="FFFFFF"/>
            <w:hideMark/>
          </w:tcPr>
          <w:p w:rsidR="005D6ACF" w:rsidRPr="00EB57D1" w:rsidRDefault="005D6ACF" w:rsidP="008A253E">
            <w:pPr>
              <w:jc w:val="both"/>
            </w:pPr>
            <w:r w:rsidRPr="00EB57D1">
              <w:t xml:space="preserve"> Площади, сдаваемые в аренду, кв.м</w:t>
            </w:r>
          </w:p>
        </w:tc>
        <w:tc>
          <w:tcPr>
            <w:tcW w:w="1280" w:type="dxa"/>
            <w:tcBorders>
              <w:top w:val="nil"/>
              <w:left w:val="nil"/>
              <w:bottom w:val="single" w:sz="4" w:space="0" w:color="auto"/>
              <w:right w:val="single" w:sz="4" w:space="0" w:color="auto"/>
            </w:tcBorders>
            <w:shd w:val="clear" w:color="000000" w:fill="FFFFFF"/>
            <w:hideMark/>
          </w:tcPr>
          <w:p w:rsidR="005D6ACF" w:rsidRPr="00EB57D1" w:rsidRDefault="005D6ACF" w:rsidP="008A253E">
            <w:pPr>
              <w:jc w:val="center"/>
              <w:rPr>
                <w:b/>
                <w:bCs/>
              </w:rPr>
            </w:pPr>
            <w:r w:rsidRPr="00EB57D1">
              <w:rPr>
                <w:b/>
                <w:bCs/>
              </w:rPr>
              <w:t>1239,1</w:t>
            </w:r>
          </w:p>
        </w:tc>
        <w:tc>
          <w:tcPr>
            <w:tcW w:w="1260" w:type="dxa"/>
            <w:tcBorders>
              <w:top w:val="nil"/>
              <w:left w:val="nil"/>
              <w:bottom w:val="single" w:sz="4" w:space="0" w:color="auto"/>
              <w:right w:val="single" w:sz="4" w:space="0" w:color="auto"/>
            </w:tcBorders>
            <w:shd w:val="clear" w:color="000000" w:fill="FFFFFF"/>
            <w:hideMark/>
          </w:tcPr>
          <w:p w:rsidR="005D6ACF" w:rsidRPr="00EB57D1" w:rsidRDefault="005D6ACF" w:rsidP="008A253E">
            <w:pPr>
              <w:jc w:val="center"/>
              <w:rPr>
                <w:b/>
                <w:bCs/>
              </w:rPr>
            </w:pPr>
            <w:r w:rsidRPr="00EB57D1">
              <w:rPr>
                <w:b/>
                <w:bCs/>
              </w:rPr>
              <w:t>1239,1</w:t>
            </w:r>
          </w:p>
        </w:tc>
        <w:tc>
          <w:tcPr>
            <w:tcW w:w="1240" w:type="dxa"/>
            <w:tcBorders>
              <w:top w:val="nil"/>
              <w:left w:val="nil"/>
              <w:bottom w:val="single" w:sz="4" w:space="0" w:color="auto"/>
              <w:right w:val="single" w:sz="4" w:space="0" w:color="auto"/>
            </w:tcBorders>
            <w:shd w:val="clear" w:color="000000" w:fill="FFFFFF"/>
            <w:hideMark/>
          </w:tcPr>
          <w:p w:rsidR="005D6ACF" w:rsidRPr="00EB57D1" w:rsidRDefault="005D6ACF" w:rsidP="008A253E">
            <w:pPr>
              <w:jc w:val="center"/>
              <w:rPr>
                <w:b/>
                <w:bCs/>
              </w:rPr>
            </w:pPr>
            <w:r w:rsidRPr="00EB57D1">
              <w:rPr>
                <w:b/>
                <w:bCs/>
              </w:rPr>
              <w:t>1239,1</w:t>
            </w:r>
          </w:p>
        </w:tc>
      </w:tr>
      <w:tr w:rsidR="005D6ACF" w:rsidTr="008A253E">
        <w:trPr>
          <w:gridAfter w:val="1"/>
          <w:wAfter w:w="13" w:type="dxa"/>
          <w:trHeight w:val="330"/>
        </w:trPr>
        <w:tc>
          <w:tcPr>
            <w:tcW w:w="620" w:type="dxa"/>
            <w:tcBorders>
              <w:top w:val="nil"/>
              <w:left w:val="single" w:sz="4" w:space="0" w:color="auto"/>
              <w:bottom w:val="single" w:sz="4" w:space="0" w:color="auto"/>
              <w:right w:val="single" w:sz="4" w:space="0" w:color="auto"/>
            </w:tcBorders>
            <w:shd w:val="clear" w:color="000000" w:fill="FFFFFF"/>
            <w:hideMark/>
          </w:tcPr>
          <w:p w:rsidR="005D6ACF" w:rsidRPr="00EB57D1" w:rsidRDefault="005D6ACF" w:rsidP="008A253E">
            <w:pPr>
              <w:jc w:val="center"/>
            </w:pPr>
            <w:r w:rsidRPr="00EB57D1">
              <w:t>2</w:t>
            </w:r>
          </w:p>
        </w:tc>
        <w:tc>
          <w:tcPr>
            <w:tcW w:w="5050" w:type="dxa"/>
            <w:tcBorders>
              <w:top w:val="nil"/>
              <w:left w:val="nil"/>
              <w:bottom w:val="single" w:sz="4" w:space="0" w:color="auto"/>
              <w:right w:val="single" w:sz="4" w:space="0" w:color="auto"/>
            </w:tcBorders>
            <w:shd w:val="clear" w:color="000000" w:fill="FFFFFF"/>
            <w:hideMark/>
          </w:tcPr>
          <w:p w:rsidR="005D6ACF" w:rsidRPr="00EB57D1" w:rsidRDefault="005D6ACF" w:rsidP="008A253E">
            <w:pPr>
              <w:jc w:val="both"/>
            </w:pPr>
            <w:r w:rsidRPr="00EB57D1">
              <w:t>Количество договоров недвижимого имущества</w:t>
            </w:r>
          </w:p>
        </w:tc>
        <w:tc>
          <w:tcPr>
            <w:tcW w:w="1280" w:type="dxa"/>
            <w:tcBorders>
              <w:top w:val="nil"/>
              <w:left w:val="nil"/>
              <w:bottom w:val="single" w:sz="4" w:space="0" w:color="auto"/>
              <w:right w:val="single" w:sz="4" w:space="0" w:color="auto"/>
            </w:tcBorders>
            <w:shd w:val="clear" w:color="000000" w:fill="FFFFFF"/>
            <w:hideMark/>
          </w:tcPr>
          <w:p w:rsidR="005D6ACF" w:rsidRPr="00EB57D1" w:rsidRDefault="005D6ACF" w:rsidP="008A253E">
            <w:pPr>
              <w:jc w:val="center"/>
            </w:pPr>
            <w:r w:rsidRPr="00EB57D1">
              <w:t>5</w:t>
            </w:r>
          </w:p>
        </w:tc>
        <w:tc>
          <w:tcPr>
            <w:tcW w:w="1260" w:type="dxa"/>
            <w:tcBorders>
              <w:top w:val="nil"/>
              <w:left w:val="nil"/>
              <w:bottom w:val="single" w:sz="4" w:space="0" w:color="auto"/>
              <w:right w:val="single" w:sz="4" w:space="0" w:color="auto"/>
            </w:tcBorders>
            <w:shd w:val="clear" w:color="000000" w:fill="FFFFFF"/>
            <w:hideMark/>
          </w:tcPr>
          <w:p w:rsidR="005D6ACF" w:rsidRPr="00EB57D1" w:rsidRDefault="005D6ACF" w:rsidP="008A253E">
            <w:pPr>
              <w:jc w:val="center"/>
            </w:pPr>
            <w:r w:rsidRPr="00EB57D1">
              <w:t>5</w:t>
            </w:r>
          </w:p>
        </w:tc>
        <w:tc>
          <w:tcPr>
            <w:tcW w:w="1240" w:type="dxa"/>
            <w:tcBorders>
              <w:top w:val="nil"/>
              <w:left w:val="nil"/>
              <w:bottom w:val="single" w:sz="4" w:space="0" w:color="auto"/>
              <w:right w:val="single" w:sz="4" w:space="0" w:color="auto"/>
            </w:tcBorders>
            <w:shd w:val="clear" w:color="000000" w:fill="FFFFFF"/>
            <w:hideMark/>
          </w:tcPr>
          <w:p w:rsidR="005D6ACF" w:rsidRPr="00EB57D1" w:rsidRDefault="005D6ACF" w:rsidP="008A253E">
            <w:pPr>
              <w:jc w:val="center"/>
            </w:pPr>
            <w:r w:rsidRPr="00EB57D1">
              <w:t>5</w:t>
            </w:r>
          </w:p>
        </w:tc>
      </w:tr>
      <w:tr w:rsidR="005D6ACF" w:rsidTr="008A253E">
        <w:trPr>
          <w:gridAfter w:val="1"/>
          <w:wAfter w:w="13" w:type="dxa"/>
          <w:trHeight w:val="540"/>
        </w:trPr>
        <w:tc>
          <w:tcPr>
            <w:tcW w:w="620" w:type="dxa"/>
            <w:tcBorders>
              <w:top w:val="nil"/>
              <w:left w:val="single" w:sz="4" w:space="0" w:color="auto"/>
              <w:bottom w:val="single" w:sz="4" w:space="0" w:color="auto"/>
              <w:right w:val="single" w:sz="4" w:space="0" w:color="auto"/>
            </w:tcBorders>
            <w:shd w:val="clear" w:color="000000" w:fill="FFFFFF"/>
            <w:hideMark/>
          </w:tcPr>
          <w:p w:rsidR="005D6ACF" w:rsidRPr="00EB57D1" w:rsidRDefault="005D6ACF" w:rsidP="008A253E">
            <w:pPr>
              <w:jc w:val="center"/>
            </w:pPr>
            <w:r w:rsidRPr="00EB57D1">
              <w:t>3</w:t>
            </w:r>
          </w:p>
        </w:tc>
        <w:tc>
          <w:tcPr>
            <w:tcW w:w="5050" w:type="dxa"/>
            <w:tcBorders>
              <w:top w:val="nil"/>
              <w:left w:val="nil"/>
              <w:bottom w:val="single" w:sz="4" w:space="0" w:color="auto"/>
              <w:right w:val="single" w:sz="4" w:space="0" w:color="auto"/>
            </w:tcBorders>
            <w:shd w:val="clear" w:color="000000" w:fill="FFFFFF"/>
            <w:hideMark/>
          </w:tcPr>
          <w:p w:rsidR="005D6ACF" w:rsidRPr="00EB57D1" w:rsidRDefault="005D6ACF" w:rsidP="008A253E">
            <w:pPr>
              <w:jc w:val="both"/>
            </w:pPr>
            <w:r w:rsidRPr="00EB57D1">
              <w:t>Индекс-показатель инфляции, применяемый при расчете средней стоимости арендной платы за 1 кв.м площади</w:t>
            </w:r>
          </w:p>
        </w:tc>
        <w:tc>
          <w:tcPr>
            <w:tcW w:w="1280" w:type="dxa"/>
            <w:tcBorders>
              <w:top w:val="nil"/>
              <w:left w:val="nil"/>
              <w:bottom w:val="single" w:sz="4" w:space="0" w:color="auto"/>
              <w:right w:val="single" w:sz="4" w:space="0" w:color="auto"/>
            </w:tcBorders>
            <w:shd w:val="clear" w:color="000000" w:fill="FFFFFF"/>
            <w:hideMark/>
          </w:tcPr>
          <w:p w:rsidR="005D6ACF" w:rsidRPr="00EB57D1" w:rsidRDefault="005D6ACF" w:rsidP="008A253E">
            <w:pPr>
              <w:jc w:val="center"/>
            </w:pPr>
            <w:r w:rsidRPr="00EB57D1">
              <w:t>1,040</w:t>
            </w:r>
          </w:p>
        </w:tc>
        <w:tc>
          <w:tcPr>
            <w:tcW w:w="1260" w:type="dxa"/>
            <w:tcBorders>
              <w:top w:val="nil"/>
              <w:left w:val="nil"/>
              <w:bottom w:val="single" w:sz="4" w:space="0" w:color="auto"/>
              <w:right w:val="single" w:sz="4" w:space="0" w:color="auto"/>
            </w:tcBorders>
            <w:shd w:val="clear" w:color="000000" w:fill="FFFFFF"/>
            <w:hideMark/>
          </w:tcPr>
          <w:p w:rsidR="005D6ACF" w:rsidRPr="00EB57D1" w:rsidRDefault="005D6ACF" w:rsidP="008A253E">
            <w:pPr>
              <w:jc w:val="center"/>
            </w:pPr>
            <w:r w:rsidRPr="00EB57D1">
              <w:t>1,040</w:t>
            </w:r>
          </w:p>
        </w:tc>
        <w:tc>
          <w:tcPr>
            <w:tcW w:w="1240" w:type="dxa"/>
            <w:tcBorders>
              <w:top w:val="nil"/>
              <w:left w:val="nil"/>
              <w:bottom w:val="single" w:sz="4" w:space="0" w:color="auto"/>
              <w:right w:val="single" w:sz="4" w:space="0" w:color="auto"/>
            </w:tcBorders>
            <w:shd w:val="clear" w:color="000000" w:fill="FFFFFF"/>
            <w:hideMark/>
          </w:tcPr>
          <w:p w:rsidR="005D6ACF" w:rsidRPr="00EB57D1" w:rsidRDefault="005D6ACF" w:rsidP="008A253E">
            <w:pPr>
              <w:jc w:val="center"/>
            </w:pPr>
            <w:r w:rsidRPr="00EB57D1">
              <w:t>1,040</w:t>
            </w:r>
          </w:p>
        </w:tc>
      </w:tr>
      <w:tr w:rsidR="005D6ACF" w:rsidTr="008A253E">
        <w:trPr>
          <w:gridAfter w:val="1"/>
          <w:wAfter w:w="13" w:type="dxa"/>
          <w:trHeight w:val="525"/>
        </w:trPr>
        <w:tc>
          <w:tcPr>
            <w:tcW w:w="620" w:type="dxa"/>
            <w:tcBorders>
              <w:top w:val="nil"/>
              <w:left w:val="single" w:sz="4" w:space="0" w:color="auto"/>
              <w:bottom w:val="single" w:sz="4" w:space="0" w:color="auto"/>
              <w:right w:val="single" w:sz="4" w:space="0" w:color="auto"/>
            </w:tcBorders>
            <w:shd w:val="clear" w:color="000000" w:fill="FFFFFF"/>
            <w:hideMark/>
          </w:tcPr>
          <w:p w:rsidR="005D6ACF" w:rsidRPr="00EB57D1" w:rsidRDefault="005D6ACF" w:rsidP="008A253E">
            <w:pPr>
              <w:jc w:val="center"/>
            </w:pPr>
            <w:r w:rsidRPr="00EB57D1">
              <w:t>4</w:t>
            </w:r>
          </w:p>
        </w:tc>
        <w:tc>
          <w:tcPr>
            <w:tcW w:w="5050" w:type="dxa"/>
            <w:tcBorders>
              <w:top w:val="nil"/>
              <w:left w:val="nil"/>
              <w:bottom w:val="single" w:sz="4" w:space="0" w:color="auto"/>
              <w:right w:val="single" w:sz="4" w:space="0" w:color="auto"/>
            </w:tcBorders>
            <w:shd w:val="clear" w:color="000000" w:fill="FFFFFF"/>
            <w:hideMark/>
          </w:tcPr>
          <w:p w:rsidR="005D6ACF" w:rsidRPr="00EB57D1" w:rsidRDefault="005D6ACF" w:rsidP="008A253E">
            <w:pPr>
              <w:jc w:val="both"/>
            </w:pPr>
            <w:r w:rsidRPr="00EB57D1">
              <w:t xml:space="preserve">Средний размер арендной платы 1 кв.м в месяц по действующим договорам аренды с учетом индексов потребительских цен, руб. </w:t>
            </w:r>
          </w:p>
        </w:tc>
        <w:tc>
          <w:tcPr>
            <w:tcW w:w="1280" w:type="dxa"/>
            <w:tcBorders>
              <w:top w:val="nil"/>
              <w:left w:val="nil"/>
              <w:bottom w:val="single" w:sz="4" w:space="0" w:color="auto"/>
              <w:right w:val="single" w:sz="4" w:space="0" w:color="auto"/>
            </w:tcBorders>
            <w:shd w:val="clear" w:color="000000" w:fill="FFFFFF"/>
            <w:hideMark/>
          </w:tcPr>
          <w:p w:rsidR="005D6ACF" w:rsidRPr="00EB57D1" w:rsidRDefault="005D6ACF" w:rsidP="008A253E">
            <w:pPr>
              <w:jc w:val="center"/>
            </w:pPr>
            <w:r w:rsidRPr="00EB57D1">
              <w:t>271,56</w:t>
            </w:r>
          </w:p>
        </w:tc>
        <w:tc>
          <w:tcPr>
            <w:tcW w:w="1260" w:type="dxa"/>
            <w:tcBorders>
              <w:top w:val="nil"/>
              <w:left w:val="nil"/>
              <w:bottom w:val="single" w:sz="4" w:space="0" w:color="auto"/>
              <w:right w:val="single" w:sz="4" w:space="0" w:color="auto"/>
            </w:tcBorders>
            <w:shd w:val="clear" w:color="000000" w:fill="FFFFFF"/>
            <w:hideMark/>
          </w:tcPr>
          <w:p w:rsidR="005D6ACF" w:rsidRPr="00EB57D1" w:rsidRDefault="005D6ACF" w:rsidP="008A253E">
            <w:pPr>
              <w:jc w:val="center"/>
            </w:pPr>
            <w:r w:rsidRPr="00EB57D1">
              <w:t>282,42</w:t>
            </w:r>
          </w:p>
        </w:tc>
        <w:tc>
          <w:tcPr>
            <w:tcW w:w="1240" w:type="dxa"/>
            <w:tcBorders>
              <w:top w:val="nil"/>
              <w:left w:val="nil"/>
              <w:bottom w:val="single" w:sz="4" w:space="0" w:color="auto"/>
              <w:right w:val="single" w:sz="4" w:space="0" w:color="auto"/>
            </w:tcBorders>
            <w:shd w:val="clear" w:color="000000" w:fill="FFFFFF"/>
            <w:hideMark/>
          </w:tcPr>
          <w:p w:rsidR="005D6ACF" w:rsidRPr="00EB57D1" w:rsidRDefault="005D6ACF" w:rsidP="008A253E">
            <w:pPr>
              <w:jc w:val="center"/>
            </w:pPr>
            <w:r w:rsidRPr="00EB57D1">
              <w:t>293,72</w:t>
            </w:r>
          </w:p>
        </w:tc>
      </w:tr>
      <w:tr w:rsidR="005D6ACF" w:rsidTr="008A253E">
        <w:trPr>
          <w:gridAfter w:val="1"/>
          <w:wAfter w:w="13" w:type="dxa"/>
          <w:trHeight w:val="300"/>
        </w:trPr>
        <w:tc>
          <w:tcPr>
            <w:tcW w:w="620" w:type="dxa"/>
            <w:tcBorders>
              <w:top w:val="nil"/>
              <w:left w:val="single" w:sz="4" w:space="0" w:color="auto"/>
              <w:bottom w:val="single" w:sz="4" w:space="0" w:color="auto"/>
              <w:right w:val="single" w:sz="4" w:space="0" w:color="auto"/>
            </w:tcBorders>
            <w:shd w:val="clear" w:color="000000" w:fill="FFFFFF"/>
            <w:hideMark/>
          </w:tcPr>
          <w:p w:rsidR="005D6ACF" w:rsidRPr="00EB57D1" w:rsidRDefault="005D6ACF" w:rsidP="008A253E">
            <w:pPr>
              <w:jc w:val="center"/>
            </w:pPr>
            <w:r w:rsidRPr="00EB57D1">
              <w:t>5</w:t>
            </w:r>
          </w:p>
        </w:tc>
        <w:tc>
          <w:tcPr>
            <w:tcW w:w="5050" w:type="dxa"/>
            <w:tcBorders>
              <w:top w:val="nil"/>
              <w:left w:val="nil"/>
              <w:bottom w:val="single" w:sz="4" w:space="0" w:color="auto"/>
              <w:right w:val="single" w:sz="4" w:space="0" w:color="auto"/>
            </w:tcBorders>
            <w:shd w:val="clear" w:color="000000" w:fill="FFFFFF"/>
            <w:hideMark/>
          </w:tcPr>
          <w:p w:rsidR="005D6ACF" w:rsidRPr="00EB57D1" w:rsidRDefault="005D6ACF" w:rsidP="008A253E">
            <w:pPr>
              <w:jc w:val="both"/>
            </w:pPr>
            <w:r w:rsidRPr="00EB57D1">
              <w:t>Средняя продолжительность срока действия договоров</w:t>
            </w:r>
          </w:p>
        </w:tc>
        <w:tc>
          <w:tcPr>
            <w:tcW w:w="1280" w:type="dxa"/>
            <w:tcBorders>
              <w:top w:val="nil"/>
              <w:left w:val="nil"/>
              <w:bottom w:val="single" w:sz="4" w:space="0" w:color="auto"/>
              <w:right w:val="single" w:sz="4" w:space="0" w:color="auto"/>
            </w:tcBorders>
            <w:shd w:val="clear" w:color="000000" w:fill="FFFFFF"/>
            <w:hideMark/>
          </w:tcPr>
          <w:p w:rsidR="005D6ACF" w:rsidRPr="00EB57D1" w:rsidRDefault="005D6ACF" w:rsidP="008A253E">
            <w:pPr>
              <w:jc w:val="center"/>
            </w:pPr>
            <w:r w:rsidRPr="00EB57D1">
              <w:t>12</w:t>
            </w:r>
          </w:p>
        </w:tc>
        <w:tc>
          <w:tcPr>
            <w:tcW w:w="1260" w:type="dxa"/>
            <w:tcBorders>
              <w:top w:val="nil"/>
              <w:left w:val="nil"/>
              <w:bottom w:val="single" w:sz="4" w:space="0" w:color="auto"/>
              <w:right w:val="single" w:sz="4" w:space="0" w:color="auto"/>
            </w:tcBorders>
            <w:shd w:val="clear" w:color="000000" w:fill="FFFFFF"/>
            <w:hideMark/>
          </w:tcPr>
          <w:p w:rsidR="005D6ACF" w:rsidRPr="00EB57D1" w:rsidRDefault="005D6ACF" w:rsidP="008A253E">
            <w:pPr>
              <w:jc w:val="center"/>
            </w:pPr>
            <w:r w:rsidRPr="00EB57D1">
              <w:t>12</w:t>
            </w:r>
          </w:p>
        </w:tc>
        <w:tc>
          <w:tcPr>
            <w:tcW w:w="1240" w:type="dxa"/>
            <w:tcBorders>
              <w:top w:val="nil"/>
              <w:left w:val="nil"/>
              <w:bottom w:val="single" w:sz="4" w:space="0" w:color="auto"/>
              <w:right w:val="single" w:sz="4" w:space="0" w:color="auto"/>
            </w:tcBorders>
            <w:shd w:val="clear" w:color="000000" w:fill="FFFFFF"/>
            <w:hideMark/>
          </w:tcPr>
          <w:p w:rsidR="005D6ACF" w:rsidRPr="00EB57D1" w:rsidRDefault="005D6ACF" w:rsidP="008A253E">
            <w:pPr>
              <w:jc w:val="center"/>
            </w:pPr>
            <w:r w:rsidRPr="00EB57D1">
              <w:t>12</w:t>
            </w:r>
          </w:p>
        </w:tc>
      </w:tr>
      <w:tr w:rsidR="005D6ACF" w:rsidTr="008A253E">
        <w:trPr>
          <w:gridAfter w:val="1"/>
          <w:wAfter w:w="13" w:type="dxa"/>
          <w:trHeight w:val="510"/>
        </w:trPr>
        <w:tc>
          <w:tcPr>
            <w:tcW w:w="620" w:type="dxa"/>
            <w:tcBorders>
              <w:top w:val="nil"/>
              <w:left w:val="single" w:sz="4" w:space="0" w:color="auto"/>
              <w:bottom w:val="single" w:sz="4" w:space="0" w:color="auto"/>
              <w:right w:val="single" w:sz="4" w:space="0" w:color="auto"/>
            </w:tcBorders>
            <w:shd w:val="clear" w:color="000000" w:fill="FFFFFF"/>
            <w:hideMark/>
          </w:tcPr>
          <w:p w:rsidR="005D6ACF" w:rsidRPr="00EB57D1" w:rsidRDefault="005D6ACF" w:rsidP="008A253E">
            <w:pPr>
              <w:jc w:val="center"/>
            </w:pPr>
            <w:r w:rsidRPr="00EB57D1">
              <w:t>6</w:t>
            </w:r>
          </w:p>
        </w:tc>
        <w:tc>
          <w:tcPr>
            <w:tcW w:w="5050" w:type="dxa"/>
            <w:tcBorders>
              <w:top w:val="nil"/>
              <w:left w:val="nil"/>
              <w:bottom w:val="single" w:sz="4" w:space="0" w:color="auto"/>
              <w:right w:val="single" w:sz="4" w:space="0" w:color="auto"/>
            </w:tcBorders>
            <w:shd w:val="clear" w:color="000000" w:fill="FFFFFF"/>
            <w:hideMark/>
          </w:tcPr>
          <w:p w:rsidR="005D6ACF" w:rsidRPr="00EB57D1" w:rsidRDefault="005D6ACF" w:rsidP="008A253E">
            <w:pPr>
              <w:jc w:val="both"/>
            </w:pPr>
            <w:r w:rsidRPr="00EB57D1">
              <w:t>Расчетные доходы от сдачи в аренду недвижимого имущества за год, тыс.руб. (п.1 * п. 4 * п. 5 : 1000)</w:t>
            </w:r>
          </w:p>
        </w:tc>
        <w:tc>
          <w:tcPr>
            <w:tcW w:w="1280" w:type="dxa"/>
            <w:tcBorders>
              <w:top w:val="nil"/>
              <w:left w:val="nil"/>
              <w:bottom w:val="single" w:sz="4" w:space="0" w:color="auto"/>
              <w:right w:val="single" w:sz="4" w:space="0" w:color="auto"/>
            </w:tcBorders>
            <w:shd w:val="clear" w:color="000000" w:fill="FFFFFF"/>
            <w:vAlign w:val="center"/>
            <w:hideMark/>
          </w:tcPr>
          <w:p w:rsidR="005D6ACF" w:rsidRPr="00EB57D1" w:rsidRDefault="005D6ACF" w:rsidP="008A253E">
            <w:pPr>
              <w:jc w:val="center"/>
              <w:rPr>
                <w:b/>
                <w:bCs/>
              </w:rPr>
            </w:pPr>
            <w:r w:rsidRPr="00EB57D1">
              <w:rPr>
                <w:b/>
                <w:bCs/>
              </w:rPr>
              <w:t>4 037,9</w:t>
            </w:r>
          </w:p>
        </w:tc>
        <w:tc>
          <w:tcPr>
            <w:tcW w:w="1260" w:type="dxa"/>
            <w:tcBorders>
              <w:top w:val="nil"/>
              <w:left w:val="nil"/>
              <w:bottom w:val="single" w:sz="4" w:space="0" w:color="auto"/>
              <w:right w:val="single" w:sz="4" w:space="0" w:color="auto"/>
            </w:tcBorders>
            <w:shd w:val="clear" w:color="000000" w:fill="FFFFFF"/>
            <w:vAlign w:val="center"/>
            <w:hideMark/>
          </w:tcPr>
          <w:p w:rsidR="005D6ACF" w:rsidRPr="00EB57D1" w:rsidRDefault="005D6ACF" w:rsidP="008A253E">
            <w:pPr>
              <w:jc w:val="center"/>
              <w:rPr>
                <w:b/>
                <w:bCs/>
              </w:rPr>
            </w:pPr>
            <w:r w:rsidRPr="00EB57D1">
              <w:rPr>
                <w:b/>
                <w:bCs/>
              </w:rPr>
              <w:t>4 199,4</w:t>
            </w:r>
          </w:p>
        </w:tc>
        <w:tc>
          <w:tcPr>
            <w:tcW w:w="1240" w:type="dxa"/>
            <w:tcBorders>
              <w:top w:val="nil"/>
              <w:left w:val="nil"/>
              <w:bottom w:val="single" w:sz="4" w:space="0" w:color="auto"/>
              <w:right w:val="single" w:sz="4" w:space="0" w:color="auto"/>
            </w:tcBorders>
            <w:shd w:val="clear" w:color="000000" w:fill="FFFFFF"/>
            <w:vAlign w:val="center"/>
            <w:hideMark/>
          </w:tcPr>
          <w:p w:rsidR="005D6ACF" w:rsidRPr="00EB57D1" w:rsidRDefault="005D6ACF" w:rsidP="008A253E">
            <w:pPr>
              <w:jc w:val="center"/>
              <w:rPr>
                <w:b/>
                <w:bCs/>
              </w:rPr>
            </w:pPr>
            <w:r w:rsidRPr="00EB57D1">
              <w:rPr>
                <w:b/>
                <w:bCs/>
              </w:rPr>
              <w:t>4 367,4</w:t>
            </w:r>
          </w:p>
        </w:tc>
      </w:tr>
      <w:tr w:rsidR="005D6ACF" w:rsidTr="008A253E">
        <w:trPr>
          <w:gridAfter w:val="1"/>
          <w:wAfter w:w="13" w:type="dxa"/>
          <w:trHeight w:val="540"/>
        </w:trPr>
        <w:tc>
          <w:tcPr>
            <w:tcW w:w="620" w:type="dxa"/>
            <w:tcBorders>
              <w:top w:val="nil"/>
              <w:left w:val="single" w:sz="4" w:space="0" w:color="auto"/>
              <w:bottom w:val="single" w:sz="4" w:space="0" w:color="auto"/>
              <w:right w:val="single" w:sz="4" w:space="0" w:color="auto"/>
            </w:tcBorders>
            <w:shd w:val="clear" w:color="000000" w:fill="FFFFFF"/>
            <w:hideMark/>
          </w:tcPr>
          <w:p w:rsidR="005D6ACF" w:rsidRPr="00EB57D1" w:rsidRDefault="005D6ACF" w:rsidP="008A253E">
            <w:pPr>
              <w:jc w:val="center"/>
            </w:pPr>
            <w:r w:rsidRPr="00EB57D1">
              <w:t>7</w:t>
            </w:r>
          </w:p>
        </w:tc>
        <w:tc>
          <w:tcPr>
            <w:tcW w:w="5050" w:type="dxa"/>
            <w:tcBorders>
              <w:top w:val="nil"/>
              <w:left w:val="nil"/>
              <w:bottom w:val="single" w:sz="4" w:space="0" w:color="auto"/>
              <w:right w:val="single" w:sz="4" w:space="0" w:color="auto"/>
            </w:tcBorders>
            <w:shd w:val="clear" w:color="000000" w:fill="FFFFFF"/>
            <w:hideMark/>
          </w:tcPr>
          <w:p w:rsidR="005D6ACF" w:rsidRPr="00EB57D1" w:rsidRDefault="005D6ACF" w:rsidP="008A253E">
            <w:pPr>
              <w:jc w:val="both"/>
            </w:pPr>
            <w:r w:rsidRPr="00EB57D1">
              <w:t xml:space="preserve">Размер арендной платы по действующим договорам аренды движимого имущества за год, тыс.руб.      </w:t>
            </w:r>
          </w:p>
        </w:tc>
        <w:tc>
          <w:tcPr>
            <w:tcW w:w="1280" w:type="dxa"/>
            <w:tcBorders>
              <w:top w:val="nil"/>
              <w:left w:val="nil"/>
              <w:bottom w:val="single" w:sz="4" w:space="0" w:color="auto"/>
              <w:right w:val="single" w:sz="4" w:space="0" w:color="auto"/>
            </w:tcBorders>
            <w:shd w:val="clear" w:color="000000" w:fill="FFFFFF"/>
            <w:vAlign w:val="center"/>
            <w:hideMark/>
          </w:tcPr>
          <w:p w:rsidR="005D6ACF" w:rsidRPr="00EB57D1" w:rsidRDefault="005D6ACF" w:rsidP="008A253E">
            <w:pPr>
              <w:jc w:val="center"/>
              <w:rPr>
                <w:b/>
                <w:bCs/>
              </w:rPr>
            </w:pPr>
            <w:r w:rsidRPr="00EB57D1">
              <w:rPr>
                <w:b/>
                <w:bCs/>
              </w:rPr>
              <w:t>0,0</w:t>
            </w:r>
          </w:p>
        </w:tc>
        <w:tc>
          <w:tcPr>
            <w:tcW w:w="1260" w:type="dxa"/>
            <w:tcBorders>
              <w:top w:val="nil"/>
              <w:left w:val="nil"/>
              <w:bottom w:val="single" w:sz="4" w:space="0" w:color="auto"/>
              <w:right w:val="single" w:sz="4" w:space="0" w:color="auto"/>
            </w:tcBorders>
            <w:shd w:val="clear" w:color="000000" w:fill="FFFFFF"/>
            <w:vAlign w:val="center"/>
            <w:hideMark/>
          </w:tcPr>
          <w:p w:rsidR="005D6ACF" w:rsidRPr="00EB57D1" w:rsidRDefault="005D6ACF" w:rsidP="008A253E">
            <w:pPr>
              <w:jc w:val="center"/>
              <w:rPr>
                <w:b/>
                <w:bCs/>
              </w:rPr>
            </w:pPr>
            <w:r w:rsidRPr="00EB57D1">
              <w:rPr>
                <w:b/>
                <w:bCs/>
              </w:rPr>
              <w:t>0,0</w:t>
            </w:r>
          </w:p>
        </w:tc>
        <w:tc>
          <w:tcPr>
            <w:tcW w:w="1240" w:type="dxa"/>
            <w:tcBorders>
              <w:top w:val="nil"/>
              <w:left w:val="nil"/>
              <w:bottom w:val="single" w:sz="4" w:space="0" w:color="auto"/>
              <w:right w:val="single" w:sz="4" w:space="0" w:color="auto"/>
            </w:tcBorders>
            <w:shd w:val="clear" w:color="000000" w:fill="FFFFFF"/>
            <w:vAlign w:val="center"/>
            <w:hideMark/>
          </w:tcPr>
          <w:p w:rsidR="005D6ACF" w:rsidRPr="00EB57D1" w:rsidRDefault="005D6ACF" w:rsidP="008A253E">
            <w:pPr>
              <w:jc w:val="center"/>
              <w:rPr>
                <w:b/>
                <w:bCs/>
              </w:rPr>
            </w:pPr>
            <w:r w:rsidRPr="00EB57D1">
              <w:rPr>
                <w:b/>
                <w:bCs/>
              </w:rPr>
              <w:t>0,0</w:t>
            </w:r>
          </w:p>
        </w:tc>
      </w:tr>
      <w:tr w:rsidR="005D6ACF" w:rsidTr="008A253E">
        <w:trPr>
          <w:gridAfter w:val="1"/>
          <w:wAfter w:w="13" w:type="dxa"/>
          <w:trHeight w:val="540"/>
        </w:trPr>
        <w:tc>
          <w:tcPr>
            <w:tcW w:w="620" w:type="dxa"/>
            <w:tcBorders>
              <w:top w:val="nil"/>
              <w:left w:val="single" w:sz="4" w:space="0" w:color="auto"/>
              <w:bottom w:val="single" w:sz="4" w:space="0" w:color="auto"/>
              <w:right w:val="single" w:sz="4" w:space="0" w:color="auto"/>
            </w:tcBorders>
            <w:shd w:val="clear" w:color="000000" w:fill="FFFFFF"/>
            <w:hideMark/>
          </w:tcPr>
          <w:p w:rsidR="005D6ACF" w:rsidRPr="00EB57D1" w:rsidRDefault="005D6ACF" w:rsidP="008A253E">
            <w:pPr>
              <w:jc w:val="center"/>
            </w:pPr>
            <w:r w:rsidRPr="00EB57D1">
              <w:t>8</w:t>
            </w:r>
          </w:p>
        </w:tc>
        <w:tc>
          <w:tcPr>
            <w:tcW w:w="5050" w:type="dxa"/>
            <w:tcBorders>
              <w:top w:val="nil"/>
              <w:left w:val="nil"/>
              <w:bottom w:val="single" w:sz="4" w:space="0" w:color="auto"/>
              <w:right w:val="single" w:sz="4" w:space="0" w:color="auto"/>
            </w:tcBorders>
            <w:shd w:val="clear" w:color="000000" w:fill="FFFFFF"/>
            <w:hideMark/>
          </w:tcPr>
          <w:p w:rsidR="005D6ACF" w:rsidRPr="00EB57D1" w:rsidRDefault="005D6ACF" w:rsidP="008A253E">
            <w:pPr>
              <w:jc w:val="both"/>
            </w:pPr>
            <w:r w:rsidRPr="00EB57D1">
              <w:t xml:space="preserve">Размер арендной платы по действующим договорам аренды линейных объектов за год, тыс.руб.      </w:t>
            </w:r>
          </w:p>
        </w:tc>
        <w:tc>
          <w:tcPr>
            <w:tcW w:w="1280" w:type="dxa"/>
            <w:tcBorders>
              <w:top w:val="nil"/>
              <w:left w:val="nil"/>
              <w:bottom w:val="single" w:sz="4" w:space="0" w:color="auto"/>
              <w:right w:val="single" w:sz="4" w:space="0" w:color="auto"/>
            </w:tcBorders>
            <w:shd w:val="clear" w:color="000000" w:fill="FFFFFF"/>
            <w:hideMark/>
          </w:tcPr>
          <w:p w:rsidR="005D6ACF" w:rsidRPr="00EB57D1" w:rsidRDefault="005D6ACF" w:rsidP="008A253E">
            <w:pPr>
              <w:jc w:val="center"/>
              <w:rPr>
                <w:b/>
                <w:bCs/>
              </w:rPr>
            </w:pPr>
            <w:r w:rsidRPr="00EB57D1">
              <w:rPr>
                <w:b/>
                <w:bCs/>
              </w:rPr>
              <w:t>0,0</w:t>
            </w:r>
          </w:p>
        </w:tc>
        <w:tc>
          <w:tcPr>
            <w:tcW w:w="1260" w:type="dxa"/>
            <w:tcBorders>
              <w:top w:val="nil"/>
              <w:left w:val="nil"/>
              <w:bottom w:val="single" w:sz="4" w:space="0" w:color="auto"/>
              <w:right w:val="single" w:sz="4" w:space="0" w:color="auto"/>
            </w:tcBorders>
            <w:shd w:val="clear" w:color="000000" w:fill="FFFFFF"/>
            <w:hideMark/>
          </w:tcPr>
          <w:p w:rsidR="005D6ACF" w:rsidRPr="00EB57D1" w:rsidRDefault="005D6ACF" w:rsidP="008A253E">
            <w:pPr>
              <w:jc w:val="center"/>
              <w:rPr>
                <w:b/>
                <w:bCs/>
              </w:rPr>
            </w:pPr>
            <w:r w:rsidRPr="00EB57D1">
              <w:rPr>
                <w:b/>
                <w:bCs/>
              </w:rPr>
              <w:t>0,0</w:t>
            </w:r>
          </w:p>
        </w:tc>
        <w:tc>
          <w:tcPr>
            <w:tcW w:w="1240" w:type="dxa"/>
            <w:tcBorders>
              <w:top w:val="nil"/>
              <w:left w:val="nil"/>
              <w:bottom w:val="single" w:sz="4" w:space="0" w:color="auto"/>
              <w:right w:val="single" w:sz="4" w:space="0" w:color="auto"/>
            </w:tcBorders>
            <w:shd w:val="clear" w:color="000000" w:fill="FFFFFF"/>
            <w:hideMark/>
          </w:tcPr>
          <w:p w:rsidR="005D6ACF" w:rsidRPr="00EB57D1" w:rsidRDefault="005D6ACF" w:rsidP="008A253E">
            <w:pPr>
              <w:jc w:val="center"/>
              <w:rPr>
                <w:b/>
                <w:bCs/>
              </w:rPr>
            </w:pPr>
            <w:r w:rsidRPr="00EB57D1">
              <w:rPr>
                <w:b/>
                <w:bCs/>
              </w:rPr>
              <w:t>0,0</w:t>
            </w:r>
          </w:p>
        </w:tc>
      </w:tr>
      <w:tr w:rsidR="005D6ACF" w:rsidTr="008A253E">
        <w:trPr>
          <w:gridAfter w:val="1"/>
          <w:wAfter w:w="13" w:type="dxa"/>
          <w:trHeight w:val="540"/>
        </w:trPr>
        <w:tc>
          <w:tcPr>
            <w:tcW w:w="620" w:type="dxa"/>
            <w:tcBorders>
              <w:top w:val="nil"/>
              <w:left w:val="single" w:sz="4" w:space="0" w:color="auto"/>
              <w:bottom w:val="single" w:sz="4" w:space="0" w:color="auto"/>
              <w:right w:val="single" w:sz="4" w:space="0" w:color="auto"/>
            </w:tcBorders>
            <w:shd w:val="clear" w:color="000000" w:fill="FFFFFF"/>
            <w:hideMark/>
          </w:tcPr>
          <w:p w:rsidR="005D6ACF" w:rsidRPr="00EB57D1" w:rsidRDefault="005D6ACF" w:rsidP="008A253E">
            <w:pPr>
              <w:jc w:val="center"/>
            </w:pPr>
            <w:r w:rsidRPr="00EB57D1">
              <w:t>9</w:t>
            </w:r>
          </w:p>
        </w:tc>
        <w:tc>
          <w:tcPr>
            <w:tcW w:w="5050" w:type="dxa"/>
            <w:tcBorders>
              <w:top w:val="nil"/>
              <w:left w:val="nil"/>
              <w:bottom w:val="single" w:sz="4" w:space="0" w:color="auto"/>
              <w:right w:val="single" w:sz="4" w:space="0" w:color="auto"/>
            </w:tcBorders>
            <w:shd w:val="clear" w:color="000000" w:fill="FFFFFF"/>
            <w:hideMark/>
          </w:tcPr>
          <w:p w:rsidR="005D6ACF" w:rsidRPr="00EB57D1" w:rsidRDefault="005D6ACF" w:rsidP="008A253E">
            <w:pPr>
              <w:jc w:val="both"/>
            </w:pPr>
            <w:r w:rsidRPr="00EB57D1">
              <w:t>Размер арендной платы по планируемым к заключению договорам аренды недвижимого, движимого имущества, линейным объектам за год, тыс. руб.</w:t>
            </w:r>
          </w:p>
        </w:tc>
        <w:tc>
          <w:tcPr>
            <w:tcW w:w="1280" w:type="dxa"/>
            <w:tcBorders>
              <w:top w:val="nil"/>
              <w:left w:val="nil"/>
              <w:bottom w:val="single" w:sz="4" w:space="0" w:color="auto"/>
              <w:right w:val="single" w:sz="4" w:space="0" w:color="auto"/>
            </w:tcBorders>
            <w:shd w:val="clear" w:color="000000" w:fill="FFFFFF"/>
            <w:hideMark/>
          </w:tcPr>
          <w:p w:rsidR="005D6ACF" w:rsidRPr="00EB57D1" w:rsidRDefault="005D6ACF" w:rsidP="008A253E">
            <w:pPr>
              <w:jc w:val="center"/>
            </w:pPr>
            <w:r w:rsidRPr="00EB57D1">
              <w:t>0,0</w:t>
            </w:r>
          </w:p>
        </w:tc>
        <w:tc>
          <w:tcPr>
            <w:tcW w:w="1260" w:type="dxa"/>
            <w:tcBorders>
              <w:top w:val="nil"/>
              <w:left w:val="nil"/>
              <w:bottom w:val="single" w:sz="4" w:space="0" w:color="auto"/>
              <w:right w:val="single" w:sz="4" w:space="0" w:color="auto"/>
            </w:tcBorders>
            <w:shd w:val="clear" w:color="000000" w:fill="FFFFFF"/>
            <w:hideMark/>
          </w:tcPr>
          <w:p w:rsidR="005D6ACF" w:rsidRPr="00EB57D1" w:rsidRDefault="005D6ACF" w:rsidP="008A253E">
            <w:pPr>
              <w:jc w:val="center"/>
            </w:pPr>
            <w:r w:rsidRPr="00EB57D1">
              <w:t>0,0</w:t>
            </w:r>
          </w:p>
        </w:tc>
        <w:tc>
          <w:tcPr>
            <w:tcW w:w="1240" w:type="dxa"/>
            <w:tcBorders>
              <w:top w:val="nil"/>
              <w:left w:val="nil"/>
              <w:bottom w:val="single" w:sz="4" w:space="0" w:color="auto"/>
              <w:right w:val="single" w:sz="4" w:space="0" w:color="auto"/>
            </w:tcBorders>
            <w:shd w:val="clear" w:color="000000" w:fill="FFFFFF"/>
            <w:hideMark/>
          </w:tcPr>
          <w:p w:rsidR="005D6ACF" w:rsidRPr="00EB57D1" w:rsidRDefault="005D6ACF" w:rsidP="008A253E">
            <w:pPr>
              <w:jc w:val="center"/>
            </w:pPr>
            <w:r w:rsidRPr="00EB57D1">
              <w:t>0,0</w:t>
            </w:r>
          </w:p>
        </w:tc>
      </w:tr>
      <w:tr w:rsidR="005D6ACF" w:rsidTr="008A253E">
        <w:trPr>
          <w:gridAfter w:val="1"/>
          <w:wAfter w:w="13" w:type="dxa"/>
          <w:trHeight w:val="540"/>
        </w:trPr>
        <w:tc>
          <w:tcPr>
            <w:tcW w:w="620" w:type="dxa"/>
            <w:tcBorders>
              <w:top w:val="nil"/>
              <w:left w:val="single" w:sz="4" w:space="0" w:color="auto"/>
              <w:bottom w:val="single" w:sz="4" w:space="0" w:color="auto"/>
              <w:right w:val="single" w:sz="4" w:space="0" w:color="auto"/>
            </w:tcBorders>
            <w:shd w:val="clear" w:color="000000" w:fill="FFFFFF"/>
            <w:hideMark/>
          </w:tcPr>
          <w:p w:rsidR="005D6ACF" w:rsidRPr="00EB57D1" w:rsidRDefault="005D6ACF" w:rsidP="008A253E">
            <w:pPr>
              <w:jc w:val="center"/>
            </w:pPr>
            <w:r w:rsidRPr="00EB57D1">
              <w:t>10</w:t>
            </w:r>
          </w:p>
        </w:tc>
        <w:tc>
          <w:tcPr>
            <w:tcW w:w="5050" w:type="dxa"/>
            <w:tcBorders>
              <w:top w:val="nil"/>
              <w:left w:val="nil"/>
              <w:bottom w:val="single" w:sz="4" w:space="0" w:color="auto"/>
              <w:right w:val="single" w:sz="4" w:space="0" w:color="auto"/>
            </w:tcBorders>
            <w:shd w:val="clear" w:color="000000" w:fill="FFFFFF"/>
            <w:hideMark/>
          </w:tcPr>
          <w:p w:rsidR="005D6ACF" w:rsidRPr="00EB57D1" w:rsidRDefault="005D6ACF" w:rsidP="008A253E">
            <w:pPr>
              <w:jc w:val="both"/>
            </w:pPr>
            <w:r w:rsidRPr="00EB57D1">
              <w:t>Итого расчетные доходы от сдачи в аренду за год  недвижимого и движимого  по счету КБК 01911105032020000120, тыс.руб. (п.6 + п.7 +п.8 + п.9)</w:t>
            </w:r>
          </w:p>
        </w:tc>
        <w:tc>
          <w:tcPr>
            <w:tcW w:w="1280" w:type="dxa"/>
            <w:tcBorders>
              <w:top w:val="nil"/>
              <w:left w:val="nil"/>
              <w:bottom w:val="single" w:sz="4" w:space="0" w:color="auto"/>
              <w:right w:val="single" w:sz="4" w:space="0" w:color="auto"/>
            </w:tcBorders>
            <w:shd w:val="clear" w:color="000000" w:fill="FFFFFF"/>
            <w:vAlign w:val="center"/>
            <w:hideMark/>
          </w:tcPr>
          <w:p w:rsidR="005D6ACF" w:rsidRPr="00EB57D1" w:rsidRDefault="005D6ACF" w:rsidP="008A253E">
            <w:pPr>
              <w:jc w:val="center"/>
              <w:rPr>
                <w:b/>
                <w:bCs/>
              </w:rPr>
            </w:pPr>
            <w:r w:rsidRPr="00EB57D1">
              <w:rPr>
                <w:b/>
                <w:bCs/>
              </w:rPr>
              <w:t>4 037,9</w:t>
            </w:r>
          </w:p>
        </w:tc>
        <w:tc>
          <w:tcPr>
            <w:tcW w:w="1260" w:type="dxa"/>
            <w:tcBorders>
              <w:top w:val="nil"/>
              <w:left w:val="nil"/>
              <w:bottom w:val="single" w:sz="4" w:space="0" w:color="auto"/>
              <w:right w:val="single" w:sz="4" w:space="0" w:color="auto"/>
            </w:tcBorders>
            <w:shd w:val="clear" w:color="000000" w:fill="FFFFFF"/>
            <w:vAlign w:val="center"/>
            <w:hideMark/>
          </w:tcPr>
          <w:p w:rsidR="005D6ACF" w:rsidRPr="00EB57D1" w:rsidRDefault="005D6ACF" w:rsidP="008A253E">
            <w:pPr>
              <w:jc w:val="center"/>
              <w:rPr>
                <w:b/>
                <w:bCs/>
              </w:rPr>
            </w:pPr>
            <w:r w:rsidRPr="00EB57D1">
              <w:rPr>
                <w:b/>
                <w:bCs/>
              </w:rPr>
              <w:t>4 199,4</w:t>
            </w:r>
          </w:p>
        </w:tc>
        <w:tc>
          <w:tcPr>
            <w:tcW w:w="1240" w:type="dxa"/>
            <w:tcBorders>
              <w:top w:val="nil"/>
              <w:left w:val="nil"/>
              <w:bottom w:val="single" w:sz="4" w:space="0" w:color="auto"/>
              <w:right w:val="single" w:sz="4" w:space="0" w:color="auto"/>
            </w:tcBorders>
            <w:shd w:val="clear" w:color="000000" w:fill="FFFFFF"/>
            <w:vAlign w:val="center"/>
            <w:hideMark/>
          </w:tcPr>
          <w:p w:rsidR="005D6ACF" w:rsidRPr="00EB57D1" w:rsidRDefault="005D6ACF" w:rsidP="008A253E">
            <w:pPr>
              <w:jc w:val="center"/>
              <w:rPr>
                <w:b/>
                <w:bCs/>
              </w:rPr>
            </w:pPr>
            <w:r w:rsidRPr="00EB57D1">
              <w:rPr>
                <w:b/>
                <w:bCs/>
              </w:rPr>
              <w:t>4 367,4</w:t>
            </w:r>
          </w:p>
        </w:tc>
      </w:tr>
      <w:tr w:rsidR="005D6ACF" w:rsidTr="008A253E">
        <w:trPr>
          <w:gridAfter w:val="1"/>
          <w:wAfter w:w="13" w:type="dxa"/>
          <w:trHeight w:val="495"/>
        </w:trPr>
        <w:tc>
          <w:tcPr>
            <w:tcW w:w="620" w:type="dxa"/>
            <w:tcBorders>
              <w:top w:val="nil"/>
              <w:left w:val="single" w:sz="4" w:space="0" w:color="auto"/>
              <w:bottom w:val="single" w:sz="4" w:space="0" w:color="auto"/>
              <w:right w:val="single" w:sz="4" w:space="0" w:color="auto"/>
            </w:tcBorders>
            <w:shd w:val="clear" w:color="000000" w:fill="FFFFFF"/>
            <w:hideMark/>
          </w:tcPr>
          <w:p w:rsidR="005D6ACF" w:rsidRPr="00EB57D1" w:rsidRDefault="005D6ACF" w:rsidP="008A253E">
            <w:pPr>
              <w:jc w:val="center"/>
            </w:pPr>
            <w:r w:rsidRPr="00EB57D1">
              <w:t>11</w:t>
            </w:r>
          </w:p>
        </w:tc>
        <w:tc>
          <w:tcPr>
            <w:tcW w:w="5050" w:type="dxa"/>
            <w:tcBorders>
              <w:top w:val="nil"/>
              <w:left w:val="nil"/>
              <w:bottom w:val="single" w:sz="4" w:space="0" w:color="auto"/>
              <w:right w:val="single" w:sz="4" w:space="0" w:color="auto"/>
            </w:tcBorders>
            <w:shd w:val="clear" w:color="000000" w:fill="FFFFFF"/>
            <w:hideMark/>
          </w:tcPr>
          <w:p w:rsidR="005D6ACF" w:rsidRPr="00EB57D1" w:rsidRDefault="005D6ACF" w:rsidP="008A253E">
            <w:pPr>
              <w:jc w:val="both"/>
            </w:pPr>
            <w:r w:rsidRPr="00EB57D1">
              <w:t xml:space="preserve">Собираемость доходов, принимаемая как среднее арифметическое значение аналогичных показателей за три года, </w:t>
            </w:r>
            <w:r w:rsidRPr="00EB57D1">
              <w:lastRenderedPageBreak/>
              <w:t>предшествующих текущему финансовому году, %</w:t>
            </w:r>
          </w:p>
        </w:tc>
        <w:tc>
          <w:tcPr>
            <w:tcW w:w="1280" w:type="dxa"/>
            <w:tcBorders>
              <w:top w:val="nil"/>
              <w:left w:val="nil"/>
              <w:bottom w:val="single" w:sz="4" w:space="0" w:color="auto"/>
              <w:right w:val="single" w:sz="4" w:space="0" w:color="auto"/>
            </w:tcBorders>
            <w:shd w:val="clear" w:color="000000" w:fill="FFFFFF"/>
            <w:hideMark/>
          </w:tcPr>
          <w:p w:rsidR="005D6ACF" w:rsidRPr="00EB57D1" w:rsidRDefault="005D6ACF" w:rsidP="008A253E">
            <w:pPr>
              <w:jc w:val="center"/>
            </w:pPr>
            <w:r w:rsidRPr="00EB57D1">
              <w:lastRenderedPageBreak/>
              <w:t>99</w:t>
            </w:r>
          </w:p>
        </w:tc>
        <w:tc>
          <w:tcPr>
            <w:tcW w:w="1260" w:type="dxa"/>
            <w:tcBorders>
              <w:top w:val="nil"/>
              <w:left w:val="nil"/>
              <w:bottom w:val="single" w:sz="4" w:space="0" w:color="auto"/>
              <w:right w:val="single" w:sz="4" w:space="0" w:color="auto"/>
            </w:tcBorders>
            <w:shd w:val="clear" w:color="000000" w:fill="FFFFFF"/>
            <w:hideMark/>
          </w:tcPr>
          <w:p w:rsidR="005D6ACF" w:rsidRPr="00EB57D1" w:rsidRDefault="005D6ACF" w:rsidP="008A253E">
            <w:pPr>
              <w:jc w:val="center"/>
            </w:pPr>
            <w:r w:rsidRPr="00EB57D1">
              <w:t>99</w:t>
            </w:r>
          </w:p>
        </w:tc>
        <w:tc>
          <w:tcPr>
            <w:tcW w:w="1240" w:type="dxa"/>
            <w:tcBorders>
              <w:top w:val="nil"/>
              <w:left w:val="nil"/>
              <w:bottom w:val="single" w:sz="4" w:space="0" w:color="auto"/>
              <w:right w:val="single" w:sz="4" w:space="0" w:color="auto"/>
            </w:tcBorders>
            <w:shd w:val="clear" w:color="000000" w:fill="FFFFFF"/>
            <w:hideMark/>
          </w:tcPr>
          <w:p w:rsidR="005D6ACF" w:rsidRPr="00EB57D1" w:rsidRDefault="005D6ACF" w:rsidP="008A253E">
            <w:pPr>
              <w:jc w:val="center"/>
            </w:pPr>
            <w:r w:rsidRPr="00EB57D1">
              <w:t>99</w:t>
            </w:r>
          </w:p>
        </w:tc>
      </w:tr>
      <w:tr w:rsidR="005D6ACF" w:rsidTr="008A253E">
        <w:trPr>
          <w:gridAfter w:val="1"/>
          <w:wAfter w:w="13" w:type="dxa"/>
          <w:trHeight w:val="330"/>
        </w:trPr>
        <w:tc>
          <w:tcPr>
            <w:tcW w:w="620" w:type="dxa"/>
            <w:tcBorders>
              <w:top w:val="nil"/>
              <w:left w:val="single" w:sz="4" w:space="0" w:color="auto"/>
              <w:bottom w:val="single" w:sz="4" w:space="0" w:color="auto"/>
              <w:right w:val="single" w:sz="4" w:space="0" w:color="auto"/>
            </w:tcBorders>
            <w:shd w:val="clear" w:color="000000" w:fill="FFFFFF"/>
            <w:hideMark/>
          </w:tcPr>
          <w:p w:rsidR="005D6ACF" w:rsidRPr="00EB57D1" w:rsidRDefault="005D6ACF" w:rsidP="008A253E">
            <w:pPr>
              <w:jc w:val="center"/>
            </w:pPr>
            <w:r w:rsidRPr="00EB57D1">
              <w:t>12</w:t>
            </w:r>
          </w:p>
        </w:tc>
        <w:tc>
          <w:tcPr>
            <w:tcW w:w="5050" w:type="dxa"/>
            <w:tcBorders>
              <w:top w:val="nil"/>
              <w:left w:val="nil"/>
              <w:bottom w:val="single" w:sz="4" w:space="0" w:color="auto"/>
              <w:right w:val="single" w:sz="4" w:space="0" w:color="auto"/>
            </w:tcBorders>
            <w:shd w:val="clear" w:color="000000" w:fill="FFFFFF"/>
            <w:hideMark/>
          </w:tcPr>
          <w:p w:rsidR="005D6ACF" w:rsidRPr="00EB57D1" w:rsidRDefault="005D6ACF" w:rsidP="008A253E">
            <w:pPr>
              <w:jc w:val="both"/>
            </w:pPr>
            <w:r w:rsidRPr="00EB57D1">
              <w:t>Погашение задолженности прошлых лет, тыс.руб.</w:t>
            </w:r>
          </w:p>
        </w:tc>
        <w:tc>
          <w:tcPr>
            <w:tcW w:w="1280" w:type="dxa"/>
            <w:tcBorders>
              <w:top w:val="nil"/>
              <w:left w:val="nil"/>
              <w:bottom w:val="single" w:sz="4" w:space="0" w:color="auto"/>
              <w:right w:val="single" w:sz="4" w:space="0" w:color="auto"/>
            </w:tcBorders>
            <w:shd w:val="clear" w:color="000000" w:fill="FFFFFF"/>
            <w:hideMark/>
          </w:tcPr>
          <w:p w:rsidR="005D6ACF" w:rsidRPr="00EB57D1" w:rsidRDefault="005D6ACF" w:rsidP="008A253E">
            <w:pPr>
              <w:jc w:val="center"/>
            </w:pPr>
            <w:r w:rsidRPr="00EB57D1">
              <w:t>38,2</w:t>
            </w:r>
          </w:p>
        </w:tc>
        <w:tc>
          <w:tcPr>
            <w:tcW w:w="1260" w:type="dxa"/>
            <w:tcBorders>
              <w:top w:val="nil"/>
              <w:left w:val="nil"/>
              <w:bottom w:val="single" w:sz="4" w:space="0" w:color="auto"/>
              <w:right w:val="single" w:sz="4" w:space="0" w:color="auto"/>
            </w:tcBorders>
            <w:shd w:val="clear" w:color="000000" w:fill="FFFFFF"/>
            <w:hideMark/>
          </w:tcPr>
          <w:p w:rsidR="005D6ACF" w:rsidRPr="00EB57D1" w:rsidRDefault="005D6ACF" w:rsidP="008A253E">
            <w:pPr>
              <w:jc w:val="center"/>
            </w:pPr>
            <w:r w:rsidRPr="00EB57D1">
              <w:t>40,4</w:t>
            </w:r>
          </w:p>
        </w:tc>
        <w:tc>
          <w:tcPr>
            <w:tcW w:w="1240" w:type="dxa"/>
            <w:tcBorders>
              <w:top w:val="nil"/>
              <w:left w:val="nil"/>
              <w:bottom w:val="single" w:sz="4" w:space="0" w:color="auto"/>
              <w:right w:val="single" w:sz="4" w:space="0" w:color="auto"/>
            </w:tcBorders>
            <w:shd w:val="clear" w:color="000000" w:fill="FFFFFF"/>
            <w:hideMark/>
          </w:tcPr>
          <w:p w:rsidR="005D6ACF" w:rsidRPr="00EB57D1" w:rsidRDefault="005D6ACF" w:rsidP="008A253E">
            <w:pPr>
              <w:jc w:val="center"/>
            </w:pPr>
            <w:r w:rsidRPr="00EB57D1">
              <w:t>42,0</w:t>
            </w:r>
          </w:p>
        </w:tc>
      </w:tr>
      <w:tr w:rsidR="005D6ACF" w:rsidTr="008A253E">
        <w:trPr>
          <w:gridAfter w:val="1"/>
          <w:wAfter w:w="13" w:type="dxa"/>
          <w:trHeight w:val="510"/>
        </w:trPr>
        <w:tc>
          <w:tcPr>
            <w:tcW w:w="620" w:type="dxa"/>
            <w:tcBorders>
              <w:top w:val="nil"/>
              <w:left w:val="single" w:sz="4" w:space="0" w:color="auto"/>
              <w:bottom w:val="single" w:sz="4" w:space="0" w:color="auto"/>
              <w:right w:val="single" w:sz="4" w:space="0" w:color="auto"/>
            </w:tcBorders>
            <w:shd w:val="clear" w:color="000000" w:fill="FFFFFF"/>
            <w:hideMark/>
          </w:tcPr>
          <w:p w:rsidR="005D6ACF" w:rsidRPr="00EB57D1" w:rsidRDefault="005D6ACF" w:rsidP="008A253E">
            <w:pPr>
              <w:jc w:val="center"/>
              <w:rPr>
                <w:b/>
                <w:bCs/>
              </w:rPr>
            </w:pPr>
            <w:r w:rsidRPr="00EB57D1">
              <w:rPr>
                <w:b/>
                <w:bCs/>
              </w:rPr>
              <w:t>13</w:t>
            </w:r>
          </w:p>
        </w:tc>
        <w:tc>
          <w:tcPr>
            <w:tcW w:w="5050" w:type="dxa"/>
            <w:tcBorders>
              <w:top w:val="nil"/>
              <w:left w:val="nil"/>
              <w:bottom w:val="single" w:sz="4" w:space="0" w:color="auto"/>
              <w:right w:val="single" w:sz="4" w:space="0" w:color="auto"/>
            </w:tcBorders>
            <w:shd w:val="clear" w:color="000000" w:fill="FFFFFF"/>
            <w:hideMark/>
          </w:tcPr>
          <w:p w:rsidR="005D6ACF" w:rsidRPr="00EB57D1" w:rsidRDefault="005D6ACF" w:rsidP="008A253E">
            <w:pPr>
              <w:jc w:val="both"/>
              <w:rPr>
                <w:b/>
                <w:bCs/>
              </w:rPr>
            </w:pPr>
            <w:r w:rsidRPr="00EB57D1">
              <w:rPr>
                <w:b/>
                <w:bCs/>
              </w:rPr>
              <w:t xml:space="preserve">Всего доходы от сдачи в аренду за год  имущества по КБК 019 1 11 05032 02 0000120, тыс.руб. п.10 *п.11 + п.12                                       </w:t>
            </w:r>
            <w:r w:rsidRPr="00EB57D1">
              <w:t xml:space="preserve">  </w:t>
            </w:r>
          </w:p>
        </w:tc>
        <w:tc>
          <w:tcPr>
            <w:tcW w:w="1280" w:type="dxa"/>
            <w:tcBorders>
              <w:top w:val="nil"/>
              <w:left w:val="nil"/>
              <w:bottom w:val="single" w:sz="4" w:space="0" w:color="auto"/>
              <w:right w:val="single" w:sz="4" w:space="0" w:color="auto"/>
            </w:tcBorders>
            <w:shd w:val="clear" w:color="000000" w:fill="FFFFFF"/>
            <w:vAlign w:val="center"/>
            <w:hideMark/>
          </w:tcPr>
          <w:p w:rsidR="005D6ACF" w:rsidRPr="00EB57D1" w:rsidRDefault="005D6ACF" w:rsidP="008A253E">
            <w:pPr>
              <w:jc w:val="center"/>
              <w:rPr>
                <w:b/>
                <w:bCs/>
              </w:rPr>
            </w:pPr>
            <w:r w:rsidRPr="00EB57D1">
              <w:rPr>
                <w:b/>
                <w:bCs/>
              </w:rPr>
              <w:t>4 035,7</w:t>
            </w:r>
          </w:p>
        </w:tc>
        <w:tc>
          <w:tcPr>
            <w:tcW w:w="1260" w:type="dxa"/>
            <w:tcBorders>
              <w:top w:val="nil"/>
              <w:left w:val="nil"/>
              <w:bottom w:val="single" w:sz="4" w:space="0" w:color="auto"/>
              <w:right w:val="single" w:sz="4" w:space="0" w:color="auto"/>
            </w:tcBorders>
            <w:shd w:val="clear" w:color="000000" w:fill="FFFFFF"/>
            <w:vAlign w:val="center"/>
            <w:hideMark/>
          </w:tcPr>
          <w:p w:rsidR="005D6ACF" w:rsidRPr="00EB57D1" w:rsidRDefault="005D6ACF" w:rsidP="008A253E">
            <w:pPr>
              <w:jc w:val="center"/>
              <w:rPr>
                <w:b/>
                <w:bCs/>
              </w:rPr>
            </w:pPr>
            <w:r w:rsidRPr="00EB57D1">
              <w:rPr>
                <w:b/>
                <w:bCs/>
              </w:rPr>
              <w:t>4 197,8</w:t>
            </w:r>
          </w:p>
        </w:tc>
        <w:tc>
          <w:tcPr>
            <w:tcW w:w="1240" w:type="dxa"/>
            <w:tcBorders>
              <w:top w:val="nil"/>
              <w:left w:val="nil"/>
              <w:bottom w:val="single" w:sz="4" w:space="0" w:color="auto"/>
              <w:right w:val="single" w:sz="4" w:space="0" w:color="auto"/>
            </w:tcBorders>
            <w:shd w:val="clear" w:color="000000" w:fill="FFFFFF"/>
            <w:vAlign w:val="center"/>
            <w:hideMark/>
          </w:tcPr>
          <w:p w:rsidR="005D6ACF" w:rsidRPr="00EB57D1" w:rsidRDefault="005D6ACF" w:rsidP="008A253E">
            <w:pPr>
              <w:jc w:val="center"/>
              <w:rPr>
                <w:b/>
                <w:bCs/>
              </w:rPr>
            </w:pPr>
            <w:r w:rsidRPr="00EB57D1">
              <w:rPr>
                <w:b/>
                <w:bCs/>
              </w:rPr>
              <w:t>4 365,7</w:t>
            </w:r>
          </w:p>
        </w:tc>
      </w:tr>
    </w:tbl>
    <w:p w:rsidR="005D6ACF" w:rsidRPr="00C93A58" w:rsidRDefault="005D6ACF" w:rsidP="005D6ACF">
      <w:pPr>
        <w:ind w:firstLine="709"/>
        <w:jc w:val="both"/>
        <w:rPr>
          <w:sz w:val="28"/>
          <w:szCs w:val="28"/>
        </w:rPr>
      </w:pPr>
    </w:p>
    <w:p w:rsidR="005D6ACF" w:rsidRPr="00EB57D1" w:rsidRDefault="005D6ACF" w:rsidP="005D6ACF">
      <w:pPr>
        <w:ind w:firstLine="709"/>
        <w:jc w:val="both"/>
        <w:rPr>
          <w:sz w:val="28"/>
          <w:szCs w:val="28"/>
        </w:rPr>
      </w:pPr>
      <w:r w:rsidRPr="00EB57D1">
        <w:rPr>
          <w:sz w:val="28"/>
          <w:szCs w:val="28"/>
        </w:rPr>
        <w:t>Показатель собираемости доходов по договорам аренды, рассчитывался исходя из начислений арендной платы на 2018 - 2020 годы и перечислений плательщиками денежных средств в счет уплаты арендной платы за соответствующий период по данному виду доходов и составил 99% ((100%+98%+100%)/3=99%).</w:t>
      </w:r>
    </w:p>
    <w:p w:rsidR="005D6ACF" w:rsidRPr="00EB57D1" w:rsidRDefault="005D6ACF" w:rsidP="005D6ACF">
      <w:pPr>
        <w:widowControl w:val="0"/>
        <w:autoSpaceDE w:val="0"/>
        <w:autoSpaceDN w:val="0"/>
        <w:adjustRightInd w:val="0"/>
        <w:ind w:firstLine="709"/>
        <w:jc w:val="both"/>
        <w:rPr>
          <w:sz w:val="28"/>
          <w:szCs w:val="28"/>
        </w:rPr>
      </w:pPr>
      <w:r w:rsidRPr="00EB57D1">
        <w:rPr>
          <w:sz w:val="28"/>
          <w:szCs w:val="28"/>
        </w:rPr>
        <w:t>В 2018 году начисления арендной платы составили 3 588,8 тыс. руб., перечисления по уплате арендной платы составили 3 585,2 тыс. руб.(100%).</w:t>
      </w:r>
    </w:p>
    <w:p w:rsidR="005D6ACF" w:rsidRPr="00EB57D1" w:rsidRDefault="005D6ACF" w:rsidP="005D6ACF">
      <w:pPr>
        <w:widowControl w:val="0"/>
        <w:autoSpaceDE w:val="0"/>
        <w:autoSpaceDN w:val="0"/>
        <w:adjustRightInd w:val="0"/>
        <w:ind w:firstLine="709"/>
        <w:jc w:val="both"/>
        <w:rPr>
          <w:sz w:val="28"/>
          <w:szCs w:val="28"/>
        </w:rPr>
      </w:pPr>
      <w:r w:rsidRPr="00EB57D1">
        <w:rPr>
          <w:sz w:val="28"/>
          <w:szCs w:val="28"/>
        </w:rPr>
        <w:t>В 2019 году начисления арендной платы составили 3 779,8 тыс. руб., перечисления по уплате арендной платы составили 3 690,4 тыс. руб.(98%).</w:t>
      </w:r>
    </w:p>
    <w:p w:rsidR="005D6ACF" w:rsidRPr="00EB57D1" w:rsidRDefault="005D6ACF" w:rsidP="005D6ACF">
      <w:pPr>
        <w:widowControl w:val="0"/>
        <w:autoSpaceDE w:val="0"/>
        <w:autoSpaceDN w:val="0"/>
        <w:adjustRightInd w:val="0"/>
        <w:ind w:firstLine="709"/>
        <w:jc w:val="both"/>
        <w:rPr>
          <w:sz w:val="28"/>
          <w:szCs w:val="28"/>
        </w:rPr>
      </w:pPr>
      <w:r w:rsidRPr="00EB57D1">
        <w:rPr>
          <w:sz w:val="28"/>
          <w:szCs w:val="28"/>
        </w:rPr>
        <w:t>В 2020 году начисления арендной платы составили 3 468,8 тыс. руб., перечисления по уплате арендной платы составили 3 468,8 тыс. руб.(100%).</w:t>
      </w:r>
    </w:p>
    <w:p w:rsidR="005D6ACF" w:rsidRPr="00EB57D1" w:rsidRDefault="005D6ACF" w:rsidP="005D6ACF">
      <w:pPr>
        <w:ind w:firstLine="709"/>
        <w:jc w:val="both"/>
        <w:rPr>
          <w:sz w:val="28"/>
          <w:szCs w:val="28"/>
        </w:rPr>
      </w:pPr>
      <w:r w:rsidRPr="00EB57D1">
        <w:rPr>
          <w:b/>
          <w:sz w:val="28"/>
          <w:szCs w:val="28"/>
        </w:rPr>
        <w:t>Пз</w:t>
      </w:r>
      <w:r w:rsidRPr="00EB57D1">
        <w:rPr>
          <w:sz w:val="28"/>
          <w:szCs w:val="28"/>
        </w:rPr>
        <w:t xml:space="preserve"> – погашение задолженности прошлых лет.</w:t>
      </w:r>
    </w:p>
    <w:p w:rsidR="005D6ACF" w:rsidRPr="00EB57D1" w:rsidRDefault="005D6ACF" w:rsidP="005D6ACF">
      <w:pPr>
        <w:ind w:firstLine="709"/>
        <w:jc w:val="both"/>
        <w:rPr>
          <w:sz w:val="28"/>
          <w:szCs w:val="28"/>
        </w:rPr>
      </w:pPr>
      <w:r w:rsidRPr="00EB57D1">
        <w:rPr>
          <w:sz w:val="28"/>
          <w:szCs w:val="28"/>
        </w:rPr>
        <w:t xml:space="preserve">По состоянию на 01.01.2021 дебиторская задолженность по указанному доходному источнику составляет 62,4 тыс. руб. за 2019 год. </w:t>
      </w:r>
    </w:p>
    <w:p w:rsidR="005D6ACF" w:rsidRPr="00EB57D1" w:rsidRDefault="005D6ACF" w:rsidP="005D6ACF">
      <w:pPr>
        <w:ind w:firstLine="709"/>
        <w:jc w:val="both"/>
        <w:rPr>
          <w:sz w:val="28"/>
          <w:szCs w:val="28"/>
        </w:rPr>
      </w:pPr>
      <w:r w:rsidRPr="00EB57D1">
        <w:rPr>
          <w:sz w:val="28"/>
          <w:szCs w:val="28"/>
        </w:rPr>
        <w:t>Задолженность в сумме 62,4 тыс. руб. договору аренды, заключенному с ФКУ «Управление автомобильной магистрали Ордена Ленина «Москва-Санкт-Петербург» Федерального дорожного агентства оплачена в марте 2021 года.</w:t>
      </w:r>
    </w:p>
    <w:p w:rsidR="005D6ACF" w:rsidRPr="00EB57D1" w:rsidRDefault="005D6ACF" w:rsidP="005D6ACF">
      <w:pPr>
        <w:widowControl w:val="0"/>
        <w:autoSpaceDE w:val="0"/>
        <w:autoSpaceDN w:val="0"/>
        <w:adjustRightInd w:val="0"/>
        <w:ind w:firstLine="709"/>
        <w:jc w:val="both"/>
        <w:rPr>
          <w:color w:val="000000"/>
          <w:sz w:val="28"/>
          <w:szCs w:val="28"/>
        </w:rPr>
      </w:pPr>
      <w:r w:rsidRPr="00EB57D1">
        <w:rPr>
          <w:color w:val="000000"/>
          <w:sz w:val="28"/>
          <w:szCs w:val="28"/>
        </w:rPr>
        <w:t xml:space="preserve">Расчет планируемой к поступлению </w:t>
      </w:r>
      <w:r w:rsidRPr="00EB57D1">
        <w:rPr>
          <w:b/>
          <w:color w:val="000000"/>
          <w:sz w:val="28"/>
          <w:szCs w:val="28"/>
        </w:rPr>
        <w:t>в 2021 году</w:t>
      </w:r>
      <w:r w:rsidRPr="00EB57D1">
        <w:rPr>
          <w:color w:val="000000"/>
          <w:sz w:val="28"/>
          <w:szCs w:val="28"/>
        </w:rPr>
        <w:t xml:space="preserve"> суммы задолженности прошлых лет производился исходя из  фактически поступивших за 6 месяцев 2021 года платежей в счет погашения задолженности на 01.01.2021 в сумме 62,4 тыс. руб.</w:t>
      </w:r>
    </w:p>
    <w:p w:rsidR="005D6ACF" w:rsidRPr="00EB57D1" w:rsidRDefault="005D6ACF" w:rsidP="005D6ACF">
      <w:pPr>
        <w:ind w:firstLine="709"/>
        <w:jc w:val="both"/>
        <w:rPr>
          <w:color w:val="000000"/>
          <w:sz w:val="28"/>
          <w:szCs w:val="28"/>
        </w:rPr>
      </w:pPr>
      <w:r w:rsidRPr="00EB57D1">
        <w:rPr>
          <w:color w:val="000000"/>
          <w:sz w:val="28"/>
          <w:szCs w:val="28"/>
        </w:rPr>
        <w:t xml:space="preserve">Планируемые поступления в 2022-2024 годы в счет оплаты задолженности прошлых лет рассчитаны исходя из фактически сложившейся задолженности предшествующих лет. </w:t>
      </w:r>
    </w:p>
    <w:p w:rsidR="005D6ACF" w:rsidRPr="00EB57D1" w:rsidRDefault="005D6ACF" w:rsidP="005D6ACF">
      <w:pPr>
        <w:ind w:firstLine="709"/>
        <w:jc w:val="both"/>
        <w:rPr>
          <w:color w:val="000000"/>
          <w:sz w:val="28"/>
          <w:szCs w:val="28"/>
        </w:rPr>
      </w:pPr>
      <w:r w:rsidRPr="00EB57D1">
        <w:rPr>
          <w:color w:val="000000"/>
          <w:sz w:val="28"/>
          <w:szCs w:val="28"/>
        </w:rPr>
        <w:t xml:space="preserve">Поступления в счет оплаты задолженности прошлых лет </w:t>
      </w:r>
      <w:r w:rsidRPr="00EB57D1">
        <w:rPr>
          <w:b/>
          <w:color w:val="000000"/>
          <w:sz w:val="28"/>
          <w:szCs w:val="28"/>
        </w:rPr>
        <w:t>на 2022 год</w:t>
      </w:r>
      <w:r w:rsidRPr="00EB57D1">
        <w:rPr>
          <w:color w:val="000000"/>
          <w:sz w:val="28"/>
          <w:szCs w:val="28"/>
        </w:rPr>
        <w:t xml:space="preserve"> планируется в сумме </w:t>
      </w:r>
      <w:r w:rsidRPr="00EB57D1">
        <w:rPr>
          <w:b/>
          <w:color w:val="000000"/>
          <w:sz w:val="28"/>
          <w:szCs w:val="28"/>
        </w:rPr>
        <w:t>38,2 тыс. руб.</w:t>
      </w:r>
      <w:r w:rsidRPr="00EB57D1">
        <w:rPr>
          <w:color w:val="000000"/>
          <w:sz w:val="28"/>
          <w:szCs w:val="28"/>
        </w:rPr>
        <w:t xml:space="preserve"> (3 820,1 тыс. руб. *1%);</w:t>
      </w:r>
    </w:p>
    <w:p w:rsidR="005D6ACF" w:rsidRPr="00EB57D1" w:rsidRDefault="005D6ACF" w:rsidP="005D6ACF">
      <w:pPr>
        <w:ind w:firstLine="709"/>
        <w:jc w:val="both"/>
        <w:rPr>
          <w:color w:val="000000"/>
          <w:sz w:val="28"/>
          <w:szCs w:val="28"/>
        </w:rPr>
      </w:pPr>
      <w:r w:rsidRPr="00EB57D1">
        <w:rPr>
          <w:color w:val="000000"/>
          <w:sz w:val="28"/>
          <w:szCs w:val="28"/>
        </w:rPr>
        <w:t>Поступления в счет оплаты задолженности прошлых лет н</w:t>
      </w:r>
      <w:r w:rsidRPr="00EB57D1">
        <w:rPr>
          <w:b/>
          <w:color w:val="000000"/>
          <w:sz w:val="28"/>
          <w:szCs w:val="28"/>
        </w:rPr>
        <w:t xml:space="preserve">а 2023 год </w:t>
      </w:r>
      <w:r w:rsidRPr="00EB57D1">
        <w:rPr>
          <w:color w:val="000000"/>
          <w:sz w:val="28"/>
          <w:szCs w:val="28"/>
        </w:rPr>
        <w:t xml:space="preserve">планируется в сумме </w:t>
      </w:r>
      <w:r w:rsidRPr="00EB57D1">
        <w:rPr>
          <w:b/>
          <w:color w:val="000000"/>
          <w:sz w:val="28"/>
          <w:szCs w:val="28"/>
        </w:rPr>
        <w:t>40,4 тыс. руб</w:t>
      </w:r>
      <w:r w:rsidRPr="00EB57D1">
        <w:rPr>
          <w:color w:val="000000"/>
          <w:sz w:val="28"/>
          <w:szCs w:val="28"/>
        </w:rPr>
        <w:t>. (4 037,9 тыс. руб. *1%);</w:t>
      </w:r>
    </w:p>
    <w:p w:rsidR="005D6ACF" w:rsidRPr="00EB57D1" w:rsidRDefault="005D6ACF" w:rsidP="005D6ACF">
      <w:pPr>
        <w:ind w:firstLine="709"/>
        <w:jc w:val="both"/>
        <w:rPr>
          <w:color w:val="000000"/>
          <w:sz w:val="28"/>
          <w:szCs w:val="28"/>
        </w:rPr>
      </w:pPr>
      <w:r w:rsidRPr="00EB57D1">
        <w:rPr>
          <w:color w:val="000000"/>
          <w:sz w:val="28"/>
          <w:szCs w:val="28"/>
        </w:rPr>
        <w:t xml:space="preserve">Поступления в счет оплаты задолженности прошлых лет </w:t>
      </w:r>
      <w:r w:rsidRPr="00EB57D1">
        <w:rPr>
          <w:b/>
          <w:color w:val="000000"/>
          <w:sz w:val="28"/>
          <w:szCs w:val="28"/>
        </w:rPr>
        <w:t>на 2024 год</w:t>
      </w:r>
      <w:r w:rsidRPr="00EB57D1">
        <w:rPr>
          <w:color w:val="000000"/>
          <w:sz w:val="28"/>
          <w:szCs w:val="28"/>
        </w:rPr>
        <w:t xml:space="preserve"> планируется в сумме </w:t>
      </w:r>
      <w:r w:rsidRPr="00EB57D1">
        <w:rPr>
          <w:b/>
          <w:color w:val="000000"/>
          <w:sz w:val="28"/>
          <w:szCs w:val="28"/>
        </w:rPr>
        <w:t>42,0 тыс. руб.</w:t>
      </w:r>
      <w:r w:rsidRPr="00EB57D1">
        <w:rPr>
          <w:color w:val="000000"/>
          <w:sz w:val="28"/>
          <w:szCs w:val="28"/>
        </w:rPr>
        <w:t xml:space="preserve"> (4 199,4 тыс. руб. *1%).</w:t>
      </w:r>
    </w:p>
    <w:p w:rsidR="005D6ACF" w:rsidRPr="00EB57D1" w:rsidRDefault="005D6ACF" w:rsidP="005D6ACF">
      <w:pPr>
        <w:ind w:firstLine="709"/>
        <w:jc w:val="both"/>
        <w:rPr>
          <w:sz w:val="28"/>
          <w:szCs w:val="28"/>
        </w:rPr>
      </w:pPr>
    </w:p>
    <w:p w:rsidR="005D6ACF" w:rsidRPr="00621EAC" w:rsidRDefault="005D6ACF" w:rsidP="005D6ACF">
      <w:pPr>
        <w:autoSpaceDE w:val="0"/>
        <w:autoSpaceDN w:val="0"/>
        <w:adjustRightInd w:val="0"/>
        <w:ind w:firstLine="709"/>
        <w:jc w:val="both"/>
      </w:pPr>
    </w:p>
    <w:p w:rsidR="005D6ACF" w:rsidRPr="00441BA1" w:rsidRDefault="005D6ACF" w:rsidP="005D6ACF">
      <w:pPr>
        <w:ind w:firstLine="720"/>
        <w:jc w:val="both"/>
        <w:rPr>
          <w:b/>
          <w:sz w:val="28"/>
          <w:szCs w:val="28"/>
        </w:rPr>
      </w:pPr>
      <w:r w:rsidRPr="00441BA1">
        <w:rPr>
          <w:b/>
          <w:sz w:val="28"/>
          <w:szCs w:val="28"/>
        </w:rPr>
        <w:t>Доходы от сдачи в аренду имущества, составляющего казну субъекта Российской Федерации (за исключением земельных участков) (019 1 11 05072 02 0000 120)</w:t>
      </w:r>
    </w:p>
    <w:p w:rsidR="005D6ACF" w:rsidRDefault="005D6ACF" w:rsidP="005D6ACF">
      <w:pPr>
        <w:ind w:firstLine="720"/>
        <w:jc w:val="right"/>
        <w:rPr>
          <w:sz w:val="28"/>
          <w:szCs w:val="28"/>
        </w:rPr>
      </w:pPr>
      <w:r w:rsidRPr="00C93A58">
        <w:rPr>
          <w:sz w:val="28"/>
          <w:szCs w:val="28"/>
        </w:rPr>
        <w:t>тыс. руб.</w:t>
      </w:r>
    </w:p>
    <w:tbl>
      <w:tblPr>
        <w:tblW w:w="93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4"/>
        <w:gridCol w:w="1365"/>
        <w:gridCol w:w="1365"/>
        <w:gridCol w:w="1322"/>
      </w:tblGrid>
      <w:tr w:rsidR="005D6ACF" w:rsidRPr="00FD4CD6" w:rsidTr="008A253E">
        <w:trPr>
          <w:trHeight w:val="460"/>
        </w:trPr>
        <w:tc>
          <w:tcPr>
            <w:tcW w:w="5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6ACF" w:rsidRPr="00EF1770" w:rsidRDefault="005D6ACF" w:rsidP="008A253E">
            <w:pPr>
              <w:jc w:val="center"/>
              <w:rPr>
                <w:sz w:val="28"/>
                <w:szCs w:val="28"/>
              </w:rPr>
            </w:pPr>
            <w:r w:rsidRPr="00EF1770">
              <w:rPr>
                <w:bCs/>
                <w:sz w:val="28"/>
                <w:szCs w:val="28"/>
              </w:rPr>
              <w:lastRenderedPageBreak/>
              <w:t>Наименование дохода</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6ACF" w:rsidRPr="00EF1770" w:rsidRDefault="005D6ACF" w:rsidP="008A253E">
            <w:pPr>
              <w:tabs>
                <w:tab w:val="left" w:pos="851"/>
              </w:tabs>
              <w:jc w:val="center"/>
              <w:rPr>
                <w:sz w:val="28"/>
                <w:szCs w:val="28"/>
              </w:rPr>
            </w:pPr>
            <w:r w:rsidRPr="00EF1770">
              <w:rPr>
                <w:sz w:val="28"/>
                <w:szCs w:val="28"/>
              </w:rPr>
              <w:t>Прогноз на</w:t>
            </w:r>
          </w:p>
          <w:p w:rsidR="005D6ACF" w:rsidRPr="00EF1770" w:rsidRDefault="005D6ACF" w:rsidP="008A253E">
            <w:pPr>
              <w:tabs>
                <w:tab w:val="left" w:pos="851"/>
              </w:tabs>
              <w:jc w:val="center"/>
              <w:rPr>
                <w:sz w:val="28"/>
                <w:szCs w:val="28"/>
              </w:rPr>
            </w:pPr>
            <w:r w:rsidRPr="00EF1770">
              <w:rPr>
                <w:sz w:val="28"/>
                <w:szCs w:val="28"/>
              </w:rPr>
              <w:t>2022 год</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6ACF" w:rsidRPr="00EF1770" w:rsidRDefault="005D6ACF" w:rsidP="008A253E">
            <w:pPr>
              <w:tabs>
                <w:tab w:val="left" w:pos="851"/>
              </w:tabs>
              <w:jc w:val="center"/>
              <w:rPr>
                <w:sz w:val="28"/>
                <w:szCs w:val="28"/>
              </w:rPr>
            </w:pPr>
            <w:r w:rsidRPr="00EF1770">
              <w:rPr>
                <w:sz w:val="28"/>
                <w:szCs w:val="28"/>
              </w:rPr>
              <w:t>Прогноз на</w:t>
            </w:r>
          </w:p>
          <w:p w:rsidR="005D6ACF" w:rsidRPr="00EF1770" w:rsidRDefault="005D6ACF" w:rsidP="008A253E">
            <w:pPr>
              <w:tabs>
                <w:tab w:val="left" w:pos="851"/>
              </w:tabs>
              <w:jc w:val="center"/>
              <w:rPr>
                <w:sz w:val="28"/>
                <w:szCs w:val="28"/>
              </w:rPr>
            </w:pPr>
            <w:r w:rsidRPr="00EF1770">
              <w:rPr>
                <w:sz w:val="28"/>
                <w:szCs w:val="28"/>
              </w:rPr>
              <w:t xml:space="preserve"> 2023 год</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6ACF" w:rsidRPr="00EF1770" w:rsidRDefault="005D6ACF" w:rsidP="008A253E">
            <w:pPr>
              <w:tabs>
                <w:tab w:val="left" w:pos="851"/>
              </w:tabs>
              <w:jc w:val="center"/>
              <w:rPr>
                <w:sz w:val="28"/>
                <w:szCs w:val="28"/>
              </w:rPr>
            </w:pPr>
            <w:r w:rsidRPr="00EF1770">
              <w:rPr>
                <w:sz w:val="28"/>
                <w:szCs w:val="28"/>
              </w:rPr>
              <w:t>Прогноз на</w:t>
            </w:r>
          </w:p>
          <w:p w:rsidR="005D6ACF" w:rsidRPr="00EF1770" w:rsidRDefault="005D6ACF" w:rsidP="008A253E">
            <w:pPr>
              <w:tabs>
                <w:tab w:val="left" w:pos="851"/>
              </w:tabs>
              <w:jc w:val="center"/>
              <w:rPr>
                <w:sz w:val="28"/>
                <w:szCs w:val="28"/>
              </w:rPr>
            </w:pPr>
            <w:r w:rsidRPr="00EF1770">
              <w:rPr>
                <w:sz w:val="28"/>
                <w:szCs w:val="28"/>
              </w:rPr>
              <w:t xml:space="preserve"> 2024 год</w:t>
            </w:r>
          </w:p>
        </w:tc>
      </w:tr>
      <w:tr w:rsidR="005D6ACF" w:rsidRPr="00B1671D" w:rsidTr="008A253E">
        <w:trPr>
          <w:trHeight w:val="490"/>
        </w:trPr>
        <w:tc>
          <w:tcPr>
            <w:tcW w:w="5274" w:type="dxa"/>
            <w:tcBorders>
              <w:top w:val="single" w:sz="4" w:space="0" w:color="auto"/>
              <w:left w:val="single" w:sz="4" w:space="0" w:color="auto"/>
              <w:bottom w:val="single" w:sz="4" w:space="0" w:color="auto"/>
              <w:right w:val="single" w:sz="4" w:space="0" w:color="auto"/>
            </w:tcBorders>
            <w:hideMark/>
          </w:tcPr>
          <w:p w:rsidR="005D6ACF" w:rsidRPr="00EF1770" w:rsidRDefault="005D6ACF" w:rsidP="008A253E">
            <w:pPr>
              <w:rPr>
                <w:sz w:val="28"/>
                <w:szCs w:val="28"/>
              </w:rPr>
            </w:pPr>
            <w:r w:rsidRPr="00EF1770">
              <w:rPr>
                <w:sz w:val="28"/>
                <w:szCs w:val="28"/>
              </w:rPr>
              <w:t>Доходы от сдачи в аренду имущества, составляющего казну субъекта Российской Федерации (за исключением земельных участков)</w:t>
            </w:r>
          </w:p>
        </w:tc>
        <w:tc>
          <w:tcPr>
            <w:tcW w:w="1365" w:type="dxa"/>
            <w:tcBorders>
              <w:top w:val="single" w:sz="4" w:space="0" w:color="auto"/>
              <w:left w:val="single" w:sz="4" w:space="0" w:color="auto"/>
              <w:bottom w:val="single" w:sz="4" w:space="0" w:color="auto"/>
              <w:right w:val="single" w:sz="4" w:space="0" w:color="auto"/>
            </w:tcBorders>
            <w:vAlign w:val="center"/>
            <w:hideMark/>
          </w:tcPr>
          <w:p w:rsidR="005D6ACF" w:rsidRPr="00EF1770" w:rsidRDefault="005D6ACF" w:rsidP="008A253E">
            <w:pPr>
              <w:jc w:val="center"/>
              <w:rPr>
                <w:bCs/>
                <w:sz w:val="28"/>
                <w:szCs w:val="28"/>
              </w:rPr>
            </w:pPr>
            <w:r w:rsidRPr="00EF1770">
              <w:rPr>
                <w:bCs/>
                <w:sz w:val="28"/>
                <w:szCs w:val="28"/>
              </w:rPr>
              <w:t>14 345,0</w:t>
            </w:r>
          </w:p>
        </w:tc>
        <w:tc>
          <w:tcPr>
            <w:tcW w:w="1365" w:type="dxa"/>
            <w:tcBorders>
              <w:top w:val="single" w:sz="4" w:space="0" w:color="auto"/>
              <w:left w:val="single" w:sz="4" w:space="0" w:color="auto"/>
              <w:bottom w:val="single" w:sz="4" w:space="0" w:color="auto"/>
              <w:right w:val="single" w:sz="4" w:space="0" w:color="auto"/>
            </w:tcBorders>
            <w:vAlign w:val="center"/>
            <w:hideMark/>
          </w:tcPr>
          <w:p w:rsidR="005D6ACF" w:rsidRPr="00EF1770" w:rsidRDefault="005D6ACF" w:rsidP="008A253E">
            <w:pPr>
              <w:jc w:val="center"/>
              <w:rPr>
                <w:bCs/>
                <w:sz w:val="28"/>
                <w:szCs w:val="28"/>
              </w:rPr>
            </w:pPr>
            <w:r w:rsidRPr="00EF1770">
              <w:rPr>
                <w:bCs/>
                <w:sz w:val="28"/>
                <w:szCs w:val="28"/>
              </w:rPr>
              <w:t>12 400,4</w:t>
            </w:r>
          </w:p>
        </w:tc>
        <w:tc>
          <w:tcPr>
            <w:tcW w:w="1322" w:type="dxa"/>
            <w:tcBorders>
              <w:top w:val="single" w:sz="4" w:space="0" w:color="auto"/>
              <w:left w:val="single" w:sz="4" w:space="0" w:color="auto"/>
              <w:bottom w:val="single" w:sz="4" w:space="0" w:color="auto"/>
              <w:right w:val="single" w:sz="4" w:space="0" w:color="auto"/>
            </w:tcBorders>
            <w:vAlign w:val="center"/>
            <w:hideMark/>
          </w:tcPr>
          <w:p w:rsidR="005D6ACF" w:rsidRPr="00EF1770" w:rsidRDefault="005D6ACF" w:rsidP="008A253E">
            <w:pPr>
              <w:jc w:val="center"/>
              <w:rPr>
                <w:bCs/>
                <w:sz w:val="28"/>
                <w:szCs w:val="28"/>
              </w:rPr>
            </w:pPr>
            <w:r w:rsidRPr="00EF1770">
              <w:rPr>
                <w:bCs/>
                <w:sz w:val="28"/>
                <w:szCs w:val="28"/>
              </w:rPr>
              <w:t>11 893,9</w:t>
            </w:r>
          </w:p>
        </w:tc>
      </w:tr>
      <w:tr w:rsidR="005D6ACF" w:rsidRPr="00B1671D" w:rsidTr="008A253E">
        <w:trPr>
          <w:trHeight w:val="147"/>
        </w:trPr>
        <w:tc>
          <w:tcPr>
            <w:tcW w:w="5274" w:type="dxa"/>
            <w:tcBorders>
              <w:top w:val="single" w:sz="4" w:space="0" w:color="auto"/>
              <w:left w:val="single" w:sz="4" w:space="0" w:color="auto"/>
              <w:bottom w:val="single" w:sz="4" w:space="0" w:color="auto"/>
              <w:right w:val="single" w:sz="4" w:space="0" w:color="auto"/>
            </w:tcBorders>
            <w:hideMark/>
          </w:tcPr>
          <w:p w:rsidR="005D6ACF" w:rsidRPr="00EF1770" w:rsidRDefault="005D6ACF" w:rsidP="008A253E">
            <w:pPr>
              <w:rPr>
                <w:sz w:val="28"/>
                <w:szCs w:val="28"/>
              </w:rPr>
            </w:pPr>
            <w:r w:rsidRPr="00EF1770">
              <w:rPr>
                <w:sz w:val="28"/>
                <w:szCs w:val="28"/>
              </w:rPr>
              <w:t>в том числе поступление задолженности</w:t>
            </w:r>
          </w:p>
        </w:tc>
        <w:tc>
          <w:tcPr>
            <w:tcW w:w="1365" w:type="dxa"/>
            <w:tcBorders>
              <w:top w:val="single" w:sz="4" w:space="0" w:color="auto"/>
              <w:left w:val="single" w:sz="4" w:space="0" w:color="auto"/>
              <w:bottom w:val="single" w:sz="4" w:space="0" w:color="auto"/>
              <w:right w:val="single" w:sz="4" w:space="0" w:color="auto"/>
            </w:tcBorders>
            <w:vAlign w:val="center"/>
            <w:hideMark/>
          </w:tcPr>
          <w:p w:rsidR="005D6ACF" w:rsidRPr="00EF1770" w:rsidRDefault="005D6ACF" w:rsidP="008A253E">
            <w:pPr>
              <w:jc w:val="center"/>
              <w:rPr>
                <w:bCs/>
                <w:sz w:val="28"/>
                <w:szCs w:val="28"/>
              </w:rPr>
            </w:pPr>
            <w:r w:rsidRPr="00EF1770">
              <w:rPr>
                <w:bCs/>
                <w:sz w:val="28"/>
                <w:szCs w:val="28"/>
              </w:rPr>
              <w:t>7 951,3</w:t>
            </w:r>
          </w:p>
        </w:tc>
        <w:tc>
          <w:tcPr>
            <w:tcW w:w="1365" w:type="dxa"/>
            <w:tcBorders>
              <w:top w:val="single" w:sz="4" w:space="0" w:color="auto"/>
              <w:left w:val="single" w:sz="4" w:space="0" w:color="auto"/>
              <w:bottom w:val="single" w:sz="4" w:space="0" w:color="auto"/>
              <w:right w:val="single" w:sz="4" w:space="0" w:color="auto"/>
            </w:tcBorders>
            <w:vAlign w:val="center"/>
            <w:hideMark/>
          </w:tcPr>
          <w:p w:rsidR="005D6ACF" w:rsidRPr="00EF1770" w:rsidRDefault="005D6ACF" w:rsidP="008A253E">
            <w:pPr>
              <w:jc w:val="center"/>
              <w:rPr>
                <w:bCs/>
                <w:sz w:val="28"/>
                <w:szCs w:val="28"/>
              </w:rPr>
            </w:pPr>
            <w:r w:rsidRPr="00EF1770">
              <w:rPr>
                <w:bCs/>
                <w:sz w:val="28"/>
                <w:szCs w:val="28"/>
              </w:rPr>
              <w:t>5 757,6</w:t>
            </w:r>
          </w:p>
        </w:tc>
        <w:tc>
          <w:tcPr>
            <w:tcW w:w="1322" w:type="dxa"/>
            <w:tcBorders>
              <w:top w:val="single" w:sz="4" w:space="0" w:color="auto"/>
              <w:left w:val="single" w:sz="4" w:space="0" w:color="auto"/>
              <w:bottom w:val="single" w:sz="4" w:space="0" w:color="auto"/>
              <w:right w:val="single" w:sz="4" w:space="0" w:color="auto"/>
            </w:tcBorders>
            <w:vAlign w:val="center"/>
            <w:hideMark/>
          </w:tcPr>
          <w:p w:rsidR="005D6ACF" w:rsidRPr="00EF1770" w:rsidRDefault="005D6ACF" w:rsidP="008A253E">
            <w:pPr>
              <w:jc w:val="center"/>
              <w:rPr>
                <w:bCs/>
                <w:sz w:val="28"/>
                <w:szCs w:val="28"/>
              </w:rPr>
            </w:pPr>
            <w:r w:rsidRPr="00EF1770">
              <w:rPr>
                <w:bCs/>
                <w:sz w:val="28"/>
                <w:szCs w:val="28"/>
              </w:rPr>
              <w:t>4 995,4</w:t>
            </w:r>
          </w:p>
        </w:tc>
      </w:tr>
    </w:tbl>
    <w:p w:rsidR="005D6ACF" w:rsidRDefault="005D6ACF" w:rsidP="005D6ACF">
      <w:pPr>
        <w:ind w:firstLine="720"/>
        <w:jc w:val="both"/>
        <w:rPr>
          <w:sz w:val="28"/>
          <w:szCs w:val="28"/>
        </w:rPr>
      </w:pPr>
    </w:p>
    <w:p w:rsidR="005D6ACF" w:rsidRDefault="005D6ACF" w:rsidP="005D6ACF">
      <w:pPr>
        <w:ind w:firstLine="720"/>
        <w:jc w:val="right"/>
        <w:rPr>
          <w:sz w:val="28"/>
          <w:szCs w:val="28"/>
        </w:rPr>
      </w:pPr>
    </w:p>
    <w:p w:rsidR="005D6ACF" w:rsidRPr="00C93A58" w:rsidRDefault="005D6ACF" w:rsidP="005D6ACF">
      <w:pPr>
        <w:ind w:firstLine="709"/>
        <w:jc w:val="both"/>
      </w:pPr>
    </w:p>
    <w:p w:rsidR="005D6ACF" w:rsidRPr="00C93A58" w:rsidRDefault="005D6ACF" w:rsidP="005D6ACF">
      <w:pPr>
        <w:ind w:firstLine="709"/>
        <w:jc w:val="both"/>
        <w:rPr>
          <w:sz w:val="28"/>
          <w:szCs w:val="28"/>
        </w:rPr>
      </w:pPr>
      <w:r w:rsidRPr="00C93A58">
        <w:rPr>
          <w:sz w:val="28"/>
          <w:szCs w:val="28"/>
        </w:rPr>
        <w:t>Для расчета доходов от сдачи в аренду недвижимого имущества (без жилых помещений) областного уровня собственности, находящегося в казне Тверской области, применяется следующая формула:</w:t>
      </w:r>
    </w:p>
    <w:p w:rsidR="005D6ACF" w:rsidRPr="00C93A58" w:rsidRDefault="005D6ACF" w:rsidP="005D6ACF">
      <w:pPr>
        <w:ind w:firstLine="709"/>
        <w:jc w:val="both"/>
        <w:rPr>
          <w:sz w:val="28"/>
          <w:szCs w:val="28"/>
        </w:rPr>
      </w:pPr>
    </w:p>
    <w:p w:rsidR="005D6ACF" w:rsidRPr="00E156CE" w:rsidRDefault="005D6ACF" w:rsidP="005D6ACF">
      <w:pPr>
        <w:ind w:firstLine="709"/>
        <w:jc w:val="center"/>
        <w:rPr>
          <w:sz w:val="28"/>
          <w:szCs w:val="28"/>
        </w:rPr>
      </w:pPr>
      <w:r w:rsidRPr="00E156CE">
        <w:rPr>
          <w:b/>
          <w:sz w:val="28"/>
          <w:szCs w:val="28"/>
        </w:rPr>
        <w:t>Дак =(Пл * АП * С + Дди + ЛО + АПпл)*СД+Пз</w:t>
      </w:r>
      <w:r w:rsidRPr="00E156CE">
        <w:rPr>
          <w:sz w:val="28"/>
          <w:szCs w:val="28"/>
        </w:rPr>
        <w:t>, где</w:t>
      </w:r>
    </w:p>
    <w:p w:rsidR="005D6ACF" w:rsidRPr="00E156CE" w:rsidRDefault="005D6ACF" w:rsidP="005D6ACF">
      <w:pPr>
        <w:ind w:firstLine="709"/>
        <w:jc w:val="center"/>
        <w:rPr>
          <w:sz w:val="28"/>
          <w:szCs w:val="28"/>
        </w:rPr>
      </w:pPr>
    </w:p>
    <w:p w:rsidR="005D6ACF" w:rsidRPr="00E156CE" w:rsidRDefault="005D6ACF" w:rsidP="005D6ACF">
      <w:pPr>
        <w:ind w:firstLine="709"/>
        <w:jc w:val="both"/>
        <w:rPr>
          <w:sz w:val="28"/>
          <w:szCs w:val="28"/>
        </w:rPr>
      </w:pPr>
      <w:r w:rsidRPr="00E156CE">
        <w:rPr>
          <w:sz w:val="28"/>
          <w:szCs w:val="28"/>
        </w:rPr>
        <w:t>Пл – площадь, сдаваемая в аренду;</w:t>
      </w:r>
    </w:p>
    <w:p w:rsidR="005D6ACF" w:rsidRPr="00E156CE" w:rsidRDefault="005D6ACF" w:rsidP="005D6ACF">
      <w:pPr>
        <w:ind w:firstLine="709"/>
        <w:jc w:val="both"/>
        <w:rPr>
          <w:sz w:val="28"/>
          <w:szCs w:val="28"/>
        </w:rPr>
      </w:pPr>
      <w:r w:rsidRPr="00E156CE">
        <w:rPr>
          <w:sz w:val="28"/>
          <w:szCs w:val="28"/>
        </w:rPr>
        <w:t>АП – средний размер арендной платы за 1 кв. м в месяц, по действующим договорам аренды с учетом показателей инфляции;</w:t>
      </w:r>
    </w:p>
    <w:p w:rsidR="005D6ACF" w:rsidRPr="00E156CE" w:rsidRDefault="005D6ACF" w:rsidP="005D6ACF">
      <w:pPr>
        <w:ind w:firstLine="709"/>
        <w:jc w:val="both"/>
        <w:rPr>
          <w:sz w:val="28"/>
          <w:szCs w:val="28"/>
        </w:rPr>
      </w:pPr>
      <w:r w:rsidRPr="00E156CE">
        <w:rPr>
          <w:sz w:val="28"/>
          <w:szCs w:val="28"/>
        </w:rPr>
        <w:t>С – средняя продолжительность срока действия договоров;</w:t>
      </w:r>
    </w:p>
    <w:p w:rsidR="005D6ACF" w:rsidRPr="00E156CE" w:rsidRDefault="005D6ACF" w:rsidP="005D6ACF">
      <w:pPr>
        <w:ind w:firstLine="709"/>
        <w:jc w:val="both"/>
        <w:rPr>
          <w:sz w:val="28"/>
          <w:szCs w:val="28"/>
        </w:rPr>
      </w:pPr>
      <w:r w:rsidRPr="00E156CE">
        <w:rPr>
          <w:sz w:val="28"/>
          <w:szCs w:val="28"/>
        </w:rPr>
        <w:t>Дди – размер арендной платы по действующим договорам аренды движимого имущества;</w:t>
      </w:r>
    </w:p>
    <w:p w:rsidR="005D6ACF" w:rsidRPr="00E156CE" w:rsidRDefault="005D6ACF" w:rsidP="005D6ACF">
      <w:pPr>
        <w:ind w:firstLine="709"/>
        <w:jc w:val="both"/>
        <w:rPr>
          <w:sz w:val="28"/>
          <w:szCs w:val="28"/>
        </w:rPr>
      </w:pPr>
      <w:r w:rsidRPr="00E156CE">
        <w:rPr>
          <w:sz w:val="28"/>
          <w:szCs w:val="28"/>
        </w:rPr>
        <w:t>ЛО - размер арендной платы по действующим договорам аренды линейных объектов;</w:t>
      </w:r>
    </w:p>
    <w:p w:rsidR="005D6ACF" w:rsidRPr="00E156CE" w:rsidRDefault="005D6ACF" w:rsidP="005D6ACF">
      <w:pPr>
        <w:ind w:firstLine="709"/>
        <w:jc w:val="both"/>
        <w:rPr>
          <w:sz w:val="28"/>
          <w:szCs w:val="28"/>
        </w:rPr>
      </w:pPr>
      <w:r w:rsidRPr="00E156CE">
        <w:rPr>
          <w:sz w:val="28"/>
          <w:szCs w:val="28"/>
        </w:rPr>
        <w:t>АПпл – размер арендной платы по планируемым к заключению договорам аренды недвижимого имущества, движимого имущества, линейным объектам;</w:t>
      </w:r>
    </w:p>
    <w:p w:rsidR="005D6ACF" w:rsidRPr="00E156CE" w:rsidRDefault="005D6ACF" w:rsidP="005D6ACF">
      <w:pPr>
        <w:ind w:firstLine="709"/>
        <w:jc w:val="both"/>
        <w:rPr>
          <w:sz w:val="28"/>
          <w:szCs w:val="28"/>
        </w:rPr>
      </w:pPr>
      <w:r w:rsidRPr="00E156CE">
        <w:rPr>
          <w:sz w:val="28"/>
          <w:szCs w:val="28"/>
        </w:rPr>
        <w:t>СД – собираемость доходов (в %), принимаемая как среднее арифметическое значение аналогичных показателей за три года, предшествующих текущему финансовому году;</w:t>
      </w:r>
    </w:p>
    <w:p w:rsidR="005D6ACF" w:rsidRDefault="005D6ACF" w:rsidP="005D6ACF">
      <w:pPr>
        <w:ind w:firstLine="709"/>
        <w:jc w:val="both"/>
        <w:rPr>
          <w:sz w:val="28"/>
          <w:szCs w:val="28"/>
        </w:rPr>
      </w:pPr>
      <w:r w:rsidRPr="00E156CE">
        <w:rPr>
          <w:sz w:val="28"/>
          <w:szCs w:val="28"/>
        </w:rPr>
        <w:t>Пз – погашение задолженности прошлых лет.</w:t>
      </w:r>
    </w:p>
    <w:p w:rsidR="005D6ACF" w:rsidRDefault="005D6ACF" w:rsidP="005D6ACF">
      <w:pPr>
        <w:ind w:firstLine="709"/>
        <w:jc w:val="both"/>
        <w:rPr>
          <w:sz w:val="28"/>
          <w:szCs w:val="28"/>
        </w:rPr>
      </w:pPr>
    </w:p>
    <w:tbl>
      <w:tblPr>
        <w:tblW w:w="9465" w:type="dxa"/>
        <w:tblLook w:val="04A0" w:firstRow="1" w:lastRow="0" w:firstColumn="1" w:lastColumn="0" w:noHBand="0" w:noVBand="1"/>
      </w:tblPr>
      <w:tblGrid>
        <w:gridCol w:w="620"/>
        <w:gridCol w:w="4767"/>
        <w:gridCol w:w="1380"/>
        <w:gridCol w:w="1380"/>
        <w:gridCol w:w="1303"/>
        <w:gridCol w:w="15"/>
      </w:tblGrid>
      <w:tr w:rsidR="005D6ACF" w:rsidTr="008A253E">
        <w:trPr>
          <w:trHeight w:val="255"/>
        </w:trPr>
        <w:tc>
          <w:tcPr>
            <w:tcW w:w="9465" w:type="dxa"/>
            <w:gridSpan w:val="6"/>
            <w:tcBorders>
              <w:top w:val="nil"/>
              <w:left w:val="nil"/>
              <w:bottom w:val="nil"/>
              <w:right w:val="nil"/>
            </w:tcBorders>
            <w:shd w:val="clear" w:color="auto" w:fill="auto"/>
            <w:vAlign w:val="center"/>
            <w:hideMark/>
          </w:tcPr>
          <w:p w:rsidR="005D6ACF" w:rsidRPr="00EF1770" w:rsidRDefault="005D6ACF" w:rsidP="008A253E">
            <w:pPr>
              <w:jc w:val="center"/>
              <w:rPr>
                <w:b/>
                <w:bCs/>
                <w:sz w:val="28"/>
                <w:szCs w:val="28"/>
              </w:rPr>
            </w:pPr>
            <w:r w:rsidRPr="00EF1770">
              <w:rPr>
                <w:b/>
                <w:bCs/>
                <w:sz w:val="28"/>
                <w:szCs w:val="28"/>
              </w:rPr>
              <w:t>Расчет</w:t>
            </w:r>
          </w:p>
        </w:tc>
      </w:tr>
      <w:tr w:rsidR="005D6ACF" w:rsidTr="008A253E">
        <w:trPr>
          <w:trHeight w:val="615"/>
        </w:trPr>
        <w:tc>
          <w:tcPr>
            <w:tcW w:w="9465" w:type="dxa"/>
            <w:gridSpan w:val="6"/>
            <w:tcBorders>
              <w:top w:val="nil"/>
              <w:left w:val="nil"/>
              <w:bottom w:val="nil"/>
              <w:right w:val="nil"/>
            </w:tcBorders>
            <w:shd w:val="clear" w:color="auto" w:fill="auto"/>
            <w:vAlign w:val="center"/>
            <w:hideMark/>
          </w:tcPr>
          <w:p w:rsidR="005D6ACF" w:rsidRPr="00EF1770" w:rsidRDefault="005D6ACF" w:rsidP="008A253E">
            <w:pPr>
              <w:jc w:val="center"/>
              <w:rPr>
                <w:b/>
                <w:bCs/>
                <w:sz w:val="28"/>
                <w:szCs w:val="28"/>
              </w:rPr>
            </w:pPr>
            <w:r w:rsidRPr="00EF1770">
              <w:rPr>
                <w:b/>
                <w:bCs/>
                <w:sz w:val="28"/>
                <w:szCs w:val="28"/>
              </w:rPr>
              <w:t>доходов от аренды недвижимого имущества, составляющего казну Тверской областиобласти и казенных учреждений на 2021 год и плановый период 2022 - 2024 годов</w:t>
            </w:r>
          </w:p>
        </w:tc>
      </w:tr>
      <w:tr w:rsidR="005D6ACF" w:rsidTr="008A253E">
        <w:trPr>
          <w:gridAfter w:val="1"/>
          <w:wAfter w:w="15" w:type="dxa"/>
          <w:trHeight w:val="30"/>
        </w:trPr>
        <w:tc>
          <w:tcPr>
            <w:tcW w:w="620" w:type="dxa"/>
            <w:tcBorders>
              <w:top w:val="nil"/>
              <w:left w:val="nil"/>
              <w:bottom w:val="nil"/>
              <w:right w:val="nil"/>
            </w:tcBorders>
            <w:shd w:val="clear" w:color="auto" w:fill="auto"/>
            <w:hideMark/>
          </w:tcPr>
          <w:p w:rsidR="005D6ACF" w:rsidRDefault="005D6ACF" w:rsidP="008A253E">
            <w:pPr>
              <w:jc w:val="center"/>
              <w:rPr>
                <w:b/>
                <w:bCs/>
              </w:rPr>
            </w:pPr>
          </w:p>
        </w:tc>
        <w:tc>
          <w:tcPr>
            <w:tcW w:w="4767" w:type="dxa"/>
            <w:tcBorders>
              <w:top w:val="nil"/>
              <w:left w:val="nil"/>
              <w:bottom w:val="nil"/>
              <w:right w:val="nil"/>
            </w:tcBorders>
            <w:shd w:val="clear" w:color="auto" w:fill="auto"/>
            <w:hideMark/>
          </w:tcPr>
          <w:p w:rsidR="005D6ACF" w:rsidRDefault="005D6ACF" w:rsidP="008A253E">
            <w:pPr>
              <w:rPr>
                <w:sz w:val="20"/>
                <w:szCs w:val="20"/>
              </w:rPr>
            </w:pPr>
          </w:p>
        </w:tc>
        <w:tc>
          <w:tcPr>
            <w:tcW w:w="1380" w:type="dxa"/>
            <w:tcBorders>
              <w:top w:val="nil"/>
              <w:left w:val="nil"/>
              <w:bottom w:val="nil"/>
              <w:right w:val="nil"/>
            </w:tcBorders>
            <w:shd w:val="clear" w:color="auto" w:fill="auto"/>
            <w:hideMark/>
          </w:tcPr>
          <w:p w:rsidR="005D6ACF" w:rsidRDefault="005D6ACF" w:rsidP="008A253E">
            <w:pPr>
              <w:rPr>
                <w:sz w:val="20"/>
                <w:szCs w:val="20"/>
              </w:rPr>
            </w:pPr>
          </w:p>
        </w:tc>
        <w:tc>
          <w:tcPr>
            <w:tcW w:w="1380" w:type="dxa"/>
            <w:tcBorders>
              <w:top w:val="nil"/>
              <w:left w:val="nil"/>
              <w:bottom w:val="nil"/>
              <w:right w:val="nil"/>
            </w:tcBorders>
            <w:shd w:val="clear" w:color="auto" w:fill="auto"/>
            <w:hideMark/>
          </w:tcPr>
          <w:p w:rsidR="005D6ACF" w:rsidRDefault="005D6ACF" w:rsidP="008A253E">
            <w:pPr>
              <w:rPr>
                <w:sz w:val="20"/>
                <w:szCs w:val="20"/>
              </w:rPr>
            </w:pPr>
          </w:p>
        </w:tc>
        <w:tc>
          <w:tcPr>
            <w:tcW w:w="1303" w:type="dxa"/>
            <w:tcBorders>
              <w:top w:val="nil"/>
              <w:left w:val="nil"/>
              <w:bottom w:val="nil"/>
              <w:right w:val="nil"/>
            </w:tcBorders>
            <w:shd w:val="clear" w:color="auto" w:fill="auto"/>
            <w:hideMark/>
          </w:tcPr>
          <w:p w:rsidR="005D6ACF" w:rsidRDefault="005D6ACF" w:rsidP="008A253E">
            <w:pPr>
              <w:rPr>
                <w:sz w:val="20"/>
                <w:szCs w:val="20"/>
              </w:rPr>
            </w:pPr>
          </w:p>
        </w:tc>
      </w:tr>
      <w:tr w:rsidR="005D6ACF" w:rsidTr="008A253E">
        <w:trPr>
          <w:gridAfter w:val="1"/>
          <w:wAfter w:w="15" w:type="dxa"/>
          <w:trHeight w:val="465"/>
        </w:trPr>
        <w:tc>
          <w:tcPr>
            <w:tcW w:w="6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D6ACF" w:rsidRPr="00EF1770" w:rsidRDefault="005D6ACF" w:rsidP="008A253E">
            <w:pPr>
              <w:jc w:val="center"/>
              <w:rPr>
                <w:b/>
                <w:bCs/>
                <w:i/>
                <w:iCs/>
              </w:rPr>
            </w:pPr>
            <w:r w:rsidRPr="00EF1770">
              <w:rPr>
                <w:b/>
                <w:bCs/>
                <w:i/>
                <w:iCs/>
              </w:rPr>
              <w:t>№ п/п</w:t>
            </w:r>
          </w:p>
        </w:tc>
        <w:tc>
          <w:tcPr>
            <w:tcW w:w="4767" w:type="dxa"/>
            <w:tcBorders>
              <w:top w:val="single" w:sz="4" w:space="0" w:color="auto"/>
              <w:left w:val="nil"/>
              <w:bottom w:val="single" w:sz="4" w:space="0" w:color="auto"/>
              <w:right w:val="single" w:sz="4" w:space="0" w:color="auto"/>
            </w:tcBorders>
            <w:shd w:val="clear" w:color="000000" w:fill="FFFFFF"/>
            <w:vAlign w:val="center"/>
            <w:hideMark/>
          </w:tcPr>
          <w:p w:rsidR="005D6ACF" w:rsidRPr="00EF1770" w:rsidRDefault="005D6ACF" w:rsidP="008A253E">
            <w:pPr>
              <w:jc w:val="center"/>
              <w:rPr>
                <w:b/>
                <w:bCs/>
                <w:i/>
                <w:iCs/>
              </w:rPr>
            </w:pPr>
            <w:r w:rsidRPr="00EF1770">
              <w:rPr>
                <w:b/>
                <w:bCs/>
                <w:i/>
                <w:iCs/>
              </w:rPr>
              <w:t>Наименование показателей</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rsidR="005D6ACF" w:rsidRPr="00EF1770" w:rsidRDefault="005D6ACF" w:rsidP="008A253E">
            <w:pPr>
              <w:jc w:val="center"/>
              <w:rPr>
                <w:b/>
                <w:bCs/>
                <w:i/>
                <w:iCs/>
              </w:rPr>
            </w:pPr>
            <w:r w:rsidRPr="00EF1770">
              <w:rPr>
                <w:b/>
                <w:bCs/>
                <w:i/>
                <w:iCs/>
              </w:rPr>
              <w:t>2022 год</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rsidR="005D6ACF" w:rsidRPr="00EF1770" w:rsidRDefault="005D6ACF" w:rsidP="008A253E">
            <w:pPr>
              <w:jc w:val="center"/>
              <w:rPr>
                <w:b/>
                <w:bCs/>
                <w:i/>
                <w:iCs/>
              </w:rPr>
            </w:pPr>
            <w:r w:rsidRPr="00EF1770">
              <w:rPr>
                <w:b/>
                <w:bCs/>
                <w:i/>
                <w:iCs/>
              </w:rPr>
              <w:t>2023 год</w:t>
            </w:r>
          </w:p>
        </w:tc>
        <w:tc>
          <w:tcPr>
            <w:tcW w:w="1303" w:type="dxa"/>
            <w:tcBorders>
              <w:top w:val="single" w:sz="4" w:space="0" w:color="auto"/>
              <w:left w:val="nil"/>
              <w:bottom w:val="single" w:sz="4" w:space="0" w:color="auto"/>
              <w:right w:val="single" w:sz="4" w:space="0" w:color="auto"/>
            </w:tcBorders>
            <w:shd w:val="clear" w:color="000000" w:fill="FFFFFF"/>
            <w:vAlign w:val="center"/>
            <w:hideMark/>
          </w:tcPr>
          <w:p w:rsidR="005D6ACF" w:rsidRPr="00EF1770" w:rsidRDefault="005D6ACF" w:rsidP="008A253E">
            <w:pPr>
              <w:jc w:val="center"/>
              <w:rPr>
                <w:b/>
                <w:bCs/>
                <w:i/>
                <w:iCs/>
              </w:rPr>
            </w:pPr>
            <w:r w:rsidRPr="00EF1770">
              <w:rPr>
                <w:b/>
                <w:bCs/>
                <w:i/>
                <w:iCs/>
              </w:rPr>
              <w:t>2024 год</w:t>
            </w:r>
          </w:p>
        </w:tc>
      </w:tr>
      <w:tr w:rsidR="005D6ACF" w:rsidTr="008A253E">
        <w:trPr>
          <w:gridAfter w:val="1"/>
          <w:wAfter w:w="15" w:type="dxa"/>
          <w:trHeight w:val="330"/>
        </w:trPr>
        <w:tc>
          <w:tcPr>
            <w:tcW w:w="620" w:type="dxa"/>
            <w:tcBorders>
              <w:top w:val="nil"/>
              <w:left w:val="single" w:sz="4" w:space="0" w:color="auto"/>
              <w:bottom w:val="single" w:sz="4" w:space="0" w:color="auto"/>
              <w:right w:val="single" w:sz="4" w:space="0" w:color="auto"/>
            </w:tcBorders>
            <w:shd w:val="clear" w:color="000000" w:fill="FFFFFF"/>
            <w:hideMark/>
          </w:tcPr>
          <w:p w:rsidR="005D6ACF" w:rsidRPr="00EF1770" w:rsidRDefault="005D6ACF" w:rsidP="008A253E">
            <w:pPr>
              <w:jc w:val="center"/>
            </w:pPr>
            <w:r w:rsidRPr="00EF1770">
              <w:t>1</w:t>
            </w:r>
          </w:p>
        </w:tc>
        <w:tc>
          <w:tcPr>
            <w:tcW w:w="4767" w:type="dxa"/>
            <w:tcBorders>
              <w:top w:val="nil"/>
              <w:left w:val="nil"/>
              <w:bottom w:val="single" w:sz="4" w:space="0" w:color="auto"/>
              <w:right w:val="single" w:sz="4" w:space="0" w:color="auto"/>
            </w:tcBorders>
            <w:shd w:val="clear" w:color="000000" w:fill="FFFFFF"/>
            <w:hideMark/>
          </w:tcPr>
          <w:p w:rsidR="005D6ACF" w:rsidRPr="00EF1770" w:rsidRDefault="005D6ACF" w:rsidP="008A253E">
            <w:pPr>
              <w:jc w:val="both"/>
            </w:pPr>
            <w:r w:rsidRPr="00EF1770">
              <w:t xml:space="preserve"> Площади, сдаваемые в аренду, кв.м</w:t>
            </w:r>
          </w:p>
        </w:tc>
        <w:tc>
          <w:tcPr>
            <w:tcW w:w="1380" w:type="dxa"/>
            <w:tcBorders>
              <w:top w:val="nil"/>
              <w:left w:val="nil"/>
              <w:bottom w:val="single" w:sz="4" w:space="0" w:color="auto"/>
              <w:right w:val="single" w:sz="4" w:space="0" w:color="auto"/>
            </w:tcBorders>
            <w:shd w:val="clear" w:color="000000" w:fill="FFFFFF"/>
            <w:vAlign w:val="center"/>
            <w:hideMark/>
          </w:tcPr>
          <w:p w:rsidR="005D6ACF" w:rsidRPr="00EF1770" w:rsidRDefault="005D6ACF" w:rsidP="008A253E">
            <w:pPr>
              <w:jc w:val="center"/>
            </w:pPr>
            <w:r w:rsidRPr="00EF1770">
              <w:t>36 908,3</w:t>
            </w:r>
          </w:p>
        </w:tc>
        <w:tc>
          <w:tcPr>
            <w:tcW w:w="1380" w:type="dxa"/>
            <w:tcBorders>
              <w:top w:val="nil"/>
              <w:left w:val="nil"/>
              <w:bottom w:val="single" w:sz="4" w:space="0" w:color="auto"/>
              <w:right w:val="single" w:sz="4" w:space="0" w:color="auto"/>
            </w:tcBorders>
            <w:shd w:val="clear" w:color="000000" w:fill="FFFFFF"/>
            <w:vAlign w:val="center"/>
            <w:hideMark/>
          </w:tcPr>
          <w:p w:rsidR="005D6ACF" w:rsidRPr="00EF1770" w:rsidRDefault="005D6ACF" w:rsidP="008A253E">
            <w:pPr>
              <w:jc w:val="center"/>
            </w:pPr>
            <w:r w:rsidRPr="00EF1770">
              <w:t>36 908,3</w:t>
            </w:r>
          </w:p>
        </w:tc>
        <w:tc>
          <w:tcPr>
            <w:tcW w:w="1303" w:type="dxa"/>
            <w:tcBorders>
              <w:top w:val="nil"/>
              <w:left w:val="nil"/>
              <w:bottom w:val="single" w:sz="4" w:space="0" w:color="auto"/>
              <w:right w:val="single" w:sz="4" w:space="0" w:color="auto"/>
            </w:tcBorders>
            <w:shd w:val="clear" w:color="000000" w:fill="FFFFFF"/>
            <w:vAlign w:val="center"/>
            <w:hideMark/>
          </w:tcPr>
          <w:p w:rsidR="005D6ACF" w:rsidRPr="00EF1770" w:rsidRDefault="005D6ACF" w:rsidP="008A253E">
            <w:pPr>
              <w:jc w:val="center"/>
            </w:pPr>
            <w:r w:rsidRPr="00EF1770">
              <w:t>36 908,3</w:t>
            </w:r>
          </w:p>
        </w:tc>
      </w:tr>
      <w:tr w:rsidR="005D6ACF" w:rsidTr="008A253E">
        <w:trPr>
          <w:gridAfter w:val="1"/>
          <w:wAfter w:w="15" w:type="dxa"/>
          <w:trHeight w:val="330"/>
        </w:trPr>
        <w:tc>
          <w:tcPr>
            <w:tcW w:w="620" w:type="dxa"/>
            <w:tcBorders>
              <w:top w:val="nil"/>
              <w:left w:val="single" w:sz="4" w:space="0" w:color="auto"/>
              <w:bottom w:val="single" w:sz="4" w:space="0" w:color="auto"/>
              <w:right w:val="single" w:sz="4" w:space="0" w:color="auto"/>
            </w:tcBorders>
            <w:shd w:val="clear" w:color="000000" w:fill="FFFFFF"/>
            <w:hideMark/>
          </w:tcPr>
          <w:p w:rsidR="005D6ACF" w:rsidRPr="00EF1770" w:rsidRDefault="005D6ACF" w:rsidP="008A253E">
            <w:pPr>
              <w:jc w:val="center"/>
            </w:pPr>
            <w:r w:rsidRPr="00EF1770">
              <w:t>2</w:t>
            </w:r>
          </w:p>
        </w:tc>
        <w:tc>
          <w:tcPr>
            <w:tcW w:w="4767" w:type="dxa"/>
            <w:tcBorders>
              <w:top w:val="nil"/>
              <w:left w:val="nil"/>
              <w:bottom w:val="single" w:sz="4" w:space="0" w:color="auto"/>
              <w:right w:val="single" w:sz="4" w:space="0" w:color="auto"/>
            </w:tcBorders>
            <w:shd w:val="clear" w:color="000000" w:fill="FFFFFF"/>
            <w:hideMark/>
          </w:tcPr>
          <w:p w:rsidR="005D6ACF" w:rsidRPr="00EF1770" w:rsidRDefault="005D6ACF" w:rsidP="008A253E">
            <w:pPr>
              <w:jc w:val="both"/>
            </w:pPr>
            <w:r w:rsidRPr="00EF1770">
              <w:t>Количество договоров недвижимого имущества</w:t>
            </w:r>
          </w:p>
        </w:tc>
        <w:tc>
          <w:tcPr>
            <w:tcW w:w="1380" w:type="dxa"/>
            <w:tcBorders>
              <w:top w:val="nil"/>
              <w:left w:val="nil"/>
              <w:bottom w:val="single" w:sz="4" w:space="0" w:color="auto"/>
              <w:right w:val="single" w:sz="4" w:space="0" w:color="auto"/>
            </w:tcBorders>
            <w:shd w:val="clear" w:color="000000" w:fill="FFFFFF"/>
            <w:vAlign w:val="center"/>
            <w:hideMark/>
          </w:tcPr>
          <w:p w:rsidR="005D6ACF" w:rsidRPr="00EF1770" w:rsidRDefault="005D6ACF" w:rsidP="008A253E">
            <w:pPr>
              <w:jc w:val="center"/>
            </w:pPr>
            <w:r w:rsidRPr="00EF1770">
              <w:t>2</w:t>
            </w:r>
          </w:p>
        </w:tc>
        <w:tc>
          <w:tcPr>
            <w:tcW w:w="1380" w:type="dxa"/>
            <w:tcBorders>
              <w:top w:val="nil"/>
              <w:left w:val="nil"/>
              <w:bottom w:val="single" w:sz="4" w:space="0" w:color="auto"/>
              <w:right w:val="single" w:sz="4" w:space="0" w:color="auto"/>
            </w:tcBorders>
            <w:shd w:val="clear" w:color="000000" w:fill="FFFFFF"/>
            <w:vAlign w:val="center"/>
            <w:hideMark/>
          </w:tcPr>
          <w:p w:rsidR="005D6ACF" w:rsidRPr="00EF1770" w:rsidRDefault="005D6ACF" w:rsidP="008A253E">
            <w:pPr>
              <w:jc w:val="center"/>
            </w:pPr>
            <w:r w:rsidRPr="00EF1770">
              <w:t>2</w:t>
            </w:r>
          </w:p>
        </w:tc>
        <w:tc>
          <w:tcPr>
            <w:tcW w:w="1303" w:type="dxa"/>
            <w:tcBorders>
              <w:top w:val="nil"/>
              <w:left w:val="nil"/>
              <w:bottom w:val="single" w:sz="4" w:space="0" w:color="auto"/>
              <w:right w:val="single" w:sz="4" w:space="0" w:color="auto"/>
            </w:tcBorders>
            <w:shd w:val="clear" w:color="000000" w:fill="FFFFFF"/>
            <w:vAlign w:val="center"/>
            <w:hideMark/>
          </w:tcPr>
          <w:p w:rsidR="005D6ACF" w:rsidRPr="00EF1770" w:rsidRDefault="005D6ACF" w:rsidP="008A253E">
            <w:pPr>
              <w:jc w:val="center"/>
            </w:pPr>
            <w:r w:rsidRPr="00EF1770">
              <w:t>2</w:t>
            </w:r>
          </w:p>
        </w:tc>
      </w:tr>
      <w:tr w:rsidR="005D6ACF" w:rsidTr="008A253E">
        <w:trPr>
          <w:gridAfter w:val="1"/>
          <w:wAfter w:w="15" w:type="dxa"/>
          <w:trHeight w:val="540"/>
        </w:trPr>
        <w:tc>
          <w:tcPr>
            <w:tcW w:w="620" w:type="dxa"/>
            <w:tcBorders>
              <w:top w:val="nil"/>
              <w:left w:val="single" w:sz="4" w:space="0" w:color="auto"/>
              <w:bottom w:val="single" w:sz="4" w:space="0" w:color="auto"/>
              <w:right w:val="single" w:sz="4" w:space="0" w:color="auto"/>
            </w:tcBorders>
            <w:shd w:val="clear" w:color="000000" w:fill="FFFFFF"/>
            <w:hideMark/>
          </w:tcPr>
          <w:p w:rsidR="005D6ACF" w:rsidRPr="00EF1770" w:rsidRDefault="005D6ACF" w:rsidP="008A253E">
            <w:pPr>
              <w:jc w:val="center"/>
            </w:pPr>
            <w:r w:rsidRPr="00EF1770">
              <w:t>3</w:t>
            </w:r>
          </w:p>
        </w:tc>
        <w:tc>
          <w:tcPr>
            <w:tcW w:w="4767" w:type="dxa"/>
            <w:tcBorders>
              <w:top w:val="nil"/>
              <w:left w:val="nil"/>
              <w:bottom w:val="single" w:sz="4" w:space="0" w:color="auto"/>
              <w:right w:val="single" w:sz="4" w:space="0" w:color="auto"/>
            </w:tcBorders>
            <w:shd w:val="clear" w:color="000000" w:fill="FFFFFF"/>
            <w:hideMark/>
          </w:tcPr>
          <w:p w:rsidR="005D6ACF" w:rsidRPr="00EF1770" w:rsidRDefault="005D6ACF" w:rsidP="008A253E">
            <w:pPr>
              <w:jc w:val="both"/>
            </w:pPr>
            <w:r w:rsidRPr="00EF1770">
              <w:t>Индекс-показатель инфляции, применяемый при расчете средней стоимости арендной платы за 1 кв.м площади</w:t>
            </w:r>
          </w:p>
        </w:tc>
        <w:tc>
          <w:tcPr>
            <w:tcW w:w="1380" w:type="dxa"/>
            <w:tcBorders>
              <w:top w:val="nil"/>
              <w:left w:val="nil"/>
              <w:bottom w:val="single" w:sz="4" w:space="0" w:color="auto"/>
              <w:right w:val="single" w:sz="4" w:space="0" w:color="auto"/>
            </w:tcBorders>
            <w:shd w:val="clear" w:color="000000" w:fill="FFFFFF"/>
            <w:vAlign w:val="center"/>
            <w:hideMark/>
          </w:tcPr>
          <w:p w:rsidR="005D6ACF" w:rsidRPr="00EF1770" w:rsidRDefault="005D6ACF" w:rsidP="008A253E">
            <w:pPr>
              <w:jc w:val="center"/>
            </w:pPr>
            <w:r w:rsidRPr="00EF1770">
              <w:t>1,040</w:t>
            </w:r>
          </w:p>
        </w:tc>
        <w:tc>
          <w:tcPr>
            <w:tcW w:w="1380" w:type="dxa"/>
            <w:tcBorders>
              <w:top w:val="nil"/>
              <w:left w:val="nil"/>
              <w:bottom w:val="single" w:sz="4" w:space="0" w:color="auto"/>
              <w:right w:val="single" w:sz="4" w:space="0" w:color="auto"/>
            </w:tcBorders>
            <w:shd w:val="clear" w:color="000000" w:fill="FFFFFF"/>
            <w:vAlign w:val="center"/>
            <w:hideMark/>
          </w:tcPr>
          <w:p w:rsidR="005D6ACF" w:rsidRPr="00EF1770" w:rsidRDefault="005D6ACF" w:rsidP="008A253E">
            <w:pPr>
              <w:jc w:val="center"/>
            </w:pPr>
            <w:r w:rsidRPr="00EF1770">
              <w:t>1,040</w:t>
            </w:r>
          </w:p>
        </w:tc>
        <w:tc>
          <w:tcPr>
            <w:tcW w:w="1303" w:type="dxa"/>
            <w:tcBorders>
              <w:top w:val="nil"/>
              <w:left w:val="nil"/>
              <w:bottom w:val="single" w:sz="4" w:space="0" w:color="auto"/>
              <w:right w:val="single" w:sz="4" w:space="0" w:color="auto"/>
            </w:tcBorders>
            <w:shd w:val="clear" w:color="000000" w:fill="FFFFFF"/>
            <w:vAlign w:val="center"/>
            <w:hideMark/>
          </w:tcPr>
          <w:p w:rsidR="005D6ACF" w:rsidRPr="00EF1770" w:rsidRDefault="005D6ACF" w:rsidP="008A253E">
            <w:pPr>
              <w:jc w:val="center"/>
            </w:pPr>
            <w:r w:rsidRPr="00EF1770">
              <w:t>1,040</w:t>
            </w:r>
          </w:p>
        </w:tc>
      </w:tr>
      <w:tr w:rsidR="005D6ACF" w:rsidTr="008A253E">
        <w:trPr>
          <w:gridAfter w:val="1"/>
          <w:wAfter w:w="15" w:type="dxa"/>
          <w:trHeight w:val="525"/>
        </w:trPr>
        <w:tc>
          <w:tcPr>
            <w:tcW w:w="620" w:type="dxa"/>
            <w:tcBorders>
              <w:top w:val="nil"/>
              <w:left w:val="single" w:sz="4" w:space="0" w:color="auto"/>
              <w:bottom w:val="single" w:sz="4" w:space="0" w:color="auto"/>
              <w:right w:val="single" w:sz="4" w:space="0" w:color="auto"/>
            </w:tcBorders>
            <w:shd w:val="clear" w:color="000000" w:fill="FFFFFF"/>
            <w:hideMark/>
          </w:tcPr>
          <w:p w:rsidR="005D6ACF" w:rsidRPr="00EF1770" w:rsidRDefault="005D6ACF" w:rsidP="008A253E">
            <w:pPr>
              <w:jc w:val="center"/>
            </w:pPr>
            <w:r w:rsidRPr="00EF1770">
              <w:lastRenderedPageBreak/>
              <w:t>4</w:t>
            </w:r>
          </w:p>
        </w:tc>
        <w:tc>
          <w:tcPr>
            <w:tcW w:w="4767" w:type="dxa"/>
            <w:tcBorders>
              <w:top w:val="nil"/>
              <w:left w:val="nil"/>
              <w:bottom w:val="single" w:sz="4" w:space="0" w:color="auto"/>
              <w:right w:val="single" w:sz="4" w:space="0" w:color="auto"/>
            </w:tcBorders>
            <w:shd w:val="clear" w:color="000000" w:fill="FFFFFF"/>
            <w:hideMark/>
          </w:tcPr>
          <w:p w:rsidR="005D6ACF" w:rsidRPr="00EF1770" w:rsidRDefault="005D6ACF" w:rsidP="008A253E">
            <w:pPr>
              <w:jc w:val="both"/>
            </w:pPr>
            <w:r w:rsidRPr="00EF1770">
              <w:t xml:space="preserve">Средний размер арендной платы 1 кв.м в месяц по действующим договорам аренды с учетом индексов потребительских цен, руб. </w:t>
            </w:r>
          </w:p>
        </w:tc>
        <w:tc>
          <w:tcPr>
            <w:tcW w:w="1380" w:type="dxa"/>
            <w:tcBorders>
              <w:top w:val="nil"/>
              <w:left w:val="nil"/>
              <w:bottom w:val="single" w:sz="4" w:space="0" w:color="auto"/>
              <w:right w:val="single" w:sz="4" w:space="0" w:color="auto"/>
            </w:tcBorders>
            <w:shd w:val="clear" w:color="000000" w:fill="FFFFFF"/>
            <w:vAlign w:val="center"/>
            <w:hideMark/>
          </w:tcPr>
          <w:p w:rsidR="005D6ACF" w:rsidRPr="00EF1770" w:rsidRDefault="005D6ACF" w:rsidP="008A253E">
            <w:pPr>
              <w:jc w:val="center"/>
            </w:pPr>
            <w:r w:rsidRPr="00EF1770">
              <w:t>18,86</w:t>
            </w:r>
          </w:p>
        </w:tc>
        <w:tc>
          <w:tcPr>
            <w:tcW w:w="1380" w:type="dxa"/>
            <w:tcBorders>
              <w:top w:val="nil"/>
              <w:left w:val="nil"/>
              <w:bottom w:val="single" w:sz="4" w:space="0" w:color="auto"/>
              <w:right w:val="single" w:sz="4" w:space="0" w:color="auto"/>
            </w:tcBorders>
            <w:shd w:val="clear" w:color="000000" w:fill="FFFFFF"/>
            <w:vAlign w:val="center"/>
            <w:hideMark/>
          </w:tcPr>
          <w:p w:rsidR="005D6ACF" w:rsidRPr="00EF1770" w:rsidRDefault="005D6ACF" w:rsidP="008A253E">
            <w:pPr>
              <w:jc w:val="center"/>
            </w:pPr>
            <w:r w:rsidRPr="00EF1770">
              <w:t>19,62</w:t>
            </w:r>
          </w:p>
        </w:tc>
        <w:tc>
          <w:tcPr>
            <w:tcW w:w="1303" w:type="dxa"/>
            <w:tcBorders>
              <w:top w:val="nil"/>
              <w:left w:val="nil"/>
              <w:bottom w:val="single" w:sz="4" w:space="0" w:color="auto"/>
              <w:right w:val="single" w:sz="4" w:space="0" w:color="auto"/>
            </w:tcBorders>
            <w:shd w:val="clear" w:color="000000" w:fill="FFFFFF"/>
            <w:vAlign w:val="center"/>
            <w:hideMark/>
          </w:tcPr>
          <w:p w:rsidR="005D6ACF" w:rsidRPr="00EF1770" w:rsidRDefault="005D6ACF" w:rsidP="008A253E">
            <w:pPr>
              <w:jc w:val="center"/>
            </w:pPr>
            <w:r w:rsidRPr="00EF1770">
              <w:t>20,40</w:t>
            </w:r>
          </w:p>
        </w:tc>
      </w:tr>
      <w:tr w:rsidR="005D6ACF" w:rsidTr="008A253E">
        <w:trPr>
          <w:gridAfter w:val="1"/>
          <w:wAfter w:w="15" w:type="dxa"/>
          <w:trHeight w:val="300"/>
        </w:trPr>
        <w:tc>
          <w:tcPr>
            <w:tcW w:w="620" w:type="dxa"/>
            <w:tcBorders>
              <w:top w:val="nil"/>
              <w:left w:val="single" w:sz="4" w:space="0" w:color="auto"/>
              <w:bottom w:val="single" w:sz="4" w:space="0" w:color="auto"/>
              <w:right w:val="single" w:sz="4" w:space="0" w:color="auto"/>
            </w:tcBorders>
            <w:shd w:val="clear" w:color="000000" w:fill="FFFFFF"/>
            <w:hideMark/>
          </w:tcPr>
          <w:p w:rsidR="005D6ACF" w:rsidRPr="00EF1770" w:rsidRDefault="005D6ACF" w:rsidP="008A253E">
            <w:pPr>
              <w:jc w:val="center"/>
            </w:pPr>
            <w:r w:rsidRPr="00EF1770">
              <w:t>5</w:t>
            </w:r>
          </w:p>
        </w:tc>
        <w:tc>
          <w:tcPr>
            <w:tcW w:w="4767" w:type="dxa"/>
            <w:tcBorders>
              <w:top w:val="nil"/>
              <w:left w:val="nil"/>
              <w:bottom w:val="single" w:sz="4" w:space="0" w:color="auto"/>
              <w:right w:val="single" w:sz="4" w:space="0" w:color="auto"/>
            </w:tcBorders>
            <w:shd w:val="clear" w:color="000000" w:fill="FFFFFF"/>
            <w:hideMark/>
          </w:tcPr>
          <w:p w:rsidR="005D6ACF" w:rsidRPr="00EF1770" w:rsidRDefault="005D6ACF" w:rsidP="008A253E">
            <w:pPr>
              <w:jc w:val="both"/>
            </w:pPr>
            <w:r w:rsidRPr="00EF1770">
              <w:t>Средняя продолжительность срока действия договоров</w:t>
            </w:r>
          </w:p>
        </w:tc>
        <w:tc>
          <w:tcPr>
            <w:tcW w:w="1380" w:type="dxa"/>
            <w:tcBorders>
              <w:top w:val="nil"/>
              <w:left w:val="nil"/>
              <w:bottom w:val="single" w:sz="4" w:space="0" w:color="auto"/>
              <w:right w:val="single" w:sz="4" w:space="0" w:color="auto"/>
            </w:tcBorders>
            <w:shd w:val="clear" w:color="000000" w:fill="FFFFFF"/>
            <w:vAlign w:val="center"/>
            <w:hideMark/>
          </w:tcPr>
          <w:p w:rsidR="005D6ACF" w:rsidRPr="00EF1770" w:rsidRDefault="005D6ACF" w:rsidP="008A253E">
            <w:pPr>
              <w:jc w:val="center"/>
            </w:pPr>
            <w:r w:rsidRPr="00EF1770">
              <w:t>12</w:t>
            </w:r>
          </w:p>
        </w:tc>
        <w:tc>
          <w:tcPr>
            <w:tcW w:w="1380" w:type="dxa"/>
            <w:tcBorders>
              <w:top w:val="nil"/>
              <w:left w:val="nil"/>
              <w:bottom w:val="single" w:sz="4" w:space="0" w:color="auto"/>
              <w:right w:val="single" w:sz="4" w:space="0" w:color="auto"/>
            </w:tcBorders>
            <w:shd w:val="clear" w:color="000000" w:fill="FFFFFF"/>
            <w:vAlign w:val="center"/>
            <w:hideMark/>
          </w:tcPr>
          <w:p w:rsidR="005D6ACF" w:rsidRPr="00EF1770" w:rsidRDefault="005D6ACF" w:rsidP="008A253E">
            <w:pPr>
              <w:jc w:val="center"/>
            </w:pPr>
            <w:r w:rsidRPr="00EF1770">
              <w:t>12</w:t>
            </w:r>
          </w:p>
        </w:tc>
        <w:tc>
          <w:tcPr>
            <w:tcW w:w="1303" w:type="dxa"/>
            <w:tcBorders>
              <w:top w:val="nil"/>
              <w:left w:val="nil"/>
              <w:bottom w:val="single" w:sz="4" w:space="0" w:color="auto"/>
              <w:right w:val="single" w:sz="4" w:space="0" w:color="auto"/>
            </w:tcBorders>
            <w:shd w:val="clear" w:color="000000" w:fill="FFFFFF"/>
            <w:vAlign w:val="center"/>
            <w:hideMark/>
          </w:tcPr>
          <w:p w:rsidR="005D6ACF" w:rsidRPr="00EF1770" w:rsidRDefault="005D6ACF" w:rsidP="008A253E">
            <w:pPr>
              <w:jc w:val="center"/>
            </w:pPr>
            <w:r w:rsidRPr="00EF1770">
              <w:t>12</w:t>
            </w:r>
          </w:p>
        </w:tc>
      </w:tr>
      <w:tr w:rsidR="005D6ACF" w:rsidTr="008A253E">
        <w:trPr>
          <w:gridAfter w:val="1"/>
          <w:wAfter w:w="15" w:type="dxa"/>
          <w:trHeight w:val="510"/>
        </w:trPr>
        <w:tc>
          <w:tcPr>
            <w:tcW w:w="620" w:type="dxa"/>
            <w:tcBorders>
              <w:top w:val="nil"/>
              <w:left w:val="single" w:sz="4" w:space="0" w:color="auto"/>
              <w:bottom w:val="single" w:sz="4" w:space="0" w:color="auto"/>
              <w:right w:val="single" w:sz="4" w:space="0" w:color="auto"/>
            </w:tcBorders>
            <w:shd w:val="clear" w:color="000000" w:fill="FFFFFF"/>
            <w:hideMark/>
          </w:tcPr>
          <w:p w:rsidR="005D6ACF" w:rsidRPr="00EF1770" w:rsidRDefault="005D6ACF" w:rsidP="008A253E">
            <w:pPr>
              <w:jc w:val="center"/>
            </w:pPr>
            <w:r w:rsidRPr="00EF1770">
              <w:t>6</w:t>
            </w:r>
          </w:p>
        </w:tc>
        <w:tc>
          <w:tcPr>
            <w:tcW w:w="4767" w:type="dxa"/>
            <w:tcBorders>
              <w:top w:val="nil"/>
              <w:left w:val="nil"/>
              <w:bottom w:val="single" w:sz="4" w:space="0" w:color="auto"/>
              <w:right w:val="single" w:sz="4" w:space="0" w:color="auto"/>
            </w:tcBorders>
            <w:shd w:val="clear" w:color="000000" w:fill="FFFFFF"/>
            <w:hideMark/>
          </w:tcPr>
          <w:p w:rsidR="005D6ACF" w:rsidRPr="00EF1770" w:rsidRDefault="005D6ACF" w:rsidP="008A253E">
            <w:pPr>
              <w:jc w:val="both"/>
            </w:pPr>
            <w:r w:rsidRPr="00EF1770">
              <w:t>Расчетные доходы от сдачи в аренду недвижимого имущества за год, тыс.руб.</w:t>
            </w:r>
            <w:r w:rsidRPr="00EF1770">
              <w:br/>
              <w:t xml:space="preserve"> (п.1 * п. 4 * п. 5 : 1000)</w:t>
            </w:r>
          </w:p>
        </w:tc>
        <w:tc>
          <w:tcPr>
            <w:tcW w:w="1380" w:type="dxa"/>
            <w:tcBorders>
              <w:top w:val="nil"/>
              <w:left w:val="nil"/>
              <w:bottom w:val="single" w:sz="4" w:space="0" w:color="auto"/>
              <w:right w:val="single" w:sz="4" w:space="0" w:color="auto"/>
            </w:tcBorders>
            <w:shd w:val="clear" w:color="000000" w:fill="FFFFFF"/>
            <w:vAlign w:val="center"/>
            <w:hideMark/>
          </w:tcPr>
          <w:p w:rsidR="005D6ACF" w:rsidRPr="00EF1770" w:rsidRDefault="005D6ACF" w:rsidP="008A253E">
            <w:pPr>
              <w:jc w:val="center"/>
              <w:rPr>
                <w:b/>
                <w:bCs/>
              </w:rPr>
            </w:pPr>
            <w:r w:rsidRPr="00EF1770">
              <w:rPr>
                <w:b/>
                <w:bCs/>
              </w:rPr>
              <w:t>8 353,1</w:t>
            </w:r>
          </w:p>
        </w:tc>
        <w:tc>
          <w:tcPr>
            <w:tcW w:w="1380" w:type="dxa"/>
            <w:tcBorders>
              <w:top w:val="nil"/>
              <w:left w:val="nil"/>
              <w:bottom w:val="single" w:sz="4" w:space="0" w:color="auto"/>
              <w:right w:val="single" w:sz="4" w:space="0" w:color="auto"/>
            </w:tcBorders>
            <w:shd w:val="clear" w:color="000000" w:fill="FFFFFF"/>
            <w:vAlign w:val="center"/>
            <w:hideMark/>
          </w:tcPr>
          <w:p w:rsidR="005D6ACF" w:rsidRPr="00EF1770" w:rsidRDefault="005D6ACF" w:rsidP="008A253E">
            <w:pPr>
              <w:jc w:val="center"/>
              <w:rPr>
                <w:b/>
                <w:bCs/>
              </w:rPr>
            </w:pPr>
            <w:r w:rsidRPr="00EF1770">
              <w:rPr>
                <w:b/>
                <w:bCs/>
              </w:rPr>
              <w:t>8 689,7</w:t>
            </w:r>
          </w:p>
        </w:tc>
        <w:tc>
          <w:tcPr>
            <w:tcW w:w="1303" w:type="dxa"/>
            <w:tcBorders>
              <w:top w:val="nil"/>
              <w:left w:val="nil"/>
              <w:bottom w:val="single" w:sz="4" w:space="0" w:color="auto"/>
              <w:right w:val="single" w:sz="4" w:space="0" w:color="auto"/>
            </w:tcBorders>
            <w:shd w:val="clear" w:color="000000" w:fill="FFFFFF"/>
            <w:vAlign w:val="center"/>
            <w:hideMark/>
          </w:tcPr>
          <w:p w:rsidR="005D6ACF" w:rsidRPr="00EF1770" w:rsidRDefault="005D6ACF" w:rsidP="008A253E">
            <w:pPr>
              <w:jc w:val="center"/>
              <w:rPr>
                <w:b/>
                <w:bCs/>
              </w:rPr>
            </w:pPr>
            <w:r w:rsidRPr="00EF1770">
              <w:rPr>
                <w:b/>
                <w:bCs/>
              </w:rPr>
              <w:t>9 035,2</w:t>
            </w:r>
          </w:p>
        </w:tc>
      </w:tr>
      <w:tr w:rsidR="005D6ACF" w:rsidTr="008A253E">
        <w:trPr>
          <w:gridAfter w:val="1"/>
          <w:wAfter w:w="15" w:type="dxa"/>
          <w:trHeight w:val="540"/>
        </w:trPr>
        <w:tc>
          <w:tcPr>
            <w:tcW w:w="620" w:type="dxa"/>
            <w:tcBorders>
              <w:top w:val="nil"/>
              <w:left w:val="single" w:sz="4" w:space="0" w:color="auto"/>
              <w:bottom w:val="single" w:sz="4" w:space="0" w:color="auto"/>
              <w:right w:val="single" w:sz="4" w:space="0" w:color="auto"/>
            </w:tcBorders>
            <w:shd w:val="clear" w:color="000000" w:fill="FFFFFF"/>
            <w:hideMark/>
          </w:tcPr>
          <w:p w:rsidR="005D6ACF" w:rsidRPr="00EF1770" w:rsidRDefault="005D6ACF" w:rsidP="008A253E">
            <w:pPr>
              <w:jc w:val="center"/>
            </w:pPr>
            <w:r w:rsidRPr="00EF1770">
              <w:t>7</w:t>
            </w:r>
          </w:p>
        </w:tc>
        <w:tc>
          <w:tcPr>
            <w:tcW w:w="4767" w:type="dxa"/>
            <w:tcBorders>
              <w:top w:val="nil"/>
              <w:left w:val="nil"/>
              <w:bottom w:val="single" w:sz="4" w:space="0" w:color="auto"/>
              <w:right w:val="single" w:sz="4" w:space="0" w:color="auto"/>
            </w:tcBorders>
            <w:shd w:val="clear" w:color="000000" w:fill="FFFFFF"/>
            <w:hideMark/>
          </w:tcPr>
          <w:p w:rsidR="005D6ACF" w:rsidRPr="00EF1770" w:rsidRDefault="005D6ACF" w:rsidP="008A253E">
            <w:pPr>
              <w:jc w:val="both"/>
            </w:pPr>
            <w:r w:rsidRPr="00EF1770">
              <w:t xml:space="preserve">Размер арендной платы по действующим договорам аренды движимого имущества за год, тыс.руб.            </w:t>
            </w:r>
          </w:p>
        </w:tc>
        <w:tc>
          <w:tcPr>
            <w:tcW w:w="1380" w:type="dxa"/>
            <w:tcBorders>
              <w:top w:val="nil"/>
              <w:left w:val="nil"/>
              <w:bottom w:val="single" w:sz="4" w:space="0" w:color="auto"/>
              <w:right w:val="single" w:sz="4" w:space="0" w:color="auto"/>
            </w:tcBorders>
            <w:shd w:val="clear" w:color="000000" w:fill="FFFFFF"/>
            <w:vAlign w:val="center"/>
            <w:hideMark/>
          </w:tcPr>
          <w:p w:rsidR="005D6ACF" w:rsidRPr="00EF1770" w:rsidRDefault="005D6ACF" w:rsidP="008A253E">
            <w:pPr>
              <w:jc w:val="center"/>
              <w:rPr>
                <w:b/>
                <w:bCs/>
              </w:rPr>
            </w:pPr>
            <w:r w:rsidRPr="00EF1770">
              <w:rPr>
                <w:b/>
                <w:bCs/>
              </w:rPr>
              <w:t>287,1</w:t>
            </w:r>
          </w:p>
        </w:tc>
        <w:tc>
          <w:tcPr>
            <w:tcW w:w="1380" w:type="dxa"/>
            <w:tcBorders>
              <w:top w:val="nil"/>
              <w:left w:val="nil"/>
              <w:bottom w:val="single" w:sz="4" w:space="0" w:color="auto"/>
              <w:right w:val="single" w:sz="4" w:space="0" w:color="auto"/>
            </w:tcBorders>
            <w:shd w:val="clear" w:color="000000" w:fill="FFFFFF"/>
            <w:vAlign w:val="center"/>
            <w:hideMark/>
          </w:tcPr>
          <w:p w:rsidR="005D6ACF" w:rsidRPr="00EF1770" w:rsidRDefault="005D6ACF" w:rsidP="008A253E">
            <w:pPr>
              <w:jc w:val="center"/>
              <w:rPr>
                <w:b/>
                <w:bCs/>
              </w:rPr>
            </w:pPr>
            <w:r w:rsidRPr="00EF1770">
              <w:rPr>
                <w:b/>
                <w:bCs/>
              </w:rPr>
              <w:t>287,1</w:t>
            </w:r>
          </w:p>
        </w:tc>
        <w:tc>
          <w:tcPr>
            <w:tcW w:w="1303" w:type="dxa"/>
            <w:tcBorders>
              <w:top w:val="nil"/>
              <w:left w:val="nil"/>
              <w:bottom w:val="single" w:sz="4" w:space="0" w:color="auto"/>
              <w:right w:val="single" w:sz="4" w:space="0" w:color="auto"/>
            </w:tcBorders>
            <w:shd w:val="clear" w:color="000000" w:fill="FFFFFF"/>
            <w:vAlign w:val="center"/>
            <w:hideMark/>
          </w:tcPr>
          <w:p w:rsidR="005D6ACF" w:rsidRPr="00EF1770" w:rsidRDefault="005D6ACF" w:rsidP="008A253E">
            <w:pPr>
              <w:jc w:val="center"/>
              <w:rPr>
                <w:b/>
                <w:bCs/>
              </w:rPr>
            </w:pPr>
            <w:r w:rsidRPr="00EF1770">
              <w:rPr>
                <w:b/>
                <w:bCs/>
              </w:rPr>
              <w:t>287,1</w:t>
            </w:r>
          </w:p>
        </w:tc>
      </w:tr>
      <w:tr w:rsidR="005D6ACF" w:rsidTr="008A253E">
        <w:trPr>
          <w:gridAfter w:val="1"/>
          <w:wAfter w:w="15" w:type="dxa"/>
          <w:trHeight w:val="540"/>
        </w:trPr>
        <w:tc>
          <w:tcPr>
            <w:tcW w:w="620" w:type="dxa"/>
            <w:tcBorders>
              <w:top w:val="nil"/>
              <w:left w:val="single" w:sz="4" w:space="0" w:color="auto"/>
              <w:bottom w:val="single" w:sz="4" w:space="0" w:color="auto"/>
              <w:right w:val="single" w:sz="4" w:space="0" w:color="auto"/>
            </w:tcBorders>
            <w:shd w:val="clear" w:color="000000" w:fill="FFFFFF"/>
            <w:hideMark/>
          </w:tcPr>
          <w:p w:rsidR="005D6ACF" w:rsidRPr="00EF1770" w:rsidRDefault="005D6ACF" w:rsidP="008A253E">
            <w:pPr>
              <w:jc w:val="center"/>
            </w:pPr>
            <w:r w:rsidRPr="00EF1770">
              <w:t>8</w:t>
            </w:r>
          </w:p>
        </w:tc>
        <w:tc>
          <w:tcPr>
            <w:tcW w:w="4767" w:type="dxa"/>
            <w:tcBorders>
              <w:top w:val="nil"/>
              <w:left w:val="nil"/>
              <w:bottom w:val="single" w:sz="4" w:space="0" w:color="auto"/>
              <w:right w:val="single" w:sz="4" w:space="0" w:color="auto"/>
            </w:tcBorders>
            <w:shd w:val="clear" w:color="000000" w:fill="FFFFFF"/>
            <w:hideMark/>
          </w:tcPr>
          <w:p w:rsidR="005D6ACF" w:rsidRPr="00EF1770" w:rsidRDefault="005D6ACF" w:rsidP="008A253E">
            <w:pPr>
              <w:jc w:val="both"/>
            </w:pPr>
            <w:r w:rsidRPr="00EF1770">
              <w:t xml:space="preserve">Размер арендной платы по действующим договорам аренды линейных объектов за год, тыс.руб.      </w:t>
            </w:r>
          </w:p>
        </w:tc>
        <w:tc>
          <w:tcPr>
            <w:tcW w:w="1380" w:type="dxa"/>
            <w:tcBorders>
              <w:top w:val="nil"/>
              <w:left w:val="nil"/>
              <w:bottom w:val="single" w:sz="4" w:space="0" w:color="auto"/>
              <w:right w:val="single" w:sz="4" w:space="0" w:color="auto"/>
            </w:tcBorders>
            <w:shd w:val="clear" w:color="000000" w:fill="FFFFFF"/>
            <w:vAlign w:val="center"/>
            <w:hideMark/>
          </w:tcPr>
          <w:p w:rsidR="005D6ACF" w:rsidRPr="00EF1770" w:rsidRDefault="005D6ACF" w:rsidP="008A253E">
            <w:pPr>
              <w:jc w:val="center"/>
              <w:rPr>
                <w:b/>
                <w:bCs/>
              </w:rPr>
            </w:pPr>
            <w:r w:rsidRPr="00EF1770">
              <w:rPr>
                <w:b/>
                <w:bCs/>
              </w:rPr>
              <w:t>0,0</w:t>
            </w:r>
          </w:p>
        </w:tc>
        <w:tc>
          <w:tcPr>
            <w:tcW w:w="1380" w:type="dxa"/>
            <w:tcBorders>
              <w:top w:val="nil"/>
              <w:left w:val="nil"/>
              <w:bottom w:val="single" w:sz="4" w:space="0" w:color="auto"/>
              <w:right w:val="single" w:sz="4" w:space="0" w:color="auto"/>
            </w:tcBorders>
            <w:shd w:val="clear" w:color="000000" w:fill="FFFFFF"/>
            <w:vAlign w:val="center"/>
            <w:hideMark/>
          </w:tcPr>
          <w:p w:rsidR="005D6ACF" w:rsidRPr="00EF1770" w:rsidRDefault="005D6ACF" w:rsidP="008A253E">
            <w:pPr>
              <w:jc w:val="center"/>
              <w:rPr>
                <w:b/>
                <w:bCs/>
              </w:rPr>
            </w:pPr>
            <w:r w:rsidRPr="00EF1770">
              <w:rPr>
                <w:b/>
                <w:bCs/>
              </w:rPr>
              <w:t>0,0</w:t>
            </w:r>
          </w:p>
        </w:tc>
        <w:tc>
          <w:tcPr>
            <w:tcW w:w="1303" w:type="dxa"/>
            <w:tcBorders>
              <w:top w:val="nil"/>
              <w:left w:val="nil"/>
              <w:bottom w:val="single" w:sz="4" w:space="0" w:color="auto"/>
              <w:right w:val="single" w:sz="4" w:space="0" w:color="auto"/>
            </w:tcBorders>
            <w:shd w:val="clear" w:color="000000" w:fill="FFFFFF"/>
            <w:vAlign w:val="center"/>
            <w:hideMark/>
          </w:tcPr>
          <w:p w:rsidR="005D6ACF" w:rsidRPr="00EF1770" w:rsidRDefault="005D6ACF" w:rsidP="008A253E">
            <w:pPr>
              <w:jc w:val="center"/>
              <w:rPr>
                <w:b/>
                <w:bCs/>
              </w:rPr>
            </w:pPr>
            <w:r w:rsidRPr="00EF1770">
              <w:rPr>
                <w:b/>
                <w:bCs/>
              </w:rPr>
              <w:t>0,0</w:t>
            </w:r>
          </w:p>
        </w:tc>
      </w:tr>
      <w:tr w:rsidR="005D6ACF" w:rsidTr="008A253E">
        <w:trPr>
          <w:gridAfter w:val="1"/>
          <w:wAfter w:w="15" w:type="dxa"/>
          <w:trHeight w:val="540"/>
        </w:trPr>
        <w:tc>
          <w:tcPr>
            <w:tcW w:w="620" w:type="dxa"/>
            <w:tcBorders>
              <w:top w:val="nil"/>
              <w:left w:val="single" w:sz="4" w:space="0" w:color="auto"/>
              <w:bottom w:val="single" w:sz="4" w:space="0" w:color="auto"/>
              <w:right w:val="single" w:sz="4" w:space="0" w:color="auto"/>
            </w:tcBorders>
            <w:shd w:val="clear" w:color="000000" w:fill="FFFFFF"/>
            <w:hideMark/>
          </w:tcPr>
          <w:p w:rsidR="005D6ACF" w:rsidRPr="00EF1770" w:rsidRDefault="005D6ACF" w:rsidP="008A253E">
            <w:pPr>
              <w:jc w:val="center"/>
            </w:pPr>
            <w:r w:rsidRPr="00EF1770">
              <w:t>9</w:t>
            </w:r>
          </w:p>
        </w:tc>
        <w:tc>
          <w:tcPr>
            <w:tcW w:w="4767" w:type="dxa"/>
            <w:tcBorders>
              <w:top w:val="nil"/>
              <w:left w:val="nil"/>
              <w:bottom w:val="single" w:sz="4" w:space="0" w:color="auto"/>
              <w:right w:val="single" w:sz="4" w:space="0" w:color="auto"/>
            </w:tcBorders>
            <w:shd w:val="clear" w:color="000000" w:fill="FFFFFF"/>
            <w:hideMark/>
          </w:tcPr>
          <w:p w:rsidR="005D6ACF" w:rsidRPr="00EF1770" w:rsidRDefault="005D6ACF" w:rsidP="008A253E">
            <w:pPr>
              <w:jc w:val="both"/>
            </w:pPr>
            <w:r w:rsidRPr="00EF1770">
              <w:t>Размер арендной платы по планируемым к заключению договорам аренды недвижимого, движимого имущества, линейным объектам за год, тыс. руб.</w:t>
            </w:r>
          </w:p>
        </w:tc>
        <w:tc>
          <w:tcPr>
            <w:tcW w:w="1380" w:type="dxa"/>
            <w:tcBorders>
              <w:top w:val="nil"/>
              <w:left w:val="nil"/>
              <w:bottom w:val="single" w:sz="4" w:space="0" w:color="auto"/>
              <w:right w:val="single" w:sz="4" w:space="0" w:color="auto"/>
            </w:tcBorders>
            <w:shd w:val="clear" w:color="000000" w:fill="FFFFFF"/>
            <w:vAlign w:val="center"/>
            <w:hideMark/>
          </w:tcPr>
          <w:p w:rsidR="005D6ACF" w:rsidRPr="00EF1770" w:rsidRDefault="005D6ACF" w:rsidP="008A253E">
            <w:pPr>
              <w:jc w:val="center"/>
              <w:rPr>
                <w:b/>
                <w:bCs/>
              </w:rPr>
            </w:pPr>
            <w:r w:rsidRPr="00EF1770">
              <w:rPr>
                <w:b/>
                <w:bCs/>
              </w:rPr>
              <w:t>0,0</w:t>
            </w:r>
          </w:p>
        </w:tc>
        <w:tc>
          <w:tcPr>
            <w:tcW w:w="1380" w:type="dxa"/>
            <w:tcBorders>
              <w:top w:val="nil"/>
              <w:left w:val="nil"/>
              <w:bottom w:val="single" w:sz="4" w:space="0" w:color="auto"/>
              <w:right w:val="single" w:sz="4" w:space="0" w:color="auto"/>
            </w:tcBorders>
            <w:shd w:val="clear" w:color="000000" w:fill="FFFFFF"/>
            <w:vAlign w:val="center"/>
            <w:hideMark/>
          </w:tcPr>
          <w:p w:rsidR="005D6ACF" w:rsidRPr="00EF1770" w:rsidRDefault="005D6ACF" w:rsidP="008A253E">
            <w:pPr>
              <w:jc w:val="center"/>
              <w:rPr>
                <w:b/>
                <w:bCs/>
              </w:rPr>
            </w:pPr>
            <w:r w:rsidRPr="00EF1770">
              <w:rPr>
                <w:b/>
                <w:bCs/>
              </w:rPr>
              <w:t>0,0</w:t>
            </w:r>
          </w:p>
        </w:tc>
        <w:tc>
          <w:tcPr>
            <w:tcW w:w="1303" w:type="dxa"/>
            <w:tcBorders>
              <w:top w:val="nil"/>
              <w:left w:val="nil"/>
              <w:bottom w:val="single" w:sz="4" w:space="0" w:color="auto"/>
              <w:right w:val="single" w:sz="4" w:space="0" w:color="auto"/>
            </w:tcBorders>
            <w:shd w:val="clear" w:color="000000" w:fill="FFFFFF"/>
            <w:vAlign w:val="center"/>
            <w:hideMark/>
          </w:tcPr>
          <w:p w:rsidR="005D6ACF" w:rsidRPr="00EF1770" w:rsidRDefault="005D6ACF" w:rsidP="008A253E">
            <w:pPr>
              <w:jc w:val="center"/>
              <w:rPr>
                <w:b/>
                <w:bCs/>
              </w:rPr>
            </w:pPr>
            <w:r w:rsidRPr="00EF1770">
              <w:rPr>
                <w:b/>
                <w:bCs/>
              </w:rPr>
              <w:t>0,0</w:t>
            </w:r>
          </w:p>
        </w:tc>
      </w:tr>
      <w:tr w:rsidR="005D6ACF" w:rsidTr="008A253E">
        <w:trPr>
          <w:gridAfter w:val="1"/>
          <w:wAfter w:w="15" w:type="dxa"/>
          <w:trHeight w:val="540"/>
        </w:trPr>
        <w:tc>
          <w:tcPr>
            <w:tcW w:w="620" w:type="dxa"/>
            <w:tcBorders>
              <w:top w:val="nil"/>
              <w:left w:val="single" w:sz="4" w:space="0" w:color="auto"/>
              <w:bottom w:val="single" w:sz="4" w:space="0" w:color="auto"/>
              <w:right w:val="single" w:sz="4" w:space="0" w:color="auto"/>
            </w:tcBorders>
            <w:shd w:val="clear" w:color="000000" w:fill="FFFFFF"/>
            <w:hideMark/>
          </w:tcPr>
          <w:p w:rsidR="005D6ACF" w:rsidRPr="00EF1770" w:rsidRDefault="005D6ACF" w:rsidP="008A253E">
            <w:pPr>
              <w:jc w:val="center"/>
            </w:pPr>
            <w:r w:rsidRPr="00EF1770">
              <w:t>10</w:t>
            </w:r>
          </w:p>
        </w:tc>
        <w:tc>
          <w:tcPr>
            <w:tcW w:w="4767" w:type="dxa"/>
            <w:tcBorders>
              <w:top w:val="nil"/>
              <w:left w:val="nil"/>
              <w:bottom w:val="single" w:sz="4" w:space="0" w:color="auto"/>
              <w:right w:val="single" w:sz="4" w:space="0" w:color="auto"/>
            </w:tcBorders>
            <w:shd w:val="clear" w:color="000000" w:fill="FFFFFF"/>
            <w:hideMark/>
          </w:tcPr>
          <w:p w:rsidR="005D6ACF" w:rsidRPr="00EF1770" w:rsidRDefault="005D6ACF" w:rsidP="008A253E">
            <w:pPr>
              <w:jc w:val="both"/>
            </w:pPr>
            <w:r w:rsidRPr="00EF1770">
              <w:t>Итого расчетные доходы от сдачи в аренду за год  недвижимого и движимого  по счету КБК 01911105072020000120, тыс.руб. (п.6 + п.7 +п.8 + п.9)</w:t>
            </w:r>
          </w:p>
        </w:tc>
        <w:tc>
          <w:tcPr>
            <w:tcW w:w="1380" w:type="dxa"/>
            <w:tcBorders>
              <w:top w:val="nil"/>
              <w:left w:val="nil"/>
              <w:bottom w:val="single" w:sz="4" w:space="0" w:color="auto"/>
              <w:right w:val="single" w:sz="4" w:space="0" w:color="auto"/>
            </w:tcBorders>
            <w:shd w:val="clear" w:color="000000" w:fill="FFFFFF"/>
            <w:vAlign w:val="center"/>
            <w:hideMark/>
          </w:tcPr>
          <w:p w:rsidR="005D6ACF" w:rsidRPr="00EF1770" w:rsidRDefault="005D6ACF" w:rsidP="008A253E">
            <w:pPr>
              <w:jc w:val="center"/>
              <w:rPr>
                <w:b/>
                <w:bCs/>
              </w:rPr>
            </w:pPr>
            <w:r w:rsidRPr="00EF1770">
              <w:rPr>
                <w:b/>
                <w:bCs/>
              </w:rPr>
              <w:t>8 640,2</w:t>
            </w:r>
          </w:p>
        </w:tc>
        <w:tc>
          <w:tcPr>
            <w:tcW w:w="1380" w:type="dxa"/>
            <w:tcBorders>
              <w:top w:val="nil"/>
              <w:left w:val="nil"/>
              <w:bottom w:val="single" w:sz="4" w:space="0" w:color="auto"/>
              <w:right w:val="single" w:sz="4" w:space="0" w:color="auto"/>
            </w:tcBorders>
            <w:shd w:val="clear" w:color="000000" w:fill="FFFFFF"/>
            <w:vAlign w:val="center"/>
            <w:hideMark/>
          </w:tcPr>
          <w:p w:rsidR="005D6ACF" w:rsidRPr="00EF1770" w:rsidRDefault="005D6ACF" w:rsidP="008A253E">
            <w:pPr>
              <w:jc w:val="center"/>
              <w:rPr>
                <w:b/>
                <w:bCs/>
              </w:rPr>
            </w:pPr>
            <w:r w:rsidRPr="00EF1770">
              <w:rPr>
                <w:b/>
                <w:bCs/>
              </w:rPr>
              <w:t>8 976,8</w:t>
            </w:r>
          </w:p>
        </w:tc>
        <w:tc>
          <w:tcPr>
            <w:tcW w:w="1303" w:type="dxa"/>
            <w:tcBorders>
              <w:top w:val="nil"/>
              <w:left w:val="nil"/>
              <w:bottom w:val="single" w:sz="4" w:space="0" w:color="auto"/>
              <w:right w:val="single" w:sz="4" w:space="0" w:color="auto"/>
            </w:tcBorders>
            <w:shd w:val="clear" w:color="000000" w:fill="FFFFFF"/>
            <w:vAlign w:val="center"/>
            <w:hideMark/>
          </w:tcPr>
          <w:p w:rsidR="005D6ACF" w:rsidRPr="00EF1770" w:rsidRDefault="005D6ACF" w:rsidP="008A253E">
            <w:pPr>
              <w:jc w:val="center"/>
              <w:rPr>
                <w:b/>
                <w:bCs/>
              </w:rPr>
            </w:pPr>
            <w:r w:rsidRPr="00EF1770">
              <w:rPr>
                <w:b/>
                <w:bCs/>
              </w:rPr>
              <w:t>9 322,3</w:t>
            </w:r>
          </w:p>
        </w:tc>
      </w:tr>
      <w:tr w:rsidR="005D6ACF" w:rsidTr="008A253E">
        <w:trPr>
          <w:gridAfter w:val="1"/>
          <w:wAfter w:w="15" w:type="dxa"/>
          <w:trHeight w:val="495"/>
        </w:trPr>
        <w:tc>
          <w:tcPr>
            <w:tcW w:w="620" w:type="dxa"/>
            <w:tcBorders>
              <w:top w:val="nil"/>
              <w:left w:val="single" w:sz="4" w:space="0" w:color="auto"/>
              <w:bottom w:val="single" w:sz="4" w:space="0" w:color="auto"/>
              <w:right w:val="single" w:sz="4" w:space="0" w:color="auto"/>
            </w:tcBorders>
            <w:shd w:val="clear" w:color="000000" w:fill="FFFFFF"/>
            <w:hideMark/>
          </w:tcPr>
          <w:p w:rsidR="005D6ACF" w:rsidRPr="00EF1770" w:rsidRDefault="005D6ACF" w:rsidP="008A253E">
            <w:pPr>
              <w:jc w:val="center"/>
            </w:pPr>
            <w:r w:rsidRPr="00EF1770">
              <w:t>11</w:t>
            </w:r>
          </w:p>
        </w:tc>
        <w:tc>
          <w:tcPr>
            <w:tcW w:w="4767" w:type="dxa"/>
            <w:tcBorders>
              <w:top w:val="nil"/>
              <w:left w:val="nil"/>
              <w:bottom w:val="single" w:sz="4" w:space="0" w:color="auto"/>
              <w:right w:val="single" w:sz="4" w:space="0" w:color="auto"/>
            </w:tcBorders>
            <w:shd w:val="clear" w:color="000000" w:fill="FFFFFF"/>
            <w:hideMark/>
          </w:tcPr>
          <w:p w:rsidR="005D6ACF" w:rsidRPr="00EF1770" w:rsidRDefault="005D6ACF" w:rsidP="008A253E">
            <w:pPr>
              <w:jc w:val="both"/>
            </w:pPr>
            <w:r w:rsidRPr="00EF1770">
              <w:t>Собираемость доходов, принимаемая как среднее арифметическое значение аналогичных показателей за три года, предшествующих текущему финансовому году, %</w:t>
            </w:r>
          </w:p>
        </w:tc>
        <w:tc>
          <w:tcPr>
            <w:tcW w:w="1380" w:type="dxa"/>
            <w:tcBorders>
              <w:top w:val="nil"/>
              <w:left w:val="nil"/>
              <w:bottom w:val="single" w:sz="4" w:space="0" w:color="auto"/>
              <w:right w:val="single" w:sz="4" w:space="0" w:color="auto"/>
            </w:tcBorders>
            <w:shd w:val="clear" w:color="000000" w:fill="FFFFFF"/>
            <w:vAlign w:val="center"/>
            <w:hideMark/>
          </w:tcPr>
          <w:p w:rsidR="005D6ACF" w:rsidRPr="00EF1770" w:rsidRDefault="005D6ACF" w:rsidP="008A253E">
            <w:pPr>
              <w:jc w:val="center"/>
              <w:rPr>
                <w:b/>
                <w:bCs/>
              </w:rPr>
            </w:pPr>
            <w:r w:rsidRPr="00EF1770">
              <w:rPr>
                <w:b/>
                <w:bCs/>
              </w:rPr>
              <w:t>74</w:t>
            </w:r>
          </w:p>
        </w:tc>
        <w:tc>
          <w:tcPr>
            <w:tcW w:w="1380" w:type="dxa"/>
            <w:tcBorders>
              <w:top w:val="nil"/>
              <w:left w:val="nil"/>
              <w:bottom w:val="single" w:sz="4" w:space="0" w:color="auto"/>
              <w:right w:val="single" w:sz="4" w:space="0" w:color="auto"/>
            </w:tcBorders>
            <w:shd w:val="clear" w:color="000000" w:fill="FFFFFF"/>
            <w:vAlign w:val="center"/>
            <w:hideMark/>
          </w:tcPr>
          <w:p w:rsidR="005D6ACF" w:rsidRPr="00EF1770" w:rsidRDefault="005D6ACF" w:rsidP="008A253E">
            <w:pPr>
              <w:jc w:val="center"/>
              <w:rPr>
                <w:b/>
                <w:bCs/>
              </w:rPr>
            </w:pPr>
            <w:r w:rsidRPr="00EF1770">
              <w:rPr>
                <w:b/>
                <w:bCs/>
              </w:rPr>
              <w:t>74</w:t>
            </w:r>
          </w:p>
        </w:tc>
        <w:tc>
          <w:tcPr>
            <w:tcW w:w="1303" w:type="dxa"/>
            <w:tcBorders>
              <w:top w:val="nil"/>
              <w:left w:val="nil"/>
              <w:bottom w:val="single" w:sz="4" w:space="0" w:color="auto"/>
              <w:right w:val="single" w:sz="4" w:space="0" w:color="auto"/>
            </w:tcBorders>
            <w:shd w:val="clear" w:color="000000" w:fill="FFFFFF"/>
            <w:vAlign w:val="center"/>
            <w:hideMark/>
          </w:tcPr>
          <w:p w:rsidR="005D6ACF" w:rsidRPr="00EF1770" w:rsidRDefault="005D6ACF" w:rsidP="008A253E">
            <w:pPr>
              <w:jc w:val="center"/>
              <w:rPr>
                <w:b/>
                <w:bCs/>
              </w:rPr>
            </w:pPr>
            <w:r w:rsidRPr="00EF1770">
              <w:rPr>
                <w:b/>
                <w:bCs/>
              </w:rPr>
              <w:t>74</w:t>
            </w:r>
          </w:p>
        </w:tc>
      </w:tr>
      <w:tr w:rsidR="005D6ACF" w:rsidTr="008A253E">
        <w:trPr>
          <w:gridAfter w:val="1"/>
          <w:wAfter w:w="15" w:type="dxa"/>
          <w:trHeight w:val="330"/>
        </w:trPr>
        <w:tc>
          <w:tcPr>
            <w:tcW w:w="620" w:type="dxa"/>
            <w:tcBorders>
              <w:top w:val="nil"/>
              <w:left w:val="single" w:sz="4" w:space="0" w:color="auto"/>
              <w:bottom w:val="single" w:sz="4" w:space="0" w:color="auto"/>
              <w:right w:val="single" w:sz="4" w:space="0" w:color="auto"/>
            </w:tcBorders>
            <w:shd w:val="clear" w:color="000000" w:fill="FFFFFF"/>
            <w:hideMark/>
          </w:tcPr>
          <w:p w:rsidR="005D6ACF" w:rsidRPr="00EF1770" w:rsidRDefault="005D6ACF" w:rsidP="008A253E">
            <w:pPr>
              <w:jc w:val="center"/>
            </w:pPr>
            <w:r w:rsidRPr="00EF1770">
              <w:t>12</w:t>
            </w:r>
          </w:p>
        </w:tc>
        <w:tc>
          <w:tcPr>
            <w:tcW w:w="4767" w:type="dxa"/>
            <w:tcBorders>
              <w:top w:val="nil"/>
              <w:left w:val="nil"/>
              <w:bottom w:val="single" w:sz="4" w:space="0" w:color="auto"/>
              <w:right w:val="single" w:sz="4" w:space="0" w:color="auto"/>
            </w:tcBorders>
            <w:shd w:val="clear" w:color="000000" w:fill="FFFFFF"/>
            <w:hideMark/>
          </w:tcPr>
          <w:p w:rsidR="005D6ACF" w:rsidRPr="00EF1770" w:rsidRDefault="005D6ACF" w:rsidP="008A253E">
            <w:pPr>
              <w:jc w:val="both"/>
            </w:pPr>
            <w:r w:rsidRPr="00EF1770">
              <w:t>Погашение задолженности прошлых лет, возможные к погашению, тыс.руб.</w:t>
            </w:r>
          </w:p>
        </w:tc>
        <w:tc>
          <w:tcPr>
            <w:tcW w:w="1380" w:type="dxa"/>
            <w:tcBorders>
              <w:top w:val="nil"/>
              <w:left w:val="nil"/>
              <w:bottom w:val="single" w:sz="4" w:space="0" w:color="auto"/>
              <w:right w:val="single" w:sz="4" w:space="0" w:color="auto"/>
            </w:tcBorders>
            <w:shd w:val="clear" w:color="000000" w:fill="FFFFFF"/>
            <w:vAlign w:val="center"/>
            <w:hideMark/>
          </w:tcPr>
          <w:p w:rsidR="005D6ACF" w:rsidRPr="00EF1770" w:rsidRDefault="005D6ACF" w:rsidP="008A253E">
            <w:pPr>
              <w:jc w:val="center"/>
              <w:rPr>
                <w:b/>
                <w:bCs/>
              </w:rPr>
            </w:pPr>
            <w:r w:rsidRPr="00EF1770">
              <w:rPr>
                <w:b/>
                <w:bCs/>
              </w:rPr>
              <w:t>7 951,3</w:t>
            </w:r>
          </w:p>
        </w:tc>
        <w:tc>
          <w:tcPr>
            <w:tcW w:w="1380" w:type="dxa"/>
            <w:tcBorders>
              <w:top w:val="nil"/>
              <w:left w:val="nil"/>
              <w:bottom w:val="single" w:sz="4" w:space="0" w:color="auto"/>
              <w:right w:val="single" w:sz="4" w:space="0" w:color="auto"/>
            </w:tcBorders>
            <w:shd w:val="clear" w:color="000000" w:fill="FFFFFF"/>
            <w:vAlign w:val="center"/>
            <w:hideMark/>
          </w:tcPr>
          <w:p w:rsidR="005D6ACF" w:rsidRPr="00EF1770" w:rsidRDefault="005D6ACF" w:rsidP="008A253E">
            <w:pPr>
              <w:jc w:val="center"/>
              <w:rPr>
                <w:b/>
                <w:bCs/>
              </w:rPr>
            </w:pPr>
            <w:r w:rsidRPr="00EF1770">
              <w:rPr>
                <w:b/>
                <w:bCs/>
              </w:rPr>
              <w:t>5 757,6</w:t>
            </w:r>
          </w:p>
        </w:tc>
        <w:tc>
          <w:tcPr>
            <w:tcW w:w="1303" w:type="dxa"/>
            <w:tcBorders>
              <w:top w:val="nil"/>
              <w:left w:val="nil"/>
              <w:bottom w:val="single" w:sz="4" w:space="0" w:color="auto"/>
              <w:right w:val="single" w:sz="4" w:space="0" w:color="auto"/>
            </w:tcBorders>
            <w:shd w:val="clear" w:color="000000" w:fill="FFFFFF"/>
            <w:vAlign w:val="center"/>
            <w:hideMark/>
          </w:tcPr>
          <w:p w:rsidR="005D6ACF" w:rsidRPr="00EF1770" w:rsidRDefault="005D6ACF" w:rsidP="008A253E">
            <w:pPr>
              <w:jc w:val="center"/>
              <w:rPr>
                <w:b/>
                <w:bCs/>
              </w:rPr>
            </w:pPr>
            <w:r w:rsidRPr="00EF1770">
              <w:rPr>
                <w:b/>
                <w:bCs/>
              </w:rPr>
              <w:t>4 995,4</w:t>
            </w:r>
          </w:p>
        </w:tc>
      </w:tr>
      <w:tr w:rsidR="005D6ACF" w:rsidTr="008A253E">
        <w:trPr>
          <w:gridAfter w:val="1"/>
          <w:wAfter w:w="15" w:type="dxa"/>
          <w:trHeight w:val="510"/>
        </w:trPr>
        <w:tc>
          <w:tcPr>
            <w:tcW w:w="620" w:type="dxa"/>
            <w:tcBorders>
              <w:top w:val="nil"/>
              <w:left w:val="single" w:sz="4" w:space="0" w:color="auto"/>
              <w:bottom w:val="single" w:sz="4" w:space="0" w:color="auto"/>
              <w:right w:val="single" w:sz="4" w:space="0" w:color="auto"/>
            </w:tcBorders>
            <w:shd w:val="clear" w:color="000000" w:fill="FFFFFF"/>
            <w:hideMark/>
          </w:tcPr>
          <w:p w:rsidR="005D6ACF" w:rsidRPr="00EF1770" w:rsidRDefault="005D6ACF" w:rsidP="008A253E">
            <w:pPr>
              <w:jc w:val="center"/>
              <w:rPr>
                <w:b/>
                <w:bCs/>
              </w:rPr>
            </w:pPr>
            <w:r w:rsidRPr="00EF1770">
              <w:rPr>
                <w:b/>
                <w:bCs/>
              </w:rPr>
              <w:t>13</w:t>
            </w:r>
          </w:p>
        </w:tc>
        <w:tc>
          <w:tcPr>
            <w:tcW w:w="4767" w:type="dxa"/>
            <w:tcBorders>
              <w:top w:val="nil"/>
              <w:left w:val="nil"/>
              <w:bottom w:val="single" w:sz="4" w:space="0" w:color="auto"/>
              <w:right w:val="single" w:sz="4" w:space="0" w:color="auto"/>
            </w:tcBorders>
            <w:shd w:val="clear" w:color="000000" w:fill="FFFFFF"/>
            <w:hideMark/>
          </w:tcPr>
          <w:p w:rsidR="005D6ACF" w:rsidRPr="00EF1770" w:rsidRDefault="005D6ACF" w:rsidP="008A253E">
            <w:pPr>
              <w:jc w:val="both"/>
              <w:rPr>
                <w:b/>
                <w:bCs/>
              </w:rPr>
            </w:pPr>
            <w:r w:rsidRPr="00EF1770">
              <w:rPr>
                <w:b/>
                <w:bCs/>
              </w:rPr>
              <w:t xml:space="preserve">Всего доходы от сдачи в аренду за год  имущества по КБК 019 1 11 05072 02 0000120, тыс.руб. п.10*п.11 + п.12                           </w:t>
            </w:r>
            <w:r w:rsidRPr="00EF1770">
              <w:t xml:space="preserve">  </w:t>
            </w:r>
          </w:p>
        </w:tc>
        <w:tc>
          <w:tcPr>
            <w:tcW w:w="1380" w:type="dxa"/>
            <w:tcBorders>
              <w:top w:val="nil"/>
              <w:left w:val="nil"/>
              <w:bottom w:val="single" w:sz="4" w:space="0" w:color="auto"/>
              <w:right w:val="single" w:sz="4" w:space="0" w:color="auto"/>
            </w:tcBorders>
            <w:shd w:val="clear" w:color="000000" w:fill="FFFFFF"/>
            <w:vAlign w:val="center"/>
            <w:hideMark/>
          </w:tcPr>
          <w:p w:rsidR="005D6ACF" w:rsidRPr="00EF1770" w:rsidRDefault="005D6ACF" w:rsidP="008A253E">
            <w:pPr>
              <w:jc w:val="center"/>
              <w:rPr>
                <w:b/>
                <w:bCs/>
              </w:rPr>
            </w:pPr>
            <w:r w:rsidRPr="00EF1770">
              <w:rPr>
                <w:b/>
                <w:bCs/>
              </w:rPr>
              <w:t>14 345,0</w:t>
            </w:r>
          </w:p>
        </w:tc>
        <w:tc>
          <w:tcPr>
            <w:tcW w:w="1380" w:type="dxa"/>
            <w:tcBorders>
              <w:top w:val="nil"/>
              <w:left w:val="nil"/>
              <w:bottom w:val="single" w:sz="4" w:space="0" w:color="auto"/>
              <w:right w:val="single" w:sz="4" w:space="0" w:color="auto"/>
            </w:tcBorders>
            <w:shd w:val="clear" w:color="000000" w:fill="FFFFFF"/>
            <w:vAlign w:val="center"/>
            <w:hideMark/>
          </w:tcPr>
          <w:p w:rsidR="005D6ACF" w:rsidRPr="00EF1770" w:rsidRDefault="005D6ACF" w:rsidP="008A253E">
            <w:pPr>
              <w:jc w:val="center"/>
              <w:rPr>
                <w:b/>
                <w:bCs/>
              </w:rPr>
            </w:pPr>
            <w:r w:rsidRPr="00EF1770">
              <w:rPr>
                <w:b/>
                <w:bCs/>
              </w:rPr>
              <w:t>12 400,4</w:t>
            </w:r>
          </w:p>
        </w:tc>
        <w:tc>
          <w:tcPr>
            <w:tcW w:w="1303" w:type="dxa"/>
            <w:tcBorders>
              <w:top w:val="nil"/>
              <w:left w:val="nil"/>
              <w:bottom w:val="single" w:sz="4" w:space="0" w:color="auto"/>
              <w:right w:val="single" w:sz="4" w:space="0" w:color="auto"/>
            </w:tcBorders>
            <w:shd w:val="clear" w:color="000000" w:fill="FFFFFF"/>
            <w:vAlign w:val="center"/>
            <w:hideMark/>
          </w:tcPr>
          <w:p w:rsidR="005D6ACF" w:rsidRPr="00EF1770" w:rsidRDefault="005D6ACF" w:rsidP="008A253E">
            <w:pPr>
              <w:jc w:val="center"/>
              <w:rPr>
                <w:b/>
                <w:bCs/>
              </w:rPr>
            </w:pPr>
            <w:r w:rsidRPr="00EF1770">
              <w:rPr>
                <w:b/>
                <w:bCs/>
              </w:rPr>
              <w:t>11 893,9</w:t>
            </w:r>
          </w:p>
        </w:tc>
      </w:tr>
    </w:tbl>
    <w:p w:rsidR="005D6ACF" w:rsidRPr="00EF1770" w:rsidRDefault="005D6ACF" w:rsidP="005D6ACF">
      <w:pPr>
        <w:ind w:firstLine="709"/>
        <w:jc w:val="both"/>
        <w:rPr>
          <w:sz w:val="28"/>
          <w:szCs w:val="28"/>
        </w:rPr>
      </w:pPr>
      <w:r w:rsidRPr="00EF1770">
        <w:rPr>
          <w:sz w:val="28"/>
          <w:szCs w:val="28"/>
        </w:rPr>
        <w:t>Собираемость доходов (в %), принимаемая как среднее арифметическое значение аналогичных показателей за три года, предшествующих текущему финансовому году.</w:t>
      </w:r>
    </w:p>
    <w:p w:rsidR="005D6ACF" w:rsidRPr="00EF1770" w:rsidRDefault="005D6ACF" w:rsidP="005D6ACF">
      <w:pPr>
        <w:ind w:firstLine="709"/>
        <w:jc w:val="both"/>
        <w:rPr>
          <w:sz w:val="28"/>
          <w:szCs w:val="28"/>
        </w:rPr>
      </w:pPr>
      <w:r w:rsidRPr="00EF1770">
        <w:rPr>
          <w:sz w:val="28"/>
          <w:szCs w:val="28"/>
        </w:rPr>
        <w:t>Показатель собираемости доходов по договорам аренды, рассчитывался исходя из начислений арендной платы на 2018 - 2020 годы и перечислений плательщиками денежных средств в счет уплаты арендной платы за соответствующий период по данному виду доходов и составил 74% ((76%+72%+75%)/3=74%).</w:t>
      </w:r>
    </w:p>
    <w:p w:rsidR="005D6ACF" w:rsidRPr="00EF1770" w:rsidRDefault="005D6ACF" w:rsidP="005D6ACF">
      <w:pPr>
        <w:widowControl w:val="0"/>
        <w:autoSpaceDE w:val="0"/>
        <w:autoSpaceDN w:val="0"/>
        <w:adjustRightInd w:val="0"/>
        <w:ind w:firstLine="709"/>
        <w:jc w:val="both"/>
        <w:rPr>
          <w:sz w:val="28"/>
          <w:szCs w:val="28"/>
        </w:rPr>
      </w:pPr>
      <w:r w:rsidRPr="00EF1770">
        <w:rPr>
          <w:sz w:val="28"/>
          <w:szCs w:val="28"/>
        </w:rPr>
        <w:t>В 2018 году начисления арендной платы составили 31 655,3 тыс. руб., перечисления по уплате арендной платы составили 24 047,4 тыс. руб.(76%).</w:t>
      </w:r>
    </w:p>
    <w:p w:rsidR="005D6ACF" w:rsidRPr="00EF1770" w:rsidRDefault="005D6ACF" w:rsidP="005D6ACF">
      <w:pPr>
        <w:widowControl w:val="0"/>
        <w:autoSpaceDE w:val="0"/>
        <w:autoSpaceDN w:val="0"/>
        <w:adjustRightInd w:val="0"/>
        <w:ind w:firstLine="709"/>
        <w:jc w:val="both"/>
        <w:rPr>
          <w:sz w:val="28"/>
          <w:szCs w:val="28"/>
        </w:rPr>
      </w:pPr>
      <w:r w:rsidRPr="00EF1770">
        <w:rPr>
          <w:sz w:val="28"/>
          <w:szCs w:val="28"/>
        </w:rPr>
        <w:t>В 2019 году начисления арендной платы составили 31 097,9 тыс. руб., перечисления по уплате арендной платы составили 22 267,8 тыс. руб.(72%).</w:t>
      </w:r>
    </w:p>
    <w:p w:rsidR="005D6ACF" w:rsidRPr="00EF1770" w:rsidRDefault="005D6ACF" w:rsidP="005D6ACF">
      <w:pPr>
        <w:widowControl w:val="0"/>
        <w:autoSpaceDE w:val="0"/>
        <w:autoSpaceDN w:val="0"/>
        <w:adjustRightInd w:val="0"/>
        <w:ind w:firstLine="709"/>
        <w:jc w:val="both"/>
        <w:rPr>
          <w:sz w:val="28"/>
          <w:szCs w:val="28"/>
        </w:rPr>
      </w:pPr>
      <w:r w:rsidRPr="00EF1770">
        <w:rPr>
          <w:sz w:val="28"/>
          <w:szCs w:val="28"/>
        </w:rPr>
        <w:t xml:space="preserve">В 2020 году начисления арендной платы составили 15 054,9 тыс. руб., перечисления по уплате арендной платы составили 11 375,0 тыс. руб.(75%). </w:t>
      </w:r>
    </w:p>
    <w:p w:rsidR="005D6ACF" w:rsidRPr="00EF1770" w:rsidRDefault="005D6ACF" w:rsidP="005D6ACF">
      <w:pPr>
        <w:ind w:firstLine="709"/>
        <w:jc w:val="both"/>
        <w:rPr>
          <w:sz w:val="28"/>
          <w:szCs w:val="28"/>
        </w:rPr>
      </w:pPr>
      <w:r w:rsidRPr="00EF1770">
        <w:rPr>
          <w:sz w:val="28"/>
          <w:szCs w:val="28"/>
        </w:rPr>
        <w:t>Процент собираемости доходов применен к размеру арендной платы, начисленному на 2021-2024 годы.</w:t>
      </w:r>
    </w:p>
    <w:p w:rsidR="005D6ACF" w:rsidRPr="00EF1770" w:rsidRDefault="005D6ACF" w:rsidP="005D6ACF">
      <w:pPr>
        <w:ind w:firstLine="709"/>
        <w:jc w:val="both"/>
        <w:rPr>
          <w:sz w:val="28"/>
          <w:szCs w:val="28"/>
        </w:rPr>
      </w:pPr>
      <w:r w:rsidRPr="00EF1770">
        <w:rPr>
          <w:b/>
          <w:sz w:val="28"/>
          <w:szCs w:val="28"/>
        </w:rPr>
        <w:t xml:space="preserve">Пз </w:t>
      </w:r>
      <w:r w:rsidRPr="00EF1770">
        <w:rPr>
          <w:sz w:val="28"/>
          <w:szCs w:val="28"/>
        </w:rPr>
        <w:t>– погашение задолженности прошлых лет.</w:t>
      </w:r>
    </w:p>
    <w:p w:rsidR="005D6ACF" w:rsidRPr="00EF1770" w:rsidRDefault="005D6ACF" w:rsidP="005D6ACF">
      <w:pPr>
        <w:ind w:firstLine="709"/>
        <w:jc w:val="both"/>
        <w:rPr>
          <w:sz w:val="28"/>
          <w:szCs w:val="28"/>
        </w:rPr>
      </w:pPr>
      <w:r w:rsidRPr="00EF1770">
        <w:rPr>
          <w:sz w:val="28"/>
          <w:szCs w:val="28"/>
        </w:rPr>
        <w:lastRenderedPageBreak/>
        <w:t xml:space="preserve">Расчет планируемой к поступлению </w:t>
      </w:r>
      <w:r w:rsidRPr="00EF1770">
        <w:rPr>
          <w:b/>
          <w:sz w:val="28"/>
          <w:szCs w:val="28"/>
        </w:rPr>
        <w:t>в 2021 году</w:t>
      </w:r>
      <w:r w:rsidRPr="00EF1770">
        <w:rPr>
          <w:sz w:val="28"/>
          <w:szCs w:val="28"/>
        </w:rPr>
        <w:t xml:space="preserve"> суммы задолженности прошлых лет в сумме </w:t>
      </w:r>
      <w:r w:rsidRPr="00EF1770">
        <w:rPr>
          <w:b/>
          <w:sz w:val="28"/>
          <w:szCs w:val="28"/>
        </w:rPr>
        <w:t>3 965,5</w:t>
      </w:r>
      <w:r w:rsidRPr="00EF1770">
        <w:rPr>
          <w:sz w:val="28"/>
          <w:szCs w:val="28"/>
        </w:rPr>
        <w:t xml:space="preserve"> </w:t>
      </w:r>
      <w:r w:rsidRPr="00EF1770">
        <w:rPr>
          <w:b/>
          <w:sz w:val="28"/>
          <w:szCs w:val="28"/>
        </w:rPr>
        <w:t>тыс. руб</w:t>
      </w:r>
      <w:r w:rsidRPr="00EF1770">
        <w:rPr>
          <w:sz w:val="28"/>
          <w:szCs w:val="28"/>
        </w:rPr>
        <w:t>. производился исходя из:</w:t>
      </w:r>
    </w:p>
    <w:p w:rsidR="005D6ACF" w:rsidRPr="00EF1770" w:rsidRDefault="005D6ACF" w:rsidP="005D6ACF">
      <w:pPr>
        <w:ind w:firstLine="709"/>
        <w:jc w:val="both"/>
        <w:rPr>
          <w:sz w:val="28"/>
          <w:szCs w:val="28"/>
        </w:rPr>
      </w:pPr>
      <w:r w:rsidRPr="00EF1770">
        <w:rPr>
          <w:sz w:val="28"/>
          <w:szCs w:val="28"/>
        </w:rPr>
        <w:t>1) фактически поступивших за 6 месяцев 2021 года платежей в счет погашения задолженности на 01.01.2021 в сумме 918,8 тыс. руб., в том числе:</w:t>
      </w:r>
    </w:p>
    <w:p w:rsidR="005D6ACF" w:rsidRPr="00EF1770" w:rsidRDefault="005D6ACF" w:rsidP="005D6ACF">
      <w:pPr>
        <w:ind w:firstLine="709"/>
        <w:jc w:val="both"/>
        <w:rPr>
          <w:sz w:val="28"/>
          <w:szCs w:val="28"/>
        </w:rPr>
      </w:pPr>
      <w:r w:rsidRPr="00EF1770">
        <w:rPr>
          <w:sz w:val="28"/>
          <w:szCs w:val="28"/>
        </w:rPr>
        <w:t>- АО «Научно-реставрационный центр «Тверьпроектреставрация» 561,8 тыс. руб.,</w:t>
      </w:r>
    </w:p>
    <w:p w:rsidR="005D6ACF" w:rsidRPr="00EF1770" w:rsidRDefault="005D6ACF" w:rsidP="005D6ACF">
      <w:pPr>
        <w:ind w:firstLine="709"/>
        <w:jc w:val="both"/>
        <w:rPr>
          <w:sz w:val="28"/>
          <w:szCs w:val="28"/>
        </w:rPr>
      </w:pPr>
      <w:r w:rsidRPr="00EF1770">
        <w:rPr>
          <w:sz w:val="28"/>
          <w:szCs w:val="28"/>
        </w:rPr>
        <w:t>- АО «Отель Оснабрюк» 357,0 тыс. руб.,</w:t>
      </w:r>
    </w:p>
    <w:p w:rsidR="005D6ACF" w:rsidRPr="00EF1770" w:rsidRDefault="005D6ACF" w:rsidP="005D6ACF">
      <w:pPr>
        <w:ind w:firstLine="709"/>
        <w:jc w:val="both"/>
        <w:rPr>
          <w:sz w:val="28"/>
          <w:szCs w:val="28"/>
        </w:rPr>
      </w:pPr>
      <w:r w:rsidRPr="00EF1770">
        <w:rPr>
          <w:sz w:val="28"/>
          <w:szCs w:val="28"/>
        </w:rPr>
        <w:t>2) поступлений денежных средств в сумме 1 435,5 тыс. руб. в соответствии с графиками платежей, установленными мировыми соглашениями или иными документами, в том числе:</w:t>
      </w:r>
    </w:p>
    <w:p w:rsidR="005D6ACF" w:rsidRPr="00EF1770" w:rsidRDefault="005D6ACF" w:rsidP="005D6ACF">
      <w:pPr>
        <w:ind w:firstLine="709"/>
        <w:jc w:val="both"/>
        <w:rPr>
          <w:sz w:val="28"/>
          <w:szCs w:val="28"/>
        </w:rPr>
      </w:pPr>
      <w:r w:rsidRPr="00EF1770">
        <w:rPr>
          <w:sz w:val="28"/>
          <w:szCs w:val="28"/>
        </w:rPr>
        <w:t xml:space="preserve">- АО «Научно-реставрационный центр «Тверьпроектреставрация» 1 007,1 тыс. руб. в соответствии с графиками, по решению Арбитражного суда Тверской области от 30.01.2018 по делу А66-12541/2016 (54,25*11= 596,7 тыс. руб.), по определению Арбитражного суда Тверской области от 11.03.2020 по делу А66-7461/2019 (3,8*7= 26,6 тыс. руб.), по определению Арбитражного суда Тверской области от 26.02.2020 по делу А66-7462/2019 (54,83*7= 383,8 тыс. руб.), </w:t>
      </w:r>
    </w:p>
    <w:p w:rsidR="005D6ACF" w:rsidRPr="00EF1770" w:rsidRDefault="005D6ACF" w:rsidP="005D6ACF">
      <w:pPr>
        <w:ind w:firstLine="709"/>
        <w:jc w:val="both"/>
        <w:rPr>
          <w:sz w:val="28"/>
          <w:szCs w:val="28"/>
        </w:rPr>
      </w:pPr>
      <w:r w:rsidRPr="00EF1770">
        <w:rPr>
          <w:sz w:val="28"/>
          <w:szCs w:val="28"/>
        </w:rPr>
        <w:t>- АО «Отель Оснабрюк» 428,4 тыс. руб. по решению Арбитражного суда Тверской области от 12.04.2019 по делу А66-1945/2019, в соответствии с графиком (71,4*7= 499,8 тыс. руб.),</w:t>
      </w:r>
    </w:p>
    <w:p w:rsidR="005D6ACF" w:rsidRPr="00EF1770" w:rsidRDefault="005D6ACF" w:rsidP="005D6ACF">
      <w:pPr>
        <w:widowControl w:val="0"/>
        <w:autoSpaceDE w:val="0"/>
        <w:autoSpaceDN w:val="0"/>
        <w:adjustRightInd w:val="0"/>
        <w:ind w:firstLine="709"/>
        <w:jc w:val="both"/>
        <w:rPr>
          <w:sz w:val="28"/>
          <w:szCs w:val="28"/>
        </w:rPr>
      </w:pPr>
      <w:r w:rsidRPr="00EF1770">
        <w:rPr>
          <w:sz w:val="28"/>
          <w:szCs w:val="28"/>
        </w:rPr>
        <w:t xml:space="preserve">3) поступление денежных средств в сумме </w:t>
      </w:r>
      <w:r w:rsidRPr="00EF1770">
        <w:rPr>
          <w:b/>
          <w:sz w:val="28"/>
          <w:szCs w:val="28"/>
        </w:rPr>
        <w:t xml:space="preserve">1 611,2 тыс. руб. </w:t>
      </w:r>
      <w:r w:rsidRPr="00EF1770">
        <w:rPr>
          <w:sz w:val="28"/>
          <w:szCs w:val="28"/>
        </w:rPr>
        <w:t>от ООО «Верхневолжское автотранспортное предприятие».</w:t>
      </w:r>
    </w:p>
    <w:p w:rsidR="005D6ACF" w:rsidRPr="00EF1770" w:rsidRDefault="005D6ACF" w:rsidP="005D6ACF">
      <w:pPr>
        <w:widowControl w:val="0"/>
        <w:autoSpaceDE w:val="0"/>
        <w:autoSpaceDN w:val="0"/>
        <w:adjustRightInd w:val="0"/>
        <w:ind w:firstLine="709"/>
        <w:jc w:val="both"/>
        <w:rPr>
          <w:sz w:val="28"/>
          <w:szCs w:val="28"/>
        </w:rPr>
      </w:pPr>
      <w:r w:rsidRPr="00EF1770">
        <w:rPr>
          <w:sz w:val="28"/>
          <w:szCs w:val="28"/>
        </w:rPr>
        <w:t>В соответствии со статьей 19 Закона № 98-ФЗ «О внесении изменений в отдельные законодательные акты Российской Федерации по вопросам предупреждения и ликвидации чрезвычайных ситуаций» между Министерством и ООО «Верхневолжское автотранспортное предприятие» к договору аренды заключено дополнительное соглашение об отсрочке уплаты арендной платы за период с 17.03.2020 до 01.10.2020 в сумме 3 222,4 тыс. руб. В соответствии с графиком погашения задолженности оплата арендной платы должна вноситься ежемесячно в течение 24 месяцев, начиная с 01.01.2021 по 31.12.2022, ежемесячными платежами в размере 134,27 тыс. руб.</w:t>
      </w:r>
    </w:p>
    <w:p w:rsidR="005D6ACF" w:rsidRPr="00EF1770" w:rsidRDefault="005D6ACF" w:rsidP="005D6ACF">
      <w:pPr>
        <w:ind w:firstLine="709"/>
        <w:jc w:val="both"/>
        <w:rPr>
          <w:sz w:val="28"/>
          <w:szCs w:val="28"/>
        </w:rPr>
      </w:pPr>
      <w:r w:rsidRPr="00EF1770">
        <w:rPr>
          <w:sz w:val="28"/>
          <w:szCs w:val="28"/>
        </w:rPr>
        <w:t>Расчет планируемой к поступлению в 2022-2023 годах суммы задолженности прошлых лет производился исходя из:</w:t>
      </w:r>
    </w:p>
    <w:p w:rsidR="005D6ACF" w:rsidRPr="00EF1770" w:rsidRDefault="005D6ACF" w:rsidP="005D6ACF">
      <w:pPr>
        <w:ind w:firstLine="709"/>
        <w:jc w:val="both"/>
        <w:rPr>
          <w:sz w:val="28"/>
          <w:szCs w:val="28"/>
        </w:rPr>
      </w:pPr>
      <w:r w:rsidRPr="00EF1770">
        <w:rPr>
          <w:sz w:val="28"/>
          <w:szCs w:val="28"/>
        </w:rPr>
        <w:t>1) среднего размера поступлений в погашение задолженности прошлых лет за три года, предшествующих текущему финансовому году.</w:t>
      </w:r>
    </w:p>
    <w:p w:rsidR="005D6ACF" w:rsidRPr="00EF1770" w:rsidRDefault="005D6ACF" w:rsidP="005D6ACF">
      <w:pPr>
        <w:ind w:firstLine="709"/>
        <w:jc w:val="both"/>
        <w:rPr>
          <w:sz w:val="28"/>
          <w:szCs w:val="28"/>
        </w:rPr>
      </w:pPr>
      <w:r w:rsidRPr="00EF1770">
        <w:rPr>
          <w:sz w:val="28"/>
          <w:szCs w:val="28"/>
        </w:rPr>
        <w:t xml:space="preserve">Поступления денежных средств в счет погашения задолженности прошлых лет составили: в 2018 году – 1 560,00 тыс. руб., в 2019 году –  3 221,9 тыс. руб. (без учета поступления денежных средств по графикам платежей), в 2020 году – 7 604,6 тыс. руб., (без учета поступления денежных средств по графикам платежей). </w:t>
      </w:r>
    </w:p>
    <w:p w:rsidR="005D6ACF" w:rsidRPr="00EF1770" w:rsidRDefault="005D6ACF" w:rsidP="005D6ACF">
      <w:pPr>
        <w:ind w:firstLine="709"/>
        <w:jc w:val="both"/>
        <w:rPr>
          <w:sz w:val="28"/>
          <w:szCs w:val="28"/>
        </w:rPr>
      </w:pPr>
      <w:r w:rsidRPr="00EF1770">
        <w:rPr>
          <w:sz w:val="28"/>
          <w:szCs w:val="28"/>
        </w:rPr>
        <w:t xml:space="preserve">Таким образом, средний размер поступлений за предшествующие три года составил </w:t>
      </w:r>
      <w:r w:rsidRPr="00EF1770">
        <w:rPr>
          <w:b/>
          <w:sz w:val="28"/>
          <w:szCs w:val="28"/>
        </w:rPr>
        <w:t>4 128,8</w:t>
      </w:r>
      <w:r w:rsidRPr="00EF1770">
        <w:rPr>
          <w:sz w:val="28"/>
          <w:szCs w:val="28"/>
        </w:rPr>
        <w:t xml:space="preserve"> тыс. рублей.</w:t>
      </w:r>
    </w:p>
    <w:p w:rsidR="005D6ACF" w:rsidRPr="00EF1770" w:rsidRDefault="005D6ACF" w:rsidP="005D6ACF">
      <w:pPr>
        <w:ind w:firstLine="709"/>
        <w:jc w:val="both"/>
        <w:rPr>
          <w:sz w:val="28"/>
          <w:szCs w:val="28"/>
        </w:rPr>
      </w:pPr>
      <w:r w:rsidRPr="00EF1770">
        <w:rPr>
          <w:sz w:val="28"/>
          <w:szCs w:val="28"/>
        </w:rPr>
        <w:lastRenderedPageBreak/>
        <w:t>2) поступлений денежных средств в соответствии с графиками платежей, установленными мировыми соглашениями или иными документами.</w:t>
      </w:r>
    </w:p>
    <w:p w:rsidR="005D6ACF" w:rsidRPr="00EF1770" w:rsidRDefault="005D6ACF" w:rsidP="005D6ACF">
      <w:pPr>
        <w:widowControl w:val="0"/>
        <w:autoSpaceDE w:val="0"/>
        <w:autoSpaceDN w:val="0"/>
        <w:adjustRightInd w:val="0"/>
        <w:ind w:firstLine="709"/>
        <w:jc w:val="both"/>
        <w:rPr>
          <w:sz w:val="28"/>
          <w:szCs w:val="28"/>
        </w:rPr>
      </w:pPr>
      <w:r w:rsidRPr="00EF1770">
        <w:rPr>
          <w:b/>
          <w:sz w:val="28"/>
          <w:szCs w:val="28"/>
        </w:rPr>
        <w:t>В 2022 году</w:t>
      </w:r>
      <w:r w:rsidRPr="00EF1770">
        <w:rPr>
          <w:sz w:val="28"/>
          <w:szCs w:val="28"/>
        </w:rPr>
        <w:t xml:space="preserve"> планируется к погашению задолженность в сумме </w:t>
      </w:r>
      <w:r w:rsidRPr="00EF1770">
        <w:rPr>
          <w:b/>
          <w:sz w:val="28"/>
          <w:szCs w:val="28"/>
        </w:rPr>
        <w:t>7 951,3 тыс. руб.,</w:t>
      </w:r>
      <w:r w:rsidRPr="00EF1770">
        <w:rPr>
          <w:sz w:val="28"/>
          <w:szCs w:val="28"/>
        </w:rPr>
        <w:t xml:space="preserve"> в том числе:</w:t>
      </w:r>
    </w:p>
    <w:p w:rsidR="005D6ACF" w:rsidRPr="00EF1770" w:rsidRDefault="005D6ACF" w:rsidP="005D6ACF">
      <w:pPr>
        <w:widowControl w:val="0"/>
        <w:autoSpaceDE w:val="0"/>
        <w:autoSpaceDN w:val="0"/>
        <w:adjustRightInd w:val="0"/>
        <w:ind w:firstLine="709"/>
        <w:jc w:val="both"/>
        <w:rPr>
          <w:sz w:val="28"/>
          <w:szCs w:val="28"/>
        </w:rPr>
      </w:pPr>
      <w:r w:rsidRPr="00EF1770">
        <w:rPr>
          <w:sz w:val="28"/>
          <w:szCs w:val="28"/>
        </w:rPr>
        <w:t xml:space="preserve">а) средний размер поступлений за предшествующие три года в размере </w:t>
      </w:r>
      <w:r w:rsidRPr="00EF1770">
        <w:rPr>
          <w:b/>
          <w:sz w:val="28"/>
          <w:szCs w:val="28"/>
        </w:rPr>
        <w:t>4 128,8 тыс. руб</w:t>
      </w:r>
      <w:r w:rsidRPr="00EF1770">
        <w:rPr>
          <w:sz w:val="28"/>
          <w:szCs w:val="28"/>
        </w:rPr>
        <w:t>.;</w:t>
      </w:r>
    </w:p>
    <w:p w:rsidR="005D6ACF" w:rsidRPr="00EF1770" w:rsidRDefault="005D6ACF" w:rsidP="005D6ACF">
      <w:pPr>
        <w:widowControl w:val="0"/>
        <w:autoSpaceDE w:val="0"/>
        <w:autoSpaceDN w:val="0"/>
        <w:adjustRightInd w:val="0"/>
        <w:ind w:firstLine="709"/>
        <w:jc w:val="both"/>
        <w:rPr>
          <w:sz w:val="28"/>
          <w:szCs w:val="28"/>
        </w:rPr>
      </w:pPr>
      <w:r w:rsidRPr="00EF1770">
        <w:rPr>
          <w:sz w:val="28"/>
          <w:szCs w:val="28"/>
        </w:rPr>
        <w:t xml:space="preserve">б) поступлений денежных средств в сумме </w:t>
      </w:r>
      <w:r w:rsidRPr="00EF1770">
        <w:rPr>
          <w:b/>
          <w:sz w:val="28"/>
          <w:szCs w:val="28"/>
        </w:rPr>
        <w:t>3 822,5 тыс. руб.</w:t>
      </w:r>
      <w:r w:rsidRPr="00EF1770">
        <w:rPr>
          <w:sz w:val="28"/>
          <w:szCs w:val="28"/>
        </w:rPr>
        <w:t xml:space="preserve"> в соответствии с графиками платежей, установленными мировыми соглашениями или иными документами, в том числе:</w:t>
      </w:r>
    </w:p>
    <w:p w:rsidR="005D6ACF" w:rsidRPr="00EF1770" w:rsidRDefault="005D6ACF" w:rsidP="005D6ACF">
      <w:pPr>
        <w:widowControl w:val="0"/>
        <w:autoSpaceDE w:val="0"/>
        <w:autoSpaceDN w:val="0"/>
        <w:adjustRightInd w:val="0"/>
        <w:ind w:firstLine="709"/>
        <w:jc w:val="both"/>
        <w:rPr>
          <w:sz w:val="28"/>
          <w:szCs w:val="28"/>
        </w:rPr>
      </w:pPr>
      <w:r w:rsidRPr="00EF1770">
        <w:rPr>
          <w:sz w:val="28"/>
          <w:szCs w:val="28"/>
        </w:rPr>
        <w:t xml:space="preserve">- АО «Научно-реставрационный центр «Тверьпроектреставрация» </w:t>
      </w:r>
      <w:r w:rsidRPr="00EF1770">
        <w:rPr>
          <w:b/>
          <w:sz w:val="28"/>
          <w:szCs w:val="28"/>
        </w:rPr>
        <w:t>1 354,5 тыс. руб</w:t>
      </w:r>
      <w:r w:rsidRPr="00EF1770">
        <w:rPr>
          <w:sz w:val="28"/>
          <w:szCs w:val="28"/>
        </w:rPr>
        <w:t xml:space="preserve">. в соответствии с графиками, по решению Арбитражного суда Тверской области от 30.01.2018 по делу А66-12541/2016 (54,25*12 = 651,0 тыс. руб.), по определению Арбитражного суда Тверской области от 11.03.2020 по делу А66-7461/2019 (3,79*12= 45,5 тыс. руб.), по определению Арбитражного суда Тверской области от 26.02.2020 по делу А66-7462/2019 (54,83*12= 658,0 тыс. руб.); </w:t>
      </w:r>
    </w:p>
    <w:p w:rsidR="005D6ACF" w:rsidRPr="00EF1770" w:rsidRDefault="005D6ACF" w:rsidP="005D6ACF">
      <w:pPr>
        <w:widowControl w:val="0"/>
        <w:autoSpaceDE w:val="0"/>
        <w:autoSpaceDN w:val="0"/>
        <w:adjustRightInd w:val="0"/>
        <w:ind w:firstLine="709"/>
        <w:jc w:val="both"/>
        <w:rPr>
          <w:sz w:val="28"/>
          <w:szCs w:val="28"/>
        </w:rPr>
      </w:pPr>
      <w:r w:rsidRPr="00EF1770">
        <w:rPr>
          <w:sz w:val="28"/>
          <w:szCs w:val="28"/>
        </w:rPr>
        <w:t xml:space="preserve">- АО «Отель Оснабрюк» </w:t>
      </w:r>
      <w:r w:rsidRPr="00EF1770">
        <w:rPr>
          <w:b/>
          <w:sz w:val="28"/>
          <w:szCs w:val="28"/>
        </w:rPr>
        <w:t>856,8 тыс. руб</w:t>
      </w:r>
      <w:r w:rsidRPr="00EF1770">
        <w:rPr>
          <w:sz w:val="28"/>
          <w:szCs w:val="28"/>
        </w:rPr>
        <w:t>. по решению Арбитражного суда Тверской области от 12.04.2019 по делу А66-1945/2019, в соответствии с графиком (71,4*12= 856,8 тыс. руб.);</w:t>
      </w:r>
    </w:p>
    <w:p w:rsidR="005D6ACF" w:rsidRPr="00EF1770" w:rsidRDefault="005D6ACF" w:rsidP="005D6ACF">
      <w:pPr>
        <w:widowControl w:val="0"/>
        <w:autoSpaceDE w:val="0"/>
        <w:autoSpaceDN w:val="0"/>
        <w:adjustRightInd w:val="0"/>
        <w:ind w:firstLine="709"/>
        <w:jc w:val="both"/>
        <w:rPr>
          <w:sz w:val="28"/>
          <w:szCs w:val="28"/>
        </w:rPr>
      </w:pPr>
      <w:r w:rsidRPr="00EF1770">
        <w:rPr>
          <w:sz w:val="28"/>
          <w:szCs w:val="28"/>
        </w:rPr>
        <w:t xml:space="preserve">- поступление денежных средств в сумме </w:t>
      </w:r>
      <w:r w:rsidRPr="00EF1770">
        <w:rPr>
          <w:b/>
          <w:sz w:val="28"/>
          <w:szCs w:val="28"/>
        </w:rPr>
        <w:t xml:space="preserve">1 611,2 тыс. руб. </w:t>
      </w:r>
      <w:r w:rsidRPr="00EF1770">
        <w:rPr>
          <w:sz w:val="28"/>
          <w:szCs w:val="28"/>
        </w:rPr>
        <w:t>от ООО «Верхневолжское автотранспортное предприятие», в соответствии с соглашением отсрочке уплаты арендной платы в 2020 году.</w:t>
      </w:r>
    </w:p>
    <w:p w:rsidR="005D6ACF" w:rsidRPr="00EF1770" w:rsidRDefault="005D6ACF" w:rsidP="005D6ACF">
      <w:pPr>
        <w:widowControl w:val="0"/>
        <w:autoSpaceDE w:val="0"/>
        <w:autoSpaceDN w:val="0"/>
        <w:adjustRightInd w:val="0"/>
        <w:ind w:firstLine="709"/>
        <w:jc w:val="both"/>
        <w:rPr>
          <w:sz w:val="28"/>
          <w:szCs w:val="28"/>
        </w:rPr>
      </w:pPr>
      <w:r w:rsidRPr="00EF1770">
        <w:rPr>
          <w:b/>
          <w:sz w:val="28"/>
          <w:szCs w:val="28"/>
        </w:rPr>
        <w:t>В 2023 году</w:t>
      </w:r>
      <w:r w:rsidRPr="00EF1770">
        <w:rPr>
          <w:sz w:val="28"/>
          <w:szCs w:val="28"/>
        </w:rPr>
        <w:t xml:space="preserve"> планируется к погашению задолженность в сумме </w:t>
      </w:r>
      <w:r w:rsidRPr="00EF1770">
        <w:rPr>
          <w:b/>
          <w:sz w:val="28"/>
          <w:szCs w:val="28"/>
        </w:rPr>
        <w:t>5 757,6 тыс. руб.,</w:t>
      </w:r>
      <w:r w:rsidRPr="00EF1770">
        <w:rPr>
          <w:sz w:val="28"/>
          <w:szCs w:val="28"/>
        </w:rPr>
        <w:t xml:space="preserve"> в том числе:</w:t>
      </w:r>
    </w:p>
    <w:p w:rsidR="005D6ACF" w:rsidRPr="00EF1770" w:rsidRDefault="005D6ACF" w:rsidP="005D6ACF">
      <w:pPr>
        <w:widowControl w:val="0"/>
        <w:autoSpaceDE w:val="0"/>
        <w:autoSpaceDN w:val="0"/>
        <w:adjustRightInd w:val="0"/>
        <w:ind w:firstLine="709"/>
        <w:jc w:val="both"/>
        <w:rPr>
          <w:sz w:val="28"/>
          <w:szCs w:val="28"/>
        </w:rPr>
      </w:pPr>
      <w:r w:rsidRPr="00EF1770">
        <w:rPr>
          <w:sz w:val="28"/>
          <w:szCs w:val="28"/>
        </w:rPr>
        <w:t xml:space="preserve">а) средний размер поступлений за предшествующие три года в размере </w:t>
      </w:r>
      <w:r w:rsidRPr="00EF1770">
        <w:rPr>
          <w:b/>
          <w:sz w:val="28"/>
          <w:szCs w:val="28"/>
        </w:rPr>
        <w:t>4 128,8 тыс. руб</w:t>
      </w:r>
      <w:r w:rsidRPr="00EF1770">
        <w:rPr>
          <w:sz w:val="28"/>
          <w:szCs w:val="28"/>
        </w:rPr>
        <w:t>.;</w:t>
      </w:r>
    </w:p>
    <w:p w:rsidR="005D6ACF" w:rsidRPr="00EF1770" w:rsidRDefault="005D6ACF" w:rsidP="005D6ACF">
      <w:pPr>
        <w:widowControl w:val="0"/>
        <w:autoSpaceDE w:val="0"/>
        <w:autoSpaceDN w:val="0"/>
        <w:adjustRightInd w:val="0"/>
        <w:ind w:firstLine="709"/>
        <w:jc w:val="both"/>
        <w:rPr>
          <w:sz w:val="28"/>
          <w:szCs w:val="28"/>
        </w:rPr>
      </w:pPr>
      <w:r w:rsidRPr="00EF1770">
        <w:rPr>
          <w:sz w:val="28"/>
          <w:szCs w:val="28"/>
        </w:rPr>
        <w:t xml:space="preserve">б) поступлений денежных средств в сумме </w:t>
      </w:r>
      <w:r w:rsidRPr="00EF1770">
        <w:rPr>
          <w:b/>
          <w:sz w:val="28"/>
          <w:szCs w:val="28"/>
        </w:rPr>
        <w:t>1 628,8 тыс. руб.</w:t>
      </w:r>
      <w:r w:rsidRPr="00EF1770">
        <w:rPr>
          <w:sz w:val="28"/>
          <w:szCs w:val="28"/>
        </w:rPr>
        <w:t xml:space="preserve"> в соответствии с графиками платежей, установленными мировыми соглашениями или иными документами, в том числе:</w:t>
      </w:r>
    </w:p>
    <w:p w:rsidR="005D6ACF" w:rsidRPr="00EF1770" w:rsidRDefault="005D6ACF" w:rsidP="005D6ACF">
      <w:pPr>
        <w:widowControl w:val="0"/>
        <w:autoSpaceDE w:val="0"/>
        <w:autoSpaceDN w:val="0"/>
        <w:adjustRightInd w:val="0"/>
        <w:ind w:firstLine="709"/>
        <w:jc w:val="both"/>
        <w:rPr>
          <w:sz w:val="28"/>
          <w:szCs w:val="28"/>
        </w:rPr>
      </w:pPr>
      <w:r w:rsidRPr="00EF1770">
        <w:rPr>
          <w:sz w:val="28"/>
          <w:szCs w:val="28"/>
        </w:rPr>
        <w:t xml:space="preserve">- АО «Научно-реставрационный центр «Тверьпроектреставрация» </w:t>
      </w:r>
      <w:r w:rsidRPr="00EF1770">
        <w:rPr>
          <w:b/>
          <w:sz w:val="28"/>
          <w:szCs w:val="28"/>
        </w:rPr>
        <w:t>772,0 тыс. руб</w:t>
      </w:r>
      <w:r w:rsidRPr="00EF1770">
        <w:rPr>
          <w:sz w:val="28"/>
          <w:szCs w:val="28"/>
        </w:rPr>
        <w:t xml:space="preserve">. в соответствии с графиками, по решению Арбитражного суда Тверской области от 30.01.2018 по делу А66-12541/2016 (54,25*12 = 651,0 тыс. руб.), по определению Арбитражного суда Тверской области от 11.03.2020 по делу А66-7461/2019 (3,8*3= 11,4 тыс. руб.), по определению Арбитражного суда Тверской области от 26.02.2020 по делу А66-7462/2019 (54,8*2= 109,6 тыс. руб.); </w:t>
      </w:r>
    </w:p>
    <w:p w:rsidR="005D6ACF" w:rsidRPr="00EF1770" w:rsidRDefault="005D6ACF" w:rsidP="005D6ACF">
      <w:pPr>
        <w:widowControl w:val="0"/>
        <w:autoSpaceDE w:val="0"/>
        <w:autoSpaceDN w:val="0"/>
        <w:adjustRightInd w:val="0"/>
        <w:ind w:firstLine="709"/>
        <w:jc w:val="both"/>
        <w:rPr>
          <w:sz w:val="28"/>
          <w:szCs w:val="28"/>
        </w:rPr>
      </w:pPr>
      <w:r w:rsidRPr="00EF1770">
        <w:rPr>
          <w:sz w:val="28"/>
          <w:szCs w:val="28"/>
        </w:rPr>
        <w:t xml:space="preserve">- АО «Отель Оснабрюк» </w:t>
      </w:r>
      <w:r w:rsidRPr="00EF1770">
        <w:rPr>
          <w:b/>
          <w:sz w:val="28"/>
          <w:szCs w:val="28"/>
        </w:rPr>
        <w:t>856,8 тыс. руб</w:t>
      </w:r>
      <w:r w:rsidRPr="00EF1770">
        <w:rPr>
          <w:sz w:val="28"/>
          <w:szCs w:val="28"/>
        </w:rPr>
        <w:t>. по решению Арбитражного суда Тверской области от 12.04.2019 по делу А66-1945/2019, в соответствии с графиком (71,4*12= 856,8 тыс. руб.).</w:t>
      </w:r>
    </w:p>
    <w:p w:rsidR="005D6ACF" w:rsidRPr="00EF1770" w:rsidRDefault="005D6ACF" w:rsidP="005D6ACF">
      <w:pPr>
        <w:widowControl w:val="0"/>
        <w:autoSpaceDE w:val="0"/>
        <w:autoSpaceDN w:val="0"/>
        <w:adjustRightInd w:val="0"/>
        <w:ind w:firstLine="709"/>
        <w:jc w:val="both"/>
        <w:rPr>
          <w:sz w:val="28"/>
          <w:szCs w:val="28"/>
        </w:rPr>
      </w:pPr>
      <w:r w:rsidRPr="00EF1770">
        <w:rPr>
          <w:b/>
          <w:sz w:val="28"/>
          <w:szCs w:val="28"/>
        </w:rPr>
        <w:t>В 2024 году</w:t>
      </w:r>
      <w:r w:rsidRPr="00EF1770">
        <w:rPr>
          <w:sz w:val="28"/>
          <w:szCs w:val="28"/>
        </w:rPr>
        <w:t xml:space="preserve"> планируется к погашению задолженность в сумме </w:t>
      </w:r>
      <w:r w:rsidRPr="00EF1770">
        <w:rPr>
          <w:b/>
          <w:sz w:val="28"/>
          <w:szCs w:val="28"/>
        </w:rPr>
        <w:t>4 995,4 тыс. руб.,</w:t>
      </w:r>
      <w:r w:rsidRPr="00EF1770">
        <w:rPr>
          <w:sz w:val="28"/>
          <w:szCs w:val="28"/>
        </w:rPr>
        <w:t xml:space="preserve"> в том числе:</w:t>
      </w:r>
    </w:p>
    <w:p w:rsidR="005D6ACF" w:rsidRPr="00EF1770" w:rsidRDefault="005D6ACF" w:rsidP="005D6ACF">
      <w:pPr>
        <w:widowControl w:val="0"/>
        <w:autoSpaceDE w:val="0"/>
        <w:autoSpaceDN w:val="0"/>
        <w:adjustRightInd w:val="0"/>
        <w:ind w:firstLine="709"/>
        <w:jc w:val="both"/>
        <w:rPr>
          <w:sz w:val="28"/>
          <w:szCs w:val="28"/>
        </w:rPr>
      </w:pPr>
      <w:r w:rsidRPr="00EF1770">
        <w:rPr>
          <w:sz w:val="28"/>
          <w:szCs w:val="28"/>
        </w:rPr>
        <w:t xml:space="preserve">а) средний размер поступлений за предшествующие три года в размере </w:t>
      </w:r>
      <w:r w:rsidRPr="00EF1770">
        <w:rPr>
          <w:b/>
          <w:sz w:val="28"/>
          <w:szCs w:val="28"/>
        </w:rPr>
        <w:t>4 128,8 тыс. руб</w:t>
      </w:r>
      <w:r w:rsidRPr="00EF1770">
        <w:rPr>
          <w:sz w:val="28"/>
          <w:szCs w:val="28"/>
        </w:rPr>
        <w:t>.;</w:t>
      </w:r>
    </w:p>
    <w:p w:rsidR="005D6ACF" w:rsidRPr="00EF1770" w:rsidRDefault="005D6ACF" w:rsidP="005D6ACF">
      <w:pPr>
        <w:widowControl w:val="0"/>
        <w:autoSpaceDE w:val="0"/>
        <w:autoSpaceDN w:val="0"/>
        <w:adjustRightInd w:val="0"/>
        <w:ind w:firstLine="709"/>
        <w:jc w:val="both"/>
        <w:rPr>
          <w:sz w:val="28"/>
          <w:szCs w:val="28"/>
        </w:rPr>
      </w:pPr>
      <w:r w:rsidRPr="00EF1770">
        <w:rPr>
          <w:sz w:val="28"/>
          <w:szCs w:val="28"/>
        </w:rPr>
        <w:t xml:space="preserve">б) поступлений денежных средств в сумме </w:t>
      </w:r>
      <w:r w:rsidRPr="00EF1770">
        <w:rPr>
          <w:b/>
          <w:sz w:val="28"/>
          <w:szCs w:val="28"/>
        </w:rPr>
        <w:t>866,6 тыс. руб.</w:t>
      </w:r>
      <w:r w:rsidRPr="00EF1770">
        <w:rPr>
          <w:sz w:val="28"/>
          <w:szCs w:val="28"/>
        </w:rPr>
        <w:t xml:space="preserve"> в </w:t>
      </w:r>
      <w:r w:rsidRPr="00EF1770">
        <w:rPr>
          <w:sz w:val="28"/>
          <w:szCs w:val="28"/>
        </w:rPr>
        <w:lastRenderedPageBreak/>
        <w:t>соответствии с графиками платежей, установленными мировыми соглашениями или иными документами, в том числе:</w:t>
      </w:r>
    </w:p>
    <w:p w:rsidR="005D6ACF" w:rsidRPr="00EF1770" w:rsidRDefault="005D6ACF" w:rsidP="005D6ACF">
      <w:pPr>
        <w:widowControl w:val="0"/>
        <w:autoSpaceDE w:val="0"/>
        <w:autoSpaceDN w:val="0"/>
        <w:adjustRightInd w:val="0"/>
        <w:ind w:firstLine="709"/>
        <w:jc w:val="both"/>
        <w:rPr>
          <w:sz w:val="28"/>
          <w:szCs w:val="28"/>
        </w:rPr>
      </w:pPr>
      <w:r w:rsidRPr="00EF1770">
        <w:rPr>
          <w:sz w:val="28"/>
          <w:szCs w:val="28"/>
        </w:rPr>
        <w:t xml:space="preserve">- АО «Научно-реставрационный центр «Тверьпроектреставрация» </w:t>
      </w:r>
      <w:r w:rsidRPr="00EF1770">
        <w:rPr>
          <w:b/>
          <w:sz w:val="28"/>
          <w:szCs w:val="28"/>
        </w:rPr>
        <w:t>651,0 тыс. руб</w:t>
      </w:r>
      <w:r w:rsidRPr="00EF1770">
        <w:rPr>
          <w:sz w:val="28"/>
          <w:szCs w:val="28"/>
        </w:rPr>
        <w:t xml:space="preserve">. в соответствии с графиками, по решению Арбитражного суда Тверской области от 30.01.2018 по делу А66-12541/2016 (54,25*12 = 651,0 тыс. руб.); </w:t>
      </w:r>
    </w:p>
    <w:p w:rsidR="005D6ACF" w:rsidRDefault="005D6ACF" w:rsidP="005D6ACF">
      <w:pPr>
        <w:widowControl w:val="0"/>
        <w:autoSpaceDE w:val="0"/>
        <w:autoSpaceDN w:val="0"/>
        <w:adjustRightInd w:val="0"/>
        <w:ind w:firstLine="709"/>
        <w:jc w:val="both"/>
        <w:rPr>
          <w:sz w:val="28"/>
          <w:szCs w:val="28"/>
        </w:rPr>
      </w:pPr>
      <w:r w:rsidRPr="00EF1770">
        <w:rPr>
          <w:sz w:val="28"/>
          <w:szCs w:val="28"/>
        </w:rPr>
        <w:t xml:space="preserve">- АО «Отель Оснабрюк» </w:t>
      </w:r>
      <w:r w:rsidRPr="00EF1770">
        <w:rPr>
          <w:b/>
          <w:sz w:val="28"/>
          <w:szCs w:val="28"/>
        </w:rPr>
        <w:t>215,6 тыс. руб</w:t>
      </w:r>
      <w:r w:rsidRPr="00EF1770">
        <w:rPr>
          <w:sz w:val="28"/>
          <w:szCs w:val="28"/>
        </w:rPr>
        <w:t>. по решению Арбитражного суда Тверской области от 12.04.2019 по делу А66-1945/2019, в соответствии с графиком (71,86*3= 215,6 тыс. руб.).</w:t>
      </w:r>
    </w:p>
    <w:p w:rsidR="005C0378" w:rsidRPr="00EF1770" w:rsidRDefault="005C0378" w:rsidP="005D6ACF">
      <w:pPr>
        <w:widowControl w:val="0"/>
        <w:autoSpaceDE w:val="0"/>
        <w:autoSpaceDN w:val="0"/>
        <w:adjustRightInd w:val="0"/>
        <w:ind w:firstLine="709"/>
        <w:jc w:val="both"/>
        <w:rPr>
          <w:sz w:val="28"/>
          <w:szCs w:val="28"/>
        </w:rPr>
      </w:pPr>
    </w:p>
    <w:p w:rsidR="005D6ACF" w:rsidRPr="005C0378" w:rsidRDefault="005D6ACF" w:rsidP="005D6ACF">
      <w:pPr>
        <w:pStyle w:val="a7"/>
        <w:jc w:val="center"/>
        <w:rPr>
          <w:b/>
          <w:bCs/>
          <w:sz w:val="28"/>
          <w:szCs w:val="28"/>
        </w:rPr>
      </w:pPr>
      <w:r w:rsidRPr="005C0378">
        <w:rPr>
          <w:b/>
          <w:bCs/>
          <w:sz w:val="28"/>
          <w:szCs w:val="28"/>
        </w:rPr>
        <w:t>Плата от реализации соглашений об установлении сервитутов в отношении земельных участков в границах полос отвода автомобильных дорог общего пользования регионального или межмуниципального значения в целях строительства (реконструкции), капитального ремонта и эксплуатации объектов дорожного сервиса, прокладки, переноса, переустройства и эксплуатации инженерных коммуникаций, установки и эксплуатации рекламных конструкций</w:t>
      </w:r>
    </w:p>
    <w:p w:rsidR="005D6ACF" w:rsidRPr="005C0378" w:rsidRDefault="005D6ACF" w:rsidP="005D6ACF">
      <w:pPr>
        <w:pStyle w:val="a7"/>
        <w:jc w:val="center"/>
        <w:rPr>
          <w:b/>
          <w:bCs/>
          <w:sz w:val="28"/>
          <w:szCs w:val="28"/>
        </w:rPr>
      </w:pPr>
      <w:r w:rsidRPr="005C0378">
        <w:rPr>
          <w:b/>
          <w:bCs/>
          <w:sz w:val="28"/>
          <w:szCs w:val="28"/>
        </w:rPr>
        <w:t>(104 1 11 05100 02 0000 120)</w:t>
      </w:r>
    </w:p>
    <w:p w:rsidR="005D6ACF" w:rsidRPr="005C0378" w:rsidRDefault="005D6ACF" w:rsidP="005D6ACF">
      <w:pPr>
        <w:pStyle w:val="a7"/>
        <w:jc w:val="center"/>
        <w:rPr>
          <w:b/>
          <w:bCs/>
          <w:sz w:val="28"/>
          <w:szCs w:val="28"/>
        </w:rPr>
      </w:pPr>
    </w:p>
    <w:p w:rsidR="005D6ACF" w:rsidRPr="005C0378" w:rsidRDefault="005D6ACF" w:rsidP="00891F48">
      <w:pPr>
        <w:pStyle w:val="a7"/>
        <w:spacing w:after="0"/>
        <w:ind w:left="0" w:firstLine="709"/>
        <w:jc w:val="both"/>
        <w:rPr>
          <w:sz w:val="28"/>
          <w:szCs w:val="28"/>
        </w:rPr>
      </w:pPr>
      <w:r w:rsidRPr="005C0378">
        <w:rPr>
          <w:sz w:val="28"/>
          <w:szCs w:val="28"/>
        </w:rPr>
        <w:t>Поступление платы от реализации соглашений об установлении</w:t>
      </w:r>
      <w:r w:rsidR="00891F48">
        <w:rPr>
          <w:sz w:val="28"/>
          <w:szCs w:val="28"/>
        </w:rPr>
        <w:t xml:space="preserve"> </w:t>
      </w:r>
      <w:r w:rsidRPr="005C0378">
        <w:rPr>
          <w:sz w:val="28"/>
          <w:szCs w:val="28"/>
        </w:rPr>
        <w:t>сервитутов в отношении земельных участков в границах полос отвода автомобильных дорог общего пользования регионального или межмуниципального значения в целях строительства (реконструкции), капитального ремонта и эксплуатации объектов дорожного сервиса, прокладки, переноса, переустройства и эксплуатации инженерных коммуникаций, установки и эксплуатации рекламных конструкций (далее –плата) в областной бюджет Тверской области на 2022 - 2024 годы прогнозируется по 149,6 тыс. руб.</w:t>
      </w:r>
      <w:r w:rsidR="00BA003A">
        <w:rPr>
          <w:sz w:val="28"/>
          <w:szCs w:val="28"/>
        </w:rPr>
        <w:t xml:space="preserve"> ежегодно.</w:t>
      </w:r>
    </w:p>
    <w:p w:rsidR="005D6ACF" w:rsidRDefault="005D6ACF" w:rsidP="00891F48">
      <w:pPr>
        <w:autoSpaceDE w:val="0"/>
        <w:autoSpaceDN w:val="0"/>
        <w:adjustRightInd w:val="0"/>
        <w:ind w:firstLine="709"/>
        <w:jc w:val="both"/>
        <w:rPr>
          <w:bCs/>
          <w:sz w:val="28"/>
          <w:szCs w:val="28"/>
        </w:rPr>
      </w:pPr>
      <w:r w:rsidRPr="005C0378">
        <w:rPr>
          <w:sz w:val="28"/>
          <w:szCs w:val="28"/>
        </w:rPr>
        <w:t>Заключение соглашений об установлении сервитутов в отношении земельных участков в границах полос отвода автомобильных дорог общего пользования регионального или межмуниципального значения в целях</w:t>
      </w:r>
      <w:r w:rsidRPr="00694379">
        <w:rPr>
          <w:bCs/>
          <w:sz w:val="28"/>
          <w:szCs w:val="28"/>
        </w:rPr>
        <w:t xml:space="preserve"> строительства (реконструкции), капитального ремонта и эксплуатации объектов дорожного сервиса, прокладки, переноса, переустройства и эксплуатации инженерных коммуникаций, установки и эксплуатации рекламных конструкций</w:t>
      </w:r>
      <w:r>
        <w:rPr>
          <w:bCs/>
          <w:sz w:val="28"/>
          <w:szCs w:val="28"/>
        </w:rPr>
        <w:t xml:space="preserve"> носит заявительный характер.</w:t>
      </w:r>
    </w:p>
    <w:p w:rsidR="005D6ACF" w:rsidRDefault="005D6ACF" w:rsidP="00891F48">
      <w:pPr>
        <w:autoSpaceDE w:val="0"/>
        <w:autoSpaceDN w:val="0"/>
        <w:adjustRightInd w:val="0"/>
        <w:ind w:firstLine="680"/>
        <w:jc w:val="both"/>
        <w:rPr>
          <w:sz w:val="28"/>
          <w:szCs w:val="28"/>
        </w:rPr>
      </w:pPr>
      <w:r w:rsidRPr="007417C3">
        <w:rPr>
          <w:sz w:val="28"/>
          <w:szCs w:val="28"/>
        </w:rPr>
        <w:t xml:space="preserve">Прогноз </w:t>
      </w:r>
      <w:r>
        <w:rPr>
          <w:sz w:val="28"/>
          <w:szCs w:val="28"/>
        </w:rPr>
        <w:t xml:space="preserve">на 2022 - 2024 годы </w:t>
      </w:r>
      <w:r w:rsidRPr="007417C3">
        <w:rPr>
          <w:sz w:val="28"/>
          <w:szCs w:val="28"/>
        </w:rPr>
        <w:t xml:space="preserve">рассчитан Министерством транспорта Тверской области </w:t>
      </w:r>
      <w:r>
        <w:rPr>
          <w:sz w:val="28"/>
          <w:szCs w:val="28"/>
        </w:rPr>
        <w:t>на уровне оценки поступления платы в 2021 году в сумме 149,6 тыс. руб., определенной исходя из поступления платы по состоянию на 01.06.2021 в сумме 0,6 тыс. руб. и планируемой суммы</w:t>
      </w:r>
      <w:r w:rsidRPr="001E26F3">
        <w:rPr>
          <w:sz w:val="28"/>
          <w:szCs w:val="28"/>
        </w:rPr>
        <w:t xml:space="preserve"> поступлений</w:t>
      </w:r>
      <w:r>
        <w:rPr>
          <w:sz w:val="28"/>
          <w:szCs w:val="28"/>
        </w:rPr>
        <w:t xml:space="preserve"> с 01.06.2021 по 31.12.2021 по заключенному соглашению </w:t>
      </w:r>
      <w:r w:rsidRPr="009614A5">
        <w:rPr>
          <w:sz w:val="28"/>
          <w:szCs w:val="28"/>
        </w:rPr>
        <w:t>об установлении публичного сервитута</w:t>
      </w:r>
      <w:r w:rsidRPr="00B90ED1">
        <w:rPr>
          <w:sz w:val="28"/>
          <w:szCs w:val="28"/>
        </w:rPr>
        <w:t>,</w:t>
      </w:r>
      <w:r>
        <w:rPr>
          <w:sz w:val="28"/>
          <w:szCs w:val="28"/>
        </w:rPr>
        <w:t xml:space="preserve"> с платой </w:t>
      </w:r>
      <w:r w:rsidRPr="00B90ED1">
        <w:rPr>
          <w:sz w:val="28"/>
          <w:szCs w:val="28"/>
        </w:rPr>
        <w:t xml:space="preserve">за </w:t>
      </w:r>
      <w:r w:rsidRPr="009614A5">
        <w:rPr>
          <w:sz w:val="28"/>
          <w:szCs w:val="28"/>
        </w:rPr>
        <w:t>сервитут</w:t>
      </w:r>
      <w:r>
        <w:rPr>
          <w:sz w:val="28"/>
          <w:szCs w:val="28"/>
        </w:rPr>
        <w:t>,</w:t>
      </w:r>
      <w:r w:rsidRPr="009614A5">
        <w:rPr>
          <w:sz w:val="28"/>
          <w:szCs w:val="28"/>
        </w:rPr>
        <w:t xml:space="preserve"> </w:t>
      </w:r>
      <w:r>
        <w:rPr>
          <w:sz w:val="28"/>
          <w:szCs w:val="28"/>
        </w:rPr>
        <w:t xml:space="preserve">определенной </w:t>
      </w:r>
      <w:r w:rsidRPr="009614A5">
        <w:rPr>
          <w:sz w:val="28"/>
          <w:szCs w:val="28"/>
        </w:rPr>
        <w:t xml:space="preserve">на основании Приказа Министерства транспорта Российской Федерации от 05.09.2014 </w:t>
      </w:r>
      <w:r>
        <w:rPr>
          <w:sz w:val="28"/>
          <w:szCs w:val="28"/>
        </w:rPr>
        <w:t xml:space="preserve">       </w:t>
      </w:r>
      <w:r w:rsidRPr="009614A5">
        <w:rPr>
          <w:sz w:val="28"/>
          <w:szCs w:val="28"/>
        </w:rPr>
        <w:t xml:space="preserve">№ 240 «Об утверждении Порядка определения платы за публичный сервитут </w:t>
      </w:r>
      <w:r w:rsidRPr="009614A5">
        <w:rPr>
          <w:sz w:val="28"/>
          <w:szCs w:val="28"/>
        </w:rPr>
        <w:lastRenderedPageBreak/>
        <w:t>в отношении земельных участков в границах полос отвода автомобильных дорог (за исключением частных автомоби</w:t>
      </w:r>
      <w:r>
        <w:rPr>
          <w:sz w:val="28"/>
          <w:szCs w:val="28"/>
        </w:rPr>
        <w:t>льных дорог) в целях прокладки,</w:t>
      </w:r>
      <w:r w:rsidRPr="009614A5">
        <w:rPr>
          <w:sz w:val="28"/>
          <w:szCs w:val="28"/>
        </w:rPr>
        <w:t xml:space="preserve"> переноса, переустройства инженерных коммуник</w:t>
      </w:r>
      <w:r>
        <w:rPr>
          <w:sz w:val="28"/>
          <w:szCs w:val="28"/>
        </w:rPr>
        <w:t>аций и их эксплуатации», в размере 149,0 тыс. руб.</w:t>
      </w:r>
      <w:r w:rsidRPr="002B5ADD">
        <w:rPr>
          <w:sz w:val="28"/>
          <w:szCs w:val="28"/>
        </w:rPr>
        <w:t xml:space="preserve"> </w:t>
      </w:r>
      <w:r>
        <w:rPr>
          <w:sz w:val="28"/>
          <w:szCs w:val="28"/>
        </w:rPr>
        <w:t>(с учетом округления).</w:t>
      </w:r>
    </w:p>
    <w:p w:rsidR="00891F48" w:rsidRDefault="00891F48" w:rsidP="00891F48">
      <w:pPr>
        <w:autoSpaceDE w:val="0"/>
        <w:autoSpaceDN w:val="0"/>
        <w:adjustRightInd w:val="0"/>
        <w:ind w:firstLine="680"/>
        <w:jc w:val="both"/>
        <w:rPr>
          <w:sz w:val="28"/>
          <w:szCs w:val="28"/>
        </w:rPr>
      </w:pPr>
    </w:p>
    <w:p w:rsidR="005D6ACF" w:rsidRDefault="005D6ACF" w:rsidP="005D6ACF">
      <w:pPr>
        <w:pStyle w:val="a4"/>
        <w:spacing w:after="0"/>
        <w:rPr>
          <w:sz w:val="16"/>
          <w:szCs w:val="16"/>
        </w:rPr>
      </w:pPr>
    </w:p>
    <w:p w:rsidR="005D6ACF" w:rsidRDefault="005D6ACF" w:rsidP="00891F48">
      <w:pPr>
        <w:ind w:firstLine="720"/>
        <w:jc w:val="center"/>
        <w:rPr>
          <w:b/>
          <w:sz w:val="28"/>
          <w:szCs w:val="28"/>
        </w:rPr>
      </w:pPr>
      <w:r w:rsidRPr="00AA39F5">
        <w:rPr>
          <w:b/>
          <w:sz w:val="28"/>
          <w:szCs w:val="28"/>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суб</w:t>
      </w:r>
      <w:r>
        <w:rPr>
          <w:b/>
          <w:sz w:val="28"/>
          <w:szCs w:val="28"/>
        </w:rPr>
        <w:t>ъектов Российской Федерации (000</w:t>
      </w:r>
      <w:r w:rsidRPr="00AA39F5">
        <w:rPr>
          <w:b/>
          <w:sz w:val="28"/>
          <w:szCs w:val="28"/>
        </w:rPr>
        <w:t xml:space="preserve"> 1 11 05322 02 0000 120)</w:t>
      </w:r>
    </w:p>
    <w:p w:rsidR="00891F48" w:rsidRPr="00AA39F5" w:rsidRDefault="00891F48" w:rsidP="00891F48">
      <w:pPr>
        <w:ind w:firstLine="720"/>
        <w:jc w:val="center"/>
        <w:rPr>
          <w:b/>
          <w:sz w:val="28"/>
          <w:szCs w:val="28"/>
        </w:rPr>
      </w:pPr>
    </w:p>
    <w:p w:rsidR="005D6ACF" w:rsidRPr="0037356B" w:rsidRDefault="005D6ACF" w:rsidP="005D6ACF">
      <w:pPr>
        <w:ind w:firstLine="709"/>
        <w:jc w:val="both"/>
        <w:rPr>
          <w:sz w:val="28"/>
          <w:szCs w:val="28"/>
        </w:rPr>
      </w:pPr>
      <w:r w:rsidRPr="00AA39F5">
        <w:rPr>
          <w:sz w:val="28"/>
          <w:szCs w:val="28"/>
        </w:rPr>
        <w:t>Поступление платы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субъектов Российской Федерации</w:t>
      </w:r>
      <w:r>
        <w:rPr>
          <w:sz w:val="28"/>
          <w:szCs w:val="28"/>
        </w:rPr>
        <w:t xml:space="preserve"> (далее – плата)</w:t>
      </w:r>
      <w:r w:rsidRPr="00AA39F5">
        <w:rPr>
          <w:sz w:val="28"/>
          <w:szCs w:val="28"/>
        </w:rPr>
        <w:t xml:space="preserve"> в областной бюджет Тверской области прогнозируется </w:t>
      </w:r>
      <w:r>
        <w:rPr>
          <w:b/>
          <w:sz w:val="28"/>
          <w:szCs w:val="28"/>
        </w:rPr>
        <w:t>на 2022 год в сумме 77,6</w:t>
      </w:r>
      <w:r w:rsidRPr="0037356B">
        <w:rPr>
          <w:b/>
          <w:sz w:val="28"/>
          <w:szCs w:val="28"/>
        </w:rPr>
        <w:t xml:space="preserve"> ты</w:t>
      </w:r>
      <w:r>
        <w:rPr>
          <w:b/>
          <w:sz w:val="28"/>
          <w:szCs w:val="28"/>
        </w:rPr>
        <w:t>с. руб., на 2023 год в сумме 58,5</w:t>
      </w:r>
      <w:r w:rsidRPr="0037356B">
        <w:rPr>
          <w:b/>
          <w:sz w:val="28"/>
          <w:szCs w:val="28"/>
        </w:rPr>
        <w:t xml:space="preserve"> тыс</w:t>
      </w:r>
      <w:r>
        <w:rPr>
          <w:b/>
          <w:sz w:val="28"/>
          <w:szCs w:val="28"/>
        </w:rPr>
        <w:t xml:space="preserve">. руб., на 2024 год 0 </w:t>
      </w:r>
      <w:r w:rsidRPr="0037356B">
        <w:rPr>
          <w:b/>
          <w:sz w:val="28"/>
          <w:szCs w:val="28"/>
        </w:rPr>
        <w:t>тыс. руб.</w:t>
      </w:r>
    </w:p>
    <w:p w:rsidR="005D6ACF" w:rsidRDefault="005D6ACF" w:rsidP="005D6ACF">
      <w:pPr>
        <w:pStyle w:val="21"/>
      </w:pPr>
      <w:r w:rsidRPr="00AA39F5">
        <w:t>В соответствии со статьей 39.26 Земельного кодекса Российской</w:t>
      </w:r>
      <w:r w:rsidR="007F04F5">
        <w:t xml:space="preserve"> Федерации заключение соглашений</w:t>
      </w:r>
      <w:r w:rsidRPr="00AA39F5">
        <w:t xml:space="preserve"> об установлении сервитута, </w:t>
      </w:r>
      <w:r w:rsidR="007F04F5">
        <w:t xml:space="preserve">в отношении земельных участков, </w:t>
      </w:r>
      <w:r w:rsidRPr="00AA39F5">
        <w:t>находящихся в государственной или муниципальной собственности, и земельных участков, находящихся в частной собственности, осуществляется в заявительном порядке.</w:t>
      </w:r>
    </w:p>
    <w:p w:rsidR="005D6ACF" w:rsidRDefault="005D6ACF" w:rsidP="005D6ACF">
      <w:pPr>
        <w:jc w:val="both"/>
        <w:rPr>
          <w:bCs/>
          <w:sz w:val="28"/>
          <w:szCs w:val="28"/>
        </w:rPr>
      </w:pPr>
      <w:r>
        <w:rPr>
          <w:bCs/>
          <w:sz w:val="28"/>
          <w:szCs w:val="28"/>
        </w:rPr>
        <w:t xml:space="preserve">         </w:t>
      </w:r>
      <w:r w:rsidRPr="009F3E2E">
        <w:rPr>
          <w:bCs/>
          <w:sz w:val="28"/>
          <w:szCs w:val="28"/>
        </w:rPr>
        <w:t>Главным</w:t>
      </w:r>
      <w:r>
        <w:rPr>
          <w:bCs/>
          <w:sz w:val="28"/>
          <w:szCs w:val="28"/>
        </w:rPr>
        <w:t>и администратора</w:t>
      </w:r>
      <w:r w:rsidRPr="009F3E2E">
        <w:rPr>
          <w:bCs/>
          <w:sz w:val="28"/>
          <w:szCs w:val="28"/>
        </w:rPr>
        <w:t>м</w:t>
      </w:r>
      <w:r>
        <w:rPr>
          <w:bCs/>
          <w:sz w:val="28"/>
          <w:szCs w:val="28"/>
        </w:rPr>
        <w:t>и</w:t>
      </w:r>
      <w:r w:rsidRPr="009F3E2E">
        <w:rPr>
          <w:bCs/>
          <w:sz w:val="28"/>
          <w:szCs w:val="28"/>
        </w:rPr>
        <w:t xml:space="preserve"> д</w:t>
      </w:r>
      <w:r>
        <w:rPr>
          <w:bCs/>
          <w:sz w:val="28"/>
          <w:szCs w:val="28"/>
        </w:rPr>
        <w:t>анного доходного источника являю</w:t>
      </w:r>
      <w:r w:rsidRPr="009F3E2E">
        <w:rPr>
          <w:bCs/>
          <w:sz w:val="28"/>
          <w:szCs w:val="28"/>
        </w:rPr>
        <w:t>тся Министерство имущественных и земел</w:t>
      </w:r>
      <w:r>
        <w:rPr>
          <w:bCs/>
          <w:sz w:val="28"/>
          <w:szCs w:val="28"/>
        </w:rPr>
        <w:t>ьных отношений Тверской области и Министерство транспорта Тверской области.</w:t>
      </w:r>
    </w:p>
    <w:p w:rsidR="005D6ACF" w:rsidRPr="00B62B44" w:rsidRDefault="005D6ACF" w:rsidP="005D6ACF">
      <w:pPr>
        <w:jc w:val="both"/>
        <w:rPr>
          <w:sz w:val="28"/>
          <w:szCs w:val="28"/>
        </w:rPr>
      </w:pPr>
    </w:p>
    <w:p w:rsidR="005D6ACF" w:rsidRDefault="005D6ACF" w:rsidP="005D6ACF">
      <w:pPr>
        <w:pStyle w:val="21"/>
        <w:jc w:val="center"/>
        <w:rPr>
          <w:b/>
        </w:rPr>
      </w:pPr>
      <w:r w:rsidRPr="00180349">
        <w:rPr>
          <w:b/>
        </w:rPr>
        <w:t>Министерство имущественных и земельных отношений Тверской области</w:t>
      </w:r>
    </w:p>
    <w:p w:rsidR="005D6ACF" w:rsidRDefault="005D6ACF" w:rsidP="005D6ACF">
      <w:pPr>
        <w:pStyle w:val="21"/>
        <w:jc w:val="center"/>
        <w:rPr>
          <w:b/>
        </w:rPr>
      </w:pPr>
    </w:p>
    <w:p w:rsidR="005D6ACF" w:rsidRDefault="005D6ACF" w:rsidP="005D6ACF">
      <w:pPr>
        <w:pStyle w:val="ConsPlusNormal"/>
        <w:ind w:firstLine="709"/>
        <w:jc w:val="both"/>
        <w:rPr>
          <w:rFonts w:ascii="Times New Roman" w:hAnsi="Times New Roman" w:cs="Times New Roman"/>
          <w:sz w:val="28"/>
          <w:szCs w:val="28"/>
        </w:rPr>
      </w:pPr>
      <w:r w:rsidRPr="007E690E">
        <w:rPr>
          <w:rFonts w:ascii="Times New Roman" w:hAnsi="Times New Roman" w:cs="Times New Roman"/>
          <w:bCs/>
          <w:sz w:val="28"/>
          <w:szCs w:val="28"/>
        </w:rPr>
        <w:t xml:space="preserve">В соответствии с Приказом Министерства </w:t>
      </w:r>
      <w:r>
        <w:rPr>
          <w:rFonts w:ascii="Times New Roman" w:hAnsi="Times New Roman" w:cs="Times New Roman"/>
          <w:bCs/>
          <w:sz w:val="28"/>
          <w:szCs w:val="28"/>
        </w:rPr>
        <w:t xml:space="preserve">имущественных и земельных отношений </w:t>
      </w:r>
      <w:r w:rsidRPr="007E690E">
        <w:rPr>
          <w:rFonts w:ascii="Times New Roman" w:hAnsi="Times New Roman" w:cs="Times New Roman"/>
          <w:bCs/>
          <w:sz w:val="28"/>
          <w:szCs w:val="28"/>
        </w:rPr>
        <w:t xml:space="preserve">Тверской области от </w:t>
      </w:r>
      <w:r>
        <w:rPr>
          <w:rFonts w:ascii="Times New Roman" w:hAnsi="Times New Roman" w:cs="Times New Roman"/>
          <w:bCs/>
          <w:sz w:val="28"/>
          <w:szCs w:val="28"/>
        </w:rPr>
        <w:t xml:space="preserve">17.10.2019 № 103 «О методике прогнозирования поступлений неналоговых доходов в бюджет Тверской области, главным администратором которых является Министерство имущественных и земельных отношений </w:t>
      </w:r>
      <w:r w:rsidRPr="007E690E">
        <w:rPr>
          <w:rFonts w:ascii="Times New Roman" w:hAnsi="Times New Roman" w:cs="Times New Roman"/>
          <w:bCs/>
          <w:sz w:val="28"/>
          <w:szCs w:val="28"/>
        </w:rPr>
        <w:t>Тверской области</w:t>
      </w:r>
      <w:r w:rsidRPr="005E4CEC">
        <w:rPr>
          <w:rFonts w:ascii="Times New Roman" w:hAnsi="Times New Roman" w:cs="Times New Roman"/>
          <w:bCs/>
          <w:sz w:val="28"/>
          <w:szCs w:val="28"/>
        </w:rPr>
        <w:t>»</w:t>
      </w:r>
      <w:r w:rsidR="00BC264D">
        <w:rPr>
          <w:rFonts w:ascii="Times New Roman" w:hAnsi="Times New Roman" w:cs="Times New Roman"/>
          <w:bCs/>
          <w:sz w:val="28"/>
          <w:szCs w:val="28"/>
        </w:rPr>
        <w:t>,</w:t>
      </w:r>
      <w:r w:rsidRPr="005E4CEC">
        <w:rPr>
          <w:rFonts w:ascii="Times New Roman" w:hAnsi="Times New Roman" w:cs="Times New Roman"/>
          <w:bCs/>
          <w:sz w:val="28"/>
          <w:szCs w:val="28"/>
        </w:rPr>
        <w:t xml:space="preserve"> </w:t>
      </w:r>
      <w:r w:rsidRPr="005E4CEC">
        <w:rPr>
          <w:rFonts w:ascii="Times New Roman" w:hAnsi="Times New Roman"/>
          <w:sz w:val="28"/>
          <w:szCs w:val="28"/>
        </w:rPr>
        <w:t>рас</w:t>
      </w:r>
      <w:r>
        <w:rPr>
          <w:rFonts w:ascii="Times New Roman" w:hAnsi="Times New Roman"/>
          <w:sz w:val="28"/>
          <w:szCs w:val="28"/>
        </w:rPr>
        <w:t>чет</w:t>
      </w:r>
      <w:r w:rsidRPr="005E4CEC">
        <w:rPr>
          <w:rFonts w:ascii="Times New Roman" w:hAnsi="Times New Roman"/>
          <w:sz w:val="28"/>
          <w:szCs w:val="28"/>
        </w:rPr>
        <w:t xml:space="preserve"> прогноза</w:t>
      </w:r>
      <w:r>
        <w:rPr>
          <w:rFonts w:ascii="Times New Roman" w:hAnsi="Times New Roman"/>
          <w:sz w:val="28"/>
          <w:szCs w:val="28"/>
        </w:rPr>
        <w:t xml:space="preserve"> поступлений платы осуществлен </w:t>
      </w:r>
      <w:r w:rsidRPr="005E4CEC">
        <w:rPr>
          <w:rFonts w:ascii="Times New Roman" w:hAnsi="Times New Roman"/>
          <w:sz w:val="28"/>
          <w:szCs w:val="28"/>
        </w:rPr>
        <w:t xml:space="preserve">Министерством имущественных и </w:t>
      </w:r>
      <w:r w:rsidRPr="00AA39F5">
        <w:rPr>
          <w:rFonts w:ascii="Times New Roman" w:hAnsi="Times New Roman"/>
          <w:sz w:val="28"/>
          <w:szCs w:val="28"/>
        </w:rPr>
        <w:t xml:space="preserve">земельных отношений Тверской области исходя из </w:t>
      </w:r>
      <w:r w:rsidRPr="00AA39F5">
        <w:rPr>
          <w:rFonts w:ascii="Times New Roman" w:hAnsi="Times New Roman" w:cs="Times New Roman"/>
          <w:sz w:val="28"/>
          <w:szCs w:val="28"/>
        </w:rPr>
        <w:t>количества заключенных и планируемых к заключению соглашений об установлении сервитута в отношении земельных участков, находящихся в государственной собственности Тверской области, размера платы за право ограниченного пользования земельным участком в день, количества дней ограниченного пользования земельным участком, погашения задолженности прошлых лет.</w:t>
      </w:r>
    </w:p>
    <w:p w:rsidR="005D6ACF" w:rsidRPr="00AA39F5" w:rsidRDefault="005D6ACF" w:rsidP="005D6ACF">
      <w:pPr>
        <w:pStyle w:val="ConsPlusNormal"/>
        <w:ind w:firstLine="709"/>
        <w:jc w:val="both"/>
        <w:rPr>
          <w:rFonts w:ascii="Times New Roman" w:hAnsi="Times New Roman" w:cs="Times New Roman"/>
          <w:sz w:val="28"/>
          <w:szCs w:val="28"/>
        </w:rPr>
      </w:pPr>
    </w:p>
    <w:tbl>
      <w:tblPr>
        <w:tblW w:w="9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01"/>
        <w:gridCol w:w="1203"/>
        <w:gridCol w:w="1276"/>
        <w:gridCol w:w="1419"/>
      </w:tblGrid>
      <w:tr w:rsidR="005D6ACF" w:rsidRPr="001C023D" w:rsidTr="008A253E">
        <w:trPr>
          <w:cantSplit/>
          <w:trHeight w:val="802"/>
          <w:tblHeader/>
          <w:jc w:val="center"/>
        </w:trPr>
        <w:tc>
          <w:tcPr>
            <w:tcW w:w="5601" w:type="dxa"/>
            <w:vAlign w:val="center"/>
          </w:tcPr>
          <w:p w:rsidR="005D6ACF" w:rsidRPr="001C023D" w:rsidRDefault="005D6ACF" w:rsidP="008A253E">
            <w:pPr>
              <w:jc w:val="center"/>
            </w:pPr>
            <w:r w:rsidRPr="001C023D">
              <w:t>Наименование показателей</w:t>
            </w:r>
          </w:p>
        </w:tc>
        <w:tc>
          <w:tcPr>
            <w:tcW w:w="1203" w:type="dxa"/>
          </w:tcPr>
          <w:p w:rsidR="005D6ACF" w:rsidRDefault="005D6ACF" w:rsidP="008A253E">
            <w:pPr>
              <w:jc w:val="center"/>
            </w:pPr>
          </w:p>
          <w:p w:rsidR="005D6ACF" w:rsidRDefault="005D6ACF" w:rsidP="008A253E">
            <w:pPr>
              <w:jc w:val="center"/>
            </w:pPr>
            <w:r>
              <w:t>2022 год</w:t>
            </w:r>
          </w:p>
        </w:tc>
        <w:tc>
          <w:tcPr>
            <w:tcW w:w="1276" w:type="dxa"/>
          </w:tcPr>
          <w:p w:rsidR="005D6ACF" w:rsidRDefault="005D6ACF" w:rsidP="008A253E">
            <w:pPr>
              <w:jc w:val="center"/>
            </w:pPr>
          </w:p>
          <w:p w:rsidR="005D6ACF" w:rsidRDefault="005D6ACF" w:rsidP="008A253E">
            <w:pPr>
              <w:jc w:val="center"/>
            </w:pPr>
            <w:r>
              <w:t>2023 год</w:t>
            </w:r>
          </w:p>
          <w:p w:rsidR="005D6ACF" w:rsidRDefault="005D6ACF" w:rsidP="008A253E"/>
        </w:tc>
        <w:tc>
          <w:tcPr>
            <w:tcW w:w="1419" w:type="dxa"/>
            <w:vAlign w:val="center"/>
          </w:tcPr>
          <w:p w:rsidR="005D6ACF" w:rsidRPr="00081458" w:rsidRDefault="005D6ACF" w:rsidP="008A253E">
            <w:pPr>
              <w:jc w:val="center"/>
            </w:pPr>
            <w:r>
              <w:t xml:space="preserve">2024 </w:t>
            </w:r>
            <w:r w:rsidRPr="00081458">
              <w:t>год</w:t>
            </w:r>
          </w:p>
        </w:tc>
      </w:tr>
      <w:tr w:rsidR="005D6ACF" w:rsidRPr="001C023D" w:rsidTr="008A253E">
        <w:trPr>
          <w:trHeight w:val="3032"/>
          <w:jc w:val="center"/>
        </w:trPr>
        <w:tc>
          <w:tcPr>
            <w:tcW w:w="5601" w:type="dxa"/>
          </w:tcPr>
          <w:p w:rsidR="005D6ACF" w:rsidRDefault="005D6ACF" w:rsidP="005D6ACF">
            <w:pPr>
              <w:numPr>
                <w:ilvl w:val="0"/>
                <w:numId w:val="19"/>
              </w:numPr>
              <w:rPr>
                <w:bCs/>
              </w:rPr>
            </w:pPr>
            <w:r w:rsidRPr="006E5C22">
              <w:rPr>
                <w:color w:val="000000"/>
              </w:rPr>
              <w:t xml:space="preserve">Размер платы </w:t>
            </w:r>
            <w:r w:rsidRPr="006E5C22">
              <w:t xml:space="preserve">за право ограниченного пользования земельным участком в день по </w:t>
            </w:r>
            <w:r w:rsidRPr="006E5C22">
              <w:rPr>
                <w:bCs/>
              </w:rPr>
              <w:t>Соглашению, заключенному с пользователями</w:t>
            </w:r>
            <w:r>
              <w:rPr>
                <w:bCs/>
              </w:rPr>
              <w:t xml:space="preserve"> (руб.):</w:t>
            </w:r>
          </w:p>
          <w:p w:rsidR="005D6ACF" w:rsidRDefault="005D6ACF" w:rsidP="008A253E">
            <w:pPr>
              <w:ind w:left="720"/>
              <w:rPr>
                <w:bCs/>
              </w:rPr>
            </w:pPr>
            <w:r>
              <w:rPr>
                <w:bCs/>
              </w:rPr>
              <w:t xml:space="preserve">1) соглашение </w:t>
            </w:r>
          </w:p>
          <w:p w:rsidR="005D6ACF" w:rsidRDefault="005D6ACF" w:rsidP="008A253E">
            <w:pPr>
              <w:ind w:left="720"/>
              <w:rPr>
                <w:bCs/>
              </w:rPr>
            </w:pPr>
            <w:r>
              <w:rPr>
                <w:bCs/>
              </w:rPr>
              <w:t>2) соглашение</w:t>
            </w:r>
          </w:p>
          <w:p w:rsidR="005D6ACF" w:rsidRDefault="005D6ACF" w:rsidP="008A253E">
            <w:pPr>
              <w:ind w:left="720"/>
              <w:rPr>
                <w:bCs/>
              </w:rPr>
            </w:pPr>
            <w:r>
              <w:rPr>
                <w:bCs/>
              </w:rPr>
              <w:t xml:space="preserve">3) соглашение </w:t>
            </w:r>
          </w:p>
          <w:p w:rsidR="005D6ACF" w:rsidRDefault="005D6ACF" w:rsidP="008A253E">
            <w:pPr>
              <w:ind w:left="720"/>
              <w:rPr>
                <w:bCs/>
              </w:rPr>
            </w:pPr>
            <w:r>
              <w:rPr>
                <w:bCs/>
              </w:rPr>
              <w:t xml:space="preserve">4) соглашение </w:t>
            </w:r>
          </w:p>
          <w:p w:rsidR="005D6ACF" w:rsidRDefault="005D6ACF" w:rsidP="008A253E">
            <w:pPr>
              <w:ind w:left="720"/>
              <w:rPr>
                <w:bCs/>
              </w:rPr>
            </w:pPr>
            <w:r>
              <w:rPr>
                <w:bCs/>
              </w:rPr>
              <w:t xml:space="preserve">5) соглашение </w:t>
            </w:r>
          </w:p>
          <w:p w:rsidR="005D6ACF" w:rsidRDefault="005D6ACF" w:rsidP="008A253E">
            <w:pPr>
              <w:ind w:left="720"/>
              <w:rPr>
                <w:bCs/>
              </w:rPr>
            </w:pPr>
            <w:r>
              <w:rPr>
                <w:bCs/>
              </w:rPr>
              <w:t xml:space="preserve">6) соглашение </w:t>
            </w:r>
          </w:p>
          <w:p w:rsidR="005D6ACF" w:rsidRPr="006E5C22" w:rsidRDefault="005D6ACF" w:rsidP="008A253E">
            <w:pPr>
              <w:ind w:left="720"/>
            </w:pPr>
            <w:r>
              <w:rPr>
                <w:bCs/>
              </w:rPr>
              <w:t xml:space="preserve">7) соглашение </w:t>
            </w:r>
          </w:p>
        </w:tc>
        <w:tc>
          <w:tcPr>
            <w:tcW w:w="1203" w:type="dxa"/>
          </w:tcPr>
          <w:p w:rsidR="005D6ACF" w:rsidRDefault="005D6ACF" w:rsidP="008A253E">
            <w:pPr>
              <w:jc w:val="center"/>
            </w:pPr>
          </w:p>
          <w:p w:rsidR="005D6ACF" w:rsidRDefault="005D6ACF" w:rsidP="008A253E">
            <w:pPr>
              <w:jc w:val="center"/>
            </w:pPr>
          </w:p>
          <w:p w:rsidR="005D6ACF" w:rsidRDefault="005D6ACF" w:rsidP="008A253E">
            <w:pPr>
              <w:jc w:val="center"/>
            </w:pPr>
          </w:p>
          <w:p w:rsidR="005D6ACF" w:rsidRDefault="005D6ACF" w:rsidP="008A253E">
            <w:pPr>
              <w:jc w:val="center"/>
            </w:pPr>
          </w:p>
          <w:p w:rsidR="005D6ACF" w:rsidRDefault="005D6ACF" w:rsidP="008A253E">
            <w:pPr>
              <w:jc w:val="center"/>
            </w:pPr>
            <w:r>
              <w:t>0,000055</w:t>
            </w:r>
          </w:p>
          <w:p w:rsidR="005D6ACF" w:rsidRDefault="005D6ACF" w:rsidP="008A253E">
            <w:pPr>
              <w:jc w:val="center"/>
            </w:pPr>
            <w:r>
              <w:t>56,59</w:t>
            </w:r>
          </w:p>
          <w:p w:rsidR="005D6ACF" w:rsidRDefault="005D6ACF" w:rsidP="008A253E">
            <w:pPr>
              <w:jc w:val="center"/>
            </w:pPr>
            <w:r>
              <w:t>13,02</w:t>
            </w:r>
          </w:p>
          <w:p w:rsidR="005D6ACF" w:rsidRDefault="005D6ACF" w:rsidP="008A253E">
            <w:pPr>
              <w:jc w:val="center"/>
            </w:pPr>
            <w:r>
              <w:t>15,46</w:t>
            </w:r>
          </w:p>
          <w:p w:rsidR="005D6ACF" w:rsidRDefault="005D6ACF" w:rsidP="008A253E">
            <w:pPr>
              <w:jc w:val="center"/>
            </w:pPr>
            <w:r>
              <w:t>172,598</w:t>
            </w:r>
          </w:p>
          <w:p w:rsidR="005D6ACF" w:rsidRDefault="005D6ACF" w:rsidP="008A253E">
            <w:pPr>
              <w:jc w:val="center"/>
            </w:pPr>
            <w:r>
              <w:t>0,000055</w:t>
            </w:r>
          </w:p>
          <w:p w:rsidR="005D6ACF" w:rsidRDefault="005D6ACF" w:rsidP="008A253E">
            <w:pPr>
              <w:jc w:val="center"/>
            </w:pPr>
            <w:r>
              <w:t>0,00016</w:t>
            </w:r>
          </w:p>
        </w:tc>
        <w:tc>
          <w:tcPr>
            <w:tcW w:w="1276" w:type="dxa"/>
          </w:tcPr>
          <w:p w:rsidR="005D6ACF" w:rsidRDefault="005D6ACF" w:rsidP="008A253E">
            <w:pPr>
              <w:jc w:val="center"/>
            </w:pPr>
          </w:p>
          <w:p w:rsidR="005D6ACF" w:rsidRDefault="005D6ACF" w:rsidP="008A253E">
            <w:pPr>
              <w:jc w:val="center"/>
            </w:pPr>
          </w:p>
          <w:p w:rsidR="005D6ACF" w:rsidRDefault="005D6ACF" w:rsidP="008A253E">
            <w:pPr>
              <w:jc w:val="center"/>
            </w:pPr>
          </w:p>
          <w:p w:rsidR="005D6ACF" w:rsidRDefault="005D6ACF" w:rsidP="008A253E">
            <w:pPr>
              <w:jc w:val="center"/>
            </w:pPr>
          </w:p>
          <w:p w:rsidR="005D6ACF" w:rsidRDefault="005D6ACF" w:rsidP="008A253E">
            <w:pPr>
              <w:jc w:val="center"/>
            </w:pPr>
            <w:r>
              <w:t>0,000055</w:t>
            </w:r>
          </w:p>
          <w:p w:rsidR="005D6ACF" w:rsidRDefault="005D6ACF" w:rsidP="008A253E">
            <w:pPr>
              <w:jc w:val="center"/>
            </w:pPr>
            <w:r>
              <w:t>0,0</w:t>
            </w:r>
          </w:p>
          <w:p w:rsidR="005D6ACF" w:rsidRDefault="005D6ACF" w:rsidP="008A253E">
            <w:pPr>
              <w:jc w:val="center"/>
            </w:pPr>
            <w:r>
              <w:t>0,0</w:t>
            </w:r>
          </w:p>
          <w:p w:rsidR="005D6ACF" w:rsidRDefault="005D6ACF" w:rsidP="008A253E">
            <w:pPr>
              <w:jc w:val="center"/>
            </w:pPr>
            <w:r>
              <w:t>15,46</w:t>
            </w:r>
          </w:p>
          <w:p w:rsidR="005D6ACF" w:rsidRDefault="005D6ACF" w:rsidP="008A253E">
            <w:pPr>
              <w:jc w:val="center"/>
            </w:pPr>
            <w:r>
              <w:t>172,598</w:t>
            </w:r>
          </w:p>
          <w:p w:rsidR="005D6ACF" w:rsidRDefault="005D6ACF" w:rsidP="008A253E">
            <w:pPr>
              <w:jc w:val="center"/>
            </w:pPr>
            <w:r>
              <w:t>0,000055</w:t>
            </w:r>
          </w:p>
          <w:p w:rsidR="005D6ACF" w:rsidRDefault="005D6ACF" w:rsidP="008A253E">
            <w:pPr>
              <w:jc w:val="center"/>
            </w:pPr>
            <w:r>
              <w:t>0,00016</w:t>
            </w:r>
          </w:p>
        </w:tc>
        <w:tc>
          <w:tcPr>
            <w:tcW w:w="1419" w:type="dxa"/>
          </w:tcPr>
          <w:p w:rsidR="005D6ACF" w:rsidRDefault="005D6ACF" w:rsidP="008A253E">
            <w:pPr>
              <w:jc w:val="center"/>
            </w:pPr>
          </w:p>
          <w:p w:rsidR="005D6ACF" w:rsidRDefault="005D6ACF" w:rsidP="008A253E">
            <w:pPr>
              <w:jc w:val="center"/>
            </w:pPr>
          </w:p>
          <w:p w:rsidR="005D6ACF" w:rsidRDefault="005D6ACF" w:rsidP="008A253E">
            <w:pPr>
              <w:jc w:val="center"/>
            </w:pPr>
          </w:p>
          <w:p w:rsidR="005D6ACF" w:rsidRDefault="005D6ACF" w:rsidP="008A253E">
            <w:pPr>
              <w:jc w:val="center"/>
            </w:pPr>
          </w:p>
          <w:p w:rsidR="005D6ACF" w:rsidRDefault="005D6ACF" w:rsidP="008A253E">
            <w:pPr>
              <w:jc w:val="center"/>
            </w:pPr>
            <w:r>
              <w:t>0,000055</w:t>
            </w:r>
          </w:p>
          <w:p w:rsidR="005D6ACF" w:rsidRDefault="005D6ACF" w:rsidP="008A253E">
            <w:pPr>
              <w:jc w:val="center"/>
            </w:pPr>
            <w:r>
              <w:t>0,0</w:t>
            </w:r>
          </w:p>
          <w:p w:rsidR="005D6ACF" w:rsidRDefault="005D6ACF" w:rsidP="008A253E">
            <w:pPr>
              <w:jc w:val="center"/>
            </w:pPr>
            <w:r>
              <w:t>0,0</w:t>
            </w:r>
          </w:p>
          <w:p w:rsidR="005D6ACF" w:rsidRDefault="005D6ACF" w:rsidP="008A253E">
            <w:pPr>
              <w:jc w:val="center"/>
            </w:pPr>
            <w:r>
              <w:t>0,0</w:t>
            </w:r>
          </w:p>
          <w:p w:rsidR="005D6ACF" w:rsidRDefault="005D6ACF" w:rsidP="008A253E">
            <w:pPr>
              <w:jc w:val="center"/>
            </w:pPr>
            <w:r>
              <w:t>0,0</w:t>
            </w:r>
          </w:p>
          <w:p w:rsidR="005D6ACF" w:rsidRDefault="005D6ACF" w:rsidP="008A253E">
            <w:pPr>
              <w:jc w:val="center"/>
            </w:pPr>
            <w:r>
              <w:t>0,000055</w:t>
            </w:r>
          </w:p>
          <w:p w:rsidR="005D6ACF" w:rsidRPr="001C023D" w:rsidRDefault="005D6ACF" w:rsidP="008A253E">
            <w:pPr>
              <w:jc w:val="center"/>
            </w:pPr>
            <w:r>
              <w:t>0,00016</w:t>
            </w:r>
          </w:p>
        </w:tc>
      </w:tr>
      <w:tr w:rsidR="005D6ACF" w:rsidRPr="001C023D" w:rsidTr="008A253E">
        <w:trPr>
          <w:trHeight w:val="2112"/>
          <w:jc w:val="center"/>
        </w:trPr>
        <w:tc>
          <w:tcPr>
            <w:tcW w:w="5601" w:type="dxa"/>
          </w:tcPr>
          <w:p w:rsidR="005D6ACF" w:rsidRDefault="005D6ACF" w:rsidP="005D6ACF">
            <w:pPr>
              <w:numPr>
                <w:ilvl w:val="0"/>
                <w:numId w:val="19"/>
              </w:numPr>
              <w:rPr>
                <w:color w:val="000000"/>
              </w:rPr>
            </w:pPr>
            <w:r>
              <w:rPr>
                <w:color w:val="000000"/>
              </w:rPr>
              <w:t>Количество дней пользования (ед.):</w:t>
            </w:r>
          </w:p>
          <w:p w:rsidR="005D6ACF" w:rsidRDefault="005D6ACF" w:rsidP="008A253E">
            <w:pPr>
              <w:ind w:left="720"/>
              <w:rPr>
                <w:bCs/>
              </w:rPr>
            </w:pPr>
            <w:r>
              <w:rPr>
                <w:bCs/>
              </w:rPr>
              <w:t xml:space="preserve">1) соглашение </w:t>
            </w:r>
          </w:p>
          <w:p w:rsidR="005D6ACF" w:rsidRDefault="005D6ACF" w:rsidP="008A253E">
            <w:pPr>
              <w:ind w:left="720"/>
              <w:rPr>
                <w:bCs/>
              </w:rPr>
            </w:pPr>
            <w:r>
              <w:rPr>
                <w:bCs/>
              </w:rPr>
              <w:t>2) соглашение</w:t>
            </w:r>
          </w:p>
          <w:p w:rsidR="005D6ACF" w:rsidRDefault="005D6ACF" w:rsidP="008A253E">
            <w:pPr>
              <w:ind w:left="720"/>
              <w:rPr>
                <w:bCs/>
              </w:rPr>
            </w:pPr>
            <w:r>
              <w:rPr>
                <w:bCs/>
              </w:rPr>
              <w:t xml:space="preserve">3) соглашение </w:t>
            </w:r>
          </w:p>
          <w:p w:rsidR="005D6ACF" w:rsidRDefault="005D6ACF" w:rsidP="008A253E">
            <w:pPr>
              <w:ind w:left="720"/>
              <w:rPr>
                <w:bCs/>
              </w:rPr>
            </w:pPr>
            <w:r>
              <w:rPr>
                <w:bCs/>
              </w:rPr>
              <w:t xml:space="preserve">4) соглашение </w:t>
            </w:r>
          </w:p>
          <w:p w:rsidR="005D6ACF" w:rsidRDefault="005D6ACF" w:rsidP="008A253E">
            <w:pPr>
              <w:ind w:left="720"/>
              <w:rPr>
                <w:bCs/>
              </w:rPr>
            </w:pPr>
            <w:r>
              <w:rPr>
                <w:bCs/>
              </w:rPr>
              <w:t xml:space="preserve">5) соглашение </w:t>
            </w:r>
          </w:p>
          <w:p w:rsidR="005D6ACF" w:rsidRDefault="005D6ACF" w:rsidP="008A253E">
            <w:pPr>
              <w:ind w:left="720"/>
              <w:rPr>
                <w:color w:val="000000"/>
              </w:rPr>
            </w:pPr>
            <w:r>
              <w:rPr>
                <w:color w:val="000000"/>
              </w:rPr>
              <w:t>6) соглашение</w:t>
            </w:r>
          </w:p>
          <w:p w:rsidR="005D6ACF" w:rsidRPr="006E5C22" w:rsidRDefault="005D6ACF" w:rsidP="008A253E">
            <w:pPr>
              <w:ind w:left="720"/>
              <w:rPr>
                <w:color w:val="000000"/>
              </w:rPr>
            </w:pPr>
            <w:r>
              <w:rPr>
                <w:bCs/>
              </w:rPr>
              <w:t xml:space="preserve">7) соглашение </w:t>
            </w:r>
          </w:p>
        </w:tc>
        <w:tc>
          <w:tcPr>
            <w:tcW w:w="1203" w:type="dxa"/>
          </w:tcPr>
          <w:p w:rsidR="005D6ACF" w:rsidRDefault="005D6ACF" w:rsidP="008A253E">
            <w:pPr>
              <w:jc w:val="center"/>
            </w:pPr>
          </w:p>
          <w:p w:rsidR="005D6ACF" w:rsidRDefault="005D6ACF" w:rsidP="008A253E">
            <w:pPr>
              <w:jc w:val="center"/>
            </w:pPr>
            <w:r>
              <w:t>365</w:t>
            </w:r>
          </w:p>
          <w:p w:rsidR="005D6ACF" w:rsidRDefault="005D6ACF" w:rsidP="008A253E">
            <w:pPr>
              <w:jc w:val="center"/>
            </w:pPr>
            <w:r>
              <w:t>74</w:t>
            </w:r>
          </w:p>
          <w:p w:rsidR="005D6ACF" w:rsidRDefault="005D6ACF" w:rsidP="008A253E">
            <w:pPr>
              <w:jc w:val="center"/>
            </w:pPr>
            <w:r>
              <w:t>365</w:t>
            </w:r>
          </w:p>
          <w:p w:rsidR="005D6ACF" w:rsidRDefault="005D6ACF" w:rsidP="008A253E">
            <w:pPr>
              <w:jc w:val="center"/>
            </w:pPr>
            <w:r>
              <w:t>365</w:t>
            </w:r>
          </w:p>
          <w:p w:rsidR="005D6ACF" w:rsidRDefault="005D6ACF" w:rsidP="008A253E">
            <w:pPr>
              <w:jc w:val="center"/>
            </w:pPr>
            <w:r>
              <w:t>365</w:t>
            </w:r>
          </w:p>
          <w:p w:rsidR="005D6ACF" w:rsidRDefault="005D6ACF" w:rsidP="008A253E">
            <w:pPr>
              <w:jc w:val="center"/>
            </w:pPr>
            <w:r>
              <w:t>365</w:t>
            </w:r>
          </w:p>
          <w:p w:rsidR="005D6ACF" w:rsidRDefault="005D6ACF" w:rsidP="008A253E">
            <w:pPr>
              <w:jc w:val="center"/>
            </w:pPr>
            <w:r>
              <w:t>365</w:t>
            </w:r>
          </w:p>
        </w:tc>
        <w:tc>
          <w:tcPr>
            <w:tcW w:w="1276" w:type="dxa"/>
          </w:tcPr>
          <w:p w:rsidR="005D6ACF" w:rsidRDefault="005D6ACF" w:rsidP="008A253E">
            <w:pPr>
              <w:jc w:val="center"/>
            </w:pPr>
          </w:p>
          <w:p w:rsidR="005D6ACF" w:rsidRDefault="005D6ACF" w:rsidP="008A253E">
            <w:pPr>
              <w:jc w:val="center"/>
            </w:pPr>
            <w:r>
              <w:t>365</w:t>
            </w:r>
          </w:p>
          <w:p w:rsidR="005D6ACF" w:rsidRDefault="005D6ACF" w:rsidP="008A253E">
            <w:pPr>
              <w:jc w:val="center"/>
            </w:pPr>
            <w:r>
              <w:t>0</w:t>
            </w:r>
          </w:p>
          <w:p w:rsidR="005D6ACF" w:rsidRDefault="005D6ACF" w:rsidP="008A253E">
            <w:pPr>
              <w:jc w:val="center"/>
            </w:pPr>
            <w:r>
              <w:t>0</w:t>
            </w:r>
          </w:p>
          <w:p w:rsidR="005D6ACF" w:rsidRDefault="005D6ACF" w:rsidP="008A253E">
            <w:pPr>
              <w:jc w:val="center"/>
            </w:pPr>
            <w:r>
              <w:t>153</w:t>
            </w:r>
          </w:p>
          <w:p w:rsidR="005D6ACF" w:rsidRDefault="005D6ACF" w:rsidP="008A253E">
            <w:pPr>
              <w:jc w:val="center"/>
            </w:pPr>
            <w:r>
              <w:t>325</w:t>
            </w:r>
          </w:p>
          <w:p w:rsidR="005D6ACF" w:rsidRDefault="005D6ACF" w:rsidP="008A253E">
            <w:pPr>
              <w:jc w:val="center"/>
            </w:pPr>
            <w:r>
              <w:t>365</w:t>
            </w:r>
          </w:p>
          <w:p w:rsidR="005D6ACF" w:rsidRDefault="005D6ACF" w:rsidP="008A253E">
            <w:pPr>
              <w:jc w:val="center"/>
            </w:pPr>
            <w:r>
              <w:t>365</w:t>
            </w:r>
          </w:p>
        </w:tc>
        <w:tc>
          <w:tcPr>
            <w:tcW w:w="1419" w:type="dxa"/>
          </w:tcPr>
          <w:p w:rsidR="005D6ACF" w:rsidRDefault="005D6ACF" w:rsidP="008A253E">
            <w:pPr>
              <w:jc w:val="center"/>
            </w:pPr>
          </w:p>
          <w:p w:rsidR="005D6ACF" w:rsidRDefault="005D6ACF" w:rsidP="008A253E">
            <w:pPr>
              <w:jc w:val="center"/>
            </w:pPr>
            <w:r>
              <w:t>365</w:t>
            </w:r>
          </w:p>
          <w:p w:rsidR="005D6ACF" w:rsidRDefault="005D6ACF" w:rsidP="008A253E">
            <w:pPr>
              <w:jc w:val="center"/>
            </w:pPr>
            <w:r>
              <w:t>0</w:t>
            </w:r>
          </w:p>
          <w:p w:rsidR="005D6ACF" w:rsidRDefault="005D6ACF" w:rsidP="008A253E">
            <w:pPr>
              <w:jc w:val="center"/>
            </w:pPr>
            <w:r>
              <w:t>0</w:t>
            </w:r>
          </w:p>
          <w:p w:rsidR="005D6ACF" w:rsidRDefault="005D6ACF" w:rsidP="008A253E">
            <w:pPr>
              <w:jc w:val="center"/>
            </w:pPr>
            <w:r>
              <w:t>0</w:t>
            </w:r>
          </w:p>
          <w:p w:rsidR="005D6ACF" w:rsidRDefault="005D6ACF" w:rsidP="008A253E">
            <w:pPr>
              <w:jc w:val="center"/>
            </w:pPr>
            <w:r>
              <w:t>0</w:t>
            </w:r>
          </w:p>
          <w:p w:rsidR="005D6ACF" w:rsidRDefault="005D6ACF" w:rsidP="008A253E">
            <w:pPr>
              <w:jc w:val="center"/>
            </w:pPr>
            <w:r>
              <w:t>108</w:t>
            </w:r>
          </w:p>
          <w:p w:rsidR="005D6ACF" w:rsidRDefault="005D6ACF" w:rsidP="008A253E">
            <w:pPr>
              <w:jc w:val="center"/>
            </w:pPr>
            <w:r>
              <w:t>365</w:t>
            </w:r>
          </w:p>
        </w:tc>
      </w:tr>
      <w:tr w:rsidR="005D6ACF" w:rsidRPr="001C023D" w:rsidTr="008A253E">
        <w:trPr>
          <w:trHeight w:val="226"/>
          <w:jc w:val="center"/>
        </w:trPr>
        <w:tc>
          <w:tcPr>
            <w:tcW w:w="5601" w:type="dxa"/>
          </w:tcPr>
          <w:p w:rsidR="005D6ACF" w:rsidRDefault="005D6ACF" w:rsidP="005D6ACF">
            <w:pPr>
              <w:numPr>
                <w:ilvl w:val="0"/>
                <w:numId w:val="19"/>
              </w:numPr>
            </w:pPr>
            <w:r>
              <w:t>Сумма задолженности по плате (тыс. руб.)</w:t>
            </w:r>
          </w:p>
          <w:p w:rsidR="005D6ACF" w:rsidRDefault="005D6ACF" w:rsidP="008A253E">
            <w:pPr>
              <w:ind w:left="720"/>
              <w:rPr>
                <w:bCs/>
              </w:rPr>
            </w:pPr>
            <w:r>
              <w:rPr>
                <w:bCs/>
              </w:rPr>
              <w:t xml:space="preserve">1) соглашение </w:t>
            </w:r>
          </w:p>
          <w:p w:rsidR="005D6ACF" w:rsidRDefault="005D6ACF" w:rsidP="008A253E">
            <w:pPr>
              <w:ind w:left="720"/>
              <w:rPr>
                <w:bCs/>
              </w:rPr>
            </w:pPr>
            <w:r>
              <w:rPr>
                <w:bCs/>
              </w:rPr>
              <w:t>2) соглашение</w:t>
            </w:r>
          </w:p>
          <w:p w:rsidR="005D6ACF" w:rsidRDefault="005D6ACF" w:rsidP="008A253E">
            <w:pPr>
              <w:ind w:left="720"/>
              <w:rPr>
                <w:bCs/>
              </w:rPr>
            </w:pPr>
            <w:r>
              <w:rPr>
                <w:bCs/>
              </w:rPr>
              <w:t xml:space="preserve">3) соглашение </w:t>
            </w:r>
          </w:p>
          <w:p w:rsidR="005D6ACF" w:rsidRDefault="005D6ACF" w:rsidP="008A253E">
            <w:pPr>
              <w:ind w:left="720"/>
              <w:rPr>
                <w:bCs/>
              </w:rPr>
            </w:pPr>
            <w:r>
              <w:rPr>
                <w:bCs/>
              </w:rPr>
              <w:t xml:space="preserve">4) соглашение </w:t>
            </w:r>
          </w:p>
          <w:p w:rsidR="005D6ACF" w:rsidRDefault="005D6ACF" w:rsidP="008A253E">
            <w:pPr>
              <w:ind w:left="720"/>
              <w:rPr>
                <w:bCs/>
              </w:rPr>
            </w:pPr>
            <w:r>
              <w:rPr>
                <w:bCs/>
              </w:rPr>
              <w:t xml:space="preserve">5) соглашение </w:t>
            </w:r>
          </w:p>
          <w:p w:rsidR="005D6ACF" w:rsidRDefault="005D6ACF" w:rsidP="008A253E">
            <w:pPr>
              <w:ind w:left="720"/>
              <w:rPr>
                <w:color w:val="000000"/>
              </w:rPr>
            </w:pPr>
            <w:r>
              <w:rPr>
                <w:color w:val="000000"/>
              </w:rPr>
              <w:t>6) соглашение</w:t>
            </w:r>
          </w:p>
          <w:p w:rsidR="005D6ACF" w:rsidRPr="00054F29" w:rsidRDefault="005D6ACF" w:rsidP="008A253E">
            <w:pPr>
              <w:ind w:left="720"/>
            </w:pPr>
            <w:r>
              <w:rPr>
                <w:bCs/>
              </w:rPr>
              <w:t xml:space="preserve">7) соглашение </w:t>
            </w:r>
          </w:p>
        </w:tc>
        <w:tc>
          <w:tcPr>
            <w:tcW w:w="1203" w:type="dxa"/>
          </w:tcPr>
          <w:p w:rsidR="005D6ACF" w:rsidRDefault="005D6ACF" w:rsidP="008A253E">
            <w:pPr>
              <w:jc w:val="center"/>
            </w:pPr>
          </w:p>
          <w:p w:rsidR="005D6ACF" w:rsidRDefault="005D6ACF" w:rsidP="008A253E">
            <w:pPr>
              <w:jc w:val="center"/>
            </w:pPr>
            <w:r>
              <w:t>0</w:t>
            </w:r>
          </w:p>
          <w:p w:rsidR="005D6ACF" w:rsidRDefault="005D6ACF" w:rsidP="008A253E">
            <w:pPr>
              <w:jc w:val="center"/>
            </w:pPr>
            <w:r>
              <w:t>0</w:t>
            </w:r>
          </w:p>
          <w:p w:rsidR="005D6ACF" w:rsidRDefault="005D6ACF" w:rsidP="008A253E">
            <w:pPr>
              <w:jc w:val="center"/>
            </w:pPr>
            <w:r>
              <w:t>0</w:t>
            </w:r>
          </w:p>
          <w:p w:rsidR="005D6ACF" w:rsidRDefault="005D6ACF" w:rsidP="008A253E">
            <w:pPr>
              <w:jc w:val="center"/>
            </w:pPr>
            <w:r>
              <w:t>0</w:t>
            </w:r>
          </w:p>
          <w:p w:rsidR="005D6ACF" w:rsidRDefault="005D6ACF" w:rsidP="008A253E">
            <w:pPr>
              <w:jc w:val="center"/>
            </w:pPr>
            <w:r>
              <w:t>0</w:t>
            </w:r>
          </w:p>
          <w:p w:rsidR="005D6ACF" w:rsidRDefault="005D6ACF" w:rsidP="008A253E">
            <w:pPr>
              <w:jc w:val="center"/>
            </w:pPr>
            <w:r>
              <w:t>0</w:t>
            </w:r>
          </w:p>
          <w:p w:rsidR="005D6ACF" w:rsidRDefault="005D6ACF" w:rsidP="008A253E">
            <w:pPr>
              <w:jc w:val="center"/>
            </w:pPr>
            <w:r>
              <w:t>0</w:t>
            </w:r>
          </w:p>
        </w:tc>
        <w:tc>
          <w:tcPr>
            <w:tcW w:w="1276" w:type="dxa"/>
          </w:tcPr>
          <w:p w:rsidR="005D6ACF" w:rsidRDefault="005D6ACF" w:rsidP="008A253E">
            <w:pPr>
              <w:jc w:val="center"/>
            </w:pPr>
          </w:p>
          <w:p w:rsidR="005D6ACF" w:rsidRDefault="005D6ACF" w:rsidP="008A253E">
            <w:pPr>
              <w:jc w:val="center"/>
            </w:pPr>
            <w:r>
              <w:t>0</w:t>
            </w:r>
          </w:p>
          <w:p w:rsidR="005D6ACF" w:rsidRDefault="005D6ACF" w:rsidP="008A253E">
            <w:pPr>
              <w:jc w:val="center"/>
            </w:pPr>
            <w:r>
              <w:t>0</w:t>
            </w:r>
          </w:p>
          <w:p w:rsidR="005D6ACF" w:rsidRDefault="005D6ACF" w:rsidP="008A253E">
            <w:pPr>
              <w:jc w:val="center"/>
            </w:pPr>
            <w:r>
              <w:t>0</w:t>
            </w:r>
          </w:p>
          <w:p w:rsidR="005D6ACF" w:rsidRDefault="005D6ACF" w:rsidP="008A253E">
            <w:pPr>
              <w:jc w:val="center"/>
            </w:pPr>
            <w:r>
              <w:t>0</w:t>
            </w:r>
          </w:p>
          <w:p w:rsidR="005D6ACF" w:rsidRDefault="005D6ACF" w:rsidP="008A253E">
            <w:pPr>
              <w:jc w:val="center"/>
            </w:pPr>
            <w:r>
              <w:t>0</w:t>
            </w:r>
          </w:p>
          <w:p w:rsidR="005D6ACF" w:rsidRDefault="005D6ACF" w:rsidP="008A253E">
            <w:pPr>
              <w:jc w:val="center"/>
            </w:pPr>
            <w:r>
              <w:t>0</w:t>
            </w:r>
          </w:p>
          <w:p w:rsidR="005D6ACF" w:rsidRDefault="005D6ACF" w:rsidP="008A253E">
            <w:pPr>
              <w:jc w:val="center"/>
            </w:pPr>
            <w:r>
              <w:t>0</w:t>
            </w:r>
          </w:p>
        </w:tc>
        <w:tc>
          <w:tcPr>
            <w:tcW w:w="1419" w:type="dxa"/>
          </w:tcPr>
          <w:p w:rsidR="005D6ACF" w:rsidRDefault="005D6ACF" w:rsidP="008A253E">
            <w:pPr>
              <w:jc w:val="center"/>
            </w:pPr>
          </w:p>
          <w:p w:rsidR="005D6ACF" w:rsidRDefault="005D6ACF" w:rsidP="008A253E">
            <w:pPr>
              <w:jc w:val="center"/>
            </w:pPr>
            <w:r>
              <w:t>0</w:t>
            </w:r>
          </w:p>
          <w:p w:rsidR="005D6ACF" w:rsidRDefault="005D6ACF" w:rsidP="008A253E">
            <w:pPr>
              <w:jc w:val="center"/>
            </w:pPr>
            <w:r>
              <w:t>0</w:t>
            </w:r>
          </w:p>
          <w:p w:rsidR="005D6ACF" w:rsidRDefault="005D6ACF" w:rsidP="008A253E">
            <w:pPr>
              <w:jc w:val="center"/>
            </w:pPr>
            <w:r>
              <w:t>0</w:t>
            </w:r>
          </w:p>
          <w:p w:rsidR="005D6ACF" w:rsidRDefault="005D6ACF" w:rsidP="008A253E">
            <w:pPr>
              <w:jc w:val="center"/>
            </w:pPr>
            <w:r>
              <w:t>0</w:t>
            </w:r>
          </w:p>
          <w:p w:rsidR="005D6ACF" w:rsidRDefault="005D6ACF" w:rsidP="008A253E">
            <w:pPr>
              <w:jc w:val="center"/>
            </w:pPr>
            <w:r>
              <w:t>0</w:t>
            </w:r>
          </w:p>
          <w:p w:rsidR="005D6ACF" w:rsidRDefault="005D6ACF" w:rsidP="008A253E">
            <w:pPr>
              <w:jc w:val="center"/>
            </w:pPr>
            <w:r>
              <w:t>0</w:t>
            </w:r>
          </w:p>
          <w:p w:rsidR="005D6ACF" w:rsidRDefault="005D6ACF" w:rsidP="008A253E">
            <w:pPr>
              <w:jc w:val="center"/>
            </w:pPr>
            <w:r>
              <w:t>0</w:t>
            </w:r>
          </w:p>
        </w:tc>
      </w:tr>
      <w:tr w:rsidR="005D6ACF" w:rsidRPr="001C023D" w:rsidTr="008A253E">
        <w:trPr>
          <w:trHeight w:val="226"/>
          <w:jc w:val="center"/>
        </w:trPr>
        <w:tc>
          <w:tcPr>
            <w:tcW w:w="5601" w:type="dxa"/>
          </w:tcPr>
          <w:p w:rsidR="005D6ACF" w:rsidRPr="00054F29" w:rsidRDefault="005D6ACF" w:rsidP="005D6ACF">
            <w:pPr>
              <w:numPr>
                <w:ilvl w:val="0"/>
                <w:numId w:val="19"/>
              </w:numPr>
              <w:rPr>
                <w:color w:val="000000"/>
              </w:rPr>
            </w:pPr>
            <w:r w:rsidRPr="00054F29">
              <w:t>Плата по соглашениям (стр.1 х стр.2</w:t>
            </w:r>
            <w:r>
              <w:t xml:space="preserve"> + стр.3) соответственно, (тыс. руб., с округлением)</w:t>
            </w:r>
            <w:r w:rsidRPr="00054F29">
              <w:t>:</w:t>
            </w:r>
          </w:p>
          <w:p w:rsidR="005D6ACF" w:rsidRDefault="005D6ACF" w:rsidP="008A253E">
            <w:pPr>
              <w:ind w:left="720"/>
              <w:rPr>
                <w:bCs/>
              </w:rPr>
            </w:pPr>
            <w:r>
              <w:rPr>
                <w:bCs/>
              </w:rPr>
              <w:t xml:space="preserve">1) соглашение </w:t>
            </w:r>
          </w:p>
          <w:p w:rsidR="005D6ACF" w:rsidRDefault="005D6ACF" w:rsidP="008A253E">
            <w:pPr>
              <w:ind w:left="720"/>
              <w:rPr>
                <w:bCs/>
              </w:rPr>
            </w:pPr>
            <w:r>
              <w:rPr>
                <w:bCs/>
              </w:rPr>
              <w:t>2) соглашение</w:t>
            </w:r>
          </w:p>
          <w:p w:rsidR="005D6ACF" w:rsidRDefault="005D6ACF" w:rsidP="008A253E">
            <w:pPr>
              <w:ind w:left="720"/>
              <w:rPr>
                <w:bCs/>
              </w:rPr>
            </w:pPr>
            <w:r>
              <w:rPr>
                <w:bCs/>
              </w:rPr>
              <w:t xml:space="preserve">3) соглашение </w:t>
            </w:r>
          </w:p>
          <w:p w:rsidR="005D6ACF" w:rsidRDefault="005D6ACF" w:rsidP="008A253E">
            <w:pPr>
              <w:ind w:left="720"/>
              <w:rPr>
                <w:bCs/>
              </w:rPr>
            </w:pPr>
            <w:r>
              <w:rPr>
                <w:bCs/>
              </w:rPr>
              <w:t xml:space="preserve">4) соглашение </w:t>
            </w:r>
          </w:p>
          <w:p w:rsidR="005D6ACF" w:rsidRDefault="005D6ACF" w:rsidP="008A253E">
            <w:pPr>
              <w:ind w:left="720"/>
              <w:rPr>
                <w:bCs/>
              </w:rPr>
            </w:pPr>
            <w:r>
              <w:rPr>
                <w:bCs/>
              </w:rPr>
              <w:t xml:space="preserve">5) соглашение </w:t>
            </w:r>
          </w:p>
          <w:p w:rsidR="005D6ACF" w:rsidRDefault="005D6ACF" w:rsidP="008A253E">
            <w:pPr>
              <w:ind w:left="720"/>
              <w:rPr>
                <w:bCs/>
              </w:rPr>
            </w:pPr>
            <w:r>
              <w:rPr>
                <w:bCs/>
              </w:rPr>
              <w:t xml:space="preserve">6) соглашение </w:t>
            </w:r>
          </w:p>
          <w:p w:rsidR="005D6ACF" w:rsidRDefault="005D6ACF" w:rsidP="008A253E">
            <w:pPr>
              <w:ind w:left="720"/>
              <w:rPr>
                <w:bCs/>
              </w:rPr>
            </w:pPr>
            <w:r>
              <w:rPr>
                <w:bCs/>
              </w:rPr>
              <w:t xml:space="preserve">7) соглашение </w:t>
            </w:r>
          </w:p>
          <w:p w:rsidR="005D6ACF" w:rsidRPr="00CB5E1D" w:rsidRDefault="005D6ACF" w:rsidP="008A253E">
            <w:pPr>
              <w:ind w:left="720"/>
              <w:rPr>
                <w:b/>
                <w:color w:val="000000"/>
              </w:rPr>
            </w:pPr>
            <w:r w:rsidRPr="00CB5E1D">
              <w:rPr>
                <w:b/>
                <w:bCs/>
              </w:rPr>
              <w:t>ИТОГО (с округлением)</w:t>
            </w:r>
          </w:p>
        </w:tc>
        <w:tc>
          <w:tcPr>
            <w:tcW w:w="1203" w:type="dxa"/>
          </w:tcPr>
          <w:p w:rsidR="005D6ACF" w:rsidRPr="00093877" w:rsidRDefault="005D6ACF" w:rsidP="008A253E">
            <w:pPr>
              <w:jc w:val="center"/>
            </w:pPr>
          </w:p>
          <w:p w:rsidR="005D6ACF" w:rsidRPr="00093877" w:rsidRDefault="005D6ACF" w:rsidP="008A253E">
            <w:pPr>
              <w:jc w:val="center"/>
            </w:pPr>
          </w:p>
          <w:p w:rsidR="005D6ACF" w:rsidRPr="00093877" w:rsidRDefault="005D6ACF" w:rsidP="008A253E">
            <w:pPr>
              <w:jc w:val="center"/>
            </w:pPr>
            <w:r w:rsidRPr="00093877">
              <w:t>0</w:t>
            </w:r>
          </w:p>
          <w:p w:rsidR="005D6ACF" w:rsidRPr="00093877" w:rsidRDefault="005D6ACF" w:rsidP="008A253E">
            <w:pPr>
              <w:jc w:val="center"/>
            </w:pPr>
            <w:r w:rsidRPr="00093877">
              <w:t>4,188</w:t>
            </w:r>
          </w:p>
          <w:p w:rsidR="005D6ACF" w:rsidRPr="00093877" w:rsidRDefault="005D6ACF" w:rsidP="008A253E">
            <w:pPr>
              <w:jc w:val="center"/>
            </w:pPr>
            <w:r w:rsidRPr="00093877">
              <w:t>4,752</w:t>
            </w:r>
          </w:p>
          <w:p w:rsidR="005D6ACF" w:rsidRPr="00093877" w:rsidRDefault="005D6ACF" w:rsidP="008A253E">
            <w:pPr>
              <w:jc w:val="center"/>
            </w:pPr>
            <w:r w:rsidRPr="00093877">
              <w:t>5,643</w:t>
            </w:r>
          </w:p>
          <w:p w:rsidR="005D6ACF" w:rsidRPr="00093877" w:rsidRDefault="005D6ACF" w:rsidP="008A253E">
            <w:pPr>
              <w:jc w:val="center"/>
            </w:pPr>
            <w:r>
              <w:t>62,998</w:t>
            </w:r>
          </w:p>
          <w:p w:rsidR="005D6ACF" w:rsidRPr="00093877" w:rsidRDefault="005D6ACF" w:rsidP="008A253E">
            <w:pPr>
              <w:jc w:val="center"/>
            </w:pPr>
            <w:r w:rsidRPr="00093877">
              <w:t>0</w:t>
            </w:r>
          </w:p>
          <w:p w:rsidR="005D6ACF" w:rsidRDefault="005D6ACF" w:rsidP="008A253E">
            <w:pPr>
              <w:jc w:val="center"/>
            </w:pPr>
            <w:r>
              <w:t>0</w:t>
            </w:r>
          </w:p>
          <w:p w:rsidR="005D6ACF" w:rsidRPr="00CB5E1D" w:rsidRDefault="005D6ACF" w:rsidP="008A253E">
            <w:pPr>
              <w:jc w:val="center"/>
              <w:rPr>
                <w:b/>
              </w:rPr>
            </w:pPr>
            <w:r w:rsidRPr="00CB5E1D">
              <w:rPr>
                <w:b/>
              </w:rPr>
              <w:t>77,6</w:t>
            </w:r>
          </w:p>
        </w:tc>
        <w:tc>
          <w:tcPr>
            <w:tcW w:w="1276" w:type="dxa"/>
          </w:tcPr>
          <w:p w:rsidR="005D6ACF" w:rsidRPr="00093877" w:rsidRDefault="005D6ACF" w:rsidP="008A253E">
            <w:pPr>
              <w:jc w:val="center"/>
            </w:pPr>
          </w:p>
          <w:p w:rsidR="005D6ACF" w:rsidRPr="00093877" w:rsidRDefault="005D6ACF" w:rsidP="008A253E">
            <w:pPr>
              <w:jc w:val="center"/>
            </w:pPr>
          </w:p>
          <w:p w:rsidR="005D6ACF" w:rsidRPr="00093877" w:rsidRDefault="005D6ACF" w:rsidP="008A253E">
            <w:pPr>
              <w:jc w:val="center"/>
            </w:pPr>
            <w:r w:rsidRPr="00093877">
              <w:t>0</w:t>
            </w:r>
          </w:p>
          <w:p w:rsidR="005D6ACF" w:rsidRPr="00093877" w:rsidRDefault="005D6ACF" w:rsidP="008A253E">
            <w:pPr>
              <w:jc w:val="center"/>
            </w:pPr>
            <w:r w:rsidRPr="00093877">
              <w:t>0</w:t>
            </w:r>
          </w:p>
          <w:p w:rsidR="005D6ACF" w:rsidRPr="00093877" w:rsidRDefault="005D6ACF" w:rsidP="008A253E">
            <w:pPr>
              <w:jc w:val="center"/>
            </w:pPr>
            <w:r w:rsidRPr="00093877">
              <w:t>0</w:t>
            </w:r>
          </w:p>
          <w:p w:rsidR="005D6ACF" w:rsidRPr="00093877" w:rsidRDefault="005D6ACF" w:rsidP="008A253E">
            <w:pPr>
              <w:jc w:val="center"/>
            </w:pPr>
            <w:r>
              <w:t>2,365</w:t>
            </w:r>
          </w:p>
          <w:p w:rsidR="005D6ACF" w:rsidRPr="00093877" w:rsidRDefault="005D6ACF" w:rsidP="008A253E">
            <w:pPr>
              <w:jc w:val="center"/>
            </w:pPr>
            <w:r>
              <w:t>56,094</w:t>
            </w:r>
          </w:p>
          <w:p w:rsidR="005D6ACF" w:rsidRPr="00093877" w:rsidRDefault="005D6ACF" w:rsidP="008A253E">
            <w:pPr>
              <w:jc w:val="center"/>
            </w:pPr>
            <w:r w:rsidRPr="00093877">
              <w:t>0</w:t>
            </w:r>
          </w:p>
          <w:p w:rsidR="005D6ACF" w:rsidRPr="00093877" w:rsidRDefault="005D6ACF" w:rsidP="008A253E">
            <w:pPr>
              <w:jc w:val="center"/>
            </w:pPr>
            <w:r w:rsidRPr="00093877">
              <w:t>0</w:t>
            </w:r>
          </w:p>
          <w:p w:rsidR="005D6ACF" w:rsidRPr="00CB5E1D" w:rsidRDefault="005D6ACF" w:rsidP="008A253E">
            <w:pPr>
              <w:jc w:val="center"/>
              <w:rPr>
                <w:b/>
              </w:rPr>
            </w:pPr>
            <w:r w:rsidRPr="00CB5E1D">
              <w:rPr>
                <w:b/>
              </w:rPr>
              <w:t>58,5</w:t>
            </w:r>
          </w:p>
        </w:tc>
        <w:tc>
          <w:tcPr>
            <w:tcW w:w="1419" w:type="dxa"/>
          </w:tcPr>
          <w:p w:rsidR="005D6ACF" w:rsidRPr="00093877" w:rsidRDefault="005D6ACF" w:rsidP="008A253E">
            <w:pPr>
              <w:jc w:val="center"/>
            </w:pPr>
          </w:p>
          <w:p w:rsidR="005D6ACF" w:rsidRPr="00093877" w:rsidRDefault="005D6ACF" w:rsidP="008A253E">
            <w:pPr>
              <w:jc w:val="center"/>
            </w:pPr>
          </w:p>
          <w:p w:rsidR="005D6ACF" w:rsidRPr="00093877" w:rsidRDefault="005D6ACF" w:rsidP="008A253E">
            <w:pPr>
              <w:jc w:val="center"/>
            </w:pPr>
            <w:r w:rsidRPr="00093877">
              <w:t>0</w:t>
            </w:r>
          </w:p>
          <w:p w:rsidR="005D6ACF" w:rsidRPr="00093877" w:rsidRDefault="005D6ACF" w:rsidP="008A253E">
            <w:pPr>
              <w:jc w:val="center"/>
            </w:pPr>
            <w:r w:rsidRPr="00093877">
              <w:t>0</w:t>
            </w:r>
          </w:p>
          <w:p w:rsidR="005D6ACF" w:rsidRPr="00093877" w:rsidRDefault="005D6ACF" w:rsidP="008A253E">
            <w:pPr>
              <w:jc w:val="center"/>
            </w:pPr>
            <w:r w:rsidRPr="00093877">
              <w:t>0</w:t>
            </w:r>
          </w:p>
          <w:p w:rsidR="005D6ACF" w:rsidRPr="00093877" w:rsidRDefault="005D6ACF" w:rsidP="008A253E">
            <w:pPr>
              <w:jc w:val="center"/>
            </w:pPr>
            <w:r w:rsidRPr="00093877">
              <w:t>0</w:t>
            </w:r>
          </w:p>
          <w:p w:rsidR="005D6ACF" w:rsidRPr="00093877" w:rsidRDefault="005D6ACF" w:rsidP="008A253E">
            <w:pPr>
              <w:jc w:val="center"/>
            </w:pPr>
            <w:r w:rsidRPr="00093877">
              <w:t>0</w:t>
            </w:r>
          </w:p>
          <w:p w:rsidR="005D6ACF" w:rsidRPr="00093877" w:rsidRDefault="005D6ACF" w:rsidP="008A253E">
            <w:pPr>
              <w:jc w:val="center"/>
            </w:pPr>
            <w:r w:rsidRPr="00093877">
              <w:t>0</w:t>
            </w:r>
          </w:p>
          <w:p w:rsidR="005D6ACF" w:rsidRPr="00093877" w:rsidRDefault="005D6ACF" w:rsidP="008A253E">
            <w:pPr>
              <w:jc w:val="center"/>
            </w:pPr>
            <w:r w:rsidRPr="00093877">
              <w:t>0</w:t>
            </w:r>
          </w:p>
          <w:p w:rsidR="005D6ACF" w:rsidRPr="00CB5E1D" w:rsidRDefault="005D6ACF" w:rsidP="008A253E">
            <w:pPr>
              <w:jc w:val="center"/>
              <w:rPr>
                <w:b/>
              </w:rPr>
            </w:pPr>
            <w:r w:rsidRPr="00CB5E1D">
              <w:rPr>
                <w:b/>
              </w:rPr>
              <w:t>0</w:t>
            </w:r>
          </w:p>
        </w:tc>
      </w:tr>
    </w:tbl>
    <w:p w:rsidR="005D6ACF" w:rsidRDefault="005D6ACF" w:rsidP="005D6ACF">
      <w:pPr>
        <w:pStyle w:val="a7"/>
        <w:jc w:val="center"/>
        <w:rPr>
          <w:b/>
          <w:bCs/>
          <w:szCs w:val="28"/>
        </w:rPr>
      </w:pPr>
    </w:p>
    <w:p w:rsidR="005D6ACF" w:rsidRDefault="005D6ACF" w:rsidP="005D6ACF">
      <w:pPr>
        <w:jc w:val="center"/>
        <w:rPr>
          <w:b/>
          <w:sz w:val="28"/>
          <w:szCs w:val="28"/>
        </w:rPr>
      </w:pPr>
      <w:r w:rsidRPr="001D788C">
        <w:rPr>
          <w:b/>
          <w:sz w:val="28"/>
          <w:szCs w:val="28"/>
        </w:rPr>
        <w:t>Министерство транспорта Тверской области</w:t>
      </w:r>
    </w:p>
    <w:p w:rsidR="005D6ACF" w:rsidRPr="00BC264D" w:rsidRDefault="005D6ACF" w:rsidP="00BC264D">
      <w:pPr>
        <w:ind w:firstLine="709"/>
        <w:jc w:val="both"/>
        <w:rPr>
          <w:sz w:val="28"/>
          <w:szCs w:val="28"/>
        </w:rPr>
      </w:pPr>
    </w:p>
    <w:p w:rsidR="005D6ACF" w:rsidRPr="00BC264D" w:rsidRDefault="005D6ACF" w:rsidP="00BC264D">
      <w:pPr>
        <w:pStyle w:val="a7"/>
        <w:spacing w:after="0"/>
        <w:ind w:left="0" w:firstLine="709"/>
        <w:jc w:val="both"/>
        <w:rPr>
          <w:b/>
          <w:sz w:val="28"/>
          <w:szCs w:val="28"/>
        </w:rPr>
      </w:pPr>
      <w:r w:rsidRPr="00BC264D">
        <w:rPr>
          <w:bCs/>
          <w:sz w:val="28"/>
          <w:szCs w:val="28"/>
        </w:rPr>
        <w:t xml:space="preserve">В соответствии с Приказом Министерства транспорта Тверской области от 29.06.2020 № 267 «Об утверждении методики прогнозирования поступлений доходов» расчет </w:t>
      </w:r>
      <w:r w:rsidRPr="00BC264D">
        <w:rPr>
          <w:sz w:val="28"/>
          <w:szCs w:val="28"/>
        </w:rPr>
        <w:t>прогноза поступления платы на текущий год, очередной финансовый год и на плановый период</w:t>
      </w:r>
      <w:r w:rsidRPr="00BC264D">
        <w:rPr>
          <w:bCs/>
          <w:sz w:val="28"/>
          <w:szCs w:val="28"/>
        </w:rPr>
        <w:t xml:space="preserve"> осуществлен Министерством транспорта Тверской области</w:t>
      </w:r>
      <w:r w:rsidRPr="00BC264D">
        <w:rPr>
          <w:color w:val="000000"/>
          <w:sz w:val="28"/>
          <w:szCs w:val="28"/>
        </w:rPr>
        <w:t xml:space="preserve"> исходя из фактических поступлений на дату составления прогноза (отчетную дату) и планируемого </w:t>
      </w:r>
      <w:r w:rsidRPr="00BC264D">
        <w:rPr>
          <w:color w:val="000000"/>
          <w:sz w:val="28"/>
          <w:szCs w:val="28"/>
        </w:rPr>
        <w:lastRenderedPageBreak/>
        <w:t>поступления до конца года. Прогноз на первый и второй плановый период рассчитывается на уровне прогноза на очередной финансовый год.</w:t>
      </w:r>
    </w:p>
    <w:p w:rsidR="005D6ACF" w:rsidRPr="00BC264D" w:rsidRDefault="005D6ACF" w:rsidP="00BC264D">
      <w:pPr>
        <w:ind w:firstLine="709"/>
        <w:jc w:val="both"/>
        <w:rPr>
          <w:bCs/>
          <w:sz w:val="28"/>
          <w:szCs w:val="28"/>
        </w:rPr>
      </w:pPr>
      <w:r w:rsidRPr="00BC264D">
        <w:rPr>
          <w:bCs/>
          <w:sz w:val="28"/>
          <w:szCs w:val="28"/>
        </w:rPr>
        <w:t xml:space="preserve">Поступления платы в областной бюджет Тверской области по состоянию на 01.06.2021 составили 0 тыс. руб., планируемая сумма поступлений с 01.06.2021 по 31.12.2021 – 0 тыс. руб. </w:t>
      </w:r>
    </w:p>
    <w:p w:rsidR="005D6ACF" w:rsidRPr="00B62B44" w:rsidRDefault="005D6ACF" w:rsidP="00BC264D">
      <w:pPr>
        <w:ind w:firstLine="709"/>
        <w:jc w:val="both"/>
        <w:rPr>
          <w:sz w:val="28"/>
          <w:szCs w:val="28"/>
        </w:rPr>
      </w:pPr>
      <w:r w:rsidRPr="00BC264D">
        <w:rPr>
          <w:bCs/>
          <w:sz w:val="28"/>
          <w:szCs w:val="28"/>
        </w:rPr>
        <w:t>Таким образом, оценка поступления платы в 2021 году 0 тыс. руб., прогноз поступления</w:t>
      </w:r>
      <w:r>
        <w:rPr>
          <w:sz w:val="28"/>
          <w:szCs w:val="28"/>
        </w:rPr>
        <w:t xml:space="preserve"> платы на 2022 - 2024 годы составит по 0 </w:t>
      </w:r>
      <w:r w:rsidRPr="00B62B44">
        <w:rPr>
          <w:sz w:val="28"/>
          <w:szCs w:val="28"/>
        </w:rPr>
        <w:t>тыс. руб. ежегодно.</w:t>
      </w:r>
    </w:p>
    <w:p w:rsidR="005D6ACF" w:rsidRDefault="005D6ACF" w:rsidP="005D6ACF">
      <w:pPr>
        <w:ind w:firstLine="709"/>
        <w:jc w:val="both"/>
        <w:rPr>
          <w:sz w:val="28"/>
          <w:szCs w:val="28"/>
        </w:rPr>
      </w:pPr>
    </w:p>
    <w:p w:rsidR="005D6ACF" w:rsidRPr="00ED38DE" w:rsidRDefault="005D6ACF" w:rsidP="005D6ACF">
      <w:pPr>
        <w:ind w:firstLine="709"/>
        <w:jc w:val="both"/>
        <w:rPr>
          <w:sz w:val="28"/>
          <w:szCs w:val="28"/>
        </w:rPr>
      </w:pPr>
    </w:p>
    <w:p w:rsidR="005D6ACF" w:rsidRPr="00441BA1" w:rsidRDefault="005D6ACF" w:rsidP="005D6ACF">
      <w:pPr>
        <w:pStyle w:val="21"/>
      </w:pPr>
      <w:r w:rsidRPr="00441BA1">
        <w:rPr>
          <w:b/>
        </w:rPr>
        <w:t>Доходы от перечисления части прибыли, остающейся после уплаты налогов и иных обязательных платежей государственных унитарных предприятий субъектов Российской Федерации (000 1 11 07012 02 0000 120)</w:t>
      </w:r>
      <w:r w:rsidRPr="00441BA1">
        <w:t xml:space="preserve"> </w:t>
      </w:r>
    </w:p>
    <w:p w:rsidR="005D6ACF" w:rsidRDefault="005D6ACF" w:rsidP="005D6ACF">
      <w:pPr>
        <w:pStyle w:val="21"/>
        <w:jc w:val="right"/>
      </w:pPr>
      <w:r w:rsidRPr="00C93A58">
        <w:t>тыс. руб.</w:t>
      </w:r>
    </w:p>
    <w:p w:rsidR="005D6ACF" w:rsidRDefault="005D6ACF" w:rsidP="005D6ACF">
      <w:pPr>
        <w:pStyle w:val="21"/>
        <w:jc w:val="right"/>
      </w:pPr>
    </w:p>
    <w:tbl>
      <w:tblPr>
        <w:tblW w:w="93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63"/>
        <w:gridCol w:w="1324"/>
        <w:gridCol w:w="1324"/>
        <w:gridCol w:w="1282"/>
      </w:tblGrid>
      <w:tr w:rsidR="005D6ACF" w:rsidRPr="000C6C6D" w:rsidTr="008A253E">
        <w:trPr>
          <w:trHeight w:val="355"/>
        </w:trPr>
        <w:tc>
          <w:tcPr>
            <w:tcW w:w="5463" w:type="dxa"/>
            <w:shd w:val="clear" w:color="auto" w:fill="auto"/>
            <w:vAlign w:val="center"/>
          </w:tcPr>
          <w:p w:rsidR="005D6ACF" w:rsidRPr="008F7EB2" w:rsidRDefault="005D6ACF" w:rsidP="008A253E">
            <w:pPr>
              <w:jc w:val="center"/>
              <w:rPr>
                <w:sz w:val="28"/>
                <w:szCs w:val="28"/>
              </w:rPr>
            </w:pPr>
            <w:r w:rsidRPr="008F7EB2">
              <w:rPr>
                <w:bCs/>
                <w:sz w:val="28"/>
                <w:szCs w:val="28"/>
              </w:rPr>
              <w:t>Наименование дохода</w:t>
            </w:r>
          </w:p>
        </w:tc>
        <w:tc>
          <w:tcPr>
            <w:tcW w:w="1324" w:type="dxa"/>
            <w:shd w:val="clear" w:color="auto" w:fill="auto"/>
            <w:vAlign w:val="center"/>
          </w:tcPr>
          <w:p w:rsidR="005D6ACF" w:rsidRPr="008F7EB2" w:rsidRDefault="005D6ACF" w:rsidP="008A253E">
            <w:pPr>
              <w:tabs>
                <w:tab w:val="left" w:pos="851"/>
              </w:tabs>
              <w:jc w:val="center"/>
              <w:rPr>
                <w:sz w:val="28"/>
                <w:szCs w:val="28"/>
              </w:rPr>
            </w:pPr>
            <w:r w:rsidRPr="008F7EB2">
              <w:rPr>
                <w:sz w:val="28"/>
                <w:szCs w:val="28"/>
              </w:rPr>
              <w:t>Прогноз на</w:t>
            </w:r>
          </w:p>
          <w:p w:rsidR="005D6ACF" w:rsidRPr="008F7EB2" w:rsidRDefault="005D6ACF" w:rsidP="008A253E">
            <w:pPr>
              <w:tabs>
                <w:tab w:val="left" w:pos="851"/>
              </w:tabs>
              <w:jc w:val="center"/>
              <w:rPr>
                <w:sz w:val="28"/>
                <w:szCs w:val="28"/>
              </w:rPr>
            </w:pPr>
            <w:r w:rsidRPr="008F7EB2">
              <w:rPr>
                <w:sz w:val="28"/>
                <w:szCs w:val="28"/>
              </w:rPr>
              <w:t>2022 год</w:t>
            </w:r>
          </w:p>
        </w:tc>
        <w:tc>
          <w:tcPr>
            <w:tcW w:w="1324" w:type="dxa"/>
            <w:shd w:val="clear" w:color="auto" w:fill="auto"/>
            <w:vAlign w:val="center"/>
          </w:tcPr>
          <w:p w:rsidR="005D6ACF" w:rsidRPr="008F7EB2" w:rsidRDefault="005D6ACF" w:rsidP="008A253E">
            <w:pPr>
              <w:tabs>
                <w:tab w:val="left" w:pos="851"/>
              </w:tabs>
              <w:jc w:val="center"/>
              <w:rPr>
                <w:sz w:val="28"/>
                <w:szCs w:val="28"/>
              </w:rPr>
            </w:pPr>
            <w:r w:rsidRPr="008F7EB2">
              <w:rPr>
                <w:sz w:val="28"/>
                <w:szCs w:val="28"/>
              </w:rPr>
              <w:t>Прогноз на</w:t>
            </w:r>
          </w:p>
          <w:p w:rsidR="005D6ACF" w:rsidRPr="008F7EB2" w:rsidRDefault="005D6ACF" w:rsidP="008A253E">
            <w:pPr>
              <w:tabs>
                <w:tab w:val="left" w:pos="851"/>
              </w:tabs>
              <w:jc w:val="center"/>
              <w:rPr>
                <w:sz w:val="28"/>
                <w:szCs w:val="28"/>
              </w:rPr>
            </w:pPr>
            <w:r w:rsidRPr="008F7EB2">
              <w:rPr>
                <w:sz w:val="28"/>
                <w:szCs w:val="28"/>
              </w:rPr>
              <w:t xml:space="preserve"> 2023 год</w:t>
            </w:r>
          </w:p>
        </w:tc>
        <w:tc>
          <w:tcPr>
            <w:tcW w:w="1282" w:type="dxa"/>
            <w:shd w:val="clear" w:color="auto" w:fill="auto"/>
            <w:vAlign w:val="center"/>
          </w:tcPr>
          <w:p w:rsidR="005D6ACF" w:rsidRPr="008F7EB2" w:rsidRDefault="005D6ACF" w:rsidP="008A253E">
            <w:pPr>
              <w:tabs>
                <w:tab w:val="left" w:pos="851"/>
              </w:tabs>
              <w:jc w:val="center"/>
              <w:rPr>
                <w:sz w:val="28"/>
                <w:szCs w:val="28"/>
              </w:rPr>
            </w:pPr>
            <w:r w:rsidRPr="008F7EB2">
              <w:rPr>
                <w:sz w:val="28"/>
                <w:szCs w:val="28"/>
              </w:rPr>
              <w:t>Прогноз на</w:t>
            </w:r>
          </w:p>
          <w:p w:rsidR="005D6ACF" w:rsidRPr="008F7EB2" w:rsidRDefault="005D6ACF" w:rsidP="008A253E">
            <w:pPr>
              <w:tabs>
                <w:tab w:val="left" w:pos="851"/>
              </w:tabs>
              <w:jc w:val="center"/>
              <w:rPr>
                <w:sz w:val="28"/>
                <w:szCs w:val="28"/>
              </w:rPr>
            </w:pPr>
            <w:r w:rsidRPr="008F7EB2">
              <w:rPr>
                <w:sz w:val="28"/>
                <w:szCs w:val="28"/>
              </w:rPr>
              <w:t xml:space="preserve"> 2024 год</w:t>
            </w:r>
          </w:p>
        </w:tc>
      </w:tr>
      <w:tr w:rsidR="005D6ACF" w:rsidRPr="000C6C6D" w:rsidTr="008A253E">
        <w:trPr>
          <w:trHeight w:val="378"/>
        </w:trPr>
        <w:tc>
          <w:tcPr>
            <w:tcW w:w="5463" w:type="dxa"/>
            <w:shd w:val="clear" w:color="auto" w:fill="auto"/>
          </w:tcPr>
          <w:p w:rsidR="005D6ACF" w:rsidRPr="008F7EB2" w:rsidRDefault="005D6ACF" w:rsidP="008A253E">
            <w:pPr>
              <w:rPr>
                <w:sz w:val="28"/>
                <w:szCs w:val="28"/>
              </w:rPr>
            </w:pPr>
            <w:r w:rsidRPr="008F7EB2">
              <w:rPr>
                <w:sz w:val="28"/>
                <w:szCs w:val="28"/>
              </w:rPr>
              <w:t>Доходы от перечисления части прибыли, остающейся после уплаты налогов и иных обязательных платежей государственных унитарных предприятий субъектов Российской Федерации</w:t>
            </w:r>
          </w:p>
        </w:tc>
        <w:tc>
          <w:tcPr>
            <w:tcW w:w="1324" w:type="dxa"/>
            <w:shd w:val="clear" w:color="auto" w:fill="auto"/>
            <w:vAlign w:val="center"/>
          </w:tcPr>
          <w:p w:rsidR="005D6ACF" w:rsidRPr="008F7EB2" w:rsidRDefault="005D6ACF" w:rsidP="008A253E">
            <w:pPr>
              <w:autoSpaceDE w:val="0"/>
              <w:autoSpaceDN w:val="0"/>
              <w:adjustRightInd w:val="0"/>
              <w:jc w:val="center"/>
              <w:rPr>
                <w:sz w:val="28"/>
                <w:szCs w:val="28"/>
              </w:rPr>
            </w:pPr>
            <w:r w:rsidRPr="008F7EB2">
              <w:rPr>
                <w:sz w:val="28"/>
                <w:szCs w:val="28"/>
              </w:rPr>
              <w:t>1 505,6</w:t>
            </w:r>
          </w:p>
        </w:tc>
        <w:tc>
          <w:tcPr>
            <w:tcW w:w="1324" w:type="dxa"/>
            <w:shd w:val="clear" w:color="auto" w:fill="auto"/>
            <w:vAlign w:val="center"/>
          </w:tcPr>
          <w:p w:rsidR="005D6ACF" w:rsidRPr="008F7EB2" w:rsidRDefault="005D6ACF" w:rsidP="008A253E">
            <w:pPr>
              <w:autoSpaceDE w:val="0"/>
              <w:autoSpaceDN w:val="0"/>
              <w:adjustRightInd w:val="0"/>
              <w:jc w:val="center"/>
              <w:rPr>
                <w:sz w:val="28"/>
                <w:szCs w:val="28"/>
              </w:rPr>
            </w:pPr>
            <w:r w:rsidRPr="008F7EB2">
              <w:rPr>
                <w:sz w:val="28"/>
                <w:szCs w:val="28"/>
              </w:rPr>
              <w:t>1 763,6</w:t>
            </w:r>
          </w:p>
        </w:tc>
        <w:tc>
          <w:tcPr>
            <w:tcW w:w="1282" w:type="dxa"/>
            <w:shd w:val="clear" w:color="auto" w:fill="auto"/>
            <w:vAlign w:val="center"/>
          </w:tcPr>
          <w:p w:rsidR="005D6ACF" w:rsidRPr="008F7EB2" w:rsidRDefault="005D6ACF" w:rsidP="008A253E">
            <w:pPr>
              <w:autoSpaceDE w:val="0"/>
              <w:autoSpaceDN w:val="0"/>
              <w:adjustRightInd w:val="0"/>
              <w:jc w:val="center"/>
              <w:rPr>
                <w:sz w:val="28"/>
                <w:szCs w:val="28"/>
              </w:rPr>
            </w:pPr>
            <w:r w:rsidRPr="008F7EB2">
              <w:rPr>
                <w:sz w:val="28"/>
                <w:szCs w:val="28"/>
              </w:rPr>
              <w:t>2 002,0</w:t>
            </w:r>
          </w:p>
        </w:tc>
      </w:tr>
    </w:tbl>
    <w:p w:rsidR="005D6ACF" w:rsidRPr="00C93A58" w:rsidRDefault="005D6ACF" w:rsidP="005D6ACF">
      <w:pPr>
        <w:pStyle w:val="21"/>
        <w:jc w:val="right"/>
      </w:pPr>
    </w:p>
    <w:p w:rsidR="005D6ACF" w:rsidRPr="00C93A58" w:rsidRDefault="005D6ACF" w:rsidP="005D6ACF">
      <w:pPr>
        <w:pStyle w:val="21"/>
        <w:rPr>
          <w:b/>
          <w:bCs/>
        </w:rPr>
      </w:pPr>
    </w:p>
    <w:p w:rsidR="005D6ACF" w:rsidRPr="00C93A58" w:rsidRDefault="005D6ACF" w:rsidP="005D6ACF">
      <w:pPr>
        <w:pStyle w:val="ConsPlusNormal"/>
        <w:ind w:firstLine="709"/>
        <w:jc w:val="both"/>
        <w:rPr>
          <w:rFonts w:ascii="Times New Roman" w:hAnsi="Times New Roman" w:cs="Times New Roman"/>
          <w:sz w:val="28"/>
          <w:szCs w:val="28"/>
        </w:rPr>
      </w:pPr>
      <w:r w:rsidRPr="00C93A58">
        <w:rPr>
          <w:rFonts w:ascii="Times New Roman" w:hAnsi="Times New Roman" w:cs="Times New Roman"/>
          <w:sz w:val="28"/>
          <w:szCs w:val="28"/>
        </w:rPr>
        <w:t>В соответствии с Методикой расчет прогноза поступлений на очередной финансовый год и плановый период по данному доходному источнику осуществляется с применением метода прямого расчета по следующей формуле:</w:t>
      </w:r>
    </w:p>
    <w:p w:rsidR="005D6ACF" w:rsidRPr="00C93A58" w:rsidRDefault="005D6ACF" w:rsidP="005D6ACF">
      <w:pPr>
        <w:pStyle w:val="ConsPlusNormal"/>
        <w:tabs>
          <w:tab w:val="left" w:pos="6096"/>
        </w:tabs>
        <w:ind w:firstLine="540"/>
        <w:jc w:val="both"/>
        <w:rPr>
          <w:rFonts w:ascii="Times New Roman" w:hAnsi="Times New Roman" w:cs="Times New Roman"/>
          <w:sz w:val="28"/>
          <w:szCs w:val="28"/>
        </w:rPr>
      </w:pPr>
      <w:r w:rsidRPr="00C93A58">
        <w:rPr>
          <w:rFonts w:ascii="Times New Roman" w:hAnsi="Times New Roman" w:cs="Times New Roman"/>
          <w:sz w:val="28"/>
          <w:szCs w:val="28"/>
        </w:rPr>
        <w:t xml:space="preserve">                                                 к  </w:t>
      </w:r>
    </w:p>
    <w:p w:rsidR="005D6ACF" w:rsidRPr="00C93A58" w:rsidRDefault="005D6ACF" w:rsidP="005D6ACF">
      <w:pPr>
        <w:pStyle w:val="ConsPlusNormal"/>
        <w:tabs>
          <w:tab w:val="left" w:pos="6096"/>
        </w:tabs>
        <w:ind w:firstLine="540"/>
        <w:rPr>
          <w:rFonts w:ascii="Times New Roman" w:hAnsi="Times New Roman" w:cs="Times New Roman"/>
          <w:sz w:val="28"/>
          <w:szCs w:val="28"/>
        </w:rPr>
      </w:pPr>
      <w:r w:rsidRPr="00C93A58">
        <w:rPr>
          <w:rFonts w:ascii="Times New Roman" w:hAnsi="Times New Roman" w:cs="Times New Roman"/>
          <w:sz w:val="28"/>
          <w:szCs w:val="28"/>
        </w:rPr>
        <w:t xml:space="preserve">                                     Дпр = ∑ (ЧП × </w:t>
      </w:r>
      <w:r w:rsidRPr="00C93A58">
        <w:rPr>
          <w:rFonts w:ascii="Times New Roman" w:hAnsi="Times New Roman" w:cs="Times New Roman"/>
          <w:sz w:val="28"/>
          <w:szCs w:val="28"/>
          <w:lang w:val="en-US"/>
        </w:rPr>
        <w:t>H</w:t>
      </w:r>
      <w:r w:rsidRPr="00C93A58">
        <w:rPr>
          <w:rFonts w:ascii="Times New Roman" w:hAnsi="Times New Roman" w:cs="Times New Roman"/>
          <w:sz w:val="28"/>
          <w:szCs w:val="28"/>
        </w:rPr>
        <w:t>) / 100, где</w:t>
      </w:r>
    </w:p>
    <w:p w:rsidR="005D6ACF" w:rsidRPr="00C93A58" w:rsidRDefault="005D6ACF" w:rsidP="005D6ACF">
      <w:pPr>
        <w:pStyle w:val="ConsPlusNormal"/>
        <w:tabs>
          <w:tab w:val="left" w:pos="6096"/>
        </w:tabs>
        <w:ind w:firstLine="540"/>
        <w:jc w:val="both"/>
        <w:rPr>
          <w:rFonts w:ascii="Times New Roman" w:hAnsi="Times New Roman" w:cs="Times New Roman"/>
          <w:sz w:val="28"/>
          <w:szCs w:val="28"/>
        </w:rPr>
      </w:pPr>
      <w:r w:rsidRPr="00C93A58">
        <w:rPr>
          <w:rFonts w:ascii="Times New Roman" w:hAnsi="Times New Roman" w:cs="Times New Roman"/>
          <w:sz w:val="28"/>
          <w:szCs w:val="28"/>
        </w:rPr>
        <w:t xml:space="preserve">                                               </w:t>
      </w:r>
      <w:r w:rsidRPr="00C93A58">
        <w:rPr>
          <w:rFonts w:ascii="Times New Roman" w:hAnsi="Times New Roman" w:cs="Times New Roman"/>
          <w:sz w:val="28"/>
          <w:szCs w:val="28"/>
          <w:lang w:val="en-US"/>
        </w:rPr>
        <w:t>i</w:t>
      </w:r>
      <w:r w:rsidRPr="00C93A58">
        <w:rPr>
          <w:rFonts w:ascii="Times New Roman" w:hAnsi="Times New Roman" w:cs="Times New Roman"/>
          <w:sz w:val="28"/>
          <w:szCs w:val="28"/>
        </w:rPr>
        <w:t xml:space="preserve"> = 1 </w:t>
      </w:r>
    </w:p>
    <w:p w:rsidR="005D6ACF" w:rsidRPr="00C93A58" w:rsidRDefault="005D6ACF" w:rsidP="005D6ACF">
      <w:pPr>
        <w:pStyle w:val="ConsPlusNormal"/>
        <w:tabs>
          <w:tab w:val="left" w:pos="6096"/>
        </w:tabs>
        <w:ind w:firstLine="540"/>
        <w:jc w:val="both"/>
        <w:rPr>
          <w:rFonts w:ascii="Times New Roman" w:hAnsi="Times New Roman" w:cs="Times New Roman"/>
          <w:sz w:val="28"/>
          <w:szCs w:val="28"/>
        </w:rPr>
      </w:pPr>
    </w:p>
    <w:p w:rsidR="005D6ACF" w:rsidRPr="00C93A58" w:rsidRDefault="005D6ACF" w:rsidP="005D6ACF">
      <w:pPr>
        <w:pStyle w:val="ConsPlusNormal"/>
        <w:ind w:firstLine="709"/>
        <w:jc w:val="both"/>
        <w:rPr>
          <w:rFonts w:ascii="Times New Roman" w:hAnsi="Times New Roman" w:cs="Times New Roman"/>
          <w:sz w:val="28"/>
          <w:szCs w:val="28"/>
        </w:rPr>
      </w:pPr>
      <w:r w:rsidRPr="00C93A58">
        <w:rPr>
          <w:rFonts w:ascii="Times New Roman" w:hAnsi="Times New Roman" w:cs="Times New Roman"/>
          <w:sz w:val="28"/>
          <w:szCs w:val="28"/>
        </w:rPr>
        <w:t>к - количество прибыльных государственных унитарных предприятий;</w:t>
      </w:r>
    </w:p>
    <w:p w:rsidR="005D6ACF" w:rsidRPr="00C93A58" w:rsidRDefault="005D6ACF" w:rsidP="005D6ACF">
      <w:pPr>
        <w:pStyle w:val="ConsPlusNormal"/>
        <w:ind w:firstLine="709"/>
        <w:jc w:val="both"/>
        <w:rPr>
          <w:rFonts w:ascii="Times New Roman" w:hAnsi="Times New Roman" w:cs="Times New Roman"/>
          <w:sz w:val="28"/>
          <w:szCs w:val="28"/>
        </w:rPr>
      </w:pPr>
      <w:r w:rsidRPr="00C93A58">
        <w:rPr>
          <w:rFonts w:ascii="Times New Roman" w:hAnsi="Times New Roman" w:cs="Times New Roman"/>
          <w:sz w:val="28"/>
          <w:szCs w:val="28"/>
        </w:rPr>
        <w:t>ЧП - чистая прибыль государственного унитарного предприятия, остающаяся у унитарного предприятия после уплаты налога и обязательных платежей, за год, предшествующий прогнозируемому году;</w:t>
      </w:r>
    </w:p>
    <w:p w:rsidR="005D6ACF" w:rsidRPr="00C93A58" w:rsidRDefault="005D6ACF" w:rsidP="005D6ACF">
      <w:pPr>
        <w:pStyle w:val="ConsPlusNormal"/>
        <w:ind w:firstLine="709"/>
        <w:jc w:val="both"/>
        <w:rPr>
          <w:rFonts w:ascii="Times New Roman" w:hAnsi="Times New Roman" w:cs="Times New Roman"/>
          <w:sz w:val="28"/>
          <w:szCs w:val="28"/>
        </w:rPr>
      </w:pPr>
      <w:r w:rsidRPr="00C93A58">
        <w:rPr>
          <w:rFonts w:ascii="Times New Roman" w:hAnsi="Times New Roman" w:cs="Times New Roman"/>
          <w:sz w:val="28"/>
          <w:szCs w:val="28"/>
        </w:rPr>
        <w:t>Н - норматив отчислений, установленный нормативно- правовым актом (проектом нормативно-правового акта) Правительства Тверской области.</w:t>
      </w:r>
    </w:p>
    <w:p w:rsidR="005D6ACF" w:rsidRPr="003C5B0B" w:rsidRDefault="005D6ACF" w:rsidP="005D6ACF">
      <w:pPr>
        <w:autoSpaceDE w:val="0"/>
        <w:autoSpaceDN w:val="0"/>
        <w:adjustRightInd w:val="0"/>
        <w:ind w:firstLine="709"/>
        <w:jc w:val="both"/>
        <w:rPr>
          <w:sz w:val="28"/>
          <w:szCs w:val="28"/>
        </w:rPr>
      </w:pPr>
      <w:r w:rsidRPr="003C5B0B">
        <w:rPr>
          <w:sz w:val="28"/>
          <w:szCs w:val="28"/>
        </w:rPr>
        <w:t>Прогнозная величина чистой прибыли каждого государственного унитарного предприятия Тверской области определяется на основании утвержденных планов финансово-хозяйственной деятельности государственных унитарных предприятий Тверской области.</w:t>
      </w:r>
    </w:p>
    <w:p w:rsidR="005D6ACF" w:rsidRPr="005459B3" w:rsidRDefault="005D6ACF" w:rsidP="005D6ACF">
      <w:pPr>
        <w:pStyle w:val="ConsPlusNormal"/>
        <w:ind w:firstLine="709"/>
        <w:jc w:val="both"/>
        <w:rPr>
          <w:rFonts w:ascii="Times New Roman" w:hAnsi="Times New Roman" w:cs="Times New Roman"/>
          <w:sz w:val="28"/>
          <w:szCs w:val="28"/>
        </w:rPr>
      </w:pPr>
      <w:r w:rsidRPr="005459B3">
        <w:rPr>
          <w:rFonts w:ascii="Times New Roman" w:hAnsi="Times New Roman" w:cs="Times New Roman"/>
          <w:sz w:val="28"/>
          <w:szCs w:val="28"/>
        </w:rPr>
        <w:lastRenderedPageBreak/>
        <w:t>Согласно статье 13 закона Тверской области от 09.04.2002 № 23-ЗО                              «Об управлении государственным имуществом Тверской области» унитарные предприятия, основанные на праве хозяйственного ведения, ежегодно перечисляют в областной бюджет Тверской области часть прибыли от использования государственного имущества, находящегося в хозяйственном ведении, остающейся у унитарного предприятия после уплаты налогов и иных обязательных платежей.</w:t>
      </w:r>
    </w:p>
    <w:p w:rsidR="005D6ACF" w:rsidRPr="005459B3" w:rsidRDefault="005D6ACF" w:rsidP="005D6ACF">
      <w:pPr>
        <w:pStyle w:val="ConsPlusNormal"/>
        <w:ind w:firstLine="709"/>
        <w:jc w:val="both"/>
        <w:rPr>
          <w:rFonts w:ascii="Times New Roman" w:hAnsi="Times New Roman" w:cs="Times New Roman"/>
          <w:sz w:val="28"/>
          <w:szCs w:val="28"/>
        </w:rPr>
      </w:pPr>
      <w:r w:rsidRPr="005459B3">
        <w:rPr>
          <w:rFonts w:ascii="Times New Roman" w:hAnsi="Times New Roman" w:cs="Times New Roman"/>
          <w:sz w:val="28"/>
          <w:szCs w:val="28"/>
        </w:rPr>
        <w:t xml:space="preserve">Размер части прибыли унитарных предприятий от использования государственного имущества, находящегося в хозяйственном ведении унитарных предприятий, остающейся у них после уплаты налогов и иных обязательных платежей, порядок и сроки ее перечисления утверждаются Правительством Тверской области. </w:t>
      </w:r>
    </w:p>
    <w:p w:rsidR="005D6ACF" w:rsidRPr="005459B3" w:rsidRDefault="005D6ACF" w:rsidP="005D6ACF">
      <w:pPr>
        <w:pStyle w:val="ConsPlusNormal"/>
        <w:ind w:firstLine="709"/>
        <w:jc w:val="both"/>
        <w:rPr>
          <w:rFonts w:ascii="Times New Roman" w:hAnsi="Times New Roman" w:cs="Times New Roman"/>
          <w:sz w:val="28"/>
          <w:szCs w:val="28"/>
        </w:rPr>
      </w:pPr>
      <w:r w:rsidRPr="005459B3">
        <w:rPr>
          <w:rFonts w:ascii="Times New Roman" w:hAnsi="Times New Roman" w:cs="Times New Roman"/>
          <w:sz w:val="28"/>
          <w:szCs w:val="28"/>
        </w:rPr>
        <w:t>Размер отчислений от прибыли государственных унитарных предприятий установлен постановлением Правительства Тверской области от 28.10.2016 № 360-пп и составляет 25 %.</w:t>
      </w:r>
    </w:p>
    <w:p w:rsidR="005D6ACF" w:rsidRPr="00C93A58" w:rsidRDefault="005D6ACF" w:rsidP="005D6ACF">
      <w:pPr>
        <w:tabs>
          <w:tab w:val="left" w:pos="1134"/>
        </w:tabs>
        <w:ind w:firstLine="720"/>
        <w:jc w:val="both"/>
        <w:rPr>
          <w:sz w:val="28"/>
          <w:szCs w:val="28"/>
        </w:rPr>
      </w:pPr>
    </w:p>
    <w:p w:rsidR="005D6ACF" w:rsidRDefault="005D6ACF" w:rsidP="005D6ACF">
      <w:pPr>
        <w:tabs>
          <w:tab w:val="left" w:pos="1134"/>
        </w:tabs>
        <w:ind w:firstLine="720"/>
        <w:jc w:val="right"/>
        <w:rPr>
          <w:b/>
          <w:sz w:val="28"/>
          <w:szCs w:val="28"/>
        </w:rPr>
      </w:pPr>
      <w:r w:rsidRPr="00C93A58">
        <w:rPr>
          <w:b/>
          <w:sz w:val="28"/>
          <w:szCs w:val="28"/>
        </w:rPr>
        <w:t>тыс. руб.</w:t>
      </w:r>
    </w:p>
    <w:tbl>
      <w:tblPr>
        <w:tblW w:w="10634" w:type="dxa"/>
        <w:tblInd w:w="-856" w:type="dxa"/>
        <w:tblLook w:val="04A0" w:firstRow="1" w:lastRow="0" w:firstColumn="1" w:lastColumn="0" w:noHBand="0" w:noVBand="1"/>
      </w:tblPr>
      <w:tblGrid>
        <w:gridCol w:w="516"/>
        <w:gridCol w:w="2274"/>
        <w:gridCol w:w="1340"/>
        <w:gridCol w:w="1273"/>
        <w:gridCol w:w="1340"/>
        <w:gridCol w:w="1273"/>
        <w:gridCol w:w="1340"/>
        <w:gridCol w:w="1262"/>
        <w:gridCol w:w="16"/>
      </w:tblGrid>
      <w:tr w:rsidR="005D6ACF" w:rsidTr="008A253E">
        <w:trPr>
          <w:trHeight w:val="420"/>
        </w:trPr>
        <w:tc>
          <w:tcPr>
            <w:tcW w:w="5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6ACF" w:rsidRPr="008F7EB2" w:rsidRDefault="005D6ACF" w:rsidP="008A253E">
            <w:pPr>
              <w:jc w:val="center"/>
              <w:rPr>
                <w:color w:val="000000"/>
              </w:rPr>
            </w:pPr>
            <w:r w:rsidRPr="008F7EB2">
              <w:rPr>
                <w:color w:val="000000"/>
              </w:rPr>
              <w:t> </w:t>
            </w:r>
          </w:p>
        </w:tc>
        <w:tc>
          <w:tcPr>
            <w:tcW w:w="22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6ACF" w:rsidRPr="008F7EB2" w:rsidRDefault="005D6ACF" w:rsidP="008A253E">
            <w:pPr>
              <w:jc w:val="center"/>
              <w:rPr>
                <w:color w:val="000000"/>
              </w:rPr>
            </w:pPr>
            <w:r w:rsidRPr="008F7EB2">
              <w:rPr>
                <w:color w:val="000000"/>
              </w:rPr>
              <w:t> </w:t>
            </w:r>
          </w:p>
        </w:tc>
        <w:tc>
          <w:tcPr>
            <w:tcW w:w="7844" w:type="dxa"/>
            <w:gridSpan w:val="7"/>
            <w:tcBorders>
              <w:top w:val="single" w:sz="4" w:space="0" w:color="auto"/>
              <w:left w:val="nil"/>
              <w:bottom w:val="single" w:sz="4" w:space="0" w:color="auto"/>
              <w:right w:val="single" w:sz="4" w:space="0" w:color="auto"/>
            </w:tcBorders>
            <w:shd w:val="clear" w:color="auto" w:fill="auto"/>
            <w:vAlign w:val="center"/>
            <w:hideMark/>
          </w:tcPr>
          <w:p w:rsidR="005D6ACF" w:rsidRPr="008F7EB2" w:rsidRDefault="005D6ACF" w:rsidP="008A253E">
            <w:pPr>
              <w:jc w:val="center"/>
              <w:rPr>
                <w:b/>
                <w:bCs/>
                <w:color w:val="000000"/>
              </w:rPr>
            </w:pPr>
            <w:r w:rsidRPr="008F7EB2">
              <w:rPr>
                <w:b/>
                <w:bCs/>
                <w:color w:val="000000"/>
              </w:rPr>
              <w:t>ПРОГНОЗ ДОХОДОВ</w:t>
            </w:r>
          </w:p>
        </w:tc>
      </w:tr>
      <w:tr w:rsidR="005D6ACF" w:rsidTr="008A253E">
        <w:trPr>
          <w:gridAfter w:val="1"/>
          <w:wAfter w:w="16" w:type="dxa"/>
          <w:trHeight w:val="300"/>
        </w:trPr>
        <w:tc>
          <w:tcPr>
            <w:tcW w:w="516" w:type="dxa"/>
            <w:vMerge/>
            <w:tcBorders>
              <w:top w:val="single" w:sz="4" w:space="0" w:color="auto"/>
              <w:left w:val="single" w:sz="4" w:space="0" w:color="auto"/>
              <w:bottom w:val="single" w:sz="4" w:space="0" w:color="auto"/>
              <w:right w:val="single" w:sz="4" w:space="0" w:color="auto"/>
            </w:tcBorders>
            <w:vAlign w:val="center"/>
            <w:hideMark/>
          </w:tcPr>
          <w:p w:rsidR="005D6ACF" w:rsidRPr="008F7EB2" w:rsidRDefault="005D6ACF" w:rsidP="008A253E">
            <w:pPr>
              <w:rPr>
                <w:color w:val="000000"/>
              </w:rPr>
            </w:pPr>
          </w:p>
        </w:tc>
        <w:tc>
          <w:tcPr>
            <w:tcW w:w="2274" w:type="dxa"/>
            <w:vMerge/>
            <w:tcBorders>
              <w:top w:val="single" w:sz="4" w:space="0" w:color="auto"/>
              <w:left w:val="single" w:sz="4" w:space="0" w:color="auto"/>
              <w:bottom w:val="single" w:sz="4" w:space="0" w:color="auto"/>
              <w:right w:val="single" w:sz="4" w:space="0" w:color="auto"/>
            </w:tcBorders>
            <w:vAlign w:val="center"/>
            <w:hideMark/>
          </w:tcPr>
          <w:p w:rsidR="005D6ACF" w:rsidRPr="008F7EB2" w:rsidRDefault="005D6ACF" w:rsidP="008A253E">
            <w:pPr>
              <w:rPr>
                <w:color w:val="000000"/>
              </w:rPr>
            </w:pPr>
          </w:p>
        </w:tc>
        <w:tc>
          <w:tcPr>
            <w:tcW w:w="2613" w:type="dxa"/>
            <w:gridSpan w:val="2"/>
            <w:tcBorders>
              <w:top w:val="single" w:sz="4" w:space="0" w:color="auto"/>
              <w:left w:val="nil"/>
              <w:bottom w:val="single" w:sz="4" w:space="0" w:color="auto"/>
              <w:right w:val="single" w:sz="4" w:space="0" w:color="auto"/>
            </w:tcBorders>
            <w:shd w:val="clear" w:color="auto" w:fill="auto"/>
            <w:vAlign w:val="center"/>
            <w:hideMark/>
          </w:tcPr>
          <w:p w:rsidR="005D6ACF" w:rsidRPr="008F7EB2" w:rsidRDefault="005D6ACF" w:rsidP="008A253E">
            <w:pPr>
              <w:jc w:val="center"/>
              <w:rPr>
                <w:b/>
                <w:bCs/>
                <w:color w:val="000000"/>
              </w:rPr>
            </w:pPr>
            <w:r w:rsidRPr="008F7EB2">
              <w:rPr>
                <w:b/>
                <w:bCs/>
                <w:color w:val="000000"/>
              </w:rPr>
              <w:t>2022 год</w:t>
            </w:r>
          </w:p>
        </w:tc>
        <w:tc>
          <w:tcPr>
            <w:tcW w:w="2613" w:type="dxa"/>
            <w:gridSpan w:val="2"/>
            <w:tcBorders>
              <w:top w:val="single" w:sz="4" w:space="0" w:color="auto"/>
              <w:left w:val="nil"/>
              <w:bottom w:val="single" w:sz="4" w:space="0" w:color="auto"/>
              <w:right w:val="single" w:sz="4" w:space="0" w:color="auto"/>
            </w:tcBorders>
            <w:shd w:val="clear" w:color="auto" w:fill="auto"/>
            <w:vAlign w:val="center"/>
            <w:hideMark/>
          </w:tcPr>
          <w:p w:rsidR="005D6ACF" w:rsidRPr="008F7EB2" w:rsidRDefault="005D6ACF" w:rsidP="008A253E">
            <w:pPr>
              <w:jc w:val="center"/>
              <w:rPr>
                <w:b/>
                <w:bCs/>
                <w:color w:val="000000"/>
              </w:rPr>
            </w:pPr>
            <w:r w:rsidRPr="008F7EB2">
              <w:rPr>
                <w:b/>
                <w:bCs/>
                <w:color w:val="000000"/>
              </w:rPr>
              <w:t>2023 год</w:t>
            </w:r>
          </w:p>
        </w:tc>
        <w:tc>
          <w:tcPr>
            <w:tcW w:w="2602" w:type="dxa"/>
            <w:gridSpan w:val="2"/>
            <w:tcBorders>
              <w:top w:val="single" w:sz="4" w:space="0" w:color="auto"/>
              <w:left w:val="nil"/>
              <w:bottom w:val="single" w:sz="4" w:space="0" w:color="auto"/>
              <w:right w:val="single" w:sz="4" w:space="0" w:color="auto"/>
            </w:tcBorders>
            <w:shd w:val="clear" w:color="auto" w:fill="auto"/>
            <w:vAlign w:val="center"/>
            <w:hideMark/>
          </w:tcPr>
          <w:p w:rsidR="005D6ACF" w:rsidRPr="008F7EB2" w:rsidRDefault="005D6ACF" w:rsidP="008A253E">
            <w:pPr>
              <w:jc w:val="center"/>
              <w:rPr>
                <w:b/>
                <w:bCs/>
                <w:color w:val="000000"/>
              </w:rPr>
            </w:pPr>
            <w:r w:rsidRPr="008F7EB2">
              <w:rPr>
                <w:b/>
                <w:bCs/>
                <w:color w:val="000000"/>
              </w:rPr>
              <w:t>2024 год</w:t>
            </w:r>
          </w:p>
        </w:tc>
      </w:tr>
      <w:tr w:rsidR="005D6ACF" w:rsidTr="008A253E">
        <w:trPr>
          <w:trHeight w:val="450"/>
        </w:trPr>
        <w:tc>
          <w:tcPr>
            <w:tcW w:w="516" w:type="dxa"/>
            <w:vMerge/>
            <w:tcBorders>
              <w:top w:val="single" w:sz="4" w:space="0" w:color="auto"/>
              <w:left w:val="single" w:sz="4" w:space="0" w:color="auto"/>
              <w:bottom w:val="single" w:sz="4" w:space="0" w:color="auto"/>
              <w:right w:val="single" w:sz="4" w:space="0" w:color="auto"/>
            </w:tcBorders>
            <w:vAlign w:val="center"/>
            <w:hideMark/>
          </w:tcPr>
          <w:p w:rsidR="005D6ACF" w:rsidRPr="008F7EB2" w:rsidRDefault="005D6ACF" w:rsidP="008A253E">
            <w:pPr>
              <w:rPr>
                <w:color w:val="000000"/>
              </w:rPr>
            </w:pPr>
          </w:p>
        </w:tc>
        <w:tc>
          <w:tcPr>
            <w:tcW w:w="2274" w:type="dxa"/>
            <w:vMerge/>
            <w:tcBorders>
              <w:top w:val="single" w:sz="4" w:space="0" w:color="auto"/>
              <w:left w:val="single" w:sz="4" w:space="0" w:color="auto"/>
              <w:bottom w:val="single" w:sz="4" w:space="0" w:color="auto"/>
              <w:right w:val="single" w:sz="4" w:space="0" w:color="auto"/>
            </w:tcBorders>
            <w:vAlign w:val="center"/>
            <w:hideMark/>
          </w:tcPr>
          <w:p w:rsidR="005D6ACF" w:rsidRPr="008F7EB2" w:rsidRDefault="005D6ACF" w:rsidP="008A253E">
            <w:pPr>
              <w:rPr>
                <w:color w:val="000000"/>
              </w:rPr>
            </w:pPr>
          </w:p>
        </w:tc>
        <w:tc>
          <w:tcPr>
            <w:tcW w:w="1340" w:type="dxa"/>
            <w:vMerge w:val="restart"/>
            <w:tcBorders>
              <w:top w:val="nil"/>
              <w:left w:val="single" w:sz="4" w:space="0" w:color="auto"/>
              <w:bottom w:val="single" w:sz="4" w:space="0" w:color="auto"/>
              <w:right w:val="single" w:sz="4" w:space="0" w:color="auto"/>
            </w:tcBorders>
            <w:shd w:val="clear" w:color="auto" w:fill="auto"/>
            <w:vAlign w:val="center"/>
            <w:hideMark/>
          </w:tcPr>
          <w:p w:rsidR="005D6ACF" w:rsidRPr="008F7EB2" w:rsidRDefault="005D6ACF" w:rsidP="008A253E">
            <w:pPr>
              <w:jc w:val="center"/>
              <w:rPr>
                <w:color w:val="000000"/>
              </w:rPr>
            </w:pPr>
            <w:r w:rsidRPr="008F7EB2">
              <w:rPr>
                <w:color w:val="000000"/>
              </w:rPr>
              <w:t>Прибыль по итогам 2021 г., от которой произво</w:t>
            </w:r>
            <w:r w:rsidRPr="008F7EB2">
              <w:rPr>
                <w:color w:val="000000"/>
              </w:rPr>
              <w:softHyphen/>
              <w:t>дится расчет части прибыли, подлежа</w:t>
            </w:r>
            <w:r w:rsidRPr="008F7EB2">
              <w:rPr>
                <w:color w:val="000000"/>
              </w:rPr>
              <w:softHyphen/>
              <w:t>щей перечисле</w:t>
            </w:r>
            <w:r w:rsidRPr="008F7EB2">
              <w:rPr>
                <w:color w:val="000000"/>
              </w:rPr>
              <w:softHyphen/>
              <w:t>нию в областной бюджет Тверской</w:t>
            </w:r>
          </w:p>
        </w:tc>
        <w:tc>
          <w:tcPr>
            <w:tcW w:w="1273" w:type="dxa"/>
            <w:vMerge w:val="restart"/>
            <w:tcBorders>
              <w:top w:val="nil"/>
              <w:left w:val="single" w:sz="4" w:space="0" w:color="auto"/>
              <w:bottom w:val="single" w:sz="4" w:space="0" w:color="auto"/>
              <w:right w:val="single" w:sz="4" w:space="0" w:color="auto"/>
            </w:tcBorders>
            <w:shd w:val="clear" w:color="auto" w:fill="auto"/>
            <w:vAlign w:val="center"/>
            <w:hideMark/>
          </w:tcPr>
          <w:p w:rsidR="005D6ACF" w:rsidRPr="008F7EB2" w:rsidRDefault="005D6ACF" w:rsidP="008A253E">
            <w:pPr>
              <w:jc w:val="center"/>
              <w:rPr>
                <w:color w:val="000000"/>
              </w:rPr>
            </w:pPr>
            <w:r w:rsidRPr="008F7EB2">
              <w:rPr>
                <w:bCs/>
                <w:color w:val="000000"/>
              </w:rPr>
              <w:t>Прогноз поступле</w:t>
            </w:r>
            <w:r w:rsidRPr="008F7EB2">
              <w:rPr>
                <w:bCs/>
                <w:color w:val="000000"/>
              </w:rPr>
              <w:softHyphen/>
              <w:t>ний в областной бюджет Тверской области исходя из размера 25%</w:t>
            </w:r>
          </w:p>
        </w:tc>
        <w:tc>
          <w:tcPr>
            <w:tcW w:w="1340" w:type="dxa"/>
            <w:vMerge w:val="restart"/>
            <w:tcBorders>
              <w:top w:val="nil"/>
              <w:left w:val="single" w:sz="4" w:space="0" w:color="auto"/>
              <w:bottom w:val="single" w:sz="4" w:space="0" w:color="auto"/>
              <w:right w:val="single" w:sz="4" w:space="0" w:color="auto"/>
            </w:tcBorders>
            <w:shd w:val="clear" w:color="auto" w:fill="auto"/>
            <w:vAlign w:val="center"/>
            <w:hideMark/>
          </w:tcPr>
          <w:p w:rsidR="005D6ACF" w:rsidRPr="008F7EB2" w:rsidRDefault="005D6ACF" w:rsidP="008A253E">
            <w:pPr>
              <w:jc w:val="center"/>
              <w:rPr>
                <w:color w:val="000000"/>
              </w:rPr>
            </w:pPr>
            <w:r w:rsidRPr="008F7EB2">
              <w:rPr>
                <w:color w:val="000000"/>
              </w:rPr>
              <w:t>Прибыль по итогам  2022 г., от которой произво</w:t>
            </w:r>
            <w:r w:rsidRPr="008F7EB2">
              <w:rPr>
                <w:color w:val="000000"/>
              </w:rPr>
              <w:softHyphen/>
              <w:t>дится расчет части прибыли, подлежа</w:t>
            </w:r>
            <w:r w:rsidRPr="008F7EB2">
              <w:rPr>
                <w:color w:val="000000"/>
              </w:rPr>
              <w:softHyphen/>
              <w:t>щей перечисле</w:t>
            </w:r>
            <w:r w:rsidRPr="008F7EB2">
              <w:rPr>
                <w:color w:val="000000"/>
              </w:rPr>
              <w:softHyphen/>
              <w:t>нию в областной бюджет Тверской</w:t>
            </w:r>
          </w:p>
        </w:tc>
        <w:tc>
          <w:tcPr>
            <w:tcW w:w="1273" w:type="dxa"/>
            <w:vMerge w:val="restart"/>
            <w:tcBorders>
              <w:top w:val="nil"/>
              <w:left w:val="single" w:sz="4" w:space="0" w:color="auto"/>
              <w:bottom w:val="single" w:sz="4" w:space="0" w:color="auto"/>
              <w:right w:val="single" w:sz="4" w:space="0" w:color="auto"/>
            </w:tcBorders>
            <w:shd w:val="clear" w:color="auto" w:fill="auto"/>
            <w:vAlign w:val="center"/>
            <w:hideMark/>
          </w:tcPr>
          <w:p w:rsidR="005D6ACF" w:rsidRPr="008F7EB2" w:rsidRDefault="005D6ACF" w:rsidP="008A253E">
            <w:pPr>
              <w:jc w:val="center"/>
              <w:rPr>
                <w:color w:val="000000"/>
              </w:rPr>
            </w:pPr>
            <w:r w:rsidRPr="008F7EB2">
              <w:rPr>
                <w:bCs/>
                <w:color w:val="000000"/>
              </w:rPr>
              <w:t>Прогноз поступле</w:t>
            </w:r>
            <w:r w:rsidRPr="008F7EB2">
              <w:rPr>
                <w:bCs/>
                <w:color w:val="000000"/>
              </w:rPr>
              <w:softHyphen/>
              <w:t>ний в областной бюджет Тверской области исходя из размера 25%</w:t>
            </w:r>
          </w:p>
        </w:tc>
        <w:tc>
          <w:tcPr>
            <w:tcW w:w="1340" w:type="dxa"/>
            <w:vMerge w:val="restart"/>
            <w:tcBorders>
              <w:top w:val="nil"/>
              <w:left w:val="single" w:sz="4" w:space="0" w:color="auto"/>
              <w:bottom w:val="single" w:sz="4" w:space="0" w:color="auto"/>
              <w:right w:val="single" w:sz="4" w:space="0" w:color="auto"/>
            </w:tcBorders>
            <w:shd w:val="clear" w:color="auto" w:fill="auto"/>
            <w:vAlign w:val="center"/>
            <w:hideMark/>
          </w:tcPr>
          <w:p w:rsidR="005D6ACF" w:rsidRPr="008F7EB2" w:rsidRDefault="005D6ACF" w:rsidP="008A253E">
            <w:pPr>
              <w:jc w:val="center"/>
              <w:rPr>
                <w:color w:val="000000"/>
              </w:rPr>
            </w:pPr>
            <w:r w:rsidRPr="008F7EB2">
              <w:rPr>
                <w:color w:val="000000"/>
              </w:rPr>
              <w:t>Прибыль по итогам 2023 г., от которой произво</w:t>
            </w:r>
            <w:r w:rsidRPr="008F7EB2">
              <w:rPr>
                <w:color w:val="000000"/>
              </w:rPr>
              <w:softHyphen/>
              <w:t>дится расчет части прибыли, подлежа</w:t>
            </w:r>
            <w:r w:rsidRPr="008F7EB2">
              <w:rPr>
                <w:color w:val="000000"/>
              </w:rPr>
              <w:softHyphen/>
              <w:t>щей перечисле</w:t>
            </w:r>
            <w:r w:rsidRPr="008F7EB2">
              <w:rPr>
                <w:color w:val="000000"/>
              </w:rPr>
              <w:softHyphen/>
              <w:t>нию в областной бюджет Тверской</w:t>
            </w:r>
          </w:p>
        </w:tc>
        <w:tc>
          <w:tcPr>
            <w:tcW w:w="127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5D6ACF" w:rsidRPr="008F7EB2" w:rsidRDefault="005D6ACF" w:rsidP="008A253E">
            <w:pPr>
              <w:jc w:val="center"/>
              <w:rPr>
                <w:color w:val="000000"/>
              </w:rPr>
            </w:pPr>
            <w:r w:rsidRPr="008F7EB2">
              <w:rPr>
                <w:bCs/>
                <w:color w:val="000000"/>
              </w:rPr>
              <w:t>Прогноз поступле</w:t>
            </w:r>
            <w:r w:rsidRPr="008F7EB2">
              <w:rPr>
                <w:bCs/>
                <w:color w:val="000000"/>
              </w:rPr>
              <w:softHyphen/>
              <w:t>ний в областной бюджет Тверской области исходя из размера 25%</w:t>
            </w:r>
          </w:p>
        </w:tc>
      </w:tr>
      <w:tr w:rsidR="005D6ACF" w:rsidTr="008A253E">
        <w:trPr>
          <w:trHeight w:val="2265"/>
        </w:trPr>
        <w:tc>
          <w:tcPr>
            <w:tcW w:w="516" w:type="dxa"/>
            <w:vMerge/>
            <w:tcBorders>
              <w:top w:val="single" w:sz="4" w:space="0" w:color="auto"/>
              <w:left w:val="single" w:sz="4" w:space="0" w:color="auto"/>
              <w:bottom w:val="single" w:sz="4" w:space="0" w:color="auto"/>
              <w:right w:val="single" w:sz="4" w:space="0" w:color="auto"/>
            </w:tcBorders>
            <w:vAlign w:val="center"/>
            <w:hideMark/>
          </w:tcPr>
          <w:p w:rsidR="005D6ACF" w:rsidRPr="008F7EB2" w:rsidRDefault="005D6ACF" w:rsidP="008A253E">
            <w:pPr>
              <w:rPr>
                <w:color w:val="000000"/>
              </w:rPr>
            </w:pPr>
          </w:p>
        </w:tc>
        <w:tc>
          <w:tcPr>
            <w:tcW w:w="2274" w:type="dxa"/>
            <w:vMerge/>
            <w:tcBorders>
              <w:top w:val="single" w:sz="4" w:space="0" w:color="auto"/>
              <w:left w:val="single" w:sz="4" w:space="0" w:color="auto"/>
              <w:bottom w:val="single" w:sz="4" w:space="0" w:color="auto"/>
              <w:right w:val="single" w:sz="4" w:space="0" w:color="auto"/>
            </w:tcBorders>
            <w:vAlign w:val="center"/>
            <w:hideMark/>
          </w:tcPr>
          <w:p w:rsidR="005D6ACF" w:rsidRPr="008F7EB2" w:rsidRDefault="005D6ACF" w:rsidP="008A253E">
            <w:pPr>
              <w:rPr>
                <w:color w:val="000000"/>
              </w:rPr>
            </w:pPr>
          </w:p>
        </w:tc>
        <w:tc>
          <w:tcPr>
            <w:tcW w:w="1340" w:type="dxa"/>
            <w:vMerge/>
            <w:tcBorders>
              <w:top w:val="nil"/>
              <w:left w:val="single" w:sz="4" w:space="0" w:color="auto"/>
              <w:bottom w:val="single" w:sz="4" w:space="0" w:color="auto"/>
              <w:right w:val="single" w:sz="4" w:space="0" w:color="auto"/>
            </w:tcBorders>
            <w:vAlign w:val="center"/>
            <w:hideMark/>
          </w:tcPr>
          <w:p w:rsidR="005D6ACF" w:rsidRPr="008F7EB2" w:rsidRDefault="005D6ACF" w:rsidP="008A253E">
            <w:pPr>
              <w:rPr>
                <w:color w:val="000000"/>
              </w:rPr>
            </w:pPr>
          </w:p>
        </w:tc>
        <w:tc>
          <w:tcPr>
            <w:tcW w:w="1273" w:type="dxa"/>
            <w:vMerge/>
            <w:tcBorders>
              <w:top w:val="nil"/>
              <w:left w:val="single" w:sz="4" w:space="0" w:color="auto"/>
              <w:bottom w:val="single" w:sz="4" w:space="0" w:color="auto"/>
              <w:right w:val="single" w:sz="4" w:space="0" w:color="auto"/>
            </w:tcBorders>
            <w:vAlign w:val="center"/>
            <w:hideMark/>
          </w:tcPr>
          <w:p w:rsidR="005D6ACF" w:rsidRPr="008F7EB2" w:rsidRDefault="005D6ACF" w:rsidP="008A253E">
            <w:pPr>
              <w:rPr>
                <w:color w:val="000000"/>
              </w:rPr>
            </w:pPr>
          </w:p>
        </w:tc>
        <w:tc>
          <w:tcPr>
            <w:tcW w:w="1340" w:type="dxa"/>
            <w:vMerge/>
            <w:tcBorders>
              <w:top w:val="nil"/>
              <w:left w:val="single" w:sz="4" w:space="0" w:color="auto"/>
              <w:bottom w:val="single" w:sz="4" w:space="0" w:color="auto"/>
              <w:right w:val="single" w:sz="4" w:space="0" w:color="auto"/>
            </w:tcBorders>
            <w:vAlign w:val="center"/>
            <w:hideMark/>
          </w:tcPr>
          <w:p w:rsidR="005D6ACF" w:rsidRPr="008F7EB2" w:rsidRDefault="005D6ACF" w:rsidP="008A253E">
            <w:pPr>
              <w:rPr>
                <w:color w:val="000000"/>
              </w:rPr>
            </w:pPr>
          </w:p>
        </w:tc>
        <w:tc>
          <w:tcPr>
            <w:tcW w:w="1273" w:type="dxa"/>
            <w:vMerge/>
            <w:tcBorders>
              <w:top w:val="nil"/>
              <w:left w:val="single" w:sz="4" w:space="0" w:color="auto"/>
              <w:bottom w:val="single" w:sz="4" w:space="0" w:color="auto"/>
              <w:right w:val="single" w:sz="4" w:space="0" w:color="auto"/>
            </w:tcBorders>
            <w:vAlign w:val="center"/>
            <w:hideMark/>
          </w:tcPr>
          <w:p w:rsidR="005D6ACF" w:rsidRPr="008F7EB2" w:rsidRDefault="005D6ACF" w:rsidP="008A253E">
            <w:pPr>
              <w:rPr>
                <w:color w:val="000000"/>
              </w:rPr>
            </w:pPr>
          </w:p>
        </w:tc>
        <w:tc>
          <w:tcPr>
            <w:tcW w:w="1340" w:type="dxa"/>
            <w:vMerge/>
            <w:tcBorders>
              <w:top w:val="nil"/>
              <w:left w:val="single" w:sz="4" w:space="0" w:color="auto"/>
              <w:bottom w:val="single" w:sz="4" w:space="0" w:color="auto"/>
              <w:right w:val="single" w:sz="4" w:space="0" w:color="auto"/>
            </w:tcBorders>
            <w:vAlign w:val="center"/>
            <w:hideMark/>
          </w:tcPr>
          <w:p w:rsidR="005D6ACF" w:rsidRPr="008F7EB2" w:rsidRDefault="005D6ACF" w:rsidP="008A253E">
            <w:pPr>
              <w:rPr>
                <w:color w:val="000000"/>
              </w:rPr>
            </w:pPr>
          </w:p>
        </w:tc>
        <w:tc>
          <w:tcPr>
            <w:tcW w:w="1273" w:type="dxa"/>
            <w:gridSpan w:val="2"/>
            <w:vMerge/>
            <w:tcBorders>
              <w:top w:val="nil"/>
              <w:left w:val="single" w:sz="4" w:space="0" w:color="auto"/>
              <w:bottom w:val="single" w:sz="4" w:space="0" w:color="auto"/>
              <w:right w:val="single" w:sz="4" w:space="0" w:color="auto"/>
            </w:tcBorders>
            <w:vAlign w:val="center"/>
            <w:hideMark/>
          </w:tcPr>
          <w:p w:rsidR="005D6ACF" w:rsidRPr="008F7EB2" w:rsidRDefault="005D6ACF" w:rsidP="008A253E">
            <w:pPr>
              <w:rPr>
                <w:color w:val="000000"/>
              </w:rPr>
            </w:pPr>
          </w:p>
        </w:tc>
      </w:tr>
      <w:tr w:rsidR="005D6ACF" w:rsidTr="008A253E">
        <w:trPr>
          <w:trHeight w:val="360"/>
        </w:trPr>
        <w:tc>
          <w:tcPr>
            <w:tcW w:w="516" w:type="dxa"/>
            <w:vMerge w:val="restart"/>
            <w:tcBorders>
              <w:top w:val="nil"/>
              <w:left w:val="single" w:sz="4" w:space="0" w:color="auto"/>
              <w:bottom w:val="single" w:sz="4" w:space="0" w:color="auto"/>
              <w:right w:val="single" w:sz="4" w:space="0" w:color="auto"/>
            </w:tcBorders>
            <w:shd w:val="clear" w:color="auto" w:fill="auto"/>
            <w:vAlign w:val="center"/>
            <w:hideMark/>
          </w:tcPr>
          <w:p w:rsidR="005D6ACF" w:rsidRPr="008F7EB2" w:rsidRDefault="005D6ACF" w:rsidP="008A253E">
            <w:pPr>
              <w:rPr>
                <w:color w:val="000000"/>
              </w:rPr>
            </w:pPr>
            <w:r w:rsidRPr="008F7EB2">
              <w:rPr>
                <w:bCs/>
                <w:color w:val="000000"/>
              </w:rPr>
              <w:t>1.</w:t>
            </w:r>
          </w:p>
        </w:tc>
        <w:tc>
          <w:tcPr>
            <w:tcW w:w="2274" w:type="dxa"/>
            <w:vMerge w:val="restart"/>
            <w:tcBorders>
              <w:top w:val="nil"/>
              <w:left w:val="single" w:sz="4" w:space="0" w:color="auto"/>
              <w:bottom w:val="single" w:sz="4" w:space="0" w:color="auto"/>
              <w:right w:val="single" w:sz="4" w:space="0" w:color="auto"/>
            </w:tcBorders>
            <w:shd w:val="clear" w:color="auto" w:fill="auto"/>
            <w:vAlign w:val="center"/>
            <w:hideMark/>
          </w:tcPr>
          <w:p w:rsidR="005D6ACF" w:rsidRPr="008F7EB2" w:rsidRDefault="005D6ACF" w:rsidP="008A253E">
            <w:pPr>
              <w:jc w:val="both"/>
              <w:rPr>
                <w:color w:val="000000"/>
              </w:rPr>
            </w:pPr>
            <w:r w:rsidRPr="008F7EB2">
              <w:rPr>
                <w:bCs/>
                <w:color w:val="000000"/>
              </w:rPr>
              <w:t xml:space="preserve">ОГУП  «Фармация» </w:t>
            </w:r>
          </w:p>
        </w:tc>
        <w:tc>
          <w:tcPr>
            <w:tcW w:w="1340" w:type="dxa"/>
            <w:tcBorders>
              <w:top w:val="nil"/>
              <w:left w:val="nil"/>
              <w:bottom w:val="single" w:sz="4" w:space="0" w:color="auto"/>
              <w:right w:val="single" w:sz="4" w:space="0" w:color="auto"/>
            </w:tcBorders>
            <w:shd w:val="clear" w:color="auto" w:fill="auto"/>
            <w:vAlign w:val="center"/>
            <w:hideMark/>
          </w:tcPr>
          <w:p w:rsidR="005D6ACF" w:rsidRPr="008F7EB2" w:rsidRDefault="005D6ACF" w:rsidP="008A253E">
            <w:pPr>
              <w:jc w:val="center"/>
              <w:rPr>
                <w:color w:val="000000"/>
              </w:rPr>
            </w:pPr>
            <w:r w:rsidRPr="008F7EB2">
              <w:rPr>
                <w:color w:val="000000"/>
              </w:rPr>
              <w:t>убыток</w:t>
            </w:r>
          </w:p>
        </w:tc>
        <w:tc>
          <w:tcPr>
            <w:tcW w:w="1273" w:type="dxa"/>
            <w:vMerge w:val="restart"/>
            <w:tcBorders>
              <w:top w:val="nil"/>
              <w:left w:val="single" w:sz="4" w:space="0" w:color="auto"/>
              <w:bottom w:val="single" w:sz="4" w:space="0" w:color="auto"/>
              <w:right w:val="single" w:sz="4" w:space="0" w:color="auto"/>
            </w:tcBorders>
            <w:shd w:val="clear" w:color="auto" w:fill="auto"/>
            <w:vAlign w:val="center"/>
            <w:hideMark/>
          </w:tcPr>
          <w:p w:rsidR="005D6ACF" w:rsidRPr="008F7EB2" w:rsidRDefault="005D6ACF" w:rsidP="008A253E">
            <w:pPr>
              <w:jc w:val="center"/>
              <w:rPr>
                <w:color w:val="000000"/>
              </w:rPr>
            </w:pPr>
            <w:r w:rsidRPr="008F7EB2">
              <w:rPr>
                <w:color w:val="000000"/>
              </w:rPr>
              <w:t>0</w:t>
            </w:r>
          </w:p>
        </w:tc>
        <w:tc>
          <w:tcPr>
            <w:tcW w:w="1340" w:type="dxa"/>
            <w:tcBorders>
              <w:top w:val="nil"/>
              <w:left w:val="nil"/>
              <w:bottom w:val="single" w:sz="4" w:space="0" w:color="auto"/>
              <w:right w:val="single" w:sz="4" w:space="0" w:color="auto"/>
            </w:tcBorders>
            <w:shd w:val="clear" w:color="auto" w:fill="auto"/>
            <w:vAlign w:val="center"/>
            <w:hideMark/>
          </w:tcPr>
          <w:p w:rsidR="005D6ACF" w:rsidRPr="008F7EB2" w:rsidRDefault="005D6ACF" w:rsidP="008A253E">
            <w:pPr>
              <w:jc w:val="center"/>
              <w:rPr>
                <w:color w:val="000000"/>
              </w:rPr>
            </w:pPr>
            <w:r w:rsidRPr="008F7EB2">
              <w:rPr>
                <w:color w:val="000000"/>
              </w:rPr>
              <w:t>убыток</w:t>
            </w:r>
          </w:p>
        </w:tc>
        <w:tc>
          <w:tcPr>
            <w:tcW w:w="1273" w:type="dxa"/>
            <w:vMerge w:val="restart"/>
            <w:tcBorders>
              <w:top w:val="nil"/>
              <w:left w:val="single" w:sz="4" w:space="0" w:color="auto"/>
              <w:bottom w:val="single" w:sz="4" w:space="0" w:color="auto"/>
              <w:right w:val="single" w:sz="4" w:space="0" w:color="auto"/>
            </w:tcBorders>
            <w:shd w:val="clear" w:color="auto" w:fill="auto"/>
            <w:vAlign w:val="center"/>
            <w:hideMark/>
          </w:tcPr>
          <w:p w:rsidR="005D6ACF" w:rsidRPr="008F7EB2" w:rsidRDefault="005D6ACF" w:rsidP="008A253E">
            <w:pPr>
              <w:jc w:val="center"/>
              <w:rPr>
                <w:color w:val="000000"/>
              </w:rPr>
            </w:pPr>
            <w:r w:rsidRPr="008F7EB2">
              <w:rPr>
                <w:color w:val="000000"/>
              </w:rPr>
              <w:t>0</w:t>
            </w:r>
          </w:p>
        </w:tc>
        <w:tc>
          <w:tcPr>
            <w:tcW w:w="1340" w:type="dxa"/>
            <w:tcBorders>
              <w:top w:val="nil"/>
              <w:left w:val="nil"/>
              <w:bottom w:val="single" w:sz="4" w:space="0" w:color="auto"/>
              <w:right w:val="single" w:sz="4" w:space="0" w:color="auto"/>
            </w:tcBorders>
            <w:shd w:val="clear" w:color="auto" w:fill="auto"/>
            <w:vAlign w:val="center"/>
            <w:hideMark/>
          </w:tcPr>
          <w:p w:rsidR="005D6ACF" w:rsidRPr="008F7EB2" w:rsidRDefault="005D6ACF" w:rsidP="008A253E">
            <w:pPr>
              <w:jc w:val="center"/>
              <w:rPr>
                <w:color w:val="000000"/>
              </w:rPr>
            </w:pPr>
            <w:r w:rsidRPr="008F7EB2">
              <w:rPr>
                <w:color w:val="000000"/>
              </w:rPr>
              <w:t>убыток</w:t>
            </w:r>
          </w:p>
        </w:tc>
        <w:tc>
          <w:tcPr>
            <w:tcW w:w="127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5D6ACF" w:rsidRPr="008F7EB2" w:rsidRDefault="005D6ACF" w:rsidP="008A253E">
            <w:pPr>
              <w:jc w:val="center"/>
              <w:rPr>
                <w:color w:val="000000"/>
              </w:rPr>
            </w:pPr>
            <w:r w:rsidRPr="008F7EB2">
              <w:rPr>
                <w:color w:val="000000"/>
              </w:rPr>
              <w:t>0</w:t>
            </w:r>
          </w:p>
        </w:tc>
      </w:tr>
      <w:tr w:rsidR="005D6ACF" w:rsidTr="008A253E">
        <w:trPr>
          <w:trHeight w:val="415"/>
        </w:trPr>
        <w:tc>
          <w:tcPr>
            <w:tcW w:w="516" w:type="dxa"/>
            <w:vMerge/>
            <w:tcBorders>
              <w:top w:val="nil"/>
              <w:left w:val="single" w:sz="4" w:space="0" w:color="auto"/>
              <w:bottom w:val="single" w:sz="4" w:space="0" w:color="auto"/>
              <w:right w:val="single" w:sz="4" w:space="0" w:color="auto"/>
            </w:tcBorders>
            <w:vAlign w:val="center"/>
            <w:hideMark/>
          </w:tcPr>
          <w:p w:rsidR="005D6ACF" w:rsidRPr="008F7EB2" w:rsidRDefault="005D6ACF" w:rsidP="008A253E">
            <w:pPr>
              <w:rPr>
                <w:color w:val="000000"/>
              </w:rPr>
            </w:pPr>
          </w:p>
        </w:tc>
        <w:tc>
          <w:tcPr>
            <w:tcW w:w="2274" w:type="dxa"/>
            <w:vMerge/>
            <w:tcBorders>
              <w:top w:val="nil"/>
              <w:left w:val="single" w:sz="4" w:space="0" w:color="auto"/>
              <w:bottom w:val="single" w:sz="4" w:space="0" w:color="auto"/>
              <w:right w:val="single" w:sz="4" w:space="0" w:color="auto"/>
            </w:tcBorders>
            <w:vAlign w:val="center"/>
            <w:hideMark/>
          </w:tcPr>
          <w:p w:rsidR="005D6ACF" w:rsidRPr="008F7EB2" w:rsidRDefault="005D6ACF" w:rsidP="008A253E">
            <w:pPr>
              <w:rPr>
                <w:color w:val="000000"/>
              </w:rPr>
            </w:pPr>
          </w:p>
        </w:tc>
        <w:tc>
          <w:tcPr>
            <w:tcW w:w="1340" w:type="dxa"/>
            <w:tcBorders>
              <w:top w:val="nil"/>
              <w:left w:val="nil"/>
              <w:bottom w:val="single" w:sz="4" w:space="0" w:color="auto"/>
              <w:right w:val="single" w:sz="4" w:space="0" w:color="auto"/>
            </w:tcBorders>
            <w:shd w:val="clear" w:color="auto" w:fill="auto"/>
            <w:vAlign w:val="center"/>
            <w:hideMark/>
          </w:tcPr>
          <w:p w:rsidR="005D6ACF" w:rsidRPr="008F7EB2" w:rsidRDefault="005D6ACF" w:rsidP="008A253E">
            <w:pPr>
              <w:jc w:val="center"/>
              <w:rPr>
                <w:color w:val="000000"/>
              </w:rPr>
            </w:pPr>
            <w:r w:rsidRPr="008F7EB2">
              <w:rPr>
                <w:color w:val="000000"/>
              </w:rPr>
              <w:t>(-12 300,0)</w:t>
            </w:r>
          </w:p>
        </w:tc>
        <w:tc>
          <w:tcPr>
            <w:tcW w:w="1273" w:type="dxa"/>
            <w:vMerge/>
            <w:tcBorders>
              <w:top w:val="nil"/>
              <w:left w:val="single" w:sz="4" w:space="0" w:color="auto"/>
              <w:bottom w:val="single" w:sz="4" w:space="0" w:color="auto"/>
              <w:right w:val="single" w:sz="4" w:space="0" w:color="auto"/>
            </w:tcBorders>
            <w:vAlign w:val="center"/>
            <w:hideMark/>
          </w:tcPr>
          <w:p w:rsidR="005D6ACF" w:rsidRPr="008F7EB2" w:rsidRDefault="005D6ACF" w:rsidP="008A253E">
            <w:pPr>
              <w:rPr>
                <w:color w:val="000000"/>
              </w:rPr>
            </w:pPr>
          </w:p>
        </w:tc>
        <w:tc>
          <w:tcPr>
            <w:tcW w:w="1340" w:type="dxa"/>
            <w:tcBorders>
              <w:top w:val="nil"/>
              <w:left w:val="nil"/>
              <w:bottom w:val="single" w:sz="4" w:space="0" w:color="auto"/>
              <w:right w:val="single" w:sz="4" w:space="0" w:color="auto"/>
            </w:tcBorders>
            <w:shd w:val="clear" w:color="auto" w:fill="auto"/>
            <w:vAlign w:val="center"/>
            <w:hideMark/>
          </w:tcPr>
          <w:p w:rsidR="005D6ACF" w:rsidRPr="008F7EB2" w:rsidRDefault="005D6ACF" w:rsidP="008A253E">
            <w:pPr>
              <w:jc w:val="center"/>
              <w:rPr>
                <w:color w:val="000000"/>
              </w:rPr>
            </w:pPr>
            <w:r w:rsidRPr="008F7EB2">
              <w:rPr>
                <w:color w:val="000000"/>
              </w:rPr>
              <w:t>(-15 300,0)</w:t>
            </w:r>
          </w:p>
        </w:tc>
        <w:tc>
          <w:tcPr>
            <w:tcW w:w="1273" w:type="dxa"/>
            <w:vMerge/>
            <w:tcBorders>
              <w:top w:val="nil"/>
              <w:left w:val="single" w:sz="4" w:space="0" w:color="auto"/>
              <w:bottom w:val="single" w:sz="4" w:space="0" w:color="auto"/>
              <w:right w:val="single" w:sz="4" w:space="0" w:color="auto"/>
            </w:tcBorders>
            <w:vAlign w:val="center"/>
            <w:hideMark/>
          </w:tcPr>
          <w:p w:rsidR="005D6ACF" w:rsidRPr="008F7EB2" w:rsidRDefault="005D6ACF" w:rsidP="008A253E">
            <w:pPr>
              <w:rPr>
                <w:color w:val="000000"/>
              </w:rPr>
            </w:pPr>
          </w:p>
        </w:tc>
        <w:tc>
          <w:tcPr>
            <w:tcW w:w="1340" w:type="dxa"/>
            <w:tcBorders>
              <w:top w:val="nil"/>
              <w:left w:val="nil"/>
              <w:bottom w:val="single" w:sz="4" w:space="0" w:color="auto"/>
              <w:right w:val="single" w:sz="4" w:space="0" w:color="auto"/>
            </w:tcBorders>
            <w:shd w:val="clear" w:color="auto" w:fill="auto"/>
            <w:vAlign w:val="center"/>
            <w:hideMark/>
          </w:tcPr>
          <w:p w:rsidR="005D6ACF" w:rsidRPr="008F7EB2" w:rsidRDefault="005D6ACF" w:rsidP="008A253E">
            <w:pPr>
              <w:jc w:val="center"/>
              <w:rPr>
                <w:color w:val="000000"/>
              </w:rPr>
            </w:pPr>
            <w:r w:rsidRPr="008F7EB2">
              <w:rPr>
                <w:color w:val="000000"/>
              </w:rPr>
              <w:t>(-18 300,0)</w:t>
            </w:r>
          </w:p>
        </w:tc>
        <w:tc>
          <w:tcPr>
            <w:tcW w:w="1273" w:type="dxa"/>
            <w:gridSpan w:val="2"/>
            <w:vMerge/>
            <w:tcBorders>
              <w:top w:val="nil"/>
              <w:left w:val="single" w:sz="4" w:space="0" w:color="auto"/>
              <w:bottom w:val="single" w:sz="4" w:space="0" w:color="auto"/>
              <w:right w:val="single" w:sz="4" w:space="0" w:color="auto"/>
            </w:tcBorders>
            <w:vAlign w:val="center"/>
            <w:hideMark/>
          </w:tcPr>
          <w:p w:rsidR="005D6ACF" w:rsidRPr="008F7EB2" w:rsidRDefault="005D6ACF" w:rsidP="008A253E">
            <w:pPr>
              <w:rPr>
                <w:color w:val="000000"/>
              </w:rPr>
            </w:pPr>
          </w:p>
        </w:tc>
      </w:tr>
      <w:tr w:rsidR="005D6ACF" w:rsidTr="008A253E">
        <w:trPr>
          <w:trHeight w:val="30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5D6ACF" w:rsidRPr="008F7EB2" w:rsidRDefault="005D6ACF" w:rsidP="008A253E">
            <w:pPr>
              <w:rPr>
                <w:color w:val="000000"/>
              </w:rPr>
            </w:pPr>
            <w:r w:rsidRPr="008F7EB2">
              <w:rPr>
                <w:bCs/>
                <w:color w:val="000000"/>
              </w:rPr>
              <w:t>2.</w:t>
            </w:r>
          </w:p>
        </w:tc>
        <w:tc>
          <w:tcPr>
            <w:tcW w:w="2274" w:type="dxa"/>
            <w:tcBorders>
              <w:top w:val="nil"/>
              <w:left w:val="nil"/>
              <w:bottom w:val="single" w:sz="4" w:space="0" w:color="auto"/>
              <w:right w:val="single" w:sz="4" w:space="0" w:color="auto"/>
            </w:tcBorders>
            <w:shd w:val="clear" w:color="auto" w:fill="auto"/>
            <w:vAlign w:val="center"/>
            <w:hideMark/>
          </w:tcPr>
          <w:p w:rsidR="005D6ACF" w:rsidRPr="008F7EB2" w:rsidRDefault="005D6ACF" w:rsidP="008A253E">
            <w:pPr>
              <w:jc w:val="both"/>
              <w:rPr>
                <w:color w:val="000000"/>
              </w:rPr>
            </w:pPr>
            <w:r w:rsidRPr="008F7EB2">
              <w:rPr>
                <w:bCs/>
                <w:color w:val="000000"/>
              </w:rPr>
              <w:t xml:space="preserve">ГУП «Весьегонский межрайонный лесхоз» </w:t>
            </w:r>
          </w:p>
        </w:tc>
        <w:tc>
          <w:tcPr>
            <w:tcW w:w="1340" w:type="dxa"/>
            <w:tcBorders>
              <w:top w:val="nil"/>
              <w:left w:val="nil"/>
              <w:bottom w:val="single" w:sz="4" w:space="0" w:color="auto"/>
              <w:right w:val="single" w:sz="4" w:space="0" w:color="auto"/>
            </w:tcBorders>
            <w:shd w:val="clear" w:color="auto" w:fill="auto"/>
            <w:vAlign w:val="center"/>
            <w:hideMark/>
          </w:tcPr>
          <w:p w:rsidR="005D6ACF" w:rsidRPr="008F7EB2" w:rsidRDefault="005D6ACF" w:rsidP="008A253E">
            <w:pPr>
              <w:jc w:val="center"/>
              <w:rPr>
                <w:color w:val="000000"/>
              </w:rPr>
            </w:pPr>
            <w:r w:rsidRPr="008F7EB2">
              <w:rPr>
                <w:color w:val="000000"/>
              </w:rPr>
              <w:t>1 020,00</w:t>
            </w:r>
          </w:p>
        </w:tc>
        <w:tc>
          <w:tcPr>
            <w:tcW w:w="1273" w:type="dxa"/>
            <w:tcBorders>
              <w:top w:val="nil"/>
              <w:left w:val="nil"/>
              <w:bottom w:val="single" w:sz="4" w:space="0" w:color="auto"/>
              <w:right w:val="single" w:sz="4" w:space="0" w:color="auto"/>
            </w:tcBorders>
            <w:shd w:val="clear" w:color="auto" w:fill="auto"/>
            <w:vAlign w:val="center"/>
            <w:hideMark/>
          </w:tcPr>
          <w:p w:rsidR="005D6ACF" w:rsidRPr="008F7EB2" w:rsidRDefault="005D6ACF" w:rsidP="008A253E">
            <w:pPr>
              <w:jc w:val="center"/>
              <w:rPr>
                <w:color w:val="000000"/>
              </w:rPr>
            </w:pPr>
            <w:r w:rsidRPr="008F7EB2">
              <w:rPr>
                <w:color w:val="000000"/>
              </w:rPr>
              <w:t>255</w:t>
            </w:r>
          </w:p>
        </w:tc>
        <w:tc>
          <w:tcPr>
            <w:tcW w:w="1340" w:type="dxa"/>
            <w:tcBorders>
              <w:top w:val="nil"/>
              <w:left w:val="nil"/>
              <w:bottom w:val="single" w:sz="4" w:space="0" w:color="auto"/>
              <w:right w:val="single" w:sz="4" w:space="0" w:color="auto"/>
            </w:tcBorders>
            <w:shd w:val="clear" w:color="auto" w:fill="auto"/>
            <w:vAlign w:val="center"/>
            <w:hideMark/>
          </w:tcPr>
          <w:p w:rsidR="005D6ACF" w:rsidRPr="008F7EB2" w:rsidRDefault="005D6ACF" w:rsidP="008A253E">
            <w:pPr>
              <w:jc w:val="center"/>
              <w:rPr>
                <w:color w:val="000000"/>
              </w:rPr>
            </w:pPr>
            <w:r w:rsidRPr="008F7EB2">
              <w:rPr>
                <w:color w:val="000000"/>
              </w:rPr>
              <w:t>1 071,0</w:t>
            </w:r>
          </w:p>
        </w:tc>
        <w:tc>
          <w:tcPr>
            <w:tcW w:w="1273" w:type="dxa"/>
            <w:tcBorders>
              <w:top w:val="nil"/>
              <w:left w:val="nil"/>
              <w:bottom w:val="single" w:sz="4" w:space="0" w:color="auto"/>
              <w:right w:val="single" w:sz="4" w:space="0" w:color="auto"/>
            </w:tcBorders>
            <w:shd w:val="clear" w:color="auto" w:fill="auto"/>
            <w:vAlign w:val="center"/>
            <w:hideMark/>
          </w:tcPr>
          <w:p w:rsidR="005D6ACF" w:rsidRPr="008F7EB2" w:rsidRDefault="005D6ACF" w:rsidP="008A253E">
            <w:pPr>
              <w:jc w:val="center"/>
              <w:rPr>
                <w:color w:val="000000"/>
              </w:rPr>
            </w:pPr>
            <w:r w:rsidRPr="008F7EB2">
              <w:rPr>
                <w:color w:val="000000"/>
              </w:rPr>
              <w:t>267,7</w:t>
            </w:r>
          </w:p>
        </w:tc>
        <w:tc>
          <w:tcPr>
            <w:tcW w:w="1340" w:type="dxa"/>
            <w:tcBorders>
              <w:top w:val="nil"/>
              <w:left w:val="nil"/>
              <w:bottom w:val="single" w:sz="4" w:space="0" w:color="auto"/>
              <w:right w:val="single" w:sz="4" w:space="0" w:color="auto"/>
            </w:tcBorders>
            <w:shd w:val="clear" w:color="auto" w:fill="auto"/>
            <w:vAlign w:val="center"/>
            <w:hideMark/>
          </w:tcPr>
          <w:p w:rsidR="005D6ACF" w:rsidRPr="008F7EB2" w:rsidRDefault="005D6ACF" w:rsidP="008A253E">
            <w:pPr>
              <w:jc w:val="center"/>
              <w:rPr>
                <w:color w:val="000000"/>
              </w:rPr>
            </w:pPr>
            <w:r w:rsidRPr="008F7EB2">
              <w:rPr>
                <w:color w:val="000000"/>
              </w:rPr>
              <w:t>1 126,2</w:t>
            </w:r>
          </w:p>
        </w:tc>
        <w:tc>
          <w:tcPr>
            <w:tcW w:w="1273" w:type="dxa"/>
            <w:gridSpan w:val="2"/>
            <w:tcBorders>
              <w:top w:val="nil"/>
              <w:left w:val="nil"/>
              <w:bottom w:val="single" w:sz="4" w:space="0" w:color="auto"/>
              <w:right w:val="single" w:sz="4" w:space="0" w:color="auto"/>
            </w:tcBorders>
            <w:shd w:val="clear" w:color="auto" w:fill="auto"/>
            <w:vAlign w:val="center"/>
            <w:hideMark/>
          </w:tcPr>
          <w:p w:rsidR="005D6ACF" w:rsidRPr="008F7EB2" w:rsidRDefault="005D6ACF" w:rsidP="008A253E">
            <w:pPr>
              <w:jc w:val="center"/>
              <w:rPr>
                <w:color w:val="000000"/>
              </w:rPr>
            </w:pPr>
            <w:r w:rsidRPr="008F7EB2">
              <w:rPr>
                <w:color w:val="000000"/>
              </w:rPr>
              <w:t>281,6</w:t>
            </w:r>
          </w:p>
        </w:tc>
      </w:tr>
      <w:tr w:rsidR="005D6ACF" w:rsidTr="008A253E">
        <w:trPr>
          <w:trHeight w:val="30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5D6ACF" w:rsidRPr="008F7EB2" w:rsidRDefault="005D6ACF" w:rsidP="008A253E">
            <w:pPr>
              <w:rPr>
                <w:color w:val="000000"/>
              </w:rPr>
            </w:pPr>
            <w:r w:rsidRPr="008F7EB2">
              <w:rPr>
                <w:bCs/>
                <w:color w:val="000000"/>
              </w:rPr>
              <w:t>3.</w:t>
            </w:r>
          </w:p>
        </w:tc>
        <w:tc>
          <w:tcPr>
            <w:tcW w:w="2274" w:type="dxa"/>
            <w:tcBorders>
              <w:top w:val="nil"/>
              <w:left w:val="nil"/>
              <w:bottom w:val="single" w:sz="4" w:space="0" w:color="auto"/>
              <w:right w:val="single" w:sz="4" w:space="0" w:color="auto"/>
            </w:tcBorders>
            <w:shd w:val="clear" w:color="auto" w:fill="auto"/>
            <w:vAlign w:val="center"/>
            <w:hideMark/>
          </w:tcPr>
          <w:p w:rsidR="005D6ACF" w:rsidRPr="008F7EB2" w:rsidRDefault="005D6ACF" w:rsidP="008A253E">
            <w:pPr>
              <w:jc w:val="both"/>
              <w:rPr>
                <w:color w:val="000000"/>
              </w:rPr>
            </w:pPr>
            <w:r w:rsidRPr="008F7EB2">
              <w:rPr>
                <w:bCs/>
                <w:color w:val="000000"/>
              </w:rPr>
              <w:t>Г</w:t>
            </w:r>
            <w:r>
              <w:rPr>
                <w:bCs/>
                <w:color w:val="000000"/>
              </w:rPr>
              <w:t>УП Тверской области «ДРСУ-17»</w:t>
            </w:r>
          </w:p>
        </w:tc>
        <w:tc>
          <w:tcPr>
            <w:tcW w:w="1340" w:type="dxa"/>
            <w:tcBorders>
              <w:top w:val="nil"/>
              <w:left w:val="nil"/>
              <w:bottom w:val="single" w:sz="4" w:space="0" w:color="auto"/>
              <w:right w:val="single" w:sz="4" w:space="0" w:color="auto"/>
            </w:tcBorders>
            <w:shd w:val="clear" w:color="auto" w:fill="auto"/>
            <w:vAlign w:val="center"/>
            <w:hideMark/>
          </w:tcPr>
          <w:p w:rsidR="005D6ACF" w:rsidRPr="008F7EB2" w:rsidRDefault="005D6ACF" w:rsidP="008A253E">
            <w:pPr>
              <w:jc w:val="center"/>
              <w:rPr>
                <w:color w:val="000000"/>
              </w:rPr>
            </w:pPr>
            <w:r w:rsidRPr="008F7EB2">
              <w:rPr>
                <w:color w:val="000000"/>
              </w:rPr>
              <w:t>360</w:t>
            </w:r>
          </w:p>
        </w:tc>
        <w:tc>
          <w:tcPr>
            <w:tcW w:w="1273" w:type="dxa"/>
            <w:tcBorders>
              <w:top w:val="nil"/>
              <w:left w:val="nil"/>
              <w:bottom w:val="single" w:sz="4" w:space="0" w:color="auto"/>
              <w:right w:val="single" w:sz="4" w:space="0" w:color="auto"/>
            </w:tcBorders>
            <w:shd w:val="clear" w:color="auto" w:fill="auto"/>
            <w:vAlign w:val="center"/>
            <w:hideMark/>
          </w:tcPr>
          <w:p w:rsidR="005D6ACF" w:rsidRPr="008F7EB2" w:rsidRDefault="005D6ACF" w:rsidP="008A253E">
            <w:pPr>
              <w:jc w:val="center"/>
              <w:rPr>
                <w:color w:val="000000"/>
              </w:rPr>
            </w:pPr>
            <w:r w:rsidRPr="008F7EB2">
              <w:rPr>
                <w:color w:val="000000"/>
              </w:rPr>
              <w:t>90</w:t>
            </w:r>
          </w:p>
        </w:tc>
        <w:tc>
          <w:tcPr>
            <w:tcW w:w="1340" w:type="dxa"/>
            <w:tcBorders>
              <w:top w:val="nil"/>
              <w:left w:val="nil"/>
              <w:bottom w:val="single" w:sz="4" w:space="0" w:color="auto"/>
              <w:right w:val="single" w:sz="4" w:space="0" w:color="auto"/>
            </w:tcBorders>
            <w:shd w:val="clear" w:color="auto" w:fill="auto"/>
            <w:vAlign w:val="center"/>
            <w:hideMark/>
          </w:tcPr>
          <w:p w:rsidR="005D6ACF" w:rsidRPr="008F7EB2" w:rsidRDefault="005D6ACF" w:rsidP="008A253E">
            <w:pPr>
              <w:jc w:val="center"/>
              <w:rPr>
                <w:color w:val="000000"/>
              </w:rPr>
            </w:pPr>
            <w:r w:rsidRPr="008F7EB2">
              <w:rPr>
                <w:color w:val="000000"/>
              </w:rPr>
              <w:t>510</w:t>
            </w:r>
          </w:p>
        </w:tc>
        <w:tc>
          <w:tcPr>
            <w:tcW w:w="1273" w:type="dxa"/>
            <w:tcBorders>
              <w:top w:val="nil"/>
              <w:left w:val="nil"/>
              <w:bottom w:val="single" w:sz="4" w:space="0" w:color="auto"/>
              <w:right w:val="single" w:sz="4" w:space="0" w:color="auto"/>
            </w:tcBorders>
            <w:shd w:val="clear" w:color="auto" w:fill="auto"/>
            <w:vAlign w:val="center"/>
            <w:hideMark/>
          </w:tcPr>
          <w:p w:rsidR="005D6ACF" w:rsidRPr="008F7EB2" w:rsidRDefault="005D6ACF" w:rsidP="008A253E">
            <w:pPr>
              <w:jc w:val="center"/>
              <w:rPr>
                <w:color w:val="000000"/>
              </w:rPr>
            </w:pPr>
            <w:r w:rsidRPr="008F7EB2">
              <w:rPr>
                <w:color w:val="000000"/>
              </w:rPr>
              <w:t>128</w:t>
            </w:r>
          </w:p>
        </w:tc>
        <w:tc>
          <w:tcPr>
            <w:tcW w:w="1340" w:type="dxa"/>
            <w:tcBorders>
              <w:top w:val="nil"/>
              <w:left w:val="nil"/>
              <w:bottom w:val="single" w:sz="4" w:space="0" w:color="auto"/>
              <w:right w:val="single" w:sz="4" w:space="0" w:color="auto"/>
            </w:tcBorders>
            <w:shd w:val="clear" w:color="auto" w:fill="auto"/>
            <w:vAlign w:val="center"/>
            <w:hideMark/>
          </w:tcPr>
          <w:p w:rsidR="005D6ACF" w:rsidRPr="008F7EB2" w:rsidRDefault="005D6ACF" w:rsidP="008A253E">
            <w:pPr>
              <w:jc w:val="center"/>
              <w:rPr>
                <w:color w:val="000000"/>
              </w:rPr>
            </w:pPr>
            <w:r w:rsidRPr="008F7EB2">
              <w:rPr>
                <w:color w:val="000000"/>
              </w:rPr>
              <w:t>584</w:t>
            </w:r>
          </w:p>
        </w:tc>
        <w:tc>
          <w:tcPr>
            <w:tcW w:w="1273" w:type="dxa"/>
            <w:gridSpan w:val="2"/>
            <w:tcBorders>
              <w:top w:val="nil"/>
              <w:left w:val="nil"/>
              <w:bottom w:val="single" w:sz="4" w:space="0" w:color="auto"/>
              <w:right w:val="single" w:sz="4" w:space="0" w:color="auto"/>
            </w:tcBorders>
            <w:shd w:val="clear" w:color="auto" w:fill="auto"/>
            <w:vAlign w:val="center"/>
            <w:hideMark/>
          </w:tcPr>
          <w:p w:rsidR="005D6ACF" w:rsidRPr="008F7EB2" w:rsidRDefault="005D6ACF" w:rsidP="008A253E">
            <w:pPr>
              <w:jc w:val="center"/>
              <w:rPr>
                <w:color w:val="000000"/>
              </w:rPr>
            </w:pPr>
            <w:r w:rsidRPr="008F7EB2">
              <w:rPr>
                <w:color w:val="000000"/>
              </w:rPr>
              <w:t>146</w:t>
            </w:r>
          </w:p>
        </w:tc>
      </w:tr>
      <w:tr w:rsidR="005D6ACF" w:rsidTr="008A253E">
        <w:trPr>
          <w:trHeight w:val="1260"/>
        </w:trPr>
        <w:tc>
          <w:tcPr>
            <w:tcW w:w="516" w:type="dxa"/>
            <w:vMerge w:val="restart"/>
            <w:tcBorders>
              <w:top w:val="nil"/>
              <w:left w:val="single" w:sz="4" w:space="0" w:color="auto"/>
              <w:bottom w:val="single" w:sz="4" w:space="0" w:color="auto"/>
              <w:right w:val="single" w:sz="4" w:space="0" w:color="auto"/>
            </w:tcBorders>
            <w:shd w:val="clear" w:color="auto" w:fill="auto"/>
            <w:vAlign w:val="center"/>
            <w:hideMark/>
          </w:tcPr>
          <w:p w:rsidR="005D6ACF" w:rsidRPr="008F7EB2" w:rsidRDefault="005D6ACF" w:rsidP="008A253E">
            <w:pPr>
              <w:rPr>
                <w:color w:val="000000"/>
              </w:rPr>
            </w:pPr>
            <w:r w:rsidRPr="008F7EB2">
              <w:rPr>
                <w:bCs/>
                <w:color w:val="000000"/>
              </w:rPr>
              <w:t>4.</w:t>
            </w:r>
          </w:p>
        </w:tc>
        <w:tc>
          <w:tcPr>
            <w:tcW w:w="2274" w:type="dxa"/>
            <w:vMerge w:val="restart"/>
            <w:tcBorders>
              <w:top w:val="nil"/>
              <w:left w:val="single" w:sz="4" w:space="0" w:color="auto"/>
              <w:bottom w:val="single" w:sz="4" w:space="0" w:color="auto"/>
              <w:right w:val="single" w:sz="4" w:space="0" w:color="auto"/>
            </w:tcBorders>
            <w:shd w:val="clear" w:color="auto" w:fill="auto"/>
            <w:vAlign w:val="center"/>
            <w:hideMark/>
          </w:tcPr>
          <w:p w:rsidR="005D6ACF" w:rsidRPr="008F7EB2" w:rsidRDefault="005D6ACF" w:rsidP="008A253E">
            <w:pPr>
              <w:jc w:val="both"/>
              <w:rPr>
                <w:color w:val="000000"/>
              </w:rPr>
            </w:pPr>
            <w:r w:rsidRPr="008F7EB2">
              <w:rPr>
                <w:bCs/>
                <w:color w:val="000000"/>
              </w:rPr>
              <w:t>ГУП Тверс</w:t>
            </w:r>
            <w:r>
              <w:rPr>
                <w:bCs/>
                <w:color w:val="000000"/>
              </w:rPr>
              <w:t>кой области «Торжокское ДРСУ»</w:t>
            </w:r>
          </w:p>
        </w:tc>
        <w:tc>
          <w:tcPr>
            <w:tcW w:w="1340" w:type="dxa"/>
            <w:vMerge w:val="restart"/>
            <w:tcBorders>
              <w:top w:val="nil"/>
              <w:left w:val="single" w:sz="4" w:space="0" w:color="auto"/>
              <w:bottom w:val="single" w:sz="4" w:space="0" w:color="auto"/>
              <w:right w:val="single" w:sz="4" w:space="0" w:color="auto"/>
            </w:tcBorders>
            <w:shd w:val="clear" w:color="auto" w:fill="auto"/>
            <w:vAlign w:val="center"/>
            <w:hideMark/>
          </w:tcPr>
          <w:p w:rsidR="005D6ACF" w:rsidRPr="008F7EB2" w:rsidRDefault="005D6ACF" w:rsidP="008A253E">
            <w:pPr>
              <w:jc w:val="center"/>
              <w:rPr>
                <w:color w:val="000000"/>
              </w:rPr>
            </w:pPr>
            <w:r w:rsidRPr="008F7EB2">
              <w:rPr>
                <w:color w:val="000000"/>
              </w:rPr>
              <w:t>1 600,0</w:t>
            </w:r>
          </w:p>
        </w:tc>
        <w:tc>
          <w:tcPr>
            <w:tcW w:w="1273" w:type="dxa"/>
            <w:vMerge w:val="restart"/>
            <w:tcBorders>
              <w:top w:val="nil"/>
              <w:left w:val="single" w:sz="4" w:space="0" w:color="auto"/>
              <w:bottom w:val="single" w:sz="4" w:space="0" w:color="auto"/>
              <w:right w:val="single" w:sz="4" w:space="0" w:color="auto"/>
            </w:tcBorders>
            <w:shd w:val="clear" w:color="auto" w:fill="auto"/>
            <w:vAlign w:val="center"/>
            <w:hideMark/>
          </w:tcPr>
          <w:p w:rsidR="005D6ACF" w:rsidRPr="008F7EB2" w:rsidRDefault="005D6ACF" w:rsidP="008A253E">
            <w:pPr>
              <w:jc w:val="center"/>
              <w:rPr>
                <w:color w:val="000000"/>
              </w:rPr>
            </w:pPr>
            <w:r w:rsidRPr="008F7EB2">
              <w:rPr>
                <w:color w:val="000000"/>
              </w:rPr>
              <w:t>400</w:t>
            </w:r>
          </w:p>
        </w:tc>
        <w:tc>
          <w:tcPr>
            <w:tcW w:w="1340" w:type="dxa"/>
            <w:vMerge w:val="restart"/>
            <w:tcBorders>
              <w:top w:val="nil"/>
              <w:left w:val="single" w:sz="4" w:space="0" w:color="auto"/>
              <w:bottom w:val="single" w:sz="4" w:space="0" w:color="auto"/>
              <w:right w:val="single" w:sz="4" w:space="0" w:color="auto"/>
            </w:tcBorders>
            <w:shd w:val="clear" w:color="auto" w:fill="auto"/>
            <w:vAlign w:val="center"/>
            <w:hideMark/>
          </w:tcPr>
          <w:p w:rsidR="005D6ACF" w:rsidRPr="008F7EB2" w:rsidRDefault="005D6ACF" w:rsidP="008A253E">
            <w:pPr>
              <w:jc w:val="center"/>
              <w:rPr>
                <w:color w:val="000000"/>
              </w:rPr>
            </w:pPr>
            <w:r w:rsidRPr="008F7EB2">
              <w:rPr>
                <w:color w:val="000000"/>
              </w:rPr>
              <w:t>1 600,0</w:t>
            </w:r>
          </w:p>
        </w:tc>
        <w:tc>
          <w:tcPr>
            <w:tcW w:w="1273" w:type="dxa"/>
            <w:vMerge w:val="restart"/>
            <w:tcBorders>
              <w:top w:val="nil"/>
              <w:left w:val="single" w:sz="4" w:space="0" w:color="auto"/>
              <w:bottom w:val="single" w:sz="4" w:space="0" w:color="auto"/>
              <w:right w:val="single" w:sz="4" w:space="0" w:color="auto"/>
            </w:tcBorders>
            <w:shd w:val="clear" w:color="auto" w:fill="auto"/>
            <w:vAlign w:val="center"/>
            <w:hideMark/>
          </w:tcPr>
          <w:p w:rsidR="005D6ACF" w:rsidRPr="008F7EB2" w:rsidRDefault="005D6ACF" w:rsidP="008A253E">
            <w:pPr>
              <w:jc w:val="center"/>
              <w:rPr>
                <w:color w:val="000000"/>
              </w:rPr>
            </w:pPr>
            <w:r w:rsidRPr="008F7EB2">
              <w:rPr>
                <w:color w:val="000000"/>
              </w:rPr>
              <w:t>400</w:t>
            </w:r>
          </w:p>
        </w:tc>
        <w:tc>
          <w:tcPr>
            <w:tcW w:w="1340" w:type="dxa"/>
            <w:vMerge w:val="restart"/>
            <w:tcBorders>
              <w:top w:val="nil"/>
              <w:left w:val="single" w:sz="4" w:space="0" w:color="auto"/>
              <w:bottom w:val="single" w:sz="4" w:space="0" w:color="auto"/>
              <w:right w:val="single" w:sz="4" w:space="0" w:color="auto"/>
            </w:tcBorders>
            <w:shd w:val="clear" w:color="auto" w:fill="auto"/>
            <w:vAlign w:val="center"/>
            <w:hideMark/>
          </w:tcPr>
          <w:p w:rsidR="005D6ACF" w:rsidRPr="008F7EB2" w:rsidRDefault="005D6ACF" w:rsidP="008A253E">
            <w:pPr>
              <w:jc w:val="center"/>
              <w:rPr>
                <w:color w:val="000000"/>
              </w:rPr>
            </w:pPr>
            <w:r w:rsidRPr="008F7EB2">
              <w:rPr>
                <w:color w:val="000000"/>
              </w:rPr>
              <w:t>1 600,0</w:t>
            </w:r>
          </w:p>
        </w:tc>
        <w:tc>
          <w:tcPr>
            <w:tcW w:w="127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5D6ACF" w:rsidRPr="008F7EB2" w:rsidRDefault="005D6ACF" w:rsidP="008A253E">
            <w:pPr>
              <w:jc w:val="center"/>
              <w:rPr>
                <w:color w:val="000000"/>
              </w:rPr>
            </w:pPr>
            <w:r w:rsidRPr="008F7EB2">
              <w:rPr>
                <w:color w:val="000000"/>
              </w:rPr>
              <w:t>400</w:t>
            </w:r>
          </w:p>
        </w:tc>
      </w:tr>
      <w:tr w:rsidR="005D6ACF" w:rsidTr="008A253E">
        <w:trPr>
          <w:trHeight w:val="300"/>
        </w:trPr>
        <w:tc>
          <w:tcPr>
            <w:tcW w:w="516" w:type="dxa"/>
            <w:vMerge/>
            <w:tcBorders>
              <w:top w:val="nil"/>
              <w:left w:val="single" w:sz="4" w:space="0" w:color="auto"/>
              <w:bottom w:val="single" w:sz="4" w:space="0" w:color="auto"/>
              <w:right w:val="single" w:sz="4" w:space="0" w:color="auto"/>
            </w:tcBorders>
            <w:vAlign w:val="center"/>
            <w:hideMark/>
          </w:tcPr>
          <w:p w:rsidR="005D6ACF" w:rsidRPr="008F7EB2" w:rsidRDefault="005D6ACF" w:rsidP="008A253E">
            <w:pPr>
              <w:rPr>
                <w:color w:val="000000"/>
              </w:rPr>
            </w:pPr>
          </w:p>
        </w:tc>
        <w:tc>
          <w:tcPr>
            <w:tcW w:w="2274" w:type="dxa"/>
            <w:vMerge/>
            <w:tcBorders>
              <w:top w:val="nil"/>
              <w:left w:val="single" w:sz="4" w:space="0" w:color="auto"/>
              <w:bottom w:val="single" w:sz="4" w:space="0" w:color="auto"/>
              <w:right w:val="single" w:sz="4" w:space="0" w:color="auto"/>
            </w:tcBorders>
            <w:vAlign w:val="center"/>
            <w:hideMark/>
          </w:tcPr>
          <w:p w:rsidR="005D6ACF" w:rsidRPr="008F7EB2" w:rsidRDefault="005D6ACF" w:rsidP="008A253E">
            <w:pPr>
              <w:rPr>
                <w:color w:val="000000"/>
              </w:rPr>
            </w:pPr>
          </w:p>
        </w:tc>
        <w:tc>
          <w:tcPr>
            <w:tcW w:w="1340" w:type="dxa"/>
            <w:vMerge/>
            <w:tcBorders>
              <w:top w:val="nil"/>
              <w:left w:val="single" w:sz="4" w:space="0" w:color="auto"/>
              <w:bottom w:val="single" w:sz="4" w:space="0" w:color="auto"/>
              <w:right w:val="single" w:sz="4" w:space="0" w:color="auto"/>
            </w:tcBorders>
            <w:vAlign w:val="center"/>
            <w:hideMark/>
          </w:tcPr>
          <w:p w:rsidR="005D6ACF" w:rsidRPr="008F7EB2" w:rsidRDefault="005D6ACF" w:rsidP="008A253E">
            <w:pPr>
              <w:rPr>
                <w:color w:val="000000"/>
              </w:rPr>
            </w:pPr>
          </w:p>
        </w:tc>
        <w:tc>
          <w:tcPr>
            <w:tcW w:w="1273" w:type="dxa"/>
            <w:vMerge/>
            <w:tcBorders>
              <w:top w:val="nil"/>
              <w:left w:val="single" w:sz="4" w:space="0" w:color="auto"/>
              <w:bottom w:val="single" w:sz="4" w:space="0" w:color="auto"/>
              <w:right w:val="single" w:sz="4" w:space="0" w:color="auto"/>
            </w:tcBorders>
            <w:vAlign w:val="center"/>
            <w:hideMark/>
          </w:tcPr>
          <w:p w:rsidR="005D6ACF" w:rsidRPr="008F7EB2" w:rsidRDefault="005D6ACF" w:rsidP="008A253E">
            <w:pPr>
              <w:rPr>
                <w:color w:val="000000"/>
              </w:rPr>
            </w:pPr>
          </w:p>
        </w:tc>
        <w:tc>
          <w:tcPr>
            <w:tcW w:w="1340" w:type="dxa"/>
            <w:vMerge/>
            <w:tcBorders>
              <w:top w:val="nil"/>
              <w:left w:val="single" w:sz="4" w:space="0" w:color="auto"/>
              <w:bottom w:val="single" w:sz="4" w:space="0" w:color="auto"/>
              <w:right w:val="single" w:sz="4" w:space="0" w:color="auto"/>
            </w:tcBorders>
            <w:vAlign w:val="center"/>
            <w:hideMark/>
          </w:tcPr>
          <w:p w:rsidR="005D6ACF" w:rsidRPr="008F7EB2" w:rsidRDefault="005D6ACF" w:rsidP="008A253E">
            <w:pPr>
              <w:rPr>
                <w:color w:val="000000"/>
              </w:rPr>
            </w:pPr>
          </w:p>
        </w:tc>
        <w:tc>
          <w:tcPr>
            <w:tcW w:w="1273" w:type="dxa"/>
            <w:vMerge/>
            <w:tcBorders>
              <w:top w:val="nil"/>
              <w:left w:val="single" w:sz="4" w:space="0" w:color="auto"/>
              <w:bottom w:val="single" w:sz="4" w:space="0" w:color="auto"/>
              <w:right w:val="single" w:sz="4" w:space="0" w:color="auto"/>
            </w:tcBorders>
            <w:vAlign w:val="center"/>
            <w:hideMark/>
          </w:tcPr>
          <w:p w:rsidR="005D6ACF" w:rsidRPr="008F7EB2" w:rsidRDefault="005D6ACF" w:rsidP="008A253E">
            <w:pPr>
              <w:rPr>
                <w:color w:val="000000"/>
              </w:rPr>
            </w:pPr>
          </w:p>
        </w:tc>
        <w:tc>
          <w:tcPr>
            <w:tcW w:w="1340" w:type="dxa"/>
            <w:vMerge/>
            <w:tcBorders>
              <w:top w:val="nil"/>
              <w:left w:val="single" w:sz="4" w:space="0" w:color="auto"/>
              <w:bottom w:val="single" w:sz="4" w:space="0" w:color="auto"/>
              <w:right w:val="single" w:sz="4" w:space="0" w:color="auto"/>
            </w:tcBorders>
            <w:vAlign w:val="center"/>
            <w:hideMark/>
          </w:tcPr>
          <w:p w:rsidR="005D6ACF" w:rsidRPr="008F7EB2" w:rsidRDefault="005D6ACF" w:rsidP="008A253E">
            <w:pPr>
              <w:rPr>
                <w:color w:val="000000"/>
              </w:rPr>
            </w:pPr>
          </w:p>
        </w:tc>
        <w:tc>
          <w:tcPr>
            <w:tcW w:w="1273" w:type="dxa"/>
            <w:gridSpan w:val="2"/>
            <w:vMerge/>
            <w:tcBorders>
              <w:top w:val="nil"/>
              <w:left w:val="single" w:sz="4" w:space="0" w:color="auto"/>
              <w:bottom w:val="single" w:sz="4" w:space="0" w:color="auto"/>
              <w:right w:val="single" w:sz="4" w:space="0" w:color="auto"/>
            </w:tcBorders>
            <w:vAlign w:val="center"/>
            <w:hideMark/>
          </w:tcPr>
          <w:p w:rsidR="005D6ACF" w:rsidRPr="008F7EB2" w:rsidRDefault="005D6ACF" w:rsidP="008A253E">
            <w:pPr>
              <w:rPr>
                <w:color w:val="000000"/>
              </w:rPr>
            </w:pPr>
          </w:p>
        </w:tc>
      </w:tr>
      <w:tr w:rsidR="005D6ACF" w:rsidTr="008A253E">
        <w:trPr>
          <w:trHeight w:val="30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5D6ACF" w:rsidRPr="008F7EB2" w:rsidRDefault="005D6ACF" w:rsidP="008A253E">
            <w:pPr>
              <w:rPr>
                <w:color w:val="000000"/>
              </w:rPr>
            </w:pPr>
            <w:r w:rsidRPr="008F7EB2">
              <w:rPr>
                <w:bCs/>
                <w:color w:val="000000"/>
              </w:rPr>
              <w:t>5.</w:t>
            </w:r>
          </w:p>
        </w:tc>
        <w:tc>
          <w:tcPr>
            <w:tcW w:w="2274" w:type="dxa"/>
            <w:tcBorders>
              <w:top w:val="nil"/>
              <w:left w:val="nil"/>
              <w:bottom w:val="single" w:sz="4" w:space="0" w:color="auto"/>
              <w:right w:val="single" w:sz="4" w:space="0" w:color="auto"/>
            </w:tcBorders>
            <w:shd w:val="clear" w:color="auto" w:fill="auto"/>
            <w:vAlign w:val="center"/>
            <w:hideMark/>
          </w:tcPr>
          <w:p w:rsidR="005D6ACF" w:rsidRPr="008F7EB2" w:rsidRDefault="005D6ACF" w:rsidP="008A253E">
            <w:pPr>
              <w:jc w:val="both"/>
              <w:rPr>
                <w:color w:val="000000"/>
              </w:rPr>
            </w:pPr>
            <w:r>
              <w:rPr>
                <w:bCs/>
                <w:color w:val="000000"/>
              </w:rPr>
              <w:t>ГУП «Калязинское ДРСУ»</w:t>
            </w:r>
          </w:p>
        </w:tc>
        <w:tc>
          <w:tcPr>
            <w:tcW w:w="1340" w:type="dxa"/>
            <w:tcBorders>
              <w:top w:val="nil"/>
              <w:left w:val="nil"/>
              <w:bottom w:val="single" w:sz="4" w:space="0" w:color="auto"/>
              <w:right w:val="single" w:sz="4" w:space="0" w:color="auto"/>
            </w:tcBorders>
            <w:shd w:val="clear" w:color="auto" w:fill="auto"/>
            <w:vAlign w:val="center"/>
            <w:hideMark/>
          </w:tcPr>
          <w:p w:rsidR="005D6ACF" w:rsidRPr="008F7EB2" w:rsidRDefault="005D6ACF" w:rsidP="008A253E">
            <w:pPr>
              <w:jc w:val="center"/>
              <w:rPr>
                <w:color w:val="000000"/>
              </w:rPr>
            </w:pPr>
            <w:r w:rsidRPr="008F7EB2">
              <w:rPr>
                <w:color w:val="000000"/>
              </w:rPr>
              <w:t>184</w:t>
            </w:r>
          </w:p>
        </w:tc>
        <w:tc>
          <w:tcPr>
            <w:tcW w:w="1273" w:type="dxa"/>
            <w:tcBorders>
              <w:top w:val="nil"/>
              <w:left w:val="nil"/>
              <w:bottom w:val="single" w:sz="4" w:space="0" w:color="auto"/>
              <w:right w:val="single" w:sz="4" w:space="0" w:color="auto"/>
            </w:tcBorders>
            <w:shd w:val="clear" w:color="auto" w:fill="auto"/>
            <w:vAlign w:val="center"/>
            <w:hideMark/>
          </w:tcPr>
          <w:p w:rsidR="005D6ACF" w:rsidRPr="008F7EB2" w:rsidRDefault="005D6ACF" w:rsidP="008A253E">
            <w:pPr>
              <w:jc w:val="center"/>
              <w:rPr>
                <w:color w:val="000000"/>
              </w:rPr>
            </w:pPr>
            <w:r w:rsidRPr="008F7EB2">
              <w:rPr>
                <w:color w:val="000000"/>
              </w:rPr>
              <w:t>46</w:t>
            </w:r>
          </w:p>
        </w:tc>
        <w:tc>
          <w:tcPr>
            <w:tcW w:w="1340" w:type="dxa"/>
            <w:tcBorders>
              <w:top w:val="nil"/>
              <w:left w:val="nil"/>
              <w:bottom w:val="single" w:sz="4" w:space="0" w:color="auto"/>
              <w:right w:val="single" w:sz="4" w:space="0" w:color="auto"/>
            </w:tcBorders>
            <w:shd w:val="clear" w:color="auto" w:fill="auto"/>
            <w:vAlign w:val="center"/>
            <w:hideMark/>
          </w:tcPr>
          <w:p w:rsidR="005D6ACF" w:rsidRPr="008F7EB2" w:rsidRDefault="005D6ACF" w:rsidP="008A253E">
            <w:pPr>
              <w:jc w:val="center"/>
              <w:rPr>
                <w:color w:val="000000"/>
              </w:rPr>
            </w:pPr>
            <w:r w:rsidRPr="008F7EB2">
              <w:rPr>
                <w:color w:val="000000"/>
              </w:rPr>
              <w:t>200</w:t>
            </w:r>
          </w:p>
        </w:tc>
        <w:tc>
          <w:tcPr>
            <w:tcW w:w="1273" w:type="dxa"/>
            <w:tcBorders>
              <w:top w:val="nil"/>
              <w:left w:val="nil"/>
              <w:bottom w:val="single" w:sz="4" w:space="0" w:color="auto"/>
              <w:right w:val="single" w:sz="4" w:space="0" w:color="auto"/>
            </w:tcBorders>
            <w:shd w:val="clear" w:color="auto" w:fill="auto"/>
            <w:vAlign w:val="center"/>
            <w:hideMark/>
          </w:tcPr>
          <w:p w:rsidR="005D6ACF" w:rsidRPr="008F7EB2" w:rsidRDefault="005D6ACF" w:rsidP="008A253E">
            <w:pPr>
              <w:jc w:val="center"/>
              <w:rPr>
                <w:color w:val="000000"/>
              </w:rPr>
            </w:pPr>
            <w:r w:rsidRPr="008F7EB2">
              <w:rPr>
                <w:color w:val="000000"/>
              </w:rPr>
              <w:t>50</w:t>
            </w:r>
          </w:p>
        </w:tc>
        <w:tc>
          <w:tcPr>
            <w:tcW w:w="1340" w:type="dxa"/>
            <w:tcBorders>
              <w:top w:val="nil"/>
              <w:left w:val="nil"/>
              <w:bottom w:val="single" w:sz="4" w:space="0" w:color="auto"/>
              <w:right w:val="single" w:sz="4" w:space="0" w:color="auto"/>
            </w:tcBorders>
            <w:shd w:val="clear" w:color="auto" w:fill="auto"/>
            <w:vAlign w:val="center"/>
            <w:hideMark/>
          </w:tcPr>
          <w:p w:rsidR="005D6ACF" w:rsidRPr="008F7EB2" w:rsidRDefault="005D6ACF" w:rsidP="008A253E">
            <w:pPr>
              <w:jc w:val="center"/>
              <w:rPr>
                <w:color w:val="000000"/>
              </w:rPr>
            </w:pPr>
            <w:r w:rsidRPr="008F7EB2">
              <w:rPr>
                <w:color w:val="000000"/>
              </w:rPr>
              <w:t>216</w:t>
            </w:r>
          </w:p>
        </w:tc>
        <w:tc>
          <w:tcPr>
            <w:tcW w:w="1273" w:type="dxa"/>
            <w:gridSpan w:val="2"/>
            <w:tcBorders>
              <w:top w:val="nil"/>
              <w:left w:val="nil"/>
              <w:bottom w:val="single" w:sz="4" w:space="0" w:color="auto"/>
              <w:right w:val="single" w:sz="4" w:space="0" w:color="auto"/>
            </w:tcBorders>
            <w:shd w:val="clear" w:color="auto" w:fill="auto"/>
            <w:vAlign w:val="center"/>
            <w:hideMark/>
          </w:tcPr>
          <w:p w:rsidR="005D6ACF" w:rsidRPr="008F7EB2" w:rsidRDefault="005D6ACF" w:rsidP="008A253E">
            <w:pPr>
              <w:jc w:val="center"/>
              <w:rPr>
                <w:color w:val="000000"/>
              </w:rPr>
            </w:pPr>
            <w:r w:rsidRPr="008F7EB2">
              <w:rPr>
                <w:color w:val="000000"/>
              </w:rPr>
              <w:t>54</w:t>
            </w:r>
          </w:p>
        </w:tc>
      </w:tr>
      <w:tr w:rsidR="005D6ACF" w:rsidTr="008A253E">
        <w:trPr>
          <w:trHeight w:val="30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5D6ACF" w:rsidRPr="008F7EB2" w:rsidRDefault="005D6ACF" w:rsidP="008A253E">
            <w:pPr>
              <w:rPr>
                <w:color w:val="000000"/>
              </w:rPr>
            </w:pPr>
            <w:r w:rsidRPr="008F7EB2">
              <w:rPr>
                <w:bCs/>
                <w:color w:val="000000"/>
              </w:rPr>
              <w:t>6.</w:t>
            </w:r>
          </w:p>
        </w:tc>
        <w:tc>
          <w:tcPr>
            <w:tcW w:w="2274" w:type="dxa"/>
            <w:tcBorders>
              <w:top w:val="nil"/>
              <w:left w:val="nil"/>
              <w:bottom w:val="single" w:sz="4" w:space="0" w:color="auto"/>
              <w:right w:val="single" w:sz="4" w:space="0" w:color="auto"/>
            </w:tcBorders>
            <w:shd w:val="clear" w:color="auto" w:fill="auto"/>
            <w:vAlign w:val="center"/>
            <w:hideMark/>
          </w:tcPr>
          <w:p w:rsidR="005D6ACF" w:rsidRPr="008F7EB2" w:rsidRDefault="005D6ACF" w:rsidP="008A253E">
            <w:pPr>
              <w:jc w:val="both"/>
              <w:rPr>
                <w:color w:val="000000"/>
              </w:rPr>
            </w:pPr>
            <w:r>
              <w:rPr>
                <w:bCs/>
                <w:color w:val="000000"/>
              </w:rPr>
              <w:t>ГУП «Лесное ДРСУ»</w:t>
            </w:r>
          </w:p>
        </w:tc>
        <w:tc>
          <w:tcPr>
            <w:tcW w:w="1340" w:type="dxa"/>
            <w:tcBorders>
              <w:top w:val="nil"/>
              <w:left w:val="nil"/>
              <w:bottom w:val="single" w:sz="4" w:space="0" w:color="auto"/>
              <w:right w:val="single" w:sz="4" w:space="0" w:color="auto"/>
            </w:tcBorders>
            <w:shd w:val="clear" w:color="auto" w:fill="auto"/>
            <w:vAlign w:val="center"/>
            <w:hideMark/>
          </w:tcPr>
          <w:p w:rsidR="005D6ACF" w:rsidRPr="008F7EB2" w:rsidRDefault="005D6ACF" w:rsidP="008A253E">
            <w:pPr>
              <w:jc w:val="center"/>
              <w:rPr>
                <w:color w:val="000000"/>
              </w:rPr>
            </w:pPr>
            <w:r w:rsidRPr="008F7EB2">
              <w:rPr>
                <w:color w:val="000000"/>
              </w:rPr>
              <w:t>2 400,0</w:t>
            </w:r>
          </w:p>
        </w:tc>
        <w:tc>
          <w:tcPr>
            <w:tcW w:w="1273" w:type="dxa"/>
            <w:tcBorders>
              <w:top w:val="nil"/>
              <w:left w:val="nil"/>
              <w:bottom w:val="single" w:sz="4" w:space="0" w:color="auto"/>
              <w:right w:val="single" w:sz="4" w:space="0" w:color="auto"/>
            </w:tcBorders>
            <w:shd w:val="clear" w:color="auto" w:fill="auto"/>
            <w:vAlign w:val="center"/>
            <w:hideMark/>
          </w:tcPr>
          <w:p w:rsidR="005D6ACF" w:rsidRPr="008F7EB2" w:rsidRDefault="005D6ACF" w:rsidP="008A253E">
            <w:pPr>
              <w:jc w:val="center"/>
              <w:rPr>
                <w:color w:val="000000"/>
              </w:rPr>
            </w:pPr>
            <w:r w:rsidRPr="008F7EB2">
              <w:rPr>
                <w:color w:val="000000"/>
              </w:rPr>
              <w:t>600</w:t>
            </w:r>
          </w:p>
        </w:tc>
        <w:tc>
          <w:tcPr>
            <w:tcW w:w="1340" w:type="dxa"/>
            <w:tcBorders>
              <w:top w:val="nil"/>
              <w:left w:val="nil"/>
              <w:bottom w:val="single" w:sz="4" w:space="0" w:color="auto"/>
              <w:right w:val="single" w:sz="4" w:space="0" w:color="auto"/>
            </w:tcBorders>
            <w:shd w:val="clear" w:color="auto" w:fill="auto"/>
            <w:vAlign w:val="center"/>
            <w:hideMark/>
          </w:tcPr>
          <w:p w:rsidR="005D6ACF" w:rsidRPr="008F7EB2" w:rsidRDefault="005D6ACF" w:rsidP="008A253E">
            <w:pPr>
              <w:jc w:val="center"/>
              <w:rPr>
                <w:color w:val="000000"/>
              </w:rPr>
            </w:pPr>
            <w:r w:rsidRPr="008F7EB2">
              <w:rPr>
                <w:color w:val="000000"/>
              </w:rPr>
              <w:t>3 200,0</w:t>
            </w:r>
          </w:p>
        </w:tc>
        <w:tc>
          <w:tcPr>
            <w:tcW w:w="1273" w:type="dxa"/>
            <w:tcBorders>
              <w:top w:val="nil"/>
              <w:left w:val="nil"/>
              <w:bottom w:val="single" w:sz="4" w:space="0" w:color="auto"/>
              <w:right w:val="single" w:sz="4" w:space="0" w:color="auto"/>
            </w:tcBorders>
            <w:shd w:val="clear" w:color="auto" w:fill="auto"/>
            <w:vAlign w:val="center"/>
            <w:hideMark/>
          </w:tcPr>
          <w:p w:rsidR="005D6ACF" w:rsidRPr="008F7EB2" w:rsidRDefault="005D6ACF" w:rsidP="008A253E">
            <w:pPr>
              <w:jc w:val="center"/>
              <w:rPr>
                <w:color w:val="000000"/>
              </w:rPr>
            </w:pPr>
            <w:r w:rsidRPr="008F7EB2">
              <w:rPr>
                <w:color w:val="000000"/>
              </w:rPr>
              <w:t>800</w:t>
            </w:r>
          </w:p>
        </w:tc>
        <w:tc>
          <w:tcPr>
            <w:tcW w:w="1340" w:type="dxa"/>
            <w:tcBorders>
              <w:top w:val="nil"/>
              <w:left w:val="nil"/>
              <w:bottom w:val="single" w:sz="4" w:space="0" w:color="auto"/>
              <w:right w:val="single" w:sz="4" w:space="0" w:color="auto"/>
            </w:tcBorders>
            <w:shd w:val="clear" w:color="auto" w:fill="auto"/>
            <w:vAlign w:val="center"/>
            <w:hideMark/>
          </w:tcPr>
          <w:p w:rsidR="005D6ACF" w:rsidRPr="008F7EB2" w:rsidRDefault="005D6ACF" w:rsidP="008A253E">
            <w:pPr>
              <w:jc w:val="center"/>
              <w:rPr>
                <w:color w:val="000000"/>
              </w:rPr>
            </w:pPr>
            <w:r w:rsidRPr="008F7EB2">
              <w:rPr>
                <w:color w:val="000000"/>
              </w:rPr>
              <w:t>4 000,0</w:t>
            </w:r>
          </w:p>
        </w:tc>
        <w:tc>
          <w:tcPr>
            <w:tcW w:w="1273" w:type="dxa"/>
            <w:gridSpan w:val="2"/>
            <w:tcBorders>
              <w:top w:val="nil"/>
              <w:left w:val="nil"/>
              <w:bottom w:val="single" w:sz="4" w:space="0" w:color="auto"/>
              <w:right w:val="single" w:sz="4" w:space="0" w:color="auto"/>
            </w:tcBorders>
            <w:shd w:val="clear" w:color="auto" w:fill="auto"/>
            <w:vAlign w:val="center"/>
            <w:hideMark/>
          </w:tcPr>
          <w:p w:rsidR="005D6ACF" w:rsidRPr="008F7EB2" w:rsidRDefault="005D6ACF" w:rsidP="008A253E">
            <w:pPr>
              <w:jc w:val="center"/>
              <w:rPr>
                <w:color w:val="000000"/>
              </w:rPr>
            </w:pPr>
            <w:r w:rsidRPr="008F7EB2">
              <w:rPr>
                <w:color w:val="000000"/>
              </w:rPr>
              <w:t>1 000,00</w:t>
            </w:r>
          </w:p>
        </w:tc>
      </w:tr>
      <w:tr w:rsidR="005D6ACF" w:rsidTr="008A253E">
        <w:trPr>
          <w:trHeight w:val="585"/>
        </w:trPr>
        <w:tc>
          <w:tcPr>
            <w:tcW w:w="516" w:type="dxa"/>
            <w:vMerge w:val="restart"/>
            <w:tcBorders>
              <w:top w:val="nil"/>
              <w:left w:val="single" w:sz="4" w:space="0" w:color="auto"/>
              <w:bottom w:val="single" w:sz="4" w:space="0" w:color="auto"/>
              <w:right w:val="single" w:sz="4" w:space="0" w:color="auto"/>
            </w:tcBorders>
            <w:shd w:val="clear" w:color="auto" w:fill="auto"/>
            <w:vAlign w:val="center"/>
            <w:hideMark/>
          </w:tcPr>
          <w:p w:rsidR="005D6ACF" w:rsidRPr="008F7EB2" w:rsidRDefault="005D6ACF" w:rsidP="008A253E">
            <w:pPr>
              <w:rPr>
                <w:color w:val="000000"/>
              </w:rPr>
            </w:pPr>
            <w:r w:rsidRPr="008F7EB2">
              <w:rPr>
                <w:bCs/>
                <w:color w:val="000000"/>
              </w:rPr>
              <w:t>7.</w:t>
            </w:r>
          </w:p>
        </w:tc>
        <w:tc>
          <w:tcPr>
            <w:tcW w:w="2274" w:type="dxa"/>
            <w:vMerge w:val="restart"/>
            <w:tcBorders>
              <w:top w:val="nil"/>
              <w:left w:val="single" w:sz="4" w:space="0" w:color="auto"/>
              <w:bottom w:val="single" w:sz="4" w:space="0" w:color="auto"/>
              <w:right w:val="single" w:sz="4" w:space="0" w:color="auto"/>
            </w:tcBorders>
            <w:shd w:val="clear" w:color="auto" w:fill="auto"/>
            <w:vAlign w:val="center"/>
            <w:hideMark/>
          </w:tcPr>
          <w:p w:rsidR="005D6ACF" w:rsidRPr="008F7EB2" w:rsidRDefault="005D6ACF" w:rsidP="008A253E">
            <w:pPr>
              <w:jc w:val="both"/>
              <w:rPr>
                <w:color w:val="000000"/>
              </w:rPr>
            </w:pPr>
            <w:r>
              <w:rPr>
                <w:bCs/>
                <w:color w:val="000000"/>
              </w:rPr>
              <w:t xml:space="preserve">ГУП «Бологовское ДРСУ» </w:t>
            </w:r>
          </w:p>
        </w:tc>
        <w:tc>
          <w:tcPr>
            <w:tcW w:w="1340" w:type="dxa"/>
            <w:vMerge w:val="restart"/>
            <w:tcBorders>
              <w:top w:val="nil"/>
              <w:left w:val="single" w:sz="4" w:space="0" w:color="auto"/>
              <w:bottom w:val="single" w:sz="4" w:space="0" w:color="auto"/>
              <w:right w:val="single" w:sz="4" w:space="0" w:color="auto"/>
            </w:tcBorders>
            <w:shd w:val="clear" w:color="auto" w:fill="auto"/>
            <w:vAlign w:val="center"/>
            <w:hideMark/>
          </w:tcPr>
          <w:p w:rsidR="005D6ACF" w:rsidRPr="008F7EB2" w:rsidRDefault="005D6ACF" w:rsidP="008A253E">
            <w:pPr>
              <w:jc w:val="center"/>
              <w:rPr>
                <w:color w:val="000000"/>
              </w:rPr>
            </w:pPr>
            <w:r w:rsidRPr="008F7EB2">
              <w:rPr>
                <w:color w:val="000000"/>
              </w:rPr>
              <w:t>60</w:t>
            </w:r>
          </w:p>
        </w:tc>
        <w:tc>
          <w:tcPr>
            <w:tcW w:w="1273" w:type="dxa"/>
            <w:vMerge w:val="restart"/>
            <w:tcBorders>
              <w:top w:val="nil"/>
              <w:left w:val="single" w:sz="4" w:space="0" w:color="auto"/>
              <w:bottom w:val="single" w:sz="4" w:space="0" w:color="auto"/>
              <w:right w:val="single" w:sz="4" w:space="0" w:color="auto"/>
            </w:tcBorders>
            <w:shd w:val="clear" w:color="auto" w:fill="auto"/>
            <w:vAlign w:val="center"/>
            <w:hideMark/>
          </w:tcPr>
          <w:p w:rsidR="005D6ACF" w:rsidRPr="008F7EB2" w:rsidRDefault="005D6ACF" w:rsidP="008A253E">
            <w:pPr>
              <w:jc w:val="center"/>
              <w:rPr>
                <w:color w:val="000000"/>
              </w:rPr>
            </w:pPr>
            <w:r w:rsidRPr="008F7EB2">
              <w:rPr>
                <w:color w:val="000000"/>
              </w:rPr>
              <w:t>15</w:t>
            </w:r>
          </w:p>
        </w:tc>
        <w:tc>
          <w:tcPr>
            <w:tcW w:w="1340" w:type="dxa"/>
            <w:vMerge w:val="restart"/>
            <w:tcBorders>
              <w:top w:val="nil"/>
              <w:left w:val="single" w:sz="4" w:space="0" w:color="auto"/>
              <w:bottom w:val="single" w:sz="4" w:space="0" w:color="auto"/>
              <w:right w:val="single" w:sz="4" w:space="0" w:color="auto"/>
            </w:tcBorders>
            <w:shd w:val="clear" w:color="auto" w:fill="auto"/>
            <w:vAlign w:val="center"/>
            <w:hideMark/>
          </w:tcPr>
          <w:p w:rsidR="005D6ACF" w:rsidRPr="008F7EB2" w:rsidRDefault="005D6ACF" w:rsidP="008A253E">
            <w:pPr>
              <w:jc w:val="center"/>
              <w:rPr>
                <w:color w:val="000000"/>
              </w:rPr>
            </w:pPr>
            <w:r w:rsidRPr="008F7EB2">
              <w:rPr>
                <w:color w:val="000000"/>
              </w:rPr>
              <w:t>70</w:t>
            </w:r>
          </w:p>
        </w:tc>
        <w:tc>
          <w:tcPr>
            <w:tcW w:w="1273" w:type="dxa"/>
            <w:vMerge w:val="restart"/>
            <w:tcBorders>
              <w:top w:val="nil"/>
              <w:left w:val="single" w:sz="4" w:space="0" w:color="auto"/>
              <w:bottom w:val="single" w:sz="4" w:space="0" w:color="auto"/>
              <w:right w:val="single" w:sz="4" w:space="0" w:color="auto"/>
            </w:tcBorders>
            <w:shd w:val="clear" w:color="auto" w:fill="auto"/>
            <w:vAlign w:val="center"/>
            <w:hideMark/>
          </w:tcPr>
          <w:p w:rsidR="005D6ACF" w:rsidRPr="008F7EB2" w:rsidRDefault="005D6ACF" w:rsidP="008A253E">
            <w:pPr>
              <w:jc w:val="center"/>
              <w:rPr>
                <w:color w:val="000000"/>
              </w:rPr>
            </w:pPr>
            <w:r w:rsidRPr="008F7EB2">
              <w:rPr>
                <w:color w:val="000000"/>
              </w:rPr>
              <w:t>17,5</w:t>
            </w:r>
          </w:p>
        </w:tc>
        <w:tc>
          <w:tcPr>
            <w:tcW w:w="1340" w:type="dxa"/>
            <w:vMerge w:val="restart"/>
            <w:tcBorders>
              <w:top w:val="nil"/>
              <w:left w:val="single" w:sz="4" w:space="0" w:color="auto"/>
              <w:bottom w:val="single" w:sz="4" w:space="0" w:color="auto"/>
              <w:right w:val="single" w:sz="4" w:space="0" w:color="auto"/>
            </w:tcBorders>
            <w:shd w:val="clear" w:color="auto" w:fill="auto"/>
            <w:vAlign w:val="center"/>
            <w:hideMark/>
          </w:tcPr>
          <w:p w:rsidR="005D6ACF" w:rsidRPr="008F7EB2" w:rsidRDefault="005D6ACF" w:rsidP="008A253E">
            <w:pPr>
              <w:jc w:val="center"/>
              <w:rPr>
                <w:color w:val="000000"/>
              </w:rPr>
            </w:pPr>
            <w:r w:rsidRPr="008F7EB2">
              <w:rPr>
                <w:color w:val="000000"/>
              </w:rPr>
              <w:t>80</w:t>
            </w:r>
          </w:p>
        </w:tc>
        <w:tc>
          <w:tcPr>
            <w:tcW w:w="127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5D6ACF" w:rsidRPr="008F7EB2" w:rsidRDefault="005D6ACF" w:rsidP="008A253E">
            <w:pPr>
              <w:jc w:val="center"/>
              <w:rPr>
                <w:color w:val="000000"/>
              </w:rPr>
            </w:pPr>
            <w:r w:rsidRPr="008F7EB2">
              <w:rPr>
                <w:color w:val="000000"/>
              </w:rPr>
              <w:t>20</w:t>
            </w:r>
          </w:p>
        </w:tc>
      </w:tr>
      <w:tr w:rsidR="005D6ACF" w:rsidTr="008A253E">
        <w:trPr>
          <w:trHeight w:val="300"/>
        </w:trPr>
        <w:tc>
          <w:tcPr>
            <w:tcW w:w="516" w:type="dxa"/>
            <w:vMerge/>
            <w:tcBorders>
              <w:top w:val="nil"/>
              <w:left w:val="single" w:sz="4" w:space="0" w:color="auto"/>
              <w:bottom w:val="single" w:sz="4" w:space="0" w:color="auto"/>
              <w:right w:val="single" w:sz="4" w:space="0" w:color="auto"/>
            </w:tcBorders>
            <w:vAlign w:val="center"/>
            <w:hideMark/>
          </w:tcPr>
          <w:p w:rsidR="005D6ACF" w:rsidRPr="008F7EB2" w:rsidRDefault="005D6ACF" w:rsidP="008A253E">
            <w:pPr>
              <w:rPr>
                <w:color w:val="000000"/>
              </w:rPr>
            </w:pPr>
          </w:p>
        </w:tc>
        <w:tc>
          <w:tcPr>
            <w:tcW w:w="2274" w:type="dxa"/>
            <w:vMerge/>
            <w:tcBorders>
              <w:top w:val="nil"/>
              <w:left w:val="single" w:sz="4" w:space="0" w:color="auto"/>
              <w:bottom w:val="single" w:sz="4" w:space="0" w:color="auto"/>
              <w:right w:val="single" w:sz="4" w:space="0" w:color="auto"/>
            </w:tcBorders>
            <w:vAlign w:val="center"/>
            <w:hideMark/>
          </w:tcPr>
          <w:p w:rsidR="005D6ACF" w:rsidRPr="008F7EB2" w:rsidRDefault="005D6ACF" w:rsidP="008A253E">
            <w:pPr>
              <w:rPr>
                <w:color w:val="000000"/>
              </w:rPr>
            </w:pPr>
          </w:p>
        </w:tc>
        <w:tc>
          <w:tcPr>
            <w:tcW w:w="1340" w:type="dxa"/>
            <w:vMerge/>
            <w:tcBorders>
              <w:top w:val="nil"/>
              <w:left w:val="single" w:sz="4" w:space="0" w:color="auto"/>
              <w:bottom w:val="single" w:sz="4" w:space="0" w:color="auto"/>
              <w:right w:val="single" w:sz="4" w:space="0" w:color="auto"/>
            </w:tcBorders>
            <w:vAlign w:val="center"/>
            <w:hideMark/>
          </w:tcPr>
          <w:p w:rsidR="005D6ACF" w:rsidRPr="008F7EB2" w:rsidRDefault="005D6ACF" w:rsidP="008A253E">
            <w:pPr>
              <w:rPr>
                <w:color w:val="000000"/>
              </w:rPr>
            </w:pPr>
          </w:p>
        </w:tc>
        <w:tc>
          <w:tcPr>
            <w:tcW w:w="1273" w:type="dxa"/>
            <w:vMerge/>
            <w:tcBorders>
              <w:top w:val="nil"/>
              <w:left w:val="single" w:sz="4" w:space="0" w:color="auto"/>
              <w:bottom w:val="single" w:sz="4" w:space="0" w:color="auto"/>
              <w:right w:val="single" w:sz="4" w:space="0" w:color="auto"/>
            </w:tcBorders>
            <w:vAlign w:val="center"/>
            <w:hideMark/>
          </w:tcPr>
          <w:p w:rsidR="005D6ACF" w:rsidRPr="008F7EB2" w:rsidRDefault="005D6ACF" w:rsidP="008A253E">
            <w:pPr>
              <w:rPr>
                <w:color w:val="000000"/>
              </w:rPr>
            </w:pPr>
          </w:p>
        </w:tc>
        <w:tc>
          <w:tcPr>
            <w:tcW w:w="1340" w:type="dxa"/>
            <w:vMerge/>
            <w:tcBorders>
              <w:top w:val="nil"/>
              <w:left w:val="single" w:sz="4" w:space="0" w:color="auto"/>
              <w:bottom w:val="single" w:sz="4" w:space="0" w:color="auto"/>
              <w:right w:val="single" w:sz="4" w:space="0" w:color="auto"/>
            </w:tcBorders>
            <w:vAlign w:val="center"/>
            <w:hideMark/>
          </w:tcPr>
          <w:p w:rsidR="005D6ACF" w:rsidRPr="008F7EB2" w:rsidRDefault="005D6ACF" w:rsidP="008A253E">
            <w:pPr>
              <w:rPr>
                <w:color w:val="000000"/>
              </w:rPr>
            </w:pPr>
          </w:p>
        </w:tc>
        <w:tc>
          <w:tcPr>
            <w:tcW w:w="1273" w:type="dxa"/>
            <w:vMerge/>
            <w:tcBorders>
              <w:top w:val="nil"/>
              <w:left w:val="single" w:sz="4" w:space="0" w:color="auto"/>
              <w:bottom w:val="single" w:sz="4" w:space="0" w:color="auto"/>
              <w:right w:val="single" w:sz="4" w:space="0" w:color="auto"/>
            </w:tcBorders>
            <w:vAlign w:val="center"/>
            <w:hideMark/>
          </w:tcPr>
          <w:p w:rsidR="005D6ACF" w:rsidRPr="008F7EB2" w:rsidRDefault="005D6ACF" w:rsidP="008A253E">
            <w:pPr>
              <w:rPr>
                <w:color w:val="000000"/>
              </w:rPr>
            </w:pPr>
          </w:p>
        </w:tc>
        <w:tc>
          <w:tcPr>
            <w:tcW w:w="1340" w:type="dxa"/>
            <w:vMerge/>
            <w:tcBorders>
              <w:top w:val="nil"/>
              <w:left w:val="single" w:sz="4" w:space="0" w:color="auto"/>
              <w:bottom w:val="single" w:sz="4" w:space="0" w:color="auto"/>
              <w:right w:val="single" w:sz="4" w:space="0" w:color="auto"/>
            </w:tcBorders>
            <w:vAlign w:val="center"/>
            <w:hideMark/>
          </w:tcPr>
          <w:p w:rsidR="005D6ACF" w:rsidRPr="008F7EB2" w:rsidRDefault="005D6ACF" w:rsidP="008A253E">
            <w:pPr>
              <w:rPr>
                <w:color w:val="000000"/>
              </w:rPr>
            </w:pPr>
          </w:p>
        </w:tc>
        <w:tc>
          <w:tcPr>
            <w:tcW w:w="1273" w:type="dxa"/>
            <w:gridSpan w:val="2"/>
            <w:vMerge/>
            <w:tcBorders>
              <w:top w:val="nil"/>
              <w:left w:val="single" w:sz="4" w:space="0" w:color="auto"/>
              <w:bottom w:val="single" w:sz="4" w:space="0" w:color="auto"/>
              <w:right w:val="single" w:sz="4" w:space="0" w:color="auto"/>
            </w:tcBorders>
            <w:vAlign w:val="center"/>
            <w:hideMark/>
          </w:tcPr>
          <w:p w:rsidR="005D6ACF" w:rsidRPr="008F7EB2" w:rsidRDefault="005D6ACF" w:rsidP="008A253E">
            <w:pPr>
              <w:rPr>
                <w:color w:val="000000"/>
              </w:rPr>
            </w:pPr>
          </w:p>
        </w:tc>
      </w:tr>
      <w:tr w:rsidR="005D6ACF" w:rsidTr="008A253E">
        <w:trPr>
          <w:trHeight w:val="585"/>
        </w:trPr>
        <w:tc>
          <w:tcPr>
            <w:tcW w:w="516" w:type="dxa"/>
            <w:vMerge w:val="restart"/>
            <w:tcBorders>
              <w:top w:val="nil"/>
              <w:left w:val="single" w:sz="4" w:space="0" w:color="auto"/>
              <w:bottom w:val="single" w:sz="4" w:space="0" w:color="auto"/>
              <w:right w:val="single" w:sz="4" w:space="0" w:color="auto"/>
            </w:tcBorders>
            <w:shd w:val="clear" w:color="auto" w:fill="auto"/>
            <w:vAlign w:val="center"/>
            <w:hideMark/>
          </w:tcPr>
          <w:p w:rsidR="005D6ACF" w:rsidRPr="008F7EB2" w:rsidRDefault="005D6ACF" w:rsidP="008A253E">
            <w:pPr>
              <w:rPr>
                <w:color w:val="000000"/>
              </w:rPr>
            </w:pPr>
            <w:r w:rsidRPr="008F7EB2">
              <w:rPr>
                <w:bCs/>
                <w:color w:val="000000"/>
              </w:rPr>
              <w:t>8.</w:t>
            </w:r>
          </w:p>
        </w:tc>
        <w:tc>
          <w:tcPr>
            <w:tcW w:w="2274" w:type="dxa"/>
            <w:vMerge w:val="restart"/>
            <w:tcBorders>
              <w:top w:val="nil"/>
              <w:left w:val="single" w:sz="4" w:space="0" w:color="auto"/>
              <w:bottom w:val="single" w:sz="4" w:space="0" w:color="auto"/>
              <w:right w:val="single" w:sz="4" w:space="0" w:color="auto"/>
            </w:tcBorders>
            <w:shd w:val="clear" w:color="auto" w:fill="auto"/>
            <w:vAlign w:val="center"/>
            <w:hideMark/>
          </w:tcPr>
          <w:p w:rsidR="005D6ACF" w:rsidRPr="008F7EB2" w:rsidRDefault="005D6ACF" w:rsidP="008A253E">
            <w:pPr>
              <w:jc w:val="both"/>
              <w:rPr>
                <w:color w:val="000000"/>
              </w:rPr>
            </w:pPr>
            <w:r w:rsidRPr="008F7EB2">
              <w:rPr>
                <w:bCs/>
                <w:color w:val="000000"/>
              </w:rPr>
              <w:t xml:space="preserve">ГУП «Коммунальные системы» </w:t>
            </w:r>
          </w:p>
        </w:tc>
        <w:tc>
          <w:tcPr>
            <w:tcW w:w="1340" w:type="dxa"/>
            <w:vMerge w:val="restart"/>
            <w:tcBorders>
              <w:top w:val="nil"/>
              <w:left w:val="single" w:sz="4" w:space="0" w:color="auto"/>
              <w:bottom w:val="single" w:sz="4" w:space="0" w:color="auto"/>
              <w:right w:val="single" w:sz="4" w:space="0" w:color="auto"/>
            </w:tcBorders>
            <w:shd w:val="clear" w:color="auto" w:fill="auto"/>
            <w:vAlign w:val="center"/>
            <w:hideMark/>
          </w:tcPr>
          <w:p w:rsidR="005D6ACF" w:rsidRPr="008F7EB2" w:rsidRDefault="005D6ACF" w:rsidP="008A253E">
            <w:pPr>
              <w:jc w:val="center"/>
              <w:rPr>
                <w:color w:val="000000"/>
              </w:rPr>
            </w:pPr>
            <w:r w:rsidRPr="008F7EB2">
              <w:rPr>
                <w:bCs/>
                <w:color w:val="000000"/>
              </w:rPr>
              <w:t>1,6</w:t>
            </w:r>
          </w:p>
        </w:tc>
        <w:tc>
          <w:tcPr>
            <w:tcW w:w="1273" w:type="dxa"/>
            <w:vMerge w:val="restart"/>
            <w:tcBorders>
              <w:top w:val="nil"/>
              <w:left w:val="single" w:sz="4" w:space="0" w:color="auto"/>
              <w:bottom w:val="single" w:sz="4" w:space="0" w:color="auto"/>
              <w:right w:val="single" w:sz="4" w:space="0" w:color="auto"/>
            </w:tcBorders>
            <w:shd w:val="clear" w:color="auto" w:fill="auto"/>
            <w:vAlign w:val="center"/>
            <w:hideMark/>
          </w:tcPr>
          <w:p w:rsidR="005D6ACF" w:rsidRPr="008F7EB2" w:rsidRDefault="005D6ACF" w:rsidP="008A253E">
            <w:pPr>
              <w:jc w:val="center"/>
              <w:rPr>
                <w:color w:val="000000"/>
              </w:rPr>
            </w:pPr>
            <w:r w:rsidRPr="008F7EB2">
              <w:rPr>
                <w:bCs/>
                <w:color w:val="000000"/>
              </w:rPr>
              <w:t>0,4</w:t>
            </w:r>
          </w:p>
        </w:tc>
        <w:tc>
          <w:tcPr>
            <w:tcW w:w="1340" w:type="dxa"/>
            <w:vMerge w:val="restart"/>
            <w:tcBorders>
              <w:top w:val="nil"/>
              <w:left w:val="single" w:sz="4" w:space="0" w:color="auto"/>
              <w:bottom w:val="single" w:sz="4" w:space="0" w:color="auto"/>
              <w:right w:val="single" w:sz="4" w:space="0" w:color="auto"/>
            </w:tcBorders>
            <w:shd w:val="clear" w:color="auto" w:fill="auto"/>
            <w:vAlign w:val="center"/>
            <w:hideMark/>
          </w:tcPr>
          <w:p w:rsidR="005D6ACF" w:rsidRPr="008F7EB2" w:rsidRDefault="005D6ACF" w:rsidP="008A253E">
            <w:pPr>
              <w:jc w:val="center"/>
              <w:rPr>
                <w:color w:val="000000"/>
              </w:rPr>
            </w:pPr>
            <w:r w:rsidRPr="008F7EB2">
              <w:rPr>
                <w:bCs/>
                <w:color w:val="000000"/>
              </w:rPr>
              <w:t>1,7</w:t>
            </w:r>
          </w:p>
        </w:tc>
        <w:tc>
          <w:tcPr>
            <w:tcW w:w="1273" w:type="dxa"/>
            <w:vMerge w:val="restart"/>
            <w:tcBorders>
              <w:top w:val="nil"/>
              <w:left w:val="single" w:sz="4" w:space="0" w:color="auto"/>
              <w:bottom w:val="single" w:sz="4" w:space="0" w:color="auto"/>
              <w:right w:val="single" w:sz="4" w:space="0" w:color="auto"/>
            </w:tcBorders>
            <w:shd w:val="clear" w:color="auto" w:fill="auto"/>
            <w:vAlign w:val="center"/>
            <w:hideMark/>
          </w:tcPr>
          <w:p w:rsidR="005D6ACF" w:rsidRPr="008F7EB2" w:rsidRDefault="005D6ACF" w:rsidP="008A253E">
            <w:pPr>
              <w:jc w:val="center"/>
              <w:rPr>
                <w:color w:val="000000"/>
              </w:rPr>
            </w:pPr>
            <w:r w:rsidRPr="008F7EB2">
              <w:rPr>
                <w:bCs/>
                <w:color w:val="000000"/>
              </w:rPr>
              <w:t>0,4</w:t>
            </w:r>
          </w:p>
        </w:tc>
        <w:tc>
          <w:tcPr>
            <w:tcW w:w="1340" w:type="dxa"/>
            <w:vMerge w:val="restart"/>
            <w:tcBorders>
              <w:top w:val="nil"/>
              <w:left w:val="single" w:sz="4" w:space="0" w:color="auto"/>
              <w:bottom w:val="single" w:sz="4" w:space="0" w:color="auto"/>
              <w:right w:val="single" w:sz="4" w:space="0" w:color="auto"/>
            </w:tcBorders>
            <w:shd w:val="clear" w:color="auto" w:fill="auto"/>
            <w:vAlign w:val="center"/>
            <w:hideMark/>
          </w:tcPr>
          <w:p w:rsidR="005D6ACF" w:rsidRPr="008F7EB2" w:rsidRDefault="005D6ACF" w:rsidP="008A253E">
            <w:pPr>
              <w:jc w:val="center"/>
              <w:rPr>
                <w:color w:val="000000"/>
              </w:rPr>
            </w:pPr>
            <w:r w:rsidRPr="008F7EB2">
              <w:rPr>
                <w:bCs/>
                <w:color w:val="000000"/>
              </w:rPr>
              <w:t>1,7</w:t>
            </w:r>
          </w:p>
        </w:tc>
        <w:tc>
          <w:tcPr>
            <w:tcW w:w="127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5D6ACF" w:rsidRPr="008F7EB2" w:rsidRDefault="005D6ACF" w:rsidP="008A253E">
            <w:pPr>
              <w:jc w:val="center"/>
              <w:rPr>
                <w:color w:val="000000"/>
              </w:rPr>
            </w:pPr>
            <w:r w:rsidRPr="008F7EB2">
              <w:rPr>
                <w:bCs/>
                <w:color w:val="000000"/>
              </w:rPr>
              <w:t>0,4</w:t>
            </w:r>
          </w:p>
        </w:tc>
      </w:tr>
      <w:tr w:rsidR="005D6ACF" w:rsidTr="008A253E">
        <w:trPr>
          <w:trHeight w:val="300"/>
        </w:trPr>
        <w:tc>
          <w:tcPr>
            <w:tcW w:w="516" w:type="dxa"/>
            <w:vMerge/>
            <w:tcBorders>
              <w:top w:val="nil"/>
              <w:left w:val="single" w:sz="4" w:space="0" w:color="auto"/>
              <w:bottom w:val="single" w:sz="4" w:space="0" w:color="auto"/>
              <w:right w:val="single" w:sz="4" w:space="0" w:color="auto"/>
            </w:tcBorders>
            <w:vAlign w:val="center"/>
            <w:hideMark/>
          </w:tcPr>
          <w:p w:rsidR="005D6ACF" w:rsidRPr="008F7EB2" w:rsidRDefault="005D6ACF" w:rsidP="008A253E">
            <w:pPr>
              <w:rPr>
                <w:color w:val="000000"/>
              </w:rPr>
            </w:pPr>
          </w:p>
        </w:tc>
        <w:tc>
          <w:tcPr>
            <w:tcW w:w="2274" w:type="dxa"/>
            <w:vMerge/>
            <w:tcBorders>
              <w:top w:val="nil"/>
              <w:left w:val="single" w:sz="4" w:space="0" w:color="auto"/>
              <w:bottom w:val="single" w:sz="4" w:space="0" w:color="auto"/>
              <w:right w:val="single" w:sz="4" w:space="0" w:color="auto"/>
            </w:tcBorders>
            <w:vAlign w:val="center"/>
            <w:hideMark/>
          </w:tcPr>
          <w:p w:rsidR="005D6ACF" w:rsidRPr="008F7EB2" w:rsidRDefault="005D6ACF" w:rsidP="008A253E">
            <w:pPr>
              <w:rPr>
                <w:color w:val="000000"/>
              </w:rPr>
            </w:pPr>
          </w:p>
        </w:tc>
        <w:tc>
          <w:tcPr>
            <w:tcW w:w="1340" w:type="dxa"/>
            <w:vMerge/>
            <w:tcBorders>
              <w:top w:val="nil"/>
              <w:left w:val="single" w:sz="4" w:space="0" w:color="auto"/>
              <w:bottom w:val="single" w:sz="4" w:space="0" w:color="auto"/>
              <w:right w:val="single" w:sz="4" w:space="0" w:color="auto"/>
            </w:tcBorders>
            <w:vAlign w:val="center"/>
            <w:hideMark/>
          </w:tcPr>
          <w:p w:rsidR="005D6ACF" w:rsidRPr="008F7EB2" w:rsidRDefault="005D6ACF" w:rsidP="008A253E">
            <w:pPr>
              <w:rPr>
                <w:color w:val="000000"/>
              </w:rPr>
            </w:pPr>
          </w:p>
        </w:tc>
        <w:tc>
          <w:tcPr>
            <w:tcW w:w="1273" w:type="dxa"/>
            <w:vMerge/>
            <w:tcBorders>
              <w:top w:val="nil"/>
              <w:left w:val="single" w:sz="4" w:space="0" w:color="auto"/>
              <w:bottom w:val="single" w:sz="4" w:space="0" w:color="auto"/>
              <w:right w:val="single" w:sz="4" w:space="0" w:color="auto"/>
            </w:tcBorders>
            <w:vAlign w:val="center"/>
            <w:hideMark/>
          </w:tcPr>
          <w:p w:rsidR="005D6ACF" w:rsidRPr="008F7EB2" w:rsidRDefault="005D6ACF" w:rsidP="008A253E">
            <w:pPr>
              <w:rPr>
                <w:color w:val="000000"/>
              </w:rPr>
            </w:pPr>
          </w:p>
        </w:tc>
        <w:tc>
          <w:tcPr>
            <w:tcW w:w="1340" w:type="dxa"/>
            <w:vMerge/>
            <w:tcBorders>
              <w:top w:val="nil"/>
              <w:left w:val="single" w:sz="4" w:space="0" w:color="auto"/>
              <w:bottom w:val="single" w:sz="4" w:space="0" w:color="auto"/>
              <w:right w:val="single" w:sz="4" w:space="0" w:color="auto"/>
            </w:tcBorders>
            <w:vAlign w:val="center"/>
            <w:hideMark/>
          </w:tcPr>
          <w:p w:rsidR="005D6ACF" w:rsidRPr="008F7EB2" w:rsidRDefault="005D6ACF" w:rsidP="008A253E">
            <w:pPr>
              <w:rPr>
                <w:color w:val="000000"/>
              </w:rPr>
            </w:pPr>
          </w:p>
        </w:tc>
        <w:tc>
          <w:tcPr>
            <w:tcW w:w="1273" w:type="dxa"/>
            <w:vMerge/>
            <w:tcBorders>
              <w:top w:val="nil"/>
              <w:left w:val="single" w:sz="4" w:space="0" w:color="auto"/>
              <w:bottom w:val="single" w:sz="4" w:space="0" w:color="auto"/>
              <w:right w:val="single" w:sz="4" w:space="0" w:color="auto"/>
            </w:tcBorders>
            <w:vAlign w:val="center"/>
            <w:hideMark/>
          </w:tcPr>
          <w:p w:rsidR="005D6ACF" w:rsidRPr="008F7EB2" w:rsidRDefault="005D6ACF" w:rsidP="008A253E">
            <w:pPr>
              <w:rPr>
                <w:color w:val="000000"/>
              </w:rPr>
            </w:pPr>
          </w:p>
        </w:tc>
        <w:tc>
          <w:tcPr>
            <w:tcW w:w="1340" w:type="dxa"/>
            <w:vMerge/>
            <w:tcBorders>
              <w:top w:val="nil"/>
              <w:left w:val="single" w:sz="4" w:space="0" w:color="auto"/>
              <w:bottom w:val="single" w:sz="4" w:space="0" w:color="auto"/>
              <w:right w:val="single" w:sz="4" w:space="0" w:color="auto"/>
            </w:tcBorders>
            <w:vAlign w:val="center"/>
            <w:hideMark/>
          </w:tcPr>
          <w:p w:rsidR="005D6ACF" w:rsidRPr="008F7EB2" w:rsidRDefault="005D6ACF" w:rsidP="008A253E">
            <w:pPr>
              <w:rPr>
                <w:color w:val="000000"/>
              </w:rPr>
            </w:pPr>
          </w:p>
        </w:tc>
        <w:tc>
          <w:tcPr>
            <w:tcW w:w="1273" w:type="dxa"/>
            <w:gridSpan w:val="2"/>
            <w:vMerge/>
            <w:tcBorders>
              <w:top w:val="nil"/>
              <w:left w:val="single" w:sz="4" w:space="0" w:color="auto"/>
              <w:bottom w:val="single" w:sz="4" w:space="0" w:color="auto"/>
              <w:right w:val="single" w:sz="4" w:space="0" w:color="auto"/>
            </w:tcBorders>
            <w:vAlign w:val="center"/>
            <w:hideMark/>
          </w:tcPr>
          <w:p w:rsidR="005D6ACF" w:rsidRPr="008F7EB2" w:rsidRDefault="005D6ACF" w:rsidP="008A253E">
            <w:pPr>
              <w:rPr>
                <w:color w:val="000000"/>
              </w:rPr>
            </w:pPr>
          </w:p>
        </w:tc>
      </w:tr>
      <w:tr w:rsidR="005D6ACF" w:rsidTr="008A253E">
        <w:trPr>
          <w:trHeight w:val="30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5D6ACF" w:rsidRPr="008F7EB2" w:rsidRDefault="005D6ACF" w:rsidP="008A253E">
            <w:pPr>
              <w:rPr>
                <w:color w:val="000000"/>
              </w:rPr>
            </w:pPr>
            <w:r w:rsidRPr="008F7EB2">
              <w:rPr>
                <w:bCs/>
                <w:color w:val="000000"/>
              </w:rPr>
              <w:t>9.</w:t>
            </w:r>
          </w:p>
        </w:tc>
        <w:tc>
          <w:tcPr>
            <w:tcW w:w="2274" w:type="dxa"/>
            <w:tcBorders>
              <w:top w:val="nil"/>
              <w:left w:val="nil"/>
              <w:bottom w:val="single" w:sz="4" w:space="0" w:color="auto"/>
              <w:right w:val="single" w:sz="4" w:space="0" w:color="auto"/>
            </w:tcBorders>
            <w:shd w:val="clear" w:color="auto" w:fill="auto"/>
            <w:vAlign w:val="center"/>
            <w:hideMark/>
          </w:tcPr>
          <w:p w:rsidR="005D6ACF" w:rsidRPr="008F7EB2" w:rsidRDefault="005D6ACF" w:rsidP="008A253E">
            <w:pPr>
              <w:jc w:val="both"/>
              <w:rPr>
                <w:color w:val="000000"/>
              </w:rPr>
            </w:pPr>
            <w:r>
              <w:rPr>
                <w:bCs/>
                <w:color w:val="000000"/>
              </w:rPr>
              <w:t xml:space="preserve">ГУП «Водоканал» </w:t>
            </w:r>
          </w:p>
        </w:tc>
        <w:tc>
          <w:tcPr>
            <w:tcW w:w="1340" w:type="dxa"/>
            <w:tcBorders>
              <w:top w:val="nil"/>
              <w:left w:val="nil"/>
              <w:bottom w:val="single" w:sz="4" w:space="0" w:color="auto"/>
              <w:right w:val="single" w:sz="4" w:space="0" w:color="auto"/>
            </w:tcBorders>
            <w:shd w:val="clear" w:color="auto" w:fill="auto"/>
            <w:vAlign w:val="center"/>
            <w:hideMark/>
          </w:tcPr>
          <w:p w:rsidR="005D6ACF" w:rsidRPr="008F7EB2" w:rsidRDefault="005D6ACF" w:rsidP="008A253E">
            <w:pPr>
              <w:jc w:val="center"/>
              <w:rPr>
                <w:color w:val="000000"/>
              </w:rPr>
            </w:pPr>
            <w:r w:rsidRPr="008F7EB2">
              <w:rPr>
                <w:bCs/>
                <w:color w:val="000000"/>
              </w:rPr>
              <w:t>397</w:t>
            </w:r>
          </w:p>
        </w:tc>
        <w:tc>
          <w:tcPr>
            <w:tcW w:w="1273" w:type="dxa"/>
            <w:tcBorders>
              <w:top w:val="nil"/>
              <w:left w:val="nil"/>
              <w:bottom w:val="single" w:sz="4" w:space="0" w:color="auto"/>
              <w:right w:val="single" w:sz="4" w:space="0" w:color="auto"/>
            </w:tcBorders>
            <w:shd w:val="clear" w:color="auto" w:fill="auto"/>
            <w:vAlign w:val="center"/>
            <w:hideMark/>
          </w:tcPr>
          <w:p w:rsidR="005D6ACF" w:rsidRPr="008F7EB2" w:rsidRDefault="005D6ACF" w:rsidP="008A253E">
            <w:pPr>
              <w:jc w:val="center"/>
              <w:rPr>
                <w:color w:val="000000"/>
              </w:rPr>
            </w:pPr>
            <w:r w:rsidRPr="008F7EB2">
              <w:rPr>
                <w:bCs/>
                <w:color w:val="000000"/>
              </w:rPr>
              <w:t>99,2</w:t>
            </w:r>
          </w:p>
        </w:tc>
        <w:tc>
          <w:tcPr>
            <w:tcW w:w="1340" w:type="dxa"/>
            <w:tcBorders>
              <w:top w:val="nil"/>
              <w:left w:val="nil"/>
              <w:bottom w:val="single" w:sz="4" w:space="0" w:color="auto"/>
              <w:right w:val="single" w:sz="4" w:space="0" w:color="auto"/>
            </w:tcBorders>
            <w:shd w:val="clear" w:color="auto" w:fill="auto"/>
            <w:vAlign w:val="center"/>
            <w:hideMark/>
          </w:tcPr>
          <w:p w:rsidR="005D6ACF" w:rsidRPr="008F7EB2" w:rsidRDefault="005D6ACF" w:rsidP="008A253E">
            <w:pPr>
              <w:jc w:val="center"/>
              <w:rPr>
                <w:color w:val="000000"/>
              </w:rPr>
            </w:pPr>
            <w:r w:rsidRPr="008F7EB2">
              <w:rPr>
                <w:bCs/>
                <w:color w:val="000000"/>
              </w:rPr>
              <w:t>400</w:t>
            </w:r>
          </w:p>
        </w:tc>
        <w:tc>
          <w:tcPr>
            <w:tcW w:w="1273" w:type="dxa"/>
            <w:tcBorders>
              <w:top w:val="nil"/>
              <w:left w:val="nil"/>
              <w:bottom w:val="single" w:sz="4" w:space="0" w:color="auto"/>
              <w:right w:val="single" w:sz="4" w:space="0" w:color="auto"/>
            </w:tcBorders>
            <w:shd w:val="clear" w:color="auto" w:fill="auto"/>
            <w:vAlign w:val="center"/>
            <w:hideMark/>
          </w:tcPr>
          <w:p w:rsidR="005D6ACF" w:rsidRPr="008F7EB2" w:rsidRDefault="005D6ACF" w:rsidP="008A253E">
            <w:pPr>
              <w:jc w:val="center"/>
              <w:rPr>
                <w:color w:val="000000"/>
              </w:rPr>
            </w:pPr>
            <w:r w:rsidRPr="008F7EB2">
              <w:rPr>
                <w:bCs/>
                <w:color w:val="000000"/>
              </w:rPr>
              <w:t>100</w:t>
            </w:r>
          </w:p>
        </w:tc>
        <w:tc>
          <w:tcPr>
            <w:tcW w:w="1340" w:type="dxa"/>
            <w:tcBorders>
              <w:top w:val="nil"/>
              <w:left w:val="nil"/>
              <w:bottom w:val="single" w:sz="4" w:space="0" w:color="auto"/>
              <w:right w:val="single" w:sz="4" w:space="0" w:color="auto"/>
            </w:tcBorders>
            <w:shd w:val="clear" w:color="auto" w:fill="auto"/>
            <w:vAlign w:val="center"/>
            <w:hideMark/>
          </w:tcPr>
          <w:p w:rsidR="005D6ACF" w:rsidRPr="008F7EB2" w:rsidRDefault="005D6ACF" w:rsidP="008A253E">
            <w:pPr>
              <w:jc w:val="center"/>
              <w:rPr>
                <w:color w:val="000000"/>
              </w:rPr>
            </w:pPr>
            <w:r w:rsidRPr="008F7EB2">
              <w:rPr>
                <w:bCs/>
                <w:color w:val="000000"/>
              </w:rPr>
              <w:t>400</w:t>
            </w:r>
          </w:p>
        </w:tc>
        <w:tc>
          <w:tcPr>
            <w:tcW w:w="1273" w:type="dxa"/>
            <w:gridSpan w:val="2"/>
            <w:tcBorders>
              <w:top w:val="nil"/>
              <w:left w:val="nil"/>
              <w:bottom w:val="single" w:sz="4" w:space="0" w:color="auto"/>
              <w:right w:val="single" w:sz="4" w:space="0" w:color="auto"/>
            </w:tcBorders>
            <w:shd w:val="clear" w:color="auto" w:fill="auto"/>
            <w:vAlign w:val="center"/>
            <w:hideMark/>
          </w:tcPr>
          <w:p w:rsidR="005D6ACF" w:rsidRPr="008F7EB2" w:rsidRDefault="005D6ACF" w:rsidP="008A253E">
            <w:pPr>
              <w:jc w:val="center"/>
              <w:rPr>
                <w:color w:val="000000"/>
              </w:rPr>
            </w:pPr>
            <w:r w:rsidRPr="008F7EB2">
              <w:rPr>
                <w:bCs/>
                <w:color w:val="000000"/>
              </w:rPr>
              <w:t>100</w:t>
            </w:r>
          </w:p>
        </w:tc>
      </w:tr>
      <w:tr w:rsidR="005D6ACF" w:rsidTr="008A253E">
        <w:trPr>
          <w:trHeight w:val="300"/>
        </w:trPr>
        <w:tc>
          <w:tcPr>
            <w:tcW w:w="516" w:type="dxa"/>
            <w:vMerge w:val="restart"/>
            <w:tcBorders>
              <w:top w:val="nil"/>
              <w:left w:val="single" w:sz="4" w:space="0" w:color="auto"/>
              <w:bottom w:val="single" w:sz="4" w:space="0" w:color="auto"/>
              <w:right w:val="single" w:sz="4" w:space="0" w:color="auto"/>
            </w:tcBorders>
            <w:shd w:val="clear" w:color="auto" w:fill="auto"/>
            <w:vAlign w:val="center"/>
            <w:hideMark/>
          </w:tcPr>
          <w:p w:rsidR="005D6ACF" w:rsidRPr="008F7EB2" w:rsidRDefault="005D6ACF" w:rsidP="008A253E">
            <w:pPr>
              <w:rPr>
                <w:color w:val="000000"/>
              </w:rPr>
            </w:pPr>
            <w:r w:rsidRPr="008F7EB2">
              <w:rPr>
                <w:bCs/>
                <w:color w:val="000000"/>
              </w:rPr>
              <w:t>10.</w:t>
            </w:r>
          </w:p>
        </w:tc>
        <w:tc>
          <w:tcPr>
            <w:tcW w:w="2274" w:type="dxa"/>
            <w:vMerge w:val="restart"/>
            <w:tcBorders>
              <w:top w:val="nil"/>
              <w:left w:val="single" w:sz="4" w:space="0" w:color="auto"/>
              <w:bottom w:val="single" w:sz="4" w:space="0" w:color="auto"/>
              <w:right w:val="single" w:sz="4" w:space="0" w:color="auto"/>
            </w:tcBorders>
            <w:shd w:val="clear" w:color="auto" w:fill="auto"/>
            <w:vAlign w:val="center"/>
            <w:hideMark/>
          </w:tcPr>
          <w:p w:rsidR="005D6ACF" w:rsidRPr="008F7EB2" w:rsidRDefault="005D6ACF" w:rsidP="008A253E">
            <w:pPr>
              <w:jc w:val="both"/>
              <w:rPr>
                <w:color w:val="000000"/>
              </w:rPr>
            </w:pPr>
            <w:r w:rsidRPr="008F7EB2">
              <w:rPr>
                <w:bCs/>
                <w:color w:val="000000"/>
              </w:rPr>
              <w:t xml:space="preserve">ГУП «ДЕЗ» </w:t>
            </w:r>
          </w:p>
        </w:tc>
        <w:tc>
          <w:tcPr>
            <w:tcW w:w="1340" w:type="dxa"/>
            <w:vMerge w:val="restart"/>
            <w:tcBorders>
              <w:top w:val="nil"/>
              <w:left w:val="single" w:sz="4" w:space="0" w:color="auto"/>
              <w:bottom w:val="single" w:sz="4" w:space="0" w:color="auto"/>
              <w:right w:val="single" w:sz="4" w:space="0" w:color="auto"/>
            </w:tcBorders>
            <w:shd w:val="clear" w:color="auto" w:fill="auto"/>
            <w:vAlign w:val="center"/>
            <w:hideMark/>
          </w:tcPr>
          <w:p w:rsidR="005D6ACF" w:rsidRPr="008F7EB2" w:rsidRDefault="005D6ACF" w:rsidP="008A253E">
            <w:pPr>
              <w:jc w:val="center"/>
              <w:rPr>
                <w:color w:val="000000"/>
              </w:rPr>
            </w:pPr>
            <w:r w:rsidRPr="008F7EB2">
              <w:rPr>
                <w:bCs/>
                <w:color w:val="000000"/>
              </w:rPr>
              <w:t>0</w:t>
            </w:r>
          </w:p>
        </w:tc>
        <w:tc>
          <w:tcPr>
            <w:tcW w:w="1273" w:type="dxa"/>
            <w:vMerge w:val="restart"/>
            <w:tcBorders>
              <w:top w:val="nil"/>
              <w:left w:val="single" w:sz="4" w:space="0" w:color="auto"/>
              <w:bottom w:val="single" w:sz="4" w:space="0" w:color="auto"/>
              <w:right w:val="single" w:sz="4" w:space="0" w:color="auto"/>
            </w:tcBorders>
            <w:shd w:val="clear" w:color="auto" w:fill="auto"/>
            <w:vAlign w:val="center"/>
            <w:hideMark/>
          </w:tcPr>
          <w:p w:rsidR="005D6ACF" w:rsidRPr="008F7EB2" w:rsidRDefault="005D6ACF" w:rsidP="008A253E">
            <w:pPr>
              <w:jc w:val="center"/>
              <w:rPr>
                <w:color w:val="000000"/>
              </w:rPr>
            </w:pPr>
            <w:r w:rsidRPr="008F7EB2">
              <w:rPr>
                <w:bCs/>
                <w:color w:val="000000"/>
              </w:rPr>
              <w:t>0</w:t>
            </w:r>
          </w:p>
        </w:tc>
        <w:tc>
          <w:tcPr>
            <w:tcW w:w="1340" w:type="dxa"/>
            <w:vMerge w:val="restart"/>
            <w:tcBorders>
              <w:top w:val="nil"/>
              <w:left w:val="single" w:sz="4" w:space="0" w:color="auto"/>
              <w:bottom w:val="single" w:sz="4" w:space="0" w:color="auto"/>
              <w:right w:val="single" w:sz="4" w:space="0" w:color="auto"/>
            </w:tcBorders>
            <w:shd w:val="clear" w:color="auto" w:fill="auto"/>
            <w:vAlign w:val="center"/>
            <w:hideMark/>
          </w:tcPr>
          <w:p w:rsidR="005D6ACF" w:rsidRPr="008F7EB2" w:rsidRDefault="005D6ACF" w:rsidP="008A253E">
            <w:pPr>
              <w:jc w:val="center"/>
              <w:rPr>
                <w:color w:val="000000"/>
              </w:rPr>
            </w:pPr>
            <w:r w:rsidRPr="008F7EB2">
              <w:rPr>
                <w:bCs/>
                <w:color w:val="000000"/>
              </w:rPr>
              <w:t>0</w:t>
            </w:r>
          </w:p>
        </w:tc>
        <w:tc>
          <w:tcPr>
            <w:tcW w:w="1273" w:type="dxa"/>
            <w:vMerge w:val="restart"/>
            <w:tcBorders>
              <w:top w:val="nil"/>
              <w:left w:val="single" w:sz="4" w:space="0" w:color="auto"/>
              <w:bottom w:val="single" w:sz="4" w:space="0" w:color="auto"/>
              <w:right w:val="single" w:sz="4" w:space="0" w:color="auto"/>
            </w:tcBorders>
            <w:shd w:val="clear" w:color="auto" w:fill="auto"/>
            <w:vAlign w:val="center"/>
            <w:hideMark/>
          </w:tcPr>
          <w:p w:rsidR="005D6ACF" w:rsidRPr="008F7EB2" w:rsidRDefault="005D6ACF" w:rsidP="008A253E">
            <w:pPr>
              <w:jc w:val="center"/>
              <w:rPr>
                <w:color w:val="000000"/>
              </w:rPr>
            </w:pPr>
            <w:r w:rsidRPr="008F7EB2">
              <w:rPr>
                <w:bCs/>
                <w:color w:val="000000"/>
              </w:rPr>
              <w:t>0</w:t>
            </w:r>
          </w:p>
        </w:tc>
        <w:tc>
          <w:tcPr>
            <w:tcW w:w="1340" w:type="dxa"/>
            <w:vMerge w:val="restart"/>
            <w:tcBorders>
              <w:top w:val="nil"/>
              <w:left w:val="single" w:sz="4" w:space="0" w:color="auto"/>
              <w:bottom w:val="single" w:sz="4" w:space="0" w:color="auto"/>
              <w:right w:val="single" w:sz="4" w:space="0" w:color="auto"/>
            </w:tcBorders>
            <w:shd w:val="clear" w:color="auto" w:fill="auto"/>
            <w:vAlign w:val="center"/>
            <w:hideMark/>
          </w:tcPr>
          <w:p w:rsidR="005D6ACF" w:rsidRPr="008F7EB2" w:rsidRDefault="005D6ACF" w:rsidP="008A253E">
            <w:pPr>
              <w:jc w:val="center"/>
              <w:rPr>
                <w:color w:val="000000"/>
              </w:rPr>
            </w:pPr>
            <w:r w:rsidRPr="008F7EB2">
              <w:rPr>
                <w:bCs/>
                <w:color w:val="000000"/>
              </w:rPr>
              <w:t>0</w:t>
            </w:r>
          </w:p>
        </w:tc>
        <w:tc>
          <w:tcPr>
            <w:tcW w:w="127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5D6ACF" w:rsidRPr="008F7EB2" w:rsidRDefault="005D6ACF" w:rsidP="008A253E">
            <w:pPr>
              <w:jc w:val="center"/>
              <w:rPr>
                <w:color w:val="000000"/>
              </w:rPr>
            </w:pPr>
            <w:r w:rsidRPr="008F7EB2">
              <w:rPr>
                <w:bCs/>
                <w:color w:val="000000"/>
              </w:rPr>
              <w:t>0</w:t>
            </w:r>
          </w:p>
        </w:tc>
      </w:tr>
      <w:tr w:rsidR="005D6ACF" w:rsidTr="008A253E">
        <w:trPr>
          <w:trHeight w:val="300"/>
        </w:trPr>
        <w:tc>
          <w:tcPr>
            <w:tcW w:w="516" w:type="dxa"/>
            <w:vMerge/>
            <w:tcBorders>
              <w:top w:val="nil"/>
              <w:left w:val="single" w:sz="4" w:space="0" w:color="auto"/>
              <w:bottom w:val="single" w:sz="4" w:space="0" w:color="auto"/>
              <w:right w:val="single" w:sz="4" w:space="0" w:color="auto"/>
            </w:tcBorders>
            <w:vAlign w:val="center"/>
            <w:hideMark/>
          </w:tcPr>
          <w:p w:rsidR="005D6ACF" w:rsidRPr="008F7EB2" w:rsidRDefault="005D6ACF" w:rsidP="008A253E">
            <w:pPr>
              <w:rPr>
                <w:color w:val="000000"/>
              </w:rPr>
            </w:pPr>
          </w:p>
        </w:tc>
        <w:tc>
          <w:tcPr>
            <w:tcW w:w="2274" w:type="dxa"/>
            <w:vMerge/>
            <w:tcBorders>
              <w:top w:val="nil"/>
              <w:left w:val="single" w:sz="4" w:space="0" w:color="auto"/>
              <w:bottom w:val="single" w:sz="4" w:space="0" w:color="auto"/>
              <w:right w:val="single" w:sz="4" w:space="0" w:color="auto"/>
            </w:tcBorders>
            <w:vAlign w:val="center"/>
            <w:hideMark/>
          </w:tcPr>
          <w:p w:rsidR="005D6ACF" w:rsidRPr="008F7EB2" w:rsidRDefault="005D6ACF" w:rsidP="008A253E">
            <w:pPr>
              <w:rPr>
                <w:color w:val="000000"/>
              </w:rPr>
            </w:pPr>
          </w:p>
        </w:tc>
        <w:tc>
          <w:tcPr>
            <w:tcW w:w="1340" w:type="dxa"/>
            <w:vMerge/>
            <w:tcBorders>
              <w:top w:val="nil"/>
              <w:left w:val="single" w:sz="4" w:space="0" w:color="auto"/>
              <w:bottom w:val="single" w:sz="4" w:space="0" w:color="auto"/>
              <w:right w:val="single" w:sz="4" w:space="0" w:color="auto"/>
            </w:tcBorders>
            <w:vAlign w:val="center"/>
            <w:hideMark/>
          </w:tcPr>
          <w:p w:rsidR="005D6ACF" w:rsidRPr="008F7EB2" w:rsidRDefault="005D6ACF" w:rsidP="008A253E">
            <w:pPr>
              <w:rPr>
                <w:color w:val="000000"/>
              </w:rPr>
            </w:pPr>
          </w:p>
        </w:tc>
        <w:tc>
          <w:tcPr>
            <w:tcW w:w="1273" w:type="dxa"/>
            <w:vMerge/>
            <w:tcBorders>
              <w:top w:val="nil"/>
              <w:left w:val="single" w:sz="4" w:space="0" w:color="auto"/>
              <w:bottom w:val="single" w:sz="4" w:space="0" w:color="auto"/>
              <w:right w:val="single" w:sz="4" w:space="0" w:color="auto"/>
            </w:tcBorders>
            <w:vAlign w:val="center"/>
            <w:hideMark/>
          </w:tcPr>
          <w:p w:rsidR="005D6ACF" w:rsidRPr="008F7EB2" w:rsidRDefault="005D6ACF" w:rsidP="008A253E">
            <w:pPr>
              <w:rPr>
                <w:color w:val="000000"/>
              </w:rPr>
            </w:pPr>
          </w:p>
        </w:tc>
        <w:tc>
          <w:tcPr>
            <w:tcW w:w="1340" w:type="dxa"/>
            <w:vMerge/>
            <w:tcBorders>
              <w:top w:val="nil"/>
              <w:left w:val="single" w:sz="4" w:space="0" w:color="auto"/>
              <w:bottom w:val="single" w:sz="4" w:space="0" w:color="auto"/>
              <w:right w:val="single" w:sz="4" w:space="0" w:color="auto"/>
            </w:tcBorders>
            <w:vAlign w:val="center"/>
            <w:hideMark/>
          </w:tcPr>
          <w:p w:rsidR="005D6ACF" w:rsidRPr="008F7EB2" w:rsidRDefault="005D6ACF" w:rsidP="008A253E">
            <w:pPr>
              <w:rPr>
                <w:color w:val="000000"/>
              </w:rPr>
            </w:pPr>
          </w:p>
        </w:tc>
        <w:tc>
          <w:tcPr>
            <w:tcW w:w="1273" w:type="dxa"/>
            <w:vMerge/>
            <w:tcBorders>
              <w:top w:val="nil"/>
              <w:left w:val="single" w:sz="4" w:space="0" w:color="auto"/>
              <w:bottom w:val="single" w:sz="4" w:space="0" w:color="auto"/>
              <w:right w:val="single" w:sz="4" w:space="0" w:color="auto"/>
            </w:tcBorders>
            <w:vAlign w:val="center"/>
            <w:hideMark/>
          </w:tcPr>
          <w:p w:rsidR="005D6ACF" w:rsidRPr="008F7EB2" w:rsidRDefault="005D6ACF" w:rsidP="008A253E">
            <w:pPr>
              <w:rPr>
                <w:color w:val="000000"/>
              </w:rPr>
            </w:pPr>
          </w:p>
        </w:tc>
        <w:tc>
          <w:tcPr>
            <w:tcW w:w="1340" w:type="dxa"/>
            <w:vMerge/>
            <w:tcBorders>
              <w:top w:val="nil"/>
              <w:left w:val="single" w:sz="4" w:space="0" w:color="auto"/>
              <w:bottom w:val="single" w:sz="4" w:space="0" w:color="auto"/>
              <w:right w:val="single" w:sz="4" w:space="0" w:color="auto"/>
            </w:tcBorders>
            <w:vAlign w:val="center"/>
            <w:hideMark/>
          </w:tcPr>
          <w:p w:rsidR="005D6ACF" w:rsidRPr="008F7EB2" w:rsidRDefault="005D6ACF" w:rsidP="008A253E">
            <w:pPr>
              <w:rPr>
                <w:color w:val="000000"/>
              </w:rPr>
            </w:pPr>
          </w:p>
        </w:tc>
        <w:tc>
          <w:tcPr>
            <w:tcW w:w="1273" w:type="dxa"/>
            <w:gridSpan w:val="2"/>
            <w:vMerge/>
            <w:tcBorders>
              <w:top w:val="nil"/>
              <w:left w:val="single" w:sz="4" w:space="0" w:color="auto"/>
              <w:bottom w:val="single" w:sz="4" w:space="0" w:color="auto"/>
              <w:right w:val="single" w:sz="4" w:space="0" w:color="auto"/>
            </w:tcBorders>
            <w:vAlign w:val="center"/>
            <w:hideMark/>
          </w:tcPr>
          <w:p w:rsidR="005D6ACF" w:rsidRPr="008F7EB2" w:rsidRDefault="005D6ACF" w:rsidP="008A253E">
            <w:pPr>
              <w:rPr>
                <w:color w:val="000000"/>
              </w:rPr>
            </w:pPr>
          </w:p>
        </w:tc>
      </w:tr>
      <w:tr w:rsidR="005D6ACF" w:rsidTr="008A253E">
        <w:trPr>
          <w:trHeight w:val="30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5D6ACF" w:rsidRPr="008F7EB2" w:rsidRDefault="005D6ACF" w:rsidP="008A253E">
            <w:pPr>
              <w:rPr>
                <w:color w:val="000000"/>
              </w:rPr>
            </w:pPr>
            <w:r w:rsidRPr="008F7EB2">
              <w:rPr>
                <w:color w:val="000000"/>
              </w:rPr>
              <w:t> </w:t>
            </w:r>
          </w:p>
        </w:tc>
        <w:tc>
          <w:tcPr>
            <w:tcW w:w="2274" w:type="dxa"/>
            <w:tcBorders>
              <w:top w:val="nil"/>
              <w:left w:val="nil"/>
              <w:bottom w:val="single" w:sz="4" w:space="0" w:color="auto"/>
              <w:right w:val="single" w:sz="4" w:space="0" w:color="auto"/>
            </w:tcBorders>
            <w:shd w:val="clear" w:color="auto" w:fill="auto"/>
            <w:vAlign w:val="center"/>
            <w:hideMark/>
          </w:tcPr>
          <w:p w:rsidR="005D6ACF" w:rsidRPr="008F7EB2" w:rsidRDefault="005D6ACF" w:rsidP="008A253E">
            <w:pPr>
              <w:jc w:val="center"/>
              <w:rPr>
                <w:b/>
                <w:bCs/>
                <w:color w:val="000000"/>
              </w:rPr>
            </w:pPr>
            <w:r w:rsidRPr="008F7EB2">
              <w:rPr>
                <w:b/>
                <w:bCs/>
                <w:color w:val="000000"/>
              </w:rPr>
              <w:t>Итого:</w:t>
            </w:r>
          </w:p>
        </w:tc>
        <w:tc>
          <w:tcPr>
            <w:tcW w:w="1340" w:type="dxa"/>
            <w:tcBorders>
              <w:top w:val="nil"/>
              <w:left w:val="nil"/>
              <w:bottom w:val="single" w:sz="4" w:space="0" w:color="auto"/>
              <w:right w:val="single" w:sz="4" w:space="0" w:color="auto"/>
            </w:tcBorders>
            <w:shd w:val="clear" w:color="auto" w:fill="auto"/>
            <w:vAlign w:val="center"/>
            <w:hideMark/>
          </w:tcPr>
          <w:p w:rsidR="005D6ACF" w:rsidRPr="008F7EB2" w:rsidRDefault="005D6ACF" w:rsidP="008A253E">
            <w:pPr>
              <w:jc w:val="center"/>
              <w:rPr>
                <w:b/>
                <w:bCs/>
                <w:color w:val="000000"/>
              </w:rPr>
            </w:pPr>
            <w:r w:rsidRPr="008F7EB2">
              <w:rPr>
                <w:b/>
                <w:bCs/>
                <w:color w:val="000000"/>
              </w:rPr>
              <w:t>6 022,60</w:t>
            </w:r>
          </w:p>
        </w:tc>
        <w:tc>
          <w:tcPr>
            <w:tcW w:w="1273" w:type="dxa"/>
            <w:tcBorders>
              <w:top w:val="nil"/>
              <w:left w:val="nil"/>
              <w:bottom w:val="single" w:sz="4" w:space="0" w:color="auto"/>
              <w:right w:val="single" w:sz="4" w:space="0" w:color="auto"/>
            </w:tcBorders>
            <w:shd w:val="clear" w:color="auto" w:fill="auto"/>
            <w:vAlign w:val="center"/>
            <w:hideMark/>
          </w:tcPr>
          <w:p w:rsidR="005D6ACF" w:rsidRPr="008F7EB2" w:rsidRDefault="005D6ACF" w:rsidP="008A253E">
            <w:pPr>
              <w:jc w:val="center"/>
              <w:rPr>
                <w:b/>
                <w:bCs/>
                <w:color w:val="000000"/>
              </w:rPr>
            </w:pPr>
            <w:r w:rsidRPr="008F7EB2">
              <w:rPr>
                <w:b/>
                <w:bCs/>
                <w:color w:val="000000"/>
              </w:rPr>
              <w:t>1 505,60</w:t>
            </w:r>
          </w:p>
        </w:tc>
        <w:tc>
          <w:tcPr>
            <w:tcW w:w="1340" w:type="dxa"/>
            <w:tcBorders>
              <w:top w:val="nil"/>
              <w:left w:val="nil"/>
              <w:bottom w:val="single" w:sz="4" w:space="0" w:color="auto"/>
              <w:right w:val="single" w:sz="4" w:space="0" w:color="auto"/>
            </w:tcBorders>
            <w:shd w:val="clear" w:color="auto" w:fill="auto"/>
            <w:vAlign w:val="center"/>
            <w:hideMark/>
          </w:tcPr>
          <w:p w:rsidR="005D6ACF" w:rsidRPr="008F7EB2" w:rsidRDefault="005D6ACF" w:rsidP="008A253E">
            <w:pPr>
              <w:jc w:val="center"/>
              <w:rPr>
                <w:b/>
                <w:bCs/>
                <w:color w:val="000000"/>
              </w:rPr>
            </w:pPr>
            <w:r w:rsidRPr="008F7EB2">
              <w:rPr>
                <w:b/>
                <w:bCs/>
                <w:color w:val="000000"/>
              </w:rPr>
              <w:t>7 052,70</w:t>
            </w:r>
          </w:p>
        </w:tc>
        <w:tc>
          <w:tcPr>
            <w:tcW w:w="1273" w:type="dxa"/>
            <w:tcBorders>
              <w:top w:val="nil"/>
              <w:left w:val="nil"/>
              <w:bottom w:val="single" w:sz="4" w:space="0" w:color="auto"/>
              <w:right w:val="single" w:sz="4" w:space="0" w:color="auto"/>
            </w:tcBorders>
            <w:shd w:val="clear" w:color="auto" w:fill="auto"/>
            <w:vAlign w:val="center"/>
            <w:hideMark/>
          </w:tcPr>
          <w:p w:rsidR="005D6ACF" w:rsidRPr="008F7EB2" w:rsidRDefault="005D6ACF" w:rsidP="008A253E">
            <w:pPr>
              <w:jc w:val="center"/>
              <w:rPr>
                <w:b/>
                <w:bCs/>
                <w:color w:val="000000"/>
              </w:rPr>
            </w:pPr>
            <w:r w:rsidRPr="008F7EB2">
              <w:rPr>
                <w:b/>
                <w:bCs/>
                <w:color w:val="000000"/>
              </w:rPr>
              <w:t>1 763,60</w:t>
            </w:r>
          </w:p>
        </w:tc>
        <w:tc>
          <w:tcPr>
            <w:tcW w:w="1340" w:type="dxa"/>
            <w:tcBorders>
              <w:top w:val="nil"/>
              <w:left w:val="nil"/>
              <w:bottom w:val="single" w:sz="4" w:space="0" w:color="auto"/>
              <w:right w:val="single" w:sz="4" w:space="0" w:color="auto"/>
            </w:tcBorders>
            <w:shd w:val="clear" w:color="auto" w:fill="auto"/>
            <w:vAlign w:val="center"/>
            <w:hideMark/>
          </w:tcPr>
          <w:p w:rsidR="005D6ACF" w:rsidRPr="008F7EB2" w:rsidRDefault="005D6ACF" w:rsidP="008A253E">
            <w:pPr>
              <w:jc w:val="center"/>
              <w:rPr>
                <w:b/>
                <w:bCs/>
                <w:color w:val="000000"/>
              </w:rPr>
            </w:pPr>
            <w:r w:rsidRPr="008F7EB2">
              <w:rPr>
                <w:b/>
                <w:bCs/>
                <w:color w:val="000000"/>
              </w:rPr>
              <w:t>8 007,90</w:t>
            </w:r>
          </w:p>
        </w:tc>
        <w:tc>
          <w:tcPr>
            <w:tcW w:w="1273" w:type="dxa"/>
            <w:gridSpan w:val="2"/>
            <w:tcBorders>
              <w:top w:val="nil"/>
              <w:left w:val="nil"/>
              <w:bottom w:val="single" w:sz="4" w:space="0" w:color="auto"/>
              <w:right w:val="single" w:sz="4" w:space="0" w:color="auto"/>
            </w:tcBorders>
            <w:shd w:val="clear" w:color="auto" w:fill="auto"/>
            <w:vAlign w:val="center"/>
            <w:hideMark/>
          </w:tcPr>
          <w:p w:rsidR="005D6ACF" w:rsidRPr="008F7EB2" w:rsidRDefault="005D6ACF" w:rsidP="008A253E">
            <w:pPr>
              <w:jc w:val="center"/>
              <w:rPr>
                <w:b/>
                <w:bCs/>
                <w:color w:val="000000"/>
              </w:rPr>
            </w:pPr>
            <w:r w:rsidRPr="008F7EB2">
              <w:rPr>
                <w:b/>
                <w:bCs/>
                <w:color w:val="000000"/>
              </w:rPr>
              <w:t>2 002,00</w:t>
            </w:r>
          </w:p>
        </w:tc>
      </w:tr>
    </w:tbl>
    <w:p w:rsidR="005D6ACF" w:rsidRDefault="005D6ACF" w:rsidP="005D6ACF">
      <w:pPr>
        <w:tabs>
          <w:tab w:val="left" w:pos="1134"/>
        </w:tabs>
        <w:jc w:val="both"/>
        <w:rPr>
          <w:b/>
          <w:sz w:val="28"/>
          <w:szCs w:val="28"/>
        </w:rPr>
      </w:pPr>
    </w:p>
    <w:p w:rsidR="005D6ACF" w:rsidRPr="00441BA1" w:rsidRDefault="005D6ACF" w:rsidP="005D6ACF">
      <w:pPr>
        <w:ind w:firstLine="567"/>
        <w:jc w:val="both"/>
        <w:rPr>
          <w:sz w:val="28"/>
          <w:szCs w:val="28"/>
        </w:rPr>
      </w:pPr>
      <w:r w:rsidRPr="00441BA1">
        <w:rPr>
          <w:b/>
          <w:sz w:val="28"/>
          <w:szCs w:val="28"/>
        </w:rPr>
        <w:t xml:space="preserve">Прочие поступления от использования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(000 1 11 09042 02 0000 120) </w:t>
      </w:r>
    </w:p>
    <w:p w:rsidR="005D6ACF" w:rsidRPr="002E00C1" w:rsidRDefault="005D6ACF" w:rsidP="005D6ACF">
      <w:pPr>
        <w:ind w:firstLine="567"/>
        <w:jc w:val="right"/>
        <w:rPr>
          <w:sz w:val="28"/>
          <w:szCs w:val="28"/>
        </w:rPr>
      </w:pPr>
      <w:r w:rsidRPr="00441BA1">
        <w:rPr>
          <w:sz w:val="28"/>
          <w:szCs w:val="28"/>
        </w:rPr>
        <w:t>Ты</w:t>
      </w:r>
      <w:r w:rsidRPr="002E00C1">
        <w:rPr>
          <w:sz w:val="28"/>
          <w:szCs w:val="28"/>
        </w:rPr>
        <w:t>с. руб.</w:t>
      </w:r>
    </w:p>
    <w:tbl>
      <w:tblPr>
        <w:tblW w:w="97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1660"/>
        <w:gridCol w:w="1680"/>
        <w:gridCol w:w="1720"/>
      </w:tblGrid>
      <w:tr w:rsidR="005D6ACF" w:rsidTr="008A253E">
        <w:trPr>
          <w:trHeight w:val="714"/>
        </w:trPr>
        <w:tc>
          <w:tcPr>
            <w:tcW w:w="4673" w:type="dxa"/>
            <w:shd w:val="clear" w:color="auto" w:fill="auto"/>
            <w:vAlign w:val="center"/>
          </w:tcPr>
          <w:p w:rsidR="005D6ACF" w:rsidRPr="00C93A58" w:rsidRDefault="005D6ACF" w:rsidP="008A253E">
            <w:pPr>
              <w:jc w:val="center"/>
            </w:pPr>
            <w:r w:rsidRPr="00C93A58">
              <w:rPr>
                <w:bCs/>
              </w:rPr>
              <w:t>Наименование дохода</w:t>
            </w:r>
          </w:p>
        </w:tc>
        <w:tc>
          <w:tcPr>
            <w:tcW w:w="1660" w:type="dxa"/>
            <w:shd w:val="clear" w:color="auto" w:fill="auto"/>
            <w:vAlign w:val="center"/>
          </w:tcPr>
          <w:p w:rsidR="005D6ACF" w:rsidRPr="00C93A58" w:rsidRDefault="005D6ACF" w:rsidP="008A253E">
            <w:pPr>
              <w:tabs>
                <w:tab w:val="left" w:pos="851"/>
              </w:tabs>
              <w:jc w:val="center"/>
            </w:pPr>
            <w:r w:rsidRPr="00C93A58">
              <w:t>Прогноз на</w:t>
            </w:r>
          </w:p>
          <w:p w:rsidR="005D6ACF" w:rsidRPr="00C93A58" w:rsidRDefault="005D6ACF" w:rsidP="008A253E">
            <w:pPr>
              <w:tabs>
                <w:tab w:val="left" w:pos="851"/>
              </w:tabs>
              <w:jc w:val="center"/>
            </w:pPr>
            <w:r w:rsidRPr="00C93A58">
              <w:t>20</w:t>
            </w:r>
            <w:r>
              <w:t xml:space="preserve">22 </w:t>
            </w:r>
            <w:r w:rsidRPr="00C93A58">
              <w:t>год</w:t>
            </w:r>
          </w:p>
        </w:tc>
        <w:tc>
          <w:tcPr>
            <w:tcW w:w="1680" w:type="dxa"/>
            <w:shd w:val="clear" w:color="auto" w:fill="auto"/>
            <w:vAlign w:val="center"/>
          </w:tcPr>
          <w:p w:rsidR="005D6ACF" w:rsidRPr="00C93A58" w:rsidRDefault="005D6ACF" w:rsidP="008A253E">
            <w:pPr>
              <w:tabs>
                <w:tab w:val="left" w:pos="851"/>
              </w:tabs>
              <w:jc w:val="center"/>
            </w:pPr>
            <w:r w:rsidRPr="00C93A58">
              <w:t xml:space="preserve">Прогноз на        </w:t>
            </w:r>
            <w:r>
              <w:t xml:space="preserve">    2023 </w:t>
            </w:r>
            <w:r w:rsidRPr="00C93A58">
              <w:t>год</w:t>
            </w:r>
          </w:p>
        </w:tc>
        <w:tc>
          <w:tcPr>
            <w:tcW w:w="1720" w:type="dxa"/>
            <w:shd w:val="clear" w:color="auto" w:fill="auto"/>
            <w:vAlign w:val="center"/>
          </w:tcPr>
          <w:p w:rsidR="005D6ACF" w:rsidRPr="00C93A58" w:rsidRDefault="005D6ACF" w:rsidP="008A253E">
            <w:pPr>
              <w:tabs>
                <w:tab w:val="left" w:pos="851"/>
              </w:tabs>
              <w:jc w:val="center"/>
            </w:pPr>
            <w:r w:rsidRPr="00C93A58">
              <w:t>Прогноз на          202</w:t>
            </w:r>
            <w:r>
              <w:t>4</w:t>
            </w:r>
            <w:r w:rsidRPr="00C93A58">
              <w:t xml:space="preserve"> год</w:t>
            </w:r>
          </w:p>
        </w:tc>
      </w:tr>
      <w:tr w:rsidR="005D6ACF" w:rsidTr="008A253E">
        <w:trPr>
          <w:trHeight w:val="1932"/>
        </w:trPr>
        <w:tc>
          <w:tcPr>
            <w:tcW w:w="4673" w:type="dxa"/>
            <w:shd w:val="clear" w:color="auto" w:fill="auto"/>
            <w:hideMark/>
          </w:tcPr>
          <w:p w:rsidR="005D6ACF" w:rsidRDefault="005D6ACF" w:rsidP="008A253E">
            <w:pPr>
              <w:rPr>
                <w:color w:val="000000"/>
              </w:rPr>
            </w:pPr>
            <w:r>
              <w:rPr>
                <w:color w:val="000000"/>
              </w:rPr>
              <w:t>Прочие поступления от использования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w:t>
            </w:r>
          </w:p>
        </w:tc>
        <w:tc>
          <w:tcPr>
            <w:tcW w:w="1660" w:type="dxa"/>
            <w:shd w:val="clear" w:color="auto" w:fill="auto"/>
            <w:vAlign w:val="center"/>
            <w:hideMark/>
          </w:tcPr>
          <w:p w:rsidR="005D6ACF" w:rsidRDefault="005D6ACF" w:rsidP="008A253E">
            <w:pPr>
              <w:jc w:val="right"/>
              <w:rPr>
                <w:color w:val="000000"/>
              </w:rPr>
            </w:pPr>
            <w:r>
              <w:rPr>
                <w:color w:val="000000"/>
              </w:rPr>
              <w:t>405,9</w:t>
            </w:r>
          </w:p>
        </w:tc>
        <w:tc>
          <w:tcPr>
            <w:tcW w:w="1680" w:type="dxa"/>
            <w:shd w:val="clear" w:color="auto" w:fill="auto"/>
            <w:vAlign w:val="center"/>
            <w:hideMark/>
          </w:tcPr>
          <w:p w:rsidR="005D6ACF" w:rsidRDefault="005D6ACF" w:rsidP="008A253E">
            <w:pPr>
              <w:jc w:val="right"/>
              <w:rPr>
                <w:color w:val="000000"/>
              </w:rPr>
            </w:pPr>
            <w:r>
              <w:rPr>
                <w:color w:val="000000"/>
              </w:rPr>
              <w:t>405,6</w:t>
            </w:r>
          </w:p>
        </w:tc>
        <w:tc>
          <w:tcPr>
            <w:tcW w:w="1720" w:type="dxa"/>
            <w:shd w:val="clear" w:color="auto" w:fill="auto"/>
            <w:vAlign w:val="center"/>
            <w:hideMark/>
          </w:tcPr>
          <w:p w:rsidR="005D6ACF" w:rsidRDefault="005D6ACF" w:rsidP="008A253E">
            <w:pPr>
              <w:jc w:val="right"/>
              <w:rPr>
                <w:color w:val="000000"/>
              </w:rPr>
            </w:pPr>
            <w:r>
              <w:rPr>
                <w:color w:val="000000"/>
              </w:rPr>
              <w:t>405,6</w:t>
            </w:r>
          </w:p>
        </w:tc>
      </w:tr>
    </w:tbl>
    <w:p w:rsidR="005D6ACF" w:rsidRDefault="005D6ACF" w:rsidP="005D6ACF">
      <w:pPr>
        <w:jc w:val="both"/>
        <w:rPr>
          <w:b/>
        </w:rPr>
      </w:pPr>
    </w:p>
    <w:p w:rsidR="005D6ACF" w:rsidRPr="00C85C63" w:rsidRDefault="005D6ACF" w:rsidP="005D6ACF">
      <w:pPr>
        <w:ind w:firstLine="709"/>
        <w:jc w:val="both"/>
        <w:rPr>
          <w:sz w:val="28"/>
          <w:szCs w:val="28"/>
        </w:rPr>
      </w:pPr>
      <w:r w:rsidRPr="00C85C63">
        <w:rPr>
          <w:sz w:val="28"/>
          <w:szCs w:val="28"/>
        </w:rPr>
        <w:t>Прогноз поступлений на 2021-2023 годы по доходам за пользование жилыми помещениями рассчитывается с применением метода прямого счета по следующей формуле:</w:t>
      </w:r>
    </w:p>
    <w:p w:rsidR="005D6ACF" w:rsidRPr="00C85C63" w:rsidRDefault="005D6ACF" w:rsidP="005D6ACF">
      <w:pPr>
        <w:ind w:firstLine="709"/>
        <w:jc w:val="both"/>
        <w:rPr>
          <w:sz w:val="28"/>
          <w:szCs w:val="28"/>
        </w:rPr>
      </w:pPr>
    </w:p>
    <w:p w:rsidR="005D6ACF" w:rsidRPr="00C85C63" w:rsidRDefault="005D6ACF" w:rsidP="005D6ACF">
      <w:pPr>
        <w:ind w:firstLine="709"/>
        <w:jc w:val="center"/>
        <w:rPr>
          <w:sz w:val="28"/>
          <w:szCs w:val="28"/>
        </w:rPr>
      </w:pPr>
      <w:r w:rsidRPr="00C85C63">
        <w:rPr>
          <w:b/>
          <w:sz w:val="28"/>
          <w:szCs w:val="28"/>
        </w:rPr>
        <w:t>Дппи = Пл.ж * Пн * С * СД + Пз + Ппл</w:t>
      </w:r>
      <w:r w:rsidRPr="00C85C63">
        <w:rPr>
          <w:sz w:val="28"/>
          <w:szCs w:val="28"/>
        </w:rPr>
        <w:t>, где</w:t>
      </w:r>
    </w:p>
    <w:p w:rsidR="005D6ACF" w:rsidRPr="00C85C63" w:rsidRDefault="005D6ACF" w:rsidP="005D6ACF">
      <w:pPr>
        <w:ind w:firstLine="709"/>
        <w:jc w:val="both"/>
        <w:rPr>
          <w:sz w:val="28"/>
          <w:szCs w:val="28"/>
        </w:rPr>
      </w:pPr>
    </w:p>
    <w:p w:rsidR="005D6ACF" w:rsidRPr="00C85C63" w:rsidRDefault="005D6ACF" w:rsidP="005D6ACF">
      <w:pPr>
        <w:ind w:firstLine="709"/>
        <w:jc w:val="both"/>
        <w:rPr>
          <w:sz w:val="28"/>
          <w:szCs w:val="28"/>
        </w:rPr>
      </w:pPr>
      <w:r w:rsidRPr="00C85C63">
        <w:rPr>
          <w:sz w:val="28"/>
          <w:szCs w:val="28"/>
        </w:rPr>
        <w:t>Пл.ж – жилые площади, сдаваемые в наем;</w:t>
      </w:r>
    </w:p>
    <w:p w:rsidR="005D6ACF" w:rsidRPr="00C85C63" w:rsidRDefault="005D6ACF" w:rsidP="005D6ACF">
      <w:pPr>
        <w:ind w:firstLine="709"/>
        <w:jc w:val="both"/>
        <w:rPr>
          <w:sz w:val="28"/>
          <w:szCs w:val="28"/>
        </w:rPr>
      </w:pPr>
      <w:r w:rsidRPr="00C85C63">
        <w:rPr>
          <w:sz w:val="28"/>
          <w:szCs w:val="28"/>
        </w:rPr>
        <w:t>Пн – средний размер платы на наем жилых помещений за 1 кв.м;</w:t>
      </w:r>
    </w:p>
    <w:p w:rsidR="005D6ACF" w:rsidRPr="00C85C63" w:rsidRDefault="005D6ACF" w:rsidP="005D6ACF">
      <w:pPr>
        <w:ind w:firstLine="709"/>
        <w:jc w:val="both"/>
        <w:rPr>
          <w:sz w:val="28"/>
          <w:szCs w:val="28"/>
        </w:rPr>
      </w:pPr>
      <w:r w:rsidRPr="00C85C63">
        <w:rPr>
          <w:sz w:val="28"/>
          <w:szCs w:val="28"/>
        </w:rPr>
        <w:t>С – средняя продолжительность срока действия договоров;</w:t>
      </w:r>
    </w:p>
    <w:p w:rsidR="005D6ACF" w:rsidRPr="00C85C63" w:rsidRDefault="005D6ACF" w:rsidP="005D6ACF">
      <w:pPr>
        <w:ind w:firstLine="709"/>
        <w:jc w:val="both"/>
        <w:rPr>
          <w:sz w:val="28"/>
          <w:szCs w:val="28"/>
        </w:rPr>
      </w:pPr>
      <w:r w:rsidRPr="00C85C63">
        <w:rPr>
          <w:sz w:val="28"/>
          <w:szCs w:val="28"/>
        </w:rPr>
        <w:t>СД – собираемость доходов, принимаемая как среднее арифметическое значение аналогичных показателей за три года, предшествующих текущему финансовому году (в %);</w:t>
      </w:r>
    </w:p>
    <w:p w:rsidR="005D6ACF" w:rsidRPr="00C85C63" w:rsidRDefault="005D6ACF" w:rsidP="005D6ACF">
      <w:pPr>
        <w:ind w:firstLine="709"/>
        <w:jc w:val="both"/>
        <w:rPr>
          <w:sz w:val="28"/>
          <w:szCs w:val="28"/>
        </w:rPr>
      </w:pPr>
      <w:r w:rsidRPr="00C85C63">
        <w:rPr>
          <w:sz w:val="28"/>
          <w:szCs w:val="28"/>
        </w:rPr>
        <w:lastRenderedPageBreak/>
        <w:t>Пз – погашение задолженности прошлых лет;</w:t>
      </w:r>
    </w:p>
    <w:p w:rsidR="005D6ACF" w:rsidRPr="00C85C63" w:rsidRDefault="005D6ACF" w:rsidP="005D6ACF">
      <w:pPr>
        <w:ind w:firstLine="709"/>
        <w:jc w:val="both"/>
        <w:rPr>
          <w:sz w:val="28"/>
          <w:szCs w:val="28"/>
        </w:rPr>
      </w:pPr>
      <w:r w:rsidRPr="00C85C63">
        <w:rPr>
          <w:sz w:val="28"/>
          <w:szCs w:val="28"/>
        </w:rPr>
        <w:t>Ппл – средний размер платы по планируемым к заключению договорам.</w:t>
      </w:r>
    </w:p>
    <w:p w:rsidR="005D6ACF" w:rsidRDefault="005D6ACF" w:rsidP="005D6ACF">
      <w:pPr>
        <w:jc w:val="center"/>
        <w:rPr>
          <w:b/>
          <w:bCs/>
        </w:rPr>
      </w:pPr>
    </w:p>
    <w:tbl>
      <w:tblPr>
        <w:tblW w:w="9188" w:type="dxa"/>
        <w:tblLook w:val="04A0" w:firstRow="1" w:lastRow="0" w:firstColumn="1" w:lastColumn="0" w:noHBand="0" w:noVBand="1"/>
      </w:tblPr>
      <w:tblGrid>
        <w:gridCol w:w="566"/>
        <w:gridCol w:w="4449"/>
        <w:gridCol w:w="1430"/>
        <w:gridCol w:w="1359"/>
        <w:gridCol w:w="1359"/>
        <w:gridCol w:w="25"/>
      </w:tblGrid>
      <w:tr w:rsidR="005D6ACF" w:rsidRPr="004719BE" w:rsidTr="008A253E">
        <w:trPr>
          <w:trHeight w:val="345"/>
        </w:trPr>
        <w:tc>
          <w:tcPr>
            <w:tcW w:w="9188" w:type="dxa"/>
            <w:gridSpan w:val="6"/>
            <w:tcBorders>
              <w:top w:val="nil"/>
              <w:left w:val="nil"/>
              <w:bottom w:val="nil"/>
              <w:right w:val="nil"/>
            </w:tcBorders>
            <w:shd w:val="clear" w:color="auto" w:fill="auto"/>
            <w:vAlign w:val="center"/>
            <w:hideMark/>
          </w:tcPr>
          <w:p w:rsidR="005D6ACF" w:rsidRPr="004719BE" w:rsidRDefault="005D6ACF" w:rsidP="008A253E">
            <w:pPr>
              <w:jc w:val="center"/>
              <w:rPr>
                <w:b/>
                <w:bCs/>
              </w:rPr>
            </w:pPr>
            <w:r w:rsidRPr="004719BE">
              <w:rPr>
                <w:b/>
                <w:bCs/>
              </w:rPr>
              <w:t>Расчет</w:t>
            </w:r>
          </w:p>
        </w:tc>
      </w:tr>
      <w:tr w:rsidR="005D6ACF" w:rsidRPr="004719BE" w:rsidTr="008A253E">
        <w:trPr>
          <w:trHeight w:val="615"/>
        </w:trPr>
        <w:tc>
          <w:tcPr>
            <w:tcW w:w="9188" w:type="dxa"/>
            <w:gridSpan w:val="6"/>
            <w:tcBorders>
              <w:top w:val="nil"/>
              <w:left w:val="nil"/>
              <w:bottom w:val="nil"/>
              <w:right w:val="nil"/>
            </w:tcBorders>
            <w:shd w:val="clear" w:color="auto" w:fill="auto"/>
            <w:vAlign w:val="center"/>
            <w:hideMark/>
          </w:tcPr>
          <w:p w:rsidR="005D6ACF" w:rsidRPr="004719BE" w:rsidRDefault="005D6ACF" w:rsidP="008A253E">
            <w:pPr>
              <w:jc w:val="center"/>
              <w:rPr>
                <w:b/>
                <w:bCs/>
              </w:rPr>
            </w:pPr>
            <w:r w:rsidRPr="004719BE">
              <w:rPr>
                <w:b/>
                <w:bCs/>
              </w:rPr>
              <w:t>доходов доходов за пользованием жилыми помещениями (плата за найм</w:t>
            </w:r>
          </w:p>
        </w:tc>
      </w:tr>
      <w:tr w:rsidR="005D6ACF" w:rsidRPr="004719BE" w:rsidTr="008A253E">
        <w:trPr>
          <w:trHeight w:val="285"/>
        </w:trPr>
        <w:tc>
          <w:tcPr>
            <w:tcW w:w="9188" w:type="dxa"/>
            <w:gridSpan w:val="6"/>
            <w:tcBorders>
              <w:top w:val="nil"/>
              <w:left w:val="nil"/>
              <w:bottom w:val="nil"/>
              <w:right w:val="nil"/>
            </w:tcBorders>
            <w:shd w:val="clear" w:color="auto" w:fill="auto"/>
            <w:vAlign w:val="center"/>
            <w:hideMark/>
          </w:tcPr>
          <w:p w:rsidR="005D6ACF" w:rsidRPr="004719BE" w:rsidRDefault="005D6ACF" w:rsidP="008A253E">
            <w:pPr>
              <w:jc w:val="center"/>
              <w:rPr>
                <w:b/>
                <w:bCs/>
              </w:rPr>
            </w:pPr>
            <w:r w:rsidRPr="004719BE">
              <w:rPr>
                <w:b/>
                <w:bCs/>
              </w:rPr>
              <w:t>на 2021 год и плановый период 2022 - 2024 годов</w:t>
            </w:r>
          </w:p>
        </w:tc>
      </w:tr>
      <w:tr w:rsidR="005D6ACF" w:rsidRPr="004719BE" w:rsidTr="00F07E05">
        <w:trPr>
          <w:gridAfter w:val="1"/>
          <w:wAfter w:w="25" w:type="dxa"/>
          <w:trHeight w:val="150"/>
        </w:trPr>
        <w:tc>
          <w:tcPr>
            <w:tcW w:w="566" w:type="dxa"/>
            <w:tcBorders>
              <w:top w:val="nil"/>
              <w:left w:val="nil"/>
              <w:bottom w:val="nil"/>
              <w:right w:val="nil"/>
            </w:tcBorders>
            <w:shd w:val="clear" w:color="auto" w:fill="auto"/>
            <w:hideMark/>
          </w:tcPr>
          <w:p w:rsidR="005D6ACF" w:rsidRPr="004719BE" w:rsidRDefault="005D6ACF" w:rsidP="008A253E">
            <w:pPr>
              <w:jc w:val="center"/>
              <w:rPr>
                <w:b/>
                <w:bCs/>
              </w:rPr>
            </w:pPr>
          </w:p>
        </w:tc>
        <w:tc>
          <w:tcPr>
            <w:tcW w:w="4449" w:type="dxa"/>
            <w:tcBorders>
              <w:top w:val="nil"/>
              <w:left w:val="nil"/>
              <w:bottom w:val="nil"/>
              <w:right w:val="nil"/>
            </w:tcBorders>
            <w:shd w:val="clear" w:color="auto" w:fill="auto"/>
            <w:hideMark/>
          </w:tcPr>
          <w:p w:rsidR="005D6ACF" w:rsidRPr="004719BE" w:rsidRDefault="005D6ACF" w:rsidP="008A253E"/>
        </w:tc>
        <w:tc>
          <w:tcPr>
            <w:tcW w:w="1430" w:type="dxa"/>
            <w:tcBorders>
              <w:top w:val="nil"/>
              <w:left w:val="nil"/>
              <w:bottom w:val="nil"/>
              <w:right w:val="nil"/>
            </w:tcBorders>
            <w:shd w:val="clear" w:color="auto" w:fill="auto"/>
            <w:hideMark/>
          </w:tcPr>
          <w:p w:rsidR="005D6ACF" w:rsidRPr="004719BE" w:rsidRDefault="005D6ACF" w:rsidP="008A253E"/>
        </w:tc>
        <w:tc>
          <w:tcPr>
            <w:tcW w:w="1359" w:type="dxa"/>
            <w:tcBorders>
              <w:top w:val="nil"/>
              <w:left w:val="nil"/>
              <w:bottom w:val="nil"/>
              <w:right w:val="nil"/>
            </w:tcBorders>
            <w:shd w:val="clear" w:color="auto" w:fill="auto"/>
            <w:hideMark/>
          </w:tcPr>
          <w:p w:rsidR="005D6ACF" w:rsidRPr="004719BE" w:rsidRDefault="005D6ACF" w:rsidP="008A253E"/>
        </w:tc>
        <w:tc>
          <w:tcPr>
            <w:tcW w:w="1359" w:type="dxa"/>
            <w:tcBorders>
              <w:top w:val="nil"/>
              <w:left w:val="nil"/>
              <w:bottom w:val="nil"/>
              <w:right w:val="nil"/>
            </w:tcBorders>
            <w:shd w:val="clear" w:color="auto" w:fill="auto"/>
            <w:hideMark/>
          </w:tcPr>
          <w:p w:rsidR="005D6ACF" w:rsidRPr="004719BE" w:rsidRDefault="005D6ACF" w:rsidP="008A253E"/>
        </w:tc>
      </w:tr>
      <w:tr w:rsidR="005D6ACF" w:rsidRPr="004719BE" w:rsidTr="00F07E05">
        <w:trPr>
          <w:gridAfter w:val="1"/>
          <w:wAfter w:w="25" w:type="dxa"/>
          <w:trHeight w:val="600"/>
        </w:trPr>
        <w:tc>
          <w:tcPr>
            <w:tcW w:w="5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D6ACF" w:rsidRPr="004719BE" w:rsidRDefault="005D6ACF" w:rsidP="008A253E">
            <w:pPr>
              <w:jc w:val="center"/>
              <w:rPr>
                <w:b/>
                <w:bCs/>
                <w:i/>
                <w:iCs/>
              </w:rPr>
            </w:pPr>
            <w:r w:rsidRPr="004719BE">
              <w:rPr>
                <w:b/>
                <w:bCs/>
                <w:i/>
                <w:iCs/>
              </w:rPr>
              <w:t>№ п/п</w:t>
            </w:r>
          </w:p>
        </w:tc>
        <w:tc>
          <w:tcPr>
            <w:tcW w:w="4449" w:type="dxa"/>
            <w:tcBorders>
              <w:top w:val="single" w:sz="4" w:space="0" w:color="auto"/>
              <w:left w:val="nil"/>
              <w:bottom w:val="single" w:sz="4" w:space="0" w:color="auto"/>
              <w:right w:val="single" w:sz="4" w:space="0" w:color="auto"/>
            </w:tcBorders>
            <w:shd w:val="clear" w:color="000000" w:fill="FFFFFF"/>
            <w:vAlign w:val="center"/>
            <w:hideMark/>
          </w:tcPr>
          <w:p w:rsidR="005D6ACF" w:rsidRPr="004719BE" w:rsidRDefault="005D6ACF" w:rsidP="008A253E">
            <w:pPr>
              <w:jc w:val="center"/>
              <w:rPr>
                <w:b/>
                <w:bCs/>
                <w:i/>
                <w:iCs/>
              </w:rPr>
            </w:pPr>
            <w:r w:rsidRPr="004719BE">
              <w:rPr>
                <w:b/>
                <w:bCs/>
                <w:i/>
                <w:iCs/>
              </w:rPr>
              <w:t>Наименование показателей</w:t>
            </w:r>
          </w:p>
        </w:tc>
        <w:tc>
          <w:tcPr>
            <w:tcW w:w="1430" w:type="dxa"/>
            <w:tcBorders>
              <w:top w:val="single" w:sz="4" w:space="0" w:color="auto"/>
              <w:left w:val="nil"/>
              <w:bottom w:val="single" w:sz="4" w:space="0" w:color="auto"/>
              <w:right w:val="single" w:sz="4" w:space="0" w:color="auto"/>
            </w:tcBorders>
            <w:shd w:val="clear" w:color="000000" w:fill="FFFFFF"/>
            <w:vAlign w:val="center"/>
            <w:hideMark/>
          </w:tcPr>
          <w:p w:rsidR="005D6ACF" w:rsidRPr="004719BE" w:rsidRDefault="005D6ACF" w:rsidP="008A253E">
            <w:pPr>
              <w:jc w:val="center"/>
              <w:rPr>
                <w:b/>
                <w:bCs/>
                <w:i/>
                <w:iCs/>
              </w:rPr>
            </w:pPr>
            <w:r w:rsidRPr="004719BE">
              <w:rPr>
                <w:b/>
                <w:bCs/>
                <w:i/>
                <w:iCs/>
              </w:rPr>
              <w:t>2022 год</w:t>
            </w:r>
          </w:p>
        </w:tc>
        <w:tc>
          <w:tcPr>
            <w:tcW w:w="1359" w:type="dxa"/>
            <w:tcBorders>
              <w:top w:val="single" w:sz="4" w:space="0" w:color="auto"/>
              <w:left w:val="nil"/>
              <w:bottom w:val="single" w:sz="4" w:space="0" w:color="auto"/>
              <w:right w:val="single" w:sz="4" w:space="0" w:color="auto"/>
            </w:tcBorders>
            <w:shd w:val="clear" w:color="000000" w:fill="FFFFFF"/>
            <w:vAlign w:val="center"/>
            <w:hideMark/>
          </w:tcPr>
          <w:p w:rsidR="005D6ACF" w:rsidRPr="004719BE" w:rsidRDefault="005D6ACF" w:rsidP="008A253E">
            <w:pPr>
              <w:jc w:val="center"/>
              <w:rPr>
                <w:b/>
                <w:bCs/>
                <w:i/>
                <w:iCs/>
              </w:rPr>
            </w:pPr>
            <w:r w:rsidRPr="004719BE">
              <w:rPr>
                <w:b/>
                <w:bCs/>
                <w:i/>
                <w:iCs/>
              </w:rPr>
              <w:t>2023 год</w:t>
            </w:r>
          </w:p>
        </w:tc>
        <w:tc>
          <w:tcPr>
            <w:tcW w:w="1359" w:type="dxa"/>
            <w:tcBorders>
              <w:top w:val="single" w:sz="4" w:space="0" w:color="auto"/>
              <w:left w:val="nil"/>
              <w:bottom w:val="single" w:sz="4" w:space="0" w:color="auto"/>
              <w:right w:val="single" w:sz="4" w:space="0" w:color="auto"/>
            </w:tcBorders>
            <w:shd w:val="clear" w:color="000000" w:fill="FFFFFF"/>
            <w:vAlign w:val="center"/>
            <w:hideMark/>
          </w:tcPr>
          <w:p w:rsidR="005D6ACF" w:rsidRPr="004719BE" w:rsidRDefault="005D6ACF" w:rsidP="008A253E">
            <w:pPr>
              <w:jc w:val="center"/>
              <w:rPr>
                <w:b/>
                <w:bCs/>
                <w:i/>
                <w:iCs/>
              </w:rPr>
            </w:pPr>
            <w:r w:rsidRPr="004719BE">
              <w:rPr>
                <w:b/>
                <w:bCs/>
                <w:i/>
                <w:iCs/>
              </w:rPr>
              <w:t>2024 год</w:t>
            </w:r>
          </w:p>
        </w:tc>
      </w:tr>
      <w:tr w:rsidR="005D6ACF" w:rsidRPr="004719BE" w:rsidTr="00F07E05">
        <w:trPr>
          <w:gridAfter w:val="1"/>
          <w:wAfter w:w="25" w:type="dxa"/>
          <w:trHeight w:val="480"/>
        </w:trPr>
        <w:tc>
          <w:tcPr>
            <w:tcW w:w="566" w:type="dxa"/>
            <w:tcBorders>
              <w:top w:val="nil"/>
              <w:left w:val="single" w:sz="4" w:space="0" w:color="auto"/>
              <w:bottom w:val="single" w:sz="4" w:space="0" w:color="auto"/>
              <w:right w:val="single" w:sz="4" w:space="0" w:color="auto"/>
            </w:tcBorders>
            <w:shd w:val="clear" w:color="auto" w:fill="auto"/>
            <w:hideMark/>
          </w:tcPr>
          <w:p w:rsidR="005D6ACF" w:rsidRPr="004719BE" w:rsidRDefault="005D6ACF" w:rsidP="008A253E">
            <w:pPr>
              <w:jc w:val="center"/>
            </w:pPr>
            <w:r w:rsidRPr="004719BE">
              <w:t>1</w:t>
            </w:r>
          </w:p>
        </w:tc>
        <w:tc>
          <w:tcPr>
            <w:tcW w:w="4449" w:type="dxa"/>
            <w:tcBorders>
              <w:top w:val="nil"/>
              <w:left w:val="nil"/>
              <w:bottom w:val="single" w:sz="4" w:space="0" w:color="auto"/>
              <w:right w:val="single" w:sz="4" w:space="0" w:color="auto"/>
            </w:tcBorders>
            <w:shd w:val="clear" w:color="000000" w:fill="FFFFFF"/>
            <w:vAlign w:val="center"/>
            <w:hideMark/>
          </w:tcPr>
          <w:p w:rsidR="005D6ACF" w:rsidRPr="004719BE" w:rsidRDefault="005D6ACF" w:rsidP="008A253E">
            <w:r w:rsidRPr="004719BE">
              <w:t>Жилые площади, сдаваемые в найм, кв.м</w:t>
            </w:r>
          </w:p>
        </w:tc>
        <w:tc>
          <w:tcPr>
            <w:tcW w:w="1430" w:type="dxa"/>
            <w:tcBorders>
              <w:top w:val="nil"/>
              <w:left w:val="nil"/>
              <w:bottom w:val="single" w:sz="4" w:space="0" w:color="auto"/>
              <w:right w:val="single" w:sz="4" w:space="0" w:color="auto"/>
            </w:tcBorders>
            <w:shd w:val="clear" w:color="000000" w:fill="FFFFFF"/>
            <w:vAlign w:val="center"/>
            <w:hideMark/>
          </w:tcPr>
          <w:p w:rsidR="005D6ACF" w:rsidRPr="004719BE" w:rsidRDefault="005D6ACF" w:rsidP="008A253E">
            <w:pPr>
              <w:jc w:val="center"/>
            </w:pPr>
            <w:r w:rsidRPr="004719BE">
              <w:t>3535,8</w:t>
            </w:r>
          </w:p>
        </w:tc>
        <w:tc>
          <w:tcPr>
            <w:tcW w:w="1359" w:type="dxa"/>
            <w:tcBorders>
              <w:top w:val="nil"/>
              <w:left w:val="nil"/>
              <w:bottom w:val="single" w:sz="4" w:space="0" w:color="auto"/>
              <w:right w:val="single" w:sz="4" w:space="0" w:color="auto"/>
            </w:tcBorders>
            <w:shd w:val="clear" w:color="000000" w:fill="FFFFFF"/>
            <w:vAlign w:val="center"/>
            <w:hideMark/>
          </w:tcPr>
          <w:p w:rsidR="005D6ACF" w:rsidRPr="004719BE" w:rsidRDefault="005D6ACF" w:rsidP="008A253E">
            <w:pPr>
              <w:jc w:val="center"/>
            </w:pPr>
            <w:r w:rsidRPr="004719BE">
              <w:t>3535,8</w:t>
            </w:r>
          </w:p>
        </w:tc>
        <w:tc>
          <w:tcPr>
            <w:tcW w:w="1359" w:type="dxa"/>
            <w:tcBorders>
              <w:top w:val="nil"/>
              <w:left w:val="nil"/>
              <w:bottom w:val="single" w:sz="4" w:space="0" w:color="auto"/>
              <w:right w:val="single" w:sz="4" w:space="0" w:color="auto"/>
            </w:tcBorders>
            <w:shd w:val="clear" w:color="000000" w:fill="FFFFFF"/>
            <w:vAlign w:val="center"/>
            <w:hideMark/>
          </w:tcPr>
          <w:p w:rsidR="005D6ACF" w:rsidRPr="004719BE" w:rsidRDefault="005D6ACF" w:rsidP="008A253E">
            <w:pPr>
              <w:jc w:val="center"/>
            </w:pPr>
            <w:r w:rsidRPr="004719BE">
              <w:t>3535,8</w:t>
            </w:r>
          </w:p>
        </w:tc>
      </w:tr>
      <w:tr w:rsidR="005D6ACF" w:rsidRPr="004719BE" w:rsidTr="00F07E05">
        <w:trPr>
          <w:gridAfter w:val="1"/>
          <w:wAfter w:w="25" w:type="dxa"/>
          <w:trHeight w:val="570"/>
        </w:trPr>
        <w:tc>
          <w:tcPr>
            <w:tcW w:w="566" w:type="dxa"/>
            <w:tcBorders>
              <w:top w:val="nil"/>
              <w:left w:val="single" w:sz="4" w:space="0" w:color="auto"/>
              <w:bottom w:val="single" w:sz="4" w:space="0" w:color="auto"/>
              <w:right w:val="single" w:sz="4" w:space="0" w:color="auto"/>
            </w:tcBorders>
            <w:shd w:val="clear" w:color="auto" w:fill="auto"/>
            <w:hideMark/>
          </w:tcPr>
          <w:p w:rsidR="005D6ACF" w:rsidRPr="004719BE" w:rsidRDefault="005D6ACF" w:rsidP="008A253E">
            <w:pPr>
              <w:jc w:val="center"/>
            </w:pPr>
            <w:r w:rsidRPr="004719BE">
              <w:t>2</w:t>
            </w:r>
          </w:p>
        </w:tc>
        <w:tc>
          <w:tcPr>
            <w:tcW w:w="4449" w:type="dxa"/>
            <w:tcBorders>
              <w:top w:val="nil"/>
              <w:left w:val="nil"/>
              <w:bottom w:val="single" w:sz="4" w:space="0" w:color="auto"/>
              <w:right w:val="single" w:sz="4" w:space="0" w:color="auto"/>
            </w:tcBorders>
            <w:shd w:val="clear" w:color="000000" w:fill="FFFFFF"/>
            <w:vAlign w:val="center"/>
            <w:hideMark/>
          </w:tcPr>
          <w:p w:rsidR="005D6ACF" w:rsidRPr="004719BE" w:rsidRDefault="005D6ACF" w:rsidP="008A253E">
            <w:r w:rsidRPr="004719BE">
              <w:t xml:space="preserve">Средний размер платы за наем жилых помещений за 1 кв.м в месяц за найм, руб.  </w:t>
            </w:r>
          </w:p>
        </w:tc>
        <w:tc>
          <w:tcPr>
            <w:tcW w:w="1430" w:type="dxa"/>
            <w:tcBorders>
              <w:top w:val="nil"/>
              <w:left w:val="nil"/>
              <w:bottom w:val="single" w:sz="4" w:space="0" w:color="auto"/>
              <w:right w:val="single" w:sz="4" w:space="0" w:color="auto"/>
            </w:tcBorders>
            <w:shd w:val="clear" w:color="000000" w:fill="FFFFFF"/>
            <w:vAlign w:val="center"/>
            <w:hideMark/>
          </w:tcPr>
          <w:p w:rsidR="005D6ACF" w:rsidRPr="004719BE" w:rsidRDefault="005D6ACF" w:rsidP="008A253E">
            <w:pPr>
              <w:jc w:val="center"/>
            </w:pPr>
            <w:r w:rsidRPr="004719BE">
              <w:t>9,56</w:t>
            </w:r>
          </w:p>
        </w:tc>
        <w:tc>
          <w:tcPr>
            <w:tcW w:w="1359" w:type="dxa"/>
            <w:tcBorders>
              <w:top w:val="nil"/>
              <w:left w:val="nil"/>
              <w:bottom w:val="single" w:sz="4" w:space="0" w:color="auto"/>
              <w:right w:val="single" w:sz="4" w:space="0" w:color="auto"/>
            </w:tcBorders>
            <w:shd w:val="clear" w:color="000000" w:fill="FFFFFF"/>
            <w:vAlign w:val="center"/>
            <w:hideMark/>
          </w:tcPr>
          <w:p w:rsidR="005D6ACF" w:rsidRPr="004719BE" w:rsidRDefault="005D6ACF" w:rsidP="008A253E">
            <w:pPr>
              <w:jc w:val="center"/>
            </w:pPr>
            <w:r w:rsidRPr="004719BE">
              <w:t>9,56</w:t>
            </w:r>
          </w:p>
        </w:tc>
        <w:tc>
          <w:tcPr>
            <w:tcW w:w="1359" w:type="dxa"/>
            <w:tcBorders>
              <w:top w:val="nil"/>
              <w:left w:val="nil"/>
              <w:bottom w:val="single" w:sz="4" w:space="0" w:color="auto"/>
              <w:right w:val="single" w:sz="4" w:space="0" w:color="auto"/>
            </w:tcBorders>
            <w:shd w:val="clear" w:color="000000" w:fill="FFFFFF"/>
            <w:vAlign w:val="center"/>
            <w:hideMark/>
          </w:tcPr>
          <w:p w:rsidR="005D6ACF" w:rsidRPr="004719BE" w:rsidRDefault="005D6ACF" w:rsidP="008A253E">
            <w:pPr>
              <w:jc w:val="center"/>
            </w:pPr>
            <w:r w:rsidRPr="004719BE">
              <w:t>9,56</w:t>
            </w:r>
          </w:p>
        </w:tc>
      </w:tr>
      <w:tr w:rsidR="005D6ACF" w:rsidRPr="004719BE" w:rsidTr="00F07E05">
        <w:trPr>
          <w:gridAfter w:val="1"/>
          <w:wAfter w:w="25" w:type="dxa"/>
          <w:trHeight w:val="690"/>
        </w:trPr>
        <w:tc>
          <w:tcPr>
            <w:tcW w:w="566" w:type="dxa"/>
            <w:tcBorders>
              <w:top w:val="nil"/>
              <w:left w:val="single" w:sz="4" w:space="0" w:color="auto"/>
              <w:bottom w:val="single" w:sz="4" w:space="0" w:color="auto"/>
              <w:right w:val="single" w:sz="4" w:space="0" w:color="auto"/>
            </w:tcBorders>
            <w:shd w:val="clear" w:color="auto" w:fill="auto"/>
            <w:hideMark/>
          </w:tcPr>
          <w:p w:rsidR="005D6ACF" w:rsidRPr="004719BE" w:rsidRDefault="005D6ACF" w:rsidP="008A253E">
            <w:pPr>
              <w:jc w:val="center"/>
            </w:pPr>
            <w:r w:rsidRPr="004719BE">
              <w:t>3</w:t>
            </w:r>
          </w:p>
        </w:tc>
        <w:tc>
          <w:tcPr>
            <w:tcW w:w="4449" w:type="dxa"/>
            <w:tcBorders>
              <w:top w:val="nil"/>
              <w:left w:val="nil"/>
              <w:bottom w:val="single" w:sz="4" w:space="0" w:color="auto"/>
              <w:right w:val="single" w:sz="4" w:space="0" w:color="auto"/>
            </w:tcBorders>
            <w:shd w:val="clear" w:color="000000" w:fill="FFFFFF"/>
            <w:vAlign w:val="center"/>
            <w:hideMark/>
          </w:tcPr>
          <w:p w:rsidR="005D6ACF" w:rsidRPr="004719BE" w:rsidRDefault="005D6ACF" w:rsidP="008A253E">
            <w:r w:rsidRPr="004719BE">
              <w:t>Средняя продолжительность срока действия договоров</w:t>
            </w:r>
          </w:p>
        </w:tc>
        <w:tc>
          <w:tcPr>
            <w:tcW w:w="1430" w:type="dxa"/>
            <w:tcBorders>
              <w:top w:val="nil"/>
              <w:left w:val="nil"/>
              <w:bottom w:val="single" w:sz="4" w:space="0" w:color="auto"/>
              <w:right w:val="single" w:sz="4" w:space="0" w:color="auto"/>
            </w:tcBorders>
            <w:shd w:val="clear" w:color="000000" w:fill="FFFFFF"/>
            <w:vAlign w:val="center"/>
            <w:hideMark/>
          </w:tcPr>
          <w:p w:rsidR="005D6ACF" w:rsidRPr="004719BE" w:rsidRDefault="005D6ACF" w:rsidP="008A253E">
            <w:pPr>
              <w:jc w:val="center"/>
            </w:pPr>
            <w:r w:rsidRPr="004719BE">
              <w:t>12</w:t>
            </w:r>
          </w:p>
        </w:tc>
        <w:tc>
          <w:tcPr>
            <w:tcW w:w="1359" w:type="dxa"/>
            <w:tcBorders>
              <w:top w:val="nil"/>
              <w:left w:val="nil"/>
              <w:bottom w:val="single" w:sz="4" w:space="0" w:color="auto"/>
              <w:right w:val="single" w:sz="4" w:space="0" w:color="auto"/>
            </w:tcBorders>
            <w:shd w:val="clear" w:color="000000" w:fill="FFFFFF"/>
            <w:vAlign w:val="center"/>
            <w:hideMark/>
          </w:tcPr>
          <w:p w:rsidR="005D6ACF" w:rsidRPr="004719BE" w:rsidRDefault="005D6ACF" w:rsidP="008A253E">
            <w:pPr>
              <w:jc w:val="center"/>
            </w:pPr>
            <w:r w:rsidRPr="004719BE">
              <w:t>12</w:t>
            </w:r>
          </w:p>
        </w:tc>
        <w:tc>
          <w:tcPr>
            <w:tcW w:w="1359" w:type="dxa"/>
            <w:tcBorders>
              <w:top w:val="nil"/>
              <w:left w:val="nil"/>
              <w:bottom w:val="single" w:sz="4" w:space="0" w:color="auto"/>
              <w:right w:val="single" w:sz="4" w:space="0" w:color="auto"/>
            </w:tcBorders>
            <w:shd w:val="clear" w:color="000000" w:fill="FFFFFF"/>
            <w:vAlign w:val="center"/>
            <w:hideMark/>
          </w:tcPr>
          <w:p w:rsidR="005D6ACF" w:rsidRPr="004719BE" w:rsidRDefault="005D6ACF" w:rsidP="008A253E">
            <w:pPr>
              <w:jc w:val="center"/>
            </w:pPr>
            <w:r w:rsidRPr="004719BE">
              <w:t>12</w:t>
            </w:r>
          </w:p>
        </w:tc>
      </w:tr>
      <w:tr w:rsidR="005D6ACF" w:rsidRPr="004719BE" w:rsidTr="00F07E05">
        <w:trPr>
          <w:gridAfter w:val="1"/>
          <w:wAfter w:w="25" w:type="dxa"/>
          <w:trHeight w:val="780"/>
        </w:trPr>
        <w:tc>
          <w:tcPr>
            <w:tcW w:w="566" w:type="dxa"/>
            <w:tcBorders>
              <w:top w:val="nil"/>
              <w:left w:val="single" w:sz="4" w:space="0" w:color="auto"/>
              <w:bottom w:val="single" w:sz="4" w:space="0" w:color="auto"/>
              <w:right w:val="single" w:sz="4" w:space="0" w:color="auto"/>
            </w:tcBorders>
            <w:shd w:val="clear" w:color="auto" w:fill="auto"/>
            <w:hideMark/>
          </w:tcPr>
          <w:p w:rsidR="005D6ACF" w:rsidRPr="004719BE" w:rsidRDefault="005D6ACF" w:rsidP="008A253E">
            <w:pPr>
              <w:jc w:val="center"/>
            </w:pPr>
            <w:r w:rsidRPr="004719BE">
              <w:t>4</w:t>
            </w:r>
          </w:p>
        </w:tc>
        <w:tc>
          <w:tcPr>
            <w:tcW w:w="4449" w:type="dxa"/>
            <w:tcBorders>
              <w:top w:val="nil"/>
              <w:left w:val="nil"/>
              <w:bottom w:val="single" w:sz="4" w:space="0" w:color="auto"/>
              <w:right w:val="single" w:sz="4" w:space="0" w:color="auto"/>
            </w:tcBorders>
            <w:shd w:val="clear" w:color="000000" w:fill="FFFFFF"/>
            <w:vAlign w:val="center"/>
            <w:hideMark/>
          </w:tcPr>
          <w:p w:rsidR="005D6ACF" w:rsidRPr="004719BE" w:rsidRDefault="005D6ACF" w:rsidP="008A253E">
            <w:r w:rsidRPr="004719BE">
              <w:t>Расчетные доходы за пользование жилыми помещениями,тыс.руб.(п.1*п.2*п.3:1000)</w:t>
            </w:r>
          </w:p>
        </w:tc>
        <w:tc>
          <w:tcPr>
            <w:tcW w:w="1430" w:type="dxa"/>
            <w:tcBorders>
              <w:top w:val="nil"/>
              <w:left w:val="nil"/>
              <w:bottom w:val="single" w:sz="4" w:space="0" w:color="auto"/>
              <w:right w:val="single" w:sz="4" w:space="0" w:color="auto"/>
            </w:tcBorders>
            <w:shd w:val="clear" w:color="000000" w:fill="FFFFFF"/>
            <w:vAlign w:val="center"/>
            <w:hideMark/>
          </w:tcPr>
          <w:p w:rsidR="005D6ACF" w:rsidRPr="004719BE" w:rsidRDefault="005D6ACF" w:rsidP="008A253E">
            <w:pPr>
              <w:jc w:val="center"/>
            </w:pPr>
            <w:r w:rsidRPr="004719BE">
              <w:t>405,6</w:t>
            </w:r>
          </w:p>
        </w:tc>
        <w:tc>
          <w:tcPr>
            <w:tcW w:w="1359" w:type="dxa"/>
            <w:tcBorders>
              <w:top w:val="nil"/>
              <w:left w:val="nil"/>
              <w:bottom w:val="single" w:sz="4" w:space="0" w:color="auto"/>
              <w:right w:val="single" w:sz="4" w:space="0" w:color="auto"/>
            </w:tcBorders>
            <w:shd w:val="clear" w:color="000000" w:fill="FFFFFF"/>
            <w:vAlign w:val="center"/>
            <w:hideMark/>
          </w:tcPr>
          <w:p w:rsidR="005D6ACF" w:rsidRPr="004719BE" w:rsidRDefault="005D6ACF" w:rsidP="008A253E">
            <w:pPr>
              <w:jc w:val="center"/>
            </w:pPr>
            <w:r w:rsidRPr="004719BE">
              <w:t>405,6</w:t>
            </w:r>
          </w:p>
        </w:tc>
        <w:tc>
          <w:tcPr>
            <w:tcW w:w="1359" w:type="dxa"/>
            <w:tcBorders>
              <w:top w:val="nil"/>
              <w:left w:val="nil"/>
              <w:bottom w:val="single" w:sz="4" w:space="0" w:color="auto"/>
              <w:right w:val="single" w:sz="4" w:space="0" w:color="auto"/>
            </w:tcBorders>
            <w:shd w:val="clear" w:color="000000" w:fill="FFFFFF"/>
            <w:vAlign w:val="center"/>
            <w:hideMark/>
          </w:tcPr>
          <w:p w:rsidR="005D6ACF" w:rsidRPr="004719BE" w:rsidRDefault="005D6ACF" w:rsidP="008A253E">
            <w:pPr>
              <w:jc w:val="center"/>
            </w:pPr>
            <w:r w:rsidRPr="004719BE">
              <w:t>405,6</w:t>
            </w:r>
          </w:p>
        </w:tc>
      </w:tr>
      <w:tr w:rsidR="005D6ACF" w:rsidRPr="004719BE" w:rsidTr="00F07E05">
        <w:trPr>
          <w:gridAfter w:val="1"/>
          <w:wAfter w:w="25" w:type="dxa"/>
          <w:trHeight w:val="960"/>
        </w:trPr>
        <w:tc>
          <w:tcPr>
            <w:tcW w:w="566" w:type="dxa"/>
            <w:tcBorders>
              <w:top w:val="nil"/>
              <w:left w:val="single" w:sz="4" w:space="0" w:color="auto"/>
              <w:bottom w:val="single" w:sz="4" w:space="0" w:color="auto"/>
              <w:right w:val="single" w:sz="4" w:space="0" w:color="auto"/>
            </w:tcBorders>
            <w:shd w:val="clear" w:color="auto" w:fill="auto"/>
            <w:hideMark/>
          </w:tcPr>
          <w:p w:rsidR="005D6ACF" w:rsidRPr="004719BE" w:rsidRDefault="005D6ACF" w:rsidP="008A253E">
            <w:pPr>
              <w:jc w:val="center"/>
            </w:pPr>
            <w:r w:rsidRPr="004719BE">
              <w:t>5</w:t>
            </w:r>
          </w:p>
        </w:tc>
        <w:tc>
          <w:tcPr>
            <w:tcW w:w="4449" w:type="dxa"/>
            <w:tcBorders>
              <w:top w:val="nil"/>
              <w:left w:val="nil"/>
              <w:bottom w:val="single" w:sz="4" w:space="0" w:color="auto"/>
              <w:right w:val="single" w:sz="4" w:space="0" w:color="auto"/>
            </w:tcBorders>
            <w:shd w:val="clear" w:color="000000" w:fill="FFFFFF"/>
            <w:vAlign w:val="center"/>
            <w:hideMark/>
          </w:tcPr>
          <w:p w:rsidR="005D6ACF" w:rsidRPr="004719BE" w:rsidRDefault="005D6ACF" w:rsidP="008A253E">
            <w:r w:rsidRPr="004719BE">
              <w:t>Собираемость доходов, принимаемая как среднее арифметическое значение аналогичных показателей за три года, предшествующих текущему финансовому году,  %</w:t>
            </w:r>
          </w:p>
        </w:tc>
        <w:tc>
          <w:tcPr>
            <w:tcW w:w="1430" w:type="dxa"/>
            <w:tcBorders>
              <w:top w:val="nil"/>
              <w:left w:val="nil"/>
              <w:bottom w:val="single" w:sz="4" w:space="0" w:color="auto"/>
              <w:right w:val="single" w:sz="4" w:space="0" w:color="auto"/>
            </w:tcBorders>
            <w:shd w:val="clear" w:color="000000" w:fill="FFFFFF"/>
            <w:vAlign w:val="center"/>
            <w:hideMark/>
          </w:tcPr>
          <w:p w:rsidR="005D6ACF" w:rsidRPr="004719BE" w:rsidRDefault="005D6ACF" w:rsidP="008A253E">
            <w:pPr>
              <w:jc w:val="center"/>
            </w:pPr>
            <w:r w:rsidRPr="004719BE">
              <w:t>98</w:t>
            </w:r>
          </w:p>
        </w:tc>
        <w:tc>
          <w:tcPr>
            <w:tcW w:w="1359" w:type="dxa"/>
            <w:tcBorders>
              <w:top w:val="nil"/>
              <w:left w:val="nil"/>
              <w:bottom w:val="single" w:sz="4" w:space="0" w:color="auto"/>
              <w:right w:val="single" w:sz="4" w:space="0" w:color="auto"/>
            </w:tcBorders>
            <w:shd w:val="clear" w:color="000000" w:fill="FFFFFF"/>
            <w:vAlign w:val="center"/>
            <w:hideMark/>
          </w:tcPr>
          <w:p w:rsidR="005D6ACF" w:rsidRPr="004719BE" w:rsidRDefault="005D6ACF" w:rsidP="008A253E">
            <w:pPr>
              <w:jc w:val="center"/>
            </w:pPr>
            <w:r w:rsidRPr="004719BE">
              <w:t>98</w:t>
            </w:r>
          </w:p>
        </w:tc>
        <w:tc>
          <w:tcPr>
            <w:tcW w:w="1359" w:type="dxa"/>
            <w:tcBorders>
              <w:top w:val="nil"/>
              <w:left w:val="nil"/>
              <w:bottom w:val="single" w:sz="4" w:space="0" w:color="auto"/>
              <w:right w:val="single" w:sz="4" w:space="0" w:color="auto"/>
            </w:tcBorders>
            <w:shd w:val="clear" w:color="000000" w:fill="FFFFFF"/>
            <w:vAlign w:val="center"/>
            <w:hideMark/>
          </w:tcPr>
          <w:p w:rsidR="005D6ACF" w:rsidRPr="004719BE" w:rsidRDefault="005D6ACF" w:rsidP="008A253E">
            <w:pPr>
              <w:jc w:val="center"/>
            </w:pPr>
            <w:r w:rsidRPr="004719BE">
              <w:t>98</w:t>
            </w:r>
          </w:p>
        </w:tc>
      </w:tr>
      <w:tr w:rsidR="005D6ACF" w:rsidRPr="004719BE" w:rsidTr="00F07E05">
        <w:trPr>
          <w:gridAfter w:val="1"/>
          <w:wAfter w:w="25" w:type="dxa"/>
          <w:trHeight w:val="555"/>
        </w:trPr>
        <w:tc>
          <w:tcPr>
            <w:tcW w:w="566" w:type="dxa"/>
            <w:tcBorders>
              <w:top w:val="nil"/>
              <w:left w:val="single" w:sz="4" w:space="0" w:color="auto"/>
              <w:bottom w:val="single" w:sz="4" w:space="0" w:color="auto"/>
              <w:right w:val="single" w:sz="4" w:space="0" w:color="auto"/>
            </w:tcBorders>
            <w:shd w:val="clear" w:color="auto" w:fill="auto"/>
            <w:hideMark/>
          </w:tcPr>
          <w:p w:rsidR="005D6ACF" w:rsidRPr="004719BE" w:rsidRDefault="005D6ACF" w:rsidP="008A253E">
            <w:pPr>
              <w:jc w:val="center"/>
            </w:pPr>
            <w:r w:rsidRPr="004719BE">
              <w:t>6</w:t>
            </w:r>
          </w:p>
        </w:tc>
        <w:tc>
          <w:tcPr>
            <w:tcW w:w="4449" w:type="dxa"/>
            <w:tcBorders>
              <w:top w:val="nil"/>
              <w:left w:val="nil"/>
              <w:bottom w:val="single" w:sz="4" w:space="0" w:color="auto"/>
              <w:right w:val="single" w:sz="4" w:space="0" w:color="auto"/>
            </w:tcBorders>
            <w:shd w:val="clear" w:color="000000" w:fill="FFFFFF"/>
            <w:vAlign w:val="center"/>
            <w:hideMark/>
          </w:tcPr>
          <w:p w:rsidR="005D6ACF" w:rsidRPr="004719BE" w:rsidRDefault="005D6ACF" w:rsidP="008A253E">
            <w:r w:rsidRPr="004719BE">
              <w:t>Погашение задолженности прошлых лет, тыс. руб.</w:t>
            </w:r>
          </w:p>
        </w:tc>
        <w:tc>
          <w:tcPr>
            <w:tcW w:w="1430" w:type="dxa"/>
            <w:tcBorders>
              <w:top w:val="nil"/>
              <w:left w:val="nil"/>
              <w:bottom w:val="single" w:sz="4" w:space="0" w:color="auto"/>
              <w:right w:val="single" w:sz="4" w:space="0" w:color="auto"/>
            </w:tcBorders>
            <w:shd w:val="clear" w:color="000000" w:fill="FFFFFF"/>
            <w:vAlign w:val="center"/>
            <w:hideMark/>
          </w:tcPr>
          <w:p w:rsidR="005D6ACF" w:rsidRPr="004719BE" w:rsidRDefault="005D6ACF" w:rsidP="008A253E">
            <w:pPr>
              <w:jc w:val="center"/>
            </w:pPr>
            <w:r w:rsidRPr="004719BE">
              <w:t>8,4</w:t>
            </w:r>
          </w:p>
        </w:tc>
        <w:tc>
          <w:tcPr>
            <w:tcW w:w="1359" w:type="dxa"/>
            <w:tcBorders>
              <w:top w:val="nil"/>
              <w:left w:val="nil"/>
              <w:bottom w:val="single" w:sz="4" w:space="0" w:color="auto"/>
              <w:right w:val="single" w:sz="4" w:space="0" w:color="auto"/>
            </w:tcBorders>
            <w:shd w:val="clear" w:color="000000" w:fill="FFFFFF"/>
            <w:vAlign w:val="center"/>
            <w:hideMark/>
          </w:tcPr>
          <w:p w:rsidR="005D6ACF" w:rsidRPr="004719BE" w:rsidRDefault="005D6ACF" w:rsidP="008A253E">
            <w:pPr>
              <w:jc w:val="center"/>
            </w:pPr>
            <w:r w:rsidRPr="004719BE">
              <w:t>8,1</w:t>
            </w:r>
          </w:p>
        </w:tc>
        <w:tc>
          <w:tcPr>
            <w:tcW w:w="1359" w:type="dxa"/>
            <w:tcBorders>
              <w:top w:val="nil"/>
              <w:left w:val="nil"/>
              <w:bottom w:val="single" w:sz="4" w:space="0" w:color="auto"/>
              <w:right w:val="single" w:sz="4" w:space="0" w:color="auto"/>
            </w:tcBorders>
            <w:shd w:val="clear" w:color="000000" w:fill="FFFFFF"/>
            <w:vAlign w:val="center"/>
            <w:hideMark/>
          </w:tcPr>
          <w:p w:rsidR="005D6ACF" w:rsidRPr="004719BE" w:rsidRDefault="005D6ACF" w:rsidP="008A253E">
            <w:pPr>
              <w:jc w:val="center"/>
            </w:pPr>
            <w:r w:rsidRPr="004719BE">
              <w:t>8,1</w:t>
            </w:r>
          </w:p>
        </w:tc>
      </w:tr>
      <w:tr w:rsidR="005D6ACF" w:rsidRPr="004719BE" w:rsidTr="00F07E05">
        <w:trPr>
          <w:gridAfter w:val="1"/>
          <w:wAfter w:w="25" w:type="dxa"/>
          <w:trHeight w:val="555"/>
        </w:trPr>
        <w:tc>
          <w:tcPr>
            <w:tcW w:w="566" w:type="dxa"/>
            <w:tcBorders>
              <w:top w:val="nil"/>
              <w:left w:val="single" w:sz="4" w:space="0" w:color="auto"/>
              <w:bottom w:val="single" w:sz="4" w:space="0" w:color="auto"/>
              <w:right w:val="single" w:sz="4" w:space="0" w:color="auto"/>
            </w:tcBorders>
            <w:shd w:val="clear" w:color="auto" w:fill="auto"/>
            <w:hideMark/>
          </w:tcPr>
          <w:p w:rsidR="005D6ACF" w:rsidRPr="004719BE" w:rsidRDefault="005D6ACF" w:rsidP="008A253E">
            <w:pPr>
              <w:jc w:val="center"/>
            </w:pPr>
            <w:r w:rsidRPr="004719BE">
              <w:t>7</w:t>
            </w:r>
          </w:p>
        </w:tc>
        <w:tc>
          <w:tcPr>
            <w:tcW w:w="4449" w:type="dxa"/>
            <w:tcBorders>
              <w:top w:val="nil"/>
              <w:left w:val="nil"/>
              <w:bottom w:val="single" w:sz="4" w:space="0" w:color="auto"/>
              <w:right w:val="single" w:sz="4" w:space="0" w:color="auto"/>
            </w:tcBorders>
            <w:shd w:val="clear" w:color="000000" w:fill="FFFFFF"/>
            <w:vAlign w:val="center"/>
            <w:hideMark/>
          </w:tcPr>
          <w:p w:rsidR="005D6ACF" w:rsidRPr="004719BE" w:rsidRDefault="005D6ACF" w:rsidP="008A253E">
            <w:r w:rsidRPr="004719BE">
              <w:t xml:space="preserve">Средний размер платы по планируемым к заключению договорам, руб. </w:t>
            </w:r>
          </w:p>
        </w:tc>
        <w:tc>
          <w:tcPr>
            <w:tcW w:w="1430" w:type="dxa"/>
            <w:tcBorders>
              <w:top w:val="nil"/>
              <w:left w:val="nil"/>
              <w:bottom w:val="single" w:sz="4" w:space="0" w:color="auto"/>
              <w:right w:val="single" w:sz="4" w:space="0" w:color="auto"/>
            </w:tcBorders>
            <w:shd w:val="clear" w:color="000000" w:fill="FFFFFF"/>
            <w:vAlign w:val="center"/>
            <w:hideMark/>
          </w:tcPr>
          <w:p w:rsidR="005D6ACF" w:rsidRPr="004719BE" w:rsidRDefault="005D6ACF" w:rsidP="008A253E">
            <w:pPr>
              <w:jc w:val="center"/>
            </w:pPr>
            <w:r w:rsidRPr="004719BE">
              <w:t>0,0</w:t>
            </w:r>
          </w:p>
        </w:tc>
        <w:tc>
          <w:tcPr>
            <w:tcW w:w="1359" w:type="dxa"/>
            <w:tcBorders>
              <w:top w:val="nil"/>
              <w:left w:val="nil"/>
              <w:bottom w:val="single" w:sz="4" w:space="0" w:color="auto"/>
              <w:right w:val="single" w:sz="4" w:space="0" w:color="auto"/>
            </w:tcBorders>
            <w:shd w:val="clear" w:color="000000" w:fill="FFFFFF"/>
            <w:vAlign w:val="center"/>
            <w:hideMark/>
          </w:tcPr>
          <w:p w:rsidR="005D6ACF" w:rsidRPr="004719BE" w:rsidRDefault="005D6ACF" w:rsidP="008A253E">
            <w:pPr>
              <w:jc w:val="center"/>
            </w:pPr>
            <w:r w:rsidRPr="004719BE">
              <w:t>0,0</w:t>
            </w:r>
          </w:p>
        </w:tc>
        <w:tc>
          <w:tcPr>
            <w:tcW w:w="1359" w:type="dxa"/>
            <w:tcBorders>
              <w:top w:val="nil"/>
              <w:left w:val="nil"/>
              <w:bottom w:val="single" w:sz="4" w:space="0" w:color="auto"/>
              <w:right w:val="single" w:sz="4" w:space="0" w:color="auto"/>
            </w:tcBorders>
            <w:shd w:val="clear" w:color="000000" w:fill="FFFFFF"/>
            <w:vAlign w:val="center"/>
            <w:hideMark/>
          </w:tcPr>
          <w:p w:rsidR="005D6ACF" w:rsidRPr="004719BE" w:rsidRDefault="005D6ACF" w:rsidP="008A253E">
            <w:pPr>
              <w:jc w:val="center"/>
            </w:pPr>
            <w:r w:rsidRPr="004719BE">
              <w:t>0,0</w:t>
            </w:r>
          </w:p>
        </w:tc>
      </w:tr>
      <w:tr w:rsidR="005D6ACF" w:rsidRPr="004719BE" w:rsidTr="00F07E05">
        <w:trPr>
          <w:gridAfter w:val="1"/>
          <w:wAfter w:w="25" w:type="dxa"/>
          <w:trHeight w:val="705"/>
        </w:trPr>
        <w:tc>
          <w:tcPr>
            <w:tcW w:w="566" w:type="dxa"/>
            <w:tcBorders>
              <w:top w:val="nil"/>
              <w:left w:val="single" w:sz="4" w:space="0" w:color="auto"/>
              <w:bottom w:val="single" w:sz="4" w:space="0" w:color="auto"/>
              <w:right w:val="single" w:sz="4" w:space="0" w:color="auto"/>
            </w:tcBorders>
            <w:shd w:val="clear" w:color="auto" w:fill="auto"/>
            <w:hideMark/>
          </w:tcPr>
          <w:p w:rsidR="005D6ACF" w:rsidRPr="004719BE" w:rsidRDefault="005D6ACF" w:rsidP="008A253E">
            <w:pPr>
              <w:jc w:val="center"/>
            </w:pPr>
            <w:r w:rsidRPr="004719BE">
              <w:t>8</w:t>
            </w:r>
          </w:p>
        </w:tc>
        <w:tc>
          <w:tcPr>
            <w:tcW w:w="4449" w:type="dxa"/>
            <w:tcBorders>
              <w:top w:val="nil"/>
              <w:left w:val="nil"/>
              <w:bottom w:val="single" w:sz="4" w:space="0" w:color="auto"/>
              <w:right w:val="single" w:sz="4" w:space="0" w:color="auto"/>
            </w:tcBorders>
            <w:shd w:val="clear" w:color="000000" w:fill="FFFFFF"/>
            <w:vAlign w:val="center"/>
            <w:hideMark/>
          </w:tcPr>
          <w:p w:rsidR="005D6ACF" w:rsidRPr="004719BE" w:rsidRDefault="005D6ACF" w:rsidP="008A253E">
            <w:pPr>
              <w:rPr>
                <w:b/>
                <w:bCs/>
              </w:rPr>
            </w:pPr>
            <w:r w:rsidRPr="004719BE">
              <w:rPr>
                <w:b/>
                <w:bCs/>
              </w:rPr>
              <w:t>Всего доходы за пользованием жилыми помещениями (плата за найм), тыс. руб., (п. 4 *п. 5 + п. 6 + п. 7)</w:t>
            </w:r>
          </w:p>
        </w:tc>
        <w:tc>
          <w:tcPr>
            <w:tcW w:w="1430" w:type="dxa"/>
            <w:tcBorders>
              <w:top w:val="nil"/>
              <w:left w:val="nil"/>
              <w:bottom w:val="single" w:sz="4" w:space="0" w:color="auto"/>
              <w:right w:val="single" w:sz="4" w:space="0" w:color="auto"/>
            </w:tcBorders>
            <w:shd w:val="clear" w:color="000000" w:fill="FFFFFF"/>
            <w:vAlign w:val="center"/>
            <w:hideMark/>
          </w:tcPr>
          <w:p w:rsidR="005D6ACF" w:rsidRPr="004719BE" w:rsidRDefault="005D6ACF" w:rsidP="008A253E">
            <w:pPr>
              <w:jc w:val="center"/>
              <w:rPr>
                <w:b/>
                <w:bCs/>
              </w:rPr>
            </w:pPr>
            <w:r w:rsidRPr="004719BE">
              <w:rPr>
                <w:b/>
                <w:bCs/>
              </w:rPr>
              <w:t>405,9</w:t>
            </w:r>
          </w:p>
        </w:tc>
        <w:tc>
          <w:tcPr>
            <w:tcW w:w="1359" w:type="dxa"/>
            <w:tcBorders>
              <w:top w:val="nil"/>
              <w:left w:val="nil"/>
              <w:bottom w:val="single" w:sz="4" w:space="0" w:color="auto"/>
              <w:right w:val="single" w:sz="4" w:space="0" w:color="auto"/>
            </w:tcBorders>
            <w:shd w:val="clear" w:color="000000" w:fill="FFFFFF"/>
            <w:vAlign w:val="center"/>
            <w:hideMark/>
          </w:tcPr>
          <w:p w:rsidR="005D6ACF" w:rsidRPr="004719BE" w:rsidRDefault="005D6ACF" w:rsidP="008A253E">
            <w:pPr>
              <w:jc w:val="center"/>
              <w:rPr>
                <w:b/>
                <w:bCs/>
              </w:rPr>
            </w:pPr>
            <w:r w:rsidRPr="004719BE">
              <w:rPr>
                <w:b/>
                <w:bCs/>
              </w:rPr>
              <w:t>405,6</w:t>
            </w:r>
          </w:p>
        </w:tc>
        <w:tc>
          <w:tcPr>
            <w:tcW w:w="1359" w:type="dxa"/>
            <w:tcBorders>
              <w:top w:val="nil"/>
              <w:left w:val="nil"/>
              <w:bottom w:val="single" w:sz="4" w:space="0" w:color="auto"/>
              <w:right w:val="single" w:sz="4" w:space="0" w:color="auto"/>
            </w:tcBorders>
            <w:shd w:val="clear" w:color="000000" w:fill="FFFFFF"/>
            <w:vAlign w:val="center"/>
            <w:hideMark/>
          </w:tcPr>
          <w:p w:rsidR="005D6ACF" w:rsidRPr="004719BE" w:rsidRDefault="005D6ACF" w:rsidP="008A253E">
            <w:pPr>
              <w:jc w:val="center"/>
              <w:rPr>
                <w:b/>
                <w:bCs/>
              </w:rPr>
            </w:pPr>
            <w:r w:rsidRPr="004719BE">
              <w:rPr>
                <w:b/>
                <w:bCs/>
              </w:rPr>
              <w:t>405,6</w:t>
            </w:r>
          </w:p>
        </w:tc>
      </w:tr>
    </w:tbl>
    <w:p w:rsidR="00935C40" w:rsidRPr="00BC114B" w:rsidRDefault="00935C40" w:rsidP="00935C40">
      <w:pPr>
        <w:pStyle w:val="5"/>
        <w:jc w:val="center"/>
        <w:rPr>
          <w:i w:val="0"/>
          <w:sz w:val="28"/>
          <w:szCs w:val="28"/>
        </w:rPr>
      </w:pPr>
      <w:r w:rsidRPr="00BC114B">
        <w:rPr>
          <w:i w:val="0"/>
          <w:sz w:val="28"/>
          <w:szCs w:val="28"/>
        </w:rPr>
        <w:t>Платежи при пользовании природными ресурсами</w:t>
      </w:r>
    </w:p>
    <w:p w:rsidR="00935C40" w:rsidRPr="00BC114B" w:rsidRDefault="00935C40" w:rsidP="00935C40">
      <w:pPr>
        <w:jc w:val="center"/>
        <w:rPr>
          <w:b/>
          <w:snapToGrid w:val="0"/>
          <w:sz w:val="28"/>
          <w:szCs w:val="28"/>
        </w:rPr>
      </w:pPr>
      <w:r w:rsidRPr="00BC114B">
        <w:rPr>
          <w:b/>
          <w:snapToGrid w:val="0"/>
          <w:sz w:val="28"/>
          <w:szCs w:val="28"/>
        </w:rPr>
        <w:t xml:space="preserve">  (000 1 12 00000 00 0000 000)</w:t>
      </w:r>
    </w:p>
    <w:p w:rsidR="00935C40" w:rsidRPr="000D187A" w:rsidRDefault="00935C40" w:rsidP="00935C40">
      <w:pPr>
        <w:jc w:val="center"/>
        <w:rPr>
          <w:b/>
          <w:highlight w:val="yellow"/>
        </w:rPr>
      </w:pPr>
    </w:p>
    <w:p w:rsidR="00935C40" w:rsidRPr="00267269" w:rsidRDefault="00935C40" w:rsidP="00935C40">
      <w:pPr>
        <w:pStyle w:val="21"/>
      </w:pPr>
      <w:r w:rsidRPr="00267269">
        <w:t xml:space="preserve">Платежи при пользовании природными ресурсами прогнозируются по областному бюджету на 2022 год в сумме 658 640,4 тыс. руб., на 2023 год в сумме 685 831,4 тыс. руб., на 2024 год в сумме 680 812,1 тыс. руб., </w:t>
      </w:r>
    </w:p>
    <w:p w:rsidR="00935C40" w:rsidRPr="00267269" w:rsidRDefault="00935C40" w:rsidP="00935C40">
      <w:pPr>
        <w:pStyle w:val="21"/>
      </w:pPr>
      <w:r w:rsidRPr="00267269">
        <w:t>в том числе:</w:t>
      </w:r>
    </w:p>
    <w:p w:rsidR="00935C40" w:rsidRPr="00267269" w:rsidRDefault="00935C40" w:rsidP="00935C40">
      <w:pPr>
        <w:pStyle w:val="21"/>
      </w:pPr>
      <w:r w:rsidRPr="00267269">
        <w:t>- плата за негативное воздействие на окружающую среду на 2022 год в сумме 25 031,3 тыс. руб., на 2023 год в сумме 26 032,6 тыс. руб., на 2024 год в сумме 27 073,9 тыс. руб.;</w:t>
      </w:r>
    </w:p>
    <w:p w:rsidR="00935C40" w:rsidRPr="00267269" w:rsidRDefault="00935C40" w:rsidP="00935C40">
      <w:pPr>
        <w:pStyle w:val="21"/>
        <w:rPr>
          <w:color w:val="000000" w:themeColor="text1"/>
        </w:rPr>
      </w:pPr>
      <w:r w:rsidRPr="00267269">
        <w:rPr>
          <w:color w:val="000000" w:themeColor="text1"/>
        </w:rPr>
        <w:t>- платежи при пользовании недрами на 2022 год в сумме                                    32 757,7 тыс. руб., на 2023 год в сумме 35 286,2 тыс. руб., на 2024 год в сумме 39 953,0 тыс. руб.;</w:t>
      </w:r>
    </w:p>
    <w:p w:rsidR="00935C40" w:rsidRDefault="00935C40" w:rsidP="00935C40">
      <w:pPr>
        <w:pStyle w:val="21"/>
        <w:rPr>
          <w:color w:val="000000" w:themeColor="text1"/>
        </w:rPr>
      </w:pPr>
      <w:r w:rsidRPr="00267269">
        <w:rPr>
          <w:color w:val="000000" w:themeColor="text1"/>
        </w:rPr>
        <w:lastRenderedPageBreak/>
        <w:t>- поступления платы за использование лесов – на 2022 год в сумме 600 851,4 тыс. руб., на 2023 год в сумме 624</w:t>
      </w:r>
      <w:r w:rsidR="0086485C">
        <w:rPr>
          <w:color w:val="000000" w:themeColor="text1"/>
        </w:rPr>
        <w:t> </w:t>
      </w:r>
      <w:r w:rsidR="0086485C" w:rsidRPr="0086485C">
        <w:rPr>
          <w:color w:val="000000" w:themeColor="text1"/>
        </w:rPr>
        <w:t>512</w:t>
      </w:r>
      <w:r w:rsidR="0086485C">
        <w:rPr>
          <w:color w:val="000000" w:themeColor="text1"/>
        </w:rPr>
        <w:t>,6</w:t>
      </w:r>
      <w:r w:rsidRPr="00267269">
        <w:rPr>
          <w:color w:val="000000" w:themeColor="text1"/>
        </w:rPr>
        <w:t xml:space="preserve"> тыс. руб., на 2024 год в сумме 613 785,2 тыс. руб.</w:t>
      </w:r>
    </w:p>
    <w:p w:rsidR="00935C40" w:rsidRPr="00A5651E" w:rsidRDefault="00935C40" w:rsidP="00935C40">
      <w:pPr>
        <w:pStyle w:val="21"/>
        <w:rPr>
          <w:color w:val="000000" w:themeColor="text1"/>
        </w:rPr>
      </w:pPr>
    </w:p>
    <w:p w:rsidR="00935C40" w:rsidRPr="000D187A" w:rsidRDefault="00935C40" w:rsidP="00935C40">
      <w:pPr>
        <w:pStyle w:val="21"/>
        <w:tabs>
          <w:tab w:val="num" w:pos="900"/>
        </w:tabs>
        <w:ind w:left="540" w:firstLine="0"/>
        <w:jc w:val="center"/>
        <w:rPr>
          <w:b/>
          <w:highlight w:val="yellow"/>
        </w:rPr>
      </w:pPr>
    </w:p>
    <w:p w:rsidR="00935C40" w:rsidRPr="008B25BF" w:rsidRDefault="00935C40" w:rsidP="00935C40">
      <w:pPr>
        <w:pStyle w:val="21"/>
        <w:jc w:val="center"/>
        <w:rPr>
          <w:b/>
        </w:rPr>
      </w:pPr>
      <w:r w:rsidRPr="008B25BF">
        <w:rPr>
          <w:b/>
        </w:rPr>
        <w:t xml:space="preserve">Плата за негативное воздействие </w:t>
      </w:r>
    </w:p>
    <w:p w:rsidR="00935C40" w:rsidRPr="008B25BF" w:rsidRDefault="00935C40" w:rsidP="00935C40">
      <w:pPr>
        <w:pStyle w:val="21"/>
        <w:jc w:val="center"/>
        <w:rPr>
          <w:b/>
        </w:rPr>
      </w:pPr>
      <w:r w:rsidRPr="008B25BF">
        <w:rPr>
          <w:b/>
        </w:rPr>
        <w:t>на окружающую среду</w:t>
      </w:r>
    </w:p>
    <w:p w:rsidR="00935C40" w:rsidRPr="008B25BF" w:rsidRDefault="00935C40" w:rsidP="00935C40">
      <w:pPr>
        <w:pStyle w:val="21"/>
        <w:jc w:val="center"/>
        <w:rPr>
          <w:b/>
          <w:snapToGrid w:val="0"/>
        </w:rPr>
      </w:pPr>
      <w:r w:rsidRPr="008B25BF">
        <w:rPr>
          <w:b/>
          <w:snapToGrid w:val="0"/>
        </w:rPr>
        <w:t>(000 1 12 01000 01 0000 120)</w:t>
      </w:r>
    </w:p>
    <w:p w:rsidR="00935C40" w:rsidRDefault="00935C40" w:rsidP="00935C40">
      <w:pPr>
        <w:pStyle w:val="21"/>
      </w:pPr>
      <w:r w:rsidRPr="008B25BF">
        <w:rPr>
          <w:snapToGrid w:val="0"/>
        </w:rPr>
        <w:t xml:space="preserve">Главным администратором доходов по плате за негативное воздействие на окружающую среду является </w:t>
      </w:r>
      <w:r w:rsidRPr="008B25BF">
        <w:t>Федеральная служба по надзору в сфере природопользования (</w:t>
      </w:r>
      <w:r>
        <w:t>Верхне-Волжское межрегиональное управление Федеральной службы по надзору в сфере природопользования</w:t>
      </w:r>
      <w:r w:rsidRPr="008B25BF">
        <w:t>).</w:t>
      </w:r>
      <w:r>
        <w:t xml:space="preserve"> </w:t>
      </w:r>
      <w:r w:rsidRPr="00BF48F1">
        <w:t>Расчет прогноза на 20</w:t>
      </w:r>
      <w:r>
        <w:t>22</w:t>
      </w:r>
      <w:r w:rsidRPr="00BF48F1">
        <w:t>-20</w:t>
      </w:r>
      <w:r>
        <w:t>24 годы</w:t>
      </w:r>
      <w:r w:rsidRPr="00BF48F1">
        <w:t xml:space="preserve"> произведен </w:t>
      </w:r>
      <w:r>
        <w:t>на основании приказа от 29.09.2016  № 636 «Об утверждении методики прогнозирования поступлений доходов в бюджеты бюджетной системы Российской Федерации, администрирование которых осуществляет  Федеральная служба по надзору в сфере природопользования» с изменениями и дополнениями (далее –Методика)</w:t>
      </w:r>
      <w:r w:rsidRPr="00482FA4">
        <w:rPr>
          <w:rFonts w:eastAsia="Calibri"/>
        </w:rPr>
        <w:t xml:space="preserve"> </w:t>
      </w:r>
      <w:r w:rsidRPr="00BF48F1">
        <w:t xml:space="preserve"> </w:t>
      </w:r>
      <w:r>
        <w:t>и в соответствии с приказом Росприроднадзора от 19.04.2017 №188 «Об утверждении Методических рекомендаций по администрированию Федеральной службой по надзору в сфере природопользования и ее территориальными органами доходов бюджетов бюджетной системы Российской Федерации».</w:t>
      </w:r>
    </w:p>
    <w:p w:rsidR="00935C40" w:rsidRDefault="00935C40" w:rsidP="00935C40">
      <w:pPr>
        <w:pStyle w:val="21"/>
      </w:pPr>
      <w:r w:rsidRPr="00C50BE2">
        <w:t>В соответствии с Методикой для прогнозирования доходов от платы используется метод индексации, основанный на использовании среднего объема начислений по плате за негативное воздействие на окружающую среду за предшествующие периоды, не менее чем за 3 года.</w:t>
      </w:r>
    </w:p>
    <w:p w:rsidR="00935C40" w:rsidRPr="00FE2B4E" w:rsidRDefault="00935C40" w:rsidP="00935C40">
      <w:pPr>
        <w:suppressAutoHyphens/>
        <w:ind w:firstLine="708"/>
        <w:jc w:val="both"/>
        <w:rPr>
          <w:color w:val="000000"/>
          <w:sz w:val="28"/>
          <w:szCs w:val="28"/>
        </w:rPr>
      </w:pPr>
      <w:r>
        <w:rPr>
          <w:sz w:val="28"/>
          <w:szCs w:val="28"/>
        </w:rPr>
        <w:t xml:space="preserve">Ожидаемая оценка поступлений платы на </w:t>
      </w:r>
      <w:r w:rsidRPr="00C50BE2">
        <w:rPr>
          <w:sz w:val="28"/>
          <w:szCs w:val="28"/>
        </w:rPr>
        <w:t>20</w:t>
      </w:r>
      <w:r>
        <w:rPr>
          <w:sz w:val="28"/>
          <w:szCs w:val="28"/>
        </w:rPr>
        <w:t xml:space="preserve">21 </w:t>
      </w:r>
      <w:r w:rsidRPr="00C50BE2">
        <w:rPr>
          <w:sz w:val="28"/>
          <w:szCs w:val="28"/>
        </w:rPr>
        <w:t>год рассчитыва</w:t>
      </w:r>
      <w:r>
        <w:rPr>
          <w:sz w:val="28"/>
          <w:szCs w:val="28"/>
        </w:rPr>
        <w:t>е</w:t>
      </w:r>
      <w:r w:rsidRPr="00C50BE2">
        <w:rPr>
          <w:sz w:val="28"/>
          <w:szCs w:val="28"/>
        </w:rPr>
        <w:t xml:space="preserve">тся по соответствующему коду </w:t>
      </w:r>
      <w:r w:rsidRPr="00FE2B4E">
        <w:rPr>
          <w:color w:val="000000"/>
          <w:sz w:val="28"/>
          <w:szCs w:val="28"/>
        </w:rPr>
        <w:t>на основании:</w:t>
      </w:r>
    </w:p>
    <w:p w:rsidR="00935C40" w:rsidRPr="00FE2B4E" w:rsidRDefault="00935C40" w:rsidP="00935C40">
      <w:pPr>
        <w:suppressAutoHyphens/>
        <w:ind w:firstLine="708"/>
        <w:jc w:val="both"/>
        <w:rPr>
          <w:color w:val="000000"/>
          <w:sz w:val="28"/>
          <w:szCs w:val="28"/>
        </w:rPr>
      </w:pPr>
      <w:r w:rsidRPr="00FE2B4E">
        <w:rPr>
          <w:color w:val="000000"/>
          <w:sz w:val="28"/>
          <w:szCs w:val="28"/>
        </w:rPr>
        <w:t>- поступлений доходов в бюджет за 20</w:t>
      </w:r>
      <w:r>
        <w:rPr>
          <w:color w:val="000000"/>
          <w:sz w:val="28"/>
          <w:szCs w:val="28"/>
        </w:rPr>
        <w:t>20</w:t>
      </w:r>
      <w:r w:rsidRPr="00FE2B4E">
        <w:rPr>
          <w:color w:val="000000"/>
          <w:sz w:val="28"/>
          <w:szCs w:val="28"/>
        </w:rPr>
        <w:t xml:space="preserve"> год и </w:t>
      </w:r>
      <w:r>
        <w:rPr>
          <w:color w:val="000000"/>
          <w:sz w:val="28"/>
          <w:szCs w:val="28"/>
        </w:rPr>
        <w:t>7</w:t>
      </w:r>
      <w:r w:rsidRPr="00FE2B4E">
        <w:rPr>
          <w:color w:val="000000"/>
          <w:sz w:val="28"/>
          <w:szCs w:val="28"/>
        </w:rPr>
        <w:t xml:space="preserve"> месяцев 202</w:t>
      </w:r>
      <w:r>
        <w:rPr>
          <w:color w:val="000000"/>
          <w:sz w:val="28"/>
          <w:szCs w:val="28"/>
        </w:rPr>
        <w:t>1</w:t>
      </w:r>
      <w:r w:rsidRPr="00FE2B4E">
        <w:rPr>
          <w:color w:val="000000"/>
          <w:sz w:val="28"/>
          <w:szCs w:val="28"/>
        </w:rPr>
        <w:t xml:space="preserve"> года.</w:t>
      </w:r>
    </w:p>
    <w:p w:rsidR="00935C40" w:rsidRPr="00FE2B4E" w:rsidRDefault="00935C40" w:rsidP="00935C40">
      <w:pPr>
        <w:suppressAutoHyphens/>
        <w:ind w:firstLine="708"/>
        <w:jc w:val="both"/>
        <w:rPr>
          <w:color w:val="000000"/>
          <w:sz w:val="28"/>
          <w:szCs w:val="28"/>
        </w:rPr>
      </w:pPr>
      <w:r w:rsidRPr="00FE2B4E">
        <w:rPr>
          <w:color w:val="000000"/>
          <w:sz w:val="28"/>
          <w:szCs w:val="28"/>
        </w:rPr>
        <w:t>- обработанных писем о возврате, зачете, уточнении платежа (по КБК и ОКТМО) по излишне уплаченным денежным средствам в 201</w:t>
      </w:r>
      <w:r>
        <w:rPr>
          <w:color w:val="000000"/>
          <w:sz w:val="28"/>
          <w:szCs w:val="28"/>
        </w:rPr>
        <w:t>8</w:t>
      </w:r>
      <w:r w:rsidRPr="00FE2B4E">
        <w:rPr>
          <w:color w:val="000000"/>
          <w:sz w:val="28"/>
          <w:szCs w:val="28"/>
        </w:rPr>
        <w:t xml:space="preserve"> - 20</w:t>
      </w:r>
      <w:r>
        <w:rPr>
          <w:color w:val="000000"/>
          <w:sz w:val="28"/>
          <w:szCs w:val="28"/>
        </w:rPr>
        <w:t>20</w:t>
      </w:r>
      <w:r w:rsidRPr="00FE2B4E">
        <w:rPr>
          <w:color w:val="000000"/>
          <w:sz w:val="28"/>
          <w:szCs w:val="28"/>
        </w:rPr>
        <w:t xml:space="preserve"> гг.;</w:t>
      </w:r>
    </w:p>
    <w:p w:rsidR="00935C40" w:rsidRPr="002E6FAC" w:rsidRDefault="00935C40" w:rsidP="00935C40">
      <w:pPr>
        <w:suppressAutoHyphens/>
        <w:ind w:firstLine="708"/>
        <w:jc w:val="both"/>
        <w:rPr>
          <w:color w:val="000000"/>
          <w:sz w:val="28"/>
          <w:szCs w:val="28"/>
        </w:rPr>
      </w:pPr>
      <w:r w:rsidRPr="00FE2B4E">
        <w:rPr>
          <w:color w:val="000000"/>
          <w:sz w:val="28"/>
          <w:szCs w:val="28"/>
        </w:rPr>
        <w:t>- обработанных Деклараций по плате за НВОС за 201</w:t>
      </w:r>
      <w:r>
        <w:rPr>
          <w:color w:val="000000"/>
          <w:sz w:val="28"/>
          <w:szCs w:val="28"/>
        </w:rPr>
        <w:t>8</w:t>
      </w:r>
      <w:r w:rsidRPr="00FE2B4E">
        <w:rPr>
          <w:color w:val="000000"/>
          <w:sz w:val="28"/>
          <w:szCs w:val="28"/>
        </w:rPr>
        <w:t xml:space="preserve"> и за 20</w:t>
      </w:r>
      <w:r>
        <w:rPr>
          <w:color w:val="000000"/>
          <w:sz w:val="28"/>
          <w:szCs w:val="28"/>
        </w:rPr>
        <w:t>20 год</w:t>
      </w:r>
      <w:r w:rsidRPr="002E6FAC">
        <w:rPr>
          <w:color w:val="000000"/>
          <w:sz w:val="28"/>
          <w:szCs w:val="28"/>
        </w:rPr>
        <w:t>.</w:t>
      </w:r>
    </w:p>
    <w:p w:rsidR="00935C40" w:rsidRPr="00C50BE2" w:rsidRDefault="00935C40" w:rsidP="00935C40">
      <w:pPr>
        <w:autoSpaceDE w:val="0"/>
        <w:autoSpaceDN w:val="0"/>
        <w:adjustRightInd w:val="0"/>
        <w:spacing w:before="100" w:beforeAutospacing="1" w:after="100" w:afterAutospacing="1"/>
        <w:ind w:firstLine="851"/>
        <w:contextualSpacing/>
        <w:jc w:val="both"/>
        <w:rPr>
          <w:sz w:val="28"/>
          <w:szCs w:val="28"/>
        </w:rPr>
      </w:pPr>
      <w:r w:rsidRPr="00C50BE2">
        <w:rPr>
          <w:sz w:val="28"/>
          <w:szCs w:val="28"/>
        </w:rPr>
        <w:t>Прогнозные поступления от платы в очередном году (20</w:t>
      </w:r>
      <w:r>
        <w:rPr>
          <w:sz w:val="28"/>
          <w:szCs w:val="28"/>
        </w:rPr>
        <w:t>2</w:t>
      </w:r>
      <w:r w:rsidRPr="002E6FAC">
        <w:rPr>
          <w:sz w:val="28"/>
          <w:szCs w:val="28"/>
        </w:rPr>
        <w:t>2</w:t>
      </w:r>
      <w:r w:rsidRPr="00C50BE2">
        <w:rPr>
          <w:sz w:val="28"/>
          <w:szCs w:val="28"/>
        </w:rPr>
        <w:t xml:space="preserve"> год) рассчитываются по соответствующему коду по следующей формуле:</w:t>
      </w:r>
    </w:p>
    <w:p w:rsidR="00935C40" w:rsidRPr="00C50BE2" w:rsidRDefault="00935C40" w:rsidP="00935C40">
      <w:pPr>
        <w:autoSpaceDE w:val="0"/>
        <w:autoSpaceDN w:val="0"/>
        <w:adjustRightInd w:val="0"/>
        <w:ind w:firstLine="851"/>
        <w:jc w:val="both"/>
        <w:rPr>
          <w:sz w:val="28"/>
          <w:szCs w:val="28"/>
        </w:rPr>
      </w:pPr>
      <w:r w:rsidRPr="00C50BE2">
        <w:rPr>
          <w:sz w:val="28"/>
          <w:szCs w:val="28"/>
        </w:rPr>
        <w:t xml:space="preserve">П = </w:t>
      </w:r>
      <w:r>
        <w:rPr>
          <w:sz w:val="28"/>
          <w:szCs w:val="28"/>
        </w:rPr>
        <w:t>(</w:t>
      </w:r>
      <w:r w:rsidRPr="00C50BE2">
        <w:rPr>
          <w:sz w:val="28"/>
          <w:szCs w:val="28"/>
        </w:rPr>
        <w:t xml:space="preserve">Об </w:t>
      </w:r>
      <w:r>
        <w:rPr>
          <w:sz w:val="28"/>
          <w:szCs w:val="28"/>
        </w:rPr>
        <w:t>-/+К)</w:t>
      </w:r>
      <w:r w:rsidRPr="00C50BE2">
        <w:rPr>
          <w:sz w:val="28"/>
          <w:szCs w:val="28"/>
        </w:rPr>
        <w:t>* И</w:t>
      </w:r>
      <w:r>
        <w:rPr>
          <w:sz w:val="28"/>
          <w:szCs w:val="28"/>
        </w:rPr>
        <w:t>т</w:t>
      </w:r>
      <w:r w:rsidRPr="00C50BE2">
        <w:rPr>
          <w:sz w:val="28"/>
          <w:szCs w:val="28"/>
        </w:rPr>
        <w:t>, где,</w:t>
      </w:r>
    </w:p>
    <w:p w:rsidR="00935C40" w:rsidRDefault="00935C40" w:rsidP="00935C40">
      <w:pPr>
        <w:autoSpaceDE w:val="0"/>
        <w:autoSpaceDN w:val="0"/>
        <w:adjustRightInd w:val="0"/>
        <w:ind w:firstLine="851"/>
        <w:jc w:val="both"/>
        <w:rPr>
          <w:sz w:val="28"/>
          <w:szCs w:val="28"/>
        </w:rPr>
      </w:pPr>
      <w:r w:rsidRPr="00C50BE2">
        <w:rPr>
          <w:sz w:val="28"/>
          <w:szCs w:val="28"/>
        </w:rPr>
        <w:t>Об – средний объем начислений по плате за негативное воздействие на окружающую среду за предшествующие периоды, не менее чем за 3 года;</w:t>
      </w:r>
    </w:p>
    <w:p w:rsidR="00935C40" w:rsidRDefault="00935C40" w:rsidP="00935C40">
      <w:pPr>
        <w:autoSpaceDE w:val="0"/>
        <w:autoSpaceDN w:val="0"/>
        <w:adjustRightInd w:val="0"/>
        <w:ind w:firstLine="851"/>
        <w:jc w:val="both"/>
        <w:rPr>
          <w:sz w:val="28"/>
          <w:szCs w:val="28"/>
        </w:rPr>
      </w:pPr>
      <w:r w:rsidRPr="00C50BE2">
        <w:rPr>
          <w:sz w:val="28"/>
          <w:szCs w:val="28"/>
        </w:rPr>
        <w:t>Ит – индекс потребительских цен, установленный Минэкономразвития России</w:t>
      </w:r>
      <w:r>
        <w:rPr>
          <w:sz w:val="28"/>
          <w:szCs w:val="28"/>
        </w:rPr>
        <w:t xml:space="preserve"> на очередной финансовый год</w:t>
      </w:r>
      <w:r w:rsidRPr="00C50BE2">
        <w:rPr>
          <w:sz w:val="28"/>
          <w:szCs w:val="28"/>
        </w:rPr>
        <w:t>.</w:t>
      </w:r>
    </w:p>
    <w:p w:rsidR="00935C40" w:rsidRDefault="00935C40" w:rsidP="00935C40">
      <w:pPr>
        <w:autoSpaceDE w:val="0"/>
        <w:autoSpaceDN w:val="0"/>
        <w:adjustRightInd w:val="0"/>
        <w:ind w:firstLine="851"/>
        <w:jc w:val="both"/>
        <w:rPr>
          <w:sz w:val="28"/>
          <w:szCs w:val="28"/>
        </w:rPr>
      </w:pPr>
      <w:r>
        <w:rPr>
          <w:sz w:val="28"/>
          <w:szCs w:val="28"/>
        </w:rPr>
        <w:t>К - корректирующая сумма поступлений, учитывающая изменения законодательства и другие факторы, влияющие на объем прогнозируемых доходов.</w:t>
      </w:r>
    </w:p>
    <w:p w:rsidR="00935C40" w:rsidRPr="00C50BE2" w:rsidRDefault="00935C40" w:rsidP="00935C40">
      <w:pPr>
        <w:autoSpaceDE w:val="0"/>
        <w:autoSpaceDN w:val="0"/>
        <w:adjustRightInd w:val="0"/>
        <w:ind w:firstLine="851"/>
        <w:jc w:val="both"/>
        <w:rPr>
          <w:sz w:val="28"/>
          <w:szCs w:val="28"/>
        </w:rPr>
      </w:pPr>
      <w:r w:rsidRPr="00C50BE2">
        <w:rPr>
          <w:sz w:val="28"/>
          <w:szCs w:val="28"/>
        </w:rPr>
        <w:t xml:space="preserve">Прогнозные поступления от платы </w:t>
      </w:r>
      <w:r>
        <w:rPr>
          <w:sz w:val="28"/>
          <w:szCs w:val="28"/>
        </w:rPr>
        <w:t>на первый год</w:t>
      </w:r>
      <w:r w:rsidRPr="00C50BE2">
        <w:rPr>
          <w:sz w:val="28"/>
          <w:szCs w:val="28"/>
        </w:rPr>
        <w:t xml:space="preserve"> </w:t>
      </w:r>
      <w:r>
        <w:rPr>
          <w:sz w:val="28"/>
          <w:szCs w:val="28"/>
        </w:rPr>
        <w:t>планового периода</w:t>
      </w:r>
      <w:r w:rsidRPr="00C50BE2">
        <w:rPr>
          <w:sz w:val="28"/>
          <w:szCs w:val="28"/>
        </w:rPr>
        <w:t xml:space="preserve"> (20</w:t>
      </w:r>
      <w:r>
        <w:rPr>
          <w:sz w:val="28"/>
          <w:szCs w:val="28"/>
        </w:rPr>
        <w:t>2</w:t>
      </w:r>
      <w:r w:rsidRPr="002E6FAC">
        <w:rPr>
          <w:sz w:val="28"/>
          <w:szCs w:val="28"/>
        </w:rPr>
        <w:t>3</w:t>
      </w:r>
      <w:r w:rsidRPr="00C50BE2">
        <w:rPr>
          <w:sz w:val="28"/>
          <w:szCs w:val="28"/>
        </w:rPr>
        <w:t xml:space="preserve"> год) рассчитываются по соответствующему коду по следующей формуле:</w:t>
      </w:r>
    </w:p>
    <w:p w:rsidR="00935C40" w:rsidRPr="00C50BE2" w:rsidRDefault="00935C40" w:rsidP="00935C40">
      <w:pPr>
        <w:autoSpaceDE w:val="0"/>
        <w:autoSpaceDN w:val="0"/>
        <w:adjustRightInd w:val="0"/>
        <w:ind w:firstLine="851"/>
        <w:jc w:val="both"/>
        <w:rPr>
          <w:sz w:val="28"/>
          <w:szCs w:val="28"/>
        </w:rPr>
      </w:pPr>
      <w:r w:rsidRPr="00C50BE2">
        <w:rPr>
          <w:sz w:val="28"/>
          <w:szCs w:val="28"/>
        </w:rPr>
        <w:lastRenderedPageBreak/>
        <w:t xml:space="preserve">П = </w:t>
      </w:r>
      <w:r>
        <w:rPr>
          <w:sz w:val="28"/>
          <w:szCs w:val="28"/>
        </w:rPr>
        <w:t>(</w:t>
      </w:r>
      <w:r w:rsidRPr="00C50BE2">
        <w:rPr>
          <w:sz w:val="28"/>
          <w:szCs w:val="28"/>
        </w:rPr>
        <w:t xml:space="preserve">Об </w:t>
      </w:r>
      <w:r>
        <w:rPr>
          <w:sz w:val="28"/>
          <w:szCs w:val="28"/>
        </w:rPr>
        <w:t>-/+К)</w:t>
      </w:r>
      <w:r w:rsidRPr="00C50BE2">
        <w:rPr>
          <w:sz w:val="28"/>
          <w:szCs w:val="28"/>
        </w:rPr>
        <w:t>* И</w:t>
      </w:r>
      <w:r>
        <w:rPr>
          <w:sz w:val="28"/>
          <w:szCs w:val="28"/>
        </w:rPr>
        <w:t>т* Ио</w:t>
      </w:r>
      <w:r w:rsidRPr="00C50BE2">
        <w:rPr>
          <w:sz w:val="28"/>
          <w:szCs w:val="28"/>
        </w:rPr>
        <w:t>, где,</w:t>
      </w:r>
    </w:p>
    <w:p w:rsidR="00935C40" w:rsidRDefault="00935C40" w:rsidP="00935C40">
      <w:pPr>
        <w:autoSpaceDE w:val="0"/>
        <w:autoSpaceDN w:val="0"/>
        <w:adjustRightInd w:val="0"/>
        <w:ind w:firstLine="851"/>
        <w:jc w:val="both"/>
        <w:rPr>
          <w:sz w:val="28"/>
          <w:szCs w:val="28"/>
        </w:rPr>
      </w:pPr>
      <w:r w:rsidRPr="00C50BE2">
        <w:rPr>
          <w:sz w:val="28"/>
          <w:szCs w:val="28"/>
        </w:rPr>
        <w:t>Об – средний объем начислений по плате за негативное воздействие на окружающую среду за предшествующие периоды, не менее чем за 3 года;</w:t>
      </w:r>
    </w:p>
    <w:p w:rsidR="00935C40" w:rsidRDefault="00935C40" w:rsidP="00935C40">
      <w:pPr>
        <w:autoSpaceDE w:val="0"/>
        <w:autoSpaceDN w:val="0"/>
        <w:adjustRightInd w:val="0"/>
        <w:ind w:firstLine="851"/>
        <w:jc w:val="both"/>
        <w:rPr>
          <w:sz w:val="28"/>
          <w:szCs w:val="28"/>
        </w:rPr>
      </w:pPr>
      <w:r>
        <w:rPr>
          <w:sz w:val="28"/>
          <w:szCs w:val="28"/>
        </w:rPr>
        <w:t>К - корректирующая сумма поступлений, учитывающая изменения законодательства и другие факторы, влияющие на объем прогнозируемых доходов.</w:t>
      </w:r>
    </w:p>
    <w:p w:rsidR="00935C40" w:rsidRDefault="00935C40" w:rsidP="00935C40">
      <w:pPr>
        <w:autoSpaceDE w:val="0"/>
        <w:autoSpaceDN w:val="0"/>
        <w:adjustRightInd w:val="0"/>
        <w:ind w:firstLine="851"/>
        <w:jc w:val="both"/>
        <w:rPr>
          <w:sz w:val="28"/>
          <w:szCs w:val="28"/>
        </w:rPr>
      </w:pPr>
      <w:r w:rsidRPr="00C50BE2">
        <w:rPr>
          <w:sz w:val="28"/>
          <w:szCs w:val="28"/>
        </w:rPr>
        <w:t>Ит – индекс потребительских цен, установленный Минэкономразвития России</w:t>
      </w:r>
      <w:r>
        <w:rPr>
          <w:sz w:val="28"/>
          <w:szCs w:val="28"/>
        </w:rPr>
        <w:t xml:space="preserve"> на очередной финансовый год</w:t>
      </w:r>
      <w:r w:rsidRPr="00C50BE2">
        <w:rPr>
          <w:sz w:val="28"/>
          <w:szCs w:val="28"/>
        </w:rPr>
        <w:t>.</w:t>
      </w:r>
    </w:p>
    <w:p w:rsidR="00935C40" w:rsidRDefault="00935C40" w:rsidP="00935C40">
      <w:pPr>
        <w:autoSpaceDE w:val="0"/>
        <w:autoSpaceDN w:val="0"/>
        <w:adjustRightInd w:val="0"/>
        <w:ind w:firstLine="851"/>
        <w:jc w:val="both"/>
        <w:rPr>
          <w:sz w:val="28"/>
          <w:szCs w:val="28"/>
        </w:rPr>
      </w:pPr>
      <w:r w:rsidRPr="00C50BE2">
        <w:rPr>
          <w:sz w:val="28"/>
          <w:szCs w:val="28"/>
        </w:rPr>
        <w:t>И</w:t>
      </w:r>
      <w:r>
        <w:rPr>
          <w:sz w:val="28"/>
          <w:szCs w:val="28"/>
        </w:rPr>
        <w:t>о</w:t>
      </w:r>
      <w:r w:rsidRPr="00C50BE2">
        <w:rPr>
          <w:sz w:val="28"/>
          <w:szCs w:val="28"/>
        </w:rPr>
        <w:t xml:space="preserve"> – индекс потребительских цен, установленный Минэкономразвития России</w:t>
      </w:r>
      <w:r>
        <w:rPr>
          <w:sz w:val="28"/>
          <w:szCs w:val="28"/>
        </w:rPr>
        <w:t xml:space="preserve"> на первый год планового периода</w:t>
      </w:r>
      <w:r w:rsidRPr="00C50BE2">
        <w:rPr>
          <w:sz w:val="28"/>
          <w:szCs w:val="28"/>
        </w:rPr>
        <w:t>.</w:t>
      </w:r>
    </w:p>
    <w:p w:rsidR="00935C40" w:rsidRPr="00C50BE2" w:rsidRDefault="00935C40" w:rsidP="00935C40">
      <w:pPr>
        <w:autoSpaceDE w:val="0"/>
        <w:autoSpaceDN w:val="0"/>
        <w:adjustRightInd w:val="0"/>
        <w:ind w:firstLine="851"/>
        <w:jc w:val="both"/>
        <w:rPr>
          <w:sz w:val="28"/>
          <w:szCs w:val="28"/>
        </w:rPr>
      </w:pPr>
      <w:r w:rsidRPr="00C50BE2">
        <w:rPr>
          <w:sz w:val="28"/>
          <w:szCs w:val="28"/>
        </w:rPr>
        <w:t xml:space="preserve">Прогнозные поступления от платы </w:t>
      </w:r>
      <w:r>
        <w:rPr>
          <w:sz w:val="28"/>
          <w:szCs w:val="28"/>
        </w:rPr>
        <w:t>на второй год</w:t>
      </w:r>
      <w:r w:rsidRPr="00C50BE2">
        <w:rPr>
          <w:sz w:val="28"/>
          <w:szCs w:val="28"/>
        </w:rPr>
        <w:t xml:space="preserve"> </w:t>
      </w:r>
      <w:r>
        <w:rPr>
          <w:sz w:val="28"/>
          <w:szCs w:val="28"/>
        </w:rPr>
        <w:t>планового периода</w:t>
      </w:r>
      <w:r w:rsidRPr="00C50BE2">
        <w:rPr>
          <w:sz w:val="28"/>
          <w:szCs w:val="28"/>
        </w:rPr>
        <w:t xml:space="preserve"> (20</w:t>
      </w:r>
      <w:r w:rsidRPr="003E74EB">
        <w:rPr>
          <w:sz w:val="28"/>
          <w:szCs w:val="28"/>
        </w:rPr>
        <w:t>24</w:t>
      </w:r>
      <w:r w:rsidRPr="00C50BE2">
        <w:rPr>
          <w:sz w:val="28"/>
          <w:szCs w:val="28"/>
        </w:rPr>
        <w:t xml:space="preserve"> год) рассчитываются по соответствующему коду по следующей формуле:</w:t>
      </w:r>
    </w:p>
    <w:p w:rsidR="00935C40" w:rsidRPr="00C50BE2" w:rsidRDefault="00935C40" w:rsidP="00935C40">
      <w:pPr>
        <w:autoSpaceDE w:val="0"/>
        <w:autoSpaceDN w:val="0"/>
        <w:adjustRightInd w:val="0"/>
        <w:ind w:firstLine="851"/>
        <w:jc w:val="both"/>
        <w:rPr>
          <w:sz w:val="28"/>
          <w:szCs w:val="28"/>
        </w:rPr>
      </w:pPr>
      <w:r w:rsidRPr="00C50BE2">
        <w:rPr>
          <w:sz w:val="28"/>
          <w:szCs w:val="28"/>
        </w:rPr>
        <w:t xml:space="preserve">П = </w:t>
      </w:r>
      <w:r>
        <w:rPr>
          <w:sz w:val="28"/>
          <w:szCs w:val="28"/>
        </w:rPr>
        <w:t>(</w:t>
      </w:r>
      <w:r w:rsidRPr="00C50BE2">
        <w:rPr>
          <w:sz w:val="28"/>
          <w:szCs w:val="28"/>
        </w:rPr>
        <w:t xml:space="preserve">Об </w:t>
      </w:r>
      <w:r>
        <w:rPr>
          <w:sz w:val="28"/>
          <w:szCs w:val="28"/>
        </w:rPr>
        <w:t>-/+К)</w:t>
      </w:r>
      <w:r w:rsidRPr="00C50BE2">
        <w:rPr>
          <w:sz w:val="28"/>
          <w:szCs w:val="28"/>
        </w:rPr>
        <w:t>* И</w:t>
      </w:r>
      <w:r>
        <w:rPr>
          <w:sz w:val="28"/>
          <w:szCs w:val="28"/>
        </w:rPr>
        <w:t>т* Ио* И1гпл</w:t>
      </w:r>
      <w:r w:rsidRPr="00C50BE2">
        <w:rPr>
          <w:sz w:val="28"/>
          <w:szCs w:val="28"/>
        </w:rPr>
        <w:t>, где,</w:t>
      </w:r>
    </w:p>
    <w:p w:rsidR="00935C40" w:rsidRDefault="00935C40" w:rsidP="00935C40">
      <w:pPr>
        <w:autoSpaceDE w:val="0"/>
        <w:autoSpaceDN w:val="0"/>
        <w:adjustRightInd w:val="0"/>
        <w:ind w:firstLine="851"/>
        <w:jc w:val="both"/>
        <w:rPr>
          <w:sz w:val="28"/>
          <w:szCs w:val="28"/>
        </w:rPr>
      </w:pPr>
      <w:r w:rsidRPr="00C50BE2">
        <w:rPr>
          <w:sz w:val="28"/>
          <w:szCs w:val="28"/>
        </w:rPr>
        <w:t>Об – средний объем начислений по плате за негативное воздействие на окружающую среду за предшествующие периоды, не менее чем за 3 года;</w:t>
      </w:r>
    </w:p>
    <w:p w:rsidR="00935C40" w:rsidRDefault="00935C40" w:rsidP="00935C40">
      <w:pPr>
        <w:autoSpaceDE w:val="0"/>
        <w:autoSpaceDN w:val="0"/>
        <w:adjustRightInd w:val="0"/>
        <w:ind w:firstLine="851"/>
        <w:jc w:val="both"/>
        <w:rPr>
          <w:sz w:val="28"/>
          <w:szCs w:val="28"/>
        </w:rPr>
      </w:pPr>
      <w:r>
        <w:rPr>
          <w:sz w:val="28"/>
          <w:szCs w:val="28"/>
        </w:rPr>
        <w:t>К - корректирующая сумма поступлений, учитывающая изменения законодательства и другие факторы, влияющие на объем прогнозируемых доходов.</w:t>
      </w:r>
    </w:p>
    <w:p w:rsidR="00935C40" w:rsidRDefault="00935C40" w:rsidP="00935C40">
      <w:pPr>
        <w:autoSpaceDE w:val="0"/>
        <w:autoSpaceDN w:val="0"/>
        <w:adjustRightInd w:val="0"/>
        <w:ind w:firstLine="851"/>
        <w:jc w:val="both"/>
        <w:rPr>
          <w:sz w:val="28"/>
          <w:szCs w:val="28"/>
        </w:rPr>
      </w:pPr>
      <w:r w:rsidRPr="00C50BE2">
        <w:rPr>
          <w:sz w:val="28"/>
          <w:szCs w:val="28"/>
        </w:rPr>
        <w:t>Ит – индекс потребительских цен, установленный Минэкономразвития России</w:t>
      </w:r>
      <w:r>
        <w:rPr>
          <w:sz w:val="28"/>
          <w:szCs w:val="28"/>
        </w:rPr>
        <w:t xml:space="preserve"> на очередной финансовый год</w:t>
      </w:r>
      <w:r w:rsidRPr="00C50BE2">
        <w:rPr>
          <w:sz w:val="28"/>
          <w:szCs w:val="28"/>
        </w:rPr>
        <w:t>.</w:t>
      </w:r>
    </w:p>
    <w:p w:rsidR="00935C40" w:rsidRDefault="00935C40" w:rsidP="00935C40">
      <w:pPr>
        <w:autoSpaceDE w:val="0"/>
        <w:autoSpaceDN w:val="0"/>
        <w:adjustRightInd w:val="0"/>
        <w:ind w:firstLine="851"/>
        <w:jc w:val="both"/>
        <w:rPr>
          <w:sz w:val="28"/>
          <w:szCs w:val="28"/>
        </w:rPr>
      </w:pPr>
      <w:r w:rsidRPr="00C50BE2">
        <w:rPr>
          <w:sz w:val="28"/>
          <w:szCs w:val="28"/>
        </w:rPr>
        <w:t>И</w:t>
      </w:r>
      <w:r>
        <w:rPr>
          <w:sz w:val="28"/>
          <w:szCs w:val="28"/>
        </w:rPr>
        <w:t>о</w:t>
      </w:r>
      <w:r w:rsidRPr="00C50BE2">
        <w:rPr>
          <w:sz w:val="28"/>
          <w:szCs w:val="28"/>
        </w:rPr>
        <w:t xml:space="preserve"> – индекс потребительских цен, установленный Минэкономразвития России</w:t>
      </w:r>
      <w:r>
        <w:rPr>
          <w:sz w:val="28"/>
          <w:szCs w:val="28"/>
        </w:rPr>
        <w:t xml:space="preserve"> на первый год планового периода</w:t>
      </w:r>
      <w:r w:rsidRPr="00C50BE2">
        <w:rPr>
          <w:sz w:val="28"/>
          <w:szCs w:val="28"/>
        </w:rPr>
        <w:t>.</w:t>
      </w:r>
    </w:p>
    <w:p w:rsidR="00935C40" w:rsidRDefault="00935C40" w:rsidP="00935C40">
      <w:pPr>
        <w:autoSpaceDE w:val="0"/>
        <w:autoSpaceDN w:val="0"/>
        <w:adjustRightInd w:val="0"/>
        <w:ind w:firstLine="851"/>
        <w:jc w:val="both"/>
        <w:rPr>
          <w:sz w:val="28"/>
          <w:szCs w:val="28"/>
        </w:rPr>
      </w:pPr>
      <w:r w:rsidRPr="00C50BE2">
        <w:rPr>
          <w:sz w:val="28"/>
          <w:szCs w:val="28"/>
        </w:rPr>
        <w:t>И</w:t>
      </w:r>
      <w:r>
        <w:rPr>
          <w:sz w:val="28"/>
          <w:szCs w:val="28"/>
        </w:rPr>
        <w:t xml:space="preserve">1гпл </w:t>
      </w:r>
      <w:r w:rsidRPr="00C50BE2">
        <w:rPr>
          <w:sz w:val="28"/>
          <w:szCs w:val="28"/>
        </w:rPr>
        <w:t>– индекс потребительских цен, установленный Минэкономразвития России</w:t>
      </w:r>
      <w:r>
        <w:rPr>
          <w:sz w:val="28"/>
          <w:szCs w:val="28"/>
        </w:rPr>
        <w:t xml:space="preserve"> на второй год планового периода</w:t>
      </w:r>
      <w:r w:rsidRPr="00C50BE2">
        <w:rPr>
          <w:sz w:val="28"/>
          <w:szCs w:val="28"/>
        </w:rPr>
        <w:t>.</w:t>
      </w:r>
    </w:p>
    <w:p w:rsidR="00935C40" w:rsidRDefault="00935C40" w:rsidP="00935C40">
      <w:pPr>
        <w:autoSpaceDE w:val="0"/>
        <w:autoSpaceDN w:val="0"/>
        <w:adjustRightInd w:val="0"/>
        <w:ind w:firstLine="851"/>
        <w:jc w:val="both"/>
        <w:rPr>
          <w:sz w:val="28"/>
          <w:szCs w:val="28"/>
        </w:rPr>
      </w:pPr>
      <w:r>
        <w:rPr>
          <w:sz w:val="28"/>
          <w:szCs w:val="28"/>
        </w:rPr>
        <w:t>Необходимо отметить, что в качестве начислений по плате за негативное воздействие на окружающую среду за предшествующие периоды приняты фактические поступления платы в областной и местный бюджеты муниципальных образований Тверской области за 201</w:t>
      </w:r>
      <w:r w:rsidRPr="003E74EB">
        <w:rPr>
          <w:sz w:val="28"/>
          <w:szCs w:val="28"/>
        </w:rPr>
        <w:t>8</w:t>
      </w:r>
      <w:r>
        <w:rPr>
          <w:sz w:val="28"/>
          <w:szCs w:val="28"/>
        </w:rPr>
        <w:t>-20</w:t>
      </w:r>
      <w:r w:rsidRPr="003E74EB">
        <w:rPr>
          <w:sz w:val="28"/>
          <w:szCs w:val="28"/>
        </w:rPr>
        <w:t>20</w:t>
      </w:r>
      <w:r>
        <w:rPr>
          <w:sz w:val="28"/>
          <w:szCs w:val="28"/>
        </w:rPr>
        <w:t xml:space="preserve"> годы. </w:t>
      </w:r>
    </w:p>
    <w:p w:rsidR="00935C40" w:rsidRDefault="00935C40" w:rsidP="00935C40">
      <w:pPr>
        <w:autoSpaceDE w:val="0"/>
        <w:autoSpaceDN w:val="0"/>
        <w:adjustRightInd w:val="0"/>
        <w:ind w:firstLine="851"/>
        <w:jc w:val="both"/>
        <w:rPr>
          <w:sz w:val="28"/>
          <w:szCs w:val="28"/>
        </w:rPr>
      </w:pPr>
      <w:r>
        <w:rPr>
          <w:sz w:val="28"/>
          <w:szCs w:val="28"/>
        </w:rPr>
        <w:t xml:space="preserve">Индексы  потребительских цен, установленные Минэкономразвития России, применяемые при расчете прогнозных данных </w:t>
      </w:r>
      <w:r w:rsidRPr="00C50BE2">
        <w:rPr>
          <w:sz w:val="28"/>
          <w:szCs w:val="28"/>
        </w:rPr>
        <w:t>по плате за негативное воздействие на окружающую среду</w:t>
      </w:r>
      <w:r>
        <w:rPr>
          <w:sz w:val="28"/>
          <w:szCs w:val="28"/>
        </w:rPr>
        <w:t>, составили соответственно в 2021г.- 103,7%, 2022 г – 104,0%, 2023 г-104,0%, 2024 г -104%.</w:t>
      </w:r>
    </w:p>
    <w:p w:rsidR="00935C40" w:rsidRDefault="00935C40" w:rsidP="00935C40">
      <w:pPr>
        <w:autoSpaceDE w:val="0"/>
        <w:autoSpaceDN w:val="0"/>
        <w:adjustRightInd w:val="0"/>
        <w:ind w:firstLine="709"/>
        <w:jc w:val="both"/>
        <w:rPr>
          <w:sz w:val="28"/>
          <w:szCs w:val="28"/>
        </w:rPr>
      </w:pPr>
      <w:r>
        <w:rPr>
          <w:sz w:val="28"/>
          <w:szCs w:val="28"/>
        </w:rPr>
        <w:t>На основании постановления Правительства РФ от 11.09.2020 № 1393</w:t>
      </w:r>
    </w:p>
    <w:p w:rsidR="00935C40" w:rsidRDefault="00935C40" w:rsidP="00935C40">
      <w:pPr>
        <w:autoSpaceDE w:val="0"/>
        <w:autoSpaceDN w:val="0"/>
        <w:adjustRightInd w:val="0"/>
        <w:jc w:val="both"/>
        <w:rPr>
          <w:sz w:val="28"/>
          <w:szCs w:val="28"/>
        </w:rPr>
      </w:pPr>
      <w:r>
        <w:rPr>
          <w:sz w:val="28"/>
          <w:szCs w:val="28"/>
        </w:rPr>
        <w:t xml:space="preserve">«О применении в 2021 году ставок платы за негативное воздействие на окружающую среду» в 2021 году применяются </w:t>
      </w:r>
      <w:r w:rsidRPr="00E37FC9">
        <w:rPr>
          <w:sz w:val="28"/>
          <w:szCs w:val="28"/>
        </w:rPr>
        <w:t xml:space="preserve">ставки платы за негативное воздействие на окружающую среду, утвержденные Постановлением Правительства РФ от 13.09.2016 </w:t>
      </w:r>
      <w:r>
        <w:rPr>
          <w:sz w:val="28"/>
          <w:szCs w:val="28"/>
        </w:rPr>
        <w:t>№</w:t>
      </w:r>
      <w:r w:rsidRPr="00E37FC9">
        <w:rPr>
          <w:sz w:val="28"/>
          <w:szCs w:val="28"/>
        </w:rPr>
        <w:t xml:space="preserve"> 913 </w:t>
      </w:r>
      <w:r>
        <w:rPr>
          <w:sz w:val="28"/>
          <w:szCs w:val="28"/>
        </w:rPr>
        <w:t>«</w:t>
      </w:r>
      <w:r w:rsidRPr="00E37FC9">
        <w:rPr>
          <w:sz w:val="28"/>
          <w:szCs w:val="28"/>
        </w:rPr>
        <w:t>О ставках платы за негативное воздействие на окружающую среду и дополнительных коэффициентах</w:t>
      </w:r>
      <w:r>
        <w:rPr>
          <w:sz w:val="28"/>
          <w:szCs w:val="28"/>
        </w:rPr>
        <w:t>»</w:t>
      </w:r>
      <w:r w:rsidRPr="00E37FC9">
        <w:rPr>
          <w:sz w:val="28"/>
          <w:szCs w:val="28"/>
        </w:rPr>
        <w:t>, установленные на 2018 год, с использованием дополнительно к иным коэффициентам коэффициента 1,08</w:t>
      </w:r>
      <w:r>
        <w:rPr>
          <w:sz w:val="28"/>
          <w:szCs w:val="28"/>
        </w:rPr>
        <w:t xml:space="preserve"> (применяется в расчете прогноза на 2022 год).</w:t>
      </w:r>
    </w:p>
    <w:p w:rsidR="00935C40" w:rsidRDefault="00935C40" w:rsidP="00935C40">
      <w:pPr>
        <w:ind w:firstLine="710"/>
        <w:jc w:val="both"/>
        <w:rPr>
          <w:rFonts w:eastAsia="Calibri"/>
          <w:sz w:val="28"/>
          <w:szCs w:val="28"/>
        </w:rPr>
      </w:pPr>
      <w:r w:rsidRPr="00E37FC9">
        <w:rPr>
          <w:rFonts w:eastAsia="Calibri"/>
          <w:sz w:val="28"/>
          <w:szCs w:val="28"/>
        </w:rPr>
        <w:t xml:space="preserve">В соответствии с приказом Министерства финансов Российской Федерации от 28.02.2018 №35н «О внесении изменений в Указания о порядке применения бюджетной классификации Российской Федерации, </w:t>
      </w:r>
      <w:r w:rsidRPr="00E37FC9">
        <w:rPr>
          <w:rFonts w:eastAsia="Calibri"/>
          <w:sz w:val="28"/>
          <w:szCs w:val="28"/>
        </w:rPr>
        <w:lastRenderedPageBreak/>
        <w:t xml:space="preserve">утвержденные приказом Министерства финансов Российской Федерации от 01.07.2013 № 65н»  с     01.01.2018 исключены КБК 048 1 12 01020 01 0000 120 «Плата за выбросы загрязняющих веществ в атмосферный воздух передвижными объектами»,  КБК  048 1 12 01050 01 0000 120 «Плата за иные виды негативного воздействия на окружающую среду» и дополнены кодами КБК 048 1 12 01041 01 6000 120 « Плата за размещение отходов производства», КБК 048 1 12 01042 01 6000 120 «Плата за размещение твердых коммунальных отходов». </w:t>
      </w:r>
    </w:p>
    <w:p w:rsidR="00935C40" w:rsidRPr="00C449A2" w:rsidRDefault="00935C40" w:rsidP="00935C40">
      <w:pPr>
        <w:ind w:firstLine="710"/>
        <w:jc w:val="both"/>
        <w:rPr>
          <w:rFonts w:eastAsia="Calibri"/>
          <w:sz w:val="28"/>
          <w:szCs w:val="28"/>
        </w:rPr>
      </w:pPr>
      <w:r w:rsidRPr="00C449A2">
        <w:rPr>
          <w:rFonts w:eastAsia="Calibri"/>
          <w:sz w:val="28"/>
          <w:szCs w:val="28"/>
        </w:rPr>
        <w:t>По экспертной оценке, Межрегионального управления по Тверской области количество плательщиков платы за негативное воздействие на окружающую среду по   КБК 048 1 12 01041 01 0000 120 «Плата за размещение отходов производства» составляет 20% от количества плательщиков в 2018 г, с учетом других изменений законодательства и другими факторами, влияющими на объем прогнозируемых доходов в 2021 г. – 2024г.</w:t>
      </w:r>
    </w:p>
    <w:p w:rsidR="00935C40" w:rsidRPr="00C449A2" w:rsidRDefault="00935C40" w:rsidP="00935C40">
      <w:pPr>
        <w:ind w:firstLine="710"/>
        <w:jc w:val="both"/>
        <w:rPr>
          <w:rFonts w:eastAsia="Calibri"/>
          <w:sz w:val="28"/>
        </w:rPr>
      </w:pPr>
      <w:r w:rsidRPr="00C449A2">
        <w:rPr>
          <w:rFonts w:eastAsia="Calibri"/>
          <w:sz w:val="28"/>
        </w:rPr>
        <w:t>При размещении отходов, за исключением твердых коммунальных отходов, лицами, обязанными вносить плату, являются юридические лица и индивидуальные предприниматели, при осуществлении которыми хозяйственной и (или) иной деятельности образовались отходы.</w:t>
      </w:r>
    </w:p>
    <w:p w:rsidR="00935C40" w:rsidRPr="00C449A2" w:rsidRDefault="00935C40" w:rsidP="00935C40">
      <w:pPr>
        <w:ind w:firstLine="710"/>
        <w:jc w:val="both"/>
        <w:rPr>
          <w:rFonts w:eastAsia="Calibri"/>
          <w:sz w:val="28"/>
          <w:szCs w:val="28"/>
        </w:rPr>
      </w:pPr>
      <w:r w:rsidRPr="00C449A2">
        <w:rPr>
          <w:rFonts w:eastAsia="Calibri"/>
          <w:sz w:val="28"/>
        </w:rPr>
        <w:t>При размещении твердых коммунальных отходов лицами, обязанными вносить плату, являются региональные операторы по обращению с твердыми коммунальными отходами, операторы по обращению с твердыми коммунальными отходами, осуществляющие деятельность по их размещению.</w:t>
      </w:r>
    </w:p>
    <w:p w:rsidR="00935C40" w:rsidRPr="00C449A2" w:rsidRDefault="00935C40" w:rsidP="00935C40">
      <w:pPr>
        <w:ind w:firstLine="710"/>
        <w:jc w:val="both"/>
        <w:rPr>
          <w:rFonts w:eastAsia="Calibri"/>
          <w:sz w:val="28"/>
          <w:szCs w:val="28"/>
        </w:rPr>
      </w:pPr>
      <w:r w:rsidRPr="00C449A2">
        <w:rPr>
          <w:rFonts w:eastAsia="Calibri"/>
          <w:sz w:val="28"/>
          <w:szCs w:val="28"/>
        </w:rPr>
        <w:t>Расчет платы по КБК 048 1 12 01042 01 6000 120 представлен только по районам с местонахождением объектов, используемым для обезвреживания и захоронения твердых коммунальных отходов.</w:t>
      </w:r>
    </w:p>
    <w:p w:rsidR="00935C40" w:rsidRPr="00087821" w:rsidRDefault="00935C40" w:rsidP="00935C40">
      <w:pPr>
        <w:shd w:val="clear" w:color="auto" w:fill="FFFFFF"/>
        <w:spacing w:line="269" w:lineRule="atLeast"/>
        <w:ind w:firstLine="709"/>
        <w:jc w:val="both"/>
        <w:rPr>
          <w:color w:val="000000" w:themeColor="text1"/>
          <w:sz w:val="28"/>
          <w:szCs w:val="28"/>
        </w:rPr>
      </w:pPr>
      <w:r w:rsidRPr="00087821">
        <w:rPr>
          <w:color w:val="000000" w:themeColor="text1"/>
          <w:sz w:val="28"/>
          <w:szCs w:val="28"/>
        </w:rPr>
        <w:t xml:space="preserve">Ставки платы за размещение твердых коммунальных отходов </w:t>
      </w:r>
      <w:r w:rsidRPr="00087821">
        <w:rPr>
          <w:color w:val="000000" w:themeColor="text1"/>
          <w:sz w:val="28"/>
          <w:szCs w:val="28"/>
          <w:lang w:val="en-US"/>
        </w:rPr>
        <w:t>IV</w:t>
      </w:r>
      <w:r w:rsidRPr="00087821">
        <w:rPr>
          <w:color w:val="000000" w:themeColor="text1"/>
          <w:sz w:val="28"/>
          <w:szCs w:val="28"/>
        </w:rPr>
        <w:t xml:space="preserve"> класса опасности (малоопас</w:t>
      </w:r>
      <w:r>
        <w:rPr>
          <w:color w:val="000000" w:themeColor="text1"/>
          <w:sz w:val="28"/>
          <w:szCs w:val="28"/>
        </w:rPr>
        <w:t xml:space="preserve">ные) утверждены постановлением </w:t>
      </w:r>
      <w:r w:rsidRPr="00087821">
        <w:rPr>
          <w:color w:val="000000" w:themeColor="text1"/>
          <w:sz w:val="28"/>
          <w:szCs w:val="28"/>
        </w:rPr>
        <w:t xml:space="preserve">Правительства Российской Федерации от 29.06.2018г. № 758 «О ставках платы за негативное воздействие на окружающую среду при размещении твердых коммунальных отходов </w:t>
      </w:r>
      <w:r w:rsidRPr="00087821">
        <w:rPr>
          <w:color w:val="000000" w:themeColor="text1"/>
          <w:sz w:val="28"/>
          <w:szCs w:val="28"/>
          <w:lang w:val="en-US"/>
        </w:rPr>
        <w:t>IV</w:t>
      </w:r>
      <w:r w:rsidRPr="00087821">
        <w:rPr>
          <w:color w:val="000000" w:themeColor="text1"/>
          <w:sz w:val="28"/>
          <w:szCs w:val="28"/>
        </w:rPr>
        <w:t xml:space="preserve"> класса опасности (малоопасные) и внесении изменений в некоторые акты  Правительства  Российской Федерации».</w:t>
      </w:r>
    </w:p>
    <w:p w:rsidR="00935C40" w:rsidRPr="00E37FC9" w:rsidRDefault="00935C40" w:rsidP="00935C40">
      <w:pPr>
        <w:ind w:firstLine="710"/>
        <w:jc w:val="both"/>
        <w:rPr>
          <w:rFonts w:eastAsia="Calibri"/>
          <w:sz w:val="28"/>
          <w:szCs w:val="28"/>
        </w:rPr>
      </w:pPr>
    </w:p>
    <w:p w:rsidR="00935C40" w:rsidRPr="00482FA4" w:rsidRDefault="00935C40" w:rsidP="00935C40">
      <w:pPr>
        <w:ind w:firstLine="710"/>
        <w:jc w:val="both"/>
        <w:rPr>
          <w:rFonts w:eastAsia="Calibri"/>
          <w:sz w:val="28"/>
          <w:szCs w:val="28"/>
        </w:rPr>
      </w:pPr>
      <w:r w:rsidRPr="00482FA4">
        <w:rPr>
          <w:rFonts w:eastAsia="Calibri"/>
          <w:sz w:val="28"/>
          <w:szCs w:val="28"/>
        </w:rPr>
        <w:t xml:space="preserve">В соответствии с Федеральным законом от 15.04.2019 г. № 62-ФЗ «О внесении изменений в Бюджетный кодекс Российской Федерации с 01.01.2020 изменяется норматив зачисления платы за негативное воздействие на окружающую среду в </w:t>
      </w:r>
      <w:r>
        <w:rPr>
          <w:rFonts w:eastAsia="Calibri"/>
          <w:sz w:val="28"/>
          <w:szCs w:val="28"/>
        </w:rPr>
        <w:t xml:space="preserve">бюджеты муниципальных районов, муниципальных и </w:t>
      </w:r>
      <w:r w:rsidRPr="00482FA4">
        <w:rPr>
          <w:rFonts w:eastAsia="Calibri"/>
          <w:sz w:val="28"/>
          <w:szCs w:val="28"/>
        </w:rPr>
        <w:t>городских округов и составляет 60 %</w:t>
      </w:r>
      <w:r>
        <w:rPr>
          <w:rFonts w:eastAsia="Calibri"/>
          <w:sz w:val="28"/>
          <w:szCs w:val="28"/>
        </w:rPr>
        <w:t xml:space="preserve"> (применяется повышающий коэффициент 1,0909, до </w:t>
      </w:r>
      <w:r w:rsidRPr="00482FA4">
        <w:rPr>
          <w:rFonts w:eastAsia="Calibri"/>
          <w:sz w:val="28"/>
          <w:szCs w:val="28"/>
        </w:rPr>
        <w:t>01.01.20</w:t>
      </w:r>
      <w:r>
        <w:rPr>
          <w:rFonts w:eastAsia="Calibri"/>
          <w:sz w:val="28"/>
          <w:szCs w:val="28"/>
        </w:rPr>
        <w:t>20</w:t>
      </w:r>
      <w:r w:rsidRPr="00482FA4">
        <w:rPr>
          <w:rFonts w:eastAsia="Calibri"/>
          <w:sz w:val="28"/>
          <w:szCs w:val="28"/>
        </w:rPr>
        <w:t xml:space="preserve"> норматив зачисления платы в местный бюджет 55%</w:t>
      </w:r>
      <w:r>
        <w:rPr>
          <w:rFonts w:eastAsia="Calibri"/>
          <w:sz w:val="28"/>
          <w:szCs w:val="28"/>
        </w:rPr>
        <w:t>)</w:t>
      </w:r>
      <w:r w:rsidRPr="00482FA4">
        <w:rPr>
          <w:rFonts w:eastAsia="Calibri"/>
          <w:sz w:val="28"/>
          <w:szCs w:val="28"/>
        </w:rPr>
        <w:t>.</w:t>
      </w:r>
    </w:p>
    <w:p w:rsidR="00935C40" w:rsidRDefault="00935C40" w:rsidP="00935C40">
      <w:pPr>
        <w:pStyle w:val="21"/>
        <w:rPr>
          <w:b/>
        </w:rPr>
      </w:pPr>
      <w:r w:rsidRPr="00075984">
        <w:rPr>
          <w:b/>
        </w:rPr>
        <w:t>Расчет прогноза на 20</w:t>
      </w:r>
      <w:r>
        <w:rPr>
          <w:b/>
        </w:rPr>
        <w:t>21</w:t>
      </w:r>
      <w:r w:rsidRPr="00075984">
        <w:rPr>
          <w:b/>
        </w:rPr>
        <w:t xml:space="preserve"> год по кодам бюджетной классификации (</w:t>
      </w:r>
      <w:r w:rsidRPr="00075984">
        <w:rPr>
          <w:b/>
          <w:lang w:val="en-US"/>
        </w:rPr>
        <w:t>c</w:t>
      </w:r>
      <w:r w:rsidRPr="00075984">
        <w:rPr>
          <w:b/>
        </w:rPr>
        <w:t xml:space="preserve"> учетом округлений):</w:t>
      </w:r>
    </w:p>
    <w:p w:rsidR="00935C40" w:rsidRDefault="00935C40" w:rsidP="00935C40">
      <w:pPr>
        <w:pStyle w:val="21"/>
        <w:rPr>
          <w:b/>
        </w:rPr>
      </w:pPr>
      <w:r w:rsidRPr="00CB14EB">
        <w:rPr>
          <w:b/>
        </w:rPr>
        <w:t>КБК 048 1 12 01010 01 0000 120 «Плата за выбросы загрязняющих веществ в атмосферный воздух стационарными объектами»</w:t>
      </w:r>
    </w:p>
    <w:p w:rsidR="00935C40" w:rsidRPr="007B18A5" w:rsidRDefault="00935C40" w:rsidP="00935C40">
      <w:pPr>
        <w:pStyle w:val="21"/>
        <w:rPr>
          <w:rFonts w:eastAsia="Calibri"/>
          <w:color w:val="000000"/>
        </w:rPr>
      </w:pPr>
      <w:r>
        <w:rPr>
          <w:rFonts w:eastAsia="Calibri"/>
          <w:color w:val="000000"/>
        </w:rPr>
        <w:lastRenderedPageBreak/>
        <w:t>Расчет произведен исходя из ф</w:t>
      </w:r>
      <w:r w:rsidRPr="002C1B40">
        <w:rPr>
          <w:rFonts w:eastAsia="Calibri"/>
          <w:color w:val="000000"/>
        </w:rPr>
        <w:t>актически</w:t>
      </w:r>
      <w:r>
        <w:rPr>
          <w:rFonts w:eastAsia="Calibri"/>
          <w:color w:val="000000"/>
        </w:rPr>
        <w:t>х</w:t>
      </w:r>
      <w:r w:rsidRPr="002C1B40">
        <w:rPr>
          <w:rFonts w:eastAsia="Calibri"/>
          <w:color w:val="000000"/>
        </w:rPr>
        <w:t xml:space="preserve"> поступлени</w:t>
      </w:r>
      <w:r>
        <w:rPr>
          <w:rFonts w:eastAsia="Calibri"/>
          <w:color w:val="000000"/>
        </w:rPr>
        <w:t>й</w:t>
      </w:r>
      <w:r w:rsidRPr="002C1B40">
        <w:rPr>
          <w:rFonts w:eastAsia="Calibri"/>
          <w:color w:val="000000"/>
        </w:rPr>
        <w:t xml:space="preserve"> за период с 01.01.202</w:t>
      </w:r>
      <w:r>
        <w:rPr>
          <w:rFonts w:eastAsia="Calibri"/>
          <w:color w:val="000000"/>
        </w:rPr>
        <w:t>1</w:t>
      </w:r>
      <w:r w:rsidRPr="002C1B40">
        <w:rPr>
          <w:rFonts w:eastAsia="Calibri"/>
          <w:color w:val="000000"/>
        </w:rPr>
        <w:t xml:space="preserve"> по 01.04.202</w:t>
      </w:r>
      <w:r>
        <w:rPr>
          <w:rFonts w:eastAsia="Calibri"/>
          <w:color w:val="000000"/>
        </w:rPr>
        <w:t>1</w:t>
      </w:r>
      <w:r w:rsidRPr="002C1B40">
        <w:rPr>
          <w:rFonts w:eastAsia="Calibri"/>
          <w:color w:val="000000"/>
        </w:rPr>
        <w:t xml:space="preserve">г </w:t>
      </w:r>
      <w:r>
        <w:rPr>
          <w:rFonts w:eastAsia="Calibri"/>
          <w:color w:val="000000"/>
        </w:rPr>
        <w:t>(3 765,8 тыс. руб.)</w:t>
      </w:r>
      <w:r w:rsidRPr="002C1B40">
        <w:rPr>
          <w:rFonts w:eastAsia="Calibri"/>
          <w:color w:val="000000"/>
        </w:rPr>
        <w:t xml:space="preserve"> по плате за </w:t>
      </w:r>
      <w:r>
        <w:rPr>
          <w:rFonts w:eastAsia="Calibri"/>
          <w:color w:val="000000"/>
        </w:rPr>
        <w:t>негативное воздействие на окружающую среду</w:t>
      </w:r>
      <w:r w:rsidRPr="002C1B40">
        <w:rPr>
          <w:rFonts w:eastAsia="Calibri"/>
          <w:color w:val="000000"/>
        </w:rPr>
        <w:t xml:space="preserve"> </w:t>
      </w:r>
      <w:r>
        <w:rPr>
          <w:rFonts w:eastAsia="Calibri"/>
          <w:color w:val="000000"/>
        </w:rPr>
        <w:t xml:space="preserve">с учетом 3 </w:t>
      </w:r>
      <w:r w:rsidRPr="002C1B40">
        <w:rPr>
          <w:rFonts w:eastAsia="Calibri"/>
          <w:color w:val="000000"/>
        </w:rPr>
        <w:t>авансовы</w:t>
      </w:r>
      <w:r>
        <w:rPr>
          <w:rFonts w:eastAsia="Calibri"/>
          <w:color w:val="000000"/>
        </w:rPr>
        <w:t>х</w:t>
      </w:r>
      <w:r w:rsidRPr="002C1B40">
        <w:rPr>
          <w:rFonts w:eastAsia="Calibri"/>
          <w:color w:val="000000"/>
        </w:rPr>
        <w:t xml:space="preserve"> платеж</w:t>
      </w:r>
      <w:r>
        <w:rPr>
          <w:rFonts w:eastAsia="Calibri"/>
          <w:color w:val="000000"/>
        </w:rPr>
        <w:t>ей (по срокам уплаты),</w:t>
      </w:r>
      <w:r w:rsidRPr="002C1B40">
        <w:rPr>
          <w:rFonts w:eastAsia="Calibri"/>
          <w:color w:val="000000"/>
        </w:rPr>
        <w:t xml:space="preserve"> рассчитанны</w:t>
      </w:r>
      <w:r>
        <w:rPr>
          <w:rFonts w:eastAsia="Calibri"/>
          <w:color w:val="000000"/>
        </w:rPr>
        <w:t>х</w:t>
      </w:r>
      <w:r w:rsidRPr="002C1B40">
        <w:rPr>
          <w:rFonts w:eastAsia="Calibri"/>
          <w:color w:val="000000"/>
        </w:rPr>
        <w:t xml:space="preserve"> по среднему</w:t>
      </w:r>
      <w:r>
        <w:rPr>
          <w:rFonts w:eastAsia="Calibri"/>
          <w:color w:val="000000"/>
        </w:rPr>
        <w:t xml:space="preserve"> исходя из фактических платежей за 1,2 квартал 2021 года</w:t>
      </w:r>
      <w:r w:rsidRPr="002C1B40">
        <w:rPr>
          <w:rFonts w:eastAsia="Calibri"/>
          <w:color w:val="000000"/>
        </w:rPr>
        <w:t xml:space="preserve"> </w:t>
      </w:r>
      <w:r>
        <w:rPr>
          <w:rFonts w:eastAsia="Calibri"/>
          <w:color w:val="000000"/>
        </w:rPr>
        <w:t>(1 692,5</w:t>
      </w:r>
      <w:r w:rsidRPr="002C1B40">
        <w:rPr>
          <w:rFonts w:eastAsia="Calibri"/>
          <w:color w:val="000000"/>
        </w:rPr>
        <w:t xml:space="preserve"> тыс. руб.</w:t>
      </w:r>
      <w:r>
        <w:rPr>
          <w:rFonts w:eastAsia="Calibri"/>
          <w:color w:val="000000"/>
        </w:rPr>
        <w:t>) (</w:t>
      </w:r>
      <w:r w:rsidRPr="00431B97">
        <w:rPr>
          <w:rFonts w:eastAsia="Calibri"/>
          <w:i/>
          <w:color w:val="000000"/>
        </w:rPr>
        <w:t>с учетом округления</w:t>
      </w:r>
      <w:r>
        <w:rPr>
          <w:rFonts w:eastAsia="Calibri"/>
          <w:color w:val="000000"/>
        </w:rPr>
        <w:t>).</w:t>
      </w:r>
    </w:p>
    <w:p w:rsidR="00935C40" w:rsidRPr="00FD2807" w:rsidRDefault="00935C40" w:rsidP="00935C40">
      <w:pPr>
        <w:autoSpaceDE w:val="0"/>
        <w:autoSpaceDN w:val="0"/>
        <w:adjustRightInd w:val="0"/>
        <w:ind w:firstLine="540"/>
        <w:jc w:val="both"/>
        <w:rPr>
          <w:sz w:val="28"/>
          <w:szCs w:val="28"/>
        </w:rPr>
      </w:pPr>
      <w:r>
        <w:rPr>
          <w:sz w:val="28"/>
          <w:szCs w:val="28"/>
        </w:rPr>
        <w:t xml:space="preserve">Областной бюджет </w:t>
      </w:r>
      <w:r w:rsidRPr="00C50BE2">
        <w:rPr>
          <w:sz w:val="28"/>
          <w:szCs w:val="28"/>
        </w:rPr>
        <w:t xml:space="preserve">(норматив зачисления 40%) = </w:t>
      </w:r>
      <w:r>
        <w:rPr>
          <w:sz w:val="28"/>
          <w:szCs w:val="28"/>
        </w:rPr>
        <w:t xml:space="preserve">                                                           (3 765,8+1 692,5</w:t>
      </w:r>
      <w:r w:rsidRPr="00C50BE2">
        <w:rPr>
          <w:sz w:val="28"/>
          <w:szCs w:val="28"/>
        </w:rPr>
        <w:t>*</w:t>
      </w:r>
      <w:r>
        <w:rPr>
          <w:sz w:val="28"/>
          <w:szCs w:val="28"/>
        </w:rPr>
        <w:t>3)*40</w:t>
      </w:r>
      <w:r w:rsidRPr="00B73346">
        <w:rPr>
          <w:rFonts w:eastAsia="Calibri"/>
          <w:color w:val="000000" w:themeColor="text1"/>
          <w:sz w:val="28"/>
          <w:szCs w:val="28"/>
        </w:rPr>
        <w:t xml:space="preserve">% = </w:t>
      </w:r>
      <w:r>
        <w:rPr>
          <w:rFonts w:eastAsia="Calibri"/>
          <w:color w:val="000000" w:themeColor="text1"/>
          <w:sz w:val="28"/>
          <w:szCs w:val="28"/>
        </w:rPr>
        <w:t>3 537,3</w:t>
      </w:r>
      <w:r w:rsidRPr="00B73346">
        <w:rPr>
          <w:rFonts w:eastAsia="Calibri"/>
          <w:color w:val="000000" w:themeColor="text1"/>
          <w:sz w:val="28"/>
          <w:szCs w:val="28"/>
        </w:rPr>
        <w:t xml:space="preserve"> тыс. руб.</w:t>
      </w:r>
    </w:p>
    <w:p w:rsidR="00935C40" w:rsidRPr="00FD2807" w:rsidRDefault="00935C40" w:rsidP="00935C40">
      <w:pPr>
        <w:autoSpaceDE w:val="0"/>
        <w:autoSpaceDN w:val="0"/>
        <w:adjustRightInd w:val="0"/>
        <w:ind w:firstLine="540"/>
        <w:jc w:val="both"/>
        <w:rPr>
          <w:sz w:val="28"/>
          <w:szCs w:val="28"/>
        </w:rPr>
      </w:pPr>
      <w:r w:rsidRPr="00C50BE2">
        <w:rPr>
          <w:sz w:val="28"/>
          <w:szCs w:val="28"/>
        </w:rPr>
        <w:t xml:space="preserve">Местный бюджет (норматив зачисления </w:t>
      </w:r>
      <w:r>
        <w:rPr>
          <w:sz w:val="28"/>
          <w:szCs w:val="28"/>
        </w:rPr>
        <w:t>60</w:t>
      </w:r>
      <w:r w:rsidRPr="00C50BE2">
        <w:rPr>
          <w:sz w:val="28"/>
          <w:szCs w:val="28"/>
        </w:rPr>
        <w:t xml:space="preserve">%) = </w:t>
      </w:r>
      <w:r>
        <w:rPr>
          <w:sz w:val="28"/>
          <w:szCs w:val="28"/>
        </w:rPr>
        <w:t xml:space="preserve">                                                                     (3 765,8+1692,5</w:t>
      </w:r>
      <w:r w:rsidRPr="00C50BE2">
        <w:rPr>
          <w:sz w:val="28"/>
          <w:szCs w:val="28"/>
        </w:rPr>
        <w:t>*</w:t>
      </w:r>
      <w:r>
        <w:rPr>
          <w:sz w:val="28"/>
          <w:szCs w:val="28"/>
        </w:rPr>
        <w:t>3)*60</w:t>
      </w:r>
      <w:r w:rsidRPr="00B73346">
        <w:rPr>
          <w:rFonts w:eastAsia="Calibri"/>
          <w:color w:val="000000" w:themeColor="text1"/>
          <w:sz w:val="28"/>
          <w:szCs w:val="28"/>
        </w:rPr>
        <w:t xml:space="preserve">% </w:t>
      </w:r>
      <w:r w:rsidRPr="00C50BE2">
        <w:rPr>
          <w:sz w:val="28"/>
          <w:szCs w:val="28"/>
        </w:rPr>
        <w:t xml:space="preserve">= </w:t>
      </w:r>
      <w:r>
        <w:rPr>
          <w:sz w:val="28"/>
          <w:szCs w:val="28"/>
        </w:rPr>
        <w:t>5 306,0 т</w:t>
      </w:r>
      <w:r w:rsidRPr="00C50BE2">
        <w:rPr>
          <w:sz w:val="28"/>
          <w:szCs w:val="28"/>
        </w:rPr>
        <w:t>ыс. руб.</w:t>
      </w:r>
    </w:p>
    <w:p w:rsidR="00935C40" w:rsidRDefault="00935C40" w:rsidP="00935C40">
      <w:pPr>
        <w:autoSpaceDE w:val="0"/>
        <w:autoSpaceDN w:val="0"/>
        <w:adjustRightInd w:val="0"/>
        <w:ind w:firstLine="540"/>
        <w:jc w:val="both"/>
        <w:rPr>
          <w:sz w:val="28"/>
          <w:szCs w:val="28"/>
        </w:rPr>
      </w:pPr>
      <w:r w:rsidRPr="00C50BE2">
        <w:rPr>
          <w:sz w:val="28"/>
          <w:szCs w:val="28"/>
        </w:rPr>
        <w:t xml:space="preserve">Консолидированный бюджет = </w:t>
      </w:r>
      <w:r>
        <w:rPr>
          <w:sz w:val="28"/>
          <w:szCs w:val="28"/>
        </w:rPr>
        <w:t>8 843,3</w:t>
      </w:r>
      <w:r w:rsidRPr="00C50BE2">
        <w:rPr>
          <w:sz w:val="28"/>
          <w:szCs w:val="28"/>
        </w:rPr>
        <w:t xml:space="preserve"> тыс. руб.</w:t>
      </w:r>
      <w:r>
        <w:rPr>
          <w:sz w:val="28"/>
          <w:szCs w:val="28"/>
        </w:rPr>
        <w:t>;</w:t>
      </w:r>
    </w:p>
    <w:p w:rsidR="00935C40" w:rsidRPr="00CB14EB" w:rsidRDefault="00935C40" w:rsidP="00935C40">
      <w:pPr>
        <w:autoSpaceDE w:val="0"/>
        <w:autoSpaceDN w:val="0"/>
        <w:adjustRightInd w:val="0"/>
        <w:ind w:firstLine="540"/>
        <w:jc w:val="both"/>
        <w:rPr>
          <w:b/>
          <w:sz w:val="28"/>
          <w:szCs w:val="28"/>
        </w:rPr>
      </w:pPr>
      <w:r w:rsidRPr="00CB14EB">
        <w:rPr>
          <w:b/>
          <w:sz w:val="28"/>
          <w:szCs w:val="28"/>
        </w:rPr>
        <w:t>КБК 048 1 12 01030 01 0000 120 «Плата за сбросы загрязняющих веществ в водные объекты»</w:t>
      </w:r>
    </w:p>
    <w:p w:rsidR="00935C40" w:rsidRPr="007B18A5" w:rsidRDefault="00935C40" w:rsidP="00935C40">
      <w:pPr>
        <w:pStyle w:val="21"/>
        <w:rPr>
          <w:rFonts w:eastAsia="Calibri"/>
          <w:color w:val="000000"/>
        </w:rPr>
      </w:pPr>
      <w:r>
        <w:rPr>
          <w:rFonts w:eastAsia="Calibri"/>
          <w:color w:val="000000"/>
        </w:rPr>
        <w:t>Расчет произведен исходя из ф</w:t>
      </w:r>
      <w:r w:rsidRPr="002C1B40">
        <w:rPr>
          <w:rFonts w:eastAsia="Calibri"/>
          <w:color w:val="000000"/>
        </w:rPr>
        <w:t>актически</w:t>
      </w:r>
      <w:r>
        <w:rPr>
          <w:rFonts w:eastAsia="Calibri"/>
          <w:color w:val="000000"/>
        </w:rPr>
        <w:t>х</w:t>
      </w:r>
      <w:r w:rsidRPr="002C1B40">
        <w:rPr>
          <w:rFonts w:eastAsia="Calibri"/>
          <w:color w:val="000000"/>
        </w:rPr>
        <w:t xml:space="preserve"> поступлени</w:t>
      </w:r>
      <w:r>
        <w:rPr>
          <w:rFonts w:eastAsia="Calibri"/>
          <w:color w:val="000000"/>
        </w:rPr>
        <w:t>й</w:t>
      </w:r>
      <w:r w:rsidRPr="002C1B40">
        <w:rPr>
          <w:rFonts w:eastAsia="Calibri"/>
          <w:color w:val="000000"/>
        </w:rPr>
        <w:t xml:space="preserve"> за период с 01.01.202</w:t>
      </w:r>
      <w:r>
        <w:rPr>
          <w:rFonts w:eastAsia="Calibri"/>
          <w:color w:val="000000"/>
        </w:rPr>
        <w:t>1</w:t>
      </w:r>
      <w:r w:rsidRPr="002C1B40">
        <w:rPr>
          <w:rFonts w:eastAsia="Calibri"/>
          <w:color w:val="000000"/>
        </w:rPr>
        <w:t xml:space="preserve"> по 01.04.202</w:t>
      </w:r>
      <w:r>
        <w:rPr>
          <w:rFonts w:eastAsia="Calibri"/>
          <w:color w:val="000000"/>
        </w:rPr>
        <w:t>1</w:t>
      </w:r>
      <w:r w:rsidRPr="002C1B40">
        <w:rPr>
          <w:rFonts w:eastAsia="Calibri"/>
          <w:color w:val="000000"/>
        </w:rPr>
        <w:t>г</w:t>
      </w:r>
      <w:r>
        <w:rPr>
          <w:rFonts w:eastAsia="Calibri"/>
          <w:color w:val="000000"/>
        </w:rPr>
        <w:t xml:space="preserve"> (8019,6 тыс. руб.) </w:t>
      </w:r>
      <w:r w:rsidRPr="002C1B40">
        <w:rPr>
          <w:rFonts w:eastAsia="Calibri"/>
          <w:color w:val="000000"/>
        </w:rPr>
        <w:t xml:space="preserve">по плате за </w:t>
      </w:r>
      <w:r>
        <w:rPr>
          <w:rFonts w:eastAsia="Calibri"/>
          <w:color w:val="000000"/>
        </w:rPr>
        <w:t>негативное воздействие на окружающую среду</w:t>
      </w:r>
      <w:r w:rsidRPr="002C1B40">
        <w:rPr>
          <w:rFonts w:eastAsia="Calibri"/>
          <w:color w:val="000000"/>
        </w:rPr>
        <w:t xml:space="preserve"> </w:t>
      </w:r>
      <w:r>
        <w:rPr>
          <w:rFonts w:eastAsia="Calibri"/>
          <w:color w:val="000000"/>
        </w:rPr>
        <w:t xml:space="preserve">с учетом 3 </w:t>
      </w:r>
      <w:r w:rsidRPr="002C1B40">
        <w:rPr>
          <w:rFonts w:eastAsia="Calibri"/>
          <w:color w:val="000000"/>
        </w:rPr>
        <w:t>авансовы</w:t>
      </w:r>
      <w:r>
        <w:rPr>
          <w:rFonts w:eastAsia="Calibri"/>
          <w:color w:val="000000"/>
        </w:rPr>
        <w:t>х</w:t>
      </w:r>
      <w:r w:rsidRPr="002C1B40">
        <w:rPr>
          <w:rFonts w:eastAsia="Calibri"/>
          <w:color w:val="000000"/>
        </w:rPr>
        <w:t xml:space="preserve"> платеж</w:t>
      </w:r>
      <w:r>
        <w:rPr>
          <w:rFonts w:eastAsia="Calibri"/>
          <w:color w:val="000000"/>
        </w:rPr>
        <w:t>ей (по срокам уплаты),</w:t>
      </w:r>
      <w:r w:rsidRPr="002C1B40">
        <w:rPr>
          <w:rFonts w:eastAsia="Calibri"/>
          <w:color w:val="000000"/>
        </w:rPr>
        <w:t xml:space="preserve"> рассчитанны</w:t>
      </w:r>
      <w:r>
        <w:rPr>
          <w:rFonts w:eastAsia="Calibri"/>
          <w:color w:val="000000"/>
        </w:rPr>
        <w:t>х</w:t>
      </w:r>
      <w:r w:rsidRPr="002C1B40">
        <w:rPr>
          <w:rFonts w:eastAsia="Calibri"/>
          <w:color w:val="000000"/>
        </w:rPr>
        <w:t xml:space="preserve"> по среднему</w:t>
      </w:r>
      <w:r>
        <w:rPr>
          <w:rFonts w:eastAsia="Calibri"/>
          <w:color w:val="000000"/>
        </w:rPr>
        <w:t xml:space="preserve"> исходя из фактических платежей за 1,2 квартал 2021 года (2481,5 тыс. руб.)</w:t>
      </w:r>
      <w:r w:rsidRPr="00A417CE">
        <w:rPr>
          <w:rFonts w:eastAsia="Calibri"/>
          <w:color w:val="000000"/>
        </w:rPr>
        <w:t xml:space="preserve"> </w:t>
      </w:r>
      <w:r w:rsidRPr="002C1B40">
        <w:rPr>
          <w:rFonts w:eastAsia="Calibri"/>
          <w:color w:val="000000"/>
        </w:rPr>
        <w:t xml:space="preserve"> </w:t>
      </w:r>
      <w:r>
        <w:rPr>
          <w:rFonts w:eastAsia="Calibri"/>
          <w:color w:val="000000"/>
        </w:rPr>
        <w:t>(</w:t>
      </w:r>
      <w:r w:rsidRPr="00431B97">
        <w:rPr>
          <w:rFonts w:eastAsia="Calibri"/>
          <w:i/>
          <w:color w:val="000000"/>
        </w:rPr>
        <w:t>с учетом округления</w:t>
      </w:r>
      <w:r>
        <w:rPr>
          <w:rFonts w:eastAsia="Calibri"/>
          <w:color w:val="000000"/>
        </w:rPr>
        <w:t>).</w:t>
      </w:r>
    </w:p>
    <w:p w:rsidR="00935C40" w:rsidRPr="00FD2807" w:rsidRDefault="00935C40" w:rsidP="00935C40">
      <w:pPr>
        <w:autoSpaceDE w:val="0"/>
        <w:autoSpaceDN w:val="0"/>
        <w:adjustRightInd w:val="0"/>
        <w:ind w:firstLine="540"/>
        <w:jc w:val="both"/>
        <w:rPr>
          <w:sz w:val="28"/>
          <w:szCs w:val="28"/>
        </w:rPr>
      </w:pPr>
      <w:r>
        <w:rPr>
          <w:sz w:val="28"/>
          <w:szCs w:val="28"/>
        </w:rPr>
        <w:t xml:space="preserve">Областной бюджет </w:t>
      </w:r>
      <w:r w:rsidRPr="00C50BE2">
        <w:rPr>
          <w:sz w:val="28"/>
          <w:szCs w:val="28"/>
        </w:rPr>
        <w:t xml:space="preserve">(норматив зачисления 40%) = </w:t>
      </w:r>
      <w:r>
        <w:rPr>
          <w:sz w:val="28"/>
          <w:szCs w:val="28"/>
        </w:rPr>
        <w:t xml:space="preserve">                                                           (8 019,6+2 481,5</w:t>
      </w:r>
      <w:r w:rsidRPr="00C50BE2">
        <w:rPr>
          <w:sz w:val="28"/>
          <w:szCs w:val="28"/>
        </w:rPr>
        <w:t>*</w:t>
      </w:r>
      <w:r>
        <w:rPr>
          <w:sz w:val="28"/>
          <w:szCs w:val="28"/>
        </w:rPr>
        <w:t>3)*40%</w:t>
      </w:r>
      <w:r w:rsidRPr="00B73346">
        <w:rPr>
          <w:rFonts w:eastAsia="Calibri"/>
          <w:color w:val="000000" w:themeColor="text1"/>
          <w:sz w:val="28"/>
          <w:szCs w:val="28"/>
        </w:rPr>
        <w:t xml:space="preserve">= </w:t>
      </w:r>
      <w:r>
        <w:rPr>
          <w:rFonts w:eastAsia="Calibri"/>
          <w:color w:val="000000" w:themeColor="text1"/>
          <w:sz w:val="28"/>
          <w:szCs w:val="28"/>
        </w:rPr>
        <w:t>6 185,6</w:t>
      </w:r>
      <w:r w:rsidRPr="00B73346">
        <w:rPr>
          <w:rFonts w:eastAsia="Calibri"/>
          <w:color w:val="000000" w:themeColor="text1"/>
          <w:sz w:val="28"/>
          <w:szCs w:val="28"/>
        </w:rPr>
        <w:t xml:space="preserve"> тыс. руб.</w:t>
      </w:r>
    </w:p>
    <w:p w:rsidR="00935C40" w:rsidRPr="00FD2807" w:rsidRDefault="00935C40" w:rsidP="00935C40">
      <w:pPr>
        <w:autoSpaceDE w:val="0"/>
        <w:autoSpaceDN w:val="0"/>
        <w:adjustRightInd w:val="0"/>
        <w:ind w:firstLine="540"/>
        <w:jc w:val="both"/>
        <w:rPr>
          <w:sz w:val="28"/>
          <w:szCs w:val="28"/>
        </w:rPr>
      </w:pPr>
      <w:r w:rsidRPr="00C50BE2">
        <w:rPr>
          <w:sz w:val="28"/>
          <w:szCs w:val="28"/>
        </w:rPr>
        <w:t xml:space="preserve">Местный бюджет (норматив зачисления </w:t>
      </w:r>
      <w:r>
        <w:rPr>
          <w:sz w:val="28"/>
          <w:szCs w:val="28"/>
        </w:rPr>
        <w:t>60</w:t>
      </w:r>
      <w:r w:rsidRPr="00C50BE2">
        <w:rPr>
          <w:sz w:val="28"/>
          <w:szCs w:val="28"/>
        </w:rPr>
        <w:t xml:space="preserve">%) = </w:t>
      </w:r>
      <w:r>
        <w:rPr>
          <w:sz w:val="28"/>
          <w:szCs w:val="28"/>
        </w:rPr>
        <w:t xml:space="preserve">                                                                     (8 019,6+2 481,5</w:t>
      </w:r>
      <w:r w:rsidRPr="00C50BE2">
        <w:rPr>
          <w:sz w:val="28"/>
          <w:szCs w:val="28"/>
        </w:rPr>
        <w:t>*</w:t>
      </w:r>
      <w:r>
        <w:rPr>
          <w:sz w:val="28"/>
          <w:szCs w:val="28"/>
        </w:rPr>
        <w:t>3)*60%</w:t>
      </w:r>
      <w:r w:rsidRPr="00C50BE2">
        <w:rPr>
          <w:sz w:val="28"/>
          <w:szCs w:val="28"/>
        </w:rPr>
        <w:t xml:space="preserve">= </w:t>
      </w:r>
      <w:r>
        <w:rPr>
          <w:sz w:val="28"/>
          <w:szCs w:val="28"/>
        </w:rPr>
        <w:t>9 278,5</w:t>
      </w:r>
      <w:r w:rsidRPr="00C50BE2">
        <w:rPr>
          <w:sz w:val="28"/>
          <w:szCs w:val="28"/>
        </w:rPr>
        <w:t xml:space="preserve"> тыс. руб.</w:t>
      </w:r>
    </w:p>
    <w:p w:rsidR="00935C40" w:rsidRDefault="00935C40" w:rsidP="00935C40">
      <w:pPr>
        <w:autoSpaceDE w:val="0"/>
        <w:autoSpaceDN w:val="0"/>
        <w:adjustRightInd w:val="0"/>
        <w:ind w:firstLine="540"/>
        <w:jc w:val="both"/>
        <w:rPr>
          <w:sz w:val="28"/>
          <w:szCs w:val="28"/>
        </w:rPr>
      </w:pPr>
      <w:r w:rsidRPr="00C50BE2">
        <w:rPr>
          <w:sz w:val="28"/>
          <w:szCs w:val="28"/>
        </w:rPr>
        <w:t xml:space="preserve">Консолидированный бюджет = </w:t>
      </w:r>
      <w:r>
        <w:rPr>
          <w:sz w:val="28"/>
          <w:szCs w:val="28"/>
        </w:rPr>
        <w:t xml:space="preserve">15 464,1 </w:t>
      </w:r>
      <w:r w:rsidRPr="00C50BE2">
        <w:rPr>
          <w:sz w:val="28"/>
          <w:szCs w:val="28"/>
        </w:rPr>
        <w:t>тыс. руб.</w:t>
      </w:r>
      <w:r>
        <w:rPr>
          <w:sz w:val="28"/>
          <w:szCs w:val="28"/>
        </w:rPr>
        <w:t>;</w:t>
      </w:r>
    </w:p>
    <w:p w:rsidR="00935C40" w:rsidRPr="008246CC" w:rsidRDefault="00935C40" w:rsidP="00935C40">
      <w:pPr>
        <w:autoSpaceDE w:val="0"/>
        <w:autoSpaceDN w:val="0"/>
        <w:adjustRightInd w:val="0"/>
        <w:ind w:firstLine="540"/>
        <w:jc w:val="both"/>
        <w:rPr>
          <w:b/>
          <w:sz w:val="28"/>
          <w:szCs w:val="28"/>
        </w:rPr>
      </w:pPr>
      <w:r w:rsidRPr="008246CC">
        <w:rPr>
          <w:b/>
          <w:sz w:val="28"/>
          <w:szCs w:val="28"/>
        </w:rPr>
        <w:t>КБК 048 1 12 0104</w:t>
      </w:r>
      <w:r>
        <w:rPr>
          <w:b/>
          <w:sz w:val="28"/>
          <w:szCs w:val="28"/>
        </w:rPr>
        <w:t>1</w:t>
      </w:r>
      <w:r w:rsidRPr="008246CC">
        <w:rPr>
          <w:b/>
          <w:sz w:val="28"/>
          <w:szCs w:val="28"/>
        </w:rPr>
        <w:t xml:space="preserve"> 01 0000 120 «Плата за размещение отходов производства»</w:t>
      </w:r>
    </w:p>
    <w:p w:rsidR="00935C40" w:rsidRPr="007B18A5" w:rsidRDefault="00935C40" w:rsidP="00935C40">
      <w:pPr>
        <w:pStyle w:val="21"/>
        <w:rPr>
          <w:rFonts w:eastAsia="Calibri"/>
          <w:color w:val="000000"/>
        </w:rPr>
      </w:pPr>
      <w:r>
        <w:rPr>
          <w:rFonts w:eastAsia="Calibri"/>
          <w:color w:val="000000"/>
        </w:rPr>
        <w:t>Расчет произведен исходя из ф</w:t>
      </w:r>
      <w:r w:rsidRPr="002C1B40">
        <w:rPr>
          <w:rFonts w:eastAsia="Calibri"/>
          <w:color w:val="000000"/>
        </w:rPr>
        <w:t>актически</w:t>
      </w:r>
      <w:r>
        <w:rPr>
          <w:rFonts w:eastAsia="Calibri"/>
          <w:color w:val="000000"/>
        </w:rPr>
        <w:t>х</w:t>
      </w:r>
      <w:r w:rsidRPr="002C1B40">
        <w:rPr>
          <w:rFonts w:eastAsia="Calibri"/>
          <w:color w:val="000000"/>
        </w:rPr>
        <w:t xml:space="preserve"> поступлени</w:t>
      </w:r>
      <w:r>
        <w:rPr>
          <w:rFonts w:eastAsia="Calibri"/>
          <w:color w:val="000000"/>
        </w:rPr>
        <w:t>й</w:t>
      </w:r>
      <w:r w:rsidRPr="002C1B40">
        <w:rPr>
          <w:rFonts w:eastAsia="Calibri"/>
          <w:color w:val="000000"/>
        </w:rPr>
        <w:t xml:space="preserve"> за период с 01.01.202</w:t>
      </w:r>
      <w:r>
        <w:rPr>
          <w:rFonts w:eastAsia="Calibri"/>
          <w:color w:val="000000"/>
        </w:rPr>
        <w:t>1</w:t>
      </w:r>
      <w:r w:rsidRPr="002C1B40">
        <w:rPr>
          <w:rFonts w:eastAsia="Calibri"/>
          <w:color w:val="000000"/>
        </w:rPr>
        <w:t xml:space="preserve"> по 01.04.202</w:t>
      </w:r>
      <w:r>
        <w:rPr>
          <w:rFonts w:eastAsia="Calibri"/>
          <w:color w:val="000000"/>
        </w:rPr>
        <w:t xml:space="preserve">1 </w:t>
      </w:r>
      <w:r w:rsidRPr="002C1B40">
        <w:rPr>
          <w:rFonts w:eastAsia="Calibri"/>
          <w:color w:val="000000"/>
        </w:rPr>
        <w:t xml:space="preserve">г </w:t>
      </w:r>
      <w:r>
        <w:rPr>
          <w:rFonts w:eastAsia="Calibri"/>
          <w:color w:val="000000"/>
        </w:rPr>
        <w:t xml:space="preserve">(43 123,9 тыс. руб.) </w:t>
      </w:r>
      <w:r w:rsidRPr="002C1B40">
        <w:rPr>
          <w:rFonts w:eastAsia="Calibri"/>
          <w:color w:val="000000"/>
        </w:rPr>
        <w:t xml:space="preserve">по плате за </w:t>
      </w:r>
      <w:r>
        <w:rPr>
          <w:rFonts w:eastAsia="Calibri"/>
          <w:color w:val="000000"/>
        </w:rPr>
        <w:t>негативное воздействие на окружающую среду</w:t>
      </w:r>
      <w:r w:rsidRPr="002C1B40">
        <w:rPr>
          <w:rFonts w:eastAsia="Calibri"/>
          <w:color w:val="000000"/>
        </w:rPr>
        <w:t xml:space="preserve"> </w:t>
      </w:r>
      <w:r>
        <w:rPr>
          <w:rFonts w:eastAsia="Calibri"/>
          <w:color w:val="000000"/>
        </w:rPr>
        <w:t xml:space="preserve">за 2020 год с учетом 3 </w:t>
      </w:r>
      <w:r w:rsidRPr="002C1B40">
        <w:rPr>
          <w:rFonts w:eastAsia="Calibri"/>
          <w:color w:val="000000"/>
        </w:rPr>
        <w:t>авансовы</w:t>
      </w:r>
      <w:r>
        <w:rPr>
          <w:rFonts w:eastAsia="Calibri"/>
          <w:color w:val="000000"/>
        </w:rPr>
        <w:t>х</w:t>
      </w:r>
      <w:r w:rsidRPr="002C1B40">
        <w:rPr>
          <w:rFonts w:eastAsia="Calibri"/>
          <w:color w:val="000000"/>
        </w:rPr>
        <w:t xml:space="preserve"> платеж</w:t>
      </w:r>
      <w:r>
        <w:rPr>
          <w:rFonts w:eastAsia="Calibri"/>
          <w:color w:val="000000"/>
        </w:rPr>
        <w:t>ей (по срокам уплаты),</w:t>
      </w:r>
      <w:r w:rsidRPr="002C1B40">
        <w:rPr>
          <w:rFonts w:eastAsia="Calibri"/>
          <w:color w:val="000000"/>
        </w:rPr>
        <w:t xml:space="preserve"> рассчитанны</w:t>
      </w:r>
      <w:r>
        <w:rPr>
          <w:rFonts w:eastAsia="Calibri"/>
          <w:color w:val="000000"/>
        </w:rPr>
        <w:t>х</w:t>
      </w:r>
      <w:r w:rsidRPr="002C1B40">
        <w:rPr>
          <w:rFonts w:eastAsia="Calibri"/>
          <w:color w:val="000000"/>
        </w:rPr>
        <w:t xml:space="preserve"> по среднему</w:t>
      </w:r>
      <w:r>
        <w:rPr>
          <w:rFonts w:eastAsia="Calibri"/>
          <w:color w:val="000000"/>
        </w:rPr>
        <w:t xml:space="preserve"> исходя из фактических платежей за 1,2 квартал 2021 года ( 2 377,9 тыс. руб.).</w:t>
      </w:r>
      <w:r w:rsidRPr="00A417CE">
        <w:rPr>
          <w:rFonts w:eastAsia="Calibri"/>
          <w:color w:val="000000"/>
        </w:rPr>
        <w:t xml:space="preserve"> </w:t>
      </w:r>
      <w:r w:rsidRPr="002C1B40">
        <w:rPr>
          <w:rFonts w:eastAsia="Calibri"/>
          <w:color w:val="000000"/>
        </w:rPr>
        <w:t xml:space="preserve"> </w:t>
      </w:r>
      <w:r>
        <w:rPr>
          <w:rFonts w:eastAsia="Calibri"/>
          <w:color w:val="000000"/>
        </w:rPr>
        <w:t>(</w:t>
      </w:r>
      <w:r w:rsidRPr="00431B97">
        <w:rPr>
          <w:rFonts w:eastAsia="Calibri"/>
          <w:i/>
          <w:color w:val="000000"/>
        </w:rPr>
        <w:t>с учетом округления</w:t>
      </w:r>
      <w:r>
        <w:rPr>
          <w:rFonts w:eastAsia="Calibri"/>
          <w:color w:val="000000"/>
        </w:rPr>
        <w:t>).</w:t>
      </w:r>
    </w:p>
    <w:p w:rsidR="00935C40" w:rsidRPr="00FD2807" w:rsidRDefault="00935C40" w:rsidP="00935C40">
      <w:pPr>
        <w:autoSpaceDE w:val="0"/>
        <w:autoSpaceDN w:val="0"/>
        <w:adjustRightInd w:val="0"/>
        <w:ind w:firstLine="540"/>
        <w:jc w:val="both"/>
        <w:rPr>
          <w:sz w:val="28"/>
          <w:szCs w:val="28"/>
        </w:rPr>
      </w:pPr>
      <w:r>
        <w:rPr>
          <w:sz w:val="28"/>
          <w:szCs w:val="28"/>
        </w:rPr>
        <w:t xml:space="preserve">Областной бюджет </w:t>
      </w:r>
      <w:r w:rsidRPr="00C50BE2">
        <w:rPr>
          <w:sz w:val="28"/>
          <w:szCs w:val="28"/>
        </w:rPr>
        <w:t xml:space="preserve">(норматив зачисления 40%) = </w:t>
      </w:r>
      <w:r>
        <w:rPr>
          <w:sz w:val="28"/>
          <w:szCs w:val="28"/>
        </w:rPr>
        <w:t xml:space="preserve">                                                           (43 123,9+2 377,9</w:t>
      </w:r>
      <w:r w:rsidRPr="00C50BE2">
        <w:rPr>
          <w:sz w:val="28"/>
          <w:szCs w:val="28"/>
        </w:rPr>
        <w:t>*</w:t>
      </w:r>
      <w:r>
        <w:rPr>
          <w:sz w:val="28"/>
          <w:szCs w:val="28"/>
        </w:rPr>
        <w:t>3)*40%</w:t>
      </w:r>
      <w:r w:rsidRPr="00B73346">
        <w:rPr>
          <w:rFonts w:eastAsia="Calibri"/>
          <w:color w:val="000000" w:themeColor="text1"/>
          <w:sz w:val="28"/>
          <w:szCs w:val="28"/>
        </w:rPr>
        <w:t xml:space="preserve">= </w:t>
      </w:r>
      <w:r>
        <w:rPr>
          <w:rFonts w:eastAsia="Calibri"/>
          <w:color w:val="000000" w:themeColor="text1"/>
          <w:sz w:val="28"/>
          <w:szCs w:val="28"/>
        </w:rPr>
        <w:t>20 103,0</w:t>
      </w:r>
      <w:r w:rsidRPr="00B73346">
        <w:rPr>
          <w:rFonts w:eastAsia="Calibri"/>
          <w:color w:val="000000" w:themeColor="text1"/>
          <w:sz w:val="28"/>
          <w:szCs w:val="28"/>
        </w:rPr>
        <w:t xml:space="preserve"> тыс. руб.</w:t>
      </w:r>
    </w:p>
    <w:p w:rsidR="00935C40" w:rsidRPr="00FD2807" w:rsidRDefault="00935C40" w:rsidP="00935C40">
      <w:pPr>
        <w:autoSpaceDE w:val="0"/>
        <w:autoSpaceDN w:val="0"/>
        <w:adjustRightInd w:val="0"/>
        <w:ind w:firstLine="540"/>
        <w:jc w:val="both"/>
        <w:rPr>
          <w:sz w:val="28"/>
          <w:szCs w:val="28"/>
        </w:rPr>
      </w:pPr>
      <w:r w:rsidRPr="00C50BE2">
        <w:rPr>
          <w:sz w:val="28"/>
          <w:szCs w:val="28"/>
        </w:rPr>
        <w:t xml:space="preserve">Местный бюджет (норматив зачисления </w:t>
      </w:r>
      <w:r>
        <w:rPr>
          <w:sz w:val="28"/>
          <w:szCs w:val="28"/>
        </w:rPr>
        <w:t>60</w:t>
      </w:r>
      <w:r w:rsidRPr="00C50BE2">
        <w:rPr>
          <w:sz w:val="28"/>
          <w:szCs w:val="28"/>
        </w:rPr>
        <w:t xml:space="preserve">%) = </w:t>
      </w:r>
      <w:r>
        <w:rPr>
          <w:sz w:val="28"/>
          <w:szCs w:val="28"/>
        </w:rPr>
        <w:t xml:space="preserve">                                                                     (43 123,9+2 377,9</w:t>
      </w:r>
      <w:r w:rsidRPr="00C50BE2">
        <w:rPr>
          <w:sz w:val="28"/>
          <w:szCs w:val="28"/>
        </w:rPr>
        <w:t>*</w:t>
      </w:r>
      <w:r>
        <w:rPr>
          <w:sz w:val="28"/>
          <w:szCs w:val="28"/>
        </w:rPr>
        <w:t>3)*60%</w:t>
      </w:r>
      <w:r w:rsidRPr="00C50BE2">
        <w:rPr>
          <w:sz w:val="28"/>
          <w:szCs w:val="28"/>
        </w:rPr>
        <w:t xml:space="preserve">= </w:t>
      </w:r>
      <w:r>
        <w:rPr>
          <w:sz w:val="28"/>
          <w:szCs w:val="28"/>
        </w:rPr>
        <w:t>30 154,6</w:t>
      </w:r>
      <w:r w:rsidRPr="00C50BE2">
        <w:rPr>
          <w:sz w:val="28"/>
          <w:szCs w:val="28"/>
        </w:rPr>
        <w:t xml:space="preserve"> тыс. руб.</w:t>
      </w:r>
    </w:p>
    <w:p w:rsidR="00935C40" w:rsidRDefault="00935C40" w:rsidP="00935C40">
      <w:pPr>
        <w:autoSpaceDE w:val="0"/>
        <w:autoSpaceDN w:val="0"/>
        <w:adjustRightInd w:val="0"/>
        <w:ind w:firstLine="540"/>
        <w:jc w:val="both"/>
        <w:rPr>
          <w:sz w:val="28"/>
          <w:szCs w:val="28"/>
        </w:rPr>
      </w:pPr>
      <w:r w:rsidRPr="00C50BE2">
        <w:rPr>
          <w:sz w:val="28"/>
          <w:szCs w:val="28"/>
        </w:rPr>
        <w:t xml:space="preserve">Консолидированный бюджет = </w:t>
      </w:r>
      <w:r>
        <w:rPr>
          <w:sz w:val="28"/>
          <w:szCs w:val="28"/>
        </w:rPr>
        <w:t>50 257,6</w:t>
      </w:r>
      <w:r w:rsidRPr="00C50BE2">
        <w:rPr>
          <w:sz w:val="28"/>
          <w:szCs w:val="28"/>
        </w:rPr>
        <w:t xml:space="preserve"> тыс. руб.</w:t>
      </w:r>
    </w:p>
    <w:p w:rsidR="00935C40" w:rsidRDefault="00935C40" w:rsidP="00935C40">
      <w:pPr>
        <w:autoSpaceDE w:val="0"/>
        <w:autoSpaceDN w:val="0"/>
        <w:adjustRightInd w:val="0"/>
        <w:ind w:firstLine="540"/>
        <w:jc w:val="both"/>
        <w:rPr>
          <w:sz w:val="28"/>
          <w:szCs w:val="28"/>
        </w:rPr>
      </w:pPr>
    </w:p>
    <w:p w:rsidR="00935C40" w:rsidRPr="008246CC" w:rsidRDefault="00935C40" w:rsidP="00935C40">
      <w:pPr>
        <w:autoSpaceDE w:val="0"/>
        <w:autoSpaceDN w:val="0"/>
        <w:adjustRightInd w:val="0"/>
        <w:ind w:firstLine="540"/>
        <w:jc w:val="both"/>
        <w:rPr>
          <w:b/>
          <w:sz w:val="28"/>
          <w:szCs w:val="28"/>
        </w:rPr>
      </w:pPr>
      <w:r w:rsidRPr="008246CC">
        <w:rPr>
          <w:b/>
          <w:sz w:val="28"/>
          <w:szCs w:val="28"/>
        </w:rPr>
        <w:t>КБК 048 1 12 0104</w:t>
      </w:r>
      <w:r>
        <w:rPr>
          <w:b/>
          <w:sz w:val="28"/>
          <w:szCs w:val="28"/>
        </w:rPr>
        <w:t>2</w:t>
      </w:r>
      <w:r w:rsidRPr="008246CC">
        <w:rPr>
          <w:b/>
          <w:sz w:val="28"/>
          <w:szCs w:val="28"/>
        </w:rPr>
        <w:t xml:space="preserve"> 01 0000 120 «Плата за размещение</w:t>
      </w:r>
      <w:r>
        <w:rPr>
          <w:b/>
          <w:sz w:val="28"/>
          <w:szCs w:val="28"/>
        </w:rPr>
        <w:t xml:space="preserve"> твердых коммунальных </w:t>
      </w:r>
      <w:r w:rsidRPr="008246CC">
        <w:rPr>
          <w:b/>
          <w:sz w:val="28"/>
          <w:szCs w:val="28"/>
        </w:rPr>
        <w:t>отходов»</w:t>
      </w:r>
    </w:p>
    <w:p w:rsidR="00935C40" w:rsidRPr="007B18A5" w:rsidRDefault="00935C40" w:rsidP="00935C40">
      <w:pPr>
        <w:pStyle w:val="21"/>
        <w:rPr>
          <w:rFonts w:eastAsia="Calibri"/>
          <w:color w:val="000000"/>
        </w:rPr>
      </w:pPr>
      <w:r>
        <w:rPr>
          <w:rFonts w:eastAsia="Calibri"/>
          <w:color w:val="000000"/>
        </w:rPr>
        <w:t>Расчет произведен исходя из ф</w:t>
      </w:r>
      <w:r w:rsidRPr="002C1B40">
        <w:rPr>
          <w:rFonts w:eastAsia="Calibri"/>
          <w:color w:val="000000"/>
        </w:rPr>
        <w:t>актически</w:t>
      </w:r>
      <w:r>
        <w:rPr>
          <w:rFonts w:eastAsia="Calibri"/>
          <w:color w:val="000000"/>
        </w:rPr>
        <w:t>х</w:t>
      </w:r>
      <w:r w:rsidRPr="002C1B40">
        <w:rPr>
          <w:rFonts w:eastAsia="Calibri"/>
          <w:color w:val="000000"/>
        </w:rPr>
        <w:t xml:space="preserve"> поступлени</w:t>
      </w:r>
      <w:r>
        <w:rPr>
          <w:rFonts w:eastAsia="Calibri"/>
          <w:color w:val="000000"/>
        </w:rPr>
        <w:t>й</w:t>
      </w:r>
      <w:r w:rsidRPr="002C1B40">
        <w:rPr>
          <w:rFonts w:eastAsia="Calibri"/>
          <w:color w:val="000000"/>
        </w:rPr>
        <w:t xml:space="preserve"> за период с 01.01.202</w:t>
      </w:r>
      <w:r>
        <w:rPr>
          <w:rFonts w:eastAsia="Calibri"/>
          <w:color w:val="000000"/>
        </w:rPr>
        <w:t>1</w:t>
      </w:r>
      <w:r w:rsidRPr="002C1B40">
        <w:rPr>
          <w:rFonts w:eastAsia="Calibri"/>
          <w:color w:val="000000"/>
        </w:rPr>
        <w:t xml:space="preserve"> по 01.04.202</w:t>
      </w:r>
      <w:r>
        <w:rPr>
          <w:rFonts w:eastAsia="Calibri"/>
          <w:color w:val="000000"/>
        </w:rPr>
        <w:t xml:space="preserve">1 </w:t>
      </w:r>
      <w:r w:rsidRPr="002C1B40">
        <w:rPr>
          <w:rFonts w:eastAsia="Calibri"/>
          <w:color w:val="000000"/>
        </w:rPr>
        <w:t xml:space="preserve">г </w:t>
      </w:r>
      <w:r>
        <w:rPr>
          <w:rFonts w:eastAsia="Calibri"/>
          <w:color w:val="000000"/>
        </w:rPr>
        <w:t xml:space="preserve">(6 707,8 тыс. руб.) </w:t>
      </w:r>
      <w:r w:rsidRPr="002C1B40">
        <w:rPr>
          <w:rFonts w:eastAsia="Calibri"/>
          <w:color w:val="000000"/>
        </w:rPr>
        <w:t xml:space="preserve">по плате за </w:t>
      </w:r>
      <w:r>
        <w:rPr>
          <w:rFonts w:eastAsia="Calibri"/>
          <w:color w:val="000000"/>
        </w:rPr>
        <w:t>негативное воздействие на окружающую среду</w:t>
      </w:r>
      <w:r w:rsidRPr="002C1B40">
        <w:rPr>
          <w:rFonts w:eastAsia="Calibri"/>
          <w:color w:val="000000"/>
        </w:rPr>
        <w:t xml:space="preserve"> </w:t>
      </w:r>
      <w:r>
        <w:rPr>
          <w:rFonts w:eastAsia="Calibri"/>
          <w:color w:val="000000"/>
        </w:rPr>
        <w:t xml:space="preserve">за 2020 год с учетом 3 </w:t>
      </w:r>
      <w:r w:rsidRPr="002C1B40">
        <w:rPr>
          <w:rFonts w:eastAsia="Calibri"/>
          <w:color w:val="000000"/>
        </w:rPr>
        <w:t>авансовы</w:t>
      </w:r>
      <w:r>
        <w:rPr>
          <w:rFonts w:eastAsia="Calibri"/>
          <w:color w:val="000000"/>
        </w:rPr>
        <w:t>х</w:t>
      </w:r>
      <w:r w:rsidRPr="002C1B40">
        <w:rPr>
          <w:rFonts w:eastAsia="Calibri"/>
          <w:color w:val="000000"/>
        </w:rPr>
        <w:t xml:space="preserve"> платеж</w:t>
      </w:r>
      <w:r>
        <w:rPr>
          <w:rFonts w:eastAsia="Calibri"/>
          <w:color w:val="000000"/>
        </w:rPr>
        <w:t>ей (по срокам уплаты),</w:t>
      </w:r>
      <w:r w:rsidRPr="002C1B40">
        <w:rPr>
          <w:rFonts w:eastAsia="Calibri"/>
          <w:color w:val="000000"/>
        </w:rPr>
        <w:t xml:space="preserve"> рассчитанны</w:t>
      </w:r>
      <w:r>
        <w:rPr>
          <w:rFonts w:eastAsia="Calibri"/>
          <w:color w:val="000000"/>
        </w:rPr>
        <w:t>х</w:t>
      </w:r>
      <w:r w:rsidRPr="002C1B40">
        <w:rPr>
          <w:rFonts w:eastAsia="Calibri"/>
          <w:color w:val="000000"/>
        </w:rPr>
        <w:t xml:space="preserve"> по среднему</w:t>
      </w:r>
      <w:r>
        <w:rPr>
          <w:rFonts w:eastAsia="Calibri"/>
          <w:color w:val="000000"/>
        </w:rPr>
        <w:t xml:space="preserve"> исходя из фактических платежей за 1,2 квартал 2021 года (2 009,4 тыс. руб.).</w:t>
      </w:r>
      <w:r w:rsidRPr="00A417CE">
        <w:rPr>
          <w:rFonts w:eastAsia="Calibri"/>
          <w:color w:val="000000"/>
        </w:rPr>
        <w:t xml:space="preserve"> </w:t>
      </w:r>
      <w:r w:rsidRPr="002C1B40">
        <w:rPr>
          <w:rFonts w:eastAsia="Calibri"/>
          <w:color w:val="000000"/>
        </w:rPr>
        <w:t xml:space="preserve"> </w:t>
      </w:r>
      <w:r>
        <w:rPr>
          <w:rFonts w:eastAsia="Calibri"/>
          <w:color w:val="000000"/>
        </w:rPr>
        <w:t>(</w:t>
      </w:r>
      <w:r w:rsidRPr="00431B97">
        <w:rPr>
          <w:rFonts w:eastAsia="Calibri"/>
          <w:i/>
          <w:color w:val="000000"/>
        </w:rPr>
        <w:t>с учетом округления</w:t>
      </w:r>
      <w:r>
        <w:rPr>
          <w:rFonts w:eastAsia="Calibri"/>
          <w:color w:val="000000"/>
        </w:rPr>
        <w:t>).</w:t>
      </w:r>
    </w:p>
    <w:p w:rsidR="00935C40" w:rsidRPr="00FD2807" w:rsidRDefault="00935C40" w:rsidP="00935C40">
      <w:pPr>
        <w:autoSpaceDE w:val="0"/>
        <w:autoSpaceDN w:val="0"/>
        <w:adjustRightInd w:val="0"/>
        <w:ind w:firstLine="540"/>
        <w:jc w:val="both"/>
        <w:rPr>
          <w:sz w:val="28"/>
          <w:szCs w:val="28"/>
        </w:rPr>
      </w:pPr>
      <w:r>
        <w:rPr>
          <w:sz w:val="28"/>
          <w:szCs w:val="28"/>
        </w:rPr>
        <w:lastRenderedPageBreak/>
        <w:t xml:space="preserve">Областной бюджет </w:t>
      </w:r>
      <w:r w:rsidRPr="00C50BE2">
        <w:rPr>
          <w:sz w:val="28"/>
          <w:szCs w:val="28"/>
        </w:rPr>
        <w:t xml:space="preserve">(норматив зачисления 40%) = </w:t>
      </w:r>
      <w:r>
        <w:rPr>
          <w:sz w:val="28"/>
          <w:szCs w:val="28"/>
        </w:rPr>
        <w:t xml:space="preserve">                                                           (6 707,8+2 009,4</w:t>
      </w:r>
      <w:r w:rsidRPr="00C50BE2">
        <w:rPr>
          <w:sz w:val="28"/>
          <w:szCs w:val="28"/>
        </w:rPr>
        <w:t>*</w:t>
      </w:r>
      <w:r>
        <w:rPr>
          <w:sz w:val="28"/>
          <w:szCs w:val="28"/>
        </w:rPr>
        <w:t>3)*40%</w:t>
      </w:r>
      <w:r w:rsidRPr="00B73346">
        <w:rPr>
          <w:rFonts w:eastAsia="Calibri"/>
          <w:color w:val="000000" w:themeColor="text1"/>
          <w:sz w:val="28"/>
          <w:szCs w:val="28"/>
        </w:rPr>
        <w:t xml:space="preserve">= </w:t>
      </w:r>
      <w:r>
        <w:rPr>
          <w:rFonts w:eastAsia="Calibri"/>
          <w:color w:val="000000" w:themeColor="text1"/>
          <w:sz w:val="28"/>
          <w:szCs w:val="28"/>
        </w:rPr>
        <w:t>5 094,4</w:t>
      </w:r>
      <w:r w:rsidRPr="00B73346">
        <w:rPr>
          <w:rFonts w:eastAsia="Calibri"/>
          <w:color w:val="000000" w:themeColor="text1"/>
          <w:sz w:val="28"/>
          <w:szCs w:val="28"/>
        </w:rPr>
        <w:t xml:space="preserve"> тыс. руб.</w:t>
      </w:r>
    </w:p>
    <w:p w:rsidR="00935C40" w:rsidRPr="00FD2807" w:rsidRDefault="00935C40" w:rsidP="00935C40">
      <w:pPr>
        <w:autoSpaceDE w:val="0"/>
        <w:autoSpaceDN w:val="0"/>
        <w:adjustRightInd w:val="0"/>
        <w:ind w:firstLine="540"/>
        <w:jc w:val="both"/>
        <w:rPr>
          <w:sz w:val="28"/>
          <w:szCs w:val="28"/>
        </w:rPr>
      </w:pPr>
      <w:r w:rsidRPr="00C50BE2">
        <w:rPr>
          <w:sz w:val="28"/>
          <w:szCs w:val="28"/>
        </w:rPr>
        <w:t xml:space="preserve">Местный бюджет (норматив зачисления </w:t>
      </w:r>
      <w:r>
        <w:rPr>
          <w:sz w:val="28"/>
          <w:szCs w:val="28"/>
        </w:rPr>
        <w:t>60</w:t>
      </w:r>
      <w:r w:rsidRPr="00C50BE2">
        <w:rPr>
          <w:sz w:val="28"/>
          <w:szCs w:val="28"/>
        </w:rPr>
        <w:t xml:space="preserve">%) </w:t>
      </w:r>
      <w:r>
        <w:rPr>
          <w:sz w:val="28"/>
          <w:szCs w:val="28"/>
        </w:rPr>
        <w:t xml:space="preserve">                                                            </w:t>
      </w:r>
      <w:r w:rsidRPr="00C50BE2">
        <w:rPr>
          <w:sz w:val="28"/>
          <w:szCs w:val="28"/>
        </w:rPr>
        <w:t xml:space="preserve">= </w:t>
      </w:r>
      <w:r>
        <w:rPr>
          <w:sz w:val="28"/>
          <w:szCs w:val="28"/>
        </w:rPr>
        <w:t>(6 707,8+2 009,4</w:t>
      </w:r>
      <w:r w:rsidRPr="00C50BE2">
        <w:rPr>
          <w:sz w:val="28"/>
          <w:szCs w:val="28"/>
        </w:rPr>
        <w:t>*</w:t>
      </w:r>
      <w:r>
        <w:rPr>
          <w:sz w:val="28"/>
          <w:szCs w:val="28"/>
        </w:rPr>
        <w:t>3)*60%</w:t>
      </w:r>
      <w:r w:rsidRPr="00C50BE2">
        <w:rPr>
          <w:sz w:val="28"/>
          <w:szCs w:val="28"/>
        </w:rPr>
        <w:t xml:space="preserve">= </w:t>
      </w:r>
      <w:r>
        <w:rPr>
          <w:sz w:val="28"/>
          <w:szCs w:val="28"/>
        </w:rPr>
        <w:t>7 641,6</w:t>
      </w:r>
      <w:r w:rsidRPr="00C50BE2">
        <w:rPr>
          <w:sz w:val="28"/>
          <w:szCs w:val="28"/>
        </w:rPr>
        <w:t xml:space="preserve"> тыс. руб.</w:t>
      </w:r>
    </w:p>
    <w:p w:rsidR="00935C40" w:rsidRDefault="00935C40" w:rsidP="00935C40">
      <w:pPr>
        <w:autoSpaceDE w:val="0"/>
        <w:autoSpaceDN w:val="0"/>
        <w:adjustRightInd w:val="0"/>
        <w:ind w:firstLine="540"/>
        <w:jc w:val="both"/>
        <w:rPr>
          <w:sz w:val="28"/>
          <w:szCs w:val="28"/>
        </w:rPr>
      </w:pPr>
      <w:r w:rsidRPr="00C50BE2">
        <w:rPr>
          <w:sz w:val="28"/>
          <w:szCs w:val="28"/>
        </w:rPr>
        <w:t xml:space="preserve">Консолидированный бюджет = </w:t>
      </w:r>
      <w:r>
        <w:rPr>
          <w:sz w:val="28"/>
          <w:szCs w:val="28"/>
        </w:rPr>
        <w:t xml:space="preserve">12 736 </w:t>
      </w:r>
      <w:r w:rsidRPr="00C50BE2">
        <w:rPr>
          <w:sz w:val="28"/>
          <w:szCs w:val="28"/>
        </w:rPr>
        <w:t>тыс. руб.</w:t>
      </w:r>
      <w:r>
        <w:rPr>
          <w:sz w:val="28"/>
          <w:szCs w:val="28"/>
        </w:rPr>
        <w:t>;</w:t>
      </w:r>
    </w:p>
    <w:p w:rsidR="00935C40" w:rsidRDefault="00935C40" w:rsidP="00935C40">
      <w:pPr>
        <w:pStyle w:val="21"/>
        <w:rPr>
          <w:b/>
        </w:rPr>
      </w:pPr>
    </w:p>
    <w:p w:rsidR="00935C40" w:rsidRPr="00075984" w:rsidRDefault="00935C40" w:rsidP="00935C40">
      <w:pPr>
        <w:pStyle w:val="21"/>
        <w:rPr>
          <w:b/>
        </w:rPr>
      </w:pPr>
      <w:r w:rsidRPr="00075984">
        <w:rPr>
          <w:b/>
        </w:rPr>
        <w:t>Расчет прогноза на 20</w:t>
      </w:r>
      <w:r>
        <w:rPr>
          <w:b/>
        </w:rPr>
        <w:t>22</w:t>
      </w:r>
      <w:r w:rsidRPr="00075984">
        <w:rPr>
          <w:b/>
        </w:rPr>
        <w:t xml:space="preserve"> год по кодам бюджетной классификации (</w:t>
      </w:r>
      <w:r w:rsidRPr="00075984">
        <w:rPr>
          <w:b/>
          <w:lang w:val="en-US"/>
        </w:rPr>
        <w:t>c</w:t>
      </w:r>
      <w:r w:rsidRPr="00075984">
        <w:rPr>
          <w:b/>
        </w:rPr>
        <w:t xml:space="preserve"> учетом округлений):</w:t>
      </w:r>
    </w:p>
    <w:p w:rsidR="00935C40" w:rsidRDefault="00935C40" w:rsidP="00935C40">
      <w:pPr>
        <w:pStyle w:val="21"/>
        <w:rPr>
          <w:b/>
        </w:rPr>
      </w:pPr>
      <w:r w:rsidRPr="00CB14EB">
        <w:rPr>
          <w:b/>
        </w:rPr>
        <w:t>КБК 048 1 12 01010 01 0000 120 «Плата за выбросы загрязняющих веществ в атмосферный воздух стационарными объектами»</w:t>
      </w:r>
    </w:p>
    <w:p w:rsidR="00935C40" w:rsidRDefault="00935C40" w:rsidP="00935C40">
      <w:pPr>
        <w:pStyle w:val="21"/>
        <w:rPr>
          <w:b/>
        </w:rPr>
      </w:pPr>
    </w:p>
    <w:tbl>
      <w:tblPr>
        <w:tblStyle w:val="a6"/>
        <w:tblW w:w="0" w:type="auto"/>
        <w:tblLook w:val="04A0" w:firstRow="1" w:lastRow="0" w:firstColumn="1" w:lastColumn="0" w:noHBand="0" w:noVBand="1"/>
      </w:tblPr>
      <w:tblGrid>
        <w:gridCol w:w="2656"/>
        <w:gridCol w:w="2004"/>
        <w:gridCol w:w="2269"/>
        <w:gridCol w:w="2275"/>
      </w:tblGrid>
      <w:tr w:rsidR="00935C40" w:rsidTr="001E2A06">
        <w:tc>
          <w:tcPr>
            <w:tcW w:w="9344" w:type="dxa"/>
            <w:gridSpan w:val="4"/>
            <w:tcBorders>
              <w:top w:val="dotted" w:sz="4" w:space="0" w:color="auto"/>
              <w:left w:val="dotted" w:sz="4" w:space="0" w:color="auto"/>
              <w:bottom w:val="dotted" w:sz="4" w:space="0" w:color="auto"/>
              <w:right w:val="dotted" w:sz="4" w:space="0" w:color="auto"/>
            </w:tcBorders>
          </w:tcPr>
          <w:p w:rsidR="00935C40" w:rsidRPr="00344047" w:rsidRDefault="00935C40" w:rsidP="001E2A06">
            <w:pPr>
              <w:pStyle w:val="21"/>
              <w:ind w:firstLine="0"/>
              <w:jc w:val="center"/>
            </w:pPr>
            <w:r w:rsidRPr="00344047">
              <w:t>Факт поступления</w:t>
            </w:r>
            <w:r>
              <w:t>, тыс. руб.</w:t>
            </w:r>
          </w:p>
        </w:tc>
      </w:tr>
      <w:tr w:rsidR="00935C40" w:rsidTr="001E2A06">
        <w:tc>
          <w:tcPr>
            <w:tcW w:w="2689" w:type="dxa"/>
            <w:tcBorders>
              <w:top w:val="dotted" w:sz="4" w:space="0" w:color="auto"/>
              <w:left w:val="dotted" w:sz="4" w:space="0" w:color="auto"/>
              <w:bottom w:val="dotted" w:sz="4" w:space="0" w:color="auto"/>
              <w:right w:val="nil"/>
            </w:tcBorders>
          </w:tcPr>
          <w:p w:rsidR="00935C40" w:rsidRPr="00344047" w:rsidRDefault="00935C40" w:rsidP="001E2A06">
            <w:pPr>
              <w:pStyle w:val="21"/>
              <w:ind w:firstLine="0"/>
            </w:pPr>
            <w:r w:rsidRPr="00344047">
              <w:t xml:space="preserve">Уровень бюджета </w:t>
            </w:r>
          </w:p>
        </w:tc>
        <w:tc>
          <w:tcPr>
            <w:tcW w:w="2037" w:type="dxa"/>
            <w:tcBorders>
              <w:top w:val="dotted" w:sz="4" w:space="0" w:color="auto"/>
              <w:left w:val="nil"/>
              <w:bottom w:val="dotted" w:sz="4" w:space="0" w:color="auto"/>
              <w:right w:val="nil"/>
            </w:tcBorders>
          </w:tcPr>
          <w:p w:rsidR="00935C40" w:rsidRPr="00344047" w:rsidRDefault="00935C40" w:rsidP="001E2A06">
            <w:pPr>
              <w:pStyle w:val="21"/>
              <w:ind w:firstLine="0"/>
              <w:jc w:val="center"/>
            </w:pPr>
            <w:r>
              <w:t>2018</w:t>
            </w:r>
            <w:r w:rsidRPr="00344047">
              <w:t xml:space="preserve"> год</w:t>
            </w:r>
          </w:p>
        </w:tc>
        <w:tc>
          <w:tcPr>
            <w:tcW w:w="2309" w:type="dxa"/>
            <w:tcBorders>
              <w:top w:val="dotted" w:sz="4" w:space="0" w:color="auto"/>
              <w:left w:val="nil"/>
              <w:bottom w:val="dotted" w:sz="4" w:space="0" w:color="auto"/>
              <w:right w:val="nil"/>
            </w:tcBorders>
          </w:tcPr>
          <w:p w:rsidR="00935C40" w:rsidRPr="00344047" w:rsidRDefault="00935C40" w:rsidP="001E2A06">
            <w:pPr>
              <w:pStyle w:val="21"/>
              <w:ind w:firstLine="0"/>
              <w:jc w:val="center"/>
            </w:pPr>
            <w:r w:rsidRPr="00344047">
              <w:t>201</w:t>
            </w:r>
            <w:r>
              <w:t>9</w:t>
            </w:r>
            <w:r w:rsidRPr="00344047">
              <w:t xml:space="preserve"> год</w:t>
            </w:r>
          </w:p>
        </w:tc>
        <w:tc>
          <w:tcPr>
            <w:tcW w:w="2309" w:type="dxa"/>
            <w:tcBorders>
              <w:top w:val="dotted" w:sz="4" w:space="0" w:color="auto"/>
              <w:left w:val="nil"/>
              <w:bottom w:val="dotted" w:sz="4" w:space="0" w:color="auto"/>
              <w:right w:val="dotted" w:sz="4" w:space="0" w:color="auto"/>
            </w:tcBorders>
          </w:tcPr>
          <w:p w:rsidR="00935C40" w:rsidRPr="00344047" w:rsidRDefault="00935C40" w:rsidP="001E2A06">
            <w:pPr>
              <w:pStyle w:val="21"/>
              <w:ind w:firstLine="0"/>
              <w:jc w:val="center"/>
            </w:pPr>
            <w:r w:rsidRPr="00344047">
              <w:t>20</w:t>
            </w:r>
            <w:r>
              <w:t>20</w:t>
            </w:r>
            <w:r w:rsidRPr="00344047">
              <w:t xml:space="preserve"> год</w:t>
            </w:r>
          </w:p>
        </w:tc>
      </w:tr>
      <w:tr w:rsidR="00935C40" w:rsidTr="001E2A06">
        <w:tc>
          <w:tcPr>
            <w:tcW w:w="2689" w:type="dxa"/>
            <w:tcBorders>
              <w:top w:val="dotted" w:sz="4" w:space="0" w:color="auto"/>
              <w:left w:val="dotted" w:sz="4" w:space="0" w:color="auto"/>
              <w:bottom w:val="nil"/>
              <w:right w:val="nil"/>
            </w:tcBorders>
          </w:tcPr>
          <w:p w:rsidR="00935C40" w:rsidRPr="00344047" w:rsidRDefault="00935C40" w:rsidP="001E2A06">
            <w:pPr>
              <w:pStyle w:val="21"/>
              <w:ind w:firstLine="0"/>
              <w:jc w:val="left"/>
            </w:pPr>
            <w:r w:rsidRPr="00344047">
              <w:t>Областной</w:t>
            </w:r>
          </w:p>
        </w:tc>
        <w:tc>
          <w:tcPr>
            <w:tcW w:w="2037" w:type="dxa"/>
            <w:tcBorders>
              <w:top w:val="dotted" w:sz="4" w:space="0" w:color="auto"/>
              <w:left w:val="nil"/>
              <w:bottom w:val="nil"/>
              <w:right w:val="nil"/>
            </w:tcBorders>
          </w:tcPr>
          <w:p w:rsidR="00935C40" w:rsidRPr="00344047" w:rsidRDefault="00935C40" w:rsidP="001E2A06">
            <w:pPr>
              <w:pStyle w:val="21"/>
              <w:ind w:firstLine="0"/>
              <w:jc w:val="center"/>
            </w:pPr>
            <w:r w:rsidRPr="009A0B30">
              <w:t>4 238,0</w:t>
            </w:r>
          </w:p>
        </w:tc>
        <w:tc>
          <w:tcPr>
            <w:tcW w:w="2309" w:type="dxa"/>
            <w:tcBorders>
              <w:top w:val="dotted" w:sz="4" w:space="0" w:color="auto"/>
              <w:left w:val="nil"/>
              <w:bottom w:val="nil"/>
              <w:right w:val="nil"/>
            </w:tcBorders>
          </w:tcPr>
          <w:p w:rsidR="00935C40" w:rsidRPr="00344047" w:rsidRDefault="00935C40" w:rsidP="001E2A06">
            <w:pPr>
              <w:pStyle w:val="21"/>
              <w:ind w:firstLine="0"/>
              <w:jc w:val="center"/>
            </w:pPr>
            <w:r w:rsidRPr="00D22DFC">
              <w:t>3 877,4</w:t>
            </w:r>
          </w:p>
        </w:tc>
        <w:tc>
          <w:tcPr>
            <w:tcW w:w="2309" w:type="dxa"/>
            <w:tcBorders>
              <w:top w:val="dotted" w:sz="4" w:space="0" w:color="auto"/>
              <w:left w:val="nil"/>
              <w:bottom w:val="nil"/>
              <w:right w:val="dotted" w:sz="4" w:space="0" w:color="auto"/>
            </w:tcBorders>
          </w:tcPr>
          <w:p w:rsidR="00935C40" w:rsidRPr="00344047" w:rsidRDefault="00935C40" w:rsidP="001E2A06">
            <w:pPr>
              <w:pStyle w:val="21"/>
              <w:ind w:firstLine="0"/>
              <w:jc w:val="center"/>
            </w:pPr>
            <w:r>
              <w:t>2 742,6</w:t>
            </w:r>
          </w:p>
        </w:tc>
      </w:tr>
      <w:tr w:rsidR="00935C40" w:rsidTr="001E2A06">
        <w:tc>
          <w:tcPr>
            <w:tcW w:w="2689" w:type="dxa"/>
            <w:tcBorders>
              <w:top w:val="nil"/>
              <w:left w:val="nil"/>
              <w:bottom w:val="nil"/>
              <w:right w:val="nil"/>
            </w:tcBorders>
          </w:tcPr>
          <w:p w:rsidR="00935C40" w:rsidRPr="00344047" w:rsidRDefault="00935C40" w:rsidP="001E2A06">
            <w:pPr>
              <w:pStyle w:val="21"/>
              <w:ind w:firstLine="0"/>
              <w:jc w:val="left"/>
            </w:pPr>
            <w:r w:rsidRPr="00344047">
              <w:t>Местный</w:t>
            </w:r>
          </w:p>
        </w:tc>
        <w:tc>
          <w:tcPr>
            <w:tcW w:w="2037" w:type="dxa"/>
            <w:tcBorders>
              <w:top w:val="nil"/>
              <w:left w:val="nil"/>
              <w:bottom w:val="nil"/>
              <w:right w:val="nil"/>
            </w:tcBorders>
          </w:tcPr>
          <w:p w:rsidR="00935C40" w:rsidRPr="00344047" w:rsidRDefault="00935C40" w:rsidP="001E2A06">
            <w:pPr>
              <w:pStyle w:val="21"/>
              <w:ind w:firstLine="0"/>
              <w:jc w:val="center"/>
            </w:pPr>
            <w:r w:rsidRPr="009A0B30">
              <w:t>5 827,3</w:t>
            </w:r>
          </w:p>
        </w:tc>
        <w:tc>
          <w:tcPr>
            <w:tcW w:w="2309" w:type="dxa"/>
            <w:tcBorders>
              <w:top w:val="nil"/>
              <w:left w:val="nil"/>
              <w:bottom w:val="nil"/>
              <w:right w:val="nil"/>
            </w:tcBorders>
          </w:tcPr>
          <w:p w:rsidR="00935C40" w:rsidRPr="00344047" w:rsidRDefault="00935C40" w:rsidP="001E2A06">
            <w:pPr>
              <w:pStyle w:val="21"/>
              <w:ind w:firstLine="0"/>
              <w:jc w:val="center"/>
            </w:pPr>
            <w:r>
              <w:t>5 331,4</w:t>
            </w:r>
          </w:p>
        </w:tc>
        <w:tc>
          <w:tcPr>
            <w:tcW w:w="2309" w:type="dxa"/>
            <w:tcBorders>
              <w:top w:val="nil"/>
              <w:left w:val="nil"/>
              <w:bottom w:val="nil"/>
              <w:right w:val="nil"/>
            </w:tcBorders>
          </w:tcPr>
          <w:p w:rsidR="00935C40" w:rsidRPr="00344047" w:rsidRDefault="00935C40" w:rsidP="001E2A06">
            <w:pPr>
              <w:pStyle w:val="21"/>
              <w:ind w:firstLine="0"/>
              <w:jc w:val="center"/>
            </w:pPr>
            <w:r>
              <w:t>4 114,0</w:t>
            </w:r>
          </w:p>
        </w:tc>
      </w:tr>
    </w:tbl>
    <w:p w:rsidR="00935C40" w:rsidRPr="00CB14EB" w:rsidRDefault="00935C40" w:rsidP="00935C40">
      <w:pPr>
        <w:pStyle w:val="21"/>
        <w:jc w:val="center"/>
        <w:rPr>
          <w:b/>
        </w:rPr>
      </w:pPr>
    </w:p>
    <w:p w:rsidR="00935C40" w:rsidRPr="00C50BE2" w:rsidRDefault="00935C40" w:rsidP="00935C40">
      <w:pPr>
        <w:autoSpaceDE w:val="0"/>
        <w:autoSpaceDN w:val="0"/>
        <w:adjustRightInd w:val="0"/>
        <w:ind w:firstLine="540"/>
        <w:jc w:val="both"/>
        <w:rPr>
          <w:sz w:val="28"/>
          <w:szCs w:val="28"/>
        </w:rPr>
      </w:pPr>
      <w:r w:rsidRPr="00C50BE2">
        <w:rPr>
          <w:sz w:val="28"/>
          <w:szCs w:val="28"/>
        </w:rPr>
        <w:t xml:space="preserve">Областной бюджет (норматив зачисления 40%) = </w:t>
      </w:r>
      <w:r w:rsidRPr="00482FA4">
        <w:rPr>
          <w:rFonts w:eastAsia="Calibri"/>
          <w:sz w:val="28"/>
          <w:szCs w:val="28"/>
        </w:rPr>
        <w:t>(4</w:t>
      </w:r>
      <w:r>
        <w:rPr>
          <w:rFonts w:eastAsia="Calibri"/>
          <w:sz w:val="28"/>
          <w:szCs w:val="28"/>
        </w:rPr>
        <w:t xml:space="preserve"> 238,0 + 3 877,4+2 742,6</w:t>
      </w:r>
      <w:r w:rsidRPr="00482FA4">
        <w:rPr>
          <w:rFonts w:eastAsia="Calibri"/>
          <w:sz w:val="28"/>
          <w:szCs w:val="28"/>
        </w:rPr>
        <w:t>)/3*1,0</w:t>
      </w:r>
      <w:r>
        <w:rPr>
          <w:rFonts w:eastAsia="Calibri"/>
          <w:sz w:val="28"/>
          <w:szCs w:val="28"/>
        </w:rPr>
        <w:t>8</w:t>
      </w:r>
      <w:r w:rsidRPr="00482FA4">
        <w:rPr>
          <w:rFonts w:eastAsia="Calibri"/>
          <w:sz w:val="28"/>
          <w:szCs w:val="28"/>
        </w:rPr>
        <w:t>*1,0</w:t>
      </w:r>
      <w:r>
        <w:rPr>
          <w:rFonts w:eastAsia="Calibri"/>
          <w:sz w:val="28"/>
          <w:szCs w:val="28"/>
        </w:rPr>
        <w:t>4</w:t>
      </w:r>
      <w:r w:rsidRPr="00482FA4">
        <w:rPr>
          <w:rFonts w:eastAsia="Calibri"/>
          <w:sz w:val="28"/>
          <w:szCs w:val="28"/>
        </w:rPr>
        <w:t xml:space="preserve"> = </w:t>
      </w:r>
      <w:r>
        <w:rPr>
          <w:rFonts w:eastAsia="Calibri"/>
          <w:sz w:val="28"/>
          <w:szCs w:val="28"/>
        </w:rPr>
        <w:t>4 065,2</w:t>
      </w:r>
      <w:r w:rsidRPr="00482FA4">
        <w:rPr>
          <w:rFonts w:eastAsia="Calibri"/>
          <w:sz w:val="28"/>
          <w:szCs w:val="28"/>
        </w:rPr>
        <w:t xml:space="preserve"> тыс. руб</w:t>
      </w:r>
      <w:r>
        <w:rPr>
          <w:rFonts w:eastAsia="Calibri"/>
          <w:sz w:val="28"/>
          <w:szCs w:val="28"/>
        </w:rPr>
        <w:t>.</w:t>
      </w:r>
    </w:p>
    <w:p w:rsidR="00935C40" w:rsidRPr="00957D59" w:rsidRDefault="00935C40" w:rsidP="00935C40">
      <w:pPr>
        <w:autoSpaceDE w:val="0"/>
        <w:autoSpaceDN w:val="0"/>
        <w:adjustRightInd w:val="0"/>
        <w:ind w:firstLine="540"/>
        <w:jc w:val="both"/>
        <w:rPr>
          <w:sz w:val="28"/>
          <w:szCs w:val="28"/>
        </w:rPr>
      </w:pPr>
      <w:r w:rsidRPr="00C50BE2">
        <w:rPr>
          <w:sz w:val="28"/>
          <w:szCs w:val="28"/>
        </w:rPr>
        <w:t xml:space="preserve">Местный бюджет (норматив зачисления </w:t>
      </w:r>
      <w:r>
        <w:rPr>
          <w:sz w:val="28"/>
          <w:szCs w:val="28"/>
        </w:rPr>
        <w:t>60</w:t>
      </w:r>
      <w:r w:rsidRPr="00C50BE2">
        <w:rPr>
          <w:sz w:val="28"/>
          <w:szCs w:val="28"/>
        </w:rPr>
        <w:t xml:space="preserve">%) = </w:t>
      </w:r>
      <w:r>
        <w:rPr>
          <w:sz w:val="28"/>
          <w:szCs w:val="28"/>
        </w:rPr>
        <w:t xml:space="preserve">                                                          </w:t>
      </w:r>
      <w:r w:rsidRPr="00957D59">
        <w:rPr>
          <w:sz w:val="28"/>
          <w:szCs w:val="28"/>
        </w:rPr>
        <w:t>(( 5 827,3</w:t>
      </w:r>
      <w:r>
        <w:rPr>
          <w:sz w:val="28"/>
          <w:szCs w:val="28"/>
        </w:rPr>
        <w:t>+5 331,4)*1,0909+4 114,0</w:t>
      </w:r>
      <w:r w:rsidRPr="00957D59">
        <w:rPr>
          <w:sz w:val="28"/>
          <w:szCs w:val="28"/>
        </w:rPr>
        <w:t>)/3*1,0</w:t>
      </w:r>
      <w:r>
        <w:rPr>
          <w:sz w:val="28"/>
          <w:szCs w:val="28"/>
        </w:rPr>
        <w:t>8</w:t>
      </w:r>
      <w:r w:rsidRPr="00957D59">
        <w:rPr>
          <w:sz w:val="28"/>
          <w:szCs w:val="28"/>
        </w:rPr>
        <w:t>*1,0</w:t>
      </w:r>
      <w:r>
        <w:rPr>
          <w:sz w:val="28"/>
          <w:szCs w:val="28"/>
        </w:rPr>
        <w:t>4</w:t>
      </w:r>
      <w:r w:rsidRPr="00957D59">
        <w:rPr>
          <w:sz w:val="28"/>
          <w:szCs w:val="28"/>
        </w:rPr>
        <w:t xml:space="preserve"> = </w:t>
      </w:r>
      <w:r>
        <w:rPr>
          <w:sz w:val="28"/>
          <w:szCs w:val="28"/>
        </w:rPr>
        <w:t>6 097,9</w:t>
      </w:r>
      <w:r w:rsidRPr="00957D59">
        <w:rPr>
          <w:sz w:val="28"/>
          <w:szCs w:val="28"/>
        </w:rPr>
        <w:t xml:space="preserve"> тыс. руб.</w:t>
      </w:r>
    </w:p>
    <w:p w:rsidR="00935C40" w:rsidRDefault="00935C40" w:rsidP="00935C40">
      <w:pPr>
        <w:autoSpaceDE w:val="0"/>
        <w:autoSpaceDN w:val="0"/>
        <w:adjustRightInd w:val="0"/>
        <w:ind w:firstLine="540"/>
        <w:jc w:val="both"/>
        <w:rPr>
          <w:sz w:val="28"/>
          <w:szCs w:val="28"/>
        </w:rPr>
      </w:pPr>
      <w:r w:rsidRPr="00C50BE2">
        <w:rPr>
          <w:sz w:val="28"/>
          <w:szCs w:val="28"/>
        </w:rPr>
        <w:t xml:space="preserve">Консолидированный бюджет = </w:t>
      </w:r>
      <w:r w:rsidRPr="00482FA4">
        <w:rPr>
          <w:rFonts w:eastAsia="Calibri"/>
          <w:sz w:val="28"/>
          <w:szCs w:val="28"/>
        </w:rPr>
        <w:t>1</w:t>
      </w:r>
      <w:r>
        <w:rPr>
          <w:rFonts w:eastAsia="Calibri"/>
          <w:sz w:val="28"/>
          <w:szCs w:val="28"/>
        </w:rPr>
        <w:t>0 163,1</w:t>
      </w:r>
      <w:r w:rsidRPr="00482FA4">
        <w:rPr>
          <w:rFonts w:eastAsia="Calibri"/>
          <w:sz w:val="28"/>
          <w:szCs w:val="28"/>
        </w:rPr>
        <w:t xml:space="preserve"> </w:t>
      </w:r>
      <w:r w:rsidRPr="00C50BE2">
        <w:rPr>
          <w:sz w:val="28"/>
          <w:szCs w:val="28"/>
        </w:rPr>
        <w:t>тыс. руб.</w:t>
      </w:r>
    </w:p>
    <w:p w:rsidR="00935C40" w:rsidRDefault="00935C40" w:rsidP="00935C40">
      <w:pPr>
        <w:autoSpaceDE w:val="0"/>
        <w:autoSpaceDN w:val="0"/>
        <w:adjustRightInd w:val="0"/>
        <w:ind w:firstLine="540"/>
        <w:jc w:val="both"/>
        <w:rPr>
          <w:b/>
          <w:sz w:val="28"/>
          <w:szCs w:val="28"/>
        </w:rPr>
      </w:pPr>
      <w:r>
        <w:rPr>
          <w:b/>
          <w:sz w:val="28"/>
          <w:szCs w:val="28"/>
        </w:rPr>
        <w:t xml:space="preserve"> </w:t>
      </w:r>
    </w:p>
    <w:p w:rsidR="00935C40" w:rsidRDefault="00935C40" w:rsidP="00935C40">
      <w:pPr>
        <w:autoSpaceDE w:val="0"/>
        <w:autoSpaceDN w:val="0"/>
        <w:adjustRightInd w:val="0"/>
        <w:ind w:firstLine="540"/>
        <w:jc w:val="both"/>
        <w:rPr>
          <w:b/>
          <w:sz w:val="28"/>
          <w:szCs w:val="28"/>
        </w:rPr>
      </w:pPr>
      <w:r w:rsidRPr="00CB14EB">
        <w:rPr>
          <w:b/>
          <w:sz w:val="28"/>
          <w:szCs w:val="28"/>
        </w:rPr>
        <w:t>КБК 048 1 12 01030 01 0000 120 «Плата за сбросы загрязняющих веществ в водные объекты»</w:t>
      </w:r>
    </w:p>
    <w:p w:rsidR="00935C40" w:rsidRDefault="00935C40" w:rsidP="00935C40">
      <w:pPr>
        <w:autoSpaceDE w:val="0"/>
        <w:autoSpaceDN w:val="0"/>
        <w:adjustRightInd w:val="0"/>
        <w:ind w:firstLine="540"/>
        <w:jc w:val="both"/>
        <w:rPr>
          <w:b/>
          <w:sz w:val="28"/>
          <w:szCs w:val="28"/>
        </w:rPr>
      </w:pPr>
    </w:p>
    <w:tbl>
      <w:tblPr>
        <w:tblStyle w:val="a6"/>
        <w:tblW w:w="0" w:type="auto"/>
        <w:tblLook w:val="04A0" w:firstRow="1" w:lastRow="0" w:firstColumn="1" w:lastColumn="0" w:noHBand="0" w:noVBand="1"/>
      </w:tblPr>
      <w:tblGrid>
        <w:gridCol w:w="2654"/>
        <w:gridCol w:w="2008"/>
        <w:gridCol w:w="2271"/>
        <w:gridCol w:w="2271"/>
      </w:tblGrid>
      <w:tr w:rsidR="00935C40" w:rsidTr="001E2A06">
        <w:tc>
          <w:tcPr>
            <w:tcW w:w="9344" w:type="dxa"/>
            <w:gridSpan w:val="4"/>
            <w:tcBorders>
              <w:top w:val="dotted" w:sz="4" w:space="0" w:color="auto"/>
              <w:left w:val="dotted" w:sz="4" w:space="0" w:color="auto"/>
              <w:bottom w:val="dotted" w:sz="4" w:space="0" w:color="auto"/>
              <w:right w:val="dotted" w:sz="4" w:space="0" w:color="auto"/>
            </w:tcBorders>
          </w:tcPr>
          <w:p w:rsidR="00935C40" w:rsidRPr="00344047" w:rsidRDefault="00935C40" w:rsidP="001E2A06">
            <w:pPr>
              <w:pStyle w:val="21"/>
              <w:ind w:firstLine="0"/>
              <w:jc w:val="center"/>
            </w:pPr>
            <w:r w:rsidRPr="00344047">
              <w:t>Факт поступления</w:t>
            </w:r>
            <w:r>
              <w:t>, тыс. руб.</w:t>
            </w:r>
          </w:p>
        </w:tc>
      </w:tr>
      <w:tr w:rsidR="00935C40" w:rsidTr="001E2A06">
        <w:tc>
          <w:tcPr>
            <w:tcW w:w="2689" w:type="dxa"/>
            <w:tcBorders>
              <w:top w:val="dotted" w:sz="4" w:space="0" w:color="auto"/>
              <w:left w:val="dotted" w:sz="4" w:space="0" w:color="auto"/>
              <w:bottom w:val="dotted" w:sz="4" w:space="0" w:color="auto"/>
              <w:right w:val="nil"/>
            </w:tcBorders>
          </w:tcPr>
          <w:p w:rsidR="00935C40" w:rsidRPr="00344047" w:rsidRDefault="00935C40" w:rsidP="001E2A06">
            <w:pPr>
              <w:pStyle w:val="21"/>
              <w:ind w:firstLine="0"/>
            </w:pPr>
            <w:r w:rsidRPr="00344047">
              <w:t xml:space="preserve">Уровень бюджета </w:t>
            </w:r>
          </w:p>
        </w:tc>
        <w:tc>
          <w:tcPr>
            <w:tcW w:w="2037" w:type="dxa"/>
            <w:tcBorders>
              <w:top w:val="dotted" w:sz="4" w:space="0" w:color="auto"/>
              <w:left w:val="nil"/>
              <w:bottom w:val="dotted" w:sz="4" w:space="0" w:color="auto"/>
              <w:right w:val="nil"/>
            </w:tcBorders>
          </w:tcPr>
          <w:p w:rsidR="00935C40" w:rsidRPr="00344047" w:rsidRDefault="00935C40" w:rsidP="001E2A06">
            <w:pPr>
              <w:pStyle w:val="21"/>
              <w:ind w:firstLine="0"/>
              <w:jc w:val="center"/>
            </w:pPr>
            <w:r w:rsidRPr="00344047">
              <w:t>201</w:t>
            </w:r>
            <w:r>
              <w:t>8</w:t>
            </w:r>
            <w:r w:rsidRPr="00344047">
              <w:t xml:space="preserve"> год</w:t>
            </w:r>
          </w:p>
        </w:tc>
        <w:tc>
          <w:tcPr>
            <w:tcW w:w="2309" w:type="dxa"/>
            <w:tcBorders>
              <w:top w:val="dotted" w:sz="4" w:space="0" w:color="auto"/>
              <w:left w:val="nil"/>
              <w:bottom w:val="dotted" w:sz="4" w:space="0" w:color="auto"/>
              <w:right w:val="nil"/>
            </w:tcBorders>
          </w:tcPr>
          <w:p w:rsidR="00935C40" w:rsidRPr="00344047" w:rsidRDefault="00935C40" w:rsidP="001E2A06">
            <w:pPr>
              <w:pStyle w:val="21"/>
              <w:ind w:firstLine="0"/>
              <w:jc w:val="center"/>
            </w:pPr>
            <w:r w:rsidRPr="00344047">
              <w:t>201</w:t>
            </w:r>
            <w:r>
              <w:t>9</w:t>
            </w:r>
            <w:r w:rsidRPr="00344047">
              <w:t xml:space="preserve"> год</w:t>
            </w:r>
          </w:p>
        </w:tc>
        <w:tc>
          <w:tcPr>
            <w:tcW w:w="2309" w:type="dxa"/>
            <w:tcBorders>
              <w:top w:val="dotted" w:sz="4" w:space="0" w:color="auto"/>
              <w:left w:val="nil"/>
              <w:bottom w:val="dotted" w:sz="4" w:space="0" w:color="auto"/>
              <w:right w:val="dotted" w:sz="4" w:space="0" w:color="auto"/>
            </w:tcBorders>
          </w:tcPr>
          <w:p w:rsidR="00935C40" w:rsidRPr="00344047" w:rsidRDefault="00935C40" w:rsidP="001E2A06">
            <w:pPr>
              <w:pStyle w:val="21"/>
              <w:ind w:firstLine="0"/>
              <w:jc w:val="center"/>
            </w:pPr>
            <w:r w:rsidRPr="00344047">
              <w:t>20</w:t>
            </w:r>
            <w:r>
              <w:t>20</w:t>
            </w:r>
            <w:r w:rsidRPr="00344047">
              <w:t xml:space="preserve"> год</w:t>
            </w:r>
          </w:p>
        </w:tc>
      </w:tr>
      <w:tr w:rsidR="00935C40" w:rsidTr="001E2A06">
        <w:tc>
          <w:tcPr>
            <w:tcW w:w="2689" w:type="dxa"/>
            <w:tcBorders>
              <w:top w:val="dotted" w:sz="4" w:space="0" w:color="auto"/>
              <w:left w:val="dotted" w:sz="4" w:space="0" w:color="auto"/>
              <w:bottom w:val="nil"/>
              <w:right w:val="nil"/>
            </w:tcBorders>
          </w:tcPr>
          <w:p w:rsidR="00935C40" w:rsidRPr="00344047" w:rsidRDefault="00935C40" w:rsidP="001E2A06">
            <w:pPr>
              <w:pStyle w:val="21"/>
              <w:ind w:firstLine="0"/>
              <w:jc w:val="left"/>
            </w:pPr>
            <w:r w:rsidRPr="00344047">
              <w:t>Областной</w:t>
            </w:r>
          </w:p>
        </w:tc>
        <w:tc>
          <w:tcPr>
            <w:tcW w:w="2037" w:type="dxa"/>
            <w:tcBorders>
              <w:top w:val="dotted" w:sz="4" w:space="0" w:color="auto"/>
              <w:left w:val="nil"/>
              <w:bottom w:val="nil"/>
              <w:right w:val="nil"/>
            </w:tcBorders>
          </w:tcPr>
          <w:p w:rsidR="00935C40" w:rsidRPr="00344047" w:rsidRDefault="00935C40" w:rsidP="001E2A06">
            <w:pPr>
              <w:pStyle w:val="21"/>
              <w:ind w:firstLine="0"/>
              <w:jc w:val="center"/>
            </w:pPr>
            <w:r w:rsidRPr="0052767E">
              <w:t>2 967,9</w:t>
            </w:r>
          </w:p>
        </w:tc>
        <w:tc>
          <w:tcPr>
            <w:tcW w:w="2309" w:type="dxa"/>
            <w:tcBorders>
              <w:top w:val="dotted" w:sz="4" w:space="0" w:color="auto"/>
              <w:left w:val="nil"/>
              <w:bottom w:val="nil"/>
              <w:right w:val="nil"/>
            </w:tcBorders>
          </w:tcPr>
          <w:p w:rsidR="00935C40" w:rsidRPr="00344047" w:rsidRDefault="00935C40" w:rsidP="001E2A06">
            <w:pPr>
              <w:pStyle w:val="21"/>
              <w:ind w:firstLine="0"/>
              <w:jc w:val="center"/>
            </w:pPr>
            <w:r w:rsidRPr="0052767E">
              <w:t>3 779,7</w:t>
            </w:r>
          </w:p>
        </w:tc>
        <w:tc>
          <w:tcPr>
            <w:tcW w:w="2309" w:type="dxa"/>
            <w:tcBorders>
              <w:top w:val="dotted" w:sz="4" w:space="0" w:color="auto"/>
              <w:left w:val="nil"/>
              <w:bottom w:val="nil"/>
              <w:right w:val="dotted" w:sz="4" w:space="0" w:color="auto"/>
            </w:tcBorders>
          </w:tcPr>
          <w:p w:rsidR="00935C40" w:rsidRPr="00344047" w:rsidRDefault="00935C40" w:rsidP="001E2A06">
            <w:pPr>
              <w:pStyle w:val="21"/>
              <w:ind w:firstLine="0"/>
              <w:jc w:val="center"/>
            </w:pPr>
            <w:r>
              <w:t>2 973,3</w:t>
            </w:r>
          </w:p>
        </w:tc>
      </w:tr>
      <w:tr w:rsidR="00935C40" w:rsidTr="001E2A06">
        <w:tc>
          <w:tcPr>
            <w:tcW w:w="2689" w:type="dxa"/>
            <w:tcBorders>
              <w:top w:val="nil"/>
              <w:left w:val="nil"/>
              <w:bottom w:val="nil"/>
              <w:right w:val="nil"/>
            </w:tcBorders>
          </w:tcPr>
          <w:p w:rsidR="00935C40" w:rsidRPr="00344047" w:rsidRDefault="00935C40" w:rsidP="001E2A06">
            <w:pPr>
              <w:pStyle w:val="21"/>
              <w:ind w:firstLine="0"/>
              <w:jc w:val="left"/>
            </w:pPr>
            <w:r w:rsidRPr="00344047">
              <w:t>Местный</w:t>
            </w:r>
          </w:p>
        </w:tc>
        <w:tc>
          <w:tcPr>
            <w:tcW w:w="2037" w:type="dxa"/>
            <w:tcBorders>
              <w:top w:val="nil"/>
              <w:left w:val="nil"/>
              <w:bottom w:val="nil"/>
              <w:right w:val="nil"/>
            </w:tcBorders>
          </w:tcPr>
          <w:p w:rsidR="00935C40" w:rsidRPr="00344047" w:rsidRDefault="00935C40" w:rsidP="001E2A06">
            <w:pPr>
              <w:pStyle w:val="21"/>
              <w:ind w:firstLine="0"/>
              <w:jc w:val="center"/>
            </w:pPr>
            <w:r>
              <w:t>4 080,9</w:t>
            </w:r>
          </w:p>
        </w:tc>
        <w:tc>
          <w:tcPr>
            <w:tcW w:w="2309" w:type="dxa"/>
            <w:tcBorders>
              <w:top w:val="nil"/>
              <w:left w:val="nil"/>
              <w:bottom w:val="nil"/>
              <w:right w:val="nil"/>
            </w:tcBorders>
          </w:tcPr>
          <w:p w:rsidR="00935C40" w:rsidRPr="00344047" w:rsidRDefault="00935C40" w:rsidP="001E2A06">
            <w:pPr>
              <w:pStyle w:val="21"/>
              <w:ind w:firstLine="0"/>
              <w:jc w:val="center"/>
            </w:pPr>
            <w:r>
              <w:t>5 197,0</w:t>
            </w:r>
          </w:p>
        </w:tc>
        <w:tc>
          <w:tcPr>
            <w:tcW w:w="2309" w:type="dxa"/>
            <w:tcBorders>
              <w:top w:val="nil"/>
              <w:left w:val="nil"/>
              <w:bottom w:val="nil"/>
              <w:right w:val="nil"/>
            </w:tcBorders>
          </w:tcPr>
          <w:p w:rsidR="00935C40" w:rsidRPr="00344047" w:rsidRDefault="00935C40" w:rsidP="001E2A06">
            <w:pPr>
              <w:pStyle w:val="21"/>
              <w:ind w:firstLine="0"/>
              <w:jc w:val="center"/>
            </w:pPr>
            <w:r>
              <w:t>4 460,0</w:t>
            </w:r>
          </w:p>
        </w:tc>
      </w:tr>
    </w:tbl>
    <w:p w:rsidR="00935C40" w:rsidRPr="00CB14EB" w:rsidRDefault="00935C40" w:rsidP="00935C40">
      <w:pPr>
        <w:autoSpaceDE w:val="0"/>
        <w:autoSpaceDN w:val="0"/>
        <w:adjustRightInd w:val="0"/>
        <w:ind w:firstLine="540"/>
        <w:jc w:val="both"/>
        <w:rPr>
          <w:b/>
          <w:sz w:val="28"/>
          <w:szCs w:val="28"/>
        </w:rPr>
      </w:pPr>
    </w:p>
    <w:p w:rsidR="00935C40" w:rsidRPr="00957D59" w:rsidRDefault="00935C40" w:rsidP="00935C40">
      <w:pPr>
        <w:autoSpaceDE w:val="0"/>
        <w:autoSpaceDN w:val="0"/>
        <w:adjustRightInd w:val="0"/>
        <w:ind w:firstLine="540"/>
        <w:jc w:val="both"/>
        <w:rPr>
          <w:sz w:val="28"/>
          <w:szCs w:val="28"/>
        </w:rPr>
      </w:pPr>
      <w:r w:rsidRPr="00C50BE2">
        <w:rPr>
          <w:sz w:val="28"/>
          <w:szCs w:val="28"/>
        </w:rPr>
        <w:t xml:space="preserve">Областной бюджет (норматив зачисления 40%) = </w:t>
      </w:r>
      <w:r>
        <w:rPr>
          <w:sz w:val="28"/>
          <w:szCs w:val="28"/>
        </w:rPr>
        <w:t xml:space="preserve">                                                                          (</w:t>
      </w:r>
      <w:r w:rsidRPr="00957D59">
        <w:rPr>
          <w:sz w:val="28"/>
          <w:szCs w:val="28"/>
        </w:rPr>
        <w:t>2 96</w:t>
      </w:r>
      <w:r>
        <w:rPr>
          <w:sz w:val="28"/>
          <w:szCs w:val="28"/>
        </w:rPr>
        <w:t>7</w:t>
      </w:r>
      <w:r w:rsidRPr="00957D59">
        <w:rPr>
          <w:sz w:val="28"/>
          <w:szCs w:val="28"/>
        </w:rPr>
        <w:t>,</w:t>
      </w:r>
      <w:r>
        <w:rPr>
          <w:sz w:val="28"/>
          <w:szCs w:val="28"/>
        </w:rPr>
        <w:t>9+3 779,7+2 973,3)</w:t>
      </w:r>
      <w:r w:rsidRPr="00957D59">
        <w:rPr>
          <w:sz w:val="28"/>
          <w:szCs w:val="28"/>
        </w:rPr>
        <w:t>/3*1,0</w:t>
      </w:r>
      <w:r>
        <w:rPr>
          <w:sz w:val="28"/>
          <w:szCs w:val="28"/>
        </w:rPr>
        <w:t>8</w:t>
      </w:r>
      <w:r w:rsidRPr="00957D59">
        <w:rPr>
          <w:sz w:val="28"/>
          <w:szCs w:val="28"/>
        </w:rPr>
        <w:t>*1,0</w:t>
      </w:r>
      <w:r>
        <w:rPr>
          <w:sz w:val="28"/>
          <w:szCs w:val="28"/>
        </w:rPr>
        <w:t>4</w:t>
      </w:r>
      <w:r w:rsidRPr="00957D59">
        <w:rPr>
          <w:sz w:val="28"/>
          <w:szCs w:val="28"/>
        </w:rPr>
        <w:t xml:space="preserve"> = </w:t>
      </w:r>
      <w:r>
        <w:rPr>
          <w:sz w:val="28"/>
          <w:szCs w:val="28"/>
        </w:rPr>
        <w:t>3 639,5</w:t>
      </w:r>
      <w:r w:rsidRPr="00957D59">
        <w:rPr>
          <w:sz w:val="28"/>
          <w:szCs w:val="28"/>
        </w:rPr>
        <w:t xml:space="preserve"> тыс. руб.</w:t>
      </w:r>
    </w:p>
    <w:p w:rsidR="00935C40" w:rsidRPr="00957D59" w:rsidRDefault="00935C40" w:rsidP="00935C40">
      <w:pPr>
        <w:autoSpaceDE w:val="0"/>
        <w:autoSpaceDN w:val="0"/>
        <w:adjustRightInd w:val="0"/>
        <w:ind w:firstLine="540"/>
        <w:jc w:val="both"/>
        <w:rPr>
          <w:sz w:val="28"/>
          <w:szCs w:val="28"/>
        </w:rPr>
      </w:pPr>
    </w:p>
    <w:p w:rsidR="00935C40" w:rsidRPr="00957D59" w:rsidRDefault="00935C40" w:rsidP="00935C40">
      <w:pPr>
        <w:autoSpaceDE w:val="0"/>
        <w:autoSpaceDN w:val="0"/>
        <w:adjustRightInd w:val="0"/>
        <w:ind w:firstLine="540"/>
        <w:jc w:val="both"/>
        <w:rPr>
          <w:sz w:val="28"/>
          <w:szCs w:val="28"/>
        </w:rPr>
      </w:pPr>
      <w:r w:rsidRPr="00C50BE2">
        <w:rPr>
          <w:sz w:val="28"/>
          <w:szCs w:val="28"/>
        </w:rPr>
        <w:t xml:space="preserve">Местный бюджет (норматив зачисления </w:t>
      </w:r>
      <w:r>
        <w:rPr>
          <w:sz w:val="28"/>
          <w:szCs w:val="28"/>
        </w:rPr>
        <w:t xml:space="preserve">60 </w:t>
      </w:r>
      <w:r w:rsidRPr="00C50BE2">
        <w:rPr>
          <w:sz w:val="28"/>
          <w:szCs w:val="28"/>
        </w:rPr>
        <w:t xml:space="preserve">%) = </w:t>
      </w:r>
      <w:r>
        <w:rPr>
          <w:sz w:val="28"/>
          <w:szCs w:val="28"/>
        </w:rPr>
        <w:t>((4 080</w:t>
      </w:r>
      <w:r w:rsidRPr="00957D59">
        <w:rPr>
          <w:sz w:val="28"/>
          <w:szCs w:val="28"/>
        </w:rPr>
        <w:t>,</w:t>
      </w:r>
      <w:r>
        <w:rPr>
          <w:sz w:val="28"/>
          <w:szCs w:val="28"/>
        </w:rPr>
        <w:t>9</w:t>
      </w:r>
      <w:r w:rsidRPr="00957D59">
        <w:rPr>
          <w:sz w:val="28"/>
          <w:szCs w:val="28"/>
        </w:rPr>
        <w:t xml:space="preserve"> + </w:t>
      </w:r>
      <w:r>
        <w:rPr>
          <w:sz w:val="28"/>
          <w:szCs w:val="28"/>
        </w:rPr>
        <w:t>5 197,0) * 1,0909)+4 460,0)/3</w:t>
      </w:r>
      <w:r w:rsidRPr="00957D59">
        <w:rPr>
          <w:sz w:val="28"/>
          <w:szCs w:val="28"/>
        </w:rPr>
        <w:t>*1,0</w:t>
      </w:r>
      <w:r>
        <w:rPr>
          <w:sz w:val="28"/>
          <w:szCs w:val="28"/>
        </w:rPr>
        <w:t>8</w:t>
      </w:r>
      <w:r w:rsidRPr="00957D59">
        <w:rPr>
          <w:sz w:val="28"/>
          <w:szCs w:val="28"/>
        </w:rPr>
        <w:t>*1,0</w:t>
      </w:r>
      <w:r>
        <w:rPr>
          <w:sz w:val="28"/>
          <w:szCs w:val="28"/>
        </w:rPr>
        <w:t>4</w:t>
      </w:r>
      <w:r w:rsidRPr="00957D59">
        <w:rPr>
          <w:sz w:val="28"/>
          <w:szCs w:val="28"/>
        </w:rPr>
        <w:t xml:space="preserve">= </w:t>
      </w:r>
      <w:r>
        <w:rPr>
          <w:sz w:val="28"/>
          <w:szCs w:val="28"/>
        </w:rPr>
        <w:t>5 459,2</w:t>
      </w:r>
      <w:r w:rsidRPr="00957D59">
        <w:rPr>
          <w:sz w:val="28"/>
          <w:szCs w:val="28"/>
        </w:rPr>
        <w:t xml:space="preserve"> тыс. руб. </w:t>
      </w:r>
    </w:p>
    <w:p w:rsidR="00935C40" w:rsidRPr="00957D59" w:rsidRDefault="00935C40" w:rsidP="00935C40">
      <w:pPr>
        <w:autoSpaceDE w:val="0"/>
        <w:autoSpaceDN w:val="0"/>
        <w:adjustRightInd w:val="0"/>
        <w:ind w:firstLine="540"/>
        <w:jc w:val="both"/>
        <w:rPr>
          <w:sz w:val="28"/>
          <w:szCs w:val="28"/>
        </w:rPr>
      </w:pPr>
    </w:p>
    <w:p w:rsidR="00935C40" w:rsidRPr="00C50BE2" w:rsidRDefault="00935C40" w:rsidP="00935C40">
      <w:pPr>
        <w:autoSpaceDE w:val="0"/>
        <w:autoSpaceDN w:val="0"/>
        <w:adjustRightInd w:val="0"/>
        <w:ind w:firstLine="540"/>
        <w:jc w:val="both"/>
        <w:rPr>
          <w:sz w:val="28"/>
          <w:szCs w:val="28"/>
        </w:rPr>
      </w:pPr>
      <w:r w:rsidRPr="00C50BE2">
        <w:rPr>
          <w:sz w:val="28"/>
          <w:szCs w:val="28"/>
        </w:rPr>
        <w:t xml:space="preserve">Консолидированный бюджет = </w:t>
      </w:r>
      <w:r>
        <w:rPr>
          <w:rFonts w:eastAsia="Calibri"/>
          <w:sz w:val="28"/>
          <w:szCs w:val="28"/>
        </w:rPr>
        <w:t xml:space="preserve">9 098,7 </w:t>
      </w:r>
      <w:r w:rsidRPr="00C50BE2">
        <w:rPr>
          <w:sz w:val="28"/>
          <w:szCs w:val="28"/>
        </w:rPr>
        <w:t>тыс. руб.</w:t>
      </w:r>
    </w:p>
    <w:p w:rsidR="00935C40" w:rsidRDefault="00935C40" w:rsidP="00935C40">
      <w:pPr>
        <w:autoSpaceDE w:val="0"/>
        <w:autoSpaceDN w:val="0"/>
        <w:adjustRightInd w:val="0"/>
        <w:ind w:firstLine="540"/>
        <w:jc w:val="both"/>
        <w:rPr>
          <w:b/>
          <w:sz w:val="28"/>
          <w:szCs w:val="28"/>
        </w:rPr>
      </w:pPr>
    </w:p>
    <w:p w:rsidR="00935C40" w:rsidRDefault="00935C40" w:rsidP="00935C40">
      <w:pPr>
        <w:autoSpaceDE w:val="0"/>
        <w:autoSpaceDN w:val="0"/>
        <w:adjustRightInd w:val="0"/>
        <w:ind w:firstLine="540"/>
        <w:jc w:val="both"/>
        <w:rPr>
          <w:b/>
          <w:sz w:val="28"/>
          <w:szCs w:val="28"/>
        </w:rPr>
      </w:pPr>
      <w:r w:rsidRPr="008246CC">
        <w:rPr>
          <w:b/>
          <w:sz w:val="28"/>
          <w:szCs w:val="28"/>
        </w:rPr>
        <w:t>КБК 048 1 12 0104</w:t>
      </w:r>
      <w:r>
        <w:rPr>
          <w:b/>
          <w:sz w:val="28"/>
          <w:szCs w:val="28"/>
        </w:rPr>
        <w:t>1</w:t>
      </w:r>
      <w:r w:rsidRPr="008246CC">
        <w:rPr>
          <w:b/>
          <w:sz w:val="28"/>
          <w:szCs w:val="28"/>
        </w:rPr>
        <w:t xml:space="preserve"> 01 0000 120 «Плата за размещение отходов производства»</w:t>
      </w:r>
    </w:p>
    <w:p w:rsidR="00935C40" w:rsidRDefault="00935C40" w:rsidP="00935C40">
      <w:pPr>
        <w:autoSpaceDE w:val="0"/>
        <w:autoSpaceDN w:val="0"/>
        <w:adjustRightInd w:val="0"/>
        <w:ind w:firstLine="540"/>
        <w:jc w:val="both"/>
        <w:rPr>
          <w:b/>
          <w:sz w:val="28"/>
          <w:szCs w:val="28"/>
        </w:rPr>
      </w:pPr>
    </w:p>
    <w:tbl>
      <w:tblPr>
        <w:tblStyle w:val="a6"/>
        <w:tblW w:w="0" w:type="auto"/>
        <w:tblLook w:val="04A0" w:firstRow="1" w:lastRow="0" w:firstColumn="1" w:lastColumn="0" w:noHBand="0" w:noVBand="1"/>
      </w:tblPr>
      <w:tblGrid>
        <w:gridCol w:w="2654"/>
        <w:gridCol w:w="2012"/>
        <w:gridCol w:w="2272"/>
        <w:gridCol w:w="2266"/>
      </w:tblGrid>
      <w:tr w:rsidR="00935C40" w:rsidTr="001E2A06">
        <w:tc>
          <w:tcPr>
            <w:tcW w:w="9344" w:type="dxa"/>
            <w:gridSpan w:val="4"/>
            <w:tcBorders>
              <w:top w:val="dotted" w:sz="4" w:space="0" w:color="auto"/>
              <w:left w:val="dotted" w:sz="4" w:space="0" w:color="auto"/>
              <w:bottom w:val="dotted" w:sz="4" w:space="0" w:color="auto"/>
              <w:right w:val="dotted" w:sz="4" w:space="0" w:color="auto"/>
            </w:tcBorders>
          </w:tcPr>
          <w:p w:rsidR="00935C40" w:rsidRPr="00344047" w:rsidRDefault="00935C40" w:rsidP="001E2A06">
            <w:pPr>
              <w:pStyle w:val="21"/>
              <w:ind w:firstLine="0"/>
              <w:jc w:val="center"/>
            </w:pPr>
            <w:r w:rsidRPr="00344047">
              <w:t>Факт поступления</w:t>
            </w:r>
            <w:r>
              <w:t>, тыс. руб.</w:t>
            </w:r>
          </w:p>
        </w:tc>
      </w:tr>
      <w:tr w:rsidR="00935C40" w:rsidTr="001E2A06">
        <w:tc>
          <w:tcPr>
            <w:tcW w:w="2689" w:type="dxa"/>
            <w:tcBorders>
              <w:top w:val="dotted" w:sz="4" w:space="0" w:color="auto"/>
              <w:left w:val="dotted" w:sz="4" w:space="0" w:color="auto"/>
              <w:bottom w:val="dotted" w:sz="4" w:space="0" w:color="auto"/>
              <w:right w:val="nil"/>
            </w:tcBorders>
          </w:tcPr>
          <w:p w:rsidR="00935C40" w:rsidRPr="00344047" w:rsidRDefault="00935C40" w:rsidP="001E2A06">
            <w:pPr>
              <w:pStyle w:val="21"/>
              <w:ind w:firstLine="0"/>
            </w:pPr>
            <w:r w:rsidRPr="00344047">
              <w:t xml:space="preserve">Уровень бюджета </w:t>
            </w:r>
          </w:p>
        </w:tc>
        <w:tc>
          <w:tcPr>
            <w:tcW w:w="2037" w:type="dxa"/>
            <w:tcBorders>
              <w:top w:val="dotted" w:sz="4" w:space="0" w:color="auto"/>
              <w:left w:val="nil"/>
              <w:bottom w:val="dotted" w:sz="4" w:space="0" w:color="auto"/>
              <w:right w:val="nil"/>
            </w:tcBorders>
          </w:tcPr>
          <w:p w:rsidR="00935C40" w:rsidRPr="00344047" w:rsidRDefault="00935C40" w:rsidP="001E2A06">
            <w:pPr>
              <w:pStyle w:val="21"/>
              <w:ind w:firstLine="0"/>
              <w:jc w:val="center"/>
            </w:pPr>
            <w:r w:rsidRPr="00344047">
              <w:t>201</w:t>
            </w:r>
            <w:r>
              <w:t>8</w:t>
            </w:r>
            <w:r w:rsidRPr="00344047">
              <w:t xml:space="preserve"> год</w:t>
            </w:r>
          </w:p>
        </w:tc>
        <w:tc>
          <w:tcPr>
            <w:tcW w:w="2309" w:type="dxa"/>
            <w:tcBorders>
              <w:top w:val="dotted" w:sz="4" w:space="0" w:color="auto"/>
              <w:left w:val="nil"/>
              <w:bottom w:val="dotted" w:sz="4" w:space="0" w:color="auto"/>
              <w:right w:val="nil"/>
            </w:tcBorders>
          </w:tcPr>
          <w:p w:rsidR="00935C40" w:rsidRPr="00344047" w:rsidRDefault="00935C40" w:rsidP="001E2A06">
            <w:pPr>
              <w:pStyle w:val="21"/>
              <w:ind w:firstLine="0"/>
              <w:jc w:val="center"/>
            </w:pPr>
            <w:r w:rsidRPr="00344047">
              <w:t>201</w:t>
            </w:r>
            <w:r>
              <w:t>9</w:t>
            </w:r>
            <w:r w:rsidRPr="00344047">
              <w:t xml:space="preserve"> год</w:t>
            </w:r>
          </w:p>
        </w:tc>
        <w:tc>
          <w:tcPr>
            <w:tcW w:w="2309" w:type="dxa"/>
            <w:tcBorders>
              <w:top w:val="dotted" w:sz="4" w:space="0" w:color="auto"/>
              <w:left w:val="nil"/>
              <w:bottom w:val="dotted" w:sz="4" w:space="0" w:color="auto"/>
              <w:right w:val="dotted" w:sz="4" w:space="0" w:color="auto"/>
            </w:tcBorders>
          </w:tcPr>
          <w:p w:rsidR="00935C40" w:rsidRPr="00344047" w:rsidRDefault="00935C40" w:rsidP="001E2A06">
            <w:pPr>
              <w:pStyle w:val="21"/>
              <w:ind w:firstLine="0"/>
              <w:jc w:val="center"/>
            </w:pPr>
            <w:r w:rsidRPr="00344047">
              <w:t>20</w:t>
            </w:r>
            <w:r>
              <w:t>20</w:t>
            </w:r>
            <w:r w:rsidRPr="00344047">
              <w:t xml:space="preserve"> год</w:t>
            </w:r>
          </w:p>
        </w:tc>
      </w:tr>
      <w:tr w:rsidR="00935C40" w:rsidTr="001E2A06">
        <w:tc>
          <w:tcPr>
            <w:tcW w:w="2689" w:type="dxa"/>
            <w:tcBorders>
              <w:top w:val="dotted" w:sz="4" w:space="0" w:color="auto"/>
              <w:left w:val="dotted" w:sz="4" w:space="0" w:color="auto"/>
              <w:bottom w:val="nil"/>
              <w:right w:val="nil"/>
            </w:tcBorders>
          </w:tcPr>
          <w:p w:rsidR="00935C40" w:rsidRPr="00344047" w:rsidRDefault="00935C40" w:rsidP="001E2A06">
            <w:pPr>
              <w:pStyle w:val="21"/>
              <w:ind w:firstLine="0"/>
              <w:jc w:val="left"/>
            </w:pPr>
            <w:r w:rsidRPr="00344047">
              <w:t>Областной</w:t>
            </w:r>
          </w:p>
        </w:tc>
        <w:tc>
          <w:tcPr>
            <w:tcW w:w="2037" w:type="dxa"/>
            <w:tcBorders>
              <w:top w:val="dotted" w:sz="4" w:space="0" w:color="auto"/>
              <w:left w:val="nil"/>
              <w:bottom w:val="nil"/>
              <w:right w:val="nil"/>
            </w:tcBorders>
          </w:tcPr>
          <w:p w:rsidR="00935C40" w:rsidRPr="00344047" w:rsidRDefault="00935C40" w:rsidP="001E2A06">
            <w:pPr>
              <w:pStyle w:val="21"/>
              <w:ind w:firstLine="0"/>
              <w:jc w:val="center"/>
            </w:pPr>
            <w:r>
              <w:t>12 533,2</w:t>
            </w:r>
          </w:p>
        </w:tc>
        <w:tc>
          <w:tcPr>
            <w:tcW w:w="2309" w:type="dxa"/>
            <w:tcBorders>
              <w:top w:val="dotted" w:sz="4" w:space="0" w:color="auto"/>
              <w:left w:val="nil"/>
              <w:bottom w:val="nil"/>
              <w:right w:val="nil"/>
            </w:tcBorders>
          </w:tcPr>
          <w:p w:rsidR="00935C40" w:rsidRPr="00344047" w:rsidRDefault="00935C40" w:rsidP="001E2A06">
            <w:pPr>
              <w:pStyle w:val="21"/>
              <w:ind w:firstLine="0"/>
              <w:jc w:val="center"/>
            </w:pPr>
            <w:r>
              <w:t>6 857,8</w:t>
            </w:r>
          </w:p>
        </w:tc>
        <w:tc>
          <w:tcPr>
            <w:tcW w:w="2309" w:type="dxa"/>
            <w:tcBorders>
              <w:top w:val="dotted" w:sz="4" w:space="0" w:color="auto"/>
              <w:left w:val="nil"/>
              <w:bottom w:val="nil"/>
              <w:right w:val="dotted" w:sz="4" w:space="0" w:color="auto"/>
            </w:tcBorders>
          </w:tcPr>
          <w:p w:rsidR="00935C40" w:rsidRPr="00344047" w:rsidRDefault="00935C40" w:rsidP="001E2A06">
            <w:pPr>
              <w:pStyle w:val="21"/>
              <w:ind w:firstLine="0"/>
              <w:jc w:val="center"/>
            </w:pPr>
            <w:r>
              <w:t>21 844,1</w:t>
            </w:r>
          </w:p>
        </w:tc>
      </w:tr>
      <w:tr w:rsidR="00935C40" w:rsidTr="001E2A06">
        <w:tc>
          <w:tcPr>
            <w:tcW w:w="2689" w:type="dxa"/>
            <w:tcBorders>
              <w:top w:val="nil"/>
              <w:left w:val="nil"/>
              <w:bottom w:val="nil"/>
              <w:right w:val="nil"/>
            </w:tcBorders>
          </w:tcPr>
          <w:p w:rsidR="00935C40" w:rsidRPr="00344047" w:rsidRDefault="00935C40" w:rsidP="001E2A06">
            <w:pPr>
              <w:pStyle w:val="21"/>
              <w:ind w:firstLine="0"/>
              <w:jc w:val="left"/>
            </w:pPr>
            <w:r w:rsidRPr="00344047">
              <w:t>Местный</w:t>
            </w:r>
          </w:p>
        </w:tc>
        <w:tc>
          <w:tcPr>
            <w:tcW w:w="2037" w:type="dxa"/>
            <w:tcBorders>
              <w:top w:val="nil"/>
              <w:left w:val="nil"/>
              <w:bottom w:val="nil"/>
              <w:right w:val="nil"/>
            </w:tcBorders>
          </w:tcPr>
          <w:p w:rsidR="00935C40" w:rsidRPr="00344047" w:rsidRDefault="00935C40" w:rsidP="001E2A06">
            <w:pPr>
              <w:pStyle w:val="21"/>
              <w:ind w:firstLine="0"/>
              <w:jc w:val="center"/>
            </w:pPr>
            <w:r>
              <w:t>17 233,1</w:t>
            </w:r>
          </w:p>
        </w:tc>
        <w:tc>
          <w:tcPr>
            <w:tcW w:w="2309" w:type="dxa"/>
            <w:tcBorders>
              <w:top w:val="nil"/>
              <w:left w:val="nil"/>
              <w:bottom w:val="nil"/>
              <w:right w:val="nil"/>
            </w:tcBorders>
          </w:tcPr>
          <w:p w:rsidR="00935C40" w:rsidRPr="00344047" w:rsidRDefault="00935C40" w:rsidP="001E2A06">
            <w:pPr>
              <w:pStyle w:val="21"/>
              <w:ind w:firstLine="0"/>
              <w:jc w:val="center"/>
            </w:pPr>
            <w:r>
              <w:t>9 429,4</w:t>
            </w:r>
          </w:p>
        </w:tc>
        <w:tc>
          <w:tcPr>
            <w:tcW w:w="2309" w:type="dxa"/>
            <w:tcBorders>
              <w:top w:val="nil"/>
              <w:left w:val="nil"/>
              <w:bottom w:val="nil"/>
              <w:right w:val="nil"/>
            </w:tcBorders>
          </w:tcPr>
          <w:p w:rsidR="00935C40" w:rsidRPr="00344047" w:rsidRDefault="00935C40" w:rsidP="001E2A06">
            <w:pPr>
              <w:pStyle w:val="21"/>
              <w:ind w:firstLine="0"/>
              <w:jc w:val="center"/>
            </w:pPr>
            <w:r>
              <w:t>32 766,0</w:t>
            </w:r>
          </w:p>
        </w:tc>
      </w:tr>
    </w:tbl>
    <w:p w:rsidR="00935C40" w:rsidRPr="008246CC" w:rsidRDefault="00935C40" w:rsidP="00935C40">
      <w:pPr>
        <w:autoSpaceDE w:val="0"/>
        <w:autoSpaceDN w:val="0"/>
        <w:adjustRightInd w:val="0"/>
        <w:ind w:firstLine="540"/>
        <w:jc w:val="both"/>
        <w:rPr>
          <w:b/>
          <w:sz w:val="28"/>
          <w:szCs w:val="28"/>
        </w:rPr>
      </w:pPr>
    </w:p>
    <w:p w:rsidR="00935C40" w:rsidRDefault="00935C40" w:rsidP="00935C40">
      <w:pPr>
        <w:autoSpaceDE w:val="0"/>
        <w:autoSpaceDN w:val="0"/>
        <w:adjustRightInd w:val="0"/>
        <w:ind w:firstLine="540"/>
        <w:jc w:val="both"/>
        <w:rPr>
          <w:sz w:val="28"/>
          <w:szCs w:val="28"/>
        </w:rPr>
      </w:pPr>
      <w:r w:rsidRPr="00C50BE2">
        <w:rPr>
          <w:sz w:val="28"/>
          <w:szCs w:val="28"/>
        </w:rPr>
        <w:t xml:space="preserve">Областной бюджет (норматив зачисления 40%) = </w:t>
      </w:r>
      <w:r>
        <w:rPr>
          <w:sz w:val="28"/>
          <w:szCs w:val="28"/>
        </w:rPr>
        <w:t xml:space="preserve">                                                                (( </w:t>
      </w:r>
      <w:r w:rsidRPr="00957D59">
        <w:rPr>
          <w:sz w:val="28"/>
          <w:szCs w:val="28"/>
        </w:rPr>
        <w:t>12 533,</w:t>
      </w:r>
      <w:r>
        <w:rPr>
          <w:sz w:val="28"/>
          <w:szCs w:val="28"/>
        </w:rPr>
        <w:t>2*20%)+6 857,8+21 844,1)/3*</w:t>
      </w:r>
      <w:r w:rsidRPr="00957D59">
        <w:rPr>
          <w:sz w:val="28"/>
          <w:szCs w:val="28"/>
        </w:rPr>
        <w:t>1,</w:t>
      </w:r>
      <w:r>
        <w:rPr>
          <w:sz w:val="28"/>
          <w:szCs w:val="28"/>
        </w:rPr>
        <w:t>08</w:t>
      </w:r>
      <w:r w:rsidRPr="00957D59">
        <w:rPr>
          <w:sz w:val="28"/>
          <w:szCs w:val="28"/>
        </w:rPr>
        <w:t>*1,0</w:t>
      </w:r>
      <w:r>
        <w:rPr>
          <w:sz w:val="28"/>
          <w:szCs w:val="28"/>
        </w:rPr>
        <w:t>4</w:t>
      </w:r>
      <w:r w:rsidRPr="00957D59">
        <w:rPr>
          <w:sz w:val="28"/>
          <w:szCs w:val="28"/>
        </w:rPr>
        <w:t xml:space="preserve">= </w:t>
      </w:r>
      <w:r>
        <w:rPr>
          <w:sz w:val="28"/>
          <w:szCs w:val="28"/>
        </w:rPr>
        <w:t>11 684,5</w:t>
      </w:r>
      <w:r w:rsidRPr="00957D59">
        <w:rPr>
          <w:sz w:val="28"/>
          <w:szCs w:val="28"/>
        </w:rPr>
        <w:t xml:space="preserve"> тыс. руб.</w:t>
      </w:r>
    </w:p>
    <w:p w:rsidR="00935C40" w:rsidRPr="00482FA4" w:rsidRDefault="00935C40" w:rsidP="00935C40">
      <w:pPr>
        <w:autoSpaceDE w:val="0"/>
        <w:autoSpaceDN w:val="0"/>
        <w:adjustRightInd w:val="0"/>
        <w:ind w:firstLine="540"/>
        <w:jc w:val="both"/>
        <w:rPr>
          <w:rFonts w:eastAsia="Calibri"/>
          <w:sz w:val="28"/>
          <w:szCs w:val="28"/>
        </w:rPr>
      </w:pPr>
      <w:r w:rsidRPr="00C50BE2">
        <w:rPr>
          <w:sz w:val="28"/>
          <w:szCs w:val="28"/>
        </w:rPr>
        <w:t xml:space="preserve">Местный бюджет (норматив зачисления </w:t>
      </w:r>
      <w:r>
        <w:rPr>
          <w:sz w:val="28"/>
          <w:szCs w:val="28"/>
        </w:rPr>
        <w:t xml:space="preserve">60 </w:t>
      </w:r>
      <w:r w:rsidRPr="00C50BE2">
        <w:rPr>
          <w:sz w:val="28"/>
          <w:szCs w:val="28"/>
        </w:rPr>
        <w:t xml:space="preserve">%) = </w:t>
      </w:r>
      <w:r w:rsidRPr="00482FA4">
        <w:rPr>
          <w:rFonts w:eastAsia="Calibri"/>
          <w:sz w:val="28"/>
          <w:szCs w:val="28"/>
        </w:rPr>
        <w:t>((17</w:t>
      </w:r>
      <w:r>
        <w:rPr>
          <w:rFonts w:eastAsia="Calibri"/>
          <w:sz w:val="28"/>
          <w:szCs w:val="28"/>
        </w:rPr>
        <w:t xml:space="preserve"> </w:t>
      </w:r>
      <w:r w:rsidRPr="00482FA4">
        <w:rPr>
          <w:rFonts w:eastAsia="Calibri"/>
          <w:sz w:val="28"/>
          <w:szCs w:val="28"/>
        </w:rPr>
        <w:t>233,</w:t>
      </w:r>
      <w:r>
        <w:rPr>
          <w:rFonts w:eastAsia="Calibri"/>
          <w:sz w:val="28"/>
          <w:szCs w:val="28"/>
        </w:rPr>
        <w:t>1*20% + 9 429,4)*1,0909+32 766,0)</w:t>
      </w:r>
      <w:r w:rsidRPr="00482FA4">
        <w:rPr>
          <w:rFonts w:eastAsia="Calibri"/>
          <w:sz w:val="28"/>
          <w:szCs w:val="28"/>
        </w:rPr>
        <w:t>/3*1,0</w:t>
      </w:r>
      <w:r>
        <w:rPr>
          <w:rFonts w:eastAsia="Calibri"/>
          <w:sz w:val="28"/>
          <w:szCs w:val="28"/>
        </w:rPr>
        <w:t xml:space="preserve">8*1,04 </w:t>
      </w:r>
      <w:r w:rsidRPr="00482FA4">
        <w:rPr>
          <w:rFonts w:eastAsia="Calibri"/>
          <w:sz w:val="28"/>
          <w:szCs w:val="28"/>
        </w:rPr>
        <w:t xml:space="preserve">= </w:t>
      </w:r>
      <w:r>
        <w:rPr>
          <w:rFonts w:eastAsia="Calibri"/>
          <w:sz w:val="28"/>
          <w:szCs w:val="28"/>
        </w:rPr>
        <w:t>17 526,6</w:t>
      </w:r>
      <w:r w:rsidRPr="00482FA4">
        <w:rPr>
          <w:rFonts w:eastAsia="Calibri"/>
          <w:sz w:val="28"/>
          <w:szCs w:val="28"/>
        </w:rPr>
        <w:t xml:space="preserve"> тыс. руб. </w:t>
      </w:r>
    </w:p>
    <w:p w:rsidR="00935C40" w:rsidRDefault="00935C40" w:rsidP="00935C40">
      <w:pPr>
        <w:autoSpaceDE w:val="0"/>
        <w:autoSpaceDN w:val="0"/>
        <w:adjustRightInd w:val="0"/>
        <w:ind w:firstLine="540"/>
        <w:jc w:val="both"/>
        <w:rPr>
          <w:sz w:val="28"/>
          <w:szCs w:val="28"/>
        </w:rPr>
      </w:pPr>
      <w:r w:rsidRPr="002374A9">
        <w:rPr>
          <w:sz w:val="28"/>
          <w:szCs w:val="28"/>
        </w:rPr>
        <w:t xml:space="preserve">Консолидированный бюджет = </w:t>
      </w:r>
      <w:r>
        <w:rPr>
          <w:sz w:val="28"/>
          <w:szCs w:val="28"/>
        </w:rPr>
        <w:t>29 211,1</w:t>
      </w:r>
      <w:r w:rsidRPr="00482FA4">
        <w:rPr>
          <w:rFonts w:eastAsia="Calibri"/>
          <w:sz w:val="28"/>
          <w:szCs w:val="28"/>
        </w:rPr>
        <w:t xml:space="preserve"> тыс.</w:t>
      </w:r>
      <w:r w:rsidRPr="002374A9">
        <w:rPr>
          <w:sz w:val="28"/>
          <w:szCs w:val="28"/>
        </w:rPr>
        <w:t xml:space="preserve"> руб.</w:t>
      </w:r>
    </w:p>
    <w:p w:rsidR="00935C40" w:rsidRDefault="00935C40" w:rsidP="00935C40">
      <w:pPr>
        <w:autoSpaceDE w:val="0"/>
        <w:autoSpaceDN w:val="0"/>
        <w:adjustRightInd w:val="0"/>
        <w:ind w:firstLine="540"/>
        <w:jc w:val="both"/>
        <w:rPr>
          <w:b/>
          <w:sz w:val="28"/>
          <w:szCs w:val="28"/>
        </w:rPr>
      </w:pPr>
    </w:p>
    <w:p w:rsidR="00935C40" w:rsidRDefault="00935C40" w:rsidP="00935C40">
      <w:pPr>
        <w:autoSpaceDE w:val="0"/>
        <w:autoSpaceDN w:val="0"/>
        <w:adjustRightInd w:val="0"/>
        <w:ind w:firstLine="540"/>
        <w:jc w:val="both"/>
        <w:rPr>
          <w:b/>
          <w:sz w:val="28"/>
          <w:szCs w:val="28"/>
        </w:rPr>
      </w:pPr>
      <w:r w:rsidRPr="008246CC">
        <w:rPr>
          <w:b/>
          <w:sz w:val="28"/>
          <w:szCs w:val="28"/>
        </w:rPr>
        <w:t>КБК 048 1 12 0104</w:t>
      </w:r>
      <w:r>
        <w:rPr>
          <w:b/>
          <w:sz w:val="28"/>
          <w:szCs w:val="28"/>
        </w:rPr>
        <w:t>2</w:t>
      </w:r>
      <w:r w:rsidRPr="008246CC">
        <w:rPr>
          <w:b/>
          <w:sz w:val="28"/>
          <w:szCs w:val="28"/>
        </w:rPr>
        <w:t xml:space="preserve"> 01 0000 120 «Плата за размещение</w:t>
      </w:r>
      <w:r>
        <w:rPr>
          <w:b/>
          <w:sz w:val="28"/>
          <w:szCs w:val="28"/>
        </w:rPr>
        <w:t xml:space="preserve"> твердых коммунальных </w:t>
      </w:r>
      <w:r w:rsidRPr="008246CC">
        <w:rPr>
          <w:b/>
          <w:sz w:val="28"/>
          <w:szCs w:val="28"/>
        </w:rPr>
        <w:t>отходов»</w:t>
      </w:r>
    </w:p>
    <w:p w:rsidR="00935C40" w:rsidRDefault="00935C40" w:rsidP="00935C40">
      <w:pPr>
        <w:autoSpaceDE w:val="0"/>
        <w:autoSpaceDN w:val="0"/>
        <w:adjustRightInd w:val="0"/>
        <w:ind w:firstLine="540"/>
        <w:jc w:val="both"/>
        <w:rPr>
          <w:rFonts w:eastAsia="Calibri"/>
          <w:sz w:val="28"/>
          <w:szCs w:val="28"/>
        </w:rPr>
      </w:pPr>
      <w:r>
        <w:rPr>
          <w:rFonts w:eastAsia="Calibri"/>
          <w:sz w:val="28"/>
          <w:szCs w:val="28"/>
        </w:rPr>
        <w:t xml:space="preserve">Необходимо отметить, что для составления прогноза на 2022 – 2024гг по плате за размещение твердых коммунальных отходов были взяты фактические поступления за 2018-2020гг по действующим полигонам согласно государственного реестра объектов размещения отходов и  находящихся на территории следующих городских округах и муниципальных районах: </w:t>
      </w:r>
    </w:p>
    <w:p w:rsidR="00935C40" w:rsidRDefault="00935C40" w:rsidP="00935C40">
      <w:pPr>
        <w:autoSpaceDE w:val="0"/>
        <w:autoSpaceDN w:val="0"/>
        <w:adjustRightInd w:val="0"/>
        <w:ind w:firstLine="540"/>
        <w:jc w:val="both"/>
        <w:rPr>
          <w:b/>
          <w:sz w:val="28"/>
          <w:szCs w:val="28"/>
        </w:rPr>
      </w:pPr>
    </w:p>
    <w:tbl>
      <w:tblPr>
        <w:tblStyle w:val="a6"/>
        <w:tblW w:w="0" w:type="auto"/>
        <w:tblLook w:val="04A0" w:firstRow="1" w:lastRow="0" w:firstColumn="1" w:lastColumn="0" w:noHBand="0" w:noVBand="1"/>
      </w:tblPr>
      <w:tblGrid>
        <w:gridCol w:w="2653"/>
        <w:gridCol w:w="2012"/>
        <w:gridCol w:w="2263"/>
        <w:gridCol w:w="2276"/>
      </w:tblGrid>
      <w:tr w:rsidR="00935C40" w:rsidTr="001E2A06">
        <w:tc>
          <w:tcPr>
            <w:tcW w:w="9344" w:type="dxa"/>
            <w:gridSpan w:val="4"/>
            <w:tcBorders>
              <w:top w:val="dotted" w:sz="4" w:space="0" w:color="auto"/>
              <w:left w:val="dotted" w:sz="4" w:space="0" w:color="auto"/>
              <w:bottom w:val="dotted" w:sz="4" w:space="0" w:color="auto"/>
              <w:right w:val="dotted" w:sz="4" w:space="0" w:color="auto"/>
            </w:tcBorders>
          </w:tcPr>
          <w:p w:rsidR="00935C40" w:rsidRPr="00344047" w:rsidRDefault="00935C40" w:rsidP="001E2A06">
            <w:pPr>
              <w:pStyle w:val="21"/>
              <w:ind w:firstLine="0"/>
              <w:jc w:val="center"/>
            </w:pPr>
            <w:r w:rsidRPr="00344047">
              <w:t>Факт поступления</w:t>
            </w:r>
            <w:r>
              <w:t xml:space="preserve"> по фактически действующим полигонам, тыс. руб.</w:t>
            </w:r>
          </w:p>
        </w:tc>
      </w:tr>
      <w:tr w:rsidR="00935C40" w:rsidTr="001E2A06">
        <w:tc>
          <w:tcPr>
            <w:tcW w:w="2689" w:type="dxa"/>
            <w:tcBorders>
              <w:top w:val="dotted" w:sz="4" w:space="0" w:color="auto"/>
              <w:left w:val="dotted" w:sz="4" w:space="0" w:color="auto"/>
              <w:bottom w:val="dotted" w:sz="4" w:space="0" w:color="auto"/>
              <w:right w:val="nil"/>
            </w:tcBorders>
          </w:tcPr>
          <w:p w:rsidR="00935C40" w:rsidRPr="00344047" w:rsidRDefault="00935C40" w:rsidP="001E2A06">
            <w:pPr>
              <w:pStyle w:val="21"/>
              <w:ind w:firstLine="0"/>
            </w:pPr>
            <w:r w:rsidRPr="00344047">
              <w:t xml:space="preserve">Уровень бюджета </w:t>
            </w:r>
          </w:p>
        </w:tc>
        <w:tc>
          <w:tcPr>
            <w:tcW w:w="2037" w:type="dxa"/>
            <w:tcBorders>
              <w:top w:val="dotted" w:sz="4" w:space="0" w:color="auto"/>
              <w:left w:val="nil"/>
              <w:bottom w:val="dotted" w:sz="4" w:space="0" w:color="auto"/>
              <w:right w:val="nil"/>
            </w:tcBorders>
          </w:tcPr>
          <w:p w:rsidR="00935C40" w:rsidRPr="00344047" w:rsidRDefault="00935C40" w:rsidP="001E2A06">
            <w:pPr>
              <w:pStyle w:val="21"/>
              <w:ind w:firstLine="0"/>
              <w:jc w:val="center"/>
            </w:pPr>
            <w:r w:rsidRPr="00344047">
              <w:t>201</w:t>
            </w:r>
            <w:r>
              <w:t>8</w:t>
            </w:r>
            <w:r w:rsidRPr="00344047">
              <w:t xml:space="preserve"> год</w:t>
            </w:r>
          </w:p>
        </w:tc>
        <w:tc>
          <w:tcPr>
            <w:tcW w:w="2309" w:type="dxa"/>
            <w:tcBorders>
              <w:top w:val="dotted" w:sz="4" w:space="0" w:color="auto"/>
              <w:left w:val="nil"/>
              <w:bottom w:val="dotted" w:sz="4" w:space="0" w:color="auto"/>
              <w:right w:val="nil"/>
            </w:tcBorders>
          </w:tcPr>
          <w:p w:rsidR="00935C40" w:rsidRPr="00344047" w:rsidRDefault="00935C40" w:rsidP="001E2A06">
            <w:pPr>
              <w:pStyle w:val="21"/>
              <w:ind w:firstLine="0"/>
              <w:jc w:val="center"/>
            </w:pPr>
            <w:r w:rsidRPr="00344047">
              <w:t>201</w:t>
            </w:r>
            <w:r>
              <w:t>9</w:t>
            </w:r>
            <w:r w:rsidRPr="00344047">
              <w:t xml:space="preserve"> год</w:t>
            </w:r>
          </w:p>
        </w:tc>
        <w:tc>
          <w:tcPr>
            <w:tcW w:w="2309" w:type="dxa"/>
            <w:tcBorders>
              <w:top w:val="dotted" w:sz="4" w:space="0" w:color="auto"/>
              <w:left w:val="nil"/>
              <w:bottom w:val="dotted" w:sz="4" w:space="0" w:color="auto"/>
              <w:right w:val="dotted" w:sz="4" w:space="0" w:color="auto"/>
            </w:tcBorders>
          </w:tcPr>
          <w:p w:rsidR="00935C40" w:rsidRPr="00344047" w:rsidRDefault="00935C40" w:rsidP="001E2A06">
            <w:pPr>
              <w:pStyle w:val="21"/>
              <w:ind w:firstLine="0"/>
              <w:jc w:val="center"/>
            </w:pPr>
            <w:r w:rsidRPr="00344047">
              <w:t>20</w:t>
            </w:r>
            <w:r>
              <w:t>20</w:t>
            </w:r>
            <w:r w:rsidRPr="00344047">
              <w:t xml:space="preserve"> год</w:t>
            </w:r>
          </w:p>
        </w:tc>
      </w:tr>
      <w:tr w:rsidR="00935C40" w:rsidTr="001E2A06">
        <w:tc>
          <w:tcPr>
            <w:tcW w:w="2689" w:type="dxa"/>
            <w:tcBorders>
              <w:top w:val="dotted" w:sz="4" w:space="0" w:color="auto"/>
              <w:left w:val="dotted" w:sz="4" w:space="0" w:color="auto"/>
              <w:bottom w:val="nil"/>
              <w:right w:val="nil"/>
            </w:tcBorders>
          </w:tcPr>
          <w:p w:rsidR="00935C40" w:rsidRPr="00344047" w:rsidRDefault="00935C40" w:rsidP="001E2A06">
            <w:pPr>
              <w:pStyle w:val="21"/>
              <w:ind w:firstLine="0"/>
              <w:jc w:val="left"/>
            </w:pPr>
            <w:r w:rsidRPr="00344047">
              <w:t>Областной</w:t>
            </w:r>
          </w:p>
        </w:tc>
        <w:tc>
          <w:tcPr>
            <w:tcW w:w="2037" w:type="dxa"/>
            <w:tcBorders>
              <w:top w:val="dotted" w:sz="4" w:space="0" w:color="auto"/>
              <w:left w:val="nil"/>
              <w:bottom w:val="nil"/>
              <w:right w:val="nil"/>
            </w:tcBorders>
          </w:tcPr>
          <w:p w:rsidR="00935C40" w:rsidRPr="00344047" w:rsidRDefault="00935C40" w:rsidP="001E2A06">
            <w:pPr>
              <w:pStyle w:val="21"/>
              <w:ind w:firstLine="0"/>
              <w:jc w:val="center"/>
            </w:pPr>
            <w:r>
              <w:t>8 753,8</w:t>
            </w:r>
          </w:p>
        </w:tc>
        <w:tc>
          <w:tcPr>
            <w:tcW w:w="2309" w:type="dxa"/>
            <w:tcBorders>
              <w:top w:val="dotted" w:sz="4" w:space="0" w:color="auto"/>
              <w:left w:val="nil"/>
              <w:bottom w:val="nil"/>
              <w:right w:val="nil"/>
            </w:tcBorders>
          </w:tcPr>
          <w:p w:rsidR="00935C40" w:rsidRPr="00344047" w:rsidRDefault="00935C40" w:rsidP="001E2A06">
            <w:pPr>
              <w:pStyle w:val="21"/>
              <w:ind w:firstLine="0"/>
              <w:jc w:val="center"/>
            </w:pPr>
            <w:r>
              <w:t>68,9</w:t>
            </w:r>
          </w:p>
        </w:tc>
        <w:tc>
          <w:tcPr>
            <w:tcW w:w="2309" w:type="dxa"/>
            <w:tcBorders>
              <w:top w:val="dotted" w:sz="4" w:space="0" w:color="auto"/>
              <w:left w:val="nil"/>
              <w:bottom w:val="nil"/>
              <w:right w:val="dotted" w:sz="4" w:space="0" w:color="auto"/>
            </w:tcBorders>
          </w:tcPr>
          <w:p w:rsidR="00935C40" w:rsidRPr="00344047" w:rsidRDefault="00935C40" w:rsidP="001E2A06">
            <w:pPr>
              <w:pStyle w:val="21"/>
              <w:ind w:firstLine="0"/>
              <w:jc w:val="center"/>
            </w:pPr>
            <w:r>
              <w:t>9 203,3</w:t>
            </w:r>
          </w:p>
        </w:tc>
      </w:tr>
      <w:tr w:rsidR="00935C40" w:rsidTr="001E2A06">
        <w:tc>
          <w:tcPr>
            <w:tcW w:w="2689" w:type="dxa"/>
            <w:tcBorders>
              <w:top w:val="nil"/>
              <w:left w:val="nil"/>
              <w:bottom w:val="nil"/>
              <w:right w:val="nil"/>
            </w:tcBorders>
          </w:tcPr>
          <w:p w:rsidR="00935C40" w:rsidRPr="00344047" w:rsidRDefault="00935C40" w:rsidP="001E2A06">
            <w:pPr>
              <w:pStyle w:val="21"/>
              <w:ind w:firstLine="0"/>
              <w:jc w:val="left"/>
            </w:pPr>
            <w:r w:rsidRPr="00344047">
              <w:t>Местный</w:t>
            </w:r>
          </w:p>
        </w:tc>
        <w:tc>
          <w:tcPr>
            <w:tcW w:w="2037" w:type="dxa"/>
            <w:tcBorders>
              <w:top w:val="nil"/>
              <w:left w:val="nil"/>
              <w:bottom w:val="nil"/>
              <w:right w:val="nil"/>
            </w:tcBorders>
          </w:tcPr>
          <w:p w:rsidR="00935C40" w:rsidRPr="00344047" w:rsidRDefault="00935C40" w:rsidP="001E2A06">
            <w:pPr>
              <w:pStyle w:val="21"/>
              <w:ind w:firstLine="0"/>
              <w:jc w:val="center"/>
            </w:pPr>
            <w:r>
              <w:t>12 036,5</w:t>
            </w:r>
          </w:p>
        </w:tc>
        <w:tc>
          <w:tcPr>
            <w:tcW w:w="2309" w:type="dxa"/>
            <w:tcBorders>
              <w:top w:val="nil"/>
              <w:left w:val="nil"/>
              <w:bottom w:val="nil"/>
              <w:right w:val="nil"/>
            </w:tcBorders>
          </w:tcPr>
          <w:p w:rsidR="00935C40" w:rsidRPr="00344047" w:rsidRDefault="00935C40" w:rsidP="001E2A06">
            <w:pPr>
              <w:pStyle w:val="21"/>
              <w:ind w:firstLine="0"/>
              <w:jc w:val="center"/>
            </w:pPr>
            <w:r>
              <w:t>94,7</w:t>
            </w:r>
          </w:p>
        </w:tc>
        <w:tc>
          <w:tcPr>
            <w:tcW w:w="2309" w:type="dxa"/>
            <w:tcBorders>
              <w:top w:val="nil"/>
              <w:left w:val="nil"/>
              <w:bottom w:val="nil"/>
              <w:right w:val="nil"/>
            </w:tcBorders>
          </w:tcPr>
          <w:p w:rsidR="00935C40" w:rsidRPr="00344047" w:rsidRDefault="00935C40" w:rsidP="001E2A06">
            <w:pPr>
              <w:pStyle w:val="21"/>
              <w:ind w:firstLine="0"/>
              <w:jc w:val="center"/>
            </w:pPr>
            <w:r>
              <w:t>13 804,9</w:t>
            </w:r>
          </w:p>
        </w:tc>
      </w:tr>
    </w:tbl>
    <w:p w:rsidR="00935C40" w:rsidRPr="008246CC" w:rsidRDefault="00935C40" w:rsidP="00935C40">
      <w:pPr>
        <w:autoSpaceDE w:val="0"/>
        <w:autoSpaceDN w:val="0"/>
        <w:adjustRightInd w:val="0"/>
        <w:ind w:firstLine="540"/>
        <w:jc w:val="both"/>
        <w:rPr>
          <w:b/>
          <w:sz w:val="28"/>
          <w:szCs w:val="28"/>
        </w:rPr>
      </w:pPr>
    </w:p>
    <w:p w:rsidR="00935C40" w:rsidRPr="00957D59" w:rsidRDefault="00935C40" w:rsidP="00935C40">
      <w:pPr>
        <w:autoSpaceDE w:val="0"/>
        <w:autoSpaceDN w:val="0"/>
        <w:adjustRightInd w:val="0"/>
        <w:ind w:firstLine="540"/>
        <w:jc w:val="both"/>
        <w:rPr>
          <w:sz w:val="28"/>
          <w:szCs w:val="28"/>
        </w:rPr>
      </w:pPr>
      <w:r w:rsidRPr="00C50BE2">
        <w:rPr>
          <w:sz w:val="28"/>
          <w:szCs w:val="28"/>
        </w:rPr>
        <w:t>Областной бюджет (норматив зачисления 40%)</w:t>
      </w:r>
      <w:r>
        <w:rPr>
          <w:sz w:val="28"/>
          <w:szCs w:val="28"/>
        </w:rPr>
        <w:t xml:space="preserve"> = (</w:t>
      </w:r>
      <w:r w:rsidRPr="00957D59">
        <w:rPr>
          <w:sz w:val="28"/>
          <w:szCs w:val="28"/>
        </w:rPr>
        <w:t>(</w:t>
      </w:r>
      <w:r w:rsidRPr="0033677C">
        <w:rPr>
          <w:sz w:val="28"/>
          <w:szCs w:val="28"/>
        </w:rPr>
        <w:t>8 </w:t>
      </w:r>
      <w:r>
        <w:rPr>
          <w:sz w:val="28"/>
          <w:szCs w:val="28"/>
        </w:rPr>
        <w:t>753</w:t>
      </w:r>
      <w:r w:rsidRPr="0033677C">
        <w:rPr>
          <w:sz w:val="28"/>
          <w:szCs w:val="28"/>
        </w:rPr>
        <w:t>,</w:t>
      </w:r>
      <w:r>
        <w:rPr>
          <w:sz w:val="28"/>
          <w:szCs w:val="28"/>
        </w:rPr>
        <w:t xml:space="preserve">8*80% </w:t>
      </w:r>
      <w:r w:rsidRPr="00957D59">
        <w:rPr>
          <w:sz w:val="28"/>
          <w:szCs w:val="28"/>
        </w:rPr>
        <w:t>+</w:t>
      </w:r>
      <w:r>
        <w:rPr>
          <w:sz w:val="28"/>
          <w:szCs w:val="28"/>
        </w:rPr>
        <w:t>68,9</w:t>
      </w:r>
      <w:r w:rsidRPr="00957D59">
        <w:rPr>
          <w:sz w:val="28"/>
          <w:szCs w:val="28"/>
        </w:rPr>
        <w:t>)/3</w:t>
      </w:r>
      <w:r>
        <w:rPr>
          <w:sz w:val="28"/>
          <w:szCs w:val="28"/>
        </w:rPr>
        <w:t>+9 203,3)/3</w:t>
      </w:r>
      <w:r w:rsidRPr="00957D59">
        <w:rPr>
          <w:sz w:val="28"/>
          <w:szCs w:val="28"/>
        </w:rPr>
        <w:t>*1,0</w:t>
      </w:r>
      <w:r>
        <w:rPr>
          <w:sz w:val="28"/>
          <w:szCs w:val="28"/>
        </w:rPr>
        <w:t>4</w:t>
      </w:r>
      <w:r w:rsidRPr="00957D59">
        <w:rPr>
          <w:sz w:val="28"/>
          <w:szCs w:val="28"/>
        </w:rPr>
        <w:t xml:space="preserve">= </w:t>
      </w:r>
      <w:r>
        <w:rPr>
          <w:sz w:val="28"/>
          <w:szCs w:val="28"/>
        </w:rPr>
        <w:t>5 642,1</w:t>
      </w:r>
      <w:r w:rsidRPr="00957D59">
        <w:rPr>
          <w:sz w:val="28"/>
          <w:szCs w:val="28"/>
        </w:rPr>
        <w:t xml:space="preserve"> тыс. руб.</w:t>
      </w:r>
    </w:p>
    <w:p w:rsidR="00935C40" w:rsidRPr="00482FA4" w:rsidRDefault="00935C40" w:rsidP="00935C40">
      <w:pPr>
        <w:autoSpaceDE w:val="0"/>
        <w:autoSpaceDN w:val="0"/>
        <w:adjustRightInd w:val="0"/>
        <w:ind w:firstLine="540"/>
        <w:jc w:val="both"/>
        <w:rPr>
          <w:rFonts w:eastAsia="Calibri"/>
          <w:sz w:val="28"/>
          <w:szCs w:val="28"/>
        </w:rPr>
      </w:pPr>
      <w:r w:rsidRPr="00C50BE2">
        <w:rPr>
          <w:sz w:val="28"/>
          <w:szCs w:val="28"/>
        </w:rPr>
        <w:t xml:space="preserve">Местный бюджет (норматив зачисления </w:t>
      </w:r>
      <w:r>
        <w:rPr>
          <w:sz w:val="28"/>
          <w:szCs w:val="28"/>
        </w:rPr>
        <w:t>60</w:t>
      </w:r>
      <w:r w:rsidRPr="00C50BE2">
        <w:rPr>
          <w:sz w:val="28"/>
          <w:szCs w:val="28"/>
        </w:rPr>
        <w:t>%)</w:t>
      </w:r>
      <w:r>
        <w:rPr>
          <w:sz w:val="28"/>
          <w:szCs w:val="28"/>
        </w:rPr>
        <w:t xml:space="preserve">                                                                        =   </w:t>
      </w:r>
      <w:r w:rsidRPr="00482FA4">
        <w:rPr>
          <w:rFonts w:eastAsia="Calibri"/>
          <w:sz w:val="28"/>
          <w:szCs w:val="28"/>
        </w:rPr>
        <w:t>((</w:t>
      </w:r>
      <w:r>
        <w:rPr>
          <w:rFonts w:eastAsia="Calibri"/>
          <w:sz w:val="28"/>
          <w:szCs w:val="28"/>
        </w:rPr>
        <w:t>12 036,5*80%</w:t>
      </w:r>
      <w:r w:rsidRPr="00482FA4">
        <w:rPr>
          <w:rFonts w:eastAsia="Calibri"/>
          <w:sz w:val="28"/>
          <w:szCs w:val="28"/>
        </w:rPr>
        <w:t>+</w:t>
      </w:r>
      <w:r>
        <w:rPr>
          <w:rFonts w:eastAsia="Calibri"/>
          <w:sz w:val="28"/>
          <w:szCs w:val="28"/>
        </w:rPr>
        <w:t>94,7)*1,0909+13 804,9)/3*</w:t>
      </w:r>
      <w:r w:rsidRPr="00482FA4">
        <w:rPr>
          <w:rFonts w:eastAsia="Calibri"/>
          <w:sz w:val="28"/>
          <w:szCs w:val="28"/>
        </w:rPr>
        <w:t>1,0</w:t>
      </w:r>
      <w:r>
        <w:rPr>
          <w:rFonts w:eastAsia="Calibri"/>
          <w:sz w:val="28"/>
          <w:szCs w:val="28"/>
        </w:rPr>
        <w:t>4=</w:t>
      </w:r>
      <w:r w:rsidRPr="00482FA4">
        <w:rPr>
          <w:rFonts w:eastAsia="Calibri"/>
          <w:sz w:val="28"/>
          <w:szCs w:val="28"/>
        </w:rPr>
        <w:t xml:space="preserve"> </w:t>
      </w:r>
      <w:r>
        <w:rPr>
          <w:rFonts w:eastAsia="Calibri"/>
          <w:sz w:val="28"/>
          <w:szCs w:val="28"/>
        </w:rPr>
        <w:t>8 463,1</w:t>
      </w:r>
      <w:r w:rsidRPr="00482FA4">
        <w:rPr>
          <w:rFonts w:eastAsia="Calibri"/>
          <w:sz w:val="28"/>
          <w:szCs w:val="28"/>
        </w:rPr>
        <w:t xml:space="preserve"> тыс. руб. </w:t>
      </w:r>
    </w:p>
    <w:p w:rsidR="00935C40" w:rsidRDefault="00935C40" w:rsidP="00935C40">
      <w:pPr>
        <w:autoSpaceDE w:val="0"/>
        <w:autoSpaceDN w:val="0"/>
        <w:adjustRightInd w:val="0"/>
        <w:ind w:firstLine="540"/>
        <w:jc w:val="both"/>
        <w:rPr>
          <w:rFonts w:eastAsia="Calibri"/>
          <w:sz w:val="28"/>
          <w:szCs w:val="28"/>
        </w:rPr>
      </w:pPr>
      <w:r w:rsidRPr="00C50BE2">
        <w:rPr>
          <w:sz w:val="28"/>
          <w:szCs w:val="28"/>
        </w:rPr>
        <w:t xml:space="preserve">Консолидированный бюджет </w:t>
      </w:r>
      <w:r>
        <w:rPr>
          <w:rFonts w:eastAsia="Calibri"/>
          <w:sz w:val="28"/>
          <w:szCs w:val="28"/>
        </w:rPr>
        <w:t>14 105,2</w:t>
      </w:r>
      <w:r w:rsidRPr="00482FA4">
        <w:rPr>
          <w:rFonts w:eastAsia="Calibri"/>
          <w:sz w:val="28"/>
          <w:szCs w:val="28"/>
        </w:rPr>
        <w:t xml:space="preserve"> тыс. руб.</w:t>
      </w:r>
    </w:p>
    <w:p w:rsidR="00935C40" w:rsidRDefault="00935C40" w:rsidP="00935C40">
      <w:pPr>
        <w:autoSpaceDE w:val="0"/>
        <w:autoSpaceDN w:val="0"/>
        <w:adjustRightInd w:val="0"/>
        <w:ind w:firstLine="540"/>
        <w:jc w:val="both"/>
        <w:rPr>
          <w:sz w:val="28"/>
          <w:szCs w:val="28"/>
        </w:rPr>
      </w:pPr>
    </w:p>
    <w:p w:rsidR="00935C40" w:rsidRPr="00075984" w:rsidRDefault="00935C40" w:rsidP="00935C40">
      <w:pPr>
        <w:pStyle w:val="21"/>
        <w:rPr>
          <w:b/>
        </w:rPr>
      </w:pPr>
      <w:r w:rsidRPr="00075984">
        <w:rPr>
          <w:b/>
        </w:rPr>
        <w:t>Расчет прогноза на 20</w:t>
      </w:r>
      <w:r>
        <w:rPr>
          <w:b/>
        </w:rPr>
        <w:t xml:space="preserve">23 </w:t>
      </w:r>
      <w:r w:rsidRPr="00075984">
        <w:rPr>
          <w:b/>
        </w:rPr>
        <w:t>год по кодам бюджетной классификации (</w:t>
      </w:r>
      <w:r w:rsidRPr="00075984">
        <w:rPr>
          <w:b/>
          <w:lang w:val="en-US"/>
        </w:rPr>
        <w:t>c</w:t>
      </w:r>
      <w:r w:rsidRPr="00075984">
        <w:rPr>
          <w:b/>
        </w:rPr>
        <w:t xml:space="preserve"> учетом округлений):</w:t>
      </w:r>
    </w:p>
    <w:p w:rsidR="00935C40" w:rsidRPr="00CB14EB" w:rsidRDefault="00935C40" w:rsidP="00935C40">
      <w:pPr>
        <w:pStyle w:val="21"/>
        <w:rPr>
          <w:b/>
        </w:rPr>
      </w:pPr>
      <w:r w:rsidRPr="00CB14EB">
        <w:rPr>
          <w:b/>
        </w:rPr>
        <w:t>КБК 048 1 12 01010 01 0000 120 «Плата за выбросы загрязняющих веществ в атмосферный воздух стационарными объектами»</w:t>
      </w:r>
    </w:p>
    <w:p w:rsidR="00935C40" w:rsidRPr="00C50BE2" w:rsidRDefault="00935C40" w:rsidP="00935C40">
      <w:pPr>
        <w:autoSpaceDE w:val="0"/>
        <w:autoSpaceDN w:val="0"/>
        <w:adjustRightInd w:val="0"/>
        <w:ind w:firstLine="540"/>
        <w:jc w:val="both"/>
        <w:rPr>
          <w:sz w:val="28"/>
          <w:szCs w:val="28"/>
        </w:rPr>
      </w:pPr>
      <w:r w:rsidRPr="00C50BE2">
        <w:rPr>
          <w:sz w:val="28"/>
          <w:szCs w:val="28"/>
        </w:rPr>
        <w:t xml:space="preserve">Областной бюджет (норматив зачисления 40%) = </w:t>
      </w:r>
      <w:r w:rsidRPr="00482FA4">
        <w:rPr>
          <w:rFonts w:eastAsia="Calibri"/>
          <w:sz w:val="28"/>
          <w:szCs w:val="28"/>
        </w:rPr>
        <w:t>(4</w:t>
      </w:r>
      <w:r>
        <w:rPr>
          <w:rFonts w:eastAsia="Calibri"/>
          <w:sz w:val="28"/>
          <w:szCs w:val="28"/>
        </w:rPr>
        <w:t xml:space="preserve"> 238,0 + 3 877,4+2 742,6</w:t>
      </w:r>
      <w:r w:rsidRPr="00482FA4">
        <w:rPr>
          <w:rFonts w:eastAsia="Calibri"/>
          <w:sz w:val="28"/>
          <w:szCs w:val="28"/>
        </w:rPr>
        <w:t>)/3*1,0</w:t>
      </w:r>
      <w:r>
        <w:rPr>
          <w:rFonts w:eastAsia="Calibri"/>
          <w:sz w:val="28"/>
          <w:szCs w:val="28"/>
        </w:rPr>
        <w:t>8</w:t>
      </w:r>
      <w:r w:rsidRPr="00482FA4">
        <w:rPr>
          <w:rFonts w:eastAsia="Calibri"/>
          <w:sz w:val="28"/>
          <w:szCs w:val="28"/>
        </w:rPr>
        <w:t>*1,0</w:t>
      </w:r>
      <w:r>
        <w:rPr>
          <w:rFonts w:eastAsia="Calibri"/>
          <w:sz w:val="28"/>
          <w:szCs w:val="28"/>
        </w:rPr>
        <w:t>4*1,04</w:t>
      </w:r>
      <w:r w:rsidRPr="00482FA4">
        <w:rPr>
          <w:rFonts w:eastAsia="Calibri"/>
          <w:sz w:val="28"/>
          <w:szCs w:val="28"/>
        </w:rPr>
        <w:t xml:space="preserve"> = </w:t>
      </w:r>
      <w:r>
        <w:rPr>
          <w:rFonts w:eastAsia="Calibri"/>
          <w:sz w:val="28"/>
          <w:szCs w:val="28"/>
        </w:rPr>
        <w:t>4 227,8</w:t>
      </w:r>
      <w:r w:rsidRPr="00482FA4">
        <w:rPr>
          <w:rFonts w:eastAsia="Calibri"/>
          <w:sz w:val="28"/>
          <w:szCs w:val="28"/>
        </w:rPr>
        <w:t xml:space="preserve"> тыс. руб</w:t>
      </w:r>
      <w:r>
        <w:rPr>
          <w:rFonts w:eastAsia="Calibri"/>
          <w:sz w:val="28"/>
          <w:szCs w:val="28"/>
        </w:rPr>
        <w:t>.</w:t>
      </w:r>
    </w:p>
    <w:p w:rsidR="00935C40" w:rsidRPr="00957D59" w:rsidRDefault="00935C40" w:rsidP="00935C40">
      <w:pPr>
        <w:autoSpaceDE w:val="0"/>
        <w:autoSpaceDN w:val="0"/>
        <w:adjustRightInd w:val="0"/>
        <w:ind w:firstLine="540"/>
        <w:jc w:val="both"/>
        <w:rPr>
          <w:sz w:val="28"/>
          <w:szCs w:val="28"/>
        </w:rPr>
      </w:pPr>
      <w:r w:rsidRPr="00C50BE2">
        <w:rPr>
          <w:sz w:val="28"/>
          <w:szCs w:val="28"/>
        </w:rPr>
        <w:t xml:space="preserve">Местный бюджет (норматив зачисления </w:t>
      </w:r>
      <w:r>
        <w:rPr>
          <w:sz w:val="28"/>
          <w:szCs w:val="28"/>
        </w:rPr>
        <w:t>60</w:t>
      </w:r>
      <w:r w:rsidRPr="00C50BE2">
        <w:rPr>
          <w:sz w:val="28"/>
          <w:szCs w:val="28"/>
        </w:rPr>
        <w:t xml:space="preserve">%) = </w:t>
      </w:r>
      <w:r>
        <w:rPr>
          <w:sz w:val="28"/>
          <w:szCs w:val="28"/>
        </w:rPr>
        <w:t xml:space="preserve">                                                          </w:t>
      </w:r>
      <w:r w:rsidRPr="00957D59">
        <w:rPr>
          <w:sz w:val="28"/>
          <w:szCs w:val="28"/>
        </w:rPr>
        <w:t>(( 5 827,3</w:t>
      </w:r>
      <w:r>
        <w:rPr>
          <w:sz w:val="28"/>
          <w:szCs w:val="28"/>
        </w:rPr>
        <w:t>+5 331,4)*1,0909+4 114,0</w:t>
      </w:r>
      <w:r w:rsidRPr="00957D59">
        <w:rPr>
          <w:sz w:val="28"/>
          <w:szCs w:val="28"/>
        </w:rPr>
        <w:t>)/3*1,0</w:t>
      </w:r>
      <w:r>
        <w:rPr>
          <w:sz w:val="28"/>
          <w:szCs w:val="28"/>
        </w:rPr>
        <w:t>8</w:t>
      </w:r>
      <w:r w:rsidRPr="00957D59">
        <w:rPr>
          <w:sz w:val="28"/>
          <w:szCs w:val="28"/>
        </w:rPr>
        <w:t>*1,0</w:t>
      </w:r>
      <w:r>
        <w:rPr>
          <w:sz w:val="28"/>
          <w:szCs w:val="28"/>
        </w:rPr>
        <w:t>4*1,04</w:t>
      </w:r>
      <w:r w:rsidRPr="00957D59">
        <w:rPr>
          <w:sz w:val="28"/>
          <w:szCs w:val="28"/>
        </w:rPr>
        <w:t xml:space="preserve"> = </w:t>
      </w:r>
      <w:r>
        <w:rPr>
          <w:sz w:val="28"/>
          <w:szCs w:val="28"/>
        </w:rPr>
        <w:t>6 341,8</w:t>
      </w:r>
      <w:r w:rsidRPr="00957D59">
        <w:rPr>
          <w:sz w:val="28"/>
          <w:szCs w:val="28"/>
        </w:rPr>
        <w:t xml:space="preserve"> тыс. руб.</w:t>
      </w:r>
    </w:p>
    <w:p w:rsidR="00935C40" w:rsidRDefault="00935C40" w:rsidP="00935C40">
      <w:pPr>
        <w:autoSpaceDE w:val="0"/>
        <w:autoSpaceDN w:val="0"/>
        <w:adjustRightInd w:val="0"/>
        <w:ind w:firstLine="540"/>
        <w:jc w:val="both"/>
        <w:rPr>
          <w:sz w:val="28"/>
          <w:szCs w:val="28"/>
        </w:rPr>
      </w:pPr>
      <w:r w:rsidRPr="00C50BE2">
        <w:rPr>
          <w:sz w:val="28"/>
          <w:szCs w:val="28"/>
        </w:rPr>
        <w:t xml:space="preserve">Консолидированный бюджет = </w:t>
      </w:r>
      <w:r w:rsidRPr="00482FA4">
        <w:rPr>
          <w:rFonts w:eastAsia="Calibri"/>
          <w:sz w:val="28"/>
          <w:szCs w:val="28"/>
        </w:rPr>
        <w:t>1</w:t>
      </w:r>
      <w:r>
        <w:rPr>
          <w:rFonts w:eastAsia="Calibri"/>
          <w:sz w:val="28"/>
          <w:szCs w:val="28"/>
        </w:rPr>
        <w:t>0 569,6</w:t>
      </w:r>
      <w:r w:rsidRPr="00482FA4">
        <w:rPr>
          <w:rFonts w:eastAsia="Calibri"/>
          <w:sz w:val="28"/>
          <w:szCs w:val="28"/>
        </w:rPr>
        <w:t xml:space="preserve"> </w:t>
      </w:r>
      <w:r w:rsidRPr="00C50BE2">
        <w:rPr>
          <w:sz w:val="28"/>
          <w:szCs w:val="28"/>
        </w:rPr>
        <w:t>тыс. руб.</w:t>
      </w:r>
    </w:p>
    <w:p w:rsidR="00935C40" w:rsidRDefault="00935C40" w:rsidP="00935C40">
      <w:pPr>
        <w:autoSpaceDE w:val="0"/>
        <w:autoSpaceDN w:val="0"/>
        <w:adjustRightInd w:val="0"/>
        <w:ind w:firstLine="540"/>
        <w:jc w:val="both"/>
        <w:rPr>
          <w:b/>
          <w:sz w:val="28"/>
          <w:szCs w:val="28"/>
        </w:rPr>
      </w:pPr>
    </w:p>
    <w:p w:rsidR="00935C40" w:rsidRPr="00CB14EB" w:rsidRDefault="00935C40" w:rsidP="00935C40">
      <w:pPr>
        <w:autoSpaceDE w:val="0"/>
        <w:autoSpaceDN w:val="0"/>
        <w:adjustRightInd w:val="0"/>
        <w:ind w:firstLine="540"/>
        <w:jc w:val="both"/>
        <w:rPr>
          <w:b/>
          <w:sz w:val="28"/>
          <w:szCs w:val="28"/>
        </w:rPr>
      </w:pPr>
      <w:r w:rsidRPr="00CB14EB">
        <w:rPr>
          <w:b/>
          <w:sz w:val="28"/>
          <w:szCs w:val="28"/>
        </w:rPr>
        <w:t>КБК 048 1 12 01030 01 0000 120 «Плата за сбросы загрязняющих веществ в водные объекты»</w:t>
      </w:r>
    </w:p>
    <w:p w:rsidR="00935C40" w:rsidRPr="00957D59" w:rsidRDefault="00935C40" w:rsidP="00935C40">
      <w:pPr>
        <w:autoSpaceDE w:val="0"/>
        <w:autoSpaceDN w:val="0"/>
        <w:adjustRightInd w:val="0"/>
        <w:ind w:firstLine="540"/>
        <w:jc w:val="both"/>
        <w:rPr>
          <w:sz w:val="28"/>
          <w:szCs w:val="28"/>
        </w:rPr>
      </w:pPr>
      <w:r w:rsidRPr="00C50BE2">
        <w:rPr>
          <w:sz w:val="28"/>
          <w:szCs w:val="28"/>
        </w:rPr>
        <w:t xml:space="preserve">Областной бюджет (норматив зачисления 40%) = </w:t>
      </w:r>
      <w:r>
        <w:rPr>
          <w:sz w:val="28"/>
          <w:szCs w:val="28"/>
        </w:rPr>
        <w:t xml:space="preserve">                                                                          (</w:t>
      </w:r>
      <w:r w:rsidRPr="00957D59">
        <w:rPr>
          <w:sz w:val="28"/>
          <w:szCs w:val="28"/>
        </w:rPr>
        <w:t>2 96</w:t>
      </w:r>
      <w:r>
        <w:rPr>
          <w:sz w:val="28"/>
          <w:szCs w:val="28"/>
        </w:rPr>
        <w:t>7</w:t>
      </w:r>
      <w:r w:rsidRPr="00957D59">
        <w:rPr>
          <w:sz w:val="28"/>
          <w:szCs w:val="28"/>
        </w:rPr>
        <w:t>,</w:t>
      </w:r>
      <w:r>
        <w:rPr>
          <w:sz w:val="28"/>
          <w:szCs w:val="28"/>
        </w:rPr>
        <w:t>9+3 779,7+2 973,3)</w:t>
      </w:r>
      <w:r w:rsidRPr="00957D59">
        <w:rPr>
          <w:sz w:val="28"/>
          <w:szCs w:val="28"/>
        </w:rPr>
        <w:t>/3*1,0</w:t>
      </w:r>
      <w:r>
        <w:rPr>
          <w:sz w:val="28"/>
          <w:szCs w:val="28"/>
        </w:rPr>
        <w:t>8</w:t>
      </w:r>
      <w:r w:rsidRPr="00957D59">
        <w:rPr>
          <w:sz w:val="28"/>
          <w:szCs w:val="28"/>
        </w:rPr>
        <w:t>*1,0</w:t>
      </w:r>
      <w:r>
        <w:rPr>
          <w:sz w:val="28"/>
          <w:szCs w:val="28"/>
        </w:rPr>
        <w:t>4*1,04</w:t>
      </w:r>
      <w:r w:rsidRPr="00957D59">
        <w:rPr>
          <w:sz w:val="28"/>
          <w:szCs w:val="28"/>
        </w:rPr>
        <w:t xml:space="preserve">= </w:t>
      </w:r>
      <w:r>
        <w:rPr>
          <w:sz w:val="28"/>
          <w:szCs w:val="28"/>
        </w:rPr>
        <w:t>3 785,1</w:t>
      </w:r>
      <w:r w:rsidRPr="00957D59">
        <w:rPr>
          <w:sz w:val="28"/>
          <w:szCs w:val="28"/>
        </w:rPr>
        <w:t xml:space="preserve"> тыс. руб.</w:t>
      </w:r>
    </w:p>
    <w:p w:rsidR="00935C40" w:rsidRPr="00957D59" w:rsidRDefault="00935C40" w:rsidP="00935C40">
      <w:pPr>
        <w:autoSpaceDE w:val="0"/>
        <w:autoSpaceDN w:val="0"/>
        <w:adjustRightInd w:val="0"/>
        <w:ind w:firstLine="540"/>
        <w:jc w:val="both"/>
        <w:rPr>
          <w:sz w:val="28"/>
          <w:szCs w:val="28"/>
        </w:rPr>
      </w:pPr>
      <w:r w:rsidRPr="00C50BE2">
        <w:rPr>
          <w:sz w:val="28"/>
          <w:szCs w:val="28"/>
        </w:rPr>
        <w:t xml:space="preserve">Местный бюджет (норматив зачисления </w:t>
      </w:r>
      <w:r>
        <w:rPr>
          <w:sz w:val="28"/>
          <w:szCs w:val="28"/>
        </w:rPr>
        <w:t xml:space="preserve">60 </w:t>
      </w:r>
      <w:r w:rsidRPr="00C50BE2">
        <w:rPr>
          <w:sz w:val="28"/>
          <w:szCs w:val="28"/>
        </w:rPr>
        <w:t xml:space="preserve">%) = </w:t>
      </w:r>
      <w:r>
        <w:rPr>
          <w:sz w:val="28"/>
          <w:szCs w:val="28"/>
        </w:rPr>
        <w:t>((4 080</w:t>
      </w:r>
      <w:r w:rsidRPr="00957D59">
        <w:rPr>
          <w:sz w:val="28"/>
          <w:szCs w:val="28"/>
        </w:rPr>
        <w:t>,</w:t>
      </w:r>
      <w:r>
        <w:rPr>
          <w:sz w:val="28"/>
          <w:szCs w:val="28"/>
        </w:rPr>
        <w:t>9</w:t>
      </w:r>
      <w:r w:rsidRPr="00957D59">
        <w:rPr>
          <w:sz w:val="28"/>
          <w:szCs w:val="28"/>
        </w:rPr>
        <w:t xml:space="preserve"> + </w:t>
      </w:r>
      <w:r>
        <w:rPr>
          <w:sz w:val="28"/>
          <w:szCs w:val="28"/>
        </w:rPr>
        <w:t>5 197,0) * 1,0909)+4 460,0)/3</w:t>
      </w:r>
      <w:r w:rsidRPr="00957D59">
        <w:rPr>
          <w:sz w:val="28"/>
          <w:szCs w:val="28"/>
        </w:rPr>
        <w:t>*1,0</w:t>
      </w:r>
      <w:r>
        <w:rPr>
          <w:sz w:val="28"/>
          <w:szCs w:val="28"/>
        </w:rPr>
        <w:t>8</w:t>
      </w:r>
      <w:r w:rsidRPr="00957D59">
        <w:rPr>
          <w:sz w:val="28"/>
          <w:szCs w:val="28"/>
        </w:rPr>
        <w:t>*1,0</w:t>
      </w:r>
      <w:r>
        <w:rPr>
          <w:sz w:val="28"/>
          <w:szCs w:val="28"/>
        </w:rPr>
        <w:t>4*1,04=5 677,6</w:t>
      </w:r>
      <w:r w:rsidRPr="00957D59">
        <w:rPr>
          <w:sz w:val="28"/>
          <w:szCs w:val="28"/>
        </w:rPr>
        <w:t xml:space="preserve"> тыс. руб. </w:t>
      </w:r>
    </w:p>
    <w:p w:rsidR="00935C40" w:rsidRPr="00C50BE2" w:rsidRDefault="00935C40" w:rsidP="00935C40">
      <w:pPr>
        <w:autoSpaceDE w:val="0"/>
        <w:autoSpaceDN w:val="0"/>
        <w:adjustRightInd w:val="0"/>
        <w:ind w:firstLine="540"/>
        <w:jc w:val="both"/>
        <w:rPr>
          <w:sz w:val="28"/>
          <w:szCs w:val="28"/>
        </w:rPr>
      </w:pPr>
      <w:r w:rsidRPr="00C50BE2">
        <w:rPr>
          <w:sz w:val="28"/>
          <w:szCs w:val="28"/>
        </w:rPr>
        <w:t xml:space="preserve">Консолидированный бюджет = </w:t>
      </w:r>
      <w:r>
        <w:rPr>
          <w:rFonts w:eastAsia="Calibri"/>
          <w:sz w:val="28"/>
          <w:szCs w:val="28"/>
        </w:rPr>
        <w:t xml:space="preserve">9 462,7 </w:t>
      </w:r>
      <w:r w:rsidRPr="00C50BE2">
        <w:rPr>
          <w:sz w:val="28"/>
          <w:szCs w:val="28"/>
        </w:rPr>
        <w:t>тыс. руб.</w:t>
      </w:r>
    </w:p>
    <w:p w:rsidR="00935C40" w:rsidRPr="008246CC" w:rsidRDefault="00935C40" w:rsidP="00935C40">
      <w:pPr>
        <w:autoSpaceDE w:val="0"/>
        <w:autoSpaceDN w:val="0"/>
        <w:adjustRightInd w:val="0"/>
        <w:ind w:firstLine="540"/>
        <w:jc w:val="both"/>
        <w:rPr>
          <w:b/>
          <w:sz w:val="28"/>
          <w:szCs w:val="28"/>
        </w:rPr>
      </w:pPr>
      <w:r w:rsidRPr="008246CC">
        <w:rPr>
          <w:b/>
          <w:sz w:val="28"/>
          <w:szCs w:val="28"/>
        </w:rPr>
        <w:lastRenderedPageBreak/>
        <w:t>КБК 048 1 12 0104</w:t>
      </w:r>
      <w:r>
        <w:rPr>
          <w:b/>
          <w:sz w:val="28"/>
          <w:szCs w:val="28"/>
        </w:rPr>
        <w:t>1</w:t>
      </w:r>
      <w:r w:rsidRPr="008246CC">
        <w:rPr>
          <w:b/>
          <w:sz w:val="28"/>
          <w:szCs w:val="28"/>
        </w:rPr>
        <w:t xml:space="preserve"> 01 0000 120 «Плата за размещение отходов производства»</w:t>
      </w:r>
    </w:p>
    <w:p w:rsidR="00935C40" w:rsidRDefault="00935C40" w:rsidP="00935C40">
      <w:pPr>
        <w:autoSpaceDE w:val="0"/>
        <w:autoSpaceDN w:val="0"/>
        <w:adjustRightInd w:val="0"/>
        <w:ind w:firstLine="540"/>
        <w:jc w:val="both"/>
        <w:rPr>
          <w:sz w:val="28"/>
          <w:szCs w:val="28"/>
        </w:rPr>
      </w:pPr>
      <w:r w:rsidRPr="00C50BE2">
        <w:rPr>
          <w:sz w:val="28"/>
          <w:szCs w:val="28"/>
        </w:rPr>
        <w:t xml:space="preserve">Областной бюджет (норматив зачисления 40%) = </w:t>
      </w:r>
      <w:r>
        <w:rPr>
          <w:sz w:val="28"/>
          <w:szCs w:val="28"/>
        </w:rPr>
        <w:t xml:space="preserve">                                                                (( </w:t>
      </w:r>
      <w:r w:rsidRPr="00957D59">
        <w:rPr>
          <w:sz w:val="28"/>
          <w:szCs w:val="28"/>
        </w:rPr>
        <w:t>12 533,</w:t>
      </w:r>
      <w:r>
        <w:rPr>
          <w:sz w:val="28"/>
          <w:szCs w:val="28"/>
        </w:rPr>
        <w:t>2*20%)+6 857,8+21 844,1)/3*</w:t>
      </w:r>
      <w:r w:rsidRPr="00957D59">
        <w:rPr>
          <w:sz w:val="28"/>
          <w:szCs w:val="28"/>
        </w:rPr>
        <w:t>1,</w:t>
      </w:r>
      <w:r>
        <w:rPr>
          <w:sz w:val="28"/>
          <w:szCs w:val="28"/>
        </w:rPr>
        <w:t>08</w:t>
      </w:r>
      <w:r w:rsidRPr="00957D59">
        <w:rPr>
          <w:sz w:val="28"/>
          <w:szCs w:val="28"/>
        </w:rPr>
        <w:t>*1,0</w:t>
      </w:r>
      <w:r>
        <w:rPr>
          <w:sz w:val="28"/>
          <w:szCs w:val="28"/>
        </w:rPr>
        <w:t>4*1,04</w:t>
      </w:r>
      <w:r w:rsidRPr="00957D59">
        <w:rPr>
          <w:sz w:val="28"/>
          <w:szCs w:val="28"/>
        </w:rPr>
        <w:t xml:space="preserve">= </w:t>
      </w:r>
      <w:r>
        <w:rPr>
          <w:sz w:val="28"/>
          <w:szCs w:val="28"/>
        </w:rPr>
        <w:t>12 151,9</w:t>
      </w:r>
      <w:r w:rsidRPr="00957D59">
        <w:rPr>
          <w:sz w:val="28"/>
          <w:szCs w:val="28"/>
        </w:rPr>
        <w:t xml:space="preserve"> тыс. руб.</w:t>
      </w:r>
    </w:p>
    <w:p w:rsidR="00935C40" w:rsidRPr="00482FA4" w:rsidRDefault="00935C40" w:rsidP="00935C40">
      <w:pPr>
        <w:autoSpaceDE w:val="0"/>
        <w:autoSpaceDN w:val="0"/>
        <w:adjustRightInd w:val="0"/>
        <w:ind w:firstLine="540"/>
        <w:jc w:val="both"/>
        <w:rPr>
          <w:rFonts w:eastAsia="Calibri"/>
          <w:sz w:val="28"/>
          <w:szCs w:val="28"/>
        </w:rPr>
      </w:pPr>
      <w:r w:rsidRPr="00C50BE2">
        <w:rPr>
          <w:sz w:val="28"/>
          <w:szCs w:val="28"/>
        </w:rPr>
        <w:t xml:space="preserve">Местный бюджет (норматив зачисления </w:t>
      </w:r>
      <w:r>
        <w:rPr>
          <w:sz w:val="28"/>
          <w:szCs w:val="28"/>
        </w:rPr>
        <w:t xml:space="preserve">60 </w:t>
      </w:r>
      <w:r w:rsidRPr="00C50BE2">
        <w:rPr>
          <w:sz w:val="28"/>
          <w:szCs w:val="28"/>
        </w:rPr>
        <w:t xml:space="preserve">%) = </w:t>
      </w:r>
      <w:r w:rsidRPr="00482FA4">
        <w:rPr>
          <w:rFonts w:eastAsia="Calibri"/>
          <w:sz w:val="28"/>
          <w:szCs w:val="28"/>
        </w:rPr>
        <w:t>((17</w:t>
      </w:r>
      <w:r>
        <w:rPr>
          <w:rFonts w:eastAsia="Calibri"/>
          <w:sz w:val="28"/>
          <w:szCs w:val="28"/>
        </w:rPr>
        <w:t xml:space="preserve"> </w:t>
      </w:r>
      <w:r w:rsidRPr="00482FA4">
        <w:rPr>
          <w:rFonts w:eastAsia="Calibri"/>
          <w:sz w:val="28"/>
          <w:szCs w:val="28"/>
        </w:rPr>
        <w:t>233,</w:t>
      </w:r>
      <w:r>
        <w:rPr>
          <w:rFonts w:eastAsia="Calibri"/>
          <w:sz w:val="28"/>
          <w:szCs w:val="28"/>
        </w:rPr>
        <w:t>1*20% + 9 429,4)*1,0909+32 766,0)</w:t>
      </w:r>
      <w:r w:rsidRPr="00482FA4">
        <w:rPr>
          <w:rFonts w:eastAsia="Calibri"/>
          <w:sz w:val="28"/>
          <w:szCs w:val="28"/>
        </w:rPr>
        <w:t>/3*1,0</w:t>
      </w:r>
      <w:r>
        <w:rPr>
          <w:rFonts w:eastAsia="Calibri"/>
          <w:sz w:val="28"/>
          <w:szCs w:val="28"/>
        </w:rPr>
        <w:t xml:space="preserve">8*1,04*1,04 </w:t>
      </w:r>
      <w:r w:rsidRPr="00482FA4">
        <w:rPr>
          <w:rFonts w:eastAsia="Calibri"/>
          <w:sz w:val="28"/>
          <w:szCs w:val="28"/>
        </w:rPr>
        <w:t xml:space="preserve">= </w:t>
      </w:r>
      <w:r>
        <w:rPr>
          <w:rFonts w:eastAsia="Calibri"/>
          <w:sz w:val="28"/>
          <w:szCs w:val="28"/>
        </w:rPr>
        <w:t>18 227,6</w:t>
      </w:r>
      <w:r w:rsidRPr="00482FA4">
        <w:rPr>
          <w:rFonts w:eastAsia="Calibri"/>
          <w:sz w:val="28"/>
          <w:szCs w:val="28"/>
        </w:rPr>
        <w:t xml:space="preserve"> тыс. руб. </w:t>
      </w:r>
    </w:p>
    <w:p w:rsidR="00935C40" w:rsidRDefault="00935C40" w:rsidP="00935C40">
      <w:pPr>
        <w:autoSpaceDE w:val="0"/>
        <w:autoSpaceDN w:val="0"/>
        <w:adjustRightInd w:val="0"/>
        <w:ind w:firstLine="540"/>
        <w:jc w:val="both"/>
        <w:rPr>
          <w:sz w:val="28"/>
          <w:szCs w:val="28"/>
        </w:rPr>
      </w:pPr>
      <w:r w:rsidRPr="002374A9">
        <w:rPr>
          <w:sz w:val="28"/>
          <w:szCs w:val="28"/>
        </w:rPr>
        <w:t xml:space="preserve">Консолидированный бюджет = </w:t>
      </w:r>
      <w:r>
        <w:rPr>
          <w:sz w:val="28"/>
          <w:szCs w:val="28"/>
        </w:rPr>
        <w:t>30 379,5</w:t>
      </w:r>
      <w:r w:rsidRPr="00482FA4">
        <w:rPr>
          <w:rFonts w:eastAsia="Calibri"/>
          <w:sz w:val="28"/>
          <w:szCs w:val="28"/>
        </w:rPr>
        <w:t xml:space="preserve"> тыс.</w:t>
      </w:r>
      <w:r w:rsidRPr="002374A9">
        <w:rPr>
          <w:sz w:val="28"/>
          <w:szCs w:val="28"/>
        </w:rPr>
        <w:t xml:space="preserve"> руб.</w:t>
      </w:r>
    </w:p>
    <w:p w:rsidR="00935C40" w:rsidRDefault="00935C40" w:rsidP="00935C40">
      <w:pPr>
        <w:autoSpaceDE w:val="0"/>
        <w:autoSpaceDN w:val="0"/>
        <w:adjustRightInd w:val="0"/>
        <w:ind w:firstLine="709"/>
        <w:jc w:val="both"/>
        <w:rPr>
          <w:sz w:val="28"/>
          <w:szCs w:val="28"/>
        </w:rPr>
      </w:pPr>
      <w:r w:rsidRPr="00F87591">
        <w:rPr>
          <w:sz w:val="28"/>
          <w:szCs w:val="28"/>
        </w:rPr>
        <w:t>.</w:t>
      </w:r>
    </w:p>
    <w:p w:rsidR="00935C40" w:rsidRPr="008246CC" w:rsidRDefault="00935C40" w:rsidP="00935C40">
      <w:pPr>
        <w:autoSpaceDE w:val="0"/>
        <w:autoSpaceDN w:val="0"/>
        <w:adjustRightInd w:val="0"/>
        <w:ind w:firstLine="540"/>
        <w:jc w:val="both"/>
        <w:rPr>
          <w:b/>
          <w:sz w:val="28"/>
          <w:szCs w:val="28"/>
        </w:rPr>
      </w:pPr>
      <w:r w:rsidRPr="008246CC">
        <w:rPr>
          <w:b/>
          <w:sz w:val="28"/>
          <w:szCs w:val="28"/>
        </w:rPr>
        <w:t>КБК 048 1 12 0104</w:t>
      </w:r>
      <w:r>
        <w:rPr>
          <w:b/>
          <w:sz w:val="28"/>
          <w:szCs w:val="28"/>
        </w:rPr>
        <w:t>2</w:t>
      </w:r>
      <w:r w:rsidRPr="008246CC">
        <w:rPr>
          <w:b/>
          <w:sz w:val="28"/>
          <w:szCs w:val="28"/>
        </w:rPr>
        <w:t xml:space="preserve"> 01 0000 120 «Плата за размещение</w:t>
      </w:r>
      <w:r>
        <w:rPr>
          <w:b/>
          <w:sz w:val="28"/>
          <w:szCs w:val="28"/>
        </w:rPr>
        <w:t xml:space="preserve"> твердых коммунальных </w:t>
      </w:r>
      <w:r w:rsidRPr="008246CC">
        <w:rPr>
          <w:b/>
          <w:sz w:val="28"/>
          <w:szCs w:val="28"/>
        </w:rPr>
        <w:t>отходов»</w:t>
      </w:r>
    </w:p>
    <w:p w:rsidR="00935C40" w:rsidRPr="00957D59" w:rsidRDefault="00935C40" w:rsidP="00935C40">
      <w:pPr>
        <w:autoSpaceDE w:val="0"/>
        <w:autoSpaceDN w:val="0"/>
        <w:adjustRightInd w:val="0"/>
        <w:ind w:firstLine="540"/>
        <w:jc w:val="both"/>
        <w:rPr>
          <w:sz w:val="28"/>
          <w:szCs w:val="28"/>
        </w:rPr>
      </w:pPr>
      <w:r w:rsidRPr="00C50BE2">
        <w:rPr>
          <w:sz w:val="28"/>
          <w:szCs w:val="28"/>
        </w:rPr>
        <w:t>Областной бюджет (норматив зачисления 40%)</w:t>
      </w:r>
      <w:r>
        <w:rPr>
          <w:sz w:val="28"/>
          <w:szCs w:val="28"/>
        </w:rPr>
        <w:t xml:space="preserve"> = (</w:t>
      </w:r>
      <w:r w:rsidRPr="00957D59">
        <w:rPr>
          <w:sz w:val="28"/>
          <w:szCs w:val="28"/>
        </w:rPr>
        <w:t>(</w:t>
      </w:r>
      <w:r w:rsidRPr="0033677C">
        <w:rPr>
          <w:sz w:val="28"/>
          <w:szCs w:val="28"/>
        </w:rPr>
        <w:t>8 </w:t>
      </w:r>
      <w:r>
        <w:rPr>
          <w:sz w:val="28"/>
          <w:szCs w:val="28"/>
        </w:rPr>
        <w:t>753</w:t>
      </w:r>
      <w:r w:rsidRPr="0033677C">
        <w:rPr>
          <w:sz w:val="28"/>
          <w:szCs w:val="28"/>
        </w:rPr>
        <w:t>,</w:t>
      </w:r>
      <w:r>
        <w:rPr>
          <w:sz w:val="28"/>
          <w:szCs w:val="28"/>
        </w:rPr>
        <w:t xml:space="preserve">8*80% </w:t>
      </w:r>
      <w:r w:rsidRPr="00957D59">
        <w:rPr>
          <w:sz w:val="28"/>
          <w:szCs w:val="28"/>
        </w:rPr>
        <w:t>+</w:t>
      </w:r>
      <w:r>
        <w:rPr>
          <w:sz w:val="28"/>
          <w:szCs w:val="28"/>
        </w:rPr>
        <w:t>68,9</w:t>
      </w:r>
      <w:r w:rsidRPr="00957D59">
        <w:rPr>
          <w:sz w:val="28"/>
          <w:szCs w:val="28"/>
        </w:rPr>
        <w:t>)/3</w:t>
      </w:r>
      <w:r>
        <w:rPr>
          <w:sz w:val="28"/>
          <w:szCs w:val="28"/>
        </w:rPr>
        <w:t>+9 203,3)/3</w:t>
      </w:r>
      <w:r w:rsidRPr="00957D59">
        <w:rPr>
          <w:sz w:val="28"/>
          <w:szCs w:val="28"/>
        </w:rPr>
        <w:t>*1,0</w:t>
      </w:r>
      <w:r>
        <w:rPr>
          <w:sz w:val="28"/>
          <w:szCs w:val="28"/>
        </w:rPr>
        <w:t>4*1,04</w:t>
      </w:r>
      <w:r w:rsidRPr="00957D59">
        <w:rPr>
          <w:sz w:val="28"/>
          <w:szCs w:val="28"/>
        </w:rPr>
        <w:t xml:space="preserve">= </w:t>
      </w:r>
      <w:r>
        <w:rPr>
          <w:sz w:val="28"/>
          <w:szCs w:val="28"/>
        </w:rPr>
        <w:t>5 867,8</w:t>
      </w:r>
      <w:r w:rsidRPr="00957D59">
        <w:rPr>
          <w:sz w:val="28"/>
          <w:szCs w:val="28"/>
        </w:rPr>
        <w:t xml:space="preserve"> тыс. руб.</w:t>
      </w:r>
    </w:p>
    <w:p w:rsidR="00935C40" w:rsidRPr="00482FA4" w:rsidRDefault="00935C40" w:rsidP="00935C40">
      <w:pPr>
        <w:autoSpaceDE w:val="0"/>
        <w:autoSpaceDN w:val="0"/>
        <w:adjustRightInd w:val="0"/>
        <w:ind w:firstLine="540"/>
        <w:jc w:val="both"/>
        <w:rPr>
          <w:rFonts w:eastAsia="Calibri"/>
          <w:sz w:val="28"/>
          <w:szCs w:val="28"/>
        </w:rPr>
      </w:pPr>
      <w:r w:rsidRPr="00C50BE2">
        <w:rPr>
          <w:sz w:val="28"/>
          <w:szCs w:val="28"/>
        </w:rPr>
        <w:t xml:space="preserve">Местный бюджет (норматив зачисления </w:t>
      </w:r>
      <w:r>
        <w:rPr>
          <w:sz w:val="28"/>
          <w:szCs w:val="28"/>
        </w:rPr>
        <w:t>60</w:t>
      </w:r>
      <w:r w:rsidRPr="00C50BE2">
        <w:rPr>
          <w:sz w:val="28"/>
          <w:szCs w:val="28"/>
        </w:rPr>
        <w:t>%)</w:t>
      </w:r>
      <w:r>
        <w:rPr>
          <w:sz w:val="28"/>
          <w:szCs w:val="28"/>
        </w:rPr>
        <w:t xml:space="preserve">                                                                        =   </w:t>
      </w:r>
      <w:r w:rsidRPr="00482FA4">
        <w:rPr>
          <w:rFonts w:eastAsia="Calibri"/>
          <w:sz w:val="28"/>
          <w:szCs w:val="28"/>
        </w:rPr>
        <w:t>((</w:t>
      </w:r>
      <w:r>
        <w:rPr>
          <w:rFonts w:eastAsia="Calibri"/>
          <w:sz w:val="28"/>
          <w:szCs w:val="28"/>
        </w:rPr>
        <w:t>12 036,5*80%</w:t>
      </w:r>
      <w:r w:rsidRPr="00482FA4">
        <w:rPr>
          <w:rFonts w:eastAsia="Calibri"/>
          <w:sz w:val="28"/>
          <w:szCs w:val="28"/>
        </w:rPr>
        <w:t>+</w:t>
      </w:r>
      <w:r>
        <w:rPr>
          <w:rFonts w:eastAsia="Calibri"/>
          <w:sz w:val="28"/>
          <w:szCs w:val="28"/>
        </w:rPr>
        <w:t>94,7)*1,0909+13 804,9)/3*</w:t>
      </w:r>
      <w:r w:rsidRPr="00482FA4">
        <w:rPr>
          <w:rFonts w:eastAsia="Calibri"/>
          <w:sz w:val="28"/>
          <w:szCs w:val="28"/>
        </w:rPr>
        <w:t>1,0</w:t>
      </w:r>
      <w:r>
        <w:rPr>
          <w:rFonts w:eastAsia="Calibri"/>
          <w:sz w:val="28"/>
          <w:szCs w:val="28"/>
        </w:rPr>
        <w:t>4*1,04=</w:t>
      </w:r>
      <w:r w:rsidRPr="00482FA4">
        <w:rPr>
          <w:rFonts w:eastAsia="Calibri"/>
          <w:sz w:val="28"/>
          <w:szCs w:val="28"/>
        </w:rPr>
        <w:t xml:space="preserve"> </w:t>
      </w:r>
      <w:r>
        <w:rPr>
          <w:rFonts w:eastAsia="Calibri"/>
          <w:sz w:val="28"/>
          <w:szCs w:val="28"/>
        </w:rPr>
        <w:t>8 801,6</w:t>
      </w:r>
      <w:r w:rsidRPr="00482FA4">
        <w:rPr>
          <w:rFonts w:eastAsia="Calibri"/>
          <w:sz w:val="28"/>
          <w:szCs w:val="28"/>
        </w:rPr>
        <w:t xml:space="preserve"> тыс. руб. </w:t>
      </w:r>
    </w:p>
    <w:p w:rsidR="00935C40" w:rsidRDefault="00935C40" w:rsidP="00935C40">
      <w:pPr>
        <w:autoSpaceDE w:val="0"/>
        <w:autoSpaceDN w:val="0"/>
        <w:adjustRightInd w:val="0"/>
        <w:ind w:firstLine="540"/>
        <w:jc w:val="both"/>
        <w:rPr>
          <w:rFonts w:eastAsia="Calibri"/>
          <w:sz w:val="28"/>
          <w:szCs w:val="28"/>
        </w:rPr>
      </w:pPr>
      <w:r w:rsidRPr="00C50BE2">
        <w:rPr>
          <w:sz w:val="28"/>
          <w:szCs w:val="28"/>
        </w:rPr>
        <w:t xml:space="preserve">Консолидированный бюджет </w:t>
      </w:r>
      <w:r>
        <w:rPr>
          <w:rFonts w:eastAsia="Calibri"/>
          <w:sz w:val="28"/>
          <w:szCs w:val="28"/>
        </w:rPr>
        <w:t>14 669,4</w:t>
      </w:r>
      <w:r w:rsidRPr="00482FA4">
        <w:rPr>
          <w:rFonts w:eastAsia="Calibri"/>
          <w:sz w:val="28"/>
          <w:szCs w:val="28"/>
        </w:rPr>
        <w:t xml:space="preserve"> тыс. руб.</w:t>
      </w:r>
    </w:p>
    <w:p w:rsidR="00935C40" w:rsidRPr="00075984" w:rsidRDefault="00935C40" w:rsidP="00935C40">
      <w:pPr>
        <w:pStyle w:val="21"/>
        <w:rPr>
          <w:b/>
        </w:rPr>
      </w:pPr>
      <w:r w:rsidRPr="00075984">
        <w:rPr>
          <w:b/>
        </w:rPr>
        <w:t>Расчет прогноза на 202</w:t>
      </w:r>
      <w:r>
        <w:rPr>
          <w:b/>
        </w:rPr>
        <w:t>4</w:t>
      </w:r>
      <w:r w:rsidRPr="00075984">
        <w:rPr>
          <w:b/>
        </w:rPr>
        <w:t xml:space="preserve"> год по кодам бюджетной классификации (</w:t>
      </w:r>
      <w:r w:rsidRPr="00075984">
        <w:rPr>
          <w:b/>
          <w:lang w:val="en-US"/>
        </w:rPr>
        <w:t>c</w:t>
      </w:r>
      <w:r w:rsidRPr="00075984">
        <w:rPr>
          <w:b/>
        </w:rPr>
        <w:t xml:space="preserve"> учетом округлений):</w:t>
      </w:r>
    </w:p>
    <w:p w:rsidR="00935C40" w:rsidRPr="00CB14EB" w:rsidRDefault="00935C40" w:rsidP="00935C40">
      <w:pPr>
        <w:pStyle w:val="21"/>
        <w:rPr>
          <w:b/>
        </w:rPr>
      </w:pPr>
      <w:r w:rsidRPr="00CB14EB">
        <w:rPr>
          <w:b/>
        </w:rPr>
        <w:t>КБК 048 1 12 01010 01 0000 120 «Плата за выбросы загрязняющих веществ в атмосферный воздух стационарными объектами»</w:t>
      </w:r>
    </w:p>
    <w:p w:rsidR="00935C40" w:rsidRPr="00C50BE2" w:rsidRDefault="00935C40" w:rsidP="00935C40">
      <w:pPr>
        <w:autoSpaceDE w:val="0"/>
        <w:autoSpaceDN w:val="0"/>
        <w:adjustRightInd w:val="0"/>
        <w:ind w:firstLine="540"/>
        <w:jc w:val="both"/>
        <w:rPr>
          <w:sz w:val="28"/>
          <w:szCs w:val="28"/>
        </w:rPr>
      </w:pPr>
      <w:r w:rsidRPr="00C50BE2">
        <w:rPr>
          <w:sz w:val="28"/>
          <w:szCs w:val="28"/>
        </w:rPr>
        <w:t xml:space="preserve">Областной бюджет (норматив зачисления 40%) = </w:t>
      </w:r>
      <w:r w:rsidRPr="00482FA4">
        <w:rPr>
          <w:rFonts w:eastAsia="Calibri"/>
          <w:sz w:val="28"/>
          <w:szCs w:val="28"/>
        </w:rPr>
        <w:t>(4</w:t>
      </w:r>
      <w:r>
        <w:rPr>
          <w:rFonts w:eastAsia="Calibri"/>
          <w:sz w:val="28"/>
          <w:szCs w:val="28"/>
        </w:rPr>
        <w:t xml:space="preserve"> 238,0 + 3 877,4+2 742,6</w:t>
      </w:r>
      <w:r w:rsidRPr="00482FA4">
        <w:rPr>
          <w:rFonts w:eastAsia="Calibri"/>
          <w:sz w:val="28"/>
          <w:szCs w:val="28"/>
        </w:rPr>
        <w:t>)/3*1,0</w:t>
      </w:r>
      <w:r>
        <w:rPr>
          <w:rFonts w:eastAsia="Calibri"/>
          <w:sz w:val="28"/>
          <w:szCs w:val="28"/>
        </w:rPr>
        <w:t>8</w:t>
      </w:r>
      <w:r w:rsidRPr="00482FA4">
        <w:rPr>
          <w:rFonts w:eastAsia="Calibri"/>
          <w:sz w:val="28"/>
          <w:szCs w:val="28"/>
        </w:rPr>
        <w:t>*1,0</w:t>
      </w:r>
      <w:r>
        <w:rPr>
          <w:rFonts w:eastAsia="Calibri"/>
          <w:sz w:val="28"/>
          <w:szCs w:val="28"/>
        </w:rPr>
        <w:t>4*1,04*1,04</w:t>
      </w:r>
      <w:r w:rsidRPr="00482FA4">
        <w:rPr>
          <w:rFonts w:eastAsia="Calibri"/>
          <w:sz w:val="28"/>
          <w:szCs w:val="28"/>
        </w:rPr>
        <w:t xml:space="preserve"> = </w:t>
      </w:r>
      <w:r>
        <w:rPr>
          <w:rFonts w:eastAsia="Calibri"/>
          <w:sz w:val="28"/>
          <w:szCs w:val="28"/>
        </w:rPr>
        <w:t>4 397,0</w:t>
      </w:r>
      <w:r w:rsidRPr="00482FA4">
        <w:rPr>
          <w:rFonts w:eastAsia="Calibri"/>
          <w:sz w:val="28"/>
          <w:szCs w:val="28"/>
        </w:rPr>
        <w:t xml:space="preserve"> тыс. руб</w:t>
      </w:r>
      <w:r>
        <w:rPr>
          <w:rFonts w:eastAsia="Calibri"/>
          <w:sz w:val="28"/>
          <w:szCs w:val="28"/>
        </w:rPr>
        <w:t>.</w:t>
      </w:r>
    </w:p>
    <w:p w:rsidR="00935C40" w:rsidRPr="00957D59" w:rsidRDefault="00935C40" w:rsidP="00935C40">
      <w:pPr>
        <w:autoSpaceDE w:val="0"/>
        <w:autoSpaceDN w:val="0"/>
        <w:adjustRightInd w:val="0"/>
        <w:ind w:firstLine="540"/>
        <w:jc w:val="both"/>
        <w:rPr>
          <w:sz w:val="28"/>
          <w:szCs w:val="28"/>
        </w:rPr>
      </w:pPr>
      <w:r w:rsidRPr="00C50BE2">
        <w:rPr>
          <w:sz w:val="28"/>
          <w:szCs w:val="28"/>
        </w:rPr>
        <w:t xml:space="preserve">Местный бюджет (норматив зачисления </w:t>
      </w:r>
      <w:r>
        <w:rPr>
          <w:sz w:val="28"/>
          <w:szCs w:val="28"/>
        </w:rPr>
        <w:t>60</w:t>
      </w:r>
      <w:r w:rsidRPr="00C50BE2">
        <w:rPr>
          <w:sz w:val="28"/>
          <w:szCs w:val="28"/>
        </w:rPr>
        <w:t xml:space="preserve">%) = </w:t>
      </w:r>
      <w:r>
        <w:rPr>
          <w:sz w:val="28"/>
          <w:szCs w:val="28"/>
        </w:rPr>
        <w:t xml:space="preserve">                                                          </w:t>
      </w:r>
      <w:r w:rsidRPr="00957D59">
        <w:rPr>
          <w:sz w:val="28"/>
          <w:szCs w:val="28"/>
        </w:rPr>
        <w:t>(( 5 827,3</w:t>
      </w:r>
      <w:r>
        <w:rPr>
          <w:sz w:val="28"/>
          <w:szCs w:val="28"/>
        </w:rPr>
        <w:t>+5 331,4)*1,0909+4 114,0</w:t>
      </w:r>
      <w:r w:rsidRPr="00957D59">
        <w:rPr>
          <w:sz w:val="28"/>
          <w:szCs w:val="28"/>
        </w:rPr>
        <w:t>)/3*1,0</w:t>
      </w:r>
      <w:r>
        <w:rPr>
          <w:sz w:val="28"/>
          <w:szCs w:val="28"/>
        </w:rPr>
        <w:t>8</w:t>
      </w:r>
      <w:r w:rsidRPr="00957D59">
        <w:rPr>
          <w:sz w:val="28"/>
          <w:szCs w:val="28"/>
        </w:rPr>
        <w:t>*1,0</w:t>
      </w:r>
      <w:r>
        <w:rPr>
          <w:sz w:val="28"/>
          <w:szCs w:val="28"/>
        </w:rPr>
        <w:t>4*1,04*1,04</w:t>
      </w:r>
      <w:r w:rsidRPr="00957D59">
        <w:rPr>
          <w:sz w:val="28"/>
          <w:szCs w:val="28"/>
        </w:rPr>
        <w:t xml:space="preserve"> = </w:t>
      </w:r>
      <w:r>
        <w:rPr>
          <w:sz w:val="28"/>
          <w:szCs w:val="28"/>
        </w:rPr>
        <w:t>6 595,4</w:t>
      </w:r>
      <w:r w:rsidRPr="00957D59">
        <w:rPr>
          <w:sz w:val="28"/>
          <w:szCs w:val="28"/>
        </w:rPr>
        <w:t xml:space="preserve"> тыс. руб.</w:t>
      </w:r>
    </w:p>
    <w:p w:rsidR="00935C40" w:rsidRDefault="00935C40" w:rsidP="00935C40">
      <w:pPr>
        <w:autoSpaceDE w:val="0"/>
        <w:autoSpaceDN w:val="0"/>
        <w:adjustRightInd w:val="0"/>
        <w:ind w:firstLine="540"/>
        <w:jc w:val="both"/>
        <w:rPr>
          <w:sz w:val="28"/>
          <w:szCs w:val="28"/>
        </w:rPr>
      </w:pPr>
      <w:r w:rsidRPr="00C50BE2">
        <w:rPr>
          <w:sz w:val="28"/>
          <w:szCs w:val="28"/>
        </w:rPr>
        <w:t xml:space="preserve">Консолидированный бюджет = </w:t>
      </w:r>
      <w:r w:rsidRPr="00482FA4">
        <w:rPr>
          <w:rFonts w:eastAsia="Calibri"/>
          <w:sz w:val="28"/>
          <w:szCs w:val="28"/>
        </w:rPr>
        <w:t>1</w:t>
      </w:r>
      <w:r>
        <w:rPr>
          <w:rFonts w:eastAsia="Calibri"/>
          <w:sz w:val="28"/>
          <w:szCs w:val="28"/>
        </w:rPr>
        <w:t>0 992,4</w:t>
      </w:r>
      <w:r w:rsidRPr="00482FA4">
        <w:rPr>
          <w:rFonts w:eastAsia="Calibri"/>
          <w:sz w:val="28"/>
          <w:szCs w:val="28"/>
        </w:rPr>
        <w:t xml:space="preserve"> </w:t>
      </w:r>
      <w:r w:rsidRPr="00C50BE2">
        <w:rPr>
          <w:sz w:val="28"/>
          <w:szCs w:val="28"/>
        </w:rPr>
        <w:t>тыс. руб.</w:t>
      </w:r>
    </w:p>
    <w:p w:rsidR="00935C40" w:rsidRDefault="00935C40" w:rsidP="00935C40">
      <w:pPr>
        <w:autoSpaceDE w:val="0"/>
        <w:autoSpaceDN w:val="0"/>
        <w:adjustRightInd w:val="0"/>
        <w:ind w:firstLine="540"/>
        <w:jc w:val="both"/>
        <w:rPr>
          <w:b/>
          <w:sz w:val="28"/>
          <w:szCs w:val="28"/>
        </w:rPr>
      </w:pPr>
    </w:p>
    <w:p w:rsidR="00935C40" w:rsidRPr="00CB14EB" w:rsidRDefault="00935C40" w:rsidP="00935C40">
      <w:pPr>
        <w:autoSpaceDE w:val="0"/>
        <w:autoSpaceDN w:val="0"/>
        <w:adjustRightInd w:val="0"/>
        <w:ind w:firstLine="540"/>
        <w:jc w:val="both"/>
        <w:rPr>
          <w:b/>
          <w:sz w:val="28"/>
          <w:szCs w:val="28"/>
        </w:rPr>
      </w:pPr>
      <w:r w:rsidRPr="00CB14EB">
        <w:rPr>
          <w:b/>
          <w:sz w:val="28"/>
          <w:szCs w:val="28"/>
        </w:rPr>
        <w:t>КБК 048 1 12 01030 01 0000 120 «Плата за сбросы загрязняющих веществ в водные объекты»</w:t>
      </w:r>
    </w:p>
    <w:p w:rsidR="00935C40" w:rsidRPr="00957D59" w:rsidRDefault="00935C40" w:rsidP="00935C40">
      <w:pPr>
        <w:autoSpaceDE w:val="0"/>
        <w:autoSpaceDN w:val="0"/>
        <w:adjustRightInd w:val="0"/>
        <w:ind w:firstLine="540"/>
        <w:jc w:val="both"/>
        <w:rPr>
          <w:sz w:val="28"/>
          <w:szCs w:val="28"/>
        </w:rPr>
      </w:pPr>
      <w:r w:rsidRPr="00C50BE2">
        <w:rPr>
          <w:sz w:val="28"/>
          <w:szCs w:val="28"/>
        </w:rPr>
        <w:t xml:space="preserve">Областной бюджет (норматив зачисления 40%) = </w:t>
      </w:r>
      <w:r>
        <w:rPr>
          <w:sz w:val="28"/>
          <w:szCs w:val="28"/>
        </w:rPr>
        <w:t xml:space="preserve">                                                                          (</w:t>
      </w:r>
      <w:r w:rsidRPr="00957D59">
        <w:rPr>
          <w:sz w:val="28"/>
          <w:szCs w:val="28"/>
        </w:rPr>
        <w:t>2 96</w:t>
      </w:r>
      <w:r>
        <w:rPr>
          <w:sz w:val="28"/>
          <w:szCs w:val="28"/>
        </w:rPr>
        <w:t>7</w:t>
      </w:r>
      <w:r w:rsidRPr="00957D59">
        <w:rPr>
          <w:sz w:val="28"/>
          <w:szCs w:val="28"/>
        </w:rPr>
        <w:t>,</w:t>
      </w:r>
      <w:r>
        <w:rPr>
          <w:sz w:val="28"/>
          <w:szCs w:val="28"/>
        </w:rPr>
        <w:t>9+3 779,7+2 973,3)</w:t>
      </w:r>
      <w:r w:rsidRPr="00957D59">
        <w:rPr>
          <w:sz w:val="28"/>
          <w:szCs w:val="28"/>
        </w:rPr>
        <w:t>/3*1,0</w:t>
      </w:r>
      <w:r>
        <w:rPr>
          <w:sz w:val="28"/>
          <w:szCs w:val="28"/>
        </w:rPr>
        <w:t>8</w:t>
      </w:r>
      <w:r w:rsidRPr="00957D59">
        <w:rPr>
          <w:sz w:val="28"/>
          <w:szCs w:val="28"/>
        </w:rPr>
        <w:t>*1,0</w:t>
      </w:r>
      <w:r>
        <w:rPr>
          <w:sz w:val="28"/>
          <w:szCs w:val="28"/>
        </w:rPr>
        <w:t>4*1,04*1,04</w:t>
      </w:r>
      <w:r w:rsidRPr="00957D59">
        <w:rPr>
          <w:sz w:val="28"/>
          <w:szCs w:val="28"/>
        </w:rPr>
        <w:t xml:space="preserve">= </w:t>
      </w:r>
      <w:r>
        <w:rPr>
          <w:sz w:val="28"/>
          <w:szCs w:val="28"/>
        </w:rPr>
        <w:t xml:space="preserve">3 936,5 </w:t>
      </w:r>
      <w:r w:rsidRPr="00957D59">
        <w:rPr>
          <w:sz w:val="28"/>
          <w:szCs w:val="28"/>
        </w:rPr>
        <w:t>тыс. руб.</w:t>
      </w:r>
    </w:p>
    <w:p w:rsidR="00935C40" w:rsidRPr="00957D59" w:rsidRDefault="00935C40" w:rsidP="00935C40">
      <w:pPr>
        <w:autoSpaceDE w:val="0"/>
        <w:autoSpaceDN w:val="0"/>
        <w:adjustRightInd w:val="0"/>
        <w:ind w:firstLine="540"/>
        <w:jc w:val="both"/>
        <w:rPr>
          <w:sz w:val="28"/>
          <w:szCs w:val="28"/>
        </w:rPr>
      </w:pPr>
      <w:r w:rsidRPr="00C50BE2">
        <w:rPr>
          <w:sz w:val="28"/>
          <w:szCs w:val="28"/>
        </w:rPr>
        <w:t xml:space="preserve">Местный бюджет (норматив зачисления </w:t>
      </w:r>
      <w:r>
        <w:rPr>
          <w:sz w:val="28"/>
          <w:szCs w:val="28"/>
        </w:rPr>
        <w:t xml:space="preserve">60 </w:t>
      </w:r>
      <w:r w:rsidRPr="00C50BE2">
        <w:rPr>
          <w:sz w:val="28"/>
          <w:szCs w:val="28"/>
        </w:rPr>
        <w:t xml:space="preserve">%) = </w:t>
      </w:r>
      <w:r>
        <w:rPr>
          <w:sz w:val="28"/>
          <w:szCs w:val="28"/>
        </w:rPr>
        <w:t>((4 080</w:t>
      </w:r>
      <w:r w:rsidRPr="00957D59">
        <w:rPr>
          <w:sz w:val="28"/>
          <w:szCs w:val="28"/>
        </w:rPr>
        <w:t>,</w:t>
      </w:r>
      <w:r>
        <w:rPr>
          <w:sz w:val="28"/>
          <w:szCs w:val="28"/>
        </w:rPr>
        <w:t>9</w:t>
      </w:r>
      <w:r w:rsidRPr="00957D59">
        <w:rPr>
          <w:sz w:val="28"/>
          <w:szCs w:val="28"/>
        </w:rPr>
        <w:t xml:space="preserve"> + </w:t>
      </w:r>
      <w:r>
        <w:rPr>
          <w:sz w:val="28"/>
          <w:szCs w:val="28"/>
        </w:rPr>
        <w:t>5 197,0) * 1,0909)+4 460,0)/3</w:t>
      </w:r>
      <w:r w:rsidRPr="00957D59">
        <w:rPr>
          <w:sz w:val="28"/>
          <w:szCs w:val="28"/>
        </w:rPr>
        <w:t>*1,0</w:t>
      </w:r>
      <w:r>
        <w:rPr>
          <w:sz w:val="28"/>
          <w:szCs w:val="28"/>
        </w:rPr>
        <w:t>8</w:t>
      </w:r>
      <w:r w:rsidRPr="00957D59">
        <w:rPr>
          <w:sz w:val="28"/>
          <w:szCs w:val="28"/>
        </w:rPr>
        <w:t>*1,0</w:t>
      </w:r>
      <w:r>
        <w:rPr>
          <w:sz w:val="28"/>
          <w:szCs w:val="28"/>
        </w:rPr>
        <w:t>4*1,04*1,04=5 904,7</w:t>
      </w:r>
      <w:r w:rsidRPr="00957D59">
        <w:rPr>
          <w:sz w:val="28"/>
          <w:szCs w:val="28"/>
        </w:rPr>
        <w:t xml:space="preserve"> тыс. руб. </w:t>
      </w:r>
    </w:p>
    <w:p w:rsidR="00935C40" w:rsidRPr="00C50BE2" w:rsidRDefault="00935C40" w:rsidP="00935C40">
      <w:pPr>
        <w:autoSpaceDE w:val="0"/>
        <w:autoSpaceDN w:val="0"/>
        <w:adjustRightInd w:val="0"/>
        <w:ind w:firstLine="540"/>
        <w:jc w:val="both"/>
        <w:rPr>
          <w:sz w:val="28"/>
          <w:szCs w:val="28"/>
        </w:rPr>
      </w:pPr>
      <w:r w:rsidRPr="00C50BE2">
        <w:rPr>
          <w:sz w:val="28"/>
          <w:szCs w:val="28"/>
        </w:rPr>
        <w:t xml:space="preserve">Консолидированный бюджет = </w:t>
      </w:r>
      <w:r>
        <w:rPr>
          <w:rFonts w:eastAsia="Calibri"/>
          <w:sz w:val="28"/>
          <w:szCs w:val="28"/>
        </w:rPr>
        <w:t xml:space="preserve">9 841,2 </w:t>
      </w:r>
      <w:r w:rsidRPr="00C50BE2">
        <w:rPr>
          <w:sz w:val="28"/>
          <w:szCs w:val="28"/>
        </w:rPr>
        <w:t>тыс. руб.</w:t>
      </w:r>
    </w:p>
    <w:p w:rsidR="00935C40" w:rsidRPr="00944D3E" w:rsidRDefault="00935C40" w:rsidP="00935C40">
      <w:pPr>
        <w:autoSpaceDE w:val="0"/>
        <w:autoSpaceDN w:val="0"/>
        <w:adjustRightInd w:val="0"/>
        <w:ind w:firstLine="540"/>
        <w:jc w:val="both"/>
        <w:rPr>
          <w:b/>
          <w:sz w:val="28"/>
          <w:szCs w:val="28"/>
        </w:rPr>
      </w:pPr>
      <w:r w:rsidRPr="00944D3E">
        <w:rPr>
          <w:b/>
          <w:sz w:val="28"/>
          <w:szCs w:val="28"/>
        </w:rPr>
        <w:t>КБК 048 1 12 01041 01 6000 120 «Плата за размещение отходов производства»</w:t>
      </w:r>
    </w:p>
    <w:p w:rsidR="00935C40" w:rsidRDefault="00935C40" w:rsidP="00935C40">
      <w:pPr>
        <w:autoSpaceDE w:val="0"/>
        <w:autoSpaceDN w:val="0"/>
        <w:adjustRightInd w:val="0"/>
        <w:ind w:firstLine="540"/>
        <w:jc w:val="both"/>
        <w:rPr>
          <w:sz w:val="28"/>
          <w:szCs w:val="28"/>
        </w:rPr>
      </w:pPr>
      <w:r w:rsidRPr="00C50BE2">
        <w:rPr>
          <w:sz w:val="28"/>
          <w:szCs w:val="28"/>
        </w:rPr>
        <w:t xml:space="preserve">Областной бюджет (норматив зачисления 40%) = </w:t>
      </w:r>
      <w:r>
        <w:rPr>
          <w:sz w:val="28"/>
          <w:szCs w:val="28"/>
        </w:rPr>
        <w:t xml:space="preserve">                                                                (( </w:t>
      </w:r>
      <w:r w:rsidRPr="00957D59">
        <w:rPr>
          <w:sz w:val="28"/>
          <w:szCs w:val="28"/>
        </w:rPr>
        <w:t>12 533,</w:t>
      </w:r>
      <w:r>
        <w:rPr>
          <w:sz w:val="28"/>
          <w:szCs w:val="28"/>
        </w:rPr>
        <w:t>2*20%)+6 857,8+21 844,1)/3*</w:t>
      </w:r>
      <w:r w:rsidRPr="00957D59">
        <w:rPr>
          <w:sz w:val="28"/>
          <w:szCs w:val="28"/>
        </w:rPr>
        <w:t>1,</w:t>
      </w:r>
      <w:r>
        <w:rPr>
          <w:sz w:val="28"/>
          <w:szCs w:val="28"/>
        </w:rPr>
        <w:t>08</w:t>
      </w:r>
      <w:r w:rsidRPr="00957D59">
        <w:rPr>
          <w:sz w:val="28"/>
          <w:szCs w:val="28"/>
        </w:rPr>
        <w:t>*1,0</w:t>
      </w:r>
      <w:r>
        <w:rPr>
          <w:sz w:val="28"/>
          <w:szCs w:val="28"/>
        </w:rPr>
        <w:t xml:space="preserve">4*1,04*1,04 </w:t>
      </w:r>
      <w:r w:rsidRPr="00957D59">
        <w:rPr>
          <w:sz w:val="28"/>
          <w:szCs w:val="28"/>
        </w:rPr>
        <w:t xml:space="preserve">= </w:t>
      </w:r>
      <w:r>
        <w:rPr>
          <w:sz w:val="28"/>
          <w:szCs w:val="28"/>
        </w:rPr>
        <w:t>12 637,9</w:t>
      </w:r>
      <w:r w:rsidRPr="00957D59">
        <w:rPr>
          <w:sz w:val="28"/>
          <w:szCs w:val="28"/>
        </w:rPr>
        <w:t xml:space="preserve"> тыс. руб.</w:t>
      </w:r>
    </w:p>
    <w:p w:rsidR="00935C40" w:rsidRPr="00482FA4" w:rsidRDefault="00935C40" w:rsidP="00935C40">
      <w:pPr>
        <w:autoSpaceDE w:val="0"/>
        <w:autoSpaceDN w:val="0"/>
        <w:adjustRightInd w:val="0"/>
        <w:ind w:firstLine="540"/>
        <w:jc w:val="both"/>
        <w:rPr>
          <w:rFonts w:eastAsia="Calibri"/>
          <w:sz w:val="28"/>
          <w:szCs w:val="28"/>
        </w:rPr>
      </w:pPr>
      <w:r w:rsidRPr="00C50BE2">
        <w:rPr>
          <w:sz w:val="28"/>
          <w:szCs w:val="28"/>
        </w:rPr>
        <w:t xml:space="preserve">Местный бюджет (норматив зачисления </w:t>
      </w:r>
      <w:r>
        <w:rPr>
          <w:sz w:val="28"/>
          <w:szCs w:val="28"/>
        </w:rPr>
        <w:t xml:space="preserve">60 </w:t>
      </w:r>
      <w:r w:rsidRPr="00C50BE2">
        <w:rPr>
          <w:sz w:val="28"/>
          <w:szCs w:val="28"/>
        </w:rPr>
        <w:t xml:space="preserve">%) = </w:t>
      </w:r>
      <w:r w:rsidRPr="00482FA4">
        <w:rPr>
          <w:rFonts w:eastAsia="Calibri"/>
          <w:sz w:val="28"/>
          <w:szCs w:val="28"/>
        </w:rPr>
        <w:t>((17</w:t>
      </w:r>
      <w:r>
        <w:rPr>
          <w:rFonts w:eastAsia="Calibri"/>
          <w:sz w:val="28"/>
          <w:szCs w:val="28"/>
        </w:rPr>
        <w:t xml:space="preserve"> </w:t>
      </w:r>
      <w:r w:rsidRPr="00482FA4">
        <w:rPr>
          <w:rFonts w:eastAsia="Calibri"/>
          <w:sz w:val="28"/>
          <w:szCs w:val="28"/>
        </w:rPr>
        <w:t>233,</w:t>
      </w:r>
      <w:r>
        <w:rPr>
          <w:rFonts w:eastAsia="Calibri"/>
          <w:sz w:val="28"/>
          <w:szCs w:val="28"/>
        </w:rPr>
        <w:t>1*20% + 9 429,4)*1,0909+32 766,0)</w:t>
      </w:r>
      <w:r w:rsidRPr="00482FA4">
        <w:rPr>
          <w:rFonts w:eastAsia="Calibri"/>
          <w:sz w:val="28"/>
          <w:szCs w:val="28"/>
        </w:rPr>
        <w:t>/3*1,0</w:t>
      </w:r>
      <w:r>
        <w:rPr>
          <w:rFonts w:eastAsia="Calibri"/>
          <w:sz w:val="28"/>
          <w:szCs w:val="28"/>
        </w:rPr>
        <w:t xml:space="preserve">8*1,04*1,04*1,04 </w:t>
      </w:r>
      <w:r w:rsidRPr="00482FA4">
        <w:rPr>
          <w:rFonts w:eastAsia="Calibri"/>
          <w:sz w:val="28"/>
          <w:szCs w:val="28"/>
        </w:rPr>
        <w:t xml:space="preserve">= </w:t>
      </w:r>
      <w:r>
        <w:rPr>
          <w:rFonts w:eastAsia="Calibri"/>
          <w:sz w:val="28"/>
          <w:szCs w:val="28"/>
        </w:rPr>
        <w:t>18 956,8</w:t>
      </w:r>
      <w:r w:rsidRPr="00482FA4">
        <w:rPr>
          <w:rFonts w:eastAsia="Calibri"/>
          <w:sz w:val="28"/>
          <w:szCs w:val="28"/>
        </w:rPr>
        <w:t xml:space="preserve"> тыс. руб. </w:t>
      </w:r>
    </w:p>
    <w:p w:rsidR="00935C40" w:rsidRPr="00482FA4" w:rsidRDefault="00935C40" w:rsidP="00935C40">
      <w:pPr>
        <w:autoSpaceDE w:val="0"/>
        <w:autoSpaceDN w:val="0"/>
        <w:adjustRightInd w:val="0"/>
        <w:ind w:firstLine="540"/>
        <w:jc w:val="both"/>
        <w:rPr>
          <w:rFonts w:eastAsia="Calibri"/>
          <w:sz w:val="28"/>
          <w:szCs w:val="28"/>
        </w:rPr>
      </w:pPr>
    </w:p>
    <w:p w:rsidR="00935C40" w:rsidRDefault="00935C40" w:rsidP="00935C40">
      <w:pPr>
        <w:autoSpaceDE w:val="0"/>
        <w:autoSpaceDN w:val="0"/>
        <w:adjustRightInd w:val="0"/>
        <w:ind w:firstLine="540"/>
        <w:jc w:val="both"/>
        <w:rPr>
          <w:sz w:val="28"/>
          <w:szCs w:val="28"/>
        </w:rPr>
      </w:pPr>
      <w:r w:rsidRPr="002374A9">
        <w:rPr>
          <w:sz w:val="28"/>
          <w:szCs w:val="28"/>
        </w:rPr>
        <w:t xml:space="preserve">Консолидированный бюджет = </w:t>
      </w:r>
      <w:r>
        <w:rPr>
          <w:sz w:val="28"/>
          <w:szCs w:val="28"/>
        </w:rPr>
        <w:t>31 594,7</w:t>
      </w:r>
      <w:r w:rsidRPr="00482FA4">
        <w:rPr>
          <w:rFonts w:eastAsia="Calibri"/>
          <w:sz w:val="28"/>
          <w:szCs w:val="28"/>
        </w:rPr>
        <w:t xml:space="preserve"> тыс.</w:t>
      </w:r>
      <w:r w:rsidRPr="002374A9">
        <w:rPr>
          <w:sz w:val="28"/>
          <w:szCs w:val="28"/>
        </w:rPr>
        <w:t xml:space="preserve"> руб.</w:t>
      </w:r>
    </w:p>
    <w:p w:rsidR="00935C40" w:rsidRPr="00944D3E" w:rsidRDefault="00935C40" w:rsidP="00935C40">
      <w:pPr>
        <w:autoSpaceDE w:val="0"/>
        <w:autoSpaceDN w:val="0"/>
        <w:adjustRightInd w:val="0"/>
        <w:ind w:firstLine="540"/>
        <w:jc w:val="both"/>
        <w:rPr>
          <w:b/>
          <w:sz w:val="28"/>
          <w:szCs w:val="28"/>
        </w:rPr>
      </w:pPr>
      <w:r w:rsidRPr="00944D3E">
        <w:rPr>
          <w:b/>
          <w:sz w:val="28"/>
          <w:szCs w:val="28"/>
        </w:rPr>
        <w:t>КБК 048 1 12 01042 01 6000 120 «</w:t>
      </w:r>
      <w:r w:rsidRPr="00D15108">
        <w:rPr>
          <w:b/>
          <w:sz w:val="28"/>
          <w:szCs w:val="28"/>
        </w:rPr>
        <w:t>Плата за размещение твердых коммунальных отходов»</w:t>
      </w:r>
    </w:p>
    <w:p w:rsidR="00935C40" w:rsidRPr="00957D59" w:rsidRDefault="00935C40" w:rsidP="00935C40">
      <w:pPr>
        <w:autoSpaceDE w:val="0"/>
        <w:autoSpaceDN w:val="0"/>
        <w:adjustRightInd w:val="0"/>
        <w:ind w:firstLine="540"/>
        <w:jc w:val="both"/>
        <w:rPr>
          <w:sz w:val="28"/>
          <w:szCs w:val="28"/>
        </w:rPr>
      </w:pPr>
      <w:r w:rsidRPr="00C50BE2">
        <w:rPr>
          <w:sz w:val="28"/>
          <w:szCs w:val="28"/>
        </w:rPr>
        <w:t>Областной бюджет (норматив зачисления 40%)</w:t>
      </w:r>
      <w:r>
        <w:rPr>
          <w:sz w:val="28"/>
          <w:szCs w:val="28"/>
        </w:rPr>
        <w:t xml:space="preserve"> = (</w:t>
      </w:r>
      <w:r w:rsidRPr="00957D59">
        <w:rPr>
          <w:sz w:val="28"/>
          <w:szCs w:val="28"/>
        </w:rPr>
        <w:t>(</w:t>
      </w:r>
      <w:r w:rsidRPr="0033677C">
        <w:rPr>
          <w:sz w:val="28"/>
          <w:szCs w:val="28"/>
        </w:rPr>
        <w:t>8 </w:t>
      </w:r>
      <w:r>
        <w:rPr>
          <w:sz w:val="28"/>
          <w:szCs w:val="28"/>
        </w:rPr>
        <w:t>753</w:t>
      </w:r>
      <w:r w:rsidRPr="0033677C">
        <w:rPr>
          <w:sz w:val="28"/>
          <w:szCs w:val="28"/>
        </w:rPr>
        <w:t>,</w:t>
      </w:r>
      <w:r>
        <w:rPr>
          <w:sz w:val="28"/>
          <w:szCs w:val="28"/>
        </w:rPr>
        <w:t xml:space="preserve">8*80% </w:t>
      </w:r>
      <w:r w:rsidRPr="00957D59">
        <w:rPr>
          <w:sz w:val="28"/>
          <w:szCs w:val="28"/>
        </w:rPr>
        <w:t>+</w:t>
      </w:r>
      <w:r>
        <w:rPr>
          <w:sz w:val="28"/>
          <w:szCs w:val="28"/>
        </w:rPr>
        <w:t>68,9</w:t>
      </w:r>
      <w:r w:rsidRPr="00957D59">
        <w:rPr>
          <w:sz w:val="28"/>
          <w:szCs w:val="28"/>
        </w:rPr>
        <w:t>)/3</w:t>
      </w:r>
      <w:r>
        <w:rPr>
          <w:sz w:val="28"/>
          <w:szCs w:val="28"/>
        </w:rPr>
        <w:t>+9 203,3)/3</w:t>
      </w:r>
      <w:r w:rsidRPr="00957D59">
        <w:rPr>
          <w:sz w:val="28"/>
          <w:szCs w:val="28"/>
        </w:rPr>
        <w:t>*1,0</w:t>
      </w:r>
      <w:r>
        <w:rPr>
          <w:sz w:val="28"/>
          <w:szCs w:val="28"/>
        </w:rPr>
        <w:t>4*1,04*1,04= 6102,5</w:t>
      </w:r>
      <w:r w:rsidRPr="00957D59">
        <w:rPr>
          <w:sz w:val="28"/>
          <w:szCs w:val="28"/>
        </w:rPr>
        <w:t xml:space="preserve"> тыс. руб.</w:t>
      </w:r>
    </w:p>
    <w:p w:rsidR="00935C40" w:rsidRPr="00482FA4" w:rsidRDefault="00935C40" w:rsidP="00935C40">
      <w:pPr>
        <w:autoSpaceDE w:val="0"/>
        <w:autoSpaceDN w:val="0"/>
        <w:adjustRightInd w:val="0"/>
        <w:ind w:firstLine="540"/>
        <w:jc w:val="both"/>
        <w:rPr>
          <w:rFonts w:eastAsia="Calibri"/>
          <w:sz w:val="28"/>
          <w:szCs w:val="28"/>
        </w:rPr>
      </w:pPr>
      <w:r w:rsidRPr="00C50BE2">
        <w:rPr>
          <w:sz w:val="28"/>
          <w:szCs w:val="28"/>
        </w:rPr>
        <w:lastRenderedPageBreak/>
        <w:t xml:space="preserve">Местный бюджет (норматив зачисления </w:t>
      </w:r>
      <w:r>
        <w:rPr>
          <w:sz w:val="28"/>
          <w:szCs w:val="28"/>
        </w:rPr>
        <w:t>60</w:t>
      </w:r>
      <w:r w:rsidRPr="00C50BE2">
        <w:rPr>
          <w:sz w:val="28"/>
          <w:szCs w:val="28"/>
        </w:rPr>
        <w:t>%)</w:t>
      </w:r>
      <w:r>
        <w:rPr>
          <w:sz w:val="28"/>
          <w:szCs w:val="28"/>
        </w:rPr>
        <w:t xml:space="preserve">                                                                        =   </w:t>
      </w:r>
      <w:r w:rsidRPr="00482FA4">
        <w:rPr>
          <w:rFonts w:eastAsia="Calibri"/>
          <w:sz w:val="28"/>
          <w:szCs w:val="28"/>
        </w:rPr>
        <w:t>((</w:t>
      </w:r>
      <w:r>
        <w:rPr>
          <w:rFonts w:eastAsia="Calibri"/>
          <w:sz w:val="28"/>
          <w:szCs w:val="28"/>
        </w:rPr>
        <w:t>12 036,5*80%</w:t>
      </w:r>
      <w:r w:rsidRPr="00482FA4">
        <w:rPr>
          <w:rFonts w:eastAsia="Calibri"/>
          <w:sz w:val="28"/>
          <w:szCs w:val="28"/>
        </w:rPr>
        <w:t>+</w:t>
      </w:r>
      <w:r>
        <w:rPr>
          <w:rFonts w:eastAsia="Calibri"/>
          <w:sz w:val="28"/>
          <w:szCs w:val="28"/>
        </w:rPr>
        <w:t>94,7)*1,0909+13 804,9)/3*</w:t>
      </w:r>
      <w:r w:rsidRPr="00482FA4">
        <w:rPr>
          <w:rFonts w:eastAsia="Calibri"/>
          <w:sz w:val="28"/>
          <w:szCs w:val="28"/>
        </w:rPr>
        <w:t>1,0</w:t>
      </w:r>
      <w:r>
        <w:rPr>
          <w:rFonts w:eastAsia="Calibri"/>
          <w:sz w:val="28"/>
          <w:szCs w:val="28"/>
        </w:rPr>
        <w:t>4*1,04*1,04=9 153,6 тыс. руб.</w:t>
      </w:r>
      <w:r w:rsidRPr="00482FA4">
        <w:rPr>
          <w:rFonts w:eastAsia="Calibri"/>
          <w:sz w:val="28"/>
          <w:szCs w:val="28"/>
        </w:rPr>
        <w:t xml:space="preserve"> </w:t>
      </w:r>
    </w:p>
    <w:p w:rsidR="00935C40" w:rsidRDefault="00935C40" w:rsidP="00935C40">
      <w:pPr>
        <w:autoSpaceDE w:val="0"/>
        <w:autoSpaceDN w:val="0"/>
        <w:adjustRightInd w:val="0"/>
        <w:ind w:firstLine="540"/>
        <w:jc w:val="both"/>
        <w:rPr>
          <w:rFonts w:eastAsia="Calibri"/>
          <w:sz w:val="28"/>
          <w:szCs w:val="28"/>
        </w:rPr>
      </w:pPr>
      <w:r w:rsidRPr="00C50BE2">
        <w:rPr>
          <w:sz w:val="28"/>
          <w:szCs w:val="28"/>
        </w:rPr>
        <w:t xml:space="preserve">Консолидированный бюджет </w:t>
      </w:r>
      <w:r>
        <w:rPr>
          <w:rFonts w:eastAsia="Calibri"/>
          <w:sz w:val="28"/>
          <w:szCs w:val="28"/>
        </w:rPr>
        <w:t>15 256,1</w:t>
      </w:r>
      <w:r w:rsidRPr="00482FA4">
        <w:rPr>
          <w:rFonts w:eastAsia="Calibri"/>
          <w:sz w:val="28"/>
          <w:szCs w:val="28"/>
        </w:rPr>
        <w:t xml:space="preserve"> тыс. руб.</w:t>
      </w:r>
    </w:p>
    <w:p w:rsidR="00935C40" w:rsidRDefault="00935C40" w:rsidP="00935C40">
      <w:pPr>
        <w:ind w:firstLine="709"/>
        <w:jc w:val="both"/>
        <w:rPr>
          <w:sz w:val="28"/>
          <w:szCs w:val="28"/>
        </w:rPr>
      </w:pPr>
      <w:r w:rsidRPr="00D4371D">
        <w:rPr>
          <w:sz w:val="28"/>
          <w:szCs w:val="28"/>
        </w:rPr>
        <w:t>В таблице представлена информация по прогнозу платы за негативное воздействие на окружающую среду в областной бюджет Тверской области на 20</w:t>
      </w:r>
      <w:r>
        <w:rPr>
          <w:sz w:val="28"/>
          <w:szCs w:val="28"/>
        </w:rPr>
        <w:t>22</w:t>
      </w:r>
      <w:r w:rsidRPr="00D4371D">
        <w:rPr>
          <w:sz w:val="28"/>
          <w:szCs w:val="28"/>
        </w:rPr>
        <w:t>-202</w:t>
      </w:r>
      <w:r>
        <w:rPr>
          <w:sz w:val="28"/>
          <w:szCs w:val="28"/>
        </w:rPr>
        <w:t>4</w:t>
      </w:r>
      <w:r w:rsidRPr="00D4371D">
        <w:rPr>
          <w:sz w:val="28"/>
          <w:szCs w:val="28"/>
        </w:rPr>
        <w:t xml:space="preserve"> годы</w:t>
      </w:r>
      <w:r>
        <w:rPr>
          <w:sz w:val="28"/>
          <w:szCs w:val="28"/>
        </w:rPr>
        <w:t>:</w:t>
      </w:r>
    </w:p>
    <w:p w:rsidR="00935C40" w:rsidRPr="000D187A" w:rsidRDefault="00935C40" w:rsidP="00935C40">
      <w:pPr>
        <w:ind w:firstLine="709"/>
        <w:jc w:val="both"/>
        <w:rPr>
          <w:sz w:val="28"/>
          <w:szCs w:val="28"/>
          <w:highlight w:val="yellow"/>
        </w:rPr>
      </w:pPr>
    </w:p>
    <w:p w:rsidR="00935C40" w:rsidRPr="00D4371D" w:rsidRDefault="00935C40" w:rsidP="00935C40">
      <w:pPr>
        <w:ind w:firstLine="851"/>
        <w:jc w:val="right"/>
        <w:rPr>
          <w:sz w:val="28"/>
          <w:szCs w:val="28"/>
        </w:rPr>
      </w:pPr>
      <w:r w:rsidRPr="00D4371D">
        <w:rPr>
          <w:sz w:val="28"/>
          <w:szCs w:val="28"/>
        </w:rPr>
        <w:t>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84"/>
        <w:gridCol w:w="1927"/>
        <w:gridCol w:w="1797"/>
        <w:gridCol w:w="1896"/>
      </w:tblGrid>
      <w:tr w:rsidR="00935C40" w:rsidRPr="000D187A" w:rsidTr="001E2A06">
        <w:tc>
          <w:tcPr>
            <w:tcW w:w="3794" w:type="dxa"/>
            <w:vAlign w:val="center"/>
          </w:tcPr>
          <w:p w:rsidR="00935C40" w:rsidRPr="00D4371D" w:rsidRDefault="00935C40" w:rsidP="001E2A06">
            <w:pPr>
              <w:jc w:val="center"/>
              <w:rPr>
                <w:sz w:val="28"/>
                <w:szCs w:val="28"/>
              </w:rPr>
            </w:pPr>
            <w:r w:rsidRPr="00D4371D">
              <w:rPr>
                <w:sz w:val="28"/>
                <w:szCs w:val="28"/>
              </w:rPr>
              <w:t>КБК</w:t>
            </w:r>
          </w:p>
        </w:tc>
        <w:tc>
          <w:tcPr>
            <w:tcW w:w="1984" w:type="dxa"/>
            <w:vAlign w:val="center"/>
          </w:tcPr>
          <w:p w:rsidR="00935C40" w:rsidRPr="00D4371D" w:rsidRDefault="00935C40" w:rsidP="001E2A06">
            <w:pPr>
              <w:jc w:val="center"/>
              <w:rPr>
                <w:sz w:val="28"/>
                <w:szCs w:val="28"/>
              </w:rPr>
            </w:pPr>
            <w:r w:rsidRPr="00D4371D">
              <w:rPr>
                <w:sz w:val="28"/>
                <w:szCs w:val="28"/>
              </w:rPr>
              <w:t xml:space="preserve">Прогноз </w:t>
            </w:r>
          </w:p>
          <w:p w:rsidR="00935C40" w:rsidRPr="00D4371D" w:rsidRDefault="00935C40" w:rsidP="001E2A06">
            <w:pPr>
              <w:jc w:val="center"/>
              <w:rPr>
                <w:sz w:val="28"/>
                <w:szCs w:val="28"/>
              </w:rPr>
            </w:pPr>
            <w:r w:rsidRPr="00D4371D">
              <w:rPr>
                <w:sz w:val="28"/>
                <w:szCs w:val="28"/>
              </w:rPr>
              <w:t>20</w:t>
            </w:r>
            <w:r>
              <w:rPr>
                <w:sz w:val="28"/>
                <w:szCs w:val="28"/>
              </w:rPr>
              <w:t>22</w:t>
            </w:r>
            <w:r w:rsidRPr="00D4371D">
              <w:rPr>
                <w:sz w:val="28"/>
                <w:szCs w:val="28"/>
              </w:rPr>
              <w:t xml:space="preserve"> год</w:t>
            </w:r>
          </w:p>
        </w:tc>
        <w:tc>
          <w:tcPr>
            <w:tcW w:w="1843" w:type="dxa"/>
            <w:vAlign w:val="center"/>
          </w:tcPr>
          <w:p w:rsidR="00935C40" w:rsidRPr="00D4371D" w:rsidRDefault="00935C40" w:rsidP="001E2A06">
            <w:pPr>
              <w:jc w:val="center"/>
              <w:rPr>
                <w:sz w:val="28"/>
                <w:szCs w:val="28"/>
              </w:rPr>
            </w:pPr>
            <w:r w:rsidRPr="00D4371D">
              <w:rPr>
                <w:sz w:val="28"/>
                <w:szCs w:val="28"/>
              </w:rPr>
              <w:t>Прогноз 20</w:t>
            </w:r>
            <w:r>
              <w:rPr>
                <w:sz w:val="28"/>
                <w:szCs w:val="28"/>
              </w:rPr>
              <w:t>23</w:t>
            </w:r>
            <w:r w:rsidRPr="00D4371D">
              <w:rPr>
                <w:sz w:val="28"/>
                <w:szCs w:val="28"/>
              </w:rPr>
              <w:t xml:space="preserve"> год</w:t>
            </w:r>
          </w:p>
        </w:tc>
        <w:tc>
          <w:tcPr>
            <w:tcW w:w="1950" w:type="dxa"/>
            <w:vAlign w:val="center"/>
          </w:tcPr>
          <w:p w:rsidR="00935C40" w:rsidRPr="00D4371D" w:rsidRDefault="00935C40" w:rsidP="001E2A06">
            <w:pPr>
              <w:jc w:val="center"/>
              <w:rPr>
                <w:sz w:val="28"/>
                <w:szCs w:val="28"/>
              </w:rPr>
            </w:pPr>
            <w:r w:rsidRPr="00D4371D">
              <w:rPr>
                <w:sz w:val="28"/>
                <w:szCs w:val="28"/>
              </w:rPr>
              <w:t xml:space="preserve">Прогноз </w:t>
            </w:r>
          </w:p>
          <w:p w:rsidR="00935C40" w:rsidRPr="00D4371D" w:rsidRDefault="00935C40" w:rsidP="001E2A06">
            <w:pPr>
              <w:jc w:val="center"/>
              <w:rPr>
                <w:sz w:val="28"/>
                <w:szCs w:val="28"/>
              </w:rPr>
            </w:pPr>
            <w:r w:rsidRPr="00D4371D">
              <w:rPr>
                <w:sz w:val="28"/>
                <w:szCs w:val="28"/>
              </w:rPr>
              <w:t>202</w:t>
            </w:r>
            <w:r>
              <w:rPr>
                <w:sz w:val="28"/>
                <w:szCs w:val="28"/>
              </w:rPr>
              <w:t>4</w:t>
            </w:r>
            <w:r w:rsidRPr="00D4371D">
              <w:rPr>
                <w:sz w:val="28"/>
                <w:szCs w:val="28"/>
              </w:rPr>
              <w:t xml:space="preserve"> год</w:t>
            </w:r>
          </w:p>
        </w:tc>
      </w:tr>
      <w:tr w:rsidR="00935C40" w:rsidRPr="000D187A" w:rsidTr="001E2A06">
        <w:tc>
          <w:tcPr>
            <w:tcW w:w="3794" w:type="dxa"/>
          </w:tcPr>
          <w:p w:rsidR="00935C40" w:rsidRPr="00D4371D" w:rsidRDefault="00935C40" w:rsidP="001E2A06">
            <w:pPr>
              <w:jc w:val="both"/>
              <w:rPr>
                <w:sz w:val="28"/>
                <w:szCs w:val="28"/>
              </w:rPr>
            </w:pPr>
            <w:r w:rsidRPr="00D4371D">
              <w:rPr>
                <w:sz w:val="28"/>
                <w:szCs w:val="28"/>
              </w:rPr>
              <w:t>048 1 12 01010 01 0000 120</w:t>
            </w:r>
          </w:p>
        </w:tc>
        <w:tc>
          <w:tcPr>
            <w:tcW w:w="1984" w:type="dxa"/>
          </w:tcPr>
          <w:p w:rsidR="00935C40" w:rsidRPr="00D4371D" w:rsidRDefault="00935C40" w:rsidP="001E2A06">
            <w:pPr>
              <w:jc w:val="center"/>
              <w:rPr>
                <w:sz w:val="28"/>
                <w:szCs w:val="28"/>
              </w:rPr>
            </w:pPr>
            <w:r>
              <w:rPr>
                <w:sz w:val="28"/>
                <w:szCs w:val="28"/>
              </w:rPr>
              <w:t>4 065,2</w:t>
            </w:r>
          </w:p>
        </w:tc>
        <w:tc>
          <w:tcPr>
            <w:tcW w:w="1843" w:type="dxa"/>
          </w:tcPr>
          <w:p w:rsidR="00935C40" w:rsidRPr="00D4371D" w:rsidRDefault="00935C40" w:rsidP="001E2A06">
            <w:pPr>
              <w:jc w:val="center"/>
              <w:rPr>
                <w:sz w:val="28"/>
                <w:szCs w:val="28"/>
              </w:rPr>
            </w:pPr>
            <w:r>
              <w:rPr>
                <w:sz w:val="28"/>
                <w:szCs w:val="28"/>
              </w:rPr>
              <w:t>4 227,8</w:t>
            </w:r>
          </w:p>
        </w:tc>
        <w:tc>
          <w:tcPr>
            <w:tcW w:w="1950" w:type="dxa"/>
          </w:tcPr>
          <w:p w:rsidR="00935C40" w:rsidRPr="00D4371D" w:rsidRDefault="00935C40" w:rsidP="001E2A06">
            <w:pPr>
              <w:jc w:val="center"/>
              <w:rPr>
                <w:sz w:val="28"/>
                <w:szCs w:val="28"/>
              </w:rPr>
            </w:pPr>
            <w:r>
              <w:rPr>
                <w:sz w:val="28"/>
                <w:szCs w:val="28"/>
              </w:rPr>
              <w:t>4 397,0</w:t>
            </w:r>
          </w:p>
        </w:tc>
      </w:tr>
      <w:tr w:rsidR="00935C40" w:rsidRPr="000D187A" w:rsidTr="001E2A06">
        <w:tc>
          <w:tcPr>
            <w:tcW w:w="3794" w:type="dxa"/>
          </w:tcPr>
          <w:p w:rsidR="00935C40" w:rsidRPr="00D4371D" w:rsidRDefault="00935C40" w:rsidP="001E2A06">
            <w:pPr>
              <w:jc w:val="both"/>
              <w:rPr>
                <w:sz w:val="28"/>
                <w:szCs w:val="28"/>
              </w:rPr>
            </w:pPr>
            <w:r w:rsidRPr="00D4371D">
              <w:rPr>
                <w:sz w:val="28"/>
                <w:szCs w:val="28"/>
              </w:rPr>
              <w:t>048 1 12 01030 01 0000 120</w:t>
            </w:r>
          </w:p>
        </w:tc>
        <w:tc>
          <w:tcPr>
            <w:tcW w:w="1984" w:type="dxa"/>
          </w:tcPr>
          <w:p w:rsidR="00935C40" w:rsidRPr="00D4371D" w:rsidRDefault="00935C40" w:rsidP="001E2A06">
            <w:pPr>
              <w:jc w:val="center"/>
              <w:rPr>
                <w:sz w:val="28"/>
                <w:szCs w:val="28"/>
              </w:rPr>
            </w:pPr>
            <w:r>
              <w:rPr>
                <w:sz w:val="28"/>
                <w:szCs w:val="28"/>
              </w:rPr>
              <w:t>3 639,5</w:t>
            </w:r>
          </w:p>
        </w:tc>
        <w:tc>
          <w:tcPr>
            <w:tcW w:w="1843" w:type="dxa"/>
          </w:tcPr>
          <w:p w:rsidR="00935C40" w:rsidRPr="00D4371D" w:rsidRDefault="00935C40" w:rsidP="001E2A06">
            <w:pPr>
              <w:jc w:val="center"/>
              <w:rPr>
                <w:sz w:val="28"/>
                <w:szCs w:val="28"/>
              </w:rPr>
            </w:pPr>
            <w:r>
              <w:rPr>
                <w:sz w:val="28"/>
                <w:szCs w:val="28"/>
              </w:rPr>
              <w:t>3 785,1</w:t>
            </w:r>
          </w:p>
        </w:tc>
        <w:tc>
          <w:tcPr>
            <w:tcW w:w="1950" w:type="dxa"/>
          </w:tcPr>
          <w:p w:rsidR="00935C40" w:rsidRPr="00D4371D" w:rsidRDefault="00935C40" w:rsidP="001E2A06">
            <w:pPr>
              <w:jc w:val="center"/>
              <w:rPr>
                <w:sz w:val="28"/>
                <w:szCs w:val="28"/>
              </w:rPr>
            </w:pPr>
            <w:r>
              <w:rPr>
                <w:sz w:val="28"/>
                <w:szCs w:val="28"/>
              </w:rPr>
              <w:t>3 936,5</w:t>
            </w:r>
          </w:p>
        </w:tc>
      </w:tr>
      <w:tr w:rsidR="00935C40" w:rsidRPr="000D187A" w:rsidTr="001E2A06">
        <w:tc>
          <w:tcPr>
            <w:tcW w:w="3794" w:type="dxa"/>
          </w:tcPr>
          <w:p w:rsidR="00935C40" w:rsidRPr="00D4371D" w:rsidRDefault="00935C40" w:rsidP="001E2A06">
            <w:pPr>
              <w:jc w:val="both"/>
              <w:rPr>
                <w:sz w:val="28"/>
                <w:szCs w:val="28"/>
              </w:rPr>
            </w:pPr>
            <w:r w:rsidRPr="00D4371D">
              <w:rPr>
                <w:sz w:val="28"/>
                <w:szCs w:val="28"/>
              </w:rPr>
              <w:t>048 1 12 0104</w:t>
            </w:r>
            <w:r>
              <w:rPr>
                <w:sz w:val="28"/>
                <w:szCs w:val="28"/>
              </w:rPr>
              <w:t>1</w:t>
            </w:r>
            <w:r w:rsidRPr="00D4371D">
              <w:rPr>
                <w:sz w:val="28"/>
                <w:szCs w:val="28"/>
              </w:rPr>
              <w:t xml:space="preserve"> 01 0000 120</w:t>
            </w:r>
          </w:p>
        </w:tc>
        <w:tc>
          <w:tcPr>
            <w:tcW w:w="1984" w:type="dxa"/>
          </w:tcPr>
          <w:p w:rsidR="00935C40" w:rsidRPr="00D4371D" w:rsidRDefault="00935C40" w:rsidP="001E2A06">
            <w:pPr>
              <w:jc w:val="center"/>
              <w:rPr>
                <w:sz w:val="28"/>
                <w:szCs w:val="28"/>
              </w:rPr>
            </w:pPr>
            <w:r>
              <w:rPr>
                <w:sz w:val="28"/>
                <w:szCs w:val="28"/>
              </w:rPr>
              <w:t>11 684,5</w:t>
            </w:r>
          </w:p>
        </w:tc>
        <w:tc>
          <w:tcPr>
            <w:tcW w:w="1843" w:type="dxa"/>
          </w:tcPr>
          <w:p w:rsidR="00935C40" w:rsidRPr="00D4371D" w:rsidRDefault="00935C40" w:rsidP="001E2A06">
            <w:pPr>
              <w:jc w:val="center"/>
              <w:rPr>
                <w:sz w:val="28"/>
                <w:szCs w:val="28"/>
              </w:rPr>
            </w:pPr>
            <w:r>
              <w:rPr>
                <w:sz w:val="28"/>
                <w:szCs w:val="28"/>
              </w:rPr>
              <w:t>12 151,9</w:t>
            </w:r>
          </w:p>
        </w:tc>
        <w:tc>
          <w:tcPr>
            <w:tcW w:w="1950" w:type="dxa"/>
          </w:tcPr>
          <w:p w:rsidR="00935C40" w:rsidRPr="00D4371D" w:rsidRDefault="00935C40" w:rsidP="001E2A06">
            <w:pPr>
              <w:jc w:val="center"/>
              <w:rPr>
                <w:sz w:val="28"/>
                <w:szCs w:val="28"/>
              </w:rPr>
            </w:pPr>
            <w:r>
              <w:rPr>
                <w:sz w:val="28"/>
                <w:szCs w:val="28"/>
              </w:rPr>
              <w:t>12 637,9</w:t>
            </w:r>
          </w:p>
        </w:tc>
      </w:tr>
      <w:tr w:rsidR="00935C40" w:rsidRPr="000D187A" w:rsidTr="001E2A06">
        <w:tc>
          <w:tcPr>
            <w:tcW w:w="3794" w:type="dxa"/>
          </w:tcPr>
          <w:p w:rsidR="00935C40" w:rsidRPr="00D4371D" w:rsidRDefault="00935C40" w:rsidP="001E2A06">
            <w:pPr>
              <w:jc w:val="both"/>
              <w:rPr>
                <w:sz w:val="28"/>
                <w:szCs w:val="28"/>
              </w:rPr>
            </w:pPr>
            <w:r w:rsidRPr="00D4371D">
              <w:rPr>
                <w:sz w:val="28"/>
                <w:szCs w:val="28"/>
              </w:rPr>
              <w:t>048 1 12 0104</w:t>
            </w:r>
            <w:r>
              <w:rPr>
                <w:sz w:val="28"/>
                <w:szCs w:val="28"/>
              </w:rPr>
              <w:t>2</w:t>
            </w:r>
            <w:r w:rsidRPr="00D4371D">
              <w:rPr>
                <w:sz w:val="28"/>
                <w:szCs w:val="28"/>
              </w:rPr>
              <w:t xml:space="preserve"> 01 0000 120</w:t>
            </w:r>
          </w:p>
        </w:tc>
        <w:tc>
          <w:tcPr>
            <w:tcW w:w="1984" w:type="dxa"/>
          </w:tcPr>
          <w:p w:rsidR="00935C40" w:rsidRDefault="00935C40" w:rsidP="001E2A06">
            <w:pPr>
              <w:jc w:val="center"/>
              <w:rPr>
                <w:sz w:val="28"/>
                <w:szCs w:val="28"/>
              </w:rPr>
            </w:pPr>
            <w:r>
              <w:rPr>
                <w:sz w:val="28"/>
                <w:szCs w:val="28"/>
              </w:rPr>
              <w:t>5 642,1</w:t>
            </w:r>
          </w:p>
        </w:tc>
        <w:tc>
          <w:tcPr>
            <w:tcW w:w="1843" w:type="dxa"/>
          </w:tcPr>
          <w:p w:rsidR="00935C40" w:rsidRDefault="00935C40" w:rsidP="001E2A06">
            <w:pPr>
              <w:jc w:val="center"/>
              <w:rPr>
                <w:sz w:val="28"/>
                <w:szCs w:val="28"/>
              </w:rPr>
            </w:pPr>
            <w:r>
              <w:rPr>
                <w:sz w:val="28"/>
                <w:szCs w:val="28"/>
              </w:rPr>
              <w:t>5 867,8</w:t>
            </w:r>
          </w:p>
        </w:tc>
        <w:tc>
          <w:tcPr>
            <w:tcW w:w="1950" w:type="dxa"/>
          </w:tcPr>
          <w:p w:rsidR="00935C40" w:rsidRDefault="00935C40" w:rsidP="001E2A06">
            <w:pPr>
              <w:jc w:val="center"/>
              <w:rPr>
                <w:sz w:val="28"/>
                <w:szCs w:val="28"/>
              </w:rPr>
            </w:pPr>
            <w:r>
              <w:rPr>
                <w:sz w:val="28"/>
                <w:szCs w:val="28"/>
              </w:rPr>
              <w:t>6 102,5</w:t>
            </w:r>
          </w:p>
        </w:tc>
      </w:tr>
      <w:tr w:rsidR="00935C40" w:rsidRPr="000D187A" w:rsidTr="001E2A06">
        <w:tc>
          <w:tcPr>
            <w:tcW w:w="3794" w:type="dxa"/>
          </w:tcPr>
          <w:p w:rsidR="00935C40" w:rsidRPr="00D4371D" w:rsidRDefault="00935C40" w:rsidP="001E2A06">
            <w:pPr>
              <w:jc w:val="both"/>
              <w:rPr>
                <w:sz w:val="28"/>
                <w:szCs w:val="28"/>
              </w:rPr>
            </w:pPr>
            <w:r w:rsidRPr="00D4371D">
              <w:rPr>
                <w:sz w:val="28"/>
                <w:szCs w:val="28"/>
              </w:rPr>
              <w:t>Итого</w:t>
            </w:r>
          </w:p>
        </w:tc>
        <w:tc>
          <w:tcPr>
            <w:tcW w:w="1984" w:type="dxa"/>
          </w:tcPr>
          <w:p w:rsidR="00935C40" w:rsidRPr="00D4371D" w:rsidRDefault="00935C40" w:rsidP="001E2A06">
            <w:pPr>
              <w:jc w:val="center"/>
              <w:rPr>
                <w:sz w:val="28"/>
                <w:szCs w:val="28"/>
              </w:rPr>
            </w:pPr>
            <w:r>
              <w:rPr>
                <w:sz w:val="28"/>
                <w:szCs w:val="28"/>
              </w:rPr>
              <w:t>25 031,3</w:t>
            </w:r>
          </w:p>
        </w:tc>
        <w:tc>
          <w:tcPr>
            <w:tcW w:w="1843" w:type="dxa"/>
          </w:tcPr>
          <w:p w:rsidR="00935C40" w:rsidRPr="00D4371D" w:rsidRDefault="00935C40" w:rsidP="001E2A06">
            <w:pPr>
              <w:jc w:val="center"/>
              <w:rPr>
                <w:sz w:val="28"/>
                <w:szCs w:val="28"/>
              </w:rPr>
            </w:pPr>
            <w:r>
              <w:rPr>
                <w:sz w:val="28"/>
                <w:szCs w:val="28"/>
              </w:rPr>
              <w:t>26 032,6</w:t>
            </w:r>
          </w:p>
        </w:tc>
        <w:tc>
          <w:tcPr>
            <w:tcW w:w="1950" w:type="dxa"/>
          </w:tcPr>
          <w:p w:rsidR="00935C40" w:rsidRPr="00D4371D" w:rsidRDefault="00935C40" w:rsidP="001E2A06">
            <w:pPr>
              <w:jc w:val="center"/>
              <w:rPr>
                <w:sz w:val="28"/>
                <w:szCs w:val="28"/>
              </w:rPr>
            </w:pPr>
            <w:r>
              <w:rPr>
                <w:sz w:val="28"/>
                <w:szCs w:val="28"/>
              </w:rPr>
              <w:t>27 073,9</w:t>
            </w:r>
          </w:p>
        </w:tc>
      </w:tr>
    </w:tbl>
    <w:p w:rsidR="00935C40" w:rsidRPr="000D187A" w:rsidRDefault="00935C40" w:rsidP="00935C40">
      <w:pPr>
        <w:ind w:firstLine="851"/>
        <w:jc w:val="both"/>
        <w:rPr>
          <w:sz w:val="28"/>
          <w:szCs w:val="28"/>
          <w:highlight w:val="yellow"/>
        </w:rPr>
      </w:pPr>
    </w:p>
    <w:p w:rsidR="00935C40" w:rsidRDefault="00935C40" w:rsidP="00935C40">
      <w:pPr>
        <w:pStyle w:val="21"/>
        <w:tabs>
          <w:tab w:val="num" w:pos="900"/>
        </w:tabs>
        <w:ind w:left="540" w:firstLine="0"/>
        <w:jc w:val="center"/>
        <w:rPr>
          <w:b/>
        </w:rPr>
      </w:pPr>
    </w:p>
    <w:p w:rsidR="00935C40" w:rsidRPr="009F2ACB" w:rsidRDefault="00935C40" w:rsidP="00935C40">
      <w:pPr>
        <w:pStyle w:val="21"/>
        <w:tabs>
          <w:tab w:val="num" w:pos="900"/>
        </w:tabs>
        <w:ind w:left="540" w:firstLine="0"/>
        <w:jc w:val="center"/>
      </w:pPr>
      <w:r w:rsidRPr="009F2ACB">
        <w:rPr>
          <w:b/>
        </w:rPr>
        <w:t>Платежи при пользовании недрами</w:t>
      </w:r>
    </w:p>
    <w:p w:rsidR="00935C40" w:rsidRPr="009F2ACB" w:rsidRDefault="00935C40" w:rsidP="00935C40">
      <w:pPr>
        <w:pStyle w:val="21"/>
        <w:tabs>
          <w:tab w:val="num" w:pos="900"/>
        </w:tabs>
        <w:ind w:left="540" w:firstLine="0"/>
        <w:jc w:val="center"/>
        <w:rPr>
          <w:b/>
          <w:snapToGrid w:val="0"/>
        </w:rPr>
      </w:pPr>
      <w:r w:rsidRPr="009F2ACB">
        <w:t xml:space="preserve"> </w:t>
      </w:r>
      <w:r w:rsidRPr="009F2ACB">
        <w:rPr>
          <w:b/>
        </w:rPr>
        <w:t xml:space="preserve">(000 </w:t>
      </w:r>
      <w:r w:rsidRPr="009F2ACB">
        <w:rPr>
          <w:b/>
          <w:snapToGrid w:val="0"/>
        </w:rPr>
        <w:t>1 12 02000 01 0000 120)</w:t>
      </w:r>
    </w:p>
    <w:p w:rsidR="00935C40" w:rsidRPr="009F2ACB" w:rsidRDefault="00935C40" w:rsidP="00935C40">
      <w:pPr>
        <w:pStyle w:val="21"/>
        <w:tabs>
          <w:tab w:val="num" w:pos="900"/>
        </w:tabs>
        <w:ind w:left="540" w:firstLine="0"/>
        <w:jc w:val="center"/>
      </w:pPr>
    </w:p>
    <w:p w:rsidR="00935C40" w:rsidRPr="001B0148" w:rsidRDefault="00935C40" w:rsidP="00935C40">
      <w:pPr>
        <w:ind w:firstLine="709"/>
        <w:jc w:val="both"/>
        <w:rPr>
          <w:color w:val="000000" w:themeColor="text1"/>
          <w:sz w:val="28"/>
          <w:szCs w:val="28"/>
        </w:rPr>
      </w:pPr>
      <w:r w:rsidRPr="009F2ACB">
        <w:rPr>
          <w:sz w:val="28"/>
        </w:rPr>
        <w:t xml:space="preserve">Разовые платежи за пользование недрами при наступлении определенных событий, оговоренных в лицензии, при пользовании недрами на территории Российской Федерации по участкам недр местного значения </w:t>
      </w:r>
      <w:r w:rsidRPr="009F2ACB">
        <w:rPr>
          <w:sz w:val="28"/>
          <w:szCs w:val="28"/>
        </w:rPr>
        <w:t xml:space="preserve">прогнозируются </w:t>
      </w:r>
      <w:r w:rsidRPr="001B0148">
        <w:rPr>
          <w:color w:val="000000" w:themeColor="text1"/>
          <w:sz w:val="28"/>
          <w:szCs w:val="28"/>
        </w:rPr>
        <w:t>на 20</w:t>
      </w:r>
      <w:r>
        <w:rPr>
          <w:color w:val="000000" w:themeColor="text1"/>
          <w:sz w:val="28"/>
          <w:szCs w:val="28"/>
        </w:rPr>
        <w:t>22</w:t>
      </w:r>
      <w:r w:rsidRPr="001B0148">
        <w:rPr>
          <w:color w:val="000000" w:themeColor="text1"/>
          <w:sz w:val="28"/>
          <w:szCs w:val="28"/>
        </w:rPr>
        <w:t xml:space="preserve"> год в сумме </w:t>
      </w:r>
      <w:r>
        <w:rPr>
          <w:color w:val="000000" w:themeColor="text1"/>
          <w:sz w:val="28"/>
          <w:szCs w:val="28"/>
        </w:rPr>
        <w:t>32 103,7</w:t>
      </w:r>
      <w:r w:rsidRPr="001B0148">
        <w:rPr>
          <w:color w:val="000000" w:themeColor="text1"/>
          <w:sz w:val="28"/>
          <w:szCs w:val="28"/>
        </w:rPr>
        <w:t xml:space="preserve"> тыс. руб., на 202</w:t>
      </w:r>
      <w:r>
        <w:rPr>
          <w:color w:val="000000" w:themeColor="text1"/>
          <w:sz w:val="28"/>
          <w:szCs w:val="28"/>
        </w:rPr>
        <w:t>3</w:t>
      </w:r>
      <w:r w:rsidRPr="001B0148">
        <w:rPr>
          <w:color w:val="000000" w:themeColor="text1"/>
          <w:sz w:val="28"/>
          <w:szCs w:val="28"/>
        </w:rPr>
        <w:t xml:space="preserve"> год в сумме </w:t>
      </w:r>
      <w:r w:rsidRPr="002B3EEB">
        <w:rPr>
          <w:sz w:val="28"/>
          <w:szCs w:val="28"/>
        </w:rPr>
        <w:t>34</w:t>
      </w:r>
      <w:r>
        <w:rPr>
          <w:sz w:val="28"/>
          <w:szCs w:val="28"/>
        </w:rPr>
        <w:t xml:space="preserve"> </w:t>
      </w:r>
      <w:r w:rsidRPr="002B3EEB">
        <w:rPr>
          <w:sz w:val="28"/>
          <w:szCs w:val="28"/>
        </w:rPr>
        <w:t xml:space="preserve">672,2 </w:t>
      </w:r>
      <w:r w:rsidRPr="001B0148">
        <w:rPr>
          <w:color w:val="000000" w:themeColor="text1"/>
          <w:sz w:val="28"/>
          <w:szCs w:val="28"/>
        </w:rPr>
        <w:t xml:space="preserve"> тыс. руб., на 202</w:t>
      </w:r>
      <w:r>
        <w:rPr>
          <w:color w:val="000000" w:themeColor="text1"/>
          <w:sz w:val="28"/>
          <w:szCs w:val="28"/>
        </w:rPr>
        <w:t>4</w:t>
      </w:r>
      <w:r w:rsidRPr="001B0148">
        <w:rPr>
          <w:color w:val="000000" w:themeColor="text1"/>
          <w:sz w:val="28"/>
          <w:szCs w:val="28"/>
        </w:rPr>
        <w:t xml:space="preserve"> год в сумме </w:t>
      </w:r>
      <w:r w:rsidRPr="002B3EEB">
        <w:rPr>
          <w:sz w:val="28"/>
          <w:szCs w:val="28"/>
        </w:rPr>
        <w:t>39</w:t>
      </w:r>
      <w:r>
        <w:rPr>
          <w:sz w:val="28"/>
          <w:szCs w:val="28"/>
        </w:rPr>
        <w:t xml:space="preserve"> </w:t>
      </w:r>
      <w:r w:rsidRPr="002B3EEB">
        <w:rPr>
          <w:sz w:val="28"/>
          <w:szCs w:val="28"/>
        </w:rPr>
        <w:t>359</w:t>
      </w:r>
      <w:r>
        <w:rPr>
          <w:color w:val="000000" w:themeColor="text1"/>
          <w:sz w:val="28"/>
          <w:szCs w:val="28"/>
        </w:rPr>
        <w:t>,0</w:t>
      </w:r>
      <w:r w:rsidRPr="001B0148">
        <w:rPr>
          <w:color w:val="000000" w:themeColor="text1"/>
          <w:sz w:val="28"/>
          <w:szCs w:val="28"/>
        </w:rPr>
        <w:t xml:space="preserve"> тыс. руб.</w:t>
      </w:r>
    </w:p>
    <w:p w:rsidR="00935C40" w:rsidRPr="009F2ACB" w:rsidRDefault="00935C40" w:rsidP="00935C40">
      <w:pPr>
        <w:jc w:val="center"/>
        <w:rPr>
          <w:sz w:val="28"/>
          <w:szCs w:val="28"/>
        </w:rPr>
      </w:pPr>
    </w:p>
    <w:p w:rsidR="00935C40" w:rsidRPr="009F2ACB" w:rsidRDefault="00935C40" w:rsidP="00935C40">
      <w:pPr>
        <w:jc w:val="center"/>
        <w:rPr>
          <w:sz w:val="28"/>
          <w:szCs w:val="28"/>
        </w:rPr>
      </w:pPr>
      <w:r w:rsidRPr="009F2ACB">
        <w:rPr>
          <w:sz w:val="28"/>
          <w:szCs w:val="28"/>
        </w:rPr>
        <w:t>Расчет прогноза поступления р</w:t>
      </w:r>
      <w:r w:rsidRPr="009F2ACB">
        <w:rPr>
          <w:sz w:val="28"/>
        </w:rPr>
        <w:t xml:space="preserve">азовых платежей за пользование недрами при наступлении определенных событий, оговоренных в лицензии, при пользовании недрами на территории Российской Федерации по участкам недр местного значения </w:t>
      </w:r>
      <w:r w:rsidRPr="009F2ACB">
        <w:rPr>
          <w:sz w:val="28"/>
          <w:szCs w:val="28"/>
        </w:rPr>
        <w:t>на 20</w:t>
      </w:r>
      <w:r>
        <w:rPr>
          <w:sz w:val="28"/>
          <w:szCs w:val="28"/>
        </w:rPr>
        <w:t>22</w:t>
      </w:r>
      <w:r w:rsidRPr="009F2ACB">
        <w:rPr>
          <w:sz w:val="28"/>
          <w:szCs w:val="28"/>
        </w:rPr>
        <w:t xml:space="preserve"> год, 20</w:t>
      </w:r>
      <w:r>
        <w:rPr>
          <w:sz w:val="28"/>
          <w:szCs w:val="28"/>
        </w:rPr>
        <w:t>23</w:t>
      </w:r>
      <w:r w:rsidRPr="009F2ACB">
        <w:rPr>
          <w:sz w:val="28"/>
          <w:szCs w:val="28"/>
        </w:rPr>
        <w:t xml:space="preserve"> и 20</w:t>
      </w:r>
      <w:r>
        <w:rPr>
          <w:sz w:val="28"/>
          <w:szCs w:val="28"/>
        </w:rPr>
        <w:t>24</w:t>
      </w:r>
      <w:r w:rsidRPr="009F2ACB">
        <w:rPr>
          <w:sz w:val="28"/>
          <w:szCs w:val="28"/>
        </w:rPr>
        <w:t xml:space="preserve"> годы</w:t>
      </w:r>
    </w:p>
    <w:p w:rsidR="00935C40" w:rsidRPr="009F2ACB" w:rsidRDefault="00935C40" w:rsidP="00935C40">
      <w:pPr>
        <w:jc w:val="center"/>
        <w:rPr>
          <w:sz w:val="28"/>
          <w:szCs w:val="28"/>
        </w:rPr>
      </w:pPr>
      <w:r w:rsidRPr="009F2ACB">
        <w:rPr>
          <w:sz w:val="28"/>
          <w:szCs w:val="28"/>
        </w:rPr>
        <w:t>(КБК 327 1 12 02012 01 0000 120)</w:t>
      </w:r>
    </w:p>
    <w:p w:rsidR="00935C40" w:rsidRDefault="00935C40" w:rsidP="00935C40">
      <w:pPr>
        <w:ind w:firstLine="709"/>
        <w:jc w:val="both"/>
        <w:rPr>
          <w:sz w:val="28"/>
          <w:szCs w:val="28"/>
        </w:rPr>
      </w:pPr>
      <w:r w:rsidRPr="009F2ACB">
        <w:rPr>
          <w:sz w:val="28"/>
          <w:szCs w:val="28"/>
        </w:rPr>
        <w:t xml:space="preserve">Расчет произведен Министерством природных ресурсов и экологии Тверской области (главным администратором доходов бюджета) в соответствии с методикой прогнозирования поступлений доходов областного бюджета и местных бюджетов Тверской области, утвержденной приказом Министерства природных ресурсов и экологии Тверской области от </w:t>
      </w:r>
      <w:r>
        <w:rPr>
          <w:sz w:val="28"/>
          <w:szCs w:val="28"/>
        </w:rPr>
        <w:t>17</w:t>
      </w:r>
      <w:r w:rsidRPr="009F2ACB">
        <w:rPr>
          <w:sz w:val="28"/>
          <w:szCs w:val="28"/>
        </w:rPr>
        <w:t>.0</w:t>
      </w:r>
      <w:r>
        <w:rPr>
          <w:sz w:val="28"/>
          <w:szCs w:val="28"/>
        </w:rPr>
        <w:t>6</w:t>
      </w:r>
      <w:r w:rsidRPr="009F2ACB">
        <w:rPr>
          <w:sz w:val="28"/>
          <w:szCs w:val="28"/>
        </w:rPr>
        <w:t>.20</w:t>
      </w:r>
      <w:r>
        <w:rPr>
          <w:sz w:val="28"/>
          <w:szCs w:val="28"/>
        </w:rPr>
        <w:t xml:space="preserve">21 № </w:t>
      </w:r>
      <w:r w:rsidRPr="009F2ACB">
        <w:rPr>
          <w:sz w:val="28"/>
          <w:szCs w:val="28"/>
        </w:rPr>
        <w:t>8</w:t>
      </w:r>
      <w:r>
        <w:rPr>
          <w:sz w:val="28"/>
          <w:szCs w:val="28"/>
        </w:rPr>
        <w:t>5</w:t>
      </w:r>
      <w:r w:rsidRPr="009F2ACB">
        <w:rPr>
          <w:sz w:val="28"/>
          <w:szCs w:val="28"/>
        </w:rPr>
        <w:t>-кв</w:t>
      </w:r>
      <w:r>
        <w:rPr>
          <w:sz w:val="28"/>
          <w:szCs w:val="28"/>
        </w:rPr>
        <w:t>.</w:t>
      </w:r>
    </w:p>
    <w:p w:rsidR="00935C40" w:rsidRDefault="00935C40" w:rsidP="00935C40">
      <w:pPr>
        <w:ind w:firstLine="567"/>
        <w:jc w:val="both"/>
        <w:rPr>
          <w:sz w:val="28"/>
          <w:szCs w:val="28"/>
        </w:rPr>
      </w:pPr>
      <w:r w:rsidRPr="00C50483">
        <w:rPr>
          <w:sz w:val="28"/>
          <w:szCs w:val="28"/>
        </w:rPr>
        <w:t>Расчет прогнозного объема поступления разовых платежей за право пользования участками недр на 20</w:t>
      </w:r>
      <w:r>
        <w:rPr>
          <w:sz w:val="28"/>
          <w:szCs w:val="28"/>
        </w:rPr>
        <w:t>21</w:t>
      </w:r>
      <w:r w:rsidRPr="00C50483">
        <w:rPr>
          <w:sz w:val="28"/>
          <w:szCs w:val="28"/>
        </w:rPr>
        <w:t xml:space="preserve"> год осуществлялся методом экстраполяции.</w:t>
      </w:r>
    </w:p>
    <w:p w:rsidR="00935C40" w:rsidRPr="008A4B43" w:rsidRDefault="00935C40" w:rsidP="00935C40">
      <w:pPr>
        <w:ind w:firstLine="709"/>
        <w:jc w:val="both"/>
        <w:rPr>
          <w:sz w:val="28"/>
          <w:szCs w:val="28"/>
        </w:rPr>
      </w:pPr>
      <w:r w:rsidRPr="00C50483">
        <w:rPr>
          <w:sz w:val="28"/>
          <w:szCs w:val="28"/>
        </w:rPr>
        <w:t>Министерством</w:t>
      </w:r>
      <w:r w:rsidRPr="009A760D">
        <w:rPr>
          <w:sz w:val="28"/>
          <w:szCs w:val="28"/>
        </w:rPr>
        <w:t xml:space="preserve"> </w:t>
      </w:r>
      <w:r w:rsidRPr="009F2ACB">
        <w:rPr>
          <w:sz w:val="28"/>
          <w:szCs w:val="28"/>
        </w:rPr>
        <w:t>природных ресурсов и экологии Тверской области</w:t>
      </w:r>
      <w:r w:rsidRPr="00C50483">
        <w:rPr>
          <w:sz w:val="28"/>
          <w:szCs w:val="28"/>
        </w:rPr>
        <w:t xml:space="preserve"> был сформирован перечень участков недр</w:t>
      </w:r>
      <w:r>
        <w:rPr>
          <w:sz w:val="28"/>
          <w:szCs w:val="28"/>
        </w:rPr>
        <w:t>,</w:t>
      </w:r>
      <w:r w:rsidRPr="008A4B43">
        <w:rPr>
          <w:sz w:val="28"/>
          <w:szCs w:val="28"/>
        </w:rPr>
        <w:t>планируемых к выставлению на торги, в целях расширения сырьевой базы для обеспечения реализации национальных и инвестиционных проектов, а также нужд региона.</w:t>
      </w:r>
    </w:p>
    <w:p w:rsidR="00935C40" w:rsidRPr="00C50483" w:rsidRDefault="00935C40" w:rsidP="00935C40">
      <w:pPr>
        <w:ind w:firstLine="567"/>
        <w:jc w:val="both"/>
        <w:rPr>
          <w:sz w:val="28"/>
          <w:szCs w:val="28"/>
        </w:rPr>
      </w:pPr>
      <w:r w:rsidRPr="00C50483">
        <w:rPr>
          <w:sz w:val="28"/>
          <w:szCs w:val="28"/>
        </w:rPr>
        <w:lastRenderedPageBreak/>
        <w:t>При расчете стартового размера разового платежа для выставления на аукцион конкретно выбранного участка недр местного значения используется методика расчета минимального (стартового) размера разового платежа за пользование недрами, утвержденная приказом Министерства природных ресурсов и экологии Российской Федерации от 30.09.2008 № 232.</w:t>
      </w:r>
    </w:p>
    <w:p w:rsidR="00935C40" w:rsidRDefault="00935C40" w:rsidP="00935C40">
      <w:pPr>
        <w:ind w:firstLine="709"/>
        <w:jc w:val="both"/>
        <w:rPr>
          <w:sz w:val="28"/>
          <w:szCs w:val="28"/>
        </w:rPr>
      </w:pPr>
      <w:r w:rsidRPr="00C50483">
        <w:rPr>
          <w:sz w:val="28"/>
          <w:szCs w:val="28"/>
        </w:rPr>
        <w:t xml:space="preserve">Необходимо также отметить, </w:t>
      </w:r>
      <w:r w:rsidRPr="00E00322">
        <w:rPr>
          <w:sz w:val="28"/>
          <w:szCs w:val="28"/>
        </w:rPr>
        <w:t>что при расчете стартового размера разового платежа</w:t>
      </w:r>
      <w:r>
        <w:rPr>
          <w:sz w:val="28"/>
          <w:szCs w:val="28"/>
        </w:rPr>
        <w:t xml:space="preserve"> используются сведения о средних ценах</w:t>
      </w:r>
      <w:r w:rsidRPr="00E00322">
        <w:rPr>
          <w:sz w:val="28"/>
          <w:szCs w:val="28"/>
        </w:rPr>
        <w:t xml:space="preserve"> </w:t>
      </w:r>
      <w:r>
        <w:rPr>
          <w:sz w:val="28"/>
          <w:szCs w:val="28"/>
        </w:rPr>
        <w:t>производителей промышленных товаров</w:t>
      </w:r>
      <w:r w:rsidRPr="00E00322">
        <w:rPr>
          <w:sz w:val="28"/>
          <w:szCs w:val="28"/>
        </w:rPr>
        <w:t xml:space="preserve">, </w:t>
      </w:r>
      <w:r>
        <w:rPr>
          <w:sz w:val="28"/>
          <w:szCs w:val="28"/>
        </w:rPr>
        <w:t>полученные из Единой межведомственной информационно-статистической системы</w:t>
      </w:r>
      <w:r w:rsidRPr="00E00322">
        <w:rPr>
          <w:sz w:val="28"/>
          <w:szCs w:val="28"/>
        </w:rPr>
        <w:t xml:space="preserve"> (ЕМИСС),</w:t>
      </w:r>
      <w:r>
        <w:rPr>
          <w:sz w:val="28"/>
          <w:szCs w:val="28"/>
        </w:rPr>
        <w:t xml:space="preserve"> </w:t>
      </w:r>
      <w:r w:rsidRPr="00C50483">
        <w:rPr>
          <w:sz w:val="28"/>
          <w:szCs w:val="28"/>
        </w:rPr>
        <w:t xml:space="preserve">ставке рефинансирования Центрального банка Российской Федерации на дату определения размера разового платежа; а также учитывается вид полезного ископаемого, объем запасов полезного ископаемого месторождения, выставляемого на </w:t>
      </w:r>
      <w:r>
        <w:rPr>
          <w:sz w:val="28"/>
          <w:szCs w:val="28"/>
        </w:rPr>
        <w:t>конкурс (</w:t>
      </w:r>
      <w:r w:rsidRPr="00C50483">
        <w:rPr>
          <w:sz w:val="28"/>
          <w:szCs w:val="28"/>
        </w:rPr>
        <w:t>аукцион</w:t>
      </w:r>
      <w:r>
        <w:rPr>
          <w:sz w:val="28"/>
          <w:szCs w:val="28"/>
        </w:rPr>
        <w:t>)</w:t>
      </w:r>
      <w:r w:rsidRPr="00C50483">
        <w:rPr>
          <w:sz w:val="28"/>
          <w:szCs w:val="28"/>
        </w:rPr>
        <w:t>, и категория подсчета запасов полезного ископаемого.</w:t>
      </w:r>
    </w:p>
    <w:p w:rsidR="00935C40" w:rsidRPr="00C50483" w:rsidRDefault="00935C40" w:rsidP="00935C40">
      <w:pPr>
        <w:jc w:val="both"/>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3210"/>
        <w:gridCol w:w="1820"/>
        <w:gridCol w:w="1844"/>
        <w:gridCol w:w="1724"/>
      </w:tblGrid>
      <w:tr w:rsidR="00935C40" w:rsidRPr="00C50483" w:rsidTr="001E2A06">
        <w:tc>
          <w:tcPr>
            <w:tcW w:w="9344" w:type="dxa"/>
            <w:gridSpan w:val="5"/>
            <w:vAlign w:val="center"/>
          </w:tcPr>
          <w:p w:rsidR="00935C40" w:rsidRPr="00C50483" w:rsidRDefault="00935C40" w:rsidP="001E2A06">
            <w:pPr>
              <w:jc w:val="center"/>
              <w:rPr>
                <w:b/>
              </w:rPr>
            </w:pPr>
            <w:r>
              <w:rPr>
                <w:b/>
              </w:rPr>
              <w:t>Прогноз на 2022 год</w:t>
            </w:r>
          </w:p>
        </w:tc>
      </w:tr>
      <w:tr w:rsidR="00935C40" w:rsidRPr="00C50483" w:rsidTr="001E2A06">
        <w:tc>
          <w:tcPr>
            <w:tcW w:w="610" w:type="dxa"/>
            <w:vAlign w:val="center"/>
          </w:tcPr>
          <w:p w:rsidR="00935C40" w:rsidRPr="00C50483" w:rsidRDefault="00935C40" w:rsidP="001E2A06">
            <w:pPr>
              <w:jc w:val="center"/>
              <w:rPr>
                <w:b/>
              </w:rPr>
            </w:pPr>
            <w:r w:rsidRPr="00C50483">
              <w:rPr>
                <w:b/>
              </w:rPr>
              <w:t>№ п/п</w:t>
            </w:r>
          </w:p>
        </w:tc>
        <w:tc>
          <w:tcPr>
            <w:tcW w:w="3354" w:type="dxa"/>
            <w:vAlign w:val="center"/>
          </w:tcPr>
          <w:p w:rsidR="00935C40" w:rsidRPr="00C50483" w:rsidRDefault="00935C40" w:rsidP="001E2A06">
            <w:pPr>
              <w:jc w:val="center"/>
              <w:rPr>
                <w:b/>
              </w:rPr>
            </w:pPr>
            <w:r w:rsidRPr="00C50483">
              <w:rPr>
                <w:b/>
              </w:rPr>
              <w:t>Показатели</w:t>
            </w:r>
          </w:p>
        </w:tc>
        <w:tc>
          <w:tcPr>
            <w:tcW w:w="1695" w:type="dxa"/>
            <w:vAlign w:val="center"/>
          </w:tcPr>
          <w:p w:rsidR="00935C40" w:rsidRPr="00C50483" w:rsidRDefault="00935C40" w:rsidP="001E2A06">
            <w:pPr>
              <w:jc w:val="center"/>
              <w:rPr>
                <w:b/>
              </w:rPr>
            </w:pPr>
            <w:r w:rsidRPr="00C50483">
              <w:rPr>
                <w:b/>
              </w:rPr>
              <w:t xml:space="preserve">Количество, </w:t>
            </w:r>
            <w:r>
              <w:rPr>
                <w:b/>
              </w:rPr>
              <w:t>аукционов,</w:t>
            </w:r>
            <w:r w:rsidRPr="00C50483">
              <w:rPr>
                <w:b/>
              </w:rPr>
              <w:t>шт.</w:t>
            </w:r>
          </w:p>
        </w:tc>
        <w:tc>
          <w:tcPr>
            <w:tcW w:w="1902" w:type="dxa"/>
            <w:vAlign w:val="center"/>
          </w:tcPr>
          <w:p w:rsidR="00935C40" w:rsidRPr="00C50483" w:rsidRDefault="00935C40" w:rsidP="001E2A06">
            <w:pPr>
              <w:jc w:val="center"/>
              <w:rPr>
                <w:b/>
              </w:rPr>
            </w:pPr>
            <w:r w:rsidRPr="00C50483">
              <w:rPr>
                <w:b/>
              </w:rPr>
              <w:t xml:space="preserve">Средняя цена, </w:t>
            </w:r>
          </w:p>
          <w:p w:rsidR="00935C40" w:rsidRPr="00C50483" w:rsidRDefault="00935C40" w:rsidP="001E2A06">
            <w:pPr>
              <w:jc w:val="center"/>
              <w:rPr>
                <w:b/>
              </w:rPr>
            </w:pPr>
            <w:r w:rsidRPr="00C50483">
              <w:rPr>
                <w:b/>
              </w:rPr>
              <w:t>тыс. руб.</w:t>
            </w:r>
          </w:p>
        </w:tc>
        <w:tc>
          <w:tcPr>
            <w:tcW w:w="1783" w:type="dxa"/>
            <w:vAlign w:val="center"/>
          </w:tcPr>
          <w:p w:rsidR="00935C40" w:rsidRPr="00C50483" w:rsidRDefault="00935C40" w:rsidP="001E2A06">
            <w:pPr>
              <w:jc w:val="center"/>
              <w:rPr>
                <w:b/>
              </w:rPr>
            </w:pPr>
            <w:r w:rsidRPr="00C50483">
              <w:rPr>
                <w:b/>
              </w:rPr>
              <w:t xml:space="preserve">Сумма, </w:t>
            </w:r>
          </w:p>
          <w:p w:rsidR="00935C40" w:rsidRPr="00C50483" w:rsidRDefault="00935C40" w:rsidP="001E2A06">
            <w:pPr>
              <w:jc w:val="center"/>
              <w:rPr>
                <w:b/>
              </w:rPr>
            </w:pPr>
            <w:r w:rsidRPr="00C50483">
              <w:rPr>
                <w:b/>
              </w:rPr>
              <w:t>тыс. руб.</w:t>
            </w:r>
          </w:p>
        </w:tc>
      </w:tr>
      <w:tr w:rsidR="00935C40" w:rsidRPr="00C50483" w:rsidTr="001E2A06">
        <w:tc>
          <w:tcPr>
            <w:tcW w:w="610" w:type="dxa"/>
          </w:tcPr>
          <w:p w:rsidR="00935C40" w:rsidRPr="00C50483" w:rsidRDefault="00935C40" w:rsidP="001E2A06">
            <w:pPr>
              <w:jc w:val="center"/>
            </w:pPr>
            <w:r w:rsidRPr="00C50483">
              <w:t>1.</w:t>
            </w:r>
          </w:p>
        </w:tc>
        <w:tc>
          <w:tcPr>
            <w:tcW w:w="3354" w:type="dxa"/>
          </w:tcPr>
          <w:p w:rsidR="00935C40" w:rsidRPr="00C50483" w:rsidRDefault="00935C40" w:rsidP="001E2A06">
            <w:r w:rsidRPr="00C50483">
              <w:t>Разовый платеж  за право  пользования участком недр местного значения</w:t>
            </w:r>
          </w:p>
        </w:tc>
        <w:tc>
          <w:tcPr>
            <w:tcW w:w="1695" w:type="dxa"/>
            <w:vAlign w:val="center"/>
          </w:tcPr>
          <w:p w:rsidR="00935C40" w:rsidRPr="00C50483" w:rsidRDefault="00935C40" w:rsidP="001E2A06">
            <w:pPr>
              <w:jc w:val="center"/>
            </w:pPr>
            <w:r>
              <w:t>6</w:t>
            </w:r>
          </w:p>
        </w:tc>
        <w:tc>
          <w:tcPr>
            <w:tcW w:w="1902" w:type="dxa"/>
            <w:vAlign w:val="center"/>
          </w:tcPr>
          <w:p w:rsidR="00935C40" w:rsidRPr="00C50483" w:rsidRDefault="00935C40" w:rsidP="001E2A06">
            <w:pPr>
              <w:jc w:val="right"/>
            </w:pPr>
          </w:p>
          <w:p w:rsidR="00935C40" w:rsidRPr="00C50483" w:rsidRDefault="00935C40" w:rsidP="001E2A06">
            <w:pPr>
              <w:jc w:val="right"/>
            </w:pPr>
            <w:r w:rsidRPr="00C50483">
              <w:t>-</w:t>
            </w:r>
          </w:p>
          <w:p w:rsidR="00935C40" w:rsidRPr="00C50483" w:rsidRDefault="00935C40" w:rsidP="001E2A06">
            <w:pPr>
              <w:jc w:val="right"/>
            </w:pPr>
          </w:p>
        </w:tc>
        <w:tc>
          <w:tcPr>
            <w:tcW w:w="1783" w:type="dxa"/>
            <w:vAlign w:val="center"/>
          </w:tcPr>
          <w:p w:rsidR="00935C40" w:rsidRPr="00C50483" w:rsidRDefault="00935C40" w:rsidP="001E2A06">
            <w:pPr>
              <w:jc w:val="right"/>
            </w:pPr>
            <w:r>
              <w:rPr>
                <w:lang w:val="en-US"/>
              </w:rPr>
              <w:t>32</w:t>
            </w:r>
            <w:r>
              <w:t xml:space="preserve"> </w:t>
            </w:r>
            <w:r>
              <w:rPr>
                <w:lang w:val="en-US"/>
              </w:rPr>
              <w:t>103</w:t>
            </w:r>
            <w:r>
              <w:t>,</w:t>
            </w:r>
            <w:r>
              <w:rPr>
                <w:lang w:val="en-US"/>
              </w:rPr>
              <w:t>7</w:t>
            </w:r>
          </w:p>
        </w:tc>
      </w:tr>
      <w:tr w:rsidR="00935C40" w:rsidRPr="00C50483" w:rsidTr="001E2A06">
        <w:tc>
          <w:tcPr>
            <w:tcW w:w="7561" w:type="dxa"/>
            <w:gridSpan w:val="4"/>
          </w:tcPr>
          <w:p w:rsidR="00935C40" w:rsidRPr="00C50483" w:rsidRDefault="00935C40" w:rsidP="001E2A06">
            <w:pPr>
              <w:rPr>
                <w:b/>
              </w:rPr>
            </w:pPr>
            <w:r>
              <w:rPr>
                <w:b/>
              </w:rPr>
              <w:t xml:space="preserve">        </w:t>
            </w:r>
            <w:r w:rsidRPr="00C50483">
              <w:rPr>
                <w:b/>
              </w:rPr>
              <w:t>Всего:</w:t>
            </w:r>
          </w:p>
        </w:tc>
        <w:tc>
          <w:tcPr>
            <w:tcW w:w="1783" w:type="dxa"/>
            <w:vAlign w:val="center"/>
          </w:tcPr>
          <w:p w:rsidR="00935C40" w:rsidRPr="00B87933" w:rsidRDefault="00935C40" w:rsidP="001E2A06">
            <w:pPr>
              <w:jc w:val="right"/>
              <w:rPr>
                <w:b/>
              </w:rPr>
            </w:pPr>
            <w:r w:rsidRPr="00B87933">
              <w:rPr>
                <w:b/>
                <w:lang w:val="en-US"/>
              </w:rPr>
              <w:t>32</w:t>
            </w:r>
            <w:r w:rsidRPr="00B87933">
              <w:rPr>
                <w:b/>
              </w:rPr>
              <w:t xml:space="preserve"> </w:t>
            </w:r>
            <w:r w:rsidRPr="00B87933">
              <w:rPr>
                <w:b/>
                <w:lang w:val="en-US"/>
              </w:rPr>
              <w:t>103</w:t>
            </w:r>
            <w:r w:rsidRPr="00B87933">
              <w:rPr>
                <w:b/>
              </w:rPr>
              <w:t>,</w:t>
            </w:r>
            <w:r w:rsidRPr="00B87933">
              <w:rPr>
                <w:b/>
                <w:lang w:val="en-US"/>
              </w:rPr>
              <w:t>7</w:t>
            </w:r>
          </w:p>
        </w:tc>
      </w:tr>
    </w:tbl>
    <w:p w:rsidR="00935C40" w:rsidRPr="00C50483" w:rsidRDefault="00935C40" w:rsidP="00935C40">
      <w:pPr>
        <w:ind w:firstLine="567"/>
        <w:jc w:val="both"/>
        <w:rPr>
          <w:sz w:val="20"/>
          <w:szCs w:val="20"/>
        </w:rPr>
      </w:pPr>
    </w:p>
    <w:p w:rsidR="00935C40" w:rsidRPr="00C50483" w:rsidRDefault="00935C40" w:rsidP="00935C40">
      <w:pPr>
        <w:ind w:firstLine="709"/>
        <w:jc w:val="both"/>
        <w:rPr>
          <w:sz w:val="28"/>
          <w:szCs w:val="28"/>
        </w:rPr>
      </w:pPr>
      <w:r w:rsidRPr="00C50483">
        <w:rPr>
          <w:sz w:val="28"/>
          <w:szCs w:val="28"/>
        </w:rPr>
        <w:t>В 20</w:t>
      </w:r>
      <w:r>
        <w:rPr>
          <w:sz w:val="28"/>
          <w:szCs w:val="28"/>
        </w:rPr>
        <w:t>22</w:t>
      </w:r>
      <w:r w:rsidRPr="00C50483">
        <w:rPr>
          <w:sz w:val="28"/>
          <w:szCs w:val="28"/>
        </w:rPr>
        <w:t xml:space="preserve"> году прогнозируется проведение конкурсов (аукционов) за право пользования участками недр местного значения, по следующим месторождениям:</w:t>
      </w:r>
    </w:p>
    <w:p w:rsidR="00935C40" w:rsidRPr="008A4B43" w:rsidRDefault="00935C40" w:rsidP="00935C40">
      <w:pPr>
        <w:ind w:firstLine="709"/>
        <w:jc w:val="both"/>
        <w:rPr>
          <w:sz w:val="28"/>
          <w:szCs w:val="28"/>
        </w:rPr>
      </w:pPr>
      <w:r w:rsidRPr="008A4B43">
        <w:rPr>
          <w:sz w:val="28"/>
          <w:szCs w:val="28"/>
        </w:rPr>
        <w:t>- «</w:t>
      </w:r>
      <w:r>
        <w:rPr>
          <w:sz w:val="28"/>
          <w:szCs w:val="28"/>
        </w:rPr>
        <w:t>Копылево-2</w:t>
      </w:r>
      <w:r w:rsidRPr="008A4B43">
        <w:rPr>
          <w:sz w:val="28"/>
          <w:szCs w:val="28"/>
        </w:rPr>
        <w:t xml:space="preserve">» </w:t>
      </w:r>
      <w:r>
        <w:rPr>
          <w:sz w:val="28"/>
          <w:szCs w:val="28"/>
        </w:rPr>
        <w:t>(песок) –</w:t>
      </w:r>
      <w:r w:rsidRPr="008A4B43">
        <w:rPr>
          <w:sz w:val="28"/>
          <w:szCs w:val="28"/>
        </w:rPr>
        <w:t xml:space="preserve"> </w:t>
      </w:r>
      <w:r>
        <w:rPr>
          <w:sz w:val="28"/>
          <w:szCs w:val="28"/>
        </w:rPr>
        <w:t>1 279,4</w:t>
      </w:r>
      <w:r w:rsidRPr="008A4B43">
        <w:rPr>
          <w:sz w:val="28"/>
          <w:szCs w:val="28"/>
        </w:rPr>
        <w:t xml:space="preserve"> тыс. рублей;</w:t>
      </w:r>
    </w:p>
    <w:p w:rsidR="00935C40" w:rsidRDefault="00935C40" w:rsidP="00935C40">
      <w:pPr>
        <w:ind w:firstLine="709"/>
        <w:jc w:val="both"/>
        <w:rPr>
          <w:sz w:val="28"/>
          <w:szCs w:val="28"/>
        </w:rPr>
      </w:pPr>
      <w:r>
        <w:rPr>
          <w:sz w:val="28"/>
          <w:szCs w:val="28"/>
        </w:rPr>
        <w:t>- «Кадановское» (песок) – 9 303,4 тыс. рублей;</w:t>
      </w:r>
    </w:p>
    <w:p w:rsidR="00935C40" w:rsidRDefault="00935C40" w:rsidP="00935C40">
      <w:pPr>
        <w:ind w:firstLine="709"/>
        <w:jc w:val="both"/>
        <w:rPr>
          <w:sz w:val="28"/>
          <w:szCs w:val="28"/>
        </w:rPr>
      </w:pPr>
      <w:r>
        <w:rPr>
          <w:sz w:val="28"/>
          <w:szCs w:val="28"/>
        </w:rPr>
        <w:t>- «Харлово-Шестаковское» (песок) – 8 399,6 тыс. рублей;</w:t>
      </w:r>
    </w:p>
    <w:p w:rsidR="00935C40" w:rsidRDefault="00935C40" w:rsidP="00935C40">
      <w:pPr>
        <w:ind w:firstLine="709"/>
        <w:jc w:val="both"/>
        <w:rPr>
          <w:sz w:val="28"/>
          <w:szCs w:val="28"/>
        </w:rPr>
      </w:pPr>
      <w:r>
        <w:rPr>
          <w:sz w:val="28"/>
          <w:szCs w:val="28"/>
        </w:rPr>
        <w:t>- «Власьево-Конаково» (песок) – 7 459,4 тыс. рублей;</w:t>
      </w:r>
    </w:p>
    <w:p w:rsidR="00935C40" w:rsidRDefault="00935C40" w:rsidP="00935C40">
      <w:pPr>
        <w:ind w:firstLine="709"/>
        <w:jc w:val="both"/>
        <w:rPr>
          <w:sz w:val="28"/>
          <w:szCs w:val="28"/>
        </w:rPr>
      </w:pPr>
      <w:r>
        <w:rPr>
          <w:sz w:val="28"/>
          <w:szCs w:val="28"/>
        </w:rPr>
        <w:t>- «Абрамово» (песок) – 3 065,2 тыс. рублей;</w:t>
      </w:r>
    </w:p>
    <w:p w:rsidR="00935C40" w:rsidRPr="008A737E" w:rsidRDefault="00935C40" w:rsidP="00935C40">
      <w:pPr>
        <w:ind w:firstLine="709"/>
        <w:jc w:val="both"/>
        <w:rPr>
          <w:sz w:val="28"/>
          <w:szCs w:val="28"/>
        </w:rPr>
      </w:pPr>
      <w:r>
        <w:rPr>
          <w:sz w:val="28"/>
          <w:szCs w:val="28"/>
        </w:rPr>
        <w:t>- «Струево» (песок) – 2 596,7 тыс. рублей.</w:t>
      </w:r>
    </w:p>
    <w:p w:rsidR="00935C40" w:rsidRDefault="00935C40" w:rsidP="00935C40">
      <w:pPr>
        <w:ind w:firstLine="709"/>
        <w:jc w:val="both"/>
        <w:rPr>
          <w:sz w:val="28"/>
          <w:szCs w:val="28"/>
        </w:rPr>
      </w:pPr>
      <w:r>
        <w:rPr>
          <w:sz w:val="28"/>
          <w:szCs w:val="28"/>
        </w:rPr>
        <w:t>Участки недр, планируемые к выставлению на торги, включены в Перечень участков недр местного значения по Тверской области (постановление Правительства Тверской области от 22.01.2013 № 13-пп).</w:t>
      </w:r>
    </w:p>
    <w:p w:rsidR="00935C40" w:rsidRDefault="00935C40" w:rsidP="00935C40">
      <w:pPr>
        <w:ind w:firstLine="567"/>
        <w:jc w:val="both"/>
        <w:rPr>
          <w:sz w:val="16"/>
          <w:szCs w:val="16"/>
        </w:rPr>
      </w:pPr>
    </w:p>
    <w:p w:rsidR="00935C40" w:rsidRPr="00C50483" w:rsidRDefault="00935C40" w:rsidP="00935C40">
      <w:pPr>
        <w:ind w:firstLine="567"/>
        <w:jc w:val="both"/>
        <w:rPr>
          <w:sz w:val="16"/>
          <w:szCs w:val="16"/>
        </w:rPr>
      </w:pPr>
    </w:p>
    <w:p w:rsidR="00935C40" w:rsidRPr="00C50483" w:rsidRDefault="00935C40" w:rsidP="00935C40">
      <w:pPr>
        <w:jc w:val="both"/>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
        <w:gridCol w:w="3158"/>
        <w:gridCol w:w="1820"/>
        <w:gridCol w:w="1871"/>
        <w:gridCol w:w="1747"/>
      </w:tblGrid>
      <w:tr w:rsidR="00935C40" w:rsidRPr="00E90FA0" w:rsidTr="001E2A06">
        <w:trPr>
          <w:trHeight w:val="331"/>
        </w:trPr>
        <w:tc>
          <w:tcPr>
            <w:tcW w:w="9570" w:type="dxa"/>
            <w:gridSpan w:val="5"/>
            <w:vAlign w:val="center"/>
          </w:tcPr>
          <w:p w:rsidR="00935C40" w:rsidRPr="00F72C19" w:rsidRDefault="00935C40" w:rsidP="001E2A06">
            <w:pPr>
              <w:ind w:firstLine="567"/>
              <w:jc w:val="center"/>
              <w:rPr>
                <w:b/>
              </w:rPr>
            </w:pPr>
            <w:r w:rsidRPr="00F72C19">
              <w:rPr>
                <w:b/>
              </w:rPr>
              <w:t>Прогноз на 202</w:t>
            </w:r>
            <w:r>
              <w:rPr>
                <w:b/>
              </w:rPr>
              <w:t xml:space="preserve">3 </w:t>
            </w:r>
            <w:r w:rsidRPr="00F72C19">
              <w:rPr>
                <w:b/>
              </w:rPr>
              <w:t>год</w:t>
            </w:r>
          </w:p>
        </w:tc>
      </w:tr>
      <w:tr w:rsidR="00935C40" w:rsidRPr="00E90FA0" w:rsidTr="001E2A06">
        <w:tc>
          <w:tcPr>
            <w:tcW w:w="616" w:type="dxa"/>
            <w:vAlign w:val="center"/>
          </w:tcPr>
          <w:p w:rsidR="00935C40" w:rsidRPr="00F72C19" w:rsidRDefault="00935C40" w:rsidP="001E2A06">
            <w:pPr>
              <w:jc w:val="center"/>
              <w:rPr>
                <w:b/>
              </w:rPr>
            </w:pPr>
            <w:r w:rsidRPr="00F72C19">
              <w:rPr>
                <w:b/>
              </w:rPr>
              <w:t>№ п/п</w:t>
            </w:r>
          </w:p>
        </w:tc>
        <w:tc>
          <w:tcPr>
            <w:tcW w:w="3461" w:type="dxa"/>
            <w:vAlign w:val="center"/>
          </w:tcPr>
          <w:p w:rsidR="00935C40" w:rsidRPr="00F72C19" w:rsidRDefault="00935C40" w:rsidP="001E2A06">
            <w:pPr>
              <w:jc w:val="center"/>
              <w:rPr>
                <w:b/>
              </w:rPr>
            </w:pPr>
            <w:r w:rsidRPr="00F72C19">
              <w:rPr>
                <w:b/>
              </w:rPr>
              <w:t>Показатели</w:t>
            </w:r>
          </w:p>
        </w:tc>
        <w:tc>
          <w:tcPr>
            <w:tcW w:w="1610" w:type="dxa"/>
            <w:vAlign w:val="center"/>
          </w:tcPr>
          <w:p w:rsidR="00935C40" w:rsidRPr="00F72C19" w:rsidRDefault="00935C40" w:rsidP="001E2A06">
            <w:pPr>
              <w:jc w:val="center"/>
              <w:rPr>
                <w:b/>
              </w:rPr>
            </w:pPr>
            <w:r w:rsidRPr="00F72C19">
              <w:rPr>
                <w:b/>
              </w:rPr>
              <w:t xml:space="preserve">Количество, </w:t>
            </w:r>
            <w:r>
              <w:rPr>
                <w:b/>
              </w:rPr>
              <w:t xml:space="preserve"> аукционов,</w:t>
            </w:r>
            <w:r w:rsidRPr="00F72C19">
              <w:rPr>
                <w:b/>
              </w:rPr>
              <w:t>шт.</w:t>
            </w:r>
          </w:p>
        </w:tc>
        <w:tc>
          <w:tcPr>
            <w:tcW w:w="2003" w:type="dxa"/>
            <w:vAlign w:val="center"/>
          </w:tcPr>
          <w:p w:rsidR="00935C40" w:rsidRPr="00F72C19" w:rsidRDefault="00935C40" w:rsidP="001E2A06">
            <w:pPr>
              <w:jc w:val="center"/>
              <w:rPr>
                <w:b/>
              </w:rPr>
            </w:pPr>
            <w:r w:rsidRPr="00F72C19">
              <w:rPr>
                <w:b/>
              </w:rPr>
              <w:t xml:space="preserve">Средняя цена </w:t>
            </w:r>
          </w:p>
          <w:p w:rsidR="00935C40" w:rsidRPr="00F72C19" w:rsidRDefault="00935C40" w:rsidP="001E2A06">
            <w:pPr>
              <w:jc w:val="center"/>
              <w:rPr>
                <w:b/>
              </w:rPr>
            </w:pPr>
            <w:r w:rsidRPr="00F72C19">
              <w:rPr>
                <w:b/>
              </w:rPr>
              <w:t>тыс. руб.</w:t>
            </w:r>
          </w:p>
        </w:tc>
        <w:tc>
          <w:tcPr>
            <w:tcW w:w="1880" w:type="dxa"/>
            <w:vAlign w:val="center"/>
          </w:tcPr>
          <w:p w:rsidR="00935C40" w:rsidRPr="00F72C19" w:rsidRDefault="00935C40" w:rsidP="001E2A06">
            <w:pPr>
              <w:jc w:val="center"/>
              <w:rPr>
                <w:b/>
              </w:rPr>
            </w:pPr>
            <w:r w:rsidRPr="00F72C19">
              <w:rPr>
                <w:b/>
              </w:rPr>
              <w:t xml:space="preserve">Сумма, </w:t>
            </w:r>
          </w:p>
          <w:p w:rsidR="00935C40" w:rsidRPr="00F72C19" w:rsidRDefault="00935C40" w:rsidP="001E2A06">
            <w:pPr>
              <w:jc w:val="center"/>
              <w:rPr>
                <w:b/>
              </w:rPr>
            </w:pPr>
            <w:r w:rsidRPr="00F72C19">
              <w:rPr>
                <w:b/>
              </w:rPr>
              <w:t>тыс. руб.</w:t>
            </w:r>
          </w:p>
        </w:tc>
      </w:tr>
      <w:tr w:rsidR="00935C40" w:rsidRPr="00E90FA0" w:rsidTr="001E2A06">
        <w:tc>
          <w:tcPr>
            <w:tcW w:w="616" w:type="dxa"/>
          </w:tcPr>
          <w:p w:rsidR="00935C40" w:rsidRPr="00F72C19" w:rsidRDefault="00935C40" w:rsidP="001E2A06">
            <w:pPr>
              <w:jc w:val="center"/>
            </w:pPr>
            <w:r w:rsidRPr="00F72C19">
              <w:t>1.</w:t>
            </w:r>
          </w:p>
        </w:tc>
        <w:tc>
          <w:tcPr>
            <w:tcW w:w="3461" w:type="dxa"/>
          </w:tcPr>
          <w:p w:rsidR="00935C40" w:rsidRPr="00F72C19" w:rsidRDefault="00935C40" w:rsidP="001E2A06">
            <w:r w:rsidRPr="00F72C19">
              <w:t>Разовый платеж  за право  пользования участком недр местного значения</w:t>
            </w:r>
          </w:p>
        </w:tc>
        <w:tc>
          <w:tcPr>
            <w:tcW w:w="1610" w:type="dxa"/>
            <w:vAlign w:val="center"/>
          </w:tcPr>
          <w:p w:rsidR="00935C40" w:rsidRPr="00F72C19" w:rsidRDefault="00935C40" w:rsidP="001E2A06">
            <w:pPr>
              <w:jc w:val="center"/>
            </w:pPr>
            <w:r>
              <w:t>4</w:t>
            </w:r>
          </w:p>
        </w:tc>
        <w:tc>
          <w:tcPr>
            <w:tcW w:w="2003" w:type="dxa"/>
            <w:vAlign w:val="center"/>
          </w:tcPr>
          <w:p w:rsidR="00935C40" w:rsidRPr="00F72C19" w:rsidRDefault="00935C40" w:rsidP="001E2A06">
            <w:pPr>
              <w:jc w:val="right"/>
            </w:pPr>
          </w:p>
          <w:p w:rsidR="00935C40" w:rsidRPr="00F72C19" w:rsidRDefault="00935C40" w:rsidP="001E2A06">
            <w:pPr>
              <w:jc w:val="right"/>
            </w:pPr>
            <w:r w:rsidRPr="00F72C19">
              <w:t>-</w:t>
            </w:r>
          </w:p>
          <w:p w:rsidR="00935C40" w:rsidRPr="00F72C19" w:rsidRDefault="00935C40" w:rsidP="001E2A06">
            <w:pPr>
              <w:jc w:val="right"/>
            </w:pPr>
          </w:p>
        </w:tc>
        <w:tc>
          <w:tcPr>
            <w:tcW w:w="1880" w:type="dxa"/>
            <w:vAlign w:val="center"/>
          </w:tcPr>
          <w:p w:rsidR="00935C40" w:rsidRPr="00F72C19" w:rsidRDefault="00935C40" w:rsidP="001E2A06">
            <w:pPr>
              <w:jc w:val="right"/>
            </w:pPr>
            <w:r>
              <w:t>34 672,2</w:t>
            </w:r>
          </w:p>
        </w:tc>
      </w:tr>
      <w:tr w:rsidR="00935C40" w:rsidRPr="00C50483" w:rsidTr="001E2A06">
        <w:tc>
          <w:tcPr>
            <w:tcW w:w="7690" w:type="dxa"/>
            <w:gridSpan w:val="4"/>
          </w:tcPr>
          <w:p w:rsidR="00935C40" w:rsidRPr="00F72C19" w:rsidRDefault="00935C40" w:rsidP="001E2A06">
            <w:pPr>
              <w:rPr>
                <w:b/>
              </w:rPr>
            </w:pPr>
            <w:r>
              <w:rPr>
                <w:b/>
              </w:rPr>
              <w:t xml:space="preserve">          </w:t>
            </w:r>
            <w:r w:rsidRPr="00F72C19">
              <w:rPr>
                <w:b/>
              </w:rPr>
              <w:t>Всего:</w:t>
            </w:r>
          </w:p>
        </w:tc>
        <w:tc>
          <w:tcPr>
            <w:tcW w:w="1880" w:type="dxa"/>
            <w:vAlign w:val="center"/>
          </w:tcPr>
          <w:p w:rsidR="00935C40" w:rsidRPr="00B87933" w:rsidRDefault="00935C40" w:rsidP="001E2A06">
            <w:pPr>
              <w:jc w:val="right"/>
              <w:rPr>
                <w:b/>
              </w:rPr>
            </w:pPr>
            <w:r w:rsidRPr="00B87933">
              <w:rPr>
                <w:b/>
              </w:rPr>
              <w:t>34 672,2</w:t>
            </w:r>
          </w:p>
        </w:tc>
      </w:tr>
    </w:tbl>
    <w:p w:rsidR="00935C40" w:rsidRPr="00C50483" w:rsidRDefault="00935C40" w:rsidP="00935C40">
      <w:pPr>
        <w:ind w:firstLine="567"/>
        <w:jc w:val="both"/>
        <w:rPr>
          <w:sz w:val="20"/>
          <w:szCs w:val="20"/>
        </w:rPr>
      </w:pPr>
    </w:p>
    <w:p w:rsidR="00935C40" w:rsidRPr="00F72C19" w:rsidRDefault="00935C40" w:rsidP="00935C40">
      <w:pPr>
        <w:ind w:firstLine="709"/>
        <w:jc w:val="both"/>
        <w:rPr>
          <w:sz w:val="28"/>
          <w:szCs w:val="28"/>
        </w:rPr>
      </w:pPr>
      <w:r w:rsidRPr="00F72C19">
        <w:rPr>
          <w:sz w:val="28"/>
          <w:szCs w:val="28"/>
        </w:rPr>
        <w:t>В 202</w:t>
      </w:r>
      <w:r>
        <w:rPr>
          <w:sz w:val="28"/>
          <w:szCs w:val="28"/>
        </w:rPr>
        <w:t xml:space="preserve">3 </w:t>
      </w:r>
      <w:r w:rsidRPr="00F72C19">
        <w:rPr>
          <w:sz w:val="28"/>
          <w:szCs w:val="28"/>
        </w:rPr>
        <w:t>году прогнозируется проведение конкурсов (аукционов) за право пользования участками недр местного значения, по следующим месторождениям:</w:t>
      </w:r>
    </w:p>
    <w:p w:rsidR="00935C40" w:rsidRPr="00427EDE" w:rsidRDefault="00935C40" w:rsidP="00935C40">
      <w:pPr>
        <w:ind w:firstLine="709"/>
        <w:jc w:val="both"/>
        <w:rPr>
          <w:sz w:val="28"/>
          <w:szCs w:val="28"/>
        </w:rPr>
      </w:pPr>
      <w:r w:rsidRPr="00427EDE">
        <w:rPr>
          <w:sz w:val="28"/>
          <w:szCs w:val="28"/>
        </w:rPr>
        <w:lastRenderedPageBreak/>
        <w:t>- «</w:t>
      </w:r>
      <w:r>
        <w:rPr>
          <w:sz w:val="28"/>
          <w:szCs w:val="28"/>
        </w:rPr>
        <w:t>Бочурино</w:t>
      </w:r>
      <w:r w:rsidRPr="00427EDE">
        <w:rPr>
          <w:sz w:val="28"/>
          <w:szCs w:val="28"/>
        </w:rPr>
        <w:t xml:space="preserve">» (песок) – </w:t>
      </w:r>
      <w:r>
        <w:rPr>
          <w:sz w:val="28"/>
          <w:szCs w:val="28"/>
        </w:rPr>
        <w:t>1 963,3</w:t>
      </w:r>
      <w:r w:rsidRPr="00427EDE">
        <w:rPr>
          <w:sz w:val="28"/>
          <w:szCs w:val="28"/>
        </w:rPr>
        <w:t xml:space="preserve"> тыс. рублей;</w:t>
      </w:r>
    </w:p>
    <w:p w:rsidR="00935C40" w:rsidRPr="00427EDE" w:rsidRDefault="00935C40" w:rsidP="00935C40">
      <w:pPr>
        <w:ind w:firstLine="709"/>
        <w:jc w:val="both"/>
        <w:rPr>
          <w:sz w:val="28"/>
          <w:szCs w:val="28"/>
        </w:rPr>
      </w:pPr>
      <w:r w:rsidRPr="00427EDE">
        <w:rPr>
          <w:sz w:val="28"/>
          <w:szCs w:val="28"/>
        </w:rPr>
        <w:t>- «</w:t>
      </w:r>
      <w:r>
        <w:rPr>
          <w:sz w:val="28"/>
          <w:szCs w:val="28"/>
        </w:rPr>
        <w:t>Большевишенское» (песчано-гравийный материал - ПГМ</w:t>
      </w:r>
      <w:r w:rsidRPr="00427EDE">
        <w:rPr>
          <w:sz w:val="28"/>
          <w:szCs w:val="28"/>
        </w:rPr>
        <w:t xml:space="preserve">) – </w:t>
      </w:r>
      <w:r>
        <w:rPr>
          <w:sz w:val="28"/>
          <w:szCs w:val="28"/>
        </w:rPr>
        <w:t>7 827,1</w:t>
      </w:r>
      <w:r w:rsidRPr="00427EDE">
        <w:rPr>
          <w:sz w:val="28"/>
          <w:szCs w:val="28"/>
        </w:rPr>
        <w:t xml:space="preserve"> тыс. рублей;</w:t>
      </w:r>
    </w:p>
    <w:p w:rsidR="00935C40" w:rsidRPr="00427EDE" w:rsidRDefault="00935C40" w:rsidP="00935C40">
      <w:pPr>
        <w:ind w:firstLine="709"/>
        <w:jc w:val="both"/>
        <w:rPr>
          <w:sz w:val="28"/>
          <w:szCs w:val="28"/>
        </w:rPr>
      </w:pPr>
      <w:r w:rsidRPr="00427EDE">
        <w:rPr>
          <w:sz w:val="28"/>
          <w:szCs w:val="28"/>
        </w:rPr>
        <w:t>- «</w:t>
      </w:r>
      <w:r>
        <w:rPr>
          <w:sz w:val="28"/>
          <w:szCs w:val="28"/>
        </w:rPr>
        <w:t>Петровско-Кармановское</w:t>
      </w:r>
      <w:r w:rsidRPr="00427EDE">
        <w:rPr>
          <w:sz w:val="28"/>
          <w:szCs w:val="28"/>
        </w:rPr>
        <w:t>» (</w:t>
      </w:r>
      <w:r>
        <w:rPr>
          <w:sz w:val="28"/>
          <w:szCs w:val="28"/>
        </w:rPr>
        <w:t>ПГМ</w:t>
      </w:r>
      <w:r w:rsidRPr="00427EDE">
        <w:rPr>
          <w:sz w:val="28"/>
          <w:szCs w:val="28"/>
        </w:rPr>
        <w:t xml:space="preserve">) – </w:t>
      </w:r>
      <w:r>
        <w:rPr>
          <w:sz w:val="28"/>
          <w:szCs w:val="28"/>
        </w:rPr>
        <w:t>13 312,7</w:t>
      </w:r>
      <w:r w:rsidRPr="00427EDE">
        <w:rPr>
          <w:sz w:val="28"/>
          <w:szCs w:val="28"/>
        </w:rPr>
        <w:t xml:space="preserve"> тыс. рублей;</w:t>
      </w:r>
    </w:p>
    <w:p w:rsidR="00935C40" w:rsidRDefault="00935C40" w:rsidP="00935C40">
      <w:pPr>
        <w:ind w:firstLine="709"/>
        <w:jc w:val="both"/>
        <w:rPr>
          <w:sz w:val="28"/>
          <w:szCs w:val="28"/>
        </w:rPr>
      </w:pPr>
      <w:r w:rsidRPr="00427EDE">
        <w:rPr>
          <w:sz w:val="28"/>
          <w:szCs w:val="28"/>
        </w:rPr>
        <w:t>- «</w:t>
      </w:r>
      <w:r>
        <w:rPr>
          <w:sz w:val="28"/>
          <w:szCs w:val="28"/>
        </w:rPr>
        <w:t>Заднепольское</w:t>
      </w:r>
      <w:r w:rsidRPr="00427EDE">
        <w:rPr>
          <w:sz w:val="28"/>
          <w:szCs w:val="28"/>
        </w:rPr>
        <w:t>» (</w:t>
      </w:r>
      <w:r>
        <w:rPr>
          <w:sz w:val="28"/>
          <w:szCs w:val="28"/>
        </w:rPr>
        <w:t>ПГМ</w:t>
      </w:r>
      <w:r w:rsidRPr="00427EDE">
        <w:rPr>
          <w:sz w:val="28"/>
          <w:szCs w:val="28"/>
        </w:rPr>
        <w:t xml:space="preserve">) – </w:t>
      </w:r>
      <w:r>
        <w:rPr>
          <w:sz w:val="28"/>
          <w:szCs w:val="28"/>
        </w:rPr>
        <w:t>11 569,1</w:t>
      </w:r>
      <w:r w:rsidRPr="00427EDE">
        <w:rPr>
          <w:sz w:val="28"/>
          <w:szCs w:val="28"/>
        </w:rPr>
        <w:t xml:space="preserve"> тыс. рублей;</w:t>
      </w:r>
    </w:p>
    <w:p w:rsidR="00935C40" w:rsidRPr="00C50483" w:rsidRDefault="00935C40" w:rsidP="00935C40">
      <w:pPr>
        <w:jc w:val="both"/>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
        <w:gridCol w:w="3158"/>
        <w:gridCol w:w="1820"/>
        <w:gridCol w:w="1871"/>
        <w:gridCol w:w="1747"/>
      </w:tblGrid>
      <w:tr w:rsidR="00935C40" w:rsidRPr="00E90FA0" w:rsidTr="001E2A06">
        <w:tc>
          <w:tcPr>
            <w:tcW w:w="9570" w:type="dxa"/>
            <w:gridSpan w:val="5"/>
            <w:vAlign w:val="center"/>
          </w:tcPr>
          <w:p w:rsidR="00935C40" w:rsidRPr="00F72C19" w:rsidRDefault="00935C40" w:rsidP="001E2A06">
            <w:pPr>
              <w:jc w:val="center"/>
              <w:rPr>
                <w:b/>
              </w:rPr>
            </w:pPr>
            <w:r>
              <w:rPr>
                <w:b/>
              </w:rPr>
              <w:t>Прогноз 2024 год</w:t>
            </w:r>
          </w:p>
        </w:tc>
      </w:tr>
      <w:tr w:rsidR="00935C40" w:rsidRPr="00E90FA0" w:rsidTr="001E2A06">
        <w:tc>
          <w:tcPr>
            <w:tcW w:w="616" w:type="dxa"/>
            <w:vAlign w:val="center"/>
          </w:tcPr>
          <w:p w:rsidR="00935C40" w:rsidRPr="00F72C19" w:rsidRDefault="00935C40" w:rsidP="001E2A06">
            <w:pPr>
              <w:jc w:val="center"/>
              <w:rPr>
                <w:b/>
              </w:rPr>
            </w:pPr>
            <w:r w:rsidRPr="00F72C19">
              <w:rPr>
                <w:b/>
              </w:rPr>
              <w:t>№ п/п</w:t>
            </w:r>
          </w:p>
        </w:tc>
        <w:tc>
          <w:tcPr>
            <w:tcW w:w="3461" w:type="dxa"/>
            <w:vAlign w:val="center"/>
          </w:tcPr>
          <w:p w:rsidR="00935C40" w:rsidRPr="00F72C19" w:rsidRDefault="00935C40" w:rsidP="001E2A06">
            <w:pPr>
              <w:jc w:val="center"/>
              <w:rPr>
                <w:b/>
              </w:rPr>
            </w:pPr>
            <w:r w:rsidRPr="00F72C19">
              <w:rPr>
                <w:b/>
              </w:rPr>
              <w:t>Показатели</w:t>
            </w:r>
          </w:p>
        </w:tc>
        <w:tc>
          <w:tcPr>
            <w:tcW w:w="1610" w:type="dxa"/>
            <w:vAlign w:val="center"/>
          </w:tcPr>
          <w:p w:rsidR="00935C40" w:rsidRPr="00F72C19" w:rsidRDefault="00935C40" w:rsidP="001E2A06">
            <w:pPr>
              <w:jc w:val="center"/>
              <w:rPr>
                <w:b/>
              </w:rPr>
            </w:pPr>
            <w:r w:rsidRPr="00F72C19">
              <w:rPr>
                <w:b/>
              </w:rPr>
              <w:t xml:space="preserve">Количество, </w:t>
            </w:r>
            <w:r>
              <w:rPr>
                <w:b/>
              </w:rPr>
              <w:t xml:space="preserve"> аукционов,</w:t>
            </w:r>
            <w:r w:rsidRPr="00F72C19">
              <w:rPr>
                <w:b/>
              </w:rPr>
              <w:t>шт.</w:t>
            </w:r>
          </w:p>
        </w:tc>
        <w:tc>
          <w:tcPr>
            <w:tcW w:w="2003" w:type="dxa"/>
            <w:vAlign w:val="center"/>
          </w:tcPr>
          <w:p w:rsidR="00935C40" w:rsidRPr="00F72C19" w:rsidRDefault="00935C40" w:rsidP="001E2A06">
            <w:pPr>
              <w:jc w:val="center"/>
              <w:rPr>
                <w:b/>
              </w:rPr>
            </w:pPr>
            <w:r w:rsidRPr="00F72C19">
              <w:rPr>
                <w:b/>
              </w:rPr>
              <w:t xml:space="preserve">Средняя цена, </w:t>
            </w:r>
          </w:p>
          <w:p w:rsidR="00935C40" w:rsidRPr="00F72C19" w:rsidRDefault="00935C40" w:rsidP="001E2A06">
            <w:pPr>
              <w:jc w:val="center"/>
              <w:rPr>
                <w:b/>
              </w:rPr>
            </w:pPr>
            <w:r w:rsidRPr="00F72C19">
              <w:rPr>
                <w:b/>
              </w:rPr>
              <w:t>тыс. руб.</w:t>
            </w:r>
          </w:p>
        </w:tc>
        <w:tc>
          <w:tcPr>
            <w:tcW w:w="1880" w:type="dxa"/>
            <w:vAlign w:val="center"/>
          </w:tcPr>
          <w:p w:rsidR="00935C40" w:rsidRPr="00F72C19" w:rsidRDefault="00935C40" w:rsidP="001E2A06">
            <w:pPr>
              <w:jc w:val="center"/>
              <w:rPr>
                <w:b/>
              </w:rPr>
            </w:pPr>
            <w:r w:rsidRPr="00F72C19">
              <w:rPr>
                <w:b/>
              </w:rPr>
              <w:t xml:space="preserve">Сумма, </w:t>
            </w:r>
          </w:p>
          <w:p w:rsidR="00935C40" w:rsidRPr="00F72C19" w:rsidRDefault="00935C40" w:rsidP="001E2A06">
            <w:pPr>
              <w:jc w:val="center"/>
              <w:rPr>
                <w:b/>
              </w:rPr>
            </w:pPr>
            <w:r w:rsidRPr="00F72C19">
              <w:rPr>
                <w:b/>
              </w:rPr>
              <w:t>тыс. руб.</w:t>
            </w:r>
          </w:p>
        </w:tc>
      </w:tr>
      <w:tr w:rsidR="00935C40" w:rsidRPr="00E90FA0" w:rsidTr="001E2A06">
        <w:tc>
          <w:tcPr>
            <w:tcW w:w="616" w:type="dxa"/>
          </w:tcPr>
          <w:p w:rsidR="00935C40" w:rsidRPr="00F72C19" w:rsidRDefault="00935C40" w:rsidP="001E2A06">
            <w:pPr>
              <w:jc w:val="center"/>
            </w:pPr>
            <w:r w:rsidRPr="00F72C19">
              <w:t>1.</w:t>
            </w:r>
          </w:p>
        </w:tc>
        <w:tc>
          <w:tcPr>
            <w:tcW w:w="3461" w:type="dxa"/>
          </w:tcPr>
          <w:p w:rsidR="00935C40" w:rsidRPr="00F72C19" w:rsidRDefault="00935C40" w:rsidP="001E2A06">
            <w:r w:rsidRPr="00F72C19">
              <w:t>Разовый платеж  за право  пользования участком недр местного значения</w:t>
            </w:r>
          </w:p>
        </w:tc>
        <w:tc>
          <w:tcPr>
            <w:tcW w:w="1610" w:type="dxa"/>
            <w:vAlign w:val="center"/>
          </w:tcPr>
          <w:p w:rsidR="00935C40" w:rsidRPr="00F72C19" w:rsidRDefault="00935C40" w:rsidP="001E2A06">
            <w:pPr>
              <w:jc w:val="center"/>
            </w:pPr>
            <w:r>
              <w:t>3</w:t>
            </w:r>
          </w:p>
        </w:tc>
        <w:tc>
          <w:tcPr>
            <w:tcW w:w="2003" w:type="dxa"/>
            <w:vAlign w:val="center"/>
          </w:tcPr>
          <w:p w:rsidR="00935C40" w:rsidRPr="00F72C19" w:rsidRDefault="00935C40" w:rsidP="001E2A06">
            <w:pPr>
              <w:jc w:val="right"/>
            </w:pPr>
          </w:p>
          <w:p w:rsidR="00935C40" w:rsidRPr="00F72C19" w:rsidRDefault="00935C40" w:rsidP="001E2A06">
            <w:pPr>
              <w:jc w:val="right"/>
            </w:pPr>
            <w:r w:rsidRPr="00F72C19">
              <w:t>-</w:t>
            </w:r>
          </w:p>
          <w:p w:rsidR="00935C40" w:rsidRPr="00F72C19" w:rsidRDefault="00935C40" w:rsidP="001E2A06">
            <w:pPr>
              <w:jc w:val="right"/>
            </w:pPr>
          </w:p>
        </w:tc>
        <w:tc>
          <w:tcPr>
            <w:tcW w:w="1880" w:type="dxa"/>
            <w:vAlign w:val="center"/>
          </w:tcPr>
          <w:p w:rsidR="00935C40" w:rsidRPr="00F72C19" w:rsidRDefault="00935C40" w:rsidP="001E2A06">
            <w:pPr>
              <w:jc w:val="right"/>
            </w:pPr>
            <w:r>
              <w:t>39 359,0</w:t>
            </w:r>
          </w:p>
        </w:tc>
      </w:tr>
      <w:tr w:rsidR="00935C40" w:rsidRPr="00C50483" w:rsidTr="001E2A06">
        <w:tc>
          <w:tcPr>
            <w:tcW w:w="7690" w:type="dxa"/>
            <w:gridSpan w:val="4"/>
          </w:tcPr>
          <w:p w:rsidR="00935C40" w:rsidRPr="00F72C19" w:rsidRDefault="00935C40" w:rsidP="001E2A06">
            <w:pPr>
              <w:rPr>
                <w:b/>
              </w:rPr>
            </w:pPr>
            <w:r>
              <w:rPr>
                <w:b/>
              </w:rPr>
              <w:t xml:space="preserve">         </w:t>
            </w:r>
            <w:r w:rsidRPr="00F72C19">
              <w:rPr>
                <w:b/>
              </w:rPr>
              <w:t>Всего:</w:t>
            </w:r>
          </w:p>
        </w:tc>
        <w:tc>
          <w:tcPr>
            <w:tcW w:w="1880" w:type="dxa"/>
            <w:vAlign w:val="center"/>
          </w:tcPr>
          <w:p w:rsidR="00935C40" w:rsidRPr="00B87933" w:rsidRDefault="00935C40" w:rsidP="001E2A06">
            <w:pPr>
              <w:jc w:val="right"/>
              <w:rPr>
                <w:b/>
              </w:rPr>
            </w:pPr>
            <w:r w:rsidRPr="00B87933">
              <w:rPr>
                <w:b/>
              </w:rPr>
              <w:t>39 359,0</w:t>
            </w:r>
          </w:p>
        </w:tc>
      </w:tr>
    </w:tbl>
    <w:p w:rsidR="00935C40" w:rsidRPr="00C50483" w:rsidRDefault="00935C40" w:rsidP="00935C40">
      <w:pPr>
        <w:ind w:firstLine="567"/>
        <w:jc w:val="both"/>
        <w:rPr>
          <w:sz w:val="20"/>
          <w:szCs w:val="20"/>
        </w:rPr>
      </w:pPr>
    </w:p>
    <w:p w:rsidR="00935C40" w:rsidRPr="004256C6" w:rsidRDefault="00935C40" w:rsidP="00935C40">
      <w:pPr>
        <w:ind w:firstLine="709"/>
        <w:jc w:val="both"/>
        <w:rPr>
          <w:sz w:val="28"/>
          <w:szCs w:val="28"/>
        </w:rPr>
      </w:pPr>
      <w:r w:rsidRPr="004256C6">
        <w:rPr>
          <w:sz w:val="28"/>
          <w:szCs w:val="28"/>
        </w:rPr>
        <w:t>В 202</w:t>
      </w:r>
      <w:r>
        <w:rPr>
          <w:sz w:val="28"/>
          <w:szCs w:val="28"/>
        </w:rPr>
        <w:t>4</w:t>
      </w:r>
      <w:r w:rsidRPr="004256C6">
        <w:rPr>
          <w:sz w:val="28"/>
          <w:szCs w:val="28"/>
        </w:rPr>
        <w:t xml:space="preserve"> году прогнозируется проведение конкурсов (аукционов) за право пользования участками недр местного значения, по следующим месторождениям:</w:t>
      </w:r>
    </w:p>
    <w:p w:rsidR="00935C40" w:rsidRPr="00427EDE" w:rsidRDefault="00935C40" w:rsidP="00935C40">
      <w:pPr>
        <w:ind w:firstLine="709"/>
        <w:jc w:val="both"/>
        <w:rPr>
          <w:sz w:val="28"/>
          <w:szCs w:val="28"/>
        </w:rPr>
      </w:pPr>
      <w:r w:rsidRPr="00427EDE">
        <w:rPr>
          <w:sz w:val="28"/>
          <w:szCs w:val="28"/>
        </w:rPr>
        <w:t>- «</w:t>
      </w:r>
      <w:r>
        <w:rPr>
          <w:sz w:val="28"/>
          <w:szCs w:val="28"/>
        </w:rPr>
        <w:t>Борьково-Терелесовское</w:t>
      </w:r>
      <w:r w:rsidRPr="00427EDE">
        <w:rPr>
          <w:sz w:val="28"/>
          <w:szCs w:val="28"/>
        </w:rPr>
        <w:t xml:space="preserve">» (песок) – </w:t>
      </w:r>
      <w:r>
        <w:rPr>
          <w:sz w:val="28"/>
          <w:szCs w:val="28"/>
        </w:rPr>
        <w:t>5333,2</w:t>
      </w:r>
      <w:r w:rsidRPr="00427EDE">
        <w:rPr>
          <w:sz w:val="28"/>
          <w:szCs w:val="28"/>
        </w:rPr>
        <w:t xml:space="preserve"> тыс. рублей;</w:t>
      </w:r>
    </w:p>
    <w:p w:rsidR="00935C40" w:rsidRPr="00427EDE" w:rsidRDefault="00935C40" w:rsidP="00935C40">
      <w:pPr>
        <w:ind w:firstLine="709"/>
        <w:jc w:val="both"/>
        <w:rPr>
          <w:sz w:val="28"/>
          <w:szCs w:val="28"/>
        </w:rPr>
      </w:pPr>
      <w:r w:rsidRPr="00427EDE">
        <w:rPr>
          <w:sz w:val="28"/>
          <w:szCs w:val="28"/>
        </w:rPr>
        <w:t>- «</w:t>
      </w:r>
      <w:r>
        <w:rPr>
          <w:sz w:val="28"/>
          <w:szCs w:val="28"/>
        </w:rPr>
        <w:t>Карьер-1» (ПГМ</w:t>
      </w:r>
      <w:r w:rsidRPr="00427EDE">
        <w:rPr>
          <w:sz w:val="28"/>
          <w:szCs w:val="28"/>
        </w:rPr>
        <w:t xml:space="preserve">) – </w:t>
      </w:r>
      <w:r>
        <w:rPr>
          <w:sz w:val="28"/>
          <w:szCs w:val="28"/>
        </w:rPr>
        <w:t>19668,4</w:t>
      </w:r>
      <w:r w:rsidRPr="00427EDE">
        <w:rPr>
          <w:sz w:val="28"/>
          <w:szCs w:val="28"/>
        </w:rPr>
        <w:t xml:space="preserve"> тыс. рублей;</w:t>
      </w:r>
    </w:p>
    <w:p w:rsidR="00935C40" w:rsidRDefault="00935C40" w:rsidP="00935C40">
      <w:pPr>
        <w:ind w:firstLine="709"/>
        <w:jc w:val="both"/>
        <w:rPr>
          <w:sz w:val="28"/>
          <w:szCs w:val="28"/>
        </w:rPr>
      </w:pPr>
      <w:r w:rsidRPr="00427EDE">
        <w:rPr>
          <w:sz w:val="28"/>
          <w:szCs w:val="28"/>
        </w:rPr>
        <w:t>- «</w:t>
      </w:r>
      <w:r>
        <w:rPr>
          <w:sz w:val="28"/>
          <w:szCs w:val="28"/>
        </w:rPr>
        <w:t>Хотиловское</w:t>
      </w:r>
      <w:r w:rsidRPr="00427EDE">
        <w:rPr>
          <w:sz w:val="28"/>
          <w:szCs w:val="28"/>
        </w:rPr>
        <w:t>» (</w:t>
      </w:r>
      <w:r>
        <w:rPr>
          <w:sz w:val="28"/>
          <w:szCs w:val="28"/>
        </w:rPr>
        <w:t>ПГМ</w:t>
      </w:r>
      <w:r w:rsidRPr="00427EDE">
        <w:rPr>
          <w:sz w:val="28"/>
          <w:szCs w:val="28"/>
        </w:rPr>
        <w:t xml:space="preserve">) – </w:t>
      </w:r>
      <w:r>
        <w:rPr>
          <w:sz w:val="28"/>
          <w:szCs w:val="28"/>
        </w:rPr>
        <w:t>14357,4</w:t>
      </w:r>
      <w:r w:rsidRPr="00427EDE">
        <w:rPr>
          <w:sz w:val="28"/>
          <w:szCs w:val="28"/>
        </w:rPr>
        <w:t xml:space="preserve"> тыс. рублей;</w:t>
      </w:r>
    </w:p>
    <w:p w:rsidR="00935C40" w:rsidRPr="00427EDE" w:rsidRDefault="00935C40" w:rsidP="00935C40">
      <w:pPr>
        <w:ind w:firstLine="709"/>
        <w:jc w:val="both"/>
        <w:rPr>
          <w:sz w:val="28"/>
          <w:szCs w:val="28"/>
        </w:rPr>
      </w:pPr>
    </w:p>
    <w:p w:rsidR="00935C40" w:rsidRPr="000A1131" w:rsidRDefault="00935C40" w:rsidP="00935C40">
      <w:pPr>
        <w:pStyle w:val="a7"/>
        <w:spacing w:after="0"/>
        <w:ind w:left="0" w:firstLine="709"/>
        <w:jc w:val="center"/>
        <w:rPr>
          <w:sz w:val="28"/>
          <w:szCs w:val="28"/>
        </w:rPr>
      </w:pPr>
      <w:r w:rsidRPr="000A1131">
        <w:rPr>
          <w:sz w:val="28"/>
          <w:szCs w:val="28"/>
        </w:rPr>
        <w:t>Регулярные платежи за пользование недрами при пользовании недрами на территории Российской Федерации</w:t>
      </w:r>
    </w:p>
    <w:p w:rsidR="00935C40" w:rsidRPr="000A1131" w:rsidRDefault="00935C40" w:rsidP="00935C40">
      <w:pPr>
        <w:pStyle w:val="a7"/>
        <w:spacing w:after="0"/>
        <w:ind w:left="0" w:firstLine="709"/>
        <w:jc w:val="center"/>
        <w:rPr>
          <w:sz w:val="28"/>
          <w:szCs w:val="28"/>
        </w:rPr>
      </w:pPr>
      <w:r w:rsidRPr="000A1131">
        <w:rPr>
          <w:sz w:val="28"/>
          <w:szCs w:val="28"/>
        </w:rPr>
        <w:t>(КБК 182 1 12 02030 01 0000 120)</w:t>
      </w:r>
    </w:p>
    <w:p w:rsidR="00935C40" w:rsidRDefault="00935C40" w:rsidP="00935C40">
      <w:pPr>
        <w:autoSpaceDE w:val="0"/>
        <w:autoSpaceDN w:val="0"/>
        <w:adjustRightInd w:val="0"/>
        <w:ind w:firstLine="540"/>
        <w:jc w:val="both"/>
        <w:rPr>
          <w:sz w:val="28"/>
          <w:szCs w:val="28"/>
        </w:rPr>
      </w:pPr>
      <w:r w:rsidRPr="00AC5C94">
        <w:rPr>
          <w:sz w:val="28"/>
          <w:szCs w:val="28"/>
        </w:rPr>
        <w:t>Регулярные платежи за пользование недрами взимаются за предоставление пользователям недр исключительных прав на поиск и оценку месторождений полезных ископаемых, разведку полезных ископаемых, геологическое изучение и оценку пригодности участков недр для строительства и эксплуатации сооружений, не связанных с добычей полезных ископаемых, строительство и эксплуатацию подземных сооружений, не связанных с добычей полезных ископаемых, за исключением инженерных сооружений неглубокого залегания (до 5 метров), используемых по целевому назначению.</w:t>
      </w:r>
    </w:p>
    <w:p w:rsidR="00935C40" w:rsidRPr="00663813" w:rsidRDefault="00935C40" w:rsidP="00935C40">
      <w:pPr>
        <w:autoSpaceDE w:val="0"/>
        <w:autoSpaceDN w:val="0"/>
        <w:adjustRightInd w:val="0"/>
        <w:ind w:firstLine="540"/>
        <w:jc w:val="both"/>
        <w:rPr>
          <w:sz w:val="28"/>
          <w:szCs w:val="28"/>
        </w:rPr>
      </w:pPr>
      <w:r w:rsidRPr="00663813">
        <w:rPr>
          <w:sz w:val="28"/>
          <w:szCs w:val="28"/>
        </w:rPr>
        <w:t xml:space="preserve">Для расчёта прогноза поступлений доходов от уплаты регулярных платежей за пользование недрами используются: </w:t>
      </w:r>
    </w:p>
    <w:p w:rsidR="00935C40" w:rsidRPr="00663813" w:rsidRDefault="00935C40" w:rsidP="00935C40">
      <w:pPr>
        <w:autoSpaceDE w:val="0"/>
        <w:autoSpaceDN w:val="0"/>
        <w:adjustRightInd w:val="0"/>
        <w:ind w:firstLine="540"/>
        <w:jc w:val="both"/>
        <w:rPr>
          <w:sz w:val="28"/>
          <w:szCs w:val="28"/>
        </w:rPr>
      </w:pPr>
      <w:r w:rsidRPr="00663813">
        <w:rPr>
          <w:sz w:val="28"/>
          <w:szCs w:val="28"/>
        </w:rPr>
        <w:t>- динамика фактических поступлений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935C40" w:rsidRPr="00663813" w:rsidRDefault="00935C40" w:rsidP="00935C40">
      <w:pPr>
        <w:autoSpaceDE w:val="0"/>
        <w:autoSpaceDN w:val="0"/>
        <w:adjustRightInd w:val="0"/>
        <w:ind w:firstLine="540"/>
        <w:jc w:val="both"/>
        <w:rPr>
          <w:sz w:val="28"/>
          <w:szCs w:val="28"/>
        </w:rPr>
      </w:pPr>
      <w:r w:rsidRPr="00663813">
        <w:rPr>
          <w:sz w:val="28"/>
          <w:szCs w:val="28"/>
        </w:rPr>
        <w:t xml:space="preserve">- изменение размера ставок регулярных платежей за пользование недрами в соответствии с законом РФ от 21.02.1992 № 2395-1 «О недрах» и другие источники. </w:t>
      </w:r>
    </w:p>
    <w:p w:rsidR="00935C40" w:rsidRPr="00663813" w:rsidRDefault="00935C40" w:rsidP="00935C40">
      <w:pPr>
        <w:autoSpaceDE w:val="0"/>
        <w:autoSpaceDN w:val="0"/>
        <w:adjustRightInd w:val="0"/>
        <w:ind w:firstLine="540"/>
        <w:jc w:val="both"/>
        <w:rPr>
          <w:sz w:val="28"/>
          <w:szCs w:val="28"/>
        </w:rPr>
      </w:pPr>
      <w:r w:rsidRPr="00663813">
        <w:rPr>
          <w:sz w:val="28"/>
          <w:szCs w:val="28"/>
        </w:rPr>
        <w:t>Расчёт оценки поступлений на 202</w:t>
      </w:r>
      <w:r>
        <w:rPr>
          <w:sz w:val="28"/>
          <w:szCs w:val="28"/>
        </w:rPr>
        <w:t>1</w:t>
      </w:r>
      <w:r w:rsidRPr="00663813">
        <w:rPr>
          <w:sz w:val="28"/>
          <w:szCs w:val="28"/>
        </w:rPr>
        <w:t xml:space="preserve"> год произведён, исходя из средней доли поступления платежей за 5 месяцев 201</w:t>
      </w:r>
      <w:r>
        <w:rPr>
          <w:sz w:val="28"/>
          <w:szCs w:val="28"/>
        </w:rPr>
        <w:t>9</w:t>
      </w:r>
      <w:r w:rsidRPr="00663813">
        <w:rPr>
          <w:sz w:val="28"/>
          <w:szCs w:val="28"/>
        </w:rPr>
        <w:t xml:space="preserve"> и 20</w:t>
      </w:r>
      <w:r>
        <w:rPr>
          <w:sz w:val="28"/>
          <w:szCs w:val="28"/>
        </w:rPr>
        <w:t>20</w:t>
      </w:r>
      <w:r w:rsidRPr="00663813">
        <w:rPr>
          <w:sz w:val="28"/>
          <w:szCs w:val="28"/>
        </w:rPr>
        <w:t xml:space="preserve"> годов применительно к фак</w:t>
      </w:r>
      <w:r>
        <w:rPr>
          <w:sz w:val="28"/>
          <w:szCs w:val="28"/>
        </w:rPr>
        <w:t>т</w:t>
      </w:r>
      <w:r w:rsidRPr="00663813">
        <w:rPr>
          <w:sz w:val="28"/>
          <w:szCs w:val="28"/>
        </w:rPr>
        <w:t>ическим поступлениям за 5 месяцев текущего года.</w:t>
      </w:r>
    </w:p>
    <w:p w:rsidR="00935C40" w:rsidRPr="00663813" w:rsidRDefault="00935C40" w:rsidP="00935C40">
      <w:pPr>
        <w:autoSpaceDE w:val="0"/>
        <w:autoSpaceDN w:val="0"/>
        <w:adjustRightInd w:val="0"/>
        <w:ind w:firstLine="540"/>
        <w:jc w:val="both"/>
        <w:rPr>
          <w:sz w:val="28"/>
          <w:szCs w:val="28"/>
        </w:rPr>
      </w:pPr>
    </w:p>
    <w:p w:rsidR="00935C40" w:rsidRPr="00AC5C94" w:rsidRDefault="00935C40" w:rsidP="00935C40">
      <w:pPr>
        <w:pStyle w:val="a7"/>
        <w:ind w:left="0" w:firstLine="709"/>
        <w:jc w:val="both"/>
        <w:rPr>
          <w:b/>
          <w:sz w:val="28"/>
          <w:szCs w:val="28"/>
        </w:rPr>
      </w:pPr>
      <w:r w:rsidRPr="00AC5C94">
        <w:rPr>
          <w:b/>
          <w:sz w:val="28"/>
          <w:szCs w:val="28"/>
        </w:rPr>
        <w:t>РП= РП_20</w:t>
      </w:r>
      <w:r>
        <w:rPr>
          <w:b/>
          <w:sz w:val="28"/>
          <w:szCs w:val="28"/>
        </w:rPr>
        <w:t>21</w:t>
      </w:r>
      <w:r w:rsidRPr="00AC5C94">
        <w:rPr>
          <w:b/>
          <w:sz w:val="28"/>
          <w:szCs w:val="28"/>
        </w:rPr>
        <w:t>_5 мес/Д,</w:t>
      </w:r>
    </w:p>
    <w:p w:rsidR="00935C40" w:rsidRPr="00AC5C94" w:rsidRDefault="00935C40" w:rsidP="00935C40">
      <w:pPr>
        <w:pStyle w:val="a7"/>
        <w:ind w:left="0" w:firstLine="709"/>
        <w:jc w:val="both"/>
        <w:rPr>
          <w:bCs/>
          <w:sz w:val="28"/>
          <w:szCs w:val="28"/>
        </w:rPr>
      </w:pPr>
      <w:r w:rsidRPr="00AC5C94">
        <w:rPr>
          <w:bCs/>
          <w:sz w:val="28"/>
          <w:szCs w:val="28"/>
        </w:rPr>
        <w:lastRenderedPageBreak/>
        <w:t>где:</w:t>
      </w:r>
    </w:p>
    <w:p w:rsidR="00935C40" w:rsidRPr="00AC5C94" w:rsidRDefault="00935C40" w:rsidP="00935C40">
      <w:pPr>
        <w:pStyle w:val="a7"/>
        <w:ind w:left="0" w:firstLine="709"/>
        <w:jc w:val="both"/>
        <w:rPr>
          <w:sz w:val="28"/>
          <w:szCs w:val="28"/>
        </w:rPr>
      </w:pPr>
      <w:r w:rsidRPr="00AC5C94">
        <w:rPr>
          <w:b/>
          <w:sz w:val="28"/>
          <w:szCs w:val="28"/>
        </w:rPr>
        <w:t>РП_20</w:t>
      </w:r>
      <w:r>
        <w:rPr>
          <w:b/>
          <w:sz w:val="28"/>
          <w:szCs w:val="28"/>
        </w:rPr>
        <w:t>21</w:t>
      </w:r>
      <w:r w:rsidRPr="00AC5C94">
        <w:rPr>
          <w:b/>
          <w:sz w:val="28"/>
          <w:szCs w:val="28"/>
        </w:rPr>
        <w:t>_</w:t>
      </w:r>
      <w:r w:rsidRPr="00AC5C94">
        <w:rPr>
          <w:b/>
          <w:sz w:val="28"/>
          <w:szCs w:val="28"/>
          <w:vertAlign w:val="subscript"/>
        </w:rPr>
        <w:t>5 мес</w:t>
      </w:r>
      <w:r w:rsidRPr="00AC5C94">
        <w:rPr>
          <w:sz w:val="28"/>
          <w:szCs w:val="28"/>
        </w:rPr>
        <w:t xml:space="preserve"> – объем поступления платежей за 5 месяцев 20</w:t>
      </w:r>
      <w:r>
        <w:rPr>
          <w:sz w:val="28"/>
          <w:szCs w:val="28"/>
        </w:rPr>
        <w:t>21</w:t>
      </w:r>
      <w:r w:rsidRPr="00AC5C94">
        <w:rPr>
          <w:sz w:val="28"/>
          <w:szCs w:val="28"/>
        </w:rPr>
        <w:t xml:space="preserve"> года по данным ф.№1-НМ (</w:t>
      </w:r>
      <w:r>
        <w:rPr>
          <w:sz w:val="28"/>
          <w:szCs w:val="28"/>
        </w:rPr>
        <w:t>24</w:t>
      </w:r>
      <w:r w:rsidRPr="00AC5C94">
        <w:rPr>
          <w:sz w:val="28"/>
          <w:szCs w:val="28"/>
        </w:rPr>
        <w:t> тыс. рублей);</w:t>
      </w:r>
    </w:p>
    <w:p w:rsidR="00935C40" w:rsidRPr="00AC5C94" w:rsidRDefault="00935C40" w:rsidP="00935C40">
      <w:pPr>
        <w:pStyle w:val="a7"/>
        <w:ind w:left="0" w:firstLine="709"/>
        <w:jc w:val="both"/>
        <w:rPr>
          <w:sz w:val="28"/>
          <w:szCs w:val="28"/>
        </w:rPr>
      </w:pPr>
      <w:r w:rsidRPr="00AC5C94">
        <w:rPr>
          <w:b/>
          <w:sz w:val="28"/>
          <w:szCs w:val="28"/>
        </w:rPr>
        <w:t xml:space="preserve">Д - </w:t>
      </w:r>
      <w:r w:rsidRPr="00AC5C94">
        <w:rPr>
          <w:bCs/>
          <w:sz w:val="28"/>
          <w:szCs w:val="28"/>
        </w:rPr>
        <w:t>средний удельный вес факта на 01.06.201</w:t>
      </w:r>
      <w:r>
        <w:rPr>
          <w:bCs/>
          <w:sz w:val="28"/>
          <w:szCs w:val="28"/>
        </w:rPr>
        <w:t>9</w:t>
      </w:r>
      <w:r w:rsidRPr="00AC5C94">
        <w:rPr>
          <w:bCs/>
          <w:sz w:val="28"/>
          <w:szCs w:val="28"/>
        </w:rPr>
        <w:t xml:space="preserve"> в факте за 201</w:t>
      </w:r>
      <w:r>
        <w:rPr>
          <w:bCs/>
          <w:sz w:val="28"/>
          <w:szCs w:val="28"/>
        </w:rPr>
        <w:t>9</w:t>
      </w:r>
      <w:r w:rsidRPr="00AC5C94">
        <w:rPr>
          <w:bCs/>
          <w:sz w:val="28"/>
          <w:szCs w:val="28"/>
        </w:rPr>
        <w:t xml:space="preserve"> год и факта на 01.06.20</w:t>
      </w:r>
      <w:r>
        <w:rPr>
          <w:bCs/>
          <w:sz w:val="28"/>
          <w:szCs w:val="28"/>
        </w:rPr>
        <w:t>20</w:t>
      </w:r>
      <w:r w:rsidRPr="00AC5C94">
        <w:rPr>
          <w:bCs/>
          <w:sz w:val="28"/>
          <w:szCs w:val="28"/>
        </w:rPr>
        <w:t xml:space="preserve"> в факте за 20</w:t>
      </w:r>
      <w:r>
        <w:rPr>
          <w:bCs/>
          <w:sz w:val="28"/>
          <w:szCs w:val="28"/>
        </w:rPr>
        <w:t>20</w:t>
      </w:r>
      <w:r w:rsidRPr="00AC5C94">
        <w:rPr>
          <w:bCs/>
          <w:sz w:val="28"/>
          <w:szCs w:val="28"/>
        </w:rPr>
        <w:t xml:space="preserve"> год</w:t>
      </w:r>
    </w:p>
    <w:p w:rsidR="00935C40" w:rsidRPr="00AC5C94" w:rsidRDefault="00935C40" w:rsidP="00935C40">
      <w:pPr>
        <w:pStyle w:val="a7"/>
        <w:ind w:left="0" w:firstLine="709"/>
        <w:jc w:val="center"/>
        <w:rPr>
          <w:sz w:val="28"/>
          <w:szCs w:val="28"/>
        </w:rPr>
      </w:pPr>
      <w:r w:rsidRPr="00AC5C94">
        <w:rPr>
          <w:b/>
          <w:sz w:val="28"/>
          <w:szCs w:val="28"/>
        </w:rPr>
        <w:t xml:space="preserve">РП = </w:t>
      </w:r>
      <w:r>
        <w:rPr>
          <w:b/>
          <w:sz w:val="28"/>
          <w:szCs w:val="28"/>
        </w:rPr>
        <w:t>24</w:t>
      </w:r>
      <w:r w:rsidRPr="00AC5C94">
        <w:rPr>
          <w:b/>
          <w:sz w:val="28"/>
          <w:szCs w:val="28"/>
        </w:rPr>
        <w:t>/(</w:t>
      </w:r>
      <w:r>
        <w:rPr>
          <w:b/>
          <w:sz w:val="28"/>
          <w:szCs w:val="28"/>
        </w:rPr>
        <w:t>50+49</w:t>
      </w:r>
      <w:r w:rsidRPr="00AC5C94">
        <w:rPr>
          <w:b/>
          <w:sz w:val="28"/>
          <w:szCs w:val="28"/>
        </w:rPr>
        <w:t xml:space="preserve">)/2= </w:t>
      </w:r>
      <w:r>
        <w:rPr>
          <w:b/>
          <w:sz w:val="28"/>
          <w:szCs w:val="28"/>
        </w:rPr>
        <w:t>24</w:t>
      </w:r>
      <w:r w:rsidRPr="00AC5C94">
        <w:rPr>
          <w:b/>
          <w:sz w:val="28"/>
          <w:szCs w:val="28"/>
        </w:rPr>
        <w:t>/</w:t>
      </w:r>
      <w:r>
        <w:rPr>
          <w:b/>
          <w:sz w:val="28"/>
          <w:szCs w:val="28"/>
        </w:rPr>
        <w:t>49</w:t>
      </w:r>
      <w:r w:rsidRPr="00AC5C94">
        <w:rPr>
          <w:b/>
          <w:sz w:val="28"/>
          <w:szCs w:val="28"/>
        </w:rPr>
        <w:t xml:space="preserve">% = </w:t>
      </w:r>
      <w:r>
        <w:rPr>
          <w:b/>
          <w:sz w:val="28"/>
          <w:szCs w:val="28"/>
        </w:rPr>
        <w:t>49</w:t>
      </w:r>
      <w:r w:rsidRPr="00AC5C94">
        <w:rPr>
          <w:b/>
          <w:sz w:val="28"/>
          <w:szCs w:val="28"/>
        </w:rPr>
        <w:t xml:space="preserve"> тыс. руб.</w:t>
      </w:r>
      <w:r>
        <w:rPr>
          <w:b/>
          <w:sz w:val="28"/>
          <w:szCs w:val="28"/>
        </w:rPr>
        <w:t xml:space="preserve"> </w:t>
      </w:r>
      <w:r w:rsidRPr="00FF1A16">
        <w:rPr>
          <w:b/>
          <w:i/>
          <w:sz w:val="28"/>
          <w:szCs w:val="28"/>
        </w:rPr>
        <w:t>(с учетом округления)</w:t>
      </w:r>
    </w:p>
    <w:p w:rsidR="00935C40" w:rsidRPr="00CF25C9" w:rsidRDefault="00935C40" w:rsidP="00935C40">
      <w:pPr>
        <w:ind w:firstLine="709"/>
        <w:jc w:val="both"/>
        <w:rPr>
          <w:b/>
          <w:sz w:val="28"/>
          <w:szCs w:val="28"/>
        </w:rPr>
      </w:pPr>
      <w:r w:rsidRPr="00AC5C94">
        <w:rPr>
          <w:sz w:val="28"/>
          <w:szCs w:val="28"/>
        </w:rPr>
        <w:t>Прогноз поступления регулярных платежей на 20</w:t>
      </w:r>
      <w:r>
        <w:rPr>
          <w:sz w:val="28"/>
          <w:szCs w:val="28"/>
        </w:rPr>
        <w:t>22</w:t>
      </w:r>
      <w:r w:rsidRPr="00AC5C94">
        <w:rPr>
          <w:sz w:val="28"/>
          <w:szCs w:val="28"/>
        </w:rPr>
        <w:t>-202</w:t>
      </w:r>
      <w:r>
        <w:rPr>
          <w:sz w:val="28"/>
          <w:szCs w:val="28"/>
        </w:rPr>
        <w:t xml:space="preserve">4 </w:t>
      </w:r>
      <w:r w:rsidRPr="00AC5C94">
        <w:rPr>
          <w:sz w:val="28"/>
          <w:szCs w:val="28"/>
        </w:rPr>
        <w:t>годы принят на уровне оценки поступления на 20</w:t>
      </w:r>
      <w:r>
        <w:rPr>
          <w:sz w:val="28"/>
          <w:szCs w:val="28"/>
        </w:rPr>
        <w:t>21</w:t>
      </w:r>
      <w:r w:rsidRPr="00AC5C94">
        <w:rPr>
          <w:sz w:val="28"/>
          <w:szCs w:val="28"/>
        </w:rPr>
        <w:t xml:space="preserve"> в связи с неравномерной динамикой поступлений по годам</w:t>
      </w:r>
      <w:r>
        <w:rPr>
          <w:sz w:val="28"/>
          <w:szCs w:val="28"/>
        </w:rPr>
        <w:t xml:space="preserve"> и составляет </w:t>
      </w:r>
      <w:r>
        <w:rPr>
          <w:b/>
          <w:sz w:val="28"/>
          <w:szCs w:val="28"/>
        </w:rPr>
        <w:t>49</w:t>
      </w:r>
      <w:r w:rsidRPr="00CF25C9">
        <w:rPr>
          <w:b/>
          <w:sz w:val="28"/>
          <w:szCs w:val="28"/>
        </w:rPr>
        <w:t xml:space="preserve"> тыс. руб. </w:t>
      </w:r>
    </w:p>
    <w:p w:rsidR="00935C40" w:rsidRPr="00AC5C94" w:rsidRDefault="00935C40" w:rsidP="00935C40">
      <w:pPr>
        <w:ind w:firstLine="709"/>
        <w:jc w:val="both"/>
        <w:rPr>
          <w:sz w:val="28"/>
          <w:szCs w:val="28"/>
        </w:rPr>
      </w:pPr>
    </w:p>
    <w:p w:rsidR="00935C40" w:rsidRPr="00D42886" w:rsidRDefault="00935C40" w:rsidP="00935C40">
      <w:pPr>
        <w:ind w:firstLine="709"/>
        <w:jc w:val="center"/>
        <w:rPr>
          <w:sz w:val="28"/>
        </w:rPr>
      </w:pPr>
      <w:r w:rsidRPr="00D42886">
        <w:rPr>
          <w:sz w:val="28"/>
        </w:rPr>
        <w:t>Расчет прогноза поступления платы за 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местного значения</w:t>
      </w:r>
    </w:p>
    <w:p w:rsidR="00935C40" w:rsidRPr="00D42886" w:rsidRDefault="00935C40" w:rsidP="00935C40">
      <w:pPr>
        <w:ind w:firstLine="709"/>
        <w:jc w:val="center"/>
        <w:rPr>
          <w:sz w:val="28"/>
          <w:szCs w:val="28"/>
        </w:rPr>
      </w:pPr>
      <w:r w:rsidRPr="00D42886">
        <w:rPr>
          <w:sz w:val="28"/>
          <w:szCs w:val="28"/>
        </w:rPr>
        <w:t>(КБК 327 1 12 02052 01 0000 120)</w:t>
      </w:r>
    </w:p>
    <w:p w:rsidR="00935C40" w:rsidRPr="00D42886" w:rsidRDefault="00935C40" w:rsidP="00935C40">
      <w:pPr>
        <w:ind w:firstLine="709"/>
        <w:jc w:val="both"/>
        <w:rPr>
          <w:sz w:val="28"/>
          <w:szCs w:val="28"/>
        </w:rPr>
      </w:pPr>
      <w:r w:rsidRPr="00D42886">
        <w:rPr>
          <w:sz w:val="28"/>
          <w:szCs w:val="28"/>
        </w:rPr>
        <w:t xml:space="preserve">Расчет произведен Министерством природных ресурсов и экологии Тверской области (главным администратором доходов бюджета) в соответствии с </w:t>
      </w:r>
      <w:r w:rsidRPr="009F2ACB">
        <w:rPr>
          <w:sz w:val="28"/>
          <w:szCs w:val="28"/>
        </w:rPr>
        <w:t xml:space="preserve">методикой прогнозирования поступлений доходов областного бюджета и местных бюджетов Тверской области, утвержденной приказом Министерства природных ресурсов и экологии Тверской области от </w:t>
      </w:r>
      <w:r>
        <w:rPr>
          <w:sz w:val="28"/>
          <w:szCs w:val="28"/>
        </w:rPr>
        <w:t>17</w:t>
      </w:r>
      <w:r w:rsidRPr="009F2ACB">
        <w:rPr>
          <w:sz w:val="28"/>
          <w:szCs w:val="28"/>
        </w:rPr>
        <w:t>.0</w:t>
      </w:r>
      <w:r>
        <w:rPr>
          <w:sz w:val="28"/>
          <w:szCs w:val="28"/>
        </w:rPr>
        <w:t>6</w:t>
      </w:r>
      <w:r w:rsidRPr="009F2ACB">
        <w:rPr>
          <w:sz w:val="28"/>
          <w:szCs w:val="28"/>
        </w:rPr>
        <w:t>.20</w:t>
      </w:r>
      <w:r>
        <w:rPr>
          <w:sz w:val="28"/>
          <w:szCs w:val="28"/>
        </w:rPr>
        <w:t xml:space="preserve">21 № </w:t>
      </w:r>
      <w:r w:rsidRPr="009F2ACB">
        <w:rPr>
          <w:sz w:val="28"/>
          <w:szCs w:val="28"/>
        </w:rPr>
        <w:t>8</w:t>
      </w:r>
      <w:r>
        <w:rPr>
          <w:sz w:val="28"/>
          <w:szCs w:val="28"/>
        </w:rPr>
        <w:t>5</w:t>
      </w:r>
      <w:r w:rsidRPr="009F2ACB">
        <w:rPr>
          <w:sz w:val="28"/>
          <w:szCs w:val="28"/>
        </w:rPr>
        <w:t>-кв</w:t>
      </w:r>
      <w:r w:rsidRPr="00D42886">
        <w:rPr>
          <w:sz w:val="28"/>
          <w:szCs w:val="28"/>
        </w:rPr>
        <w:t>.</w:t>
      </w:r>
    </w:p>
    <w:p w:rsidR="00935C40" w:rsidRPr="00D42886" w:rsidRDefault="00935C40" w:rsidP="00935C40">
      <w:pPr>
        <w:ind w:firstLine="708"/>
        <w:jc w:val="both"/>
        <w:rPr>
          <w:sz w:val="28"/>
          <w:szCs w:val="28"/>
        </w:rPr>
      </w:pPr>
      <w:r w:rsidRPr="00D42886">
        <w:rPr>
          <w:sz w:val="28"/>
          <w:szCs w:val="28"/>
        </w:rPr>
        <w:t>Расчет прогнозного объема поступления платы за проведение государственной экспертизы запасов полезных ископаемых произведен исходя из прогнозируемого количества государственных экспертиз запасов полезных ископаемых по категориям и размера платы за проведение государственной экспертизы по соответствующей категории и осуществляется по формуле:</w:t>
      </w:r>
    </w:p>
    <w:p w:rsidR="00935C40" w:rsidRPr="00D42886" w:rsidRDefault="00935C40" w:rsidP="00935C40">
      <w:pPr>
        <w:jc w:val="center"/>
        <w:rPr>
          <w:sz w:val="28"/>
          <w:szCs w:val="28"/>
        </w:rPr>
      </w:pPr>
      <w:r w:rsidRPr="00D42886">
        <w:rPr>
          <w:sz w:val="28"/>
          <w:szCs w:val="28"/>
        </w:rPr>
        <w:t xml:space="preserve">П </w:t>
      </w:r>
      <w:r w:rsidRPr="00D42886">
        <w:rPr>
          <w:sz w:val="28"/>
          <w:szCs w:val="28"/>
          <w:vertAlign w:val="subscript"/>
        </w:rPr>
        <w:t xml:space="preserve">дохгео </w:t>
      </w:r>
      <w:r w:rsidRPr="00D42886">
        <w:rPr>
          <w:sz w:val="28"/>
          <w:szCs w:val="28"/>
          <w:vertAlign w:val="subscript"/>
          <w:lang w:val="en-US"/>
        </w:rPr>
        <w:t>n</w:t>
      </w:r>
      <w:r w:rsidRPr="00D42886">
        <w:rPr>
          <w:sz w:val="28"/>
          <w:szCs w:val="28"/>
        </w:rPr>
        <w:t xml:space="preserve"> = (К </w:t>
      </w:r>
      <w:r w:rsidRPr="00D42886">
        <w:rPr>
          <w:sz w:val="28"/>
          <w:szCs w:val="28"/>
          <w:vertAlign w:val="subscript"/>
        </w:rPr>
        <w:t>эксгеоподвод n</w:t>
      </w:r>
      <w:r w:rsidRPr="00D42886">
        <w:rPr>
          <w:sz w:val="28"/>
          <w:szCs w:val="28"/>
        </w:rPr>
        <w:t xml:space="preserve"> х Р </w:t>
      </w:r>
      <w:r w:rsidRPr="00D42886">
        <w:rPr>
          <w:sz w:val="28"/>
          <w:szCs w:val="28"/>
          <w:vertAlign w:val="subscript"/>
        </w:rPr>
        <w:t>эксгеоподвод n</w:t>
      </w:r>
      <w:r w:rsidRPr="00D42886">
        <w:rPr>
          <w:sz w:val="28"/>
          <w:szCs w:val="28"/>
        </w:rPr>
        <w:t xml:space="preserve">) + (К </w:t>
      </w:r>
      <w:r w:rsidRPr="00D42886">
        <w:rPr>
          <w:sz w:val="28"/>
          <w:szCs w:val="28"/>
          <w:vertAlign w:val="subscript"/>
        </w:rPr>
        <w:t>эксгеоэкспраз n</w:t>
      </w:r>
      <w:r w:rsidRPr="00D42886">
        <w:rPr>
          <w:sz w:val="28"/>
          <w:szCs w:val="28"/>
        </w:rPr>
        <w:t xml:space="preserve"> х Р </w:t>
      </w:r>
      <w:r w:rsidRPr="00D42886">
        <w:rPr>
          <w:sz w:val="28"/>
          <w:szCs w:val="28"/>
          <w:vertAlign w:val="subscript"/>
        </w:rPr>
        <w:t>эксгеоэкспраз n</w:t>
      </w:r>
      <w:r w:rsidRPr="00D42886">
        <w:rPr>
          <w:sz w:val="28"/>
          <w:szCs w:val="28"/>
        </w:rPr>
        <w:t xml:space="preserve">) + </w:t>
      </w:r>
    </w:p>
    <w:p w:rsidR="00935C40" w:rsidRPr="00D42886" w:rsidRDefault="00935C40" w:rsidP="00935C40">
      <w:pPr>
        <w:jc w:val="center"/>
        <w:rPr>
          <w:sz w:val="28"/>
          <w:szCs w:val="28"/>
        </w:rPr>
      </w:pPr>
      <w:r w:rsidRPr="00D42886">
        <w:rPr>
          <w:sz w:val="28"/>
          <w:szCs w:val="28"/>
        </w:rPr>
        <w:t xml:space="preserve">+ (К </w:t>
      </w:r>
      <w:r w:rsidRPr="00D42886">
        <w:rPr>
          <w:sz w:val="28"/>
          <w:szCs w:val="28"/>
          <w:vertAlign w:val="subscript"/>
        </w:rPr>
        <w:t xml:space="preserve">эксгеомел </w:t>
      </w:r>
      <w:r w:rsidRPr="00D42886">
        <w:rPr>
          <w:sz w:val="28"/>
          <w:szCs w:val="28"/>
          <w:vertAlign w:val="subscript"/>
          <w:lang w:val="en-US"/>
        </w:rPr>
        <w:t>n</w:t>
      </w:r>
      <w:r w:rsidRPr="00D42886">
        <w:rPr>
          <w:sz w:val="28"/>
          <w:szCs w:val="28"/>
        </w:rPr>
        <w:t xml:space="preserve"> х Р </w:t>
      </w:r>
      <w:r w:rsidRPr="00D42886">
        <w:rPr>
          <w:sz w:val="28"/>
          <w:szCs w:val="28"/>
          <w:vertAlign w:val="subscript"/>
        </w:rPr>
        <w:t xml:space="preserve">эксгеомел </w:t>
      </w:r>
      <w:r w:rsidRPr="00D42886">
        <w:rPr>
          <w:sz w:val="28"/>
          <w:szCs w:val="28"/>
          <w:vertAlign w:val="subscript"/>
          <w:lang w:val="en-US"/>
        </w:rPr>
        <w:t>n</w:t>
      </w:r>
      <w:r w:rsidRPr="00D42886">
        <w:rPr>
          <w:sz w:val="28"/>
          <w:szCs w:val="28"/>
        </w:rPr>
        <w:t xml:space="preserve">) + (К </w:t>
      </w:r>
      <w:r w:rsidRPr="00D42886">
        <w:rPr>
          <w:sz w:val="28"/>
          <w:szCs w:val="28"/>
          <w:vertAlign w:val="subscript"/>
        </w:rPr>
        <w:t xml:space="preserve">эксгеоср </w:t>
      </w:r>
      <w:r w:rsidRPr="00D42886">
        <w:rPr>
          <w:sz w:val="28"/>
          <w:szCs w:val="28"/>
          <w:vertAlign w:val="subscript"/>
          <w:lang w:val="en-US"/>
        </w:rPr>
        <w:t>n</w:t>
      </w:r>
      <w:r w:rsidRPr="00D42886">
        <w:rPr>
          <w:sz w:val="28"/>
          <w:szCs w:val="28"/>
        </w:rPr>
        <w:t xml:space="preserve"> х Р </w:t>
      </w:r>
      <w:r w:rsidRPr="00D42886">
        <w:rPr>
          <w:sz w:val="28"/>
          <w:szCs w:val="28"/>
          <w:vertAlign w:val="subscript"/>
        </w:rPr>
        <w:t xml:space="preserve">эксгеоср </w:t>
      </w:r>
      <w:r w:rsidRPr="00D42886">
        <w:rPr>
          <w:sz w:val="28"/>
          <w:szCs w:val="28"/>
          <w:vertAlign w:val="subscript"/>
          <w:lang w:val="en-US"/>
        </w:rPr>
        <w:t>n</w:t>
      </w:r>
      <w:r w:rsidRPr="00D42886">
        <w:rPr>
          <w:sz w:val="28"/>
          <w:szCs w:val="28"/>
        </w:rPr>
        <w:t xml:space="preserve">)  + (К </w:t>
      </w:r>
      <w:r w:rsidRPr="00D42886">
        <w:rPr>
          <w:sz w:val="28"/>
          <w:szCs w:val="28"/>
          <w:vertAlign w:val="subscript"/>
        </w:rPr>
        <w:t xml:space="preserve">эксгеокруп </w:t>
      </w:r>
      <w:r w:rsidRPr="00D42886">
        <w:rPr>
          <w:sz w:val="28"/>
          <w:szCs w:val="28"/>
          <w:vertAlign w:val="subscript"/>
          <w:lang w:val="en-US"/>
        </w:rPr>
        <w:t>n</w:t>
      </w:r>
      <w:r w:rsidRPr="00D42886">
        <w:rPr>
          <w:sz w:val="28"/>
          <w:szCs w:val="28"/>
          <w:vertAlign w:val="subscript"/>
        </w:rPr>
        <w:t xml:space="preserve"> </w:t>
      </w:r>
      <w:r w:rsidRPr="00D42886">
        <w:rPr>
          <w:sz w:val="28"/>
          <w:szCs w:val="28"/>
        </w:rPr>
        <w:t xml:space="preserve"> х Р </w:t>
      </w:r>
      <w:r w:rsidRPr="00D42886">
        <w:rPr>
          <w:sz w:val="28"/>
          <w:szCs w:val="28"/>
          <w:vertAlign w:val="subscript"/>
        </w:rPr>
        <w:t>эксгеокруп n</w:t>
      </w:r>
      <w:r w:rsidRPr="00D42886">
        <w:rPr>
          <w:sz w:val="28"/>
          <w:szCs w:val="28"/>
        </w:rPr>
        <w:t xml:space="preserve">), </w:t>
      </w:r>
    </w:p>
    <w:p w:rsidR="00935C40" w:rsidRPr="00D42886" w:rsidRDefault="00935C40" w:rsidP="00935C40">
      <w:pPr>
        <w:rPr>
          <w:sz w:val="28"/>
          <w:szCs w:val="28"/>
        </w:rPr>
      </w:pPr>
      <w:r w:rsidRPr="00D42886">
        <w:rPr>
          <w:sz w:val="28"/>
          <w:szCs w:val="28"/>
        </w:rPr>
        <w:t xml:space="preserve">где </w:t>
      </w:r>
      <w:r w:rsidRPr="00D42886">
        <w:rPr>
          <w:sz w:val="28"/>
          <w:szCs w:val="28"/>
        </w:rPr>
        <w:tab/>
        <w:t xml:space="preserve">П </w:t>
      </w:r>
      <w:r w:rsidRPr="00D42886">
        <w:rPr>
          <w:sz w:val="28"/>
          <w:szCs w:val="28"/>
          <w:vertAlign w:val="subscript"/>
        </w:rPr>
        <w:t xml:space="preserve">дохгео </w:t>
      </w:r>
      <w:r w:rsidRPr="00D42886">
        <w:rPr>
          <w:sz w:val="28"/>
          <w:szCs w:val="28"/>
          <w:vertAlign w:val="subscript"/>
          <w:lang w:val="en-US"/>
        </w:rPr>
        <w:t>n</w:t>
      </w:r>
      <w:r w:rsidRPr="00D42886">
        <w:rPr>
          <w:sz w:val="28"/>
          <w:szCs w:val="28"/>
        </w:rPr>
        <w:t xml:space="preserve">          – доходы от платы за проведение государственной</w:t>
      </w:r>
    </w:p>
    <w:p w:rsidR="00935C40" w:rsidRPr="00D42886" w:rsidRDefault="00935C40" w:rsidP="00935C40">
      <w:pPr>
        <w:rPr>
          <w:sz w:val="28"/>
          <w:szCs w:val="28"/>
        </w:rPr>
      </w:pPr>
      <w:r w:rsidRPr="00D42886">
        <w:rPr>
          <w:sz w:val="28"/>
          <w:szCs w:val="28"/>
        </w:rPr>
        <w:t xml:space="preserve">                                    экспертизы запасов полезных ископаемых на </w:t>
      </w:r>
      <w:r w:rsidRPr="00D42886">
        <w:rPr>
          <w:sz w:val="28"/>
          <w:szCs w:val="28"/>
          <w:lang w:val="en-US"/>
        </w:rPr>
        <w:t>n</w:t>
      </w:r>
      <w:r w:rsidRPr="00D42886">
        <w:rPr>
          <w:sz w:val="28"/>
          <w:szCs w:val="28"/>
        </w:rPr>
        <w:t xml:space="preserve"> год;</w:t>
      </w:r>
    </w:p>
    <w:p w:rsidR="00935C40" w:rsidRPr="00D42886" w:rsidRDefault="00935C40" w:rsidP="00935C40">
      <w:pPr>
        <w:ind w:left="709"/>
        <w:rPr>
          <w:sz w:val="28"/>
          <w:szCs w:val="28"/>
        </w:rPr>
      </w:pPr>
      <w:r w:rsidRPr="00D42886">
        <w:rPr>
          <w:sz w:val="28"/>
          <w:szCs w:val="28"/>
        </w:rPr>
        <w:t xml:space="preserve">К </w:t>
      </w:r>
      <w:r w:rsidRPr="00D42886">
        <w:rPr>
          <w:sz w:val="28"/>
          <w:szCs w:val="28"/>
          <w:vertAlign w:val="subscript"/>
        </w:rPr>
        <w:t>эксгеоподвод n</w:t>
      </w:r>
      <w:r w:rsidRPr="00D42886">
        <w:rPr>
          <w:sz w:val="28"/>
          <w:szCs w:val="28"/>
        </w:rPr>
        <w:t xml:space="preserve">    – прогнозируемое количество государственных</w:t>
      </w:r>
    </w:p>
    <w:p w:rsidR="00935C40" w:rsidRPr="00D42886" w:rsidRDefault="00935C40" w:rsidP="00935C40">
      <w:pPr>
        <w:ind w:left="709"/>
        <w:rPr>
          <w:sz w:val="28"/>
          <w:szCs w:val="28"/>
        </w:rPr>
      </w:pPr>
      <w:r w:rsidRPr="00D42886">
        <w:rPr>
          <w:sz w:val="28"/>
          <w:szCs w:val="28"/>
        </w:rPr>
        <w:t xml:space="preserve">                             экспертиз запасов полезных ископаемых «подземные</w:t>
      </w:r>
    </w:p>
    <w:p w:rsidR="00935C40" w:rsidRPr="00D42886" w:rsidRDefault="00935C40" w:rsidP="00935C40">
      <w:pPr>
        <w:ind w:left="709"/>
        <w:rPr>
          <w:sz w:val="28"/>
          <w:szCs w:val="28"/>
        </w:rPr>
      </w:pPr>
      <w:r w:rsidRPr="00D42886">
        <w:rPr>
          <w:sz w:val="28"/>
          <w:szCs w:val="28"/>
        </w:rPr>
        <w:t xml:space="preserve">                             воды» категории «эксплуатируемые одиночными</w:t>
      </w:r>
    </w:p>
    <w:p w:rsidR="00935C40" w:rsidRPr="00D42886" w:rsidRDefault="00935C40" w:rsidP="00935C40">
      <w:pPr>
        <w:ind w:left="709"/>
        <w:rPr>
          <w:sz w:val="28"/>
          <w:szCs w:val="28"/>
        </w:rPr>
      </w:pPr>
      <w:r w:rsidRPr="00D42886">
        <w:rPr>
          <w:sz w:val="28"/>
          <w:szCs w:val="28"/>
        </w:rPr>
        <w:t xml:space="preserve">                             скважинами» месторождения в n году;</w:t>
      </w:r>
    </w:p>
    <w:p w:rsidR="00935C40" w:rsidRPr="00D42886" w:rsidRDefault="00935C40" w:rsidP="00935C40">
      <w:pPr>
        <w:ind w:left="709"/>
        <w:rPr>
          <w:sz w:val="28"/>
          <w:szCs w:val="28"/>
        </w:rPr>
      </w:pPr>
      <w:r w:rsidRPr="00D42886">
        <w:rPr>
          <w:sz w:val="28"/>
          <w:szCs w:val="28"/>
        </w:rPr>
        <w:t xml:space="preserve">К </w:t>
      </w:r>
      <w:r w:rsidRPr="00D42886">
        <w:rPr>
          <w:sz w:val="28"/>
          <w:szCs w:val="28"/>
          <w:vertAlign w:val="subscript"/>
        </w:rPr>
        <w:t xml:space="preserve">эксгеоэкспраз n    </w:t>
      </w:r>
      <w:r w:rsidRPr="00D42886">
        <w:rPr>
          <w:sz w:val="28"/>
          <w:szCs w:val="28"/>
        </w:rPr>
        <w:t xml:space="preserve">  – прогнозируемое количество государственных</w:t>
      </w:r>
    </w:p>
    <w:p w:rsidR="00935C40" w:rsidRPr="00D42886" w:rsidRDefault="00935C40" w:rsidP="00935C40">
      <w:pPr>
        <w:ind w:left="709"/>
        <w:rPr>
          <w:sz w:val="28"/>
          <w:szCs w:val="28"/>
        </w:rPr>
      </w:pPr>
      <w:r w:rsidRPr="00D42886">
        <w:rPr>
          <w:sz w:val="28"/>
          <w:szCs w:val="28"/>
        </w:rPr>
        <w:t xml:space="preserve">                             экспертиз запасов полезных ископаемых категории</w:t>
      </w:r>
    </w:p>
    <w:p w:rsidR="00935C40" w:rsidRPr="00D42886" w:rsidRDefault="00935C40" w:rsidP="00935C40">
      <w:pPr>
        <w:ind w:left="709"/>
        <w:rPr>
          <w:sz w:val="28"/>
          <w:szCs w:val="28"/>
        </w:rPr>
      </w:pPr>
      <w:r w:rsidRPr="00D42886">
        <w:rPr>
          <w:sz w:val="28"/>
          <w:szCs w:val="28"/>
        </w:rPr>
        <w:t xml:space="preserve">                            «эксплуатационная разведка» в n году;</w:t>
      </w:r>
    </w:p>
    <w:p w:rsidR="00935C40" w:rsidRPr="00D42886" w:rsidRDefault="00935C40" w:rsidP="00935C40">
      <w:pPr>
        <w:ind w:firstLine="708"/>
        <w:rPr>
          <w:sz w:val="28"/>
          <w:szCs w:val="28"/>
        </w:rPr>
      </w:pPr>
      <w:r w:rsidRPr="00D42886">
        <w:rPr>
          <w:sz w:val="28"/>
          <w:szCs w:val="28"/>
        </w:rPr>
        <w:t xml:space="preserve">К </w:t>
      </w:r>
      <w:r w:rsidRPr="00D42886">
        <w:rPr>
          <w:sz w:val="28"/>
          <w:szCs w:val="28"/>
          <w:vertAlign w:val="subscript"/>
        </w:rPr>
        <w:t xml:space="preserve">эксгеомел </w:t>
      </w:r>
      <w:r w:rsidRPr="00D42886">
        <w:rPr>
          <w:sz w:val="28"/>
          <w:szCs w:val="28"/>
          <w:vertAlign w:val="subscript"/>
          <w:lang w:val="en-US"/>
        </w:rPr>
        <w:t>n</w:t>
      </w:r>
      <w:r w:rsidRPr="00D42886">
        <w:rPr>
          <w:sz w:val="28"/>
          <w:szCs w:val="28"/>
        </w:rPr>
        <w:t xml:space="preserve">         – прогнозируемое количество государственных</w:t>
      </w:r>
    </w:p>
    <w:p w:rsidR="00935C40" w:rsidRPr="00D42886" w:rsidRDefault="00935C40" w:rsidP="00935C40">
      <w:pPr>
        <w:ind w:firstLine="708"/>
        <w:rPr>
          <w:sz w:val="28"/>
          <w:szCs w:val="28"/>
        </w:rPr>
      </w:pPr>
      <w:r w:rsidRPr="00D42886">
        <w:rPr>
          <w:sz w:val="28"/>
          <w:szCs w:val="28"/>
        </w:rPr>
        <w:t xml:space="preserve">                             экспертиз запасов полезных ископаемых категории</w:t>
      </w:r>
    </w:p>
    <w:p w:rsidR="00935C40" w:rsidRPr="00D42886" w:rsidRDefault="00935C40" w:rsidP="00935C40">
      <w:pPr>
        <w:ind w:firstLine="708"/>
        <w:rPr>
          <w:sz w:val="28"/>
          <w:szCs w:val="28"/>
        </w:rPr>
      </w:pPr>
      <w:r w:rsidRPr="00D42886">
        <w:rPr>
          <w:sz w:val="28"/>
          <w:szCs w:val="28"/>
        </w:rPr>
        <w:t xml:space="preserve">                            «мелкие» месторождения в </w:t>
      </w:r>
      <w:r w:rsidRPr="00D42886">
        <w:rPr>
          <w:sz w:val="28"/>
          <w:szCs w:val="28"/>
          <w:lang w:val="en-US"/>
        </w:rPr>
        <w:t>n</w:t>
      </w:r>
      <w:r w:rsidRPr="00D42886">
        <w:rPr>
          <w:sz w:val="28"/>
          <w:szCs w:val="28"/>
        </w:rPr>
        <w:t xml:space="preserve"> году;</w:t>
      </w:r>
    </w:p>
    <w:p w:rsidR="00935C40" w:rsidRPr="00D42886" w:rsidRDefault="00935C40" w:rsidP="00935C40">
      <w:pPr>
        <w:ind w:firstLine="708"/>
        <w:rPr>
          <w:sz w:val="28"/>
          <w:szCs w:val="28"/>
        </w:rPr>
      </w:pPr>
      <w:r w:rsidRPr="00D42886">
        <w:rPr>
          <w:sz w:val="28"/>
          <w:szCs w:val="28"/>
        </w:rPr>
        <w:t xml:space="preserve">К </w:t>
      </w:r>
      <w:r w:rsidRPr="00D42886">
        <w:rPr>
          <w:sz w:val="28"/>
          <w:szCs w:val="28"/>
          <w:vertAlign w:val="subscript"/>
        </w:rPr>
        <w:t xml:space="preserve">эксгеоср </w:t>
      </w:r>
      <w:r w:rsidRPr="00D42886">
        <w:rPr>
          <w:sz w:val="28"/>
          <w:szCs w:val="28"/>
          <w:vertAlign w:val="subscript"/>
          <w:lang w:val="en-US"/>
        </w:rPr>
        <w:t>n</w:t>
      </w:r>
      <w:r w:rsidRPr="00D42886">
        <w:rPr>
          <w:sz w:val="28"/>
          <w:szCs w:val="28"/>
        </w:rPr>
        <w:t xml:space="preserve">          – прогнозируемое количество государственной</w:t>
      </w:r>
    </w:p>
    <w:p w:rsidR="00935C40" w:rsidRPr="00D42886" w:rsidRDefault="00935C40" w:rsidP="00935C40">
      <w:pPr>
        <w:ind w:firstLine="708"/>
        <w:rPr>
          <w:sz w:val="28"/>
          <w:szCs w:val="28"/>
        </w:rPr>
      </w:pPr>
      <w:r w:rsidRPr="00D42886">
        <w:rPr>
          <w:sz w:val="28"/>
          <w:szCs w:val="28"/>
        </w:rPr>
        <w:lastRenderedPageBreak/>
        <w:t xml:space="preserve">                            экспертизы запасов полезных ископаемых</w:t>
      </w:r>
      <w:r w:rsidRPr="00D42886">
        <w:t xml:space="preserve"> </w:t>
      </w:r>
      <w:r w:rsidRPr="00D42886">
        <w:rPr>
          <w:sz w:val="28"/>
          <w:szCs w:val="28"/>
        </w:rPr>
        <w:t>категории</w:t>
      </w:r>
    </w:p>
    <w:p w:rsidR="00935C40" w:rsidRPr="00D42886" w:rsidRDefault="00935C40" w:rsidP="00935C40">
      <w:pPr>
        <w:ind w:firstLine="708"/>
        <w:rPr>
          <w:sz w:val="28"/>
          <w:szCs w:val="28"/>
        </w:rPr>
      </w:pPr>
      <w:r w:rsidRPr="00D42886">
        <w:rPr>
          <w:sz w:val="28"/>
          <w:szCs w:val="28"/>
        </w:rPr>
        <w:t xml:space="preserve">                            «средние» месторождения в </w:t>
      </w:r>
      <w:r w:rsidRPr="00D42886">
        <w:rPr>
          <w:sz w:val="28"/>
          <w:szCs w:val="28"/>
          <w:lang w:val="en-US"/>
        </w:rPr>
        <w:t>n</w:t>
      </w:r>
      <w:r w:rsidRPr="00D42886">
        <w:rPr>
          <w:sz w:val="28"/>
          <w:szCs w:val="28"/>
        </w:rPr>
        <w:t xml:space="preserve"> году;</w:t>
      </w:r>
    </w:p>
    <w:p w:rsidR="00935C40" w:rsidRPr="00D42886" w:rsidRDefault="00935C40" w:rsidP="00935C40">
      <w:pPr>
        <w:ind w:firstLine="708"/>
        <w:rPr>
          <w:sz w:val="28"/>
          <w:szCs w:val="28"/>
        </w:rPr>
      </w:pPr>
      <w:r w:rsidRPr="00D42886">
        <w:rPr>
          <w:sz w:val="28"/>
          <w:szCs w:val="28"/>
        </w:rPr>
        <w:t xml:space="preserve">К </w:t>
      </w:r>
      <w:r w:rsidRPr="00D42886">
        <w:rPr>
          <w:sz w:val="28"/>
          <w:szCs w:val="28"/>
          <w:vertAlign w:val="subscript"/>
        </w:rPr>
        <w:t>эксгеокруп n</w:t>
      </w:r>
      <w:r w:rsidRPr="00D42886">
        <w:rPr>
          <w:sz w:val="28"/>
          <w:szCs w:val="28"/>
        </w:rPr>
        <w:t xml:space="preserve">       – прогнозируемое количество государственной</w:t>
      </w:r>
    </w:p>
    <w:p w:rsidR="00935C40" w:rsidRPr="00D42886" w:rsidRDefault="00935C40" w:rsidP="00935C40">
      <w:pPr>
        <w:ind w:firstLine="708"/>
        <w:rPr>
          <w:sz w:val="28"/>
          <w:szCs w:val="28"/>
        </w:rPr>
      </w:pPr>
      <w:r w:rsidRPr="00D42886">
        <w:rPr>
          <w:sz w:val="28"/>
          <w:szCs w:val="28"/>
        </w:rPr>
        <w:t xml:space="preserve">                             экспертизы запасов полезных ископаемых категории</w:t>
      </w:r>
    </w:p>
    <w:p w:rsidR="00935C40" w:rsidRPr="00D42886" w:rsidRDefault="00935C40" w:rsidP="00935C40">
      <w:pPr>
        <w:ind w:firstLine="708"/>
        <w:rPr>
          <w:sz w:val="28"/>
          <w:szCs w:val="28"/>
        </w:rPr>
      </w:pPr>
      <w:r w:rsidRPr="00D42886">
        <w:rPr>
          <w:sz w:val="28"/>
          <w:szCs w:val="28"/>
        </w:rPr>
        <w:t xml:space="preserve">                            «крупные» месторождения в n году;</w:t>
      </w:r>
    </w:p>
    <w:p w:rsidR="00935C40" w:rsidRPr="00D42886" w:rsidRDefault="00935C40" w:rsidP="00935C40">
      <w:pPr>
        <w:ind w:firstLine="708"/>
        <w:rPr>
          <w:sz w:val="28"/>
          <w:szCs w:val="28"/>
        </w:rPr>
      </w:pPr>
      <w:r w:rsidRPr="00D42886">
        <w:rPr>
          <w:sz w:val="28"/>
          <w:szCs w:val="28"/>
        </w:rPr>
        <w:t xml:space="preserve">Р </w:t>
      </w:r>
      <w:r w:rsidRPr="00D42886">
        <w:rPr>
          <w:sz w:val="28"/>
          <w:szCs w:val="28"/>
          <w:vertAlign w:val="subscript"/>
        </w:rPr>
        <w:t xml:space="preserve">эксгеоподвод </w:t>
      </w:r>
      <w:r w:rsidRPr="00D42886">
        <w:rPr>
          <w:sz w:val="28"/>
          <w:szCs w:val="28"/>
          <w:vertAlign w:val="subscript"/>
          <w:lang w:val="en-US"/>
        </w:rPr>
        <w:t>n</w:t>
      </w:r>
      <w:r w:rsidRPr="00D42886">
        <w:rPr>
          <w:sz w:val="28"/>
          <w:szCs w:val="28"/>
        </w:rPr>
        <w:t xml:space="preserve">     – размер платы за проведение государственной</w:t>
      </w:r>
    </w:p>
    <w:p w:rsidR="00935C40" w:rsidRPr="00D42886" w:rsidRDefault="00935C40" w:rsidP="00935C40">
      <w:pPr>
        <w:ind w:firstLine="708"/>
        <w:rPr>
          <w:sz w:val="28"/>
          <w:szCs w:val="28"/>
        </w:rPr>
      </w:pPr>
      <w:r w:rsidRPr="00D42886">
        <w:rPr>
          <w:sz w:val="28"/>
          <w:szCs w:val="28"/>
        </w:rPr>
        <w:t xml:space="preserve">                             экспертизы запасов полезных ископаемых </w:t>
      </w:r>
    </w:p>
    <w:p w:rsidR="00935C40" w:rsidRPr="00D42886" w:rsidRDefault="00935C40" w:rsidP="00935C40">
      <w:pPr>
        <w:ind w:firstLine="708"/>
        <w:rPr>
          <w:sz w:val="28"/>
          <w:szCs w:val="28"/>
        </w:rPr>
      </w:pPr>
      <w:r w:rsidRPr="00D42886">
        <w:rPr>
          <w:sz w:val="28"/>
          <w:szCs w:val="28"/>
        </w:rPr>
        <w:t xml:space="preserve">                             «подземные воды» категории «эксплуатируемые</w:t>
      </w:r>
    </w:p>
    <w:p w:rsidR="00935C40" w:rsidRPr="00D42886" w:rsidRDefault="00935C40" w:rsidP="00935C40">
      <w:pPr>
        <w:ind w:firstLine="708"/>
        <w:rPr>
          <w:sz w:val="28"/>
          <w:szCs w:val="28"/>
        </w:rPr>
      </w:pPr>
      <w:r w:rsidRPr="00D42886">
        <w:rPr>
          <w:sz w:val="28"/>
          <w:szCs w:val="28"/>
        </w:rPr>
        <w:t xml:space="preserve">                             одиночными скважинами» месторождения в n году;</w:t>
      </w:r>
    </w:p>
    <w:p w:rsidR="00935C40" w:rsidRPr="00D42886" w:rsidRDefault="00935C40" w:rsidP="00935C40">
      <w:pPr>
        <w:ind w:firstLine="708"/>
        <w:rPr>
          <w:sz w:val="28"/>
          <w:szCs w:val="28"/>
        </w:rPr>
      </w:pPr>
      <w:r w:rsidRPr="00D42886">
        <w:rPr>
          <w:sz w:val="28"/>
          <w:szCs w:val="28"/>
        </w:rPr>
        <w:t xml:space="preserve">Р </w:t>
      </w:r>
      <w:r w:rsidRPr="00D42886">
        <w:rPr>
          <w:sz w:val="28"/>
          <w:szCs w:val="28"/>
          <w:vertAlign w:val="subscript"/>
        </w:rPr>
        <w:t xml:space="preserve">эксгеоэкспраз </w:t>
      </w:r>
      <w:r w:rsidRPr="00D42886">
        <w:rPr>
          <w:sz w:val="28"/>
          <w:szCs w:val="28"/>
          <w:vertAlign w:val="subscript"/>
          <w:lang w:val="en-US"/>
        </w:rPr>
        <w:t>n</w:t>
      </w:r>
      <w:r w:rsidRPr="00D42886">
        <w:rPr>
          <w:sz w:val="28"/>
          <w:szCs w:val="28"/>
        </w:rPr>
        <w:t xml:space="preserve">      – размер платы за проведение государственной</w:t>
      </w:r>
    </w:p>
    <w:p w:rsidR="00935C40" w:rsidRPr="00D42886" w:rsidRDefault="00935C40" w:rsidP="00935C40">
      <w:pPr>
        <w:ind w:firstLine="708"/>
        <w:rPr>
          <w:sz w:val="28"/>
          <w:szCs w:val="28"/>
        </w:rPr>
      </w:pPr>
      <w:r w:rsidRPr="00D42886">
        <w:rPr>
          <w:sz w:val="28"/>
          <w:szCs w:val="28"/>
        </w:rPr>
        <w:t xml:space="preserve">                              экспертизы запасов полезных ископаемых категории</w:t>
      </w:r>
    </w:p>
    <w:p w:rsidR="00935C40" w:rsidRPr="00D42886" w:rsidRDefault="00935C40" w:rsidP="00935C40">
      <w:pPr>
        <w:ind w:firstLine="708"/>
        <w:rPr>
          <w:sz w:val="28"/>
          <w:szCs w:val="28"/>
        </w:rPr>
      </w:pPr>
      <w:r w:rsidRPr="00D42886">
        <w:rPr>
          <w:sz w:val="28"/>
          <w:szCs w:val="28"/>
        </w:rPr>
        <w:t xml:space="preserve">                             «эксплуатационная разведка» в n году;</w:t>
      </w:r>
    </w:p>
    <w:p w:rsidR="00935C40" w:rsidRPr="00D42886" w:rsidRDefault="00935C40" w:rsidP="00935C40">
      <w:pPr>
        <w:ind w:firstLine="708"/>
        <w:rPr>
          <w:sz w:val="28"/>
          <w:szCs w:val="28"/>
        </w:rPr>
      </w:pPr>
      <w:r w:rsidRPr="00D42886">
        <w:rPr>
          <w:sz w:val="28"/>
          <w:szCs w:val="28"/>
        </w:rPr>
        <w:t xml:space="preserve">Р </w:t>
      </w:r>
      <w:r w:rsidRPr="00D42886">
        <w:rPr>
          <w:sz w:val="28"/>
          <w:szCs w:val="28"/>
          <w:vertAlign w:val="subscript"/>
        </w:rPr>
        <w:t xml:space="preserve">эксгеомел </w:t>
      </w:r>
      <w:r w:rsidRPr="00D42886">
        <w:rPr>
          <w:sz w:val="28"/>
          <w:szCs w:val="28"/>
          <w:vertAlign w:val="subscript"/>
          <w:lang w:val="en-US"/>
        </w:rPr>
        <w:t>n</w:t>
      </w:r>
      <w:r w:rsidRPr="00D42886">
        <w:rPr>
          <w:sz w:val="28"/>
          <w:szCs w:val="28"/>
        </w:rPr>
        <w:t xml:space="preserve">           – размер платы за проведение государственной</w:t>
      </w:r>
    </w:p>
    <w:p w:rsidR="00935C40" w:rsidRPr="00D42886" w:rsidRDefault="00935C40" w:rsidP="00935C40">
      <w:pPr>
        <w:ind w:firstLine="708"/>
        <w:rPr>
          <w:sz w:val="28"/>
          <w:szCs w:val="28"/>
        </w:rPr>
      </w:pPr>
      <w:r w:rsidRPr="00D42886">
        <w:rPr>
          <w:sz w:val="28"/>
          <w:szCs w:val="28"/>
        </w:rPr>
        <w:t xml:space="preserve">                              экспертизы запасов полезных ископаемых категории</w:t>
      </w:r>
    </w:p>
    <w:p w:rsidR="00935C40" w:rsidRPr="00D42886" w:rsidRDefault="00935C40" w:rsidP="00935C40">
      <w:pPr>
        <w:ind w:firstLine="708"/>
        <w:rPr>
          <w:sz w:val="28"/>
          <w:szCs w:val="28"/>
        </w:rPr>
      </w:pPr>
      <w:r w:rsidRPr="00D42886">
        <w:rPr>
          <w:sz w:val="28"/>
          <w:szCs w:val="28"/>
        </w:rPr>
        <w:t xml:space="preserve">                              «мелкие» месторождения в </w:t>
      </w:r>
      <w:r w:rsidRPr="00D42886">
        <w:rPr>
          <w:sz w:val="28"/>
          <w:szCs w:val="28"/>
          <w:lang w:val="en-US"/>
        </w:rPr>
        <w:t>n</w:t>
      </w:r>
      <w:r w:rsidRPr="00D42886">
        <w:rPr>
          <w:sz w:val="28"/>
          <w:szCs w:val="28"/>
        </w:rPr>
        <w:t xml:space="preserve"> году;</w:t>
      </w:r>
    </w:p>
    <w:p w:rsidR="00935C40" w:rsidRPr="00D42886" w:rsidRDefault="00935C40" w:rsidP="00935C40">
      <w:pPr>
        <w:ind w:firstLine="708"/>
        <w:rPr>
          <w:sz w:val="28"/>
          <w:szCs w:val="28"/>
        </w:rPr>
      </w:pPr>
      <w:r w:rsidRPr="00D42886">
        <w:rPr>
          <w:sz w:val="28"/>
          <w:szCs w:val="28"/>
        </w:rPr>
        <w:t xml:space="preserve">Р </w:t>
      </w:r>
      <w:r w:rsidRPr="00D42886">
        <w:rPr>
          <w:sz w:val="28"/>
          <w:szCs w:val="28"/>
          <w:vertAlign w:val="subscript"/>
        </w:rPr>
        <w:t xml:space="preserve">эксгеоср </w:t>
      </w:r>
      <w:r w:rsidRPr="00D42886">
        <w:rPr>
          <w:sz w:val="28"/>
          <w:szCs w:val="28"/>
          <w:vertAlign w:val="subscript"/>
          <w:lang w:val="en-US"/>
        </w:rPr>
        <w:t>n</w:t>
      </w:r>
      <w:r w:rsidRPr="00D42886">
        <w:rPr>
          <w:sz w:val="28"/>
          <w:szCs w:val="28"/>
        </w:rPr>
        <w:t xml:space="preserve">             – размер платы за проведение государственной</w:t>
      </w:r>
    </w:p>
    <w:p w:rsidR="00935C40" w:rsidRPr="00D42886" w:rsidRDefault="00935C40" w:rsidP="00935C40">
      <w:pPr>
        <w:ind w:firstLine="708"/>
        <w:rPr>
          <w:sz w:val="28"/>
          <w:szCs w:val="28"/>
        </w:rPr>
      </w:pPr>
      <w:r w:rsidRPr="00D42886">
        <w:rPr>
          <w:sz w:val="28"/>
          <w:szCs w:val="28"/>
        </w:rPr>
        <w:t xml:space="preserve">                              экспертизы запасов полезных ископаемых категории</w:t>
      </w:r>
    </w:p>
    <w:p w:rsidR="00935C40" w:rsidRPr="00D42886" w:rsidRDefault="00935C40" w:rsidP="00935C40">
      <w:pPr>
        <w:ind w:firstLine="708"/>
        <w:rPr>
          <w:sz w:val="28"/>
          <w:szCs w:val="28"/>
        </w:rPr>
      </w:pPr>
      <w:r w:rsidRPr="00D42886">
        <w:rPr>
          <w:sz w:val="28"/>
          <w:szCs w:val="28"/>
        </w:rPr>
        <w:t xml:space="preserve">                              «средние» месторождения в </w:t>
      </w:r>
      <w:r w:rsidRPr="00D42886">
        <w:rPr>
          <w:sz w:val="28"/>
          <w:szCs w:val="28"/>
          <w:lang w:val="en-US"/>
        </w:rPr>
        <w:t>n</w:t>
      </w:r>
      <w:r w:rsidRPr="00D42886">
        <w:rPr>
          <w:sz w:val="28"/>
          <w:szCs w:val="28"/>
        </w:rPr>
        <w:t xml:space="preserve"> году;</w:t>
      </w:r>
    </w:p>
    <w:p w:rsidR="00935C40" w:rsidRPr="00D42886" w:rsidRDefault="00935C40" w:rsidP="00935C40">
      <w:pPr>
        <w:ind w:firstLine="708"/>
        <w:rPr>
          <w:sz w:val="28"/>
          <w:szCs w:val="28"/>
        </w:rPr>
      </w:pPr>
      <w:r w:rsidRPr="00D42886">
        <w:rPr>
          <w:sz w:val="28"/>
          <w:szCs w:val="28"/>
        </w:rPr>
        <w:t xml:space="preserve">Р </w:t>
      </w:r>
      <w:r w:rsidRPr="00D42886">
        <w:rPr>
          <w:sz w:val="28"/>
          <w:szCs w:val="28"/>
          <w:vertAlign w:val="subscript"/>
        </w:rPr>
        <w:t xml:space="preserve">эксгеокруп </w:t>
      </w:r>
      <w:r w:rsidRPr="00D42886">
        <w:rPr>
          <w:sz w:val="28"/>
          <w:szCs w:val="28"/>
          <w:vertAlign w:val="subscript"/>
          <w:lang w:val="en-US"/>
        </w:rPr>
        <w:t>n</w:t>
      </w:r>
      <w:r w:rsidRPr="00D42886">
        <w:rPr>
          <w:sz w:val="28"/>
          <w:szCs w:val="28"/>
        </w:rPr>
        <w:t xml:space="preserve">          – размер платы за проведение государственной</w:t>
      </w:r>
    </w:p>
    <w:p w:rsidR="00935C40" w:rsidRPr="00D42886" w:rsidRDefault="00935C40" w:rsidP="00935C40">
      <w:pPr>
        <w:ind w:firstLine="708"/>
        <w:rPr>
          <w:sz w:val="28"/>
          <w:szCs w:val="28"/>
        </w:rPr>
      </w:pPr>
      <w:r w:rsidRPr="00D42886">
        <w:rPr>
          <w:sz w:val="28"/>
          <w:szCs w:val="28"/>
        </w:rPr>
        <w:t xml:space="preserve">                              экспертизы запасов полезных ископаемых категории</w:t>
      </w:r>
    </w:p>
    <w:p w:rsidR="00935C40" w:rsidRPr="00D42886" w:rsidRDefault="00935C40" w:rsidP="00935C40">
      <w:pPr>
        <w:ind w:firstLine="708"/>
        <w:rPr>
          <w:sz w:val="28"/>
          <w:szCs w:val="28"/>
        </w:rPr>
      </w:pPr>
      <w:r w:rsidRPr="00D42886">
        <w:rPr>
          <w:sz w:val="28"/>
          <w:szCs w:val="28"/>
        </w:rPr>
        <w:t xml:space="preserve">                              «крупные» месторождения в </w:t>
      </w:r>
      <w:r w:rsidRPr="00D42886">
        <w:rPr>
          <w:sz w:val="28"/>
          <w:szCs w:val="28"/>
          <w:lang w:val="en-US"/>
        </w:rPr>
        <w:t>n</w:t>
      </w:r>
      <w:r w:rsidRPr="00D42886">
        <w:rPr>
          <w:sz w:val="28"/>
          <w:szCs w:val="28"/>
        </w:rPr>
        <w:t xml:space="preserve"> году.</w:t>
      </w:r>
    </w:p>
    <w:p w:rsidR="00935C40" w:rsidRPr="00D42886" w:rsidRDefault="00935C40" w:rsidP="00935C40">
      <w:pPr>
        <w:ind w:firstLine="708"/>
        <w:jc w:val="both"/>
        <w:rPr>
          <w:sz w:val="28"/>
          <w:szCs w:val="28"/>
        </w:rPr>
      </w:pPr>
      <w:r w:rsidRPr="00D42886">
        <w:rPr>
          <w:sz w:val="28"/>
          <w:szCs w:val="28"/>
        </w:rPr>
        <w:t xml:space="preserve">Размер платы за проведение государственной экспертизы запасов полезных ископаемых установлен Постановлением Правительства Российской Федерации от 11.02.2005 № 69 «О государственной экспертизе запасов полезных ископаемых, геологической, экономической и экологической информации о предоставляемых в пользование участках недр, размере и порядке взимания платы за ее проведение» (далее – Постановление). </w:t>
      </w:r>
    </w:p>
    <w:p w:rsidR="00935C40" w:rsidRPr="00D42886" w:rsidRDefault="00935C40" w:rsidP="00935C40">
      <w:pPr>
        <w:ind w:firstLine="708"/>
        <w:jc w:val="both"/>
        <w:rPr>
          <w:sz w:val="28"/>
          <w:szCs w:val="28"/>
        </w:rPr>
      </w:pPr>
      <w:r w:rsidRPr="00D42886">
        <w:rPr>
          <w:sz w:val="28"/>
          <w:szCs w:val="28"/>
        </w:rPr>
        <w:t xml:space="preserve">В соответствии с Постановлением стоимость одной государственной экспертизы по месторождениям общераспространенных полезных ископаемых варьируется в зависимости от крупности месторождения и вида проводимых работ (подсчет запасов, геологическое изучение участка недр, оперативное изменение состояния запасов на действующем месторождении). </w:t>
      </w:r>
    </w:p>
    <w:p w:rsidR="00935C40" w:rsidRPr="00D42886" w:rsidRDefault="00935C40" w:rsidP="00935C40">
      <w:pPr>
        <w:ind w:firstLine="708"/>
        <w:jc w:val="both"/>
        <w:rPr>
          <w:sz w:val="28"/>
          <w:szCs w:val="28"/>
        </w:rPr>
      </w:pPr>
      <w:r w:rsidRPr="00D42886">
        <w:rPr>
          <w:sz w:val="28"/>
          <w:szCs w:val="28"/>
        </w:rPr>
        <w:t xml:space="preserve">Размер платы составляет: </w:t>
      </w:r>
    </w:p>
    <w:p w:rsidR="00935C40" w:rsidRPr="00D42886" w:rsidRDefault="00935C40" w:rsidP="00935C40">
      <w:pPr>
        <w:ind w:firstLine="708"/>
        <w:jc w:val="both"/>
        <w:rPr>
          <w:sz w:val="28"/>
          <w:szCs w:val="28"/>
        </w:rPr>
      </w:pPr>
      <w:r w:rsidRPr="00D42886">
        <w:rPr>
          <w:sz w:val="28"/>
          <w:szCs w:val="28"/>
        </w:rPr>
        <w:t xml:space="preserve">10,0 тыс. руб. (Р </w:t>
      </w:r>
      <w:r w:rsidRPr="00D42886">
        <w:rPr>
          <w:sz w:val="28"/>
          <w:szCs w:val="28"/>
          <w:vertAlign w:val="subscript"/>
        </w:rPr>
        <w:t>эксгеоподвод</w:t>
      </w:r>
      <w:r w:rsidRPr="00D42886">
        <w:rPr>
          <w:sz w:val="28"/>
          <w:szCs w:val="28"/>
        </w:rPr>
        <w:t xml:space="preserve">) – категория «подземные воды»; </w:t>
      </w:r>
    </w:p>
    <w:p w:rsidR="00935C40" w:rsidRPr="00D42886" w:rsidRDefault="00935C40" w:rsidP="00935C40">
      <w:pPr>
        <w:ind w:firstLine="708"/>
        <w:jc w:val="both"/>
        <w:rPr>
          <w:sz w:val="28"/>
          <w:szCs w:val="28"/>
        </w:rPr>
      </w:pPr>
      <w:r w:rsidRPr="00D42886">
        <w:rPr>
          <w:sz w:val="28"/>
          <w:szCs w:val="28"/>
        </w:rPr>
        <w:t>10,0 тыс. руб.</w:t>
      </w:r>
      <w:r w:rsidRPr="00D42886">
        <w:t xml:space="preserve"> </w:t>
      </w:r>
      <w:r w:rsidRPr="00D42886">
        <w:rPr>
          <w:sz w:val="28"/>
          <w:szCs w:val="28"/>
        </w:rPr>
        <w:t xml:space="preserve">(Р </w:t>
      </w:r>
      <w:r w:rsidRPr="00D42886">
        <w:rPr>
          <w:sz w:val="28"/>
          <w:szCs w:val="28"/>
          <w:vertAlign w:val="subscript"/>
        </w:rPr>
        <w:t>эксгеоэкспраз</w:t>
      </w:r>
      <w:r w:rsidRPr="00D42886">
        <w:rPr>
          <w:sz w:val="28"/>
          <w:szCs w:val="28"/>
        </w:rPr>
        <w:t xml:space="preserve">) - категория «эксплуатационная разведка»; </w:t>
      </w:r>
    </w:p>
    <w:p w:rsidR="00935C40" w:rsidRPr="00D42886" w:rsidRDefault="00935C40" w:rsidP="00935C40">
      <w:pPr>
        <w:ind w:firstLine="708"/>
        <w:jc w:val="both"/>
        <w:rPr>
          <w:sz w:val="28"/>
          <w:szCs w:val="28"/>
        </w:rPr>
      </w:pPr>
      <w:r w:rsidRPr="00D42886">
        <w:rPr>
          <w:sz w:val="28"/>
          <w:szCs w:val="28"/>
        </w:rPr>
        <w:t xml:space="preserve">25,0 тыс. руб. (Р </w:t>
      </w:r>
      <w:r w:rsidRPr="00D42886">
        <w:rPr>
          <w:sz w:val="28"/>
          <w:szCs w:val="28"/>
          <w:vertAlign w:val="subscript"/>
        </w:rPr>
        <w:t>эксгеомел</w:t>
      </w:r>
      <w:r w:rsidRPr="00D42886">
        <w:rPr>
          <w:sz w:val="28"/>
          <w:szCs w:val="28"/>
        </w:rPr>
        <w:t>) - категория «мелкие» месторождения;</w:t>
      </w:r>
    </w:p>
    <w:p w:rsidR="00935C40" w:rsidRPr="00D42886" w:rsidRDefault="00935C40" w:rsidP="00935C40">
      <w:pPr>
        <w:ind w:firstLine="708"/>
        <w:jc w:val="both"/>
        <w:rPr>
          <w:sz w:val="28"/>
          <w:szCs w:val="28"/>
        </w:rPr>
      </w:pPr>
      <w:r w:rsidRPr="00D42886">
        <w:rPr>
          <w:sz w:val="28"/>
          <w:szCs w:val="28"/>
        </w:rPr>
        <w:t xml:space="preserve">50,0 тыс. руб. (Р </w:t>
      </w:r>
      <w:r w:rsidRPr="00D42886">
        <w:rPr>
          <w:sz w:val="20"/>
          <w:szCs w:val="28"/>
        </w:rPr>
        <w:t>эксгеоср</w:t>
      </w:r>
      <w:r w:rsidRPr="00D42886">
        <w:rPr>
          <w:sz w:val="28"/>
          <w:szCs w:val="28"/>
        </w:rPr>
        <w:t xml:space="preserve">) - категория «средние» месторождения; </w:t>
      </w:r>
    </w:p>
    <w:p w:rsidR="00935C40" w:rsidRPr="00D42886" w:rsidRDefault="00935C40" w:rsidP="00935C40">
      <w:pPr>
        <w:ind w:firstLine="708"/>
        <w:jc w:val="both"/>
        <w:rPr>
          <w:sz w:val="28"/>
          <w:szCs w:val="28"/>
        </w:rPr>
      </w:pPr>
      <w:r w:rsidRPr="00D42886">
        <w:rPr>
          <w:sz w:val="28"/>
          <w:szCs w:val="28"/>
        </w:rPr>
        <w:t xml:space="preserve">75,0 тыс. рублей (Р </w:t>
      </w:r>
      <w:r w:rsidRPr="00D42886">
        <w:rPr>
          <w:sz w:val="28"/>
          <w:szCs w:val="28"/>
          <w:vertAlign w:val="subscript"/>
        </w:rPr>
        <w:t>эксгеокруп</w:t>
      </w:r>
      <w:r w:rsidRPr="00D42886">
        <w:rPr>
          <w:sz w:val="28"/>
          <w:szCs w:val="28"/>
        </w:rPr>
        <w:t xml:space="preserve">) – категория «крупные» месторождения. </w:t>
      </w:r>
    </w:p>
    <w:p w:rsidR="00935C40" w:rsidRDefault="00935C40" w:rsidP="00935C40">
      <w:pPr>
        <w:ind w:firstLine="708"/>
        <w:jc w:val="both"/>
        <w:rPr>
          <w:sz w:val="28"/>
          <w:szCs w:val="28"/>
        </w:rPr>
      </w:pPr>
      <w:r w:rsidRPr="00D42886">
        <w:rPr>
          <w:sz w:val="28"/>
          <w:szCs w:val="28"/>
        </w:rPr>
        <w:t>Прогнозируемое количество государственных экспертиз запасов полезных ископаемых по уровню сложности высчитывалось методом усреднения за 3 года.</w:t>
      </w:r>
    </w:p>
    <w:p w:rsidR="00D95D6F" w:rsidRDefault="00D95D6F" w:rsidP="00935C40">
      <w:pPr>
        <w:ind w:firstLine="708"/>
        <w:jc w:val="both"/>
        <w:rPr>
          <w:sz w:val="28"/>
          <w:szCs w:val="28"/>
        </w:rPr>
      </w:pPr>
    </w:p>
    <w:p w:rsidR="00D95D6F" w:rsidRDefault="00D95D6F" w:rsidP="00935C40">
      <w:pPr>
        <w:ind w:firstLine="708"/>
        <w:jc w:val="both"/>
        <w:rPr>
          <w:sz w:val="28"/>
          <w:szCs w:val="28"/>
        </w:rPr>
      </w:pPr>
    </w:p>
    <w:p w:rsidR="00D95D6F" w:rsidRDefault="00D95D6F" w:rsidP="00935C40">
      <w:pPr>
        <w:ind w:firstLine="708"/>
        <w:jc w:val="both"/>
        <w:rPr>
          <w:sz w:val="28"/>
          <w:szCs w:val="28"/>
        </w:rPr>
      </w:pPr>
    </w:p>
    <w:p w:rsidR="00D95D6F" w:rsidRPr="00D42886" w:rsidRDefault="00D95D6F" w:rsidP="00935C40">
      <w:pPr>
        <w:ind w:firstLine="708"/>
        <w:jc w:val="both"/>
        <w:rPr>
          <w:sz w:val="28"/>
          <w:szCs w:val="28"/>
        </w:rPr>
      </w:pPr>
    </w:p>
    <w:p w:rsidR="00935C40" w:rsidRPr="00C50483" w:rsidRDefault="00935C40" w:rsidP="00935C40">
      <w:pPr>
        <w:ind w:firstLine="567"/>
        <w:jc w:val="both"/>
        <w:rPr>
          <w:sz w:val="16"/>
          <w:szCs w:val="16"/>
        </w:rPr>
      </w:pPr>
    </w:p>
    <w:p w:rsidR="00935C40" w:rsidRPr="00C50483" w:rsidRDefault="00935C40" w:rsidP="00935C40">
      <w:pPr>
        <w:jc w:val="both"/>
        <w:rPr>
          <w:sz w:val="8"/>
          <w:szCs w:val="8"/>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551"/>
        <w:gridCol w:w="1276"/>
        <w:gridCol w:w="850"/>
        <w:gridCol w:w="993"/>
        <w:gridCol w:w="850"/>
        <w:gridCol w:w="992"/>
        <w:gridCol w:w="851"/>
        <w:gridCol w:w="992"/>
      </w:tblGrid>
      <w:tr w:rsidR="00935C40" w:rsidRPr="00C50483" w:rsidTr="001E2A06">
        <w:tc>
          <w:tcPr>
            <w:tcW w:w="568" w:type="dxa"/>
            <w:vMerge w:val="restart"/>
            <w:vAlign w:val="center"/>
          </w:tcPr>
          <w:p w:rsidR="00935C40" w:rsidRPr="00C50483" w:rsidRDefault="00935C40" w:rsidP="001E2A06">
            <w:pPr>
              <w:jc w:val="center"/>
              <w:rPr>
                <w:b/>
              </w:rPr>
            </w:pPr>
            <w:r w:rsidRPr="00C50483">
              <w:rPr>
                <w:b/>
              </w:rPr>
              <w:t>№ п/п</w:t>
            </w:r>
          </w:p>
        </w:tc>
        <w:tc>
          <w:tcPr>
            <w:tcW w:w="2551" w:type="dxa"/>
            <w:vMerge w:val="restart"/>
            <w:vAlign w:val="center"/>
          </w:tcPr>
          <w:p w:rsidR="00935C40" w:rsidRPr="00C50483" w:rsidRDefault="00935C40" w:rsidP="001E2A06">
            <w:pPr>
              <w:jc w:val="center"/>
              <w:rPr>
                <w:b/>
              </w:rPr>
            </w:pPr>
            <w:r w:rsidRPr="00C50483">
              <w:rPr>
                <w:b/>
              </w:rPr>
              <w:t>Показатель</w:t>
            </w:r>
          </w:p>
        </w:tc>
        <w:tc>
          <w:tcPr>
            <w:tcW w:w="1276" w:type="dxa"/>
            <w:vMerge w:val="restart"/>
            <w:vAlign w:val="center"/>
          </w:tcPr>
          <w:p w:rsidR="00935C40" w:rsidRPr="00C50483" w:rsidRDefault="00935C40" w:rsidP="001E2A06">
            <w:pPr>
              <w:jc w:val="center"/>
              <w:rPr>
                <w:b/>
              </w:rPr>
            </w:pPr>
            <w:r>
              <w:rPr>
                <w:b/>
              </w:rPr>
              <w:t>Размер платы за</w:t>
            </w:r>
            <w:r w:rsidRPr="00C50483">
              <w:rPr>
                <w:b/>
              </w:rPr>
              <w:t xml:space="preserve"> ед</w:t>
            </w:r>
            <w:r>
              <w:rPr>
                <w:b/>
              </w:rPr>
              <w:t>./</w:t>
            </w:r>
            <w:r w:rsidRPr="00C50483">
              <w:rPr>
                <w:b/>
              </w:rPr>
              <w:t xml:space="preserve"> </w:t>
            </w:r>
          </w:p>
          <w:p w:rsidR="00935C40" w:rsidRDefault="00935C40" w:rsidP="001E2A06">
            <w:pPr>
              <w:jc w:val="center"/>
              <w:rPr>
                <w:b/>
              </w:rPr>
            </w:pPr>
            <w:r w:rsidRPr="00C50483">
              <w:rPr>
                <w:b/>
              </w:rPr>
              <w:t>тыс. руб..</w:t>
            </w:r>
          </w:p>
        </w:tc>
        <w:tc>
          <w:tcPr>
            <w:tcW w:w="1843" w:type="dxa"/>
            <w:gridSpan w:val="2"/>
            <w:vAlign w:val="center"/>
          </w:tcPr>
          <w:p w:rsidR="00935C40" w:rsidRPr="00C50483" w:rsidRDefault="00935C40" w:rsidP="001E2A06">
            <w:pPr>
              <w:jc w:val="center"/>
              <w:rPr>
                <w:b/>
              </w:rPr>
            </w:pPr>
            <w:r>
              <w:rPr>
                <w:b/>
              </w:rPr>
              <w:t xml:space="preserve">Прогноз 2022 </w:t>
            </w:r>
          </w:p>
        </w:tc>
        <w:tc>
          <w:tcPr>
            <w:tcW w:w="1842" w:type="dxa"/>
            <w:gridSpan w:val="2"/>
          </w:tcPr>
          <w:p w:rsidR="00935C40" w:rsidRPr="00C50483" w:rsidRDefault="00935C40" w:rsidP="001E2A06">
            <w:pPr>
              <w:jc w:val="center"/>
              <w:rPr>
                <w:b/>
              </w:rPr>
            </w:pPr>
            <w:r>
              <w:rPr>
                <w:b/>
              </w:rPr>
              <w:t>Прогноз 2023</w:t>
            </w:r>
          </w:p>
        </w:tc>
        <w:tc>
          <w:tcPr>
            <w:tcW w:w="1843" w:type="dxa"/>
            <w:gridSpan w:val="2"/>
          </w:tcPr>
          <w:p w:rsidR="00935C40" w:rsidRPr="00C50483" w:rsidRDefault="00935C40" w:rsidP="001E2A06">
            <w:pPr>
              <w:jc w:val="center"/>
              <w:rPr>
                <w:b/>
              </w:rPr>
            </w:pPr>
            <w:r>
              <w:rPr>
                <w:b/>
              </w:rPr>
              <w:t>Прогноз 2024</w:t>
            </w:r>
          </w:p>
        </w:tc>
      </w:tr>
      <w:tr w:rsidR="00935C40" w:rsidRPr="00C50483" w:rsidTr="001E2A06">
        <w:tc>
          <w:tcPr>
            <w:tcW w:w="568" w:type="dxa"/>
            <w:vMerge/>
            <w:vAlign w:val="center"/>
          </w:tcPr>
          <w:p w:rsidR="00935C40" w:rsidRPr="00C50483" w:rsidRDefault="00935C40" w:rsidP="001E2A06">
            <w:pPr>
              <w:jc w:val="center"/>
              <w:rPr>
                <w:b/>
              </w:rPr>
            </w:pPr>
          </w:p>
        </w:tc>
        <w:tc>
          <w:tcPr>
            <w:tcW w:w="2551" w:type="dxa"/>
            <w:vMerge/>
            <w:vAlign w:val="center"/>
          </w:tcPr>
          <w:p w:rsidR="00935C40" w:rsidRPr="00C50483" w:rsidRDefault="00935C40" w:rsidP="001E2A06">
            <w:pPr>
              <w:jc w:val="center"/>
              <w:rPr>
                <w:b/>
              </w:rPr>
            </w:pPr>
          </w:p>
        </w:tc>
        <w:tc>
          <w:tcPr>
            <w:tcW w:w="1276" w:type="dxa"/>
            <w:vMerge/>
            <w:vAlign w:val="center"/>
          </w:tcPr>
          <w:p w:rsidR="00935C40" w:rsidRPr="00C50483" w:rsidRDefault="00935C40" w:rsidP="001E2A06">
            <w:pPr>
              <w:jc w:val="center"/>
              <w:rPr>
                <w:b/>
              </w:rPr>
            </w:pPr>
          </w:p>
        </w:tc>
        <w:tc>
          <w:tcPr>
            <w:tcW w:w="850" w:type="dxa"/>
            <w:vAlign w:val="center"/>
          </w:tcPr>
          <w:p w:rsidR="00935C40" w:rsidRPr="00677C25" w:rsidRDefault="00935C40" w:rsidP="001E2A06">
            <w:pPr>
              <w:jc w:val="center"/>
              <w:rPr>
                <w:sz w:val="23"/>
                <w:szCs w:val="23"/>
              </w:rPr>
            </w:pPr>
            <w:r w:rsidRPr="00677C25">
              <w:rPr>
                <w:sz w:val="23"/>
                <w:szCs w:val="23"/>
              </w:rPr>
              <w:t>Количество, шт</w:t>
            </w:r>
          </w:p>
        </w:tc>
        <w:tc>
          <w:tcPr>
            <w:tcW w:w="993" w:type="dxa"/>
            <w:vAlign w:val="center"/>
          </w:tcPr>
          <w:p w:rsidR="00935C40" w:rsidRPr="00677C25" w:rsidRDefault="00935C40" w:rsidP="001E2A06">
            <w:pPr>
              <w:jc w:val="center"/>
              <w:rPr>
                <w:sz w:val="23"/>
                <w:szCs w:val="23"/>
              </w:rPr>
            </w:pPr>
            <w:r w:rsidRPr="00677C25">
              <w:rPr>
                <w:sz w:val="23"/>
                <w:szCs w:val="23"/>
              </w:rPr>
              <w:t xml:space="preserve">Сумма, </w:t>
            </w:r>
          </w:p>
          <w:p w:rsidR="00935C40" w:rsidRPr="00677C25" w:rsidRDefault="00935C40" w:rsidP="001E2A06">
            <w:pPr>
              <w:jc w:val="center"/>
              <w:rPr>
                <w:sz w:val="23"/>
                <w:szCs w:val="23"/>
              </w:rPr>
            </w:pPr>
            <w:r w:rsidRPr="00677C25">
              <w:rPr>
                <w:sz w:val="23"/>
                <w:szCs w:val="23"/>
              </w:rPr>
              <w:t>тыс. руб.</w:t>
            </w:r>
          </w:p>
        </w:tc>
        <w:tc>
          <w:tcPr>
            <w:tcW w:w="850" w:type="dxa"/>
            <w:vAlign w:val="center"/>
          </w:tcPr>
          <w:p w:rsidR="00935C40" w:rsidRPr="00677C25" w:rsidRDefault="00935C40" w:rsidP="001E2A06">
            <w:pPr>
              <w:jc w:val="center"/>
              <w:rPr>
                <w:sz w:val="23"/>
                <w:szCs w:val="23"/>
              </w:rPr>
            </w:pPr>
            <w:r w:rsidRPr="00677C25">
              <w:rPr>
                <w:sz w:val="23"/>
                <w:szCs w:val="23"/>
              </w:rPr>
              <w:t>Количество, шт</w:t>
            </w:r>
          </w:p>
        </w:tc>
        <w:tc>
          <w:tcPr>
            <w:tcW w:w="992" w:type="dxa"/>
            <w:vAlign w:val="center"/>
          </w:tcPr>
          <w:p w:rsidR="00935C40" w:rsidRPr="00677C25" w:rsidRDefault="00935C40" w:rsidP="001E2A06">
            <w:pPr>
              <w:jc w:val="center"/>
              <w:rPr>
                <w:sz w:val="23"/>
                <w:szCs w:val="23"/>
              </w:rPr>
            </w:pPr>
            <w:r w:rsidRPr="00677C25">
              <w:rPr>
                <w:sz w:val="23"/>
                <w:szCs w:val="23"/>
              </w:rPr>
              <w:t xml:space="preserve">Сумма, </w:t>
            </w:r>
          </w:p>
          <w:p w:rsidR="00935C40" w:rsidRPr="00677C25" w:rsidRDefault="00935C40" w:rsidP="001E2A06">
            <w:pPr>
              <w:jc w:val="center"/>
              <w:rPr>
                <w:sz w:val="23"/>
                <w:szCs w:val="23"/>
              </w:rPr>
            </w:pPr>
            <w:r w:rsidRPr="00677C25">
              <w:rPr>
                <w:sz w:val="23"/>
                <w:szCs w:val="23"/>
              </w:rPr>
              <w:t>тыс. руб.</w:t>
            </w:r>
          </w:p>
        </w:tc>
        <w:tc>
          <w:tcPr>
            <w:tcW w:w="851" w:type="dxa"/>
            <w:vAlign w:val="center"/>
          </w:tcPr>
          <w:p w:rsidR="00935C40" w:rsidRPr="00677C25" w:rsidRDefault="00935C40" w:rsidP="001E2A06">
            <w:pPr>
              <w:jc w:val="center"/>
              <w:rPr>
                <w:sz w:val="23"/>
                <w:szCs w:val="23"/>
              </w:rPr>
            </w:pPr>
            <w:r w:rsidRPr="00677C25">
              <w:rPr>
                <w:sz w:val="23"/>
                <w:szCs w:val="23"/>
              </w:rPr>
              <w:t>Количество, шт</w:t>
            </w:r>
          </w:p>
        </w:tc>
        <w:tc>
          <w:tcPr>
            <w:tcW w:w="992" w:type="dxa"/>
            <w:vAlign w:val="center"/>
          </w:tcPr>
          <w:p w:rsidR="00935C40" w:rsidRPr="00677C25" w:rsidRDefault="00935C40" w:rsidP="001E2A06">
            <w:pPr>
              <w:jc w:val="center"/>
              <w:rPr>
                <w:sz w:val="23"/>
                <w:szCs w:val="23"/>
              </w:rPr>
            </w:pPr>
            <w:r w:rsidRPr="00677C25">
              <w:rPr>
                <w:sz w:val="23"/>
                <w:szCs w:val="23"/>
              </w:rPr>
              <w:t xml:space="preserve">Сумма, </w:t>
            </w:r>
          </w:p>
          <w:p w:rsidR="00935C40" w:rsidRPr="00677C25" w:rsidRDefault="00935C40" w:rsidP="001E2A06">
            <w:pPr>
              <w:jc w:val="center"/>
              <w:rPr>
                <w:sz w:val="23"/>
                <w:szCs w:val="23"/>
              </w:rPr>
            </w:pPr>
            <w:r w:rsidRPr="00677C25">
              <w:rPr>
                <w:sz w:val="23"/>
                <w:szCs w:val="23"/>
              </w:rPr>
              <w:t>тыс. руб.</w:t>
            </w:r>
          </w:p>
        </w:tc>
      </w:tr>
      <w:tr w:rsidR="00935C40" w:rsidRPr="00C50483" w:rsidTr="001E2A06">
        <w:tc>
          <w:tcPr>
            <w:tcW w:w="568" w:type="dxa"/>
          </w:tcPr>
          <w:p w:rsidR="00935C40" w:rsidRPr="00C50483" w:rsidRDefault="00935C40" w:rsidP="001E2A06">
            <w:pPr>
              <w:jc w:val="center"/>
            </w:pPr>
            <w:r w:rsidRPr="00C50483">
              <w:t>1</w:t>
            </w:r>
          </w:p>
        </w:tc>
        <w:tc>
          <w:tcPr>
            <w:tcW w:w="2551" w:type="dxa"/>
          </w:tcPr>
          <w:p w:rsidR="00935C40" w:rsidRPr="00C50483" w:rsidRDefault="00935C40" w:rsidP="001E2A06">
            <w:pPr>
              <w:rPr>
                <w:b/>
              </w:rPr>
            </w:pPr>
            <w:r w:rsidRPr="00C50483">
              <w:t xml:space="preserve">Плата за проведение государственной экспертизы запасов полезных ископаемых месторождения категории «подземные воды» </w:t>
            </w:r>
          </w:p>
        </w:tc>
        <w:tc>
          <w:tcPr>
            <w:tcW w:w="1276" w:type="dxa"/>
            <w:vAlign w:val="center"/>
          </w:tcPr>
          <w:p w:rsidR="00935C40" w:rsidRPr="00C50483" w:rsidRDefault="00935C40" w:rsidP="001E2A06">
            <w:pPr>
              <w:jc w:val="center"/>
            </w:pPr>
            <w:r>
              <w:t>10,0</w:t>
            </w:r>
          </w:p>
        </w:tc>
        <w:tc>
          <w:tcPr>
            <w:tcW w:w="850" w:type="dxa"/>
            <w:vAlign w:val="center"/>
          </w:tcPr>
          <w:p w:rsidR="00935C40" w:rsidRPr="00C50483" w:rsidRDefault="00935C40" w:rsidP="001E2A06">
            <w:pPr>
              <w:jc w:val="center"/>
            </w:pPr>
            <w:r>
              <w:t>18</w:t>
            </w:r>
          </w:p>
        </w:tc>
        <w:tc>
          <w:tcPr>
            <w:tcW w:w="993" w:type="dxa"/>
            <w:vAlign w:val="center"/>
          </w:tcPr>
          <w:p w:rsidR="00935C40" w:rsidRPr="00C50483" w:rsidRDefault="00935C40" w:rsidP="001E2A06">
            <w:pPr>
              <w:jc w:val="center"/>
            </w:pPr>
            <w:r>
              <w:t>180</w:t>
            </w:r>
            <w:r w:rsidRPr="00C50483">
              <w:t>,0</w:t>
            </w:r>
          </w:p>
        </w:tc>
        <w:tc>
          <w:tcPr>
            <w:tcW w:w="850" w:type="dxa"/>
            <w:vAlign w:val="center"/>
          </w:tcPr>
          <w:p w:rsidR="00935C40" w:rsidRPr="00C50483" w:rsidRDefault="00935C40" w:rsidP="001E2A06">
            <w:pPr>
              <w:jc w:val="center"/>
            </w:pPr>
            <w:r>
              <w:t>18</w:t>
            </w:r>
          </w:p>
        </w:tc>
        <w:tc>
          <w:tcPr>
            <w:tcW w:w="992" w:type="dxa"/>
            <w:vAlign w:val="center"/>
          </w:tcPr>
          <w:p w:rsidR="00935C40" w:rsidRPr="00C50483" w:rsidRDefault="00935C40" w:rsidP="001E2A06">
            <w:pPr>
              <w:jc w:val="center"/>
            </w:pPr>
            <w:r>
              <w:t>180,0</w:t>
            </w:r>
          </w:p>
        </w:tc>
        <w:tc>
          <w:tcPr>
            <w:tcW w:w="851" w:type="dxa"/>
            <w:vAlign w:val="center"/>
          </w:tcPr>
          <w:p w:rsidR="00935C40" w:rsidRPr="001E5DA9" w:rsidRDefault="00935C40" w:rsidP="001E2A06">
            <w:pPr>
              <w:jc w:val="center"/>
            </w:pPr>
            <w:r w:rsidRPr="001E5DA9">
              <w:t>1</w:t>
            </w:r>
            <w:r>
              <w:t>8</w:t>
            </w:r>
          </w:p>
        </w:tc>
        <w:tc>
          <w:tcPr>
            <w:tcW w:w="992" w:type="dxa"/>
            <w:vAlign w:val="center"/>
          </w:tcPr>
          <w:p w:rsidR="00935C40" w:rsidRPr="001E5DA9" w:rsidRDefault="00935C40" w:rsidP="001E2A06">
            <w:pPr>
              <w:jc w:val="center"/>
            </w:pPr>
            <w:r w:rsidRPr="001E5DA9">
              <w:t>1</w:t>
            </w:r>
            <w:r>
              <w:t>8</w:t>
            </w:r>
            <w:r w:rsidRPr="001E5DA9">
              <w:t>0,0</w:t>
            </w:r>
          </w:p>
        </w:tc>
      </w:tr>
      <w:tr w:rsidR="00935C40" w:rsidRPr="00C50483" w:rsidTr="001E2A06">
        <w:tc>
          <w:tcPr>
            <w:tcW w:w="568" w:type="dxa"/>
          </w:tcPr>
          <w:p w:rsidR="00935C40" w:rsidRPr="00C50483" w:rsidRDefault="00935C40" w:rsidP="001E2A06">
            <w:pPr>
              <w:jc w:val="center"/>
            </w:pPr>
            <w:r w:rsidRPr="00C50483">
              <w:t>2</w:t>
            </w:r>
          </w:p>
        </w:tc>
        <w:tc>
          <w:tcPr>
            <w:tcW w:w="2551" w:type="dxa"/>
          </w:tcPr>
          <w:p w:rsidR="00935C40" w:rsidRPr="00C50483" w:rsidRDefault="00935C40" w:rsidP="001E2A06">
            <w:r w:rsidRPr="00C50483">
              <w:t>Плата за проведение государственной экспертизы запасов полезных ископаемых месторождения категории «эксплуатационная разведка»</w:t>
            </w:r>
          </w:p>
        </w:tc>
        <w:tc>
          <w:tcPr>
            <w:tcW w:w="1276" w:type="dxa"/>
            <w:vAlign w:val="center"/>
          </w:tcPr>
          <w:p w:rsidR="00935C40" w:rsidRPr="00C50483" w:rsidRDefault="00935C40" w:rsidP="001E2A06">
            <w:pPr>
              <w:jc w:val="center"/>
            </w:pPr>
            <w:r>
              <w:t>10,0</w:t>
            </w:r>
          </w:p>
        </w:tc>
        <w:tc>
          <w:tcPr>
            <w:tcW w:w="850" w:type="dxa"/>
            <w:vAlign w:val="center"/>
          </w:tcPr>
          <w:p w:rsidR="00935C40" w:rsidRPr="00C50483" w:rsidRDefault="00935C40" w:rsidP="001E2A06">
            <w:pPr>
              <w:jc w:val="center"/>
            </w:pPr>
            <w:r>
              <w:t>3</w:t>
            </w:r>
          </w:p>
        </w:tc>
        <w:tc>
          <w:tcPr>
            <w:tcW w:w="993" w:type="dxa"/>
            <w:vAlign w:val="center"/>
          </w:tcPr>
          <w:p w:rsidR="00935C40" w:rsidRPr="00C50483" w:rsidRDefault="00935C40" w:rsidP="001E2A06">
            <w:pPr>
              <w:jc w:val="center"/>
            </w:pPr>
            <w:r>
              <w:t>3</w:t>
            </w:r>
            <w:r w:rsidRPr="00C50483">
              <w:t>0,0</w:t>
            </w:r>
          </w:p>
        </w:tc>
        <w:tc>
          <w:tcPr>
            <w:tcW w:w="850" w:type="dxa"/>
            <w:vAlign w:val="center"/>
          </w:tcPr>
          <w:p w:rsidR="00935C40" w:rsidRPr="00C50483" w:rsidRDefault="00935C40" w:rsidP="001E2A06">
            <w:pPr>
              <w:jc w:val="center"/>
            </w:pPr>
            <w:r>
              <w:t>3</w:t>
            </w:r>
          </w:p>
        </w:tc>
        <w:tc>
          <w:tcPr>
            <w:tcW w:w="992" w:type="dxa"/>
            <w:vAlign w:val="center"/>
          </w:tcPr>
          <w:p w:rsidR="00935C40" w:rsidRPr="00C50483" w:rsidRDefault="00935C40" w:rsidP="001E2A06">
            <w:pPr>
              <w:jc w:val="center"/>
            </w:pPr>
            <w:r>
              <w:t>30,0</w:t>
            </w:r>
          </w:p>
        </w:tc>
        <w:tc>
          <w:tcPr>
            <w:tcW w:w="851" w:type="dxa"/>
            <w:vAlign w:val="center"/>
          </w:tcPr>
          <w:p w:rsidR="00935C40" w:rsidRPr="001E5DA9" w:rsidRDefault="00935C40" w:rsidP="001E2A06">
            <w:pPr>
              <w:jc w:val="center"/>
            </w:pPr>
            <w:r>
              <w:t>3</w:t>
            </w:r>
          </w:p>
        </w:tc>
        <w:tc>
          <w:tcPr>
            <w:tcW w:w="992" w:type="dxa"/>
            <w:vAlign w:val="center"/>
          </w:tcPr>
          <w:p w:rsidR="00935C40" w:rsidRPr="001E5DA9" w:rsidRDefault="00935C40" w:rsidP="001E2A06">
            <w:pPr>
              <w:jc w:val="center"/>
            </w:pPr>
            <w:r>
              <w:t>1</w:t>
            </w:r>
            <w:r w:rsidRPr="001E5DA9">
              <w:t>0,0</w:t>
            </w:r>
          </w:p>
        </w:tc>
      </w:tr>
      <w:tr w:rsidR="00935C40" w:rsidRPr="00C50483" w:rsidTr="001E2A06">
        <w:tc>
          <w:tcPr>
            <w:tcW w:w="568" w:type="dxa"/>
          </w:tcPr>
          <w:p w:rsidR="00935C40" w:rsidRPr="00C50483" w:rsidRDefault="00935C40" w:rsidP="001E2A06">
            <w:pPr>
              <w:jc w:val="center"/>
            </w:pPr>
            <w:r w:rsidRPr="00C50483">
              <w:t>3</w:t>
            </w:r>
          </w:p>
        </w:tc>
        <w:tc>
          <w:tcPr>
            <w:tcW w:w="2551" w:type="dxa"/>
          </w:tcPr>
          <w:p w:rsidR="00935C40" w:rsidRPr="00C50483" w:rsidRDefault="00935C40" w:rsidP="001E2A06">
            <w:r w:rsidRPr="00C50483">
              <w:t>Плата за проведение государственной экспертизы запасов полезных ископаемых месторождения категории «мелкие»</w:t>
            </w:r>
          </w:p>
        </w:tc>
        <w:tc>
          <w:tcPr>
            <w:tcW w:w="1276" w:type="dxa"/>
            <w:vAlign w:val="center"/>
          </w:tcPr>
          <w:p w:rsidR="00935C40" w:rsidRPr="00C50483" w:rsidRDefault="00935C40" w:rsidP="001E2A06">
            <w:pPr>
              <w:jc w:val="center"/>
            </w:pPr>
            <w:r>
              <w:t>25,0</w:t>
            </w:r>
          </w:p>
        </w:tc>
        <w:tc>
          <w:tcPr>
            <w:tcW w:w="850" w:type="dxa"/>
            <w:vAlign w:val="center"/>
          </w:tcPr>
          <w:p w:rsidR="00935C40" w:rsidRPr="00C50483" w:rsidRDefault="00935C40" w:rsidP="001E2A06">
            <w:pPr>
              <w:jc w:val="center"/>
            </w:pPr>
            <w:r>
              <w:t>6</w:t>
            </w:r>
          </w:p>
        </w:tc>
        <w:tc>
          <w:tcPr>
            <w:tcW w:w="993" w:type="dxa"/>
            <w:vAlign w:val="center"/>
          </w:tcPr>
          <w:p w:rsidR="00935C40" w:rsidRPr="00C50483" w:rsidRDefault="00935C40" w:rsidP="001E2A06">
            <w:pPr>
              <w:jc w:val="center"/>
            </w:pPr>
            <w:r>
              <w:t>15</w:t>
            </w:r>
            <w:r w:rsidRPr="00C50483">
              <w:t>0,0</w:t>
            </w:r>
          </w:p>
        </w:tc>
        <w:tc>
          <w:tcPr>
            <w:tcW w:w="850" w:type="dxa"/>
            <w:vAlign w:val="center"/>
          </w:tcPr>
          <w:p w:rsidR="00935C40" w:rsidRPr="00C50483" w:rsidRDefault="00935C40" w:rsidP="001E2A06">
            <w:pPr>
              <w:jc w:val="center"/>
            </w:pPr>
            <w:r>
              <w:t>6</w:t>
            </w:r>
          </w:p>
        </w:tc>
        <w:tc>
          <w:tcPr>
            <w:tcW w:w="992" w:type="dxa"/>
            <w:vAlign w:val="center"/>
          </w:tcPr>
          <w:p w:rsidR="00935C40" w:rsidRPr="00C50483" w:rsidRDefault="00935C40" w:rsidP="001E2A06">
            <w:pPr>
              <w:jc w:val="center"/>
            </w:pPr>
            <w:r>
              <w:t>150,0</w:t>
            </w:r>
          </w:p>
        </w:tc>
        <w:tc>
          <w:tcPr>
            <w:tcW w:w="851" w:type="dxa"/>
            <w:vAlign w:val="center"/>
          </w:tcPr>
          <w:p w:rsidR="00935C40" w:rsidRPr="001E5DA9" w:rsidRDefault="00935C40" w:rsidP="001E2A06">
            <w:pPr>
              <w:jc w:val="center"/>
            </w:pPr>
            <w:r>
              <w:t>6</w:t>
            </w:r>
          </w:p>
        </w:tc>
        <w:tc>
          <w:tcPr>
            <w:tcW w:w="992" w:type="dxa"/>
            <w:vAlign w:val="center"/>
          </w:tcPr>
          <w:p w:rsidR="00935C40" w:rsidRPr="001E5DA9" w:rsidRDefault="00935C40" w:rsidP="001E2A06">
            <w:pPr>
              <w:jc w:val="center"/>
            </w:pPr>
            <w:r>
              <w:t>15</w:t>
            </w:r>
            <w:r w:rsidRPr="001E5DA9">
              <w:t>0,0</w:t>
            </w:r>
          </w:p>
        </w:tc>
      </w:tr>
      <w:tr w:rsidR="00935C40" w:rsidRPr="00C50483" w:rsidTr="001E2A06">
        <w:tc>
          <w:tcPr>
            <w:tcW w:w="568" w:type="dxa"/>
          </w:tcPr>
          <w:p w:rsidR="00935C40" w:rsidRPr="00C50483" w:rsidRDefault="00935C40" w:rsidP="001E2A06">
            <w:pPr>
              <w:jc w:val="center"/>
            </w:pPr>
            <w:r w:rsidRPr="00C50483">
              <w:t>4</w:t>
            </w:r>
          </w:p>
        </w:tc>
        <w:tc>
          <w:tcPr>
            <w:tcW w:w="2551" w:type="dxa"/>
          </w:tcPr>
          <w:p w:rsidR="00935C40" w:rsidRPr="00C50483" w:rsidRDefault="00935C40" w:rsidP="001E2A06">
            <w:pPr>
              <w:rPr>
                <w:b/>
              </w:rPr>
            </w:pPr>
            <w:r w:rsidRPr="00C50483">
              <w:t>Плата за проведение государственной экспертизы запасов полезных ископаемых месторождения категории «средние»</w:t>
            </w:r>
          </w:p>
        </w:tc>
        <w:tc>
          <w:tcPr>
            <w:tcW w:w="1276" w:type="dxa"/>
            <w:vAlign w:val="center"/>
          </w:tcPr>
          <w:p w:rsidR="00935C40" w:rsidRPr="00C50483" w:rsidRDefault="00935C40" w:rsidP="001E2A06">
            <w:pPr>
              <w:jc w:val="center"/>
            </w:pPr>
            <w:r w:rsidRPr="00C50483">
              <w:t>5</w:t>
            </w:r>
            <w:r>
              <w:t>0,0</w:t>
            </w:r>
          </w:p>
        </w:tc>
        <w:tc>
          <w:tcPr>
            <w:tcW w:w="850" w:type="dxa"/>
            <w:vAlign w:val="center"/>
          </w:tcPr>
          <w:p w:rsidR="00935C40" w:rsidRPr="00C50483" w:rsidRDefault="00935C40" w:rsidP="001E2A06">
            <w:pPr>
              <w:jc w:val="center"/>
            </w:pPr>
            <w:r>
              <w:t>1</w:t>
            </w:r>
          </w:p>
        </w:tc>
        <w:tc>
          <w:tcPr>
            <w:tcW w:w="993" w:type="dxa"/>
            <w:vAlign w:val="center"/>
          </w:tcPr>
          <w:p w:rsidR="00935C40" w:rsidRPr="00C50483" w:rsidRDefault="00935C40" w:rsidP="001E2A06">
            <w:pPr>
              <w:jc w:val="center"/>
            </w:pPr>
            <w:r>
              <w:t>50</w:t>
            </w:r>
            <w:r w:rsidRPr="00C50483">
              <w:t>,0</w:t>
            </w:r>
          </w:p>
        </w:tc>
        <w:tc>
          <w:tcPr>
            <w:tcW w:w="850" w:type="dxa"/>
            <w:vAlign w:val="center"/>
          </w:tcPr>
          <w:p w:rsidR="00935C40" w:rsidRPr="00C50483" w:rsidRDefault="00935C40" w:rsidP="001E2A06">
            <w:pPr>
              <w:jc w:val="center"/>
            </w:pPr>
            <w:r>
              <w:t>1</w:t>
            </w:r>
          </w:p>
        </w:tc>
        <w:tc>
          <w:tcPr>
            <w:tcW w:w="992" w:type="dxa"/>
            <w:vAlign w:val="center"/>
          </w:tcPr>
          <w:p w:rsidR="00935C40" w:rsidRPr="00C50483" w:rsidRDefault="00935C40" w:rsidP="001E2A06">
            <w:pPr>
              <w:jc w:val="center"/>
            </w:pPr>
            <w:r>
              <w:t>50,0</w:t>
            </w:r>
          </w:p>
        </w:tc>
        <w:tc>
          <w:tcPr>
            <w:tcW w:w="851" w:type="dxa"/>
            <w:vAlign w:val="center"/>
          </w:tcPr>
          <w:p w:rsidR="00935C40" w:rsidRPr="001E5DA9" w:rsidRDefault="00935C40" w:rsidP="001E2A06">
            <w:pPr>
              <w:jc w:val="center"/>
            </w:pPr>
            <w:r>
              <w:t>2</w:t>
            </w:r>
          </w:p>
        </w:tc>
        <w:tc>
          <w:tcPr>
            <w:tcW w:w="992" w:type="dxa"/>
            <w:vAlign w:val="center"/>
          </w:tcPr>
          <w:p w:rsidR="00935C40" w:rsidRPr="001E5DA9" w:rsidRDefault="00935C40" w:rsidP="001E2A06">
            <w:pPr>
              <w:jc w:val="center"/>
            </w:pPr>
            <w:r>
              <w:t>5</w:t>
            </w:r>
            <w:r w:rsidRPr="001E5DA9">
              <w:t>0,0</w:t>
            </w:r>
          </w:p>
        </w:tc>
      </w:tr>
      <w:tr w:rsidR="00935C40" w:rsidRPr="00C50483" w:rsidTr="001E2A06">
        <w:tc>
          <w:tcPr>
            <w:tcW w:w="568" w:type="dxa"/>
          </w:tcPr>
          <w:p w:rsidR="00935C40" w:rsidRPr="00C50483" w:rsidRDefault="00935C40" w:rsidP="001E2A06">
            <w:pPr>
              <w:jc w:val="center"/>
            </w:pPr>
            <w:r w:rsidRPr="00C50483">
              <w:t>5</w:t>
            </w:r>
          </w:p>
        </w:tc>
        <w:tc>
          <w:tcPr>
            <w:tcW w:w="2551" w:type="dxa"/>
          </w:tcPr>
          <w:p w:rsidR="00935C40" w:rsidRPr="00C50483" w:rsidRDefault="00935C40" w:rsidP="001E2A06">
            <w:r w:rsidRPr="00C50483">
              <w:t>Плата за проведение государственной экспертизы запасов полезных ископаемых месторождения категории «крупные»</w:t>
            </w:r>
          </w:p>
        </w:tc>
        <w:tc>
          <w:tcPr>
            <w:tcW w:w="1276" w:type="dxa"/>
            <w:vAlign w:val="center"/>
          </w:tcPr>
          <w:p w:rsidR="00935C40" w:rsidRPr="00C50483" w:rsidRDefault="00935C40" w:rsidP="001E2A06">
            <w:pPr>
              <w:jc w:val="center"/>
            </w:pPr>
            <w:r>
              <w:t>75,0</w:t>
            </w:r>
          </w:p>
        </w:tc>
        <w:tc>
          <w:tcPr>
            <w:tcW w:w="850" w:type="dxa"/>
            <w:vAlign w:val="center"/>
          </w:tcPr>
          <w:p w:rsidR="00935C40" w:rsidRPr="00C50483" w:rsidRDefault="00935C40" w:rsidP="001E2A06">
            <w:pPr>
              <w:jc w:val="center"/>
            </w:pPr>
            <w:r>
              <w:t>1</w:t>
            </w:r>
          </w:p>
        </w:tc>
        <w:tc>
          <w:tcPr>
            <w:tcW w:w="993" w:type="dxa"/>
            <w:vAlign w:val="center"/>
          </w:tcPr>
          <w:p w:rsidR="00935C40" w:rsidRPr="00C50483" w:rsidRDefault="00935C40" w:rsidP="001E2A06">
            <w:pPr>
              <w:jc w:val="center"/>
            </w:pPr>
            <w:r w:rsidRPr="00C50483">
              <w:t>75,0</w:t>
            </w:r>
          </w:p>
        </w:tc>
        <w:tc>
          <w:tcPr>
            <w:tcW w:w="850" w:type="dxa"/>
            <w:vAlign w:val="center"/>
          </w:tcPr>
          <w:p w:rsidR="00935C40" w:rsidRPr="00C50483" w:rsidRDefault="00935C40" w:rsidP="001E2A06">
            <w:pPr>
              <w:jc w:val="center"/>
            </w:pPr>
            <w:r>
              <w:t>1</w:t>
            </w:r>
          </w:p>
        </w:tc>
        <w:tc>
          <w:tcPr>
            <w:tcW w:w="992" w:type="dxa"/>
            <w:vAlign w:val="center"/>
          </w:tcPr>
          <w:p w:rsidR="00935C40" w:rsidRPr="00C50483" w:rsidRDefault="00935C40" w:rsidP="001E2A06">
            <w:pPr>
              <w:jc w:val="center"/>
            </w:pPr>
            <w:r>
              <w:t>75,0</w:t>
            </w:r>
          </w:p>
        </w:tc>
        <w:tc>
          <w:tcPr>
            <w:tcW w:w="851" w:type="dxa"/>
            <w:vAlign w:val="center"/>
          </w:tcPr>
          <w:p w:rsidR="00935C40" w:rsidRPr="001E5DA9" w:rsidRDefault="00935C40" w:rsidP="001E2A06">
            <w:pPr>
              <w:jc w:val="center"/>
            </w:pPr>
            <w:r w:rsidRPr="001E5DA9">
              <w:t>1</w:t>
            </w:r>
          </w:p>
        </w:tc>
        <w:tc>
          <w:tcPr>
            <w:tcW w:w="992" w:type="dxa"/>
            <w:vAlign w:val="center"/>
          </w:tcPr>
          <w:p w:rsidR="00935C40" w:rsidRDefault="00935C40" w:rsidP="001E2A06">
            <w:pPr>
              <w:jc w:val="center"/>
            </w:pPr>
            <w:r w:rsidRPr="001E5DA9">
              <w:t>75,0</w:t>
            </w:r>
          </w:p>
        </w:tc>
      </w:tr>
      <w:tr w:rsidR="00935C40" w:rsidRPr="00C50483" w:rsidTr="001E2A06">
        <w:tc>
          <w:tcPr>
            <w:tcW w:w="5245" w:type="dxa"/>
            <w:gridSpan w:val="4"/>
          </w:tcPr>
          <w:p w:rsidR="00935C40" w:rsidRPr="00C50483" w:rsidRDefault="00935C40" w:rsidP="001E2A06">
            <w:pPr>
              <w:jc w:val="center"/>
              <w:rPr>
                <w:b/>
              </w:rPr>
            </w:pPr>
            <w:r w:rsidRPr="00C50483">
              <w:rPr>
                <w:b/>
              </w:rPr>
              <w:t>Всего:</w:t>
            </w:r>
          </w:p>
        </w:tc>
        <w:tc>
          <w:tcPr>
            <w:tcW w:w="993" w:type="dxa"/>
            <w:vAlign w:val="center"/>
          </w:tcPr>
          <w:p w:rsidR="00935C40" w:rsidRPr="00C50483" w:rsidRDefault="00935C40" w:rsidP="001E2A06">
            <w:pPr>
              <w:jc w:val="center"/>
              <w:rPr>
                <w:b/>
              </w:rPr>
            </w:pPr>
            <w:r>
              <w:rPr>
                <w:b/>
              </w:rPr>
              <w:t>48</w:t>
            </w:r>
            <w:r w:rsidRPr="00C50483">
              <w:rPr>
                <w:b/>
              </w:rPr>
              <w:t>5,0</w:t>
            </w:r>
          </w:p>
        </w:tc>
        <w:tc>
          <w:tcPr>
            <w:tcW w:w="850" w:type="dxa"/>
          </w:tcPr>
          <w:p w:rsidR="00935C40" w:rsidRPr="00C50483" w:rsidRDefault="00935C40" w:rsidP="001E2A06">
            <w:pPr>
              <w:jc w:val="center"/>
              <w:rPr>
                <w:b/>
              </w:rPr>
            </w:pPr>
          </w:p>
        </w:tc>
        <w:tc>
          <w:tcPr>
            <w:tcW w:w="992" w:type="dxa"/>
          </w:tcPr>
          <w:p w:rsidR="00935C40" w:rsidRPr="00C50483" w:rsidRDefault="00935C40" w:rsidP="001E2A06">
            <w:pPr>
              <w:jc w:val="center"/>
              <w:rPr>
                <w:b/>
              </w:rPr>
            </w:pPr>
            <w:r>
              <w:rPr>
                <w:b/>
              </w:rPr>
              <w:t>485,0</w:t>
            </w:r>
          </w:p>
        </w:tc>
        <w:tc>
          <w:tcPr>
            <w:tcW w:w="851" w:type="dxa"/>
          </w:tcPr>
          <w:p w:rsidR="00935C40" w:rsidRPr="00C50483" w:rsidRDefault="00935C40" w:rsidP="001E2A06">
            <w:pPr>
              <w:jc w:val="center"/>
              <w:rPr>
                <w:b/>
              </w:rPr>
            </w:pPr>
          </w:p>
        </w:tc>
        <w:tc>
          <w:tcPr>
            <w:tcW w:w="992" w:type="dxa"/>
          </w:tcPr>
          <w:p w:rsidR="00935C40" w:rsidRPr="00C50483" w:rsidRDefault="00935C40" w:rsidP="001E2A06">
            <w:pPr>
              <w:jc w:val="center"/>
              <w:rPr>
                <w:b/>
              </w:rPr>
            </w:pPr>
            <w:r>
              <w:rPr>
                <w:b/>
              </w:rPr>
              <w:t>485,0</w:t>
            </w:r>
          </w:p>
        </w:tc>
      </w:tr>
    </w:tbl>
    <w:p w:rsidR="00935C40" w:rsidRPr="00C50483" w:rsidRDefault="00935C40" w:rsidP="00935C40">
      <w:pPr>
        <w:ind w:firstLine="567"/>
        <w:jc w:val="both"/>
        <w:rPr>
          <w:sz w:val="20"/>
          <w:szCs w:val="20"/>
        </w:rPr>
      </w:pPr>
    </w:p>
    <w:p w:rsidR="00935C40" w:rsidRPr="00C50483" w:rsidRDefault="00935C40" w:rsidP="00935C40">
      <w:pPr>
        <w:ind w:firstLine="567"/>
        <w:jc w:val="both"/>
        <w:rPr>
          <w:sz w:val="28"/>
          <w:szCs w:val="28"/>
        </w:rPr>
      </w:pPr>
    </w:p>
    <w:p w:rsidR="00935C40" w:rsidRPr="00314A27" w:rsidRDefault="00935C40" w:rsidP="00935C40">
      <w:pPr>
        <w:jc w:val="center"/>
        <w:rPr>
          <w:sz w:val="28"/>
        </w:rPr>
      </w:pPr>
      <w:r w:rsidRPr="00314A27">
        <w:rPr>
          <w:sz w:val="28"/>
          <w:szCs w:val="28"/>
        </w:rPr>
        <w:t xml:space="preserve">Расчет прогноза поступления </w:t>
      </w:r>
      <w:r w:rsidRPr="00314A27">
        <w:rPr>
          <w:sz w:val="28"/>
        </w:rPr>
        <w:t>сборов за участие в конкурсе (аукционе) на право пользования участками недр местного значения</w:t>
      </w:r>
    </w:p>
    <w:p w:rsidR="00935C40" w:rsidRPr="00314A27" w:rsidRDefault="00935C40" w:rsidP="00935C40">
      <w:pPr>
        <w:jc w:val="center"/>
        <w:rPr>
          <w:sz w:val="28"/>
          <w:szCs w:val="28"/>
        </w:rPr>
      </w:pPr>
      <w:r w:rsidRPr="00314A27">
        <w:rPr>
          <w:sz w:val="28"/>
          <w:szCs w:val="28"/>
        </w:rPr>
        <w:t>на 20</w:t>
      </w:r>
      <w:r>
        <w:rPr>
          <w:sz w:val="28"/>
          <w:szCs w:val="28"/>
        </w:rPr>
        <w:t>22</w:t>
      </w:r>
      <w:r w:rsidRPr="00314A27">
        <w:rPr>
          <w:sz w:val="28"/>
          <w:szCs w:val="28"/>
        </w:rPr>
        <w:t xml:space="preserve"> год, 20</w:t>
      </w:r>
      <w:r>
        <w:rPr>
          <w:sz w:val="28"/>
          <w:szCs w:val="28"/>
        </w:rPr>
        <w:t>23</w:t>
      </w:r>
      <w:r w:rsidRPr="00314A27">
        <w:rPr>
          <w:sz w:val="28"/>
          <w:szCs w:val="28"/>
        </w:rPr>
        <w:t xml:space="preserve"> и 20</w:t>
      </w:r>
      <w:r>
        <w:rPr>
          <w:sz w:val="28"/>
          <w:szCs w:val="28"/>
        </w:rPr>
        <w:t>24</w:t>
      </w:r>
      <w:r w:rsidRPr="00314A27">
        <w:rPr>
          <w:sz w:val="28"/>
          <w:szCs w:val="28"/>
        </w:rPr>
        <w:t xml:space="preserve"> годы</w:t>
      </w:r>
    </w:p>
    <w:p w:rsidR="00935C40" w:rsidRPr="00314A27" w:rsidRDefault="00935C40" w:rsidP="00935C40">
      <w:pPr>
        <w:jc w:val="center"/>
        <w:rPr>
          <w:sz w:val="28"/>
          <w:szCs w:val="28"/>
        </w:rPr>
      </w:pPr>
      <w:r w:rsidRPr="00314A27">
        <w:rPr>
          <w:sz w:val="28"/>
          <w:szCs w:val="28"/>
        </w:rPr>
        <w:t>(КБК 327 1 12 02102 02 0000 120)</w:t>
      </w:r>
    </w:p>
    <w:p w:rsidR="00935C40" w:rsidRDefault="00935C40" w:rsidP="00935C40">
      <w:pPr>
        <w:ind w:firstLine="709"/>
        <w:jc w:val="both"/>
        <w:rPr>
          <w:sz w:val="28"/>
          <w:szCs w:val="28"/>
        </w:rPr>
      </w:pPr>
      <w:r w:rsidRPr="009F2ACB">
        <w:rPr>
          <w:sz w:val="28"/>
          <w:szCs w:val="28"/>
        </w:rPr>
        <w:t xml:space="preserve">Расчет произведен Министерством природных ресурсов и экологии Тверской области (главным администратором доходов бюджета) в соответствии с методикой прогнозирования поступлений доходов областного бюджета и местных бюджетов Тверской области, утвержденной </w:t>
      </w:r>
      <w:r w:rsidRPr="009F2ACB">
        <w:rPr>
          <w:sz w:val="28"/>
          <w:szCs w:val="28"/>
        </w:rPr>
        <w:lastRenderedPageBreak/>
        <w:t xml:space="preserve">приказом Министерства природных ресурсов и экологии Тверской области от </w:t>
      </w:r>
      <w:r>
        <w:rPr>
          <w:sz w:val="28"/>
          <w:szCs w:val="28"/>
        </w:rPr>
        <w:t>17</w:t>
      </w:r>
      <w:r w:rsidRPr="009F2ACB">
        <w:rPr>
          <w:sz w:val="28"/>
          <w:szCs w:val="28"/>
        </w:rPr>
        <w:t>.0</w:t>
      </w:r>
      <w:r>
        <w:rPr>
          <w:sz w:val="28"/>
          <w:szCs w:val="28"/>
        </w:rPr>
        <w:t>6</w:t>
      </w:r>
      <w:r w:rsidRPr="009F2ACB">
        <w:rPr>
          <w:sz w:val="28"/>
          <w:szCs w:val="28"/>
        </w:rPr>
        <w:t>.20</w:t>
      </w:r>
      <w:r>
        <w:rPr>
          <w:sz w:val="28"/>
          <w:szCs w:val="28"/>
        </w:rPr>
        <w:t xml:space="preserve">21 № </w:t>
      </w:r>
      <w:r w:rsidRPr="009F2ACB">
        <w:rPr>
          <w:sz w:val="28"/>
          <w:szCs w:val="28"/>
        </w:rPr>
        <w:t>8</w:t>
      </w:r>
      <w:r>
        <w:rPr>
          <w:sz w:val="28"/>
          <w:szCs w:val="28"/>
        </w:rPr>
        <w:t>5</w:t>
      </w:r>
      <w:r w:rsidRPr="009F2ACB">
        <w:rPr>
          <w:sz w:val="28"/>
          <w:szCs w:val="28"/>
        </w:rPr>
        <w:t>-кв</w:t>
      </w:r>
      <w:r>
        <w:rPr>
          <w:sz w:val="28"/>
          <w:szCs w:val="28"/>
        </w:rPr>
        <w:t>.</w:t>
      </w:r>
    </w:p>
    <w:p w:rsidR="00935C40" w:rsidRPr="00314A27" w:rsidRDefault="00935C40" w:rsidP="00935C40">
      <w:pPr>
        <w:ind w:firstLine="600"/>
        <w:jc w:val="both"/>
        <w:rPr>
          <w:sz w:val="28"/>
          <w:szCs w:val="28"/>
        </w:rPr>
      </w:pPr>
      <w:r w:rsidRPr="00314A27">
        <w:rPr>
          <w:sz w:val="28"/>
          <w:szCs w:val="28"/>
        </w:rPr>
        <w:t xml:space="preserve">Сбор за участие в аукционе (конкурсе) на право пользования участками недр местного значения складывается из стоимости затрат на подготовку, проведение и подведение итогов аукциона. </w:t>
      </w:r>
    </w:p>
    <w:p w:rsidR="00935C40" w:rsidRPr="00314A27" w:rsidRDefault="00935C40" w:rsidP="00935C40">
      <w:pPr>
        <w:ind w:firstLine="708"/>
        <w:jc w:val="both"/>
        <w:rPr>
          <w:sz w:val="28"/>
          <w:szCs w:val="28"/>
        </w:rPr>
      </w:pPr>
      <w:r w:rsidRPr="00314A27">
        <w:rPr>
          <w:sz w:val="28"/>
          <w:szCs w:val="28"/>
        </w:rPr>
        <w:t>Расчет прогнозного объема поступления сборов за участие в аукционе (конкурсе) на право пользования участками недр местного значения в 20</w:t>
      </w:r>
      <w:r>
        <w:rPr>
          <w:sz w:val="28"/>
          <w:szCs w:val="28"/>
        </w:rPr>
        <w:t>22</w:t>
      </w:r>
      <w:r w:rsidRPr="00314A27">
        <w:rPr>
          <w:sz w:val="28"/>
          <w:szCs w:val="28"/>
        </w:rPr>
        <w:t xml:space="preserve"> году (</w:t>
      </w:r>
      <w:r w:rsidRPr="00314A27">
        <w:rPr>
          <w:sz w:val="28"/>
          <w:szCs w:val="28"/>
          <w:lang w:val="en-US"/>
        </w:rPr>
        <w:t>n</w:t>
      </w:r>
      <w:r w:rsidRPr="00314A27">
        <w:rPr>
          <w:sz w:val="28"/>
          <w:szCs w:val="28"/>
        </w:rPr>
        <w:t xml:space="preserve"> год) произведен исходя из планируемого количества сборов и суммы сбора с одного участника аукциона по формуле:</w:t>
      </w:r>
    </w:p>
    <w:p w:rsidR="00935C40" w:rsidRPr="00314A27" w:rsidRDefault="00935C40" w:rsidP="00935C40">
      <w:pPr>
        <w:jc w:val="center"/>
        <w:rPr>
          <w:sz w:val="28"/>
          <w:szCs w:val="28"/>
        </w:rPr>
      </w:pPr>
      <w:r w:rsidRPr="00314A27">
        <w:rPr>
          <w:sz w:val="28"/>
          <w:szCs w:val="28"/>
        </w:rPr>
        <w:t xml:space="preserve"> ПС </w:t>
      </w:r>
      <w:r w:rsidRPr="00314A27">
        <w:rPr>
          <w:sz w:val="28"/>
          <w:szCs w:val="28"/>
          <w:vertAlign w:val="subscript"/>
        </w:rPr>
        <w:t xml:space="preserve">дохаукц </w:t>
      </w:r>
      <w:r w:rsidRPr="00314A27">
        <w:rPr>
          <w:sz w:val="28"/>
          <w:szCs w:val="28"/>
          <w:vertAlign w:val="subscript"/>
          <w:lang w:val="en-US"/>
        </w:rPr>
        <w:t>n</w:t>
      </w:r>
      <w:r w:rsidRPr="00314A27">
        <w:rPr>
          <w:sz w:val="28"/>
          <w:szCs w:val="28"/>
        </w:rPr>
        <w:t xml:space="preserve"> = К </w:t>
      </w:r>
      <w:r w:rsidRPr="00314A27">
        <w:rPr>
          <w:sz w:val="28"/>
          <w:szCs w:val="28"/>
          <w:vertAlign w:val="subscript"/>
        </w:rPr>
        <w:t xml:space="preserve">аукц </w:t>
      </w:r>
      <w:r w:rsidRPr="00314A27">
        <w:rPr>
          <w:sz w:val="28"/>
          <w:szCs w:val="28"/>
          <w:vertAlign w:val="subscript"/>
          <w:lang w:val="en-US"/>
        </w:rPr>
        <w:t>n</w:t>
      </w:r>
      <w:r w:rsidRPr="00314A27">
        <w:rPr>
          <w:sz w:val="28"/>
          <w:szCs w:val="28"/>
        </w:rPr>
        <w:t xml:space="preserve"> х СТ </w:t>
      </w:r>
      <w:r w:rsidRPr="00314A27">
        <w:rPr>
          <w:sz w:val="28"/>
          <w:szCs w:val="28"/>
          <w:vertAlign w:val="subscript"/>
        </w:rPr>
        <w:t>аукц</w:t>
      </w:r>
      <w:r w:rsidRPr="00314A27">
        <w:rPr>
          <w:sz w:val="28"/>
          <w:szCs w:val="28"/>
        </w:rPr>
        <w:t>,</w:t>
      </w:r>
    </w:p>
    <w:p w:rsidR="00935C40" w:rsidRPr="00314A27" w:rsidRDefault="00935C40" w:rsidP="00935C40">
      <w:pPr>
        <w:rPr>
          <w:sz w:val="28"/>
          <w:szCs w:val="28"/>
        </w:rPr>
      </w:pPr>
      <w:r w:rsidRPr="00314A27">
        <w:rPr>
          <w:sz w:val="28"/>
          <w:szCs w:val="28"/>
        </w:rPr>
        <w:t xml:space="preserve">где </w:t>
      </w:r>
      <w:r w:rsidRPr="00314A27">
        <w:rPr>
          <w:sz w:val="28"/>
          <w:szCs w:val="28"/>
        </w:rPr>
        <w:tab/>
        <w:t xml:space="preserve">ПС </w:t>
      </w:r>
      <w:r w:rsidRPr="00314A27">
        <w:rPr>
          <w:sz w:val="28"/>
          <w:szCs w:val="28"/>
          <w:vertAlign w:val="subscript"/>
        </w:rPr>
        <w:t xml:space="preserve">дохаукц </w:t>
      </w:r>
      <w:r w:rsidRPr="00314A27">
        <w:rPr>
          <w:sz w:val="28"/>
          <w:szCs w:val="28"/>
          <w:vertAlign w:val="subscript"/>
          <w:lang w:val="en-US"/>
        </w:rPr>
        <w:t>n</w:t>
      </w:r>
      <w:r w:rsidRPr="00314A27">
        <w:rPr>
          <w:sz w:val="28"/>
          <w:szCs w:val="28"/>
        </w:rPr>
        <w:t xml:space="preserve"> – планируемая сумма сбора за участие в аукционе </w:t>
      </w:r>
    </w:p>
    <w:p w:rsidR="00935C40" w:rsidRPr="00314A27" w:rsidRDefault="00935C40" w:rsidP="00935C40">
      <w:pPr>
        <w:rPr>
          <w:sz w:val="28"/>
          <w:szCs w:val="28"/>
        </w:rPr>
      </w:pPr>
      <w:r w:rsidRPr="00314A27">
        <w:rPr>
          <w:sz w:val="28"/>
          <w:szCs w:val="28"/>
        </w:rPr>
        <w:t xml:space="preserve">                                на </w:t>
      </w:r>
      <w:r w:rsidRPr="00314A27">
        <w:rPr>
          <w:sz w:val="28"/>
          <w:szCs w:val="28"/>
          <w:lang w:val="en-US"/>
        </w:rPr>
        <w:t>n</w:t>
      </w:r>
      <w:r w:rsidRPr="00314A27">
        <w:rPr>
          <w:sz w:val="28"/>
          <w:szCs w:val="28"/>
        </w:rPr>
        <w:t xml:space="preserve"> год;</w:t>
      </w:r>
    </w:p>
    <w:p w:rsidR="00935C40" w:rsidRPr="00314A27" w:rsidRDefault="00935C40" w:rsidP="00935C40">
      <w:pPr>
        <w:ind w:firstLine="708"/>
        <w:rPr>
          <w:sz w:val="28"/>
          <w:szCs w:val="28"/>
        </w:rPr>
      </w:pPr>
      <w:r w:rsidRPr="00314A27">
        <w:rPr>
          <w:sz w:val="28"/>
          <w:szCs w:val="28"/>
        </w:rPr>
        <w:t xml:space="preserve">К </w:t>
      </w:r>
      <w:r w:rsidRPr="00314A27">
        <w:rPr>
          <w:sz w:val="28"/>
          <w:szCs w:val="28"/>
          <w:vertAlign w:val="subscript"/>
        </w:rPr>
        <w:t xml:space="preserve">аукц </w:t>
      </w:r>
      <w:r w:rsidRPr="00314A27">
        <w:rPr>
          <w:sz w:val="28"/>
          <w:szCs w:val="28"/>
          <w:vertAlign w:val="subscript"/>
          <w:lang w:val="en-US"/>
        </w:rPr>
        <w:t>n</w:t>
      </w:r>
      <w:r w:rsidRPr="00314A27">
        <w:rPr>
          <w:sz w:val="28"/>
          <w:szCs w:val="28"/>
        </w:rPr>
        <w:t xml:space="preserve">        – планируемое количество сборов в </w:t>
      </w:r>
      <w:r w:rsidRPr="00314A27">
        <w:rPr>
          <w:sz w:val="28"/>
          <w:szCs w:val="28"/>
          <w:lang w:val="en-US"/>
        </w:rPr>
        <w:t>n</w:t>
      </w:r>
      <w:r w:rsidRPr="00314A27">
        <w:rPr>
          <w:sz w:val="28"/>
          <w:szCs w:val="28"/>
        </w:rPr>
        <w:t xml:space="preserve"> году;</w:t>
      </w:r>
    </w:p>
    <w:p w:rsidR="00935C40" w:rsidRPr="00314A27" w:rsidRDefault="00935C40" w:rsidP="00935C40">
      <w:pPr>
        <w:ind w:firstLine="708"/>
        <w:rPr>
          <w:sz w:val="28"/>
          <w:szCs w:val="28"/>
        </w:rPr>
      </w:pPr>
      <w:r w:rsidRPr="00314A27">
        <w:rPr>
          <w:sz w:val="28"/>
          <w:szCs w:val="28"/>
        </w:rPr>
        <w:t xml:space="preserve">СТ </w:t>
      </w:r>
      <w:r w:rsidRPr="00314A27">
        <w:rPr>
          <w:sz w:val="28"/>
          <w:szCs w:val="28"/>
          <w:vertAlign w:val="subscript"/>
        </w:rPr>
        <w:t>аукц</w:t>
      </w:r>
      <w:r w:rsidRPr="00314A27">
        <w:rPr>
          <w:sz w:val="28"/>
          <w:szCs w:val="28"/>
        </w:rPr>
        <w:t xml:space="preserve">       – сумма сбора с одного участника аукциона, определяемая </w:t>
      </w:r>
    </w:p>
    <w:p w:rsidR="00935C40" w:rsidRPr="00314A27" w:rsidRDefault="00935C40" w:rsidP="00935C40">
      <w:pPr>
        <w:ind w:firstLine="708"/>
        <w:rPr>
          <w:sz w:val="28"/>
          <w:szCs w:val="28"/>
        </w:rPr>
      </w:pPr>
      <w:r w:rsidRPr="00314A27">
        <w:rPr>
          <w:sz w:val="28"/>
          <w:szCs w:val="28"/>
        </w:rPr>
        <w:t xml:space="preserve">                      сметой расходов.  </w:t>
      </w:r>
    </w:p>
    <w:p w:rsidR="00935C40" w:rsidRDefault="00935C40" w:rsidP="00935C40">
      <w:pPr>
        <w:ind w:firstLine="708"/>
        <w:jc w:val="both"/>
        <w:rPr>
          <w:sz w:val="28"/>
          <w:szCs w:val="28"/>
        </w:rPr>
      </w:pPr>
      <w:r w:rsidRPr="00314A27">
        <w:rPr>
          <w:sz w:val="28"/>
          <w:szCs w:val="28"/>
        </w:rPr>
        <w:t xml:space="preserve">Сбор за участие в аукционе в соответствии со сметой расходов на проведение аукциона (конкурса) на право пользования недрами составляет 20,0 тыс. рублей (СТ </w:t>
      </w:r>
      <w:r w:rsidRPr="00314A27">
        <w:rPr>
          <w:sz w:val="28"/>
          <w:szCs w:val="28"/>
          <w:vertAlign w:val="subscript"/>
        </w:rPr>
        <w:t>аукц</w:t>
      </w:r>
      <w:r w:rsidRPr="00314A27">
        <w:rPr>
          <w:sz w:val="28"/>
          <w:szCs w:val="28"/>
        </w:rPr>
        <w:t xml:space="preserve">). </w:t>
      </w:r>
    </w:p>
    <w:p w:rsidR="00935C40" w:rsidRDefault="00935C40" w:rsidP="00935C40">
      <w:pPr>
        <w:ind w:firstLine="708"/>
        <w:jc w:val="both"/>
        <w:rPr>
          <w:sz w:val="28"/>
          <w:szCs w:val="28"/>
        </w:rPr>
      </w:pPr>
      <w:r w:rsidRPr="00300B15">
        <w:rPr>
          <w:sz w:val="28"/>
          <w:szCs w:val="28"/>
        </w:rPr>
        <w:t>Количественная величина сбора за участие в конкурсе (аукционе) на право пользования недрами указана в соответствии с планируемыми торгами при минимальном участии в 1 участника.</w:t>
      </w:r>
    </w:p>
    <w:p w:rsidR="00935C40" w:rsidRDefault="00935C40" w:rsidP="00935C40">
      <w:pPr>
        <w:ind w:firstLine="708"/>
        <w:jc w:val="both"/>
        <w:rPr>
          <w:sz w:val="28"/>
          <w:szCs w:val="28"/>
        </w:rPr>
      </w:pPr>
    </w:p>
    <w:tbl>
      <w:tblPr>
        <w:tblW w:w="98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
        <w:gridCol w:w="2527"/>
        <w:gridCol w:w="1263"/>
        <w:gridCol w:w="841"/>
        <w:gridCol w:w="983"/>
        <w:gridCol w:w="841"/>
        <w:gridCol w:w="982"/>
        <w:gridCol w:w="842"/>
        <w:gridCol w:w="982"/>
      </w:tblGrid>
      <w:tr w:rsidR="00935C40" w:rsidRPr="00C50483" w:rsidTr="00D95D6F">
        <w:trPr>
          <w:trHeight w:val="311"/>
        </w:trPr>
        <w:tc>
          <w:tcPr>
            <w:tcW w:w="561" w:type="dxa"/>
            <w:vMerge w:val="restart"/>
            <w:vAlign w:val="center"/>
          </w:tcPr>
          <w:p w:rsidR="00935C40" w:rsidRPr="00C50483" w:rsidRDefault="00935C40" w:rsidP="001E2A06">
            <w:pPr>
              <w:jc w:val="center"/>
              <w:rPr>
                <w:b/>
              </w:rPr>
            </w:pPr>
            <w:r w:rsidRPr="00C50483">
              <w:rPr>
                <w:b/>
              </w:rPr>
              <w:t>№ п/п</w:t>
            </w:r>
          </w:p>
        </w:tc>
        <w:tc>
          <w:tcPr>
            <w:tcW w:w="2527" w:type="dxa"/>
            <w:vMerge w:val="restart"/>
            <w:vAlign w:val="center"/>
          </w:tcPr>
          <w:p w:rsidR="00935C40" w:rsidRPr="00C50483" w:rsidRDefault="00935C40" w:rsidP="001E2A06">
            <w:pPr>
              <w:jc w:val="center"/>
              <w:rPr>
                <w:b/>
              </w:rPr>
            </w:pPr>
            <w:r w:rsidRPr="00C50483">
              <w:rPr>
                <w:b/>
              </w:rPr>
              <w:t>Показатель</w:t>
            </w:r>
          </w:p>
        </w:tc>
        <w:tc>
          <w:tcPr>
            <w:tcW w:w="1263" w:type="dxa"/>
            <w:vMerge w:val="restart"/>
            <w:vAlign w:val="center"/>
          </w:tcPr>
          <w:p w:rsidR="00935C40" w:rsidRPr="008A737E" w:rsidRDefault="00935C40" w:rsidP="001E2A06">
            <w:pPr>
              <w:jc w:val="center"/>
              <w:rPr>
                <w:b/>
              </w:rPr>
            </w:pPr>
            <w:r w:rsidRPr="008A737E">
              <w:rPr>
                <w:b/>
              </w:rPr>
              <w:t xml:space="preserve">Цена за единицу, </w:t>
            </w:r>
          </w:p>
          <w:p w:rsidR="00935C40" w:rsidRDefault="00935C40" w:rsidP="001E2A06">
            <w:pPr>
              <w:jc w:val="center"/>
              <w:rPr>
                <w:b/>
              </w:rPr>
            </w:pPr>
            <w:r w:rsidRPr="008A737E">
              <w:rPr>
                <w:b/>
              </w:rPr>
              <w:t>тыс. руб.</w:t>
            </w:r>
          </w:p>
        </w:tc>
        <w:tc>
          <w:tcPr>
            <w:tcW w:w="1824" w:type="dxa"/>
            <w:gridSpan w:val="2"/>
            <w:vAlign w:val="center"/>
          </w:tcPr>
          <w:p w:rsidR="00935C40" w:rsidRPr="00C50483" w:rsidRDefault="00935C40" w:rsidP="001E2A06">
            <w:pPr>
              <w:jc w:val="center"/>
              <w:rPr>
                <w:b/>
              </w:rPr>
            </w:pPr>
            <w:r>
              <w:rPr>
                <w:b/>
              </w:rPr>
              <w:t xml:space="preserve">Прогноз 2022 </w:t>
            </w:r>
          </w:p>
        </w:tc>
        <w:tc>
          <w:tcPr>
            <w:tcW w:w="1823" w:type="dxa"/>
            <w:gridSpan w:val="2"/>
          </w:tcPr>
          <w:p w:rsidR="00935C40" w:rsidRPr="00C50483" w:rsidRDefault="00935C40" w:rsidP="001E2A06">
            <w:pPr>
              <w:jc w:val="center"/>
              <w:rPr>
                <w:b/>
              </w:rPr>
            </w:pPr>
            <w:r>
              <w:rPr>
                <w:b/>
              </w:rPr>
              <w:t>Прогноз 2023</w:t>
            </w:r>
          </w:p>
        </w:tc>
        <w:tc>
          <w:tcPr>
            <w:tcW w:w="1824" w:type="dxa"/>
            <w:gridSpan w:val="2"/>
          </w:tcPr>
          <w:p w:rsidR="00935C40" w:rsidRPr="00C50483" w:rsidRDefault="00935C40" w:rsidP="001E2A06">
            <w:pPr>
              <w:jc w:val="center"/>
              <w:rPr>
                <w:b/>
              </w:rPr>
            </w:pPr>
            <w:r>
              <w:rPr>
                <w:b/>
              </w:rPr>
              <w:t>Прогноз 2024</w:t>
            </w:r>
          </w:p>
        </w:tc>
      </w:tr>
      <w:tr w:rsidR="00D95D6F" w:rsidRPr="00677C25" w:rsidTr="00CE1891">
        <w:trPr>
          <w:trHeight w:val="937"/>
        </w:trPr>
        <w:tc>
          <w:tcPr>
            <w:tcW w:w="561" w:type="dxa"/>
            <w:vMerge/>
            <w:vAlign w:val="center"/>
          </w:tcPr>
          <w:p w:rsidR="00935C40" w:rsidRPr="00C50483" w:rsidRDefault="00935C40" w:rsidP="001E2A06">
            <w:pPr>
              <w:jc w:val="center"/>
              <w:rPr>
                <w:b/>
              </w:rPr>
            </w:pPr>
          </w:p>
        </w:tc>
        <w:tc>
          <w:tcPr>
            <w:tcW w:w="2527" w:type="dxa"/>
            <w:vMerge/>
            <w:vAlign w:val="center"/>
          </w:tcPr>
          <w:p w:rsidR="00935C40" w:rsidRPr="00C50483" w:rsidRDefault="00935C40" w:rsidP="001E2A06">
            <w:pPr>
              <w:jc w:val="center"/>
              <w:rPr>
                <w:b/>
              </w:rPr>
            </w:pPr>
          </w:p>
        </w:tc>
        <w:tc>
          <w:tcPr>
            <w:tcW w:w="1263" w:type="dxa"/>
            <w:vMerge/>
            <w:vAlign w:val="center"/>
          </w:tcPr>
          <w:p w:rsidR="00935C40" w:rsidRPr="00C50483" w:rsidRDefault="00935C40" w:rsidP="001E2A06">
            <w:pPr>
              <w:jc w:val="center"/>
              <w:rPr>
                <w:b/>
              </w:rPr>
            </w:pPr>
          </w:p>
        </w:tc>
        <w:tc>
          <w:tcPr>
            <w:tcW w:w="841" w:type="dxa"/>
            <w:vAlign w:val="center"/>
          </w:tcPr>
          <w:p w:rsidR="00935C40" w:rsidRPr="00D95D6F" w:rsidRDefault="00935C40" w:rsidP="001E2A06">
            <w:pPr>
              <w:jc w:val="center"/>
              <w:rPr>
                <w:sz w:val="22"/>
                <w:szCs w:val="22"/>
              </w:rPr>
            </w:pPr>
            <w:r w:rsidRPr="00D95D6F">
              <w:rPr>
                <w:sz w:val="22"/>
                <w:szCs w:val="22"/>
              </w:rPr>
              <w:t>Количество, шт</w:t>
            </w:r>
          </w:p>
        </w:tc>
        <w:tc>
          <w:tcPr>
            <w:tcW w:w="983" w:type="dxa"/>
            <w:vAlign w:val="center"/>
          </w:tcPr>
          <w:p w:rsidR="00935C40" w:rsidRPr="00D95D6F" w:rsidRDefault="00935C40" w:rsidP="001E2A06">
            <w:pPr>
              <w:jc w:val="center"/>
              <w:rPr>
                <w:sz w:val="22"/>
                <w:szCs w:val="22"/>
              </w:rPr>
            </w:pPr>
            <w:r w:rsidRPr="00D95D6F">
              <w:rPr>
                <w:sz w:val="22"/>
                <w:szCs w:val="22"/>
              </w:rPr>
              <w:t xml:space="preserve">Сумма, </w:t>
            </w:r>
          </w:p>
          <w:p w:rsidR="00935C40" w:rsidRPr="00D95D6F" w:rsidRDefault="00935C40" w:rsidP="001E2A06">
            <w:pPr>
              <w:jc w:val="center"/>
              <w:rPr>
                <w:sz w:val="22"/>
                <w:szCs w:val="22"/>
              </w:rPr>
            </w:pPr>
            <w:r w:rsidRPr="00D95D6F">
              <w:rPr>
                <w:sz w:val="22"/>
                <w:szCs w:val="22"/>
              </w:rPr>
              <w:t>тыс. руб.</w:t>
            </w:r>
          </w:p>
        </w:tc>
        <w:tc>
          <w:tcPr>
            <w:tcW w:w="841" w:type="dxa"/>
            <w:vAlign w:val="center"/>
          </w:tcPr>
          <w:p w:rsidR="00935C40" w:rsidRPr="00D95D6F" w:rsidRDefault="00935C40" w:rsidP="001E2A06">
            <w:pPr>
              <w:jc w:val="center"/>
              <w:rPr>
                <w:sz w:val="22"/>
                <w:szCs w:val="22"/>
              </w:rPr>
            </w:pPr>
            <w:r w:rsidRPr="00D95D6F">
              <w:rPr>
                <w:sz w:val="22"/>
                <w:szCs w:val="22"/>
              </w:rPr>
              <w:t>Количество, шт</w:t>
            </w:r>
          </w:p>
        </w:tc>
        <w:tc>
          <w:tcPr>
            <w:tcW w:w="982" w:type="dxa"/>
            <w:vAlign w:val="center"/>
          </w:tcPr>
          <w:p w:rsidR="00935C40" w:rsidRPr="00D95D6F" w:rsidRDefault="00935C40" w:rsidP="001E2A06">
            <w:pPr>
              <w:jc w:val="center"/>
              <w:rPr>
                <w:sz w:val="22"/>
                <w:szCs w:val="22"/>
              </w:rPr>
            </w:pPr>
            <w:r w:rsidRPr="00D95D6F">
              <w:rPr>
                <w:sz w:val="22"/>
                <w:szCs w:val="22"/>
              </w:rPr>
              <w:t xml:space="preserve">Сумма, </w:t>
            </w:r>
          </w:p>
          <w:p w:rsidR="00935C40" w:rsidRPr="00D95D6F" w:rsidRDefault="00935C40" w:rsidP="001E2A06">
            <w:pPr>
              <w:jc w:val="center"/>
              <w:rPr>
                <w:sz w:val="22"/>
                <w:szCs w:val="22"/>
              </w:rPr>
            </w:pPr>
            <w:r w:rsidRPr="00D95D6F">
              <w:rPr>
                <w:sz w:val="22"/>
                <w:szCs w:val="22"/>
              </w:rPr>
              <w:t>тыс. руб.</w:t>
            </w:r>
          </w:p>
        </w:tc>
        <w:tc>
          <w:tcPr>
            <w:tcW w:w="842" w:type="dxa"/>
            <w:vAlign w:val="center"/>
          </w:tcPr>
          <w:p w:rsidR="00935C40" w:rsidRPr="00D95D6F" w:rsidRDefault="00935C40" w:rsidP="001E2A06">
            <w:pPr>
              <w:jc w:val="center"/>
              <w:rPr>
                <w:sz w:val="22"/>
                <w:szCs w:val="22"/>
              </w:rPr>
            </w:pPr>
            <w:r w:rsidRPr="00D95D6F">
              <w:rPr>
                <w:sz w:val="22"/>
                <w:szCs w:val="22"/>
              </w:rPr>
              <w:t>Количество, шт</w:t>
            </w:r>
          </w:p>
        </w:tc>
        <w:tc>
          <w:tcPr>
            <w:tcW w:w="982" w:type="dxa"/>
            <w:vAlign w:val="center"/>
          </w:tcPr>
          <w:p w:rsidR="00935C40" w:rsidRPr="00D95D6F" w:rsidRDefault="00935C40" w:rsidP="001E2A06">
            <w:pPr>
              <w:jc w:val="center"/>
              <w:rPr>
                <w:sz w:val="22"/>
                <w:szCs w:val="22"/>
              </w:rPr>
            </w:pPr>
            <w:r w:rsidRPr="00D95D6F">
              <w:rPr>
                <w:sz w:val="22"/>
                <w:szCs w:val="22"/>
              </w:rPr>
              <w:t xml:space="preserve">Сумма, </w:t>
            </w:r>
          </w:p>
          <w:p w:rsidR="00935C40" w:rsidRPr="00D95D6F" w:rsidRDefault="00935C40" w:rsidP="001E2A06">
            <w:pPr>
              <w:jc w:val="center"/>
              <w:rPr>
                <w:sz w:val="22"/>
                <w:szCs w:val="22"/>
              </w:rPr>
            </w:pPr>
            <w:r w:rsidRPr="00D95D6F">
              <w:rPr>
                <w:sz w:val="22"/>
                <w:szCs w:val="22"/>
              </w:rPr>
              <w:t>тыс. руб.</w:t>
            </w:r>
          </w:p>
        </w:tc>
      </w:tr>
      <w:tr w:rsidR="00D95D6F" w:rsidRPr="001E5DA9" w:rsidTr="00CE1891">
        <w:trPr>
          <w:trHeight w:val="2224"/>
        </w:trPr>
        <w:tc>
          <w:tcPr>
            <w:tcW w:w="561" w:type="dxa"/>
          </w:tcPr>
          <w:p w:rsidR="00935C40" w:rsidRPr="00C50483" w:rsidRDefault="00935C40" w:rsidP="001E2A06">
            <w:pPr>
              <w:jc w:val="center"/>
            </w:pPr>
            <w:r w:rsidRPr="00C50483">
              <w:t>1</w:t>
            </w:r>
          </w:p>
        </w:tc>
        <w:tc>
          <w:tcPr>
            <w:tcW w:w="2527" w:type="dxa"/>
          </w:tcPr>
          <w:p w:rsidR="00935C40" w:rsidRPr="00C50483" w:rsidRDefault="00935C40" w:rsidP="001E2A06">
            <w:pPr>
              <w:rPr>
                <w:b/>
              </w:rPr>
            </w:pPr>
            <w:r w:rsidRPr="00C50483">
              <w:t xml:space="preserve">Плата за проведение государственной экспертизы запасов полезных ископаемых месторождения категории «подземные воды» </w:t>
            </w:r>
          </w:p>
        </w:tc>
        <w:tc>
          <w:tcPr>
            <w:tcW w:w="1263" w:type="dxa"/>
            <w:vAlign w:val="center"/>
          </w:tcPr>
          <w:p w:rsidR="00935C40" w:rsidRPr="00C50483" w:rsidRDefault="00935C40" w:rsidP="001E2A06">
            <w:pPr>
              <w:jc w:val="center"/>
            </w:pPr>
            <w:r>
              <w:t>20,0</w:t>
            </w:r>
          </w:p>
        </w:tc>
        <w:tc>
          <w:tcPr>
            <w:tcW w:w="841" w:type="dxa"/>
            <w:vAlign w:val="center"/>
          </w:tcPr>
          <w:p w:rsidR="00935C40" w:rsidRPr="00C50483" w:rsidRDefault="00935C40" w:rsidP="001E2A06">
            <w:pPr>
              <w:jc w:val="center"/>
            </w:pPr>
            <w:r>
              <w:t>6</w:t>
            </w:r>
          </w:p>
        </w:tc>
        <w:tc>
          <w:tcPr>
            <w:tcW w:w="983" w:type="dxa"/>
            <w:vAlign w:val="center"/>
          </w:tcPr>
          <w:p w:rsidR="00935C40" w:rsidRPr="00C50483" w:rsidRDefault="00935C40" w:rsidP="001E2A06">
            <w:pPr>
              <w:jc w:val="center"/>
            </w:pPr>
            <w:r>
              <w:t>120</w:t>
            </w:r>
            <w:r w:rsidRPr="00C50483">
              <w:t>,0</w:t>
            </w:r>
          </w:p>
        </w:tc>
        <w:tc>
          <w:tcPr>
            <w:tcW w:w="841" w:type="dxa"/>
            <w:vAlign w:val="center"/>
          </w:tcPr>
          <w:p w:rsidR="00935C40" w:rsidRPr="00C50483" w:rsidRDefault="00935C40" w:rsidP="001E2A06">
            <w:pPr>
              <w:jc w:val="center"/>
            </w:pPr>
            <w:r>
              <w:t>4</w:t>
            </w:r>
          </w:p>
        </w:tc>
        <w:tc>
          <w:tcPr>
            <w:tcW w:w="982" w:type="dxa"/>
            <w:vAlign w:val="center"/>
          </w:tcPr>
          <w:p w:rsidR="00935C40" w:rsidRPr="00C50483" w:rsidRDefault="00935C40" w:rsidP="001E2A06">
            <w:pPr>
              <w:jc w:val="center"/>
            </w:pPr>
            <w:r>
              <w:t>80,0</w:t>
            </w:r>
          </w:p>
        </w:tc>
        <w:tc>
          <w:tcPr>
            <w:tcW w:w="842" w:type="dxa"/>
            <w:vAlign w:val="center"/>
          </w:tcPr>
          <w:p w:rsidR="00935C40" w:rsidRPr="001E5DA9" w:rsidRDefault="00935C40" w:rsidP="001E2A06">
            <w:pPr>
              <w:jc w:val="center"/>
            </w:pPr>
            <w:r>
              <w:t>3</w:t>
            </w:r>
          </w:p>
        </w:tc>
        <w:tc>
          <w:tcPr>
            <w:tcW w:w="982" w:type="dxa"/>
            <w:vAlign w:val="center"/>
          </w:tcPr>
          <w:p w:rsidR="00935C40" w:rsidRPr="001E5DA9" w:rsidRDefault="00935C40" w:rsidP="001E2A06">
            <w:pPr>
              <w:jc w:val="center"/>
            </w:pPr>
            <w:r>
              <w:t>6</w:t>
            </w:r>
            <w:r w:rsidRPr="001E5DA9">
              <w:t>0,0</w:t>
            </w:r>
          </w:p>
        </w:tc>
      </w:tr>
    </w:tbl>
    <w:p w:rsidR="001E2A06" w:rsidRDefault="001E2A06" w:rsidP="00CE1891">
      <w:pPr>
        <w:pStyle w:val="21"/>
        <w:ind w:firstLine="708"/>
        <w:jc w:val="center"/>
        <w:rPr>
          <w:b/>
        </w:rPr>
      </w:pPr>
    </w:p>
    <w:p w:rsidR="00CE1891" w:rsidRPr="00BA231A" w:rsidRDefault="00CE1891" w:rsidP="00CE1891">
      <w:pPr>
        <w:pStyle w:val="21"/>
        <w:ind w:firstLine="708"/>
        <w:jc w:val="center"/>
        <w:rPr>
          <w:b/>
        </w:rPr>
      </w:pPr>
      <w:r w:rsidRPr="00BA231A">
        <w:rPr>
          <w:b/>
        </w:rPr>
        <w:t>Плата за использование лесов</w:t>
      </w:r>
    </w:p>
    <w:p w:rsidR="00CE1891" w:rsidRPr="00BA231A" w:rsidRDefault="00CE1891" w:rsidP="00CE1891">
      <w:pPr>
        <w:pStyle w:val="21"/>
        <w:ind w:firstLine="708"/>
        <w:jc w:val="center"/>
        <w:rPr>
          <w:b/>
        </w:rPr>
      </w:pPr>
      <w:r w:rsidRPr="00BA231A">
        <w:rPr>
          <w:b/>
        </w:rPr>
        <w:t>(КБК 000 1 12 04000 00 0000 120)</w:t>
      </w:r>
    </w:p>
    <w:p w:rsidR="00CE1891" w:rsidRPr="00BE677D" w:rsidRDefault="00CE1891" w:rsidP="00CE1891">
      <w:pPr>
        <w:pStyle w:val="21"/>
        <w:ind w:firstLine="708"/>
      </w:pPr>
      <w:r w:rsidRPr="00BA231A">
        <w:t>Расчет платы за использование лесов на 20</w:t>
      </w:r>
      <w:r>
        <w:t>22</w:t>
      </w:r>
      <w:r w:rsidRPr="00BA231A">
        <w:t xml:space="preserve"> - 202</w:t>
      </w:r>
      <w:r>
        <w:t>4</w:t>
      </w:r>
      <w:r w:rsidRPr="00BA231A">
        <w:t xml:space="preserve"> годы произведен Министерством лесного хозяйства Тверской области (главным администратором платы) </w:t>
      </w:r>
      <w:r w:rsidRPr="00BE677D">
        <w:t>в соответствии с приказом Министерства лесного хозяйства Тверской области «Об утверждении Методики прогнозирования поступлений доходов областного бюджета Тверской области по кодам бюджетной классификации, закрепленным за Министерством лесно</w:t>
      </w:r>
      <w:r>
        <w:t>го хозяйства Тверской области».</w:t>
      </w:r>
    </w:p>
    <w:p w:rsidR="00CE1891" w:rsidRPr="009A4998" w:rsidRDefault="00CE1891" w:rsidP="00CE1891">
      <w:pPr>
        <w:ind w:firstLine="708"/>
        <w:jc w:val="both"/>
        <w:rPr>
          <w:sz w:val="28"/>
          <w:szCs w:val="28"/>
        </w:rPr>
      </w:pPr>
      <w:r w:rsidRPr="009A4998">
        <w:rPr>
          <w:sz w:val="28"/>
          <w:szCs w:val="28"/>
        </w:rPr>
        <w:t xml:space="preserve">При формировании плановых показателей поступления платы за использование лесов учитывается применение коэффициентов к ставкам </w:t>
      </w:r>
      <w:r w:rsidRPr="009A4998">
        <w:rPr>
          <w:sz w:val="28"/>
          <w:szCs w:val="28"/>
        </w:rPr>
        <w:lastRenderedPageBreak/>
        <w:t xml:space="preserve">платы, утвержденных </w:t>
      </w:r>
      <w:r w:rsidRPr="00E70EFD">
        <w:rPr>
          <w:sz w:val="28"/>
          <w:szCs w:val="28"/>
        </w:rPr>
        <w:t>постановление</w:t>
      </w:r>
      <w:r>
        <w:rPr>
          <w:sz w:val="28"/>
          <w:szCs w:val="28"/>
        </w:rPr>
        <w:t>м</w:t>
      </w:r>
      <w:r w:rsidRPr="00E70EFD">
        <w:rPr>
          <w:sz w:val="28"/>
          <w:szCs w:val="28"/>
        </w:rPr>
        <w:t xml:space="preserve"> Правительства Российской Федерации от 1</w:t>
      </w:r>
      <w:r>
        <w:rPr>
          <w:sz w:val="28"/>
          <w:szCs w:val="28"/>
        </w:rPr>
        <w:t>2</w:t>
      </w:r>
      <w:r w:rsidRPr="00E70EFD">
        <w:rPr>
          <w:sz w:val="28"/>
          <w:szCs w:val="28"/>
        </w:rPr>
        <w:t>.1</w:t>
      </w:r>
      <w:r>
        <w:rPr>
          <w:sz w:val="28"/>
          <w:szCs w:val="28"/>
        </w:rPr>
        <w:t>0</w:t>
      </w:r>
      <w:r w:rsidRPr="00E70EFD">
        <w:rPr>
          <w:sz w:val="28"/>
          <w:szCs w:val="28"/>
        </w:rPr>
        <w:t>.201</w:t>
      </w:r>
      <w:r>
        <w:rPr>
          <w:sz w:val="28"/>
          <w:szCs w:val="28"/>
        </w:rPr>
        <w:t>9</w:t>
      </w:r>
      <w:r w:rsidRPr="00E70EFD">
        <w:rPr>
          <w:sz w:val="28"/>
          <w:szCs w:val="28"/>
        </w:rPr>
        <w:t xml:space="preserve"> № 13</w:t>
      </w:r>
      <w:r>
        <w:rPr>
          <w:sz w:val="28"/>
          <w:szCs w:val="28"/>
        </w:rPr>
        <w:t>18</w:t>
      </w:r>
      <w:r w:rsidRPr="00E70EFD">
        <w:rPr>
          <w:sz w:val="28"/>
          <w:szCs w:val="28"/>
        </w:rPr>
        <w:t xml:space="preserve"> «О </w:t>
      </w:r>
      <w:r>
        <w:rPr>
          <w:sz w:val="28"/>
          <w:szCs w:val="28"/>
        </w:rPr>
        <w:t xml:space="preserve">применении в 2021-2023 годах </w:t>
      </w:r>
      <w:r w:rsidRPr="00E70EFD">
        <w:rPr>
          <w:sz w:val="28"/>
          <w:szCs w:val="28"/>
        </w:rPr>
        <w:t>коэффициентах к ставкам платы за единицу объема лесных ресурсов и ставк</w:t>
      </w:r>
      <w:r>
        <w:rPr>
          <w:sz w:val="28"/>
          <w:szCs w:val="28"/>
        </w:rPr>
        <w:t xml:space="preserve">ам </w:t>
      </w:r>
      <w:r w:rsidRPr="00E70EFD">
        <w:rPr>
          <w:sz w:val="28"/>
          <w:szCs w:val="28"/>
        </w:rPr>
        <w:t>платы за единицу площади лесного участка, находящегося в федеральной собственности</w:t>
      </w:r>
      <w:r>
        <w:rPr>
          <w:sz w:val="28"/>
          <w:szCs w:val="28"/>
        </w:rPr>
        <w:t>»:</w:t>
      </w:r>
    </w:p>
    <w:p w:rsidR="00CE1891" w:rsidRPr="00BA231A" w:rsidRDefault="00CE1891" w:rsidP="00CE1891">
      <w:pPr>
        <w:pStyle w:val="21"/>
        <w:ind w:firstLine="708"/>
      </w:pPr>
      <w:r w:rsidRPr="00BA231A">
        <w:t xml:space="preserve">- к ставкам платы за единицу объема </w:t>
      </w:r>
      <w:r w:rsidRPr="00E70EFD">
        <w:t>лесных ресурсов лесного участка, находящегося в федеральной собственности</w:t>
      </w:r>
      <w:r w:rsidRPr="00BA231A">
        <w:t>:</w:t>
      </w:r>
    </w:p>
    <w:p w:rsidR="00CE1891" w:rsidRPr="00BA231A" w:rsidRDefault="00CE1891" w:rsidP="00CE1891">
      <w:pPr>
        <w:pStyle w:val="21"/>
        <w:ind w:firstLine="708"/>
      </w:pPr>
      <w:r w:rsidRPr="00BA231A">
        <w:t>в 20</w:t>
      </w:r>
      <w:r>
        <w:t xml:space="preserve">20 </w:t>
      </w:r>
      <w:r w:rsidRPr="00BA231A">
        <w:t xml:space="preserve">году коэффициент </w:t>
      </w:r>
      <w:r>
        <w:t>2,62</w:t>
      </w:r>
    </w:p>
    <w:p w:rsidR="00CE1891" w:rsidRPr="00E70EFD" w:rsidRDefault="00CE1891" w:rsidP="00CE1891">
      <w:pPr>
        <w:ind w:firstLine="709"/>
        <w:jc w:val="both"/>
        <w:rPr>
          <w:sz w:val="28"/>
          <w:szCs w:val="28"/>
        </w:rPr>
      </w:pPr>
      <w:r w:rsidRPr="00E70EFD">
        <w:rPr>
          <w:sz w:val="28"/>
          <w:szCs w:val="28"/>
        </w:rPr>
        <w:t>в 20</w:t>
      </w:r>
      <w:r>
        <w:rPr>
          <w:sz w:val="28"/>
          <w:szCs w:val="28"/>
        </w:rPr>
        <w:t>21</w:t>
      </w:r>
      <w:r w:rsidRPr="00E70EFD">
        <w:rPr>
          <w:sz w:val="28"/>
          <w:szCs w:val="28"/>
        </w:rPr>
        <w:t xml:space="preserve"> году коэффициент 2,</w:t>
      </w:r>
      <w:r>
        <w:rPr>
          <w:sz w:val="28"/>
          <w:szCs w:val="28"/>
        </w:rPr>
        <w:t>72</w:t>
      </w:r>
    </w:p>
    <w:p w:rsidR="00CE1891" w:rsidRDefault="00CE1891" w:rsidP="00CE1891">
      <w:pPr>
        <w:ind w:firstLine="709"/>
        <w:jc w:val="both"/>
        <w:rPr>
          <w:sz w:val="28"/>
          <w:szCs w:val="28"/>
        </w:rPr>
      </w:pPr>
      <w:r w:rsidRPr="00E70EFD">
        <w:rPr>
          <w:sz w:val="28"/>
          <w:szCs w:val="28"/>
        </w:rPr>
        <w:t>в 202</w:t>
      </w:r>
      <w:r>
        <w:rPr>
          <w:sz w:val="28"/>
          <w:szCs w:val="28"/>
        </w:rPr>
        <w:t>2</w:t>
      </w:r>
      <w:r w:rsidRPr="00E70EFD">
        <w:rPr>
          <w:sz w:val="28"/>
          <w:szCs w:val="28"/>
        </w:rPr>
        <w:t xml:space="preserve"> году</w:t>
      </w:r>
      <w:r>
        <w:rPr>
          <w:sz w:val="28"/>
          <w:szCs w:val="28"/>
        </w:rPr>
        <w:t xml:space="preserve"> </w:t>
      </w:r>
      <w:r w:rsidRPr="00E70EFD">
        <w:rPr>
          <w:sz w:val="28"/>
          <w:szCs w:val="28"/>
        </w:rPr>
        <w:t>коэффициент 2,</w:t>
      </w:r>
      <w:r>
        <w:rPr>
          <w:sz w:val="28"/>
          <w:szCs w:val="28"/>
        </w:rPr>
        <w:t>83</w:t>
      </w:r>
    </w:p>
    <w:p w:rsidR="00CE1891" w:rsidRDefault="00CE1891" w:rsidP="00CE1891">
      <w:pPr>
        <w:ind w:firstLine="709"/>
        <w:jc w:val="both"/>
        <w:rPr>
          <w:sz w:val="28"/>
          <w:szCs w:val="28"/>
        </w:rPr>
      </w:pPr>
      <w:r w:rsidRPr="00E70EFD">
        <w:rPr>
          <w:sz w:val="28"/>
          <w:szCs w:val="28"/>
        </w:rPr>
        <w:t>в 202</w:t>
      </w:r>
      <w:r>
        <w:rPr>
          <w:sz w:val="28"/>
          <w:szCs w:val="28"/>
        </w:rPr>
        <w:t>3</w:t>
      </w:r>
      <w:r w:rsidRPr="00E70EFD">
        <w:rPr>
          <w:sz w:val="28"/>
          <w:szCs w:val="28"/>
        </w:rPr>
        <w:t xml:space="preserve"> году коэффициент 2,</w:t>
      </w:r>
      <w:r>
        <w:rPr>
          <w:sz w:val="28"/>
          <w:szCs w:val="28"/>
        </w:rPr>
        <w:t>94</w:t>
      </w:r>
    </w:p>
    <w:p w:rsidR="00CE1891" w:rsidRDefault="00CE1891" w:rsidP="00CE1891">
      <w:pPr>
        <w:ind w:firstLine="709"/>
        <w:jc w:val="both"/>
        <w:rPr>
          <w:sz w:val="28"/>
          <w:szCs w:val="28"/>
        </w:rPr>
      </w:pPr>
      <w:r w:rsidRPr="00E70EFD">
        <w:rPr>
          <w:sz w:val="28"/>
          <w:szCs w:val="28"/>
        </w:rPr>
        <w:t>в 202</w:t>
      </w:r>
      <w:r>
        <w:rPr>
          <w:sz w:val="28"/>
          <w:szCs w:val="28"/>
        </w:rPr>
        <w:t>4</w:t>
      </w:r>
      <w:r w:rsidRPr="00E70EFD">
        <w:rPr>
          <w:sz w:val="28"/>
          <w:szCs w:val="28"/>
        </w:rPr>
        <w:t xml:space="preserve"> году коэффициент 2,</w:t>
      </w:r>
      <w:r>
        <w:rPr>
          <w:sz w:val="28"/>
          <w:szCs w:val="28"/>
        </w:rPr>
        <w:t>94;</w:t>
      </w:r>
    </w:p>
    <w:p w:rsidR="00CE1891" w:rsidRPr="00BA231A" w:rsidRDefault="00CE1891" w:rsidP="00CE1891">
      <w:pPr>
        <w:jc w:val="both"/>
      </w:pPr>
      <w:r w:rsidRPr="00BA231A">
        <w:t xml:space="preserve">- </w:t>
      </w:r>
      <w:r w:rsidRPr="002D5E9D">
        <w:rPr>
          <w:sz w:val="28"/>
          <w:szCs w:val="28"/>
        </w:rPr>
        <w:t xml:space="preserve">к ставкам платы </w:t>
      </w:r>
      <w:r w:rsidRPr="00E70EFD">
        <w:rPr>
          <w:sz w:val="28"/>
          <w:szCs w:val="28"/>
        </w:rPr>
        <w:t>за единицу площади лесного участка, находящегося в федеральной собственности</w:t>
      </w:r>
      <w:r w:rsidRPr="00BA231A">
        <w:t xml:space="preserve">: </w:t>
      </w:r>
    </w:p>
    <w:p w:rsidR="00CE1891" w:rsidRDefault="00CE1891" w:rsidP="00CE1891">
      <w:pPr>
        <w:pStyle w:val="21"/>
        <w:ind w:firstLine="708"/>
      </w:pPr>
      <w:r w:rsidRPr="00BA231A">
        <w:t>в 20</w:t>
      </w:r>
      <w:r>
        <w:t>20</w:t>
      </w:r>
      <w:r w:rsidRPr="00BA231A">
        <w:t xml:space="preserve"> году коэффициент </w:t>
      </w:r>
      <w:r>
        <w:t>2,26</w:t>
      </w:r>
    </w:p>
    <w:p w:rsidR="00CE1891" w:rsidRPr="00E70EFD" w:rsidRDefault="00CE1891" w:rsidP="00CE1891">
      <w:pPr>
        <w:ind w:firstLine="709"/>
        <w:jc w:val="both"/>
        <w:rPr>
          <w:sz w:val="28"/>
          <w:szCs w:val="28"/>
        </w:rPr>
      </w:pPr>
      <w:r w:rsidRPr="00E70EFD">
        <w:rPr>
          <w:sz w:val="28"/>
          <w:szCs w:val="28"/>
        </w:rPr>
        <w:t>в 20</w:t>
      </w:r>
      <w:r>
        <w:rPr>
          <w:sz w:val="28"/>
          <w:szCs w:val="28"/>
        </w:rPr>
        <w:t>21</w:t>
      </w:r>
      <w:r w:rsidRPr="00E70EFD">
        <w:rPr>
          <w:sz w:val="28"/>
          <w:szCs w:val="28"/>
        </w:rPr>
        <w:t xml:space="preserve"> году коэффициент 2,</w:t>
      </w:r>
      <w:r>
        <w:rPr>
          <w:sz w:val="28"/>
          <w:szCs w:val="28"/>
        </w:rPr>
        <w:t>35</w:t>
      </w:r>
    </w:p>
    <w:p w:rsidR="00CE1891" w:rsidRDefault="00CE1891" w:rsidP="00CE1891">
      <w:pPr>
        <w:ind w:firstLine="709"/>
        <w:jc w:val="both"/>
        <w:rPr>
          <w:sz w:val="28"/>
          <w:szCs w:val="28"/>
        </w:rPr>
      </w:pPr>
      <w:r w:rsidRPr="00E70EFD">
        <w:rPr>
          <w:sz w:val="28"/>
          <w:szCs w:val="28"/>
        </w:rPr>
        <w:t>в 202</w:t>
      </w:r>
      <w:r>
        <w:rPr>
          <w:sz w:val="28"/>
          <w:szCs w:val="28"/>
        </w:rPr>
        <w:t>2</w:t>
      </w:r>
      <w:r w:rsidRPr="00E70EFD">
        <w:rPr>
          <w:sz w:val="28"/>
          <w:szCs w:val="28"/>
        </w:rPr>
        <w:t xml:space="preserve"> году коэффициент 2,</w:t>
      </w:r>
      <w:r>
        <w:rPr>
          <w:sz w:val="28"/>
          <w:szCs w:val="28"/>
        </w:rPr>
        <w:t>44</w:t>
      </w:r>
    </w:p>
    <w:p w:rsidR="00CE1891" w:rsidRDefault="00CE1891" w:rsidP="00CE1891">
      <w:pPr>
        <w:ind w:firstLine="709"/>
        <w:jc w:val="both"/>
        <w:rPr>
          <w:sz w:val="28"/>
          <w:szCs w:val="28"/>
        </w:rPr>
      </w:pPr>
      <w:r w:rsidRPr="00E70EFD">
        <w:rPr>
          <w:sz w:val="28"/>
          <w:szCs w:val="28"/>
        </w:rPr>
        <w:t>в 202</w:t>
      </w:r>
      <w:r>
        <w:rPr>
          <w:sz w:val="28"/>
          <w:szCs w:val="28"/>
        </w:rPr>
        <w:t>3</w:t>
      </w:r>
      <w:r w:rsidRPr="00E70EFD">
        <w:rPr>
          <w:sz w:val="28"/>
          <w:szCs w:val="28"/>
        </w:rPr>
        <w:t xml:space="preserve"> году коэффициент 2,</w:t>
      </w:r>
      <w:r>
        <w:rPr>
          <w:sz w:val="28"/>
          <w:szCs w:val="28"/>
        </w:rPr>
        <w:t>54</w:t>
      </w:r>
    </w:p>
    <w:p w:rsidR="00CE1891" w:rsidRDefault="00CE1891" w:rsidP="00CE1891">
      <w:pPr>
        <w:ind w:firstLine="709"/>
        <w:jc w:val="both"/>
        <w:rPr>
          <w:sz w:val="28"/>
          <w:szCs w:val="28"/>
        </w:rPr>
      </w:pPr>
      <w:r w:rsidRPr="00E70EFD">
        <w:rPr>
          <w:sz w:val="28"/>
          <w:szCs w:val="28"/>
        </w:rPr>
        <w:t>в 202</w:t>
      </w:r>
      <w:r>
        <w:rPr>
          <w:sz w:val="28"/>
          <w:szCs w:val="28"/>
        </w:rPr>
        <w:t>4</w:t>
      </w:r>
      <w:r w:rsidRPr="00E70EFD">
        <w:rPr>
          <w:sz w:val="28"/>
          <w:szCs w:val="28"/>
        </w:rPr>
        <w:t xml:space="preserve"> году коэффициент 2,</w:t>
      </w:r>
      <w:r>
        <w:rPr>
          <w:sz w:val="28"/>
          <w:szCs w:val="28"/>
        </w:rPr>
        <w:t>54</w:t>
      </w:r>
    </w:p>
    <w:p w:rsidR="00CE1891" w:rsidRPr="00E70EFD" w:rsidRDefault="00CE1891" w:rsidP="00CE1891">
      <w:pPr>
        <w:ind w:firstLine="709"/>
        <w:jc w:val="both"/>
        <w:rPr>
          <w:sz w:val="28"/>
          <w:szCs w:val="28"/>
        </w:rPr>
      </w:pPr>
      <w:r>
        <w:rPr>
          <w:sz w:val="28"/>
          <w:szCs w:val="28"/>
        </w:rPr>
        <w:t xml:space="preserve">В связи с отсутствием утвержденных коэффициентов </w:t>
      </w:r>
      <w:r w:rsidRPr="009A4998">
        <w:rPr>
          <w:sz w:val="28"/>
          <w:szCs w:val="28"/>
        </w:rPr>
        <w:t>к ставкам платы</w:t>
      </w:r>
      <w:r>
        <w:rPr>
          <w:sz w:val="28"/>
          <w:szCs w:val="28"/>
        </w:rPr>
        <w:t xml:space="preserve"> на 2024 год применяются значения 2023 года.</w:t>
      </w:r>
    </w:p>
    <w:p w:rsidR="00CE1891" w:rsidRPr="00E70EFD" w:rsidRDefault="00CE1891" w:rsidP="00CE1891">
      <w:pPr>
        <w:ind w:firstLine="900"/>
        <w:jc w:val="both"/>
        <w:rPr>
          <w:sz w:val="28"/>
          <w:szCs w:val="28"/>
        </w:rPr>
      </w:pPr>
      <w:r w:rsidRPr="00E70EFD">
        <w:rPr>
          <w:sz w:val="28"/>
          <w:szCs w:val="28"/>
        </w:rPr>
        <w:t xml:space="preserve">Плата за использование лесов по видам лесопользования определяется как произведение объема соответствующего вида лесопользования и ставки платы за единицу объема соответствующих ресурсов (в случае изъятия ресурсов) или площади арендуемого лесного участка и ставки платы за единицу площади лесного участка (в случае, когда изъятие ресурсов не осуществляется). </w:t>
      </w:r>
    </w:p>
    <w:p w:rsidR="00CE1891" w:rsidRPr="00E70EFD" w:rsidRDefault="00CE1891" w:rsidP="00CE1891">
      <w:pPr>
        <w:ind w:firstLine="708"/>
        <w:jc w:val="both"/>
        <w:rPr>
          <w:sz w:val="28"/>
          <w:szCs w:val="28"/>
        </w:rPr>
      </w:pPr>
      <w:r w:rsidRPr="00E70EFD">
        <w:rPr>
          <w:sz w:val="28"/>
          <w:szCs w:val="28"/>
        </w:rPr>
        <w:t>Объем использования лесных ресурсов на определенный год формируется на основе годового объема разрешенных к изъятию лесных ресурсов или площади арендуемых лесных участков.</w:t>
      </w:r>
    </w:p>
    <w:p w:rsidR="00CE1891" w:rsidRDefault="00CE1891" w:rsidP="00CE1891">
      <w:pPr>
        <w:pStyle w:val="21"/>
        <w:ind w:firstLine="708"/>
      </w:pPr>
    </w:p>
    <w:p w:rsidR="00CE1891" w:rsidRPr="00BA231A" w:rsidRDefault="00CE1891" w:rsidP="00CE1891">
      <w:pPr>
        <w:pStyle w:val="21"/>
        <w:ind w:firstLine="708"/>
      </w:pPr>
    </w:p>
    <w:p w:rsidR="00CE1891" w:rsidRDefault="00CE1891" w:rsidP="00CE1891">
      <w:pPr>
        <w:autoSpaceDE w:val="0"/>
        <w:autoSpaceDN w:val="0"/>
        <w:adjustRightInd w:val="0"/>
        <w:jc w:val="center"/>
        <w:rPr>
          <w:b/>
          <w:bCs/>
          <w:sz w:val="28"/>
          <w:szCs w:val="28"/>
        </w:rPr>
      </w:pPr>
      <w:r>
        <w:rPr>
          <w:b/>
          <w:bCs/>
          <w:sz w:val="28"/>
          <w:szCs w:val="28"/>
        </w:rPr>
        <w:t xml:space="preserve"> </w:t>
      </w:r>
      <w:r w:rsidR="001E2A06">
        <w:rPr>
          <w:b/>
          <w:bCs/>
          <w:sz w:val="28"/>
          <w:szCs w:val="28"/>
        </w:rPr>
        <w:t>Р</w:t>
      </w:r>
      <w:r>
        <w:rPr>
          <w:b/>
          <w:bCs/>
          <w:sz w:val="28"/>
          <w:szCs w:val="28"/>
        </w:rPr>
        <w:t xml:space="preserve">асчет </w:t>
      </w:r>
      <w:r w:rsidRPr="00745E5F">
        <w:rPr>
          <w:b/>
          <w:bCs/>
          <w:sz w:val="28"/>
          <w:szCs w:val="28"/>
        </w:rPr>
        <w:t>показателей по поступлению платы за использование лесов</w:t>
      </w:r>
      <w:r>
        <w:rPr>
          <w:b/>
          <w:bCs/>
          <w:sz w:val="28"/>
          <w:szCs w:val="28"/>
        </w:rPr>
        <w:t>, расположенных на землях лесного фонда, в части, превышающей минимальный размер арендной платы</w:t>
      </w:r>
    </w:p>
    <w:p w:rsidR="00CE1891" w:rsidRDefault="00CE1891" w:rsidP="00CE1891">
      <w:pPr>
        <w:pStyle w:val="21"/>
        <w:ind w:firstLine="0"/>
        <w:jc w:val="center"/>
      </w:pPr>
    </w:p>
    <w:p w:rsidR="00CE1891" w:rsidRPr="0031548D" w:rsidRDefault="00CE1891" w:rsidP="00CE1891">
      <w:pPr>
        <w:pStyle w:val="21"/>
      </w:pPr>
      <w:r w:rsidRPr="0031548D">
        <w:t xml:space="preserve">Поступление доходов от использования лесов в областной бюджет </w:t>
      </w:r>
      <w:r>
        <w:t xml:space="preserve">Тверской области </w:t>
      </w:r>
      <w:r w:rsidRPr="0031548D">
        <w:t xml:space="preserve">планируется за счет внесения арендной платы по ранее заключенным и вновь заключенным договорам аренды лесных участков (далее – договор аренды). </w:t>
      </w:r>
    </w:p>
    <w:p w:rsidR="00CE1891" w:rsidRPr="0031548D" w:rsidRDefault="00CE1891" w:rsidP="00CE1891">
      <w:pPr>
        <w:autoSpaceDE w:val="0"/>
        <w:autoSpaceDN w:val="0"/>
        <w:adjustRightInd w:val="0"/>
        <w:ind w:firstLine="709"/>
        <w:jc w:val="both"/>
        <w:outlineLvl w:val="3"/>
        <w:rPr>
          <w:sz w:val="28"/>
          <w:szCs w:val="28"/>
        </w:rPr>
      </w:pPr>
      <w:r w:rsidRPr="0031548D">
        <w:rPr>
          <w:color w:val="000000"/>
          <w:sz w:val="28"/>
          <w:szCs w:val="28"/>
          <w:lang w:bidi="ru-RU"/>
        </w:rPr>
        <w:t xml:space="preserve">Согласно абзацу девятому статьи 51 Бюджетного кодекса Российской Федерации </w:t>
      </w:r>
      <w:r w:rsidRPr="0031548D">
        <w:rPr>
          <w:sz w:val="28"/>
          <w:szCs w:val="28"/>
        </w:rPr>
        <w:t>плата за использование лесов в части, превышающей минимальный размер арендной платы, направляется в бюджет субъекта Российской Федерации - по нормативу 100 процентов.</w:t>
      </w:r>
    </w:p>
    <w:p w:rsidR="00CE1891" w:rsidRPr="001B7888" w:rsidRDefault="00CE1891" w:rsidP="00CE1891">
      <w:pPr>
        <w:tabs>
          <w:tab w:val="left" w:pos="709"/>
        </w:tabs>
        <w:autoSpaceDE w:val="0"/>
        <w:autoSpaceDN w:val="0"/>
        <w:adjustRightInd w:val="0"/>
        <w:ind w:firstLine="709"/>
        <w:jc w:val="both"/>
        <w:rPr>
          <w:color w:val="000000"/>
          <w:sz w:val="28"/>
          <w:szCs w:val="28"/>
          <w:lang w:bidi="ru-RU"/>
        </w:rPr>
      </w:pPr>
      <w:r w:rsidRPr="001B7888">
        <w:rPr>
          <w:color w:val="000000"/>
          <w:sz w:val="28"/>
          <w:szCs w:val="28"/>
          <w:lang w:bidi="ru-RU"/>
        </w:rPr>
        <w:t>Ожидаемая оценка на 2021 год составит:</w:t>
      </w:r>
    </w:p>
    <w:p w:rsidR="00CE1891" w:rsidRPr="001B7888" w:rsidRDefault="00CE1891" w:rsidP="00CE1891">
      <w:pPr>
        <w:tabs>
          <w:tab w:val="left" w:pos="709"/>
        </w:tabs>
        <w:autoSpaceDE w:val="0"/>
        <w:autoSpaceDN w:val="0"/>
        <w:adjustRightInd w:val="0"/>
        <w:ind w:firstLine="709"/>
        <w:jc w:val="both"/>
        <w:rPr>
          <w:color w:val="000000"/>
          <w:sz w:val="28"/>
          <w:szCs w:val="28"/>
          <w:lang w:bidi="ru-RU"/>
        </w:rPr>
      </w:pPr>
      <w:r w:rsidRPr="001B7888">
        <w:rPr>
          <w:color w:val="000000"/>
          <w:sz w:val="28"/>
          <w:szCs w:val="28"/>
          <w:lang w:bidi="ru-RU"/>
        </w:rPr>
        <w:lastRenderedPageBreak/>
        <w:t xml:space="preserve"> П</w:t>
      </w:r>
      <w:r w:rsidRPr="001B7888">
        <w:rPr>
          <w:color w:val="000000"/>
          <w:sz w:val="28"/>
          <w:szCs w:val="28"/>
          <w:vertAlign w:val="subscript"/>
          <w:lang w:bidi="ru-RU"/>
        </w:rPr>
        <w:t>аробл</w:t>
      </w:r>
      <w:r w:rsidRPr="001B7888">
        <w:rPr>
          <w:color w:val="000000"/>
          <w:sz w:val="28"/>
          <w:szCs w:val="28"/>
          <w:lang w:bidi="ru-RU"/>
        </w:rPr>
        <w:t>2021 = 399 649,0 тыс. руб. + 11504,5 тыс. руб. + 270,5 тыс. руб. + 18 140,23 тыс. руб. ± 0,0 =  429 564,23 тыс. руб.</w:t>
      </w:r>
    </w:p>
    <w:p w:rsidR="00CE1891" w:rsidRPr="001B7888" w:rsidRDefault="00CE1891" w:rsidP="00CE1891">
      <w:pPr>
        <w:tabs>
          <w:tab w:val="left" w:pos="709"/>
        </w:tabs>
        <w:autoSpaceDE w:val="0"/>
        <w:autoSpaceDN w:val="0"/>
        <w:adjustRightInd w:val="0"/>
        <w:ind w:firstLine="709"/>
        <w:jc w:val="both"/>
        <w:rPr>
          <w:color w:val="000000"/>
          <w:sz w:val="28"/>
          <w:szCs w:val="28"/>
          <w:lang w:bidi="ru-RU"/>
        </w:rPr>
      </w:pPr>
      <w:r w:rsidRPr="001B7888">
        <w:rPr>
          <w:color w:val="000000"/>
          <w:sz w:val="28"/>
          <w:szCs w:val="28"/>
          <w:lang w:bidi="ru-RU"/>
        </w:rPr>
        <w:t xml:space="preserve"> Прогноз на 2022 год составит:</w:t>
      </w:r>
    </w:p>
    <w:p w:rsidR="00CE1891" w:rsidRPr="001B7888" w:rsidRDefault="00CE1891" w:rsidP="00CE1891">
      <w:pPr>
        <w:tabs>
          <w:tab w:val="left" w:pos="709"/>
        </w:tabs>
        <w:autoSpaceDE w:val="0"/>
        <w:autoSpaceDN w:val="0"/>
        <w:adjustRightInd w:val="0"/>
        <w:ind w:firstLine="709"/>
        <w:jc w:val="both"/>
        <w:rPr>
          <w:color w:val="000000"/>
          <w:sz w:val="28"/>
          <w:szCs w:val="28"/>
          <w:lang w:bidi="ru-RU"/>
        </w:rPr>
      </w:pPr>
      <w:r w:rsidRPr="001B7888">
        <w:rPr>
          <w:color w:val="000000"/>
          <w:sz w:val="28"/>
          <w:szCs w:val="28"/>
          <w:lang w:bidi="ru-RU"/>
        </w:rPr>
        <w:t xml:space="preserve"> П</w:t>
      </w:r>
      <w:r w:rsidRPr="001B7888">
        <w:rPr>
          <w:color w:val="000000"/>
          <w:sz w:val="28"/>
          <w:szCs w:val="28"/>
          <w:vertAlign w:val="subscript"/>
          <w:lang w:bidi="ru-RU"/>
        </w:rPr>
        <w:t>аробл</w:t>
      </w:r>
      <w:r w:rsidRPr="001B7888">
        <w:rPr>
          <w:color w:val="000000"/>
          <w:sz w:val="28"/>
          <w:szCs w:val="28"/>
          <w:lang w:bidi="ru-RU"/>
        </w:rPr>
        <w:t>2022 = 540 632,9тыс. руб. + 12846,3 тыс. руб.+ 272,6 тыс. руб. + 20 364,58 тыс. руб. ± 0,0 =  574</w:t>
      </w:r>
      <w:r>
        <w:rPr>
          <w:color w:val="000000"/>
          <w:sz w:val="28"/>
          <w:szCs w:val="28"/>
          <w:lang w:bidi="ru-RU"/>
        </w:rPr>
        <w:t xml:space="preserve"> </w:t>
      </w:r>
      <w:r w:rsidRPr="001B7888">
        <w:rPr>
          <w:color w:val="000000"/>
          <w:sz w:val="28"/>
          <w:szCs w:val="28"/>
          <w:lang w:bidi="ru-RU"/>
        </w:rPr>
        <w:t>116,38 тыс. руб.</w:t>
      </w:r>
    </w:p>
    <w:p w:rsidR="00CE1891" w:rsidRPr="001B7888" w:rsidRDefault="00CE1891" w:rsidP="00CE1891">
      <w:pPr>
        <w:tabs>
          <w:tab w:val="left" w:pos="709"/>
        </w:tabs>
        <w:autoSpaceDE w:val="0"/>
        <w:autoSpaceDN w:val="0"/>
        <w:adjustRightInd w:val="0"/>
        <w:ind w:firstLine="709"/>
        <w:jc w:val="both"/>
        <w:rPr>
          <w:color w:val="000000"/>
          <w:sz w:val="28"/>
          <w:szCs w:val="28"/>
          <w:lang w:bidi="ru-RU"/>
        </w:rPr>
      </w:pPr>
      <w:r w:rsidRPr="001B7888">
        <w:rPr>
          <w:color w:val="000000"/>
          <w:sz w:val="28"/>
          <w:szCs w:val="28"/>
          <w:lang w:bidi="ru-RU"/>
        </w:rPr>
        <w:t xml:space="preserve"> Прогноз на 2023 год составит:</w:t>
      </w:r>
    </w:p>
    <w:p w:rsidR="00CE1891" w:rsidRPr="001B7888" w:rsidRDefault="00CE1891" w:rsidP="00CE1891">
      <w:pPr>
        <w:tabs>
          <w:tab w:val="left" w:pos="709"/>
        </w:tabs>
        <w:autoSpaceDE w:val="0"/>
        <w:autoSpaceDN w:val="0"/>
        <w:adjustRightInd w:val="0"/>
        <w:ind w:firstLine="709"/>
        <w:jc w:val="both"/>
        <w:rPr>
          <w:color w:val="000000"/>
          <w:sz w:val="28"/>
          <w:szCs w:val="28"/>
          <w:lang w:bidi="ru-RU"/>
        </w:rPr>
      </w:pPr>
      <w:r w:rsidRPr="001B7888">
        <w:rPr>
          <w:color w:val="000000"/>
          <w:sz w:val="28"/>
          <w:szCs w:val="28"/>
          <w:lang w:bidi="ru-RU"/>
        </w:rPr>
        <w:t xml:space="preserve"> П</w:t>
      </w:r>
      <w:r w:rsidRPr="001B7888">
        <w:rPr>
          <w:color w:val="000000"/>
          <w:sz w:val="28"/>
          <w:szCs w:val="28"/>
          <w:vertAlign w:val="subscript"/>
          <w:lang w:bidi="ru-RU"/>
        </w:rPr>
        <w:t>аробл</w:t>
      </w:r>
      <w:r w:rsidRPr="001B7888">
        <w:rPr>
          <w:color w:val="000000"/>
          <w:sz w:val="28"/>
          <w:szCs w:val="28"/>
          <w:lang w:bidi="ru-RU"/>
        </w:rPr>
        <w:t>2023= 562 752,0 тыс. руб. + 13795,3 тыс. руб. + 283,8 тыс. руб. + 23 932,51 тыс. руб. ± 0,0 = 600</w:t>
      </w:r>
      <w:r>
        <w:rPr>
          <w:color w:val="000000"/>
          <w:sz w:val="28"/>
          <w:szCs w:val="28"/>
          <w:lang w:bidi="ru-RU"/>
        </w:rPr>
        <w:t xml:space="preserve"> </w:t>
      </w:r>
      <w:r w:rsidRPr="001B7888">
        <w:rPr>
          <w:color w:val="000000"/>
          <w:sz w:val="28"/>
          <w:szCs w:val="28"/>
          <w:lang w:bidi="ru-RU"/>
        </w:rPr>
        <w:t>763,61 тыс. руб.</w:t>
      </w:r>
    </w:p>
    <w:p w:rsidR="00CE1891" w:rsidRPr="001B7888" w:rsidRDefault="00CE1891" w:rsidP="00CE1891">
      <w:pPr>
        <w:tabs>
          <w:tab w:val="left" w:pos="709"/>
        </w:tabs>
        <w:autoSpaceDE w:val="0"/>
        <w:autoSpaceDN w:val="0"/>
        <w:adjustRightInd w:val="0"/>
        <w:ind w:firstLine="709"/>
        <w:jc w:val="both"/>
        <w:rPr>
          <w:color w:val="000000"/>
          <w:sz w:val="28"/>
          <w:szCs w:val="28"/>
          <w:lang w:bidi="ru-RU"/>
        </w:rPr>
      </w:pPr>
      <w:r w:rsidRPr="001B7888">
        <w:rPr>
          <w:color w:val="000000"/>
          <w:sz w:val="28"/>
          <w:szCs w:val="28"/>
          <w:lang w:bidi="ru-RU"/>
        </w:rPr>
        <w:t xml:space="preserve"> Прогноз на 2024 год составит:</w:t>
      </w:r>
    </w:p>
    <w:p w:rsidR="00CE1891" w:rsidRPr="001B7888" w:rsidRDefault="00CE1891" w:rsidP="00CE1891">
      <w:pPr>
        <w:tabs>
          <w:tab w:val="left" w:pos="709"/>
        </w:tabs>
        <w:autoSpaceDE w:val="0"/>
        <w:autoSpaceDN w:val="0"/>
        <w:adjustRightInd w:val="0"/>
        <w:ind w:firstLine="709"/>
        <w:jc w:val="both"/>
        <w:rPr>
          <w:color w:val="000000"/>
          <w:sz w:val="28"/>
          <w:szCs w:val="28"/>
          <w:lang w:bidi="ru-RU"/>
        </w:rPr>
      </w:pPr>
      <w:r w:rsidRPr="001B7888">
        <w:rPr>
          <w:color w:val="000000"/>
          <w:sz w:val="28"/>
          <w:szCs w:val="28"/>
          <w:lang w:bidi="ru-RU"/>
        </w:rPr>
        <w:t xml:space="preserve"> П</w:t>
      </w:r>
      <w:r w:rsidRPr="001B7888">
        <w:rPr>
          <w:color w:val="000000"/>
          <w:sz w:val="28"/>
          <w:szCs w:val="28"/>
          <w:vertAlign w:val="subscript"/>
          <w:lang w:bidi="ru-RU"/>
        </w:rPr>
        <w:t>аробл</w:t>
      </w:r>
      <w:r w:rsidRPr="001B7888">
        <w:rPr>
          <w:color w:val="000000"/>
          <w:sz w:val="28"/>
          <w:szCs w:val="28"/>
          <w:lang w:bidi="ru-RU"/>
        </w:rPr>
        <w:t>2024 = 552 953,7 тыс. руб. + 14087,8 тыс. руб.+ 283,8 тыс. руб. + 20 812,44 тыс. руб. ± 0,0 =  588</w:t>
      </w:r>
      <w:r>
        <w:rPr>
          <w:color w:val="000000"/>
          <w:sz w:val="28"/>
          <w:szCs w:val="28"/>
          <w:lang w:bidi="ru-RU"/>
        </w:rPr>
        <w:t xml:space="preserve"> </w:t>
      </w:r>
      <w:r w:rsidRPr="001B7888">
        <w:rPr>
          <w:color w:val="000000"/>
          <w:sz w:val="28"/>
          <w:szCs w:val="28"/>
          <w:lang w:bidi="ru-RU"/>
        </w:rPr>
        <w:t>137,74 тыс. руб.</w:t>
      </w:r>
    </w:p>
    <w:p w:rsidR="00CE1891" w:rsidRPr="0073094B" w:rsidRDefault="00CE1891" w:rsidP="00CE1891">
      <w:pPr>
        <w:tabs>
          <w:tab w:val="left" w:pos="709"/>
        </w:tabs>
        <w:autoSpaceDE w:val="0"/>
        <w:autoSpaceDN w:val="0"/>
        <w:adjustRightInd w:val="0"/>
        <w:ind w:firstLine="709"/>
        <w:jc w:val="both"/>
        <w:rPr>
          <w:b/>
          <w:sz w:val="28"/>
          <w:szCs w:val="28"/>
        </w:rPr>
      </w:pPr>
      <w:r w:rsidRPr="0073094B">
        <w:rPr>
          <w:b/>
          <w:sz w:val="28"/>
          <w:szCs w:val="28"/>
        </w:rPr>
        <w:t>Плата по виду деятельности - заготовка  древесины -  рассчитывается по следующей формуле:</w:t>
      </w:r>
    </w:p>
    <w:p w:rsidR="00CE1891" w:rsidRPr="0073094B" w:rsidRDefault="00CE1891" w:rsidP="00CE1891">
      <w:pPr>
        <w:pStyle w:val="29"/>
        <w:shd w:val="clear" w:color="auto" w:fill="auto"/>
        <w:spacing w:before="0" w:line="240" w:lineRule="auto"/>
        <w:ind w:firstLine="709"/>
      </w:pPr>
    </w:p>
    <w:p w:rsidR="00CE1891" w:rsidRPr="0073094B" w:rsidRDefault="00CE1891" w:rsidP="00CE1891">
      <w:pPr>
        <w:pStyle w:val="85"/>
        <w:shd w:val="clear" w:color="auto" w:fill="auto"/>
        <w:spacing w:before="0" w:line="240" w:lineRule="auto"/>
        <w:ind w:firstLine="709"/>
        <w:rPr>
          <w:lang w:val="ru-RU"/>
        </w:rPr>
      </w:pPr>
      <w:r w:rsidRPr="0073094B">
        <w:rPr>
          <w:i w:val="0"/>
          <w:lang w:val="ru-RU" w:bidi="ru-RU"/>
        </w:rPr>
        <w:t>П</w:t>
      </w:r>
      <w:r w:rsidRPr="0073094B">
        <w:rPr>
          <w:i w:val="0"/>
          <w:vertAlign w:val="subscript"/>
          <w:lang w:val="ru-RU" w:bidi="ru-RU"/>
        </w:rPr>
        <w:t>ар</w:t>
      </w:r>
      <w:r w:rsidRPr="0073094B">
        <w:rPr>
          <w:i w:val="0"/>
          <w:vertAlign w:val="superscript"/>
          <w:lang w:val="ru-RU" w:bidi="ru-RU"/>
        </w:rPr>
        <w:t>обл</w:t>
      </w:r>
      <w:r w:rsidRPr="0073094B">
        <w:rPr>
          <w:i w:val="0"/>
          <w:lang w:val="ru-RU"/>
        </w:rPr>
        <w:t>=(</w:t>
      </w:r>
      <w:r w:rsidRPr="0073094B">
        <w:rPr>
          <w:i w:val="0"/>
        </w:rPr>
        <w:t>C</w:t>
      </w:r>
      <w:r w:rsidRPr="0073094B">
        <w:rPr>
          <w:i w:val="0"/>
          <w:vertAlign w:val="subscript"/>
        </w:rPr>
        <w:t>Q</w:t>
      </w:r>
      <w:r w:rsidRPr="0073094B">
        <w:rPr>
          <w:i w:val="0"/>
          <w:vertAlign w:val="superscript"/>
        </w:rPr>
        <w:t>ap</w:t>
      </w:r>
      <w:r w:rsidRPr="0073094B">
        <w:rPr>
          <w:i w:val="0"/>
          <w:lang w:val="ru-RU"/>
        </w:rPr>
        <w:t>*</w:t>
      </w:r>
      <w:r w:rsidRPr="0073094B">
        <w:rPr>
          <w:i w:val="0"/>
        </w:rPr>
        <w:t>K</w:t>
      </w:r>
      <w:r w:rsidRPr="0073094B">
        <w:rPr>
          <w:i w:val="0"/>
          <w:vertAlign w:val="subscript"/>
          <w:lang w:val="ru-RU"/>
        </w:rPr>
        <w:t>1</w:t>
      </w:r>
      <w:r w:rsidRPr="0073094B">
        <w:rPr>
          <w:i w:val="0"/>
          <w:lang w:val="ru-RU"/>
        </w:rPr>
        <w:t>)*</w:t>
      </w:r>
      <w:r w:rsidRPr="0073094B">
        <w:rPr>
          <w:i w:val="0"/>
        </w:rPr>
        <w:t>Q</w:t>
      </w:r>
      <w:r w:rsidRPr="0073094B">
        <w:rPr>
          <w:i w:val="0"/>
          <w:vertAlign w:val="superscript"/>
        </w:rPr>
        <w:t>cp</w:t>
      </w:r>
      <w:r w:rsidRPr="0073094B">
        <w:rPr>
          <w:i w:val="0"/>
          <w:vertAlign w:val="subscript"/>
        </w:rPr>
        <w:t>ap</w:t>
      </w:r>
      <w:r w:rsidRPr="0073094B">
        <w:rPr>
          <w:lang w:val="ru-RU"/>
        </w:rPr>
        <w:t>*</w:t>
      </w:r>
      <w:r w:rsidRPr="0073094B">
        <w:rPr>
          <w:rStyle w:val="714pt"/>
          <w:rFonts w:eastAsia="Calibri"/>
        </w:rPr>
        <w:t>Т</w:t>
      </w:r>
      <w:r w:rsidRPr="0073094B">
        <w:rPr>
          <w:rStyle w:val="714pt"/>
          <w:rFonts w:eastAsia="Calibri"/>
          <w:vertAlign w:val="superscript"/>
        </w:rPr>
        <w:t>ср</w:t>
      </w:r>
      <w:r w:rsidRPr="0073094B">
        <w:rPr>
          <w:vertAlign w:val="subscript"/>
        </w:rPr>
        <w:t>Qap</w:t>
      </w:r>
    </w:p>
    <w:p w:rsidR="00CE1891" w:rsidRPr="0073094B" w:rsidRDefault="00CE1891" w:rsidP="00CE1891">
      <w:pPr>
        <w:pStyle w:val="29"/>
        <w:shd w:val="clear" w:color="auto" w:fill="auto"/>
        <w:spacing w:before="0" w:line="240" w:lineRule="auto"/>
        <w:ind w:firstLine="709"/>
        <w:rPr>
          <w:lang w:bidi="ru-RU"/>
        </w:rPr>
      </w:pPr>
      <w:r w:rsidRPr="0073094B">
        <w:rPr>
          <w:lang w:bidi="ru-RU"/>
        </w:rPr>
        <w:t>где:</w:t>
      </w:r>
    </w:p>
    <w:p w:rsidR="00CE1891" w:rsidRPr="0073094B" w:rsidRDefault="00CE1891" w:rsidP="00CE1891">
      <w:pPr>
        <w:ind w:firstLine="708"/>
        <w:jc w:val="both"/>
        <w:rPr>
          <w:sz w:val="28"/>
          <w:szCs w:val="28"/>
        </w:rPr>
      </w:pPr>
      <w:r w:rsidRPr="0073094B">
        <w:rPr>
          <w:sz w:val="28"/>
          <w:szCs w:val="28"/>
        </w:rPr>
        <w:t>П</w:t>
      </w:r>
      <w:r w:rsidRPr="0073094B">
        <w:rPr>
          <w:sz w:val="28"/>
          <w:szCs w:val="28"/>
          <w:vertAlign w:val="subscript"/>
        </w:rPr>
        <w:t xml:space="preserve">ар </w:t>
      </w:r>
      <w:r w:rsidRPr="0073094B">
        <w:rPr>
          <w:sz w:val="28"/>
          <w:szCs w:val="28"/>
          <w:vertAlign w:val="superscript"/>
        </w:rPr>
        <w:t>обл</w:t>
      </w:r>
      <w:r w:rsidRPr="0073094B">
        <w:rPr>
          <w:sz w:val="28"/>
          <w:szCs w:val="28"/>
          <w:vertAlign w:val="subscript"/>
        </w:rPr>
        <w:t xml:space="preserve"> </w:t>
      </w:r>
      <w:r w:rsidRPr="0073094B">
        <w:rPr>
          <w:sz w:val="28"/>
          <w:szCs w:val="28"/>
        </w:rPr>
        <w:t>- плата поступления в областной бюджет Тверской области (тыс. руб.);</w:t>
      </w:r>
    </w:p>
    <w:p w:rsidR="00CE1891" w:rsidRPr="0073094B" w:rsidRDefault="00CE1891" w:rsidP="00CE1891">
      <w:pPr>
        <w:ind w:firstLine="708"/>
        <w:jc w:val="both"/>
        <w:rPr>
          <w:sz w:val="28"/>
          <w:szCs w:val="28"/>
        </w:rPr>
      </w:pPr>
      <w:r w:rsidRPr="0073094B">
        <w:rPr>
          <w:sz w:val="28"/>
          <w:szCs w:val="28"/>
        </w:rPr>
        <w:t>С</w:t>
      </w:r>
      <w:r w:rsidRPr="0073094B">
        <w:rPr>
          <w:sz w:val="28"/>
          <w:szCs w:val="28"/>
          <w:vertAlign w:val="subscript"/>
          <w:lang w:val="en-US"/>
        </w:rPr>
        <w:t>Q</w:t>
      </w:r>
      <w:r w:rsidRPr="0073094B">
        <w:rPr>
          <w:sz w:val="28"/>
          <w:szCs w:val="28"/>
          <w:vertAlign w:val="subscript"/>
        </w:rPr>
        <w:t xml:space="preserve"> </w:t>
      </w:r>
      <w:r w:rsidRPr="0073094B">
        <w:rPr>
          <w:sz w:val="28"/>
          <w:szCs w:val="28"/>
          <w:vertAlign w:val="superscript"/>
        </w:rPr>
        <w:t>ар</w:t>
      </w:r>
      <w:r w:rsidRPr="0073094B">
        <w:rPr>
          <w:sz w:val="28"/>
          <w:szCs w:val="28"/>
        </w:rPr>
        <w:t xml:space="preserve"> – средняя плата (превышающая минимальные ставки платы) за единицу объема древесины по договорам аренды лесных участков, находящихся в федеральной собственности, сложившаяся по итогам предыдущего финансового года и приведенная к уровню 2007 года (руб.); </w:t>
      </w:r>
    </w:p>
    <w:p w:rsidR="00CE1891" w:rsidRPr="0073094B" w:rsidRDefault="00CE1891" w:rsidP="00CE1891">
      <w:pPr>
        <w:ind w:firstLine="708"/>
        <w:jc w:val="both"/>
        <w:rPr>
          <w:sz w:val="28"/>
          <w:szCs w:val="28"/>
        </w:rPr>
      </w:pPr>
    </w:p>
    <w:p w:rsidR="00CE1891" w:rsidRPr="0073094B" w:rsidRDefault="00CE1891" w:rsidP="00CE1891">
      <w:pPr>
        <w:ind w:firstLine="708"/>
        <w:jc w:val="both"/>
        <w:rPr>
          <w:sz w:val="28"/>
          <w:szCs w:val="28"/>
          <w:vertAlign w:val="subscript"/>
        </w:rPr>
      </w:pPr>
      <w:r w:rsidRPr="0073094B">
        <w:rPr>
          <w:sz w:val="28"/>
          <w:szCs w:val="28"/>
        </w:rPr>
        <w:t>С</w:t>
      </w:r>
      <w:r w:rsidRPr="0073094B">
        <w:rPr>
          <w:sz w:val="28"/>
          <w:szCs w:val="28"/>
          <w:vertAlign w:val="subscript"/>
          <w:lang w:val="en-US"/>
        </w:rPr>
        <w:t>Q</w:t>
      </w:r>
      <w:r w:rsidRPr="0073094B">
        <w:rPr>
          <w:sz w:val="28"/>
          <w:szCs w:val="28"/>
          <w:vertAlign w:val="subscript"/>
        </w:rPr>
        <w:t xml:space="preserve"> </w:t>
      </w:r>
      <w:r w:rsidRPr="0073094B">
        <w:rPr>
          <w:sz w:val="28"/>
          <w:szCs w:val="28"/>
          <w:vertAlign w:val="superscript"/>
        </w:rPr>
        <w:t xml:space="preserve">ар </w:t>
      </w:r>
      <w:r w:rsidRPr="0073094B">
        <w:rPr>
          <w:sz w:val="28"/>
          <w:szCs w:val="28"/>
        </w:rPr>
        <w:t>=П</w:t>
      </w:r>
      <w:r w:rsidRPr="0073094B">
        <w:rPr>
          <w:sz w:val="28"/>
          <w:szCs w:val="28"/>
          <w:vertAlign w:val="subscript"/>
        </w:rPr>
        <w:t>ар</w:t>
      </w:r>
      <w:r w:rsidRPr="0073094B">
        <w:rPr>
          <w:sz w:val="28"/>
          <w:szCs w:val="28"/>
          <w:vertAlign w:val="subscript"/>
          <w:lang w:val="en-US"/>
        </w:rPr>
        <w:t>Q</w:t>
      </w:r>
      <w:r w:rsidRPr="0073094B">
        <w:rPr>
          <w:sz w:val="28"/>
          <w:szCs w:val="28"/>
          <w:vertAlign w:val="superscript"/>
        </w:rPr>
        <w:t>причОБ</w:t>
      </w:r>
      <w:r w:rsidRPr="0073094B">
        <w:rPr>
          <w:sz w:val="28"/>
          <w:szCs w:val="28"/>
        </w:rPr>
        <w:t>/</w:t>
      </w:r>
      <w:r w:rsidRPr="0073094B">
        <w:rPr>
          <w:sz w:val="28"/>
          <w:szCs w:val="28"/>
          <w:lang w:val="en-US"/>
        </w:rPr>
        <w:t>Q</w:t>
      </w:r>
      <w:r w:rsidRPr="0073094B">
        <w:rPr>
          <w:sz w:val="28"/>
          <w:szCs w:val="28"/>
          <w:vertAlign w:val="subscript"/>
        </w:rPr>
        <w:t xml:space="preserve">ар </w:t>
      </w:r>
      <w:r w:rsidRPr="0073094B">
        <w:rPr>
          <w:sz w:val="28"/>
          <w:szCs w:val="28"/>
          <w:vertAlign w:val="superscript"/>
        </w:rPr>
        <w:t>предост</w:t>
      </w:r>
      <w:r w:rsidRPr="0073094B">
        <w:rPr>
          <w:sz w:val="28"/>
          <w:szCs w:val="28"/>
        </w:rPr>
        <w:t>/К</w:t>
      </w:r>
      <w:r w:rsidRPr="0073094B">
        <w:rPr>
          <w:sz w:val="28"/>
          <w:szCs w:val="28"/>
          <w:vertAlign w:val="subscript"/>
        </w:rPr>
        <w:t>1пред год,</w:t>
      </w:r>
    </w:p>
    <w:p w:rsidR="00CE1891" w:rsidRPr="0073094B" w:rsidRDefault="00CE1891" w:rsidP="00CE1891">
      <w:pPr>
        <w:ind w:firstLine="708"/>
        <w:jc w:val="both"/>
        <w:rPr>
          <w:sz w:val="28"/>
          <w:szCs w:val="28"/>
          <w:vertAlign w:val="subscript"/>
        </w:rPr>
      </w:pPr>
    </w:p>
    <w:p w:rsidR="00CE1891" w:rsidRPr="0073094B" w:rsidRDefault="00CE1891" w:rsidP="00CE1891">
      <w:pPr>
        <w:ind w:firstLine="708"/>
        <w:jc w:val="both"/>
        <w:rPr>
          <w:sz w:val="28"/>
          <w:szCs w:val="28"/>
        </w:rPr>
      </w:pPr>
      <w:r w:rsidRPr="0073094B">
        <w:rPr>
          <w:sz w:val="28"/>
          <w:szCs w:val="28"/>
        </w:rPr>
        <w:t>где:</w:t>
      </w:r>
    </w:p>
    <w:p w:rsidR="00CE1891" w:rsidRPr="0073094B" w:rsidRDefault="00CE1891" w:rsidP="00CE1891">
      <w:pPr>
        <w:ind w:firstLine="708"/>
        <w:jc w:val="both"/>
        <w:rPr>
          <w:sz w:val="28"/>
          <w:szCs w:val="28"/>
        </w:rPr>
      </w:pPr>
      <w:r w:rsidRPr="0073094B">
        <w:rPr>
          <w:sz w:val="28"/>
          <w:szCs w:val="28"/>
        </w:rPr>
        <w:t>П</w:t>
      </w:r>
      <w:r w:rsidRPr="0073094B">
        <w:rPr>
          <w:sz w:val="28"/>
          <w:szCs w:val="28"/>
          <w:vertAlign w:val="subscript"/>
        </w:rPr>
        <w:t>ар</w:t>
      </w:r>
      <w:r w:rsidRPr="0073094B">
        <w:rPr>
          <w:sz w:val="28"/>
          <w:szCs w:val="28"/>
          <w:vertAlign w:val="subscript"/>
          <w:lang w:val="en-US"/>
        </w:rPr>
        <w:t>Q</w:t>
      </w:r>
      <w:r w:rsidRPr="0073094B">
        <w:rPr>
          <w:sz w:val="28"/>
          <w:szCs w:val="28"/>
          <w:vertAlign w:val="superscript"/>
        </w:rPr>
        <w:t xml:space="preserve">причОБ </w:t>
      </w:r>
      <w:r w:rsidRPr="0073094B">
        <w:rPr>
          <w:sz w:val="28"/>
          <w:szCs w:val="28"/>
        </w:rPr>
        <w:t>- причитающийся в областной бюджет объем платежей за заготовку древесины по договорам аренды лесных участков, находящихся в федеральной собственности, в предыдущем финансовом году (руб.);</w:t>
      </w:r>
    </w:p>
    <w:p w:rsidR="00CE1891" w:rsidRPr="0073094B" w:rsidRDefault="00CE1891" w:rsidP="00CE1891">
      <w:pPr>
        <w:ind w:firstLine="708"/>
        <w:jc w:val="both"/>
        <w:rPr>
          <w:sz w:val="28"/>
          <w:szCs w:val="28"/>
        </w:rPr>
      </w:pPr>
      <w:r w:rsidRPr="0073094B">
        <w:rPr>
          <w:sz w:val="28"/>
          <w:szCs w:val="28"/>
          <w:lang w:val="en-US"/>
        </w:rPr>
        <w:t>Q</w:t>
      </w:r>
      <w:r w:rsidRPr="0073094B">
        <w:rPr>
          <w:sz w:val="28"/>
          <w:szCs w:val="28"/>
          <w:vertAlign w:val="subscript"/>
        </w:rPr>
        <w:t xml:space="preserve">ар </w:t>
      </w:r>
      <w:r w:rsidRPr="0073094B">
        <w:rPr>
          <w:sz w:val="28"/>
          <w:szCs w:val="28"/>
          <w:vertAlign w:val="superscript"/>
        </w:rPr>
        <w:t xml:space="preserve">предост </w:t>
      </w:r>
      <w:r w:rsidRPr="0073094B">
        <w:rPr>
          <w:sz w:val="28"/>
          <w:szCs w:val="28"/>
        </w:rPr>
        <w:t>- объем древесины, предоставленный для заготовки древесины по договорам аренды лесных участков, находящихся в федеральной собственности, в предыдущем финансовом году (куб.м);</w:t>
      </w:r>
    </w:p>
    <w:p w:rsidR="00CE1891" w:rsidRPr="0073094B" w:rsidRDefault="00CE1891" w:rsidP="00CE1891">
      <w:pPr>
        <w:ind w:firstLine="708"/>
        <w:jc w:val="both"/>
        <w:rPr>
          <w:sz w:val="28"/>
          <w:szCs w:val="28"/>
        </w:rPr>
      </w:pPr>
      <w:r w:rsidRPr="0073094B">
        <w:rPr>
          <w:sz w:val="28"/>
          <w:szCs w:val="28"/>
        </w:rPr>
        <w:t>К</w:t>
      </w:r>
      <w:r w:rsidRPr="0073094B">
        <w:rPr>
          <w:sz w:val="28"/>
          <w:szCs w:val="28"/>
          <w:vertAlign w:val="subscript"/>
        </w:rPr>
        <w:t xml:space="preserve">1пред год </w:t>
      </w:r>
      <w:r w:rsidRPr="0073094B">
        <w:rPr>
          <w:sz w:val="28"/>
          <w:szCs w:val="28"/>
        </w:rPr>
        <w:t>- коэффициент за единицу объема лесных ресурсов в предыдущем финансовом году.</w:t>
      </w:r>
    </w:p>
    <w:p w:rsidR="00CE1891" w:rsidRPr="0073094B" w:rsidRDefault="00CE1891" w:rsidP="00CE1891">
      <w:pPr>
        <w:ind w:firstLine="708"/>
        <w:jc w:val="both"/>
        <w:rPr>
          <w:sz w:val="28"/>
          <w:szCs w:val="28"/>
        </w:rPr>
      </w:pPr>
      <w:r w:rsidRPr="0073094B">
        <w:rPr>
          <w:sz w:val="28"/>
          <w:szCs w:val="28"/>
        </w:rPr>
        <w:t>К</w:t>
      </w:r>
      <w:r w:rsidRPr="0073094B">
        <w:rPr>
          <w:sz w:val="28"/>
          <w:szCs w:val="28"/>
          <w:vertAlign w:val="subscript"/>
        </w:rPr>
        <w:t>1</w:t>
      </w:r>
      <w:r w:rsidRPr="0073094B">
        <w:rPr>
          <w:sz w:val="28"/>
          <w:szCs w:val="28"/>
        </w:rPr>
        <w:t xml:space="preserve"> - коэффициент отчетного года за единицу объема лесных ресурсов;  </w:t>
      </w:r>
    </w:p>
    <w:p w:rsidR="00CE1891" w:rsidRPr="0073094B" w:rsidRDefault="00CE1891" w:rsidP="00CE1891">
      <w:pPr>
        <w:ind w:firstLine="708"/>
        <w:jc w:val="both"/>
        <w:rPr>
          <w:sz w:val="28"/>
          <w:szCs w:val="28"/>
        </w:rPr>
      </w:pPr>
      <w:r w:rsidRPr="0073094B">
        <w:rPr>
          <w:sz w:val="28"/>
          <w:szCs w:val="28"/>
          <w:lang w:val="en-US"/>
        </w:rPr>
        <w:t>Q</w:t>
      </w:r>
      <w:r w:rsidRPr="0073094B">
        <w:rPr>
          <w:sz w:val="28"/>
          <w:szCs w:val="28"/>
          <w:vertAlign w:val="superscript"/>
        </w:rPr>
        <w:t>ср</w:t>
      </w:r>
      <w:r w:rsidRPr="0073094B">
        <w:rPr>
          <w:sz w:val="28"/>
          <w:szCs w:val="28"/>
          <w:vertAlign w:val="subscript"/>
        </w:rPr>
        <w:t xml:space="preserve">ар </w:t>
      </w:r>
      <w:r w:rsidRPr="0073094B">
        <w:rPr>
          <w:strike/>
          <w:sz w:val="28"/>
          <w:szCs w:val="28"/>
          <w:vertAlign w:val="subscript"/>
        </w:rPr>
        <w:t xml:space="preserve">– </w:t>
      </w:r>
      <w:r w:rsidRPr="0073094B">
        <w:rPr>
          <w:sz w:val="28"/>
          <w:szCs w:val="28"/>
        </w:rPr>
        <w:t xml:space="preserve"> средний объем древесины, подлежащий заготовке по договорам аренды лесных участков, находящихся в федеральной собственности, (куб.м);</w:t>
      </w:r>
    </w:p>
    <w:p w:rsidR="00CE1891" w:rsidRPr="0073094B" w:rsidRDefault="00CE1891" w:rsidP="00CE1891">
      <w:pPr>
        <w:ind w:firstLine="708"/>
        <w:jc w:val="both"/>
        <w:rPr>
          <w:sz w:val="28"/>
          <w:szCs w:val="28"/>
        </w:rPr>
      </w:pPr>
    </w:p>
    <w:p w:rsidR="00CE1891" w:rsidRPr="0073094B" w:rsidRDefault="00CE1891" w:rsidP="00CE1891">
      <w:pPr>
        <w:ind w:firstLine="708"/>
        <w:jc w:val="both"/>
        <w:rPr>
          <w:sz w:val="28"/>
          <w:szCs w:val="28"/>
        </w:rPr>
      </w:pPr>
      <w:r w:rsidRPr="0073094B">
        <w:rPr>
          <w:sz w:val="28"/>
          <w:szCs w:val="28"/>
          <w:lang w:val="en-US"/>
        </w:rPr>
        <w:t>Q</w:t>
      </w:r>
      <w:r w:rsidRPr="0073094B">
        <w:rPr>
          <w:sz w:val="28"/>
          <w:szCs w:val="28"/>
          <w:vertAlign w:val="superscript"/>
        </w:rPr>
        <w:t>ср</w:t>
      </w:r>
      <w:r w:rsidRPr="0073094B">
        <w:rPr>
          <w:sz w:val="28"/>
          <w:szCs w:val="28"/>
          <w:vertAlign w:val="subscript"/>
        </w:rPr>
        <w:t>ар =</w:t>
      </w:r>
      <w:r w:rsidRPr="0073094B">
        <w:rPr>
          <w:sz w:val="28"/>
          <w:szCs w:val="28"/>
        </w:rPr>
        <w:t>Σ</w:t>
      </w:r>
      <w:r w:rsidRPr="0073094B">
        <w:rPr>
          <w:sz w:val="28"/>
          <w:szCs w:val="28"/>
          <w:vertAlign w:val="superscript"/>
        </w:rPr>
        <w:t>3</w:t>
      </w:r>
      <w:r w:rsidRPr="0073094B">
        <w:rPr>
          <w:sz w:val="28"/>
          <w:szCs w:val="28"/>
          <w:vertAlign w:val="subscript"/>
          <w:lang w:val="en-US"/>
        </w:rPr>
        <w:t>t</w:t>
      </w:r>
      <w:r w:rsidRPr="0073094B">
        <w:rPr>
          <w:sz w:val="28"/>
          <w:szCs w:val="28"/>
          <w:vertAlign w:val="subscript"/>
        </w:rPr>
        <w:t xml:space="preserve">=1 </w:t>
      </w:r>
      <w:r w:rsidRPr="0073094B">
        <w:rPr>
          <w:sz w:val="28"/>
          <w:szCs w:val="28"/>
          <w:lang w:val="en-US"/>
        </w:rPr>
        <w:t>Q</w:t>
      </w:r>
      <w:r w:rsidRPr="0073094B">
        <w:rPr>
          <w:sz w:val="28"/>
          <w:szCs w:val="28"/>
          <w:vertAlign w:val="subscript"/>
        </w:rPr>
        <w:t>ар</w:t>
      </w:r>
      <w:r w:rsidRPr="0073094B">
        <w:rPr>
          <w:sz w:val="28"/>
          <w:szCs w:val="28"/>
        </w:rPr>
        <w:t>/3,</w:t>
      </w:r>
    </w:p>
    <w:p w:rsidR="00CE1891" w:rsidRPr="0073094B" w:rsidRDefault="00CE1891" w:rsidP="00CE1891">
      <w:pPr>
        <w:ind w:firstLine="708"/>
        <w:jc w:val="both"/>
        <w:rPr>
          <w:sz w:val="28"/>
          <w:szCs w:val="28"/>
        </w:rPr>
      </w:pPr>
    </w:p>
    <w:p w:rsidR="00CE1891" w:rsidRPr="0073094B" w:rsidRDefault="00CE1891" w:rsidP="00CE1891">
      <w:pPr>
        <w:ind w:firstLine="708"/>
        <w:jc w:val="both"/>
        <w:rPr>
          <w:sz w:val="28"/>
          <w:szCs w:val="28"/>
        </w:rPr>
      </w:pPr>
      <w:r w:rsidRPr="0073094B">
        <w:rPr>
          <w:sz w:val="28"/>
          <w:szCs w:val="28"/>
        </w:rPr>
        <w:t xml:space="preserve">где: </w:t>
      </w:r>
    </w:p>
    <w:p w:rsidR="00CE1891" w:rsidRPr="0073094B" w:rsidRDefault="00CE1891" w:rsidP="00CE1891">
      <w:pPr>
        <w:ind w:firstLine="708"/>
        <w:jc w:val="both"/>
        <w:rPr>
          <w:sz w:val="28"/>
          <w:szCs w:val="28"/>
        </w:rPr>
      </w:pPr>
      <w:r w:rsidRPr="0073094B">
        <w:rPr>
          <w:sz w:val="28"/>
          <w:szCs w:val="28"/>
        </w:rPr>
        <w:t>Σ</w:t>
      </w:r>
      <w:r w:rsidRPr="0073094B">
        <w:rPr>
          <w:sz w:val="28"/>
          <w:szCs w:val="28"/>
          <w:vertAlign w:val="superscript"/>
        </w:rPr>
        <w:t>3</w:t>
      </w:r>
      <w:r w:rsidRPr="0073094B">
        <w:rPr>
          <w:sz w:val="28"/>
          <w:szCs w:val="28"/>
          <w:vertAlign w:val="subscript"/>
          <w:lang w:val="en-US"/>
        </w:rPr>
        <w:t>t</w:t>
      </w:r>
      <w:r w:rsidRPr="0073094B">
        <w:rPr>
          <w:sz w:val="28"/>
          <w:szCs w:val="28"/>
          <w:vertAlign w:val="subscript"/>
        </w:rPr>
        <w:t xml:space="preserve">=1 </w:t>
      </w:r>
      <w:r w:rsidRPr="0073094B">
        <w:rPr>
          <w:sz w:val="28"/>
          <w:szCs w:val="28"/>
          <w:lang w:val="en-US"/>
        </w:rPr>
        <w:t>Q</w:t>
      </w:r>
      <w:r w:rsidRPr="0073094B">
        <w:rPr>
          <w:sz w:val="28"/>
          <w:szCs w:val="28"/>
          <w:vertAlign w:val="subscript"/>
        </w:rPr>
        <w:t>ар</w:t>
      </w:r>
      <w:r w:rsidRPr="0073094B">
        <w:rPr>
          <w:sz w:val="28"/>
          <w:szCs w:val="28"/>
        </w:rPr>
        <w:t xml:space="preserve"> - сумма годовых величин объемов древесины, подлежащих заготовке по договорам аренды лесных участков, за три года, предшествующих прогнозируемому году (куб.м);</w:t>
      </w:r>
    </w:p>
    <w:p w:rsidR="00CE1891" w:rsidRPr="0073094B" w:rsidRDefault="00CE1891" w:rsidP="00CE1891">
      <w:pPr>
        <w:ind w:firstLine="708"/>
        <w:jc w:val="both"/>
        <w:rPr>
          <w:sz w:val="28"/>
          <w:szCs w:val="28"/>
        </w:rPr>
      </w:pPr>
      <w:r w:rsidRPr="0073094B">
        <w:rPr>
          <w:sz w:val="28"/>
          <w:szCs w:val="28"/>
          <w:lang w:val="en-US"/>
        </w:rPr>
        <w:lastRenderedPageBreak/>
        <w:t>Q</w:t>
      </w:r>
      <w:r w:rsidRPr="0073094B">
        <w:rPr>
          <w:sz w:val="28"/>
          <w:szCs w:val="28"/>
          <w:vertAlign w:val="subscript"/>
        </w:rPr>
        <w:t xml:space="preserve">ар </w:t>
      </w:r>
      <w:r w:rsidRPr="0073094B">
        <w:rPr>
          <w:sz w:val="28"/>
          <w:szCs w:val="28"/>
        </w:rPr>
        <w:t>- объем древесины, подлежащий заготовке по договорам аренды лесных участков, находящихся в федеральной собственности, (куб.м)</w:t>
      </w:r>
    </w:p>
    <w:p w:rsidR="00CE1891" w:rsidRPr="0073094B" w:rsidRDefault="00CE1891" w:rsidP="00CE1891">
      <w:pPr>
        <w:widowControl w:val="0"/>
        <w:ind w:firstLine="760"/>
        <w:jc w:val="both"/>
        <w:rPr>
          <w:sz w:val="28"/>
          <w:szCs w:val="28"/>
          <w:lang w:bidi="ru-RU"/>
        </w:rPr>
      </w:pPr>
      <w:r w:rsidRPr="0073094B">
        <w:rPr>
          <w:iCs/>
          <w:sz w:val="32"/>
          <w:szCs w:val="28"/>
          <w:lang w:bidi="ru-RU"/>
        </w:rPr>
        <w:t>Т</w:t>
      </w:r>
      <w:r w:rsidRPr="0073094B">
        <w:rPr>
          <w:iCs/>
          <w:sz w:val="32"/>
          <w:szCs w:val="28"/>
          <w:vertAlign w:val="superscript"/>
          <w:lang w:bidi="ru-RU"/>
        </w:rPr>
        <w:t>ср</w:t>
      </w:r>
      <w:r w:rsidRPr="0073094B">
        <w:rPr>
          <w:iCs/>
          <w:sz w:val="32"/>
          <w:szCs w:val="28"/>
          <w:lang w:bidi="ru-RU"/>
        </w:rPr>
        <w:t xml:space="preserve"> </w:t>
      </w:r>
      <w:r w:rsidRPr="0073094B">
        <w:rPr>
          <w:iCs/>
          <w:sz w:val="32"/>
          <w:szCs w:val="28"/>
          <w:vertAlign w:val="subscript"/>
          <w:lang w:val="en-US" w:bidi="ru-RU"/>
        </w:rPr>
        <w:t>Q</w:t>
      </w:r>
      <w:r w:rsidRPr="0073094B">
        <w:rPr>
          <w:iCs/>
          <w:sz w:val="32"/>
          <w:szCs w:val="28"/>
          <w:vertAlign w:val="subscript"/>
          <w:lang w:bidi="ru-RU"/>
        </w:rPr>
        <w:t xml:space="preserve">ар </w:t>
      </w:r>
      <w:r w:rsidRPr="0073094B">
        <w:rPr>
          <w:sz w:val="32"/>
          <w:szCs w:val="28"/>
          <w:lang w:bidi="ru-RU"/>
        </w:rPr>
        <w:t xml:space="preserve">- </w:t>
      </w:r>
      <w:r w:rsidRPr="0073094B">
        <w:rPr>
          <w:sz w:val="28"/>
          <w:szCs w:val="28"/>
          <w:lang w:bidi="ru-RU"/>
        </w:rPr>
        <w:t>средний темп роста (снижения) объема древесины, подлежащего заготовке по договорам аренды лесных участков, находящихся в федеральной собственности, за три отчетных года, предшествующих прогнозируемому году (ед.), рассчитывается по формуле:</w:t>
      </w:r>
    </w:p>
    <w:p w:rsidR="00CE1891" w:rsidRPr="0073094B" w:rsidRDefault="00CE1891" w:rsidP="00CE1891">
      <w:pPr>
        <w:widowControl w:val="0"/>
        <w:ind w:firstLine="760"/>
        <w:jc w:val="both"/>
        <w:rPr>
          <w:iCs/>
          <w:sz w:val="28"/>
          <w:szCs w:val="28"/>
          <w:lang w:bidi="ru-RU"/>
        </w:rPr>
      </w:pPr>
    </w:p>
    <w:p w:rsidR="00CE1891" w:rsidRPr="0073094B" w:rsidRDefault="00CE1891" w:rsidP="00CE1891">
      <w:pPr>
        <w:widowControl w:val="0"/>
        <w:ind w:firstLine="760"/>
        <w:jc w:val="both"/>
        <w:rPr>
          <w:sz w:val="28"/>
          <w:szCs w:val="28"/>
          <w:lang w:bidi="ru-RU"/>
        </w:rPr>
      </w:pPr>
      <w:r w:rsidRPr="0073094B">
        <w:rPr>
          <w:iCs/>
          <w:sz w:val="28"/>
          <w:szCs w:val="28"/>
          <w:lang w:bidi="ru-RU"/>
        </w:rPr>
        <w:t>Т</w:t>
      </w:r>
      <w:r w:rsidRPr="0073094B">
        <w:rPr>
          <w:iCs/>
          <w:sz w:val="28"/>
          <w:szCs w:val="28"/>
          <w:vertAlign w:val="superscript"/>
          <w:lang w:bidi="ru-RU"/>
        </w:rPr>
        <w:t>ср</w:t>
      </w:r>
      <w:r w:rsidRPr="0073094B">
        <w:rPr>
          <w:iCs/>
          <w:sz w:val="28"/>
          <w:szCs w:val="28"/>
          <w:lang w:bidi="ru-RU"/>
        </w:rPr>
        <w:t xml:space="preserve"> </w:t>
      </w:r>
      <w:r w:rsidRPr="0073094B">
        <w:rPr>
          <w:iCs/>
          <w:sz w:val="28"/>
          <w:szCs w:val="28"/>
          <w:vertAlign w:val="subscript"/>
          <w:lang w:val="en-US" w:bidi="ru-RU"/>
        </w:rPr>
        <w:t>Q</w:t>
      </w:r>
      <w:r w:rsidRPr="0073094B">
        <w:rPr>
          <w:iCs/>
          <w:sz w:val="28"/>
          <w:szCs w:val="28"/>
          <w:vertAlign w:val="subscript"/>
          <w:lang w:bidi="ru-RU"/>
        </w:rPr>
        <w:t xml:space="preserve">ар </w:t>
      </w:r>
      <w:r w:rsidRPr="0073094B">
        <w:rPr>
          <w:iCs/>
          <w:sz w:val="28"/>
          <w:szCs w:val="28"/>
          <w:lang w:bidi="ru-RU"/>
        </w:rPr>
        <w:t xml:space="preserve">= ∑ </w:t>
      </w:r>
      <w:r w:rsidRPr="0073094B">
        <w:rPr>
          <w:iCs/>
          <w:sz w:val="28"/>
          <w:szCs w:val="28"/>
          <w:vertAlign w:val="superscript"/>
          <w:lang w:bidi="ru-RU"/>
        </w:rPr>
        <w:t>3</w:t>
      </w:r>
      <w:r w:rsidRPr="0073094B">
        <w:rPr>
          <w:iCs/>
          <w:sz w:val="28"/>
          <w:szCs w:val="28"/>
          <w:lang w:bidi="ru-RU"/>
        </w:rPr>
        <w:t xml:space="preserve"> </w:t>
      </w:r>
      <w:r w:rsidRPr="0073094B">
        <w:rPr>
          <w:iCs/>
          <w:sz w:val="28"/>
          <w:szCs w:val="28"/>
          <w:vertAlign w:val="subscript"/>
          <w:lang w:val="en-US" w:bidi="ru-RU"/>
        </w:rPr>
        <w:t>t</w:t>
      </w:r>
      <w:r w:rsidRPr="0073094B">
        <w:rPr>
          <w:iCs/>
          <w:sz w:val="28"/>
          <w:szCs w:val="28"/>
          <w:vertAlign w:val="subscript"/>
          <w:lang w:bidi="ru-RU"/>
        </w:rPr>
        <w:t xml:space="preserve">=1 </w:t>
      </w:r>
      <w:r w:rsidRPr="0073094B">
        <w:rPr>
          <w:iCs/>
          <w:sz w:val="28"/>
          <w:szCs w:val="28"/>
          <w:lang w:bidi="ru-RU"/>
        </w:rPr>
        <w:t xml:space="preserve">Т </w:t>
      </w:r>
      <w:r w:rsidRPr="0073094B">
        <w:rPr>
          <w:iCs/>
          <w:sz w:val="28"/>
          <w:szCs w:val="28"/>
          <w:vertAlign w:val="subscript"/>
          <w:lang w:val="en-US" w:bidi="ru-RU"/>
        </w:rPr>
        <w:t>Q</w:t>
      </w:r>
      <w:r w:rsidRPr="0073094B">
        <w:rPr>
          <w:iCs/>
          <w:sz w:val="28"/>
          <w:szCs w:val="28"/>
          <w:vertAlign w:val="subscript"/>
          <w:lang w:bidi="ru-RU"/>
        </w:rPr>
        <w:t>ар</w:t>
      </w:r>
      <w:r w:rsidRPr="0073094B">
        <w:rPr>
          <w:iCs/>
          <w:sz w:val="28"/>
          <w:szCs w:val="28"/>
          <w:lang w:bidi="ru-RU"/>
        </w:rPr>
        <w:t>/3</w:t>
      </w:r>
    </w:p>
    <w:p w:rsidR="00CE1891" w:rsidRPr="0073094B" w:rsidRDefault="00CE1891" w:rsidP="00CE1891">
      <w:pPr>
        <w:widowControl w:val="0"/>
        <w:tabs>
          <w:tab w:val="left" w:pos="3212"/>
          <w:tab w:val="left" w:pos="5631"/>
          <w:tab w:val="left" w:pos="8082"/>
          <w:tab w:val="left" w:pos="8666"/>
        </w:tabs>
        <w:ind w:firstLine="760"/>
        <w:jc w:val="both"/>
        <w:rPr>
          <w:sz w:val="28"/>
          <w:szCs w:val="28"/>
          <w:lang w:bidi="ru-RU"/>
        </w:rPr>
      </w:pPr>
    </w:p>
    <w:p w:rsidR="00CE1891" w:rsidRPr="0073094B" w:rsidRDefault="00CE1891" w:rsidP="00CE1891">
      <w:pPr>
        <w:widowControl w:val="0"/>
        <w:tabs>
          <w:tab w:val="left" w:pos="3212"/>
          <w:tab w:val="left" w:pos="5631"/>
          <w:tab w:val="left" w:pos="8082"/>
          <w:tab w:val="left" w:pos="8666"/>
        </w:tabs>
        <w:ind w:firstLine="760"/>
        <w:jc w:val="both"/>
        <w:rPr>
          <w:sz w:val="28"/>
          <w:szCs w:val="28"/>
          <w:lang w:bidi="ru-RU"/>
        </w:rPr>
      </w:pPr>
      <w:r w:rsidRPr="0073094B">
        <w:rPr>
          <w:sz w:val="28"/>
          <w:szCs w:val="28"/>
          <w:lang w:bidi="ru-RU"/>
        </w:rPr>
        <w:t>где:</w:t>
      </w:r>
    </w:p>
    <w:p w:rsidR="00CE1891" w:rsidRPr="0073094B" w:rsidRDefault="00CE1891" w:rsidP="00CE1891">
      <w:pPr>
        <w:widowControl w:val="0"/>
        <w:ind w:firstLine="760"/>
        <w:jc w:val="both"/>
        <w:rPr>
          <w:sz w:val="28"/>
          <w:szCs w:val="28"/>
          <w:lang w:bidi="ru-RU"/>
        </w:rPr>
      </w:pPr>
      <w:r w:rsidRPr="0073094B">
        <w:rPr>
          <w:iCs/>
          <w:sz w:val="28"/>
          <w:szCs w:val="28"/>
          <w:lang w:bidi="ru-RU"/>
        </w:rPr>
        <w:t xml:space="preserve">∑ </w:t>
      </w:r>
      <w:r w:rsidRPr="0073094B">
        <w:rPr>
          <w:iCs/>
          <w:sz w:val="28"/>
          <w:szCs w:val="28"/>
          <w:vertAlign w:val="superscript"/>
          <w:lang w:bidi="ru-RU"/>
        </w:rPr>
        <w:t>3</w:t>
      </w:r>
      <w:r w:rsidRPr="0073094B">
        <w:rPr>
          <w:iCs/>
          <w:sz w:val="28"/>
          <w:szCs w:val="28"/>
          <w:lang w:bidi="ru-RU"/>
        </w:rPr>
        <w:t xml:space="preserve"> </w:t>
      </w:r>
      <w:r w:rsidRPr="0073094B">
        <w:rPr>
          <w:iCs/>
          <w:sz w:val="28"/>
          <w:szCs w:val="28"/>
          <w:vertAlign w:val="subscript"/>
          <w:lang w:val="en-US" w:bidi="ru-RU"/>
        </w:rPr>
        <w:t>t</w:t>
      </w:r>
      <w:r w:rsidRPr="0073094B">
        <w:rPr>
          <w:iCs/>
          <w:sz w:val="28"/>
          <w:szCs w:val="28"/>
          <w:vertAlign w:val="subscript"/>
          <w:lang w:bidi="ru-RU"/>
        </w:rPr>
        <w:t xml:space="preserve">=1 </w:t>
      </w:r>
      <w:r w:rsidRPr="0073094B">
        <w:rPr>
          <w:iCs/>
          <w:sz w:val="28"/>
          <w:szCs w:val="28"/>
          <w:lang w:bidi="ru-RU"/>
        </w:rPr>
        <w:t xml:space="preserve">Т </w:t>
      </w:r>
      <w:r w:rsidRPr="0073094B">
        <w:rPr>
          <w:iCs/>
          <w:sz w:val="28"/>
          <w:szCs w:val="28"/>
          <w:vertAlign w:val="subscript"/>
          <w:lang w:val="en-US" w:bidi="ru-RU"/>
        </w:rPr>
        <w:t>Q</w:t>
      </w:r>
      <w:r w:rsidRPr="0073094B">
        <w:rPr>
          <w:iCs/>
          <w:sz w:val="28"/>
          <w:szCs w:val="28"/>
          <w:vertAlign w:val="subscript"/>
          <w:lang w:bidi="ru-RU"/>
        </w:rPr>
        <w:t>ар</w:t>
      </w:r>
      <w:r w:rsidRPr="0073094B">
        <w:rPr>
          <w:iCs/>
          <w:sz w:val="28"/>
          <w:szCs w:val="28"/>
          <w:lang w:bidi="ru-RU"/>
        </w:rPr>
        <w:t xml:space="preserve"> -</w:t>
      </w:r>
      <w:r w:rsidRPr="0073094B">
        <w:rPr>
          <w:sz w:val="28"/>
          <w:szCs w:val="28"/>
          <w:lang w:bidi="ru-RU"/>
        </w:rPr>
        <w:t xml:space="preserve"> сумма темпов роста (снижения) объема древесины, подлежащего заготовке по договорам аренды лесных участков, находящихся в федеральной собственности, за три отчетных года, предшествующих прогнозируемому году (ед.);</w:t>
      </w:r>
    </w:p>
    <w:p w:rsidR="00CE1891" w:rsidRPr="0073094B" w:rsidRDefault="00CE1891" w:rsidP="00CE1891">
      <w:pPr>
        <w:widowControl w:val="0"/>
        <w:ind w:firstLine="760"/>
        <w:jc w:val="both"/>
        <w:rPr>
          <w:sz w:val="28"/>
          <w:szCs w:val="28"/>
          <w:lang w:bidi="ru-RU"/>
        </w:rPr>
      </w:pPr>
      <w:r w:rsidRPr="0073094B">
        <w:rPr>
          <w:iCs/>
          <w:sz w:val="28"/>
          <w:szCs w:val="28"/>
          <w:lang w:bidi="ru-RU"/>
        </w:rPr>
        <w:t xml:space="preserve">Т </w:t>
      </w:r>
      <w:r w:rsidRPr="0073094B">
        <w:rPr>
          <w:iCs/>
          <w:sz w:val="28"/>
          <w:szCs w:val="28"/>
          <w:vertAlign w:val="subscript"/>
          <w:lang w:val="en-US" w:bidi="ru-RU"/>
        </w:rPr>
        <w:t>Q</w:t>
      </w:r>
      <w:r w:rsidRPr="0073094B">
        <w:rPr>
          <w:iCs/>
          <w:sz w:val="28"/>
          <w:szCs w:val="28"/>
          <w:vertAlign w:val="subscript"/>
          <w:lang w:bidi="ru-RU"/>
        </w:rPr>
        <w:t>ар</w:t>
      </w:r>
      <w:r w:rsidRPr="0073094B">
        <w:rPr>
          <w:iCs/>
          <w:sz w:val="28"/>
          <w:szCs w:val="28"/>
          <w:lang w:bidi="ru-RU"/>
        </w:rPr>
        <w:t xml:space="preserve"> - </w:t>
      </w:r>
      <w:r w:rsidRPr="0073094B">
        <w:rPr>
          <w:sz w:val="28"/>
          <w:szCs w:val="28"/>
          <w:lang w:bidi="ru-RU"/>
        </w:rPr>
        <w:t>темп роста (снижения) объема древесины, подлежащего заготовке по договорам аренды лесных участков, находящихся в федеральной собственности,  за год (ед.), определяется по формуле:</w:t>
      </w:r>
    </w:p>
    <w:p w:rsidR="00CE1891" w:rsidRPr="0073094B" w:rsidRDefault="00CE1891" w:rsidP="00CE1891">
      <w:pPr>
        <w:widowControl w:val="0"/>
        <w:ind w:firstLine="580"/>
        <w:jc w:val="both"/>
        <w:rPr>
          <w:iCs/>
          <w:sz w:val="32"/>
          <w:szCs w:val="28"/>
          <w:lang w:bidi="ru-RU"/>
        </w:rPr>
      </w:pPr>
    </w:p>
    <w:p w:rsidR="00CE1891" w:rsidRPr="0073094B" w:rsidRDefault="00CE1891" w:rsidP="00CE1891">
      <w:pPr>
        <w:widowControl w:val="0"/>
        <w:ind w:firstLine="580"/>
        <w:jc w:val="both"/>
        <w:rPr>
          <w:iCs/>
          <w:sz w:val="28"/>
          <w:szCs w:val="28"/>
          <w:vertAlign w:val="subscript"/>
          <w:lang w:bidi="ru-RU"/>
        </w:rPr>
      </w:pPr>
      <w:r w:rsidRPr="0073094B">
        <w:rPr>
          <w:iCs/>
          <w:sz w:val="28"/>
          <w:szCs w:val="28"/>
          <w:lang w:bidi="ru-RU"/>
        </w:rPr>
        <w:t xml:space="preserve">Т </w:t>
      </w:r>
      <w:r w:rsidRPr="0073094B">
        <w:rPr>
          <w:iCs/>
          <w:sz w:val="28"/>
          <w:szCs w:val="28"/>
          <w:vertAlign w:val="subscript"/>
          <w:lang w:val="en-US" w:bidi="ru-RU"/>
        </w:rPr>
        <w:t>Q</w:t>
      </w:r>
      <w:r w:rsidRPr="0073094B">
        <w:rPr>
          <w:iCs/>
          <w:sz w:val="28"/>
          <w:szCs w:val="28"/>
          <w:vertAlign w:val="subscript"/>
          <w:lang w:bidi="ru-RU"/>
        </w:rPr>
        <w:t>ар</w:t>
      </w:r>
      <w:r w:rsidRPr="0073094B">
        <w:rPr>
          <w:iCs/>
          <w:sz w:val="28"/>
          <w:szCs w:val="28"/>
          <w:lang w:bidi="ru-RU"/>
        </w:rPr>
        <w:t xml:space="preserve"> = </w:t>
      </w:r>
      <w:r w:rsidRPr="0073094B">
        <w:rPr>
          <w:iCs/>
          <w:sz w:val="28"/>
          <w:szCs w:val="28"/>
          <w:lang w:val="en-US" w:bidi="ru-RU"/>
        </w:rPr>
        <w:t>Q</w:t>
      </w:r>
      <w:r w:rsidRPr="0073094B">
        <w:rPr>
          <w:iCs/>
          <w:sz w:val="28"/>
          <w:szCs w:val="28"/>
          <w:lang w:bidi="ru-RU"/>
        </w:rPr>
        <w:t xml:space="preserve"> </w:t>
      </w:r>
      <w:r w:rsidRPr="0073094B">
        <w:rPr>
          <w:iCs/>
          <w:sz w:val="28"/>
          <w:szCs w:val="28"/>
          <w:vertAlign w:val="superscript"/>
          <w:lang w:val="en-US" w:bidi="ru-RU"/>
        </w:rPr>
        <w:t>n</w:t>
      </w:r>
      <w:r w:rsidRPr="0073094B">
        <w:rPr>
          <w:iCs/>
          <w:sz w:val="28"/>
          <w:szCs w:val="28"/>
          <w:lang w:bidi="ru-RU"/>
        </w:rPr>
        <w:t xml:space="preserve"> </w:t>
      </w:r>
      <w:r w:rsidRPr="0073094B">
        <w:rPr>
          <w:iCs/>
          <w:sz w:val="28"/>
          <w:szCs w:val="28"/>
          <w:vertAlign w:val="subscript"/>
          <w:lang w:bidi="ru-RU"/>
        </w:rPr>
        <w:t xml:space="preserve">ар / </w:t>
      </w:r>
      <w:r w:rsidRPr="0073094B">
        <w:rPr>
          <w:iCs/>
          <w:sz w:val="28"/>
          <w:szCs w:val="28"/>
          <w:lang w:val="en-US" w:bidi="ru-RU"/>
        </w:rPr>
        <w:t>Q</w:t>
      </w:r>
      <w:r w:rsidRPr="0073094B">
        <w:rPr>
          <w:iCs/>
          <w:sz w:val="28"/>
          <w:szCs w:val="28"/>
          <w:lang w:bidi="ru-RU"/>
        </w:rPr>
        <w:t xml:space="preserve"> </w:t>
      </w:r>
      <w:r w:rsidRPr="0073094B">
        <w:rPr>
          <w:iCs/>
          <w:sz w:val="28"/>
          <w:szCs w:val="28"/>
          <w:vertAlign w:val="superscript"/>
          <w:lang w:val="en-US" w:bidi="ru-RU"/>
        </w:rPr>
        <w:t>n</w:t>
      </w:r>
      <w:r w:rsidRPr="0073094B">
        <w:rPr>
          <w:iCs/>
          <w:sz w:val="28"/>
          <w:szCs w:val="28"/>
          <w:vertAlign w:val="superscript"/>
          <w:lang w:bidi="ru-RU"/>
        </w:rPr>
        <w:t>-1</w:t>
      </w:r>
      <w:r w:rsidRPr="0073094B">
        <w:rPr>
          <w:iCs/>
          <w:sz w:val="28"/>
          <w:szCs w:val="28"/>
          <w:lang w:bidi="ru-RU"/>
        </w:rPr>
        <w:t xml:space="preserve"> </w:t>
      </w:r>
      <w:r w:rsidRPr="0073094B">
        <w:rPr>
          <w:iCs/>
          <w:sz w:val="28"/>
          <w:szCs w:val="28"/>
          <w:vertAlign w:val="subscript"/>
          <w:lang w:val="en-US" w:bidi="ru-RU"/>
        </w:rPr>
        <w:t>Q</w:t>
      </w:r>
      <w:r w:rsidRPr="0073094B">
        <w:rPr>
          <w:iCs/>
          <w:sz w:val="28"/>
          <w:szCs w:val="28"/>
          <w:vertAlign w:val="subscript"/>
          <w:lang w:bidi="ru-RU"/>
        </w:rPr>
        <w:t>ар</w:t>
      </w:r>
    </w:p>
    <w:p w:rsidR="00CE1891" w:rsidRPr="0073094B" w:rsidRDefault="00CE1891" w:rsidP="00CE1891">
      <w:pPr>
        <w:widowControl w:val="0"/>
        <w:ind w:firstLine="580"/>
        <w:jc w:val="both"/>
        <w:rPr>
          <w:sz w:val="28"/>
          <w:szCs w:val="28"/>
          <w:lang w:bidi="ru-RU"/>
        </w:rPr>
      </w:pPr>
    </w:p>
    <w:p w:rsidR="00CE1891" w:rsidRPr="0073094B" w:rsidRDefault="00CE1891" w:rsidP="00CE1891">
      <w:pPr>
        <w:widowControl w:val="0"/>
        <w:ind w:firstLine="580"/>
        <w:jc w:val="both"/>
        <w:rPr>
          <w:sz w:val="28"/>
          <w:szCs w:val="28"/>
          <w:lang w:bidi="ru-RU"/>
        </w:rPr>
      </w:pPr>
      <w:r w:rsidRPr="0073094B">
        <w:rPr>
          <w:sz w:val="28"/>
          <w:szCs w:val="28"/>
          <w:lang w:bidi="ru-RU"/>
        </w:rPr>
        <w:t>где:</w:t>
      </w:r>
    </w:p>
    <w:p w:rsidR="00CE1891" w:rsidRPr="0073094B" w:rsidRDefault="00CE1891" w:rsidP="00CE1891">
      <w:pPr>
        <w:widowControl w:val="0"/>
        <w:ind w:firstLine="580"/>
        <w:jc w:val="both"/>
        <w:rPr>
          <w:sz w:val="28"/>
          <w:szCs w:val="28"/>
          <w:lang w:bidi="ru-RU"/>
        </w:rPr>
      </w:pPr>
      <w:r w:rsidRPr="0073094B">
        <w:rPr>
          <w:iCs/>
          <w:sz w:val="28"/>
          <w:szCs w:val="28"/>
          <w:lang w:val="en-US" w:bidi="ru-RU"/>
        </w:rPr>
        <w:t>Q</w:t>
      </w:r>
      <w:r w:rsidRPr="0073094B">
        <w:rPr>
          <w:iCs/>
          <w:sz w:val="28"/>
          <w:szCs w:val="28"/>
          <w:lang w:bidi="ru-RU"/>
        </w:rPr>
        <w:t xml:space="preserve"> </w:t>
      </w:r>
      <w:r w:rsidRPr="0073094B">
        <w:rPr>
          <w:iCs/>
          <w:sz w:val="28"/>
          <w:szCs w:val="28"/>
          <w:vertAlign w:val="superscript"/>
          <w:lang w:val="en-US" w:bidi="ru-RU"/>
        </w:rPr>
        <w:t>n</w:t>
      </w:r>
      <w:r w:rsidRPr="0073094B">
        <w:rPr>
          <w:iCs/>
          <w:sz w:val="28"/>
          <w:szCs w:val="28"/>
          <w:lang w:bidi="ru-RU"/>
        </w:rPr>
        <w:t xml:space="preserve"> </w:t>
      </w:r>
      <w:r w:rsidRPr="0073094B">
        <w:rPr>
          <w:iCs/>
          <w:sz w:val="28"/>
          <w:szCs w:val="28"/>
          <w:vertAlign w:val="subscript"/>
          <w:lang w:bidi="ru-RU"/>
        </w:rPr>
        <w:t>ар</w:t>
      </w:r>
      <w:r w:rsidRPr="0073094B">
        <w:rPr>
          <w:iCs/>
          <w:sz w:val="28"/>
          <w:szCs w:val="28"/>
          <w:lang w:bidi="ru-RU"/>
        </w:rPr>
        <w:t xml:space="preserve"> -</w:t>
      </w:r>
      <w:r w:rsidRPr="0073094B">
        <w:rPr>
          <w:iCs/>
          <w:sz w:val="28"/>
          <w:szCs w:val="28"/>
          <w:vertAlign w:val="subscript"/>
          <w:lang w:bidi="ru-RU"/>
        </w:rPr>
        <w:t xml:space="preserve"> </w:t>
      </w:r>
      <w:r w:rsidRPr="0073094B">
        <w:rPr>
          <w:sz w:val="28"/>
          <w:szCs w:val="28"/>
          <w:lang w:bidi="ru-RU"/>
        </w:rPr>
        <w:t>объем древесины, подлежащий заготовке по договорам аренды лесных участков, находящихся в федеральной собственности, за год (ед.);</w:t>
      </w:r>
    </w:p>
    <w:p w:rsidR="00CE1891" w:rsidRPr="0073094B" w:rsidRDefault="00CE1891" w:rsidP="00CE1891">
      <w:pPr>
        <w:widowControl w:val="0"/>
        <w:ind w:firstLine="580"/>
        <w:jc w:val="both"/>
        <w:rPr>
          <w:sz w:val="28"/>
          <w:szCs w:val="28"/>
          <w:lang w:bidi="ru-RU"/>
        </w:rPr>
      </w:pPr>
      <w:r w:rsidRPr="0073094B">
        <w:rPr>
          <w:iCs/>
          <w:sz w:val="28"/>
          <w:szCs w:val="28"/>
          <w:lang w:val="en-US" w:bidi="ru-RU"/>
        </w:rPr>
        <w:t>Q</w:t>
      </w:r>
      <w:r w:rsidRPr="0073094B">
        <w:rPr>
          <w:iCs/>
          <w:sz w:val="28"/>
          <w:szCs w:val="28"/>
          <w:lang w:bidi="ru-RU"/>
        </w:rPr>
        <w:t xml:space="preserve"> </w:t>
      </w:r>
      <w:r w:rsidRPr="0073094B">
        <w:rPr>
          <w:iCs/>
          <w:sz w:val="28"/>
          <w:szCs w:val="28"/>
          <w:vertAlign w:val="superscript"/>
          <w:lang w:val="en-US" w:bidi="ru-RU"/>
        </w:rPr>
        <w:t>n</w:t>
      </w:r>
      <w:r w:rsidRPr="0073094B">
        <w:rPr>
          <w:iCs/>
          <w:sz w:val="28"/>
          <w:szCs w:val="28"/>
          <w:vertAlign w:val="superscript"/>
          <w:lang w:bidi="ru-RU"/>
        </w:rPr>
        <w:t>-1</w:t>
      </w:r>
      <w:r w:rsidRPr="0073094B">
        <w:rPr>
          <w:iCs/>
          <w:sz w:val="28"/>
          <w:szCs w:val="28"/>
          <w:lang w:bidi="ru-RU"/>
        </w:rPr>
        <w:t xml:space="preserve"> </w:t>
      </w:r>
      <w:r w:rsidRPr="0073094B">
        <w:rPr>
          <w:iCs/>
          <w:sz w:val="28"/>
          <w:szCs w:val="28"/>
          <w:vertAlign w:val="subscript"/>
          <w:lang w:val="en-US" w:bidi="ru-RU"/>
        </w:rPr>
        <w:t>Q</w:t>
      </w:r>
      <w:r w:rsidRPr="0073094B">
        <w:rPr>
          <w:iCs/>
          <w:sz w:val="28"/>
          <w:szCs w:val="28"/>
          <w:vertAlign w:val="subscript"/>
          <w:lang w:bidi="ru-RU"/>
        </w:rPr>
        <w:t>ар</w:t>
      </w:r>
      <w:r w:rsidRPr="0073094B">
        <w:rPr>
          <w:iCs/>
          <w:sz w:val="28"/>
          <w:szCs w:val="28"/>
          <w:lang w:bidi="ru-RU"/>
        </w:rPr>
        <w:t xml:space="preserve"> -</w:t>
      </w:r>
      <w:r w:rsidRPr="0073094B">
        <w:rPr>
          <w:sz w:val="28"/>
          <w:szCs w:val="28"/>
          <w:lang w:bidi="ru-RU"/>
        </w:rPr>
        <w:t xml:space="preserve"> объем древесины, подлежащий заготовке по договорам аренды лесных участков, находящихся в федеральной собственности, за предыдущий год (ед.);</w:t>
      </w:r>
    </w:p>
    <w:p w:rsidR="00CE1891" w:rsidRPr="0073094B" w:rsidRDefault="00CE1891" w:rsidP="00CE1891">
      <w:pPr>
        <w:ind w:firstLine="708"/>
        <w:jc w:val="both"/>
        <w:rPr>
          <w:sz w:val="28"/>
          <w:szCs w:val="28"/>
        </w:rPr>
      </w:pPr>
      <w:r w:rsidRPr="0073094B">
        <w:rPr>
          <w:sz w:val="28"/>
          <w:szCs w:val="28"/>
        </w:rPr>
        <w:t xml:space="preserve">В соответствии с постановлением Правительства Российской Федерации от 22.05.2007 № 310 «О ставках платы за единицу объема лесных ресурсов и ставках платы за единицу площади лесного участка, находящегося в федеральной собственности» </w:t>
      </w:r>
    </w:p>
    <w:p w:rsidR="00CE1891" w:rsidRPr="0073094B" w:rsidRDefault="00CE1891" w:rsidP="00CE1891">
      <w:pPr>
        <w:ind w:firstLine="708"/>
        <w:jc w:val="both"/>
        <w:rPr>
          <w:rFonts w:eastAsia="Calibri"/>
          <w:sz w:val="28"/>
        </w:rPr>
      </w:pPr>
      <w:r w:rsidRPr="0073094B">
        <w:rPr>
          <w:rFonts w:eastAsia="Calibri"/>
          <w:sz w:val="28"/>
        </w:rPr>
        <w:t>Средний коэффициент превышения рассчитывается на основе формы отчета 1-ОИП «Сведения о доходах лесного хозяйства и их распределении по получателям», утвержденной приказом Минприроды России от 28.12.2015 № 565.</w:t>
      </w:r>
    </w:p>
    <w:p w:rsidR="00CE1891" w:rsidRPr="0073094B" w:rsidRDefault="00CE1891" w:rsidP="00CE1891">
      <w:pPr>
        <w:rPr>
          <w:rFonts w:eastAsia="Calibri"/>
          <w:sz w:val="28"/>
        </w:rPr>
      </w:pPr>
      <w:r w:rsidRPr="0073094B">
        <w:rPr>
          <w:rFonts w:eastAsia="Calibri"/>
          <w:sz w:val="28"/>
        </w:rPr>
        <w:t>К</w:t>
      </w:r>
      <w:r w:rsidRPr="0073094B">
        <w:rPr>
          <w:rFonts w:eastAsia="Calibri"/>
          <w:sz w:val="28"/>
          <w:vertAlign w:val="subscript"/>
        </w:rPr>
        <w:t>3</w:t>
      </w:r>
      <w:r w:rsidRPr="0073094B">
        <w:rPr>
          <w:rFonts w:eastAsia="Calibri"/>
          <w:sz w:val="28"/>
        </w:rPr>
        <w:t>=Св-Си/См-Си, где</w:t>
      </w:r>
    </w:p>
    <w:p w:rsidR="00CE1891" w:rsidRPr="0073094B" w:rsidRDefault="00CE1891" w:rsidP="00CE1891">
      <w:pPr>
        <w:rPr>
          <w:rFonts w:eastAsia="Calibri"/>
          <w:sz w:val="28"/>
        </w:rPr>
      </w:pPr>
      <w:r w:rsidRPr="0073094B">
        <w:rPr>
          <w:rFonts w:eastAsia="Calibri"/>
          <w:sz w:val="28"/>
        </w:rPr>
        <w:t>К</w:t>
      </w:r>
      <w:r w:rsidRPr="0073094B">
        <w:rPr>
          <w:rFonts w:eastAsia="Calibri"/>
          <w:sz w:val="28"/>
          <w:vertAlign w:val="subscript"/>
        </w:rPr>
        <w:t>3</w:t>
      </w:r>
      <w:r w:rsidRPr="0073094B">
        <w:rPr>
          <w:rFonts w:eastAsia="Calibri"/>
          <w:sz w:val="28"/>
        </w:rPr>
        <w:t>- средний коэффициент превышения размера арендной платы;</w:t>
      </w:r>
    </w:p>
    <w:p w:rsidR="00CE1891" w:rsidRPr="0073094B" w:rsidRDefault="00CE1891" w:rsidP="00CE1891">
      <w:pPr>
        <w:rPr>
          <w:rFonts w:eastAsia="Calibri"/>
          <w:sz w:val="28"/>
        </w:rPr>
      </w:pPr>
      <w:r w:rsidRPr="0073094B">
        <w:rPr>
          <w:rFonts w:eastAsia="Calibri"/>
          <w:sz w:val="28"/>
        </w:rPr>
        <w:t>Св-сумма причитающихся платежей на отчетный год по договорам аренды в части заготовки древесины;</w:t>
      </w:r>
    </w:p>
    <w:p w:rsidR="00CE1891" w:rsidRPr="0073094B" w:rsidRDefault="00CE1891" w:rsidP="00CE1891">
      <w:pPr>
        <w:rPr>
          <w:rFonts w:eastAsia="Calibri"/>
          <w:sz w:val="28"/>
        </w:rPr>
      </w:pPr>
      <w:r w:rsidRPr="0073094B">
        <w:rPr>
          <w:rFonts w:eastAsia="Calibri"/>
          <w:sz w:val="28"/>
        </w:rPr>
        <w:t>Си- сумма причитающихся платежей на отчетный год по инвестиционным проектам;</w:t>
      </w:r>
    </w:p>
    <w:p w:rsidR="00CE1891" w:rsidRPr="0073094B" w:rsidRDefault="00CE1891" w:rsidP="00CE1891">
      <w:pPr>
        <w:rPr>
          <w:rFonts w:eastAsia="Calibri"/>
          <w:sz w:val="28"/>
        </w:rPr>
      </w:pPr>
      <w:r w:rsidRPr="0073094B">
        <w:rPr>
          <w:rFonts w:eastAsia="Calibri"/>
          <w:sz w:val="28"/>
        </w:rPr>
        <w:t>См- сумма причитающихся платежей на отчетный год по договорам аренды в части заготовки древесины по минимальным размерам арендной платы;</w:t>
      </w:r>
    </w:p>
    <w:p w:rsidR="00CE1891" w:rsidRPr="0073094B" w:rsidRDefault="00CE1891" w:rsidP="00CE1891">
      <w:pPr>
        <w:jc w:val="both"/>
        <w:rPr>
          <w:b/>
          <w:sz w:val="28"/>
          <w:szCs w:val="28"/>
        </w:rPr>
      </w:pPr>
      <w:r w:rsidRPr="0073094B">
        <w:rPr>
          <w:rFonts w:eastAsia="Calibri"/>
          <w:sz w:val="28"/>
          <w:szCs w:val="28"/>
        </w:rPr>
        <w:t xml:space="preserve"> </w:t>
      </w:r>
    </w:p>
    <w:p w:rsidR="00CE1891" w:rsidRPr="0073094B" w:rsidRDefault="00CE1891" w:rsidP="00CE1891">
      <w:pPr>
        <w:widowControl w:val="0"/>
        <w:ind w:firstLine="709"/>
        <w:jc w:val="both"/>
        <w:rPr>
          <w:rFonts w:eastAsia="Calibri"/>
          <w:sz w:val="28"/>
          <w:szCs w:val="28"/>
        </w:rPr>
      </w:pPr>
      <w:r w:rsidRPr="0073094B">
        <w:rPr>
          <w:rFonts w:eastAsia="Calibri"/>
          <w:sz w:val="28"/>
          <w:szCs w:val="28"/>
        </w:rPr>
        <w:t>П</w:t>
      </w:r>
      <w:r w:rsidRPr="0073094B">
        <w:rPr>
          <w:rFonts w:eastAsia="Calibri"/>
          <w:sz w:val="28"/>
          <w:szCs w:val="28"/>
          <w:vertAlign w:val="subscript"/>
        </w:rPr>
        <w:t>ар</w:t>
      </w:r>
      <w:r w:rsidRPr="0073094B">
        <w:rPr>
          <w:rFonts w:eastAsia="Calibri"/>
          <w:sz w:val="28"/>
          <w:szCs w:val="28"/>
          <w:vertAlign w:val="superscript"/>
        </w:rPr>
        <w:t>инв</w:t>
      </w:r>
      <w:r w:rsidRPr="0073094B">
        <w:rPr>
          <w:rFonts w:eastAsia="Calibri"/>
          <w:sz w:val="28"/>
          <w:szCs w:val="28"/>
        </w:rPr>
        <w:t xml:space="preserve"> – плата по договорам аренды лесных участков, находящихся в федеральной собственности, заключенных в рамках реализации </w:t>
      </w:r>
      <w:r w:rsidRPr="0073094B">
        <w:rPr>
          <w:rFonts w:eastAsia="Calibri"/>
          <w:sz w:val="28"/>
          <w:szCs w:val="28"/>
        </w:rPr>
        <w:lastRenderedPageBreak/>
        <w:t>инвестиционных проектов, рассчитанная по окончании срока окупаемости проекта без применения понижающего коэффициента 0,5 (тыс. руб.). Определяется по формуле:</w:t>
      </w:r>
    </w:p>
    <w:p w:rsidR="00CE1891" w:rsidRPr="0073094B" w:rsidRDefault="00CE1891" w:rsidP="00CE1891">
      <w:pPr>
        <w:widowControl w:val="0"/>
        <w:ind w:firstLine="709"/>
        <w:jc w:val="both"/>
        <w:rPr>
          <w:rFonts w:eastAsia="Calibri"/>
          <w:sz w:val="28"/>
          <w:szCs w:val="28"/>
        </w:rPr>
      </w:pPr>
    </w:p>
    <w:p w:rsidR="00CE1891" w:rsidRPr="0073094B" w:rsidRDefault="00CE1891" w:rsidP="00CE1891">
      <w:pPr>
        <w:widowControl w:val="0"/>
        <w:tabs>
          <w:tab w:val="left" w:pos="9355"/>
        </w:tabs>
        <w:ind w:firstLine="709"/>
        <w:jc w:val="both"/>
        <w:rPr>
          <w:rFonts w:eastAsia="Calibri"/>
          <w:sz w:val="28"/>
          <w:szCs w:val="28"/>
        </w:rPr>
      </w:pPr>
      <w:r w:rsidRPr="0073094B">
        <w:rPr>
          <w:rFonts w:eastAsia="Calibri"/>
          <w:sz w:val="28"/>
          <w:szCs w:val="28"/>
        </w:rPr>
        <w:t>П</w:t>
      </w:r>
      <w:r w:rsidRPr="0073094B">
        <w:rPr>
          <w:rFonts w:eastAsia="Calibri"/>
          <w:sz w:val="28"/>
          <w:szCs w:val="28"/>
          <w:vertAlign w:val="subscript"/>
        </w:rPr>
        <w:t>ар</w:t>
      </w:r>
      <w:r w:rsidRPr="0073094B">
        <w:rPr>
          <w:rFonts w:eastAsia="Calibri"/>
          <w:sz w:val="28"/>
          <w:szCs w:val="28"/>
          <w:vertAlign w:val="superscript"/>
        </w:rPr>
        <w:t>инв</w:t>
      </w:r>
      <w:r w:rsidRPr="0073094B">
        <w:rPr>
          <w:rFonts w:eastAsia="Calibri"/>
          <w:sz w:val="28"/>
          <w:szCs w:val="28"/>
        </w:rPr>
        <w:t xml:space="preserve">  = (П</w:t>
      </w:r>
      <w:r w:rsidRPr="0073094B">
        <w:rPr>
          <w:rFonts w:eastAsia="Calibri"/>
          <w:sz w:val="28"/>
          <w:szCs w:val="28"/>
          <w:vertAlign w:val="subscript"/>
        </w:rPr>
        <w:t>ар</w:t>
      </w:r>
      <w:r w:rsidRPr="0073094B">
        <w:rPr>
          <w:rFonts w:eastAsia="Calibri"/>
          <w:sz w:val="28"/>
          <w:szCs w:val="28"/>
          <w:vertAlign w:val="superscript"/>
        </w:rPr>
        <w:t>уст</w:t>
      </w:r>
      <w:r w:rsidRPr="0073094B">
        <w:rPr>
          <w:rFonts w:eastAsia="Calibri"/>
          <w:sz w:val="28"/>
          <w:szCs w:val="28"/>
        </w:rPr>
        <w:t>*К</w:t>
      </w:r>
      <w:r w:rsidRPr="0073094B">
        <w:rPr>
          <w:rFonts w:eastAsia="Calibri"/>
          <w:sz w:val="28"/>
          <w:szCs w:val="28"/>
          <w:vertAlign w:val="subscript"/>
        </w:rPr>
        <w:t>3</w:t>
      </w:r>
      <w:r w:rsidRPr="0073094B">
        <w:rPr>
          <w:rFonts w:eastAsia="Calibri"/>
          <w:sz w:val="28"/>
          <w:szCs w:val="28"/>
        </w:rPr>
        <w:t>) - П</w:t>
      </w:r>
      <w:r w:rsidRPr="0073094B">
        <w:rPr>
          <w:rFonts w:eastAsia="Calibri"/>
          <w:sz w:val="28"/>
          <w:szCs w:val="28"/>
          <w:vertAlign w:val="subscript"/>
        </w:rPr>
        <w:t>ар</w:t>
      </w:r>
      <w:r w:rsidRPr="0073094B">
        <w:rPr>
          <w:rFonts w:eastAsia="Calibri"/>
          <w:sz w:val="28"/>
          <w:szCs w:val="28"/>
          <w:vertAlign w:val="superscript"/>
        </w:rPr>
        <w:t>уст</w:t>
      </w:r>
      <w:r w:rsidRPr="0073094B">
        <w:rPr>
          <w:rFonts w:eastAsia="Calibri"/>
          <w:sz w:val="28"/>
          <w:szCs w:val="28"/>
        </w:rPr>
        <w:t>,</w:t>
      </w:r>
    </w:p>
    <w:p w:rsidR="00CE1891" w:rsidRPr="0073094B" w:rsidRDefault="00CE1891" w:rsidP="00CE1891">
      <w:pPr>
        <w:widowControl w:val="0"/>
        <w:tabs>
          <w:tab w:val="left" w:pos="9355"/>
        </w:tabs>
        <w:ind w:firstLine="709"/>
        <w:jc w:val="both"/>
        <w:rPr>
          <w:rFonts w:eastAsia="Calibri"/>
          <w:sz w:val="28"/>
          <w:szCs w:val="28"/>
        </w:rPr>
      </w:pPr>
    </w:p>
    <w:p w:rsidR="00CE1891" w:rsidRPr="0073094B" w:rsidRDefault="00CE1891" w:rsidP="00CE1891">
      <w:pPr>
        <w:widowControl w:val="0"/>
        <w:tabs>
          <w:tab w:val="left" w:pos="9355"/>
        </w:tabs>
        <w:ind w:firstLine="709"/>
        <w:jc w:val="both"/>
        <w:rPr>
          <w:rFonts w:eastAsia="Calibri"/>
          <w:sz w:val="28"/>
          <w:szCs w:val="28"/>
        </w:rPr>
      </w:pPr>
      <w:r w:rsidRPr="0073094B">
        <w:rPr>
          <w:rFonts w:eastAsia="Calibri"/>
          <w:sz w:val="28"/>
          <w:szCs w:val="28"/>
        </w:rPr>
        <w:t>где:</w:t>
      </w:r>
    </w:p>
    <w:p w:rsidR="00CE1891" w:rsidRPr="0073094B" w:rsidRDefault="00CE1891" w:rsidP="00CE1891">
      <w:pPr>
        <w:widowControl w:val="0"/>
        <w:tabs>
          <w:tab w:val="left" w:pos="9355"/>
        </w:tabs>
        <w:ind w:firstLine="709"/>
        <w:jc w:val="both"/>
        <w:rPr>
          <w:rFonts w:eastAsia="Calibri"/>
          <w:sz w:val="28"/>
          <w:szCs w:val="28"/>
        </w:rPr>
      </w:pPr>
      <w:r w:rsidRPr="0073094B">
        <w:rPr>
          <w:rFonts w:eastAsia="Calibri"/>
          <w:sz w:val="28"/>
          <w:szCs w:val="28"/>
        </w:rPr>
        <w:t>П</w:t>
      </w:r>
      <w:r w:rsidRPr="0073094B">
        <w:rPr>
          <w:rFonts w:eastAsia="Calibri"/>
          <w:sz w:val="28"/>
          <w:szCs w:val="28"/>
          <w:vertAlign w:val="subscript"/>
        </w:rPr>
        <w:t>ар</w:t>
      </w:r>
      <w:r w:rsidRPr="0073094B">
        <w:rPr>
          <w:rFonts w:eastAsia="Calibri"/>
          <w:sz w:val="28"/>
          <w:szCs w:val="28"/>
          <w:vertAlign w:val="superscript"/>
        </w:rPr>
        <w:t>уст</w:t>
      </w:r>
      <w:r w:rsidRPr="0073094B">
        <w:rPr>
          <w:rFonts w:eastAsia="Calibri"/>
          <w:b/>
          <w:bCs/>
          <w:i/>
          <w:iCs/>
          <w:smallCaps/>
          <w:sz w:val="28"/>
          <w:szCs w:val="28"/>
          <w:lang w:bidi="en-US"/>
        </w:rPr>
        <w:t xml:space="preserve"> </w:t>
      </w:r>
      <w:r w:rsidRPr="0073094B">
        <w:rPr>
          <w:rFonts w:eastAsia="Calibri"/>
          <w:sz w:val="28"/>
          <w:szCs w:val="28"/>
          <w:lang w:bidi="en-US"/>
        </w:rPr>
        <w:t xml:space="preserve"> - </w:t>
      </w:r>
      <w:r w:rsidRPr="0073094B">
        <w:rPr>
          <w:rFonts w:eastAsia="Calibri"/>
          <w:sz w:val="28"/>
          <w:szCs w:val="28"/>
          <w:lang w:bidi="ru-RU"/>
        </w:rPr>
        <w:t xml:space="preserve">установленный размер арендной платы на день окончания срока окупаемости проекта </w:t>
      </w:r>
      <w:r w:rsidRPr="0073094B">
        <w:rPr>
          <w:rFonts w:eastAsia="Calibri"/>
          <w:sz w:val="28"/>
          <w:szCs w:val="28"/>
        </w:rPr>
        <w:t>по договорам аренды лесных участков, находящихся в федеральной собственности, заключенных в рамках реализации инвестиционных проектов, рассчитанная по окончании срока окупаемости проекта без применения понижающего коэффициента 0,5,</w:t>
      </w:r>
      <w:r w:rsidRPr="0073094B">
        <w:rPr>
          <w:rFonts w:ascii="Calibri" w:eastAsia="Calibri" w:hAnsi="Calibri"/>
          <w:sz w:val="28"/>
          <w:szCs w:val="28"/>
        </w:rPr>
        <w:t xml:space="preserve"> </w:t>
      </w:r>
      <w:r w:rsidRPr="0073094B">
        <w:rPr>
          <w:rFonts w:eastAsia="Calibri"/>
          <w:sz w:val="28"/>
          <w:szCs w:val="28"/>
          <w:lang w:bidi="ru-RU"/>
        </w:rPr>
        <w:t>(тыс. руб.);</w:t>
      </w:r>
    </w:p>
    <w:p w:rsidR="00CE1891" w:rsidRPr="0073094B" w:rsidRDefault="00CE1891" w:rsidP="00CE1891">
      <w:pPr>
        <w:widowControl w:val="0"/>
        <w:tabs>
          <w:tab w:val="left" w:pos="9355"/>
        </w:tabs>
        <w:ind w:firstLine="709"/>
        <w:jc w:val="both"/>
        <w:rPr>
          <w:rFonts w:eastAsia="Calibri"/>
          <w:sz w:val="28"/>
          <w:szCs w:val="28"/>
        </w:rPr>
      </w:pPr>
      <w:r w:rsidRPr="0073094B">
        <w:rPr>
          <w:rFonts w:eastAsia="Calibri"/>
          <w:sz w:val="28"/>
          <w:szCs w:val="28"/>
        </w:rPr>
        <w:t>К</w:t>
      </w:r>
      <w:r w:rsidRPr="0073094B">
        <w:rPr>
          <w:rFonts w:eastAsia="Calibri"/>
          <w:sz w:val="28"/>
          <w:szCs w:val="28"/>
          <w:vertAlign w:val="subscript"/>
        </w:rPr>
        <w:t>3</w:t>
      </w:r>
      <w:r w:rsidRPr="0073094B">
        <w:rPr>
          <w:rFonts w:eastAsia="Calibri"/>
          <w:sz w:val="28"/>
          <w:szCs w:val="28"/>
        </w:rPr>
        <w:t xml:space="preserve"> – средний коэффициент превышения размера арендной платы, сложившегося в Тверской области по соответствующему виду использования лесов.</w:t>
      </w:r>
    </w:p>
    <w:p w:rsidR="00CE1891" w:rsidRPr="00352461" w:rsidRDefault="00CE1891" w:rsidP="00CE1891">
      <w:pPr>
        <w:pStyle w:val="85"/>
        <w:shd w:val="clear" w:color="auto" w:fill="auto"/>
        <w:spacing w:before="0" w:line="240" w:lineRule="auto"/>
        <w:ind w:firstLine="709"/>
        <w:rPr>
          <w:i w:val="0"/>
          <w:color w:val="000000"/>
          <w:lang w:val="ru-RU" w:bidi="ru-RU"/>
        </w:rPr>
      </w:pPr>
    </w:p>
    <w:p w:rsidR="00CE1891" w:rsidRDefault="00CE1891" w:rsidP="00CE1891">
      <w:pPr>
        <w:tabs>
          <w:tab w:val="left" w:pos="3195"/>
        </w:tabs>
        <w:autoSpaceDE w:val="0"/>
        <w:autoSpaceDN w:val="0"/>
        <w:adjustRightInd w:val="0"/>
        <w:ind w:firstLine="709"/>
        <w:jc w:val="both"/>
        <w:rPr>
          <w:rFonts w:eastAsia="Calibri"/>
          <w:b/>
          <w:sz w:val="28"/>
          <w:szCs w:val="28"/>
          <w:lang w:eastAsia="en-US"/>
        </w:rPr>
      </w:pPr>
      <w:r w:rsidRPr="00BF327F">
        <w:rPr>
          <w:rFonts w:eastAsia="Calibri"/>
          <w:b/>
          <w:sz w:val="28"/>
          <w:szCs w:val="28"/>
          <w:lang w:eastAsia="en-US"/>
        </w:rPr>
        <w:t>Определение ожидаемой оценки на 202</w:t>
      </w:r>
      <w:r>
        <w:rPr>
          <w:rFonts w:eastAsia="Calibri"/>
          <w:b/>
          <w:sz w:val="28"/>
          <w:szCs w:val="28"/>
          <w:lang w:eastAsia="en-US"/>
        </w:rPr>
        <w:t>1</w:t>
      </w:r>
      <w:r w:rsidRPr="00BF327F">
        <w:rPr>
          <w:rFonts w:eastAsia="Calibri"/>
          <w:b/>
          <w:sz w:val="28"/>
          <w:szCs w:val="28"/>
          <w:lang w:eastAsia="en-US"/>
        </w:rPr>
        <w:t xml:space="preserve"> год:</w:t>
      </w:r>
    </w:p>
    <w:p w:rsidR="00CE1891" w:rsidRPr="004448B3" w:rsidRDefault="00CE1891" w:rsidP="00CE1891">
      <w:pPr>
        <w:ind w:firstLine="708"/>
        <w:jc w:val="both"/>
        <w:rPr>
          <w:sz w:val="28"/>
          <w:szCs w:val="28"/>
        </w:rPr>
      </w:pPr>
      <w:r w:rsidRPr="004448B3">
        <w:rPr>
          <w:sz w:val="28"/>
          <w:szCs w:val="28"/>
        </w:rPr>
        <w:t xml:space="preserve">Плата поступления доходов от ранее заключенных договоров аренды </w:t>
      </w:r>
      <w:r w:rsidRPr="004448B3">
        <w:rPr>
          <w:b/>
          <w:sz w:val="28"/>
          <w:szCs w:val="28"/>
        </w:rPr>
        <w:t>с целью заготовки древесины</w:t>
      </w:r>
      <w:r w:rsidRPr="004448B3">
        <w:rPr>
          <w:sz w:val="28"/>
          <w:szCs w:val="28"/>
        </w:rPr>
        <w:t xml:space="preserve"> рассчитана методом приведения к уровню 2007 года по следующей формуле: </w:t>
      </w:r>
    </w:p>
    <w:p w:rsidR="00CE1891" w:rsidRPr="004448B3" w:rsidRDefault="00CE1891" w:rsidP="00CE1891">
      <w:pPr>
        <w:jc w:val="both"/>
        <w:rPr>
          <w:sz w:val="28"/>
          <w:szCs w:val="28"/>
        </w:rPr>
      </w:pPr>
    </w:p>
    <w:p w:rsidR="00CE1891" w:rsidRDefault="00CE1891" w:rsidP="00CE1891">
      <w:pPr>
        <w:jc w:val="center"/>
        <w:rPr>
          <w:sz w:val="28"/>
          <w:szCs w:val="28"/>
          <w:vertAlign w:val="superscript"/>
        </w:rPr>
      </w:pPr>
      <w:r w:rsidRPr="004448B3">
        <w:rPr>
          <w:sz w:val="28"/>
          <w:szCs w:val="28"/>
        </w:rPr>
        <w:t>П</w:t>
      </w:r>
      <w:r w:rsidRPr="004448B3">
        <w:rPr>
          <w:sz w:val="28"/>
          <w:szCs w:val="28"/>
          <w:vertAlign w:val="subscript"/>
        </w:rPr>
        <w:t xml:space="preserve">ар </w:t>
      </w:r>
      <w:r w:rsidRPr="004448B3">
        <w:rPr>
          <w:sz w:val="28"/>
          <w:szCs w:val="28"/>
          <w:vertAlign w:val="superscript"/>
        </w:rPr>
        <w:t>обл</w:t>
      </w:r>
      <w:r w:rsidRPr="004448B3">
        <w:rPr>
          <w:sz w:val="28"/>
          <w:szCs w:val="28"/>
          <w:vertAlign w:val="subscript"/>
        </w:rPr>
        <w:t xml:space="preserve"> </w:t>
      </w:r>
      <w:r w:rsidRPr="004448B3">
        <w:rPr>
          <w:sz w:val="28"/>
          <w:szCs w:val="28"/>
        </w:rPr>
        <w:t>= (С</w:t>
      </w:r>
      <w:r w:rsidRPr="004448B3">
        <w:rPr>
          <w:sz w:val="28"/>
          <w:szCs w:val="28"/>
          <w:vertAlign w:val="subscript"/>
          <w:lang w:val="en-US"/>
        </w:rPr>
        <w:t>Q</w:t>
      </w:r>
      <w:r w:rsidRPr="004448B3">
        <w:rPr>
          <w:sz w:val="28"/>
          <w:szCs w:val="28"/>
          <w:vertAlign w:val="subscript"/>
        </w:rPr>
        <w:t xml:space="preserve"> </w:t>
      </w:r>
      <w:r w:rsidRPr="004448B3">
        <w:rPr>
          <w:sz w:val="28"/>
          <w:szCs w:val="28"/>
          <w:vertAlign w:val="superscript"/>
        </w:rPr>
        <w:t>ар</w:t>
      </w:r>
      <w:r w:rsidRPr="004448B3">
        <w:rPr>
          <w:sz w:val="28"/>
          <w:szCs w:val="28"/>
        </w:rPr>
        <w:t xml:space="preserve"> </w:t>
      </w:r>
      <w:r w:rsidRPr="004448B3">
        <w:rPr>
          <w:sz w:val="28"/>
          <w:szCs w:val="28"/>
          <w:vertAlign w:val="subscript"/>
        </w:rPr>
        <w:t>*</w:t>
      </w:r>
      <w:r w:rsidRPr="004448B3">
        <w:rPr>
          <w:sz w:val="28"/>
          <w:szCs w:val="28"/>
        </w:rPr>
        <w:t xml:space="preserve"> К</w:t>
      </w:r>
      <w:r w:rsidRPr="004448B3">
        <w:rPr>
          <w:sz w:val="28"/>
          <w:szCs w:val="28"/>
          <w:vertAlign w:val="subscript"/>
        </w:rPr>
        <w:t>1</w:t>
      </w:r>
      <w:r w:rsidRPr="004448B3">
        <w:rPr>
          <w:sz w:val="28"/>
          <w:szCs w:val="28"/>
        </w:rPr>
        <w:t xml:space="preserve">) </w:t>
      </w:r>
      <w:r w:rsidRPr="004448B3">
        <w:rPr>
          <w:sz w:val="28"/>
          <w:szCs w:val="28"/>
          <w:vertAlign w:val="subscript"/>
        </w:rPr>
        <w:t>*</w:t>
      </w:r>
      <w:r w:rsidRPr="004448B3">
        <w:rPr>
          <w:sz w:val="28"/>
          <w:szCs w:val="28"/>
        </w:rPr>
        <w:t xml:space="preserve"> </w:t>
      </w:r>
      <w:r w:rsidRPr="004448B3">
        <w:rPr>
          <w:sz w:val="28"/>
          <w:szCs w:val="28"/>
          <w:lang w:val="en-US"/>
        </w:rPr>
        <w:t>Q</w:t>
      </w:r>
      <w:r w:rsidRPr="004448B3">
        <w:rPr>
          <w:sz w:val="28"/>
          <w:szCs w:val="28"/>
          <w:vertAlign w:val="superscript"/>
        </w:rPr>
        <w:t>ср</w:t>
      </w:r>
      <w:r w:rsidRPr="004448B3">
        <w:rPr>
          <w:sz w:val="28"/>
          <w:szCs w:val="28"/>
          <w:vertAlign w:val="subscript"/>
        </w:rPr>
        <w:t>ар</w:t>
      </w:r>
      <w:r w:rsidRPr="000E45F6">
        <w:rPr>
          <w:iCs/>
          <w:sz w:val="28"/>
          <w:szCs w:val="28"/>
          <w:lang w:bidi="en-US"/>
        </w:rPr>
        <w:t>*</w:t>
      </w:r>
      <w:r w:rsidRPr="002016DC">
        <w:rPr>
          <w:rStyle w:val="714pt"/>
          <w:rFonts w:eastAsia="Calibri"/>
        </w:rPr>
        <w:t>Т</w:t>
      </w:r>
      <w:r w:rsidRPr="002016DC">
        <w:rPr>
          <w:rStyle w:val="714pt"/>
          <w:rFonts w:eastAsia="Calibri"/>
          <w:vertAlign w:val="superscript"/>
        </w:rPr>
        <w:t>ср</w:t>
      </w:r>
      <w:r w:rsidRPr="000E45F6">
        <w:rPr>
          <w:iCs/>
          <w:sz w:val="28"/>
          <w:szCs w:val="28"/>
          <w:vertAlign w:val="subscript"/>
          <w:lang w:val="en-US" w:bidi="en-US"/>
        </w:rPr>
        <w:t>Qap</w:t>
      </w:r>
      <w:r w:rsidRPr="004448B3">
        <w:rPr>
          <w:sz w:val="28"/>
          <w:szCs w:val="28"/>
        </w:rPr>
        <w:t xml:space="preserve"> + П</w:t>
      </w:r>
      <w:r w:rsidRPr="004448B3">
        <w:rPr>
          <w:sz w:val="28"/>
          <w:szCs w:val="28"/>
          <w:vertAlign w:val="subscript"/>
        </w:rPr>
        <w:t>ар</w:t>
      </w:r>
      <w:r w:rsidRPr="004448B3">
        <w:rPr>
          <w:sz w:val="28"/>
          <w:szCs w:val="28"/>
          <w:vertAlign w:val="superscript"/>
        </w:rPr>
        <w:t>инв</w:t>
      </w:r>
    </w:p>
    <w:p w:rsidR="00CE1891" w:rsidRPr="004448B3" w:rsidRDefault="00CE1891" w:rsidP="00CE1891">
      <w:pPr>
        <w:jc w:val="center"/>
        <w:rPr>
          <w:sz w:val="28"/>
          <w:szCs w:val="28"/>
        </w:rPr>
      </w:pPr>
    </w:p>
    <w:p w:rsidR="00CE1891" w:rsidRPr="004448B3" w:rsidRDefault="00CE1891" w:rsidP="00CE1891">
      <w:pPr>
        <w:jc w:val="center"/>
        <w:rPr>
          <w:sz w:val="28"/>
          <w:szCs w:val="28"/>
        </w:rPr>
      </w:pPr>
      <w:r w:rsidRPr="004448B3">
        <w:rPr>
          <w:sz w:val="28"/>
          <w:szCs w:val="28"/>
        </w:rPr>
        <w:t>П</w:t>
      </w:r>
      <w:r w:rsidRPr="004448B3">
        <w:rPr>
          <w:sz w:val="28"/>
          <w:szCs w:val="28"/>
          <w:vertAlign w:val="subscript"/>
        </w:rPr>
        <w:t xml:space="preserve">ар </w:t>
      </w:r>
      <w:r w:rsidRPr="004448B3">
        <w:rPr>
          <w:sz w:val="28"/>
          <w:szCs w:val="28"/>
          <w:vertAlign w:val="superscript"/>
        </w:rPr>
        <w:t xml:space="preserve">обл </w:t>
      </w:r>
      <w:r w:rsidRPr="004448B3">
        <w:rPr>
          <w:sz w:val="28"/>
          <w:szCs w:val="28"/>
        </w:rPr>
        <w:t>= (</w:t>
      </w:r>
      <w:r>
        <w:rPr>
          <w:sz w:val="28"/>
          <w:szCs w:val="28"/>
        </w:rPr>
        <w:t>22,0</w:t>
      </w:r>
      <w:r w:rsidRPr="004448B3">
        <w:rPr>
          <w:sz w:val="28"/>
          <w:szCs w:val="28"/>
        </w:rPr>
        <w:t>*2,</w:t>
      </w:r>
      <w:r>
        <w:rPr>
          <w:sz w:val="28"/>
          <w:szCs w:val="28"/>
        </w:rPr>
        <w:t>72</w:t>
      </w:r>
      <w:r w:rsidRPr="004448B3">
        <w:rPr>
          <w:sz w:val="28"/>
          <w:szCs w:val="28"/>
        </w:rPr>
        <w:t>) *</w:t>
      </w:r>
      <w:r>
        <w:rPr>
          <w:sz w:val="28"/>
          <w:szCs w:val="28"/>
        </w:rPr>
        <w:t>6 107 000</w:t>
      </w:r>
      <w:r w:rsidRPr="004448B3">
        <w:rPr>
          <w:sz w:val="28"/>
          <w:szCs w:val="28"/>
        </w:rPr>
        <w:t xml:space="preserve"> </w:t>
      </w:r>
      <w:r>
        <w:rPr>
          <w:sz w:val="28"/>
          <w:szCs w:val="28"/>
        </w:rPr>
        <w:t>*</w:t>
      </w:r>
      <w:r w:rsidRPr="00626009">
        <w:rPr>
          <w:iCs/>
          <w:sz w:val="28"/>
          <w:szCs w:val="28"/>
          <w:lang w:bidi="ru-RU"/>
        </w:rPr>
        <w:t>1,06</w:t>
      </w:r>
      <w:r>
        <w:rPr>
          <w:iCs/>
          <w:sz w:val="28"/>
          <w:szCs w:val="28"/>
          <w:lang w:bidi="ru-RU"/>
        </w:rPr>
        <w:t>089</w:t>
      </w:r>
      <w:r w:rsidRPr="004448B3">
        <w:rPr>
          <w:sz w:val="28"/>
          <w:szCs w:val="28"/>
        </w:rPr>
        <w:t>+</w:t>
      </w:r>
      <w:r>
        <w:rPr>
          <w:sz w:val="28"/>
          <w:szCs w:val="28"/>
        </w:rPr>
        <w:t>11 954 315,9</w:t>
      </w:r>
      <w:r w:rsidRPr="004448B3">
        <w:rPr>
          <w:sz w:val="28"/>
          <w:szCs w:val="28"/>
        </w:rPr>
        <w:t xml:space="preserve"> = </w:t>
      </w:r>
      <w:r>
        <w:rPr>
          <w:b/>
          <w:sz w:val="28"/>
          <w:szCs w:val="28"/>
        </w:rPr>
        <w:t>399 649 012,86</w:t>
      </w:r>
      <w:r w:rsidRPr="004448B3">
        <w:rPr>
          <w:b/>
          <w:sz w:val="28"/>
          <w:szCs w:val="28"/>
        </w:rPr>
        <w:t xml:space="preserve"> руб</w:t>
      </w:r>
      <w:r>
        <w:rPr>
          <w:b/>
          <w:sz w:val="28"/>
          <w:szCs w:val="28"/>
        </w:rPr>
        <w:t>. (399 649,01 тыс. руб.)</w:t>
      </w:r>
    </w:p>
    <w:p w:rsidR="00CE1891" w:rsidRPr="004448B3" w:rsidRDefault="00CE1891" w:rsidP="00CE1891">
      <w:pPr>
        <w:jc w:val="center"/>
        <w:rPr>
          <w:sz w:val="28"/>
          <w:szCs w:val="28"/>
        </w:rPr>
      </w:pPr>
    </w:p>
    <w:p w:rsidR="00CE1891" w:rsidRPr="004448B3" w:rsidRDefault="00CE1891" w:rsidP="00CE1891">
      <w:pPr>
        <w:ind w:firstLine="708"/>
        <w:jc w:val="both"/>
        <w:rPr>
          <w:sz w:val="28"/>
          <w:szCs w:val="28"/>
        </w:rPr>
      </w:pPr>
      <w:r w:rsidRPr="004448B3">
        <w:rPr>
          <w:sz w:val="28"/>
          <w:szCs w:val="28"/>
        </w:rPr>
        <w:t>где:</w:t>
      </w:r>
    </w:p>
    <w:p w:rsidR="00CE1891" w:rsidRPr="004448B3" w:rsidRDefault="00CE1891" w:rsidP="00CE1891">
      <w:pPr>
        <w:ind w:firstLine="708"/>
        <w:jc w:val="both"/>
        <w:rPr>
          <w:sz w:val="28"/>
          <w:szCs w:val="28"/>
        </w:rPr>
      </w:pPr>
      <w:r w:rsidRPr="004448B3">
        <w:rPr>
          <w:sz w:val="28"/>
          <w:szCs w:val="28"/>
        </w:rPr>
        <w:t>П</w:t>
      </w:r>
      <w:r w:rsidRPr="004448B3">
        <w:rPr>
          <w:sz w:val="28"/>
          <w:szCs w:val="28"/>
          <w:vertAlign w:val="subscript"/>
        </w:rPr>
        <w:t xml:space="preserve">ар </w:t>
      </w:r>
      <w:r w:rsidRPr="004448B3">
        <w:rPr>
          <w:sz w:val="28"/>
          <w:szCs w:val="28"/>
          <w:vertAlign w:val="superscript"/>
        </w:rPr>
        <w:t>обл</w:t>
      </w:r>
      <w:r w:rsidRPr="004448B3">
        <w:rPr>
          <w:sz w:val="28"/>
          <w:szCs w:val="28"/>
          <w:vertAlign w:val="subscript"/>
        </w:rPr>
        <w:t xml:space="preserve"> </w:t>
      </w:r>
      <w:r w:rsidRPr="004448B3">
        <w:rPr>
          <w:sz w:val="28"/>
          <w:szCs w:val="28"/>
        </w:rPr>
        <w:t>- плата поступления в областной бюджет Тверской области по ранее заключенным договорам аренды с целью заготовки древесины тыс. руб.;</w:t>
      </w:r>
    </w:p>
    <w:p w:rsidR="00CE1891" w:rsidRPr="004448B3" w:rsidRDefault="00CE1891" w:rsidP="00CE1891">
      <w:pPr>
        <w:ind w:firstLine="708"/>
        <w:jc w:val="both"/>
        <w:rPr>
          <w:sz w:val="28"/>
          <w:szCs w:val="28"/>
        </w:rPr>
      </w:pPr>
      <w:r w:rsidRPr="004448B3">
        <w:rPr>
          <w:sz w:val="28"/>
          <w:szCs w:val="28"/>
        </w:rPr>
        <w:t>С</w:t>
      </w:r>
      <w:r w:rsidRPr="004448B3">
        <w:rPr>
          <w:sz w:val="28"/>
          <w:szCs w:val="28"/>
          <w:vertAlign w:val="subscript"/>
          <w:lang w:val="en-US"/>
        </w:rPr>
        <w:t>Q</w:t>
      </w:r>
      <w:r w:rsidRPr="004448B3">
        <w:rPr>
          <w:sz w:val="28"/>
          <w:szCs w:val="28"/>
          <w:vertAlign w:val="subscript"/>
        </w:rPr>
        <w:t xml:space="preserve"> </w:t>
      </w:r>
      <w:r w:rsidRPr="004448B3">
        <w:rPr>
          <w:sz w:val="28"/>
          <w:szCs w:val="28"/>
          <w:vertAlign w:val="superscript"/>
        </w:rPr>
        <w:t>ар</w:t>
      </w:r>
      <w:r w:rsidRPr="004448B3">
        <w:rPr>
          <w:sz w:val="28"/>
          <w:szCs w:val="28"/>
        </w:rPr>
        <w:t xml:space="preserve"> – средняя плата (превышающая минимальные ставки платы) за единицу объема древесины по договорам аренды лесных участков, находящихся в федеральной собственности, сложившаяся по итогам предыдущего финансового года и приведенная к уровню 2007 года руб.; </w:t>
      </w:r>
    </w:p>
    <w:p w:rsidR="00CE1891" w:rsidRPr="004448B3" w:rsidRDefault="00CE1891" w:rsidP="00CE1891">
      <w:pPr>
        <w:ind w:firstLine="708"/>
        <w:jc w:val="both"/>
        <w:rPr>
          <w:sz w:val="28"/>
          <w:szCs w:val="28"/>
          <w:vertAlign w:val="subscript"/>
        </w:rPr>
      </w:pPr>
      <w:r w:rsidRPr="004448B3">
        <w:rPr>
          <w:sz w:val="28"/>
          <w:szCs w:val="28"/>
        </w:rPr>
        <w:t>С</w:t>
      </w:r>
      <w:r w:rsidRPr="004448B3">
        <w:rPr>
          <w:sz w:val="28"/>
          <w:szCs w:val="28"/>
          <w:vertAlign w:val="subscript"/>
          <w:lang w:val="en-US"/>
        </w:rPr>
        <w:t>Q</w:t>
      </w:r>
      <w:r w:rsidRPr="004448B3">
        <w:rPr>
          <w:sz w:val="28"/>
          <w:szCs w:val="28"/>
          <w:vertAlign w:val="subscript"/>
        </w:rPr>
        <w:t xml:space="preserve"> </w:t>
      </w:r>
      <w:r w:rsidRPr="004448B3">
        <w:rPr>
          <w:sz w:val="28"/>
          <w:szCs w:val="28"/>
          <w:vertAlign w:val="superscript"/>
        </w:rPr>
        <w:t xml:space="preserve">ар </w:t>
      </w:r>
      <w:r w:rsidRPr="004448B3">
        <w:rPr>
          <w:sz w:val="28"/>
          <w:szCs w:val="28"/>
        </w:rPr>
        <w:t>=П</w:t>
      </w:r>
      <w:r w:rsidRPr="004448B3">
        <w:rPr>
          <w:sz w:val="28"/>
          <w:szCs w:val="28"/>
          <w:vertAlign w:val="subscript"/>
        </w:rPr>
        <w:t>ар</w:t>
      </w:r>
      <w:r w:rsidRPr="004448B3">
        <w:rPr>
          <w:sz w:val="28"/>
          <w:szCs w:val="28"/>
          <w:vertAlign w:val="subscript"/>
          <w:lang w:val="en-US"/>
        </w:rPr>
        <w:t>Q</w:t>
      </w:r>
      <w:r w:rsidRPr="004448B3">
        <w:rPr>
          <w:sz w:val="28"/>
          <w:szCs w:val="28"/>
          <w:vertAlign w:val="superscript"/>
        </w:rPr>
        <w:t>причОБ</w:t>
      </w:r>
      <w:r w:rsidRPr="004448B3">
        <w:rPr>
          <w:sz w:val="28"/>
          <w:szCs w:val="28"/>
        </w:rPr>
        <w:t>/</w:t>
      </w:r>
      <w:r w:rsidRPr="004448B3">
        <w:rPr>
          <w:sz w:val="28"/>
          <w:szCs w:val="28"/>
          <w:lang w:val="en-US"/>
        </w:rPr>
        <w:t>Q</w:t>
      </w:r>
      <w:r w:rsidRPr="004448B3">
        <w:rPr>
          <w:sz w:val="28"/>
          <w:szCs w:val="28"/>
          <w:vertAlign w:val="subscript"/>
        </w:rPr>
        <w:t xml:space="preserve">ар </w:t>
      </w:r>
      <w:r w:rsidRPr="004448B3">
        <w:rPr>
          <w:sz w:val="28"/>
          <w:szCs w:val="28"/>
          <w:vertAlign w:val="superscript"/>
        </w:rPr>
        <w:t>предост</w:t>
      </w:r>
      <w:r w:rsidRPr="004448B3">
        <w:rPr>
          <w:sz w:val="28"/>
          <w:szCs w:val="28"/>
        </w:rPr>
        <w:t>/К</w:t>
      </w:r>
      <w:r w:rsidRPr="004448B3">
        <w:rPr>
          <w:sz w:val="28"/>
          <w:szCs w:val="28"/>
          <w:vertAlign w:val="subscript"/>
        </w:rPr>
        <w:t>1пред год,</w:t>
      </w:r>
    </w:p>
    <w:p w:rsidR="00CE1891" w:rsidRPr="004448B3" w:rsidRDefault="00CE1891" w:rsidP="00CE1891">
      <w:pPr>
        <w:ind w:firstLine="708"/>
        <w:jc w:val="both"/>
        <w:rPr>
          <w:sz w:val="28"/>
          <w:szCs w:val="28"/>
          <w:vertAlign w:val="subscript"/>
        </w:rPr>
      </w:pPr>
    </w:p>
    <w:p w:rsidR="00CE1891" w:rsidRPr="004448B3" w:rsidRDefault="00CE1891" w:rsidP="00CE1891">
      <w:pPr>
        <w:ind w:firstLine="708"/>
        <w:jc w:val="both"/>
        <w:rPr>
          <w:sz w:val="28"/>
          <w:szCs w:val="28"/>
        </w:rPr>
      </w:pPr>
      <w:r w:rsidRPr="004448B3">
        <w:rPr>
          <w:sz w:val="28"/>
          <w:szCs w:val="28"/>
        </w:rPr>
        <w:t>С</w:t>
      </w:r>
      <w:r w:rsidRPr="004448B3">
        <w:rPr>
          <w:sz w:val="28"/>
          <w:szCs w:val="28"/>
          <w:vertAlign w:val="subscript"/>
          <w:lang w:val="en-US"/>
        </w:rPr>
        <w:t>Q</w:t>
      </w:r>
      <w:r w:rsidRPr="004448B3">
        <w:rPr>
          <w:sz w:val="28"/>
          <w:szCs w:val="28"/>
          <w:vertAlign w:val="subscript"/>
        </w:rPr>
        <w:t xml:space="preserve"> </w:t>
      </w:r>
      <w:r w:rsidRPr="004448B3">
        <w:rPr>
          <w:sz w:val="28"/>
          <w:szCs w:val="28"/>
          <w:vertAlign w:val="superscript"/>
        </w:rPr>
        <w:t>ар</w:t>
      </w:r>
      <w:r w:rsidRPr="004448B3">
        <w:rPr>
          <w:sz w:val="28"/>
          <w:szCs w:val="28"/>
        </w:rPr>
        <w:t xml:space="preserve"> =</w:t>
      </w:r>
      <w:r>
        <w:rPr>
          <w:sz w:val="28"/>
          <w:szCs w:val="28"/>
        </w:rPr>
        <w:t>367 406 300</w:t>
      </w:r>
      <w:r w:rsidRPr="004448B3">
        <w:rPr>
          <w:sz w:val="28"/>
          <w:szCs w:val="28"/>
        </w:rPr>
        <w:t xml:space="preserve"> руб./</w:t>
      </w:r>
      <w:r>
        <w:rPr>
          <w:sz w:val="28"/>
          <w:szCs w:val="28"/>
        </w:rPr>
        <w:t>6 377 400</w:t>
      </w:r>
      <w:r w:rsidRPr="004448B3">
        <w:rPr>
          <w:sz w:val="28"/>
          <w:szCs w:val="28"/>
        </w:rPr>
        <w:t xml:space="preserve"> куб.м/</w:t>
      </w:r>
      <w:r>
        <w:rPr>
          <w:sz w:val="28"/>
          <w:szCs w:val="28"/>
        </w:rPr>
        <w:t>2,62</w:t>
      </w:r>
      <w:r w:rsidRPr="004448B3">
        <w:rPr>
          <w:sz w:val="28"/>
          <w:szCs w:val="28"/>
        </w:rPr>
        <w:t xml:space="preserve">= </w:t>
      </w:r>
      <w:r w:rsidRPr="000C1E03">
        <w:rPr>
          <w:sz w:val="28"/>
          <w:szCs w:val="28"/>
        </w:rPr>
        <w:t xml:space="preserve">22,0 </w:t>
      </w:r>
      <w:r w:rsidRPr="004448B3">
        <w:rPr>
          <w:sz w:val="28"/>
          <w:szCs w:val="28"/>
        </w:rPr>
        <w:t>руб.</w:t>
      </w:r>
    </w:p>
    <w:p w:rsidR="00CE1891" w:rsidRPr="004448B3" w:rsidRDefault="00CE1891" w:rsidP="00CE1891">
      <w:pPr>
        <w:ind w:firstLine="708"/>
        <w:jc w:val="both"/>
        <w:rPr>
          <w:sz w:val="28"/>
          <w:szCs w:val="28"/>
        </w:rPr>
      </w:pPr>
      <w:r w:rsidRPr="004448B3">
        <w:rPr>
          <w:sz w:val="28"/>
          <w:szCs w:val="28"/>
        </w:rPr>
        <w:t>где:</w:t>
      </w:r>
    </w:p>
    <w:p w:rsidR="00CE1891" w:rsidRPr="004448B3" w:rsidRDefault="00CE1891" w:rsidP="00CE1891">
      <w:pPr>
        <w:ind w:firstLine="708"/>
        <w:jc w:val="both"/>
        <w:rPr>
          <w:sz w:val="28"/>
          <w:szCs w:val="28"/>
        </w:rPr>
      </w:pPr>
      <w:r w:rsidRPr="004448B3">
        <w:rPr>
          <w:sz w:val="28"/>
          <w:szCs w:val="28"/>
        </w:rPr>
        <w:t>П</w:t>
      </w:r>
      <w:r w:rsidRPr="004448B3">
        <w:rPr>
          <w:sz w:val="28"/>
          <w:szCs w:val="28"/>
          <w:vertAlign w:val="subscript"/>
        </w:rPr>
        <w:t>ар</w:t>
      </w:r>
      <w:r w:rsidRPr="004448B3">
        <w:rPr>
          <w:sz w:val="28"/>
          <w:szCs w:val="28"/>
          <w:vertAlign w:val="subscript"/>
          <w:lang w:val="en-US"/>
        </w:rPr>
        <w:t>Q</w:t>
      </w:r>
      <w:r w:rsidRPr="004448B3">
        <w:rPr>
          <w:sz w:val="28"/>
          <w:szCs w:val="28"/>
          <w:vertAlign w:val="superscript"/>
        </w:rPr>
        <w:t xml:space="preserve">причОБ </w:t>
      </w:r>
      <w:r w:rsidRPr="004448B3">
        <w:rPr>
          <w:sz w:val="28"/>
          <w:szCs w:val="28"/>
        </w:rPr>
        <w:t>- причитающийся в областной бюджет объем платежей за заготовку древесины по договорам аренды лесных участков, находящихся в федеральной собственности, в предыдущем финансовом году (руб.);</w:t>
      </w:r>
    </w:p>
    <w:p w:rsidR="00CE1891" w:rsidRPr="004448B3" w:rsidRDefault="00CE1891" w:rsidP="00CE1891">
      <w:pPr>
        <w:ind w:firstLine="708"/>
        <w:jc w:val="both"/>
        <w:rPr>
          <w:sz w:val="28"/>
          <w:szCs w:val="28"/>
        </w:rPr>
      </w:pPr>
      <w:r w:rsidRPr="004448B3">
        <w:rPr>
          <w:sz w:val="28"/>
          <w:szCs w:val="28"/>
          <w:lang w:val="en-US"/>
        </w:rPr>
        <w:t>Q</w:t>
      </w:r>
      <w:r w:rsidRPr="004448B3">
        <w:rPr>
          <w:sz w:val="28"/>
          <w:szCs w:val="28"/>
          <w:vertAlign w:val="subscript"/>
        </w:rPr>
        <w:t xml:space="preserve">ар </w:t>
      </w:r>
      <w:r w:rsidRPr="004448B3">
        <w:rPr>
          <w:sz w:val="28"/>
          <w:szCs w:val="28"/>
          <w:vertAlign w:val="superscript"/>
        </w:rPr>
        <w:t xml:space="preserve">предост </w:t>
      </w:r>
      <w:r w:rsidRPr="004448B3">
        <w:rPr>
          <w:sz w:val="28"/>
          <w:szCs w:val="28"/>
        </w:rPr>
        <w:t>- объем древесины, предоставленный для заготовки древесины по договорам аренды лесных участков, находящихся в федеральной собственности, в предыдущем финансовом году (куб.м);</w:t>
      </w:r>
    </w:p>
    <w:p w:rsidR="00CE1891" w:rsidRPr="004448B3" w:rsidRDefault="00CE1891" w:rsidP="00CE1891">
      <w:pPr>
        <w:ind w:firstLine="708"/>
        <w:jc w:val="both"/>
        <w:rPr>
          <w:sz w:val="28"/>
          <w:szCs w:val="28"/>
        </w:rPr>
      </w:pPr>
      <w:r w:rsidRPr="004448B3">
        <w:rPr>
          <w:sz w:val="28"/>
          <w:szCs w:val="28"/>
        </w:rPr>
        <w:lastRenderedPageBreak/>
        <w:t>К</w:t>
      </w:r>
      <w:r w:rsidRPr="004448B3">
        <w:rPr>
          <w:sz w:val="28"/>
          <w:szCs w:val="28"/>
          <w:vertAlign w:val="subscript"/>
        </w:rPr>
        <w:t xml:space="preserve">1пред год </w:t>
      </w:r>
      <w:r w:rsidRPr="004448B3">
        <w:rPr>
          <w:sz w:val="28"/>
          <w:szCs w:val="28"/>
        </w:rPr>
        <w:t>- коэффициент за единицу объема лесных ресурсов в предыдущем финансовом году.</w:t>
      </w:r>
    </w:p>
    <w:p w:rsidR="00CE1891" w:rsidRPr="004448B3" w:rsidRDefault="00CE1891" w:rsidP="00CE1891">
      <w:pPr>
        <w:ind w:firstLine="708"/>
        <w:jc w:val="both"/>
        <w:rPr>
          <w:sz w:val="28"/>
          <w:szCs w:val="28"/>
        </w:rPr>
      </w:pPr>
      <w:r w:rsidRPr="004448B3">
        <w:rPr>
          <w:sz w:val="28"/>
          <w:szCs w:val="28"/>
        </w:rPr>
        <w:t>К</w:t>
      </w:r>
      <w:r w:rsidRPr="004448B3">
        <w:rPr>
          <w:sz w:val="28"/>
          <w:szCs w:val="28"/>
          <w:vertAlign w:val="subscript"/>
        </w:rPr>
        <w:t>1</w:t>
      </w:r>
      <w:r w:rsidRPr="004448B3">
        <w:rPr>
          <w:sz w:val="28"/>
          <w:szCs w:val="28"/>
        </w:rPr>
        <w:t xml:space="preserve"> - коэффициент отчетного года за единицу объема лесных ресурсов;  </w:t>
      </w:r>
    </w:p>
    <w:p w:rsidR="00CE1891" w:rsidRPr="004448B3" w:rsidRDefault="00CE1891" w:rsidP="00CE1891">
      <w:pPr>
        <w:ind w:firstLine="708"/>
        <w:jc w:val="both"/>
        <w:rPr>
          <w:sz w:val="28"/>
          <w:szCs w:val="28"/>
        </w:rPr>
      </w:pPr>
      <w:r w:rsidRPr="004448B3">
        <w:rPr>
          <w:sz w:val="28"/>
          <w:szCs w:val="28"/>
          <w:lang w:val="en-US"/>
        </w:rPr>
        <w:t>Q</w:t>
      </w:r>
      <w:r w:rsidRPr="004448B3">
        <w:rPr>
          <w:sz w:val="28"/>
          <w:szCs w:val="28"/>
          <w:vertAlign w:val="superscript"/>
        </w:rPr>
        <w:t>ср</w:t>
      </w:r>
      <w:r w:rsidRPr="004448B3">
        <w:rPr>
          <w:sz w:val="28"/>
          <w:szCs w:val="28"/>
          <w:vertAlign w:val="subscript"/>
        </w:rPr>
        <w:t xml:space="preserve">ар </w:t>
      </w:r>
      <w:r w:rsidRPr="004448B3">
        <w:rPr>
          <w:strike/>
          <w:sz w:val="28"/>
          <w:szCs w:val="28"/>
          <w:vertAlign w:val="subscript"/>
        </w:rPr>
        <w:t xml:space="preserve">– </w:t>
      </w:r>
      <w:r w:rsidRPr="004448B3">
        <w:rPr>
          <w:sz w:val="28"/>
          <w:szCs w:val="28"/>
        </w:rPr>
        <w:t xml:space="preserve"> средний объем древесины, подлежащий заготовке по договорам аренды лесных участков, находящихся в федеральной собственности, (куб.м);</w:t>
      </w:r>
    </w:p>
    <w:p w:rsidR="00CE1891" w:rsidRPr="004448B3" w:rsidRDefault="00CE1891" w:rsidP="00CE1891">
      <w:pPr>
        <w:ind w:firstLine="708"/>
        <w:jc w:val="both"/>
        <w:rPr>
          <w:sz w:val="28"/>
          <w:szCs w:val="28"/>
        </w:rPr>
      </w:pPr>
      <w:r w:rsidRPr="004448B3">
        <w:rPr>
          <w:sz w:val="28"/>
          <w:szCs w:val="28"/>
          <w:lang w:val="en-US"/>
        </w:rPr>
        <w:t>Q</w:t>
      </w:r>
      <w:r w:rsidRPr="004448B3">
        <w:rPr>
          <w:sz w:val="28"/>
          <w:szCs w:val="28"/>
          <w:vertAlign w:val="superscript"/>
        </w:rPr>
        <w:t>ср</w:t>
      </w:r>
      <w:r w:rsidRPr="004448B3">
        <w:rPr>
          <w:sz w:val="28"/>
          <w:szCs w:val="28"/>
          <w:vertAlign w:val="subscript"/>
        </w:rPr>
        <w:t>ар =</w:t>
      </w:r>
      <w:r w:rsidRPr="004448B3">
        <w:rPr>
          <w:sz w:val="28"/>
          <w:szCs w:val="28"/>
        </w:rPr>
        <w:t>Σ</w:t>
      </w:r>
      <w:r w:rsidRPr="004448B3">
        <w:rPr>
          <w:sz w:val="28"/>
          <w:szCs w:val="28"/>
          <w:vertAlign w:val="superscript"/>
        </w:rPr>
        <w:t>3</w:t>
      </w:r>
      <w:r w:rsidRPr="004448B3">
        <w:rPr>
          <w:sz w:val="28"/>
          <w:szCs w:val="28"/>
          <w:vertAlign w:val="subscript"/>
          <w:lang w:val="en-US"/>
        </w:rPr>
        <w:t>t</w:t>
      </w:r>
      <w:r w:rsidRPr="004448B3">
        <w:rPr>
          <w:sz w:val="28"/>
          <w:szCs w:val="28"/>
          <w:vertAlign w:val="subscript"/>
        </w:rPr>
        <w:t xml:space="preserve">=1 </w:t>
      </w:r>
      <w:r w:rsidRPr="004448B3">
        <w:rPr>
          <w:sz w:val="28"/>
          <w:szCs w:val="28"/>
          <w:lang w:val="en-US"/>
        </w:rPr>
        <w:t>Q</w:t>
      </w:r>
      <w:r w:rsidRPr="004448B3">
        <w:rPr>
          <w:sz w:val="28"/>
          <w:szCs w:val="28"/>
          <w:vertAlign w:val="subscript"/>
        </w:rPr>
        <w:t>ар</w:t>
      </w:r>
      <w:r w:rsidRPr="004448B3">
        <w:rPr>
          <w:sz w:val="28"/>
          <w:szCs w:val="28"/>
        </w:rPr>
        <w:t>/3,</w:t>
      </w:r>
    </w:p>
    <w:p w:rsidR="00CE1891" w:rsidRPr="004448B3" w:rsidRDefault="00CE1891" w:rsidP="00CE1891">
      <w:pPr>
        <w:ind w:firstLine="708"/>
        <w:jc w:val="both"/>
        <w:rPr>
          <w:sz w:val="28"/>
          <w:szCs w:val="28"/>
        </w:rPr>
      </w:pPr>
      <w:r w:rsidRPr="004448B3">
        <w:rPr>
          <w:sz w:val="28"/>
          <w:szCs w:val="28"/>
        </w:rPr>
        <w:t xml:space="preserve">где: </w:t>
      </w:r>
    </w:p>
    <w:p w:rsidR="00CE1891" w:rsidRPr="004448B3" w:rsidRDefault="00CE1891" w:rsidP="00CE1891">
      <w:pPr>
        <w:ind w:firstLine="708"/>
        <w:jc w:val="both"/>
        <w:rPr>
          <w:sz w:val="28"/>
          <w:szCs w:val="28"/>
        </w:rPr>
      </w:pPr>
      <w:r w:rsidRPr="004448B3">
        <w:rPr>
          <w:sz w:val="28"/>
          <w:szCs w:val="28"/>
        </w:rPr>
        <w:t>Σ</w:t>
      </w:r>
      <w:r w:rsidRPr="004448B3">
        <w:rPr>
          <w:sz w:val="28"/>
          <w:szCs w:val="28"/>
          <w:vertAlign w:val="superscript"/>
        </w:rPr>
        <w:t>3</w:t>
      </w:r>
      <w:r w:rsidRPr="004448B3">
        <w:rPr>
          <w:sz w:val="28"/>
          <w:szCs w:val="28"/>
          <w:vertAlign w:val="subscript"/>
          <w:lang w:val="en-US"/>
        </w:rPr>
        <w:t>t</w:t>
      </w:r>
      <w:r w:rsidRPr="004448B3">
        <w:rPr>
          <w:sz w:val="28"/>
          <w:szCs w:val="28"/>
          <w:vertAlign w:val="subscript"/>
        </w:rPr>
        <w:t xml:space="preserve">=1 </w:t>
      </w:r>
      <w:r w:rsidRPr="004448B3">
        <w:rPr>
          <w:sz w:val="28"/>
          <w:szCs w:val="28"/>
          <w:lang w:val="en-US"/>
        </w:rPr>
        <w:t>Q</w:t>
      </w:r>
      <w:r w:rsidRPr="004448B3">
        <w:rPr>
          <w:sz w:val="28"/>
          <w:szCs w:val="28"/>
          <w:vertAlign w:val="subscript"/>
        </w:rPr>
        <w:t>ар</w:t>
      </w:r>
      <w:r w:rsidRPr="004448B3">
        <w:rPr>
          <w:sz w:val="28"/>
          <w:szCs w:val="28"/>
        </w:rPr>
        <w:t xml:space="preserve"> - сумма годовых величин объемов древесины, подлежащих заготовке по договорам аренды лесных участков, за три года, предшествующих прогнозируемому году (куб.м);</w:t>
      </w:r>
    </w:p>
    <w:p w:rsidR="00CE1891" w:rsidRPr="004448B3" w:rsidRDefault="00CE1891" w:rsidP="00CE1891">
      <w:pPr>
        <w:ind w:firstLine="708"/>
        <w:jc w:val="both"/>
        <w:rPr>
          <w:sz w:val="28"/>
          <w:szCs w:val="28"/>
          <w:vertAlign w:val="subscript"/>
        </w:rPr>
      </w:pPr>
      <w:r w:rsidRPr="004448B3">
        <w:rPr>
          <w:sz w:val="28"/>
          <w:szCs w:val="28"/>
        </w:rPr>
        <w:t>Σ</w:t>
      </w:r>
      <w:r w:rsidRPr="004448B3">
        <w:rPr>
          <w:sz w:val="28"/>
          <w:szCs w:val="28"/>
          <w:vertAlign w:val="superscript"/>
        </w:rPr>
        <w:t>3</w:t>
      </w:r>
      <w:r w:rsidRPr="004448B3">
        <w:rPr>
          <w:sz w:val="28"/>
          <w:szCs w:val="28"/>
          <w:vertAlign w:val="subscript"/>
          <w:lang w:val="en-US"/>
        </w:rPr>
        <w:t>t</w:t>
      </w:r>
      <w:r w:rsidRPr="004448B3">
        <w:rPr>
          <w:sz w:val="28"/>
          <w:szCs w:val="28"/>
          <w:vertAlign w:val="subscript"/>
        </w:rPr>
        <w:t xml:space="preserve">=1 </w:t>
      </w:r>
      <w:r w:rsidRPr="004448B3">
        <w:rPr>
          <w:sz w:val="28"/>
          <w:szCs w:val="28"/>
          <w:lang w:val="en-US"/>
        </w:rPr>
        <w:t>Q</w:t>
      </w:r>
      <w:r w:rsidRPr="004448B3">
        <w:rPr>
          <w:sz w:val="28"/>
          <w:szCs w:val="28"/>
          <w:vertAlign w:val="subscript"/>
        </w:rPr>
        <w:t>ар =</w:t>
      </w:r>
      <w:r w:rsidRPr="004448B3">
        <w:rPr>
          <w:sz w:val="28"/>
          <w:szCs w:val="28"/>
          <w:lang w:val="en-US"/>
        </w:rPr>
        <w:t>Q</w:t>
      </w:r>
      <w:r w:rsidRPr="004448B3">
        <w:rPr>
          <w:sz w:val="28"/>
          <w:szCs w:val="28"/>
          <w:vertAlign w:val="subscript"/>
        </w:rPr>
        <w:t>ар 20</w:t>
      </w:r>
      <w:r>
        <w:rPr>
          <w:sz w:val="28"/>
          <w:szCs w:val="28"/>
          <w:vertAlign w:val="subscript"/>
        </w:rPr>
        <w:t>18</w:t>
      </w:r>
      <w:r w:rsidRPr="004448B3">
        <w:rPr>
          <w:sz w:val="28"/>
          <w:szCs w:val="28"/>
          <w:vertAlign w:val="subscript"/>
        </w:rPr>
        <w:t>+</w:t>
      </w:r>
      <w:r w:rsidRPr="004448B3">
        <w:rPr>
          <w:sz w:val="28"/>
          <w:szCs w:val="28"/>
        </w:rPr>
        <w:t xml:space="preserve"> </w:t>
      </w:r>
      <w:r w:rsidRPr="004448B3">
        <w:rPr>
          <w:sz w:val="28"/>
          <w:szCs w:val="28"/>
          <w:lang w:val="en-US"/>
        </w:rPr>
        <w:t>Q</w:t>
      </w:r>
      <w:r w:rsidRPr="004448B3">
        <w:rPr>
          <w:sz w:val="28"/>
          <w:szCs w:val="28"/>
          <w:vertAlign w:val="subscript"/>
        </w:rPr>
        <w:t>ар 20</w:t>
      </w:r>
      <w:r>
        <w:rPr>
          <w:sz w:val="28"/>
          <w:szCs w:val="28"/>
          <w:vertAlign w:val="subscript"/>
        </w:rPr>
        <w:t>19</w:t>
      </w:r>
      <w:r w:rsidRPr="004448B3">
        <w:rPr>
          <w:sz w:val="28"/>
          <w:szCs w:val="28"/>
          <w:vertAlign w:val="subscript"/>
        </w:rPr>
        <w:t>+</w:t>
      </w:r>
      <w:r w:rsidRPr="004448B3">
        <w:rPr>
          <w:sz w:val="28"/>
          <w:szCs w:val="28"/>
        </w:rPr>
        <w:t xml:space="preserve"> </w:t>
      </w:r>
      <w:r w:rsidRPr="004448B3">
        <w:rPr>
          <w:sz w:val="28"/>
          <w:szCs w:val="28"/>
          <w:lang w:val="en-US"/>
        </w:rPr>
        <w:t>Q</w:t>
      </w:r>
      <w:r w:rsidRPr="004448B3">
        <w:rPr>
          <w:sz w:val="28"/>
          <w:szCs w:val="28"/>
          <w:vertAlign w:val="subscript"/>
        </w:rPr>
        <w:t>ар 20</w:t>
      </w:r>
      <w:r>
        <w:rPr>
          <w:sz w:val="28"/>
          <w:szCs w:val="28"/>
          <w:vertAlign w:val="subscript"/>
        </w:rPr>
        <w:t>20</w:t>
      </w:r>
    </w:p>
    <w:p w:rsidR="00CE1891" w:rsidRPr="004448B3" w:rsidRDefault="00CE1891" w:rsidP="00CE1891">
      <w:pPr>
        <w:ind w:firstLine="708"/>
        <w:jc w:val="both"/>
        <w:rPr>
          <w:sz w:val="28"/>
          <w:szCs w:val="28"/>
        </w:rPr>
      </w:pPr>
      <w:r w:rsidRPr="004448B3">
        <w:rPr>
          <w:sz w:val="28"/>
          <w:szCs w:val="28"/>
          <w:lang w:val="en-US"/>
        </w:rPr>
        <w:t>Q</w:t>
      </w:r>
      <w:r w:rsidRPr="004448B3">
        <w:rPr>
          <w:sz w:val="28"/>
          <w:szCs w:val="28"/>
          <w:vertAlign w:val="subscript"/>
        </w:rPr>
        <w:t xml:space="preserve">ар </w:t>
      </w:r>
      <w:r w:rsidRPr="004448B3">
        <w:rPr>
          <w:sz w:val="28"/>
          <w:szCs w:val="28"/>
        </w:rPr>
        <w:t>- объем древесины, подлежащий заготовке по договорам аренды лесных участков, находящихся в федеральной собственности, (куб.м)</w:t>
      </w:r>
    </w:p>
    <w:p w:rsidR="00CE1891" w:rsidRPr="004448B3" w:rsidRDefault="00CE1891" w:rsidP="00CE1891">
      <w:pPr>
        <w:ind w:firstLine="708"/>
        <w:jc w:val="both"/>
        <w:rPr>
          <w:sz w:val="28"/>
          <w:szCs w:val="28"/>
        </w:rPr>
      </w:pPr>
      <w:r w:rsidRPr="004448B3">
        <w:rPr>
          <w:sz w:val="28"/>
          <w:szCs w:val="28"/>
        </w:rPr>
        <w:t>Σ</w:t>
      </w:r>
      <w:r w:rsidRPr="004448B3">
        <w:rPr>
          <w:sz w:val="28"/>
          <w:szCs w:val="28"/>
          <w:vertAlign w:val="superscript"/>
        </w:rPr>
        <w:t>3</w:t>
      </w:r>
      <w:r w:rsidRPr="004448B3">
        <w:rPr>
          <w:sz w:val="28"/>
          <w:szCs w:val="28"/>
          <w:vertAlign w:val="subscript"/>
          <w:lang w:val="en-US"/>
        </w:rPr>
        <w:t>t</w:t>
      </w:r>
      <w:r w:rsidRPr="004448B3">
        <w:rPr>
          <w:sz w:val="28"/>
          <w:szCs w:val="28"/>
          <w:vertAlign w:val="subscript"/>
        </w:rPr>
        <w:t xml:space="preserve">=1 </w:t>
      </w:r>
      <w:r w:rsidRPr="004448B3">
        <w:rPr>
          <w:sz w:val="28"/>
          <w:szCs w:val="28"/>
          <w:lang w:val="en-US"/>
        </w:rPr>
        <w:t>Q</w:t>
      </w:r>
      <w:r w:rsidRPr="004448B3">
        <w:rPr>
          <w:sz w:val="28"/>
          <w:szCs w:val="28"/>
          <w:vertAlign w:val="subscript"/>
        </w:rPr>
        <w:t xml:space="preserve">ар = </w:t>
      </w:r>
      <w:r>
        <w:rPr>
          <w:sz w:val="28"/>
          <w:szCs w:val="28"/>
        </w:rPr>
        <w:t>5 899 000</w:t>
      </w:r>
      <w:r w:rsidRPr="004448B3">
        <w:rPr>
          <w:sz w:val="28"/>
          <w:szCs w:val="28"/>
        </w:rPr>
        <w:t xml:space="preserve">+ </w:t>
      </w:r>
      <w:r>
        <w:rPr>
          <w:sz w:val="28"/>
          <w:szCs w:val="28"/>
        </w:rPr>
        <w:t>6 044 600</w:t>
      </w:r>
      <w:r w:rsidRPr="004448B3">
        <w:rPr>
          <w:sz w:val="28"/>
          <w:szCs w:val="28"/>
        </w:rPr>
        <w:t xml:space="preserve"> + </w:t>
      </w:r>
      <w:r>
        <w:rPr>
          <w:sz w:val="28"/>
          <w:szCs w:val="28"/>
        </w:rPr>
        <w:t>6 377 400</w:t>
      </w:r>
      <w:r w:rsidRPr="004448B3">
        <w:rPr>
          <w:sz w:val="28"/>
          <w:szCs w:val="28"/>
        </w:rPr>
        <w:t xml:space="preserve"> = </w:t>
      </w:r>
      <w:r>
        <w:rPr>
          <w:sz w:val="28"/>
          <w:szCs w:val="28"/>
        </w:rPr>
        <w:t>18 321 000</w:t>
      </w:r>
      <w:r w:rsidRPr="004448B3">
        <w:rPr>
          <w:sz w:val="28"/>
          <w:szCs w:val="28"/>
        </w:rPr>
        <w:t>(куб.м)</w:t>
      </w:r>
    </w:p>
    <w:p w:rsidR="00CE1891" w:rsidRDefault="00CE1891" w:rsidP="00CE1891">
      <w:pPr>
        <w:ind w:firstLine="708"/>
        <w:jc w:val="both"/>
        <w:rPr>
          <w:sz w:val="28"/>
          <w:szCs w:val="28"/>
          <w:vertAlign w:val="subscript"/>
        </w:rPr>
      </w:pPr>
      <w:r w:rsidRPr="004448B3">
        <w:rPr>
          <w:sz w:val="28"/>
          <w:szCs w:val="28"/>
          <w:lang w:val="en-US"/>
        </w:rPr>
        <w:t>Q</w:t>
      </w:r>
      <w:r w:rsidRPr="004448B3">
        <w:rPr>
          <w:sz w:val="28"/>
          <w:szCs w:val="28"/>
          <w:vertAlign w:val="superscript"/>
        </w:rPr>
        <w:t>ср</w:t>
      </w:r>
      <w:r w:rsidRPr="004448B3">
        <w:rPr>
          <w:sz w:val="28"/>
          <w:szCs w:val="28"/>
          <w:vertAlign w:val="subscript"/>
        </w:rPr>
        <w:t>ар</w:t>
      </w:r>
      <w:r w:rsidRPr="004448B3">
        <w:rPr>
          <w:sz w:val="28"/>
          <w:szCs w:val="28"/>
        </w:rPr>
        <w:t xml:space="preserve"> =</w:t>
      </w:r>
      <w:r>
        <w:rPr>
          <w:sz w:val="28"/>
          <w:szCs w:val="28"/>
        </w:rPr>
        <w:t>18 321 000</w:t>
      </w:r>
      <w:r w:rsidRPr="004448B3">
        <w:rPr>
          <w:sz w:val="28"/>
          <w:szCs w:val="28"/>
        </w:rPr>
        <w:t xml:space="preserve">/3= </w:t>
      </w:r>
      <w:r>
        <w:rPr>
          <w:sz w:val="28"/>
          <w:szCs w:val="28"/>
        </w:rPr>
        <w:t>6 107 000</w:t>
      </w:r>
      <w:r w:rsidRPr="004448B3">
        <w:rPr>
          <w:sz w:val="28"/>
          <w:szCs w:val="28"/>
        </w:rPr>
        <w:t xml:space="preserve"> (куб.м)</w:t>
      </w:r>
      <w:r w:rsidRPr="004448B3">
        <w:rPr>
          <w:sz w:val="28"/>
          <w:szCs w:val="28"/>
          <w:vertAlign w:val="subscript"/>
        </w:rPr>
        <w:t xml:space="preserve"> </w:t>
      </w:r>
    </w:p>
    <w:p w:rsidR="00CE1891" w:rsidRDefault="00CE1891" w:rsidP="00CE1891">
      <w:pPr>
        <w:widowControl w:val="0"/>
        <w:ind w:firstLine="760"/>
        <w:jc w:val="both"/>
        <w:rPr>
          <w:iCs/>
          <w:sz w:val="32"/>
          <w:szCs w:val="28"/>
          <w:lang w:bidi="ru-RU"/>
        </w:rPr>
      </w:pPr>
    </w:p>
    <w:p w:rsidR="00CE1891" w:rsidRPr="00791AFA" w:rsidRDefault="00CE1891" w:rsidP="00CE1891">
      <w:pPr>
        <w:widowControl w:val="0"/>
        <w:ind w:firstLine="760"/>
        <w:jc w:val="both"/>
        <w:rPr>
          <w:sz w:val="28"/>
          <w:szCs w:val="28"/>
          <w:lang w:bidi="ru-RU"/>
        </w:rPr>
      </w:pPr>
      <w:r w:rsidRPr="00791AFA">
        <w:rPr>
          <w:iCs/>
          <w:sz w:val="28"/>
          <w:szCs w:val="28"/>
          <w:lang w:bidi="ru-RU"/>
        </w:rPr>
        <w:t>Т</w:t>
      </w:r>
      <w:r w:rsidRPr="00791AFA">
        <w:rPr>
          <w:iCs/>
          <w:sz w:val="28"/>
          <w:szCs w:val="28"/>
          <w:vertAlign w:val="superscript"/>
          <w:lang w:bidi="ru-RU"/>
        </w:rPr>
        <w:t>ср</w:t>
      </w:r>
      <w:r w:rsidRPr="00791AFA">
        <w:rPr>
          <w:iCs/>
          <w:sz w:val="28"/>
          <w:szCs w:val="28"/>
          <w:lang w:bidi="ru-RU"/>
        </w:rPr>
        <w:t xml:space="preserve"> </w:t>
      </w:r>
      <w:r w:rsidRPr="00791AFA">
        <w:rPr>
          <w:iCs/>
          <w:sz w:val="28"/>
          <w:szCs w:val="28"/>
          <w:vertAlign w:val="subscript"/>
          <w:lang w:val="en-US" w:bidi="ru-RU"/>
        </w:rPr>
        <w:t>Q</w:t>
      </w:r>
      <w:r w:rsidRPr="00791AFA">
        <w:rPr>
          <w:iCs/>
          <w:sz w:val="28"/>
          <w:szCs w:val="28"/>
          <w:vertAlign w:val="subscript"/>
          <w:lang w:bidi="ru-RU"/>
        </w:rPr>
        <w:t xml:space="preserve">ар </w:t>
      </w:r>
      <w:r w:rsidRPr="00791AFA">
        <w:rPr>
          <w:sz w:val="28"/>
          <w:szCs w:val="28"/>
          <w:lang w:bidi="ru-RU"/>
        </w:rPr>
        <w:t>- средний темп роста (снижения) объема древесины, подлежащего заготовке по договорам аренды лесных участков, находящихся в федеральной собственности, за три отчетных года, предшествующих прогнозируемому году (ед.), рассчитывается по формуле:</w:t>
      </w:r>
    </w:p>
    <w:p w:rsidR="00CE1891" w:rsidRPr="00791AFA" w:rsidRDefault="00CE1891" w:rsidP="00CE1891">
      <w:pPr>
        <w:widowControl w:val="0"/>
        <w:ind w:firstLine="760"/>
        <w:jc w:val="both"/>
        <w:rPr>
          <w:sz w:val="28"/>
          <w:szCs w:val="28"/>
          <w:lang w:bidi="ru-RU"/>
        </w:rPr>
      </w:pPr>
    </w:p>
    <w:p w:rsidR="00CE1891" w:rsidRPr="00791AFA" w:rsidRDefault="00CE1891" w:rsidP="00CE1891">
      <w:pPr>
        <w:widowControl w:val="0"/>
        <w:ind w:firstLine="760"/>
        <w:jc w:val="both"/>
        <w:rPr>
          <w:sz w:val="28"/>
          <w:szCs w:val="28"/>
          <w:lang w:bidi="ru-RU"/>
        </w:rPr>
      </w:pPr>
      <w:r w:rsidRPr="00791AFA">
        <w:rPr>
          <w:iCs/>
          <w:sz w:val="28"/>
          <w:szCs w:val="28"/>
          <w:lang w:bidi="ru-RU"/>
        </w:rPr>
        <w:t>Т</w:t>
      </w:r>
      <w:r w:rsidRPr="00791AFA">
        <w:rPr>
          <w:iCs/>
          <w:sz w:val="28"/>
          <w:szCs w:val="28"/>
          <w:vertAlign w:val="superscript"/>
          <w:lang w:bidi="ru-RU"/>
        </w:rPr>
        <w:t>ср</w:t>
      </w:r>
      <w:r w:rsidRPr="00791AFA">
        <w:rPr>
          <w:iCs/>
          <w:sz w:val="28"/>
          <w:szCs w:val="28"/>
          <w:lang w:bidi="ru-RU"/>
        </w:rPr>
        <w:t xml:space="preserve"> </w:t>
      </w:r>
      <w:r w:rsidRPr="00791AFA">
        <w:rPr>
          <w:iCs/>
          <w:sz w:val="28"/>
          <w:szCs w:val="28"/>
          <w:vertAlign w:val="subscript"/>
          <w:lang w:val="en-US" w:bidi="ru-RU"/>
        </w:rPr>
        <w:t>Q</w:t>
      </w:r>
      <w:r w:rsidRPr="00791AFA">
        <w:rPr>
          <w:iCs/>
          <w:sz w:val="28"/>
          <w:szCs w:val="28"/>
          <w:vertAlign w:val="subscript"/>
          <w:lang w:bidi="ru-RU"/>
        </w:rPr>
        <w:t xml:space="preserve">ар </w:t>
      </w:r>
      <w:r w:rsidRPr="00791AFA">
        <w:rPr>
          <w:iCs/>
          <w:sz w:val="28"/>
          <w:szCs w:val="28"/>
          <w:lang w:bidi="ru-RU"/>
        </w:rPr>
        <w:t xml:space="preserve">= ∑ </w:t>
      </w:r>
      <w:r w:rsidRPr="00791AFA">
        <w:rPr>
          <w:iCs/>
          <w:sz w:val="28"/>
          <w:szCs w:val="28"/>
          <w:vertAlign w:val="superscript"/>
          <w:lang w:bidi="ru-RU"/>
        </w:rPr>
        <w:t>3</w:t>
      </w:r>
      <w:r w:rsidRPr="00791AFA">
        <w:rPr>
          <w:iCs/>
          <w:sz w:val="28"/>
          <w:szCs w:val="28"/>
          <w:lang w:bidi="ru-RU"/>
        </w:rPr>
        <w:t xml:space="preserve"> </w:t>
      </w:r>
      <w:r w:rsidRPr="00791AFA">
        <w:rPr>
          <w:iCs/>
          <w:sz w:val="28"/>
          <w:szCs w:val="28"/>
          <w:vertAlign w:val="subscript"/>
          <w:lang w:val="en-US" w:bidi="ru-RU"/>
        </w:rPr>
        <w:t>t</w:t>
      </w:r>
      <w:r w:rsidRPr="00791AFA">
        <w:rPr>
          <w:iCs/>
          <w:sz w:val="28"/>
          <w:szCs w:val="28"/>
          <w:vertAlign w:val="subscript"/>
          <w:lang w:bidi="ru-RU"/>
        </w:rPr>
        <w:t xml:space="preserve">=1 </w:t>
      </w:r>
      <w:r w:rsidRPr="00791AFA">
        <w:rPr>
          <w:iCs/>
          <w:sz w:val="28"/>
          <w:szCs w:val="28"/>
          <w:lang w:bidi="ru-RU"/>
        </w:rPr>
        <w:t xml:space="preserve">Т </w:t>
      </w:r>
      <w:r w:rsidRPr="00791AFA">
        <w:rPr>
          <w:iCs/>
          <w:sz w:val="28"/>
          <w:szCs w:val="28"/>
          <w:vertAlign w:val="subscript"/>
          <w:lang w:val="en-US" w:bidi="ru-RU"/>
        </w:rPr>
        <w:t>Q</w:t>
      </w:r>
      <w:r w:rsidRPr="00791AFA">
        <w:rPr>
          <w:iCs/>
          <w:sz w:val="28"/>
          <w:szCs w:val="28"/>
          <w:vertAlign w:val="subscript"/>
          <w:lang w:bidi="ru-RU"/>
        </w:rPr>
        <w:t>ар</w:t>
      </w:r>
      <w:r w:rsidRPr="00791AFA">
        <w:rPr>
          <w:iCs/>
          <w:sz w:val="28"/>
          <w:szCs w:val="28"/>
          <w:lang w:bidi="ru-RU"/>
        </w:rPr>
        <w:t>/3</w:t>
      </w:r>
    </w:p>
    <w:p w:rsidR="00CE1891" w:rsidRPr="00791AFA" w:rsidRDefault="00CE1891" w:rsidP="00CE1891">
      <w:pPr>
        <w:widowControl w:val="0"/>
        <w:tabs>
          <w:tab w:val="left" w:pos="3212"/>
          <w:tab w:val="left" w:pos="5631"/>
          <w:tab w:val="left" w:pos="8082"/>
          <w:tab w:val="left" w:pos="8666"/>
        </w:tabs>
        <w:ind w:firstLine="760"/>
        <w:jc w:val="both"/>
        <w:rPr>
          <w:sz w:val="28"/>
          <w:szCs w:val="28"/>
          <w:lang w:bidi="ru-RU"/>
        </w:rPr>
      </w:pPr>
    </w:p>
    <w:p w:rsidR="00CE1891" w:rsidRPr="00791AFA" w:rsidRDefault="00CE1891" w:rsidP="00CE1891">
      <w:pPr>
        <w:widowControl w:val="0"/>
        <w:tabs>
          <w:tab w:val="left" w:pos="3212"/>
          <w:tab w:val="left" w:pos="5631"/>
          <w:tab w:val="left" w:pos="8082"/>
          <w:tab w:val="left" w:pos="8666"/>
        </w:tabs>
        <w:ind w:firstLine="760"/>
        <w:jc w:val="both"/>
        <w:rPr>
          <w:sz w:val="28"/>
          <w:szCs w:val="28"/>
          <w:lang w:bidi="ru-RU"/>
        </w:rPr>
      </w:pPr>
      <w:r w:rsidRPr="00791AFA">
        <w:rPr>
          <w:iCs/>
          <w:sz w:val="28"/>
          <w:szCs w:val="28"/>
          <w:lang w:bidi="ru-RU"/>
        </w:rPr>
        <w:t>Т</w:t>
      </w:r>
      <w:r w:rsidRPr="00791AFA">
        <w:rPr>
          <w:iCs/>
          <w:sz w:val="28"/>
          <w:szCs w:val="28"/>
          <w:vertAlign w:val="superscript"/>
          <w:lang w:bidi="ru-RU"/>
        </w:rPr>
        <w:t>ср</w:t>
      </w:r>
      <w:r w:rsidRPr="00791AFA">
        <w:rPr>
          <w:iCs/>
          <w:sz w:val="28"/>
          <w:szCs w:val="28"/>
          <w:lang w:bidi="ru-RU"/>
        </w:rPr>
        <w:t xml:space="preserve"> </w:t>
      </w:r>
      <w:r w:rsidRPr="00791AFA">
        <w:rPr>
          <w:iCs/>
          <w:sz w:val="28"/>
          <w:szCs w:val="28"/>
          <w:vertAlign w:val="subscript"/>
          <w:lang w:val="en-US" w:bidi="ru-RU"/>
        </w:rPr>
        <w:t>Q</w:t>
      </w:r>
      <w:r w:rsidRPr="00791AFA">
        <w:rPr>
          <w:iCs/>
          <w:sz w:val="28"/>
          <w:szCs w:val="28"/>
          <w:vertAlign w:val="subscript"/>
          <w:lang w:bidi="ru-RU"/>
        </w:rPr>
        <w:t>ар</w:t>
      </w:r>
      <w:r w:rsidRPr="00791AFA">
        <w:rPr>
          <w:iCs/>
          <w:sz w:val="28"/>
          <w:szCs w:val="28"/>
          <w:lang w:bidi="ru-RU"/>
        </w:rPr>
        <w:t>= 3,18267/3=1,06089</w:t>
      </w:r>
    </w:p>
    <w:p w:rsidR="00CE1891" w:rsidRPr="00791AFA" w:rsidRDefault="00CE1891" w:rsidP="00CE1891">
      <w:pPr>
        <w:widowControl w:val="0"/>
        <w:tabs>
          <w:tab w:val="left" w:pos="3212"/>
          <w:tab w:val="left" w:pos="5631"/>
          <w:tab w:val="left" w:pos="8082"/>
          <w:tab w:val="left" w:pos="8666"/>
        </w:tabs>
        <w:ind w:firstLine="760"/>
        <w:jc w:val="both"/>
        <w:rPr>
          <w:sz w:val="28"/>
          <w:szCs w:val="28"/>
          <w:lang w:bidi="ru-RU"/>
        </w:rPr>
      </w:pPr>
      <w:r w:rsidRPr="00791AFA">
        <w:rPr>
          <w:sz w:val="28"/>
          <w:szCs w:val="28"/>
          <w:lang w:bidi="ru-RU"/>
        </w:rPr>
        <w:t>где:</w:t>
      </w:r>
    </w:p>
    <w:p w:rsidR="00CE1891" w:rsidRPr="00791AFA" w:rsidRDefault="00CE1891" w:rsidP="00CE1891">
      <w:pPr>
        <w:widowControl w:val="0"/>
        <w:ind w:firstLine="760"/>
        <w:jc w:val="both"/>
        <w:rPr>
          <w:sz w:val="28"/>
          <w:szCs w:val="28"/>
          <w:lang w:bidi="ru-RU"/>
        </w:rPr>
      </w:pPr>
      <w:r w:rsidRPr="00791AFA">
        <w:rPr>
          <w:iCs/>
          <w:sz w:val="28"/>
          <w:szCs w:val="28"/>
          <w:lang w:bidi="ru-RU"/>
        </w:rPr>
        <w:t xml:space="preserve">∑ </w:t>
      </w:r>
      <w:r w:rsidRPr="00791AFA">
        <w:rPr>
          <w:iCs/>
          <w:sz w:val="28"/>
          <w:szCs w:val="28"/>
          <w:vertAlign w:val="superscript"/>
          <w:lang w:bidi="ru-RU"/>
        </w:rPr>
        <w:t>3</w:t>
      </w:r>
      <w:r w:rsidRPr="00791AFA">
        <w:rPr>
          <w:iCs/>
          <w:sz w:val="28"/>
          <w:szCs w:val="28"/>
          <w:lang w:bidi="ru-RU"/>
        </w:rPr>
        <w:t xml:space="preserve"> </w:t>
      </w:r>
      <w:r w:rsidRPr="00791AFA">
        <w:rPr>
          <w:iCs/>
          <w:sz w:val="28"/>
          <w:szCs w:val="28"/>
          <w:vertAlign w:val="subscript"/>
          <w:lang w:val="en-US" w:bidi="ru-RU"/>
        </w:rPr>
        <w:t>t</w:t>
      </w:r>
      <w:r w:rsidRPr="00791AFA">
        <w:rPr>
          <w:iCs/>
          <w:sz w:val="28"/>
          <w:szCs w:val="28"/>
          <w:vertAlign w:val="subscript"/>
          <w:lang w:bidi="ru-RU"/>
        </w:rPr>
        <w:t xml:space="preserve">=1 </w:t>
      </w:r>
      <w:r w:rsidRPr="00791AFA">
        <w:rPr>
          <w:iCs/>
          <w:sz w:val="28"/>
          <w:szCs w:val="28"/>
          <w:lang w:bidi="ru-RU"/>
        </w:rPr>
        <w:t xml:space="preserve">Т </w:t>
      </w:r>
      <w:r w:rsidRPr="00791AFA">
        <w:rPr>
          <w:iCs/>
          <w:sz w:val="28"/>
          <w:szCs w:val="28"/>
          <w:vertAlign w:val="subscript"/>
          <w:lang w:val="en-US" w:bidi="ru-RU"/>
        </w:rPr>
        <w:t>Q</w:t>
      </w:r>
      <w:r w:rsidRPr="00791AFA">
        <w:rPr>
          <w:iCs/>
          <w:sz w:val="28"/>
          <w:szCs w:val="28"/>
          <w:vertAlign w:val="subscript"/>
          <w:lang w:bidi="ru-RU"/>
        </w:rPr>
        <w:t>ар</w:t>
      </w:r>
      <w:r w:rsidRPr="00791AFA">
        <w:rPr>
          <w:iCs/>
          <w:sz w:val="28"/>
          <w:szCs w:val="28"/>
          <w:lang w:bidi="ru-RU"/>
        </w:rPr>
        <w:t xml:space="preserve"> -</w:t>
      </w:r>
      <w:r w:rsidRPr="00791AFA">
        <w:rPr>
          <w:sz w:val="28"/>
          <w:szCs w:val="28"/>
          <w:lang w:bidi="ru-RU"/>
        </w:rPr>
        <w:t xml:space="preserve"> сумма темпов роста (снижения) объема древесины, подлежащего заготовке по договорам аренды лесных участков, находящихся в федеральной собственности, за три отчетных года, предшествующих прогнозируемому году (ед.);</w:t>
      </w:r>
    </w:p>
    <w:p w:rsidR="00CE1891" w:rsidRPr="00791AFA" w:rsidRDefault="00CE1891" w:rsidP="00CE1891">
      <w:pPr>
        <w:widowControl w:val="0"/>
        <w:ind w:firstLine="760"/>
        <w:jc w:val="both"/>
        <w:rPr>
          <w:sz w:val="28"/>
          <w:szCs w:val="28"/>
          <w:lang w:bidi="ru-RU"/>
        </w:rPr>
      </w:pPr>
      <w:r w:rsidRPr="00791AFA">
        <w:rPr>
          <w:iCs/>
          <w:sz w:val="28"/>
          <w:szCs w:val="28"/>
          <w:lang w:bidi="ru-RU"/>
        </w:rPr>
        <w:t xml:space="preserve">Т </w:t>
      </w:r>
      <w:r w:rsidRPr="00791AFA">
        <w:rPr>
          <w:iCs/>
          <w:sz w:val="28"/>
          <w:szCs w:val="28"/>
          <w:vertAlign w:val="subscript"/>
          <w:lang w:val="en-US" w:bidi="ru-RU"/>
        </w:rPr>
        <w:t>Q</w:t>
      </w:r>
      <w:r w:rsidRPr="00791AFA">
        <w:rPr>
          <w:iCs/>
          <w:sz w:val="28"/>
          <w:szCs w:val="28"/>
          <w:vertAlign w:val="subscript"/>
          <w:lang w:bidi="ru-RU"/>
        </w:rPr>
        <w:t>ар</w:t>
      </w:r>
      <w:r w:rsidRPr="00791AFA">
        <w:rPr>
          <w:iCs/>
          <w:sz w:val="28"/>
          <w:szCs w:val="28"/>
          <w:lang w:bidi="ru-RU"/>
        </w:rPr>
        <w:t xml:space="preserve"> - </w:t>
      </w:r>
      <w:r w:rsidRPr="00791AFA">
        <w:rPr>
          <w:sz w:val="28"/>
          <w:szCs w:val="28"/>
          <w:lang w:bidi="ru-RU"/>
        </w:rPr>
        <w:t>темп роста (снижения) объема древесины, подлежащего заготовке по договорам аренды лесных участков, находящихся в федеральной собственности,  за год (ед.), определяется по формуле:</w:t>
      </w:r>
    </w:p>
    <w:p w:rsidR="00CE1891" w:rsidRPr="00791AFA" w:rsidRDefault="00CE1891" w:rsidP="00CE1891">
      <w:pPr>
        <w:widowControl w:val="0"/>
        <w:ind w:firstLine="580"/>
        <w:jc w:val="both"/>
        <w:rPr>
          <w:iCs/>
          <w:sz w:val="28"/>
          <w:szCs w:val="28"/>
          <w:lang w:bidi="ru-RU"/>
        </w:rPr>
      </w:pPr>
    </w:p>
    <w:p w:rsidR="00CE1891" w:rsidRPr="00791AFA" w:rsidRDefault="00CE1891" w:rsidP="00CE1891">
      <w:pPr>
        <w:widowControl w:val="0"/>
        <w:ind w:firstLine="580"/>
        <w:jc w:val="both"/>
        <w:rPr>
          <w:iCs/>
          <w:sz w:val="28"/>
          <w:szCs w:val="28"/>
          <w:vertAlign w:val="subscript"/>
          <w:lang w:bidi="ru-RU"/>
        </w:rPr>
      </w:pPr>
      <w:r w:rsidRPr="00791AFA">
        <w:rPr>
          <w:iCs/>
          <w:sz w:val="28"/>
          <w:szCs w:val="28"/>
          <w:lang w:bidi="ru-RU"/>
        </w:rPr>
        <w:t xml:space="preserve">Т </w:t>
      </w:r>
      <w:r w:rsidRPr="00791AFA">
        <w:rPr>
          <w:iCs/>
          <w:sz w:val="28"/>
          <w:szCs w:val="28"/>
          <w:vertAlign w:val="subscript"/>
          <w:lang w:val="en-US" w:bidi="ru-RU"/>
        </w:rPr>
        <w:t>Q</w:t>
      </w:r>
      <w:r w:rsidRPr="00791AFA">
        <w:rPr>
          <w:iCs/>
          <w:sz w:val="28"/>
          <w:szCs w:val="28"/>
          <w:vertAlign w:val="subscript"/>
          <w:lang w:bidi="ru-RU"/>
        </w:rPr>
        <w:t>ар</w:t>
      </w:r>
      <w:r w:rsidRPr="00791AFA">
        <w:rPr>
          <w:iCs/>
          <w:sz w:val="28"/>
          <w:szCs w:val="28"/>
          <w:lang w:bidi="ru-RU"/>
        </w:rPr>
        <w:t xml:space="preserve"> = </w:t>
      </w:r>
      <w:r w:rsidRPr="00791AFA">
        <w:rPr>
          <w:iCs/>
          <w:sz w:val="28"/>
          <w:szCs w:val="28"/>
          <w:lang w:val="en-US" w:bidi="ru-RU"/>
        </w:rPr>
        <w:t>Q</w:t>
      </w:r>
      <w:r w:rsidRPr="00791AFA">
        <w:rPr>
          <w:iCs/>
          <w:sz w:val="28"/>
          <w:szCs w:val="28"/>
          <w:lang w:bidi="ru-RU"/>
        </w:rPr>
        <w:t xml:space="preserve"> </w:t>
      </w:r>
      <w:r w:rsidRPr="00791AFA">
        <w:rPr>
          <w:iCs/>
          <w:sz w:val="28"/>
          <w:szCs w:val="28"/>
          <w:vertAlign w:val="superscript"/>
          <w:lang w:val="en-US" w:bidi="ru-RU"/>
        </w:rPr>
        <w:t>n</w:t>
      </w:r>
      <w:r w:rsidRPr="00791AFA">
        <w:rPr>
          <w:iCs/>
          <w:sz w:val="28"/>
          <w:szCs w:val="28"/>
          <w:lang w:bidi="ru-RU"/>
        </w:rPr>
        <w:t xml:space="preserve"> </w:t>
      </w:r>
      <w:r w:rsidRPr="00791AFA">
        <w:rPr>
          <w:iCs/>
          <w:sz w:val="28"/>
          <w:szCs w:val="28"/>
          <w:vertAlign w:val="subscript"/>
          <w:lang w:bidi="ru-RU"/>
        </w:rPr>
        <w:t xml:space="preserve">ар / </w:t>
      </w:r>
      <w:r w:rsidRPr="00791AFA">
        <w:rPr>
          <w:iCs/>
          <w:sz w:val="28"/>
          <w:szCs w:val="28"/>
          <w:lang w:val="en-US" w:bidi="ru-RU"/>
        </w:rPr>
        <w:t>Q</w:t>
      </w:r>
      <w:r w:rsidRPr="00791AFA">
        <w:rPr>
          <w:iCs/>
          <w:sz w:val="28"/>
          <w:szCs w:val="28"/>
          <w:lang w:bidi="ru-RU"/>
        </w:rPr>
        <w:t xml:space="preserve"> </w:t>
      </w:r>
      <w:r w:rsidRPr="00791AFA">
        <w:rPr>
          <w:iCs/>
          <w:sz w:val="28"/>
          <w:szCs w:val="28"/>
          <w:vertAlign w:val="superscript"/>
          <w:lang w:val="en-US" w:bidi="ru-RU"/>
        </w:rPr>
        <w:t>n</w:t>
      </w:r>
      <w:r w:rsidRPr="00791AFA">
        <w:rPr>
          <w:iCs/>
          <w:sz w:val="28"/>
          <w:szCs w:val="28"/>
          <w:vertAlign w:val="superscript"/>
          <w:lang w:bidi="ru-RU"/>
        </w:rPr>
        <w:t>-1</w:t>
      </w:r>
      <w:r w:rsidRPr="00791AFA">
        <w:rPr>
          <w:iCs/>
          <w:sz w:val="28"/>
          <w:szCs w:val="28"/>
          <w:lang w:bidi="ru-RU"/>
        </w:rPr>
        <w:t xml:space="preserve"> </w:t>
      </w:r>
      <w:r w:rsidRPr="00791AFA">
        <w:rPr>
          <w:iCs/>
          <w:sz w:val="28"/>
          <w:szCs w:val="28"/>
          <w:vertAlign w:val="subscript"/>
          <w:lang w:val="en-US" w:bidi="ru-RU"/>
        </w:rPr>
        <w:t>Q</w:t>
      </w:r>
      <w:r w:rsidRPr="00791AFA">
        <w:rPr>
          <w:iCs/>
          <w:sz w:val="28"/>
          <w:szCs w:val="28"/>
          <w:vertAlign w:val="subscript"/>
          <w:lang w:bidi="ru-RU"/>
        </w:rPr>
        <w:t>ар</w:t>
      </w:r>
    </w:p>
    <w:p w:rsidR="00CE1891" w:rsidRPr="00791AFA" w:rsidRDefault="00CE1891" w:rsidP="00CE1891">
      <w:pPr>
        <w:widowControl w:val="0"/>
        <w:ind w:firstLine="580"/>
        <w:jc w:val="both"/>
        <w:rPr>
          <w:sz w:val="28"/>
          <w:szCs w:val="28"/>
          <w:lang w:bidi="ru-RU"/>
        </w:rPr>
      </w:pPr>
    </w:p>
    <w:p w:rsidR="00CE1891" w:rsidRPr="00791AFA" w:rsidRDefault="00CE1891" w:rsidP="00CE1891">
      <w:pPr>
        <w:widowControl w:val="0"/>
        <w:ind w:firstLine="580"/>
        <w:jc w:val="both"/>
        <w:rPr>
          <w:sz w:val="28"/>
          <w:szCs w:val="28"/>
          <w:lang w:bidi="ru-RU"/>
        </w:rPr>
      </w:pPr>
      <w:r w:rsidRPr="00791AFA">
        <w:rPr>
          <w:sz w:val="28"/>
          <w:szCs w:val="28"/>
          <w:lang w:bidi="ru-RU"/>
        </w:rPr>
        <w:t>где:</w:t>
      </w:r>
    </w:p>
    <w:p w:rsidR="00CE1891" w:rsidRPr="00791AFA" w:rsidRDefault="00CE1891" w:rsidP="00CE1891">
      <w:pPr>
        <w:widowControl w:val="0"/>
        <w:ind w:firstLine="580"/>
        <w:jc w:val="both"/>
        <w:rPr>
          <w:sz w:val="28"/>
          <w:szCs w:val="28"/>
          <w:lang w:bidi="ru-RU"/>
        </w:rPr>
      </w:pPr>
      <w:r w:rsidRPr="00791AFA">
        <w:rPr>
          <w:iCs/>
          <w:sz w:val="28"/>
          <w:szCs w:val="28"/>
          <w:lang w:val="en-US" w:bidi="ru-RU"/>
        </w:rPr>
        <w:t>Q</w:t>
      </w:r>
      <w:r w:rsidRPr="00791AFA">
        <w:rPr>
          <w:iCs/>
          <w:sz w:val="28"/>
          <w:szCs w:val="28"/>
          <w:lang w:bidi="ru-RU"/>
        </w:rPr>
        <w:t xml:space="preserve"> </w:t>
      </w:r>
      <w:r w:rsidRPr="00791AFA">
        <w:rPr>
          <w:iCs/>
          <w:sz w:val="28"/>
          <w:szCs w:val="28"/>
          <w:vertAlign w:val="superscript"/>
          <w:lang w:val="en-US" w:bidi="ru-RU"/>
        </w:rPr>
        <w:t>n</w:t>
      </w:r>
      <w:r w:rsidRPr="00791AFA">
        <w:rPr>
          <w:iCs/>
          <w:sz w:val="28"/>
          <w:szCs w:val="28"/>
          <w:lang w:bidi="ru-RU"/>
        </w:rPr>
        <w:t xml:space="preserve"> </w:t>
      </w:r>
      <w:r w:rsidRPr="00791AFA">
        <w:rPr>
          <w:iCs/>
          <w:sz w:val="28"/>
          <w:szCs w:val="28"/>
          <w:vertAlign w:val="subscript"/>
          <w:lang w:bidi="ru-RU"/>
        </w:rPr>
        <w:t>ар</w:t>
      </w:r>
      <w:r w:rsidRPr="00791AFA">
        <w:rPr>
          <w:iCs/>
          <w:sz w:val="28"/>
          <w:szCs w:val="28"/>
          <w:lang w:bidi="ru-RU"/>
        </w:rPr>
        <w:t xml:space="preserve"> -</w:t>
      </w:r>
      <w:r w:rsidRPr="00791AFA">
        <w:rPr>
          <w:iCs/>
          <w:sz w:val="28"/>
          <w:szCs w:val="28"/>
          <w:vertAlign w:val="subscript"/>
          <w:lang w:bidi="ru-RU"/>
        </w:rPr>
        <w:t xml:space="preserve"> </w:t>
      </w:r>
      <w:r w:rsidRPr="00791AFA">
        <w:rPr>
          <w:sz w:val="28"/>
          <w:szCs w:val="28"/>
          <w:lang w:bidi="ru-RU"/>
        </w:rPr>
        <w:t>объем древесины, подлежащий заготовке по договорам аренды лесных участков, находящихся в федеральной собственности, за год (ед.);</w:t>
      </w:r>
    </w:p>
    <w:p w:rsidR="00CE1891" w:rsidRPr="00791AFA" w:rsidRDefault="00CE1891" w:rsidP="00CE1891">
      <w:pPr>
        <w:widowControl w:val="0"/>
        <w:ind w:firstLine="580"/>
        <w:jc w:val="both"/>
        <w:rPr>
          <w:sz w:val="28"/>
          <w:szCs w:val="28"/>
          <w:lang w:bidi="ru-RU"/>
        </w:rPr>
      </w:pPr>
      <w:r w:rsidRPr="00791AFA">
        <w:rPr>
          <w:iCs/>
          <w:sz w:val="28"/>
          <w:szCs w:val="28"/>
          <w:lang w:val="en-US" w:bidi="ru-RU"/>
        </w:rPr>
        <w:t>Q</w:t>
      </w:r>
      <w:r w:rsidRPr="00791AFA">
        <w:rPr>
          <w:iCs/>
          <w:sz w:val="28"/>
          <w:szCs w:val="28"/>
          <w:lang w:bidi="ru-RU"/>
        </w:rPr>
        <w:t xml:space="preserve"> </w:t>
      </w:r>
      <w:r w:rsidRPr="00791AFA">
        <w:rPr>
          <w:iCs/>
          <w:sz w:val="28"/>
          <w:szCs w:val="28"/>
          <w:vertAlign w:val="superscript"/>
          <w:lang w:val="en-US" w:bidi="ru-RU"/>
        </w:rPr>
        <w:t>n</w:t>
      </w:r>
      <w:r w:rsidRPr="00791AFA">
        <w:rPr>
          <w:iCs/>
          <w:sz w:val="28"/>
          <w:szCs w:val="28"/>
          <w:vertAlign w:val="superscript"/>
          <w:lang w:bidi="ru-RU"/>
        </w:rPr>
        <w:t>-1</w:t>
      </w:r>
      <w:r w:rsidRPr="00791AFA">
        <w:rPr>
          <w:iCs/>
          <w:sz w:val="28"/>
          <w:szCs w:val="28"/>
          <w:lang w:bidi="ru-RU"/>
        </w:rPr>
        <w:t xml:space="preserve"> </w:t>
      </w:r>
      <w:r w:rsidRPr="00791AFA">
        <w:rPr>
          <w:iCs/>
          <w:sz w:val="28"/>
          <w:szCs w:val="28"/>
          <w:vertAlign w:val="subscript"/>
          <w:lang w:val="en-US" w:bidi="ru-RU"/>
        </w:rPr>
        <w:t>Q</w:t>
      </w:r>
      <w:r w:rsidRPr="00791AFA">
        <w:rPr>
          <w:iCs/>
          <w:sz w:val="28"/>
          <w:szCs w:val="28"/>
          <w:vertAlign w:val="subscript"/>
          <w:lang w:bidi="ru-RU"/>
        </w:rPr>
        <w:t>ар</w:t>
      </w:r>
      <w:r w:rsidRPr="00791AFA">
        <w:rPr>
          <w:iCs/>
          <w:sz w:val="28"/>
          <w:szCs w:val="28"/>
          <w:lang w:bidi="ru-RU"/>
        </w:rPr>
        <w:t xml:space="preserve"> -</w:t>
      </w:r>
      <w:r w:rsidRPr="00791AFA">
        <w:rPr>
          <w:sz w:val="28"/>
          <w:szCs w:val="28"/>
          <w:lang w:bidi="ru-RU"/>
        </w:rPr>
        <w:t xml:space="preserve"> объем древесины, подлежащий заготовке по договорам аренды лесных участков, находящихся в федеральной собственности, за предыдущий год (ед.);</w:t>
      </w:r>
    </w:p>
    <w:p w:rsidR="00CE1891" w:rsidRPr="00791AFA" w:rsidRDefault="00CE1891" w:rsidP="00CE1891">
      <w:pPr>
        <w:widowControl w:val="0"/>
        <w:ind w:firstLine="580"/>
        <w:jc w:val="both"/>
        <w:rPr>
          <w:sz w:val="28"/>
          <w:szCs w:val="28"/>
          <w:lang w:bidi="ru-RU"/>
        </w:rPr>
      </w:pPr>
    </w:p>
    <w:p w:rsidR="00CE1891" w:rsidRPr="00791AFA" w:rsidRDefault="00CE1891" w:rsidP="00CE1891">
      <w:pPr>
        <w:ind w:firstLine="708"/>
        <w:jc w:val="both"/>
        <w:rPr>
          <w:sz w:val="28"/>
          <w:szCs w:val="28"/>
          <w:vertAlign w:val="subscript"/>
        </w:rPr>
      </w:pPr>
      <w:r w:rsidRPr="00791AFA">
        <w:rPr>
          <w:iCs/>
          <w:sz w:val="28"/>
          <w:szCs w:val="28"/>
          <w:lang w:bidi="ru-RU"/>
        </w:rPr>
        <w:t xml:space="preserve">Т </w:t>
      </w:r>
      <w:r w:rsidRPr="00791AFA">
        <w:rPr>
          <w:iCs/>
          <w:sz w:val="28"/>
          <w:szCs w:val="28"/>
          <w:vertAlign w:val="subscript"/>
          <w:lang w:val="en-US" w:bidi="ru-RU"/>
        </w:rPr>
        <w:t>Q</w:t>
      </w:r>
      <w:r w:rsidRPr="00791AFA">
        <w:rPr>
          <w:iCs/>
          <w:sz w:val="28"/>
          <w:szCs w:val="28"/>
          <w:vertAlign w:val="subscript"/>
          <w:lang w:bidi="ru-RU"/>
        </w:rPr>
        <w:t>ар2020</w:t>
      </w:r>
      <w:r w:rsidRPr="00791AFA">
        <w:rPr>
          <w:iCs/>
          <w:sz w:val="28"/>
          <w:szCs w:val="28"/>
          <w:lang w:bidi="ru-RU"/>
        </w:rPr>
        <w:t>=6 377 400</w:t>
      </w:r>
      <w:r w:rsidRPr="00791AFA">
        <w:rPr>
          <w:sz w:val="28"/>
          <w:szCs w:val="28"/>
        </w:rPr>
        <w:t>(куб.м)</w:t>
      </w:r>
      <w:r w:rsidRPr="00791AFA">
        <w:rPr>
          <w:sz w:val="28"/>
          <w:szCs w:val="28"/>
          <w:vertAlign w:val="subscript"/>
        </w:rPr>
        <w:t xml:space="preserve"> </w:t>
      </w:r>
      <w:r w:rsidRPr="00791AFA">
        <w:rPr>
          <w:iCs/>
          <w:sz w:val="28"/>
          <w:szCs w:val="28"/>
          <w:lang w:bidi="ru-RU"/>
        </w:rPr>
        <w:t>/6 044 600</w:t>
      </w:r>
      <w:r w:rsidRPr="00791AFA">
        <w:rPr>
          <w:sz w:val="28"/>
          <w:szCs w:val="28"/>
        </w:rPr>
        <w:t>(куб.м)=1,05505</w:t>
      </w:r>
    </w:p>
    <w:p w:rsidR="00CE1891" w:rsidRPr="00791AFA" w:rsidRDefault="00CE1891" w:rsidP="00CE1891">
      <w:pPr>
        <w:ind w:firstLine="708"/>
        <w:jc w:val="both"/>
        <w:rPr>
          <w:sz w:val="28"/>
          <w:szCs w:val="28"/>
          <w:vertAlign w:val="subscript"/>
        </w:rPr>
      </w:pPr>
      <w:r w:rsidRPr="00791AFA">
        <w:rPr>
          <w:iCs/>
          <w:sz w:val="28"/>
          <w:szCs w:val="28"/>
          <w:lang w:bidi="ru-RU"/>
        </w:rPr>
        <w:t xml:space="preserve">Т </w:t>
      </w:r>
      <w:r w:rsidRPr="00791AFA">
        <w:rPr>
          <w:iCs/>
          <w:sz w:val="28"/>
          <w:szCs w:val="28"/>
          <w:vertAlign w:val="subscript"/>
          <w:lang w:val="en-US" w:bidi="ru-RU"/>
        </w:rPr>
        <w:t>Q</w:t>
      </w:r>
      <w:r w:rsidRPr="00791AFA">
        <w:rPr>
          <w:iCs/>
          <w:sz w:val="28"/>
          <w:szCs w:val="28"/>
          <w:vertAlign w:val="subscript"/>
          <w:lang w:bidi="ru-RU"/>
        </w:rPr>
        <w:t>ар2019</w:t>
      </w:r>
      <w:r w:rsidRPr="00791AFA">
        <w:rPr>
          <w:iCs/>
          <w:sz w:val="28"/>
          <w:szCs w:val="28"/>
          <w:lang w:bidi="ru-RU"/>
        </w:rPr>
        <w:t>=6 044 600</w:t>
      </w:r>
      <w:r w:rsidRPr="00791AFA">
        <w:rPr>
          <w:sz w:val="28"/>
          <w:szCs w:val="28"/>
        </w:rPr>
        <w:t>(куб.м)</w:t>
      </w:r>
      <w:r w:rsidRPr="00791AFA">
        <w:rPr>
          <w:sz w:val="28"/>
          <w:szCs w:val="28"/>
          <w:vertAlign w:val="subscript"/>
        </w:rPr>
        <w:t xml:space="preserve"> </w:t>
      </w:r>
      <w:r w:rsidRPr="00791AFA">
        <w:rPr>
          <w:iCs/>
          <w:sz w:val="28"/>
          <w:szCs w:val="28"/>
          <w:lang w:bidi="ru-RU"/>
        </w:rPr>
        <w:t>/5 899 000</w:t>
      </w:r>
      <w:r w:rsidRPr="00791AFA">
        <w:rPr>
          <w:sz w:val="28"/>
          <w:szCs w:val="28"/>
        </w:rPr>
        <w:t>(куб.м)=1,02468</w:t>
      </w:r>
    </w:p>
    <w:p w:rsidR="00CE1891" w:rsidRPr="00791AFA" w:rsidRDefault="00CE1891" w:rsidP="00CE1891">
      <w:pPr>
        <w:ind w:firstLine="708"/>
        <w:jc w:val="both"/>
        <w:rPr>
          <w:sz w:val="28"/>
          <w:szCs w:val="28"/>
          <w:vertAlign w:val="subscript"/>
        </w:rPr>
      </w:pPr>
      <w:r w:rsidRPr="00791AFA">
        <w:rPr>
          <w:iCs/>
          <w:sz w:val="28"/>
          <w:szCs w:val="28"/>
          <w:lang w:bidi="ru-RU"/>
        </w:rPr>
        <w:lastRenderedPageBreak/>
        <w:t xml:space="preserve">Т </w:t>
      </w:r>
      <w:r w:rsidRPr="00791AFA">
        <w:rPr>
          <w:iCs/>
          <w:sz w:val="28"/>
          <w:szCs w:val="28"/>
          <w:vertAlign w:val="subscript"/>
          <w:lang w:val="en-US" w:bidi="ru-RU"/>
        </w:rPr>
        <w:t>Q</w:t>
      </w:r>
      <w:r w:rsidRPr="00791AFA">
        <w:rPr>
          <w:iCs/>
          <w:sz w:val="28"/>
          <w:szCs w:val="28"/>
          <w:vertAlign w:val="subscript"/>
          <w:lang w:bidi="ru-RU"/>
        </w:rPr>
        <w:t>ар2018</w:t>
      </w:r>
      <w:r w:rsidRPr="00791AFA">
        <w:rPr>
          <w:iCs/>
          <w:sz w:val="28"/>
          <w:szCs w:val="28"/>
          <w:lang w:bidi="ru-RU"/>
        </w:rPr>
        <w:t>=5 899 000</w:t>
      </w:r>
      <w:r w:rsidRPr="00791AFA">
        <w:rPr>
          <w:sz w:val="28"/>
          <w:szCs w:val="28"/>
        </w:rPr>
        <w:t>(куб.м)/</w:t>
      </w:r>
      <w:r w:rsidRPr="00791AFA">
        <w:rPr>
          <w:iCs/>
          <w:sz w:val="28"/>
          <w:szCs w:val="28"/>
          <w:lang w:bidi="ru-RU"/>
        </w:rPr>
        <w:t>5 348 400</w:t>
      </w:r>
      <w:r w:rsidRPr="00791AFA">
        <w:rPr>
          <w:sz w:val="28"/>
          <w:szCs w:val="28"/>
        </w:rPr>
        <w:t>(куб.м)=1,10294</w:t>
      </w:r>
    </w:p>
    <w:p w:rsidR="00CE1891" w:rsidRPr="00791AFA" w:rsidRDefault="00CE1891" w:rsidP="00CE1891">
      <w:pPr>
        <w:ind w:firstLine="708"/>
        <w:jc w:val="both"/>
        <w:rPr>
          <w:sz w:val="28"/>
          <w:szCs w:val="28"/>
        </w:rPr>
      </w:pPr>
    </w:p>
    <w:p w:rsidR="00CE1891" w:rsidRPr="00791AFA" w:rsidRDefault="00CE1891" w:rsidP="00CE1891">
      <w:pPr>
        <w:ind w:firstLine="708"/>
        <w:jc w:val="both"/>
        <w:rPr>
          <w:sz w:val="28"/>
          <w:szCs w:val="28"/>
        </w:rPr>
      </w:pPr>
      <w:r w:rsidRPr="00791AFA">
        <w:rPr>
          <w:iCs/>
          <w:sz w:val="28"/>
          <w:szCs w:val="28"/>
          <w:lang w:bidi="ru-RU"/>
        </w:rPr>
        <w:t xml:space="preserve">∑ </w:t>
      </w:r>
      <w:r w:rsidRPr="00791AFA">
        <w:rPr>
          <w:iCs/>
          <w:sz w:val="28"/>
          <w:szCs w:val="28"/>
          <w:vertAlign w:val="superscript"/>
          <w:lang w:bidi="ru-RU"/>
        </w:rPr>
        <w:t>3</w:t>
      </w:r>
      <w:r w:rsidRPr="00791AFA">
        <w:rPr>
          <w:iCs/>
          <w:sz w:val="28"/>
          <w:szCs w:val="28"/>
          <w:lang w:bidi="ru-RU"/>
        </w:rPr>
        <w:t xml:space="preserve"> </w:t>
      </w:r>
      <w:r w:rsidRPr="00791AFA">
        <w:rPr>
          <w:iCs/>
          <w:sz w:val="28"/>
          <w:szCs w:val="28"/>
          <w:vertAlign w:val="subscript"/>
          <w:lang w:val="en-US" w:bidi="ru-RU"/>
        </w:rPr>
        <w:t>t</w:t>
      </w:r>
      <w:r w:rsidRPr="00791AFA">
        <w:rPr>
          <w:iCs/>
          <w:sz w:val="28"/>
          <w:szCs w:val="28"/>
          <w:vertAlign w:val="subscript"/>
          <w:lang w:bidi="ru-RU"/>
        </w:rPr>
        <w:t xml:space="preserve">=1 </w:t>
      </w:r>
      <w:r w:rsidRPr="00791AFA">
        <w:rPr>
          <w:iCs/>
          <w:sz w:val="28"/>
          <w:szCs w:val="28"/>
          <w:lang w:bidi="ru-RU"/>
        </w:rPr>
        <w:t xml:space="preserve">Т </w:t>
      </w:r>
      <w:r w:rsidRPr="00791AFA">
        <w:rPr>
          <w:iCs/>
          <w:sz w:val="28"/>
          <w:szCs w:val="28"/>
          <w:vertAlign w:val="subscript"/>
          <w:lang w:val="en-US" w:bidi="ru-RU"/>
        </w:rPr>
        <w:t>Q</w:t>
      </w:r>
      <w:r w:rsidRPr="00791AFA">
        <w:rPr>
          <w:iCs/>
          <w:sz w:val="28"/>
          <w:szCs w:val="28"/>
          <w:vertAlign w:val="subscript"/>
          <w:lang w:bidi="ru-RU"/>
        </w:rPr>
        <w:t>ар</w:t>
      </w:r>
      <w:r w:rsidRPr="00791AFA">
        <w:rPr>
          <w:iCs/>
          <w:sz w:val="28"/>
          <w:szCs w:val="28"/>
          <w:lang w:bidi="ru-RU"/>
        </w:rPr>
        <w:t xml:space="preserve"> = 1,05505+1,02468+1,10294=3,18267</w:t>
      </w:r>
    </w:p>
    <w:p w:rsidR="00CE1891" w:rsidRPr="00791AFA" w:rsidRDefault="00CE1891" w:rsidP="00CE1891">
      <w:pPr>
        <w:ind w:firstLine="708"/>
        <w:jc w:val="both"/>
        <w:rPr>
          <w:sz w:val="28"/>
          <w:szCs w:val="28"/>
        </w:rPr>
      </w:pPr>
    </w:p>
    <w:p w:rsidR="00CE1891" w:rsidRPr="004448B3" w:rsidRDefault="00CE1891" w:rsidP="00CE1891">
      <w:pPr>
        <w:ind w:firstLine="708"/>
        <w:jc w:val="both"/>
        <w:rPr>
          <w:sz w:val="28"/>
          <w:szCs w:val="28"/>
        </w:rPr>
      </w:pPr>
      <w:r w:rsidRPr="004448B3">
        <w:rPr>
          <w:sz w:val="28"/>
          <w:szCs w:val="28"/>
        </w:rPr>
        <w:t xml:space="preserve">В соответствии с постановлением Правительства Российской Федерации от 22.05.2007 № 310 «О ставках платы за единицу объема лесных ресурсов и ставках платы за единицу площади лесного участка, находящегося в федеральной собственности» </w:t>
      </w:r>
    </w:p>
    <w:p w:rsidR="00CE1891" w:rsidRPr="004448B3" w:rsidRDefault="00CE1891" w:rsidP="00CE1891">
      <w:pPr>
        <w:ind w:firstLine="708"/>
        <w:jc w:val="both"/>
        <w:rPr>
          <w:rFonts w:eastAsia="Calibri"/>
          <w:sz w:val="28"/>
        </w:rPr>
      </w:pPr>
      <w:r w:rsidRPr="004448B3">
        <w:rPr>
          <w:rFonts w:eastAsia="Calibri"/>
          <w:sz w:val="28"/>
        </w:rPr>
        <w:t>Средний коэффициент превышения рассчитывается на основе формы отчета 1-ОИП «Сведения о доходах лесного хозяйства и их распределении по получателям», утвержденной приказом Минприроды России от 28.12.2015 № 565.</w:t>
      </w:r>
    </w:p>
    <w:p w:rsidR="00CE1891" w:rsidRPr="004448B3" w:rsidRDefault="00CE1891" w:rsidP="00CE1891">
      <w:pPr>
        <w:rPr>
          <w:rFonts w:eastAsia="Calibri"/>
          <w:sz w:val="28"/>
        </w:rPr>
      </w:pPr>
      <w:r w:rsidRPr="004448B3">
        <w:rPr>
          <w:rFonts w:eastAsia="Calibri"/>
          <w:sz w:val="28"/>
        </w:rPr>
        <w:t>К</w:t>
      </w:r>
      <w:r w:rsidRPr="004448B3">
        <w:rPr>
          <w:rFonts w:eastAsia="Calibri"/>
          <w:sz w:val="28"/>
          <w:vertAlign w:val="subscript"/>
        </w:rPr>
        <w:t>3</w:t>
      </w:r>
      <w:r w:rsidRPr="004448B3">
        <w:rPr>
          <w:rFonts w:eastAsia="Calibri"/>
          <w:sz w:val="28"/>
        </w:rPr>
        <w:t>=Св-Си/См-Си, где</w:t>
      </w:r>
    </w:p>
    <w:p w:rsidR="00CE1891" w:rsidRPr="004448B3" w:rsidRDefault="00CE1891" w:rsidP="00CE1891">
      <w:pPr>
        <w:rPr>
          <w:rFonts w:eastAsia="Calibri"/>
          <w:sz w:val="28"/>
        </w:rPr>
      </w:pPr>
      <w:r w:rsidRPr="004448B3">
        <w:rPr>
          <w:rFonts w:eastAsia="Calibri"/>
          <w:sz w:val="28"/>
        </w:rPr>
        <w:t>К</w:t>
      </w:r>
      <w:r w:rsidRPr="004448B3">
        <w:rPr>
          <w:rFonts w:eastAsia="Calibri"/>
          <w:sz w:val="28"/>
          <w:vertAlign w:val="subscript"/>
        </w:rPr>
        <w:t>3</w:t>
      </w:r>
      <w:r w:rsidRPr="004448B3">
        <w:rPr>
          <w:rFonts w:eastAsia="Calibri"/>
          <w:sz w:val="28"/>
        </w:rPr>
        <w:t>- средний коэффициент превышения размера арендной платы;</w:t>
      </w:r>
    </w:p>
    <w:p w:rsidR="00CE1891" w:rsidRPr="004448B3" w:rsidRDefault="00CE1891" w:rsidP="00CE1891">
      <w:pPr>
        <w:rPr>
          <w:rFonts w:eastAsia="Calibri"/>
          <w:sz w:val="28"/>
        </w:rPr>
      </w:pPr>
      <w:r w:rsidRPr="004448B3">
        <w:rPr>
          <w:rFonts w:eastAsia="Calibri"/>
          <w:sz w:val="28"/>
        </w:rPr>
        <w:t>Св-сумма причитающихся платежей на отчетный год по договорам аренды в части заготовки древесины;</w:t>
      </w:r>
    </w:p>
    <w:p w:rsidR="00CE1891" w:rsidRPr="004448B3" w:rsidRDefault="00CE1891" w:rsidP="00CE1891">
      <w:pPr>
        <w:rPr>
          <w:rFonts w:eastAsia="Calibri"/>
          <w:sz w:val="28"/>
        </w:rPr>
      </w:pPr>
      <w:r w:rsidRPr="004448B3">
        <w:rPr>
          <w:rFonts w:eastAsia="Calibri"/>
          <w:sz w:val="28"/>
        </w:rPr>
        <w:t>Си- сумма причитающихся платежей на отчетный год по инвестиционным проектам;</w:t>
      </w:r>
    </w:p>
    <w:p w:rsidR="00CE1891" w:rsidRPr="004448B3" w:rsidRDefault="00CE1891" w:rsidP="00CE1891">
      <w:pPr>
        <w:rPr>
          <w:rFonts w:eastAsia="Calibri"/>
          <w:sz w:val="28"/>
        </w:rPr>
      </w:pPr>
      <w:r w:rsidRPr="004448B3">
        <w:rPr>
          <w:rFonts w:eastAsia="Calibri"/>
          <w:sz w:val="28"/>
        </w:rPr>
        <w:t>См- сумма причитающихся платежей на отчетный год по договорам аренды в части заготовки древесины по минимальным размерам арендной платы;</w:t>
      </w:r>
    </w:p>
    <w:p w:rsidR="00CE1891" w:rsidRPr="004448B3" w:rsidRDefault="00CE1891" w:rsidP="00CE1891">
      <w:pPr>
        <w:rPr>
          <w:rFonts w:eastAsia="Calibri"/>
          <w:sz w:val="28"/>
        </w:rPr>
      </w:pPr>
      <w:r w:rsidRPr="004448B3">
        <w:rPr>
          <w:rFonts w:eastAsia="Calibri"/>
          <w:sz w:val="28"/>
        </w:rPr>
        <w:t>Св=</w:t>
      </w:r>
      <w:r>
        <w:rPr>
          <w:rFonts w:eastAsia="Calibri"/>
          <w:sz w:val="28"/>
        </w:rPr>
        <w:t xml:space="preserve">1 019 685 200 </w:t>
      </w:r>
      <w:r w:rsidRPr="004448B3">
        <w:rPr>
          <w:rFonts w:eastAsia="Calibri"/>
          <w:sz w:val="28"/>
        </w:rPr>
        <w:t>руб.</w:t>
      </w:r>
    </w:p>
    <w:p w:rsidR="00CE1891" w:rsidRPr="004448B3" w:rsidRDefault="00CE1891" w:rsidP="00CE1891">
      <w:pPr>
        <w:rPr>
          <w:rFonts w:eastAsia="Calibri"/>
          <w:sz w:val="28"/>
        </w:rPr>
      </w:pPr>
      <w:r w:rsidRPr="004448B3">
        <w:rPr>
          <w:rFonts w:eastAsia="Calibri"/>
          <w:sz w:val="28"/>
        </w:rPr>
        <w:t>Си=</w:t>
      </w:r>
      <w:r>
        <w:rPr>
          <w:rFonts w:eastAsia="Calibri"/>
          <w:sz w:val="28"/>
        </w:rPr>
        <w:t xml:space="preserve">152 223 800 </w:t>
      </w:r>
      <w:r w:rsidRPr="004448B3">
        <w:rPr>
          <w:rFonts w:eastAsia="Calibri"/>
          <w:sz w:val="28"/>
        </w:rPr>
        <w:t>руб.</w:t>
      </w:r>
    </w:p>
    <w:p w:rsidR="00CE1891" w:rsidRPr="004448B3" w:rsidRDefault="00CE1891" w:rsidP="00CE1891">
      <w:pPr>
        <w:rPr>
          <w:rFonts w:eastAsia="Calibri"/>
          <w:sz w:val="28"/>
        </w:rPr>
      </w:pPr>
      <w:r w:rsidRPr="004448B3">
        <w:rPr>
          <w:rFonts w:eastAsia="Calibri"/>
          <w:sz w:val="28"/>
        </w:rPr>
        <w:t>См=</w:t>
      </w:r>
      <w:r>
        <w:rPr>
          <w:rFonts w:eastAsia="Calibri"/>
          <w:sz w:val="28"/>
        </w:rPr>
        <w:t>652 278 900</w:t>
      </w:r>
      <w:r w:rsidRPr="004448B3">
        <w:rPr>
          <w:rFonts w:eastAsia="Calibri"/>
          <w:sz w:val="28"/>
        </w:rPr>
        <w:t xml:space="preserve"> руб.</w:t>
      </w:r>
    </w:p>
    <w:p w:rsidR="00CE1891" w:rsidRPr="004448B3" w:rsidRDefault="00CE1891" w:rsidP="00CE1891">
      <w:pPr>
        <w:rPr>
          <w:rFonts w:eastAsia="Calibri"/>
          <w:sz w:val="28"/>
        </w:rPr>
      </w:pPr>
      <w:r w:rsidRPr="004448B3">
        <w:rPr>
          <w:rFonts w:eastAsia="Calibri"/>
          <w:sz w:val="28"/>
        </w:rPr>
        <w:t>Расчет:</w:t>
      </w:r>
    </w:p>
    <w:p w:rsidR="00CE1891" w:rsidRPr="004448B3" w:rsidRDefault="00CE1891" w:rsidP="00CE1891">
      <w:pPr>
        <w:rPr>
          <w:rFonts w:eastAsia="Calibri"/>
          <w:sz w:val="28"/>
        </w:rPr>
      </w:pPr>
      <w:r w:rsidRPr="004448B3">
        <w:rPr>
          <w:rFonts w:eastAsia="Calibri"/>
          <w:sz w:val="28"/>
        </w:rPr>
        <w:t>К=</w:t>
      </w:r>
      <w:r>
        <w:rPr>
          <w:rFonts w:eastAsia="Calibri"/>
          <w:sz w:val="28"/>
        </w:rPr>
        <w:t xml:space="preserve">1 019 685 200 </w:t>
      </w:r>
      <w:r w:rsidRPr="004448B3">
        <w:rPr>
          <w:rFonts w:eastAsia="Calibri"/>
          <w:sz w:val="28"/>
        </w:rPr>
        <w:t xml:space="preserve"> </w:t>
      </w:r>
      <w:r>
        <w:rPr>
          <w:rFonts w:eastAsia="Calibri"/>
          <w:sz w:val="28"/>
        </w:rPr>
        <w:t>–</w:t>
      </w:r>
      <w:r w:rsidRPr="004448B3">
        <w:rPr>
          <w:rFonts w:eastAsia="Calibri"/>
          <w:sz w:val="28"/>
        </w:rPr>
        <w:t xml:space="preserve"> </w:t>
      </w:r>
      <w:r>
        <w:rPr>
          <w:rFonts w:eastAsia="Calibri"/>
          <w:sz w:val="28"/>
        </w:rPr>
        <w:t>152 223 800</w:t>
      </w:r>
      <w:r w:rsidRPr="004448B3">
        <w:rPr>
          <w:rFonts w:eastAsia="Calibri"/>
          <w:sz w:val="28"/>
        </w:rPr>
        <w:t>/</w:t>
      </w:r>
      <w:r>
        <w:rPr>
          <w:rFonts w:eastAsia="Calibri"/>
          <w:sz w:val="28"/>
        </w:rPr>
        <w:t>652 278 900</w:t>
      </w:r>
      <w:r w:rsidRPr="004448B3">
        <w:rPr>
          <w:rFonts w:eastAsia="Calibri"/>
          <w:sz w:val="28"/>
        </w:rPr>
        <w:t>-</w:t>
      </w:r>
      <w:r>
        <w:rPr>
          <w:rFonts w:eastAsia="Calibri"/>
          <w:sz w:val="28"/>
        </w:rPr>
        <w:t>152 223 800</w:t>
      </w:r>
      <w:r w:rsidRPr="004448B3">
        <w:rPr>
          <w:rFonts w:eastAsia="Calibri"/>
          <w:sz w:val="28"/>
        </w:rPr>
        <w:t>=</w:t>
      </w:r>
      <w:r>
        <w:rPr>
          <w:rFonts w:eastAsia="Calibri"/>
          <w:sz w:val="28"/>
        </w:rPr>
        <w:t>1,73473</w:t>
      </w:r>
    </w:p>
    <w:p w:rsidR="00CE1891" w:rsidRPr="004448B3" w:rsidRDefault="00CE1891" w:rsidP="00CE1891">
      <w:pPr>
        <w:rPr>
          <w:rFonts w:eastAsia="Calibri"/>
          <w:b/>
          <w:sz w:val="28"/>
        </w:rPr>
      </w:pPr>
      <w:r w:rsidRPr="004448B3">
        <w:rPr>
          <w:rFonts w:eastAsia="Calibri"/>
          <w:b/>
          <w:sz w:val="28"/>
        </w:rPr>
        <w:t>К=</w:t>
      </w:r>
      <w:r>
        <w:rPr>
          <w:rFonts w:eastAsia="Calibri"/>
          <w:b/>
          <w:sz w:val="28"/>
        </w:rPr>
        <w:t>1,73473</w:t>
      </w:r>
    </w:p>
    <w:p w:rsidR="00CE1891" w:rsidRPr="002016DC" w:rsidRDefault="00CE1891" w:rsidP="00CE1891">
      <w:pPr>
        <w:jc w:val="both"/>
        <w:rPr>
          <w:rFonts w:eastAsia="Calibri"/>
          <w:color w:val="000000"/>
          <w:sz w:val="28"/>
          <w:szCs w:val="28"/>
        </w:rPr>
      </w:pPr>
      <w:r w:rsidRPr="004448B3">
        <w:rPr>
          <w:rFonts w:ascii="Calibri" w:eastAsia="Calibri" w:hAnsi="Calibri"/>
        </w:rPr>
        <w:t xml:space="preserve"> </w:t>
      </w:r>
      <w:r w:rsidRPr="004448B3">
        <w:rPr>
          <w:rFonts w:ascii="Calibri" w:eastAsia="Calibri" w:hAnsi="Calibri"/>
        </w:rPr>
        <w:tab/>
      </w:r>
      <w:r w:rsidRPr="002016DC">
        <w:rPr>
          <w:rFonts w:eastAsia="Calibri"/>
          <w:color w:val="000000"/>
          <w:sz w:val="28"/>
          <w:szCs w:val="28"/>
        </w:rPr>
        <w:t xml:space="preserve">В 2020 году </w:t>
      </w:r>
      <w:r w:rsidRPr="002016DC">
        <w:rPr>
          <w:rFonts w:eastAsia="Calibri"/>
          <w:color w:val="000000"/>
          <w:sz w:val="28"/>
          <w:szCs w:val="28"/>
          <w:lang w:bidi="ru-RU"/>
        </w:rPr>
        <w:t xml:space="preserve">установленный размер арендной платы на день окончания срока окупаемости проекта </w:t>
      </w:r>
      <w:r w:rsidRPr="002016DC">
        <w:rPr>
          <w:rFonts w:eastAsia="Calibri"/>
          <w:color w:val="000000"/>
          <w:sz w:val="28"/>
          <w:szCs w:val="28"/>
        </w:rPr>
        <w:t>по договорам аренды лесных участков, находящихся в федеральной собственности, заключенных в рамках реализации инвестиционных проектов, рассчитанная по окончании срока окупаемости проекта без применения понижающего коэффициента 0,5,</w:t>
      </w:r>
      <w:r w:rsidRPr="002016DC">
        <w:rPr>
          <w:rFonts w:ascii="Calibri" w:eastAsia="Calibri" w:hAnsi="Calibri"/>
          <w:color w:val="000000"/>
          <w:sz w:val="28"/>
          <w:szCs w:val="28"/>
        </w:rPr>
        <w:t xml:space="preserve"> </w:t>
      </w:r>
      <w:r w:rsidRPr="002016DC">
        <w:rPr>
          <w:rFonts w:eastAsia="Calibri"/>
          <w:color w:val="000000"/>
          <w:sz w:val="28"/>
          <w:szCs w:val="28"/>
          <w:lang w:bidi="ru-RU"/>
        </w:rPr>
        <w:t xml:space="preserve">(тыс. руб.) </w:t>
      </w:r>
      <w:r w:rsidRPr="002016DC">
        <w:rPr>
          <w:rFonts w:eastAsia="Calibri"/>
          <w:color w:val="000000"/>
          <w:sz w:val="28"/>
          <w:szCs w:val="28"/>
        </w:rPr>
        <w:t>190 678 160 руб., путем индексации за текущий год арендная плата в полном объеме составит 197 955 952,4 руб.</w:t>
      </w:r>
    </w:p>
    <w:p w:rsidR="00CE1891" w:rsidRPr="002016DC" w:rsidRDefault="00CE1891" w:rsidP="00CE1891">
      <w:pPr>
        <w:jc w:val="both"/>
        <w:rPr>
          <w:rFonts w:eastAsia="Calibri"/>
          <w:color w:val="000000"/>
          <w:sz w:val="28"/>
          <w:szCs w:val="28"/>
        </w:rPr>
      </w:pPr>
    </w:p>
    <w:p w:rsidR="00CE1891" w:rsidRPr="002016DC" w:rsidRDefault="00CE1891" w:rsidP="00CE1891">
      <w:pPr>
        <w:jc w:val="both"/>
        <w:rPr>
          <w:rFonts w:eastAsia="Calibri"/>
          <w:color w:val="000000"/>
          <w:sz w:val="28"/>
          <w:szCs w:val="28"/>
        </w:rPr>
      </w:pPr>
    </w:p>
    <w:p w:rsidR="00CE1891" w:rsidRPr="002016DC" w:rsidRDefault="00CE1891" w:rsidP="00CE1891">
      <w:pPr>
        <w:jc w:val="both"/>
        <w:rPr>
          <w:rFonts w:eastAsia="Calibri"/>
          <w:color w:val="000000"/>
          <w:sz w:val="28"/>
          <w:szCs w:val="28"/>
        </w:rPr>
      </w:pPr>
      <w:r w:rsidRPr="002016DC">
        <w:rPr>
          <w:rFonts w:eastAsia="Calibri"/>
          <w:color w:val="000000"/>
          <w:sz w:val="28"/>
          <w:szCs w:val="28"/>
        </w:rPr>
        <w:t xml:space="preserve">В 2021 году (30 дней) при окончании срока окупаемости инвестиционного проекта арендная плата составит: </w:t>
      </w:r>
    </w:p>
    <w:p w:rsidR="00CE1891" w:rsidRPr="002016DC" w:rsidRDefault="00CE1891" w:rsidP="00CE1891">
      <w:pPr>
        <w:ind w:firstLine="708"/>
        <w:jc w:val="both"/>
        <w:rPr>
          <w:b/>
          <w:color w:val="000000"/>
          <w:sz w:val="28"/>
          <w:szCs w:val="28"/>
        </w:rPr>
      </w:pPr>
    </w:p>
    <w:p w:rsidR="00CE1891" w:rsidRPr="002016DC" w:rsidRDefault="00CE1891" w:rsidP="00CE1891">
      <w:pPr>
        <w:widowControl w:val="0"/>
        <w:ind w:firstLine="709"/>
        <w:jc w:val="both"/>
        <w:rPr>
          <w:rFonts w:eastAsia="Calibri"/>
          <w:color w:val="000000"/>
          <w:sz w:val="28"/>
          <w:szCs w:val="28"/>
        </w:rPr>
      </w:pPr>
      <w:r w:rsidRPr="002016DC">
        <w:rPr>
          <w:rFonts w:eastAsia="Calibri"/>
          <w:color w:val="000000"/>
          <w:sz w:val="28"/>
          <w:szCs w:val="28"/>
        </w:rPr>
        <w:t>П</w:t>
      </w:r>
      <w:r w:rsidRPr="002016DC">
        <w:rPr>
          <w:rFonts w:eastAsia="Calibri"/>
          <w:color w:val="000000"/>
          <w:sz w:val="28"/>
          <w:szCs w:val="28"/>
          <w:vertAlign w:val="subscript"/>
        </w:rPr>
        <w:t>ар</w:t>
      </w:r>
      <w:r w:rsidRPr="002016DC">
        <w:rPr>
          <w:rFonts w:eastAsia="Calibri"/>
          <w:color w:val="000000"/>
          <w:sz w:val="28"/>
          <w:szCs w:val="28"/>
          <w:vertAlign w:val="superscript"/>
        </w:rPr>
        <w:t>инв</w:t>
      </w:r>
      <w:r w:rsidRPr="002016DC">
        <w:rPr>
          <w:rFonts w:eastAsia="Calibri"/>
          <w:color w:val="000000"/>
          <w:sz w:val="28"/>
          <w:szCs w:val="28"/>
        </w:rPr>
        <w:t xml:space="preserve"> – плата по договорам аренды лесных участков, находящихся в федеральной собственности, заключенных в рамках реализации инвестиционных проектов, рассчитанная по окончании срока окупаемости проекта без применения понижающего коэффициента 0,5 (тыс. руб.). Определяется по формуле:</w:t>
      </w:r>
    </w:p>
    <w:p w:rsidR="00CE1891" w:rsidRPr="002016DC" w:rsidRDefault="00CE1891" w:rsidP="00CE1891">
      <w:pPr>
        <w:widowControl w:val="0"/>
        <w:ind w:firstLine="709"/>
        <w:jc w:val="both"/>
        <w:rPr>
          <w:rFonts w:eastAsia="Calibri"/>
          <w:color w:val="000000"/>
          <w:sz w:val="28"/>
          <w:szCs w:val="28"/>
        </w:rPr>
      </w:pPr>
    </w:p>
    <w:p w:rsidR="00CE1891" w:rsidRPr="002016DC" w:rsidRDefault="00CE1891" w:rsidP="00CE1891">
      <w:pPr>
        <w:widowControl w:val="0"/>
        <w:tabs>
          <w:tab w:val="left" w:pos="9355"/>
        </w:tabs>
        <w:ind w:firstLine="709"/>
        <w:jc w:val="both"/>
        <w:rPr>
          <w:rFonts w:eastAsia="Calibri"/>
          <w:color w:val="000000"/>
          <w:sz w:val="28"/>
          <w:szCs w:val="28"/>
        </w:rPr>
      </w:pPr>
      <w:r w:rsidRPr="002016DC">
        <w:rPr>
          <w:rFonts w:eastAsia="Calibri"/>
          <w:color w:val="000000"/>
          <w:sz w:val="28"/>
          <w:szCs w:val="28"/>
        </w:rPr>
        <w:t>П</w:t>
      </w:r>
      <w:r w:rsidRPr="002016DC">
        <w:rPr>
          <w:rFonts w:eastAsia="Calibri"/>
          <w:color w:val="000000"/>
          <w:sz w:val="28"/>
          <w:szCs w:val="28"/>
          <w:vertAlign w:val="subscript"/>
        </w:rPr>
        <w:t>ар</w:t>
      </w:r>
      <w:r w:rsidRPr="002016DC">
        <w:rPr>
          <w:rFonts w:eastAsia="Calibri"/>
          <w:color w:val="000000"/>
          <w:sz w:val="28"/>
          <w:szCs w:val="28"/>
          <w:vertAlign w:val="superscript"/>
        </w:rPr>
        <w:t>инв</w:t>
      </w:r>
      <w:r w:rsidRPr="002016DC">
        <w:rPr>
          <w:rFonts w:eastAsia="Calibri"/>
          <w:color w:val="000000"/>
          <w:sz w:val="28"/>
          <w:szCs w:val="28"/>
        </w:rPr>
        <w:t xml:space="preserve">  = (П</w:t>
      </w:r>
      <w:r w:rsidRPr="002016DC">
        <w:rPr>
          <w:rFonts w:eastAsia="Calibri"/>
          <w:color w:val="000000"/>
          <w:sz w:val="28"/>
          <w:szCs w:val="28"/>
          <w:vertAlign w:val="subscript"/>
        </w:rPr>
        <w:t>ар</w:t>
      </w:r>
      <w:r w:rsidRPr="002016DC">
        <w:rPr>
          <w:rFonts w:eastAsia="Calibri"/>
          <w:color w:val="000000"/>
          <w:sz w:val="28"/>
          <w:szCs w:val="28"/>
          <w:vertAlign w:val="superscript"/>
        </w:rPr>
        <w:t>уст</w:t>
      </w:r>
      <w:r w:rsidRPr="002016DC">
        <w:rPr>
          <w:rFonts w:eastAsia="Calibri"/>
          <w:color w:val="000000"/>
          <w:sz w:val="28"/>
          <w:szCs w:val="28"/>
        </w:rPr>
        <w:t>*К</w:t>
      </w:r>
      <w:r w:rsidRPr="002016DC">
        <w:rPr>
          <w:rFonts w:eastAsia="Calibri"/>
          <w:color w:val="000000"/>
          <w:sz w:val="28"/>
          <w:szCs w:val="28"/>
          <w:vertAlign w:val="subscript"/>
        </w:rPr>
        <w:t>3</w:t>
      </w:r>
      <w:r w:rsidRPr="002016DC">
        <w:rPr>
          <w:rFonts w:eastAsia="Calibri"/>
          <w:color w:val="000000"/>
          <w:sz w:val="28"/>
          <w:szCs w:val="28"/>
        </w:rPr>
        <w:t>) - П</w:t>
      </w:r>
      <w:r w:rsidRPr="002016DC">
        <w:rPr>
          <w:rFonts w:eastAsia="Calibri"/>
          <w:color w:val="000000"/>
          <w:sz w:val="28"/>
          <w:szCs w:val="28"/>
          <w:vertAlign w:val="subscript"/>
        </w:rPr>
        <w:t>ар</w:t>
      </w:r>
      <w:r w:rsidRPr="002016DC">
        <w:rPr>
          <w:rFonts w:eastAsia="Calibri"/>
          <w:color w:val="000000"/>
          <w:sz w:val="28"/>
          <w:szCs w:val="28"/>
          <w:vertAlign w:val="superscript"/>
        </w:rPr>
        <w:t>уст</w:t>
      </w:r>
      <w:r w:rsidRPr="002016DC">
        <w:rPr>
          <w:rFonts w:eastAsia="Calibri"/>
          <w:color w:val="000000"/>
          <w:sz w:val="28"/>
          <w:szCs w:val="28"/>
        </w:rPr>
        <w:t>,</w:t>
      </w:r>
    </w:p>
    <w:p w:rsidR="00CE1891" w:rsidRPr="002016DC" w:rsidRDefault="00CE1891" w:rsidP="00CE1891">
      <w:pPr>
        <w:widowControl w:val="0"/>
        <w:tabs>
          <w:tab w:val="left" w:pos="9355"/>
        </w:tabs>
        <w:ind w:firstLine="709"/>
        <w:jc w:val="both"/>
        <w:rPr>
          <w:rFonts w:eastAsia="Calibri"/>
          <w:color w:val="000000"/>
          <w:sz w:val="28"/>
          <w:szCs w:val="28"/>
        </w:rPr>
      </w:pPr>
    </w:p>
    <w:p w:rsidR="00CE1891" w:rsidRPr="002016DC" w:rsidRDefault="00CE1891" w:rsidP="00CE1891">
      <w:pPr>
        <w:widowControl w:val="0"/>
        <w:tabs>
          <w:tab w:val="left" w:pos="9355"/>
        </w:tabs>
        <w:ind w:firstLine="709"/>
        <w:jc w:val="both"/>
        <w:rPr>
          <w:rFonts w:eastAsia="Calibri"/>
          <w:color w:val="000000"/>
          <w:sz w:val="28"/>
          <w:szCs w:val="28"/>
        </w:rPr>
      </w:pPr>
      <w:r w:rsidRPr="002016DC">
        <w:rPr>
          <w:rFonts w:eastAsia="Calibri"/>
          <w:color w:val="000000"/>
          <w:sz w:val="28"/>
          <w:szCs w:val="28"/>
        </w:rPr>
        <w:t>где:</w:t>
      </w:r>
    </w:p>
    <w:p w:rsidR="00CE1891" w:rsidRPr="002016DC" w:rsidRDefault="00CE1891" w:rsidP="00CE1891">
      <w:pPr>
        <w:widowControl w:val="0"/>
        <w:tabs>
          <w:tab w:val="left" w:pos="9355"/>
        </w:tabs>
        <w:ind w:firstLine="709"/>
        <w:jc w:val="both"/>
        <w:rPr>
          <w:rFonts w:eastAsia="Calibri"/>
          <w:color w:val="000000"/>
          <w:sz w:val="28"/>
          <w:szCs w:val="28"/>
        </w:rPr>
      </w:pPr>
      <w:r w:rsidRPr="002016DC">
        <w:rPr>
          <w:rFonts w:eastAsia="Calibri"/>
          <w:color w:val="000000"/>
          <w:sz w:val="28"/>
          <w:szCs w:val="28"/>
        </w:rPr>
        <w:t>П</w:t>
      </w:r>
      <w:r w:rsidRPr="002016DC">
        <w:rPr>
          <w:rFonts w:eastAsia="Calibri"/>
          <w:color w:val="000000"/>
          <w:sz w:val="28"/>
          <w:szCs w:val="28"/>
          <w:vertAlign w:val="subscript"/>
        </w:rPr>
        <w:t>ар</w:t>
      </w:r>
      <w:r w:rsidRPr="002016DC">
        <w:rPr>
          <w:rFonts w:eastAsia="Calibri"/>
          <w:color w:val="000000"/>
          <w:sz w:val="28"/>
          <w:szCs w:val="28"/>
          <w:vertAlign w:val="superscript"/>
        </w:rPr>
        <w:t>уст</w:t>
      </w:r>
      <w:r w:rsidRPr="002016DC">
        <w:rPr>
          <w:rFonts w:eastAsia="Calibri"/>
          <w:b/>
          <w:bCs/>
          <w:i/>
          <w:iCs/>
          <w:smallCaps/>
          <w:color w:val="000000"/>
          <w:sz w:val="28"/>
          <w:szCs w:val="28"/>
          <w:lang w:bidi="en-US"/>
        </w:rPr>
        <w:t xml:space="preserve"> </w:t>
      </w:r>
      <w:r w:rsidRPr="002016DC">
        <w:rPr>
          <w:rFonts w:eastAsia="Calibri"/>
          <w:color w:val="000000"/>
          <w:sz w:val="28"/>
          <w:szCs w:val="28"/>
          <w:lang w:bidi="en-US"/>
        </w:rPr>
        <w:t xml:space="preserve"> - </w:t>
      </w:r>
      <w:r w:rsidRPr="002016DC">
        <w:rPr>
          <w:rFonts w:eastAsia="Calibri"/>
          <w:color w:val="000000"/>
          <w:sz w:val="28"/>
          <w:szCs w:val="28"/>
          <w:lang w:bidi="ru-RU"/>
        </w:rPr>
        <w:t xml:space="preserve">установленный размер арендной платы на день окончания срока окупаемости проекта </w:t>
      </w:r>
      <w:r w:rsidRPr="002016DC">
        <w:rPr>
          <w:rFonts w:eastAsia="Calibri"/>
          <w:color w:val="000000"/>
          <w:sz w:val="28"/>
          <w:szCs w:val="28"/>
        </w:rPr>
        <w:t>по договорам аренды лесных участков, находящихся в федеральной собственности, заключенных в рамках реализации инвестиционных проектов, рассчитанная по окончании срока окупаемости проекта без применения понижающего коэффициента 0,5,</w:t>
      </w:r>
      <w:r w:rsidRPr="002016DC">
        <w:rPr>
          <w:rFonts w:ascii="Calibri" w:eastAsia="Calibri" w:hAnsi="Calibri"/>
          <w:color w:val="000000"/>
          <w:sz w:val="28"/>
          <w:szCs w:val="28"/>
        </w:rPr>
        <w:t xml:space="preserve"> </w:t>
      </w:r>
      <w:r w:rsidRPr="002016DC">
        <w:rPr>
          <w:rFonts w:eastAsia="Calibri"/>
          <w:color w:val="000000"/>
          <w:sz w:val="28"/>
          <w:szCs w:val="28"/>
          <w:lang w:bidi="ru-RU"/>
        </w:rPr>
        <w:t>(тыс. руб.);</w:t>
      </w:r>
    </w:p>
    <w:p w:rsidR="00CE1891" w:rsidRPr="002016DC" w:rsidRDefault="00CE1891" w:rsidP="00CE1891">
      <w:pPr>
        <w:widowControl w:val="0"/>
        <w:tabs>
          <w:tab w:val="left" w:pos="9355"/>
        </w:tabs>
        <w:ind w:firstLine="709"/>
        <w:jc w:val="both"/>
        <w:rPr>
          <w:rFonts w:eastAsia="Calibri"/>
          <w:color w:val="000000"/>
          <w:sz w:val="28"/>
          <w:szCs w:val="28"/>
        </w:rPr>
      </w:pPr>
      <w:r w:rsidRPr="002016DC">
        <w:rPr>
          <w:rFonts w:eastAsia="Calibri"/>
          <w:color w:val="000000"/>
          <w:sz w:val="28"/>
          <w:szCs w:val="28"/>
        </w:rPr>
        <w:t>К</w:t>
      </w:r>
      <w:r w:rsidRPr="002016DC">
        <w:rPr>
          <w:rFonts w:eastAsia="Calibri"/>
          <w:color w:val="000000"/>
          <w:sz w:val="28"/>
          <w:szCs w:val="28"/>
          <w:vertAlign w:val="subscript"/>
        </w:rPr>
        <w:t>3</w:t>
      </w:r>
      <w:r w:rsidRPr="002016DC">
        <w:rPr>
          <w:rFonts w:eastAsia="Calibri"/>
          <w:color w:val="000000"/>
          <w:sz w:val="28"/>
          <w:szCs w:val="28"/>
        </w:rPr>
        <w:t xml:space="preserve"> – средний коэффициент превышения размера арендной платы, сложившегося в Тверской области по соответствующему виду использования лесов;</w:t>
      </w:r>
    </w:p>
    <w:p w:rsidR="00CE1891" w:rsidRPr="004448B3" w:rsidRDefault="00CE1891" w:rsidP="00CE1891">
      <w:pPr>
        <w:rPr>
          <w:rFonts w:eastAsia="Calibri"/>
          <w:sz w:val="28"/>
        </w:rPr>
      </w:pPr>
      <w:r w:rsidRPr="004448B3">
        <w:rPr>
          <w:rFonts w:eastAsia="Calibri"/>
          <w:sz w:val="28"/>
        </w:rPr>
        <w:t>365- количество календарных дней в 2021 году;</w:t>
      </w:r>
    </w:p>
    <w:p w:rsidR="00CE1891" w:rsidRPr="004448B3" w:rsidRDefault="00CE1891" w:rsidP="00CE1891">
      <w:pPr>
        <w:rPr>
          <w:rFonts w:eastAsia="Calibri"/>
          <w:sz w:val="28"/>
        </w:rPr>
      </w:pPr>
      <w:r w:rsidRPr="004448B3">
        <w:rPr>
          <w:rFonts w:eastAsia="Calibri"/>
          <w:sz w:val="28"/>
        </w:rPr>
        <w:t>30 – количество дней срок действия договоров аренды</w:t>
      </w:r>
      <w:r w:rsidRPr="004448B3">
        <w:rPr>
          <w:sz w:val="28"/>
          <w:szCs w:val="28"/>
        </w:rPr>
        <w:t xml:space="preserve"> заключенных для реализации инвестиционного проекта в 2021 году, после окончания срока окупаемости.</w:t>
      </w:r>
    </w:p>
    <w:p w:rsidR="00CE1891" w:rsidRPr="002016DC" w:rsidRDefault="00CE1891" w:rsidP="00CE1891">
      <w:pPr>
        <w:ind w:firstLine="708"/>
        <w:jc w:val="both"/>
        <w:rPr>
          <w:color w:val="000000"/>
          <w:sz w:val="28"/>
          <w:szCs w:val="28"/>
        </w:rPr>
      </w:pPr>
      <w:r w:rsidRPr="002016DC">
        <w:rPr>
          <w:color w:val="000000"/>
        </w:rPr>
        <w:t>П</w:t>
      </w:r>
      <w:r w:rsidRPr="002016DC">
        <w:rPr>
          <w:color w:val="000000"/>
          <w:vertAlign w:val="subscript"/>
        </w:rPr>
        <w:t>ар</w:t>
      </w:r>
      <w:r w:rsidRPr="002016DC">
        <w:rPr>
          <w:color w:val="000000"/>
          <w:vertAlign w:val="superscript"/>
        </w:rPr>
        <w:t>инв</w:t>
      </w:r>
      <w:r w:rsidRPr="002016DC">
        <w:rPr>
          <w:color w:val="000000"/>
          <w:sz w:val="28"/>
          <w:szCs w:val="28"/>
        </w:rPr>
        <w:t xml:space="preserve"> </w:t>
      </w:r>
      <w:r w:rsidRPr="002016DC">
        <w:rPr>
          <w:rFonts w:eastAsia="Calibri"/>
          <w:color w:val="000000"/>
          <w:sz w:val="28"/>
          <w:szCs w:val="28"/>
        </w:rPr>
        <w:t>= ((П</w:t>
      </w:r>
      <w:r w:rsidRPr="002016DC">
        <w:rPr>
          <w:rFonts w:eastAsia="Calibri"/>
          <w:color w:val="000000"/>
          <w:sz w:val="28"/>
          <w:szCs w:val="28"/>
          <w:vertAlign w:val="subscript"/>
        </w:rPr>
        <w:t>ар</w:t>
      </w:r>
      <w:r w:rsidRPr="002016DC">
        <w:rPr>
          <w:rFonts w:eastAsia="Calibri"/>
          <w:color w:val="000000"/>
          <w:sz w:val="28"/>
          <w:szCs w:val="28"/>
          <w:vertAlign w:val="superscript"/>
        </w:rPr>
        <w:t>уст</w:t>
      </w:r>
      <w:r w:rsidRPr="002016DC">
        <w:rPr>
          <w:rFonts w:eastAsia="Calibri"/>
          <w:color w:val="000000"/>
          <w:sz w:val="28"/>
          <w:szCs w:val="28"/>
        </w:rPr>
        <w:t>*К</w:t>
      </w:r>
      <w:r w:rsidRPr="002016DC">
        <w:rPr>
          <w:rFonts w:eastAsia="Calibri"/>
          <w:color w:val="000000"/>
          <w:sz w:val="28"/>
          <w:szCs w:val="28"/>
          <w:vertAlign w:val="subscript"/>
        </w:rPr>
        <w:t>3</w:t>
      </w:r>
      <w:r w:rsidRPr="002016DC">
        <w:rPr>
          <w:rFonts w:eastAsia="Calibri"/>
          <w:color w:val="000000"/>
          <w:sz w:val="28"/>
          <w:szCs w:val="28"/>
        </w:rPr>
        <w:t>) - П</w:t>
      </w:r>
      <w:r w:rsidRPr="002016DC">
        <w:rPr>
          <w:rFonts w:eastAsia="Calibri"/>
          <w:color w:val="000000"/>
          <w:sz w:val="28"/>
          <w:szCs w:val="28"/>
          <w:vertAlign w:val="subscript"/>
        </w:rPr>
        <w:t>ар</w:t>
      </w:r>
      <w:r w:rsidRPr="002016DC">
        <w:rPr>
          <w:rFonts w:eastAsia="Calibri"/>
          <w:color w:val="000000"/>
          <w:sz w:val="28"/>
          <w:szCs w:val="28"/>
          <w:vertAlign w:val="superscript"/>
        </w:rPr>
        <w:t>уст</w:t>
      </w:r>
      <w:r w:rsidRPr="002016DC">
        <w:rPr>
          <w:color w:val="000000"/>
          <w:sz w:val="28"/>
          <w:szCs w:val="28"/>
        </w:rPr>
        <w:t>)/365*30:</w:t>
      </w:r>
    </w:p>
    <w:p w:rsidR="00CE1891" w:rsidRPr="004448B3" w:rsidRDefault="00CE1891" w:rsidP="00CE1891">
      <w:pPr>
        <w:ind w:firstLine="708"/>
        <w:jc w:val="both"/>
        <w:rPr>
          <w:sz w:val="28"/>
          <w:szCs w:val="28"/>
        </w:rPr>
      </w:pPr>
    </w:p>
    <w:p w:rsidR="00CE1891" w:rsidRPr="00C157F9" w:rsidRDefault="00CE1891" w:rsidP="00CE1891">
      <w:pPr>
        <w:rPr>
          <w:rFonts w:eastAsia="Calibri"/>
          <w:sz w:val="28"/>
        </w:rPr>
      </w:pPr>
      <w:r w:rsidRPr="004448B3">
        <w:t>П</w:t>
      </w:r>
      <w:r w:rsidRPr="004448B3">
        <w:rPr>
          <w:vertAlign w:val="subscript"/>
        </w:rPr>
        <w:t>ар</w:t>
      </w:r>
      <w:r w:rsidRPr="004448B3">
        <w:rPr>
          <w:vertAlign w:val="superscript"/>
        </w:rPr>
        <w:t>инв</w:t>
      </w:r>
      <w:r w:rsidRPr="004448B3">
        <w:rPr>
          <w:sz w:val="28"/>
          <w:szCs w:val="28"/>
        </w:rPr>
        <w:t xml:space="preserve"> =(</w:t>
      </w:r>
      <w:r w:rsidRPr="002016DC">
        <w:rPr>
          <w:rFonts w:eastAsia="Calibri"/>
          <w:color w:val="000000"/>
          <w:sz w:val="28"/>
          <w:szCs w:val="28"/>
        </w:rPr>
        <w:t xml:space="preserve">197 955 952,4 </w:t>
      </w:r>
      <w:r w:rsidRPr="000C1E03">
        <w:rPr>
          <w:sz w:val="28"/>
          <w:szCs w:val="28"/>
        </w:rPr>
        <w:t>*</w:t>
      </w:r>
      <w:r w:rsidRPr="000C1E03">
        <w:rPr>
          <w:rFonts w:eastAsia="Calibri"/>
          <w:sz w:val="28"/>
        </w:rPr>
        <w:t>1,73473</w:t>
      </w:r>
      <w:r w:rsidRPr="000C1E03">
        <w:rPr>
          <w:sz w:val="28"/>
          <w:szCs w:val="28"/>
        </w:rPr>
        <w:t>) –</w:t>
      </w:r>
      <w:r w:rsidRPr="000C1E03">
        <w:rPr>
          <w:rFonts w:eastAsia="Calibri"/>
          <w:color w:val="000000"/>
          <w:sz w:val="28"/>
          <w:szCs w:val="28"/>
        </w:rPr>
        <w:t>197 955 952,4</w:t>
      </w:r>
      <w:r w:rsidRPr="000C1E03">
        <w:rPr>
          <w:sz w:val="28"/>
          <w:szCs w:val="28"/>
        </w:rPr>
        <w:t>)/365*30=11 954 315,9 руб</w:t>
      </w:r>
      <w:r>
        <w:rPr>
          <w:sz w:val="28"/>
          <w:szCs w:val="28"/>
        </w:rPr>
        <w:t>.</w:t>
      </w:r>
      <w:r w:rsidRPr="004448B3">
        <w:rPr>
          <w:sz w:val="28"/>
          <w:szCs w:val="28"/>
        </w:rPr>
        <w:t xml:space="preserve"> </w:t>
      </w:r>
    </w:p>
    <w:p w:rsidR="00CE1891" w:rsidRPr="004448B3" w:rsidRDefault="00CE1891" w:rsidP="00CE1891">
      <w:pPr>
        <w:ind w:firstLine="708"/>
        <w:jc w:val="both"/>
        <w:rPr>
          <w:sz w:val="28"/>
          <w:szCs w:val="28"/>
        </w:rPr>
      </w:pPr>
      <w:r w:rsidRPr="004448B3">
        <w:rPr>
          <w:sz w:val="28"/>
          <w:szCs w:val="28"/>
        </w:rPr>
        <w:t>Заключение новых договоров аренды по заготовке древесины в 2021 году не планируется.</w:t>
      </w:r>
    </w:p>
    <w:p w:rsidR="00CE1891" w:rsidRDefault="00CE1891" w:rsidP="00CE1891">
      <w:pPr>
        <w:tabs>
          <w:tab w:val="left" w:pos="3195"/>
        </w:tabs>
        <w:autoSpaceDE w:val="0"/>
        <w:autoSpaceDN w:val="0"/>
        <w:adjustRightInd w:val="0"/>
        <w:ind w:firstLine="709"/>
        <w:jc w:val="both"/>
        <w:rPr>
          <w:rFonts w:eastAsia="Calibri"/>
          <w:b/>
          <w:sz w:val="28"/>
          <w:szCs w:val="28"/>
          <w:lang w:eastAsia="en-US"/>
        </w:rPr>
      </w:pPr>
      <w:r w:rsidRPr="00BF327F">
        <w:rPr>
          <w:rFonts w:eastAsia="Calibri"/>
          <w:b/>
          <w:sz w:val="28"/>
          <w:szCs w:val="28"/>
          <w:lang w:eastAsia="en-US"/>
        </w:rPr>
        <w:t>Определение прогноза на 202</w:t>
      </w:r>
      <w:r>
        <w:rPr>
          <w:rFonts w:eastAsia="Calibri"/>
          <w:b/>
          <w:sz w:val="28"/>
          <w:szCs w:val="28"/>
          <w:lang w:eastAsia="en-US"/>
        </w:rPr>
        <w:t>2</w:t>
      </w:r>
      <w:r w:rsidRPr="00BF327F">
        <w:rPr>
          <w:rFonts w:eastAsia="Calibri"/>
          <w:b/>
          <w:sz w:val="28"/>
          <w:szCs w:val="28"/>
          <w:lang w:eastAsia="en-US"/>
        </w:rPr>
        <w:t xml:space="preserve"> год:</w:t>
      </w:r>
    </w:p>
    <w:p w:rsidR="00CE1891" w:rsidRPr="004448B3" w:rsidRDefault="00CE1891" w:rsidP="00CE1891">
      <w:pPr>
        <w:ind w:firstLine="708"/>
        <w:jc w:val="both"/>
        <w:rPr>
          <w:sz w:val="28"/>
          <w:szCs w:val="28"/>
        </w:rPr>
      </w:pPr>
      <w:r w:rsidRPr="004448B3">
        <w:rPr>
          <w:sz w:val="28"/>
          <w:szCs w:val="28"/>
        </w:rPr>
        <w:t xml:space="preserve">Плата поступления доходов от ранее заключенных договоров аренды </w:t>
      </w:r>
      <w:r w:rsidRPr="004448B3">
        <w:rPr>
          <w:b/>
          <w:sz w:val="28"/>
          <w:szCs w:val="28"/>
        </w:rPr>
        <w:t>с целью заготовки древесины</w:t>
      </w:r>
      <w:r w:rsidRPr="004448B3">
        <w:rPr>
          <w:sz w:val="28"/>
          <w:szCs w:val="28"/>
        </w:rPr>
        <w:t xml:space="preserve"> рассчитана методом приведения к уровню 2007 года по следующей формуле: </w:t>
      </w:r>
    </w:p>
    <w:p w:rsidR="00CE1891" w:rsidRPr="004448B3" w:rsidRDefault="00CE1891" w:rsidP="00CE1891">
      <w:pPr>
        <w:jc w:val="center"/>
        <w:rPr>
          <w:sz w:val="28"/>
          <w:szCs w:val="28"/>
        </w:rPr>
      </w:pPr>
    </w:p>
    <w:p w:rsidR="00CE1891" w:rsidRDefault="00CE1891" w:rsidP="00CE1891">
      <w:pPr>
        <w:jc w:val="center"/>
        <w:rPr>
          <w:sz w:val="28"/>
          <w:szCs w:val="28"/>
          <w:vertAlign w:val="superscript"/>
        </w:rPr>
      </w:pPr>
      <w:r w:rsidRPr="004448B3">
        <w:rPr>
          <w:sz w:val="28"/>
          <w:szCs w:val="28"/>
        </w:rPr>
        <w:t>П</w:t>
      </w:r>
      <w:r w:rsidRPr="004448B3">
        <w:rPr>
          <w:sz w:val="28"/>
          <w:szCs w:val="28"/>
          <w:vertAlign w:val="subscript"/>
        </w:rPr>
        <w:t xml:space="preserve">ар </w:t>
      </w:r>
      <w:r w:rsidRPr="004448B3">
        <w:rPr>
          <w:sz w:val="28"/>
          <w:szCs w:val="28"/>
          <w:vertAlign w:val="superscript"/>
        </w:rPr>
        <w:t>обл</w:t>
      </w:r>
      <w:r w:rsidRPr="004448B3">
        <w:rPr>
          <w:sz w:val="28"/>
          <w:szCs w:val="28"/>
          <w:vertAlign w:val="subscript"/>
        </w:rPr>
        <w:t xml:space="preserve"> </w:t>
      </w:r>
      <w:r w:rsidRPr="004448B3">
        <w:rPr>
          <w:sz w:val="28"/>
          <w:szCs w:val="28"/>
        </w:rPr>
        <w:t>= (С</w:t>
      </w:r>
      <w:r w:rsidRPr="004448B3">
        <w:rPr>
          <w:sz w:val="28"/>
          <w:szCs w:val="28"/>
          <w:vertAlign w:val="subscript"/>
          <w:lang w:val="en-US"/>
        </w:rPr>
        <w:t>Q</w:t>
      </w:r>
      <w:r w:rsidRPr="004448B3">
        <w:rPr>
          <w:sz w:val="28"/>
          <w:szCs w:val="28"/>
          <w:vertAlign w:val="subscript"/>
        </w:rPr>
        <w:t xml:space="preserve"> </w:t>
      </w:r>
      <w:r w:rsidRPr="004448B3">
        <w:rPr>
          <w:sz w:val="28"/>
          <w:szCs w:val="28"/>
          <w:vertAlign w:val="superscript"/>
        </w:rPr>
        <w:t>ар</w:t>
      </w:r>
      <w:r w:rsidRPr="004448B3">
        <w:rPr>
          <w:sz w:val="28"/>
          <w:szCs w:val="28"/>
        </w:rPr>
        <w:t xml:space="preserve"> </w:t>
      </w:r>
      <w:r w:rsidRPr="004448B3">
        <w:rPr>
          <w:sz w:val="28"/>
          <w:szCs w:val="28"/>
          <w:vertAlign w:val="subscript"/>
        </w:rPr>
        <w:t>*</w:t>
      </w:r>
      <w:r w:rsidRPr="004448B3">
        <w:rPr>
          <w:sz w:val="28"/>
          <w:szCs w:val="28"/>
        </w:rPr>
        <w:t xml:space="preserve"> К</w:t>
      </w:r>
      <w:r w:rsidRPr="004448B3">
        <w:rPr>
          <w:sz w:val="28"/>
          <w:szCs w:val="28"/>
          <w:vertAlign w:val="subscript"/>
        </w:rPr>
        <w:t>1</w:t>
      </w:r>
      <w:r w:rsidRPr="004448B3">
        <w:rPr>
          <w:sz w:val="28"/>
          <w:szCs w:val="28"/>
        </w:rPr>
        <w:t xml:space="preserve">) </w:t>
      </w:r>
      <w:r w:rsidRPr="004448B3">
        <w:rPr>
          <w:sz w:val="28"/>
          <w:szCs w:val="28"/>
          <w:vertAlign w:val="subscript"/>
        </w:rPr>
        <w:t>*</w:t>
      </w:r>
      <w:r w:rsidRPr="004448B3">
        <w:rPr>
          <w:sz w:val="28"/>
          <w:szCs w:val="28"/>
        </w:rPr>
        <w:t xml:space="preserve"> </w:t>
      </w:r>
      <w:r w:rsidRPr="004448B3">
        <w:rPr>
          <w:sz w:val="28"/>
          <w:szCs w:val="28"/>
          <w:lang w:val="en-US"/>
        </w:rPr>
        <w:t>Q</w:t>
      </w:r>
      <w:r w:rsidRPr="004448B3">
        <w:rPr>
          <w:sz w:val="28"/>
          <w:szCs w:val="28"/>
          <w:vertAlign w:val="superscript"/>
        </w:rPr>
        <w:t>ср</w:t>
      </w:r>
      <w:r w:rsidRPr="004448B3">
        <w:rPr>
          <w:sz w:val="28"/>
          <w:szCs w:val="28"/>
          <w:vertAlign w:val="subscript"/>
        </w:rPr>
        <w:t>ар</w:t>
      </w:r>
      <w:r w:rsidRPr="000E45F6">
        <w:rPr>
          <w:iCs/>
          <w:sz w:val="28"/>
          <w:szCs w:val="28"/>
          <w:lang w:bidi="en-US"/>
        </w:rPr>
        <w:t>*</w:t>
      </w:r>
      <w:r w:rsidRPr="002016DC">
        <w:rPr>
          <w:rStyle w:val="714pt"/>
          <w:rFonts w:eastAsia="Calibri"/>
        </w:rPr>
        <w:t>Т</w:t>
      </w:r>
      <w:r w:rsidRPr="002016DC">
        <w:rPr>
          <w:rStyle w:val="714pt"/>
          <w:rFonts w:eastAsia="Calibri"/>
          <w:vertAlign w:val="superscript"/>
        </w:rPr>
        <w:t>ср</w:t>
      </w:r>
      <w:r w:rsidRPr="000E45F6">
        <w:rPr>
          <w:iCs/>
          <w:sz w:val="28"/>
          <w:szCs w:val="28"/>
          <w:vertAlign w:val="subscript"/>
          <w:lang w:val="en-US" w:bidi="en-US"/>
        </w:rPr>
        <w:t>Qap</w:t>
      </w:r>
      <w:r w:rsidRPr="004448B3">
        <w:rPr>
          <w:sz w:val="28"/>
          <w:szCs w:val="28"/>
        </w:rPr>
        <w:t xml:space="preserve"> + П</w:t>
      </w:r>
      <w:r w:rsidRPr="004448B3">
        <w:rPr>
          <w:sz w:val="28"/>
          <w:szCs w:val="28"/>
          <w:vertAlign w:val="subscript"/>
        </w:rPr>
        <w:t>ар</w:t>
      </w:r>
      <w:r w:rsidRPr="004448B3">
        <w:rPr>
          <w:sz w:val="28"/>
          <w:szCs w:val="28"/>
          <w:vertAlign w:val="superscript"/>
        </w:rPr>
        <w:t>инв</w:t>
      </w:r>
    </w:p>
    <w:p w:rsidR="00CE1891" w:rsidRDefault="00CE1891" w:rsidP="00CE1891">
      <w:pPr>
        <w:jc w:val="center"/>
        <w:rPr>
          <w:sz w:val="28"/>
          <w:szCs w:val="28"/>
        </w:rPr>
      </w:pPr>
      <w:r w:rsidRPr="004448B3">
        <w:rPr>
          <w:sz w:val="28"/>
          <w:szCs w:val="28"/>
        </w:rPr>
        <w:t>П</w:t>
      </w:r>
      <w:r w:rsidRPr="004448B3">
        <w:rPr>
          <w:sz w:val="28"/>
          <w:szCs w:val="28"/>
          <w:vertAlign w:val="subscript"/>
        </w:rPr>
        <w:t xml:space="preserve">ар </w:t>
      </w:r>
      <w:r w:rsidRPr="004448B3">
        <w:rPr>
          <w:sz w:val="28"/>
          <w:szCs w:val="28"/>
          <w:vertAlign w:val="superscript"/>
        </w:rPr>
        <w:t xml:space="preserve">обл </w:t>
      </w:r>
      <w:r w:rsidRPr="004448B3">
        <w:rPr>
          <w:sz w:val="28"/>
          <w:szCs w:val="28"/>
        </w:rPr>
        <w:t>= (</w:t>
      </w:r>
      <w:r>
        <w:rPr>
          <w:sz w:val="28"/>
          <w:szCs w:val="28"/>
        </w:rPr>
        <w:t>22,0</w:t>
      </w:r>
      <w:r w:rsidRPr="004448B3">
        <w:rPr>
          <w:sz w:val="28"/>
          <w:szCs w:val="28"/>
        </w:rPr>
        <w:t>*2,</w:t>
      </w:r>
      <w:r>
        <w:rPr>
          <w:sz w:val="28"/>
          <w:szCs w:val="28"/>
        </w:rPr>
        <w:t>83</w:t>
      </w:r>
      <w:r w:rsidRPr="004448B3">
        <w:rPr>
          <w:sz w:val="28"/>
          <w:szCs w:val="28"/>
        </w:rPr>
        <w:t xml:space="preserve">)* </w:t>
      </w:r>
      <w:r>
        <w:rPr>
          <w:sz w:val="28"/>
          <w:szCs w:val="28"/>
        </w:rPr>
        <w:t>6 176 333,3*</w:t>
      </w:r>
      <w:r>
        <w:rPr>
          <w:iCs/>
          <w:sz w:val="28"/>
          <w:szCs w:val="28"/>
          <w:lang w:bidi="ru-RU"/>
        </w:rPr>
        <w:t>1,0124</w:t>
      </w:r>
      <w:r>
        <w:rPr>
          <w:sz w:val="28"/>
          <w:szCs w:val="28"/>
        </w:rPr>
        <w:t xml:space="preserve"> </w:t>
      </w:r>
      <w:r w:rsidRPr="004448B3">
        <w:rPr>
          <w:sz w:val="28"/>
          <w:szCs w:val="28"/>
        </w:rPr>
        <w:t xml:space="preserve">+ </w:t>
      </w:r>
      <w:r>
        <w:rPr>
          <w:sz w:val="28"/>
          <w:szCs w:val="28"/>
        </w:rPr>
        <w:t>151 326 110,45</w:t>
      </w:r>
      <w:r w:rsidRPr="004448B3">
        <w:rPr>
          <w:sz w:val="28"/>
          <w:szCs w:val="28"/>
        </w:rPr>
        <w:t xml:space="preserve"> руб</w:t>
      </w:r>
      <w:r>
        <w:rPr>
          <w:sz w:val="28"/>
          <w:szCs w:val="28"/>
        </w:rPr>
        <w:t>.</w:t>
      </w:r>
      <w:r w:rsidRPr="004448B3">
        <w:rPr>
          <w:sz w:val="28"/>
          <w:szCs w:val="28"/>
        </w:rPr>
        <w:t xml:space="preserve"> = </w:t>
      </w:r>
    </w:p>
    <w:p w:rsidR="00CE1891" w:rsidRPr="004448B3" w:rsidRDefault="00CE1891" w:rsidP="00CE1891">
      <w:pPr>
        <w:jc w:val="center"/>
        <w:rPr>
          <w:sz w:val="28"/>
          <w:szCs w:val="28"/>
        </w:rPr>
      </w:pPr>
      <w:r>
        <w:rPr>
          <w:b/>
          <w:sz w:val="28"/>
          <w:szCs w:val="28"/>
        </w:rPr>
        <w:t>540 632 899,25 руб. (540 632,9тыс. руб)</w:t>
      </w:r>
    </w:p>
    <w:p w:rsidR="00CE1891" w:rsidRPr="004448B3" w:rsidRDefault="00CE1891" w:rsidP="00CE1891">
      <w:pPr>
        <w:ind w:firstLine="708"/>
        <w:jc w:val="both"/>
        <w:rPr>
          <w:sz w:val="28"/>
          <w:szCs w:val="28"/>
        </w:rPr>
      </w:pPr>
      <w:r w:rsidRPr="004448B3">
        <w:rPr>
          <w:sz w:val="28"/>
          <w:szCs w:val="28"/>
        </w:rPr>
        <w:t>где:</w:t>
      </w:r>
    </w:p>
    <w:p w:rsidR="00CE1891" w:rsidRPr="004448B3" w:rsidRDefault="00CE1891" w:rsidP="00CE1891">
      <w:pPr>
        <w:ind w:firstLine="708"/>
        <w:jc w:val="both"/>
        <w:rPr>
          <w:sz w:val="28"/>
          <w:szCs w:val="28"/>
        </w:rPr>
      </w:pPr>
      <w:r w:rsidRPr="004448B3">
        <w:rPr>
          <w:sz w:val="28"/>
          <w:szCs w:val="28"/>
        </w:rPr>
        <w:t>П</w:t>
      </w:r>
      <w:r w:rsidRPr="004448B3">
        <w:rPr>
          <w:sz w:val="28"/>
          <w:szCs w:val="28"/>
          <w:vertAlign w:val="subscript"/>
        </w:rPr>
        <w:t xml:space="preserve">ар </w:t>
      </w:r>
      <w:r w:rsidRPr="004448B3">
        <w:rPr>
          <w:sz w:val="28"/>
          <w:szCs w:val="28"/>
          <w:vertAlign w:val="superscript"/>
        </w:rPr>
        <w:t>обл</w:t>
      </w:r>
      <w:r w:rsidRPr="004448B3">
        <w:rPr>
          <w:sz w:val="28"/>
          <w:szCs w:val="28"/>
          <w:vertAlign w:val="subscript"/>
        </w:rPr>
        <w:t xml:space="preserve"> </w:t>
      </w:r>
      <w:r w:rsidRPr="004448B3">
        <w:rPr>
          <w:sz w:val="28"/>
          <w:szCs w:val="28"/>
        </w:rPr>
        <w:t>- плата поступления в областной бюджет Тверской области по ранее заключенным договорам аренды с целью заготовки древесины тыс. руб.;</w:t>
      </w:r>
    </w:p>
    <w:p w:rsidR="00CE1891" w:rsidRPr="004448B3" w:rsidRDefault="00CE1891" w:rsidP="00CE1891">
      <w:pPr>
        <w:ind w:firstLine="708"/>
        <w:jc w:val="both"/>
        <w:rPr>
          <w:sz w:val="28"/>
          <w:szCs w:val="28"/>
        </w:rPr>
      </w:pPr>
      <w:r w:rsidRPr="004448B3">
        <w:rPr>
          <w:sz w:val="28"/>
          <w:szCs w:val="28"/>
        </w:rPr>
        <w:t>С</w:t>
      </w:r>
      <w:r w:rsidRPr="004448B3">
        <w:rPr>
          <w:sz w:val="28"/>
          <w:szCs w:val="28"/>
          <w:vertAlign w:val="subscript"/>
          <w:lang w:val="en-US"/>
        </w:rPr>
        <w:t>Q</w:t>
      </w:r>
      <w:r w:rsidRPr="004448B3">
        <w:rPr>
          <w:sz w:val="28"/>
          <w:szCs w:val="28"/>
          <w:vertAlign w:val="subscript"/>
        </w:rPr>
        <w:t xml:space="preserve"> </w:t>
      </w:r>
      <w:r w:rsidRPr="004448B3">
        <w:rPr>
          <w:sz w:val="28"/>
          <w:szCs w:val="28"/>
          <w:vertAlign w:val="superscript"/>
        </w:rPr>
        <w:t>ар</w:t>
      </w:r>
      <w:r w:rsidRPr="004448B3">
        <w:rPr>
          <w:sz w:val="28"/>
          <w:szCs w:val="28"/>
        </w:rPr>
        <w:t xml:space="preserve"> – средняя плата (превышающая минимальные ставки платы) за единицу объема древесины по договорам аренды лесных участков, находящихся в федеральной собственности, сложившаяся по итогам предыдущего финансового года и приведенная к уровню 2007 года руб.; </w:t>
      </w:r>
    </w:p>
    <w:p w:rsidR="00CE1891" w:rsidRPr="004448B3" w:rsidRDefault="00CE1891" w:rsidP="00CE1891">
      <w:pPr>
        <w:ind w:firstLine="708"/>
        <w:jc w:val="both"/>
        <w:rPr>
          <w:sz w:val="28"/>
          <w:szCs w:val="28"/>
          <w:vertAlign w:val="subscript"/>
        </w:rPr>
      </w:pPr>
      <w:r w:rsidRPr="004448B3">
        <w:rPr>
          <w:sz w:val="28"/>
          <w:szCs w:val="28"/>
        </w:rPr>
        <w:t>С</w:t>
      </w:r>
      <w:r w:rsidRPr="004448B3">
        <w:rPr>
          <w:sz w:val="28"/>
          <w:szCs w:val="28"/>
          <w:vertAlign w:val="subscript"/>
          <w:lang w:val="en-US"/>
        </w:rPr>
        <w:t>Q</w:t>
      </w:r>
      <w:r w:rsidRPr="004448B3">
        <w:rPr>
          <w:sz w:val="28"/>
          <w:szCs w:val="28"/>
          <w:vertAlign w:val="subscript"/>
        </w:rPr>
        <w:t xml:space="preserve"> </w:t>
      </w:r>
      <w:r w:rsidRPr="004448B3">
        <w:rPr>
          <w:sz w:val="28"/>
          <w:szCs w:val="28"/>
          <w:vertAlign w:val="superscript"/>
        </w:rPr>
        <w:t xml:space="preserve">ар </w:t>
      </w:r>
      <w:r w:rsidRPr="004448B3">
        <w:rPr>
          <w:sz w:val="28"/>
          <w:szCs w:val="28"/>
        </w:rPr>
        <w:t>=П</w:t>
      </w:r>
      <w:r w:rsidRPr="004448B3">
        <w:rPr>
          <w:sz w:val="28"/>
          <w:szCs w:val="28"/>
          <w:vertAlign w:val="subscript"/>
        </w:rPr>
        <w:t>ар</w:t>
      </w:r>
      <w:r w:rsidRPr="004448B3">
        <w:rPr>
          <w:sz w:val="28"/>
          <w:szCs w:val="28"/>
          <w:vertAlign w:val="subscript"/>
          <w:lang w:val="en-US"/>
        </w:rPr>
        <w:t>Q</w:t>
      </w:r>
      <w:r w:rsidRPr="004448B3">
        <w:rPr>
          <w:sz w:val="28"/>
          <w:szCs w:val="28"/>
          <w:vertAlign w:val="superscript"/>
        </w:rPr>
        <w:t>причОБ</w:t>
      </w:r>
      <w:r w:rsidRPr="004448B3">
        <w:rPr>
          <w:sz w:val="28"/>
          <w:szCs w:val="28"/>
        </w:rPr>
        <w:t>/</w:t>
      </w:r>
      <w:r w:rsidRPr="004448B3">
        <w:rPr>
          <w:sz w:val="28"/>
          <w:szCs w:val="28"/>
          <w:lang w:val="en-US"/>
        </w:rPr>
        <w:t>Q</w:t>
      </w:r>
      <w:r w:rsidRPr="004448B3">
        <w:rPr>
          <w:sz w:val="28"/>
          <w:szCs w:val="28"/>
          <w:vertAlign w:val="subscript"/>
        </w:rPr>
        <w:t xml:space="preserve">ар </w:t>
      </w:r>
      <w:r w:rsidRPr="004448B3">
        <w:rPr>
          <w:sz w:val="28"/>
          <w:szCs w:val="28"/>
          <w:vertAlign w:val="superscript"/>
        </w:rPr>
        <w:t>предост</w:t>
      </w:r>
      <w:r w:rsidRPr="004448B3">
        <w:rPr>
          <w:sz w:val="28"/>
          <w:szCs w:val="28"/>
        </w:rPr>
        <w:t>/К</w:t>
      </w:r>
      <w:r w:rsidRPr="004448B3">
        <w:rPr>
          <w:sz w:val="28"/>
          <w:szCs w:val="28"/>
          <w:vertAlign w:val="subscript"/>
        </w:rPr>
        <w:t>1пред год,</w:t>
      </w:r>
    </w:p>
    <w:p w:rsidR="00CE1891" w:rsidRPr="004448B3" w:rsidRDefault="00CE1891" w:rsidP="00CE1891">
      <w:pPr>
        <w:ind w:firstLine="708"/>
        <w:jc w:val="both"/>
        <w:rPr>
          <w:sz w:val="28"/>
          <w:szCs w:val="28"/>
          <w:vertAlign w:val="subscript"/>
        </w:rPr>
      </w:pPr>
    </w:p>
    <w:p w:rsidR="00CE1891" w:rsidRPr="00490199" w:rsidRDefault="00CE1891" w:rsidP="00CE1891">
      <w:pPr>
        <w:ind w:firstLine="708"/>
        <w:jc w:val="both"/>
        <w:rPr>
          <w:sz w:val="28"/>
          <w:szCs w:val="28"/>
        </w:rPr>
      </w:pPr>
      <w:r w:rsidRPr="004448B3">
        <w:rPr>
          <w:sz w:val="28"/>
          <w:szCs w:val="28"/>
        </w:rPr>
        <w:t>С</w:t>
      </w:r>
      <w:r w:rsidRPr="004448B3">
        <w:rPr>
          <w:sz w:val="28"/>
          <w:szCs w:val="28"/>
          <w:vertAlign w:val="subscript"/>
          <w:lang w:val="en-US"/>
        </w:rPr>
        <w:t>Q</w:t>
      </w:r>
      <w:r w:rsidRPr="004448B3">
        <w:rPr>
          <w:sz w:val="28"/>
          <w:szCs w:val="28"/>
          <w:vertAlign w:val="subscript"/>
        </w:rPr>
        <w:t xml:space="preserve"> </w:t>
      </w:r>
      <w:r w:rsidRPr="004448B3">
        <w:rPr>
          <w:sz w:val="28"/>
          <w:szCs w:val="28"/>
          <w:vertAlign w:val="superscript"/>
        </w:rPr>
        <w:t>ар</w:t>
      </w:r>
      <w:r w:rsidRPr="004448B3">
        <w:rPr>
          <w:sz w:val="28"/>
          <w:szCs w:val="28"/>
        </w:rPr>
        <w:t xml:space="preserve"> =</w:t>
      </w:r>
      <w:r>
        <w:rPr>
          <w:sz w:val="28"/>
          <w:szCs w:val="28"/>
        </w:rPr>
        <w:t>367 406 300</w:t>
      </w:r>
      <w:r w:rsidRPr="004448B3">
        <w:rPr>
          <w:sz w:val="28"/>
          <w:szCs w:val="28"/>
        </w:rPr>
        <w:t xml:space="preserve"> руб./</w:t>
      </w:r>
      <w:r>
        <w:rPr>
          <w:sz w:val="28"/>
          <w:szCs w:val="28"/>
        </w:rPr>
        <w:t>6 377 400</w:t>
      </w:r>
      <w:r w:rsidRPr="004448B3">
        <w:rPr>
          <w:sz w:val="28"/>
          <w:szCs w:val="28"/>
        </w:rPr>
        <w:t xml:space="preserve"> куб.м/</w:t>
      </w:r>
      <w:r>
        <w:rPr>
          <w:sz w:val="28"/>
          <w:szCs w:val="28"/>
        </w:rPr>
        <w:t>2,62</w:t>
      </w:r>
      <w:r w:rsidRPr="000C1E03">
        <w:rPr>
          <w:sz w:val="28"/>
          <w:szCs w:val="28"/>
        </w:rPr>
        <w:t xml:space="preserve">= </w:t>
      </w:r>
      <w:r>
        <w:rPr>
          <w:sz w:val="28"/>
          <w:szCs w:val="28"/>
        </w:rPr>
        <w:t xml:space="preserve">22,0 </w:t>
      </w:r>
      <w:r w:rsidRPr="00490199">
        <w:rPr>
          <w:sz w:val="28"/>
          <w:szCs w:val="28"/>
        </w:rPr>
        <w:t>руб.</w:t>
      </w:r>
    </w:p>
    <w:p w:rsidR="00CE1891" w:rsidRPr="004448B3" w:rsidRDefault="00CE1891" w:rsidP="00CE1891">
      <w:pPr>
        <w:ind w:firstLine="708"/>
        <w:jc w:val="both"/>
        <w:rPr>
          <w:sz w:val="28"/>
          <w:szCs w:val="28"/>
        </w:rPr>
      </w:pPr>
      <w:r w:rsidRPr="00490199">
        <w:rPr>
          <w:sz w:val="28"/>
          <w:szCs w:val="28"/>
        </w:rPr>
        <w:t>где:</w:t>
      </w:r>
    </w:p>
    <w:p w:rsidR="00CE1891" w:rsidRPr="004448B3" w:rsidRDefault="00CE1891" w:rsidP="00CE1891">
      <w:pPr>
        <w:ind w:firstLine="708"/>
        <w:jc w:val="both"/>
        <w:rPr>
          <w:sz w:val="28"/>
          <w:szCs w:val="28"/>
        </w:rPr>
      </w:pPr>
      <w:r w:rsidRPr="004448B3">
        <w:rPr>
          <w:sz w:val="28"/>
          <w:szCs w:val="28"/>
        </w:rPr>
        <w:t>П</w:t>
      </w:r>
      <w:r w:rsidRPr="004448B3">
        <w:rPr>
          <w:sz w:val="28"/>
          <w:szCs w:val="28"/>
          <w:vertAlign w:val="subscript"/>
        </w:rPr>
        <w:t>ар</w:t>
      </w:r>
      <w:r w:rsidRPr="004448B3">
        <w:rPr>
          <w:sz w:val="28"/>
          <w:szCs w:val="28"/>
          <w:vertAlign w:val="subscript"/>
          <w:lang w:val="en-US"/>
        </w:rPr>
        <w:t>Q</w:t>
      </w:r>
      <w:r w:rsidRPr="004448B3">
        <w:rPr>
          <w:sz w:val="28"/>
          <w:szCs w:val="28"/>
          <w:vertAlign w:val="superscript"/>
        </w:rPr>
        <w:t xml:space="preserve">причОБ </w:t>
      </w:r>
      <w:r w:rsidRPr="004448B3">
        <w:rPr>
          <w:sz w:val="28"/>
          <w:szCs w:val="28"/>
        </w:rPr>
        <w:t>- причитающийся в областной бюджет объем платежей за заготовку древесины по договорам аренды лесных участков, находящихся в федеральной собственности, в предыдущем финансовом году (руб.);</w:t>
      </w:r>
    </w:p>
    <w:p w:rsidR="00CE1891" w:rsidRPr="004448B3" w:rsidRDefault="00CE1891" w:rsidP="00CE1891">
      <w:pPr>
        <w:ind w:firstLine="708"/>
        <w:jc w:val="both"/>
        <w:rPr>
          <w:sz w:val="28"/>
          <w:szCs w:val="28"/>
        </w:rPr>
      </w:pPr>
      <w:r w:rsidRPr="004448B3">
        <w:rPr>
          <w:sz w:val="28"/>
          <w:szCs w:val="28"/>
          <w:lang w:val="en-US"/>
        </w:rPr>
        <w:t>Q</w:t>
      </w:r>
      <w:r w:rsidRPr="004448B3">
        <w:rPr>
          <w:sz w:val="28"/>
          <w:szCs w:val="28"/>
          <w:vertAlign w:val="subscript"/>
        </w:rPr>
        <w:t xml:space="preserve">ар </w:t>
      </w:r>
      <w:r w:rsidRPr="004448B3">
        <w:rPr>
          <w:sz w:val="28"/>
          <w:szCs w:val="28"/>
          <w:vertAlign w:val="superscript"/>
        </w:rPr>
        <w:t xml:space="preserve">предост </w:t>
      </w:r>
      <w:r w:rsidRPr="004448B3">
        <w:rPr>
          <w:sz w:val="28"/>
          <w:szCs w:val="28"/>
        </w:rPr>
        <w:t>- объем древесины, предоставленный для заготовки древесины по договорам аренды лесных участков, находящихся в федеральной собственности, в предыдущем финансовом году (куб.м);</w:t>
      </w:r>
    </w:p>
    <w:p w:rsidR="00CE1891" w:rsidRPr="004448B3" w:rsidRDefault="00CE1891" w:rsidP="00CE1891">
      <w:pPr>
        <w:ind w:firstLine="708"/>
        <w:jc w:val="both"/>
        <w:rPr>
          <w:sz w:val="28"/>
          <w:szCs w:val="28"/>
        </w:rPr>
      </w:pPr>
      <w:r w:rsidRPr="004448B3">
        <w:rPr>
          <w:sz w:val="28"/>
          <w:szCs w:val="28"/>
        </w:rPr>
        <w:lastRenderedPageBreak/>
        <w:t>К</w:t>
      </w:r>
      <w:r w:rsidRPr="004448B3">
        <w:rPr>
          <w:sz w:val="28"/>
          <w:szCs w:val="28"/>
          <w:vertAlign w:val="subscript"/>
        </w:rPr>
        <w:t xml:space="preserve">1пред год </w:t>
      </w:r>
      <w:r w:rsidRPr="004448B3">
        <w:rPr>
          <w:sz w:val="28"/>
          <w:szCs w:val="28"/>
        </w:rPr>
        <w:t>- коэффициент за единицу объема лесных ресурсов в предыдущем финансовом году.</w:t>
      </w:r>
    </w:p>
    <w:p w:rsidR="00CE1891" w:rsidRPr="004448B3" w:rsidRDefault="00CE1891" w:rsidP="00CE1891">
      <w:pPr>
        <w:ind w:firstLine="708"/>
        <w:jc w:val="both"/>
        <w:rPr>
          <w:sz w:val="28"/>
          <w:szCs w:val="28"/>
        </w:rPr>
      </w:pPr>
      <w:r w:rsidRPr="004448B3">
        <w:rPr>
          <w:sz w:val="28"/>
          <w:szCs w:val="28"/>
        </w:rPr>
        <w:t>К</w:t>
      </w:r>
      <w:r w:rsidRPr="004448B3">
        <w:rPr>
          <w:sz w:val="28"/>
          <w:szCs w:val="28"/>
          <w:vertAlign w:val="subscript"/>
        </w:rPr>
        <w:t>1</w:t>
      </w:r>
      <w:r w:rsidRPr="004448B3">
        <w:rPr>
          <w:sz w:val="28"/>
          <w:szCs w:val="28"/>
        </w:rPr>
        <w:t xml:space="preserve"> - коэффициент отчетного года за единицу объема лесных ресурсов;  </w:t>
      </w:r>
    </w:p>
    <w:p w:rsidR="00CE1891" w:rsidRPr="004448B3" w:rsidRDefault="00CE1891" w:rsidP="00CE1891">
      <w:pPr>
        <w:ind w:firstLine="708"/>
        <w:jc w:val="both"/>
        <w:rPr>
          <w:sz w:val="28"/>
          <w:szCs w:val="28"/>
        </w:rPr>
      </w:pPr>
      <w:r w:rsidRPr="004448B3">
        <w:rPr>
          <w:sz w:val="28"/>
          <w:szCs w:val="28"/>
          <w:lang w:val="en-US"/>
        </w:rPr>
        <w:t>Q</w:t>
      </w:r>
      <w:r w:rsidRPr="004448B3">
        <w:rPr>
          <w:sz w:val="28"/>
          <w:szCs w:val="28"/>
          <w:vertAlign w:val="superscript"/>
        </w:rPr>
        <w:t>ср</w:t>
      </w:r>
      <w:r w:rsidRPr="004448B3">
        <w:rPr>
          <w:sz w:val="28"/>
          <w:szCs w:val="28"/>
          <w:vertAlign w:val="subscript"/>
        </w:rPr>
        <w:t xml:space="preserve">ар </w:t>
      </w:r>
      <w:r w:rsidRPr="004448B3">
        <w:rPr>
          <w:strike/>
          <w:sz w:val="28"/>
          <w:szCs w:val="28"/>
          <w:vertAlign w:val="subscript"/>
        </w:rPr>
        <w:t xml:space="preserve">– </w:t>
      </w:r>
      <w:r w:rsidRPr="004448B3">
        <w:rPr>
          <w:sz w:val="28"/>
          <w:szCs w:val="28"/>
        </w:rPr>
        <w:t xml:space="preserve"> средний объем древесины, подлежащий заготовке по договорам аренды лесных участков, находящихся в федеральной собственности, (куб.м);</w:t>
      </w:r>
    </w:p>
    <w:p w:rsidR="00CE1891" w:rsidRPr="004448B3" w:rsidRDefault="00CE1891" w:rsidP="00CE1891">
      <w:pPr>
        <w:ind w:firstLine="708"/>
        <w:jc w:val="both"/>
        <w:rPr>
          <w:sz w:val="28"/>
          <w:szCs w:val="28"/>
        </w:rPr>
      </w:pPr>
      <w:r w:rsidRPr="004448B3">
        <w:rPr>
          <w:sz w:val="28"/>
          <w:szCs w:val="28"/>
          <w:lang w:val="en-US"/>
        </w:rPr>
        <w:t>Q</w:t>
      </w:r>
      <w:r w:rsidRPr="004448B3">
        <w:rPr>
          <w:sz w:val="28"/>
          <w:szCs w:val="28"/>
          <w:vertAlign w:val="superscript"/>
        </w:rPr>
        <w:t>ср</w:t>
      </w:r>
      <w:r w:rsidRPr="004448B3">
        <w:rPr>
          <w:sz w:val="28"/>
          <w:szCs w:val="28"/>
          <w:vertAlign w:val="subscript"/>
        </w:rPr>
        <w:t>ар =</w:t>
      </w:r>
      <w:r w:rsidRPr="004448B3">
        <w:rPr>
          <w:sz w:val="28"/>
          <w:szCs w:val="28"/>
        </w:rPr>
        <w:t>Σ</w:t>
      </w:r>
      <w:r w:rsidRPr="004448B3">
        <w:rPr>
          <w:sz w:val="28"/>
          <w:szCs w:val="28"/>
          <w:vertAlign w:val="superscript"/>
        </w:rPr>
        <w:t>3</w:t>
      </w:r>
      <w:r w:rsidRPr="004448B3">
        <w:rPr>
          <w:sz w:val="28"/>
          <w:szCs w:val="28"/>
          <w:vertAlign w:val="subscript"/>
          <w:lang w:val="en-US"/>
        </w:rPr>
        <w:t>t</w:t>
      </w:r>
      <w:r w:rsidRPr="004448B3">
        <w:rPr>
          <w:sz w:val="28"/>
          <w:szCs w:val="28"/>
          <w:vertAlign w:val="subscript"/>
        </w:rPr>
        <w:t xml:space="preserve">=1 </w:t>
      </w:r>
      <w:r w:rsidRPr="004448B3">
        <w:rPr>
          <w:sz w:val="28"/>
          <w:szCs w:val="28"/>
          <w:lang w:val="en-US"/>
        </w:rPr>
        <w:t>Q</w:t>
      </w:r>
      <w:r w:rsidRPr="004448B3">
        <w:rPr>
          <w:sz w:val="28"/>
          <w:szCs w:val="28"/>
          <w:vertAlign w:val="subscript"/>
        </w:rPr>
        <w:t>ар</w:t>
      </w:r>
      <w:r w:rsidRPr="004448B3">
        <w:rPr>
          <w:sz w:val="28"/>
          <w:szCs w:val="28"/>
        </w:rPr>
        <w:t>/3,</w:t>
      </w:r>
    </w:p>
    <w:p w:rsidR="00CE1891" w:rsidRPr="004448B3" w:rsidRDefault="00CE1891" w:rsidP="00CE1891">
      <w:pPr>
        <w:ind w:firstLine="708"/>
        <w:jc w:val="both"/>
        <w:rPr>
          <w:sz w:val="28"/>
          <w:szCs w:val="28"/>
        </w:rPr>
      </w:pPr>
      <w:r w:rsidRPr="004448B3">
        <w:rPr>
          <w:sz w:val="28"/>
          <w:szCs w:val="28"/>
        </w:rPr>
        <w:t xml:space="preserve">где: </w:t>
      </w:r>
    </w:p>
    <w:p w:rsidR="00CE1891" w:rsidRPr="004448B3" w:rsidRDefault="00CE1891" w:rsidP="00CE1891">
      <w:pPr>
        <w:ind w:firstLine="708"/>
        <w:jc w:val="both"/>
        <w:rPr>
          <w:sz w:val="28"/>
          <w:szCs w:val="28"/>
        </w:rPr>
      </w:pPr>
      <w:r w:rsidRPr="004448B3">
        <w:rPr>
          <w:sz w:val="28"/>
          <w:szCs w:val="28"/>
        </w:rPr>
        <w:t>Σ</w:t>
      </w:r>
      <w:r w:rsidRPr="004448B3">
        <w:rPr>
          <w:sz w:val="28"/>
          <w:szCs w:val="28"/>
          <w:vertAlign w:val="superscript"/>
        </w:rPr>
        <w:t>3</w:t>
      </w:r>
      <w:r w:rsidRPr="004448B3">
        <w:rPr>
          <w:sz w:val="28"/>
          <w:szCs w:val="28"/>
          <w:vertAlign w:val="subscript"/>
          <w:lang w:val="en-US"/>
        </w:rPr>
        <w:t>t</w:t>
      </w:r>
      <w:r w:rsidRPr="004448B3">
        <w:rPr>
          <w:sz w:val="28"/>
          <w:szCs w:val="28"/>
          <w:vertAlign w:val="subscript"/>
        </w:rPr>
        <w:t xml:space="preserve">=1 </w:t>
      </w:r>
      <w:r w:rsidRPr="004448B3">
        <w:rPr>
          <w:sz w:val="28"/>
          <w:szCs w:val="28"/>
          <w:lang w:val="en-US"/>
        </w:rPr>
        <w:t>Q</w:t>
      </w:r>
      <w:r w:rsidRPr="004448B3">
        <w:rPr>
          <w:sz w:val="28"/>
          <w:szCs w:val="28"/>
          <w:vertAlign w:val="subscript"/>
        </w:rPr>
        <w:t>ар</w:t>
      </w:r>
      <w:r w:rsidRPr="004448B3">
        <w:rPr>
          <w:sz w:val="28"/>
          <w:szCs w:val="28"/>
        </w:rPr>
        <w:t xml:space="preserve"> - сумма годовых величин объемов древесины, подлежащих заготовке по договорам аренды лесных участков, за три года, предшествующих прогнозируемому году (куб.м);</w:t>
      </w:r>
    </w:p>
    <w:p w:rsidR="00CE1891" w:rsidRPr="004448B3" w:rsidRDefault="00CE1891" w:rsidP="00CE1891">
      <w:pPr>
        <w:ind w:firstLine="708"/>
        <w:jc w:val="both"/>
        <w:rPr>
          <w:sz w:val="28"/>
          <w:szCs w:val="28"/>
          <w:vertAlign w:val="subscript"/>
        </w:rPr>
      </w:pPr>
      <w:r w:rsidRPr="004448B3">
        <w:rPr>
          <w:sz w:val="28"/>
          <w:szCs w:val="28"/>
        </w:rPr>
        <w:t>Σ</w:t>
      </w:r>
      <w:r w:rsidRPr="004448B3">
        <w:rPr>
          <w:sz w:val="28"/>
          <w:szCs w:val="28"/>
          <w:vertAlign w:val="superscript"/>
        </w:rPr>
        <w:t>3</w:t>
      </w:r>
      <w:r w:rsidRPr="004448B3">
        <w:rPr>
          <w:sz w:val="28"/>
          <w:szCs w:val="28"/>
          <w:vertAlign w:val="subscript"/>
          <w:lang w:val="en-US"/>
        </w:rPr>
        <w:t>t</w:t>
      </w:r>
      <w:r w:rsidRPr="004448B3">
        <w:rPr>
          <w:sz w:val="28"/>
          <w:szCs w:val="28"/>
          <w:vertAlign w:val="subscript"/>
        </w:rPr>
        <w:t xml:space="preserve">=1 </w:t>
      </w:r>
      <w:r w:rsidRPr="004448B3">
        <w:rPr>
          <w:sz w:val="28"/>
          <w:szCs w:val="28"/>
          <w:lang w:val="en-US"/>
        </w:rPr>
        <w:t>Q</w:t>
      </w:r>
      <w:r w:rsidRPr="004448B3">
        <w:rPr>
          <w:sz w:val="28"/>
          <w:szCs w:val="28"/>
          <w:vertAlign w:val="subscript"/>
        </w:rPr>
        <w:t>ар =</w:t>
      </w:r>
      <w:r w:rsidRPr="004448B3">
        <w:rPr>
          <w:sz w:val="28"/>
          <w:szCs w:val="28"/>
          <w:lang w:val="en-US"/>
        </w:rPr>
        <w:t>Q</w:t>
      </w:r>
      <w:r w:rsidRPr="004448B3">
        <w:rPr>
          <w:sz w:val="28"/>
          <w:szCs w:val="28"/>
          <w:vertAlign w:val="subscript"/>
        </w:rPr>
        <w:t>ар 20</w:t>
      </w:r>
      <w:r>
        <w:rPr>
          <w:sz w:val="28"/>
          <w:szCs w:val="28"/>
          <w:vertAlign w:val="subscript"/>
        </w:rPr>
        <w:t>19</w:t>
      </w:r>
      <w:r w:rsidRPr="004448B3">
        <w:rPr>
          <w:sz w:val="28"/>
          <w:szCs w:val="28"/>
          <w:vertAlign w:val="subscript"/>
        </w:rPr>
        <w:t>+</w:t>
      </w:r>
      <w:r w:rsidRPr="004448B3">
        <w:rPr>
          <w:sz w:val="28"/>
          <w:szCs w:val="28"/>
        </w:rPr>
        <w:t xml:space="preserve"> </w:t>
      </w:r>
      <w:r w:rsidRPr="004448B3">
        <w:rPr>
          <w:sz w:val="28"/>
          <w:szCs w:val="28"/>
          <w:lang w:val="en-US"/>
        </w:rPr>
        <w:t>Q</w:t>
      </w:r>
      <w:r w:rsidRPr="004448B3">
        <w:rPr>
          <w:sz w:val="28"/>
          <w:szCs w:val="28"/>
          <w:vertAlign w:val="subscript"/>
        </w:rPr>
        <w:t>ар 20</w:t>
      </w:r>
      <w:r>
        <w:rPr>
          <w:sz w:val="28"/>
          <w:szCs w:val="28"/>
          <w:vertAlign w:val="subscript"/>
        </w:rPr>
        <w:t>20</w:t>
      </w:r>
      <w:r w:rsidRPr="004448B3">
        <w:rPr>
          <w:sz w:val="28"/>
          <w:szCs w:val="28"/>
          <w:vertAlign w:val="subscript"/>
        </w:rPr>
        <w:t>+</w:t>
      </w:r>
      <w:r w:rsidRPr="004448B3">
        <w:rPr>
          <w:sz w:val="28"/>
          <w:szCs w:val="28"/>
        </w:rPr>
        <w:t xml:space="preserve"> </w:t>
      </w:r>
      <w:r w:rsidRPr="004448B3">
        <w:rPr>
          <w:sz w:val="28"/>
          <w:szCs w:val="28"/>
          <w:lang w:val="en-US"/>
        </w:rPr>
        <w:t>Q</w:t>
      </w:r>
      <w:r w:rsidRPr="004448B3">
        <w:rPr>
          <w:sz w:val="28"/>
          <w:szCs w:val="28"/>
          <w:vertAlign w:val="subscript"/>
        </w:rPr>
        <w:t>ар 20</w:t>
      </w:r>
      <w:r>
        <w:rPr>
          <w:sz w:val="28"/>
          <w:szCs w:val="28"/>
          <w:vertAlign w:val="subscript"/>
        </w:rPr>
        <w:t>21</w:t>
      </w:r>
    </w:p>
    <w:p w:rsidR="00CE1891" w:rsidRPr="004448B3" w:rsidRDefault="00CE1891" w:rsidP="00CE1891">
      <w:pPr>
        <w:ind w:firstLine="708"/>
        <w:jc w:val="both"/>
        <w:rPr>
          <w:sz w:val="28"/>
          <w:szCs w:val="28"/>
        </w:rPr>
      </w:pPr>
      <w:r w:rsidRPr="004448B3">
        <w:rPr>
          <w:sz w:val="28"/>
          <w:szCs w:val="28"/>
          <w:lang w:val="en-US"/>
        </w:rPr>
        <w:t>Q</w:t>
      </w:r>
      <w:r w:rsidRPr="004448B3">
        <w:rPr>
          <w:sz w:val="28"/>
          <w:szCs w:val="28"/>
          <w:vertAlign w:val="subscript"/>
        </w:rPr>
        <w:t xml:space="preserve">ар </w:t>
      </w:r>
      <w:r w:rsidRPr="004448B3">
        <w:rPr>
          <w:sz w:val="28"/>
          <w:szCs w:val="28"/>
        </w:rPr>
        <w:t>- объем древесины, подлежащий заготовке по договорам аренды лесных участков, находящихся в федеральной собственности, (куб.м)</w:t>
      </w:r>
    </w:p>
    <w:p w:rsidR="00CE1891" w:rsidRPr="004448B3" w:rsidRDefault="00CE1891" w:rsidP="00CE1891">
      <w:pPr>
        <w:ind w:firstLine="708"/>
        <w:jc w:val="both"/>
        <w:rPr>
          <w:sz w:val="28"/>
          <w:szCs w:val="28"/>
        </w:rPr>
      </w:pPr>
      <w:r w:rsidRPr="004448B3">
        <w:rPr>
          <w:sz w:val="28"/>
          <w:szCs w:val="28"/>
        </w:rPr>
        <w:t>Σ</w:t>
      </w:r>
      <w:r w:rsidRPr="004448B3">
        <w:rPr>
          <w:sz w:val="28"/>
          <w:szCs w:val="28"/>
          <w:vertAlign w:val="superscript"/>
        </w:rPr>
        <w:t>3</w:t>
      </w:r>
      <w:r w:rsidRPr="004448B3">
        <w:rPr>
          <w:sz w:val="28"/>
          <w:szCs w:val="28"/>
          <w:vertAlign w:val="subscript"/>
          <w:lang w:val="en-US"/>
        </w:rPr>
        <w:t>t</w:t>
      </w:r>
      <w:r w:rsidRPr="004448B3">
        <w:rPr>
          <w:sz w:val="28"/>
          <w:szCs w:val="28"/>
          <w:vertAlign w:val="subscript"/>
        </w:rPr>
        <w:t xml:space="preserve">=1 </w:t>
      </w:r>
      <w:r w:rsidRPr="004448B3">
        <w:rPr>
          <w:sz w:val="28"/>
          <w:szCs w:val="28"/>
          <w:lang w:val="en-US"/>
        </w:rPr>
        <w:t>Q</w:t>
      </w:r>
      <w:r w:rsidRPr="004448B3">
        <w:rPr>
          <w:sz w:val="28"/>
          <w:szCs w:val="28"/>
          <w:vertAlign w:val="subscript"/>
        </w:rPr>
        <w:t>ар =</w:t>
      </w:r>
      <w:r>
        <w:rPr>
          <w:sz w:val="28"/>
          <w:szCs w:val="28"/>
        </w:rPr>
        <w:t>6 044 600</w:t>
      </w:r>
      <w:r w:rsidRPr="004448B3">
        <w:rPr>
          <w:sz w:val="28"/>
          <w:szCs w:val="28"/>
        </w:rPr>
        <w:t xml:space="preserve"> + </w:t>
      </w:r>
      <w:r>
        <w:rPr>
          <w:sz w:val="28"/>
          <w:szCs w:val="28"/>
        </w:rPr>
        <w:t>6 377 400 + 6 107 000</w:t>
      </w:r>
      <w:r w:rsidRPr="004448B3">
        <w:rPr>
          <w:sz w:val="28"/>
          <w:szCs w:val="28"/>
        </w:rPr>
        <w:t xml:space="preserve"> = </w:t>
      </w:r>
      <w:r>
        <w:rPr>
          <w:sz w:val="28"/>
          <w:szCs w:val="28"/>
        </w:rPr>
        <w:t xml:space="preserve">18 529 000 </w:t>
      </w:r>
      <w:r w:rsidRPr="004448B3">
        <w:rPr>
          <w:sz w:val="28"/>
          <w:szCs w:val="28"/>
        </w:rPr>
        <w:t>(куб.м)</w:t>
      </w:r>
    </w:p>
    <w:p w:rsidR="00CE1891" w:rsidRDefault="00CE1891" w:rsidP="00CE1891">
      <w:pPr>
        <w:ind w:firstLine="708"/>
        <w:jc w:val="both"/>
        <w:rPr>
          <w:sz w:val="28"/>
          <w:szCs w:val="28"/>
          <w:vertAlign w:val="subscript"/>
        </w:rPr>
      </w:pPr>
      <w:r w:rsidRPr="004448B3">
        <w:rPr>
          <w:sz w:val="28"/>
          <w:szCs w:val="28"/>
          <w:lang w:val="en-US"/>
        </w:rPr>
        <w:t>Q</w:t>
      </w:r>
      <w:r w:rsidRPr="004448B3">
        <w:rPr>
          <w:sz w:val="28"/>
          <w:szCs w:val="28"/>
          <w:vertAlign w:val="superscript"/>
        </w:rPr>
        <w:t>ср</w:t>
      </w:r>
      <w:r w:rsidRPr="004448B3">
        <w:rPr>
          <w:sz w:val="28"/>
          <w:szCs w:val="28"/>
          <w:vertAlign w:val="subscript"/>
        </w:rPr>
        <w:t>ар</w:t>
      </w:r>
      <w:r w:rsidRPr="004448B3">
        <w:rPr>
          <w:sz w:val="28"/>
          <w:szCs w:val="28"/>
        </w:rPr>
        <w:t xml:space="preserve"> =</w:t>
      </w:r>
      <w:r>
        <w:rPr>
          <w:sz w:val="28"/>
          <w:szCs w:val="28"/>
        </w:rPr>
        <w:t>18 529 000</w:t>
      </w:r>
      <w:r w:rsidRPr="004448B3">
        <w:rPr>
          <w:sz w:val="28"/>
          <w:szCs w:val="28"/>
        </w:rPr>
        <w:t xml:space="preserve">/3= </w:t>
      </w:r>
      <w:r>
        <w:rPr>
          <w:sz w:val="28"/>
          <w:szCs w:val="28"/>
        </w:rPr>
        <w:t>6 176 333,3</w:t>
      </w:r>
      <w:r w:rsidRPr="004448B3">
        <w:rPr>
          <w:sz w:val="28"/>
          <w:szCs w:val="28"/>
        </w:rPr>
        <w:t>(куб.м)</w:t>
      </w:r>
      <w:r w:rsidRPr="004448B3">
        <w:rPr>
          <w:sz w:val="28"/>
          <w:szCs w:val="28"/>
          <w:vertAlign w:val="subscript"/>
        </w:rPr>
        <w:t xml:space="preserve"> </w:t>
      </w:r>
    </w:p>
    <w:p w:rsidR="00CE1891" w:rsidRDefault="00CE1891" w:rsidP="00CE1891">
      <w:pPr>
        <w:widowControl w:val="0"/>
        <w:ind w:firstLine="760"/>
        <w:jc w:val="both"/>
        <w:rPr>
          <w:iCs/>
          <w:sz w:val="32"/>
          <w:szCs w:val="28"/>
          <w:lang w:bidi="ru-RU"/>
        </w:rPr>
      </w:pPr>
    </w:p>
    <w:p w:rsidR="00CE1891" w:rsidRPr="00791AFA" w:rsidRDefault="00CE1891" w:rsidP="00CE1891">
      <w:pPr>
        <w:widowControl w:val="0"/>
        <w:ind w:firstLine="760"/>
        <w:jc w:val="both"/>
        <w:rPr>
          <w:sz w:val="28"/>
          <w:szCs w:val="28"/>
          <w:lang w:bidi="ru-RU"/>
        </w:rPr>
      </w:pPr>
      <w:r w:rsidRPr="00791AFA">
        <w:rPr>
          <w:iCs/>
          <w:sz w:val="28"/>
          <w:szCs w:val="28"/>
          <w:lang w:bidi="ru-RU"/>
        </w:rPr>
        <w:t>Т</w:t>
      </w:r>
      <w:r w:rsidRPr="00791AFA">
        <w:rPr>
          <w:iCs/>
          <w:sz w:val="28"/>
          <w:szCs w:val="28"/>
          <w:vertAlign w:val="superscript"/>
          <w:lang w:bidi="ru-RU"/>
        </w:rPr>
        <w:t>ср</w:t>
      </w:r>
      <w:r w:rsidRPr="00791AFA">
        <w:rPr>
          <w:iCs/>
          <w:sz w:val="28"/>
          <w:szCs w:val="28"/>
          <w:lang w:bidi="ru-RU"/>
        </w:rPr>
        <w:t xml:space="preserve"> </w:t>
      </w:r>
      <w:r w:rsidRPr="00791AFA">
        <w:rPr>
          <w:iCs/>
          <w:sz w:val="28"/>
          <w:szCs w:val="28"/>
          <w:vertAlign w:val="subscript"/>
          <w:lang w:val="en-US" w:bidi="ru-RU"/>
        </w:rPr>
        <w:t>Q</w:t>
      </w:r>
      <w:r w:rsidRPr="00791AFA">
        <w:rPr>
          <w:iCs/>
          <w:sz w:val="28"/>
          <w:szCs w:val="28"/>
          <w:vertAlign w:val="subscript"/>
          <w:lang w:bidi="ru-RU"/>
        </w:rPr>
        <w:t xml:space="preserve">ар </w:t>
      </w:r>
      <w:r w:rsidRPr="00791AFA">
        <w:rPr>
          <w:sz w:val="28"/>
          <w:szCs w:val="28"/>
          <w:lang w:bidi="ru-RU"/>
        </w:rPr>
        <w:t>- средний темп роста (снижения) объема древесины, подлежащего заготовке по договорам аренды лесных участков, находящихся в федеральной собственности, за три отчетных года, предшествующих прогнозируемому году (ед.), рассчитывается по формуле:</w:t>
      </w:r>
    </w:p>
    <w:p w:rsidR="00CE1891" w:rsidRPr="00791AFA" w:rsidRDefault="00CE1891" w:rsidP="00CE1891">
      <w:pPr>
        <w:widowControl w:val="0"/>
        <w:ind w:firstLine="760"/>
        <w:jc w:val="both"/>
        <w:rPr>
          <w:sz w:val="28"/>
          <w:szCs w:val="28"/>
          <w:lang w:bidi="ru-RU"/>
        </w:rPr>
      </w:pPr>
    </w:p>
    <w:p w:rsidR="00CE1891" w:rsidRPr="00791AFA" w:rsidRDefault="00CE1891" w:rsidP="00CE1891">
      <w:pPr>
        <w:widowControl w:val="0"/>
        <w:ind w:firstLine="760"/>
        <w:jc w:val="both"/>
        <w:rPr>
          <w:sz w:val="28"/>
          <w:szCs w:val="28"/>
          <w:lang w:bidi="ru-RU"/>
        </w:rPr>
      </w:pPr>
      <w:r w:rsidRPr="00791AFA">
        <w:rPr>
          <w:iCs/>
          <w:sz w:val="28"/>
          <w:szCs w:val="28"/>
          <w:lang w:bidi="ru-RU"/>
        </w:rPr>
        <w:t>Т</w:t>
      </w:r>
      <w:r w:rsidRPr="00791AFA">
        <w:rPr>
          <w:iCs/>
          <w:sz w:val="28"/>
          <w:szCs w:val="28"/>
          <w:vertAlign w:val="superscript"/>
          <w:lang w:bidi="ru-RU"/>
        </w:rPr>
        <w:t>ср</w:t>
      </w:r>
      <w:r w:rsidRPr="00791AFA">
        <w:rPr>
          <w:iCs/>
          <w:sz w:val="28"/>
          <w:szCs w:val="28"/>
          <w:lang w:bidi="ru-RU"/>
        </w:rPr>
        <w:t xml:space="preserve"> </w:t>
      </w:r>
      <w:r w:rsidRPr="00791AFA">
        <w:rPr>
          <w:iCs/>
          <w:sz w:val="28"/>
          <w:szCs w:val="28"/>
          <w:vertAlign w:val="subscript"/>
          <w:lang w:val="en-US" w:bidi="ru-RU"/>
        </w:rPr>
        <w:t>Q</w:t>
      </w:r>
      <w:r w:rsidRPr="00791AFA">
        <w:rPr>
          <w:iCs/>
          <w:sz w:val="28"/>
          <w:szCs w:val="28"/>
          <w:vertAlign w:val="subscript"/>
          <w:lang w:bidi="ru-RU"/>
        </w:rPr>
        <w:t xml:space="preserve">ар </w:t>
      </w:r>
      <w:r w:rsidRPr="00791AFA">
        <w:rPr>
          <w:iCs/>
          <w:sz w:val="28"/>
          <w:szCs w:val="28"/>
          <w:lang w:bidi="ru-RU"/>
        </w:rPr>
        <w:t xml:space="preserve">= ∑ </w:t>
      </w:r>
      <w:r w:rsidRPr="00791AFA">
        <w:rPr>
          <w:iCs/>
          <w:sz w:val="28"/>
          <w:szCs w:val="28"/>
          <w:vertAlign w:val="superscript"/>
          <w:lang w:bidi="ru-RU"/>
        </w:rPr>
        <w:t>3</w:t>
      </w:r>
      <w:r w:rsidRPr="00791AFA">
        <w:rPr>
          <w:iCs/>
          <w:sz w:val="28"/>
          <w:szCs w:val="28"/>
          <w:lang w:bidi="ru-RU"/>
        </w:rPr>
        <w:t xml:space="preserve"> </w:t>
      </w:r>
      <w:r w:rsidRPr="00791AFA">
        <w:rPr>
          <w:iCs/>
          <w:sz w:val="28"/>
          <w:szCs w:val="28"/>
          <w:vertAlign w:val="subscript"/>
          <w:lang w:val="en-US" w:bidi="ru-RU"/>
        </w:rPr>
        <w:t>t</w:t>
      </w:r>
      <w:r w:rsidRPr="00791AFA">
        <w:rPr>
          <w:iCs/>
          <w:sz w:val="28"/>
          <w:szCs w:val="28"/>
          <w:vertAlign w:val="subscript"/>
          <w:lang w:bidi="ru-RU"/>
        </w:rPr>
        <w:t xml:space="preserve">=1 </w:t>
      </w:r>
      <w:r w:rsidRPr="00791AFA">
        <w:rPr>
          <w:iCs/>
          <w:sz w:val="28"/>
          <w:szCs w:val="28"/>
          <w:lang w:bidi="ru-RU"/>
        </w:rPr>
        <w:t xml:space="preserve">Т </w:t>
      </w:r>
      <w:r w:rsidRPr="00791AFA">
        <w:rPr>
          <w:iCs/>
          <w:sz w:val="28"/>
          <w:szCs w:val="28"/>
          <w:vertAlign w:val="subscript"/>
          <w:lang w:val="en-US" w:bidi="ru-RU"/>
        </w:rPr>
        <w:t>Q</w:t>
      </w:r>
      <w:r w:rsidRPr="00791AFA">
        <w:rPr>
          <w:iCs/>
          <w:sz w:val="28"/>
          <w:szCs w:val="28"/>
          <w:vertAlign w:val="subscript"/>
          <w:lang w:bidi="ru-RU"/>
        </w:rPr>
        <w:t>ар</w:t>
      </w:r>
      <w:r w:rsidRPr="00791AFA">
        <w:rPr>
          <w:iCs/>
          <w:sz w:val="28"/>
          <w:szCs w:val="28"/>
          <w:lang w:bidi="ru-RU"/>
        </w:rPr>
        <w:t>/3</w:t>
      </w:r>
    </w:p>
    <w:p w:rsidR="00CE1891" w:rsidRPr="00791AFA" w:rsidRDefault="00CE1891" w:rsidP="00CE1891">
      <w:pPr>
        <w:widowControl w:val="0"/>
        <w:tabs>
          <w:tab w:val="left" w:pos="3212"/>
          <w:tab w:val="left" w:pos="5631"/>
          <w:tab w:val="left" w:pos="8082"/>
          <w:tab w:val="left" w:pos="8666"/>
        </w:tabs>
        <w:ind w:firstLine="760"/>
        <w:jc w:val="both"/>
        <w:rPr>
          <w:sz w:val="28"/>
          <w:szCs w:val="28"/>
          <w:lang w:bidi="ru-RU"/>
        </w:rPr>
      </w:pPr>
      <w:r w:rsidRPr="00791AFA">
        <w:rPr>
          <w:iCs/>
          <w:sz w:val="28"/>
          <w:szCs w:val="28"/>
          <w:lang w:bidi="ru-RU"/>
        </w:rPr>
        <w:t>Т</w:t>
      </w:r>
      <w:r w:rsidRPr="00791AFA">
        <w:rPr>
          <w:iCs/>
          <w:sz w:val="28"/>
          <w:szCs w:val="28"/>
          <w:vertAlign w:val="superscript"/>
          <w:lang w:bidi="ru-RU"/>
        </w:rPr>
        <w:t>ср</w:t>
      </w:r>
      <w:r w:rsidRPr="00791AFA">
        <w:rPr>
          <w:iCs/>
          <w:sz w:val="28"/>
          <w:szCs w:val="28"/>
          <w:lang w:bidi="ru-RU"/>
        </w:rPr>
        <w:t xml:space="preserve"> </w:t>
      </w:r>
      <w:r w:rsidRPr="00791AFA">
        <w:rPr>
          <w:iCs/>
          <w:sz w:val="28"/>
          <w:szCs w:val="28"/>
          <w:vertAlign w:val="subscript"/>
          <w:lang w:val="en-US" w:bidi="ru-RU"/>
        </w:rPr>
        <w:t>Q</w:t>
      </w:r>
      <w:r w:rsidRPr="00791AFA">
        <w:rPr>
          <w:iCs/>
          <w:sz w:val="28"/>
          <w:szCs w:val="28"/>
          <w:vertAlign w:val="subscript"/>
          <w:lang w:bidi="ru-RU"/>
        </w:rPr>
        <w:t>ар</w:t>
      </w:r>
      <w:r w:rsidRPr="00791AFA">
        <w:rPr>
          <w:iCs/>
          <w:sz w:val="28"/>
          <w:szCs w:val="28"/>
          <w:lang w:bidi="ru-RU"/>
        </w:rPr>
        <w:t>=</w:t>
      </w:r>
      <w:r>
        <w:rPr>
          <w:iCs/>
          <w:sz w:val="28"/>
          <w:szCs w:val="28"/>
          <w:lang w:bidi="ru-RU"/>
        </w:rPr>
        <w:t>3,03733/3=1,0124</w:t>
      </w:r>
    </w:p>
    <w:p w:rsidR="00CE1891" w:rsidRPr="00791AFA" w:rsidRDefault="00CE1891" w:rsidP="00CE1891">
      <w:pPr>
        <w:widowControl w:val="0"/>
        <w:tabs>
          <w:tab w:val="left" w:pos="3212"/>
          <w:tab w:val="left" w:pos="5631"/>
          <w:tab w:val="left" w:pos="8082"/>
          <w:tab w:val="left" w:pos="8666"/>
        </w:tabs>
        <w:ind w:firstLine="760"/>
        <w:jc w:val="both"/>
        <w:rPr>
          <w:sz w:val="28"/>
          <w:szCs w:val="28"/>
          <w:lang w:bidi="ru-RU"/>
        </w:rPr>
      </w:pPr>
      <w:r w:rsidRPr="00791AFA">
        <w:rPr>
          <w:sz w:val="28"/>
          <w:szCs w:val="28"/>
          <w:lang w:bidi="ru-RU"/>
        </w:rPr>
        <w:t>где:</w:t>
      </w:r>
    </w:p>
    <w:p w:rsidR="00CE1891" w:rsidRPr="00791AFA" w:rsidRDefault="00CE1891" w:rsidP="00CE1891">
      <w:pPr>
        <w:widowControl w:val="0"/>
        <w:ind w:firstLine="760"/>
        <w:jc w:val="both"/>
        <w:rPr>
          <w:sz w:val="28"/>
          <w:szCs w:val="28"/>
          <w:lang w:bidi="ru-RU"/>
        </w:rPr>
      </w:pPr>
      <w:r w:rsidRPr="00791AFA">
        <w:rPr>
          <w:iCs/>
          <w:sz w:val="28"/>
          <w:szCs w:val="28"/>
          <w:lang w:bidi="ru-RU"/>
        </w:rPr>
        <w:t xml:space="preserve">∑ </w:t>
      </w:r>
      <w:r w:rsidRPr="00791AFA">
        <w:rPr>
          <w:iCs/>
          <w:sz w:val="28"/>
          <w:szCs w:val="28"/>
          <w:vertAlign w:val="superscript"/>
          <w:lang w:bidi="ru-RU"/>
        </w:rPr>
        <w:t>3</w:t>
      </w:r>
      <w:r w:rsidRPr="00791AFA">
        <w:rPr>
          <w:iCs/>
          <w:sz w:val="28"/>
          <w:szCs w:val="28"/>
          <w:lang w:bidi="ru-RU"/>
        </w:rPr>
        <w:t xml:space="preserve"> </w:t>
      </w:r>
      <w:r w:rsidRPr="00791AFA">
        <w:rPr>
          <w:iCs/>
          <w:sz w:val="28"/>
          <w:szCs w:val="28"/>
          <w:vertAlign w:val="subscript"/>
          <w:lang w:val="en-US" w:bidi="ru-RU"/>
        </w:rPr>
        <w:t>t</w:t>
      </w:r>
      <w:r w:rsidRPr="00791AFA">
        <w:rPr>
          <w:iCs/>
          <w:sz w:val="28"/>
          <w:szCs w:val="28"/>
          <w:vertAlign w:val="subscript"/>
          <w:lang w:bidi="ru-RU"/>
        </w:rPr>
        <w:t xml:space="preserve">=1 </w:t>
      </w:r>
      <w:r w:rsidRPr="00791AFA">
        <w:rPr>
          <w:iCs/>
          <w:sz w:val="28"/>
          <w:szCs w:val="28"/>
          <w:lang w:bidi="ru-RU"/>
        </w:rPr>
        <w:t xml:space="preserve">Т </w:t>
      </w:r>
      <w:r w:rsidRPr="00791AFA">
        <w:rPr>
          <w:iCs/>
          <w:sz w:val="28"/>
          <w:szCs w:val="28"/>
          <w:vertAlign w:val="subscript"/>
          <w:lang w:val="en-US" w:bidi="ru-RU"/>
        </w:rPr>
        <w:t>Q</w:t>
      </w:r>
      <w:r w:rsidRPr="00791AFA">
        <w:rPr>
          <w:iCs/>
          <w:sz w:val="28"/>
          <w:szCs w:val="28"/>
          <w:vertAlign w:val="subscript"/>
          <w:lang w:bidi="ru-RU"/>
        </w:rPr>
        <w:t>ар</w:t>
      </w:r>
      <w:r w:rsidRPr="00791AFA">
        <w:rPr>
          <w:iCs/>
          <w:sz w:val="28"/>
          <w:szCs w:val="28"/>
          <w:lang w:bidi="ru-RU"/>
        </w:rPr>
        <w:t xml:space="preserve"> -</w:t>
      </w:r>
      <w:r w:rsidRPr="00791AFA">
        <w:rPr>
          <w:sz w:val="28"/>
          <w:szCs w:val="28"/>
          <w:lang w:bidi="ru-RU"/>
        </w:rPr>
        <w:t xml:space="preserve"> сумма темпов роста (снижения) объема древесины, подлежащего заготовке по договорам аренды лесных участков, находящихся в федеральной собственности, за три отчетных года, предшествующих прогнозируемому году (ед.);</w:t>
      </w:r>
    </w:p>
    <w:p w:rsidR="00CE1891" w:rsidRPr="00791AFA" w:rsidRDefault="00CE1891" w:rsidP="00CE1891">
      <w:pPr>
        <w:widowControl w:val="0"/>
        <w:ind w:firstLine="760"/>
        <w:jc w:val="both"/>
        <w:rPr>
          <w:sz w:val="28"/>
          <w:szCs w:val="28"/>
          <w:lang w:bidi="ru-RU"/>
        </w:rPr>
      </w:pPr>
      <w:r w:rsidRPr="00791AFA">
        <w:rPr>
          <w:iCs/>
          <w:sz w:val="28"/>
          <w:szCs w:val="28"/>
          <w:lang w:bidi="ru-RU"/>
        </w:rPr>
        <w:t xml:space="preserve">Т </w:t>
      </w:r>
      <w:r w:rsidRPr="00791AFA">
        <w:rPr>
          <w:iCs/>
          <w:sz w:val="28"/>
          <w:szCs w:val="28"/>
          <w:vertAlign w:val="subscript"/>
          <w:lang w:val="en-US" w:bidi="ru-RU"/>
        </w:rPr>
        <w:t>Q</w:t>
      </w:r>
      <w:r w:rsidRPr="00791AFA">
        <w:rPr>
          <w:iCs/>
          <w:sz w:val="28"/>
          <w:szCs w:val="28"/>
          <w:vertAlign w:val="subscript"/>
          <w:lang w:bidi="ru-RU"/>
        </w:rPr>
        <w:t>ар</w:t>
      </w:r>
      <w:r w:rsidRPr="00791AFA">
        <w:rPr>
          <w:iCs/>
          <w:sz w:val="28"/>
          <w:szCs w:val="28"/>
          <w:lang w:bidi="ru-RU"/>
        </w:rPr>
        <w:t xml:space="preserve"> - </w:t>
      </w:r>
      <w:r w:rsidRPr="00791AFA">
        <w:rPr>
          <w:sz w:val="28"/>
          <w:szCs w:val="28"/>
          <w:lang w:bidi="ru-RU"/>
        </w:rPr>
        <w:t>темп роста (снижения) объема древесины, подлежащего заготовке по договорам аренды лесных участков, находящихся в федеральной собственности,  за год (ед.), определяется по формуле:</w:t>
      </w:r>
    </w:p>
    <w:p w:rsidR="00CE1891" w:rsidRPr="00791AFA" w:rsidRDefault="00CE1891" w:rsidP="00CE1891">
      <w:pPr>
        <w:widowControl w:val="0"/>
        <w:ind w:firstLine="580"/>
        <w:jc w:val="both"/>
        <w:rPr>
          <w:iCs/>
          <w:sz w:val="28"/>
          <w:szCs w:val="28"/>
          <w:lang w:bidi="ru-RU"/>
        </w:rPr>
      </w:pPr>
    </w:p>
    <w:p w:rsidR="00CE1891" w:rsidRPr="00791AFA" w:rsidRDefault="00CE1891" w:rsidP="00CE1891">
      <w:pPr>
        <w:widowControl w:val="0"/>
        <w:ind w:firstLine="580"/>
        <w:jc w:val="both"/>
        <w:rPr>
          <w:iCs/>
          <w:sz w:val="28"/>
          <w:szCs w:val="28"/>
          <w:vertAlign w:val="subscript"/>
          <w:lang w:bidi="ru-RU"/>
        </w:rPr>
      </w:pPr>
      <w:r w:rsidRPr="00791AFA">
        <w:rPr>
          <w:iCs/>
          <w:sz w:val="28"/>
          <w:szCs w:val="28"/>
          <w:lang w:bidi="ru-RU"/>
        </w:rPr>
        <w:t xml:space="preserve">Т </w:t>
      </w:r>
      <w:r w:rsidRPr="00791AFA">
        <w:rPr>
          <w:iCs/>
          <w:sz w:val="28"/>
          <w:szCs w:val="28"/>
          <w:vertAlign w:val="subscript"/>
          <w:lang w:val="en-US" w:bidi="ru-RU"/>
        </w:rPr>
        <w:t>Q</w:t>
      </w:r>
      <w:r w:rsidRPr="00791AFA">
        <w:rPr>
          <w:iCs/>
          <w:sz w:val="28"/>
          <w:szCs w:val="28"/>
          <w:vertAlign w:val="subscript"/>
          <w:lang w:bidi="ru-RU"/>
        </w:rPr>
        <w:t>ар</w:t>
      </w:r>
      <w:r w:rsidRPr="00791AFA">
        <w:rPr>
          <w:iCs/>
          <w:sz w:val="28"/>
          <w:szCs w:val="28"/>
          <w:lang w:bidi="ru-RU"/>
        </w:rPr>
        <w:t xml:space="preserve"> = </w:t>
      </w:r>
      <w:r w:rsidRPr="00791AFA">
        <w:rPr>
          <w:iCs/>
          <w:sz w:val="28"/>
          <w:szCs w:val="28"/>
          <w:lang w:val="en-US" w:bidi="ru-RU"/>
        </w:rPr>
        <w:t>Q</w:t>
      </w:r>
      <w:r w:rsidRPr="00791AFA">
        <w:rPr>
          <w:iCs/>
          <w:sz w:val="28"/>
          <w:szCs w:val="28"/>
          <w:lang w:bidi="ru-RU"/>
        </w:rPr>
        <w:t xml:space="preserve"> </w:t>
      </w:r>
      <w:r w:rsidRPr="00791AFA">
        <w:rPr>
          <w:iCs/>
          <w:sz w:val="28"/>
          <w:szCs w:val="28"/>
          <w:vertAlign w:val="superscript"/>
          <w:lang w:val="en-US" w:bidi="ru-RU"/>
        </w:rPr>
        <w:t>n</w:t>
      </w:r>
      <w:r w:rsidRPr="00791AFA">
        <w:rPr>
          <w:iCs/>
          <w:sz w:val="28"/>
          <w:szCs w:val="28"/>
          <w:lang w:bidi="ru-RU"/>
        </w:rPr>
        <w:t xml:space="preserve"> </w:t>
      </w:r>
      <w:r w:rsidRPr="00791AFA">
        <w:rPr>
          <w:iCs/>
          <w:sz w:val="28"/>
          <w:szCs w:val="28"/>
          <w:vertAlign w:val="subscript"/>
          <w:lang w:bidi="ru-RU"/>
        </w:rPr>
        <w:t xml:space="preserve">ар / </w:t>
      </w:r>
      <w:r w:rsidRPr="00791AFA">
        <w:rPr>
          <w:iCs/>
          <w:sz w:val="28"/>
          <w:szCs w:val="28"/>
          <w:lang w:val="en-US" w:bidi="ru-RU"/>
        </w:rPr>
        <w:t>Q</w:t>
      </w:r>
      <w:r w:rsidRPr="00791AFA">
        <w:rPr>
          <w:iCs/>
          <w:sz w:val="28"/>
          <w:szCs w:val="28"/>
          <w:lang w:bidi="ru-RU"/>
        </w:rPr>
        <w:t xml:space="preserve"> </w:t>
      </w:r>
      <w:r w:rsidRPr="00791AFA">
        <w:rPr>
          <w:iCs/>
          <w:sz w:val="28"/>
          <w:szCs w:val="28"/>
          <w:vertAlign w:val="superscript"/>
          <w:lang w:val="en-US" w:bidi="ru-RU"/>
        </w:rPr>
        <w:t>n</w:t>
      </w:r>
      <w:r w:rsidRPr="00791AFA">
        <w:rPr>
          <w:iCs/>
          <w:sz w:val="28"/>
          <w:szCs w:val="28"/>
          <w:vertAlign w:val="superscript"/>
          <w:lang w:bidi="ru-RU"/>
        </w:rPr>
        <w:t>-1</w:t>
      </w:r>
      <w:r w:rsidRPr="00791AFA">
        <w:rPr>
          <w:iCs/>
          <w:sz w:val="28"/>
          <w:szCs w:val="28"/>
          <w:lang w:bidi="ru-RU"/>
        </w:rPr>
        <w:t xml:space="preserve"> </w:t>
      </w:r>
      <w:r w:rsidRPr="00791AFA">
        <w:rPr>
          <w:iCs/>
          <w:sz w:val="28"/>
          <w:szCs w:val="28"/>
          <w:vertAlign w:val="subscript"/>
          <w:lang w:val="en-US" w:bidi="ru-RU"/>
        </w:rPr>
        <w:t>Q</w:t>
      </w:r>
      <w:r w:rsidRPr="00791AFA">
        <w:rPr>
          <w:iCs/>
          <w:sz w:val="28"/>
          <w:szCs w:val="28"/>
          <w:vertAlign w:val="subscript"/>
          <w:lang w:bidi="ru-RU"/>
        </w:rPr>
        <w:t>ар</w:t>
      </w:r>
    </w:p>
    <w:p w:rsidR="00CE1891" w:rsidRPr="00791AFA" w:rsidRDefault="00CE1891" w:rsidP="00CE1891">
      <w:pPr>
        <w:widowControl w:val="0"/>
        <w:ind w:firstLine="580"/>
        <w:jc w:val="both"/>
        <w:rPr>
          <w:sz w:val="28"/>
          <w:szCs w:val="28"/>
          <w:lang w:bidi="ru-RU"/>
        </w:rPr>
      </w:pPr>
    </w:p>
    <w:p w:rsidR="00CE1891" w:rsidRPr="00791AFA" w:rsidRDefault="00CE1891" w:rsidP="00CE1891">
      <w:pPr>
        <w:widowControl w:val="0"/>
        <w:ind w:firstLine="580"/>
        <w:jc w:val="both"/>
        <w:rPr>
          <w:sz w:val="28"/>
          <w:szCs w:val="28"/>
          <w:lang w:bidi="ru-RU"/>
        </w:rPr>
      </w:pPr>
      <w:r w:rsidRPr="00791AFA">
        <w:rPr>
          <w:sz w:val="28"/>
          <w:szCs w:val="28"/>
          <w:lang w:bidi="ru-RU"/>
        </w:rPr>
        <w:t>где:</w:t>
      </w:r>
    </w:p>
    <w:p w:rsidR="00CE1891" w:rsidRPr="00791AFA" w:rsidRDefault="00CE1891" w:rsidP="00CE1891">
      <w:pPr>
        <w:widowControl w:val="0"/>
        <w:ind w:firstLine="580"/>
        <w:jc w:val="both"/>
        <w:rPr>
          <w:sz w:val="28"/>
          <w:szCs w:val="28"/>
          <w:lang w:bidi="ru-RU"/>
        </w:rPr>
      </w:pPr>
      <w:r w:rsidRPr="00791AFA">
        <w:rPr>
          <w:iCs/>
          <w:sz w:val="28"/>
          <w:szCs w:val="28"/>
          <w:lang w:val="en-US" w:bidi="ru-RU"/>
        </w:rPr>
        <w:t>Q</w:t>
      </w:r>
      <w:r w:rsidRPr="00791AFA">
        <w:rPr>
          <w:iCs/>
          <w:sz w:val="28"/>
          <w:szCs w:val="28"/>
          <w:lang w:bidi="ru-RU"/>
        </w:rPr>
        <w:t xml:space="preserve"> </w:t>
      </w:r>
      <w:r w:rsidRPr="00791AFA">
        <w:rPr>
          <w:iCs/>
          <w:sz w:val="28"/>
          <w:szCs w:val="28"/>
          <w:vertAlign w:val="superscript"/>
          <w:lang w:val="en-US" w:bidi="ru-RU"/>
        </w:rPr>
        <w:t>n</w:t>
      </w:r>
      <w:r w:rsidRPr="00791AFA">
        <w:rPr>
          <w:iCs/>
          <w:sz w:val="28"/>
          <w:szCs w:val="28"/>
          <w:lang w:bidi="ru-RU"/>
        </w:rPr>
        <w:t xml:space="preserve"> </w:t>
      </w:r>
      <w:r w:rsidRPr="00791AFA">
        <w:rPr>
          <w:iCs/>
          <w:sz w:val="28"/>
          <w:szCs w:val="28"/>
          <w:vertAlign w:val="subscript"/>
          <w:lang w:bidi="ru-RU"/>
        </w:rPr>
        <w:t>ар</w:t>
      </w:r>
      <w:r w:rsidRPr="00791AFA">
        <w:rPr>
          <w:iCs/>
          <w:sz w:val="28"/>
          <w:szCs w:val="28"/>
          <w:lang w:bidi="ru-RU"/>
        </w:rPr>
        <w:t xml:space="preserve"> -</w:t>
      </w:r>
      <w:r w:rsidRPr="00791AFA">
        <w:rPr>
          <w:iCs/>
          <w:sz w:val="28"/>
          <w:szCs w:val="28"/>
          <w:vertAlign w:val="subscript"/>
          <w:lang w:bidi="ru-RU"/>
        </w:rPr>
        <w:t xml:space="preserve"> </w:t>
      </w:r>
      <w:r w:rsidRPr="00791AFA">
        <w:rPr>
          <w:sz w:val="28"/>
          <w:szCs w:val="28"/>
          <w:lang w:bidi="ru-RU"/>
        </w:rPr>
        <w:t>объем древесины, подлежащий заготовке по договорам аренды лесных участков, находящихся в федеральной собственности, за год (ед.);</w:t>
      </w:r>
    </w:p>
    <w:p w:rsidR="00CE1891" w:rsidRPr="00791AFA" w:rsidRDefault="00CE1891" w:rsidP="00CE1891">
      <w:pPr>
        <w:widowControl w:val="0"/>
        <w:ind w:firstLine="580"/>
        <w:jc w:val="both"/>
        <w:rPr>
          <w:sz w:val="28"/>
          <w:szCs w:val="28"/>
          <w:lang w:bidi="ru-RU"/>
        </w:rPr>
      </w:pPr>
      <w:r w:rsidRPr="00791AFA">
        <w:rPr>
          <w:iCs/>
          <w:sz w:val="28"/>
          <w:szCs w:val="28"/>
          <w:lang w:val="en-US" w:bidi="ru-RU"/>
        </w:rPr>
        <w:t>Q</w:t>
      </w:r>
      <w:r w:rsidRPr="00791AFA">
        <w:rPr>
          <w:iCs/>
          <w:sz w:val="28"/>
          <w:szCs w:val="28"/>
          <w:lang w:bidi="ru-RU"/>
        </w:rPr>
        <w:t xml:space="preserve"> </w:t>
      </w:r>
      <w:r w:rsidRPr="00791AFA">
        <w:rPr>
          <w:iCs/>
          <w:sz w:val="28"/>
          <w:szCs w:val="28"/>
          <w:vertAlign w:val="superscript"/>
          <w:lang w:val="en-US" w:bidi="ru-RU"/>
        </w:rPr>
        <w:t>n</w:t>
      </w:r>
      <w:r w:rsidRPr="00791AFA">
        <w:rPr>
          <w:iCs/>
          <w:sz w:val="28"/>
          <w:szCs w:val="28"/>
          <w:vertAlign w:val="superscript"/>
          <w:lang w:bidi="ru-RU"/>
        </w:rPr>
        <w:t>-1</w:t>
      </w:r>
      <w:r w:rsidRPr="00791AFA">
        <w:rPr>
          <w:iCs/>
          <w:sz w:val="28"/>
          <w:szCs w:val="28"/>
          <w:lang w:bidi="ru-RU"/>
        </w:rPr>
        <w:t xml:space="preserve"> </w:t>
      </w:r>
      <w:r w:rsidRPr="00791AFA">
        <w:rPr>
          <w:iCs/>
          <w:sz w:val="28"/>
          <w:szCs w:val="28"/>
          <w:vertAlign w:val="subscript"/>
          <w:lang w:val="en-US" w:bidi="ru-RU"/>
        </w:rPr>
        <w:t>Q</w:t>
      </w:r>
      <w:r w:rsidRPr="00791AFA">
        <w:rPr>
          <w:iCs/>
          <w:sz w:val="28"/>
          <w:szCs w:val="28"/>
          <w:vertAlign w:val="subscript"/>
          <w:lang w:bidi="ru-RU"/>
        </w:rPr>
        <w:t>ар</w:t>
      </w:r>
      <w:r w:rsidRPr="00791AFA">
        <w:rPr>
          <w:iCs/>
          <w:sz w:val="28"/>
          <w:szCs w:val="28"/>
          <w:lang w:bidi="ru-RU"/>
        </w:rPr>
        <w:t xml:space="preserve"> -</w:t>
      </w:r>
      <w:r w:rsidRPr="00791AFA">
        <w:rPr>
          <w:sz w:val="28"/>
          <w:szCs w:val="28"/>
          <w:lang w:bidi="ru-RU"/>
        </w:rPr>
        <w:t xml:space="preserve"> объем древесины, подлежащий заготовке по договорам аренды лесных участков, находящихся в федеральной собственности, за предыдущий год (ед.);</w:t>
      </w:r>
    </w:p>
    <w:p w:rsidR="00CE1891" w:rsidRPr="00791AFA" w:rsidRDefault="00CE1891" w:rsidP="00CE1891">
      <w:pPr>
        <w:widowControl w:val="0"/>
        <w:ind w:firstLine="580"/>
        <w:jc w:val="both"/>
        <w:rPr>
          <w:sz w:val="28"/>
          <w:szCs w:val="28"/>
          <w:lang w:bidi="ru-RU"/>
        </w:rPr>
      </w:pPr>
    </w:p>
    <w:p w:rsidR="00CE1891" w:rsidRPr="00791AFA" w:rsidRDefault="00CE1891" w:rsidP="00CE1891">
      <w:pPr>
        <w:ind w:firstLine="708"/>
        <w:jc w:val="both"/>
        <w:rPr>
          <w:sz w:val="28"/>
          <w:szCs w:val="28"/>
          <w:vertAlign w:val="subscript"/>
        </w:rPr>
      </w:pPr>
      <w:r w:rsidRPr="00791AFA">
        <w:rPr>
          <w:iCs/>
          <w:sz w:val="28"/>
          <w:szCs w:val="28"/>
          <w:lang w:bidi="ru-RU"/>
        </w:rPr>
        <w:t xml:space="preserve">Т </w:t>
      </w:r>
      <w:r w:rsidRPr="00791AFA">
        <w:rPr>
          <w:iCs/>
          <w:sz w:val="28"/>
          <w:szCs w:val="28"/>
          <w:vertAlign w:val="subscript"/>
          <w:lang w:val="en-US" w:bidi="ru-RU"/>
        </w:rPr>
        <w:t>Q</w:t>
      </w:r>
      <w:r w:rsidRPr="00791AFA">
        <w:rPr>
          <w:iCs/>
          <w:sz w:val="28"/>
          <w:szCs w:val="28"/>
          <w:vertAlign w:val="subscript"/>
          <w:lang w:bidi="ru-RU"/>
        </w:rPr>
        <w:t>ар2021</w:t>
      </w:r>
      <w:r w:rsidRPr="00791AFA">
        <w:rPr>
          <w:iCs/>
          <w:sz w:val="28"/>
          <w:szCs w:val="28"/>
          <w:lang w:bidi="ru-RU"/>
        </w:rPr>
        <w:t>= 6 107 000</w:t>
      </w:r>
      <w:r w:rsidRPr="00791AFA">
        <w:rPr>
          <w:sz w:val="28"/>
          <w:szCs w:val="28"/>
        </w:rPr>
        <w:t>(куб.м)</w:t>
      </w:r>
      <w:r w:rsidRPr="00791AFA">
        <w:rPr>
          <w:sz w:val="28"/>
          <w:szCs w:val="28"/>
          <w:vertAlign w:val="subscript"/>
        </w:rPr>
        <w:t xml:space="preserve"> </w:t>
      </w:r>
      <w:r w:rsidRPr="00791AFA">
        <w:rPr>
          <w:iCs/>
          <w:sz w:val="28"/>
          <w:szCs w:val="28"/>
          <w:lang w:bidi="ru-RU"/>
        </w:rPr>
        <w:t>/6 377 400</w:t>
      </w:r>
      <w:r w:rsidRPr="00791AFA">
        <w:rPr>
          <w:sz w:val="28"/>
          <w:szCs w:val="28"/>
        </w:rPr>
        <w:t>(куб.м)=0,95760</w:t>
      </w:r>
    </w:p>
    <w:p w:rsidR="00CE1891" w:rsidRPr="00791AFA" w:rsidRDefault="00CE1891" w:rsidP="00CE1891">
      <w:pPr>
        <w:ind w:firstLine="708"/>
        <w:jc w:val="both"/>
        <w:rPr>
          <w:sz w:val="28"/>
          <w:szCs w:val="28"/>
          <w:vertAlign w:val="subscript"/>
        </w:rPr>
      </w:pPr>
      <w:r w:rsidRPr="00791AFA">
        <w:rPr>
          <w:iCs/>
          <w:sz w:val="28"/>
          <w:szCs w:val="28"/>
          <w:lang w:bidi="ru-RU"/>
        </w:rPr>
        <w:t xml:space="preserve">Т </w:t>
      </w:r>
      <w:r w:rsidRPr="00791AFA">
        <w:rPr>
          <w:iCs/>
          <w:sz w:val="28"/>
          <w:szCs w:val="28"/>
          <w:vertAlign w:val="subscript"/>
          <w:lang w:val="en-US" w:bidi="ru-RU"/>
        </w:rPr>
        <w:t>Q</w:t>
      </w:r>
      <w:r w:rsidRPr="00791AFA">
        <w:rPr>
          <w:iCs/>
          <w:sz w:val="28"/>
          <w:szCs w:val="28"/>
          <w:vertAlign w:val="subscript"/>
          <w:lang w:bidi="ru-RU"/>
        </w:rPr>
        <w:t>ар2020</w:t>
      </w:r>
      <w:r w:rsidRPr="00791AFA">
        <w:rPr>
          <w:iCs/>
          <w:sz w:val="28"/>
          <w:szCs w:val="28"/>
          <w:lang w:bidi="ru-RU"/>
        </w:rPr>
        <w:t>=6 377 400</w:t>
      </w:r>
      <w:r w:rsidRPr="00791AFA">
        <w:rPr>
          <w:sz w:val="28"/>
          <w:szCs w:val="28"/>
        </w:rPr>
        <w:t>(куб.м)</w:t>
      </w:r>
      <w:r w:rsidRPr="00791AFA">
        <w:rPr>
          <w:sz w:val="28"/>
          <w:szCs w:val="28"/>
          <w:vertAlign w:val="subscript"/>
        </w:rPr>
        <w:t xml:space="preserve"> </w:t>
      </w:r>
      <w:r w:rsidRPr="00791AFA">
        <w:rPr>
          <w:iCs/>
          <w:sz w:val="28"/>
          <w:szCs w:val="28"/>
          <w:lang w:bidi="ru-RU"/>
        </w:rPr>
        <w:t>/6 044 600</w:t>
      </w:r>
      <w:r w:rsidRPr="00791AFA">
        <w:rPr>
          <w:sz w:val="28"/>
          <w:szCs w:val="28"/>
        </w:rPr>
        <w:t>(куб.м)=1,05505</w:t>
      </w:r>
    </w:p>
    <w:p w:rsidR="00CE1891" w:rsidRPr="00791AFA" w:rsidRDefault="00CE1891" w:rsidP="00CE1891">
      <w:pPr>
        <w:ind w:firstLine="708"/>
        <w:jc w:val="both"/>
        <w:rPr>
          <w:sz w:val="28"/>
          <w:szCs w:val="28"/>
          <w:vertAlign w:val="subscript"/>
        </w:rPr>
      </w:pPr>
      <w:r w:rsidRPr="00791AFA">
        <w:rPr>
          <w:iCs/>
          <w:sz w:val="28"/>
          <w:szCs w:val="28"/>
          <w:lang w:bidi="ru-RU"/>
        </w:rPr>
        <w:t xml:space="preserve">Т </w:t>
      </w:r>
      <w:r w:rsidRPr="00791AFA">
        <w:rPr>
          <w:iCs/>
          <w:sz w:val="28"/>
          <w:szCs w:val="28"/>
          <w:vertAlign w:val="subscript"/>
          <w:lang w:val="en-US" w:bidi="ru-RU"/>
        </w:rPr>
        <w:t>Q</w:t>
      </w:r>
      <w:r w:rsidRPr="00791AFA">
        <w:rPr>
          <w:iCs/>
          <w:sz w:val="28"/>
          <w:szCs w:val="28"/>
          <w:vertAlign w:val="subscript"/>
          <w:lang w:bidi="ru-RU"/>
        </w:rPr>
        <w:t>ар2019</w:t>
      </w:r>
      <w:r w:rsidRPr="00791AFA">
        <w:rPr>
          <w:iCs/>
          <w:sz w:val="28"/>
          <w:szCs w:val="28"/>
          <w:lang w:bidi="ru-RU"/>
        </w:rPr>
        <w:t>=6 044 600</w:t>
      </w:r>
      <w:r w:rsidRPr="00791AFA">
        <w:rPr>
          <w:sz w:val="28"/>
          <w:szCs w:val="28"/>
        </w:rPr>
        <w:t>(куб.м)/</w:t>
      </w:r>
      <w:r w:rsidRPr="00791AFA">
        <w:rPr>
          <w:iCs/>
          <w:sz w:val="28"/>
          <w:szCs w:val="28"/>
          <w:lang w:bidi="ru-RU"/>
        </w:rPr>
        <w:t>5 899 000</w:t>
      </w:r>
      <w:r w:rsidRPr="00791AFA">
        <w:rPr>
          <w:sz w:val="28"/>
          <w:szCs w:val="28"/>
        </w:rPr>
        <w:t>(куб.м)=1,02468</w:t>
      </w:r>
    </w:p>
    <w:p w:rsidR="00CE1891" w:rsidRPr="00791AFA" w:rsidRDefault="00CE1891" w:rsidP="00CE1891">
      <w:pPr>
        <w:ind w:firstLine="708"/>
        <w:jc w:val="both"/>
        <w:rPr>
          <w:sz w:val="28"/>
          <w:szCs w:val="28"/>
        </w:rPr>
      </w:pPr>
    </w:p>
    <w:p w:rsidR="00CE1891" w:rsidRPr="00791AFA" w:rsidRDefault="00CE1891" w:rsidP="00CE1891">
      <w:pPr>
        <w:ind w:firstLine="708"/>
        <w:jc w:val="both"/>
        <w:rPr>
          <w:sz w:val="28"/>
          <w:szCs w:val="28"/>
        </w:rPr>
      </w:pPr>
      <w:r w:rsidRPr="00791AFA">
        <w:rPr>
          <w:iCs/>
          <w:sz w:val="28"/>
          <w:szCs w:val="28"/>
          <w:lang w:bidi="ru-RU"/>
        </w:rPr>
        <w:t xml:space="preserve">∑ </w:t>
      </w:r>
      <w:r w:rsidRPr="00791AFA">
        <w:rPr>
          <w:iCs/>
          <w:sz w:val="28"/>
          <w:szCs w:val="28"/>
          <w:vertAlign w:val="superscript"/>
          <w:lang w:bidi="ru-RU"/>
        </w:rPr>
        <w:t>3</w:t>
      </w:r>
      <w:r w:rsidRPr="00791AFA">
        <w:rPr>
          <w:iCs/>
          <w:sz w:val="28"/>
          <w:szCs w:val="28"/>
          <w:lang w:bidi="ru-RU"/>
        </w:rPr>
        <w:t xml:space="preserve"> </w:t>
      </w:r>
      <w:r w:rsidRPr="00791AFA">
        <w:rPr>
          <w:iCs/>
          <w:sz w:val="28"/>
          <w:szCs w:val="28"/>
          <w:vertAlign w:val="subscript"/>
          <w:lang w:val="en-US" w:bidi="ru-RU"/>
        </w:rPr>
        <w:t>t</w:t>
      </w:r>
      <w:r w:rsidRPr="00791AFA">
        <w:rPr>
          <w:iCs/>
          <w:sz w:val="28"/>
          <w:szCs w:val="28"/>
          <w:vertAlign w:val="subscript"/>
          <w:lang w:bidi="ru-RU"/>
        </w:rPr>
        <w:t xml:space="preserve">=1 </w:t>
      </w:r>
      <w:r w:rsidRPr="00791AFA">
        <w:rPr>
          <w:iCs/>
          <w:sz w:val="28"/>
          <w:szCs w:val="28"/>
          <w:lang w:bidi="ru-RU"/>
        </w:rPr>
        <w:t xml:space="preserve">Т </w:t>
      </w:r>
      <w:r w:rsidRPr="00791AFA">
        <w:rPr>
          <w:iCs/>
          <w:sz w:val="28"/>
          <w:szCs w:val="28"/>
          <w:vertAlign w:val="subscript"/>
          <w:lang w:val="en-US" w:bidi="ru-RU"/>
        </w:rPr>
        <w:t>Q</w:t>
      </w:r>
      <w:r w:rsidRPr="00791AFA">
        <w:rPr>
          <w:iCs/>
          <w:sz w:val="28"/>
          <w:szCs w:val="28"/>
          <w:vertAlign w:val="subscript"/>
          <w:lang w:bidi="ru-RU"/>
        </w:rPr>
        <w:t>ар</w:t>
      </w:r>
      <w:r w:rsidRPr="00791AFA">
        <w:rPr>
          <w:iCs/>
          <w:sz w:val="28"/>
          <w:szCs w:val="28"/>
          <w:lang w:bidi="ru-RU"/>
        </w:rPr>
        <w:t xml:space="preserve"> = 0,95760+1,05505+1,02468=</w:t>
      </w:r>
      <w:r>
        <w:rPr>
          <w:iCs/>
          <w:sz w:val="28"/>
          <w:szCs w:val="28"/>
          <w:lang w:bidi="ru-RU"/>
        </w:rPr>
        <w:t>3,03733</w:t>
      </w:r>
    </w:p>
    <w:p w:rsidR="00CE1891" w:rsidRPr="00791AFA" w:rsidRDefault="00CE1891" w:rsidP="00CE1891">
      <w:pPr>
        <w:ind w:firstLine="708"/>
        <w:jc w:val="both"/>
        <w:rPr>
          <w:sz w:val="28"/>
          <w:szCs w:val="28"/>
        </w:rPr>
      </w:pPr>
    </w:p>
    <w:p w:rsidR="00CE1891" w:rsidRPr="004448B3" w:rsidRDefault="00CE1891" w:rsidP="00CE1891">
      <w:pPr>
        <w:ind w:firstLine="708"/>
        <w:jc w:val="both"/>
        <w:rPr>
          <w:sz w:val="28"/>
          <w:szCs w:val="28"/>
        </w:rPr>
      </w:pPr>
      <w:r w:rsidRPr="004448B3">
        <w:rPr>
          <w:sz w:val="28"/>
          <w:szCs w:val="28"/>
        </w:rPr>
        <w:t xml:space="preserve">В соответствии с постановлением Правительства Российской Федерации от 22.05.2007 № 310 «О ставках платы за единицу объема лесных ресурсов и ставках платы за единицу площади лесного участка, находящегося в федеральной собственности» </w:t>
      </w:r>
    </w:p>
    <w:p w:rsidR="00CE1891" w:rsidRPr="004448B3" w:rsidRDefault="00CE1891" w:rsidP="00CE1891">
      <w:pPr>
        <w:ind w:firstLine="708"/>
        <w:jc w:val="both"/>
        <w:rPr>
          <w:rFonts w:eastAsia="Calibri"/>
          <w:sz w:val="28"/>
        </w:rPr>
      </w:pPr>
      <w:r w:rsidRPr="004448B3">
        <w:rPr>
          <w:rFonts w:eastAsia="Calibri"/>
          <w:sz w:val="28"/>
        </w:rPr>
        <w:t>Средний коэффициент превышения рассчитывается на основе формы отчета 1-ОИП «Сведения о доходах лесного хозяйства и их распределении по получателям», утвержденной приказом Минприроды России от 28.12.2015 № 565.</w:t>
      </w:r>
    </w:p>
    <w:p w:rsidR="00CE1891" w:rsidRPr="004448B3" w:rsidRDefault="00CE1891" w:rsidP="00CE1891">
      <w:pPr>
        <w:rPr>
          <w:rFonts w:eastAsia="Calibri"/>
          <w:sz w:val="28"/>
        </w:rPr>
      </w:pPr>
      <w:r w:rsidRPr="004448B3">
        <w:rPr>
          <w:rFonts w:eastAsia="Calibri"/>
          <w:sz w:val="28"/>
        </w:rPr>
        <w:t>К</w:t>
      </w:r>
      <w:r w:rsidRPr="004448B3">
        <w:rPr>
          <w:rFonts w:eastAsia="Calibri"/>
          <w:sz w:val="28"/>
          <w:vertAlign w:val="subscript"/>
        </w:rPr>
        <w:t>3</w:t>
      </w:r>
      <w:r w:rsidRPr="004448B3">
        <w:rPr>
          <w:rFonts w:eastAsia="Calibri"/>
          <w:sz w:val="28"/>
        </w:rPr>
        <w:t>=Св-Си/См-Си, где</w:t>
      </w:r>
    </w:p>
    <w:p w:rsidR="00CE1891" w:rsidRPr="004448B3" w:rsidRDefault="00CE1891" w:rsidP="00CE1891">
      <w:pPr>
        <w:rPr>
          <w:rFonts w:eastAsia="Calibri"/>
          <w:sz w:val="28"/>
        </w:rPr>
      </w:pPr>
      <w:r w:rsidRPr="004448B3">
        <w:rPr>
          <w:rFonts w:eastAsia="Calibri"/>
          <w:sz w:val="28"/>
        </w:rPr>
        <w:t>К</w:t>
      </w:r>
      <w:r w:rsidRPr="004448B3">
        <w:rPr>
          <w:rFonts w:eastAsia="Calibri"/>
          <w:sz w:val="28"/>
          <w:vertAlign w:val="subscript"/>
        </w:rPr>
        <w:t>3</w:t>
      </w:r>
      <w:r w:rsidRPr="004448B3">
        <w:rPr>
          <w:rFonts w:eastAsia="Calibri"/>
          <w:sz w:val="28"/>
        </w:rPr>
        <w:t>- средний коэффициент превышения размера арендной платы;</w:t>
      </w:r>
    </w:p>
    <w:p w:rsidR="00CE1891" w:rsidRPr="004448B3" w:rsidRDefault="00CE1891" w:rsidP="00CE1891">
      <w:pPr>
        <w:rPr>
          <w:rFonts w:eastAsia="Calibri"/>
          <w:sz w:val="28"/>
        </w:rPr>
      </w:pPr>
      <w:r w:rsidRPr="004448B3">
        <w:rPr>
          <w:rFonts w:eastAsia="Calibri"/>
          <w:sz w:val="28"/>
        </w:rPr>
        <w:t>Св-сумма причитающихся платежей на отчетный год по договорам аренды в части заготовки древесины;</w:t>
      </w:r>
    </w:p>
    <w:p w:rsidR="00CE1891" w:rsidRPr="004448B3" w:rsidRDefault="00CE1891" w:rsidP="00CE1891">
      <w:pPr>
        <w:rPr>
          <w:rFonts w:eastAsia="Calibri"/>
          <w:sz w:val="28"/>
        </w:rPr>
      </w:pPr>
      <w:r w:rsidRPr="004448B3">
        <w:rPr>
          <w:rFonts w:eastAsia="Calibri"/>
          <w:sz w:val="28"/>
        </w:rPr>
        <w:t>Си- сумма причитающихся платежей на отчетный год по инвестиционным проектам;</w:t>
      </w:r>
    </w:p>
    <w:p w:rsidR="00CE1891" w:rsidRPr="004448B3" w:rsidRDefault="00CE1891" w:rsidP="00CE1891">
      <w:pPr>
        <w:rPr>
          <w:rFonts w:eastAsia="Calibri"/>
          <w:sz w:val="28"/>
        </w:rPr>
      </w:pPr>
      <w:r w:rsidRPr="004448B3">
        <w:rPr>
          <w:rFonts w:eastAsia="Calibri"/>
          <w:sz w:val="28"/>
        </w:rPr>
        <w:t>См- сумма причитающихся платежей на отчетный год по договорам аренды в части заготовки древесины по минимальным размерам арендной платы;</w:t>
      </w:r>
    </w:p>
    <w:p w:rsidR="00CE1891" w:rsidRPr="001B7888" w:rsidRDefault="00CE1891" w:rsidP="00CE1891">
      <w:pPr>
        <w:jc w:val="both"/>
        <w:rPr>
          <w:rFonts w:eastAsia="Calibri"/>
          <w:sz w:val="28"/>
        </w:rPr>
      </w:pPr>
      <w:r w:rsidRPr="001B7888">
        <w:rPr>
          <w:rFonts w:eastAsia="Calibri"/>
          <w:sz w:val="28"/>
        </w:rPr>
        <w:t>Св=1 019 685 200 руб.</w:t>
      </w:r>
    </w:p>
    <w:p w:rsidR="00CE1891" w:rsidRPr="001B7888" w:rsidRDefault="00CE1891" w:rsidP="00CE1891">
      <w:pPr>
        <w:jc w:val="both"/>
        <w:rPr>
          <w:rFonts w:eastAsia="Calibri"/>
          <w:sz w:val="28"/>
        </w:rPr>
      </w:pPr>
      <w:r w:rsidRPr="001B7888">
        <w:rPr>
          <w:rFonts w:eastAsia="Calibri"/>
          <w:sz w:val="28"/>
        </w:rPr>
        <w:t>Си=152 223 800 руб.</w:t>
      </w:r>
    </w:p>
    <w:p w:rsidR="00CE1891" w:rsidRPr="001B7888" w:rsidRDefault="00CE1891" w:rsidP="00CE1891">
      <w:pPr>
        <w:jc w:val="both"/>
        <w:rPr>
          <w:rFonts w:eastAsia="Calibri"/>
          <w:sz w:val="28"/>
        </w:rPr>
      </w:pPr>
      <w:r w:rsidRPr="001B7888">
        <w:rPr>
          <w:rFonts w:eastAsia="Calibri"/>
          <w:sz w:val="28"/>
        </w:rPr>
        <w:t>См=652 278 900 руб.</w:t>
      </w:r>
    </w:p>
    <w:p w:rsidR="00CE1891" w:rsidRPr="001B7888" w:rsidRDefault="00CE1891" w:rsidP="00CE1891">
      <w:pPr>
        <w:jc w:val="both"/>
        <w:rPr>
          <w:rFonts w:eastAsia="Calibri"/>
          <w:sz w:val="28"/>
        </w:rPr>
      </w:pPr>
      <w:r w:rsidRPr="001B7888">
        <w:rPr>
          <w:rFonts w:eastAsia="Calibri"/>
          <w:sz w:val="28"/>
        </w:rPr>
        <w:t>Расчет:</w:t>
      </w:r>
    </w:p>
    <w:p w:rsidR="00CE1891" w:rsidRPr="001B7888" w:rsidRDefault="00CE1891" w:rsidP="00CE1891">
      <w:pPr>
        <w:jc w:val="both"/>
        <w:rPr>
          <w:rFonts w:eastAsia="Calibri"/>
          <w:sz w:val="28"/>
        </w:rPr>
      </w:pPr>
      <w:r w:rsidRPr="001B7888">
        <w:rPr>
          <w:rFonts w:eastAsia="Calibri"/>
          <w:sz w:val="28"/>
        </w:rPr>
        <w:t>К=1 019 685 200  – 152 223 800/652 278 900-152 223 800=1,73473</w:t>
      </w:r>
    </w:p>
    <w:p w:rsidR="00CE1891" w:rsidRPr="001B7888" w:rsidRDefault="00CE1891" w:rsidP="00CE1891">
      <w:pPr>
        <w:jc w:val="both"/>
        <w:rPr>
          <w:rFonts w:eastAsia="Calibri"/>
          <w:b/>
          <w:sz w:val="28"/>
        </w:rPr>
      </w:pPr>
      <w:r w:rsidRPr="001B7888">
        <w:rPr>
          <w:rFonts w:eastAsia="Calibri"/>
          <w:b/>
          <w:sz w:val="28"/>
        </w:rPr>
        <w:t>К=1,73473</w:t>
      </w:r>
    </w:p>
    <w:p w:rsidR="00CE1891" w:rsidRPr="002016DC" w:rsidRDefault="00CE1891" w:rsidP="00CE1891">
      <w:pPr>
        <w:jc w:val="both"/>
        <w:rPr>
          <w:rFonts w:eastAsia="Calibri"/>
          <w:color w:val="000000"/>
          <w:sz w:val="28"/>
          <w:szCs w:val="28"/>
        </w:rPr>
      </w:pPr>
      <w:r w:rsidRPr="004448B3">
        <w:rPr>
          <w:rFonts w:ascii="Calibri" w:eastAsia="Calibri" w:hAnsi="Calibri"/>
        </w:rPr>
        <w:tab/>
      </w:r>
      <w:r w:rsidRPr="002016DC">
        <w:rPr>
          <w:rFonts w:eastAsia="Calibri"/>
          <w:color w:val="000000"/>
          <w:sz w:val="28"/>
          <w:szCs w:val="28"/>
        </w:rPr>
        <w:t xml:space="preserve">В 2020 году </w:t>
      </w:r>
      <w:r w:rsidRPr="002016DC">
        <w:rPr>
          <w:rFonts w:eastAsia="Calibri"/>
          <w:color w:val="000000"/>
          <w:sz w:val="28"/>
          <w:szCs w:val="28"/>
          <w:lang w:bidi="ru-RU"/>
        </w:rPr>
        <w:t xml:space="preserve">установленный размер арендной платы на день окончания срока окупаемости проекта </w:t>
      </w:r>
      <w:r w:rsidRPr="002016DC">
        <w:rPr>
          <w:rFonts w:eastAsia="Calibri"/>
          <w:color w:val="000000"/>
          <w:sz w:val="28"/>
          <w:szCs w:val="28"/>
        </w:rPr>
        <w:t>по договорам аренды лесных участков, находящихся в федеральной собственности, заключенных в рамках реализации инвестиционных проектов, рассчитанная по окончании срока окупаемости проекта без применения понижающего коэффициента 0,5,</w:t>
      </w:r>
      <w:r w:rsidRPr="002016DC">
        <w:rPr>
          <w:rFonts w:ascii="Calibri" w:eastAsia="Calibri" w:hAnsi="Calibri"/>
          <w:color w:val="000000"/>
          <w:sz w:val="28"/>
          <w:szCs w:val="28"/>
        </w:rPr>
        <w:t xml:space="preserve"> </w:t>
      </w:r>
      <w:r w:rsidRPr="002016DC">
        <w:rPr>
          <w:rFonts w:eastAsia="Calibri"/>
          <w:color w:val="000000"/>
          <w:sz w:val="28"/>
          <w:szCs w:val="28"/>
          <w:lang w:bidi="ru-RU"/>
        </w:rPr>
        <w:t xml:space="preserve">(тыс. руб.) </w:t>
      </w:r>
      <w:r w:rsidRPr="002016DC">
        <w:rPr>
          <w:rFonts w:eastAsia="Calibri"/>
          <w:color w:val="000000"/>
          <w:sz w:val="28"/>
          <w:szCs w:val="28"/>
        </w:rPr>
        <w:t>190 678 160 руб., путем индексации за текущий год арендная плата в полном объеме составит 205 961 523,9 руб.</w:t>
      </w:r>
    </w:p>
    <w:p w:rsidR="00CE1891" w:rsidRPr="002016DC" w:rsidRDefault="00CE1891" w:rsidP="00CE1891">
      <w:pPr>
        <w:jc w:val="both"/>
        <w:rPr>
          <w:b/>
          <w:color w:val="000000"/>
          <w:sz w:val="28"/>
          <w:szCs w:val="28"/>
        </w:rPr>
      </w:pPr>
    </w:p>
    <w:p w:rsidR="00CE1891" w:rsidRPr="002016DC" w:rsidRDefault="00CE1891" w:rsidP="00CE1891">
      <w:pPr>
        <w:widowControl w:val="0"/>
        <w:ind w:firstLine="709"/>
        <w:jc w:val="both"/>
        <w:rPr>
          <w:rFonts w:eastAsia="Calibri"/>
          <w:color w:val="000000"/>
          <w:sz w:val="28"/>
          <w:szCs w:val="28"/>
        </w:rPr>
      </w:pPr>
      <w:r w:rsidRPr="002016DC">
        <w:rPr>
          <w:rFonts w:eastAsia="Calibri"/>
          <w:color w:val="000000"/>
          <w:sz w:val="28"/>
          <w:szCs w:val="28"/>
        </w:rPr>
        <w:t>П</w:t>
      </w:r>
      <w:r w:rsidRPr="002016DC">
        <w:rPr>
          <w:rFonts w:eastAsia="Calibri"/>
          <w:color w:val="000000"/>
          <w:sz w:val="28"/>
          <w:szCs w:val="28"/>
          <w:vertAlign w:val="subscript"/>
        </w:rPr>
        <w:t>ар</w:t>
      </w:r>
      <w:r w:rsidRPr="002016DC">
        <w:rPr>
          <w:rFonts w:eastAsia="Calibri"/>
          <w:color w:val="000000"/>
          <w:sz w:val="28"/>
          <w:szCs w:val="28"/>
          <w:vertAlign w:val="superscript"/>
        </w:rPr>
        <w:t>инв</w:t>
      </w:r>
      <w:r w:rsidRPr="002016DC">
        <w:rPr>
          <w:rFonts w:eastAsia="Calibri"/>
          <w:color w:val="000000"/>
          <w:sz w:val="28"/>
          <w:szCs w:val="28"/>
        </w:rPr>
        <w:t xml:space="preserve"> – плата по договорам аренды лесных участков, находящихся в федеральной собственности, заключенных в рамках реализации инвестиционных проектов, рассчитанная по окончании срока окупаемости проекта без применения понижающего коэффициента 0,5 (тыс. руб.). Определяется по формуле:</w:t>
      </w:r>
    </w:p>
    <w:p w:rsidR="00CE1891" w:rsidRPr="002016DC" w:rsidRDefault="00CE1891" w:rsidP="00CE1891">
      <w:pPr>
        <w:widowControl w:val="0"/>
        <w:ind w:firstLine="709"/>
        <w:jc w:val="both"/>
        <w:rPr>
          <w:rFonts w:eastAsia="Calibri"/>
          <w:color w:val="000000"/>
          <w:sz w:val="28"/>
          <w:szCs w:val="28"/>
        </w:rPr>
      </w:pPr>
    </w:p>
    <w:p w:rsidR="00CE1891" w:rsidRPr="002016DC" w:rsidRDefault="00CE1891" w:rsidP="00CE1891">
      <w:pPr>
        <w:widowControl w:val="0"/>
        <w:tabs>
          <w:tab w:val="left" w:pos="9355"/>
        </w:tabs>
        <w:ind w:firstLine="709"/>
        <w:jc w:val="both"/>
        <w:rPr>
          <w:rFonts w:eastAsia="Calibri"/>
          <w:color w:val="000000"/>
          <w:sz w:val="28"/>
          <w:szCs w:val="28"/>
        </w:rPr>
      </w:pPr>
      <w:r w:rsidRPr="002016DC">
        <w:rPr>
          <w:rFonts w:eastAsia="Calibri"/>
          <w:color w:val="000000"/>
          <w:sz w:val="28"/>
          <w:szCs w:val="28"/>
        </w:rPr>
        <w:t>П</w:t>
      </w:r>
      <w:r w:rsidRPr="002016DC">
        <w:rPr>
          <w:rFonts w:eastAsia="Calibri"/>
          <w:color w:val="000000"/>
          <w:sz w:val="28"/>
          <w:szCs w:val="28"/>
          <w:vertAlign w:val="subscript"/>
        </w:rPr>
        <w:t>ар</w:t>
      </w:r>
      <w:r w:rsidRPr="002016DC">
        <w:rPr>
          <w:rFonts w:eastAsia="Calibri"/>
          <w:color w:val="000000"/>
          <w:sz w:val="28"/>
          <w:szCs w:val="28"/>
          <w:vertAlign w:val="superscript"/>
        </w:rPr>
        <w:t>инв</w:t>
      </w:r>
      <w:r w:rsidRPr="002016DC">
        <w:rPr>
          <w:rFonts w:eastAsia="Calibri"/>
          <w:color w:val="000000"/>
          <w:sz w:val="28"/>
          <w:szCs w:val="28"/>
        </w:rPr>
        <w:t xml:space="preserve">  = (П</w:t>
      </w:r>
      <w:r w:rsidRPr="002016DC">
        <w:rPr>
          <w:rFonts w:eastAsia="Calibri"/>
          <w:color w:val="000000"/>
          <w:sz w:val="28"/>
          <w:szCs w:val="28"/>
          <w:vertAlign w:val="subscript"/>
        </w:rPr>
        <w:t>ар</w:t>
      </w:r>
      <w:r w:rsidRPr="002016DC">
        <w:rPr>
          <w:rFonts w:eastAsia="Calibri"/>
          <w:color w:val="000000"/>
          <w:sz w:val="28"/>
          <w:szCs w:val="28"/>
          <w:vertAlign w:val="superscript"/>
        </w:rPr>
        <w:t>уст</w:t>
      </w:r>
      <w:r w:rsidRPr="002016DC">
        <w:rPr>
          <w:rFonts w:eastAsia="Calibri"/>
          <w:color w:val="000000"/>
          <w:sz w:val="28"/>
          <w:szCs w:val="28"/>
        </w:rPr>
        <w:t>*К</w:t>
      </w:r>
      <w:r w:rsidRPr="002016DC">
        <w:rPr>
          <w:rFonts w:eastAsia="Calibri"/>
          <w:color w:val="000000"/>
          <w:sz w:val="28"/>
          <w:szCs w:val="28"/>
          <w:vertAlign w:val="subscript"/>
        </w:rPr>
        <w:t>3</w:t>
      </w:r>
      <w:r w:rsidRPr="002016DC">
        <w:rPr>
          <w:rFonts w:eastAsia="Calibri"/>
          <w:color w:val="000000"/>
          <w:sz w:val="28"/>
          <w:szCs w:val="28"/>
        </w:rPr>
        <w:t>) - П</w:t>
      </w:r>
      <w:r w:rsidRPr="002016DC">
        <w:rPr>
          <w:rFonts w:eastAsia="Calibri"/>
          <w:color w:val="000000"/>
          <w:sz w:val="28"/>
          <w:szCs w:val="28"/>
          <w:vertAlign w:val="subscript"/>
        </w:rPr>
        <w:t>ар</w:t>
      </w:r>
      <w:r w:rsidRPr="002016DC">
        <w:rPr>
          <w:rFonts w:eastAsia="Calibri"/>
          <w:color w:val="000000"/>
          <w:sz w:val="28"/>
          <w:szCs w:val="28"/>
          <w:vertAlign w:val="superscript"/>
        </w:rPr>
        <w:t>уст</w:t>
      </w:r>
      <w:r w:rsidRPr="002016DC">
        <w:rPr>
          <w:rFonts w:eastAsia="Calibri"/>
          <w:color w:val="000000"/>
          <w:sz w:val="28"/>
          <w:szCs w:val="28"/>
        </w:rPr>
        <w:t>,</w:t>
      </w:r>
    </w:p>
    <w:p w:rsidR="00CE1891" w:rsidRPr="002016DC" w:rsidRDefault="00CE1891" w:rsidP="00CE1891">
      <w:pPr>
        <w:widowControl w:val="0"/>
        <w:tabs>
          <w:tab w:val="left" w:pos="9355"/>
        </w:tabs>
        <w:ind w:firstLine="709"/>
        <w:jc w:val="both"/>
        <w:rPr>
          <w:rFonts w:eastAsia="Calibri"/>
          <w:color w:val="000000"/>
          <w:sz w:val="28"/>
          <w:szCs w:val="28"/>
        </w:rPr>
      </w:pPr>
    </w:p>
    <w:p w:rsidR="00CE1891" w:rsidRPr="002016DC" w:rsidRDefault="00CE1891" w:rsidP="00CE1891">
      <w:pPr>
        <w:widowControl w:val="0"/>
        <w:tabs>
          <w:tab w:val="left" w:pos="9355"/>
        </w:tabs>
        <w:ind w:firstLine="709"/>
        <w:jc w:val="both"/>
        <w:rPr>
          <w:rFonts w:eastAsia="Calibri"/>
          <w:color w:val="000000"/>
          <w:sz w:val="28"/>
          <w:szCs w:val="28"/>
        </w:rPr>
      </w:pPr>
      <w:r w:rsidRPr="002016DC">
        <w:rPr>
          <w:rFonts w:eastAsia="Calibri"/>
          <w:color w:val="000000"/>
          <w:sz w:val="28"/>
          <w:szCs w:val="28"/>
        </w:rPr>
        <w:t>где:</w:t>
      </w:r>
    </w:p>
    <w:p w:rsidR="00CE1891" w:rsidRPr="002016DC" w:rsidRDefault="00CE1891" w:rsidP="00CE1891">
      <w:pPr>
        <w:widowControl w:val="0"/>
        <w:tabs>
          <w:tab w:val="left" w:pos="9355"/>
        </w:tabs>
        <w:ind w:firstLine="709"/>
        <w:jc w:val="both"/>
        <w:rPr>
          <w:rFonts w:eastAsia="Calibri"/>
          <w:color w:val="000000"/>
          <w:sz w:val="28"/>
          <w:szCs w:val="28"/>
        </w:rPr>
      </w:pPr>
      <w:r w:rsidRPr="002016DC">
        <w:rPr>
          <w:rFonts w:eastAsia="Calibri"/>
          <w:color w:val="000000"/>
          <w:sz w:val="28"/>
          <w:szCs w:val="28"/>
        </w:rPr>
        <w:t>П</w:t>
      </w:r>
      <w:r w:rsidRPr="002016DC">
        <w:rPr>
          <w:rFonts w:eastAsia="Calibri"/>
          <w:color w:val="000000"/>
          <w:sz w:val="28"/>
          <w:szCs w:val="28"/>
          <w:vertAlign w:val="subscript"/>
        </w:rPr>
        <w:t>ар</w:t>
      </w:r>
      <w:r w:rsidRPr="002016DC">
        <w:rPr>
          <w:rFonts w:eastAsia="Calibri"/>
          <w:color w:val="000000"/>
          <w:sz w:val="28"/>
          <w:szCs w:val="28"/>
          <w:vertAlign w:val="superscript"/>
        </w:rPr>
        <w:t>уст</w:t>
      </w:r>
      <w:r w:rsidRPr="002016DC">
        <w:rPr>
          <w:rFonts w:eastAsia="Calibri"/>
          <w:b/>
          <w:bCs/>
          <w:i/>
          <w:iCs/>
          <w:smallCaps/>
          <w:color w:val="000000"/>
          <w:sz w:val="28"/>
          <w:szCs w:val="28"/>
          <w:lang w:bidi="en-US"/>
        </w:rPr>
        <w:t xml:space="preserve"> </w:t>
      </w:r>
      <w:r w:rsidRPr="002016DC">
        <w:rPr>
          <w:rFonts w:eastAsia="Calibri"/>
          <w:color w:val="000000"/>
          <w:sz w:val="28"/>
          <w:szCs w:val="28"/>
          <w:lang w:bidi="en-US"/>
        </w:rPr>
        <w:t xml:space="preserve"> - </w:t>
      </w:r>
      <w:r w:rsidRPr="002016DC">
        <w:rPr>
          <w:rFonts w:eastAsia="Calibri"/>
          <w:color w:val="000000"/>
          <w:sz w:val="28"/>
          <w:szCs w:val="28"/>
          <w:lang w:bidi="ru-RU"/>
        </w:rPr>
        <w:t xml:space="preserve">установленный размер арендной платы на день окончания срока окупаемости проекта </w:t>
      </w:r>
      <w:r w:rsidRPr="002016DC">
        <w:rPr>
          <w:rFonts w:eastAsia="Calibri"/>
          <w:color w:val="000000"/>
          <w:sz w:val="28"/>
          <w:szCs w:val="28"/>
        </w:rPr>
        <w:t xml:space="preserve">по договорам аренды лесных участков, находящихся в федеральной собственности, заключенных в рамках реализации </w:t>
      </w:r>
      <w:r w:rsidRPr="002016DC">
        <w:rPr>
          <w:rFonts w:eastAsia="Calibri"/>
          <w:color w:val="000000"/>
          <w:sz w:val="28"/>
          <w:szCs w:val="28"/>
        </w:rPr>
        <w:lastRenderedPageBreak/>
        <w:t>инвестиционных проектов, рассчитанная по окончании срока окупаемости проекта без применения понижающего коэффициента 0,5,</w:t>
      </w:r>
      <w:r w:rsidRPr="002016DC">
        <w:rPr>
          <w:rFonts w:ascii="Calibri" w:eastAsia="Calibri" w:hAnsi="Calibri"/>
          <w:color w:val="000000"/>
          <w:sz w:val="28"/>
          <w:szCs w:val="28"/>
        </w:rPr>
        <w:t xml:space="preserve"> </w:t>
      </w:r>
      <w:r w:rsidRPr="002016DC">
        <w:rPr>
          <w:rFonts w:eastAsia="Calibri"/>
          <w:color w:val="000000"/>
          <w:sz w:val="28"/>
          <w:szCs w:val="28"/>
          <w:lang w:bidi="ru-RU"/>
        </w:rPr>
        <w:t>(тыс. руб.);</w:t>
      </w:r>
    </w:p>
    <w:p w:rsidR="00CE1891" w:rsidRPr="002016DC" w:rsidRDefault="00CE1891" w:rsidP="00CE1891">
      <w:pPr>
        <w:widowControl w:val="0"/>
        <w:tabs>
          <w:tab w:val="left" w:pos="9355"/>
        </w:tabs>
        <w:ind w:firstLine="709"/>
        <w:jc w:val="both"/>
        <w:rPr>
          <w:rFonts w:eastAsia="Calibri"/>
          <w:color w:val="000000"/>
          <w:sz w:val="28"/>
          <w:szCs w:val="28"/>
        </w:rPr>
      </w:pPr>
      <w:r w:rsidRPr="002016DC">
        <w:rPr>
          <w:rFonts w:eastAsia="Calibri"/>
          <w:color w:val="000000"/>
          <w:sz w:val="28"/>
          <w:szCs w:val="28"/>
        </w:rPr>
        <w:t>К</w:t>
      </w:r>
      <w:r w:rsidRPr="002016DC">
        <w:rPr>
          <w:rFonts w:eastAsia="Calibri"/>
          <w:color w:val="000000"/>
          <w:sz w:val="28"/>
          <w:szCs w:val="28"/>
          <w:vertAlign w:val="subscript"/>
        </w:rPr>
        <w:t>3</w:t>
      </w:r>
      <w:r w:rsidRPr="002016DC">
        <w:rPr>
          <w:rFonts w:eastAsia="Calibri"/>
          <w:color w:val="000000"/>
          <w:sz w:val="28"/>
          <w:szCs w:val="28"/>
        </w:rPr>
        <w:t xml:space="preserve"> – средний коэффициент превышения размера арендной платы, сложившегося в Тверской области по соответствующему виду использования лесов;</w:t>
      </w:r>
    </w:p>
    <w:p w:rsidR="00CE1891" w:rsidRPr="002016DC" w:rsidRDefault="00CE1891" w:rsidP="00CE1891">
      <w:pPr>
        <w:ind w:firstLine="708"/>
        <w:jc w:val="both"/>
        <w:rPr>
          <w:color w:val="000000"/>
          <w:sz w:val="28"/>
          <w:szCs w:val="28"/>
        </w:rPr>
      </w:pPr>
      <w:r w:rsidRPr="002016DC">
        <w:rPr>
          <w:color w:val="000000"/>
        </w:rPr>
        <w:t>П</w:t>
      </w:r>
      <w:r w:rsidRPr="002016DC">
        <w:rPr>
          <w:color w:val="000000"/>
          <w:vertAlign w:val="subscript"/>
        </w:rPr>
        <w:t>ар</w:t>
      </w:r>
      <w:r w:rsidRPr="002016DC">
        <w:rPr>
          <w:color w:val="000000"/>
          <w:vertAlign w:val="superscript"/>
        </w:rPr>
        <w:t>инв</w:t>
      </w:r>
      <w:r w:rsidRPr="002016DC">
        <w:rPr>
          <w:color w:val="000000"/>
          <w:sz w:val="28"/>
          <w:szCs w:val="28"/>
        </w:rPr>
        <w:t xml:space="preserve"> </w:t>
      </w:r>
      <w:r w:rsidRPr="002016DC">
        <w:rPr>
          <w:rFonts w:eastAsia="Calibri"/>
          <w:color w:val="000000"/>
          <w:sz w:val="28"/>
          <w:szCs w:val="28"/>
        </w:rPr>
        <w:t>= ((П</w:t>
      </w:r>
      <w:r w:rsidRPr="002016DC">
        <w:rPr>
          <w:rFonts w:eastAsia="Calibri"/>
          <w:color w:val="000000"/>
          <w:sz w:val="28"/>
          <w:szCs w:val="28"/>
          <w:vertAlign w:val="subscript"/>
        </w:rPr>
        <w:t>ар</w:t>
      </w:r>
      <w:r w:rsidRPr="002016DC">
        <w:rPr>
          <w:rFonts w:eastAsia="Calibri"/>
          <w:color w:val="000000"/>
          <w:sz w:val="28"/>
          <w:szCs w:val="28"/>
          <w:vertAlign w:val="superscript"/>
        </w:rPr>
        <w:t>уст</w:t>
      </w:r>
      <w:r w:rsidRPr="002016DC">
        <w:rPr>
          <w:rFonts w:eastAsia="Calibri"/>
          <w:color w:val="000000"/>
          <w:sz w:val="28"/>
          <w:szCs w:val="28"/>
        </w:rPr>
        <w:t>*К</w:t>
      </w:r>
      <w:r w:rsidRPr="002016DC">
        <w:rPr>
          <w:rFonts w:eastAsia="Calibri"/>
          <w:color w:val="000000"/>
          <w:sz w:val="28"/>
          <w:szCs w:val="28"/>
          <w:vertAlign w:val="subscript"/>
        </w:rPr>
        <w:t>3</w:t>
      </w:r>
      <w:r w:rsidRPr="002016DC">
        <w:rPr>
          <w:rFonts w:eastAsia="Calibri"/>
          <w:color w:val="000000"/>
          <w:sz w:val="28"/>
          <w:szCs w:val="28"/>
        </w:rPr>
        <w:t>) - П</w:t>
      </w:r>
      <w:r w:rsidRPr="002016DC">
        <w:rPr>
          <w:rFonts w:eastAsia="Calibri"/>
          <w:color w:val="000000"/>
          <w:sz w:val="28"/>
          <w:szCs w:val="28"/>
          <w:vertAlign w:val="subscript"/>
        </w:rPr>
        <w:t>ар</w:t>
      </w:r>
      <w:r w:rsidRPr="002016DC">
        <w:rPr>
          <w:rFonts w:eastAsia="Calibri"/>
          <w:color w:val="000000"/>
          <w:sz w:val="28"/>
          <w:szCs w:val="28"/>
          <w:vertAlign w:val="superscript"/>
        </w:rPr>
        <w:t>уст</w:t>
      </w:r>
      <w:r w:rsidRPr="002016DC">
        <w:rPr>
          <w:color w:val="000000"/>
          <w:sz w:val="28"/>
          <w:szCs w:val="28"/>
        </w:rPr>
        <w:t>)/365*30:</w:t>
      </w:r>
    </w:p>
    <w:p w:rsidR="00CE1891" w:rsidRPr="00C157F9" w:rsidRDefault="00CE1891" w:rsidP="00CE1891">
      <w:pPr>
        <w:rPr>
          <w:rFonts w:eastAsia="Calibri"/>
          <w:sz w:val="28"/>
        </w:rPr>
      </w:pPr>
      <w:r w:rsidRPr="004448B3">
        <w:t>П</w:t>
      </w:r>
      <w:r w:rsidRPr="004448B3">
        <w:rPr>
          <w:vertAlign w:val="subscript"/>
        </w:rPr>
        <w:t>ар</w:t>
      </w:r>
      <w:r w:rsidRPr="004448B3">
        <w:rPr>
          <w:vertAlign w:val="superscript"/>
        </w:rPr>
        <w:t>инв</w:t>
      </w:r>
      <w:r w:rsidRPr="001B7888">
        <w:rPr>
          <w:rFonts w:eastAsia="Calibri"/>
          <w:sz w:val="28"/>
        </w:rPr>
        <w:t xml:space="preserve"> =(205 961 523,9 *1,73473) –205 961 523,9 =151 326 110,45 руб.</w:t>
      </w:r>
    </w:p>
    <w:p w:rsidR="00CE1891" w:rsidRPr="004448B3" w:rsidRDefault="00CE1891" w:rsidP="00CE1891">
      <w:pPr>
        <w:ind w:firstLine="708"/>
        <w:jc w:val="both"/>
        <w:rPr>
          <w:sz w:val="28"/>
          <w:szCs w:val="28"/>
        </w:rPr>
      </w:pPr>
      <w:r w:rsidRPr="004448B3">
        <w:rPr>
          <w:sz w:val="28"/>
          <w:szCs w:val="28"/>
        </w:rPr>
        <w:t>Заключение новых договоров аренды по заготовке древесины в 202</w:t>
      </w:r>
      <w:r>
        <w:rPr>
          <w:sz w:val="28"/>
          <w:szCs w:val="28"/>
        </w:rPr>
        <w:t>2</w:t>
      </w:r>
      <w:r w:rsidRPr="004448B3">
        <w:rPr>
          <w:sz w:val="28"/>
          <w:szCs w:val="28"/>
        </w:rPr>
        <w:t xml:space="preserve"> году не планируется.</w:t>
      </w:r>
    </w:p>
    <w:p w:rsidR="00CE1891" w:rsidRPr="00BF327F" w:rsidRDefault="00CE1891" w:rsidP="00CE1891">
      <w:pPr>
        <w:tabs>
          <w:tab w:val="left" w:pos="3195"/>
        </w:tabs>
        <w:autoSpaceDE w:val="0"/>
        <w:autoSpaceDN w:val="0"/>
        <w:adjustRightInd w:val="0"/>
        <w:ind w:firstLine="709"/>
        <w:jc w:val="both"/>
        <w:rPr>
          <w:rFonts w:eastAsia="Calibri"/>
          <w:b/>
          <w:sz w:val="28"/>
          <w:szCs w:val="28"/>
          <w:lang w:eastAsia="en-US"/>
        </w:rPr>
      </w:pPr>
      <w:r w:rsidRPr="00BF327F">
        <w:rPr>
          <w:rFonts w:eastAsia="Calibri"/>
          <w:b/>
          <w:sz w:val="28"/>
          <w:szCs w:val="28"/>
          <w:lang w:eastAsia="en-US"/>
        </w:rPr>
        <w:t>Определение прогноза на 202</w:t>
      </w:r>
      <w:r>
        <w:rPr>
          <w:rFonts w:eastAsia="Calibri"/>
          <w:b/>
          <w:sz w:val="28"/>
          <w:szCs w:val="28"/>
          <w:lang w:eastAsia="en-US"/>
        </w:rPr>
        <w:t>3</w:t>
      </w:r>
      <w:r w:rsidRPr="00BF327F">
        <w:rPr>
          <w:rFonts w:eastAsia="Calibri"/>
          <w:b/>
          <w:sz w:val="28"/>
          <w:szCs w:val="28"/>
          <w:lang w:eastAsia="en-US"/>
        </w:rPr>
        <w:t xml:space="preserve"> год:</w:t>
      </w:r>
    </w:p>
    <w:p w:rsidR="00CE1891" w:rsidRPr="004448B3" w:rsidRDefault="00CE1891" w:rsidP="00CE1891">
      <w:pPr>
        <w:ind w:firstLine="708"/>
        <w:jc w:val="both"/>
        <w:rPr>
          <w:sz w:val="28"/>
          <w:szCs w:val="28"/>
        </w:rPr>
      </w:pPr>
      <w:r w:rsidRPr="004448B3">
        <w:rPr>
          <w:sz w:val="28"/>
          <w:szCs w:val="28"/>
        </w:rPr>
        <w:t xml:space="preserve">Плата поступления доходов от ранее заключенных договоров аренды </w:t>
      </w:r>
      <w:r w:rsidRPr="004448B3">
        <w:rPr>
          <w:b/>
          <w:sz w:val="28"/>
          <w:szCs w:val="28"/>
        </w:rPr>
        <w:t>с целью заготовки древесины</w:t>
      </w:r>
      <w:r w:rsidRPr="004448B3">
        <w:rPr>
          <w:sz w:val="28"/>
          <w:szCs w:val="28"/>
        </w:rPr>
        <w:t xml:space="preserve"> рассчитана методом приведения к уровню 2007 года по следующей формуле: </w:t>
      </w:r>
    </w:p>
    <w:p w:rsidR="00CE1891" w:rsidRPr="004448B3" w:rsidRDefault="00CE1891" w:rsidP="00CE1891">
      <w:pPr>
        <w:jc w:val="both"/>
        <w:rPr>
          <w:sz w:val="28"/>
          <w:szCs w:val="28"/>
        </w:rPr>
      </w:pPr>
    </w:p>
    <w:p w:rsidR="00CE1891" w:rsidRDefault="00CE1891" w:rsidP="00CE1891">
      <w:pPr>
        <w:jc w:val="center"/>
        <w:rPr>
          <w:sz w:val="28"/>
          <w:szCs w:val="28"/>
          <w:vertAlign w:val="superscript"/>
        </w:rPr>
      </w:pPr>
      <w:r w:rsidRPr="004448B3">
        <w:rPr>
          <w:sz w:val="28"/>
          <w:szCs w:val="28"/>
        </w:rPr>
        <w:t>П</w:t>
      </w:r>
      <w:r w:rsidRPr="004448B3">
        <w:rPr>
          <w:sz w:val="28"/>
          <w:szCs w:val="28"/>
          <w:vertAlign w:val="subscript"/>
        </w:rPr>
        <w:t xml:space="preserve">ар </w:t>
      </w:r>
      <w:r w:rsidRPr="004448B3">
        <w:rPr>
          <w:sz w:val="28"/>
          <w:szCs w:val="28"/>
          <w:vertAlign w:val="superscript"/>
        </w:rPr>
        <w:t>обл</w:t>
      </w:r>
      <w:r w:rsidRPr="004448B3">
        <w:rPr>
          <w:sz w:val="28"/>
          <w:szCs w:val="28"/>
          <w:vertAlign w:val="subscript"/>
        </w:rPr>
        <w:t xml:space="preserve"> </w:t>
      </w:r>
      <w:r w:rsidRPr="004448B3">
        <w:rPr>
          <w:sz w:val="28"/>
          <w:szCs w:val="28"/>
        </w:rPr>
        <w:t>= (С</w:t>
      </w:r>
      <w:r w:rsidRPr="004448B3">
        <w:rPr>
          <w:sz w:val="28"/>
          <w:szCs w:val="28"/>
          <w:vertAlign w:val="subscript"/>
          <w:lang w:val="en-US"/>
        </w:rPr>
        <w:t>Q</w:t>
      </w:r>
      <w:r w:rsidRPr="004448B3">
        <w:rPr>
          <w:sz w:val="28"/>
          <w:szCs w:val="28"/>
          <w:vertAlign w:val="subscript"/>
        </w:rPr>
        <w:t xml:space="preserve"> </w:t>
      </w:r>
      <w:r w:rsidRPr="004448B3">
        <w:rPr>
          <w:sz w:val="28"/>
          <w:szCs w:val="28"/>
          <w:vertAlign w:val="superscript"/>
        </w:rPr>
        <w:t>ар</w:t>
      </w:r>
      <w:r w:rsidRPr="004448B3">
        <w:rPr>
          <w:sz w:val="28"/>
          <w:szCs w:val="28"/>
        </w:rPr>
        <w:t xml:space="preserve"> </w:t>
      </w:r>
      <w:r w:rsidRPr="004448B3">
        <w:rPr>
          <w:sz w:val="28"/>
          <w:szCs w:val="28"/>
          <w:vertAlign w:val="subscript"/>
        </w:rPr>
        <w:t>*</w:t>
      </w:r>
      <w:r w:rsidRPr="004448B3">
        <w:rPr>
          <w:sz w:val="28"/>
          <w:szCs w:val="28"/>
        </w:rPr>
        <w:t xml:space="preserve"> К</w:t>
      </w:r>
      <w:r w:rsidRPr="004448B3">
        <w:rPr>
          <w:sz w:val="28"/>
          <w:szCs w:val="28"/>
          <w:vertAlign w:val="subscript"/>
        </w:rPr>
        <w:t>1</w:t>
      </w:r>
      <w:r w:rsidRPr="004448B3">
        <w:rPr>
          <w:sz w:val="28"/>
          <w:szCs w:val="28"/>
        </w:rPr>
        <w:t xml:space="preserve">) </w:t>
      </w:r>
      <w:r w:rsidRPr="004448B3">
        <w:rPr>
          <w:sz w:val="28"/>
          <w:szCs w:val="28"/>
          <w:vertAlign w:val="subscript"/>
        </w:rPr>
        <w:t>*</w:t>
      </w:r>
      <w:r w:rsidRPr="004448B3">
        <w:rPr>
          <w:sz w:val="28"/>
          <w:szCs w:val="28"/>
        </w:rPr>
        <w:t xml:space="preserve"> </w:t>
      </w:r>
      <w:r w:rsidRPr="004448B3">
        <w:rPr>
          <w:sz w:val="28"/>
          <w:szCs w:val="28"/>
          <w:lang w:val="en-US"/>
        </w:rPr>
        <w:t>Q</w:t>
      </w:r>
      <w:r w:rsidRPr="004448B3">
        <w:rPr>
          <w:sz w:val="28"/>
          <w:szCs w:val="28"/>
          <w:vertAlign w:val="superscript"/>
        </w:rPr>
        <w:t>ср</w:t>
      </w:r>
      <w:r w:rsidRPr="004448B3">
        <w:rPr>
          <w:sz w:val="28"/>
          <w:szCs w:val="28"/>
          <w:vertAlign w:val="subscript"/>
        </w:rPr>
        <w:t>ар</w:t>
      </w:r>
      <w:r w:rsidRPr="000E45F6">
        <w:rPr>
          <w:iCs/>
          <w:sz w:val="28"/>
          <w:szCs w:val="28"/>
          <w:lang w:bidi="en-US"/>
        </w:rPr>
        <w:t>*</w:t>
      </w:r>
      <w:r w:rsidRPr="002016DC">
        <w:rPr>
          <w:rStyle w:val="714pt"/>
          <w:rFonts w:eastAsia="Calibri"/>
        </w:rPr>
        <w:t>Т</w:t>
      </w:r>
      <w:r w:rsidRPr="002016DC">
        <w:rPr>
          <w:rStyle w:val="714pt"/>
          <w:rFonts w:eastAsia="Calibri"/>
          <w:vertAlign w:val="superscript"/>
        </w:rPr>
        <w:t>ср</w:t>
      </w:r>
      <w:r w:rsidRPr="000E45F6">
        <w:rPr>
          <w:iCs/>
          <w:sz w:val="28"/>
          <w:szCs w:val="28"/>
          <w:vertAlign w:val="subscript"/>
          <w:lang w:val="en-US" w:bidi="en-US"/>
        </w:rPr>
        <w:t>Qap</w:t>
      </w:r>
      <w:r w:rsidRPr="004448B3">
        <w:rPr>
          <w:sz w:val="28"/>
          <w:szCs w:val="28"/>
        </w:rPr>
        <w:t xml:space="preserve"> + П</w:t>
      </w:r>
      <w:r w:rsidRPr="004448B3">
        <w:rPr>
          <w:sz w:val="28"/>
          <w:szCs w:val="28"/>
          <w:vertAlign w:val="subscript"/>
        </w:rPr>
        <w:t>ар</w:t>
      </w:r>
      <w:r w:rsidRPr="004448B3">
        <w:rPr>
          <w:sz w:val="28"/>
          <w:szCs w:val="28"/>
          <w:vertAlign w:val="superscript"/>
        </w:rPr>
        <w:t>инв</w:t>
      </w:r>
    </w:p>
    <w:p w:rsidR="00CE1891" w:rsidRPr="004448B3" w:rsidRDefault="00CE1891" w:rsidP="00CE1891">
      <w:pPr>
        <w:jc w:val="center"/>
        <w:rPr>
          <w:sz w:val="28"/>
          <w:szCs w:val="28"/>
        </w:rPr>
      </w:pPr>
    </w:p>
    <w:p w:rsidR="00CE1891" w:rsidRDefault="00CE1891" w:rsidP="00CE1891">
      <w:pPr>
        <w:jc w:val="center"/>
        <w:rPr>
          <w:sz w:val="28"/>
          <w:szCs w:val="28"/>
        </w:rPr>
      </w:pPr>
      <w:r w:rsidRPr="004448B3">
        <w:rPr>
          <w:sz w:val="28"/>
          <w:szCs w:val="28"/>
        </w:rPr>
        <w:t>П</w:t>
      </w:r>
      <w:r w:rsidRPr="004448B3">
        <w:rPr>
          <w:sz w:val="28"/>
          <w:szCs w:val="28"/>
          <w:vertAlign w:val="subscript"/>
        </w:rPr>
        <w:t xml:space="preserve">ар </w:t>
      </w:r>
      <w:r w:rsidRPr="004448B3">
        <w:rPr>
          <w:sz w:val="28"/>
          <w:szCs w:val="28"/>
          <w:vertAlign w:val="superscript"/>
        </w:rPr>
        <w:t xml:space="preserve">обл </w:t>
      </w:r>
      <w:r w:rsidRPr="004448B3">
        <w:rPr>
          <w:sz w:val="28"/>
          <w:szCs w:val="28"/>
        </w:rPr>
        <w:t>= (</w:t>
      </w:r>
      <w:r>
        <w:rPr>
          <w:sz w:val="28"/>
          <w:szCs w:val="28"/>
        </w:rPr>
        <w:t>22,0</w:t>
      </w:r>
      <w:r w:rsidRPr="004448B3">
        <w:rPr>
          <w:sz w:val="28"/>
          <w:szCs w:val="28"/>
        </w:rPr>
        <w:t>*2,</w:t>
      </w:r>
      <w:r>
        <w:rPr>
          <w:sz w:val="28"/>
          <w:szCs w:val="28"/>
        </w:rPr>
        <w:t>94</w:t>
      </w:r>
      <w:r w:rsidRPr="004448B3">
        <w:rPr>
          <w:sz w:val="28"/>
          <w:szCs w:val="28"/>
        </w:rPr>
        <w:t xml:space="preserve">)* </w:t>
      </w:r>
      <w:r>
        <w:rPr>
          <w:sz w:val="28"/>
          <w:szCs w:val="28"/>
        </w:rPr>
        <w:t>6 220 244,4</w:t>
      </w:r>
      <w:r w:rsidRPr="004448B3">
        <w:rPr>
          <w:sz w:val="28"/>
          <w:szCs w:val="28"/>
        </w:rPr>
        <w:t xml:space="preserve"> </w:t>
      </w:r>
      <w:r>
        <w:rPr>
          <w:sz w:val="28"/>
          <w:szCs w:val="28"/>
        </w:rPr>
        <w:t>*</w:t>
      </w:r>
      <w:r w:rsidRPr="00774B53">
        <w:rPr>
          <w:iCs/>
          <w:sz w:val="28"/>
          <w:szCs w:val="28"/>
          <w:lang w:bidi="ru-RU"/>
        </w:rPr>
        <w:t>1,0</w:t>
      </w:r>
      <w:r>
        <w:rPr>
          <w:iCs/>
          <w:sz w:val="28"/>
          <w:szCs w:val="28"/>
          <w:lang w:bidi="ru-RU"/>
        </w:rPr>
        <w:t>08</w:t>
      </w:r>
      <w:r>
        <w:rPr>
          <w:sz w:val="28"/>
          <w:szCs w:val="28"/>
        </w:rPr>
        <w:t xml:space="preserve"> </w:t>
      </w:r>
      <w:r w:rsidRPr="004448B3">
        <w:rPr>
          <w:sz w:val="28"/>
          <w:szCs w:val="28"/>
        </w:rPr>
        <w:t xml:space="preserve">+ </w:t>
      </w:r>
      <w:r>
        <w:rPr>
          <w:sz w:val="28"/>
          <w:szCs w:val="28"/>
        </w:rPr>
        <w:t>157 208 044,15</w:t>
      </w:r>
      <w:r w:rsidRPr="004448B3">
        <w:rPr>
          <w:sz w:val="28"/>
          <w:szCs w:val="28"/>
        </w:rPr>
        <w:t xml:space="preserve">  руб</w:t>
      </w:r>
      <w:r>
        <w:rPr>
          <w:sz w:val="28"/>
          <w:szCs w:val="28"/>
        </w:rPr>
        <w:t>.</w:t>
      </w:r>
      <w:r w:rsidRPr="004448B3">
        <w:rPr>
          <w:sz w:val="28"/>
          <w:szCs w:val="28"/>
        </w:rPr>
        <w:t xml:space="preserve"> =</w:t>
      </w:r>
    </w:p>
    <w:p w:rsidR="00CE1891" w:rsidRPr="004448B3" w:rsidRDefault="00CE1891" w:rsidP="00CE1891">
      <w:pPr>
        <w:jc w:val="center"/>
        <w:rPr>
          <w:sz w:val="28"/>
          <w:szCs w:val="28"/>
        </w:rPr>
      </w:pPr>
      <w:r w:rsidRPr="004448B3">
        <w:rPr>
          <w:sz w:val="28"/>
          <w:szCs w:val="28"/>
        </w:rPr>
        <w:t xml:space="preserve"> </w:t>
      </w:r>
      <w:r>
        <w:rPr>
          <w:b/>
          <w:sz w:val="28"/>
          <w:szCs w:val="28"/>
        </w:rPr>
        <w:t>562 752 055,2 руб.(562 752,</w:t>
      </w:r>
      <w:r w:rsidR="00AD13B0">
        <w:rPr>
          <w:b/>
          <w:sz w:val="28"/>
          <w:szCs w:val="28"/>
        </w:rPr>
        <w:t>0</w:t>
      </w:r>
      <w:r>
        <w:rPr>
          <w:b/>
          <w:sz w:val="28"/>
          <w:szCs w:val="28"/>
        </w:rPr>
        <w:t xml:space="preserve"> тыс. руб.)</w:t>
      </w:r>
    </w:p>
    <w:p w:rsidR="00CE1891" w:rsidRPr="004448B3" w:rsidRDefault="00CE1891" w:rsidP="00CE1891">
      <w:pPr>
        <w:ind w:firstLine="708"/>
        <w:jc w:val="both"/>
        <w:rPr>
          <w:sz w:val="28"/>
          <w:szCs w:val="28"/>
        </w:rPr>
      </w:pPr>
      <w:r w:rsidRPr="004448B3">
        <w:rPr>
          <w:sz w:val="28"/>
          <w:szCs w:val="28"/>
        </w:rPr>
        <w:t>где:</w:t>
      </w:r>
    </w:p>
    <w:p w:rsidR="00CE1891" w:rsidRPr="004448B3" w:rsidRDefault="00CE1891" w:rsidP="00CE1891">
      <w:pPr>
        <w:ind w:firstLine="708"/>
        <w:jc w:val="both"/>
        <w:rPr>
          <w:sz w:val="28"/>
          <w:szCs w:val="28"/>
        </w:rPr>
      </w:pPr>
      <w:r w:rsidRPr="004448B3">
        <w:rPr>
          <w:sz w:val="28"/>
          <w:szCs w:val="28"/>
        </w:rPr>
        <w:t>П</w:t>
      </w:r>
      <w:r w:rsidRPr="004448B3">
        <w:rPr>
          <w:sz w:val="28"/>
          <w:szCs w:val="28"/>
          <w:vertAlign w:val="subscript"/>
        </w:rPr>
        <w:t xml:space="preserve">ар </w:t>
      </w:r>
      <w:r w:rsidRPr="004448B3">
        <w:rPr>
          <w:sz w:val="28"/>
          <w:szCs w:val="28"/>
          <w:vertAlign w:val="superscript"/>
        </w:rPr>
        <w:t>обл</w:t>
      </w:r>
      <w:r w:rsidRPr="004448B3">
        <w:rPr>
          <w:sz w:val="28"/>
          <w:szCs w:val="28"/>
          <w:vertAlign w:val="subscript"/>
        </w:rPr>
        <w:t xml:space="preserve"> </w:t>
      </w:r>
      <w:r w:rsidRPr="004448B3">
        <w:rPr>
          <w:sz w:val="28"/>
          <w:szCs w:val="28"/>
        </w:rPr>
        <w:t>- плата поступления в областной бюджет Тверской области по ранее заключенным договорам аренды с целью заготовки древесины тыс. руб.;</w:t>
      </w:r>
    </w:p>
    <w:p w:rsidR="00CE1891" w:rsidRPr="004448B3" w:rsidRDefault="00CE1891" w:rsidP="00CE1891">
      <w:pPr>
        <w:ind w:firstLine="708"/>
        <w:jc w:val="both"/>
        <w:rPr>
          <w:sz w:val="28"/>
          <w:szCs w:val="28"/>
        </w:rPr>
      </w:pPr>
      <w:r w:rsidRPr="004448B3">
        <w:rPr>
          <w:sz w:val="28"/>
          <w:szCs w:val="28"/>
        </w:rPr>
        <w:t>С</w:t>
      </w:r>
      <w:r w:rsidRPr="004448B3">
        <w:rPr>
          <w:sz w:val="28"/>
          <w:szCs w:val="28"/>
          <w:vertAlign w:val="subscript"/>
          <w:lang w:val="en-US"/>
        </w:rPr>
        <w:t>Q</w:t>
      </w:r>
      <w:r w:rsidRPr="004448B3">
        <w:rPr>
          <w:sz w:val="28"/>
          <w:szCs w:val="28"/>
          <w:vertAlign w:val="subscript"/>
        </w:rPr>
        <w:t xml:space="preserve"> </w:t>
      </w:r>
      <w:r w:rsidRPr="004448B3">
        <w:rPr>
          <w:sz w:val="28"/>
          <w:szCs w:val="28"/>
          <w:vertAlign w:val="superscript"/>
        </w:rPr>
        <w:t>ар</w:t>
      </w:r>
      <w:r w:rsidRPr="004448B3">
        <w:rPr>
          <w:sz w:val="28"/>
          <w:szCs w:val="28"/>
        </w:rPr>
        <w:t xml:space="preserve"> – средняя плата (превышающая минимальные ставки платы) за единицу объема древесины по договорам аренды лесных участков, находящихся в федеральной собственности, сложившаяся по итогам предыдущего финансового года и приведенная к уровню 2007 года руб.; </w:t>
      </w:r>
    </w:p>
    <w:p w:rsidR="00CE1891" w:rsidRPr="004448B3" w:rsidRDefault="00CE1891" w:rsidP="00CE1891">
      <w:pPr>
        <w:ind w:firstLine="708"/>
        <w:jc w:val="both"/>
        <w:rPr>
          <w:sz w:val="28"/>
          <w:szCs w:val="28"/>
          <w:vertAlign w:val="subscript"/>
        </w:rPr>
      </w:pPr>
      <w:r w:rsidRPr="004448B3">
        <w:rPr>
          <w:sz w:val="28"/>
          <w:szCs w:val="28"/>
        </w:rPr>
        <w:t>С</w:t>
      </w:r>
      <w:r w:rsidRPr="004448B3">
        <w:rPr>
          <w:sz w:val="28"/>
          <w:szCs w:val="28"/>
          <w:vertAlign w:val="subscript"/>
          <w:lang w:val="en-US"/>
        </w:rPr>
        <w:t>Q</w:t>
      </w:r>
      <w:r w:rsidRPr="004448B3">
        <w:rPr>
          <w:sz w:val="28"/>
          <w:szCs w:val="28"/>
          <w:vertAlign w:val="subscript"/>
        </w:rPr>
        <w:t xml:space="preserve"> </w:t>
      </w:r>
      <w:r w:rsidRPr="004448B3">
        <w:rPr>
          <w:sz w:val="28"/>
          <w:szCs w:val="28"/>
          <w:vertAlign w:val="superscript"/>
        </w:rPr>
        <w:t xml:space="preserve">ар </w:t>
      </w:r>
      <w:r w:rsidRPr="004448B3">
        <w:rPr>
          <w:sz w:val="28"/>
          <w:szCs w:val="28"/>
        </w:rPr>
        <w:t>=П</w:t>
      </w:r>
      <w:r w:rsidRPr="004448B3">
        <w:rPr>
          <w:sz w:val="28"/>
          <w:szCs w:val="28"/>
          <w:vertAlign w:val="subscript"/>
        </w:rPr>
        <w:t>ар</w:t>
      </w:r>
      <w:r w:rsidRPr="004448B3">
        <w:rPr>
          <w:sz w:val="28"/>
          <w:szCs w:val="28"/>
          <w:vertAlign w:val="subscript"/>
          <w:lang w:val="en-US"/>
        </w:rPr>
        <w:t>Q</w:t>
      </w:r>
      <w:r w:rsidRPr="004448B3">
        <w:rPr>
          <w:sz w:val="28"/>
          <w:szCs w:val="28"/>
          <w:vertAlign w:val="superscript"/>
        </w:rPr>
        <w:t>причОБ</w:t>
      </w:r>
      <w:r w:rsidRPr="004448B3">
        <w:rPr>
          <w:sz w:val="28"/>
          <w:szCs w:val="28"/>
        </w:rPr>
        <w:t>/</w:t>
      </w:r>
      <w:r w:rsidRPr="004448B3">
        <w:rPr>
          <w:sz w:val="28"/>
          <w:szCs w:val="28"/>
          <w:lang w:val="en-US"/>
        </w:rPr>
        <w:t>Q</w:t>
      </w:r>
      <w:r w:rsidRPr="004448B3">
        <w:rPr>
          <w:sz w:val="28"/>
          <w:szCs w:val="28"/>
          <w:vertAlign w:val="subscript"/>
        </w:rPr>
        <w:t xml:space="preserve">ар </w:t>
      </w:r>
      <w:r w:rsidRPr="004448B3">
        <w:rPr>
          <w:sz w:val="28"/>
          <w:szCs w:val="28"/>
          <w:vertAlign w:val="superscript"/>
        </w:rPr>
        <w:t>предост</w:t>
      </w:r>
      <w:r w:rsidRPr="004448B3">
        <w:rPr>
          <w:sz w:val="28"/>
          <w:szCs w:val="28"/>
        </w:rPr>
        <w:t>/К</w:t>
      </w:r>
      <w:r w:rsidRPr="004448B3">
        <w:rPr>
          <w:sz w:val="28"/>
          <w:szCs w:val="28"/>
          <w:vertAlign w:val="subscript"/>
        </w:rPr>
        <w:t>1пред год,</w:t>
      </w:r>
    </w:p>
    <w:p w:rsidR="00CE1891" w:rsidRPr="004448B3" w:rsidRDefault="00CE1891" w:rsidP="00CE1891">
      <w:pPr>
        <w:ind w:firstLine="708"/>
        <w:jc w:val="both"/>
        <w:rPr>
          <w:sz w:val="28"/>
          <w:szCs w:val="28"/>
          <w:vertAlign w:val="subscript"/>
        </w:rPr>
      </w:pPr>
    </w:p>
    <w:p w:rsidR="00CE1891" w:rsidRPr="004448B3" w:rsidRDefault="00CE1891" w:rsidP="00CE1891">
      <w:pPr>
        <w:ind w:firstLine="708"/>
        <w:jc w:val="both"/>
        <w:rPr>
          <w:sz w:val="28"/>
          <w:szCs w:val="28"/>
        </w:rPr>
      </w:pPr>
      <w:r w:rsidRPr="004448B3">
        <w:rPr>
          <w:sz w:val="28"/>
          <w:szCs w:val="28"/>
        </w:rPr>
        <w:t>С</w:t>
      </w:r>
      <w:r w:rsidRPr="004448B3">
        <w:rPr>
          <w:sz w:val="28"/>
          <w:szCs w:val="28"/>
          <w:vertAlign w:val="subscript"/>
          <w:lang w:val="en-US"/>
        </w:rPr>
        <w:t>Q</w:t>
      </w:r>
      <w:r w:rsidRPr="004448B3">
        <w:rPr>
          <w:sz w:val="28"/>
          <w:szCs w:val="28"/>
          <w:vertAlign w:val="subscript"/>
        </w:rPr>
        <w:t xml:space="preserve"> </w:t>
      </w:r>
      <w:r w:rsidRPr="004448B3">
        <w:rPr>
          <w:sz w:val="28"/>
          <w:szCs w:val="28"/>
          <w:vertAlign w:val="superscript"/>
        </w:rPr>
        <w:t>ар</w:t>
      </w:r>
      <w:r w:rsidRPr="004448B3">
        <w:rPr>
          <w:sz w:val="28"/>
          <w:szCs w:val="28"/>
        </w:rPr>
        <w:t xml:space="preserve"> =</w:t>
      </w:r>
      <w:r>
        <w:rPr>
          <w:sz w:val="28"/>
          <w:szCs w:val="28"/>
        </w:rPr>
        <w:t>367 406 300</w:t>
      </w:r>
      <w:r w:rsidRPr="004448B3">
        <w:rPr>
          <w:sz w:val="28"/>
          <w:szCs w:val="28"/>
        </w:rPr>
        <w:t xml:space="preserve"> руб./</w:t>
      </w:r>
      <w:r>
        <w:rPr>
          <w:sz w:val="28"/>
          <w:szCs w:val="28"/>
        </w:rPr>
        <w:t>6 377 400</w:t>
      </w:r>
      <w:r w:rsidRPr="004448B3">
        <w:rPr>
          <w:sz w:val="28"/>
          <w:szCs w:val="28"/>
        </w:rPr>
        <w:t xml:space="preserve"> куб.м/</w:t>
      </w:r>
      <w:r>
        <w:rPr>
          <w:sz w:val="28"/>
          <w:szCs w:val="28"/>
        </w:rPr>
        <w:t>2,62</w:t>
      </w:r>
      <w:r w:rsidRPr="004448B3">
        <w:rPr>
          <w:sz w:val="28"/>
          <w:szCs w:val="28"/>
        </w:rPr>
        <w:t xml:space="preserve">= </w:t>
      </w:r>
      <w:r w:rsidRPr="00C60EEA">
        <w:rPr>
          <w:sz w:val="28"/>
          <w:szCs w:val="28"/>
        </w:rPr>
        <w:t>22,0</w:t>
      </w:r>
      <w:r w:rsidRPr="004448B3">
        <w:rPr>
          <w:sz w:val="28"/>
          <w:szCs w:val="28"/>
        </w:rPr>
        <w:t xml:space="preserve"> руб.</w:t>
      </w:r>
    </w:p>
    <w:p w:rsidR="00CE1891" w:rsidRPr="004448B3" w:rsidRDefault="00CE1891" w:rsidP="00CE1891">
      <w:pPr>
        <w:ind w:firstLine="708"/>
        <w:jc w:val="both"/>
        <w:rPr>
          <w:sz w:val="28"/>
          <w:szCs w:val="28"/>
        </w:rPr>
      </w:pPr>
      <w:r w:rsidRPr="004448B3">
        <w:rPr>
          <w:sz w:val="28"/>
          <w:szCs w:val="28"/>
        </w:rPr>
        <w:t>где:</w:t>
      </w:r>
    </w:p>
    <w:p w:rsidR="00CE1891" w:rsidRPr="004448B3" w:rsidRDefault="00CE1891" w:rsidP="00CE1891">
      <w:pPr>
        <w:ind w:firstLine="708"/>
        <w:jc w:val="both"/>
        <w:rPr>
          <w:sz w:val="28"/>
          <w:szCs w:val="28"/>
        </w:rPr>
      </w:pPr>
      <w:r w:rsidRPr="004448B3">
        <w:rPr>
          <w:sz w:val="28"/>
          <w:szCs w:val="28"/>
        </w:rPr>
        <w:t>П</w:t>
      </w:r>
      <w:r w:rsidRPr="004448B3">
        <w:rPr>
          <w:sz w:val="28"/>
          <w:szCs w:val="28"/>
          <w:vertAlign w:val="subscript"/>
        </w:rPr>
        <w:t>ар</w:t>
      </w:r>
      <w:r w:rsidRPr="004448B3">
        <w:rPr>
          <w:sz w:val="28"/>
          <w:szCs w:val="28"/>
          <w:vertAlign w:val="subscript"/>
          <w:lang w:val="en-US"/>
        </w:rPr>
        <w:t>Q</w:t>
      </w:r>
      <w:r w:rsidRPr="004448B3">
        <w:rPr>
          <w:sz w:val="28"/>
          <w:szCs w:val="28"/>
          <w:vertAlign w:val="superscript"/>
        </w:rPr>
        <w:t xml:space="preserve">причОБ </w:t>
      </w:r>
      <w:r w:rsidRPr="004448B3">
        <w:rPr>
          <w:sz w:val="28"/>
          <w:szCs w:val="28"/>
        </w:rPr>
        <w:t>- причитающийся в областной бюджет объем платежей за заготовку древесины по договорам аренды лесных участков, находящихся в федеральной собственности, в предыдущем финансовом году (руб.);</w:t>
      </w:r>
    </w:p>
    <w:p w:rsidR="00CE1891" w:rsidRPr="004448B3" w:rsidRDefault="00CE1891" w:rsidP="00CE1891">
      <w:pPr>
        <w:ind w:firstLine="708"/>
        <w:jc w:val="both"/>
        <w:rPr>
          <w:sz w:val="28"/>
          <w:szCs w:val="28"/>
        </w:rPr>
      </w:pPr>
      <w:r w:rsidRPr="004448B3">
        <w:rPr>
          <w:sz w:val="28"/>
          <w:szCs w:val="28"/>
          <w:lang w:val="en-US"/>
        </w:rPr>
        <w:t>Q</w:t>
      </w:r>
      <w:r w:rsidRPr="004448B3">
        <w:rPr>
          <w:sz w:val="28"/>
          <w:szCs w:val="28"/>
          <w:vertAlign w:val="subscript"/>
        </w:rPr>
        <w:t xml:space="preserve">ар </w:t>
      </w:r>
      <w:r w:rsidRPr="004448B3">
        <w:rPr>
          <w:sz w:val="28"/>
          <w:szCs w:val="28"/>
          <w:vertAlign w:val="superscript"/>
        </w:rPr>
        <w:t xml:space="preserve">предост </w:t>
      </w:r>
      <w:r w:rsidRPr="004448B3">
        <w:rPr>
          <w:sz w:val="28"/>
          <w:szCs w:val="28"/>
        </w:rPr>
        <w:t>- объем древесины, предоставленный для заготовки древесины по договорам аренды лесных участков, находящихся в федеральной собственности, в предыдущем финансовом году (куб.м);</w:t>
      </w:r>
    </w:p>
    <w:p w:rsidR="00CE1891" w:rsidRPr="004448B3" w:rsidRDefault="00CE1891" w:rsidP="00CE1891">
      <w:pPr>
        <w:ind w:firstLine="708"/>
        <w:jc w:val="both"/>
        <w:rPr>
          <w:sz w:val="28"/>
          <w:szCs w:val="28"/>
        </w:rPr>
      </w:pPr>
      <w:r w:rsidRPr="004448B3">
        <w:rPr>
          <w:sz w:val="28"/>
          <w:szCs w:val="28"/>
        </w:rPr>
        <w:t>К</w:t>
      </w:r>
      <w:r w:rsidRPr="004448B3">
        <w:rPr>
          <w:sz w:val="28"/>
          <w:szCs w:val="28"/>
          <w:vertAlign w:val="subscript"/>
        </w:rPr>
        <w:t xml:space="preserve">1пред год </w:t>
      </w:r>
      <w:r w:rsidRPr="004448B3">
        <w:rPr>
          <w:sz w:val="28"/>
          <w:szCs w:val="28"/>
        </w:rPr>
        <w:t>- коэффициент за единицу объема лесных ресурсов в предыдущем финансовом году.</w:t>
      </w:r>
    </w:p>
    <w:p w:rsidR="00CE1891" w:rsidRPr="004448B3" w:rsidRDefault="00CE1891" w:rsidP="00CE1891">
      <w:pPr>
        <w:ind w:firstLine="708"/>
        <w:jc w:val="both"/>
        <w:rPr>
          <w:sz w:val="28"/>
          <w:szCs w:val="28"/>
        </w:rPr>
      </w:pPr>
      <w:r w:rsidRPr="004448B3">
        <w:rPr>
          <w:sz w:val="28"/>
          <w:szCs w:val="28"/>
        </w:rPr>
        <w:t>К</w:t>
      </w:r>
      <w:r w:rsidRPr="004448B3">
        <w:rPr>
          <w:sz w:val="28"/>
          <w:szCs w:val="28"/>
          <w:vertAlign w:val="subscript"/>
        </w:rPr>
        <w:t>1</w:t>
      </w:r>
      <w:r w:rsidRPr="004448B3">
        <w:rPr>
          <w:sz w:val="28"/>
          <w:szCs w:val="28"/>
        </w:rPr>
        <w:t xml:space="preserve"> - коэффициент отчетного года за единицу объема лесных ресурсов;  </w:t>
      </w:r>
    </w:p>
    <w:p w:rsidR="00CE1891" w:rsidRPr="004448B3" w:rsidRDefault="00CE1891" w:rsidP="00CE1891">
      <w:pPr>
        <w:ind w:firstLine="708"/>
        <w:jc w:val="both"/>
        <w:rPr>
          <w:sz w:val="28"/>
          <w:szCs w:val="28"/>
        </w:rPr>
      </w:pPr>
      <w:r w:rsidRPr="004448B3">
        <w:rPr>
          <w:sz w:val="28"/>
          <w:szCs w:val="28"/>
          <w:lang w:val="en-US"/>
        </w:rPr>
        <w:t>Q</w:t>
      </w:r>
      <w:r w:rsidRPr="004448B3">
        <w:rPr>
          <w:sz w:val="28"/>
          <w:szCs w:val="28"/>
          <w:vertAlign w:val="superscript"/>
        </w:rPr>
        <w:t>ср</w:t>
      </w:r>
      <w:r w:rsidRPr="004448B3">
        <w:rPr>
          <w:sz w:val="28"/>
          <w:szCs w:val="28"/>
          <w:vertAlign w:val="subscript"/>
        </w:rPr>
        <w:t xml:space="preserve">ар </w:t>
      </w:r>
      <w:r w:rsidRPr="004448B3">
        <w:rPr>
          <w:strike/>
          <w:sz w:val="28"/>
          <w:szCs w:val="28"/>
          <w:vertAlign w:val="subscript"/>
        </w:rPr>
        <w:t xml:space="preserve">– </w:t>
      </w:r>
      <w:r w:rsidRPr="004448B3">
        <w:rPr>
          <w:sz w:val="28"/>
          <w:szCs w:val="28"/>
        </w:rPr>
        <w:t xml:space="preserve"> средний объем древесины, подлежащий заготовке по договорам аренды лесных участков, находящихся в федеральной собственности, (куб.м);</w:t>
      </w:r>
    </w:p>
    <w:p w:rsidR="00CE1891" w:rsidRPr="004448B3" w:rsidRDefault="00CE1891" w:rsidP="00CE1891">
      <w:pPr>
        <w:ind w:firstLine="708"/>
        <w:jc w:val="both"/>
        <w:rPr>
          <w:sz w:val="28"/>
          <w:szCs w:val="28"/>
        </w:rPr>
      </w:pPr>
      <w:r w:rsidRPr="004448B3">
        <w:rPr>
          <w:sz w:val="28"/>
          <w:szCs w:val="28"/>
          <w:lang w:val="en-US"/>
        </w:rPr>
        <w:t>Q</w:t>
      </w:r>
      <w:r w:rsidRPr="004448B3">
        <w:rPr>
          <w:sz w:val="28"/>
          <w:szCs w:val="28"/>
          <w:vertAlign w:val="superscript"/>
        </w:rPr>
        <w:t>ср</w:t>
      </w:r>
      <w:r w:rsidRPr="004448B3">
        <w:rPr>
          <w:sz w:val="28"/>
          <w:szCs w:val="28"/>
          <w:vertAlign w:val="subscript"/>
        </w:rPr>
        <w:t>ар =</w:t>
      </w:r>
      <w:r w:rsidRPr="004448B3">
        <w:rPr>
          <w:sz w:val="28"/>
          <w:szCs w:val="28"/>
        </w:rPr>
        <w:t>Σ</w:t>
      </w:r>
      <w:r w:rsidRPr="004448B3">
        <w:rPr>
          <w:sz w:val="28"/>
          <w:szCs w:val="28"/>
          <w:vertAlign w:val="superscript"/>
        </w:rPr>
        <w:t>3</w:t>
      </w:r>
      <w:r w:rsidRPr="004448B3">
        <w:rPr>
          <w:sz w:val="28"/>
          <w:szCs w:val="28"/>
          <w:vertAlign w:val="subscript"/>
          <w:lang w:val="en-US"/>
        </w:rPr>
        <w:t>t</w:t>
      </w:r>
      <w:r w:rsidRPr="004448B3">
        <w:rPr>
          <w:sz w:val="28"/>
          <w:szCs w:val="28"/>
          <w:vertAlign w:val="subscript"/>
        </w:rPr>
        <w:t xml:space="preserve">=1 </w:t>
      </w:r>
      <w:r w:rsidRPr="004448B3">
        <w:rPr>
          <w:sz w:val="28"/>
          <w:szCs w:val="28"/>
          <w:lang w:val="en-US"/>
        </w:rPr>
        <w:t>Q</w:t>
      </w:r>
      <w:r w:rsidRPr="004448B3">
        <w:rPr>
          <w:sz w:val="28"/>
          <w:szCs w:val="28"/>
          <w:vertAlign w:val="subscript"/>
        </w:rPr>
        <w:t>ар</w:t>
      </w:r>
      <w:r w:rsidRPr="004448B3">
        <w:rPr>
          <w:sz w:val="28"/>
          <w:szCs w:val="28"/>
        </w:rPr>
        <w:t>/3,</w:t>
      </w:r>
    </w:p>
    <w:p w:rsidR="00CE1891" w:rsidRPr="004448B3" w:rsidRDefault="00CE1891" w:rsidP="00CE1891">
      <w:pPr>
        <w:ind w:firstLine="708"/>
        <w:jc w:val="both"/>
        <w:rPr>
          <w:sz w:val="28"/>
          <w:szCs w:val="28"/>
        </w:rPr>
      </w:pPr>
      <w:r w:rsidRPr="004448B3">
        <w:rPr>
          <w:sz w:val="28"/>
          <w:szCs w:val="28"/>
        </w:rPr>
        <w:t xml:space="preserve">где: </w:t>
      </w:r>
    </w:p>
    <w:p w:rsidR="00CE1891" w:rsidRPr="004448B3" w:rsidRDefault="00CE1891" w:rsidP="00CE1891">
      <w:pPr>
        <w:ind w:firstLine="708"/>
        <w:jc w:val="both"/>
        <w:rPr>
          <w:sz w:val="28"/>
          <w:szCs w:val="28"/>
        </w:rPr>
      </w:pPr>
      <w:r w:rsidRPr="004448B3">
        <w:rPr>
          <w:sz w:val="28"/>
          <w:szCs w:val="28"/>
        </w:rPr>
        <w:lastRenderedPageBreak/>
        <w:t>Σ</w:t>
      </w:r>
      <w:r w:rsidRPr="004448B3">
        <w:rPr>
          <w:sz w:val="28"/>
          <w:szCs w:val="28"/>
          <w:vertAlign w:val="superscript"/>
        </w:rPr>
        <w:t>3</w:t>
      </w:r>
      <w:r w:rsidRPr="004448B3">
        <w:rPr>
          <w:sz w:val="28"/>
          <w:szCs w:val="28"/>
          <w:vertAlign w:val="subscript"/>
          <w:lang w:val="en-US"/>
        </w:rPr>
        <w:t>t</w:t>
      </w:r>
      <w:r w:rsidRPr="004448B3">
        <w:rPr>
          <w:sz w:val="28"/>
          <w:szCs w:val="28"/>
          <w:vertAlign w:val="subscript"/>
        </w:rPr>
        <w:t xml:space="preserve">=1 </w:t>
      </w:r>
      <w:r w:rsidRPr="004448B3">
        <w:rPr>
          <w:sz w:val="28"/>
          <w:szCs w:val="28"/>
          <w:lang w:val="en-US"/>
        </w:rPr>
        <w:t>Q</w:t>
      </w:r>
      <w:r w:rsidRPr="004448B3">
        <w:rPr>
          <w:sz w:val="28"/>
          <w:szCs w:val="28"/>
          <w:vertAlign w:val="subscript"/>
        </w:rPr>
        <w:t>ар</w:t>
      </w:r>
      <w:r w:rsidRPr="004448B3">
        <w:rPr>
          <w:sz w:val="28"/>
          <w:szCs w:val="28"/>
        </w:rPr>
        <w:t xml:space="preserve"> - сумма годовых величин объемов древесины, подлежащих заготовке по договорам аренды лесных участков, за три года, предшествующих прогнозируемому году (куб.м);</w:t>
      </w:r>
    </w:p>
    <w:p w:rsidR="00CE1891" w:rsidRPr="004448B3" w:rsidRDefault="00CE1891" w:rsidP="00CE1891">
      <w:pPr>
        <w:ind w:firstLine="708"/>
        <w:jc w:val="both"/>
        <w:rPr>
          <w:sz w:val="28"/>
          <w:szCs w:val="28"/>
          <w:vertAlign w:val="subscript"/>
        </w:rPr>
      </w:pPr>
      <w:r w:rsidRPr="004448B3">
        <w:rPr>
          <w:sz w:val="28"/>
          <w:szCs w:val="28"/>
        </w:rPr>
        <w:t>Σ</w:t>
      </w:r>
      <w:r w:rsidRPr="004448B3">
        <w:rPr>
          <w:sz w:val="28"/>
          <w:szCs w:val="28"/>
          <w:vertAlign w:val="superscript"/>
        </w:rPr>
        <w:t>3</w:t>
      </w:r>
      <w:r w:rsidRPr="004448B3">
        <w:rPr>
          <w:sz w:val="28"/>
          <w:szCs w:val="28"/>
          <w:vertAlign w:val="subscript"/>
          <w:lang w:val="en-US"/>
        </w:rPr>
        <w:t>t</w:t>
      </w:r>
      <w:r w:rsidRPr="004448B3">
        <w:rPr>
          <w:sz w:val="28"/>
          <w:szCs w:val="28"/>
          <w:vertAlign w:val="subscript"/>
        </w:rPr>
        <w:t xml:space="preserve">=1 </w:t>
      </w:r>
      <w:r w:rsidRPr="004448B3">
        <w:rPr>
          <w:sz w:val="28"/>
          <w:szCs w:val="28"/>
          <w:lang w:val="en-US"/>
        </w:rPr>
        <w:t>Q</w:t>
      </w:r>
      <w:r w:rsidRPr="004448B3">
        <w:rPr>
          <w:sz w:val="28"/>
          <w:szCs w:val="28"/>
          <w:vertAlign w:val="subscript"/>
        </w:rPr>
        <w:t>ар =</w:t>
      </w:r>
      <w:r w:rsidRPr="004448B3">
        <w:rPr>
          <w:sz w:val="28"/>
          <w:szCs w:val="28"/>
          <w:lang w:val="en-US"/>
        </w:rPr>
        <w:t>Q</w:t>
      </w:r>
      <w:r w:rsidRPr="004448B3">
        <w:rPr>
          <w:sz w:val="28"/>
          <w:szCs w:val="28"/>
          <w:vertAlign w:val="subscript"/>
        </w:rPr>
        <w:t>ар 20</w:t>
      </w:r>
      <w:r>
        <w:rPr>
          <w:sz w:val="28"/>
          <w:szCs w:val="28"/>
          <w:vertAlign w:val="subscript"/>
        </w:rPr>
        <w:t>20</w:t>
      </w:r>
      <w:r w:rsidRPr="004448B3">
        <w:rPr>
          <w:sz w:val="28"/>
          <w:szCs w:val="28"/>
          <w:vertAlign w:val="subscript"/>
        </w:rPr>
        <w:t>+</w:t>
      </w:r>
      <w:r w:rsidRPr="004448B3">
        <w:rPr>
          <w:sz w:val="28"/>
          <w:szCs w:val="28"/>
        </w:rPr>
        <w:t xml:space="preserve"> </w:t>
      </w:r>
      <w:r w:rsidRPr="004448B3">
        <w:rPr>
          <w:sz w:val="28"/>
          <w:szCs w:val="28"/>
          <w:lang w:val="en-US"/>
        </w:rPr>
        <w:t>Q</w:t>
      </w:r>
      <w:r w:rsidRPr="004448B3">
        <w:rPr>
          <w:sz w:val="28"/>
          <w:szCs w:val="28"/>
          <w:vertAlign w:val="subscript"/>
        </w:rPr>
        <w:t>ар 20</w:t>
      </w:r>
      <w:r>
        <w:rPr>
          <w:sz w:val="28"/>
          <w:szCs w:val="28"/>
          <w:vertAlign w:val="subscript"/>
        </w:rPr>
        <w:t>21</w:t>
      </w:r>
      <w:r w:rsidRPr="004448B3">
        <w:rPr>
          <w:sz w:val="28"/>
          <w:szCs w:val="28"/>
          <w:vertAlign w:val="subscript"/>
        </w:rPr>
        <w:t>+</w:t>
      </w:r>
      <w:r w:rsidRPr="004448B3">
        <w:rPr>
          <w:sz w:val="28"/>
          <w:szCs w:val="28"/>
        </w:rPr>
        <w:t xml:space="preserve"> </w:t>
      </w:r>
      <w:r w:rsidRPr="004448B3">
        <w:rPr>
          <w:sz w:val="28"/>
          <w:szCs w:val="28"/>
          <w:lang w:val="en-US"/>
        </w:rPr>
        <w:t>Q</w:t>
      </w:r>
      <w:r w:rsidRPr="004448B3">
        <w:rPr>
          <w:sz w:val="28"/>
          <w:szCs w:val="28"/>
          <w:vertAlign w:val="subscript"/>
        </w:rPr>
        <w:t>ар 20</w:t>
      </w:r>
      <w:r>
        <w:rPr>
          <w:sz w:val="28"/>
          <w:szCs w:val="28"/>
          <w:vertAlign w:val="subscript"/>
        </w:rPr>
        <w:t>22</w:t>
      </w:r>
    </w:p>
    <w:p w:rsidR="00CE1891" w:rsidRPr="004448B3" w:rsidRDefault="00CE1891" w:rsidP="00CE1891">
      <w:pPr>
        <w:ind w:firstLine="708"/>
        <w:jc w:val="both"/>
        <w:rPr>
          <w:sz w:val="28"/>
          <w:szCs w:val="28"/>
        </w:rPr>
      </w:pPr>
      <w:r w:rsidRPr="004448B3">
        <w:rPr>
          <w:sz w:val="28"/>
          <w:szCs w:val="28"/>
          <w:lang w:val="en-US"/>
        </w:rPr>
        <w:t>Q</w:t>
      </w:r>
      <w:r w:rsidRPr="004448B3">
        <w:rPr>
          <w:sz w:val="28"/>
          <w:szCs w:val="28"/>
          <w:vertAlign w:val="subscript"/>
        </w:rPr>
        <w:t xml:space="preserve">ар </w:t>
      </w:r>
      <w:r w:rsidRPr="004448B3">
        <w:rPr>
          <w:sz w:val="28"/>
          <w:szCs w:val="28"/>
        </w:rPr>
        <w:t>- объем древесины, подлежащий заготовке по договорам аренды лесных участков, находящихся в федеральной собственности, (куб.м)</w:t>
      </w:r>
    </w:p>
    <w:p w:rsidR="00CE1891" w:rsidRPr="004448B3" w:rsidRDefault="00CE1891" w:rsidP="00CE1891">
      <w:pPr>
        <w:ind w:firstLine="708"/>
        <w:jc w:val="both"/>
        <w:rPr>
          <w:sz w:val="28"/>
          <w:szCs w:val="28"/>
        </w:rPr>
      </w:pPr>
      <w:r w:rsidRPr="004448B3">
        <w:rPr>
          <w:sz w:val="28"/>
          <w:szCs w:val="28"/>
        </w:rPr>
        <w:t>Σ</w:t>
      </w:r>
      <w:r w:rsidRPr="004448B3">
        <w:rPr>
          <w:sz w:val="28"/>
          <w:szCs w:val="28"/>
          <w:vertAlign w:val="superscript"/>
        </w:rPr>
        <w:t>3</w:t>
      </w:r>
      <w:r w:rsidRPr="004448B3">
        <w:rPr>
          <w:sz w:val="28"/>
          <w:szCs w:val="28"/>
          <w:vertAlign w:val="subscript"/>
          <w:lang w:val="en-US"/>
        </w:rPr>
        <w:t>t</w:t>
      </w:r>
      <w:r w:rsidRPr="004448B3">
        <w:rPr>
          <w:sz w:val="28"/>
          <w:szCs w:val="28"/>
          <w:vertAlign w:val="subscript"/>
        </w:rPr>
        <w:t xml:space="preserve">=1 </w:t>
      </w:r>
      <w:r w:rsidRPr="004448B3">
        <w:rPr>
          <w:sz w:val="28"/>
          <w:szCs w:val="28"/>
          <w:lang w:val="en-US"/>
        </w:rPr>
        <w:t>Q</w:t>
      </w:r>
      <w:r w:rsidRPr="004448B3">
        <w:rPr>
          <w:sz w:val="28"/>
          <w:szCs w:val="28"/>
          <w:vertAlign w:val="subscript"/>
        </w:rPr>
        <w:t xml:space="preserve">ар = </w:t>
      </w:r>
      <w:r>
        <w:rPr>
          <w:sz w:val="28"/>
          <w:szCs w:val="28"/>
        </w:rPr>
        <w:t xml:space="preserve">6 377 400 </w:t>
      </w:r>
      <w:r w:rsidRPr="004448B3">
        <w:rPr>
          <w:sz w:val="28"/>
          <w:szCs w:val="28"/>
        </w:rPr>
        <w:t xml:space="preserve">+ </w:t>
      </w:r>
      <w:r>
        <w:rPr>
          <w:sz w:val="28"/>
          <w:szCs w:val="28"/>
        </w:rPr>
        <w:t xml:space="preserve">6 107 000 </w:t>
      </w:r>
      <w:r w:rsidRPr="004448B3">
        <w:rPr>
          <w:sz w:val="28"/>
          <w:szCs w:val="28"/>
        </w:rPr>
        <w:t xml:space="preserve">+ </w:t>
      </w:r>
      <w:r>
        <w:rPr>
          <w:sz w:val="28"/>
          <w:szCs w:val="28"/>
        </w:rPr>
        <w:t>6 176 333,3</w:t>
      </w:r>
      <w:r w:rsidRPr="004448B3">
        <w:rPr>
          <w:sz w:val="28"/>
          <w:szCs w:val="28"/>
        </w:rPr>
        <w:t xml:space="preserve"> = </w:t>
      </w:r>
      <w:r>
        <w:rPr>
          <w:sz w:val="28"/>
          <w:szCs w:val="28"/>
        </w:rPr>
        <w:t>18 660 733,3</w:t>
      </w:r>
      <w:r w:rsidRPr="004448B3">
        <w:rPr>
          <w:sz w:val="28"/>
          <w:szCs w:val="28"/>
        </w:rPr>
        <w:t>(куб.м)</w:t>
      </w:r>
    </w:p>
    <w:p w:rsidR="00CE1891" w:rsidRDefault="00CE1891" w:rsidP="00CE1891">
      <w:pPr>
        <w:ind w:firstLine="708"/>
        <w:jc w:val="both"/>
        <w:rPr>
          <w:sz w:val="28"/>
          <w:szCs w:val="28"/>
          <w:vertAlign w:val="subscript"/>
        </w:rPr>
      </w:pPr>
      <w:r w:rsidRPr="004448B3">
        <w:rPr>
          <w:sz w:val="28"/>
          <w:szCs w:val="28"/>
          <w:lang w:val="en-US"/>
        </w:rPr>
        <w:t>Q</w:t>
      </w:r>
      <w:r w:rsidRPr="004448B3">
        <w:rPr>
          <w:sz w:val="28"/>
          <w:szCs w:val="28"/>
          <w:vertAlign w:val="superscript"/>
        </w:rPr>
        <w:t>ср</w:t>
      </w:r>
      <w:r w:rsidRPr="004448B3">
        <w:rPr>
          <w:sz w:val="28"/>
          <w:szCs w:val="28"/>
          <w:vertAlign w:val="subscript"/>
        </w:rPr>
        <w:t>ар</w:t>
      </w:r>
      <w:r w:rsidRPr="004448B3">
        <w:rPr>
          <w:sz w:val="28"/>
          <w:szCs w:val="28"/>
        </w:rPr>
        <w:t xml:space="preserve"> =</w:t>
      </w:r>
      <w:r>
        <w:rPr>
          <w:sz w:val="28"/>
          <w:szCs w:val="28"/>
        </w:rPr>
        <w:t>18 660 733,3</w:t>
      </w:r>
      <w:r w:rsidRPr="004448B3">
        <w:rPr>
          <w:sz w:val="28"/>
          <w:szCs w:val="28"/>
        </w:rPr>
        <w:t xml:space="preserve">/3= </w:t>
      </w:r>
      <w:r>
        <w:rPr>
          <w:sz w:val="28"/>
          <w:szCs w:val="28"/>
        </w:rPr>
        <w:t>6 220 244,4</w:t>
      </w:r>
      <w:r w:rsidRPr="004448B3">
        <w:rPr>
          <w:sz w:val="28"/>
          <w:szCs w:val="28"/>
        </w:rPr>
        <w:t>(куб.м)</w:t>
      </w:r>
      <w:r w:rsidRPr="004448B3">
        <w:rPr>
          <w:sz w:val="28"/>
          <w:szCs w:val="28"/>
          <w:vertAlign w:val="subscript"/>
        </w:rPr>
        <w:t xml:space="preserve"> </w:t>
      </w:r>
    </w:p>
    <w:p w:rsidR="00CE1891" w:rsidRPr="00791AFA" w:rsidRDefault="00CE1891" w:rsidP="00CE1891">
      <w:pPr>
        <w:widowControl w:val="0"/>
        <w:ind w:firstLine="760"/>
        <w:jc w:val="both"/>
        <w:rPr>
          <w:sz w:val="28"/>
          <w:szCs w:val="28"/>
          <w:lang w:bidi="ru-RU"/>
        </w:rPr>
      </w:pPr>
      <w:r w:rsidRPr="00791AFA">
        <w:rPr>
          <w:iCs/>
          <w:sz w:val="28"/>
          <w:szCs w:val="28"/>
          <w:lang w:bidi="ru-RU"/>
        </w:rPr>
        <w:t>Т</w:t>
      </w:r>
      <w:r w:rsidRPr="00791AFA">
        <w:rPr>
          <w:iCs/>
          <w:sz w:val="28"/>
          <w:szCs w:val="28"/>
          <w:vertAlign w:val="superscript"/>
          <w:lang w:bidi="ru-RU"/>
        </w:rPr>
        <w:t>ср</w:t>
      </w:r>
      <w:r w:rsidRPr="00791AFA">
        <w:rPr>
          <w:iCs/>
          <w:sz w:val="28"/>
          <w:szCs w:val="28"/>
          <w:lang w:bidi="ru-RU"/>
        </w:rPr>
        <w:t xml:space="preserve"> </w:t>
      </w:r>
      <w:r w:rsidRPr="00791AFA">
        <w:rPr>
          <w:iCs/>
          <w:sz w:val="28"/>
          <w:szCs w:val="28"/>
          <w:vertAlign w:val="subscript"/>
          <w:lang w:val="en-US" w:bidi="ru-RU"/>
        </w:rPr>
        <w:t>Q</w:t>
      </w:r>
      <w:r w:rsidRPr="00791AFA">
        <w:rPr>
          <w:iCs/>
          <w:sz w:val="28"/>
          <w:szCs w:val="28"/>
          <w:vertAlign w:val="subscript"/>
          <w:lang w:bidi="ru-RU"/>
        </w:rPr>
        <w:t xml:space="preserve">ар </w:t>
      </w:r>
      <w:r w:rsidRPr="00791AFA">
        <w:rPr>
          <w:sz w:val="28"/>
          <w:szCs w:val="28"/>
          <w:lang w:bidi="ru-RU"/>
        </w:rPr>
        <w:t>- средний темп роста (снижения) объема древесины, подлежащего заготовке по договорам аренды лесных участков, находящихся в федеральной собственности, за три отчетных года, предшествующих прогнозируемому году (ед.), рассчитывается по формуле:</w:t>
      </w:r>
    </w:p>
    <w:p w:rsidR="00CE1891" w:rsidRPr="00791AFA" w:rsidRDefault="00CE1891" w:rsidP="00CE1891">
      <w:pPr>
        <w:widowControl w:val="0"/>
        <w:ind w:firstLine="760"/>
        <w:jc w:val="both"/>
        <w:rPr>
          <w:sz w:val="28"/>
          <w:szCs w:val="28"/>
          <w:lang w:bidi="ru-RU"/>
        </w:rPr>
      </w:pPr>
    </w:p>
    <w:p w:rsidR="00CE1891" w:rsidRPr="00791AFA" w:rsidRDefault="00CE1891" w:rsidP="00CE1891">
      <w:pPr>
        <w:widowControl w:val="0"/>
        <w:ind w:firstLine="760"/>
        <w:jc w:val="both"/>
        <w:rPr>
          <w:sz w:val="28"/>
          <w:szCs w:val="28"/>
          <w:lang w:bidi="ru-RU"/>
        </w:rPr>
      </w:pPr>
      <w:r w:rsidRPr="00791AFA">
        <w:rPr>
          <w:iCs/>
          <w:sz w:val="28"/>
          <w:szCs w:val="28"/>
          <w:lang w:bidi="ru-RU"/>
        </w:rPr>
        <w:t>Т</w:t>
      </w:r>
      <w:r w:rsidRPr="00791AFA">
        <w:rPr>
          <w:iCs/>
          <w:sz w:val="28"/>
          <w:szCs w:val="28"/>
          <w:vertAlign w:val="superscript"/>
          <w:lang w:bidi="ru-RU"/>
        </w:rPr>
        <w:t>ср</w:t>
      </w:r>
      <w:r w:rsidRPr="00791AFA">
        <w:rPr>
          <w:iCs/>
          <w:sz w:val="28"/>
          <w:szCs w:val="28"/>
          <w:lang w:bidi="ru-RU"/>
        </w:rPr>
        <w:t xml:space="preserve"> </w:t>
      </w:r>
      <w:r w:rsidRPr="00791AFA">
        <w:rPr>
          <w:iCs/>
          <w:sz w:val="28"/>
          <w:szCs w:val="28"/>
          <w:vertAlign w:val="subscript"/>
          <w:lang w:val="en-US" w:bidi="ru-RU"/>
        </w:rPr>
        <w:t>Q</w:t>
      </w:r>
      <w:r w:rsidRPr="00791AFA">
        <w:rPr>
          <w:iCs/>
          <w:sz w:val="28"/>
          <w:szCs w:val="28"/>
          <w:vertAlign w:val="subscript"/>
          <w:lang w:bidi="ru-RU"/>
        </w:rPr>
        <w:t xml:space="preserve">ар </w:t>
      </w:r>
      <w:r w:rsidRPr="00791AFA">
        <w:rPr>
          <w:iCs/>
          <w:sz w:val="28"/>
          <w:szCs w:val="28"/>
          <w:lang w:bidi="ru-RU"/>
        </w:rPr>
        <w:t xml:space="preserve">= ∑ </w:t>
      </w:r>
      <w:r w:rsidRPr="00791AFA">
        <w:rPr>
          <w:iCs/>
          <w:sz w:val="28"/>
          <w:szCs w:val="28"/>
          <w:vertAlign w:val="superscript"/>
          <w:lang w:bidi="ru-RU"/>
        </w:rPr>
        <w:t>3</w:t>
      </w:r>
      <w:r w:rsidRPr="00791AFA">
        <w:rPr>
          <w:iCs/>
          <w:sz w:val="28"/>
          <w:szCs w:val="28"/>
          <w:lang w:bidi="ru-RU"/>
        </w:rPr>
        <w:t xml:space="preserve"> </w:t>
      </w:r>
      <w:r w:rsidRPr="00791AFA">
        <w:rPr>
          <w:iCs/>
          <w:sz w:val="28"/>
          <w:szCs w:val="28"/>
          <w:vertAlign w:val="subscript"/>
          <w:lang w:val="en-US" w:bidi="ru-RU"/>
        </w:rPr>
        <w:t>t</w:t>
      </w:r>
      <w:r w:rsidRPr="00791AFA">
        <w:rPr>
          <w:iCs/>
          <w:sz w:val="28"/>
          <w:szCs w:val="28"/>
          <w:vertAlign w:val="subscript"/>
          <w:lang w:bidi="ru-RU"/>
        </w:rPr>
        <w:t xml:space="preserve">=1 </w:t>
      </w:r>
      <w:r w:rsidRPr="00791AFA">
        <w:rPr>
          <w:iCs/>
          <w:sz w:val="28"/>
          <w:szCs w:val="28"/>
          <w:lang w:bidi="ru-RU"/>
        </w:rPr>
        <w:t xml:space="preserve">Т </w:t>
      </w:r>
      <w:r w:rsidRPr="00791AFA">
        <w:rPr>
          <w:iCs/>
          <w:sz w:val="28"/>
          <w:szCs w:val="28"/>
          <w:vertAlign w:val="subscript"/>
          <w:lang w:val="en-US" w:bidi="ru-RU"/>
        </w:rPr>
        <w:t>Q</w:t>
      </w:r>
      <w:r w:rsidRPr="00791AFA">
        <w:rPr>
          <w:iCs/>
          <w:sz w:val="28"/>
          <w:szCs w:val="28"/>
          <w:vertAlign w:val="subscript"/>
          <w:lang w:bidi="ru-RU"/>
        </w:rPr>
        <w:t>ар</w:t>
      </w:r>
      <w:r w:rsidRPr="00791AFA">
        <w:rPr>
          <w:iCs/>
          <w:sz w:val="28"/>
          <w:szCs w:val="28"/>
          <w:lang w:bidi="ru-RU"/>
        </w:rPr>
        <w:t>/3</w:t>
      </w:r>
    </w:p>
    <w:p w:rsidR="00CE1891" w:rsidRPr="00791AFA" w:rsidRDefault="00CE1891" w:rsidP="00CE1891">
      <w:pPr>
        <w:widowControl w:val="0"/>
        <w:tabs>
          <w:tab w:val="left" w:pos="3212"/>
          <w:tab w:val="left" w:pos="5631"/>
          <w:tab w:val="left" w:pos="8082"/>
          <w:tab w:val="left" w:pos="8666"/>
        </w:tabs>
        <w:ind w:firstLine="760"/>
        <w:jc w:val="both"/>
        <w:rPr>
          <w:sz w:val="28"/>
          <w:szCs w:val="28"/>
          <w:lang w:bidi="ru-RU"/>
        </w:rPr>
      </w:pPr>
    </w:p>
    <w:p w:rsidR="00CE1891" w:rsidRPr="00791AFA" w:rsidRDefault="00CE1891" w:rsidP="00CE1891">
      <w:pPr>
        <w:widowControl w:val="0"/>
        <w:tabs>
          <w:tab w:val="left" w:pos="3212"/>
          <w:tab w:val="left" w:pos="5631"/>
          <w:tab w:val="left" w:pos="8082"/>
          <w:tab w:val="left" w:pos="8666"/>
        </w:tabs>
        <w:ind w:firstLine="760"/>
        <w:jc w:val="both"/>
        <w:rPr>
          <w:sz w:val="28"/>
          <w:szCs w:val="28"/>
          <w:lang w:bidi="ru-RU"/>
        </w:rPr>
      </w:pPr>
      <w:r w:rsidRPr="00791AFA">
        <w:rPr>
          <w:iCs/>
          <w:sz w:val="28"/>
          <w:szCs w:val="28"/>
          <w:lang w:bidi="ru-RU"/>
        </w:rPr>
        <w:t>Т</w:t>
      </w:r>
      <w:r w:rsidRPr="00791AFA">
        <w:rPr>
          <w:iCs/>
          <w:sz w:val="28"/>
          <w:szCs w:val="28"/>
          <w:vertAlign w:val="superscript"/>
          <w:lang w:bidi="ru-RU"/>
        </w:rPr>
        <w:t>ср</w:t>
      </w:r>
      <w:r w:rsidRPr="00791AFA">
        <w:rPr>
          <w:iCs/>
          <w:sz w:val="28"/>
          <w:szCs w:val="28"/>
          <w:lang w:bidi="ru-RU"/>
        </w:rPr>
        <w:t xml:space="preserve"> </w:t>
      </w:r>
      <w:r w:rsidRPr="00791AFA">
        <w:rPr>
          <w:iCs/>
          <w:sz w:val="28"/>
          <w:szCs w:val="28"/>
          <w:vertAlign w:val="subscript"/>
          <w:lang w:val="en-US" w:bidi="ru-RU"/>
        </w:rPr>
        <w:t>Q</w:t>
      </w:r>
      <w:r w:rsidRPr="00791AFA">
        <w:rPr>
          <w:iCs/>
          <w:sz w:val="28"/>
          <w:szCs w:val="28"/>
          <w:vertAlign w:val="subscript"/>
          <w:lang w:bidi="ru-RU"/>
        </w:rPr>
        <w:t>ар</w:t>
      </w:r>
      <w:r w:rsidRPr="00791AFA">
        <w:rPr>
          <w:iCs/>
          <w:sz w:val="28"/>
          <w:szCs w:val="28"/>
          <w:lang w:bidi="ru-RU"/>
        </w:rPr>
        <w:t>= 3,024/3=1,008</w:t>
      </w:r>
    </w:p>
    <w:p w:rsidR="00CE1891" w:rsidRPr="00791AFA" w:rsidRDefault="00CE1891" w:rsidP="00CE1891">
      <w:pPr>
        <w:widowControl w:val="0"/>
        <w:tabs>
          <w:tab w:val="left" w:pos="3212"/>
          <w:tab w:val="left" w:pos="5631"/>
          <w:tab w:val="left" w:pos="8082"/>
          <w:tab w:val="left" w:pos="8666"/>
        </w:tabs>
        <w:ind w:firstLine="760"/>
        <w:jc w:val="both"/>
        <w:rPr>
          <w:sz w:val="28"/>
          <w:szCs w:val="28"/>
          <w:lang w:bidi="ru-RU"/>
        </w:rPr>
      </w:pPr>
      <w:r w:rsidRPr="00791AFA">
        <w:rPr>
          <w:sz w:val="28"/>
          <w:szCs w:val="28"/>
          <w:lang w:bidi="ru-RU"/>
        </w:rPr>
        <w:t>где:</w:t>
      </w:r>
    </w:p>
    <w:p w:rsidR="00CE1891" w:rsidRPr="00791AFA" w:rsidRDefault="00CE1891" w:rsidP="00CE1891">
      <w:pPr>
        <w:widowControl w:val="0"/>
        <w:ind w:firstLine="760"/>
        <w:jc w:val="both"/>
        <w:rPr>
          <w:sz w:val="28"/>
          <w:szCs w:val="28"/>
          <w:lang w:bidi="ru-RU"/>
        </w:rPr>
      </w:pPr>
      <w:r w:rsidRPr="00791AFA">
        <w:rPr>
          <w:iCs/>
          <w:sz w:val="28"/>
          <w:szCs w:val="28"/>
          <w:lang w:bidi="ru-RU"/>
        </w:rPr>
        <w:t xml:space="preserve">∑ </w:t>
      </w:r>
      <w:r w:rsidRPr="00791AFA">
        <w:rPr>
          <w:iCs/>
          <w:sz w:val="28"/>
          <w:szCs w:val="28"/>
          <w:vertAlign w:val="superscript"/>
          <w:lang w:bidi="ru-RU"/>
        </w:rPr>
        <w:t>3</w:t>
      </w:r>
      <w:r w:rsidRPr="00791AFA">
        <w:rPr>
          <w:iCs/>
          <w:sz w:val="28"/>
          <w:szCs w:val="28"/>
          <w:lang w:bidi="ru-RU"/>
        </w:rPr>
        <w:t xml:space="preserve"> </w:t>
      </w:r>
      <w:r w:rsidRPr="00791AFA">
        <w:rPr>
          <w:iCs/>
          <w:sz w:val="28"/>
          <w:szCs w:val="28"/>
          <w:vertAlign w:val="subscript"/>
          <w:lang w:val="en-US" w:bidi="ru-RU"/>
        </w:rPr>
        <w:t>t</w:t>
      </w:r>
      <w:r w:rsidRPr="00791AFA">
        <w:rPr>
          <w:iCs/>
          <w:sz w:val="28"/>
          <w:szCs w:val="28"/>
          <w:vertAlign w:val="subscript"/>
          <w:lang w:bidi="ru-RU"/>
        </w:rPr>
        <w:t xml:space="preserve">=1 </w:t>
      </w:r>
      <w:r w:rsidRPr="00791AFA">
        <w:rPr>
          <w:iCs/>
          <w:sz w:val="28"/>
          <w:szCs w:val="28"/>
          <w:lang w:bidi="ru-RU"/>
        </w:rPr>
        <w:t xml:space="preserve">Т </w:t>
      </w:r>
      <w:r w:rsidRPr="00791AFA">
        <w:rPr>
          <w:iCs/>
          <w:sz w:val="28"/>
          <w:szCs w:val="28"/>
          <w:vertAlign w:val="subscript"/>
          <w:lang w:val="en-US" w:bidi="ru-RU"/>
        </w:rPr>
        <w:t>Q</w:t>
      </w:r>
      <w:r w:rsidRPr="00791AFA">
        <w:rPr>
          <w:iCs/>
          <w:sz w:val="28"/>
          <w:szCs w:val="28"/>
          <w:vertAlign w:val="subscript"/>
          <w:lang w:bidi="ru-RU"/>
        </w:rPr>
        <w:t>ар</w:t>
      </w:r>
      <w:r w:rsidRPr="00791AFA">
        <w:rPr>
          <w:iCs/>
          <w:sz w:val="28"/>
          <w:szCs w:val="28"/>
          <w:lang w:bidi="ru-RU"/>
        </w:rPr>
        <w:t xml:space="preserve"> -</w:t>
      </w:r>
      <w:r w:rsidRPr="00791AFA">
        <w:rPr>
          <w:sz w:val="28"/>
          <w:szCs w:val="28"/>
          <w:lang w:bidi="ru-RU"/>
        </w:rPr>
        <w:t xml:space="preserve"> сумма темпов роста (снижения) объема древесины, подлежащего заготовке по договорам аренды лесных участков, находящихся в федеральной собственности, за три отчетных года, предшествующих прогнозируемому году (ед.);</w:t>
      </w:r>
    </w:p>
    <w:p w:rsidR="00CE1891" w:rsidRPr="00791AFA" w:rsidRDefault="00CE1891" w:rsidP="00CE1891">
      <w:pPr>
        <w:widowControl w:val="0"/>
        <w:ind w:firstLine="760"/>
        <w:jc w:val="both"/>
        <w:rPr>
          <w:sz w:val="28"/>
          <w:szCs w:val="28"/>
          <w:lang w:bidi="ru-RU"/>
        </w:rPr>
      </w:pPr>
      <w:r w:rsidRPr="00791AFA">
        <w:rPr>
          <w:iCs/>
          <w:sz w:val="28"/>
          <w:szCs w:val="28"/>
          <w:lang w:bidi="ru-RU"/>
        </w:rPr>
        <w:t xml:space="preserve">Т </w:t>
      </w:r>
      <w:r w:rsidRPr="00791AFA">
        <w:rPr>
          <w:iCs/>
          <w:sz w:val="28"/>
          <w:szCs w:val="28"/>
          <w:vertAlign w:val="subscript"/>
          <w:lang w:val="en-US" w:bidi="ru-RU"/>
        </w:rPr>
        <w:t>Q</w:t>
      </w:r>
      <w:r w:rsidRPr="00791AFA">
        <w:rPr>
          <w:iCs/>
          <w:sz w:val="28"/>
          <w:szCs w:val="28"/>
          <w:vertAlign w:val="subscript"/>
          <w:lang w:bidi="ru-RU"/>
        </w:rPr>
        <w:t>ар</w:t>
      </w:r>
      <w:r w:rsidRPr="00791AFA">
        <w:rPr>
          <w:iCs/>
          <w:sz w:val="28"/>
          <w:szCs w:val="28"/>
          <w:lang w:bidi="ru-RU"/>
        </w:rPr>
        <w:t xml:space="preserve"> - </w:t>
      </w:r>
      <w:r w:rsidRPr="00791AFA">
        <w:rPr>
          <w:sz w:val="28"/>
          <w:szCs w:val="28"/>
          <w:lang w:bidi="ru-RU"/>
        </w:rPr>
        <w:t>темп роста (снижения) объема древесины, подлежащего заготовке по договорам аренды лесных участков, находящихся в федеральной собственности,  за год (ед.), определяется по формуле:</w:t>
      </w:r>
    </w:p>
    <w:p w:rsidR="00CE1891" w:rsidRPr="00791AFA" w:rsidRDefault="00CE1891" w:rsidP="00CE1891">
      <w:pPr>
        <w:widowControl w:val="0"/>
        <w:ind w:firstLine="580"/>
        <w:jc w:val="both"/>
        <w:rPr>
          <w:iCs/>
          <w:sz w:val="28"/>
          <w:szCs w:val="28"/>
          <w:lang w:bidi="ru-RU"/>
        </w:rPr>
      </w:pPr>
    </w:p>
    <w:p w:rsidR="00CE1891" w:rsidRPr="00791AFA" w:rsidRDefault="00CE1891" w:rsidP="00CE1891">
      <w:pPr>
        <w:widowControl w:val="0"/>
        <w:ind w:firstLine="580"/>
        <w:jc w:val="both"/>
        <w:rPr>
          <w:iCs/>
          <w:sz w:val="28"/>
          <w:szCs w:val="28"/>
          <w:vertAlign w:val="subscript"/>
          <w:lang w:bidi="ru-RU"/>
        </w:rPr>
      </w:pPr>
      <w:r w:rsidRPr="00791AFA">
        <w:rPr>
          <w:iCs/>
          <w:sz w:val="28"/>
          <w:szCs w:val="28"/>
          <w:lang w:bidi="ru-RU"/>
        </w:rPr>
        <w:t xml:space="preserve">Т </w:t>
      </w:r>
      <w:r w:rsidRPr="00791AFA">
        <w:rPr>
          <w:iCs/>
          <w:sz w:val="28"/>
          <w:szCs w:val="28"/>
          <w:vertAlign w:val="subscript"/>
          <w:lang w:val="en-US" w:bidi="ru-RU"/>
        </w:rPr>
        <w:t>Q</w:t>
      </w:r>
      <w:r w:rsidRPr="00791AFA">
        <w:rPr>
          <w:iCs/>
          <w:sz w:val="28"/>
          <w:szCs w:val="28"/>
          <w:vertAlign w:val="subscript"/>
          <w:lang w:bidi="ru-RU"/>
        </w:rPr>
        <w:t>ар</w:t>
      </w:r>
      <w:r w:rsidRPr="00791AFA">
        <w:rPr>
          <w:iCs/>
          <w:sz w:val="28"/>
          <w:szCs w:val="28"/>
          <w:lang w:bidi="ru-RU"/>
        </w:rPr>
        <w:t xml:space="preserve"> = </w:t>
      </w:r>
      <w:r w:rsidRPr="00791AFA">
        <w:rPr>
          <w:iCs/>
          <w:sz w:val="28"/>
          <w:szCs w:val="28"/>
          <w:lang w:val="en-US" w:bidi="ru-RU"/>
        </w:rPr>
        <w:t>Q</w:t>
      </w:r>
      <w:r w:rsidRPr="00791AFA">
        <w:rPr>
          <w:iCs/>
          <w:sz w:val="28"/>
          <w:szCs w:val="28"/>
          <w:lang w:bidi="ru-RU"/>
        </w:rPr>
        <w:t xml:space="preserve"> </w:t>
      </w:r>
      <w:r w:rsidRPr="00791AFA">
        <w:rPr>
          <w:iCs/>
          <w:sz w:val="28"/>
          <w:szCs w:val="28"/>
          <w:vertAlign w:val="superscript"/>
          <w:lang w:val="en-US" w:bidi="ru-RU"/>
        </w:rPr>
        <w:t>n</w:t>
      </w:r>
      <w:r w:rsidRPr="00791AFA">
        <w:rPr>
          <w:iCs/>
          <w:sz w:val="28"/>
          <w:szCs w:val="28"/>
          <w:lang w:bidi="ru-RU"/>
        </w:rPr>
        <w:t xml:space="preserve"> </w:t>
      </w:r>
      <w:r w:rsidRPr="00791AFA">
        <w:rPr>
          <w:iCs/>
          <w:sz w:val="28"/>
          <w:szCs w:val="28"/>
          <w:vertAlign w:val="subscript"/>
          <w:lang w:bidi="ru-RU"/>
        </w:rPr>
        <w:t xml:space="preserve">ар / </w:t>
      </w:r>
      <w:r w:rsidRPr="00791AFA">
        <w:rPr>
          <w:iCs/>
          <w:sz w:val="28"/>
          <w:szCs w:val="28"/>
          <w:lang w:val="en-US" w:bidi="ru-RU"/>
        </w:rPr>
        <w:t>Q</w:t>
      </w:r>
      <w:r w:rsidRPr="00791AFA">
        <w:rPr>
          <w:iCs/>
          <w:sz w:val="28"/>
          <w:szCs w:val="28"/>
          <w:lang w:bidi="ru-RU"/>
        </w:rPr>
        <w:t xml:space="preserve"> </w:t>
      </w:r>
      <w:r w:rsidRPr="00791AFA">
        <w:rPr>
          <w:iCs/>
          <w:sz w:val="28"/>
          <w:szCs w:val="28"/>
          <w:vertAlign w:val="superscript"/>
          <w:lang w:val="en-US" w:bidi="ru-RU"/>
        </w:rPr>
        <w:t>n</w:t>
      </w:r>
      <w:r w:rsidRPr="00791AFA">
        <w:rPr>
          <w:iCs/>
          <w:sz w:val="28"/>
          <w:szCs w:val="28"/>
          <w:vertAlign w:val="superscript"/>
          <w:lang w:bidi="ru-RU"/>
        </w:rPr>
        <w:t>-1</w:t>
      </w:r>
      <w:r w:rsidRPr="00791AFA">
        <w:rPr>
          <w:iCs/>
          <w:sz w:val="28"/>
          <w:szCs w:val="28"/>
          <w:lang w:bidi="ru-RU"/>
        </w:rPr>
        <w:t xml:space="preserve"> </w:t>
      </w:r>
      <w:r w:rsidRPr="00791AFA">
        <w:rPr>
          <w:iCs/>
          <w:sz w:val="28"/>
          <w:szCs w:val="28"/>
          <w:vertAlign w:val="subscript"/>
          <w:lang w:val="en-US" w:bidi="ru-RU"/>
        </w:rPr>
        <w:t>Q</w:t>
      </w:r>
      <w:r w:rsidRPr="00791AFA">
        <w:rPr>
          <w:iCs/>
          <w:sz w:val="28"/>
          <w:szCs w:val="28"/>
          <w:vertAlign w:val="subscript"/>
          <w:lang w:bidi="ru-RU"/>
        </w:rPr>
        <w:t>ар</w:t>
      </w:r>
    </w:p>
    <w:p w:rsidR="00CE1891" w:rsidRPr="00791AFA" w:rsidRDefault="00CE1891" w:rsidP="00CE1891">
      <w:pPr>
        <w:widowControl w:val="0"/>
        <w:ind w:firstLine="580"/>
        <w:jc w:val="both"/>
        <w:rPr>
          <w:sz w:val="28"/>
          <w:szCs w:val="28"/>
          <w:lang w:bidi="ru-RU"/>
        </w:rPr>
      </w:pPr>
    </w:p>
    <w:p w:rsidR="00CE1891" w:rsidRPr="00791AFA" w:rsidRDefault="00CE1891" w:rsidP="00CE1891">
      <w:pPr>
        <w:widowControl w:val="0"/>
        <w:ind w:firstLine="580"/>
        <w:jc w:val="both"/>
        <w:rPr>
          <w:sz w:val="28"/>
          <w:szCs w:val="28"/>
          <w:lang w:bidi="ru-RU"/>
        </w:rPr>
      </w:pPr>
      <w:r w:rsidRPr="00791AFA">
        <w:rPr>
          <w:sz w:val="28"/>
          <w:szCs w:val="28"/>
          <w:lang w:bidi="ru-RU"/>
        </w:rPr>
        <w:t>где:</w:t>
      </w:r>
    </w:p>
    <w:p w:rsidR="00CE1891" w:rsidRPr="00791AFA" w:rsidRDefault="00CE1891" w:rsidP="00CE1891">
      <w:pPr>
        <w:widowControl w:val="0"/>
        <w:ind w:firstLine="580"/>
        <w:jc w:val="both"/>
        <w:rPr>
          <w:sz w:val="28"/>
          <w:szCs w:val="28"/>
          <w:lang w:bidi="ru-RU"/>
        </w:rPr>
      </w:pPr>
      <w:r w:rsidRPr="00791AFA">
        <w:rPr>
          <w:iCs/>
          <w:sz w:val="28"/>
          <w:szCs w:val="28"/>
          <w:lang w:val="en-US" w:bidi="ru-RU"/>
        </w:rPr>
        <w:t>Q</w:t>
      </w:r>
      <w:r w:rsidRPr="00791AFA">
        <w:rPr>
          <w:iCs/>
          <w:sz w:val="28"/>
          <w:szCs w:val="28"/>
          <w:lang w:bidi="ru-RU"/>
        </w:rPr>
        <w:t xml:space="preserve"> </w:t>
      </w:r>
      <w:r w:rsidRPr="00791AFA">
        <w:rPr>
          <w:iCs/>
          <w:sz w:val="28"/>
          <w:szCs w:val="28"/>
          <w:vertAlign w:val="superscript"/>
          <w:lang w:val="en-US" w:bidi="ru-RU"/>
        </w:rPr>
        <w:t>n</w:t>
      </w:r>
      <w:r w:rsidRPr="00791AFA">
        <w:rPr>
          <w:iCs/>
          <w:sz w:val="28"/>
          <w:szCs w:val="28"/>
          <w:lang w:bidi="ru-RU"/>
        </w:rPr>
        <w:t xml:space="preserve"> </w:t>
      </w:r>
      <w:r w:rsidRPr="00791AFA">
        <w:rPr>
          <w:iCs/>
          <w:sz w:val="28"/>
          <w:szCs w:val="28"/>
          <w:vertAlign w:val="subscript"/>
          <w:lang w:bidi="ru-RU"/>
        </w:rPr>
        <w:t>ар</w:t>
      </w:r>
      <w:r w:rsidRPr="00791AFA">
        <w:rPr>
          <w:iCs/>
          <w:sz w:val="28"/>
          <w:szCs w:val="28"/>
          <w:lang w:bidi="ru-RU"/>
        </w:rPr>
        <w:t xml:space="preserve"> -</w:t>
      </w:r>
      <w:r w:rsidRPr="00791AFA">
        <w:rPr>
          <w:iCs/>
          <w:sz w:val="28"/>
          <w:szCs w:val="28"/>
          <w:vertAlign w:val="subscript"/>
          <w:lang w:bidi="ru-RU"/>
        </w:rPr>
        <w:t xml:space="preserve"> </w:t>
      </w:r>
      <w:r w:rsidRPr="00791AFA">
        <w:rPr>
          <w:sz w:val="28"/>
          <w:szCs w:val="28"/>
          <w:lang w:bidi="ru-RU"/>
        </w:rPr>
        <w:t>объем древесины, подлежащий заготовке по договорам аренды лесных участков, находящихся в федеральной собственности, за год (ед.);</w:t>
      </w:r>
    </w:p>
    <w:p w:rsidR="00CE1891" w:rsidRPr="00791AFA" w:rsidRDefault="00CE1891" w:rsidP="00CE1891">
      <w:pPr>
        <w:widowControl w:val="0"/>
        <w:ind w:firstLine="580"/>
        <w:jc w:val="both"/>
        <w:rPr>
          <w:sz w:val="28"/>
          <w:szCs w:val="28"/>
          <w:lang w:bidi="ru-RU"/>
        </w:rPr>
      </w:pPr>
      <w:r w:rsidRPr="00791AFA">
        <w:rPr>
          <w:iCs/>
          <w:sz w:val="28"/>
          <w:szCs w:val="28"/>
          <w:lang w:val="en-US" w:bidi="ru-RU"/>
        </w:rPr>
        <w:t>Q</w:t>
      </w:r>
      <w:r w:rsidRPr="00791AFA">
        <w:rPr>
          <w:iCs/>
          <w:sz w:val="28"/>
          <w:szCs w:val="28"/>
          <w:lang w:bidi="ru-RU"/>
        </w:rPr>
        <w:t xml:space="preserve"> </w:t>
      </w:r>
      <w:r w:rsidRPr="00791AFA">
        <w:rPr>
          <w:iCs/>
          <w:sz w:val="28"/>
          <w:szCs w:val="28"/>
          <w:vertAlign w:val="superscript"/>
          <w:lang w:val="en-US" w:bidi="ru-RU"/>
        </w:rPr>
        <w:t>n</w:t>
      </w:r>
      <w:r w:rsidRPr="00791AFA">
        <w:rPr>
          <w:iCs/>
          <w:sz w:val="28"/>
          <w:szCs w:val="28"/>
          <w:vertAlign w:val="superscript"/>
          <w:lang w:bidi="ru-RU"/>
        </w:rPr>
        <w:t>-1</w:t>
      </w:r>
      <w:r w:rsidRPr="00791AFA">
        <w:rPr>
          <w:iCs/>
          <w:sz w:val="28"/>
          <w:szCs w:val="28"/>
          <w:lang w:bidi="ru-RU"/>
        </w:rPr>
        <w:t xml:space="preserve"> </w:t>
      </w:r>
      <w:r w:rsidRPr="00791AFA">
        <w:rPr>
          <w:iCs/>
          <w:sz w:val="28"/>
          <w:szCs w:val="28"/>
          <w:vertAlign w:val="subscript"/>
          <w:lang w:val="en-US" w:bidi="ru-RU"/>
        </w:rPr>
        <w:t>Q</w:t>
      </w:r>
      <w:r w:rsidRPr="00791AFA">
        <w:rPr>
          <w:iCs/>
          <w:sz w:val="28"/>
          <w:szCs w:val="28"/>
          <w:vertAlign w:val="subscript"/>
          <w:lang w:bidi="ru-RU"/>
        </w:rPr>
        <w:t>ар</w:t>
      </w:r>
      <w:r w:rsidRPr="00791AFA">
        <w:rPr>
          <w:iCs/>
          <w:sz w:val="28"/>
          <w:szCs w:val="28"/>
          <w:lang w:bidi="ru-RU"/>
        </w:rPr>
        <w:t xml:space="preserve"> -</w:t>
      </w:r>
      <w:r w:rsidRPr="00791AFA">
        <w:rPr>
          <w:sz w:val="28"/>
          <w:szCs w:val="28"/>
          <w:lang w:bidi="ru-RU"/>
        </w:rPr>
        <w:t xml:space="preserve"> объем древесины, подлежащий заготовке по договорам аренды лесных участков, находящихся в федеральной собственности, за предыдущий год (ед.);</w:t>
      </w:r>
    </w:p>
    <w:p w:rsidR="00CE1891" w:rsidRPr="00791AFA" w:rsidRDefault="00CE1891" w:rsidP="00CE1891">
      <w:pPr>
        <w:widowControl w:val="0"/>
        <w:ind w:firstLine="580"/>
        <w:jc w:val="both"/>
        <w:rPr>
          <w:sz w:val="28"/>
          <w:szCs w:val="28"/>
          <w:lang w:bidi="ru-RU"/>
        </w:rPr>
      </w:pPr>
    </w:p>
    <w:p w:rsidR="00CE1891" w:rsidRPr="00791AFA" w:rsidRDefault="00CE1891" w:rsidP="00CE1891">
      <w:pPr>
        <w:ind w:firstLine="708"/>
        <w:jc w:val="both"/>
        <w:rPr>
          <w:sz w:val="28"/>
          <w:szCs w:val="28"/>
          <w:vertAlign w:val="subscript"/>
        </w:rPr>
      </w:pPr>
      <w:r w:rsidRPr="00791AFA">
        <w:rPr>
          <w:iCs/>
          <w:sz w:val="28"/>
          <w:szCs w:val="28"/>
          <w:lang w:bidi="ru-RU"/>
        </w:rPr>
        <w:t xml:space="preserve">Т </w:t>
      </w:r>
      <w:r w:rsidRPr="00791AFA">
        <w:rPr>
          <w:iCs/>
          <w:sz w:val="28"/>
          <w:szCs w:val="28"/>
          <w:vertAlign w:val="subscript"/>
          <w:lang w:val="en-US" w:bidi="ru-RU"/>
        </w:rPr>
        <w:t>Q</w:t>
      </w:r>
      <w:r w:rsidRPr="00791AFA">
        <w:rPr>
          <w:iCs/>
          <w:sz w:val="28"/>
          <w:szCs w:val="28"/>
          <w:vertAlign w:val="subscript"/>
          <w:lang w:bidi="ru-RU"/>
        </w:rPr>
        <w:t>ар2022</w:t>
      </w:r>
      <w:r w:rsidRPr="00791AFA">
        <w:rPr>
          <w:iCs/>
          <w:sz w:val="28"/>
          <w:szCs w:val="28"/>
          <w:lang w:bidi="ru-RU"/>
        </w:rPr>
        <w:t>=6 176 333,3</w:t>
      </w:r>
      <w:r w:rsidRPr="00791AFA">
        <w:rPr>
          <w:sz w:val="28"/>
          <w:szCs w:val="28"/>
        </w:rPr>
        <w:t>(куб.м)</w:t>
      </w:r>
      <w:r w:rsidRPr="00791AFA">
        <w:rPr>
          <w:sz w:val="28"/>
          <w:szCs w:val="28"/>
          <w:vertAlign w:val="subscript"/>
        </w:rPr>
        <w:t xml:space="preserve"> </w:t>
      </w:r>
      <w:r w:rsidRPr="00791AFA">
        <w:rPr>
          <w:iCs/>
          <w:sz w:val="28"/>
          <w:szCs w:val="28"/>
          <w:lang w:bidi="ru-RU"/>
        </w:rPr>
        <w:t>/6 107 000</w:t>
      </w:r>
      <w:r w:rsidRPr="00791AFA">
        <w:rPr>
          <w:sz w:val="28"/>
          <w:szCs w:val="28"/>
        </w:rPr>
        <w:t>(куб.м)=1,01135</w:t>
      </w:r>
    </w:p>
    <w:p w:rsidR="00CE1891" w:rsidRPr="00791AFA" w:rsidRDefault="00CE1891" w:rsidP="00CE1891">
      <w:pPr>
        <w:ind w:firstLine="708"/>
        <w:jc w:val="both"/>
        <w:rPr>
          <w:sz w:val="28"/>
          <w:szCs w:val="28"/>
          <w:vertAlign w:val="subscript"/>
        </w:rPr>
      </w:pPr>
      <w:r w:rsidRPr="00791AFA">
        <w:rPr>
          <w:iCs/>
          <w:sz w:val="28"/>
          <w:szCs w:val="28"/>
          <w:lang w:bidi="ru-RU"/>
        </w:rPr>
        <w:t xml:space="preserve">Т </w:t>
      </w:r>
      <w:r w:rsidRPr="00791AFA">
        <w:rPr>
          <w:iCs/>
          <w:sz w:val="28"/>
          <w:szCs w:val="28"/>
          <w:vertAlign w:val="subscript"/>
          <w:lang w:val="en-US" w:bidi="ru-RU"/>
        </w:rPr>
        <w:t>Q</w:t>
      </w:r>
      <w:r w:rsidRPr="00791AFA">
        <w:rPr>
          <w:iCs/>
          <w:sz w:val="28"/>
          <w:szCs w:val="28"/>
          <w:vertAlign w:val="subscript"/>
          <w:lang w:bidi="ru-RU"/>
        </w:rPr>
        <w:t>ар2021</w:t>
      </w:r>
      <w:r w:rsidRPr="00791AFA">
        <w:rPr>
          <w:iCs/>
          <w:sz w:val="28"/>
          <w:szCs w:val="28"/>
          <w:lang w:bidi="ru-RU"/>
        </w:rPr>
        <w:t>=6 107 000</w:t>
      </w:r>
      <w:r w:rsidRPr="00791AFA">
        <w:rPr>
          <w:sz w:val="28"/>
          <w:szCs w:val="28"/>
        </w:rPr>
        <w:t>(куб.м)</w:t>
      </w:r>
      <w:r w:rsidRPr="00791AFA">
        <w:rPr>
          <w:sz w:val="28"/>
          <w:szCs w:val="28"/>
          <w:vertAlign w:val="subscript"/>
        </w:rPr>
        <w:t xml:space="preserve"> </w:t>
      </w:r>
      <w:r w:rsidRPr="00791AFA">
        <w:rPr>
          <w:iCs/>
          <w:sz w:val="28"/>
          <w:szCs w:val="28"/>
          <w:lang w:bidi="ru-RU"/>
        </w:rPr>
        <w:t>/6 377 400</w:t>
      </w:r>
      <w:r w:rsidRPr="00791AFA">
        <w:rPr>
          <w:sz w:val="28"/>
          <w:szCs w:val="28"/>
        </w:rPr>
        <w:t>(куб.м)=0,9576</w:t>
      </w:r>
    </w:p>
    <w:p w:rsidR="00CE1891" w:rsidRPr="00791AFA" w:rsidRDefault="00CE1891" w:rsidP="00CE1891">
      <w:pPr>
        <w:ind w:firstLine="708"/>
        <w:jc w:val="both"/>
        <w:rPr>
          <w:sz w:val="28"/>
          <w:szCs w:val="28"/>
          <w:vertAlign w:val="subscript"/>
        </w:rPr>
      </w:pPr>
      <w:r w:rsidRPr="00791AFA">
        <w:rPr>
          <w:iCs/>
          <w:sz w:val="28"/>
          <w:szCs w:val="28"/>
          <w:lang w:bidi="ru-RU"/>
        </w:rPr>
        <w:t xml:space="preserve">Т </w:t>
      </w:r>
      <w:r w:rsidRPr="00791AFA">
        <w:rPr>
          <w:iCs/>
          <w:sz w:val="28"/>
          <w:szCs w:val="28"/>
          <w:vertAlign w:val="subscript"/>
          <w:lang w:val="en-US" w:bidi="ru-RU"/>
        </w:rPr>
        <w:t>Q</w:t>
      </w:r>
      <w:r w:rsidRPr="00791AFA">
        <w:rPr>
          <w:iCs/>
          <w:sz w:val="28"/>
          <w:szCs w:val="28"/>
          <w:vertAlign w:val="subscript"/>
          <w:lang w:bidi="ru-RU"/>
        </w:rPr>
        <w:t>ар2020</w:t>
      </w:r>
      <w:r w:rsidRPr="00791AFA">
        <w:rPr>
          <w:iCs/>
          <w:sz w:val="28"/>
          <w:szCs w:val="28"/>
          <w:lang w:bidi="ru-RU"/>
        </w:rPr>
        <w:t>=6 377 400</w:t>
      </w:r>
      <w:r w:rsidRPr="00791AFA">
        <w:rPr>
          <w:sz w:val="28"/>
          <w:szCs w:val="28"/>
        </w:rPr>
        <w:t>(куб.м)/</w:t>
      </w:r>
      <w:r w:rsidRPr="00791AFA">
        <w:rPr>
          <w:iCs/>
          <w:sz w:val="28"/>
          <w:szCs w:val="28"/>
          <w:lang w:bidi="ru-RU"/>
        </w:rPr>
        <w:t>6 044 600</w:t>
      </w:r>
      <w:r w:rsidRPr="00791AFA">
        <w:rPr>
          <w:sz w:val="28"/>
          <w:szCs w:val="28"/>
        </w:rPr>
        <w:t>(куб.м)=1,05505</w:t>
      </w:r>
    </w:p>
    <w:p w:rsidR="00CE1891" w:rsidRPr="00791AFA" w:rsidRDefault="00CE1891" w:rsidP="00CE1891">
      <w:pPr>
        <w:ind w:firstLine="708"/>
        <w:jc w:val="both"/>
        <w:rPr>
          <w:sz w:val="28"/>
          <w:szCs w:val="28"/>
        </w:rPr>
      </w:pPr>
    </w:p>
    <w:p w:rsidR="00CE1891" w:rsidRPr="00791AFA" w:rsidRDefault="00CE1891" w:rsidP="00CE1891">
      <w:pPr>
        <w:ind w:firstLine="708"/>
        <w:jc w:val="both"/>
        <w:rPr>
          <w:sz w:val="28"/>
          <w:szCs w:val="28"/>
        </w:rPr>
      </w:pPr>
      <w:r w:rsidRPr="00791AFA">
        <w:rPr>
          <w:iCs/>
          <w:sz w:val="28"/>
          <w:szCs w:val="28"/>
          <w:lang w:bidi="ru-RU"/>
        </w:rPr>
        <w:t xml:space="preserve">∑ </w:t>
      </w:r>
      <w:r w:rsidRPr="00791AFA">
        <w:rPr>
          <w:iCs/>
          <w:sz w:val="28"/>
          <w:szCs w:val="28"/>
          <w:vertAlign w:val="superscript"/>
          <w:lang w:bidi="ru-RU"/>
        </w:rPr>
        <w:t>3</w:t>
      </w:r>
      <w:r w:rsidRPr="00791AFA">
        <w:rPr>
          <w:iCs/>
          <w:sz w:val="28"/>
          <w:szCs w:val="28"/>
          <w:lang w:bidi="ru-RU"/>
        </w:rPr>
        <w:t xml:space="preserve"> </w:t>
      </w:r>
      <w:r w:rsidRPr="00791AFA">
        <w:rPr>
          <w:iCs/>
          <w:sz w:val="28"/>
          <w:szCs w:val="28"/>
          <w:vertAlign w:val="subscript"/>
          <w:lang w:val="en-US" w:bidi="ru-RU"/>
        </w:rPr>
        <w:t>t</w:t>
      </w:r>
      <w:r w:rsidRPr="00791AFA">
        <w:rPr>
          <w:iCs/>
          <w:sz w:val="28"/>
          <w:szCs w:val="28"/>
          <w:vertAlign w:val="subscript"/>
          <w:lang w:bidi="ru-RU"/>
        </w:rPr>
        <w:t xml:space="preserve">=1 </w:t>
      </w:r>
      <w:r w:rsidRPr="00791AFA">
        <w:rPr>
          <w:iCs/>
          <w:sz w:val="28"/>
          <w:szCs w:val="28"/>
          <w:lang w:bidi="ru-RU"/>
        </w:rPr>
        <w:t xml:space="preserve">Т </w:t>
      </w:r>
      <w:r w:rsidRPr="00791AFA">
        <w:rPr>
          <w:iCs/>
          <w:sz w:val="28"/>
          <w:szCs w:val="28"/>
          <w:vertAlign w:val="subscript"/>
          <w:lang w:val="en-US" w:bidi="ru-RU"/>
        </w:rPr>
        <w:t>Q</w:t>
      </w:r>
      <w:r w:rsidRPr="00791AFA">
        <w:rPr>
          <w:iCs/>
          <w:sz w:val="28"/>
          <w:szCs w:val="28"/>
          <w:vertAlign w:val="subscript"/>
          <w:lang w:bidi="ru-RU"/>
        </w:rPr>
        <w:t>ар</w:t>
      </w:r>
      <w:r w:rsidRPr="00791AFA">
        <w:rPr>
          <w:iCs/>
          <w:sz w:val="28"/>
          <w:szCs w:val="28"/>
          <w:lang w:bidi="ru-RU"/>
        </w:rPr>
        <w:t xml:space="preserve"> = 1,01135+0,9576+1,05505=3,024</w:t>
      </w:r>
    </w:p>
    <w:p w:rsidR="00CE1891" w:rsidRDefault="00CE1891" w:rsidP="00CE1891">
      <w:pPr>
        <w:ind w:firstLine="708"/>
        <w:jc w:val="both"/>
        <w:rPr>
          <w:sz w:val="28"/>
          <w:szCs w:val="28"/>
        </w:rPr>
      </w:pPr>
    </w:p>
    <w:p w:rsidR="00CE1891" w:rsidRPr="004448B3" w:rsidRDefault="00CE1891" w:rsidP="00CE1891">
      <w:pPr>
        <w:ind w:firstLine="708"/>
        <w:jc w:val="both"/>
        <w:rPr>
          <w:sz w:val="28"/>
          <w:szCs w:val="28"/>
        </w:rPr>
      </w:pPr>
      <w:r w:rsidRPr="004448B3">
        <w:rPr>
          <w:sz w:val="28"/>
          <w:szCs w:val="28"/>
        </w:rPr>
        <w:t xml:space="preserve">В соответствии с постановлением Правительства Российской Федерации от 22.05.2007 № 310 «О ставках платы за единицу объема лесных ресурсов и ставках платы за единицу площади лесного участка, находящегося в федеральной собственности» </w:t>
      </w:r>
    </w:p>
    <w:p w:rsidR="00CE1891" w:rsidRPr="004448B3" w:rsidRDefault="00CE1891" w:rsidP="00CE1891">
      <w:pPr>
        <w:ind w:firstLine="708"/>
        <w:jc w:val="both"/>
        <w:rPr>
          <w:rFonts w:eastAsia="Calibri"/>
          <w:sz w:val="28"/>
        </w:rPr>
      </w:pPr>
      <w:r w:rsidRPr="004448B3">
        <w:rPr>
          <w:rFonts w:eastAsia="Calibri"/>
          <w:sz w:val="28"/>
        </w:rPr>
        <w:lastRenderedPageBreak/>
        <w:t>Средний коэффициент превышения рассчитывается на основе формы отчета 1-ОИП «Сведения о доходах лесного хозяйства и их распределении по получателям», утвержденной приказом Минприроды России от 28.12.2015 № 565.</w:t>
      </w:r>
    </w:p>
    <w:p w:rsidR="00CE1891" w:rsidRPr="004448B3" w:rsidRDefault="00CE1891" w:rsidP="00CE1891">
      <w:pPr>
        <w:rPr>
          <w:rFonts w:eastAsia="Calibri"/>
          <w:sz w:val="28"/>
        </w:rPr>
      </w:pPr>
      <w:r w:rsidRPr="004448B3">
        <w:rPr>
          <w:rFonts w:eastAsia="Calibri"/>
          <w:sz w:val="28"/>
        </w:rPr>
        <w:t>К</w:t>
      </w:r>
      <w:r w:rsidRPr="004448B3">
        <w:rPr>
          <w:rFonts w:eastAsia="Calibri"/>
          <w:sz w:val="28"/>
          <w:vertAlign w:val="subscript"/>
        </w:rPr>
        <w:t>3</w:t>
      </w:r>
      <w:r w:rsidRPr="004448B3">
        <w:rPr>
          <w:rFonts w:eastAsia="Calibri"/>
          <w:sz w:val="28"/>
        </w:rPr>
        <w:t>=Св-Си/См-Си, где</w:t>
      </w:r>
    </w:p>
    <w:p w:rsidR="00CE1891" w:rsidRPr="004448B3" w:rsidRDefault="00CE1891" w:rsidP="00CE1891">
      <w:pPr>
        <w:rPr>
          <w:rFonts w:eastAsia="Calibri"/>
          <w:sz w:val="28"/>
        </w:rPr>
      </w:pPr>
      <w:r w:rsidRPr="004448B3">
        <w:rPr>
          <w:rFonts w:eastAsia="Calibri"/>
          <w:sz w:val="28"/>
        </w:rPr>
        <w:t>К</w:t>
      </w:r>
      <w:r w:rsidRPr="004448B3">
        <w:rPr>
          <w:rFonts w:eastAsia="Calibri"/>
          <w:sz w:val="28"/>
          <w:vertAlign w:val="subscript"/>
        </w:rPr>
        <w:t>3</w:t>
      </w:r>
      <w:r w:rsidRPr="004448B3">
        <w:rPr>
          <w:rFonts w:eastAsia="Calibri"/>
          <w:sz w:val="28"/>
        </w:rPr>
        <w:t>- средний коэффициент превышения размера арендной платы;</w:t>
      </w:r>
    </w:p>
    <w:p w:rsidR="00CE1891" w:rsidRPr="004448B3" w:rsidRDefault="00CE1891" w:rsidP="00CE1891">
      <w:pPr>
        <w:rPr>
          <w:rFonts w:eastAsia="Calibri"/>
          <w:sz w:val="28"/>
        </w:rPr>
      </w:pPr>
      <w:r w:rsidRPr="004448B3">
        <w:rPr>
          <w:rFonts w:eastAsia="Calibri"/>
          <w:sz w:val="28"/>
        </w:rPr>
        <w:t>Св-сумма причитающихся платежей на отчетный год по договорам аренды в части заготовки древесины;</w:t>
      </w:r>
    </w:p>
    <w:p w:rsidR="00CE1891" w:rsidRPr="004448B3" w:rsidRDefault="00CE1891" w:rsidP="00CE1891">
      <w:pPr>
        <w:rPr>
          <w:rFonts w:eastAsia="Calibri"/>
          <w:sz w:val="28"/>
        </w:rPr>
      </w:pPr>
      <w:r w:rsidRPr="004448B3">
        <w:rPr>
          <w:rFonts w:eastAsia="Calibri"/>
          <w:sz w:val="28"/>
        </w:rPr>
        <w:t>Си- сумма причитающихся платежей на отчетный год по инвестиционным проектам;</w:t>
      </w:r>
    </w:p>
    <w:p w:rsidR="00CE1891" w:rsidRPr="004448B3" w:rsidRDefault="00CE1891" w:rsidP="00CE1891">
      <w:pPr>
        <w:rPr>
          <w:rFonts w:eastAsia="Calibri"/>
          <w:sz w:val="28"/>
        </w:rPr>
      </w:pPr>
      <w:r w:rsidRPr="004448B3">
        <w:rPr>
          <w:rFonts w:eastAsia="Calibri"/>
          <w:sz w:val="28"/>
        </w:rPr>
        <w:t>См- сумма причитающихся платежей на отчетный год по договорам аренды в части заготовки древесины по минимальным размерам арендной платы;</w:t>
      </w:r>
    </w:p>
    <w:p w:rsidR="00CE1891" w:rsidRPr="004448B3" w:rsidRDefault="00CE1891" w:rsidP="00CE1891">
      <w:pPr>
        <w:rPr>
          <w:rFonts w:eastAsia="Calibri"/>
          <w:sz w:val="28"/>
        </w:rPr>
      </w:pPr>
      <w:r w:rsidRPr="004448B3">
        <w:rPr>
          <w:rFonts w:eastAsia="Calibri"/>
          <w:sz w:val="28"/>
        </w:rPr>
        <w:t>Св=</w:t>
      </w:r>
      <w:r>
        <w:rPr>
          <w:rFonts w:eastAsia="Calibri"/>
          <w:sz w:val="28"/>
        </w:rPr>
        <w:t xml:space="preserve">1 019 685 200 </w:t>
      </w:r>
      <w:r w:rsidRPr="004448B3">
        <w:rPr>
          <w:rFonts w:eastAsia="Calibri"/>
          <w:sz w:val="28"/>
        </w:rPr>
        <w:t>руб.</w:t>
      </w:r>
    </w:p>
    <w:p w:rsidR="00CE1891" w:rsidRPr="004448B3" w:rsidRDefault="00CE1891" w:rsidP="00CE1891">
      <w:pPr>
        <w:rPr>
          <w:rFonts w:eastAsia="Calibri"/>
          <w:sz w:val="28"/>
        </w:rPr>
      </w:pPr>
      <w:r w:rsidRPr="004448B3">
        <w:rPr>
          <w:rFonts w:eastAsia="Calibri"/>
          <w:sz w:val="28"/>
        </w:rPr>
        <w:t>Си=</w:t>
      </w:r>
      <w:r>
        <w:rPr>
          <w:rFonts w:eastAsia="Calibri"/>
          <w:sz w:val="28"/>
        </w:rPr>
        <w:t xml:space="preserve">152 223 800 </w:t>
      </w:r>
      <w:r w:rsidRPr="004448B3">
        <w:rPr>
          <w:rFonts w:eastAsia="Calibri"/>
          <w:sz w:val="28"/>
        </w:rPr>
        <w:t>руб.</w:t>
      </w:r>
    </w:p>
    <w:p w:rsidR="00CE1891" w:rsidRPr="004448B3" w:rsidRDefault="00CE1891" w:rsidP="00CE1891">
      <w:pPr>
        <w:rPr>
          <w:rFonts w:eastAsia="Calibri"/>
          <w:sz w:val="28"/>
        </w:rPr>
      </w:pPr>
      <w:r w:rsidRPr="004448B3">
        <w:rPr>
          <w:rFonts w:eastAsia="Calibri"/>
          <w:sz w:val="28"/>
        </w:rPr>
        <w:t>См=</w:t>
      </w:r>
      <w:r>
        <w:rPr>
          <w:rFonts w:eastAsia="Calibri"/>
          <w:sz w:val="28"/>
        </w:rPr>
        <w:t>652 278 900</w:t>
      </w:r>
      <w:r w:rsidRPr="004448B3">
        <w:rPr>
          <w:rFonts w:eastAsia="Calibri"/>
          <w:sz w:val="28"/>
        </w:rPr>
        <w:t xml:space="preserve"> руб.</w:t>
      </w:r>
    </w:p>
    <w:p w:rsidR="00CE1891" w:rsidRPr="004448B3" w:rsidRDefault="00CE1891" w:rsidP="00CE1891">
      <w:pPr>
        <w:rPr>
          <w:rFonts w:eastAsia="Calibri"/>
          <w:sz w:val="28"/>
        </w:rPr>
      </w:pPr>
      <w:r w:rsidRPr="004448B3">
        <w:rPr>
          <w:rFonts w:eastAsia="Calibri"/>
          <w:sz w:val="28"/>
        </w:rPr>
        <w:t>Расчет:</w:t>
      </w:r>
    </w:p>
    <w:p w:rsidR="00CE1891" w:rsidRPr="004448B3" w:rsidRDefault="00CE1891" w:rsidP="00CE1891">
      <w:pPr>
        <w:rPr>
          <w:rFonts w:eastAsia="Calibri"/>
          <w:sz w:val="28"/>
        </w:rPr>
      </w:pPr>
      <w:r w:rsidRPr="004448B3">
        <w:rPr>
          <w:rFonts w:eastAsia="Calibri"/>
          <w:sz w:val="28"/>
        </w:rPr>
        <w:t>К=</w:t>
      </w:r>
      <w:r>
        <w:rPr>
          <w:rFonts w:eastAsia="Calibri"/>
          <w:sz w:val="28"/>
        </w:rPr>
        <w:t xml:space="preserve">1 019 685 200 </w:t>
      </w:r>
      <w:r w:rsidRPr="004448B3">
        <w:rPr>
          <w:rFonts w:eastAsia="Calibri"/>
          <w:sz w:val="28"/>
        </w:rPr>
        <w:t xml:space="preserve"> </w:t>
      </w:r>
      <w:r>
        <w:rPr>
          <w:rFonts w:eastAsia="Calibri"/>
          <w:sz w:val="28"/>
        </w:rPr>
        <w:t>–</w:t>
      </w:r>
      <w:r w:rsidRPr="004448B3">
        <w:rPr>
          <w:rFonts w:eastAsia="Calibri"/>
          <w:sz w:val="28"/>
        </w:rPr>
        <w:t xml:space="preserve"> </w:t>
      </w:r>
      <w:r>
        <w:rPr>
          <w:rFonts w:eastAsia="Calibri"/>
          <w:sz w:val="28"/>
        </w:rPr>
        <w:t>152 223 800</w:t>
      </w:r>
      <w:r w:rsidRPr="004448B3">
        <w:rPr>
          <w:rFonts w:eastAsia="Calibri"/>
          <w:sz w:val="28"/>
        </w:rPr>
        <w:t>/</w:t>
      </w:r>
      <w:r>
        <w:rPr>
          <w:rFonts w:eastAsia="Calibri"/>
          <w:sz w:val="28"/>
        </w:rPr>
        <w:t>652 278 900</w:t>
      </w:r>
      <w:r w:rsidRPr="004448B3">
        <w:rPr>
          <w:rFonts w:eastAsia="Calibri"/>
          <w:sz w:val="28"/>
        </w:rPr>
        <w:t>-</w:t>
      </w:r>
      <w:r>
        <w:rPr>
          <w:rFonts w:eastAsia="Calibri"/>
          <w:sz w:val="28"/>
        </w:rPr>
        <w:t>152 223 800</w:t>
      </w:r>
      <w:r w:rsidRPr="004448B3">
        <w:rPr>
          <w:rFonts w:eastAsia="Calibri"/>
          <w:sz w:val="28"/>
        </w:rPr>
        <w:t>=</w:t>
      </w:r>
      <w:r>
        <w:rPr>
          <w:rFonts w:eastAsia="Calibri"/>
          <w:sz w:val="28"/>
        </w:rPr>
        <w:t>1,73473</w:t>
      </w:r>
    </w:p>
    <w:p w:rsidR="00CE1891" w:rsidRPr="004448B3" w:rsidRDefault="00CE1891" w:rsidP="00CE1891">
      <w:pPr>
        <w:rPr>
          <w:rFonts w:eastAsia="Calibri"/>
          <w:b/>
          <w:sz w:val="28"/>
        </w:rPr>
      </w:pPr>
      <w:r w:rsidRPr="004448B3">
        <w:rPr>
          <w:rFonts w:eastAsia="Calibri"/>
          <w:b/>
          <w:sz w:val="28"/>
        </w:rPr>
        <w:t>К=</w:t>
      </w:r>
      <w:r>
        <w:rPr>
          <w:rFonts w:eastAsia="Calibri"/>
          <w:b/>
          <w:sz w:val="28"/>
        </w:rPr>
        <w:t>1,73473</w:t>
      </w:r>
    </w:p>
    <w:p w:rsidR="00CE1891" w:rsidRPr="002016DC" w:rsidRDefault="00CE1891" w:rsidP="00CE1891">
      <w:pPr>
        <w:jc w:val="both"/>
        <w:rPr>
          <w:rFonts w:eastAsia="Calibri"/>
          <w:color w:val="000000"/>
          <w:sz w:val="28"/>
          <w:szCs w:val="28"/>
        </w:rPr>
      </w:pPr>
      <w:r w:rsidRPr="004448B3">
        <w:rPr>
          <w:rFonts w:ascii="Calibri" w:eastAsia="Calibri" w:hAnsi="Calibri"/>
        </w:rPr>
        <w:tab/>
      </w:r>
      <w:r w:rsidRPr="002016DC">
        <w:rPr>
          <w:rFonts w:eastAsia="Calibri"/>
          <w:color w:val="000000"/>
          <w:sz w:val="28"/>
          <w:szCs w:val="28"/>
        </w:rPr>
        <w:t xml:space="preserve">В 2020 году </w:t>
      </w:r>
      <w:r w:rsidRPr="002016DC">
        <w:rPr>
          <w:rFonts w:eastAsia="Calibri"/>
          <w:color w:val="000000"/>
          <w:sz w:val="28"/>
          <w:szCs w:val="28"/>
          <w:lang w:bidi="ru-RU"/>
        </w:rPr>
        <w:t xml:space="preserve">установленный размер арендной платы на день окончания срока окупаемости проекта </w:t>
      </w:r>
      <w:r w:rsidRPr="002016DC">
        <w:rPr>
          <w:rFonts w:eastAsia="Calibri"/>
          <w:color w:val="000000"/>
          <w:sz w:val="28"/>
          <w:szCs w:val="28"/>
        </w:rPr>
        <w:t>по договорам аренды лесных участков, находящихся в федеральной собственности, заключенных в рамках реализации инвестиционных проектов, рассчитанная по окончании срока окупаемости проекта без применения понижающего коэффициента 0,5,</w:t>
      </w:r>
      <w:r w:rsidRPr="002016DC">
        <w:rPr>
          <w:rFonts w:ascii="Calibri" w:eastAsia="Calibri" w:hAnsi="Calibri"/>
          <w:color w:val="000000"/>
          <w:sz w:val="28"/>
          <w:szCs w:val="28"/>
        </w:rPr>
        <w:t xml:space="preserve"> </w:t>
      </w:r>
      <w:r w:rsidRPr="002016DC">
        <w:rPr>
          <w:rFonts w:eastAsia="Calibri"/>
          <w:color w:val="000000"/>
          <w:sz w:val="28"/>
          <w:szCs w:val="28"/>
          <w:lang w:bidi="ru-RU"/>
        </w:rPr>
        <w:t xml:space="preserve">(тыс. руб.) </w:t>
      </w:r>
      <w:r w:rsidRPr="002016DC">
        <w:rPr>
          <w:rFonts w:eastAsia="Calibri"/>
          <w:color w:val="000000"/>
          <w:sz w:val="28"/>
          <w:szCs w:val="28"/>
        </w:rPr>
        <w:t>190 678 160 руб., путем индексации за текущий год арендная плата в полном объеме составит 213 967 095,6 руб.</w:t>
      </w:r>
    </w:p>
    <w:p w:rsidR="00CE1891" w:rsidRPr="002016DC" w:rsidRDefault="00CE1891" w:rsidP="00CE1891">
      <w:pPr>
        <w:jc w:val="both"/>
        <w:rPr>
          <w:b/>
          <w:color w:val="000000"/>
          <w:sz w:val="28"/>
          <w:szCs w:val="28"/>
        </w:rPr>
      </w:pPr>
    </w:p>
    <w:p w:rsidR="00CE1891" w:rsidRPr="002016DC" w:rsidRDefault="00CE1891" w:rsidP="00CE1891">
      <w:pPr>
        <w:widowControl w:val="0"/>
        <w:ind w:firstLine="709"/>
        <w:jc w:val="both"/>
        <w:rPr>
          <w:rFonts w:eastAsia="Calibri"/>
          <w:color w:val="000000"/>
          <w:sz w:val="28"/>
          <w:szCs w:val="28"/>
        </w:rPr>
      </w:pPr>
      <w:r w:rsidRPr="002016DC">
        <w:rPr>
          <w:rFonts w:eastAsia="Calibri"/>
          <w:color w:val="000000"/>
          <w:sz w:val="28"/>
          <w:szCs w:val="28"/>
        </w:rPr>
        <w:t>П</w:t>
      </w:r>
      <w:r w:rsidRPr="002016DC">
        <w:rPr>
          <w:rFonts w:eastAsia="Calibri"/>
          <w:color w:val="000000"/>
          <w:sz w:val="28"/>
          <w:szCs w:val="28"/>
          <w:vertAlign w:val="subscript"/>
        </w:rPr>
        <w:t>ар</w:t>
      </w:r>
      <w:r w:rsidRPr="002016DC">
        <w:rPr>
          <w:rFonts w:eastAsia="Calibri"/>
          <w:color w:val="000000"/>
          <w:sz w:val="28"/>
          <w:szCs w:val="28"/>
          <w:vertAlign w:val="superscript"/>
        </w:rPr>
        <w:t>инв</w:t>
      </w:r>
      <w:r w:rsidRPr="002016DC">
        <w:rPr>
          <w:rFonts w:eastAsia="Calibri"/>
          <w:color w:val="000000"/>
          <w:sz w:val="28"/>
          <w:szCs w:val="28"/>
        </w:rPr>
        <w:t xml:space="preserve"> – плата по договорам аренды лесных участков, находящихся в федеральной собственности, заключенных в рамках реализации инвестиционных проектов, рассчитанная по окончании срока окупаемости проекта без применения понижающего коэффициента 0,5 (тыс. руб.). Определяется по формуле:</w:t>
      </w:r>
    </w:p>
    <w:p w:rsidR="00CE1891" w:rsidRPr="002016DC" w:rsidRDefault="00CE1891" w:rsidP="00CE1891">
      <w:pPr>
        <w:widowControl w:val="0"/>
        <w:ind w:firstLine="709"/>
        <w:jc w:val="both"/>
        <w:rPr>
          <w:rFonts w:eastAsia="Calibri"/>
          <w:color w:val="000000"/>
          <w:sz w:val="28"/>
          <w:szCs w:val="28"/>
        </w:rPr>
      </w:pPr>
    </w:p>
    <w:p w:rsidR="00CE1891" w:rsidRPr="002016DC" w:rsidRDefault="00CE1891" w:rsidP="00CE1891">
      <w:pPr>
        <w:widowControl w:val="0"/>
        <w:tabs>
          <w:tab w:val="left" w:pos="9355"/>
        </w:tabs>
        <w:ind w:firstLine="709"/>
        <w:jc w:val="both"/>
        <w:rPr>
          <w:rFonts w:eastAsia="Calibri"/>
          <w:color w:val="000000"/>
          <w:sz w:val="28"/>
          <w:szCs w:val="28"/>
        </w:rPr>
      </w:pPr>
      <w:r w:rsidRPr="002016DC">
        <w:rPr>
          <w:rFonts w:eastAsia="Calibri"/>
          <w:color w:val="000000"/>
          <w:sz w:val="28"/>
          <w:szCs w:val="28"/>
        </w:rPr>
        <w:t>П</w:t>
      </w:r>
      <w:r w:rsidRPr="002016DC">
        <w:rPr>
          <w:rFonts w:eastAsia="Calibri"/>
          <w:color w:val="000000"/>
          <w:sz w:val="28"/>
          <w:szCs w:val="28"/>
          <w:vertAlign w:val="subscript"/>
        </w:rPr>
        <w:t>ар</w:t>
      </w:r>
      <w:r w:rsidRPr="002016DC">
        <w:rPr>
          <w:rFonts w:eastAsia="Calibri"/>
          <w:color w:val="000000"/>
          <w:sz w:val="28"/>
          <w:szCs w:val="28"/>
          <w:vertAlign w:val="superscript"/>
        </w:rPr>
        <w:t>инв</w:t>
      </w:r>
      <w:r w:rsidRPr="002016DC">
        <w:rPr>
          <w:rFonts w:eastAsia="Calibri"/>
          <w:color w:val="000000"/>
          <w:sz w:val="28"/>
          <w:szCs w:val="28"/>
        </w:rPr>
        <w:t xml:space="preserve">  = (П</w:t>
      </w:r>
      <w:r w:rsidRPr="002016DC">
        <w:rPr>
          <w:rFonts w:eastAsia="Calibri"/>
          <w:color w:val="000000"/>
          <w:sz w:val="28"/>
          <w:szCs w:val="28"/>
          <w:vertAlign w:val="subscript"/>
        </w:rPr>
        <w:t>ар</w:t>
      </w:r>
      <w:r w:rsidRPr="002016DC">
        <w:rPr>
          <w:rFonts w:eastAsia="Calibri"/>
          <w:color w:val="000000"/>
          <w:sz w:val="28"/>
          <w:szCs w:val="28"/>
          <w:vertAlign w:val="superscript"/>
        </w:rPr>
        <w:t>уст</w:t>
      </w:r>
      <w:r w:rsidRPr="002016DC">
        <w:rPr>
          <w:rFonts w:eastAsia="Calibri"/>
          <w:color w:val="000000"/>
          <w:sz w:val="28"/>
          <w:szCs w:val="28"/>
        </w:rPr>
        <w:t>*К</w:t>
      </w:r>
      <w:r w:rsidRPr="002016DC">
        <w:rPr>
          <w:rFonts w:eastAsia="Calibri"/>
          <w:color w:val="000000"/>
          <w:sz w:val="28"/>
          <w:szCs w:val="28"/>
          <w:vertAlign w:val="subscript"/>
        </w:rPr>
        <w:t>3</w:t>
      </w:r>
      <w:r w:rsidRPr="002016DC">
        <w:rPr>
          <w:rFonts w:eastAsia="Calibri"/>
          <w:color w:val="000000"/>
          <w:sz w:val="28"/>
          <w:szCs w:val="28"/>
        </w:rPr>
        <w:t>) - П</w:t>
      </w:r>
      <w:r w:rsidRPr="002016DC">
        <w:rPr>
          <w:rFonts w:eastAsia="Calibri"/>
          <w:color w:val="000000"/>
          <w:sz w:val="28"/>
          <w:szCs w:val="28"/>
          <w:vertAlign w:val="subscript"/>
        </w:rPr>
        <w:t>ар</w:t>
      </w:r>
      <w:r w:rsidRPr="002016DC">
        <w:rPr>
          <w:rFonts w:eastAsia="Calibri"/>
          <w:color w:val="000000"/>
          <w:sz w:val="28"/>
          <w:szCs w:val="28"/>
          <w:vertAlign w:val="superscript"/>
        </w:rPr>
        <w:t>уст</w:t>
      </w:r>
      <w:r w:rsidRPr="002016DC">
        <w:rPr>
          <w:rFonts w:eastAsia="Calibri"/>
          <w:color w:val="000000"/>
          <w:sz w:val="28"/>
          <w:szCs w:val="28"/>
        </w:rPr>
        <w:t>,</w:t>
      </w:r>
    </w:p>
    <w:p w:rsidR="00CE1891" w:rsidRPr="002016DC" w:rsidRDefault="00CE1891" w:rsidP="00CE1891">
      <w:pPr>
        <w:widowControl w:val="0"/>
        <w:tabs>
          <w:tab w:val="left" w:pos="9355"/>
        </w:tabs>
        <w:ind w:firstLine="709"/>
        <w:jc w:val="both"/>
        <w:rPr>
          <w:rFonts w:eastAsia="Calibri"/>
          <w:color w:val="000000"/>
          <w:sz w:val="28"/>
          <w:szCs w:val="28"/>
        </w:rPr>
      </w:pPr>
    </w:p>
    <w:p w:rsidR="00CE1891" w:rsidRPr="002016DC" w:rsidRDefault="00CE1891" w:rsidP="00CE1891">
      <w:pPr>
        <w:widowControl w:val="0"/>
        <w:tabs>
          <w:tab w:val="left" w:pos="9355"/>
        </w:tabs>
        <w:ind w:firstLine="709"/>
        <w:jc w:val="both"/>
        <w:rPr>
          <w:rFonts w:eastAsia="Calibri"/>
          <w:color w:val="000000"/>
          <w:sz w:val="28"/>
          <w:szCs w:val="28"/>
        </w:rPr>
      </w:pPr>
      <w:r w:rsidRPr="002016DC">
        <w:rPr>
          <w:rFonts w:eastAsia="Calibri"/>
          <w:color w:val="000000"/>
          <w:sz w:val="28"/>
          <w:szCs w:val="28"/>
        </w:rPr>
        <w:t>где:</w:t>
      </w:r>
    </w:p>
    <w:p w:rsidR="00CE1891" w:rsidRPr="002016DC" w:rsidRDefault="00CE1891" w:rsidP="00CE1891">
      <w:pPr>
        <w:widowControl w:val="0"/>
        <w:tabs>
          <w:tab w:val="left" w:pos="9355"/>
        </w:tabs>
        <w:ind w:firstLine="709"/>
        <w:jc w:val="both"/>
        <w:rPr>
          <w:rFonts w:eastAsia="Calibri"/>
          <w:color w:val="000000"/>
          <w:sz w:val="28"/>
          <w:szCs w:val="28"/>
        </w:rPr>
      </w:pPr>
      <w:r w:rsidRPr="002016DC">
        <w:rPr>
          <w:rFonts w:eastAsia="Calibri"/>
          <w:color w:val="000000"/>
          <w:sz w:val="28"/>
          <w:szCs w:val="28"/>
        </w:rPr>
        <w:t>П</w:t>
      </w:r>
      <w:r w:rsidRPr="002016DC">
        <w:rPr>
          <w:rFonts w:eastAsia="Calibri"/>
          <w:color w:val="000000"/>
          <w:sz w:val="28"/>
          <w:szCs w:val="28"/>
          <w:vertAlign w:val="subscript"/>
        </w:rPr>
        <w:t>ар</w:t>
      </w:r>
      <w:r w:rsidRPr="002016DC">
        <w:rPr>
          <w:rFonts w:eastAsia="Calibri"/>
          <w:color w:val="000000"/>
          <w:sz w:val="28"/>
          <w:szCs w:val="28"/>
          <w:vertAlign w:val="superscript"/>
        </w:rPr>
        <w:t>уст</w:t>
      </w:r>
      <w:r w:rsidRPr="002016DC">
        <w:rPr>
          <w:rFonts w:eastAsia="Calibri"/>
          <w:b/>
          <w:bCs/>
          <w:i/>
          <w:iCs/>
          <w:smallCaps/>
          <w:color w:val="000000"/>
          <w:sz w:val="28"/>
          <w:szCs w:val="28"/>
          <w:lang w:bidi="en-US"/>
        </w:rPr>
        <w:t xml:space="preserve"> </w:t>
      </w:r>
      <w:r w:rsidRPr="002016DC">
        <w:rPr>
          <w:rFonts w:eastAsia="Calibri"/>
          <w:color w:val="000000"/>
          <w:sz w:val="28"/>
          <w:szCs w:val="28"/>
          <w:lang w:bidi="en-US"/>
        </w:rPr>
        <w:t xml:space="preserve"> - </w:t>
      </w:r>
      <w:r w:rsidRPr="002016DC">
        <w:rPr>
          <w:rFonts w:eastAsia="Calibri"/>
          <w:color w:val="000000"/>
          <w:sz w:val="28"/>
          <w:szCs w:val="28"/>
          <w:lang w:bidi="ru-RU"/>
        </w:rPr>
        <w:t xml:space="preserve">установленный размер арендной платы на день окончания срока окупаемости проекта </w:t>
      </w:r>
      <w:r w:rsidRPr="002016DC">
        <w:rPr>
          <w:rFonts w:eastAsia="Calibri"/>
          <w:color w:val="000000"/>
          <w:sz w:val="28"/>
          <w:szCs w:val="28"/>
        </w:rPr>
        <w:t>по договорам аренды лесных участков, находящихся в федеральной собственности, заключенных в рамках реализации инвестиционных проектов, рассчитанная по окончании срока окупаемости проекта без применения понижающего коэффициента 0,5,</w:t>
      </w:r>
      <w:r w:rsidRPr="002016DC">
        <w:rPr>
          <w:rFonts w:ascii="Calibri" w:eastAsia="Calibri" w:hAnsi="Calibri"/>
          <w:color w:val="000000"/>
          <w:sz w:val="28"/>
          <w:szCs w:val="28"/>
        </w:rPr>
        <w:t xml:space="preserve"> </w:t>
      </w:r>
      <w:r w:rsidRPr="002016DC">
        <w:rPr>
          <w:rFonts w:eastAsia="Calibri"/>
          <w:color w:val="000000"/>
          <w:sz w:val="28"/>
          <w:szCs w:val="28"/>
          <w:lang w:bidi="ru-RU"/>
        </w:rPr>
        <w:t>(тыс. руб.);</w:t>
      </w:r>
    </w:p>
    <w:p w:rsidR="00CE1891" w:rsidRPr="002016DC" w:rsidRDefault="00CE1891" w:rsidP="00CE1891">
      <w:pPr>
        <w:widowControl w:val="0"/>
        <w:tabs>
          <w:tab w:val="left" w:pos="9355"/>
        </w:tabs>
        <w:ind w:firstLine="709"/>
        <w:jc w:val="both"/>
        <w:rPr>
          <w:rFonts w:eastAsia="Calibri"/>
          <w:color w:val="000000"/>
          <w:sz w:val="28"/>
          <w:szCs w:val="28"/>
        </w:rPr>
      </w:pPr>
      <w:r w:rsidRPr="002016DC">
        <w:rPr>
          <w:rFonts w:eastAsia="Calibri"/>
          <w:color w:val="000000"/>
          <w:sz w:val="28"/>
          <w:szCs w:val="28"/>
        </w:rPr>
        <w:t>К</w:t>
      </w:r>
      <w:r w:rsidRPr="002016DC">
        <w:rPr>
          <w:rFonts w:eastAsia="Calibri"/>
          <w:color w:val="000000"/>
          <w:sz w:val="28"/>
          <w:szCs w:val="28"/>
          <w:vertAlign w:val="subscript"/>
        </w:rPr>
        <w:t>3</w:t>
      </w:r>
      <w:r w:rsidRPr="002016DC">
        <w:rPr>
          <w:rFonts w:eastAsia="Calibri"/>
          <w:color w:val="000000"/>
          <w:sz w:val="28"/>
          <w:szCs w:val="28"/>
        </w:rPr>
        <w:t xml:space="preserve"> – средний коэффициент превышения размера арендной платы, сложившегося в Тверской области по соответствующему виду использования лесов;</w:t>
      </w:r>
    </w:p>
    <w:p w:rsidR="00CE1891" w:rsidRPr="002016DC" w:rsidRDefault="00CE1891" w:rsidP="00CE1891">
      <w:pPr>
        <w:ind w:firstLine="708"/>
        <w:jc w:val="both"/>
        <w:rPr>
          <w:color w:val="000000"/>
          <w:sz w:val="28"/>
          <w:szCs w:val="28"/>
        </w:rPr>
      </w:pPr>
      <w:r w:rsidRPr="002016DC">
        <w:rPr>
          <w:color w:val="000000"/>
        </w:rPr>
        <w:t>П</w:t>
      </w:r>
      <w:r w:rsidRPr="002016DC">
        <w:rPr>
          <w:color w:val="000000"/>
          <w:vertAlign w:val="subscript"/>
        </w:rPr>
        <w:t>ар</w:t>
      </w:r>
      <w:r w:rsidRPr="002016DC">
        <w:rPr>
          <w:color w:val="000000"/>
          <w:vertAlign w:val="superscript"/>
        </w:rPr>
        <w:t>инв</w:t>
      </w:r>
      <w:r w:rsidRPr="002016DC">
        <w:rPr>
          <w:color w:val="000000"/>
          <w:sz w:val="28"/>
          <w:szCs w:val="28"/>
        </w:rPr>
        <w:t xml:space="preserve"> </w:t>
      </w:r>
      <w:r w:rsidRPr="002016DC">
        <w:rPr>
          <w:rFonts w:eastAsia="Calibri"/>
          <w:color w:val="000000"/>
          <w:sz w:val="28"/>
          <w:szCs w:val="28"/>
        </w:rPr>
        <w:t>= ((П</w:t>
      </w:r>
      <w:r w:rsidRPr="002016DC">
        <w:rPr>
          <w:rFonts w:eastAsia="Calibri"/>
          <w:color w:val="000000"/>
          <w:sz w:val="28"/>
          <w:szCs w:val="28"/>
          <w:vertAlign w:val="subscript"/>
        </w:rPr>
        <w:t>ар</w:t>
      </w:r>
      <w:r w:rsidRPr="002016DC">
        <w:rPr>
          <w:rFonts w:eastAsia="Calibri"/>
          <w:color w:val="000000"/>
          <w:sz w:val="28"/>
          <w:szCs w:val="28"/>
          <w:vertAlign w:val="superscript"/>
        </w:rPr>
        <w:t>уст</w:t>
      </w:r>
      <w:r w:rsidRPr="002016DC">
        <w:rPr>
          <w:rFonts w:eastAsia="Calibri"/>
          <w:color w:val="000000"/>
          <w:sz w:val="28"/>
          <w:szCs w:val="28"/>
        </w:rPr>
        <w:t>*К</w:t>
      </w:r>
      <w:r w:rsidRPr="002016DC">
        <w:rPr>
          <w:rFonts w:eastAsia="Calibri"/>
          <w:color w:val="000000"/>
          <w:sz w:val="28"/>
          <w:szCs w:val="28"/>
          <w:vertAlign w:val="subscript"/>
        </w:rPr>
        <w:t>3</w:t>
      </w:r>
      <w:r w:rsidRPr="002016DC">
        <w:rPr>
          <w:rFonts w:eastAsia="Calibri"/>
          <w:color w:val="000000"/>
          <w:sz w:val="28"/>
          <w:szCs w:val="28"/>
        </w:rPr>
        <w:t>) - П</w:t>
      </w:r>
      <w:r w:rsidRPr="002016DC">
        <w:rPr>
          <w:rFonts w:eastAsia="Calibri"/>
          <w:color w:val="000000"/>
          <w:sz w:val="28"/>
          <w:szCs w:val="28"/>
          <w:vertAlign w:val="subscript"/>
        </w:rPr>
        <w:t>ар</w:t>
      </w:r>
      <w:r w:rsidRPr="002016DC">
        <w:rPr>
          <w:rFonts w:eastAsia="Calibri"/>
          <w:color w:val="000000"/>
          <w:sz w:val="28"/>
          <w:szCs w:val="28"/>
          <w:vertAlign w:val="superscript"/>
        </w:rPr>
        <w:t>уст</w:t>
      </w:r>
      <w:r w:rsidRPr="002016DC">
        <w:rPr>
          <w:color w:val="000000"/>
          <w:sz w:val="28"/>
          <w:szCs w:val="28"/>
        </w:rPr>
        <w:t>:</w:t>
      </w:r>
    </w:p>
    <w:p w:rsidR="00CE1891" w:rsidRPr="004448B3" w:rsidRDefault="00CE1891" w:rsidP="00CE1891">
      <w:pPr>
        <w:ind w:firstLine="708"/>
        <w:jc w:val="both"/>
        <w:rPr>
          <w:sz w:val="28"/>
          <w:szCs w:val="28"/>
        </w:rPr>
      </w:pPr>
    </w:p>
    <w:p w:rsidR="00CE1891" w:rsidRPr="00C157F9" w:rsidRDefault="00CE1891" w:rsidP="00CE1891">
      <w:pPr>
        <w:rPr>
          <w:rFonts w:eastAsia="Calibri"/>
          <w:sz w:val="28"/>
        </w:rPr>
      </w:pPr>
      <w:r w:rsidRPr="004448B3">
        <w:lastRenderedPageBreak/>
        <w:t>П</w:t>
      </w:r>
      <w:r w:rsidRPr="004448B3">
        <w:rPr>
          <w:vertAlign w:val="subscript"/>
        </w:rPr>
        <w:t>ар</w:t>
      </w:r>
      <w:r w:rsidRPr="004448B3">
        <w:rPr>
          <w:vertAlign w:val="superscript"/>
        </w:rPr>
        <w:t>инв</w:t>
      </w:r>
      <w:r w:rsidRPr="004448B3">
        <w:rPr>
          <w:sz w:val="28"/>
          <w:szCs w:val="28"/>
        </w:rPr>
        <w:t xml:space="preserve"> =(</w:t>
      </w:r>
      <w:r w:rsidRPr="002016DC">
        <w:rPr>
          <w:rFonts w:eastAsia="Calibri"/>
          <w:color w:val="000000"/>
          <w:sz w:val="28"/>
          <w:szCs w:val="28"/>
        </w:rPr>
        <w:t xml:space="preserve">213 967 095,6 </w:t>
      </w:r>
      <w:r w:rsidRPr="004448B3">
        <w:rPr>
          <w:sz w:val="28"/>
          <w:szCs w:val="28"/>
        </w:rPr>
        <w:t>*</w:t>
      </w:r>
      <w:r w:rsidRPr="004448B3">
        <w:rPr>
          <w:rFonts w:eastAsia="Calibri"/>
          <w:sz w:val="28"/>
        </w:rPr>
        <w:t>1,</w:t>
      </w:r>
      <w:r>
        <w:rPr>
          <w:rFonts w:eastAsia="Calibri"/>
          <w:sz w:val="28"/>
        </w:rPr>
        <w:t>73473</w:t>
      </w:r>
      <w:r w:rsidRPr="004448B3">
        <w:rPr>
          <w:sz w:val="28"/>
          <w:szCs w:val="28"/>
        </w:rPr>
        <w:t>) –</w:t>
      </w:r>
      <w:r w:rsidRPr="002016DC">
        <w:rPr>
          <w:rFonts w:eastAsia="Calibri"/>
          <w:color w:val="000000"/>
          <w:sz w:val="28"/>
          <w:szCs w:val="28"/>
        </w:rPr>
        <w:t xml:space="preserve">213 967 095,6 </w:t>
      </w:r>
      <w:r w:rsidRPr="004448B3">
        <w:rPr>
          <w:sz w:val="28"/>
          <w:szCs w:val="28"/>
        </w:rPr>
        <w:t>=</w:t>
      </w:r>
      <w:r>
        <w:rPr>
          <w:sz w:val="28"/>
          <w:szCs w:val="28"/>
        </w:rPr>
        <w:t>157 208 044,15</w:t>
      </w:r>
      <w:r w:rsidRPr="004448B3">
        <w:rPr>
          <w:sz w:val="28"/>
          <w:szCs w:val="28"/>
        </w:rPr>
        <w:t xml:space="preserve"> </w:t>
      </w:r>
      <w:r>
        <w:rPr>
          <w:sz w:val="28"/>
          <w:szCs w:val="28"/>
        </w:rPr>
        <w:t>руб.</w:t>
      </w:r>
      <w:r w:rsidRPr="004448B3">
        <w:rPr>
          <w:sz w:val="28"/>
          <w:szCs w:val="28"/>
        </w:rPr>
        <w:t xml:space="preserve"> </w:t>
      </w:r>
    </w:p>
    <w:p w:rsidR="00CE1891" w:rsidRPr="004448B3" w:rsidRDefault="00CE1891" w:rsidP="00CE1891">
      <w:pPr>
        <w:ind w:firstLine="708"/>
        <w:jc w:val="both"/>
        <w:rPr>
          <w:sz w:val="28"/>
          <w:szCs w:val="28"/>
        </w:rPr>
      </w:pPr>
      <w:r w:rsidRPr="004448B3">
        <w:rPr>
          <w:sz w:val="28"/>
          <w:szCs w:val="28"/>
        </w:rPr>
        <w:t>Заключение новых договоров аренды по заготовке древесины в 202</w:t>
      </w:r>
      <w:r>
        <w:rPr>
          <w:sz w:val="28"/>
          <w:szCs w:val="28"/>
        </w:rPr>
        <w:t>3</w:t>
      </w:r>
      <w:r w:rsidRPr="004448B3">
        <w:rPr>
          <w:sz w:val="28"/>
          <w:szCs w:val="28"/>
        </w:rPr>
        <w:t xml:space="preserve"> году не планируется.</w:t>
      </w:r>
    </w:p>
    <w:p w:rsidR="00CE1891" w:rsidRDefault="00CE1891" w:rsidP="00CE1891">
      <w:pPr>
        <w:tabs>
          <w:tab w:val="left" w:pos="3195"/>
        </w:tabs>
        <w:autoSpaceDE w:val="0"/>
        <w:autoSpaceDN w:val="0"/>
        <w:adjustRightInd w:val="0"/>
        <w:ind w:firstLine="709"/>
        <w:jc w:val="both"/>
        <w:rPr>
          <w:rFonts w:eastAsia="Calibri"/>
          <w:b/>
          <w:sz w:val="28"/>
          <w:szCs w:val="28"/>
          <w:lang w:eastAsia="en-US"/>
        </w:rPr>
      </w:pPr>
      <w:r w:rsidRPr="00BF327F">
        <w:rPr>
          <w:rFonts w:eastAsia="Calibri"/>
          <w:b/>
          <w:sz w:val="28"/>
          <w:szCs w:val="28"/>
          <w:lang w:eastAsia="en-US"/>
        </w:rPr>
        <w:t>Определение прогноза на 202</w:t>
      </w:r>
      <w:r>
        <w:rPr>
          <w:rFonts w:eastAsia="Calibri"/>
          <w:b/>
          <w:sz w:val="28"/>
          <w:szCs w:val="28"/>
          <w:lang w:eastAsia="en-US"/>
        </w:rPr>
        <w:t>4</w:t>
      </w:r>
      <w:r w:rsidRPr="00BF327F">
        <w:rPr>
          <w:rFonts w:eastAsia="Calibri"/>
          <w:b/>
          <w:sz w:val="28"/>
          <w:szCs w:val="28"/>
          <w:lang w:eastAsia="en-US"/>
        </w:rPr>
        <w:t xml:space="preserve"> год:</w:t>
      </w:r>
    </w:p>
    <w:p w:rsidR="00CE1891" w:rsidRPr="004448B3" w:rsidRDefault="00CE1891" w:rsidP="00CE1891">
      <w:pPr>
        <w:ind w:firstLine="708"/>
        <w:jc w:val="both"/>
        <w:rPr>
          <w:sz w:val="28"/>
          <w:szCs w:val="28"/>
        </w:rPr>
      </w:pPr>
      <w:r w:rsidRPr="004448B3">
        <w:rPr>
          <w:sz w:val="28"/>
          <w:szCs w:val="28"/>
        </w:rPr>
        <w:t xml:space="preserve">Плата поступления доходов от ранее заключенных договоров аренды </w:t>
      </w:r>
      <w:r w:rsidRPr="004448B3">
        <w:rPr>
          <w:b/>
          <w:sz w:val="28"/>
          <w:szCs w:val="28"/>
        </w:rPr>
        <w:t>с целью заготовки древесины</w:t>
      </w:r>
      <w:r w:rsidRPr="004448B3">
        <w:rPr>
          <w:sz w:val="28"/>
          <w:szCs w:val="28"/>
        </w:rPr>
        <w:t xml:space="preserve"> рассчитана методом приведения к уровню 2007 года по следующей формуле: </w:t>
      </w:r>
    </w:p>
    <w:p w:rsidR="00CE1891" w:rsidRDefault="00CE1891" w:rsidP="00CE1891">
      <w:pPr>
        <w:jc w:val="center"/>
        <w:rPr>
          <w:sz w:val="28"/>
          <w:szCs w:val="28"/>
          <w:vertAlign w:val="superscript"/>
        </w:rPr>
      </w:pPr>
      <w:r w:rsidRPr="004448B3">
        <w:rPr>
          <w:sz w:val="28"/>
          <w:szCs w:val="28"/>
        </w:rPr>
        <w:t>П</w:t>
      </w:r>
      <w:r w:rsidRPr="004448B3">
        <w:rPr>
          <w:sz w:val="28"/>
          <w:szCs w:val="28"/>
          <w:vertAlign w:val="subscript"/>
        </w:rPr>
        <w:t xml:space="preserve">ар </w:t>
      </w:r>
      <w:r w:rsidRPr="004448B3">
        <w:rPr>
          <w:sz w:val="28"/>
          <w:szCs w:val="28"/>
          <w:vertAlign w:val="superscript"/>
        </w:rPr>
        <w:t>обл</w:t>
      </w:r>
      <w:r w:rsidRPr="004448B3">
        <w:rPr>
          <w:sz w:val="28"/>
          <w:szCs w:val="28"/>
          <w:vertAlign w:val="subscript"/>
        </w:rPr>
        <w:t xml:space="preserve"> </w:t>
      </w:r>
      <w:r w:rsidRPr="004448B3">
        <w:rPr>
          <w:sz w:val="28"/>
          <w:szCs w:val="28"/>
        </w:rPr>
        <w:t>= (С</w:t>
      </w:r>
      <w:r w:rsidRPr="004448B3">
        <w:rPr>
          <w:sz w:val="28"/>
          <w:szCs w:val="28"/>
          <w:vertAlign w:val="subscript"/>
          <w:lang w:val="en-US"/>
        </w:rPr>
        <w:t>Q</w:t>
      </w:r>
      <w:r w:rsidRPr="004448B3">
        <w:rPr>
          <w:sz w:val="28"/>
          <w:szCs w:val="28"/>
          <w:vertAlign w:val="subscript"/>
        </w:rPr>
        <w:t xml:space="preserve"> </w:t>
      </w:r>
      <w:r w:rsidRPr="004448B3">
        <w:rPr>
          <w:sz w:val="28"/>
          <w:szCs w:val="28"/>
          <w:vertAlign w:val="superscript"/>
        </w:rPr>
        <w:t>ар</w:t>
      </w:r>
      <w:r w:rsidRPr="004448B3">
        <w:rPr>
          <w:sz w:val="28"/>
          <w:szCs w:val="28"/>
        </w:rPr>
        <w:t xml:space="preserve"> </w:t>
      </w:r>
      <w:r w:rsidRPr="004448B3">
        <w:rPr>
          <w:sz w:val="28"/>
          <w:szCs w:val="28"/>
          <w:vertAlign w:val="subscript"/>
        </w:rPr>
        <w:t>*</w:t>
      </w:r>
      <w:r w:rsidRPr="004448B3">
        <w:rPr>
          <w:sz w:val="28"/>
          <w:szCs w:val="28"/>
        </w:rPr>
        <w:t xml:space="preserve"> К</w:t>
      </w:r>
      <w:r w:rsidRPr="004448B3">
        <w:rPr>
          <w:sz w:val="28"/>
          <w:szCs w:val="28"/>
          <w:vertAlign w:val="subscript"/>
        </w:rPr>
        <w:t>1</w:t>
      </w:r>
      <w:r w:rsidRPr="004448B3">
        <w:rPr>
          <w:sz w:val="28"/>
          <w:szCs w:val="28"/>
        </w:rPr>
        <w:t xml:space="preserve">) </w:t>
      </w:r>
      <w:r w:rsidRPr="004448B3">
        <w:rPr>
          <w:sz w:val="28"/>
          <w:szCs w:val="28"/>
          <w:vertAlign w:val="subscript"/>
        </w:rPr>
        <w:t>*</w:t>
      </w:r>
      <w:r w:rsidRPr="004448B3">
        <w:rPr>
          <w:sz w:val="28"/>
          <w:szCs w:val="28"/>
        </w:rPr>
        <w:t xml:space="preserve"> </w:t>
      </w:r>
      <w:r w:rsidRPr="004448B3">
        <w:rPr>
          <w:sz w:val="28"/>
          <w:szCs w:val="28"/>
          <w:lang w:val="en-US"/>
        </w:rPr>
        <w:t>Q</w:t>
      </w:r>
      <w:r w:rsidRPr="004448B3">
        <w:rPr>
          <w:sz w:val="28"/>
          <w:szCs w:val="28"/>
          <w:vertAlign w:val="superscript"/>
        </w:rPr>
        <w:t>ср</w:t>
      </w:r>
      <w:r w:rsidRPr="004448B3">
        <w:rPr>
          <w:sz w:val="28"/>
          <w:szCs w:val="28"/>
          <w:vertAlign w:val="subscript"/>
        </w:rPr>
        <w:t>ар</w:t>
      </w:r>
      <w:r w:rsidRPr="000E45F6">
        <w:rPr>
          <w:iCs/>
          <w:sz w:val="28"/>
          <w:szCs w:val="28"/>
          <w:lang w:bidi="en-US"/>
        </w:rPr>
        <w:t>*</w:t>
      </w:r>
      <w:r w:rsidRPr="002016DC">
        <w:rPr>
          <w:rStyle w:val="714pt"/>
          <w:rFonts w:eastAsia="Calibri"/>
        </w:rPr>
        <w:t>Т</w:t>
      </w:r>
      <w:r w:rsidRPr="002016DC">
        <w:rPr>
          <w:rStyle w:val="714pt"/>
          <w:rFonts w:eastAsia="Calibri"/>
          <w:vertAlign w:val="superscript"/>
        </w:rPr>
        <w:t>ср</w:t>
      </w:r>
      <w:r w:rsidRPr="000E45F6">
        <w:rPr>
          <w:iCs/>
          <w:sz w:val="28"/>
          <w:szCs w:val="28"/>
          <w:vertAlign w:val="subscript"/>
          <w:lang w:val="en-US" w:bidi="en-US"/>
        </w:rPr>
        <w:t>Qap</w:t>
      </w:r>
      <w:r w:rsidRPr="004448B3">
        <w:rPr>
          <w:sz w:val="28"/>
          <w:szCs w:val="28"/>
        </w:rPr>
        <w:t xml:space="preserve"> + П</w:t>
      </w:r>
      <w:r w:rsidRPr="004448B3">
        <w:rPr>
          <w:sz w:val="28"/>
          <w:szCs w:val="28"/>
          <w:vertAlign w:val="subscript"/>
        </w:rPr>
        <w:t>ар</w:t>
      </w:r>
      <w:r w:rsidRPr="004448B3">
        <w:rPr>
          <w:sz w:val="28"/>
          <w:szCs w:val="28"/>
          <w:vertAlign w:val="superscript"/>
        </w:rPr>
        <w:t>инв</w:t>
      </w:r>
    </w:p>
    <w:p w:rsidR="00CE1891" w:rsidRPr="004448B3" w:rsidRDefault="00CE1891" w:rsidP="00CE1891">
      <w:pPr>
        <w:jc w:val="center"/>
        <w:rPr>
          <w:sz w:val="28"/>
          <w:szCs w:val="28"/>
        </w:rPr>
      </w:pPr>
    </w:p>
    <w:p w:rsidR="00CE1891" w:rsidRDefault="00CE1891" w:rsidP="00CE1891">
      <w:pPr>
        <w:jc w:val="center"/>
        <w:rPr>
          <w:sz w:val="28"/>
          <w:szCs w:val="28"/>
        </w:rPr>
      </w:pPr>
      <w:r w:rsidRPr="004448B3">
        <w:rPr>
          <w:sz w:val="28"/>
          <w:szCs w:val="28"/>
        </w:rPr>
        <w:t>П</w:t>
      </w:r>
      <w:r w:rsidRPr="004448B3">
        <w:rPr>
          <w:sz w:val="28"/>
          <w:szCs w:val="28"/>
          <w:vertAlign w:val="subscript"/>
        </w:rPr>
        <w:t xml:space="preserve">ар </w:t>
      </w:r>
      <w:r w:rsidRPr="004448B3">
        <w:rPr>
          <w:sz w:val="28"/>
          <w:szCs w:val="28"/>
          <w:vertAlign w:val="superscript"/>
        </w:rPr>
        <w:t xml:space="preserve">обл </w:t>
      </w:r>
      <w:r w:rsidRPr="004448B3">
        <w:rPr>
          <w:sz w:val="28"/>
          <w:szCs w:val="28"/>
        </w:rPr>
        <w:t>= (</w:t>
      </w:r>
      <w:r>
        <w:rPr>
          <w:sz w:val="28"/>
          <w:szCs w:val="28"/>
        </w:rPr>
        <w:t>22,0</w:t>
      </w:r>
      <w:r w:rsidRPr="004448B3">
        <w:rPr>
          <w:sz w:val="28"/>
          <w:szCs w:val="28"/>
        </w:rPr>
        <w:t>*2,</w:t>
      </w:r>
      <w:r>
        <w:rPr>
          <w:sz w:val="28"/>
          <w:szCs w:val="28"/>
        </w:rPr>
        <w:t>94</w:t>
      </w:r>
      <w:r w:rsidRPr="004448B3">
        <w:rPr>
          <w:sz w:val="28"/>
          <w:szCs w:val="28"/>
        </w:rPr>
        <w:t xml:space="preserve">)* </w:t>
      </w:r>
      <w:r>
        <w:rPr>
          <w:sz w:val="28"/>
          <w:szCs w:val="28"/>
        </w:rPr>
        <w:t>6 167 859,2</w:t>
      </w:r>
      <w:r w:rsidRPr="004448B3">
        <w:rPr>
          <w:sz w:val="28"/>
          <w:szCs w:val="28"/>
        </w:rPr>
        <w:t xml:space="preserve"> </w:t>
      </w:r>
      <w:r>
        <w:rPr>
          <w:sz w:val="28"/>
          <w:szCs w:val="28"/>
        </w:rPr>
        <w:t>*</w:t>
      </w:r>
      <w:r>
        <w:rPr>
          <w:iCs/>
          <w:sz w:val="28"/>
          <w:szCs w:val="28"/>
          <w:lang w:bidi="ru-RU"/>
        </w:rPr>
        <w:t>0,992</w:t>
      </w:r>
      <w:r>
        <w:rPr>
          <w:sz w:val="28"/>
          <w:szCs w:val="28"/>
        </w:rPr>
        <w:t xml:space="preserve"> </w:t>
      </w:r>
      <w:r w:rsidRPr="004448B3">
        <w:rPr>
          <w:sz w:val="28"/>
          <w:szCs w:val="28"/>
        </w:rPr>
        <w:t xml:space="preserve">+ </w:t>
      </w:r>
      <w:r>
        <w:rPr>
          <w:sz w:val="28"/>
          <w:szCs w:val="28"/>
        </w:rPr>
        <w:t>157 208 044,15</w:t>
      </w:r>
      <w:r w:rsidRPr="004448B3">
        <w:rPr>
          <w:sz w:val="28"/>
          <w:szCs w:val="28"/>
        </w:rPr>
        <w:t xml:space="preserve">  руб</w:t>
      </w:r>
      <w:r>
        <w:rPr>
          <w:sz w:val="28"/>
          <w:szCs w:val="28"/>
        </w:rPr>
        <w:t>.</w:t>
      </w:r>
      <w:r w:rsidRPr="004448B3">
        <w:rPr>
          <w:sz w:val="28"/>
          <w:szCs w:val="28"/>
        </w:rPr>
        <w:t xml:space="preserve"> = </w:t>
      </w:r>
    </w:p>
    <w:p w:rsidR="00CE1891" w:rsidRPr="004448B3" w:rsidRDefault="00CE1891" w:rsidP="00CE1891">
      <w:pPr>
        <w:jc w:val="center"/>
        <w:rPr>
          <w:sz w:val="28"/>
          <w:szCs w:val="28"/>
        </w:rPr>
      </w:pPr>
      <w:r>
        <w:rPr>
          <w:b/>
          <w:sz w:val="28"/>
          <w:szCs w:val="28"/>
        </w:rPr>
        <w:t>552 953 680,1 руб. (552 953,7тыс. руб.)</w:t>
      </w:r>
    </w:p>
    <w:p w:rsidR="00CE1891" w:rsidRPr="004448B3" w:rsidRDefault="00CE1891" w:rsidP="00CE1891">
      <w:pPr>
        <w:ind w:firstLine="708"/>
        <w:jc w:val="both"/>
        <w:rPr>
          <w:sz w:val="28"/>
          <w:szCs w:val="28"/>
        </w:rPr>
      </w:pPr>
      <w:r w:rsidRPr="004448B3">
        <w:rPr>
          <w:sz w:val="28"/>
          <w:szCs w:val="28"/>
        </w:rPr>
        <w:t>где:</w:t>
      </w:r>
    </w:p>
    <w:p w:rsidR="00CE1891" w:rsidRPr="004448B3" w:rsidRDefault="00CE1891" w:rsidP="00CE1891">
      <w:pPr>
        <w:ind w:firstLine="708"/>
        <w:jc w:val="both"/>
        <w:rPr>
          <w:sz w:val="28"/>
          <w:szCs w:val="28"/>
        </w:rPr>
      </w:pPr>
      <w:r w:rsidRPr="004448B3">
        <w:rPr>
          <w:sz w:val="28"/>
          <w:szCs w:val="28"/>
        </w:rPr>
        <w:t>П</w:t>
      </w:r>
      <w:r w:rsidRPr="004448B3">
        <w:rPr>
          <w:sz w:val="28"/>
          <w:szCs w:val="28"/>
          <w:vertAlign w:val="subscript"/>
        </w:rPr>
        <w:t xml:space="preserve">ар </w:t>
      </w:r>
      <w:r w:rsidRPr="004448B3">
        <w:rPr>
          <w:sz w:val="28"/>
          <w:szCs w:val="28"/>
          <w:vertAlign w:val="superscript"/>
        </w:rPr>
        <w:t>обл</w:t>
      </w:r>
      <w:r w:rsidRPr="004448B3">
        <w:rPr>
          <w:sz w:val="28"/>
          <w:szCs w:val="28"/>
          <w:vertAlign w:val="subscript"/>
        </w:rPr>
        <w:t xml:space="preserve"> </w:t>
      </w:r>
      <w:r w:rsidRPr="004448B3">
        <w:rPr>
          <w:sz w:val="28"/>
          <w:szCs w:val="28"/>
        </w:rPr>
        <w:t>- плата поступления в областной бюджет Тверской области по ранее заключенным договорам аренды с целью заготовки древесины тыс. руб.;</w:t>
      </w:r>
    </w:p>
    <w:p w:rsidR="00CE1891" w:rsidRPr="004448B3" w:rsidRDefault="00CE1891" w:rsidP="00CE1891">
      <w:pPr>
        <w:ind w:firstLine="708"/>
        <w:jc w:val="both"/>
        <w:rPr>
          <w:sz w:val="28"/>
          <w:szCs w:val="28"/>
        </w:rPr>
      </w:pPr>
      <w:r w:rsidRPr="004448B3">
        <w:rPr>
          <w:sz w:val="28"/>
          <w:szCs w:val="28"/>
        </w:rPr>
        <w:t>С</w:t>
      </w:r>
      <w:r w:rsidRPr="004448B3">
        <w:rPr>
          <w:sz w:val="28"/>
          <w:szCs w:val="28"/>
          <w:vertAlign w:val="subscript"/>
          <w:lang w:val="en-US"/>
        </w:rPr>
        <w:t>Q</w:t>
      </w:r>
      <w:r w:rsidRPr="004448B3">
        <w:rPr>
          <w:sz w:val="28"/>
          <w:szCs w:val="28"/>
          <w:vertAlign w:val="subscript"/>
        </w:rPr>
        <w:t xml:space="preserve"> </w:t>
      </w:r>
      <w:r w:rsidRPr="004448B3">
        <w:rPr>
          <w:sz w:val="28"/>
          <w:szCs w:val="28"/>
          <w:vertAlign w:val="superscript"/>
        </w:rPr>
        <w:t>ар</w:t>
      </w:r>
      <w:r w:rsidRPr="004448B3">
        <w:rPr>
          <w:sz w:val="28"/>
          <w:szCs w:val="28"/>
        </w:rPr>
        <w:t xml:space="preserve"> – средняя плата (превышающая минимальные ставки платы) за единицу объема древесины по договорам аренды лесных участков, находящихся в федеральной собственности, сложившаяся по итогам предыдущего финансового года и приведенная к уровню 2007 года руб.; </w:t>
      </w:r>
    </w:p>
    <w:p w:rsidR="00CE1891" w:rsidRPr="004448B3" w:rsidRDefault="00CE1891" w:rsidP="00CE1891">
      <w:pPr>
        <w:ind w:firstLine="708"/>
        <w:jc w:val="both"/>
        <w:rPr>
          <w:sz w:val="28"/>
          <w:szCs w:val="28"/>
          <w:vertAlign w:val="subscript"/>
        </w:rPr>
      </w:pPr>
      <w:r w:rsidRPr="004448B3">
        <w:rPr>
          <w:sz w:val="28"/>
          <w:szCs w:val="28"/>
        </w:rPr>
        <w:t>С</w:t>
      </w:r>
      <w:r w:rsidRPr="004448B3">
        <w:rPr>
          <w:sz w:val="28"/>
          <w:szCs w:val="28"/>
          <w:vertAlign w:val="subscript"/>
          <w:lang w:val="en-US"/>
        </w:rPr>
        <w:t>Q</w:t>
      </w:r>
      <w:r w:rsidRPr="004448B3">
        <w:rPr>
          <w:sz w:val="28"/>
          <w:szCs w:val="28"/>
          <w:vertAlign w:val="subscript"/>
        </w:rPr>
        <w:t xml:space="preserve"> </w:t>
      </w:r>
      <w:r w:rsidRPr="004448B3">
        <w:rPr>
          <w:sz w:val="28"/>
          <w:szCs w:val="28"/>
          <w:vertAlign w:val="superscript"/>
        </w:rPr>
        <w:t xml:space="preserve">ар </w:t>
      </w:r>
      <w:r w:rsidRPr="004448B3">
        <w:rPr>
          <w:sz w:val="28"/>
          <w:szCs w:val="28"/>
        </w:rPr>
        <w:t>=П</w:t>
      </w:r>
      <w:r w:rsidRPr="004448B3">
        <w:rPr>
          <w:sz w:val="28"/>
          <w:szCs w:val="28"/>
          <w:vertAlign w:val="subscript"/>
        </w:rPr>
        <w:t>ар</w:t>
      </w:r>
      <w:r w:rsidRPr="004448B3">
        <w:rPr>
          <w:sz w:val="28"/>
          <w:szCs w:val="28"/>
          <w:vertAlign w:val="subscript"/>
          <w:lang w:val="en-US"/>
        </w:rPr>
        <w:t>Q</w:t>
      </w:r>
      <w:r w:rsidRPr="004448B3">
        <w:rPr>
          <w:sz w:val="28"/>
          <w:szCs w:val="28"/>
          <w:vertAlign w:val="superscript"/>
        </w:rPr>
        <w:t>причОБ</w:t>
      </w:r>
      <w:r w:rsidRPr="004448B3">
        <w:rPr>
          <w:sz w:val="28"/>
          <w:szCs w:val="28"/>
        </w:rPr>
        <w:t>/</w:t>
      </w:r>
      <w:r w:rsidRPr="004448B3">
        <w:rPr>
          <w:sz w:val="28"/>
          <w:szCs w:val="28"/>
          <w:lang w:val="en-US"/>
        </w:rPr>
        <w:t>Q</w:t>
      </w:r>
      <w:r w:rsidRPr="004448B3">
        <w:rPr>
          <w:sz w:val="28"/>
          <w:szCs w:val="28"/>
          <w:vertAlign w:val="subscript"/>
        </w:rPr>
        <w:t xml:space="preserve">ар </w:t>
      </w:r>
      <w:r w:rsidRPr="004448B3">
        <w:rPr>
          <w:sz w:val="28"/>
          <w:szCs w:val="28"/>
          <w:vertAlign w:val="superscript"/>
        </w:rPr>
        <w:t>предост</w:t>
      </w:r>
      <w:r w:rsidRPr="004448B3">
        <w:rPr>
          <w:sz w:val="28"/>
          <w:szCs w:val="28"/>
        </w:rPr>
        <w:t>/К</w:t>
      </w:r>
      <w:r w:rsidRPr="004448B3">
        <w:rPr>
          <w:sz w:val="28"/>
          <w:szCs w:val="28"/>
          <w:vertAlign w:val="subscript"/>
        </w:rPr>
        <w:t>1пред год,</w:t>
      </w:r>
    </w:p>
    <w:p w:rsidR="00CE1891" w:rsidRPr="004448B3" w:rsidRDefault="00CE1891" w:rsidP="00CE1891">
      <w:pPr>
        <w:ind w:firstLine="708"/>
        <w:jc w:val="both"/>
        <w:rPr>
          <w:sz w:val="28"/>
          <w:szCs w:val="28"/>
          <w:vertAlign w:val="subscript"/>
        </w:rPr>
      </w:pPr>
    </w:p>
    <w:p w:rsidR="00CE1891" w:rsidRPr="004448B3" w:rsidRDefault="00CE1891" w:rsidP="00CE1891">
      <w:pPr>
        <w:ind w:firstLine="708"/>
        <w:jc w:val="both"/>
        <w:rPr>
          <w:sz w:val="28"/>
          <w:szCs w:val="28"/>
        </w:rPr>
      </w:pPr>
      <w:r w:rsidRPr="004448B3">
        <w:rPr>
          <w:sz w:val="28"/>
          <w:szCs w:val="28"/>
        </w:rPr>
        <w:t>С</w:t>
      </w:r>
      <w:r w:rsidRPr="004448B3">
        <w:rPr>
          <w:sz w:val="28"/>
          <w:szCs w:val="28"/>
          <w:vertAlign w:val="subscript"/>
          <w:lang w:val="en-US"/>
        </w:rPr>
        <w:t>Q</w:t>
      </w:r>
      <w:r w:rsidRPr="004448B3">
        <w:rPr>
          <w:sz w:val="28"/>
          <w:szCs w:val="28"/>
          <w:vertAlign w:val="subscript"/>
        </w:rPr>
        <w:t xml:space="preserve"> </w:t>
      </w:r>
      <w:r w:rsidRPr="004448B3">
        <w:rPr>
          <w:sz w:val="28"/>
          <w:szCs w:val="28"/>
          <w:vertAlign w:val="superscript"/>
        </w:rPr>
        <w:t>ар</w:t>
      </w:r>
      <w:r w:rsidRPr="004448B3">
        <w:rPr>
          <w:sz w:val="28"/>
          <w:szCs w:val="28"/>
        </w:rPr>
        <w:t xml:space="preserve"> =</w:t>
      </w:r>
      <w:r>
        <w:rPr>
          <w:sz w:val="28"/>
          <w:szCs w:val="28"/>
        </w:rPr>
        <w:t>367 406 300</w:t>
      </w:r>
      <w:r w:rsidRPr="004448B3">
        <w:rPr>
          <w:sz w:val="28"/>
          <w:szCs w:val="28"/>
        </w:rPr>
        <w:t xml:space="preserve"> руб./</w:t>
      </w:r>
      <w:r>
        <w:rPr>
          <w:sz w:val="28"/>
          <w:szCs w:val="28"/>
        </w:rPr>
        <w:t>6 377 400</w:t>
      </w:r>
      <w:r w:rsidRPr="004448B3">
        <w:rPr>
          <w:sz w:val="28"/>
          <w:szCs w:val="28"/>
        </w:rPr>
        <w:t xml:space="preserve"> куб.м/</w:t>
      </w:r>
      <w:r>
        <w:rPr>
          <w:sz w:val="28"/>
          <w:szCs w:val="28"/>
        </w:rPr>
        <w:t>2,62</w:t>
      </w:r>
      <w:r w:rsidRPr="00C60EEA">
        <w:rPr>
          <w:sz w:val="28"/>
          <w:szCs w:val="28"/>
        </w:rPr>
        <w:t xml:space="preserve">= 22,0 </w:t>
      </w:r>
      <w:r w:rsidRPr="004448B3">
        <w:rPr>
          <w:sz w:val="28"/>
          <w:szCs w:val="28"/>
        </w:rPr>
        <w:t>руб.</w:t>
      </w:r>
    </w:p>
    <w:p w:rsidR="00CE1891" w:rsidRPr="004448B3" w:rsidRDefault="00CE1891" w:rsidP="00CE1891">
      <w:pPr>
        <w:ind w:firstLine="708"/>
        <w:jc w:val="both"/>
        <w:rPr>
          <w:sz w:val="28"/>
          <w:szCs w:val="28"/>
        </w:rPr>
      </w:pPr>
      <w:r w:rsidRPr="004448B3">
        <w:rPr>
          <w:sz w:val="28"/>
          <w:szCs w:val="28"/>
        </w:rPr>
        <w:t>где:</w:t>
      </w:r>
    </w:p>
    <w:p w:rsidR="00CE1891" w:rsidRPr="004448B3" w:rsidRDefault="00CE1891" w:rsidP="00CE1891">
      <w:pPr>
        <w:ind w:firstLine="708"/>
        <w:jc w:val="both"/>
        <w:rPr>
          <w:sz w:val="28"/>
          <w:szCs w:val="28"/>
        </w:rPr>
      </w:pPr>
      <w:r w:rsidRPr="004448B3">
        <w:rPr>
          <w:sz w:val="28"/>
          <w:szCs w:val="28"/>
        </w:rPr>
        <w:t>П</w:t>
      </w:r>
      <w:r w:rsidRPr="004448B3">
        <w:rPr>
          <w:sz w:val="28"/>
          <w:szCs w:val="28"/>
          <w:vertAlign w:val="subscript"/>
        </w:rPr>
        <w:t>ар</w:t>
      </w:r>
      <w:r w:rsidRPr="004448B3">
        <w:rPr>
          <w:sz w:val="28"/>
          <w:szCs w:val="28"/>
          <w:vertAlign w:val="subscript"/>
          <w:lang w:val="en-US"/>
        </w:rPr>
        <w:t>Q</w:t>
      </w:r>
      <w:r w:rsidRPr="004448B3">
        <w:rPr>
          <w:sz w:val="28"/>
          <w:szCs w:val="28"/>
          <w:vertAlign w:val="superscript"/>
        </w:rPr>
        <w:t xml:space="preserve">причОБ </w:t>
      </w:r>
      <w:r w:rsidRPr="004448B3">
        <w:rPr>
          <w:sz w:val="28"/>
          <w:szCs w:val="28"/>
        </w:rPr>
        <w:t>- причитающийся в областной бюджет объем платежей за заготовку древесины по договорам аренды лесных участков, находящихся в федеральной собственности, в предыдущем финансовом году (руб.);</w:t>
      </w:r>
    </w:p>
    <w:p w:rsidR="00CE1891" w:rsidRPr="004448B3" w:rsidRDefault="00CE1891" w:rsidP="00CE1891">
      <w:pPr>
        <w:ind w:firstLine="708"/>
        <w:jc w:val="both"/>
        <w:rPr>
          <w:sz w:val="28"/>
          <w:szCs w:val="28"/>
        </w:rPr>
      </w:pPr>
      <w:r w:rsidRPr="004448B3">
        <w:rPr>
          <w:sz w:val="28"/>
          <w:szCs w:val="28"/>
          <w:lang w:val="en-US"/>
        </w:rPr>
        <w:t>Q</w:t>
      </w:r>
      <w:r w:rsidRPr="004448B3">
        <w:rPr>
          <w:sz w:val="28"/>
          <w:szCs w:val="28"/>
          <w:vertAlign w:val="subscript"/>
        </w:rPr>
        <w:t xml:space="preserve">ар </w:t>
      </w:r>
      <w:r w:rsidRPr="004448B3">
        <w:rPr>
          <w:sz w:val="28"/>
          <w:szCs w:val="28"/>
          <w:vertAlign w:val="superscript"/>
        </w:rPr>
        <w:t xml:space="preserve">предост </w:t>
      </w:r>
      <w:r w:rsidRPr="004448B3">
        <w:rPr>
          <w:sz w:val="28"/>
          <w:szCs w:val="28"/>
        </w:rPr>
        <w:t>- объем древесины, предоставленный для заготовки древесины по договорам аренды лесных участков, находящихся в федеральной собственности, в предыдущем финансовом году (куб.м);</w:t>
      </w:r>
    </w:p>
    <w:p w:rsidR="00CE1891" w:rsidRPr="004448B3" w:rsidRDefault="00CE1891" w:rsidP="00CE1891">
      <w:pPr>
        <w:ind w:firstLine="708"/>
        <w:jc w:val="both"/>
        <w:rPr>
          <w:sz w:val="28"/>
          <w:szCs w:val="28"/>
        </w:rPr>
      </w:pPr>
      <w:r w:rsidRPr="004448B3">
        <w:rPr>
          <w:sz w:val="28"/>
          <w:szCs w:val="28"/>
        </w:rPr>
        <w:t>К</w:t>
      </w:r>
      <w:r w:rsidRPr="004448B3">
        <w:rPr>
          <w:sz w:val="28"/>
          <w:szCs w:val="28"/>
          <w:vertAlign w:val="subscript"/>
        </w:rPr>
        <w:t xml:space="preserve">1пред год </w:t>
      </w:r>
      <w:r w:rsidRPr="004448B3">
        <w:rPr>
          <w:sz w:val="28"/>
          <w:szCs w:val="28"/>
        </w:rPr>
        <w:t>- коэффициент за единицу объема лесных ресурсов в предыдущем финансовом году.</w:t>
      </w:r>
    </w:p>
    <w:p w:rsidR="00CE1891" w:rsidRPr="004448B3" w:rsidRDefault="00CE1891" w:rsidP="00CE1891">
      <w:pPr>
        <w:ind w:firstLine="708"/>
        <w:jc w:val="both"/>
        <w:rPr>
          <w:sz w:val="28"/>
          <w:szCs w:val="28"/>
        </w:rPr>
      </w:pPr>
      <w:r w:rsidRPr="004448B3">
        <w:rPr>
          <w:sz w:val="28"/>
          <w:szCs w:val="28"/>
        </w:rPr>
        <w:t>К</w:t>
      </w:r>
      <w:r w:rsidRPr="004448B3">
        <w:rPr>
          <w:sz w:val="28"/>
          <w:szCs w:val="28"/>
          <w:vertAlign w:val="subscript"/>
        </w:rPr>
        <w:t>1</w:t>
      </w:r>
      <w:r w:rsidRPr="004448B3">
        <w:rPr>
          <w:sz w:val="28"/>
          <w:szCs w:val="28"/>
        </w:rPr>
        <w:t xml:space="preserve"> - коэффициент отчетного года за единицу объема лесных ресурсов;  </w:t>
      </w:r>
    </w:p>
    <w:p w:rsidR="00CE1891" w:rsidRPr="004448B3" w:rsidRDefault="00CE1891" w:rsidP="00CE1891">
      <w:pPr>
        <w:ind w:firstLine="708"/>
        <w:jc w:val="both"/>
        <w:rPr>
          <w:sz w:val="28"/>
          <w:szCs w:val="28"/>
        </w:rPr>
      </w:pPr>
      <w:r w:rsidRPr="004448B3">
        <w:rPr>
          <w:sz w:val="28"/>
          <w:szCs w:val="28"/>
          <w:lang w:val="en-US"/>
        </w:rPr>
        <w:t>Q</w:t>
      </w:r>
      <w:r w:rsidRPr="004448B3">
        <w:rPr>
          <w:sz w:val="28"/>
          <w:szCs w:val="28"/>
          <w:vertAlign w:val="superscript"/>
        </w:rPr>
        <w:t>ср</w:t>
      </w:r>
      <w:r w:rsidRPr="004448B3">
        <w:rPr>
          <w:sz w:val="28"/>
          <w:szCs w:val="28"/>
          <w:vertAlign w:val="subscript"/>
        </w:rPr>
        <w:t xml:space="preserve">ар </w:t>
      </w:r>
      <w:r w:rsidRPr="004448B3">
        <w:rPr>
          <w:strike/>
          <w:sz w:val="28"/>
          <w:szCs w:val="28"/>
          <w:vertAlign w:val="subscript"/>
        </w:rPr>
        <w:t xml:space="preserve">– </w:t>
      </w:r>
      <w:r w:rsidRPr="004448B3">
        <w:rPr>
          <w:sz w:val="28"/>
          <w:szCs w:val="28"/>
        </w:rPr>
        <w:t xml:space="preserve"> средний объем древесины, подлежащий заготовке по договорам аренды лесных участков, находящихся в федеральной собственности, (куб.м);</w:t>
      </w:r>
    </w:p>
    <w:p w:rsidR="00CE1891" w:rsidRPr="004448B3" w:rsidRDefault="00CE1891" w:rsidP="00CE1891">
      <w:pPr>
        <w:ind w:firstLine="708"/>
        <w:jc w:val="both"/>
        <w:rPr>
          <w:sz w:val="28"/>
          <w:szCs w:val="28"/>
        </w:rPr>
      </w:pPr>
      <w:r w:rsidRPr="004448B3">
        <w:rPr>
          <w:sz w:val="28"/>
          <w:szCs w:val="28"/>
          <w:lang w:val="en-US"/>
        </w:rPr>
        <w:t>Q</w:t>
      </w:r>
      <w:r w:rsidRPr="004448B3">
        <w:rPr>
          <w:sz w:val="28"/>
          <w:szCs w:val="28"/>
          <w:vertAlign w:val="superscript"/>
        </w:rPr>
        <w:t>ср</w:t>
      </w:r>
      <w:r w:rsidRPr="004448B3">
        <w:rPr>
          <w:sz w:val="28"/>
          <w:szCs w:val="28"/>
          <w:vertAlign w:val="subscript"/>
        </w:rPr>
        <w:t>ар =</w:t>
      </w:r>
      <w:r w:rsidRPr="004448B3">
        <w:rPr>
          <w:sz w:val="28"/>
          <w:szCs w:val="28"/>
        </w:rPr>
        <w:t>Σ</w:t>
      </w:r>
      <w:r w:rsidRPr="004448B3">
        <w:rPr>
          <w:sz w:val="28"/>
          <w:szCs w:val="28"/>
          <w:vertAlign w:val="superscript"/>
        </w:rPr>
        <w:t>3</w:t>
      </w:r>
      <w:r w:rsidRPr="004448B3">
        <w:rPr>
          <w:sz w:val="28"/>
          <w:szCs w:val="28"/>
          <w:vertAlign w:val="subscript"/>
          <w:lang w:val="en-US"/>
        </w:rPr>
        <w:t>t</w:t>
      </w:r>
      <w:r w:rsidRPr="004448B3">
        <w:rPr>
          <w:sz w:val="28"/>
          <w:szCs w:val="28"/>
          <w:vertAlign w:val="subscript"/>
        </w:rPr>
        <w:t xml:space="preserve">=1 </w:t>
      </w:r>
      <w:r w:rsidRPr="004448B3">
        <w:rPr>
          <w:sz w:val="28"/>
          <w:szCs w:val="28"/>
          <w:lang w:val="en-US"/>
        </w:rPr>
        <w:t>Q</w:t>
      </w:r>
      <w:r w:rsidRPr="004448B3">
        <w:rPr>
          <w:sz w:val="28"/>
          <w:szCs w:val="28"/>
          <w:vertAlign w:val="subscript"/>
        </w:rPr>
        <w:t>ар</w:t>
      </w:r>
      <w:r w:rsidRPr="004448B3">
        <w:rPr>
          <w:sz w:val="28"/>
          <w:szCs w:val="28"/>
        </w:rPr>
        <w:t>/3,</w:t>
      </w:r>
    </w:p>
    <w:p w:rsidR="00CE1891" w:rsidRPr="004448B3" w:rsidRDefault="00CE1891" w:rsidP="00CE1891">
      <w:pPr>
        <w:ind w:firstLine="708"/>
        <w:jc w:val="both"/>
        <w:rPr>
          <w:sz w:val="28"/>
          <w:szCs w:val="28"/>
        </w:rPr>
      </w:pPr>
      <w:r w:rsidRPr="004448B3">
        <w:rPr>
          <w:sz w:val="28"/>
          <w:szCs w:val="28"/>
        </w:rPr>
        <w:t xml:space="preserve">где: </w:t>
      </w:r>
    </w:p>
    <w:p w:rsidR="00CE1891" w:rsidRPr="004448B3" w:rsidRDefault="00CE1891" w:rsidP="00CE1891">
      <w:pPr>
        <w:ind w:firstLine="708"/>
        <w:jc w:val="both"/>
        <w:rPr>
          <w:sz w:val="28"/>
          <w:szCs w:val="28"/>
        </w:rPr>
      </w:pPr>
      <w:r w:rsidRPr="004448B3">
        <w:rPr>
          <w:sz w:val="28"/>
          <w:szCs w:val="28"/>
        </w:rPr>
        <w:t>Σ</w:t>
      </w:r>
      <w:r w:rsidRPr="004448B3">
        <w:rPr>
          <w:sz w:val="28"/>
          <w:szCs w:val="28"/>
          <w:vertAlign w:val="superscript"/>
        </w:rPr>
        <w:t>3</w:t>
      </w:r>
      <w:r w:rsidRPr="004448B3">
        <w:rPr>
          <w:sz w:val="28"/>
          <w:szCs w:val="28"/>
          <w:vertAlign w:val="subscript"/>
          <w:lang w:val="en-US"/>
        </w:rPr>
        <w:t>t</w:t>
      </w:r>
      <w:r w:rsidRPr="004448B3">
        <w:rPr>
          <w:sz w:val="28"/>
          <w:szCs w:val="28"/>
          <w:vertAlign w:val="subscript"/>
        </w:rPr>
        <w:t xml:space="preserve">=1 </w:t>
      </w:r>
      <w:r w:rsidRPr="004448B3">
        <w:rPr>
          <w:sz w:val="28"/>
          <w:szCs w:val="28"/>
          <w:lang w:val="en-US"/>
        </w:rPr>
        <w:t>Q</w:t>
      </w:r>
      <w:r w:rsidRPr="004448B3">
        <w:rPr>
          <w:sz w:val="28"/>
          <w:szCs w:val="28"/>
          <w:vertAlign w:val="subscript"/>
        </w:rPr>
        <w:t>ар</w:t>
      </w:r>
      <w:r w:rsidRPr="004448B3">
        <w:rPr>
          <w:sz w:val="28"/>
          <w:szCs w:val="28"/>
        </w:rPr>
        <w:t xml:space="preserve"> - сумма годовых величин объемов древесины, подлежащих заготовке по договорам аренды лесных участков, за три года, предшествующих прогнозируемому году (куб.м);</w:t>
      </w:r>
    </w:p>
    <w:p w:rsidR="00CE1891" w:rsidRPr="004448B3" w:rsidRDefault="00CE1891" w:rsidP="00CE1891">
      <w:pPr>
        <w:ind w:firstLine="708"/>
        <w:jc w:val="both"/>
        <w:rPr>
          <w:sz w:val="28"/>
          <w:szCs w:val="28"/>
          <w:vertAlign w:val="subscript"/>
        </w:rPr>
      </w:pPr>
      <w:r w:rsidRPr="004448B3">
        <w:rPr>
          <w:sz w:val="28"/>
          <w:szCs w:val="28"/>
        </w:rPr>
        <w:t>Σ</w:t>
      </w:r>
      <w:r w:rsidRPr="004448B3">
        <w:rPr>
          <w:sz w:val="28"/>
          <w:szCs w:val="28"/>
          <w:vertAlign w:val="superscript"/>
        </w:rPr>
        <w:t>3</w:t>
      </w:r>
      <w:r w:rsidRPr="004448B3">
        <w:rPr>
          <w:sz w:val="28"/>
          <w:szCs w:val="28"/>
          <w:vertAlign w:val="subscript"/>
          <w:lang w:val="en-US"/>
        </w:rPr>
        <w:t>t</w:t>
      </w:r>
      <w:r w:rsidRPr="004448B3">
        <w:rPr>
          <w:sz w:val="28"/>
          <w:szCs w:val="28"/>
          <w:vertAlign w:val="subscript"/>
        </w:rPr>
        <w:t xml:space="preserve">=1 </w:t>
      </w:r>
      <w:r w:rsidRPr="004448B3">
        <w:rPr>
          <w:sz w:val="28"/>
          <w:szCs w:val="28"/>
          <w:lang w:val="en-US"/>
        </w:rPr>
        <w:t>Q</w:t>
      </w:r>
      <w:r w:rsidRPr="004448B3">
        <w:rPr>
          <w:sz w:val="28"/>
          <w:szCs w:val="28"/>
          <w:vertAlign w:val="subscript"/>
        </w:rPr>
        <w:t>ар =</w:t>
      </w:r>
      <w:r w:rsidRPr="004448B3">
        <w:rPr>
          <w:sz w:val="28"/>
          <w:szCs w:val="28"/>
          <w:lang w:val="en-US"/>
        </w:rPr>
        <w:t>Q</w:t>
      </w:r>
      <w:r w:rsidRPr="004448B3">
        <w:rPr>
          <w:sz w:val="28"/>
          <w:szCs w:val="28"/>
          <w:vertAlign w:val="subscript"/>
        </w:rPr>
        <w:t>ар 20</w:t>
      </w:r>
      <w:r>
        <w:rPr>
          <w:sz w:val="28"/>
          <w:szCs w:val="28"/>
          <w:vertAlign w:val="subscript"/>
        </w:rPr>
        <w:t>21</w:t>
      </w:r>
      <w:r w:rsidRPr="004448B3">
        <w:rPr>
          <w:sz w:val="28"/>
          <w:szCs w:val="28"/>
          <w:vertAlign w:val="subscript"/>
        </w:rPr>
        <w:t>+</w:t>
      </w:r>
      <w:r w:rsidRPr="004448B3">
        <w:rPr>
          <w:sz w:val="28"/>
          <w:szCs w:val="28"/>
        </w:rPr>
        <w:t xml:space="preserve"> </w:t>
      </w:r>
      <w:r w:rsidRPr="004448B3">
        <w:rPr>
          <w:sz w:val="28"/>
          <w:szCs w:val="28"/>
          <w:lang w:val="en-US"/>
        </w:rPr>
        <w:t>Q</w:t>
      </w:r>
      <w:r w:rsidRPr="004448B3">
        <w:rPr>
          <w:sz w:val="28"/>
          <w:szCs w:val="28"/>
          <w:vertAlign w:val="subscript"/>
        </w:rPr>
        <w:t>ар 20</w:t>
      </w:r>
      <w:r>
        <w:rPr>
          <w:sz w:val="28"/>
          <w:szCs w:val="28"/>
          <w:vertAlign w:val="subscript"/>
        </w:rPr>
        <w:t>22</w:t>
      </w:r>
      <w:r w:rsidRPr="004448B3">
        <w:rPr>
          <w:sz w:val="28"/>
          <w:szCs w:val="28"/>
          <w:vertAlign w:val="subscript"/>
        </w:rPr>
        <w:t>+</w:t>
      </w:r>
      <w:r w:rsidRPr="004448B3">
        <w:rPr>
          <w:sz w:val="28"/>
          <w:szCs w:val="28"/>
        </w:rPr>
        <w:t xml:space="preserve"> </w:t>
      </w:r>
      <w:r w:rsidRPr="004448B3">
        <w:rPr>
          <w:sz w:val="28"/>
          <w:szCs w:val="28"/>
          <w:lang w:val="en-US"/>
        </w:rPr>
        <w:t>Q</w:t>
      </w:r>
      <w:r w:rsidRPr="004448B3">
        <w:rPr>
          <w:sz w:val="28"/>
          <w:szCs w:val="28"/>
          <w:vertAlign w:val="subscript"/>
        </w:rPr>
        <w:t>ар 20</w:t>
      </w:r>
      <w:r>
        <w:rPr>
          <w:sz w:val="28"/>
          <w:szCs w:val="28"/>
          <w:vertAlign w:val="subscript"/>
        </w:rPr>
        <w:t>23</w:t>
      </w:r>
    </w:p>
    <w:p w:rsidR="00CE1891" w:rsidRPr="004448B3" w:rsidRDefault="00CE1891" w:rsidP="00CE1891">
      <w:pPr>
        <w:ind w:firstLine="708"/>
        <w:jc w:val="both"/>
        <w:rPr>
          <w:sz w:val="28"/>
          <w:szCs w:val="28"/>
        </w:rPr>
      </w:pPr>
      <w:r w:rsidRPr="004448B3">
        <w:rPr>
          <w:sz w:val="28"/>
          <w:szCs w:val="28"/>
          <w:lang w:val="en-US"/>
        </w:rPr>
        <w:t>Q</w:t>
      </w:r>
      <w:r w:rsidRPr="004448B3">
        <w:rPr>
          <w:sz w:val="28"/>
          <w:szCs w:val="28"/>
          <w:vertAlign w:val="subscript"/>
        </w:rPr>
        <w:t xml:space="preserve">ар </w:t>
      </w:r>
      <w:r w:rsidRPr="004448B3">
        <w:rPr>
          <w:sz w:val="28"/>
          <w:szCs w:val="28"/>
        </w:rPr>
        <w:t>- объем древесины, подлежащий заготовке по договорам аренды лесных участков, находящихся в федеральной собственности, (куб.м)</w:t>
      </w:r>
    </w:p>
    <w:p w:rsidR="00CE1891" w:rsidRPr="004448B3" w:rsidRDefault="00CE1891" w:rsidP="00CE1891">
      <w:pPr>
        <w:ind w:firstLine="708"/>
        <w:jc w:val="both"/>
        <w:rPr>
          <w:sz w:val="28"/>
          <w:szCs w:val="28"/>
        </w:rPr>
      </w:pPr>
      <w:r w:rsidRPr="004448B3">
        <w:rPr>
          <w:sz w:val="28"/>
          <w:szCs w:val="28"/>
        </w:rPr>
        <w:t>Σ</w:t>
      </w:r>
      <w:r w:rsidRPr="004448B3">
        <w:rPr>
          <w:sz w:val="28"/>
          <w:szCs w:val="28"/>
          <w:vertAlign w:val="superscript"/>
        </w:rPr>
        <w:t>3</w:t>
      </w:r>
      <w:r w:rsidRPr="004448B3">
        <w:rPr>
          <w:sz w:val="28"/>
          <w:szCs w:val="28"/>
          <w:vertAlign w:val="subscript"/>
          <w:lang w:val="en-US"/>
        </w:rPr>
        <w:t>t</w:t>
      </w:r>
      <w:r w:rsidRPr="004448B3">
        <w:rPr>
          <w:sz w:val="28"/>
          <w:szCs w:val="28"/>
          <w:vertAlign w:val="subscript"/>
        </w:rPr>
        <w:t xml:space="preserve">=1 </w:t>
      </w:r>
      <w:r w:rsidRPr="004448B3">
        <w:rPr>
          <w:sz w:val="28"/>
          <w:szCs w:val="28"/>
          <w:lang w:val="en-US"/>
        </w:rPr>
        <w:t>Q</w:t>
      </w:r>
      <w:r w:rsidRPr="004448B3">
        <w:rPr>
          <w:sz w:val="28"/>
          <w:szCs w:val="28"/>
          <w:vertAlign w:val="subscript"/>
        </w:rPr>
        <w:t xml:space="preserve">ар = </w:t>
      </w:r>
      <w:r>
        <w:rPr>
          <w:sz w:val="28"/>
          <w:szCs w:val="28"/>
        </w:rPr>
        <w:t xml:space="preserve">6 107 000 </w:t>
      </w:r>
      <w:r w:rsidRPr="004448B3">
        <w:rPr>
          <w:sz w:val="28"/>
          <w:szCs w:val="28"/>
        </w:rPr>
        <w:t xml:space="preserve">+ </w:t>
      </w:r>
      <w:r>
        <w:rPr>
          <w:sz w:val="28"/>
          <w:szCs w:val="28"/>
        </w:rPr>
        <w:t>6 176 333,3</w:t>
      </w:r>
      <w:r w:rsidRPr="004448B3">
        <w:rPr>
          <w:sz w:val="28"/>
          <w:szCs w:val="28"/>
        </w:rPr>
        <w:t xml:space="preserve"> </w:t>
      </w:r>
      <w:r>
        <w:rPr>
          <w:sz w:val="28"/>
          <w:szCs w:val="28"/>
        </w:rPr>
        <w:t>+ 6 220 244,4</w:t>
      </w:r>
      <w:r w:rsidRPr="004448B3">
        <w:rPr>
          <w:sz w:val="28"/>
          <w:szCs w:val="28"/>
        </w:rPr>
        <w:t xml:space="preserve">= </w:t>
      </w:r>
      <w:r>
        <w:rPr>
          <w:sz w:val="28"/>
          <w:szCs w:val="28"/>
        </w:rPr>
        <w:t>18 503 577,7</w:t>
      </w:r>
      <w:r w:rsidRPr="004448B3">
        <w:rPr>
          <w:sz w:val="28"/>
          <w:szCs w:val="28"/>
        </w:rPr>
        <w:t>(куб.м)</w:t>
      </w:r>
    </w:p>
    <w:p w:rsidR="00CE1891" w:rsidRDefault="00CE1891" w:rsidP="00CE1891">
      <w:pPr>
        <w:ind w:firstLine="708"/>
        <w:jc w:val="both"/>
        <w:rPr>
          <w:sz w:val="28"/>
          <w:szCs w:val="28"/>
          <w:vertAlign w:val="subscript"/>
        </w:rPr>
      </w:pPr>
      <w:r w:rsidRPr="004448B3">
        <w:rPr>
          <w:sz w:val="28"/>
          <w:szCs w:val="28"/>
          <w:lang w:val="en-US"/>
        </w:rPr>
        <w:t>Q</w:t>
      </w:r>
      <w:r w:rsidRPr="004448B3">
        <w:rPr>
          <w:sz w:val="28"/>
          <w:szCs w:val="28"/>
          <w:vertAlign w:val="superscript"/>
        </w:rPr>
        <w:t>ср</w:t>
      </w:r>
      <w:r w:rsidRPr="004448B3">
        <w:rPr>
          <w:sz w:val="28"/>
          <w:szCs w:val="28"/>
          <w:vertAlign w:val="subscript"/>
        </w:rPr>
        <w:t>ар</w:t>
      </w:r>
      <w:r w:rsidRPr="004448B3">
        <w:rPr>
          <w:sz w:val="28"/>
          <w:szCs w:val="28"/>
        </w:rPr>
        <w:t xml:space="preserve"> =</w:t>
      </w:r>
      <w:r>
        <w:rPr>
          <w:sz w:val="28"/>
          <w:szCs w:val="28"/>
        </w:rPr>
        <w:t>18 503 577,7</w:t>
      </w:r>
      <w:r w:rsidRPr="004448B3">
        <w:rPr>
          <w:sz w:val="28"/>
          <w:szCs w:val="28"/>
        </w:rPr>
        <w:t xml:space="preserve">/3= </w:t>
      </w:r>
      <w:r>
        <w:rPr>
          <w:sz w:val="28"/>
          <w:szCs w:val="28"/>
        </w:rPr>
        <w:t xml:space="preserve">6 167 859,2 </w:t>
      </w:r>
      <w:r w:rsidRPr="004448B3">
        <w:rPr>
          <w:sz w:val="28"/>
          <w:szCs w:val="28"/>
        </w:rPr>
        <w:t>(куб.м)</w:t>
      </w:r>
      <w:r w:rsidRPr="004448B3">
        <w:rPr>
          <w:sz w:val="28"/>
          <w:szCs w:val="28"/>
          <w:vertAlign w:val="subscript"/>
        </w:rPr>
        <w:t xml:space="preserve"> </w:t>
      </w:r>
    </w:p>
    <w:p w:rsidR="00CE1891" w:rsidRPr="00791AFA" w:rsidRDefault="00CE1891" w:rsidP="00CE1891">
      <w:pPr>
        <w:widowControl w:val="0"/>
        <w:ind w:firstLine="760"/>
        <w:jc w:val="both"/>
        <w:rPr>
          <w:sz w:val="28"/>
          <w:szCs w:val="28"/>
          <w:lang w:bidi="ru-RU"/>
        </w:rPr>
      </w:pPr>
      <w:r w:rsidRPr="00791AFA">
        <w:rPr>
          <w:iCs/>
          <w:sz w:val="28"/>
          <w:szCs w:val="28"/>
          <w:lang w:bidi="ru-RU"/>
        </w:rPr>
        <w:lastRenderedPageBreak/>
        <w:t>Т</w:t>
      </w:r>
      <w:r w:rsidRPr="00791AFA">
        <w:rPr>
          <w:iCs/>
          <w:sz w:val="28"/>
          <w:szCs w:val="28"/>
          <w:vertAlign w:val="superscript"/>
          <w:lang w:bidi="ru-RU"/>
        </w:rPr>
        <w:t>ср</w:t>
      </w:r>
      <w:r w:rsidRPr="00791AFA">
        <w:rPr>
          <w:iCs/>
          <w:sz w:val="28"/>
          <w:szCs w:val="28"/>
          <w:lang w:bidi="ru-RU"/>
        </w:rPr>
        <w:t xml:space="preserve"> </w:t>
      </w:r>
      <w:r w:rsidRPr="00791AFA">
        <w:rPr>
          <w:iCs/>
          <w:sz w:val="28"/>
          <w:szCs w:val="28"/>
          <w:vertAlign w:val="subscript"/>
          <w:lang w:val="en-US" w:bidi="ru-RU"/>
        </w:rPr>
        <w:t>Q</w:t>
      </w:r>
      <w:r w:rsidRPr="00791AFA">
        <w:rPr>
          <w:iCs/>
          <w:sz w:val="28"/>
          <w:szCs w:val="28"/>
          <w:vertAlign w:val="subscript"/>
          <w:lang w:bidi="ru-RU"/>
        </w:rPr>
        <w:t xml:space="preserve">ар </w:t>
      </w:r>
      <w:r w:rsidRPr="00791AFA">
        <w:rPr>
          <w:sz w:val="28"/>
          <w:szCs w:val="28"/>
          <w:lang w:bidi="ru-RU"/>
        </w:rPr>
        <w:t>- средний темп роста (снижения) объема древесины, подлежащего заготовке по договорам аренды лесных участков, находящихся в федеральной собственности, за три отчетных года, предшествующих прогнозируемому году (ед.), рассчитывается по формуле:</w:t>
      </w:r>
    </w:p>
    <w:p w:rsidR="00CE1891" w:rsidRPr="00791AFA" w:rsidRDefault="00CE1891" w:rsidP="00CE1891">
      <w:pPr>
        <w:widowControl w:val="0"/>
        <w:ind w:firstLine="760"/>
        <w:jc w:val="both"/>
        <w:rPr>
          <w:sz w:val="28"/>
          <w:szCs w:val="28"/>
          <w:lang w:bidi="ru-RU"/>
        </w:rPr>
      </w:pPr>
    </w:p>
    <w:p w:rsidR="00CE1891" w:rsidRPr="00791AFA" w:rsidRDefault="00CE1891" w:rsidP="00CE1891">
      <w:pPr>
        <w:widowControl w:val="0"/>
        <w:ind w:firstLine="760"/>
        <w:jc w:val="both"/>
        <w:rPr>
          <w:sz w:val="28"/>
          <w:szCs w:val="28"/>
          <w:lang w:bidi="ru-RU"/>
        </w:rPr>
      </w:pPr>
      <w:r w:rsidRPr="00791AFA">
        <w:rPr>
          <w:iCs/>
          <w:sz w:val="28"/>
          <w:szCs w:val="28"/>
          <w:lang w:bidi="ru-RU"/>
        </w:rPr>
        <w:t>Т</w:t>
      </w:r>
      <w:r w:rsidRPr="00791AFA">
        <w:rPr>
          <w:iCs/>
          <w:sz w:val="28"/>
          <w:szCs w:val="28"/>
          <w:vertAlign w:val="superscript"/>
          <w:lang w:bidi="ru-RU"/>
        </w:rPr>
        <w:t>ср</w:t>
      </w:r>
      <w:r w:rsidRPr="00791AFA">
        <w:rPr>
          <w:iCs/>
          <w:sz w:val="28"/>
          <w:szCs w:val="28"/>
          <w:lang w:bidi="ru-RU"/>
        </w:rPr>
        <w:t xml:space="preserve"> </w:t>
      </w:r>
      <w:r w:rsidRPr="00791AFA">
        <w:rPr>
          <w:iCs/>
          <w:sz w:val="28"/>
          <w:szCs w:val="28"/>
          <w:vertAlign w:val="subscript"/>
          <w:lang w:val="en-US" w:bidi="ru-RU"/>
        </w:rPr>
        <w:t>Q</w:t>
      </w:r>
      <w:r w:rsidRPr="00791AFA">
        <w:rPr>
          <w:iCs/>
          <w:sz w:val="28"/>
          <w:szCs w:val="28"/>
          <w:vertAlign w:val="subscript"/>
          <w:lang w:bidi="ru-RU"/>
        </w:rPr>
        <w:t xml:space="preserve">ар </w:t>
      </w:r>
      <w:r w:rsidRPr="00791AFA">
        <w:rPr>
          <w:iCs/>
          <w:sz w:val="28"/>
          <w:szCs w:val="28"/>
          <w:lang w:bidi="ru-RU"/>
        </w:rPr>
        <w:t xml:space="preserve">= ∑ </w:t>
      </w:r>
      <w:r w:rsidRPr="00791AFA">
        <w:rPr>
          <w:iCs/>
          <w:sz w:val="28"/>
          <w:szCs w:val="28"/>
          <w:vertAlign w:val="superscript"/>
          <w:lang w:bidi="ru-RU"/>
        </w:rPr>
        <w:t>3</w:t>
      </w:r>
      <w:r w:rsidRPr="00791AFA">
        <w:rPr>
          <w:iCs/>
          <w:sz w:val="28"/>
          <w:szCs w:val="28"/>
          <w:lang w:bidi="ru-RU"/>
        </w:rPr>
        <w:t xml:space="preserve"> </w:t>
      </w:r>
      <w:r w:rsidRPr="00791AFA">
        <w:rPr>
          <w:iCs/>
          <w:sz w:val="28"/>
          <w:szCs w:val="28"/>
          <w:vertAlign w:val="subscript"/>
          <w:lang w:val="en-US" w:bidi="ru-RU"/>
        </w:rPr>
        <w:t>t</w:t>
      </w:r>
      <w:r w:rsidRPr="00791AFA">
        <w:rPr>
          <w:iCs/>
          <w:sz w:val="28"/>
          <w:szCs w:val="28"/>
          <w:vertAlign w:val="subscript"/>
          <w:lang w:bidi="ru-RU"/>
        </w:rPr>
        <w:t xml:space="preserve">=1 </w:t>
      </w:r>
      <w:r w:rsidRPr="00791AFA">
        <w:rPr>
          <w:iCs/>
          <w:sz w:val="28"/>
          <w:szCs w:val="28"/>
          <w:lang w:bidi="ru-RU"/>
        </w:rPr>
        <w:t xml:space="preserve">Т </w:t>
      </w:r>
      <w:r w:rsidRPr="00791AFA">
        <w:rPr>
          <w:iCs/>
          <w:sz w:val="28"/>
          <w:szCs w:val="28"/>
          <w:vertAlign w:val="subscript"/>
          <w:lang w:val="en-US" w:bidi="ru-RU"/>
        </w:rPr>
        <w:t>Q</w:t>
      </w:r>
      <w:r w:rsidRPr="00791AFA">
        <w:rPr>
          <w:iCs/>
          <w:sz w:val="28"/>
          <w:szCs w:val="28"/>
          <w:vertAlign w:val="subscript"/>
          <w:lang w:bidi="ru-RU"/>
        </w:rPr>
        <w:t>ар</w:t>
      </w:r>
      <w:r w:rsidRPr="00791AFA">
        <w:rPr>
          <w:iCs/>
          <w:sz w:val="28"/>
          <w:szCs w:val="28"/>
          <w:lang w:bidi="ru-RU"/>
        </w:rPr>
        <w:t>/3</w:t>
      </w:r>
    </w:p>
    <w:p w:rsidR="00CE1891" w:rsidRPr="00791AFA" w:rsidRDefault="00CE1891" w:rsidP="00CE1891">
      <w:pPr>
        <w:widowControl w:val="0"/>
        <w:tabs>
          <w:tab w:val="left" w:pos="3212"/>
          <w:tab w:val="left" w:pos="5631"/>
          <w:tab w:val="left" w:pos="8082"/>
          <w:tab w:val="left" w:pos="8666"/>
        </w:tabs>
        <w:ind w:firstLine="760"/>
        <w:jc w:val="both"/>
        <w:rPr>
          <w:sz w:val="28"/>
          <w:szCs w:val="28"/>
          <w:lang w:bidi="ru-RU"/>
        </w:rPr>
      </w:pPr>
    </w:p>
    <w:p w:rsidR="00CE1891" w:rsidRPr="00791AFA" w:rsidRDefault="00CE1891" w:rsidP="00CE1891">
      <w:pPr>
        <w:widowControl w:val="0"/>
        <w:tabs>
          <w:tab w:val="left" w:pos="3212"/>
          <w:tab w:val="left" w:pos="5631"/>
          <w:tab w:val="left" w:pos="8082"/>
          <w:tab w:val="left" w:pos="8666"/>
        </w:tabs>
        <w:ind w:firstLine="760"/>
        <w:jc w:val="both"/>
        <w:rPr>
          <w:sz w:val="28"/>
          <w:szCs w:val="28"/>
          <w:lang w:bidi="ru-RU"/>
        </w:rPr>
      </w:pPr>
      <w:r w:rsidRPr="00791AFA">
        <w:rPr>
          <w:iCs/>
          <w:sz w:val="28"/>
          <w:szCs w:val="28"/>
          <w:lang w:bidi="ru-RU"/>
        </w:rPr>
        <w:t>Т</w:t>
      </w:r>
      <w:r w:rsidRPr="00791AFA">
        <w:rPr>
          <w:iCs/>
          <w:sz w:val="28"/>
          <w:szCs w:val="28"/>
          <w:vertAlign w:val="superscript"/>
          <w:lang w:bidi="ru-RU"/>
        </w:rPr>
        <w:t>ср</w:t>
      </w:r>
      <w:r w:rsidRPr="00791AFA">
        <w:rPr>
          <w:iCs/>
          <w:sz w:val="28"/>
          <w:szCs w:val="28"/>
          <w:lang w:bidi="ru-RU"/>
        </w:rPr>
        <w:t xml:space="preserve"> </w:t>
      </w:r>
      <w:r w:rsidRPr="00791AFA">
        <w:rPr>
          <w:iCs/>
          <w:sz w:val="28"/>
          <w:szCs w:val="28"/>
          <w:vertAlign w:val="subscript"/>
          <w:lang w:val="en-US" w:bidi="ru-RU"/>
        </w:rPr>
        <w:t>Q</w:t>
      </w:r>
      <w:r w:rsidRPr="00791AFA">
        <w:rPr>
          <w:iCs/>
          <w:sz w:val="28"/>
          <w:szCs w:val="28"/>
          <w:vertAlign w:val="subscript"/>
          <w:lang w:bidi="ru-RU"/>
        </w:rPr>
        <w:t>ар</w:t>
      </w:r>
      <w:r w:rsidRPr="00791AFA">
        <w:rPr>
          <w:iCs/>
          <w:sz w:val="28"/>
          <w:szCs w:val="28"/>
          <w:lang w:bidi="ru-RU"/>
        </w:rPr>
        <w:t xml:space="preserve">= </w:t>
      </w:r>
      <w:r w:rsidRPr="00C60EEA">
        <w:rPr>
          <w:iCs/>
          <w:sz w:val="28"/>
          <w:szCs w:val="28"/>
          <w:lang w:bidi="ru-RU"/>
        </w:rPr>
        <w:t>2,976/3=0,992</w:t>
      </w:r>
    </w:p>
    <w:p w:rsidR="00CE1891" w:rsidRPr="00791AFA" w:rsidRDefault="00CE1891" w:rsidP="00CE1891">
      <w:pPr>
        <w:widowControl w:val="0"/>
        <w:tabs>
          <w:tab w:val="left" w:pos="3212"/>
          <w:tab w:val="left" w:pos="5631"/>
          <w:tab w:val="left" w:pos="8082"/>
          <w:tab w:val="left" w:pos="8666"/>
        </w:tabs>
        <w:ind w:firstLine="760"/>
        <w:jc w:val="both"/>
        <w:rPr>
          <w:sz w:val="28"/>
          <w:szCs w:val="28"/>
          <w:lang w:bidi="ru-RU"/>
        </w:rPr>
      </w:pPr>
      <w:r w:rsidRPr="00791AFA">
        <w:rPr>
          <w:sz w:val="28"/>
          <w:szCs w:val="28"/>
          <w:lang w:bidi="ru-RU"/>
        </w:rPr>
        <w:t>где:</w:t>
      </w:r>
    </w:p>
    <w:p w:rsidR="00CE1891" w:rsidRPr="00791AFA" w:rsidRDefault="00CE1891" w:rsidP="00CE1891">
      <w:pPr>
        <w:widowControl w:val="0"/>
        <w:ind w:firstLine="760"/>
        <w:jc w:val="both"/>
        <w:rPr>
          <w:sz w:val="28"/>
          <w:szCs w:val="28"/>
          <w:lang w:bidi="ru-RU"/>
        </w:rPr>
      </w:pPr>
      <w:r w:rsidRPr="00791AFA">
        <w:rPr>
          <w:iCs/>
          <w:sz w:val="28"/>
          <w:szCs w:val="28"/>
          <w:lang w:bidi="ru-RU"/>
        </w:rPr>
        <w:t xml:space="preserve">∑ </w:t>
      </w:r>
      <w:r w:rsidRPr="00791AFA">
        <w:rPr>
          <w:iCs/>
          <w:sz w:val="28"/>
          <w:szCs w:val="28"/>
          <w:vertAlign w:val="superscript"/>
          <w:lang w:bidi="ru-RU"/>
        </w:rPr>
        <w:t>3</w:t>
      </w:r>
      <w:r w:rsidRPr="00791AFA">
        <w:rPr>
          <w:iCs/>
          <w:sz w:val="28"/>
          <w:szCs w:val="28"/>
          <w:lang w:bidi="ru-RU"/>
        </w:rPr>
        <w:t xml:space="preserve"> </w:t>
      </w:r>
      <w:r w:rsidRPr="00791AFA">
        <w:rPr>
          <w:iCs/>
          <w:sz w:val="28"/>
          <w:szCs w:val="28"/>
          <w:vertAlign w:val="subscript"/>
          <w:lang w:val="en-US" w:bidi="ru-RU"/>
        </w:rPr>
        <w:t>t</w:t>
      </w:r>
      <w:r w:rsidRPr="00791AFA">
        <w:rPr>
          <w:iCs/>
          <w:sz w:val="28"/>
          <w:szCs w:val="28"/>
          <w:vertAlign w:val="subscript"/>
          <w:lang w:bidi="ru-RU"/>
        </w:rPr>
        <w:t xml:space="preserve">=1 </w:t>
      </w:r>
      <w:r w:rsidRPr="00791AFA">
        <w:rPr>
          <w:iCs/>
          <w:sz w:val="28"/>
          <w:szCs w:val="28"/>
          <w:lang w:bidi="ru-RU"/>
        </w:rPr>
        <w:t xml:space="preserve">Т </w:t>
      </w:r>
      <w:r w:rsidRPr="00791AFA">
        <w:rPr>
          <w:iCs/>
          <w:sz w:val="28"/>
          <w:szCs w:val="28"/>
          <w:vertAlign w:val="subscript"/>
          <w:lang w:val="en-US" w:bidi="ru-RU"/>
        </w:rPr>
        <w:t>Q</w:t>
      </w:r>
      <w:r w:rsidRPr="00791AFA">
        <w:rPr>
          <w:iCs/>
          <w:sz w:val="28"/>
          <w:szCs w:val="28"/>
          <w:vertAlign w:val="subscript"/>
          <w:lang w:bidi="ru-RU"/>
        </w:rPr>
        <w:t>ар</w:t>
      </w:r>
      <w:r w:rsidRPr="00791AFA">
        <w:rPr>
          <w:iCs/>
          <w:sz w:val="28"/>
          <w:szCs w:val="28"/>
          <w:lang w:bidi="ru-RU"/>
        </w:rPr>
        <w:t xml:space="preserve"> -</w:t>
      </w:r>
      <w:r w:rsidRPr="00791AFA">
        <w:rPr>
          <w:sz w:val="28"/>
          <w:szCs w:val="28"/>
          <w:lang w:bidi="ru-RU"/>
        </w:rPr>
        <w:t xml:space="preserve"> сумма темпов роста (снижения) объема древесины, подлежащего заготовке по договорам аренды лесных участков, находящихся в федеральной собственности, за три отчетных года, предшествующих прогнозируемому году (ед.);</w:t>
      </w:r>
    </w:p>
    <w:p w:rsidR="00CE1891" w:rsidRPr="00791AFA" w:rsidRDefault="00CE1891" w:rsidP="00CE1891">
      <w:pPr>
        <w:widowControl w:val="0"/>
        <w:ind w:firstLine="760"/>
        <w:jc w:val="both"/>
        <w:rPr>
          <w:sz w:val="28"/>
          <w:szCs w:val="28"/>
          <w:lang w:bidi="ru-RU"/>
        </w:rPr>
      </w:pPr>
      <w:r w:rsidRPr="00791AFA">
        <w:rPr>
          <w:iCs/>
          <w:sz w:val="28"/>
          <w:szCs w:val="28"/>
          <w:lang w:bidi="ru-RU"/>
        </w:rPr>
        <w:t xml:space="preserve">Т </w:t>
      </w:r>
      <w:r w:rsidRPr="00791AFA">
        <w:rPr>
          <w:iCs/>
          <w:sz w:val="28"/>
          <w:szCs w:val="28"/>
          <w:vertAlign w:val="subscript"/>
          <w:lang w:val="en-US" w:bidi="ru-RU"/>
        </w:rPr>
        <w:t>Q</w:t>
      </w:r>
      <w:r w:rsidRPr="00791AFA">
        <w:rPr>
          <w:iCs/>
          <w:sz w:val="28"/>
          <w:szCs w:val="28"/>
          <w:vertAlign w:val="subscript"/>
          <w:lang w:bidi="ru-RU"/>
        </w:rPr>
        <w:t>ар</w:t>
      </w:r>
      <w:r w:rsidRPr="00791AFA">
        <w:rPr>
          <w:iCs/>
          <w:sz w:val="28"/>
          <w:szCs w:val="28"/>
          <w:lang w:bidi="ru-RU"/>
        </w:rPr>
        <w:t xml:space="preserve"> - </w:t>
      </w:r>
      <w:r w:rsidRPr="00791AFA">
        <w:rPr>
          <w:sz w:val="28"/>
          <w:szCs w:val="28"/>
          <w:lang w:bidi="ru-RU"/>
        </w:rPr>
        <w:t>темп роста (снижения) объема древесины, подлежащего заготовке по договорам аренды лесных участков, находящихся в федеральной собственности,  за год (ед.), определяется по формуле:</w:t>
      </w:r>
    </w:p>
    <w:p w:rsidR="00CE1891" w:rsidRPr="00791AFA" w:rsidRDefault="00CE1891" w:rsidP="00CE1891">
      <w:pPr>
        <w:widowControl w:val="0"/>
        <w:ind w:firstLine="580"/>
        <w:jc w:val="both"/>
        <w:rPr>
          <w:iCs/>
          <w:sz w:val="28"/>
          <w:szCs w:val="28"/>
          <w:lang w:bidi="ru-RU"/>
        </w:rPr>
      </w:pPr>
    </w:p>
    <w:p w:rsidR="00CE1891" w:rsidRPr="00791AFA" w:rsidRDefault="00CE1891" w:rsidP="00CE1891">
      <w:pPr>
        <w:widowControl w:val="0"/>
        <w:ind w:firstLine="580"/>
        <w:jc w:val="both"/>
        <w:rPr>
          <w:iCs/>
          <w:sz w:val="28"/>
          <w:szCs w:val="28"/>
          <w:vertAlign w:val="subscript"/>
          <w:lang w:bidi="ru-RU"/>
        </w:rPr>
      </w:pPr>
      <w:r w:rsidRPr="00791AFA">
        <w:rPr>
          <w:iCs/>
          <w:sz w:val="28"/>
          <w:szCs w:val="28"/>
          <w:lang w:bidi="ru-RU"/>
        </w:rPr>
        <w:t xml:space="preserve">Т </w:t>
      </w:r>
      <w:r w:rsidRPr="00791AFA">
        <w:rPr>
          <w:iCs/>
          <w:sz w:val="28"/>
          <w:szCs w:val="28"/>
          <w:vertAlign w:val="subscript"/>
          <w:lang w:val="en-US" w:bidi="ru-RU"/>
        </w:rPr>
        <w:t>Q</w:t>
      </w:r>
      <w:r w:rsidRPr="00791AFA">
        <w:rPr>
          <w:iCs/>
          <w:sz w:val="28"/>
          <w:szCs w:val="28"/>
          <w:vertAlign w:val="subscript"/>
          <w:lang w:bidi="ru-RU"/>
        </w:rPr>
        <w:t>ар</w:t>
      </w:r>
      <w:r w:rsidRPr="00791AFA">
        <w:rPr>
          <w:iCs/>
          <w:sz w:val="28"/>
          <w:szCs w:val="28"/>
          <w:lang w:bidi="ru-RU"/>
        </w:rPr>
        <w:t xml:space="preserve"> = </w:t>
      </w:r>
      <w:r w:rsidRPr="00791AFA">
        <w:rPr>
          <w:iCs/>
          <w:sz w:val="28"/>
          <w:szCs w:val="28"/>
          <w:lang w:val="en-US" w:bidi="ru-RU"/>
        </w:rPr>
        <w:t>Q</w:t>
      </w:r>
      <w:r w:rsidRPr="00791AFA">
        <w:rPr>
          <w:iCs/>
          <w:sz w:val="28"/>
          <w:szCs w:val="28"/>
          <w:lang w:bidi="ru-RU"/>
        </w:rPr>
        <w:t xml:space="preserve"> </w:t>
      </w:r>
      <w:r w:rsidRPr="00791AFA">
        <w:rPr>
          <w:iCs/>
          <w:sz w:val="28"/>
          <w:szCs w:val="28"/>
          <w:vertAlign w:val="superscript"/>
          <w:lang w:val="en-US" w:bidi="ru-RU"/>
        </w:rPr>
        <w:t>n</w:t>
      </w:r>
      <w:r w:rsidRPr="00791AFA">
        <w:rPr>
          <w:iCs/>
          <w:sz w:val="28"/>
          <w:szCs w:val="28"/>
          <w:lang w:bidi="ru-RU"/>
        </w:rPr>
        <w:t xml:space="preserve"> </w:t>
      </w:r>
      <w:r w:rsidRPr="00791AFA">
        <w:rPr>
          <w:iCs/>
          <w:sz w:val="28"/>
          <w:szCs w:val="28"/>
          <w:vertAlign w:val="subscript"/>
          <w:lang w:bidi="ru-RU"/>
        </w:rPr>
        <w:t xml:space="preserve">ар / </w:t>
      </w:r>
      <w:r w:rsidRPr="00791AFA">
        <w:rPr>
          <w:iCs/>
          <w:sz w:val="28"/>
          <w:szCs w:val="28"/>
          <w:lang w:val="en-US" w:bidi="ru-RU"/>
        </w:rPr>
        <w:t>Q</w:t>
      </w:r>
      <w:r w:rsidRPr="00791AFA">
        <w:rPr>
          <w:iCs/>
          <w:sz w:val="28"/>
          <w:szCs w:val="28"/>
          <w:lang w:bidi="ru-RU"/>
        </w:rPr>
        <w:t xml:space="preserve"> </w:t>
      </w:r>
      <w:r w:rsidRPr="00791AFA">
        <w:rPr>
          <w:iCs/>
          <w:sz w:val="28"/>
          <w:szCs w:val="28"/>
          <w:vertAlign w:val="superscript"/>
          <w:lang w:val="en-US" w:bidi="ru-RU"/>
        </w:rPr>
        <w:t>n</w:t>
      </w:r>
      <w:r w:rsidRPr="00791AFA">
        <w:rPr>
          <w:iCs/>
          <w:sz w:val="28"/>
          <w:szCs w:val="28"/>
          <w:vertAlign w:val="superscript"/>
          <w:lang w:bidi="ru-RU"/>
        </w:rPr>
        <w:t>-1</w:t>
      </w:r>
      <w:r w:rsidRPr="00791AFA">
        <w:rPr>
          <w:iCs/>
          <w:sz w:val="28"/>
          <w:szCs w:val="28"/>
          <w:lang w:bidi="ru-RU"/>
        </w:rPr>
        <w:t xml:space="preserve"> </w:t>
      </w:r>
      <w:r w:rsidRPr="00791AFA">
        <w:rPr>
          <w:iCs/>
          <w:sz w:val="28"/>
          <w:szCs w:val="28"/>
          <w:vertAlign w:val="subscript"/>
          <w:lang w:val="en-US" w:bidi="ru-RU"/>
        </w:rPr>
        <w:t>Q</w:t>
      </w:r>
      <w:r w:rsidRPr="00791AFA">
        <w:rPr>
          <w:iCs/>
          <w:sz w:val="28"/>
          <w:szCs w:val="28"/>
          <w:vertAlign w:val="subscript"/>
          <w:lang w:bidi="ru-RU"/>
        </w:rPr>
        <w:t>ар</w:t>
      </w:r>
    </w:p>
    <w:p w:rsidR="00CE1891" w:rsidRPr="008F0026" w:rsidRDefault="00CE1891" w:rsidP="00CE1891">
      <w:pPr>
        <w:widowControl w:val="0"/>
        <w:ind w:firstLine="580"/>
        <w:jc w:val="both"/>
        <w:rPr>
          <w:sz w:val="32"/>
          <w:szCs w:val="28"/>
          <w:lang w:bidi="ru-RU"/>
        </w:rPr>
      </w:pPr>
    </w:p>
    <w:p w:rsidR="00CE1891" w:rsidRPr="00791AFA" w:rsidRDefault="00CE1891" w:rsidP="00CE1891">
      <w:pPr>
        <w:widowControl w:val="0"/>
        <w:ind w:firstLine="580"/>
        <w:jc w:val="both"/>
        <w:rPr>
          <w:sz w:val="28"/>
          <w:szCs w:val="28"/>
          <w:lang w:bidi="ru-RU"/>
        </w:rPr>
      </w:pPr>
      <w:r w:rsidRPr="00791AFA">
        <w:rPr>
          <w:sz w:val="28"/>
          <w:szCs w:val="28"/>
          <w:lang w:bidi="ru-RU"/>
        </w:rPr>
        <w:t>где:</w:t>
      </w:r>
    </w:p>
    <w:p w:rsidR="00CE1891" w:rsidRPr="00791AFA" w:rsidRDefault="00CE1891" w:rsidP="00CE1891">
      <w:pPr>
        <w:widowControl w:val="0"/>
        <w:ind w:firstLine="580"/>
        <w:jc w:val="both"/>
        <w:rPr>
          <w:sz w:val="28"/>
          <w:szCs w:val="28"/>
          <w:lang w:bidi="ru-RU"/>
        </w:rPr>
      </w:pPr>
      <w:r w:rsidRPr="00791AFA">
        <w:rPr>
          <w:iCs/>
          <w:sz w:val="28"/>
          <w:szCs w:val="28"/>
          <w:lang w:val="en-US" w:bidi="ru-RU"/>
        </w:rPr>
        <w:t>Q</w:t>
      </w:r>
      <w:r w:rsidRPr="00791AFA">
        <w:rPr>
          <w:iCs/>
          <w:sz w:val="28"/>
          <w:szCs w:val="28"/>
          <w:lang w:bidi="ru-RU"/>
        </w:rPr>
        <w:t xml:space="preserve"> </w:t>
      </w:r>
      <w:r w:rsidRPr="00791AFA">
        <w:rPr>
          <w:iCs/>
          <w:sz w:val="28"/>
          <w:szCs w:val="28"/>
          <w:vertAlign w:val="superscript"/>
          <w:lang w:val="en-US" w:bidi="ru-RU"/>
        </w:rPr>
        <w:t>n</w:t>
      </w:r>
      <w:r w:rsidRPr="00791AFA">
        <w:rPr>
          <w:iCs/>
          <w:sz w:val="28"/>
          <w:szCs w:val="28"/>
          <w:lang w:bidi="ru-RU"/>
        </w:rPr>
        <w:t xml:space="preserve"> </w:t>
      </w:r>
      <w:r w:rsidRPr="00791AFA">
        <w:rPr>
          <w:iCs/>
          <w:sz w:val="28"/>
          <w:szCs w:val="28"/>
          <w:vertAlign w:val="subscript"/>
          <w:lang w:bidi="ru-RU"/>
        </w:rPr>
        <w:t>ар</w:t>
      </w:r>
      <w:r w:rsidRPr="00791AFA">
        <w:rPr>
          <w:iCs/>
          <w:sz w:val="28"/>
          <w:szCs w:val="28"/>
          <w:lang w:bidi="ru-RU"/>
        </w:rPr>
        <w:t xml:space="preserve"> -</w:t>
      </w:r>
      <w:r w:rsidRPr="00791AFA">
        <w:rPr>
          <w:iCs/>
          <w:sz w:val="28"/>
          <w:szCs w:val="28"/>
          <w:vertAlign w:val="subscript"/>
          <w:lang w:bidi="ru-RU"/>
        </w:rPr>
        <w:t xml:space="preserve"> </w:t>
      </w:r>
      <w:r w:rsidRPr="00791AFA">
        <w:rPr>
          <w:sz w:val="28"/>
          <w:szCs w:val="28"/>
          <w:lang w:bidi="ru-RU"/>
        </w:rPr>
        <w:t>объем древесины, подлежащий заготовке по договорам аренды лесных участков, находящихся в федеральной собственности, за год (ед.);</w:t>
      </w:r>
    </w:p>
    <w:p w:rsidR="00CE1891" w:rsidRPr="00791AFA" w:rsidRDefault="00CE1891" w:rsidP="00CE1891">
      <w:pPr>
        <w:widowControl w:val="0"/>
        <w:ind w:firstLine="580"/>
        <w:jc w:val="both"/>
        <w:rPr>
          <w:sz w:val="28"/>
          <w:szCs w:val="28"/>
          <w:lang w:bidi="ru-RU"/>
        </w:rPr>
      </w:pPr>
      <w:r w:rsidRPr="00791AFA">
        <w:rPr>
          <w:iCs/>
          <w:sz w:val="28"/>
          <w:szCs w:val="28"/>
          <w:lang w:val="en-US" w:bidi="ru-RU"/>
        </w:rPr>
        <w:t>Q</w:t>
      </w:r>
      <w:r w:rsidRPr="00791AFA">
        <w:rPr>
          <w:iCs/>
          <w:sz w:val="28"/>
          <w:szCs w:val="28"/>
          <w:lang w:bidi="ru-RU"/>
        </w:rPr>
        <w:t xml:space="preserve"> </w:t>
      </w:r>
      <w:r w:rsidRPr="00791AFA">
        <w:rPr>
          <w:iCs/>
          <w:sz w:val="28"/>
          <w:szCs w:val="28"/>
          <w:vertAlign w:val="superscript"/>
          <w:lang w:val="en-US" w:bidi="ru-RU"/>
        </w:rPr>
        <w:t>n</w:t>
      </w:r>
      <w:r w:rsidRPr="00791AFA">
        <w:rPr>
          <w:iCs/>
          <w:sz w:val="28"/>
          <w:szCs w:val="28"/>
          <w:vertAlign w:val="superscript"/>
          <w:lang w:bidi="ru-RU"/>
        </w:rPr>
        <w:t>-1</w:t>
      </w:r>
      <w:r w:rsidRPr="00791AFA">
        <w:rPr>
          <w:iCs/>
          <w:sz w:val="28"/>
          <w:szCs w:val="28"/>
          <w:lang w:bidi="ru-RU"/>
        </w:rPr>
        <w:t xml:space="preserve"> </w:t>
      </w:r>
      <w:r w:rsidRPr="00791AFA">
        <w:rPr>
          <w:iCs/>
          <w:sz w:val="28"/>
          <w:szCs w:val="28"/>
          <w:vertAlign w:val="subscript"/>
          <w:lang w:val="en-US" w:bidi="ru-RU"/>
        </w:rPr>
        <w:t>Q</w:t>
      </w:r>
      <w:r w:rsidRPr="00791AFA">
        <w:rPr>
          <w:iCs/>
          <w:sz w:val="28"/>
          <w:szCs w:val="28"/>
          <w:vertAlign w:val="subscript"/>
          <w:lang w:bidi="ru-RU"/>
        </w:rPr>
        <w:t>ар</w:t>
      </w:r>
      <w:r w:rsidRPr="00791AFA">
        <w:rPr>
          <w:iCs/>
          <w:sz w:val="28"/>
          <w:szCs w:val="28"/>
          <w:lang w:bidi="ru-RU"/>
        </w:rPr>
        <w:t xml:space="preserve"> -</w:t>
      </w:r>
      <w:r w:rsidRPr="00791AFA">
        <w:rPr>
          <w:sz w:val="28"/>
          <w:szCs w:val="28"/>
          <w:lang w:bidi="ru-RU"/>
        </w:rPr>
        <w:t xml:space="preserve"> объем древесины, подлежащий заготовке по договорам аренды лесных участков, находящихся в федеральной собственности, за предыдущий год (ед.);</w:t>
      </w:r>
    </w:p>
    <w:p w:rsidR="00CE1891" w:rsidRPr="00791AFA" w:rsidRDefault="00CE1891" w:rsidP="00CE1891">
      <w:pPr>
        <w:widowControl w:val="0"/>
        <w:ind w:firstLine="580"/>
        <w:jc w:val="both"/>
        <w:rPr>
          <w:sz w:val="28"/>
          <w:szCs w:val="28"/>
          <w:lang w:bidi="ru-RU"/>
        </w:rPr>
      </w:pPr>
    </w:p>
    <w:p w:rsidR="00CE1891" w:rsidRPr="00AC0C75" w:rsidRDefault="00CE1891" w:rsidP="00CE1891">
      <w:pPr>
        <w:ind w:firstLine="708"/>
        <w:jc w:val="both"/>
        <w:rPr>
          <w:iCs/>
          <w:sz w:val="32"/>
          <w:szCs w:val="28"/>
          <w:lang w:bidi="ru-RU"/>
        </w:rPr>
      </w:pPr>
      <w:r w:rsidRPr="00AC0C75">
        <w:rPr>
          <w:iCs/>
          <w:sz w:val="32"/>
          <w:szCs w:val="28"/>
          <w:lang w:bidi="ru-RU"/>
        </w:rPr>
        <w:t xml:space="preserve">Т </w:t>
      </w:r>
      <w:r w:rsidRPr="00AC0C75">
        <w:rPr>
          <w:iCs/>
          <w:sz w:val="32"/>
          <w:szCs w:val="28"/>
          <w:vertAlign w:val="subscript"/>
          <w:lang w:val="en-US" w:bidi="ru-RU"/>
        </w:rPr>
        <w:t>Q</w:t>
      </w:r>
      <w:r w:rsidRPr="00AC0C75">
        <w:rPr>
          <w:iCs/>
          <w:sz w:val="32"/>
          <w:szCs w:val="28"/>
          <w:vertAlign w:val="subscript"/>
          <w:lang w:bidi="ru-RU"/>
        </w:rPr>
        <w:t>ар2023</w:t>
      </w:r>
      <w:r w:rsidRPr="00AC0C75">
        <w:rPr>
          <w:iCs/>
          <w:sz w:val="32"/>
          <w:szCs w:val="28"/>
          <w:lang w:bidi="ru-RU"/>
        </w:rPr>
        <w:t>=6 220 244,4 (куб.м)/6 176 333,36 (куб.м)=1,0071</w:t>
      </w:r>
    </w:p>
    <w:p w:rsidR="00CE1891" w:rsidRPr="00AC0C75" w:rsidRDefault="00CE1891" w:rsidP="00CE1891">
      <w:pPr>
        <w:ind w:firstLine="708"/>
        <w:jc w:val="both"/>
        <w:rPr>
          <w:sz w:val="32"/>
          <w:szCs w:val="28"/>
          <w:vertAlign w:val="subscript"/>
        </w:rPr>
      </w:pPr>
      <w:r w:rsidRPr="00AC0C75">
        <w:rPr>
          <w:iCs/>
          <w:sz w:val="32"/>
          <w:szCs w:val="28"/>
          <w:lang w:bidi="ru-RU"/>
        </w:rPr>
        <w:t xml:space="preserve">Т </w:t>
      </w:r>
      <w:r w:rsidRPr="00AC0C75">
        <w:rPr>
          <w:iCs/>
          <w:sz w:val="32"/>
          <w:szCs w:val="28"/>
          <w:vertAlign w:val="subscript"/>
          <w:lang w:val="en-US" w:bidi="ru-RU"/>
        </w:rPr>
        <w:t>Q</w:t>
      </w:r>
      <w:r w:rsidRPr="00AC0C75">
        <w:rPr>
          <w:iCs/>
          <w:sz w:val="32"/>
          <w:szCs w:val="28"/>
          <w:vertAlign w:val="subscript"/>
          <w:lang w:bidi="ru-RU"/>
        </w:rPr>
        <w:t>ар2022</w:t>
      </w:r>
      <w:r w:rsidRPr="00AC0C75">
        <w:rPr>
          <w:iCs/>
          <w:sz w:val="32"/>
          <w:szCs w:val="28"/>
          <w:lang w:bidi="ru-RU"/>
        </w:rPr>
        <w:t>=6 176 333,3</w:t>
      </w:r>
      <w:r w:rsidRPr="00AC0C75">
        <w:rPr>
          <w:sz w:val="28"/>
          <w:szCs w:val="28"/>
        </w:rPr>
        <w:t>(куб.м)</w:t>
      </w:r>
      <w:r w:rsidRPr="00AC0C75">
        <w:rPr>
          <w:sz w:val="28"/>
          <w:szCs w:val="28"/>
          <w:vertAlign w:val="subscript"/>
        </w:rPr>
        <w:t xml:space="preserve"> </w:t>
      </w:r>
      <w:r w:rsidRPr="00AC0C75">
        <w:rPr>
          <w:iCs/>
          <w:sz w:val="32"/>
          <w:szCs w:val="28"/>
          <w:lang w:bidi="ru-RU"/>
        </w:rPr>
        <w:t>/6 107 000</w:t>
      </w:r>
      <w:r w:rsidRPr="00AC0C75">
        <w:rPr>
          <w:sz w:val="28"/>
          <w:szCs w:val="28"/>
        </w:rPr>
        <w:t>(куб.м)=1,01135</w:t>
      </w:r>
    </w:p>
    <w:p w:rsidR="00CE1891" w:rsidRPr="00AC0C75" w:rsidRDefault="00CE1891" w:rsidP="00CE1891">
      <w:pPr>
        <w:ind w:firstLine="708"/>
        <w:jc w:val="both"/>
        <w:rPr>
          <w:sz w:val="32"/>
          <w:szCs w:val="28"/>
          <w:vertAlign w:val="subscript"/>
        </w:rPr>
      </w:pPr>
      <w:r w:rsidRPr="00AC0C75">
        <w:rPr>
          <w:iCs/>
          <w:sz w:val="32"/>
          <w:szCs w:val="28"/>
          <w:lang w:bidi="ru-RU"/>
        </w:rPr>
        <w:t xml:space="preserve">Т </w:t>
      </w:r>
      <w:r w:rsidRPr="00AC0C75">
        <w:rPr>
          <w:iCs/>
          <w:sz w:val="32"/>
          <w:szCs w:val="28"/>
          <w:vertAlign w:val="subscript"/>
          <w:lang w:val="en-US" w:bidi="ru-RU"/>
        </w:rPr>
        <w:t>Q</w:t>
      </w:r>
      <w:r w:rsidRPr="00AC0C75">
        <w:rPr>
          <w:iCs/>
          <w:sz w:val="32"/>
          <w:szCs w:val="28"/>
          <w:vertAlign w:val="subscript"/>
          <w:lang w:bidi="ru-RU"/>
        </w:rPr>
        <w:t>ар2021</w:t>
      </w:r>
      <w:r w:rsidRPr="00AC0C75">
        <w:rPr>
          <w:iCs/>
          <w:sz w:val="32"/>
          <w:szCs w:val="28"/>
          <w:lang w:bidi="ru-RU"/>
        </w:rPr>
        <w:t>=6 107 000</w:t>
      </w:r>
      <w:r w:rsidRPr="00AC0C75">
        <w:rPr>
          <w:sz w:val="28"/>
          <w:szCs w:val="28"/>
        </w:rPr>
        <w:t>(куб.м)</w:t>
      </w:r>
      <w:r w:rsidRPr="00AC0C75">
        <w:rPr>
          <w:sz w:val="28"/>
          <w:szCs w:val="28"/>
          <w:vertAlign w:val="subscript"/>
        </w:rPr>
        <w:t xml:space="preserve"> </w:t>
      </w:r>
      <w:r w:rsidRPr="00AC0C75">
        <w:rPr>
          <w:iCs/>
          <w:sz w:val="32"/>
          <w:szCs w:val="28"/>
          <w:lang w:bidi="ru-RU"/>
        </w:rPr>
        <w:t>/6 377 400</w:t>
      </w:r>
      <w:r w:rsidRPr="00AC0C75">
        <w:rPr>
          <w:sz w:val="28"/>
          <w:szCs w:val="28"/>
        </w:rPr>
        <w:t>(куб.м)=0,9576</w:t>
      </w:r>
    </w:p>
    <w:p w:rsidR="00CE1891" w:rsidRPr="00AC0C75" w:rsidRDefault="00CE1891" w:rsidP="00CE1891">
      <w:pPr>
        <w:ind w:firstLine="708"/>
        <w:jc w:val="both"/>
        <w:rPr>
          <w:sz w:val="32"/>
          <w:szCs w:val="28"/>
        </w:rPr>
      </w:pPr>
    </w:p>
    <w:p w:rsidR="00CE1891" w:rsidRPr="00AC0C75" w:rsidRDefault="00CE1891" w:rsidP="00CE1891">
      <w:pPr>
        <w:ind w:firstLine="708"/>
        <w:jc w:val="both"/>
        <w:rPr>
          <w:sz w:val="32"/>
          <w:szCs w:val="28"/>
        </w:rPr>
      </w:pPr>
      <w:r w:rsidRPr="00AC0C75">
        <w:rPr>
          <w:iCs/>
          <w:sz w:val="32"/>
          <w:szCs w:val="28"/>
          <w:lang w:bidi="ru-RU"/>
        </w:rPr>
        <w:t xml:space="preserve">∑ </w:t>
      </w:r>
      <w:r w:rsidRPr="00AC0C75">
        <w:rPr>
          <w:iCs/>
          <w:sz w:val="32"/>
          <w:szCs w:val="28"/>
          <w:vertAlign w:val="superscript"/>
          <w:lang w:bidi="ru-RU"/>
        </w:rPr>
        <w:t>3</w:t>
      </w:r>
      <w:r w:rsidRPr="00AC0C75">
        <w:rPr>
          <w:iCs/>
          <w:sz w:val="32"/>
          <w:szCs w:val="28"/>
          <w:lang w:bidi="ru-RU"/>
        </w:rPr>
        <w:t xml:space="preserve"> </w:t>
      </w:r>
      <w:r w:rsidRPr="00AC0C75">
        <w:rPr>
          <w:iCs/>
          <w:sz w:val="32"/>
          <w:szCs w:val="28"/>
          <w:vertAlign w:val="subscript"/>
          <w:lang w:val="en-US" w:bidi="ru-RU"/>
        </w:rPr>
        <w:t>t</w:t>
      </w:r>
      <w:r w:rsidRPr="00AC0C75">
        <w:rPr>
          <w:iCs/>
          <w:sz w:val="32"/>
          <w:szCs w:val="28"/>
          <w:vertAlign w:val="subscript"/>
          <w:lang w:bidi="ru-RU"/>
        </w:rPr>
        <w:t xml:space="preserve">=1 </w:t>
      </w:r>
      <w:r w:rsidRPr="00AC0C75">
        <w:rPr>
          <w:iCs/>
          <w:sz w:val="32"/>
          <w:szCs w:val="28"/>
          <w:lang w:bidi="ru-RU"/>
        </w:rPr>
        <w:t xml:space="preserve">Т </w:t>
      </w:r>
      <w:r w:rsidRPr="00AC0C75">
        <w:rPr>
          <w:iCs/>
          <w:sz w:val="32"/>
          <w:szCs w:val="28"/>
          <w:vertAlign w:val="subscript"/>
          <w:lang w:val="en-US" w:bidi="ru-RU"/>
        </w:rPr>
        <w:t>Q</w:t>
      </w:r>
      <w:r w:rsidRPr="00AC0C75">
        <w:rPr>
          <w:iCs/>
          <w:sz w:val="32"/>
          <w:szCs w:val="28"/>
          <w:vertAlign w:val="subscript"/>
          <w:lang w:bidi="ru-RU"/>
        </w:rPr>
        <w:t>ар</w:t>
      </w:r>
      <w:r w:rsidRPr="00AC0C75">
        <w:rPr>
          <w:iCs/>
          <w:sz w:val="32"/>
          <w:szCs w:val="28"/>
          <w:lang w:bidi="ru-RU"/>
        </w:rPr>
        <w:t xml:space="preserve"> = 1,0071+1,01135+0,9576=2,976</w:t>
      </w:r>
    </w:p>
    <w:p w:rsidR="00CE1891" w:rsidRPr="00AC0C75" w:rsidRDefault="00CE1891" w:rsidP="00CE1891">
      <w:pPr>
        <w:ind w:firstLine="708"/>
        <w:jc w:val="both"/>
        <w:rPr>
          <w:sz w:val="28"/>
          <w:szCs w:val="28"/>
        </w:rPr>
      </w:pPr>
    </w:p>
    <w:p w:rsidR="00CE1891" w:rsidRPr="00791AFA" w:rsidRDefault="00CE1891" w:rsidP="00CE1891">
      <w:pPr>
        <w:ind w:firstLine="708"/>
        <w:jc w:val="both"/>
        <w:rPr>
          <w:sz w:val="28"/>
          <w:szCs w:val="28"/>
        </w:rPr>
      </w:pPr>
    </w:p>
    <w:p w:rsidR="00CE1891" w:rsidRPr="004448B3" w:rsidRDefault="00CE1891" w:rsidP="00CE1891">
      <w:pPr>
        <w:ind w:firstLine="708"/>
        <w:jc w:val="both"/>
        <w:rPr>
          <w:sz w:val="28"/>
          <w:szCs w:val="28"/>
        </w:rPr>
      </w:pPr>
      <w:r w:rsidRPr="004448B3">
        <w:rPr>
          <w:sz w:val="28"/>
          <w:szCs w:val="28"/>
        </w:rPr>
        <w:t xml:space="preserve">В соответствии с постановлением Правительства Российской Федерации от 22.05.2007 № 310 «О ставках платы за единицу объема лесных ресурсов и ставках платы за единицу площади лесного участка, находящегося в федеральной собственности» </w:t>
      </w:r>
    </w:p>
    <w:p w:rsidR="00CE1891" w:rsidRPr="004448B3" w:rsidRDefault="00CE1891" w:rsidP="00CE1891">
      <w:pPr>
        <w:ind w:firstLine="708"/>
        <w:jc w:val="both"/>
        <w:rPr>
          <w:rFonts w:eastAsia="Calibri"/>
          <w:sz w:val="28"/>
        </w:rPr>
      </w:pPr>
      <w:r w:rsidRPr="004448B3">
        <w:rPr>
          <w:rFonts w:eastAsia="Calibri"/>
          <w:sz w:val="28"/>
        </w:rPr>
        <w:t>Средний коэффициент превышения рассчитывается на основе формы отчета 1-ОИП «Сведения о доходах лесного хозяйства и их распределении по получателям», утвержденной приказом Минприроды России от 28.12.2015 № 565.</w:t>
      </w:r>
    </w:p>
    <w:p w:rsidR="00CE1891" w:rsidRPr="004448B3" w:rsidRDefault="00CE1891" w:rsidP="00CE1891">
      <w:pPr>
        <w:rPr>
          <w:rFonts w:eastAsia="Calibri"/>
          <w:sz w:val="28"/>
        </w:rPr>
      </w:pPr>
      <w:r w:rsidRPr="004448B3">
        <w:rPr>
          <w:rFonts w:eastAsia="Calibri"/>
          <w:sz w:val="28"/>
        </w:rPr>
        <w:t>К</w:t>
      </w:r>
      <w:r w:rsidRPr="004448B3">
        <w:rPr>
          <w:rFonts w:eastAsia="Calibri"/>
          <w:sz w:val="28"/>
          <w:vertAlign w:val="subscript"/>
        </w:rPr>
        <w:t>3</w:t>
      </w:r>
      <w:r w:rsidRPr="004448B3">
        <w:rPr>
          <w:rFonts w:eastAsia="Calibri"/>
          <w:sz w:val="28"/>
        </w:rPr>
        <w:t>=Св-Си/См-Си, где</w:t>
      </w:r>
    </w:p>
    <w:p w:rsidR="00CE1891" w:rsidRPr="004448B3" w:rsidRDefault="00CE1891" w:rsidP="00CE1891">
      <w:pPr>
        <w:rPr>
          <w:rFonts w:eastAsia="Calibri"/>
          <w:sz w:val="28"/>
        </w:rPr>
      </w:pPr>
      <w:r w:rsidRPr="004448B3">
        <w:rPr>
          <w:rFonts w:eastAsia="Calibri"/>
          <w:sz w:val="28"/>
        </w:rPr>
        <w:t>К</w:t>
      </w:r>
      <w:r w:rsidRPr="004448B3">
        <w:rPr>
          <w:rFonts w:eastAsia="Calibri"/>
          <w:sz w:val="28"/>
          <w:vertAlign w:val="subscript"/>
        </w:rPr>
        <w:t>3</w:t>
      </w:r>
      <w:r w:rsidRPr="004448B3">
        <w:rPr>
          <w:rFonts w:eastAsia="Calibri"/>
          <w:sz w:val="28"/>
        </w:rPr>
        <w:t>- средний коэффициент превышения размера арендной платы;</w:t>
      </w:r>
    </w:p>
    <w:p w:rsidR="00CE1891" w:rsidRPr="004448B3" w:rsidRDefault="00CE1891" w:rsidP="00CE1891">
      <w:pPr>
        <w:rPr>
          <w:rFonts w:eastAsia="Calibri"/>
          <w:sz w:val="28"/>
        </w:rPr>
      </w:pPr>
      <w:r w:rsidRPr="004448B3">
        <w:rPr>
          <w:rFonts w:eastAsia="Calibri"/>
          <w:sz w:val="28"/>
        </w:rPr>
        <w:lastRenderedPageBreak/>
        <w:t>Св-сумма причитающихся платежей на отчетный год по договорам аренды в части заготовки древесины;</w:t>
      </w:r>
    </w:p>
    <w:p w:rsidR="00CE1891" w:rsidRPr="004448B3" w:rsidRDefault="00CE1891" w:rsidP="00CE1891">
      <w:pPr>
        <w:rPr>
          <w:rFonts w:eastAsia="Calibri"/>
          <w:sz w:val="28"/>
        </w:rPr>
      </w:pPr>
      <w:r w:rsidRPr="004448B3">
        <w:rPr>
          <w:rFonts w:eastAsia="Calibri"/>
          <w:sz w:val="28"/>
        </w:rPr>
        <w:t>Си- сумма причитающихся платежей на отчетный год по инвестиционным проектам;</w:t>
      </w:r>
    </w:p>
    <w:p w:rsidR="00CE1891" w:rsidRPr="004448B3" w:rsidRDefault="00CE1891" w:rsidP="00CE1891">
      <w:pPr>
        <w:rPr>
          <w:rFonts w:eastAsia="Calibri"/>
          <w:sz w:val="28"/>
        </w:rPr>
      </w:pPr>
      <w:r w:rsidRPr="004448B3">
        <w:rPr>
          <w:rFonts w:eastAsia="Calibri"/>
          <w:sz w:val="28"/>
        </w:rPr>
        <w:t>См- сумма причитающихся платежей на отчетный год по договорам аренды в части заготовки древесины по минимальным размерам арендной платы;</w:t>
      </w:r>
    </w:p>
    <w:p w:rsidR="00CE1891" w:rsidRPr="004448B3" w:rsidRDefault="00CE1891" w:rsidP="00CE1891">
      <w:pPr>
        <w:rPr>
          <w:rFonts w:eastAsia="Calibri"/>
          <w:sz w:val="28"/>
        </w:rPr>
      </w:pPr>
      <w:r w:rsidRPr="004448B3">
        <w:rPr>
          <w:rFonts w:eastAsia="Calibri"/>
          <w:sz w:val="28"/>
        </w:rPr>
        <w:t>Св=</w:t>
      </w:r>
      <w:r>
        <w:rPr>
          <w:rFonts w:eastAsia="Calibri"/>
          <w:sz w:val="28"/>
        </w:rPr>
        <w:t xml:space="preserve">1 019 685 200 </w:t>
      </w:r>
      <w:r w:rsidRPr="004448B3">
        <w:rPr>
          <w:rFonts w:eastAsia="Calibri"/>
          <w:sz w:val="28"/>
        </w:rPr>
        <w:t>руб.</w:t>
      </w:r>
    </w:p>
    <w:p w:rsidR="00CE1891" w:rsidRPr="004448B3" w:rsidRDefault="00CE1891" w:rsidP="00CE1891">
      <w:pPr>
        <w:rPr>
          <w:rFonts w:eastAsia="Calibri"/>
          <w:sz w:val="28"/>
        </w:rPr>
      </w:pPr>
      <w:r w:rsidRPr="004448B3">
        <w:rPr>
          <w:rFonts w:eastAsia="Calibri"/>
          <w:sz w:val="28"/>
        </w:rPr>
        <w:t>Си=</w:t>
      </w:r>
      <w:r>
        <w:rPr>
          <w:rFonts w:eastAsia="Calibri"/>
          <w:sz w:val="28"/>
        </w:rPr>
        <w:t xml:space="preserve">152 223 800 </w:t>
      </w:r>
      <w:r w:rsidRPr="004448B3">
        <w:rPr>
          <w:rFonts w:eastAsia="Calibri"/>
          <w:sz w:val="28"/>
        </w:rPr>
        <w:t>руб.</w:t>
      </w:r>
    </w:p>
    <w:p w:rsidR="00CE1891" w:rsidRPr="004448B3" w:rsidRDefault="00CE1891" w:rsidP="00CE1891">
      <w:pPr>
        <w:rPr>
          <w:rFonts w:eastAsia="Calibri"/>
          <w:sz w:val="28"/>
        </w:rPr>
      </w:pPr>
      <w:r w:rsidRPr="004448B3">
        <w:rPr>
          <w:rFonts w:eastAsia="Calibri"/>
          <w:sz w:val="28"/>
        </w:rPr>
        <w:t>См=</w:t>
      </w:r>
      <w:r>
        <w:rPr>
          <w:rFonts w:eastAsia="Calibri"/>
          <w:sz w:val="28"/>
        </w:rPr>
        <w:t>652 278 900</w:t>
      </w:r>
      <w:r w:rsidRPr="004448B3">
        <w:rPr>
          <w:rFonts w:eastAsia="Calibri"/>
          <w:sz w:val="28"/>
        </w:rPr>
        <w:t xml:space="preserve"> руб.</w:t>
      </w:r>
    </w:p>
    <w:p w:rsidR="00CE1891" w:rsidRPr="004448B3" w:rsidRDefault="00CE1891" w:rsidP="00CE1891">
      <w:pPr>
        <w:rPr>
          <w:rFonts w:eastAsia="Calibri"/>
          <w:sz w:val="28"/>
        </w:rPr>
      </w:pPr>
      <w:r w:rsidRPr="004448B3">
        <w:rPr>
          <w:rFonts w:eastAsia="Calibri"/>
          <w:sz w:val="28"/>
        </w:rPr>
        <w:t>Расчет:</w:t>
      </w:r>
    </w:p>
    <w:p w:rsidR="00CE1891" w:rsidRPr="004448B3" w:rsidRDefault="00CE1891" w:rsidP="00CE1891">
      <w:pPr>
        <w:rPr>
          <w:rFonts w:eastAsia="Calibri"/>
          <w:sz w:val="28"/>
        </w:rPr>
      </w:pPr>
      <w:r w:rsidRPr="004448B3">
        <w:rPr>
          <w:rFonts w:eastAsia="Calibri"/>
          <w:sz w:val="28"/>
        </w:rPr>
        <w:t>К=</w:t>
      </w:r>
      <w:r>
        <w:rPr>
          <w:rFonts w:eastAsia="Calibri"/>
          <w:sz w:val="28"/>
        </w:rPr>
        <w:t xml:space="preserve">1 019 685 200 </w:t>
      </w:r>
      <w:r w:rsidRPr="004448B3">
        <w:rPr>
          <w:rFonts w:eastAsia="Calibri"/>
          <w:sz w:val="28"/>
        </w:rPr>
        <w:t xml:space="preserve"> </w:t>
      </w:r>
      <w:r>
        <w:rPr>
          <w:rFonts w:eastAsia="Calibri"/>
          <w:sz w:val="28"/>
        </w:rPr>
        <w:t>–</w:t>
      </w:r>
      <w:r w:rsidRPr="004448B3">
        <w:rPr>
          <w:rFonts w:eastAsia="Calibri"/>
          <w:sz w:val="28"/>
        </w:rPr>
        <w:t xml:space="preserve"> </w:t>
      </w:r>
      <w:r>
        <w:rPr>
          <w:rFonts w:eastAsia="Calibri"/>
          <w:sz w:val="28"/>
        </w:rPr>
        <w:t>152 223 800</w:t>
      </w:r>
      <w:r w:rsidRPr="004448B3">
        <w:rPr>
          <w:rFonts w:eastAsia="Calibri"/>
          <w:sz w:val="28"/>
        </w:rPr>
        <w:t>/</w:t>
      </w:r>
      <w:r>
        <w:rPr>
          <w:rFonts w:eastAsia="Calibri"/>
          <w:sz w:val="28"/>
        </w:rPr>
        <w:t>652 278 900</w:t>
      </w:r>
      <w:r w:rsidRPr="004448B3">
        <w:rPr>
          <w:rFonts w:eastAsia="Calibri"/>
          <w:sz w:val="28"/>
        </w:rPr>
        <w:t>-</w:t>
      </w:r>
      <w:r>
        <w:rPr>
          <w:rFonts w:eastAsia="Calibri"/>
          <w:sz w:val="28"/>
        </w:rPr>
        <w:t>152 223 800</w:t>
      </w:r>
      <w:r w:rsidRPr="004448B3">
        <w:rPr>
          <w:rFonts w:eastAsia="Calibri"/>
          <w:sz w:val="28"/>
        </w:rPr>
        <w:t>=</w:t>
      </w:r>
      <w:r>
        <w:rPr>
          <w:rFonts w:eastAsia="Calibri"/>
          <w:sz w:val="28"/>
        </w:rPr>
        <w:t>1,73473</w:t>
      </w:r>
    </w:p>
    <w:p w:rsidR="00CE1891" w:rsidRPr="004448B3" w:rsidRDefault="00CE1891" w:rsidP="00CE1891">
      <w:pPr>
        <w:rPr>
          <w:rFonts w:eastAsia="Calibri"/>
          <w:b/>
          <w:sz w:val="28"/>
        </w:rPr>
      </w:pPr>
      <w:r w:rsidRPr="004448B3">
        <w:rPr>
          <w:rFonts w:eastAsia="Calibri"/>
          <w:b/>
          <w:sz w:val="28"/>
        </w:rPr>
        <w:t>К=</w:t>
      </w:r>
      <w:r>
        <w:rPr>
          <w:rFonts w:eastAsia="Calibri"/>
          <w:b/>
          <w:sz w:val="28"/>
        </w:rPr>
        <w:t>1,73473</w:t>
      </w:r>
    </w:p>
    <w:p w:rsidR="00CE1891" w:rsidRPr="002016DC" w:rsidRDefault="00CE1891" w:rsidP="00CE1891">
      <w:pPr>
        <w:jc w:val="both"/>
        <w:rPr>
          <w:rFonts w:eastAsia="Calibri"/>
          <w:color w:val="000000"/>
          <w:sz w:val="28"/>
          <w:szCs w:val="28"/>
        </w:rPr>
      </w:pPr>
      <w:r w:rsidRPr="004448B3">
        <w:rPr>
          <w:rFonts w:ascii="Calibri" w:eastAsia="Calibri" w:hAnsi="Calibri"/>
        </w:rPr>
        <w:tab/>
      </w:r>
      <w:r w:rsidRPr="002016DC">
        <w:rPr>
          <w:rFonts w:eastAsia="Calibri"/>
          <w:color w:val="000000"/>
          <w:sz w:val="28"/>
          <w:szCs w:val="28"/>
        </w:rPr>
        <w:t xml:space="preserve">В 2020 году </w:t>
      </w:r>
      <w:r w:rsidRPr="002016DC">
        <w:rPr>
          <w:rFonts w:eastAsia="Calibri"/>
          <w:color w:val="000000"/>
          <w:sz w:val="28"/>
          <w:szCs w:val="28"/>
          <w:lang w:bidi="ru-RU"/>
        </w:rPr>
        <w:t xml:space="preserve">установленный размер арендной платы на день окончания срока окупаемости проекта </w:t>
      </w:r>
      <w:r w:rsidRPr="002016DC">
        <w:rPr>
          <w:rFonts w:eastAsia="Calibri"/>
          <w:color w:val="000000"/>
          <w:sz w:val="28"/>
          <w:szCs w:val="28"/>
        </w:rPr>
        <w:t>по договорам аренды лесных участков, находящихся в федеральной собственности, заключенных в рамках реализации инвестиционных проектов, рассчитанная по окончании срока окупаемости проекта без применения понижающего коэффициента 0,5,</w:t>
      </w:r>
      <w:r w:rsidRPr="002016DC">
        <w:rPr>
          <w:rFonts w:ascii="Calibri" w:eastAsia="Calibri" w:hAnsi="Calibri"/>
          <w:color w:val="000000"/>
          <w:sz w:val="28"/>
          <w:szCs w:val="28"/>
        </w:rPr>
        <w:t xml:space="preserve"> </w:t>
      </w:r>
      <w:r w:rsidRPr="002016DC">
        <w:rPr>
          <w:rFonts w:eastAsia="Calibri"/>
          <w:color w:val="000000"/>
          <w:sz w:val="28"/>
          <w:szCs w:val="28"/>
          <w:lang w:bidi="ru-RU"/>
        </w:rPr>
        <w:t xml:space="preserve">(тыс. руб.) </w:t>
      </w:r>
      <w:r w:rsidRPr="002016DC">
        <w:rPr>
          <w:rFonts w:eastAsia="Calibri"/>
          <w:color w:val="000000"/>
          <w:sz w:val="28"/>
          <w:szCs w:val="28"/>
        </w:rPr>
        <w:t>190 678 160 руб., путем индексации за текущий год арендная плата в полном объеме составит 213 967 095,6 руб.</w:t>
      </w:r>
    </w:p>
    <w:p w:rsidR="00CE1891" w:rsidRPr="002016DC" w:rsidRDefault="00CE1891" w:rsidP="00CE1891">
      <w:pPr>
        <w:jc w:val="both"/>
        <w:rPr>
          <w:b/>
          <w:color w:val="000000"/>
          <w:sz w:val="28"/>
          <w:szCs w:val="28"/>
        </w:rPr>
      </w:pPr>
    </w:p>
    <w:p w:rsidR="00CE1891" w:rsidRPr="002016DC" w:rsidRDefault="00CE1891" w:rsidP="00CE1891">
      <w:pPr>
        <w:widowControl w:val="0"/>
        <w:ind w:firstLine="709"/>
        <w:jc w:val="both"/>
        <w:rPr>
          <w:rFonts w:eastAsia="Calibri"/>
          <w:color w:val="000000"/>
          <w:sz w:val="28"/>
          <w:szCs w:val="28"/>
        </w:rPr>
      </w:pPr>
      <w:r w:rsidRPr="002016DC">
        <w:rPr>
          <w:rFonts w:eastAsia="Calibri"/>
          <w:color w:val="000000"/>
          <w:sz w:val="28"/>
          <w:szCs w:val="28"/>
        </w:rPr>
        <w:t>П</w:t>
      </w:r>
      <w:r w:rsidRPr="002016DC">
        <w:rPr>
          <w:rFonts w:eastAsia="Calibri"/>
          <w:color w:val="000000"/>
          <w:sz w:val="28"/>
          <w:szCs w:val="28"/>
          <w:vertAlign w:val="subscript"/>
        </w:rPr>
        <w:t>ар</w:t>
      </w:r>
      <w:r w:rsidRPr="002016DC">
        <w:rPr>
          <w:rFonts w:eastAsia="Calibri"/>
          <w:color w:val="000000"/>
          <w:sz w:val="28"/>
          <w:szCs w:val="28"/>
          <w:vertAlign w:val="superscript"/>
        </w:rPr>
        <w:t>инв</w:t>
      </w:r>
      <w:r w:rsidRPr="002016DC">
        <w:rPr>
          <w:rFonts w:eastAsia="Calibri"/>
          <w:color w:val="000000"/>
          <w:sz w:val="28"/>
          <w:szCs w:val="28"/>
        </w:rPr>
        <w:t xml:space="preserve"> – плата по договорам аренды лесных участков, находящихся в федеральной собственности, заключенных в рамках реализации инвестиционных проектов, рассчитанная по окончании срока окупаемости проекта без применения понижающего коэффициента 0,5 (тыс. руб.). Определяется по формуле:</w:t>
      </w:r>
    </w:p>
    <w:p w:rsidR="00CE1891" w:rsidRPr="002016DC" w:rsidRDefault="00CE1891" w:rsidP="00CE1891">
      <w:pPr>
        <w:widowControl w:val="0"/>
        <w:ind w:firstLine="709"/>
        <w:jc w:val="both"/>
        <w:rPr>
          <w:rFonts w:eastAsia="Calibri"/>
          <w:color w:val="000000"/>
          <w:sz w:val="28"/>
          <w:szCs w:val="28"/>
        </w:rPr>
      </w:pPr>
    </w:p>
    <w:p w:rsidR="00CE1891" w:rsidRPr="002016DC" w:rsidRDefault="00CE1891" w:rsidP="00CE1891">
      <w:pPr>
        <w:widowControl w:val="0"/>
        <w:tabs>
          <w:tab w:val="left" w:pos="9355"/>
        </w:tabs>
        <w:ind w:firstLine="709"/>
        <w:jc w:val="both"/>
        <w:rPr>
          <w:rFonts w:eastAsia="Calibri"/>
          <w:color w:val="000000"/>
          <w:sz w:val="28"/>
          <w:szCs w:val="28"/>
        </w:rPr>
      </w:pPr>
      <w:r w:rsidRPr="002016DC">
        <w:rPr>
          <w:rFonts w:eastAsia="Calibri"/>
          <w:color w:val="000000"/>
          <w:sz w:val="28"/>
          <w:szCs w:val="28"/>
        </w:rPr>
        <w:t>П</w:t>
      </w:r>
      <w:r w:rsidRPr="002016DC">
        <w:rPr>
          <w:rFonts w:eastAsia="Calibri"/>
          <w:color w:val="000000"/>
          <w:sz w:val="28"/>
          <w:szCs w:val="28"/>
          <w:vertAlign w:val="subscript"/>
        </w:rPr>
        <w:t>ар</w:t>
      </w:r>
      <w:r w:rsidRPr="002016DC">
        <w:rPr>
          <w:rFonts w:eastAsia="Calibri"/>
          <w:color w:val="000000"/>
          <w:sz w:val="28"/>
          <w:szCs w:val="28"/>
          <w:vertAlign w:val="superscript"/>
        </w:rPr>
        <w:t>инв</w:t>
      </w:r>
      <w:r w:rsidRPr="002016DC">
        <w:rPr>
          <w:rFonts w:eastAsia="Calibri"/>
          <w:color w:val="000000"/>
          <w:sz w:val="28"/>
          <w:szCs w:val="28"/>
        </w:rPr>
        <w:t xml:space="preserve">  = (П</w:t>
      </w:r>
      <w:r w:rsidRPr="002016DC">
        <w:rPr>
          <w:rFonts w:eastAsia="Calibri"/>
          <w:color w:val="000000"/>
          <w:sz w:val="28"/>
          <w:szCs w:val="28"/>
          <w:vertAlign w:val="subscript"/>
        </w:rPr>
        <w:t>ар</w:t>
      </w:r>
      <w:r w:rsidRPr="002016DC">
        <w:rPr>
          <w:rFonts w:eastAsia="Calibri"/>
          <w:color w:val="000000"/>
          <w:sz w:val="28"/>
          <w:szCs w:val="28"/>
          <w:vertAlign w:val="superscript"/>
        </w:rPr>
        <w:t>уст</w:t>
      </w:r>
      <w:r w:rsidRPr="002016DC">
        <w:rPr>
          <w:rFonts w:eastAsia="Calibri"/>
          <w:color w:val="000000"/>
          <w:sz w:val="28"/>
          <w:szCs w:val="28"/>
        </w:rPr>
        <w:t>*К</w:t>
      </w:r>
      <w:r w:rsidRPr="002016DC">
        <w:rPr>
          <w:rFonts w:eastAsia="Calibri"/>
          <w:color w:val="000000"/>
          <w:sz w:val="28"/>
          <w:szCs w:val="28"/>
          <w:vertAlign w:val="subscript"/>
        </w:rPr>
        <w:t>3</w:t>
      </w:r>
      <w:r w:rsidRPr="002016DC">
        <w:rPr>
          <w:rFonts w:eastAsia="Calibri"/>
          <w:color w:val="000000"/>
          <w:sz w:val="28"/>
          <w:szCs w:val="28"/>
        </w:rPr>
        <w:t>) - П</w:t>
      </w:r>
      <w:r w:rsidRPr="002016DC">
        <w:rPr>
          <w:rFonts w:eastAsia="Calibri"/>
          <w:color w:val="000000"/>
          <w:sz w:val="28"/>
          <w:szCs w:val="28"/>
          <w:vertAlign w:val="subscript"/>
        </w:rPr>
        <w:t>ар</w:t>
      </w:r>
      <w:r w:rsidRPr="002016DC">
        <w:rPr>
          <w:rFonts w:eastAsia="Calibri"/>
          <w:color w:val="000000"/>
          <w:sz w:val="28"/>
          <w:szCs w:val="28"/>
          <w:vertAlign w:val="superscript"/>
        </w:rPr>
        <w:t>уст</w:t>
      </w:r>
      <w:r w:rsidRPr="002016DC">
        <w:rPr>
          <w:rFonts w:eastAsia="Calibri"/>
          <w:color w:val="000000"/>
          <w:sz w:val="28"/>
          <w:szCs w:val="28"/>
        </w:rPr>
        <w:t>,</w:t>
      </w:r>
    </w:p>
    <w:p w:rsidR="00CE1891" w:rsidRPr="002016DC" w:rsidRDefault="00CE1891" w:rsidP="00CE1891">
      <w:pPr>
        <w:widowControl w:val="0"/>
        <w:tabs>
          <w:tab w:val="left" w:pos="9355"/>
        </w:tabs>
        <w:ind w:firstLine="709"/>
        <w:jc w:val="both"/>
        <w:rPr>
          <w:rFonts w:eastAsia="Calibri"/>
          <w:color w:val="000000"/>
          <w:sz w:val="28"/>
          <w:szCs w:val="28"/>
        </w:rPr>
      </w:pPr>
    </w:p>
    <w:p w:rsidR="00CE1891" w:rsidRPr="002016DC" w:rsidRDefault="00CE1891" w:rsidP="00CE1891">
      <w:pPr>
        <w:widowControl w:val="0"/>
        <w:tabs>
          <w:tab w:val="left" w:pos="9355"/>
        </w:tabs>
        <w:ind w:firstLine="709"/>
        <w:jc w:val="both"/>
        <w:rPr>
          <w:rFonts w:eastAsia="Calibri"/>
          <w:color w:val="000000"/>
          <w:sz w:val="28"/>
          <w:szCs w:val="28"/>
        </w:rPr>
      </w:pPr>
      <w:r w:rsidRPr="002016DC">
        <w:rPr>
          <w:rFonts w:eastAsia="Calibri"/>
          <w:color w:val="000000"/>
          <w:sz w:val="28"/>
          <w:szCs w:val="28"/>
        </w:rPr>
        <w:t>где:</w:t>
      </w:r>
    </w:p>
    <w:p w:rsidR="00CE1891" w:rsidRPr="002016DC" w:rsidRDefault="00CE1891" w:rsidP="00CE1891">
      <w:pPr>
        <w:widowControl w:val="0"/>
        <w:tabs>
          <w:tab w:val="left" w:pos="9355"/>
        </w:tabs>
        <w:ind w:firstLine="709"/>
        <w:jc w:val="both"/>
        <w:rPr>
          <w:rFonts w:eastAsia="Calibri"/>
          <w:color w:val="000000"/>
          <w:sz w:val="28"/>
          <w:szCs w:val="28"/>
        </w:rPr>
      </w:pPr>
      <w:r w:rsidRPr="002016DC">
        <w:rPr>
          <w:rFonts w:eastAsia="Calibri"/>
          <w:color w:val="000000"/>
          <w:sz w:val="28"/>
          <w:szCs w:val="28"/>
        </w:rPr>
        <w:t>П</w:t>
      </w:r>
      <w:r w:rsidRPr="002016DC">
        <w:rPr>
          <w:rFonts w:eastAsia="Calibri"/>
          <w:color w:val="000000"/>
          <w:sz w:val="28"/>
          <w:szCs w:val="28"/>
          <w:vertAlign w:val="subscript"/>
        </w:rPr>
        <w:t>ар</w:t>
      </w:r>
      <w:r w:rsidRPr="002016DC">
        <w:rPr>
          <w:rFonts w:eastAsia="Calibri"/>
          <w:color w:val="000000"/>
          <w:sz w:val="28"/>
          <w:szCs w:val="28"/>
          <w:vertAlign w:val="superscript"/>
        </w:rPr>
        <w:t>уст</w:t>
      </w:r>
      <w:r w:rsidRPr="002016DC">
        <w:rPr>
          <w:rFonts w:eastAsia="Calibri"/>
          <w:b/>
          <w:bCs/>
          <w:i/>
          <w:iCs/>
          <w:smallCaps/>
          <w:color w:val="000000"/>
          <w:sz w:val="28"/>
          <w:szCs w:val="28"/>
          <w:lang w:bidi="en-US"/>
        </w:rPr>
        <w:t xml:space="preserve"> </w:t>
      </w:r>
      <w:r w:rsidRPr="002016DC">
        <w:rPr>
          <w:rFonts w:eastAsia="Calibri"/>
          <w:color w:val="000000"/>
          <w:sz w:val="28"/>
          <w:szCs w:val="28"/>
          <w:lang w:bidi="en-US"/>
        </w:rPr>
        <w:t xml:space="preserve"> - </w:t>
      </w:r>
      <w:r w:rsidRPr="002016DC">
        <w:rPr>
          <w:rFonts w:eastAsia="Calibri"/>
          <w:color w:val="000000"/>
          <w:sz w:val="28"/>
          <w:szCs w:val="28"/>
          <w:lang w:bidi="ru-RU"/>
        </w:rPr>
        <w:t xml:space="preserve">установленный размер арендной платы на день окончания срока окупаемости проекта </w:t>
      </w:r>
      <w:r w:rsidRPr="002016DC">
        <w:rPr>
          <w:rFonts w:eastAsia="Calibri"/>
          <w:color w:val="000000"/>
          <w:sz w:val="28"/>
          <w:szCs w:val="28"/>
        </w:rPr>
        <w:t>по договорам аренды лесных участков, находящихся в федеральной собственности, заключенных в рамках реализации инвестиционных проектов, рассчитанная по окончании срока окупаемости проекта без применения понижающего коэффициента 0,5,</w:t>
      </w:r>
      <w:r w:rsidRPr="002016DC">
        <w:rPr>
          <w:rFonts w:ascii="Calibri" w:eastAsia="Calibri" w:hAnsi="Calibri"/>
          <w:color w:val="000000"/>
          <w:sz w:val="28"/>
          <w:szCs w:val="28"/>
        </w:rPr>
        <w:t xml:space="preserve"> </w:t>
      </w:r>
      <w:r w:rsidRPr="002016DC">
        <w:rPr>
          <w:rFonts w:eastAsia="Calibri"/>
          <w:color w:val="000000"/>
          <w:sz w:val="28"/>
          <w:szCs w:val="28"/>
          <w:lang w:bidi="ru-RU"/>
        </w:rPr>
        <w:t>(тыс. руб.);</w:t>
      </w:r>
    </w:p>
    <w:p w:rsidR="00CE1891" w:rsidRPr="002016DC" w:rsidRDefault="00CE1891" w:rsidP="00CE1891">
      <w:pPr>
        <w:widowControl w:val="0"/>
        <w:tabs>
          <w:tab w:val="left" w:pos="9355"/>
        </w:tabs>
        <w:ind w:firstLine="709"/>
        <w:jc w:val="both"/>
        <w:rPr>
          <w:rFonts w:eastAsia="Calibri"/>
          <w:color w:val="000000"/>
          <w:sz w:val="28"/>
          <w:szCs w:val="28"/>
        </w:rPr>
      </w:pPr>
      <w:r w:rsidRPr="002016DC">
        <w:rPr>
          <w:rFonts w:eastAsia="Calibri"/>
          <w:color w:val="000000"/>
          <w:sz w:val="28"/>
          <w:szCs w:val="28"/>
        </w:rPr>
        <w:t>К</w:t>
      </w:r>
      <w:r w:rsidRPr="002016DC">
        <w:rPr>
          <w:rFonts w:eastAsia="Calibri"/>
          <w:color w:val="000000"/>
          <w:sz w:val="28"/>
          <w:szCs w:val="28"/>
          <w:vertAlign w:val="subscript"/>
        </w:rPr>
        <w:t>3</w:t>
      </w:r>
      <w:r w:rsidRPr="002016DC">
        <w:rPr>
          <w:rFonts w:eastAsia="Calibri"/>
          <w:color w:val="000000"/>
          <w:sz w:val="28"/>
          <w:szCs w:val="28"/>
        </w:rPr>
        <w:t xml:space="preserve"> – средний коэффициент превышения размера арендной платы, сложившегося в Тверской области по соответствующему виду использования лесов;</w:t>
      </w:r>
    </w:p>
    <w:p w:rsidR="00CE1891" w:rsidRPr="002016DC" w:rsidRDefault="00CE1891" w:rsidP="00CE1891">
      <w:pPr>
        <w:ind w:firstLine="708"/>
        <w:jc w:val="both"/>
        <w:rPr>
          <w:color w:val="000000"/>
          <w:sz w:val="28"/>
          <w:szCs w:val="28"/>
        </w:rPr>
      </w:pPr>
      <w:r w:rsidRPr="002016DC">
        <w:rPr>
          <w:color w:val="000000"/>
        </w:rPr>
        <w:t>П</w:t>
      </w:r>
      <w:r w:rsidRPr="002016DC">
        <w:rPr>
          <w:color w:val="000000"/>
          <w:vertAlign w:val="subscript"/>
        </w:rPr>
        <w:t>ар</w:t>
      </w:r>
      <w:r w:rsidRPr="002016DC">
        <w:rPr>
          <w:color w:val="000000"/>
          <w:vertAlign w:val="superscript"/>
        </w:rPr>
        <w:t>инв</w:t>
      </w:r>
      <w:r w:rsidRPr="002016DC">
        <w:rPr>
          <w:color w:val="000000"/>
          <w:sz w:val="28"/>
          <w:szCs w:val="28"/>
        </w:rPr>
        <w:t xml:space="preserve"> </w:t>
      </w:r>
      <w:r w:rsidRPr="002016DC">
        <w:rPr>
          <w:rFonts w:eastAsia="Calibri"/>
          <w:color w:val="000000"/>
          <w:sz w:val="28"/>
          <w:szCs w:val="28"/>
        </w:rPr>
        <w:t>= ((П</w:t>
      </w:r>
      <w:r w:rsidRPr="002016DC">
        <w:rPr>
          <w:rFonts w:eastAsia="Calibri"/>
          <w:color w:val="000000"/>
          <w:sz w:val="28"/>
          <w:szCs w:val="28"/>
          <w:vertAlign w:val="subscript"/>
        </w:rPr>
        <w:t>ар</w:t>
      </w:r>
      <w:r w:rsidRPr="002016DC">
        <w:rPr>
          <w:rFonts w:eastAsia="Calibri"/>
          <w:color w:val="000000"/>
          <w:sz w:val="28"/>
          <w:szCs w:val="28"/>
          <w:vertAlign w:val="superscript"/>
        </w:rPr>
        <w:t>уст</w:t>
      </w:r>
      <w:r w:rsidRPr="002016DC">
        <w:rPr>
          <w:rFonts w:eastAsia="Calibri"/>
          <w:color w:val="000000"/>
          <w:sz w:val="28"/>
          <w:szCs w:val="28"/>
        </w:rPr>
        <w:t>*К</w:t>
      </w:r>
      <w:r w:rsidRPr="002016DC">
        <w:rPr>
          <w:rFonts w:eastAsia="Calibri"/>
          <w:color w:val="000000"/>
          <w:sz w:val="28"/>
          <w:szCs w:val="28"/>
          <w:vertAlign w:val="subscript"/>
        </w:rPr>
        <w:t>3</w:t>
      </w:r>
      <w:r w:rsidRPr="002016DC">
        <w:rPr>
          <w:rFonts w:eastAsia="Calibri"/>
          <w:color w:val="000000"/>
          <w:sz w:val="28"/>
          <w:szCs w:val="28"/>
        </w:rPr>
        <w:t>) - П</w:t>
      </w:r>
      <w:r w:rsidRPr="002016DC">
        <w:rPr>
          <w:rFonts w:eastAsia="Calibri"/>
          <w:color w:val="000000"/>
          <w:sz w:val="28"/>
          <w:szCs w:val="28"/>
          <w:vertAlign w:val="subscript"/>
        </w:rPr>
        <w:t>ар</w:t>
      </w:r>
      <w:r w:rsidRPr="002016DC">
        <w:rPr>
          <w:rFonts w:eastAsia="Calibri"/>
          <w:color w:val="000000"/>
          <w:sz w:val="28"/>
          <w:szCs w:val="28"/>
          <w:vertAlign w:val="superscript"/>
        </w:rPr>
        <w:t>уст</w:t>
      </w:r>
      <w:r w:rsidRPr="002016DC">
        <w:rPr>
          <w:color w:val="000000"/>
          <w:sz w:val="28"/>
          <w:szCs w:val="28"/>
        </w:rPr>
        <w:t>:</w:t>
      </w:r>
    </w:p>
    <w:p w:rsidR="00CE1891" w:rsidRPr="004448B3" w:rsidRDefault="00CE1891" w:rsidP="00CE1891">
      <w:pPr>
        <w:ind w:firstLine="708"/>
        <w:jc w:val="both"/>
        <w:rPr>
          <w:sz w:val="28"/>
          <w:szCs w:val="28"/>
        </w:rPr>
      </w:pPr>
    </w:p>
    <w:p w:rsidR="00CE1891" w:rsidRPr="00C157F9" w:rsidRDefault="00CE1891" w:rsidP="00CE1891">
      <w:pPr>
        <w:rPr>
          <w:rFonts w:eastAsia="Calibri"/>
          <w:sz w:val="28"/>
        </w:rPr>
      </w:pPr>
      <w:r w:rsidRPr="004448B3">
        <w:t>П</w:t>
      </w:r>
      <w:r w:rsidRPr="004448B3">
        <w:rPr>
          <w:vertAlign w:val="subscript"/>
        </w:rPr>
        <w:t>ар</w:t>
      </w:r>
      <w:r w:rsidRPr="004448B3">
        <w:rPr>
          <w:vertAlign w:val="superscript"/>
        </w:rPr>
        <w:t>инв</w:t>
      </w:r>
      <w:r w:rsidRPr="004448B3">
        <w:rPr>
          <w:sz w:val="28"/>
          <w:szCs w:val="28"/>
        </w:rPr>
        <w:t xml:space="preserve"> =(</w:t>
      </w:r>
      <w:r w:rsidRPr="002016DC">
        <w:rPr>
          <w:rFonts w:eastAsia="Calibri"/>
          <w:color w:val="000000"/>
          <w:sz w:val="28"/>
          <w:szCs w:val="28"/>
        </w:rPr>
        <w:t xml:space="preserve">213 967 095,6 </w:t>
      </w:r>
      <w:r w:rsidRPr="004448B3">
        <w:rPr>
          <w:sz w:val="28"/>
          <w:szCs w:val="28"/>
        </w:rPr>
        <w:t>*</w:t>
      </w:r>
      <w:r>
        <w:rPr>
          <w:rFonts w:eastAsia="Calibri"/>
          <w:sz w:val="28"/>
        </w:rPr>
        <w:t>1,73473</w:t>
      </w:r>
      <w:r w:rsidRPr="004448B3">
        <w:rPr>
          <w:sz w:val="28"/>
          <w:szCs w:val="28"/>
        </w:rPr>
        <w:t>) –</w:t>
      </w:r>
      <w:r w:rsidRPr="002016DC">
        <w:rPr>
          <w:rFonts w:eastAsia="Calibri"/>
          <w:color w:val="000000"/>
          <w:sz w:val="28"/>
          <w:szCs w:val="28"/>
        </w:rPr>
        <w:t xml:space="preserve">213 967 095,6 </w:t>
      </w:r>
      <w:r w:rsidRPr="004448B3">
        <w:rPr>
          <w:sz w:val="28"/>
          <w:szCs w:val="28"/>
        </w:rPr>
        <w:t>=</w:t>
      </w:r>
      <w:r>
        <w:rPr>
          <w:sz w:val="28"/>
          <w:szCs w:val="28"/>
        </w:rPr>
        <w:t>157 208 044,15</w:t>
      </w:r>
      <w:r w:rsidRPr="004448B3">
        <w:rPr>
          <w:sz w:val="28"/>
          <w:szCs w:val="28"/>
        </w:rPr>
        <w:t xml:space="preserve"> </w:t>
      </w:r>
      <w:r>
        <w:rPr>
          <w:sz w:val="28"/>
          <w:szCs w:val="28"/>
        </w:rPr>
        <w:t>руб.</w:t>
      </w:r>
      <w:r w:rsidRPr="004448B3">
        <w:rPr>
          <w:sz w:val="28"/>
          <w:szCs w:val="28"/>
        </w:rPr>
        <w:t xml:space="preserve"> </w:t>
      </w:r>
    </w:p>
    <w:p w:rsidR="00CE1891" w:rsidRPr="004448B3" w:rsidRDefault="00CE1891" w:rsidP="00CE1891">
      <w:pPr>
        <w:ind w:firstLine="708"/>
        <w:jc w:val="both"/>
        <w:rPr>
          <w:sz w:val="28"/>
          <w:szCs w:val="28"/>
        </w:rPr>
      </w:pPr>
      <w:r w:rsidRPr="004448B3">
        <w:rPr>
          <w:sz w:val="28"/>
          <w:szCs w:val="28"/>
        </w:rPr>
        <w:t>Заключение новых договоров аренды по заготовке древесины в 202</w:t>
      </w:r>
      <w:r>
        <w:rPr>
          <w:sz w:val="28"/>
          <w:szCs w:val="28"/>
        </w:rPr>
        <w:t xml:space="preserve">4 </w:t>
      </w:r>
      <w:r w:rsidRPr="004448B3">
        <w:rPr>
          <w:sz w:val="28"/>
          <w:szCs w:val="28"/>
        </w:rPr>
        <w:t>году не планируется.</w:t>
      </w:r>
    </w:p>
    <w:p w:rsidR="00CE1891" w:rsidRPr="0073094B" w:rsidRDefault="00CE1891" w:rsidP="00CE1891">
      <w:pPr>
        <w:tabs>
          <w:tab w:val="left" w:pos="709"/>
        </w:tabs>
        <w:autoSpaceDE w:val="0"/>
        <w:autoSpaceDN w:val="0"/>
        <w:adjustRightInd w:val="0"/>
        <w:ind w:firstLine="709"/>
        <w:jc w:val="both"/>
        <w:rPr>
          <w:b/>
          <w:sz w:val="28"/>
          <w:szCs w:val="28"/>
        </w:rPr>
      </w:pPr>
      <w:r w:rsidRPr="0073094B">
        <w:rPr>
          <w:b/>
          <w:sz w:val="28"/>
          <w:szCs w:val="28"/>
        </w:rPr>
        <w:t>Плата по виду деятельности - рекреационная деятельность -   рассчитывается по следующей формуле:</w:t>
      </w:r>
    </w:p>
    <w:p w:rsidR="00CE1891" w:rsidRPr="00FE4DD4" w:rsidRDefault="00CE1891" w:rsidP="00CE1891">
      <w:pPr>
        <w:widowControl w:val="0"/>
        <w:ind w:firstLine="709"/>
        <w:rPr>
          <w:b/>
          <w:iCs/>
          <w:color w:val="000000"/>
          <w:sz w:val="28"/>
          <w:szCs w:val="28"/>
          <w:lang w:bidi="ru-RU"/>
        </w:rPr>
      </w:pPr>
      <w:r w:rsidRPr="00FE4DD4">
        <w:rPr>
          <w:b/>
          <w:iCs/>
          <w:color w:val="000000"/>
          <w:sz w:val="28"/>
          <w:szCs w:val="28"/>
          <w:lang w:bidi="ru-RU"/>
        </w:rPr>
        <w:t>Определение ожидаемой оценки на 2021 год</w:t>
      </w:r>
    </w:p>
    <w:p w:rsidR="00CE1891" w:rsidRPr="00464704" w:rsidRDefault="00CE1891" w:rsidP="00CE1891">
      <w:pPr>
        <w:widowControl w:val="0"/>
        <w:ind w:firstLine="709"/>
        <w:jc w:val="center"/>
        <w:rPr>
          <w:iCs/>
          <w:color w:val="000000"/>
          <w:sz w:val="28"/>
          <w:szCs w:val="28"/>
          <w:lang w:bidi="en-US"/>
        </w:rPr>
      </w:pPr>
      <w:r w:rsidRPr="00464704">
        <w:rPr>
          <w:iCs/>
          <w:color w:val="000000"/>
          <w:sz w:val="28"/>
          <w:szCs w:val="28"/>
          <w:lang w:bidi="ru-RU"/>
        </w:rPr>
        <w:lastRenderedPageBreak/>
        <w:t>П</w:t>
      </w:r>
      <w:r w:rsidRPr="00464704">
        <w:rPr>
          <w:iCs/>
          <w:color w:val="000000"/>
          <w:sz w:val="28"/>
          <w:szCs w:val="28"/>
          <w:vertAlign w:val="subscript"/>
          <w:lang w:bidi="ru-RU"/>
        </w:rPr>
        <w:t>ар</w:t>
      </w:r>
      <w:r w:rsidRPr="00464704">
        <w:rPr>
          <w:iCs/>
          <w:color w:val="000000"/>
          <w:sz w:val="28"/>
          <w:szCs w:val="28"/>
          <w:vertAlign w:val="superscript"/>
          <w:lang w:bidi="ru-RU"/>
        </w:rPr>
        <w:t>обл</w:t>
      </w:r>
      <w:r w:rsidRPr="00464704">
        <w:rPr>
          <w:iCs/>
          <w:color w:val="000000"/>
          <w:sz w:val="28"/>
          <w:szCs w:val="28"/>
          <w:lang w:bidi="en-US"/>
        </w:rPr>
        <w:t xml:space="preserve"> = (</w:t>
      </w:r>
      <w:r w:rsidRPr="00464704">
        <w:rPr>
          <w:iCs/>
          <w:color w:val="000000"/>
          <w:sz w:val="28"/>
          <w:szCs w:val="28"/>
          <w:lang w:val="en-US" w:bidi="en-US"/>
        </w:rPr>
        <w:t>Cs</w:t>
      </w:r>
      <w:r w:rsidRPr="00E5287F">
        <w:rPr>
          <w:iCs/>
          <w:color w:val="000000"/>
          <w:sz w:val="28"/>
          <w:szCs w:val="28"/>
          <w:lang w:bidi="en-US"/>
        </w:rPr>
        <w:t xml:space="preserve"> </w:t>
      </w:r>
      <w:r w:rsidRPr="00464704">
        <w:rPr>
          <w:iCs/>
          <w:color w:val="000000"/>
          <w:sz w:val="28"/>
          <w:szCs w:val="28"/>
          <w:vertAlign w:val="superscript"/>
          <w:lang w:val="en-US" w:bidi="en-US"/>
        </w:rPr>
        <w:t>ap</w:t>
      </w:r>
      <w:r w:rsidRPr="00464704">
        <w:rPr>
          <w:iCs/>
          <w:color w:val="000000"/>
          <w:sz w:val="28"/>
          <w:szCs w:val="28"/>
          <w:lang w:bidi="en-US"/>
        </w:rPr>
        <w:t>*</w:t>
      </w:r>
      <w:r w:rsidRPr="00464704">
        <w:rPr>
          <w:iCs/>
          <w:color w:val="000000"/>
          <w:sz w:val="28"/>
          <w:szCs w:val="28"/>
          <w:lang w:val="en-US" w:bidi="en-US"/>
        </w:rPr>
        <w:t>K</w:t>
      </w:r>
      <w:r w:rsidRPr="00464704">
        <w:rPr>
          <w:iCs/>
          <w:color w:val="000000"/>
          <w:sz w:val="28"/>
          <w:szCs w:val="28"/>
          <w:vertAlign w:val="subscript"/>
          <w:lang w:bidi="en-US"/>
        </w:rPr>
        <w:t>2</w:t>
      </w:r>
      <w:r w:rsidRPr="00464704">
        <w:rPr>
          <w:iCs/>
          <w:color w:val="000000"/>
          <w:sz w:val="28"/>
          <w:szCs w:val="28"/>
          <w:lang w:bidi="en-US"/>
        </w:rPr>
        <w:t>)*</w:t>
      </w:r>
      <w:r w:rsidRPr="00464704">
        <w:rPr>
          <w:iCs/>
          <w:color w:val="000000"/>
          <w:sz w:val="28"/>
          <w:szCs w:val="28"/>
          <w:lang w:val="en-US" w:bidi="en-US"/>
        </w:rPr>
        <w:t>S</w:t>
      </w:r>
      <w:r w:rsidRPr="00464704">
        <w:rPr>
          <w:iCs/>
          <w:color w:val="000000"/>
          <w:sz w:val="28"/>
          <w:szCs w:val="28"/>
          <w:vertAlign w:val="superscript"/>
          <w:lang w:val="en-US" w:bidi="en-US"/>
        </w:rPr>
        <w:t>cp</w:t>
      </w:r>
      <w:r w:rsidRPr="00464704">
        <w:rPr>
          <w:iCs/>
          <w:color w:val="000000"/>
          <w:sz w:val="28"/>
          <w:szCs w:val="28"/>
          <w:vertAlign w:val="subscript"/>
          <w:lang w:val="en-US" w:bidi="en-US"/>
        </w:rPr>
        <w:t>ap</w:t>
      </w:r>
      <w:r w:rsidRPr="00E5287F">
        <w:rPr>
          <w:iCs/>
          <w:color w:val="000000"/>
          <w:sz w:val="28"/>
          <w:szCs w:val="28"/>
          <w:lang w:bidi="en-US"/>
        </w:rPr>
        <w:t>*</w:t>
      </w:r>
      <w:r>
        <w:rPr>
          <w:iCs/>
          <w:color w:val="000000"/>
          <w:sz w:val="28"/>
          <w:szCs w:val="28"/>
          <w:lang w:bidi="en-US"/>
        </w:rPr>
        <w:t>Т</w:t>
      </w:r>
      <w:r>
        <w:rPr>
          <w:iCs/>
          <w:color w:val="000000"/>
          <w:sz w:val="28"/>
          <w:szCs w:val="28"/>
          <w:vertAlign w:val="superscript"/>
          <w:lang w:bidi="en-US"/>
        </w:rPr>
        <w:t>ср</w:t>
      </w:r>
      <w:r w:rsidRPr="00227520">
        <w:rPr>
          <w:iCs/>
          <w:color w:val="000000"/>
          <w:sz w:val="28"/>
          <w:szCs w:val="28"/>
          <w:vertAlign w:val="subscript"/>
          <w:lang w:val="en-US" w:bidi="en-US"/>
        </w:rPr>
        <w:t>Sap</w:t>
      </w:r>
      <w:r w:rsidRPr="00227520">
        <w:rPr>
          <w:iCs/>
          <w:color w:val="000000"/>
          <w:sz w:val="28"/>
          <w:szCs w:val="28"/>
          <w:vertAlign w:val="subscript"/>
          <w:lang w:bidi="en-US"/>
        </w:rPr>
        <w:t xml:space="preserve"> </w:t>
      </w:r>
    </w:p>
    <w:p w:rsidR="00CE1891" w:rsidRPr="003D3489" w:rsidRDefault="00CE1891" w:rsidP="00CE1891">
      <w:pPr>
        <w:ind w:firstLine="709"/>
        <w:jc w:val="center"/>
        <w:rPr>
          <w:sz w:val="28"/>
          <w:szCs w:val="28"/>
        </w:rPr>
      </w:pPr>
      <w:r w:rsidRPr="003D3489">
        <w:rPr>
          <w:sz w:val="28"/>
          <w:szCs w:val="28"/>
        </w:rPr>
        <w:t>11504,5=(10,2*2,35)*</w:t>
      </w:r>
      <w:r w:rsidRPr="003D3489">
        <w:t xml:space="preserve"> </w:t>
      </w:r>
      <w:r w:rsidRPr="003D3489">
        <w:rPr>
          <w:sz w:val="28"/>
          <w:szCs w:val="28"/>
        </w:rPr>
        <w:t>545,4 *0,88</w:t>
      </w:r>
    </w:p>
    <w:p w:rsidR="00CE1891" w:rsidRPr="003D3489" w:rsidRDefault="00CE1891" w:rsidP="00CE1891">
      <w:pPr>
        <w:ind w:firstLine="709"/>
        <w:jc w:val="both"/>
        <w:rPr>
          <w:sz w:val="28"/>
          <w:szCs w:val="28"/>
        </w:rPr>
      </w:pPr>
      <w:r w:rsidRPr="003D3489">
        <w:rPr>
          <w:sz w:val="28"/>
          <w:szCs w:val="28"/>
        </w:rPr>
        <w:t>где:</w:t>
      </w:r>
    </w:p>
    <w:p w:rsidR="00CE1891" w:rsidRDefault="00CE1891" w:rsidP="00CE1891">
      <w:pPr>
        <w:ind w:firstLine="709"/>
        <w:jc w:val="both"/>
        <w:rPr>
          <w:iCs/>
          <w:sz w:val="28"/>
          <w:szCs w:val="28"/>
          <w:lang w:bidi="ru-RU"/>
        </w:rPr>
      </w:pPr>
      <w:r>
        <w:rPr>
          <w:iCs/>
          <w:sz w:val="28"/>
          <w:szCs w:val="28"/>
          <w:lang w:bidi="ru-RU"/>
        </w:rPr>
        <w:t>Cs</w:t>
      </w:r>
      <w:r w:rsidRPr="00E5287F">
        <w:rPr>
          <w:iCs/>
          <w:sz w:val="28"/>
          <w:szCs w:val="28"/>
          <w:lang w:bidi="ru-RU"/>
        </w:rPr>
        <w:t xml:space="preserve"> </w:t>
      </w:r>
      <w:r w:rsidRPr="00E5287F">
        <w:rPr>
          <w:iCs/>
          <w:sz w:val="28"/>
          <w:szCs w:val="28"/>
          <w:vertAlign w:val="superscript"/>
          <w:lang w:bidi="ru-RU"/>
        </w:rPr>
        <w:t>ap</w:t>
      </w:r>
      <w:r w:rsidRPr="00E5287F">
        <w:rPr>
          <w:iCs/>
          <w:sz w:val="28"/>
          <w:szCs w:val="28"/>
          <w:lang w:bidi="ru-RU"/>
        </w:rPr>
        <w:t xml:space="preserve"> </w:t>
      </w:r>
      <w:r w:rsidRPr="00464704">
        <w:rPr>
          <w:i/>
          <w:iCs/>
          <w:sz w:val="28"/>
          <w:szCs w:val="28"/>
          <w:lang w:bidi="ru-RU"/>
        </w:rPr>
        <w:t>-</w:t>
      </w:r>
      <w:r w:rsidRPr="00E5287F">
        <w:rPr>
          <w:iCs/>
          <w:sz w:val="28"/>
          <w:szCs w:val="28"/>
          <w:lang w:bidi="ru-RU"/>
        </w:rPr>
        <w:t xml:space="preserve"> </w:t>
      </w:r>
      <w:r w:rsidRPr="00434C7F">
        <w:rPr>
          <w:iCs/>
          <w:sz w:val="28"/>
          <w:szCs w:val="28"/>
          <w:lang w:bidi="ru-RU"/>
        </w:rPr>
        <w:t xml:space="preserve">средняя  плата, превышающая минимальные ставки платы, </w:t>
      </w:r>
      <w:r w:rsidRPr="00E5287F">
        <w:rPr>
          <w:iCs/>
          <w:sz w:val="28"/>
          <w:szCs w:val="28"/>
          <w:lang w:bidi="ru-RU"/>
        </w:rPr>
        <w:t>за единицу площади лесного участка, находящегося в федеральной собственности, по договорам аренды, сложившаяся по итогам предыдущего финансового года и приведенная к уровню 2007 года (</w:t>
      </w:r>
      <w:r w:rsidRPr="003D3489">
        <w:rPr>
          <w:iCs/>
          <w:sz w:val="28"/>
          <w:szCs w:val="28"/>
          <w:lang w:bidi="ru-RU"/>
        </w:rPr>
        <w:t>руб.), 10,2 тыс. руб</w:t>
      </w:r>
      <w:r w:rsidRPr="00E5287F">
        <w:rPr>
          <w:iCs/>
          <w:sz w:val="28"/>
          <w:szCs w:val="28"/>
          <w:lang w:bidi="ru-RU"/>
        </w:rPr>
        <w:t>.</w:t>
      </w:r>
      <w:r>
        <w:rPr>
          <w:iCs/>
          <w:sz w:val="28"/>
          <w:szCs w:val="28"/>
          <w:lang w:bidi="ru-RU"/>
        </w:rPr>
        <w:t>:</w:t>
      </w:r>
    </w:p>
    <w:p w:rsidR="00CE1891" w:rsidRDefault="00CE1891" w:rsidP="00CE1891">
      <w:pPr>
        <w:ind w:firstLine="709"/>
        <w:jc w:val="both"/>
        <w:rPr>
          <w:iCs/>
          <w:sz w:val="28"/>
          <w:szCs w:val="28"/>
          <w:lang w:bidi="ru-RU"/>
        </w:rPr>
      </w:pPr>
    </w:p>
    <w:p w:rsidR="00CE1891" w:rsidRPr="003D3489" w:rsidRDefault="00CE1891" w:rsidP="00CE1891">
      <w:pPr>
        <w:widowControl w:val="0"/>
        <w:ind w:firstLine="709"/>
        <w:jc w:val="center"/>
        <w:rPr>
          <w:rFonts w:eastAsia="Constantia"/>
          <w:iCs/>
          <w:sz w:val="28"/>
          <w:szCs w:val="28"/>
          <w:vertAlign w:val="subscript"/>
          <w:lang w:bidi="ru-RU"/>
        </w:rPr>
      </w:pPr>
      <w:r w:rsidRPr="003D3489">
        <w:rPr>
          <w:sz w:val="28"/>
          <w:szCs w:val="28"/>
        </w:rPr>
        <w:t>C</w:t>
      </w:r>
      <w:r w:rsidRPr="003D3489">
        <w:rPr>
          <w:sz w:val="28"/>
          <w:szCs w:val="28"/>
          <w:lang w:val="en-US"/>
        </w:rPr>
        <w:t>s</w:t>
      </w:r>
      <w:r w:rsidRPr="003D3489">
        <w:rPr>
          <w:sz w:val="28"/>
          <w:szCs w:val="28"/>
          <w:vertAlign w:val="superscript"/>
        </w:rPr>
        <w:t>ap</w:t>
      </w:r>
      <w:r w:rsidRPr="003D3489">
        <w:rPr>
          <w:sz w:val="28"/>
          <w:szCs w:val="28"/>
        </w:rPr>
        <w:t>= П</w:t>
      </w:r>
      <w:r w:rsidRPr="003D3489">
        <w:rPr>
          <w:sz w:val="28"/>
          <w:szCs w:val="28"/>
          <w:vertAlign w:val="subscript"/>
        </w:rPr>
        <w:t>ар</w:t>
      </w:r>
      <w:r w:rsidRPr="003D3489">
        <w:rPr>
          <w:sz w:val="28"/>
          <w:szCs w:val="28"/>
          <w:lang w:val="en-US"/>
        </w:rPr>
        <w:t>s</w:t>
      </w:r>
      <w:r w:rsidRPr="003D3489">
        <w:rPr>
          <w:sz w:val="28"/>
          <w:szCs w:val="28"/>
          <w:vertAlign w:val="superscript"/>
        </w:rPr>
        <w:t>причОБ</w:t>
      </w:r>
      <w:r w:rsidRPr="003D3489">
        <w:rPr>
          <w:rFonts w:eastAsia="Constantia"/>
          <w:i/>
          <w:iCs/>
          <w:sz w:val="28"/>
          <w:szCs w:val="28"/>
        </w:rPr>
        <w:t>/</w:t>
      </w:r>
      <w:r w:rsidRPr="003D3489">
        <w:rPr>
          <w:rFonts w:eastAsia="Constantia"/>
          <w:iCs/>
          <w:sz w:val="28"/>
          <w:szCs w:val="28"/>
          <w:lang w:val="en-US" w:bidi="en-US"/>
        </w:rPr>
        <w:t>S</w:t>
      </w:r>
      <w:r w:rsidRPr="003D3489">
        <w:rPr>
          <w:rFonts w:eastAsia="Constantia"/>
          <w:iCs/>
          <w:sz w:val="28"/>
          <w:szCs w:val="28"/>
          <w:vertAlign w:val="subscript"/>
          <w:lang w:val="en-US" w:bidi="en-US"/>
        </w:rPr>
        <w:t>ap</w:t>
      </w:r>
      <w:r w:rsidRPr="003D3489">
        <w:rPr>
          <w:sz w:val="28"/>
          <w:szCs w:val="28"/>
          <w:vertAlign w:val="superscript"/>
        </w:rPr>
        <w:t>предост</w:t>
      </w:r>
      <w:r w:rsidRPr="003D3489">
        <w:rPr>
          <w:rFonts w:eastAsia="Constantia"/>
          <w:iCs/>
          <w:sz w:val="28"/>
          <w:szCs w:val="28"/>
        </w:rPr>
        <w:t>/</w:t>
      </w:r>
      <w:r w:rsidRPr="003D3489">
        <w:rPr>
          <w:rFonts w:eastAsia="Constantia"/>
          <w:iCs/>
          <w:sz w:val="28"/>
          <w:szCs w:val="28"/>
          <w:lang w:val="en-US" w:bidi="en-US"/>
        </w:rPr>
        <w:t>K</w:t>
      </w:r>
      <w:r w:rsidRPr="003D3489">
        <w:rPr>
          <w:sz w:val="28"/>
          <w:szCs w:val="28"/>
          <w:shd w:val="clear" w:color="auto" w:fill="FFFFFF"/>
          <w:vertAlign w:val="subscript"/>
        </w:rPr>
        <w:t>2</w:t>
      </w:r>
      <w:r w:rsidRPr="003D3489">
        <w:rPr>
          <w:rFonts w:eastAsia="Constantia"/>
          <w:iCs/>
          <w:sz w:val="28"/>
          <w:szCs w:val="28"/>
          <w:lang w:bidi="en-US"/>
        </w:rPr>
        <w:t xml:space="preserve"> </w:t>
      </w:r>
      <w:r w:rsidRPr="003D3489">
        <w:rPr>
          <w:rFonts w:eastAsia="Constantia"/>
          <w:iCs/>
          <w:sz w:val="28"/>
          <w:szCs w:val="28"/>
          <w:vertAlign w:val="subscript"/>
          <w:lang w:bidi="ru-RU"/>
        </w:rPr>
        <w:t>пред год</w:t>
      </w:r>
    </w:p>
    <w:p w:rsidR="00CE1891" w:rsidRPr="003D3489" w:rsidRDefault="00CE1891" w:rsidP="00CE1891">
      <w:pPr>
        <w:widowControl w:val="0"/>
        <w:ind w:firstLine="709"/>
        <w:jc w:val="center"/>
        <w:rPr>
          <w:sz w:val="28"/>
          <w:szCs w:val="28"/>
          <w:lang w:bidi="ru-RU"/>
        </w:rPr>
      </w:pPr>
      <w:r w:rsidRPr="003D3489">
        <w:rPr>
          <w:sz w:val="28"/>
          <w:szCs w:val="28"/>
          <w:lang w:bidi="ru-RU"/>
        </w:rPr>
        <w:t xml:space="preserve">10,2=11765,8 /509,4 /2,26 </w:t>
      </w:r>
    </w:p>
    <w:p w:rsidR="00CE1891" w:rsidRPr="003D3489" w:rsidRDefault="00CE1891" w:rsidP="00CE1891">
      <w:pPr>
        <w:widowControl w:val="0"/>
        <w:ind w:firstLine="709"/>
        <w:jc w:val="both"/>
        <w:rPr>
          <w:sz w:val="28"/>
          <w:szCs w:val="28"/>
        </w:rPr>
      </w:pPr>
      <w:r w:rsidRPr="003D3489">
        <w:rPr>
          <w:sz w:val="28"/>
          <w:szCs w:val="28"/>
          <w:lang w:bidi="ru-RU"/>
        </w:rPr>
        <w:t>где:</w:t>
      </w:r>
    </w:p>
    <w:p w:rsidR="00CE1891" w:rsidRPr="00464704" w:rsidRDefault="00CE1891" w:rsidP="00CE1891">
      <w:pPr>
        <w:widowControl w:val="0"/>
        <w:ind w:firstLine="709"/>
        <w:jc w:val="both"/>
        <w:rPr>
          <w:sz w:val="28"/>
          <w:szCs w:val="28"/>
        </w:rPr>
      </w:pPr>
      <w:r w:rsidRPr="00464704">
        <w:rPr>
          <w:color w:val="000000"/>
          <w:sz w:val="28"/>
          <w:szCs w:val="28"/>
        </w:rPr>
        <w:t>П</w:t>
      </w:r>
      <w:r w:rsidRPr="00464704">
        <w:rPr>
          <w:color w:val="000000"/>
          <w:sz w:val="28"/>
          <w:szCs w:val="28"/>
          <w:vertAlign w:val="subscript"/>
        </w:rPr>
        <w:t>ар</w:t>
      </w:r>
      <w:r w:rsidRPr="00464704">
        <w:rPr>
          <w:color w:val="000000"/>
          <w:sz w:val="28"/>
          <w:szCs w:val="28"/>
          <w:lang w:val="en-US"/>
        </w:rPr>
        <w:t>s</w:t>
      </w:r>
      <w:r w:rsidRPr="00464704">
        <w:rPr>
          <w:color w:val="000000"/>
          <w:sz w:val="28"/>
          <w:szCs w:val="28"/>
          <w:vertAlign w:val="superscript"/>
        </w:rPr>
        <w:t>причОБ</w:t>
      </w:r>
      <w:r w:rsidRPr="00464704">
        <w:rPr>
          <w:rFonts w:eastAsia="Constantia"/>
          <w:i/>
          <w:iCs/>
          <w:color w:val="000000"/>
          <w:sz w:val="28"/>
          <w:szCs w:val="28"/>
          <w:lang w:bidi="ru-RU"/>
        </w:rPr>
        <w:t xml:space="preserve"> -</w:t>
      </w:r>
      <w:r w:rsidRPr="00464704">
        <w:rPr>
          <w:color w:val="000000"/>
          <w:sz w:val="28"/>
          <w:szCs w:val="28"/>
          <w:lang w:bidi="ru-RU"/>
        </w:rPr>
        <w:t xml:space="preserve"> причитающийся в областной бюджет объем платежей за предоставленную площадь лесных участков по договорам аренды лесных участков, </w:t>
      </w:r>
      <w:r w:rsidRPr="00A61284">
        <w:rPr>
          <w:sz w:val="28"/>
          <w:szCs w:val="28"/>
          <w:lang w:bidi="ru-RU"/>
        </w:rPr>
        <w:t>находящихся в федеральной собственности, в предыдущем году (тыс. руб.), 11765,8 тыс</w:t>
      </w:r>
      <w:r w:rsidRPr="00464704">
        <w:rPr>
          <w:color w:val="000000"/>
          <w:sz w:val="28"/>
          <w:szCs w:val="28"/>
          <w:lang w:bidi="ru-RU"/>
        </w:rPr>
        <w:t>. руб.;</w:t>
      </w:r>
    </w:p>
    <w:p w:rsidR="00CE1891" w:rsidRPr="00A61284" w:rsidRDefault="00CE1891" w:rsidP="00CE1891">
      <w:pPr>
        <w:widowControl w:val="0"/>
        <w:ind w:firstLine="709"/>
        <w:jc w:val="both"/>
        <w:rPr>
          <w:sz w:val="28"/>
          <w:szCs w:val="28"/>
        </w:rPr>
      </w:pPr>
      <w:r w:rsidRPr="00464704">
        <w:rPr>
          <w:rFonts w:eastAsia="Constantia"/>
          <w:iCs/>
          <w:color w:val="000000"/>
          <w:sz w:val="28"/>
          <w:szCs w:val="28"/>
          <w:lang w:val="en-US" w:bidi="en-US"/>
        </w:rPr>
        <w:t>S</w:t>
      </w:r>
      <w:r w:rsidRPr="00464704">
        <w:rPr>
          <w:rFonts w:eastAsia="Constantia"/>
          <w:iCs/>
          <w:color w:val="000000"/>
          <w:sz w:val="28"/>
          <w:szCs w:val="28"/>
          <w:vertAlign w:val="subscript"/>
          <w:lang w:val="en-US" w:bidi="en-US"/>
        </w:rPr>
        <w:t>ap</w:t>
      </w:r>
      <w:r w:rsidRPr="00464704">
        <w:rPr>
          <w:rFonts w:eastAsia="Constantia"/>
          <w:iCs/>
          <w:color w:val="000000"/>
          <w:sz w:val="28"/>
          <w:szCs w:val="28"/>
          <w:lang w:bidi="en-US"/>
        </w:rPr>
        <w:t xml:space="preserve"> </w:t>
      </w:r>
      <w:r w:rsidRPr="00464704">
        <w:rPr>
          <w:rFonts w:eastAsia="Constantia"/>
          <w:iCs/>
          <w:color w:val="000000"/>
          <w:sz w:val="28"/>
          <w:szCs w:val="28"/>
          <w:vertAlign w:val="superscript"/>
          <w:lang w:bidi="ru-RU"/>
        </w:rPr>
        <w:t>предост</w:t>
      </w:r>
      <w:r w:rsidRPr="00464704">
        <w:rPr>
          <w:rFonts w:eastAsia="Constantia"/>
          <w:i/>
          <w:iCs/>
          <w:color w:val="000000"/>
          <w:sz w:val="28"/>
          <w:szCs w:val="28"/>
          <w:lang w:bidi="ru-RU"/>
        </w:rPr>
        <w:t xml:space="preserve"> -</w:t>
      </w:r>
      <w:r w:rsidRPr="00464704">
        <w:rPr>
          <w:color w:val="000000"/>
          <w:sz w:val="28"/>
          <w:szCs w:val="28"/>
          <w:lang w:bidi="ru-RU"/>
        </w:rPr>
        <w:t xml:space="preserve"> площадь лесных участков, находящихся в федеральной собственности, предоставленных по договорам аренды, в предыдущем году (гектар</w:t>
      </w:r>
      <w:r w:rsidRPr="00A61284">
        <w:rPr>
          <w:sz w:val="28"/>
          <w:szCs w:val="28"/>
          <w:lang w:bidi="ru-RU"/>
        </w:rPr>
        <w:t>), 509,4 га;</w:t>
      </w:r>
    </w:p>
    <w:p w:rsidR="00CE1891" w:rsidRPr="00E5287F" w:rsidRDefault="00CE1891" w:rsidP="00CE1891">
      <w:pPr>
        <w:widowControl w:val="0"/>
        <w:ind w:firstLine="709"/>
        <w:jc w:val="both"/>
        <w:rPr>
          <w:iCs/>
          <w:sz w:val="28"/>
          <w:szCs w:val="28"/>
          <w:lang w:bidi="ru-RU"/>
        </w:rPr>
      </w:pPr>
      <w:r w:rsidRPr="00A61284">
        <w:rPr>
          <w:rFonts w:eastAsia="Constantia"/>
          <w:iCs/>
          <w:sz w:val="28"/>
          <w:szCs w:val="28"/>
          <w:lang w:val="en-US" w:bidi="en-US"/>
        </w:rPr>
        <w:t>K</w:t>
      </w:r>
      <w:r w:rsidRPr="00A61284">
        <w:rPr>
          <w:sz w:val="28"/>
          <w:szCs w:val="28"/>
          <w:shd w:val="clear" w:color="auto" w:fill="FFFFFF"/>
          <w:vertAlign w:val="subscript"/>
        </w:rPr>
        <w:t>2</w:t>
      </w:r>
      <w:r w:rsidRPr="00A61284">
        <w:rPr>
          <w:rFonts w:eastAsia="Constantia"/>
          <w:iCs/>
          <w:sz w:val="28"/>
          <w:szCs w:val="28"/>
          <w:lang w:bidi="en-US"/>
        </w:rPr>
        <w:t xml:space="preserve"> </w:t>
      </w:r>
      <w:r w:rsidRPr="00A61284">
        <w:rPr>
          <w:rFonts w:eastAsia="Constantia"/>
          <w:iCs/>
          <w:sz w:val="28"/>
          <w:szCs w:val="28"/>
          <w:vertAlign w:val="subscript"/>
          <w:lang w:bidi="ru-RU"/>
        </w:rPr>
        <w:t>пред год</w:t>
      </w:r>
      <w:r w:rsidRPr="00A61284">
        <w:rPr>
          <w:rFonts w:eastAsia="Constantia"/>
          <w:i/>
          <w:iCs/>
          <w:sz w:val="28"/>
          <w:szCs w:val="28"/>
          <w:lang w:bidi="ru-RU"/>
        </w:rPr>
        <w:t xml:space="preserve"> -</w:t>
      </w:r>
      <w:r w:rsidRPr="00A61284">
        <w:rPr>
          <w:sz w:val="28"/>
          <w:szCs w:val="28"/>
          <w:lang w:bidi="ru-RU"/>
        </w:rPr>
        <w:t xml:space="preserve"> коэффициент </w:t>
      </w:r>
      <w:r w:rsidRPr="00464704">
        <w:rPr>
          <w:color w:val="000000"/>
          <w:sz w:val="28"/>
          <w:szCs w:val="28"/>
          <w:lang w:bidi="ru-RU"/>
        </w:rPr>
        <w:t>к ставкам платы за единицу площади лесного участка, находящегося в федеральной собственности, установленный Правительством Ро</w:t>
      </w:r>
      <w:r>
        <w:rPr>
          <w:color w:val="000000"/>
          <w:sz w:val="28"/>
          <w:szCs w:val="28"/>
          <w:lang w:bidi="ru-RU"/>
        </w:rPr>
        <w:t xml:space="preserve">ссийской Федерации в предыдущем </w:t>
      </w:r>
      <w:r w:rsidRPr="00464704">
        <w:rPr>
          <w:color w:val="000000"/>
          <w:sz w:val="28"/>
          <w:szCs w:val="28"/>
          <w:lang w:bidi="ru-RU"/>
        </w:rPr>
        <w:t xml:space="preserve">году, </w:t>
      </w:r>
      <w:r>
        <w:rPr>
          <w:color w:val="000000"/>
          <w:sz w:val="28"/>
          <w:szCs w:val="28"/>
          <w:lang w:bidi="ru-RU"/>
        </w:rPr>
        <w:t>2,26;</w:t>
      </w:r>
    </w:p>
    <w:p w:rsidR="00CE1891" w:rsidRPr="00464704" w:rsidRDefault="00CE1891" w:rsidP="00CE1891">
      <w:pPr>
        <w:ind w:firstLine="709"/>
        <w:jc w:val="both"/>
        <w:rPr>
          <w:sz w:val="28"/>
          <w:szCs w:val="28"/>
        </w:rPr>
      </w:pPr>
      <w:r w:rsidRPr="00464704">
        <w:rPr>
          <w:iCs/>
          <w:sz w:val="28"/>
          <w:szCs w:val="28"/>
          <w:lang w:bidi="ru-RU"/>
        </w:rPr>
        <w:t>К</w:t>
      </w:r>
      <w:r w:rsidRPr="00464704">
        <w:rPr>
          <w:iCs/>
          <w:sz w:val="28"/>
          <w:szCs w:val="28"/>
          <w:vertAlign w:val="subscript"/>
          <w:lang w:bidi="ru-RU"/>
        </w:rPr>
        <w:t>2</w:t>
      </w:r>
      <w:r w:rsidRPr="00464704">
        <w:rPr>
          <w:i/>
          <w:iCs/>
          <w:sz w:val="28"/>
          <w:szCs w:val="28"/>
          <w:lang w:bidi="ru-RU"/>
        </w:rPr>
        <w:t xml:space="preserve"> -</w:t>
      </w:r>
      <w:r w:rsidRPr="00464704">
        <w:rPr>
          <w:sz w:val="28"/>
          <w:szCs w:val="28"/>
          <w:lang w:bidi="ru-RU"/>
        </w:rPr>
        <w:t xml:space="preserve"> </w:t>
      </w:r>
      <w:r w:rsidRPr="00E5287F">
        <w:rPr>
          <w:sz w:val="28"/>
          <w:szCs w:val="28"/>
          <w:lang w:bidi="ru-RU"/>
        </w:rPr>
        <w:t>коэффициент к ставкам платы за единицу площади лесного участка, находящегося в федеральной собственности, установленный Правительством Российской Федерации</w:t>
      </w:r>
      <w:r>
        <w:rPr>
          <w:sz w:val="28"/>
          <w:szCs w:val="28"/>
          <w:lang w:bidi="ru-RU"/>
        </w:rPr>
        <w:t>,</w:t>
      </w:r>
      <w:r w:rsidRPr="00E5287F">
        <w:rPr>
          <w:sz w:val="28"/>
          <w:szCs w:val="28"/>
          <w:lang w:bidi="ru-RU"/>
        </w:rPr>
        <w:t xml:space="preserve"> </w:t>
      </w:r>
      <w:r w:rsidRPr="00464704">
        <w:rPr>
          <w:sz w:val="28"/>
          <w:szCs w:val="28"/>
          <w:lang w:bidi="ru-RU"/>
        </w:rPr>
        <w:t>2,</w:t>
      </w:r>
      <w:r w:rsidRPr="00E5287F">
        <w:rPr>
          <w:sz w:val="28"/>
          <w:szCs w:val="28"/>
          <w:lang w:bidi="ru-RU"/>
        </w:rPr>
        <w:t>35</w:t>
      </w:r>
      <w:r w:rsidRPr="00464704">
        <w:rPr>
          <w:sz w:val="28"/>
          <w:szCs w:val="28"/>
          <w:lang w:bidi="ru-RU"/>
        </w:rPr>
        <w:t>;</w:t>
      </w:r>
      <w:r w:rsidRPr="00E5287F">
        <w:rPr>
          <w:rFonts w:eastAsia="Constantia"/>
          <w:iCs/>
          <w:color w:val="000000"/>
          <w:sz w:val="28"/>
          <w:szCs w:val="28"/>
          <w:lang w:bidi="en-US"/>
        </w:rPr>
        <w:t xml:space="preserve"> </w:t>
      </w:r>
    </w:p>
    <w:p w:rsidR="00CE1891" w:rsidRPr="00464704" w:rsidRDefault="00CE1891" w:rsidP="00CE1891">
      <w:pPr>
        <w:widowControl w:val="0"/>
        <w:ind w:firstLine="709"/>
        <w:jc w:val="both"/>
        <w:rPr>
          <w:sz w:val="28"/>
          <w:szCs w:val="28"/>
        </w:rPr>
      </w:pPr>
      <w:r w:rsidRPr="001D12B2">
        <w:rPr>
          <w:color w:val="000000"/>
          <w:sz w:val="28"/>
          <w:szCs w:val="28"/>
        </w:rPr>
        <w:t>S</w:t>
      </w:r>
      <w:r w:rsidRPr="001D12B2">
        <w:rPr>
          <w:color w:val="000000"/>
          <w:sz w:val="28"/>
          <w:szCs w:val="28"/>
          <w:vertAlign w:val="superscript"/>
        </w:rPr>
        <w:t>cp</w:t>
      </w:r>
      <w:r w:rsidRPr="001D12B2">
        <w:rPr>
          <w:color w:val="000000"/>
          <w:sz w:val="28"/>
          <w:szCs w:val="28"/>
          <w:vertAlign w:val="subscript"/>
        </w:rPr>
        <w:t>ap</w:t>
      </w:r>
      <w:r w:rsidRPr="00464704">
        <w:rPr>
          <w:color w:val="000000"/>
          <w:sz w:val="28"/>
          <w:szCs w:val="28"/>
          <w:lang w:bidi="ru-RU"/>
        </w:rPr>
        <w:t xml:space="preserve"> </w:t>
      </w:r>
      <w:r w:rsidRPr="00464704">
        <w:rPr>
          <w:i/>
          <w:iCs/>
          <w:sz w:val="28"/>
          <w:szCs w:val="28"/>
          <w:lang w:bidi="ru-RU"/>
        </w:rPr>
        <w:t>-</w:t>
      </w:r>
      <w:r w:rsidRPr="00464704">
        <w:rPr>
          <w:color w:val="000000"/>
          <w:sz w:val="28"/>
          <w:szCs w:val="28"/>
          <w:lang w:bidi="ru-RU"/>
        </w:rPr>
        <w:t xml:space="preserve"> средняя площадь лесных участков, находящихся в федеральной собственности, предоставленных по договорам аренды (гектар</w:t>
      </w:r>
      <w:r w:rsidRPr="00A61284">
        <w:rPr>
          <w:sz w:val="28"/>
          <w:szCs w:val="28"/>
          <w:lang w:bidi="ru-RU"/>
        </w:rPr>
        <w:t>), 545,4 га;</w:t>
      </w:r>
    </w:p>
    <w:p w:rsidR="00CE1891" w:rsidRDefault="00CE1891" w:rsidP="00CE1891">
      <w:pPr>
        <w:ind w:firstLine="709"/>
        <w:jc w:val="center"/>
        <w:rPr>
          <w:rFonts w:eastAsia="Constantia"/>
          <w:iCs/>
          <w:color w:val="000000"/>
          <w:sz w:val="28"/>
          <w:szCs w:val="28"/>
          <w:lang w:bidi="en-US"/>
        </w:rPr>
      </w:pPr>
    </w:p>
    <w:p w:rsidR="00CE1891" w:rsidRPr="00A61284" w:rsidRDefault="00CE1891" w:rsidP="00CE1891">
      <w:pPr>
        <w:ind w:firstLine="709"/>
        <w:jc w:val="center"/>
        <w:rPr>
          <w:rFonts w:eastAsia="Constantia"/>
          <w:iCs/>
          <w:sz w:val="28"/>
          <w:szCs w:val="28"/>
        </w:rPr>
      </w:pPr>
      <w:r w:rsidRPr="00A61284">
        <w:rPr>
          <w:rFonts w:eastAsia="Constantia"/>
          <w:iCs/>
          <w:sz w:val="28"/>
          <w:szCs w:val="28"/>
          <w:lang w:val="en-US" w:bidi="en-US"/>
        </w:rPr>
        <w:t>S</w:t>
      </w:r>
      <w:r w:rsidRPr="00A61284">
        <w:rPr>
          <w:rFonts w:eastAsia="Constantia"/>
          <w:iCs/>
          <w:sz w:val="28"/>
          <w:szCs w:val="28"/>
          <w:vertAlign w:val="superscript"/>
          <w:lang w:val="en-US" w:bidi="en-US"/>
        </w:rPr>
        <w:t>cp</w:t>
      </w:r>
      <w:r w:rsidRPr="00A61284">
        <w:rPr>
          <w:rFonts w:eastAsia="Constantia"/>
          <w:iCs/>
          <w:sz w:val="28"/>
          <w:szCs w:val="28"/>
          <w:lang w:bidi="en-US"/>
        </w:rPr>
        <w:t xml:space="preserve"> </w:t>
      </w:r>
      <w:r w:rsidRPr="00A61284">
        <w:rPr>
          <w:rFonts w:eastAsia="Constantia"/>
          <w:iCs/>
          <w:sz w:val="28"/>
          <w:szCs w:val="28"/>
          <w:vertAlign w:val="subscript"/>
          <w:lang w:bidi="ru-RU"/>
        </w:rPr>
        <w:t>ар</w:t>
      </w:r>
      <w:r w:rsidRPr="00A61284">
        <w:rPr>
          <w:sz w:val="28"/>
          <w:szCs w:val="28"/>
          <w:vertAlign w:val="superscript"/>
        </w:rPr>
        <w:t>=</w:t>
      </w:r>
      <w:r w:rsidRPr="00A61284">
        <w:rPr>
          <w:sz w:val="28"/>
          <w:szCs w:val="28"/>
        </w:rPr>
        <w:t xml:space="preserve"> ∑</w:t>
      </w:r>
      <w:r w:rsidRPr="00A61284">
        <w:rPr>
          <w:sz w:val="28"/>
          <w:szCs w:val="28"/>
          <w:vertAlign w:val="superscript"/>
        </w:rPr>
        <w:t>3</w:t>
      </w:r>
      <w:r w:rsidRPr="00A61284">
        <w:rPr>
          <w:sz w:val="28"/>
          <w:szCs w:val="28"/>
          <w:vertAlign w:val="subscript"/>
          <w:lang w:val="en-US"/>
        </w:rPr>
        <w:t>t</w:t>
      </w:r>
      <w:r w:rsidRPr="00A61284">
        <w:rPr>
          <w:sz w:val="28"/>
          <w:szCs w:val="28"/>
          <w:vertAlign w:val="subscript"/>
        </w:rPr>
        <w:t>=1</w:t>
      </w:r>
      <w:r w:rsidRPr="00A61284">
        <w:rPr>
          <w:rFonts w:eastAsia="Constantia"/>
          <w:iCs/>
          <w:sz w:val="28"/>
          <w:szCs w:val="28"/>
          <w:lang w:val="en-US" w:bidi="en-US"/>
        </w:rPr>
        <w:t>S</w:t>
      </w:r>
      <w:r w:rsidRPr="00A61284">
        <w:rPr>
          <w:rFonts w:eastAsia="Constantia"/>
          <w:iCs/>
          <w:sz w:val="28"/>
          <w:szCs w:val="28"/>
          <w:lang w:bidi="en-US"/>
        </w:rPr>
        <w:t xml:space="preserve"> </w:t>
      </w:r>
      <w:r w:rsidRPr="00A61284">
        <w:rPr>
          <w:rFonts w:eastAsia="Constantia"/>
          <w:iCs/>
          <w:sz w:val="28"/>
          <w:szCs w:val="28"/>
          <w:vertAlign w:val="subscript"/>
          <w:lang w:bidi="ru-RU"/>
        </w:rPr>
        <w:t>ар</w:t>
      </w:r>
      <w:r w:rsidRPr="00A61284">
        <w:rPr>
          <w:rFonts w:eastAsia="Constantia"/>
          <w:iCs/>
          <w:sz w:val="28"/>
          <w:szCs w:val="28"/>
        </w:rPr>
        <w:t xml:space="preserve"> /3,</w:t>
      </w:r>
    </w:p>
    <w:p w:rsidR="00CE1891" w:rsidRPr="00A61284" w:rsidRDefault="00CE1891" w:rsidP="00CE1891">
      <w:pPr>
        <w:ind w:firstLine="709"/>
        <w:jc w:val="center"/>
        <w:rPr>
          <w:rFonts w:eastAsia="Constantia"/>
          <w:iCs/>
          <w:sz w:val="28"/>
          <w:szCs w:val="28"/>
        </w:rPr>
      </w:pPr>
      <w:r w:rsidRPr="00A61284">
        <w:rPr>
          <w:rFonts w:eastAsia="Constantia"/>
          <w:iCs/>
          <w:sz w:val="28"/>
          <w:szCs w:val="28"/>
        </w:rPr>
        <w:t xml:space="preserve">545,4 = (601,5+525,3+509,4)/3  </w:t>
      </w:r>
    </w:p>
    <w:p w:rsidR="00CE1891" w:rsidRPr="00911369" w:rsidRDefault="00CE1891" w:rsidP="00CE1891">
      <w:pPr>
        <w:ind w:firstLine="709"/>
        <w:jc w:val="both"/>
        <w:rPr>
          <w:i/>
          <w:color w:val="000000"/>
          <w:sz w:val="28"/>
          <w:szCs w:val="28"/>
          <w:vertAlign w:val="superscript"/>
        </w:rPr>
      </w:pPr>
    </w:p>
    <w:p w:rsidR="00CE1891" w:rsidRPr="00464704" w:rsidRDefault="00CE1891" w:rsidP="00CE1891">
      <w:pPr>
        <w:widowControl w:val="0"/>
        <w:ind w:firstLine="709"/>
        <w:rPr>
          <w:sz w:val="28"/>
          <w:szCs w:val="28"/>
        </w:rPr>
      </w:pPr>
      <w:r w:rsidRPr="00464704">
        <w:rPr>
          <w:color w:val="000000"/>
          <w:sz w:val="28"/>
          <w:szCs w:val="28"/>
          <w:lang w:bidi="ru-RU"/>
        </w:rPr>
        <w:t>где:</w:t>
      </w:r>
    </w:p>
    <w:p w:rsidR="00CE1891" w:rsidRPr="001D12B2" w:rsidRDefault="00CE1891" w:rsidP="00CE1891">
      <w:pPr>
        <w:widowControl w:val="0"/>
        <w:ind w:firstLine="709"/>
        <w:jc w:val="both"/>
        <w:rPr>
          <w:color w:val="000000"/>
          <w:sz w:val="28"/>
          <w:szCs w:val="28"/>
          <w:lang w:bidi="ru-RU"/>
        </w:rPr>
      </w:pPr>
      <w:r w:rsidRPr="00464704">
        <w:rPr>
          <w:sz w:val="28"/>
          <w:szCs w:val="28"/>
        </w:rPr>
        <w:t>∑</w:t>
      </w:r>
      <w:r w:rsidRPr="00464704">
        <w:rPr>
          <w:sz w:val="28"/>
          <w:szCs w:val="28"/>
          <w:vertAlign w:val="superscript"/>
        </w:rPr>
        <w:t>3</w:t>
      </w:r>
      <w:r w:rsidRPr="00464704">
        <w:rPr>
          <w:sz w:val="28"/>
          <w:szCs w:val="28"/>
          <w:vertAlign w:val="subscript"/>
          <w:lang w:val="en-US"/>
        </w:rPr>
        <w:t>t</w:t>
      </w:r>
      <w:r w:rsidRPr="00464704">
        <w:rPr>
          <w:sz w:val="28"/>
          <w:szCs w:val="28"/>
          <w:vertAlign w:val="subscript"/>
        </w:rPr>
        <w:t>=1</w:t>
      </w:r>
      <w:r w:rsidRPr="00464704">
        <w:rPr>
          <w:rFonts w:eastAsia="Constantia"/>
          <w:iCs/>
          <w:color w:val="000000"/>
          <w:sz w:val="28"/>
          <w:szCs w:val="28"/>
          <w:lang w:val="en-US" w:bidi="en-US"/>
        </w:rPr>
        <w:t>S</w:t>
      </w:r>
      <w:r w:rsidRPr="00464704">
        <w:rPr>
          <w:rFonts w:eastAsia="Constantia"/>
          <w:iCs/>
          <w:color w:val="000000"/>
          <w:sz w:val="28"/>
          <w:szCs w:val="28"/>
          <w:vertAlign w:val="subscript"/>
          <w:lang w:bidi="ru-RU"/>
        </w:rPr>
        <w:t xml:space="preserve">ар </w:t>
      </w:r>
      <w:r w:rsidRPr="00464704">
        <w:rPr>
          <w:rFonts w:eastAsia="Constantia"/>
          <w:i/>
          <w:iCs/>
          <w:color w:val="000000"/>
          <w:sz w:val="28"/>
          <w:szCs w:val="28"/>
          <w:lang w:bidi="ru-RU"/>
        </w:rPr>
        <w:t>-</w:t>
      </w:r>
      <w:r w:rsidRPr="00464704">
        <w:rPr>
          <w:rFonts w:eastAsia="Constantia"/>
          <w:iCs/>
          <w:color w:val="000000"/>
          <w:sz w:val="28"/>
          <w:szCs w:val="28"/>
          <w:lang w:bidi="ru-RU"/>
        </w:rPr>
        <w:t xml:space="preserve"> с</w:t>
      </w:r>
      <w:r w:rsidRPr="00464704">
        <w:rPr>
          <w:color w:val="000000"/>
          <w:sz w:val="28"/>
          <w:szCs w:val="28"/>
          <w:lang w:bidi="ru-RU"/>
        </w:rPr>
        <w:t xml:space="preserve">умма годовых величин площади лесных участков, находящихся в федеральной собственности, предоставленных по договорам аренды за </w:t>
      </w:r>
      <w:r>
        <w:rPr>
          <w:color w:val="000000"/>
          <w:sz w:val="28"/>
          <w:szCs w:val="28"/>
          <w:lang w:bidi="ru-RU"/>
        </w:rPr>
        <w:t>2018 (</w:t>
      </w:r>
      <w:r w:rsidRPr="00BB032E">
        <w:rPr>
          <w:color w:val="000000"/>
          <w:sz w:val="28"/>
          <w:szCs w:val="28"/>
          <w:lang w:bidi="ru-RU"/>
        </w:rPr>
        <w:t>601,5</w:t>
      </w:r>
      <w:r>
        <w:rPr>
          <w:color w:val="000000"/>
          <w:sz w:val="28"/>
          <w:szCs w:val="28"/>
          <w:lang w:bidi="ru-RU"/>
        </w:rPr>
        <w:t xml:space="preserve"> га), 2019 (</w:t>
      </w:r>
      <w:r w:rsidRPr="00BB032E">
        <w:rPr>
          <w:color w:val="000000"/>
          <w:sz w:val="28"/>
          <w:szCs w:val="28"/>
          <w:lang w:bidi="ru-RU"/>
        </w:rPr>
        <w:t>525,3</w:t>
      </w:r>
      <w:r>
        <w:rPr>
          <w:color w:val="000000"/>
          <w:sz w:val="28"/>
          <w:szCs w:val="28"/>
          <w:lang w:bidi="ru-RU"/>
        </w:rPr>
        <w:t xml:space="preserve"> га), 2020 (</w:t>
      </w:r>
      <w:r w:rsidRPr="00BB032E">
        <w:rPr>
          <w:color w:val="000000"/>
          <w:sz w:val="28"/>
          <w:szCs w:val="28"/>
          <w:lang w:bidi="ru-RU"/>
        </w:rPr>
        <w:t>509,4</w:t>
      </w:r>
      <w:r>
        <w:rPr>
          <w:color w:val="000000"/>
          <w:sz w:val="28"/>
          <w:szCs w:val="28"/>
          <w:lang w:bidi="ru-RU"/>
        </w:rPr>
        <w:t xml:space="preserve"> га)</w:t>
      </w:r>
      <w:r w:rsidRPr="00464704">
        <w:rPr>
          <w:color w:val="000000"/>
          <w:sz w:val="28"/>
          <w:szCs w:val="28"/>
          <w:lang w:bidi="ru-RU"/>
        </w:rPr>
        <w:t xml:space="preserve"> год</w:t>
      </w:r>
      <w:r>
        <w:rPr>
          <w:color w:val="000000"/>
          <w:sz w:val="28"/>
          <w:szCs w:val="28"/>
          <w:lang w:bidi="ru-RU"/>
        </w:rPr>
        <w:t>ы</w:t>
      </w:r>
      <w:r w:rsidRPr="00464704">
        <w:rPr>
          <w:color w:val="000000"/>
          <w:sz w:val="28"/>
          <w:szCs w:val="28"/>
          <w:lang w:bidi="ru-RU"/>
        </w:rPr>
        <w:t>, предшествующих прогнозируемому году (</w:t>
      </w:r>
      <w:r w:rsidRPr="00A61284">
        <w:rPr>
          <w:sz w:val="28"/>
          <w:szCs w:val="28"/>
          <w:lang w:bidi="ru-RU"/>
        </w:rPr>
        <w:t xml:space="preserve">гектар), 1636,2 </w:t>
      </w:r>
      <w:r w:rsidRPr="00464704">
        <w:rPr>
          <w:color w:val="000000"/>
          <w:sz w:val="28"/>
          <w:szCs w:val="28"/>
          <w:lang w:bidi="ru-RU"/>
        </w:rPr>
        <w:t>га</w:t>
      </w:r>
      <w:r>
        <w:rPr>
          <w:color w:val="000000"/>
          <w:sz w:val="28"/>
          <w:szCs w:val="28"/>
          <w:lang w:bidi="ru-RU"/>
        </w:rPr>
        <w:t>;</w:t>
      </w:r>
      <w:r>
        <w:rPr>
          <w:rFonts w:eastAsia="Constantia"/>
          <w:iCs/>
          <w:color w:val="000000"/>
          <w:sz w:val="28"/>
          <w:szCs w:val="28"/>
          <w:lang w:bidi="en-US"/>
        </w:rPr>
        <w:t xml:space="preserve"> </w:t>
      </w:r>
    </w:p>
    <w:p w:rsidR="00CE1891" w:rsidRPr="003D3489" w:rsidRDefault="00CE1891" w:rsidP="00CE1891">
      <w:pPr>
        <w:widowControl w:val="0"/>
        <w:ind w:firstLine="709"/>
        <w:jc w:val="both"/>
        <w:rPr>
          <w:sz w:val="28"/>
          <w:szCs w:val="28"/>
        </w:rPr>
      </w:pPr>
      <w:r w:rsidRPr="00B9057F">
        <w:rPr>
          <w:sz w:val="28"/>
          <w:szCs w:val="28"/>
        </w:rPr>
        <w:t>Т</w:t>
      </w:r>
      <w:r w:rsidRPr="00B9057F">
        <w:rPr>
          <w:sz w:val="28"/>
          <w:szCs w:val="28"/>
          <w:vertAlign w:val="superscript"/>
        </w:rPr>
        <w:t>ср</w:t>
      </w:r>
      <w:r w:rsidRPr="00B9057F">
        <w:rPr>
          <w:sz w:val="28"/>
          <w:szCs w:val="28"/>
          <w:vertAlign w:val="subscript"/>
        </w:rPr>
        <w:t>Sар</w:t>
      </w:r>
      <w:r w:rsidRPr="00B9057F">
        <w:rPr>
          <w:sz w:val="28"/>
          <w:szCs w:val="28"/>
        </w:rPr>
        <w:t xml:space="preserve"> </w:t>
      </w:r>
      <w:r w:rsidRPr="00464704">
        <w:rPr>
          <w:rFonts w:eastAsia="Constantia"/>
          <w:i/>
          <w:iCs/>
          <w:color w:val="000000"/>
          <w:sz w:val="28"/>
          <w:szCs w:val="28"/>
          <w:lang w:bidi="ru-RU"/>
        </w:rPr>
        <w:t>-</w:t>
      </w:r>
      <w:r w:rsidRPr="00B9057F">
        <w:rPr>
          <w:sz w:val="28"/>
          <w:szCs w:val="28"/>
        </w:rPr>
        <w:t xml:space="preserve"> средний темп роста (снижения) площади лесных участков, находящихся в федеральной собственности, предоставленных по договорам аренды, за три отчетных года, </w:t>
      </w:r>
      <w:r w:rsidRPr="003D3489">
        <w:rPr>
          <w:sz w:val="28"/>
          <w:szCs w:val="28"/>
        </w:rPr>
        <w:t>предшествующих прогнозируемому году (ед.), 0,88:</w:t>
      </w:r>
    </w:p>
    <w:p w:rsidR="00CE1891" w:rsidRPr="003D3489" w:rsidRDefault="00CE1891" w:rsidP="00CE1891">
      <w:pPr>
        <w:widowControl w:val="0"/>
        <w:ind w:firstLine="709"/>
        <w:jc w:val="both"/>
        <w:rPr>
          <w:sz w:val="28"/>
          <w:szCs w:val="28"/>
        </w:rPr>
      </w:pPr>
    </w:p>
    <w:p w:rsidR="00CE1891" w:rsidRPr="003D3489" w:rsidRDefault="00CE1891" w:rsidP="00CE1891">
      <w:pPr>
        <w:ind w:firstLine="709"/>
        <w:jc w:val="center"/>
        <w:rPr>
          <w:rFonts w:eastAsia="Constantia"/>
          <w:iCs/>
          <w:sz w:val="28"/>
          <w:szCs w:val="28"/>
        </w:rPr>
      </w:pPr>
      <w:r w:rsidRPr="003D3489">
        <w:rPr>
          <w:sz w:val="28"/>
          <w:szCs w:val="28"/>
        </w:rPr>
        <w:t>Т</w:t>
      </w:r>
      <w:r w:rsidRPr="003D3489">
        <w:rPr>
          <w:sz w:val="28"/>
          <w:szCs w:val="28"/>
          <w:vertAlign w:val="superscript"/>
        </w:rPr>
        <w:t>ср</w:t>
      </w:r>
      <w:r w:rsidRPr="003D3489">
        <w:rPr>
          <w:sz w:val="28"/>
          <w:szCs w:val="28"/>
          <w:vertAlign w:val="subscript"/>
        </w:rPr>
        <w:t>Sар</w:t>
      </w:r>
      <w:r w:rsidRPr="003D3489">
        <w:rPr>
          <w:sz w:val="28"/>
          <w:szCs w:val="28"/>
          <w:vertAlign w:val="superscript"/>
        </w:rPr>
        <w:t xml:space="preserve"> =</w:t>
      </w:r>
      <w:r w:rsidRPr="003D3489">
        <w:rPr>
          <w:sz w:val="28"/>
          <w:szCs w:val="28"/>
        </w:rPr>
        <w:t xml:space="preserve"> ∑</w:t>
      </w:r>
      <w:r w:rsidRPr="003D3489">
        <w:rPr>
          <w:sz w:val="28"/>
          <w:szCs w:val="28"/>
          <w:vertAlign w:val="superscript"/>
        </w:rPr>
        <w:t>3</w:t>
      </w:r>
      <w:r w:rsidRPr="003D3489">
        <w:rPr>
          <w:sz w:val="28"/>
          <w:szCs w:val="28"/>
          <w:vertAlign w:val="subscript"/>
          <w:lang w:val="en-US"/>
        </w:rPr>
        <w:t>t</w:t>
      </w:r>
      <w:r w:rsidRPr="003D3489">
        <w:rPr>
          <w:sz w:val="28"/>
          <w:szCs w:val="28"/>
          <w:vertAlign w:val="subscript"/>
        </w:rPr>
        <w:t>=1</w:t>
      </w:r>
      <w:r w:rsidRPr="003D3489">
        <w:rPr>
          <w:sz w:val="28"/>
          <w:szCs w:val="28"/>
        </w:rPr>
        <w:t xml:space="preserve"> Т</w:t>
      </w:r>
      <w:r w:rsidRPr="003D3489">
        <w:rPr>
          <w:sz w:val="28"/>
          <w:szCs w:val="28"/>
          <w:vertAlign w:val="subscript"/>
        </w:rPr>
        <w:t>Sар</w:t>
      </w:r>
      <w:r w:rsidRPr="003D3489">
        <w:rPr>
          <w:rFonts w:eastAsia="Constantia"/>
          <w:iCs/>
          <w:sz w:val="28"/>
          <w:szCs w:val="28"/>
        </w:rPr>
        <w:t xml:space="preserve"> /3,</w:t>
      </w:r>
    </w:p>
    <w:p w:rsidR="00CE1891" w:rsidRPr="003D3489" w:rsidRDefault="00CE1891" w:rsidP="00CE1891">
      <w:pPr>
        <w:widowControl w:val="0"/>
        <w:ind w:firstLine="709"/>
        <w:jc w:val="center"/>
        <w:rPr>
          <w:sz w:val="28"/>
          <w:szCs w:val="28"/>
        </w:rPr>
      </w:pPr>
      <w:r w:rsidRPr="003D3489">
        <w:rPr>
          <w:sz w:val="28"/>
          <w:szCs w:val="28"/>
        </w:rPr>
        <w:t>0,88 = (0,79</w:t>
      </w:r>
      <w:r>
        <w:rPr>
          <w:sz w:val="28"/>
          <w:szCs w:val="28"/>
        </w:rPr>
        <w:t xml:space="preserve"> </w:t>
      </w:r>
      <w:r w:rsidRPr="003D3489">
        <w:rPr>
          <w:sz w:val="28"/>
          <w:szCs w:val="28"/>
        </w:rPr>
        <w:t>+</w:t>
      </w:r>
      <w:r>
        <w:rPr>
          <w:sz w:val="28"/>
          <w:szCs w:val="28"/>
        </w:rPr>
        <w:t xml:space="preserve"> </w:t>
      </w:r>
      <w:r w:rsidRPr="003D3489">
        <w:rPr>
          <w:sz w:val="28"/>
          <w:szCs w:val="28"/>
        </w:rPr>
        <w:t>0,88</w:t>
      </w:r>
      <w:r>
        <w:rPr>
          <w:sz w:val="28"/>
          <w:szCs w:val="28"/>
        </w:rPr>
        <w:t xml:space="preserve"> </w:t>
      </w:r>
      <w:r w:rsidRPr="003D3489">
        <w:rPr>
          <w:sz w:val="28"/>
          <w:szCs w:val="28"/>
        </w:rPr>
        <w:t>+</w:t>
      </w:r>
      <w:r>
        <w:rPr>
          <w:sz w:val="28"/>
          <w:szCs w:val="28"/>
        </w:rPr>
        <w:t xml:space="preserve"> </w:t>
      </w:r>
      <w:r w:rsidRPr="003D3489">
        <w:rPr>
          <w:sz w:val="28"/>
          <w:szCs w:val="28"/>
        </w:rPr>
        <w:t>0,97)/3</w:t>
      </w:r>
    </w:p>
    <w:p w:rsidR="00CE1891" w:rsidRPr="003D3489" w:rsidRDefault="00CE1891" w:rsidP="00CE1891">
      <w:pPr>
        <w:widowControl w:val="0"/>
        <w:ind w:firstLine="709"/>
        <w:jc w:val="both"/>
        <w:rPr>
          <w:sz w:val="28"/>
          <w:szCs w:val="28"/>
        </w:rPr>
      </w:pPr>
      <w:r w:rsidRPr="003D3489">
        <w:rPr>
          <w:sz w:val="28"/>
          <w:szCs w:val="28"/>
        </w:rPr>
        <w:t>где:</w:t>
      </w:r>
    </w:p>
    <w:p w:rsidR="00CE1891" w:rsidRDefault="00CE1891" w:rsidP="00CE1891">
      <w:pPr>
        <w:widowControl w:val="0"/>
        <w:ind w:firstLine="709"/>
        <w:jc w:val="both"/>
        <w:rPr>
          <w:sz w:val="28"/>
          <w:szCs w:val="28"/>
        </w:rPr>
      </w:pPr>
      <w:r w:rsidRPr="00911369">
        <w:rPr>
          <w:sz w:val="28"/>
          <w:szCs w:val="28"/>
        </w:rPr>
        <w:t>∑</w:t>
      </w:r>
      <w:r w:rsidRPr="00911369">
        <w:rPr>
          <w:sz w:val="28"/>
          <w:szCs w:val="28"/>
          <w:vertAlign w:val="superscript"/>
        </w:rPr>
        <w:t>3</w:t>
      </w:r>
      <w:r w:rsidRPr="00464704">
        <w:rPr>
          <w:sz w:val="28"/>
          <w:szCs w:val="28"/>
          <w:vertAlign w:val="subscript"/>
          <w:lang w:val="en-US"/>
        </w:rPr>
        <w:t>t</w:t>
      </w:r>
      <w:r w:rsidRPr="00911369">
        <w:rPr>
          <w:sz w:val="28"/>
          <w:szCs w:val="28"/>
          <w:vertAlign w:val="subscript"/>
        </w:rPr>
        <w:t>=1</w:t>
      </w:r>
      <w:r w:rsidRPr="00B9057F">
        <w:rPr>
          <w:sz w:val="28"/>
          <w:szCs w:val="28"/>
        </w:rPr>
        <w:t xml:space="preserve"> Т</w:t>
      </w:r>
      <w:r w:rsidRPr="00B9057F">
        <w:rPr>
          <w:sz w:val="28"/>
          <w:szCs w:val="28"/>
          <w:vertAlign w:val="subscript"/>
        </w:rPr>
        <w:t>Sар</w:t>
      </w:r>
      <w:r w:rsidRPr="00B9057F">
        <w:rPr>
          <w:sz w:val="28"/>
          <w:szCs w:val="28"/>
        </w:rPr>
        <w:t xml:space="preserve">  </w:t>
      </w:r>
      <w:r w:rsidRPr="00464704">
        <w:rPr>
          <w:rFonts w:eastAsia="Constantia"/>
          <w:i/>
          <w:iCs/>
          <w:color w:val="000000"/>
          <w:sz w:val="28"/>
          <w:szCs w:val="28"/>
          <w:lang w:bidi="ru-RU"/>
        </w:rPr>
        <w:t>-</w:t>
      </w:r>
      <w:r w:rsidRPr="00B9057F">
        <w:rPr>
          <w:sz w:val="28"/>
          <w:szCs w:val="28"/>
        </w:rPr>
        <w:t xml:space="preserve"> сумма темпов роста (снижения) площади лесных участков, находящихся в федеральной собственности, предоставленных по договорам </w:t>
      </w:r>
      <w:r w:rsidRPr="003D3489">
        <w:rPr>
          <w:sz w:val="28"/>
          <w:szCs w:val="28"/>
        </w:rPr>
        <w:lastRenderedPageBreak/>
        <w:t>аренды, за три отчетных года, предшествующих прогнозируемому году,  (ед.), 2,64</w:t>
      </w:r>
      <w:r>
        <w:rPr>
          <w:sz w:val="28"/>
          <w:szCs w:val="28"/>
        </w:rPr>
        <w:t>;</w:t>
      </w:r>
    </w:p>
    <w:p w:rsidR="00CE1891" w:rsidRPr="00010388" w:rsidRDefault="00CE1891" w:rsidP="00CE1891">
      <w:pPr>
        <w:widowControl w:val="0"/>
        <w:ind w:firstLine="709"/>
        <w:jc w:val="center"/>
        <w:rPr>
          <w:sz w:val="28"/>
          <w:szCs w:val="28"/>
          <w:vertAlign w:val="superscript"/>
        </w:rPr>
      </w:pPr>
      <w:r w:rsidRPr="00911369">
        <w:rPr>
          <w:sz w:val="28"/>
          <w:szCs w:val="28"/>
        </w:rPr>
        <w:t>∑</w:t>
      </w:r>
      <w:r w:rsidRPr="00911369">
        <w:rPr>
          <w:sz w:val="28"/>
          <w:szCs w:val="28"/>
          <w:vertAlign w:val="superscript"/>
        </w:rPr>
        <w:t>3</w:t>
      </w:r>
      <w:r w:rsidRPr="00464704">
        <w:rPr>
          <w:sz w:val="28"/>
          <w:szCs w:val="28"/>
          <w:vertAlign w:val="subscript"/>
          <w:lang w:val="en-US"/>
        </w:rPr>
        <w:t>t</w:t>
      </w:r>
      <w:r w:rsidRPr="00911369">
        <w:rPr>
          <w:sz w:val="28"/>
          <w:szCs w:val="28"/>
          <w:vertAlign w:val="subscript"/>
        </w:rPr>
        <w:t>=1</w:t>
      </w:r>
      <w:r w:rsidRPr="00B9057F">
        <w:rPr>
          <w:sz w:val="28"/>
          <w:szCs w:val="28"/>
        </w:rPr>
        <w:t xml:space="preserve"> Т</w:t>
      </w:r>
      <w:r w:rsidRPr="00B9057F">
        <w:rPr>
          <w:sz w:val="28"/>
          <w:szCs w:val="28"/>
          <w:vertAlign w:val="subscript"/>
        </w:rPr>
        <w:t>Sар</w:t>
      </w:r>
      <w:r w:rsidRPr="00B9057F">
        <w:rPr>
          <w:sz w:val="28"/>
          <w:szCs w:val="28"/>
        </w:rPr>
        <w:t xml:space="preserve">  </w:t>
      </w:r>
      <w:r w:rsidRPr="00730C89">
        <w:rPr>
          <w:sz w:val="28"/>
          <w:szCs w:val="28"/>
        </w:rPr>
        <w:t xml:space="preserve">= </w:t>
      </w:r>
      <w:r w:rsidRPr="00B9057F">
        <w:rPr>
          <w:sz w:val="28"/>
          <w:szCs w:val="28"/>
        </w:rPr>
        <w:t>Т</w:t>
      </w:r>
      <w:r w:rsidRPr="00B9057F">
        <w:rPr>
          <w:sz w:val="28"/>
          <w:szCs w:val="28"/>
          <w:vertAlign w:val="subscript"/>
        </w:rPr>
        <w:t>Sар</w:t>
      </w:r>
      <w:r>
        <w:rPr>
          <w:sz w:val="28"/>
          <w:szCs w:val="28"/>
          <w:vertAlign w:val="superscript"/>
        </w:rPr>
        <w:t>2018</w:t>
      </w:r>
      <w:r w:rsidRPr="00730C89">
        <w:rPr>
          <w:sz w:val="28"/>
          <w:szCs w:val="28"/>
          <w:vertAlign w:val="superscript"/>
        </w:rPr>
        <w:t xml:space="preserve"> </w:t>
      </w:r>
      <w:r w:rsidRPr="00730C89">
        <w:rPr>
          <w:sz w:val="28"/>
          <w:szCs w:val="28"/>
        </w:rPr>
        <w:t xml:space="preserve">+ </w:t>
      </w:r>
      <w:r w:rsidRPr="00B9057F">
        <w:rPr>
          <w:sz w:val="28"/>
          <w:szCs w:val="28"/>
        </w:rPr>
        <w:t>Т</w:t>
      </w:r>
      <w:r w:rsidRPr="00B9057F">
        <w:rPr>
          <w:sz w:val="28"/>
          <w:szCs w:val="28"/>
          <w:vertAlign w:val="subscript"/>
        </w:rPr>
        <w:t>Sар</w:t>
      </w:r>
      <w:r>
        <w:rPr>
          <w:sz w:val="28"/>
          <w:szCs w:val="28"/>
          <w:vertAlign w:val="superscript"/>
        </w:rPr>
        <w:t>2019</w:t>
      </w:r>
      <w:r w:rsidRPr="00730C89">
        <w:rPr>
          <w:sz w:val="28"/>
          <w:szCs w:val="28"/>
          <w:vertAlign w:val="superscript"/>
        </w:rPr>
        <w:t xml:space="preserve"> </w:t>
      </w:r>
      <w:r w:rsidRPr="00730C89">
        <w:rPr>
          <w:sz w:val="28"/>
          <w:szCs w:val="28"/>
        </w:rPr>
        <w:t xml:space="preserve">+ </w:t>
      </w:r>
      <w:r w:rsidRPr="00B9057F">
        <w:rPr>
          <w:sz w:val="28"/>
          <w:szCs w:val="28"/>
        </w:rPr>
        <w:t>Т</w:t>
      </w:r>
      <w:r w:rsidRPr="00B9057F">
        <w:rPr>
          <w:sz w:val="28"/>
          <w:szCs w:val="28"/>
          <w:vertAlign w:val="subscript"/>
        </w:rPr>
        <w:t>Sар</w:t>
      </w:r>
      <w:r>
        <w:rPr>
          <w:sz w:val="28"/>
          <w:szCs w:val="28"/>
          <w:vertAlign w:val="superscript"/>
        </w:rPr>
        <w:t>2020</w:t>
      </w:r>
    </w:p>
    <w:p w:rsidR="00CE1891" w:rsidRDefault="00CE1891" w:rsidP="00CE1891">
      <w:pPr>
        <w:widowControl w:val="0"/>
        <w:ind w:firstLine="709"/>
        <w:jc w:val="center"/>
        <w:rPr>
          <w:sz w:val="28"/>
          <w:szCs w:val="28"/>
        </w:rPr>
      </w:pPr>
      <w:r w:rsidRPr="00010388">
        <w:rPr>
          <w:sz w:val="28"/>
          <w:szCs w:val="28"/>
        </w:rPr>
        <w:t>2</w:t>
      </w:r>
      <w:r>
        <w:rPr>
          <w:sz w:val="28"/>
          <w:szCs w:val="28"/>
        </w:rPr>
        <w:t>,</w:t>
      </w:r>
      <w:r w:rsidRPr="00010388">
        <w:rPr>
          <w:sz w:val="28"/>
          <w:szCs w:val="28"/>
        </w:rPr>
        <w:t>6</w:t>
      </w:r>
      <w:r>
        <w:rPr>
          <w:sz w:val="28"/>
          <w:szCs w:val="28"/>
        </w:rPr>
        <w:t xml:space="preserve">4 = </w:t>
      </w:r>
      <w:r w:rsidRPr="00730C89">
        <w:rPr>
          <w:sz w:val="28"/>
          <w:szCs w:val="28"/>
        </w:rPr>
        <w:t>0,79</w:t>
      </w:r>
      <w:r>
        <w:rPr>
          <w:sz w:val="28"/>
          <w:szCs w:val="28"/>
        </w:rPr>
        <w:t xml:space="preserve"> </w:t>
      </w:r>
      <w:r w:rsidRPr="00730C89">
        <w:rPr>
          <w:sz w:val="28"/>
          <w:szCs w:val="28"/>
        </w:rPr>
        <w:t>+</w:t>
      </w:r>
      <w:r>
        <w:rPr>
          <w:sz w:val="28"/>
          <w:szCs w:val="28"/>
        </w:rPr>
        <w:t xml:space="preserve"> </w:t>
      </w:r>
      <w:r w:rsidRPr="00730C89">
        <w:rPr>
          <w:sz w:val="28"/>
          <w:szCs w:val="28"/>
        </w:rPr>
        <w:t>0,88</w:t>
      </w:r>
      <w:r>
        <w:rPr>
          <w:sz w:val="28"/>
          <w:szCs w:val="28"/>
        </w:rPr>
        <w:t xml:space="preserve"> </w:t>
      </w:r>
      <w:r w:rsidRPr="00730C89">
        <w:rPr>
          <w:sz w:val="28"/>
          <w:szCs w:val="28"/>
        </w:rPr>
        <w:t>+</w:t>
      </w:r>
      <w:r>
        <w:rPr>
          <w:sz w:val="28"/>
          <w:szCs w:val="28"/>
        </w:rPr>
        <w:t xml:space="preserve"> </w:t>
      </w:r>
      <w:r w:rsidRPr="00730C89">
        <w:rPr>
          <w:sz w:val="28"/>
          <w:szCs w:val="28"/>
        </w:rPr>
        <w:t>0,97</w:t>
      </w:r>
    </w:p>
    <w:p w:rsidR="00CE1891" w:rsidRPr="005824F5" w:rsidRDefault="00CE1891" w:rsidP="00CE1891">
      <w:pPr>
        <w:widowControl w:val="0"/>
        <w:ind w:firstLine="709"/>
        <w:jc w:val="center"/>
        <w:rPr>
          <w:sz w:val="28"/>
          <w:szCs w:val="28"/>
        </w:rPr>
      </w:pPr>
    </w:p>
    <w:p w:rsidR="00CE1891" w:rsidRPr="00010388" w:rsidRDefault="00CE1891" w:rsidP="00CE1891">
      <w:pPr>
        <w:widowControl w:val="0"/>
        <w:ind w:firstLine="709"/>
        <w:jc w:val="both"/>
        <w:rPr>
          <w:sz w:val="28"/>
          <w:szCs w:val="28"/>
        </w:rPr>
      </w:pPr>
      <w:r w:rsidRPr="003D3489">
        <w:rPr>
          <w:sz w:val="28"/>
          <w:szCs w:val="28"/>
        </w:rPr>
        <w:t>Т</w:t>
      </w:r>
      <w:r>
        <w:rPr>
          <w:sz w:val="28"/>
          <w:szCs w:val="28"/>
          <w:vertAlign w:val="subscript"/>
          <w:lang w:val="en-US"/>
        </w:rPr>
        <w:t>S</w:t>
      </w:r>
      <w:r w:rsidRPr="006D3E8F">
        <w:rPr>
          <w:sz w:val="28"/>
          <w:szCs w:val="28"/>
          <w:vertAlign w:val="subscript"/>
        </w:rPr>
        <w:t>ар</w:t>
      </w:r>
      <w:r w:rsidRPr="006D3E8F">
        <w:rPr>
          <w:sz w:val="28"/>
          <w:szCs w:val="28"/>
        </w:rPr>
        <w:t xml:space="preserve"> - темп роста (снижения) объема лесных ресурсов (за исключением древесины), подлежащего заготовке по договорам аренды лесных участков, находящихся в федеральной собственности, за год (ед.), определяется по формуле:</w:t>
      </w:r>
    </w:p>
    <w:p w:rsidR="00CE1891" w:rsidRDefault="00CE1891" w:rsidP="00CE1891">
      <w:pPr>
        <w:widowControl w:val="0"/>
        <w:ind w:firstLine="709"/>
        <w:jc w:val="center"/>
        <w:rPr>
          <w:sz w:val="28"/>
          <w:szCs w:val="28"/>
          <w:vertAlign w:val="subscript"/>
        </w:rPr>
      </w:pPr>
      <w:r w:rsidRPr="003D3489">
        <w:rPr>
          <w:sz w:val="28"/>
          <w:szCs w:val="28"/>
        </w:rPr>
        <w:t>Т</w:t>
      </w:r>
      <w:r>
        <w:rPr>
          <w:sz w:val="28"/>
          <w:szCs w:val="28"/>
          <w:vertAlign w:val="subscript"/>
          <w:lang w:val="en-US"/>
        </w:rPr>
        <w:t>S</w:t>
      </w:r>
      <w:r w:rsidRPr="006D3E8F">
        <w:rPr>
          <w:sz w:val="28"/>
          <w:szCs w:val="28"/>
          <w:vertAlign w:val="subscript"/>
        </w:rPr>
        <w:t>ар</w:t>
      </w:r>
      <w:r w:rsidRPr="006D3E8F">
        <w:rPr>
          <w:sz w:val="28"/>
          <w:szCs w:val="28"/>
        </w:rPr>
        <w:t xml:space="preserve"> =</w:t>
      </w:r>
      <w:r w:rsidRPr="006D3E8F">
        <w:rPr>
          <w:sz w:val="28"/>
          <w:szCs w:val="28"/>
          <w:vertAlign w:val="subscript"/>
        </w:rPr>
        <w:t xml:space="preserve"> </w:t>
      </w:r>
      <w:r w:rsidRPr="006D3E8F">
        <w:rPr>
          <w:sz w:val="28"/>
          <w:szCs w:val="28"/>
          <w:lang w:val="en-US"/>
        </w:rPr>
        <w:t>Q</w:t>
      </w:r>
      <w:r w:rsidRPr="006D3E8F">
        <w:rPr>
          <w:sz w:val="28"/>
          <w:szCs w:val="28"/>
          <w:vertAlign w:val="superscript"/>
          <w:lang w:val="en-US"/>
        </w:rPr>
        <w:t>n</w:t>
      </w:r>
      <w:r>
        <w:rPr>
          <w:sz w:val="28"/>
          <w:szCs w:val="28"/>
          <w:vertAlign w:val="subscript"/>
          <w:lang w:val="en-US"/>
        </w:rPr>
        <w:t>S</w:t>
      </w:r>
      <w:r w:rsidRPr="006D3E8F">
        <w:rPr>
          <w:sz w:val="28"/>
          <w:szCs w:val="28"/>
          <w:vertAlign w:val="subscript"/>
        </w:rPr>
        <w:t>ар</w:t>
      </w:r>
      <w:r w:rsidRPr="006D3E8F">
        <w:rPr>
          <w:sz w:val="28"/>
          <w:szCs w:val="28"/>
        </w:rPr>
        <w:t xml:space="preserve">/ </w:t>
      </w:r>
      <w:r w:rsidRPr="006D3E8F">
        <w:rPr>
          <w:sz w:val="28"/>
          <w:szCs w:val="28"/>
          <w:lang w:val="en-US"/>
        </w:rPr>
        <w:t>Q</w:t>
      </w:r>
      <w:r w:rsidRPr="006D3E8F">
        <w:rPr>
          <w:sz w:val="28"/>
          <w:szCs w:val="28"/>
          <w:vertAlign w:val="superscript"/>
          <w:lang w:val="en-US"/>
        </w:rPr>
        <w:t>n</w:t>
      </w:r>
      <w:r w:rsidRPr="006D3E8F">
        <w:rPr>
          <w:sz w:val="28"/>
          <w:szCs w:val="28"/>
          <w:vertAlign w:val="superscript"/>
        </w:rPr>
        <w:t>-1</w:t>
      </w:r>
      <w:r>
        <w:rPr>
          <w:sz w:val="28"/>
          <w:szCs w:val="28"/>
          <w:vertAlign w:val="subscript"/>
          <w:lang w:val="en-US"/>
        </w:rPr>
        <w:t>S</w:t>
      </w:r>
      <w:r w:rsidRPr="006D3E8F">
        <w:rPr>
          <w:sz w:val="28"/>
          <w:szCs w:val="28"/>
          <w:vertAlign w:val="subscript"/>
        </w:rPr>
        <w:t>ар</w:t>
      </w:r>
      <w:r>
        <w:rPr>
          <w:sz w:val="28"/>
          <w:szCs w:val="28"/>
          <w:vertAlign w:val="subscript"/>
        </w:rPr>
        <w:t xml:space="preserve"> </w:t>
      </w:r>
    </w:p>
    <w:p w:rsidR="00CE1891" w:rsidRPr="00010388" w:rsidRDefault="00CE1891" w:rsidP="00CE1891">
      <w:pPr>
        <w:widowControl w:val="0"/>
        <w:ind w:firstLine="709"/>
        <w:jc w:val="center"/>
        <w:rPr>
          <w:sz w:val="28"/>
          <w:szCs w:val="28"/>
          <w:vertAlign w:val="subscript"/>
        </w:rPr>
      </w:pPr>
    </w:p>
    <w:p w:rsidR="00CE1891" w:rsidRDefault="00CE1891" w:rsidP="00CE1891">
      <w:pPr>
        <w:widowControl w:val="0"/>
        <w:ind w:firstLine="709"/>
        <w:jc w:val="both"/>
        <w:rPr>
          <w:sz w:val="28"/>
          <w:szCs w:val="28"/>
        </w:rPr>
      </w:pPr>
      <w:r>
        <w:rPr>
          <w:sz w:val="28"/>
          <w:szCs w:val="28"/>
        </w:rPr>
        <w:t>где:</w:t>
      </w:r>
    </w:p>
    <w:p w:rsidR="00CE1891" w:rsidRDefault="00CE1891" w:rsidP="00CE1891">
      <w:pPr>
        <w:widowControl w:val="0"/>
        <w:ind w:firstLine="709"/>
        <w:jc w:val="both"/>
        <w:rPr>
          <w:sz w:val="28"/>
          <w:szCs w:val="28"/>
        </w:rPr>
      </w:pPr>
      <w:r w:rsidRPr="006D3E8F">
        <w:rPr>
          <w:sz w:val="28"/>
          <w:szCs w:val="28"/>
          <w:lang w:val="en-US"/>
        </w:rPr>
        <w:t>Q</w:t>
      </w:r>
      <w:r w:rsidRPr="006D3E8F">
        <w:rPr>
          <w:sz w:val="28"/>
          <w:szCs w:val="28"/>
          <w:vertAlign w:val="superscript"/>
          <w:lang w:val="en-US"/>
        </w:rPr>
        <w:t>n</w:t>
      </w:r>
      <w:r>
        <w:rPr>
          <w:sz w:val="28"/>
          <w:szCs w:val="28"/>
          <w:vertAlign w:val="subscript"/>
          <w:lang w:val="en-US"/>
        </w:rPr>
        <w:t>S</w:t>
      </w:r>
      <w:r w:rsidRPr="006D3E8F">
        <w:rPr>
          <w:sz w:val="28"/>
          <w:szCs w:val="28"/>
          <w:vertAlign w:val="subscript"/>
        </w:rPr>
        <w:t>ар</w:t>
      </w:r>
      <w:r>
        <w:rPr>
          <w:sz w:val="28"/>
          <w:szCs w:val="28"/>
          <w:vertAlign w:val="subscript"/>
        </w:rPr>
        <w:t xml:space="preserve"> </w:t>
      </w:r>
      <w:r w:rsidRPr="006D3E8F">
        <w:rPr>
          <w:sz w:val="28"/>
          <w:szCs w:val="28"/>
        </w:rPr>
        <w:t>- объем лесных ресурсов (за исключением древесины), подлежащий заготовке по договорам аренды лесных участков, находящихся в федеральной собственности, за год (</w:t>
      </w:r>
      <w:r>
        <w:rPr>
          <w:sz w:val="28"/>
          <w:szCs w:val="28"/>
        </w:rPr>
        <w:t>га</w:t>
      </w:r>
      <w:r w:rsidRPr="006D3E8F">
        <w:rPr>
          <w:sz w:val="28"/>
          <w:szCs w:val="28"/>
        </w:rPr>
        <w:t>);</w:t>
      </w:r>
    </w:p>
    <w:p w:rsidR="00CE1891" w:rsidRPr="006D3E8F" w:rsidRDefault="00CE1891" w:rsidP="00CE1891">
      <w:pPr>
        <w:widowControl w:val="0"/>
        <w:ind w:firstLine="709"/>
        <w:jc w:val="both"/>
        <w:rPr>
          <w:sz w:val="28"/>
          <w:szCs w:val="28"/>
        </w:rPr>
      </w:pPr>
      <w:r w:rsidRPr="006D3E8F">
        <w:rPr>
          <w:sz w:val="28"/>
          <w:szCs w:val="28"/>
          <w:lang w:val="en-US"/>
        </w:rPr>
        <w:t>Q</w:t>
      </w:r>
      <w:r w:rsidRPr="006D3E8F">
        <w:rPr>
          <w:sz w:val="28"/>
          <w:szCs w:val="28"/>
          <w:vertAlign w:val="superscript"/>
          <w:lang w:val="en-US"/>
        </w:rPr>
        <w:t>n</w:t>
      </w:r>
      <w:r w:rsidRPr="006D3E8F">
        <w:rPr>
          <w:sz w:val="28"/>
          <w:szCs w:val="28"/>
          <w:vertAlign w:val="superscript"/>
        </w:rPr>
        <w:t>-1</w:t>
      </w:r>
      <w:r>
        <w:rPr>
          <w:sz w:val="28"/>
          <w:szCs w:val="28"/>
          <w:vertAlign w:val="subscript"/>
          <w:lang w:val="en-US"/>
        </w:rPr>
        <w:t>S</w:t>
      </w:r>
      <w:r w:rsidRPr="006D3E8F">
        <w:rPr>
          <w:sz w:val="28"/>
          <w:szCs w:val="28"/>
          <w:vertAlign w:val="subscript"/>
        </w:rPr>
        <w:t>ар</w:t>
      </w:r>
      <w:r>
        <w:rPr>
          <w:sz w:val="28"/>
          <w:szCs w:val="28"/>
          <w:vertAlign w:val="subscript"/>
        </w:rPr>
        <w:t xml:space="preserve"> </w:t>
      </w:r>
      <w:r w:rsidRPr="006D3E8F">
        <w:rPr>
          <w:sz w:val="28"/>
          <w:szCs w:val="28"/>
        </w:rPr>
        <w:t>- объем лесных ресурсов (за исключением древесины), подлежащий заготовке по договорам аренды лесных участков, находящихся в федеральной собственности, за предыдущий год (</w:t>
      </w:r>
      <w:r>
        <w:rPr>
          <w:sz w:val="28"/>
          <w:szCs w:val="28"/>
        </w:rPr>
        <w:t>га</w:t>
      </w:r>
      <w:r w:rsidRPr="006D3E8F">
        <w:rPr>
          <w:sz w:val="28"/>
          <w:szCs w:val="28"/>
        </w:rPr>
        <w:t>);</w:t>
      </w:r>
    </w:p>
    <w:p w:rsidR="00CE1891" w:rsidRPr="006D3E8F" w:rsidRDefault="00CE1891" w:rsidP="00CE1891">
      <w:pPr>
        <w:widowControl w:val="0"/>
        <w:ind w:firstLine="709"/>
        <w:jc w:val="center"/>
        <w:rPr>
          <w:sz w:val="28"/>
          <w:szCs w:val="28"/>
        </w:rPr>
      </w:pPr>
    </w:p>
    <w:p w:rsidR="00CE1891" w:rsidRDefault="00CE1891" w:rsidP="00CE1891">
      <w:pPr>
        <w:widowControl w:val="0"/>
        <w:ind w:firstLine="709"/>
        <w:jc w:val="both"/>
        <w:rPr>
          <w:sz w:val="28"/>
          <w:szCs w:val="28"/>
        </w:rPr>
      </w:pPr>
      <w:r>
        <w:rPr>
          <w:sz w:val="28"/>
          <w:szCs w:val="28"/>
        </w:rPr>
        <w:t>в том числе по годам:</w:t>
      </w:r>
    </w:p>
    <w:p w:rsidR="00CE1891" w:rsidRPr="00010388" w:rsidRDefault="00CE1891" w:rsidP="00CE1891">
      <w:pPr>
        <w:widowControl w:val="0"/>
        <w:ind w:firstLine="709"/>
        <w:jc w:val="center"/>
        <w:rPr>
          <w:sz w:val="28"/>
          <w:szCs w:val="28"/>
        </w:rPr>
      </w:pPr>
    </w:p>
    <w:p w:rsidR="00CE1891" w:rsidRPr="00B9057F" w:rsidRDefault="00CE1891" w:rsidP="00CE1891">
      <w:pPr>
        <w:widowControl w:val="0"/>
        <w:ind w:firstLine="709"/>
        <w:jc w:val="both"/>
        <w:rPr>
          <w:sz w:val="28"/>
          <w:szCs w:val="28"/>
        </w:rPr>
      </w:pPr>
      <w:r w:rsidRPr="003D3489">
        <w:rPr>
          <w:sz w:val="28"/>
          <w:szCs w:val="28"/>
        </w:rPr>
        <w:t xml:space="preserve"> </w:t>
      </w:r>
      <w:r>
        <w:rPr>
          <w:sz w:val="28"/>
          <w:szCs w:val="28"/>
        </w:rPr>
        <w:t xml:space="preserve">а) </w:t>
      </w:r>
      <w:r w:rsidRPr="003D3489">
        <w:rPr>
          <w:sz w:val="28"/>
          <w:szCs w:val="28"/>
        </w:rPr>
        <w:t>Т</w:t>
      </w:r>
      <w:r w:rsidRPr="003D3489">
        <w:rPr>
          <w:sz w:val="28"/>
          <w:szCs w:val="28"/>
          <w:vertAlign w:val="subscript"/>
        </w:rPr>
        <w:t>Sар</w:t>
      </w:r>
      <w:r>
        <w:rPr>
          <w:sz w:val="28"/>
          <w:szCs w:val="28"/>
          <w:vertAlign w:val="superscript"/>
        </w:rPr>
        <w:t>2018</w:t>
      </w:r>
      <w:r w:rsidRPr="003D3489">
        <w:rPr>
          <w:sz w:val="28"/>
          <w:szCs w:val="28"/>
        </w:rPr>
        <w:t xml:space="preserve"> </w:t>
      </w:r>
      <w:r w:rsidRPr="003D3489">
        <w:rPr>
          <w:rFonts w:eastAsia="Constantia"/>
          <w:i/>
          <w:iCs/>
          <w:sz w:val="28"/>
          <w:szCs w:val="28"/>
          <w:lang w:bidi="ru-RU"/>
        </w:rPr>
        <w:t>-</w:t>
      </w:r>
      <w:r w:rsidRPr="003D3489">
        <w:rPr>
          <w:sz w:val="28"/>
          <w:szCs w:val="28"/>
        </w:rPr>
        <w:t xml:space="preserve"> темп роста (снижения) площади лесных участков, находящихся в федеральной собственности, предоставленных по договорам аренды, за </w:t>
      </w:r>
      <w:r>
        <w:rPr>
          <w:sz w:val="28"/>
          <w:szCs w:val="28"/>
        </w:rPr>
        <w:t xml:space="preserve">2018 </w:t>
      </w:r>
      <w:r w:rsidRPr="003D3489">
        <w:rPr>
          <w:sz w:val="28"/>
          <w:szCs w:val="28"/>
        </w:rPr>
        <w:t xml:space="preserve">год (ед.), </w:t>
      </w:r>
      <w:r>
        <w:rPr>
          <w:sz w:val="28"/>
          <w:szCs w:val="28"/>
        </w:rPr>
        <w:t>0,79</w:t>
      </w:r>
      <w:r w:rsidRPr="00B9057F">
        <w:rPr>
          <w:sz w:val="28"/>
          <w:szCs w:val="28"/>
        </w:rPr>
        <w:t>:</w:t>
      </w:r>
    </w:p>
    <w:p w:rsidR="00CE1891" w:rsidRPr="00B9057F" w:rsidRDefault="00CE1891" w:rsidP="00CE1891">
      <w:pPr>
        <w:widowControl w:val="0"/>
        <w:ind w:firstLine="709"/>
        <w:jc w:val="both"/>
        <w:rPr>
          <w:sz w:val="28"/>
          <w:szCs w:val="28"/>
        </w:rPr>
      </w:pPr>
    </w:p>
    <w:p w:rsidR="00CE1891" w:rsidRDefault="00CE1891" w:rsidP="00CE1891">
      <w:pPr>
        <w:widowControl w:val="0"/>
        <w:ind w:firstLine="709"/>
        <w:jc w:val="center"/>
        <w:rPr>
          <w:sz w:val="28"/>
          <w:szCs w:val="28"/>
        </w:rPr>
      </w:pPr>
      <w:r w:rsidRPr="00B9057F">
        <w:rPr>
          <w:sz w:val="28"/>
          <w:szCs w:val="28"/>
        </w:rPr>
        <w:t>Т</w:t>
      </w:r>
      <w:r w:rsidRPr="00B9057F">
        <w:rPr>
          <w:sz w:val="28"/>
          <w:szCs w:val="28"/>
          <w:vertAlign w:val="subscript"/>
        </w:rPr>
        <w:t>Sар</w:t>
      </w:r>
      <w:r>
        <w:rPr>
          <w:sz w:val="28"/>
          <w:szCs w:val="28"/>
          <w:vertAlign w:val="superscript"/>
        </w:rPr>
        <w:t>2018</w:t>
      </w:r>
      <w:r w:rsidRPr="00B9057F">
        <w:rPr>
          <w:sz w:val="28"/>
          <w:szCs w:val="28"/>
        </w:rPr>
        <w:t xml:space="preserve"> = Q</w:t>
      </w:r>
      <w:r>
        <w:rPr>
          <w:sz w:val="28"/>
          <w:szCs w:val="28"/>
          <w:vertAlign w:val="superscript"/>
        </w:rPr>
        <w:t>2018</w:t>
      </w:r>
      <w:r w:rsidRPr="00B9057F">
        <w:rPr>
          <w:sz w:val="28"/>
          <w:szCs w:val="28"/>
          <w:vertAlign w:val="subscript"/>
        </w:rPr>
        <w:t>Sар</w:t>
      </w:r>
      <w:r w:rsidRPr="00B9057F">
        <w:rPr>
          <w:sz w:val="28"/>
          <w:szCs w:val="28"/>
        </w:rPr>
        <w:t xml:space="preserve"> / Q</w:t>
      </w:r>
      <w:r>
        <w:rPr>
          <w:sz w:val="28"/>
          <w:szCs w:val="28"/>
          <w:vertAlign w:val="superscript"/>
        </w:rPr>
        <w:t>2017</w:t>
      </w:r>
      <w:r w:rsidRPr="00B9057F">
        <w:rPr>
          <w:sz w:val="28"/>
          <w:szCs w:val="28"/>
          <w:vertAlign w:val="subscript"/>
        </w:rPr>
        <w:t>Sар</w:t>
      </w:r>
      <w:r w:rsidRPr="00B9057F">
        <w:rPr>
          <w:sz w:val="28"/>
          <w:szCs w:val="28"/>
        </w:rPr>
        <w:t>,</w:t>
      </w:r>
    </w:p>
    <w:p w:rsidR="00CE1891" w:rsidRPr="00B9057F" w:rsidRDefault="00CE1891" w:rsidP="00CE1891">
      <w:pPr>
        <w:widowControl w:val="0"/>
        <w:ind w:firstLine="709"/>
        <w:jc w:val="center"/>
        <w:rPr>
          <w:sz w:val="28"/>
          <w:szCs w:val="28"/>
        </w:rPr>
      </w:pPr>
      <w:r>
        <w:rPr>
          <w:sz w:val="28"/>
          <w:szCs w:val="28"/>
        </w:rPr>
        <w:t>0,79 = 601,5/</w:t>
      </w:r>
      <w:r w:rsidRPr="00F178AF">
        <w:rPr>
          <w:sz w:val="28"/>
          <w:szCs w:val="28"/>
        </w:rPr>
        <w:t>760,7</w:t>
      </w:r>
    </w:p>
    <w:p w:rsidR="00CE1891" w:rsidRPr="00B9057F" w:rsidRDefault="00CE1891" w:rsidP="00CE1891">
      <w:pPr>
        <w:widowControl w:val="0"/>
        <w:ind w:firstLine="709"/>
        <w:jc w:val="center"/>
        <w:rPr>
          <w:sz w:val="28"/>
          <w:szCs w:val="28"/>
        </w:rPr>
      </w:pPr>
    </w:p>
    <w:p w:rsidR="00CE1891" w:rsidRPr="00B9057F" w:rsidRDefault="00CE1891" w:rsidP="00CE1891">
      <w:pPr>
        <w:widowControl w:val="0"/>
        <w:ind w:firstLine="709"/>
        <w:jc w:val="both"/>
        <w:rPr>
          <w:sz w:val="28"/>
          <w:szCs w:val="28"/>
        </w:rPr>
      </w:pPr>
      <w:r w:rsidRPr="00B9057F">
        <w:rPr>
          <w:sz w:val="28"/>
          <w:szCs w:val="28"/>
        </w:rPr>
        <w:t>где:</w:t>
      </w:r>
    </w:p>
    <w:p w:rsidR="00CE1891" w:rsidRPr="00B9057F" w:rsidRDefault="00CE1891" w:rsidP="00CE1891">
      <w:pPr>
        <w:widowControl w:val="0"/>
        <w:ind w:firstLine="709"/>
        <w:jc w:val="both"/>
        <w:rPr>
          <w:sz w:val="28"/>
          <w:szCs w:val="28"/>
        </w:rPr>
      </w:pPr>
      <w:r w:rsidRPr="00B9057F">
        <w:rPr>
          <w:sz w:val="28"/>
          <w:szCs w:val="28"/>
        </w:rPr>
        <w:t>Q</w:t>
      </w:r>
      <w:r>
        <w:rPr>
          <w:sz w:val="28"/>
          <w:szCs w:val="28"/>
          <w:vertAlign w:val="superscript"/>
        </w:rPr>
        <w:t>2018</w:t>
      </w:r>
      <w:r w:rsidRPr="00B9057F">
        <w:rPr>
          <w:sz w:val="28"/>
          <w:szCs w:val="28"/>
          <w:vertAlign w:val="subscript"/>
        </w:rPr>
        <w:t>Sар</w:t>
      </w:r>
      <w:r w:rsidRPr="00B9057F">
        <w:rPr>
          <w:sz w:val="28"/>
          <w:szCs w:val="28"/>
        </w:rPr>
        <w:t xml:space="preserve"> </w:t>
      </w:r>
      <w:r w:rsidRPr="00464704">
        <w:rPr>
          <w:rFonts w:eastAsia="Constantia"/>
          <w:i/>
          <w:iCs/>
          <w:color w:val="000000"/>
          <w:sz w:val="28"/>
          <w:szCs w:val="28"/>
          <w:lang w:bidi="ru-RU"/>
        </w:rPr>
        <w:t>-</w:t>
      </w:r>
      <w:r w:rsidRPr="00B9057F">
        <w:rPr>
          <w:sz w:val="28"/>
          <w:szCs w:val="28"/>
        </w:rPr>
        <w:t xml:space="preserve"> площадь лесных участков, находящихся в федеральной собственности, предоставленных </w:t>
      </w:r>
      <w:r>
        <w:rPr>
          <w:sz w:val="28"/>
          <w:szCs w:val="28"/>
        </w:rPr>
        <w:t xml:space="preserve">по договорам аренды, за 2018 год, </w:t>
      </w:r>
      <w:r w:rsidRPr="00F178AF">
        <w:rPr>
          <w:sz w:val="28"/>
          <w:szCs w:val="28"/>
        </w:rPr>
        <w:t>601,5</w:t>
      </w:r>
      <w:r>
        <w:rPr>
          <w:sz w:val="28"/>
          <w:szCs w:val="28"/>
        </w:rPr>
        <w:t xml:space="preserve"> га</w:t>
      </w:r>
      <w:r w:rsidRPr="00B9057F">
        <w:rPr>
          <w:sz w:val="28"/>
          <w:szCs w:val="28"/>
        </w:rPr>
        <w:t>;</w:t>
      </w:r>
    </w:p>
    <w:p w:rsidR="00CE1891" w:rsidRDefault="00CE1891" w:rsidP="00CE1891">
      <w:pPr>
        <w:widowControl w:val="0"/>
        <w:ind w:firstLine="709"/>
        <w:jc w:val="both"/>
        <w:rPr>
          <w:sz w:val="28"/>
          <w:szCs w:val="28"/>
        </w:rPr>
      </w:pPr>
      <w:r w:rsidRPr="00B9057F">
        <w:rPr>
          <w:sz w:val="28"/>
          <w:szCs w:val="28"/>
        </w:rPr>
        <w:t>Q</w:t>
      </w:r>
      <w:r>
        <w:rPr>
          <w:sz w:val="28"/>
          <w:szCs w:val="28"/>
          <w:vertAlign w:val="superscript"/>
        </w:rPr>
        <w:t>2017</w:t>
      </w:r>
      <w:r w:rsidRPr="00B9057F">
        <w:rPr>
          <w:sz w:val="28"/>
          <w:szCs w:val="28"/>
          <w:vertAlign w:val="subscript"/>
        </w:rPr>
        <w:t>Sар</w:t>
      </w:r>
      <w:r w:rsidRPr="00B9057F">
        <w:rPr>
          <w:sz w:val="28"/>
          <w:szCs w:val="28"/>
        </w:rPr>
        <w:t xml:space="preserve"> </w:t>
      </w:r>
      <w:r w:rsidRPr="00464704">
        <w:rPr>
          <w:rFonts w:eastAsia="Constantia"/>
          <w:i/>
          <w:iCs/>
          <w:color w:val="000000"/>
          <w:sz w:val="28"/>
          <w:szCs w:val="28"/>
          <w:lang w:bidi="ru-RU"/>
        </w:rPr>
        <w:t>-</w:t>
      </w:r>
      <w:r w:rsidRPr="00B9057F">
        <w:rPr>
          <w:sz w:val="28"/>
          <w:szCs w:val="28"/>
        </w:rPr>
        <w:t xml:space="preserve"> площадь лесных участков, находящихся в федеральной собственности, предоставленных по договорам аренды, за </w:t>
      </w:r>
      <w:r>
        <w:rPr>
          <w:sz w:val="28"/>
          <w:szCs w:val="28"/>
        </w:rPr>
        <w:t xml:space="preserve">2017 </w:t>
      </w:r>
      <w:r w:rsidRPr="00B9057F">
        <w:rPr>
          <w:sz w:val="28"/>
          <w:szCs w:val="28"/>
        </w:rPr>
        <w:t>год</w:t>
      </w:r>
      <w:r>
        <w:rPr>
          <w:sz w:val="28"/>
          <w:szCs w:val="28"/>
        </w:rPr>
        <w:t>,</w:t>
      </w:r>
      <w:r w:rsidRPr="00B9057F">
        <w:rPr>
          <w:sz w:val="28"/>
          <w:szCs w:val="28"/>
        </w:rPr>
        <w:t xml:space="preserve"> </w:t>
      </w:r>
      <w:r w:rsidRPr="00F178AF">
        <w:rPr>
          <w:sz w:val="28"/>
          <w:szCs w:val="28"/>
        </w:rPr>
        <w:t>760,7</w:t>
      </w:r>
      <w:r>
        <w:rPr>
          <w:sz w:val="28"/>
          <w:szCs w:val="28"/>
        </w:rPr>
        <w:t xml:space="preserve"> га;</w:t>
      </w:r>
    </w:p>
    <w:p w:rsidR="00CE1891" w:rsidRDefault="00CE1891" w:rsidP="00CE1891">
      <w:pPr>
        <w:widowControl w:val="0"/>
        <w:ind w:firstLine="709"/>
        <w:jc w:val="both"/>
        <w:rPr>
          <w:sz w:val="28"/>
          <w:szCs w:val="28"/>
        </w:rPr>
      </w:pPr>
    </w:p>
    <w:p w:rsidR="00CE1891" w:rsidRPr="00F178AF" w:rsidRDefault="00CE1891" w:rsidP="00CE1891">
      <w:pPr>
        <w:widowControl w:val="0"/>
        <w:ind w:firstLine="709"/>
        <w:jc w:val="both"/>
        <w:rPr>
          <w:sz w:val="28"/>
          <w:szCs w:val="28"/>
        </w:rPr>
      </w:pPr>
      <w:r>
        <w:rPr>
          <w:sz w:val="28"/>
          <w:szCs w:val="28"/>
        </w:rPr>
        <w:t xml:space="preserve">б) </w:t>
      </w:r>
      <w:r w:rsidRPr="003D3489">
        <w:rPr>
          <w:sz w:val="28"/>
          <w:szCs w:val="28"/>
        </w:rPr>
        <w:t>Т</w:t>
      </w:r>
      <w:r w:rsidRPr="003D3489">
        <w:rPr>
          <w:sz w:val="28"/>
          <w:szCs w:val="28"/>
          <w:vertAlign w:val="subscript"/>
        </w:rPr>
        <w:t>Sар</w:t>
      </w:r>
      <w:r>
        <w:rPr>
          <w:sz w:val="28"/>
          <w:szCs w:val="28"/>
          <w:vertAlign w:val="superscript"/>
        </w:rPr>
        <w:t>2019</w:t>
      </w:r>
      <w:r w:rsidRPr="003D3489">
        <w:rPr>
          <w:sz w:val="28"/>
          <w:szCs w:val="28"/>
        </w:rPr>
        <w:t xml:space="preserve"> </w:t>
      </w:r>
      <w:r w:rsidRPr="003D3489">
        <w:rPr>
          <w:rFonts w:eastAsia="Constantia"/>
          <w:i/>
          <w:iCs/>
          <w:sz w:val="28"/>
          <w:szCs w:val="28"/>
          <w:lang w:bidi="ru-RU"/>
        </w:rPr>
        <w:t>-</w:t>
      </w:r>
      <w:r w:rsidRPr="003D3489">
        <w:rPr>
          <w:sz w:val="28"/>
          <w:szCs w:val="28"/>
        </w:rPr>
        <w:t xml:space="preserve"> темп роста (снижения) площади лесных участков, находящихся в федеральной собственности, предоставленных по договорам аренды, за </w:t>
      </w:r>
      <w:r>
        <w:rPr>
          <w:sz w:val="28"/>
          <w:szCs w:val="28"/>
        </w:rPr>
        <w:t xml:space="preserve">2019 </w:t>
      </w:r>
      <w:r w:rsidRPr="003D3489">
        <w:rPr>
          <w:sz w:val="28"/>
          <w:szCs w:val="28"/>
        </w:rPr>
        <w:t>год (ед</w:t>
      </w:r>
      <w:r w:rsidRPr="00F178AF">
        <w:rPr>
          <w:sz w:val="28"/>
          <w:szCs w:val="28"/>
        </w:rPr>
        <w:t>.), 0,88:</w:t>
      </w:r>
    </w:p>
    <w:p w:rsidR="00CE1891" w:rsidRPr="00B9057F" w:rsidRDefault="00CE1891" w:rsidP="00CE1891">
      <w:pPr>
        <w:widowControl w:val="0"/>
        <w:ind w:firstLine="709"/>
        <w:jc w:val="both"/>
        <w:rPr>
          <w:sz w:val="28"/>
          <w:szCs w:val="28"/>
        </w:rPr>
      </w:pPr>
    </w:p>
    <w:p w:rsidR="00CE1891" w:rsidRDefault="00CE1891" w:rsidP="00CE1891">
      <w:pPr>
        <w:widowControl w:val="0"/>
        <w:ind w:firstLine="709"/>
        <w:jc w:val="center"/>
        <w:rPr>
          <w:sz w:val="28"/>
          <w:szCs w:val="28"/>
        </w:rPr>
      </w:pPr>
      <w:r w:rsidRPr="00B9057F">
        <w:rPr>
          <w:sz w:val="28"/>
          <w:szCs w:val="28"/>
        </w:rPr>
        <w:t>Т</w:t>
      </w:r>
      <w:r w:rsidRPr="00B9057F">
        <w:rPr>
          <w:sz w:val="28"/>
          <w:szCs w:val="28"/>
          <w:vertAlign w:val="subscript"/>
        </w:rPr>
        <w:t>Sар</w:t>
      </w:r>
      <w:r>
        <w:rPr>
          <w:sz w:val="28"/>
          <w:szCs w:val="28"/>
          <w:vertAlign w:val="superscript"/>
        </w:rPr>
        <w:t xml:space="preserve">2019 </w:t>
      </w:r>
      <w:r>
        <w:rPr>
          <w:sz w:val="28"/>
          <w:szCs w:val="28"/>
        </w:rPr>
        <w:t xml:space="preserve">= </w:t>
      </w:r>
      <w:r w:rsidRPr="00B9057F">
        <w:rPr>
          <w:sz w:val="28"/>
          <w:szCs w:val="28"/>
        </w:rPr>
        <w:t>Q</w:t>
      </w:r>
      <w:r>
        <w:rPr>
          <w:sz w:val="28"/>
          <w:szCs w:val="28"/>
          <w:vertAlign w:val="superscript"/>
        </w:rPr>
        <w:t>2019</w:t>
      </w:r>
      <w:r w:rsidRPr="00B9057F">
        <w:rPr>
          <w:sz w:val="28"/>
          <w:szCs w:val="28"/>
          <w:vertAlign w:val="subscript"/>
        </w:rPr>
        <w:t>Sар</w:t>
      </w:r>
      <w:r w:rsidRPr="00B9057F">
        <w:rPr>
          <w:sz w:val="28"/>
          <w:szCs w:val="28"/>
        </w:rPr>
        <w:t xml:space="preserve"> / Q</w:t>
      </w:r>
      <w:r>
        <w:rPr>
          <w:sz w:val="28"/>
          <w:szCs w:val="28"/>
          <w:vertAlign w:val="superscript"/>
        </w:rPr>
        <w:t>2018</w:t>
      </w:r>
      <w:r w:rsidRPr="00B9057F">
        <w:rPr>
          <w:sz w:val="28"/>
          <w:szCs w:val="28"/>
          <w:vertAlign w:val="subscript"/>
        </w:rPr>
        <w:t>Sар</w:t>
      </w:r>
      <w:r w:rsidRPr="00B9057F">
        <w:rPr>
          <w:sz w:val="28"/>
          <w:szCs w:val="28"/>
        </w:rPr>
        <w:t>,</w:t>
      </w:r>
    </w:p>
    <w:p w:rsidR="00CE1891" w:rsidRPr="00B9057F" w:rsidRDefault="00CE1891" w:rsidP="00CE1891">
      <w:pPr>
        <w:widowControl w:val="0"/>
        <w:ind w:firstLine="709"/>
        <w:jc w:val="center"/>
        <w:rPr>
          <w:sz w:val="28"/>
          <w:szCs w:val="28"/>
        </w:rPr>
      </w:pPr>
      <w:r>
        <w:rPr>
          <w:sz w:val="28"/>
          <w:szCs w:val="28"/>
        </w:rPr>
        <w:t>0,</w:t>
      </w:r>
      <w:r w:rsidRPr="00010388">
        <w:rPr>
          <w:sz w:val="28"/>
          <w:szCs w:val="28"/>
        </w:rPr>
        <w:t>88</w:t>
      </w:r>
      <w:r>
        <w:rPr>
          <w:sz w:val="28"/>
          <w:szCs w:val="28"/>
        </w:rPr>
        <w:t xml:space="preserve"> = </w:t>
      </w:r>
      <w:r w:rsidRPr="00F178AF">
        <w:rPr>
          <w:sz w:val="28"/>
          <w:szCs w:val="28"/>
        </w:rPr>
        <w:t>525,3</w:t>
      </w:r>
      <w:r>
        <w:rPr>
          <w:sz w:val="28"/>
          <w:szCs w:val="28"/>
        </w:rPr>
        <w:t>/</w:t>
      </w:r>
      <w:r w:rsidRPr="00F178AF">
        <w:rPr>
          <w:sz w:val="28"/>
          <w:szCs w:val="28"/>
        </w:rPr>
        <w:t>601,5</w:t>
      </w:r>
    </w:p>
    <w:p w:rsidR="00CE1891" w:rsidRPr="00B9057F" w:rsidRDefault="00CE1891" w:rsidP="00CE1891">
      <w:pPr>
        <w:widowControl w:val="0"/>
        <w:ind w:firstLine="709"/>
        <w:jc w:val="center"/>
        <w:rPr>
          <w:sz w:val="28"/>
          <w:szCs w:val="28"/>
        </w:rPr>
      </w:pPr>
    </w:p>
    <w:p w:rsidR="00CE1891" w:rsidRPr="00B9057F" w:rsidRDefault="00CE1891" w:rsidP="00CE1891">
      <w:pPr>
        <w:widowControl w:val="0"/>
        <w:ind w:firstLine="709"/>
        <w:jc w:val="both"/>
        <w:rPr>
          <w:sz w:val="28"/>
          <w:szCs w:val="28"/>
        </w:rPr>
      </w:pPr>
      <w:r w:rsidRPr="00B9057F">
        <w:rPr>
          <w:sz w:val="28"/>
          <w:szCs w:val="28"/>
        </w:rPr>
        <w:t>где:</w:t>
      </w:r>
    </w:p>
    <w:p w:rsidR="00CE1891" w:rsidRPr="00B9057F" w:rsidRDefault="00CE1891" w:rsidP="00CE1891">
      <w:pPr>
        <w:widowControl w:val="0"/>
        <w:ind w:firstLine="709"/>
        <w:jc w:val="both"/>
        <w:rPr>
          <w:sz w:val="28"/>
          <w:szCs w:val="28"/>
        </w:rPr>
      </w:pPr>
      <w:r w:rsidRPr="00B9057F">
        <w:rPr>
          <w:sz w:val="28"/>
          <w:szCs w:val="28"/>
        </w:rPr>
        <w:t>Q</w:t>
      </w:r>
      <w:r>
        <w:rPr>
          <w:sz w:val="28"/>
          <w:szCs w:val="28"/>
          <w:vertAlign w:val="superscript"/>
        </w:rPr>
        <w:t>2019</w:t>
      </w:r>
      <w:r w:rsidRPr="00B9057F">
        <w:rPr>
          <w:sz w:val="28"/>
          <w:szCs w:val="28"/>
          <w:vertAlign w:val="subscript"/>
        </w:rPr>
        <w:t>Sар</w:t>
      </w:r>
      <w:r w:rsidRPr="00B9057F">
        <w:rPr>
          <w:sz w:val="28"/>
          <w:szCs w:val="28"/>
        </w:rPr>
        <w:t xml:space="preserve"> </w:t>
      </w:r>
      <w:r w:rsidRPr="00464704">
        <w:rPr>
          <w:rFonts w:eastAsia="Constantia"/>
          <w:i/>
          <w:iCs/>
          <w:color w:val="000000"/>
          <w:sz w:val="28"/>
          <w:szCs w:val="28"/>
          <w:lang w:bidi="ru-RU"/>
        </w:rPr>
        <w:t>-</w:t>
      </w:r>
      <w:r w:rsidRPr="00B9057F">
        <w:rPr>
          <w:sz w:val="28"/>
          <w:szCs w:val="28"/>
        </w:rPr>
        <w:t xml:space="preserve"> площадь лесных участков, находящихся в федеральной собственности, предоставленных </w:t>
      </w:r>
      <w:r>
        <w:rPr>
          <w:sz w:val="28"/>
          <w:szCs w:val="28"/>
        </w:rPr>
        <w:t xml:space="preserve">по договорам аренды, за 2019 год, </w:t>
      </w:r>
      <w:r w:rsidRPr="00F178AF">
        <w:rPr>
          <w:sz w:val="28"/>
          <w:szCs w:val="28"/>
        </w:rPr>
        <w:t>525,3</w:t>
      </w:r>
      <w:r>
        <w:rPr>
          <w:sz w:val="28"/>
          <w:szCs w:val="28"/>
        </w:rPr>
        <w:t xml:space="preserve"> га</w:t>
      </w:r>
      <w:r w:rsidRPr="00B9057F">
        <w:rPr>
          <w:sz w:val="28"/>
          <w:szCs w:val="28"/>
        </w:rPr>
        <w:t>;</w:t>
      </w:r>
    </w:p>
    <w:p w:rsidR="00CE1891" w:rsidRDefault="00CE1891" w:rsidP="00CE1891">
      <w:pPr>
        <w:widowControl w:val="0"/>
        <w:ind w:firstLine="709"/>
        <w:jc w:val="both"/>
        <w:rPr>
          <w:sz w:val="28"/>
          <w:szCs w:val="28"/>
        </w:rPr>
      </w:pPr>
      <w:r w:rsidRPr="00B9057F">
        <w:rPr>
          <w:sz w:val="28"/>
          <w:szCs w:val="28"/>
        </w:rPr>
        <w:t>Q</w:t>
      </w:r>
      <w:r>
        <w:rPr>
          <w:sz w:val="28"/>
          <w:szCs w:val="28"/>
          <w:vertAlign w:val="superscript"/>
        </w:rPr>
        <w:t>2018</w:t>
      </w:r>
      <w:r w:rsidRPr="00B9057F">
        <w:rPr>
          <w:sz w:val="28"/>
          <w:szCs w:val="28"/>
          <w:vertAlign w:val="subscript"/>
        </w:rPr>
        <w:t>Sар</w:t>
      </w:r>
      <w:r w:rsidRPr="00B9057F">
        <w:rPr>
          <w:sz w:val="28"/>
          <w:szCs w:val="28"/>
        </w:rPr>
        <w:t xml:space="preserve"> </w:t>
      </w:r>
      <w:r w:rsidRPr="00464704">
        <w:rPr>
          <w:rFonts w:eastAsia="Constantia"/>
          <w:i/>
          <w:iCs/>
          <w:color w:val="000000"/>
          <w:sz w:val="28"/>
          <w:szCs w:val="28"/>
          <w:lang w:bidi="ru-RU"/>
        </w:rPr>
        <w:t>-</w:t>
      </w:r>
      <w:r w:rsidRPr="00B9057F">
        <w:rPr>
          <w:sz w:val="28"/>
          <w:szCs w:val="28"/>
        </w:rPr>
        <w:t xml:space="preserve"> площадь лесных участков, находящихся в федеральной </w:t>
      </w:r>
      <w:r w:rsidRPr="00B9057F">
        <w:rPr>
          <w:sz w:val="28"/>
          <w:szCs w:val="28"/>
        </w:rPr>
        <w:lastRenderedPageBreak/>
        <w:t xml:space="preserve">собственности, предоставленных по договорам аренды, за </w:t>
      </w:r>
      <w:r>
        <w:rPr>
          <w:sz w:val="28"/>
          <w:szCs w:val="28"/>
        </w:rPr>
        <w:t xml:space="preserve">2018 </w:t>
      </w:r>
      <w:r w:rsidRPr="00B9057F">
        <w:rPr>
          <w:sz w:val="28"/>
          <w:szCs w:val="28"/>
        </w:rPr>
        <w:t>год</w:t>
      </w:r>
      <w:r>
        <w:rPr>
          <w:sz w:val="28"/>
          <w:szCs w:val="28"/>
        </w:rPr>
        <w:t>,</w:t>
      </w:r>
      <w:r w:rsidRPr="00B9057F">
        <w:rPr>
          <w:sz w:val="28"/>
          <w:szCs w:val="28"/>
        </w:rPr>
        <w:t xml:space="preserve"> </w:t>
      </w:r>
      <w:r w:rsidRPr="00F178AF">
        <w:rPr>
          <w:sz w:val="28"/>
          <w:szCs w:val="28"/>
        </w:rPr>
        <w:t xml:space="preserve">601,5 </w:t>
      </w:r>
      <w:r>
        <w:rPr>
          <w:sz w:val="28"/>
          <w:szCs w:val="28"/>
        </w:rPr>
        <w:t>га;</w:t>
      </w:r>
    </w:p>
    <w:p w:rsidR="00CE1891" w:rsidRDefault="00CE1891" w:rsidP="00CE1891">
      <w:pPr>
        <w:widowControl w:val="0"/>
        <w:ind w:firstLine="709"/>
        <w:jc w:val="both"/>
        <w:rPr>
          <w:sz w:val="28"/>
          <w:szCs w:val="28"/>
        </w:rPr>
      </w:pPr>
    </w:p>
    <w:p w:rsidR="00CE1891" w:rsidRPr="00F178AF" w:rsidRDefault="00CE1891" w:rsidP="00CE1891">
      <w:pPr>
        <w:widowControl w:val="0"/>
        <w:ind w:firstLine="709"/>
        <w:jc w:val="both"/>
        <w:rPr>
          <w:sz w:val="28"/>
          <w:szCs w:val="28"/>
        </w:rPr>
      </w:pPr>
      <w:r>
        <w:rPr>
          <w:sz w:val="28"/>
          <w:szCs w:val="28"/>
        </w:rPr>
        <w:t xml:space="preserve">в) </w:t>
      </w:r>
      <w:r w:rsidRPr="003D3489">
        <w:rPr>
          <w:sz w:val="28"/>
          <w:szCs w:val="28"/>
        </w:rPr>
        <w:t>Т</w:t>
      </w:r>
      <w:r w:rsidRPr="003D3489">
        <w:rPr>
          <w:sz w:val="28"/>
          <w:szCs w:val="28"/>
          <w:vertAlign w:val="subscript"/>
        </w:rPr>
        <w:t>Sар</w:t>
      </w:r>
      <w:r>
        <w:rPr>
          <w:sz w:val="28"/>
          <w:szCs w:val="28"/>
          <w:vertAlign w:val="superscript"/>
        </w:rPr>
        <w:t>2020</w:t>
      </w:r>
      <w:r w:rsidRPr="003D3489">
        <w:rPr>
          <w:sz w:val="28"/>
          <w:szCs w:val="28"/>
        </w:rPr>
        <w:t xml:space="preserve"> </w:t>
      </w:r>
      <w:r w:rsidRPr="003D3489">
        <w:rPr>
          <w:rFonts w:eastAsia="Constantia"/>
          <w:i/>
          <w:iCs/>
          <w:sz w:val="28"/>
          <w:szCs w:val="28"/>
          <w:lang w:bidi="ru-RU"/>
        </w:rPr>
        <w:t>-</w:t>
      </w:r>
      <w:r w:rsidRPr="003D3489">
        <w:rPr>
          <w:sz w:val="28"/>
          <w:szCs w:val="28"/>
        </w:rPr>
        <w:t xml:space="preserve"> темп роста (снижения) площади лесных участков, находящихся в федеральной собственности, предоставленных по договорам аренды, за </w:t>
      </w:r>
      <w:r>
        <w:rPr>
          <w:sz w:val="28"/>
          <w:szCs w:val="28"/>
        </w:rPr>
        <w:t xml:space="preserve">2020 </w:t>
      </w:r>
      <w:r w:rsidRPr="003D3489">
        <w:rPr>
          <w:sz w:val="28"/>
          <w:szCs w:val="28"/>
        </w:rPr>
        <w:t>год (ед</w:t>
      </w:r>
      <w:r w:rsidRPr="00F178AF">
        <w:rPr>
          <w:sz w:val="28"/>
          <w:szCs w:val="28"/>
        </w:rPr>
        <w:t>.), 0,97:</w:t>
      </w:r>
    </w:p>
    <w:p w:rsidR="00CE1891" w:rsidRPr="00B9057F" w:rsidRDefault="00CE1891" w:rsidP="00CE1891">
      <w:pPr>
        <w:widowControl w:val="0"/>
        <w:ind w:firstLine="709"/>
        <w:jc w:val="both"/>
        <w:rPr>
          <w:sz w:val="28"/>
          <w:szCs w:val="28"/>
        </w:rPr>
      </w:pPr>
    </w:p>
    <w:p w:rsidR="00CE1891" w:rsidRDefault="00CE1891" w:rsidP="00CE1891">
      <w:pPr>
        <w:widowControl w:val="0"/>
        <w:ind w:firstLine="709"/>
        <w:jc w:val="center"/>
        <w:rPr>
          <w:sz w:val="28"/>
          <w:szCs w:val="28"/>
        </w:rPr>
      </w:pPr>
      <w:r w:rsidRPr="00B9057F">
        <w:rPr>
          <w:sz w:val="28"/>
          <w:szCs w:val="28"/>
        </w:rPr>
        <w:t>Т</w:t>
      </w:r>
      <w:r w:rsidRPr="00B9057F">
        <w:rPr>
          <w:sz w:val="28"/>
          <w:szCs w:val="28"/>
          <w:vertAlign w:val="subscript"/>
        </w:rPr>
        <w:t>Sар</w:t>
      </w:r>
      <w:r>
        <w:rPr>
          <w:sz w:val="28"/>
          <w:szCs w:val="28"/>
          <w:vertAlign w:val="superscript"/>
        </w:rPr>
        <w:t>2020</w:t>
      </w:r>
      <w:r w:rsidRPr="00B9057F">
        <w:rPr>
          <w:sz w:val="28"/>
          <w:szCs w:val="28"/>
        </w:rPr>
        <w:t xml:space="preserve"> = Q</w:t>
      </w:r>
      <w:r>
        <w:rPr>
          <w:sz w:val="28"/>
          <w:szCs w:val="28"/>
          <w:vertAlign w:val="superscript"/>
        </w:rPr>
        <w:t>2020</w:t>
      </w:r>
      <w:r w:rsidRPr="00B9057F">
        <w:rPr>
          <w:sz w:val="28"/>
          <w:szCs w:val="28"/>
          <w:vertAlign w:val="subscript"/>
        </w:rPr>
        <w:t>Sар</w:t>
      </w:r>
      <w:r w:rsidRPr="00B9057F">
        <w:rPr>
          <w:sz w:val="28"/>
          <w:szCs w:val="28"/>
        </w:rPr>
        <w:t xml:space="preserve"> / Q</w:t>
      </w:r>
      <w:r>
        <w:rPr>
          <w:sz w:val="28"/>
          <w:szCs w:val="28"/>
          <w:vertAlign w:val="superscript"/>
        </w:rPr>
        <w:t>2019</w:t>
      </w:r>
      <w:r w:rsidRPr="00B9057F">
        <w:rPr>
          <w:sz w:val="28"/>
          <w:szCs w:val="28"/>
          <w:vertAlign w:val="subscript"/>
        </w:rPr>
        <w:t>Sар</w:t>
      </w:r>
      <w:r w:rsidRPr="00B9057F">
        <w:rPr>
          <w:sz w:val="28"/>
          <w:szCs w:val="28"/>
        </w:rPr>
        <w:t>,</w:t>
      </w:r>
    </w:p>
    <w:p w:rsidR="00CE1891" w:rsidRPr="00B9057F" w:rsidRDefault="00CE1891" w:rsidP="00CE1891">
      <w:pPr>
        <w:widowControl w:val="0"/>
        <w:ind w:firstLine="709"/>
        <w:jc w:val="center"/>
        <w:rPr>
          <w:sz w:val="28"/>
          <w:szCs w:val="28"/>
        </w:rPr>
      </w:pPr>
      <w:r>
        <w:rPr>
          <w:sz w:val="28"/>
          <w:szCs w:val="28"/>
        </w:rPr>
        <w:t xml:space="preserve">0,97 = </w:t>
      </w:r>
      <w:r w:rsidRPr="0013232D">
        <w:rPr>
          <w:sz w:val="28"/>
          <w:szCs w:val="28"/>
        </w:rPr>
        <w:t>509,4</w:t>
      </w:r>
      <w:r>
        <w:rPr>
          <w:sz w:val="28"/>
          <w:szCs w:val="28"/>
        </w:rPr>
        <w:t>/525,3</w:t>
      </w:r>
    </w:p>
    <w:p w:rsidR="00CE1891" w:rsidRPr="00B9057F" w:rsidRDefault="00CE1891" w:rsidP="00CE1891">
      <w:pPr>
        <w:widowControl w:val="0"/>
        <w:ind w:firstLine="709"/>
        <w:jc w:val="center"/>
        <w:rPr>
          <w:sz w:val="28"/>
          <w:szCs w:val="28"/>
        </w:rPr>
      </w:pPr>
    </w:p>
    <w:p w:rsidR="00CE1891" w:rsidRPr="00B9057F" w:rsidRDefault="00CE1891" w:rsidP="00CE1891">
      <w:pPr>
        <w:widowControl w:val="0"/>
        <w:ind w:firstLine="709"/>
        <w:jc w:val="both"/>
        <w:rPr>
          <w:sz w:val="28"/>
          <w:szCs w:val="28"/>
        </w:rPr>
      </w:pPr>
      <w:r w:rsidRPr="00B9057F">
        <w:rPr>
          <w:sz w:val="28"/>
          <w:szCs w:val="28"/>
        </w:rPr>
        <w:t>где:</w:t>
      </w:r>
    </w:p>
    <w:p w:rsidR="00CE1891" w:rsidRPr="00B9057F" w:rsidRDefault="00CE1891" w:rsidP="00CE1891">
      <w:pPr>
        <w:widowControl w:val="0"/>
        <w:ind w:firstLine="709"/>
        <w:jc w:val="both"/>
        <w:rPr>
          <w:sz w:val="28"/>
          <w:szCs w:val="28"/>
        </w:rPr>
      </w:pPr>
      <w:r w:rsidRPr="00B9057F">
        <w:rPr>
          <w:sz w:val="28"/>
          <w:szCs w:val="28"/>
        </w:rPr>
        <w:t>Q</w:t>
      </w:r>
      <w:r>
        <w:rPr>
          <w:sz w:val="28"/>
          <w:szCs w:val="28"/>
          <w:vertAlign w:val="superscript"/>
        </w:rPr>
        <w:t>2020</w:t>
      </w:r>
      <w:r w:rsidRPr="00B9057F">
        <w:rPr>
          <w:sz w:val="28"/>
          <w:szCs w:val="28"/>
          <w:vertAlign w:val="subscript"/>
        </w:rPr>
        <w:t>Sар</w:t>
      </w:r>
      <w:r w:rsidRPr="00B9057F">
        <w:rPr>
          <w:sz w:val="28"/>
          <w:szCs w:val="28"/>
        </w:rPr>
        <w:t xml:space="preserve"> </w:t>
      </w:r>
      <w:r w:rsidRPr="00464704">
        <w:rPr>
          <w:rFonts w:eastAsia="Constantia"/>
          <w:i/>
          <w:iCs/>
          <w:color w:val="000000"/>
          <w:sz w:val="28"/>
          <w:szCs w:val="28"/>
          <w:lang w:bidi="ru-RU"/>
        </w:rPr>
        <w:t>-</w:t>
      </w:r>
      <w:r w:rsidRPr="00B9057F">
        <w:rPr>
          <w:sz w:val="28"/>
          <w:szCs w:val="28"/>
        </w:rPr>
        <w:t xml:space="preserve"> площадь лесных участков, находящихся в федеральной собственности, предоставленных </w:t>
      </w:r>
      <w:r>
        <w:rPr>
          <w:sz w:val="28"/>
          <w:szCs w:val="28"/>
        </w:rPr>
        <w:t xml:space="preserve">по договорам аренды, за 2020 год, </w:t>
      </w:r>
      <w:r w:rsidRPr="0013232D">
        <w:rPr>
          <w:sz w:val="28"/>
          <w:szCs w:val="28"/>
        </w:rPr>
        <w:t xml:space="preserve">509,4 </w:t>
      </w:r>
      <w:r>
        <w:rPr>
          <w:sz w:val="28"/>
          <w:szCs w:val="28"/>
        </w:rPr>
        <w:t>га</w:t>
      </w:r>
      <w:r w:rsidRPr="00B9057F">
        <w:rPr>
          <w:sz w:val="28"/>
          <w:szCs w:val="28"/>
        </w:rPr>
        <w:t>;</w:t>
      </w:r>
    </w:p>
    <w:p w:rsidR="00CE1891" w:rsidRDefault="00CE1891" w:rsidP="00CE1891">
      <w:pPr>
        <w:widowControl w:val="0"/>
        <w:ind w:firstLine="709"/>
        <w:jc w:val="both"/>
        <w:rPr>
          <w:sz w:val="28"/>
          <w:szCs w:val="28"/>
        </w:rPr>
      </w:pPr>
      <w:r w:rsidRPr="00B9057F">
        <w:rPr>
          <w:sz w:val="28"/>
          <w:szCs w:val="28"/>
        </w:rPr>
        <w:t>Q</w:t>
      </w:r>
      <w:r>
        <w:rPr>
          <w:sz w:val="28"/>
          <w:szCs w:val="28"/>
          <w:vertAlign w:val="superscript"/>
        </w:rPr>
        <w:t>2019</w:t>
      </w:r>
      <w:r w:rsidRPr="00B9057F">
        <w:rPr>
          <w:sz w:val="28"/>
          <w:szCs w:val="28"/>
          <w:vertAlign w:val="subscript"/>
        </w:rPr>
        <w:t>Sар</w:t>
      </w:r>
      <w:r w:rsidRPr="00B9057F">
        <w:rPr>
          <w:sz w:val="28"/>
          <w:szCs w:val="28"/>
        </w:rPr>
        <w:t xml:space="preserve"> </w:t>
      </w:r>
      <w:r w:rsidRPr="00464704">
        <w:rPr>
          <w:rFonts w:eastAsia="Constantia"/>
          <w:i/>
          <w:iCs/>
          <w:color w:val="000000"/>
          <w:sz w:val="28"/>
          <w:szCs w:val="28"/>
          <w:lang w:bidi="ru-RU"/>
        </w:rPr>
        <w:t>-</w:t>
      </w:r>
      <w:r w:rsidRPr="00B9057F">
        <w:rPr>
          <w:sz w:val="28"/>
          <w:szCs w:val="28"/>
        </w:rPr>
        <w:t xml:space="preserve"> площадь лесных участков, находящихся в федеральной собственности, предоставленных по договорам аренды, за </w:t>
      </w:r>
      <w:r>
        <w:rPr>
          <w:sz w:val="28"/>
          <w:szCs w:val="28"/>
        </w:rPr>
        <w:t xml:space="preserve">2019 </w:t>
      </w:r>
      <w:r w:rsidRPr="00B9057F">
        <w:rPr>
          <w:sz w:val="28"/>
          <w:szCs w:val="28"/>
        </w:rPr>
        <w:t>год</w:t>
      </w:r>
      <w:r>
        <w:rPr>
          <w:sz w:val="28"/>
          <w:szCs w:val="28"/>
        </w:rPr>
        <w:t>,</w:t>
      </w:r>
      <w:r w:rsidRPr="00B9057F">
        <w:rPr>
          <w:sz w:val="28"/>
          <w:szCs w:val="28"/>
        </w:rPr>
        <w:t xml:space="preserve"> </w:t>
      </w:r>
      <w:r>
        <w:rPr>
          <w:sz w:val="28"/>
          <w:szCs w:val="28"/>
        </w:rPr>
        <w:t>525,3 га.</w:t>
      </w:r>
    </w:p>
    <w:p w:rsidR="00CE1891" w:rsidRDefault="00CE1891" w:rsidP="00CE1891">
      <w:pPr>
        <w:widowControl w:val="0"/>
        <w:ind w:firstLine="709"/>
        <w:jc w:val="both"/>
        <w:rPr>
          <w:sz w:val="28"/>
          <w:szCs w:val="28"/>
        </w:rPr>
      </w:pPr>
      <w:r>
        <w:rPr>
          <w:sz w:val="28"/>
          <w:szCs w:val="28"/>
        </w:rPr>
        <w:t xml:space="preserve"> </w:t>
      </w:r>
    </w:p>
    <w:p w:rsidR="00CE1891" w:rsidRPr="00F36440" w:rsidRDefault="00CE1891" w:rsidP="00CE1891">
      <w:pPr>
        <w:ind w:firstLine="709"/>
        <w:rPr>
          <w:b/>
          <w:sz w:val="28"/>
          <w:szCs w:val="28"/>
        </w:rPr>
      </w:pPr>
      <w:r>
        <w:rPr>
          <w:b/>
          <w:sz w:val="28"/>
          <w:szCs w:val="28"/>
        </w:rPr>
        <w:t xml:space="preserve"> </w:t>
      </w:r>
      <w:r w:rsidRPr="00F36440">
        <w:rPr>
          <w:b/>
          <w:sz w:val="28"/>
          <w:szCs w:val="28"/>
        </w:rPr>
        <w:t xml:space="preserve">Определение </w:t>
      </w:r>
      <w:r>
        <w:rPr>
          <w:b/>
          <w:sz w:val="28"/>
          <w:szCs w:val="28"/>
        </w:rPr>
        <w:t>прогноза</w:t>
      </w:r>
      <w:r w:rsidRPr="00F36440">
        <w:rPr>
          <w:b/>
          <w:sz w:val="28"/>
          <w:szCs w:val="28"/>
        </w:rPr>
        <w:t xml:space="preserve"> на 202</w:t>
      </w:r>
      <w:r>
        <w:rPr>
          <w:b/>
          <w:sz w:val="28"/>
          <w:szCs w:val="28"/>
        </w:rPr>
        <w:t>2</w:t>
      </w:r>
      <w:r w:rsidRPr="00F36440">
        <w:rPr>
          <w:b/>
          <w:sz w:val="28"/>
          <w:szCs w:val="28"/>
        </w:rPr>
        <w:t xml:space="preserve"> год</w:t>
      </w:r>
    </w:p>
    <w:p w:rsidR="00CE1891" w:rsidRPr="00464704" w:rsidRDefault="00CE1891" w:rsidP="00CE1891">
      <w:pPr>
        <w:ind w:firstLine="709"/>
        <w:jc w:val="both"/>
        <w:rPr>
          <w:sz w:val="28"/>
          <w:szCs w:val="28"/>
        </w:rPr>
      </w:pPr>
    </w:p>
    <w:p w:rsidR="00CE1891" w:rsidRPr="00FA2F64" w:rsidRDefault="00CE1891" w:rsidP="00CE1891">
      <w:pPr>
        <w:ind w:firstLine="709"/>
        <w:jc w:val="both"/>
        <w:rPr>
          <w:color w:val="000000"/>
          <w:sz w:val="28"/>
          <w:szCs w:val="28"/>
          <w:lang w:bidi="ru-RU"/>
        </w:rPr>
      </w:pPr>
      <w:r w:rsidRPr="00FA2F64">
        <w:rPr>
          <w:color w:val="000000"/>
          <w:sz w:val="28"/>
          <w:szCs w:val="28"/>
          <w:lang w:bidi="ru-RU"/>
        </w:rPr>
        <w:t>Прогноз доходов по плате за использование лесов, расположенных на землях лесного фонда, в части, превышающей минимальный размер арендной платы (П</w:t>
      </w:r>
      <w:r w:rsidRPr="00FA2F64">
        <w:rPr>
          <w:color w:val="000000"/>
          <w:sz w:val="28"/>
          <w:szCs w:val="28"/>
          <w:vertAlign w:val="subscript"/>
          <w:lang w:bidi="ru-RU"/>
        </w:rPr>
        <w:t>ар</w:t>
      </w:r>
      <w:r w:rsidRPr="00FA2F64">
        <w:rPr>
          <w:color w:val="000000"/>
          <w:sz w:val="28"/>
          <w:szCs w:val="28"/>
          <w:vertAlign w:val="superscript"/>
          <w:lang w:bidi="ru-RU"/>
        </w:rPr>
        <w:t>обл</w:t>
      </w:r>
      <w:r w:rsidRPr="00FA2F64">
        <w:rPr>
          <w:color w:val="000000"/>
          <w:sz w:val="28"/>
          <w:szCs w:val="28"/>
          <w:lang w:bidi="ru-RU"/>
        </w:rPr>
        <w:t>) определяется по формуле:</w:t>
      </w:r>
    </w:p>
    <w:p w:rsidR="00CE1891" w:rsidRPr="00FA2F64" w:rsidRDefault="00CE1891" w:rsidP="00CE1891">
      <w:pPr>
        <w:ind w:firstLine="709"/>
        <w:jc w:val="both"/>
        <w:rPr>
          <w:sz w:val="28"/>
          <w:szCs w:val="28"/>
        </w:rPr>
      </w:pPr>
    </w:p>
    <w:p w:rsidR="00CE1891" w:rsidRPr="00FA2F64" w:rsidRDefault="00CE1891" w:rsidP="00CE1891">
      <w:pPr>
        <w:widowControl w:val="0"/>
        <w:ind w:firstLine="709"/>
        <w:jc w:val="center"/>
        <w:rPr>
          <w:iCs/>
          <w:color w:val="000000"/>
          <w:sz w:val="28"/>
          <w:szCs w:val="28"/>
          <w:lang w:bidi="en-US"/>
        </w:rPr>
      </w:pPr>
      <w:r w:rsidRPr="00FA2F64">
        <w:rPr>
          <w:iCs/>
          <w:color w:val="000000"/>
          <w:sz w:val="28"/>
          <w:szCs w:val="28"/>
          <w:lang w:bidi="ru-RU"/>
        </w:rPr>
        <w:t>П</w:t>
      </w:r>
      <w:r w:rsidRPr="00FA2F64">
        <w:rPr>
          <w:iCs/>
          <w:color w:val="000000"/>
          <w:sz w:val="28"/>
          <w:szCs w:val="28"/>
          <w:vertAlign w:val="subscript"/>
          <w:lang w:bidi="ru-RU"/>
        </w:rPr>
        <w:t>ар</w:t>
      </w:r>
      <w:r w:rsidRPr="00FA2F64">
        <w:rPr>
          <w:iCs/>
          <w:color w:val="000000"/>
          <w:sz w:val="28"/>
          <w:szCs w:val="28"/>
          <w:vertAlign w:val="superscript"/>
          <w:lang w:bidi="ru-RU"/>
        </w:rPr>
        <w:t>обл</w:t>
      </w:r>
      <w:r w:rsidRPr="00FA2F64">
        <w:rPr>
          <w:iCs/>
          <w:color w:val="000000"/>
          <w:sz w:val="28"/>
          <w:szCs w:val="28"/>
          <w:lang w:bidi="en-US"/>
        </w:rPr>
        <w:t xml:space="preserve"> = (</w:t>
      </w:r>
      <w:r w:rsidRPr="00FA2F64">
        <w:rPr>
          <w:iCs/>
          <w:color w:val="000000"/>
          <w:sz w:val="28"/>
          <w:szCs w:val="28"/>
          <w:lang w:val="en-US" w:bidi="en-US"/>
        </w:rPr>
        <w:t>Cs</w:t>
      </w:r>
      <w:r w:rsidRPr="00FA2F64">
        <w:rPr>
          <w:iCs/>
          <w:color w:val="000000"/>
          <w:sz w:val="28"/>
          <w:szCs w:val="28"/>
          <w:lang w:bidi="en-US"/>
        </w:rPr>
        <w:t xml:space="preserve"> </w:t>
      </w:r>
      <w:r w:rsidRPr="00FA2F64">
        <w:rPr>
          <w:iCs/>
          <w:color w:val="000000"/>
          <w:sz w:val="28"/>
          <w:szCs w:val="28"/>
          <w:vertAlign w:val="superscript"/>
          <w:lang w:val="en-US" w:bidi="en-US"/>
        </w:rPr>
        <w:t>ap</w:t>
      </w:r>
      <w:r w:rsidRPr="00FA2F64">
        <w:rPr>
          <w:iCs/>
          <w:color w:val="000000"/>
          <w:sz w:val="28"/>
          <w:szCs w:val="28"/>
          <w:lang w:bidi="en-US"/>
        </w:rPr>
        <w:t>*</w:t>
      </w:r>
      <w:r w:rsidRPr="00FA2F64">
        <w:rPr>
          <w:iCs/>
          <w:color w:val="000000"/>
          <w:sz w:val="28"/>
          <w:szCs w:val="28"/>
          <w:lang w:val="en-US" w:bidi="en-US"/>
        </w:rPr>
        <w:t>K</w:t>
      </w:r>
      <w:r w:rsidRPr="00FA2F64">
        <w:rPr>
          <w:iCs/>
          <w:color w:val="000000"/>
          <w:sz w:val="28"/>
          <w:szCs w:val="28"/>
          <w:vertAlign w:val="subscript"/>
          <w:lang w:bidi="en-US"/>
        </w:rPr>
        <w:t>2</w:t>
      </w:r>
      <w:r w:rsidRPr="00FA2F64">
        <w:rPr>
          <w:iCs/>
          <w:color w:val="000000"/>
          <w:sz w:val="28"/>
          <w:szCs w:val="28"/>
          <w:lang w:bidi="en-US"/>
        </w:rPr>
        <w:t>)*</w:t>
      </w:r>
      <w:r w:rsidRPr="00FA2F64">
        <w:rPr>
          <w:iCs/>
          <w:color w:val="000000"/>
          <w:sz w:val="28"/>
          <w:szCs w:val="28"/>
          <w:lang w:val="en-US" w:bidi="en-US"/>
        </w:rPr>
        <w:t>S</w:t>
      </w:r>
      <w:r w:rsidRPr="00FA2F64">
        <w:rPr>
          <w:iCs/>
          <w:color w:val="000000"/>
          <w:sz w:val="28"/>
          <w:szCs w:val="28"/>
          <w:vertAlign w:val="superscript"/>
          <w:lang w:val="en-US" w:bidi="en-US"/>
        </w:rPr>
        <w:t>cp</w:t>
      </w:r>
      <w:r w:rsidRPr="00FA2F64">
        <w:rPr>
          <w:iCs/>
          <w:color w:val="000000"/>
          <w:sz w:val="28"/>
          <w:szCs w:val="28"/>
          <w:vertAlign w:val="subscript"/>
          <w:lang w:val="en-US" w:bidi="en-US"/>
        </w:rPr>
        <w:t>ap</w:t>
      </w:r>
      <w:r w:rsidRPr="00FA2F64">
        <w:rPr>
          <w:iCs/>
          <w:color w:val="000000"/>
          <w:sz w:val="28"/>
          <w:szCs w:val="28"/>
          <w:lang w:bidi="en-US"/>
        </w:rPr>
        <w:t>*Т</w:t>
      </w:r>
      <w:r w:rsidRPr="00FA2F64">
        <w:rPr>
          <w:iCs/>
          <w:color w:val="000000"/>
          <w:sz w:val="28"/>
          <w:szCs w:val="28"/>
          <w:vertAlign w:val="superscript"/>
          <w:lang w:bidi="en-US"/>
        </w:rPr>
        <w:t>ср</w:t>
      </w:r>
      <w:r w:rsidRPr="00FA2F64">
        <w:rPr>
          <w:iCs/>
          <w:color w:val="000000"/>
          <w:sz w:val="28"/>
          <w:szCs w:val="28"/>
          <w:vertAlign w:val="subscript"/>
          <w:lang w:val="en-US" w:bidi="en-US"/>
        </w:rPr>
        <w:t>Sap</w:t>
      </w:r>
      <w:r w:rsidRPr="00FA2F64">
        <w:rPr>
          <w:iCs/>
          <w:color w:val="000000"/>
          <w:sz w:val="28"/>
          <w:szCs w:val="28"/>
          <w:vertAlign w:val="subscript"/>
          <w:lang w:bidi="en-US"/>
        </w:rPr>
        <w:t xml:space="preserve"> </w:t>
      </w:r>
    </w:p>
    <w:p w:rsidR="00CE1891" w:rsidRPr="00FA2F64" w:rsidRDefault="00CE1891" w:rsidP="00CE1891">
      <w:pPr>
        <w:ind w:firstLine="709"/>
        <w:jc w:val="center"/>
        <w:rPr>
          <w:sz w:val="28"/>
          <w:szCs w:val="28"/>
        </w:rPr>
      </w:pPr>
      <w:r w:rsidRPr="00FA2F64">
        <w:rPr>
          <w:sz w:val="28"/>
          <w:szCs w:val="28"/>
        </w:rPr>
        <w:t>12846,3 = (10,2 *2,44)*</w:t>
      </w:r>
      <w:r w:rsidRPr="00FA2F64">
        <w:rPr>
          <w:rFonts w:ascii="Calibri" w:eastAsia="Calibri" w:hAnsi="Calibri"/>
          <w:sz w:val="22"/>
          <w:szCs w:val="22"/>
          <w:lang w:eastAsia="en-US"/>
        </w:rPr>
        <w:t xml:space="preserve"> </w:t>
      </w:r>
      <w:r w:rsidRPr="00FA2F64">
        <w:rPr>
          <w:sz w:val="28"/>
          <w:szCs w:val="28"/>
        </w:rPr>
        <w:t>526,7*0,98</w:t>
      </w:r>
    </w:p>
    <w:p w:rsidR="00CE1891" w:rsidRPr="00FA2F64" w:rsidRDefault="00CE1891" w:rsidP="00CE1891">
      <w:pPr>
        <w:ind w:firstLine="709"/>
        <w:jc w:val="both"/>
        <w:rPr>
          <w:sz w:val="28"/>
          <w:szCs w:val="28"/>
        </w:rPr>
      </w:pPr>
      <w:r w:rsidRPr="00FA2F64">
        <w:rPr>
          <w:sz w:val="28"/>
          <w:szCs w:val="28"/>
        </w:rPr>
        <w:t>где:</w:t>
      </w:r>
    </w:p>
    <w:p w:rsidR="00CE1891" w:rsidRPr="00FA2F64" w:rsidRDefault="00CE1891" w:rsidP="00CE1891">
      <w:pPr>
        <w:ind w:firstLine="709"/>
        <w:jc w:val="both"/>
        <w:rPr>
          <w:iCs/>
          <w:sz w:val="28"/>
          <w:szCs w:val="28"/>
          <w:lang w:bidi="ru-RU"/>
        </w:rPr>
      </w:pPr>
      <w:r w:rsidRPr="00FA2F64">
        <w:rPr>
          <w:iCs/>
          <w:sz w:val="28"/>
          <w:szCs w:val="28"/>
          <w:lang w:bidi="ru-RU"/>
        </w:rPr>
        <w:t xml:space="preserve">Cs </w:t>
      </w:r>
      <w:r w:rsidRPr="00FA2F64">
        <w:rPr>
          <w:iCs/>
          <w:sz w:val="28"/>
          <w:szCs w:val="28"/>
          <w:vertAlign w:val="superscript"/>
          <w:lang w:bidi="ru-RU"/>
        </w:rPr>
        <w:t>ap</w:t>
      </w:r>
      <w:r w:rsidRPr="00FA2F64">
        <w:rPr>
          <w:iCs/>
          <w:sz w:val="28"/>
          <w:szCs w:val="28"/>
          <w:lang w:bidi="ru-RU"/>
        </w:rPr>
        <w:t xml:space="preserve"> </w:t>
      </w:r>
      <w:r w:rsidRPr="00FA2F64">
        <w:rPr>
          <w:i/>
          <w:iCs/>
          <w:sz w:val="28"/>
          <w:szCs w:val="28"/>
          <w:lang w:bidi="ru-RU"/>
        </w:rPr>
        <w:t>-</w:t>
      </w:r>
      <w:r w:rsidRPr="00FA2F64">
        <w:rPr>
          <w:iCs/>
          <w:sz w:val="28"/>
          <w:szCs w:val="28"/>
          <w:lang w:bidi="ru-RU"/>
        </w:rPr>
        <w:t xml:space="preserve"> средняя минимальная ставка платы за единицу площади лесного участка, находящегося в федеральной собственности, по договорам аренды, сложившаяся по итогам предыдущего финансового года и приведенная к уровню 2007 года (руб.), 10,2 тыс. руб.;</w:t>
      </w:r>
      <w:r w:rsidRPr="00FA2F64">
        <w:rPr>
          <w:rFonts w:eastAsia="Calibri"/>
          <w:sz w:val="28"/>
          <w:szCs w:val="28"/>
          <w:lang w:eastAsia="en-US"/>
        </w:rPr>
        <w:t xml:space="preserve"> </w:t>
      </w:r>
    </w:p>
    <w:p w:rsidR="00CE1891" w:rsidRPr="00FA2F64" w:rsidRDefault="00CE1891" w:rsidP="00CE1891">
      <w:pPr>
        <w:ind w:firstLine="709"/>
        <w:jc w:val="both"/>
        <w:rPr>
          <w:rFonts w:eastAsia="Calibri"/>
          <w:sz w:val="28"/>
          <w:szCs w:val="28"/>
          <w:lang w:eastAsia="en-US"/>
        </w:rPr>
      </w:pPr>
      <w:r w:rsidRPr="00FA2F64">
        <w:rPr>
          <w:iCs/>
          <w:sz w:val="28"/>
          <w:szCs w:val="28"/>
          <w:lang w:bidi="ru-RU"/>
        </w:rPr>
        <w:t>К</w:t>
      </w:r>
      <w:r w:rsidRPr="00FA2F64">
        <w:rPr>
          <w:iCs/>
          <w:sz w:val="28"/>
          <w:szCs w:val="28"/>
          <w:vertAlign w:val="subscript"/>
          <w:lang w:bidi="ru-RU"/>
        </w:rPr>
        <w:t>2</w:t>
      </w:r>
      <w:r w:rsidRPr="00FA2F64">
        <w:rPr>
          <w:i/>
          <w:iCs/>
          <w:sz w:val="28"/>
          <w:szCs w:val="28"/>
          <w:lang w:bidi="ru-RU"/>
        </w:rPr>
        <w:t xml:space="preserve"> -</w:t>
      </w:r>
      <w:r w:rsidRPr="00FA2F64">
        <w:rPr>
          <w:sz w:val="28"/>
          <w:szCs w:val="28"/>
          <w:lang w:bidi="ru-RU"/>
        </w:rPr>
        <w:t xml:space="preserve"> коэффициент к ставкам платы за единицу площади лесного участка, находящегося в федеральной собственности, установленный Правительством Российской Федерации, 2,44;</w:t>
      </w:r>
      <w:r w:rsidRPr="00FA2F64">
        <w:rPr>
          <w:rFonts w:eastAsia="Constantia"/>
          <w:iCs/>
          <w:color w:val="000000"/>
          <w:sz w:val="28"/>
          <w:szCs w:val="28"/>
          <w:lang w:bidi="en-US"/>
        </w:rPr>
        <w:t xml:space="preserve"> </w:t>
      </w:r>
    </w:p>
    <w:p w:rsidR="00CE1891" w:rsidRPr="00FA2F64" w:rsidRDefault="00CE1891" w:rsidP="00CE1891">
      <w:pPr>
        <w:widowControl w:val="0"/>
        <w:ind w:firstLine="709"/>
        <w:jc w:val="both"/>
        <w:rPr>
          <w:sz w:val="28"/>
          <w:szCs w:val="28"/>
        </w:rPr>
      </w:pPr>
      <w:r w:rsidRPr="00FA2F64">
        <w:rPr>
          <w:color w:val="000000"/>
          <w:sz w:val="28"/>
          <w:szCs w:val="28"/>
        </w:rPr>
        <w:t>S</w:t>
      </w:r>
      <w:r w:rsidRPr="00FA2F64">
        <w:rPr>
          <w:color w:val="000000"/>
          <w:sz w:val="28"/>
          <w:szCs w:val="28"/>
          <w:vertAlign w:val="superscript"/>
        </w:rPr>
        <w:t>cp</w:t>
      </w:r>
      <w:r w:rsidRPr="00FA2F64">
        <w:rPr>
          <w:color w:val="000000"/>
          <w:sz w:val="28"/>
          <w:szCs w:val="28"/>
          <w:vertAlign w:val="subscript"/>
        </w:rPr>
        <w:t>ap</w:t>
      </w:r>
      <w:r w:rsidRPr="00FA2F64">
        <w:rPr>
          <w:color w:val="000000"/>
          <w:sz w:val="28"/>
          <w:szCs w:val="28"/>
          <w:lang w:bidi="ru-RU"/>
        </w:rPr>
        <w:t xml:space="preserve"> </w:t>
      </w:r>
      <w:r w:rsidRPr="00FA2F64">
        <w:rPr>
          <w:i/>
          <w:iCs/>
          <w:sz w:val="28"/>
          <w:szCs w:val="28"/>
          <w:lang w:bidi="ru-RU"/>
        </w:rPr>
        <w:t>-</w:t>
      </w:r>
      <w:r w:rsidRPr="00FA2F64">
        <w:rPr>
          <w:color w:val="000000"/>
          <w:sz w:val="28"/>
          <w:szCs w:val="28"/>
          <w:lang w:bidi="ru-RU"/>
        </w:rPr>
        <w:t xml:space="preserve"> средняя площадь лесных участков, находящихся в федеральной собственности, предоставленных по договорам аренды (гектар</w:t>
      </w:r>
      <w:r w:rsidRPr="00FA2F64">
        <w:rPr>
          <w:sz w:val="28"/>
          <w:szCs w:val="28"/>
          <w:lang w:bidi="ru-RU"/>
        </w:rPr>
        <w:t>), 526,7 га;</w:t>
      </w:r>
    </w:p>
    <w:p w:rsidR="00CE1891" w:rsidRPr="00FA2F64" w:rsidRDefault="00CE1891" w:rsidP="00CE1891">
      <w:pPr>
        <w:ind w:firstLine="709"/>
        <w:jc w:val="center"/>
        <w:rPr>
          <w:rFonts w:eastAsia="Constantia"/>
          <w:iCs/>
          <w:color w:val="000000"/>
          <w:sz w:val="28"/>
          <w:szCs w:val="28"/>
          <w:lang w:eastAsia="en-US" w:bidi="en-US"/>
        </w:rPr>
      </w:pPr>
    </w:p>
    <w:p w:rsidR="00CE1891" w:rsidRPr="00FA2F64" w:rsidRDefault="00CE1891" w:rsidP="00CE1891">
      <w:pPr>
        <w:ind w:firstLine="709"/>
        <w:jc w:val="center"/>
        <w:rPr>
          <w:rFonts w:eastAsia="Constantia"/>
          <w:iCs/>
          <w:sz w:val="28"/>
          <w:szCs w:val="28"/>
        </w:rPr>
      </w:pPr>
      <w:r w:rsidRPr="00FA2F64">
        <w:rPr>
          <w:rFonts w:eastAsia="Constantia"/>
          <w:iCs/>
          <w:sz w:val="28"/>
          <w:szCs w:val="28"/>
          <w:lang w:val="en-US" w:eastAsia="en-US" w:bidi="en-US"/>
        </w:rPr>
        <w:t>S</w:t>
      </w:r>
      <w:r w:rsidRPr="00FA2F64">
        <w:rPr>
          <w:rFonts w:eastAsia="Constantia"/>
          <w:iCs/>
          <w:sz w:val="28"/>
          <w:szCs w:val="28"/>
          <w:vertAlign w:val="superscript"/>
          <w:lang w:val="en-US" w:eastAsia="en-US" w:bidi="en-US"/>
        </w:rPr>
        <w:t>cp</w:t>
      </w:r>
      <w:r w:rsidRPr="00FA2F64">
        <w:rPr>
          <w:rFonts w:eastAsia="Constantia"/>
          <w:iCs/>
          <w:sz w:val="28"/>
          <w:szCs w:val="28"/>
          <w:lang w:eastAsia="en-US" w:bidi="en-US"/>
        </w:rPr>
        <w:t xml:space="preserve"> </w:t>
      </w:r>
      <w:r w:rsidRPr="00FA2F64">
        <w:rPr>
          <w:rFonts w:eastAsia="Constantia"/>
          <w:iCs/>
          <w:sz w:val="28"/>
          <w:szCs w:val="28"/>
          <w:vertAlign w:val="subscript"/>
          <w:lang w:bidi="ru-RU"/>
        </w:rPr>
        <w:t>ар</w:t>
      </w:r>
      <w:r w:rsidRPr="00FA2F64">
        <w:rPr>
          <w:sz w:val="28"/>
          <w:szCs w:val="28"/>
          <w:vertAlign w:val="superscript"/>
        </w:rPr>
        <w:t>=</w:t>
      </w:r>
      <w:r w:rsidRPr="00FA2F64">
        <w:rPr>
          <w:sz w:val="28"/>
          <w:szCs w:val="28"/>
        </w:rPr>
        <w:t xml:space="preserve"> ∑</w:t>
      </w:r>
      <w:r w:rsidRPr="00FA2F64">
        <w:rPr>
          <w:sz w:val="28"/>
          <w:szCs w:val="28"/>
          <w:vertAlign w:val="superscript"/>
        </w:rPr>
        <w:t>3</w:t>
      </w:r>
      <w:r w:rsidRPr="00FA2F64">
        <w:rPr>
          <w:sz w:val="28"/>
          <w:szCs w:val="28"/>
          <w:vertAlign w:val="subscript"/>
          <w:lang w:val="en-US"/>
        </w:rPr>
        <w:t>t</w:t>
      </w:r>
      <w:r w:rsidRPr="00FA2F64">
        <w:rPr>
          <w:sz w:val="28"/>
          <w:szCs w:val="28"/>
          <w:vertAlign w:val="subscript"/>
        </w:rPr>
        <w:t>=1</w:t>
      </w:r>
      <w:r w:rsidRPr="00FA2F64">
        <w:rPr>
          <w:rFonts w:eastAsia="Constantia"/>
          <w:iCs/>
          <w:sz w:val="28"/>
          <w:szCs w:val="28"/>
          <w:lang w:val="en-US" w:eastAsia="en-US" w:bidi="en-US"/>
        </w:rPr>
        <w:t>S</w:t>
      </w:r>
      <w:r w:rsidRPr="00FA2F64">
        <w:rPr>
          <w:rFonts w:eastAsia="Constantia"/>
          <w:iCs/>
          <w:sz w:val="28"/>
          <w:szCs w:val="28"/>
          <w:lang w:eastAsia="en-US" w:bidi="en-US"/>
        </w:rPr>
        <w:t xml:space="preserve"> </w:t>
      </w:r>
      <w:r w:rsidRPr="00FA2F64">
        <w:rPr>
          <w:rFonts w:eastAsia="Constantia"/>
          <w:iCs/>
          <w:sz w:val="28"/>
          <w:szCs w:val="28"/>
          <w:vertAlign w:val="subscript"/>
          <w:lang w:bidi="ru-RU"/>
        </w:rPr>
        <w:t>ар</w:t>
      </w:r>
      <w:r w:rsidRPr="00FA2F64">
        <w:rPr>
          <w:rFonts w:eastAsia="Constantia"/>
          <w:iCs/>
          <w:sz w:val="28"/>
          <w:szCs w:val="28"/>
        </w:rPr>
        <w:t xml:space="preserve"> /3,</w:t>
      </w:r>
    </w:p>
    <w:p w:rsidR="00CE1891" w:rsidRPr="00FA2F64" w:rsidRDefault="00CE1891" w:rsidP="00CE1891">
      <w:pPr>
        <w:ind w:firstLine="709"/>
        <w:jc w:val="center"/>
        <w:rPr>
          <w:rFonts w:eastAsia="Constantia"/>
          <w:iCs/>
          <w:sz w:val="28"/>
          <w:szCs w:val="28"/>
        </w:rPr>
      </w:pPr>
      <w:r w:rsidRPr="00FA2F64">
        <w:rPr>
          <w:rFonts w:eastAsia="Constantia"/>
          <w:iCs/>
          <w:sz w:val="28"/>
          <w:szCs w:val="28"/>
        </w:rPr>
        <w:t xml:space="preserve">526,7 = (525,3 + 509,4 + 545,4)/3  </w:t>
      </w:r>
    </w:p>
    <w:p w:rsidR="00CE1891" w:rsidRPr="00FA2F64" w:rsidRDefault="00CE1891" w:rsidP="00CE1891">
      <w:pPr>
        <w:ind w:firstLine="709"/>
        <w:jc w:val="both"/>
        <w:rPr>
          <w:i/>
          <w:color w:val="000000"/>
          <w:sz w:val="28"/>
          <w:szCs w:val="28"/>
          <w:vertAlign w:val="superscript"/>
        </w:rPr>
      </w:pPr>
    </w:p>
    <w:p w:rsidR="00CE1891" w:rsidRPr="00FA2F64" w:rsidRDefault="00CE1891" w:rsidP="00CE1891">
      <w:pPr>
        <w:widowControl w:val="0"/>
        <w:ind w:firstLine="709"/>
        <w:rPr>
          <w:rFonts w:eastAsia="Calibri"/>
          <w:sz w:val="28"/>
          <w:szCs w:val="28"/>
          <w:lang w:eastAsia="en-US"/>
        </w:rPr>
      </w:pPr>
      <w:r w:rsidRPr="00FA2F64">
        <w:rPr>
          <w:rFonts w:eastAsia="Calibri"/>
          <w:color w:val="000000"/>
          <w:sz w:val="28"/>
          <w:szCs w:val="28"/>
          <w:lang w:eastAsia="en-US" w:bidi="ru-RU"/>
        </w:rPr>
        <w:t>где:</w:t>
      </w:r>
    </w:p>
    <w:p w:rsidR="00CE1891" w:rsidRPr="00FA2F64" w:rsidRDefault="00CE1891" w:rsidP="00CE1891">
      <w:pPr>
        <w:widowControl w:val="0"/>
        <w:ind w:firstLine="709"/>
        <w:jc w:val="both"/>
        <w:rPr>
          <w:rFonts w:eastAsia="Calibri"/>
          <w:color w:val="000000"/>
          <w:sz w:val="28"/>
          <w:szCs w:val="28"/>
          <w:lang w:eastAsia="en-US" w:bidi="ru-RU"/>
        </w:rPr>
      </w:pPr>
      <w:r w:rsidRPr="00FA2F64">
        <w:rPr>
          <w:rFonts w:eastAsia="Calibri"/>
          <w:sz w:val="28"/>
          <w:szCs w:val="28"/>
          <w:lang w:eastAsia="en-US"/>
        </w:rPr>
        <w:t>∑</w:t>
      </w:r>
      <w:r w:rsidRPr="00FA2F64">
        <w:rPr>
          <w:rFonts w:eastAsia="Calibri"/>
          <w:sz w:val="28"/>
          <w:szCs w:val="28"/>
          <w:vertAlign w:val="superscript"/>
          <w:lang w:eastAsia="en-US"/>
        </w:rPr>
        <w:t>3</w:t>
      </w:r>
      <w:r w:rsidRPr="00FA2F64">
        <w:rPr>
          <w:rFonts w:eastAsia="Calibri"/>
          <w:sz w:val="28"/>
          <w:szCs w:val="28"/>
          <w:vertAlign w:val="subscript"/>
          <w:lang w:val="en-US" w:eastAsia="en-US"/>
        </w:rPr>
        <w:t>t</w:t>
      </w:r>
      <w:r w:rsidRPr="00FA2F64">
        <w:rPr>
          <w:rFonts w:eastAsia="Calibri"/>
          <w:sz w:val="28"/>
          <w:szCs w:val="28"/>
          <w:vertAlign w:val="subscript"/>
          <w:lang w:eastAsia="en-US"/>
        </w:rPr>
        <w:t>=1</w:t>
      </w:r>
      <w:r w:rsidRPr="00FA2F64">
        <w:rPr>
          <w:rFonts w:eastAsia="Constantia"/>
          <w:iCs/>
          <w:color w:val="000000"/>
          <w:sz w:val="28"/>
          <w:szCs w:val="28"/>
          <w:lang w:val="en-US" w:bidi="en-US"/>
        </w:rPr>
        <w:t>S</w:t>
      </w:r>
      <w:r w:rsidRPr="00FA2F64">
        <w:rPr>
          <w:rFonts w:eastAsia="Constantia"/>
          <w:iCs/>
          <w:color w:val="000000"/>
          <w:sz w:val="28"/>
          <w:szCs w:val="28"/>
          <w:vertAlign w:val="subscript"/>
          <w:lang w:bidi="ru-RU"/>
        </w:rPr>
        <w:t xml:space="preserve">ар </w:t>
      </w:r>
      <w:r w:rsidRPr="00FA2F64">
        <w:rPr>
          <w:rFonts w:eastAsia="Constantia"/>
          <w:i/>
          <w:iCs/>
          <w:color w:val="000000"/>
          <w:sz w:val="28"/>
          <w:szCs w:val="28"/>
          <w:lang w:bidi="ru-RU"/>
        </w:rPr>
        <w:t>-</w:t>
      </w:r>
      <w:r w:rsidRPr="00FA2F64">
        <w:rPr>
          <w:rFonts w:eastAsia="Constantia"/>
          <w:iCs/>
          <w:color w:val="000000"/>
          <w:sz w:val="28"/>
          <w:szCs w:val="28"/>
          <w:lang w:bidi="ru-RU"/>
        </w:rPr>
        <w:t xml:space="preserve"> с</w:t>
      </w:r>
      <w:r w:rsidRPr="00FA2F64">
        <w:rPr>
          <w:rFonts w:eastAsia="Calibri"/>
          <w:color w:val="000000"/>
          <w:sz w:val="28"/>
          <w:szCs w:val="28"/>
          <w:lang w:eastAsia="en-US" w:bidi="ru-RU"/>
        </w:rPr>
        <w:t>умма годовых величин площади лесных участков, находящихся в федеральной собственности, предоставленных по договорам аренды за 2019 (525,3 га), 2020 (509,4 га), 2021 (545,4 га) годы, предшествующих прогнозируемому году (</w:t>
      </w:r>
      <w:r w:rsidRPr="00FA2F64">
        <w:rPr>
          <w:rFonts w:eastAsia="Calibri"/>
          <w:sz w:val="28"/>
          <w:szCs w:val="28"/>
          <w:lang w:eastAsia="en-US" w:bidi="ru-RU"/>
        </w:rPr>
        <w:t xml:space="preserve">гектар), 1580,1 </w:t>
      </w:r>
      <w:r w:rsidRPr="00FA2F64">
        <w:rPr>
          <w:rFonts w:eastAsia="Calibri"/>
          <w:color w:val="000000"/>
          <w:sz w:val="28"/>
          <w:szCs w:val="28"/>
          <w:lang w:eastAsia="en-US" w:bidi="ru-RU"/>
        </w:rPr>
        <w:t>га;</w:t>
      </w:r>
      <w:r w:rsidRPr="00FA2F64">
        <w:rPr>
          <w:rFonts w:eastAsia="Constantia"/>
          <w:iCs/>
          <w:color w:val="000000"/>
          <w:sz w:val="28"/>
          <w:szCs w:val="28"/>
          <w:lang w:bidi="en-US"/>
        </w:rPr>
        <w:t xml:space="preserve"> </w:t>
      </w:r>
    </w:p>
    <w:p w:rsidR="00CE1891" w:rsidRPr="00FA2F64" w:rsidRDefault="00CE1891" w:rsidP="00CE1891">
      <w:pPr>
        <w:widowControl w:val="0"/>
        <w:ind w:firstLine="709"/>
        <w:jc w:val="both"/>
        <w:rPr>
          <w:rFonts w:eastAsia="Calibri"/>
          <w:sz w:val="28"/>
          <w:szCs w:val="28"/>
          <w:lang w:eastAsia="en-US"/>
        </w:rPr>
      </w:pPr>
      <w:r w:rsidRPr="00FA2F64">
        <w:rPr>
          <w:rFonts w:eastAsia="Calibri"/>
          <w:sz w:val="28"/>
          <w:szCs w:val="28"/>
          <w:lang w:eastAsia="en-US"/>
        </w:rPr>
        <w:t>Т</w:t>
      </w:r>
      <w:r w:rsidRPr="00FA2F64">
        <w:rPr>
          <w:rFonts w:eastAsia="Calibri"/>
          <w:sz w:val="28"/>
          <w:szCs w:val="28"/>
          <w:vertAlign w:val="superscript"/>
          <w:lang w:eastAsia="en-US"/>
        </w:rPr>
        <w:t>ср</w:t>
      </w:r>
      <w:r w:rsidRPr="00FA2F64">
        <w:rPr>
          <w:rFonts w:eastAsia="Calibri"/>
          <w:sz w:val="28"/>
          <w:szCs w:val="28"/>
          <w:vertAlign w:val="subscript"/>
          <w:lang w:eastAsia="en-US"/>
        </w:rPr>
        <w:t>Sар</w:t>
      </w:r>
      <w:r w:rsidRPr="00FA2F64">
        <w:rPr>
          <w:rFonts w:eastAsia="Calibri"/>
          <w:sz w:val="28"/>
          <w:szCs w:val="28"/>
          <w:lang w:eastAsia="en-US"/>
        </w:rPr>
        <w:t xml:space="preserve"> </w:t>
      </w:r>
      <w:r w:rsidRPr="00FA2F64">
        <w:rPr>
          <w:rFonts w:eastAsia="Constantia"/>
          <w:i/>
          <w:iCs/>
          <w:color w:val="000000"/>
          <w:sz w:val="28"/>
          <w:szCs w:val="28"/>
          <w:lang w:bidi="ru-RU"/>
        </w:rPr>
        <w:t>-</w:t>
      </w:r>
      <w:r w:rsidRPr="00FA2F64">
        <w:rPr>
          <w:rFonts w:eastAsia="Calibri"/>
          <w:sz w:val="28"/>
          <w:szCs w:val="28"/>
          <w:lang w:eastAsia="en-US"/>
        </w:rPr>
        <w:t xml:space="preserve"> средний темп роста (снижения) площади лесных участков, находящихся в федеральной собственности, предоставленных по договорам аренды, за три отчетных года, предшествующих прогнозируемому году (ед.), </w:t>
      </w:r>
      <w:r w:rsidRPr="00FA2F64">
        <w:rPr>
          <w:rFonts w:eastAsia="Calibri"/>
          <w:sz w:val="28"/>
          <w:szCs w:val="28"/>
          <w:lang w:eastAsia="en-US"/>
        </w:rPr>
        <w:lastRenderedPageBreak/>
        <w:t>0,98:</w:t>
      </w:r>
    </w:p>
    <w:p w:rsidR="00CE1891" w:rsidRPr="00FA2F64" w:rsidRDefault="00CE1891" w:rsidP="00CE1891">
      <w:pPr>
        <w:widowControl w:val="0"/>
        <w:ind w:firstLine="709"/>
        <w:jc w:val="both"/>
        <w:rPr>
          <w:rFonts w:eastAsia="Calibri"/>
          <w:sz w:val="28"/>
          <w:szCs w:val="28"/>
          <w:lang w:eastAsia="en-US"/>
        </w:rPr>
      </w:pPr>
    </w:p>
    <w:p w:rsidR="00CE1891" w:rsidRPr="00FA2F64" w:rsidRDefault="00CE1891" w:rsidP="00CE1891">
      <w:pPr>
        <w:ind w:firstLine="709"/>
        <w:jc w:val="center"/>
        <w:rPr>
          <w:rFonts w:eastAsia="Constantia"/>
          <w:iCs/>
          <w:sz w:val="28"/>
          <w:szCs w:val="28"/>
        </w:rPr>
      </w:pPr>
      <w:r w:rsidRPr="00FA2F64">
        <w:rPr>
          <w:rFonts w:eastAsia="Calibri"/>
          <w:sz w:val="28"/>
          <w:szCs w:val="28"/>
          <w:lang w:eastAsia="en-US"/>
        </w:rPr>
        <w:t>Т</w:t>
      </w:r>
      <w:r w:rsidRPr="00FA2F64">
        <w:rPr>
          <w:rFonts w:eastAsia="Calibri"/>
          <w:sz w:val="28"/>
          <w:szCs w:val="28"/>
          <w:vertAlign w:val="superscript"/>
          <w:lang w:eastAsia="en-US"/>
        </w:rPr>
        <w:t>ср</w:t>
      </w:r>
      <w:r w:rsidRPr="00FA2F64">
        <w:rPr>
          <w:rFonts w:eastAsia="Calibri"/>
          <w:sz w:val="28"/>
          <w:szCs w:val="28"/>
          <w:vertAlign w:val="subscript"/>
          <w:lang w:eastAsia="en-US"/>
        </w:rPr>
        <w:t>Sар</w:t>
      </w:r>
      <w:r w:rsidRPr="00FA2F64">
        <w:rPr>
          <w:sz w:val="28"/>
          <w:szCs w:val="28"/>
          <w:vertAlign w:val="superscript"/>
        </w:rPr>
        <w:t xml:space="preserve"> =</w:t>
      </w:r>
      <w:r w:rsidRPr="00FA2F64">
        <w:rPr>
          <w:sz w:val="28"/>
          <w:szCs w:val="28"/>
        </w:rPr>
        <w:t xml:space="preserve"> ∑</w:t>
      </w:r>
      <w:r w:rsidRPr="00FA2F64">
        <w:rPr>
          <w:sz w:val="28"/>
          <w:szCs w:val="28"/>
          <w:vertAlign w:val="superscript"/>
        </w:rPr>
        <w:t>3</w:t>
      </w:r>
      <w:r w:rsidRPr="00FA2F64">
        <w:rPr>
          <w:sz w:val="28"/>
          <w:szCs w:val="28"/>
          <w:vertAlign w:val="subscript"/>
          <w:lang w:val="en-US"/>
        </w:rPr>
        <w:t>t</w:t>
      </w:r>
      <w:r w:rsidRPr="00FA2F64">
        <w:rPr>
          <w:sz w:val="28"/>
          <w:szCs w:val="28"/>
          <w:vertAlign w:val="subscript"/>
        </w:rPr>
        <w:t>=1</w:t>
      </w:r>
      <w:r w:rsidRPr="00FA2F64">
        <w:rPr>
          <w:rFonts w:eastAsia="Calibri"/>
          <w:sz w:val="28"/>
          <w:szCs w:val="28"/>
          <w:lang w:eastAsia="en-US"/>
        </w:rPr>
        <w:t xml:space="preserve"> Т</w:t>
      </w:r>
      <w:r w:rsidRPr="00FA2F64">
        <w:rPr>
          <w:rFonts w:eastAsia="Calibri"/>
          <w:sz w:val="28"/>
          <w:szCs w:val="28"/>
          <w:vertAlign w:val="subscript"/>
          <w:lang w:eastAsia="en-US"/>
        </w:rPr>
        <w:t>Sар</w:t>
      </w:r>
      <w:r w:rsidRPr="00FA2F64">
        <w:rPr>
          <w:rFonts w:eastAsia="Constantia"/>
          <w:iCs/>
          <w:sz w:val="28"/>
          <w:szCs w:val="28"/>
        </w:rPr>
        <w:t xml:space="preserve"> /3,</w:t>
      </w:r>
    </w:p>
    <w:p w:rsidR="00CE1891" w:rsidRPr="00FA2F64" w:rsidRDefault="00CE1891" w:rsidP="00CE1891">
      <w:pPr>
        <w:widowControl w:val="0"/>
        <w:ind w:firstLine="709"/>
        <w:jc w:val="center"/>
        <w:rPr>
          <w:rFonts w:eastAsia="Calibri"/>
          <w:sz w:val="28"/>
          <w:szCs w:val="28"/>
          <w:lang w:eastAsia="en-US"/>
        </w:rPr>
      </w:pPr>
      <w:r w:rsidRPr="00FA2F64">
        <w:rPr>
          <w:rFonts w:eastAsia="Calibri"/>
          <w:sz w:val="28"/>
          <w:szCs w:val="28"/>
          <w:lang w:eastAsia="en-US"/>
        </w:rPr>
        <w:t>0,98 = (0,88 + 0,97 + 1,07)/3</w:t>
      </w:r>
    </w:p>
    <w:p w:rsidR="00CE1891" w:rsidRPr="00FA2F64" w:rsidRDefault="00CE1891" w:rsidP="00CE1891">
      <w:pPr>
        <w:widowControl w:val="0"/>
        <w:ind w:firstLine="709"/>
        <w:jc w:val="both"/>
        <w:rPr>
          <w:rFonts w:eastAsia="Calibri"/>
          <w:sz w:val="28"/>
          <w:szCs w:val="28"/>
          <w:lang w:eastAsia="en-US"/>
        </w:rPr>
      </w:pPr>
      <w:r w:rsidRPr="00FA2F64">
        <w:rPr>
          <w:rFonts w:eastAsia="Calibri"/>
          <w:sz w:val="28"/>
          <w:szCs w:val="28"/>
          <w:lang w:eastAsia="en-US"/>
        </w:rPr>
        <w:t>где:</w:t>
      </w:r>
    </w:p>
    <w:p w:rsidR="00CE1891" w:rsidRPr="00FA2F64" w:rsidRDefault="00CE1891" w:rsidP="00CE1891">
      <w:pPr>
        <w:widowControl w:val="0"/>
        <w:ind w:firstLine="709"/>
        <w:jc w:val="both"/>
        <w:rPr>
          <w:rFonts w:eastAsia="Calibri"/>
          <w:sz w:val="28"/>
          <w:szCs w:val="28"/>
          <w:lang w:eastAsia="en-US"/>
        </w:rPr>
      </w:pPr>
      <w:r w:rsidRPr="00FA2F64">
        <w:rPr>
          <w:sz w:val="28"/>
          <w:szCs w:val="28"/>
        </w:rPr>
        <w:t>∑</w:t>
      </w:r>
      <w:r w:rsidRPr="00FA2F64">
        <w:rPr>
          <w:sz w:val="28"/>
          <w:szCs w:val="28"/>
          <w:vertAlign w:val="superscript"/>
        </w:rPr>
        <w:t>3</w:t>
      </w:r>
      <w:r w:rsidRPr="00FA2F64">
        <w:rPr>
          <w:sz w:val="28"/>
          <w:szCs w:val="28"/>
          <w:vertAlign w:val="subscript"/>
          <w:lang w:val="en-US"/>
        </w:rPr>
        <w:t>t</w:t>
      </w:r>
      <w:r w:rsidRPr="00FA2F64">
        <w:rPr>
          <w:sz w:val="28"/>
          <w:szCs w:val="28"/>
          <w:vertAlign w:val="subscript"/>
        </w:rPr>
        <w:t>=1</w:t>
      </w:r>
      <w:r w:rsidRPr="00FA2F64">
        <w:rPr>
          <w:rFonts w:eastAsia="Calibri"/>
          <w:sz w:val="28"/>
          <w:szCs w:val="28"/>
          <w:lang w:eastAsia="en-US"/>
        </w:rPr>
        <w:t xml:space="preserve"> Т</w:t>
      </w:r>
      <w:r w:rsidRPr="00FA2F64">
        <w:rPr>
          <w:rFonts w:eastAsia="Calibri"/>
          <w:sz w:val="28"/>
          <w:szCs w:val="28"/>
          <w:vertAlign w:val="subscript"/>
          <w:lang w:eastAsia="en-US"/>
        </w:rPr>
        <w:t>Sар</w:t>
      </w:r>
      <w:r w:rsidRPr="00FA2F64">
        <w:rPr>
          <w:rFonts w:eastAsia="Calibri"/>
          <w:sz w:val="28"/>
          <w:szCs w:val="28"/>
          <w:lang w:eastAsia="en-US"/>
        </w:rPr>
        <w:t xml:space="preserve">  </w:t>
      </w:r>
      <w:r w:rsidRPr="00FA2F64">
        <w:rPr>
          <w:rFonts w:eastAsia="Constantia"/>
          <w:i/>
          <w:iCs/>
          <w:color w:val="000000"/>
          <w:sz w:val="28"/>
          <w:szCs w:val="28"/>
          <w:lang w:bidi="ru-RU"/>
        </w:rPr>
        <w:t>-</w:t>
      </w:r>
      <w:r w:rsidRPr="00FA2F64">
        <w:rPr>
          <w:rFonts w:eastAsia="Calibri"/>
          <w:sz w:val="28"/>
          <w:szCs w:val="28"/>
          <w:lang w:eastAsia="en-US"/>
        </w:rPr>
        <w:t xml:space="preserve"> сумма темпов роста (снижения) площади лесных участков, находящихся в федеральной собственности, предоставленных по договорам аренды, за три отчетных года, предшествующих прогнозируемому году,  (ед.), 2,92;</w:t>
      </w:r>
    </w:p>
    <w:p w:rsidR="00CE1891" w:rsidRPr="00FA2F64" w:rsidRDefault="00CE1891" w:rsidP="00CE1891">
      <w:pPr>
        <w:widowControl w:val="0"/>
        <w:ind w:firstLine="709"/>
        <w:jc w:val="center"/>
        <w:rPr>
          <w:rFonts w:eastAsia="Calibri"/>
          <w:sz w:val="28"/>
          <w:szCs w:val="28"/>
          <w:vertAlign w:val="superscript"/>
          <w:lang w:eastAsia="en-US"/>
        </w:rPr>
      </w:pPr>
      <w:r w:rsidRPr="00FA2F64">
        <w:rPr>
          <w:sz w:val="28"/>
          <w:szCs w:val="28"/>
        </w:rPr>
        <w:t>∑</w:t>
      </w:r>
      <w:r w:rsidRPr="00FA2F64">
        <w:rPr>
          <w:sz w:val="28"/>
          <w:szCs w:val="28"/>
          <w:vertAlign w:val="superscript"/>
        </w:rPr>
        <w:t>3</w:t>
      </w:r>
      <w:r w:rsidRPr="00FA2F64">
        <w:rPr>
          <w:sz w:val="28"/>
          <w:szCs w:val="28"/>
          <w:vertAlign w:val="subscript"/>
          <w:lang w:val="en-US"/>
        </w:rPr>
        <w:t>t</w:t>
      </w:r>
      <w:r w:rsidRPr="00FA2F64">
        <w:rPr>
          <w:sz w:val="28"/>
          <w:szCs w:val="28"/>
          <w:vertAlign w:val="subscript"/>
        </w:rPr>
        <w:t>=1</w:t>
      </w:r>
      <w:r w:rsidRPr="00FA2F64">
        <w:rPr>
          <w:rFonts w:eastAsia="Calibri"/>
          <w:sz w:val="28"/>
          <w:szCs w:val="28"/>
          <w:lang w:eastAsia="en-US"/>
        </w:rPr>
        <w:t xml:space="preserve"> Т</w:t>
      </w:r>
      <w:r w:rsidRPr="00FA2F64">
        <w:rPr>
          <w:rFonts w:eastAsia="Calibri"/>
          <w:sz w:val="28"/>
          <w:szCs w:val="28"/>
          <w:vertAlign w:val="subscript"/>
          <w:lang w:eastAsia="en-US"/>
        </w:rPr>
        <w:t>Sар</w:t>
      </w:r>
      <w:r w:rsidRPr="00FA2F64">
        <w:rPr>
          <w:rFonts w:eastAsia="Calibri"/>
          <w:sz w:val="28"/>
          <w:szCs w:val="28"/>
          <w:lang w:eastAsia="en-US"/>
        </w:rPr>
        <w:t xml:space="preserve">  = Т</w:t>
      </w:r>
      <w:r w:rsidRPr="00FA2F64">
        <w:rPr>
          <w:rFonts w:eastAsia="Calibri"/>
          <w:sz w:val="28"/>
          <w:szCs w:val="28"/>
          <w:vertAlign w:val="subscript"/>
          <w:lang w:eastAsia="en-US"/>
        </w:rPr>
        <w:t>Sар</w:t>
      </w:r>
      <w:r w:rsidRPr="00FA2F64">
        <w:rPr>
          <w:rFonts w:eastAsia="Calibri"/>
          <w:sz w:val="28"/>
          <w:szCs w:val="28"/>
          <w:vertAlign w:val="superscript"/>
          <w:lang w:eastAsia="en-US"/>
        </w:rPr>
        <w:t xml:space="preserve">2019 </w:t>
      </w:r>
      <w:r w:rsidRPr="00FA2F64">
        <w:rPr>
          <w:rFonts w:eastAsia="Calibri"/>
          <w:sz w:val="28"/>
          <w:szCs w:val="28"/>
          <w:lang w:eastAsia="en-US"/>
        </w:rPr>
        <w:t>+ Т</w:t>
      </w:r>
      <w:r w:rsidRPr="00FA2F64">
        <w:rPr>
          <w:rFonts w:eastAsia="Calibri"/>
          <w:sz w:val="28"/>
          <w:szCs w:val="28"/>
          <w:vertAlign w:val="subscript"/>
          <w:lang w:eastAsia="en-US"/>
        </w:rPr>
        <w:t>Sар</w:t>
      </w:r>
      <w:r w:rsidRPr="00FA2F64">
        <w:rPr>
          <w:rFonts w:eastAsia="Calibri"/>
          <w:sz w:val="28"/>
          <w:szCs w:val="28"/>
          <w:vertAlign w:val="superscript"/>
          <w:lang w:eastAsia="en-US"/>
        </w:rPr>
        <w:t xml:space="preserve">2020 </w:t>
      </w:r>
      <w:r w:rsidRPr="00FA2F64">
        <w:rPr>
          <w:rFonts w:eastAsia="Calibri"/>
          <w:sz w:val="28"/>
          <w:szCs w:val="28"/>
          <w:lang w:eastAsia="en-US"/>
        </w:rPr>
        <w:t>+ Т</w:t>
      </w:r>
      <w:r w:rsidRPr="00FA2F64">
        <w:rPr>
          <w:rFonts w:eastAsia="Calibri"/>
          <w:sz w:val="28"/>
          <w:szCs w:val="28"/>
          <w:vertAlign w:val="subscript"/>
          <w:lang w:eastAsia="en-US"/>
        </w:rPr>
        <w:t>Sар</w:t>
      </w:r>
      <w:r w:rsidRPr="00FA2F64">
        <w:rPr>
          <w:rFonts w:eastAsia="Calibri"/>
          <w:sz w:val="28"/>
          <w:szCs w:val="28"/>
          <w:vertAlign w:val="superscript"/>
          <w:lang w:eastAsia="en-US"/>
        </w:rPr>
        <w:t>2021</w:t>
      </w:r>
    </w:p>
    <w:p w:rsidR="00CE1891" w:rsidRPr="00FA2F64" w:rsidRDefault="00CE1891" w:rsidP="00CE1891">
      <w:pPr>
        <w:widowControl w:val="0"/>
        <w:ind w:firstLine="709"/>
        <w:jc w:val="center"/>
        <w:rPr>
          <w:rFonts w:eastAsia="Calibri"/>
          <w:sz w:val="28"/>
          <w:szCs w:val="28"/>
          <w:lang w:eastAsia="en-US"/>
        </w:rPr>
      </w:pPr>
      <w:r w:rsidRPr="00FA2F64">
        <w:rPr>
          <w:rFonts w:eastAsia="Calibri"/>
          <w:sz w:val="28"/>
          <w:szCs w:val="28"/>
          <w:lang w:eastAsia="en-US"/>
        </w:rPr>
        <w:t>2,92 = 0,88 + 0,97 + 1,07</w:t>
      </w:r>
    </w:p>
    <w:p w:rsidR="00CE1891" w:rsidRPr="00FA2F64" w:rsidRDefault="00CE1891" w:rsidP="00CE1891">
      <w:pPr>
        <w:widowControl w:val="0"/>
        <w:ind w:firstLine="709"/>
        <w:jc w:val="center"/>
        <w:rPr>
          <w:rFonts w:eastAsia="Calibri"/>
          <w:sz w:val="28"/>
          <w:szCs w:val="28"/>
          <w:lang w:eastAsia="en-US"/>
        </w:rPr>
      </w:pPr>
    </w:p>
    <w:p w:rsidR="00CE1891" w:rsidRPr="00FA2F64" w:rsidRDefault="00CE1891" w:rsidP="00CE1891">
      <w:pPr>
        <w:widowControl w:val="0"/>
        <w:ind w:firstLine="709"/>
        <w:jc w:val="both"/>
        <w:rPr>
          <w:rFonts w:eastAsia="Calibri"/>
          <w:sz w:val="28"/>
          <w:szCs w:val="28"/>
          <w:lang w:eastAsia="en-US"/>
        </w:rPr>
      </w:pPr>
      <w:r w:rsidRPr="00FA2F64">
        <w:rPr>
          <w:rFonts w:eastAsia="Calibri"/>
          <w:sz w:val="28"/>
          <w:szCs w:val="28"/>
          <w:lang w:eastAsia="en-US"/>
        </w:rPr>
        <w:t>Т</w:t>
      </w:r>
      <w:r w:rsidRPr="00FA2F64">
        <w:rPr>
          <w:rFonts w:eastAsia="Calibri"/>
          <w:sz w:val="28"/>
          <w:szCs w:val="28"/>
          <w:vertAlign w:val="subscript"/>
          <w:lang w:val="en-US" w:eastAsia="en-US"/>
        </w:rPr>
        <w:t>S</w:t>
      </w:r>
      <w:r w:rsidRPr="00FA2F64">
        <w:rPr>
          <w:rFonts w:eastAsia="Calibri"/>
          <w:sz w:val="28"/>
          <w:szCs w:val="28"/>
          <w:vertAlign w:val="subscript"/>
          <w:lang w:eastAsia="en-US"/>
        </w:rPr>
        <w:t>ар</w:t>
      </w:r>
      <w:r w:rsidRPr="00FA2F64">
        <w:rPr>
          <w:rFonts w:eastAsia="Calibri"/>
          <w:sz w:val="28"/>
          <w:szCs w:val="28"/>
          <w:lang w:eastAsia="en-US"/>
        </w:rPr>
        <w:t xml:space="preserve"> - темп роста (снижения) объема лесных ресурсов (за исключением древесины), подлежащего заготовке по договорам аренды лесных участков, находящихся в федеральной собственности, за год (ед.), определяется по формуле:</w:t>
      </w:r>
    </w:p>
    <w:p w:rsidR="00CE1891" w:rsidRPr="00FA2F64" w:rsidRDefault="00CE1891" w:rsidP="00CE1891">
      <w:pPr>
        <w:widowControl w:val="0"/>
        <w:ind w:firstLine="709"/>
        <w:jc w:val="center"/>
        <w:rPr>
          <w:rFonts w:eastAsia="Calibri"/>
          <w:sz w:val="28"/>
          <w:szCs w:val="28"/>
          <w:vertAlign w:val="subscript"/>
          <w:lang w:eastAsia="en-US"/>
        </w:rPr>
      </w:pPr>
      <w:r w:rsidRPr="00FA2F64">
        <w:rPr>
          <w:rFonts w:eastAsia="Calibri"/>
          <w:sz w:val="28"/>
          <w:szCs w:val="28"/>
          <w:lang w:eastAsia="en-US"/>
        </w:rPr>
        <w:t>Т</w:t>
      </w:r>
      <w:r w:rsidRPr="00FA2F64">
        <w:rPr>
          <w:rFonts w:eastAsia="Calibri"/>
          <w:sz w:val="28"/>
          <w:szCs w:val="28"/>
          <w:vertAlign w:val="subscript"/>
          <w:lang w:val="en-US" w:eastAsia="en-US"/>
        </w:rPr>
        <w:t>S</w:t>
      </w:r>
      <w:r w:rsidRPr="00FA2F64">
        <w:rPr>
          <w:rFonts w:eastAsia="Calibri"/>
          <w:sz w:val="28"/>
          <w:szCs w:val="28"/>
          <w:vertAlign w:val="subscript"/>
          <w:lang w:eastAsia="en-US"/>
        </w:rPr>
        <w:t>ар</w:t>
      </w:r>
      <w:r w:rsidRPr="00FA2F64">
        <w:rPr>
          <w:rFonts w:eastAsia="Calibri"/>
          <w:sz w:val="28"/>
          <w:szCs w:val="28"/>
          <w:lang w:eastAsia="en-US"/>
        </w:rPr>
        <w:t xml:space="preserve"> =</w:t>
      </w:r>
      <w:r w:rsidRPr="00FA2F64">
        <w:rPr>
          <w:rFonts w:eastAsia="Calibri"/>
          <w:sz w:val="28"/>
          <w:szCs w:val="28"/>
          <w:vertAlign w:val="subscript"/>
          <w:lang w:eastAsia="en-US"/>
        </w:rPr>
        <w:t xml:space="preserve"> </w:t>
      </w:r>
      <w:r w:rsidRPr="00FA2F64">
        <w:rPr>
          <w:rFonts w:eastAsia="Calibri"/>
          <w:sz w:val="28"/>
          <w:szCs w:val="28"/>
          <w:lang w:val="en-US" w:eastAsia="en-US"/>
        </w:rPr>
        <w:t>Q</w:t>
      </w:r>
      <w:r w:rsidRPr="00FA2F64">
        <w:rPr>
          <w:rFonts w:eastAsia="Calibri"/>
          <w:sz w:val="28"/>
          <w:szCs w:val="28"/>
          <w:vertAlign w:val="superscript"/>
          <w:lang w:val="en-US" w:eastAsia="en-US"/>
        </w:rPr>
        <w:t>n</w:t>
      </w:r>
      <w:r w:rsidRPr="00FA2F64">
        <w:rPr>
          <w:rFonts w:eastAsia="Calibri"/>
          <w:sz w:val="28"/>
          <w:szCs w:val="28"/>
          <w:vertAlign w:val="subscript"/>
          <w:lang w:val="en-US" w:eastAsia="en-US"/>
        </w:rPr>
        <w:t>S</w:t>
      </w:r>
      <w:r w:rsidRPr="00FA2F64">
        <w:rPr>
          <w:rFonts w:eastAsia="Calibri"/>
          <w:sz w:val="28"/>
          <w:szCs w:val="28"/>
          <w:vertAlign w:val="subscript"/>
          <w:lang w:eastAsia="en-US"/>
        </w:rPr>
        <w:t>ар</w:t>
      </w:r>
      <w:r w:rsidRPr="00FA2F64">
        <w:rPr>
          <w:rFonts w:eastAsia="Calibri"/>
          <w:sz w:val="28"/>
          <w:szCs w:val="28"/>
          <w:lang w:eastAsia="en-US"/>
        </w:rPr>
        <w:t xml:space="preserve">/ </w:t>
      </w:r>
      <w:r w:rsidRPr="00FA2F64">
        <w:rPr>
          <w:rFonts w:eastAsia="Calibri"/>
          <w:sz w:val="28"/>
          <w:szCs w:val="28"/>
          <w:lang w:val="en-US" w:eastAsia="en-US"/>
        </w:rPr>
        <w:t>Q</w:t>
      </w:r>
      <w:r w:rsidRPr="00FA2F64">
        <w:rPr>
          <w:rFonts w:eastAsia="Calibri"/>
          <w:sz w:val="28"/>
          <w:szCs w:val="28"/>
          <w:vertAlign w:val="superscript"/>
          <w:lang w:val="en-US" w:eastAsia="en-US"/>
        </w:rPr>
        <w:t>n</w:t>
      </w:r>
      <w:r w:rsidRPr="00FA2F64">
        <w:rPr>
          <w:rFonts w:eastAsia="Calibri"/>
          <w:sz w:val="28"/>
          <w:szCs w:val="28"/>
          <w:vertAlign w:val="superscript"/>
          <w:lang w:eastAsia="en-US"/>
        </w:rPr>
        <w:t>-1</w:t>
      </w:r>
      <w:r w:rsidRPr="00FA2F64">
        <w:rPr>
          <w:rFonts w:eastAsia="Calibri"/>
          <w:sz w:val="28"/>
          <w:szCs w:val="28"/>
          <w:vertAlign w:val="subscript"/>
          <w:lang w:val="en-US" w:eastAsia="en-US"/>
        </w:rPr>
        <w:t>S</w:t>
      </w:r>
      <w:r w:rsidRPr="00FA2F64">
        <w:rPr>
          <w:rFonts w:eastAsia="Calibri"/>
          <w:sz w:val="28"/>
          <w:szCs w:val="28"/>
          <w:vertAlign w:val="subscript"/>
          <w:lang w:eastAsia="en-US"/>
        </w:rPr>
        <w:t xml:space="preserve">ар </w:t>
      </w:r>
    </w:p>
    <w:p w:rsidR="00CE1891" w:rsidRPr="00FA2F64" w:rsidRDefault="00CE1891" w:rsidP="00CE1891">
      <w:pPr>
        <w:widowControl w:val="0"/>
        <w:ind w:firstLine="709"/>
        <w:jc w:val="center"/>
        <w:rPr>
          <w:rFonts w:eastAsia="Calibri"/>
          <w:sz w:val="28"/>
          <w:szCs w:val="28"/>
          <w:vertAlign w:val="subscript"/>
          <w:lang w:eastAsia="en-US"/>
        </w:rPr>
      </w:pPr>
    </w:p>
    <w:p w:rsidR="00CE1891" w:rsidRPr="00FA2F64" w:rsidRDefault="00CE1891" w:rsidP="00CE1891">
      <w:pPr>
        <w:widowControl w:val="0"/>
        <w:ind w:firstLine="709"/>
        <w:jc w:val="both"/>
        <w:rPr>
          <w:rFonts w:eastAsia="Calibri"/>
          <w:sz w:val="28"/>
          <w:szCs w:val="28"/>
          <w:lang w:eastAsia="en-US"/>
        </w:rPr>
      </w:pPr>
      <w:r w:rsidRPr="00FA2F64">
        <w:rPr>
          <w:rFonts w:eastAsia="Calibri"/>
          <w:sz w:val="28"/>
          <w:szCs w:val="28"/>
          <w:lang w:eastAsia="en-US"/>
        </w:rPr>
        <w:t>где:</w:t>
      </w:r>
    </w:p>
    <w:p w:rsidR="00CE1891" w:rsidRPr="00FA2F64" w:rsidRDefault="00CE1891" w:rsidP="00CE1891">
      <w:pPr>
        <w:widowControl w:val="0"/>
        <w:ind w:firstLine="709"/>
        <w:jc w:val="both"/>
        <w:rPr>
          <w:rFonts w:eastAsia="Calibri"/>
          <w:sz w:val="28"/>
          <w:szCs w:val="28"/>
          <w:lang w:eastAsia="en-US"/>
        </w:rPr>
      </w:pPr>
      <w:r w:rsidRPr="00FA2F64">
        <w:rPr>
          <w:rFonts w:eastAsia="Calibri"/>
          <w:sz w:val="28"/>
          <w:szCs w:val="28"/>
          <w:lang w:val="en-US" w:eastAsia="en-US"/>
        </w:rPr>
        <w:t>Q</w:t>
      </w:r>
      <w:r w:rsidRPr="00FA2F64">
        <w:rPr>
          <w:rFonts w:eastAsia="Calibri"/>
          <w:sz w:val="28"/>
          <w:szCs w:val="28"/>
          <w:vertAlign w:val="superscript"/>
          <w:lang w:val="en-US" w:eastAsia="en-US"/>
        </w:rPr>
        <w:t>n</w:t>
      </w:r>
      <w:r w:rsidRPr="00FA2F64">
        <w:rPr>
          <w:rFonts w:eastAsia="Calibri"/>
          <w:sz w:val="28"/>
          <w:szCs w:val="28"/>
          <w:vertAlign w:val="subscript"/>
          <w:lang w:val="en-US" w:eastAsia="en-US"/>
        </w:rPr>
        <w:t>S</w:t>
      </w:r>
      <w:r w:rsidRPr="00FA2F64">
        <w:rPr>
          <w:rFonts w:eastAsia="Calibri"/>
          <w:sz w:val="28"/>
          <w:szCs w:val="28"/>
          <w:vertAlign w:val="subscript"/>
          <w:lang w:eastAsia="en-US"/>
        </w:rPr>
        <w:t xml:space="preserve">ар </w:t>
      </w:r>
      <w:r w:rsidRPr="00FA2F64">
        <w:rPr>
          <w:rFonts w:eastAsia="Calibri"/>
          <w:sz w:val="28"/>
          <w:szCs w:val="28"/>
          <w:lang w:eastAsia="en-US"/>
        </w:rPr>
        <w:t>- объем лесных ресурсов (за исключением древесины), подлежащий заготовке по договорам аренды лесных участков, находящихся в федеральной собственности, за год (га);</w:t>
      </w:r>
    </w:p>
    <w:p w:rsidR="00CE1891" w:rsidRPr="00FA2F64" w:rsidRDefault="00CE1891" w:rsidP="00CE1891">
      <w:pPr>
        <w:widowControl w:val="0"/>
        <w:ind w:firstLine="709"/>
        <w:jc w:val="both"/>
        <w:rPr>
          <w:rFonts w:eastAsia="Calibri"/>
          <w:sz w:val="28"/>
          <w:szCs w:val="28"/>
          <w:lang w:eastAsia="en-US"/>
        </w:rPr>
      </w:pPr>
      <w:r w:rsidRPr="00FA2F64">
        <w:rPr>
          <w:rFonts w:eastAsia="Calibri"/>
          <w:sz w:val="28"/>
          <w:szCs w:val="28"/>
          <w:lang w:val="en-US" w:eastAsia="en-US"/>
        </w:rPr>
        <w:t>Q</w:t>
      </w:r>
      <w:r w:rsidRPr="00FA2F64">
        <w:rPr>
          <w:rFonts w:eastAsia="Calibri"/>
          <w:sz w:val="28"/>
          <w:szCs w:val="28"/>
          <w:vertAlign w:val="superscript"/>
          <w:lang w:val="en-US" w:eastAsia="en-US"/>
        </w:rPr>
        <w:t>n</w:t>
      </w:r>
      <w:r w:rsidRPr="00FA2F64">
        <w:rPr>
          <w:rFonts w:eastAsia="Calibri"/>
          <w:sz w:val="28"/>
          <w:szCs w:val="28"/>
          <w:vertAlign w:val="superscript"/>
          <w:lang w:eastAsia="en-US"/>
        </w:rPr>
        <w:t>-1</w:t>
      </w:r>
      <w:r w:rsidRPr="00FA2F64">
        <w:rPr>
          <w:rFonts w:eastAsia="Calibri"/>
          <w:sz w:val="28"/>
          <w:szCs w:val="28"/>
          <w:vertAlign w:val="subscript"/>
          <w:lang w:val="en-US" w:eastAsia="en-US"/>
        </w:rPr>
        <w:t>S</w:t>
      </w:r>
      <w:r w:rsidRPr="00FA2F64">
        <w:rPr>
          <w:rFonts w:eastAsia="Calibri"/>
          <w:sz w:val="28"/>
          <w:szCs w:val="28"/>
          <w:vertAlign w:val="subscript"/>
          <w:lang w:eastAsia="en-US"/>
        </w:rPr>
        <w:t xml:space="preserve">ар </w:t>
      </w:r>
      <w:r w:rsidRPr="00FA2F64">
        <w:rPr>
          <w:rFonts w:eastAsia="Calibri"/>
          <w:sz w:val="28"/>
          <w:szCs w:val="28"/>
          <w:lang w:eastAsia="en-US"/>
        </w:rPr>
        <w:t>- объем лесных ресурсов (за исключением древесины), подлежащий заготовке по договорам аренды лесных участков, находящихся в федеральной собственности, за предыдущий год (га);</w:t>
      </w:r>
    </w:p>
    <w:p w:rsidR="00CE1891" w:rsidRPr="00FA2F64" w:rsidRDefault="00CE1891" w:rsidP="00CE1891">
      <w:pPr>
        <w:widowControl w:val="0"/>
        <w:ind w:firstLine="709"/>
        <w:jc w:val="center"/>
        <w:rPr>
          <w:rFonts w:eastAsia="Calibri"/>
          <w:sz w:val="28"/>
          <w:szCs w:val="28"/>
          <w:lang w:eastAsia="en-US"/>
        </w:rPr>
      </w:pPr>
    </w:p>
    <w:p w:rsidR="00CE1891" w:rsidRPr="00FA2F64" w:rsidRDefault="00CE1891" w:rsidP="00CE1891">
      <w:pPr>
        <w:widowControl w:val="0"/>
        <w:ind w:firstLine="709"/>
        <w:jc w:val="both"/>
        <w:rPr>
          <w:rFonts w:eastAsia="Calibri"/>
          <w:sz w:val="28"/>
          <w:szCs w:val="28"/>
          <w:lang w:eastAsia="en-US"/>
        </w:rPr>
      </w:pPr>
      <w:r w:rsidRPr="00FA2F64">
        <w:rPr>
          <w:rFonts w:eastAsia="Calibri"/>
          <w:sz w:val="28"/>
          <w:szCs w:val="28"/>
          <w:lang w:eastAsia="en-US"/>
        </w:rPr>
        <w:t>в том числе по годам:</w:t>
      </w:r>
    </w:p>
    <w:p w:rsidR="00CE1891" w:rsidRPr="00FA2F64" w:rsidRDefault="00CE1891" w:rsidP="00CE1891">
      <w:pPr>
        <w:widowControl w:val="0"/>
        <w:ind w:firstLine="709"/>
        <w:jc w:val="center"/>
        <w:rPr>
          <w:rFonts w:eastAsia="Calibri"/>
          <w:sz w:val="28"/>
          <w:szCs w:val="28"/>
          <w:lang w:eastAsia="en-US"/>
        </w:rPr>
      </w:pPr>
    </w:p>
    <w:p w:rsidR="00CE1891" w:rsidRPr="00FA2F64" w:rsidRDefault="00CE1891" w:rsidP="00CE1891">
      <w:pPr>
        <w:widowControl w:val="0"/>
        <w:ind w:firstLine="709"/>
        <w:jc w:val="both"/>
        <w:rPr>
          <w:rFonts w:eastAsia="Calibri"/>
          <w:sz w:val="28"/>
          <w:szCs w:val="28"/>
          <w:lang w:eastAsia="en-US"/>
        </w:rPr>
      </w:pPr>
      <w:r w:rsidRPr="00FA2F64">
        <w:rPr>
          <w:rFonts w:eastAsia="Calibri"/>
          <w:sz w:val="28"/>
          <w:szCs w:val="28"/>
          <w:lang w:eastAsia="en-US"/>
        </w:rPr>
        <w:t>а) Т</w:t>
      </w:r>
      <w:r w:rsidRPr="00FA2F64">
        <w:rPr>
          <w:rFonts w:eastAsia="Calibri"/>
          <w:sz w:val="28"/>
          <w:szCs w:val="28"/>
          <w:vertAlign w:val="subscript"/>
          <w:lang w:eastAsia="en-US"/>
        </w:rPr>
        <w:t>Sар</w:t>
      </w:r>
      <w:r w:rsidRPr="00FA2F64">
        <w:rPr>
          <w:rFonts w:eastAsia="Calibri"/>
          <w:sz w:val="28"/>
          <w:szCs w:val="28"/>
          <w:vertAlign w:val="superscript"/>
          <w:lang w:eastAsia="en-US"/>
        </w:rPr>
        <w:t>2019</w:t>
      </w:r>
      <w:r w:rsidRPr="00FA2F64">
        <w:rPr>
          <w:rFonts w:eastAsia="Calibri"/>
          <w:sz w:val="28"/>
          <w:szCs w:val="28"/>
          <w:lang w:eastAsia="en-US"/>
        </w:rPr>
        <w:t xml:space="preserve"> </w:t>
      </w:r>
      <w:r w:rsidRPr="00FA2F64">
        <w:rPr>
          <w:rFonts w:eastAsia="Constantia"/>
          <w:i/>
          <w:iCs/>
          <w:sz w:val="28"/>
          <w:szCs w:val="28"/>
          <w:lang w:bidi="ru-RU"/>
        </w:rPr>
        <w:t>-</w:t>
      </w:r>
      <w:r w:rsidRPr="00FA2F64">
        <w:rPr>
          <w:rFonts w:eastAsia="Calibri"/>
          <w:sz w:val="28"/>
          <w:szCs w:val="28"/>
          <w:lang w:eastAsia="en-US"/>
        </w:rPr>
        <w:t xml:space="preserve"> темп роста (снижения) площади лесных участков, находящихся в федеральной собственности, предоставленных по договорам аренды, за 2019 год (ед.), 0,88:</w:t>
      </w:r>
    </w:p>
    <w:p w:rsidR="00CE1891" w:rsidRPr="00FA2F64" w:rsidRDefault="00CE1891" w:rsidP="00CE1891">
      <w:pPr>
        <w:widowControl w:val="0"/>
        <w:ind w:firstLine="709"/>
        <w:jc w:val="both"/>
        <w:rPr>
          <w:rFonts w:eastAsia="Calibri"/>
          <w:sz w:val="28"/>
          <w:szCs w:val="28"/>
          <w:lang w:eastAsia="en-US"/>
        </w:rPr>
      </w:pPr>
    </w:p>
    <w:p w:rsidR="00CE1891" w:rsidRPr="00FA2F64" w:rsidRDefault="00CE1891" w:rsidP="00CE1891">
      <w:pPr>
        <w:widowControl w:val="0"/>
        <w:ind w:firstLine="709"/>
        <w:jc w:val="center"/>
        <w:rPr>
          <w:rFonts w:eastAsia="Calibri"/>
          <w:sz w:val="28"/>
          <w:szCs w:val="28"/>
          <w:lang w:eastAsia="en-US"/>
        </w:rPr>
      </w:pPr>
      <w:r w:rsidRPr="00FA2F64">
        <w:rPr>
          <w:rFonts w:eastAsia="Calibri"/>
          <w:sz w:val="28"/>
          <w:szCs w:val="28"/>
          <w:lang w:eastAsia="en-US"/>
        </w:rPr>
        <w:t>Т</w:t>
      </w:r>
      <w:r w:rsidRPr="00FA2F64">
        <w:rPr>
          <w:rFonts w:eastAsia="Calibri"/>
          <w:sz w:val="28"/>
          <w:szCs w:val="28"/>
          <w:vertAlign w:val="subscript"/>
          <w:lang w:eastAsia="en-US"/>
        </w:rPr>
        <w:t>Sар</w:t>
      </w:r>
      <w:r w:rsidRPr="00FA2F64">
        <w:rPr>
          <w:rFonts w:eastAsia="Calibri"/>
          <w:sz w:val="28"/>
          <w:szCs w:val="28"/>
          <w:vertAlign w:val="superscript"/>
          <w:lang w:eastAsia="en-US"/>
        </w:rPr>
        <w:t xml:space="preserve">2019 </w:t>
      </w:r>
      <w:r w:rsidRPr="00FA2F64">
        <w:rPr>
          <w:rFonts w:eastAsia="Calibri"/>
          <w:sz w:val="28"/>
          <w:szCs w:val="28"/>
          <w:lang w:eastAsia="en-US"/>
        </w:rPr>
        <w:t>= Q</w:t>
      </w:r>
      <w:r w:rsidRPr="00FA2F64">
        <w:rPr>
          <w:rFonts w:eastAsia="Calibri"/>
          <w:sz w:val="28"/>
          <w:szCs w:val="28"/>
          <w:vertAlign w:val="superscript"/>
          <w:lang w:eastAsia="en-US"/>
        </w:rPr>
        <w:t>2019</w:t>
      </w:r>
      <w:r w:rsidRPr="00FA2F64">
        <w:rPr>
          <w:rFonts w:eastAsia="Calibri"/>
          <w:sz w:val="28"/>
          <w:szCs w:val="28"/>
          <w:vertAlign w:val="subscript"/>
          <w:lang w:eastAsia="en-US"/>
        </w:rPr>
        <w:t>Sар</w:t>
      </w:r>
      <w:r w:rsidRPr="00FA2F64">
        <w:rPr>
          <w:rFonts w:eastAsia="Calibri"/>
          <w:sz w:val="28"/>
          <w:szCs w:val="28"/>
          <w:lang w:eastAsia="en-US"/>
        </w:rPr>
        <w:t xml:space="preserve"> / Q</w:t>
      </w:r>
      <w:r w:rsidRPr="00FA2F64">
        <w:rPr>
          <w:rFonts w:eastAsia="Calibri"/>
          <w:sz w:val="28"/>
          <w:szCs w:val="28"/>
          <w:vertAlign w:val="superscript"/>
          <w:lang w:eastAsia="en-US"/>
        </w:rPr>
        <w:t>2018</w:t>
      </w:r>
      <w:r w:rsidRPr="00FA2F64">
        <w:rPr>
          <w:rFonts w:eastAsia="Calibri"/>
          <w:sz w:val="28"/>
          <w:szCs w:val="28"/>
          <w:vertAlign w:val="subscript"/>
          <w:lang w:eastAsia="en-US"/>
        </w:rPr>
        <w:t>Sар</w:t>
      </w:r>
      <w:r w:rsidRPr="00FA2F64">
        <w:rPr>
          <w:rFonts w:eastAsia="Calibri"/>
          <w:sz w:val="28"/>
          <w:szCs w:val="28"/>
          <w:lang w:eastAsia="en-US"/>
        </w:rPr>
        <w:t>,</w:t>
      </w:r>
    </w:p>
    <w:p w:rsidR="00CE1891" w:rsidRPr="00FA2F64" w:rsidRDefault="00CE1891" w:rsidP="00CE1891">
      <w:pPr>
        <w:widowControl w:val="0"/>
        <w:ind w:firstLine="709"/>
        <w:jc w:val="center"/>
        <w:rPr>
          <w:rFonts w:eastAsia="Calibri"/>
          <w:sz w:val="28"/>
          <w:szCs w:val="28"/>
          <w:lang w:eastAsia="en-US"/>
        </w:rPr>
      </w:pPr>
      <w:r w:rsidRPr="00FA2F64">
        <w:rPr>
          <w:rFonts w:eastAsia="Calibri"/>
          <w:sz w:val="28"/>
          <w:szCs w:val="28"/>
          <w:lang w:eastAsia="en-US"/>
        </w:rPr>
        <w:t>0,88 = 525,3/601,5</w:t>
      </w:r>
    </w:p>
    <w:p w:rsidR="00CE1891" w:rsidRPr="00FA2F64" w:rsidRDefault="00CE1891" w:rsidP="00CE1891">
      <w:pPr>
        <w:widowControl w:val="0"/>
        <w:ind w:firstLine="709"/>
        <w:jc w:val="center"/>
        <w:rPr>
          <w:rFonts w:eastAsia="Calibri"/>
          <w:sz w:val="28"/>
          <w:szCs w:val="28"/>
          <w:lang w:eastAsia="en-US"/>
        </w:rPr>
      </w:pPr>
    </w:p>
    <w:p w:rsidR="00CE1891" w:rsidRPr="00FA2F64" w:rsidRDefault="00CE1891" w:rsidP="00CE1891">
      <w:pPr>
        <w:widowControl w:val="0"/>
        <w:ind w:firstLine="709"/>
        <w:jc w:val="both"/>
        <w:rPr>
          <w:rFonts w:eastAsia="Calibri"/>
          <w:sz w:val="28"/>
          <w:szCs w:val="28"/>
          <w:lang w:eastAsia="en-US"/>
        </w:rPr>
      </w:pPr>
      <w:r w:rsidRPr="00FA2F64">
        <w:rPr>
          <w:rFonts w:eastAsia="Calibri"/>
          <w:sz w:val="28"/>
          <w:szCs w:val="28"/>
          <w:lang w:eastAsia="en-US"/>
        </w:rPr>
        <w:t>где:</w:t>
      </w:r>
    </w:p>
    <w:p w:rsidR="00CE1891" w:rsidRPr="00FA2F64" w:rsidRDefault="00CE1891" w:rsidP="00CE1891">
      <w:pPr>
        <w:widowControl w:val="0"/>
        <w:ind w:firstLine="709"/>
        <w:jc w:val="both"/>
        <w:rPr>
          <w:rFonts w:eastAsia="Calibri"/>
          <w:sz w:val="28"/>
          <w:szCs w:val="28"/>
          <w:lang w:eastAsia="en-US"/>
        </w:rPr>
      </w:pPr>
      <w:r w:rsidRPr="00FA2F64">
        <w:rPr>
          <w:rFonts w:eastAsia="Calibri"/>
          <w:sz w:val="28"/>
          <w:szCs w:val="28"/>
          <w:lang w:eastAsia="en-US"/>
        </w:rPr>
        <w:t>Q</w:t>
      </w:r>
      <w:r w:rsidRPr="00FA2F64">
        <w:rPr>
          <w:rFonts w:eastAsia="Calibri"/>
          <w:sz w:val="28"/>
          <w:szCs w:val="28"/>
          <w:vertAlign w:val="superscript"/>
          <w:lang w:eastAsia="en-US"/>
        </w:rPr>
        <w:t>2019</w:t>
      </w:r>
      <w:r w:rsidRPr="00FA2F64">
        <w:rPr>
          <w:rFonts w:eastAsia="Calibri"/>
          <w:sz w:val="28"/>
          <w:szCs w:val="28"/>
          <w:vertAlign w:val="subscript"/>
          <w:lang w:eastAsia="en-US"/>
        </w:rPr>
        <w:t>Sар</w:t>
      </w:r>
      <w:r w:rsidRPr="00FA2F64">
        <w:rPr>
          <w:rFonts w:eastAsia="Calibri"/>
          <w:sz w:val="28"/>
          <w:szCs w:val="28"/>
          <w:lang w:eastAsia="en-US"/>
        </w:rPr>
        <w:t xml:space="preserve"> </w:t>
      </w:r>
      <w:r w:rsidRPr="00FA2F64">
        <w:rPr>
          <w:rFonts w:eastAsia="Constantia"/>
          <w:i/>
          <w:iCs/>
          <w:color w:val="000000"/>
          <w:sz w:val="28"/>
          <w:szCs w:val="28"/>
          <w:lang w:bidi="ru-RU"/>
        </w:rPr>
        <w:t>-</w:t>
      </w:r>
      <w:r w:rsidRPr="00FA2F64">
        <w:rPr>
          <w:rFonts w:eastAsia="Calibri"/>
          <w:sz w:val="28"/>
          <w:szCs w:val="28"/>
          <w:lang w:eastAsia="en-US"/>
        </w:rPr>
        <w:t xml:space="preserve"> площадь лесных участков, находящихся в федеральной собственности, предоставленных по договорам аренды, за 2019 год, 525,3 га;</w:t>
      </w:r>
    </w:p>
    <w:p w:rsidR="00CE1891" w:rsidRPr="00FA2F64" w:rsidRDefault="00CE1891" w:rsidP="00CE1891">
      <w:pPr>
        <w:widowControl w:val="0"/>
        <w:ind w:firstLine="709"/>
        <w:jc w:val="both"/>
        <w:rPr>
          <w:rFonts w:eastAsia="Calibri"/>
          <w:sz w:val="28"/>
          <w:szCs w:val="28"/>
          <w:lang w:eastAsia="en-US"/>
        </w:rPr>
      </w:pPr>
      <w:r w:rsidRPr="00FA2F64">
        <w:rPr>
          <w:rFonts w:eastAsia="Calibri"/>
          <w:sz w:val="28"/>
          <w:szCs w:val="28"/>
          <w:lang w:eastAsia="en-US"/>
        </w:rPr>
        <w:t>Q</w:t>
      </w:r>
      <w:r w:rsidRPr="00FA2F64">
        <w:rPr>
          <w:rFonts w:eastAsia="Calibri"/>
          <w:sz w:val="28"/>
          <w:szCs w:val="28"/>
          <w:vertAlign w:val="superscript"/>
          <w:lang w:eastAsia="en-US"/>
        </w:rPr>
        <w:t>2018</w:t>
      </w:r>
      <w:r w:rsidRPr="00FA2F64">
        <w:rPr>
          <w:rFonts w:eastAsia="Calibri"/>
          <w:sz w:val="28"/>
          <w:szCs w:val="28"/>
          <w:vertAlign w:val="subscript"/>
          <w:lang w:eastAsia="en-US"/>
        </w:rPr>
        <w:t>Sар</w:t>
      </w:r>
      <w:r w:rsidRPr="00FA2F64">
        <w:rPr>
          <w:rFonts w:eastAsia="Calibri"/>
          <w:sz w:val="28"/>
          <w:szCs w:val="28"/>
          <w:lang w:eastAsia="en-US"/>
        </w:rPr>
        <w:t xml:space="preserve"> </w:t>
      </w:r>
      <w:r w:rsidRPr="00FA2F64">
        <w:rPr>
          <w:rFonts w:eastAsia="Constantia"/>
          <w:i/>
          <w:iCs/>
          <w:color w:val="000000"/>
          <w:sz w:val="28"/>
          <w:szCs w:val="28"/>
          <w:lang w:bidi="ru-RU"/>
        </w:rPr>
        <w:t>-</w:t>
      </w:r>
      <w:r w:rsidRPr="00FA2F64">
        <w:rPr>
          <w:rFonts w:eastAsia="Calibri"/>
          <w:sz w:val="28"/>
          <w:szCs w:val="28"/>
          <w:lang w:eastAsia="en-US"/>
        </w:rPr>
        <w:t xml:space="preserve"> площадь лесных участков, находящихся в федеральной собственности, предоставленных по договорам аренды, за 2018 год, 601,5 га;</w:t>
      </w:r>
    </w:p>
    <w:p w:rsidR="00CE1891" w:rsidRPr="00FA2F64" w:rsidRDefault="00CE1891" w:rsidP="00CE1891">
      <w:pPr>
        <w:widowControl w:val="0"/>
        <w:ind w:firstLine="709"/>
        <w:jc w:val="both"/>
        <w:rPr>
          <w:rFonts w:eastAsia="Calibri"/>
          <w:sz w:val="28"/>
          <w:szCs w:val="28"/>
          <w:lang w:eastAsia="en-US"/>
        </w:rPr>
      </w:pPr>
    </w:p>
    <w:p w:rsidR="00CE1891" w:rsidRPr="00FA2F64" w:rsidRDefault="00CE1891" w:rsidP="00CE1891">
      <w:pPr>
        <w:widowControl w:val="0"/>
        <w:ind w:firstLine="709"/>
        <w:jc w:val="both"/>
        <w:rPr>
          <w:rFonts w:eastAsia="Calibri"/>
          <w:sz w:val="28"/>
          <w:szCs w:val="28"/>
          <w:lang w:eastAsia="en-US"/>
        </w:rPr>
      </w:pPr>
      <w:r w:rsidRPr="00FA2F64">
        <w:rPr>
          <w:rFonts w:eastAsia="Calibri"/>
          <w:sz w:val="28"/>
          <w:szCs w:val="28"/>
          <w:lang w:eastAsia="en-US"/>
        </w:rPr>
        <w:t>б) Т</w:t>
      </w:r>
      <w:r w:rsidRPr="00FA2F64">
        <w:rPr>
          <w:rFonts w:eastAsia="Calibri"/>
          <w:sz w:val="28"/>
          <w:szCs w:val="28"/>
          <w:vertAlign w:val="subscript"/>
          <w:lang w:eastAsia="en-US"/>
        </w:rPr>
        <w:t>Sар</w:t>
      </w:r>
      <w:r w:rsidRPr="00FA2F64">
        <w:rPr>
          <w:rFonts w:eastAsia="Calibri"/>
          <w:sz w:val="28"/>
          <w:szCs w:val="28"/>
          <w:vertAlign w:val="superscript"/>
          <w:lang w:eastAsia="en-US"/>
        </w:rPr>
        <w:t>2020</w:t>
      </w:r>
      <w:r w:rsidRPr="00FA2F64">
        <w:rPr>
          <w:rFonts w:eastAsia="Calibri"/>
          <w:sz w:val="28"/>
          <w:szCs w:val="28"/>
          <w:lang w:eastAsia="en-US"/>
        </w:rPr>
        <w:t xml:space="preserve"> </w:t>
      </w:r>
      <w:r w:rsidRPr="00FA2F64">
        <w:rPr>
          <w:rFonts w:eastAsia="Constantia"/>
          <w:i/>
          <w:iCs/>
          <w:sz w:val="28"/>
          <w:szCs w:val="28"/>
          <w:lang w:bidi="ru-RU"/>
        </w:rPr>
        <w:t>-</w:t>
      </w:r>
      <w:r w:rsidRPr="00FA2F64">
        <w:rPr>
          <w:rFonts w:eastAsia="Calibri"/>
          <w:sz w:val="28"/>
          <w:szCs w:val="28"/>
          <w:lang w:eastAsia="en-US"/>
        </w:rPr>
        <w:t xml:space="preserve"> темп роста (снижения) площади лесных участков, находящихся в федеральной собственности, предоставленных по договорам аренды, за 2020 год (ед.), 0,97:</w:t>
      </w:r>
    </w:p>
    <w:p w:rsidR="00CE1891" w:rsidRPr="00FA2F64" w:rsidRDefault="00CE1891" w:rsidP="00CE1891">
      <w:pPr>
        <w:widowControl w:val="0"/>
        <w:ind w:firstLine="709"/>
        <w:jc w:val="both"/>
        <w:rPr>
          <w:rFonts w:eastAsia="Calibri"/>
          <w:sz w:val="28"/>
          <w:szCs w:val="28"/>
          <w:lang w:eastAsia="en-US"/>
        </w:rPr>
      </w:pPr>
    </w:p>
    <w:p w:rsidR="00CE1891" w:rsidRPr="00FA2F64" w:rsidRDefault="00CE1891" w:rsidP="00CE1891">
      <w:pPr>
        <w:widowControl w:val="0"/>
        <w:ind w:firstLine="709"/>
        <w:jc w:val="center"/>
        <w:rPr>
          <w:rFonts w:eastAsia="Calibri"/>
          <w:sz w:val="28"/>
          <w:szCs w:val="28"/>
          <w:lang w:eastAsia="en-US"/>
        </w:rPr>
      </w:pPr>
      <w:r w:rsidRPr="00FA2F64">
        <w:rPr>
          <w:rFonts w:eastAsia="Calibri"/>
          <w:sz w:val="28"/>
          <w:szCs w:val="28"/>
          <w:lang w:eastAsia="en-US"/>
        </w:rPr>
        <w:lastRenderedPageBreak/>
        <w:t>Т</w:t>
      </w:r>
      <w:r w:rsidRPr="00FA2F64">
        <w:rPr>
          <w:rFonts w:eastAsia="Calibri"/>
          <w:sz w:val="28"/>
          <w:szCs w:val="28"/>
          <w:vertAlign w:val="subscript"/>
          <w:lang w:eastAsia="en-US"/>
        </w:rPr>
        <w:t>Sар</w:t>
      </w:r>
      <w:r w:rsidRPr="00FA2F64">
        <w:rPr>
          <w:rFonts w:eastAsia="Calibri"/>
          <w:sz w:val="28"/>
          <w:szCs w:val="28"/>
          <w:vertAlign w:val="superscript"/>
          <w:lang w:eastAsia="en-US"/>
        </w:rPr>
        <w:t>2020</w:t>
      </w:r>
      <w:r w:rsidRPr="00FA2F64">
        <w:rPr>
          <w:rFonts w:eastAsia="Calibri"/>
          <w:sz w:val="28"/>
          <w:szCs w:val="28"/>
          <w:lang w:eastAsia="en-US"/>
        </w:rPr>
        <w:t xml:space="preserve"> = Q</w:t>
      </w:r>
      <w:r w:rsidRPr="00FA2F64">
        <w:rPr>
          <w:rFonts w:eastAsia="Calibri"/>
          <w:sz w:val="28"/>
          <w:szCs w:val="28"/>
          <w:vertAlign w:val="superscript"/>
          <w:lang w:eastAsia="en-US"/>
        </w:rPr>
        <w:t>2020</w:t>
      </w:r>
      <w:r w:rsidRPr="00FA2F64">
        <w:rPr>
          <w:rFonts w:eastAsia="Calibri"/>
          <w:sz w:val="28"/>
          <w:szCs w:val="28"/>
          <w:vertAlign w:val="subscript"/>
          <w:lang w:eastAsia="en-US"/>
        </w:rPr>
        <w:t>Sар</w:t>
      </w:r>
      <w:r w:rsidRPr="00FA2F64">
        <w:rPr>
          <w:rFonts w:eastAsia="Calibri"/>
          <w:sz w:val="28"/>
          <w:szCs w:val="28"/>
          <w:lang w:eastAsia="en-US"/>
        </w:rPr>
        <w:t xml:space="preserve"> / Q</w:t>
      </w:r>
      <w:r w:rsidRPr="00FA2F64">
        <w:rPr>
          <w:rFonts w:eastAsia="Calibri"/>
          <w:sz w:val="28"/>
          <w:szCs w:val="28"/>
          <w:vertAlign w:val="superscript"/>
          <w:lang w:eastAsia="en-US"/>
        </w:rPr>
        <w:t>2019</w:t>
      </w:r>
      <w:r w:rsidRPr="00FA2F64">
        <w:rPr>
          <w:rFonts w:eastAsia="Calibri"/>
          <w:sz w:val="28"/>
          <w:szCs w:val="28"/>
          <w:vertAlign w:val="subscript"/>
          <w:lang w:eastAsia="en-US"/>
        </w:rPr>
        <w:t>Sар</w:t>
      </w:r>
      <w:r w:rsidRPr="00FA2F64">
        <w:rPr>
          <w:rFonts w:eastAsia="Calibri"/>
          <w:sz w:val="28"/>
          <w:szCs w:val="28"/>
          <w:lang w:eastAsia="en-US"/>
        </w:rPr>
        <w:t>,</w:t>
      </w:r>
    </w:p>
    <w:p w:rsidR="00CE1891" w:rsidRPr="00FA2F64" w:rsidRDefault="00CE1891" w:rsidP="00CE1891">
      <w:pPr>
        <w:widowControl w:val="0"/>
        <w:ind w:firstLine="709"/>
        <w:jc w:val="center"/>
        <w:rPr>
          <w:rFonts w:eastAsia="Calibri"/>
          <w:sz w:val="28"/>
          <w:szCs w:val="28"/>
          <w:lang w:eastAsia="en-US"/>
        </w:rPr>
      </w:pPr>
      <w:r w:rsidRPr="00FA2F64">
        <w:rPr>
          <w:rFonts w:eastAsia="Calibri"/>
          <w:sz w:val="28"/>
          <w:szCs w:val="28"/>
          <w:lang w:eastAsia="en-US"/>
        </w:rPr>
        <w:t>0,97 = 509,4/525,3</w:t>
      </w:r>
    </w:p>
    <w:p w:rsidR="00CE1891" w:rsidRPr="00FA2F64" w:rsidRDefault="00CE1891" w:rsidP="00CE1891">
      <w:pPr>
        <w:widowControl w:val="0"/>
        <w:ind w:firstLine="709"/>
        <w:jc w:val="center"/>
        <w:rPr>
          <w:rFonts w:eastAsia="Calibri"/>
          <w:sz w:val="28"/>
          <w:szCs w:val="28"/>
          <w:lang w:eastAsia="en-US"/>
        </w:rPr>
      </w:pPr>
    </w:p>
    <w:p w:rsidR="00CE1891" w:rsidRPr="00FA2F64" w:rsidRDefault="00CE1891" w:rsidP="00CE1891">
      <w:pPr>
        <w:widowControl w:val="0"/>
        <w:ind w:firstLine="709"/>
        <w:jc w:val="both"/>
        <w:rPr>
          <w:rFonts w:eastAsia="Calibri"/>
          <w:sz w:val="28"/>
          <w:szCs w:val="28"/>
          <w:lang w:eastAsia="en-US"/>
        </w:rPr>
      </w:pPr>
      <w:r w:rsidRPr="00FA2F64">
        <w:rPr>
          <w:rFonts w:eastAsia="Calibri"/>
          <w:sz w:val="28"/>
          <w:szCs w:val="28"/>
          <w:lang w:eastAsia="en-US"/>
        </w:rPr>
        <w:t>где:</w:t>
      </w:r>
    </w:p>
    <w:p w:rsidR="00CE1891" w:rsidRPr="00FA2F64" w:rsidRDefault="00CE1891" w:rsidP="00CE1891">
      <w:pPr>
        <w:widowControl w:val="0"/>
        <w:ind w:firstLine="709"/>
        <w:jc w:val="both"/>
        <w:rPr>
          <w:rFonts w:eastAsia="Calibri"/>
          <w:sz w:val="28"/>
          <w:szCs w:val="28"/>
          <w:lang w:eastAsia="en-US"/>
        </w:rPr>
      </w:pPr>
      <w:r w:rsidRPr="00FA2F64">
        <w:rPr>
          <w:rFonts w:eastAsia="Calibri"/>
          <w:sz w:val="28"/>
          <w:szCs w:val="28"/>
          <w:lang w:eastAsia="en-US"/>
        </w:rPr>
        <w:t>Q</w:t>
      </w:r>
      <w:r w:rsidRPr="00FA2F64">
        <w:rPr>
          <w:rFonts w:eastAsia="Calibri"/>
          <w:sz w:val="28"/>
          <w:szCs w:val="28"/>
          <w:vertAlign w:val="superscript"/>
          <w:lang w:eastAsia="en-US"/>
        </w:rPr>
        <w:t>2020</w:t>
      </w:r>
      <w:r w:rsidRPr="00FA2F64">
        <w:rPr>
          <w:rFonts w:eastAsia="Calibri"/>
          <w:sz w:val="28"/>
          <w:szCs w:val="28"/>
          <w:vertAlign w:val="subscript"/>
          <w:lang w:eastAsia="en-US"/>
        </w:rPr>
        <w:t>Sар</w:t>
      </w:r>
      <w:r w:rsidRPr="00FA2F64">
        <w:rPr>
          <w:rFonts w:eastAsia="Calibri"/>
          <w:sz w:val="28"/>
          <w:szCs w:val="28"/>
          <w:lang w:eastAsia="en-US"/>
        </w:rPr>
        <w:t xml:space="preserve"> </w:t>
      </w:r>
      <w:r w:rsidRPr="00FA2F64">
        <w:rPr>
          <w:rFonts w:eastAsia="Constantia"/>
          <w:i/>
          <w:iCs/>
          <w:color w:val="000000"/>
          <w:sz w:val="28"/>
          <w:szCs w:val="28"/>
          <w:lang w:bidi="ru-RU"/>
        </w:rPr>
        <w:t>-</w:t>
      </w:r>
      <w:r w:rsidRPr="00FA2F64">
        <w:rPr>
          <w:rFonts w:eastAsia="Calibri"/>
          <w:sz w:val="28"/>
          <w:szCs w:val="28"/>
          <w:lang w:eastAsia="en-US"/>
        </w:rPr>
        <w:t xml:space="preserve"> площадь лесных участков, находящихся в федеральной собственности, предоставленных по договорам аренды, за 2020 год, 509,4 га;</w:t>
      </w:r>
    </w:p>
    <w:p w:rsidR="00CE1891" w:rsidRPr="00FA2F64" w:rsidRDefault="00CE1891" w:rsidP="00CE1891">
      <w:pPr>
        <w:widowControl w:val="0"/>
        <w:ind w:firstLine="709"/>
        <w:jc w:val="both"/>
        <w:rPr>
          <w:rFonts w:eastAsia="Calibri"/>
          <w:sz w:val="28"/>
          <w:szCs w:val="28"/>
          <w:lang w:eastAsia="en-US"/>
        </w:rPr>
      </w:pPr>
      <w:r w:rsidRPr="00FA2F64">
        <w:rPr>
          <w:rFonts w:eastAsia="Calibri"/>
          <w:sz w:val="28"/>
          <w:szCs w:val="28"/>
          <w:lang w:eastAsia="en-US"/>
        </w:rPr>
        <w:t>Q</w:t>
      </w:r>
      <w:r w:rsidRPr="00FA2F64">
        <w:rPr>
          <w:rFonts w:eastAsia="Calibri"/>
          <w:sz w:val="28"/>
          <w:szCs w:val="28"/>
          <w:vertAlign w:val="superscript"/>
          <w:lang w:eastAsia="en-US"/>
        </w:rPr>
        <w:t>2019</w:t>
      </w:r>
      <w:r w:rsidRPr="00FA2F64">
        <w:rPr>
          <w:rFonts w:eastAsia="Calibri"/>
          <w:sz w:val="28"/>
          <w:szCs w:val="28"/>
          <w:vertAlign w:val="subscript"/>
          <w:lang w:eastAsia="en-US"/>
        </w:rPr>
        <w:t>Sар</w:t>
      </w:r>
      <w:r w:rsidRPr="00FA2F64">
        <w:rPr>
          <w:rFonts w:eastAsia="Calibri"/>
          <w:sz w:val="28"/>
          <w:szCs w:val="28"/>
          <w:lang w:eastAsia="en-US"/>
        </w:rPr>
        <w:t xml:space="preserve"> </w:t>
      </w:r>
      <w:r w:rsidRPr="00FA2F64">
        <w:rPr>
          <w:rFonts w:eastAsia="Constantia"/>
          <w:i/>
          <w:iCs/>
          <w:color w:val="000000"/>
          <w:sz w:val="28"/>
          <w:szCs w:val="28"/>
          <w:lang w:bidi="ru-RU"/>
        </w:rPr>
        <w:t>-</w:t>
      </w:r>
      <w:r w:rsidRPr="00FA2F64">
        <w:rPr>
          <w:rFonts w:eastAsia="Calibri"/>
          <w:sz w:val="28"/>
          <w:szCs w:val="28"/>
          <w:lang w:eastAsia="en-US"/>
        </w:rPr>
        <w:t xml:space="preserve"> площадь лесных участков, находящихся в федеральной собственности, предоставленных по договорам аренды, за 2019 год, 525,3 га;</w:t>
      </w:r>
    </w:p>
    <w:p w:rsidR="00CE1891" w:rsidRPr="00FA2F64" w:rsidRDefault="00CE1891" w:rsidP="00CE1891">
      <w:pPr>
        <w:widowControl w:val="0"/>
        <w:ind w:firstLine="709"/>
        <w:jc w:val="both"/>
        <w:rPr>
          <w:rFonts w:eastAsia="Calibri"/>
          <w:sz w:val="28"/>
          <w:szCs w:val="28"/>
          <w:lang w:eastAsia="en-US"/>
        </w:rPr>
      </w:pPr>
    </w:p>
    <w:p w:rsidR="00CE1891" w:rsidRPr="00FA2F64" w:rsidRDefault="00CE1891" w:rsidP="00CE1891">
      <w:pPr>
        <w:widowControl w:val="0"/>
        <w:ind w:firstLine="709"/>
        <w:jc w:val="both"/>
        <w:rPr>
          <w:rFonts w:eastAsia="Calibri"/>
          <w:sz w:val="28"/>
          <w:szCs w:val="28"/>
          <w:lang w:eastAsia="en-US"/>
        </w:rPr>
      </w:pPr>
      <w:r w:rsidRPr="00FA2F64">
        <w:rPr>
          <w:rFonts w:eastAsia="Calibri"/>
          <w:sz w:val="28"/>
          <w:szCs w:val="28"/>
          <w:lang w:eastAsia="en-US"/>
        </w:rPr>
        <w:t>в) Т</w:t>
      </w:r>
      <w:r w:rsidRPr="00FA2F64">
        <w:rPr>
          <w:rFonts w:eastAsia="Calibri"/>
          <w:sz w:val="28"/>
          <w:szCs w:val="28"/>
          <w:vertAlign w:val="subscript"/>
          <w:lang w:eastAsia="en-US"/>
        </w:rPr>
        <w:t>Sар</w:t>
      </w:r>
      <w:r w:rsidRPr="00FA2F64">
        <w:rPr>
          <w:rFonts w:eastAsia="Calibri"/>
          <w:sz w:val="28"/>
          <w:szCs w:val="28"/>
          <w:vertAlign w:val="superscript"/>
          <w:lang w:eastAsia="en-US"/>
        </w:rPr>
        <w:t>2021</w:t>
      </w:r>
      <w:r w:rsidRPr="00FA2F64">
        <w:rPr>
          <w:rFonts w:eastAsia="Calibri"/>
          <w:sz w:val="28"/>
          <w:szCs w:val="28"/>
          <w:lang w:eastAsia="en-US"/>
        </w:rPr>
        <w:t xml:space="preserve"> </w:t>
      </w:r>
      <w:r w:rsidRPr="00FA2F64">
        <w:rPr>
          <w:rFonts w:eastAsia="Constantia"/>
          <w:i/>
          <w:iCs/>
          <w:sz w:val="28"/>
          <w:szCs w:val="28"/>
          <w:lang w:bidi="ru-RU"/>
        </w:rPr>
        <w:t>-</w:t>
      </w:r>
      <w:r w:rsidRPr="00FA2F64">
        <w:rPr>
          <w:rFonts w:eastAsia="Calibri"/>
          <w:sz w:val="28"/>
          <w:szCs w:val="28"/>
          <w:lang w:eastAsia="en-US"/>
        </w:rPr>
        <w:t xml:space="preserve"> темп роста (снижения) площади лесных участков, находящихся в федеральной собственности, предоставленных по договорам аренды, за 2021 год (ед.), 1,07:</w:t>
      </w:r>
    </w:p>
    <w:p w:rsidR="00CE1891" w:rsidRPr="00FA2F64" w:rsidRDefault="00CE1891" w:rsidP="00CE1891">
      <w:pPr>
        <w:widowControl w:val="0"/>
        <w:ind w:firstLine="709"/>
        <w:jc w:val="both"/>
        <w:rPr>
          <w:rFonts w:eastAsia="Calibri"/>
          <w:sz w:val="28"/>
          <w:szCs w:val="28"/>
          <w:lang w:eastAsia="en-US"/>
        </w:rPr>
      </w:pPr>
    </w:p>
    <w:p w:rsidR="00CE1891" w:rsidRPr="00FA2F64" w:rsidRDefault="00CE1891" w:rsidP="00CE1891">
      <w:pPr>
        <w:widowControl w:val="0"/>
        <w:ind w:firstLine="709"/>
        <w:jc w:val="center"/>
        <w:rPr>
          <w:rFonts w:eastAsia="Calibri"/>
          <w:sz w:val="28"/>
          <w:szCs w:val="28"/>
          <w:lang w:eastAsia="en-US"/>
        </w:rPr>
      </w:pPr>
      <w:r w:rsidRPr="00FA2F64">
        <w:rPr>
          <w:rFonts w:eastAsia="Calibri"/>
          <w:sz w:val="28"/>
          <w:szCs w:val="28"/>
          <w:lang w:eastAsia="en-US"/>
        </w:rPr>
        <w:t>Т</w:t>
      </w:r>
      <w:r w:rsidRPr="00FA2F64">
        <w:rPr>
          <w:rFonts w:eastAsia="Calibri"/>
          <w:sz w:val="28"/>
          <w:szCs w:val="28"/>
          <w:vertAlign w:val="subscript"/>
          <w:lang w:eastAsia="en-US"/>
        </w:rPr>
        <w:t>Sар</w:t>
      </w:r>
      <w:r w:rsidRPr="00FA2F64">
        <w:rPr>
          <w:rFonts w:eastAsia="Calibri"/>
          <w:sz w:val="28"/>
          <w:szCs w:val="28"/>
          <w:vertAlign w:val="superscript"/>
          <w:lang w:eastAsia="en-US"/>
        </w:rPr>
        <w:t>2021</w:t>
      </w:r>
      <w:r w:rsidRPr="00FA2F64">
        <w:rPr>
          <w:rFonts w:eastAsia="Calibri"/>
          <w:sz w:val="28"/>
          <w:szCs w:val="28"/>
          <w:lang w:eastAsia="en-US"/>
        </w:rPr>
        <w:t xml:space="preserve"> = Q</w:t>
      </w:r>
      <w:r w:rsidRPr="00FA2F64">
        <w:rPr>
          <w:rFonts w:eastAsia="Calibri"/>
          <w:sz w:val="28"/>
          <w:szCs w:val="28"/>
          <w:vertAlign w:val="superscript"/>
          <w:lang w:eastAsia="en-US"/>
        </w:rPr>
        <w:t>2021</w:t>
      </w:r>
      <w:r w:rsidRPr="00FA2F64">
        <w:rPr>
          <w:rFonts w:eastAsia="Calibri"/>
          <w:sz w:val="28"/>
          <w:szCs w:val="28"/>
          <w:vertAlign w:val="subscript"/>
          <w:lang w:eastAsia="en-US"/>
        </w:rPr>
        <w:t>Sар</w:t>
      </w:r>
      <w:r w:rsidRPr="00FA2F64">
        <w:rPr>
          <w:rFonts w:eastAsia="Calibri"/>
          <w:sz w:val="28"/>
          <w:szCs w:val="28"/>
          <w:lang w:eastAsia="en-US"/>
        </w:rPr>
        <w:t xml:space="preserve"> / Q</w:t>
      </w:r>
      <w:r w:rsidRPr="00FA2F64">
        <w:rPr>
          <w:rFonts w:eastAsia="Calibri"/>
          <w:sz w:val="28"/>
          <w:szCs w:val="28"/>
          <w:vertAlign w:val="superscript"/>
          <w:lang w:eastAsia="en-US"/>
        </w:rPr>
        <w:t>2020</w:t>
      </w:r>
      <w:r w:rsidRPr="00FA2F64">
        <w:rPr>
          <w:rFonts w:eastAsia="Calibri"/>
          <w:sz w:val="28"/>
          <w:szCs w:val="28"/>
          <w:vertAlign w:val="subscript"/>
          <w:lang w:eastAsia="en-US"/>
        </w:rPr>
        <w:t>Sар</w:t>
      </w:r>
      <w:r w:rsidRPr="00FA2F64">
        <w:rPr>
          <w:rFonts w:eastAsia="Calibri"/>
          <w:sz w:val="28"/>
          <w:szCs w:val="28"/>
          <w:lang w:eastAsia="en-US"/>
        </w:rPr>
        <w:t>,</w:t>
      </w:r>
    </w:p>
    <w:p w:rsidR="00CE1891" w:rsidRPr="00FA2F64" w:rsidRDefault="00CE1891" w:rsidP="00CE1891">
      <w:pPr>
        <w:widowControl w:val="0"/>
        <w:ind w:firstLine="709"/>
        <w:jc w:val="center"/>
        <w:rPr>
          <w:rFonts w:eastAsia="Calibri"/>
          <w:sz w:val="28"/>
          <w:szCs w:val="28"/>
          <w:lang w:eastAsia="en-US"/>
        </w:rPr>
      </w:pPr>
      <w:r w:rsidRPr="00FA2F64">
        <w:rPr>
          <w:rFonts w:eastAsia="Calibri"/>
          <w:sz w:val="28"/>
          <w:szCs w:val="28"/>
          <w:lang w:eastAsia="en-US"/>
        </w:rPr>
        <w:t>1,07 = 545,4 /509,4</w:t>
      </w:r>
    </w:p>
    <w:p w:rsidR="00CE1891" w:rsidRPr="00FA2F64" w:rsidRDefault="00CE1891" w:rsidP="00CE1891">
      <w:pPr>
        <w:widowControl w:val="0"/>
        <w:ind w:firstLine="709"/>
        <w:jc w:val="center"/>
        <w:rPr>
          <w:rFonts w:eastAsia="Calibri"/>
          <w:sz w:val="28"/>
          <w:szCs w:val="28"/>
          <w:lang w:eastAsia="en-US"/>
        </w:rPr>
      </w:pPr>
    </w:p>
    <w:p w:rsidR="00CE1891" w:rsidRPr="00FA2F64" w:rsidRDefault="00CE1891" w:rsidP="00CE1891">
      <w:pPr>
        <w:widowControl w:val="0"/>
        <w:ind w:firstLine="709"/>
        <w:jc w:val="both"/>
        <w:rPr>
          <w:rFonts w:eastAsia="Calibri"/>
          <w:sz w:val="28"/>
          <w:szCs w:val="28"/>
          <w:lang w:eastAsia="en-US"/>
        </w:rPr>
      </w:pPr>
      <w:r w:rsidRPr="00FA2F64">
        <w:rPr>
          <w:rFonts w:eastAsia="Calibri"/>
          <w:sz w:val="28"/>
          <w:szCs w:val="28"/>
          <w:lang w:eastAsia="en-US"/>
        </w:rPr>
        <w:t>где:</w:t>
      </w:r>
    </w:p>
    <w:p w:rsidR="00CE1891" w:rsidRPr="00FA2F64" w:rsidRDefault="00CE1891" w:rsidP="00CE1891">
      <w:pPr>
        <w:widowControl w:val="0"/>
        <w:ind w:firstLine="709"/>
        <w:jc w:val="both"/>
        <w:rPr>
          <w:rFonts w:eastAsia="Calibri"/>
          <w:sz w:val="28"/>
          <w:szCs w:val="28"/>
          <w:lang w:eastAsia="en-US"/>
        </w:rPr>
      </w:pPr>
      <w:r w:rsidRPr="00FA2F64">
        <w:rPr>
          <w:rFonts w:eastAsia="Calibri"/>
          <w:sz w:val="28"/>
          <w:szCs w:val="28"/>
          <w:lang w:eastAsia="en-US"/>
        </w:rPr>
        <w:t>Q</w:t>
      </w:r>
      <w:r w:rsidRPr="00FA2F64">
        <w:rPr>
          <w:rFonts w:eastAsia="Calibri"/>
          <w:sz w:val="28"/>
          <w:szCs w:val="28"/>
          <w:vertAlign w:val="superscript"/>
          <w:lang w:eastAsia="en-US"/>
        </w:rPr>
        <w:t>2021</w:t>
      </w:r>
      <w:r w:rsidRPr="00FA2F64">
        <w:rPr>
          <w:rFonts w:eastAsia="Calibri"/>
          <w:sz w:val="28"/>
          <w:szCs w:val="28"/>
          <w:vertAlign w:val="subscript"/>
          <w:lang w:eastAsia="en-US"/>
        </w:rPr>
        <w:t>Sар</w:t>
      </w:r>
      <w:r w:rsidRPr="00FA2F64">
        <w:rPr>
          <w:rFonts w:eastAsia="Calibri"/>
          <w:sz w:val="28"/>
          <w:szCs w:val="28"/>
          <w:lang w:eastAsia="en-US"/>
        </w:rPr>
        <w:t xml:space="preserve"> </w:t>
      </w:r>
      <w:r w:rsidRPr="00FA2F64">
        <w:rPr>
          <w:rFonts w:eastAsia="Constantia"/>
          <w:i/>
          <w:iCs/>
          <w:sz w:val="28"/>
          <w:szCs w:val="28"/>
          <w:lang w:bidi="ru-RU"/>
        </w:rPr>
        <w:t>-</w:t>
      </w:r>
      <w:r w:rsidRPr="00FA2F64">
        <w:rPr>
          <w:rFonts w:eastAsia="Calibri"/>
          <w:sz w:val="28"/>
          <w:szCs w:val="28"/>
          <w:lang w:eastAsia="en-US"/>
        </w:rPr>
        <w:t xml:space="preserve"> площадь лесных участков, находящихся в федеральной собственности, предоставленных по договорам аренды, за 2021 год, 545,4 га;</w:t>
      </w:r>
    </w:p>
    <w:p w:rsidR="00CE1891" w:rsidRPr="00FA2F64" w:rsidRDefault="00CE1891" w:rsidP="00CE1891">
      <w:pPr>
        <w:widowControl w:val="0"/>
        <w:ind w:firstLine="709"/>
        <w:jc w:val="both"/>
        <w:rPr>
          <w:rFonts w:eastAsia="Calibri"/>
          <w:sz w:val="28"/>
          <w:szCs w:val="28"/>
          <w:lang w:eastAsia="en-US"/>
        </w:rPr>
      </w:pPr>
      <w:r w:rsidRPr="00FA2F64">
        <w:rPr>
          <w:rFonts w:eastAsia="Calibri"/>
          <w:sz w:val="28"/>
          <w:szCs w:val="28"/>
          <w:lang w:eastAsia="en-US"/>
        </w:rPr>
        <w:t>Q</w:t>
      </w:r>
      <w:r w:rsidRPr="00FA2F64">
        <w:rPr>
          <w:rFonts w:eastAsia="Calibri"/>
          <w:sz w:val="28"/>
          <w:szCs w:val="28"/>
          <w:vertAlign w:val="superscript"/>
          <w:lang w:eastAsia="en-US"/>
        </w:rPr>
        <w:t>2020</w:t>
      </w:r>
      <w:r w:rsidRPr="00FA2F64">
        <w:rPr>
          <w:rFonts w:eastAsia="Calibri"/>
          <w:sz w:val="28"/>
          <w:szCs w:val="28"/>
          <w:vertAlign w:val="subscript"/>
          <w:lang w:eastAsia="en-US"/>
        </w:rPr>
        <w:t>Sар</w:t>
      </w:r>
      <w:r w:rsidRPr="00FA2F64">
        <w:rPr>
          <w:rFonts w:eastAsia="Calibri"/>
          <w:sz w:val="28"/>
          <w:szCs w:val="28"/>
          <w:lang w:eastAsia="en-US"/>
        </w:rPr>
        <w:t xml:space="preserve"> </w:t>
      </w:r>
      <w:r w:rsidRPr="00FA2F64">
        <w:rPr>
          <w:rFonts w:eastAsia="Constantia"/>
          <w:i/>
          <w:iCs/>
          <w:sz w:val="28"/>
          <w:szCs w:val="28"/>
          <w:lang w:bidi="ru-RU"/>
        </w:rPr>
        <w:t>-</w:t>
      </w:r>
      <w:r w:rsidRPr="00FA2F64">
        <w:rPr>
          <w:rFonts w:eastAsia="Calibri"/>
          <w:sz w:val="28"/>
          <w:szCs w:val="28"/>
          <w:lang w:eastAsia="en-US"/>
        </w:rPr>
        <w:t xml:space="preserve"> площадь лесных участков, находящихся в федеральной собственности, предоставленных по договорам аренды, за 2020 год, 509,4 га.</w:t>
      </w:r>
    </w:p>
    <w:p w:rsidR="00CE1891" w:rsidRPr="00FA2F64" w:rsidRDefault="00CE1891" w:rsidP="00CE1891">
      <w:pPr>
        <w:ind w:firstLine="709"/>
        <w:rPr>
          <w:b/>
          <w:sz w:val="28"/>
          <w:szCs w:val="28"/>
        </w:rPr>
      </w:pPr>
      <w:r>
        <w:rPr>
          <w:b/>
          <w:sz w:val="28"/>
          <w:szCs w:val="28"/>
        </w:rPr>
        <w:t xml:space="preserve"> </w:t>
      </w:r>
    </w:p>
    <w:p w:rsidR="00CE1891" w:rsidRPr="00F36440" w:rsidRDefault="00CE1891" w:rsidP="00CE1891">
      <w:pPr>
        <w:ind w:firstLine="709"/>
        <w:rPr>
          <w:b/>
          <w:sz w:val="28"/>
          <w:szCs w:val="28"/>
        </w:rPr>
      </w:pPr>
      <w:r w:rsidRPr="00F36440">
        <w:rPr>
          <w:b/>
          <w:sz w:val="28"/>
          <w:szCs w:val="28"/>
        </w:rPr>
        <w:t xml:space="preserve">Определение </w:t>
      </w:r>
      <w:r>
        <w:rPr>
          <w:b/>
          <w:sz w:val="28"/>
          <w:szCs w:val="28"/>
        </w:rPr>
        <w:t>прогноза</w:t>
      </w:r>
      <w:r w:rsidRPr="00F36440">
        <w:rPr>
          <w:b/>
          <w:sz w:val="28"/>
          <w:szCs w:val="28"/>
        </w:rPr>
        <w:t xml:space="preserve"> на 202</w:t>
      </w:r>
      <w:r>
        <w:rPr>
          <w:b/>
          <w:sz w:val="28"/>
          <w:szCs w:val="28"/>
        </w:rPr>
        <w:t>3</w:t>
      </w:r>
      <w:r w:rsidRPr="00F36440">
        <w:rPr>
          <w:b/>
          <w:sz w:val="28"/>
          <w:szCs w:val="28"/>
        </w:rPr>
        <w:t xml:space="preserve"> год</w:t>
      </w:r>
    </w:p>
    <w:p w:rsidR="00CE1891" w:rsidRPr="00464704" w:rsidRDefault="00CE1891" w:rsidP="00CE1891">
      <w:pPr>
        <w:ind w:firstLine="709"/>
        <w:jc w:val="both"/>
        <w:rPr>
          <w:sz w:val="28"/>
          <w:szCs w:val="28"/>
        </w:rPr>
      </w:pPr>
    </w:p>
    <w:p w:rsidR="00CE1891" w:rsidRPr="00EF6D7E" w:rsidRDefault="00CE1891" w:rsidP="00CE1891">
      <w:pPr>
        <w:ind w:firstLine="709"/>
        <w:jc w:val="both"/>
        <w:rPr>
          <w:color w:val="000000"/>
          <w:sz w:val="28"/>
          <w:szCs w:val="28"/>
          <w:lang w:bidi="ru-RU"/>
        </w:rPr>
      </w:pPr>
      <w:r w:rsidRPr="00EF6D7E">
        <w:rPr>
          <w:color w:val="000000"/>
          <w:sz w:val="28"/>
          <w:szCs w:val="28"/>
          <w:lang w:bidi="ru-RU"/>
        </w:rPr>
        <w:t>Прогноз доходов по плате за использование лесов, расположенных на землях лесного фонда, в части, превышающей минимальный размер арендной платы (П</w:t>
      </w:r>
      <w:r w:rsidRPr="00EF6D7E">
        <w:rPr>
          <w:color w:val="000000"/>
          <w:sz w:val="28"/>
          <w:szCs w:val="28"/>
          <w:vertAlign w:val="subscript"/>
          <w:lang w:bidi="ru-RU"/>
        </w:rPr>
        <w:t>ар</w:t>
      </w:r>
      <w:r w:rsidRPr="00EF6D7E">
        <w:rPr>
          <w:color w:val="000000"/>
          <w:sz w:val="28"/>
          <w:szCs w:val="28"/>
          <w:vertAlign w:val="superscript"/>
          <w:lang w:bidi="ru-RU"/>
        </w:rPr>
        <w:t>обл</w:t>
      </w:r>
      <w:r w:rsidRPr="00EF6D7E">
        <w:rPr>
          <w:color w:val="000000"/>
          <w:sz w:val="28"/>
          <w:szCs w:val="28"/>
          <w:lang w:bidi="ru-RU"/>
        </w:rPr>
        <w:t>) определяется по формуле:</w:t>
      </w:r>
    </w:p>
    <w:p w:rsidR="00CE1891" w:rsidRPr="00EF6D7E" w:rsidRDefault="00CE1891" w:rsidP="00CE1891">
      <w:pPr>
        <w:ind w:firstLine="709"/>
        <w:jc w:val="both"/>
        <w:rPr>
          <w:sz w:val="28"/>
          <w:szCs w:val="28"/>
        </w:rPr>
      </w:pPr>
    </w:p>
    <w:p w:rsidR="00CE1891" w:rsidRPr="00EF6D7E" w:rsidRDefault="00CE1891" w:rsidP="00CE1891">
      <w:pPr>
        <w:widowControl w:val="0"/>
        <w:ind w:firstLine="709"/>
        <w:jc w:val="center"/>
        <w:rPr>
          <w:iCs/>
          <w:color w:val="000000"/>
          <w:sz w:val="28"/>
          <w:szCs w:val="28"/>
          <w:lang w:bidi="en-US"/>
        </w:rPr>
      </w:pPr>
      <w:r w:rsidRPr="00EF6D7E">
        <w:rPr>
          <w:iCs/>
          <w:color w:val="000000"/>
          <w:sz w:val="28"/>
          <w:szCs w:val="28"/>
          <w:lang w:bidi="ru-RU"/>
        </w:rPr>
        <w:t>П</w:t>
      </w:r>
      <w:r w:rsidRPr="00EF6D7E">
        <w:rPr>
          <w:iCs/>
          <w:color w:val="000000"/>
          <w:sz w:val="28"/>
          <w:szCs w:val="28"/>
          <w:vertAlign w:val="subscript"/>
          <w:lang w:bidi="ru-RU"/>
        </w:rPr>
        <w:t>ар</w:t>
      </w:r>
      <w:r w:rsidRPr="00EF6D7E">
        <w:rPr>
          <w:iCs/>
          <w:color w:val="000000"/>
          <w:sz w:val="28"/>
          <w:szCs w:val="28"/>
          <w:vertAlign w:val="superscript"/>
          <w:lang w:bidi="ru-RU"/>
        </w:rPr>
        <w:t>обл</w:t>
      </w:r>
      <w:r w:rsidRPr="00EF6D7E">
        <w:rPr>
          <w:iCs/>
          <w:color w:val="000000"/>
          <w:sz w:val="28"/>
          <w:szCs w:val="28"/>
          <w:lang w:bidi="en-US"/>
        </w:rPr>
        <w:t xml:space="preserve"> = (</w:t>
      </w:r>
      <w:r w:rsidRPr="00EF6D7E">
        <w:rPr>
          <w:iCs/>
          <w:color w:val="000000"/>
          <w:sz w:val="28"/>
          <w:szCs w:val="28"/>
          <w:lang w:val="en-US" w:bidi="en-US"/>
        </w:rPr>
        <w:t>Cs</w:t>
      </w:r>
      <w:r w:rsidRPr="00EF6D7E">
        <w:rPr>
          <w:iCs/>
          <w:color w:val="000000"/>
          <w:sz w:val="28"/>
          <w:szCs w:val="28"/>
          <w:lang w:bidi="en-US"/>
        </w:rPr>
        <w:t xml:space="preserve"> </w:t>
      </w:r>
      <w:r w:rsidRPr="00EF6D7E">
        <w:rPr>
          <w:iCs/>
          <w:color w:val="000000"/>
          <w:sz w:val="28"/>
          <w:szCs w:val="28"/>
          <w:vertAlign w:val="superscript"/>
          <w:lang w:val="en-US" w:bidi="en-US"/>
        </w:rPr>
        <w:t>ap</w:t>
      </w:r>
      <w:r w:rsidRPr="00EF6D7E">
        <w:rPr>
          <w:iCs/>
          <w:color w:val="000000"/>
          <w:sz w:val="28"/>
          <w:szCs w:val="28"/>
          <w:lang w:bidi="en-US"/>
        </w:rPr>
        <w:t>*</w:t>
      </w:r>
      <w:r w:rsidRPr="00EF6D7E">
        <w:rPr>
          <w:iCs/>
          <w:color w:val="000000"/>
          <w:sz w:val="28"/>
          <w:szCs w:val="28"/>
          <w:lang w:val="en-US" w:bidi="en-US"/>
        </w:rPr>
        <w:t>K</w:t>
      </w:r>
      <w:r w:rsidRPr="00EF6D7E">
        <w:rPr>
          <w:iCs/>
          <w:color w:val="000000"/>
          <w:sz w:val="28"/>
          <w:szCs w:val="28"/>
          <w:vertAlign w:val="subscript"/>
          <w:lang w:bidi="en-US"/>
        </w:rPr>
        <w:t>2</w:t>
      </w:r>
      <w:r w:rsidRPr="00EF6D7E">
        <w:rPr>
          <w:iCs/>
          <w:color w:val="000000"/>
          <w:sz w:val="28"/>
          <w:szCs w:val="28"/>
          <w:lang w:bidi="en-US"/>
        </w:rPr>
        <w:t>)*</w:t>
      </w:r>
      <w:r w:rsidRPr="00EF6D7E">
        <w:rPr>
          <w:iCs/>
          <w:color w:val="000000"/>
          <w:sz w:val="28"/>
          <w:szCs w:val="28"/>
          <w:lang w:val="en-US" w:bidi="en-US"/>
        </w:rPr>
        <w:t>S</w:t>
      </w:r>
      <w:r w:rsidRPr="00EF6D7E">
        <w:rPr>
          <w:iCs/>
          <w:color w:val="000000"/>
          <w:sz w:val="28"/>
          <w:szCs w:val="28"/>
          <w:vertAlign w:val="superscript"/>
          <w:lang w:val="en-US" w:bidi="en-US"/>
        </w:rPr>
        <w:t>cp</w:t>
      </w:r>
      <w:r w:rsidRPr="00EF6D7E">
        <w:rPr>
          <w:iCs/>
          <w:color w:val="000000"/>
          <w:sz w:val="28"/>
          <w:szCs w:val="28"/>
          <w:vertAlign w:val="subscript"/>
          <w:lang w:val="en-US" w:bidi="en-US"/>
        </w:rPr>
        <w:t>ap</w:t>
      </w:r>
      <w:r w:rsidRPr="00EF6D7E">
        <w:rPr>
          <w:iCs/>
          <w:color w:val="000000"/>
          <w:sz w:val="28"/>
          <w:szCs w:val="28"/>
          <w:lang w:bidi="en-US"/>
        </w:rPr>
        <w:t>*Т</w:t>
      </w:r>
      <w:r w:rsidRPr="00EF6D7E">
        <w:rPr>
          <w:iCs/>
          <w:color w:val="000000"/>
          <w:sz w:val="28"/>
          <w:szCs w:val="28"/>
          <w:vertAlign w:val="superscript"/>
          <w:lang w:bidi="en-US"/>
        </w:rPr>
        <w:t>ср</w:t>
      </w:r>
      <w:r w:rsidRPr="00EF6D7E">
        <w:rPr>
          <w:iCs/>
          <w:color w:val="000000"/>
          <w:sz w:val="28"/>
          <w:szCs w:val="28"/>
          <w:vertAlign w:val="subscript"/>
          <w:lang w:val="en-US" w:bidi="en-US"/>
        </w:rPr>
        <w:t>Sap</w:t>
      </w:r>
      <w:r w:rsidRPr="00EF6D7E">
        <w:rPr>
          <w:iCs/>
          <w:color w:val="000000"/>
          <w:sz w:val="28"/>
          <w:szCs w:val="28"/>
          <w:vertAlign w:val="subscript"/>
          <w:lang w:bidi="en-US"/>
        </w:rPr>
        <w:t xml:space="preserve"> </w:t>
      </w:r>
    </w:p>
    <w:p w:rsidR="00CE1891" w:rsidRPr="00EF6D7E" w:rsidRDefault="00CE1891" w:rsidP="00CE1891">
      <w:pPr>
        <w:ind w:firstLine="709"/>
        <w:jc w:val="center"/>
        <w:rPr>
          <w:sz w:val="28"/>
          <w:szCs w:val="28"/>
        </w:rPr>
      </w:pPr>
      <w:r w:rsidRPr="00EF6D7E">
        <w:rPr>
          <w:sz w:val="28"/>
          <w:szCs w:val="28"/>
        </w:rPr>
        <w:t>13795,3 = (10,2*2,54)*</w:t>
      </w:r>
      <w:r w:rsidRPr="00EF6D7E">
        <w:rPr>
          <w:rFonts w:ascii="Calibri" w:eastAsia="Calibri" w:hAnsi="Calibri"/>
          <w:sz w:val="22"/>
          <w:szCs w:val="22"/>
          <w:lang w:eastAsia="en-US"/>
        </w:rPr>
        <w:t xml:space="preserve"> </w:t>
      </w:r>
      <w:r w:rsidRPr="00EF6D7E">
        <w:rPr>
          <w:sz w:val="28"/>
          <w:szCs w:val="28"/>
        </w:rPr>
        <w:t>527,2 *1,01</w:t>
      </w:r>
    </w:p>
    <w:p w:rsidR="00CE1891" w:rsidRPr="00EF6D7E" w:rsidRDefault="00CE1891" w:rsidP="00CE1891">
      <w:pPr>
        <w:ind w:firstLine="709"/>
        <w:jc w:val="both"/>
        <w:rPr>
          <w:sz w:val="28"/>
          <w:szCs w:val="28"/>
        </w:rPr>
      </w:pPr>
      <w:r w:rsidRPr="00EF6D7E">
        <w:rPr>
          <w:sz w:val="28"/>
          <w:szCs w:val="28"/>
        </w:rPr>
        <w:t>где:</w:t>
      </w:r>
    </w:p>
    <w:p w:rsidR="00CE1891" w:rsidRPr="00EF6D7E" w:rsidRDefault="00CE1891" w:rsidP="00CE1891">
      <w:pPr>
        <w:ind w:firstLine="709"/>
        <w:jc w:val="both"/>
        <w:rPr>
          <w:iCs/>
          <w:sz w:val="28"/>
          <w:szCs w:val="28"/>
          <w:lang w:bidi="ru-RU"/>
        </w:rPr>
      </w:pPr>
      <w:r w:rsidRPr="00EF6D7E">
        <w:rPr>
          <w:iCs/>
          <w:sz w:val="28"/>
          <w:szCs w:val="28"/>
          <w:lang w:bidi="ru-RU"/>
        </w:rPr>
        <w:t xml:space="preserve">Cs </w:t>
      </w:r>
      <w:r w:rsidRPr="00EF6D7E">
        <w:rPr>
          <w:iCs/>
          <w:sz w:val="28"/>
          <w:szCs w:val="28"/>
          <w:vertAlign w:val="superscript"/>
          <w:lang w:bidi="ru-RU"/>
        </w:rPr>
        <w:t>ap</w:t>
      </w:r>
      <w:r w:rsidRPr="00EF6D7E">
        <w:rPr>
          <w:iCs/>
          <w:sz w:val="28"/>
          <w:szCs w:val="28"/>
          <w:lang w:bidi="ru-RU"/>
        </w:rPr>
        <w:t xml:space="preserve"> </w:t>
      </w:r>
      <w:r w:rsidRPr="00EF6D7E">
        <w:rPr>
          <w:i/>
          <w:iCs/>
          <w:sz w:val="28"/>
          <w:szCs w:val="28"/>
          <w:lang w:bidi="ru-RU"/>
        </w:rPr>
        <w:t>-</w:t>
      </w:r>
      <w:r w:rsidRPr="00EF6D7E">
        <w:rPr>
          <w:iCs/>
          <w:sz w:val="28"/>
          <w:szCs w:val="28"/>
          <w:lang w:bidi="ru-RU"/>
        </w:rPr>
        <w:t xml:space="preserve"> средняя минимальная ставка платы за единицу площади лесного участка, находящегося в федеральной собственности, по договорам аренды, сложившаяся по итогам предыдущего финансового года и приведенная к уровню 2007 года (руб.), 10,2 тыс. руб.;</w:t>
      </w:r>
      <w:r w:rsidRPr="00EF6D7E">
        <w:rPr>
          <w:rFonts w:eastAsia="Calibri"/>
          <w:sz w:val="28"/>
          <w:szCs w:val="28"/>
          <w:lang w:eastAsia="en-US"/>
        </w:rPr>
        <w:t xml:space="preserve"> </w:t>
      </w:r>
    </w:p>
    <w:p w:rsidR="00CE1891" w:rsidRPr="00EF6D7E" w:rsidRDefault="00CE1891" w:rsidP="00CE1891">
      <w:pPr>
        <w:ind w:firstLine="709"/>
        <w:jc w:val="both"/>
        <w:rPr>
          <w:rFonts w:eastAsia="Calibri"/>
          <w:sz w:val="28"/>
          <w:szCs w:val="28"/>
          <w:lang w:eastAsia="en-US"/>
        </w:rPr>
      </w:pPr>
      <w:r w:rsidRPr="00EF6D7E">
        <w:rPr>
          <w:iCs/>
          <w:sz w:val="28"/>
          <w:szCs w:val="28"/>
          <w:lang w:bidi="ru-RU"/>
        </w:rPr>
        <w:t>К</w:t>
      </w:r>
      <w:r w:rsidRPr="00EF6D7E">
        <w:rPr>
          <w:iCs/>
          <w:sz w:val="28"/>
          <w:szCs w:val="28"/>
          <w:vertAlign w:val="subscript"/>
          <w:lang w:bidi="ru-RU"/>
        </w:rPr>
        <w:t>2</w:t>
      </w:r>
      <w:r w:rsidRPr="00EF6D7E">
        <w:rPr>
          <w:i/>
          <w:iCs/>
          <w:sz w:val="28"/>
          <w:szCs w:val="28"/>
          <w:lang w:bidi="ru-RU"/>
        </w:rPr>
        <w:t xml:space="preserve"> -</w:t>
      </w:r>
      <w:r w:rsidRPr="00EF6D7E">
        <w:rPr>
          <w:sz w:val="28"/>
          <w:szCs w:val="28"/>
          <w:lang w:bidi="ru-RU"/>
        </w:rPr>
        <w:t xml:space="preserve"> коэффициент к ставкам платы за единицу площади лесного участка, находящегося в федеральной собственности, установленный Правительством Российской Федерации, 2,54;</w:t>
      </w:r>
      <w:r w:rsidRPr="00EF6D7E">
        <w:rPr>
          <w:rFonts w:eastAsia="Constantia"/>
          <w:iCs/>
          <w:color w:val="000000"/>
          <w:sz w:val="28"/>
          <w:szCs w:val="28"/>
          <w:lang w:bidi="en-US"/>
        </w:rPr>
        <w:t xml:space="preserve"> </w:t>
      </w:r>
    </w:p>
    <w:p w:rsidR="00CE1891" w:rsidRPr="00EF6D7E" w:rsidRDefault="00CE1891" w:rsidP="00CE1891">
      <w:pPr>
        <w:widowControl w:val="0"/>
        <w:ind w:firstLine="709"/>
        <w:jc w:val="both"/>
        <w:rPr>
          <w:sz w:val="28"/>
          <w:szCs w:val="28"/>
        </w:rPr>
      </w:pPr>
      <w:r w:rsidRPr="00EF6D7E">
        <w:rPr>
          <w:color w:val="000000"/>
          <w:sz w:val="28"/>
          <w:szCs w:val="28"/>
        </w:rPr>
        <w:t>S</w:t>
      </w:r>
      <w:r w:rsidRPr="00EF6D7E">
        <w:rPr>
          <w:color w:val="000000"/>
          <w:sz w:val="28"/>
          <w:szCs w:val="28"/>
          <w:vertAlign w:val="superscript"/>
        </w:rPr>
        <w:t>cp</w:t>
      </w:r>
      <w:r w:rsidRPr="00EF6D7E">
        <w:rPr>
          <w:color w:val="000000"/>
          <w:sz w:val="28"/>
          <w:szCs w:val="28"/>
          <w:vertAlign w:val="subscript"/>
        </w:rPr>
        <w:t>ap</w:t>
      </w:r>
      <w:r w:rsidRPr="00EF6D7E">
        <w:rPr>
          <w:color w:val="000000"/>
          <w:sz w:val="28"/>
          <w:szCs w:val="28"/>
          <w:lang w:bidi="ru-RU"/>
        </w:rPr>
        <w:t xml:space="preserve"> </w:t>
      </w:r>
      <w:r w:rsidRPr="00EF6D7E">
        <w:rPr>
          <w:i/>
          <w:iCs/>
          <w:sz w:val="28"/>
          <w:szCs w:val="28"/>
          <w:lang w:bidi="ru-RU"/>
        </w:rPr>
        <w:t>-</w:t>
      </w:r>
      <w:r w:rsidRPr="00EF6D7E">
        <w:rPr>
          <w:color w:val="000000"/>
          <w:sz w:val="28"/>
          <w:szCs w:val="28"/>
          <w:lang w:bidi="ru-RU"/>
        </w:rPr>
        <w:t xml:space="preserve"> средняя площадь лесных участков, находящихся в федеральной собственности, предоставленных по договорам аренды (гектар</w:t>
      </w:r>
      <w:r w:rsidRPr="00EF6D7E">
        <w:rPr>
          <w:sz w:val="28"/>
          <w:szCs w:val="28"/>
          <w:lang w:bidi="ru-RU"/>
        </w:rPr>
        <w:t>), 527,2 га;</w:t>
      </w:r>
    </w:p>
    <w:p w:rsidR="00CE1891" w:rsidRPr="00EF6D7E" w:rsidRDefault="00CE1891" w:rsidP="00CE1891">
      <w:pPr>
        <w:ind w:firstLine="709"/>
        <w:jc w:val="center"/>
        <w:rPr>
          <w:rFonts w:eastAsia="Constantia"/>
          <w:iCs/>
          <w:color w:val="000000"/>
          <w:sz w:val="28"/>
          <w:szCs w:val="28"/>
          <w:lang w:eastAsia="en-US" w:bidi="en-US"/>
        </w:rPr>
      </w:pPr>
    </w:p>
    <w:p w:rsidR="00CE1891" w:rsidRPr="00EF6D7E" w:rsidRDefault="00CE1891" w:rsidP="00CE1891">
      <w:pPr>
        <w:ind w:firstLine="709"/>
        <w:jc w:val="center"/>
        <w:rPr>
          <w:rFonts w:eastAsia="Constantia"/>
          <w:iCs/>
          <w:sz w:val="28"/>
          <w:szCs w:val="28"/>
        </w:rPr>
      </w:pPr>
      <w:r w:rsidRPr="00EF6D7E">
        <w:rPr>
          <w:rFonts w:eastAsia="Constantia"/>
          <w:iCs/>
          <w:sz w:val="28"/>
          <w:szCs w:val="28"/>
          <w:lang w:val="en-US" w:eastAsia="en-US" w:bidi="en-US"/>
        </w:rPr>
        <w:t>S</w:t>
      </w:r>
      <w:r w:rsidRPr="00EF6D7E">
        <w:rPr>
          <w:rFonts w:eastAsia="Constantia"/>
          <w:iCs/>
          <w:sz w:val="28"/>
          <w:szCs w:val="28"/>
          <w:vertAlign w:val="superscript"/>
          <w:lang w:val="en-US" w:eastAsia="en-US" w:bidi="en-US"/>
        </w:rPr>
        <w:t>cp</w:t>
      </w:r>
      <w:r w:rsidRPr="00EF6D7E">
        <w:rPr>
          <w:rFonts w:eastAsia="Constantia"/>
          <w:iCs/>
          <w:sz w:val="28"/>
          <w:szCs w:val="28"/>
          <w:lang w:eastAsia="en-US" w:bidi="en-US"/>
        </w:rPr>
        <w:t xml:space="preserve"> </w:t>
      </w:r>
      <w:r w:rsidRPr="00EF6D7E">
        <w:rPr>
          <w:rFonts w:eastAsia="Constantia"/>
          <w:iCs/>
          <w:sz w:val="28"/>
          <w:szCs w:val="28"/>
          <w:vertAlign w:val="subscript"/>
          <w:lang w:bidi="ru-RU"/>
        </w:rPr>
        <w:t>ар</w:t>
      </w:r>
      <w:r w:rsidRPr="00EF6D7E">
        <w:rPr>
          <w:sz w:val="28"/>
          <w:szCs w:val="28"/>
          <w:vertAlign w:val="superscript"/>
        </w:rPr>
        <w:t>=</w:t>
      </w:r>
      <w:r w:rsidRPr="00EF6D7E">
        <w:rPr>
          <w:sz w:val="28"/>
          <w:szCs w:val="28"/>
        </w:rPr>
        <w:t xml:space="preserve"> ∑</w:t>
      </w:r>
      <w:r w:rsidRPr="00EF6D7E">
        <w:rPr>
          <w:sz w:val="28"/>
          <w:szCs w:val="28"/>
          <w:vertAlign w:val="superscript"/>
        </w:rPr>
        <w:t>3</w:t>
      </w:r>
      <w:r w:rsidRPr="00EF6D7E">
        <w:rPr>
          <w:sz w:val="28"/>
          <w:szCs w:val="28"/>
          <w:vertAlign w:val="subscript"/>
          <w:lang w:val="en-US"/>
        </w:rPr>
        <w:t>t</w:t>
      </w:r>
      <w:r w:rsidRPr="00EF6D7E">
        <w:rPr>
          <w:sz w:val="28"/>
          <w:szCs w:val="28"/>
          <w:vertAlign w:val="subscript"/>
        </w:rPr>
        <w:t>=1</w:t>
      </w:r>
      <w:r w:rsidRPr="00EF6D7E">
        <w:rPr>
          <w:rFonts w:eastAsia="Constantia"/>
          <w:iCs/>
          <w:sz w:val="28"/>
          <w:szCs w:val="28"/>
          <w:lang w:val="en-US" w:eastAsia="en-US" w:bidi="en-US"/>
        </w:rPr>
        <w:t>S</w:t>
      </w:r>
      <w:r w:rsidRPr="00EF6D7E">
        <w:rPr>
          <w:rFonts w:eastAsia="Constantia"/>
          <w:iCs/>
          <w:sz w:val="28"/>
          <w:szCs w:val="28"/>
          <w:lang w:eastAsia="en-US" w:bidi="en-US"/>
        </w:rPr>
        <w:t xml:space="preserve"> </w:t>
      </w:r>
      <w:r w:rsidRPr="00EF6D7E">
        <w:rPr>
          <w:rFonts w:eastAsia="Constantia"/>
          <w:iCs/>
          <w:sz w:val="28"/>
          <w:szCs w:val="28"/>
          <w:vertAlign w:val="subscript"/>
          <w:lang w:bidi="ru-RU"/>
        </w:rPr>
        <w:t>ар</w:t>
      </w:r>
      <w:r w:rsidRPr="00EF6D7E">
        <w:rPr>
          <w:rFonts w:eastAsia="Constantia"/>
          <w:iCs/>
          <w:sz w:val="28"/>
          <w:szCs w:val="28"/>
        </w:rPr>
        <w:t xml:space="preserve"> /3,</w:t>
      </w:r>
    </w:p>
    <w:p w:rsidR="00CE1891" w:rsidRPr="00EF6D7E" w:rsidRDefault="00CE1891" w:rsidP="00CE1891">
      <w:pPr>
        <w:ind w:firstLine="709"/>
        <w:jc w:val="center"/>
        <w:rPr>
          <w:rFonts w:eastAsia="Constantia"/>
          <w:iCs/>
          <w:sz w:val="28"/>
          <w:szCs w:val="28"/>
        </w:rPr>
      </w:pPr>
      <w:r w:rsidRPr="00EF6D7E">
        <w:rPr>
          <w:rFonts w:eastAsia="Constantia"/>
          <w:iCs/>
          <w:sz w:val="28"/>
          <w:szCs w:val="28"/>
        </w:rPr>
        <w:t xml:space="preserve">527,2 = (509,4 + 545,4 + 526,7)/3  </w:t>
      </w:r>
    </w:p>
    <w:p w:rsidR="00CE1891" w:rsidRPr="00EF6D7E" w:rsidRDefault="00CE1891" w:rsidP="00CE1891">
      <w:pPr>
        <w:ind w:firstLine="709"/>
        <w:jc w:val="both"/>
        <w:rPr>
          <w:i/>
          <w:color w:val="000000"/>
          <w:sz w:val="28"/>
          <w:szCs w:val="28"/>
          <w:vertAlign w:val="superscript"/>
        </w:rPr>
      </w:pPr>
    </w:p>
    <w:p w:rsidR="00CE1891" w:rsidRPr="00EF6D7E" w:rsidRDefault="00CE1891" w:rsidP="00CE1891">
      <w:pPr>
        <w:widowControl w:val="0"/>
        <w:ind w:firstLine="709"/>
        <w:rPr>
          <w:rFonts w:eastAsia="Calibri"/>
          <w:sz w:val="28"/>
          <w:szCs w:val="28"/>
          <w:lang w:eastAsia="en-US"/>
        </w:rPr>
      </w:pPr>
      <w:r w:rsidRPr="00EF6D7E">
        <w:rPr>
          <w:rFonts w:eastAsia="Calibri"/>
          <w:color w:val="000000"/>
          <w:sz w:val="28"/>
          <w:szCs w:val="28"/>
          <w:lang w:eastAsia="en-US" w:bidi="ru-RU"/>
        </w:rPr>
        <w:t>где:</w:t>
      </w:r>
    </w:p>
    <w:p w:rsidR="00CE1891" w:rsidRPr="00EF6D7E" w:rsidRDefault="00CE1891" w:rsidP="00CE1891">
      <w:pPr>
        <w:widowControl w:val="0"/>
        <w:ind w:firstLine="709"/>
        <w:jc w:val="both"/>
        <w:rPr>
          <w:rFonts w:eastAsia="Calibri"/>
          <w:color w:val="000000"/>
          <w:sz w:val="28"/>
          <w:szCs w:val="28"/>
          <w:lang w:eastAsia="en-US" w:bidi="ru-RU"/>
        </w:rPr>
      </w:pPr>
      <w:r w:rsidRPr="00EF6D7E">
        <w:rPr>
          <w:rFonts w:eastAsia="Calibri"/>
          <w:sz w:val="28"/>
          <w:szCs w:val="28"/>
          <w:lang w:eastAsia="en-US"/>
        </w:rPr>
        <w:lastRenderedPageBreak/>
        <w:t>∑</w:t>
      </w:r>
      <w:r w:rsidRPr="00EF6D7E">
        <w:rPr>
          <w:rFonts w:eastAsia="Calibri"/>
          <w:sz w:val="28"/>
          <w:szCs w:val="28"/>
          <w:vertAlign w:val="superscript"/>
          <w:lang w:eastAsia="en-US"/>
        </w:rPr>
        <w:t>3</w:t>
      </w:r>
      <w:r w:rsidRPr="00EF6D7E">
        <w:rPr>
          <w:rFonts w:eastAsia="Calibri"/>
          <w:sz w:val="28"/>
          <w:szCs w:val="28"/>
          <w:vertAlign w:val="subscript"/>
          <w:lang w:val="en-US" w:eastAsia="en-US"/>
        </w:rPr>
        <w:t>t</w:t>
      </w:r>
      <w:r w:rsidRPr="00EF6D7E">
        <w:rPr>
          <w:rFonts w:eastAsia="Calibri"/>
          <w:sz w:val="28"/>
          <w:szCs w:val="28"/>
          <w:vertAlign w:val="subscript"/>
          <w:lang w:eastAsia="en-US"/>
        </w:rPr>
        <w:t>=1</w:t>
      </w:r>
      <w:r w:rsidRPr="00EF6D7E">
        <w:rPr>
          <w:rFonts w:eastAsia="Constantia"/>
          <w:iCs/>
          <w:color w:val="000000"/>
          <w:sz w:val="28"/>
          <w:szCs w:val="28"/>
          <w:lang w:val="en-US" w:bidi="en-US"/>
        </w:rPr>
        <w:t>S</w:t>
      </w:r>
      <w:r w:rsidRPr="00EF6D7E">
        <w:rPr>
          <w:rFonts w:eastAsia="Constantia"/>
          <w:iCs/>
          <w:color w:val="000000"/>
          <w:sz w:val="28"/>
          <w:szCs w:val="28"/>
          <w:vertAlign w:val="subscript"/>
          <w:lang w:bidi="ru-RU"/>
        </w:rPr>
        <w:t xml:space="preserve">ар </w:t>
      </w:r>
      <w:r w:rsidRPr="00EF6D7E">
        <w:rPr>
          <w:rFonts w:eastAsia="Constantia"/>
          <w:i/>
          <w:iCs/>
          <w:color w:val="000000"/>
          <w:sz w:val="28"/>
          <w:szCs w:val="28"/>
          <w:lang w:bidi="ru-RU"/>
        </w:rPr>
        <w:t>-</w:t>
      </w:r>
      <w:r w:rsidRPr="00EF6D7E">
        <w:rPr>
          <w:rFonts w:eastAsia="Constantia"/>
          <w:iCs/>
          <w:color w:val="000000"/>
          <w:sz w:val="28"/>
          <w:szCs w:val="28"/>
          <w:lang w:bidi="ru-RU"/>
        </w:rPr>
        <w:t xml:space="preserve"> с</w:t>
      </w:r>
      <w:r w:rsidRPr="00EF6D7E">
        <w:rPr>
          <w:rFonts w:eastAsia="Calibri"/>
          <w:color w:val="000000"/>
          <w:sz w:val="28"/>
          <w:szCs w:val="28"/>
          <w:lang w:eastAsia="en-US" w:bidi="ru-RU"/>
        </w:rPr>
        <w:t>умма годовых величин площади лесных участков, находящихся в федеральной собственности, предоставленных по договорам аренды за  2020 (509,4 га), 2021 (545,4 га), 2022 (526,7 га) годы, предшествующих прогнозируемому году (</w:t>
      </w:r>
      <w:r w:rsidRPr="00EF6D7E">
        <w:rPr>
          <w:rFonts w:eastAsia="Calibri"/>
          <w:sz w:val="28"/>
          <w:szCs w:val="28"/>
          <w:lang w:eastAsia="en-US" w:bidi="ru-RU"/>
        </w:rPr>
        <w:t xml:space="preserve">гектар), 1581,5 </w:t>
      </w:r>
      <w:r w:rsidRPr="00EF6D7E">
        <w:rPr>
          <w:rFonts w:eastAsia="Calibri"/>
          <w:color w:val="000000"/>
          <w:sz w:val="28"/>
          <w:szCs w:val="28"/>
          <w:lang w:eastAsia="en-US" w:bidi="ru-RU"/>
        </w:rPr>
        <w:t>га;</w:t>
      </w:r>
      <w:r w:rsidRPr="00EF6D7E">
        <w:rPr>
          <w:rFonts w:eastAsia="Constantia"/>
          <w:iCs/>
          <w:color w:val="000000"/>
          <w:sz w:val="28"/>
          <w:szCs w:val="28"/>
          <w:lang w:bidi="en-US"/>
        </w:rPr>
        <w:t xml:space="preserve"> </w:t>
      </w:r>
    </w:p>
    <w:p w:rsidR="00CE1891" w:rsidRPr="00EF6D7E" w:rsidRDefault="00CE1891" w:rsidP="00CE1891">
      <w:pPr>
        <w:widowControl w:val="0"/>
        <w:ind w:firstLine="709"/>
        <w:jc w:val="both"/>
        <w:rPr>
          <w:rFonts w:eastAsia="Calibri"/>
          <w:sz w:val="28"/>
          <w:szCs w:val="28"/>
          <w:lang w:eastAsia="en-US"/>
        </w:rPr>
      </w:pPr>
      <w:r w:rsidRPr="00EF6D7E">
        <w:rPr>
          <w:rFonts w:eastAsia="Calibri"/>
          <w:sz w:val="28"/>
          <w:szCs w:val="28"/>
          <w:lang w:eastAsia="en-US"/>
        </w:rPr>
        <w:t>Т</w:t>
      </w:r>
      <w:r w:rsidRPr="00EF6D7E">
        <w:rPr>
          <w:rFonts w:eastAsia="Calibri"/>
          <w:sz w:val="28"/>
          <w:szCs w:val="28"/>
          <w:vertAlign w:val="superscript"/>
          <w:lang w:eastAsia="en-US"/>
        </w:rPr>
        <w:t>ср</w:t>
      </w:r>
      <w:r w:rsidRPr="00EF6D7E">
        <w:rPr>
          <w:rFonts w:eastAsia="Calibri"/>
          <w:sz w:val="28"/>
          <w:szCs w:val="28"/>
          <w:vertAlign w:val="subscript"/>
          <w:lang w:eastAsia="en-US"/>
        </w:rPr>
        <w:t>Sар</w:t>
      </w:r>
      <w:r w:rsidRPr="00EF6D7E">
        <w:rPr>
          <w:rFonts w:eastAsia="Calibri"/>
          <w:sz w:val="28"/>
          <w:szCs w:val="28"/>
          <w:lang w:eastAsia="en-US"/>
        </w:rPr>
        <w:t xml:space="preserve"> </w:t>
      </w:r>
      <w:r w:rsidRPr="00EF6D7E">
        <w:rPr>
          <w:rFonts w:eastAsia="Constantia"/>
          <w:i/>
          <w:iCs/>
          <w:color w:val="000000"/>
          <w:sz w:val="28"/>
          <w:szCs w:val="28"/>
          <w:lang w:bidi="ru-RU"/>
        </w:rPr>
        <w:t>-</w:t>
      </w:r>
      <w:r w:rsidRPr="00EF6D7E">
        <w:rPr>
          <w:rFonts w:eastAsia="Calibri"/>
          <w:sz w:val="28"/>
          <w:szCs w:val="28"/>
          <w:lang w:eastAsia="en-US"/>
        </w:rPr>
        <w:t xml:space="preserve"> средний темп роста (снижения) площади лесных участков, находящихся в федеральной собственности, предоставленных по договорам аренды, за три отчетных года, предшествующих прогнозируемому году (ед.), 1,01:</w:t>
      </w:r>
    </w:p>
    <w:p w:rsidR="00CE1891" w:rsidRPr="00EF6D7E" w:rsidRDefault="00CE1891" w:rsidP="00CE1891">
      <w:pPr>
        <w:widowControl w:val="0"/>
        <w:ind w:firstLine="709"/>
        <w:jc w:val="both"/>
        <w:rPr>
          <w:rFonts w:eastAsia="Calibri"/>
          <w:sz w:val="28"/>
          <w:szCs w:val="28"/>
          <w:lang w:eastAsia="en-US"/>
        </w:rPr>
      </w:pPr>
    </w:p>
    <w:p w:rsidR="00CE1891" w:rsidRPr="00EF6D7E" w:rsidRDefault="00CE1891" w:rsidP="00CE1891">
      <w:pPr>
        <w:ind w:firstLine="709"/>
        <w:jc w:val="center"/>
        <w:rPr>
          <w:rFonts w:eastAsia="Constantia"/>
          <w:iCs/>
          <w:sz w:val="28"/>
          <w:szCs w:val="28"/>
        </w:rPr>
      </w:pPr>
      <w:r w:rsidRPr="00EF6D7E">
        <w:rPr>
          <w:rFonts w:eastAsia="Calibri"/>
          <w:sz w:val="28"/>
          <w:szCs w:val="28"/>
          <w:lang w:eastAsia="en-US"/>
        </w:rPr>
        <w:t>Т</w:t>
      </w:r>
      <w:r w:rsidRPr="00EF6D7E">
        <w:rPr>
          <w:rFonts w:eastAsia="Calibri"/>
          <w:sz w:val="28"/>
          <w:szCs w:val="28"/>
          <w:vertAlign w:val="superscript"/>
          <w:lang w:eastAsia="en-US"/>
        </w:rPr>
        <w:t>ср</w:t>
      </w:r>
      <w:r w:rsidRPr="00EF6D7E">
        <w:rPr>
          <w:rFonts w:eastAsia="Calibri"/>
          <w:sz w:val="28"/>
          <w:szCs w:val="28"/>
          <w:vertAlign w:val="subscript"/>
          <w:lang w:eastAsia="en-US"/>
        </w:rPr>
        <w:t>Sар</w:t>
      </w:r>
      <w:r w:rsidRPr="00EF6D7E">
        <w:rPr>
          <w:sz w:val="28"/>
          <w:szCs w:val="28"/>
          <w:vertAlign w:val="superscript"/>
        </w:rPr>
        <w:t xml:space="preserve"> =</w:t>
      </w:r>
      <w:r w:rsidRPr="00EF6D7E">
        <w:rPr>
          <w:sz w:val="28"/>
          <w:szCs w:val="28"/>
        </w:rPr>
        <w:t xml:space="preserve"> ∑</w:t>
      </w:r>
      <w:r w:rsidRPr="00EF6D7E">
        <w:rPr>
          <w:sz w:val="28"/>
          <w:szCs w:val="28"/>
          <w:vertAlign w:val="superscript"/>
        </w:rPr>
        <w:t>3</w:t>
      </w:r>
      <w:r w:rsidRPr="00EF6D7E">
        <w:rPr>
          <w:sz w:val="28"/>
          <w:szCs w:val="28"/>
          <w:vertAlign w:val="subscript"/>
          <w:lang w:val="en-US"/>
        </w:rPr>
        <w:t>t</w:t>
      </w:r>
      <w:r w:rsidRPr="00EF6D7E">
        <w:rPr>
          <w:sz w:val="28"/>
          <w:szCs w:val="28"/>
          <w:vertAlign w:val="subscript"/>
        </w:rPr>
        <w:t>=1</w:t>
      </w:r>
      <w:r w:rsidRPr="00EF6D7E">
        <w:rPr>
          <w:rFonts w:eastAsia="Calibri"/>
          <w:sz w:val="28"/>
          <w:szCs w:val="28"/>
          <w:lang w:eastAsia="en-US"/>
        </w:rPr>
        <w:t xml:space="preserve"> Т</w:t>
      </w:r>
      <w:r w:rsidRPr="00EF6D7E">
        <w:rPr>
          <w:rFonts w:eastAsia="Calibri"/>
          <w:sz w:val="28"/>
          <w:szCs w:val="28"/>
          <w:vertAlign w:val="subscript"/>
          <w:lang w:eastAsia="en-US"/>
        </w:rPr>
        <w:t>Sар</w:t>
      </w:r>
      <w:r w:rsidRPr="00EF6D7E">
        <w:rPr>
          <w:rFonts w:eastAsia="Constantia"/>
          <w:iCs/>
          <w:sz w:val="28"/>
          <w:szCs w:val="28"/>
        </w:rPr>
        <w:t xml:space="preserve"> /3,</w:t>
      </w:r>
    </w:p>
    <w:p w:rsidR="00CE1891" w:rsidRPr="00EF6D7E" w:rsidRDefault="00CE1891" w:rsidP="00CE1891">
      <w:pPr>
        <w:widowControl w:val="0"/>
        <w:ind w:firstLine="709"/>
        <w:jc w:val="center"/>
        <w:rPr>
          <w:rFonts w:eastAsia="Calibri"/>
          <w:sz w:val="28"/>
          <w:szCs w:val="28"/>
          <w:lang w:eastAsia="en-US"/>
        </w:rPr>
      </w:pPr>
      <w:r w:rsidRPr="00EF6D7E">
        <w:rPr>
          <w:rFonts w:eastAsia="Calibri"/>
          <w:sz w:val="28"/>
          <w:szCs w:val="28"/>
          <w:lang w:eastAsia="en-US"/>
        </w:rPr>
        <w:t>1,01 = (0,97 + 1,07 + 0,97)/3</w:t>
      </w:r>
    </w:p>
    <w:p w:rsidR="00CE1891" w:rsidRPr="00EF6D7E" w:rsidRDefault="00CE1891" w:rsidP="00CE1891">
      <w:pPr>
        <w:widowControl w:val="0"/>
        <w:ind w:firstLine="709"/>
        <w:jc w:val="both"/>
        <w:rPr>
          <w:rFonts w:eastAsia="Calibri"/>
          <w:sz w:val="28"/>
          <w:szCs w:val="28"/>
          <w:lang w:eastAsia="en-US"/>
        </w:rPr>
      </w:pPr>
      <w:r w:rsidRPr="00EF6D7E">
        <w:rPr>
          <w:rFonts w:eastAsia="Calibri"/>
          <w:sz w:val="28"/>
          <w:szCs w:val="28"/>
          <w:lang w:eastAsia="en-US"/>
        </w:rPr>
        <w:t>где:</w:t>
      </w:r>
    </w:p>
    <w:p w:rsidR="00CE1891" w:rsidRPr="00EF6D7E" w:rsidRDefault="00CE1891" w:rsidP="00CE1891">
      <w:pPr>
        <w:widowControl w:val="0"/>
        <w:ind w:firstLine="709"/>
        <w:jc w:val="both"/>
        <w:rPr>
          <w:rFonts w:eastAsia="Calibri"/>
          <w:sz w:val="28"/>
          <w:szCs w:val="28"/>
          <w:lang w:eastAsia="en-US"/>
        </w:rPr>
      </w:pPr>
      <w:r w:rsidRPr="00EF6D7E">
        <w:rPr>
          <w:sz w:val="28"/>
          <w:szCs w:val="28"/>
        </w:rPr>
        <w:t>∑</w:t>
      </w:r>
      <w:r w:rsidRPr="00EF6D7E">
        <w:rPr>
          <w:sz w:val="28"/>
          <w:szCs w:val="28"/>
          <w:vertAlign w:val="superscript"/>
        </w:rPr>
        <w:t>3</w:t>
      </w:r>
      <w:r w:rsidRPr="00EF6D7E">
        <w:rPr>
          <w:sz w:val="28"/>
          <w:szCs w:val="28"/>
          <w:vertAlign w:val="subscript"/>
          <w:lang w:val="en-US"/>
        </w:rPr>
        <w:t>t</w:t>
      </w:r>
      <w:r w:rsidRPr="00EF6D7E">
        <w:rPr>
          <w:sz w:val="28"/>
          <w:szCs w:val="28"/>
          <w:vertAlign w:val="subscript"/>
        </w:rPr>
        <w:t>=1</w:t>
      </w:r>
      <w:r w:rsidRPr="00EF6D7E">
        <w:rPr>
          <w:rFonts w:eastAsia="Calibri"/>
          <w:sz w:val="28"/>
          <w:szCs w:val="28"/>
          <w:lang w:eastAsia="en-US"/>
        </w:rPr>
        <w:t xml:space="preserve"> Т</w:t>
      </w:r>
      <w:r w:rsidRPr="00EF6D7E">
        <w:rPr>
          <w:rFonts w:eastAsia="Calibri"/>
          <w:sz w:val="28"/>
          <w:szCs w:val="28"/>
          <w:vertAlign w:val="subscript"/>
          <w:lang w:eastAsia="en-US"/>
        </w:rPr>
        <w:t>Sар</w:t>
      </w:r>
      <w:r w:rsidRPr="00EF6D7E">
        <w:rPr>
          <w:rFonts w:eastAsia="Calibri"/>
          <w:sz w:val="28"/>
          <w:szCs w:val="28"/>
          <w:lang w:eastAsia="en-US"/>
        </w:rPr>
        <w:t xml:space="preserve">  </w:t>
      </w:r>
      <w:r w:rsidRPr="00EF6D7E">
        <w:rPr>
          <w:rFonts w:eastAsia="Constantia"/>
          <w:i/>
          <w:iCs/>
          <w:color w:val="000000"/>
          <w:sz w:val="28"/>
          <w:szCs w:val="28"/>
          <w:lang w:bidi="ru-RU"/>
        </w:rPr>
        <w:t>-</w:t>
      </w:r>
      <w:r w:rsidRPr="00EF6D7E">
        <w:rPr>
          <w:rFonts w:eastAsia="Calibri"/>
          <w:sz w:val="28"/>
          <w:szCs w:val="28"/>
          <w:lang w:eastAsia="en-US"/>
        </w:rPr>
        <w:t xml:space="preserve"> сумма темпов роста (снижения) площади лесных участков, находящихся в федеральной собственности, предоставленных по договорам аренды, за три отчетных года, предшествующих прогнозируемому году,  (ед.), 3,01;</w:t>
      </w:r>
    </w:p>
    <w:p w:rsidR="00CE1891" w:rsidRPr="00EF6D7E" w:rsidRDefault="00CE1891" w:rsidP="00CE1891">
      <w:pPr>
        <w:widowControl w:val="0"/>
        <w:ind w:firstLine="709"/>
        <w:jc w:val="center"/>
        <w:rPr>
          <w:rFonts w:eastAsia="Calibri"/>
          <w:sz w:val="28"/>
          <w:szCs w:val="28"/>
          <w:vertAlign w:val="superscript"/>
          <w:lang w:eastAsia="en-US"/>
        </w:rPr>
      </w:pPr>
      <w:r w:rsidRPr="00EF6D7E">
        <w:rPr>
          <w:sz w:val="28"/>
          <w:szCs w:val="28"/>
        </w:rPr>
        <w:t>∑</w:t>
      </w:r>
      <w:r w:rsidRPr="00EF6D7E">
        <w:rPr>
          <w:sz w:val="28"/>
          <w:szCs w:val="28"/>
          <w:vertAlign w:val="superscript"/>
        </w:rPr>
        <w:t>3</w:t>
      </w:r>
      <w:r w:rsidRPr="00EF6D7E">
        <w:rPr>
          <w:sz w:val="28"/>
          <w:szCs w:val="28"/>
          <w:vertAlign w:val="subscript"/>
          <w:lang w:val="en-US"/>
        </w:rPr>
        <w:t>t</w:t>
      </w:r>
      <w:r w:rsidRPr="00EF6D7E">
        <w:rPr>
          <w:sz w:val="28"/>
          <w:szCs w:val="28"/>
          <w:vertAlign w:val="subscript"/>
        </w:rPr>
        <w:t>=1</w:t>
      </w:r>
      <w:r w:rsidRPr="00EF6D7E">
        <w:rPr>
          <w:rFonts w:eastAsia="Calibri"/>
          <w:sz w:val="28"/>
          <w:szCs w:val="28"/>
          <w:lang w:eastAsia="en-US"/>
        </w:rPr>
        <w:t xml:space="preserve"> Т</w:t>
      </w:r>
      <w:r w:rsidRPr="00EF6D7E">
        <w:rPr>
          <w:rFonts w:eastAsia="Calibri"/>
          <w:sz w:val="28"/>
          <w:szCs w:val="28"/>
          <w:vertAlign w:val="subscript"/>
          <w:lang w:eastAsia="en-US"/>
        </w:rPr>
        <w:t>Sар</w:t>
      </w:r>
      <w:r w:rsidRPr="00EF6D7E">
        <w:rPr>
          <w:rFonts w:eastAsia="Calibri"/>
          <w:sz w:val="28"/>
          <w:szCs w:val="28"/>
          <w:lang w:eastAsia="en-US"/>
        </w:rPr>
        <w:t xml:space="preserve">  = Т</w:t>
      </w:r>
      <w:r w:rsidRPr="00EF6D7E">
        <w:rPr>
          <w:rFonts w:eastAsia="Calibri"/>
          <w:sz w:val="28"/>
          <w:szCs w:val="28"/>
          <w:vertAlign w:val="subscript"/>
          <w:lang w:eastAsia="en-US"/>
        </w:rPr>
        <w:t>Sар</w:t>
      </w:r>
      <w:r w:rsidRPr="00EF6D7E">
        <w:rPr>
          <w:rFonts w:eastAsia="Calibri"/>
          <w:sz w:val="28"/>
          <w:szCs w:val="28"/>
          <w:vertAlign w:val="superscript"/>
          <w:lang w:eastAsia="en-US"/>
        </w:rPr>
        <w:t xml:space="preserve">2020 </w:t>
      </w:r>
      <w:r w:rsidRPr="00EF6D7E">
        <w:rPr>
          <w:rFonts w:eastAsia="Calibri"/>
          <w:sz w:val="28"/>
          <w:szCs w:val="28"/>
          <w:lang w:eastAsia="en-US"/>
        </w:rPr>
        <w:t>+ Т</w:t>
      </w:r>
      <w:r w:rsidRPr="00EF6D7E">
        <w:rPr>
          <w:rFonts w:eastAsia="Calibri"/>
          <w:sz w:val="28"/>
          <w:szCs w:val="28"/>
          <w:vertAlign w:val="subscript"/>
          <w:lang w:eastAsia="en-US"/>
        </w:rPr>
        <w:t>Sар</w:t>
      </w:r>
      <w:r w:rsidRPr="00EF6D7E">
        <w:rPr>
          <w:rFonts w:eastAsia="Calibri"/>
          <w:sz w:val="28"/>
          <w:szCs w:val="28"/>
          <w:vertAlign w:val="superscript"/>
          <w:lang w:eastAsia="en-US"/>
        </w:rPr>
        <w:t xml:space="preserve">2021 </w:t>
      </w:r>
      <w:r w:rsidRPr="00EF6D7E">
        <w:rPr>
          <w:rFonts w:eastAsia="Calibri"/>
          <w:sz w:val="28"/>
          <w:szCs w:val="28"/>
          <w:lang w:eastAsia="en-US"/>
        </w:rPr>
        <w:t>+ Т</w:t>
      </w:r>
      <w:r w:rsidRPr="00EF6D7E">
        <w:rPr>
          <w:rFonts w:eastAsia="Calibri"/>
          <w:sz w:val="28"/>
          <w:szCs w:val="28"/>
          <w:vertAlign w:val="subscript"/>
          <w:lang w:eastAsia="en-US"/>
        </w:rPr>
        <w:t>Sар</w:t>
      </w:r>
      <w:r w:rsidRPr="00EF6D7E">
        <w:rPr>
          <w:rFonts w:eastAsia="Calibri"/>
          <w:sz w:val="28"/>
          <w:szCs w:val="28"/>
          <w:vertAlign w:val="superscript"/>
          <w:lang w:eastAsia="en-US"/>
        </w:rPr>
        <w:t>2022</w:t>
      </w:r>
    </w:p>
    <w:p w:rsidR="00CE1891" w:rsidRPr="00EF6D7E" w:rsidRDefault="00CE1891" w:rsidP="00CE1891">
      <w:pPr>
        <w:widowControl w:val="0"/>
        <w:ind w:firstLine="709"/>
        <w:jc w:val="center"/>
        <w:rPr>
          <w:rFonts w:eastAsia="Calibri"/>
          <w:sz w:val="28"/>
          <w:szCs w:val="28"/>
          <w:lang w:eastAsia="en-US"/>
        </w:rPr>
      </w:pPr>
      <w:r w:rsidRPr="00EF6D7E">
        <w:rPr>
          <w:rFonts w:eastAsia="Calibri"/>
          <w:sz w:val="28"/>
          <w:szCs w:val="28"/>
          <w:lang w:eastAsia="en-US"/>
        </w:rPr>
        <w:t>3,01 = 0,97 + 1,07 + 0,97</w:t>
      </w:r>
    </w:p>
    <w:p w:rsidR="00CE1891" w:rsidRPr="00EF6D7E" w:rsidRDefault="00CE1891" w:rsidP="00CE1891">
      <w:pPr>
        <w:widowControl w:val="0"/>
        <w:ind w:firstLine="709"/>
        <w:jc w:val="both"/>
        <w:rPr>
          <w:rFonts w:eastAsia="Calibri"/>
          <w:sz w:val="28"/>
          <w:szCs w:val="28"/>
          <w:lang w:eastAsia="en-US"/>
        </w:rPr>
      </w:pPr>
      <w:r w:rsidRPr="00EF6D7E">
        <w:rPr>
          <w:rFonts w:eastAsia="Calibri"/>
          <w:sz w:val="28"/>
          <w:szCs w:val="28"/>
          <w:lang w:eastAsia="en-US"/>
        </w:rPr>
        <w:t>Т</w:t>
      </w:r>
      <w:r w:rsidRPr="00EF6D7E">
        <w:rPr>
          <w:rFonts w:eastAsia="Calibri"/>
          <w:sz w:val="28"/>
          <w:szCs w:val="28"/>
          <w:vertAlign w:val="subscript"/>
          <w:lang w:val="en-US" w:eastAsia="en-US"/>
        </w:rPr>
        <w:t>S</w:t>
      </w:r>
      <w:r w:rsidRPr="00EF6D7E">
        <w:rPr>
          <w:rFonts w:eastAsia="Calibri"/>
          <w:sz w:val="28"/>
          <w:szCs w:val="28"/>
          <w:vertAlign w:val="subscript"/>
          <w:lang w:eastAsia="en-US"/>
        </w:rPr>
        <w:t>ар</w:t>
      </w:r>
      <w:r w:rsidRPr="00EF6D7E">
        <w:rPr>
          <w:rFonts w:eastAsia="Calibri"/>
          <w:sz w:val="28"/>
          <w:szCs w:val="28"/>
          <w:lang w:eastAsia="en-US"/>
        </w:rPr>
        <w:t xml:space="preserve"> - темп роста (снижения) объема лесных ресурсов (за исключением древесины), подлежащего заготовке по договорам аренды лесных участков, находящихся в федеральной собственности, за год (ед.), определяется по формуле:</w:t>
      </w:r>
    </w:p>
    <w:p w:rsidR="00CE1891" w:rsidRPr="00EF6D7E" w:rsidRDefault="00CE1891" w:rsidP="00CE1891">
      <w:pPr>
        <w:widowControl w:val="0"/>
        <w:ind w:firstLine="709"/>
        <w:jc w:val="center"/>
        <w:rPr>
          <w:rFonts w:eastAsia="Calibri"/>
          <w:sz w:val="28"/>
          <w:szCs w:val="28"/>
          <w:vertAlign w:val="subscript"/>
          <w:lang w:eastAsia="en-US"/>
        </w:rPr>
      </w:pPr>
      <w:r w:rsidRPr="00EF6D7E">
        <w:rPr>
          <w:rFonts w:eastAsia="Calibri"/>
          <w:sz w:val="28"/>
          <w:szCs w:val="28"/>
          <w:lang w:eastAsia="en-US"/>
        </w:rPr>
        <w:t>Т</w:t>
      </w:r>
      <w:r w:rsidRPr="00EF6D7E">
        <w:rPr>
          <w:rFonts w:eastAsia="Calibri"/>
          <w:sz w:val="28"/>
          <w:szCs w:val="28"/>
          <w:vertAlign w:val="subscript"/>
          <w:lang w:val="en-US" w:eastAsia="en-US"/>
        </w:rPr>
        <w:t>S</w:t>
      </w:r>
      <w:r w:rsidRPr="00EF6D7E">
        <w:rPr>
          <w:rFonts w:eastAsia="Calibri"/>
          <w:sz w:val="28"/>
          <w:szCs w:val="28"/>
          <w:vertAlign w:val="subscript"/>
          <w:lang w:eastAsia="en-US"/>
        </w:rPr>
        <w:t>ар</w:t>
      </w:r>
      <w:r w:rsidRPr="00EF6D7E">
        <w:rPr>
          <w:rFonts w:eastAsia="Calibri"/>
          <w:sz w:val="28"/>
          <w:szCs w:val="28"/>
          <w:lang w:eastAsia="en-US"/>
        </w:rPr>
        <w:t xml:space="preserve"> =</w:t>
      </w:r>
      <w:r w:rsidRPr="00EF6D7E">
        <w:rPr>
          <w:rFonts w:eastAsia="Calibri"/>
          <w:sz w:val="28"/>
          <w:szCs w:val="28"/>
          <w:vertAlign w:val="subscript"/>
          <w:lang w:eastAsia="en-US"/>
        </w:rPr>
        <w:t xml:space="preserve"> </w:t>
      </w:r>
      <w:r w:rsidRPr="00EF6D7E">
        <w:rPr>
          <w:rFonts w:eastAsia="Calibri"/>
          <w:sz w:val="28"/>
          <w:szCs w:val="28"/>
          <w:lang w:val="en-US" w:eastAsia="en-US"/>
        </w:rPr>
        <w:t>Q</w:t>
      </w:r>
      <w:r w:rsidRPr="00EF6D7E">
        <w:rPr>
          <w:rFonts w:eastAsia="Calibri"/>
          <w:sz w:val="28"/>
          <w:szCs w:val="28"/>
          <w:vertAlign w:val="superscript"/>
          <w:lang w:val="en-US" w:eastAsia="en-US"/>
        </w:rPr>
        <w:t>n</w:t>
      </w:r>
      <w:r w:rsidRPr="00EF6D7E">
        <w:rPr>
          <w:rFonts w:eastAsia="Calibri"/>
          <w:sz w:val="28"/>
          <w:szCs w:val="28"/>
          <w:vertAlign w:val="subscript"/>
          <w:lang w:val="en-US" w:eastAsia="en-US"/>
        </w:rPr>
        <w:t>S</w:t>
      </w:r>
      <w:r w:rsidRPr="00EF6D7E">
        <w:rPr>
          <w:rFonts w:eastAsia="Calibri"/>
          <w:sz w:val="28"/>
          <w:szCs w:val="28"/>
          <w:vertAlign w:val="subscript"/>
          <w:lang w:eastAsia="en-US"/>
        </w:rPr>
        <w:t>ар</w:t>
      </w:r>
      <w:r w:rsidRPr="00EF6D7E">
        <w:rPr>
          <w:rFonts w:eastAsia="Calibri"/>
          <w:sz w:val="28"/>
          <w:szCs w:val="28"/>
          <w:lang w:eastAsia="en-US"/>
        </w:rPr>
        <w:t xml:space="preserve">/ </w:t>
      </w:r>
      <w:r w:rsidRPr="00EF6D7E">
        <w:rPr>
          <w:rFonts w:eastAsia="Calibri"/>
          <w:sz w:val="28"/>
          <w:szCs w:val="28"/>
          <w:lang w:val="en-US" w:eastAsia="en-US"/>
        </w:rPr>
        <w:t>Q</w:t>
      </w:r>
      <w:r w:rsidRPr="00EF6D7E">
        <w:rPr>
          <w:rFonts w:eastAsia="Calibri"/>
          <w:sz w:val="28"/>
          <w:szCs w:val="28"/>
          <w:vertAlign w:val="superscript"/>
          <w:lang w:val="en-US" w:eastAsia="en-US"/>
        </w:rPr>
        <w:t>n</w:t>
      </w:r>
      <w:r w:rsidRPr="00EF6D7E">
        <w:rPr>
          <w:rFonts w:eastAsia="Calibri"/>
          <w:sz w:val="28"/>
          <w:szCs w:val="28"/>
          <w:vertAlign w:val="superscript"/>
          <w:lang w:eastAsia="en-US"/>
        </w:rPr>
        <w:t>-1</w:t>
      </w:r>
      <w:r w:rsidRPr="00EF6D7E">
        <w:rPr>
          <w:rFonts w:eastAsia="Calibri"/>
          <w:sz w:val="28"/>
          <w:szCs w:val="28"/>
          <w:vertAlign w:val="subscript"/>
          <w:lang w:val="en-US" w:eastAsia="en-US"/>
        </w:rPr>
        <w:t>S</w:t>
      </w:r>
      <w:r w:rsidRPr="00EF6D7E">
        <w:rPr>
          <w:rFonts w:eastAsia="Calibri"/>
          <w:sz w:val="28"/>
          <w:szCs w:val="28"/>
          <w:vertAlign w:val="subscript"/>
          <w:lang w:eastAsia="en-US"/>
        </w:rPr>
        <w:t xml:space="preserve">ар </w:t>
      </w:r>
    </w:p>
    <w:p w:rsidR="00CE1891" w:rsidRPr="00EF6D7E" w:rsidRDefault="00CE1891" w:rsidP="00CE1891">
      <w:pPr>
        <w:widowControl w:val="0"/>
        <w:ind w:firstLine="709"/>
        <w:jc w:val="center"/>
        <w:rPr>
          <w:rFonts w:eastAsia="Calibri"/>
          <w:sz w:val="28"/>
          <w:szCs w:val="28"/>
          <w:vertAlign w:val="subscript"/>
          <w:lang w:eastAsia="en-US"/>
        </w:rPr>
      </w:pPr>
    </w:p>
    <w:p w:rsidR="00CE1891" w:rsidRPr="00EF6D7E" w:rsidRDefault="00CE1891" w:rsidP="00CE1891">
      <w:pPr>
        <w:widowControl w:val="0"/>
        <w:ind w:firstLine="709"/>
        <w:jc w:val="both"/>
        <w:rPr>
          <w:rFonts w:eastAsia="Calibri"/>
          <w:sz w:val="28"/>
          <w:szCs w:val="28"/>
          <w:lang w:eastAsia="en-US"/>
        </w:rPr>
      </w:pPr>
      <w:r w:rsidRPr="00EF6D7E">
        <w:rPr>
          <w:rFonts w:eastAsia="Calibri"/>
          <w:sz w:val="28"/>
          <w:szCs w:val="28"/>
          <w:lang w:eastAsia="en-US"/>
        </w:rPr>
        <w:t>где:</w:t>
      </w:r>
    </w:p>
    <w:p w:rsidR="00CE1891" w:rsidRPr="00EF6D7E" w:rsidRDefault="00CE1891" w:rsidP="00CE1891">
      <w:pPr>
        <w:widowControl w:val="0"/>
        <w:ind w:firstLine="709"/>
        <w:jc w:val="both"/>
        <w:rPr>
          <w:rFonts w:eastAsia="Calibri"/>
          <w:sz w:val="28"/>
          <w:szCs w:val="28"/>
          <w:lang w:eastAsia="en-US"/>
        </w:rPr>
      </w:pPr>
      <w:r w:rsidRPr="00EF6D7E">
        <w:rPr>
          <w:rFonts w:eastAsia="Calibri"/>
          <w:sz w:val="28"/>
          <w:szCs w:val="28"/>
          <w:lang w:val="en-US" w:eastAsia="en-US"/>
        </w:rPr>
        <w:t>Q</w:t>
      </w:r>
      <w:r w:rsidRPr="00EF6D7E">
        <w:rPr>
          <w:rFonts w:eastAsia="Calibri"/>
          <w:sz w:val="28"/>
          <w:szCs w:val="28"/>
          <w:vertAlign w:val="superscript"/>
          <w:lang w:val="en-US" w:eastAsia="en-US"/>
        </w:rPr>
        <w:t>n</w:t>
      </w:r>
      <w:r w:rsidRPr="00EF6D7E">
        <w:rPr>
          <w:rFonts w:eastAsia="Calibri"/>
          <w:sz w:val="28"/>
          <w:szCs w:val="28"/>
          <w:vertAlign w:val="subscript"/>
          <w:lang w:val="en-US" w:eastAsia="en-US"/>
        </w:rPr>
        <w:t>S</w:t>
      </w:r>
      <w:r w:rsidRPr="00EF6D7E">
        <w:rPr>
          <w:rFonts w:eastAsia="Calibri"/>
          <w:sz w:val="28"/>
          <w:szCs w:val="28"/>
          <w:vertAlign w:val="subscript"/>
          <w:lang w:eastAsia="en-US"/>
        </w:rPr>
        <w:t xml:space="preserve">ар </w:t>
      </w:r>
      <w:r w:rsidRPr="00EF6D7E">
        <w:rPr>
          <w:rFonts w:eastAsia="Calibri"/>
          <w:sz w:val="28"/>
          <w:szCs w:val="28"/>
          <w:lang w:eastAsia="en-US"/>
        </w:rPr>
        <w:t>- объем лесных ресурсов (за исключением древесины), подлежащий заготовке по договорам аренды лесных участков, находящихся в федеральной собственности, за год (га);</w:t>
      </w:r>
    </w:p>
    <w:p w:rsidR="00CE1891" w:rsidRPr="00EF6D7E" w:rsidRDefault="00CE1891" w:rsidP="00CE1891">
      <w:pPr>
        <w:widowControl w:val="0"/>
        <w:ind w:firstLine="709"/>
        <w:jc w:val="both"/>
        <w:rPr>
          <w:rFonts w:eastAsia="Calibri"/>
          <w:sz w:val="28"/>
          <w:szCs w:val="28"/>
          <w:lang w:eastAsia="en-US"/>
        </w:rPr>
      </w:pPr>
      <w:r w:rsidRPr="00EF6D7E">
        <w:rPr>
          <w:rFonts w:eastAsia="Calibri"/>
          <w:sz w:val="28"/>
          <w:szCs w:val="28"/>
          <w:lang w:val="en-US" w:eastAsia="en-US"/>
        </w:rPr>
        <w:t>Q</w:t>
      </w:r>
      <w:r w:rsidRPr="00EF6D7E">
        <w:rPr>
          <w:rFonts w:eastAsia="Calibri"/>
          <w:sz w:val="28"/>
          <w:szCs w:val="28"/>
          <w:vertAlign w:val="superscript"/>
          <w:lang w:val="en-US" w:eastAsia="en-US"/>
        </w:rPr>
        <w:t>n</w:t>
      </w:r>
      <w:r w:rsidRPr="00EF6D7E">
        <w:rPr>
          <w:rFonts w:eastAsia="Calibri"/>
          <w:sz w:val="28"/>
          <w:szCs w:val="28"/>
          <w:vertAlign w:val="superscript"/>
          <w:lang w:eastAsia="en-US"/>
        </w:rPr>
        <w:t>-1</w:t>
      </w:r>
      <w:r w:rsidRPr="00EF6D7E">
        <w:rPr>
          <w:rFonts w:eastAsia="Calibri"/>
          <w:sz w:val="28"/>
          <w:szCs w:val="28"/>
          <w:vertAlign w:val="subscript"/>
          <w:lang w:val="en-US" w:eastAsia="en-US"/>
        </w:rPr>
        <w:t>S</w:t>
      </w:r>
      <w:r w:rsidRPr="00EF6D7E">
        <w:rPr>
          <w:rFonts w:eastAsia="Calibri"/>
          <w:sz w:val="28"/>
          <w:szCs w:val="28"/>
          <w:vertAlign w:val="subscript"/>
          <w:lang w:eastAsia="en-US"/>
        </w:rPr>
        <w:t xml:space="preserve">ар </w:t>
      </w:r>
      <w:r w:rsidRPr="00EF6D7E">
        <w:rPr>
          <w:rFonts w:eastAsia="Calibri"/>
          <w:sz w:val="28"/>
          <w:szCs w:val="28"/>
          <w:lang w:eastAsia="en-US"/>
        </w:rPr>
        <w:t>- объем лесных ресурсов (за исключением древесины), подлежащий заготовке по договорам аренды лесных участков, находящихся в федеральной собственности, за предыдущий год (га);</w:t>
      </w:r>
    </w:p>
    <w:p w:rsidR="00CE1891" w:rsidRPr="00EF6D7E" w:rsidRDefault="00CE1891" w:rsidP="00CE1891">
      <w:pPr>
        <w:widowControl w:val="0"/>
        <w:ind w:firstLine="709"/>
        <w:jc w:val="center"/>
        <w:rPr>
          <w:rFonts w:eastAsia="Calibri"/>
          <w:sz w:val="28"/>
          <w:szCs w:val="28"/>
          <w:lang w:eastAsia="en-US"/>
        </w:rPr>
      </w:pPr>
    </w:p>
    <w:p w:rsidR="00CE1891" w:rsidRPr="00EF6D7E" w:rsidRDefault="00CE1891" w:rsidP="00CE1891">
      <w:pPr>
        <w:widowControl w:val="0"/>
        <w:ind w:firstLine="709"/>
        <w:jc w:val="both"/>
        <w:rPr>
          <w:rFonts w:eastAsia="Calibri"/>
          <w:sz w:val="28"/>
          <w:szCs w:val="28"/>
          <w:lang w:eastAsia="en-US"/>
        </w:rPr>
      </w:pPr>
      <w:r w:rsidRPr="00EF6D7E">
        <w:rPr>
          <w:rFonts w:eastAsia="Calibri"/>
          <w:sz w:val="28"/>
          <w:szCs w:val="28"/>
          <w:lang w:eastAsia="en-US"/>
        </w:rPr>
        <w:t>в том числе по годам:</w:t>
      </w:r>
    </w:p>
    <w:p w:rsidR="00CE1891" w:rsidRPr="00EF6D7E" w:rsidRDefault="00CE1891" w:rsidP="00CE1891">
      <w:pPr>
        <w:widowControl w:val="0"/>
        <w:ind w:firstLine="709"/>
        <w:jc w:val="both"/>
        <w:rPr>
          <w:rFonts w:eastAsia="Calibri"/>
          <w:sz w:val="28"/>
          <w:szCs w:val="28"/>
          <w:lang w:eastAsia="en-US"/>
        </w:rPr>
      </w:pPr>
    </w:p>
    <w:p w:rsidR="00CE1891" w:rsidRPr="00EF6D7E" w:rsidRDefault="00CE1891" w:rsidP="00CE1891">
      <w:pPr>
        <w:widowControl w:val="0"/>
        <w:ind w:firstLine="709"/>
        <w:jc w:val="both"/>
        <w:rPr>
          <w:rFonts w:eastAsia="Calibri"/>
          <w:sz w:val="28"/>
          <w:szCs w:val="28"/>
          <w:lang w:eastAsia="en-US"/>
        </w:rPr>
      </w:pPr>
      <w:r w:rsidRPr="00EF6D7E">
        <w:rPr>
          <w:rFonts w:eastAsia="Calibri"/>
          <w:sz w:val="28"/>
          <w:szCs w:val="28"/>
          <w:lang w:eastAsia="en-US"/>
        </w:rPr>
        <w:t>а) Т</w:t>
      </w:r>
      <w:r w:rsidRPr="00EF6D7E">
        <w:rPr>
          <w:rFonts w:eastAsia="Calibri"/>
          <w:sz w:val="28"/>
          <w:szCs w:val="28"/>
          <w:vertAlign w:val="subscript"/>
          <w:lang w:eastAsia="en-US"/>
        </w:rPr>
        <w:t>Sар</w:t>
      </w:r>
      <w:r w:rsidRPr="00EF6D7E">
        <w:rPr>
          <w:rFonts w:eastAsia="Calibri"/>
          <w:sz w:val="28"/>
          <w:szCs w:val="28"/>
          <w:vertAlign w:val="superscript"/>
          <w:lang w:eastAsia="en-US"/>
        </w:rPr>
        <w:t>2020</w:t>
      </w:r>
      <w:r w:rsidRPr="00EF6D7E">
        <w:rPr>
          <w:rFonts w:eastAsia="Calibri"/>
          <w:sz w:val="28"/>
          <w:szCs w:val="28"/>
          <w:lang w:eastAsia="en-US"/>
        </w:rPr>
        <w:t xml:space="preserve"> </w:t>
      </w:r>
      <w:r w:rsidRPr="00EF6D7E">
        <w:rPr>
          <w:rFonts w:eastAsia="Constantia"/>
          <w:i/>
          <w:iCs/>
          <w:sz w:val="28"/>
          <w:szCs w:val="28"/>
          <w:lang w:bidi="ru-RU"/>
        </w:rPr>
        <w:t>-</w:t>
      </w:r>
      <w:r w:rsidRPr="00EF6D7E">
        <w:rPr>
          <w:rFonts w:eastAsia="Calibri"/>
          <w:sz w:val="28"/>
          <w:szCs w:val="28"/>
          <w:lang w:eastAsia="en-US"/>
        </w:rPr>
        <w:t xml:space="preserve"> темп роста (снижения) площади лесных участков, находящихся в федеральной собственности, предоставленных по договорам аренды, за 2020 год (ед.), 0,97:</w:t>
      </w:r>
    </w:p>
    <w:p w:rsidR="00CE1891" w:rsidRPr="00EF6D7E" w:rsidRDefault="00CE1891" w:rsidP="00CE1891">
      <w:pPr>
        <w:widowControl w:val="0"/>
        <w:ind w:firstLine="709"/>
        <w:jc w:val="both"/>
        <w:rPr>
          <w:rFonts w:eastAsia="Calibri"/>
          <w:sz w:val="28"/>
          <w:szCs w:val="28"/>
          <w:lang w:eastAsia="en-US"/>
        </w:rPr>
      </w:pPr>
    </w:p>
    <w:p w:rsidR="00CE1891" w:rsidRPr="00EF6D7E" w:rsidRDefault="00CE1891" w:rsidP="00CE1891">
      <w:pPr>
        <w:widowControl w:val="0"/>
        <w:ind w:firstLine="709"/>
        <w:jc w:val="center"/>
        <w:rPr>
          <w:rFonts w:eastAsia="Calibri"/>
          <w:sz w:val="28"/>
          <w:szCs w:val="28"/>
          <w:lang w:eastAsia="en-US"/>
        </w:rPr>
      </w:pPr>
      <w:r w:rsidRPr="00EF6D7E">
        <w:rPr>
          <w:rFonts w:eastAsia="Calibri"/>
          <w:sz w:val="28"/>
          <w:szCs w:val="28"/>
          <w:lang w:eastAsia="en-US"/>
        </w:rPr>
        <w:t>Т</w:t>
      </w:r>
      <w:r w:rsidRPr="00EF6D7E">
        <w:rPr>
          <w:rFonts w:eastAsia="Calibri"/>
          <w:sz w:val="28"/>
          <w:szCs w:val="28"/>
          <w:vertAlign w:val="subscript"/>
          <w:lang w:eastAsia="en-US"/>
        </w:rPr>
        <w:t>Sар</w:t>
      </w:r>
      <w:r w:rsidRPr="00EF6D7E">
        <w:rPr>
          <w:rFonts w:eastAsia="Calibri"/>
          <w:sz w:val="28"/>
          <w:szCs w:val="28"/>
          <w:vertAlign w:val="superscript"/>
          <w:lang w:eastAsia="en-US"/>
        </w:rPr>
        <w:t>2020</w:t>
      </w:r>
      <w:r w:rsidRPr="00EF6D7E">
        <w:rPr>
          <w:rFonts w:eastAsia="Calibri"/>
          <w:sz w:val="28"/>
          <w:szCs w:val="28"/>
          <w:lang w:eastAsia="en-US"/>
        </w:rPr>
        <w:t xml:space="preserve"> = Q</w:t>
      </w:r>
      <w:r w:rsidRPr="00EF6D7E">
        <w:rPr>
          <w:rFonts w:eastAsia="Calibri"/>
          <w:sz w:val="28"/>
          <w:szCs w:val="28"/>
          <w:vertAlign w:val="superscript"/>
          <w:lang w:eastAsia="en-US"/>
        </w:rPr>
        <w:t>2020</w:t>
      </w:r>
      <w:r w:rsidRPr="00EF6D7E">
        <w:rPr>
          <w:rFonts w:eastAsia="Calibri"/>
          <w:sz w:val="28"/>
          <w:szCs w:val="28"/>
          <w:vertAlign w:val="subscript"/>
          <w:lang w:eastAsia="en-US"/>
        </w:rPr>
        <w:t>Sар</w:t>
      </w:r>
      <w:r w:rsidRPr="00EF6D7E">
        <w:rPr>
          <w:rFonts w:eastAsia="Calibri"/>
          <w:sz w:val="28"/>
          <w:szCs w:val="28"/>
          <w:lang w:eastAsia="en-US"/>
        </w:rPr>
        <w:t xml:space="preserve"> / Q</w:t>
      </w:r>
      <w:r w:rsidRPr="00EF6D7E">
        <w:rPr>
          <w:rFonts w:eastAsia="Calibri"/>
          <w:sz w:val="28"/>
          <w:szCs w:val="28"/>
          <w:vertAlign w:val="superscript"/>
          <w:lang w:eastAsia="en-US"/>
        </w:rPr>
        <w:t>2019</w:t>
      </w:r>
      <w:r w:rsidRPr="00EF6D7E">
        <w:rPr>
          <w:rFonts w:eastAsia="Calibri"/>
          <w:sz w:val="28"/>
          <w:szCs w:val="28"/>
          <w:vertAlign w:val="subscript"/>
          <w:lang w:eastAsia="en-US"/>
        </w:rPr>
        <w:t>Sар</w:t>
      </w:r>
      <w:r w:rsidRPr="00EF6D7E">
        <w:rPr>
          <w:rFonts w:eastAsia="Calibri"/>
          <w:sz w:val="28"/>
          <w:szCs w:val="28"/>
          <w:lang w:eastAsia="en-US"/>
        </w:rPr>
        <w:t>,</w:t>
      </w:r>
    </w:p>
    <w:p w:rsidR="00CE1891" w:rsidRPr="00EF6D7E" w:rsidRDefault="00CE1891" w:rsidP="00CE1891">
      <w:pPr>
        <w:widowControl w:val="0"/>
        <w:ind w:firstLine="709"/>
        <w:jc w:val="center"/>
        <w:rPr>
          <w:rFonts w:eastAsia="Calibri"/>
          <w:sz w:val="28"/>
          <w:szCs w:val="28"/>
          <w:lang w:eastAsia="en-US"/>
        </w:rPr>
      </w:pPr>
      <w:r w:rsidRPr="00EF6D7E">
        <w:rPr>
          <w:rFonts w:eastAsia="Calibri"/>
          <w:sz w:val="28"/>
          <w:szCs w:val="28"/>
          <w:lang w:eastAsia="en-US"/>
        </w:rPr>
        <w:t>0,97 = 509,4/525,3</w:t>
      </w:r>
    </w:p>
    <w:p w:rsidR="00CE1891" w:rsidRPr="00EF6D7E" w:rsidRDefault="00CE1891" w:rsidP="00CE1891">
      <w:pPr>
        <w:widowControl w:val="0"/>
        <w:ind w:firstLine="709"/>
        <w:jc w:val="center"/>
        <w:rPr>
          <w:rFonts w:eastAsia="Calibri"/>
          <w:sz w:val="28"/>
          <w:szCs w:val="28"/>
          <w:lang w:eastAsia="en-US"/>
        </w:rPr>
      </w:pPr>
    </w:p>
    <w:p w:rsidR="00CE1891" w:rsidRPr="00EF6D7E" w:rsidRDefault="00CE1891" w:rsidP="00CE1891">
      <w:pPr>
        <w:widowControl w:val="0"/>
        <w:ind w:firstLine="709"/>
        <w:jc w:val="both"/>
        <w:rPr>
          <w:rFonts w:eastAsia="Calibri"/>
          <w:sz w:val="28"/>
          <w:szCs w:val="28"/>
          <w:lang w:eastAsia="en-US"/>
        </w:rPr>
      </w:pPr>
      <w:r w:rsidRPr="00EF6D7E">
        <w:rPr>
          <w:rFonts w:eastAsia="Calibri"/>
          <w:sz w:val="28"/>
          <w:szCs w:val="28"/>
          <w:lang w:eastAsia="en-US"/>
        </w:rPr>
        <w:t>где:</w:t>
      </w:r>
    </w:p>
    <w:p w:rsidR="00CE1891" w:rsidRPr="00EF6D7E" w:rsidRDefault="00CE1891" w:rsidP="00CE1891">
      <w:pPr>
        <w:widowControl w:val="0"/>
        <w:ind w:firstLine="709"/>
        <w:jc w:val="both"/>
        <w:rPr>
          <w:rFonts w:eastAsia="Calibri"/>
          <w:sz w:val="28"/>
          <w:szCs w:val="28"/>
          <w:lang w:eastAsia="en-US"/>
        </w:rPr>
      </w:pPr>
      <w:r w:rsidRPr="00EF6D7E">
        <w:rPr>
          <w:rFonts w:eastAsia="Calibri"/>
          <w:sz w:val="28"/>
          <w:szCs w:val="28"/>
          <w:lang w:eastAsia="en-US"/>
        </w:rPr>
        <w:t>Q</w:t>
      </w:r>
      <w:r w:rsidRPr="00EF6D7E">
        <w:rPr>
          <w:rFonts w:eastAsia="Calibri"/>
          <w:sz w:val="28"/>
          <w:szCs w:val="28"/>
          <w:vertAlign w:val="superscript"/>
          <w:lang w:eastAsia="en-US"/>
        </w:rPr>
        <w:t>2020</w:t>
      </w:r>
      <w:r w:rsidRPr="00EF6D7E">
        <w:rPr>
          <w:rFonts w:eastAsia="Calibri"/>
          <w:sz w:val="28"/>
          <w:szCs w:val="28"/>
          <w:vertAlign w:val="subscript"/>
          <w:lang w:eastAsia="en-US"/>
        </w:rPr>
        <w:t>Sар</w:t>
      </w:r>
      <w:r w:rsidRPr="00EF6D7E">
        <w:rPr>
          <w:rFonts w:eastAsia="Calibri"/>
          <w:sz w:val="28"/>
          <w:szCs w:val="28"/>
          <w:lang w:eastAsia="en-US"/>
        </w:rPr>
        <w:t xml:space="preserve"> </w:t>
      </w:r>
      <w:r w:rsidRPr="00EF6D7E">
        <w:rPr>
          <w:rFonts w:eastAsia="Constantia"/>
          <w:i/>
          <w:iCs/>
          <w:color w:val="000000"/>
          <w:sz w:val="28"/>
          <w:szCs w:val="28"/>
          <w:lang w:bidi="ru-RU"/>
        </w:rPr>
        <w:t>-</w:t>
      </w:r>
      <w:r w:rsidRPr="00EF6D7E">
        <w:rPr>
          <w:rFonts w:eastAsia="Calibri"/>
          <w:sz w:val="28"/>
          <w:szCs w:val="28"/>
          <w:lang w:eastAsia="en-US"/>
        </w:rPr>
        <w:t xml:space="preserve"> площадь лесных участков, находящихся в федеральной собственности, предоставленных по договорам аренды, за 2020 год, 509,4 га;</w:t>
      </w:r>
    </w:p>
    <w:p w:rsidR="00CE1891" w:rsidRPr="00EF6D7E" w:rsidRDefault="00CE1891" w:rsidP="00CE1891">
      <w:pPr>
        <w:widowControl w:val="0"/>
        <w:ind w:firstLine="709"/>
        <w:jc w:val="both"/>
        <w:rPr>
          <w:rFonts w:eastAsia="Calibri"/>
          <w:sz w:val="28"/>
          <w:szCs w:val="28"/>
          <w:lang w:eastAsia="en-US"/>
        </w:rPr>
      </w:pPr>
      <w:r w:rsidRPr="00EF6D7E">
        <w:rPr>
          <w:rFonts w:eastAsia="Calibri"/>
          <w:sz w:val="28"/>
          <w:szCs w:val="28"/>
          <w:lang w:eastAsia="en-US"/>
        </w:rPr>
        <w:t>Q</w:t>
      </w:r>
      <w:r w:rsidRPr="00EF6D7E">
        <w:rPr>
          <w:rFonts w:eastAsia="Calibri"/>
          <w:sz w:val="28"/>
          <w:szCs w:val="28"/>
          <w:vertAlign w:val="superscript"/>
          <w:lang w:eastAsia="en-US"/>
        </w:rPr>
        <w:t>2019</w:t>
      </w:r>
      <w:r w:rsidRPr="00EF6D7E">
        <w:rPr>
          <w:rFonts w:eastAsia="Calibri"/>
          <w:sz w:val="28"/>
          <w:szCs w:val="28"/>
          <w:vertAlign w:val="subscript"/>
          <w:lang w:eastAsia="en-US"/>
        </w:rPr>
        <w:t>Sар</w:t>
      </w:r>
      <w:r w:rsidRPr="00EF6D7E">
        <w:rPr>
          <w:rFonts w:eastAsia="Calibri"/>
          <w:sz w:val="28"/>
          <w:szCs w:val="28"/>
          <w:lang w:eastAsia="en-US"/>
        </w:rPr>
        <w:t xml:space="preserve"> </w:t>
      </w:r>
      <w:r w:rsidRPr="00EF6D7E">
        <w:rPr>
          <w:rFonts w:eastAsia="Constantia"/>
          <w:i/>
          <w:iCs/>
          <w:color w:val="000000"/>
          <w:sz w:val="28"/>
          <w:szCs w:val="28"/>
          <w:lang w:bidi="ru-RU"/>
        </w:rPr>
        <w:t>-</w:t>
      </w:r>
      <w:r w:rsidRPr="00EF6D7E">
        <w:rPr>
          <w:rFonts w:eastAsia="Calibri"/>
          <w:sz w:val="28"/>
          <w:szCs w:val="28"/>
          <w:lang w:eastAsia="en-US"/>
        </w:rPr>
        <w:t xml:space="preserve"> площадь лесных участков, находящихся в федеральной </w:t>
      </w:r>
      <w:r w:rsidRPr="00EF6D7E">
        <w:rPr>
          <w:rFonts w:eastAsia="Calibri"/>
          <w:sz w:val="28"/>
          <w:szCs w:val="28"/>
          <w:lang w:eastAsia="en-US"/>
        </w:rPr>
        <w:lastRenderedPageBreak/>
        <w:t>собственности, предоставленных по договорам аренды, за 2019 год, 525,3 га;</w:t>
      </w:r>
    </w:p>
    <w:p w:rsidR="00CE1891" w:rsidRPr="00EF6D7E" w:rsidRDefault="00CE1891" w:rsidP="00CE1891">
      <w:pPr>
        <w:widowControl w:val="0"/>
        <w:ind w:firstLine="709"/>
        <w:jc w:val="both"/>
        <w:rPr>
          <w:rFonts w:eastAsia="Calibri"/>
          <w:sz w:val="28"/>
          <w:szCs w:val="28"/>
          <w:lang w:eastAsia="en-US"/>
        </w:rPr>
      </w:pPr>
    </w:p>
    <w:p w:rsidR="00CE1891" w:rsidRPr="00EF6D7E" w:rsidRDefault="00CE1891" w:rsidP="00CE1891">
      <w:pPr>
        <w:widowControl w:val="0"/>
        <w:ind w:firstLine="709"/>
        <w:jc w:val="both"/>
        <w:rPr>
          <w:rFonts w:eastAsia="Calibri"/>
          <w:sz w:val="28"/>
          <w:szCs w:val="28"/>
          <w:lang w:eastAsia="en-US"/>
        </w:rPr>
      </w:pPr>
      <w:r w:rsidRPr="00EF6D7E">
        <w:rPr>
          <w:rFonts w:eastAsia="Calibri"/>
          <w:sz w:val="28"/>
          <w:szCs w:val="28"/>
          <w:lang w:eastAsia="en-US"/>
        </w:rPr>
        <w:t>б) Т</w:t>
      </w:r>
      <w:r w:rsidRPr="00EF6D7E">
        <w:rPr>
          <w:rFonts w:eastAsia="Calibri"/>
          <w:sz w:val="28"/>
          <w:szCs w:val="28"/>
          <w:vertAlign w:val="subscript"/>
          <w:lang w:eastAsia="en-US"/>
        </w:rPr>
        <w:t>Sар</w:t>
      </w:r>
      <w:r w:rsidRPr="00EF6D7E">
        <w:rPr>
          <w:rFonts w:eastAsia="Calibri"/>
          <w:sz w:val="28"/>
          <w:szCs w:val="28"/>
          <w:vertAlign w:val="superscript"/>
          <w:lang w:eastAsia="en-US"/>
        </w:rPr>
        <w:t>2021</w:t>
      </w:r>
      <w:r w:rsidRPr="00EF6D7E">
        <w:rPr>
          <w:rFonts w:eastAsia="Calibri"/>
          <w:sz w:val="28"/>
          <w:szCs w:val="28"/>
          <w:lang w:eastAsia="en-US"/>
        </w:rPr>
        <w:t xml:space="preserve"> </w:t>
      </w:r>
      <w:r w:rsidRPr="00EF6D7E">
        <w:rPr>
          <w:rFonts w:eastAsia="Constantia"/>
          <w:i/>
          <w:iCs/>
          <w:sz w:val="28"/>
          <w:szCs w:val="28"/>
          <w:lang w:bidi="ru-RU"/>
        </w:rPr>
        <w:t>-</w:t>
      </w:r>
      <w:r w:rsidRPr="00EF6D7E">
        <w:rPr>
          <w:rFonts w:eastAsia="Calibri"/>
          <w:sz w:val="28"/>
          <w:szCs w:val="28"/>
          <w:lang w:eastAsia="en-US"/>
        </w:rPr>
        <w:t xml:space="preserve"> темп роста (снижения) площади лесных участков, находящихся в федеральной собственности, предоставленных по договорам аренды, за 2021 год (ед.), 1,07:</w:t>
      </w:r>
    </w:p>
    <w:p w:rsidR="00CE1891" w:rsidRPr="00EF6D7E" w:rsidRDefault="00CE1891" w:rsidP="00CE1891">
      <w:pPr>
        <w:widowControl w:val="0"/>
        <w:ind w:firstLine="709"/>
        <w:jc w:val="both"/>
        <w:rPr>
          <w:rFonts w:eastAsia="Calibri"/>
          <w:sz w:val="28"/>
          <w:szCs w:val="28"/>
          <w:lang w:eastAsia="en-US"/>
        </w:rPr>
      </w:pPr>
    </w:p>
    <w:p w:rsidR="00CE1891" w:rsidRPr="00EF6D7E" w:rsidRDefault="00CE1891" w:rsidP="00CE1891">
      <w:pPr>
        <w:widowControl w:val="0"/>
        <w:ind w:firstLine="709"/>
        <w:jc w:val="center"/>
        <w:rPr>
          <w:rFonts w:eastAsia="Calibri"/>
          <w:sz w:val="28"/>
          <w:szCs w:val="28"/>
          <w:lang w:eastAsia="en-US"/>
        </w:rPr>
      </w:pPr>
      <w:r w:rsidRPr="00EF6D7E">
        <w:rPr>
          <w:rFonts w:eastAsia="Calibri"/>
          <w:sz w:val="28"/>
          <w:szCs w:val="28"/>
          <w:lang w:eastAsia="en-US"/>
        </w:rPr>
        <w:t>Т</w:t>
      </w:r>
      <w:r w:rsidRPr="00EF6D7E">
        <w:rPr>
          <w:rFonts w:eastAsia="Calibri"/>
          <w:sz w:val="28"/>
          <w:szCs w:val="28"/>
          <w:vertAlign w:val="subscript"/>
          <w:lang w:eastAsia="en-US"/>
        </w:rPr>
        <w:t>Sар</w:t>
      </w:r>
      <w:r w:rsidRPr="00EF6D7E">
        <w:rPr>
          <w:rFonts w:eastAsia="Calibri"/>
          <w:sz w:val="28"/>
          <w:szCs w:val="28"/>
          <w:vertAlign w:val="superscript"/>
          <w:lang w:eastAsia="en-US"/>
        </w:rPr>
        <w:t>2021</w:t>
      </w:r>
      <w:r w:rsidRPr="00EF6D7E">
        <w:rPr>
          <w:rFonts w:eastAsia="Calibri"/>
          <w:sz w:val="28"/>
          <w:szCs w:val="28"/>
          <w:lang w:eastAsia="en-US"/>
        </w:rPr>
        <w:t xml:space="preserve"> = Q</w:t>
      </w:r>
      <w:r w:rsidRPr="00EF6D7E">
        <w:rPr>
          <w:rFonts w:eastAsia="Calibri"/>
          <w:sz w:val="28"/>
          <w:szCs w:val="28"/>
          <w:vertAlign w:val="superscript"/>
          <w:lang w:eastAsia="en-US"/>
        </w:rPr>
        <w:t>2021</w:t>
      </w:r>
      <w:r w:rsidRPr="00EF6D7E">
        <w:rPr>
          <w:rFonts w:eastAsia="Calibri"/>
          <w:sz w:val="28"/>
          <w:szCs w:val="28"/>
          <w:vertAlign w:val="subscript"/>
          <w:lang w:eastAsia="en-US"/>
        </w:rPr>
        <w:t>Sар</w:t>
      </w:r>
      <w:r w:rsidRPr="00EF6D7E">
        <w:rPr>
          <w:rFonts w:eastAsia="Calibri"/>
          <w:sz w:val="28"/>
          <w:szCs w:val="28"/>
          <w:lang w:eastAsia="en-US"/>
        </w:rPr>
        <w:t xml:space="preserve"> / Q</w:t>
      </w:r>
      <w:r w:rsidRPr="00EF6D7E">
        <w:rPr>
          <w:rFonts w:eastAsia="Calibri"/>
          <w:sz w:val="28"/>
          <w:szCs w:val="28"/>
          <w:vertAlign w:val="superscript"/>
          <w:lang w:eastAsia="en-US"/>
        </w:rPr>
        <w:t>2020</w:t>
      </w:r>
      <w:r w:rsidRPr="00EF6D7E">
        <w:rPr>
          <w:rFonts w:eastAsia="Calibri"/>
          <w:sz w:val="28"/>
          <w:szCs w:val="28"/>
          <w:vertAlign w:val="subscript"/>
          <w:lang w:eastAsia="en-US"/>
        </w:rPr>
        <w:t>Sар</w:t>
      </w:r>
      <w:r w:rsidRPr="00EF6D7E">
        <w:rPr>
          <w:rFonts w:eastAsia="Calibri"/>
          <w:sz w:val="28"/>
          <w:szCs w:val="28"/>
          <w:lang w:eastAsia="en-US"/>
        </w:rPr>
        <w:t>,</w:t>
      </w:r>
    </w:p>
    <w:p w:rsidR="00CE1891" w:rsidRPr="00EF6D7E" w:rsidRDefault="00CE1891" w:rsidP="00CE1891">
      <w:pPr>
        <w:widowControl w:val="0"/>
        <w:ind w:firstLine="709"/>
        <w:jc w:val="center"/>
        <w:rPr>
          <w:rFonts w:eastAsia="Calibri"/>
          <w:sz w:val="28"/>
          <w:szCs w:val="28"/>
          <w:lang w:eastAsia="en-US"/>
        </w:rPr>
      </w:pPr>
      <w:r w:rsidRPr="00EF6D7E">
        <w:rPr>
          <w:rFonts w:eastAsia="Calibri"/>
          <w:sz w:val="28"/>
          <w:szCs w:val="28"/>
          <w:lang w:eastAsia="en-US"/>
        </w:rPr>
        <w:t>1,07 = 545,4 /509,4</w:t>
      </w:r>
    </w:p>
    <w:p w:rsidR="00CE1891" w:rsidRPr="00EF6D7E" w:rsidRDefault="00CE1891" w:rsidP="00CE1891">
      <w:pPr>
        <w:widowControl w:val="0"/>
        <w:ind w:firstLine="709"/>
        <w:jc w:val="center"/>
        <w:rPr>
          <w:rFonts w:eastAsia="Calibri"/>
          <w:sz w:val="28"/>
          <w:szCs w:val="28"/>
          <w:lang w:eastAsia="en-US"/>
        </w:rPr>
      </w:pPr>
    </w:p>
    <w:p w:rsidR="00CE1891" w:rsidRPr="00EF6D7E" w:rsidRDefault="00CE1891" w:rsidP="00CE1891">
      <w:pPr>
        <w:widowControl w:val="0"/>
        <w:ind w:firstLine="709"/>
        <w:jc w:val="both"/>
        <w:rPr>
          <w:rFonts w:eastAsia="Calibri"/>
          <w:sz w:val="28"/>
          <w:szCs w:val="28"/>
          <w:lang w:eastAsia="en-US"/>
        </w:rPr>
      </w:pPr>
      <w:r w:rsidRPr="00EF6D7E">
        <w:rPr>
          <w:rFonts w:eastAsia="Calibri"/>
          <w:sz w:val="28"/>
          <w:szCs w:val="28"/>
          <w:lang w:eastAsia="en-US"/>
        </w:rPr>
        <w:t>где:</w:t>
      </w:r>
    </w:p>
    <w:p w:rsidR="00CE1891" w:rsidRPr="00EF6D7E" w:rsidRDefault="00CE1891" w:rsidP="00CE1891">
      <w:pPr>
        <w:widowControl w:val="0"/>
        <w:ind w:firstLine="709"/>
        <w:jc w:val="both"/>
        <w:rPr>
          <w:rFonts w:eastAsia="Calibri"/>
          <w:sz w:val="28"/>
          <w:szCs w:val="28"/>
          <w:lang w:eastAsia="en-US"/>
        </w:rPr>
      </w:pPr>
      <w:r w:rsidRPr="00EF6D7E">
        <w:rPr>
          <w:rFonts w:eastAsia="Calibri"/>
          <w:sz w:val="28"/>
          <w:szCs w:val="28"/>
          <w:lang w:eastAsia="en-US"/>
        </w:rPr>
        <w:t>Q</w:t>
      </w:r>
      <w:r w:rsidRPr="00EF6D7E">
        <w:rPr>
          <w:rFonts w:eastAsia="Calibri"/>
          <w:sz w:val="28"/>
          <w:szCs w:val="28"/>
          <w:vertAlign w:val="superscript"/>
          <w:lang w:eastAsia="en-US"/>
        </w:rPr>
        <w:t>2021</w:t>
      </w:r>
      <w:r w:rsidRPr="00EF6D7E">
        <w:rPr>
          <w:rFonts w:eastAsia="Calibri"/>
          <w:sz w:val="28"/>
          <w:szCs w:val="28"/>
          <w:vertAlign w:val="subscript"/>
          <w:lang w:eastAsia="en-US"/>
        </w:rPr>
        <w:t>Sар</w:t>
      </w:r>
      <w:r w:rsidRPr="00EF6D7E">
        <w:rPr>
          <w:rFonts w:eastAsia="Calibri"/>
          <w:sz w:val="28"/>
          <w:szCs w:val="28"/>
          <w:lang w:eastAsia="en-US"/>
        </w:rPr>
        <w:t xml:space="preserve"> </w:t>
      </w:r>
      <w:r w:rsidRPr="00EF6D7E">
        <w:rPr>
          <w:rFonts w:eastAsia="Constantia"/>
          <w:i/>
          <w:iCs/>
          <w:sz w:val="28"/>
          <w:szCs w:val="28"/>
          <w:lang w:bidi="ru-RU"/>
        </w:rPr>
        <w:t>-</w:t>
      </w:r>
      <w:r w:rsidRPr="00EF6D7E">
        <w:rPr>
          <w:rFonts w:eastAsia="Calibri"/>
          <w:sz w:val="28"/>
          <w:szCs w:val="28"/>
          <w:lang w:eastAsia="en-US"/>
        </w:rPr>
        <w:t xml:space="preserve"> площадь лесных участков, находящихся в федеральной собственности, предоставленных по договорам аренды, за 2021 год, 545,4 га;</w:t>
      </w:r>
    </w:p>
    <w:p w:rsidR="00CE1891" w:rsidRPr="00EF6D7E" w:rsidRDefault="00CE1891" w:rsidP="00CE1891">
      <w:pPr>
        <w:widowControl w:val="0"/>
        <w:ind w:firstLine="709"/>
        <w:jc w:val="both"/>
        <w:rPr>
          <w:rFonts w:eastAsia="Calibri"/>
          <w:sz w:val="28"/>
          <w:szCs w:val="28"/>
          <w:lang w:eastAsia="en-US"/>
        </w:rPr>
      </w:pPr>
      <w:r w:rsidRPr="00EF6D7E">
        <w:rPr>
          <w:rFonts w:eastAsia="Calibri"/>
          <w:sz w:val="28"/>
          <w:szCs w:val="28"/>
          <w:lang w:eastAsia="en-US"/>
        </w:rPr>
        <w:t>Q</w:t>
      </w:r>
      <w:r w:rsidRPr="00EF6D7E">
        <w:rPr>
          <w:rFonts w:eastAsia="Calibri"/>
          <w:sz w:val="28"/>
          <w:szCs w:val="28"/>
          <w:vertAlign w:val="superscript"/>
          <w:lang w:eastAsia="en-US"/>
        </w:rPr>
        <w:t>2020</w:t>
      </w:r>
      <w:r w:rsidRPr="00EF6D7E">
        <w:rPr>
          <w:rFonts w:eastAsia="Calibri"/>
          <w:sz w:val="28"/>
          <w:szCs w:val="28"/>
          <w:vertAlign w:val="subscript"/>
          <w:lang w:eastAsia="en-US"/>
        </w:rPr>
        <w:t>Sар</w:t>
      </w:r>
      <w:r w:rsidRPr="00EF6D7E">
        <w:rPr>
          <w:rFonts w:eastAsia="Calibri"/>
          <w:sz w:val="28"/>
          <w:szCs w:val="28"/>
          <w:lang w:eastAsia="en-US"/>
        </w:rPr>
        <w:t xml:space="preserve"> </w:t>
      </w:r>
      <w:r w:rsidRPr="00EF6D7E">
        <w:rPr>
          <w:rFonts w:eastAsia="Constantia"/>
          <w:i/>
          <w:iCs/>
          <w:sz w:val="28"/>
          <w:szCs w:val="28"/>
          <w:lang w:bidi="ru-RU"/>
        </w:rPr>
        <w:t>-</w:t>
      </w:r>
      <w:r w:rsidRPr="00EF6D7E">
        <w:rPr>
          <w:rFonts w:eastAsia="Calibri"/>
          <w:sz w:val="28"/>
          <w:szCs w:val="28"/>
          <w:lang w:eastAsia="en-US"/>
        </w:rPr>
        <w:t xml:space="preserve"> площадь лесных участков, находящихся в федеральной собственности, предоставленных по договорам аренды, за 2020 год, 509,4 га.</w:t>
      </w:r>
    </w:p>
    <w:p w:rsidR="00CE1891" w:rsidRPr="00EF6D7E" w:rsidRDefault="00CE1891" w:rsidP="00CE1891">
      <w:pPr>
        <w:widowControl w:val="0"/>
        <w:ind w:firstLine="709"/>
        <w:jc w:val="both"/>
        <w:rPr>
          <w:rFonts w:eastAsia="Calibri"/>
          <w:color w:val="FF0000"/>
          <w:sz w:val="28"/>
          <w:szCs w:val="28"/>
          <w:lang w:eastAsia="en-US"/>
        </w:rPr>
      </w:pPr>
    </w:p>
    <w:p w:rsidR="00CE1891" w:rsidRPr="00EF6D7E" w:rsidRDefault="00CE1891" w:rsidP="00CE1891">
      <w:pPr>
        <w:widowControl w:val="0"/>
        <w:ind w:firstLine="709"/>
        <w:jc w:val="both"/>
        <w:rPr>
          <w:rFonts w:eastAsia="Calibri"/>
          <w:sz w:val="28"/>
          <w:szCs w:val="28"/>
          <w:lang w:eastAsia="en-US"/>
        </w:rPr>
      </w:pPr>
      <w:r w:rsidRPr="00EF6D7E">
        <w:rPr>
          <w:rFonts w:eastAsia="Calibri"/>
          <w:sz w:val="28"/>
          <w:szCs w:val="28"/>
          <w:lang w:eastAsia="en-US"/>
        </w:rPr>
        <w:t>в) Т</w:t>
      </w:r>
      <w:r w:rsidRPr="00EF6D7E">
        <w:rPr>
          <w:rFonts w:eastAsia="Calibri"/>
          <w:sz w:val="28"/>
          <w:szCs w:val="28"/>
          <w:vertAlign w:val="subscript"/>
          <w:lang w:eastAsia="en-US"/>
        </w:rPr>
        <w:t>Sар</w:t>
      </w:r>
      <w:r w:rsidRPr="00EF6D7E">
        <w:rPr>
          <w:rFonts w:eastAsia="Calibri"/>
          <w:sz w:val="28"/>
          <w:szCs w:val="28"/>
          <w:vertAlign w:val="superscript"/>
          <w:lang w:eastAsia="en-US"/>
        </w:rPr>
        <w:t>2022</w:t>
      </w:r>
      <w:r w:rsidRPr="00EF6D7E">
        <w:rPr>
          <w:rFonts w:eastAsia="Calibri"/>
          <w:sz w:val="28"/>
          <w:szCs w:val="28"/>
          <w:lang w:eastAsia="en-US"/>
        </w:rPr>
        <w:t xml:space="preserve"> </w:t>
      </w:r>
      <w:r w:rsidRPr="00EF6D7E">
        <w:rPr>
          <w:rFonts w:eastAsia="Constantia"/>
          <w:i/>
          <w:iCs/>
          <w:sz w:val="28"/>
          <w:szCs w:val="28"/>
          <w:lang w:bidi="ru-RU"/>
        </w:rPr>
        <w:t>-</w:t>
      </w:r>
      <w:r w:rsidRPr="00EF6D7E">
        <w:rPr>
          <w:rFonts w:eastAsia="Calibri"/>
          <w:sz w:val="28"/>
          <w:szCs w:val="28"/>
          <w:lang w:eastAsia="en-US"/>
        </w:rPr>
        <w:t xml:space="preserve"> темп роста (снижения) площади лесных участков, находящихся в федеральной собственности, предоставленных по договорам аренды, за 2022 год (ед.), 0,97:</w:t>
      </w:r>
    </w:p>
    <w:p w:rsidR="00CE1891" w:rsidRPr="00EF6D7E" w:rsidRDefault="00CE1891" w:rsidP="00CE1891">
      <w:pPr>
        <w:widowControl w:val="0"/>
        <w:ind w:firstLine="709"/>
        <w:jc w:val="both"/>
        <w:rPr>
          <w:rFonts w:eastAsia="Calibri"/>
          <w:sz w:val="28"/>
          <w:szCs w:val="28"/>
          <w:lang w:eastAsia="en-US"/>
        </w:rPr>
      </w:pPr>
    </w:p>
    <w:p w:rsidR="00CE1891" w:rsidRPr="00EF6D7E" w:rsidRDefault="00CE1891" w:rsidP="00CE1891">
      <w:pPr>
        <w:widowControl w:val="0"/>
        <w:ind w:firstLine="709"/>
        <w:jc w:val="center"/>
        <w:rPr>
          <w:rFonts w:eastAsia="Calibri"/>
          <w:sz w:val="28"/>
          <w:szCs w:val="28"/>
          <w:lang w:eastAsia="en-US"/>
        </w:rPr>
      </w:pPr>
      <w:r w:rsidRPr="00EF6D7E">
        <w:rPr>
          <w:rFonts w:eastAsia="Calibri"/>
          <w:sz w:val="28"/>
          <w:szCs w:val="28"/>
          <w:lang w:eastAsia="en-US"/>
        </w:rPr>
        <w:t>Т</w:t>
      </w:r>
      <w:r w:rsidRPr="00EF6D7E">
        <w:rPr>
          <w:rFonts w:eastAsia="Calibri"/>
          <w:sz w:val="28"/>
          <w:szCs w:val="28"/>
          <w:vertAlign w:val="subscript"/>
          <w:lang w:eastAsia="en-US"/>
        </w:rPr>
        <w:t>Sар</w:t>
      </w:r>
      <w:r w:rsidRPr="00EF6D7E">
        <w:rPr>
          <w:rFonts w:eastAsia="Calibri"/>
          <w:sz w:val="28"/>
          <w:szCs w:val="28"/>
          <w:vertAlign w:val="superscript"/>
          <w:lang w:eastAsia="en-US"/>
        </w:rPr>
        <w:t>2022</w:t>
      </w:r>
      <w:r w:rsidRPr="00EF6D7E">
        <w:rPr>
          <w:rFonts w:eastAsia="Calibri"/>
          <w:sz w:val="28"/>
          <w:szCs w:val="28"/>
          <w:lang w:eastAsia="en-US"/>
        </w:rPr>
        <w:t xml:space="preserve"> = Q</w:t>
      </w:r>
      <w:r w:rsidRPr="00EF6D7E">
        <w:rPr>
          <w:rFonts w:eastAsia="Calibri"/>
          <w:sz w:val="28"/>
          <w:szCs w:val="28"/>
          <w:vertAlign w:val="superscript"/>
          <w:lang w:eastAsia="en-US"/>
        </w:rPr>
        <w:t>2022</w:t>
      </w:r>
      <w:r w:rsidRPr="00EF6D7E">
        <w:rPr>
          <w:rFonts w:eastAsia="Calibri"/>
          <w:sz w:val="28"/>
          <w:szCs w:val="28"/>
          <w:vertAlign w:val="subscript"/>
          <w:lang w:eastAsia="en-US"/>
        </w:rPr>
        <w:t>Sар</w:t>
      </w:r>
      <w:r w:rsidRPr="00EF6D7E">
        <w:rPr>
          <w:rFonts w:eastAsia="Calibri"/>
          <w:sz w:val="28"/>
          <w:szCs w:val="28"/>
          <w:lang w:eastAsia="en-US"/>
        </w:rPr>
        <w:t xml:space="preserve"> / Q</w:t>
      </w:r>
      <w:r w:rsidRPr="00EF6D7E">
        <w:rPr>
          <w:rFonts w:eastAsia="Calibri"/>
          <w:sz w:val="28"/>
          <w:szCs w:val="28"/>
          <w:vertAlign w:val="superscript"/>
          <w:lang w:eastAsia="en-US"/>
        </w:rPr>
        <w:t>2021</w:t>
      </w:r>
      <w:r w:rsidRPr="00EF6D7E">
        <w:rPr>
          <w:rFonts w:eastAsia="Calibri"/>
          <w:sz w:val="28"/>
          <w:szCs w:val="28"/>
          <w:vertAlign w:val="subscript"/>
          <w:lang w:eastAsia="en-US"/>
        </w:rPr>
        <w:t>ар</w:t>
      </w:r>
      <w:r w:rsidRPr="00EF6D7E">
        <w:rPr>
          <w:rFonts w:eastAsia="Calibri"/>
          <w:sz w:val="28"/>
          <w:szCs w:val="28"/>
          <w:lang w:eastAsia="en-US"/>
        </w:rPr>
        <w:t>,</w:t>
      </w:r>
    </w:p>
    <w:p w:rsidR="00CE1891" w:rsidRPr="00EF6D7E" w:rsidRDefault="00CE1891" w:rsidP="00CE1891">
      <w:pPr>
        <w:widowControl w:val="0"/>
        <w:ind w:firstLine="709"/>
        <w:jc w:val="center"/>
        <w:rPr>
          <w:rFonts w:eastAsia="Calibri"/>
          <w:sz w:val="28"/>
          <w:szCs w:val="28"/>
          <w:lang w:eastAsia="en-US"/>
        </w:rPr>
      </w:pPr>
      <w:r w:rsidRPr="00EF6D7E">
        <w:rPr>
          <w:rFonts w:eastAsia="Calibri"/>
          <w:sz w:val="28"/>
          <w:szCs w:val="28"/>
          <w:lang w:eastAsia="en-US"/>
        </w:rPr>
        <w:t>0,97 = 526,7/545,4</w:t>
      </w:r>
    </w:p>
    <w:p w:rsidR="00CE1891" w:rsidRPr="00EF6D7E" w:rsidRDefault="00CE1891" w:rsidP="00CE1891">
      <w:pPr>
        <w:widowControl w:val="0"/>
        <w:ind w:firstLine="709"/>
        <w:jc w:val="center"/>
        <w:rPr>
          <w:rFonts w:eastAsia="Calibri"/>
          <w:sz w:val="28"/>
          <w:szCs w:val="28"/>
          <w:lang w:eastAsia="en-US"/>
        </w:rPr>
      </w:pPr>
    </w:p>
    <w:p w:rsidR="00CE1891" w:rsidRPr="00EF6D7E" w:rsidRDefault="00CE1891" w:rsidP="00CE1891">
      <w:pPr>
        <w:widowControl w:val="0"/>
        <w:ind w:firstLine="709"/>
        <w:jc w:val="both"/>
        <w:rPr>
          <w:rFonts w:eastAsia="Calibri"/>
          <w:sz w:val="28"/>
          <w:szCs w:val="28"/>
          <w:lang w:eastAsia="en-US"/>
        </w:rPr>
      </w:pPr>
      <w:r w:rsidRPr="00EF6D7E">
        <w:rPr>
          <w:rFonts w:eastAsia="Calibri"/>
          <w:sz w:val="28"/>
          <w:szCs w:val="28"/>
          <w:lang w:eastAsia="en-US"/>
        </w:rPr>
        <w:t>где:</w:t>
      </w:r>
    </w:p>
    <w:p w:rsidR="00CE1891" w:rsidRPr="00EF6D7E" w:rsidRDefault="00CE1891" w:rsidP="00CE1891">
      <w:pPr>
        <w:widowControl w:val="0"/>
        <w:ind w:firstLine="709"/>
        <w:jc w:val="both"/>
        <w:rPr>
          <w:rFonts w:eastAsia="Calibri"/>
          <w:sz w:val="28"/>
          <w:szCs w:val="28"/>
          <w:lang w:eastAsia="en-US"/>
        </w:rPr>
      </w:pPr>
      <w:r w:rsidRPr="00EF6D7E">
        <w:rPr>
          <w:rFonts w:eastAsia="Calibri"/>
          <w:sz w:val="28"/>
          <w:szCs w:val="28"/>
          <w:lang w:eastAsia="en-US"/>
        </w:rPr>
        <w:t>Q</w:t>
      </w:r>
      <w:r w:rsidRPr="00EF6D7E">
        <w:rPr>
          <w:rFonts w:eastAsia="Calibri"/>
          <w:sz w:val="28"/>
          <w:szCs w:val="28"/>
          <w:vertAlign w:val="superscript"/>
          <w:lang w:eastAsia="en-US"/>
        </w:rPr>
        <w:t>2022</w:t>
      </w:r>
      <w:r w:rsidRPr="00EF6D7E">
        <w:rPr>
          <w:rFonts w:eastAsia="Calibri"/>
          <w:sz w:val="28"/>
          <w:szCs w:val="28"/>
          <w:vertAlign w:val="subscript"/>
          <w:lang w:eastAsia="en-US"/>
        </w:rPr>
        <w:t>Sар</w:t>
      </w:r>
      <w:r w:rsidRPr="00EF6D7E">
        <w:rPr>
          <w:rFonts w:eastAsia="Calibri"/>
          <w:sz w:val="28"/>
          <w:szCs w:val="28"/>
          <w:lang w:eastAsia="en-US"/>
        </w:rPr>
        <w:t xml:space="preserve"> </w:t>
      </w:r>
      <w:r w:rsidRPr="00EF6D7E">
        <w:rPr>
          <w:rFonts w:eastAsia="Constantia"/>
          <w:i/>
          <w:iCs/>
          <w:sz w:val="28"/>
          <w:szCs w:val="28"/>
          <w:lang w:bidi="ru-RU"/>
        </w:rPr>
        <w:t>-</w:t>
      </w:r>
      <w:r w:rsidRPr="00EF6D7E">
        <w:rPr>
          <w:rFonts w:eastAsia="Calibri"/>
          <w:sz w:val="28"/>
          <w:szCs w:val="28"/>
          <w:lang w:eastAsia="en-US"/>
        </w:rPr>
        <w:t xml:space="preserve"> площадь лесных участков, находящихся в федеральной собственности, предоставленных по договорам аренды, за 2022 год, 526,7 га;</w:t>
      </w:r>
    </w:p>
    <w:p w:rsidR="00CE1891" w:rsidRPr="00EF6D7E" w:rsidRDefault="00CE1891" w:rsidP="00CE1891">
      <w:pPr>
        <w:widowControl w:val="0"/>
        <w:ind w:firstLine="709"/>
        <w:jc w:val="both"/>
        <w:rPr>
          <w:rFonts w:eastAsia="Calibri"/>
          <w:sz w:val="28"/>
          <w:szCs w:val="28"/>
          <w:lang w:eastAsia="en-US"/>
        </w:rPr>
      </w:pPr>
      <w:r w:rsidRPr="00EF6D7E">
        <w:rPr>
          <w:rFonts w:eastAsia="Calibri"/>
          <w:sz w:val="28"/>
          <w:szCs w:val="28"/>
          <w:lang w:eastAsia="en-US"/>
        </w:rPr>
        <w:t>Q</w:t>
      </w:r>
      <w:r w:rsidRPr="00EF6D7E">
        <w:rPr>
          <w:rFonts w:eastAsia="Calibri"/>
          <w:sz w:val="28"/>
          <w:szCs w:val="28"/>
          <w:vertAlign w:val="superscript"/>
          <w:lang w:eastAsia="en-US"/>
        </w:rPr>
        <w:t>2021</w:t>
      </w:r>
      <w:r w:rsidRPr="00EF6D7E">
        <w:rPr>
          <w:rFonts w:eastAsia="Calibri"/>
          <w:sz w:val="28"/>
          <w:szCs w:val="28"/>
          <w:vertAlign w:val="subscript"/>
          <w:lang w:eastAsia="en-US"/>
        </w:rPr>
        <w:t>Sар</w:t>
      </w:r>
      <w:r w:rsidRPr="00EF6D7E">
        <w:rPr>
          <w:rFonts w:eastAsia="Calibri"/>
          <w:sz w:val="28"/>
          <w:szCs w:val="28"/>
          <w:lang w:eastAsia="en-US"/>
        </w:rPr>
        <w:t xml:space="preserve"> </w:t>
      </w:r>
      <w:r w:rsidRPr="00EF6D7E">
        <w:rPr>
          <w:rFonts w:eastAsia="Constantia"/>
          <w:i/>
          <w:iCs/>
          <w:sz w:val="28"/>
          <w:szCs w:val="28"/>
          <w:lang w:bidi="ru-RU"/>
        </w:rPr>
        <w:t>-</w:t>
      </w:r>
      <w:r w:rsidRPr="00EF6D7E">
        <w:rPr>
          <w:rFonts w:eastAsia="Calibri"/>
          <w:sz w:val="28"/>
          <w:szCs w:val="28"/>
          <w:lang w:eastAsia="en-US"/>
        </w:rPr>
        <w:t xml:space="preserve"> площадь лесных участков, находящихся в федеральной собственности, предоставленных по договорам аренды, за 2021 год, 545,4 га.</w:t>
      </w:r>
    </w:p>
    <w:p w:rsidR="00CE1891" w:rsidRPr="00EF6D7E" w:rsidRDefault="00CE1891" w:rsidP="00CE1891">
      <w:pPr>
        <w:ind w:firstLine="709"/>
        <w:jc w:val="center"/>
        <w:rPr>
          <w:b/>
          <w:sz w:val="28"/>
          <w:szCs w:val="28"/>
        </w:rPr>
      </w:pPr>
    </w:p>
    <w:p w:rsidR="00CE1891" w:rsidRPr="00F36440" w:rsidRDefault="00CE1891" w:rsidP="00CE1891">
      <w:pPr>
        <w:ind w:firstLine="709"/>
        <w:rPr>
          <w:b/>
          <w:sz w:val="28"/>
          <w:szCs w:val="28"/>
        </w:rPr>
      </w:pPr>
      <w:r>
        <w:rPr>
          <w:b/>
          <w:sz w:val="28"/>
          <w:szCs w:val="28"/>
        </w:rPr>
        <w:t xml:space="preserve"> </w:t>
      </w:r>
      <w:r w:rsidRPr="00F36440">
        <w:rPr>
          <w:b/>
          <w:sz w:val="28"/>
          <w:szCs w:val="28"/>
        </w:rPr>
        <w:t xml:space="preserve">Определение </w:t>
      </w:r>
      <w:r>
        <w:rPr>
          <w:b/>
          <w:sz w:val="28"/>
          <w:szCs w:val="28"/>
        </w:rPr>
        <w:t>прогноза</w:t>
      </w:r>
      <w:r w:rsidRPr="00F36440">
        <w:rPr>
          <w:b/>
          <w:sz w:val="28"/>
          <w:szCs w:val="28"/>
        </w:rPr>
        <w:t xml:space="preserve"> на 202</w:t>
      </w:r>
      <w:r>
        <w:rPr>
          <w:b/>
          <w:sz w:val="28"/>
          <w:szCs w:val="28"/>
        </w:rPr>
        <w:t>4</w:t>
      </w:r>
      <w:r w:rsidRPr="00F36440">
        <w:rPr>
          <w:b/>
          <w:sz w:val="28"/>
          <w:szCs w:val="28"/>
        </w:rPr>
        <w:t xml:space="preserve"> год</w:t>
      </w:r>
    </w:p>
    <w:p w:rsidR="00CE1891" w:rsidRPr="00464704" w:rsidRDefault="00CE1891" w:rsidP="00CE1891">
      <w:pPr>
        <w:ind w:firstLine="709"/>
        <w:jc w:val="both"/>
        <w:rPr>
          <w:sz w:val="28"/>
          <w:szCs w:val="28"/>
        </w:rPr>
      </w:pPr>
    </w:p>
    <w:p w:rsidR="00CE1891" w:rsidRPr="00EC04EF" w:rsidRDefault="00CE1891" w:rsidP="00CE1891">
      <w:pPr>
        <w:ind w:firstLine="709"/>
        <w:jc w:val="both"/>
        <w:rPr>
          <w:color w:val="000000"/>
          <w:sz w:val="28"/>
          <w:szCs w:val="28"/>
          <w:lang w:bidi="ru-RU"/>
        </w:rPr>
      </w:pPr>
      <w:r w:rsidRPr="00EC04EF">
        <w:rPr>
          <w:color w:val="000000"/>
          <w:sz w:val="28"/>
          <w:szCs w:val="28"/>
          <w:lang w:bidi="ru-RU"/>
        </w:rPr>
        <w:t>Прогноз доходов по плате за использование лесов, расположенных на землях лесного фонда, в части, превышающей минимальный размер арендной платы (П</w:t>
      </w:r>
      <w:r w:rsidRPr="00EC04EF">
        <w:rPr>
          <w:color w:val="000000"/>
          <w:sz w:val="28"/>
          <w:szCs w:val="28"/>
          <w:vertAlign w:val="subscript"/>
          <w:lang w:bidi="ru-RU"/>
        </w:rPr>
        <w:t>ар</w:t>
      </w:r>
      <w:r w:rsidRPr="00EC04EF">
        <w:rPr>
          <w:color w:val="000000"/>
          <w:sz w:val="28"/>
          <w:szCs w:val="28"/>
          <w:vertAlign w:val="superscript"/>
          <w:lang w:bidi="ru-RU"/>
        </w:rPr>
        <w:t>обл</w:t>
      </w:r>
      <w:r w:rsidRPr="00EC04EF">
        <w:rPr>
          <w:color w:val="000000"/>
          <w:sz w:val="28"/>
          <w:szCs w:val="28"/>
          <w:lang w:bidi="ru-RU"/>
        </w:rPr>
        <w:t>) определяется по формуле:</w:t>
      </w:r>
    </w:p>
    <w:p w:rsidR="00CE1891" w:rsidRPr="00EC04EF" w:rsidRDefault="00CE1891" w:rsidP="00CE1891">
      <w:pPr>
        <w:ind w:firstLine="709"/>
        <w:jc w:val="both"/>
        <w:rPr>
          <w:sz w:val="28"/>
          <w:szCs w:val="28"/>
        </w:rPr>
      </w:pPr>
    </w:p>
    <w:p w:rsidR="00CE1891" w:rsidRPr="00EC04EF" w:rsidRDefault="00CE1891" w:rsidP="00CE1891">
      <w:pPr>
        <w:widowControl w:val="0"/>
        <w:ind w:firstLine="709"/>
        <w:jc w:val="center"/>
        <w:rPr>
          <w:iCs/>
          <w:color w:val="000000"/>
          <w:sz w:val="28"/>
          <w:szCs w:val="28"/>
          <w:lang w:bidi="en-US"/>
        </w:rPr>
      </w:pPr>
      <w:r w:rsidRPr="00EC04EF">
        <w:rPr>
          <w:iCs/>
          <w:color w:val="000000"/>
          <w:sz w:val="28"/>
          <w:szCs w:val="28"/>
          <w:lang w:bidi="ru-RU"/>
        </w:rPr>
        <w:t>П</w:t>
      </w:r>
      <w:r w:rsidRPr="00EC04EF">
        <w:rPr>
          <w:iCs/>
          <w:color w:val="000000"/>
          <w:sz w:val="28"/>
          <w:szCs w:val="28"/>
          <w:vertAlign w:val="subscript"/>
          <w:lang w:bidi="ru-RU"/>
        </w:rPr>
        <w:t>ар</w:t>
      </w:r>
      <w:r w:rsidRPr="00EC04EF">
        <w:rPr>
          <w:iCs/>
          <w:color w:val="000000"/>
          <w:sz w:val="28"/>
          <w:szCs w:val="28"/>
          <w:vertAlign w:val="superscript"/>
          <w:lang w:bidi="ru-RU"/>
        </w:rPr>
        <w:t>обл</w:t>
      </w:r>
      <w:r w:rsidRPr="00EC04EF">
        <w:rPr>
          <w:iCs/>
          <w:color w:val="000000"/>
          <w:sz w:val="28"/>
          <w:szCs w:val="28"/>
          <w:lang w:bidi="en-US"/>
        </w:rPr>
        <w:t xml:space="preserve"> = (</w:t>
      </w:r>
      <w:r w:rsidRPr="00EC04EF">
        <w:rPr>
          <w:iCs/>
          <w:color w:val="000000"/>
          <w:sz w:val="28"/>
          <w:szCs w:val="28"/>
          <w:lang w:val="en-US" w:bidi="en-US"/>
        </w:rPr>
        <w:t>Cs</w:t>
      </w:r>
      <w:r w:rsidRPr="00EC04EF">
        <w:rPr>
          <w:iCs/>
          <w:color w:val="000000"/>
          <w:sz w:val="28"/>
          <w:szCs w:val="28"/>
          <w:lang w:bidi="en-US"/>
        </w:rPr>
        <w:t xml:space="preserve"> </w:t>
      </w:r>
      <w:r w:rsidRPr="00EC04EF">
        <w:rPr>
          <w:iCs/>
          <w:color w:val="000000"/>
          <w:sz w:val="28"/>
          <w:szCs w:val="28"/>
          <w:vertAlign w:val="superscript"/>
          <w:lang w:val="en-US" w:bidi="en-US"/>
        </w:rPr>
        <w:t>ap</w:t>
      </w:r>
      <w:r w:rsidRPr="00EC04EF">
        <w:rPr>
          <w:iCs/>
          <w:color w:val="000000"/>
          <w:sz w:val="28"/>
          <w:szCs w:val="28"/>
          <w:lang w:bidi="en-US"/>
        </w:rPr>
        <w:t>*</w:t>
      </w:r>
      <w:r w:rsidRPr="00EC04EF">
        <w:rPr>
          <w:iCs/>
          <w:color w:val="000000"/>
          <w:sz w:val="28"/>
          <w:szCs w:val="28"/>
          <w:lang w:val="en-US" w:bidi="en-US"/>
        </w:rPr>
        <w:t>K</w:t>
      </w:r>
      <w:r w:rsidRPr="00EC04EF">
        <w:rPr>
          <w:iCs/>
          <w:color w:val="000000"/>
          <w:sz w:val="28"/>
          <w:szCs w:val="28"/>
          <w:vertAlign w:val="subscript"/>
          <w:lang w:bidi="en-US"/>
        </w:rPr>
        <w:t>2</w:t>
      </w:r>
      <w:r w:rsidRPr="00EC04EF">
        <w:rPr>
          <w:iCs/>
          <w:color w:val="000000"/>
          <w:sz w:val="28"/>
          <w:szCs w:val="28"/>
          <w:lang w:bidi="en-US"/>
        </w:rPr>
        <w:t>)*</w:t>
      </w:r>
      <w:r w:rsidRPr="00EC04EF">
        <w:rPr>
          <w:iCs/>
          <w:color w:val="000000"/>
          <w:sz w:val="28"/>
          <w:szCs w:val="28"/>
          <w:lang w:val="en-US" w:bidi="en-US"/>
        </w:rPr>
        <w:t>S</w:t>
      </w:r>
      <w:r w:rsidRPr="00EC04EF">
        <w:rPr>
          <w:iCs/>
          <w:color w:val="000000"/>
          <w:sz w:val="28"/>
          <w:szCs w:val="28"/>
          <w:vertAlign w:val="superscript"/>
          <w:lang w:val="en-US" w:bidi="en-US"/>
        </w:rPr>
        <w:t>cp</w:t>
      </w:r>
      <w:r w:rsidRPr="00EC04EF">
        <w:rPr>
          <w:iCs/>
          <w:color w:val="000000"/>
          <w:sz w:val="28"/>
          <w:szCs w:val="28"/>
          <w:vertAlign w:val="subscript"/>
          <w:lang w:val="en-US" w:bidi="en-US"/>
        </w:rPr>
        <w:t>ap</w:t>
      </w:r>
      <w:r w:rsidRPr="00EC04EF">
        <w:rPr>
          <w:iCs/>
          <w:color w:val="000000"/>
          <w:sz w:val="28"/>
          <w:szCs w:val="28"/>
          <w:lang w:bidi="en-US"/>
        </w:rPr>
        <w:t>*Т</w:t>
      </w:r>
      <w:r w:rsidRPr="00EC04EF">
        <w:rPr>
          <w:iCs/>
          <w:color w:val="000000"/>
          <w:sz w:val="28"/>
          <w:szCs w:val="28"/>
          <w:vertAlign w:val="superscript"/>
          <w:lang w:bidi="en-US"/>
        </w:rPr>
        <w:t>ср</w:t>
      </w:r>
      <w:r w:rsidRPr="00EC04EF">
        <w:rPr>
          <w:iCs/>
          <w:color w:val="000000"/>
          <w:sz w:val="28"/>
          <w:szCs w:val="28"/>
          <w:vertAlign w:val="subscript"/>
          <w:lang w:val="en-US" w:bidi="en-US"/>
        </w:rPr>
        <w:t>Sap</w:t>
      </w:r>
      <w:r w:rsidRPr="00EC04EF">
        <w:rPr>
          <w:iCs/>
          <w:color w:val="000000"/>
          <w:sz w:val="28"/>
          <w:szCs w:val="28"/>
          <w:vertAlign w:val="subscript"/>
          <w:lang w:bidi="en-US"/>
        </w:rPr>
        <w:t xml:space="preserve"> </w:t>
      </w:r>
    </w:p>
    <w:p w:rsidR="00CE1891" w:rsidRPr="00EC04EF" w:rsidRDefault="00CE1891" w:rsidP="00CE1891">
      <w:pPr>
        <w:ind w:firstLine="709"/>
        <w:jc w:val="center"/>
        <w:rPr>
          <w:sz w:val="28"/>
          <w:szCs w:val="28"/>
        </w:rPr>
      </w:pPr>
      <w:r w:rsidRPr="00EC04EF">
        <w:rPr>
          <w:sz w:val="28"/>
          <w:szCs w:val="28"/>
        </w:rPr>
        <w:t>14087,8 = (10,2*2,54)*</w:t>
      </w:r>
      <w:r w:rsidRPr="00EC04EF">
        <w:rPr>
          <w:rFonts w:ascii="Calibri" w:eastAsia="Calibri" w:hAnsi="Calibri"/>
          <w:sz w:val="22"/>
          <w:szCs w:val="22"/>
          <w:lang w:eastAsia="en-US"/>
        </w:rPr>
        <w:t xml:space="preserve"> </w:t>
      </w:r>
      <w:r w:rsidRPr="00EC04EF">
        <w:rPr>
          <w:sz w:val="28"/>
          <w:szCs w:val="28"/>
        </w:rPr>
        <w:t>533,1*1,02</w:t>
      </w:r>
    </w:p>
    <w:p w:rsidR="00CE1891" w:rsidRPr="00EC04EF" w:rsidRDefault="00CE1891" w:rsidP="00CE1891">
      <w:pPr>
        <w:ind w:firstLine="709"/>
        <w:jc w:val="both"/>
        <w:rPr>
          <w:sz w:val="28"/>
          <w:szCs w:val="28"/>
        </w:rPr>
      </w:pPr>
      <w:r w:rsidRPr="00EC04EF">
        <w:rPr>
          <w:sz w:val="28"/>
          <w:szCs w:val="28"/>
        </w:rPr>
        <w:t>где:</w:t>
      </w:r>
    </w:p>
    <w:p w:rsidR="00CE1891" w:rsidRPr="00EC04EF" w:rsidRDefault="00CE1891" w:rsidP="00CE1891">
      <w:pPr>
        <w:ind w:firstLine="709"/>
        <w:jc w:val="both"/>
        <w:rPr>
          <w:iCs/>
          <w:sz w:val="28"/>
          <w:szCs w:val="28"/>
          <w:lang w:bidi="ru-RU"/>
        </w:rPr>
      </w:pPr>
      <w:r w:rsidRPr="00EC04EF">
        <w:rPr>
          <w:iCs/>
          <w:sz w:val="28"/>
          <w:szCs w:val="28"/>
          <w:lang w:bidi="ru-RU"/>
        </w:rPr>
        <w:t xml:space="preserve">Cs </w:t>
      </w:r>
      <w:r w:rsidRPr="00EC04EF">
        <w:rPr>
          <w:iCs/>
          <w:sz w:val="28"/>
          <w:szCs w:val="28"/>
          <w:vertAlign w:val="superscript"/>
          <w:lang w:bidi="ru-RU"/>
        </w:rPr>
        <w:t>ap</w:t>
      </w:r>
      <w:r w:rsidRPr="00EC04EF">
        <w:rPr>
          <w:iCs/>
          <w:sz w:val="28"/>
          <w:szCs w:val="28"/>
          <w:lang w:bidi="ru-RU"/>
        </w:rPr>
        <w:t xml:space="preserve"> </w:t>
      </w:r>
      <w:r w:rsidRPr="00EC04EF">
        <w:rPr>
          <w:i/>
          <w:iCs/>
          <w:sz w:val="28"/>
          <w:szCs w:val="28"/>
          <w:lang w:bidi="ru-RU"/>
        </w:rPr>
        <w:t>-</w:t>
      </w:r>
      <w:r w:rsidRPr="00EC04EF">
        <w:rPr>
          <w:iCs/>
          <w:sz w:val="28"/>
          <w:szCs w:val="28"/>
          <w:lang w:bidi="ru-RU"/>
        </w:rPr>
        <w:t xml:space="preserve"> средняя минимальная ставка платы за единицу площади лесного участка, находящегося в федеральной собственности, по договорам аренды, сложившаяся по итогам предыдущего финансового года и приведенная к уровню 2007 года (руб.), 10,2 тыс. руб.;</w:t>
      </w:r>
      <w:r w:rsidRPr="00EC04EF">
        <w:rPr>
          <w:rFonts w:eastAsia="Calibri"/>
          <w:sz w:val="28"/>
          <w:szCs w:val="28"/>
          <w:lang w:eastAsia="en-US"/>
        </w:rPr>
        <w:t xml:space="preserve"> </w:t>
      </w:r>
    </w:p>
    <w:p w:rsidR="00CE1891" w:rsidRPr="00EC04EF" w:rsidRDefault="00CE1891" w:rsidP="00CE1891">
      <w:pPr>
        <w:ind w:firstLine="709"/>
        <w:jc w:val="both"/>
        <w:rPr>
          <w:rFonts w:eastAsia="Calibri"/>
          <w:sz w:val="28"/>
          <w:szCs w:val="28"/>
          <w:lang w:eastAsia="en-US"/>
        </w:rPr>
      </w:pPr>
      <w:r w:rsidRPr="00EC04EF">
        <w:rPr>
          <w:iCs/>
          <w:sz w:val="28"/>
          <w:szCs w:val="28"/>
          <w:lang w:bidi="ru-RU"/>
        </w:rPr>
        <w:t>К</w:t>
      </w:r>
      <w:r w:rsidRPr="00EC04EF">
        <w:rPr>
          <w:iCs/>
          <w:sz w:val="28"/>
          <w:szCs w:val="28"/>
          <w:vertAlign w:val="subscript"/>
          <w:lang w:bidi="ru-RU"/>
        </w:rPr>
        <w:t>2</w:t>
      </w:r>
      <w:r w:rsidRPr="00EC04EF">
        <w:rPr>
          <w:i/>
          <w:iCs/>
          <w:sz w:val="28"/>
          <w:szCs w:val="28"/>
          <w:lang w:bidi="ru-RU"/>
        </w:rPr>
        <w:t xml:space="preserve"> -</w:t>
      </w:r>
      <w:r w:rsidRPr="00EC04EF">
        <w:rPr>
          <w:sz w:val="28"/>
          <w:szCs w:val="28"/>
          <w:lang w:bidi="ru-RU"/>
        </w:rPr>
        <w:t xml:space="preserve"> коэффициент к ставкам платы за единицу площади лесного участка, находящегося в федеральной собственности, установленный Правительством Российской Федерации, 2,54;</w:t>
      </w:r>
      <w:r w:rsidRPr="00EC04EF">
        <w:rPr>
          <w:rFonts w:eastAsia="Constantia"/>
          <w:iCs/>
          <w:color w:val="000000"/>
          <w:sz w:val="28"/>
          <w:szCs w:val="28"/>
          <w:lang w:bidi="en-US"/>
        </w:rPr>
        <w:t xml:space="preserve"> </w:t>
      </w:r>
    </w:p>
    <w:p w:rsidR="00CE1891" w:rsidRPr="00EC04EF" w:rsidRDefault="00CE1891" w:rsidP="00CE1891">
      <w:pPr>
        <w:widowControl w:val="0"/>
        <w:ind w:firstLine="709"/>
        <w:jc w:val="both"/>
        <w:rPr>
          <w:sz w:val="28"/>
          <w:szCs w:val="28"/>
        </w:rPr>
      </w:pPr>
      <w:r w:rsidRPr="00EC04EF">
        <w:rPr>
          <w:color w:val="000000"/>
          <w:sz w:val="28"/>
          <w:szCs w:val="28"/>
        </w:rPr>
        <w:t>S</w:t>
      </w:r>
      <w:r w:rsidRPr="00EC04EF">
        <w:rPr>
          <w:color w:val="000000"/>
          <w:sz w:val="28"/>
          <w:szCs w:val="28"/>
          <w:vertAlign w:val="superscript"/>
        </w:rPr>
        <w:t>cp</w:t>
      </w:r>
      <w:r w:rsidRPr="00EC04EF">
        <w:rPr>
          <w:color w:val="000000"/>
          <w:sz w:val="28"/>
          <w:szCs w:val="28"/>
          <w:vertAlign w:val="subscript"/>
        </w:rPr>
        <w:t>ap</w:t>
      </w:r>
      <w:r w:rsidRPr="00EC04EF">
        <w:rPr>
          <w:color w:val="000000"/>
          <w:sz w:val="28"/>
          <w:szCs w:val="28"/>
          <w:lang w:bidi="ru-RU"/>
        </w:rPr>
        <w:t xml:space="preserve"> </w:t>
      </w:r>
      <w:r w:rsidRPr="00EC04EF">
        <w:rPr>
          <w:i/>
          <w:iCs/>
          <w:sz w:val="28"/>
          <w:szCs w:val="28"/>
          <w:lang w:bidi="ru-RU"/>
        </w:rPr>
        <w:t>-</w:t>
      </w:r>
      <w:r w:rsidRPr="00EC04EF">
        <w:rPr>
          <w:color w:val="000000"/>
          <w:sz w:val="28"/>
          <w:szCs w:val="28"/>
          <w:lang w:bidi="ru-RU"/>
        </w:rPr>
        <w:t xml:space="preserve"> средняя площадь лесных участков, находящихся в федеральной </w:t>
      </w:r>
      <w:r w:rsidRPr="00EC04EF">
        <w:rPr>
          <w:color w:val="000000"/>
          <w:sz w:val="28"/>
          <w:szCs w:val="28"/>
          <w:lang w:bidi="ru-RU"/>
        </w:rPr>
        <w:lastRenderedPageBreak/>
        <w:t>собственности, предоставленных по договорам аренды (гектар</w:t>
      </w:r>
      <w:r w:rsidRPr="00EC04EF">
        <w:rPr>
          <w:sz w:val="28"/>
          <w:szCs w:val="28"/>
          <w:lang w:bidi="ru-RU"/>
        </w:rPr>
        <w:t>), 533,1 га;</w:t>
      </w:r>
    </w:p>
    <w:p w:rsidR="00CE1891" w:rsidRPr="00EC04EF" w:rsidRDefault="00CE1891" w:rsidP="00CE1891">
      <w:pPr>
        <w:ind w:firstLine="709"/>
        <w:jc w:val="center"/>
        <w:rPr>
          <w:rFonts w:eastAsia="Constantia"/>
          <w:iCs/>
          <w:color w:val="000000"/>
          <w:sz w:val="28"/>
          <w:szCs w:val="28"/>
          <w:lang w:eastAsia="en-US" w:bidi="en-US"/>
        </w:rPr>
      </w:pPr>
    </w:p>
    <w:p w:rsidR="00CE1891" w:rsidRPr="00EC04EF" w:rsidRDefault="00CE1891" w:rsidP="00CE1891">
      <w:pPr>
        <w:ind w:firstLine="709"/>
        <w:jc w:val="center"/>
        <w:rPr>
          <w:rFonts w:eastAsia="Constantia"/>
          <w:iCs/>
          <w:sz w:val="28"/>
          <w:szCs w:val="28"/>
        </w:rPr>
      </w:pPr>
      <w:r w:rsidRPr="00EC04EF">
        <w:rPr>
          <w:rFonts w:eastAsia="Constantia"/>
          <w:iCs/>
          <w:sz w:val="28"/>
          <w:szCs w:val="28"/>
          <w:lang w:val="en-US" w:eastAsia="en-US" w:bidi="en-US"/>
        </w:rPr>
        <w:t>S</w:t>
      </w:r>
      <w:r w:rsidRPr="00EC04EF">
        <w:rPr>
          <w:rFonts w:eastAsia="Constantia"/>
          <w:iCs/>
          <w:sz w:val="28"/>
          <w:szCs w:val="28"/>
          <w:vertAlign w:val="superscript"/>
          <w:lang w:val="en-US" w:eastAsia="en-US" w:bidi="en-US"/>
        </w:rPr>
        <w:t>cp</w:t>
      </w:r>
      <w:r w:rsidRPr="00EC04EF">
        <w:rPr>
          <w:rFonts w:eastAsia="Constantia"/>
          <w:iCs/>
          <w:sz w:val="28"/>
          <w:szCs w:val="28"/>
          <w:lang w:eastAsia="en-US" w:bidi="en-US"/>
        </w:rPr>
        <w:t xml:space="preserve"> </w:t>
      </w:r>
      <w:r w:rsidRPr="00EC04EF">
        <w:rPr>
          <w:rFonts w:eastAsia="Constantia"/>
          <w:iCs/>
          <w:sz w:val="28"/>
          <w:szCs w:val="28"/>
          <w:vertAlign w:val="subscript"/>
          <w:lang w:bidi="ru-RU"/>
        </w:rPr>
        <w:t>ар</w:t>
      </w:r>
      <w:r w:rsidRPr="00EC04EF">
        <w:rPr>
          <w:sz w:val="28"/>
          <w:szCs w:val="28"/>
          <w:vertAlign w:val="superscript"/>
        </w:rPr>
        <w:t>=</w:t>
      </w:r>
      <w:r w:rsidRPr="00EC04EF">
        <w:rPr>
          <w:sz w:val="28"/>
          <w:szCs w:val="28"/>
        </w:rPr>
        <w:t xml:space="preserve"> ∑</w:t>
      </w:r>
      <w:r w:rsidRPr="00EC04EF">
        <w:rPr>
          <w:sz w:val="28"/>
          <w:szCs w:val="28"/>
          <w:vertAlign w:val="superscript"/>
        </w:rPr>
        <w:t>3</w:t>
      </w:r>
      <w:r w:rsidRPr="00EC04EF">
        <w:rPr>
          <w:sz w:val="28"/>
          <w:szCs w:val="28"/>
          <w:vertAlign w:val="subscript"/>
          <w:lang w:val="en-US"/>
        </w:rPr>
        <w:t>t</w:t>
      </w:r>
      <w:r w:rsidRPr="00EC04EF">
        <w:rPr>
          <w:sz w:val="28"/>
          <w:szCs w:val="28"/>
          <w:vertAlign w:val="subscript"/>
        </w:rPr>
        <w:t>=1</w:t>
      </w:r>
      <w:r w:rsidRPr="00EC04EF">
        <w:rPr>
          <w:rFonts w:eastAsia="Constantia"/>
          <w:iCs/>
          <w:sz w:val="28"/>
          <w:szCs w:val="28"/>
          <w:lang w:val="en-US" w:eastAsia="en-US" w:bidi="en-US"/>
        </w:rPr>
        <w:t>S</w:t>
      </w:r>
      <w:r w:rsidRPr="00EC04EF">
        <w:rPr>
          <w:rFonts w:eastAsia="Constantia"/>
          <w:iCs/>
          <w:sz w:val="28"/>
          <w:szCs w:val="28"/>
          <w:lang w:eastAsia="en-US" w:bidi="en-US"/>
        </w:rPr>
        <w:t xml:space="preserve"> </w:t>
      </w:r>
      <w:r w:rsidRPr="00EC04EF">
        <w:rPr>
          <w:rFonts w:eastAsia="Constantia"/>
          <w:iCs/>
          <w:sz w:val="28"/>
          <w:szCs w:val="28"/>
          <w:vertAlign w:val="subscript"/>
          <w:lang w:bidi="ru-RU"/>
        </w:rPr>
        <w:t>ар</w:t>
      </w:r>
      <w:r w:rsidRPr="00EC04EF">
        <w:rPr>
          <w:rFonts w:eastAsia="Constantia"/>
          <w:iCs/>
          <w:sz w:val="28"/>
          <w:szCs w:val="28"/>
        </w:rPr>
        <w:t xml:space="preserve"> /3,</w:t>
      </w:r>
    </w:p>
    <w:p w:rsidR="00CE1891" w:rsidRPr="00EC04EF" w:rsidRDefault="00CE1891" w:rsidP="00CE1891">
      <w:pPr>
        <w:ind w:firstLine="709"/>
        <w:jc w:val="center"/>
        <w:rPr>
          <w:rFonts w:eastAsia="Constantia"/>
          <w:iCs/>
          <w:sz w:val="28"/>
          <w:szCs w:val="28"/>
        </w:rPr>
      </w:pPr>
      <w:r w:rsidRPr="00EC04EF">
        <w:rPr>
          <w:rFonts w:eastAsia="Constantia"/>
          <w:iCs/>
          <w:sz w:val="28"/>
          <w:szCs w:val="28"/>
        </w:rPr>
        <w:t xml:space="preserve">533,1= (545,4 + 526,7 + 527,2)/3  </w:t>
      </w:r>
    </w:p>
    <w:p w:rsidR="00CE1891" w:rsidRPr="00EC04EF" w:rsidRDefault="00CE1891" w:rsidP="00CE1891">
      <w:pPr>
        <w:ind w:firstLine="709"/>
        <w:jc w:val="both"/>
        <w:rPr>
          <w:i/>
          <w:color w:val="000000"/>
          <w:sz w:val="28"/>
          <w:szCs w:val="28"/>
          <w:vertAlign w:val="superscript"/>
        </w:rPr>
      </w:pPr>
    </w:p>
    <w:p w:rsidR="00CE1891" w:rsidRPr="00EC04EF" w:rsidRDefault="00CE1891" w:rsidP="00CE1891">
      <w:pPr>
        <w:widowControl w:val="0"/>
        <w:ind w:firstLine="709"/>
        <w:rPr>
          <w:rFonts w:eastAsia="Calibri"/>
          <w:sz w:val="28"/>
          <w:szCs w:val="28"/>
          <w:lang w:eastAsia="en-US"/>
        </w:rPr>
      </w:pPr>
      <w:r w:rsidRPr="00EC04EF">
        <w:rPr>
          <w:rFonts w:eastAsia="Calibri"/>
          <w:color w:val="000000"/>
          <w:sz w:val="28"/>
          <w:szCs w:val="28"/>
          <w:lang w:eastAsia="en-US" w:bidi="ru-RU"/>
        </w:rPr>
        <w:t>где:</w:t>
      </w:r>
    </w:p>
    <w:p w:rsidR="00CE1891" w:rsidRPr="00EC04EF" w:rsidRDefault="00CE1891" w:rsidP="00CE1891">
      <w:pPr>
        <w:widowControl w:val="0"/>
        <w:ind w:firstLine="709"/>
        <w:jc w:val="both"/>
        <w:rPr>
          <w:rFonts w:eastAsia="Calibri"/>
          <w:color w:val="000000"/>
          <w:sz w:val="28"/>
          <w:szCs w:val="28"/>
          <w:lang w:eastAsia="en-US" w:bidi="ru-RU"/>
        </w:rPr>
      </w:pPr>
      <w:r w:rsidRPr="00EC04EF">
        <w:rPr>
          <w:rFonts w:eastAsia="Calibri"/>
          <w:sz w:val="28"/>
          <w:szCs w:val="28"/>
          <w:lang w:eastAsia="en-US"/>
        </w:rPr>
        <w:t>∑</w:t>
      </w:r>
      <w:r w:rsidRPr="00EC04EF">
        <w:rPr>
          <w:rFonts w:eastAsia="Calibri"/>
          <w:sz w:val="28"/>
          <w:szCs w:val="28"/>
          <w:vertAlign w:val="superscript"/>
          <w:lang w:eastAsia="en-US"/>
        </w:rPr>
        <w:t>3</w:t>
      </w:r>
      <w:r w:rsidRPr="00EC04EF">
        <w:rPr>
          <w:rFonts w:eastAsia="Calibri"/>
          <w:sz w:val="28"/>
          <w:szCs w:val="28"/>
          <w:vertAlign w:val="subscript"/>
          <w:lang w:val="en-US" w:eastAsia="en-US"/>
        </w:rPr>
        <w:t>t</w:t>
      </w:r>
      <w:r w:rsidRPr="00EC04EF">
        <w:rPr>
          <w:rFonts w:eastAsia="Calibri"/>
          <w:sz w:val="28"/>
          <w:szCs w:val="28"/>
          <w:vertAlign w:val="subscript"/>
          <w:lang w:eastAsia="en-US"/>
        </w:rPr>
        <w:t>=1</w:t>
      </w:r>
      <w:r w:rsidRPr="00EC04EF">
        <w:rPr>
          <w:rFonts w:eastAsia="Constantia"/>
          <w:iCs/>
          <w:color w:val="000000"/>
          <w:sz w:val="28"/>
          <w:szCs w:val="28"/>
          <w:lang w:val="en-US" w:bidi="en-US"/>
        </w:rPr>
        <w:t>S</w:t>
      </w:r>
      <w:r w:rsidRPr="00EC04EF">
        <w:rPr>
          <w:rFonts w:eastAsia="Constantia"/>
          <w:iCs/>
          <w:color w:val="000000"/>
          <w:sz w:val="28"/>
          <w:szCs w:val="28"/>
          <w:vertAlign w:val="subscript"/>
          <w:lang w:bidi="ru-RU"/>
        </w:rPr>
        <w:t xml:space="preserve">ар </w:t>
      </w:r>
      <w:r w:rsidRPr="00EC04EF">
        <w:rPr>
          <w:rFonts w:eastAsia="Constantia"/>
          <w:i/>
          <w:iCs/>
          <w:color w:val="000000"/>
          <w:sz w:val="28"/>
          <w:szCs w:val="28"/>
          <w:lang w:bidi="ru-RU"/>
        </w:rPr>
        <w:t>-</w:t>
      </w:r>
      <w:r w:rsidRPr="00EC04EF">
        <w:rPr>
          <w:rFonts w:eastAsia="Constantia"/>
          <w:iCs/>
          <w:color w:val="000000"/>
          <w:sz w:val="28"/>
          <w:szCs w:val="28"/>
          <w:lang w:bidi="ru-RU"/>
        </w:rPr>
        <w:t xml:space="preserve"> с</w:t>
      </w:r>
      <w:r w:rsidRPr="00EC04EF">
        <w:rPr>
          <w:rFonts w:eastAsia="Calibri"/>
          <w:color w:val="000000"/>
          <w:sz w:val="28"/>
          <w:szCs w:val="28"/>
          <w:lang w:eastAsia="en-US" w:bidi="ru-RU"/>
        </w:rPr>
        <w:t>умма годовых величин площади лесных участков, находящихся в федеральной собственности, предоставленных по договорам аренды за  2021 (545,4 га), 2022 (526,7 га), 2023 (527,2 га) годы, предшествующих прогнозируемому году (</w:t>
      </w:r>
      <w:r w:rsidRPr="00EC04EF">
        <w:rPr>
          <w:rFonts w:eastAsia="Calibri"/>
          <w:sz w:val="28"/>
          <w:szCs w:val="28"/>
          <w:lang w:eastAsia="en-US" w:bidi="ru-RU"/>
        </w:rPr>
        <w:t xml:space="preserve">гектар), 1599,3 </w:t>
      </w:r>
      <w:r w:rsidRPr="00EC04EF">
        <w:rPr>
          <w:rFonts w:eastAsia="Calibri"/>
          <w:color w:val="000000"/>
          <w:sz w:val="28"/>
          <w:szCs w:val="28"/>
          <w:lang w:eastAsia="en-US" w:bidi="ru-RU"/>
        </w:rPr>
        <w:t>га;</w:t>
      </w:r>
      <w:r w:rsidRPr="00EC04EF">
        <w:rPr>
          <w:rFonts w:eastAsia="Constantia"/>
          <w:iCs/>
          <w:color w:val="000000"/>
          <w:sz w:val="28"/>
          <w:szCs w:val="28"/>
          <w:lang w:bidi="en-US"/>
        </w:rPr>
        <w:t xml:space="preserve"> </w:t>
      </w:r>
    </w:p>
    <w:p w:rsidR="00CE1891" w:rsidRPr="00EC04EF" w:rsidRDefault="00CE1891" w:rsidP="00CE1891">
      <w:pPr>
        <w:widowControl w:val="0"/>
        <w:ind w:firstLine="709"/>
        <w:jc w:val="both"/>
        <w:rPr>
          <w:rFonts w:eastAsia="Calibri"/>
          <w:sz w:val="28"/>
          <w:szCs w:val="28"/>
          <w:lang w:eastAsia="en-US"/>
        </w:rPr>
      </w:pPr>
      <w:r w:rsidRPr="00EC04EF">
        <w:rPr>
          <w:rFonts w:eastAsia="Calibri"/>
          <w:sz w:val="28"/>
          <w:szCs w:val="28"/>
          <w:lang w:eastAsia="en-US"/>
        </w:rPr>
        <w:t>Т</w:t>
      </w:r>
      <w:r w:rsidRPr="00EC04EF">
        <w:rPr>
          <w:rFonts w:eastAsia="Calibri"/>
          <w:sz w:val="28"/>
          <w:szCs w:val="28"/>
          <w:vertAlign w:val="superscript"/>
          <w:lang w:eastAsia="en-US"/>
        </w:rPr>
        <w:t>ср</w:t>
      </w:r>
      <w:r w:rsidRPr="00EC04EF">
        <w:rPr>
          <w:rFonts w:eastAsia="Calibri"/>
          <w:sz w:val="28"/>
          <w:szCs w:val="28"/>
          <w:vertAlign w:val="subscript"/>
          <w:lang w:eastAsia="en-US"/>
        </w:rPr>
        <w:t>Sар</w:t>
      </w:r>
      <w:r w:rsidRPr="00EC04EF">
        <w:rPr>
          <w:rFonts w:eastAsia="Calibri"/>
          <w:sz w:val="28"/>
          <w:szCs w:val="28"/>
          <w:lang w:eastAsia="en-US"/>
        </w:rPr>
        <w:t xml:space="preserve"> </w:t>
      </w:r>
      <w:r w:rsidRPr="00EC04EF">
        <w:rPr>
          <w:rFonts w:eastAsia="Constantia"/>
          <w:i/>
          <w:iCs/>
          <w:color w:val="000000"/>
          <w:sz w:val="28"/>
          <w:szCs w:val="28"/>
          <w:lang w:bidi="ru-RU"/>
        </w:rPr>
        <w:t>-</w:t>
      </w:r>
      <w:r w:rsidRPr="00EC04EF">
        <w:rPr>
          <w:rFonts w:eastAsia="Calibri"/>
          <w:sz w:val="28"/>
          <w:szCs w:val="28"/>
          <w:lang w:eastAsia="en-US"/>
        </w:rPr>
        <w:t xml:space="preserve"> средний темп роста (снижения) площади лесных участков, находящихся в федеральной собственности, предоставленных по договорам аренды, за три отчетных года, предшествующих прогнозируемому году (ед.), 1,02:</w:t>
      </w:r>
    </w:p>
    <w:p w:rsidR="00CE1891" w:rsidRPr="00EC04EF" w:rsidRDefault="00CE1891" w:rsidP="00CE1891">
      <w:pPr>
        <w:widowControl w:val="0"/>
        <w:ind w:firstLine="709"/>
        <w:jc w:val="both"/>
        <w:rPr>
          <w:rFonts w:eastAsia="Calibri"/>
          <w:sz w:val="28"/>
          <w:szCs w:val="28"/>
          <w:lang w:eastAsia="en-US"/>
        </w:rPr>
      </w:pPr>
    </w:p>
    <w:p w:rsidR="00CE1891" w:rsidRPr="00EC04EF" w:rsidRDefault="00CE1891" w:rsidP="00CE1891">
      <w:pPr>
        <w:ind w:firstLine="709"/>
        <w:jc w:val="center"/>
        <w:rPr>
          <w:rFonts w:eastAsia="Constantia"/>
          <w:iCs/>
          <w:sz w:val="28"/>
          <w:szCs w:val="28"/>
        </w:rPr>
      </w:pPr>
      <w:r w:rsidRPr="00EC04EF">
        <w:rPr>
          <w:rFonts w:eastAsia="Calibri"/>
          <w:sz w:val="28"/>
          <w:szCs w:val="28"/>
          <w:lang w:eastAsia="en-US"/>
        </w:rPr>
        <w:t>Т</w:t>
      </w:r>
      <w:r w:rsidRPr="00EC04EF">
        <w:rPr>
          <w:rFonts w:eastAsia="Calibri"/>
          <w:sz w:val="28"/>
          <w:szCs w:val="28"/>
          <w:vertAlign w:val="superscript"/>
          <w:lang w:eastAsia="en-US"/>
        </w:rPr>
        <w:t>ср</w:t>
      </w:r>
      <w:r w:rsidRPr="00EC04EF">
        <w:rPr>
          <w:rFonts w:eastAsia="Calibri"/>
          <w:sz w:val="28"/>
          <w:szCs w:val="28"/>
          <w:vertAlign w:val="subscript"/>
          <w:lang w:eastAsia="en-US"/>
        </w:rPr>
        <w:t>Sар</w:t>
      </w:r>
      <w:r w:rsidRPr="00EC04EF">
        <w:rPr>
          <w:sz w:val="28"/>
          <w:szCs w:val="28"/>
          <w:vertAlign w:val="superscript"/>
        </w:rPr>
        <w:t xml:space="preserve"> =</w:t>
      </w:r>
      <w:r w:rsidRPr="00EC04EF">
        <w:rPr>
          <w:sz w:val="28"/>
          <w:szCs w:val="28"/>
        </w:rPr>
        <w:t xml:space="preserve"> ∑</w:t>
      </w:r>
      <w:r w:rsidRPr="00EC04EF">
        <w:rPr>
          <w:sz w:val="28"/>
          <w:szCs w:val="28"/>
          <w:vertAlign w:val="superscript"/>
        </w:rPr>
        <w:t>3</w:t>
      </w:r>
      <w:r w:rsidRPr="00EC04EF">
        <w:rPr>
          <w:sz w:val="28"/>
          <w:szCs w:val="28"/>
          <w:vertAlign w:val="subscript"/>
          <w:lang w:val="en-US"/>
        </w:rPr>
        <w:t>t</w:t>
      </w:r>
      <w:r w:rsidRPr="00EC04EF">
        <w:rPr>
          <w:sz w:val="28"/>
          <w:szCs w:val="28"/>
          <w:vertAlign w:val="subscript"/>
        </w:rPr>
        <w:t>=1</w:t>
      </w:r>
      <w:r w:rsidRPr="00EC04EF">
        <w:rPr>
          <w:rFonts w:eastAsia="Calibri"/>
          <w:sz w:val="28"/>
          <w:szCs w:val="28"/>
          <w:lang w:eastAsia="en-US"/>
        </w:rPr>
        <w:t xml:space="preserve"> Т</w:t>
      </w:r>
      <w:r w:rsidRPr="00EC04EF">
        <w:rPr>
          <w:rFonts w:eastAsia="Calibri"/>
          <w:sz w:val="28"/>
          <w:szCs w:val="28"/>
          <w:vertAlign w:val="subscript"/>
          <w:lang w:eastAsia="en-US"/>
        </w:rPr>
        <w:t>Sар</w:t>
      </w:r>
      <w:r w:rsidRPr="00EC04EF">
        <w:rPr>
          <w:rFonts w:eastAsia="Constantia"/>
          <w:iCs/>
          <w:sz w:val="28"/>
          <w:szCs w:val="28"/>
        </w:rPr>
        <w:t xml:space="preserve"> /3,</w:t>
      </w:r>
    </w:p>
    <w:p w:rsidR="00CE1891" w:rsidRPr="00EC04EF" w:rsidRDefault="00CE1891" w:rsidP="00CE1891">
      <w:pPr>
        <w:widowControl w:val="0"/>
        <w:ind w:firstLine="709"/>
        <w:jc w:val="center"/>
        <w:rPr>
          <w:rFonts w:eastAsia="Calibri"/>
          <w:sz w:val="28"/>
          <w:szCs w:val="28"/>
          <w:lang w:eastAsia="en-US"/>
        </w:rPr>
      </w:pPr>
      <w:r w:rsidRPr="00EC04EF">
        <w:rPr>
          <w:rFonts w:eastAsia="Calibri"/>
          <w:sz w:val="28"/>
          <w:szCs w:val="28"/>
          <w:lang w:eastAsia="en-US"/>
        </w:rPr>
        <w:t>1,02 = (1,07 + 0,97 + 1,01)/3</w:t>
      </w:r>
    </w:p>
    <w:p w:rsidR="00CE1891" w:rsidRPr="00EC04EF" w:rsidRDefault="00CE1891" w:rsidP="00CE1891">
      <w:pPr>
        <w:widowControl w:val="0"/>
        <w:ind w:firstLine="709"/>
        <w:jc w:val="both"/>
        <w:rPr>
          <w:rFonts w:eastAsia="Calibri"/>
          <w:sz w:val="28"/>
          <w:szCs w:val="28"/>
          <w:lang w:eastAsia="en-US"/>
        </w:rPr>
      </w:pPr>
      <w:r w:rsidRPr="00EC04EF">
        <w:rPr>
          <w:rFonts w:eastAsia="Calibri"/>
          <w:sz w:val="28"/>
          <w:szCs w:val="28"/>
          <w:lang w:eastAsia="en-US"/>
        </w:rPr>
        <w:t>где:</w:t>
      </w:r>
    </w:p>
    <w:p w:rsidR="00CE1891" w:rsidRPr="00EC04EF" w:rsidRDefault="00CE1891" w:rsidP="00CE1891">
      <w:pPr>
        <w:widowControl w:val="0"/>
        <w:ind w:firstLine="709"/>
        <w:jc w:val="both"/>
        <w:rPr>
          <w:rFonts w:eastAsia="Calibri"/>
          <w:sz w:val="28"/>
          <w:szCs w:val="28"/>
          <w:lang w:eastAsia="en-US"/>
        </w:rPr>
      </w:pPr>
      <w:r w:rsidRPr="00EC04EF">
        <w:rPr>
          <w:sz w:val="28"/>
          <w:szCs w:val="28"/>
        </w:rPr>
        <w:t>∑</w:t>
      </w:r>
      <w:r w:rsidRPr="00EC04EF">
        <w:rPr>
          <w:sz w:val="28"/>
          <w:szCs w:val="28"/>
          <w:vertAlign w:val="superscript"/>
        </w:rPr>
        <w:t>3</w:t>
      </w:r>
      <w:r w:rsidRPr="00EC04EF">
        <w:rPr>
          <w:sz w:val="28"/>
          <w:szCs w:val="28"/>
          <w:vertAlign w:val="subscript"/>
          <w:lang w:val="en-US"/>
        </w:rPr>
        <w:t>t</w:t>
      </w:r>
      <w:r w:rsidRPr="00EC04EF">
        <w:rPr>
          <w:sz w:val="28"/>
          <w:szCs w:val="28"/>
          <w:vertAlign w:val="subscript"/>
        </w:rPr>
        <w:t>=1</w:t>
      </w:r>
      <w:r w:rsidRPr="00EC04EF">
        <w:rPr>
          <w:rFonts w:eastAsia="Calibri"/>
          <w:sz w:val="28"/>
          <w:szCs w:val="28"/>
          <w:lang w:eastAsia="en-US"/>
        </w:rPr>
        <w:t xml:space="preserve"> Т</w:t>
      </w:r>
      <w:r w:rsidRPr="00EC04EF">
        <w:rPr>
          <w:rFonts w:eastAsia="Calibri"/>
          <w:sz w:val="28"/>
          <w:szCs w:val="28"/>
          <w:vertAlign w:val="subscript"/>
          <w:lang w:eastAsia="en-US"/>
        </w:rPr>
        <w:t>Sар</w:t>
      </w:r>
      <w:r w:rsidRPr="00EC04EF">
        <w:rPr>
          <w:rFonts w:eastAsia="Calibri"/>
          <w:sz w:val="28"/>
          <w:szCs w:val="28"/>
          <w:lang w:eastAsia="en-US"/>
        </w:rPr>
        <w:t xml:space="preserve">  </w:t>
      </w:r>
      <w:r w:rsidRPr="00EC04EF">
        <w:rPr>
          <w:rFonts w:eastAsia="Constantia"/>
          <w:i/>
          <w:iCs/>
          <w:color w:val="000000"/>
          <w:sz w:val="28"/>
          <w:szCs w:val="28"/>
          <w:lang w:bidi="ru-RU"/>
        </w:rPr>
        <w:t>-</w:t>
      </w:r>
      <w:r w:rsidRPr="00EC04EF">
        <w:rPr>
          <w:rFonts w:eastAsia="Calibri"/>
          <w:sz w:val="28"/>
          <w:szCs w:val="28"/>
          <w:lang w:eastAsia="en-US"/>
        </w:rPr>
        <w:t xml:space="preserve"> сумма темпов роста (снижения) площади лесных участков, находящихся в федеральной собственности, предоставленных по договорам аренды, за три отчетных года, предшествующих прогнозируемому году,  (ед.), 3,05;</w:t>
      </w:r>
    </w:p>
    <w:p w:rsidR="00CE1891" w:rsidRPr="00EC04EF" w:rsidRDefault="00CE1891" w:rsidP="00CE1891">
      <w:pPr>
        <w:widowControl w:val="0"/>
        <w:ind w:firstLine="709"/>
        <w:jc w:val="center"/>
        <w:rPr>
          <w:rFonts w:eastAsia="Calibri"/>
          <w:sz w:val="28"/>
          <w:szCs w:val="28"/>
          <w:vertAlign w:val="superscript"/>
          <w:lang w:eastAsia="en-US"/>
        </w:rPr>
      </w:pPr>
      <w:r w:rsidRPr="00EC04EF">
        <w:rPr>
          <w:sz w:val="28"/>
          <w:szCs w:val="28"/>
        </w:rPr>
        <w:t>∑</w:t>
      </w:r>
      <w:r w:rsidRPr="00EC04EF">
        <w:rPr>
          <w:sz w:val="28"/>
          <w:szCs w:val="28"/>
          <w:vertAlign w:val="superscript"/>
        </w:rPr>
        <w:t>3</w:t>
      </w:r>
      <w:r w:rsidRPr="00EC04EF">
        <w:rPr>
          <w:sz w:val="28"/>
          <w:szCs w:val="28"/>
          <w:vertAlign w:val="subscript"/>
          <w:lang w:val="en-US"/>
        </w:rPr>
        <w:t>t</w:t>
      </w:r>
      <w:r w:rsidRPr="00EC04EF">
        <w:rPr>
          <w:sz w:val="28"/>
          <w:szCs w:val="28"/>
          <w:vertAlign w:val="subscript"/>
        </w:rPr>
        <w:t>=1</w:t>
      </w:r>
      <w:r w:rsidRPr="00EC04EF">
        <w:rPr>
          <w:rFonts w:eastAsia="Calibri"/>
          <w:sz w:val="28"/>
          <w:szCs w:val="28"/>
          <w:lang w:eastAsia="en-US"/>
        </w:rPr>
        <w:t xml:space="preserve"> Т</w:t>
      </w:r>
      <w:r w:rsidRPr="00EC04EF">
        <w:rPr>
          <w:rFonts w:eastAsia="Calibri"/>
          <w:sz w:val="28"/>
          <w:szCs w:val="28"/>
          <w:vertAlign w:val="subscript"/>
          <w:lang w:eastAsia="en-US"/>
        </w:rPr>
        <w:t>Sар</w:t>
      </w:r>
      <w:r w:rsidRPr="00EC04EF">
        <w:rPr>
          <w:rFonts w:eastAsia="Calibri"/>
          <w:sz w:val="28"/>
          <w:szCs w:val="28"/>
          <w:lang w:eastAsia="en-US"/>
        </w:rPr>
        <w:t xml:space="preserve">  = Т</w:t>
      </w:r>
      <w:r w:rsidRPr="00EC04EF">
        <w:rPr>
          <w:rFonts w:eastAsia="Calibri"/>
          <w:sz w:val="28"/>
          <w:szCs w:val="28"/>
          <w:vertAlign w:val="subscript"/>
          <w:lang w:eastAsia="en-US"/>
        </w:rPr>
        <w:t>Sар</w:t>
      </w:r>
      <w:r w:rsidRPr="00EC04EF">
        <w:rPr>
          <w:rFonts w:eastAsia="Calibri"/>
          <w:sz w:val="28"/>
          <w:szCs w:val="28"/>
          <w:vertAlign w:val="superscript"/>
          <w:lang w:eastAsia="en-US"/>
        </w:rPr>
        <w:t xml:space="preserve">2021 </w:t>
      </w:r>
      <w:r w:rsidRPr="00EC04EF">
        <w:rPr>
          <w:rFonts w:eastAsia="Calibri"/>
          <w:sz w:val="28"/>
          <w:szCs w:val="28"/>
          <w:lang w:eastAsia="en-US"/>
        </w:rPr>
        <w:t>+ Т</w:t>
      </w:r>
      <w:r w:rsidRPr="00EC04EF">
        <w:rPr>
          <w:rFonts w:eastAsia="Calibri"/>
          <w:sz w:val="28"/>
          <w:szCs w:val="28"/>
          <w:vertAlign w:val="subscript"/>
          <w:lang w:eastAsia="en-US"/>
        </w:rPr>
        <w:t>Sар</w:t>
      </w:r>
      <w:r w:rsidRPr="00EC04EF">
        <w:rPr>
          <w:rFonts w:eastAsia="Calibri"/>
          <w:sz w:val="28"/>
          <w:szCs w:val="28"/>
          <w:vertAlign w:val="superscript"/>
          <w:lang w:eastAsia="en-US"/>
        </w:rPr>
        <w:t xml:space="preserve">2022 </w:t>
      </w:r>
      <w:r w:rsidRPr="00EC04EF">
        <w:rPr>
          <w:rFonts w:eastAsia="Calibri"/>
          <w:sz w:val="28"/>
          <w:szCs w:val="28"/>
          <w:lang w:eastAsia="en-US"/>
        </w:rPr>
        <w:t>+ Т</w:t>
      </w:r>
      <w:r w:rsidRPr="00EC04EF">
        <w:rPr>
          <w:rFonts w:eastAsia="Calibri"/>
          <w:sz w:val="28"/>
          <w:szCs w:val="28"/>
          <w:vertAlign w:val="subscript"/>
          <w:lang w:eastAsia="en-US"/>
        </w:rPr>
        <w:t>Sар</w:t>
      </w:r>
      <w:r w:rsidRPr="00EC04EF">
        <w:rPr>
          <w:rFonts w:eastAsia="Calibri"/>
          <w:sz w:val="28"/>
          <w:szCs w:val="28"/>
          <w:vertAlign w:val="superscript"/>
          <w:lang w:eastAsia="en-US"/>
        </w:rPr>
        <w:t>2023</w:t>
      </w:r>
    </w:p>
    <w:p w:rsidR="00CE1891" w:rsidRPr="00EC04EF" w:rsidRDefault="00CE1891" w:rsidP="00CE1891">
      <w:pPr>
        <w:widowControl w:val="0"/>
        <w:ind w:firstLine="709"/>
        <w:jc w:val="center"/>
        <w:rPr>
          <w:rFonts w:eastAsia="Calibri"/>
          <w:sz w:val="28"/>
          <w:szCs w:val="28"/>
          <w:lang w:eastAsia="en-US"/>
        </w:rPr>
      </w:pPr>
      <w:r w:rsidRPr="00EC04EF">
        <w:rPr>
          <w:rFonts w:eastAsia="Calibri"/>
          <w:sz w:val="28"/>
          <w:szCs w:val="28"/>
          <w:lang w:eastAsia="en-US"/>
        </w:rPr>
        <w:t>3,05 = 1,07 + 0,97 + 1,01</w:t>
      </w:r>
    </w:p>
    <w:p w:rsidR="00CE1891" w:rsidRPr="00EC04EF" w:rsidRDefault="00CE1891" w:rsidP="00CE1891">
      <w:pPr>
        <w:widowControl w:val="0"/>
        <w:ind w:firstLine="709"/>
        <w:jc w:val="center"/>
        <w:rPr>
          <w:rFonts w:eastAsia="Calibri"/>
          <w:sz w:val="28"/>
          <w:szCs w:val="28"/>
          <w:lang w:eastAsia="en-US"/>
        </w:rPr>
      </w:pPr>
    </w:p>
    <w:p w:rsidR="00CE1891" w:rsidRPr="00EC04EF" w:rsidRDefault="00CE1891" w:rsidP="00CE1891">
      <w:pPr>
        <w:widowControl w:val="0"/>
        <w:ind w:firstLine="709"/>
        <w:jc w:val="both"/>
        <w:rPr>
          <w:rFonts w:eastAsia="Calibri"/>
          <w:sz w:val="28"/>
          <w:szCs w:val="28"/>
          <w:lang w:eastAsia="en-US"/>
        </w:rPr>
      </w:pPr>
      <w:r w:rsidRPr="00EC04EF">
        <w:rPr>
          <w:rFonts w:eastAsia="Calibri"/>
          <w:sz w:val="28"/>
          <w:szCs w:val="28"/>
          <w:lang w:eastAsia="en-US"/>
        </w:rPr>
        <w:t>Т</w:t>
      </w:r>
      <w:r w:rsidRPr="00EC04EF">
        <w:rPr>
          <w:rFonts w:eastAsia="Calibri"/>
          <w:sz w:val="28"/>
          <w:szCs w:val="28"/>
          <w:vertAlign w:val="subscript"/>
          <w:lang w:val="en-US" w:eastAsia="en-US"/>
        </w:rPr>
        <w:t>S</w:t>
      </w:r>
      <w:r w:rsidRPr="00EC04EF">
        <w:rPr>
          <w:rFonts w:eastAsia="Calibri"/>
          <w:sz w:val="28"/>
          <w:szCs w:val="28"/>
          <w:vertAlign w:val="subscript"/>
          <w:lang w:eastAsia="en-US"/>
        </w:rPr>
        <w:t>ар</w:t>
      </w:r>
      <w:r w:rsidRPr="00EC04EF">
        <w:rPr>
          <w:rFonts w:eastAsia="Calibri"/>
          <w:sz w:val="28"/>
          <w:szCs w:val="28"/>
          <w:lang w:eastAsia="en-US"/>
        </w:rPr>
        <w:t xml:space="preserve"> - темп роста (снижения) объема лесных ресурсов (за исключением древесины), подлежащего заготовке по договорам аренды лесных участков, находящихся в федеральной собственности, за год (ед.), определяется по формуле:</w:t>
      </w:r>
    </w:p>
    <w:p w:rsidR="00CE1891" w:rsidRPr="00EC04EF" w:rsidRDefault="00CE1891" w:rsidP="00CE1891">
      <w:pPr>
        <w:widowControl w:val="0"/>
        <w:ind w:firstLine="709"/>
        <w:jc w:val="center"/>
        <w:rPr>
          <w:rFonts w:eastAsia="Calibri"/>
          <w:sz w:val="28"/>
          <w:szCs w:val="28"/>
          <w:vertAlign w:val="subscript"/>
          <w:lang w:eastAsia="en-US"/>
        </w:rPr>
      </w:pPr>
      <w:r w:rsidRPr="00EC04EF">
        <w:rPr>
          <w:rFonts w:eastAsia="Calibri"/>
          <w:sz w:val="28"/>
          <w:szCs w:val="28"/>
          <w:lang w:eastAsia="en-US"/>
        </w:rPr>
        <w:t>Т</w:t>
      </w:r>
      <w:r w:rsidRPr="00EC04EF">
        <w:rPr>
          <w:rFonts w:eastAsia="Calibri"/>
          <w:sz w:val="28"/>
          <w:szCs w:val="28"/>
          <w:vertAlign w:val="subscript"/>
          <w:lang w:val="en-US" w:eastAsia="en-US"/>
        </w:rPr>
        <w:t>S</w:t>
      </w:r>
      <w:r w:rsidRPr="00EC04EF">
        <w:rPr>
          <w:rFonts w:eastAsia="Calibri"/>
          <w:sz w:val="28"/>
          <w:szCs w:val="28"/>
          <w:vertAlign w:val="subscript"/>
          <w:lang w:eastAsia="en-US"/>
        </w:rPr>
        <w:t>ар</w:t>
      </w:r>
      <w:r w:rsidRPr="00EC04EF">
        <w:rPr>
          <w:rFonts w:eastAsia="Calibri"/>
          <w:sz w:val="28"/>
          <w:szCs w:val="28"/>
          <w:lang w:eastAsia="en-US"/>
        </w:rPr>
        <w:t xml:space="preserve"> =</w:t>
      </w:r>
      <w:r w:rsidRPr="00EC04EF">
        <w:rPr>
          <w:rFonts w:eastAsia="Calibri"/>
          <w:sz w:val="28"/>
          <w:szCs w:val="28"/>
          <w:vertAlign w:val="subscript"/>
          <w:lang w:eastAsia="en-US"/>
        </w:rPr>
        <w:t xml:space="preserve"> </w:t>
      </w:r>
      <w:r w:rsidRPr="00EC04EF">
        <w:rPr>
          <w:rFonts w:eastAsia="Calibri"/>
          <w:sz w:val="28"/>
          <w:szCs w:val="28"/>
          <w:lang w:val="en-US" w:eastAsia="en-US"/>
        </w:rPr>
        <w:t>Q</w:t>
      </w:r>
      <w:r w:rsidRPr="00EC04EF">
        <w:rPr>
          <w:rFonts w:eastAsia="Calibri"/>
          <w:sz w:val="28"/>
          <w:szCs w:val="28"/>
          <w:vertAlign w:val="superscript"/>
          <w:lang w:val="en-US" w:eastAsia="en-US"/>
        </w:rPr>
        <w:t>n</w:t>
      </w:r>
      <w:r w:rsidRPr="00EC04EF">
        <w:rPr>
          <w:rFonts w:eastAsia="Calibri"/>
          <w:sz w:val="28"/>
          <w:szCs w:val="28"/>
          <w:vertAlign w:val="subscript"/>
          <w:lang w:val="en-US" w:eastAsia="en-US"/>
        </w:rPr>
        <w:t>S</w:t>
      </w:r>
      <w:r w:rsidRPr="00EC04EF">
        <w:rPr>
          <w:rFonts w:eastAsia="Calibri"/>
          <w:sz w:val="28"/>
          <w:szCs w:val="28"/>
          <w:vertAlign w:val="subscript"/>
          <w:lang w:eastAsia="en-US"/>
        </w:rPr>
        <w:t>ар</w:t>
      </w:r>
      <w:r w:rsidRPr="00EC04EF">
        <w:rPr>
          <w:rFonts w:eastAsia="Calibri"/>
          <w:sz w:val="28"/>
          <w:szCs w:val="28"/>
          <w:lang w:eastAsia="en-US"/>
        </w:rPr>
        <w:t xml:space="preserve">/ </w:t>
      </w:r>
      <w:r w:rsidRPr="00EC04EF">
        <w:rPr>
          <w:rFonts w:eastAsia="Calibri"/>
          <w:sz w:val="28"/>
          <w:szCs w:val="28"/>
          <w:lang w:val="en-US" w:eastAsia="en-US"/>
        </w:rPr>
        <w:t>Q</w:t>
      </w:r>
      <w:r w:rsidRPr="00EC04EF">
        <w:rPr>
          <w:rFonts w:eastAsia="Calibri"/>
          <w:sz w:val="28"/>
          <w:szCs w:val="28"/>
          <w:vertAlign w:val="superscript"/>
          <w:lang w:val="en-US" w:eastAsia="en-US"/>
        </w:rPr>
        <w:t>n</w:t>
      </w:r>
      <w:r w:rsidRPr="00EC04EF">
        <w:rPr>
          <w:rFonts w:eastAsia="Calibri"/>
          <w:sz w:val="28"/>
          <w:szCs w:val="28"/>
          <w:vertAlign w:val="superscript"/>
          <w:lang w:eastAsia="en-US"/>
        </w:rPr>
        <w:t>-1</w:t>
      </w:r>
      <w:r w:rsidRPr="00EC04EF">
        <w:rPr>
          <w:rFonts w:eastAsia="Calibri"/>
          <w:sz w:val="28"/>
          <w:szCs w:val="28"/>
          <w:vertAlign w:val="subscript"/>
          <w:lang w:val="en-US" w:eastAsia="en-US"/>
        </w:rPr>
        <w:t>S</w:t>
      </w:r>
      <w:r w:rsidRPr="00EC04EF">
        <w:rPr>
          <w:rFonts w:eastAsia="Calibri"/>
          <w:sz w:val="28"/>
          <w:szCs w:val="28"/>
          <w:vertAlign w:val="subscript"/>
          <w:lang w:eastAsia="en-US"/>
        </w:rPr>
        <w:t xml:space="preserve">ар </w:t>
      </w:r>
    </w:p>
    <w:p w:rsidR="00CE1891" w:rsidRPr="00EC04EF" w:rsidRDefault="00CE1891" w:rsidP="00CE1891">
      <w:pPr>
        <w:widowControl w:val="0"/>
        <w:ind w:firstLine="709"/>
        <w:jc w:val="center"/>
        <w:rPr>
          <w:rFonts w:eastAsia="Calibri"/>
          <w:sz w:val="28"/>
          <w:szCs w:val="28"/>
          <w:vertAlign w:val="subscript"/>
          <w:lang w:eastAsia="en-US"/>
        </w:rPr>
      </w:pPr>
    </w:p>
    <w:p w:rsidR="00CE1891" w:rsidRPr="00EC04EF" w:rsidRDefault="00CE1891" w:rsidP="00CE1891">
      <w:pPr>
        <w:widowControl w:val="0"/>
        <w:ind w:firstLine="709"/>
        <w:jc w:val="both"/>
        <w:rPr>
          <w:rFonts w:eastAsia="Calibri"/>
          <w:sz w:val="28"/>
          <w:szCs w:val="28"/>
          <w:lang w:eastAsia="en-US"/>
        </w:rPr>
      </w:pPr>
      <w:r w:rsidRPr="00EC04EF">
        <w:rPr>
          <w:rFonts w:eastAsia="Calibri"/>
          <w:sz w:val="28"/>
          <w:szCs w:val="28"/>
          <w:lang w:eastAsia="en-US"/>
        </w:rPr>
        <w:t>где:</w:t>
      </w:r>
    </w:p>
    <w:p w:rsidR="00CE1891" w:rsidRPr="00EC04EF" w:rsidRDefault="00CE1891" w:rsidP="00CE1891">
      <w:pPr>
        <w:widowControl w:val="0"/>
        <w:ind w:firstLine="709"/>
        <w:jc w:val="both"/>
        <w:rPr>
          <w:rFonts w:eastAsia="Calibri"/>
          <w:sz w:val="28"/>
          <w:szCs w:val="28"/>
          <w:lang w:eastAsia="en-US"/>
        </w:rPr>
      </w:pPr>
      <w:r w:rsidRPr="00EC04EF">
        <w:rPr>
          <w:rFonts w:eastAsia="Calibri"/>
          <w:sz w:val="28"/>
          <w:szCs w:val="28"/>
          <w:lang w:val="en-US" w:eastAsia="en-US"/>
        </w:rPr>
        <w:t>Q</w:t>
      </w:r>
      <w:r w:rsidRPr="00EC04EF">
        <w:rPr>
          <w:rFonts w:eastAsia="Calibri"/>
          <w:sz w:val="28"/>
          <w:szCs w:val="28"/>
          <w:vertAlign w:val="superscript"/>
          <w:lang w:val="en-US" w:eastAsia="en-US"/>
        </w:rPr>
        <w:t>n</w:t>
      </w:r>
      <w:r w:rsidRPr="00EC04EF">
        <w:rPr>
          <w:rFonts w:eastAsia="Calibri"/>
          <w:sz w:val="28"/>
          <w:szCs w:val="28"/>
          <w:vertAlign w:val="subscript"/>
          <w:lang w:val="en-US" w:eastAsia="en-US"/>
        </w:rPr>
        <w:t>S</w:t>
      </w:r>
      <w:r w:rsidRPr="00EC04EF">
        <w:rPr>
          <w:rFonts w:eastAsia="Calibri"/>
          <w:sz w:val="28"/>
          <w:szCs w:val="28"/>
          <w:vertAlign w:val="subscript"/>
          <w:lang w:eastAsia="en-US"/>
        </w:rPr>
        <w:t xml:space="preserve">ар </w:t>
      </w:r>
      <w:r w:rsidRPr="00EC04EF">
        <w:rPr>
          <w:rFonts w:eastAsia="Calibri"/>
          <w:sz w:val="28"/>
          <w:szCs w:val="28"/>
          <w:lang w:eastAsia="en-US"/>
        </w:rPr>
        <w:t>- объем лесных ресурсов (за исключением древесины), подлежащий заготовке по договорам аренды лесных участков, находящихся в федеральной собственности, за год (га);</w:t>
      </w:r>
    </w:p>
    <w:p w:rsidR="00CE1891" w:rsidRPr="00EC04EF" w:rsidRDefault="00CE1891" w:rsidP="00CE1891">
      <w:pPr>
        <w:widowControl w:val="0"/>
        <w:ind w:firstLine="709"/>
        <w:jc w:val="both"/>
        <w:rPr>
          <w:rFonts w:eastAsia="Calibri"/>
          <w:sz w:val="28"/>
          <w:szCs w:val="28"/>
          <w:lang w:eastAsia="en-US"/>
        </w:rPr>
      </w:pPr>
      <w:r w:rsidRPr="00EC04EF">
        <w:rPr>
          <w:rFonts w:eastAsia="Calibri"/>
          <w:sz w:val="28"/>
          <w:szCs w:val="28"/>
          <w:lang w:val="en-US" w:eastAsia="en-US"/>
        </w:rPr>
        <w:t>Q</w:t>
      </w:r>
      <w:r w:rsidRPr="00EC04EF">
        <w:rPr>
          <w:rFonts w:eastAsia="Calibri"/>
          <w:sz w:val="28"/>
          <w:szCs w:val="28"/>
          <w:vertAlign w:val="superscript"/>
          <w:lang w:val="en-US" w:eastAsia="en-US"/>
        </w:rPr>
        <w:t>n</w:t>
      </w:r>
      <w:r w:rsidRPr="00EC04EF">
        <w:rPr>
          <w:rFonts w:eastAsia="Calibri"/>
          <w:sz w:val="28"/>
          <w:szCs w:val="28"/>
          <w:vertAlign w:val="superscript"/>
          <w:lang w:eastAsia="en-US"/>
        </w:rPr>
        <w:t>-1</w:t>
      </w:r>
      <w:r w:rsidRPr="00EC04EF">
        <w:rPr>
          <w:rFonts w:eastAsia="Calibri"/>
          <w:sz w:val="28"/>
          <w:szCs w:val="28"/>
          <w:vertAlign w:val="subscript"/>
          <w:lang w:val="en-US" w:eastAsia="en-US"/>
        </w:rPr>
        <w:t>S</w:t>
      </w:r>
      <w:r w:rsidRPr="00EC04EF">
        <w:rPr>
          <w:rFonts w:eastAsia="Calibri"/>
          <w:sz w:val="28"/>
          <w:szCs w:val="28"/>
          <w:vertAlign w:val="subscript"/>
          <w:lang w:eastAsia="en-US"/>
        </w:rPr>
        <w:t xml:space="preserve">ар </w:t>
      </w:r>
      <w:r w:rsidRPr="00EC04EF">
        <w:rPr>
          <w:rFonts w:eastAsia="Calibri"/>
          <w:sz w:val="28"/>
          <w:szCs w:val="28"/>
          <w:lang w:eastAsia="en-US"/>
        </w:rPr>
        <w:t>- объем лесных ресурсов (за исключением древесины), подлежащий заготовке по договорам аренды лесных участков, находящихся в федеральной собственности, за предыдущий год (га);</w:t>
      </w:r>
    </w:p>
    <w:p w:rsidR="00CE1891" w:rsidRPr="00EC04EF" w:rsidRDefault="00CE1891" w:rsidP="00CE1891">
      <w:pPr>
        <w:widowControl w:val="0"/>
        <w:ind w:firstLine="709"/>
        <w:jc w:val="center"/>
        <w:rPr>
          <w:rFonts w:eastAsia="Calibri"/>
          <w:sz w:val="28"/>
          <w:szCs w:val="28"/>
          <w:lang w:eastAsia="en-US"/>
        </w:rPr>
      </w:pPr>
    </w:p>
    <w:p w:rsidR="00CE1891" w:rsidRPr="00EC04EF" w:rsidRDefault="00CE1891" w:rsidP="00CE1891">
      <w:pPr>
        <w:widowControl w:val="0"/>
        <w:ind w:firstLine="709"/>
        <w:jc w:val="both"/>
        <w:rPr>
          <w:rFonts w:eastAsia="Calibri"/>
          <w:sz w:val="28"/>
          <w:szCs w:val="28"/>
          <w:lang w:eastAsia="en-US"/>
        </w:rPr>
      </w:pPr>
      <w:r w:rsidRPr="00EC04EF">
        <w:rPr>
          <w:rFonts w:eastAsia="Calibri"/>
          <w:sz w:val="28"/>
          <w:szCs w:val="28"/>
          <w:lang w:eastAsia="en-US"/>
        </w:rPr>
        <w:t>в том числе по годам:</w:t>
      </w:r>
    </w:p>
    <w:p w:rsidR="00CE1891" w:rsidRPr="00EC04EF" w:rsidRDefault="00CE1891" w:rsidP="00CE1891">
      <w:pPr>
        <w:widowControl w:val="0"/>
        <w:ind w:firstLine="709"/>
        <w:jc w:val="both"/>
        <w:rPr>
          <w:rFonts w:eastAsia="Calibri"/>
          <w:sz w:val="28"/>
          <w:szCs w:val="28"/>
          <w:lang w:eastAsia="en-US"/>
        </w:rPr>
      </w:pPr>
    </w:p>
    <w:p w:rsidR="00CE1891" w:rsidRPr="00EC04EF" w:rsidRDefault="00CE1891" w:rsidP="00CE1891">
      <w:pPr>
        <w:widowControl w:val="0"/>
        <w:ind w:firstLine="709"/>
        <w:jc w:val="both"/>
        <w:rPr>
          <w:rFonts w:eastAsia="Calibri"/>
          <w:sz w:val="28"/>
          <w:szCs w:val="28"/>
          <w:lang w:eastAsia="en-US"/>
        </w:rPr>
      </w:pPr>
      <w:r w:rsidRPr="00EC04EF">
        <w:rPr>
          <w:rFonts w:eastAsia="Calibri"/>
          <w:sz w:val="28"/>
          <w:szCs w:val="28"/>
          <w:lang w:eastAsia="en-US"/>
        </w:rPr>
        <w:t>а) Т</w:t>
      </w:r>
      <w:r w:rsidRPr="00EC04EF">
        <w:rPr>
          <w:rFonts w:eastAsia="Calibri"/>
          <w:sz w:val="28"/>
          <w:szCs w:val="28"/>
          <w:vertAlign w:val="subscript"/>
          <w:lang w:eastAsia="en-US"/>
        </w:rPr>
        <w:t>Sар</w:t>
      </w:r>
      <w:r w:rsidRPr="00EC04EF">
        <w:rPr>
          <w:rFonts w:eastAsia="Calibri"/>
          <w:sz w:val="28"/>
          <w:szCs w:val="28"/>
          <w:vertAlign w:val="superscript"/>
          <w:lang w:eastAsia="en-US"/>
        </w:rPr>
        <w:t>2021</w:t>
      </w:r>
      <w:r w:rsidRPr="00EC04EF">
        <w:rPr>
          <w:rFonts w:eastAsia="Calibri"/>
          <w:sz w:val="28"/>
          <w:szCs w:val="28"/>
          <w:lang w:eastAsia="en-US"/>
        </w:rPr>
        <w:t xml:space="preserve"> </w:t>
      </w:r>
      <w:r w:rsidRPr="00EC04EF">
        <w:rPr>
          <w:rFonts w:eastAsia="Constantia"/>
          <w:i/>
          <w:iCs/>
          <w:sz w:val="28"/>
          <w:szCs w:val="28"/>
          <w:lang w:bidi="ru-RU"/>
        </w:rPr>
        <w:t>-</w:t>
      </w:r>
      <w:r w:rsidRPr="00EC04EF">
        <w:rPr>
          <w:rFonts w:eastAsia="Calibri"/>
          <w:sz w:val="28"/>
          <w:szCs w:val="28"/>
          <w:lang w:eastAsia="en-US"/>
        </w:rPr>
        <w:t xml:space="preserve"> темп роста (снижения) площади лесных участков, находящихся в федеральной собственности, предоставленных по договорам аренды, за 2021 год (ед.), 1,07:</w:t>
      </w:r>
    </w:p>
    <w:p w:rsidR="00CE1891" w:rsidRPr="00EC04EF" w:rsidRDefault="00CE1891" w:rsidP="00CE1891">
      <w:pPr>
        <w:widowControl w:val="0"/>
        <w:ind w:firstLine="709"/>
        <w:jc w:val="both"/>
        <w:rPr>
          <w:rFonts w:eastAsia="Calibri"/>
          <w:sz w:val="28"/>
          <w:szCs w:val="28"/>
          <w:lang w:eastAsia="en-US"/>
        </w:rPr>
      </w:pPr>
    </w:p>
    <w:p w:rsidR="00CE1891" w:rsidRPr="00EC04EF" w:rsidRDefault="00CE1891" w:rsidP="00CE1891">
      <w:pPr>
        <w:widowControl w:val="0"/>
        <w:ind w:firstLine="709"/>
        <w:jc w:val="center"/>
        <w:rPr>
          <w:rFonts w:eastAsia="Calibri"/>
          <w:sz w:val="28"/>
          <w:szCs w:val="28"/>
          <w:lang w:eastAsia="en-US"/>
        </w:rPr>
      </w:pPr>
      <w:r w:rsidRPr="00EC04EF">
        <w:rPr>
          <w:rFonts w:eastAsia="Calibri"/>
          <w:sz w:val="28"/>
          <w:szCs w:val="28"/>
          <w:lang w:eastAsia="en-US"/>
        </w:rPr>
        <w:lastRenderedPageBreak/>
        <w:t>Т</w:t>
      </w:r>
      <w:r w:rsidRPr="00EC04EF">
        <w:rPr>
          <w:rFonts w:eastAsia="Calibri"/>
          <w:sz w:val="28"/>
          <w:szCs w:val="28"/>
          <w:vertAlign w:val="subscript"/>
          <w:lang w:eastAsia="en-US"/>
        </w:rPr>
        <w:t>Sар</w:t>
      </w:r>
      <w:r w:rsidRPr="00EC04EF">
        <w:rPr>
          <w:rFonts w:eastAsia="Calibri"/>
          <w:sz w:val="28"/>
          <w:szCs w:val="28"/>
          <w:vertAlign w:val="superscript"/>
          <w:lang w:eastAsia="en-US"/>
        </w:rPr>
        <w:t>2021</w:t>
      </w:r>
      <w:r w:rsidRPr="00EC04EF">
        <w:rPr>
          <w:rFonts w:eastAsia="Calibri"/>
          <w:sz w:val="28"/>
          <w:szCs w:val="28"/>
          <w:lang w:eastAsia="en-US"/>
        </w:rPr>
        <w:t xml:space="preserve"> = Q</w:t>
      </w:r>
      <w:r w:rsidRPr="00EC04EF">
        <w:rPr>
          <w:rFonts w:eastAsia="Calibri"/>
          <w:sz w:val="28"/>
          <w:szCs w:val="28"/>
          <w:vertAlign w:val="superscript"/>
          <w:lang w:eastAsia="en-US"/>
        </w:rPr>
        <w:t>2021</w:t>
      </w:r>
      <w:r w:rsidRPr="00EC04EF">
        <w:rPr>
          <w:rFonts w:eastAsia="Calibri"/>
          <w:sz w:val="28"/>
          <w:szCs w:val="28"/>
          <w:vertAlign w:val="subscript"/>
          <w:lang w:eastAsia="en-US"/>
        </w:rPr>
        <w:t>Sар</w:t>
      </w:r>
      <w:r w:rsidRPr="00EC04EF">
        <w:rPr>
          <w:rFonts w:eastAsia="Calibri"/>
          <w:sz w:val="28"/>
          <w:szCs w:val="28"/>
          <w:lang w:eastAsia="en-US"/>
        </w:rPr>
        <w:t xml:space="preserve"> / Q</w:t>
      </w:r>
      <w:r w:rsidRPr="00EC04EF">
        <w:rPr>
          <w:rFonts w:eastAsia="Calibri"/>
          <w:sz w:val="28"/>
          <w:szCs w:val="28"/>
          <w:vertAlign w:val="superscript"/>
          <w:lang w:eastAsia="en-US"/>
        </w:rPr>
        <w:t>2020</w:t>
      </w:r>
      <w:r w:rsidRPr="00EC04EF">
        <w:rPr>
          <w:rFonts w:eastAsia="Calibri"/>
          <w:sz w:val="28"/>
          <w:szCs w:val="28"/>
          <w:vertAlign w:val="subscript"/>
          <w:lang w:eastAsia="en-US"/>
        </w:rPr>
        <w:t>Sар</w:t>
      </w:r>
      <w:r w:rsidRPr="00EC04EF">
        <w:rPr>
          <w:rFonts w:eastAsia="Calibri"/>
          <w:sz w:val="28"/>
          <w:szCs w:val="28"/>
          <w:lang w:eastAsia="en-US"/>
        </w:rPr>
        <w:t>,</w:t>
      </w:r>
    </w:p>
    <w:p w:rsidR="00CE1891" w:rsidRPr="00EC04EF" w:rsidRDefault="00CE1891" w:rsidP="00CE1891">
      <w:pPr>
        <w:widowControl w:val="0"/>
        <w:ind w:firstLine="709"/>
        <w:jc w:val="center"/>
        <w:rPr>
          <w:rFonts w:eastAsia="Calibri"/>
          <w:sz w:val="28"/>
          <w:szCs w:val="28"/>
          <w:lang w:eastAsia="en-US"/>
        </w:rPr>
      </w:pPr>
      <w:r w:rsidRPr="00EC04EF">
        <w:rPr>
          <w:rFonts w:eastAsia="Calibri"/>
          <w:sz w:val="28"/>
          <w:szCs w:val="28"/>
          <w:lang w:eastAsia="en-US"/>
        </w:rPr>
        <w:t>1,07 = 545,4 /509,4</w:t>
      </w:r>
    </w:p>
    <w:p w:rsidR="00CE1891" w:rsidRPr="00EC04EF" w:rsidRDefault="00CE1891" w:rsidP="00CE1891">
      <w:pPr>
        <w:widowControl w:val="0"/>
        <w:ind w:firstLine="709"/>
        <w:jc w:val="center"/>
        <w:rPr>
          <w:rFonts w:eastAsia="Calibri"/>
          <w:sz w:val="28"/>
          <w:szCs w:val="28"/>
          <w:lang w:eastAsia="en-US"/>
        </w:rPr>
      </w:pPr>
    </w:p>
    <w:p w:rsidR="00CE1891" w:rsidRPr="00EC04EF" w:rsidRDefault="00CE1891" w:rsidP="00CE1891">
      <w:pPr>
        <w:widowControl w:val="0"/>
        <w:ind w:firstLine="709"/>
        <w:jc w:val="both"/>
        <w:rPr>
          <w:rFonts w:eastAsia="Calibri"/>
          <w:sz w:val="28"/>
          <w:szCs w:val="28"/>
          <w:lang w:eastAsia="en-US"/>
        </w:rPr>
      </w:pPr>
      <w:r w:rsidRPr="00EC04EF">
        <w:rPr>
          <w:rFonts w:eastAsia="Calibri"/>
          <w:sz w:val="28"/>
          <w:szCs w:val="28"/>
          <w:lang w:eastAsia="en-US"/>
        </w:rPr>
        <w:t>где:</w:t>
      </w:r>
    </w:p>
    <w:p w:rsidR="00CE1891" w:rsidRPr="00EC04EF" w:rsidRDefault="00CE1891" w:rsidP="00CE1891">
      <w:pPr>
        <w:widowControl w:val="0"/>
        <w:ind w:firstLine="709"/>
        <w:jc w:val="both"/>
        <w:rPr>
          <w:rFonts w:eastAsia="Calibri"/>
          <w:sz w:val="28"/>
          <w:szCs w:val="28"/>
          <w:lang w:eastAsia="en-US"/>
        </w:rPr>
      </w:pPr>
      <w:r w:rsidRPr="00EC04EF">
        <w:rPr>
          <w:rFonts w:eastAsia="Calibri"/>
          <w:sz w:val="28"/>
          <w:szCs w:val="28"/>
          <w:lang w:eastAsia="en-US"/>
        </w:rPr>
        <w:t>Q</w:t>
      </w:r>
      <w:r w:rsidRPr="00EC04EF">
        <w:rPr>
          <w:rFonts w:eastAsia="Calibri"/>
          <w:sz w:val="28"/>
          <w:szCs w:val="28"/>
          <w:vertAlign w:val="superscript"/>
          <w:lang w:eastAsia="en-US"/>
        </w:rPr>
        <w:t>2021</w:t>
      </w:r>
      <w:r w:rsidRPr="00EC04EF">
        <w:rPr>
          <w:rFonts w:eastAsia="Calibri"/>
          <w:sz w:val="28"/>
          <w:szCs w:val="28"/>
          <w:vertAlign w:val="subscript"/>
          <w:lang w:eastAsia="en-US"/>
        </w:rPr>
        <w:t>Sар</w:t>
      </w:r>
      <w:r w:rsidRPr="00EC04EF">
        <w:rPr>
          <w:rFonts w:eastAsia="Calibri"/>
          <w:sz w:val="28"/>
          <w:szCs w:val="28"/>
          <w:lang w:eastAsia="en-US"/>
        </w:rPr>
        <w:t xml:space="preserve"> </w:t>
      </w:r>
      <w:r w:rsidRPr="00EC04EF">
        <w:rPr>
          <w:rFonts w:eastAsia="Constantia"/>
          <w:i/>
          <w:iCs/>
          <w:sz w:val="28"/>
          <w:szCs w:val="28"/>
          <w:lang w:bidi="ru-RU"/>
        </w:rPr>
        <w:t>-</w:t>
      </w:r>
      <w:r w:rsidRPr="00EC04EF">
        <w:rPr>
          <w:rFonts w:eastAsia="Calibri"/>
          <w:sz w:val="28"/>
          <w:szCs w:val="28"/>
          <w:lang w:eastAsia="en-US"/>
        </w:rPr>
        <w:t xml:space="preserve"> площадь лесных участков, находящихся в федеральной собственности, предоставленных по договорам аренды, за 2021 год, 545,4 га;</w:t>
      </w:r>
    </w:p>
    <w:p w:rsidR="00CE1891" w:rsidRPr="00EC04EF" w:rsidRDefault="00CE1891" w:rsidP="00CE1891">
      <w:pPr>
        <w:widowControl w:val="0"/>
        <w:ind w:firstLine="709"/>
        <w:jc w:val="both"/>
        <w:rPr>
          <w:rFonts w:eastAsia="Calibri"/>
          <w:sz w:val="28"/>
          <w:szCs w:val="28"/>
          <w:lang w:eastAsia="en-US"/>
        </w:rPr>
      </w:pPr>
      <w:r w:rsidRPr="00EC04EF">
        <w:rPr>
          <w:rFonts w:eastAsia="Calibri"/>
          <w:sz w:val="28"/>
          <w:szCs w:val="28"/>
          <w:lang w:eastAsia="en-US"/>
        </w:rPr>
        <w:t>Q</w:t>
      </w:r>
      <w:r w:rsidRPr="00EC04EF">
        <w:rPr>
          <w:rFonts w:eastAsia="Calibri"/>
          <w:sz w:val="28"/>
          <w:szCs w:val="28"/>
          <w:vertAlign w:val="superscript"/>
          <w:lang w:eastAsia="en-US"/>
        </w:rPr>
        <w:t>2020</w:t>
      </w:r>
      <w:r w:rsidRPr="00EC04EF">
        <w:rPr>
          <w:rFonts w:eastAsia="Calibri"/>
          <w:sz w:val="28"/>
          <w:szCs w:val="28"/>
          <w:vertAlign w:val="subscript"/>
          <w:lang w:eastAsia="en-US"/>
        </w:rPr>
        <w:t>Sар</w:t>
      </w:r>
      <w:r w:rsidRPr="00EC04EF">
        <w:rPr>
          <w:rFonts w:eastAsia="Calibri"/>
          <w:sz w:val="28"/>
          <w:szCs w:val="28"/>
          <w:lang w:eastAsia="en-US"/>
        </w:rPr>
        <w:t xml:space="preserve"> </w:t>
      </w:r>
      <w:r w:rsidRPr="00EC04EF">
        <w:rPr>
          <w:rFonts w:eastAsia="Constantia"/>
          <w:i/>
          <w:iCs/>
          <w:sz w:val="28"/>
          <w:szCs w:val="28"/>
          <w:lang w:bidi="ru-RU"/>
        </w:rPr>
        <w:t>-</w:t>
      </w:r>
      <w:r w:rsidRPr="00EC04EF">
        <w:rPr>
          <w:rFonts w:eastAsia="Calibri"/>
          <w:sz w:val="28"/>
          <w:szCs w:val="28"/>
          <w:lang w:eastAsia="en-US"/>
        </w:rPr>
        <w:t xml:space="preserve"> площадь лесных участков, находящихся в федеральной собственности, предоставленных по договорам аренды, за 2020 год, 509,4 га.</w:t>
      </w:r>
    </w:p>
    <w:p w:rsidR="00CE1891" w:rsidRPr="00EC04EF" w:rsidRDefault="00CE1891" w:rsidP="00CE1891">
      <w:pPr>
        <w:widowControl w:val="0"/>
        <w:ind w:firstLine="709"/>
        <w:jc w:val="both"/>
        <w:rPr>
          <w:rFonts w:eastAsia="Calibri"/>
          <w:color w:val="FF0000"/>
          <w:sz w:val="28"/>
          <w:szCs w:val="28"/>
          <w:lang w:eastAsia="en-US"/>
        </w:rPr>
      </w:pPr>
    </w:p>
    <w:p w:rsidR="00CE1891" w:rsidRPr="00EC04EF" w:rsidRDefault="00CE1891" w:rsidP="00CE1891">
      <w:pPr>
        <w:widowControl w:val="0"/>
        <w:ind w:firstLine="709"/>
        <w:jc w:val="both"/>
        <w:rPr>
          <w:rFonts w:eastAsia="Calibri"/>
          <w:sz w:val="28"/>
          <w:szCs w:val="28"/>
          <w:lang w:eastAsia="en-US"/>
        </w:rPr>
      </w:pPr>
      <w:r w:rsidRPr="00EC04EF">
        <w:rPr>
          <w:rFonts w:eastAsia="Calibri"/>
          <w:sz w:val="28"/>
          <w:szCs w:val="28"/>
          <w:lang w:eastAsia="en-US"/>
        </w:rPr>
        <w:t>б) Т</w:t>
      </w:r>
      <w:r w:rsidRPr="00EC04EF">
        <w:rPr>
          <w:rFonts w:eastAsia="Calibri"/>
          <w:sz w:val="28"/>
          <w:szCs w:val="28"/>
          <w:vertAlign w:val="subscript"/>
          <w:lang w:eastAsia="en-US"/>
        </w:rPr>
        <w:t>Sар</w:t>
      </w:r>
      <w:r w:rsidRPr="00EC04EF">
        <w:rPr>
          <w:rFonts w:eastAsia="Calibri"/>
          <w:sz w:val="28"/>
          <w:szCs w:val="28"/>
          <w:vertAlign w:val="superscript"/>
          <w:lang w:eastAsia="en-US"/>
        </w:rPr>
        <w:t>2022</w:t>
      </w:r>
      <w:r w:rsidRPr="00EC04EF">
        <w:rPr>
          <w:rFonts w:eastAsia="Calibri"/>
          <w:sz w:val="28"/>
          <w:szCs w:val="28"/>
          <w:lang w:eastAsia="en-US"/>
        </w:rPr>
        <w:t xml:space="preserve"> </w:t>
      </w:r>
      <w:r w:rsidRPr="00EC04EF">
        <w:rPr>
          <w:rFonts w:eastAsia="Constantia"/>
          <w:i/>
          <w:iCs/>
          <w:sz w:val="28"/>
          <w:szCs w:val="28"/>
          <w:lang w:bidi="ru-RU"/>
        </w:rPr>
        <w:t>-</w:t>
      </w:r>
      <w:r w:rsidRPr="00EC04EF">
        <w:rPr>
          <w:rFonts w:eastAsia="Calibri"/>
          <w:sz w:val="28"/>
          <w:szCs w:val="28"/>
          <w:lang w:eastAsia="en-US"/>
        </w:rPr>
        <w:t xml:space="preserve"> темп роста (снижения) площади лесных участков, находящихся в федеральной собственности, предоставленных по договорам аренды, за 2022 год (ед.), 0,97:</w:t>
      </w:r>
    </w:p>
    <w:p w:rsidR="00CE1891" w:rsidRPr="00EC04EF" w:rsidRDefault="00CE1891" w:rsidP="00CE1891">
      <w:pPr>
        <w:widowControl w:val="0"/>
        <w:ind w:firstLine="709"/>
        <w:jc w:val="both"/>
        <w:rPr>
          <w:rFonts w:eastAsia="Calibri"/>
          <w:sz w:val="28"/>
          <w:szCs w:val="28"/>
          <w:lang w:eastAsia="en-US"/>
        </w:rPr>
      </w:pPr>
    </w:p>
    <w:p w:rsidR="00CE1891" w:rsidRPr="00EC04EF" w:rsidRDefault="00CE1891" w:rsidP="00CE1891">
      <w:pPr>
        <w:widowControl w:val="0"/>
        <w:ind w:firstLine="709"/>
        <w:jc w:val="center"/>
        <w:rPr>
          <w:rFonts w:eastAsia="Calibri"/>
          <w:sz w:val="28"/>
          <w:szCs w:val="28"/>
          <w:lang w:eastAsia="en-US"/>
        </w:rPr>
      </w:pPr>
      <w:r w:rsidRPr="00EC04EF">
        <w:rPr>
          <w:rFonts w:eastAsia="Calibri"/>
          <w:sz w:val="28"/>
          <w:szCs w:val="28"/>
          <w:lang w:eastAsia="en-US"/>
        </w:rPr>
        <w:t>Т</w:t>
      </w:r>
      <w:r w:rsidRPr="00EC04EF">
        <w:rPr>
          <w:rFonts w:eastAsia="Calibri"/>
          <w:sz w:val="28"/>
          <w:szCs w:val="28"/>
          <w:vertAlign w:val="subscript"/>
          <w:lang w:eastAsia="en-US"/>
        </w:rPr>
        <w:t>Sар</w:t>
      </w:r>
      <w:r w:rsidRPr="00EC04EF">
        <w:rPr>
          <w:rFonts w:eastAsia="Calibri"/>
          <w:sz w:val="28"/>
          <w:szCs w:val="28"/>
          <w:vertAlign w:val="superscript"/>
          <w:lang w:eastAsia="en-US"/>
        </w:rPr>
        <w:t>2022</w:t>
      </w:r>
      <w:r w:rsidRPr="00EC04EF">
        <w:rPr>
          <w:rFonts w:eastAsia="Calibri"/>
          <w:sz w:val="28"/>
          <w:szCs w:val="28"/>
          <w:lang w:eastAsia="en-US"/>
        </w:rPr>
        <w:t xml:space="preserve"> = Q</w:t>
      </w:r>
      <w:r w:rsidRPr="00EC04EF">
        <w:rPr>
          <w:rFonts w:eastAsia="Calibri"/>
          <w:sz w:val="28"/>
          <w:szCs w:val="28"/>
          <w:vertAlign w:val="superscript"/>
          <w:lang w:eastAsia="en-US"/>
        </w:rPr>
        <w:t>2022</w:t>
      </w:r>
      <w:r w:rsidRPr="00EC04EF">
        <w:rPr>
          <w:rFonts w:eastAsia="Calibri"/>
          <w:sz w:val="28"/>
          <w:szCs w:val="28"/>
          <w:vertAlign w:val="subscript"/>
          <w:lang w:eastAsia="en-US"/>
        </w:rPr>
        <w:t>Sар</w:t>
      </w:r>
      <w:r w:rsidRPr="00EC04EF">
        <w:rPr>
          <w:rFonts w:eastAsia="Calibri"/>
          <w:sz w:val="28"/>
          <w:szCs w:val="28"/>
          <w:lang w:eastAsia="en-US"/>
        </w:rPr>
        <w:t xml:space="preserve"> / Q</w:t>
      </w:r>
      <w:r w:rsidRPr="00EC04EF">
        <w:rPr>
          <w:rFonts w:eastAsia="Calibri"/>
          <w:sz w:val="28"/>
          <w:szCs w:val="28"/>
          <w:vertAlign w:val="superscript"/>
          <w:lang w:eastAsia="en-US"/>
        </w:rPr>
        <w:t>2021</w:t>
      </w:r>
      <w:r w:rsidRPr="00EC04EF">
        <w:rPr>
          <w:rFonts w:eastAsia="Calibri"/>
          <w:sz w:val="28"/>
          <w:szCs w:val="28"/>
          <w:vertAlign w:val="subscript"/>
          <w:lang w:eastAsia="en-US"/>
        </w:rPr>
        <w:t>ар</w:t>
      </w:r>
      <w:r w:rsidRPr="00EC04EF">
        <w:rPr>
          <w:rFonts w:eastAsia="Calibri"/>
          <w:sz w:val="28"/>
          <w:szCs w:val="28"/>
          <w:lang w:eastAsia="en-US"/>
        </w:rPr>
        <w:t>,</w:t>
      </w:r>
    </w:p>
    <w:p w:rsidR="00CE1891" w:rsidRPr="00EC04EF" w:rsidRDefault="00CE1891" w:rsidP="00CE1891">
      <w:pPr>
        <w:widowControl w:val="0"/>
        <w:ind w:firstLine="709"/>
        <w:jc w:val="center"/>
        <w:rPr>
          <w:rFonts w:eastAsia="Calibri"/>
          <w:sz w:val="28"/>
          <w:szCs w:val="28"/>
          <w:lang w:eastAsia="en-US"/>
        </w:rPr>
      </w:pPr>
      <w:r w:rsidRPr="00EC04EF">
        <w:rPr>
          <w:rFonts w:eastAsia="Calibri"/>
          <w:sz w:val="28"/>
          <w:szCs w:val="28"/>
          <w:lang w:eastAsia="en-US"/>
        </w:rPr>
        <w:t>0,97 = 526,7/545,4</w:t>
      </w:r>
    </w:p>
    <w:p w:rsidR="00CE1891" w:rsidRPr="00EC04EF" w:rsidRDefault="00CE1891" w:rsidP="00CE1891">
      <w:pPr>
        <w:widowControl w:val="0"/>
        <w:ind w:firstLine="709"/>
        <w:jc w:val="center"/>
        <w:rPr>
          <w:rFonts w:eastAsia="Calibri"/>
          <w:sz w:val="28"/>
          <w:szCs w:val="28"/>
          <w:lang w:eastAsia="en-US"/>
        </w:rPr>
      </w:pPr>
    </w:p>
    <w:p w:rsidR="00CE1891" w:rsidRPr="00EC04EF" w:rsidRDefault="00CE1891" w:rsidP="00CE1891">
      <w:pPr>
        <w:widowControl w:val="0"/>
        <w:ind w:firstLine="709"/>
        <w:jc w:val="both"/>
        <w:rPr>
          <w:rFonts w:eastAsia="Calibri"/>
          <w:sz w:val="28"/>
          <w:szCs w:val="28"/>
          <w:lang w:eastAsia="en-US"/>
        </w:rPr>
      </w:pPr>
      <w:r w:rsidRPr="00EC04EF">
        <w:rPr>
          <w:rFonts w:eastAsia="Calibri"/>
          <w:sz w:val="28"/>
          <w:szCs w:val="28"/>
          <w:lang w:eastAsia="en-US"/>
        </w:rPr>
        <w:t>где:</w:t>
      </w:r>
    </w:p>
    <w:p w:rsidR="00CE1891" w:rsidRPr="00EC04EF" w:rsidRDefault="00CE1891" w:rsidP="00CE1891">
      <w:pPr>
        <w:widowControl w:val="0"/>
        <w:ind w:firstLine="709"/>
        <w:jc w:val="both"/>
        <w:rPr>
          <w:rFonts w:eastAsia="Calibri"/>
          <w:sz w:val="28"/>
          <w:szCs w:val="28"/>
          <w:lang w:eastAsia="en-US"/>
        </w:rPr>
      </w:pPr>
      <w:r w:rsidRPr="00EC04EF">
        <w:rPr>
          <w:rFonts w:eastAsia="Calibri"/>
          <w:sz w:val="28"/>
          <w:szCs w:val="28"/>
          <w:lang w:eastAsia="en-US"/>
        </w:rPr>
        <w:t>Q</w:t>
      </w:r>
      <w:r w:rsidRPr="00EC04EF">
        <w:rPr>
          <w:rFonts w:eastAsia="Calibri"/>
          <w:sz w:val="28"/>
          <w:szCs w:val="28"/>
          <w:vertAlign w:val="superscript"/>
          <w:lang w:eastAsia="en-US"/>
        </w:rPr>
        <w:t>2022</w:t>
      </w:r>
      <w:r w:rsidRPr="00EC04EF">
        <w:rPr>
          <w:rFonts w:eastAsia="Calibri"/>
          <w:sz w:val="28"/>
          <w:szCs w:val="28"/>
          <w:vertAlign w:val="subscript"/>
          <w:lang w:eastAsia="en-US"/>
        </w:rPr>
        <w:t>Sар</w:t>
      </w:r>
      <w:r w:rsidRPr="00EC04EF">
        <w:rPr>
          <w:rFonts w:eastAsia="Calibri"/>
          <w:sz w:val="28"/>
          <w:szCs w:val="28"/>
          <w:lang w:eastAsia="en-US"/>
        </w:rPr>
        <w:t xml:space="preserve"> </w:t>
      </w:r>
      <w:r w:rsidRPr="00EC04EF">
        <w:rPr>
          <w:rFonts w:eastAsia="Constantia"/>
          <w:i/>
          <w:iCs/>
          <w:sz w:val="28"/>
          <w:szCs w:val="28"/>
          <w:lang w:bidi="ru-RU"/>
        </w:rPr>
        <w:t>-</w:t>
      </w:r>
      <w:r w:rsidRPr="00EC04EF">
        <w:rPr>
          <w:rFonts w:eastAsia="Calibri"/>
          <w:sz w:val="28"/>
          <w:szCs w:val="28"/>
          <w:lang w:eastAsia="en-US"/>
        </w:rPr>
        <w:t xml:space="preserve"> площадь лесных участков, находящихся в федеральной собственности, предоставленных по договорам аренды, за 2022 год, 526,7 га;</w:t>
      </w:r>
    </w:p>
    <w:p w:rsidR="00CE1891" w:rsidRPr="00EC04EF" w:rsidRDefault="00CE1891" w:rsidP="00CE1891">
      <w:pPr>
        <w:widowControl w:val="0"/>
        <w:ind w:firstLine="709"/>
        <w:jc w:val="both"/>
        <w:rPr>
          <w:rFonts w:eastAsia="Calibri"/>
          <w:sz w:val="28"/>
          <w:szCs w:val="28"/>
          <w:lang w:eastAsia="en-US"/>
        </w:rPr>
      </w:pPr>
      <w:r w:rsidRPr="00EC04EF">
        <w:rPr>
          <w:rFonts w:eastAsia="Calibri"/>
          <w:sz w:val="28"/>
          <w:szCs w:val="28"/>
          <w:lang w:eastAsia="en-US"/>
        </w:rPr>
        <w:t>Q</w:t>
      </w:r>
      <w:r w:rsidRPr="00EC04EF">
        <w:rPr>
          <w:rFonts w:eastAsia="Calibri"/>
          <w:sz w:val="28"/>
          <w:szCs w:val="28"/>
          <w:vertAlign w:val="superscript"/>
          <w:lang w:eastAsia="en-US"/>
        </w:rPr>
        <w:t>2021</w:t>
      </w:r>
      <w:r w:rsidRPr="00EC04EF">
        <w:rPr>
          <w:rFonts w:eastAsia="Calibri"/>
          <w:sz w:val="28"/>
          <w:szCs w:val="28"/>
          <w:vertAlign w:val="subscript"/>
          <w:lang w:eastAsia="en-US"/>
        </w:rPr>
        <w:t>Sар</w:t>
      </w:r>
      <w:r w:rsidRPr="00EC04EF">
        <w:rPr>
          <w:rFonts w:eastAsia="Calibri"/>
          <w:sz w:val="28"/>
          <w:szCs w:val="28"/>
          <w:lang w:eastAsia="en-US"/>
        </w:rPr>
        <w:t xml:space="preserve"> </w:t>
      </w:r>
      <w:r w:rsidRPr="00EC04EF">
        <w:rPr>
          <w:rFonts w:eastAsia="Constantia"/>
          <w:i/>
          <w:iCs/>
          <w:sz w:val="28"/>
          <w:szCs w:val="28"/>
          <w:lang w:bidi="ru-RU"/>
        </w:rPr>
        <w:t>-</w:t>
      </w:r>
      <w:r w:rsidRPr="00EC04EF">
        <w:rPr>
          <w:rFonts w:eastAsia="Calibri"/>
          <w:sz w:val="28"/>
          <w:szCs w:val="28"/>
          <w:lang w:eastAsia="en-US"/>
        </w:rPr>
        <w:t xml:space="preserve"> площадь лесных участков, находящихся в федеральной собственности, предоставленных по договорам аренды, за 2021 год, 545,4 га;</w:t>
      </w:r>
    </w:p>
    <w:p w:rsidR="00CE1891" w:rsidRPr="00EC04EF" w:rsidRDefault="00CE1891" w:rsidP="00CE1891">
      <w:pPr>
        <w:widowControl w:val="0"/>
        <w:ind w:firstLine="709"/>
        <w:jc w:val="both"/>
        <w:rPr>
          <w:rFonts w:eastAsia="Calibri"/>
          <w:sz w:val="28"/>
          <w:szCs w:val="28"/>
          <w:lang w:eastAsia="en-US"/>
        </w:rPr>
      </w:pPr>
    </w:p>
    <w:p w:rsidR="00CE1891" w:rsidRPr="00EC04EF" w:rsidRDefault="00CE1891" w:rsidP="00CE1891">
      <w:pPr>
        <w:widowControl w:val="0"/>
        <w:ind w:firstLine="709"/>
        <w:jc w:val="both"/>
        <w:rPr>
          <w:rFonts w:eastAsia="Calibri"/>
          <w:sz w:val="28"/>
          <w:szCs w:val="28"/>
          <w:lang w:eastAsia="en-US"/>
        </w:rPr>
      </w:pPr>
      <w:r w:rsidRPr="00EC04EF">
        <w:rPr>
          <w:rFonts w:eastAsia="Calibri"/>
          <w:sz w:val="28"/>
          <w:szCs w:val="28"/>
          <w:lang w:eastAsia="en-US"/>
        </w:rPr>
        <w:t>в) Т</w:t>
      </w:r>
      <w:r w:rsidRPr="00EC04EF">
        <w:rPr>
          <w:rFonts w:eastAsia="Calibri"/>
          <w:sz w:val="28"/>
          <w:szCs w:val="28"/>
          <w:vertAlign w:val="subscript"/>
          <w:lang w:eastAsia="en-US"/>
        </w:rPr>
        <w:t>Sар</w:t>
      </w:r>
      <w:r w:rsidRPr="00EC04EF">
        <w:rPr>
          <w:rFonts w:eastAsia="Calibri"/>
          <w:sz w:val="28"/>
          <w:szCs w:val="28"/>
          <w:vertAlign w:val="superscript"/>
          <w:lang w:eastAsia="en-US"/>
        </w:rPr>
        <w:t>2023</w:t>
      </w:r>
      <w:r w:rsidRPr="00EC04EF">
        <w:rPr>
          <w:rFonts w:eastAsia="Calibri"/>
          <w:sz w:val="28"/>
          <w:szCs w:val="28"/>
          <w:lang w:eastAsia="en-US"/>
        </w:rPr>
        <w:t xml:space="preserve"> </w:t>
      </w:r>
      <w:r w:rsidRPr="00EC04EF">
        <w:rPr>
          <w:rFonts w:eastAsia="Constantia"/>
          <w:i/>
          <w:iCs/>
          <w:sz w:val="28"/>
          <w:szCs w:val="28"/>
          <w:lang w:bidi="ru-RU"/>
        </w:rPr>
        <w:t>-</w:t>
      </w:r>
      <w:r w:rsidRPr="00EC04EF">
        <w:rPr>
          <w:rFonts w:eastAsia="Calibri"/>
          <w:sz w:val="28"/>
          <w:szCs w:val="28"/>
          <w:lang w:eastAsia="en-US"/>
        </w:rPr>
        <w:t xml:space="preserve"> темп роста (снижения) площади лесных участков, находящихся в федеральной собственности, предоставленных по договорам аренды, за 2023 год (ед.), 1,01:</w:t>
      </w:r>
    </w:p>
    <w:p w:rsidR="00CE1891" w:rsidRPr="00EC04EF" w:rsidRDefault="00CE1891" w:rsidP="00CE1891">
      <w:pPr>
        <w:widowControl w:val="0"/>
        <w:ind w:firstLine="709"/>
        <w:jc w:val="both"/>
        <w:rPr>
          <w:rFonts w:eastAsia="Calibri"/>
          <w:sz w:val="28"/>
          <w:szCs w:val="28"/>
          <w:lang w:eastAsia="en-US"/>
        </w:rPr>
      </w:pPr>
    </w:p>
    <w:p w:rsidR="00CE1891" w:rsidRPr="00EC04EF" w:rsidRDefault="00CE1891" w:rsidP="00CE1891">
      <w:pPr>
        <w:widowControl w:val="0"/>
        <w:ind w:firstLine="709"/>
        <w:jc w:val="center"/>
        <w:rPr>
          <w:rFonts w:eastAsia="Calibri"/>
          <w:sz w:val="28"/>
          <w:szCs w:val="28"/>
          <w:lang w:eastAsia="en-US"/>
        </w:rPr>
      </w:pPr>
      <w:r w:rsidRPr="00EC04EF">
        <w:rPr>
          <w:rFonts w:eastAsia="Calibri"/>
          <w:sz w:val="28"/>
          <w:szCs w:val="28"/>
          <w:lang w:eastAsia="en-US"/>
        </w:rPr>
        <w:t>Т</w:t>
      </w:r>
      <w:r w:rsidRPr="00EC04EF">
        <w:rPr>
          <w:rFonts w:eastAsia="Calibri"/>
          <w:sz w:val="28"/>
          <w:szCs w:val="28"/>
          <w:vertAlign w:val="subscript"/>
          <w:lang w:eastAsia="en-US"/>
        </w:rPr>
        <w:t>Sар</w:t>
      </w:r>
      <w:r w:rsidRPr="00EC04EF">
        <w:rPr>
          <w:rFonts w:eastAsia="Calibri"/>
          <w:sz w:val="28"/>
          <w:szCs w:val="28"/>
          <w:vertAlign w:val="superscript"/>
          <w:lang w:eastAsia="en-US"/>
        </w:rPr>
        <w:t>2023</w:t>
      </w:r>
      <w:r w:rsidRPr="00EC04EF">
        <w:rPr>
          <w:rFonts w:eastAsia="Calibri"/>
          <w:sz w:val="28"/>
          <w:szCs w:val="28"/>
          <w:lang w:eastAsia="en-US"/>
        </w:rPr>
        <w:t xml:space="preserve"> = Q</w:t>
      </w:r>
      <w:r w:rsidRPr="00EC04EF">
        <w:rPr>
          <w:rFonts w:eastAsia="Calibri"/>
          <w:sz w:val="28"/>
          <w:szCs w:val="28"/>
          <w:vertAlign w:val="superscript"/>
          <w:lang w:eastAsia="en-US"/>
        </w:rPr>
        <w:t>2023</w:t>
      </w:r>
      <w:r w:rsidRPr="00EC04EF">
        <w:rPr>
          <w:rFonts w:eastAsia="Calibri"/>
          <w:sz w:val="28"/>
          <w:szCs w:val="28"/>
          <w:vertAlign w:val="subscript"/>
          <w:lang w:eastAsia="en-US"/>
        </w:rPr>
        <w:t>Sар</w:t>
      </w:r>
      <w:r w:rsidRPr="00EC04EF">
        <w:rPr>
          <w:rFonts w:eastAsia="Calibri"/>
          <w:sz w:val="28"/>
          <w:szCs w:val="28"/>
          <w:lang w:eastAsia="en-US"/>
        </w:rPr>
        <w:t xml:space="preserve"> / Q</w:t>
      </w:r>
      <w:r w:rsidRPr="00EC04EF">
        <w:rPr>
          <w:rFonts w:eastAsia="Calibri"/>
          <w:sz w:val="28"/>
          <w:szCs w:val="28"/>
          <w:vertAlign w:val="superscript"/>
          <w:lang w:eastAsia="en-US"/>
        </w:rPr>
        <w:t>2022</w:t>
      </w:r>
      <w:r w:rsidRPr="00EC04EF">
        <w:rPr>
          <w:rFonts w:eastAsia="Calibri"/>
          <w:sz w:val="28"/>
          <w:szCs w:val="28"/>
          <w:vertAlign w:val="subscript"/>
          <w:lang w:eastAsia="en-US"/>
        </w:rPr>
        <w:t>ар</w:t>
      </w:r>
      <w:r w:rsidRPr="00EC04EF">
        <w:rPr>
          <w:rFonts w:eastAsia="Calibri"/>
          <w:sz w:val="28"/>
          <w:szCs w:val="28"/>
          <w:lang w:eastAsia="en-US"/>
        </w:rPr>
        <w:t>,</w:t>
      </w:r>
    </w:p>
    <w:p w:rsidR="00CE1891" w:rsidRPr="00EC04EF" w:rsidRDefault="00CE1891" w:rsidP="00CE1891">
      <w:pPr>
        <w:widowControl w:val="0"/>
        <w:ind w:firstLine="709"/>
        <w:jc w:val="center"/>
        <w:rPr>
          <w:rFonts w:eastAsia="Calibri"/>
          <w:sz w:val="28"/>
          <w:szCs w:val="28"/>
          <w:lang w:eastAsia="en-US"/>
        </w:rPr>
      </w:pPr>
      <w:r w:rsidRPr="00EC04EF">
        <w:rPr>
          <w:rFonts w:eastAsia="Calibri"/>
          <w:sz w:val="28"/>
          <w:szCs w:val="28"/>
          <w:lang w:eastAsia="en-US"/>
        </w:rPr>
        <w:t>1,01 = 527,2 /526,7</w:t>
      </w:r>
    </w:p>
    <w:p w:rsidR="00CE1891" w:rsidRPr="00EC04EF" w:rsidRDefault="00CE1891" w:rsidP="00CE1891">
      <w:pPr>
        <w:widowControl w:val="0"/>
        <w:ind w:firstLine="709"/>
        <w:jc w:val="center"/>
        <w:rPr>
          <w:rFonts w:eastAsia="Calibri"/>
          <w:sz w:val="28"/>
          <w:szCs w:val="28"/>
          <w:lang w:eastAsia="en-US"/>
        </w:rPr>
      </w:pPr>
    </w:p>
    <w:p w:rsidR="00CE1891" w:rsidRPr="00EC04EF" w:rsidRDefault="00CE1891" w:rsidP="00CE1891">
      <w:pPr>
        <w:widowControl w:val="0"/>
        <w:ind w:firstLine="709"/>
        <w:jc w:val="both"/>
        <w:rPr>
          <w:rFonts w:eastAsia="Calibri"/>
          <w:sz w:val="28"/>
          <w:szCs w:val="28"/>
          <w:lang w:eastAsia="en-US"/>
        </w:rPr>
      </w:pPr>
      <w:r w:rsidRPr="00EC04EF">
        <w:rPr>
          <w:rFonts w:eastAsia="Calibri"/>
          <w:sz w:val="28"/>
          <w:szCs w:val="28"/>
          <w:lang w:eastAsia="en-US"/>
        </w:rPr>
        <w:t>где:</w:t>
      </w:r>
    </w:p>
    <w:p w:rsidR="00CE1891" w:rsidRPr="00EC04EF" w:rsidRDefault="00CE1891" w:rsidP="00CE1891">
      <w:pPr>
        <w:widowControl w:val="0"/>
        <w:ind w:firstLine="709"/>
        <w:jc w:val="both"/>
        <w:rPr>
          <w:rFonts w:eastAsia="Calibri"/>
          <w:sz w:val="28"/>
          <w:szCs w:val="28"/>
          <w:lang w:eastAsia="en-US"/>
        </w:rPr>
      </w:pPr>
      <w:r w:rsidRPr="00EC04EF">
        <w:rPr>
          <w:rFonts w:eastAsia="Calibri"/>
          <w:sz w:val="28"/>
          <w:szCs w:val="28"/>
          <w:lang w:eastAsia="en-US"/>
        </w:rPr>
        <w:t>Q</w:t>
      </w:r>
      <w:r w:rsidRPr="00EC04EF">
        <w:rPr>
          <w:rFonts w:eastAsia="Calibri"/>
          <w:sz w:val="28"/>
          <w:szCs w:val="28"/>
          <w:vertAlign w:val="superscript"/>
          <w:lang w:eastAsia="en-US"/>
        </w:rPr>
        <w:t>2023</w:t>
      </w:r>
      <w:r w:rsidRPr="00EC04EF">
        <w:rPr>
          <w:rFonts w:eastAsia="Calibri"/>
          <w:sz w:val="28"/>
          <w:szCs w:val="28"/>
          <w:vertAlign w:val="subscript"/>
          <w:lang w:eastAsia="en-US"/>
        </w:rPr>
        <w:t>Sар</w:t>
      </w:r>
      <w:r w:rsidRPr="00EC04EF">
        <w:rPr>
          <w:rFonts w:eastAsia="Calibri"/>
          <w:sz w:val="28"/>
          <w:szCs w:val="28"/>
          <w:lang w:eastAsia="en-US"/>
        </w:rPr>
        <w:t xml:space="preserve"> </w:t>
      </w:r>
      <w:r w:rsidRPr="00EC04EF">
        <w:rPr>
          <w:rFonts w:eastAsia="Constantia"/>
          <w:i/>
          <w:iCs/>
          <w:sz w:val="28"/>
          <w:szCs w:val="28"/>
          <w:lang w:bidi="ru-RU"/>
        </w:rPr>
        <w:t>-</w:t>
      </w:r>
      <w:r w:rsidRPr="00EC04EF">
        <w:rPr>
          <w:rFonts w:eastAsia="Calibri"/>
          <w:sz w:val="28"/>
          <w:szCs w:val="28"/>
          <w:lang w:eastAsia="en-US"/>
        </w:rPr>
        <w:t xml:space="preserve"> площадь лесных участков, находящихся в федеральной собственности, предоставленных по договорам аренды, за 2023 год, 527,2 га;</w:t>
      </w:r>
    </w:p>
    <w:p w:rsidR="00CE1891" w:rsidRPr="00EC04EF" w:rsidRDefault="00CE1891" w:rsidP="00CE1891">
      <w:pPr>
        <w:widowControl w:val="0"/>
        <w:ind w:firstLine="709"/>
        <w:jc w:val="both"/>
        <w:rPr>
          <w:rFonts w:eastAsia="Calibri"/>
          <w:sz w:val="28"/>
          <w:szCs w:val="28"/>
          <w:lang w:eastAsia="en-US"/>
        </w:rPr>
      </w:pPr>
      <w:r w:rsidRPr="00EC04EF">
        <w:rPr>
          <w:rFonts w:eastAsia="Calibri"/>
          <w:sz w:val="28"/>
          <w:szCs w:val="28"/>
          <w:lang w:eastAsia="en-US"/>
        </w:rPr>
        <w:t>Q</w:t>
      </w:r>
      <w:r w:rsidRPr="00EC04EF">
        <w:rPr>
          <w:rFonts w:eastAsia="Calibri"/>
          <w:sz w:val="28"/>
          <w:szCs w:val="28"/>
          <w:vertAlign w:val="superscript"/>
          <w:lang w:eastAsia="en-US"/>
        </w:rPr>
        <w:t>2022</w:t>
      </w:r>
      <w:r w:rsidRPr="00EC04EF">
        <w:rPr>
          <w:rFonts w:eastAsia="Calibri"/>
          <w:sz w:val="28"/>
          <w:szCs w:val="28"/>
          <w:vertAlign w:val="subscript"/>
          <w:lang w:eastAsia="en-US"/>
        </w:rPr>
        <w:t>Sар</w:t>
      </w:r>
      <w:r w:rsidRPr="00EC04EF">
        <w:rPr>
          <w:rFonts w:eastAsia="Calibri"/>
          <w:sz w:val="28"/>
          <w:szCs w:val="28"/>
          <w:lang w:eastAsia="en-US"/>
        </w:rPr>
        <w:t xml:space="preserve"> </w:t>
      </w:r>
      <w:r w:rsidRPr="00EC04EF">
        <w:rPr>
          <w:rFonts w:eastAsia="Constantia"/>
          <w:i/>
          <w:iCs/>
          <w:sz w:val="28"/>
          <w:szCs w:val="28"/>
          <w:lang w:bidi="ru-RU"/>
        </w:rPr>
        <w:t>-</w:t>
      </w:r>
      <w:r w:rsidRPr="00EC04EF">
        <w:rPr>
          <w:rFonts w:eastAsia="Calibri"/>
          <w:sz w:val="28"/>
          <w:szCs w:val="28"/>
          <w:lang w:eastAsia="en-US"/>
        </w:rPr>
        <w:t xml:space="preserve"> площадь лесных участков, находящихся в федеральной собственности, предоставленных по договорам аренды, за 2022 год, 526,7 га;</w:t>
      </w:r>
    </w:p>
    <w:p w:rsidR="00CE1891" w:rsidRDefault="00CE1891" w:rsidP="00CE1891">
      <w:pPr>
        <w:ind w:firstLine="709"/>
        <w:jc w:val="both"/>
      </w:pPr>
    </w:p>
    <w:p w:rsidR="00CE1891" w:rsidRDefault="00CE1891" w:rsidP="00CE1891">
      <w:pPr>
        <w:ind w:firstLine="709"/>
        <w:jc w:val="both"/>
        <w:rPr>
          <w:b/>
          <w:sz w:val="28"/>
          <w:szCs w:val="28"/>
        </w:rPr>
      </w:pPr>
      <w:r w:rsidRPr="00890375">
        <w:rPr>
          <w:b/>
          <w:sz w:val="28"/>
          <w:szCs w:val="28"/>
        </w:rPr>
        <w:t xml:space="preserve">Плата </w:t>
      </w:r>
      <w:r>
        <w:rPr>
          <w:b/>
          <w:sz w:val="28"/>
          <w:szCs w:val="28"/>
        </w:rPr>
        <w:t>по виду деятельности -</w:t>
      </w:r>
      <w:r w:rsidRPr="00464704">
        <w:rPr>
          <w:b/>
          <w:sz w:val="28"/>
          <w:szCs w:val="28"/>
        </w:rPr>
        <w:t xml:space="preserve"> </w:t>
      </w:r>
      <w:r>
        <w:rPr>
          <w:b/>
          <w:sz w:val="28"/>
          <w:szCs w:val="28"/>
        </w:rPr>
        <w:t>з</w:t>
      </w:r>
      <w:r w:rsidRPr="00397935">
        <w:rPr>
          <w:b/>
          <w:sz w:val="28"/>
          <w:szCs w:val="28"/>
        </w:rPr>
        <w:t>аготовк</w:t>
      </w:r>
      <w:r>
        <w:rPr>
          <w:b/>
          <w:sz w:val="28"/>
          <w:szCs w:val="28"/>
        </w:rPr>
        <w:t>а</w:t>
      </w:r>
      <w:r w:rsidRPr="00397935">
        <w:rPr>
          <w:b/>
          <w:sz w:val="28"/>
          <w:szCs w:val="28"/>
        </w:rPr>
        <w:t xml:space="preserve"> пищевых лесных ресурсов и сбор</w:t>
      </w:r>
      <w:r>
        <w:rPr>
          <w:b/>
          <w:sz w:val="28"/>
          <w:szCs w:val="28"/>
        </w:rPr>
        <w:t>а</w:t>
      </w:r>
      <w:r w:rsidRPr="00397935">
        <w:rPr>
          <w:b/>
          <w:sz w:val="28"/>
          <w:szCs w:val="28"/>
        </w:rPr>
        <w:t xml:space="preserve"> лекарственных растений</w:t>
      </w:r>
      <w:r>
        <w:rPr>
          <w:sz w:val="28"/>
          <w:szCs w:val="28"/>
        </w:rPr>
        <w:t xml:space="preserve"> - </w:t>
      </w:r>
      <w:r w:rsidRPr="00F57450">
        <w:rPr>
          <w:b/>
          <w:sz w:val="28"/>
          <w:szCs w:val="28"/>
        </w:rPr>
        <w:t>рассчитывается по следующей формуле:</w:t>
      </w:r>
    </w:p>
    <w:p w:rsidR="00CE1891" w:rsidRDefault="00CE1891" w:rsidP="00CE1891">
      <w:pPr>
        <w:ind w:firstLine="709"/>
        <w:jc w:val="both"/>
        <w:rPr>
          <w:b/>
          <w:sz w:val="28"/>
          <w:szCs w:val="28"/>
        </w:rPr>
      </w:pPr>
    </w:p>
    <w:p w:rsidR="00CE1891" w:rsidRPr="00175972" w:rsidRDefault="00CE1891" w:rsidP="00CE1891">
      <w:pPr>
        <w:widowControl w:val="0"/>
        <w:ind w:firstLine="709"/>
        <w:rPr>
          <w:b/>
          <w:iCs/>
          <w:sz w:val="28"/>
          <w:szCs w:val="28"/>
          <w:lang w:bidi="ru-RU"/>
        </w:rPr>
      </w:pPr>
      <w:r w:rsidRPr="00175972">
        <w:rPr>
          <w:b/>
          <w:iCs/>
          <w:sz w:val="28"/>
          <w:szCs w:val="28"/>
          <w:lang w:bidi="ru-RU"/>
        </w:rPr>
        <w:t>Определение ожидаемой оценки на 2021 год</w:t>
      </w:r>
    </w:p>
    <w:p w:rsidR="00CE1891" w:rsidRPr="00B3516A" w:rsidRDefault="00CE1891" w:rsidP="00CE1891">
      <w:pPr>
        <w:widowControl w:val="0"/>
        <w:ind w:firstLine="709"/>
        <w:jc w:val="center"/>
        <w:rPr>
          <w:iCs/>
          <w:sz w:val="28"/>
          <w:szCs w:val="28"/>
          <w:lang w:bidi="en-US"/>
        </w:rPr>
      </w:pPr>
      <w:r w:rsidRPr="00B3516A">
        <w:rPr>
          <w:iCs/>
          <w:sz w:val="28"/>
          <w:szCs w:val="28"/>
          <w:lang w:bidi="ru-RU"/>
        </w:rPr>
        <w:t>П</w:t>
      </w:r>
      <w:r w:rsidRPr="00B3516A">
        <w:rPr>
          <w:iCs/>
          <w:sz w:val="28"/>
          <w:szCs w:val="28"/>
          <w:vertAlign w:val="subscript"/>
          <w:lang w:bidi="ru-RU"/>
        </w:rPr>
        <w:t>ар</w:t>
      </w:r>
      <w:r w:rsidRPr="00B3516A">
        <w:rPr>
          <w:iCs/>
          <w:sz w:val="28"/>
          <w:szCs w:val="28"/>
          <w:vertAlign w:val="superscript"/>
          <w:lang w:bidi="ru-RU"/>
        </w:rPr>
        <w:t>обл</w:t>
      </w:r>
      <w:r w:rsidRPr="00B3516A">
        <w:rPr>
          <w:iCs/>
          <w:sz w:val="28"/>
          <w:szCs w:val="28"/>
          <w:lang w:bidi="en-US"/>
        </w:rPr>
        <w:t xml:space="preserve"> = (C</w:t>
      </w:r>
      <w:r w:rsidRPr="00B3516A">
        <w:rPr>
          <w:iCs/>
          <w:sz w:val="28"/>
          <w:szCs w:val="28"/>
          <w:vertAlign w:val="subscript"/>
          <w:lang w:bidi="en-US"/>
        </w:rPr>
        <w:t>v</w:t>
      </w:r>
      <w:r w:rsidRPr="00B3516A">
        <w:rPr>
          <w:iCs/>
          <w:sz w:val="28"/>
          <w:szCs w:val="28"/>
          <w:vertAlign w:val="superscript"/>
          <w:lang w:bidi="en-US"/>
        </w:rPr>
        <w:t>ap</w:t>
      </w:r>
      <w:r w:rsidRPr="00B3516A">
        <w:rPr>
          <w:iCs/>
          <w:sz w:val="28"/>
          <w:szCs w:val="28"/>
          <w:lang w:bidi="en-US"/>
        </w:rPr>
        <w:t>*K</w:t>
      </w:r>
      <w:r w:rsidRPr="00B3516A">
        <w:rPr>
          <w:iCs/>
          <w:sz w:val="28"/>
          <w:szCs w:val="28"/>
          <w:vertAlign w:val="subscript"/>
          <w:lang w:bidi="en-US"/>
        </w:rPr>
        <w:t>2</w:t>
      </w:r>
      <w:r w:rsidRPr="00B3516A">
        <w:rPr>
          <w:iCs/>
          <w:sz w:val="28"/>
          <w:szCs w:val="28"/>
          <w:lang w:bidi="en-US"/>
        </w:rPr>
        <w:t>)*V</w:t>
      </w:r>
      <w:r w:rsidRPr="00B3516A">
        <w:rPr>
          <w:iCs/>
          <w:sz w:val="28"/>
          <w:szCs w:val="28"/>
          <w:vertAlign w:val="superscript"/>
          <w:lang w:bidi="en-US"/>
        </w:rPr>
        <w:t>cp</w:t>
      </w:r>
      <w:r w:rsidRPr="00B3516A">
        <w:rPr>
          <w:iCs/>
          <w:sz w:val="28"/>
          <w:szCs w:val="28"/>
          <w:vertAlign w:val="subscript"/>
          <w:lang w:bidi="en-US"/>
        </w:rPr>
        <w:t>ap</w:t>
      </w:r>
      <w:r w:rsidRPr="00B3516A">
        <w:rPr>
          <w:iCs/>
          <w:sz w:val="28"/>
          <w:szCs w:val="28"/>
          <w:lang w:bidi="en-US"/>
        </w:rPr>
        <w:t>*</w:t>
      </w:r>
      <w:r w:rsidRPr="00B3516A">
        <w:t xml:space="preserve"> </w:t>
      </w:r>
      <w:r w:rsidRPr="00B3516A">
        <w:rPr>
          <w:iCs/>
          <w:sz w:val="28"/>
          <w:szCs w:val="28"/>
          <w:lang w:bidi="en-US"/>
        </w:rPr>
        <w:t>Т</w:t>
      </w:r>
      <w:r w:rsidRPr="00B3516A">
        <w:rPr>
          <w:iCs/>
          <w:sz w:val="28"/>
          <w:szCs w:val="28"/>
          <w:vertAlign w:val="superscript"/>
          <w:lang w:bidi="en-US"/>
        </w:rPr>
        <w:t>ср</w:t>
      </w:r>
      <w:r w:rsidRPr="00B3516A">
        <w:rPr>
          <w:iCs/>
          <w:sz w:val="28"/>
          <w:szCs w:val="28"/>
          <w:vertAlign w:val="subscript"/>
          <w:lang w:bidi="en-US"/>
        </w:rPr>
        <w:t>Vар</w:t>
      </w:r>
    </w:p>
    <w:p w:rsidR="00CE1891" w:rsidRPr="00B3516A" w:rsidRDefault="00CE1891" w:rsidP="00CE1891">
      <w:pPr>
        <w:ind w:firstLine="709"/>
        <w:jc w:val="center"/>
        <w:rPr>
          <w:sz w:val="28"/>
          <w:szCs w:val="28"/>
        </w:rPr>
      </w:pPr>
      <w:r w:rsidRPr="00B3516A">
        <w:rPr>
          <w:sz w:val="28"/>
          <w:szCs w:val="28"/>
        </w:rPr>
        <w:t xml:space="preserve">270,5 = (7,4*2,35)*15,1*1,03 </w:t>
      </w:r>
    </w:p>
    <w:p w:rsidR="00CE1891" w:rsidRPr="00B3516A" w:rsidRDefault="00CE1891" w:rsidP="00CE1891">
      <w:pPr>
        <w:ind w:firstLine="709"/>
        <w:jc w:val="both"/>
        <w:rPr>
          <w:sz w:val="28"/>
          <w:szCs w:val="28"/>
        </w:rPr>
      </w:pPr>
      <w:r w:rsidRPr="00B3516A">
        <w:rPr>
          <w:sz w:val="28"/>
          <w:szCs w:val="28"/>
        </w:rPr>
        <w:t>где:</w:t>
      </w:r>
    </w:p>
    <w:p w:rsidR="00CE1891" w:rsidRPr="00397935" w:rsidRDefault="00CE1891" w:rsidP="00CE1891">
      <w:pPr>
        <w:widowControl w:val="0"/>
        <w:ind w:firstLine="709"/>
        <w:jc w:val="both"/>
        <w:rPr>
          <w:color w:val="000000"/>
          <w:sz w:val="28"/>
          <w:szCs w:val="28"/>
          <w:lang w:bidi="ru-RU"/>
        </w:rPr>
      </w:pPr>
      <w:r w:rsidRPr="00347AAC">
        <w:rPr>
          <w:sz w:val="28"/>
          <w:szCs w:val="28"/>
          <w:lang w:val="en-US" w:bidi="ru-RU"/>
        </w:rPr>
        <w:t>Cv</w:t>
      </w:r>
      <w:r w:rsidRPr="00347AAC">
        <w:rPr>
          <w:iCs/>
          <w:sz w:val="28"/>
          <w:szCs w:val="28"/>
          <w:vertAlign w:val="superscript"/>
          <w:lang w:bidi="en-US"/>
        </w:rPr>
        <w:t xml:space="preserve">ap </w:t>
      </w:r>
      <w:r w:rsidRPr="00347AAC">
        <w:rPr>
          <w:iCs/>
          <w:sz w:val="28"/>
          <w:szCs w:val="28"/>
          <w:lang w:bidi="en-US"/>
        </w:rPr>
        <w:t xml:space="preserve">- </w:t>
      </w:r>
      <w:r w:rsidRPr="00347AAC">
        <w:rPr>
          <w:sz w:val="28"/>
          <w:szCs w:val="28"/>
          <w:lang w:bidi="ru-RU"/>
        </w:rPr>
        <w:t xml:space="preserve"> средняя  плата, превышающая </w:t>
      </w:r>
      <w:r w:rsidRPr="00397935">
        <w:rPr>
          <w:color w:val="000000"/>
          <w:sz w:val="28"/>
          <w:szCs w:val="28"/>
          <w:lang w:bidi="ru-RU"/>
        </w:rPr>
        <w:t xml:space="preserve">минимальные ставки платы, за единицу объема лесных ресурсов (за исключением древесины) по договорам </w:t>
      </w:r>
      <w:r w:rsidRPr="00397935">
        <w:rPr>
          <w:color w:val="000000"/>
          <w:sz w:val="28"/>
          <w:szCs w:val="28"/>
          <w:lang w:bidi="ru-RU"/>
        </w:rPr>
        <w:lastRenderedPageBreak/>
        <w:t xml:space="preserve">аренды лесных участков, находящихся в федеральной собственности, сложившаяся по итогам предыдущего финансового года и приведенная к уровню 2007 года </w:t>
      </w:r>
      <w:r>
        <w:rPr>
          <w:iCs/>
          <w:color w:val="000000"/>
          <w:sz w:val="28"/>
          <w:szCs w:val="28"/>
          <w:lang w:bidi="ru-RU"/>
        </w:rPr>
        <w:t xml:space="preserve"> </w:t>
      </w:r>
      <w:r w:rsidRPr="00397935">
        <w:rPr>
          <w:color w:val="000000"/>
          <w:sz w:val="28"/>
          <w:szCs w:val="28"/>
          <w:lang w:bidi="ru-RU"/>
        </w:rPr>
        <w:t xml:space="preserve"> рассчитывается по формуле:</w:t>
      </w:r>
    </w:p>
    <w:p w:rsidR="00CE1891" w:rsidRPr="00397935" w:rsidRDefault="00CE1891" w:rsidP="00CE1891">
      <w:pPr>
        <w:widowControl w:val="0"/>
        <w:ind w:firstLine="709"/>
        <w:jc w:val="both"/>
        <w:rPr>
          <w:color w:val="000000"/>
          <w:sz w:val="28"/>
          <w:szCs w:val="28"/>
          <w:lang w:bidi="ru-RU"/>
        </w:rPr>
      </w:pPr>
    </w:p>
    <w:p w:rsidR="00CE1891" w:rsidRPr="003104DF" w:rsidRDefault="00CE1891" w:rsidP="00CE1891">
      <w:pPr>
        <w:widowControl w:val="0"/>
        <w:ind w:firstLine="709"/>
        <w:jc w:val="center"/>
        <w:rPr>
          <w:color w:val="000000"/>
          <w:sz w:val="28"/>
          <w:szCs w:val="28"/>
          <w:vertAlign w:val="superscript"/>
          <w:lang w:bidi="ru-RU"/>
        </w:rPr>
      </w:pPr>
      <w:r w:rsidRPr="003104DF">
        <w:rPr>
          <w:color w:val="000000"/>
          <w:sz w:val="28"/>
          <w:szCs w:val="28"/>
          <w:lang w:val="en-US" w:bidi="ru-RU"/>
        </w:rPr>
        <w:t>Cv</w:t>
      </w:r>
      <w:r w:rsidRPr="003104DF">
        <w:rPr>
          <w:color w:val="000000"/>
          <w:sz w:val="28"/>
          <w:szCs w:val="28"/>
          <w:vertAlign w:val="superscript"/>
          <w:lang w:bidi="ru-RU"/>
        </w:rPr>
        <w:t>ap=</w:t>
      </w:r>
      <w:r w:rsidRPr="003104DF">
        <w:rPr>
          <w:color w:val="000000"/>
          <w:sz w:val="28"/>
          <w:szCs w:val="28"/>
          <w:lang w:bidi="ru-RU"/>
        </w:rPr>
        <w:t xml:space="preserve"> П</w:t>
      </w:r>
      <w:r w:rsidRPr="003104DF">
        <w:rPr>
          <w:color w:val="000000"/>
          <w:sz w:val="28"/>
          <w:szCs w:val="28"/>
          <w:vertAlign w:val="subscript"/>
          <w:lang w:bidi="ru-RU"/>
        </w:rPr>
        <w:t>ар</w:t>
      </w:r>
      <w:r w:rsidRPr="003104DF">
        <w:rPr>
          <w:color w:val="000000"/>
          <w:sz w:val="28"/>
          <w:szCs w:val="28"/>
          <w:lang w:val="en-US" w:bidi="ru-RU"/>
        </w:rPr>
        <w:t>v</w:t>
      </w:r>
      <w:r w:rsidRPr="003104DF">
        <w:rPr>
          <w:color w:val="000000"/>
          <w:sz w:val="28"/>
          <w:szCs w:val="28"/>
          <w:vertAlign w:val="superscript"/>
          <w:lang w:bidi="ru-RU"/>
        </w:rPr>
        <w:t>причОБ</w:t>
      </w:r>
      <w:r w:rsidRPr="003104DF">
        <w:rPr>
          <w:iCs/>
          <w:color w:val="000000"/>
          <w:sz w:val="28"/>
          <w:szCs w:val="28"/>
          <w:lang w:bidi="ru-RU"/>
        </w:rPr>
        <w:t>/</w:t>
      </w:r>
      <w:r w:rsidRPr="003104DF">
        <w:rPr>
          <w:iCs/>
          <w:color w:val="000000"/>
          <w:sz w:val="28"/>
          <w:szCs w:val="28"/>
          <w:lang w:bidi="en-US"/>
        </w:rPr>
        <w:t>V</w:t>
      </w:r>
      <w:r w:rsidRPr="003104DF">
        <w:rPr>
          <w:iCs/>
          <w:color w:val="000000"/>
          <w:sz w:val="28"/>
          <w:szCs w:val="28"/>
          <w:vertAlign w:val="subscript"/>
          <w:lang w:bidi="en-US"/>
        </w:rPr>
        <w:t>ap</w:t>
      </w:r>
      <w:r w:rsidRPr="003104DF">
        <w:rPr>
          <w:color w:val="000000"/>
          <w:sz w:val="28"/>
          <w:szCs w:val="28"/>
          <w:vertAlign w:val="superscript"/>
          <w:lang w:bidi="ru-RU"/>
        </w:rPr>
        <w:t>предост</w:t>
      </w:r>
      <w:r w:rsidRPr="003104DF">
        <w:rPr>
          <w:iCs/>
          <w:color w:val="000000"/>
          <w:sz w:val="28"/>
          <w:szCs w:val="28"/>
          <w:lang w:bidi="ru-RU"/>
        </w:rPr>
        <w:t>/</w:t>
      </w:r>
      <w:r w:rsidRPr="003104DF">
        <w:rPr>
          <w:iCs/>
          <w:color w:val="000000"/>
          <w:sz w:val="28"/>
          <w:szCs w:val="28"/>
          <w:lang w:bidi="en-US"/>
        </w:rPr>
        <w:t>K</w:t>
      </w:r>
      <w:r w:rsidRPr="003104DF">
        <w:rPr>
          <w:color w:val="000000"/>
          <w:sz w:val="28"/>
          <w:szCs w:val="28"/>
          <w:vertAlign w:val="subscript"/>
          <w:lang w:bidi="ru-RU"/>
        </w:rPr>
        <w:t>2</w:t>
      </w:r>
      <w:r w:rsidRPr="003104DF">
        <w:rPr>
          <w:iCs/>
          <w:color w:val="000000"/>
          <w:sz w:val="28"/>
          <w:szCs w:val="28"/>
          <w:lang w:bidi="ru-RU"/>
        </w:rPr>
        <w:t xml:space="preserve"> </w:t>
      </w:r>
      <w:r w:rsidRPr="003104DF">
        <w:rPr>
          <w:iCs/>
          <w:color w:val="000000"/>
          <w:sz w:val="28"/>
          <w:szCs w:val="28"/>
          <w:vertAlign w:val="subscript"/>
          <w:lang w:bidi="ru-RU"/>
        </w:rPr>
        <w:t>пред год</w:t>
      </w:r>
    </w:p>
    <w:p w:rsidR="00CE1891" w:rsidRPr="00347AAC" w:rsidRDefault="00CE1891" w:rsidP="00CE1891">
      <w:pPr>
        <w:widowControl w:val="0"/>
        <w:ind w:firstLine="709"/>
        <w:jc w:val="center"/>
        <w:rPr>
          <w:sz w:val="28"/>
          <w:szCs w:val="28"/>
          <w:lang w:bidi="ru-RU"/>
        </w:rPr>
      </w:pPr>
      <w:r w:rsidRPr="00347AAC">
        <w:rPr>
          <w:sz w:val="28"/>
          <w:szCs w:val="28"/>
          <w:lang w:bidi="ru-RU"/>
        </w:rPr>
        <w:t>7,4 = 251,0 /15,1/2,26</w:t>
      </w:r>
    </w:p>
    <w:p w:rsidR="00CE1891" w:rsidRPr="00397935" w:rsidRDefault="00CE1891" w:rsidP="00CE1891">
      <w:pPr>
        <w:widowControl w:val="0"/>
        <w:ind w:firstLine="709"/>
        <w:jc w:val="both"/>
        <w:rPr>
          <w:color w:val="000000"/>
          <w:sz w:val="28"/>
          <w:szCs w:val="28"/>
          <w:lang w:bidi="ru-RU"/>
        </w:rPr>
      </w:pPr>
      <w:r w:rsidRPr="00397935">
        <w:rPr>
          <w:color w:val="000000"/>
          <w:sz w:val="28"/>
          <w:szCs w:val="28"/>
          <w:lang w:bidi="ru-RU"/>
        </w:rPr>
        <w:t>где:</w:t>
      </w:r>
    </w:p>
    <w:p w:rsidR="00CE1891" w:rsidRPr="00397935" w:rsidRDefault="00CE1891" w:rsidP="00CE1891">
      <w:pPr>
        <w:widowControl w:val="0"/>
        <w:ind w:firstLine="709"/>
        <w:jc w:val="both"/>
        <w:rPr>
          <w:color w:val="000000"/>
          <w:sz w:val="28"/>
          <w:szCs w:val="28"/>
          <w:lang w:bidi="ru-RU"/>
        </w:rPr>
      </w:pPr>
      <w:r w:rsidRPr="00397935">
        <w:rPr>
          <w:color w:val="000000"/>
          <w:sz w:val="28"/>
          <w:szCs w:val="28"/>
          <w:lang w:bidi="ru-RU"/>
        </w:rPr>
        <w:t>П</w:t>
      </w:r>
      <w:r w:rsidRPr="00397935">
        <w:rPr>
          <w:color w:val="000000"/>
          <w:sz w:val="28"/>
          <w:szCs w:val="28"/>
          <w:vertAlign w:val="subscript"/>
          <w:lang w:bidi="ru-RU"/>
        </w:rPr>
        <w:t>ар</w:t>
      </w:r>
      <w:r w:rsidRPr="00397935">
        <w:rPr>
          <w:color w:val="000000"/>
          <w:sz w:val="28"/>
          <w:szCs w:val="28"/>
          <w:lang w:val="en-US" w:bidi="ru-RU"/>
        </w:rPr>
        <w:t>v</w:t>
      </w:r>
      <w:r w:rsidRPr="00397935">
        <w:rPr>
          <w:color w:val="000000"/>
          <w:sz w:val="28"/>
          <w:szCs w:val="28"/>
          <w:vertAlign w:val="superscript"/>
          <w:lang w:bidi="ru-RU"/>
        </w:rPr>
        <w:t>причОБ</w:t>
      </w:r>
      <w:r w:rsidRPr="00397935">
        <w:rPr>
          <w:i/>
          <w:iCs/>
          <w:color w:val="000000"/>
          <w:sz w:val="28"/>
          <w:szCs w:val="28"/>
          <w:lang w:bidi="ru-RU"/>
        </w:rPr>
        <w:t xml:space="preserve">  -</w:t>
      </w:r>
      <w:r w:rsidRPr="00397935">
        <w:rPr>
          <w:color w:val="000000"/>
          <w:sz w:val="28"/>
          <w:szCs w:val="28"/>
          <w:lang w:bidi="ru-RU"/>
        </w:rPr>
        <w:t xml:space="preserve"> причитающийся в областной бюджет объем платежей за заготовку лесных ресурсов (за исключением древесины) по договорам аренды лесных участков, находящихся в федеральной собственности, в предыдущем финансовом году (тыс.руб</w:t>
      </w:r>
      <w:r w:rsidRPr="006555A8">
        <w:rPr>
          <w:sz w:val="28"/>
          <w:szCs w:val="28"/>
          <w:lang w:bidi="ru-RU"/>
        </w:rPr>
        <w:t xml:space="preserve">.), </w:t>
      </w:r>
      <w:r>
        <w:rPr>
          <w:sz w:val="28"/>
          <w:szCs w:val="28"/>
          <w:lang w:bidi="ru-RU"/>
        </w:rPr>
        <w:t xml:space="preserve">251,0 </w:t>
      </w:r>
      <w:r w:rsidRPr="006555A8">
        <w:rPr>
          <w:sz w:val="28"/>
          <w:szCs w:val="28"/>
          <w:lang w:bidi="ru-RU"/>
        </w:rPr>
        <w:t>тыс</w:t>
      </w:r>
      <w:r>
        <w:rPr>
          <w:color w:val="000000"/>
          <w:sz w:val="28"/>
          <w:szCs w:val="28"/>
          <w:lang w:bidi="ru-RU"/>
        </w:rPr>
        <w:t>. руб.</w:t>
      </w:r>
      <w:r w:rsidRPr="00397935">
        <w:rPr>
          <w:color w:val="000000"/>
          <w:sz w:val="28"/>
          <w:szCs w:val="28"/>
          <w:lang w:bidi="ru-RU"/>
        </w:rPr>
        <w:t>;</w:t>
      </w:r>
    </w:p>
    <w:p w:rsidR="00CE1891" w:rsidRPr="006555A8" w:rsidRDefault="00CE1891" w:rsidP="00CE1891">
      <w:pPr>
        <w:widowControl w:val="0"/>
        <w:ind w:firstLine="709"/>
        <w:jc w:val="both"/>
        <w:rPr>
          <w:sz w:val="28"/>
          <w:szCs w:val="28"/>
          <w:lang w:bidi="ru-RU"/>
        </w:rPr>
      </w:pPr>
      <w:r w:rsidRPr="003104DF">
        <w:rPr>
          <w:iCs/>
          <w:color w:val="000000"/>
          <w:sz w:val="28"/>
          <w:szCs w:val="28"/>
          <w:lang w:bidi="en-US"/>
        </w:rPr>
        <w:t>V</w:t>
      </w:r>
      <w:r w:rsidRPr="003104DF">
        <w:rPr>
          <w:iCs/>
          <w:color w:val="000000"/>
          <w:sz w:val="28"/>
          <w:szCs w:val="28"/>
          <w:vertAlign w:val="subscript"/>
          <w:lang w:bidi="en-US"/>
        </w:rPr>
        <w:t>ap</w:t>
      </w:r>
      <w:r w:rsidRPr="003104DF">
        <w:rPr>
          <w:color w:val="000000"/>
          <w:sz w:val="28"/>
          <w:szCs w:val="28"/>
          <w:vertAlign w:val="superscript"/>
          <w:lang w:bidi="ru-RU"/>
        </w:rPr>
        <w:t>предост</w:t>
      </w:r>
      <w:r w:rsidRPr="003104DF">
        <w:rPr>
          <w:iCs/>
          <w:color w:val="000000"/>
          <w:sz w:val="28"/>
          <w:szCs w:val="28"/>
          <w:lang w:bidi="ru-RU"/>
        </w:rPr>
        <w:t xml:space="preserve"> </w:t>
      </w:r>
      <w:r w:rsidRPr="00397935">
        <w:rPr>
          <w:i/>
          <w:iCs/>
          <w:color w:val="000000"/>
          <w:sz w:val="28"/>
          <w:szCs w:val="28"/>
          <w:lang w:bidi="ru-RU"/>
        </w:rPr>
        <w:t xml:space="preserve"> -</w:t>
      </w:r>
      <w:r w:rsidRPr="00397935">
        <w:rPr>
          <w:color w:val="000000"/>
          <w:sz w:val="28"/>
          <w:szCs w:val="28"/>
          <w:lang w:bidi="ru-RU"/>
        </w:rPr>
        <w:t xml:space="preserve"> объем лесных ресурсов (за исключением древесины), подлежащий заготовке по договорам аренды лесных участков, находящихся в федеральной собственности, в предыдущем финансовом </w:t>
      </w:r>
      <w:r w:rsidRPr="006555A8">
        <w:rPr>
          <w:sz w:val="28"/>
          <w:szCs w:val="28"/>
          <w:lang w:bidi="ru-RU"/>
        </w:rPr>
        <w:t>году (т), 15,1 т;</w:t>
      </w:r>
    </w:p>
    <w:p w:rsidR="00CE1891" w:rsidRDefault="00CE1891" w:rsidP="00CE1891">
      <w:pPr>
        <w:ind w:firstLine="709"/>
        <w:jc w:val="both"/>
        <w:rPr>
          <w:iCs/>
          <w:sz w:val="28"/>
          <w:szCs w:val="28"/>
          <w:lang w:bidi="ru-RU"/>
        </w:rPr>
      </w:pPr>
      <w:r w:rsidRPr="00397935">
        <w:rPr>
          <w:iCs/>
          <w:color w:val="000000"/>
          <w:sz w:val="28"/>
          <w:szCs w:val="28"/>
          <w:lang w:bidi="en-US"/>
        </w:rPr>
        <w:t>K</w:t>
      </w:r>
      <w:r w:rsidRPr="003104DF">
        <w:rPr>
          <w:color w:val="000000"/>
          <w:sz w:val="28"/>
          <w:szCs w:val="28"/>
          <w:vertAlign w:val="subscript"/>
          <w:lang w:bidi="ru-RU"/>
        </w:rPr>
        <w:t>2</w:t>
      </w:r>
      <w:r w:rsidRPr="00397935">
        <w:rPr>
          <w:iCs/>
          <w:color w:val="000000"/>
          <w:sz w:val="28"/>
          <w:szCs w:val="28"/>
          <w:lang w:bidi="ru-RU"/>
        </w:rPr>
        <w:t xml:space="preserve"> </w:t>
      </w:r>
      <w:r w:rsidRPr="00397935">
        <w:rPr>
          <w:iCs/>
          <w:color w:val="000000"/>
          <w:sz w:val="28"/>
          <w:szCs w:val="28"/>
          <w:vertAlign w:val="subscript"/>
          <w:lang w:bidi="ru-RU"/>
        </w:rPr>
        <w:t>пред год</w:t>
      </w:r>
      <w:r w:rsidRPr="00397935">
        <w:rPr>
          <w:i/>
          <w:iCs/>
          <w:color w:val="000000"/>
          <w:sz w:val="28"/>
          <w:szCs w:val="28"/>
          <w:lang w:bidi="ru-RU"/>
        </w:rPr>
        <w:t xml:space="preserve"> -</w:t>
      </w:r>
      <w:r w:rsidRPr="00397935">
        <w:rPr>
          <w:color w:val="000000"/>
          <w:sz w:val="28"/>
          <w:szCs w:val="28"/>
          <w:lang w:bidi="ru-RU"/>
        </w:rPr>
        <w:t xml:space="preserve"> коэффициент к ставкам платы за единицу объема лесных ресурсов (за исключением древесины), находящегося в федеральной собственности, установленный Правительством Российской Федерации в предыдущем финансовом </w:t>
      </w:r>
      <w:r w:rsidRPr="006555A8">
        <w:rPr>
          <w:sz w:val="28"/>
          <w:szCs w:val="28"/>
          <w:lang w:bidi="ru-RU"/>
        </w:rPr>
        <w:t xml:space="preserve">году, </w:t>
      </w:r>
      <w:r>
        <w:rPr>
          <w:sz w:val="28"/>
          <w:szCs w:val="28"/>
          <w:lang w:bidi="ru-RU"/>
        </w:rPr>
        <w:t>2,26;</w:t>
      </w:r>
    </w:p>
    <w:p w:rsidR="00CE1891" w:rsidRPr="006555A8" w:rsidRDefault="00CE1891" w:rsidP="00CE1891">
      <w:pPr>
        <w:ind w:firstLine="709"/>
        <w:jc w:val="both"/>
        <w:rPr>
          <w:sz w:val="28"/>
          <w:szCs w:val="28"/>
          <w:lang w:bidi="ru-RU"/>
        </w:rPr>
      </w:pPr>
      <w:r w:rsidRPr="00B3516A">
        <w:rPr>
          <w:iCs/>
          <w:sz w:val="28"/>
          <w:szCs w:val="28"/>
          <w:lang w:bidi="ru-RU"/>
        </w:rPr>
        <w:t>К</w:t>
      </w:r>
      <w:r w:rsidRPr="00B3516A">
        <w:rPr>
          <w:iCs/>
          <w:sz w:val="28"/>
          <w:szCs w:val="28"/>
          <w:vertAlign w:val="subscript"/>
          <w:lang w:bidi="ru-RU"/>
        </w:rPr>
        <w:t>2</w:t>
      </w:r>
      <w:r w:rsidRPr="00B3516A">
        <w:rPr>
          <w:i/>
          <w:iCs/>
          <w:sz w:val="28"/>
          <w:szCs w:val="28"/>
          <w:lang w:bidi="ru-RU"/>
        </w:rPr>
        <w:t xml:space="preserve"> -</w:t>
      </w:r>
      <w:r w:rsidRPr="00B3516A">
        <w:rPr>
          <w:sz w:val="28"/>
          <w:szCs w:val="28"/>
          <w:lang w:bidi="ru-RU"/>
        </w:rPr>
        <w:t xml:space="preserve"> </w:t>
      </w:r>
      <w:r w:rsidRPr="00FC0C0F">
        <w:rPr>
          <w:sz w:val="28"/>
          <w:szCs w:val="28"/>
          <w:lang w:bidi="ru-RU"/>
        </w:rPr>
        <w:t>коэффициент к ставкам платы за единицу объема лесных ресурсов (за исключением древесины),</w:t>
      </w:r>
      <w:r w:rsidRPr="00464704">
        <w:rPr>
          <w:sz w:val="28"/>
          <w:szCs w:val="28"/>
          <w:lang w:bidi="ru-RU"/>
        </w:rPr>
        <w:t xml:space="preserve"> находящегося в федеральной собственности, установленный Правител</w:t>
      </w:r>
      <w:r>
        <w:rPr>
          <w:sz w:val="28"/>
          <w:szCs w:val="28"/>
          <w:lang w:bidi="ru-RU"/>
        </w:rPr>
        <w:t>ьством Российской Федерации, 2,35</w:t>
      </w:r>
      <w:r w:rsidRPr="00464704">
        <w:rPr>
          <w:sz w:val="28"/>
          <w:szCs w:val="28"/>
          <w:lang w:bidi="ru-RU"/>
        </w:rPr>
        <w:t>;</w:t>
      </w:r>
    </w:p>
    <w:p w:rsidR="00CE1891" w:rsidRPr="00397935" w:rsidRDefault="00CE1891" w:rsidP="00CE1891">
      <w:pPr>
        <w:ind w:firstLine="709"/>
        <w:jc w:val="both"/>
        <w:rPr>
          <w:color w:val="000000"/>
          <w:sz w:val="28"/>
          <w:szCs w:val="28"/>
          <w:lang w:bidi="ru-RU"/>
        </w:rPr>
      </w:pPr>
      <w:r w:rsidRPr="0092584B">
        <w:rPr>
          <w:iCs/>
          <w:color w:val="000000"/>
          <w:sz w:val="28"/>
          <w:szCs w:val="28"/>
          <w:lang w:bidi="en-US"/>
        </w:rPr>
        <w:t>V</w:t>
      </w:r>
      <w:r w:rsidRPr="0092584B">
        <w:rPr>
          <w:iCs/>
          <w:color w:val="000000"/>
          <w:sz w:val="28"/>
          <w:szCs w:val="28"/>
          <w:vertAlign w:val="superscript"/>
          <w:lang w:bidi="en-US"/>
        </w:rPr>
        <w:t>cp</w:t>
      </w:r>
      <w:r w:rsidRPr="0092584B">
        <w:rPr>
          <w:iCs/>
          <w:color w:val="000000"/>
          <w:sz w:val="28"/>
          <w:szCs w:val="28"/>
          <w:vertAlign w:val="subscript"/>
          <w:lang w:bidi="en-US"/>
        </w:rPr>
        <w:t>ap</w:t>
      </w:r>
      <w:r w:rsidRPr="00397935">
        <w:rPr>
          <w:color w:val="000000"/>
          <w:sz w:val="28"/>
          <w:szCs w:val="28"/>
          <w:lang w:bidi="ru-RU"/>
        </w:rPr>
        <w:t xml:space="preserve"> </w:t>
      </w:r>
      <w:r>
        <w:rPr>
          <w:color w:val="000000"/>
          <w:sz w:val="28"/>
          <w:szCs w:val="28"/>
          <w:lang w:bidi="ru-RU"/>
        </w:rPr>
        <w:t>- с</w:t>
      </w:r>
      <w:r w:rsidRPr="00397935">
        <w:rPr>
          <w:color w:val="000000"/>
          <w:sz w:val="28"/>
          <w:szCs w:val="28"/>
          <w:lang w:bidi="ru-RU"/>
        </w:rPr>
        <w:t>редний объем лесных ресурсов (за исключением древесины), подлежащий заготовке по договорам аренды лесных участков, находящихся в федеральной собственности,</w:t>
      </w:r>
      <w:r>
        <w:rPr>
          <w:iCs/>
          <w:color w:val="000000"/>
          <w:sz w:val="28"/>
          <w:szCs w:val="28"/>
          <w:lang w:bidi="ru-RU"/>
        </w:rPr>
        <w:t xml:space="preserve"> (т):</w:t>
      </w:r>
    </w:p>
    <w:p w:rsidR="00CE1891" w:rsidRPr="003104DF" w:rsidRDefault="00CE1891" w:rsidP="00CE1891">
      <w:pPr>
        <w:ind w:firstLine="709"/>
        <w:jc w:val="both"/>
        <w:rPr>
          <w:color w:val="000000"/>
          <w:sz w:val="28"/>
          <w:szCs w:val="28"/>
          <w:lang w:bidi="ru-RU"/>
        </w:rPr>
      </w:pPr>
    </w:p>
    <w:p w:rsidR="00CE1891" w:rsidRPr="003104DF" w:rsidRDefault="00CE1891" w:rsidP="00CE1891">
      <w:pPr>
        <w:ind w:firstLine="709"/>
        <w:jc w:val="center"/>
        <w:rPr>
          <w:iCs/>
          <w:color w:val="000000"/>
          <w:sz w:val="28"/>
          <w:szCs w:val="28"/>
          <w:lang w:bidi="ru-RU"/>
        </w:rPr>
      </w:pPr>
      <w:r w:rsidRPr="003104DF">
        <w:rPr>
          <w:iCs/>
          <w:color w:val="000000"/>
          <w:sz w:val="28"/>
          <w:szCs w:val="28"/>
          <w:lang w:bidi="en-US"/>
        </w:rPr>
        <w:t>V</w:t>
      </w:r>
      <w:r w:rsidRPr="003104DF">
        <w:rPr>
          <w:iCs/>
          <w:color w:val="000000"/>
          <w:sz w:val="28"/>
          <w:szCs w:val="28"/>
          <w:vertAlign w:val="superscript"/>
          <w:lang w:bidi="en-US"/>
        </w:rPr>
        <w:t>cp</w:t>
      </w:r>
      <w:r w:rsidRPr="003104DF">
        <w:rPr>
          <w:iCs/>
          <w:color w:val="000000"/>
          <w:sz w:val="28"/>
          <w:szCs w:val="28"/>
          <w:lang w:bidi="ru-RU"/>
        </w:rPr>
        <w:t xml:space="preserve"> </w:t>
      </w:r>
      <w:r w:rsidRPr="003104DF">
        <w:rPr>
          <w:iCs/>
          <w:color w:val="000000"/>
          <w:sz w:val="28"/>
          <w:szCs w:val="28"/>
          <w:vertAlign w:val="subscript"/>
          <w:lang w:bidi="ru-RU"/>
        </w:rPr>
        <w:t>ар</w:t>
      </w:r>
      <w:r w:rsidRPr="003104DF">
        <w:rPr>
          <w:color w:val="000000"/>
          <w:sz w:val="28"/>
          <w:szCs w:val="28"/>
          <w:vertAlign w:val="superscript"/>
          <w:lang w:bidi="ru-RU"/>
        </w:rPr>
        <w:t>=</w:t>
      </w:r>
      <w:r w:rsidRPr="003104DF">
        <w:rPr>
          <w:color w:val="000000"/>
          <w:sz w:val="28"/>
          <w:szCs w:val="28"/>
          <w:lang w:bidi="ru-RU"/>
        </w:rPr>
        <w:t xml:space="preserve"> ∑</w:t>
      </w:r>
      <w:r w:rsidRPr="003104DF">
        <w:rPr>
          <w:color w:val="000000"/>
          <w:sz w:val="28"/>
          <w:szCs w:val="28"/>
          <w:vertAlign w:val="superscript"/>
          <w:lang w:bidi="ru-RU"/>
        </w:rPr>
        <w:t>3</w:t>
      </w:r>
      <w:r w:rsidRPr="003104DF">
        <w:rPr>
          <w:color w:val="000000"/>
          <w:sz w:val="28"/>
          <w:szCs w:val="28"/>
          <w:vertAlign w:val="subscript"/>
          <w:lang w:val="en-US" w:bidi="ru-RU"/>
        </w:rPr>
        <w:t>t</w:t>
      </w:r>
      <w:r w:rsidRPr="003104DF">
        <w:rPr>
          <w:color w:val="000000"/>
          <w:sz w:val="28"/>
          <w:szCs w:val="28"/>
          <w:vertAlign w:val="subscript"/>
          <w:lang w:bidi="ru-RU"/>
        </w:rPr>
        <w:t>=1</w:t>
      </w:r>
      <w:r w:rsidRPr="003104DF">
        <w:rPr>
          <w:iCs/>
          <w:color w:val="000000"/>
          <w:sz w:val="28"/>
          <w:szCs w:val="28"/>
          <w:lang w:bidi="en-US"/>
        </w:rPr>
        <w:t>V</w:t>
      </w:r>
      <w:r w:rsidRPr="003104DF">
        <w:rPr>
          <w:iCs/>
          <w:color w:val="000000"/>
          <w:sz w:val="28"/>
          <w:szCs w:val="28"/>
          <w:vertAlign w:val="subscript"/>
          <w:lang w:bidi="ru-RU"/>
        </w:rPr>
        <w:t>ар</w:t>
      </w:r>
      <w:r w:rsidRPr="003104DF">
        <w:rPr>
          <w:iCs/>
          <w:color w:val="000000"/>
          <w:sz w:val="28"/>
          <w:szCs w:val="28"/>
          <w:lang w:bidi="ru-RU"/>
        </w:rPr>
        <w:t xml:space="preserve"> /3,</w:t>
      </w:r>
    </w:p>
    <w:p w:rsidR="00CE1891" w:rsidRPr="006555A8" w:rsidRDefault="00CE1891" w:rsidP="00CE1891">
      <w:pPr>
        <w:ind w:firstLine="709"/>
        <w:jc w:val="center"/>
        <w:rPr>
          <w:sz w:val="28"/>
          <w:szCs w:val="28"/>
          <w:lang w:bidi="ru-RU"/>
        </w:rPr>
      </w:pPr>
      <w:r w:rsidRPr="006555A8">
        <w:rPr>
          <w:sz w:val="28"/>
          <w:szCs w:val="28"/>
          <w:lang w:bidi="ru-RU"/>
        </w:rPr>
        <w:t>15,1 = (15,1+15,1+15,1)/3</w:t>
      </w:r>
    </w:p>
    <w:p w:rsidR="00CE1891" w:rsidRPr="006555A8" w:rsidRDefault="00CE1891" w:rsidP="00CE1891">
      <w:pPr>
        <w:ind w:firstLine="709"/>
        <w:jc w:val="both"/>
        <w:rPr>
          <w:sz w:val="28"/>
          <w:szCs w:val="28"/>
          <w:lang w:bidi="ru-RU"/>
        </w:rPr>
      </w:pPr>
      <w:r w:rsidRPr="006555A8">
        <w:rPr>
          <w:sz w:val="28"/>
          <w:szCs w:val="28"/>
          <w:lang w:bidi="ru-RU"/>
        </w:rPr>
        <w:t>где:</w:t>
      </w:r>
    </w:p>
    <w:p w:rsidR="00CE1891" w:rsidRPr="006555A8" w:rsidRDefault="00CE1891" w:rsidP="00CE1891">
      <w:pPr>
        <w:ind w:firstLine="709"/>
        <w:jc w:val="both"/>
        <w:rPr>
          <w:sz w:val="28"/>
          <w:szCs w:val="28"/>
          <w:lang w:bidi="ru-RU"/>
        </w:rPr>
      </w:pPr>
      <w:r w:rsidRPr="006555A8">
        <w:rPr>
          <w:sz w:val="28"/>
          <w:szCs w:val="28"/>
          <w:lang w:bidi="ru-RU"/>
        </w:rPr>
        <w:t>∑</w:t>
      </w:r>
      <w:r w:rsidRPr="006555A8">
        <w:rPr>
          <w:sz w:val="28"/>
          <w:szCs w:val="28"/>
          <w:vertAlign w:val="superscript"/>
          <w:lang w:bidi="ru-RU"/>
        </w:rPr>
        <w:t>3</w:t>
      </w:r>
      <w:r w:rsidRPr="006555A8">
        <w:rPr>
          <w:sz w:val="28"/>
          <w:szCs w:val="28"/>
          <w:vertAlign w:val="subscript"/>
          <w:lang w:val="en-US" w:bidi="ru-RU"/>
        </w:rPr>
        <w:t>t</w:t>
      </w:r>
      <w:r w:rsidRPr="006555A8">
        <w:rPr>
          <w:sz w:val="28"/>
          <w:szCs w:val="28"/>
          <w:vertAlign w:val="subscript"/>
          <w:lang w:bidi="ru-RU"/>
        </w:rPr>
        <w:t>=1</w:t>
      </w:r>
      <w:r w:rsidRPr="006555A8">
        <w:rPr>
          <w:iCs/>
          <w:sz w:val="28"/>
          <w:szCs w:val="28"/>
          <w:lang w:bidi="en-US"/>
        </w:rPr>
        <w:t>V</w:t>
      </w:r>
      <w:r w:rsidRPr="006555A8">
        <w:rPr>
          <w:iCs/>
          <w:sz w:val="28"/>
          <w:szCs w:val="28"/>
          <w:vertAlign w:val="subscript"/>
          <w:lang w:bidi="ru-RU"/>
        </w:rPr>
        <w:t>ар</w:t>
      </w:r>
      <w:r w:rsidRPr="006555A8">
        <w:rPr>
          <w:i/>
          <w:iCs/>
          <w:sz w:val="28"/>
          <w:szCs w:val="28"/>
          <w:lang w:bidi="ru-RU"/>
        </w:rPr>
        <w:t xml:space="preserve"> </w:t>
      </w:r>
      <w:r w:rsidRPr="006555A8">
        <w:rPr>
          <w:sz w:val="28"/>
          <w:szCs w:val="28"/>
          <w:lang w:bidi="ru-RU"/>
        </w:rPr>
        <w:t>-</w:t>
      </w:r>
      <w:r w:rsidRPr="006555A8">
        <w:rPr>
          <w:i/>
          <w:iCs/>
          <w:sz w:val="28"/>
          <w:szCs w:val="28"/>
          <w:lang w:bidi="ru-RU"/>
        </w:rPr>
        <w:t xml:space="preserve"> </w:t>
      </w:r>
      <w:r w:rsidRPr="006555A8">
        <w:rPr>
          <w:sz w:val="28"/>
          <w:szCs w:val="28"/>
          <w:lang w:bidi="ru-RU"/>
        </w:rPr>
        <w:t>сумма годовых величин объемов лесных ресурсов, подлежащих заготовке по договорам аренды лесных участков, за три года, предшествующих прогнозируемому году (т), 45,3 т.</w:t>
      </w:r>
    </w:p>
    <w:p w:rsidR="00CE1891" w:rsidRDefault="00CE1891" w:rsidP="00CE1891">
      <w:pPr>
        <w:ind w:firstLine="709"/>
        <w:jc w:val="both"/>
        <w:rPr>
          <w:color w:val="000000"/>
          <w:sz w:val="28"/>
          <w:szCs w:val="28"/>
          <w:lang w:bidi="ru-RU"/>
        </w:rPr>
      </w:pPr>
    </w:p>
    <w:p w:rsidR="00CE1891" w:rsidRPr="006555A8" w:rsidRDefault="00CE1891" w:rsidP="00CE1891">
      <w:pPr>
        <w:widowControl w:val="0"/>
        <w:ind w:firstLine="709"/>
        <w:jc w:val="both"/>
        <w:rPr>
          <w:sz w:val="28"/>
          <w:szCs w:val="28"/>
        </w:rPr>
      </w:pPr>
      <w:r w:rsidRPr="006555A8">
        <w:rPr>
          <w:sz w:val="28"/>
          <w:szCs w:val="28"/>
        </w:rPr>
        <w:t>Т</w:t>
      </w:r>
      <w:r w:rsidRPr="006555A8">
        <w:rPr>
          <w:sz w:val="28"/>
          <w:szCs w:val="28"/>
          <w:vertAlign w:val="superscript"/>
        </w:rPr>
        <w:t>ср</w:t>
      </w:r>
      <w:r w:rsidRPr="006555A8">
        <w:rPr>
          <w:sz w:val="28"/>
          <w:szCs w:val="28"/>
          <w:vertAlign w:val="subscript"/>
          <w:lang w:val="en-US"/>
        </w:rPr>
        <w:t>V</w:t>
      </w:r>
      <w:r w:rsidRPr="006555A8">
        <w:rPr>
          <w:sz w:val="28"/>
          <w:szCs w:val="28"/>
          <w:vertAlign w:val="subscript"/>
        </w:rPr>
        <w:t>ар</w:t>
      </w:r>
      <w:r w:rsidRPr="006555A8">
        <w:rPr>
          <w:sz w:val="28"/>
          <w:szCs w:val="28"/>
        </w:rPr>
        <w:t xml:space="preserve"> </w:t>
      </w:r>
      <w:r w:rsidRPr="006555A8">
        <w:rPr>
          <w:rFonts w:eastAsia="Constantia"/>
          <w:i/>
          <w:iCs/>
          <w:sz w:val="28"/>
          <w:szCs w:val="28"/>
          <w:lang w:bidi="ru-RU"/>
        </w:rPr>
        <w:t>-</w:t>
      </w:r>
      <w:r w:rsidRPr="006555A8">
        <w:rPr>
          <w:sz w:val="28"/>
          <w:szCs w:val="28"/>
        </w:rPr>
        <w:t xml:space="preserve"> средний темп роста (снижения) объема лесных ресурсов (за исключением древесины), подлежащего заготовке по договорам аренды лесных участков, находящихся в федеральной собственности, за три отчетных года, предшествующих прогнозируемому году (ед.), 1,03:</w:t>
      </w:r>
    </w:p>
    <w:p w:rsidR="00CE1891" w:rsidRPr="006555A8" w:rsidRDefault="00CE1891" w:rsidP="00CE1891">
      <w:pPr>
        <w:widowControl w:val="0"/>
        <w:ind w:firstLine="709"/>
        <w:jc w:val="both"/>
        <w:rPr>
          <w:sz w:val="28"/>
          <w:szCs w:val="28"/>
        </w:rPr>
      </w:pPr>
    </w:p>
    <w:p w:rsidR="00CE1891" w:rsidRPr="006555A8" w:rsidRDefault="00CE1891" w:rsidP="00CE1891">
      <w:pPr>
        <w:ind w:firstLine="709"/>
        <w:jc w:val="center"/>
        <w:rPr>
          <w:rFonts w:eastAsia="Constantia"/>
          <w:iCs/>
          <w:sz w:val="28"/>
          <w:szCs w:val="28"/>
        </w:rPr>
      </w:pPr>
      <w:r w:rsidRPr="006555A8">
        <w:rPr>
          <w:sz w:val="28"/>
          <w:szCs w:val="28"/>
        </w:rPr>
        <w:t>Т</w:t>
      </w:r>
      <w:r w:rsidRPr="006555A8">
        <w:rPr>
          <w:sz w:val="28"/>
          <w:szCs w:val="28"/>
          <w:vertAlign w:val="superscript"/>
        </w:rPr>
        <w:t>ср</w:t>
      </w:r>
      <w:r w:rsidRPr="006555A8">
        <w:rPr>
          <w:sz w:val="28"/>
          <w:szCs w:val="28"/>
          <w:vertAlign w:val="subscript"/>
          <w:lang w:val="en-US"/>
        </w:rPr>
        <w:t>V</w:t>
      </w:r>
      <w:r w:rsidRPr="006555A8">
        <w:rPr>
          <w:sz w:val="28"/>
          <w:szCs w:val="28"/>
          <w:vertAlign w:val="subscript"/>
        </w:rPr>
        <w:t>ар</w:t>
      </w:r>
      <w:r w:rsidRPr="006555A8">
        <w:rPr>
          <w:sz w:val="28"/>
          <w:szCs w:val="28"/>
          <w:vertAlign w:val="superscript"/>
        </w:rPr>
        <w:t xml:space="preserve"> =</w:t>
      </w:r>
      <w:r w:rsidRPr="006555A8">
        <w:rPr>
          <w:sz w:val="28"/>
          <w:szCs w:val="28"/>
        </w:rPr>
        <w:t xml:space="preserve"> ∑</w:t>
      </w:r>
      <w:r w:rsidRPr="006555A8">
        <w:rPr>
          <w:sz w:val="28"/>
          <w:szCs w:val="28"/>
          <w:vertAlign w:val="superscript"/>
        </w:rPr>
        <w:t>3</w:t>
      </w:r>
      <w:r w:rsidRPr="006555A8">
        <w:rPr>
          <w:sz w:val="28"/>
          <w:szCs w:val="28"/>
          <w:vertAlign w:val="subscript"/>
          <w:lang w:val="en-US"/>
        </w:rPr>
        <w:t>t</w:t>
      </w:r>
      <w:r w:rsidRPr="006555A8">
        <w:rPr>
          <w:sz w:val="28"/>
          <w:szCs w:val="28"/>
          <w:vertAlign w:val="subscript"/>
        </w:rPr>
        <w:t>=1</w:t>
      </w:r>
      <w:r w:rsidRPr="006555A8">
        <w:rPr>
          <w:sz w:val="28"/>
          <w:szCs w:val="28"/>
        </w:rPr>
        <w:t xml:space="preserve"> Т</w:t>
      </w:r>
      <w:r w:rsidRPr="006555A8">
        <w:rPr>
          <w:sz w:val="28"/>
          <w:szCs w:val="28"/>
          <w:vertAlign w:val="subscript"/>
          <w:lang w:val="en-US"/>
        </w:rPr>
        <w:t>V</w:t>
      </w:r>
      <w:r w:rsidRPr="006555A8">
        <w:rPr>
          <w:sz w:val="28"/>
          <w:szCs w:val="28"/>
          <w:vertAlign w:val="subscript"/>
        </w:rPr>
        <w:t>ар</w:t>
      </w:r>
      <w:r w:rsidRPr="006555A8">
        <w:rPr>
          <w:rFonts w:eastAsia="Constantia"/>
          <w:iCs/>
          <w:sz w:val="28"/>
          <w:szCs w:val="28"/>
        </w:rPr>
        <w:t xml:space="preserve"> /3,</w:t>
      </w:r>
    </w:p>
    <w:p w:rsidR="00CE1891" w:rsidRPr="006555A8" w:rsidRDefault="00CE1891" w:rsidP="00CE1891">
      <w:pPr>
        <w:widowControl w:val="0"/>
        <w:ind w:firstLine="709"/>
        <w:jc w:val="center"/>
        <w:rPr>
          <w:sz w:val="28"/>
          <w:szCs w:val="28"/>
        </w:rPr>
      </w:pPr>
      <w:r w:rsidRPr="006555A8">
        <w:rPr>
          <w:sz w:val="28"/>
          <w:szCs w:val="28"/>
        </w:rPr>
        <w:t>1,03 = (1,08 + 1,0 + 1,0)/3</w:t>
      </w:r>
    </w:p>
    <w:p w:rsidR="00CE1891" w:rsidRPr="006555A8" w:rsidRDefault="00CE1891" w:rsidP="00CE1891">
      <w:pPr>
        <w:widowControl w:val="0"/>
        <w:ind w:firstLine="709"/>
        <w:jc w:val="both"/>
        <w:rPr>
          <w:sz w:val="28"/>
          <w:szCs w:val="28"/>
        </w:rPr>
      </w:pPr>
      <w:r w:rsidRPr="006555A8">
        <w:rPr>
          <w:sz w:val="28"/>
          <w:szCs w:val="28"/>
        </w:rPr>
        <w:t>где:</w:t>
      </w:r>
    </w:p>
    <w:p w:rsidR="00CE1891" w:rsidRDefault="00CE1891" w:rsidP="00CE1891">
      <w:pPr>
        <w:widowControl w:val="0"/>
        <w:ind w:firstLine="709"/>
        <w:jc w:val="both"/>
        <w:rPr>
          <w:sz w:val="28"/>
          <w:szCs w:val="28"/>
        </w:rPr>
      </w:pPr>
      <w:r w:rsidRPr="006555A8">
        <w:rPr>
          <w:sz w:val="28"/>
          <w:szCs w:val="28"/>
        </w:rPr>
        <w:t>∑</w:t>
      </w:r>
      <w:r w:rsidRPr="006555A8">
        <w:rPr>
          <w:sz w:val="28"/>
          <w:szCs w:val="28"/>
          <w:vertAlign w:val="superscript"/>
        </w:rPr>
        <w:t>3</w:t>
      </w:r>
      <w:r w:rsidRPr="006555A8">
        <w:rPr>
          <w:sz w:val="28"/>
          <w:szCs w:val="28"/>
          <w:vertAlign w:val="subscript"/>
          <w:lang w:val="en-US"/>
        </w:rPr>
        <w:t>t</w:t>
      </w:r>
      <w:r w:rsidRPr="006555A8">
        <w:rPr>
          <w:sz w:val="28"/>
          <w:szCs w:val="28"/>
          <w:vertAlign w:val="subscript"/>
        </w:rPr>
        <w:t>=1</w:t>
      </w:r>
      <w:r w:rsidRPr="006555A8">
        <w:rPr>
          <w:sz w:val="28"/>
          <w:szCs w:val="28"/>
        </w:rPr>
        <w:t xml:space="preserve"> Т</w:t>
      </w:r>
      <w:r w:rsidRPr="006555A8">
        <w:rPr>
          <w:sz w:val="28"/>
          <w:szCs w:val="28"/>
          <w:vertAlign w:val="subscript"/>
          <w:lang w:val="en-US"/>
        </w:rPr>
        <w:t>V</w:t>
      </w:r>
      <w:r w:rsidRPr="006555A8">
        <w:rPr>
          <w:sz w:val="28"/>
          <w:szCs w:val="28"/>
          <w:vertAlign w:val="subscript"/>
        </w:rPr>
        <w:t>ар</w:t>
      </w:r>
      <w:r w:rsidRPr="006555A8">
        <w:rPr>
          <w:sz w:val="28"/>
          <w:szCs w:val="28"/>
        </w:rPr>
        <w:t xml:space="preserve">  </w:t>
      </w:r>
      <w:r w:rsidRPr="006555A8">
        <w:rPr>
          <w:rFonts w:eastAsia="Constantia"/>
          <w:i/>
          <w:iCs/>
          <w:sz w:val="28"/>
          <w:szCs w:val="28"/>
          <w:lang w:bidi="ru-RU"/>
        </w:rPr>
        <w:t>-</w:t>
      </w:r>
      <w:r w:rsidRPr="006555A8">
        <w:rPr>
          <w:sz w:val="28"/>
          <w:szCs w:val="28"/>
        </w:rPr>
        <w:t xml:space="preserve"> сумма темпов роста (снижения) объема лесных ресурсов (за исключением древесины), подлежащего заготовке по договорам аренды лесных участков, находящихся в федеральной собственности, за три отчетных года, предшествующих прогнозируемому году, (ед.), 3,08</w:t>
      </w:r>
      <w:r>
        <w:rPr>
          <w:sz w:val="28"/>
          <w:szCs w:val="28"/>
        </w:rPr>
        <w:t>:</w:t>
      </w:r>
    </w:p>
    <w:p w:rsidR="00CE1891" w:rsidRPr="006555A8" w:rsidRDefault="00CE1891" w:rsidP="00CE1891">
      <w:pPr>
        <w:widowControl w:val="0"/>
        <w:ind w:firstLine="709"/>
        <w:jc w:val="both"/>
        <w:rPr>
          <w:sz w:val="28"/>
          <w:szCs w:val="28"/>
        </w:rPr>
      </w:pPr>
    </w:p>
    <w:p w:rsidR="00CE1891" w:rsidRPr="006555A8" w:rsidRDefault="00CE1891" w:rsidP="00CE1891">
      <w:pPr>
        <w:widowControl w:val="0"/>
        <w:ind w:firstLine="709"/>
        <w:jc w:val="center"/>
        <w:rPr>
          <w:sz w:val="28"/>
          <w:szCs w:val="28"/>
          <w:vertAlign w:val="superscript"/>
        </w:rPr>
      </w:pPr>
      <w:r w:rsidRPr="006555A8">
        <w:rPr>
          <w:sz w:val="28"/>
          <w:szCs w:val="28"/>
        </w:rPr>
        <w:lastRenderedPageBreak/>
        <w:t>∑</w:t>
      </w:r>
      <w:r w:rsidRPr="006555A8">
        <w:rPr>
          <w:sz w:val="28"/>
          <w:szCs w:val="28"/>
          <w:vertAlign w:val="superscript"/>
        </w:rPr>
        <w:t>3</w:t>
      </w:r>
      <w:r w:rsidRPr="006555A8">
        <w:rPr>
          <w:sz w:val="28"/>
          <w:szCs w:val="28"/>
          <w:vertAlign w:val="subscript"/>
          <w:lang w:val="en-US"/>
        </w:rPr>
        <w:t>t</w:t>
      </w:r>
      <w:r w:rsidRPr="006555A8">
        <w:rPr>
          <w:sz w:val="28"/>
          <w:szCs w:val="28"/>
          <w:vertAlign w:val="subscript"/>
        </w:rPr>
        <w:t>=1</w:t>
      </w:r>
      <w:r w:rsidRPr="006555A8">
        <w:rPr>
          <w:sz w:val="28"/>
          <w:szCs w:val="28"/>
        </w:rPr>
        <w:t xml:space="preserve"> Т</w:t>
      </w:r>
      <w:r w:rsidRPr="006555A8">
        <w:rPr>
          <w:sz w:val="28"/>
          <w:szCs w:val="28"/>
          <w:vertAlign w:val="subscript"/>
          <w:lang w:val="en-US"/>
        </w:rPr>
        <w:t>V</w:t>
      </w:r>
      <w:r w:rsidRPr="006555A8">
        <w:rPr>
          <w:sz w:val="28"/>
          <w:szCs w:val="28"/>
          <w:vertAlign w:val="subscript"/>
        </w:rPr>
        <w:t>ар</w:t>
      </w:r>
      <w:r w:rsidRPr="006555A8">
        <w:rPr>
          <w:sz w:val="28"/>
          <w:szCs w:val="28"/>
        </w:rPr>
        <w:t xml:space="preserve">  = Т</w:t>
      </w:r>
      <w:r w:rsidRPr="006555A8">
        <w:rPr>
          <w:sz w:val="28"/>
          <w:szCs w:val="28"/>
          <w:vertAlign w:val="subscript"/>
          <w:lang w:val="en-US"/>
        </w:rPr>
        <w:t>V</w:t>
      </w:r>
      <w:r w:rsidRPr="006555A8">
        <w:rPr>
          <w:sz w:val="28"/>
          <w:szCs w:val="28"/>
          <w:vertAlign w:val="subscript"/>
        </w:rPr>
        <w:t>ар</w:t>
      </w:r>
      <w:r w:rsidRPr="006555A8">
        <w:rPr>
          <w:sz w:val="28"/>
          <w:szCs w:val="28"/>
          <w:vertAlign w:val="superscript"/>
        </w:rPr>
        <w:t xml:space="preserve">2018 </w:t>
      </w:r>
      <w:r w:rsidRPr="006555A8">
        <w:rPr>
          <w:sz w:val="28"/>
          <w:szCs w:val="28"/>
        </w:rPr>
        <w:t>+ Т</w:t>
      </w:r>
      <w:r w:rsidRPr="006555A8">
        <w:rPr>
          <w:sz w:val="28"/>
          <w:szCs w:val="28"/>
          <w:vertAlign w:val="subscript"/>
          <w:lang w:val="en-US"/>
        </w:rPr>
        <w:t>V</w:t>
      </w:r>
      <w:r w:rsidRPr="006555A8">
        <w:rPr>
          <w:sz w:val="28"/>
          <w:szCs w:val="28"/>
          <w:vertAlign w:val="subscript"/>
        </w:rPr>
        <w:t>ар</w:t>
      </w:r>
      <w:r w:rsidRPr="006555A8">
        <w:rPr>
          <w:sz w:val="28"/>
          <w:szCs w:val="28"/>
          <w:vertAlign w:val="superscript"/>
        </w:rPr>
        <w:t xml:space="preserve">2019 </w:t>
      </w:r>
      <w:r w:rsidRPr="006555A8">
        <w:rPr>
          <w:sz w:val="28"/>
          <w:szCs w:val="28"/>
        </w:rPr>
        <w:t>+ Т</w:t>
      </w:r>
      <w:r w:rsidRPr="006555A8">
        <w:rPr>
          <w:sz w:val="28"/>
          <w:szCs w:val="28"/>
          <w:vertAlign w:val="subscript"/>
          <w:lang w:val="en-US"/>
        </w:rPr>
        <w:t>v</w:t>
      </w:r>
      <w:r w:rsidRPr="006555A8">
        <w:rPr>
          <w:sz w:val="28"/>
          <w:szCs w:val="28"/>
          <w:vertAlign w:val="subscript"/>
        </w:rPr>
        <w:t>ар</w:t>
      </w:r>
      <w:r w:rsidRPr="006555A8">
        <w:rPr>
          <w:sz w:val="28"/>
          <w:szCs w:val="28"/>
          <w:vertAlign w:val="superscript"/>
        </w:rPr>
        <w:t>2020</w:t>
      </w:r>
    </w:p>
    <w:p w:rsidR="00CE1891" w:rsidRPr="006555A8" w:rsidRDefault="00CE1891" w:rsidP="00CE1891">
      <w:pPr>
        <w:widowControl w:val="0"/>
        <w:ind w:firstLine="709"/>
        <w:jc w:val="center"/>
        <w:rPr>
          <w:sz w:val="28"/>
          <w:szCs w:val="28"/>
        </w:rPr>
      </w:pPr>
      <w:r w:rsidRPr="006555A8">
        <w:rPr>
          <w:sz w:val="28"/>
          <w:szCs w:val="28"/>
        </w:rPr>
        <w:t>3,08 = 1,08 + 1,0 + 1,0</w:t>
      </w:r>
    </w:p>
    <w:p w:rsidR="00CE1891" w:rsidRPr="00A47A0A" w:rsidRDefault="00CE1891" w:rsidP="00CE1891">
      <w:pPr>
        <w:widowControl w:val="0"/>
        <w:ind w:firstLine="709"/>
        <w:jc w:val="center"/>
        <w:rPr>
          <w:sz w:val="28"/>
          <w:szCs w:val="28"/>
        </w:rPr>
      </w:pPr>
    </w:p>
    <w:p w:rsidR="00CE1891" w:rsidRPr="00F41922" w:rsidRDefault="00CE1891" w:rsidP="00CE1891">
      <w:pPr>
        <w:widowControl w:val="0"/>
        <w:ind w:firstLine="709"/>
        <w:jc w:val="both"/>
        <w:rPr>
          <w:sz w:val="28"/>
          <w:szCs w:val="28"/>
        </w:rPr>
      </w:pPr>
      <w:r w:rsidRPr="006555A8">
        <w:rPr>
          <w:sz w:val="28"/>
          <w:szCs w:val="28"/>
        </w:rPr>
        <w:t>Т</w:t>
      </w:r>
      <w:r w:rsidRPr="006555A8">
        <w:rPr>
          <w:sz w:val="28"/>
          <w:szCs w:val="28"/>
          <w:vertAlign w:val="subscript"/>
        </w:rPr>
        <w:t>Vар</w:t>
      </w:r>
      <w:r w:rsidRPr="006555A8">
        <w:rPr>
          <w:sz w:val="28"/>
          <w:szCs w:val="28"/>
        </w:rPr>
        <w:t xml:space="preserve"> - темп роста (снижения) объема лесных ресурсов </w:t>
      </w:r>
      <w:r w:rsidRPr="006D3E8F">
        <w:rPr>
          <w:sz w:val="28"/>
          <w:szCs w:val="28"/>
        </w:rPr>
        <w:t>(за исключением древесины), подлежащего заготовке по договорам аренды лесных участков, находящихся в федеральной собственности, за год (ед.), определяется по формуле:</w:t>
      </w:r>
    </w:p>
    <w:p w:rsidR="00CE1891" w:rsidRDefault="00CE1891" w:rsidP="00CE1891">
      <w:pPr>
        <w:widowControl w:val="0"/>
        <w:ind w:firstLine="709"/>
        <w:jc w:val="center"/>
        <w:rPr>
          <w:sz w:val="28"/>
          <w:szCs w:val="28"/>
          <w:vertAlign w:val="subscript"/>
        </w:rPr>
      </w:pPr>
      <w:r w:rsidRPr="003D3489">
        <w:rPr>
          <w:sz w:val="28"/>
          <w:szCs w:val="28"/>
        </w:rPr>
        <w:t>Т</w:t>
      </w:r>
      <w:r w:rsidRPr="006D3E8F">
        <w:rPr>
          <w:sz w:val="28"/>
          <w:szCs w:val="28"/>
          <w:vertAlign w:val="subscript"/>
        </w:rPr>
        <w:t>Vар</w:t>
      </w:r>
      <w:r w:rsidRPr="006D3E8F">
        <w:rPr>
          <w:sz w:val="28"/>
          <w:szCs w:val="28"/>
        </w:rPr>
        <w:t xml:space="preserve"> =</w:t>
      </w:r>
      <w:r w:rsidRPr="006D3E8F">
        <w:rPr>
          <w:sz w:val="28"/>
          <w:szCs w:val="28"/>
          <w:vertAlign w:val="subscript"/>
        </w:rPr>
        <w:t xml:space="preserve"> </w:t>
      </w:r>
      <w:r w:rsidRPr="006D3E8F">
        <w:rPr>
          <w:sz w:val="28"/>
          <w:szCs w:val="28"/>
          <w:lang w:val="en-US"/>
        </w:rPr>
        <w:t>Q</w:t>
      </w:r>
      <w:r w:rsidRPr="006D3E8F">
        <w:rPr>
          <w:sz w:val="28"/>
          <w:szCs w:val="28"/>
          <w:vertAlign w:val="superscript"/>
          <w:lang w:val="en-US"/>
        </w:rPr>
        <w:t>n</w:t>
      </w:r>
      <w:r w:rsidRPr="006D3E8F">
        <w:rPr>
          <w:sz w:val="28"/>
          <w:szCs w:val="28"/>
          <w:vertAlign w:val="subscript"/>
          <w:lang w:val="en-US"/>
        </w:rPr>
        <w:t>V</w:t>
      </w:r>
      <w:r w:rsidRPr="006D3E8F">
        <w:rPr>
          <w:sz w:val="28"/>
          <w:szCs w:val="28"/>
          <w:vertAlign w:val="subscript"/>
        </w:rPr>
        <w:t>ар</w:t>
      </w:r>
      <w:r w:rsidRPr="006D3E8F">
        <w:rPr>
          <w:sz w:val="28"/>
          <w:szCs w:val="28"/>
        </w:rPr>
        <w:t xml:space="preserve">/ </w:t>
      </w:r>
      <w:r w:rsidRPr="006D3E8F">
        <w:rPr>
          <w:sz w:val="28"/>
          <w:szCs w:val="28"/>
          <w:lang w:val="en-US"/>
        </w:rPr>
        <w:t>Q</w:t>
      </w:r>
      <w:r w:rsidRPr="006D3E8F">
        <w:rPr>
          <w:sz w:val="28"/>
          <w:szCs w:val="28"/>
          <w:vertAlign w:val="superscript"/>
          <w:lang w:val="en-US"/>
        </w:rPr>
        <w:t>n</w:t>
      </w:r>
      <w:r w:rsidRPr="006D3E8F">
        <w:rPr>
          <w:sz w:val="28"/>
          <w:szCs w:val="28"/>
          <w:vertAlign w:val="superscript"/>
        </w:rPr>
        <w:t>-1</w:t>
      </w:r>
      <w:r w:rsidRPr="006D3E8F">
        <w:rPr>
          <w:sz w:val="28"/>
          <w:szCs w:val="28"/>
          <w:vertAlign w:val="subscript"/>
          <w:lang w:val="en-US"/>
        </w:rPr>
        <w:t>V</w:t>
      </w:r>
      <w:r w:rsidRPr="006D3E8F">
        <w:rPr>
          <w:sz w:val="28"/>
          <w:szCs w:val="28"/>
          <w:vertAlign w:val="subscript"/>
        </w:rPr>
        <w:t>ар</w:t>
      </w:r>
      <w:r>
        <w:rPr>
          <w:sz w:val="28"/>
          <w:szCs w:val="28"/>
          <w:vertAlign w:val="subscript"/>
        </w:rPr>
        <w:t xml:space="preserve"> </w:t>
      </w:r>
    </w:p>
    <w:p w:rsidR="00CE1891" w:rsidRPr="00A47A0A" w:rsidRDefault="00CE1891" w:rsidP="00CE1891">
      <w:pPr>
        <w:widowControl w:val="0"/>
        <w:ind w:firstLine="709"/>
        <w:jc w:val="center"/>
        <w:rPr>
          <w:sz w:val="28"/>
          <w:szCs w:val="28"/>
          <w:vertAlign w:val="subscript"/>
        </w:rPr>
      </w:pPr>
    </w:p>
    <w:p w:rsidR="00CE1891" w:rsidRDefault="00CE1891" w:rsidP="00CE1891">
      <w:pPr>
        <w:widowControl w:val="0"/>
        <w:ind w:firstLine="709"/>
        <w:jc w:val="both"/>
        <w:rPr>
          <w:sz w:val="28"/>
          <w:szCs w:val="28"/>
        </w:rPr>
      </w:pPr>
      <w:r>
        <w:rPr>
          <w:sz w:val="28"/>
          <w:szCs w:val="28"/>
        </w:rPr>
        <w:t>где:</w:t>
      </w:r>
    </w:p>
    <w:p w:rsidR="00CE1891" w:rsidRDefault="00CE1891" w:rsidP="00CE1891">
      <w:pPr>
        <w:widowControl w:val="0"/>
        <w:ind w:firstLine="709"/>
        <w:jc w:val="both"/>
        <w:rPr>
          <w:sz w:val="28"/>
          <w:szCs w:val="28"/>
        </w:rPr>
      </w:pPr>
      <w:r w:rsidRPr="006D3E8F">
        <w:rPr>
          <w:sz w:val="28"/>
          <w:szCs w:val="28"/>
          <w:lang w:val="en-US"/>
        </w:rPr>
        <w:t>Q</w:t>
      </w:r>
      <w:r w:rsidRPr="006D3E8F">
        <w:rPr>
          <w:sz w:val="28"/>
          <w:szCs w:val="28"/>
          <w:vertAlign w:val="superscript"/>
          <w:lang w:val="en-US"/>
        </w:rPr>
        <w:t>n</w:t>
      </w:r>
      <w:r w:rsidRPr="006D3E8F">
        <w:rPr>
          <w:sz w:val="28"/>
          <w:szCs w:val="28"/>
          <w:vertAlign w:val="subscript"/>
          <w:lang w:val="en-US"/>
        </w:rPr>
        <w:t>V</w:t>
      </w:r>
      <w:r w:rsidRPr="006D3E8F">
        <w:rPr>
          <w:sz w:val="28"/>
          <w:szCs w:val="28"/>
          <w:vertAlign w:val="subscript"/>
        </w:rPr>
        <w:t>ар</w:t>
      </w:r>
      <w:r>
        <w:rPr>
          <w:sz w:val="28"/>
          <w:szCs w:val="28"/>
          <w:vertAlign w:val="subscript"/>
        </w:rPr>
        <w:t xml:space="preserve"> </w:t>
      </w:r>
      <w:r w:rsidRPr="006D3E8F">
        <w:rPr>
          <w:sz w:val="28"/>
          <w:szCs w:val="28"/>
        </w:rPr>
        <w:t>- объем лесных ресурсов (за исключением древесины), подлежащий заготовке по договорам аренды лесных участков, находящихся в федеральной собственности, за год (ед.);</w:t>
      </w:r>
    </w:p>
    <w:p w:rsidR="00CE1891" w:rsidRPr="006D3E8F" w:rsidRDefault="00CE1891" w:rsidP="00CE1891">
      <w:pPr>
        <w:widowControl w:val="0"/>
        <w:ind w:firstLine="709"/>
        <w:jc w:val="both"/>
        <w:rPr>
          <w:sz w:val="28"/>
          <w:szCs w:val="28"/>
        </w:rPr>
      </w:pPr>
      <w:r w:rsidRPr="006D3E8F">
        <w:rPr>
          <w:sz w:val="28"/>
          <w:szCs w:val="28"/>
          <w:lang w:val="en-US"/>
        </w:rPr>
        <w:t>Q</w:t>
      </w:r>
      <w:r w:rsidRPr="006D3E8F">
        <w:rPr>
          <w:sz w:val="28"/>
          <w:szCs w:val="28"/>
          <w:vertAlign w:val="superscript"/>
          <w:lang w:val="en-US"/>
        </w:rPr>
        <w:t>n</w:t>
      </w:r>
      <w:r w:rsidRPr="006D3E8F">
        <w:rPr>
          <w:sz w:val="28"/>
          <w:szCs w:val="28"/>
          <w:vertAlign w:val="superscript"/>
        </w:rPr>
        <w:t>-1</w:t>
      </w:r>
      <w:r w:rsidRPr="006D3E8F">
        <w:rPr>
          <w:sz w:val="28"/>
          <w:szCs w:val="28"/>
          <w:vertAlign w:val="subscript"/>
          <w:lang w:val="en-US"/>
        </w:rPr>
        <w:t>V</w:t>
      </w:r>
      <w:r w:rsidRPr="006D3E8F">
        <w:rPr>
          <w:sz w:val="28"/>
          <w:szCs w:val="28"/>
          <w:vertAlign w:val="subscript"/>
        </w:rPr>
        <w:t>ар</w:t>
      </w:r>
      <w:r>
        <w:rPr>
          <w:sz w:val="28"/>
          <w:szCs w:val="28"/>
          <w:vertAlign w:val="subscript"/>
        </w:rPr>
        <w:t xml:space="preserve"> </w:t>
      </w:r>
      <w:r w:rsidRPr="006D3E8F">
        <w:rPr>
          <w:sz w:val="28"/>
          <w:szCs w:val="28"/>
        </w:rPr>
        <w:t>- объем лесных ресурсов (за исключением древесины), подлежащий заготовке по договорам аренды лесных участков, находящихся в федеральной собственности, за предыдущий год (ед.);</w:t>
      </w:r>
    </w:p>
    <w:p w:rsidR="00CE1891" w:rsidRPr="006D3E8F" w:rsidRDefault="00CE1891" w:rsidP="00CE1891">
      <w:pPr>
        <w:widowControl w:val="0"/>
        <w:ind w:firstLine="709"/>
        <w:jc w:val="center"/>
        <w:rPr>
          <w:sz w:val="28"/>
          <w:szCs w:val="28"/>
        </w:rPr>
      </w:pPr>
    </w:p>
    <w:p w:rsidR="00CE1891" w:rsidRDefault="00CE1891" w:rsidP="00CE1891">
      <w:pPr>
        <w:widowControl w:val="0"/>
        <w:ind w:firstLine="709"/>
        <w:jc w:val="both"/>
        <w:rPr>
          <w:sz w:val="28"/>
          <w:szCs w:val="28"/>
        </w:rPr>
      </w:pPr>
      <w:r>
        <w:rPr>
          <w:sz w:val="28"/>
          <w:szCs w:val="28"/>
        </w:rPr>
        <w:t>в том числе по годам:</w:t>
      </w:r>
    </w:p>
    <w:p w:rsidR="00CE1891" w:rsidRPr="00A506F2" w:rsidRDefault="00CE1891" w:rsidP="00CE1891">
      <w:pPr>
        <w:widowControl w:val="0"/>
        <w:ind w:firstLine="709"/>
        <w:jc w:val="both"/>
        <w:rPr>
          <w:sz w:val="28"/>
          <w:szCs w:val="28"/>
        </w:rPr>
      </w:pPr>
      <w:r>
        <w:rPr>
          <w:sz w:val="28"/>
          <w:szCs w:val="28"/>
        </w:rPr>
        <w:t xml:space="preserve">а) </w:t>
      </w:r>
      <w:r w:rsidRPr="003D3489">
        <w:rPr>
          <w:sz w:val="28"/>
          <w:szCs w:val="28"/>
        </w:rPr>
        <w:t>Т</w:t>
      </w:r>
      <w:r>
        <w:rPr>
          <w:sz w:val="28"/>
          <w:szCs w:val="28"/>
          <w:vertAlign w:val="subscript"/>
          <w:lang w:val="en-US"/>
        </w:rPr>
        <w:t>V</w:t>
      </w:r>
      <w:r w:rsidRPr="003D3489">
        <w:rPr>
          <w:sz w:val="28"/>
          <w:szCs w:val="28"/>
          <w:vertAlign w:val="subscript"/>
        </w:rPr>
        <w:t>ар</w:t>
      </w:r>
      <w:r>
        <w:rPr>
          <w:sz w:val="28"/>
          <w:szCs w:val="28"/>
          <w:vertAlign w:val="superscript"/>
        </w:rPr>
        <w:t>2018</w:t>
      </w:r>
      <w:r w:rsidRPr="003D3489">
        <w:rPr>
          <w:sz w:val="28"/>
          <w:szCs w:val="28"/>
        </w:rPr>
        <w:t xml:space="preserve"> </w:t>
      </w:r>
      <w:r w:rsidRPr="003D3489">
        <w:rPr>
          <w:rFonts w:eastAsia="Constantia"/>
          <w:i/>
          <w:iCs/>
          <w:sz w:val="28"/>
          <w:szCs w:val="28"/>
          <w:lang w:bidi="ru-RU"/>
        </w:rPr>
        <w:t>-</w:t>
      </w:r>
      <w:r w:rsidRPr="003D3489">
        <w:rPr>
          <w:sz w:val="28"/>
          <w:szCs w:val="28"/>
        </w:rPr>
        <w:t xml:space="preserve"> </w:t>
      </w:r>
      <w:r w:rsidRPr="00D35795">
        <w:rPr>
          <w:sz w:val="28"/>
          <w:szCs w:val="28"/>
        </w:rPr>
        <w:t>темп роста (снижения) объема лесных ресурсов (за исключением древесины), подлежащего заготовке по договорам аренды лесных участков, находящихся в федеральной собственности</w:t>
      </w:r>
      <w:r w:rsidRPr="003D3489">
        <w:rPr>
          <w:sz w:val="28"/>
          <w:szCs w:val="28"/>
        </w:rPr>
        <w:t xml:space="preserve">, за </w:t>
      </w:r>
      <w:r>
        <w:rPr>
          <w:sz w:val="28"/>
          <w:szCs w:val="28"/>
        </w:rPr>
        <w:t xml:space="preserve">2018 </w:t>
      </w:r>
      <w:r w:rsidRPr="003D3489">
        <w:rPr>
          <w:sz w:val="28"/>
          <w:szCs w:val="28"/>
        </w:rPr>
        <w:t>год (ед</w:t>
      </w:r>
      <w:r w:rsidRPr="00A506F2">
        <w:rPr>
          <w:sz w:val="28"/>
          <w:szCs w:val="28"/>
        </w:rPr>
        <w:t>.), 1,08:</w:t>
      </w:r>
    </w:p>
    <w:p w:rsidR="00CE1891" w:rsidRPr="00A506F2" w:rsidRDefault="00CE1891" w:rsidP="00CE1891">
      <w:pPr>
        <w:widowControl w:val="0"/>
        <w:ind w:firstLine="709"/>
        <w:jc w:val="both"/>
        <w:rPr>
          <w:sz w:val="28"/>
          <w:szCs w:val="28"/>
        </w:rPr>
      </w:pPr>
    </w:p>
    <w:p w:rsidR="00CE1891" w:rsidRPr="00A506F2" w:rsidRDefault="00CE1891" w:rsidP="00CE1891">
      <w:pPr>
        <w:widowControl w:val="0"/>
        <w:ind w:firstLine="709"/>
        <w:jc w:val="center"/>
        <w:rPr>
          <w:sz w:val="28"/>
          <w:szCs w:val="28"/>
        </w:rPr>
      </w:pPr>
      <w:r w:rsidRPr="00A506F2">
        <w:rPr>
          <w:sz w:val="28"/>
          <w:szCs w:val="28"/>
        </w:rPr>
        <w:t>Т</w:t>
      </w:r>
      <w:r w:rsidRPr="00A506F2">
        <w:rPr>
          <w:sz w:val="28"/>
          <w:szCs w:val="28"/>
          <w:vertAlign w:val="subscript"/>
          <w:lang w:val="en-US"/>
        </w:rPr>
        <w:t>V</w:t>
      </w:r>
      <w:r w:rsidRPr="00A506F2">
        <w:rPr>
          <w:sz w:val="28"/>
          <w:szCs w:val="28"/>
          <w:vertAlign w:val="subscript"/>
        </w:rPr>
        <w:t>ар</w:t>
      </w:r>
      <w:r w:rsidRPr="00A506F2">
        <w:rPr>
          <w:sz w:val="28"/>
          <w:szCs w:val="28"/>
          <w:vertAlign w:val="superscript"/>
        </w:rPr>
        <w:t>2018</w:t>
      </w:r>
      <w:r w:rsidRPr="00A506F2">
        <w:rPr>
          <w:sz w:val="28"/>
          <w:szCs w:val="28"/>
        </w:rPr>
        <w:t xml:space="preserve"> = Q</w:t>
      </w:r>
      <w:r w:rsidRPr="00A506F2">
        <w:rPr>
          <w:sz w:val="28"/>
          <w:szCs w:val="28"/>
          <w:vertAlign w:val="superscript"/>
        </w:rPr>
        <w:t>2018</w:t>
      </w:r>
      <w:r w:rsidRPr="00A506F2">
        <w:rPr>
          <w:sz w:val="28"/>
          <w:szCs w:val="28"/>
          <w:vertAlign w:val="subscript"/>
          <w:lang w:val="en-US"/>
        </w:rPr>
        <w:t>V</w:t>
      </w:r>
      <w:r w:rsidRPr="00A506F2">
        <w:rPr>
          <w:sz w:val="28"/>
          <w:szCs w:val="28"/>
          <w:vertAlign w:val="subscript"/>
        </w:rPr>
        <w:t>ар</w:t>
      </w:r>
      <w:r w:rsidRPr="00A506F2">
        <w:rPr>
          <w:sz w:val="28"/>
          <w:szCs w:val="28"/>
        </w:rPr>
        <w:t xml:space="preserve"> / Q</w:t>
      </w:r>
      <w:r w:rsidRPr="00A506F2">
        <w:rPr>
          <w:sz w:val="28"/>
          <w:szCs w:val="28"/>
          <w:vertAlign w:val="superscript"/>
        </w:rPr>
        <w:t>2017</w:t>
      </w:r>
      <w:r w:rsidRPr="00A506F2">
        <w:rPr>
          <w:sz w:val="28"/>
          <w:szCs w:val="28"/>
          <w:vertAlign w:val="subscript"/>
          <w:lang w:val="en-US"/>
        </w:rPr>
        <w:t>V</w:t>
      </w:r>
      <w:r w:rsidRPr="00A506F2">
        <w:rPr>
          <w:sz w:val="28"/>
          <w:szCs w:val="28"/>
          <w:vertAlign w:val="subscript"/>
        </w:rPr>
        <w:t>ар</w:t>
      </w:r>
      <w:r w:rsidRPr="00A506F2">
        <w:rPr>
          <w:sz w:val="28"/>
          <w:szCs w:val="28"/>
        </w:rPr>
        <w:t>,</w:t>
      </w:r>
    </w:p>
    <w:p w:rsidR="00CE1891" w:rsidRPr="00A506F2" w:rsidRDefault="00CE1891" w:rsidP="00CE1891">
      <w:pPr>
        <w:widowControl w:val="0"/>
        <w:ind w:firstLine="709"/>
        <w:jc w:val="center"/>
        <w:rPr>
          <w:sz w:val="28"/>
          <w:szCs w:val="28"/>
        </w:rPr>
      </w:pPr>
      <w:r w:rsidRPr="00A506F2">
        <w:rPr>
          <w:sz w:val="28"/>
          <w:szCs w:val="28"/>
        </w:rPr>
        <w:t>1,08 = 15,1/14,0</w:t>
      </w:r>
    </w:p>
    <w:p w:rsidR="00CE1891" w:rsidRPr="00A506F2" w:rsidRDefault="00CE1891" w:rsidP="00CE1891">
      <w:pPr>
        <w:widowControl w:val="0"/>
        <w:ind w:firstLine="709"/>
        <w:jc w:val="both"/>
        <w:rPr>
          <w:sz w:val="28"/>
          <w:szCs w:val="28"/>
        </w:rPr>
      </w:pPr>
      <w:r w:rsidRPr="00A506F2">
        <w:rPr>
          <w:sz w:val="28"/>
          <w:szCs w:val="28"/>
        </w:rPr>
        <w:t>где:</w:t>
      </w:r>
    </w:p>
    <w:p w:rsidR="00CE1891" w:rsidRPr="00A506F2" w:rsidRDefault="00CE1891" w:rsidP="00CE1891">
      <w:pPr>
        <w:widowControl w:val="0"/>
        <w:ind w:firstLine="709"/>
        <w:jc w:val="both"/>
        <w:rPr>
          <w:sz w:val="28"/>
          <w:szCs w:val="28"/>
        </w:rPr>
      </w:pPr>
      <w:r w:rsidRPr="00A506F2">
        <w:rPr>
          <w:sz w:val="28"/>
          <w:szCs w:val="28"/>
        </w:rPr>
        <w:t>Q</w:t>
      </w:r>
      <w:r w:rsidRPr="00A506F2">
        <w:rPr>
          <w:sz w:val="28"/>
          <w:szCs w:val="28"/>
          <w:vertAlign w:val="superscript"/>
        </w:rPr>
        <w:t>2018</w:t>
      </w:r>
      <w:r w:rsidRPr="00A506F2">
        <w:rPr>
          <w:sz w:val="28"/>
          <w:szCs w:val="28"/>
          <w:vertAlign w:val="subscript"/>
          <w:lang w:val="en-US"/>
        </w:rPr>
        <w:t>V</w:t>
      </w:r>
      <w:r w:rsidRPr="00A506F2">
        <w:rPr>
          <w:sz w:val="28"/>
          <w:szCs w:val="28"/>
          <w:vertAlign w:val="subscript"/>
        </w:rPr>
        <w:t>ар</w:t>
      </w:r>
      <w:r w:rsidRPr="00A506F2">
        <w:rPr>
          <w:sz w:val="28"/>
          <w:szCs w:val="28"/>
        </w:rPr>
        <w:t xml:space="preserve"> </w:t>
      </w:r>
      <w:r w:rsidRPr="00A506F2">
        <w:rPr>
          <w:rFonts w:eastAsia="Constantia"/>
          <w:i/>
          <w:iCs/>
          <w:sz w:val="28"/>
          <w:szCs w:val="28"/>
          <w:lang w:bidi="ru-RU"/>
        </w:rPr>
        <w:t>-</w:t>
      </w:r>
      <w:r w:rsidRPr="00A506F2">
        <w:rPr>
          <w:sz w:val="28"/>
          <w:szCs w:val="28"/>
        </w:rPr>
        <w:t xml:space="preserve"> объем лесных ресурсов (за исключением древесины), подлежащий заготовке по договорам аренды лесных участков, находящихся в федеральной собственности, за 2018 год, 15,1 т;</w:t>
      </w:r>
    </w:p>
    <w:p w:rsidR="00CE1891" w:rsidRPr="00A506F2" w:rsidRDefault="00CE1891" w:rsidP="00CE1891">
      <w:pPr>
        <w:widowControl w:val="0"/>
        <w:ind w:firstLine="709"/>
        <w:jc w:val="both"/>
        <w:rPr>
          <w:sz w:val="28"/>
          <w:szCs w:val="28"/>
        </w:rPr>
      </w:pPr>
      <w:r w:rsidRPr="00A506F2">
        <w:rPr>
          <w:sz w:val="28"/>
          <w:szCs w:val="28"/>
        </w:rPr>
        <w:t>Q</w:t>
      </w:r>
      <w:r w:rsidRPr="00A506F2">
        <w:rPr>
          <w:sz w:val="28"/>
          <w:szCs w:val="28"/>
          <w:vertAlign w:val="superscript"/>
        </w:rPr>
        <w:t>2017</w:t>
      </w:r>
      <w:r w:rsidRPr="00A506F2">
        <w:rPr>
          <w:sz w:val="28"/>
          <w:szCs w:val="28"/>
          <w:vertAlign w:val="subscript"/>
          <w:lang w:val="en-US"/>
        </w:rPr>
        <w:t>V</w:t>
      </w:r>
      <w:r w:rsidRPr="00A506F2">
        <w:rPr>
          <w:sz w:val="28"/>
          <w:szCs w:val="28"/>
          <w:vertAlign w:val="subscript"/>
        </w:rPr>
        <w:t>ар</w:t>
      </w:r>
      <w:r w:rsidRPr="00A506F2">
        <w:rPr>
          <w:sz w:val="28"/>
          <w:szCs w:val="28"/>
        </w:rPr>
        <w:t xml:space="preserve"> </w:t>
      </w:r>
      <w:r w:rsidRPr="00A506F2">
        <w:rPr>
          <w:rFonts w:eastAsia="Constantia"/>
          <w:i/>
          <w:iCs/>
          <w:sz w:val="28"/>
          <w:szCs w:val="28"/>
          <w:lang w:bidi="ru-RU"/>
        </w:rPr>
        <w:t>-</w:t>
      </w:r>
      <w:r w:rsidRPr="00A506F2">
        <w:rPr>
          <w:sz w:val="28"/>
          <w:szCs w:val="28"/>
        </w:rPr>
        <w:t xml:space="preserve"> объем лесных ресурсов (за исключением древесины), подлежащий заготовке по договорам аренды лесных участков, находящихся в федеральной собственности, за 2017 год, 14,0 т;</w:t>
      </w:r>
    </w:p>
    <w:p w:rsidR="00CE1891" w:rsidRDefault="00CE1891" w:rsidP="00CE1891">
      <w:pPr>
        <w:widowControl w:val="0"/>
        <w:ind w:firstLine="709"/>
        <w:jc w:val="both"/>
        <w:rPr>
          <w:sz w:val="28"/>
          <w:szCs w:val="28"/>
        </w:rPr>
      </w:pPr>
    </w:p>
    <w:p w:rsidR="00CE1891" w:rsidRPr="00A506F2" w:rsidRDefault="00CE1891" w:rsidP="00CE1891">
      <w:pPr>
        <w:widowControl w:val="0"/>
        <w:ind w:firstLine="709"/>
        <w:jc w:val="both"/>
        <w:rPr>
          <w:sz w:val="28"/>
          <w:szCs w:val="28"/>
        </w:rPr>
      </w:pPr>
      <w:r>
        <w:rPr>
          <w:sz w:val="28"/>
          <w:szCs w:val="28"/>
        </w:rPr>
        <w:t xml:space="preserve">б) </w:t>
      </w:r>
      <w:r w:rsidRPr="003D3489">
        <w:rPr>
          <w:sz w:val="28"/>
          <w:szCs w:val="28"/>
        </w:rPr>
        <w:t>Т</w:t>
      </w:r>
      <w:r>
        <w:rPr>
          <w:sz w:val="28"/>
          <w:szCs w:val="28"/>
          <w:vertAlign w:val="subscript"/>
          <w:lang w:val="en-US"/>
        </w:rPr>
        <w:t>V</w:t>
      </w:r>
      <w:r w:rsidRPr="003D3489">
        <w:rPr>
          <w:sz w:val="28"/>
          <w:szCs w:val="28"/>
          <w:vertAlign w:val="subscript"/>
        </w:rPr>
        <w:t>ар</w:t>
      </w:r>
      <w:r>
        <w:rPr>
          <w:sz w:val="28"/>
          <w:szCs w:val="28"/>
          <w:vertAlign w:val="superscript"/>
        </w:rPr>
        <w:t>2019</w:t>
      </w:r>
      <w:r w:rsidRPr="003D3489">
        <w:rPr>
          <w:sz w:val="28"/>
          <w:szCs w:val="28"/>
        </w:rPr>
        <w:t xml:space="preserve"> </w:t>
      </w:r>
      <w:r w:rsidRPr="003D3489">
        <w:rPr>
          <w:rFonts w:eastAsia="Constantia"/>
          <w:i/>
          <w:iCs/>
          <w:sz w:val="28"/>
          <w:szCs w:val="28"/>
          <w:lang w:bidi="ru-RU"/>
        </w:rPr>
        <w:t>-</w:t>
      </w:r>
      <w:r w:rsidRPr="003D3489">
        <w:rPr>
          <w:sz w:val="28"/>
          <w:szCs w:val="28"/>
        </w:rPr>
        <w:t xml:space="preserve"> </w:t>
      </w:r>
      <w:r w:rsidRPr="00D35795">
        <w:rPr>
          <w:sz w:val="28"/>
          <w:szCs w:val="28"/>
        </w:rPr>
        <w:t xml:space="preserve">темп роста (снижения) объема лесных ресурсов (за исключением древесины), подлежащего заготовке по договорам аренды </w:t>
      </w:r>
      <w:r w:rsidRPr="00A506F2">
        <w:rPr>
          <w:sz w:val="28"/>
          <w:szCs w:val="28"/>
        </w:rPr>
        <w:t>лесных участков, находящихся в федеральной собственности, за 2019 год (ед.), 1,0:</w:t>
      </w:r>
    </w:p>
    <w:p w:rsidR="00CE1891" w:rsidRPr="00A506F2" w:rsidRDefault="00CE1891" w:rsidP="00CE1891">
      <w:pPr>
        <w:widowControl w:val="0"/>
        <w:ind w:firstLine="709"/>
        <w:jc w:val="both"/>
        <w:rPr>
          <w:sz w:val="28"/>
          <w:szCs w:val="28"/>
        </w:rPr>
      </w:pPr>
    </w:p>
    <w:p w:rsidR="00CE1891" w:rsidRPr="00A506F2" w:rsidRDefault="00CE1891" w:rsidP="00CE1891">
      <w:pPr>
        <w:widowControl w:val="0"/>
        <w:ind w:firstLine="709"/>
        <w:jc w:val="center"/>
        <w:rPr>
          <w:sz w:val="28"/>
          <w:szCs w:val="28"/>
        </w:rPr>
      </w:pPr>
      <w:r w:rsidRPr="00A506F2">
        <w:rPr>
          <w:sz w:val="28"/>
          <w:szCs w:val="28"/>
        </w:rPr>
        <w:t>Т</w:t>
      </w:r>
      <w:r w:rsidRPr="00A506F2">
        <w:rPr>
          <w:sz w:val="28"/>
          <w:szCs w:val="28"/>
          <w:vertAlign w:val="subscript"/>
          <w:lang w:val="en-US"/>
        </w:rPr>
        <w:t>V</w:t>
      </w:r>
      <w:r w:rsidRPr="00A506F2">
        <w:rPr>
          <w:sz w:val="28"/>
          <w:szCs w:val="28"/>
          <w:vertAlign w:val="subscript"/>
        </w:rPr>
        <w:t>ар</w:t>
      </w:r>
      <w:r w:rsidRPr="00A506F2">
        <w:rPr>
          <w:sz w:val="28"/>
          <w:szCs w:val="28"/>
          <w:vertAlign w:val="superscript"/>
        </w:rPr>
        <w:t xml:space="preserve">2019 </w:t>
      </w:r>
      <w:r w:rsidRPr="00A506F2">
        <w:rPr>
          <w:sz w:val="28"/>
          <w:szCs w:val="28"/>
        </w:rPr>
        <w:t>= Q</w:t>
      </w:r>
      <w:r w:rsidRPr="00A506F2">
        <w:rPr>
          <w:sz w:val="28"/>
          <w:szCs w:val="28"/>
          <w:vertAlign w:val="superscript"/>
        </w:rPr>
        <w:t>2019</w:t>
      </w:r>
      <w:r w:rsidRPr="00A506F2">
        <w:rPr>
          <w:sz w:val="28"/>
          <w:szCs w:val="28"/>
          <w:vertAlign w:val="subscript"/>
          <w:lang w:val="en-US"/>
        </w:rPr>
        <w:t>V</w:t>
      </w:r>
      <w:r w:rsidRPr="00A506F2">
        <w:rPr>
          <w:sz w:val="28"/>
          <w:szCs w:val="28"/>
          <w:vertAlign w:val="subscript"/>
        </w:rPr>
        <w:t>ар</w:t>
      </w:r>
      <w:r w:rsidRPr="00A506F2">
        <w:rPr>
          <w:sz w:val="28"/>
          <w:szCs w:val="28"/>
        </w:rPr>
        <w:t xml:space="preserve"> / Q</w:t>
      </w:r>
      <w:r w:rsidRPr="00A506F2">
        <w:rPr>
          <w:sz w:val="28"/>
          <w:szCs w:val="28"/>
          <w:vertAlign w:val="superscript"/>
        </w:rPr>
        <w:t>2018</w:t>
      </w:r>
      <w:r w:rsidRPr="00A506F2">
        <w:rPr>
          <w:sz w:val="28"/>
          <w:szCs w:val="28"/>
          <w:vertAlign w:val="subscript"/>
          <w:lang w:val="en-US"/>
        </w:rPr>
        <w:t>V</w:t>
      </w:r>
      <w:r w:rsidRPr="00A506F2">
        <w:rPr>
          <w:sz w:val="28"/>
          <w:szCs w:val="28"/>
          <w:vertAlign w:val="subscript"/>
        </w:rPr>
        <w:t>ар</w:t>
      </w:r>
      <w:r w:rsidRPr="00A506F2">
        <w:rPr>
          <w:sz w:val="28"/>
          <w:szCs w:val="28"/>
        </w:rPr>
        <w:t>,</w:t>
      </w:r>
    </w:p>
    <w:p w:rsidR="00CE1891" w:rsidRPr="00A506F2" w:rsidRDefault="00CE1891" w:rsidP="00CE1891">
      <w:pPr>
        <w:widowControl w:val="0"/>
        <w:ind w:firstLine="709"/>
        <w:jc w:val="center"/>
        <w:rPr>
          <w:sz w:val="28"/>
          <w:szCs w:val="28"/>
        </w:rPr>
      </w:pPr>
      <w:r w:rsidRPr="00A506F2">
        <w:rPr>
          <w:sz w:val="28"/>
          <w:szCs w:val="28"/>
        </w:rPr>
        <w:t>1,0 = 15,1 /15,1</w:t>
      </w:r>
    </w:p>
    <w:p w:rsidR="00CE1891" w:rsidRPr="00A506F2" w:rsidRDefault="00CE1891" w:rsidP="00CE1891">
      <w:pPr>
        <w:widowControl w:val="0"/>
        <w:ind w:firstLine="709"/>
        <w:jc w:val="center"/>
        <w:rPr>
          <w:sz w:val="28"/>
          <w:szCs w:val="28"/>
        </w:rPr>
      </w:pPr>
    </w:p>
    <w:p w:rsidR="00CE1891" w:rsidRPr="00A506F2" w:rsidRDefault="00CE1891" w:rsidP="00CE1891">
      <w:pPr>
        <w:widowControl w:val="0"/>
        <w:ind w:firstLine="709"/>
        <w:jc w:val="both"/>
        <w:rPr>
          <w:sz w:val="28"/>
          <w:szCs w:val="28"/>
        </w:rPr>
      </w:pPr>
      <w:r w:rsidRPr="00A506F2">
        <w:rPr>
          <w:sz w:val="28"/>
          <w:szCs w:val="28"/>
        </w:rPr>
        <w:t>где:</w:t>
      </w:r>
    </w:p>
    <w:p w:rsidR="00CE1891" w:rsidRPr="00A506F2" w:rsidRDefault="00CE1891" w:rsidP="00CE1891">
      <w:pPr>
        <w:widowControl w:val="0"/>
        <w:ind w:firstLine="709"/>
        <w:jc w:val="both"/>
        <w:rPr>
          <w:sz w:val="28"/>
          <w:szCs w:val="28"/>
        </w:rPr>
      </w:pPr>
      <w:r w:rsidRPr="00A506F2">
        <w:rPr>
          <w:sz w:val="28"/>
          <w:szCs w:val="28"/>
        </w:rPr>
        <w:t>Q</w:t>
      </w:r>
      <w:r w:rsidRPr="00A506F2">
        <w:rPr>
          <w:sz w:val="28"/>
          <w:szCs w:val="28"/>
          <w:vertAlign w:val="superscript"/>
        </w:rPr>
        <w:t>2019</w:t>
      </w:r>
      <w:r w:rsidRPr="00A506F2">
        <w:rPr>
          <w:sz w:val="28"/>
          <w:szCs w:val="28"/>
          <w:vertAlign w:val="subscript"/>
          <w:lang w:val="en-US"/>
        </w:rPr>
        <w:t>V</w:t>
      </w:r>
      <w:r w:rsidRPr="00A506F2">
        <w:rPr>
          <w:sz w:val="28"/>
          <w:szCs w:val="28"/>
          <w:vertAlign w:val="subscript"/>
        </w:rPr>
        <w:t>ар</w:t>
      </w:r>
      <w:r w:rsidRPr="00A506F2">
        <w:rPr>
          <w:sz w:val="28"/>
          <w:szCs w:val="28"/>
        </w:rPr>
        <w:t xml:space="preserve"> </w:t>
      </w:r>
      <w:r w:rsidRPr="00A506F2">
        <w:rPr>
          <w:rFonts w:eastAsia="Constantia"/>
          <w:i/>
          <w:iCs/>
          <w:sz w:val="28"/>
          <w:szCs w:val="28"/>
          <w:lang w:bidi="ru-RU"/>
        </w:rPr>
        <w:t>-</w:t>
      </w:r>
      <w:r w:rsidRPr="00A506F2">
        <w:rPr>
          <w:sz w:val="28"/>
          <w:szCs w:val="28"/>
        </w:rPr>
        <w:t xml:space="preserve"> объем лесных ресурсов (за исключением древесины), подлежащий заготовке по договорам аренды лесных участков, находящихся в федеральной собственности, за 2019 год, 15,1 т;</w:t>
      </w:r>
    </w:p>
    <w:p w:rsidR="00CE1891" w:rsidRPr="00A506F2" w:rsidRDefault="00CE1891" w:rsidP="00CE1891">
      <w:pPr>
        <w:widowControl w:val="0"/>
        <w:ind w:firstLine="709"/>
        <w:jc w:val="both"/>
        <w:rPr>
          <w:sz w:val="28"/>
          <w:szCs w:val="28"/>
        </w:rPr>
      </w:pPr>
      <w:r w:rsidRPr="00A506F2">
        <w:rPr>
          <w:sz w:val="28"/>
          <w:szCs w:val="28"/>
        </w:rPr>
        <w:lastRenderedPageBreak/>
        <w:t>Q</w:t>
      </w:r>
      <w:r w:rsidRPr="00A506F2">
        <w:rPr>
          <w:sz w:val="28"/>
          <w:szCs w:val="28"/>
          <w:vertAlign w:val="superscript"/>
        </w:rPr>
        <w:t>2018</w:t>
      </w:r>
      <w:r w:rsidRPr="00A506F2">
        <w:rPr>
          <w:sz w:val="28"/>
          <w:szCs w:val="28"/>
          <w:vertAlign w:val="subscript"/>
          <w:lang w:val="en-US"/>
        </w:rPr>
        <w:t>V</w:t>
      </w:r>
      <w:r w:rsidRPr="00A506F2">
        <w:rPr>
          <w:sz w:val="28"/>
          <w:szCs w:val="28"/>
          <w:vertAlign w:val="subscript"/>
        </w:rPr>
        <w:t>ар</w:t>
      </w:r>
      <w:r w:rsidRPr="00A506F2">
        <w:rPr>
          <w:sz w:val="28"/>
          <w:szCs w:val="28"/>
        </w:rPr>
        <w:t xml:space="preserve"> </w:t>
      </w:r>
      <w:r w:rsidRPr="00A506F2">
        <w:rPr>
          <w:rFonts w:eastAsia="Constantia"/>
          <w:i/>
          <w:iCs/>
          <w:sz w:val="28"/>
          <w:szCs w:val="28"/>
          <w:lang w:bidi="ru-RU"/>
        </w:rPr>
        <w:t>-</w:t>
      </w:r>
      <w:r w:rsidRPr="00A506F2">
        <w:rPr>
          <w:sz w:val="28"/>
          <w:szCs w:val="28"/>
        </w:rPr>
        <w:t xml:space="preserve"> объем лесных ресурсов (за исключением древесины), подлежащий заготовке по договорам аренды лесных участков, находящихся в федеральной собственности, за 2018 год, 15,1 т;</w:t>
      </w:r>
    </w:p>
    <w:p w:rsidR="00CE1891" w:rsidRDefault="00CE1891" w:rsidP="00CE1891">
      <w:pPr>
        <w:widowControl w:val="0"/>
        <w:ind w:firstLine="709"/>
        <w:jc w:val="both"/>
        <w:rPr>
          <w:sz w:val="28"/>
          <w:szCs w:val="28"/>
        </w:rPr>
      </w:pPr>
    </w:p>
    <w:p w:rsidR="00CE1891" w:rsidRPr="006555A8" w:rsidRDefault="00CE1891" w:rsidP="00CE1891">
      <w:pPr>
        <w:widowControl w:val="0"/>
        <w:ind w:firstLine="709"/>
        <w:jc w:val="both"/>
        <w:rPr>
          <w:sz w:val="28"/>
          <w:szCs w:val="28"/>
        </w:rPr>
      </w:pPr>
      <w:r>
        <w:rPr>
          <w:sz w:val="28"/>
          <w:szCs w:val="28"/>
        </w:rPr>
        <w:t xml:space="preserve">в) </w:t>
      </w:r>
      <w:r w:rsidRPr="003D3489">
        <w:rPr>
          <w:sz w:val="28"/>
          <w:szCs w:val="28"/>
        </w:rPr>
        <w:t>Т</w:t>
      </w:r>
      <w:r>
        <w:rPr>
          <w:sz w:val="28"/>
          <w:szCs w:val="28"/>
          <w:vertAlign w:val="subscript"/>
          <w:lang w:val="en-US"/>
        </w:rPr>
        <w:t>V</w:t>
      </w:r>
      <w:r w:rsidRPr="003D3489">
        <w:rPr>
          <w:sz w:val="28"/>
          <w:szCs w:val="28"/>
          <w:vertAlign w:val="subscript"/>
        </w:rPr>
        <w:t>ар</w:t>
      </w:r>
      <w:r>
        <w:rPr>
          <w:sz w:val="28"/>
          <w:szCs w:val="28"/>
          <w:vertAlign w:val="superscript"/>
        </w:rPr>
        <w:t>2020</w:t>
      </w:r>
      <w:r w:rsidRPr="003D3489">
        <w:rPr>
          <w:sz w:val="28"/>
          <w:szCs w:val="28"/>
        </w:rPr>
        <w:t xml:space="preserve"> </w:t>
      </w:r>
      <w:r w:rsidRPr="003D3489">
        <w:rPr>
          <w:rFonts w:eastAsia="Constantia"/>
          <w:i/>
          <w:iCs/>
          <w:sz w:val="28"/>
          <w:szCs w:val="28"/>
          <w:lang w:bidi="ru-RU"/>
        </w:rPr>
        <w:t>-</w:t>
      </w:r>
      <w:r w:rsidRPr="003D3489">
        <w:rPr>
          <w:sz w:val="28"/>
          <w:szCs w:val="28"/>
        </w:rPr>
        <w:t xml:space="preserve"> </w:t>
      </w:r>
      <w:r w:rsidRPr="00D35795">
        <w:rPr>
          <w:sz w:val="28"/>
          <w:szCs w:val="28"/>
        </w:rPr>
        <w:t xml:space="preserve">темп роста (снижения) объема лесных ресурсов (за </w:t>
      </w:r>
      <w:r w:rsidRPr="006555A8">
        <w:rPr>
          <w:sz w:val="28"/>
          <w:szCs w:val="28"/>
        </w:rPr>
        <w:t>исключением древесины), подлежащего заготовке по договорам аренды лесных участков, находящихся в федеральной собственности, за 2020 год (ед.), 1,0:</w:t>
      </w:r>
    </w:p>
    <w:p w:rsidR="00CE1891" w:rsidRPr="006555A8" w:rsidRDefault="00CE1891" w:rsidP="00CE1891">
      <w:pPr>
        <w:widowControl w:val="0"/>
        <w:ind w:firstLine="709"/>
        <w:jc w:val="both"/>
        <w:rPr>
          <w:sz w:val="28"/>
          <w:szCs w:val="28"/>
        </w:rPr>
      </w:pPr>
    </w:p>
    <w:p w:rsidR="00CE1891" w:rsidRPr="006555A8" w:rsidRDefault="00CE1891" w:rsidP="00CE1891">
      <w:pPr>
        <w:widowControl w:val="0"/>
        <w:ind w:firstLine="709"/>
        <w:jc w:val="center"/>
        <w:rPr>
          <w:sz w:val="28"/>
          <w:szCs w:val="28"/>
        </w:rPr>
      </w:pPr>
      <w:r w:rsidRPr="006555A8">
        <w:rPr>
          <w:sz w:val="28"/>
          <w:szCs w:val="28"/>
        </w:rPr>
        <w:t>Т</w:t>
      </w:r>
      <w:r w:rsidRPr="006555A8">
        <w:rPr>
          <w:sz w:val="28"/>
          <w:szCs w:val="28"/>
          <w:vertAlign w:val="subscript"/>
          <w:lang w:val="en-US"/>
        </w:rPr>
        <w:t>V</w:t>
      </w:r>
      <w:r w:rsidRPr="006555A8">
        <w:rPr>
          <w:sz w:val="28"/>
          <w:szCs w:val="28"/>
          <w:vertAlign w:val="subscript"/>
        </w:rPr>
        <w:t>ар</w:t>
      </w:r>
      <w:r w:rsidRPr="006555A8">
        <w:rPr>
          <w:sz w:val="28"/>
          <w:szCs w:val="28"/>
          <w:vertAlign w:val="superscript"/>
        </w:rPr>
        <w:t>2020</w:t>
      </w:r>
      <w:r w:rsidRPr="006555A8">
        <w:rPr>
          <w:sz w:val="28"/>
          <w:szCs w:val="28"/>
        </w:rPr>
        <w:t xml:space="preserve"> = Q</w:t>
      </w:r>
      <w:r w:rsidRPr="006555A8">
        <w:rPr>
          <w:sz w:val="28"/>
          <w:szCs w:val="28"/>
          <w:vertAlign w:val="superscript"/>
        </w:rPr>
        <w:t>2020</w:t>
      </w:r>
      <w:r w:rsidRPr="006555A8">
        <w:rPr>
          <w:sz w:val="28"/>
          <w:szCs w:val="28"/>
          <w:vertAlign w:val="subscript"/>
          <w:lang w:val="en-US"/>
        </w:rPr>
        <w:t>V</w:t>
      </w:r>
      <w:r w:rsidRPr="006555A8">
        <w:rPr>
          <w:sz w:val="28"/>
          <w:szCs w:val="28"/>
          <w:vertAlign w:val="subscript"/>
        </w:rPr>
        <w:t>ар</w:t>
      </w:r>
      <w:r w:rsidRPr="006555A8">
        <w:rPr>
          <w:sz w:val="28"/>
          <w:szCs w:val="28"/>
        </w:rPr>
        <w:t xml:space="preserve"> / Q</w:t>
      </w:r>
      <w:r w:rsidRPr="006555A8">
        <w:rPr>
          <w:sz w:val="28"/>
          <w:szCs w:val="28"/>
          <w:vertAlign w:val="superscript"/>
        </w:rPr>
        <w:t>2019</w:t>
      </w:r>
      <w:r w:rsidRPr="006555A8">
        <w:rPr>
          <w:sz w:val="28"/>
          <w:szCs w:val="28"/>
          <w:vertAlign w:val="subscript"/>
          <w:lang w:val="en-US"/>
        </w:rPr>
        <w:t>V</w:t>
      </w:r>
      <w:r w:rsidRPr="006555A8">
        <w:rPr>
          <w:sz w:val="28"/>
          <w:szCs w:val="28"/>
          <w:vertAlign w:val="subscript"/>
        </w:rPr>
        <w:t>ар</w:t>
      </w:r>
      <w:r w:rsidRPr="006555A8">
        <w:rPr>
          <w:sz w:val="28"/>
          <w:szCs w:val="28"/>
        </w:rPr>
        <w:t>,</w:t>
      </w:r>
    </w:p>
    <w:p w:rsidR="00CE1891" w:rsidRPr="006555A8" w:rsidRDefault="00CE1891" w:rsidP="00CE1891">
      <w:pPr>
        <w:widowControl w:val="0"/>
        <w:ind w:firstLine="709"/>
        <w:jc w:val="center"/>
        <w:rPr>
          <w:sz w:val="28"/>
          <w:szCs w:val="28"/>
        </w:rPr>
      </w:pPr>
      <w:r w:rsidRPr="006555A8">
        <w:rPr>
          <w:sz w:val="28"/>
          <w:szCs w:val="28"/>
        </w:rPr>
        <w:t>1,0  = 15,1 /15,1</w:t>
      </w:r>
    </w:p>
    <w:p w:rsidR="00CE1891" w:rsidRPr="006555A8" w:rsidRDefault="00CE1891" w:rsidP="00CE1891">
      <w:pPr>
        <w:widowControl w:val="0"/>
        <w:ind w:firstLine="709"/>
        <w:jc w:val="center"/>
        <w:rPr>
          <w:sz w:val="28"/>
          <w:szCs w:val="28"/>
        </w:rPr>
      </w:pPr>
    </w:p>
    <w:p w:rsidR="00CE1891" w:rsidRPr="006555A8" w:rsidRDefault="00CE1891" w:rsidP="00CE1891">
      <w:pPr>
        <w:widowControl w:val="0"/>
        <w:ind w:firstLine="709"/>
        <w:jc w:val="both"/>
        <w:rPr>
          <w:sz w:val="28"/>
          <w:szCs w:val="28"/>
        </w:rPr>
      </w:pPr>
      <w:r w:rsidRPr="006555A8">
        <w:rPr>
          <w:sz w:val="28"/>
          <w:szCs w:val="28"/>
        </w:rPr>
        <w:t>где:</w:t>
      </w:r>
    </w:p>
    <w:p w:rsidR="00CE1891" w:rsidRPr="006555A8" w:rsidRDefault="00CE1891" w:rsidP="00CE1891">
      <w:pPr>
        <w:widowControl w:val="0"/>
        <w:ind w:firstLine="709"/>
        <w:jc w:val="both"/>
        <w:rPr>
          <w:sz w:val="28"/>
          <w:szCs w:val="28"/>
        </w:rPr>
      </w:pPr>
      <w:r w:rsidRPr="006555A8">
        <w:rPr>
          <w:sz w:val="28"/>
          <w:szCs w:val="28"/>
        </w:rPr>
        <w:t>Q</w:t>
      </w:r>
      <w:r w:rsidRPr="006555A8">
        <w:rPr>
          <w:sz w:val="28"/>
          <w:szCs w:val="28"/>
          <w:vertAlign w:val="superscript"/>
        </w:rPr>
        <w:t>2020</w:t>
      </w:r>
      <w:r w:rsidRPr="006555A8">
        <w:rPr>
          <w:sz w:val="28"/>
          <w:szCs w:val="28"/>
          <w:vertAlign w:val="subscript"/>
          <w:lang w:val="en-US"/>
        </w:rPr>
        <w:t>V</w:t>
      </w:r>
      <w:r w:rsidRPr="006555A8">
        <w:rPr>
          <w:sz w:val="28"/>
          <w:szCs w:val="28"/>
          <w:vertAlign w:val="subscript"/>
        </w:rPr>
        <w:t>ар</w:t>
      </w:r>
      <w:r w:rsidRPr="006555A8">
        <w:rPr>
          <w:sz w:val="28"/>
          <w:szCs w:val="28"/>
        </w:rPr>
        <w:t xml:space="preserve"> </w:t>
      </w:r>
      <w:r w:rsidRPr="006555A8">
        <w:rPr>
          <w:rFonts w:eastAsia="Constantia"/>
          <w:i/>
          <w:iCs/>
          <w:sz w:val="28"/>
          <w:szCs w:val="28"/>
          <w:lang w:bidi="ru-RU"/>
        </w:rPr>
        <w:t>-</w:t>
      </w:r>
      <w:r w:rsidRPr="006555A8">
        <w:rPr>
          <w:sz w:val="28"/>
          <w:szCs w:val="28"/>
        </w:rPr>
        <w:t xml:space="preserve"> объем лесных ресурсов (за исключением древесины), подлежащий заготовке по договорам аренды лесных участков, находящихся в федеральной собственности, за 2020 год, 15,1 т;</w:t>
      </w:r>
    </w:p>
    <w:p w:rsidR="00CE1891" w:rsidRPr="006555A8" w:rsidRDefault="00CE1891" w:rsidP="00CE1891">
      <w:pPr>
        <w:widowControl w:val="0"/>
        <w:ind w:firstLine="709"/>
        <w:jc w:val="both"/>
        <w:rPr>
          <w:sz w:val="28"/>
          <w:szCs w:val="28"/>
        </w:rPr>
      </w:pPr>
      <w:r w:rsidRPr="006555A8">
        <w:rPr>
          <w:sz w:val="28"/>
          <w:szCs w:val="28"/>
        </w:rPr>
        <w:t>Q</w:t>
      </w:r>
      <w:r w:rsidRPr="006555A8">
        <w:rPr>
          <w:sz w:val="28"/>
          <w:szCs w:val="28"/>
          <w:vertAlign w:val="superscript"/>
        </w:rPr>
        <w:t>2019</w:t>
      </w:r>
      <w:r w:rsidRPr="006555A8">
        <w:rPr>
          <w:sz w:val="28"/>
          <w:szCs w:val="28"/>
          <w:vertAlign w:val="subscript"/>
          <w:lang w:val="en-US"/>
        </w:rPr>
        <w:t>V</w:t>
      </w:r>
      <w:r w:rsidRPr="006555A8">
        <w:rPr>
          <w:sz w:val="28"/>
          <w:szCs w:val="28"/>
          <w:vertAlign w:val="subscript"/>
        </w:rPr>
        <w:t>ар</w:t>
      </w:r>
      <w:r w:rsidRPr="006555A8">
        <w:rPr>
          <w:sz w:val="28"/>
          <w:szCs w:val="28"/>
        </w:rPr>
        <w:t xml:space="preserve"> </w:t>
      </w:r>
      <w:r w:rsidRPr="006555A8">
        <w:rPr>
          <w:rFonts w:eastAsia="Constantia"/>
          <w:i/>
          <w:iCs/>
          <w:sz w:val="28"/>
          <w:szCs w:val="28"/>
          <w:lang w:bidi="ru-RU"/>
        </w:rPr>
        <w:t>-</w:t>
      </w:r>
      <w:r w:rsidRPr="006555A8">
        <w:rPr>
          <w:sz w:val="28"/>
          <w:szCs w:val="28"/>
        </w:rPr>
        <w:t xml:space="preserve"> объем лесных ресурсов (за исключением древесины), подлежащий заготовке по договорам аренды лесных участков, находящихся в федеральной собственности, за предыдущий год, за 2019 год, 15,1 т.</w:t>
      </w:r>
    </w:p>
    <w:p w:rsidR="00CE1891" w:rsidRPr="006555A8" w:rsidRDefault="00CE1891" w:rsidP="00CE1891">
      <w:pPr>
        <w:ind w:firstLine="709"/>
        <w:jc w:val="both"/>
        <w:rPr>
          <w:sz w:val="28"/>
          <w:szCs w:val="28"/>
          <w:lang w:bidi="ru-RU"/>
        </w:rPr>
      </w:pPr>
    </w:p>
    <w:p w:rsidR="00CE1891" w:rsidRPr="00F36440" w:rsidRDefault="00CE1891" w:rsidP="00CE1891">
      <w:pPr>
        <w:ind w:firstLine="709"/>
        <w:rPr>
          <w:b/>
          <w:sz w:val="28"/>
          <w:szCs w:val="28"/>
        </w:rPr>
      </w:pPr>
      <w:r>
        <w:rPr>
          <w:b/>
          <w:sz w:val="28"/>
          <w:szCs w:val="28"/>
        </w:rPr>
        <w:t xml:space="preserve"> </w:t>
      </w:r>
      <w:r w:rsidRPr="00F36440">
        <w:rPr>
          <w:b/>
          <w:sz w:val="28"/>
          <w:szCs w:val="28"/>
        </w:rPr>
        <w:t xml:space="preserve">Определение </w:t>
      </w:r>
      <w:r>
        <w:rPr>
          <w:b/>
          <w:sz w:val="28"/>
          <w:szCs w:val="28"/>
        </w:rPr>
        <w:t>прогноза</w:t>
      </w:r>
      <w:r w:rsidRPr="00F36440">
        <w:rPr>
          <w:b/>
          <w:sz w:val="28"/>
          <w:szCs w:val="28"/>
        </w:rPr>
        <w:t xml:space="preserve"> на 202</w:t>
      </w:r>
      <w:r>
        <w:rPr>
          <w:b/>
          <w:sz w:val="28"/>
          <w:szCs w:val="28"/>
        </w:rPr>
        <w:t>2</w:t>
      </w:r>
      <w:r w:rsidRPr="00F36440">
        <w:rPr>
          <w:b/>
          <w:sz w:val="28"/>
          <w:szCs w:val="28"/>
        </w:rPr>
        <w:t xml:space="preserve"> год</w:t>
      </w:r>
    </w:p>
    <w:p w:rsidR="00CE1891" w:rsidRPr="00464704" w:rsidRDefault="00CE1891" w:rsidP="00CE1891">
      <w:pPr>
        <w:ind w:firstLine="709"/>
        <w:jc w:val="both"/>
        <w:rPr>
          <w:sz w:val="28"/>
          <w:szCs w:val="28"/>
        </w:rPr>
      </w:pPr>
    </w:p>
    <w:p w:rsidR="00CE1891" w:rsidRPr="001A52B1" w:rsidRDefault="00CE1891" w:rsidP="00CE1891">
      <w:pPr>
        <w:ind w:firstLine="709"/>
        <w:jc w:val="both"/>
        <w:rPr>
          <w:color w:val="000000"/>
          <w:sz w:val="28"/>
          <w:szCs w:val="28"/>
          <w:lang w:bidi="ru-RU"/>
        </w:rPr>
      </w:pPr>
      <w:r w:rsidRPr="001A52B1">
        <w:rPr>
          <w:color w:val="000000"/>
          <w:sz w:val="28"/>
          <w:szCs w:val="28"/>
          <w:lang w:bidi="ru-RU"/>
        </w:rPr>
        <w:t>Прогноз доходов по плате за использование лесов, расположенных на землях лесного фонда, в части, превышающей минимальный размер арендной платы (П</w:t>
      </w:r>
      <w:r w:rsidRPr="001A52B1">
        <w:rPr>
          <w:color w:val="000000"/>
          <w:sz w:val="28"/>
          <w:szCs w:val="28"/>
          <w:vertAlign w:val="subscript"/>
          <w:lang w:bidi="ru-RU"/>
        </w:rPr>
        <w:t>ар</w:t>
      </w:r>
      <w:r w:rsidRPr="001A52B1">
        <w:rPr>
          <w:color w:val="000000"/>
          <w:sz w:val="28"/>
          <w:szCs w:val="28"/>
          <w:vertAlign w:val="superscript"/>
          <w:lang w:bidi="ru-RU"/>
        </w:rPr>
        <w:t>обл</w:t>
      </w:r>
      <w:r w:rsidRPr="001A52B1">
        <w:rPr>
          <w:color w:val="000000"/>
          <w:sz w:val="28"/>
          <w:szCs w:val="28"/>
          <w:lang w:bidi="ru-RU"/>
        </w:rPr>
        <w:t>) определяется по формуле:</w:t>
      </w:r>
    </w:p>
    <w:p w:rsidR="00CE1891" w:rsidRPr="001A52B1" w:rsidRDefault="00CE1891" w:rsidP="00CE1891">
      <w:pPr>
        <w:ind w:firstLine="709"/>
        <w:jc w:val="both"/>
        <w:rPr>
          <w:sz w:val="28"/>
          <w:szCs w:val="28"/>
        </w:rPr>
      </w:pPr>
    </w:p>
    <w:p w:rsidR="00CE1891" w:rsidRPr="001A52B1" w:rsidRDefault="00CE1891" w:rsidP="00CE1891">
      <w:pPr>
        <w:widowControl w:val="0"/>
        <w:ind w:firstLine="709"/>
        <w:jc w:val="center"/>
        <w:rPr>
          <w:iCs/>
          <w:sz w:val="28"/>
          <w:szCs w:val="28"/>
          <w:lang w:bidi="en-US"/>
        </w:rPr>
      </w:pPr>
      <w:r w:rsidRPr="001A52B1">
        <w:rPr>
          <w:iCs/>
          <w:sz w:val="28"/>
          <w:szCs w:val="28"/>
          <w:lang w:bidi="ru-RU"/>
        </w:rPr>
        <w:t>П</w:t>
      </w:r>
      <w:r w:rsidRPr="001A52B1">
        <w:rPr>
          <w:iCs/>
          <w:sz w:val="28"/>
          <w:szCs w:val="28"/>
          <w:vertAlign w:val="subscript"/>
          <w:lang w:bidi="ru-RU"/>
        </w:rPr>
        <w:t>ар</w:t>
      </w:r>
      <w:r w:rsidRPr="001A52B1">
        <w:rPr>
          <w:iCs/>
          <w:sz w:val="28"/>
          <w:szCs w:val="28"/>
          <w:vertAlign w:val="superscript"/>
          <w:lang w:bidi="ru-RU"/>
        </w:rPr>
        <w:t>обл</w:t>
      </w:r>
      <w:r w:rsidRPr="001A52B1">
        <w:rPr>
          <w:iCs/>
          <w:sz w:val="28"/>
          <w:szCs w:val="28"/>
          <w:lang w:bidi="en-US"/>
        </w:rPr>
        <w:t xml:space="preserve"> = (C</w:t>
      </w:r>
      <w:r w:rsidRPr="001A52B1">
        <w:rPr>
          <w:iCs/>
          <w:sz w:val="28"/>
          <w:szCs w:val="28"/>
          <w:vertAlign w:val="subscript"/>
          <w:lang w:bidi="en-US"/>
        </w:rPr>
        <w:t>v</w:t>
      </w:r>
      <w:r w:rsidRPr="001A52B1">
        <w:rPr>
          <w:iCs/>
          <w:sz w:val="28"/>
          <w:szCs w:val="28"/>
          <w:vertAlign w:val="superscript"/>
          <w:lang w:bidi="en-US"/>
        </w:rPr>
        <w:t>ap</w:t>
      </w:r>
      <w:r w:rsidRPr="001A52B1">
        <w:rPr>
          <w:iCs/>
          <w:sz w:val="28"/>
          <w:szCs w:val="28"/>
          <w:lang w:bidi="en-US"/>
        </w:rPr>
        <w:t>*K</w:t>
      </w:r>
      <w:r w:rsidRPr="001A52B1">
        <w:rPr>
          <w:iCs/>
          <w:sz w:val="28"/>
          <w:szCs w:val="28"/>
          <w:vertAlign w:val="subscript"/>
          <w:lang w:bidi="en-US"/>
        </w:rPr>
        <w:t>2</w:t>
      </w:r>
      <w:r w:rsidRPr="001A52B1">
        <w:rPr>
          <w:iCs/>
          <w:sz w:val="28"/>
          <w:szCs w:val="28"/>
          <w:lang w:bidi="en-US"/>
        </w:rPr>
        <w:t>)*V</w:t>
      </w:r>
      <w:r w:rsidRPr="001A52B1">
        <w:rPr>
          <w:iCs/>
          <w:sz w:val="28"/>
          <w:szCs w:val="28"/>
          <w:vertAlign w:val="superscript"/>
          <w:lang w:bidi="en-US"/>
        </w:rPr>
        <w:t>cp</w:t>
      </w:r>
      <w:r w:rsidRPr="001A52B1">
        <w:rPr>
          <w:iCs/>
          <w:sz w:val="28"/>
          <w:szCs w:val="28"/>
          <w:vertAlign w:val="subscript"/>
          <w:lang w:bidi="en-US"/>
        </w:rPr>
        <w:t>ap</w:t>
      </w:r>
      <w:r w:rsidRPr="001A52B1">
        <w:rPr>
          <w:iCs/>
          <w:sz w:val="28"/>
          <w:szCs w:val="28"/>
          <w:lang w:bidi="en-US"/>
        </w:rPr>
        <w:t>*</w:t>
      </w:r>
      <w:r w:rsidRPr="001A52B1">
        <w:rPr>
          <w:rFonts w:ascii="Calibri" w:eastAsia="Calibri" w:hAnsi="Calibri"/>
          <w:sz w:val="22"/>
          <w:szCs w:val="22"/>
          <w:lang w:eastAsia="en-US"/>
        </w:rPr>
        <w:t xml:space="preserve"> </w:t>
      </w:r>
      <w:r w:rsidRPr="001A52B1">
        <w:rPr>
          <w:iCs/>
          <w:sz w:val="28"/>
          <w:szCs w:val="28"/>
          <w:lang w:bidi="en-US"/>
        </w:rPr>
        <w:t>Т</w:t>
      </w:r>
      <w:r w:rsidRPr="001A52B1">
        <w:rPr>
          <w:iCs/>
          <w:sz w:val="28"/>
          <w:szCs w:val="28"/>
          <w:vertAlign w:val="superscript"/>
          <w:lang w:bidi="en-US"/>
        </w:rPr>
        <w:t>ср</w:t>
      </w:r>
      <w:r w:rsidRPr="001A52B1">
        <w:rPr>
          <w:iCs/>
          <w:sz w:val="28"/>
          <w:szCs w:val="28"/>
          <w:vertAlign w:val="subscript"/>
          <w:lang w:bidi="en-US"/>
        </w:rPr>
        <w:t>Vар</w:t>
      </w:r>
    </w:p>
    <w:p w:rsidR="00CE1891" w:rsidRPr="001A52B1" w:rsidRDefault="00CE1891" w:rsidP="00CE1891">
      <w:pPr>
        <w:ind w:firstLine="709"/>
        <w:jc w:val="center"/>
        <w:rPr>
          <w:sz w:val="28"/>
          <w:szCs w:val="28"/>
        </w:rPr>
      </w:pPr>
      <w:r w:rsidRPr="001A52B1">
        <w:rPr>
          <w:sz w:val="28"/>
          <w:szCs w:val="28"/>
        </w:rPr>
        <w:t xml:space="preserve">272,6 = (7,4*2,44)*15,1*1,0 </w:t>
      </w:r>
    </w:p>
    <w:p w:rsidR="00CE1891" w:rsidRPr="001A52B1" w:rsidRDefault="00CE1891" w:rsidP="00CE1891">
      <w:pPr>
        <w:ind w:firstLine="709"/>
        <w:jc w:val="both"/>
        <w:rPr>
          <w:sz w:val="28"/>
          <w:szCs w:val="28"/>
        </w:rPr>
      </w:pPr>
      <w:r w:rsidRPr="001A52B1">
        <w:rPr>
          <w:sz w:val="28"/>
          <w:szCs w:val="28"/>
        </w:rPr>
        <w:t>где:</w:t>
      </w:r>
    </w:p>
    <w:p w:rsidR="00CE1891" w:rsidRPr="001A52B1" w:rsidRDefault="00CE1891" w:rsidP="00CE1891">
      <w:pPr>
        <w:widowControl w:val="0"/>
        <w:ind w:firstLine="709"/>
        <w:jc w:val="both"/>
        <w:rPr>
          <w:rFonts w:eastAsia="Calibri"/>
          <w:color w:val="000000"/>
          <w:sz w:val="28"/>
          <w:szCs w:val="28"/>
          <w:lang w:eastAsia="en-US" w:bidi="ru-RU"/>
        </w:rPr>
      </w:pPr>
      <w:r w:rsidRPr="001A52B1">
        <w:rPr>
          <w:rFonts w:eastAsia="Constantia"/>
          <w:iCs/>
          <w:color w:val="000000"/>
          <w:sz w:val="28"/>
          <w:szCs w:val="28"/>
          <w:lang w:bidi="en-US"/>
        </w:rPr>
        <w:t>C</w:t>
      </w:r>
      <w:r w:rsidRPr="001A52B1">
        <w:rPr>
          <w:rFonts w:eastAsia="Constantia"/>
          <w:iCs/>
          <w:color w:val="000000"/>
          <w:sz w:val="28"/>
          <w:szCs w:val="28"/>
          <w:vertAlign w:val="subscript"/>
          <w:lang w:bidi="en-US"/>
        </w:rPr>
        <w:t>v</w:t>
      </w:r>
      <w:r w:rsidRPr="001A52B1">
        <w:rPr>
          <w:rFonts w:eastAsia="Constantia"/>
          <w:iCs/>
          <w:color w:val="000000"/>
          <w:sz w:val="28"/>
          <w:szCs w:val="28"/>
          <w:vertAlign w:val="superscript"/>
          <w:lang w:bidi="en-US"/>
        </w:rPr>
        <w:t>ap</w:t>
      </w:r>
      <w:r w:rsidRPr="001A52B1">
        <w:rPr>
          <w:rFonts w:eastAsia="Constantia"/>
          <w:iCs/>
          <w:color w:val="000000"/>
          <w:sz w:val="28"/>
          <w:szCs w:val="28"/>
          <w:lang w:bidi="ru-RU"/>
        </w:rPr>
        <w:t xml:space="preserve"> - средняя  плата, превышающая минимальные ставки платы,  за единицу объема лесных ресурсов (за исключением древесины) по договорам аренды лесных участков, находящихся в федеральной собственности, сложившаяся по </w:t>
      </w:r>
      <w:r w:rsidRPr="001A52B1">
        <w:rPr>
          <w:rFonts w:eastAsia="Constantia"/>
          <w:iCs/>
          <w:sz w:val="28"/>
          <w:szCs w:val="28"/>
          <w:lang w:bidi="ru-RU"/>
        </w:rPr>
        <w:t>итогам предыдущего финансового года и приведенная к уровню 2007 года (руб.), 7,4 тыс. руб</w:t>
      </w:r>
      <w:r w:rsidRPr="001A52B1">
        <w:rPr>
          <w:rFonts w:eastAsia="Constantia"/>
          <w:iCs/>
          <w:color w:val="000000"/>
          <w:sz w:val="28"/>
          <w:szCs w:val="28"/>
          <w:lang w:bidi="ru-RU"/>
        </w:rPr>
        <w:t>.;</w:t>
      </w:r>
    </w:p>
    <w:p w:rsidR="00CE1891" w:rsidRPr="001A52B1" w:rsidRDefault="00CE1891" w:rsidP="00CE1891">
      <w:pPr>
        <w:ind w:firstLine="709"/>
        <w:jc w:val="both"/>
        <w:rPr>
          <w:sz w:val="28"/>
          <w:szCs w:val="28"/>
        </w:rPr>
      </w:pPr>
      <w:r w:rsidRPr="001A52B1">
        <w:rPr>
          <w:iCs/>
          <w:sz w:val="28"/>
          <w:szCs w:val="28"/>
          <w:lang w:bidi="ru-RU"/>
        </w:rPr>
        <w:t>К</w:t>
      </w:r>
      <w:r w:rsidRPr="001A52B1">
        <w:rPr>
          <w:iCs/>
          <w:sz w:val="28"/>
          <w:szCs w:val="28"/>
          <w:vertAlign w:val="subscript"/>
          <w:lang w:bidi="ru-RU"/>
        </w:rPr>
        <w:t>2</w:t>
      </w:r>
      <w:r w:rsidRPr="001A52B1">
        <w:rPr>
          <w:i/>
          <w:iCs/>
          <w:sz w:val="28"/>
          <w:szCs w:val="28"/>
          <w:lang w:bidi="ru-RU"/>
        </w:rPr>
        <w:t xml:space="preserve"> -</w:t>
      </w:r>
      <w:r w:rsidRPr="001A52B1">
        <w:rPr>
          <w:sz w:val="28"/>
          <w:szCs w:val="28"/>
          <w:lang w:bidi="ru-RU"/>
        </w:rPr>
        <w:t xml:space="preserve"> коэффициент к ставкам платы за единицу объема лесных ресурсов (за исключением древесины), находящегося в федеральной собственности, установленный Правительством Российской Федерации, 2,44;</w:t>
      </w:r>
    </w:p>
    <w:p w:rsidR="00CE1891" w:rsidRPr="001A52B1" w:rsidRDefault="00CE1891" w:rsidP="00CE1891">
      <w:pPr>
        <w:ind w:firstLine="709"/>
        <w:jc w:val="both"/>
        <w:rPr>
          <w:rFonts w:eastAsia="Calibri"/>
          <w:color w:val="000000"/>
          <w:sz w:val="28"/>
          <w:szCs w:val="28"/>
          <w:lang w:eastAsia="en-US" w:bidi="ru-RU"/>
        </w:rPr>
      </w:pPr>
      <w:r w:rsidRPr="001A52B1">
        <w:rPr>
          <w:rFonts w:eastAsia="Calibri"/>
          <w:iCs/>
          <w:color w:val="000000"/>
          <w:sz w:val="28"/>
          <w:szCs w:val="28"/>
          <w:lang w:eastAsia="en-US" w:bidi="en-US"/>
        </w:rPr>
        <w:t>V</w:t>
      </w:r>
      <w:r w:rsidRPr="001A52B1">
        <w:rPr>
          <w:rFonts w:eastAsia="Calibri"/>
          <w:iCs/>
          <w:color w:val="000000"/>
          <w:sz w:val="28"/>
          <w:szCs w:val="28"/>
          <w:vertAlign w:val="superscript"/>
          <w:lang w:eastAsia="en-US" w:bidi="en-US"/>
        </w:rPr>
        <w:t>cp</w:t>
      </w:r>
      <w:r w:rsidRPr="001A52B1">
        <w:rPr>
          <w:rFonts w:eastAsia="Calibri"/>
          <w:iCs/>
          <w:color w:val="000000"/>
          <w:sz w:val="28"/>
          <w:szCs w:val="28"/>
          <w:vertAlign w:val="subscript"/>
          <w:lang w:eastAsia="en-US" w:bidi="en-US"/>
        </w:rPr>
        <w:t>ap</w:t>
      </w:r>
      <w:r w:rsidRPr="001A52B1">
        <w:rPr>
          <w:rFonts w:eastAsia="Calibri"/>
          <w:color w:val="000000"/>
          <w:sz w:val="28"/>
          <w:szCs w:val="28"/>
          <w:lang w:eastAsia="en-US" w:bidi="ru-RU"/>
        </w:rPr>
        <w:t xml:space="preserve"> - средний объем лесных ресурсов (за исключением древесины), подлежащий заготовке по договорам аренды лесных участков, находящихся в федеральной собственности,</w:t>
      </w:r>
      <w:r w:rsidRPr="001A52B1">
        <w:rPr>
          <w:rFonts w:eastAsia="Calibri"/>
          <w:iCs/>
          <w:color w:val="000000"/>
          <w:sz w:val="28"/>
          <w:szCs w:val="28"/>
          <w:lang w:eastAsia="en-US" w:bidi="ru-RU"/>
        </w:rPr>
        <w:t xml:space="preserve"> (т), 15,1 т:</w:t>
      </w:r>
    </w:p>
    <w:p w:rsidR="00CE1891" w:rsidRPr="001A52B1" w:rsidRDefault="00CE1891" w:rsidP="00CE1891">
      <w:pPr>
        <w:ind w:firstLine="709"/>
        <w:jc w:val="both"/>
        <w:rPr>
          <w:rFonts w:eastAsia="Calibri"/>
          <w:color w:val="000000"/>
          <w:sz w:val="28"/>
          <w:szCs w:val="28"/>
          <w:lang w:eastAsia="en-US" w:bidi="ru-RU"/>
        </w:rPr>
      </w:pPr>
    </w:p>
    <w:p w:rsidR="00CE1891" w:rsidRPr="001A52B1" w:rsidRDefault="00CE1891" w:rsidP="00CE1891">
      <w:pPr>
        <w:ind w:firstLine="709"/>
        <w:jc w:val="center"/>
        <w:rPr>
          <w:rFonts w:eastAsia="Calibri"/>
          <w:iCs/>
          <w:color w:val="000000"/>
          <w:sz w:val="28"/>
          <w:szCs w:val="28"/>
          <w:lang w:eastAsia="en-US" w:bidi="ru-RU"/>
        </w:rPr>
      </w:pPr>
      <w:r w:rsidRPr="001A52B1">
        <w:rPr>
          <w:rFonts w:eastAsia="Calibri"/>
          <w:iCs/>
          <w:color w:val="000000"/>
          <w:sz w:val="28"/>
          <w:szCs w:val="28"/>
          <w:lang w:eastAsia="en-US" w:bidi="en-US"/>
        </w:rPr>
        <w:t>V</w:t>
      </w:r>
      <w:r w:rsidRPr="001A52B1">
        <w:rPr>
          <w:rFonts w:eastAsia="Calibri"/>
          <w:iCs/>
          <w:color w:val="000000"/>
          <w:sz w:val="28"/>
          <w:szCs w:val="28"/>
          <w:vertAlign w:val="superscript"/>
          <w:lang w:eastAsia="en-US" w:bidi="en-US"/>
        </w:rPr>
        <w:t>cp</w:t>
      </w:r>
      <w:r w:rsidRPr="001A52B1">
        <w:rPr>
          <w:rFonts w:eastAsia="Calibri"/>
          <w:iCs/>
          <w:color w:val="000000"/>
          <w:sz w:val="28"/>
          <w:szCs w:val="28"/>
          <w:lang w:eastAsia="en-US" w:bidi="ru-RU"/>
        </w:rPr>
        <w:t xml:space="preserve"> </w:t>
      </w:r>
      <w:r w:rsidRPr="001A52B1">
        <w:rPr>
          <w:rFonts w:eastAsia="Calibri"/>
          <w:iCs/>
          <w:color w:val="000000"/>
          <w:sz w:val="28"/>
          <w:szCs w:val="28"/>
          <w:vertAlign w:val="subscript"/>
          <w:lang w:eastAsia="en-US" w:bidi="ru-RU"/>
        </w:rPr>
        <w:t>ар</w:t>
      </w:r>
      <w:r w:rsidRPr="001A52B1">
        <w:rPr>
          <w:rFonts w:eastAsia="Calibri"/>
          <w:color w:val="000000"/>
          <w:sz w:val="28"/>
          <w:szCs w:val="28"/>
          <w:vertAlign w:val="superscript"/>
          <w:lang w:eastAsia="en-US" w:bidi="ru-RU"/>
        </w:rPr>
        <w:t>=</w:t>
      </w:r>
      <w:r w:rsidRPr="001A52B1">
        <w:rPr>
          <w:rFonts w:eastAsia="Calibri"/>
          <w:color w:val="000000"/>
          <w:sz w:val="28"/>
          <w:szCs w:val="28"/>
          <w:lang w:eastAsia="en-US" w:bidi="ru-RU"/>
        </w:rPr>
        <w:t xml:space="preserve"> ∑</w:t>
      </w:r>
      <w:r w:rsidRPr="001A52B1">
        <w:rPr>
          <w:rFonts w:eastAsia="Calibri"/>
          <w:color w:val="000000"/>
          <w:sz w:val="28"/>
          <w:szCs w:val="28"/>
          <w:vertAlign w:val="superscript"/>
          <w:lang w:eastAsia="en-US" w:bidi="ru-RU"/>
        </w:rPr>
        <w:t>3</w:t>
      </w:r>
      <w:r w:rsidRPr="001A52B1">
        <w:rPr>
          <w:rFonts w:eastAsia="Calibri"/>
          <w:color w:val="000000"/>
          <w:sz w:val="28"/>
          <w:szCs w:val="28"/>
          <w:vertAlign w:val="subscript"/>
          <w:lang w:val="en-US" w:eastAsia="en-US" w:bidi="ru-RU"/>
        </w:rPr>
        <w:t>t</w:t>
      </w:r>
      <w:r w:rsidRPr="001A52B1">
        <w:rPr>
          <w:rFonts w:eastAsia="Calibri"/>
          <w:color w:val="000000"/>
          <w:sz w:val="28"/>
          <w:szCs w:val="28"/>
          <w:vertAlign w:val="subscript"/>
          <w:lang w:eastAsia="en-US" w:bidi="ru-RU"/>
        </w:rPr>
        <w:t>=1</w:t>
      </w:r>
      <w:r w:rsidRPr="001A52B1">
        <w:rPr>
          <w:rFonts w:eastAsia="Calibri"/>
          <w:iCs/>
          <w:color w:val="000000"/>
          <w:sz w:val="28"/>
          <w:szCs w:val="28"/>
          <w:lang w:eastAsia="en-US" w:bidi="en-US"/>
        </w:rPr>
        <w:t>V</w:t>
      </w:r>
      <w:r w:rsidRPr="001A52B1">
        <w:rPr>
          <w:rFonts w:eastAsia="Calibri"/>
          <w:iCs/>
          <w:color w:val="000000"/>
          <w:sz w:val="28"/>
          <w:szCs w:val="28"/>
          <w:vertAlign w:val="subscript"/>
          <w:lang w:eastAsia="en-US" w:bidi="ru-RU"/>
        </w:rPr>
        <w:t>ар</w:t>
      </w:r>
      <w:r w:rsidRPr="001A52B1">
        <w:rPr>
          <w:rFonts w:eastAsia="Calibri"/>
          <w:iCs/>
          <w:color w:val="000000"/>
          <w:sz w:val="28"/>
          <w:szCs w:val="28"/>
          <w:lang w:eastAsia="en-US" w:bidi="ru-RU"/>
        </w:rPr>
        <w:t xml:space="preserve"> /3,</w:t>
      </w:r>
    </w:p>
    <w:p w:rsidR="00CE1891" w:rsidRPr="001A52B1" w:rsidRDefault="00CE1891" w:rsidP="00CE1891">
      <w:pPr>
        <w:ind w:firstLine="709"/>
        <w:jc w:val="center"/>
        <w:rPr>
          <w:rFonts w:eastAsia="Calibri"/>
          <w:sz w:val="28"/>
          <w:szCs w:val="28"/>
          <w:lang w:eastAsia="en-US" w:bidi="ru-RU"/>
        </w:rPr>
      </w:pPr>
      <w:r w:rsidRPr="001A52B1">
        <w:rPr>
          <w:rFonts w:eastAsia="Calibri"/>
          <w:sz w:val="28"/>
          <w:szCs w:val="28"/>
          <w:lang w:eastAsia="en-US" w:bidi="ru-RU"/>
        </w:rPr>
        <w:t>15,1 = (15,1+15,1+15,1)/3</w:t>
      </w:r>
    </w:p>
    <w:p w:rsidR="00CE1891" w:rsidRPr="001A52B1" w:rsidRDefault="00CE1891" w:rsidP="00CE1891">
      <w:pPr>
        <w:ind w:firstLine="709"/>
        <w:jc w:val="both"/>
        <w:rPr>
          <w:rFonts w:eastAsia="Calibri"/>
          <w:sz w:val="28"/>
          <w:szCs w:val="28"/>
          <w:lang w:eastAsia="en-US" w:bidi="ru-RU"/>
        </w:rPr>
      </w:pPr>
      <w:r w:rsidRPr="001A52B1">
        <w:rPr>
          <w:rFonts w:eastAsia="Calibri"/>
          <w:sz w:val="28"/>
          <w:szCs w:val="28"/>
          <w:lang w:eastAsia="en-US" w:bidi="ru-RU"/>
        </w:rPr>
        <w:t>где:</w:t>
      </w:r>
    </w:p>
    <w:p w:rsidR="00CE1891" w:rsidRPr="001A52B1" w:rsidRDefault="00CE1891" w:rsidP="00CE1891">
      <w:pPr>
        <w:ind w:firstLine="709"/>
        <w:jc w:val="both"/>
        <w:rPr>
          <w:rFonts w:eastAsia="Calibri"/>
          <w:sz w:val="28"/>
          <w:szCs w:val="28"/>
          <w:lang w:eastAsia="en-US" w:bidi="ru-RU"/>
        </w:rPr>
      </w:pPr>
      <w:r w:rsidRPr="001A52B1">
        <w:rPr>
          <w:rFonts w:eastAsia="Calibri"/>
          <w:sz w:val="28"/>
          <w:szCs w:val="28"/>
          <w:lang w:eastAsia="en-US" w:bidi="ru-RU"/>
        </w:rPr>
        <w:lastRenderedPageBreak/>
        <w:t>∑</w:t>
      </w:r>
      <w:r w:rsidRPr="001A52B1">
        <w:rPr>
          <w:rFonts w:eastAsia="Calibri"/>
          <w:sz w:val="28"/>
          <w:szCs w:val="28"/>
          <w:vertAlign w:val="superscript"/>
          <w:lang w:eastAsia="en-US" w:bidi="ru-RU"/>
        </w:rPr>
        <w:t>3</w:t>
      </w:r>
      <w:r w:rsidRPr="001A52B1">
        <w:rPr>
          <w:rFonts w:eastAsia="Calibri"/>
          <w:sz w:val="28"/>
          <w:szCs w:val="28"/>
          <w:vertAlign w:val="subscript"/>
          <w:lang w:val="en-US" w:eastAsia="en-US" w:bidi="ru-RU"/>
        </w:rPr>
        <w:t>t</w:t>
      </w:r>
      <w:r w:rsidRPr="001A52B1">
        <w:rPr>
          <w:rFonts w:eastAsia="Calibri"/>
          <w:sz w:val="28"/>
          <w:szCs w:val="28"/>
          <w:vertAlign w:val="subscript"/>
          <w:lang w:eastAsia="en-US" w:bidi="ru-RU"/>
        </w:rPr>
        <w:t>=1</w:t>
      </w:r>
      <w:r w:rsidRPr="001A52B1">
        <w:rPr>
          <w:rFonts w:eastAsia="Calibri"/>
          <w:iCs/>
          <w:sz w:val="28"/>
          <w:szCs w:val="28"/>
          <w:lang w:eastAsia="en-US" w:bidi="en-US"/>
        </w:rPr>
        <w:t>V</w:t>
      </w:r>
      <w:r w:rsidRPr="001A52B1">
        <w:rPr>
          <w:rFonts w:eastAsia="Calibri"/>
          <w:iCs/>
          <w:sz w:val="28"/>
          <w:szCs w:val="28"/>
          <w:vertAlign w:val="subscript"/>
          <w:lang w:eastAsia="en-US" w:bidi="ru-RU"/>
        </w:rPr>
        <w:t>ар</w:t>
      </w:r>
      <w:r w:rsidRPr="001A52B1">
        <w:rPr>
          <w:rFonts w:eastAsia="Calibri"/>
          <w:i/>
          <w:iCs/>
          <w:sz w:val="28"/>
          <w:szCs w:val="28"/>
          <w:lang w:eastAsia="en-US" w:bidi="ru-RU"/>
        </w:rPr>
        <w:t xml:space="preserve"> </w:t>
      </w:r>
      <w:r w:rsidRPr="001A52B1">
        <w:rPr>
          <w:rFonts w:eastAsia="Calibri"/>
          <w:sz w:val="28"/>
          <w:szCs w:val="28"/>
          <w:lang w:eastAsia="en-US" w:bidi="ru-RU"/>
        </w:rPr>
        <w:t>-</w:t>
      </w:r>
      <w:r w:rsidRPr="001A52B1">
        <w:rPr>
          <w:rFonts w:eastAsia="Calibri"/>
          <w:i/>
          <w:iCs/>
          <w:sz w:val="28"/>
          <w:szCs w:val="28"/>
          <w:lang w:eastAsia="en-US" w:bidi="ru-RU"/>
        </w:rPr>
        <w:t xml:space="preserve"> </w:t>
      </w:r>
      <w:r w:rsidRPr="001A52B1">
        <w:rPr>
          <w:rFonts w:eastAsia="Calibri"/>
          <w:sz w:val="28"/>
          <w:szCs w:val="28"/>
          <w:lang w:eastAsia="en-US" w:bidi="ru-RU"/>
        </w:rPr>
        <w:t>сумма годовых величин объемов лесных ресурсов, подлежащих заготовке по договорам аренды лесных участков, за три года, предшествующих прогнозируемому году (т), 45,3 т.</w:t>
      </w:r>
    </w:p>
    <w:p w:rsidR="00CE1891" w:rsidRPr="001A52B1" w:rsidRDefault="00CE1891" w:rsidP="00CE1891">
      <w:pPr>
        <w:ind w:firstLine="709"/>
        <w:jc w:val="both"/>
        <w:rPr>
          <w:rFonts w:eastAsia="Calibri"/>
          <w:color w:val="000000"/>
          <w:sz w:val="28"/>
          <w:szCs w:val="28"/>
          <w:lang w:eastAsia="en-US" w:bidi="ru-RU"/>
        </w:rPr>
      </w:pPr>
    </w:p>
    <w:p w:rsidR="00CE1891" w:rsidRPr="001A52B1" w:rsidRDefault="00CE1891" w:rsidP="00CE1891">
      <w:pPr>
        <w:widowControl w:val="0"/>
        <w:ind w:firstLine="709"/>
        <w:jc w:val="both"/>
        <w:rPr>
          <w:rFonts w:eastAsia="Calibri"/>
          <w:sz w:val="28"/>
          <w:szCs w:val="28"/>
          <w:lang w:eastAsia="en-US"/>
        </w:rPr>
      </w:pPr>
      <w:r w:rsidRPr="001A52B1">
        <w:rPr>
          <w:rFonts w:eastAsia="Calibri"/>
          <w:sz w:val="28"/>
          <w:szCs w:val="28"/>
          <w:lang w:eastAsia="en-US"/>
        </w:rPr>
        <w:t>Т</w:t>
      </w:r>
      <w:r w:rsidRPr="001A52B1">
        <w:rPr>
          <w:rFonts w:eastAsia="Calibri"/>
          <w:sz w:val="28"/>
          <w:szCs w:val="28"/>
          <w:vertAlign w:val="superscript"/>
          <w:lang w:eastAsia="en-US"/>
        </w:rPr>
        <w:t>ср</w:t>
      </w:r>
      <w:r w:rsidRPr="001A52B1">
        <w:rPr>
          <w:rFonts w:eastAsia="Calibri"/>
          <w:sz w:val="28"/>
          <w:szCs w:val="28"/>
          <w:vertAlign w:val="subscript"/>
          <w:lang w:val="en-US" w:eastAsia="en-US"/>
        </w:rPr>
        <w:t>V</w:t>
      </w:r>
      <w:r w:rsidRPr="001A52B1">
        <w:rPr>
          <w:rFonts w:eastAsia="Calibri"/>
          <w:sz w:val="28"/>
          <w:szCs w:val="28"/>
          <w:vertAlign w:val="subscript"/>
          <w:lang w:eastAsia="en-US"/>
        </w:rPr>
        <w:t>ар</w:t>
      </w:r>
      <w:r w:rsidRPr="001A52B1">
        <w:rPr>
          <w:rFonts w:eastAsia="Calibri"/>
          <w:sz w:val="28"/>
          <w:szCs w:val="28"/>
          <w:lang w:eastAsia="en-US"/>
        </w:rPr>
        <w:t xml:space="preserve"> </w:t>
      </w:r>
      <w:r w:rsidRPr="001A52B1">
        <w:rPr>
          <w:rFonts w:eastAsia="Constantia"/>
          <w:i/>
          <w:iCs/>
          <w:sz w:val="28"/>
          <w:szCs w:val="28"/>
          <w:lang w:bidi="ru-RU"/>
        </w:rPr>
        <w:t>-</w:t>
      </w:r>
      <w:r w:rsidRPr="001A52B1">
        <w:rPr>
          <w:rFonts w:eastAsia="Calibri"/>
          <w:sz w:val="28"/>
          <w:szCs w:val="28"/>
          <w:lang w:eastAsia="en-US"/>
        </w:rPr>
        <w:t xml:space="preserve"> средний темп роста (снижения) объема лесных ресурсов (за исключением древесины), подлежащего заготовке по договорам аренды лесных участков, находящихся в федеральной собственности, за три отчетных года, предшествующих прогнозируемому году (ед.), 1,0:</w:t>
      </w:r>
    </w:p>
    <w:p w:rsidR="00CE1891" w:rsidRPr="001A52B1" w:rsidRDefault="00CE1891" w:rsidP="00CE1891">
      <w:pPr>
        <w:widowControl w:val="0"/>
        <w:ind w:firstLine="709"/>
        <w:jc w:val="both"/>
        <w:rPr>
          <w:rFonts w:eastAsia="Calibri"/>
          <w:sz w:val="28"/>
          <w:szCs w:val="28"/>
          <w:lang w:eastAsia="en-US"/>
        </w:rPr>
      </w:pPr>
    </w:p>
    <w:p w:rsidR="00CE1891" w:rsidRPr="001A52B1" w:rsidRDefault="00CE1891" w:rsidP="00CE1891">
      <w:pPr>
        <w:ind w:firstLine="709"/>
        <w:jc w:val="center"/>
        <w:rPr>
          <w:rFonts w:eastAsia="Constantia"/>
          <w:iCs/>
          <w:sz w:val="28"/>
          <w:szCs w:val="28"/>
        </w:rPr>
      </w:pPr>
      <w:r w:rsidRPr="001A52B1">
        <w:rPr>
          <w:rFonts w:eastAsia="Calibri"/>
          <w:sz w:val="28"/>
          <w:szCs w:val="28"/>
          <w:lang w:eastAsia="en-US"/>
        </w:rPr>
        <w:t>Т</w:t>
      </w:r>
      <w:r w:rsidRPr="001A52B1">
        <w:rPr>
          <w:rFonts w:eastAsia="Calibri"/>
          <w:sz w:val="28"/>
          <w:szCs w:val="28"/>
          <w:vertAlign w:val="superscript"/>
          <w:lang w:eastAsia="en-US"/>
        </w:rPr>
        <w:t>ср</w:t>
      </w:r>
      <w:r w:rsidRPr="001A52B1">
        <w:rPr>
          <w:rFonts w:eastAsia="Calibri"/>
          <w:sz w:val="28"/>
          <w:szCs w:val="28"/>
          <w:vertAlign w:val="subscript"/>
          <w:lang w:val="en-US" w:eastAsia="en-US"/>
        </w:rPr>
        <w:t>V</w:t>
      </w:r>
      <w:r w:rsidRPr="001A52B1">
        <w:rPr>
          <w:rFonts w:eastAsia="Calibri"/>
          <w:sz w:val="28"/>
          <w:szCs w:val="28"/>
          <w:vertAlign w:val="subscript"/>
          <w:lang w:eastAsia="en-US"/>
        </w:rPr>
        <w:t>ар</w:t>
      </w:r>
      <w:r w:rsidRPr="001A52B1">
        <w:rPr>
          <w:sz w:val="28"/>
          <w:szCs w:val="28"/>
          <w:vertAlign w:val="superscript"/>
        </w:rPr>
        <w:t xml:space="preserve"> =</w:t>
      </w:r>
      <w:r w:rsidRPr="001A52B1">
        <w:rPr>
          <w:sz w:val="28"/>
          <w:szCs w:val="28"/>
        </w:rPr>
        <w:t xml:space="preserve"> ∑</w:t>
      </w:r>
      <w:r w:rsidRPr="001A52B1">
        <w:rPr>
          <w:sz w:val="28"/>
          <w:szCs w:val="28"/>
          <w:vertAlign w:val="superscript"/>
        </w:rPr>
        <w:t>3</w:t>
      </w:r>
      <w:r w:rsidRPr="001A52B1">
        <w:rPr>
          <w:sz w:val="28"/>
          <w:szCs w:val="28"/>
          <w:vertAlign w:val="subscript"/>
          <w:lang w:val="en-US"/>
        </w:rPr>
        <w:t>t</w:t>
      </w:r>
      <w:r w:rsidRPr="001A52B1">
        <w:rPr>
          <w:sz w:val="28"/>
          <w:szCs w:val="28"/>
          <w:vertAlign w:val="subscript"/>
        </w:rPr>
        <w:t>=1</w:t>
      </w:r>
      <w:r w:rsidRPr="001A52B1">
        <w:rPr>
          <w:rFonts w:eastAsia="Calibri"/>
          <w:sz w:val="28"/>
          <w:szCs w:val="28"/>
          <w:lang w:eastAsia="en-US"/>
        </w:rPr>
        <w:t xml:space="preserve"> Т</w:t>
      </w:r>
      <w:r w:rsidRPr="001A52B1">
        <w:rPr>
          <w:rFonts w:eastAsia="Calibri"/>
          <w:sz w:val="28"/>
          <w:szCs w:val="28"/>
          <w:vertAlign w:val="subscript"/>
          <w:lang w:val="en-US" w:eastAsia="en-US"/>
        </w:rPr>
        <w:t>V</w:t>
      </w:r>
      <w:r w:rsidRPr="001A52B1">
        <w:rPr>
          <w:rFonts w:eastAsia="Calibri"/>
          <w:sz w:val="28"/>
          <w:szCs w:val="28"/>
          <w:vertAlign w:val="subscript"/>
          <w:lang w:eastAsia="en-US"/>
        </w:rPr>
        <w:t>ар</w:t>
      </w:r>
      <w:r w:rsidRPr="001A52B1">
        <w:rPr>
          <w:rFonts w:eastAsia="Constantia"/>
          <w:iCs/>
          <w:sz w:val="28"/>
          <w:szCs w:val="28"/>
        </w:rPr>
        <w:t xml:space="preserve"> /3,</w:t>
      </w:r>
    </w:p>
    <w:p w:rsidR="00CE1891" w:rsidRPr="001A52B1" w:rsidRDefault="00CE1891" w:rsidP="00CE1891">
      <w:pPr>
        <w:widowControl w:val="0"/>
        <w:ind w:firstLine="709"/>
        <w:jc w:val="center"/>
        <w:rPr>
          <w:rFonts w:eastAsia="Calibri"/>
          <w:sz w:val="28"/>
          <w:szCs w:val="28"/>
          <w:lang w:eastAsia="en-US"/>
        </w:rPr>
      </w:pPr>
      <w:r w:rsidRPr="001A52B1">
        <w:rPr>
          <w:rFonts w:eastAsia="Calibri"/>
          <w:sz w:val="28"/>
          <w:szCs w:val="28"/>
          <w:lang w:eastAsia="en-US"/>
        </w:rPr>
        <w:t>1,0 = (1,0 + 1,0 + 1,0)/3</w:t>
      </w:r>
    </w:p>
    <w:p w:rsidR="00CE1891" w:rsidRPr="001A52B1" w:rsidRDefault="00CE1891" w:rsidP="00CE1891">
      <w:pPr>
        <w:widowControl w:val="0"/>
        <w:ind w:firstLine="709"/>
        <w:jc w:val="both"/>
        <w:rPr>
          <w:rFonts w:eastAsia="Calibri"/>
          <w:sz w:val="28"/>
          <w:szCs w:val="28"/>
          <w:lang w:eastAsia="en-US"/>
        </w:rPr>
      </w:pPr>
      <w:r w:rsidRPr="001A52B1">
        <w:rPr>
          <w:rFonts w:eastAsia="Calibri"/>
          <w:sz w:val="28"/>
          <w:szCs w:val="28"/>
          <w:lang w:eastAsia="en-US"/>
        </w:rPr>
        <w:t>где:</w:t>
      </w:r>
    </w:p>
    <w:p w:rsidR="00CE1891" w:rsidRPr="001A52B1" w:rsidRDefault="00CE1891" w:rsidP="00CE1891">
      <w:pPr>
        <w:widowControl w:val="0"/>
        <w:ind w:firstLine="709"/>
        <w:jc w:val="both"/>
        <w:rPr>
          <w:rFonts w:eastAsia="Calibri"/>
          <w:sz w:val="28"/>
          <w:szCs w:val="28"/>
          <w:lang w:eastAsia="en-US"/>
        </w:rPr>
      </w:pPr>
      <w:r w:rsidRPr="001A52B1">
        <w:rPr>
          <w:sz w:val="28"/>
          <w:szCs w:val="28"/>
        </w:rPr>
        <w:t>∑</w:t>
      </w:r>
      <w:r w:rsidRPr="001A52B1">
        <w:rPr>
          <w:sz w:val="28"/>
          <w:szCs w:val="28"/>
          <w:vertAlign w:val="superscript"/>
        </w:rPr>
        <w:t>3</w:t>
      </w:r>
      <w:r w:rsidRPr="001A52B1">
        <w:rPr>
          <w:sz w:val="28"/>
          <w:szCs w:val="28"/>
          <w:vertAlign w:val="subscript"/>
          <w:lang w:val="en-US"/>
        </w:rPr>
        <w:t>t</w:t>
      </w:r>
      <w:r w:rsidRPr="001A52B1">
        <w:rPr>
          <w:sz w:val="28"/>
          <w:szCs w:val="28"/>
          <w:vertAlign w:val="subscript"/>
        </w:rPr>
        <w:t>=1</w:t>
      </w:r>
      <w:r w:rsidRPr="001A52B1">
        <w:rPr>
          <w:rFonts w:eastAsia="Calibri"/>
          <w:sz w:val="28"/>
          <w:szCs w:val="28"/>
          <w:lang w:eastAsia="en-US"/>
        </w:rPr>
        <w:t xml:space="preserve"> Т</w:t>
      </w:r>
      <w:r w:rsidRPr="001A52B1">
        <w:rPr>
          <w:rFonts w:eastAsia="Calibri"/>
          <w:sz w:val="28"/>
          <w:szCs w:val="28"/>
          <w:vertAlign w:val="subscript"/>
          <w:lang w:val="en-US" w:eastAsia="en-US"/>
        </w:rPr>
        <w:t>V</w:t>
      </w:r>
      <w:r w:rsidRPr="001A52B1">
        <w:rPr>
          <w:rFonts w:eastAsia="Calibri"/>
          <w:sz w:val="28"/>
          <w:szCs w:val="28"/>
          <w:vertAlign w:val="subscript"/>
          <w:lang w:eastAsia="en-US"/>
        </w:rPr>
        <w:t>ар</w:t>
      </w:r>
      <w:r w:rsidRPr="001A52B1">
        <w:rPr>
          <w:rFonts w:eastAsia="Calibri"/>
          <w:sz w:val="28"/>
          <w:szCs w:val="28"/>
          <w:lang w:eastAsia="en-US"/>
        </w:rPr>
        <w:t xml:space="preserve">  </w:t>
      </w:r>
      <w:r w:rsidRPr="001A52B1">
        <w:rPr>
          <w:rFonts w:eastAsia="Constantia"/>
          <w:i/>
          <w:iCs/>
          <w:sz w:val="28"/>
          <w:szCs w:val="28"/>
          <w:lang w:bidi="ru-RU"/>
        </w:rPr>
        <w:t>-</w:t>
      </w:r>
      <w:r w:rsidRPr="001A52B1">
        <w:rPr>
          <w:rFonts w:eastAsia="Calibri"/>
          <w:sz w:val="28"/>
          <w:szCs w:val="28"/>
          <w:lang w:eastAsia="en-US"/>
        </w:rPr>
        <w:t xml:space="preserve"> сумма темпов роста (снижения) объема лесных ресурсов (за исключением древесины), подлежащего заготовке по договорам аренды лесных участков, находящихся в федеральной собственности, за три отчетных года, предшествующих прогнозируемому году, (ед.), 3,0:</w:t>
      </w:r>
    </w:p>
    <w:p w:rsidR="00CE1891" w:rsidRPr="001A52B1" w:rsidRDefault="00CE1891" w:rsidP="00CE1891">
      <w:pPr>
        <w:widowControl w:val="0"/>
        <w:ind w:firstLine="709"/>
        <w:jc w:val="both"/>
        <w:rPr>
          <w:rFonts w:eastAsia="Calibri"/>
          <w:sz w:val="28"/>
          <w:szCs w:val="28"/>
          <w:lang w:eastAsia="en-US"/>
        </w:rPr>
      </w:pPr>
    </w:p>
    <w:p w:rsidR="00CE1891" w:rsidRPr="001A52B1" w:rsidRDefault="00CE1891" w:rsidP="00CE1891">
      <w:pPr>
        <w:widowControl w:val="0"/>
        <w:ind w:firstLine="709"/>
        <w:jc w:val="center"/>
        <w:rPr>
          <w:rFonts w:eastAsia="Calibri"/>
          <w:sz w:val="28"/>
          <w:szCs w:val="28"/>
          <w:vertAlign w:val="superscript"/>
          <w:lang w:eastAsia="en-US"/>
        </w:rPr>
      </w:pPr>
      <w:r w:rsidRPr="001A52B1">
        <w:rPr>
          <w:sz w:val="28"/>
          <w:szCs w:val="28"/>
        </w:rPr>
        <w:t>∑</w:t>
      </w:r>
      <w:r w:rsidRPr="001A52B1">
        <w:rPr>
          <w:sz w:val="28"/>
          <w:szCs w:val="28"/>
          <w:vertAlign w:val="superscript"/>
        </w:rPr>
        <w:t>3</w:t>
      </w:r>
      <w:r w:rsidRPr="001A52B1">
        <w:rPr>
          <w:sz w:val="28"/>
          <w:szCs w:val="28"/>
          <w:vertAlign w:val="subscript"/>
          <w:lang w:val="en-US"/>
        </w:rPr>
        <w:t>t</w:t>
      </w:r>
      <w:r w:rsidRPr="001A52B1">
        <w:rPr>
          <w:sz w:val="28"/>
          <w:szCs w:val="28"/>
          <w:vertAlign w:val="subscript"/>
        </w:rPr>
        <w:t>=1</w:t>
      </w:r>
      <w:r w:rsidRPr="001A52B1">
        <w:rPr>
          <w:rFonts w:eastAsia="Calibri"/>
          <w:sz w:val="28"/>
          <w:szCs w:val="28"/>
          <w:lang w:eastAsia="en-US"/>
        </w:rPr>
        <w:t xml:space="preserve"> Т</w:t>
      </w:r>
      <w:r w:rsidRPr="001A52B1">
        <w:rPr>
          <w:rFonts w:eastAsia="Calibri"/>
          <w:sz w:val="28"/>
          <w:szCs w:val="28"/>
          <w:vertAlign w:val="subscript"/>
          <w:lang w:val="en-US" w:eastAsia="en-US"/>
        </w:rPr>
        <w:t>V</w:t>
      </w:r>
      <w:r w:rsidRPr="001A52B1">
        <w:rPr>
          <w:rFonts w:eastAsia="Calibri"/>
          <w:sz w:val="28"/>
          <w:szCs w:val="28"/>
          <w:vertAlign w:val="subscript"/>
          <w:lang w:eastAsia="en-US"/>
        </w:rPr>
        <w:t>ар</w:t>
      </w:r>
      <w:r w:rsidRPr="001A52B1">
        <w:rPr>
          <w:rFonts w:eastAsia="Calibri"/>
          <w:sz w:val="28"/>
          <w:szCs w:val="28"/>
          <w:lang w:eastAsia="en-US"/>
        </w:rPr>
        <w:t xml:space="preserve">  = Т</w:t>
      </w:r>
      <w:r w:rsidRPr="001A52B1">
        <w:rPr>
          <w:rFonts w:eastAsia="Calibri"/>
          <w:sz w:val="28"/>
          <w:szCs w:val="28"/>
          <w:vertAlign w:val="subscript"/>
          <w:lang w:val="en-US" w:eastAsia="en-US"/>
        </w:rPr>
        <w:t>V</w:t>
      </w:r>
      <w:r w:rsidRPr="001A52B1">
        <w:rPr>
          <w:rFonts w:eastAsia="Calibri"/>
          <w:sz w:val="28"/>
          <w:szCs w:val="28"/>
          <w:vertAlign w:val="subscript"/>
          <w:lang w:eastAsia="en-US"/>
        </w:rPr>
        <w:t>ар</w:t>
      </w:r>
      <w:r w:rsidRPr="001A52B1">
        <w:rPr>
          <w:rFonts w:eastAsia="Calibri"/>
          <w:sz w:val="28"/>
          <w:szCs w:val="28"/>
          <w:vertAlign w:val="superscript"/>
          <w:lang w:eastAsia="en-US"/>
        </w:rPr>
        <w:t xml:space="preserve">2019 </w:t>
      </w:r>
      <w:r w:rsidRPr="001A52B1">
        <w:rPr>
          <w:rFonts w:eastAsia="Calibri"/>
          <w:sz w:val="28"/>
          <w:szCs w:val="28"/>
          <w:lang w:eastAsia="en-US"/>
        </w:rPr>
        <w:t>+ Т</w:t>
      </w:r>
      <w:r w:rsidRPr="001A52B1">
        <w:rPr>
          <w:rFonts w:eastAsia="Calibri"/>
          <w:sz w:val="28"/>
          <w:szCs w:val="28"/>
          <w:vertAlign w:val="subscript"/>
          <w:lang w:val="en-US" w:eastAsia="en-US"/>
        </w:rPr>
        <w:t>V</w:t>
      </w:r>
      <w:r w:rsidRPr="001A52B1">
        <w:rPr>
          <w:rFonts w:eastAsia="Calibri"/>
          <w:sz w:val="28"/>
          <w:szCs w:val="28"/>
          <w:vertAlign w:val="subscript"/>
          <w:lang w:eastAsia="en-US"/>
        </w:rPr>
        <w:t>ар</w:t>
      </w:r>
      <w:r w:rsidRPr="001A52B1">
        <w:rPr>
          <w:rFonts w:eastAsia="Calibri"/>
          <w:sz w:val="28"/>
          <w:szCs w:val="28"/>
          <w:vertAlign w:val="superscript"/>
          <w:lang w:eastAsia="en-US"/>
        </w:rPr>
        <w:t xml:space="preserve">2020 </w:t>
      </w:r>
      <w:r w:rsidRPr="001A52B1">
        <w:rPr>
          <w:rFonts w:eastAsia="Calibri"/>
          <w:sz w:val="28"/>
          <w:szCs w:val="28"/>
          <w:lang w:eastAsia="en-US"/>
        </w:rPr>
        <w:t>+ Т</w:t>
      </w:r>
      <w:r w:rsidRPr="001A52B1">
        <w:rPr>
          <w:rFonts w:eastAsia="Calibri"/>
          <w:sz w:val="28"/>
          <w:szCs w:val="28"/>
          <w:vertAlign w:val="subscript"/>
          <w:lang w:val="en-US" w:eastAsia="en-US"/>
        </w:rPr>
        <w:t>v</w:t>
      </w:r>
      <w:r w:rsidRPr="001A52B1">
        <w:rPr>
          <w:rFonts w:eastAsia="Calibri"/>
          <w:sz w:val="28"/>
          <w:szCs w:val="28"/>
          <w:vertAlign w:val="subscript"/>
          <w:lang w:eastAsia="en-US"/>
        </w:rPr>
        <w:t>ар</w:t>
      </w:r>
      <w:r w:rsidRPr="001A52B1">
        <w:rPr>
          <w:rFonts w:eastAsia="Calibri"/>
          <w:sz w:val="28"/>
          <w:szCs w:val="28"/>
          <w:vertAlign w:val="superscript"/>
          <w:lang w:eastAsia="en-US"/>
        </w:rPr>
        <w:t>2021</w:t>
      </w:r>
    </w:p>
    <w:p w:rsidR="00CE1891" w:rsidRPr="001A52B1" w:rsidRDefault="00CE1891" w:rsidP="00CE1891">
      <w:pPr>
        <w:widowControl w:val="0"/>
        <w:ind w:firstLine="709"/>
        <w:jc w:val="center"/>
        <w:rPr>
          <w:rFonts w:eastAsia="Calibri"/>
          <w:sz w:val="28"/>
          <w:szCs w:val="28"/>
          <w:lang w:eastAsia="en-US"/>
        </w:rPr>
      </w:pPr>
      <w:r w:rsidRPr="001A52B1">
        <w:rPr>
          <w:rFonts w:eastAsia="Calibri"/>
          <w:sz w:val="28"/>
          <w:szCs w:val="28"/>
          <w:lang w:eastAsia="en-US"/>
        </w:rPr>
        <w:t>3,0  = 1,0 + 1,0 + 1,0</w:t>
      </w:r>
    </w:p>
    <w:p w:rsidR="00CE1891" w:rsidRPr="001A52B1" w:rsidRDefault="00CE1891" w:rsidP="00CE1891">
      <w:pPr>
        <w:widowControl w:val="0"/>
        <w:ind w:firstLine="709"/>
        <w:jc w:val="center"/>
        <w:rPr>
          <w:rFonts w:eastAsia="Calibri"/>
          <w:sz w:val="28"/>
          <w:szCs w:val="28"/>
          <w:lang w:eastAsia="en-US"/>
        </w:rPr>
      </w:pPr>
    </w:p>
    <w:p w:rsidR="00CE1891" w:rsidRPr="001A52B1" w:rsidRDefault="00CE1891" w:rsidP="00CE1891">
      <w:pPr>
        <w:widowControl w:val="0"/>
        <w:ind w:firstLine="709"/>
        <w:jc w:val="both"/>
        <w:rPr>
          <w:rFonts w:eastAsia="Calibri"/>
          <w:sz w:val="28"/>
          <w:szCs w:val="28"/>
          <w:lang w:eastAsia="en-US"/>
        </w:rPr>
      </w:pPr>
      <w:r w:rsidRPr="001A52B1">
        <w:rPr>
          <w:rFonts w:eastAsia="Calibri"/>
          <w:sz w:val="28"/>
          <w:szCs w:val="28"/>
          <w:lang w:eastAsia="en-US"/>
        </w:rPr>
        <w:t>Т</w:t>
      </w:r>
      <w:r w:rsidRPr="001A52B1">
        <w:rPr>
          <w:rFonts w:eastAsia="Calibri"/>
          <w:sz w:val="28"/>
          <w:szCs w:val="28"/>
          <w:vertAlign w:val="subscript"/>
          <w:lang w:eastAsia="en-US"/>
        </w:rPr>
        <w:t>Vар</w:t>
      </w:r>
      <w:r w:rsidRPr="001A52B1">
        <w:rPr>
          <w:rFonts w:eastAsia="Calibri"/>
          <w:sz w:val="28"/>
          <w:szCs w:val="28"/>
          <w:lang w:eastAsia="en-US"/>
        </w:rPr>
        <w:t xml:space="preserve"> - темп роста (снижения) объема лесных ресурсов (за исключением древесины), подлежащего заготовке по договорам аренды лесных участков, находящихся в федеральной собственности, за год (ед.), определяется по формуле:</w:t>
      </w:r>
    </w:p>
    <w:p w:rsidR="00CE1891" w:rsidRPr="001A52B1" w:rsidRDefault="00CE1891" w:rsidP="00CE1891">
      <w:pPr>
        <w:widowControl w:val="0"/>
        <w:ind w:firstLine="709"/>
        <w:jc w:val="center"/>
        <w:rPr>
          <w:rFonts w:eastAsia="Calibri"/>
          <w:sz w:val="28"/>
          <w:szCs w:val="28"/>
          <w:vertAlign w:val="subscript"/>
          <w:lang w:eastAsia="en-US"/>
        </w:rPr>
      </w:pPr>
      <w:r w:rsidRPr="001A52B1">
        <w:rPr>
          <w:rFonts w:eastAsia="Calibri"/>
          <w:sz w:val="28"/>
          <w:szCs w:val="28"/>
          <w:lang w:eastAsia="en-US"/>
        </w:rPr>
        <w:t>Т</w:t>
      </w:r>
      <w:r w:rsidRPr="001A52B1">
        <w:rPr>
          <w:rFonts w:eastAsia="Calibri"/>
          <w:sz w:val="28"/>
          <w:szCs w:val="28"/>
          <w:vertAlign w:val="subscript"/>
          <w:lang w:eastAsia="en-US"/>
        </w:rPr>
        <w:t>Vар</w:t>
      </w:r>
      <w:r w:rsidRPr="001A52B1">
        <w:rPr>
          <w:rFonts w:eastAsia="Calibri"/>
          <w:sz w:val="28"/>
          <w:szCs w:val="28"/>
          <w:lang w:eastAsia="en-US"/>
        </w:rPr>
        <w:t xml:space="preserve"> =</w:t>
      </w:r>
      <w:r w:rsidRPr="001A52B1">
        <w:rPr>
          <w:rFonts w:eastAsia="Calibri"/>
          <w:sz w:val="28"/>
          <w:szCs w:val="28"/>
          <w:vertAlign w:val="subscript"/>
          <w:lang w:eastAsia="en-US"/>
        </w:rPr>
        <w:t xml:space="preserve"> </w:t>
      </w:r>
      <w:r w:rsidRPr="001A52B1">
        <w:rPr>
          <w:rFonts w:eastAsia="Calibri"/>
          <w:sz w:val="28"/>
          <w:szCs w:val="28"/>
          <w:lang w:val="en-US" w:eastAsia="en-US"/>
        </w:rPr>
        <w:t>Q</w:t>
      </w:r>
      <w:r w:rsidRPr="001A52B1">
        <w:rPr>
          <w:rFonts w:eastAsia="Calibri"/>
          <w:sz w:val="28"/>
          <w:szCs w:val="28"/>
          <w:vertAlign w:val="superscript"/>
          <w:lang w:val="en-US" w:eastAsia="en-US"/>
        </w:rPr>
        <w:t>n</w:t>
      </w:r>
      <w:r w:rsidRPr="001A52B1">
        <w:rPr>
          <w:rFonts w:eastAsia="Calibri"/>
          <w:sz w:val="28"/>
          <w:szCs w:val="28"/>
          <w:vertAlign w:val="subscript"/>
          <w:lang w:val="en-US" w:eastAsia="en-US"/>
        </w:rPr>
        <w:t>V</w:t>
      </w:r>
      <w:r w:rsidRPr="001A52B1">
        <w:rPr>
          <w:rFonts w:eastAsia="Calibri"/>
          <w:sz w:val="28"/>
          <w:szCs w:val="28"/>
          <w:vertAlign w:val="subscript"/>
          <w:lang w:eastAsia="en-US"/>
        </w:rPr>
        <w:t>ар</w:t>
      </w:r>
      <w:r w:rsidRPr="001A52B1">
        <w:rPr>
          <w:rFonts w:eastAsia="Calibri"/>
          <w:sz w:val="28"/>
          <w:szCs w:val="28"/>
          <w:lang w:eastAsia="en-US"/>
        </w:rPr>
        <w:t xml:space="preserve">/ </w:t>
      </w:r>
      <w:r w:rsidRPr="001A52B1">
        <w:rPr>
          <w:rFonts w:eastAsia="Calibri"/>
          <w:sz w:val="28"/>
          <w:szCs w:val="28"/>
          <w:lang w:val="en-US" w:eastAsia="en-US"/>
        </w:rPr>
        <w:t>Q</w:t>
      </w:r>
      <w:r w:rsidRPr="001A52B1">
        <w:rPr>
          <w:rFonts w:eastAsia="Calibri"/>
          <w:sz w:val="28"/>
          <w:szCs w:val="28"/>
          <w:vertAlign w:val="superscript"/>
          <w:lang w:val="en-US" w:eastAsia="en-US"/>
        </w:rPr>
        <w:t>n</w:t>
      </w:r>
      <w:r w:rsidRPr="001A52B1">
        <w:rPr>
          <w:rFonts w:eastAsia="Calibri"/>
          <w:sz w:val="28"/>
          <w:szCs w:val="28"/>
          <w:vertAlign w:val="superscript"/>
          <w:lang w:eastAsia="en-US"/>
        </w:rPr>
        <w:t>-1</w:t>
      </w:r>
      <w:r w:rsidRPr="001A52B1">
        <w:rPr>
          <w:rFonts w:eastAsia="Calibri"/>
          <w:sz w:val="28"/>
          <w:szCs w:val="28"/>
          <w:vertAlign w:val="subscript"/>
          <w:lang w:val="en-US" w:eastAsia="en-US"/>
        </w:rPr>
        <w:t>V</w:t>
      </w:r>
      <w:r w:rsidRPr="001A52B1">
        <w:rPr>
          <w:rFonts w:eastAsia="Calibri"/>
          <w:sz w:val="28"/>
          <w:szCs w:val="28"/>
          <w:vertAlign w:val="subscript"/>
          <w:lang w:eastAsia="en-US"/>
        </w:rPr>
        <w:t xml:space="preserve">ар </w:t>
      </w:r>
    </w:p>
    <w:p w:rsidR="00CE1891" w:rsidRPr="001A52B1" w:rsidRDefault="00CE1891" w:rsidP="00CE1891">
      <w:pPr>
        <w:widowControl w:val="0"/>
        <w:ind w:firstLine="709"/>
        <w:jc w:val="center"/>
        <w:rPr>
          <w:rFonts w:eastAsia="Calibri"/>
          <w:sz w:val="28"/>
          <w:szCs w:val="28"/>
          <w:vertAlign w:val="subscript"/>
          <w:lang w:eastAsia="en-US"/>
        </w:rPr>
      </w:pPr>
    </w:p>
    <w:p w:rsidR="00CE1891" w:rsidRPr="001A52B1" w:rsidRDefault="00CE1891" w:rsidP="00CE1891">
      <w:pPr>
        <w:widowControl w:val="0"/>
        <w:ind w:firstLine="709"/>
        <w:jc w:val="both"/>
        <w:rPr>
          <w:rFonts w:eastAsia="Calibri"/>
          <w:sz w:val="28"/>
          <w:szCs w:val="28"/>
          <w:lang w:eastAsia="en-US"/>
        </w:rPr>
      </w:pPr>
      <w:r w:rsidRPr="001A52B1">
        <w:rPr>
          <w:rFonts w:eastAsia="Calibri"/>
          <w:sz w:val="28"/>
          <w:szCs w:val="28"/>
          <w:lang w:eastAsia="en-US"/>
        </w:rPr>
        <w:t>где:</w:t>
      </w:r>
    </w:p>
    <w:p w:rsidR="00CE1891" w:rsidRPr="001A52B1" w:rsidRDefault="00CE1891" w:rsidP="00CE1891">
      <w:pPr>
        <w:widowControl w:val="0"/>
        <w:ind w:firstLine="709"/>
        <w:jc w:val="both"/>
        <w:rPr>
          <w:rFonts w:eastAsia="Calibri"/>
          <w:sz w:val="28"/>
          <w:szCs w:val="28"/>
          <w:lang w:eastAsia="en-US"/>
        </w:rPr>
      </w:pPr>
      <w:r w:rsidRPr="001A52B1">
        <w:rPr>
          <w:rFonts w:eastAsia="Calibri"/>
          <w:sz w:val="28"/>
          <w:szCs w:val="28"/>
          <w:lang w:val="en-US" w:eastAsia="en-US"/>
        </w:rPr>
        <w:t>Q</w:t>
      </w:r>
      <w:r w:rsidRPr="001A52B1">
        <w:rPr>
          <w:rFonts w:eastAsia="Calibri"/>
          <w:sz w:val="28"/>
          <w:szCs w:val="28"/>
          <w:vertAlign w:val="superscript"/>
          <w:lang w:val="en-US" w:eastAsia="en-US"/>
        </w:rPr>
        <w:t>n</w:t>
      </w:r>
      <w:r w:rsidRPr="001A52B1">
        <w:rPr>
          <w:rFonts w:eastAsia="Calibri"/>
          <w:sz w:val="28"/>
          <w:szCs w:val="28"/>
          <w:vertAlign w:val="subscript"/>
          <w:lang w:val="en-US" w:eastAsia="en-US"/>
        </w:rPr>
        <w:t>V</w:t>
      </w:r>
      <w:r w:rsidRPr="001A52B1">
        <w:rPr>
          <w:rFonts w:eastAsia="Calibri"/>
          <w:sz w:val="28"/>
          <w:szCs w:val="28"/>
          <w:vertAlign w:val="subscript"/>
          <w:lang w:eastAsia="en-US"/>
        </w:rPr>
        <w:t xml:space="preserve">ар </w:t>
      </w:r>
      <w:r w:rsidRPr="001A52B1">
        <w:rPr>
          <w:rFonts w:eastAsia="Calibri"/>
          <w:sz w:val="28"/>
          <w:szCs w:val="28"/>
          <w:lang w:eastAsia="en-US"/>
        </w:rPr>
        <w:t>- объем лесных ресурсов (за исключением древесины), подлежащий заготовке по договорам аренды лесных участков, находящихся в федеральной собственности, за год (т);</w:t>
      </w:r>
    </w:p>
    <w:p w:rsidR="00CE1891" w:rsidRPr="001A52B1" w:rsidRDefault="00CE1891" w:rsidP="00CE1891">
      <w:pPr>
        <w:widowControl w:val="0"/>
        <w:ind w:firstLine="709"/>
        <w:jc w:val="both"/>
        <w:rPr>
          <w:rFonts w:eastAsia="Calibri"/>
          <w:sz w:val="28"/>
          <w:szCs w:val="28"/>
          <w:lang w:eastAsia="en-US"/>
        </w:rPr>
      </w:pPr>
      <w:r w:rsidRPr="001A52B1">
        <w:rPr>
          <w:rFonts w:eastAsia="Calibri"/>
          <w:sz w:val="28"/>
          <w:szCs w:val="28"/>
          <w:lang w:val="en-US" w:eastAsia="en-US"/>
        </w:rPr>
        <w:t>Q</w:t>
      </w:r>
      <w:r w:rsidRPr="001A52B1">
        <w:rPr>
          <w:rFonts w:eastAsia="Calibri"/>
          <w:sz w:val="28"/>
          <w:szCs w:val="28"/>
          <w:vertAlign w:val="superscript"/>
          <w:lang w:val="en-US" w:eastAsia="en-US"/>
        </w:rPr>
        <w:t>n</w:t>
      </w:r>
      <w:r w:rsidRPr="001A52B1">
        <w:rPr>
          <w:rFonts w:eastAsia="Calibri"/>
          <w:sz w:val="28"/>
          <w:szCs w:val="28"/>
          <w:vertAlign w:val="superscript"/>
          <w:lang w:eastAsia="en-US"/>
        </w:rPr>
        <w:t>-1</w:t>
      </w:r>
      <w:r w:rsidRPr="001A52B1">
        <w:rPr>
          <w:rFonts w:eastAsia="Calibri"/>
          <w:sz w:val="28"/>
          <w:szCs w:val="28"/>
          <w:vertAlign w:val="subscript"/>
          <w:lang w:val="en-US" w:eastAsia="en-US"/>
        </w:rPr>
        <w:t>V</w:t>
      </w:r>
      <w:r w:rsidRPr="001A52B1">
        <w:rPr>
          <w:rFonts w:eastAsia="Calibri"/>
          <w:sz w:val="28"/>
          <w:szCs w:val="28"/>
          <w:vertAlign w:val="subscript"/>
          <w:lang w:eastAsia="en-US"/>
        </w:rPr>
        <w:t xml:space="preserve">ар </w:t>
      </w:r>
      <w:r w:rsidRPr="001A52B1">
        <w:rPr>
          <w:rFonts w:eastAsia="Calibri"/>
          <w:sz w:val="28"/>
          <w:szCs w:val="28"/>
          <w:lang w:eastAsia="en-US"/>
        </w:rPr>
        <w:t>- объем лесных ресурсов (за исключением древесины), подлежащий заготовке по договорам аренды лесных участков, находящихся в федеральной собственности, за предыдущий год (т);</w:t>
      </w:r>
    </w:p>
    <w:p w:rsidR="00CE1891" w:rsidRPr="001A52B1" w:rsidRDefault="00CE1891" w:rsidP="00CE1891">
      <w:pPr>
        <w:widowControl w:val="0"/>
        <w:ind w:firstLine="709"/>
        <w:jc w:val="center"/>
        <w:rPr>
          <w:rFonts w:eastAsia="Calibri"/>
          <w:sz w:val="28"/>
          <w:szCs w:val="28"/>
          <w:lang w:eastAsia="en-US"/>
        </w:rPr>
      </w:pPr>
    </w:p>
    <w:p w:rsidR="00CE1891" w:rsidRPr="001A52B1" w:rsidRDefault="00CE1891" w:rsidP="00CE1891">
      <w:pPr>
        <w:widowControl w:val="0"/>
        <w:ind w:firstLine="709"/>
        <w:jc w:val="both"/>
        <w:rPr>
          <w:rFonts w:eastAsia="Calibri"/>
          <w:sz w:val="28"/>
          <w:szCs w:val="28"/>
          <w:lang w:eastAsia="en-US"/>
        </w:rPr>
      </w:pPr>
      <w:r w:rsidRPr="001A52B1">
        <w:rPr>
          <w:rFonts w:eastAsia="Calibri"/>
          <w:sz w:val="28"/>
          <w:szCs w:val="28"/>
          <w:lang w:eastAsia="en-US"/>
        </w:rPr>
        <w:t>в том числе по годам:</w:t>
      </w:r>
    </w:p>
    <w:p w:rsidR="00CE1891" w:rsidRPr="001A52B1" w:rsidRDefault="00CE1891" w:rsidP="00CE1891">
      <w:pPr>
        <w:widowControl w:val="0"/>
        <w:ind w:firstLine="709"/>
        <w:jc w:val="both"/>
        <w:rPr>
          <w:rFonts w:eastAsia="Calibri"/>
          <w:sz w:val="28"/>
          <w:szCs w:val="28"/>
          <w:lang w:eastAsia="en-US"/>
        </w:rPr>
      </w:pPr>
    </w:p>
    <w:p w:rsidR="00CE1891" w:rsidRPr="001A52B1" w:rsidRDefault="00CE1891" w:rsidP="00CE1891">
      <w:pPr>
        <w:widowControl w:val="0"/>
        <w:ind w:firstLine="709"/>
        <w:jc w:val="both"/>
        <w:rPr>
          <w:rFonts w:eastAsia="Calibri"/>
          <w:sz w:val="28"/>
          <w:szCs w:val="28"/>
          <w:lang w:eastAsia="en-US"/>
        </w:rPr>
      </w:pPr>
      <w:r w:rsidRPr="001A52B1">
        <w:rPr>
          <w:rFonts w:eastAsia="Calibri"/>
          <w:sz w:val="28"/>
          <w:szCs w:val="28"/>
          <w:lang w:eastAsia="en-US"/>
        </w:rPr>
        <w:t>а) Т</w:t>
      </w:r>
      <w:r w:rsidRPr="001A52B1">
        <w:rPr>
          <w:rFonts w:eastAsia="Calibri"/>
          <w:sz w:val="28"/>
          <w:szCs w:val="28"/>
          <w:vertAlign w:val="subscript"/>
          <w:lang w:val="en-US" w:eastAsia="en-US"/>
        </w:rPr>
        <w:t>V</w:t>
      </w:r>
      <w:r w:rsidRPr="001A52B1">
        <w:rPr>
          <w:rFonts w:eastAsia="Calibri"/>
          <w:sz w:val="28"/>
          <w:szCs w:val="28"/>
          <w:vertAlign w:val="subscript"/>
          <w:lang w:eastAsia="en-US"/>
        </w:rPr>
        <w:t>ар</w:t>
      </w:r>
      <w:r w:rsidRPr="001A52B1">
        <w:rPr>
          <w:rFonts w:eastAsia="Calibri"/>
          <w:sz w:val="28"/>
          <w:szCs w:val="28"/>
          <w:vertAlign w:val="superscript"/>
          <w:lang w:eastAsia="en-US"/>
        </w:rPr>
        <w:t>2019</w:t>
      </w:r>
      <w:r w:rsidRPr="001A52B1">
        <w:rPr>
          <w:rFonts w:eastAsia="Calibri"/>
          <w:sz w:val="28"/>
          <w:szCs w:val="28"/>
          <w:lang w:eastAsia="en-US"/>
        </w:rPr>
        <w:t xml:space="preserve"> </w:t>
      </w:r>
      <w:r w:rsidRPr="001A52B1">
        <w:rPr>
          <w:rFonts w:eastAsia="Constantia"/>
          <w:i/>
          <w:iCs/>
          <w:sz w:val="28"/>
          <w:szCs w:val="28"/>
          <w:lang w:bidi="ru-RU"/>
        </w:rPr>
        <w:t>-</w:t>
      </w:r>
      <w:r w:rsidRPr="001A52B1">
        <w:rPr>
          <w:rFonts w:eastAsia="Calibri"/>
          <w:sz w:val="28"/>
          <w:szCs w:val="28"/>
          <w:lang w:eastAsia="en-US"/>
        </w:rPr>
        <w:t xml:space="preserve"> темп роста (снижения) объема лесных ресурсов (за исключением древесины), подлежащего заготовке по договорам аренды лесных участков, находящихся в федеральной собственности, за 2019 год (ед.), 1,0:</w:t>
      </w:r>
    </w:p>
    <w:p w:rsidR="00CE1891" w:rsidRPr="001A52B1" w:rsidRDefault="00CE1891" w:rsidP="00CE1891">
      <w:pPr>
        <w:widowControl w:val="0"/>
        <w:ind w:firstLine="709"/>
        <w:jc w:val="both"/>
        <w:rPr>
          <w:rFonts w:eastAsia="Calibri"/>
          <w:sz w:val="28"/>
          <w:szCs w:val="28"/>
          <w:lang w:eastAsia="en-US"/>
        </w:rPr>
      </w:pPr>
    </w:p>
    <w:p w:rsidR="00CE1891" w:rsidRPr="001A52B1" w:rsidRDefault="00CE1891" w:rsidP="00CE1891">
      <w:pPr>
        <w:widowControl w:val="0"/>
        <w:ind w:firstLine="709"/>
        <w:jc w:val="center"/>
        <w:rPr>
          <w:rFonts w:eastAsia="Calibri"/>
          <w:sz w:val="28"/>
          <w:szCs w:val="28"/>
          <w:lang w:eastAsia="en-US"/>
        </w:rPr>
      </w:pPr>
      <w:r w:rsidRPr="001A52B1">
        <w:rPr>
          <w:rFonts w:eastAsia="Calibri"/>
          <w:sz w:val="28"/>
          <w:szCs w:val="28"/>
          <w:lang w:eastAsia="en-US"/>
        </w:rPr>
        <w:t>Т</w:t>
      </w:r>
      <w:r w:rsidRPr="001A52B1">
        <w:rPr>
          <w:rFonts w:eastAsia="Calibri"/>
          <w:sz w:val="28"/>
          <w:szCs w:val="28"/>
          <w:vertAlign w:val="subscript"/>
          <w:lang w:val="en-US" w:eastAsia="en-US"/>
        </w:rPr>
        <w:t>V</w:t>
      </w:r>
      <w:r w:rsidRPr="001A52B1">
        <w:rPr>
          <w:rFonts w:eastAsia="Calibri"/>
          <w:sz w:val="28"/>
          <w:szCs w:val="28"/>
          <w:vertAlign w:val="subscript"/>
          <w:lang w:eastAsia="en-US"/>
        </w:rPr>
        <w:t>ар</w:t>
      </w:r>
      <w:r w:rsidRPr="001A52B1">
        <w:rPr>
          <w:rFonts w:eastAsia="Calibri"/>
          <w:sz w:val="28"/>
          <w:szCs w:val="28"/>
          <w:vertAlign w:val="superscript"/>
          <w:lang w:eastAsia="en-US"/>
        </w:rPr>
        <w:t xml:space="preserve">2019 </w:t>
      </w:r>
      <w:r w:rsidRPr="001A52B1">
        <w:rPr>
          <w:rFonts w:eastAsia="Calibri"/>
          <w:sz w:val="28"/>
          <w:szCs w:val="28"/>
          <w:lang w:eastAsia="en-US"/>
        </w:rPr>
        <w:t>= Q</w:t>
      </w:r>
      <w:r w:rsidRPr="001A52B1">
        <w:rPr>
          <w:rFonts w:eastAsia="Calibri"/>
          <w:sz w:val="28"/>
          <w:szCs w:val="28"/>
          <w:vertAlign w:val="superscript"/>
          <w:lang w:eastAsia="en-US"/>
        </w:rPr>
        <w:t>2019</w:t>
      </w:r>
      <w:r w:rsidRPr="001A52B1">
        <w:rPr>
          <w:rFonts w:eastAsia="Calibri"/>
          <w:sz w:val="28"/>
          <w:szCs w:val="28"/>
          <w:vertAlign w:val="subscript"/>
          <w:lang w:val="en-US" w:eastAsia="en-US"/>
        </w:rPr>
        <w:t>V</w:t>
      </w:r>
      <w:r w:rsidRPr="001A52B1">
        <w:rPr>
          <w:rFonts w:eastAsia="Calibri"/>
          <w:sz w:val="28"/>
          <w:szCs w:val="28"/>
          <w:vertAlign w:val="subscript"/>
          <w:lang w:eastAsia="en-US"/>
        </w:rPr>
        <w:t>ар</w:t>
      </w:r>
      <w:r w:rsidRPr="001A52B1">
        <w:rPr>
          <w:rFonts w:eastAsia="Calibri"/>
          <w:sz w:val="28"/>
          <w:szCs w:val="28"/>
          <w:lang w:eastAsia="en-US"/>
        </w:rPr>
        <w:t xml:space="preserve"> / Q</w:t>
      </w:r>
      <w:r w:rsidRPr="001A52B1">
        <w:rPr>
          <w:rFonts w:eastAsia="Calibri"/>
          <w:sz w:val="28"/>
          <w:szCs w:val="28"/>
          <w:vertAlign w:val="superscript"/>
          <w:lang w:eastAsia="en-US"/>
        </w:rPr>
        <w:t>2018</w:t>
      </w:r>
      <w:r w:rsidRPr="001A52B1">
        <w:rPr>
          <w:rFonts w:eastAsia="Calibri"/>
          <w:sz w:val="28"/>
          <w:szCs w:val="28"/>
          <w:vertAlign w:val="subscript"/>
          <w:lang w:val="en-US" w:eastAsia="en-US"/>
        </w:rPr>
        <w:t>V</w:t>
      </w:r>
      <w:r w:rsidRPr="001A52B1">
        <w:rPr>
          <w:rFonts w:eastAsia="Calibri"/>
          <w:sz w:val="28"/>
          <w:szCs w:val="28"/>
          <w:vertAlign w:val="subscript"/>
          <w:lang w:eastAsia="en-US"/>
        </w:rPr>
        <w:t>ар</w:t>
      </w:r>
      <w:r w:rsidRPr="001A52B1">
        <w:rPr>
          <w:rFonts w:eastAsia="Calibri"/>
          <w:sz w:val="28"/>
          <w:szCs w:val="28"/>
          <w:lang w:eastAsia="en-US"/>
        </w:rPr>
        <w:t>,</w:t>
      </w:r>
    </w:p>
    <w:p w:rsidR="00CE1891" w:rsidRPr="001A52B1" w:rsidRDefault="00CE1891" w:rsidP="00CE1891">
      <w:pPr>
        <w:widowControl w:val="0"/>
        <w:ind w:firstLine="709"/>
        <w:jc w:val="center"/>
        <w:rPr>
          <w:rFonts w:eastAsia="Calibri"/>
          <w:sz w:val="28"/>
          <w:szCs w:val="28"/>
          <w:lang w:eastAsia="en-US"/>
        </w:rPr>
      </w:pPr>
      <w:r w:rsidRPr="001A52B1">
        <w:rPr>
          <w:rFonts w:eastAsia="Calibri"/>
          <w:sz w:val="28"/>
          <w:szCs w:val="28"/>
          <w:lang w:eastAsia="en-US"/>
        </w:rPr>
        <w:t>1,0 = 15,1 /15,1</w:t>
      </w:r>
    </w:p>
    <w:p w:rsidR="00CE1891" w:rsidRPr="001A52B1" w:rsidRDefault="00CE1891" w:rsidP="00CE1891">
      <w:pPr>
        <w:widowControl w:val="0"/>
        <w:ind w:firstLine="709"/>
        <w:jc w:val="center"/>
        <w:rPr>
          <w:rFonts w:eastAsia="Calibri"/>
          <w:sz w:val="28"/>
          <w:szCs w:val="28"/>
          <w:lang w:eastAsia="en-US"/>
        </w:rPr>
      </w:pPr>
    </w:p>
    <w:p w:rsidR="00CE1891" w:rsidRPr="001A52B1" w:rsidRDefault="00CE1891" w:rsidP="00CE1891">
      <w:pPr>
        <w:widowControl w:val="0"/>
        <w:ind w:firstLine="709"/>
        <w:jc w:val="both"/>
        <w:rPr>
          <w:rFonts w:eastAsia="Calibri"/>
          <w:sz w:val="28"/>
          <w:szCs w:val="28"/>
          <w:lang w:eastAsia="en-US"/>
        </w:rPr>
      </w:pPr>
      <w:r w:rsidRPr="001A52B1">
        <w:rPr>
          <w:rFonts w:eastAsia="Calibri"/>
          <w:sz w:val="28"/>
          <w:szCs w:val="28"/>
          <w:lang w:eastAsia="en-US"/>
        </w:rPr>
        <w:t>где:</w:t>
      </w:r>
    </w:p>
    <w:p w:rsidR="00CE1891" w:rsidRPr="001A52B1" w:rsidRDefault="00CE1891" w:rsidP="00CE1891">
      <w:pPr>
        <w:widowControl w:val="0"/>
        <w:ind w:firstLine="709"/>
        <w:jc w:val="both"/>
        <w:rPr>
          <w:rFonts w:eastAsia="Calibri"/>
          <w:sz w:val="28"/>
          <w:szCs w:val="28"/>
          <w:lang w:eastAsia="en-US"/>
        </w:rPr>
      </w:pPr>
      <w:r w:rsidRPr="001A52B1">
        <w:rPr>
          <w:rFonts w:eastAsia="Calibri"/>
          <w:sz w:val="28"/>
          <w:szCs w:val="28"/>
          <w:lang w:eastAsia="en-US"/>
        </w:rPr>
        <w:lastRenderedPageBreak/>
        <w:t>Q</w:t>
      </w:r>
      <w:r w:rsidRPr="001A52B1">
        <w:rPr>
          <w:rFonts w:eastAsia="Calibri"/>
          <w:sz w:val="28"/>
          <w:szCs w:val="28"/>
          <w:vertAlign w:val="superscript"/>
          <w:lang w:eastAsia="en-US"/>
        </w:rPr>
        <w:t>2019</w:t>
      </w:r>
      <w:r w:rsidRPr="001A52B1">
        <w:rPr>
          <w:rFonts w:eastAsia="Calibri"/>
          <w:sz w:val="28"/>
          <w:szCs w:val="28"/>
          <w:vertAlign w:val="subscript"/>
          <w:lang w:val="en-US" w:eastAsia="en-US"/>
        </w:rPr>
        <w:t>V</w:t>
      </w:r>
      <w:r w:rsidRPr="001A52B1">
        <w:rPr>
          <w:rFonts w:eastAsia="Calibri"/>
          <w:sz w:val="28"/>
          <w:szCs w:val="28"/>
          <w:vertAlign w:val="subscript"/>
          <w:lang w:eastAsia="en-US"/>
        </w:rPr>
        <w:t>ар</w:t>
      </w:r>
      <w:r w:rsidRPr="001A52B1">
        <w:rPr>
          <w:rFonts w:eastAsia="Calibri"/>
          <w:sz w:val="28"/>
          <w:szCs w:val="28"/>
          <w:lang w:eastAsia="en-US"/>
        </w:rPr>
        <w:t xml:space="preserve"> </w:t>
      </w:r>
      <w:r w:rsidRPr="001A52B1">
        <w:rPr>
          <w:rFonts w:eastAsia="Constantia"/>
          <w:i/>
          <w:iCs/>
          <w:sz w:val="28"/>
          <w:szCs w:val="28"/>
          <w:lang w:bidi="ru-RU"/>
        </w:rPr>
        <w:t>-</w:t>
      </w:r>
      <w:r w:rsidRPr="001A52B1">
        <w:rPr>
          <w:rFonts w:eastAsia="Calibri"/>
          <w:sz w:val="28"/>
          <w:szCs w:val="28"/>
          <w:lang w:eastAsia="en-US"/>
        </w:rPr>
        <w:t xml:space="preserve"> объем лесных ресурсов (за исключением древесины), подлежащий заготовке по договорам аренды лесных участков, находящихся в федеральной собственности, за 2019 год, 15,1 т;</w:t>
      </w:r>
    </w:p>
    <w:p w:rsidR="00CE1891" w:rsidRPr="001A52B1" w:rsidRDefault="00CE1891" w:rsidP="00CE1891">
      <w:pPr>
        <w:widowControl w:val="0"/>
        <w:ind w:firstLine="709"/>
        <w:jc w:val="both"/>
        <w:rPr>
          <w:rFonts w:eastAsia="Calibri"/>
          <w:sz w:val="28"/>
          <w:szCs w:val="28"/>
          <w:lang w:eastAsia="en-US"/>
        </w:rPr>
      </w:pPr>
      <w:r w:rsidRPr="001A52B1">
        <w:rPr>
          <w:rFonts w:eastAsia="Calibri"/>
          <w:sz w:val="28"/>
          <w:szCs w:val="28"/>
          <w:lang w:eastAsia="en-US"/>
        </w:rPr>
        <w:t>Q</w:t>
      </w:r>
      <w:r w:rsidRPr="001A52B1">
        <w:rPr>
          <w:rFonts w:eastAsia="Calibri"/>
          <w:sz w:val="28"/>
          <w:szCs w:val="28"/>
          <w:vertAlign w:val="superscript"/>
          <w:lang w:eastAsia="en-US"/>
        </w:rPr>
        <w:t>2018</w:t>
      </w:r>
      <w:r w:rsidRPr="001A52B1">
        <w:rPr>
          <w:rFonts w:eastAsia="Calibri"/>
          <w:sz w:val="28"/>
          <w:szCs w:val="28"/>
          <w:vertAlign w:val="subscript"/>
          <w:lang w:val="en-US" w:eastAsia="en-US"/>
        </w:rPr>
        <w:t>V</w:t>
      </w:r>
      <w:r w:rsidRPr="001A52B1">
        <w:rPr>
          <w:rFonts w:eastAsia="Calibri"/>
          <w:sz w:val="28"/>
          <w:szCs w:val="28"/>
          <w:vertAlign w:val="subscript"/>
          <w:lang w:eastAsia="en-US"/>
        </w:rPr>
        <w:t>ар</w:t>
      </w:r>
      <w:r w:rsidRPr="001A52B1">
        <w:rPr>
          <w:rFonts w:eastAsia="Calibri"/>
          <w:sz w:val="28"/>
          <w:szCs w:val="28"/>
          <w:lang w:eastAsia="en-US"/>
        </w:rPr>
        <w:t xml:space="preserve"> </w:t>
      </w:r>
      <w:r w:rsidRPr="001A52B1">
        <w:rPr>
          <w:rFonts w:eastAsia="Constantia"/>
          <w:i/>
          <w:iCs/>
          <w:sz w:val="28"/>
          <w:szCs w:val="28"/>
          <w:lang w:bidi="ru-RU"/>
        </w:rPr>
        <w:t>-</w:t>
      </w:r>
      <w:r w:rsidRPr="001A52B1">
        <w:rPr>
          <w:rFonts w:eastAsia="Calibri"/>
          <w:sz w:val="28"/>
          <w:szCs w:val="28"/>
          <w:lang w:eastAsia="en-US"/>
        </w:rPr>
        <w:t xml:space="preserve"> объем лесных ресурсов (за исключением древесины), подлежащий заготовке по договорам аренды лесных участков, находящихся в федеральной собственности, за 2018 год, 15,1 т;</w:t>
      </w:r>
    </w:p>
    <w:p w:rsidR="00CE1891" w:rsidRPr="001A52B1" w:rsidRDefault="00CE1891" w:rsidP="00CE1891">
      <w:pPr>
        <w:widowControl w:val="0"/>
        <w:ind w:firstLine="709"/>
        <w:jc w:val="both"/>
        <w:rPr>
          <w:rFonts w:eastAsia="Calibri"/>
          <w:sz w:val="28"/>
          <w:szCs w:val="28"/>
          <w:lang w:eastAsia="en-US"/>
        </w:rPr>
      </w:pPr>
    </w:p>
    <w:p w:rsidR="00CE1891" w:rsidRPr="001A52B1" w:rsidRDefault="00CE1891" w:rsidP="00CE1891">
      <w:pPr>
        <w:widowControl w:val="0"/>
        <w:ind w:firstLine="709"/>
        <w:jc w:val="both"/>
        <w:rPr>
          <w:rFonts w:eastAsia="Calibri"/>
          <w:sz w:val="28"/>
          <w:szCs w:val="28"/>
          <w:lang w:eastAsia="en-US"/>
        </w:rPr>
      </w:pPr>
      <w:r w:rsidRPr="001A52B1">
        <w:rPr>
          <w:rFonts w:eastAsia="Calibri"/>
          <w:sz w:val="28"/>
          <w:szCs w:val="28"/>
          <w:lang w:eastAsia="en-US"/>
        </w:rPr>
        <w:t>б) Т</w:t>
      </w:r>
      <w:r w:rsidRPr="001A52B1">
        <w:rPr>
          <w:rFonts w:eastAsia="Calibri"/>
          <w:sz w:val="28"/>
          <w:szCs w:val="28"/>
          <w:vertAlign w:val="subscript"/>
          <w:lang w:val="en-US" w:eastAsia="en-US"/>
        </w:rPr>
        <w:t>V</w:t>
      </w:r>
      <w:r w:rsidRPr="001A52B1">
        <w:rPr>
          <w:rFonts w:eastAsia="Calibri"/>
          <w:sz w:val="28"/>
          <w:szCs w:val="28"/>
          <w:vertAlign w:val="subscript"/>
          <w:lang w:eastAsia="en-US"/>
        </w:rPr>
        <w:t>ар</w:t>
      </w:r>
      <w:r w:rsidRPr="001A52B1">
        <w:rPr>
          <w:rFonts w:eastAsia="Calibri"/>
          <w:sz w:val="28"/>
          <w:szCs w:val="28"/>
          <w:vertAlign w:val="superscript"/>
          <w:lang w:eastAsia="en-US"/>
        </w:rPr>
        <w:t>2020</w:t>
      </w:r>
      <w:r w:rsidRPr="001A52B1">
        <w:rPr>
          <w:rFonts w:eastAsia="Calibri"/>
          <w:sz w:val="28"/>
          <w:szCs w:val="28"/>
          <w:lang w:eastAsia="en-US"/>
        </w:rPr>
        <w:t xml:space="preserve"> </w:t>
      </w:r>
      <w:r w:rsidRPr="001A52B1">
        <w:rPr>
          <w:rFonts w:eastAsia="Constantia"/>
          <w:i/>
          <w:iCs/>
          <w:sz w:val="28"/>
          <w:szCs w:val="28"/>
          <w:lang w:bidi="ru-RU"/>
        </w:rPr>
        <w:t>-</w:t>
      </w:r>
      <w:r w:rsidRPr="001A52B1">
        <w:rPr>
          <w:rFonts w:eastAsia="Calibri"/>
          <w:sz w:val="28"/>
          <w:szCs w:val="28"/>
          <w:lang w:eastAsia="en-US"/>
        </w:rPr>
        <w:t xml:space="preserve"> темп роста (снижения) объема лесных ресурсов (за исключением древесины), подлежащего заготовке по договорам аренды лесных участков, находящихся в федеральной собственности, за 2020 год (ед.), 1,0:</w:t>
      </w:r>
    </w:p>
    <w:p w:rsidR="00CE1891" w:rsidRPr="001A52B1" w:rsidRDefault="00CE1891" w:rsidP="00CE1891">
      <w:pPr>
        <w:widowControl w:val="0"/>
        <w:ind w:firstLine="709"/>
        <w:jc w:val="both"/>
        <w:rPr>
          <w:rFonts w:eastAsia="Calibri"/>
          <w:sz w:val="28"/>
          <w:szCs w:val="28"/>
          <w:lang w:eastAsia="en-US"/>
        </w:rPr>
      </w:pPr>
    </w:p>
    <w:p w:rsidR="00CE1891" w:rsidRPr="001A52B1" w:rsidRDefault="00CE1891" w:rsidP="00CE1891">
      <w:pPr>
        <w:widowControl w:val="0"/>
        <w:ind w:firstLine="709"/>
        <w:jc w:val="center"/>
        <w:rPr>
          <w:rFonts w:eastAsia="Calibri"/>
          <w:sz w:val="28"/>
          <w:szCs w:val="28"/>
          <w:lang w:eastAsia="en-US"/>
        </w:rPr>
      </w:pPr>
      <w:r w:rsidRPr="001A52B1">
        <w:rPr>
          <w:rFonts w:eastAsia="Calibri"/>
          <w:sz w:val="28"/>
          <w:szCs w:val="28"/>
          <w:lang w:eastAsia="en-US"/>
        </w:rPr>
        <w:t>Т</w:t>
      </w:r>
      <w:r w:rsidRPr="001A52B1">
        <w:rPr>
          <w:rFonts w:eastAsia="Calibri"/>
          <w:sz w:val="28"/>
          <w:szCs w:val="28"/>
          <w:vertAlign w:val="subscript"/>
          <w:lang w:val="en-US" w:eastAsia="en-US"/>
        </w:rPr>
        <w:t>V</w:t>
      </w:r>
      <w:r w:rsidRPr="001A52B1">
        <w:rPr>
          <w:rFonts w:eastAsia="Calibri"/>
          <w:sz w:val="28"/>
          <w:szCs w:val="28"/>
          <w:vertAlign w:val="subscript"/>
          <w:lang w:eastAsia="en-US"/>
        </w:rPr>
        <w:t>ар</w:t>
      </w:r>
      <w:r w:rsidRPr="001A52B1">
        <w:rPr>
          <w:rFonts w:eastAsia="Calibri"/>
          <w:sz w:val="28"/>
          <w:szCs w:val="28"/>
          <w:vertAlign w:val="superscript"/>
          <w:lang w:eastAsia="en-US"/>
        </w:rPr>
        <w:t>2020</w:t>
      </w:r>
      <w:r w:rsidRPr="001A52B1">
        <w:rPr>
          <w:rFonts w:eastAsia="Calibri"/>
          <w:sz w:val="28"/>
          <w:szCs w:val="28"/>
          <w:lang w:eastAsia="en-US"/>
        </w:rPr>
        <w:t xml:space="preserve"> = Q</w:t>
      </w:r>
      <w:r w:rsidRPr="001A52B1">
        <w:rPr>
          <w:rFonts w:eastAsia="Calibri"/>
          <w:sz w:val="28"/>
          <w:szCs w:val="28"/>
          <w:vertAlign w:val="superscript"/>
          <w:lang w:eastAsia="en-US"/>
        </w:rPr>
        <w:t>2020</w:t>
      </w:r>
      <w:r w:rsidRPr="001A52B1">
        <w:rPr>
          <w:rFonts w:eastAsia="Calibri"/>
          <w:sz w:val="28"/>
          <w:szCs w:val="28"/>
          <w:vertAlign w:val="subscript"/>
          <w:lang w:val="en-US" w:eastAsia="en-US"/>
        </w:rPr>
        <w:t>V</w:t>
      </w:r>
      <w:r w:rsidRPr="001A52B1">
        <w:rPr>
          <w:rFonts w:eastAsia="Calibri"/>
          <w:sz w:val="28"/>
          <w:szCs w:val="28"/>
          <w:vertAlign w:val="subscript"/>
          <w:lang w:eastAsia="en-US"/>
        </w:rPr>
        <w:t>ар</w:t>
      </w:r>
      <w:r w:rsidRPr="001A52B1">
        <w:rPr>
          <w:rFonts w:eastAsia="Calibri"/>
          <w:sz w:val="28"/>
          <w:szCs w:val="28"/>
          <w:lang w:eastAsia="en-US"/>
        </w:rPr>
        <w:t xml:space="preserve"> / Q</w:t>
      </w:r>
      <w:r w:rsidRPr="001A52B1">
        <w:rPr>
          <w:rFonts w:eastAsia="Calibri"/>
          <w:sz w:val="28"/>
          <w:szCs w:val="28"/>
          <w:vertAlign w:val="superscript"/>
          <w:lang w:eastAsia="en-US"/>
        </w:rPr>
        <w:t>2019</w:t>
      </w:r>
      <w:r w:rsidRPr="001A52B1">
        <w:rPr>
          <w:rFonts w:eastAsia="Calibri"/>
          <w:sz w:val="28"/>
          <w:szCs w:val="28"/>
          <w:vertAlign w:val="subscript"/>
          <w:lang w:val="en-US" w:eastAsia="en-US"/>
        </w:rPr>
        <w:t>V</w:t>
      </w:r>
      <w:r w:rsidRPr="001A52B1">
        <w:rPr>
          <w:rFonts w:eastAsia="Calibri"/>
          <w:sz w:val="28"/>
          <w:szCs w:val="28"/>
          <w:vertAlign w:val="subscript"/>
          <w:lang w:eastAsia="en-US"/>
        </w:rPr>
        <w:t>ар</w:t>
      </w:r>
      <w:r w:rsidRPr="001A52B1">
        <w:rPr>
          <w:rFonts w:eastAsia="Calibri"/>
          <w:sz w:val="28"/>
          <w:szCs w:val="28"/>
          <w:lang w:eastAsia="en-US"/>
        </w:rPr>
        <w:t>,</w:t>
      </w:r>
    </w:p>
    <w:p w:rsidR="00CE1891" w:rsidRPr="001A52B1" w:rsidRDefault="00CE1891" w:rsidP="00CE1891">
      <w:pPr>
        <w:widowControl w:val="0"/>
        <w:ind w:firstLine="709"/>
        <w:jc w:val="center"/>
        <w:rPr>
          <w:rFonts w:eastAsia="Calibri"/>
          <w:sz w:val="28"/>
          <w:szCs w:val="28"/>
          <w:lang w:eastAsia="en-US"/>
        </w:rPr>
      </w:pPr>
      <w:r w:rsidRPr="001A52B1">
        <w:rPr>
          <w:rFonts w:eastAsia="Calibri"/>
          <w:sz w:val="28"/>
          <w:szCs w:val="28"/>
          <w:lang w:eastAsia="en-US"/>
        </w:rPr>
        <w:t>1,0  = 15,1 /15,1</w:t>
      </w:r>
    </w:p>
    <w:p w:rsidR="00CE1891" w:rsidRPr="001A52B1" w:rsidRDefault="00CE1891" w:rsidP="00CE1891">
      <w:pPr>
        <w:widowControl w:val="0"/>
        <w:ind w:firstLine="709"/>
        <w:jc w:val="center"/>
        <w:rPr>
          <w:rFonts w:eastAsia="Calibri"/>
          <w:sz w:val="28"/>
          <w:szCs w:val="28"/>
          <w:lang w:eastAsia="en-US"/>
        </w:rPr>
      </w:pPr>
    </w:p>
    <w:p w:rsidR="00CE1891" w:rsidRPr="001A52B1" w:rsidRDefault="00CE1891" w:rsidP="00CE1891">
      <w:pPr>
        <w:widowControl w:val="0"/>
        <w:ind w:firstLine="709"/>
        <w:jc w:val="both"/>
        <w:rPr>
          <w:rFonts w:eastAsia="Calibri"/>
          <w:sz w:val="28"/>
          <w:szCs w:val="28"/>
          <w:lang w:eastAsia="en-US"/>
        </w:rPr>
      </w:pPr>
      <w:r w:rsidRPr="001A52B1">
        <w:rPr>
          <w:rFonts w:eastAsia="Calibri"/>
          <w:sz w:val="28"/>
          <w:szCs w:val="28"/>
          <w:lang w:eastAsia="en-US"/>
        </w:rPr>
        <w:t>где:</w:t>
      </w:r>
    </w:p>
    <w:p w:rsidR="00CE1891" w:rsidRPr="001A52B1" w:rsidRDefault="00CE1891" w:rsidP="00CE1891">
      <w:pPr>
        <w:widowControl w:val="0"/>
        <w:ind w:firstLine="709"/>
        <w:jc w:val="both"/>
        <w:rPr>
          <w:rFonts w:eastAsia="Calibri"/>
          <w:sz w:val="28"/>
          <w:szCs w:val="28"/>
          <w:lang w:eastAsia="en-US"/>
        </w:rPr>
      </w:pPr>
      <w:r w:rsidRPr="001A52B1">
        <w:rPr>
          <w:rFonts w:eastAsia="Calibri"/>
          <w:sz w:val="28"/>
          <w:szCs w:val="28"/>
          <w:lang w:eastAsia="en-US"/>
        </w:rPr>
        <w:t>Q</w:t>
      </w:r>
      <w:r w:rsidRPr="001A52B1">
        <w:rPr>
          <w:rFonts w:eastAsia="Calibri"/>
          <w:sz w:val="28"/>
          <w:szCs w:val="28"/>
          <w:vertAlign w:val="superscript"/>
          <w:lang w:eastAsia="en-US"/>
        </w:rPr>
        <w:t>2020</w:t>
      </w:r>
      <w:r w:rsidRPr="001A52B1">
        <w:rPr>
          <w:rFonts w:eastAsia="Calibri"/>
          <w:sz w:val="28"/>
          <w:szCs w:val="28"/>
          <w:vertAlign w:val="subscript"/>
          <w:lang w:val="en-US" w:eastAsia="en-US"/>
        </w:rPr>
        <w:t>V</w:t>
      </w:r>
      <w:r w:rsidRPr="001A52B1">
        <w:rPr>
          <w:rFonts w:eastAsia="Calibri"/>
          <w:sz w:val="28"/>
          <w:szCs w:val="28"/>
          <w:vertAlign w:val="subscript"/>
          <w:lang w:eastAsia="en-US"/>
        </w:rPr>
        <w:t>ар</w:t>
      </w:r>
      <w:r w:rsidRPr="001A52B1">
        <w:rPr>
          <w:rFonts w:eastAsia="Calibri"/>
          <w:sz w:val="28"/>
          <w:szCs w:val="28"/>
          <w:lang w:eastAsia="en-US"/>
        </w:rPr>
        <w:t xml:space="preserve"> </w:t>
      </w:r>
      <w:r w:rsidRPr="001A52B1">
        <w:rPr>
          <w:rFonts w:eastAsia="Constantia"/>
          <w:i/>
          <w:iCs/>
          <w:sz w:val="28"/>
          <w:szCs w:val="28"/>
          <w:lang w:bidi="ru-RU"/>
        </w:rPr>
        <w:t>-</w:t>
      </w:r>
      <w:r w:rsidRPr="001A52B1">
        <w:rPr>
          <w:rFonts w:eastAsia="Calibri"/>
          <w:sz w:val="28"/>
          <w:szCs w:val="28"/>
          <w:lang w:eastAsia="en-US"/>
        </w:rPr>
        <w:t xml:space="preserve"> объем лесных ресурсов (за исключением древесины), подлежащий заготовке по договорам аренды лесных участков, находящихся в федеральной собственности, за 2020 год, 15,1 т;</w:t>
      </w:r>
    </w:p>
    <w:p w:rsidR="00CE1891" w:rsidRPr="001A52B1" w:rsidRDefault="00CE1891" w:rsidP="00CE1891">
      <w:pPr>
        <w:widowControl w:val="0"/>
        <w:ind w:firstLine="709"/>
        <w:jc w:val="both"/>
        <w:rPr>
          <w:rFonts w:eastAsia="Calibri"/>
          <w:sz w:val="28"/>
          <w:szCs w:val="28"/>
          <w:lang w:eastAsia="en-US"/>
        </w:rPr>
      </w:pPr>
      <w:r w:rsidRPr="001A52B1">
        <w:rPr>
          <w:rFonts w:eastAsia="Calibri"/>
          <w:sz w:val="28"/>
          <w:szCs w:val="28"/>
          <w:lang w:eastAsia="en-US"/>
        </w:rPr>
        <w:t>Q</w:t>
      </w:r>
      <w:r w:rsidRPr="001A52B1">
        <w:rPr>
          <w:rFonts w:eastAsia="Calibri"/>
          <w:sz w:val="28"/>
          <w:szCs w:val="28"/>
          <w:vertAlign w:val="superscript"/>
          <w:lang w:eastAsia="en-US"/>
        </w:rPr>
        <w:t>2019</w:t>
      </w:r>
      <w:r w:rsidRPr="001A52B1">
        <w:rPr>
          <w:rFonts w:eastAsia="Calibri"/>
          <w:sz w:val="28"/>
          <w:szCs w:val="28"/>
          <w:vertAlign w:val="subscript"/>
          <w:lang w:val="en-US" w:eastAsia="en-US"/>
        </w:rPr>
        <w:t>V</w:t>
      </w:r>
      <w:r w:rsidRPr="001A52B1">
        <w:rPr>
          <w:rFonts w:eastAsia="Calibri"/>
          <w:sz w:val="28"/>
          <w:szCs w:val="28"/>
          <w:vertAlign w:val="subscript"/>
          <w:lang w:eastAsia="en-US"/>
        </w:rPr>
        <w:t>ар</w:t>
      </w:r>
      <w:r w:rsidRPr="001A52B1">
        <w:rPr>
          <w:rFonts w:eastAsia="Calibri"/>
          <w:sz w:val="28"/>
          <w:szCs w:val="28"/>
          <w:lang w:eastAsia="en-US"/>
        </w:rPr>
        <w:t xml:space="preserve"> </w:t>
      </w:r>
      <w:r w:rsidRPr="001A52B1">
        <w:rPr>
          <w:rFonts w:eastAsia="Constantia"/>
          <w:i/>
          <w:iCs/>
          <w:sz w:val="28"/>
          <w:szCs w:val="28"/>
          <w:lang w:bidi="ru-RU"/>
        </w:rPr>
        <w:t>-</w:t>
      </w:r>
      <w:r w:rsidRPr="001A52B1">
        <w:rPr>
          <w:rFonts w:eastAsia="Calibri"/>
          <w:sz w:val="28"/>
          <w:szCs w:val="28"/>
          <w:lang w:eastAsia="en-US"/>
        </w:rPr>
        <w:t xml:space="preserve"> объем лесных ресурсов (за исключением древесины), подлежащий заготовке по договорам аренды лесных участков, находящихся в федеральной собственности, за предыдущий год, за 2019 год, 15,1 т;</w:t>
      </w:r>
    </w:p>
    <w:p w:rsidR="00CE1891" w:rsidRPr="001A52B1" w:rsidRDefault="00CE1891" w:rsidP="00CE1891">
      <w:pPr>
        <w:widowControl w:val="0"/>
        <w:ind w:firstLine="709"/>
        <w:jc w:val="both"/>
        <w:rPr>
          <w:rFonts w:eastAsia="Calibri"/>
          <w:sz w:val="28"/>
          <w:szCs w:val="28"/>
          <w:lang w:eastAsia="en-US"/>
        </w:rPr>
      </w:pPr>
    </w:p>
    <w:p w:rsidR="00CE1891" w:rsidRPr="001A52B1" w:rsidRDefault="00CE1891" w:rsidP="00CE1891">
      <w:pPr>
        <w:widowControl w:val="0"/>
        <w:ind w:firstLine="709"/>
        <w:jc w:val="both"/>
        <w:rPr>
          <w:rFonts w:eastAsia="Calibri"/>
          <w:sz w:val="28"/>
          <w:szCs w:val="28"/>
          <w:lang w:eastAsia="en-US"/>
        </w:rPr>
      </w:pPr>
      <w:r w:rsidRPr="001A52B1">
        <w:rPr>
          <w:rFonts w:eastAsia="Calibri"/>
          <w:sz w:val="28"/>
          <w:szCs w:val="28"/>
          <w:lang w:eastAsia="en-US"/>
        </w:rPr>
        <w:t>в) Т</w:t>
      </w:r>
      <w:r w:rsidRPr="001A52B1">
        <w:rPr>
          <w:rFonts w:eastAsia="Calibri"/>
          <w:sz w:val="28"/>
          <w:szCs w:val="28"/>
          <w:vertAlign w:val="subscript"/>
          <w:lang w:val="en-US" w:eastAsia="en-US"/>
        </w:rPr>
        <w:t>V</w:t>
      </w:r>
      <w:r w:rsidRPr="001A52B1">
        <w:rPr>
          <w:rFonts w:eastAsia="Calibri"/>
          <w:sz w:val="28"/>
          <w:szCs w:val="28"/>
          <w:vertAlign w:val="subscript"/>
          <w:lang w:eastAsia="en-US"/>
        </w:rPr>
        <w:t>ар</w:t>
      </w:r>
      <w:r w:rsidRPr="001A52B1">
        <w:rPr>
          <w:rFonts w:eastAsia="Calibri"/>
          <w:sz w:val="28"/>
          <w:szCs w:val="28"/>
          <w:vertAlign w:val="superscript"/>
          <w:lang w:eastAsia="en-US"/>
        </w:rPr>
        <w:t>2021</w:t>
      </w:r>
      <w:r w:rsidRPr="001A52B1">
        <w:rPr>
          <w:rFonts w:eastAsia="Calibri"/>
          <w:sz w:val="28"/>
          <w:szCs w:val="28"/>
          <w:lang w:eastAsia="en-US"/>
        </w:rPr>
        <w:t xml:space="preserve"> </w:t>
      </w:r>
      <w:r w:rsidRPr="001A52B1">
        <w:rPr>
          <w:rFonts w:eastAsia="Constantia"/>
          <w:i/>
          <w:iCs/>
          <w:sz w:val="28"/>
          <w:szCs w:val="28"/>
          <w:lang w:bidi="ru-RU"/>
        </w:rPr>
        <w:t>-</w:t>
      </w:r>
      <w:r w:rsidRPr="001A52B1">
        <w:rPr>
          <w:rFonts w:eastAsia="Calibri"/>
          <w:sz w:val="28"/>
          <w:szCs w:val="28"/>
          <w:lang w:eastAsia="en-US"/>
        </w:rPr>
        <w:t xml:space="preserve"> темп роста (снижения) объема лесных ресурсов (за исключением древесины), подлежащего заготовке по договорам аренды лесных участков, находящихся в федеральной собственности, за 2021 год (ед.), 1,0:</w:t>
      </w:r>
    </w:p>
    <w:p w:rsidR="00CE1891" w:rsidRPr="001A52B1" w:rsidRDefault="00CE1891" w:rsidP="00CE1891">
      <w:pPr>
        <w:widowControl w:val="0"/>
        <w:ind w:firstLine="709"/>
        <w:jc w:val="both"/>
        <w:rPr>
          <w:rFonts w:eastAsia="Calibri"/>
          <w:sz w:val="28"/>
          <w:szCs w:val="28"/>
          <w:lang w:eastAsia="en-US"/>
        </w:rPr>
      </w:pPr>
    </w:p>
    <w:p w:rsidR="00CE1891" w:rsidRPr="001A52B1" w:rsidRDefault="00CE1891" w:rsidP="00CE1891">
      <w:pPr>
        <w:widowControl w:val="0"/>
        <w:ind w:firstLine="709"/>
        <w:jc w:val="center"/>
        <w:rPr>
          <w:rFonts w:eastAsia="Calibri"/>
          <w:sz w:val="28"/>
          <w:szCs w:val="28"/>
          <w:lang w:eastAsia="en-US"/>
        </w:rPr>
      </w:pPr>
      <w:r w:rsidRPr="001A52B1">
        <w:rPr>
          <w:rFonts w:eastAsia="Calibri"/>
          <w:sz w:val="28"/>
          <w:szCs w:val="28"/>
          <w:lang w:eastAsia="en-US"/>
        </w:rPr>
        <w:t>Т</w:t>
      </w:r>
      <w:r w:rsidRPr="001A52B1">
        <w:rPr>
          <w:rFonts w:eastAsia="Calibri"/>
          <w:sz w:val="28"/>
          <w:szCs w:val="28"/>
          <w:vertAlign w:val="subscript"/>
          <w:lang w:val="en-US" w:eastAsia="en-US"/>
        </w:rPr>
        <w:t>V</w:t>
      </w:r>
      <w:r w:rsidRPr="001A52B1">
        <w:rPr>
          <w:rFonts w:eastAsia="Calibri"/>
          <w:sz w:val="28"/>
          <w:szCs w:val="28"/>
          <w:vertAlign w:val="subscript"/>
          <w:lang w:eastAsia="en-US"/>
        </w:rPr>
        <w:t>ар</w:t>
      </w:r>
      <w:r w:rsidRPr="001A52B1">
        <w:rPr>
          <w:rFonts w:eastAsia="Calibri"/>
          <w:sz w:val="28"/>
          <w:szCs w:val="28"/>
          <w:vertAlign w:val="superscript"/>
          <w:lang w:eastAsia="en-US"/>
        </w:rPr>
        <w:t>2021</w:t>
      </w:r>
      <w:r w:rsidRPr="001A52B1">
        <w:rPr>
          <w:rFonts w:eastAsia="Calibri"/>
          <w:sz w:val="28"/>
          <w:szCs w:val="28"/>
          <w:lang w:eastAsia="en-US"/>
        </w:rPr>
        <w:t xml:space="preserve"> = Q</w:t>
      </w:r>
      <w:r w:rsidRPr="001A52B1">
        <w:rPr>
          <w:rFonts w:eastAsia="Calibri"/>
          <w:sz w:val="28"/>
          <w:szCs w:val="28"/>
          <w:vertAlign w:val="superscript"/>
          <w:lang w:eastAsia="en-US"/>
        </w:rPr>
        <w:t>2021</w:t>
      </w:r>
      <w:r w:rsidRPr="001A52B1">
        <w:rPr>
          <w:rFonts w:eastAsia="Calibri"/>
          <w:sz w:val="28"/>
          <w:szCs w:val="28"/>
          <w:vertAlign w:val="subscript"/>
          <w:lang w:val="en-US" w:eastAsia="en-US"/>
        </w:rPr>
        <w:t>V</w:t>
      </w:r>
      <w:r w:rsidRPr="001A52B1">
        <w:rPr>
          <w:rFonts w:eastAsia="Calibri"/>
          <w:sz w:val="28"/>
          <w:szCs w:val="28"/>
          <w:vertAlign w:val="subscript"/>
          <w:lang w:eastAsia="en-US"/>
        </w:rPr>
        <w:t>ар</w:t>
      </w:r>
      <w:r w:rsidRPr="001A52B1">
        <w:rPr>
          <w:rFonts w:eastAsia="Calibri"/>
          <w:sz w:val="28"/>
          <w:szCs w:val="28"/>
          <w:lang w:eastAsia="en-US"/>
        </w:rPr>
        <w:t xml:space="preserve"> / Q</w:t>
      </w:r>
      <w:r w:rsidRPr="001A52B1">
        <w:rPr>
          <w:rFonts w:eastAsia="Calibri"/>
          <w:sz w:val="28"/>
          <w:szCs w:val="28"/>
          <w:vertAlign w:val="superscript"/>
          <w:lang w:eastAsia="en-US"/>
        </w:rPr>
        <w:t>2020</w:t>
      </w:r>
      <w:r w:rsidRPr="001A52B1">
        <w:rPr>
          <w:rFonts w:eastAsia="Calibri"/>
          <w:sz w:val="28"/>
          <w:szCs w:val="28"/>
          <w:vertAlign w:val="subscript"/>
          <w:lang w:val="en-US" w:eastAsia="en-US"/>
        </w:rPr>
        <w:t>V</w:t>
      </w:r>
      <w:r w:rsidRPr="001A52B1">
        <w:rPr>
          <w:rFonts w:eastAsia="Calibri"/>
          <w:sz w:val="28"/>
          <w:szCs w:val="28"/>
          <w:vertAlign w:val="subscript"/>
          <w:lang w:eastAsia="en-US"/>
        </w:rPr>
        <w:t>ар</w:t>
      </w:r>
      <w:r w:rsidRPr="001A52B1">
        <w:rPr>
          <w:rFonts w:eastAsia="Calibri"/>
          <w:sz w:val="28"/>
          <w:szCs w:val="28"/>
          <w:lang w:eastAsia="en-US"/>
        </w:rPr>
        <w:t>,</w:t>
      </w:r>
    </w:p>
    <w:p w:rsidR="00CE1891" w:rsidRPr="001A52B1" w:rsidRDefault="00CE1891" w:rsidP="00CE1891">
      <w:pPr>
        <w:widowControl w:val="0"/>
        <w:ind w:firstLine="709"/>
        <w:jc w:val="center"/>
        <w:rPr>
          <w:rFonts w:eastAsia="Calibri"/>
          <w:sz w:val="28"/>
          <w:szCs w:val="28"/>
          <w:lang w:eastAsia="en-US"/>
        </w:rPr>
      </w:pPr>
      <w:r w:rsidRPr="001A52B1">
        <w:rPr>
          <w:rFonts w:eastAsia="Calibri"/>
          <w:sz w:val="28"/>
          <w:szCs w:val="28"/>
          <w:lang w:eastAsia="en-US"/>
        </w:rPr>
        <w:t>1,0  = 15,1 /15,1</w:t>
      </w:r>
    </w:p>
    <w:p w:rsidR="00CE1891" w:rsidRPr="001A52B1" w:rsidRDefault="00CE1891" w:rsidP="00CE1891">
      <w:pPr>
        <w:widowControl w:val="0"/>
        <w:ind w:firstLine="709"/>
        <w:jc w:val="center"/>
        <w:rPr>
          <w:rFonts w:eastAsia="Calibri"/>
          <w:sz w:val="28"/>
          <w:szCs w:val="28"/>
          <w:lang w:eastAsia="en-US"/>
        </w:rPr>
      </w:pPr>
    </w:p>
    <w:p w:rsidR="00CE1891" w:rsidRPr="001A52B1" w:rsidRDefault="00CE1891" w:rsidP="00CE1891">
      <w:pPr>
        <w:widowControl w:val="0"/>
        <w:ind w:firstLine="709"/>
        <w:jc w:val="both"/>
        <w:rPr>
          <w:rFonts w:eastAsia="Calibri"/>
          <w:sz w:val="28"/>
          <w:szCs w:val="28"/>
          <w:lang w:eastAsia="en-US"/>
        </w:rPr>
      </w:pPr>
      <w:r w:rsidRPr="001A52B1">
        <w:rPr>
          <w:rFonts w:eastAsia="Calibri"/>
          <w:sz w:val="28"/>
          <w:szCs w:val="28"/>
          <w:lang w:eastAsia="en-US"/>
        </w:rPr>
        <w:t>где:</w:t>
      </w:r>
    </w:p>
    <w:p w:rsidR="00CE1891" w:rsidRPr="001A52B1" w:rsidRDefault="00CE1891" w:rsidP="00CE1891">
      <w:pPr>
        <w:widowControl w:val="0"/>
        <w:ind w:firstLine="709"/>
        <w:jc w:val="both"/>
        <w:rPr>
          <w:rFonts w:eastAsia="Calibri"/>
          <w:sz w:val="28"/>
          <w:szCs w:val="28"/>
          <w:lang w:eastAsia="en-US"/>
        </w:rPr>
      </w:pPr>
      <w:r w:rsidRPr="001A52B1">
        <w:rPr>
          <w:rFonts w:eastAsia="Calibri"/>
          <w:sz w:val="28"/>
          <w:szCs w:val="28"/>
          <w:lang w:eastAsia="en-US"/>
        </w:rPr>
        <w:t>Q</w:t>
      </w:r>
      <w:r w:rsidRPr="001A52B1">
        <w:rPr>
          <w:rFonts w:eastAsia="Calibri"/>
          <w:sz w:val="28"/>
          <w:szCs w:val="28"/>
          <w:vertAlign w:val="superscript"/>
          <w:lang w:eastAsia="en-US"/>
        </w:rPr>
        <w:t>2021</w:t>
      </w:r>
      <w:r w:rsidRPr="001A52B1">
        <w:rPr>
          <w:rFonts w:eastAsia="Calibri"/>
          <w:sz w:val="28"/>
          <w:szCs w:val="28"/>
          <w:vertAlign w:val="subscript"/>
          <w:lang w:val="en-US" w:eastAsia="en-US"/>
        </w:rPr>
        <w:t>V</w:t>
      </w:r>
      <w:r w:rsidRPr="001A52B1">
        <w:rPr>
          <w:rFonts w:eastAsia="Calibri"/>
          <w:sz w:val="28"/>
          <w:szCs w:val="28"/>
          <w:vertAlign w:val="subscript"/>
          <w:lang w:eastAsia="en-US"/>
        </w:rPr>
        <w:t>ар</w:t>
      </w:r>
      <w:r w:rsidRPr="001A52B1">
        <w:rPr>
          <w:rFonts w:eastAsia="Calibri"/>
          <w:sz w:val="28"/>
          <w:szCs w:val="28"/>
          <w:lang w:eastAsia="en-US"/>
        </w:rPr>
        <w:t xml:space="preserve"> </w:t>
      </w:r>
      <w:r w:rsidRPr="001A52B1">
        <w:rPr>
          <w:rFonts w:eastAsia="Constantia"/>
          <w:i/>
          <w:iCs/>
          <w:sz w:val="28"/>
          <w:szCs w:val="28"/>
          <w:lang w:bidi="ru-RU"/>
        </w:rPr>
        <w:t>-</w:t>
      </w:r>
      <w:r w:rsidRPr="001A52B1">
        <w:rPr>
          <w:rFonts w:eastAsia="Calibri"/>
          <w:sz w:val="28"/>
          <w:szCs w:val="28"/>
          <w:lang w:eastAsia="en-US"/>
        </w:rPr>
        <w:t xml:space="preserve"> объем лесных ресурсов (за исключением древесины), подлежащий заготовке по договорам аренды лесных участков, находящихся в федеральной собственности, за 2021 год, 15,1 т;</w:t>
      </w:r>
    </w:p>
    <w:p w:rsidR="00CE1891" w:rsidRPr="001A52B1" w:rsidRDefault="00CE1891" w:rsidP="00CE1891">
      <w:pPr>
        <w:widowControl w:val="0"/>
        <w:ind w:firstLine="709"/>
        <w:jc w:val="both"/>
        <w:rPr>
          <w:rFonts w:eastAsia="Calibri"/>
          <w:sz w:val="28"/>
          <w:szCs w:val="28"/>
          <w:lang w:eastAsia="en-US"/>
        </w:rPr>
      </w:pPr>
      <w:r w:rsidRPr="001A52B1">
        <w:rPr>
          <w:rFonts w:eastAsia="Calibri"/>
          <w:sz w:val="28"/>
          <w:szCs w:val="28"/>
          <w:lang w:eastAsia="en-US"/>
        </w:rPr>
        <w:t>Q</w:t>
      </w:r>
      <w:r w:rsidRPr="001A52B1">
        <w:rPr>
          <w:rFonts w:eastAsia="Calibri"/>
          <w:sz w:val="28"/>
          <w:szCs w:val="28"/>
          <w:vertAlign w:val="superscript"/>
          <w:lang w:eastAsia="en-US"/>
        </w:rPr>
        <w:t>2020</w:t>
      </w:r>
      <w:r w:rsidRPr="001A52B1">
        <w:rPr>
          <w:rFonts w:eastAsia="Calibri"/>
          <w:sz w:val="28"/>
          <w:szCs w:val="28"/>
          <w:vertAlign w:val="subscript"/>
          <w:lang w:eastAsia="en-US"/>
        </w:rPr>
        <w:t>ар</w:t>
      </w:r>
      <w:r w:rsidRPr="001A52B1">
        <w:rPr>
          <w:rFonts w:eastAsia="Calibri"/>
          <w:sz w:val="28"/>
          <w:szCs w:val="28"/>
          <w:lang w:eastAsia="en-US"/>
        </w:rPr>
        <w:t xml:space="preserve"> </w:t>
      </w:r>
      <w:r w:rsidRPr="001A52B1">
        <w:rPr>
          <w:rFonts w:eastAsia="Constantia"/>
          <w:i/>
          <w:iCs/>
          <w:sz w:val="28"/>
          <w:szCs w:val="28"/>
          <w:lang w:bidi="ru-RU"/>
        </w:rPr>
        <w:t>-</w:t>
      </w:r>
      <w:r w:rsidRPr="001A52B1">
        <w:rPr>
          <w:rFonts w:eastAsia="Calibri"/>
          <w:sz w:val="28"/>
          <w:szCs w:val="28"/>
          <w:lang w:eastAsia="en-US"/>
        </w:rPr>
        <w:t xml:space="preserve"> объем лесных ресурсов (за исключением древесины), подлежащий заготовке по договорам аренды лесных участков, находящихся в федеральной собственности, за предыдущий год, за 2020 год, 15,1 т.</w:t>
      </w:r>
    </w:p>
    <w:p w:rsidR="00CE1891" w:rsidRPr="001A52B1" w:rsidRDefault="00CE1891" w:rsidP="00CE1891">
      <w:pPr>
        <w:ind w:firstLine="709"/>
        <w:jc w:val="center"/>
        <w:rPr>
          <w:b/>
          <w:sz w:val="28"/>
          <w:szCs w:val="28"/>
        </w:rPr>
      </w:pPr>
    </w:p>
    <w:p w:rsidR="00CE1891" w:rsidRPr="00F36440" w:rsidRDefault="00CE1891" w:rsidP="00CE1891">
      <w:pPr>
        <w:ind w:firstLine="709"/>
        <w:rPr>
          <w:b/>
          <w:sz w:val="28"/>
          <w:szCs w:val="28"/>
        </w:rPr>
      </w:pPr>
      <w:r>
        <w:rPr>
          <w:b/>
          <w:sz w:val="28"/>
          <w:szCs w:val="28"/>
        </w:rPr>
        <w:t xml:space="preserve"> </w:t>
      </w:r>
      <w:r w:rsidRPr="00F36440">
        <w:rPr>
          <w:b/>
          <w:sz w:val="28"/>
          <w:szCs w:val="28"/>
        </w:rPr>
        <w:t xml:space="preserve">Определение </w:t>
      </w:r>
      <w:r>
        <w:rPr>
          <w:b/>
          <w:sz w:val="28"/>
          <w:szCs w:val="28"/>
        </w:rPr>
        <w:t>прогноза</w:t>
      </w:r>
      <w:r w:rsidRPr="00F36440">
        <w:rPr>
          <w:b/>
          <w:sz w:val="28"/>
          <w:szCs w:val="28"/>
        </w:rPr>
        <w:t xml:space="preserve"> на 202</w:t>
      </w:r>
      <w:r>
        <w:rPr>
          <w:b/>
          <w:sz w:val="28"/>
          <w:szCs w:val="28"/>
        </w:rPr>
        <w:t>3</w:t>
      </w:r>
      <w:r w:rsidRPr="00F36440">
        <w:rPr>
          <w:b/>
          <w:sz w:val="28"/>
          <w:szCs w:val="28"/>
        </w:rPr>
        <w:t xml:space="preserve"> год</w:t>
      </w:r>
    </w:p>
    <w:p w:rsidR="00CE1891" w:rsidRPr="00464704" w:rsidRDefault="00CE1891" w:rsidP="00CE1891">
      <w:pPr>
        <w:ind w:firstLine="709"/>
        <w:jc w:val="both"/>
        <w:rPr>
          <w:sz w:val="28"/>
          <w:szCs w:val="28"/>
        </w:rPr>
      </w:pPr>
    </w:p>
    <w:p w:rsidR="00CE1891" w:rsidRPr="001A52B1" w:rsidRDefault="00CE1891" w:rsidP="00CE1891">
      <w:pPr>
        <w:ind w:firstLine="709"/>
        <w:jc w:val="both"/>
        <w:rPr>
          <w:color w:val="000000"/>
          <w:sz w:val="28"/>
          <w:szCs w:val="28"/>
          <w:lang w:bidi="ru-RU"/>
        </w:rPr>
      </w:pPr>
      <w:r w:rsidRPr="001A52B1">
        <w:rPr>
          <w:color w:val="000000"/>
          <w:sz w:val="28"/>
          <w:szCs w:val="28"/>
          <w:lang w:bidi="ru-RU"/>
        </w:rPr>
        <w:t>Прогноз доходов по плате за использование лесов, расположенных на землях лесного фонда, в части, превышающей минимальный размер арендной платы (П</w:t>
      </w:r>
      <w:r w:rsidRPr="001A52B1">
        <w:rPr>
          <w:color w:val="000000"/>
          <w:sz w:val="28"/>
          <w:szCs w:val="28"/>
          <w:vertAlign w:val="subscript"/>
          <w:lang w:bidi="ru-RU"/>
        </w:rPr>
        <w:t>ар</w:t>
      </w:r>
      <w:r w:rsidRPr="001A52B1">
        <w:rPr>
          <w:color w:val="000000"/>
          <w:sz w:val="28"/>
          <w:szCs w:val="28"/>
          <w:vertAlign w:val="superscript"/>
          <w:lang w:bidi="ru-RU"/>
        </w:rPr>
        <w:t>обл</w:t>
      </w:r>
      <w:r w:rsidRPr="001A52B1">
        <w:rPr>
          <w:color w:val="000000"/>
          <w:sz w:val="28"/>
          <w:szCs w:val="28"/>
          <w:lang w:bidi="ru-RU"/>
        </w:rPr>
        <w:t>) определяется по формуле:</w:t>
      </w:r>
    </w:p>
    <w:p w:rsidR="00CE1891" w:rsidRPr="001A52B1" w:rsidRDefault="00CE1891" w:rsidP="00CE1891">
      <w:pPr>
        <w:ind w:firstLine="709"/>
        <w:jc w:val="both"/>
        <w:rPr>
          <w:sz w:val="28"/>
          <w:szCs w:val="28"/>
        </w:rPr>
      </w:pPr>
    </w:p>
    <w:p w:rsidR="00CE1891" w:rsidRPr="001A52B1" w:rsidRDefault="00CE1891" w:rsidP="00CE1891">
      <w:pPr>
        <w:widowControl w:val="0"/>
        <w:ind w:firstLine="709"/>
        <w:jc w:val="center"/>
        <w:rPr>
          <w:iCs/>
          <w:sz w:val="28"/>
          <w:szCs w:val="28"/>
          <w:lang w:bidi="en-US"/>
        </w:rPr>
      </w:pPr>
      <w:r w:rsidRPr="001A52B1">
        <w:rPr>
          <w:iCs/>
          <w:sz w:val="28"/>
          <w:szCs w:val="28"/>
          <w:lang w:bidi="ru-RU"/>
        </w:rPr>
        <w:lastRenderedPageBreak/>
        <w:t>П</w:t>
      </w:r>
      <w:r w:rsidRPr="001A52B1">
        <w:rPr>
          <w:iCs/>
          <w:sz w:val="28"/>
          <w:szCs w:val="28"/>
          <w:vertAlign w:val="subscript"/>
          <w:lang w:bidi="ru-RU"/>
        </w:rPr>
        <w:t>ар</w:t>
      </w:r>
      <w:r w:rsidRPr="001A52B1">
        <w:rPr>
          <w:iCs/>
          <w:sz w:val="28"/>
          <w:szCs w:val="28"/>
          <w:vertAlign w:val="superscript"/>
          <w:lang w:bidi="ru-RU"/>
        </w:rPr>
        <w:t>обл</w:t>
      </w:r>
      <w:r w:rsidRPr="001A52B1">
        <w:rPr>
          <w:iCs/>
          <w:sz w:val="28"/>
          <w:szCs w:val="28"/>
          <w:lang w:bidi="en-US"/>
        </w:rPr>
        <w:t xml:space="preserve"> = (C</w:t>
      </w:r>
      <w:r w:rsidRPr="001A52B1">
        <w:rPr>
          <w:iCs/>
          <w:sz w:val="28"/>
          <w:szCs w:val="28"/>
          <w:vertAlign w:val="subscript"/>
          <w:lang w:bidi="en-US"/>
        </w:rPr>
        <w:t>v</w:t>
      </w:r>
      <w:r w:rsidRPr="001A52B1">
        <w:rPr>
          <w:iCs/>
          <w:sz w:val="28"/>
          <w:szCs w:val="28"/>
          <w:vertAlign w:val="superscript"/>
          <w:lang w:bidi="en-US"/>
        </w:rPr>
        <w:t>ap</w:t>
      </w:r>
      <w:r w:rsidRPr="001A52B1">
        <w:rPr>
          <w:iCs/>
          <w:sz w:val="28"/>
          <w:szCs w:val="28"/>
          <w:lang w:bidi="en-US"/>
        </w:rPr>
        <w:t>*K</w:t>
      </w:r>
      <w:r w:rsidRPr="001A52B1">
        <w:rPr>
          <w:iCs/>
          <w:sz w:val="28"/>
          <w:szCs w:val="28"/>
          <w:vertAlign w:val="subscript"/>
          <w:lang w:bidi="en-US"/>
        </w:rPr>
        <w:t>2</w:t>
      </w:r>
      <w:r w:rsidRPr="001A52B1">
        <w:rPr>
          <w:iCs/>
          <w:sz w:val="28"/>
          <w:szCs w:val="28"/>
          <w:lang w:bidi="en-US"/>
        </w:rPr>
        <w:t>)*V</w:t>
      </w:r>
      <w:r w:rsidRPr="001A52B1">
        <w:rPr>
          <w:iCs/>
          <w:sz w:val="28"/>
          <w:szCs w:val="28"/>
          <w:vertAlign w:val="superscript"/>
          <w:lang w:bidi="en-US"/>
        </w:rPr>
        <w:t>cp</w:t>
      </w:r>
      <w:r w:rsidRPr="001A52B1">
        <w:rPr>
          <w:iCs/>
          <w:sz w:val="28"/>
          <w:szCs w:val="28"/>
          <w:vertAlign w:val="subscript"/>
          <w:lang w:bidi="en-US"/>
        </w:rPr>
        <w:t>ap</w:t>
      </w:r>
      <w:r w:rsidRPr="001A52B1">
        <w:rPr>
          <w:iCs/>
          <w:sz w:val="28"/>
          <w:szCs w:val="28"/>
          <w:lang w:bidi="en-US"/>
        </w:rPr>
        <w:t>*</w:t>
      </w:r>
      <w:r w:rsidRPr="001A52B1">
        <w:rPr>
          <w:rFonts w:ascii="Calibri" w:eastAsia="Calibri" w:hAnsi="Calibri"/>
          <w:sz w:val="22"/>
          <w:szCs w:val="22"/>
          <w:lang w:eastAsia="en-US"/>
        </w:rPr>
        <w:t xml:space="preserve"> </w:t>
      </w:r>
      <w:r w:rsidRPr="001A52B1">
        <w:rPr>
          <w:iCs/>
          <w:sz w:val="28"/>
          <w:szCs w:val="28"/>
          <w:lang w:bidi="en-US"/>
        </w:rPr>
        <w:t>Т</w:t>
      </w:r>
      <w:r w:rsidRPr="001A52B1">
        <w:rPr>
          <w:iCs/>
          <w:sz w:val="28"/>
          <w:szCs w:val="28"/>
          <w:vertAlign w:val="superscript"/>
          <w:lang w:bidi="en-US"/>
        </w:rPr>
        <w:t>ср</w:t>
      </w:r>
      <w:r w:rsidRPr="001A52B1">
        <w:rPr>
          <w:iCs/>
          <w:sz w:val="28"/>
          <w:szCs w:val="28"/>
          <w:vertAlign w:val="subscript"/>
          <w:lang w:bidi="en-US"/>
        </w:rPr>
        <w:t>Vар</w:t>
      </w:r>
    </w:p>
    <w:p w:rsidR="00CE1891" w:rsidRPr="001A52B1" w:rsidRDefault="00CE1891" w:rsidP="00CE1891">
      <w:pPr>
        <w:ind w:firstLine="709"/>
        <w:jc w:val="center"/>
        <w:rPr>
          <w:sz w:val="28"/>
          <w:szCs w:val="28"/>
        </w:rPr>
      </w:pPr>
      <w:r w:rsidRPr="001A52B1">
        <w:rPr>
          <w:sz w:val="28"/>
          <w:szCs w:val="28"/>
        </w:rPr>
        <w:t xml:space="preserve">283,8 = (7,4*2,54)*15,1*1,0 </w:t>
      </w:r>
    </w:p>
    <w:p w:rsidR="00CE1891" w:rsidRPr="001A52B1" w:rsidRDefault="00CE1891" w:rsidP="00CE1891">
      <w:pPr>
        <w:ind w:firstLine="709"/>
        <w:jc w:val="both"/>
        <w:rPr>
          <w:sz w:val="28"/>
          <w:szCs w:val="28"/>
        </w:rPr>
      </w:pPr>
      <w:r w:rsidRPr="001A52B1">
        <w:rPr>
          <w:sz w:val="28"/>
          <w:szCs w:val="28"/>
        </w:rPr>
        <w:t>где:</w:t>
      </w:r>
    </w:p>
    <w:p w:rsidR="00CE1891" w:rsidRPr="001A52B1" w:rsidRDefault="00CE1891" w:rsidP="00CE1891">
      <w:pPr>
        <w:widowControl w:val="0"/>
        <w:ind w:firstLine="709"/>
        <w:jc w:val="both"/>
        <w:rPr>
          <w:rFonts w:eastAsia="Calibri"/>
          <w:color w:val="000000"/>
          <w:sz w:val="28"/>
          <w:szCs w:val="28"/>
          <w:lang w:eastAsia="en-US" w:bidi="ru-RU"/>
        </w:rPr>
      </w:pPr>
      <w:r w:rsidRPr="001A52B1">
        <w:rPr>
          <w:rFonts w:eastAsia="Constantia"/>
          <w:iCs/>
          <w:color w:val="000000"/>
          <w:sz w:val="28"/>
          <w:szCs w:val="28"/>
          <w:lang w:bidi="en-US"/>
        </w:rPr>
        <w:t>C</w:t>
      </w:r>
      <w:r w:rsidRPr="001A52B1">
        <w:rPr>
          <w:rFonts w:eastAsia="Constantia"/>
          <w:iCs/>
          <w:color w:val="000000"/>
          <w:sz w:val="28"/>
          <w:szCs w:val="28"/>
          <w:vertAlign w:val="subscript"/>
          <w:lang w:bidi="en-US"/>
        </w:rPr>
        <w:t>v</w:t>
      </w:r>
      <w:r w:rsidRPr="001A52B1">
        <w:rPr>
          <w:rFonts w:eastAsia="Constantia"/>
          <w:iCs/>
          <w:color w:val="000000"/>
          <w:sz w:val="28"/>
          <w:szCs w:val="28"/>
          <w:vertAlign w:val="superscript"/>
          <w:lang w:bidi="en-US"/>
        </w:rPr>
        <w:t>ap</w:t>
      </w:r>
      <w:r w:rsidRPr="001A52B1">
        <w:rPr>
          <w:rFonts w:eastAsia="Constantia"/>
          <w:iCs/>
          <w:color w:val="000000"/>
          <w:sz w:val="28"/>
          <w:szCs w:val="28"/>
          <w:lang w:bidi="ru-RU"/>
        </w:rPr>
        <w:t xml:space="preserve"> - средняя  плата, превышающая минимальные ставки платы,  за единицу объема лесных ресурсов (за исключением древесины) по договорам аренды лесных участков, находящихся в федеральной собственности, сложившаяся по </w:t>
      </w:r>
      <w:r w:rsidRPr="001A52B1">
        <w:rPr>
          <w:rFonts w:eastAsia="Constantia"/>
          <w:iCs/>
          <w:sz w:val="28"/>
          <w:szCs w:val="28"/>
          <w:lang w:bidi="ru-RU"/>
        </w:rPr>
        <w:t>итогам предыдущего финансового года и приведенная к уровню 2007 года (руб.), 7,4 тыс. руб</w:t>
      </w:r>
      <w:r w:rsidRPr="001A52B1">
        <w:rPr>
          <w:rFonts w:eastAsia="Constantia"/>
          <w:iCs/>
          <w:color w:val="000000"/>
          <w:sz w:val="28"/>
          <w:szCs w:val="28"/>
          <w:lang w:bidi="ru-RU"/>
        </w:rPr>
        <w:t>.;</w:t>
      </w:r>
    </w:p>
    <w:p w:rsidR="00CE1891" w:rsidRPr="001A52B1" w:rsidRDefault="00CE1891" w:rsidP="00CE1891">
      <w:pPr>
        <w:ind w:firstLine="709"/>
        <w:jc w:val="both"/>
        <w:rPr>
          <w:sz w:val="28"/>
          <w:szCs w:val="28"/>
        </w:rPr>
      </w:pPr>
      <w:r w:rsidRPr="001A52B1">
        <w:rPr>
          <w:iCs/>
          <w:sz w:val="28"/>
          <w:szCs w:val="28"/>
          <w:lang w:bidi="ru-RU"/>
        </w:rPr>
        <w:t>К</w:t>
      </w:r>
      <w:r w:rsidRPr="001A52B1">
        <w:rPr>
          <w:iCs/>
          <w:sz w:val="28"/>
          <w:szCs w:val="28"/>
          <w:vertAlign w:val="subscript"/>
          <w:lang w:bidi="ru-RU"/>
        </w:rPr>
        <w:t>2</w:t>
      </w:r>
      <w:r w:rsidRPr="001A52B1">
        <w:rPr>
          <w:i/>
          <w:iCs/>
          <w:sz w:val="28"/>
          <w:szCs w:val="28"/>
          <w:lang w:bidi="ru-RU"/>
        </w:rPr>
        <w:t xml:space="preserve"> -</w:t>
      </w:r>
      <w:r w:rsidRPr="001A52B1">
        <w:rPr>
          <w:sz w:val="28"/>
          <w:szCs w:val="28"/>
          <w:lang w:bidi="ru-RU"/>
        </w:rPr>
        <w:t xml:space="preserve"> коэффициент к ставкам платы за единицу объема лесных ресурсов (за исключением древесины), находящегося в федеральной собственности, установленный Правительством Российской Федерации, 2,54;</w:t>
      </w:r>
    </w:p>
    <w:p w:rsidR="00CE1891" w:rsidRPr="001A52B1" w:rsidRDefault="00CE1891" w:rsidP="00CE1891">
      <w:pPr>
        <w:ind w:firstLine="709"/>
        <w:jc w:val="both"/>
        <w:rPr>
          <w:rFonts w:eastAsia="Calibri"/>
          <w:color w:val="000000"/>
          <w:sz w:val="28"/>
          <w:szCs w:val="28"/>
          <w:lang w:eastAsia="en-US" w:bidi="ru-RU"/>
        </w:rPr>
      </w:pPr>
      <w:r w:rsidRPr="001A52B1">
        <w:rPr>
          <w:rFonts w:eastAsia="Calibri"/>
          <w:iCs/>
          <w:color w:val="000000"/>
          <w:sz w:val="28"/>
          <w:szCs w:val="28"/>
          <w:lang w:eastAsia="en-US" w:bidi="en-US"/>
        </w:rPr>
        <w:t>V</w:t>
      </w:r>
      <w:r w:rsidRPr="001A52B1">
        <w:rPr>
          <w:rFonts w:eastAsia="Calibri"/>
          <w:iCs/>
          <w:color w:val="000000"/>
          <w:sz w:val="28"/>
          <w:szCs w:val="28"/>
          <w:vertAlign w:val="superscript"/>
          <w:lang w:eastAsia="en-US" w:bidi="en-US"/>
        </w:rPr>
        <w:t>cp</w:t>
      </w:r>
      <w:r w:rsidRPr="001A52B1">
        <w:rPr>
          <w:rFonts w:eastAsia="Calibri"/>
          <w:iCs/>
          <w:color w:val="000000"/>
          <w:sz w:val="28"/>
          <w:szCs w:val="28"/>
          <w:vertAlign w:val="subscript"/>
          <w:lang w:eastAsia="en-US" w:bidi="en-US"/>
        </w:rPr>
        <w:t>ap</w:t>
      </w:r>
      <w:r w:rsidRPr="001A52B1">
        <w:rPr>
          <w:rFonts w:eastAsia="Calibri"/>
          <w:color w:val="000000"/>
          <w:sz w:val="28"/>
          <w:szCs w:val="28"/>
          <w:lang w:eastAsia="en-US" w:bidi="ru-RU"/>
        </w:rPr>
        <w:t xml:space="preserve"> - средний объем лесных ресурсов (за исключением древесины), подлежащий заготовке по договорам аренды лесных участков, находящихся в федеральной собственности,</w:t>
      </w:r>
      <w:r w:rsidRPr="001A52B1">
        <w:rPr>
          <w:rFonts w:eastAsia="Calibri"/>
          <w:iCs/>
          <w:color w:val="000000"/>
          <w:sz w:val="28"/>
          <w:szCs w:val="28"/>
          <w:lang w:eastAsia="en-US" w:bidi="ru-RU"/>
        </w:rPr>
        <w:t xml:space="preserve"> (т), 15,1 т:</w:t>
      </w:r>
    </w:p>
    <w:p w:rsidR="00CE1891" w:rsidRPr="001A52B1" w:rsidRDefault="00CE1891" w:rsidP="00CE1891">
      <w:pPr>
        <w:ind w:firstLine="709"/>
        <w:jc w:val="both"/>
        <w:rPr>
          <w:rFonts w:eastAsia="Calibri"/>
          <w:color w:val="000000"/>
          <w:sz w:val="28"/>
          <w:szCs w:val="28"/>
          <w:lang w:eastAsia="en-US" w:bidi="ru-RU"/>
        </w:rPr>
      </w:pPr>
    </w:p>
    <w:p w:rsidR="00CE1891" w:rsidRPr="001A52B1" w:rsidRDefault="00CE1891" w:rsidP="00CE1891">
      <w:pPr>
        <w:ind w:firstLine="709"/>
        <w:jc w:val="center"/>
        <w:rPr>
          <w:rFonts w:eastAsia="Calibri"/>
          <w:iCs/>
          <w:color w:val="000000"/>
          <w:sz w:val="28"/>
          <w:szCs w:val="28"/>
          <w:lang w:eastAsia="en-US" w:bidi="ru-RU"/>
        </w:rPr>
      </w:pPr>
      <w:r w:rsidRPr="001A52B1">
        <w:rPr>
          <w:rFonts w:eastAsia="Calibri"/>
          <w:iCs/>
          <w:color w:val="000000"/>
          <w:sz w:val="28"/>
          <w:szCs w:val="28"/>
          <w:lang w:eastAsia="en-US" w:bidi="en-US"/>
        </w:rPr>
        <w:t>V</w:t>
      </w:r>
      <w:r w:rsidRPr="001A52B1">
        <w:rPr>
          <w:rFonts w:eastAsia="Calibri"/>
          <w:iCs/>
          <w:color w:val="000000"/>
          <w:sz w:val="28"/>
          <w:szCs w:val="28"/>
          <w:vertAlign w:val="superscript"/>
          <w:lang w:eastAsia="en-US" w:bidi="en-US"/>
        </w:rPr>
        <w:t>cp</w:t>
      </w:r>
      <w:r w:rsidRPr="001A52B1">
        <w:rPr>
          <w:rFonts w:eastAsia="Calibri"/>
          <w:iCs/>
          <w:color w:val="000000"/>
          <w:sz w:val="28"/>
          <w:szCs w:val="28"/>
          <w:lang w:eastAsia="en-US" w:bidi="ru-RU"/>
        </w:rPr>
        <w:t xml:space="preserve"> </w:t>
      </w:r>
      <w:r w:rsidRPr="001A52B1">
        <w:rPr>
          <w:rFonts w:eastAsia="Calibri"/>
          <w:iCs/>
          <w:color w:val="000000"/>
          <w:sz w:val="28"/>
          <w:szCs w:val="28"/>
          <w:vertAlign w:val="subscript"/>
          <w:lang w:eastAsia="en-US" w:bidi="ru-RU"/>
        </w:rPr>
        <w:t>ар</w:t>
      </w:r>
      <w:r w:rsidRPr="001A52B1">
        <w:rPr>
          <w:rFonts w:eastAsia="Calibri"/>
          <w:color w:val="000000"/>
          <w:sz w:val="28"/>
          <w:szCs w:val="28"/>
          <w:vertAlign w:val="superscript"/>
          <w:lang w:eastAsia="en-US" w:bidi="ru-RU"/>
        </w:rPr>
        <w:t>=</w:t>
      </w:r>
      <w:r w:rsidRPr="001A52B1">
        <w:rPr>
          <w:rFonts w:eastAsia="Calibri"/>
          <w:color w:val="000000"/>
          <w:sz w:val="28"/>
          <w:szCs w:val="28"/>
          <w:lang w:eastAsia="en-US" w:bidi="ru-RU"/>
        </w:rPr>
        <w:t xml:space="preserve"> ∑</w:t>
      </w:r>
      <w:r w:rsidRPr="001A52B1">
        <w:rPr>
          <w:rFonts w:eastAsia="Calibri"/>
          <w:color w:val="000000"/>
          <w:sz w:val="28"/>
          <w:szCs w:val="28"/>
          <w:vertAlign w:val="superscript"/>
          <w:lang w:eastAsia="en-US" w:bidi="ru-RU"/>
        </w:rPr>
        <w:t>3</w:t>
      </w:r>
      <w:r w:rsidRPr="001A52B1">
        <w:rPr>
          <w:rFonts w:eastAsia="Calibri"/>
          <w:color w:val="000000"/>
          <w:sz w:val="28"/>
          <w:szCs w:val="28"/>
          <w:vertAlign w:val="subscript"/>
          <w:lang w:val="en-US" w:eastAsia="en-US" w:bidi="ru-RU"/>
        </w:rPr>
        <w:t>t</w:t>
      </w:r>
      <w:r w:rsidRPr="001A52B1">
        <w:rPr>
          <w:rFonts w:eastAsia="Calibri"/>
          <w:color w:val="000000"/>
          <w:sz w:val="28"/>
          <w:szCs w:val="28"/>
          <w:vertAlign w:val="subscript"/>
          <w:lang w:eastAsia="en-US" w:bidi="ru-RU"/>
        </w:rPr>
        <w:t>=1</w:t>
      </w:r>
      <w:r w:rsidRPr="001A52B1">
        <w:rPr>
          <w:rFonts w:eastAsia="Calibri"/>
          <w:iCs/>
          <w:color w:val="000000"/>
          <w:sz w:val="28"/>
          <w:szCs w:val="28"/>
          <w:lang w:eastAsia="en-US" w:bidi="en-US"/>
        </w:rPr>
        <w:t>V</w:t>
      </w:r>
      <w:r w:rsidRPr="001A52B1">
        <w:rPr>
          <w:rFonts w:eastAsia="Calibri"/>
          <w:iCs/>
          <w:color w:val="000000"/>
          <w:sz w:val="28"/>
          <w:szCs w:val="28"/>
          <w:vertAlign w:val="subscript"/>
          <w:lang w:eastAsia="en-US" w:bidi="ru-RU"/>
        </w:rPr>
        <w:t>ар</w:t>
      </w:r>
      <w:r w:rsidRPr="001A52B1">
        <w:rPr>
          <w:rFonts w:eastAsia="Calibri"/>
          <w:iCs/>
          <w:color w:val="000000"/>
          <w:sz w:val="28"/>
          <w:szCs w:val="28"/>
          <w:lang w:eastAsia="en-US" w:bidi="ru-RU"/>
        </w:rPr>
        <w:t xml:space="preserve"> /3,</w:t>
      </w:r>
    </w:p>
    <w:p w:rsidR="00CE1891" w:rsidRPr="001A52B1" w:rsidRDefault="00CE1891" w:rsidP="00CE1891">
      <w:pPr>
        <w:ind w:firstLine="709"/>
        <w:jc w:val="center"/>
        <w:rPr>
          <w:rFonts w:eastAsia="Calibri"/>
          <w:sz w:val="28"/>
          <w:szCs w:val="28"/>
          <w:lang w:eastAsia="en-US" w:bidi="ru-RU"/>
        </w:rPr>
      </w:pPr>
      <w:r w:rsidRPr="001A52B1">
        <w:rPr>
          <w:rFonts w:eastAsia="Calibri"/>
          <w:sz w:val="28"/>
          <w:szCs w:val="28"/>
          <w:lang w:eastAsia="en-US" w:bidi="ru-RU"/>
        </w:rPr>
        <w:t>15,1 = (15,1+15,1+15,1)/3</w:t>
      </w:r>
    </w:p>
    <w:p w:rsidR="00CE1891" w:rsidRPr="001A52B1" w:rsidRDefault="00CE1891" w:rsidP="00CE1891">
      <w:pPr>
        <w:ind w:firstLine="709"/>
        <w:jc w:val="both"/>
        <w:rPr>
          <w:rFonts w:eastAsia="Calibri"/>
          <w:sz w:val="28"/>
          <w:szCs w:val="28"/>
          <w:lang w:eastAsia="en-US" w:bidi="ru-RU"/>
        </w:rPr>
      </w:pPr>
      <w:r w:rsidRPr="001A52B1">
        <w:rPr>
          <w:rFonts w:eastAsia="Calibri"/>
          <w:sz w:val="28"/>
          <w:szCs w:val="28"/>
          <w:lang w:eastAsia="en-US" w:bidi="ru-RU"/>
        </w:rPr>
        <w:t>где:</w:t>
      </w:r>
    </w:p>
    <w:p w:rsidR="00CE1891" w:rsidRPr="001A52B1" w:rsidRDefault="00CE1891" w:rsidP="00CE1891">
      <w:pPr>
        <w:ind w:firstLine="709"/>
        <w:jc w:val="both"/>
        <w:rPr>
          <w:rFonts w:eastAsia="Calibri"/>
          <w:sz w:val="28"/>
          <w:szCs w:val="28"/>
          <w:lang w:eastAsia="en-US" w:bidi="ru-RU"/>
        </w:rPr>
      </w:pPr>
      <w:r w:rsidRPr="001A52B1">
        <w:rPr>
          <w:rFonts w:eastAsia="Calibri"/>
          <w:sz w:val="28"/>
          <w:szCs w:val="28"/>
          <w:lang w:eastAsia="en-US" w:bidi="ru-RU"/>
        </w:rPr>
        <w:t>∑</w:t>
      </w:r>
      <w:r w:rsidRPr="001A52B1">
        <w:rPr>
          <w:rFonts w:eastAsia="Calibri"/>
          <w:sz w:val="28"/>
          <w:szCs w:val="28"/>
          <w:vertAlign w:val="superscript"/>
          <w:lang w:eastAsia="en-US" w:bidi="ru-RU"/>
        </w:rPr>
        <w:t>3</w:t>
      </w:r>
      <w:r w:rsidRPr="001A52B1">
        <w:rPr>
          <w:rFonts w:eastAsia="Calibri"/>
          <w:sz w:val="28"/>
          <w:szCs w:val="28"/>
          <w:vertAlign w:val="subscript"/>
          <w:lang w:val="en-US" w:eastAsia="en-US" w:bidi="ru-RU"/>
        </w:rPr>
        <w:t>t</w:t>
      </w:r>
      <w:r w:rsidRPr="001A52B1">
        <w:rPr>
          <w:rFonts w:eastAsia="Calibri"/>
          <w:sz w:val="28"/>
          <w:szCs w:val="28"/>
          <w:vertAlign w:val="subscript"/>
          <w:lang w:eastAsia="en-US" w:bidi="ru-RU"/>
        </w:rPr>
        <w:t>=1</w:t>
      </w:r>
      <w:r w:rsidRPr="001A52B1">
        <w:rPr>
          <w:rFonts w:eastAsia="Calibri"/>
          <w:iCs/>
          <w:sz w:val="28"/>
          <w:szCs w:val="28"/>
          <w:lang w:eastAsia="en-US" w:bidi="en-US"/>
        </w:rPr>
        <w:t>V</w:t>
      </w:r>
      <w:r w:rsidRPr="001A52B1">
        <w:rPr>
          <w:rFonts w:eastAsia="Calibri"/>
          <w:iCs/>
          <w:sz w:val="28"/>
          <w:szCs w:val="28"/>
          <w:vertAlign w:val="subscript"/>
          <w:lang w:eastAsia="en-US" w:bidi="ru-RU"/>
        </w:rPr>
        <w:t>ар</w:t>
      </w:r>
      <w:r w:rsidRPr="001A52B1">
        <w:rPr>
          <w:rFonts w:eastAsia="Calibri"/>
          <w:i/>
          <w:iCs/>
          <w:sz w:val="28"/>
          <w:szCs w:val="28"/>
          <w:lang w:eastAsia="en-US" w:bidi="ru-RU"/>
        </w:rPr>
        <w:t xml:space="preserve"> </w:t>
      </w:r>
      <w:r w:rsidRPr="001A52B1">
        <w:rPr>
          <w:rFonts w:eastAsia="Calibri"/>
          <w:sz w:val="28"/>
          <w:szCs w:val="28"/>
          <w:lang w:eastAsia="en-US" w:bidi="ru-RU"/>
        </w:rPr>
        <w:t>-</w:t>
      </w:r>
      <w:r w:rsidRPr="001A52B1">
        <w:rPr>
          <w:rFonts w:eastAsia="Calibri"/>
          <w:i/>
          <w:iCs/>
          <w:sz w:val="28"/>
          <w:szCs w:val="28"/>
          <w:lang w:eastAsia="en-US" w:bidi="ru-RU"/>
        </w:rPr>
        <w:t xml:space="preserve"> </w:t>
      </w:r>
      <w:r w:rsidRPr="001A52B1">
        <w:rPr>
          <w:rFonts w:eastAsia="Calibri"/>
          <w:sz w:val="28"/>
          <w:szCs w:val="28"/>
          <w:lang w:eastAsia="en-US" w:bidi="ru-RU"/>
        </w:rPr>
        <w:t>сумма годовых величин объемов лесных ресурсов, подлежащих заготовке по договорам аренды лесных участков, за три года, предшествующих прогнозируемому году (т), 45,3 т.</w:t>
      </w:r>
    </w:p>
    <w:p w:rsidR="00CE1891" w:rsidRPr="001A52B1" w:rsidRDefault="00CE1891" w:rsidP="00CE1891">
      <w:pPr>
        <w:ind w:firstLine="709"/>
        <w:jc w:val="both"/>
        <w:rPr>
          <w:rFonts w:eastAsia="Calibri"/>
          <w:color w:val="000000"/>
          <w:sz w:val="28"/>
          <w:szCs w:val="28"/>
          <w:lang w:eastAsia="en-US" w:bidi="ru-RU"/>
        </w:rPr>
      </w:pPr>
    </w:p>
    <w:p w:rsidR="00CE1891" w:rsidRPr="001A52B1" w:rsidRDefault="00CE1891" w:rsidP="00CE1891">
      <w:pPr>
        <w:widowControl w:val="0"/>
        <w:ind w:firstLine="709"/>
        <w:jc w:val="both"/>
        <w:rPr>
          <w:rFonts w:eastAsia="Calibri"/>
          <w:sz w:val="28"/>
          <w:szCs w:val="28"/>
          <w:lang w:eastAsia="en-US"/>
        </w:rPr>
      </w:pPr>
      <w:r w:rsidRPr="001A52B1">
        <w:rPr>
          <w:rFonts w:eastAsia="Calibri"/>
          <w:sz w:val="28"/>
          <w:szCs w:val="28"/>
          <w:lang w:eastAsia="en-US"/>
        </w:rPr>
        <w:t>Т</w:t>
      </w:r>
      <w:r w:rsidRPr="001A52B1">
        <w:rPr>
          <w:rFonts w:eastAsia="Calibri"/>
          <w:sz w:val="28"/>
          <w:szCs w:val="28"/>
          <w:vertAlign w:val="superscript"/>
          <w:lang w:eastAsia="en-US"/>
        </w:rPr>
        <w:t>ср</w:t>
      </w:r>
      <w:r w:rsidRPr="001A52B1">
        <w:rPr>
          <w:rFonts w:eastAsia="Calibri"/>
          <w:sz w:val="28"/>
          <w:szCs w:val="28"/>
          <w:vertAlign w:val="subscript"/>
          <w:lang w:val="en-US" w:eastAsia="en-US"/>
        </w:rPr>
        <w:t>V</w:t>
      </w:r>
      <w:r w:rsidRPr="001A52B1">
        <w:rPr>
          <w:rFonts w:eastAsia="Calibri"/>
          <w:sz w:val="28"/>
          <w:szCs w:val="28"/>
          <w:vertAlign w:val="subscript"/>
          <w:lang w:eastAsia="en-US"/>
        </w:rPr>
        <w:t>ар</w:t>
      </w:r>
      <w:r w:rsidRPr="001A52B1">
        <w:rPr>
          <w:rFonts w:eastAsia="Calibri"/>
          <w:sz w:val="28"/>
          <w:szCs w:val="28"/>
          <w:lang w:eastAsia="en-US"/>
        </w:rPr>
        <w:t xml:space="preserve"> </w:t>
      </w:r>
      <w:r w:rsidRPr="001A52B1">
        <w:rPr>
          <w:rFonts w:eastAsia="Constantia"/>
          <w:i/>
          <w:iCs/>
          <w:sz w:val="28"/>
          <w:szCs w:val="28"/>
          <w:lang w:bidi="ru-RU"/>
        </w:rPr>
        <w:t>-</w:t>
      </w:r>
      <w:r w:rsidRPr="001A52B1">
        <w:rPr>
          <w:rFonts w:eastAsia="Calibri"/>
          <w:sz w:val="28"/>
          <w:szCs w:val="28"/>
          <w:lang w:eastAsia="en-US"/>
        </w:rPr>
        <w:t xml:space="preserve"> средний темп роста (снижения) объема лесных ресурсов (за исключением древесины), подлежащего заготовке по договорам аренды лесных участков, находящихся в федеральной собственности, за три отчетных года, предшествующих прогнозируемому году (ед.), 1,0:</w:t>
      </w:r>
    </w:p>
    <w:p w:rsidR="00CE1891" w:rsidRPr="001A52B1" w:rsidRDefault="00CE1891" w:rsidP="00CE1891">
      <w:pPr>
        <w:widowControl w:val="0"/>
        <w:ind w:firstLine="709"/>
        <w:jc w:val="both"/>
        <w:rPr>
          <w:rFonts w:eastAsia="Calibri"/>
          <w:sz w:val="28"/>
          <w:szCs w:val="28"/>
          <w:lang w:eastAsia="en-US"/>
        </w:rPr>
      </w:pPr>
    </w:p>
    <w:p w:rsidR="00CE1891" w:rsidRPr="001A52B1" w:rsidRDefault="00CE1891" w:rsidP="00CE1891">
      <w:pPr>
        <w:ind w:firstLine="709"/>
        <w:jc w:val="center"/>
        <w:rPr>
          <w:rFonts w:eastAsia="Constantia"/>
          <w:iCs/>
          <w:sz w:val="28"/>
          <w:szCs w:val="28"/>
        </w:rPr>
      </w:pPr>
      <w:r w:rsidRPr="001A52B1">
        <w:rPr>
          <w:rFonts w:eastAsia="Calibri"/>
          <w:sz w:val="28"/>
          <w:szCs w:val="28"/>
          <w:lang w:eastAsia="en-US"/>
        </w:rPr>
        <w:t>Т</w:t>
      </w:r>
      <w:r w:rsidRPr="001A52B1">
        <w:rPr>
          <w:rFonts w:eastAsia="Calibri"/>
          <w:sz w:val="28"/>
          <w:szCs w:val="28"/>
          <w:vertAlign w:val="superscript"/>
          <w:lang w:eastAsia="en-US"/>
        </w:rPr>
        <w:t>ср</w:t>
      </w:r>
      <w:r w:rsidRPr="001A52B1">
        <w:rPr>
          <w:rFonts w:eastAsia="Calibri"/>
          <w:sz w:val="28"/>
          <w:szCs w:val="28"/>
          <w:vertAlign w:val="subscript"/>
          <w:lang w:val="en-US" w:eastAsia="en-US"/>
        </w:rPr>
        <w:t>V</w:t>
      </w:r>
      <w:r w:rsidRPr="001A52B1">
        <w:rPr>
          <w:rFonts w:eastAsia="Calibri"/>
          <w:sz w:val="28"/>
          <w:szCs w:val="28"/>
          <w:vertAlign w:val="subscript"/>
          <w:lang w:eastAsia="en-US"/>
        </w:rPr>
        <w:t>ар</w:t>
      </w:r>
      <w:r w:rsidRPr="001A52B1">
        <w:rPr>
          <w:sz w:val="28"/>
          <w:szCs w:val="28"/>
          <w:vertAlign w:val="superscript"/>
        </w:rPr>
        <w:t xml:space="preserve"> =</w:t>
      </w:r>
      <w:r w:rsidRPr="001A52B1">
        <w:rPr>
          <w:sz w:val="28"/>
          <w:szCs w:val="28"/>
        </w:rPr>
        <w:t xml:space="preserve"> ∑</w:t>
      </w:r>
      <w:r w:rsidRPr="001A52B1">
        <w:rPr>
          <w:sz w:val="28"/>
          <w:szCs w:val="28"/>
          <w:vertAlign w:val="superscript"/>
        </w:rPr>
        <w:t>3</w:t>
      </w:r>
      <w:r w:rsidRPr="001A52B1">
        <w:rPr>
          <w:sz w:val="28"/>
          <w:szCs w:val="28"/>
          <w:vertAlign w:val="subscript"/>
          <w:lang w:val="en-US"/>
        </w:rPr>
        <w:t>t</w:t>
      </w:r>
      <w:r w:rsidRPr="001A52B1">
        <w:rPr>
          <w:sz w:val="28"/>
          <w:szCs w:val="28"/>
          <w:vertAlign w:val="subscript"/>
        </w:rPr>
        <w:t>=1</w:t>
      </w:r>
      <w:r w:rsidRPr="001A52B1">
        <w:rPr>
          <w:rFonts w:eastAsia="Calibri"/>
          <w:sz w:val="28"/>
          <w:szCs w:val="28"/>
          <w:lang w:eastAsia="en-US"/>
        </w:rPr>
        <w:t xml:space="preserve"> Т</w:t>
      </w:r>
      <w:r w:rsidRPr="001A52B1">
        <w:rPr>
          <w:rFonts w:eastAsia="Calibri"/>
          <w:sz w:val="28"/>
          <w:szCs w:val="28"/>
          <w:vertAlign w:val="subscript"/>
          <w:lang w:val="en-US" w:eastAsia="en-US"/>
        </w:rPr>
        <w:t>V</w:t>
      </w:r>
      <w:r w:rsidRPr="001A52B1">
        <w:rPr>
          <w:rFonts w:eastAsia="Calibri"/>
          <w:sz w:val="28"/>
          <w:szCs w:val="28"/>
          <w:vertAlign w:val="subscript"/>
          <w:lang w:eastAsia="en-US"/>
        </w:rPr>
        <w:t>ар</w:t>
      </w:r>
      <w:r w:rsidRPr="001A52B1">
        <w:rPr>
          <w:rFonts w:eastAsia="Constantia"/>
          <w:iCs/>
          <w:sz w:val="28"/>
          <w:szCs w:val="28"/>
        </w:rPr>
        <w:t xml:space="preserve"> /3,</w:t>
      </w:r>
    </w:p>
    <w:p w:rsidR="00CE1891" w:rsidRPr="001A52B1" w:rsidRDefault="00CE1891" w:rsidP="00CE1891">
      <w:pPr>
        <w:widowControl w:val="0"/>
        <w:ind w:firstLine="709"/>
        <w:jc w:val="center"/>
        <w:rPr>
          <w:rFonts w:eastAsia="Calibri"/>
          <w:sz w:val="28"/>
          <w:szCs w:val="28"/>
          <w:lang w:eastAsia="en-US"/>
        </w:rPr>
      </w:pPr>
      <w:r w:rsidRPr="001A52B1">
        <w:rPr>
          <w:rFonts w:eastAsia="Calibri"/>
          <w:sz w:val="28"/>
          <w:szCs w:val="28"/>
          <w:lang w:eastAsia="en-US"/>
        </w:rPr>
        <w:t>1,0 = (1,0 + 1,0 + 1,0)/3</w:t>
      </w:r>
    </w:p>
    <w:p w:rsidR="00CE1891" w:rsidRPr="001A52B1" w:rsidRDefault="00CE1891" w:rsidP="00CE1891">
      <w:pPr>
        <w:widowControl w:val="0"/>
        <w:ind w:firstLine="709"/>
        <w:jc w:val="both"/>
        <w:rPr>
          <w:rFonts w:eastAsia="Calibri"/>
          <w:sz w:val="28"/>
          <w:szCs w:val="28"/>
          <w:lang w:eastAsia="en-US"/>
        </w:rPr>
      </w:pPr>
      <w:r w:rsidRPr="001A52B1">
        <w:rPr>
          <w:rFonts w:eastAsia="Calibri"/>
          <w:sz w:val="28"/>
          <w:szCs w:val="28"/>
          <w:lang w:eastAsia="en-US"/>
        </w:rPr>
        <w:t>где:</w:t>
      </w:r>
    </w:p>
    <w:p w:rsidR="00CE1891" w:rsidRPr="001A52B1" w:rsidRDefault="00CE1891" w:rsidP="00CE1891">
      <w:pPr>
        <w:widowControl w:val="0"/>
        <w:ind w:firstLine="709"/>
        <w:jc w:val="both"/>
        <w:rPr>
          <w:rFonts w:eastAsia="Calibri"/>
          <w:sz w:val="28"/>
          <w:szCs w:val="28"/>
          <w:lang w:eastAsia="en-US"/>
        </w:rPr>
      </w:pPr>
      <w:r w:rsidRPr="001A52B1">
        <w:rPr>
          <w:sz w:val="28"/>
          <w:szCs w:val="28"/>
        </w:rPr>
        <w:t>∑</w:t>
      </w:r>
      <w:r w:rsidRPr="001A52B1">
        <w:rPr>
          <w:sz w:val="28"/>
          <w:szCs w:val="28"/>
          <w:vertAlign w:val="superscript"/>
        </w:rPr>
        <w:t>3</w:t>
      </w:r>
      <w:r w:rsidRPr="001A52B1">
        <w:rPr>
          <w:sz w:val="28"/>
          <w:szCs w:val="28"/>
          <w:vertAlign w:val="subscript"/>
          <w:lang w:val="en-US"/>
        </w:rPr>
        <w:t>t</w:t>
      </w:r>
      <w:r w:rsidRPr="001A52B1">
        <w:rPr>
          <w:sz w:val="28"/>
          <w:szCs w:val="28"/>
          <w:vertAlign w:val="subscript"/>
        </w:rPr>
        <w:t>=1</w:t>
      </w:r>
      <w:r w:rsidRPr="001A52B1">
        <w:rPr>
          <w:rFonts w:eastAsia="Calibri"/>
          <w:sz w:val="28"/>
          <w:szCs w:val="28"/>
          <w:lang w:eastAsia="en-US"/>
        </w:rPr>
        <w:t xml:space="preserve"> Т</w:t>
      </w:r>
      <w:r w:rsidRPr="001A52B1">
        <w:rPr>
          <w:rFonts w:eastAsia="Calibri"/>
          <w:sz w:val="28"/>
          <w:szCs w:val="28"/>
          <w:vertAlign w:val="subscript"/>
          <w:lang w:val="en-US" w:eastAsia="en-US"/>
        </w:rPr>
        <w:t>V</w:t>
      </w:r>
      <w:r w:rsidRPr="001A52B1">
        <w:rPr>
          <w:rFonts w:eastAsia="Calibri"/>
          <w:sz w:val="28"/>
          <w:szCs w:val="28"/>
          <w:vertAlign w:val="subscript"/>
          <w:lang w:eastAsia="en-US"/>
        </w:rPr>
        <w:t>ар</w:t>
      </w:r>
      <w:r w:rsidRPr="001A52B1">
        <w:rPr>
          <w:rFonts w:eastAsia="Calibri"/>
          <w:sz w:val="28"/>
          <w:szCs w:val="28"/>
          <w:lang w:eastAsia="en-US"/>
        </w:rPr>
        <w:t xml:space="preserve">  </w:t>
      </w:r>
      <w:r w:rsidRPr="001A52B1">
        <w:rPr>
          <w:rFonts w:eastAsia="Constantia"/>
          <w:i/>
          <w:iCs/>
          <w:sz w:val="28"/>
          <w:szCs w:val="28"/>
          <w:lang w:bidi="ru-RU"/>
        </w:rPr>
        <w:t>-</w:t>
      </w:r>
      <w:r w:rsidRPr="001A52B1">
        <w:rPr>
          <w:rFonts w:eastAsia="Calibri"/>
          <w:sz w:val="28"/>
          <w:szCs w:val="28"/>
          <w:lang w:eastAsia="en-US"/>
        </w:rPr>
        <w:t xml:space="preserve"> сумма темпов роста (снижения) объема лесных ресурсов (за исключением древесины), подлежащего заготовке по договорам аренды лесных участков, находящихся в федеральной собственности, за три отчетных года, предшествующих прогнозируемому году, (ед.), 3,0:</w:t>
      </w:r>
    </w:p>
    <w:p w:rsidR="00CE1891" w:rsidRPr="001A52B1" w:rsidRDefault="00CE1891" w:rsidP="00CE1891">
      <w:pPr>
        <w:widowControl w:val="0"/>
        <w:ind w:firstLine="709"/>
        <w:jc w:val="both"/>
        <w:rPr>
          <w:rFonts w:eastAsia="Calibri"/>
          <w:sz w:val="28"/>
          <w:szCs w:val="28"/>
          <w:lang w:eastAsia="en-US"/>
        </w:rPr>
      </w:pPr>
    </w:p>
    <w:p w:rsidR="00CE1891" w:rsidRPr="001A52B1" w:rsidRDefault="00CE1891" w:rsidP="00CE1891">
      <w:pPr>
        <w:widowControl w:val="0"/>
        <w:ind w:firstLine="709"/>
        <w:jc w:val="center"/>
        <w:rPr>
          <w:rFonts w:eastAsia="Calibri"/>
          <w:sz w:val="28"/>
          <w:szCs w:val="28"/>
          <w:vertAlign w:val="superscript"/>
          <w:lang w:eastAsia="en-US"/>
        </w:rPr>
      </w:pPr>
      <w:r w:rsidRPr="001A52B1">
        <w:rPr>
          <w:sz w:val="28"/>
          <w:szCs w:val="28"/>
        </w:rPr>
        <w:t>∑</w:t>
      </w:r>
      <w:r w:rsidRPr="001A52B1">
        <w:rPr>
          <w:sz w:val="28"/>
          <w:szCs w:val="28"/>
          <w:vertAlign w:val="superscript"/>
        </w:rPr>
        <w:t>3</w:t>
      </w:r>
      <w:r w:rsidRPr="001A52B1">
        <w:rPr>
          <w:sz w:val="28"/>
          <w:szCs w:val="28"/>
          <w:vertAlign w:val="subscript"/>
          <w:lang w:val="en-US"/>
        </w:rPr>
        <w:t>t</w:t>
      </w:r>
      <w:r w:rsidRPr="001A52B1">
        <w:rPr>
          <w:sz w:val="28"/>
          <w:szCs w:val="28"/>
          <w:vertAlign w:val="subscript"/>
        </w:rPr>
        <w:t>=1</w:t>
      </w:r>
      <w:r w:rsidRPr="001A52B1">
        <w:rPr>
          <w:rFonts w:eastAsia="Calibri"/>
          <w:sz w:val="28"/>
          <w:szCs w:val="28"/>
          <w:lang w:eastAsia="en-US"/>
        </w:rPr>
        <w:t xml:space="preserve"> Т</w:t>
      </w:r>
      <w:r w:rsidRPr="001A52B1">
        <w:rPr>
          <w:rFonts w:eastAsia="Calibri"/>
          <w:sz w:val="28"/>
          <w:szCs w:val="28"/>
          <w:vertAlign w:val="subscript"/>
          <w:lang w:val="en-US" w:eastAsia="en-US"/>
        </w:rPr>
        <w:t>V</w:t>
      </w:r>
      <w:r w:rsidRPr="001A52B1">
        <w:rPr>
          <w:rFonts w:eastAsia="Calibri"/>
          <w:sz w:val="28"/>
          <w:szCs w:val="28"/>
          <w:vertAlign w:val="subscript"/>
          <w:lang w:eastAsia="en-US"/>
        </w:rPr>
        <w:t>ар</w:t>
      </w:r>
      <w:r w:rsidRPr="001A52B1">
        <w:rPr>
          <w:rFonts w:eastAsia="Calibri"/>
          <w:sz w:val="28"/>
          <w:szCs w:val="28"/>
          <w:lang w:eastAsia="en-US"/>
        </w:rPr>
        <w:t xml:space="preserve">  = Т</w:t>
      </w:r>
      <w:r w:rsidRPr="001A52B1">
        <w:rPr>
          <w:rFonts w:eastAsia="Calibri"/>
          <w:sz w:val="28"/>
          <w:szCs w:val="28"/>
          <w:vertAlign w:val="subscript"/>
          <w:lang w:val="en-US" w:eastAsia="en-US"/>
        </w:rPr>
        <w:t>V</w:t>
      </w:r>
      <w:r w:rsidRPr="001A52B1">
        <w:rPr>
          <w:rFonts w:eastAsia="Calibri"/>
          <w:sz w:val="28"/>
          <w:szCs w:val="28"/>
          <w:vertAlign w:val="subscript"/>
          <w:lang w:eastAsia="en-US"/>
        </w:rPr>
        <w:t>ар</w:t>
      </w:r>
      <w:r w:rsidRPr="001A52B1">
        <w:rPr>
          <w:rFonts w:eastAsia="Calibri"/>
          <w:sz w:val="28"/>
          <w:szCs w:val="28"/>
          <w:vertAlign w:val="superscript"/>
          <w:lang w:eastAsia="en-US"/>
        </w:rPr>
        <w:t xml:space="preserve">2020 </w:t>
      </w:r>
      <w:r w:rsidRPr="001A52B1">
        <w:rPr>
          <w:rFonts w:eastAsia="Calibri"/>
          <w:sz w:val="28"/>
          <w:szCs w:val="28"/>
          <w:lang w:eastAsia="en-US"/>
        </w:rPr>
        <w:t>+ Т</w:t>
      </w:r>
      <w:r w:rsidRPr="001A52B1">
        <w:rPr>
          <w:rFonts w:eastAsia="Calibri"/>
          <w:sz w:val="28"/>
          <w:szCs w:val="28"/>
          <w:vertAlign w:val="subscript"/>
          <w:lang w:val="en-US" w:eastAsia="en-US"/>
        </w:rPr>
        <w:t>V</w:t>
      </w:r>
      <w:r w:rsidRPr="001A52B1">
        <w:rPr>
          <w:rFonts w:eastAsia="Calibri"/>
          <w:sz w:val="28"/>
          <w:szCs w:val="28"/>
          <w:vertAlign w:val="subscript"/>
          <w:lang w:eastAsia="en-US"/>
        </w:rPr>
        <w:t>ар</w:t>
      </w:r>
      <w:r w:rsidRPr="001A52B1">
        <w:rPr>
          <w:rFonts w:eastAsia="Calibri"/>
          <w:sz w:val="28"/>
          <w:szCs w:val="28"/>
          <w:vertAlign w:val="superscript"/>
          <w:lang w:eastAsia="en-US"/>
        </w:rPr>
        <w:t xml:space="preserve">2021 </w:t>
      </w:r>
      <w:r w:rsidRPr="001A52B1">
        <w:rPr>
          <w:rFonts w:eastAsia="Calibri"/>
          <w:sz w:val="28"/>
          <w:szCs w:val="28"/>
          <w:lang w:eastAsia="en-US"/>
        </w:rPr>
        <w:t>+ Т</w:t>
      </w:r>
      <w:r w:rsidRPr="001A52B1">
        <w:rPr>
          <w:rFonts w:eastAsia="Calibri"/>
          <w:sz w:val="28"/>
          <w:szCs w:val="28"/>
          <w:vertAlign w:val="subscript"/>
          <w:lang w:val="en-US" w:eastAsia="en-US"/>
        </w:rPr>
        <w:t>v</w:t>
      </w:r>
      <w:r w:rsidRPr="001A52B1">
        <w:rPr>
          <w:rFonts w:eastAsia="Calibri"/>
          <w:sz w:val="28"/>
          <w:szCs w:val="28"/>
          <w:vertAlign w:val="subscript"/>
          <w:lang w:eastAsia="en-US"/>
        </w:rPr>
        <w:t>ар</w:t>
      </w:r>
      <w:r w:rsidRPr="001A52B1">
        <w:rPr>
          <w:rFonts w:eastAsia="Calibri"/>
          <w:sz w:val="28"/>
          <w:szCs w:val="28"/>
          <w:vertAlign w:val="superscript"/>
          <w:lang w:eastAsia="en-US"/>
        </w:rPr>
        <w:t>2022</w:t>
      </w:r>
    </w:p>
    <w:p w:rsidR="00CE1891" w:rsidRPr="001A52B1" w:rsidRDefault="00CE1891" w:rsidP="00CE1891">
      <w:pPr>
        <w:widowControl w:val="0"/>
        <w:ind w:firstLine="709"/>
        <w:jc w:val="center"/>
        <w:rPr>
          <w:rFonts w:eastAsia="Calibri"/>
          <w:sz w:val="28"/>
          <w:szCs w:val="28"/>
          <w:lang w:eastAsia="en-US"/>
        </w:rPr>
      </w:pPr>
      <w:r w:rsidRPr="001A52B1">
        <w:rPr>
          <w:rFonts w:eastAsia="Calibri"/>
          <w:sz w:val="28"/>
          <w:szCs w:val="28"/>
          <w:lang w:eastAsia="en-US"/>
        </w:rPr>
        <w:t>3,0  = 1,0 + 1,0 + 1,0</w:t>
      </w:r>
    </w:p>
    <w:p w:rsidR="00CE1891" w:rsidRPr="001A52B1" w:rsidRDefault="00CE1891" w:rsidP="00CE1891">
      <w:pPr>
        <w:widowControl w:val="0"/>
        <w:ind w:firstLine="709"/>
        <w:jc w:val="center"/>
        <w:rPr>
          <w:rFonts w:eastAsia="Calibri"/>
          <w:sz w:val="28"/>
          <w:szCs w:val="28"/>
          <w:lang w:eastAsia="en-US"/>
        </w:rPr>
      </w:pPr>
    </w:p>
    <w:p w:rsidR="00CE1891" w:rsidRPr="001A52B1" w:rsidRDefault="00CE1891" w:rsidP="00CE1891">
      <w:pPr>
        <w:widowControl w:val="0"/>
        <w:ind w:firstLine="709"/>
        <w:jc w:val="both"/>
        <w:rPr>
          <w:rFonts w:eastAsia="Calibri"/>
          <w:sz w:val="28"/>
          <w:szCs w:val="28"/>
          <w:lang w:eastAsia="en-US"/>
        </w:rPr>
      </w:pPr>
      <w:r w:rsidRPr="001A52B1">
        <w:rPr>
          <w:rFonts w:eastAsia="Calibri"/>
          <w:sz w:val="28"/>
          <w:szCs w:val="28"/>
          <w:lang w:eastAsia="en-US"/>
        </w:rPr>
        <w:t>Т</w:t>
      </w:r>
      <w:r w:rsidRPr="001A52B1">
        <w:rPr>
          <w:rFonts w:eastAsia="Calibri"/>
          <w:sz w:val="28"/>
          <w:szCs w:val="28"/>
          <w:vertAlign w:val="subscript"/>
          <w:lang w:eastAsia="en-US"/>
        </w:rPr>
        <w:t>Vар</w:t>
      </w:r>
      <w:r w:rsidRPr="001A52B1">
        <w:rPr>
          <w:rFonts w:eastAsia="Calibri"/>
          <w:sz w:val="28"/>
          <w:szCs w:val="28"/>
          <w:lang w:eastAsia="en-US"/>
        </w:rPr>
        <w:t xml:space="preserve"> - темп роста (снижения) объема лесных ресурсов (за исключением древесины), подлежащего заготовке по договорам аренды лесных участков, находящихся в федеральной собственности, за год (ед.), определяется по формуле:</w:t>
      </w:r>
    </w:p>
    <w:p w:rsidR="00CE1891" w:rsidRPr="001A52B1" w:rsidRDefault="00CE1891" w:rsidP="00CE1891">
      <w:pPr>
        <w:widowControl w:val="0"/>
        <w:ind w:firstLine="709"/>
        <w:jc w:val="center"/>
        <w:rPr>
          <w:rFonts w:eastAsia="Calibri"/>
          <w:sz w:val="28"/>
          <w:szCs w:val="28"/>
          <w:vertAlign w:val="subscript"/>
          <w:lang w:eastAsia="en-US"/>
        </w:rPr>
      </w:pPr>
      <w:r w:rsidRPr="001A52B1">
        <w:rPr>
          <w:rFonts w:eastAsia="Calibri"/>
          <w:sz w:val="28"/>
          <w:szCs w:val="28"/>
          <w:lang w:eastAsia="en-US"/>
        </w:rPr>
        <w:t>Т</w:t>
      </w:r>
      <w:r w:rsidRPr="001A52B1">
        <w:rPr>
          <w:rFonts w:eastAsia="Calibri"/>
          <w:sz w:val="28"/>
          <w:szCs w:val="28"/>
          <w:vertAlign w:val="subscript"/>
          <w:lang w:eastAsia="en-US"/>
        </w:rPr>
        <w:t>Vар</w:t>
      </w:r>
      <w:r w:rsidRPr="001A52B1">
        <w:rPr>
          <w:rFonts w:eastAsia="Calibri"/>
          <w:sz w:val="28"/>
          <w:szCs w:val="28"/>
          <w:lang w:eastAsia="en-US"/>
        </w:rPr>
        <w:t xml:space="preserve"> =</w:t>
      </w:r>
      <w:r w:rsidRPr="001A52B1">
        <w:rPr>
          <w:rFonts w:eastAsia="Calibri"/>
          <w:sz w:val="28"/>
          <w:szCs w:val="28"/>
          <w:vertAlign w:val="subscript"/>
          <w:lang w:eastAsia="en-US"/>
        </w:rPr>
        <w:t xml:space="preserve"> </w:t>
      </w:r>
      <w:r w:rsidRPr="001A52B1">
        <w:rPr>
          <w:rFonts w:eastAsia="Calibri"/>
          <w:sz w:val="28"/>
          <w:szCs w:val="28"/>
          <w:lang w:val="en-US" w:eastAsia="en-US"/>
        </w:rPr>
        <w:t>Q</w:t>
      </w:r>
      <w:r w:rsidRPr="001A52B1">
        <w:rPr>
          <w:rFonts w:eastAsia="Calibri"/>
          <w:sz w:val="28"/>
          <w:szCs w:val="28"/>
          <w:vertAlign w:val="superscript"/>
          <w:lang w:val="en-US" w:eastAsia="en-US"/>
        </w:rPr>
        <w:t>n</w:t>
      </w:r>
      <w:r w:rsidRPr="001A52B1">
        <w:rPr>
          <w:rFonts w:eastAsia="Calibri"/>
          <w:sz w:val="28"/>
          <w:szCs w:val="28"/>
          <w:vertAlign w:val="subscript"/>
          <w:lang w:val="en-US" w:eastAsia="en-US"/>
        </w:rPr>
        <w:t>V</w:t>
      </w:r>
      <w:r w:rsidRPr="001A52B1">
        <w:rPr>
          <w:rFonts w:eastAsia="Calibri"/>
          <w:sz w:val="28"/>
          <w:szCs w:val="28"/>
          <w:vertAlign w:val="subscript"/>
          <w:lang w:eastAsia="en-US"/>
        </w:rPr>
        <w:t>ар</w:t>
      </w:r>
      <w:r w:rsidRPr="001A52B1">
        <w:rPr>
          <w:rFonts w:eastAsia="Calibri"/>
          <w:sz w:val="28"/>
          <w:szCs w:val="28"/>
          <w:lang w:eastAsia="en-US"/>
        </w:rPr>
        <w:t xml:space="preserve">/ </w:t>
      </w:r>
      <w:r w:rsidRPr="001A52B1">
        <w:rPr>
          <w:rFonts w:eastAsia="Calibri"/>
          <w:sz w:val="28"/>
          <w:szCs w:val="28"/>
          <w:lang w:val="en-US" w:eastAsia="en-US"/>
        </w:rPr>
        <w:t>Q</w:t>
      </w:r>
      <w:r w:rsidRPr="001A52B1">
        <w:rPr>
          <w:rFonts w:eastAsia="Calibri"/>
          <w:sz w:val="28"/>
          <w:szCs w:val="28"/>
          <w:vertAlign w:val="superscript"/>
          <w:lang w:val="en-US" w:eastAsia="en-US"/>
        </w:rPr>
        <w:t>n</w:t>
      </w:r>
      <w:r w:rsidRPr="001A52B1">
        <w:rPr>
          <w:rFonts w:eastAsia="Calibri"/>
          <w:sz w:val="28"/>
          <w:szCs w:val="28"/>
          <w:vertAlign w:val="superscript"/>
          <w:lang w:eastAsia="en-US"/>
        </w:rPr>
        <w:t>-1</w:t>
      </w:r>
      <w:r w:rsidRPr="001A52B1">
        <w:rPr>
          <w:rFonts w:eastAsia="Calibri"/>
          <w:sz w:val="28"/>
          <w:szCs w:val="28"/>
          <w:vertAlign w:val="subscript"/>
          <w:lang w:val="en-US" w:eastAsia="en-US"/>
        </w:rPr>
        <w:t>V</w:t>
      </w:r>
      <w:r w:rsidRPr="001A52B1">
        <w:rPr>
          <w:rFonts w:eastAsia="Calibri"/>
          <w:sz w:val="28"/>
          <w:szCs w:val="28"/>
          <w:vertAlign w:val="subscript"/>
          <w:lang w:eastAsia="en-US"/>
        </w:rPr>
        <w:t xml:space="preserve">ар </w:t>
      </w:r>
    </w:p>
    <w:p w:rsidR="00CE1891" w:rsidRPr="001A52B1" w:rsidRDefault="00CE1891" w:rsidP="00CE1891">
      <w:pPr>
        <w:widowControl w:val="0"/>
        <w:ind w:firstLine="709"/>
        <w:jc w:val="center"/>
        <w:rPr>
          <w:rFonts w:eastAsia="Calibri"/>
          <w:sz w:val="28"/>
          <w:szCs w:val="28"/>
          <w:vertAlign w:val="subscript"/>
          <w:lang w:eastAsia="en-US"/>
        </w:rPr>
      </w:pPr>
    </w:p>
    <w:p w:rsidR="00CE1891" w:rsidRPr="001A52B1" w:rsidRDefault="00CE1891" w:rsidP="00CE1891">
      <w:pPr>
        <w:widowControl w:val="0"/>
        <w:ind w:firstLine="709"/>
        <w:jc w:val="both"/>
        <w:rPr>
          <w:rFonts w:eastAsia="Calibri"/>
          <w:sz w:val="28"/>
          <w:szCs w:val="28"/>
          <w:lang w:eastAsia="en-US"/>
        </w:rPr>
      </w:pPr>
      <w:r w:rsidRPr="001A52B1">
        <w:rPr>
          <w:rFonts w:eastAsia="Calibri"/>
          <w:sz w:val="28"/>
          <w:szCs w:val="28"/>
          <w:lang w:eastAsia="en-US"/>
        </w:rPr>
        <w:t>где:</w:t>
      </w:r>
    </w:p>
    <w:p w:rsidR="00CE1891" w:rsidRPr="001A52B1" w:rsidRDefault="00CE1891" w:rsidP="00CE1891">
      <w:pPr>
        <w:widowControl w:val="0"/>
        <w:ind w:firstLine="709"/>
        <w:jc w:val="both"/>
        <w:rPr>
          <w:rFonts w:eastAsia="Calibri"/>
          <w:sz w:val="28"/>
          <w:szCs w:val="28"/>
          <w:lang w:eastAsia="en-US"/>
        </w:rPr>
      </w:pPr>
      <w:r w:rsidRPr="001A52B1">
        <w:rPr>
          <w:rFonts w:eastAsia="Calibri"/>
          <w:sz w:val="28"/>
          <w:szCs w:val="28"/>
          <w:lang w:val="en-US" w:eastAsia="en-US"/>
        </w:rPr>
        <w:lastRenderedPageBreak/>
        <w:t>Q</w:t>
      </w:r>
      <w:r w:rsidRPr="001A52B1">
        <w:rPr>
          <w:rFonts w:eastAsia="Calibri"/>
          <w:sz w:val="28"/>
          <w:szCs w:val="28"/>
          <w:vertAlign w:val="superscript"/>
          <w:lang w:val="en-US" w:eastAsia="en-US"/>
        </w:rPr>
        <w:t>n</w:t>
      </w:r>
      <w:r w:rsidRPr="001A52B1">
        <w:rPr>
          <w:rFonts w:eastAsia="Calibri"/>
          <w:sz w:val="28"/>
          <w:szCs w:val="28"/>
          <w:vertAlign w:val="subscript"/>
          <w:lang w:val="en-US" w:eastAsia="en-US"/>
        </w:rPr>
        <w:t>V</w:t>
      </w:r>
      <w:r w:rsidRPr="001A52B1">
        <w:rPr>
          <w:rFonts w:eastAsia="Calibri"/>
          <w:sz w:val="28"/>
          <w:szCs w:val="28"/>
          <w:vertAlign w:val="subscript"/>
          <w:lang w:eastAsia="en-US"/>
        </w:rPr>
        <w:t xml:space="preserve">ар </w:t>
      </w:r>
      <w:r w:rsidRPr="001A52B1">
        <w:rPr>
          <w:rFonts w:eastAsia="Calibri"/>
          <w:sz w:val="28"/>
          <w:szCs w:val="28"/>
          <w:lang w:eastAsia="en-US"/>
        </w:rPr>
        <w:t>- объем лесных ресурсов (за исключением древесины), подлежащий заготовке по договорам аренды лесных участков, находящихся в федеральной собственности, за год (т);</w:t>
      </w:r>
    </w:p>
    <w:p w:rsidR="00CE1891" w:rsidRPr="001A52B1" w:rsidRDefault="00CE1891" w:rsidP="00CE1891">
      <w:pPr>
        <w:widowControl w:val="0"/>
        <w:ind w:firstLine="709"/>
        <w:jc w:val="both"/>
        <w:rPr>
          <w:rFonts w:eastAsia="Calibri"/>
          <w:sz w:val="28"/>
          <w:szCs w:val="28"/>
          <w:lang w:eastAsia="en-US"/>
        </w:rPr>
      </w:pPr>
      <w:r w:rsidRPr="001A52B1">
        <w:rPr>
          <w:rFonts w:eastAsia="Calibri"/>
          <w:sz w:val="28"/>
          <w:szCs w:val="28"/>
          <w:lang w:val="en-US" w:eastAsia="en-US"/>
        </w:rPr>
        <w:t>Q</w:t>
      </w:r>
      <w:r w:rsidRPr="001A52B1">
        <w:rPr>
          <w:rFonts w:eastAsia="Calibri"/>
          <w:sz w:val="28"/>
          <w:szCs w:val="28"/>
          <w:vertAlign w:val="superscript"/>
          <w:lang w:val="en-US" w:eastAsia="en-US"/>
        </w:rPr>
        <w:t>n</w:t>
      </w:r>
      <w:r w:rsidRPr="001A52B1">
        <w:rPr>
          <w:rFonts w:eastAsia="Calibri"/>
          <w:sz w:val="28"/>
          <w:szCs w:val="28"/>
          <w:vertAlign w:val="superscript"/>
          <w:lang w:eastAsia="en-US"/>
        </w:rPr>
        <w:t>-1</w:t>
      </w:r>
      <w:r w:rsidRPr="001A52B1">
        <w:rPr>
          <w:rFonts w:eastAsia="Calibri"/>
          <w:sz w:val="28"/>
          <w:szCs w:val="28"/>
          <w:vertAlign w:val="subscript"/>
          <w:lang w:val="en-US" w:eastAsia="en-US"/>
        </w:rPr>
        <w:t>V</w:t>
      </w:r>
      <w:r w:rsidRPr="001A52B1">
        <w:rPr>
          <w:rFonts w:eastAsia="Calibri"/>
          <w:sz w:val="28"/>
          <w:szCs w:val="28"/>
          <w:vertAlign w:val="subscript"/>
          <w:lang w:eastAsia="en-US"/>
        </w:rPr>
        <w:t xml:space="preserve">ар </w:t>
      </w:r>
      <w:r w:rsidRPr="001A52B1">
        <w:rPr>
          <w:rFonts w:eastAsia="Calibri"/>
          <w:sz w:val="28"/>
          <w:szCs w:val="28"/>
          <w:lang w:eastAsia="en-US"/>
        </w:rPr>
        <w:t>- объем лесных ресурсов (за исключением древесины), подлежащий заготовке по договорам аренды лесных участков, находящихся в федеральной собственности, за предыдущий год (т);</w:t>
      </w:r>
    </w:p>
    <w:p w:rsidR="00CE1891" w:rsidRPr="001A52B1" w:rsidRDefault="00CE1891" w:rsidP="00CE1891">
      <w:pPr>
        <w:widowControl w:val="0"/>
        <w:ind w:firstLine="709"/>
        <w:jc w:val="center"/>
        <w:rPr>
          <w:rFonts w:eastAsia="Calibri"/>
          <w:sz w:val="28"/>
          <w:szCs w:val="28"/>
          <w:lang w:eastAsia="en-US"/>
        </w:rPr>
      </w:pPr>
    </w:p>
    <w:p w:rsidR="00CE1891" w:rsidRPr="001A52B1" w:rsidRDefault="00CE1891" w:rsidP="00CE1891">
      <w:pPr>
        <w:widowControl w:val="0"/>
        <w:ind w:firstLine="709"/>
        <w:jc w:val="both"/>
        <w:rPr>
          <w:rFonts w:eastAsia="Calibri"/>
          <w:sz w:val="28"/>
          <w:szCs w:val="28"/>
          <w:lang w:eastAsia="en-US"/>
        </w:rPr>
      </w:pPr>
      <w:r w:rsidRPr="001A52B1">
        <w:rPr>
          <w:rFonts w:eastAsia="Calibri"/>
          <w:sz w:val="28"/>
          <w:szCs w:val="28"/>
          <w:lang w:eastAsia="en-US"/>
        </w:rPr>
        <w:t>в том числе по годам:</w:t>
      </w:r>
    </w:p>
    <w:p w:rsidR="00CE1891" w:rsidRPr="001A52B1" w:rsidRDefault="00CE1891" w:rsidP="00CE1891">
      <w:pPr>
        <w:widowControl w:val="0"/>
        <w:ind w:firstLine="709"/>
        <w:jc w:val="both"/>
        <w:rPr>
          <w:rFonts w:eastAsia="Calibri"/>
          <w:sz w:val="28"/>
          <w:szCs w:val="28"/>
          <w:lang w:eastAsia="en-US"/>
        </w:rPr>
      </w:pPr>
    </w:p>
    <w:p w:rsidR="00CE1891" w:rsidRPr="001A52B1" w:rsidRDefault="00CE1891" w:rsidP="00CE1891">
      <w:pPr>
        <w:widowControl w:val="0"/>
        <w:ind w:firstLine="709"/>
        <w:jc w:val="both"/>
        <w:rPr>
          <w:rFonts w:eastAsia="Calibri"/>
          <w:sz w:val="28"/>
          <w:szCs w:val="28"/>
          <w:lang w:eastAsia="en-US"/>
        </w:rPr>
      </w:pPr>
      <w:r w:rsidRPr="001A52B1">
        <w:rPr>
          <w:rFonts w:eastAsia="Calibri"/>
          <w:sz w:val="28"/>
          <w:szCs w:val="28"/>
          <w:lang w:eastAsia="en-US"/>
        </w:rPr>
        <w:t>а) Т</w:t>
      </w:r>
      <w:r w:rsidRPr="001A52B1">
        <w:rPr>
          <w:rFonts w:eastAsia="Calibri"/>
          <w:sz w:val="28"/>
          <w:szCs w:val="28"/>
          <w:vertAlign w:val="subscript"/>
          <w:lang w:val="en-US" w:eastAsia="en-US"/>
        </w:rPr>
        <w:t>V</w:t>
      </w:r>
      <w:r w:rsidRPr="001A52B1">
        <w:rPr>
          <w:rFonts w:eastAsia="Calibri"/>
          <w:sz w:val="28"/>
          <w:szCs w:val="28"/>
          <w:vertAlign w:val="subscript"/>
          <w:lang w:eastAsia="en-US"/>
        </w:rPr>
        <w:t>ар</w:t>
      </w:r>
      <w:r w:rsidRPr="001A52B1">
        <w:rPr>
          <w:rFonts w:eastAsia="Calibri"/>
          <w:sz w:val="28"/>
          <w:szCs w:val="28"/>
          <w:vertAlign w:val="superscript"/>
          <w:lang w:eastAsia="en-US"/>
        </w:rPr>
        <w:t>2020</w:t>
      </w:r>
      <w:r w:rsidRPr="001A52B1">
        <w:rPr>
          <w:rFonts w:eastAsia="Calibri"/>
          <w:sz w:val="28"/>
          <w:szCs w:val="28"/>
          <w:lang w:eastAsia="en-US"/>
        </w:rPr>
        <w:t xml:space="preserve"> </w:t>
      </w:r>
      <w:r w:rsidRPr="001A52B1">
        <w:rPr>
          <w:rFonts w:eastAsia="Constantia"/>
          <w:i/>
          <w:iCs/>
          <w:sz w:val="28"/>
          <w:szCs w:val="28"/>
          <w:lang w:bidi="ru-RU"/>
        </w:rPr>
        <w:t>-</w:t>
      </w:r>
      <w:r w:rsidRPr="001A52B1">
        <w:rPr>
          <w:rFonts w:eastAsia="Calibri"/>
          <w:sz w:val="28"/>
          <w:szCs w:val="28"/>
          <w:lang w:eastAsia="en-US"/>
        </w:rPr>
        <w:t xml:space="preserve"> темп роста (снижения) объема лесных ресурсов (за исключением древесины), подлежащего заготовке по договорам аренды лесных участков, находящихся в федеральной собственности, за 2020 год (ед.), 1,0:</w:t>
      </w:r>
    </w:p>
    <w:p w:rsidR="00CE1891" w:rsidRPr="001A52B1" w:rsidRDefault="00CE1891" w:rsidP="00CE1891">
      <w:pPr>
        <w:widowControl w:val="0"/>
        <w:ind w:firstLine="709"/>
        <w:jc w:val="both"/>
        <w:rPr>
          <w:rFonts w:eastAsia="Calibri"/>
          <w:sz w:val="28"/>
          <w:szCs w:val="28"/>
          <w:lang w:eastAsia="en-US"/>
        </w:rPr>
      </w:pPr>
    </w:p>
    <w:p w:rsidR="00CE1891" w:rsidRPr="001A52B1" w:rsidRDefault="00CE1891" w:rsidP="00CE1891">
      <w:pPr>
        <w:widowControl w:val="0"/>
        <w:ind w:firstLine="709"/>
        <w:jc w:val="center"/>
        <w:rPr>
          <w:rFonts w:eastAsia="Calibri"/>
          <w:sz w:val="28"/>
          <w:szCs w:val="28"/>
          <w:lang w:eastAsia="en-US"/>
        </w:rPr>
      </w:pPr>
      <w:r w:rsidRPr="001A52B1">
        <w:rPr>
          <w:rFonts w:eastAsia="Calibri"/>
          <w:sz w:val="28"/>
          <w:szCs w:val="28"/>
          <w:lang w:eastAsia="en-US"/>
        </w:rPr>
        <w:t>Т</w:t>
      </w:r>
      <w:r w:rsidRPr="001A52B1">
        <w:rPr>
          <w:rFonts w:eastAsia="Calibri"/>
          <w:sz w:val="28"/>
          <w:szCs w:val="28"/>
          <w:vertAlign w:val="subscript"/>
          <w:lang w:val="en-US" w:eastAsia="en-US"/>
        </w:rPr>
        <w:t>V</w:t>
      </w:r>
      <w:r w:rsidRPr="001A52B1">
        <w:rPr>
          <w:rFonts w:eastAsia="Calibri"/>
          <w:sz w:val="28"/>
          <w:szCs w:val="28"/>
          <w:vertAlign w:val="subscript"/>
          <w:lang w:eastAsia="en-US"/>
        </w:rPr>
        <w:t>ар</w:t>
      </w:r>
      <w:r w:rsidRPr="001A52B1">
        <w:rPr>
          <w:rFonts w:eastAsia="Calibri"/>
          <w:sz w:val="28"/>
          <w:szCs w:val="28"/>
          <w:vertAlign w:val="superscript"/>
          <w:lang w:eastAsia="en-US"/>
        </w:rPr>
        <w:t>2020</w:t>
      </w:r>
      <w:r w:rsidRPr="001A52B1">
        <w:rPr>
          <w:rFonts w:eastAsia="Calibri"/>
          <w:sz w:val="28"/>
          <w:szCs w:val="28"/>
          <w:lang w:eastAsia="en-US"/>
        </w:rPr>
        <w:t xml:space="preserve"> = Q</w:t>
      </w:r>
      <w:r w:rsidRPr="001A52B1">
        <w:rPr>
          <w:rFonts w:eastAsia="Calibri"/>
          <w:sz w:val="28"/>
          <w:szCs w:val="28"/>
          <w:vertAlign w:val="superscript"/>
          <w:lang w:eastAsia="en-US"/>
        </w:rPr>
        <w:t>2020</w:t>
      </w:r>
      <w:r w:rsidRPr="001A52B1">
        <w:rPr>
          <w:rFonts w:eastAsia="Calibri"/>
          <w:sz w:val="28"/>
          <w:szCs w:val="28"/>
          <w:vertAlign w:val="subscript"/>
          <w:lang w:val="en-US" w:eastAsia="en-US"/>
        </w:rPr>
        <w:t>V</w:t>
      </w:r>
      <w:r w:rsidRPr="001A52B1">
        <w:rPr>
          <w:rFonts w:eastAsia="Calibri"/>
          <w:sz w:val="28"/>
          <w:szCs w:val="28"/>
          <w:vertAlign w:val="subscript"/>
          <w:lang w:eastAsia="en-US"/>
        </w:rPr>
        <w:t>ар</w:t>
      </w:r>
      <w:r w:rsidRPr="001A52B1">
        <w:rPr>
          <w:rFonts w:eastAsia="Calibri"/>
          <w:sz w:val="28"/>
          <w:szCs w:val="28"/>
          <w:lang w:eastAsia="en-US"/>
        </w:rPr>
        <w:t xml:space="preserve"> / Q</w:t>
      </w:r>
      <w:r w:rsidRPr="001A52B1">
        <w:rPr>
          <w:rFonts w:eastAsia="Calibri"/>
          <w:sz w:val="28"/>
          <w:szCs w:val="28"/>
          <w:vertAlign w:val="superscript"/>
          <w:lang w:eastAsia="en-US"/>
        </w:rPr>
        <w:t>2019</w:t>
      </w:r>
      <w:r w:rsidRPr="001A52B1">
        <w:rPr>
          <w:rFonts w:eastAsia="Calibri"/>
          <w:sz w:val="28"/>
          <w:szCs w:val="28"/>
          <w:vertAlign w:val="subscript"/>
          <w:lang w:val="en-US" w:eastAsia="en-US"/>
        </w:rPr>
        <w:t>V</w:t>
      </w:r>
      <w:r w:rsidRPr="001A52B1">
        <w:rPr>
          <w:rFonts w:eastAsia="Calibri"/>
          <w:sz w:val="28"/>
          <w:szCs w:val="28"/>
          <w:vertAlign w:val="subscript"/>
          <w:lang w:eastAsia="en-US"/>
        </w:rPr>
        <w:t>ар</w:t>
      </w:r>
      <w:r w:rsidRPr="001A52B1">
        <w:rPr>
          <w:rFonts w:eastAsia="Calibri"/>
          <w:sz w:val="28"/>
          <w:szCs w:val="28"/>
          <w:lang w:eastAsia="en-US"/>
        </w:rPr>
        <w:t>,</w:t>
      </w:r>
    </w:p>
    <w:p w:rsidR="00CE1891" w:rsidRPr="001A52B1" w:rsidRDefault="00CE1891" w:rsidP="00CE1891">
      <w:pPr>
        <w:widowControl w:val="0"/>
        <w:ind w:firstLine="709"/>
        <w:jc w:val="center"/>
        <w:rPr>
          <w:rFonts w:eastAsia="Calibri"/>
          <w:sz w:val="28"/>
          <w:szCs w:val="28"/>
          <w:lang w:eastAsia="en-US"/>
        </w:rPr>
      </w:pPr>
      <w:r w:rsidRPr="001A52B1">
        <w:rPr>
          <w:rFonts w:eastAsia="Calibri"/>
          <w:sz w:val="28"/>
          <w:szCs w:val="28"/>
          <w:lang w:eastAsia="en-US"/>
        </w:rPr>
        <w:t>1,0  = 15,1 /15,1</w:t>
      </w:r>
    </w:p>
    <w:p w:rsidR="00CE1891" w:rsidRPr="001A52B1" w:rsidRDefault="00CE1891" w:rsidP="00CE1891">
      <w:pPr>
        <w:widowControl w:val="0"/>
        <w:ind w:firstLine="709"/>
        <w:jc w:val="center"/>
        <w:rPr>
          <w:rFonts w:eastAsia="Calibri"/>
          <w:sz w:val="28"/>
          <w:szCs w:val="28"/>
          <w:lang w:eastAsia="en-US"/>
        </w:rPr>
      </w:pPr>
    </w:p>
    <w:p w:rsidR="00CE1891" w:rsidRPr="001A52B1" w:rsidRDefault="00CE1891" w:rsidP="00CE1891">
      <w:pPr>
        <w:widowControl w:val="0"/>
        <w:ind w:firstLine="709"/>
        <w:jc w:val="both"/>
        <w:rPr>
          <w:rFonts w:eastAsia="Calibri"/>
          <w:sz w:val="28"/>
          <w:szCs w:val="28"/>
          <w:lang w:eastAsia="en-US"/>
        </w:rPr>
      </w:pPr>
      <w:r w:rsidRPr="001A52B1">
        <w:rPr>
          <w:rFonts w:eastAsia="Calibri"/>
          <w:sz w:val="28"/>
          <w:szCs w:val="28"/>
          <w:lang w:eastAsia="en-US"/>
        </w:rPr>
        <w:t>где:</w:t>
      </w:r>
    </w:p>
    <w:p w:rsidR="00CE1891" w:rsidRPr="001A52B1" w:rsidRDefault="00CE1891" w:rsidP="00CE1891">
      <w:pPr>
        <w:widowControl w:val="0"/>
        <w:ind w:firstLine="709"/>
        <w:jc w:val="both"/>
        <w:rPr>
          <w:rFonts w:eastAsia="Calibri"/>
          <w:sz w:val="28"/>
          <w:szCs w:val="28"/>
          <w:lang w:eastAsia="en-US"/>
        </w:rPr>
      </w:pPr>
      <w:r w:rsidRPr="001A52B1">
        <w:rPr>
          <w:rFonts w:eastAsia="Calibri"/>
          <w:sz w:val="28"/>
          <w:szCs w:val="28"/>
          <w:lang w:eastAsia="en-US"/>
        </w:rPr>
        <w:t>Q</w:t>
      </w:r>
      <w:r w:rsidRPr="001A52B1">
        <w:rPr>
          <w:rFonts w:eastAsia="Calibri"/>
          <w:sz w:val="28"/>
          <w:szCs w:val="28"/>
          <w:vertAlign w:val="superscript"/>
          <w:lang w:eastAsia="en-US"/>
        </w:rPr>
        <w:t>2020</w:t>
      </w:r>
      <w:r w:rsidRPr="001A52B1">
        <w:rPr>
          <w:rFonts w:eastAsia="Calibri"/>
          <w:sz w:val="28"/>
          <w:szCs w:val="28"/>
          <w:vertAlign w:val="subscript"/>
          <w:lang w:val="en-US" w:eastAsia="en-US"/>
        </w:rPr>
        <w:t>V</w:t>
      </w:r>
      <w:r w:rsidRPr="001A52B1">
        <w:rPr>
          <w:rFonts w:eastAsia="Calibri"/>
          <w:sz w:val="28"/>
          <w:szCs w:val="28"/>
          <w:vertAlign w:val="subscript"/>
          <w:lang w:eastAsia="en-US"/>
        </w:rPr>
        <w:t>ар</w:t>
      </w:r>
      <w:r w:rsidRPr="001A52B1">
        <w:rPr>
          <w:rFonts w:eastAsia="Calibri"/>
          <w:sz w:val="28"/>
          <w:szCs w:val="28"/>
          <w:lang w:eastAsia="en-US"/>
        </w:rPr>
        <w:t xml:space="preserve"> </w:t>
      </w:r>
      <w:r w:rsidRPr="001A52B1">
        <w:rPr>
          <w:rFonts w:eastAsia="Constantia"/>
          <w:i/>
          <w:iCs/>
          <w:sz w:val="28"/>
          <w:szCs w:val="28"/>
          <w:lang w:bidi="ru-RU"/>
        </w:rPr>
        <w:t>-</w:t>
      </w:r>
      <w:r w:rsidRPr="001A52B1">
        <w:rPr>
          <w:rFonts w:eastAsia="Calibri"/>
          <w:sz w:val="28"/>
          <w:szCs w:val="28"/>
          <w:lang w:eastAsia="en-US"/>
        </w:rPr>
        <w:t xml:space="preserve"> объем лесных ресурсов (за исключением древесины), подлежащий заготовке по договорам аренды лесных участков, находящихся в федеральной собственности, за 2020 год, 15,1 т;</w:t>
      </w:r>
    </w:p>
    <w:p w:rsidR="00CE1891" w:rsidRPr="001A52B1" w:rsidRDefault="00CE1891" w:rsidP="00CE1891">
      <w:pPr>
        <w:widowControl w:val="0"/>
        <w:ind w:firstLine="709"/>
        <w:jc w:val="both"/>
        <w:rPr>
          <w:rFonts w:eastAsia="Calibri"/>
          <w:sz w:val="28"/>
          <w:szCs w:val="28"/>
          <w:lang w:eastAsia="en-US"/>
        </w:rPr>
      </w:pPr>
      <w:r w:rsidRPr="001A52B1">
        <w:rPr>
          <w:rFonts w:eastAsia="Calibri"/>
          <w:sz w:val="28"/>
          <w:szCs w:val="28"/>
          <w:lang w:eastAsia="en-US"/>
        </w:rPr>
        <w:t>Q</w:t>
      </w:r>
      <w:r w:rsidRPr="001A52B1">
        <w:rPr>
          <w:rFonts w:eastAsia="Calibri"/>
          <w:sz w:val="28"/>
          <w:szCs w:val="28"/>
          <w:vertAlign w:val="superscript"/>
          <w:lang w:eastAsia="en-US"/>
        </w:rPr>
        <w:t>2019</w:t>
      </w:r>
      <w:r w:rsidRPr="001A52B1">
        <w:rPr>
          <w:rFonts w:eastAsia="Calibri"/>
          <w:sz w:val="28"/>
          <w:szCs w:val="28"/>
          <w:vertAlign w:val="subscript"/>
          <w:lang w:val="en-US" w:eastAsia="en-US"/>
        </w:rPr>
        <w:t>V</w:t>
      </w:r>
      <w:r w:rsidRPr="001A52B1">
        <w:rPr>
          <w:rFonts w:eastAsia="Calibri"/>
          <w:sz w:val="28"/>
          <w:szCs w:val="28"/>
          <w:vertAlign w:val="subscript"/>
          <w:lang w:eastAsia="en-US"/>
        </w:rPr>
        <w:t>ар</w:t>
      </w:r>
      <w:r w:rsidRPr="001A52B1">
        <w:rPr>
          <w:rFonts w:eastAsia="Calibri"/>
          <w:sz w:val="28"/>
          <w:szCs w:val="28"/>
          <w:lang w:eastAsia="en-US"/>
        </w:rPr>
        <w:t xml:space="preserve"> </w:t>
      </w:r>
      <w:r w:rsidRPr="001A52B1">
        <w:rPr>
          <w:rFonts w:eastAsia="Constantia"/>
          <w:i/>
          <w:iCs/>
          <w:sz w:val="28"/>
          <w:szCs w:val="28"/>
          <w:lang w:bidi="ru-RU"/>
        </w:rPr>
        <w:t>-</w:t>
      </w:r>
      <w:r w:rsidRPr="001A52B1">
        <w:rPr>
          <w:rFonts w:eastAsia="Calibri"/>
          <w:sz w:val="28"/>
          <w:szCs w:val="28"/>
          <w:lang w:eastAsia="en-US"/>
        </w:rPr>
        <w:t xml:space="preserve"> объем лесных ресурсов (за исключением древесины), подлежащий заготовке по договорам аренды лесных участков, находящихся в федеральной собственности, за предыдущий год, за 2019 год, 15,1 т;</w:t>
      </w:r>
    </w:p>
    <w:p w:rsidR="00CE1891" w:rsidRPr="001A52B1" w:rsidRDefault="00CE1891" w:rsidP="00CE1891">
      <w:pPr>
        <w:widowControl w:val="0"/>
        <w:ind w:firstLine="709"/>
        <w:jc w:val="both"/>
        <w:rPr>
          <w:rFonts w:eastAsia="Calibri"/>
          <w:sz w:val="28"/>
          <w:szCs w:val="28"/>
          <w:lang w:eastAsia="en-US"/>
        </w:rPr>
      </w:pPr>
    </w:p>
    <w:p w:rsidR="00CE1891" w:rsidRPr="001A52B1" w:rsidRDefault="00CE1891" w:rsidP="00CE1891">
      <w:pPr>
        <w:widowControl w:val="0"/>
        <w:ind w:firstLine="709"/>
        <w:jc w:val="both"/>
        <w:rPr>
          <w:rFonts w:eastAsia="Calibri"/>
          <w:sz w:val="28"/>
          <w:szCs w:val="28"/>
          <w:lang w:eastAsia="en-US"/>
        </w:rPr>
      </w:pPr>
      <w:r w:rsidRPr="001A52B1">
        <w:rPr>
          <w:rFonts w:eastAsia="Calibri"/>
          <w:sz w:val="28"/>
          <w:szCs w:val="28"/>
          <w:lang w:eastAsia="en-US"/>
        </w:rPr>
        <w:t>б) Т</w:t>
      </w:r>
      <w:r w:rsidRPr="001A52B1">
        <w:rPr>
          <w:rFonts w:eastAsia="Calibri"/>
          <w:sz w:val="28"/>
          <w:szCs w:val="28"/>
          <w:vertAlign w:val="subscript"/>
          <w:lang w:val="en-US" w:eastAsia="en-US"/>
        </w:rPr>
        <w:t>V</w:t>
      </w:r>
      <w:r w:rsidRPr="001A52B1">
        <w:rPr>
          <w:rFonts w:eastAsia="Calibri"/>
          <w:sz w:val="28"/>
          <w:szCs w:val="28"/>
          <w:vertAlign w:val="subscript"/>
          <w:lang w:eastAsia="en-US"/>
        </w:rPr>
        <w:t>ар</w:t>
      </w:r>
      <w:r w:rsidRPr="001A52B1">
        <w:rPr>
          <w:rFonts w:eastAsia="Calibri"/>
          <w:sz w:val="28"/>
          <w:szCs w:val="28"/>
          <w:vertAlign w:val="superscript"/>
          <w:lang w:eastAsia="en-US"/>
        </w:rPr>
        <w:t>2021</w:t>
      </w:r>
      <w:r w:rsidRPr="001A52B1">
        <w:rPr>
          <w:rFonts w:eastAsia="Calibri"/>
          <w:sz w:val="28"/>
          <w:szCs w:val="28"/>
          <w:lang w:eastAsia="en-US"/>
        </w:rPr>
        <w:t xml:space="preserve"> </w:t>
      </w:r>
      <w:r w:rsidRPr="001A52B1">
        <w:rPr>
          <w:rFonts w:eastAsia="Constantia"/>
          <w:i/>
          <w:iCs/>
          <w:sz w:val="28"/>
          <w:szCs w:val="28"/>
          <w:lang w:bidi="ru-RU"/>
        </w:rPr>
        <w:t>-</w:t>
      </w:r>
      <w:r w:rsidRPr="001A52B1">
        <w:rPr>
          <w:rFonts w:eastAsia="Calibri"/>
          <w:sz w:val="28"/>
          <w:szCs w:val="28"/>
          <w:lang w:eastAsia="en-US"/>
        </w:rPr>
        <w:t xml:space="preserve"> темп роста (снижения) объема лесных ресурсов (за исключением древесины), подлежащего заготовке по договорам аренды лесных участков, находящихся в федеральной собственности, за 2021 год (ед.), 1,0:</w:t>
      </w:r>
    </w:p>
    <w:p w:rsidR="00CE1891" w:rsidRPr="001A52B1" w:rsidRDefault="00CE1891" w:rsidP="00CE1891">
      <w:pPr>
        <w:widowControl w:val="0"/>
        <w:ind w:firstLine="709"/>
        <w:jc w:val="both"/>
        <w:rPr>
          <w:rFonts w:eastAsia="Calibri"/>
          <w:sz w:val="28"/>
          <w:szCs w:val="28"/>
          <w:lang w:eastAsia="en-US"/>
        </w:rPr>
      </w:pPr>
    </w:p>
    <w:p w:rsidR="00CE1891" w:rsidRPr="001A52B1" w:rsidRDefault="00CE1891" w:rsidP="00CE1891">
      <w:pPr>
        <w:widowControl w:val="0"/>
        <w:ind w:firstLine="709"/>
        <w:jc w:val="center"/>
        <w:rPr>
          <w:rFonts w:eastAsia="Calibri"/>
          <w:sz w:val="28"/>
          <w:szCs w:val="28"/>
          <w:lang w:eastAsia="en-US"/>
        </w:rPr>
      </w:pPr>
      <w:r w:rsidRPr="001A52B1">
        <w:rPr>
          <w:rFonts w:eastAsia="Calibri"/>
          <w:sz w:val="28"/>
          <w:szCs w:val="28"/>
          <w:lang w:eastAsia="en-US"/>
        </w:rPr>
        <w:t>Т</w:t>
      </w:r>
      <w:r w:rsidRPr="001A52B1">
        <w:rPr>
          <w:rFonts w:eastAsia="Calibri"/>
          <w:sz w:val="28"/>
          <w:szCs w:val="28"/>
          <w:vertAlign w:val="subscript"/>
          <w:lang w:val="en-US" w:eastAsia="en-US"/>
        </w:rPr>
        <w:t>V</w:t>
      </w:r>
      <w:r w:rsidRPr="001A52B1">
        <w:rPr>
          <w:rFonts w:eastAsia="Calibri"/>
          <w:sz w:val="28"/>
          <w:szCs w:val="28"/>
          <w:vertAlign w:val="subscript"/>
          <w:lang w:eastAsia="en-US"/>
        </w:rPr>
        <w:t>ар</w:t>
      </w:r>
      <w:r w:rsidRPr="001A52B1">
        <w:rPr>
          <w:rFonts w:eastAsia="Calibri"/>
          <w:sz w:val="28"/>
          <w:szCs w:val="28"/>
          <w:vertAlign w:val="superscript"/>
          <w:lang w:eastAsia="en-US"/>
        </w:rPr>
        <w:t>2021</w:t>
      </w:r>
      <w:r w:rsidRPr="001A52B1">
        <w:rPr>
          <w:rFonts w:eastAsia="Calibri"/>
          <w:sz w:val="28"/>
          <w:szCs w:val="28"/>
          <w:lang w:eastAsia="en-US"/>
        </w:rPr>
        <w:t xml:space="preserve"> = Q</w:t>
      </w:r>
      <w:r w:rsidRPr="001A52B1">
        <w:rPr>
          <w:rFonts w:eastAsia="Calibri"/>
          <w:sz w:val="28"/>
          <w:szCs w:val="28"/>
          <w:vertAlign w:val="superscript"/>
          <w:lang w:eastAsia="en-US"/>
        </w:rPr>
        <w:t>2021</w:t>
      </w:r>
      <w:r w:rsidRPr="001A52B1">
        <w:rPr>
          <w:rFonts w:eastAsia="Calibri"/>
          <w:sz w:val="28"/>
          <w:szCs w:val="28"/>
          <w:vertAlign w:val="subscript"/>
          <w:lang w:val="en-US" w:eastAsia="en-US"/>
        </w:rPr>
        <w:t>V</w:t>
      </w:r>
      <w:r w:rsidRPr="001A52B1">
        <w:rPr>
          <w:rFonts w:eastAsia="Calibri"/>
          <w:sz w:val="28"/>
          <w:szCs w:val="28"/>
          <w:vertAlign w:val="subscript"/>
          <w:lang w:eastAsia="en-US"/>
        </w:rPr>
        <w:t>ар</w:t>
      </w:r>
      <w:r w:rsidRPr="001A52B1">
        <w:rPr>
          <w:rFonts w:eastAsia="Calibri"/>
          <w:sz w:val="28"/>
          <w:szCs w:val="28"/>
          <w:lang w:eastAsia="en-US"/>
        </w:rPr>
        <w:t xml:space="preserve"> / Q</w:t>
      </w:r>
      <w:r w:rsidRPr="001A52B1">
        <w:rPr>
          <w:rFonts w:eastAsia="Calibri"/>
          <w:sz w:val="28"/>
          <w:szCs w:val="28"/>
          <w:vertAlign w:val="superscript"/>
          <w:lang w:eastAsia="en-US"/>
        </w:rPr>
        <w:t>2020</w:t>
      </w:r>
      <w:r w:rsidRPr="001A52B1">
        <w:rPr>
          <w:rFonts w:eastAsia="Calibri"/>
          <w:sz w:val="28"/>
          <w:szCs w:val="28"/>
          <w:vertAlign w:val="subscript"/>
          <w:lang w:val="en-US" w:eastAsia="en-US"/>
        </w:rPr>
        <w:t>V</w:t>
      </w:r>
      <w:r w:rsidRPr="001A52B1">
        <w:rPr>
          <w:rFonts w:eastAsia="Calibri"/>
          <w:sz w:val="28"/>
          <w:szCs w:val="28"/>
          <w:vertAlign w:val="subscript"/>
          <w:lang w:eastAsia="en-US"/>
        </w:rPr>
        <w:t>ар</w:t>
      </w:r>
      <w:r w:rsidRPr="001A52B1">
        <w:rPr>
          <w:rFonts w:eastAsia="Calibri"/>
          <w:sz w:val="28"/>
          <w:szCs w:val="28"/>
          <w:lang w:eastAsia="en-US"/>
        </w:rPr>
        <w:t>,</w:t>
      </w:r>
    </w:p>
    <w:p w:rsidR="00CE1891" w:rsidRPr="001A52B1" w:rsidRDefault="00CE1891" w:rsidP="00CE1891">
      <w:pPr>
        <w:widowControl w:val="0"/>
        <w:ind w:firstLine="709"/>
        <w:jc w:val="center"/>
        <w:rPr>
          <w:rFonts w:eastAsia="Calibri"/>
          <w:sz w:val="28"/>
          <w:szCs w:val="28"/>
          <w:lang w:eastAsia="en-US"/>
        </w:rPr>
      </w:pPr>
      <w:r w:rsidRPr="001A52B1">
        <w:rPr>
          <w:rFonts w:eastAsia="Calibri"/>
          <w:sz w:val="28"/>
          <w:szCs w:val="28"/>
          <w:lang w:eastAsia="en-US"/>
        </w:rPr>
        <w:t>1,0  = 15,1 /15,1</w:t>
      </w:r>
    </w:p>
    <w:p w:rsidR="00CE1891" w:rsidRPr="001A52B1" w:rsidRDefault="00CE1891" w:rsidP="00CE1891">
      <w:pPr>
        <w:widowControl w:val="0"/>
        <w:ind w:firstLine="709"/>
        <w:jc w:val="center"/>
        <w:rPr>
          <w:rFonts w:eastAsia="Calibri"/>
          <w:sz w:val="28"/>
          <w:szCs w:val="28"/>
          <w:lang w:eastAsia="en-US"/>
        </w:rPr>
      </w:pPr>
    </w:p>
    <w:p w:rsidR="00CE1891" w:rsidRPr="001A52B1" w:rsidRDefault="00CE1891" w:rsidP="00CE1891">
      <w:pPr>
        <w:widowControl w:val="0"/>
        <w:ind w:firstLine="709"/>
        <w:jc w:val="both"/>
        <w:rPr>
          <w:rFonts w:eastAsia="Calibri"/>
          <w:sz w:val="28"/>
          <w:szCs w:val="28"/>
          <w:lang w:eastAsia="en-US"/>
        </w:rPr>
      </w:pPr>
      <w:r w:rsidRPr="001A52B1">
        <w:rPr>
          <w:rFonts w:eastAsia="Calibri"/>
          <w:sz w:val="28"/>
          <w:szCs w:val="28"/>
          <w:lang w:eastAsia="en-US"/>
        </w:rPr>
        <w:t>где:</w:t>
      </w:r>
    </w:p>
    <w:p w:rsidR="00CE1891" w:rsidRPr="001A52B1" w:rsidRDefault="00CE1891" w:rsidP="00CE1891">
      <w:pPr>
        <w:widowControl w:val="0"/>
        <w:ind w:firstLine="709"/>
        <w:jc w:val="both"/>
        <w:rPr>
          <w:rFonts w:eastAsia="Calibri"/>
          <w:sz w:val="28"/>
          <w:szCs w:val="28"/>
          <w:lang w:eastAsia="en-US"/>
        </w:rPr>
      </w:pPr>
      <w:r w:rsidRPr="001A52B1">
        <w:rPr>
          <w:rFonts w:eastAsia="Calibri"/>
          <w:sz w:val="28"/>
          <w:szCs w:val="28"/>
          <w:lang w:eastAsia="en-US"/>
        </w:rPr>
        <w:t>Q</w:t>
      </w:r>
      <w:r w:rsidRPr="001A52B1">
        <w:rPr>
          <w:rFonts w:eastAsia="Calibri"/>
          <w:sz w:val="28"/>
          <w:szCs w:val="28"/>
          <w:vertAlign w:val="superscript"/>
          <w:lang w:eastAsia="en-US"/>
        </w:rPr>
        <w:t>2021</w:t>
      </w:r>
      <w:r w:rsidRPr="001A52B1">
        <w:rPr>
          <w:rFonts w:eastAsia="Calibri"/>
          <w:sz w:val="28"/>
          <w:szCs w:val="28"/>
          <w:vertAlign w:val="subscript"/>
          <w:lang w:val="en-US" w:eastAsia="en-US"/>
        </w:rPr>
        <w:t>V</w:t>
      </w:r>
      <w:r w:rsidRPr="001A52B1">
        <w:rPr>
          <w:rFonts w:eastAsia="Calibri"/>
          <w:sz w:val="28"/>
          <w:szCs w:val="28"/>
          <w:vertAlign w:val="subscript"/>
          <w:lang w:eastAsia="en-US"/>
        </w:rPr>
        <w:t>ар</w:t>
      </w:r>
      <w:r w:rsidRPr="001A52B1">
        <w:rPr>
          <w:rFonts w:eastAsia="Calibri"/>
          <w:sz w:val="28"/>
          <w:szCs w:val="28"/>
          <w:lang w:eastAsia="en-US"/>
        </w:rPr>
        <w:t xml:space="preserve"> </w:t>
      </w:r>
      <w:r w:rsidRPr="001A52B1">
        <w:rPr>
          <w:rFonts w:eastAsia="Constantia"/>
          <w:i/>
          <w:iCs/>
          <w:sz w:val="28"/>
          <w:szCs w:val="28"/>
          <w:lang w:bidi="ru-RU"/>
        </w:rPr>
        <w:t>-</w:t>
      </w:r>
      <w:r w:rsidRPr="001A52B1">
        <w:rPr>
          <w:rFonts w:eastAsia="Calibri"/>
          <w:sz w:val="28"/>
          <w:szCs w:val="28"/>
          <w:lang w:eastAsia="en-US"/>
        </w:rPr>
        <w:t xml:space="preserve"> объем лесных ресурсов (за исключением древесины), подлежащий заготовке по договорам аренды лесных участков, находящихся в федеральной собственности, за 2021 год, 15,1 т;</w:t>
      </w:r>
    </w:p>
    <w:p w:rsidR="00CE1891" w:rsidRPr="001A52B1" w:rsidRDefault="00CE1891" w:rsidP="00CE1891">
      <w:pPr>
        <w:widowControl w:val="0"/>
        <w:ind w:firstLine="709"/>
        <w:jc w:val="both"/>
        <w:rPr>
          <w:rFonts w:eastAsia="Calibri"/>
          <w:sz w:val="28"/>
          <w:szCs w:val="28"/>
          <w:lang w:eastAsia="en-US"/>
        </w:rPr>
      </w:pPr>
      <w:r w:rsidRPr="001A52B1">
        <w:rPr>
          <w:rFonts w:eastAsia="Calibri"/>
          <w:sz w:val="28"/>
          <w:szCs w:val="28"/>
          <w:lang w:eastAsia="en-US"/>
        </w:rPr>
        <w:t>Q</w:t>
      </w:r>
      <w:r w:rsidRPr="001A52B1">
        <w:rPr>
          <w:rFonts w:eastAsia="Calibri"/>
          <w:sz w:val="28"/>
          <w:szCs w:val="28"/>
          <w:vertAlign w:val="superscript"/>
          <w:lang w:eastAsia="en-US"/>
        </w:rPr>
        <w:t>2020</w:t>
      </w:r>
      <w:r w:rsidRPr="001A52B1">
        <w:rPr>
          <w:rFonts w:eastAsia="Calibri"/>
          <w:sz w:val="28"/>
          <w:szCs w:val="28"/>
          <w:vertAlign w:val="subscript"/>
          <w:lang w:eastAsia="en-US"/>
        </w:rPr>
        <w:t>ар</w:t>
      </w:r>
      <w:r w:rsidRPr="001A52B1">
        <w:rPr>
          <w:rFonts w:eastAsia="Calibri"/>
          <w:sz w:val="28"/>
          <w:szCs w:val="28"/>
          <w:lang w:eastAsia="en-US"/>
        </w:rPr>
        <w:t xml:space="preserve"> </w:t>
      </w:r>
      <w:r w:rsidRPr="001A52B1">
        <w:rPr>
          <w:rFonts w:eastAsia="Constantia"/>
          <w:i/>
          <w:iCs/>
          <w:sz w:val="28"/>
          <w:szCs w:val="28"/>
          <w:lang w:bidi="ru-RU"/>
        </w:rPr>
        <w:t>-</w:t>
      </w:r>
      <w:r w:rsidRPr="001A52B1">
        <w:rPr>
          <w:rFonts w:eastAsia="Calibri"/>
          <w:sz w:val="28"/>
          <w:szCs w:val="28"/>
          <w:lang w:eastAsia="en-US"/>
        </w:rPr>
        <w:t xml:space="preserve"> объем лесных ресурсов (за исключением древесины), подлежащий заготовке по договорам аренды лесных участков, находящихся в федеральной собственности, за предыдущий год, за 2020 год, 15,1 т.</w:t>
      </w:r>
    </w:p>
    <w:p w:rsidR="00CE1891" w:rsidRPr="001A52B1" w:rsidRDefault="00CE1891" w:rsidP="00CE1891">
      <w:pPr>
        <w:widowControl w:val="0"/>
        <w:ind w:firstLine="709"/>
        <w:jc w:val="both"/>
        <w:rPr>
          <w:rFonts w:eastAsia="Calibri"/>
          <w:sz w:val="28"/>
          <w:szCs w:val="28"/>
          <w:lang w:eastAsia="en-US"/>
        </w:rPr>
      </w:pPr>
    </w:p>
    <w:p w:rsidR="00CE1891" w:rsidRPr="001A52B1" w:rsidRDefault="00CE1891" w:rsidP="00CE1891">
      <w:pPr>
        <w:widowControl w:val="0"/>
        <w:ind w:firstLine="709"/>
        <w:jc w:val="both"/>
        <w:rPr>
          <w:rFonts w:eastAsia="Calibri"/>
          <w:sz w:val="28"/>
          <w:szCs w:val="28"/>
          <w:lang w:eastAsia="en-US"/>
        </w:rPr>
      </w:pPr>
      <w:r w:rsidRPr="001A52B1">
        <w:rPr>
          <w:rFonts w:eastAsia="Calibri"/>
          <w:sz w:val="28"/>
          <w:szCs w:val="28"/>
          <w:lang w:eastAsia="en-US"/>
        </w:rPr>
        <w:t>в) Т</w:t>
      </w:r>
      <w:r w:rsidRPr="001A52B1">
        <w:rPr>
          <w:rFonts w:eastAsia="Calibri"/>
          <w:sz w:val="28"/>
          <w:szCs w:val="28"/>
          <w:vertAlign w:val="subscript"/>
          <w:lang w:val="en-US" w:eastAsia="en-US"/>
        </w:rPr>
        <w:t>V</w:t>
      </w:r>
      <w:r w:rsidRPr="001A52B1">
        <w:rPr>
          <w:rFonts w:eastAsia="Calibri"/>
          <w:sz w:val="28"/>
          <w:szCs w:val="28"/>
          <w:vertAlign w:val="subscript"/>
          <w:lang w:eastAsia="en-US"/>
        </w:rPr>
        <w:t>ар</w:t>
      </w:r>
      <w:r w:rsidRPr="001A52B1">
        <w:rPr>
          <w:rFonts w:eastAsia="Calibri"/>
          <w:sz w:val="28"/>
          <w:szCs w:val="28"/>
          <w:vertAlign w:val="superscript"/>
          <w:lang w:eastAsia="en-US"/>
        </w:rPr>
        <w:t>2022</w:t>
      </w:r>
      <w:r w:rsidRPr="001A52B1">
        <w:rPr>
          <w:rFonts w:eastAsia="Calibri"/>
          <w:sz w:val="28"/>
          <w:szCs w:val="28"/>
          <w:lang w:eastAsia="en-US"/>
        </w:rPr>
        <w:t xml:space="preserve"> </w:t>
      </w:r>
      <w:r w:rsidRPr="001A52B1">
        <w:rPr>
          <w:rFonts w:eastAsia="Constantia"/>
          <w:i/>
          <w:iCs/>
          <w:sz w:val="28"/>
          <w:szCs w:val="28"/>
          <w:lang w:bidi="ru-RU"/>
        </w:rPr>
        <w:t>-</w:t>
      </w:r>
      <w:r w:rsidRPr="001A52B1">
        <w:rPr>
          <w:rFonts w:eastAsia="Calibri"/>
          <w:sz w:val="28"/>
          <w:szCs w:val="28"/>
          <w:lang w:eastAsia="en-US"/>
        </w:rPr>
        <w:t xml:space="preserve"> темп роста (снижения) объема лесных ресурсов (за исключением древесины), подлежащего заготовке по договорам аренды лесных участков, находящихся в федеральной собственности, за 2022 год (ед.), 1,0:</w:t>
      </w:r>
    </w:p>
    <w:p w:rsidR="00CE1891" w:rsidRPr="001A52B1" w:rsidRDefault="00CE1891" w:rsidP="00CE1891">
      <w:pPr>
        <w:widowControl w:val="0"/>
        <w:ind w:firstLine="709"/>
        <w:jc w:val="both"/>
        <w:rPr>
          <w:rFonts w:eastAsia="Calibri"/>
          <w:sz w:val="28"/>
          <w:szCs w:val="28"/>
          <w:lang w:eastAsia="en-US"/>
        </w:rPr>
      </w:pPr>
    </w:p>
    <w:p w:rsidR="00CE1891" w:rsidRPr="001A52B1" w:rsidRDefault="00CE1891" w:rsidP="00CE1891">
      <w:pPr>
        <w:widowControl w:val="0"/>
        <w:ind w:firstLine="709"/>
        <w:jc w:val="center"/>
        <w:rPr>
          <w:rFonts w:eastAsia="Calibri"/>
          <w:sz w:val="28"/>
          <w:szCs w:val="28"/>
          <w:lang w:eastAsia="en-US"/>
        </w:rPr>
      </w:pPr>
      <w:r w:rsidRPr="001A52B1">
        <w:rPr>
          <w:rFonts w:eastAsia="Calibri"/>
          <w:sz w:val="28"/>
          <w:szCs w:val="28"/>
          <w:lang w:eastAsia="en-US"/>
        </w:rPr>
        <w:t>Т</w:t>
      </w:r>
      <w:r w:rsidRPr="001A52B1">
        <w:rPr>
          <w:rFonts w:eastAsia="Calibri"/>
          <w:sz w:val="28"/>
          <w:szCs w:val="28"/>
          <w:vertAlign w:val="subscript"/>
          <w:lang w:val="en-US" w:eastAsia="en-US"/>
        </w:rPr>
        <w:t>V</w:t>
      </w:r>
      <w:r w:rsidRPr="001A52B1">
        <w:rPr>
          <w:rFonts w:eastAsia="Calibri"/>
          <w:sz w:val="28"/>
          <w:szCs w:val="28"/>
          <w:vertAlign w:val="subscript"/>
          <w:lang w:eastAsia="en-US"/>
        </w:rPr>
        <w:t>ар</w:t>
      </w:r>
      <w:r w:rsidRPr="001A52B1">
        <w:rPr>
          <w:rFonts w:eastAsia="Calibri"/>
          <w:sz w:val="28"/>
          <w:szCs w:val="28"/>
          <w:vertAlign w:val="superscript"/>
          <w:lang w:eastAsia="en-US"/>
        </w:rPr>
        <w:t>2022</w:t>
      </w:r>
      <w:r w:rsidRPr="001A52B1">
        <w:rPr>
          <w:rFonts w:eastAsia="Calibri"/>
          <w:sz w:val="28"/>
          <w:szCs w:val="28"/>
          <w:lang w:eastAsia="en-US"/>
        </w:rPr>
        <w:t xml:space="preserve"> = Q</w:t>
      </w:r>
      <w:r w:rsidRPr="001A52B1">
        <w:rPr>
          <w:rFonts w:eastAsia="Calibri"/>
          <w:sz w:val="28"/>
          <w:szCs w:val="28"/>
          <w:vertAlign w:val="superscript"/>
          <w:lang w:eastAsia="en-US"/>
        </w:rPr>
        <w:t>2022</w:t>
      </w:r>
      <w:r w:rsidRPr="001A52B1">
        <w:rPr>
          <w:rFonts w:eastAsia="Calibri"/>
          <w:sz w:val="28"/>
          <w:szCs w:val="28"/>
          <w:vertAlign w:val="subscript"/>
          <w:lang w:val="en-US" w:eastAsia="en-US"/>
        </w:rPr>
        <w:t>V</w:t>
      </w:r>
      <w:r w:rsidRPr="001A52B1">
        <w:rPr>
          <w:rFonts w:eastAsia="Calibri"/>
          <w:sz w:val="28"/>
          <w:szCs w:val="28"/>
          <w:vertAlign w:val="subscript"/>
          <w:lang w:eastAsia="en-US"/>
        </w:rPr>
        <w:t>ар</w:t>
      </w:r>
      <w:r w:rsidRPr="001A52B1">
        <w:rPr>
          <w:rFonts w:eastAsia="Calibri"/>
          <w:sz w:val="28"/>
          <w:szCs w:val="28"/>
          <w:lang w:eastAsia="en-US"/>
        </w:rPr>
        <w:t xml:space="preserve"> / Q</w:t>
      </w:r>
      <w:r w:rsidRPr="001A52B1">
        <w:rPr>
          <w:rFonts w:eastAsia="Calibri"/>
          <w:sz w:val="28"/>
          <w:szCs w:val="28"/>
          <w:vertAlign w:val="superscript"/>
          <w:lang w:eastAsia="en-US"/>
        </w:rPr>
        <w:t>2021</w:t>
      </w:r>
      <w:r w:rsidRPr="001A52B1">
        <w:rPr>
          <w:rFonts w:eastAsia="Calibri"/>
          <w:sz w:val="28"/>
          <w:szCs w:val="28"/>
          <w:vertAlign w:val="subscript"/>
          <w:lang w:val="en-US" w:eastAsia="en-US"/>
        </w:rPr>
        <w:t>V</w:t>
      </w:r>
      <w:r w:rsidRPr="001A52B1">
        <w:rPr>
          <w:rFonts w:eastAsia="Calibri"/>
          <w:sz w:val="28"/>
          <w:szCs w:val="28"/>
          <w:vertAlign w:val="subscript"/>
          <w:lang w:eastAsia="en-US"/>
        </w:rPr>
        <w:t>ар</w:t>
      </w:r>
      <w:r w:rsidRPr="001A52B1">
        <w:rPr>
          <w:rFonts w:eastAsia="Calibri"/>
          <w:sz w:val="28"/>
          <w:szCs w:val="28"/>
          <w:lang w:eastAsia="en-US"/>
        </w:rPr>
        <w:t>,</w:t>
      </w:r>
    </w:p>
    <w:p w:rsidR="00CE1891" w:rsidRPr="001A52B1" w:rsidRDefault="00CE1891" w:rsidP="00CE1891">
      <w:pPr>
        <w:widowControl w:val="0"/>
        <w:ind w:firstLine="709"/>
        <w:jc w:val="center"/>
        <w:rPr>
          <w:rFonts w:eastAsia="Calibri"/>
          <w:sz w:val="28"/>
          <w:szCs w:val="28"/>
          <w:lang w:eastAsia="en-US"/>
        </w:rPr>
      </w:pPr>
      <w:r w:rsidRPr="001A52B1">
        <w:rPr>
          <w:rFonts w:eastAsia="Calibri"/>
          <w:sz w:val="28"/>
          <w:szCs w:val="28"/>
          <w:lang w:eastAsia="en-US"/>
        </w:rPr>
        <w:t>1,0  = 15,1 /15,1</w:t>
      </w:r>
    </w:p>
    <w:p w:rsidR="00CE1891" w:rsidRPr="001A52B1" w:rsidRDefault="00CE1891" w:rsidP="00CE1891">
      <w:pPr>
        <w:widowControl w:val="0"/>
        <w:ind w:firstLine="709"/>
        <w:jc w:val="center"/>
        <w:rPr>
          <w:rFonts w:eastAsia="Calibri"/>
          <w:sz w:val="28"/>
          <w:szCs w:val="28"/>
          <w:lang w:eastAsia="en-US"/>
        </w:rPr>
      </w:pPr>
    </w:p>
    <w:p w:rsidR="00CE1891" w:rsidRPr="001A52B1" w:rsidRDefault="00CE1891" w:rsidP="00CE1891">
      <w:pPr>
        <w:widowControl w:val="0"/>
        <w:ind w:firstLine="709"/>
        <w:jc w:val="both"/>
        <w:rPr>
          <w:rFonts w:eastAsia="Calibri"/>
          <w:sz w:val="28"/>
          <w:szCs w:val="28"/>
          <w:lang w:eastAsia="en-US"/>
        </w:rPr>
      </w:pPr>
      <w:r w:rsidRPr="001A52B1">
        <w:rPr>
          <w:rFonts w:eastAsia="Calibri"/>
          <w:sz w:val="28"/>
          <w:szCs w:val="28"/>
          <w:lang w:eastAsia="en-US"/>
        </w:rPr>
        <w:t>где:</w:t>
      </w:r>
    </w:p>
    <w:p w:rsidR="00CE1891" w:rsidRPr="001A52B1" w:rsidRDefault="00CE1891" w:rsidP="00CE1891">
      <w:pPr>
        <w:widowControl w:val="0"/>
        <w:ind w:firstLine="709"/>
        <w:jc w:val="both"/>
        <w:rPr>
          <w:rFonts w:eastAsia="Calibri"/>
          <w:sz w:val="28"/>
          <w:szCs w:val="28"/>
          <w:lang w:eastAsia="en-US"/>
        </w:rPr>
      </w:pPr>
      <w:r w:rsidRPr="001A52B1">
        <w:rPr>
          <w:rFonts w:eastAsia="Calibri"/>
          <w:sz w:val="28"/>
          <w:szCs w:val="28"/>
          <w:lang w:eastAsia="en-US"/>
        </w:rPr>
        <w:t>Q</w:t>
      </w:r>
      <w:r w:rsidRPr="001A52B1">
        <w:rPr>
          <w:rFonts w:eastAsia="Calibri"/>
          <w:sz w:val="28"/>
          <w:szCs w:val="28"/>
          <w:vertAlign w:val="superscript"/>
          <w:lang w:eastAsia="en-US"/>
        </w:rPr>
        <w:t>2022</w:t>
      </w:r>
      <w:r w:rsidRPr="001A52B1">
        <w:rPr>
          <w:rFonts w:eastAsia="Calibri"/>
          <w:sz w:val="28"/>
          <w:szCs w:val="28"/>
          <w:vertAlign w:val="subscript"/>
          <w:lang w:val="en-US" w:eastAsia="en-US"/>
        </w:rPr>
        <w:t>V</w:t>
      </w:r>
      <w:r w:rsidRPr="001A52B1">
        <w:rPr>
          <w:rFonts w:eastAsia="Calibri"/>
          <w:sz w:val="28"/>
          <w:szCs w:val="28"/>
          <w:vertAlign w:val="subscript"/>
          <w:lang w:eastAsia="en-US"/>
        </w:rPr>
        <w:t>ар</w:t>
      </w:r>
      <w:r w:rsidRPr="001A52B1">
        <w:rPr>
          <w:rFonts w:eastAsia="Calibri"/>
          <w:sz w:val="28"/>
          <w:szCs w:val="28"/>
          <w:lang w:eastAsia="en-US"/>
        </w:rPr>
        <w:t xml:space="preserve"> </w:t>
      </w:r>
      <w:r w:rsidRPr="001A52B1">
        <w:rPr>
          <w:rFonts w:eastAsia="Constantia"/>
          <w:i/>
          <w:iCs/>
          <w:sz w:val="28"/>
          <w:szCs w:val="28"/>
          <w:lang w:bidi="ru-RU"/>
        </w:rPr>
        <w:t>-</w:t>
      </w:r>
      <w:r w:rsidRPr="001A52B1">
        <w:rPr>
          <w:rFonts w:eastAsia="Calibri"/>
          <w:sz w:val="28"/>
          <w:szCs w:val="28"/>
          <w:lang w:eastAsia="en-US"/>
        </w:rPr>
        <w:t xml:space="preserve"> объем лесных ресурсов (за исключением древесины), подлежащий заготовке по договорам аренды лесных участков, находящихся в федеральной собственности, за 2022 год, 15,1 т;</w:t>
      </w:r>
    </w:p>
    <w:p w:rsidR="00CE1891" w:rsidRPr="001A52B1" w:rsidRDefault="00CE1891" w:rsidP="00CE1891">
      <w:pPr>
        <w:widowControl w:val="0"/>
        <w:ind w:firstLine="709"/>
        <w:jc w:val="both"/>
        <w:rPr>
          <w:rFonts w:eastAsia="Calibri"/>
          <w:sz w:val="28"/>
          <w:szCs w:val="28"/>
          <w:lang w:eastAsia="en-US"/>
        </w:rPr>
      </w:pPr>
      <w:r w:rsidRPr="001A52B1">
        <w:rPr>
          <w:rFonts w:eastAsia="Calibri"/>
          <w:sz w:val="28"/>
          <w:szCs w:val="28"/>
          <w:lang w:eastAsia="en-US"/>
        </w:rPr>
        <w:t>Q</w:t>
      </w:r>
      <w:r w:rsidRPr="001A52B1">
        <w:rPr>
          <w:rFonts w:eastAsia="Calibri"/>
          <w:sz w:val="28"/>
          <w:szCs w:val="28"/>
          <w:vertAlign w:val="superscript"/>
          <w:lang w:eastAsia="en-US"/>
        </w:rPr>
        <w:t>2021</w:t>
      </w:r>
      <w:r w:rsidRPr="001A52B1">
        <w:rPr>
          <w:rFonts w:eastAsia="Calibri"/>
          <w:sz w:val="28"/>
          <w:szCs w:val="28"/>
          <w:vertAlign w:val="subscript"/>
          <w:lang w:eastAsia="en-US"/>
        </w:rPr>
        <w:t>ар</w:t>
      </w:r>
      <w:r w:rsidRPr="001A52B1">
        <w:rPr>
          <w:rFonts w:eastAsia="Calibri"/>
          <w:sz w:val="28"/>
          <w:szCs w:val="28"/>
          <w:lang w:eastAsia="en-US"/>
        </w:rPr>
        <w:t xml:space="preserve"> </w:t>
      </w:r>
      <w:r w:rsidRPr="001A52B1">
        <w:rPr>
          <w:rFonts w:eastAsia="Constantia"/>
          <w:i/>
          <w:iCs/>
          <w:sz w:val="28"/>
          <w:szCs w:val="28"/>
          <w:lang w:bidi="ru-RU"/>
        </w:rPr>
        <w:t>-</w:t>
      </w:r>
      <w:r w:rsidRPr="001A52B1">
        <w:rPr>
          <w:rFonts w:eastAsia="Calibri"/>
          <w:sz w:val="28"/>
          <w:szCs w:val="28"/>
          <w:lang w:eastAsia="en-US"/>
        </w:rPr>
        <w:t xml:space="preserve"> объем лесных ресурсов (за исключением древесины), подлежащий заготовке по договорам аренды лесных участков, находящихся в федеральной собственности, за предыдущий год, за 2021 год, 15,1 т.</w:t>
      </w:r>
    </w:p>
    <w:p w:rsidR="00CE1891" w:rsidRPr="001A52B1" w:rsidRDefault="00CE1891" w:rsidP="00CE1891">
      <w:pPr>
        <w:ind w:firstLine="709"/>
        <w:jc w:val="center"/>
        <w:rPr>
          <w:b/>
          <w:sz w:val="28"/>
          <w:szCs w:val="28"/>
        </w:rPr>
      </w:pPr>
    </w:p>
    <w:p w:rsidR="00CE1891" w:rsidRPr="00F36440" w:rsidRDefault="00CE1891" w:rsidP="00CE1891">
      <w:pPr>
        <w:ind w:firstLine="709"/>
        <w:rPr>
          <w:b/>
          <w:sz w:val="28"/>
          <w:szCs w:val="28"/>
        </w:rPr>
      </w:pPr>
      <w:r>
        <w:rPr>
          <w:b/>
          <w:sz w:val="28"/>
          <w:szCs w:val="28"/>
        </w:rPr>
        <w:t xml:space="preserve"> </w:t>
      </w:r>
      <w:r w:rsidRPr="00F36440">
        <w:rPr>
          <w:b/>
          <w:sz w:val="28"/>
          <w:szCs w:val="28"/>
        </w:rPr>
        <w:t xml:space="preserve">Определение </w:t>
      </w:r>
      <w:r>
        <w:rPr>
          <w:b/>
          <w:sz w:val="28"/>
          <w:szCs w:val="28"/>
        </w:rPr>
        <w:t>прогноза</w:t>
      </w:r>
      <w:r w:rsidRPr="00F36440">
        <w:rPr>
          <w:b/>
          <w:sz w:val="28"/>
          <w:szCs w:val="28"/>
        </w:rPr>
        <w:t xml:space="preserve"> на 202</w:t>
      </w:r>
      <w:r>
        <w:rPr>
          <w:b/>
          <w:sz w:val="28"/>
          <w:szCs w:val="28"/>
        </w:rPr>
        <w:t>4</w:t>
      </w:r>
      <w:r w:rsidRPr="00F36440">
        <w:rPr>
          <w:b/>
          <w:sz w:val="28"/>
          <w:szCs w:val="28"/>
        </w:rPr>
        <w:t xml:space="preserve"> год</w:t>
      </w:r>
    </w:p>
    <w:p w:rsidR="00CE1891" w:rsidRPr="00464704" w:rsidRDefault="00CE1891" w:rsidP="00CE1891">
      <w:pPr>
        <w:ind w:firstLine="709"/>
        <w:jc w:val="both"/>
        <w:rPr>
          <w:sz w:val="28"/>
          <w:szCs w:val="28"/>
        </w:rPr>
      </w:pPr>
    </w:p>
    <w:p w:rsidR="00CE1891" w:rsidRPr="00BB4986" w:rsidRDefault="00CE1891" w:rsidP="00CE1891">
      <w:pPr>
        <w:ind w:firstLine="709"/>
        <w:jc w:val="both"/>
        <w:rPr>
          <w:color w:val="000000"/>
          <w:sz w:val="28"/>
          <w:szCs w:val="28"/>
          <w:lang w:bidi="ru-RU"/>
        </w:rPr>
      </w:pPr>
      <w:r w:rsidRPr="00BB4986">
        <w:rPr>
          <w:color w:val="000000"/>
          <w:sz w:val="28"/>
          <w:szCs w:val="28"/>
          <w:lang w:bidi="ru-RU"/>
        </w:rPr>
        <w:t>Прогноз доходов по плате за использование лесов, расположенных на землях лесного фонда, в части, превышающей минимальный размер арендной платы (П</w:t>
      </w:r>
      <w:r w:rsidRPr="00BB4986">
        <w:rPr>
          <w:color w:val="000000"/>
          <w:sz w:val="28"/>
          <w:szCs w:val="28"/>
          <w:vertAlign w:val="subscript"/>
          <w:lang w:bidi="ru-RU"/>
        </w:rPr>
        <w:t>ар</w:t>
      </w:r>
      <w:r w:rsidRPr="00BB4986">
        <w:rPr>
          <w:color w:val="000000"/>
          <w:sz w:val="28"/>
          <w:szCs w:val="28"/>
          <w:vertAlign w:val="superscript"/>
          <w:lang w:bidi="ru-RU"/>
        </w:rPr>
        <w:t>обл</w:t>
      </w:r>
      <w:r w:rsidRPr="00BB4986">
        <w:rPr>
          <w:color w:val="000000"/>
          <w:sz w:val="28"/>
          <w:szCs w:val="28"/>
          <w:lang w:bidi="ru-RU"/>
        </w:rPr>
        <w:t>) определяется по формуле:</w:t>
      </w:r>
    </w:p>
    <w:p w:rsidR="00CE1891" w:rsidRPr="00BB4986" w:rsidRDefault="00CE1891" w:rsidP="00CE1891">
      <w:pPr>
        <w:ind w:firstLine="709"/>
        <w:jc w:val="both"/>
        <w:rPr>
          <w:sz w:val="28"/>
          <w:szCs w:val="28"/>
        </w:rPr>
      </w:pPr>
    </w:p>
    <w:p w:rsidR="00CE1891" w:rsidRPr="00BB4986" w:rsidRDefault="00CE1891" w:rsidP="00CE1891">
      <w:pPr>
        <w:widowControl w:val="0"/>
        <w:ind w:firstLine="709"/>
        <w:jc w:val="center"/>
        <w:rPr>
          <w:iCs/>
          <w:sz w:val="28"/>
          <w:szCs w:val="28"/>
          <w:lang w:bidi="en-US"/>
        </w:rPr>
      </w:pPr>
      <w:r w:rsidRPr="00BB4986">
        <w:rPr>
          <w:iCs/>
          <w:sz w:val="28"/>
          <w:szCs w:val="28"/>
          <w:lang w:bidi="ru-RU"/>
        </w:rPr>
        <w:t>П</w:t>
      </w:r>
      <w:r w:rsidRPr="00BB4986">
        <w:rPr>
          <w:iCs/>
          <w:sz w:val="28"/>
          <w:szCs w:val="28"/>
          <w:vertAlign w:val="subscript"/>
          <w:lang w:bidi="ru-RU"/>
        </w:rPr>
        <w:t>ар</w:t>
      </w:r>
      <w:r w:rsidRPr="00BB4986">
        <w:rPr>
          <w:iCs/>
          <w:sz w:val="28"/>
          <w:szCs w:val="28"/>
          <w:vertAlign w:val="superscript"/>
          <w:lang w:bidi="ru-RU"/>
        </w:rPr>
        <w:t>обл</w:t>
      </w:r>
      <w:r w:rsidRPr="00BB4986">
        <w:rPr>
          <w:iCs/>
          <w:sz w:val="28"/>
          <w:szCs w:val="28"/>
          <w:lang w:bidi="en-US"/>
        </w:rPr>
        <w:t xml:space="preserve"> = (C</w:t>
      </w:r>
      <w:r w:rsidRPr="00BB4986">
        <w:rPr>
          <w:iCs/>
          <w:sz w:val="28"/>
          <w:szCs w:val="28"/>
          <w:vertAlign w:val="subscript"/>
          <w:lang w:bidi="en-US"/>
        </w:rPr>
        <w:t>v</w:t>
      </w:r>
      <w:r w:rsidRPr="00BB4986">
        <w:rPr>
          <w:iCs/>
          <w:sz w:val="28"/>
          <w:szCs w:val="28"/>
          <w:vertAlign w:val="superscript"/>
          <w:lang w:bidi="en-US"/>
        </w:rPr>
        <w:t>ap</w:t>
      </w:r>
      <w:r w:rsidRPr="00BB4986">
        <w:rPr>
          <w:iCs/>
          <w:sz w:val="28"/>
          <w:szCs w:val="28"/>
          <w:lang w:bidi="en-US"/>
        </w:rPr>
        <w:t>*K</w:t>
      </w:r>
      <w:r w:rsidRPr="00BB4986">
        <w:rPr>
          <w:iCs/>
          <w:sz w:val="28"/>
          <w:szCs w:val="28"/>
          <w:vertAlign w:val="subscript"/>
          <w:lang w:bidi="en-US"/>
        </w:rPr>
        <w:t>2</w:t>
      </w:r>
      <w:r w:rsidRPr="00BB4986">
        <w:rPr>
          <w:iCs/>
          <w:sz w:val="28"/>
          <w:szCs w:val="28"/>
          <w:lang w:bidi="en-US"/>
        </w:rPr>
        <w:t>)*V</w:t>
      </w:r>
      <w:r w:rsidRPr="00BB4986">
        <w:rPr>
          <w:iCs/>
          <w:sz w:val="28"/>
          <w:szCs w:val="28"/>
          <w:vertAlign w:val="superscript"/>
          <w:lang w:bidi="en-US"/>
        </w:rPr>
        <w:t>cp</w:t>
      </w:r>
      <w:r w:rsidRPr="00BB4986">
        <w:rPr>
          <w:iCs/>
          <w:sz w:val="28"/>
          <w:szCs w:val="28"/>
          <w:vertAlign w:val="subscript"/>
          <w:lang w:bidi="en-US"/>
        </w:rPr>
        <w:t>ap</w:t>
      </w:r>
      <w:r w:rsidRPr="00BB4986">
        <w:rPr>
          <w:iCs/>
          <w:sz w:val="28"/>
          <w:szCs w:val="28"/>
          <w:lang w:bidi="en-US"/>
        </w:rPr>
        <w:t>*</w:t>
      </w:r>
      <w:r w:rsidRPr="00BB4986">
        <w:rPr>
          <w:rFonts w:ascii="Calibri" w:eastAsia="Calibri" w:hAnsi="Calibri"/>
          <w:sz w:val="22"/>
          <w:szCs w:val="22"/>
          <w:lang w:eastAsia="en-US"/>
        </w:rPr>
        <w:t xml:space="preserve"> </w:t>
      </w:r>
      <w:r w:rsidRPr="00BB4986">
        <w:rPr>
          <w:iCs/>
          <w:sz w:val="28"/>
          <w:szCs w:val="28"/>
          <w:lang w:bidi="en-US"/>
        </w:rPr>
        <w:t>Т</w:t>
      </w:r>
      <w:r w:rsidRPr="00BB4986">
        <w:rPr>
          <w:iCs/>
          <w:sz w:val="28"/>
          <w:szCs w:val="28"/>
          <w:vertAlign w:val="superscript"/>
          <w:lang w:bidi="en-US"/>
        </w:rPr>
        <w:t>ср</w:t>
      </w:r>
      <w:r w:rsidRPr="00BB4986">
        <w:rPr>
          <w:iCs/>
          <w:sz w:val="28"/>
          <w:szCs w:val="28"/>
          <w:vertAlign w:val="subscript"/>
          <w:lang w:bidi="en-US"/>
        </w:rPr>
        <w:t>Vар</w:t>
      </w:r>
    </w:p>
    <w:p w:rsidR="00CE1891" w:rsidRPr="00BB4986" w:rsidRDefault="00CE1891" w:rsidP="00CE1891">
      <w:pPr>
        <w:ind w:firstLine="709"/>
        <w:jc w:val="center"/>
        <w:rPr>
          <w:sz w:val="28"/>
          <w:szCs w:val="28"/>
        </w:rPr>
      </w:pPr>
      <w:r w:rsidRPr="00BB4986">
        <w:rPr>
          <w:sz w:val="28"/>
          <w:szCs w:val="28"/>
        </w:rPr>
        <w:t xml:space="preserve">283,8= (7,4*2,54)*15,1*1,0 </w:t>
      </w:r>
    </w:p>
    <w:p w:rsidR="00CE1891" w:rsidRPr="00BB4986" w:rsidRDefault="00CE1891" w:rsidP="00CE1891">
      <w:pPr>
        <w:ind w:firstLine="709"/>
        <w:jc w:val="both"/>
        <w:rPr>
          <w:sz w:val="28"/>
          <w:szCs w:val="28"/>
        </w:rPr>
      </w:pPr>
      <w:r w:rsidRPr="00BB4986">
        <w:rPr>
          <w:sz w:val="28"/>
          <w:szCs w:val="28"/>
        </w:rPr>
        <w:t>где:</w:t>
      </w:r>
    </w:p>
    <w:p w:rsidR="00CE1891" w:rsidRPr="00BB4986" w:rsidRDefault="00CE1891" w:rsidP="00CE1891">
      <w:pPr>
        <w:widowControl w:val="0"/>
        <w:ind w:firstLine="709"/>
        <w:jc w:val="both"/>
        <w:rPr>
          <w:rFonts w:eastAsia="Calibri"/>
          <w:color w:val="000000"/>
          <w:sz w:val="28"/>
          <w:szCs w:val="28"/>
          <w:lang w:eastAsia="en-US" w:bidi="ru-RU"/>
        </w:rPr>
      </w:pPr>
      <w:r w:rsidRPr="00BB4986">
        <w:rPr>
          <w:rFonts w:eastAsia="Constantia"/>
          <w:iCs/>
          <w:color w:val="000000"/>
          <w:sz w:val="28"/>
          <w:szCs w:val="28"/>
          <w:lang w:bidi="en-US"/>
        </w:rPr>
        <w:t>C</w:t>
      </w:r>
      <w:r w:rsidRPr="00BB4986">
        <w:rPr>
          <w:rFonts w:eastAsia="Constantia"/>
          <w:iCs/>
          <w:color w:val="000000"/>
          <w:sz w:val="28"/>
          <w:szCs w:val="28"/>
          <w:vertAlign w:val="subscript"/>
          <w:lang w:bidi="en-US"/>
        </w:rPr>
        <w:t>v</w:t>
      </w:r>
      <w:r w:rsidRPr="00BB4986">
        <w:rPr>
          <w:rFonts w:eastAsia="Constantia"/>
          <w:iCs/>
          <w:color w:val="000000"/>
          <w:sz w:val="28"/>
          <w:szCs w:val="28"/>
          <w:vertAlign w:val="superscript"/>
          <w:lang w:bidi="en-US"/>
        </w:rPr>
        <w:t>ap</w:t>
      </w:r>
      <w:r w:rsidRPr="00BB4986">
        <w:rPr>
          <w:rFonts w:eastAsia="Constantia"/>
          <w:iCs/>
          <w:color w:val="000000"/>
          <w:sz w:val="28"/>
          <w:szCs w:val="28"/>
          <w:lang w:bidi="ru-RU"/>
        </w:rPr>
        <w:t xml:space="preserve"> - средняя  плата, превышающая минимальные ставки платы,  за единицу объема лесных ресурсов (за исключением древесины) по договорам аренды лесных участков, находящихся в федеральной собственности, сложившаяся по </w:t>
      </w:r>
      <w:r w:rsidRPr="00BB4986">
        <w:rPr>
          <w:rFonts w:eastAsia="Constantia"/>
          <w:iCs/>
          <w:sz w:val="28"/>
          <w:szCs w:val="28"/>
          <w:lang w:bidi="ru-RU"/>
        </w:rPr>
        <w:t>итогам предыдущего финансового года и приведенная к уровню 2007 года (руб.), 7,4 тыс. руб</w:t>
      </w:r>
      <w:r w:rsidRPr="00BB4986">
        <w:rPr>
          <w:rFonts w:eastAsia="Constantia"/>
          <w:iCs/>
          <w:color w:val="000000"/>
          <w:sz w:val="28"/>
          <w:szCs w:val="28"/>
          <w:lang w:bidi="ru-RU"/>
        </w:rPr>
        <w:t>.;</w:t>
      </w:r>
    </w:p>
    <w:p w:rsidR="00CE1891" w:rsidRPr="00BB4986" w:rsidRDefault="00CE1891" w:rsidP="00CE1891">
      <w:pPr>
        <w:ind w:firstLine="709"/>
        <w:jc w:val="both"/>
        <w:rPr>
          <w:sz w:val="28"/>
          <w:szCs w:val="28"/>
        </w:rPr>
      </w:pPr>
      <w:r w:rsidRPr="00BB4986">
        <w:rPr>
          <w:iCs/>
          <w:sz w:val="28"/>
          <w:szCs w:val="28"/>
          <w:lang w:bidi="ru-RU"/>
        </w:rPr>
        <w:t>К</w:t>
      </w:r>
      <w:r w:rsidRPr="00BB4986">
        <w:rPr>
          <w:iCs/>
          <w:sz w:val="28"/>
          <w:szCs w:val="28"/>
          <w:vertAlign w:val="subscript"/>
          <w:lang w:bidi="ru-RU"/>
        </w:rPr>
        <w:t>2</w:t>
      </w:r>
      <w:r w:rsidRPr="00BB4986">
        <w:rPr>
          <w:i/>
          <w:iCs/>
          <w:sz w:val="28"/>
          <w:szCs w:val="28"/>
          <w:lang w:bidi="ru-RU"/>
        </w:rPr>
        <w:t xml:space="preserve"> -</w:t>
      </w:r>
      <w:r w:rsidRPr="00BB4986">
        <w:rPr>
          <w:sz w:val="28"/>
          <w:szCs w:val="28"/>
          <w:lang w:bidi="ru-RU"/>
        </w:rPr>
        <w:t xml:space="preserve"> коэффициент к ставкам платы за единицу объема лесных ресурсов (за исключением древесины), находящегося в федеральной собственности, установленный Правительством Российской Федерации, 2,54;</w:t>
      </w:r>
    </w:p>
    <w:p w:rsidR="00CE1891" w:rsidRPr="00BB4986" w:rsidRDefault="00CE1891" w:rsidP="00CE1891">
      <w:pPr>
        <w:ind w:firstLine="709"/>
        <w:jc w:val="both"/>
        <w:rPr>
          <w:rFonts w:eastAsia="Calibri"/>
          <w:color w:val="000000"/>
          <w:sz w:val="28"/>
          <w:szCs w:val="28"/>
          <w:lang w:eastAsia="en-US" w:bidi="ru-RU"/>
        </w:rPr>
      </w:pPr>
      <w:r w:rsidRPr="00BB4986">
        <w:rPr>
          <w:rFonts w:eastAsia="Calibri"/>
          <w:iCs/>
          <w:color w:val="000000"/>
          <w:sz w:val="28"/>
          <w:szCs w:val="28"/>
          <w:lang w:eastAsia="en-US" w:bidi="en-US"/>
        </w:rPr>
        <w:t>V</w:t>
      </w:r>
      <w:r w:rsidRPr="00BB4986">
        <w:rPr>
          <w:rFonts w:eastAsia="Calibri"/>
          <w:iCs/>
          <w:color w:val="000000"/>
          <w:sz w:val="28"/>
          <w:szCs w:val="28"/>
          <w:vertAlign w:val="superscript"/>
          <w:lang w:eastAsia="en-US" w:bidi="en-US"/>
        </w:rPr>
        <w:t>cp</w:t>
      </w:r>
      <w:r w:rsidRPr="00BB4986">
        <w:rPr>
          <w:rFonts w:eastAsia="Calibri"/>
          <w:iCs/>
          <w:color w:val="000000"/>
          <w:sz w:val="28"/>
          <w:szCs w:val="28"/>
          <w:vertAlign w:val="subscript"/>
          <w:lang w:eastAsia="en-US" w:bidi="en-US"/>
        </w:rPr>
        <w:t>ap</w:t>
      </w:r>
      <w:r w:rsidRPr="00BB4986">
        <w:rPr>
          <w:rFonts w:eastAsia="Calibri"/>
          <w:color w:val="000000"/>
          <w:sz w:val="28"/>
          <w:szCs w:val="28"/>
          <w:lang w:eastAsia="en-US" w:bidi="ru-RU"/>
        </w:rPr>
        <w:t xml:space="preserve"> - средний объем лесных ресурсов (за исключением древесины), подлежащий заготовке по договорам аренды лесных участков, находящихся в федеральной собственности,</w:t>
      </w:r>
      <w:r w:rsidRPr="00BB4986">
        <w:rPr>
          <w:rFonts w:eastAsia="Calibri"/>
          <w:iCs/>
          <w:color w:val="000000"/>
          <w:sz w:val="28"/>
          <w:szCs w:val="28"/>
          <w:lang w:eastAsia="en-US" w:bidi="ru-RU"/>
        </w:rPr>
        <w:t xml:space="preserve"> (т), 15,1 т:</w:t>
      </w:r>
    </w:p>
    <w:p w:rsidR="00CE1891" w:rsidRPr="00BB4986" w:rsidRDefault="00CE1891" w:rsidP="00CE1891">
      <w:pPr>
        <w:ind w:firstLine="709"/>
        <w:jc w:val="both"/>
        <w:rPr>
          <w:rFonts w:eastAsia="Calibri"/>
          <w:color w:val="000000"/>
          <w:sz w:val="28"/>
          <w:szCs w:val="28"/>
          <w:lang w:eastAsia="en-US" w:bidi="ru-RU"/>
        </w:rPr>
      </w:pPr>
    </w:p>
    <w:p w:rsidR="00CE1891" w:rsidRPr="00BB4986" w:rsidRDefault="00CE1891" w:rsidP="00CE1891">
      <w:pPr>
        <w:ind w:firstLine="709"/>
        <w:jc w:val="center"/>
        <w:rPr>
          <w:rFonts w:eastAsia="Calibri"/>
          <w:iCs/>
          <w:color w:val="000000"/>
          <w:sz w:val="28"/>
          <w:szCs w:val="28"/>
          <w:lang w:eastAsia="en-US" w:bidi="ru-RU"/>
        </w:rPr>
      </w:pPr>
      <w:r w:rsidRPr="00BB4986">
        <w:rPr>
          <w:rFonts w:eastAsia="Calibri"/>
          <w:iCs/>
          <w:color w:val="000000"/>
          <w:sz w:val="28"/>
          <w:szCs w:val="28"/>
          <w:lang w:eastAsia="en-US" w:bidi="en-US"/>
        </w:rPr>
        <w:t>V</w:t>
      </w:r>
      <w:r w:rsidRPr="00BB4986">
        <w:rPr>
          <w:rFonts w:eastAsia="Calibri"/>
          <w:iCs/>
          <w:color w:val="000000"/>
          <w:sz w:val="28"/>
          <w:szCs w:val="28"/>
          <w:vertAlign w:val="superscript"/>
          <w:lang w:eastAsia="en-US" w:bidi="en-US"/>
        </w:rPr>
        <w:t>cp</w:t>
      </w:r>
      <w:r w:rsidRPr="00BB4986">
        <w:rPr>
          <w:rFonts w:eastAsia="Calibri"/>
          <w:iCs/>
          <w:color w:val="000000"/>
          <w:sz w:val="28"/>
          <w:szCs w:val="28"/>
          <w:lang w:eastAsia="en-US" w:bidi="ru-RU"/>
        </w:rPr>
        <w:t xml:space="preserve"> </w:t>
      </w:r>
      <w:r w:rsidRPr="00BB4986">
        <w:rPr>
          <w:rFonts w:eastAsia="Calibri"/>
          <w:iCs/>
          <w:color w:val="000000"/>
          <w:sz w:val="28"/>
          <w:szCs w:val="28"/>
          <w:vertAlign w:val="subscript"/>
          <w:lang w:eastAsia="en-US" w:bidi="ru-RU"/>
        </w:rPr>
        <w:t>ар</w:t>
      </w:r>
      <w:r w:rsidRPr="00BB4986">
        <w:rPr>
          <w:rFonts w:eastAsia="Calibri"/>
          <w:color w:val="000000"/>
          <w:sz w:val="28"/>
          <w:szCs w:val="28"/>
          <w:vertAlign w:val="superscript"/>
          <w:lang w:eastAsia="en-US" w:bidi="ru-RU"/>
        </w:rPr>
        <w:t>=</w:t>
      </w:r>
      <w:r w:rsidRPr="00BB4986">
        <w:rPr>
          <w:rFonts w:eastAsia="Calibri"/>
          <w:color w:val="000000"/>
          <w:sz w:val="28"/>
          <w:szCs w:val="28"/>
          <w:lang w:eastAsia="en-US" w:bidi="ru-RU"/>
        </w:rPr>
        <w:t xml:space="preserve"> ∑</w:t>
      </w:r>
      <w:r w:rsidRPr="00BB4986">
        <w:rPr>
          <w:rFonts w:eastAsia="Calibri"/>
          <w:color w:val="000000"/>
          <w:sz w:val="28"/>
          <w:szCs w:val="28"/>
          <w:vertAlign w:val="superscript"/>
          <w:lang w:eastAsia="en-US" w:bidi="ru-RU"/>
        </w:rPr>
        <w:t>3</w:t>
      </w:r>
      <w:r w:rsidRPr="00BB4986">
        <w:rPr>
          <w:rFonts w:eastAsia="Calibri"/>
          <w:color w:val="000000"/>
          <w:sz w:val="28"/>
          <w:szCs w:val="28"/>
          <w:vertAlign w:val="subscript"/>
          <w:lang w:val="en-US" w:eastAsia="en-US" w:bidi="ru-RU"/>
        </w:rPr>
        <w:t>t</w:t>
      </w:r>
      <w:r w:rsidRPr="00BB4986">
        <w:rPr>
          <w:rFonts w:eastAsia="Calibri"/>
          <w:color w:val="000000"/>
          <w:sz w:val="28"/>
          <w:szCs w:val="28"/>
          <w:vertAlign w:val="subscript"/>
          <w:lang w:eastAsia="en-US" w:bidi="ru-RU"/>
        </w:rPr>
        <w:t>=1</w:t>
      </w:r>
      <w:r w:rsidRPr="00BB4986">
        <w:rPr>
          <w:rFonts w:eastAsia="Calibri"/>
          <w:iCs/>
          <w:color w:val="000000"/>
          <w:sz w:val="28"/>
          <w:szCs w:val="28"/>
          <w:lang w:eastAsia="en-US" w:bidi="en-US"/>
        </w:rPr>
        <w:t>V</w:t>
      </w:r>
      <w:r w:rsidRPr="00BB4986">
        <w:rPr>
          <w:rFonts w:eastAsia="Calibri"/>
          <w:iCs/>
          <w:color w:val="000000"/>
          <w:sz w:val="28"/>
          <w:szCs w:val="28"/>
          <w:vertAlign w:val="subscript"/>
          <w:lang w:eastAsia="en-US" w:bidi="ru-RU"/>
        </w:rPr>
        <w:t>ар</w:t>
      </w:r>
      <w:r w:rsidRPr="00BB4986">
        <w:rPr>
          <w:rFonts w:eastAsia="Calibri"/>
          <w:iCs/>
          <w:color w:val="000000"/>
          <w:sz w:val="28"/>
          <w:szCs w:val="28"/>
          <w:lang w:eastAsia="en-US" w:bidi="ru-RU"/>
        </w:rPr>
        <w:t xml:space="preserve"> /3,</w:t>
      </w:r>
    </w:p>
    <w:p w:rsidR="00CE1891" w:rsidRPr="00BB4986" w:rsidRDefault="00CE1891" w:rsidP="00CE1891">
      <w:pPr>
        <w:ind w:firstLine="709"/>
        <w:jc w:val="center"/>
        <w:rPr>
          <w:rFonts w:eastAsia="Calibri"/>
          <w:sz w:val="28"/>
          <w:szCs w:val="28"/>
          <w:lang w:eastAsia="en-US" w:bidi="ru-RU"/>
        </w:rPr>
      </w:pPr>
      <w:r w:rsidRPr="00BB4986">
        <w:rPr>
          <w:rFonts w:eastAsia="Calibri"/>
          <w:sz w:val="28"/>
          <w:szCs w:val="28"/>
          <w:lang w:eastAsia="en-US" w:bidi="ru-RU"/>
        </w:rPr>
        <w:t>15,1 = (15,1+15,1+15,1)/3</w:t>
      </w:r>
    </w:p>
    <w:p w:rsidR="00CE1891" w:rsidRPr="00BB4986" w:rsidRDefault="00CE1891" w:rsidP="00CE1891">
      <w:pPr>
        <w:ind w:firstLine="709"/>
        <w:jc w:val="both"/>
        <w:rPr>
          <w:rFonts w:eastAsia="Calibri"/>
          <w:sz w:val="28"/>
          <w:szCs w:val="28"/>
          <w:lang w:eastAsia="en-US" w:bidi="ru-RU"/>
        </w:rPr>
      </w:pPr>
      <w:r w:rsidRPr="00BB4986">
        <w:rPr>
          <w:rFonts w:eastAsia="Calibri"/>
          <w:sz w:val="28"/>
          <w:szCs w:val="28"/>
          <w:lang w:eastAsia="en-US" w:bidi="ru-RU"/>
        </w:rPr>
        <w:t>где:</w:t>
      </w:r>
    </w:p>
    <w:p w:rsidR="00CE1891" w:rsidRPr="00BB4986" w:rsidRDefault="00CE1891" w:rsidP="00CE1891">
      <w:pPr>
        <w:ind w:firstLine="709"/>
        <w:jc w:val="both"/>
        <w:rPr>
          <w:rFonts w:eastAsia="Calibri"/>
          <w:sz w:val="28"/>
          <w:szCs w:val="28"/>
          <w:lang w:eastAsia="en-US" w:bidi="ru-RU"/>
        </w:rPr>
      </w:pPr>
      <w:r w:rsidRPr="00BB4986">
        <w:rPr>
          <w:rFonts w:eastAsia="Calibri"/>
          <w:sz w:val="28"/>
          <w:szCs w:val="28"/>
          <w:lang w:eastAsia="en-US" w:bidi="ru-RU"/>
        </w:rPr>
        <w:t>∑</w:t>
      </w:r>
      <w:r w:rsidRPr="00BB4986">
        <w:rPr>
          <w:rFonts w:eastAsia="Calibri"/>
          <w:sz w:val="28"/>
          <w:szCs w:val="28"/>
          <w:vertAlign w:val="superscript"/>
          <w:lang w:eastAsia="en-US" w:bidi="ru-RU"/>
        </w:rPr>
        <w:t>3</w:t>
      </w:r>
      <w:r w:rsidRPr="00BB4986">
        <w:rPr>
          <w:rFonts w:eastAsia="Calibri"/>
          <w:sz w:val="28"/>
          <w:szCs w:val="28"/>
          <w:vertAlign w:val="subscript"/>
          <w:lang w:val="en-US" w:eastAsia="en-US" w:bidi="ru-RU"/>
        </w:rPr>
        <w:t>t</w:t>
      </w:r>
      <w:r w:rsidRPr="00BB4986">
        <w:rPr>
          <w:rFonts w:eastAsia="Calibri"/>
          <w:sz w:val="28"/>
          <w:szCs w:val="28"/>
          <w:vertAlign w:val="subscript"/>
          <w:lang w:eastAsia="en-US" w:bidi="ru-RU"/>
        </w:rPr>
        <w:t>=1</w:t>
      </w:r>
      <w:r w:rsidRPr="00BB4986">
        <w:rPr>
          <w:rFonts w:eastAsia="Calibri"/>
          <w:iCs/>
          <w:sz w:val="28"/>
          <w:szCs w:val="28"/>
          <w:lang w:eastAsia="en-US" w:bidi="en-US"/>
        </w:rPr>
        <w:t>V</w:t>
      </w:r>
      <w:r w:rsidRPr="00BB4986">
        <w:rPr>
          <w:rFonts w:eastAsia="Calibri"/>
          <w:iCs/>
          <w:sz w:val="28"/>
          <w:szCs w:val="28"/>
          <w:vertAlign w:val="subscript"/>
          <w:lang w:eastAsia="en-US" w:bidi="ru-RU"/>
        </w:rPr>
        <w:t>ар</w:t>
      </w:r>
      <w:r w:rsidRPr="00BB4986">
        <w:rPr>
          <w:rFonts w:eastAsia="Calibri"/>
          <w:i/>
          <w:iCs/>
          <w:sz w:val="28"/>
          <w:szCs w:val="28"/>
          <w:lang w:eastAsia="en-US" w:bidi="ru-RU"/>
        </w:rPr>
        <w:t xml:space="preserve"> </w:t>
      </w:r>
      <w:r w:rsidRPr="00BB4986">
        <w:rPr>
          <w:rFonts w:eastAsia="Calibri"/>
          <w:sz w:val="28"/>
          <w:szCs w:val="28"/>
          <w:lang w:eastAsia="en-US" w:bidi="ru-RU"/>
        </w:rPr>
        <w:t>-</w:t>
      </w:r>
      <w:r w:rsidRPr="00BB4986">
        <w:rPr>
          <w:rFonts w:eastAsia="Calibri"/>
          <w:i/>
          <w:iCs/>
          <w:sz w:val="28"/>
          <w:szCs w:val="28"/>
          <w:lang w:eastAsia="en-US" w:bidi="ru-RU"/>
        </w:rPr>
        <w:t xml:space="preserve"> </w:t>
      </w:r>
      <w:r w:rsidRPr="00BB4986">
        <w:rPr>
          <w:rFonts w:eastAsia="Calibri"/>
          <w:sz w:val="28"/>
          <w:szCs w:val="28"/>
          <w:lang w:eastAsia="en-US" w:bidi="ru-RU"/>
        </w:rPr>
        <w:t>сумма годовых величин объемов лесных ресурсов, подлежащих заготовке по договорам аренды лесных участков, за три года, предшествующих прогнозируемому году (т), 45,3 т.</w:t>
      </w:r>
    </w:p>
    <w:p w:rsidR="00CE1891" w:rsidRPr="00BB4986" w:rsidRDefault="00CE1891" w:rsidP="00CE1891">
      <w:pPr>
        <w:ind w:firstLine="709"/>
        <w:jc w:val="both"/>
        <w:rPr>
          <w:rFonts w:eastAsia="Calibri"/>
          <w:color w:val="000000"/>
          <w:sz w:val="28"/>
          <w:szCs w:val="28"/>
          <w:lang w:eastAsia="en-US" w:bidi="ru-RU"/>
        </w:rPr>
      </w:pPr>
    </w:p>
    <w:p w:rsidR="00CE1891" w:rsidRPr="00BB4986" w:rsidRDefault="00CE1891" w:rsidP="00CE1891">
      <w:pPr>
        <w:widowControl w:val="0"/>
        <w:ind w:firstLine="709"/>
        <w:jc w:val="both"/>
        <w:rPr>
          <w:rFonts w:eastAsia="Calibri"/>
          <w:sz w:val="28"/>
          <w:szCs w:val="28"/>
          <w:lang w:eastAsia="en-US"/>
        </w:rPr>
      </w:pPr>
      <w:r w:rsidRPr="00BB4986">
        <w:rPr>
          <w:rFonts w:eastAsia="Calibri"/>
          <w:sz w:val="28"/>
          <w:szCs w:val="28"/>
          <w:lang w:eastAsia="en-US"/>
        </w:rPr>
        <w:t>Т</w:t>
      </w:r>
      <w:r w:rsidRPr="00BB4986">
        <w:rPr>
          <w:rFonts w:eastAsia="Calibri"/>
          <w:sz w:val="28"/>
          <w:szCs w:val="28"/>
          <w:vertAlign w:val="superscript"/>
          <w:lang w:eastAsia="en-US"/>
        </w:rPr>
        <w:t>ср</w:t>
      </w:r>
      <w:r w:rsidRPr="00BB4986">
        <w:rPr>
          <w:rFonts w:eastAsia="Calibri"/>
          <w:sz w:val="28"/>
          <w:szCs w:val="28"/>
          <w:vertAlign w:val="subscript"/>
          <w:lang w:val="en-US" w:eastAsia="en-US"/>
        </w:rPr>
        <w:t>V</w:t>
      </w:r>
      <w:r w:rsidRPr="00BB4986">
        <w:rPr>
          <w:rFonts w:eastAsia="Calibri"/>
          <w:sz w:val="28"/>
          <w:szCs w:val="28"/>
          <w:vertAlign w:val="subscript"/>
          <w:lang w:eastAsia="en-US"/>
        </w:rPr>
        <w:t>ар</w:t>
      </w:r>
      <w:r w:rsidRPr="00BB4986">
        <w:rPr>
          <w:rFonts w:eastAsia="Calibri"/>
          <w:sz w:val="28"/>
          <w:szCs w:val="28"/>
          <w:lang w:eastAsia="en-US"/>
        </w:rPr>
        <w:t xml:space="preserve"> </w:t>
      </w:r>
      <w:r w:rsidRPr="00BB4986">
        <w:rPr>
          <w:rFonts w:eastAsia="Constantia"/>
          <w:i/>
          <w:iCs/>
          <w:sz w:val="28"/>
          <w:szCs w:val="28"/>
          <w:lang w:bidi="ru-RU"/>
        </w:rPr>
        <w:t>-</w:t>
      </w:r>
      <w:r w:rsidRPr="00BB4986">
        <w:rPr>
          <w:rFonts w:eastAsia="Calibri"/>
          <w:sz w:val="28"/>
          <w:szCs w:val="28"/>
          <w:lang w:eastAsia="en-US"/>
        </w:rPr>
        <w:t xml:space="preserve"> средний темп роста (снижения) объема лесных ресурсов (за исключением древесины), подлежащего заготовке по договорам аренды лесных участков, находящихся в федеральной собственности, за три отчетных года, предшествующих прогнозируемому году (ед.), 1,0:</w:t>
      </w:r>
    </w:p>
    <w:p w:rsidR="00CE1891" w:rsidRPr="00BB4986" w:rsidRDefault="00CE1891" w:rsidP="00CE1891">
      <w:pPr>
        <w:widowControl w:val="0"/>
        <w:ind w:firstLine="709"/>
        <w:jc w:val="both"/>
        <w:rPr>
          <w:rFonts w:eastAsia="Calibri"/>
          <w:sz w:val="28"/>
          <w:szCs w:val="28"/>
          <w:lang w:eastAsia="en-US"/>
        </w:rPr>
      </w:pPr>
    </w:p>
    <w:p w:rsidR="00CE1891" w:rsidRPr="00BB4986" w:rsidRDefault="00CE1891" w:rsidP="00CE1891">
      <w:pPr>
        <w:ind w:firstLine="709"/>
        <w:jc w:val="center"/>
        <w:rPr>
          <w:rFonts w:eastAsia="Constantia"/>
          <w:iCs/>
          <w:sz w:val="28"/>
          <w:szCs w:val="28"/>
        </w:rPr>
      </w:pPr>
      <w:r w:rsidRPr="00BB4986">
        <w:rPr>
          <w:rFonts w:eastAsia="Calibri"/>
          <w:sz w:val="28"/>
          <w:szCs w:val="28"/>
          <w:lang w:eastAsia="en-US"/>
        </w:rPr>
        <w:lastRenderedPageBreak/>
        <w:t>Т</w:t>
      </w:r>
      <w:r w:rsidRPr="00BB4986">
        <w:rPr>
          <w:rFonts w:eastAsia="Calibri"/>
          <w:sz w:val="28"/>
          <w:szCs w:val="28"/>
          <w:vertAlign w:val="superscript"/>
          <w:lang w:eastAsia="en-US"/>
        </w:rPr>
        <w:t>ср</w:t>
      </w:r>
      <w:r w:rsidRPr="00BB4986">
        <w:rPr>
          <w:rFonts w:eastAsia="Calibri"/>
          <w:sz w:val="28"/>
          <w:szCs w:val="28"/>
          <w:vertAlign w:val="subscript"/>
          <w:lang w:val="en-US" w:eastAsia="en-US"/>
        </w:rPr>
        <w:t>V</w:t>
      </w:r>
      <w:r w:rsidRPr="00BB4986">
        <w:rPr>
          <w:rFonts w:eastAsia="Calibri"/>
          <w:sz w:val="28"/>
          <w:szCs w:val="28"/>
          <w:vertAlign w:val="subscript"/>
          <w:lang w:eastAsia="en-US"/>
        </w:rPr>
        <w:t>ар</w:t>
      </w:r>
      <w:r w:rsidRPr="00BB4986">
        <w:rPr>
          <w:sz w:val="28"/>
          <w:szCs w:val="28"/>
          <w:vertAlign w:val="superscript"/>
        </w:rPr>
        <w:t xml:space="preserve"> =</w:t>
      </w:r>
      <w:r w:rsidRPr="00BB4986">
        <w:rPr>
          <w:sz w:val="28"/>
          <w:szCs w:val="28"/>
        </w:rPr>
        <w:t xml:space="preserve"> ∑</w:t>
      </w:r>
      <w:r w:rsidRPr="00BB4986">
        <w:rPr>
          <w:sz w:val="28"/>
          <w:szCs w:val="28"/>
          <w:vertAlign w:val="superscript"/>
        </w:rPr>
        <w:t>3</w:t>
      </w:r>
      <w:r w:rsidRPr="00BB4986">
        <w:rPr>
          <w:sz w:val="28"/>
          <w:szCs w:val="28"/>
          <w:vertAlign w:val="subscript"/>
          <w:lang w:val="en-US"/>
        </w:rPr>
        <w:t>t</w:t>
      </w:r>
      <w:r w:rsidRPr="00BB4986">
        <w:rPr>
          <w:sz w:val="28"/>
          <w:szCs w:val="28"/>
          <w:vertAlign w:val="subscript"/>
        </w:rPr>
        <w:t>=1</w:t>
      </w:r>
      <w:r w:rsidRPr="00BB4986">
        <w:rPr>
          <w:rFonts w:eastAsia="Calibri"/>
          <w:sz w:val="28"/>
          <w:szCs w:val="28"/>
          <w:lang w:eastAsia="en-US"/>
        </w:rPr>
        <w:t xml:space="preserve"> Т</w:t>
      </w:r>
      <w:r w:rsidRPr="00BB4986">
        <w:rPr>
          <w:rFonts w:eastAsia="Calibri"/>
          <w:sz w:val="28"/>
          <w:szCs w:val="28"/>
          <w:vertAlign w:val="subscript"/>
          <w:lang w:val="en-US" w:eastAsia="en-US"/>
        </w:rPr>
        <w:t>V</w:t>
      </w:r>
      <w:r w:rsidRPr="00BB4986">
        <w:rPr>
          <w:rFonts w:eastAsia="Calibri"/>
          <w:sz w:val="28"/>
          <w:szCs w:val="28"/>
          <w:vertAlign w:val="subscript"/>
          <w:lang w:eastAsia="en-US"/>
        </w:rPr>
        <w:t>ар</w:t>
      </w:r>
      <w:r w:rsidRPr="00BB4986">
        <w:rPr>
          <w:rFonts w:eastAsia="Constantia"/>
          <w:iCs/>
          <w:sz w:val="28"/>
          <w:szCs w:val="28"/>
        </w:rPr>
        <w:t xml:space="preserve"> /3,</w:t>
      </w:r>
    </w:p>
    <w:p w:rsidR="00CE1891" w:rsidRPr="00BB4986" w:rsidRDefault="00CE1891" w:rsidP="00CE1891">
      <w:pPr>
        <w:widowControl w:val="0"/>
        <w:ind w:firstLine="709"/>
        <w:jc w:val="center"/>
        <w:rPr>
          <w:rFonts w:eastAsia="Calibri"/>
          <w:sz w:val="28"/>
          <w:szCs w:val="28"/>
          <w:lang w:eastAsia="en-US"/>
        </w:rPr>
      </w:pPr>
      <w:r w:rsidRPr="00BB4986">
        <w:rPr>
          <w:rFonts w:eastAsia="Calibri"/>
          <w:sz w:val="28"/>
          <w:szCs w:val="28"/>
          <w:lang w:eastAsia="en-US"/>
        </w:rPr>
        <w:t>1,0 = (1,0 + 1,0 + 1,0)/3</w:t>
      </w:r>
    </w:p>
    <w:p w:rsidR="00CE1891" w:rsidRPr="00BB4986" w:rsidRDefault="00CE1891" w:rsidP="00CE1891">
      <w:pPr>
        <w:widowControl w:val="0"/>
        <w:ind w:firstLine="709"/>
        <w:jc w:val="both"/>
        <w:rPr>
          <w:rFonts w:eastAsia="Calibri"/>
          <w:sz w:val="28"/>
          <w:szCs w:val="28"/>
          <w:lang w:eastAsia="en-US"/>
        </w:rPr>
      </w:pPr>
      <w:r w:rsidRPr="00BB4986">
        <w:rPr>
          <w:rFonts w:eastAsia="Calibri"/>
          <w:sz w:val="28"/>
          <w:szCs w:val="28"/>
          <w:lang w:eastAsia="en-US"/>
        </w:rPr>
        <w:t>где:</w:t>
      </w:r>
    </w:p>
    <w:p w:rsidR="00CE1891" w:rsidRPr="00BB4986" w:rsidRDefault="00CE1891" w:rsidP="00CE1891">
      <w:pPr>
        <w:widowControl w:val="0"/>
        <w:ind w:firstLine="709"/>
        <w:jc w:val="both"/>
        <w:rPr>
          <w:rFonts w:eastAsia="Calibri"/>
          <w:sz w:val="28"/>
          <w:szCs w:val="28"/>
          <w:lang w:eastAsia="en-US"/>
        </w:rPr>
      </w:pPr>
      <w:r w:rsidRPr="00BB4986">
        <w:rPr>
          <w:sz w:val="28"/>
          <w:szCs w:val="28"/>
        </w:rPr>
        <w:t>∑</w:t>
      </w:r>
      <w:r w:rsidRPr="00BB4986">
        <w:rPr>
          <w:sz w:val="28"/>
          <w:szCs w:val="28"/>
          <w:vertAlign w:val="superscript"/>
        </w:rPr>
        <w:t>3</w:t>
      </w:r>
      <w:r w:rsidRPr="00BB4986">
        <w:rPr>
          <w:sz w:val="28"/>
          <w:szCs w:val="28"/>
          <w:vertAlign w:val="subscript"/>
          <w:lang w:val="en-US"/>
        </w:rPr>
        <w:t>t</w:t>
      </w:r>
      <w:r w:rsidRPr="00BB4986">
        <w:rPr>
          <w:sz w:val="28"/>
          <w:szCs w:val="28"/>
          <w:vertAlign w:val="subscript"/>
        </w:rPr>
        <w:t>=1</w:t>
      </w:r>
      <w:r w:rsidRPr="00BB4986">
        <w:rPr>
          <w:rFonts w:eastAsia="Calibri"/>
          <w:sz w:val="28"/>
          <w:szCs w:val="28"/>
          <w:lang w:eastAsia="en-US"/>
        </w:rPr>
        <w:t xml:space="preserve"> Т</w:t>
      </w:r>
      <w:r w:rsidRPr="00BB4986">
        <w:rPr>
          <w:rFonts w:eastAsia="Calibri"/>
          <w:sz w:val="28"/>
          <w:szCs w:val="28"/>
          <w:vertAlign w:val="subscript"/>
          <w:lang w:val="en-US" w:eastAsia="en-US"/>
        </w:rPr>
        <w:t>V</w:t>
      </w:r>
      <w:r w:rsidRPr="00BB4986">
        <w:rPr>
          <w:rFonts w:eastAsia="Calibri"/>
          <w:sz w:val="28"/>
          <w:szCs w:val="28"/>
          <w:vertAlign w:val="subscript"/>
          <w:lang w:eastAsia="en-US"/>
        </w:rPr>
        <w:t>ар</w:t>
      </w:r>
      <w:r w:rsidRPr="00BB4986">
        <w:rPr>
          <w:rFonts w:eastAsia="Calibri"/>
          <w:sz w:val="28"/>
          <w:szCs w:val="28"/>
          <w:lang w:eastAsia="en-US"/>
        </w:rPr>
        <w:t xml:space="preserve">  </w:t>
      </w:r>
      <w:r w:rsidRPr="00BB4986">
        <w:rPr>
          <w:rFonts w:eastAsia="Constantia"/>
          <w:i/>
          <w:iCs/>
          <w:sz w:val="28"/>
          <w:szCs w:val="28"/>
          <w:lang w:bidi="ru-RU"/>
        </w:rPr>
        <w:t>-</w:t>
      </w:r>
      <w:r w:rsidRPr="00BB4986">
        <w:rPr>
          <w:rFonts w:eastAsia="Calibri"/>
          <w:sz w:val="28"/>
          <w:szCs w:val="28"/>
          <w:lang w:eastAsia="en-US"/>
        </w:rPr>
        <w:t xml:space="preserve"> сумма темпов роста (снижения) объема лесных ресурсов (за исключением древесины), подлежащего заготовке по договорам аренды лесных участков, находящихся в федеральной собственности, за три отчетных года, предшествующих прогнозируемому году, (ед.), 3,0:</w:t>
      </w:r>
    </w:p>
    <w:p w:rsidR="00CE1891" w:rsidRPr="00BB4986" w:rsidRDefault="00CE1891" w:rsidP="00CE1891">
      <w:pPr>
        <w:widowControl w:val="0"/>
        <w:ind w:firstLine="709"/>
        <w:jc w:val="both"/>
        <w:rPr>
          <w:rFonts w:eastAsia="Calibri"/>
          <w:sz w:val="28"/>
          <w:szCs w:val="28"/>
          <w:lang w:eastAsia="en-US"/>
        </w:rPr>
      </w:pPr>
    </w:p>
    <w:p w:rsidR="00CE1891" w:rsidRPr="00BB4986" w:rsidRDefault="00CE1891" w:rsidP="00CE1891">
      <w:pPr>
        <w:widowControl w:val="0"/>
        <w:ind w:firstLine="709"/>
        <w:jc w:val="center"/>
        <w:rPr>
          <w:rFonts w:eastAsia="Calibri"/>
          <w:sz w:val="28"/>
          <w:szCs w:val="28"/>
          <w:vertAlign w:val="superscript"/>
          <w:lang w:eastAsia="en-US"/>
        </w:rPr>
      </w:pPr>
      <w:r w:rsidRPr="00BB4986">
        <w:rPr>
          <w:sz w:val="28"/>
          <w:szCs w:val="28"/>
        </w:rPr>
        <w:t>∑</w:t>
      </w:r>
      <w:r w:rsidRPr="00BB4986">
        <w:rPr>
          <w:sz w:val="28"/>
          <w:szCs w:val="28"/>
          <w:vertAlign w:val="superscript"/>
        </w:rPr>
        <w:t>3</w:t>
      </w:r>
      <w:r w:rsidRPr="00BB4986">
        <w:rPr>
          <w:sz w:val="28"/>
          <w:szCs w:val="28"/>
          <w:vertAlign w:val="subscript"/>
          <w:lang w:val="en-US"/>
        </w:rPr>
        <w:t>t</w:t>
      </w:r>
      <w:r w:rsidRPr="00BB4986">
        <w:rPr>
          <w:sz w:val="28"/>
          <w:szCs w:val="28"/>
          <w:vertAlign w:val="subscript"/>
        </w:rPr>
        <w:t>=1</w:t>
      </w:r>
      <w:r w:rsidRPr="00BB4986">
        <w:rPr>
          <w:rFonts w:eastAsia="Calibri"/>
          <w:sz w:val="28"/>
          <w:szCs w:val="28"/>
          <w:lang w:eastAsia="en-US"/>
        </w:rPr>
        <w:t xml:space="preserve"> Т</w:t>
      </w:r>
      <w:r w:rsidRPr="00BB4986">
        <w:rPr>
          <w:rFonts w:eastAsia="Calibri"/>
          <w:sz w:val="28"/>
          <w:szCs w:val="28"/>
          <w:vertAlign w:val="subscript"/>
          <w:lang w:val="en-US" w:eastAsia="en-US"/>
        </w:rPr>
        <w:t>V</w:t>
      </w:r>
      <w:r w:rsidRPr="00BB4986">
        <w:rPr>
          <w:rFonts w:eastAsia="Calibri"/>
          <w:sz w:val="28"/>
          <w:szCs w:val="28"/>
          <w:vertAlign w:val="subscript"/>
          <w:lang w:eastAsia="en-US"/>
        </w:rPr>
        <w:t>ар</w:t>
      </w:r>
      <w:r w:rsidRPr="00BB4986">
        <w:rPr>
          <w:rFonts w:eastAsia="Calibri"/>
          <w:sz w:val="28"/>
          <w:szCs w:val="28"/>
          <w:lang w:eastAsia="en-US"/>
        </w:rPr>
        <w:t xml:space="preserve">  = Т</w:t>
      </w:r>
      <w:r w:rsidRPr="00BB4986">
        <w:rPr>
          <w:rFonts w:eastAsia="Calibri"/>
          <w:sz w:val="28"/>
          <w:szCs w:val="28"/>
          <w:vertAlign w:val="subscript"/>
          <w:lang w:val="en-US" w:eastAsia="en-US"/>
        </w:rPr>
        <w:t>V</w:t>
      </w:r>
      <w:r w:rsidRPr="00BB4986">
        <w:rPr>
          <w:rFonts w:eastAsia="Calibri"/>
          <w:sz w:val="28"/>
          <w:szCs w:val="28"/>
          <w:vertAlign w:val="subscript"/>
          <w:lang w:eastAsia="en-US"/>
        </w:rPr>
        <w:t>ар</w:t>
      </w:r>
      <w:r w:rsidRPr="00BB4986">
        <w:rPr>
          <w:rFonts w:eastAsia="Calibri"/>
          <w:sz w:val="28"/>
          <w:szCs w:val="28"/>
          <w:vertAlign w:val="superscript"/>
          <w:lang w:eastAsia="en-US"/>
        </w:rPr>
        <w:t xml:space="preserve">2021 </w:t>
      </w:r>
      <w:r w:rsidRPr="00BB4986">
        <w:rPr>
          <w:rFonts w:eastAsia="Calibri"/>
          <w:sz w:val="28"/>
          <w:szCs w:val="28"/>
          <w:lang w:eastAsia="en-US"/>
        </w:rPr>
        <w:t>+ Т</w:t>
      </w:r>
      <w:r w:rsidRPr="00BB4986">
        <w:rPr>
          <w:rFonts w:eastAsia="Calibri"/>
          <w:sz w:val="28"/>
          <w:szCs w:val="28"/>
          <w:vertAlign w:val="subscript"/>
          <w:lang w:val="en-US" w:eastAsia="en-US"/>
        </w:rPr>
        <w:t>V</w:t>
      </w:r>
      <w:r w:rsidRPr="00BB4986">
        <w:rPr>
          <w:rFonts w:eastAsia="Calibri"/>
          <w:sz w:val="28"/>
          <w:szCs w:val="28"/>
          <w:vertAlign w:val="subscript"/>
          <w:lang w:eastAsia="en-US"/>
        </w:rPr>
        <w:t>ар</w:t>
      </w:r>
      <w:r w:rsidRPr="00BB4986">
        <w:rPr>
          <w:rFonts w:eastAsia="Calibri"/>
          <w:sz w:val="28"/>
          <w:szCs w:val="28"/>
          <w:vertAlign w:val="superscript"/>
          <w:lang w:eastAsia="en-US"/>
        </w:rPr>
        <w:t xml:space="preserve">2022 </w:t>
      </w:r>
      <w:r w:rsidRPr="00BB4986">
        <w:rPr>
          <w:rFonts w:eastAsia="Calibri"/>
          <w:sz w:val="28"/>
          <w:szCs w:val="28"/>
          <w:lang w:eastAsia="en-US"/>
        </w:rPr>
        <w:t>+ Т</w:t>
      </w:r>
      <w:r w:rsidRPr="00BB4986">
        <w:rPr>
          <w:rFonts w:eastAsia="Calibri"/>
          <w:sz w:val="28"/>
          <w:szCs w:val="28"/>
          <w:vertAlign w:val="subscript"/>
          <w:lang w:val="en-US" w:eastAsia="en-US"/>
        </w:rPr>
        <w:t>v</w:t>
      </w:r>
      <w:r w:rsidRPr="00BB4986">
        <w:rPr>
          <w:rFonts w:eastAsia="Calibri"/>
          <w:sz w:val="28"/>
          <w:szCs w:val="28"/>
          <w:vertAlign w:val="subscript"/>
          <w:lang w:eastAsia="en-US"/>
        </w:rPr>
        <w:t>ар</w:t>
      </w:r>
      <w:r w:rsidRPr="00BB4986">
        <w:rPr>
          <w:rFonts w:eastAsia="Calibri"/>
          <w:sz w:val="28"/>
          <w:szCs w:val="28"/>
          <w:vertAlign w:val="superscript"/>
          <w:lang w:eastAsia="en-US"/>
        </w:rPr>
        <w:t>2023</w:t>
      </w:r>
    </w:p>
    <w:p w:rsidR="00CE1891" w:rsidRPr="00BB4986" w:rsidRDefault="00CE1891" w:rsidP="00CE1891">
      <w:pPr>
        <w:widowControl w:val="0"/>
        <w:ind w:firstLine="709"/>
        <w:jc w:val="center"/>
        <w:rPr>
          <w:rFonts w:eastAsia="Calibri"/>
          <w:sz w:val="28"/>
          <w:szCs w:val="28"/>
          <w:lang w:eastAsia="en-US"/>
        </w:rPr>
      </w:pPr>
      <w:r w:rsidRPr="00BB4986">
        <w:rPr>
          <w:rFonts w:eastAsia="Calibri"/>
          <w:sz w:val="28"/>
          <w:szCs w:val="28"/>
          <w:lang w:eastAsia="en-US"/>
        </w:rPr>
        <w:t>3,0  = 1,0 + 1,0 + 1,0</w:t>
      </w:r>
    </w:p>
    <w:p w:rsidR="00CE1891" w:rsidRPr="00BB4986" w:rsidRDefault="00CE1891" w:rsidP="00CE1891">
      <w:pPr>
        <w:widowControl w:val="0"/>
        <w:ind w:firstLine="709"/>
        <w:jc w:val="center"/>
        <w:rPr>
          <w:rFonts w:eastAsia="Calibri"/>
          <w:sz w:val="28"/>
          <w:szCs w:val="28"/>
          <w:lang w:eastAsia="en-US"/>
        </w:rPr>
      </w:pPr>
    </w:p>
    <w:p w:rsidR="00CE1891" w:rsidRPr="00BB4986" w:rsidRDefault="00CE1891" w:rsidP="00CE1891">
      <w:pPr>
        <w:widowControl w:val="0"/>
        <w:ind w:firstLine="709"/>
        <w:jc w:val="both"/>
        <w:rPr>
          <w:rFonts w:eastAsia="Calibri"/>
          <w:sz w:val="28"/>
          <w:szCs w:val="28"/>
          <w:lang w:eastAsia="en-US"/>
        </w:rPr>
      </w:pPr>
      <w:r w:rsidRPr="00BB4986">
        <w:rPr>
          <w:rFonts w:eastAsia="Calibri"/>
          <w:sz w:val="28"/>
          <w:szCs w:val="28"/>
          <w:lang w:eastAsia="en-US"/>
        </w:rPr>
        <w:t>Т</w:t>
      </w:r>
      <w:r w:rsidRPr="00BB4986">
        <w:rPr>
          <w:rFonts w:eastAsia="Calibri"/>
          <w:sz w:val="28"/>
          <w:szCs w:val="28"/>
          <w:vertAlign w:val="subscript"/>
          <w:lang w:eastAsia="en-US"/>
        </w:rPr>
        <w:t>Vар</w:t>
      </w:r>
      <w:r w:rsidRPr="00BB4986">
        <w:rPr>
          <w:rFonts w:eastAsia="Calibri"/>
          <w:sz w:val="28"/>
          <w:szCs w:val="28"/>
          <w:lang w:eastAsia="en-US"/>
        </w:rPr>
        <w:t xml:space="preserve"> - темп роста (снижения) объема лесных ресурсов (за исключением древесины), подлежащего заготовке по договорам аренды лесных участков, находящихся в федеральной собственности, за год (ед.), определяется по формуле:</w:t>
      </w:r>
    </w:p>
    <w:p w:rsidR="00CE1891" w:rsidRPr="00BB4986" w:rsidRDefault="00CE1891" w:rsidP="00CE1891">
      <w:pPr>
        <w:widowControl w:val="0"/>
        <w:ind w:firstLine="709"/>
        <w:jc w:val="center"/>
        <w:rPr>
          <w:rFonts w:eastAsia="Calibri"/>
          <w:sz w:val="28"/>
          <w:szCs w:val="28"/>
          <w:vertAlign w:val="subscript"/>
          <w:lang w:eastAsia="en-US"/>
        </w:rPr>
      </w:pPr>
      <w:r w:rsidRPr="00BB4986">
        <w:rPr>
          <w:rFonts w:eastAsia="Calibri"/>
          <w:sz w:val="28"/>
          <w:szCs w:val="28"/>
          <w:lang w:eastAsia="en-US"/>
        </w:rPr>
        <w:t>Т</w:t>
      </w:r>
      <w:r w:rsidRPr="00BB4986">
        <w:rPr>
          <w:rFonts w:eastAsia="Calibri"/>
          <w:sz w:val="28"/>
          <w:szCs w:val="28"/>
          <w:vertAlign w:val="subscript"/>
          <w:lang w:eastAsia="en-US"/>
        </w:rPr>
        <w:t>Vар</w:t>
      </w:r>
      <w:r w:rsidRPr="00BB4986">
        <w:rPr>
          <w:rFonts w:eastAsia="Calibri"/>
          <w:sz w:val="28"/>
          <w:szCs w:val="28"/>
          <w:lang w:eastAsia="en-US"/>
        </w:rPr>
        <w:t xml:space="preserve"> =</w:t>
      </w:r>
      <w:r w:rsidRPr="00BB4986">
        <w:rPr>
          <w:rFonts w:eastAsia="Calibri"/>
          <w:sz w:val="28"/>
          <w:szCs w:val="28"/>
          <w:vertAlign w:val="subscript"/>
          <w:lang w:eastAsia="en-US"/>
        </w:rPr>
        <w:t xml:space="preserve"> </w:t>
      </w:r>
      <w:r w:rsidRPr="00BB4986">
        <w:rPr>
          <w:rFonts w:eastAsia="Calibri"/>
          <w:sz w:val="28"/>
          <w:szCs w:val="28"/>
          <w:lang w:val="en-US" w:eastAsia="en-US"/>
        </w:rPr>
        <w:t>Q</w:t>
      </w:r>
      <w:r w:rsidRPr="00BB4986">
        <w:rPr>
          <w:rFonts w:eastAsia="Calibri"/>
          <w:sz w:val="28"/>
          <w:szCs w:val="28"/>
          <w:vertAlign w:val="superscript"/>
          <w:lang w:val="en-US" w:eastAsia="en-US"/>
        </w:rPr>
        <w:t>n</w:t>
      </w:r>
      <w:r w:rsidRPr="00BB4986">
        <w:rPr>
          <w:rFonts w:eastAsia="Calibri"/>
          <w:sz w:val="28"/>
          <w:szCs w:val="28"/>
          <w:vertAlign w:val="subscript"/>
          <w:lang w:val="en-US" w:eastAsia="en-US"/>
        </w:rPr>
        <w:t>V</w:t>
      </w:r>
      <w:r w:rsidRPr="00BB4986">
        <w:rPr>
          <w:rFonts w:eastAsia="Calibri"/>
          <w:sz w:val="28"/>
          <w:szCs w:val="28"/>
          <w:vertAlign w:val="subscript"/>
          <w:lang w:eastAsia="en-US"/>
        </w:rPr>
        <w:t>ар</w:t>
      </w:r>
      <w:r w:rsidRPr="00BB4986">
        <w:rPr>
          <w:rFonts w:eastAsia="Calibri"/>
          <w:sz w:val="28"/>
          <w:szCs w:val="28"/>
          <w:lang w:eastAsia="en-US"/>
        </w:rPr>
        <w:t xml:space="preserve">/ </w:t>
      </w:r>
      <w:r w:rsidRPr="00BB4986">
        <w:rPr>
          <w:rFonts w:eastAsia="Calibri"/>
          <w:sz w:val="28"/>
          <w:szCs w:val="28"/>
          <w:lang w:val="en-US" w:eastAsia="en-US"/>
        </w:rPr>
        <w:t>Q</w:t>
      </w:r>
      <w:r w:rsidRPr="00BB4986">
        <w:rPr>
          <w:rFonts w:eastAsia="Calibri"/>
          <w:sz w:val="28"/>
          <w:szCs w:val="28"/>
          <w:vertAlign w:val="superscript"/>
          <w:lang w:val="en-US" w:eastAsia="en-US"/>
        </w:rPr>
        <w:t>n</w:t>
      </w:r>
      <w:r w:rsidRPr="00BB4986">
        <w:rPr>
          <w:rFonts w:eastAsia="Calibri"/>
          <w:sz w:val="28"/>
          <w:szCs w:val="28"/>
          <w:vertAlign w:val="superscript"/>
          <w:lang w:eastAsia="en-US"/>
        </w:rPr>
        <w:t>-1</w:t>
      </w:r>
      <w:r w:rsidRPr="00BB4986">
        <w:rPr>
          <w:rFonts w:eastAsia="Calibri"/>
          <w:sz w:val="28"/>
          <w:szCs w:val="28"/>
          <w:vertAlign w:val="subscript"/>
          <w:lang w:val="en-US" w:eastAsia="en-US"/>
        </w:rPr>
        <w:t>V</w:t>
      </w:r>
      <w:r w:rsidRPr="00BB4986">
        <w:rPr>
          <w:rFonts w:eastAsia="Calibri"/>
          <w:sz w:val="28"/>
          <w:szCs w:val="28"/>
          <w:vertAlign w:val="subscript"/>
          <w:lang w:eastAsia="en-US"/>
        </w:rPr>
        <w:t xml:space="preserve">ар </w:t>
      </w:r>
    </w:p>
    <w:p w:rsidR="00CE1891" w:rsidRPr="00BB4986" w:rsidRDefault="00CE1891" w:rsidP="00CE1891">
      <w:pPr>
        <w:widowControl w:val="0"/>
        <w:ind w:firstLine="709"/>
        <w:jc w:val="center"/>
        <w:rPr>
          <w:rFonts w:eastAsia="Calibri"/>
          <w:sz w:val="28"/>
          <w:szCs w:val="28"/>
          <w:vertAlign w:val="subscript"/>
          <w:lang w:eastAsia="en-US"/>
        </w:rPr>
      </w:pPr>
    </w:p>
    <w:p w:rsidR="00CE1891" w:rsidRPr="00BB4986" w:rsidRDefault="00CE1891" w:rsidP="00CE1891">
      <w:pPr>
        <w:widowControl w:val="0"/>
        <w:ind w:firstLine="709"/>
        <w:jc w:val="both"/>
        <w:rPr>
          <w:rFonts w:eastAsia="Calibri"/>
          <w:sz w:val="28"/>
          <w:szCs w:val="28"/>
          <w:lang w:eastAsia="en-US"/>
        </w:rPr>
      </w:pPr>
      <w:r w:rsidRPr="00BB4986">
        <w:rPr>
          <w:rFonts w:eastAsia="Calibri"/>
          <w:sz w:val="28"/>
          <w:szCs w:val="28"/>
          <w:lang w:eastAsia="en-US"/>
        </w:rPr>
        <w:t>где:</w:t>
      </w:r>
    </w:p>
    <w:p w:rsidR="00CE1891" w:rsidRPr="00BB4986" w:rsidRDefault="00CE1891" w:rsidP="00CE1891">
      <w:pPr>
        <w:widowControl w:val="0"/>
        <w:ind w:firstLine="709"/>
        <w:jc w:val="both"/>
        <w:rPr>
          <w:rFonts w:eastAsia="Calibri"/>
          <w:sz w:val="28"/>
          <w:szCs w:val="28"/>
          <w:lang w:eastAsia="en-US"/>
        </w:rPr>
      </w:pPr>
      <w:r w:rsidRPr="00BB4986">
        <w:rPr>
          <w:rFonts w:eastAsia="Calibri"/>
          <w:sz w:val="28"/>
          <w:szCs w:val="28"/>
          <w:lang w:val="en-US" w:eastAsia="en-US"/>
        </w:rPr>
        <w:t>Q</w:t>
      </w:r>
      <w:r w:rsidRPr="00BB4986">
        <w:rPr>
          <w:rFonts w:eastAsia="Calibri"/>
          <w:sz w:val="28"/>
          <w:szCs w:val="28"/>
          <w:vertAlign w:val="superscript"/>
          <w:lang w:val="en-US" w:eastAsia="en-US"/>
        </w:rPr>
        <w:t>n</w:t>
      </w:r>
      <w:r w:rsidRPr="00BB4986">
        <w:rPr>
          <w:rFonts w:eastAsia="Calibri"/>
          <w:sz w:val="28"/>
          <w:szCs w:val="28"/>
          <w:vertAlign w:val="subscript"/>
          <w:lang w:val="en-US" w:eastAsia="en-US"/>
        </w:rPr>
        <w:t>V</w:t>
      </w:r>
      <w:r w:rsidRPr="00BB4986">
        <w:rPr>
          <w:rFonts w:eastAsia="Calibri"/>
          <w:sz w:val="28"/>
          <w:szCs w:val="28"/>
          <w:vertAlign w:val="subscript"/>
          <w:lang w:eastAsia="en-US"/>
        </w:rPr>
        <w:t xml:space="preserve">ар </w:t>
      </w:r>
      <w:r w:rsidRPr="00BB4986">
        <w:rPr>
          <w:rFonts w:eastAsia="Calibri"/>
          <w:sz w:val="28"/>
          <w:szCs w:val="28"/>
          <w:lang w:eastAsia="en-US"/>
        </w:rPr>
        <w:t>- объем лесных ресурсов (за исключением древесины), подлежащий заготовке по договорам аренды лесных участков, находящихся в федеральной собственности, за год (т);</w:t>
      </w:r>
    </w:p>
    <w:p w:rsidR="00CE1891" w:rsidRPr="00BB4986" w:rsidRDefault="00CE1891" w:rsidP="00CE1891">
      <w:pPr>
        <w:widowControl w:val="0"/>
        <w:ind w:firstLine="709"/>
        <w:jc w:val="both"/>
        <w:rPr>
          <w:rFonts w:eastAsia="Calibri"/>
          <w:sz w:val="28"/>
          <w:szCs w:val="28"/>
          <w:lang w:eastAsia="en-US"/>
        </w:rPr>
      </w:pPr>
      <w:r w:rsidRPr="00BB4986">
        <w:rPr>
          <w:rFonts w:eastAsia="Calibri"/>
          <w:sz w:val="28"/>
          <w:szCs w:val="28"/>
          <w:lang w:val="en-US" w:eastAsia="en-US"/>
        </w:rPr>
        <w:t>Q</w:t>
      </w:r>
      <w:r w:rsidRPr="00BB4986">
        <w:rPr>
          <w:rFonts w:eastAsia="Calibri"/>
          <w:sz w:val="28"/>
          <w:szCs w:val="28"/>
          <w:vertAlign w:val="superscript"/>
          <w:lang w:val="en-US" w:eastAsia="en-US"/>
        </w:rPr>
        <w:t>n</w:t>
      </w:r>
      <w:r w:rsidRPr="00BB4986">
        <w:rPr>
          <w:rFonts w:eastAsia="Calibri"/>
          <w:sz w:val="28"/>
          <w:szCs w:val="28"/>
          <w:vertAlign w:val="superscript"/>
          <w:lang w:eastAsia="en-US"/>
        </w:rPr>
        <w:t>-1</w:t>
      </w:r>
      <w:r w:rsidRPr="00BB4986">
        <w:rPr>
          <w:rFonts w:eastAsia="Calibri"/>
          <w:sz w:val="28"/>
          <w:szCs w:val="28"/>
          <w:vertAlign w:val="subscript"/>
          <w:lang w:val="en-US" w:eastAsia="en-US"/>
        </w:rPr>
        <w:t>V</w:t>
      </w:r>
      <w:r w:rsidRPr="00BB4986">
        <w:rPr>
          <w:rFonts w:eastAsia="Calibri"/>
          <w:sz w:val="28"/>
          <w:szCs w:val="28"/>
          <w:vertAlign w:val="subscript"/>
          <w:lang w:eastAsia="en-US"/>
        </w:rPr>
        <w:t xml:space="preserve">ар </w:t>
      </w:r>
      <w:r w:rsidRPr="00BB4986">
        <w:rPr>
          <w:rFonts w:eastAsia="Calibri"/>
          <w:sz w:val="28"/>
          <w:szCs w:val="28"/>
          <w:lang w:eastAsia="en-US"/>
        </w:rPr>
        <w:t>- объем лесных ресурсов (за исключением древесины), подлежащий заготовке по договорам аренды лесных участков, находящихся в федеральной собственности, за предыдущий год (т);</w:t>
      </w:r>
    </w:p>
    <w:p w:rsidR="00CE1891" w:rsidRPr="00BB4986" w:rsidRDefault="00CE1891" w:rsidP="00CE1891">
      <w:pPr>
        <w:widowControl w:val="0"/>
        <w:ind w:firstLine="709"/>
        <w:jc w:val="center"/>
        <w:rPr>
          <w:rFonts w:eastAsia="Calibri"/>
          <w:sz w:val="28"/>
          <w:szCs w:val="28"/>
          <w:lang w:eastAsia="en-US"/>
        </w:rPr>
      </w:pPr>
    </w:p>
    <w:p w:rsidR="00CE1891" w:rsidRPr="00BB4986" w:rsidRDefault="00CE1891" w:rsidP="00CE1891">
      <w:pPr>
        <w:widowControl w:val="0"/>
        <w:ind w:firstLine="709"/>
        <w:jc w:val="both"/>
        <w:rPr>
          <w:rFonts w:eastAsia="Calibri"/>
          <w:sz w:val="28"/>
          <w:szCs w:val="28"/>
          <w:lang w:eastAsia="en-US"/>
        </w:rPr>
      </w:pPr>
      <w:r w:rsidRPr="00BB4986">
        <w:rPr>
          <w:rFonts w:eastAsia="Calibri"/>
          <w:sz w:val="28"/>
          <w:szCs w:val="28"/>
          <w:lang w:eastAsia="en-US"/>
        </w:rPr>
        <w:t>в том числе по годам:</w:t>
      </w:r>
    </w:p>
    <w:p w:rsidR="00CE1891" w:rsidRPr="00BB4986" w:rsidRDefault="00CE1891" w:rsidP="00CE1891">
      <w:pPr>
        <w:widowControl w:val="0"/>
        <w:ind w:firstLine="709"/>
        <w:jc w:val="both"/>
        <w:rPr>
          <w:rFonts w:eastAsia="Calibri"/>
          <w:sz w:val="28"/>
          <w:szCs w:val="28"/>
          <w:lang w:eastAsia="en-US"/>
        </w:rPr>
      </w:pPr>
    </w:p>
    <w:p w:rsidR="00CE1891" w:rsidRPr="00BB4986" w:rsidRDefault="00CE1891" w:rsidP="00CE1891">
      <w:pPr>
        <w:widowControl w:val="0"/>
        <w:ind w:firstLine="709"/>
        <w:jc w:val="both"/>
        <w:rPr>
          <w:rFonts w:eastAsia="Calibri"/>
          <w:sz w:val="28"/>
          <w:szCs w:val="28"/>
          <w:lang w:eastAsia="en-US"/>
        </w:rPr>
      </w:pPr>
      <w:r w:rsidRPr="00BB4986">
        <w:rPr>
          <w:rFonts w:eastAsia="Calibri"/>
          <w:sz w:val="28"/>
          <w:szCs w:val="28"/>
          <w:lang w:eastAsia="en-US"/>
        </w:rPr>
        <w:t>а) Т</w:t>
      </w:r>
      <w:r w:rsidRPr="00BB4986">
        <w:rPr>
          <w:rFonts w:eastAsia="Calibri"/>
          <w:sz w:val="28"/>
          <w:szCs w:val="28"/>
          <w:vertAlign w:val="subscript"/>
          <w:lang w:val="en-US" w:eastAsia="en-US"/>
        </w:rPr>
        <w:t>V</w:t>
      </w:r>
      <w:r w:rsidRPr="00BB4986">
        <w:rPr>
          <w:rFonts w:eastAsia="Calibri"/>
          <w:sz w:val="28"/>
          <w:szCs w:val="28"/>
          <w:vertAlign w:val="subscript"/>
          <w:lang w:eastAsia="en-US"/>
        </w:rPr>
        <w:t>ар</w:t>
      </w:r>
      <w:r w:rsidRPr="00BB4986">
        <w:rPr>
          <w:rFonts w:eastAsia="Calibri"/>
          <w:sz w:val="28"/>
          <w:szCs w:val="28"/>
          <w:vertAlign w:val="superscript"/>
          <w:lang w:eastAsia="en-US"/>
        </w:rPr>
        <w:t>2021</w:t>
      </w:r>
      <w:r w:rsidRPr="00BB4986">
        <w:rPr>
          <w:rFonts w:eastAsia="Calibri"/>
          <w:sz w:val="28"/>
          <w:szCs w:val="28"/>
          <w:lang w:eastAsia="en-US"/>
        </w:rPr>
        <w:t xml:space="preserve"> </w:t>
      </w:r>
      <w:r w:rsidRPr="00BB4986">
        <w:rPr>
          <w:rFonts w:eastAsia="Constantia"/>
          <w:i/>
          <w:iCs/>
          <w:sz w:val="28"/>
          <w:szCs w:val="28"/>
          <w:lang w:bidi="ru-RU"/>
        </w:rPr>
        <w:t>-</w:t>
      </w:r>
      <w:r w:rsidRPr="00BB4986">
        <w:rPr>
          <w:rFonts w:eastAsia="Calibri"/>
          <w:sz w:val="28"/>
          <w:szCs w:val="28"/>
          <w:lang w:eastAsia="en-US"/>
        </w:rPr>
        <w:t xml:space="preserve"> темп роста (снижения) объема лесных ресурсов (за исключением древесины), подлежащего заготовке по договорам аренды лесных участков, находящихся в федеральной собственности, за 2021 год (ед.), 1,0:</w:t>
      </w:r>
    </w:p>
    <w:p w:rsidR="00CE1891" w:rsidRPr="00BB4986" w:rsidRDefault="00CE1891" w:rsidP="00CE1891">
      <w:pPr>
        <w:widowControl w:val="0"/>
        <w:ind w:firstLine="709"/>
        <w:jc w:val="both"/>
        <w:rPr>
          <w:rFonts w:eastAsia="Calibri"/>
          <w:sz w:val="28"/>
          <w:szCs w:val="28"/>
          <w:lang w:eastAsia="en-US"/>
        </w:rPr>
      </w:pPr>
    </w:p>
    <w:p w:rsidR="00CE1891" w:rsidRPr="00BB4986" w:rsidRDefault="00CE1891" w:rsidP="00CE1891">
      <w:pPr>
        <w:widowControl w:val="0"/>
        <w:ind w:firstLine="709"/>
        <w:jc w:val="center"/>
        <w:rPr>
          <w:rFonts w:eastAsia="Calibri"/>
          <w:sz w:val="28"/>
          <w:szCs w:val="28"/>
          <w:lang w:eastAsia="en-US"/>
        </w:rPr>
      </w:pPr>
      <w:r w:rsidRPr="00BB4986">
        <w:rPr>
          <w:rFonts w:eastAsia="Calibri"/>
          <w:sz w:val="28"/>
          <w:szCs w:val="28"/>
          <w:lang w:eastAsia="en-US"/>
        </w:rPr>
        <w:t>Т</w:t>
      </w:r>
      <w:r w:rsidRPr="00BB4986">
        <w:rPr>
          <w:rFonts w:eastAsia="Calibri"/>
          <w:sz w:val="28"/>
          <w:szCs w:val="28"/>
          <w:vertAlign w:val="subscript"/>
          <w:lang w:val="en-US" w:eastAsia="en-US"/>
        </w:rPr>
        <w:t>V</w:t>
      </w:r>
      <w:r w:rsidRPr="00BB4986">
        <w:rPr>
          <w:rFonts w:eastAsia="Calibri"/>
          <w:sz w:val="28"/>
          <w:szCs w:val="28"/>
          <w:vertAlign w:val="subscript"/>
          <w:lang w:eastAsia="en-US"/>
        </w:rPr>
        <w:t>ар</w:t>
      </w:r>
      <w:r w:rsidRPr="00BB4986">
        <w:rPr>
          <w:rFonts w:eastAsia="Calibri"/>
          <w:sz w:val="28"/>
          <w:szCs w:val="28"/>
          <w:vertAlign w:val="superscript"/>
          <w:lang w:eastAsia="en-US"/>
        </w:rPr>
        <w:t>2021</w:t>
      </w:r>
      <w:r w:rsidRPr="00BB4986">
        <w:rPr>
          <w:rFonts w:eastAsia="Calibri"/>
          <w:sz w:val="28"/>
          <w:szCs w:val="28"/>
          <w:lang w:eastAsia="en-US"/>
        </w:rPr>
        <w:t xml:space="preserve"> = Q</w:t>
      </w:r>
      <w:r w:rsidRPr="00BB4986">
        <w:rPr>
          <w:rFonts w:eastAsia="Calibri"/>
          <w:sz w:val="28"/>
          <w:szCs w:val="28"/>
          <w:vertAlign w:val="superscript"/>
          <w:lang w:eastAsia="en-US"/>
        </w:rPr>
        <w:t>2021</w:t>
      </w:r>
      <w:r w:rsidRPr="00BB4986">
        <w:rPr>
          <w:rFonts w:eastAsia="Calibri"/>
          <w:sz w:val="28"/>
          <w:szCs w:val="28"/>
          <w:vertAlign w:val="subscript"/>
          <w:lang w:val="en-US" w:eastAsia="en-US"/>
        </w:rPr>
        <w:t>V</w:t>
      </w:r>
      <w:r w:rsidRPr="00BB4986">
        <w:rPr>
          <w:rFonts w:eastAsia="Calibri"/>
          <w:sz w:val="28"/>
          <w:szCs w:val="28"/>
          <w:vertAlign w:val="subscript"/>
          <w:lang w:eastAsia="en-US"/>
        </w:rPr>
        <w:t>ар</w:t>
      </w:r>
      <w:r w:rsidRPr="00BB4986">
        <w:rPr>
          <w:rFonts w:eastAsia="Calibri"/>
          <w:sz w:val="28"/>
          <w:szCs w:val="28"/>
          <w:lang w:eastAsia="en-US"/>
        </w:rPr>
        <w:t xml:space="preserve"> / Q</w:t>
      </w:r>
      <w:r w:rsidRPr="00BB4986">
        <w:rPr>
          <w:rFonts w:eastAsia="Calibri"/>
          <w:sz w:val="28"/>
          <w:szCs w:val="28"/>
          <w:vertAlign w:val="superscript"/>
          <w:lang w:eastAsia="en-US"/>
        </w:rPr>
        <w:t>2020</w:t>
      </w:r>
      <w:r w:rsidRPr="00BB4986">
        <w:rPr>
          <w:rFonts w:eastAsia="Calibri"/>
          <w:sz w:val="28"/>
          <w:szCs w:val="28"/>
          <w:vertAlign w:val="subscript"/>
          <w:lang w:val="en-US" w:eastAsia="en-US"/>
        </w:rPr>
        <w:t>V</w:t>
      </w:r>
      <w:r w:rsidRPr="00BB4986">
        <w:rPr>
          <w:rFonts w:eastAsia="Calibri"/>
          <w:sz w:val="28"/>
          <w:szCs w:val="28"/>
          <w:vertAlign w:val="subscript"/>
          <w:lang w:eastAsia="en-US"/>
        </w:rPr>
        <w:t>ар</w:t>
      </w:r>
      <w:r w:rsidRPr="00BB4986">
        <w:rPr>
          <w:rFonts w:eastAsia="Calibri"/>
          <w:sz w:val="28"/>
          <w:szCs w:val="28"/>
          <w:lang w:eastAsia="en-US"/>
        </w:rPr>
        <w:t>,</w:t>
      </w:r>
    </w:p>
    <w:p w:rsidR="00CE1891" w:rsidRPr="00BB4986" w:rsidRDefault="00CE1891" w:rsidP="00CE1891">
      <w:pPr>
        <w:widowControl w:val="0"/>
        <w:ind w:firstLine="709"/>
        <w:jc w:val="center"/>
        <w:rPr>
          <w:rFonts w:eastAsia="Calibri"/>
          <w:sz w:val="28"/>
          <w:szCs w:val="28"/>
          <w:lang w:eastAsia="en-US"/>
        </w:rPr>
      </w:pPr>
      <w:r w:rsidRPr="00BB4986">
        <w:rPr>
          <w:rFonts w:eastAsia="Calibri"/>
          <w:sz w:val="28"/>
          <w:szCs w:val="28"/>
          <w:lang w:eastAsia="en-US"/>
        </w:rPr>
        <w:t>1,0  = 15,1 /15,1</w:t>
      </w:r>
    </w:p>
    <w:p w:rsidR="00CE1891" w:rsidRPr="00BB4986" w:rsidRDefault="00CE1891" w:rsidP="00CE1891">
      <w:pPr>
        <w:widowControl w:val="0"/>
        <w:ind w:firstLine="709"/>
        <w:jc w:val="center"/>
        <w:rPr>
          <w:rFonts w:eastAsia="Calibri"/>
          <w:sz w:val="28"/>
          <w:szCs w:val="28"/>
          <w:lang w:eastAsia="en-US"/>
        </w:rPr>
      </w:pPr>
    </w:p>
    <w:p w:rsidR="00CE1891" w:rsidRPr="00BB4986" w:rsidRDefault="00CE1891" w:rsidP="00CE1891">
      <w:pPr>
        <w:widowControl w:val="0"/>
        <w:ind w:firstLine="709"/>
        <w:jc w:val="both"/>
        <w:rPr>
          <w:rFonts w:eastAsia="Calibri"/>
          <w:sz w:val="28"/>
          <w:szCs w:val="28"/>
          <w:lang w:eastAsia="en-US"/>
        </w:rPr>
      </w:pPr>
      <w:r w:rsidRPr="00BB4986">
        <w:rPr>
          <w:rFonts w:eastAsia="Calibri"/>
          <w:sz w:val="28"/>
          <w:szCs w:val="28"/>
          <w:lang w:eastAsia="en-US"/>
        </w:rPr>
        <w:t>где:</w:t>
      </w:r>
    </w:p>
    <w:p w:rsidR="00CE1891" w:rsidRPr="00BB4986" w:rsidRDefault="00CE1891" w:rsidP="00CE1891">
      <w:pPr>
        <w:widowControl w:val="0"/>
        <w:ind w:firstLine="709"/>
        <w:jc w:val="both"/>
        <w:rPr>
          <w:rFonts w:eastAsia="Calibri"/>
          <w:sz w:val="28"/>
          <w:szCs w:val="28"/>
          <w:lang w:eastAsia="en-US"/>
        </w:rPr>
      </w:pPr>
      <w:r w:rsidRPr="00BB4986">
        <w:rPr>
          <w:rFonts w:eastAsia="Calibri"/>
          <w:sz w:val="28"/>
          <w:szCs w:val="28"/>
          <w:lang w:eastAsia="en-US"/>
        </w:rPr>
        <w:t>Q</w:t>
      </w:r>
      <w:r w:rsidRPr="00BB4986">
        <w:rPr>
          <w:rFonts w:eastAsia="Calibri"/>
          <w:sz w:val="28"/>
          <w:szCs w:val="28"/>
          <w:vertAlign w:val="superscript"/>
          <w:lang w:eastAsia="en-US"/>
        </w:rPr>
        <w:t>2021</w:t>
      </w:r>
      <w:r w:rsidRPr="00BB4986">
        <w:rPr>
          <w:rFonts w:eastAsia="Calibri"/>
          <w:sz w:val="28"/>
          <w:szCs w:val="28"/>
          <w:vertAlign w:val="subscript"/>
          <w:lang w:val="en-US" w:eastAsia="en-US"/>
        </w:rPr>
        <w:t>V</w:t>
      </w:r>
      <w:r w:rsidRPr="00BB4986">
        <w:rPr>
          <w:rFonts w:eastAsia="Calibri"/>
          <w:sz w:val="28"/>
          <w:szCs w:val="28"/>
          <w:vertAlign w:val="subscript"/>
          <w:lang w:eastAsia="en-US"/>
        </w:rPr>
        <w:t>ар</w:t>
      </w:r>
      <w:r w:rsidRPr="00BB4986">
        <w:rPr>
          <w:rFonts w:eastAsia="Calibri"/>
          <w:sz w:val="28"/>
          <w:szCs w:val="28"/>
          <w:lang w:eastAsia="en-US"/>
        </w:rPr>
        <w:t xml:space="preserve"> </w:t>
      </w:r>
      <w:r w:rsidRPr="00BB4986">
        <w:rPr>
          <w:rFonts w:eastAsia="Constantia"/>
          <w:i/>
          <w:iCs/>
          <w:sz w:val="28"/>
          <w:szCs w:val="28"/>
          <w:lang w:bidi="ru-RU"/>
        </w:rPr>
        <w:t>-</w:t>
      </w:r>
      <w:r w:rsidRPr="00BB4986">
        <w:rPr>
          <w:rFonts w:eastAsia="Calibri"/>
          <w:sz w:val="28"/>
          <w:szCs w:val="28"/>
          <w:lang w:eastAsia="en-US"/>
        </w:rPr>
        <w:t xml:space="preserve"> объем лесных ресурсов (за исключением древесины), подлежащий заготовке по договорам аренды лесных участков, находящихся в федеральной собственности, за 2021 год, 15,1 т;</w:t>
      </w:r>
    </w:p>
    <w:p w:rsidR="00CE1891" w:rsidRPr="00BB4986" w:rsidRDefault="00CE1891" w:rsidP="00CE1891">
      <w:pPr>
        <w:widowControl w:val="0"/>
        <w:ind w:firstLine="709"/>
        <w:jc w:val="both"/>
        <w:rPr>
          <w:rFonts w:eastAsia="Calibri"/>
          <w:sz w:val="28"/>
          <w:szCs w:val="28"/>
          <w:lang w:eastAsia="en-US"/>
        </w:rPr>
      </w:pPr>
      <w:r w:rsidRPr="00BB4986">
        <w:rPr>
          <w:rFonts w:eastAsia="Calibri"/>
          <w:sz w:val="28"/>
          <w:szCs w:val="28"/>
          <w:lang w:eastAsia="en-US"/>
        </w:rPr>
        <w:t>Q</w:t>
      </w:r>
      <w:r w:rsidRPr="00BB4986">
        <w:rPr>
          <w:rFonts w:eastAsia="Calibri"/>
          <w:sz w:val="28"/>
          <w:szCs w:val="28"/>
          <w:vertAlign w:val="superscript"/>
          <w:lang w:eastAsia="en-US"/>
        </w:rPr>
        <w:t>2020</w:t>
      </w:r>
      <w:r w:rsidRPr="00BB4986">
        <w:rPr>
          <w:rFonts w:eastAsia="Calibri"/>
          <w:sz w:val="28"/>
          <w:szCs w:val="28"/>
          <w:vertAlign w:val="subscript"/>
          <w:lang w:eastAsia="en-US"/>
        </w:rPr>
        <w:t>ар</w:t>
      </w:r>
      <w:r w:rsidRPr="00BB4986">
        <w:rPr>
          <w:rFonts w:eastAsia="Calibri"/>
          <w:sz w:val="28"/>
          <w:szCs w:val="28"/>
          <w:lang w:eastAsia="en-US"/>
        </w:rPr>
        <w:t xml:space="preserve"> </w:t>
      </w:r>
      <w:r w:rsidRPr="00BB4986">
        <w:rPr>
          <w:rFonts w:eastAsia="Constantia"/>
          <w:i/>
          <w:iCs/>
          <w:sz w:val="28"/>
          <w:szCs w:val="28"/>
          <w:lang w:bidi="ru-RU"/>
        </w:rPr>
        <w:t>-</w:t>
      </w:r>
      <w:r w:rsidRPr="00BB4986">
        <w:rPr>
          <w:rFonts w:eastAsia="Calibri"/>
          <w:sz w:val="28"/>
          <w:szCs w:val="28"/>
          <w:lang w:eastAsia="en-US"/>
        </w:rPr>
        <w:t xml:space="preserve"> объем лесных ресурсов (за исключением древесины), подлежащий заготовке по договорам аренды лесных участков, находящихся в федеральной собственности, за предыдущий год, за 2020 год, 15,1 т.</w:t>
      </w:r>
    </w:p>
    <w:p w:rsidR="00CE1891" w:rsidRPr="00BB4986" w:rsidRDefault="00CE1891" w:rsidP="00CE1891">
      <w:pPr>
        <w:widowControl w:val="0"/>
        <w:ind w:firstLine="709"/>
        <w:jc w:val="both"/>
        <w:rPr>
          <w:rFonts w:eastAsia="Calibri"/>
          <w:sz w:val="28"/>
          <w:szCs w:val="28"/>
          <w:lang w:eastAsia="en-US"/>
        </w:rPr>
      </w:pPr>
    </w:p>
    <w:p w:rsidR="00CE1891" w:rsidRPr="00BB4986" w:rsidRDefault="00CE1891" w:rsidP="00CE1891">
      <w:pPr>
        <w:widowControl w:val="0"/>
        <w:ind w:firstLine="709"/>
        <w:jc w:val="both"/>
        <w:rPr>
          <w:rFonts w:eastAsia="Calibri"/>
          <w:sz w:val="28"/>
          <w:szCs w:val="28"/>
          <w:lang w:eastAsia="en-US"/>
        </w:rPr>
      </w:pPr>
      <w:r w:rsidRPr="00BB4986">
        <w:rPr>
          <w:rFonts w:eastAsia="Calibri"/>
          <w:sz w:val="28"/>
          <w:szCs w:val="28"/>
          <w:lang w:eastAsia="en-US"/>
        </w:rPr>
        <w:t>б) Т</w:t>
      </w:r>
      <w:r w:rsidRPr="00BB4986">
        <w:rPr>
          <w:rFonts w:eastAsia="Calibri"/>
          <w:sz w:val="28"/>
          <w:szCs w:val="28"/>
          <w:vertAlign w:val="subscript"/>
          <w:lang w:val="en-US" w:eastAsia="en-US"/>
        </w:rPr>
        <w:t>V</w:t>
      </w:r>
      <w:r w:rsidRPr="00BB4986">
        <w:rPr>
          <w:rFonts w:eastAsia="Calibri"/>
          <w:sz w:val="28"/>
          <w:szCs w:val="28"/>
          <w:vertAlign w:val="subscript"/>
          <w:lang w:eastAsia="en-US"/>
        </w:rPr>
        <w:t>ар</w:t>
      </w:r>
      <w:r w:rsidRPr="00BB4986">
        <w:rPr>
          <w:rFonts w:eastAsia="Calibri"/>
          <w:sz w:val="28"/>
          <w:szCs w:val="28"/>
          <w:vertAlign w:val="superscript"/>
          <w:lang w:eastAsia="en-US"/>
        </w:rPr>
        <w:t>2022</w:t>
      </w:r>
      <w:r w:rsidRPr="00BB4986">
        <w:rPr>
          <w:rFonts w:eastAsia="Calibri"/>
          <w:sz w:val="28"/>
          <w:szCs w:val="28"/>
          <w:lang w:eastAsia="en-US"/>
        </w:rPr>
        <w:t xml:space="preserve"> </w:t>
      </w:r>
      <w:r w:rsidRPr="00BB4986">
        <w:rPr>
          <w:rFonts w:eastAsia="Constantia"/>
          <w:i/>
          <w:iCs/>
          <w:sz w:val="28"/>
          <w:szCs w:val="28"/>
          <w:lang w:bidi="ru-RU"/>
        </w:rPr>
        <w:t>-</w:t>
      </w:r>
      <w:r w:rsidRPr="00BB4986">
        <w:rPr>
          <w:rFonts w:eastAsia="Calibri"/>
          <w:sz w:val="28"/>
          <w:szCs w:val="28"/>
          <w:lang w:eastAsia="en-US"/>
        </w:rPr>
        <w:t xml:space="preserve"> темп роста (снижения) объема лесных ресурсов (за исключением древесины), подлежащего заготовке по договорам аренды </w:t>
      </w:r>
      <w:r w:rsidRPr="00BB4986">
        <w:rPr>
          <w:rFonts w:eastAsia="Calibri"/>
          <w:sz w:val="28"/>
          <w:szCs w:val="28"/>
          <w:lang w:eastAsia="en-US"/>
        </w:rPr>
        <w:lastRenderedPageBreak/>
        <w:t>лесных участков, находящихся в федеральной собственности, за 2022 год (ед.), 1,0:</w:t>
      </w:r>
    </w:p>
    <w:p w:rsidR="00CE1891" w:rsidRPr="00BB4986" w:rsidRDefault="00CE1891" w:rsidP="00CE1891">
      <w:pPr>
        <w:widowControl w:val="0"/>
        <w:ind w:firstLine="709"/>
        <w:jc w:val="both"/>
        <w:rPr>
          <w:rFonts w:eastAsia="Calibri"/>
          <w:sz w:val="28"/>
          <w:szCs w:val="28"/>
          <w:lang w:eastAsia="en-US"/>
        </w:rPr>
      </w:pPr>
    </w:p>
    <w:p w:rsidR="00CE1891" w:rsidRPr="00BB4986" w:rsidRDefault="00CE1891" w:rsidP="00CE1891">
      <w:pPr>
        <w:widowControl w:val="0"/>
        <w:ind w:firstLine="709"/>
        <w:jc w:val="center"/>
        <w:rPr>
          <w:rFonts w:eastAsia="Calibri"/>
          <w:sz w:val="28"/>
          <w:szCs w:val="28"/>
          <w:lang w:eastAsia="en-US"/>
        </w:rPr>
      </w:pPr>
      <w:r w:rsidRPr="00BB4986">
        <w:rPr>
          <w:rFonts w:eastAsia="Calibri"/>
          <w:sz w:val="28"/>
          <w:szCs w:val="28"/>
          <w:lang w:eastAsia="en-US"/>
        </w:rPr>
        <w:t>Т</w:t>
      </w:r>
      <w:r w:rsidRPr="00BB4986">
        <w:rPr>
          <w:rFonts w:eastAsia="Calibri"/>
          <w:sz w:val="28"/>
          <w:szCs w:val="28"/>
          <w:vertAlign w:val="subscript"/>
          <w:lang w:val="en-US" w:eastAsia="en-US"/>
        </w:rPr>
        <w:t>V</w:t>
      </w:r>
      <w:r w:rsidRPr="00BB4986">
        <w:rPr>
          <w:rFonts w:eastAsia="Calibri"/>
          <w:sz w:val="28"/>
          <w:szCs w:val="28"/>
          <w:vertAlign w:val="subscript"/>
          <w:lang w:eastAsia="en-US"/>
        </w:rPr>
        <w:t>ар</w:t>
      </w:r>
      <w:r w:rsidRPr="00BB4986">
        <w:rPr>
          <w:rFonts w:eastAsia="Calibri"/>
          <w:sz w:val="28"/>
          <w:szCs w:val="28"/>
          <w:vertAlign w:val="superscript"/>
          <w:lang w:eastAsia="en-US"/>
        </w:rPr>
        <w:t>2022</w:t>
      </w:r>
      <w:r w:rsidRPr="00BB4986">
        <w:rPr>
          <w:rFonts w:eastAsia="Calibri"/>
          <w:sz w:val="28"/>
          <w:szCs w:val="28"/>
          <w:lang w:eastAsia="en-US"/>
        </w:rPr>
        <w:t xml:space="preserve"> = Q</w:t>
      </w:r>
      <w:r w:rsidRPr="00BB4986">
        <w:rPr>
          <w:rFonts w:eastAsia="Calibri"/>
          <w:sz w:val="28"/>
          <w:szCs w:val="28"/>
          <w:vertAlign w:val="superscript"/>
          <w:lang w:eastAsia="en-US"/>
        </w:rPr>
        <w:t>2022</w:t>
      </w:r>
      <w:r w:rsidRPr="00BB4986">
        <w:rPr>
          <w:rFonts w:eastAsia="Calibri"/>
          <w:sz w:val="28"/>
          <w:szCs w:val="28"/>
          <w:vertAlign w:val="subscript"/>
          <w:lang w:val="en-US" w:eastAsia="en-US"/>
        </w:rPr>
        <w:t>V</w:t>
      </w:r>
      <w:r w:rsidRPr="00BB4986">
        <w:rPr>
          <w:rFonts w:eastAsia="Calibri"/>
          <w:sz w:val="28"/>
          <w:szCs w:val="28"/>
          <w:vertAlign w:val="subscript"/>
          <w:lang w:eastAsia="en-US"/>
        </w:rPr>
        <w:t>ар</w:t>
      </w:r>
      <w:r w:rsidRPr="00BB4986">
        <w:rPr>
          <w:rFonts w:eastAsia="Calibri"/>
          <w:sz w:val="28"/>
          <w:szCs w:val="28"/>
          <w:lang w:eastAsia="en-US"/>
        </w:rPr>
        <w:t xml:space="preserve"> / Q</w:t>
      </w:r>
      <w:r w:rsidRPr="00BB4986">
        <w:rPr>
          <w:rFonts w:eastAsia="Calibri"/>
          <w:sz w:val="28"/>
          <w:szCs w:val="28"/>
          <w:vertAlign w:val="superscript"/>
          <w:lang w:eastAsia="en-US"/>
        </w:rPr>
        <w:t>2021</w:t>
      </w:r>
      <w:r w:rsidRPr="00BB4986">
        <w:rPr>
          <w:rFonts w:eastAsia="Calibri"/>
          <w:sz w:val="28"/>
          <w:szCs w:val="28"/>
          <w:vertAlign w:val="subscript"/>
          <w:lang w:val="en-US" w:eastAsia="en-US"/>
        </w:rPr>
        <w:t>V</w:t>
      </w:r>
      <w:r w:rsidRPr="00BB4986">
        <w:rPr>
          <w:rFonts w:eastAsia="Calibri"/>
          <w:sz w:val="28"/>
          <w:szCs w:val="28"/>
          <w:vertAlign w:val="subscript"/>
          <w:lang w:eastAsia="en-US"/>
        </w:rPr>
        <w:t>ар</w:t>
      </w:r>
      <w:r w:rsidRPr="00BB4986">
        <w:rPr>
          <w:rFonts w:eastAsia="Calibri"/>
          <w:sz w:val="28"/>
          <w:szCs w:val="28"/>
          <w:lang w:eastAsia="en-US"/>
        </w:rPr>
        <w:t>,</w:t>
      </w:r>
    </w:p>
    <w:p w:rsidR="00CE1891" w:rsidRPr="00BB4986" w:rsidRDefault="00CE1891" w:rsidP="00CE1891">
      <w:pPr>
        <w:widowControl w:val="0"/>
        <w:ind w:firstLine="709"/>
        <w:jc w:val="center"/>
        <w:rPr>
          <w:rFonts w:eastAsia="Calibri"/>
          <w:sz w:val="28"/>
          <w:szCs w:val="28"/>
          <w:lang w:eastAsia="en-US"/>
        </w:rPr>
      </w:pPr>
      <w:r w:rsidRPr="00BB4986">
        <w:rPr>
          <w:rFonts w:eastAsia="Calibri"/>
          <w:sz w:val="28"/>
          <w:szCs w:val="28"/>
          <w:lang w:eastAsia="en-US"/>
        </w:rPr>
        <w:t>1,0  = 15,1 /15,1</w:t>
      </w:r>
    </w:p>
    <w:p w:rsidR="00CE1891" w:rsidRPr="00BB4986" w:rsidRDefault="00CE1891" w:rsidP="00CE1891">
      <w:pPr>
        <w:widowControl w:val="0"/>
        <w:ind w:firstLine="709"/>
        <w:jc w:val="center"/>
        <w:rPr>
          <w:rFonts w:eastAsia="Calibri"/>
          <w:sz w:val="28"/>
          <w:szCs w:val="28"/>
          <w:lang w:eastAsia="en-US"/>
        </w:rPr>
      </w:pPr>
    </w:p>
    <w:p w:rsidR="00CE1891" w:rsidRPr="00BB4986" w:rsidRDefault="00CE1891" w:rsidP="00CE1891">
      <w:pPr>
        <w:widowControl w:val="0"/>
        <w:ind w:firstLine="709"/>
        <w:jc w:val="both"/>
        <w:rPr>
          <w:rFonts w:eastAsia="Calibri"/>
          <w:sz w:val="28"/>
          <w:szCs w:val="28"/>
          <w:lang w:eastAsia="en-US"/>
        </w:rPr>
      </w:pPr>
      <w:r w:rsidRPr="00BB4986">
        <w:rPr>
          <w:rFonts w:eastAsia="Calibri"/>
          <w:sz w:val="28"/>
          <w:szCs w:val="28"/>
          <w:lang w:eastAsia="en-US"/>
        </w:rPr>
        <w:t>где:</w:t>
      </w:r>
    </w:p>
    <w:p w:rsidR="00CE1891" w:rsidRPr="00BB4986" w:rsidRDefault="00CE1891" w:rsidP="00CE1891">
      <w:pPr>
        <w:widowControl w:val="0"/>
        <w:ind w:firstLine="709"/>
        <w:jc w:val="both"/>
        <w:rPr>
          <w:rFonts w:eastAsia="Calibri"/>
          <w:sz w:val="28"/>
          <w:szCs w:val="28"/>
          <w:lang w:eastAsia="en-US"/>
        </w:rPr>
      </w:pPr>
      <w:r w:rsidRPr="00BB4986">
        <w:rPr>
          <w:rFonts w:eastAsia="Calibri"/>
          <w:sz w:val="28"/>
          <w:szCs w:val="28"/>
          <w:lang w:eastAsia="en-US"/>
        </w:rPr>
        <w:t>Q</w:t>
      </w:r>
      <w:r w:rsidRPr="00BB4986">
        <w:rPr>
          <w:rFonts w:eastAsia="Calibri"/>
          <w:sz w:val="28"/>
          <w:szCs w:val="28"/>
          <w:vertAlign w:val="superscript"/>
          <w:lang w:eastAsia="en-US"/>
        </w:rPr>
        <w:t>2022</w:t>
      </w:r>
      <w:r w:rsidRPr="00BB4986">
        <w:rPr>
          <w:rFonts w:eastAsia="Calibri"/>
          <w:sz w:val="28"/>
          <w:szCs w:val="28"/>
          <w:vertAlign w:val="subscript"/>
          <w:lang w:val="en-US" w:eastAsia="en-US"/>
        </w:rPr>
        <w:t>V</w:t>
      </w:r>
      <w:r w:rsidRPr="00BB4986">
        <w:rPr>
          <w:rFonts w:eastAsia="Calibri"/>
          <w:sz w:val="28"/>
          <w:szCs w:val="28"/>
          <w:vertAlign w:val="subscript"/>
          <w:lang w:eastAsia="en-US"/>
        </w:rPr>
        <w:t>ар</w:t>
      </w:r>
      <w:r w:rsidRPr="00BB4986">
        <w:rPr>
          <w:rFonts w:eastAsia="Calibri"/>
          <w:sz w:val="28"/>
          <w:szCs w:val="28"/>
          <w:lang w:eastAsia="en-US"/>
        </w:rPr>
        <w:t xml:space="preserve"> </w:t>
      </w:r>
      <w:r w:rsidRPr="00BB4986">
        <w:rPr>
          <w:rFonts w:eastAsia="Constantia"/>
          <w:i/>
          <w:iCs/>
          <w:sz w:val="28"/>
          <w:szCs w:val="28"/>
          <w:lang w:bidi="ru-RU"/>
        </w:rPr>
        <w:t>-</w:t>
      </w:r>
      <w:r w:rsidRPr="00BB4986">
        <w:rPr>
          <w:rFonts w:eastAsia="Calibri"/>
          <w:sz w:val="28"/>
          <w:szCs w:val="28"/>
          <w:lang w:eastAsia="en-US"/>
        </w:rPr>
        <w:t xml:space="preserve"> объем лесных ресурсов (за исключением древесины), подлежащий заготовке по договорам аренды лесных участков, находящихся в федеральной собственности, за 2022 год, 15,1 т;</w:t>
      </w:r>
    </w:p>
    <w:p w:rsidR="00CE1891" w:rsidRPr="00BB4986" w:rsidRDefault="00CE1891" w:rsidP="00CE1891">
      <w:pPr>
        <w:widowControl w:val="0"/>
        <w:ind w:firstLine="709"/>
        <w:jc w:val="both"/>
        <w:rPr>
          <w:rFonts w:eastAsia="Calibri"/>
          <w:sz w:val="28"/>
          <w:szCs w:val="28"/>
          <w:lang w:eastAsia="en-US"/>
        </w:rPr>
      </w:pPr>
      <w:r w:rsidRPr="00BB4986">
        <w:rPr>
          <w:rFonts w:eastAsia="Calibri"/>
          <w:sz w:val="28"/>
          <w:szCs w:val="28"/>
          <w:lang w:eastAsia="en-US"/>
        </w:rPr>
        <w:t>Q</w:t>
      </w:r>
      <w:r w:rsidRPr="00BB4986">
        <w:rPr>
          <w:rFonts w:eastAsia="Calibri"/>
          <w:sz w:val="28"/>
          <w:szCs w:val="28"/>
          <w:vertAlign w:val="superscript"/>
          <w:lang w:eastAsia="en-US"/>
        </w:rPr>
        <w:t>2021</w:t>
      </w:r>
      <w:r w:rsidRPr="00BB4986">
        <w:rPr>
          <w:rFonts w:eastAsia="Calibri"/>
          <w:sz w:val="28"/>
          <w:szCs w:val="28"/>
          <w:vertAlign w:val="subscript"/>
          <w:lang w:eastAsia="en-US"/>
        </w:rPr>
        <w:t>ар</w:t>
      </w:r>
      <w:r w:rsidRPr="00BB4986">
        <w:rPr>
          <w:rFonts w:eastAsia="Calibri"/>
          <w:sz w:val="28"/>
          <w:szCs w:val="28"/>
          <w:lang w:eastAsia="en-US"/>
        </w:rPr>
        <w:t xml:space="preserve"> </w:t>
      </w:r>
      <w:r w:rsidRPr="00BB4986">
        <w:rPr>
          <w:rFonts w:eastAsia="Constantia"/>
          <w:i/>
          <w:iCs/>
          <w:sz w:val="28"/>
          <w:szCs w:val="28"/>
          <w:lang w:bidi="ru-RU"/>
        </w:rPr>
        <w:t>-</w:t>
      </w:r>
      <w:r w:rsidRPr="00BB4986">
        <w:rPr>
          <w:rFonts w:eastAsia="Calibri"/>
          <w:sz w:val="28"/>
          <w:szCs w:val="28"/>
          <w:lang w:eastAsia="en-US"/>
        </w:rPr>
        <w:t xml:space="preserve"> объем лесных ресурсов (за исключением древесины), подлежащий заготовке по договорам аренды лесных участков, находящихся в федеральной собственности, за предыдущий год, за 2021 год, 15,1 т;</w:t>
      </w:r>
    </w:p>
    <w:p w:rsidR="00CE1891" w:rsidRPr="00BB4986" w:rsidRDefault="00CE1891" w:rsidP="00CE1891">
      <w:pPr>
        <w:widowControl w:val="0"/>
        <w:ind w:firstLine="709"/>
        <w:jc w:val="both"/>
        <w:rPr>
          <w:rFonts w:eastAsia="Calibri"/>
          <w:sz w:val="28"/>
          <w:szCs w:val="28"/>
          <w:lang w:eastAsia="en-US"/>
        </w:rPr>
      </w:pPr>
    </w:p>
    <w:p w:rsidR="00CE1891" w:rsidRPr="00BB4986" w:rsidRDefault="00CE1891" w:rsidP="00CE1891">
      <w:pPr>
        <w:widowControl w:val="0"/>
        <w:ind w:firstLine="709"/>
        <w:jc w:val="both"/>
        <w:rPr>
          <w:rFonts w:eastAsia="Calibri"/>
          <w:sz w:val="28"/>
          <w:szCs w:val="28"/>
          <w:lang w:eastAsia="en-US"/>
        </w:rPr>
      </w:pPr>
      <w:r w:rsidRPr="00BB4986">
        <w:rPr>
          <w:rFonts w:eastAsia="Calibri"/>
          <w:sz w:val="28"/>
          <w:szCs w:val="28"/>
          <w:lang w:eastAsia="en-US"/>
        </w:rPr>
        <w:t>в) Т</w:t>
      </w:r>
      <w:r w:rsidRPr="00BB4986">
        <w:rPr>
          <w:rFonts w:eastAsia="Calibri"/>
          <w:sz w:val="28"/>
          <w:szCs w:val="28"/>
          <w:vertAlign w:val="subscript"/>
          <w:lang w:val="en-US" w:eastAsia="en-US"/>
        </w:rPr>
        <w:t>V</w:t>
      </w:r>
      <w:r w:rsidRPr="00BB4986">
        <w:rPr>
          <w:rFonts w:eastAsia="Calibri"/>
          <w:sz w:val="28"/>
          <w:szCs w:val="28"/>
          <w:vertAlign w:val="subscript"/>
          <w:lang w:eastAsia="en-US"/>
        </w:rPr>
        <w:t>ар</w:t>
      </w:r>
      <w:r w:rsidRPr="00BB4986">
        <w:rPr>
          <w:rFonts w:eastAsia="Calibri"/>
          <w:sz w:val="28"/>
          <w:szCs w:val="28"/>
          <w:vertAlign w:val="superscript"/>
          <w:lang w:eastAsia="en-US"/>
        </w:rPr>
        <w:t>2023</w:t>
      </w:r>
      <w:r w:rsidRPr="00BB4986">
        <w:rPr>
          <w:rFonts w:eastAsia="Calibri"/>
          <w:sz w:val="28"/>
          <w:szCs w:val="28"/>
          <w:lang w:eastAsia="en-US"/>
        </w:rPr>
        <w:t xml:space="preserve"> </w:t>
      </w:r>
      <w:r w:rsidRPr="00BB4986">
        <w:rPr>
          <w:rFonts w:eastAsia="Constantia"/>
          <w:i/>
          <w:iCs/>
          <w:sz w:val="28"/>
          <w:szCs w:val="28"/>
          <w:lang w:bidi="ru-RU"/>
        </w:rPr>
        <w:t>-</w:t>
      </w:r>
      <w:r w:rsidRPr="00BB4986">
        <w:rPr>
          <w:rFonts w:eastAsia="Calibri"/>
          <w:sz w:val="28"/>
          <w:szCs w:val="28"/>
          <w:lang w:eastAsia="en-US"/>
        </w:rPr>
        <w:t xml:space="preserve"> темп роста (снижения) объема лесных ресурсов (за исключением древесины), подлежащего заготовке по договорам аренды лесных участков, находящихся в федеральной собственности, за 2023 год (ед.), 1,0:</w:t>
      </w:r>
    </w:p>
    <w:p w:rsidR="00CE1891" w:rsidRPr="00BB4986" w:rsidRDefault="00CE1891" w:rsidP="00CE1891">
      <w:pPr>
        <w:widowControl w:val="0"/>
        <w:ind w:firstLine="709"/>
        <w:jc w:val="both"/>
        <w:rPr>
          <w:rFonts w:eastAsia="Calibri"/>
          <w:sz w:val="28"/>
          <w:szCs w:val="28"/>
          <w:lang w:eastAsia="en-US"/>
        </w:rPr>
      </w:pPr>
    </w:p>
    <w:p w:rsidR="00CE1891" w:rsidRPr="00BB4986" w:rsidRDefault="00CE1891" w:rsidP="00CE1891">
      <w:pPr>
        <w:widowControl w:val="0"/>
        <w:ind w:firstLine="709"/>
        <w:jc w:val="center"/>
        <w:rPr>
          <w:rFonts w:eastAsia="Calibri"/>
          <w:sz w:val="28"/>
          <w:szCs w:val="28"/>
          <w:lang w:eastAsia="en-US"/>
        </w:rPr>
      </w:pPr>
      <w:r w:rsidRPr="00BB4986">
        <w:rPr>
          <w:rFonts w:eastAsia="Calibri"/>
          <w:sz w:val="28"/>
          <w:szCs w:val="28"/>
          <w:lang w:eastAsia="en-US"/>
        </w:rPr>
        <w:t>Т</w:t>
      </w:r>
      <w:r w:rsidRPr="00BB4986">
        <w:rPr>
          <w:rFonts w:eastAsia="Calibri"/>
          <w:sz w:val="28"/>
          <w:szCs w:val="28"/>
          <w:vertAlign w:val="subscript"/>
          <w:lang w:val="en-US" w:eastAsia="en-US"/>
        </w:rPr>
        <w:t>V</w:t>
      </w:r>
      <w:r w:rsidRPr="00BB4986">
        <w:rPr>
          <w:rFonts w:eastAsia="Calibri"/>
          <w:sz w:val="28"/>
          <w:szCs w:val="28"/>
          <w:vertAlign w:val="subscript"/>
          <w:lang w:eastAsia="en-US"/>
        </w:rPr>
        <w:t>ар</w:t>
      </w:r>
      <w:r w:rsidRPr="00BB4986">
        <w:rPr>
          <w:rFonts w:eastAsia="Calibri"/>
          <w:sz w:val="28"/>
          <w:szCs w:val="28"/>
          <w:vertAlign w:val="superscript"/>
          <w:lang w:eastAsia="en-US"/>
        </w:rPr>
        <w:t>2023</w:t>
      </w:r>
      <w:r w:rsidRPr="00BB4986">
        <w:rPr>
          <w:rFonts w:eastAsia="Calibri"/>
          <w:sz w:val="28"/>
          <w:szCs w:val="28"/>
          <w:lang w:eastAsia="en-US"/>
        </w:rPr>
        <w:t xml:space="preserve"> = Q</w:t>
      </w:r>
      <w:r w:rsidRPr="00BB4986">
        <w:rPr>
          <w:rFonts w:eastAsia="Calibri"/>
          <w:sz w:val="28"/>
          <w:szCs w:val="28"/>
          <w:vertAlign w:val="superscript"/>
          <w:lang w:eastAsia="en-US"/>
        </w:rPr>
        <w:t>2023</w:t>
      </w:r>
      <w:r w:rsidRPr="00BB4986">
        <w:rPr>
          <w:rFonts w:eastAsia="Calibri"/>
          <w:sz w:val="28"/>
          <w:szCs w:val="28"/>
          <w:vertAlign w:val="subscript"/>
          <w:lang w:val="en-US" w:eastAsia="en-US"/>
        </w:rPr>
        <w:t>V</w:t>
      </w:r>
      <w:r w:rsidRPr="00BB4986">
        <w:rPr>
          <w:rFonts w:eastAsia="Calibri"/>
          <w:sz w:val="28"/>
          <w:szCs w:val="28"/>
          <w:vertAlign w:val="subscript"/>
          <w:lang w:eastAsia="en-US"/>
        </w:rPr>
        <w:t>ар</w:t>
      </w:r>
      <w:r w:rsidRPr="00BB4986">
        <w:rPr>
          <w:rFonts w:eastAsia="Calibri"/>
          <w:sz w:val="28"/>
          <w:szCs w:val="28"/>
          <w:lang w:eastAsia="en-US"/>
        </w:rPr>
        <w:t xml:space="preserve"> / Q</w:t>
      </w:r>
      <w:r w:rsidRPr="00BB4986">
        <w:rPr>
          <w:rFonts w:eastAsia="Calibri"/>
          <w:sz w:val="28"/>
          <w:szCs w:val="28"/>
          <w:vertAlign w:val="superscript"/>
          <w:lang w:eastAsia="en-US"/>
        </w:rPr>
        <w:t>2022</w:t>
      </w:r>
      <w:r w:rsidRPr="00BB4986">
        <w:rPr>
          <w:rFonts w:eastAsia="Calibri"/>
          <w:sz w:val="28"/>
          <w:szCs w:val="28"/>
          <w:vertAlign w:val="subscript"/>
          <w:lang w:val="en-US" w:eastAsia="en-US"/>
        </w:rPr>
        <w:t>V</w:t>
      </w:r>
      <w:r w:rsidRPr="00BB4986">
        <w:rPr>
          <w:rFonts w:eastAsia="Calibri"/>
          <w:sz w:val="28"/>
          <w:szCs w:val="28"/>
          <w:vertAlign w:val="subscript"/>
          <w:lang w:eastAsia="en-US"/>
        </w:rPr>
        <w:t>ар</w:t>
      </w:r>
      <w:r w:rsidRPr="00BB4986">
        <w:rPr>
          <w:rFonts w:eastAsia="Calibri"/>
          <w:sz w:val="28"/>
          <w:szCs w:val="28"/>
          <w:lang w:eastAsia="en-US"/>
        </w:rPr>
        <w:t>,</w:t>
      </w:r>
    </w:p>
    <w:p w:rsidR="00CE1891" w:rsidRPr="00BB4986" w:rsidRDefault="00CE1891" w:rsidP="00CE1891">
      <w:pPr>
        <w:widowControl w:val="0"/>
        <w:ind w:firstLine="709"/>
        <w:jc w:val="center"/>
        <w:rPr>
          <w:rFonts w:eastAsia="Calibri"/>
          <w:sz w:val="28"/>
          <w:szCs w:val="28"/>
          <w:lang w:eastAsia="en-US"/>
        </w:rPr>
      </w:pPr>
      <w:r w:rsidRPr="00BB4986">
        <w:rPr>
          <w:rFonts w:eastAsia="Calibri"/>
          <w:sz w:val="28"/>
          <w:szCs w:val="28"/>
          <w:lang w:eastAsia="en-US"/>
        </w:rPr>
        <w:t>1,0  = 15,1 /15,1</w:t>
      </w:r>
    </w:p>
    <w:p w:rsidR="00CE1891" w:rsidRPr="00BB4986" w:rsidRDefault="00CE1891" w:rsidP="00CE1891">
      <w:pPr>
        <w:widowControl w:val="0"/>
        <w:ind w:firstLine="709"/>
        <w:jc w:val="center"/>
        <w:rPr>
          <w:rFonts w:eastAsia="Calibri"/>
          <w:sz w:val="28"/>
          <w:szCs w:val="28"/>
          <w:lang w:eastAsia="en-US"/>
        </w:rPr>
      </w:pPr>
    </w:p>
    <w:p w:rsidR="00CE1891" w:rsidRPr="00BB4986" w:rsidRDefault="00CE1891" w:rsidP="00CE1891">
      <w:pPr>
        <w:widowControl w:val="0"/>
        <w:ind w:firstLine="709"/>
        <w:jc w:val="both"/>
        <w:rPr>
          <w:rFonts w:eastAsia="Calibri"/>
          <w:sz w:val="28"/>
          <w:szCs w:val="28"/>
          <w:lang w:eastAsia="en-US"/>
        </w:rPr>
      </w:pPr>
      <w:r w:rsidRPr="00BB4986">
        <w:rPr>
          <w:rFonts w:eastAsia="Calibri"/>
          <w:sz w:val="28"/>
          <w:szCs w:val="28"/>
          <w:lang w:eastAsia="en-US"/>
        </w:rPr>
        <w:t>где:</w:t>
      </w:r>
    </w:p>
    <w:p w:rsidR="00CE1891" w:rsidRPr="00BB4986" w:rsidRDefault="00CE1891" w:rsidP="00CE1891">
      <w:pPr>
        <w:widowControl w:val="0"/>
        <w:ind w:firstLine="709"/>
        <w:jc w:val="both"/>
        <w:rPr>
          <w:rFonts w:eastAsia="Calibri"/>
          <w:sz w:val="28"/>
          <w:szCs w:val="28"/>
          <w:lang w:eastAsia="en-US"/>
        </w:rPr>
      </w:pPr>
      <w:r w:rsidRPr="00BB4986">
        <w:rPr>
          <w:rFonts w:eastAsia="Calibri"/>
          <w:sz w:val="28"/>
          <w:szCs w:val="28"/>
          <w:lang w:eastAsia="en-US"/>
        </w:rPr>
        <w:t>Q</w:t>
      </w:r>
      <w:r w:rsidRPr="00BB4986">
        <w:rPr>
          <w:rFonts w:eastAsia="Calibri"/>
          <w:sz w:val="28"/>
          <w:szCs w:val="28"/>
          <w:vertAlign w:val="superscript"/>
          <w:lang w:eastAsia="en-US"/>
        </w:rPr>
        <w:t>2023</w:t>
      </w:r>
      <w:r w:rsidRPr="00BB4986">
        <w:rPr>
          <w:rFonts w:eastAsia="Calibri"/>
          <w:sz w:val="28"/>
          <w:szCs w:val="28"/>
          <w:vertAlign w:val="subscript"/>
          <w:lang w:val="en-US" w:eastAsia="en-US"/>
        </w:rPr>
        <w:t>V</w:t>
      </w:r>
      <w:r w:rsidRPr="00BB4986">
        <w:rPr>
          <w:rFonts w:eastAsia="Calibri"/>
          <w:sz w:val="28"/>
          <w:szCs w:val="28"/>
          <w:vertAlign w:val="subscript"/>
          <w:lang w:eastAsia="en-US"/>
        </w:rPr>
        <w:t>ар</w:t>
      </w:r>
      <w:r w:rsidRPr="00BB4986">
        <w:rPr>
          <w:rFonts w:eastAsia="Calibri"/>
          <w:sz w:val="28"/>
          <w:szCs w:val="28"/>
          <w:lang w:eastAsia="en-US"/>
        </w:rPr>
        <w:t xml:space="preserve"> </w:t>
      </w:r>
      <w:r w:rsidRPr="00BB4986">
        <w:rPr>
          <w:rFonts w:eastAsia="Constantia"/>
          <w:i/>
          <w:iCs/>
          <w:sz w:val="28"/>
          <w:szCs w:val="28"/>
          <w:lang w:bidi="ru-RU"/>
        </w:rPr>
        <w:t>-</w:t>
      </w:r>
      <w:r w:rsidRPr="00BB4986">
        <w:rPr>
          <w:rFonts w:eastAsia="Calibri"/>
          <w:sz w:val="28"/>
          <w:szCs w:val="28"/>
          <w:lang w:eastAsia="en-US"/>
        </w:rPr>
        <w:t xml:space="preserve"> объем лесных ресурсов (за исключением древесины), подлежащий заготовке по договорам аренды лесных участков, находящихся в федеральной собственности, за 2023 год, 15,1 т;</w:t>
      </w:r>
    </w:p>
    <w:p w:rsidR="00CE1891" w:rsidRPr="00BB4986" w:rsidRDefault="00CE1891" w:rsidP="00CE1891">
      <w:pPr>
        <w:widowControl w:val="0"/>
        <w:ind w:firstLine="709"/>
        <w:jc w:val="both"/>
        <w:rPr>
          <w:rFonts w:eastAsia="Calibri"/>
          <w:sz w:val="28"/>
          <w:szCs w:val="28"/>
          <w:lang w:eastAsia="en-US"/>
        </w:rPr>
      </w:pPr>
      <w:r w:rsidRPr="00BB4986">
        <w:rPr>
          <w:rFonts w:eastAsia="Calibri"/>
          <w:sz w:val="28"/>
          <w:szCs w:val="28"/>
          <w:lang w:eastAsia="en-US"/>
        </w:rPr>
        <w:t>Q</w:t>
      </w:r>
      <w:r w:rsidRPr="00BB4986">
        <w:rPr>
          <w:rFonts w:eastAsia="Calibri"/>
          <w:sz w:val="28"/>
          <w:szCs w:val="28"/>
          <w:vertAlign w:val="superscript"/>
          <w:lang w:eastAsia="en-US"/>
        </w:rPr>
        <w:t>2022</w:t>
      </w:r>
      <w:r w:rsidRPr="00BB4986">
        <w:rPr>
          <w:rFonts w:eastAsia="Calibri"/>
          <w:sz w:val="28"/>
          <w:szCs w:val="28"/>
          <w:vertAlign w:val="subscript"/>
          <w:lang w:eastAsia="en-US"/>
        </w:rPr>
        <w:t>ар</w:t>
      </w:r>
      <w:r w:rsidRPr="00BB4986">
        <w:rPr>
          <w:rFonts w:eastAsia="Calibri"/>
          <w:sz w:val="28"/>
          <w:szCs w:val="28"/>
          <w:lang w:eastAsia="en-US"/>
        </w:rPr>
        <w:t xml:space="preserve"> </w:t>
      </w:r>
      <w:r w:rsidRPr="00BB4986">
        <w:rPr>
          <w:rFonts w:eastAsia="Constantia"/>
          <w:i/>
          <w:iCs/>
          <w:sz w:val="28"/>
          <w:szCs w:val="28"/>
          <w:lang w:bidi="ru-RU"/>
        </w:rPr>
        <w:t>-</w:t>
      </w:r>
      <w:r w:rsidRPr="00BB4986">
        <w:rPr>
          <w:rFonts w:eastAsia="Calibri"/>
          <w:sz w:val="28"/>
          <w:szCs w:val="28"/>
          <w:lang w:eastAsia="en-US"/>
        </w:rPr>
        <w:t xml:space="preserve"> объем лесных ресурсов (за исключением древесины), подлежащий заготовке по договорам аренды лесных участков, находящихся в федеральной собственности, за предыдущий год, за 2022 год, 15,1 т.</w:t>
      </w:r>
    </w:p>
    <w:p w:rsidR="00CE1891" w:rsidRPr="00BB4986" w:rsidRDefault="00CE1891" w:rsidP="00CE1891">
      <w:pPr>
        <w:ind w:firstLine="709"/>
        <w:jc w:val="both"/>
        <w:rPr>
          <w:color w:val="000000"/>
          <w:sz w:val="28"/>
          <w:szCs w:val="28"/>
          <w:lang w:bidi="ru-RU"/>
        </w:rPr>
      </w:pPr>
    </w:p>
    <w:p w:rsidR="00CE1891" w:rsidRDefault="00CE1891" w:rsidP="00CE1891">
      <w:pPr>
        <w:ind w:firstLine="709"/>
        <w:jc w:val="both"/>
        <w:rPr>
          <w:b/>
          <w:color w:val="000000"/>
          <w:sz w:val="28"/>
          <w:szCs w:val="28"/>
          <w:lang w:bidi="ru-RU"/>
        </w:rPr>
      </w:pPr>
      <w:r>
        <w:rPr>
          <w:b/>
          <w:color w:val="000000"/>
          <w:sz w:val="28"/>
          <w:szCs w:val="28"/>
          <w:lang w:bidi="ru-RU"/>
        </w:rPr>
        <w:t>Расчет среднего объема дебиторской задолженности по договорам аренды лесных участков, возможный к поступлению.</w:t>
      </w:r>
    </w:p>
    <w:p w:rsidR="00CE1891" w:rsidRPr="00FC279B" w:rsidRDefault="00CE1891" w:rsidP="00CE1891">
      <w:pPr>
        <w:pStyle w:val="29"/>
        <w:shd w:val="clear" w:color="auto" w:fill="auto"/>
        <w:tabs>
          <w:tab w:val="left" w:pos="9355"/>
        </w:tabs>
        <w:spacing w:before="0" w:line="240" w:lineRule="auto"/>
        <w:ind w:firstLine="709"/>
        <w:rPr>
          <w:b/>
        </w:rPr>
      </w:pPr>
      <w:r w:rsidRPr="00FC279B">
        <w:t>Z</w:t>
      </w:r>
      <w:r w:rsidRPr="00FC279B">
        <w:rPr>
          <w:vertAlign w:val="superscript"/>
        </w:rPr>
        <w:t>ср</w:t>
      </w:r>
      <w:r w:rsidRPr="00FC279B">
        <w:rPr>
          <w:vertAlign w:val="subscript"/>
        </w:rPr>
        <w:t>ap</w:t>
      </w:r>
      <w:r w:rsidRPr="00FC279B">
        <w:rPr>
          <w:rStyle w:val="27"/>
          <w:rFonts w:eastAsia="Constantia"/>
        </w:rPr>
        <w:t xml:space="preserve"> -</w:t>
      </w:r>
      <w:r w:rsidRPr="00FC279B">
        <w:rPr>
          <w:lang w:bidi="ru-RU"/>
        </w:rPr>
        <w:t xml:space="preserve"> средний объем дебиторской задолженности по договорам аренды лесных участков, возможный к поступлению (тыс. руб.). Определяется по формуле:</w:t>
      </w:r>
      <w:r w:rsidRPr="00FC279B">
        <w:rPr>
          <w:b/>
        </w:rPr>
        <w:t xml:space="preserve"> </w:t>
      </w:r>
    </w:p>
    <w:p w:rsidR="00CE1891" w:rsidRPr="00FC279B" w:rsidRDefault="00CE1891" w:rsidP="00CE1891">
      <w:pPr>
        <w:pStyle w:val="29"/>
        <w:shd w:val="clear" w:color="auto" w:fill="auto"/>
        <w:tabs>
          <w:tab w:val="left" w:pos="9355"/>
        </w:tabs>
        <w:spacing w:before="0" w:line="240" w:lineRule="auto"/>
        <w:ind w:firstLine="709"/>
      </w:pPr>
    </w:p>
    <w:p w:rsidR="00CE1891" w:rsidRPr="00FC279B" w:rsidRDefault="00CE1891" w:rsidP="00CE1891">
      <w:pPr>
        <w:pStyle w:val="85"/>
        <w:shd w:val="clear" w:color="auto" w:fill="auto"/>
        <w:spacing w:before="0" w:line="240" w:lineRule="auto"/>
        <w:ind w:firstLine="709"/>
        <w:jc w:val="left"/>
        <w:rPr>
          <w:i w:val="0"/>
          <w:lang w:val="ru-RU"/>
        </w:rPr>
      </w:pPr>
      <w:r w:rsidRPr="00FC279B">
        <w:rPr>
          <w:i w:val="0"/>
        </w:rPr>
        <w:t>Z</w:t>
      </w:r>
      <w:r w:rsidRPr="00FC279B">
        <w:rPr>
          <w:i w:val="0"/>
          <w:vertAlign w:val="superscript"/>
          <w:lang w:val="ru-RU"/>
        </w:rPr>
        <w:t>ср</w:t>
      </w:r>
      <w:r w:rsidRPr="00FC279B">
        <w:rPr>
          <w:i w:val="0"/>
          <w:vertAlign w:val="subscript"/>
        </w:rPr>
        <w:t>ap</w:t>
      </w:r>
      <w:r w:rsidRPr="00FC279B">
        <w:rPr>
          <w:i w:val="0"/>
          <w:lang w:val="ru-RU"/>
        </w:rPr>
        <w:t xml:space="preserve"> =</w:t>
      </w:r>
      <w:r w:rsidRPr="00FC279B">
        <w:rPr>
          <w:lang w:val="ru-RU"/>
        </w:rPr>
        <w:t>∑</w:t>
      </w:r>
      <w:r w:rsidRPr="00FC279B">
        <w:rPr>
          <w:vertAlign w:val="superscript"/>
          <w:lang w:val="ru-RU"/>
        </w:rPr>
        <w:t>3</w:t>
      </w:r>
      <w:r w:rsidRPr="00FC279B">
        <w:rPr>
          <w:vertAlign w:val="subscript"/>
        </w:rPr>
        <w:t>t</w:t>
      </w:r>
      <w:r w:rsidRPr="00FC279B">
        <w:rPr>
          <w:vertAlign w:val="subscript"/>
          <w:lang w:val="ru-RU"/>
        </w:rPr>
        <w:t>=1</w:t>
      </w:r>
      <w:r w:rsidRPr="00FC279B">
        <w:rPr>
          <w:rStyle w:val="27"/>
          <w:rFonts w:eastAsia="Constantia"/>
        </w:rPr>
        <w:t>Z</w:t>
      </w:r>
      <w:r w:rsidRPr="00FC279B">
        <w:rPr>
          <w:rStyle w:val="27"/>
          <w:rFonts w:eastAsia="Constantia"/>
          <w:vertAlign w:val="subscript"/>
        </w:rPr>
        <w:t>ap</w:t>
      </w:r>
      <w:r w:rsidRPr="00FC279B">
        <w:rPr>
          <w:i w:val="0"/>
          <w:lang w:val="ru-RU"/>
        </w:rPr>
        <w:t xml:space="preserve"> /3,</w:t>
      </w:r>
    </w:p>
    <w:p w:rsidR="00CE1891" w:rsidRPr="00FC279B" w:rsidRDefault="00CE1891" w:rsidP="00CE1891">
      <w:pPr>
        <w:pStyle w:val="85"/>
        <w:shd w:val="clear" w:color="auto" w:fill="auto"/>
        <w:spacing w:before="0" w:line="240" w:lineRule="auto"/>
        <w:ind w:firstLine="709"/>
        <w:jc w:val="left"/>
        <w:rPr>
          <w:i w:val="0"/>
          <w:lang w:val="ru-RU"/>
        </w:rPr>
      </w:pPr>
    </w:p>
    <w:p w:rsidR="00CE1891" w:rsidRPr="00FC279B" w:rsidRDefault="00CE1891" w:rsidP="00CE1891">
      <w:pPr>
        <w:pStyle w:val="29"/>
        <w:shd w:val="clear" w:color="auto" w:fill="auto"/>
        <w:spacing w:before="0" w:line="240" w:lineRule="auto"/>
        <w:ind w:firstLine="709"/>
        <w:rPr>
          <w:lang w:bidi="ru-RU"/>
        </w:rPr>
      </w:pPr>
      <w:r w:rsidRPr="00FC279B">
        <w:rPr>
          <w:lang w:bidi="ru-RU"/>
        </w:rPr>
        <w:t>где:</w:t>
      </w:r>
    </w:p>
    <w:p w:rsidR="00CE1891" w:rsidRPr="00FC279B" w:rsidRDefault="00CE1891" w:rsidP="00CE1891">
      <w:pPr>
        <w:ind w:firstLine="709"/>
        <w:jc w:val="both"/>
        <w:rPr>
          <w:sz w:val="28"/>
          <w:szCs w:val="28"/>
          <w:lang w:bidi="ru-RU"/>
        </w:rPr>
      </w:pPr>
      <w:r w:rsidRPr="00FC279B">
        <w:rPr>
          <w:sz w:val="28"/>
          <w:szCs w:val="28"/>
        </w:rPr>
        <w:t>∑</w:t>
      </w:r>
      <w:r w:rsidRPr="00FC279B">
        <w:rPr>
          <w:sz w:val="28"/>
          <w:szCs w:val="28"/>
          <w:vertAlign w:val="superscript"/>
        </w:rPr>
        <w:t>3</w:t>
      </w:r>
      <w:r w:rsidRPr="00FC279B">
        <w:rPr>
          <w:sz w:val="28"/>
          <w:szCs w:val="28"/>
          <w:vertAlign w:val="subscript"/>
          <w:lang w:val="en-US"/>
        </w:rPr>
        <w:t>t</w:t>
      </w:r>
      <w:r w:rsidRPr="00FC279B">
        <w:rPr>
          <w:sz w:val="28"/>
          <w:szCs w:val="28"/>
          <w:vertAlign w:val="subscript"/>
        </w:rPr>
        <w:t>=1</w:t>
      </w:r>
      <w:r w:rsidRPr="00FC279B">
        <w:rPr>
          <w:rStyle w:val="27"/>
          <w:rFonts w:eastAsia="Constantia"/>
          <w:lang w:val="en-US" w:bidi="en-US"/>
        </w:rPr>
        <w:t>Z</w:t>
      </w:r>
      <w:r w:rsidRPr="00FC279B">
        <w:rPr>
          <w:rStyle w:val="27"/>
          <w:rFonts w:eastAsia="Constantia"/>
          <w:vertAlign w:val="subscript"/>
          <w:lang w:val="en-US" w:bidi="en-US"/>
        </w:rPr>
        <w:t>ap</w:t>
      </w:r>
      <w:r w:rsidRPr="00FC279B">
        <w:rPr>
          <w:sz w:val="28"/>
          <w:szCs w:val="28"/>
        </w:rPr>
        <w:t xml:space="preserve"> </w:t>
      </w:r>
      <w:r w:rsidRPr="00FC279B">
        <w:rPr>
          <w:rStyle w:val="27"/>
          <w:rFonts w:eastAsia="Constantia"/>
          <w:vertAlign w:val="subscript"/>
          <w:lang w:val="en-US" w:bidi="en-US"/>
        </w:rPr>
        <w:t>p</w:t>
      </w:r>
      <w:r w:rsidRPr="00FC279B">
        <w:rPr>
          <w:sz w:val="28"/>
          <w:szCs w:val="28"/>
          <w:lang w:bidi="en-US"/>
        </w:rPr>
        <w:t xml:space="preserve"> </w:t>
      </w:r>
      <w:r w:rsidRPr="00FC279B">
        <w:rPr>
          <w:sz w:val="28"/>
          <w:szCs w:val="28"/>
          <w:lang w:bidi="ru-RU"/>
        </w:rPr>
        <w:t>- сумма годовых величин задолженности (недоимки), возможной к взысканию (общая сумма недоимки, включая долги прошлых периодов, за минусом безнадежной), по договорам аренды лесных участков за три отчетных года, предшествующих прогнозируемому году, тыс. руб.</w:t>
      </w:r>
    </w:p>
    <w:p w:rsidR="00CE1891" w:rsidRPr="00FC279B" w:rsidRDefault="00CE1891" w:rsidP="00CE1891">
      <w:pPr>
        <w:ind w:firstLine="709"/>
        <w:jc w:val="both"/>
        <w:rPr>
          <w:color w:val="000000"/>
          <w:sz w:val="28"/>
          <w:szCs w:val="28"/>
          <w:lang w:bidi="ru-RU"/>
        </w:rPr>
      </w:pPr>
      <w:r w:rsidRPr="00FC279B">
        <w:rPr>
          <w:color w:val="000000"/>
          <w:sz w:val="28"/>
          <w:szCs w:val="28"/>
          <w:lang w:bidi="ru-RU"/>
        </w:rPr>
        <w:t>Фактическое поступление задолженности по договорам аренды лесных участков в областной бюджет Тверской области составило:</w:t>
      </w:r>
    </w:p>
    <w:p w:rsidR="00CE1891" w:rsidRPr="00FC279B" w:rsidRDefault="00CE1891" w:rsidP="00CE1891">
      <w:pPr>
        <w:ind w:firstLine="709"/>
        <w:jc w:val="both"/>
        <w:rPr>
          <w:color w:val="000000"/>
          <w:sz w:val="28"/>
          <w:szCs w:val="28"/>
          <w:lang w:bidi="ru-RU"/>
        </w:rPr>
      </w:pPr>
      <w:r w:rsidRPr="00FC279B">
        <w:rPr>
          <w:color w:val="000000"/>
          <w:sz w:val="28"/>
          <w:szCs w:val="28"/>
          <w:lang w:bidi="ru-RU"/>
        </w:rPr>
        <w:lastRenderedPageBreak/>
        <w:t xml:space="preserve">2018 год – 5 882,1 тыс. руб., 2019 год – 8 633,0 тыс. руб., 2020 год  – 4 405,9 тыс. руб., 2021 год (задолженность прошлых лет) – 15 265,4 тыс. руб. </w:t>
      </w:r>
    </w:p>
    <w:p w:rsidR="00CE1891" w:rsidRPr="00EB040F" w:rsidRDefault="00CE1891" w:rsidP="00CE1891">
      <w:pPr>
        <w:ind w:firstLine="709"/>
        <w:jc w:val="both"/>
        <w:rPr>
          <w:color w:val="000000"/>
          <w:sz w:val="28"/>
          <w:szCs w:val="28"/>
          <w:lang w:bidi="ru-RU"/>
        </w:rPr>
      </w:pPr>
      <w:r w:rsidRPr="00EB040F">
        <w:rPr>
          <w:color w:val="000000"/>
          <w:sz w:val="28"/>
          <w:szCs w:val="28"/>
          <w:lang w:bidi="ru-RU"/>
        </w:rPr>
        <w:t>Сумма задолженности по договорам аренды лесных участков в областной бюджет Тверской области возможная к взысканию с</w:t>
      </w:r>
      <w:r w:rsidRPr="00EB040F">
        <w:rPr>
          <w:sz w:val="28"/>
          <w:szCs w:val="28"/>
        </w:rPr>
        <w:t>огласно данным отчета 2-ОИП «Сведения о поступлении платы за использование лесов в бюджетную систему Российской Федерации»</w:t>
      </w:r>
      <w:r w:rsidRPr="00EB040F">
        <w:rPr>
          <w:rFonts w:eastAsia="Calibri"/>
          <w:sz w:val="28"/>
          <w:szCs w:val="28"/>
          <w:lang w:eastAsia="en-US"/>
        </w:rPr>
        <w:t xml:space="preserve"> утвержденного приказом Минприроды России от 28.12.2015 № 565, </w:t>
      </w:r>
      <w:r w:rsidRPr="00EB040F">
        <w:rPr>
          <w:color w:val="000000"/>
          <w:sz w:val="28"/>
          <w:szCs w:val="28"/>
          <w:lang w:bidi="ru-RU"/>
        </w:rPr>
        <w:t>составила:</w:t>
      </w:r>
    </w:p>
    <w:p w:rsidR="00CE1891" w:rsidRDefault="00CE1891" w:rsidP="00CE1891">
      <w:pPr>
        <w:ind w:firstLine="709"/>
        <w:jc w:val="both"/>
        <w:rPr>
          <w:color w:val="000000"/>
          <w:sz w:val="28"/>
          <w:szCs w:val="28"/>
          <w:lang w:bidi="ru-RU"/>
        </w:rPr>
      </w:pPr>
      <w:r w:rsidRPr="00EB040F">
        <w:rPr>
          <w:color w:val="000000"/>
          <w:sz w:val="28"/>
          <w:szCs w:val="28"/>
          <w:lang w:bidi="ru-RU"/>
        </w:rPr>
        <w:t>2018 год – 11 467,2 тыс. руб., 2019 год – 9 660,8 тыс. руб., 2020 год – 33 292,7 тыс. руб., 2021 год (задолженность прошлых лет) – 18 217,8 тыс. руб.</w:t>
      </w:r>
    </w:p>
    <w:p w:rsidR="00CE1891" w:rsidRDefault="00CE1891" w:rsidP="00CE1891">
      <w:pPr>
        <w:tabs>
          <w:tab w:val="left" w:pos="3195"/>
        </w:tabs>
        <w:autoSpaceDE w:val="0"/>
        <w:autoSpaceDN w:val="0"/>
        <w:adjustRightInd w:val="0"/>
        <w:ind w:firstLine="709"/>
        <w:jc w:val="both"/>
        <w:rPr>
          <w:rFonts w:eastAsia="Calibri"/>
          <w:sz w:val="28"/>
          <w:szCs w:val="28"/>
          <w:lang w:eastAsia="en-US"/>
        </w:rPr>
      </w:pPr>
      <w:r w:rsidRPr="003A1700">
        <w:rPr>
          <w:rFonts w:eastAsia="Calibri"/>
          <w:b/>
          <w:sz w:val="28"/>
          <w:szCs w:val="28"/>
          <w:lang w:eastAsia="en-US"/>
        </w:rPr>
        <w:t>Ожидаемая оценка на</w:t>
      </w:r>
      <w:r w:rsidRPr="003A1700">
        <w:rPr>
          <w:rFonts w:eastAsia="Calibri"/>
          <w:sz w:val="28"/>
          <w:szCs w:val="28"/>
          <w:lang w:eastAsia="en-US"/>
        </w:rPr>
        <w:t xml:space="preserve"> </w:t>
      </w:r>
      <w:r w:rsidRPr="003A1700">
        <w:rPr>
          <w:rFonts w:eastAsia="Calibri"/>
          <w:b/>
          <w:sz w:val="28"/>
          <w:szCs w:val="28"/>
          <w:lang w:eastAsia="en-US"/>
        </w:rPr>
        <w:t>202</w:t>
      </w:r>
      <w:r>
        <w:rPr>
          <w:rFonts w:eastAsia="Calibri"/>
          <w:b/>
          <w:sz w:val="28"/>
          <w:szCs w:val="28"/>
          <w:lang w:eastAsia="en-US"/>
        </w:rPr>
        <w:t>1</w:t>
      </w:r>
      <w:r w:rsidRPr="003A1700">
        <w:rPr>
          <w:rFonts w:eastAsia="Calibri"/>
          <w:b/>
          <w:sz w:val="28"/>
          <w:szCs w:val="28"/>
          <w:lang w:eastAsia="en-US"/>
        </w:rPr>
        <w:t xml:space="preserve"> год</w:t>
      </w:r>
      <w:r>
        <w:rPr>
          <w:rFonts w:eastAsia="Calibri"/>
          <w:b/>
          <w:sz w:val="28"/>
          <w:szCs w:val="28"/>
          <w:lang w:eastAsia="en-US"/>
        </w:rPr>
        <w:t>:</w:t>
      </w:r>
      <w:r w:rsidRPr="003A1700">
        <w:rPr>
          <w:rFonts w:eastAsia="Calibri"/>
          <w:sz w:val="28"/>
          <w:szCs w:val="28"/>
          <w:lang w:eastAsia="en-US"/>
        </w:rPr>
        <w:t xml:space="preserve"> </w:t>
      </w:r>
    </w:p>
    <w:p w:rsidR="00CE1891" w:rsidRDefault="00CE1891" w:rsidP="00CE1891">
      <w:pPr>
        <w:tabs>
          <w:tab w:val="left" w:pos="3195"/>
        </w:tabs>
        <w:autoSpaceDE w:val="0"/>
        <w:autoSpaceDN w:val="0"/>
        <w:adjustRightInd w:val="0"/>
        <w:ind w:firstLine="709"/>
        <w:jc w:val="both"/>
      </w:pPr>
      <w:r w:rsidRPr="0031548D">
        <w:rPr>
          <w:i/>
        </w:rPr>
        <w:t>Z</w:t>
      </w:r>
      <w:r w:rsidRPr="004B52D2">
        <w:rPr>
          <w:vertAlign w:val="superscript"/>
        </w:rPr>
        <w:t>ср</w:t>
      </w:r>
      <w:r w:rsidRPr="004B52D2">
        <w:rPr>
          <w:vertAlign w:val="subscript"/>
        </w:rPr>
        <w:t>ap202</w:t>
      </w:r>
      <w:r>
        <w:rPr>
          <w:vertAlign w:val="subscript"/>
        </w:rPr>
        <w:t>1</w:t>
      </w:r>
      <w:r w:rsidRPr="004B52D2">
        <w:t xml:space="preserve"> </w:t>
      </w:r>
      <w:r>
        <w:t>= (11 467,2 тыс. руб. + 9 660,8 тыс. руб. + 33 292,7)/3 = 18 140,23 тыс. руб.</w:t>
      </w:r>
    </w:p>
    <w:p w:rsidR="00CE1891" w:rsidRDefault="00CE1891" w:rsidP="00CE1891">
      <w:pPr>
        <w:tabs>
          <w:tab w:val="left" w:pos="3195"/>
        </w:tabs>
        <w:autoSpaceDE w:val="0"/>
        <w:autoSpaceDN w:val="0"/>
        <w:adjustRightInd w:val="0"/>
        <w:ind w:firstLine="709"/>
        <w:jc w:val="both"/>
        <w:rPr>
          <w:rFonts w:eastAsia="Calibri"/>
          <w:b/>
          <w:sz w:val="28"/>
          <w:szCs w:val="28"/>
          <w:lang w:eastAsia="en-US"/>
        </w:rPr>
      </w:pPr>
      <w:r w:rsidRPr="005F6BFA">
        <w:rPr>
          <w:rFonts w:eastAsia="Calibri"/>
          <w:b/>
          <w:sz w:val="28"/>
          <w:szCs w:val="28"/>
          <w:lang w:eastAsia="en-US"/>
        </w:rPr>
        <w:t>Определение прогноза на 202</w:t>
      </w:r>
      <w:r>
        <w:rPr>
          <w:rFonts w:eastAsia="Calibri"/>
          <w:b/>
          <w:sz w:val="28"/>
          <w:szCs w:val="28"/>
          <w:lang w:eastAsia="en-US"/>
        </w:rPr>
        <w:t xml:space="preserve">2 </w:t>
      </w:r>
      <w:r w:rsidRPr="005F6BFA">
        <w:rPr>
          <w:rFonts w:eastAsia="Calibri"/>
          <w:b/>
          <w:sz w:val="28"/>
          <w:szCs w:val="28"/>
          <w:lang w:eastAsia="en-US"/>
        </w:rPr>
        <w:t>год:</w:t>
      </w:r>
    </w:p>
    <w:p w:rsidR="00CE1891" w:rsidRDefault="00CE1891" w:rsidP="00CE1891">
      <w:pPr>
        <w:tabs>
          <w:tab w:val="left" w:pos="3195"/>
        </w:tabs>
        <w:autoSpaceDE w:val="0"/>
        <w:autoSpaceDN w:val="0"/>
        <w:adjustRightInd w:val="0"/>
        <w:ind w:firstLine="709"/>
        <w:jc w:val="both"/>
      </w:pPr>
      <w:r w:rsidRPr="0031548D">
        <w:rPr>
          <w:i/>
        </w:rPr>
        <w:t>Z</w:t>
      </w:r>
      <w:r w:rsidRPr="004B52D2">
        <w:rPr>
          <w:vertAlign w:val="superscript"/>
        </w:rPr>
        <w:t>ср</w:t>
      </w:r>
      <w:r w:rsidRPr="004B52D2">
        <w:rPr>
          <w:vertAlign w:val="subscript"/>
        </w:rPr>
        <w:t>ap202</w:t>
      </w:r>
      <w:r>
        <w:rPr>
          <w:vertAlign w:val="subscript"/>
        </w:rPr>
        <w:t>2</w:t>
      </w:r>
      <w:r w:rsidRPr="004B52D2">
        <w:t xml:space="preserve"> </w:t>
      </w:r>
      <w:r>
        <w:t>= (9 660,8 тыс. руб. + 33 292,7 тыс. руб. + 18 140,23)/3 = 20 364,58 тыс. руб.</w:t>
      </w:r>
    </w:p>
    <w:p w:rsidR="00CE1891" w:rsidRDefault="00CE1891" w:rsidP="00CE1891">
      <w:pPr>
        <w:tabs>
          <w:tab w:val="left" w:pos="3195"/>
        </w:tabs>
        <w:autoSpaceDE w:val="0"/>
        <w:autoSpaceDN w:val="0"/>
        <w:adjustRightInd w:val="0"/>
        <w:ind w:firstLine="709"/>
        <w:jc w:val="both"/>
        <w:rPr>
          <w:rFonts w:eastAsia="Calibri"/>
          <w:b/>
          <w:sz w:val="28"/>
          <w:szCs w:val="28"/>
          <w:lang w:eastAsia="en-US"/>
        </w:rPr>
      </w:pPr>
      <w:r w:rsidRPr="005F6BFA">
        <w:rPr>
          <w:rFonts w:eastAsia="Calibri"/>
          <w:b/>
          <w:sz w:val="28"/>
          <w:szCs w:val="28"/>
          <w:lang w:eastAsia="en-US"/>
        </w:rPr>
        <w:t>Определение прогноза на 202</w:t>
      </w:r>
      <w:r>
        <w:rPr>
          <w:rFonts w:eastAsia="Calibri"/>
          <w:b/>
          <w:sz w:val="28"/>
          <w:szCs w:val="28"/>
          <w:lang w:eastAsia="en-US"/>
        </w:rPr>
        <w:t xml:space="preserve">3 </w:t>
      </w:r>
      <w:r w:rsidRPr="005F6BFA">
        <w:rPr>
          <w:rFonts w:eastAsia="Calibri"/>
          <w:b/>
          <w:sz w:val="28"/>
          <w:szCs w:val="28"/>
          <w:lang w:eastAsia="en-US"/>
        </w:rPr>
        <w:t>год:</w:t>
      </w:r>
    </w:p>
    <w:p w:rsidR="00CE1891" w:rsidRDefault="00CE1891" w:rsidP="00CE1891">
      <w:pPr>
        <w:tabs>
          <w:tab w:val="left" w:pos="3195"/>
        </w:tabs>
        <w:autoSpaceDE w:val="0"/>
        <w:autoSpaceDN w:val="0"/>
        <w:adjustRightInd w:val="0"/>
        <w:ind w:firstLine="709"/>
        <w:jc w:val="both"/>
      </w:pPr>
      <w:r w:rsidRPr="0031548D">
        <w:rPr>
          <w:i/>
        </w:rPr>
        <w:t>Z</w:t>
      </w:r>
      <w:r w:rsidRPr="004B52D2">
        <w:rPr>
          <w:vertAlign w:val="superscript"/>
        </w:rPr>
        <w:t>ср</w:t>
      </w:r>
      <w:r w:rsidRPr="004B52D2">
        <w:rPr>
          <w:vertAlign w:val="subscript"/>
        </w:rPr>
        <w:t>ap202</w:t>
      </w:r>
      <w:r>
        <w:rPr>
          <w:vertAlign w:val="subscript"/>
        </w:rPr>
        <w:t>3</w:t>
      </w:r>
      <w:r w:rsidRPr="004B52D2">
        <w:t xml:space="preserve"> </w:t>
      </w:r>
      <w:r>
        <w:t>= (33 292,7 тыс. руб. + 18 140,23 тыс. руб. + 20 364,58 тыс. руб.)/3 = 23 932,51 тыс. руб.</w:t>
      </w:r>
    </w:p>
    <w:p w:rsidR="00CE1891" w:rsidRDefault="00CE1891" w:rsidP="00CE1891">
      <w:pPr>
        <w:tabs>
          <w:tab w:val="left" w:pos="3195"/>
        </w:tabs>
        <w:autoSpaceDE w:val="0"/>
        <w:autoSpaceDN w:val="0"/>
        <w:adjustRightInd w:val="0"/>
        <w:ind w:firstLine="709"/>
        <w:jc w:val="both"/>
        <w:rPr>
          <w:rFonts w:eastAsia="Calibri"/>
          <w:b/>
          <w:sz w:val="28"/>
          <w:szCs w:val="28"/>
          <w:lang w:eastAsia="en-US"/>
        </w:rPr>
      </w:pPr>
      <w:r w:rsidRPr="005F6BFA">
        <w:rPr>
          <w:rFonts w:eastAsia="Calibri"/>
          <w:b/>
          <w:sz w:val="28"/>
          <w:szCs w:val="28"/>
          <w:lang w:eastAsia="en-US"/>
        </w:rPr>
        <w:t>Определение прогноза на 202</w:t>
      </w:r>
      <w:r>
        <w:rPr>
          <w:rFonts w:eastAsia="Calibri"/>
          <w:b/>
          <w:sz w:val="28"/>
          <w:szCs w:val="28"/>
          <w:lang w:eastAsia="en-US"/>
        </w:rPr>
        <w:t xml:space="preserve">4 </w:t>
      </w:r>
      <w:r w:rsidRPr="005F6BFA">
        <w:rPr>
          <w:rFonts w:eastAsia="Calibri"/>
          <w:b/>
          <w:sz w:val="28"/>
          <w:szCs w:val="28"/>
          <w:lang w:eastAsia="en-US"/>
        </w:rPr>
        <w:t>год:</w:t>
      </w:r>
    </w:p>
    <w:p w:rsidR="00CE1891" w:rsidRDefault="00CE1891" w:rsidP="00CE1891">
      <w:pPr>
        <w:tabs>
          <w:tab w:val="left" w:pos="3195"/>
        </w:tabs>
        <w:autoSpaceDE w:val="0"/>
        <w:autoSpaceDN w:val="0"/>
        <w:adjustRightInd w:val="0"/>
        <w:ind w:firstLine="709"/>
        <w:jc w:val="both"/>
      </w:pPr>
      <w:r w:rsidRPr="0031548D">
        <w:rPr>
          <w:i/>
        </w:rPr>
        <w:t>Z</w:t>
      </w:r>
      <w:r w:rsidRPr="004B52D2">
        <w:rPr>
          <w:vertAlign w:val="superscript"/>
        </w:rPr>
        <w:t>ср</w:t>
      </w:r>
      <w:r w:rsidRPr="004B52D2">
        <w:rPr>
          <w:vertAlign w:val="subscript"/>
        </w:rPr>
        <w:t>ap202</w:t>
      </w:r>
      <w:r>
        <w:rPr>
          <w:vertAlign w:val="subscript"/>
        </w:rPr>
        <w:t>4</w:t>
      </w:r>
      <w:r w:rsidRPr="004B52D2">
        <w:t xml:space="preserve"> </w:t>
      </w:r>
      <w:r>
        <w:t>= (18 140,23 тыс. руб. + 20 364,58 тыс. руб. + 23 932,51 тыс. руб.)/3 = 20 812,44 тыс. руб.</w:t>
      </w:r>
    </w:p>
    <w:p w:rsidR="00CE1891" w:rsidRPr="002125BA" w:rsidRDefault="00CE1891" w:rsidP="00CE1891">
      <w:pPr>
        <w:tabs>
          <w:tab w:val="left" w:pos="3195"/>
        </w:tabs>
        <w:autoSpaceDE w:val="0"/>
        <w:autoSpaceDN w:val="0"/>
        <w:adjustRightInd w:val="0"/>
        <w:ind w:firstLine="709"/>
        <w:jc w:val="both"/>
        <w:rPr>
          <w:b/>
          <w:sz w:val="28"/>
          <w:szCs w:val="28"/>
        </w:rPr>
      </w:pPr>
      <w:r w:rsidRPr="002125BA">
        <w:rPr>
          <w:b/>
          <w:sz w:val="28"/>
          <w:szCs w:val="28"/>
        </w:rPr>
        <w:t>5.2.6. Корректирующая сумма поступлений.</w:t>
      </w:r>
    </w:p>
    <w:p w:rsidR="00CE1891" w:rsidRDefault="00CE1891" w:rsidP="00CE1891">
      <w:pPr>
        <w:tabs>
          <w:tab w:val="left" w:pos="3195"/>
        </w:tabs>
        <w:autoSpaceDE w:val="0"/>
        <w:autoSpaceDN w:val="0"/>
        <w:adjustRightInd w:val="0"/>
        <w:ind w:firstLine="709"/>
        <w:jc w:val="both"/>
        <w:rPr>
          <w:color w:val="000000"/>
          <w:sz w:val="28"/>
          <w:szCs w:val="28"/>
          <w:lang w:bidi="ru-RU"/>
        </w:rPr>
      </w:pPr>
      <w:r w:rsidRPr="002125BA">
        <w:rPr>
          <w:rStyle w:val="27"/>
          <w:rFonts w:eastAsia="Constantia"/>
          <w:lang w:val="en-US" w:eastAsia="en-US" w:bidi="en-US"/>
        </w:rPr>
        <w:t>R</w:t>
      </w:r>
      <w:r w:rsidRPr="002125BA">
        <w:rPr>
          <w:rStyle w:val="27"/>
          <w:rFonts w:eastAsia="Constantia"/>
          <w:lang w:eastAsia="en-US" w:bidi="en-US"/>
        </w:rPr>
        <w:t xml:space="preserve"> </w:t>
      </w:r>
      <w:r w:rsidRPr="002125BA">
        <w:rPr>
          <w:rStyle w:val="27"/>
          <w:rFonts w:eastAsia="Constantia"/>
        </w:rPr>
        <w:t>-</w:t>
      </w:r>
      <w:r w:rsidRPr="002125BA">
        <w:rPr>
          <w:sz w:val="28"/>
          <w:szCs w:val="28"/>
          <w:lang w:bidi="ru-RU"/>
        </w:rPr>
        <w:t xml:space="preserve"> корректирующая сумма поступлений, учитывающая отдельные </w:t>
      </w:r>
      <w:r w:rsidRPr="002125BA">
        <w:rPr>
          <w:color w:val="000000"/>
          <w:sz w:val="28"/>
          <w:szCs w:val="28"/>
          <w:lang w:bidi="ru-RU"/>
        </w:rPr>
        <w:t xml:space="preserve">решения Президента Российской Федерации, Правительства Российской Федерации, а также проекты нормативных правовых актов Президента Российской Федерации, Правительства Российской Федерации  и другие факторы, влияющие на объем прогнозируемых доходов, тыс. руб. </w:t>
      </w:r>
    </w:p>
    <w:p w:rsidR="00CE1891" w:rsidRDefault="00CE1891" w:rsidP="00CE1891">
      <w:pPr>
        <w:tabs>
          <w:tab w:val="left" w:pos="3195"/>
        </w:tabs>
        <w:autoSpaceDE w:val="0"/>
        <w:autoSpaceDN w:val="0"/>
        <w:adjustRightInd w:val="0"/>
        <w:ind w:firstLine="709"/>
        <w:jc w:val="both"/>
        <w:rPr>
          <w:color w:val="000000"/>
          <w:sz w:val="28"/>
          <w:szCs w:val="28"/>
          <w:lang w:bidi="ru-RU"/>
        </w:rPr>
      </w:pPr>
      <w:r>
        <w:rPr>
          <w:color w:val="000000"/>
          <w:sz w:val="28"/>
          <w:szCs w:val="28"/>
          <w:lang w:bidi="ru-RU"/>
        </w:rPr>
        <w:t>Ожидаемая оценка на 2021 год равна 0,0</w:t>
      </w:r>
    </w:p>
    <w:p w:rsidR="00CE1891" w:rsidRDefault="00CE1891" w:rsidP="00CE1891">
      <w:pPr>
        <w:tabs>
          <w:tab w:val="left" w:pos="3195"/>
        </w:tabs>
        <w:autoSpaceDE w:val="0"/>
        <w:autoSpaceDN w:val="0"/>
        <w:adjustRightInd w:val="0"/>
        <w:ind w:firstLine="709"/>
        <w:jc w:val="both"/>
        <w:rPr>
          <w:color w:val="000000"/>
          <w:sz w:val="28"/>
          <w:szCs w:val="28"/>
          <w:lang w:bidi="ru-RU"/>
        </w:rPr>
      </w:pPr>
      <w:r>
        <w:rPr>
          <w:color w:val="000000"/>
          <w:sz w:val="28"/>
          <w:szCs w:val="28"/>
          <w:lang w:bidi="ru-RU"/>
        </w:rPr>
        <w:t>Определение прогноза:</w:t>
      </w:r>
    </w:p>
    <w:p w:rsidR="00CE1891" w:rsidRPr="002125BA" w:rsidRDefault="00CE1891" w:rsidP="00CE1891">
      <w:pPr>
        <w:pStyle w:val="29"/>
        <w:shd w:val="clear" w:color="auto" w:fill="auto"/>
        <w:spacing w:before="0" w:line="240" w:lineRule="auto"/>
        <w:ind w:firstLine="709"/>
        <w:rPr>
          <w:lang w:bidi="ru-RU"/>
        </w:rPr>
      </w:pPr>
      <w:r>
        <w:rPr>
          <w:lang w:bidi="ru-RU"/>
        </w:rPr>
        <w:t xml:space="preserve">2022 год – 0,0 руб., 2023 год – 0,0 руб., 2024 год – 0,0 </w:t>
      </w:r>
    </w:p>
    <w:p w:rsidR="00CE1891" w:rsidRDefault="00CE1891" w:rsidP="00CE1891">
      <w:pPr>
        <w:autoSpaceDE w:val="0"/>
        <w:autoSpaceDN w:val="0"/>
        <w:adjustRightInd w:val="0"/>
        <w:jc w:val="center"/>
        <w:rPr>
          <w:b/>
          <w:bCs/>
          <w:sz w:val="28"/>
          <w:szCs w:val="28"/>
        </w:rPr>
      </w:pPr>
    </w:p>
    <w:p w:rsidR="00CE1891" w:rsidRDefault="00CE1891" w:rsidP="00CE1891">
      <w:pPr>
        <w:autoSpaceDE w:val="0"/>
        <w:autoSpaceDN w:val="0"/>
        <w:adjustRightInd w:val="0"/>
        <w:jc w:val="center"/>
        <w:rPr>
          <w:b/>
          <w:bCs/>
          <w:sz w:val="28"/>
          <w:szCs w:val="28"/>
        </w:rPr>
      </w:pPr>
      <w:r>
        <w:rPr>
          <w:b/>
          <w:sz w:val="28"/>
          <w:szCs w:val="28"/>
        </w:rPr>
        <w:t xml:space="preserve">2. Плата за использование лесов, расположенных на землях лесного фонда, в части, превышающей минимальный размер платы по договору купли-продажи лесных насаждений </w:t>
      </w:r>
    </w:p>
    <w:p w:rsidR="00CE1891" w:rsidRDefault="00CE1891" w:rsidP="00CE1891">
      <w:pPr>
        <w:autoSpaceDE w:val="0"/>
        <w:autoSpaceDN w:val="0"/>
        <w:adjustRightInd w:val="0"/>
        <w:jc w:val="center"/>
        <w:rPr>
          <w:b/>
          <w:bCs/>
          <w:sz w:val="28"/>
          <w:szCs w:val="28"/>
        </w:rPr>
      </w:pPr>
      <w:r>
        <w:rPr>
          <w:b/>
          <w:bCs/>
          <w:sz w:val="28"/>
          <w:szCs w:val="28"/>
        </w:rPr>
        <w:t>(КБК 328 1 12 04013 02 0000 120)</w:t>
      </w:r>
    </w:p>
    <w:p w:rsidR="00CE1891" w:rsidRPr="00E70EFD" w:rsidRDefault="00CE1891" w:rsidP="00CE1891">
      <w:pPr>
        <w:tabs>
          <w:tab w:val="left" w:pos="3195"/>
        </w:tabs>
        <w:autoSpaceDE w:val="0"/>
        <w:autoSpaceDN w:val="0"/>
        <w:adjustRightInd w:val="0"/>
        <w:ind w:firstLine="709"/>
        <w:jc w:val="both"/>
        <w:rPr>
          <w:rFonts w:eastAsia="Calibri"/>
          <w:b/>
          <w:sz w:val="28"/>
          <w:szCs w:val="28"/>
          <w:lang w:eastAsia="en-US"/>
        </w:rPr>
      </w:pPr>
      <w:r w:rsidRPr="00E70EFD">
        <w:rPr>
          <w:rFonts w:eastAsia="Calibri"/>
          <w:b/>
          <w:sz w:val="28"/>
          <w:szCs w:val="28"/>
          <w:lang w:eastAsia="en-US"/>
        </w:rPr>
        <w:t>Определение ожидаемой оценки на 20</w:t>
      </w:r>
      <w:r>
        <w:rPr>
          <w:rFonts w:eastAsia="Calibri"/>
          <w:b/>
          <w:sz w:val="28"/>
          <w:szCs w:val="28"/>
          <w:lang w:eastAsia="en-US"/>
        </w:rPr>
        <w:t>21</w:t>
      </w:r>
      <w:r w:rsidRPr="00E70EFD">
        <w:rPr>
          <w:rFonts w:eastAsia="Calibri"/>
          <w:b/>
          <w:sz w:val="28"/>
          <w:szCs w:val="28"/>
          <w:lang w:eastAsia="en-US"/>
        </w:rPr>
        <w:t xml:space="preserve"> год:</w:t>
      </w:r>
    </w:p>
    <w:p w:rsidR="00CE1891" w:rsidRPr="00E02436" w:rsidRDefault="00CE1891" w:rsidP="00CE1891">
      <w:pPr>
        <w:pStyle w:val="29"/>
        <w:shd w:val="clear" w:color="auto" w:fill="auto"/>
        <w:spacing w:before="0" w:line="240" w:lineRule="auto"/>
        <w:ind w:firstLine="708"/>
        <w:rPr>
          <w:rStyle w:val="714pt"/>
          <w:rFonts w:eastAsia="Calibri"/>
          <w:i w:val="0"/>
        </w:rPr>
      </w:pPr>
      <w:r w:rsidRPr="004C21E9">
        <w:t>Прогноз доходов по плате за использование лесов, расположенных на землях лесного фонда, в части минимального размера платы по договору купли-продажи лесных (</w:t>
      </w:r>
      <w:r w:rsidRPr="00E02436">
        <w:rPr>
          <w:rStyle w:val="714pt"/>
          <w:rFonts w:eastAsia="Calibri"/>
        </w:rPr>
        <w:t xml:space="preserve">П </w:t>
      </w:r>
      <w:r w:rsidRPr="00E02436">
        <w:rPr>
          <w:rStyle w:val="714pt"/>
          <w:rFonts w:eastAsia="Calibri"/>
          <w:sz w:val="24"/>
          <w:vertAlign w:val="subscript"/>
        </w:rPr>
        <w:t>к-пр</w:t>
      </w:r>
      <w:r w:rsidRPr="00E02436">
        <w:rPr>
          <w:rStyle w:val="714pt"/>
          <w:rFonts w:eastAsia="Calibri"/>
          <w:sz w:val="24"/>
        </w:rPr>
        <w:t xml:space="preserve">) </w:t>
      </w:r>
      <w:r w:rsidRPr="00E02436">
        <w:rPr>
          <w:rStyle w:val="714pt"/>
          <w:rFonts w:eastAsia="Calibri"/>
        </w:rPr>
        <w:t>определяется по формуле:</w:t>
      </w:r>
    </w:p>
    <w:p w:rsidR="00CE1891" w:rsidRPr="004C21E9" w:rsidRDefault="00CE1891" w:rsidP="00CE1891">
      <w:pPr>
        <w:pStyle w:val="29"/>
        <w:shd w:val="clear" w:color="auto" w:fill="auto"/>
        <w:spacing w:before="0" w:line="240" w:lineRule="auto"/>
        <w:ind w:firstLine="708"/>
      </w:pPr>
    </w:p>
    <w:p w:rsidR="00CE1891" w:rsidRPr="004C21E9" w:rsidRDefault="00CE1891" w:rsidP="00CE1891">
      <w:pPr>
        <w:pStyle w:val="73"/>
        <w:shd w:val="clear" w:color="auto" w:fill="auto"/>
        <w:spacing w:before="0" w:after="0" w:line="240" w:lineRule="auto"/>
        <w:ind w:right="-65" w:firstLine="708"/>
        <w:jc w:val="left"/>
        <w:rPr>
          <w:rStyle w:val="714pt"/>
          <w:rFonts w:eastAsia="Constantia"/>
        </w:rPr>
      </w:pPr>
      <w:r w:rsidRPr="004C21E9">
        <w:rPr>
          <w:rStyle w:val="714pt"/>
          <w:rFonts w:eastAsia="Constantia"/>
        </w:rPr>
        <w:t xml:space="preserve">П </w:t>
      </w:r>
      <w:r w:rsidRPr="004C21E9">
        <w:rPr>
          <w:rStyle w:val="714pt"/>
          <w:rFonts w:eastAsia="Constantia"/>
          <w:sz w:val="24"/>
          <w:vertAlign w:val="subscript"/>
        </w:rPr>
        <w:t>к-пр</w:t>
      </w:r>
      <w:r w:rsidRPr="004C21E9">
        <w:rPr>
          <w:rStyle w:val="714pt"/>
          <w:rFonts w:eastAsia="Constantia"/>
          <w:sz w:val="24"/>
        </w:rPr>
        <w:t xml:space="preserve"> =</w:t>
      </w:r>
      <w:r w:rsidRPr="004C21E9">
        <w:rPr>
          <w:rStyle w:val="714pt"/>
          <w:rFonts w:eastAsia="Constantia"/>
          <w:vertAlign w:val="superscript"/>
        </w:rPr>
        <w:t xml:space="preserve"> </w:t>
      </w:r>
      <w:r w:rsidRPr="004C21E9">
        <w:rPr>
          <w:rStyle w:val="714pt"/>
          <w:rFonts w:eastAsia="Constantia"/>
        </w:rPr>
        <w:t xml:space="preserve">(С </w:t>
      </w:r>
      <w:r w:rsidRPr="004C21E9">
        <w:rPr>
          <w:rStyle w:val="714pt"/>
          <w:rFonts w:eastAsia="Constantia"/>
          <w:vertAlign w:val="subscript"/>
          <w:lang w:val="en-US"/>
        </w:rPr>
        <w:t>Q</w:t>
      </w:r>
      <w:r w:rsidRPr="004C21E9">
        <w:rPr>
          <w:rStyle w:val="714pt"/>
          <w:rFonts w:eastAsia="Constantia"/>
        </w:rPr>
        <w:t xml:space="preserve"> </w:t>
      </w:r>
      <w:r w:rsidRPr="004C21E9">
        <w:rPr>
          <w:rStyle w:val="714pt"/>
          <w:rFonts w:eastAsia="Constantia"/>
          <w:vertAlign w:val="superscript"/>
        </w:rPr>
        <w:t xml:space="preserve">к-пр </w:t>
      </w:r>
      <w:r w:rsidRPr="004C21E9">
        <w:rPr>
          <w:rStyle w:val="714pt"/>
          <w:rFonts w:eastAsia="Constantia"/>
          <w:vertAlign w:val="subscript"/>
        </w:rPr>
        <w:t>МСП</w:t>
      </w:r>
      <w:r w:rsidRPr="004C21E9">
        <w:rPr>
          <w:rStyle w:val="714pt"/>
          <w:rFonts w:eastAsia="Constantia"/>
        </w:rPr>
        <w:t xml:space="preserve"> * К</w:t>
      </w:r>
      <w:r w:rsidRPr="004C21E9">
        <w:rPr>
          <w:rStyle w:val="714pt"/>
          <w:rFonts w:eastAsia="Constantia"/>
          <w:vertAlign w:val="subscript"/>
        </w:rPr>
        <w:t>1</w:t>
      </w:r>
      <w:r w:rsidRPr="004C21E9">
        <w:rPr>
          <w:rStyle w:val="714pt"/>
          <w:rFonts w:eastAsia="Constantia"/>
        </w:rPr>
        <w:t>)*</w:t>
      </w:r>
      <w:r w:rsidRPr="004C21E9">
        <w:rPr>
          <w:rStyle w:val="714pt"/>
          <w:rFonts w:eastAsia="Constantia"/>
          <w:lang w:val="en-US"/>
        </w:rPr>
        <w:t>Q</w:t>
      </w:r>
      <w:r w:rsidRPr="004C21E9">
        <w:rPr>
          <w:rStyle w:val="714pt"/>
          <w:rFonts w:eastAsia="Constantia"/>
          <w:vertAlign w:val="superscript"/>
        </w:rPr>
        <w:t>ср</w:t>
      </w:r>
      <w:r w:rsidRPr="004C21E9">
        <w:rPr>
          <w:rStyle w:val="714pt"/>
          <w:rFonts w:eastAsia="Constantia"/>
        </w:rPr>
        <w:t xml:space="preserve"> </w:t>
      </w:r>
      <w:r w:rsidRPr="004C21E9">
        <w:rPr>
          <w:rStyle w:val="714pt"/>
          <w:rFonts w:eastAsia="Constantia"/>
          <w:vertAlign w:val="subscript"/>
        </w:rPr>
        <w:t>к-пр МСП</w:t>
      </w:r>
      <w:r w:rsidRPr="004C21E9">
        <w:rPr>
          <w:rStyle w:val="714pt"/>
          <w:rFonts w:eastAsia="Constantia"/>
        </w:rPr>
        <w:t xml:space="preserve"> * Т </w:t>
      </w:r>
      <w:r w:rsidRPr="004C21E9">
        <w:rPr>
          <w:rStyle w:val="714pt"/>
          <w:rFonts w:eastAsia="Constantia"/>
          <w:vertAlign w:val="superscript"/>
        </w:rPr>
        <w:t>ср</w:t>
      </w:r>
      <w:r w:rsidRPr="004C21E9">
        <w:rPr>
          <w:rStyle w:val="714pt"/>
          <w:rFonts w:eastAsia="Constantia"/>
        </w:rPr>
        <w:t xml:space="preserve"> </w:t>
      </w:r>
      <w:r w:rsidRPr="004C21E9">
        <w:rPr>
          <w:rStyle w:val="714pt"/>
          <w:rFonts w:eastAsia="Constantia"/>
          <w:vertAlign w:val="subscript"/>
        </w:rPr>
        <w:t>к-пр МСП</w:t>
      </w:r>
      <w:r w:rsidRPr="004C21E9">
        <w:rPr>
          <w:rStyle w:val="714pt"/>
          <w:rFonts w:eastAsia="Constantia"/>
        </w:rPr>
        <w:t xml:space="preserve"> </w:t>
      </w:r>
    </w:p>
    <w:p w:rsidR="00CE1891" w:rsidRPr="004C21E9" w:rsidRDefault="00CE1891" w:rsidP="00CE1891">
      <w:pPr>
        <w:pStyle w:val="73"/>
        <w:shd w:val="clear" w:color="auto" w:fill="auto"/>
        <w:spacing w:before="0" w:after="0" w:line="240" w:lineRule="auto"/>
        <w:ind w:left="760" w:right="-2"/>
        <w:jc w:val="left"/>
        <w:rPr>
          <w:rStyle w:val="714pt"/>
          <w:rFonts w:eastAsia="Constantia"/>
        </w:rPr>
      </w:pPr>
      <w:r>
        <w:rPr>
          <w:rStyle w:val="714pt"/>
          <w:rFonts w:eastAsia="Constantia"/>
        </w:rPr>
        <w:t xml:space="preserve">                   4971,76=(125,24*2,72)*11,77*1,24</w:t>
      </w:r>
    </w:p>
    <w:p w:rsidR="00CE1891" w:rsidRPr="004C21E9" w:rsidRDefault="00CE1891" w:rsidP="00CE1891">
      <w:pPr>
        <w:pStyle w:val="73"/>
        <w:shd w:val="clear" w:color="auto" w:fill="auto"/>
        <w:spacing w:before="0" w:after="0" w:line="240" w:lineRule="auto"/>
        <w:ind w:left="760" w:right="7220"/>
        <w:jc w:val="left"/>
        <w:rPr>
          <w:i w:val="0"/>
        </w:rPr>
      </w:pPr>
      <w:r w:rsidRPr="004C21E9">
        <w:rPr>
          <w:rStyle w:val="714pt"/>
          <w:rFonts w:eastAsia="Constantia"/>
        </w:rPr>
        <w:t>где:</w:t>
      </w:r>
    </w:p>
    <w:p w:rsidR="00CE1891" w:rsidRPr="004C21E9" w:rsidRDefault="00CE1891" w:rsidP="00CE1891">
      <w:pPr>
        <w:pStyle w:val="29"/>
        <w:shd w:val="clear" w:color="auto" w:fill="auto"/>
        <w:spacing w:before="0" w:line="240" w:lineRule="auto"/>
        <w:ind w:firstLine="760"/>
      </w:pPr>
      <w:r w:rsidRPr="00E02436">
        <w:rPr>
          <w:rStyle w:val="714pt"/>
          <w:rFonts w:eastAsia="Calibri"/>
        </w:rPr>
        <w:t xml:space="preserve">К </w:t>
      </w:r>
      <w:r w:rsidRPr="00E02436">
        <w:rPr>
          <w:rStyle w:val="714pt"/>
          <w:rFonts w:eastAsia="Calibri"/>
          <w:vertAlign w:val="subscript"/>
        </w:rPr>
        <w:t xml:space="preserve">1 </w:t>
      </w:r>
      <w:r w:rsidRPr="004C21E9">
        <w:t>- коэффициент к ставкам платы за единицу объема лесных ресурсов (древесины), установленный Правительством Российской Федерации (на 2019-2020 годы, 2021-2023 годы коэффициент к ставкам платы за единицу объема лесных ресурсов (древесины)</w:t>
      </w:r>
    </w:p>
    <w:p w:rsidR="00CE1891" w:rsidRPr="004C21E9" w:rsidRDefault="00CE1891" w:rsidP="00CE1891">
      <w:pPr>
        <w:pStyle w:val="29"/>
        <w:shd w:val="clear" w:color="auto" w:fill="auto"/>
        <w:spacing w:before="0" w:line="240" w:lineRule="auto"/>
        <w:ind w:firstLine="580"/>
      </w:pPr>
      <w:r w:rsidRPr="004C21E9">
        <w:t>где:</w:t>
      </w:r>
    </w:p>
    <w:p w:rsidR="00CE1891" w:rsidRPr="004C21E9" w:rsidRDefault="00CE1891" w:rsidP="00CE1891">
      <w:pPr>
        <w:pStyle w:val="29"/>
        <w:shd w:val="clear" w:color="auto" w:fill="auto"/>
        <w:spacing w:before="0" w:line="240" w:lineRule="auto"/>
        <w:ind w:firstLine="567"/>
      </w:pPr>
      <w:r w:rsidRPr="00E02436">
        <w:rPr>
          <w:rStyle w:val="714pt"/>
          <w:rFonts w:eastAsia="Calibri"/>
        </w:rPr>
        <w:lastRenderedPageBreak/>
        <w:t xml:space="preserve">С </w:t>
      </w:r>
      <w:r w:rsidRPr="00E02436">
        <w:rPr>
          <w:rStyle w:val="714pt"/>
          <w:rFonts w:eastAsia="Calibri"/>
          <w:vertAlign w:val="subscript"/>
          <w:lang w:val="en-US"/>
        </w:rPr>
        <w:t>Q</w:t>
      </w:r>
      <w:r w:rsidRPr="00E02436">
        <w:rPr>
          <w:rStyle w:val="714pt"/>
          <w:rFonts w:eastAsia="Calibri"/>
        </w:rPr>
        <w:t xml:space="preserve"> </w:t>
      </w:r>
      <w:r w:rsidRPr="00E02436">
        <w:rPr>
          <w:rStyle w:val="714pt"/>
          <w:rFonts w:eastAsia="Calibri"/>
          <w:vertAlign w:val="superscript"/>
        </w:rPr>
        <w:t xml:space="preserve">к-пр </w:t>
      </w:r>
      <w:r w:rsidRPr="00E02436">
        <w:rPr>
          <w:rStyle w:val="714pt"/>
          <w:rFonts w:eastAsia="Calibri"/>
          <w:vertAlign w:val="subscript"/>
        </w:rPr>
        <w:t>МСП</w:t>
      </w:r>
      <w:r w:rsidRPr="00E02436">
        <w:rPr>
          <w:rStyle w:val="714pt"/>
          <w:rFonts w:eastAsia="Calibri"/>
        </w:rPr>
        <w:t xml:space="preserve"> - </w:t>
      </w:r>
      <w:r w:rsidRPr="004C21E9">
        <w:t xml:space="preserve">средняя </w:t>
      </w:r>
      <w:r>
        <w:t>плата сверх минимальной</w:t>
      </w:r>
      <w:r w:rsidRPr="004C21E9">
        <w:t xml:space="preserve"> </w:t>
      </w:r>
      <w:r>
        <w:t xml:space="preserve">ставки платы </w:t>
      </w:r>
      <w:r w:rsidRPr="004C21E9">
        <w:t>за единицу объема древесины по договорам купли-продажи лесных насаждений, заключаемым с субъектами малого и среднего предпринимательства, сложившаяся по итогам предыдущего финансового года и приведенная к уровню 2007 года (руб.);</w:t>
      </w:r>
    </w:p>
    <w:p w:rsidR="00CE1891" w:rsidRDefault="00CE1891" w:rsidP="00CE1891">
      <w:pPr>
        <w:pStyle w:val="29"/>
        <w:shd w:val="clear" w:color="auto" w:fill="auto"/>
        <w:spacing w:before="0" w:line="240" w:lineRule="auto"/>
        <w:ind w:firstLine="760"/>
      </w:pPr>
      <w:r w:rsidRPr="00E02436">
        <w:rPr>
          <w:rStyle w:val="714pt"/>
          <w:rFonts w:eastAsia="Calibri"/>
          <w:lang w:val="en-US"/>
        </w:rPr>
        <w:t>Q</w:t>
      </w:r>
      <w:r w:rsidRPr="00E02436">
        <w:rPr>
          <w:rStyle w:val="714pt"/>
          <w:rFonts w:eastAsia="Calibri"/>
          <w:vertAlign w:val="superscript"/>
        </w:rPr>
        <w:t>ср</w:t>
      </w:r>
      <w:r w:rsidRPr="00E02436">
        <w:rPr>
          <w:rStyle w:val="714pt"/>
          <w:rFonts w:eastAsia="Calibri"/>
        </w:rPr>
        <w:t xml:space="preserve"> </w:t>
      </w:r>
      <w:r w:rsidRPr="00E02436">
        <w:rPr>
          <w:rStyle w:val="714pt"/>
          <w:rFonts w:eastAsia="Calibri"/>
          <w:vertAlign w:val="subscript"/>
        </w:rPr>
        <w:t>к-пр МСП</w:t>
      </w:r>
      <w:r w:rsidRPr="00E02436">
        <w:rPr>
          <w:rStyle w:val="714pt"/>
          <w:rFonts w:eastAsia="Calibri"/>
        </w:rPr>
        <w:t xml:space="preserve"> - </w:t>
      </w:r>
      <w:r w:rsidRPr="004C21E9">
        <w:t>средний объем древесины, подлежащий заготовке по договорам купли-продажи лесных насаждений, заключаемым с субъектами малого и среднего предпринимательства (</w:t>
      </w:r>
      <w:r>
        <w:t xml:space="preserve">тыс. </w:t>
      </w:r>
      <w:r w:rsidRPr="004C21E9">
        <w:t>куб.м):</w:t>
      </w:r>
    </w:p>
    <w:p w:rsidR="00CE1891" w:rsidRPr="004C21E9" w:rsidRDefault="00CE1891" w:rsidP="00CE1891">
      <w:pPr>
        <w:pStyle w:val="29"/>
        <w:shd w:val="clear" w:color="auto" w:fill="auto"/>
        <w:spacing w:before="0" w:line="240" w:lineRule="auto"/>
        <w:ind w:firstLine="760"/>
      </w:pPr>
    </w:p>
    <w:p w:rsidR="00CE1891" w:rsidRPr="00E02436" w:rsidRDefault="00CE1891" w:rsidP="00CE1891">
      <w:pPr>
        <w:pStyle w:val="29"/>
        <w:shd w:val="clear" w:color="auto" w:fill="auto"/>
        <w:spacing w:before="0" w:line="240" w:lineRule="auto"/>
        <w:ind w:firstLine="760"/>
        <w:rPr>
          <w:rStyle w:val="714pt"/>
          <w:rFonts w:eastAsia="Calibri"/>
          <w:i w:val="0"/>
        </w:rPr>
      </w:pPr>
      <w:r w:rsidRPr="00E02436">
        <w:rPr>
          <w:rStyle w:val="714pt"/>
          <w:rFonts w:eastAsia="Calibri"/>
          <w:lang w:val="en-US"/>
        </w:rPr>
        <w:t>Q</w:t>
      </w:r>
      <w:r w:rsidRPr="00E02436">
        <w:rPr>
          <w:rStyle w:val="714pt"/>
          <w:rFonts w:eastAsia="Calibri"/>
          <w:vertAlign w:val="superscript"/>
        </w:rPr>
        <w:t>ср</w:t>
      </w:r>
      <w:r w:rsidRPr="00E02436">
        <w:rPr>
          <w:rStyle w:val="714pt"/>
          <w:rFonts w:eastAsia="Calibri"/>
        </w:rPr>
        <w:t xml:space="preserve"> </w:t>
      </w:r>
      <w:r w:rsidRPr="00E02436">
        <w:rPr>
          <w:rStyle w:val="714pt"/>
          <w:rFonts w:eastAsia="Calibri"/>
          <w:vertAlign w:val="subscript"/>
        </w:rPr>
        <w:t xml:space="preserve">к-пр МСП </w:t>
      </w:r>
      <w:r w:rsidRPr="00E02436">
        <w:rPr>
          <w:rStyle w:val="714pt"/>
          <w:rFonts w:eastAsia="Calibri"/>
        </w:rPr>
        <w:t xml:space="preserve">= ∑ </w:t>
      </w:r>
      <w:r w:rsidRPr="00E02436">
        <w:rPr>
          <w:rStyle w:val="714pt"/>
          <w:rFonts w:eastAsia="Calibri"/>
          <w:vertAlign w:val="superscript"/>
        </w:rPr>
        <w:t>3</w:t>
      </w:r>
      <w:r w:rsidRPr="00E02436">
        <w:rPr>
          <w:rStyle w:val="714pt"/>
          <w:rFonts w:eastAsia="Calibri"/>
        </w:rPr>
        <w:t xml:space="preserve"> </w:t>
      </w:r>
      <w:r w:rsidRPr="00E02436">
        <w:rPr>
          <w:rStyle w:val="714pt"/>
          <w:rFonts w:eastAsia="Calibri"/>
          <w:vertAlign w:val="subscript"/>
          <w:lang w:val="en-US"/>
        </w:rPr>
        <w:t>t</w:t>
      </w:r>
      <w:r w:rsidRPr="00E02436">
        <w:rPr>
          <w:rStyle w:val="714pt"/>
          <w:rFonts w:eastAsia="Calibri"/>
          <w:vertAlign w:val="subscript"/>
        </w:rPr>
        <w:t xml:space="preserve">=1 </w:t>
      </w:r>
      <w:r w:rsidRPr="00E02436">
        <w:rPr>
          <w:rStyle w:val="714pt"/>
          <w:rFonts w:eastAsia="Calibri"/>
          <w:lang w:val="en-US"/>
        </w:rPr>
        <w:t>Q</w:t>
      </w:r>
      <w:r w:rsidRPr="00E02436">
        <w:rPr>
          <w:rStyle w:val="714pt"/>
          <w:rFonts w:eastAsia="Calibri"/>
        </w:rPr>
        <w:t xml:space="preserve"> </w:t>
      </w:r>
      <w:r w:rsidRPr="00E02436">
        <w:rPr>
          <w:rStyle w:val="714pt"/>
          <w:rFonts w:eastAsia="Calibri"/>
          <w:vertAlign w:val="subscript"/>
        </w:rPr>
        <w:t xml:space="preserve">к-пр МСП </w:t>
      </w:r>
      <w:r w:rsidRPr="00E02436">
        <w:rPr>
          <w:rStyle w:val="714pt"/>
          <w:rFonts w:eastAsia="Calibri"/>
        </w:rPr>
        <w:t>/ 3</w:t>
      </w:r>
    </w:p>
    <w:p w:rsidR="00CE1891" w:rsidRDefault="00CE1891" w:rsidP="00CE1891">
      <w:pPr>
        <w:pStyle w:val="29"/>
        <w:shd w:val="clear" w:color="auto" w:fill="auto"/>
        <w:spacing w:before="0" w:line="240" w:lineRule="auto"/>
        <w:ind w:firstLine="760"/>
      </w:pPr>
      <w:r>
        <w:t>24,5=(24,8+48,7+0)/3 (объем, полученный расчетным методом по формуле)</w:t>
      </w:r>
    </w:p>
    <w:p w:rsidR="00CE1891" w:rsidRDefault="00CE1891" w:rsidP="00CE1891">
      <w:pPr>
        <w:pStyle w:val="29"/>
        <w:shd w:val="clear" w:color="auto" w:fill="auto"/>
        <w:spacing w:before="0" w:line="240" w:lineRule="auto"/>
        <w:ind w:firstLine="760"/>
      </w:pPr>
    </w:p>
    <w:p w:rsidR="00CE1891" w:rsidRDefault="00CE1891" w:rsidP="00CE1891">
      <w:pPr>
        <w:pStyle w:val="29"/>
        <w:shd w:val="clear" w:color="auto" w:fill="auto"/>
        <w:spacing w:before="0" w:line="240" w:lineRule="auto"/>
        <w:ind w:firstLine="760"/>
      </w:pPr>
      <w:r w:rsidRPr="000929C7">
        <w:rPr>
          <w:b/>
        </w:rPr>
        <w:t>11,77</w:t>
      </w:r>
      <w:r>
        <w:t xml:space="preserve"> - (объем планируемый при дальнейшем расчете прогнозных показателей) = 24,5 - 12,8</w:t>
      </w:r>
    </w:p>
    <w:p w:rsidR="00CE1891" w:rsidRDefault="00CE1891" w:rsidP="00CE1891">
      <w:pPr>
        <w:pStyle w:val="29"/>
        <w:shd w:val="clear" w:color="auto" w:fill="auto"/>
        <w:spacing w:before="0" w:line="240" w:lineRule="auto"/>
        <w:ind w:firstLine="760"/>
      </w:pPr>
      <w:r>
        <w:t xml:space="preserve"> </w:t>
      </w:r>
    </w:p>
    <w:p w:rsidR="00CE1891" w:rsidRPr="004C21E9" w:rsidRDefault="00CE1891" w:rsidP="00CE1891">
      <w:pPr>
        <w:pStyle w:val="29"/>
        <w:shd w:val="clear" w:color="auto" w:fill="auto"/>
        <w:spacing w:before="0" w:line="240" w:lineRule="auto"/>
        <w:ind w:firstLine="760"/>
      </w:pPr>
      <w:r w:rsidRPr="004C21E9">
        <w:t>где:</w:t>
      </w:r>
    </w:p>
    <w:p w:rsidR="00CE1891" w:rsidRPr="004C21E9" w:rsidRDefault="00CE1891" w:rsidP="00CE1891">
      <w:pPr>
        <w:pStyle w:val="29"/>
        <w:shd w:val="clear" w:color="auto" w:fill="auto"/>
        <w:spacing w:before="0" w:line="240" w:lineRule="auto"/>
        <w:ind w:firstLine="760"/>
      </w:pPr>
      <w:r w:rsidRPr="00E02436">
        <w:rPr>
          <w:rStyle w:val="714pt"/>
          <w:rFonts w:eastAsia="Calibri"/>
        </w:rPr>
        <w:t xml:space="preserve">∑ </w:t>
      </w:r>
      <w:r w:rsidRPr="00E02436">
        <w:rPr>
          <w:rStyle w:val="714pt"/>
          <w:rFonts w:eastAsia="Calibri"/>
          <w:vertAlign w:val="superscript"/>
        </w:rPr>
        <w:t>3</w:t>
      </w:r>
      <w:r w:rsidRPr="00E02436">
        <w:rPr>
          <w:rStyle w:val="714pt"/>
          <w:rFonts w:eastAsia="Calibri"/>
        </w:rPr>
        <w:t xml:space="preserve"> </w:t>
      </w:r>
      <w:r w:rsidRPr="00E02436">
        <w:rPr>
          <w:rStyle w:val="714pt"/>
          <w:rFonts w:eastAsia="Calibri"/>
          <w:vertAlign w:val="subscript"/>
          <w:lang w:val="en-US"/>
        </w:rPr>
        <w:t>t</w:t>
      </w:r>
      <w:r w:rsidRPr="00E02436">
        <w:rPr>
          <w:rStyle w:val="714pt"/>
          <w:rFonts w:eastAsia="Calibri"/>
          <w:vertAlign w:val="subscript"/>
        </w:rPr>
        <w:t xml:space="preserve">=1 </w:t>
      </w:r>
      <w:r w:rsidRPr="00E02436">
        <w:rPr>
          <w:rStyle w:val="714pt"/>
          <w:rFonts w:eastAsia="Calibri"/>
          <w:lang w:val="en-US"/>
        </w:rPr>
        <w:t>Q</w:t>
      </w:r>
      <w:r w:rsidRPr="00E02436">
        <w:rPr>
          <w:rStyle w:val="714pt"/>
          <w:rFonts w:eastAsia="Calibri"/>
        </w:rPr>
        <w:t xml:space="preserve"> </w:t>
      </w:r>
      <w:r w:rsidRPr="00E02436">
        <w:rPr>
          <w:rStyle w:val="714pt"/>
          <w:rFonts w:eastAsia="Calibri"/>
          <w:vertAlign w:val="subscript"/>
        </w:rPr>
        <w:t xml:space="preserve">к-пр МСП - </w:t>
      </w:r>
      <w:r w:rsidRPr="004C21E9">
        <w:t>сумма годовых величин объемов древесины, подлежащих заготовке по договорам купли-продажи лесных насаждений, заключаемым с субъектами малого и среднего предпринимательства, за три года, предшествующих прогнозируемому году (куб. м), при формировании прогноза на текущий финансовый год используются фактические данные за три отчетных года, на очередной финансовый год используются фактические данные за два отчетных года и прогнозные значения на текущий финансовый год, при формировании прогноза на первый год планового периода используются фактические данные за один отчетный год и прогнозные значения текущего финансового года и очередного финансового года; прогноз на второй год планового периода формируется с использованием в расчетах прогнозных значений на текущий финансовый год, очередной финансовый год и первый год планового периода);</w:t>
      </w:r>
    </w:p>
    <w:p w:rsidR="00CE1891" w:rsidRPr="004C21E9" w:rsidRDefault="00CE1891" w:rsidP="00CE1891">
      <w:pPr>
        <w:pStyle w:val="29"/>
        <w:shd w:val="clear" w:color="auto" w:fill="auto"/>
        <w:spacing w:before="0" w:line="240" w:lineRule="auto"/>
        <w:ind w:firstLine="760"/>
      </w:pPr>
      <w:r w:rsidRPr="00E02436">
        <w:rPr>
          <w:rStyle w:val="714pt"/>
          <w:rFonts w:eastAsia="Calibri"/>
        </w:rPr>
        <w:t xml:space="preserve">Т </w:t>
      </w:r>
      <w:r w:rsidRPr="00E02436">
        <w:rPr>
          <w:rStyle w:val="714pt"/>
          <w:rFonts w:eastAsia="Calibri"/>
          <w:vertAlign w:val="superscript"/>
        </w:rPr>
        <w:t>ср</w:t>
      </w:r>
      <w:r w:rsidRPr="00E02436">
        <w:rPr>
          <w:rStyle w:val="714pt"/>
          <w:rFonts w:eastAsia="Calibri"/>
        </w:rPr>
        <w:t xml:space="preserve"> </w:t>
      </w:r>
      <w:r w:rsidRPr="00E02436">
        <w:rPr>
          <w:rStyle w:val="714pt"/>
          <w:rFonts w:eastAsia="Calibri"/>
          <w:vertAlign w:val="subscript"/>
        </w:rPr>
        <w:t>к-пр МСП</w:t>
      </w:r>
      <w:r w:rsidRPr="00E02436">
        <w:rPr>
          <w:rStyle w:val="714pt"/>
          <w:rFonts w:eastAsia="Calibri"/>
        </w:rPr>
        <w:t xml:space="preserve"> - </w:t>
      </w:r>
      <w:r w:rsidRPr="004C21E9">
        <w:t>средний темп, роста (снижения) объема древесины, подлежащего заготовке по договорам купли-продажи лесных насаждений, заключаемым с субъектами малого и среднего предпринимательства, за три отчетных года, предшествующих прогнозируемому году (ед.), рассчитывается по формуле:</w:t>
      </w:r>
    </w:p>
    <w:p w:rsidR="00CE1891" w:rsidRPr="00E02436" w:rsidRDefault="00CE1891" w:rsidP="00CE1891">
      <w:pPr>
        <w:pStyle w:val="29"/>
        <w:shd w:val="clear" w:color="auto" w:fill="auto"/>
        <w:spacing w:before="0" w:line="240" w:lineRule="auto"/>
        <w:ind w:firstLine="760"/>
        <w:rPr>
          <w:rStyle w:val="714pt"/>
          <w:rFonts w:eastAsia="Calibri"/>
          <w:i w:val="0"/>
        </w:rPr>
      </w:pPr>
    </w:p>
    <w:p w:rsidR="00CE1891" w:rsidRPr="004C21E9" w:rsidRDefault="00CE1891" w:rsidP="00CE1891">
      <w:pPr>
        <w:pStyle w:val="29"/>
        <w:shd w:val="clear" w:color="auto" w:fill="auto"/>
        <w:spacing w:before="0" w:line="240" w:lineRule="auto"/>
        <w:ind w:firstLine="760"/>
      </w:pPr>
      <w:r w:rsidRPr="00E02436">
        <w:rPr>
          <w:rStyle w:val="714pt"/>
          <w:rFonts w:eastAsia="Calibri"/>
        </w:rPr>
        <w:t xml:space="preserve">Т </w:t>
      </w:r>
      <w:r w:rsidRPr="00E02436">
        <w:rPr>
          <w:rStyle w:val="714pt"/>
          <w:rFonts w:eastAsia="Calibri"/>
          <w:vertAlign w:val="superscript"/>
        </w:rPr>
        <w:t>ср</w:t>
      </w:r>
      <w:r w:rsidRPr="00E02436">
        <w:rPr>
          <w:rStyle w:val="714pt"/>
          <w:rFonts w:eastAsia="Calibri"/>
        </w:rPr>
        <w:t xml:space="preserve"> </w:t>
      </w:r>
      <w:r w:rsidRPr="00E02436">
        <w:rPr>
          <w:rStyle w:val="714pt"/>
          <w:rFonts w:eastAsia="Calibri"/>
          <w:vertAlign w:val="subscript"/>
        </w:rPr>
        <w:t>к-пр МСП</w:t>
      </w:r>
      <w:r w:rsidRPr="00E02436">
        <w:rPr>
          <w:rStyle w:val="714pt"/>
          <w:rFonts w:eastAsia="Calibri"/>
        </w:rPr>
        <w:t xml:space="preserve"> - </w:t>
      </w:r>
      <w:r w:rsidRPr="004C21E9">
        <w:t>средний темп, роста (снижения) объема древесины, подлежащего заготовке по договорам купли-продажи лесных насаждений, заключаемым с субъектами малого и среднего предпринимательства, за три отчетных года, предшествующих прогнозируемому году (ед.), рассчитывается по формуле:</w:t>
      </w:r>
    </w:p>
    <w:p w:rsidR="00CE1891" w:rsidRPr="00E02436" w:rsidRDefault="00CE1891" w:rsidP="00CE1891">
      <w:pPr>
        <w:pStyle w:val="29"/>
        <w:shd w:val="clear" w:color="auto" w:fill="auto"/>
        <w:spacing w:before="0" w:line="240" w:lineRule="auto"/>
        <w:ind w:firstLine="760"/>
        <w:rPr>
          <w:rStyle w:val="714pt"/>
          <w:rFonts w:eastAsia="Calibri"/>
          <w:i w:val="0"/>
        </w:rPr>
      </w:pPr>
    </w:p>
    <w:p w:rsidR="00CE1891" w:rsidRPr="004C21E9" w:rsidRDefault="00CE1891" w:rsidP="00CE1891">
      <w:pPr>
        <w:pStyle w:val="29"/>
        <w:shd w:val="clear" w:color="auto" w:fill="auto"/>
        <w:spacing w:before="0" w:line="240" w:lineRule="auto"/>
        <w:ind w:firstLine="760"/>
      </w:pPr>
      <w:r w:rsidRPr="00E02436">
        <w:rPr>
          <w:rStyle w:val="714pt"/>
          <w:rFonts w:eastAsia="Calibri"/>
        </w:rPr>
        <w:t xml:space="preserve">Т </w:t>
      </w:r>
      <w:r w:rsidRPr="00E02436">
        <w:rPr>
          <w:rStyle w:val="714pt"/>
          <w:rFonts w:eastAsia="Calibri"/>
          <w:vertAlign w:val="superscript"/>
        </w:rPr>
        <w:t>ср</w:t>
      </w:r>
      <w:r w:rsidRPr="00E02436">
        <w:rPr>
          <w:rStyle w:val="714pt"/>
          <w:rFonts w:eastAsia="Calibri"/>
        </w:rPr>
        <w:t xml:space="preserve"> </w:t>
      </w:r>
      <w:r w:rsidRPr="00E02436">
        <w:rPr>
          <w:rStyle w:val="714pt"/>
          <w:rFonts w:eastAsia="Calibri"/>
          <w:vertAlign w:val="subscript"/>
        </w:rPr>
        <w:t xml:space="preserve">к-пр МСП </w:t>
      </w:r>
      <w:r w:rsidRPr="00E02436">
        <w:rPr>
          <w:rStyle w:val="714pt"/>
          <w:rFonts w:eastAsia="Calibri"/>
        </w:rPr>
        <w:t xml:space="preserve">= ∑ </w:t>
      </w:r>
      <w:r w:rsidRPr="00E02436">
        <w:rPr>
          <w:rStyle w:val="714pt"/>
          <w:rFonts w:eastAsia="Calibri"/>
          <w:vertAlign w:val="superscript"/>
        </w:rPr>
        <w:t>3</w:t>
      </w:r>
      <w:r w:rsidRPr="00E02436">
        <w:rPr>
          <w:rStyle w:val="714pt"/>
          <w:rFonts w:eastAsia="Calibri"/>
        </w:rPr>
        <w:t xml:space="preserve"> </w:t>
      </w:r>
      <w:r w:rsidRPr="00E02436">
        <w:rPr>
          <w:rStyle w:val="714pt"/>
          <w:rFonts w:eastAsia="Calibri"/>
          <w:vertAlign w:val="subscript"/>
          <w:lang w:val="en-US"/>
        </w:rPr>
        <w:t>t</w:t>
      </w:r>
      <w:r w:rsidRPr="00E02436">
        <w:rPr>
          <w:rStyle w:val="714pt"/>
          <w:rFonts w:eastAsia="Calibri"/>
          <w:vertAlign w:val="subscript"/>
        </w:rPr>
        <w:t>=1</w:t>
      </w:r>
      <w:r w:rsidRPr="00E02436">
        <w:rPr>
          <w:rStyle w:val="714pt"/>
          <w:rFonts w:eastAsia="Calibri"/>
        </w:rPr>
        <w:t xml:space="preserve"> Т </w:t>
      </w:r>
      <w:r w:rsidRPr="00E02436">
        <w:rPr>
          <w:rStyle w:val="714pt"/>
          <w:rFonts w:eastAsia="Calibri"/>
          <w:vertAlign w:val="subscript"/>
        </w:rPr>
        <w:t>к-пр МСП</w:t>
      </w:r>
      <w:r w:rsidRPr="00E02436">
        <w:rPr>
          <w:rStyle w:val="714pt"/>
          <w:rFonts w:eastAsia="Calibri"/>
        </w:rPr>
        <w:t>/3</w:t>
      </w:r>
    </w:p>
    <w:p w:rsidR="00CE1891" w:rsidRDefault="00CE1891" w:rsidP="00CE1891">
      <w:pPr>
        <w:pStyle w:val="29"/>
        <w:shd w:val="clear" w:color="auto" w:fill="auto"/>
        <w:spacing w:before="0" w:line="240" w:lineRule="auto"/>
        <w:ind w:firstLine="760"/>
      </w:pPr>
      <w:r>
        <w:t>1,24=(0,75+1,96+1,0)/3</w:t>
      </w:r>
    </w:p>
    <w:p w:rsidR="00CE1891" w:rsidRPr="004C21E9" w:rsidRDefault="00CE1891" w:rsidP="00CE1891">
      <w:pPr>
        <w:pStyle w:val="29"/>
        <w:shd w:val="clear" w:color="auto" w:fill="auto"/>
        <w:spacing w:before="0" w:line="240" w:lineRule="auto"/>
        <w:ind w:firstLine="760"/>
      </w:pPr>
      <w:r w:rsidRPr="004C21E9">
        <w:t>где:</w:t>
      </w:r>
    </w:p>
    <w:p w:rsidR="00CE1891" w:rsidRPr="004C21E9" w:rsidRDefault="00CE1891" w:rsidP="00CE1891">
      <w:pPr>
        <w:pStyle w:val="29"/>
        <w:shd w:val="clear" w:color="auto" w:fill="auto"/>
        <w:tabs>
          <w:tab w:val="left" w:pos="2070"/>
        </w:tabs>
        <w:spacing w:before="0" w:line="240" w:lineRule="auto"/>
        <w:ind w:firstLine="760"/>
      </w:pPr>
      <w:r w:rsidRPr="00E02436">
        <w:rPr>
          <w:rStyle w:val="714pt"/>
          <w:rFonts w:eastAsia="Calibri"/>
        </w:rPr>
        <w:lastRenderedPageBreak/>
        <w:t xml:space="preserve">∑ </w:t>
      </w:r>
      <w:r w:rsidRPr="00E02436">
        <w:rPr>
          <w:rStyle w:val="714pt"/>
          <w:rFonts w:eastAsia="Calibri"/>
          <w:vertAlign w:val="superscript"/>
        </w:rPr>
        <w:t>3</w:t>
      </w:r>
      <w:r w:rsidRPr="00E02436">
        <w:rPr>
          <w:rStyle w:val="714pt"/>
          <w:rFonts w:eastAsia="Calibri"/>
        </w:rPr>
        <w:t xml:space="preserve"> </w:t>
      </w:r>
      <w:r w:rsidRPr="00E02436">
        <w:rPr>
          <w:rStyle w:val="714pt"/>
          <w:rFonts w:eastAsia="Calibri"/>
          <w:vertAlign w:val="subscript"/>
          <w:lang w:val="en-US"/>
        </w:rPr>
        <w:t>t</w:t>
      </w:r>
      <w:r w:rsidRPr="00E02436">
        <w:rPr>
          <w:rStyle w:val="714pt"/>
          <w:rFonts w:eastAsia="Calibri"/>
          <w:vertAlign w:val="subscript"/>
        </w:rPr>
        <w:t>=1</w:t>
      </w:r>
      <w:r w:rsidRPr="00E02436">
        <w:rPr>
          <w:rStyle w:val="714pt"/>
          <w:rFonts w:eastAsia="Calibri"/>
        </w:rPr>
        <w:t xml:space="preserve"> Т </w:t>
      </w:r>
      <w:r w:rsidRPr="00E02436">
        <w:rPr>
          <w:rStyle w:val="714pt"/>
          <w:rFonts w:eastAsia="Calibri"/>
          <w:vertAlign w:val="subscript"/>
        </w:rPr>
        <w:t>к-пр МСП</w:t>
      </w:r>
      <w:r w:rsidRPr="00E02436">
        <w:rPr>
          <w:rStyle w:val="29pt1"/>
          <w:rFonts w:eastAsia="Calibri"/>
        </w:rPr>
        <w:t xml:space="preserve"> -</w:t>
      </w:r>
      <w:r w:rsidRPr="004C21E9">
        <w:t xml:space="preserve"> сумма темпов роста (снижения) объема древесины,</w:t>
      </w:r>
    </w:p>
    <w:p w:rsidR="00CE1891" w:rsidRPr="004C21E9" w:rsidRDefault="00CE1891" w:rsidP="00CE1891">
      <w:pPr>
        <w:pStyle w:val="29"/>
        <w:shd w:val="clear" w:color="auto" w:fill="auto"/>
        <w:spacing w:before="0" w:line="240" w:lineRule="auto"/>
      </w:pPr>
      <w:r w:rsidRPr="004C21E9">
        <w:t>подлежащего заготовке по договорам купли-продажи лесных насаждений, заключаемым с субъектами малого и среднего предпринимательства, за три отчетных года, предшествующих прогнозируемому году (ед.);</w:t>
      </w:r>
    </w:p>
    <w:p w:rsidR="00CE1891" w:rsidRDefault="00CE1891" w:rsidP="00CE1891">
      <w:pPr>
        <w:pStyle w:val="29"/>
        <w:shd w:val="clear" w:color="auto" w:fill="auto"/>
        <w:spacing w:before="0" w:line="240" w:lineRule="auto"/>
        <w:ind w:firstLine="760"/>
      </w:pPr>
    </w:p>
    <w:p w:rsidR="00CE1891" w:rsidRPr="004C21E9" w:rsidRDefault="00CE1891" w:rsidP="00CE1891">
      <w:pPr>
        <w:pStyle w:val="29"/>
        <w:shd w:val="clear" w:color="auto" w:fill="auto"/>
        <w:spacing w:before="0" w:line="240" w:lineRule="auto"/>
        <w:ind w:firstLine="760"/>
      </w:pPr>
      <w:r w:rsidRPr="004C21E9">
        <w:t>Средняя плат</w:t>
      </w:r>
      <w:r>
        <w:t>а сверх минимальной ставки платы</w:t>
      </w:r>
      <w:r w:rsidRPr="004C21E9">
        <w:t xml:space="preserve"> за единицу объема древесины по договорам купли-продажи лесных насаждений, заключаемым с субъектами малого и среднего предпринимательства, сложившаяся по итогам предыдущего отчетного года и приведенная к уровню 2007 года (</w:t>
      </w:r>
      <w:r w:rsidRPr="00E02436">
        <w:rPr>
          <w:rStyle w:val="714pt"/>
          <w:rFonts w:eastAsia="Calibri"/>
          <w:lang w:val="en-US"/>
        </w:rPr>
        <w:t>C</w:t>
      </w:r>
      <w:r w:rsidRPr="00E02436">
        <w:rPr>
          <w:rStyle w:val="714pt"/>
          <w:rFonts w:eastAsia="Calibri"/>
        </w:rPr>
        <w:t xml:space="preserve"> </w:t>
      </w:r>
      <w:r w:rsidRPr="00E02436">
        <w:rPr>
          <w:rStyle w:val="714pt"/>
          <w:rFonts w:eastAsia="Calibri"/>
          <w:vertAlign w:val="subscript"/>
          <w:lang w:val="en-US"/>
        </w:rPr>
        <w:t>Q</w:t>
      </w:r>
      <w:r w:rsidRPr="00E02436">
        <w:rPr>
          <w:rStyle w:val="714pt"/>
          <w:rFonts w:eastAsia="Calibri"/>
        </w:rPr>
        <w:t xml:space="preserve"> </w:t>
      </w:r>
      <w:r w:rsidRPr="00E02436">
        <w:rPr>
          <w:rStyle w:val="714pt"/>
          <w:rFonts w:eastAsia="Calibri"/>
          <w:vertAlign w:val="superscript"/>
        </w:rPr>
        <w:t>к-пр</w:t>
      </w:r>
      <w:r w:rsidRPr="00E02436">
        <w:rPr>
          <w:rStyle w:val="714pt"/>
          <w:rFonts w:eastAsia="Calibri"/>
        </w:rPr>
        <w:t xml:space="preserve"> </w:t>
      </w:r>
      <w:r w:rsidRPr="00E02436">
        <w:rPr>
          <w:rStyle w:val="714pt"/>
          <w:rFonts w:eastAsia="Calibri"/>
          <w:vertAlign w:val="subscript"/>
        </w:rPr>
        <w:t>МПС</w:t>
      </w:r>
      <w:r w:rsidRPr="00E02436">
        <w:rPr>
          <w:rStyle w:val="714pt"/>
          <w:rFonts w:eastAsia="Calibri"/>
        </w:rPr>
        <w:t xml:space="preserve">) </w:t>
      </w:r>
      <w:r w:rsidRPr="004C21E9">
        <w:t>рассчитывается по формуле:</w:t>
      </w:r>
    </w:p>
    <w:p w:rsidR="00CE1891" w:rsidRPr="00E02436" w:rsidRDefault="00CE1891" w:rsidP="00CE1891">
      <w:pPr>
        <w:pStyle w:val="29"/>
        <w:shd w:val="clear" w:color="auto" w:fill="auto"/>
        <w:spacing w:before="0" w:line="240" w:lineRule="auto"/>
        <w:ind w:firstLine="760"/>
        <w:rPr>
          <w:rStyle w:val="714pt"/>
          <w:rFonts w:eastAsia="Calibri"/>
          <w:i w:val="0"/>
        </w:rPr>
      </w:pPr>
    </w:p>
    <w:p w:rsidR="00CE1891" w:rsidRPr="00D04699" w:rsidRDefault="00CE1891" w:rsidP="00CE1891">
      <w:pPr>
        <w:pStyle w:val="29"/>
        <w:shd w:val="clear" w:color="auto" w:fill="auto"/>
        <w:spacing w:before="0" w:line="240" w:lineRule="auto"/>
        <w:ind w:firstLine="760"/>
      </w:pPr>
      <w:r w:rsidRPr="00D04699">
        <w:rPr>
          <w:rStyle w:val="714pt"/>
          <w:rFonts w:eastAsia="Calibri"/>
          <w:lang w:val="en-US"/>
        </w:rPr>
        <w:t>C</w:t>
      </w:r>
      <w:r w:rsidRPr="00D04699">
        <w:rPr>
          <w:rStyle w:val="714pt"/>
          <w:rFonts w:eastAsia="Calibri"/>
        </w:rPr>
        <w:t xml:space="preserve"> </w:t>
      </w:r>
      <w:r w:rsidRPr="00D04699">
        <w:rPr>
          <w:rStyle w:val="714pt"/>
          <w:rFonts w:eastAsia="Calibri"/>
          <w:vertAlign w:val="subscript"/>
          <w:lang w:val="en-US"/>
        </w:rPr>
        <w:t>Q</w:t>
      </w:r>
      <w:r w:rsidRPr="00D04699">
        <w:rPr>
          <w:rStyle w:val="714pt"/>
          <w:rFonts w:eastAsia="Calibri"/>
        </w:rPr>
        <w:t xml:space="preserve"> </w:t>
      </w:r>
      <w:r w:rsidRPr="00D04699">
        <w:rPr>
          <w:rStyle w:val="714pt"/>
          <w:rFonts w:eastAsia="Calibri"/>
          <w:vertAlign w:val="superscript"/>
        </w:rPr>
        <w:t>к-пр</w:t>
      </w:r>
      <w:r w:rsidRPr="00D04699">
        <w:rPr>
          <w:rStyle w:val="714pt"/>
          <w:rFonts w:eastAsia="Calibri"/>
        </w:rPr>
        <w:t xml:space="preserve"> </w:t>
      </w:r>
      <w:r w:rsidRPr="00D04699">
        <w:rPr>
          <w:rStyle w:val="714pt"/>
          <w:rFonts w:eastAsia="Calibri"/>
          <w:vertAlign w:val="subscript"/>
        </w:rPr>
        <w:t>МПС</w:t>
      </w:r>
      <w:r w:rsidRPr="00D04699">
        <w:rPr>
          <w:rStyle w:val="714pt"/>
          <w:rFonts w:eastAsia="Calibri"/>
        </w:rPr>
        <w:t xml:space="preserve"> = </w:t>
      </w:r>
      <w:r w:rsidRPr="00D04699">
        <w:rPr>
          <w:rStyle w:val="29pt1"/>
          <w:rFonts w:eastAsia="Calibri"/>
        </w:rPr>
        <w:t>П</w:t>
      </w:r>
      <w:r w:rsidRPr="00D04699">
        <w:rPr>
          <w:rStyle w:val="29pt1"/>
          <w:rFonts w:eastAsia="Calibri"/>
          <w:vertAlign w:val="subscript"/>
        </w:rPr>
        <w:t>к</w:t>
      </w:r>
      <w:r w:rsidRPr="00D04699">
        <w:rPr>
          <w:rStyle w:val="29pt1"/>
          <w:rFonts w:eastAsia="Calibri"/>
        </w:rPr>
        <w:t>.</w:t>
      </w:r>
      <w:r w:rsidRPr="00D04699">
        <w:rPr>
          <w:rStyle w:val="29pt1"/>
          <w:rFonts w:eastAsia="Calibri"/>
          <w:vertAlign w:val="subscript"/>
        </w:rPr>
        <w:t>пр</w:t>
      </w:r>
      <w:r w:rsidRPr="00D04699">
        <w:rPr>
          <w:rStyle w:val="29pt1"/>
          <w:rFonts w:eastAsia="Calibri"/>
        </w:rPr>
        <w:t xml:space="preserve"> </w:t>
      </w:r>
      <w:r w:rsidRPr="00D04699">
        <w:rPr>
          <w:rStyle w:val="29pt1"/>
          <w:rFonts w:eastAsia="Calibri"/>
          <w:vertAlign w:val="superscript"/>
        </w:rPr>
        <w:t>прич</w:t>
      </w:r>
      <w:r w:rsidRPr="00D04699">
        <w:rPr>
          <w:rStyle w:val="29pt1"/>
          <w:rFonts w:eastAsia="Calibri"/>
        </w:rPr>
        <w:t xml:space="preserve"> </w:t>
      </w:r>
      <w:r w:rsidRPr="00D04699">
        <w:rPr>
          <w:rStyle w:val="29pt1"/>
          <w:rFonts w:eastAsia="Calibri"/>
          <w:vertAlign w:val="subscript"/>
        </w:rPr>
        <w:t xml:space="preserve">МСП </w:t>
      </w:r>
      <w:r w:rsidRPr="00D04699">
        <w:rPr>
          <w:rStyle w:val="29pt1"/>
          <w:rFonts w:eastAsia="Calibri"/>
        </w:rPr>
        <w:t xml:space="preserve">/ </w:t>
      </w:r>
      <w:r w:rsidRPr="00D04699">
        <w:rPr>
          <w:rStyle w:val="29pt0"/>
          <w:rFonts w:eastAsia="Calibri"/>
          <w:lang w:val="en-US" w:bidi="en-US"/>
        </w:rPr>
        <w:t>Q</w:t>
      </w:r>
      <w:r w:rsidRPr="00D04699">
        <w:rPr>
          <w:rStyle w:val="29pt0"/>
          <w:rFonts w:eastAsia="Calibri"/>
          <w:lang w:bidi="en-US"/>
        </w:rPr>
        <w:t xml:space="preserve"> </w:t>
      </w:r>
      <w:r w:rsidRPr="00D04699">
        <w:rPr>
          <w:rStyle w:val="29pt0"/>
          <w:rFonts w:eastAsia="Calibri"/>
          <w:vertAlign w:val="subscript"/>
          <w:lang w:val="en-US" w:bidi="en-US"/>
        </w:rPr>
        <w:t>k</w:t>
      </w:r>
      <w:r w:rsidRPr="00D04699">
        <w:rPr>
          <w:rStyle w:val="29pt0"/>
          <w:rFonts w:eastAsia="Calibri"/>
          <w:vertAlign w:val="subscript"/>
        </w:rPr>
        <w:t>-пр</w:t>
      </w:r>
      <w:r w:rsidRPr="00D04699">
        <w:rPr>
          <w:rStyle w:val="29pt1"/>
          <w:rFonts w:eastAsia="Calibri"/>
        </w:rPr>
        <w:t xml:space="preserve"> </w:t>
      </w:r>
      <w:r w:rsidRPr="00D04699">
        <w:rPr>
          <w:rStyle w:val="29pt1"/>
          <w:rFonts w:eastAsia="Calibri"/>
          <w:vertAlign w:val="superscript"/>
        </w:rPr>
        <w:t>предост</w:t>
      </w:r>
      <w:r w:rsidRPr="00D04699">
        <w:rPr>
          <w:rStyle w:val="29pt1"/>
          <w:rFonts w:eastAsia="Calibri"/>
        </w:rPr>
        <w:t xml:space="preserve"> </w:t>
      </w:r>
      <w:r w:rsidRPr="00D04699">
        <w:rPr>
          <w:rStyle w:val="29pt1"/>
          <w:rFonts w:eastAsia="Calibri"/>
          <w:vertAlign w:val="subscript"/>
        </w:rPr>
        <w:t>МСП</w:t>
      </w:r>
      <w:r w:rsidRPr="00D04699">
        <w:rPr>
          <w:rStyle w:val="29pt1"/>
          <w:rFonts w:eastAsia="Calibri"/>
        </w:rPr>
        <w:t xml:space="preserve"> / К </w:t>
      </w:r>
      <w:r w:rsidRPr="00D04699">
        <w:rPr>
          <w:rStyle w:val="29pt1"/>
          <w:rFonts w:eastAsia="Calibri"/>
          <w:vertAlign w:val="subscript"/>
        </w:rPr>
        <w:t>1 пред год</w:t>
      </w:r>
    </w:p>
    <w:p w:rsidR="00CE1891" w:rsidRPr="004C21E9" w:rsidRDefault="00CE1891" w:rsidP="00CE1891">
      <w:pPr>
        <w:pStyle w:val="29"/>
        <w:shd w:val="clear" w:color="auto" w:fill="auto"/>
        <w:spacing w:before="0" w:line="240" w:lineRule="auto"/>
        <w:ind w:firstLine="760"/>
      </w:pPr>
      <w:r>
        <w:t xml:space="preserve">               125,24=14515,5/48,7/2,38</w:t>
      </w:r>
    </w:p>
    <w:p w:rsidR="00CE1891" w:rsidRPr="004C21E9" w:rsidRDefault="00CE1891" w:rsidP="00CE1891">
      <w:pPr>
        <w:pStyle w:val="29"/>
        <w:shd w:val="clear" w:color="auto" w:fill="auto"/>
        <w:spacing w:before="0" w:line="240" w:lineRule="auto"/>
        <w:ind w:firstLine="760"/>
      </w:pPr>
      <w:r w:rsidRPr="004C21E9">
        <w:t>где:</w:t>
      </w:r>
    </w:p>
    <w:p w:rsidR="00CE1891" w:rsidRPr="004C21E9" w:rsidRDefault="00CE1891" w:rsidP="00CE1891">
      <w:pPr>
        <w:pStyle w:val="29"/>
        <w:shd w:val="clear" w:color="auto" w:fill="auto"/>
        <w:spacing w:before="0" w:line="240" w:lineRule="auto"/>
        <w:ind w:firstLine="760"/>
      </w:pPr>
      <w:r w:rsidRPr="00FE19CC">
        <w:rPr>
          <w:rStyle w:val="29pt1"/>
          <w:rFonts w:eastAsia="Calibri"/>
        </w:rPr>
        <w:t>П</w:t>
      </w:r>
      <w:r w:rsidRPr="00FE19CC">
        <w:rPr>
          <w:rStyle w:val="29pt1"/>
          <w:rFonts w:eastAsia="Calibri"/>
          <w:vertAlign w:val="subscript"/>
        </w:rPr>
        <w:t>к</w:t>
      </w:r>
      <w:r w:rsidRPr="00FE19CC">
        <w:rPr>
          <w:rStyle w:val="29pt1"/>
          <w:rFonts w:eastAsia="Calibri"/>
        </w:rPr>
        <w:t>.</w:t>
      </w:r>
      <w:r w:rsidRPr="00FE19CC">
        <w:rPr>
          <w:rStyle w:val="29pt1"/>
          <w:rFonts w:eastAsia="Calibri"/>
          <w:vertAlign w:val="subscript"/>
        </w:rPr>
        <w:t>пр</w:t>
      </w:r>
      <w:r w:rsidRPr="00FE19CC">
        <w:rPr>
          <w:rStyle w:val="29pt1"/>
          <w:rFonts w:eastAsia="Calibri"/>
        </w:rPr>
        <w:t xml:space="preserve"> </w:t>
      </w:r>
      <w:r w:rsidRPr="00FE19CC">
        <w:rPr>
          <w:rStyle w:val="29pt1"/>
          <w:rFonts w:eastAsia="Calibri"/>
          <w:vertAlign w:val="superscript"/>
        </w:rPr>
        <w:t>прич</w:t>
      </w:r>
      <w:r w:rsidRPr="00FE19CC">
        <w:rPr>
          <w:rStyle w:val="29pt1"/>
          <w:rFonts w:eastAsia="Calibri"/>
        </w:rPr>
        <w:t xml:space="preserve"> </w:t>
      </w:r>
      <w:r w:rsidRPr="00FE19CC">
        <w:rPr>
          <w:rStyle w:val="29pt1"/>
          <w:rFonts w:eastAsia="Calibri"/>
          <w:vertAlign w:val="subscript"/>
        </w:rPr>
        <w:t>мсп</w:t>
      </w:r>
      <w:r w:rsidRPr="00E02436">
        <w:rPr>
          <w:rStyle w:val="29pt1"/>
          <w:rFonts w:eastAsia="Calibri"/>
        </w:rPr>
        <w:t xml:space="preserve"> -</w:t>
      </w:r>
      <w:r w:rsidRPr="004C21E9">
        <w:t xml:space="preserve"> причитающийся в бюджет объем платежей за заготовку древесины по договорам купли-продажи лесных насаждений, заключаемым с субъектами малого и среднего предпринимательства, в предыдущем отчетном году (тыс. руб.);</w:t>
      </w:r>
    </w:p>
    <w:p w:rsidR="00CE1891" w:rsidRPr="004C21E9" w:rsidRDefault="00CE1891" w:rsidP="00CE1891">
      <w:pPr>
        <w:pStyle w:val="29"/>
        <w:shd w:val="clear" w:color="auto" w:fill="auto"/>
        <w:spacing w:before="0" w:line="240" w:lineRule="auto"/>
        <w:ind w:firstLine="760"/>
      </w:pPr>
      <w:r w:rsidRPr="00E02436">
        <w:rPr>
          <w:rStyle w:val="29pt0"/>
          <w:rFonts w:eastAsia="Calibri"/>
          <w:lang w:val="en-US" w:bidi="en-US"/>
        </w:rPr>
        <w:t>Q</w:t>
      </w:r>
      <w:r w:rsidRPr="00E02436">
        <w:rPr>
          <w:rStyle w:val="29pt0"/>
          <w:rFonts w:eastAsia="Calibri"/>
          <w:lang w:bidi="en-US"/>
        </w:rPr>
        <w:t xml:space="preserve"> </w:t>
      </w:r>
      <w:r w:rsidRPr="00E02436">
        <w:rPr>
          <w:rStyle w:val="29pt0"/>
          <w:rFonts w:eastAsia="Calibri"/>
          <w:vertAlign w:val="subscript"/>
          <w:lang w:val="en-US" w:bidi="en-US"/>
        </w:rPr>
        <w:t>k</w:t>
      </w:r>
      <w:r w:rsidRPr="00E02436">
        <w:rPr>
          <w:rStyle w:val="29pt0"/>
          <w:rFonts w:eastAsia="Calibri"/>
          <w:vertAlign w:val="subscript"/>
        </w:rPr>
        <w:t>-пр</w:t>
      </w:r>
      <w:r w:rsidRPr="00E02436">
        <w:rPr>
          <w:rStyle w:val="29pt1"/>
          <w:rFonts w:eastAsia="Calibri"/>
        </w:rPr>
        <w:t xml:space="preserve"> </w:t>
      </w:r>
      <w:r w:rsidRPr="00E02436">
        <w:rPr>
          <w:rStyle w:val="29pt1"/>
          <w:rFonts w:eastAsia="Calibri"/>
          <w:vertAlign w:val="superscript"/>
        </w:rPr>
        <w:t>предост</w:t>
      </w:r>
      <w:r w:rsidRPr="00E02436">
        <w:rPr>
          <w:rStyle w:val="29pt1"/>
          <w:rFonts w:eastAsia="Calibri"/>
        </w:rPr>
        <w:t xml:space="preserve"> </w:t>
      </w:r>
      <w:r w:rsidRPr="00E02436">
        <w:rPr>
          <w:rStyle w:val="29pt1"/>
          <w:rFonts w:eastAsia="Calibri"/>
          <w:vertAlign w:val="subscript"/>
        </w:rPr>
        <w:t>МСП</w:t>
      </w:r>
      <w:r w:rsidRPr="004C21E9">
        <w:t xml:space="preserve"> - объем древесины, предоставленный для заготовки по договорам купли-продажи лесных насаждений, заключаемым с субъектами малого и среднего предпринимательства, в предыдущем отчетном году (куб.м);</w:t>
      </w:r>
    </w:p>
    <w:p w:rsidR="00CE1891" w:rsidRDefault="00CE1891" w:rsidP="00CE1891">
      <w:pPr>
        <w:pStyle w:val="29"/>
        <w:shd w:val="clear" w:color="auto" w:fill="auto"/>
        <w:spacing w:before="0" w:line="240" w:lineRule="auto"/>
        <w:ind w:firstLine="760"/>
      </w:pPr>
      <w:r w:rsidRPr="00FE19CC">
        <w:rPr>
          <w:rStyle w:val="29pt1"/>
          <w:rFonts w:eastAsia="Calibri"/>
        </w:rPr>
        <w:t>К</w:t>
      </w:r>
      <w:r w:rsidRPr="00FE19CC">
        <w:rPr>
          <w:rStyle w:val="29pt1"/>
          <w:rFonts w:eastAsia="Calibri"/>
          <w:vertAlign w:val="subscript"/>
        </w:rPr>
        <w:t>1</w:t>
      </w:r>
      <w:r w:rsidRPr="00FE19CC">
        <w:rPr>
          <w:rStyle w:val="29pt1"/>
          <w:rFonts w:eastAsia="Calibri"/>
        </w:rPr>
        <w:t xml:space="preserve"> </w:t>
      </w:r>
      <w:r w:rsidRPr="00FE19CC">
        <w:rPr>
          <w:rStyle w:val="29pt1"/>
          <w:rFonts w:eastAsia="Calibri"/>
          <w:vertAlign w:val="subscript"/>
        </w:rPr>
        <w:t>пред год</w:t>
      </w:r>
      <w:r w:rsidRPr="004C21E9">
        <w:t xml:space="preserve"> - коэффициент к ставкам платы за единицу объема лесных ресурсов (древесины), установленный Правительством Российской Федерации в предыдущем финансовом году (на 2019-2020 годы, 2021-2023 годы коэффициент к ставкам платы за единицу объема лесных ресурсов (древесины).</w:t>
      </w:r>
    </w:p>
    <w:p w:rsidR="00CE1891" w:rsidRDefault="00CE1891" w:rsidP="00CE1891">
      <w:pPr>
        <w:pStyle w:val="29"/>
        <w:shd w:val="clear" w:color="auto" w:fill="auto"/>
        <w:spacing w:before="0" w:line="240" w:lineRule="auto"/>
        <w:ind w:firstLine="760"/>
      </w:pPr>
    </w:p>
    <w:p w:rsidR="00CE1891" w:rsidRDefault="00CE1891" w:rsidP="00CE1891">
      <w:pPr>
        <w:tabs>
          <w:tab w:val="left" w:pos="3195"/>
        </w:tabs>
        <w:autoSpaceDE w:val="0"/>
        <w:autoSpaceDN w:val="0"/>
        <w:adjustRightInd w:val="0"/>
        <w:ind w:firstLine="709"/>
        <w:jc w:val="both"/>
        <w:rPr>
          <w:rFonts w:eastAsia="Calibri"/>
          <w:b/>
          <w:sz w:val="28"/>
          <w:szCs w:val="28"/>
          <w:lang w:eastAsia="en-US"/>
        </w:rPr>
      </w:pPr>
      <w:r w:rsidRPr="00C60EEA">
        <w:rPr>
          <w:rFonts w:eastAsia="Calibri"/>
          <w:b/>
          <w:sz w:val="28"/>
          <w:szCs w:val="28"/>
          <w:lang w:eastAsia="en-US"/>
        </w:rPr>
        <w:t>Определение прогноза доходов на 2022 год:</w:t>
      </w:r>
    </w:p>
    <w:p w:rsidR="00CE1891" w:rsidRPr="00E02436" w:rsidRDefault="00CE1891" w:rsidP="00CE1891">
      <w:pPr>
        <w:pStyle w:val="29"/>
        <w:shd w:val="clear" w:color="auto" w:fill="auto"/>
        <w:spacing w:before="0" w:line="240" w:lineRule="auto"/>
        <w:ind w:firstLine="708"/>
        <w:rPr>
          <w:rStyle w:val="714pt"/>
          <w:rFonts w:eastAsia="Calibri"/>
          <w:i w:val="0"/>
        </w:rPr>
      </w:pPr>
      <w:r w:rsidRPr="004C21E9">
        <w:t>Прогноз доходов по плате за использование лесов, расположенных на землях лесного фонда, в части минимального размера платы по договору купли-продажи лесных (</w:t>
      </w:r>
      <w:r w:rsidRPr="00E02436">
        <w:rPr>
          <w:rStyle w:val="714pt"/>
          <w:rFonts w:eastAsia="Calibri"/>
        </w:rPr>
        <w:t xml:space="preserve">П </w:t>
      </w:r>
      <w:r w:rsidRPr="00E02436">
        <w:rPr>
          <w:rStyle w:val="714pt"/>
          <w:rFonts w:eastAsia="Calibri"/>
          <w:sz w:val="24"/>
          <w:vertAlign w:val="subscript"/>
        </w:rPr>
        <w:t>к-пр</w:t>
      </w:r>
      <w:r w:rsidRPr="00E02436">
        <w:rPr>
          <w:rStyle w:val="714pt"/>
          <w:rFonts w:eastAsia="Calibri"/>
          <w:sz w:val="24"/>
        </w:rPr>
        <w:t xml:space="preserve">) </w:t>
      </w:r>
      <w:r w:rsidRPr="00E02436">
        <w:rPr>
          <w:rStyle w:val="714pt"/>
          <w:rFonts w:eastAsia="Calibri"/>
        </w:rPr>
        <w:t>определяется по формуле:</w:t>
      </w:r>
    </w:p>
    <w:p w:rsidR="00CE1891" w:rsidRPr="004C21E9" w:rsidRDefault="00CE1891" w:rsidP="00CE1891">
      <w:pPr>
        <w:pStyle w:val="29"/>
        <w:shd w:val="clear" w:color="auto" w:fill="auto"/>
        <w:spacing w:before="0" w:line="240" w:lineRule="auto"/>
        <w:ind w:firstLine="708"/>
      </w:pPr>
    </w:p>
    <w:p w:rsidR="00CE1891" w:rsidRPr="004C21E9" w:rsidRDefault="00CE1891" w:rsidP="00CE1891">
      <w:pPr>
        <w:pStyle w:val="73"/>
        <w:shd w:val="clear" w:color="auto" w:fill="auto"/>
        <w:spacing w:before="0" w:after="0" w:line="240" w:lineRule="auto"/>
        <w:ind w:right="-65" w:firstLine="708"/>
        <w:jc w:val="left"/>
        <w:rPr>
          <w:rStyle w:val="714pt"/>
          <w:rFonts w:eastAsia="Constantia"/>
        </w:rPr>
      </w:pPr>
      <w:r w:rsidRPr="004C21E9">
        <w:rPr>
          <w:rStyle w:val="714pt"/>
          <w:rFonts w:eastAsia="Constantia"/>
        </w:rPr>
        <w:t xml:space="preserve">П </w:t>
      </w:r>
      <w:r w:rsidRPr="004C21E9">
        <w:rPr>
          <w:rStyle w:val="714pt"/>
          <w:rFonts w:eastAsia="Constantia"/>
          <w:sz w:val="24"/>
          <w:vertAlign w:val="subscript"/>
        </w:rPr>
        <w:t>к-пр</w:t>
      </w:r>
      <w:r w:rsidRPr="004C21E9">
        <w:rPr>
          <w:rStyle w:val="714pt"/>
          <w:rFonts w:eastAsia="Constantia"/>
          <w:sz w:val="24"/>
        </w:rPr>
        <w:t xml:space="preserve"> =</w:t>
      </w:r>
      <w:r w:rsidRPr="004C21E9">
        <w:rPr>
          <w:rStyle w:val="714pt"/>
          <w:rFonts w:eastAsia="Constantia"/>
          <w:vertAlign w:val="superscript"/>
        </w:rPr>
        <w:t xml:space="preserve"> </w:t>
      </w:r>
      <w:r w:rsidRPr="004C21E9">
        <w:rPr>
          <w:rStyle w:val="714pt"/>
          <w:rFonts w:eastAsia="Constantia"/>
        </w:rPr>
        <w:t xml:space="preserve">(С </w:t>
      </w:r>
      <w:r w:rsidRPr="004C21E9">
        <w:rPr>
          <w:rStyle w:val="714pt"/>
          <w:rFonts w:eastAsia="Constantia"/>
          <w:vertAlign w:val="subscript"/>
          <w:lang w:val="en-US"/>
        </w:rPr>
        <w:t>Q</w:t>
      </w:r>
      <w:r w:rsidRPr="004C21E9">
        <w:rPr>
          <w:rStyle w:val="714pt"/>
          <w:rFonts w:eastAsia="Constantia"/>
        </w:rPr>
        <w:t xml:space="preserve"> </w:t>
      </w:r>
      <w:r w:rsidRPr="004C21E9">
        <w:rPr>
          <w:rStyle w:val="714pt"/>
          <w:rFonts w:eastAsia="Constantia"/>
          <w:vertAlign w:val="superscript"/>
        </w:rPr>
        <w:t xml:space="preserve">к-пр </w:t>
      </w:r>
      <w:r w:rsidRPr="004C21E9">
        <w:rPr>
          <w:rStyle w:val="714pt"/>
          <w:rFonts w:eastAsia="Constantia"/>
          <w:vertAlign w:val="subscript"/>
        </w:rPr>
        <w:t>МСП</w:t>
      </w:r>
      <w:r w:rsidRPr="004C21E9">
        <w:rPr>
          <w:rStyle w:val="714pt"/>
          <w:rFonts w:eastAsia="Constantia"/>
        </w:rPr>
        <w:t xml:space="preserve"> * К</w:t>
      </w:r>
      <w:r w:rsidRPr="004C21E9">
        <w:rPr>
          <w:rStyle w:val="714pt"/>
          <w:rFonts w:eastAsia="Constantia"/>
          <w:vertAlign w:val="subscript"/>
        </w:rPr>
        <w:t>1</w:t>
      </w:r>
      <w:r w:rsidRPr="004C21E9">
        <w:rPr>
          <w:rStyle w:val="714pt"/>
          <w:rFonts w:eastAsia="Constantia"/>
        </w:rPr>
        <w:t>)*</w:t>
      </w:r>
      <w:r w:rsidRPr="004C21E9">
        <w:rPr>
          <w:rStyle w:val="714pt"/>
          <w:rFonts w:eastAsia="Constantia"/>
          <w:lang w:val="en-US"/>
        </w:rPr>
        <w:t>Q</w:t>
      </w:r>
      <w:r w:rsidRPr="004C21E9">
        <w:rPr>
          <w:rStyle w:val="714pt"/>
          <w:rFonts w:eastAsia="Constantia"/>
          <w:vertAlign w:val="superscript"/>
        </w:rPr>
        <w:t>ср</w:t>
      </w:r>
      <w:r w:rsidRPr="004C21E9">
        <w:rPr>
          <w:rStyle w:val="714pt"/>
          <w:rFonts w:eastAsia="Constantia"/>
        </w:rPr>
        <w:t xml:space="preserve"> </w:t>
      </w:r>
      <w:r w:rsidRPr="004C21E9">
        <w:rPr>
          <w:rStyle w:val="714pt"/>
          <w:rFonts w:eastAsia="Constantia"/>
          <w:vertAlign w:val="subscript"/>
        </w:rPr>
        <w:t>к-пр МСП</w:t>
      </w:r>
      <w:r w:rsidRPr="004C21E9">
        <w:rPr>
          <w:rStyle w:val="714pt"/>
          <w:rFonts w:eastAsia="Constantia"/>
        </w:rPr>
        <w:t xml:space="preserve"> * Т </w:t>
      </w:r>
      <w:r w:rsidRPr="004C21E9">
        <w:rPr>
          <w:rStyle w:val="714pt"/>
          <w:rFonts w:eastAsia="Constantia"/>
          <w:vertAlign w:val="superscript"/>
        </w:rPr>
        <w:t>ср</w:t>
      </w:r>
      <w:r w:rsidRPr="004C21E9">
        <w:rPr>
          <w:rStyle w:val="714pt"/>
          <w:rFonts w:eastAsia="Constantia"/>
        </w:rPr>
        <w:t xml:space="preserve"> </w:t>
      </w:r>
      <w:r w:rsidRPr="004C21E9">
        <w:rPr>
          <w:rStyle w:val="714pt"/>
          <w:rFonts w:eastAsia="Constantia"/>
          <w:vertAlign w:val="subscript"/>
        </w:rPr>
        <w:t>к-пр МСП</w:t>
      </w:r>
      <w:r w:rsidRPr="004C21E9">
        <w:rPr>
          <w:rStyle w:val="714pt"/>
          <w:rFonts w:eastAsia="Constantia"/>
        </w:rPr>
        <w:t xml:space="preserve"> </w:t>
      </w:r>
    </w:p>
    <w:p w:rsidR="00CE1891" w:rsidRPr="004C21E9" w:rsidRDefault="00CE1891" w:rsidP="00CE1891">
      <w:pPr>
        <w:pStyle w:val="73"/>
        <w:shd w:val="clear" w:color="auto" w:fill="auto"/>
        <w:spacing w:before="0" w:after="0" w:line="240" w:lineRule="auto"/>
        <w:ind w:left="760" w:right="-2"/>
        <w:jc w:val="left"/>
        <w:rPr>
          <w:rStyle w:val="714pt"/>
          <w:rFonts w:eastAsia="Constantia"/>
        </w:rPr>
      </w:pPr>
      <w:r>
        <w:rPr>
          <w:rStyle w:val="714pt"/>
          <w:rFonts w:eastAsia="Constantia"/>
        </w:rPr>
        <w:t xml:space="preserve">                   5406,0=(155,29*2,83)*12,06*1,02</w:t>
      </w:r>
    </w:p>
    <w:p w:rsidR="00CE1891" w:rsidRPr="004C21E9" w:rsidRDefault="00CE1891" w:rsidP="00CE1891">
      <w:pPr>
        <w:pStyle w:val="73"/>
        <w:shd w:val="clear" w:color="auto" w:fill="auto"/>
        <w:spacing w:before="0" w:after="0" w:line="240" w:lineRule="auto"/>
        <w:ind w:left="760" w:right="7220"/>
        <w:jc w:val="left"/>
        <w:rPr>
          <w:i w:val="0"/>
        </w:rPr>
      </w:pPr>
      <w:r w:rsidRPr="004C21E9">
        <w:rPr>
          <w:rStyle w:val="714pt"/>
          <w:rFonts w:eastAsia="Constantia"/>
        </w:rPr>
        <w:t>где:</w:t>
      </w:r>
    </w:p>
    <w:p w:rsidR="00CE1891" w:rsidRPr="004C21E9" w:rsidRDefault="00CE1891" w:rsidP="00CE1891">
      <w:pPr>
        <w:pStyle w:val="29"/>
        <w:shd w:val="clear" w:color="auto" w:fill="auto"/>
        <w:spacing w:before="0" w:line="240" w:lineRule="auto"/>
        <w:ind w:firstLine="760"/>
      </w:pPr>
      <w:r w:rsidRPr="00E02436">
        <w:rPr>
          <w:rStyle w:val="714pt"/>
          <w:rFonts w:eastAsia="Calibri"/>
        </w:rPr>
        <w:t xml:space="preserve">К </w:t>
      </w:r>
      <w:r w:rsidRPr="00E02436">
        <w:rPr>
          <w:rStyle w:val="714pt"/>
          <w:rFonts w:eastAsia="Calibri"/>
          <w:vertAlign w:val="subscript"/>
        </w:rPr>
        <w:t xml:space="preserve">1 </w:t>
      </w:r>
      <w:r w:rsidRPr="004C21E9">
        <w:t>- коэффициент к ставкам платы за единицу объема лесных ресурсов (древесины), установленный Правительством Российской Федерации (на 2019-2020 годы, 2021-2023 годы коэффициент к ставкам платы за единицу объема лесных ресурсов (древесины)</w:t>
      </w:r>
    </w:p>
    <w:p w:rsidR="00CE1891" w:rsidRPr="004C21E9" w:rsidRDefault="00CE1891" w:rsidP="00CE1891">
      <w:pPr>
        <w:pStyle w:val="29"/>
        <w:shd w:val="clear" w:color="auto" w:fill="auto"/>
        <w:spacing w:before="0" w:line="240" w:lineRule="auto"/>
        <w:ind w:firstLine="580"/>
      </w:pPr>
      <w:r w:rsidRPr="004C21E9">
        <w:t>где:</w:t>
      </w:r>
    </w:p>
    <w:p w:rsidR="00CE1891" w:rsidRPr="004C21E9" w:rsidRDefault="00CE1891" w:rsidP="00CE1891">
      <w:pPr>
        <w:pStyle w:val="29"/>
        <w:shd w:val="clear" w:color="auto" w:fill="auto"/>
        <w:spacing w:before="0" w:line="240" w:lineRule="auto"/>
        <w:ind w:firstLine="567"/>
      </w:pPr>
      <w:r w:rsidRPr="00E02436">
        <w:rPr>
          <w:rStyle w:val="714pt"/>
          <w:rFonts w:eastAsia="Calibri"/>
        </w:rPr>
        <w:t xml:space="preserve">С </w:t>
      </w:r>
      <w:r w:rsidRPr="00E02436">
        <w:rPr>
          <w:rStyle w:val="714pt"/>
          <w:rFonts w:eastAsia="Calibri"/>
          <w:vertAlign w:val="subscript"/>
          <w:lang w:val="en-US"/>
        </w:rPr>
        <w:t>Q</w:t>
      </w:r>
      <w:r w:rsidRPr="00E02436">
        <w:rPr>
          <w:rStyle w:val="714pt"/>
          <w:rFonts w:eastAsia="Calibri"/>
        </w:rPr>
        <w:t xml:space="preserve"> </w:t>
      </w:r>
      <w:r w:rsidRPr="00E02436">
        <w:rPr>
          <w:rStyle w:val="714pt"/>
          <w:rFonts w:eastAsia="Calibri"/>
          <w:vertAlign w:val="superscript"/>
        </w:rPr>
        <w:t xml:space="preserve">к-пр </w:t>
      </w:r>
      <w:r w:rsidRPr="00E02436">
        <w:rPr>
          <w:rStyle w:val="714pt"/>
          <w:rFonts w:eastAsia="Calibri"/>
          <w:vertAlign w:val="subscript"/>
        </w:rPr>
        <w:t>МСП</w:t>
      </w:r>
      <w:r w:rsidRPr="00E02436">
        <w:rPr>
          <w:rStyle w:val="714pt"/>
          <w:rFonts w:eastAsia="Calibri"/>
        </w:rPr>
        <w:t xml:space="preserve"> - </w:t>
      </w:r>
      <w:r w:rsidRPr="004C21E9">
        <w:t xml:space="preserve">средняя </w:t>
      </w:r>
      <w:r>
        <w:t xml:space="preserve"> плата сверх минимальной </w:t>
      </w:r>
      <w:r w:rsidRPr="004C21E9">
        <w:t>ставк</w:t>
      </w:r>
      <w:r>
        <w:t>и</w:t>
      </w:r>
      <w:r w:rsidRPr="004C21E9">
        <w:t xml:space="preserve"> платы за единицу объема древесины по договорам купли-продажи лесных насаждений, заключаемым с субъектами малого и среднего предпринимательства, сложившаяся по итогам предыдущего финансового года и приведенная к </w:t>
      </w:r>
      <w:r w:rsidRPr="004C21E9">
        <w:lastRenderedPageBreak/>
        <w:t>уровню 2007 года (руб.);</w:t>
      </w:r>
    </w:p>
    <w:p w:rsidR="00CE1891" w:rsidRDefault="00CE1891" w:rsidP="00CE1891">
      <w:pPr>
        <w:pStyle w:val="29"/>
        <w:shd w:val="clear" w:color="auto" w:fill="auto"/>
        <w:spacing w:before="0" w:line="240" w:lineRule="auto"/>
        <w:ind w:firstLine="760"/>
      </w:pPr>
      <w:r w:rsidRPr="00E02436">
        <w:rPr>
          <w:rStyle w:val="714pt"/>
          <w:rFonts w:eastAsia="Calibri"/>
          <w:lang w:val="en-US"/>
        </w:rPr>
        <w:t>Q</w:t>
      </w:r>
      <w:r w:rsidRPr="00E02436">
        <w:rPr>
          <w:rStyle w:val="714pt"/>
          <w:rFonts w:eastAsia="Calibri"/>
          <w:vertAlign w:val="superscript"/>
        </w:rPr>
        <w:t>ср</w:t>
      </w:r>
      <w:r w:rsidRPr="00E02436">
        <w:rPr>
          <w:rStyle w:val="714pt"/>
          <w:rFonts w:eastAsia="Calibri"/>
        </w:rPr>
        <w:t xml:space="preserve"> </w:t>
      </w:r>
      <w:r w:rsidRPr="00E02436">
        <w:rPr>
          <w:rStyle w:val="714pt"/>
          <w:rFonts w:eastAsia="Calibri"/>
          <w:vertAlign w:val="subscript"/>
        </w:rPr>
        <w:t>к-пр МСП</w:t>
      </w:r>
      <w:r w:rsidRPr="00E02436">
        <w:rPr>
          <w:rStyle w:val="714pt"/>
          <w:rFonts w:eastAsia="Calibri"/>
        </w:rPr>
        <w:t xml:space="preserve"> - </w:t>
      </w:r>
      <w:r w:rsidRPr="004C21E9">
        <w:t>средний объем древесины, подлежащий заготовке по договорам купли-продажи лесных насаждений, заключаемым с субъектами малого и среднего предпринимательства (</w:t>
      </w:r>
      <w:r>
        <w:t xml:space="preserve">тыс. </w:t>
      </w:r>
      <w:r w:rsidRPr="004C21E9">
        <w:t>куб.м):</w:t>
      </w:r>
    </w:p>
    <w:p w:rsidR="00CE1891" w:rsidRPr="004C21E9" w:rsidRDefault="00CE1891" w:rsidP="00CE1891">
      <w:pPr>
        <w:pStyle w:val="29"/>
        <w:shd w:val="clear" w:color="auto" w:fill="auto"/>
        <w:spacing w:before="0" w:line="240" w:lineRule="auto"/>
        <w:ind w:firstLine="760"/>
      </w:pPr>
    </w:p>
    <w:p w:rsidR="00CE1891" w:rsidRPr="00E02436" w:rsidRDefault="00CE1891" w:rsidP="00CE1891">
      <w:pPr>
        <w:pStyle w:val="29"/>
        <w:shd w:val="clear" w:color="auto" w:fill="auto"/>
        <w:spacing w:before="0" w:line="240" w:lineRule="auto"/>
        <w:ind w:firstLine="760"/>
        <w:rPr>
          <w:rStyle w:val="714pt"/>
          <w:rFonts w:eastAsia="Calibri"/>
          <w:i w:val="0"/>
        </w:rPr>
      </w:pPr>
      <w:r w:rsidRPr="00E02436">
        <w:rPr>
          <w:rStyle w:val="714pt"/>
          <w:rFonts w:eastAsia="Calibri"/>
          <w:lang w:val="en-US"/>
        </w:rPr>
        <w:t>Q</w:t>
      </w:r>
      <w:r w:rsidRPr="00E02436">
        <w:rPr>
          <w:rStyle w:val="714pt"/>
          <w:rFonts w:eastAsia="Calibri"/>
          <w:vertAlign w:val="superscript"/>
        </w:rPr>
        <w:t>ср</w:t>
      </w:r>
      <w:r w:rsidRPr="00E02436">
        <w:rPr>
          <w:rStyle w:val="714pt"/>
          <w:rFonts w:eastAsia="Calibri"/>
        </w:rPr>
        <w:t xml:space="preserve"> </w:t>
      </w:r>
      <w:r w:rsidRPr="00E02436">
        <w:rPr>
          <w:rStyle w:val="714pt"/>
          <w:rFonts w:eastAsia="Calibri"/>
          <w:vertAlign w:val="subscript"/>
        </w:rPr>
        <w:t xml:space="preserve">к-пр МСП </w:t>
      </w:r>
      <w:r w:rsidRPr="00E02436">
        <w:rPr>
          <w:rStyle w:val="714pt"/>
          <w:rFonts w:eastAsia="Calibri"/>
        </w:rPr>
        <w:t xml:space="preserve">= ∑ </w:t>
      </w:r>
      <w:r w:rsidRPr="00E02436">
        <w:rPr>
          <w:rStyle w:val="714pt"/>
          <w:rFonts w:eastAsia="Calibri"/>
          <w:vertAlign w:val="superscript"/>
        </w:rPr>
        <w:t>3</w:t>
      </w:r>
      <w:r w:rsidRPr="00E02436">
        <w:rPr>
          <w:rStyle w:val="714pt"/>
          <w:rFonts w:eastAsia="Calibri"/>
        </w:rPr>
        <w:t xml:space="preserve"> </w:t>
      </w:r>
      <w:r w:rsidRPr="00E02436">
        <w:rPr>
          <w:rStyle w:val="714pt"/>
          <w:rFonts w:eastAsia="Calibri"/>
          <w:vertAlign w:val="subscript"/>
          <w:lang w:val="en-US"/>
        </w:rPr>
        <w:t>t</w:t>
      </w:r>
      <w:r w:rsidRPr="00E02436">
        <w:rPr>
          <w:rStyle w:val="714pt"/>
          <w:rFonts w:eastAsia="Calibri"/>
          <w:vertAlign w:val="subscript"/>
        </w:rPr>
        <w:t xml:space="preserve">=1 </w:t>
      </w:r>
      <w:r w:rsidRPr="00E02436">
        <w:rPr>
          <w:rStyle w:val="714pt"/>
          <w:rFonts w:eastAsia="Calibri"/>
          <w:lang w:val="en-US"/>
        </w:rPr>
        <w:t>Q</w:t>
      </w:r>
      <w:r w:rsidRPr="00E02436">
        <w:rPr>
          <w:rStyle w:val="714pt"/>
          <w:rFonts w:eastAsia="Calibri"/>
        </w:rPr>
        <w:t xml:space="preserve"> </w:t>
      </w:r>
      <w:r w:rsidRPr="00E02436">
        <w:rPr>
          <w:rStyle w:val="714pt"/>
          <w:rFonts w:eastAsia="Calibri"/>
          <w:vertAlign w:val="subscript"/>
        </w:rPr>
        <w:t xml:space="preserve">к-пр МСП </w:t>
      </w:r>
      <w:r w:rsidRPr="00E02436">
        <w:rPr>
          <w:rStyle w:val="714pt"/>
          <w:rFonts w:eastAsia="Calibri"/>
        </w:rPr>
        <w:t>/ 3</w:t>
      </w:r>
    </w:p>
    <w:p w:rsidR="00CE1891" w:rsidRDefault="00CE1891" w:rsidP="00CE1891">
      <w:pPr>
        <w:pStyle w:val="29"/>
        <w:shd w:val="clear" w:color="auto" w:fill="auto"/>
        <w:spacing w:before="0" w:line="240" w:lineRule="auto"/>
        <w:ind w:firstLine="760"/>
      </w:pPr>
      <w:r>
        <w:t>20,16=(48,7+0+11,77)/3 (объем, полученный расчетным методом по формуле)</w:t>
      </w:r>
    </w:p>
    <w:p w:rsidR="00CE1891" w:rsidRDefault="00CE1891" w:rsidP="00CE1891">
      <w:pPr>
        <w:pStyle w:val="29"/>
        <w:shd w:val="clear" w:color="auto" w:fill="auto"/>
        <w:spacing w:before="0" w:line="240" w:lineRule="auto"/>
        <w:ind w:firstLine="760"/>
      </w:pPr>
    </w:p>
    <w:p w:rsidR="00CE1891" w:rsidRDefault="00CE1891" w:rsidP="00CE1891">
      <w:pPr>
        <w:pStyle w:val="29"/>
        <w:shd w:val="clear" w:color="auto" w:fill="auto"/>
        <w:spacing w:before="0" w:line="240" w:lineRule="auto"/>
        <w:ind w:firstLine="760"/>
      </w:pPr>
      <w:r>
        <w:rPr>
          <w:b/>
        </w:rPr>
        <w:t>12,06</w:t>
      </w:r>
      <w:r>
        <w:t xml:space="preserve"> - (объем планируемый при дальнейшем расчете прогнозных показателей) = 20,16 – 8,1</w:t>
      </w:r>
    </w:p>
    <w:p w:rsidR="00CE1891" w:rsidRDefault="00CE1891" w:rsidP="00CE1891">
      <w:pPr>
        <w:pStyle w:val="29"/>
        <w:shd w:val="clear" w:color="auto" w:fill="auto"/>
        <w:spacing w:before="0" w:line="240" w:lineRule="auto"/>
        <w:ind w:firstLine="760"/>
      </w:pPr>
      <w:r>
        <w:t xml:space="preserve"> </w:t>
      </w:r>
    </w:p>
    <w:p w:rsidR="00CE1891" w:rsidRPr="004C21E9" w:rsidRDefault="00CE1891" w:rsidP="00CE1891">
      <w:pPr>
        <w:pStyle w:val="29"/>
        <w:shd w:val="clear" w:color="auto" w:fill="auto"/>
        <w:spacing w:before="0" w:line="240" w:lineRule="auto"/>
        <w:ind w:firstLine="760"/>
      </w:pPr>
      <w:r w:rsidRPr="004C21E9">
        <w:t>где:</w:t>
      </w:r>
    </w:p>
    <w:p w:rsidR="00CE1891" w:rsidRPr="004C21E9" w:rsidRDefault="00CE1891" w:rsidP="00CE1891">
      <w:pPr>
        <w:pStyle w:val="29"/>
        <w:shd w:val="clear" w:color="auto" w:fill="auto"/>
        <w:spacing w:before="0" w:line="240" w:lineRule="auto"/>
        <w:ind w:firstLine="760"/>
      </w:pPr>
      <w:r w:rsidRPr="00E02436">
        <w:rPr>
          <w:rStyle w:val="714pt"/>
          <w:rFonts w:eastAsia="Calibri"/>
        </w:rPr>
        <w:t xml:space="preserve">∑ </w:t>
      </w:r>
      <w:r w:rsidRPr="00E02436">
        <w:rPr>
          <w:rStyle w:val="714pt"/>
          <w:rFonts w:eastAsia="Calibri"/>
          <w:vertAlign w:val="superscript"/>
        </w:rPr>
        <w:t>3</w:t>
      </w:r>
      <w:r w:rsidRPr="00E02436">
        <w:rPr>
          <w:rStyle w:val="714pt"/>
          <w:rFonts w:eastAsia="Calibri"/>
        </w:rPr>
        <w:t xml:space="preserve"> </w:t>
      </w:r>
      <w:r w:rsidRPr="00E02436">
        <w:rPr>
          <w:rStyle w:val="714pt"/>
          <w:rFonts w:eastAsia="Calibri"/>
          <w:vertAlign w:val="subscript"/>
          <w:lang w:val="en-US"/>
        </w:rPr>
        <w:t>t</w:t>
      </w:r>
      <w:r w:rsidRPr="00E02436">
        <w:rPr>
          <w:rStyle w:val="714pt"/>
          <w:rFonts w:eastAsia="Calibri"/>
          <w:vertAlign w:val="subscript"/>
        </w:rPr>
        <w:t xml:space="preserve">=1 </w:t>
      </w:r>
      <w:r w:rsidRPr="00E02436">
        <w:rPr>
          <w:rStyle w:val="714pt"/>
          <w:rFonts w:eastAsia="Calibri"/>
          <w:lang w:val="en-US"/>
        </w:rPr>
        <w:t>Q</w:t>
      </w:r>
      <w:r w:rsidRPr="00E02436">
        <w:rPr>
          <w:rStyle w:val="714pt"/>
          <w:rFonts w:eastAsia="Calibri"/>
        </w:rPr>
        <w:t xml:space="preserve"> </w:t>
      </w:r>
      <w:r w:rsidRPr="00E02436">
        <w:rPr>
          <w:rStyle w:val="714pt"/>
          <w:rFonts w:eastAsia="Calibri"/>
          <w:vertAlign w:val="subscript"/>
        </w:rPr>
        <w:t xml:space="preserve">к-пр МСП - </w:t>
      </w:r>
      <w:r w:rsidRPr="004C21E9">
        <w:t>сумма годовых величин объемов древесины, подлежащих заготовке по договорам купли-продажи лесных насаждений, заключаемым с субъектами малого и среднего предпринимательства, за три года, предшествующих прогнозируемому году (куб. м), при формировании прогноза на текущий финансовый год используются фактические данные за три отчетных года, на очередной финансовый год используются фактические данные за два отчетных года и прогнозные значения на текущий финансовый год, при формировании прогноза на первый год планового периода используются фактические данные за один отчетный год и прогнозные значения текущего финансового года и очередного финансового года; прогноз на второй год планового периода формируется с использованием в расчетах прогнозных значений на текущий финансовый год, очередной финансовый год и первый год планового периода);</w:t>
      </w:r>
    </w:p>
    <w:p w:rsidR="00CE1891" w:rsidRPr="004C21E9" w:rsidRDefault="00CE1891" w:rsidP="00CE1891">
      <w:pPr>
        <w:pStyle w:val="29"/>
        <w:shd w:val="clear" w:color="auto" w:fill="auto"/>
        <w:spacing w:before="0" w:line="240" w:lineRule="auto"/>
        <w:ind w:firstLine="820"/>
      </w:pPr>
      <w:r w:rsidRPr="00E02436">
        <w:rPr>
          <w:rStyle w:val="714pt"/>
          <w:rFonts w:eastAsia="Calibri"/>
        </w:rPr>
        <w:t xml:space="preserve">Т </w:t>
      </w:r>
      <w:r w:rsidRPr="00E02436">
        <w:rPr>
          <w:rStyle w:val="714pt"/>
          <w:rFonts w:eastAsia="Calibri"/>
          <w:vertAlign w:val="subscript"/>
        </w:rPr>
        <w:t xml:space="preserve">к-пр МСП </w:t>
      </w:r>
      <w:r w:rsidRPr="00E02436">
        <w:rPr>
          <w:rStyle w:val="714pt"/>
          <w:rFonts w:eastAsia="Calibri"/>
        </w:rPr>
        <w:t xml:space="preserve">- </w:t>
      </w:r>
      <w:r w:rsidRPr="004C21E9">
        <w:t>темп роста (снижения) объема древесины, подлежащего заготовке по договорам купли-продажи лесных насаждений, заключаемым с субъектами малого и среднего предпринимательства (ед.), определяется по формуле:</w:t>
      </w:r>
    </w:p>
    <w:p w:rsidR="00CE1891" w:rsidRPr="00E02436" w:rsidRDefault="00CE1891" w:rsidP="00CE1891">
      <w:pPr>
        <w:pStyle w:val="29"/>
        <w:shd w:val="clear" w:color="auto" w:fill="auto"/>
        <w:spacing w:before="0" w:line="240" w:lineRule="auto"/>
        <w:ind w:firstLine="820"/>
        <w:rPr>
          <w:rStyle w:val="714pt"/>
          <w:rFonts w:eastAsia="Calibri"/>
          <w:i w:val="0"/>
        </w:rPr>
      </w:pPr>
    </w:p>
    <w:p w:rsidR="00CE1891" w:rsidRPr="004C21E9" w:rsidRDefault="00CE1891" w:rsidP="00CE1891">
      <w:pPr>
        <w:pStyle w:val="29"/>
        <w:shd w:val="clear" w:color="auto" w:fill="auto"/>
        <w:spacing w:before="0" w:line="240" w:lineRule="auto"/>
        <w:ind w:firstLine="820"/>
      </w:pPr>
      <w:r w:rsidRPr="00E02436">
        <w:rPr>
          <w:rStyle w:val="714pt"/>
          <w:rFonts w:eastAsia="Calibri"/>
        </w:rPr>
        <w:t xml:space="preserve">Т </w:t>
      </w:r>
      <w:r w:rsidRPr="00E02436">
        <w:rPr>
          <w:rStyle w:val="714pt"/>
          <w:rFonts w:eastAsia="Calibri"/>
          <w:vertAlign w:val="subscript"/>
        </w:rPr>
        <w:t xml:space="preserve">к-пр МСП </w:t>
      </w:r>
      <w:r w:rsidRPr="00E02436">
        <w:rPr>
          <w:rStyle w:val="714pt"/>
          <w:rFonts w:eastAsia="Calibri"/>
        </w:rPr>
        <w:t>=</w:t>
      </w:r>
      <w:r w:rsidRPr="004C21E9">
        <w:t xml:space="preserve"> </w:t>
      </w:r>
      <w:r w:rsidRPr="00E02436">
        <w:rPr>
          <w:rStyle w:val="714pt"/>
          <w:rFonts w:eastAsia="Calibri"/>
          <w:lang w:val="en-US"/>
        </w:rPr>
        <w:t>Q</w:t>
      </w:r>
      <w:r w:rsidRPr="00E02436">
        <w:rPr>
          <w:rStyle w:val="714pt"/>
          <w:rFonts w:eastAsia="Calibri"/>
        </w:rPr>
        <w:t xml:space="preserve"> </w:t>
      </w:r>
      <w:r w:rsidRPr="00E02436">
        <w:rPr>
          <w:rStyle w:val="714pt"/>
          <w:rFonts w:eastAsia="Calibri"/>
          <w:vertAlign w:val="superscript"/>
          <w:lang w:val="en-US"/>
        </w:rPr>
        <w:t>n</w:t>
      </w:r>
      <w:r w:rsidRPr="00E02436">
        <w:rPr>
          <w:rStyle w:val="714pt"/>
          <w:rFonts w:eastAsia="Calibri"/>
        </w:rPr>
        <w:t xml:space="preserve"> </w:t>
      </w:r>
      <w:r w:rsidRPr="00E02436">
        <w:rPr>
          <w:rStyle w:val="714pt"/>
          <w:rFonts w:eastAsia="Calibri"/>
          <w:vertAlign w:val="subscript"/>
        </w:rPr>
        <w:t>к-пр МСП</w:t>
      </w:r>
      <w:r w:rsidRPr="00E02436">
        <w:rPr>
          <w:rStyle w:val="714pt"/>
          <w:rFonts w:eastAsia="Calibri"/>
        </w:rPr>
        <w:t xml:space="preserve">/ </w:t>
      </w:r>
      <w:r w:rsidRPr="00E02436">
        <w:rPr>
          <w:rStyle w:val="714pt"/>
          <w:rFonts w:eastAsia="Calibri"/>
          <w:lang w:val="en-US"/>
        </w:rPr>
        <w:t>Q</w:t>
      </w:r>
      <w:r w:rsidRPr="00E02436">
        <w:rPr>
          <w:rStyle w:val="714pt"/>
          <w:rFonts w:eastAsia="Calibri"/>
        </w:rPr>
        <w:t xml:space="preserve"> </w:t>
      </w:r>
      <w:r w:rsidRPr="00E02436">
        <w:rPr>
          <w:rStyle w:val="714pt"/>
          <w:rFonts w:eastAsia="Calibri"/>
          <w:vertAlign w:val="superscript"/>
          <w:lang w:val="en-US"/>
        </w:rPr>
        <w:t>n</w:t>
      </w:r>
      <w:r w:rsidRPr="00E02436">
        <w:rPr>
          <w:rStyle w:val="714pt"/>
          <w:rFonts w:eastAsia="Calibri"/>
          <w:vertAlign w:val="superscript"/>
        </w:rPr>
        <w:t>-1</w:t>
      </w:r>
      <w:r w:rsidRPr="00E02436">
        <w:rPr>
          <w:rStyle w:val="714pt"/>
          <w:rFonts w:eastAsia="Calibri"/>
        </w:rPr>
        <w:t xml:space="preserve"> </w:t>
      </w:r>
      <w:r w:rsidRPr="00E02436">
        <w:rPr>
          <w:rStyle w:val="714pt"/>
          <w:rFonts w:eastAsia="Calibri"/>
          <w:vertAlign w:val="subscript"/>
        </w:rPr>
        <w:t>к-пр МСП</w:t>
      </w:r>
    </w:p>
    <w:p w:rsidR="00CE1891" w:rsidRPr="004C21E9" w:rsidRDefault="00CE1891" w:rsidP="00CE1891">
      <w:pPr>
        <w:pStyle w:val="29"/>
        <w:shd w:val="clear" w:color="auto" w:fill="auto"/>
        <w:spacing w:before="0" w:line="240" w:lineRule="auto"/>
        <w:ind w:firstLine="820"/>
      </w:pPr>
      <w:r>
        <w:t>1,02=12,1/11,8</w:t>
      </w:r>
    </w:p>
    <w:p w:rsidR="00CE1891" w:rsidRPr="004C21E9" w:rsidRDefault="00CE1891" w:rsidP="00CE1891">
      <w:pPr>
        <w:pStyle w:val="29"/>
        <w:shd w:val="clear" w:color="auto" w:fill="auto"/>
        <w:spacing w:before="0" w:line="240" w:lineRule="auto"/>
        <w:ind w:firstLine="820"/>
      </w:pPr>
      <w:r w:rsidRPr="004C21E9">
        <w:t>где:</w:t>
      </w:r>
    </w:p>
    <w:p w:rsidR="00CE1891" w:rsidRPr="004C21E9" w:rsidRDefault="00CE1891" w:rsidP="00CE1891">
      <w:pPr>
        <w:pStyle w:val="29"/>
        <w:shd w:val="clear" w:color="auto" w:fill="auto"/>
        <w:spacing w:before="0" w:line="240" w:lineRule="auto"/>
        <w:ind w:firstLine="820"/>
      </w:pPr>
      <w:r w:rsidRPr="00E02436">
        <w:rPr>
          <w:rStyle w:val="714pt"/>
          <w:rFonts w:eastAsia="Calibri"/>
          <w:lang w:val="en-US"/>
        </w:rPr>
        <w:t>Q</w:t>
      </w:r>
      <w:r w:rsidRPr="00E02436">
        <w:rPr>
          <w:rStyle w:val="714pt"/>
          <w:rFonts w:eastAsia="Calibri"/>
        </w:rPr>
        <w:t xml:space="preserve"> </w:t>
      </w:r>
      <w:r w:rsidRPr="00E02436">
        <w:rPr>
          <w:rStyle w:val="714pt"/>
          <w:rFonts w:eastAsia="Calibri"/>
          <w:vertAlign w:val="superscript"/>
          <w:lang w:val="en-US"/>
        </w:rPr>
        <w:t>n</w:t>
      </w:r>
      <w:r w:rsidRPr="00E02436">
        <w:rPr>
          <w:rStyle w:val="714pt"/>
          <w:rFonts w:eastAsia="Calibri"/>
        </w:rPr>
        <w:t xml:space="preserve"> </w:t>
      </w:r>
      <w:r w:rsidRPr="00E02436">
        <w:rPr>
          <w:rStyle w:val="714pt"/>
          <w:rFonts w:eastAsia="Calibri"/>
          <w:vertAlign w:val="subscript"/>
        </w:rPr>
        <w:t>к-пр МСП</w:t>
      </w:r>
      <w:r w:rsidRPr="004C21E9">
        <w:t xml:space="preserve"> - объем древесины, подлежащий заготовке по договорам купли- продажи лесных насаждений, заключаемым с субъектами малого и среднего предпринимательства, за год (куб. м),</w:t>
      </w:r>
    </w:p>
    <w:p w:rsidR="00CE1891" w:rsidRPr="004C21E9" w:rsidRDefault="00CE1891" w:rsidP="00CE1891">
      <w:pPr>
        <w:pStyle w:val="29"/>
        <w:shd w:val="clear" w:color="auto" w:fill="auto"/>
        <w:spacing w:before="0" w:line="240" w:lineRule="auto"/>
        <w:ind w:firstLine="820"/>
      </w:pPr>
      <w:r w:rsidRPr="00E02436">
        <w:rPr>
          <w:rStyle w:val="714pt"/>
          <w:rFonts w:eastAsia="Calibri"/>
          <w:lang w:val="en-US"/>
        </w:rPr>
        <w:t>Q</w:t>
      </w:r>
      <w:r w:rsidRPr="00E02436">
        <w:rPr>
          <w:rStyle w:val="714pt"/>
          <w:rFonts w:eastAsia="Calibri"/>
        </w:rPr>
        <w:t xml:space="preserve"> </w:t>
      </w:r>
      <w:r w:rsidRPr="00E02436">
        <w:rPr>
          <w:rStyle w:val="714pt"/>
          <w:rFonts w:eastAsia="Calibri"/>
          <w:vertAlign w:val="superscript"/>
          <w:lang w:val="en-US"/>
        </w:rPr>
        <w:t>n</w:t>
      </w:r>
      <w:r w:rsidRPr="00E02436">
        <w:rPr>
          <w:rStyle w:val="714pt"/>
          <w:rFonts w:eastAsia="Calibri"/>
          <w:vertAlign w:val="superscript"/>
        </w:rPr>
        <w:t>-1</w:t>
      </w:r>
      <w:r w:rsidRPr="00E02436">
        <w:rPr>
          <w:rStyle w:val="714pt"/>
          <w:rFonts w:eastAsia="Calibri"/>
        </w:rPr>
        <w:t xml:space="preserve"> </w:t>
      </w:r>
      <w:r w:rsidRPr="00E02436">
        <w:rPr>
          <w:rStyle w:val="714pt"/>
          <w:rFonts w:eastAsia="Calibri"/>
          <w:vertAlign w:val="subscript"/>
        </w:rPr>
        <w:t>к-пр МСП</w:t>
      </w:r>
      <w:r w:rsidRPr="00E02436">
        <w:rPr>
          <w:rStyle w:val="29pt1"/>
          <w:rFonts w:eastAsia="Calibri"/>
        </w:rPr>
        <w:t xml:space="preserve"> —</w:t>
      </w:r>
      <w:r w:rsidRPr="004C21E9">
        <w:t xml:space="preserve"> объем древесины, подлежащий заготовке по договорам купли- продажи лесных насаждений, заключаемым с субъектами малого и среднего предпринимательства, за предыдущий год (куб. м);</w:t>
      </w:r>
    </w:p>
    <w:p w:rsidR="00CE1891" w:rsidRPr="0031548D" w:rsidRDefault="00CE1891" w:rsidP="00CE1891">
      <w:pPr>
        <w:pStyle w:val="29"/>
        <w:shd w:val="clear" w:color="auto" w:fill="auto"/>
        <w:spacing w:before="0" w:line="240" w:lineRule="auto"/>
        <w:ind w:firstLine="709"/>
        <w:rPr>
          <w:lang w:bidi="ru-RU"/>
        </w:rPr>
      </w:pPr>
    </w:p>
    <w:p w:rsidR="00CE1891" w:rsidRPr="004C21E9" w:rsidRDefault="00CE1891" w:rsidP="00CE1891">
      <w:pPr>
        <w:pStyle w:val="29"/>
        <w:shd w:val="clear" w:color="auto" w:fill="auto"/>
        <w:spacing w:before="0" w:line="240" w:lineRule="auto"/>
        <w:ind w:firstLine="760"/>
      </w:pPr>
      <w:r w:rsidRPr="004C21E9">
        <w:t>Средняя ставка платы за единицу объема древесины по договорам купли-продажи лесных насаждений, заключаемым с субъектами малого и среднего предпринимательства, сложившаяся по итогам предыдущего отчетного года и приведенная к уровню 2007 года (</w:t>
      </w:r>
      <w:r w:rsidRPr="00E02436">
        <w:rPr>
          <w:rStyle w:val="714pt"/>
          <w:rFonts w:eastAsia="Calibri"/>
          <w:lang w:val="en-US"/>
        </w:rPr>
        <w:t>C</w:t>
      </w:r>
      <w:r w:rsidRPr="00E02436">
        <w:rPr>
          <w:rStyle w:val="714pt"/>
          <w:rFonts w:eastAsia="Calibri"/>
        </w:rPr>
        <w:t xml:space="preserve"> </w:t>
      </w:r>
      <w:r w:rsidRPr="00E02436">
        <w:rPr>
          <w:rStyle w:val="714pt"/>
          <w:rFonts w:eastAsia="Calibri"/>
          <w:vertAlign w:val="subscript"/>
          <w:lang w:val="en-US"/>
        </w:rPr>
        <w:t>Q</w:t>
      </w:r>
      <w:r w:rsidRPr="00E02436">
        <w:rPr>
          <w:rStyle w:val="714pt"/>
          <w:rFonts w:eastAsia="Calibri"/>
        </w:rPr>
        <w:t xml:space="preserve"> </w:t>
      </w:r>
      <w:r w:rsidRPr="00E02436">
        <w:rPr>
          <w:rStyle w:val="714pt"/>
          <w:rFonts w:eastAsia="Calibri"/>
          <w:vertAlign w:val="superscript"/>
        </w:rPr>
        <w:t>к-пр</w:t>
      </w:r>
      <w:r w:rsidRPr="00E02436">
        <w:rPr>
          <w:rStyle w:val="714pt"/>
          <w:rFonts w:eastAsia="Calibri"/>
        </w:rPr>
        <w:t xml:space="preserve"> </w:t>
      </w:r>
      <w:r w:rsidRPr="00E02436">
        <w:rPr>
          <w:rStyle w:val="714pt"/>
          <w:rFonts w:eastAsia="Calibri"/>
          <w:vertAlign w:val="subscript"/>
        </w:rPr>
        <w:t>МПС</w:t>
      </w:r>
      <w:r w:rsidRPr="00E02436">
        <w:rPr>
          <w:rStyle w:val="714pt"/>
          <w:rFonts w:eastAsia="Calibri"/>
        </w:rPr>
        <w:t xml:space="preserve">) </w:t>
      </w:r>
      <w:r w:rsidRPr="004C21E9">
        <w:lastRenderedPageBreak/>
        <w:t>рассчитывается по формуле:</w:t>
      </w:r>
    </w:p>
    <w:p w:rsidR="00CE1891" w:rsidRPr="00E02436" w:rsidRDefault="00CE1891" w:rsidP="00CE1891">
      <w:pPr>
        <w:pStyle w:val="29"/>
        <w:shd w:val="clear" w:color="auto" w:fill="auto"/>
        <w:spacing w:before="0" w:line="240" w:lineRule="auto"/>
        <w:ind w:firstLine="760"/>
        <w:rPr>
          <w:rStyle w:val="714pt"/>
          <w:rFonts w:eastAsia="Calibri"/>
          <w:i w:val="0"/>
        </w:rPr>
      </w:pPr>
    </w:p>
    <w:p w:rsidR="00CE1891" w:rsidRPr="00D04699" w:rsidRDefault="00CE1891" w:rsidP="00CE1891">
      <w:pPr>
        <w:pStyle w:val="29"/>
        <w:shd w:val="clear" w:color="auto" w:fill="auto"/>
        <w:spacing w:before="0" w:line="240" w:lineRule="auto"/>
        <w:ind w:firstLine="760"/>
      </w:pPr>
      <w:r w:rsidRPr="00D04699">
        <w:rPr>
          <w:rStyle w:val="714pt"/>
          <w:rFonts w:eastAsia="Calibri"/>
          <w:lang w:val="en-US"/>
        </w:rPr>
        <w:t>C</w:t>
      </w:r>
      <w:r w:rsidRPr="00D04699">
        <w:rPr>
          <w:rStyle w:val="714pt"/>
          <w:rFonts w:eastAsia="Calibri"/>
        </w:rPr>
        <w:t xml:space="preserve"> </w:t>
      </w:r>
      <w:r w:rsidRPr="00D04699">
        <w:rPr>
          <w:rStyle w:val="714pt"/>
          <w:rFonts w:eastAsia="Calibri"/>
          <w:vertAlign w:val="subscript"/>
          <w:lang w:val="en-US"/>
        </w:rPr>
        <w:t>Q</w:t>
      </w:r>
      <w:r w:rsidRPr="00D04699">
        <w:rPr>
          <w:rStyle w:val="714pt"/>
          <w:rFonts w:eastAsia="Calibri"/>
        </w:rPr>
        <w:t xml:space="preserve"> </w:t>
      </w:r>
      <w:r w:rsidRPr="00D04699">
        <w:rPr>
          <w:rStyle w:val="714pt"/>
          <w:rFonts w:eastAsia="Calibri"/>
          <w:vertAlign w:val="superscript"/>
        </w:rPr>
        <w:t>к-пр</w:t>
      </w:r>
      <w:r w:rsidRPr="00D04699">
        <w:rPr>
          <w:rStyle w:val="714pt"/>
          <w:rFonts w:eastAsia="Calibri"/>
        </w:rPr>
        <w:t xml:space="preserve"> </w:t>
      </w:r>
      <w:r w:rsidRPr="00D04699">
        <w:rPr>
          <w:rStyle w:val="714pt"/>
          <w:rFonts w:eastAsia="Calibri"/>
          <w:vertAlign w:val="subscript"/>
        </w:rPr>
        <w:t>МПС</w:t>
      </w:r>
      <w:r w:rsidRPr="00D04699">
        <w:rPr>
          <w:rStyle w:val="714pt"/>
          <w:rFonts w:eastAsia="Calibri"/>
        </w:rPr>
        <w:t xml:space="preserve"> = </w:t>
      </w:r>
      <w:r w:rsidRPr="00D04699">
        <w:rPr>
          <w:rStyle w:val="29pt1"/>
          <w:rFonts w:eastAsia="Calibri"/>
        </w:rPr>
        <w:t>П</w:t>
      </w:r>
      <w:r w:rsidRPr="00D04699">
        <w:rPr>
          <w:rStyle w:val="29pt1"/>
          <w:rFonts w:eastAsia="Calibri"/>
          <w:vertAlign w:val="subscript"/>
        </w:rPr>
        <w:t>к</w:t>
      </w:r>
      <w:r w:rsidRPr="00D04699">
        <w:rPr>
          <w:rStyle w:val="29pt1"/>
          <w:rFonts w:eastAsia="Calibri"/>
        </w:rPr>
        <w:t>.</w:t>
      </w:r>
      <w:r w:rsidRPr="00D04699">
        <w:rPr>
          <w:rStyle w:val="29pt1"/>
          <w:rFonts w:eastAsia="Calibri"/>
          <w:vertAlign w:val="subscript"/>
        </w:rPr>
        <w:t>пр</w:t>
      </w:r>
      <w:r w:rsidRPr="00D04699">
        <w:rPr>
          <w:rStyle w:val="29pt1"/>
          <w:rFonts w:eastAsia="Calibri"/>
        </w:rPr>
        <w:t xml:space="preserve"> </w:t>
      </w:r>
      <w:r w:rsidRPr="00D04699">
        <w:rPr>
          <w:rStyle w:val="29pt1"/>
          <w:rFonts w:eastAsia="Calibri"/>
          <w:vertAlign w:val="superscript"/>
        </w:rPr>
        <w:t>прич</w:t>
      </w:r>
      <w:r w:rsidRPr="00D04699">
        <w:rPr>
          <w:rStyle w:val="29pt1"/>
          <w:rFonts w:eastAsia="Calibri"/>
        </w:rPr>
        <w:t xml:space="preserve"> </w:t>
      </w:r>
      <w:r w:rsidRPr="00D04699">
        <w:rPr>
          <w:rStyle w:val="29pt1"/>
          <w:rFonts w:eastAsia="Calibri"/>
          <w:vertAlign w:val="subscript"/>
        </w:rPr>
        <w:t xml:space="preserve">МСП </w:t>
      </w:r>
      <w:r w:rsidRPr="00D04699">
        <w:rPr>
          <w:rStyle w:val="29pt1"/>
          <w:rFonts w:eastAsia="Calibri"/>
        </w:rPr>
        <w:t xml:space="preserve">/ </w:t>
      </w:r>
      <w:r w:rsidRPr="00D04699">
        <w:rPr>
          <w:rStyle w:val="29pt0"/>
          <w:rFonts w:eastAsia="Calibri"/>
          <w:lang w:val="en-US" w:bidi="en-US"/>
        </w:rPr>
        <w:t>Q</w:t>
      </w:r>
      <w:r w:rsidRPr="00D04699">
        <w:rPr>
          <w:rStyle w:val="29pt0"/>
          <w:rFonts w:eastAsia="Calibri"/>
          <w:lang w:bidi="en-US"/>
        </w:rPr>
        <w:t xml:space="preserve"> </w:t>
      </w:r>
      <w:r w:rsidRPr="00D04699">
        <w:rPr>
          <w:rStyle w:val="29pt0"/>
          <w:rFonts w:eastAsia="Calibri"/>
          <w:vertAlign w:val="subscript"/>
          <w:lang w:val="en-US" w:bidi="en-US"/>
        </w:rPr>
        <w:t>k</w:t>
      </w:r>
      <w:r w:rsidRPr="00D04699">
        <w:rPr>
          <w:rStyle w:val="29pt0"/>
          <w:rFonts w:eastAsia="Calibri"/>
          <w:vertAlign w:val="subscript"/>
        </w:rPr>
        <w:t>-пр</w:t>
      </w:r>
      <w:r w:rsidRPr="00D04699">
        <w:rPr>
          <w:rStyle w:val="29pt1"/>
          <w:rFonts w:eastAsia="Calibri"/>
        </w:rPr>
        <w:t xml:space="preserve"> </w:t>
      </w:r>
      <w:r w:rsidRPr="00D04699">
        <w:rPr>
          <w:rStyle w:val="29pt1"/>
          <w:rFonts w:eastAsia="Calibri"/>
          <w:vertAlign w:val="superscript"/>
        </w:rPr>
        <w:t>предост</w:t>
      </w:r>
      <w:r w:rsidRPr="00D04699">
        <w:rPr>
          <w:rStyle w:val="29pt1"/>
          <w:rFonts w:eastAsia="Calibri"/>
        </w:rPr>
        <w:t xml:space="preserve"> </w:t>
      </w:r>
      <w:r w:rsidRPr="00D04699">
        <w:rPr>
          <w:rStyle w:val="29pt1"/>
          <w:rFonts w:eastAsia="Calibri"/>
          <w:vertAlign w:val="subscript"/>
        </w:rPr>
        <w:t>МСП</w:t>
      </w:r>
      <w:r w:rsidRPr="00D04699">
        <w:rPr>
          <w:rStyle w:val="29pt1"/>
          <w:rFonts w:eastAsia="Calibri"/>
        </w:rPr>
        <w:t xml:space="preserve"> / К </w:t>
      </w:r>
      <w:r w:rsidRPr="00D04699">
        <w:rPr>
          <w:rStyle w:val="29pt1"/>
          <w:rFonts w:eastAsia="Calibri"/>
          <w:vertAlign w:val="subscript"/>
        </w:rPr>
        <w:t>1 пред год</w:t>
      </w:r>
    </w:p>
    <w:p w:rsidR="00CE1891" w:rsidRPr="004C21E9" w:rsidRDefault="00CE1891" w:rsidP="00CE1891">
      <w:pPr>
        <w:pStyle w:val="29"/>
        <w:shd w:val="clear" w:color="auto" w:fill="auto"/>
        <w:spacing w:before="0" w:line="240" w:lineRule="auto"/>
        <w:ind w:firstLine="760"/>
      </w:pPr>
      <w:r>
        <w:t xml:space="preserve">               155,29=4971,76/11,8/2,72</w:t>
      </w:r>
    </w:p>
    <w:p w:rsidR="00CE1891" w:rsidRPr="004C21E9" w:rsidRDefault="00CE1891" w:rsidP="00CE1891">
      <w:pPr>
        <w:pStyle w:val="29"/>
        <w:shd w:val="clear" w:color="auto" w:fill="auto"/>
        <w:spacing w:before="0" w:line="240" w:lineRule="auto"/>
        <w:ind w:firstLine="760"/>
      </w:pPr>
      <w:r w:rsidRPr="004C21E9">
        <w:t>где:</w:t>
      </w:r>
    </w:p>
    <w:p w:rsidR="00CE1891" w:rsidRPr="004C21E9" w:rsidRDefault="00CE1891" w:rsidP="00CE1891">
      <w:pPr>
        <w:pStyle w:val="29"/>
        <w:shd w:val="clear" w:color="auto" w:fill="auto"/>
        <w:spacing w:before="0" w:line="240" w:lineRule="auto"/>
        <w:ind w:firstLine="760"/>
      </w:pPr>
      <w:r w:rsidRPr="00FE19CC">
        <w:rPr>
          <w:rStyle w:val="29pt1"/>
          <w:rFonts w:eastAsia="Calibri"/>
        </w:rPr>
        <w:t>П</w:t>
      </w:r>
      <w:r w:rsidRPr="00FE19CC">
        <w:rPr>
          <w:rStyle w:val="29pt1"/>
          <w:rFonts w:eastAsia="Calibri"/>
          <w:vertAlign w:val="subscript"/>
        </w:rPr>
        <w:t>к</w:t>
      </w:r>
      <w:r w:rsidRPr="00FE19CC">
        <w:rPr>
          <w:rStyle w:val="29pt1"/>
          <w:rFonts w:eastAsia="Calibri"/>
        </w:rPr>
        <w:t>.</w:t>
      </w:r>
      <w:r w:rsidRPr="00FE19CC">
        <w:rPr>
          <w:rStyle w:val="29pt1"/>
          <w:rFonts w:eastAsia="Calibri"/>
          <w:vertAlign w:val="subscript"/>
        </w:rPr>
        <w:t>пр</w:t>
      </w:r>
      <w:r w:rsidRPr="00FE19CC">
        <w:rPr>
          <w:rStyle w:val="29pt1"/>
          <w:rFonts w:eastAsia="Calibri"/>
        </w:rPr>
        <w:t xml:space="preserve"> </w:t>
      </w:r>
      <w:r w:rsidRPr="00FE19CC">
        <w:rPr>
          <w:rStyle w:val="29pt1"/>
          <w:rFonts w:eastAsia="Calibri"/>
          <w:vertAlign w:val="superscript"/>
        </w:rPr>
        <w:t>прич</w:t>
      </w:r>
      <w:r w:rsidRPr="00FE19CC">
        <w:rPr>
          <w:rStyle w:val="29pt1"/>
          <w:rFonts w:eastAsia="Calibri"/>
        </w:rPr>
        <w:t xml:space="preserve"> </w:t>
      </w:r>
      <w:r w:rsidRPr="00FE19CC">
        <w:rPr>
          <w:rStyle w:val="29pt1"/>
          <w:rFonts w:eastAsia="Calibri"/>
          <w:vertAlign w:val="subscript"/>
        </w:rPr>
        <w:t>мсп</w:t>
      </w:r>
      <w:r w:rsidRPr="00E02436">
        <w:rPr>
          <w:rStyle w:val="29pt1"/>
          <w:rFonts w:eastAsia="Calibri"/>
        </w:rPr>
        <w:t xml:space="preserve"> -</w:t>
      </w:r>
      <w:r w:rsidRPr="004C21E9">
        <w:t xml:space="preserve"> причитающийся в бюджет объем платежей за заготовку древесины по договорам купли-продажи лесных насаждений, заключаемым с субъектами малого и среднего предпринимательства, в предыдущем отчетном году (тыс. руб.);</w:t>
      </w:r>
    </w:p>
    <w:p w:rsidR="00CE1891" w:rsidRPr="004C21E9" w:rsidRDefault="00CE1891" w:rsidP="00CE1891">
      <w:pPr>
        <w:pStyle w:val="29"/>
        <w:shd w:val="clear" w:color="auto" w:fill="auto"/>
        <w:spacing w:before="0" w:line="240" w:lineRule="auto"/>
        <w:ind w:firstLine="760"/>
      </w:pPr>
      <w:r w:rsidRPr="00E02436">
        <w:rPr>
          <w:rStyle w:val="29pt0"/>
          <w:rFonts w:eastAsia="Calibri"/>
          <w:lang w:val="en-US" w:bidi="en-US"/>
        </w:rPr>
        <w:t>Q</w:t>
      </w:r>
      <w:r w:rsidRPr="00E02436">
        <w:rPr>
          <w:rStyle w:val="29pt0"/>
          <w:rFonts w:eastAsia="Calibri"/>
          <w:lang w:bidi="en-US"/>
        </w:rPr>
        <w:t xml:space="preserve"> </w:t>
      </w:r>
      <w:r w:rsidRPr="00E02436">
        <w:rPr>
          <w:rStyle w:val="29pt0"/>
          <w:rFonts w:eastAsia="Calibri"/>
          <w:vertAlign w:val="subscript"/>
          <w:lang w:val="en-US" w:bidi="en-US"/>
        </w:rPr>
        <w:t>k</w:t>
      </w:r>
      <w:r w:rsidRPr="00E02436">
        <w:rPr>
          <w:rStyle w:val="29pt0"/>
          <w:rFonts w:eastAsia="Calibri"/>
          <w:vertAlign w:val="subscript"/>
        </w:rPr>
        <w:t>-пр</w:t>
      </w:r>
      <w:r w:rsidRPr="00E02436">
        <w:rPr>
          <w:rStyle w:val="29pt1"/>
          <w:rFonts w:eastAsia="Calibri"/>
        </w:rPr>
        <w:t xml:space="preserve"> </w:t>
      </w:r>
      <w:r w:rsidRPr="00E02436">
        <w:rPr>
          <w:rStyle w:val="29pt1"/>
          <w:rFonts w:eastAsia="Calibri"/>
          <w:vertAlign w:val="superscript"/>
        </w:rPr>
        <w:t>предост</w:t>
      </w:r>
      <w:r w:rsidRPr="00E02436">
        <w:rPr>
          <w:rStyle w:val="29pt1"/>
          <w:rFonts w:eastAsia="Calibri"/>
        </w:rPr>
        <w:t xml:space="preserve"> </w:t>
      </w:r>
      <w:r w:rsidRPr="00E02436">
        <w:rPr>
          <w:rStyle w:val="29pt1"/>
          <w:rFonts w:eastAsia="Calibri"/>
          <w:vertAlign w:val="subscript"/>
        </w:rPr>
        <w:t>МСП</w:t>
      </w:r>
      <w:r w:rsidRPr="004C21E9">
        <w:t xml:space="preserve"> - объем древесины, предоставленный для заготовки по договорам купли-продажи лесных насаждений, заключаемым с субъектами малого и среднего предпринимательства, в предыдущем отчетном году (куб.м);</w:t>
      </w:r>
    </w:p>
    <w:p w:rsidR="00CE1891" w:rsidRPr="004C21E9" w:rsidRDefault="00CE1891" w:rsidP="00CE1891">
      <w:pPr>
        <w:pStyle w:val="29"/>
        <w:shd w:val="clear" w:color="auto" w:fill="auto"/>
        <w:spacing w:before="0" w:line="240" w:lineRule="auto"/>
        <w:ind w:firstLine="760"/>
      </w:pPr>
      <w:r w:rsidRPr="00FE19CC">
        <w:rPr>
          <w:rStyle w:val="29pt1"/>
          <w:rFonts w:eastAsia="Calibri"/>
        </w:rPr>
        <w:t>К</w:t>
      </w:r>
      <w:r w:rsidRPr="00FE19CC">
        <w:rPr>
          <w:rStyle w:val="29pt1"/>
          <w:rFonts w:eastAsia="Calibri"/>
          <w:vertAlign w:val="subscript"/>
        </w:rPr>
        <w:t>1</w:t>
      </w:r>
      <w:r w:rsidRPr="00FE19CC">
        <w:rPr>
          <w:rStyle w:val="29pt1"/>
          <w:rFonts w:eastAsia="Calibri"/>
        </w:rPr>
        <w:t xml:space="preserve"> </w:t>
      </w:r>
      <w:r w:rsidRPr="00FE19CC">
        <w:rPr>
          <w:rStyle w:val="29pt1"/>
          <w:rFonts w:eastAsia="Calibri"/>
          <w:vertAlign w:val="subscript"/>
        </w:rPr>
        <w:t>пред год</w:t>
      </w:r>
      <w:r w:rsidRPr="004C21E9">
        <w:t xml:space="preserve"> - коэффициент к ставкам платы за единицу объема лесных ресурсов (древесины), установленный Правительством Российской Федерации в предыдущем финансовом году (на 2019-2020 годы, 2021-2023 годы коэффициент к ставкам платы за единицу объема лесных ресурсов (древесины).</w:t>
      </w:r>
    </w:p>
    <w:p w:rsidR="00CE1891" w:rsidRDefault="00CE1891" w:rsidP="00CE1891">
      <w:pPr>
        <w:pStyle w:val="29"/>
        <w:shd w:val="clear" w:color="auto" w:fill="auto"/>
        <w:spacing w:before="0" w:line="240" w:lineRule="auto"/>
        <w:ind w:firstLine="760"/>
      </w:pPr>
    </w:p>
    <w:p w:rsidR="00CE1891" w:rsidRDefault="00CE1891" w:rsidP="00CE1891">
      <w:pPr>
        <w:tabs>
          <w:tab w:val="left" w:pos="3195"/>
        </w:tabs>
        <w:autoSpaceDE w:val="0"/>
        <w:autoSpaceDN w:val="0"/>
        <w:adjustRightInd w:val="0"/>
        <w:ind w:firstLine="709"/>
        <w:jc w:val="both"/>
        <w:rPr>
          <w:rFonts w:eastAsia="Calibri"/>
          <w:b/>
          <w:sz w:val="28"/>
          <w:szCs w:val="28"/>
          <w:lang w:eastAsia="en-US"/>
        </w:rPr>
      </w:pPr>
      <w:r w:rsidRPr="00C60EEA">
        <w:rPr>
          <w:rFonts w:eastAsia="Calibri"/>
          <w:b/>
          <w:sz w:val="28"/>
          <w:szCs w:val="28"/>
          <w:lang w:eastAsia="en-US"/>
        </w:rPr>
        <w:t>Расчет прогноза доходов на 2023 год:</w:t>
      </w:r>
    </w:p>
    <w:p w:rsidR="00CE1891" w:rsidRPr="00E02436" w:rsidRDefault="00CE1891" w:rsidP="00CE1891">
      <w:pPr>
        <w:pStyle w:val="29"/>
        <w:shd w:val="clear" w:color="auto" w:fill="auto"/>
        <w:spacing w:before="0" w:line="240" w:lineRule="auto"/>
        <w:ind w:firstLine="708"/>
        <w:rPr>
          <w:rStyle w:val="714pt"/>
          <w:rFonts w:eastAsia="Calibri"/>
          <w:i w:val="0"/>
        </w:rPr>
      </w:pPr>
      <w:r w:rsidRPr="004C21E9">
        <w:t>Прогноз доходов по плате за использование лесов, расположенных на землях лесного фонда, в части минимального размера платы по договору купли-продажи лесных (</w:t>
      </w:r>
      <w:r w:rsidRPr="00E02436">
        <w:rPr>
          <w:rStyle w:val="714pt"/>
          <w:rFonts w:eastAsia="Calibri"/>
        </w:rPr>
        <w:t xml:space="preserve">П </w:t>
      </w:r>
      <w:r w:rsidRPr="00E02436">
        <w:rPr>
          <w:rStyle w:val="714pt"/>
          <w:rFonts w:eastAsia="Calibri"/>
          <w:sz w:val="24"/>
          <w:vertAlign w:val="subscript"/>
        </w:rPr>
        <w:t>к-пр</w:t>
      </w:r>
      <w:r w:rsidRPr="00E02436">
        <w:rPr>
          <w:rStyle w:val="714pt"/>
          <w:rFonts w:eastAsia="Calibri"/>
          <w:sz w:val="24"/>
        </w:rPr>
        <w:t xml:space="preserve">) </w:t>
      </w:r>
      <w:r w:rsidRPr="00E02436">
        <w:rPr>
          <w:rStyle w:val="714pt"/>
          <w:rFonts w:eastAsia="Calibri"/>
        </w:rPr>
        <w:t>определяется по формуле:</w:t>
      </w:r>
    </w:p>
    <w:p w:rsidR="00CE1891" w:rsidRPr="004C21E9" w:rsidRDefault="00CE1891" w:rsidP="00CE1891">
      <w:pPr>
        <w:pStyle w:val="29"/>
        <w:shd w:val="clear" w:color="auto" w:fill="auto"/>
        <w:spacing w:before="0" w:line="240" w:lineRule="auto"/>
        <w:ind w:firstLine="708"/>
      </w:pPr>
    </w:p>
    <w:p w:rsidR="00CE1891" w:rsidRPr="004C21E9" w:rsidRDefault="00CE1891" w:rsidP="00CE1891">
      <w:pPr>
        <w:pStyle w:val="73"/>
        <w:shd w:val="clear" w:color="auto" w:fill="auto"/>
        <w:spacing w:before="0" w:after="0" w:line="240" w:lineRule="auto"/>
        <w:ind w:right="-65" w:firstLine="708"/>
        <w:jc w:val="left"/>
        <w:rPr>
          <w:rStyle w:val="714pt"/>
          <w:rFonts w:eastAsia="Constantia"/>
        </w:rPr>
      </w:pPr>
      <w:r w:rsidRPr="004C21E9">
        <w:rPr>
          <w:rStyle w:val="714pt"/>
          <w:rFonts w:eastAsia="Constantia"/>
        </w:rPr>
        <w:t xml:space="preserve">П </w:t>
      </w:r>
      <w:r w:rsidRPr="004C21E9">
        <w:rPr>
          <w:rStyle w:val="714pt"/>
          <w:rFonts w:eastAsia="Constantia"/>
          <w:sz w:val="24"/>
          <w:vertAlign w:val="subscript"/>
        </w:rPr>
        <w:t>к-пр</w:t>
      </w:r>
      <w:r w:rsidRPr="004C21E9">
        <w:rPr>
          <w:rStyle w:val="714pt"/>
          <w:rFonts w:eastAsia="Constantia"/>
          <w:sz w:val="24"/>
        </w:rPr>
        <w:t xml:space="preserve"> =</w:t>
      </w:r>
      <w:r w:rsidRPr="004C21E9">
        <w:rPr>
          <w:rStyle w:val="714pt"/>
          <w:rFonts w:eastAsia="Constantia"/>
          <w:vertAlign w:val="superscript"/>
        </w:rPr>
        <w:t xml:space="preserve"> </w:t>
      </w:r>
      <w:r w:rsidRPr="004C21E9">
        <w:rPr>
          <w:rStyle w:val="714pt"/>
          <w:rFonts w:eastAsia="Constantia"/>
        </w:rPr>
        <w:t xml:space="preserve">(С </w:t>
      </w:r>
      <w:r w:rsidRPr="004C21E9">
        <w:rPr>
          <w:rStyle w:val="714pt"/>
          <w:rFonts w:eastAsia="Constantia"/>
          <w:vertAlign w:val="subscript"/>
          <w:lang w:val="en-US"/>
        </w:rPr>
        <w:t>Q</w:t>
      </w:r>
      <w:r w:rsidRPr="004C21E9">
        <w:rPr>
          <w:rStyle w:val="714pt"/>
          <w:rFonts w:eastAsia="Constantia"/>
        </w:rPr>
        <w:t xml:space="preserve"> </w:t>
      </w:r>
      <w:r w:rsidRPr="004C21E9">
        <w:rPr>
          <w:rStyle w:val="714pt"/>
          <w:rFonts w:eastAsia="Constantia"/>
          <w:vertAlign w:val="superscript"/>
        </w:rPr>
        <w:t xml:space="preserve">к-пр </w:t>
      </w:r>
      <w:r w:rsidRPr="004C21E9">
        <w:rPr>
          <w:rStyle w:val="714pt"/>
          <w:rFonts w:eastAsia="Constantia"/>
          <w:vertAlign w:val="subscript"/>
        </w:rPr>
        <w:t>МСП</w:t>
      </w:r>
      <w:r w:rsidRPr="004C21E9">
        <w:rPr>
          <w:rStyle w:val="714pt"/>
          <w:rFonts w:eastAsia="Constantia"/>
        </w:rPr>
        <w:t xml:space="preserve"> * К</w:t>
      </w:r>
      <w:r w:rsidRPr="004C21E9">
        <w:rPr>
          <w:rStyle w:val="714pt"/>
          <w:rFonts w:eastAsia="Constantia"/>
          <w:vertAlign w:val="subscript"/>
        </w:rPr>
        <w:t>1</w:t>
      </w:r>
      <w:r w:rsidRPr="004C21E9">
        <w:rPr>
          <w:rStyle w:val="714pt"/>
          <w:rFonts w:eastAsia="Constantia"/>
        </w:rPr>
        <w:t>)*</w:t>
      </w:r>
      <w:r w:rsidRPr="004C21E9">
        <w:rPr>
          <w:rStyle w:val="714pt"/>
          <w:rFonts w:eastAsia="Constantia"/>
          <w:lang w:val="en-US"/>
        </w:rPr>
        <w:t>Q</w:t>
      </w:r>
      <w:r w:rsidRPr="004C21E9">
        <w:rPr>
          <w:rStyle w:val="714pt"/>
          <w:rFonts w:eastAsia="Constantia"/>
          <w:vertAlign w:val="superscript"/>
        </w:rPr>
        <w:t>ср</w:t>
      </w:r>
      <w:r w:rsidRPr="004C21E9">
        <w:rPr>
          <w:rStyle w:val="714pt"/>
          <w:rFonts w:eastAsia="Constantia"/>
        </w:rPr>
        <w:t xml:space="preserve"> </w:t>
      </w:r>
      <w:r w:rsidRPr="004C21E9">
        <w:rPr>
          <w:rStyle w:val="714pt"/>
          <w:rFonts w:eastAsia="Constantia"/>
          <w:vertAlign w:val="subscript"/>
        </w:rPr>
        <w:t>к-пр МСП</w:t>
      </w:r>
      <w:r w:rsidRPr="004C21E9">
        <w:rPr>
          <w:rStyle w:val="714pt"/>
          <w:rFonts w:eastAsia="Constantia"/>
        </w:rPr>
        <w:t xml:space="preserve"> * Т </w:t>
      </w:r>
      <w:r w:rsidRPr="004C21E9">
        <w:rPr>
          <w:rStyle w:val="714pt"/>
          <w:rFonts w:eastAsia="Constantia"/>
          <w:vertAlign w:val="superscript"/>
        </w:rPr>
        <w:t>ср</w:t>
      </w:r>
      <w:r w:rsidRPr="004C21E9">
        <w:rPr>
          <w:rStyle w:val="714pt"/>
          <w:rFonts w:eastAsia="Constantia"/>
        </w:rPr>
        <w:t xml:space="preserve"> </w:t>
      </w:r>
      <w:r w:rsidRPr="004C21E9">
        <w:rPr>
          <w:rStyle w:val="714pt"/>
          <w:rFonts w:eastAsia="Constantia"/>
          <w:vertAlign w:val="subscript"/>
        </w:rPr>
        <w:t>к-пр МСП</w:t>
      </w:r>
      <w:r w:rsidRPr="004C21E9">
        <w:rPr>
          <w:rStyle w:val="714pt"/>
          <w:rFonts w:eastAsia="Constantia"/>
        </w:rPr>
        <w:t xml:space="preserve"> </w:t>
      </w:r>
    </w:p>
    <w:p w:rsidR="00CE1891" w:rsidRPr="004C21E9" w:rsidRDefault="00CE1891" w:rsidP="00CE1891">
      <w:pPr>
        <w:pStyle w:val="73"/>
        <w:shd w:val="clear" w:color="auto" w:fill="auto"/>
        <w:spacing w:before="0" w:after="0" w:line="240" w:lineRule="auto"/>
        <w:ind w:left="760" w:right="-2"/>
        <w:jc w:val="left"/>
        <w:rPr>
          <w:rStyle w:val="714pt"/>
          <w:rFonts w:eastAsia="Constantia"/>
        </w:rPr>
      </w:pPr>
      <w:r>
        <w:rPr>
          <w:rStyle w:val="714pt"/>
          <w:rFonts w:eastAsia="Constantia"/>
        </w:rPr>
        <w:t xml:space="preserve">                   2 420,0=(157,87*2,94)*7,9*0,66</w:t>
      </w:r>
    </w:p>
    <w:p w:rsidR="00CE1891" w:rsidRPr="004C21E9" w:rsidRDefault="00CE1891" w:rsidP="00CE1891">
      <w:pPr>
        <w:pStyle w:val="73"/>
        <w:shd w:val="clear" w:color="auto" w:fill="auto"/>
        <w:spacing w:before="0" w:after="0" w:line="240" w:lineRule="auto"/>
        <w:ind w:left="760" w:right="7220"/>
        <w:jc w:val="left"/>
        <w:rPr>
          <w:i w:val="0"/>
        </w:rPr>
      </w:pPr>
      <w:r w:rsidRPr="004C21E9">
        <w:rPr>
          <w:rStyle w:val="714pt"/>
          <w:rFonts w:eastAsia="Constantia"/>
        </w:rPr>
        <w:t>где:</w:t>
      </w:r>
    </w:p>
    <w:p w:rsidR="00CE1891" w:rsidRPr="004C21E9" w:rsidRDefault="00CE1891" w:rsidP="00CE1891">
      <w:pPr>
        <w:pStyle w:val="29"/>
        <w:shd w:val="clear" w:color="auto" w:fill="auto"/>
        <w:spacing w:before="0" w:line="240" w:lineRule="auto"/>
        <w:ind w:firstLine="760"/>
      </w:pPr>
      <w:r w:rsidRPr="00E02436">
        <w:rPr>
          <w:rStyle w:val="714pt"/>
          <w:rFonts w:eastAsia="Calibri"/>
        </w:rPr>
        <w:t xml:space="preserve">К </w:t>
      </w:r>
      <w:r w:rsidRPr="00E02436">
        <w:rPr>
          <w:rStyle w:val="714pt"/>
          <w:rFonts w:eastAsia="Calibri"/>
          <w:vertAlign w:val="subscript"/>
        </w:rPr>
        <w:t xml:space="preserve">1 </w:t>
      </w:r>
      <w:r w:rsidRPr="004C21E9">
        <w:t>- коэффициент к ставкам платы за единицу объема лесных ресурсов (древесины), установленный Правительством Российской Федерации (на 2019-2020 годы, 2021-2023 годы коэффициент к ставкам платы за единицу объема лесных ресурсов (древесины)</w:t>
      </w:r>
    </w:p>
    <w:p w:rsidR="00CE1891" w:rsidRPr="004C21E9" w:rsidRDefault="00CE1891" w:rsidP="00CE1891">
      <w:pPr>
        <w:pStyle w:val="29"/>
        <w:shd w:val="clear" w:color="auto" w:fill="auto"/>
        <w:spacing w:before="0" w:line="240" w:lineRule="auto"/>
        <w:ind w:firstLine="580"/>
      </w:pPr>
      <w:r w:rsidRPr="004C21E9">
        <w:t>где:</w:t>
      </w:r>
    </w:p>
    <w:p w:rsidR="00CE1891" w:rsidRPr="004C21E9" w:rsidRDefault="00CE1891" w:rsidP="00CE1891">
      <w:pPr>
        <w:pStyle w:val="29"/>
        <w:shd w:val="clear" w:color="auto" w:fill="auto"/>
        <w:spacing w:before="0" w:line="240" w:lineRule="auto"/>
        <w:ind w:firstLine="567"/>
      </w:pPr>
      <w:r w:rsidRPr="00E02436">
        <w:rPr>
          <w:rStyle w:val="714pt"/>
          <w:rFonts w:eastAsia="Calibri"/>
        </w:rPr>
        <w:t xml:space="preserve">С </w:t>
      </w:r>
      <w:r w:rsidRPr="00E02436">
        <w:rPr>
          <w:rStyle w:val="714pt"/>
          <w:rFonts w:eastAsia="Calibri"/>
          <w:vertAlign w:val="subscript"/>
          <w:lang w:val="en-US"/>
        </w:rPr>
        <w:t>Q</w:t>
      </w:r>
      <w:r w:rsidRPr="00E02436">
        <w:rPr>
          <w:rStyle w:val="714pt"/>
          <w:rFonts w:eastAsia="Calibri"/>
        </w:rPr>
        <w:t xml:space="preserve"> </w:t>
      </w:r>
      <w:r w:rsidRPr="00E02436">
        <w:rPr>
          <w:rStyle w:val="714pt"/>
          <w:rFonts w:eastAsia="Calibri"/>
          <w:vertAlign w:val="superscript"/>
        </w:rPr>
        <w:t xml:space="preserve">к-пр </w:t>
      </w:r>
      <w:r w:rsidRPr="00E02436">
        <w:rPr>
          <w:rStyle w:val="714pt"/>
          <w:rFonts w:eastAsia="Calibri"/>
          <w:vertAlign w:val="subscript"/>
        </w:rPr>
        <w:t>МСП</w:t>
      </w:r>
      <w:r w:rsidRPr="00E02436">
        <w:rPr>
          <w:rStyle w:val="714pt"/>
          <w:rFonts w:eastAsia="Calibri"/>
        </w:rPr>
        <w:t xml:space="preserve"> - </w:t>
      </w:r>
      <w:r w:rsidRPr="004C21E9">
        <w:t>средняя ставка платы за единицу объема древесины по договорам купли-продажи лесных насаждений, заключаемым с субъектами малого и среднего предпринимательства, сложившаяся по итогам предыдущего финансового года и приведенная к уровню 2007 года (руб.);</w:t>
      </w:r>
    </w:p>
    <w:p w:rsidR="00CE1891" w:rsidRDefault="00CE1891" w:rsidP="00CE1891">
      <w:pPr>
        <w:pStyle w:val="29"/>
        <w:shd w:val="clear" w:color="auto" w:fill="auto"/>
        <w:spacing w:before="0" w:line="240" w:lineRule="auto"/>
        <w:ind w:firstLine="760"/>
      </w:pPr>
      <w:r w:rsidRPr="00E02436">
        <w:rPr>
          <w:rStyle w:val="714pt"/>
          <w:rFonts w:eastAsia="Calibri"/>
          <w:lang w:val="en-US"/>
        </w:rPr>
        <w:t>Q</w:t>
      </w:r>
      <w:r w:rsidRPr="00E02436">
        <w:rPr>
          <w:rStyle w:val="714pt"/>
          <w:rFonts w:eastAsia="Calibri"/>
          <w:vertAlign w:val="superscript"/>
        </w:rPr>
        <w:t>ср</w:t>
      </w:r>
      <w:r w:rsidRPr="00E02436">
        <w:rPr>
          <w:rStyle w:val="714pt"/>
          <w:rFonts w:eastAsia="Calibri"/>
        </w:rPr>
        <w:t xml:space="preserve"> </w:t>
      </w:r>
      <w:r w:rsidRPr="00E02436">
        <w:rPr>
          <w:rStyle w:val="714pt"/>
          <w:rFonts w:eastAsia="Calibri"/>
          <w:vertAlign w:val="subscript"/>
        </w:rPr>
        <w:t>к-пр МСП</w:t>
      </w:r>
      <w:r w:rsidRPr="00E02436">
        <w:rPr>
          <w:rStyle w:val="714pt"/>
          <w:rFonts w:eastAsia="Calibri"/>
        </w:rPr>
        <w:t xml:space="preserve"> - </w:t>
      </w:r>
      <w:r w:rsidRPr="004C21E9">
        <w:t>средний объем древесины, подлежащий заготовке по договорам купли-продажи лесных насаждений, заключаемым с субъектами малого и среднего предпринимательства (</w:t>
      </w:r>
      <w:r>
        <w:t xml:space="preserve">тыс. </w:t>
      </w:r>
      <w:r w:rsidRPr="004C21E9">
        <w:t>куб.м):</w:t>
      </w:r>
    </w:p>
    <w:p w:rsidR="00CE1891" w:rsidRPr="004C21E9" w:rsidRDefault="00CE1891" w:rsidP="00CE1891">
      <w:pPr>
        <w:pStyle w:val="29"/>
        <w:shd w:val="clear" w:color="auto" w:fill="auto"/>
        <w:spacing w:before="0" w:line="240" w:lineRule="auto"/>
        <w:ind w:firstLine="760"/>
      </w:pPr>
    </w:p>
    <w:p w:rsidR="00CE1891" w:rsidRPr="00E02436" w:rsidRDefault="00CE1891" w:rsidP="00CE1891">
      <w:pPr>
        <w:pStyle w:val="29"/>
        <w:shd w:val="clear" w:color="auto" w:fill="auto"/>
        <w:spacing w:before="0" w:line="240" w:lineRule="auto"/>
        <w:ind w:firstLine="760"/>
        <w:rPr>
          <w:rStyle w:val="714pt"/>
          <w:rFonts w:eastAsia="Calibri"/>
          <w:i w:val="0"/>
        </w:rPr>
      </w:pPr>
      <w:r w:rsidRPr="00E02436">
        <w:rPr>
          <w:rStyle w:val="714pt"/>
          <w:rFonts w:eastAsia="Calibri"/>
          <w:lang w:val="en-US"/>
        </w:rPr>
        <w:t>Q</w:t>
      </w:r>
      <w:r w:rsidRPr="00E02436">
        <w:rPr>
          <w:rStyle w:val="714pt"/>
          <w:rFonts w:eastAsia="Calibri"/>
          <w:vertAlign w:val="superscript"/>
        </w:rPr>
        <w:t>ср</w:t>
      </w:r>
      <w:r w:rsidRPr="00E02436">
        <w:rPr>
          <w:rStyle w:val="714pt"/>
          <w:rFonts w:eastAsia="Calibri"/>
        </w:rPr>
        <w:t xml:space="preserve"> </w:t>
      </w:r>
      <w:r w:rsidRPr="00E02436">
        <w:rPr>
          <w:rStyle w:val="714pt"/>
          <w:rFonts w:eastAsia="Calibri"/>
          <w:vertAlign w:val="subscript"/>
        </w:rPr>
        <w:t xml:space="preserve">к-пр МСП </w:t>
      </w:r>
      <w:r w:rsidRPr="00E02436">
        <w:rPr>
          <w:rStyle w:val="714pt"/>
          <w:rFonts w:eastAsia="Calibri"/>
        </w:rPr>
        <w:t xml:space="preserve">= ∑ </w:t>
      </w:r>
      <w:r w:rsidRPr="00E02436">
        <w:rPr>
          <w:rStyle w:val="714pt"/>
          <w:rFonts w:eastAsia="Calibri"/>
          <w:vertAlign w:val="superscript"/>
        </w:rPr>
        <w:t>3</w:t>
      </w:r>
      <w:r w:rsidRPr="00E02436">
        <w:rPr>
          <w:rStyle w:val="714pt"/>
          <w:rFonts w:eastAsia="Calibri"/>
        </w:rPr>
        <w:t xml:space="preserve"> </w:t>
      </w:r>
      <w:r w:rsidRPr="00E02436">
        <w:rPr>
          <w:rStyle w:val="714pt"/>
          <w:rFonts w:eastAsia="Calibri"/>
          <w:vertAlign w:val="subscript"/>
          <w:lang w:val="en-US"/>
        </w:rPr>
        <w:t>t</w:t>
      </w:r>
      <w:r w:rsidRPr="00E02436">
        <w:rPr>
          <w:rStyle w:val="714pt"/>
          <w:rFonts w:eastAsia="Calibri"/>
          <w:vertAlign w:val="subscript"/>
        </w:rPr>
        <w:t xml:space="preserve">=1 </w:t>
      </w:r>
      <w:r w:rsidRPr="00E02436">
        <w:rPr>
          <w:rStyle w:val="714pt"/>
          <w:rFonts w:eastAsia="Calibri"/>
          <w:lang w:val="en-US"/>
        </w:rPr>
        <w:t>Q</w:t>
      </w:r>
      <w:r w:rsidRPr="00E02436">
        <w:rPr>
          <w:rStyle w:val="714pt"/>
          <w:rFonts w:eastAsia="Calibri"/>
        </w:rPr>
        <w:t xml:space="preserve"> </w:t>
      </w:r>
      <w:r w:rsidRPr="00E02436">
        <w:rPr>
          <w:rStyle w:val="714pt"/>
          <w:rFonts w:eastAsia="Calibri"/>
          <w:vertAlign w:val="subscript"/>
        </w:rPr>
        <w:t xml:space="preserve">к-пр МСП </w:t>
      </w:r>
      <w:r w:rsidRPr="00E02436">
        <w:rPr>
          <w:rStyle w:val="714pt"/>
          <w:rFonts w:eastAsia="Calibri"/>
        </w:rPr>
        <w:t>/ 3</w:t>
      </w:r>
    </w:p>
    <w:p w:rsidR="00CE1891" w:rsidRDefault="00CE1891" w:rsidP="00CE1891">
      <w:pPr>
        <w:pStyle w:val="29"/>
        <w:shd w:val="clear" w:color="auto" w:fill="auto"/>
        <w:spacing w:before="0" w:line="240" w:lineRule="auto"/>
        <w:ind w:firstLine="760"/>
      </w:pPr>
      <w:r>
        <w:t xml:space="preserve">7,9=(0+11,77+12,06)/3 </w:t>
      </w:r>
    </w:p>
    <w:p w:rsidR="00CE1891" w:rsidRDefault="00CE1891" w:rsidP="00CE1891">
      <w:pPr>
        <w:pStyle w:val="29"/>
        <w:shd w:val="clear" w:color="auto" w:fill="auto"/>
        <w:spacing w:before="0" w:line="240" w:lineRule="auto"/>
        <w:ind w:firstLine="760"/>
      </w:pPr>
    </w:p>
    <w:p w:rsidR="00CE1891" w:rsidRPr="004C21E9" w:rsidRDefault="00CE1891" w:rsidP="00CE1891">
      <w:pPr>
        <w:pStyle w:val="29"/>
        <w:shd w:val="clear" w:color="auto" w:fill="auto"/>
        <w:spacing w:before="0" w:line="240" w:lineRule="auto"/>
        <w:ind w:firstLine="760"/>
      </w:pPr>
      <w:r w:rsidRPr="004C21E9">
        <w:t>где:</w:t>
      </w:r>
    </w:p>
    <w:p w:rsidR="00CE1891" w:rsidRPr="004C21E9" w:rsidRDefault="00CE1891" w:rsidP="00CE1891">
      <w:pPr>
        <w:pStyle w:val="29"/>
        <w:shd w:val="clear" w:color="auto" w:fill="auto"/>
        <w:spacing w:before="0" w:line="240" w:lineRule="auto"/>
        <w:ind w:firstLine="760"/>
      </w:pPr>
      <w:r w:rsidRPr="00E02436">
        <w:rPr>
          <w:rStyle w:val="714pt"/>
          <w:rFonts w:eastAsia="Calibri"/>
        </w:rPr>
        <w:t xml:space="preserve">∑ </w:t>
      </w:r>
      <w:r w:rsidRPr="00E02436">
        <w:rPr>
          <w:rStyle w:val="714pt"/>
          <w:rFonts w:eastAsia="Calibri"/>
          <w:vertAlign w:val="superscript"/>
        </w:rPr>
        <w:t>3</w:t>
      </w:r>
      <w:r w:rsidRPr="00E02436">
        <w:rPr>
          <w:rStyle w:val="714pt"/>
          <w:rFonts w:eastAsia="Calibri"/>
        </w:rPr>
        <w:t xml:space="preserve"> </w:t>
      </w:r>
      <w:r w:rsidRPr="00E02436">
        <w:rPr>
          <w:rStyle w:val="714pt"/>
          <w:rFonts w:eastAsia="Calibri"/>
          <w:vertAlign w:val="subscript"/>
          <w:lang w:val="en-US"/>
        </w:rPr>
        <w:t>t</w:t>
      </w:r>
      <w:r w:rsidRPr="00E02436">
        <w:rPr>
          <w:rStyle w:val="714pt"/>
          <w:rFonts w:eastAsia="Calibri"/>
          <w:vertAlign w:val="subscript"/>
        </w:rPr>
        <w:t xml:space="preserve">=1 </w:t>
      </w:r>
      <w:r w:rsidRPr="00E02436">
        <w:rPr>
          <w:rStyle w:val="714pt"/>
          <w:rFonts w:eastAsia="Calibri"/>
          <w:lang w:val="en-US"/>
        </w:rPr>
        <w:t>Q</w:t>
      </w:r>
      <w:r w:rsidRPr="00E02436">
        <w:rPr>
          <w:rStyle w:val="714pt"/>
          <w:rFonts w:eastAsia="Calibri"/>
        </w:rPr>
        <w:t xml:space="preserve"> </w:t>
      </w:r>
      <w:r w:rsidRPr="00E02436">
        <w:rPr>
          <w:rStyle w:val="714pt"/>
          <w:rFonts w:eastAsia="Calibri"/>
          <w:vertAlign w:val="subscript"/>
        </w:rPr>
        <w:t xml:space="preserve">к-пр МСП - </w:t>
      </w:r>
      <w:r w:rsidRPr="004C21E9">
        <w:t xml:space="preserve">сумма годовых величин объемов древесины, </w:t>
      </w:r>
      <w:r w:rsidRPr="004C21E9">
        <w:lastRenderedPageBreak/>
        <w:t>подлежащих заготовке по договорам купли-продажи лесных насаждений, заключаемым с субъектами малого и среднего предпринимательства, за три года, предшествующих прогнозируемому году (куб. м), при формировании прогноза на текущий финансовый год используются фактические данные за три отчетных года, на очередной финансовый год используются фактические данные за два отчетных года и прогнозные значения на текущий финансовый год, при формировании прогноза на первый год планового периода используются фактические данные за один отчетный год и прогнозные значения текущего финансового года и очередного финансового года; прогноз на второй год планового периода формируется с использованием в расчетах прогнозных значений на текущий финансовый год, очередной финансовый год и первый год планового периода);</w:t>
      </w:r>
    </w:p>
    <w:p w:rsidR="00CE1891" w:rsidRPr="004C21E9" w:rsidRDefault="00CE1891" w:rsidP="00CE1891">
      <w:pPr>
        <w:pStyle w:val="29"/>
        <w:shd w:val="clear" w:color="auto" w:fill="auto"/>
        <w:spacing w:before="0" w:line="240" w:lineRule="auto"/>
        <w:ind w:firstLine="820"/>
      </w:pPr>
      <w:r w:rsidRPr="00E02436">
        <w:rPr>
          <w:rStyle w:val="714pt"/>
          <w:rFonts w:eastAsia="Calibri"/>
        </w:rPr>
        <w:t xml:space="preserve">Т </w:t>
      </w:r>
      <w:r w:rsidRPr="00E02436">
        <w:rPr>
          <w:rStyle w:val="714pt"/>
          <w:rFonts w:eastAsia="Calibri"/>
          <w:vertAlign w:val="subscript"/>
        </w:rPr>
        <w:t xml:space="preserve">к-пр МСП </w:t>
      </w:r>
      <w:r w:rsidRPr="00E02436">
        <w:rPr>
          <w:rStyle w:val="714pt"/>
          <w:rFonts w:eastAsia="Calibri"/>
        </w:rPr>
        <w:t xml:space="preserve">- </w:t>
      </w:r>
      <w:r w:rsidRPr="004C21E9">
        <w:t>темп роста (снижения) объема древесины, подлежащего заготовке по договорам купли-продажи лесных насаждений, заключаемым с субъектами малого и среднего предпринимательства (ед.), определяется по формуле:</w:t>
      </w:r>
    </w:p>
    <w:p w:rsidR="00CE1891" w:rsidRPr="00E02436" w:rsidRDefault="00CE1891" w:rsidP="00CE1891">
      <w:pPr>
        <w:pStyle w:val="29"/>
        <w:shd w:val="clear" w:color="auto" w:fill="auto"/>
        <w:spacing w:before="0" w:line="240" w:lineRule="auto"/>
        <w:ind w:firstLine="820"/>
        <w:rPr>
          <w:rStyle w:val="714pt"/>
          <w:rFonts w:eastAsia="Calibri"/>
          <w:i w:val="0"/>
        </w:rPr>
      </w:pPr>
    </w:p>
    <w:p w:rsidR="00CE1891" w:rsidRPr="004C21E9" w:rsidRDefault="00CE1891" w:rsidP="00CE1891">
      <w:pPr>
        <w:pStyle w:val="29"/>
        <w:shd w:val="clear" w:color="auto" w:fill="auto"/>
        <w:spacing w:before="0" w:line="240" w:lineRule="auto"/>
        <w:ind w:firstLine="820"/>
      </w:pPr>
      <w:r w:rsidRPr="00E02436">
        <w:rPr>
          <w:rStyle w:val="714pt"/>
          <w:rFonts w:eastAsia="Calibri"/>
        </w:rPr>
        <w:t xml:space="preserve">Т </w:t>
      </w:r>
      <w:r w:rsidRPr="00E02436">
        <w:rPr>
          <w:rStyle w:val="714pt"/>
          <w:rFonts w:eastAsia="Calibri"/>
          <w:vertAlign w:val="subscript"/>
        </w:rPr>
        <w:t xml:space="preserve">к-пр МСП </w:t>
      </w:r>
      <w:r w:rsidRPr="00E02436">
        <w:rPr>
          <w:rStyle w:val="714pt"/>
          <w:rFonts w:eastAsia="Calibri"/>
        </w:rPr>
        <w:t>=</w:t>
      </w:r>
      <w:r w:rsidRPr="004C21E9">
        <w:t xml:space="preserve"> </w:t>
      </w:r>
      <w:r w:rsidRPr="00E02436">
        <w:rPr>
          <w:rStyle w:val="714pt"/>
          <w:rFonts w:eastAsia="Calibri"/>
          <w:lang w:val="en-US"/>
        </w:rPr>
        <w:t>Q</w:t>
      </w:r>
      <w:r w:rsidRPr="00E02436">
        <w:rPr>
          <w:rStyle w:val="714pt"/>
          <w:rFonts w:eastAsia="Calibri"/>
        </w:rPr>
        <w:t xml:space="preserve"> </w:t>
      </w:r>
      <w:r w:rsidRPr="00E02436">
        <w:rPr>
          <w:rStyle w:val="714pt"/>
          <w:rFonts w:eastAsia="Calibri"/>
          <w:vertAlign w:val="superscript"/>
          <w:lang w:val="en-US"/>
        </w:rPr>
        <w:t>n</w:t>
      </w:r>
      <w:r w:rsidRPr="00E02436">
        <w:rPr>
          <w:rStyle w:val="714pt"/>
          <w:rFonts w:eastAsia="Calibri"/>
        </w:rPr>
        <w:t xml:space="preserve"> </w:t>
      </w:r>
      <w:r w:rsidRPr="00E02436">
        <w:rPr>
          <w:rStyle w:val="714pt"/>
          <w:rFonts w:eastAsia="Calibri"/>
          <w:vertAlign w:val="subscript"/>
        </w:rPr>
        <w:t>к-пр МСП</w:t>
      </w:r>
      <w:r w:rsidRPr="00E02436">
        <w:rPr>
          <w:rStyle w:val="714pt"/>
          <w:rFonts w:eastAsia="Calibri"/>
        </w:rPr>
        <w:t xml:space="preserve">/ </w:t>
      </w:r>
      <w:r w:rsidRPr="00E02436">
        <w:rPr>
          <w:rStyle w:val="714pt"/>
          <w:rFonts w:eastAsia="Calibri"/>
          <w:lang w:val="en-US"/>
        </w:rPr>
        <w:t>Q</w:t>
      </w:r>
      <w:r w:rsidRPr="00E02436">
        <w:rPr>
          <w:rStyle w:val="714pt"/>
          <w:rFonts w:eastAsia="Calibri"/>
        </w:rPr>
        <w:t xml:space="preserve"> </w:t>
      </w:r>
      <w:r w:rsidRPr="00E02436">
        <w:rPr>
          <w:rStyle w:val="714pt"/>
          <w:rFonts w:eastAsia="Calibri"/>
          <w:vertAlign w:val="superscript"/>
          <w:lang w:val="en-US"/>
        </w:rPr>
        <w:t>n</w:t>
      </w:r>
      <w:r w:rsidRPr="00E02436">
        <w:rPr>
          <w:rStyle w:val="714pt"/>
          <w:rFonts w:eastAsia="Calibri"/>
          <w:vertAlign w:val="superscript"/>
        </w:rPr>
        <w:t>-1</w:t>
      </w:r>
      <w:r w:rsidRPr="00E02436">
        <w:rPr>
          <w:rStyle w:val="714pt"/>
          <w:rFonts w:eastAsia="Calibri"/>
        </w:rPr>
        <w:t xml:space="preserve"> </w:t>
      </w:r>
      <w:r w:rsidRPr="00E02436">
        <w:rPr>
          <w:rStyle w:val="714pt"/>
          <w:rFonts w:eastAsia="Calibri"/>
          <w:vertAlign w:val="subscript"/>
        </w:rPr>
        <w:t>к-пр МСП</w:t>
      </w:r>
    </w:p>
    <w:p w:rsidR="00CE1891" w:rsidRDefault="00CE1891" w:rsidP="00CE1891">
      <w:pPr>
        <w:pStyle w:val="29"/>
        <w:shd w:val="clear" w:color="auto" w:fill="auto"/>
        <w:spacing w:before="0" w:line="240" w:lineRule="auto"/>
        <w:ind w:firstLine="820"/>
      </w:pPr>
      <w:r>
        <w:t>2023 год 0,66=7,9/12,1</w:t>
      </w:r>
    </w:p>
    <w:p w:rsidR="00CE1891" w:rsidRPr="004C21E9" w:rsidRDefault="00CE1891" w:rsidP="00CE1891">
      <w:pPr>
        <w:pStyle w:val="29"/>
        <w:shd w:val="clear" w:color="auto" w:fill="auto"/>
        <w:spacing w:before="0" w:line="240" w:lineRule="auto"/>
        <w:ind w:firstLine="820"/>
      </w:pPr>
    </w:p>
    <w:p w:rsidR="00CE1891" w:rsidRPr="004C21E9" w:rsidRDefault="00CE1891" w:rsidP="00CE1891">
      <w:pPr>
        <w:pStyle w:val="29"/>
        <w:shd w:val="clear" w:color="auto" w:fill="auto"/>
        <w:spacing w:before="0" w:line="240" w:lineRule="auto"/>
        <w:ind w:firstLine="820"/>
      </w:pPr>
      <w:r w:rsidRPr="004C21E9">
        <w:t>где:</w:t>
      </w:r>
    </w:p>
    <w:p w:rsidR="00CE1891" w:rsidRPr="004C21E9" w:rsidRDefault="00CE1891" w:rsidP="00CE1891">
      <w:pPr>
        <w:pStyle w:val="29"/>
        <w:shd w:val="clear" w:color="auto" w:fill="auto"/>
        <w:spacing w:before="0" w:line="240" w:lineRule="auto"/>
        <w:ind w:firstLine="820"/>
      </w:pPr>
      <w:r w:rsidRPr="00E02436">
        <w:rPr>
          <w:rStyle w:val="714pt"/>
          <w:rFonts w:eastAsia="Calibri"/>
          <w:lang w:val="en-US"/>
        </w:rPr>
        <w:t>Q</w:t>
      </w:r>
      <w:r w:rsidRPr="00E02436">
        <w:rPr>
          <w:rStyle w:val="714pt"/>
          <w:rFonts w:eastAsia="Calibri"/>
        </w:rPr>
        <w:t xml:space="preserve"> </w:t>
      </w:r>
      <w:r w:rsidRPr="00E02436">
        <w:rPr>
          <w:rStyle w:val="714pt"/>
          <w:rFonts w:eastAsia="Calibri"/>
          <w:vertAlign w:val="superscript"/>
          <w:lang w:val="en-US"/>
        </w:rPr>
        <w:t>n</w:t>
      </w:r>
      <w:r w:rsidRPr="00E02436">
        <w:rPr>
          <w:rStyle w:val="714pt"/>
          <w:rFonts w:eastAsia="Calibri"/>
        </w:rPr>
        <w:t xml:space="preserve"> </w:t>
      </w:r>
      <w:r w:rsidRPr="00E02436">
        <w:rPr>
          <w:rStyle w:val="714pt"/>
          <w:rFonts w:eastAsia="Calibri"/>
          <w:vertAlign w:val="subscript"/>
        </w:rPr>
        <w:t>к-пр МСП</w:t>
      </w:r>
      <w:r w:rsidRPr="004C21E9">
        <w:t xml:space="preserve"> - объем древесины, подлежащий заготовке по договорам купли- продажи лесных насаждений, заключаемым с субъектами малого и среднего предпринимательства, за год (куб. м),</w:t>
      </w:r>
    </w:p>
    <w:p w:rsidR="00CE1891" w:rsidRPr="004C21E9" w:rsidRDefault="00CE1891" w:rsidP="00CE1891">
      <w:pPr>
        <w:pStyle w:val="29"/>
        <w:shd w:val="clear" w:color="auto" w:fill="auto"/>
        <w:spacing w:before="0" w:line="240" w:lineRule="auto"/>
        <w:ind w:firstLine="820"/>
      </w:pPr>
      <w:r w:rsidRPr="00E02436">
        <w:rPr>
          <w:rStyle w:val="714pt"/>
          <w:rFonts w:eastAsia="Calibri"/>
          <w:lang w:val="en-US"/>
        </w:rPr>
        <w:t>Q</w:t>
      </w:r>
      <w:r w:rsidRPr="00E02436">
        <w:rPr>
          <w:rStyle w:val="714pt"/>
          <w:rFonts w:eastAsia="Calibri"/>
        </w:rPr>
        <w:t xml:space="preserve"> </w:t>
      </w:r>
      <w:r w:rsidRPr="00E02436">
        <w:rPr>
          <w:rStyle w:val="714pt"/>
          <w:rFonts w:eastAsia="Calibri"/>
          <w:vertAlign w:val="superscript"/>
          <w:lang w:val="en-US"/>
        </w:rPr>
        <w:t>n</w:t>
      </w:r>
      <w:r w:rsidRPr="00E02436">
        <w:rPr>
          <w:rStyle w:val="714pt"/>
          <w:rFonts w:eastAsia="Calibri"/>
          <w:vertAlign w:val="superscript"/>
        </w:rPr>
        <w:t>-1</w:t>
      </w:r>
      <w:r w:rsidRPr="00E02436">
        <w:rPr>
          <w:rStyle w:val="714pt"/>
          <w:rFonts w:eastAsia="Calibri"/>
        </w:rPr>
        <w:t xml:space="preserve"> </w:t>
      </w:r>
      <w:r w:rsidRPr="00E02436">
        <w:rPr>
          <w:rStyle w:val="714pt"/>
          <w:rFonts w:eastAsia="Calibri"/>
          <w:vertAlign w:val="subscript"/>
        </w:rPr>
        <w:t>к-пр МСП</w:t>
      </w:r>
      <w:r w:rsidRPr="00E02436">
        <w:rPr>
          <w:rStyle w:val="29pt1"/>
          <w:rFonts w:eastAsia="Calibri"/>
        </w:rPr>
        <w:t xml:space="preserve"> —</w:t>
      </w:r>
      <w:r w:rsidRPr="004C21E9">
        <w:t xml:space="preserve"> объем древесины, подлежащий заготовке по договорам купли- продажи лесных насаждений, заключаемым с субъектами малого и среднего предпринимательства, за предыдущий год (куб. м);</w:t>
      </w:r>
    </w:p>
    <w:p w:rsidR="00CE1891" w:rsidRPr="0031548D" w:rsidRDefault="00CE1891" w:rsidP="00CE1891">
      <w:pPr>
        <w:pStyle w:val="29"/>
        <w:shd w:val="clear" w:color="auto" w:fill="auto"/>
        <w:spacing w:before="0" w:line="240" w:lineRule="auto"/>
        <w:ind w:firstLine="709"/>
        <w:rPr>
          <w:lang w:bidi="ru-RU"/>
        </w:rPr>
      </w:pPr>
    </w:p>
    <w:p w:rsidR="00CE1891" w:rsidRPr="004C21E9" w:rsidRDefault="00CE1891" w:rsidP="00CE1891">
      <w:pPr>
        <w:pStyle w:val="29"/>
        <w:shd w:val="clear" w:color="auto" w:fill="auto"/>
        <w:spacing w:before="0" w:line="240" w:lineRule="auto"/>
        <w:ind w:firstLine="760"/>
      </w:pPr>
      <w:r w:rsidRPr="004C21E9">
        <w:t>Средняя ставка платы за единицу объема древесины по договорам купли-продажи лесных насаждений, заключаемым с субъектами малого и среднего предпринимательства, сложившаяся по итогам предыдущего отчетного года и приведенная к уровню 2007 года (</w:t>
      </w:r>
      <w:r w:rsidRPr="00E02436">
        <w:rPr>
          <w:rStyle w:val="714pt"/>
          <w:rFonts w:eastAsia="Calibri"/>
          <w:lang w:val="en-US"/>
        </w:rPr>
        <w:t>C</w:t>
      </w:r>
      <w:r w:rsidRPr="00E02436">
        <w:rPr>
          <w:rStyle w:val="714pt"/>
          <w:rFonts w:eastAsia="Calibri"/>
        </w:rPr>
        <w:t xml:space="preserve"> </w:t>
      </w:r>
      <w:r w:rsidRPr="00E02436">
        <w:rPr>
          <w:rStyle w:val="714pt"/>
          <w:rFonts w:eastAsia="Calibri"/>
          <w:vertAlign w:val="subscript"/>
          <w:lang w:val="en-US"/>
        </w:rPr>
        <w:t>Q</w:t>
      </w:r>
      <w:r w:rsidRPr="00E02436">
        <w:rPr>
          <w:rStyle w:val="714pt"/>
          <w:rFonts w:eastAsia="Calibri"/>
        </w:rPr>
        <w:t xml:space="preserve"> </w:t>
      </w:r>
      <w:r w:rsidRPr="00E02436">
        <w:rPr>
          <w:rStyle w:val="714pt"/>
          <w:rFonts w:eastAsia="Calibri"/>
          <w:vertAlign w:val="superscript"/>
        </w:rPr>
        <w:t>к-пр</w:t>
      </w:r>
      <w:r w:rsidRPr="00E02436">
        <w:rPr>
          <w:rStyle w:val="714pt"/>
          <w:rFonts w:eastAsia="Calibri"/>
        </w:rPr>
        <w:t xml:space="preserve"> </w:t>
      </w:r>
      <w:r w:rsidRPr="00E02436">
        <w:rPr>
          <w:rStyle w:val="714pt"/>
          <w:rFonts w:eastAsia="Calibri"/>
          <w:vertAlign w:val="subscript"/>
        </w:rPr>
        <w:t>МПС</w:t>
      </w:r>
      <w:r w:rsidRPr="00E02436">
        <w:rPr>
          <w:rStyle w:val="714pt"/>
          <w:rFonts w:eastAsia="Calibri"/>
        </w:rPr>
        <w:t xml:space="preserve">) </w:t>
      </w:r>
      <w:r w:rsidRPr="004C21E9">
        <w:t>рассчитывается по формуле:</w:t>
      </w:r>
    </w:p>
    <w:p w:rsidR="00CE1891" w:rsidRPr="00E02436" w:rsidRDefault="00CE1891" w:rsidP="00CE1891">
      <w:pPr>
        <w:pStyle w:val="29"/>
        <w:shd w:val="clear" w:color="auto" w:fill="auto"/>
        <w:spacing w:before="0" w:line="240" w:lineRule="auto"/>
        <w:ind w:firstLine="760"/>
        <w:rPr>
          <w:rStyle w:val="714pt"/>
          <w:rFonts w:eastAsia="Calibri"/>
          <w:i w:val="0"/>
        </w:rPr>
      </w:pPr>
    </w:p>
    <w:p w:rsidR="00CE1891" w:rsidRPr="00D04699" w:rsidRDefault="00CE1891" w:rsidP="00CE1891">
      <w:pPr>
        <w:pStyle w:val="29"/>
        <w:shd w:val="clear" w:color="auto" w:fill="auto"/>
        <w:spacing w:before="0" w:line="240" w:lineRule="auto"/>
        <w:ind w:firstLine="760"/>
      </w:pPr>
      <w:r w:rsidRPr="00D04699">
        <w:rPr>
          <w:rStyle w:val="714pt"/>
          <w:rFonts w:eastAsia="Calibri"/>
          <w:lang w:val="en-US"/>
        </w:rPr>
        <w:t>C</w:t>
      </w:r>
      <w:r w:rsidRPr="00D04699">
        <w:rPr>
          <w:rStyle w:val="714pt"/>
          <w:rFonts w:eastAsia="Calibri"/>
        </w:rPr>
        <w:t xml:space="preserve"> </w:t>
      </w:r>
      <w:r w:rsidRPr="00D04699">
        <w:rPr>
          <w:rStyle w:val="714pt"/>
          <w:rFonts w:eastAsia="Calibri"/>
          <w:vertAlign w:val="subscript"/>
          <w:lang w:val="en-US"/>
        </w:rPr>
        <w:t>Q</w:t>
      </w:r>
      <w:r w:rsidRPr="00D04699">
        <w:rPr>
          <w:rStyle w:val="714pt"/>
          <w:rFonts w:eastAsia="Calibri"/>
        </w:rPr>
        <w:t xml:space="preserve"> </w:t>
      </w:r>
      <w:r w:rsidRPr="00D04699">
        <w:rPr>
          <w:rStyle w:val="714pt"/>
          <w:rFonts w:eastAsia="Calibri"/>
          <w:vertAlign w:val="superscript"/>
        </w:rPr>
        <w:t>к-пр</w:t>
      </w:r>
      <w:r w:rsidRPr="00D04699">
        <w:rPr>
          <w:rStyle w:val="714pt"/>
          <w:rFonts w:eastAsia="Calibri"/>
        </w:rPr>
        <w:t xml:space="preserve"> </w:t>
      </w:r>
      <w:r w:rsidRPr="00D04699">
        <w:rPr>
          <w:rStyle w:val="714pt"/>
          <w:rFonts w:eastAsia="Calibri"/>
          <w:vertAlign w:val="subscript"/>
        </w:rPr>
        <w:t>МПС</w:t>
      </w:r>
      <w:r w:rsidRPr="00D04699">
        <w:rPr>
          <w:rStyle w:val="714pt"/>
          <w:rFonts w:eastAsia="Calibri"/>
        </w:rPr>
        <w:t xml:space="preserve"> = </w:t>
      </w:r>
      <w:r w:rsidRPr="00D04699">
        <w:rPr>
          <w:rStyle w:val="29pt1"/>
          <w:rFonts w:eastAsia="Calibri"/>
        </w:rPr>
        <w:t>П</w:t>
      </w:r>
      <w:r w:rsidRPr="00D04699">
        <w:rPr>
          <w:rStyle w:val="29pt1"/>
          <w:rFonts w:eastAsia="Calibri"/>
          <w:vertAlign w:val="subscript"/>
        </w:rPr>
        <w:t>к</w:t>
      </w:r>
      <w:r w:rsidRPr="00D04699">
        <w:rPr>
          <w:rStyle w:val="29pt1"/>
          <w:rFonts w:eastAsia="Calibri"/>
        </w:rPr>
        <w:t>.</w:t>
      </w:r>
      <w:r w:rsidRPr="00D04699">
        <w:rPr>
          <w:rStyle w:val="29pt1"/>
          <w:rFonts w:eastAsia="Calibri"/>
          <w:vertAlign w:val="subscript"/>
        </w:rPr>
        <w:t>пр</w:t>
      </w:r>
      <w:r w:rsidRPr="00D04699">
        <w:rPr>
          <w:rStyle w:val="29pt1"/>
          <w:rFonts w:eastAsia="Calibri"/>
        </w:rPr>
        <w:t xml:space="preserve"> </w:t>
      </w:r>
      <w:r w:rsidRPr="00D04699">
        <w:rPr>
          <w:rStyle w:val="29pt1"/>
          <w:rFonts w:eastAsia="Calibri"/>
          <w:vertAlign w:val="superscript"/>
        </w:rPr>
        <w:t>прич</w:t>
      </w:r>
      <w:r w:rsidRPr="00D04699">
        <w:rPr>
          <w:rStyle w:val="29pt1"/>
          <w:rFonts w:eastAsia="Calibri"/>
        </w:rPr>
        <w:t xml:space="preserve"> </w:t>
      </w:r>
      <w:r w:rsidRPr="00D04699">
        <w:rPr>
          <w:rStyle w:val="29pt1"/>
          <w:rFonts w:eastAsia="Calibri"/>
          <w:vertAlign w:val="subscript"/>
        </w:rPr>
        <w:t xml:space="preserve">МСП </w:t>
      </w:r>
      <w:r w:rsidRPr="00D04699">
        <w:rPr>
          <w:rStyle w:val="29pt1"/>
          <w:rFonts w:eastAsia="Calibri"/>
        </w:rPr>
        <w:t xml:space="preserve">/ </w:t>
      </w:r>
      <w:r w:rsidRPr="00D04699">
        <w:rPr>
          <w:rStyle w:val="29pt0"/>
          <w:rFonts w:eastAsia="Calibri"/>
          <w:lang w:val="en-US" w:bidi="en-US"/>
        </w:rPr>
        <w:t>Q</w:t>
      </w:r>
      <w:r w:rsidRPr="00D04699">
        <w:rPr>
          <w:rStyle w:val="29pt0"/>
          <w:rFonts w:eastAsia="Calibri"/>
          <w:lang w:bidi="en-US"/>
        </w:rPr>
        <w:t xml:space="preserve"> </w:t>
      </w:r>
      <w:r w:rsidRPr="00D04699">
        <w:rPr>
          <w:rStyle w:val="29pt0"/>
          <w:rFonts w:eastAsia="Calibri"/>
          <w:vertAlign w:val="subscript"/>
          <w:lang w:val="en-US" w:bidi="en-US"/>
        </w:rPr>
        <w:t>k</w:t>
      </w:r>
      <w:r w:rsidRPr="00D04699">
        <w:rPr>
          <w:rStyle w:val="29pt0"/>
          <w:rFonts w:eastAsia="Calibri"/>
          <w:vertAlign w:val="subscript"/>
        </w:rPr>
        <w:t>-пр</w:t>
      </w:r>
      <w:r w:rsidRPr="00D04699">
        <w:rPr>
          <w:rStyle w:val="29pt1"/>
          <w:rFonts w:eastAsia="Calibri"/>
        </w:rPr>
        <w:t xml:space="preserve"> </w:t>
      </w:r>
      <w:r w:rsidRPr="00D04699">
        <w:rPr>
          <w:rStyle w:val="29pt1"/>
          <w:rFonts w:eastAsia="Calibri"/>
          <w:vertAlign w:val="superscript"/>
        </w:rPr>
        <w:t>предост</w:t>
      </w:r>
      <w:r w:rsidRPr="00D04699">
        <w:rPr>
          <w:rStyle w:val="29pt1"/>
          <w:rFonts w:eastAsia="Calibri"/>
        </w:rPr>
        <w:t xml:space="preserve"> </w:t>
      </w:r>
      <w:r w:rsidRPr="00D04699">
        <w:rPr>
          <w:rStyle w:val="29pt1"/>
          <w:rFonts w:eastAsia="Calibri"/>
          <w:vertAlign w:val="subscript"/>
        </w:rPr>
        <w:t>МСП</w:t>
      </w:r>
      <w:r w:rsidRPr="00D04699">
        <w:rPr>
          <w:rStyle w:val="29pt1"/>
          <w:rFonts w:eastAsia="Calibri"/>
        </w:rPr>
        <w:t xml:space="preserve"> / К </w:t>
      </w:r>
      <w:r w:rsidRPr="00D04699">
        <w:rPr>
          <w:rStyle w:val="29pt1"/>
          <w:rFonts w:eastAsia="Calibri"/>
          <w:vertAlign w:val="subscript"/>
        </w:rPr>
        <w:t>1 пред год</w:t>
      </w:r>
    </w:p>
    <w:p w:rsidR="00CE1891" w:rsidRPr="004C21E9" w:rsidRDefault="00CE1891" w:rsidP="00CE1891">
      <w:pPr>
        <w:pStyle w:val="29"/>
        <w:shd w:val="clear" w:color="auto" w:fill="auto"/>
        <w:spacing w:before="0" w:line="240" w:lineRule="auto"/>
        <w:ind w:firstLine="760"/>
      </w:pPr>
      <w:r>
        <w:t xml:space="preserve">               157,87=5406,0/12,1/2,83</w:t>
      </w:r>
    </w:p>
    <w:p w:rsidR="00CE1891" w:rsidRPr="004C21E9" w:rsidRDefault="00CE1891" w:rsidP="00CE1891">
      <w:pPr>
        <w:pStyle w:val="29"/>
        <w:shd w:val="clear" w:color="auto" w:fill="auto"/>
        <w:spacing w:before="0" w:line="240" w:lineRule="auto"/>
        <w:ind w:firstLine="760"/>
      </w:pPr>
      <w:r w:rsidRPr="004C21E9">
        <w:t>где:</w:t>
      </w:r>
    </w:p>
    <w:p w:rsidR="00CE1891" w:rsidRPr="004C21E9" w:rsidRDefault="00CE1891" w:rsidP="00CE1891">
      <w:pPr>
        <w:pStyle w:val="29"/>
        <w:shd w:val="clear" w:color="auto" w:fill="auto"/>
        <w:spacing w:before="0" w:line="240" w:lineRule="auto"/>
        <w:ind w:firstLine="760"/>
      </w:pPr>
      <w:r w:rsidRPr="00FE19CC">
        <w:rPr>
          <w:rStyle w:val="29pt1"/>
          <w:rFonts w:eastAsia="Calibri"/>
        </w:rPr>
        <w:t>П</w:t>
      </w:r>
      <w:r w:rsidRPr="00FE19CC">
        <w:rPr>
          <w:rStyle w:val="29pt1"/>
          <w:rFonts w:eastAsia="Calibri"/>
          <w:vertAlign w:val="subscript"/>
        </w:rPr>
        <w:t>к</w:t>
      </w:r>
      <w:r w:rsidRPr="00FE19CC">
        <w:rPr>
          <w:rStyle w:val="29pt1"/>
          <w:rFonts w:eastAsia="Calibri"/>
        </w:rPr>
        <w:t>.</w:t>
      </w:r>
      <w:r w:rsidRPr="00FE19CC">
        <w:rPr>
          <w:rStyle w:val="29pt1"/>
          <w:rFonts w:eastAsia="Calibri"/>
          <w:vertAlign w:val="subscript"/>
        </w:rPr>
        <w:t>пр</w:t>
      </w:r>
      <w:r w:rsidRPr="00FE19CC">
        <w:rPr>
          <w:rStyle w:val="29pt1"/>
          <w:rFonts w:eastAsia="Calibri"/>
        </w:rPr>
        <w:t xml:space="preserve"> </w:t>
      </w:r>
      <w:r w:rsidRPr="00FE19CC">
        <w:rPr>
          <w:rStyle w:val="29pt1"/>
          <w:rFonts w:eastAsia="Calibri"/>
          <w:vertAlign w:val="superscript"/>
        </w:rPr>
        <w:t>прич</w:t>
      </w:r>
      <w:r w:rsidRPr="00FE19CC">
        <w:rPr>
          <w:rStyle w:val="29pt1"/>
          <w:rFonts w:eastAsia="Calibri"/>
        </w:rPr>
        <w:t xml:space="preserve"> </w:t>
      </w:r>
      <w:r w:rsidRPr="00FE19CC">
        <w:rPr>
          <w:rStyle w:val="29pt1"/>
          <w:rFonts w:eastAsia="Calibri"/>
          <w:vertAlign w:val="subscript"/>
        </w:rPr>
        <w:t>мсп</w:t>
      </w:r>
      <w:r w:rsidRPr="00E02436">
        <w:rPr>
          <w:rStyle w:val="29pt1"/>
          <w:rFonts w:eastAsia="Calibri"/>
        </w:rPr>
        <w:t xml:space="preserve"> -</w:t>
      </w:r>
      <w:r w:rsidRPr="004C21E9">
        <w:t xml:space="preserve"> причитающийся в бюджет объем платежей за заготовку древесины по договорам купли-продажи лесных насаждений, заключаемым с субъектами малого и среднего предпринимательства, в предыдущем отчетном году (тыс. руб.);</w:t>
      </w:r>
    </w:p>
    <w:p w:rsidR="00CE1891" w:rsidRPr="004C21E9" w:rsidRDefault="00CE1891" w:rsidP="00CE1891">
      <w:pPr>
        <w:pStyle w:val="29"/>
        <w:shd w:val="clear" w:color="auto" w:fill="auto"/>
        <w:spacing w:before="0" w:line="240" w:lineRule="auto"/>
        <w:ind w:firstLine="760"/>
      </w:pPr>
      <w:r w:rsidRPr="00E02436">
        <w:rPr>
          <w:rStyle w:val="29pt0"/>
          <w:rFonts w:eastAsia="Calibri"/>
          <w:lang w:val="en-US" w:bidi="en-US"/>
        </w:rPr>
        <w:t>Q</w:t>
      </w:r>
      <w:r w:rsidRPr="00E02436">
        <w:rPr>
          <w:rStyle w:val="29pt0"/>
          <w:rFonts w:eastAsia="Calibri"/>
          <w:lang w:bidi="en-US"/>
        </w:rPr>
        <w:t xml:space="preserve"> </w:t>
      </w:r>
      <w:r w:rsidRPr="00E02436">
        <w:rPr>
          <w:rStyle w:val="29pt0"/>
          <w:rFonts w:eastAsia="Calibri"/>
          <w:vertAlign w:val="subscript"/>
          <w:lang w:val="en-US" w:bidi="en-US"/>
        </w:rPr>
        <w:t>k</w:t>
      </w:r>
      <w:r w:rsidRPr="00E02436">
        <w:rPr>
          <w:rStyle w:val="29pt0"/>
          <w:rFonts w:eastAsia="Calibri"/>
          <w:vertAlign w:val="subscript"/>
        </w:rPr>
        <w:t>-пр</w:t>
      </w:r>
      <w:r w:rsidRPr="00E02436">
        <w:rPr>
          <w:rStyle w:val="29pt1"/>
          <w:rFonts w:eastAsia="Calibri"/>
        </w:rPr>
        <w:t xml:space="preserve"> </w:t>
      </w:r>
      <w:r w:rsidRPr="00E02436">
        <w:rPr>
          <w:rStyle w:val="29pt1"/>
          <w:rFonts w:eastAsia="Calibri"/>
          <w:vertAlign w:val="superscript"/>
        </w:rPr>
        <w:t>предост</w:t>
      </w:r>
      <w:r w:rsidRPr="00E02436">
        <w:rPr>
          <w:rStyle w:val="29pt1"/>
          <w:rFonts w:eastAsia="Calibri"/>
        </w:rPr>
        <w:t xml:space="preserve"> </w:t>
      </w:r>
      <w:r w:rsidRPr="00E02436">
        <w:rPr>
          <w:rStyle w:val="29pt1"/>
          <w:rFonts w:eastAsia="Calibri"/>
          <w:vertAlign w:val="subscript"/>
        </w:rPr>
        <w:t>МСП</w:t>
      </w:r>
      <w:r w:rsidRPr="004C21E9">
        <w:t xml:space="preserve"> - объем древесины, предоставленный для заготовки по договорам купли-продажи лесных насаждений, заключаемым с субъектами малого и среднего предпринимательства, в предыдущем отчетном году (куб.м);</w:t>
      </w:r>
    </w:p>
    <w:p w:rsidR="00CE1891" w:rsidRPr="004C21E9" w:rsidRDefault="00CE1891" w:rsidP="00CE1891">
      <w:pPr>
        <w:pStyle w:val="29"/>
        <w:shd w:val="clear" w:color="auto" w:fill="auto"/>
        <w:spacing w:before="0" w:line="240" w:lineRule="auto"/>
        <w:ind w:firstLine="760"/>
      </w:pPr>
      <w:r w:rsidRPr="00FE19CC">
        <w:rPr>
          <w:rStyle w:val="29pt1"/>
          <w:rFonts w:eastAsia="Calibri"/>
        </w:rPr>
        <w:lastRenderedPageBreak/>
        <w:t>К</w:t>
      </w:r>
      <w:r w:rsidRPr="00FE19CC">
        <w:rPr>
          <w:rStyle w:val="29pt1"/>
          <w:rFonts w:eastAsia="Calibri"/>
          <w:vertAlign w:val="subscript"/>
        </w:rPr>
        <w:t>1</w:t>
      </w:r>
      <w:r w:rsidRPr="00FE19CC">
        <w:rPr>
          <w:rStyle w:val="29pt1"/>
          <w:rFonts w:eastAsia="Calibri"/>
        </w:rPr>
        <w:t xml:space="preserve"> </w:t>
      </w:r>
      <w:r w:rsidRPr="00FE19CC">
        <w:rPr>
          <w:rStyle w:val="29pt1"/>
          <w:rFonts w:eastAsia="Calibri"/>
          <w:vertAlign w:val="subscript"/>
        </w:rPr>
        <w:t>пред год</w:t>
      </w:r>
      <w:r w:rsidRPr="004C21E9">
        <w:t xml:space="preserve"> - коэффициент к ставкам платы за единицу объема лесных ресурсов (древесины), установленный Правительством Российской Федерации в предыдущем финансовом году (на 2019-2020 годы, 2021-2023 годы коэффициент к ставкам платы за единицу объема лесных ресурсов (древесины).</w:t>
      </w:r>
    </w:p>
    <w:p w:rsidR="00CE1891" w:rsidRDefault="00CE1891" w:rsidP="00CE1891">
      <w:pPr>
        <w:pStyle w:val="29"/>
        <w:shd w:val="clear" w:color="auto" w:fill="auto"/>
        <w:spacing w:before="0" w:line="240" w:lineRule="auto"/>
        <w:ind w:firstLine="760"/>
      </w:pPr>
    </w:p>
    <w:p w:rsidR="00CE1891" w:rsidRDefault="00CE1891" w:rsidP="00CE1891">
      <w:pPr>
        <w:tabs>
          <w:tab w:val="left" w:pos="3195"/>
        </w:tabs>
        <w:autoSpaceDE w:val="0"/>
        <w:autoSpaceDN w:val="0"/>
        <w:adjustRightInd w:val="0"/>
        <w:ind w:firstLine="709"/>
        <w:jc w:val="both"/>
        <w:rPr>
          <w:rFonts w:eastAsia="Calibri"/>
          <w:b/>
          <w:sz w:val="28"/>
          <w:szCs w:val="28"/>
          <w:lang w:eastAsia="en-US"/>
        </w:rPr>
      </w:pPr>
      <w:r>
        <w:rPr>
          <w:rFonts w:eastAsia="Calibri"/>
          <w:b/>
          <w:sz w:val="28"/>
          <w:szCs w:val="28"/>
          <w:lang w:eastAsia="en-US"/>
        </w:rPr>
        <w:t>Расчет прогноза доходов</w:t>
      </w:r>
      <w:r w:rsidRPr="00C60EEA">
        <w:rPr>
          <w:rFonts w:eastAsia="Calibri"/>
          <w:b/>
          <w:sz w:val="28"/>
          <w:szCs w:val="28"/>
          <w:lang w:eastAsia="en-US"/>
        </w:rPr>
        <w:t xml:space="preserve"> на 2024 год:</w:t>
      </w:r>
    </w:p>
    <w:p w:rsidR="00CE1891" w:rsidRPr="00E02436" w:rsidRDefault="00CE1891" w:rsidP="00CE1891">
      <w:pPr>
        <w:pStyle w:val="29"/>
        <w:shd w:val="clear" w:color="auto" w:fill="auto"/>
        <w:spacing w:before="0" w:line="240" w:lineRule="auto"/>
        <w:ind w:firstLine="708"/>
        <w:rPr>
          <w:rStyle w:val="714pt"/>
          <w:rFonts w:eastAsia="Calibri"/>
          <w:i w:val="0"/>
        </w:rPr>
      </w:pPr>
      <w:r w:rsidRPr="004C21E9">
        <w:t>Прогноз доходов по плате за использование лесов, расположенных на землях лесного фонда, в части минимального размера платы по договору купли-продажи лесных (</w:t>
      </w:r>
      <w:r w:rsidRPr="00E02436">
        <w:rPr>
          <w:rStyle w:val="714pt"/>
          <w:rFonts w:eastAsia="Calibri"/>
        </w:rPr>
        <w:t xml:space="preserve">П </w:t>
      </w:r>
      <w:r w:rsidRPr="00E02436">
        <w:rPr>
          <w:rStyle w:val="714pt"/>
          <w:rFonts w:eastAsia="Calibri"/>
          <w:sz w:val="24"/>
          <w:vertAlign w:val="subscript"/>
        </w:rPr>
        <w:t>к-пр</w:t>
      </w:r>
      <w:r w:rsidRPr="00E02436">
        <w:rPr>
          <w:rStyle w:val="714pt"/>
          <w:rFonts w:eastAsia="Calibri"/>
          <w:sz w:val="24"/>
        </w:rPr>
        <w:t xml:space="preserve">) </w:t>
      </w:r>
      <w:r w:rsidRPr="00E02436">
        <w:rPr>
          <w:rStyle w:val="714pt"/>
          <w:rFonts w:eastAsia="Calibri"/>
        </w:rPr>
        <w:t>определяется по формуле:</w:t>
      </w:r>
    </w:p>
    <w:p w:rsidR="00CE1891" w:rsidRPr="004C21E9" w:rsidRDefault="00CE1891" w:rsidP="00CE1891">
      <w:pPr>
        <w:pStyle w:val="29"/>
        <w:shd w:val="clear" w:color="auto" w:fill="auto"/>
        <w:spacing w:before="0" w:line="240" w:lineRule="auto"/>
        <w:ind w:firstLine="708"/>
      </w:pPr>
    </w:p>
    <w:p w:rsidR="00CE1891" w:rsidRPr="004C21E9" w:rsidRDefault="00CE1891" w:rsidP="00CE1891">
      <w:pPr>
        <w:pStyle w:val="73"/>
        <w:shd w:val="clear" w:color="auto" w:fill="auto"/>
        <w:spacing w:before="0" w:after="0" w:line="240" w:lineRule="auto"/>
        <w:ind w:right="-65" w:firstLine="708"/>
        <w:jc w:val="left"/>
        <w:rPr>
          <w:rStyle w:val="714pt"/>
          <w:rFonts w:eastAsia="Constantia"/>
        </w:rPr>
      </w:pPr>
      <w:r w:rsidRPr="004C21E9">
        <w:rPr>
          <w:rStyle w:val="714pt"/>
          <w:rFonts w:eastAsia="Constantia"/>
        </w:rPr>
        <w:t xml:space="preserve">П </w:t>
      </w:r>
      <w:r w:rsidRPr="004C21E9">
        <w:rPr>
          <w:rStyle w:val="714pt"/>
          <w:rFonts w:eastAsia="Constantia"/>
          <w:sz w:val="24"/>
          <w:vertAlign w:val="subscript"/>
        </w:rPr>
        <w:t>к-пр</w:t>
      </w:r>
      <w:r w:rsidRPr="004C21E9">
        <w:rPr>
          <w:rStyle w:val="714pt"/>
          <w:rFonts w:eastAsia="Constantia"/>
          <w:sz w:val="24"/>
        </w:rPr>
        <w:t xml:space="preserve"> =</w:t>
      </w:r>
      <w:r w:rsidRPr="004C21E9">
        <w:rPr>
          <w:rStyle w:val="714pt"/>
          <w:rFonts w:eastAsia="Constantia"/>
          <w:vertAlign w:val="superscript"/>
        </w:rPr>
        <w:t xml:space="preserve"> </w:t>
      </w:r>
      <w:r w:rsidRPr="004C21E9">
        <w:rPr>
          <w:rStyle w:val="714pt"/>
          <w:rFonts w:eastAsia="Constantia"/>
        </w:rPr>
        <w:t xml:space="preserve">(С </w:t>
      </w:r>
      <w:r w:rsidRPr="004C21E9">
        <w:rPr>
          <w:rStyle w:val="714pt"/>
          <w:rFonts w:eastAsia="Constantia"/>
          <w:vertAlign w:val="subscript"/>
          <w:lang w:val="en-US"/>
        </w:rPr>
        <w:t>Q</w:t>
      </w:r>
      <w:r w:rsidRPr="004C21E9">
        <w:rPr>
          <w:rStyle w:val="714pt"/>
          <w:rFonts w:eastAsia="Constantia"/>
        </w:rPr>
        <w:t xml:space="preserve"> </w:t>
      </w:r>
      <w:r w:rsidRPr="004C21E9">
        <w:rPr>
          <w:rStyle w:val="714pt"/>
          <w:rFonts w:eastAsia="Constantia"/>
          <w:vertAlign w:val="superscript"/>
        </w:rPr>
        <w:t xml:space="preserve">к-пр </w:t>
      </w:r>
      <w:r w:rsidRPr="004C21E9">
        <w:rPr>
          <w:rStyle w:val="714pt"/>
          <w:rFonts w:eastAsia="Constantia"/>
          <w:vertAlign w:val="subscript"/>
        </w:rPr>
        <w:t>МСП</w:t>
      </w:r>
      <w:r w:rsidRPr="004C21E9">
        <w:rPr>
          <w:rStyle w:val="714pt"/>
          <w:rFonts w:eastAsia="Constantia"/>
        </w:rPr>
        <w:t xml:space="preserve"> * К</w:t>
      </w:r>
      <w:r w:rsidRPr="004C21E9">
        <w:rPr>
          <w:rStyle w:val="714pt"/>
          <w:rFonts w:eastAsia="Constantia"/>
          <w:vertAlign w:val="subscript"/>
        </w:rPr>
        <w:t>1</w:t>
      </w:r>
      <w:r w:rsidRPr="004C21E9">
        <w:rPr>
          <w:rStyle w:val="714pt"/>
          <w:rFonts w:eastAsia="Constantia"/>
        </w:rPr>
        <w:t>)*</w:t>
      </w:r>
      <w:r w:rsidRPr="004C21E9">
        <w:rPr>
          <w:rStyle w:val="714pt"/>
          <w:rFonts w:eastAsia="Constantia"/>
          <w:lang w:val="en-US"/>
        </w:rPr>
        <w:t>Q</w:t>
      </w:r>
      <w:r w:rsidRPr="004C21E9">
        <w:rPr>
          <w:rStyle w:val="714pt"/>
          <w:rFonts w:eastAsia="Constantia"/>
          <w:vertAlign w:val="superscript"/>
        </w:rPr>
        <w:t>ср</w:t>
      </w:r>
      <w:r w:rsidRPr="004C21E9">
        <w:rPr>
          <w:rStyle w:val="714pt"/>
          <w:rFonts w:eastAsia="Constantia"/>
        </w:rPr>
        <w:t xml:space="preserve"> </w:t>
      </w:r>
      <w:r w:rsidRPr="004C21E9">
        <w:rPr>
          <w:rStyle w:val="714pt"/>
          <w:rFonts w:eastAsia="Constantia"/>
          <w:vertAlign w:val="subscript"/>
        </w:rPr>
        <w:t>к-пр МСП</w:t>
      </w:r>
      <w:r w:rsidRPr="004C21E9">
        <w:rPr>
          <w:rStyle w:val="714pt"/>
          <w:rFonts w:eastAsia="Constantia"/>
        </w:rPr>
        <w:t xml:space="preserve"> * Т </w:t>
      </w:r>
      <w:r w:rsidRPr="004C21E9">
        <w:rPr>
          <w:rStyle w:val="714pt"/>
          <w:rFonts w:eastAsia="Constantia"/>
          <w:vertAlign w:val="superscript"/>
        </w:rPr>
        <w:t>ср</w:t>
      </w:r>
      <w:r w:rsidRPr="004C21E9">
        <w:rPr>
          <w:rStyle w:val="714pt"/>
          <w:rFonts w:eastAsia="Constantia"/>
        </w:rPr>
        <w:t xml:space="preserve"> </w:t>
      </w:r>
      <w:r w:rsidRPr="004C21E9">
        <w:rPr>
          <w:rStyle w:val="714pt"/>
          <w:rFonts w:eastAsia="Constantia"/>
          <w:vertAlign w:val="subscript"/>
        </w:rPr>
        <w:t>к-пр МСП</w:t>
      </w:r>
      <w:r w:rsidRPr="004C21E9">
        <w:rPr>
          <w:rStyle w:val="714pt"/>
          <w:rFonts w:eastAsia="Constantia"/>
        </w:rPr>
        <w:t xml:space="preserve"> </w:t>
      </w:r>
    </w:p>
    <w:p w:rsidR="00CE1891" w:rsidRPr="004C21E9" w:rsidRDefault="00CE1891" w:rsidP="00CE1891">
      <w:pPr>
        <w:pStyle w:val="73"/>
        <w:shd w:val="clear" w:color="auto" w:fill="auto"/>
        <w:spacing w:before="0" w:after="0" w:line="240" w:lineRule="auto"/>
        <w:ind w:left="760" w:right="-2"/>
        <w:jc w:val="left"/>
        <w:rPr>
          <w:rStyle w:val="714pt"/>
          <w:rFonts w:eastAsia="Constantia"/>
        </w:rPr>
      </w:pPr>
      <w:r>
        <w:rPr>
          <w:rStyle w:val="714pt"/>
          <w:rFonts w:eastAsia="Constantia"/>
        </w:rPr>
        <w:t xml:space="preserve">                   4 318,48=(104,19*2,94)*10,6*1,33</w:t>
      </w:r>
    </w:p>
    <w:p w:rsidR="00CE1891" w:rsidRPr="004C21E9" w:rsidRDefault="00CE1891" w:rsidP="00CE1891">
      <w:pPr>
        <w:pStyle w:val="73"/>
        <w:shd w:val="clear" w:color="auto" w:fill="auto"/>
        <w:spacing w:before="0" w:after="0" w:line="240" w:lineRule="auto"/>
        <w:ind w:left="760" w:right="7220"/>
        <w:jc w:val="left"/>
        <w:rPr>
          <w:i w:val="0"/>
        </w:rPr>
      </w:pPr>
      <w:r w:rsidRPr="004C21E9">
        <w:rPr>
          <w:rStyle w:val="714pt"/>
          <w:rFonts w:eastAsia="Constantia"/>
        </w:rPr>
        <w:t>где:</w:t>
      </w:r>
    </w:p>
    <w:p w:rsidR="00CE1891" w:rsidRPr="004C21E9" w:rsidRDefault="00CE1891" w:rsidP="00CE1891">
      <w:pPr>
        <w:pStyle w:val="29"/>
        <w:shd w:val="clear" w:color="auto" w:fill="auto"/>
        <w:spacing w:before="0" w:line="240" w:lineRule="auto"/>
        <w:ind w:firstLine="760"/>
      </w:pPr>
      <w:r w:rsidRPr="00E02436">
        <w:rPr>
          <w:rStyle w:val="714pt"/>
          <w:rFonts w:eastAsia="Calibri"/>
        </w:rPr>
        <w:t xml:space="preserve">К </w:t>
      </w:r>
      <w:r w:rsidRPr="00E02436">
        <w:rPr>
          <w:rStyle w:val="714pt"/>
          <w:rFonts w:eastAsia="Calibri"/>
          <w:vertAlign w:val="subscript"/>
        </w:rPr>
        <w:t xml:space="preserve">1 </w:t>
      </w:r>
      <w:r w:rsidRPr="004C21E9">
        <w:t>- коэффициент к ставкам платы за единицу объема лесных ресурсов (древесины), установленный Правительством Российской Федерации (на 2019-2020 годы, 2021-2023 годы коэффициент к ставкам платы за единицу объема лесных ресурсов (древесины)</w:t>
      </w:r>
    </w:p>
    <w:p w:rsidR="00CE1891" w:rsidRPr="004C21E9" w:rsidRDefault="00CE1891" w:rsidP="00CE1891">
      <w:pPr>
        <w:pStyle w:val="29"/>
        <w:shd w:val="clear" w:color="auto" w:fill="auto"/>
        <w:spacing w:before="0" w:line="240" w:lineRule="auto"/>
        <w:ind w:firstLine="580"/>
      </w:pPr>
      <w:r w:rsidRPr="004C21E9">
        <w:t>где:</w:t>
      </w:r>
    </w:p>
    <w:p w:rsidR="00CE1891" w:rsidRPr="004C21E9" w:rsidRDefault="00CE1891" w:rsidP="00CE1891">
      <w:pPr>
        <w:pStyle w:val="29"/>
        <w:shd w:val="clear" w:color="auto" w:fill="auto"/>
        <w:spacing w:before="0" w:line="240" w:lineRule="auto"/>
        <w:ind w:firstLine="567"/>
      </w:pPr>
      <w:r w:rsidRPr="00E02436">
        <w:rPr>
          <w:rStyle w:val="714pt"/>
          <w:rFonts w:eastAsia="Calibri"/>
        </w:rPr>
        <w:t xml:space="preserve">С </w:t>
      </w:r>
      <w:r w:rsidRPr="00E02436">
        <w:rPr>
          <w:rStyle w:val="714pt"/>
          <w:rFonts w:eastAsia="Calibri"/>
          <w:vertAlign w:val="subscript"/>
          <w:lang w:val="en-US"/>
        </w:rPr>
        <w:t>Q</w:t>
      </w:r>
      <w:r w:rsidRPr="00E02436">
        <w:rPr>
          <w:rStyle w:val="714pt"/>
          <w:rFonts w:eastAsia="Calibri"/>
        </w:rPr>
        <w:t xml:space="preserve"> </w:t>
      </w:r>
      <w:r w:rsidRPr="00E02436">
        <w:rPr>
          <w:rStyle w:val="714pt"/>
          <w:rFonts w:eastAsia="Calibri"/>
          <w:vertAlign w:val="superscript"/>
        </w:rPr>
        <w:t xml:space="preserve">к-пр </w:t>
      </w:r>
      <w:r w:rsidRPr="00E02436">
        <w:rPr>
          <w:rStyle w:val="714pt"/>
          <w:rFonts w:eastAsia="Calibri"/>
          <w:vertAlign w:val="subscript"/>
        </w:rPr>
        <w:t>МСП</w:t>
      </w:r>
      <w:r w:rsidRPr="00E02436">
        <w:rPr>
          <w:rStyle w:val="714pt"/>
          <w:rFonts w:eastAsia="Calibri"/>
        </w:rPr>
        <w:t xml:space="preserve"> - </w:t>
      </w:r>
      <w:r w:rsidRPr="004C21E9">
        <w:t>средняя ставка платы за единицу объема древесины по договорам купли-продажи лесных насаждений, заключаемым с субъектами малого и среднего предпринимательства, сложившаяся по итогам предыдущего финансового года и приведенная к уровню 2007 года (руб.);</w:t>
      </w:r>
    </w:p>
    <w:p w:rsidR="00CE1891" w:rsidRDefault="00CE1891" w:rsidP="00CE1891">
      <w:pPr>
        <w:pStyle w:val="29"/>
        <w:shd w:val="clear" w:color="auto" w:fill="auto"/>
        <w:spacing w:before="0" w:line="240" w:lineRule="auto"/>
        <w:ind w:firstLine="760"/>
      </w:pPr>
      <w:r w:rsidRPr="00E02436">
        <w:rPr>
          <w:rStyle w:val="714pt"/>
          <w:rFonts w:eastAsia="Calibri"/>
          <w:lang w:val="en-US"/>
        </w:rPr>
        <w:t>Q</w:t>
      </w:r>
      <w:r w:rsidRPr="00E02436">
        <w:rPr>
          <w:rStyle w:val="714pt"/>
          <w:rFonts w:eastAsia="Calibri"/>
          <w:vertAlign w:val="superscript"/>
        </w:rPr>
        <w:t>ср</w:t>
      </w:r>
      <w:r w:rsidRPr="00E02436">
        <w:rPr>
          <w:rStyle w:val="714pt"/>
          <w:rFonts w:eastAsia="Calibri"/>
        </w:rPr>
        <w:t xml:space="preserve"> </w:t>
      </w:r>
      <w:r w:rsidRPr="00E02436">
        <w:rPr>
          <w:rStyle w:val="714pt"/>
          <w:rFonts w:eastAsia="Calibri"/>
          <w:vertAlign w:val="subscript"/>
        </w:rPr>
        <w:t>к-пр МСП</w:t>
      </w:r>
      <w:r w:rsidRPr="00E02436">
        <w:rPr>
          <w:rStyle w:val="714pt"/>
          <w:rFonts w:eastAsia="Calibri"/>
        </w:rPr>
        <w:t xml:space="preserve"> - </w:t>
      </w:r>
      <w:r w:rsidRPr="004C21E9">
        <w:t>средний объем древесины, подлежащий заготовке по договорам купли-продажи лесных насаждений, заключаемым с субъектами малого и среднего предпринимательства (</w:t>
      </w:r>
      <w:r>
        <w:t xml:space="preserve">тыс. </w:t>
      </w:r>
      <w:r w:rsidRPr="004C21E9">
        <w:t>куб.м):</w:t>
      </w:r>
    </w:p>
    <w:p w:rsidR="00CE1891" w:rsidRPr="004C21E9" w:rsidRDefault="00CE1891" w:rsidP="00CE1891">
      <w:pPr>
        <w:pStyle w:val="29"/>
        <w:shd w:val="clear" w:color="auto" w:fill="auto"/>
        <w:spacing w:before="0" w:line="240" w:lineRule="auto"/>
        <w:ind w:firstLine="760"/>
      </w:pPr>
    </w:p>
    <w:p w:rsidR="00CE1891" w:rsidRPr="00E02436" w:rsidRDefault="00CE1891" w:rsidP="00CE1891">
      <w:pPr>
        <w:pStyle w:val="29"/>
        <w:shd w:val="clear" w:color="auto" w:fill="auto"/>
        <w:spacing w:before="0" w:line="240" w:lineRule="auto"/>
        <w:ind w:firstLine="760"/>
        <w:rPr>
          <w:rStyle w:val="714pt"/>
          <w:rFonts w:eastAsia="Calibri"/>
          <w:i w:val="0"/>
        </w:rPr>
      </w:pPr>
      <w:r w:rsidRPr="00E02436">
        <w:rPr>
          <w:rStyle w:val="714pt"/>
          <w:rFonts w:eastAsia="Calibri"/>
          <w:lang w:val="en-US"/>
        </w:rPr>
        <w:t>Q</w:t>
      </w:r>
      <w:r w:rsidRPr="00E02436">
        <w:rPr>
          <w:rStyle w:val="714pt"/>
          <w:rFonts w:eastAsia="Calibri"/>
          <w:vertAlign w:val="superscript"/>
        </w:rPr>
        <w:t>ср</w:t>
      </w:r>
      <w:r w:rsidRPr="00E02436">
        <w:rPr>
          <w:rStyle w:val="714pt"/>
          <w:rFonts w:eastAsia="Calibri"/>
        </w:rPr>
        <w:t xml:space="preserve"> </w:t>
      </w:r>
      <w:r w:rsidRPr="00E02436">
        <w:rPr>
          <w:rStyle w:val="714pt"/>
          <w:rFonts w:eastAsia="Calibri"/>
          <w:vertAlign w:val="subscript"/>
        </w:rPr>
        <w:t xml:space="preserve">к-пр МСП </w:t>
      </w:r>
      <w:r w:rsidRPr="00E02436">
        <w:rPr>
          <w:rStyle w:val="714pt"/>
          <w:rFonts w:eastAsia="Calibri"/>
        </w:rPr>
        <w:t xml:space="preserve">= ∑ </w:t>
      </w:r>
      <w:r w:rsidRPr="00E02436">
        <w:rPr>
          <w:rStyle w:val="714pt"/>
          <w:rFonts w:eastAsia="Calibri"/>
          <w:vertAlign w:val="superscript"/>
        </w:rPr>
        <w:t>3</w:t>
      </w:r>
      <w:r w:rsidRPr="00E02436">
        <w:rPr>
          <w:rStyle w:val="714pt"/>
          <w:rFonts w:eastAsia="Calibri"/>
        </w:rPr>
        <w:t xml:space="preserve"> </w:t>
      </w:r>
      <w:r w:rsidRPr="00E02436">
        <w:rPr>
          <w:rStyle w:val="714pt"/>
          <w:rFonts w:eastAsia="Calibri"/>
          <w:vertAlign w:val="subscript"/>
          <w:lang w:val="en-US"/>
        </w:rPr>
        <w:t>t</w:t>
      </w:r>
      <w:r w:rsidRPr="00E02436">
        <w:rPr>
          <w:rStyle w:val="714pt"/>
          <w:rFonts w:eastAsia="Calibri"/>
          <w:vertAlign w:val="subscript"/>
        </w:rPr>
        <w:t xml:space="preserve">=1 </w:t>
      </w:r>
      <w:r w:rsidRPr="00E02436">
        <w:rPr>
          <w:rStyle w:val="714pt"/>
          <w:rFonts w:eastAsia="Calibri"/>
          <w:lang w:val="en-US"/>
        </w:rPr>
        <w:t>Q</w:t>
      </w:r>
      <w:r w:rsidRPr="00E02436">
        <w:rPr>
          <w:rStyle w:val="714pt"/>
          <w:rFonts w:eastAsia="Calibri"/>
        </w:rPr>
        <w:t xml:space="preserve"> </w:t>
      </w:r>
      <w:r w:rsidRPr="00E02436">
        <w:rPr>
          <w:rStyle w:val="714pt"/>
          <w:rFonts w:eastAsia="Calibri"/>
          <w:vertAlign w:val="subscript"/>
        </w:rPr>
        <w:t xml:space="preserve">к-пр МСП </w:t>
      </w:r>
      <w:r w:rsidRPr="00E02436">
        <w:rPr>
          <w:rStyle w:val="714pt"/>
          <w:rFonts w:eastAsia="Calibri"/>
        </w:rPr>
        <w:t>/ 3</w:t>
      </w:r>
    </w:p>
    <w:p w:rsidR="00CE1891" w:rsidRDefault="00CE1891" w:rsidP="00CE1891">
      <w:pPr>
        <w:pStyle w:val="29"/>
        <w:shd w:val="clear" w:color="auto" w:fill="auto"/>
        <w:spacing w:before="0" w:line="240" w:lineRule="auto"/>
        <w:ind w:firstLine="760"/>
      </w:pPr>
      <w:r>
        <w:t xml:space="preserve">10,6=(11,8+12,1+7,9)/3 </w:t>
      </w:r>
    </w:p>
    <w:p w:rsidR="00CE1891" w:rsidRPr="004C21E9" w:rsidRDefault="00CE1891" w:rsidP="00CE1891">
      <w:pPr>
        <w:pStyle w:val="29"/>
        <w:shd w:val="clear" w:color="auto" w:fill="auto"/>
        <w:spacing w:before="0" w:line="240" w:lineRule="auto"/>
        <w:ind w:firstLine="760"/>
      </w:pPr>
      <w:r w:rsidRPr="004C21E9">
        <w:t>где:</w:t>
      </w:r>
    </w:p>
    <w:p w:rsidR="00CE1891" w:rsidRPr="004C21E9" w:rsidRDefault="00CE1891" w:rsidP="00CE1891">
      <w:pPr>
        <w:pStyle w:val="29"/>
        <w:shd w:val="clear" w:color="auto" w:fill="auto"/>
        <w:spacing w:before="0" w:line="240" w:lineRule="auto"/>
        <w:ind w:firstLine="760"/>
      </w:pPr>
      <w:r w:rsidRPr="00E02436">
        <w:rPr>
          <w:rStyle w:val="714pt"/>
          <w:rFonts w:eastAsia="Calibri"/>
        </w:rPr>
        <w:t xml:space="preserve">∑ </w:t>
      </w:r>
      <w:r w:rsidRPr="00E02436">
        <w:rPr>
          <w:rStyle w:val="714pt"/>
          <w:rFonts w:eastAsia="Calibri"/>
          <w:vertAlign w:val="superscript"/>
        </w:rPr>
        <w:t>3</w:t>
      </w:r>
      <w:r w:rsidRPr="00E02436">
        <w:rPr>
          <w:rStyle w:val="714pt"/>
          <w:rFonts w:eastAsia="Calibri"/>
        </w:rPr>
        <w:t xml:space="preserve"> </w:t>
      </w:r>
      <w:r w:rsidRPr="00E02436">
        <w:rPr>
          <w:rStyle w:val="714pt"/>
          <w:rFonts w:eastAsia="Calibri"/>
          <w:vertAlign w:val="subscript"/>
          <w:lang w:val="en-US"/>
        </w:rPr>
        <w:t>t</w:t>
      </w:r>
      <w:r w:rsidRPr="00E02436">
        <w:rPr>
          <w:rStyle w:val="714pt"/>
          <w:rFonts w:eastAsia="Calibri"/>
          <w:vertAlign w:val="subscript"/>
        </w:rPr>
        <w:t xml:space="preserve">=1 </w:t>
      </w:r>
      <w:r w:rsidRPr="00E02436">
        <w:rPr>
          <w:rStyle w:val="714pt"/>
          <w:rFonts w:eastAsia="Calibri"/>
          <w:lang w:val="en-US"/>
        </w:rPr>
        <w:t>Q</w:t>
      </w:r>
      <w:r w:rsidRPr="00E02436">
        <w:rPr>
          <w:rStyle w:val="714pt"/>
          <w:rFonts w:eastAsia="Calibri"/>
        </w:rPr>
        <w:t xml:space="preserve"> </w:t>
      </w:r>
      <w:r w:rsidRPr="00E02436">
        <w:rPr>
          <w:rStyle w:val="714pt"/>
          <w:rFonts w:eastAsia="Calibri"/>
          <w:vertAlign w:val="subscript"/>
        </w:rPr>
        <w:t xml:space="preserve">к-пр МСП - </w:t>
      </w:r>
      <w:r w:rsidRPr="004C21E9">
        <w:t>сумма годовых величин объемов древесины, подлежащих заготовке по договорам купли-продажи лесных насаждений, заключаемым с субъектами малого и среднего предпринимательства, за три года, предшествующих прогнозируемому году (куб. м), при формировании прогноза на текущий финансовый год используются фактические данные за три отчетных года, на очередной финансовый год используются фактические данные за два отчетных года и прогнозные значения на текущий финансовый год, при формировании прогноза на первый год планового периода используются фактические данные за один отчетный год и прогнозные значения текущего финансового года и очередного финансового года; прогноз на второй год планового периода формируется с использованием в расчетах прогнозных значений на текущий финансовый год, очередной финансовый год и первый год планового периода);</w:t>
      </w:r>
    </w:p>
    <w:p w:rsidR="00CE1891" w:rsidRPr="004C21E9" w:rsidRDefault="00CE1891" w:rsidP="00CE1891">
      <w:pPr>
        <w:pStyle w:val="29"/>
        <w:shd w:val="clear" w:color="auto" w:fill="auto"/>
        <w:spacing w:before="0" w:line="240" w:lineRule="auto"/>
        <w:ind w:firstLine="820"/>
      </w:pPr>
      <w:r w:rsidRPr="00E02436">
        <w:rPr>
          <w:rStyle w:val="714pt"/>
          <w:rFonts w:eastAsia="Calibri"/>
        </w:rPr>
        <w:t xml:space="preserve">Т </w:t>
      </w:r>
      <w:r w:rsidRPr="00E02436">
        <w:rPr>
          <w:rStyle w:val="714pt"/>
          <w:rFonts w:eastAsia="Calibri"/>
          <w:vertAlign w:val="subscript"/>
        </w:rPr>
        <w:t xml:space="preserve">к-пр МСП </w:t>
      </w:r>
      <w:r w:rsidRPr="00E02436">
        <w:rPr>
          <w:rStyle w:val="714pt"/>
          <w:rFonts w:eastAsia="Calibri"/>
        </w:rPr>
        <w:t xml:space="preserve">- </w:t>
      </w:r>
      <w:r w:rsidRPr="004C21E9">
        <w:t xml:space="preserve">темп роста (снижения) объема древесины, подлежащего заготовке по договорам купли-продажи лесных насаждений, заключаемым с </w:t>
      </w:r>
      <w:r w:rsidRPr="004C21E9">
        <w:lastRenderedPageBreak/>
        <w:t>субъектами малого и среднего предпринимательства (ед.), определяется по формуле:</w:t>
      </w:r>
    </w:p>
    <w:p w:rsidR="00CE1891" w:rsidRPr="00E02436" w:rsidRDefault="00CE1891" w:rsidP="00CE1891">
      <w:pPr>
        <w:pStyle w:val="29"/>
        <w:shd w:val="clear" w:color="auto" w:fill="auto"/>
        <w:spacing w:before="0" w:line="240" w:lineRule="auto"/>
        <w:ind w:firstLine="820"/>
        <w:rPr>
          <w:rStyle w:val="714pt"/>
          <w:rFonts w:eastAsia="Calibri"/>
          <w:i w:val="0"/>
        </w:rPr>
      </w:pPr>
    </w:p>
    <w:p w:rsidR="00CE1891" w:rsidRPr="004C21E9" w:rsidRDefault="00CE1891" w:rsidP="00CE1891">
      <w:pPr>
        <w:pStyle w:val="29"/>
        <w:shd w:val="clear" w:color="auto" w:fill="auto"/>
        <w:spacing w:before="0" w:line="240" w:lineRule="auto"/>
        <w:ind w:firstLine="820"/>
      </w:pPr>
      <w:r w:rsidRPr="00E02436">
        <w:rPr>
          <w:rStyle w:val="714pt"/>
          <w:rFonts w:eastAsia="Calibri"/>
        </w:rPr>
        <w:t xml:space="preserve">Т </w:t>
      </w:r>
      <w:r w:rsidRPr="00E02436">
        <w:rPr>
          <w:rStyle w:val="714pt"/>
          <w:rFonts w:eastAsia="Calibri"/>
          <w:vertAlign w:val="subscript"/>
        </w:rPr>
        <w:t xml:space="preserve">к-пр МСП </w:t>
      </w:r>
      <w:r w:rsidRPr="00E02436">
        <w:rPr>
          <w:rStyle w:val="714pt"/>
          <w:rFonts w:eastAsia="Calibri"/>
        </w:rPr>
        <w:t>=</w:t>
      </w:r>
      <w:r w:rsidRPr="004C21E9">
        <w:t xml:space="preserve"> </w:t>
      </w:r>
      <w:r w:rsidRPr="00E02436">
        <w:rPr>
          <w:rStyle w:val="714pt"/>
          <w:rFonts w:eastAsia="Calibri"/>
          <w:lang w:val="en-US"/>
        </w:rPr>
        <w:t>Q</w:t>
      </w:r>
      <w:r w:rsidRPr="00E02436">
        <w:rPr>
          <w:rStyle w:val="714pt"/>
          <w:rFonts w:eastAsia="Calibri"/>
        </w:rPr>
        <w:t xml:space="preserve"> </w:t>
      </w:r>
      <w:r w:rsidRPr="00E02436">
        <w:rPr>
          <w:rStyle w:val="714pt"/>
          <w:rFonts w:eastAsia="Calibri"/>
          <w:vertAlign w:val="superscript"/>
          <w:lang w:val="en-US"/>
        </w:rPr>
        <w:t>n</w:t>
      </w:r>
      <w:r w:rsidRPr="00E02436">
        <w:rPr>
          <w:rStyle w:val="714pt"/>
          <w:rFonts w:eastAsia="Calibri"/>
        </w:rPr>
        <w:t xml:space="preserve"> </w:t>
      </w:r>
      <w:r w:rsidRPr="00E02436">
        <w:rPr>
          <w:rStyle w:val="714pt"/>
          <w:rFonts w:eastAsia="Calibri"/>
          <w:vertAlign w:val="subscript"/>
        </w:rPr>
        <w:t>к-пр МСП</w:t>
      </w:r>
      <w:r w:rsidRPr="00E02436">
        <w:rPr>
          <w:rStyle w:val="714pt"/>
          <w:rFonts w:eastAsia="Calibri"/>
        </w:rPr>
        <w:t xml:space="preserve">/ </w:t>
      </w:r>
      <w:r w:rsidRPr="00E02436">
        <w:rPr>
          <w:rStyle w:val="714pt"/>
          <w:rFonts w:eastAsia="Calibri"/>
          <w:lang w:val="en-US"/>
        </w:rPr>
        <w:t>Q</w:t>
      </w:r>
      <w:r w:rsidRPr="00E02436">
        <w:rPr>
          <w:rStyle w:val="714pt"/>
          <w:rFonts w:eastAsia="Calibri"/>
        </w:rPr>
        <w:t xml:space="preserve"> </w:t>
      </w:r>
      <w:r w:rsidRPr="00E02436">
        <w:rPr>
          <w:rStyle w:val="714pt"/>
          <w:rFonts w:eastAsia="Calibri"/>
          <w:vertAlign w:val="superscript"/>
          <w:lang w:val="en-US"/>
        </w:rPr>
        <w:t>n</w:t>
      </w:r>
      <w:r w:rsidRPr="00E02436">
        <w:rPr>
          <w:rStyle w:val="714pt"/>
          <w:rFonts w:eastAsia="Calibri"/>
          <w:vertAlign w:val="superscript"/>
        </w:rPr>
        <w:t>-1</w:t>
      </w:r>
      <w:r w:rsidRPr="00E02436">
        <w:rPr>
          <w:rStyle w:val="714pt"/>
          <w:rFonts w:eastAsia="Calibri"/>
        </w:rPr>
        <w:t xml:space="preserve"> </w:t>
      </w:r>
      <w:r w:rsidRPr="00E02436">
        <w:rPr>
          <w:rStyle w:val="714pt"/>
          <w:rFonts w:eastAsia="Calibri"/>
          <w:vertAlign w:val="subscript"/>
        </w:rPr>
        <w:t>к-пр МСП</w:t>
      </w:r>
    </w:p>
    <w:p w:rsidR="00CE1891" w:rsidRPr="004C21E9" w:rsidRDefault="00CE1891" w:rsidP="00CE1891">
      <w:pPr>
        <w:pStyle w:val="29"/>
        <w:shd w:val="clear" w:color="auto" w:fill="auto"/>
        <w:spacing w:before="0" w:line="240" w:lineRule="auto"/>
        <w:ind w:firstLine="820"/>
      </w:pPr>
      <w:r>
        <w:t>1,34=10,6/7,9</w:t>
      </w:r>
    </w:p>
    <w:p w:rsidR="00CE1891" w:rsidRPr="004C21E9" w:rsidRDefault="00CE1891" w:rsidP="00CE1891">
      <w:pPr>
        <w:pStyle w:val="29"/>
        <w:shd w:val="clear" w:color="auto" w:fill="auto"/>
        <w:spacing w:before="0" w:line="240" w:lineRule="auto"/>
        <w:ind w:firstLine="820"/>
      </w:pPr>
      <w:r w:rsidRPr="004C21E9">
        <w:t>где:</w:t>
      </w:r>
    </w:p>
    <w:p w:rsidR="00CE1891" w:rsidRPr="004C21E9" w:rsidRDefault="00CE1891" w:rsidP="00CE1891">
      <w:pPr>
        <w:pStyle w:val="29"/>
        <w:shd w:val="clear" w:color="auto" w:fill="auto"/>
        <w:spacing w:before="0" w:line="240" w:lineRule="auto"/>
        <w:ind w:firstLine="820"/>
      </w:pPr>
      <w:r w:rsidRPr="00E02436">
        <w:rPr>
          <w:rStyle w:val="714pt"/>
          <w:rFonts w:eastAsia="Calibri"/>
          <w:lang w:val="en-US"/>
        </w:rPr>
        <w:t>Q</w:t>
      </w:r>
      <w:r w:rsidRPr="00E02436">
        <w:rPr>
          <w:rStyle w:val="714pt"/>
          <w:rFonts w:eastAsia="Calibri"/>
        </w:rPr>
        <w:t xml:space="preserve"> </w:t>
      </w:r>
      <w:r w:rsidRPr="00E02436">
        <w:rPr>
          <w:rStyle w:val="714pt"/>
          <w:rFonts w:eastAsia="Calibri"/>
          <w:vertAlign w:val="superscript"/>
          <w:lang w:val="en-US"/>
        </w:rPr>
        <w:t>n</w:t>
      </w:r>
      <w:r w:rsidRPr="00E02436">
        <w:rPr>
          <w:rStyle w:val="714pt"/>
          <w:rFonts w:eastAsia="Calibri"/>
        </w:rPr>
        <w:t xml:space="preserve"> </w:t>
      </w:r>
      <w:r w:rsidRPr="00E02436">
        <w:rPr>
          <w:rStyle w:val="714pt"/>
          <w:rFonts w:eastAsia="Calibri"/>
          <w:vertAlign w:val="subscript"/>
        </w:rPr>
        <w:t>к-пр МСП</w:t>
      </w:r>
      <w:r w:rsidRPr="004C21E9">
        <w:t xml:space="preserve"> - объем древесины, подлежащий заготовке по договорам купли- продажи лесных насаждений, заключаемым с субъектами малого и среднего предпринимательства, за год (куб. м),</w:t>
      </w:r>
    </w:p>
    <w:p w:rsidR="00CE1891" w:rsidRPr="004C21E9" w:rsidRDefault="00CE1891" w:rsidP="00CE1891">
      <w:pPr>
        <w:pStyle w:val="29"/>
        <w:shd w:val="clear" w:color="auto" w:fill="auto"/>
        <w:spacing w:before="0" w:line="240" w:lineRule="auto"/>
        <w:ind w:firstLine="820"/>
      </w:pPr>
      <w:r w:rsidRPr="00E02436">
        <w:rPr>
          <w:rStyle w:val="714pt"/>
          <w:rFonts w:eastAsia="Calibri"/>
          <w:lang w:val="en-US"/>
        </w:rPr>
        <w:t>Q</w:t>
      </w:r>
      <w:r w:rsidRPr="00E02436">
        <w:rPr>
          <w:rStyle w:val="714pt"/>
          <w:rFonts w:eastAsia="Calibri"/>
        </w:rPr>
        <w:t xml:space="preserve"> </w:t>
      </w:r>
      <w:r w:rsidRPr="00E02436">
        <w:rPr>
          <w:rStyle w:val="714pt"/>
          <w:rFonts w:eastAsia="Calibri"/>
          <w:vertAlign w:val="superscript"/>
          <w:lang w:val="en-US"/>
        </w:rPr>
        <w:t>n</w:t>
      </w:r>
      <w:r w:rsidRPr="00E02436">
        <w:rPr>
          <w:rStyle w:val="714pt"/>
          <w:rFonts w:eastAsia="Calibri"/>
          <w:vertAlign w:val="superscript"/>
        </w:rPr>
        <w:t>-1</w:t>
      </w:r>
      <w:r w:rsidRPr="00E02436">
        <w:rPr>
          <w:rStyle w:val="714pt"/>
          <w:rFonts w:eastAsia="Calibri"/>
        </w:rPr>
        <w:t xml:space="preserve"> </w:t>
      </w:r>
      <w:r w:rsidRPr="00E02436">
        <w:rPr>
          <w:rStyle w:val="714pt"/>
          <w:rFonts w:eastAsia="Calibri"/>
          <w:vertAlign w:val="subscript"/>
        </w:rPr>
        <w:t>к-пр МСП</w:t>
      </w:r>
      <w:r w:rsidRPr="00E02436">
        <w:rPr>
          <w:rStyle w:val="29pt1"/>
          <w:rFonts w:eastAsia="Calibri"/>
        </w:rPr>
        <w:t xml:space="preserve"> —</w:t>
      </w:r>
      <w:r w:rsidRPr="004C21E9">
        <w:t xml:space="preserve"> объем древесины, подлежащий заготовке по договорам купли- продажи лесных насаждений, заключаемым с субъектами малого и среднего предпринимательства, за предыдущий год (куб. м);</w:t>
      </w:r>
    </w:p>
    <w:p w:rsidR="00CE1891" w:rsidRPr="0031548D" w:rsidRDefault="00CE1891" w:rsidP="00CE1891">
      <w:pPr>
        <w:pStyle w:val="29"/>
        <w:shd w:val="clear" w:color="auto" w:fill="auto"/>
        <w:spacing w:before="0" w:line="240" w:lineRule="auto"/>
        <w:ind w:firstLine="709"/>
        <w:rPr>
          <w:lang w:bidi="ru-RU"/>
        </w:rPr>
      </w:pPr>
    </w:p>
    <w:p w:rsidR="00CE1891" w:rsidRPr="004C21E9" w:rsidRDefault="00CE1891" w:rsidP="00CE1891">
      <w:pPr>
        <w:pStyle w:val="29"/>
        <w:shd w:val="clear" w:color="auto" w:fill="auto"/>
        <w:spacing w:before="0" w:line="240" w:lineRule="auto"/>
        <w:ind w:firstLine="760"/>
      </w:pPr>
      <w:r w:rsidRPr="004C21E9">
        <w:t>Средняя ставка платы за единицу объема древесины по договорам купли-продажи лесных насаждений, заключаемым с субъектами малого и среднего предпринимательства, сложившаяся по итогам предыдущего отчетного года и приведенная к уровню 2007 года (</w:t>
      </w:r>
      <w:r w:rsidRPr="00E02436">
        <w:rPr>
          <w:rStyle w:val="714pt"/>
          <w:rFonts w:eastAsia="Calibri"/>
          <w:lang w:val="en-US"/>
        </w:rPr>
        <w:t>C</w:t>
      </w:r>
      <w:r w:rsidRPr="00E02436">
        <w:rPr>
          <w:rStyle w:val="714pt"/>
          <w:rFonts w:eastAsia="Calibri"/>
        </w:rPr>
        <w:t xml:space="preserve"> </w:t>
      </w:r>
      <w:r w:rsidRPr="00E02436">
        <w:rPr>
          <w:rStyle w:val="714pt"/>
          <w:rFonts w:eastAsia="Calibri"/>
          <w:vertAlign w:val="subscript"/>
          <w:lang w:val="en-US"/>
        </w:rPr>
        <w:t>Q</w:t>
      </w:r>
      <w:r w:rsidRPr="00E02436">
        <w:rPr>
          <w:rStyle w:val="714pt"/>
          <w:rFonts w:eastAsia="Calibri"/>
        </w:rPr>
        <w:t xml:space="preserve"> </w:t>
      </w:r>
      <w:r w:rsidRPr="00E02436">
        <w:rPr>
          <w:rStyle w:val="714pt"/>
          <w:rFonts w:eastAsia="Calibri"/>
          <w:vertAlign w:val="superscript"/>
        </w:rPr>
        <w:t>к-пр</w:t>
      </w:r>
      <w:r w:rsidRPr="00E02436">
        <w:rPr>
          <w:rStyle w:val="714pt"/>
          <w:rFonts w:eastAsia="Calibri"/>
        </w:rPr>
        <w:t xml:space="preserve"> </w:t>
      </w:r>
      <w:r w:rsidRPr="00E02436">
        <w:rPr>
          <w:rStyle w:val="714pt"/>
          <w:rFonts w:eastAsia="Calibri"/>
          <w:vertAlign w:val="subscript"/>
        </w:rPr>
        <w:t>МПС</w:t>
      </w:r>
      <w:r w:rsidRPr="00E02436">
        <w:rPr>
          <w:rStyle w:val="714pt"/>
          <w:rFonts w:eastAsia="Calibri"/>
        </w:rPr>
        <w:t xml:space="preserve">) </w:t>
      </w:r>
      <w:r w:rsidRPr="004C21E9">
        <w:t>рассчитывается по формуле:</w:t>
      </w:r>
    </w:p>
    <w:p w:rsidR="00CE1891" w:rsidRPr="00E02436" w:rsidRDefault="00CE1891" w:rsidP="00CE1891">
      <w:pPr>
        <w:pStyle w:val="29"/>
        <w:shd w:val="clear" w:color="auto" w:fill="auto"/>
        <w:spacing w:before="0" w:line="240" w:lineRule="auto"/>
        <w:ind w:firstLine="760"/>
        <w:rPr>
          <w:rStyle w:val="714pt"/>
          <w:rFonts w:eastAsia="Calibri"/>
          <w:i w:val="0"/>
        </w:rPr>
      </w:pPr>
    </w:p>
    <w:p w:rsidR="00CE1891" w:rsidRPr="00D04699" w:rsidRDefault="00CE1891" w:rsidP="00CE1891">
      <w:pPr>
        <w:pStyle w:val="29"/>
        <w:shd w:val="clear" w:color="auto" w:fill="auto"/>
        <w:spacing w:before="0" w:line="240" w:lineRule="auto"/>
        <w:ind w:firstLine="760"/>
      </w:pPr>
      <w:r w:rsidRPr="00D04699">
        <w:rPr>
          <w:rStyle w:val="714pt"/>
          <w:rFonts w:eastAsia="Calibri"/>
          <w:lang w:val="en-US"/>
        </w:rPr>
        <w:t>C</w:t>
      </w:r>
      <w:r w:rsidRPr="00D04699">
        <w:rPr>
          <w:rStyle w:val="714pt"/>
          <w:rFonts w:eastAsia="Calibri"/>
        </w:rPr>
        <w:t xml:space="preserve"> </w:t>
      </w:r>
      <w:r w:rsidRPr="00D04699">
        <w:rPr>
          <w:rStyle w:val="714pt"/>
          <w:rFonts w:eastAsia="Calibri"/>
          <w:vertAlign w:val="subscript"/>
          <w:lang w:val="en-US"/>
        </w:rPr>
        <w:t>Q</w:t>
      </w:r>
      <w:r w:rsidRPr="00D04699">
        <w:rPr>
          <w:rStyle w:val="714pt"/>
          <w:rFonts w:eastAsia="Calibri"/>
        </w:rPr>
        <w:t xml:space="preserve"> </w:t>
      </w:r>
      <w:r w:rsidRPr="00D04699">
        <w:rPr>
          <w:rStyle w:val="714pt"/>
          <w:rFonts w:eastAsia="Calibri"/>
          <w:vertAlign w:val="superscript"/>
        </w:rPr>
        <w:t>к-пр</w:t>
      </w:r>
      <w:r w:rsidRPr="00D04699">
        <w:rPr>
          <w:rStyle w:val="714pt"/>
          <w:rFonts w:eastAsia="Calibri"/>
        </w:rPr>
        <w:t xml:space="preserve"> </w:t>
      </w:r>
      <w:r w:rsidRPr="00D04699">
        <w:rPr>
          <w:rStyle w:val="714pt"/>
          <w:rFonts w:eastAsia="Calibri"/>
          <w:vertAlign w:val="subscript"/>
        </w:rPr>
        <w:t>МПС</w:t>
      </w:r>
      <w:r w:rsidRPr="00D04699">
        <w:rPr>
          <w:rStyle w:val="714pt"/>
          <w:rFonts w:eastAsia="Calibri"/>
        </w:rPr>
        <w:t xml:space="preserve"> = </w:t>
      </w:r>
      <w:r w:rsidRPr="00D04699">
        <w:rPr>
          <w:rStyle w:val="29pt1"/>
          <w:rFonts w:eastAsia="Calibri"/>
        </w:rPr>
        <w:t>П</w:t>
      </w:r>
      <w:r w:rsidRPr="00D04699">
        <w:rPr>
          <w:rStyle w:val="29pt1"/>
          <w:rFonts w:eastAsia="Calibri"/>
          <w:vertAlign w:val="subscript"/>
        </w:rPr>
        <w:t>к</w:t>
      </w:r>
      <w:r w:rsidRPr="00D04699">
        <w:rPr>
          <w:rStyle w:val="29pt1"/>
          <w:rFonts w:eastAsia="Calibri"/>
        </w:rPr>
        <w:t>.</w:t>
      </w:r>
      <w:r w:rsidRPr="00D04699">
        <w:rPr>
          <w:rStyle w:val="29pt1"/>
          <w:rFonts w:eastAsia="Calibri"/>
          <w:vertAlign w:val="subscript"/>
        </w:rPr>
        <w:t>пр</w:t>
      </w:r>
      <w:r w:rsidRPr="00D04699">
        <w:rPr>
          <w:rStyle w:val="29pt1"/>
          <w:rFonts w:eastAsia="Calibri"/>
        </w:rPr>
        <w:t xml:space="preserve"> </w:t>
      </w:r>
      <w:r w:rsidRPr="00D04699">
        <w:rPr>
          <w:rStyle w:val="29pt1"/>
          <w:rFonts w:eastAsia="Calibri"/>
          <w:vertAlign w:val="superscript"/>
        </w:rPr>
        <w:t>прич</w:t>
      </w:r>
      <w:r w:rsidRPr="00D04699">
        <w:rPr>
          <w:rStyle w:val="29pt1"/>
          <w:rFonts w:eastAsia="Calibri"/>
        </w:rPr>
        <w:t xml:space="preserve"> </w:t>
      </w:r>
      <w:r w:rsidRPr="00D04699">
        <w:rPr>
          <w:rStyle w:val="29pt1"/>
          <w:rFonts w:eastAsia="Calibri"/>
          <w:vertAlign w:val="subscript"/>
        </w:rPr>
        <w:t xml:space="preserve">МСП </w:t>
      </w:r>
      <w:r w:rsidRPr="00D04699">
        <w:rPr>
          <w:rStyle w:val="29pt1"/>
          <w:rFonts w:eastAsia="Calibri"/>
        </w:rPr>
        <w:t xml:space="preserve">/ </w:t>
      </w:r>
      <w:r w:rsidRPr="00D04699">
        <w:rPr>
          <w:rStyle w:val="29pt0"/>
          <w:rFonts w:eastAsia="Calibri"/>
          <w:lang w:val="en-US" w:bidi="en-US"/>
        </w:rPr>
        <w:t>Q</w:t>
      </w:r>
      <w:r w:rsidRPr="00D04699">
        <w:rPr>
          <w:rStyle w:val="29pt0"/>
          <w:rFonts w:eastAsia="Calibri"/>
          <w:lang w:bidi="en-US"/>
        </w:rPr>
        <w:t xml:space="preserve"> </w:t>
      </w:r>
      <w:r w:rsidRPr="00D04699">
        <w:rPr>
          <w:rStyle w:val="29pt0"/>
          <w:rFonts w:eastAsia="Calibri"/>
          <w:vertAlign w:val="subscript"/>
          <w:lang w:val="en-US" w:bidi="en-US"/>
        </w:rPr>
        <w:t>k</w:t>
      </w:r>
      <w:r w:rsidRPr="00D04699">
        <w:rPr>
          <w:rStyle w:val="29pt0"/>
          <w:rFonts w:eastAsia="Calibri"/>
          <w:vertAlign w:val="subscript"/>
        </w:rPr>
        <w:t>-пр</w:t>
      </w:r>
      <w:r w:rsidRPr="00D04699">
        <w:rPr>
          <w:rStyle w:val="29pt1"/>
          <w:rFonts w:eastAsia="Calibri"/>
        </w:rPr>
        <w:t xml:space="preserve"> </w:t>
      </w:r>
      <w:r w:rsidRPr="00D04699">
        <w:rPr>
          <w:rStyle w:val="29pt1"/>
          <w:rFonts w:eastAsia="Calibri"/>
          <w:vertAlign w:val="superscript"/>
        </w:rPr>
        <w:t>предост</w:t>
      </w:r>
      <w:r w:rsidRPr="00D04699">
        <w:rPr>
          <w:rStyle w:val="29pt1"/>
          <w:rFonts w:eastAsia="Calibri"/>
        </w:rPr>
        <w:t xml:space="preserve"> </w:t>
      </w:r>
      <w:r w:rsidRPr="00D04699">
        <w:rPr>
          <w:rStyle w:val="29pt1"/>
          <w:rFonts w:eastAsia="Calibri"/>
          <w:vertAlign w:val="subscript"/>
        </w:rPr>
        <w:t>МСП</w:t>
      </w:r>
      <w:r w:rsidRPr="00D04699">
        <w:rPr>
          <w:rStyle w:val="29pt1"/>
          <w:rFonts w:eastAsia="Calibri"/>
        </w:rPr>
        <w:t xml:space="preserve"> / К </w:t>
      </w:r>
      <w:r w:rsidRPr="00D04699">
        <w:rPr>
          <w:rStyle w:val="29pt1"/>
          <w:rFonts w:eastAsia="Calibri"/>
          <w:vertAlign w:val="subscript"/>
        </w:rPr>
        <w:t>1 пред год</w:t>
      </w:r>
    </w:p>
    <w:p w:rsidR="00CE1891" w:rsidRDefault="00CE1891" w:rsidP="00CE1891">
      <w:pPr>
        <w:pStyle w:val="29"/>
        <w:shd w:val="clear" w:color="auto" w:fill="auto"/>
        <w:spacing w:before="0" w:line="240" w:lineRule="auto"/>
        <w:ind w:firstLine="760"/>
      </w:pPr>
      <w:r>
        <w:t xml:space="preserve">               104,19=2420,0/7,9/2,94</w:t>
      </w:r>
    </w:p>
    <w:p w:rsidR="00CE1891" w:rsidRPr="004C21E9" w:rsidRDefault="00CE1891" w:rsidP="00CE1891">
      <w:pPr>
        <w:pStyle w:val="29"/>
        <w:shd w:val="clear" w:color="auto" w:fill="auto"/>
        <w:spacing w:before="0" w:line="240" w:lineRule="auto"/>
        <w:ind w:firstLine="760"/>
      </w:pPr>
      <w:r w:rsidRPr="004C21E9">
        <w:t>где:</w:t>
      </w:r>
    </w:p>
    <w:p w:rsidR="00CE1891" w:rsidRPr="004C21E9" w:rsidRDefault="00CE1891" w:rsidP="00CE1891">
      <w:pPr>
        <w:pStyle w:val="29"/>
        <w:shd w:val="clear" w:color="auto" w:fill="auto"/>
        <w:spacing w:before="0" w:line="240" w:lineRule="auto"/>
        <w:ind w:firstLine="760"/>
      </w:pPr>
      <w:r w:rsidRPr="00FE19CC">
        <w:rPr>
          <w:rStyle w:val="29pt1"/>
          <w:rFonts w:eastAsia="Calibri"/>
        </w:rPr>
        <w:t>П</w:t>
      </w:r>
      <w:r w:rsidRPr="00FE19CC">
        <w:rPr>
          <w:rStyle w:val="29pt1"/>
          <w:rFonts w:eastAsia="Calibri"/>
          <w:vertAlign w:val="subscript"/>
        </w:rPr>
        <w:t>к</w:t>
      </w:r>
      <w:r w:rsidRPr="00FE19CC">
        <w:rPr>
          <w:rStyle w:val="29pt1"/>
          <w:rFonts w:eastAsia="Calibri"/>
        </w:rPr>
        <w:t>.</w:t>
      </w:r>
      <w:r w:rsidRPr="00FE19CC">
        <w:rPr>
          <w:rStyle w:val="29pt1"/>
          <w:rFonts w:eastAsia="Calibri"/>
          <w:vertAlign w:val="subscript"/>
        </w:rPr>
        <w:t>пр</w:t>
      </w:r>
      <w:r w:rsidRPr="00FE19CC">
        <w:rPr>
          <w:rStyle w:val="29pt1"/>
          <w:rFonts w:eastAsia="Calibri"/>
        </w:rPr>
        <w:t xml:space="preserve"> </w:t>
      </w:r>
      <w:r w:rsidRPr="00FE19CC">
        <w:rPr>
          <w:rStyle w:val="29pt1"/>
          <w:rFonts w:eastAsia="Calibri"/>
          <w:vertAlign w:val="superscript"/>
        </w:rPr>
        <w:t>прич</w:t>
      </w:r>
      <w:r w:rsidRPr="00FE19CC">
        <w:rPr>
          <w:rStyle w:val="29pt1"/>
          <w:rFonts w:eastAsia="Calibri"/>
        </w:rPr>
        <w:t xml:space="preserve"> </w:t>
      </w:r>
      <w:r w:rsidRPr="00FE19CC">
        <w:rPr>
          <w:rStyle w:val="29pt1"/>
          <w:rFonts w:eastAsia="Calibri"/>
          <w:vertAlign w:val="subscript"/>
        </w:rPr>
        <w:t>мсп</w:t>
      </w:r>
      <w:r w:rsidRPr="00E02436">
        <w:rPr>
          <w:rStyle w:val="29pt1"/>
          <w:rFonts w:eastAsia="Calibri"/>
        </w:rPr>
        <w:t xml:space="preserve"> -</w:t>
      </w:r>
      <w:r w:rsidRPr="004C21E9">
        <w:t xml:space="preserve"> причитающийся в бюджет объем платежей за заготовку древесины по договорам купли-продажи лесных насаждений, заключаемым с субъектами малого и среднего предпринимательства, в предыдущем отчетном году (тыс. руб.);</w:t>
      </w:r>
    </w:p>
    <w:p w:rsidR="00CE1891" w:rsidRPr="004C21E9" w:rsidRDefault="00CE1891" w:rsidP="00CE1891">
      <w:pPr>
        <w:pStyle w:val="29"/>
        <w:shd w:val="clear" w:color="auto" w:fill="auto"/>
        <w:spacing w:before="0" w:line="240" w:lineRule="auto"/>
        <w:ind w:firstLine="760"/>
      </w:pPr>
      <w:r w:rsidRPr="00E02436">
        <w:rPr>
          <w:rStyle w:val="29pt0"/>
          <w:rFonts w:eastAsia="Calibri"/>
          <w:lang w:val="en-US" w:bidi="en-US"/>
        </w:rPr>
        <w:t>Q</w:t>
      </w:r>
      <w:r w:rsidRPr="00E02436">
        <w:rPr>
          <w:rStyle w:val="29pt0"/>
          <w:rFonts w:eastAsia="Calibri"/>
          <w:lang w:bidi="en-US"/>
        </w:rPr>
        <w:t xml:space="preserve"> </w:t>
      </w:r>
      <w:r w:rsidRPr="00E02436">
        <w:rPr>
          <w:rStyle w:val="29pt0"/>
          <w:rFonts w:eastAsia="Calibri"/>
          <w:vertAlign w:val="subscript"/>
          <w:lang w:val="en-US" w:bidi="en-US"/>
        </w:rPr>
        <w:t>k</w:t>
      </w:r>
      <w:r w:rsidRPr="00E02436">
        <w:rPr>
          <w:rStyle w:val="29pt0"/>
          <w:rFonts w:eastAsia="Calibri"/>
          <w:vertAlign w:val="subscript"/>
        </w:rPr>
        <w:t>-пр</w:t>
      </w:r>
      <w:r w:rsidRPr="00E02436">
        <w:rPr>
          <w:rStyle w:val="29pt1"/>
          <w:rFonts w:eastAsia="Calibri"/>
        </w:rPr>
        <w:t xml:space="preserve"> </w:t>
      </w:r>
      <w:r w:rsidRPr="00E02436">
        <w:rPr>
          <w:rStyle w:val="29pt1"/>
          <w:rFonts w:eastAsia="Calibri"/>
          <w:vertAlign w:val="superscript"/>
        </w:rPr>
        <w:t>предост</w:t>
      </w:r>
      <w:r w:rsidRPr="00E02436">
        <w:rPr>
          <w:rStyle w:val="29pt1"/>
          <w:rFonts w:eastAsia="Calibri"/>
        </w:rPr>
        <w:t xml:space="preserve"> </w:t>
      </w:r>
      <w:r w:rsidRPr="00E02436">
        <w:rPr>
          <w:rStyle w:val="29pt1"/>
          <w:rFonts w:eastAsia="Calibri"/>
          <w:vertAlign w:val="subscript"/>
        </w:rPr>
        <w:t>МСП</w:t>
      </w:r>
      <w:r w:rsidRPr="004C21E9">
        <w:t xml:space="preserve"> - объем древесины, предоставленный для заготовки по договорам купли-продажи лесных насаждений, заключаемым с субъектами малого и среднего предпринимательства, в предыдущем отчетном году (куб.м);</w:t>
      </w:r>
    </w:p>
    <w:p w:rsidR="00CE1891" w:rsidRPr="004C21E9" w:rsidRDefault="00CE1891" w:rsidP="00CE1891">
      <w:pPr>
        <w:pStyle w:val="29"/>
        <w:shd w:val="clear" w:color="auto" w:fill="auto"/>
        <w:spacing w:before="0" w:line="240" w:lineRule="auto"/>
        <w:ind w:firstLine="760"/>
      </w:pPr>
      <w:r w:rsidRPr="00FE19CC">
        <w:rPr>
          <w:rStyle w:val="29pt1"/>
          <w:rFonts w:eastAsia="Calibri"/>
        </w:rPr>
        <w:t>К</w:t>
      </w:r>
      <w:r w:rsidRPr="00FE19CC">
        <w:rPr>
          <w:rStyle w:val="29pt1"/>
          <w:rFonts w:eastAsia="Calibri"/>
          <w:vertAlign w:val="subscript"/>
        </w:rPr>
        <w:t>1</w:t>
      </w:r>
      <w:r w:rsidRPr="00FE19CC">
        <w:rPr>
          <w:rStyle w:val="29pt1"/>
          <w:rFonts w:eastAsia="Calibri"/>
        </w:rPr>
        <w:t xml:space="preserve"> </w:t>
      </w:r>
      <w:r w:rsidRPr="00FE19CC">
        <w:rPr>
          <w:rStyle w:val="29pt1"/>
          <w:rFonts w:eastAsia="Calibri"/>
          <w:vertAlign w:val="subscript"/>
        </w:rPr>
        <w:t>пред год</w:t>
      </w:r>
      <w:r w:rsidRPr="004C21E9">
        <w:t xml:space="preserve"> - коэффициент к ставкам платы за единицу объема лесных ресурсов (древесины), установленный Правительством Российской Федерации в предыдущем финансовом году (на 2019-2020 годы, 2021-2023 годы коэффициент к ставкам платы за единицу объема лесных ресурсов (древесины).</w:t>
      </w:r>
    </w:p>
    <w:p w:rsidR="00CE1891" w:rsidRDefault="00CE1891" w:rsidP="00CE1891">
      <w:pPr>
        <w:jc w:val="center"/>
        <w:rPr>
          <w:b/>
          <w:sz w:val="28"/>
          <w:szCs w:val="28"/>
          <w:highlight w:val="yellow"/>
          <w:u w:val="single"/>
        </w:rPr>
      </w:pPr>
    </w:p>
    <w:p w:rsidR="00CE1891" w:rsidRDefault="00CE1891" w:rsidP="00CE1891">
      <w:pPr>
        <w:pStyle w:val="21"/>
        <w:ind w:firstLine="0"/>
        <w:jc w:val="center"/>
        <w:rPr>
          <w:b/>
          <w:highlight w:val="yellow"/>
          <w:u w:val="single"/>
        </w:rPr>
      </w:pPr>
    </w:p>
    <w:p w:rsidR="00CE1891" w:rsidRDefault="00CE1891" w:rsidP="00CE1891">
      <w:pPr>
        <w:autoSpaceDE w:val="0"/>
        <w:autoSpaceDN w:val="0"/>
        <w:adjustRightInd w:val="0"/>
        <w:jc w:val="center"/>
        <w:rPr>
          <w:b/>
          <w:bCs/>
          <w:sz w:val="28"/>
          <w:szCs w:val="28"/>
        </w:rPr>
      </w:pPr>
      <w:r>
        <w:rPr>
          <w:b/>
          <w:sz w:val="28"/>
          <w:szCs w:val="28"/>
        </w:rPr>
        <w:t xml:space="preserve">3. Плата за использование лесов, расположенных на землях лесного фонда, в части платы по договору купли-продажи лесных насаждений для собственных нужд </w:t>
      </w:r>
    </w:p>
    <w:p w:rsidR="00CE1891" w:rsidRDefault="00CE1891" w:rsidP="00CE1891">
      <w:pPr>
        <w:autoSpaceDE w:val="0"/>
        <w:autoSpaceDN w:val="0"/>
        <w:adjustRightInd w:val="0"/>
        <w:jc w:val="center"/>
        <w:rPr>
          <w:b/>
          <w:bCs/>
          <w:sz w:val="28"/>
          <w:szCs w:val="28"/>
        </w:rPr>
      </w:pPr>
      <w:r>
        <w:rPr>
          <w:b/>
          <w:bCs/>
          <w:sz w:val="28"/>
          <w:szCs w:val="28"/>
        </w:rPr>
        <w:t>(КБК 328 1 12 04015 02 0000 120)</w:t>
      </w:r>
    </w:p>
    <w:p w:rsidR="00CE1891" w:rsidRDefault="00CE1891" w:rsidP="00CE1891">
      <w:pPr>
        <w:autoSpaceDE w:val="0"/>
        <w:autoSpaceDN w:val="0"/>
        <w:adjustRightInd w:val="0"/>
        <w:jc w:val="center"/>
        <w:rPr>
          <w:b/>
          <w:bCs/>
          <w:sz w:val="28"/>
          <w:szCs w:val="28"/>
        </w:rPr>
      </w:pPr>
    </w:p>
    <w:p w:rsidR="00CE1891" w:rsidRDefault="00CE1891" w:rsidP="00CE1891">
      <w:pPr>
        <w:ind w:firstLine="708"/>
        <w:jc w:val="both"/>
        <w:rPr>
          <w:sz w:val="28"/>
          <w:szCs w:val="28"/>
        </w:rPr>
      </w:pPr>
      <w:r>
        <w:rPr>
          <w:sz w:val="28"/>
          <w:szCs w:val="28"/>
        </w:rPr>
        <w:t>Расчет прогноза на 2022-2024 года осуществляется экспертным методом на уровне фактических поступлений за отчетный год (2020 год) по формуле:</w:t>
      </w:r>
    </w:p>
    <w:p w:rsidR="00CE1891" w:rsidRDefault="00CE1891" w:rsidP="00CE1891">
      <w:pPr>
        <w:pStyle w:val="21"/>
        <w:ind w:firstLine="0"/>
        <w:jc w:val="center"/>
      </w:pPr>
    </w:p>
    <w:p w:rsidR="00CE1891" w:rsidRDefault="00CE1891" w:rsidP="00CE1891">
      <w:pPr>
        <w:pStyle w:val="21"/>
        <w:ind w:firstLine="708"/>
        <w:jc w:val="left"/>
        <w:rPr>
          <w:vertAlign w:val="subscript"/>
        </w:rPr>
      </w:pPr>
      <w:r>
        <w:t>Р</w:t>
      </w:r>
      <w:r>
        <w:rPr>
          <w:vertAlign w:val="subscript"/>
          <w:lang w:val="en-US"/>
        </w:rPr>
        <w:t>n</w:t>
      </w:r>
      <w:r>
        <w:rPr>
          <w:vertAlign w:val="subscript"/>
        </w:rPr>
        <w:t xml:space="preserve">+1 </w:t>
      </w:r>
      <w:r>
        <w:t>= Р</w:t>
      </w:r>
      <w:r>
        <w:rPr>
          <w:vertAlign w:val="subscript"/>
          <w:lang w:val="en-US"/>
        </w:rPr>
        <w:t>n</w:t>
      </w:r>
      <w:r>
        <w:rPr>
          <w:vertAlign w:val="subscript"/>
        </w:rPr>
        <w:t xml:space="preserve">-1 </w:t>
      </w:r>
    </w:p>
    <w:p w:rsidR="00CE1891" w:rsidRDefault="00CE1891" w:rsidP="00CE1891">
      <w:pPr>
        <w:pStyle w:val="21"/>
        <w:ind w:firstLine="0"/>
        <w:jc w:val="center"/>
      </w:pPr>
    </w:p>
    <w:p w:rsidR="00CE1891" w:rsidRDefault="00CE1891" w:rsidP="00CE1891">
      <w:pPr>
        <w:pStyle w:val="21"/>
        <w:ind w:firstLine="0"/>
        <w:jc w:val="center"/>
        <w:rPr>
          <w:b/>
        </w:rPr>
      </w:pPr>
      <w:r>
        <w:t>Р</w:t>
      </w:r>
      <w:r>
        <w:rPr>
          <w:vertAlign w:val="subscript"/>
        </w:rPr>
        <w:t>2022-2024</w:t>
      </w:r>
      <w:r>
        <w:t xml:space="preserve"> = </w:t>
      </w:r>
      <w:r w:rsidRPr="00AE1F27">
        <w:rPr>
          <w:b/>
          <w:u w:val="single"/>
        </w:rPr>
        <w:t>2</w:t>
      </w:r>
      <w:r>
        <w:rPr>
          <w:b/>
          <w:u w:val="single"/>
        </w:rPr>
        <w:t>1 329,0</w:t>
      </w:r>
    </w:p>
    <w:p w:rsidR="00CE1891" w:rsidRDefault="00CE1891" w:rsidP="00CE1891">
      <w:pPr>
        <w:pStyle w:val="21"/>
        <w:ind w:firstLine="0"/>
      </w:pPr>
    </w:p>
    <w:p w:rsidR="00CE1891" w:rsidRDefault="00CE1891" w:rsidP="00CE1891">
      <w:pPr>
        <w:pStyle w:val="21"/>
        <w:ind w:firstLine="0"/>
      </w:pPr>
      <w:r>
        <w:t xml:space="preserve">где: </w:t>
      </w:r>
    </w:p>
    <w:p w:rsidR="00CE1891" w:rsidRDefault="00CE1891" w:rsidP="00CE1891">
      <w:pPr>
        <w:pStyle w:val="21"/>
        <w:ind w:firstLine="708"/>
      </w:pPr>
      <w:r>
        <w:t>Р</w:t>
      </w:r>
      <w:r>
        <w:rPr>
          <w:vertAlign w:val="subscript"/>
          <w:lang w:val="en-US"/>
        </w:rPr>
        <w:t>n</w:t>
      </w:r>
      <w:r>
        <w:rPr>
          <w:vertAlign w:val="subscript"/>
        </w:rPr>
        <w:t xml:space="preserve">+1 </w:t>
      </w:r>
      <w:r>
        <w:t>– прогнозируемая сумма поступлений в областной бюджет Тверской области на 2022 - 2024 года (тыс. руб.).;</w:t>
      </w:r>
    </w:p>
    <w:p w:rsidR="00CE1891" w:rsidRDefault="00CE1891" w:rsidP="00CE1891">
      <w:pPr>
        <w:pStyle w:val="21"/>
        <w:ind w:firstLine="708"/>
      </w:pPr>
      <w:r>
        <w:t>Р</w:t>
      </w:r>
      <w:r>
        <w:rPr>
          <w:vertAlign w:val="subscript"/>
          <w:lang w:val="en-US"/>
        </w:rPr>
        <w:t>n</w:t>
      </w:r>
      <w:r>
        <w:rPr>
          <w:vertAlign w:val="subscript"/>
        </w:rPr>
        <w:t xml:space="preserve">-1 </w:t>
      </w:r>
      <w:r>
        <w:t>– фактическое поступление средств в областной бюджет Тверской области в отчетном году (2021 год = 21 329,0) (тыс. руб.).</w:t>
      </w:r>
    </w:p>
    <w:p w:rsidR="00935C40" w:rsidRPr="006B2DF6" w:rsidRDefault="00935C40" w:rsidP="00935C40">
      <w:pPr>
        <w:pStyle w:val="a7"/>
        <w:spacing w:after="0"/>
        <w:ind w:left="0" w:firstLine="709"/>
        <w:jc w:val="both"/>
        <w:rPr>
          <w:sz w:val="28"/>
          <w:szCs w:val="28"/>
        </w:rPr>
      </w:pPr>
    </w:p>
    <w:p w:rsidR="00F07E05" w:rsidRPr="00725026" w:rsidRDefault="00F07E05" w:rsidP="00935C40">
      <w:pPr>
        <w:tabs>
          <w:tab w:val="left" w:pos="7371"/>
        </w:tabs>
        <w:jc w:val="center"/>
        <w:rPr>
          <w:sz w:val="28"/>
          <w:szCs w:val="28"/>
        </w:rPr>
      </w:pPr>
      <w:r w:rsidRPr="00725026">
        <w:rPr>
          <w:b/>
          <w:sz w:val="28"/>
          <w:szCs w:val="28"/>
        </w:rPr>
        <w:t xml:space="preserve">Доходы от оказания платных услуг и компенсации затрат государства </w:t>
      </w:r>
      <w:r w:rsidRPr="00725026">
        <w:rPr>
          <w:b/>
          <w:snapToGrid w:val="0"/>
          <w:sz w:val="28"/>
          <w:szCs w:val="28"/>
        </w:rPr>
        <w:t>(000 1 13 00000 00 0000 000</w:t>
      </w:r>
      <w:r w:rsidRPr="00725026">
        <w:rPr>
          <w:snapToGrid w:val="0"/>
          <w:sz w:val="28"/>
          <w:szCs w:val="28"/>
        </w:rPr>
        <w:t>)</w:t>
      </w:r>
      <w:r w:rsidRPr="00725026">
        <w:rPr>
          <w:sz w:val="28"/>
          <w:szCs w:val="28"/>
        </w:rPr>
        <w:t>:</w:t>
      </w:r>
    </w:p>
    <w:p w:rsidR="00F07E05" w:rsidRDefault="00F07E05" w:rsidP="00F07E05">
      <w:pPr>
        <w:tabs>
          <w:tab w:val="left" w:pos="7371"/>
        </w:tabs>
        <w:jc w:val="both"/>
        <w:rPr>
          <w:sz w:val="28"/>
          <w:szCs w:val="28"/>
        </w:rPr>
      </w:pPr>
    </w:p>
    <w:p w:rsidR="00F07E05" w:rsidRDefault="00F07E05" w:rsidP="00F07E05">
      <w:pPr>
        <w:tabs>
          <w:tab w:val="left" w:pos="7371"/>
        </w:tabs>
        <w:jc w:val="right"/>
        <w:rPr>
          <w:sz w:val="28"/>
          <w:szCs w:val="28"/>
        </w:rPr>
      </w:pPr>
    </w:p>
    <w:tbl>
      <w:tblPr>
        <w:tblW w:w="11057" w:type="dxa"/>
        <w:tblInd w:w="-1281" w:type="dxa"/>
        <w:tblLook w:val="04A0" w:firstRow="1" w:lastRow="0" w:firstColumn="1" w:lastColumn="0" w:noHBand="0" w:noVBand="1"/>
      </w:tblPr>
      <w:tblGrid>
        <w:gridCol w:w="2977"/>
        <w:gridCol w:w="3827"/>
        <w:gridCol w:w="1418"/>
        <w:gridCol w:w="1417"/>
        <w:gridCol w:w="1418"/>
      </w:tblGrid>
      <w:tr w:rsidR="00F07E05" w:rsidTr="008A253E">
        <w:trPr>
          <w:trHeight w:val="330"/>
        </w:trPr>
        <w:tc>
          <w:tcPr>
            <w:tcW w:w="29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7E05" w:rsidRDefault="00F07E05" w:rsidP="008A253E">
            <w:pPr>
              <w:jc w:val="center"/>
              <w:rPr>
                <w:color w:val="000000"/>
              </w:rPr>
            </w:pPr>
            <w:r>
              <w:rPr>
                <w:color w:val="000000"/>
              </w:rPr>
              <w:t>Код бюджетной классификации Российской Федерации</w:t>
            </w:r>
          </w:p>
        </w:tc>
        <w:tc>
          <w:tcPr>
            <w:tcW w:w="38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7E05" w:rsidRDefault="00F07E05" w:rsidP="008A253E">
            <w:pPr>
              <w:jc w:val="center"/>
              <w:rPr>
                <w:color w:val="000000"/>
              </w:rPr>
            </w:pPr>
            <w:r>
              <w:rPr>
                <w:color w:val="000000"/>
              </w:rPr>
              <w:t>Наименование</w:t>
            </w:r>
            <w:r>
              <w:rPr>
                <w:color w:val="000000"/>
              </w:rPr>
              <w:br/>
              <w:t>дохода</w:t>
            </w:r>
          </w:p>
        </w:tc>
        <w:tc>
          <w:tcPr>
            <w:tcW w:w="4253" w:type="dxa"/>
            <w:gridSpan w:val="3"/>
            <w:tcBorders>
              <w:top w:val="single" w:sz="4" w:space="0" w:color="auto"/>
              <w:left w:val="nil"/>
              <w:bottom w:val="single" w:sz="4" w:space="0" w:color="auto"/>
              <w:right w:val="single" w:sz="4" w:space="0" w:color="000000"/>
            </w:tcBorders>
            <w:shd w:val="clear" w:color="auto" w:fill="auto"/>
            <w:vAlign w:val="center"/>
            <w:hideMark/>
          </w:tcPr>
          <w:p w:rsidR="00F07E05" w:rsidRDefault="00F07E05" w:rsidP="008A253E">
            <w:pPr>
              <w:jc w:val="center"/>
              <w:rPr>
                <w:color w:val="000000"/>
              </w:rPr>
            </w:pPr>
            <w:r>
              <w:rPr>
                <w:color w:val="000000"/>
              </w:rPr>
              <w:t>Сумма (тыс. рублей)</w:t>
            </w:r>
          </w:p>
        </w:tc>
      </w:tr>
      <w:tr w:rsidR="00F07E05" w:rsidTr="008A253E">
        <w:trPr>
          <w:trHeight w:val="1350"/>
        </w:trPr>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F07E05" w:rsidRDefault="00F07E05" w:rsidP="008A253E">
            <w:pPr>
              <w:rPr>
                <w:color w:val="000000"/>
              </w:rPr>
            </w:pPr>
          </w:p>
        </w:tc>
        <w:tc>
          <w:tcPr>
            <w:tcW w:w="3827" w:type="dxa"/>
            <w:vMerge/>
            <w:tcBorders>
              <w:top w:val="single" w:sz="4" w:space="0" w:color="000000"/>
              <w:left w:val="single" w:sz="4" w:space="0" w:color="000000"/>
              <w:bottom w:val="single" w:sz="4" w:space="0" w:color="000000"/>
              <w:right w:val="single" w:sz="4" w:space="0" w:color="000000"/>
            </w:tcBorders>
            <w:vAlign w:val="center"/>
            <w:hideMark/>
          </w:tcPr>
          <w:p w:rsidR="00F07E05" w:rsidRDefault="00F07E05" w:rsidP="008A253E">
            <w:pPr>
              <w:rPr>
                <w:color w:val="000000"/>
              </w:rPr>
            </w:pPr>
          </w:p>
        </w:tc>
        <w:tc>
          <w:tcPr>
            <w:tcW w:w="1418" w:type="dxa"/>
            <w:tcBorders>
              <w:top w:val="nil"/>
              <w:left w:val="nil"/>
              <w:bottom w:val="single" w:sz="4" w:space="0" w:color="000000"/>
              <w:right w:val="single" w:sz="4" w:space="0" w:color="000000"/>
            </w:tcBorders>
            <w:shd w:val="clear" w:color="auto" w:fill="auto"/>
            <w:vAlign w:val="center"/>
            <w:hideMark/>
          </w:tcPr>
          <w:p w:rsidR="00F07E05" w:rsidRDefault="00F07E05" w:rsidP="008A253E">
            <w:pPr>
              <w:jc w:val="center"/>
              <w:rPr>
                <w:color w:val="000000"/>
              </w:rPr>
            </w:pPr>
            <w:r>
              <w:rPr>
                <w:color w:val="000000"/>
              </w:rPr>
              <w:t>2022 год</w:t>
            </w:r>
          </w:p>
        </w:tc>
        <w:tc>
          <w:tcPr>
            <w:tcW w:w="1417" w:type="dxa"/>
            <w:tcBorders>
              <w:top w:val="nil"/>
              <w:left w:val="nil"/>
              <w:bottom w:val="single" w:sz="4" w:space="0" w:color="000000"/>
              <w:right w:val="single" w:sz="4" w:space="0" w:color="000000"/>
            </w:tcBorders>
            <w:shd w:val="clear" w:color="auto" w:fill="auto"/>
            <w:vAlign w:val="center"/>
            <w:hideMark/>
          </w:tcPr>
          <w:p w:rsidR="00F07E05" w:rsidRDefault="00F07E05" w:rsidP="008A253E">
            <w:pPr>
              <w:jc w:val="center"/>
              <w:rPr>
                <w:color w:val="000000"/>
              </w:rPr>
            </w:pPr>
            <w:r>
              <w:rPr>
                <w:color w:val="000000"/>
              </w:rPr>
              <w:t>2023 год</w:t>
            </w:r>
          </w:p>
        </w:tc>
        <w:tc>
          <w:tcPr>
            <w:tcW w:w="1418" w:type="dxa"/>
            <w:tcBorders>
              <w:top w:val="nil"/>
              <w:left w:val="nil"/>
              <w:bottom w:val="single" w:sz="4" w:space="0" w:color="000000"/>
              <w:right w:val="single" w:sz="4" w:space="0" w:color="000000"/>
            </w:tcBorders>
            <w:shd w:val="clear" w:color="auto" w:fill="auto"/>
            <w:vAlign w:val="center"/>
            <w:hideMark/>
          </w:tcPr>
          <w:p w:rsidR="00F07E05" w:rsidRDefault="00F07E05" w:rsidP="008A253E">
            <w:pPr>
              <w:jc w:val="center"/>
              <w:rPr>
                <w:color w:val="000000"/>
              </w:rPr>
            </w:pPr>
            <w:r>
              <w:rPr>
                <w:color w:val="000000"/>
              </w:rPr>
              <w:t>2024 год</w:t>
            </w:r>
          </w:p>
        </w:tc>
      </w:tr>
      <w:tr w:rsidR="00F07E05" w:rsidTr="008A253E">
        <w:trPr>
          <w:trHeight w:val="289"/>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F07E05" w:rsidRDefault="00F07E05" w:rsidP="008A253E">
            <w:pPr>
              <w:jc w:val="center"/>
              <w:rPr>
                <w:color w:val="000000"/>
              </w:rPr>
            </w:pPr>
            <w:r>
              <w:rPr>
                <w:color w:val="000000"/>
              </w:rPr>
              <w:t>1</w:t>
            </w:r>
          </w:p>
        </w:tc>
        <w:tc>
          <w:tcPr>
            <w:tcW w:w="3827" w:type="dxa"/>
            <w:tcBorders>
              <w:top w:val="nil"/>
              <w:left w:val="nil"/>
              <w:bottom w:val="single" w:sz="4" w:space="0" w:color="000000"/>
              <w:right w:val="single" w:sz="4" w:space="0" w:color="000000"/>
            </w:tcBorders>
            <w:shd w:val="clear" w:color="auto" w:fill="auto"/>
            <w:vAlign w:val="center"/>
            <w:hideMark/>
          </w:tcPr>
          <w:p w:rsidR="00F07E05" w:rsidRDefault="00F07E05" w:rsidP="008A253E">
            <w:pPr>
              <w:jc w:val="center"/>
              <w:rPr>
                <w:color w:val="000000"/>
              </w:rPr>
            </w:pPr>
            <w:r>
              <w:rPr>
                <w:color w:val="000000"/>
              </w:rPr>
              <w:t>2</w:t>
            </w:r>
          </w:p>
        </w:tc>
        <w:tc>
          <w:tcPr>
            <w:tcW w:w="1418" w:type="dxa"/>
            <w:tcBorders>
              <w:top w:val="nil"/>
              <w:left w:val="nil"/>
              <w:bottom w:val="single" w:sz="4" w:space="0" w:color="000000"/>
              <w:right w:val="single" w:sz="4" w:space="0" w:color="000000"/>
            </w:tcBorders>
            <w:shd w:val="clear" w:color="auto" w:fill="auto"/>
            <w:vAlign w:val="center"/>
            <w:hideMark/>
          </w:tcPr>
          <w:p w:rsidR="00F07E05" w:rsidRDefault="00F07E05" w:rsidP="008A253E">
            <w:pPr>
              <w:jc w:val="center"/>
              <w:rPr>
                <w:color w:val="000000"/>
              </w:rPr>
            </w:pPr>
            <w:r>
              <w:rPr>
                <w:color w:val="000000"/>
              </w:rPr>
              <w:t>3</w:t>
            </w:r>
          </w:p>
        </w:tc>
        <w:tc>
          <w:tcPr>
            <w:tcW w:w="1417" w:type="dxa"/>
            <w:tcBorders>
              <w:top w:val="nil"/>
              <w:left w:val="nil"/>
              <w:bottom w:val="single" w:sz="4" w:space="0" w:color="000000"/>
              <w:right w:val="single" w:sz="4" w:space="0" w:color="000000"/>
            </w:tcBorders>
            <w:shd w:val="clear" w:color="auto" w:fill="auto"/>
            <w:vAlign w:val="center"/>
            <w:hideMark/>
          </w:tcPr>
          <w:p w:rsidR="00F07E05" w:rsidRDefault="00F07E05" w:rsidP="008A253E">
            <w:pPr>
              <w:jc w:val="center"/>
              <w:rPr>
                <w:color w:val="000000"/>
              </w:rPr>
            </w:pPr>
            <w:r>
              <w:rPr>
                <w:color w:val="000000"/>
              </w:rPr>
              <w:t>4</w:t>
            </w:r>
          </w:p>
        </w:tc>
        <w:tc>
          <w:tcPr>
            <w:tcW w:w="1418" w:type="dxa"/>
            <w:tcBorders>
              <w:top w:val="nil"/>
              <w:left w:val="nil"/>
              <w:bottom w:val="single" w:sz="4" w:space="0" w:color="000000"/>
              <w:right w:val="single" w:sz="4" w:space="0" w:color="000000"/>
            </w:tcBorders>
            <w:shd w:val="clear" w:color="auto" w:fill="auto"/>
            <w:vAlign w:val="center"/>
            <w:hideMark/>
          </w:tcPr>
          <w:p w:rsidR="00F07E05" w:rsidRDefault="00F07E05" w:rsidP="008A253E">
            <w:pPr>
              <w:jc w:val="center"/>
              <w:rPr>
                <w:color w:val="000000"/>
              </w:rPr>
            </w:pPr>
            <w:r>
              <w:rPr>
                <w:color w:val="000000"/>
              </w:rPr>
              <w:t>5</w:t>
            </w:r>
          </w:p>
        </w:tc>
      </w:tr>
      <w:tr w:rsidR="00F07E05" w:rsidTr="008A253E">
        <w:trPr>
          <w:trHeight w:val="645"/>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F07E05" w:rsidRDefault="00F07E05" w:rsidP="008A253E">
            <w:pPr>
              <w:jc w:val="center"/>
              <w:rPr>
                <w:b/>
                <w:bCs/>
                <w:color w:val="000000"/>
              </w:rPr>
            </w:pPr>
            <w:r>
              <w:rPr>
                <w:b/>
                <w:bCs/>
                <w:color w:val="000000"/>
              </w:rPr>
              <w:t>000 1 13 00000 00 0000 000</w:t>
            </w:r>
          </w:p>
        </w:tc>
        <w:tc>
          <w:tcPr>
            <w:tcW w:w="3827" w:type="dxa"/>
            <w:tcBorders>
              <w:top w:val="nil"/>
              <w:left w:val="nil"/>
              <w:bottom w:val="single" w:sz="4" w:space="0" w:color="000000"/>
              <w:right w:val="single" w:sz="4" w:space="0" w:color="000000"/>
            </w:tcBorders>
            <w:shd w:val="clear" w:color="auto" w:fill="auto"/>
            <w:hideMark/>
          </w:tcPr>
          <w:p w:rsidR="00F07E05" w:rsidRDefault="00F07E05" w:rsidP="008A253E">
            <w:pPr>
              <w:rPr>
                <w:b/>
                <w:bCs/>
                <w:color w:val="000000"/>
              </w:rPr>
            </w:pPr>
            <w:r>
              <w:rPr>
                <w:b/>
                <w:bCs/>
                <w:color w:val="000000"/>
              </w:rPr>
              <w:t>ДОХОДЫ ОТ ОКАЗАНИЯ ПЛАТНЫХ УСЛУГ И КОМПЕНСАЦИИ ЗАТРАТ ГОСУДАРСТВА</w:t>
            </w:r>
          </w:p>
        </w:tc>
        <w:tc>
          <w:tcPr>
            <w:tcW w:w="1418" w:type="dxa"/>
            <w:tcBorders>
              <w:top w:val="nil"/>
              <w:left w:val="nil"/>
              <w:bottom w:val="single" w:sz="4" w:space="0" w:color="000000"/>
              <w:right w:val="single" w:sz="4" w:space="0" w:color="000000"/>
            </w:tcBorders>
            <w:shd w:val="clear" w:color="auto" w:fill="auto"/>
            <w:vAlign w:val="center"/>
            <w:hideMark/>
          </w:tcPr>
          <w:p w:rsidR="00F07E05" w:rsidRDefault="00F05ACB" w:rsidP="008A253E">
            <w:pPr>
              <w:jc w:val="right"/>
              <w:rPr>
                <w:b/>
                <w:bCs/>
                <w:color w:val="000000"/>
              </w:rPr>
            </w:pPr>
            <w:r>
              <w:rPr>
                <w:b/>
                <w:bCs/>
                <w:color w:val="000000"/>
              </w:rPr>
              <w:t>2 318 232,7</w:t>
            </w:r>
          </w:p>
        </w:tc>
        <w:tc>
          <w:tcPr>
            <w:tcW w:w="1417" w:type="dxa"/>
            <w:tcBorders>
              <w:top w:val="nil"/>
              <w:left w:val="nil"/>
              <w:bottom w:val="single" w:sz="4" w:space="0" w:color="000000"/>
              <w:right w:val="single" w:sz="4" w:space="0" w:color="000000"/>
            </w:tcBorders>
            <w:shd w:val="clear" w:color="auto" w:fill="auto"/>
            <w:vAlign w:val="center"/>
            <w:hideMark/>
          </w:tcPr>
          <w:p w:rsidR="00F07E05" w:rsidRDefault="00F05ACB" w:rsidP="008A253E">
            <w:pPr>
              <w:jc w:val="right"/>
              <w:rPr>
                <w:b/>
                <w:bCs/>
                <w:color w:val="000000"/>
              </w:rPr>
            </w:pPr>
            <w:r>
              <w:rPr>
                <w:b/>
                <w:bCs/>
                <w:color w:val="000000"/>
              </w:rPr>
              <w:t>2 163 840,5</w:t>
            </w:r>
          </w:p>
        </w:tc>
        <w:tc>
          <w:tcPr>
            <w:tcW w:w="1418" w:type="dxa"/>
            <w:tcBorders>
              <w:top w:val="nil"/>
              <w:left w:val="nil"/>
              <w:bottom w:val="single" w:sz="4" w:space="0" w:color="000000"/>
              <w:right w:val="single" w:sz="4" w:space="0" w:color="000000"/>
            </w:tcBorders>
            <w:shd w:val="clear" w:color="auto" w:fill="auto"/>
            <w:vAlign w:val="center"/>
            <w:hideMark/>
          </w:tcPr>
          <w:p w:rsidR="00F07E05" w:rsidRDefault="00F05ACB" w:rsidP="008A253E">
            <w:pPr>
              <w:jc w:val="right"/>
              <w:rPr>
                <w:b/>
                <w:bCs/>
                <w:color w:val="000000"/>
              </w:rPr>
            </w:pPr>
            <w:r>
              <w:rPr>
                <w:b/>
                <w:bCs/>
                <w:color w:val="000000"/>
              </w:rPr>
              <w:t>2 763 939,3</w:t>
            </w:r>
          </w:p>
        </w:tc>
      </w:tr>
      <w:tr w:rsidR="00F07E05" w:rsidTr="008A253E">
        <w:trPr>
          <w:trHeight w:val="300"/>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F07E05" w:rsidRDefault="00F07E05" w:rsidP="008A253E">
            <w:pPr>
              <w:jc w:val="center"/>
              <w:rPr>
                <w:b/>
                <w:bCs/>
                <w:color w:val="000000"/>
              </w:rPr>
            </w:pPr>
            <w:r>
              <w:rPr>
                <w:b/>
                <w:bCs/>
                <w:color w:val="000000"/>
              </w:rPr>
              <w:t>000 1 13 01000 00 0000 130</w:t>
            </w:r>
          </w:p>
        </w:tc>
        <w:tc>
          <w:tcPr>
            <w:tcW w:w="3827" w:type="dxa"/>
            <w:tcBorders>
              <w:top w:val="nil"/>
              <w:left w:val="nil"/>
              <w:bottom w:val="single" w:sz="4" w:space="0" w:color="000000"/>
              <w:right w:val="single" w:sz="4" w:space="0" w:color="000000"/>
            </w:tcBorders>
            <w:shd w:val="clear" w:color="auto" w:fill="auto"/>
            <w:hideMark/>
          </w:tcPr>
          <w:p w:rsidR="00F07E05" w:rsidRDefault="00F07E05" w:rsidP="008A253E">
            <w:pPr>
              <w:rPr>
                <w:b/>
                <w:bCs/>
                <w:color w:val="000000"/>
              </w:rPr>
            </w:pPr>
            <w:r>
              <w:rPr>
                <w:b/>
                <w:bCs/>
                <w:color w:val="000000"/>
              </w:rPr>
              <w:t>Доходы от оказания платных услуг (работ)</w:t>
            </w:r>
          </w:p>
        </w:tc>
        <w:tc>
          <w:tcPr>
            <w:tcW w:w="1418" w:type="dxa"/>
            <w:tcBorders>
              <w:top w:val="nil"/>
              <w:left w:val="nil"/>
              <w:bottom w:val="single" w:sz="4" w:space="0" w:color="000000"/>
              <w:right w:val="single" w:sz="4" w:space="0" w:color="000000"/>
            </w:tcBorders>
            <w:shd w:val="clear" w:color="auto" w:fill="auto"/>
            <w:vAlign w:val="center"/>
            <w:hideMark/>
          </w:tcPr>
          <w:p w:rsidR="00F07E05" w:rsidRDefault="00F07E05" w:rsidP="008A253E">
            <w:pPr>
              <w:jc w:val="right"/>
              <w:rPr>
                <w:b/>
                <w:bCs/>
                <w:color w:val="000000"/>
              </w:rPr>
            </w:pPr>
            <w:r>
              <w:rPr>
                <w:b/>
                <w:bCs/>
                <w:color w:val="000000"/>
              </w:rPr>
              <w:t>38 221,9</w:t>
            </w:r>
          </w:p>
        </w:tc>
        <w:tc>
          <w:tcPr>
            <w:tcW w:w="1417" w:type="dxa"/>
            <w:tcBorders>
              <w:top w:val="nil"/>
              <w:left w:val="nil"/>
              <w:bottom w:val="single" w:sz="4" w:space="0" w:color="000000"/>
              <w:right w:val="single" w:sz="4" w:space="0" w:color="000000"/>
            </w:tcBorders>
            <w:shd w:val="clear" w:color="auto" w:fill="auto"/>
            <w:vAlign w:val="center"/>
            <w:hideMark/>
          </w:tcPr>
          <w:p w:rsidR="00F07E05" w:rsidRDefault="00F07E05" w:rsidP="008A253E">
            <w:pPr>
              <w:jc w:val="right"/>
              <w:rPr>
                <w:b/>
                <w:bCs/>
                <w:color w:val="000000"/>
              </w:rPr>
            </w:pPr>
            <w:r>
              <w:rPr>
                <w:b/>
                <w:bCs/>
                <w:color w:val="000000"/>
              </w:rPr>
              <w:t>39 197,8</w:t>
            </w:r>
          </w:p>
        </w:tc>
        <w:tc>
          <w:tcPr>
            <w:tcW w:w="1418" w:type="dxa"/>
            <w:tcBorders>
              <w:top w:val="nil"/>
              <w:left w:val="nil"/>
              <w:bottom w:val="single" w:sz="4" w:space="0" w:color="000000"/>
              <w:right w:val="single" w:sz="4" w:space="0" w:color="000000"/>
            </w:tcBorders>
            <w:shd w:val="clear" w:color="auto" w:fill="auto"/>
            <w:vAlign w:val="center"/>
            <w:hideMark/>
          </w:tcPr>
          <w:p w:rsidR="00F07E05" w:rsidRDefault="00F07E05" w:rsidP="008A253E">
            <w:pPr>
              <w:jc w:val="right"/>
              <w:rPr>
                <w:b/>
                <w:bCs/>
                <w:color w:val="000000"/>
              </w:rPr>
            </w:pPr>
            <w:r>
              <w:rPr>
                <w:b/>
                <w:bCs/>
                <w:color w:val="000000"/>
              </w:rPr>
              <w:t>39 781,7</w:t>
            </w:r>
          </w:p>
        </w:tc>
      </w:tr>
      <w:tr w:rsidR="00F07E05" w:rsidTr="008A253E">
        <w:trPr>
          <w:trHeight w:val="1290"/>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F07E05" w:rsidRDefault="00F07E05" w:rsidP="008A253E">
            <w:pPr>
              <w:jc w:val="center"/>
              <w:rPr>
                <w:color w:val="000000"/>
              </w:rPr>
            </w:pPr>
            <w:r>
              <w:rPr>
                <w:color w:val="000000"/>
              </w:rPr>
              <w:t>000 1 13 01020 01 0000 130</w:t>
            </w:r>
          </w:p>
        </w:tc>
        <w:tc>
          <w:tcPr>
            <w:tcW w:w="3827" w:type="dxa"/>
            <w:tcBorders>
              <w:top w:val="nil"/>
              <w:left w:val="nil"/>
              <w:bottom w:val="single" w:sz="4" w:space="0" w:color="000000"/>
              <w:right w:val="single" w:sz="4" w:space="0" w:color="000000"/>
            </w:tcBorders>
            <w:shd w:val="clear" w:color="auto" w:fill="auto"/>
            <w:hideMark/>
          </w:tcPr>
          <w:p w:rsidR="00F07E05" w:rsidRDefault="00F07E05" w:rsidP="008A253E">
            <w:pPr>
              <w:rPr>
                <w:color w:val="000000"/>
              </w:rPr>
            </w:pPr>
            <w:r>
              <w:rPr>
                <w:color w:val="000000"/>
              </w:rPr>
              <w:t>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w:t>
            </w:r>
          </w:p>
        </w:tc>
        <w:tc>
          <w:tcPr>
            <w:tcW w:w="1418" w:type="dxa"/>
            <w:tcBorders>
              <w:top w:val="nil"/>
              <w:left w:val="nil"/>
              <w:bottom w:val="single" w:sz="4" w:space="0" w:color="000000"/>
              <w:right w:val="single" w:sz="4" w:space="0" w:color="000000"/>
            </w:tcBorders>
            <w:shd w:val="clear" w:color="auto" w:fill="auto"/>
            <w:vAlign w:val="center"/>
            <w:hideMark/>
          </w:tcPr>
          <w:p w:rsidR="00F07E05" w:rsidRDefault="00F07E05" w:rsidP="008A253E">
            <w:pPr>
              <w:jc w:val="right"/>
              <w:rPr>
                <w:color w:val="000000"/>
              </w:rPr>
            </w:pPr>
            <w:r>
              <w:rPr>
                <w:color w:val="000000"/>
              </w:rPr>
              <w:t>2,0</w:t>
            </w:r>
          </w:p>
        </w:tc>
        <w:tc>
          <w:tcPr>
            <w:tcW w:w="1417" w:type="dxa"/>
            <w:tcBorders>
              <w:top w:val="nil"/>
              <w:left w:val="nil"/>
              <w:bottom w:val="single" w:sz="4" w:space="0" w:color="000000"/>
              <w:right w:val="single" w:sz="4" w:space="0" w:color="000000"/>
            </w:tcBorders>
            <w:shd w:val="clear" w:color="auto" w:fill="auto"/>
            <w:vAlign w:val="center"/>
            <w:hideMark/>
          </w:tcPr>
          <w:p w:rsidR="00F07E05" w:rsidRDefault="00F07E05" w:rsidP="008A253E">
            <w:pPr>
              <w:jc w:val="right"/>
              <w:rPr>
                <w:color w:val="000000"/>
              </w:rPr>
            </w:pPr>
            <w:r>
              <w:rPr>
                <w:color w:val="000000"/>
              </w:rPr>
              <w:t>2,0</w:t>
            </w:r>
          </w:p>
        </w:tc>
        <w:tc>
          <w:tcPr>
            <w:tcW w:w="1418" w:type="dxa"/>
            <w:tcBorders>
              <w:top w:val="nil"/>
              <w:left w:val="nil"/>
              <w:bottom w:val="single" w:sz="4" w:space="0" w:color="000000"/>
              <w:right w:val="single" w:sz="4" w:space="0" w:color="000000"/>
            </w:tcBorders>
            <w:shd w:val="clear" w:color="auto" w:fill="auto"/>
            <w:vAlign w:val="center"/>
            <w:hideMark/>
          </w:tcPr>
          <w:p w:rsidR="00F07E05" w:rsidRDefault="00F07E05" w:rsidP="008A253E">
            <w:pPr>
              <w:jc w:val="right"/>
              <w:rPr>
                <w:color w:val="000000"/>
              </w:rPr>
            </w:pPr>
            <w:r>
              <w:rPr>
                <w:color w:val="000000"/>
              </w:rPr>
              <w:t>2,0</w:t>
            </w:r>
          </w:p>
        </w:tc>
      </w:tr>
      <w:tr w:rsidR="00F07E05" w:rsidTr="008A253E">
        <w:trPr>
          <w:trHeight w:val="1932"/>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F07E05" w:rsidRDefault="00F07E05" w:rsidP="008A253E">
            <w:pPr>
              <w:jc w:val="center"/>
              <w:rPr>
                <w:color w:val="000000"/>
              </w:rPr>
            </w:pPr>
            <w:r>
              <w:rPr>
                <w:color w:val="000000"/>
              </w:rPr>
              <w:t>000 1 13 01410 01 0000 130</w:t>
            </w:r>
          </w:p>
        </w:tc>
        <w:tc>
          <w:tcPr>
            <w:tcW w:w="3827" w:type="dxa"/>
            <w:tcBorders>
              <w:top w:val="nil"/>
              <w:left w:val="nil"/>
              <w:bottom w:val="single" w:sz="4" w:space="0" w:color="000000"/>
              <w:right w:val="single" w:sz="4" w:space="0" w:color="000000"/>
            </w:tcBorders>
            <w:shd w:val="clear" w:color="auto" w:fill="auto"/>
            <w:hideMark/>
          </w:tcPr>
          <w:p w:rsidR="00F07E05" w:rsidRDefault="00F07E05" w:rsidP="008A253E">
            <w:pPr>
              <w:rPr>
                <w:color w:val="000000"/>
              </w:rPr>
            </w:pPr>
            <w:r>
              <w:rPr>
                <w:color w:val="000000"/>
              </w:rPr>
              <w:t>Плата за предоставление государственными органами субъектов Российской Федерации, казенными учреждениями субъектов Российской Федерации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w:t>
            </w:r>
          </w:p>
        </w:tc>
        <w:tc>
          <w:tcPr>
            <w:tcW w:w="1418" w:type="dxa"/>
            <w:tcBorders>
              <w:top w:val="nil"/>
              <w:left w:val="nil"/>
              <w:bottom w:val="single" w:sz="4" w:space="0" w:color="000000"/>
              <w:right w:val="single" w:sz="4" w:space="0" w:color="000000"/>
            </w:tcBorders>
            <w:shd w:val="clear" w:color="auto" w:fill="auto"/>
            <w:vAlign w:val="center"/>
            <w:hideMark/>
          </w:tcPr>
          <w:p w:rsidR="00F07E05" w:rsidRDefault="00F07E05" w:rsidP="008A253E">
            <w:pPr>
              <w:jc w:val="right"/>
              <w:rPr>
                <w:color w:val="000000"/>
              </w:rPr>
            </w:pPr>
            <w:r>
              <w:rPr>
                <w:color w:val="000000"/>
              </w:rPr>
              <w:t>50,3</w:t>
            </w:r>
          </w:p>
        </w:tc>
        <w:tc>
          <w:tcPr>
            <w:tcW w:w="1417" w:type="dxa"/>
            <w:tcBorders>
              <w:top w:val="nil"/>
              <w:left w:val="nil"/>
              <w:bottom w:val="single" w:sz="4" w:space="0" w:color="000000"/>
              <w:right w:val="single" w:sz="4" w:space="0" w:color="000000"/>
            </w:tcBorders>
            <w:shd w:val="clear" w:color="auto" w:fill="auto"/>
            <w:vAlign w:val="center"/>
            <w:hideMark/>
          </w:tcPr>
          <w:p w:rsidR="00F07E05" w:rsidRDefault="00F07E05" w:rsidP="008A253E">
            <w:pPr>
              <w:jc w:val="right"/>
              <w:rPr>
                <w:color w:val="000000"/>
              </w:rPr>
            </w:pPr>
            <w:r>
              <w:rPr>
                <w:color w:val="000000"/>
              </w:rPr>
              <w:t>50,3</w:t>
            </w:r>
          </w:p>
        </w:tc>
        <w:tc>
          <w:tcPr>
            <w:tcW w:w="1418" w:type="dxa"/>
            <w:tcBorders>
              <w:top w:val="nil"/>
              <w:left w:val="nil"/>
              <w:bottom w:val="single" w:sz="4" w:space="0" w:color="000000"/>
              <w:right w:val="single" w:sz="4" w:space="0" w:color="000000"/>
            </w:tcBorders>
            <w:shd w:val="clear" w:color="auto" w:fill="auto"/>
            <w:vAlign w:val="center"/>
            <w:hideMark/>
          </w:tcPr>
          <w:p w:rsidR="00F07E05" w:rsidRDefault="00F07E05" w:rsidP="008A253E">
            <w:pPr>
              <w:jc w:val="right"/>
              <w:rPr>
                <w:color w:val="000000"/>
              </w:rPr>
            </w:pPr>
            <w:r>
              <w:rPr>
                <w:color w:val="000000"/>
              </w:rPr>
              <w:t>50,3</w:t>
            </w:r>
          </w:p>
        </w:tc>
      </w:tr>
      <w:tr w:rsidR="00F07E05" w:rsidTr="008A253E">
        <w:trPr>
          <w:trHeight w:val="1602"/>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F07E05" w:rsidRDefault="00F07E05" w:rsidP="008A253E">
            <w:pPr>
              <w:jc w:val="center"/>
              <w:rPr>
                <w:color w:val="000000"/>
              </w:rPr>
            </w:pPr>
            <w:r>
              <w:rPr>
                <w:color w:val="000000"/>
              </w:rPr>
              <w:lastRenderedPageBreak/>
              <w:t>000 1 13 01520 02 0000 130</w:t>
            </w:r>
          </w:p>
        </w:tc>
        <w:tc>
          <w:tcPr>
            <w:tcW w:w="3827" w:type="dxa"/>
            <w:tcBorders>
              <w:top w:val="nil"/>
              <w:left w:val="nil"/>
              <w:bottom w:val="single" w:sz="4" w:space="0" w:color="000000"/>
              <w:right w:val="single" w:sz="4" w:space="0" w:color="000000"/>
            </w:tcBorders>
            <w:shd w:val="clear" w:color="auto" w:fill="auto"/>
            <w:hideMark/>
          </w:tcPr>
          <w:p w:rsidR="00F07E05" w:rsidRDefault="00F07E05" w:rsidP="008A253E">
            <w:pPr>
              <w:rPr>
                <w:color w:val="000000"/>
              </w:rPr>
            </w:pPr>
            <w:r>
              <w:rPr>
                <w:color w:val="000000"/>
              </w:rPr>
              <w:t>Плата за оказание услуг по присоединению объектов дорожного сервиса к автомобильным дорогам общего пользования регионального или межмуниципального значения, зачисляемая в бюджеты субъектов Российской Федерации</w:t>
            </w:r>
          </w:p>
        </w:tc>
        <w:tc>
          <w:tcPr>
            <w:tcW w:w="1418" w:type="dxa"/>
            <w:tcBorders>
              <w:top w:val="nil"/>
              <w:left w:val="nil"/>
              <w:bottom w:val="single" w:sz="4" w:space="0" w:color="000000"/>
              <w:right w:val="single" w:sz="4" w:space="0" w:color="000000"/>
            </w:tcBorders>
            <w:shd w:val="clear" w:color="auto" w:fill="auto"/>
            <w:vAlign w:val="center"/>
            <w:hideMark/>
          </w:tcPr>
          <w:p w:rsidR="00F07E05" w:rsidRDefault="00F07E05" w:rsidP="008A253E">
            <w:pPr>
              <w:jc w:val="right"/>
              <w:rPr>
                <w:color w:val="000000"/>
              </w:rPr>
            </w:pPr>
            <w:r>
              <w:rPr>
                <w:color w:val="000000"/>
              </w:rPr>
              <w:t>108,3</w:t>
            </w:r>
          </w:p>
        </w:tc>
        <w:tc>
          <w:tcPr>
            <w:tcW w:w="1417" w:type="dxa"/>
            <w:tcBorders>
              <w:top w:val="nil"/>
              <w:left w:val="nil"/>
              <w:bottom w:val="single" w:sz="4" w:space="0" w:color="000000"/>
              <w:right w:val="single" w:sz="4" w:space="0" w:color="000000"/>
            </w:tcBorders>
            <w:shd w:val="clear" w:color="auto" w:fill="auto"/>
            <w:vAlign w:val="center"/>
            <w:hideMark/>
          </w:tcPr>
          <w:p w:rsidR="00F07E05" w:rsidRDefault="00F07E05" w:rsidP="008A253E">
            <w:pPr>
              <w:jc w:val="right"/>
              <w:rPr>
                <w:color w:val="000000"/>
              </w:rPr>
            </w:pPr>
            <w:r>
              <w:rPr>
                <w:color w:val="000000"/>
              </w:rPr>
              <w:t>114,2</w:t>
            </w:r>
          </w:p>
        </w:tc>
        <w:tc>
          <w:tcPr>
            <w:tcW w:w="1418" w:type="dxa"/>
            <w:tcBorders>
              <w:top w:val="nil"/>
              <w:left w:val="nil"/>
              <w:bottom w:val="single" w:sz="4" w:space="0" w:color="000000"/>
              <w:right w:val="single" w:sz="4" w:space="0" w:color="000000"/>
            </w:tcBorders>
            <w:shd w:val="clear" w:color="auto" w:fill="auto"/>
            <w:vAlign w:val="center"/>
            <w:hideMark/>
          </w:tcPr>
          <w:p w:rsidR="00F07E05" w:rsidRDefault="00F07E05" w:rsidP="008A253E">
            <w:pPr>
              <w:jc w:val="right"/>
              <w:rPr>
                <w:color w:val="000000"/>
              </w:rPr>
            </w:pPr>
            <w:r>
              <w:rPr>
                <w:color w:val="000000"/>
              </w:rPr>
              <w:t>120,6</w:t>
            </w:r>
          </w:p>
        </w:tc>
      </w:tr>
      <w:tr w:rsidR="00F07E05" w:rsidTr="008A253E">
        <w:trPr>
          <w:trHeight w:val="979"/>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F07E05" w:rsidRDefault="00F07E05" w:rsidP="008A253E">
            <w:pPr>
              <w:jc w:val="center"/>
              <w:rPr>
                <w:color w:val="000000"/>
              </w:rPr>
            </w:pPr>
            <w:r>
              <w:rPr>
                <w:color w:val="000000"/>
              </w:rPr>
              <w:t>000 1 13 01992 02 0000 130</w:t>
            </w:r>
          </w:p>
        </w:tc>
        <w:tc>
          <w:tcPr>
            <w:tcW w:w="3827" w:type="dxa"/>
            <w:tcBorders>
              <w:top w:val="nil"/>
              <w:left w:val="nil"/>
              <w:bottom w:val="single" w:sz="4" w:space="0" w:color="000000"/>
              <w:right w:val="single" w:sz="4" w:space="0" w:color="000000"/>
            </w:tcBorders>
            <w:shd w:val="clear" w:color="auto" w:fill="auto"/>
            <w:hideMark/>
          </w:tcPr>
          <w:p w:rsidR="00F07E05" w:rsidRDefault="00F07E05" w:rsidP="008A253E">
            <w:pPr>
              <w:rPr>
                <w:color w:val="000000"/>
              </w:rPr>
            </w:pPr>
            <w:r>
              <w:rPr>
                <w:color w:val="000000"/>
              </w:rPr>
              <w:t>Прочие доходы от оказания платных услуг (работ) получателями средств бюджетов субъектов Российской Федерации</w:t>
            </w:r>
          </w:p>
        </w:tc>
        <w:tc>
          <w:tcPr>
            <w:tcW w:w="1418" w:type="dxa"/>
            <w:tcBorders>
              <w:top w:val="nil"/>
              <w:left w:val="nil"/>
              <w:bottom w:val="single" w:sz="4" w:space="0" w:color="000000"/>
              <w:right w:val="single" w:sz="4" w:space="0" w:color="000000"/>
            </w:tcBorders>
            <w:shd w:val="clear" w:color="auto" w:fill="auto"/>
            <w:vAlign w:val="center"/>
            <w:hideMark/>
          </w:tcPr>
          <w:p w:rsidR="00F07E05" w:rsidRDefault="00F07E05" w:rsidP="008A253E">
            <w:pPr>
              <w:jc w:val="right"/>
              <w:rPr>
                <w:color w:val="000000"/>
              </w:rPr>
            </w:pPr>
            <w:r>
              <w:rPr>
                <w:color w:val="000000"/>
              </w:rPr>
              <w:t>38 061,3</w:t>
            </w:r>
          </w:p>
        </w:tc>
        <w:tc>
          <w:tcPr>
            <w:tcW w:w="1417" w:type="dxa"/>
            <w:tcBorders>
              <w:top w:val="nil"/>
              <w:left w:val="nil"/>
              <w:bottom w:val="single" w:sz="4" w:space="0" w:color="000000"/>
              <w:right w:val="single" w:sz="4" w:space="0" w:color="000000"/>
            </w:tcBorders>
            <w:shd w:val="clear" w:color="auto" w:fill="auto"/>
            <w:vAlign w:val="center"/>
            <w:hideMark/>
          </w:tcPr>
          <w:p w:rsidR="00F07E05" w:rsidRDefault="00F07E05" w:rsidP="008A253E">
            <w:pPr>
              <w:jc w:val="right"/>
              <w:rPr>
                <w:color w:val="000000"/>
              </w:rPr>
            </w:pPr>
            <w:r>
              <w:rPr>
                <w:color w:val="000000"/>
              </w:rPr>
              <w:t>39 031,3</w:t>
            </w:r>
          </w:p>
        </w:tc>
        <w:tc>
          <w:tcPr>
            <w:tcW w:w="1418" w:type="dxa"/>
            <w:tcBorders>
              <w:top w:val="nil"/>
              <w:left w:val="nil"/>
              <w:bottom w:val="single" w:sz="4" w:space="0" w:color="000000"/>
              <w:right w:val="single" w:sz="4" w:space="0" w:color="000000"/>
            </w:tcBorders>
            <w:shd w:val="clear" w:color="auto" w:fill="auto"/>
            <w:vAlign w:val="center"/>
            <w:hideMark/>
          </w:tcPr>
          <w:p w:rsidR="00F07E05" w:rsidRDefault="00F07E05" w:rsidP="008A253E">
            <w:pPr>
              <w:jc w:val="right"/>
              <w:rPr>
                <w:color w:val="000000"/>
              </w:rPr>
            </w:pPr>
            <w:r>
              <w:rPr>
                <w:color w:val="000000"/>
              </w:rPr>
              <w:t>39 608,8</w:t>
            </w:r>
          </w:p>
        </w:tc>
      </w:tr>
      <w:tr w:rsidR="00F07E05" w:rsidTr="008A253E">
        <w:trPr>
          <w:trHeight w:val="300"/>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F07E05" w:rsidRDefault="00F07E05" w:rsidP="008A253E">
            <w:pPr>
              <w:jc w:val="center"/>
              <w:rPr>
                <w:b/>
                <w:bCs/>
                <w:color w:val="000000"/>
              </w:rPr>
            </w:pPr>
            <w:r>
              <w:rPr>
                <w:b/>
                <w:bCs/>
                <w:color w:val="000000"/>
              </w:rPr>
              <w:t>000 1 13 02000 00 0000 130</w:t>
            </w:r>
          </w:p>
        </w:tc>
        <w:tc>
          <w:tcPr>
            <w:tcW w:w="3827" w:type="dxa"/>
            <w:tcBorders>
              <w:top w:val="nil"/>
              <w:left w:val="nil"/>
              <w:bottom w:val="single" w:sz="4" w:space="0" w:color="000000"/>
              <w:right w:val="single" w:sz="4" w:space="0" w:color="000000"/>
            </w:tcBorders>
            <w:shd w:val="clear" w:color="auto" w:fill="auto"/>
            <w:hideMark/>
          </w:tcPr>
          <w:p w:rsidR="00F07E05" w:rsidRDefault="00F07E05" w:rsidP="008A253E">
            <w:pPr>
              <w:rPr>
                <w:b/>
                <w:bCs/>
                <w:color w:val="000000"/>
              </w:rPr>
            </w:pPr>
            <w:r>
              <w:rPr>
                <w:b/>
                <w:bCs/>
                <w:color w:val="000000"/>
              </w:rPr>
              <w:t>Доходы от компенсации затрат государства</w:t>
            </w:r>
          </w:p>
        </w:tc>
        <w:tc>
          <w:tcPr>
            <w:tcW w:w="1418" w:type="dxa"/>
            <w:tcBorders>
              <w:top w:val="nil"/>
              <w:left w:val="nil"/>
              <w:bottom w:val="single" w:sz="4" w:space="0" w:color="000000"/>
              <w:right w:val="single" w:sz="4" w:space="0" w:color="000000"/>
            </w:tcBorders>
            <w:shd w:val="clear" w:color="auto" w:fill="auto"/>
            <w:vAlign w:val="center"/>
            <w:hideMark/>
          </w:tcPr>
          <w:p w:rsidR="00F07E05" w:rsidRDefault="009258D3" w:rsidP="008A253E">
            <w:pPr>
              <w:jc w:val="right"/>
              <w:rPr>
                <w:b/>
                <w:bCs/>
                <w:color w:val="000000"/>
              </w:rPr>
            </w:pPr>
            <w:r>
              <w:rPr>
                <w:b/>
                <w:bCs/>
                <w:color w:val="000000"/>
              </w:rPr>
              <w:t>2 280 010,8</w:t>
            </w:r>
          </w:p>
        </w:tc>
        <w:tc>
          <w:tcPr>
            <w:tcW w:w="1417" w:type="dxa"/>
            <w:tcBorders>
              <w:top w:val="nil"/>
              <w:left w:val="nil"/>
              <w:bottom w:val="single" w:sz="4" w:space="0" w:color="000000"/>
              <w:right w:val="single" w:sz="4" w:space="0" w:color="000000"/>
            </w:tcBorders>
            <w:shd w:val="clear" w:color="auto" w:fill="auto"/>
            <w:vAlign w:val="center"/>
            <w:hideMark/>
          </w:tcPr>
          <w:p w:rsidR="00F07E05" w:rsidRDefault="009258D3" w:rsidP="008A253E">
            <w:pPr>
              <w:jc w:val="right"/>
              <w:rPr>
                <w:b/>
                <w:bCs/>
                <w:color w:val="000000"/>
              </w:rPr>
            </w:pPr>
            <w:r>
              <w:rPr>
                <w:b/>
                <w:bCs/>
                <w:color w:val="000000"/>
              </w:rPr>
              <w:t>2 124 642,7</w:t>
            </w:r>
          </w:p>
        </w:tc>
        <w:tc>
          <w:tcPr>
            <w:tcW w:w="1418" w:type="dxa"/>
            <w:tcBorders>
              <w:top w:val="nil"/>
              <w:left w:val="nil"/>
              <w:bottom w:val="single" w:sz="4" w:space="0" w:color="000000"/>
              <w:right w:val="single" w:sz="4" w:space="0" w:color="000000"/>
            </w:tcBorders>
            <w:shd w:val="clear" w:color="auto" w:fill="auto"/>
            <w:vAlign w:val="center"/>
            <w:hideMark/>
          </w:tcPr>
          <w:p w:rsidR="00F07E05" w:rsidRDefault="009258D3" w:rsidP="008A253E">
            <w:pPr>
              <w:jc w:val="right"/>
              <w:rPr>
                <w:b/>
                <w:bCs/>
                <w:color w:val="000000"/>
              </w:rPr>
            </w:pPr>
            <w:r>
              <w:rPr>
                <w:b/>
                <w:bCs/>
                <w:color w:val="000000"/>
              </w:rPr>
              <w:t>2 724 157,6</w:t>
            </w:r>
          </w:p>
        </w:tc>
      </w:tr>
      <w:tr w:rsidR="00F07E05" w:rsidTr="008A253E">
        <w:trPr>
          <w:trHeight w:val="979"/>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F07E05" w:rsidRDefault="00F07E05" w:rsidP="008A253E">
            <w:pPr>
              <w:jc w:val="center"/>
              <w:rPr>
                <w:color w:val="000000"/>
              </w:rPr>
            </w:pPr>
            <w:r>
              <w:rPr>
                <w:color w:val="000000"/>
              </w:rPr>
              <w:t>000 1 13 02062 02 0000 130</w:t>
            </w:r>
          </w:p>
        </w:tc>
        <w:tc>
          <w:tcPr>
            <w:tcW w:w="3827" w:type="dxa"/>
            <w:tcBorders>
              <w:top w:val="nil"/>
              <w:left w:val="nil"/>
              <w:bottom w:val="single" w:sz="4" w:space="0" w:color="000000"/>
              <w:right w:val="single" w:sz="4" w:space="0" w:color="000000"/>
            </w:tcBorders>
            <w:shd w:val="clear" w:color="auto" w:fill="auto"/>
            <w:hideMark/>
          </w:tcPr>
          <w:p w:rsidR="00F07E05" w:rsidRDefault="00F07E05" w:rsidP="008A253E">
            <w:pPr>
              <w:rPr>
                <w:color w:val="000000"/>
              </w:rPr>
            </w:pPr>
            <w:r>
              <w:rPr>
                <w:color w:val="000000"/>
              </w:rPr>
              <w:t>Доходы, поступающие в порядке возмещения расходов, понесенных в связи с эксплуатацией имущества субъектов Российской Федерации</w:t>
            </w:r>
          </w:p>
        </w:tc>
        <w:tc>
          <w:tcPr>
            <w:tcW w:w="1418" w:type="dxa"/>
            <w:tcBorders>
              <w:top w:val="nil"/>
              <w:left w:val="nil"/>
              <w:bottom w:val="single" w:sz="4" w:space="0" w:color="000000"/>
              <w:right w:val="single" w:sz="4" w:space="0" w:color="000000"/>
            </w:tcBorders>
            <w:shd w:val="clear" w:color="auto" w:fill="auto"/>
            <w:vAlign w:val="center"/>
            <w:hideMark/>
          </w:tcPr>
          <w:p w:rsidR="00F07E05" w:rsidRDefault="00F07E05" w:rsidP="008A253E">
            <w:pPr>
              <w:jc w:val="right"/>
              <w:rPr>
                <w:color w:val="000000"/>
              </w:rPr>
            </w:pPr>
            <w:r>
              <w:rPr>
                <w:color w:val="000000"/>
              </w:rPr>
              <w:t>6 508,1</w:t>
            </w:r>
          </w:p>
        </w:tc>
        <w:tc>
          <w:tcPr>
            <w:tcW w:w="1417" w:type="dxa"/>
            <w:tcBorders>
              <w:top w:val="nil"/>
              <w:left w:val="nil"/>
              <w:bottom w:val="single" w:sz="4" w:space="0" w:color="000000"/>
              <w:right w:val="single" w:sz="4" w:space="0" w:color="000000"/>
            </w:tcBorders>
            <w:shd w:val="clear" w:color="auto" w:fill="auto"/>
            <w:vAlign w:val="center"/>
            <w:hideMark/>
          </w:tcPr>
          <w:p w:rsidR="00F07E05" w:rsidRDefault="00F07E05" w:rsidP="008A253E">
            <w:pPr>
              <w:jc w:val="right"/>
              <w:rPr>
                <w:color w:val="000000"/>
              </w:rPr>
            </w:pPr>
            <w:r>
              <w:rPr>
                <w:color w:val="000000"/>
              </w:rPr>
              <w:t>6 649,1</w:t>
            </w:r>
          </w:p>
        </w:tc>
        <w:tc>
          <w:tcPr>
            <w:tcW w:w="1418" w:type="dxa"/>
            <w:tcBorders>
              <w:top w:val="nil"/>
              <w:left w:val="nil"/>
              <w:bottom w:val="single" w:sz="4" w:space="0" w:color="000000"/>
              <w:right w:val="single" w:sz="4" w:space="0" w:color="000000"/>
            </w:tcBorders>
            <w:shd w:val="clear" w:color="auto" w:fill="auto"/>
            <w:vAlign w:val="center"/>
            <w:hideMark/>
          </w:tcPr>
          <w:p w:rsidR="00F07E05" w:rsidRDefault="00F07E05" w:rsidP="008A253E">
            <w:pPr>
              <w:jc w:val="right"/>
              <w:rPr>
                <w:color w:val="000000"/>
              </w:rPr>
            </w:pPr>
            <w:r>
              <w:rPr>
                <w:color w:val="000000"/>
              </w:rPr>
              <w:t>6 796,9</w:t>
            </w:r>
          </w:p>
        </w:tc>
      </w:tr>
      <w:tr w:rsidR="00F07E05" w:rsidTr="009258D3">
        <w:trPr>
          <w:trHeight w:val="645"/>
        </w:trPr>
        <w:tc>
          <w:tcPr>
            <w:tcW w:w="2977" w:type="dxa"/>
            <w:tcBorders>
              <w:top w:val="nil"/>
              <w:left w:val="single" w:sz="4" w:space="0" w:color="000000"/>
              <w:bottom w:val="single" w:sz="4" w:space="0" w:color="000000"/>
              <w:right w:val="single" w:sz="4" w:space="0" w:color="000000"/>
            </w:tcBorders>
            <w:shd w:val="clear" w:color="auto" w:fill="auto"/>
            <w:vAlign w:val="center"/>
            <w:hideMark/>
          </w:tcPr>
          <w:p w:rsidR="00F07E05" w:rsidRDefault="00F07E05" w:rsidP="008A253E">
            <w:pPr>
              <w:jc w:val="center"/>
              <w:rPr>
                <w:color w:val="000000"/>
              </w:rPr>
            </w:pPr>
            <w:r>
              <w:rPr>
                <w:color w:val="000000"/>
              </w:rPr>
              <w:t>000 1 13 02992 02 0000 130</w:t>
            </w:r>
          </w:p>
        </w:tc>
        <w:tc>
          <w:tcPr>
            <w:tcW w:w="3827" w:type="dxa"/>
            <w:tcBorders>
              <w:top w:val="nil"/>
              <w:left w:val="nil"/>
              <w:bottom w:val="single" w:sz="4" w:space="0" w:color="000000"/>
              <w:right w:val="single" w:sz="4" w:space="0" w:color="000000"/>
            </w:tcBorders>
            <w:shd w:val="clear" w:color="auto" w:fill="auto"/>
            <w:hideMark/>
          </w:tcPr>
          <w:p w:rsidR="00F07E05" w:rsidRDefault="00F07E05" w:rsidP="008A253E">
            <w:pPr>
              <w:rPr>
                <w:color w:val="000000"/>
              </w:rPr>
            </w:pPr>
            <w:r>
              <w:rPr>
                <w:color w:val="000000"/>
              </w:rPr>
              <w:t>Прочие доходы от компенсации затрат бюджетов субъектов Российской Федерации</w:t>
            </w:r>
          </w:p>
        </w:tc>
        <w:tc>
          <w:tcPr>
            <w:tcW w:w="1418" w:type="dxa"/>
            <w:tcBorders>
              <w:top w:val="nil"/>
              <w:left w:val="nil"/>
              <w:bottom w:val="single" w:sz="4" w:space="0" w:color="000000"/>
              <w:right w:val="single" w:sz="4" w:space="0" w:color="000000"/>
            </w:tcBorders>
            <w:shd w:val="clear" w:color="auto" w:fill="auto"/>
            <w:vAlign w:val="center"/>
          </w:tcPr>
          <w:p w:rsidR="00F07E05" w:rsidRDefault="009258D3" w:rsidP="008A253E">
            <w:pPr>
              <w:jc w:val="right"/>
              <w:rPr>
                <w:color w:val="000000"/>
              </w:rPr>
            </w:pPr>
            <w:r>
              <w:rPr>
                <w:color w:val="000000"/>
              </w:rPr>
              <w:t>2 273 502,7</w:t>
            </w:r>
          </w:p>
        </w:tc>
        <w:tc>
          <w:tcPr>
            <w:tcW w:w="1417" w:type="dxa"/>
            <w:tcBorders>
              <w:top w:val="nil"/>
              <w:left w:val="nil"/>
              <w:bottom w:val="single" w:sz="4" w:space="0" w:color="000000"/>
              <w:right w:val="single" w:sz="4" w:space="0" w:color="000000"/>
            </w:tcBorders>
            <w:shd w:val="clear" w:color="auto" w:fill="auto"/>
            <w:vAlign w:val="center"/>
          </w:tcPr>
          <w:p w:rsidR="00F07E05" w:rsidRDefault="009258D3" w:rsidP="008A253E">
            <w:pPr>
              <w:jc w:val="right"/>
              <w:rPr>
                <w:color w:val="000000"/>
              </w:rPr>
            </w:pPr>
            <w:r>
              <w:rPr>
                <w:color w:val="000000"/>
              </w:rPr>
              <w:t xml:space="preserve">2 </w:t>
            </w:r>
            <w:r w:rsidR="0017788B">
              <w:rPr>
                <w:color w:val="000000"/>
              </w:rPr>
              <w:t>11</w:t>
            </w:r>
            <w:r>
              <w:rPr>
                <w:color w:val="000000"/>
              </w:rPr>
              <w:t>7 993,6</w:t>
            </w:r>
          </w:p>
        </w:tc>
        <w:tc>
          <w:tcPr>
            <w:tcW w:w="1418" w:type="dxa"/>
            <w:tcBorders>
              <w:top w:val="nil"/>
              <w:left w:val="nil"/>
              <w:bottom w:val="single" w:sz="4" w:space="0" w:color="000000"/>
              <w:right w:val="single" w:sz="4" w:space="0" w:color="000000"/>
            </w:tcBorders>
            <w:shd w:val="clear" w:color="auto" w:fill="auto"/>
            <w:vAlign w:val="center"/>
          </w:tcPr>
          <w:p w:rsidR="00F07E05" w:rsidRDefault="009258D3" w:rsidP="008A253E">
            <w:pPr>
              <w:jc w:val="right"/>
              <w:rPr>
                <w:color w:val="000000"/>
              </w:rPr>
            </w:pPr>
            <w:r>
              <w:rPr>
                <w:color w:val="000000"/>
              </w:rPr>
              <w:t>2 717 360,7</w:t>
            </w:r>
          </w:p>
        </w:tc>
      </w:tr>
    </w:tbl>
    <w:p w:rsidR="00F07E05" w:rsidRDefault="00F07E05" w:rsidP="00F07E05">
      <w:pPr>
        <w:tabs>
          <w:tab w:val="left" w:pos="7371"/>
        </w:tabs>
        <w:jc w:val="both"/>
        <w:rPr>
          <w:sz w:val="28"/>
          <w:szCs w:val="28"/>
        </w:rPr>
      </w:pPr>
    </w:p>
    <w:p w:rsidR="00F07E05" w:rsidRDefault="00F07E05" w:rsidP="00F07E05">
      <w:pPr>
        <w:jc w:val="center"/>
        <w:rPr>
          <w:b/>
          <w:sz w:val="28"/>
          <w:szCs w:val="28"/>
        </w:rPr>
      </w:pPr>
      <w:r>
        <w:rPr>
          <w:b/>
          <w:sz w:val="28"/>
          <w:szCs w:val="28"/>
        </w:rPr>
        <w:t>Доходы от оказания платных услуг.</w:t>
      </w:r>
    </w:p>
    <w:p w:rsidR="00F07E05" w:rsidRDefault="00F07E05" w:rsidP="00F07E05">
      <w:pPr>
        <w:autoSpaceDE w:val="0"/>
        <w:autoSpaceDN w:val="0"/>
        <w:adjustRightInd w:val="0"/>
        <w:ind w:firstLine="540"/>
        <w:jc w:val="both"/>
        <w:rPr>
          <w:sz w:val="28"/>
          <w:szCs w:val="28"/>
        </w:rPr>
      </w:pPr>
    </w:p>
    <w:p w:rsidR="00F07E05" w:rsidRPr="002E2452" w:rsidRDefault="00F07E05" w:rsidP="00F07E05">
      <w:pPr>
        <w:jc w:val="center"/>
        <w:rPr>
          <w:b/>
          <w:color w:val="FF0000"/>
          <w:sz w:val="28"/>
          <w:szCs w:val="28"/>
        </w:rPr>
      </w:pPr>
      <w:r w:rsidRPr="00F85C0F">
        <w:rPr>
          <w:b/>
          <w:sz w:val="28"/>
          <w:szCs w:val="28"/>
        </w:rPr>
        <w:t>Управление Федеральной налоговой службы по Тверской области</w:t>
      </w:r>
    </w:p>
    <w:p w:rsidR="00F07E05" w:rsidRPr="00A25786" w:rsidRDefault="00F07E05" w:rsidP="00F07E05">
      <w:pPr>
        <w:jc w:val="center"/>
        <w:rPr>
          <w:b/>
          <w:color w:val="FF0000"/>
          <w:sz w:val="28"/>
          <w:szCs w:val="28"/>
        </w:rPr>
      </w:pPr>
    </w:p>
    <w:p w:rsidR="00F07E05" w:rsidRPr="00856E73" w:rsidRDefault="00F07E05" w:rsidP="00F07E05">
      <w:pPr>
        <w:ind w:firstLine="709"/>
        <w:jc w:val="both"/>
        <w:rPr>
          <w:sz w:val="28"/>
          <w:szCs w:val="28"/>
        </w:rPr>
      </w:pPr>
      <w:r w:rsidRPr="00C93A58">
        <w:rPr>
          <w:sz w:val="28"/>
          <w:szCs w:val="28"/>
        </w:rPr>
        <w:t xml:space="preserve">Управление Федеральной </w:t>
      </w:r>
      <w:r>
        <w:rPr>
          <w:sz w:val="28"/>
          <w:szCs w:val="28"/>
        </w:rPr>
        <w:t xml:space="preserve">налоговой службы </w:t>
      </w:r>
      <w:r w:rsidRPr="00C93A58">
        <w:rPr>
          <w:sz w:val="28"/>
          <w:szCs w:val="28"/>
        </w:rPr>
        <w:t xml:space="preserve">по Тверской области прогнозирует получение </w:t>
      </w:r>
      <w:r w:rsidRPr="00856E73">
        <w:rPr>
          <w:sz w:val="28"/>
          <w:szCs w:val="28"/>
        </w:rPr>
        <w:t>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w:t>
      </w:r>
    </w:p>
    <w:p w:rsidR="00F07E05" w:rsidRPr="00C93A58" w:rsidRDefault="00F07E05" w:rsidP="00F07E05">
      <w:pPr>
        <w:ind w:firstLine="709"/>
        <w:jc w:val="right"/>
        <w:rPr>
          <w:b/>
          <w:sz w:val="20"/>
          <w:szCs w:val="20"/>
        </w:rPr>
      </w:pPr>
      <w:r w:rsidRPr="00C93A58">
        <w:rPr>
          <w:b/>
          <w:sz w:val="20"/>
          <w:szCs w:val="20"/>
        </w:rPr>
        <w:t>тыс. руб.</w:t>
      </w:r>
    </w:p>
    <w:tbl>
      <w:tblPr>
        <w:tblW w:w="9513" w:type="dxa"/>
        <w:tblInd w:w="-72" w:type="dxa"/>
        <w:tblLayout w:type="fixed"/>
        <w:tblLook w:val="0000" w:firstRow="0" w:lastRow="0" w:firstColumn="0" w:lastColumn="0" w:noHBand="0" w:noVBand="0"/>
      </w:tblPr>
      <w:tblGrid>
        <w:gridCol w:w="2619"/>
        <w:gridCol w:w="3402"/>
        <w:gridCol w:w="1134"/>
        <w:gridCol w:w="1134"/>
        <w:gridCol w:w="1224"/>
      </w:tblGrid>
      <w:tr w:rsidR="00F07E05" w:rsidRPr="00C93A58" w:rsidTr="008A253E">
        <w:trPr>
          <w:trHeight w:val="507"/>
        </w:trPr>
        <w:tc>
          <w:tcPr>
            <w:tcW w:w="2619" w:type="dxa"/>
            <w:tcBorders>
              <w:top w:val="single" w:sz="4" w:space="0" w:color="auto"/>
              <w:left w:val="single" w:sz="4" w:space="0" w:color="auto"/>
              <w:bottom w:val="single" w:sz="4" w:space="0" w:color="auto"/>
              <w:right w:val="single" w:sz="4" w:space="0" w:color="auto"/>
            </w:tcBorders>
            <w:noWrap/>
          </w:tcPr>
          <w:p w:rsidR="00F07E05" w:rsidRPr="00C93A58" w:rsidRDefault="00F07E05" w:rsidP="008A253E">
            <w:pPr>
              <w:jc w:val="center"/>
              <w:rPr>
                <w:b/>
                <w:sz w:val="20"/>
                <w:szCs w:val="20"/>
              </w:rPr>
            </w:pPr>
            <w:r w:rsidRPr="00C93A58">
              <w:rPr>
                <w:b/>
                <w:sz w:val="20"/>
                <w:szCs w:val="20"/>
              </w:rPr>
              <w:t xml:space="preserve">КБК </w:t>
            </w:r>
          </w:p>
        </w:tc>
        <w:tc>
          <w:tcPr>
            <w:tcW w:w="3402" w:type="dxa"/>
            <w:tcBorders>
              <w:top w:val="single" w:sz="4" w:space="0" w:color="auto"/>
              <w:left w:val="single" w:sz="4" w:space="0" w:color="auto"/>
              <w:bottom w:val="single" w:sz="4" w:space="0" w:color="auto"/>
              <w:right w:val="single" w:sz="4" w:space="0" w:color="auto"/>
            </w:tcBorders>
            <w:noWrap/>
          </w:tcPr>
          <w:p w:rsidR="00F07E05" w:rsidRPr="00C93A58" w:rsidRDefault="00F07E05" w:rsidP="008A253E">
            <w:pPr>
              <w:jc w:val="center"/>
              <w:rPr>
                <w:b/>
                <w:sz w:val="20"/>
                <w:szCs w:val="20"/>
              </w:rPr>
            </w:pPr>
            <w:r w:rsidRPr="00C93A58">
              <w:rPr>
                <w:b/>
                <w:sz w:val="20"/>
                <w:szCs w:val="20"/>
              </w:rPr>
              <w:t>Наименование</w:t>
            </w:r>
          </w:p>
        </w:tc>
        <w:tc>
          <w:tcPr>
            <w:tcW w:w="1134" w:type="dxa"/>
            <w:tcBorders>
              <w:top w:val="single" w:sz="4" w:space="0" w:color="auto"/>
              <w:left w:val="single" w:sz="4" w:space="0" w:color="auto"/>
              <w:bottom w:val="single" w:sz="4" w:space="0" w:color="auto"/>
              <w:right w:val="single" w:sz="4" w:space="0" w:color="auto"/>
            </w:tcBorders>
          </w:tcPr>
          <w:p w:rsidR="00F07E05" w:rsidRPr="00C93A58" w:rsidRDefault="00F07E05" w:rsidP="008A253E">
            <w:pPr>
              <w:jc w:val="center"/>
              <w:rPr>
                <w:b/>
                <w:sz w:val="20"/>
                <w:szCs w:val="20"/>
                <w:lang w:val="en-US"/>
              </w:rPr>
            </w:pPr>
            <w:r w:rsidRPr="00C93A58">
              <w:rPr>
                <w:b/>
                <w:sz w:val="20"/>
                <w:szCs w:val="20"/>
              </w:rPr>
              <w:t>Прогноз на 20</w:t>
            </w:r>
            <w:r>
              <w:rPr>
                <w:b/>
                <w:sz w:val="20"/>
                <w:szCs w:val="20"/>
              </w:rPr>
              <w:t>22</w:t>
            </w:r>
            <w:r w:rsidRPr="00C93A58">
              <w:rPr>
                <w:b/>
                <w:sz w:val="20"/>
                <w:szCs w:val="20"/>
              </w:rPr>
              <w:t xml:space="preserve"> год</w:t>
            </w:r>
          </w:p>
        </w:tc>
        <w:tc>
          <w:tcPr>
            <w:tcW w:w="1134" w:type="dxa"/>
            <w:tcBorders>
              <w:top w:val="single" w:sz="4" w:space="0" w:color="auto"/>
              <w:left w:val="single" w:sz="4" w:space="0" w:color="auto"/>
              <w:bottom w:val="single" w:sz="4" w:space="0" w:color="auto"/>
              <w:right w:val="single" w:sz="4" w:space="0" w:color="auto"/>
            </w:tcBorders>
          </w:tcPr>
          <w:p w:rsidR="00F07E05" w:rsidRPr="00C93A58" w:rsidRDefault="00F07E05" w:rsidP="008A253E">
            <w:pPr>
              <w:jc w:val="center"/>
              <w:rPr>
                <w:b/>
                <w:sz w:val="20"/>
                <w:szCs w:val="20"/>
                <w:lang w:val="en-US"/>
              </w:rPr>
            </w:pPr>
            <w:r w:rsidRPr="00C93A58">
              <w:rPr>
                <w:b/>
                <w:sz w:val="20"/>
                <w:szCs w:val="20"/>
              </w:rPr>
              <w:t>Прогноз на 20</w:t>
            </w:r>
            <w:r>
              <w:rPr>
                <w:b/>
                <w:sz w:val="20"/>
                <w:szCs w:val="20"/>
              </w:rPr>
              <w:t>23</w:t>
            </w:r>
            <w:r w:rsidRPr="00C93A58">
              <w:rPr>
                <w:b/>
                <w:sz w:val="20"/>
                <w:szCs w:val="20"/>
              </w:rPr>
              <w:t xml:space="preserve"> год</w:t>
            </w:r>
          </w:p>
        </w:tc>
        <w:tc>
          <w:tcPr>
            <w:tcW w:w="1224" w:type="dxa"/>
            <w:tcBorders>
              <w:top w:val="single" w:sz="4" w:space="0" w:color="auto"/>
              <w:left w:val="single" w:sz="4" w:space="0" w:color="auto"/>
              <w:bottom w:val="single" w:sz="4" w:space="0" w:color="auto"/>
              <w:right w:val="single" w:sz="4" w:space="0" w:color="auto"/>
            </w:tcBorders>
            <w:vAlign w:val="bottom"/>
          </w:tcPr>
          <w:p w:rsidR="00F07E05" w:rsidRPr="00C93A58" w:rsidRDefault="00F07E05" w:rsidP="008A253E">
            <w:pPr>
              <w:jc w:val="center"/>
              <w:rPr>
                <w:b/>
                <w:sz w:val="20"/>
                <w:szCs w:val="20"/>
              </w:rPr>
            </w:pPr>
            <w:r w:rsidRPr="00C93A58">
              <w:rPr>
                <w:b/>
                <w:sz w:val="20"/>
                <w:szCs w:val="20"/>
              </w:rPr>
              <w:t>Прогноз на</w:t>
            </w:r>
          </w:p>
          <w:p w:rsidR="00F07E05" w:rsidRPr="00C93A58" w:rsidRDefault="00F07E05" w:rsidP="008A253E">
            <w:pPr>
              <w:jc w:val="center"/>
              <w:rPr>
                <w:b/>
                <w:sz w:val="20"/>
                <w:szCs w:val="20"/>
              </w:rPr>
            </w:pPr>
            <w:r w:rsidRPr="00C93A58">
              <w:rPr>
                <w:b/>
                <w:sz w:val="20"/>
                <w:szCs w:val="20"/>
              </w:rPr>
              <w:t>20</w:t>
            </w:r>
            <w:r>
              <w:rPr>
                <w:b/>
                <w:sz w:val="20"/>
                <w:szCs w:val="20"/>
              </w:rPr>
              <w:t xml:space="preserve">24 </w:t>
            </w:r>
            <w:r w:rsidRPr="00C93A58">
              <w:rPr>
                <w:b/>
                <w:sz w:val="20"/>
                <w:szCs w:val="20"/>
              </w:rPr>
              <w:t>год</w:t>
            </w:r>
          </w:p>
          <w:p w:rsidR="00F07E05" w:rsidRPr="00C93A58" w:rsidRDefault="00F07E05" w:rsidP="008A253E">
            <w:pPr>
              <w:jc w:val="center"/>
              <w:rPr>
                <w:b/>
                <w:sz w:val="20"/>
                <w:szCs w:val="20"/>
              </w:rPr>
            </w:pPr>
          </w:p>
        </w:tc>
      </w:tr>
      <w:tr w:rsidR="00F07E05" w:rsidRPr="00C93A58" w:rsidTr="008A253E">
        <w:trPr>
          <w:trHeight w:val="551"/>
        </w:trPr>
        <w:tc>
          <w:tcPr>
            <w:tcW w:w="2619" w:type="dxa"/>
            <w:tcBorders>
              <w:top w:val="single" w:sz="4" w:space="0" w:color="auto"/>
              <w:left w:val="single" w:sz="4" w:space="0" w:color="auto"/>
              <w:bottom w:val="single" w:sz="4" w:space="0" w:color="auto"/>
              <w:right w:val="single" w:sz="4" w:space="0" w:color="auto"/>
            </w:tcBorders>
            <w:noWrap/>
          </w:tcPr>
          <w:p w:rsidR="00F07E05" w:rsidRPr="00C93A58" w:rsidRDefault="00F07E05" w:rsidP="008A253E">
            <w:pPr>
              <w:jc w:val="center"/>
              <w:rPr>
                <w:b/>
                <w:sz w:val="20"/>
                <w:szCs w:val="20"/>
              </w:rPr>
            </w:pPr>
            <w:r w:rsidRPr="00F87DA3">
              <w:rPr>
                <w:b/>
                <w:sz w:val="20"/>
                <w:szCs w:val="20"/>
              </w:rPr>
              <w:t>000 1 13 01020 01 0000 130</w:t>
            </w:r>
          </w:p>
        </w:tc>
        <w:tc>
          <w:tcPr>
            <w:tcW w:w="3402" w:type="dxa"/>
            <w:tcBorders>
              <w:top w:val="single" w:sz="4" w:space="0" w:color="auto"/>
              <w:left w:val="single" w:sz="4" w:space="0" w:color="auto"/>
              <w:bottom w:val="single" w:sz="4" w:space="0" w:color="auto"/>
              <w:right w:val="single" w:sz="4" w:space="0" w:color="auto"/>
            </w:tcBorders>
          </w:tcPr>
          <w:p w:rsidR="00F07E05" w:rsidRPr="00856E73" w:rsidRDefault="00F07E05" w:rsidP="008A253E">
            <w:pPr>
              <w:jc w:val="both"/>
              <w:rPr>
                <w:sz w:val="18"/>
                <w:szCs w:val="18"/>
              </w:rPr>
            </w:pPr>
            <w:r>
              <w:rPr>
                <w:color w:val="000000"/>
              </w:rPr>
              <w:t>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w:t>
            </w:r>
          </w:p>
        </w:tc>
        <w:tc>
          <w:tcPr>
            <w:tcW w:w="1134" w:type="dxa"/>
            <w:tcBorders>
              <w:top w:val="single" w:sz="4" w:space="0" w:color="auto"/>
              <w:left w:val="single" w:sz="4" w:space="0" w:color="auto"/>
              <w:bottom w:val="single" w:sz="4" w:space="0" w:color="auto"/>
              <w:right w:val="single" w:sz="4" w:space="0" w:color="auto"/>
            </w:tcBorders>
            <w:noWrap/>
          </w:tcPr>
          <w:p w:rsidR="00F07E05" w:rsidRDefault="00F07E05" w:rsidP="008A253E">
            <w:pPr>
              <w:pStyle w:val="a7"/>
              <w:ind w:left="0"/>
              <w:jc w:val="center"/>
              <w:rPr>
                <w:sz w:val="20"/>
                <w:szCs w:val="20"/>
              </w:rPr>
            </w:pPr>
          </w:p>
          <w:p w:rsidR="00F07E05" w:rsidRDefault="00F07E05" w:rsidP="008A253E">
            <w:pPr>
              <w:pStyle w:val="a7"/>
              <w:ind w:left="0"/>
              <w:jc w:val="center"/>
              <w:rPr>
                <w:sz w:val="20"/>
                <w:szCs w:val="20"/>
              </w:rPr>
            </w:pPr>
          </w:p>
          <w:p w:rsidR="00F07E05" w:rsidRDefault="00F07E05" w:rsidP="008A253E">
            <w:pPr>
              <w:pStyle w:val="a7"/>
              <w:ind w:left="0"/>
              <w:jc w:val="center"/>
              <w:rPr>
                <w:sz w:val="20"/>
                <w:szCs w:val="20"/>
              </w:rPr>
            </w:pPr>
          </w:p>
          <w:p w:rsidR="00F07E05" w:rsidRDefault="00F07E05" w:rsidP="008A253E">
            <w:pPr>
              <w:pStyle w:val="a7"/>
              <w:ind w:left="0"/>
              <w:jc w:val="center"/>
              <w:rPr>
                <w:sz w:val="20"/>
                <w:szCs w:val="20"/>
              </w:rPr>
            </w:pPr>
          </w:p>
          <w:p w:rsidR="00F07E05" w:rsidRDefault="00F07E05" w:rsidP="008A253E">
            <w:pPr>
              <w:pStyle w:val="a7"/>
              <w:ind w:left="0"/>
              <w:jc w:val="center"/>
              <w:rPr>
                <w:sz w:val="20"/>
                <w:szCs w:val="20"/>
              </w:rPr>
            </w:pPr>
          </w:p>
          <w:p w:rsidR="00F07E05" w:rsidRPr="00C93A58" w:rsidRDefault="00F07E05" w:rsidP="008A253E">
            <w:pPr>
              <w:pStyle w:val="a7"/>
              <w:ind w:left="0"/>
              <w:jc w:val="center"/>
              <w:rPr>
                <w:sz w:val="20"/>
                <w:szCs w:val="20"/>
              </w:rPr>
            </w:pPr>
            <w:r>
              <w:rPr>
                <w:sz w:val="20"/>
                <w:szCs w:val="20"/>
              </w:rPr>
              <w:t>2,0</w:t>
            </w:r>
          </w:p>
        </w:tc>
        <w:tc>
          <w:tcPr>
            <w:tcW w:w="1134" w:type="dxa"/>
            <w:tcBorders>
              <w:top w:val="single" w:sz="4" w:space="0" w:color="auto"/>
              <w:left w:val="single" w:sz="4" w:space="0" w:color="auto"/>
              <w:bottom w:val="single" w:sz="4" w:space="0" w:color="auto"/>
              <w:right w:val="single" w:sz="4" w:space="0" w:color="auto"/>
            </w:tcBorders>
            <w:noWrap/>
          </w:tcPr>
          <w:p w:rsidR="00F07E05" w:rsidRDefault="00F07E05" w:rsidP="008A253E">
            <w:pPr>
              <w:pStyle w:val="a7"/>
              <w:ind w:left="0"/>
              <w:jc w:val="center"/>
              <w:rPr>
                <w:sz w:val="20"/>
                <w:szCs w:val="20"/>
              </w:rPr>
            </w:pPr>
          </w:p>
          <w:p w:rsidR="00F07E05" w:rsidRDefault="00F07E05" w:rsidP="008A253E">
            <w:pPr>
              <w:pStyle w:val="a7"/>
              <w:ind w:left="0"/>
              <w:jc w:val="center"/>
              <w:rPr>
                <w:sz w:val="20"/>
                <w:szCs w:val="20"/>
              </w:rPr>
            </w:pPr>
          </w:p>
          <w:p w:rsidR="00F07E05" w:rsidRDefault="00F07E05" w:rsidP="008A253E">
            <w:pPr>
              <w:pStyle w:val="a7"/>
              <w:ind w:left="0"/>
              <w:jc w:val="center"/>
              <w:rPr>
                <w:sz w:val="20"/>
                <w:szCs w:val="20"/>
              </w:rPr>
            </w:pPr>
          </w:p>
          <w:p w:rsidR="00F07E05" w:rsidRDefault="00F07E05" w:rsidP="008A253E">
            <w:pPr>
              <w:pStyle w:val="a7"/>
              <w:ind w:left="0"/>
              <w:jc w:val="center"/>
              <w:rPr>
                <w:sz w:val="20"/>
                <w:szCs w:val="20"/>
              </w:rPr>
            </w:pPr>
          </w:p>
          <w:p w:rsidR="00F07E05" w:rsidRDefault="00F07E05" w:rsidP="008A253E">
            <w:pPr>
              <w:pStyle w:val="a7"/>
              <w:ind w:left="0"/>
              <w:jc w:val="center"/>
              <w:rPr>
                <w:sz w:val="20"/>
                <w:szCs w:val="20"/>
              </w:rPr>
            </w:pPr>
          </w:p>
          <w:p w:rsidR="00F07E05" w:rsidRPr="00C93A58" w:rsidRDefault="00F07E05" w:rsidP="008A253E">
            <w:pPr>
              <w:pStyle w:val="a7"/>
              <w:ind w:left="0"/>
              <w:jc w:val="center"/>
              <w:rPr>
                <w:sz w:val="20"/>
                <w:szCs w:val="20"/>
              </w:rPr>
            </w:pPr>
            <w:r>
              <w:rPr>
                <w:sz w:val="20"/>
                <w:szCs w:val="20"/>
              </w:rPr>
              <w:t>2,0</w:t>
            </w:r>
          </w:p>
        </w:tc>
        <w:tc>
          <w:tcPr>
            <w:tcW w:w="1224" w:type="dxa"/>
            <w:tcBorders>
              <w:top w:val="single" w:sz="4" w:space="0" w:color="auto"/>
              <w:left w:val="single" w:sz="4" w:space="0" w:color="auto"/>
              <w:bottom w:val="single" w:sz="4" w:space="0" w:color="auto"/>
              <w:right w:val="single" w:sz="4" w:space="0" w:color="auto"/>
            </w:tcBorders>
            <w:noWrap/>
          </w:tcPr>
          <w:p w:rsidR="00F07E05" w:rsidRDefault="00F07E05" w:rsidP="008A253E">
            <w:pPr>
              <w:pStyle w:val="a7"/>
              <w:ind w:left="0"/>
              <w:jc w:val="center"/>
              <w:rPr>
                <w:sz w:val="20"/>
                <w:szCs w:val="20"/>
              </w:rPr>
            </w:pPr>
          </w:p>
          <w:p w:rsidR="00F07E05" w:rsidRDefault="00F07E05" w:rsidP="008A253E">
            <w:pPr>
              <w:pStyle w:val="a7"/>
              <w:ind w:left="0"/>
              <w:jc w:val="center"/>
              <w:rPr>
                <w:sz w:val="20"/>
                <w:szCs w:val="20"/>
              </w:rPr>
            </w:pPr>
          </w:p>
          <w:p w:rsidR="00F07E05" w:rsidRDefault="00F07E05" w:rsidP="008A253E">
            <w:pPr>
              <w:pStyle w:val="a7"/>
              <w:ind w:left="0"/>
              <w:jc w:val="center"/>
              <w:rPr>
                <w:sz w:val="20"/>
                <w:szCs w:val="20"/>
              </w:rPr>
            </w:pPr>
          </w:p>
          <w:p w:rsidR="00F07E05" w:rsidRDefault="00F07E05" w:rsidP="008A253E">
            <w:pPr>
              <w:pStyle w:val="a7"/>
              <w:ind w:left="0"/>
              <w:jc w:val="center"/>
              <w:rPr>
                <w:sz w:val="20"/>
                <w:szCs w:val="20"/>
              </w:rPr>
            </w:pPr>
          </w:p>
          <w:p w:rsidR="00F07E05" w:rsidRDefault="00F07E05" w:rsidP="008A253E">
            <w:pPr>
              <w:pStyle w:val="a7"/>
              <w:ind w:left="0"/>
              <w:jc w:val="center"/>
              <w:rPr>
                <w:sz w:val="20"/>
                <w:szCs w:val="20"/>
              </w:rPr>
            </w:pPr>
          </w:p>
          <w:p w:rsidR="00F07E05" w:rsidRPr="00C93A58" w:rsidRDefault="00F07E05" w:rsidP="008A253E">
            <w:pPr>
              <w:pStyle w:val="a7"/>
              <w:ind w:left="0"/>
              <w:jc w:val="center"/>
              <w:rPr>
                <w:sz w:val="20"/>
                <w:szCs w:val="20"/>
              </w:rPr>
            </w:pPr>
            <w:r>
              <w:rPr>
                <w:sz w:val="20"/>
                <w:szCs w:val="20"/>
              </w:rPr>
              <w:t>2,0</w:t>
            </w:r>
          </w:p>
        </w:tc>
      </w:tr>
    </w:tbl>
    <w:p w:rsidR="00F07E05" w:rsidRPr="004C663A" w:rsidRDefault="00F07E05" w:rsidP="00F07E05">
      <w:pPr>
        <w:autoSpaceDE w:val="0"/>
        <w:autoSpaceDN w:val="0"/>
        <w:adjustRightInd w:val="0"/>
        <w:ind w:firstLine="709"/>
        <w:jc w:val="both"/>
        <w:rPr>
          <w:snapToGrid w:val="0"/>
          <w:sz w:val="28"/>
          <w:szCs w:val="28"/>
        </w:rPr>
      </w:pPr>
      <w:r w:rsidRPr="004C663A">
        <w:rPr>
          <w:snapToGrid w:val="0"/>
          <w:sz w:val="28"/>
          <w:szCs w:val="28"/>
        </w:rPr>
        <w:t xml:space="preserve">Оценка поступлений на 2021 год произведена, исходя прогнозируемого (расчётного) количества обращений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и размера платы за предоставление таких сведений (200 </w:t>
      </w:r>
      <w:r w:rsidRPr="004C663A">
        <w:rPr>
          <w:snapToGrid w:val="0"/>
          <w:sz w:val="28"/>
          <w:szCs w:val="28"/>
        </w:rPr>
        <w:lastRenderedPageBreak/>
        <w:t xml:space="preserve">рублей) с учетом норматива зачисления в консолидированный бюджет Тверской области. </w:t>
      </w:r>
    </w:p>
    <w:p w:rsidR="00F07E05" w:rsidRPr="004C663A" w:rsidRDefault="00F07E05" w:rsidP="00F07E05">
      <w:pPr>
        <w:ind w:firstLine="708"/>
        <w:jc w:val="both"/>
        <w:rPr>
          <w:snapToGrid w:val="0"/>
          <w:sz w:val="28"/>
          <w:szCs w:val="28"/>
        </w:rPr>
      </w:pPr>
      <w:r w:rsidRPr="004C663A">
        <w:rPr>
          <w:snapToGrid w:val="0"/>
          <w:sz w:val="28"/>
          <w:szCs w:val="28"/>
        </w:rPr>
        <w:t>Расчетное количество обращений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определено методом экстраполяции среднего количества обращений за 5 месяцев 2021 года (20 ед.).</w:t>
      </w:r>
    </w:p>
    <w:p w:rsidR="00F07E05" w:rsidRPr="008E2109" w:rsidRDefault="00F07E05" w:rsidP="00F07E05">
      <w:pPr>
        <w:ind w:firstLine="708"/>
        <w:jc w:val="both"/>
        <w:rPr>
          <w:snapToGrid w:val="0"/>
          <w:szCs w:val="28"/>
        </w:rPr>
      </w:pPr>
    </w:p>
    <w:tbl>
      <w:tblPr>
        <w:tblW w:w="9336" w:type="dxa"/>
        <w:tblLook w:val="04A0" w:firstRow="1" w:lastRow="0" w:firstColumn="1" w:lastColumn="0" w:noHBand="0" w:noVBand="1"/>
      </w:tblPr>
      <w:tblGrid>
        <w:gridCol w:w="1054"/>
        <w:gridCol w:w="4988"/>
        <w:gridCol w:w="1098"/>
        <w:gridCol w:w="1098"/>
        <w:gridCol w:w="1098"/>
      </w:tblGrid>
      <w:tr w:rsidR="00F07E05" w:rsidTr="008A253E">
        <w:trPr>
          <w:trHeight w:val="597"/>
        </w:trPr>
        <w:tc>
          <w:tcPr>
            <w:tcW w:w="105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07E05" w:rsidRDefault="00F07E05" w:rsidP="008A253E">
            <w:pPr>
              <w:jc w:val="center"/>
              <w:rPr>
                <w:color w:val="000000"/>
                <w:sz w:val="22"/>
                <w:szCs w:val="22"/>
              </w:rPr>
            </w:pPr>
            <w:r>
              <w:rPr>
                <w:color w:val="000000"/>
                <w:sz w:val="22"/>
                <w:szCs w:val="22"/>
              </w:rPr>
              <w:t>№ п/п</w:t>
            </w:r>
          </w:p>
        </w:tc>
        <w:tc>
          <w:tcPr>
            <w:tcW w:w="4988" w:type="dxa"/>
            <w:tcBorders>
              <w:top w:val="single" w:sz="4" w:space="0" w:color="000000"/>
              <w:left w:val="nil"/>
              <w:bottom w:val="single" w:sz="4" w:space="0" w:color="000000"/>
              <w:right w:val="single" w:sz="4" w:space="0" w:color="000000"/>
            </w:tcBorders>
            <w:shd w:val="clear" w:color="auto" w:fill="auto"/>
            <w:noWrap/>
            <w:vAlign w:val="center"/>
            <w:hideMark/>
          </w:tcPr>
          <w:p w:rsidR="00F07E05" w:rsidRDefault="00F07E05" w:rsidP="008A253E">
            <w:pPr>
              <w:jc w:val="center"/>
              <w:rPr>
                <w:color w:val="000000"/>
                <w:sz w:val="22"/>
                <w:szCs w:val="22"/>
              </w:rPr>
            </w:pPr>
            <w:r>
              <w:rPr>
                <w:color w:val="000000"/>
                <w:sz w:val="22"/>
                <w:szCs w:val="22"/>
              </w:rPr>
              <w:t>Наименование показателя</w:t>
            </w:r>
          </w:p>
        </w:tc>
        <w:tc>
          <w:tcPr>
            <w:tcW w:w="1098" w:type="dxa"/>
            <w:tcBorders>
              <w:top w:val="single" w:sz="4" w:space="0" w:color="000000"/>
              <w:left w:val="nil"/>
              <w:bottom w:val="single" w:sz="4" w:space="0" w:color="000000"/>
              <w:right w:val="single" w:sz="4" w:space="0" w:color="000000"/>
            </w:tcBorders>
            <w:shd w:val="clear" w:color="auto" w:fill="auto"/>
            <w:vAlign w:val="center"/>
            <w:hideMark/>
          </w:tcPr>
          <w:p w:rsidR="00F07E05" w:rsidRDefault="00F07E05" w:rsidP="008A253E">
            <w:pPr>
              <w:jc w:val="center"/>
              <w:rPr>
                <w:color w:val="000000"/>
                <w:sz w:val="22"/>
                <w:szCs w:val="22"/>
              </w:rPr>
            </w:pPr>
            <w:r>
              <w:rPr>
                <w:color w:val="000000"/>
                <w:sz w:val="22"/>
                <w:szCs w:val="22"/>
              </w:rPr>
              <w:t xml:space="preserve">Прогноз </w:t>
            </w:r>
            <w:r>
              <w:rPr>
                <w:color w:val="000000"/>
                <w:sz w:val="22"/>
                <w:szCs w:val="22"/>
              </w:rPr>
              <w:br/>
              <w:t>2022 год</w:t>
            </w:r>
          </w:p>
        </w:tc>
        <w:tc>
          <w:tcPr>
            <w:tcW w:w="1098" w:type="dxa"/>
            <w:tcBorders>
              <w:top w:val="single" w:sz="4" w:space="0" w:color="000000"/>
              <w:left w:val="nil"/>
              <w:bottom w:val="single" w:sz="4" w:space="0" w:color="000000"/>
              <w:right w:val="single" w:sz="4" w:space="0" w:color="000000"/>
            </w:tcBorders>
            <w:shd w:val="clear" w:color="auto" w:fill="auto"/>
            <w:vAlign w:val="center"/>
            <w:hideMark/>
          </w:tcPr>
          <w:p w:rsidR="00F07E05" w:rsidRDefault="00F07E05" w:rsidP="008A253E">
            <w:pPr>
              <w:jc w:val="center"/>
              <w:rPr>
                <w:color w:val="000000"/>
                <w:sz w:val="22"/>
                <w:szCs w:val="22"/>
              </w:rPr>
            </w:pPr>
            <w:r>
              <w:rPr>
                <w:color w:val="000000"/>
                <w:sz w:val="22"/>
                <w:szCs w:val="22"/>
              </w:rPr>
              <w:t xml:space="preserve">Прогноз </w:t>
            </w:r>
            <w:r>
              <w:rPr>
                <w:color w:val="000000"/>
                <w:sz w:val="22"/>
                <w:szCs w:val="22"/>
              </w:rPr>
              <w:br/>
              <w:t>2023 год</w:t>
            </w:r>
          </w:p>
        </w:tc>
        <w:tc>
          <w:tcPr>
            <w:tcW w:w="1098" w:type="dxa"/>
            <w:tcBorders>
              <w:top w:val="single" w:sz="4" w:space="0" w:color="000000"/>
              <w:left w:val="nil"/>
              <w:bottom w:val="single" w:sz="4" w:space="0" w:color="000000"/>
              <w:right w:val="single" w:sz="4" w:space="0" w:color="000000"/>
            </w:tcBorders>
            <w:shd w:val="clear" w:color="auto" w:fill="auto"/>
            <w:vAlign w:val="center"/>
            <w:hideMark/>
          </w:tcPr>
          <w:p w:rsidR="00F07E05" w:rsidRDefault="00F07E05" w:rsidP="008A253E">
            <w:pPr>
              <w:jc w:val="center"/>
              <w:rPr>
                <w:color w:val="000000"/>
                <w:sz w:val="22"/>
                <w:szCs w:val="22"/>
              </w:rPr>
            </w:pPr>
            <w:r>
              <w:rPr>
                <w:color w:val="000000"/>
                <w:sz w:val="22"/>
                <w:szCs w:val="22"/>
              </w:rPr>
              <w:t xml:space="preserve">Прогноз </w:t>
            </w:r>
            <w:r>
              <w:rPr>
                <w:color w:val="000000"/>
                <w:sz w:val="22"/>
                <w:szCs w:val="22"/>
              </w:rPr>
              <w:br/>
              <w:t>2024 год</w:t>
            </w:r>
          </w:p>
        </w:tc>
      </w:tr>
      <w:tr w:rsidR="00F07E05" w:rsidTr="008A253E">
        <w:trPr>
          <w:trHeight w:val="343"/>
        </w:trPr>
        <w:tc>
          <w:tcPr>
            <w:tcW w:w="1054" w:type="dxa"/>
            <w:tcBorders>
              <w:top w:val="nil"/>
              <w:left w:val="single" w:sz="4" w:space="0" w:color="000000"/>
              <w:bottom w:val="single" w:sz="4" w:space="0" w:color="000000"/>
              <w:right w:val="single" w:sz="4" w:space="0" w:color="000000"/>
            </w:tcBorders>
            <w:shd w:val="clear" w:color="auto" w:fill="auto"/>
            <w:noWrap/>
            <w:vAlign w:val="center"/>
            <w:hideMark/>
          </w:tcPr>
          <w:p w:rsidR="00F07E05" w:rsidRDefault="00F07E05" w:rsidP="008A253E">
            <w:pPr>
              <w:jc w:val="center"/>
              <w:rPr>
                <w:color w:val="000000"/>
                <w:sz w:val="22"/>
                <w:szCs w:val="22"/>
              </w:rPr>
            </w:pPr>
            <w:r>
              <w:rPr>
                <w:color w:val="000000"/>
                <w:sz w:val="22"/>
                <w:szCs w:val="22"/>
              </w:rPr>
              <w:t>1</w:t>
            </w:r>
          </w:p>
        </w:tc>
        <w:tc>
          <w:tcPr>
            <w:tcW w:w="4988" w:type="dxa"/>
            <w:tcBorders>
              <w:top w:val="nil"/>
              <w:left w:val="nil"/>
              <w:bottom w:val="single" w:sz="4" w:space="0" w:color="000000"/>
              <w:right w:val="single" w:sz="4" w:space="0" w:color="000000"/>
            </w:tcBorders>
            <w:shd w:val="clear" w:color="auto" w:fill="auto"/>
            <w:hideMark/>
          </w:tcPr>
          <w:p w:rsidR="00F07E05" w:rsidRDefault="00F07E05" w:rsidP="008A253E">
            <w:pPr>
              <w:rPr>
                <w:color w:val="000000"/>
                <w:sz w:val="22"/>
                <w:szCs w:val="22"/>
              </w:rPr>
            </w:pPr>
            <w:r>
              <w:rPr>
                <w:color w:val="000000"/>
                <w:sz w:val="22"/>
                <w:szCs w:val="22"/>
              </w:rPr>
              <w:t>Прогнозируемое количество обращений, ед.</w:t>
            </w:r>
          </w:p>
        </w:tc>
        <w:tc>
          <w:tcPr>
            <w:tcW w:w="1098" w:type="dxa"/>
            <w:tcBorders>
              <w:top w:val="nil"/>
              <w:left w:val="nil"/>
              <w:bottom w:val="single" w:sz="4" w:space="0" w:color="000000"/>
              <w:right w:val="single" w:sz="4" w:space="0" w:color="000000"/>
            </w:tcBorders>
            <w:shd w:val="clear" w:color="auto" w:fill="auto"/>
            <w:noWrap/>
            <w:vAlign w:val="center"/>
            <w:hideMark/>
          </w:tcPr>
          <w:p w:rsidR="00F07E05" w:rsidRDefault="00F07E05" w:rsidP="008A253E">
            <w:pPr>
              <w:jc w:val="center"/>
              <w:rPr>
                <w:color w:val="000000"/>
                <w:sz w:val="22"/>
                <w:szCs w:val="22"/>
              </w:rPr>
            </w:pPr>
            <w:r>
              <w:rPr>
                <w:color w:val="000000"/>
                <w:sz w:val="22"/>
                <w:szCs w:val="22"/>
              </w:rPr>
              <w:t>20</w:t>
            </w:r>
          </w:p>
        </w:tc>
        <w:tc>
          <w:tcPr>
            <w:tcW w:w="1098" w:type="dxa"/>
            <w:tcBorders>
              <w:top w:val="nil"/>
              <w:left w:val="nil"/>
              <w:bottom w:val="single" w:sz="4" w:space="0" w:color="000000"/>
              <w:right w:val="single" w:sz="4" w:space="0" w:color="000000"/>
            </w:tcBorders>
            <w:shd w:val="clear" w:color="auto" w:fill="auto"/>
            <w:noWrap/>
            <w:vAlign w:val="center"/>
            <w:hideMark/>
          </w:tcPr>
          <w:p w:rsidR="00F07E05" w:rsidRDefault="00F07E05" w:rsidP="008A253E">
            <w:pPr>
              <w:jc w:val="center"/>
              <w:rPr>
                <w:color w:val="000000"/>
                <w:sz w:val="22"/>
                <w:szCs w:val="22"/>
              </w:rPr>
            </w:pPr>
            <w:r>
              <w:rPr>
                <w:color w:val="000000"/>
                <w:sz w:val="22"/>
                <w:szCs w:val="22"/>
              </w:rPr>
              <w:t>20</w:t>
            </w:r>
          </w:p>
        </w:tc>
        <w:tc>
          <w:tcPr>
            <w:tcW w:w="1098" w:type="dxa"/>
            <w:tcBorders>
              <w:top w:val="nil"/>
              <w:left w:val="nil"/>
              <w:bottom w:val="single" w:sz="4" w:space="0" w:color="000000"/>
              <w:right w:val="single" w:sz="4" w:space="0" w:color="000000"/>
            </w:tcBorders>
            <w:shd w:val="clear" w:color="auto" w:fill="auto"/>
            <w:noWrap/>
            <w:vAlign w:val="center"/>
            <w:hideMark/>
          </w:tcPr>
          <w:p w:rsidR="00F07E05" w:rsidRDefault="00F07E05" w:rsidP="008A253E">
            <w:pPr>
              <w:jc w:val="center"/>
              <w:rPr>
                <w:color w:val="000000"/>
                <w:sz w:val="22"/>
                <w:szCs w:val="22"/>
              </w:rPr>
            </w:pPr>
            <w:r>
              <w:rPr>
                <w:color w:val="000000"/>
                <w:sz w:val="22"/>
                <w:szCs w:val="22"/>
              </w:rPr>
              <w:t>20</w:t>
            </w:r>
          </w:p>
        </w:tc>
      </w:tr>
      <w:tr w:rsidR="00F07E05" w:rsidTr="008A253E">
        <w:trPr>
          <w:trHeight w:val="298"/>
        </w:trPr>
        <w:tc>
          <w:tcPr>
            <w:tcW w:w="1054" w:type="dxa"/>
            <w:tcBorders>
              <w:top w:val="nil"/>
              <w:left w:val="single" w:sz="4" w:space="0" w:color="000000"/>
              <w:bottom w:val="single" w:sz="4" w:space="0" w:color="000000"/>
              <w:right w:val="single" w:sz="4" w:space="0" w:color="000000"/>
            </w:tcBorders>
            <w:shd w:val="clear" w:color="auto" w:fill="auto"/>
            <w:noWrap/>
            <w:vAlign w:val="center"/>
            <w:hideMark/>
          </w:tcPr>
          <w:p w:rsidR="00F07E05" w:rsidRDefault="00F07E05" w:rsidP="008A253E">
            <w:pPr>
              <w:jc w:val="center"/>
              <w:rPr>
                <w:color w:val="000000"/>
                <w:sz w:val="22"/>
                <w:szCs w:val="22"/>
              </w:rPr>
            </w:pPr>
            <w:r>
              <w:rPr>
                <w:color w:val="000000"/>
                <w:sz w:val="22"/>
                <w:szCs w:val="22"/>
              </w:rPr>
              <w:t>2</w:t>
            </w:r>
          </w:p>
        </w:tc>
        <w:tc>
          <w:tcPr>
            <w:tcW w:w="4988" w:type="dxa"/>
            <w:tcBorders>
              <w:top w:val="nil"/>
              <w:left w:val="nil"/>
              <w:bottom w:val="single" w:sz="4" w:space="0" w:color="000000"/>
              <w:right w:val="single" w:sz="4" w:space="0" w:color="000000"/>
            </w:tcBorders>
            <w:shd w:val="clear" w:color="auto" w:fill="auto"/>
            <w:hideMark/>
          </w:tcPr>
          <w:p w:rsidR="00F07E05" w:rsidRDefault="00F07E05" w:rsidP="008A253E">
            <w:pPr>
              <w:rPr>
                <w:color w:val="000000"/>
                <w:sz w:val="22"/>
                <w:szCs w:val="22"/>
              </w:rPr>
            </w:pPr>
            <w:r>
              <w:rPr>
                <w:color w:val="000000"/>
                <w:sz w:val="22"/>
                <w:szCs w:val="22"/>
              </w:rPr>
              <w:t>Размер платы, рублей</w:t>
            </w:r>
          </w:p>
        </w:tc>
        <w:tc>
          <w:tcPr>
            <w:tcW w:w="1098" w:type="dxa"/>
            <w:tcBorders>
              <w:top w:val="nil"/>
              <w:left w:val="nil"/>
              <w:bottom w:val="single" w:sz="4" w:space="0" w:color="000000"/>
              <w:right w:val="single" w:sz="4" w:space="0" w:color="000000"/>
            </w:tcBorders>
            <w:shd w:val="clear" w:color="auto" w:fill="auto"/>
            <w:noWrap/>
            <w:vAlign w:val="center"/>
            <w:hideMark/>
          </w:tcPr>
          <w:p w:rsidR="00F07E05" w:rsidRDefault="00F07E05" w:rsidP="008A253E">
            <w:pPr>
              <w:jc w:val="center"/>
              <w:rPr>
                <w:color w:val="000000"/>
                <w:sz w:val="22"/>
                <w:szCs w:val="22"/>
              </w:rPr>
            </w:pPr>
            <w:r>
              <w:rPr>
                <w:color w:val="000000"/>
                <w:sz w:val="22"/>
                <w:szCs w:val="22"/>
              </w:rPr>
              <w:t>200</w:t>
            </w:r>
          </w:p>
        </w:tc>
        <w:tc>
          <w:tcPr>
            <w:tcW w:w="1098" w:type="dxa"/>
            <w:tcBorders>
              <w:top w:val="nil"/>
              <w:left w:val="nil"/>
              <w:bottom w:val="single" w:sz="4" w:space="0" w:color="000000"/>
              <w:right w:val="single" w:sz="4" w:space="0" w:color="000000"/>
            </w:tcBorders>
            <w:shd w:val="clear" w:color="auto" w:fill="auto"/>
            <w:noWrap/>
            <w:vAlign w:val="center"/>
            <w:hideMark/>
          </w:tcPr>
          <w:p w:rsidR="00F07E05" w:rsidRDefault="00F07E05" w:rsidP="008A253E">
            <w:pPr>
              <w:jc w:val="center"/>
              <w:rPr>
                <w:color w:val="000000"/>
                <w:sz w:val="22"/>
                <w:szCs w:val="22"/>
              </w:rPr>
            </w:pPr>
            <w:r>
              <w:rPr>
                <w:color w:val="000000"/>
                <w:sz w:val="22"/>
                <w:szCs w:val="22"/>
              </w:rPr>
              <w:t>200</w:t>
            </w:r>
          </w:p>
        </w:tc>
        <w:tc>
          <w:tcPr>
            <w:tcW w:w="1098" w:type="dxa"/>
            <w:tcBorders>
              <w:top w:val="nil"/>
              <w:left w:val="nil"/>
              <w:bottom w:val="single" w:sz="4" w:space="0" w:color="000000"/>
              <w:right w:val="single" w:sz="4" w:space="0" w:color="000000"/>
            </w:tcBorders>
            <w:shd w:val="clear" w:color="auto" w:fill="auto"/>
            <w:noWrap/>
            <w:vAlign w:val="center"/>
            <w:hideMark/>
          </w:tcPr>
          <w:p w:rsidR="00F07E05" w:rsidRDefault="00F07E05" w:rsidP="008A253E">
            <w:pPr>
              <w:jc w:val="center"/>
              <w:rPr>
                <w:color w:val="000000"/>
                <w:sz w:val="22"/>
                <w:szCs w:val="22"/>
              </w:rPr>
            </w:pPr>
            <w:r>
              <w:rPr>
                <w:color w:val="000000"/>
                <w:sz w:val="22"/>
                <w:szCs w:val="22"/>
              </w:rPr>
              <w:t>200</w:t>
            </w:r>
          </w:p>
        </w:tc>
      </w:tr>
      <w:tr w:rsidR="00F07E05" w:rsidTr="008A253E">
        <w:trPr>
          <w:trHeight w:val="1195"/>
        </w:trPr>
        <w:tc>
          <w:tcPr>
            <w:tcW w:w="1054" w:type="dxa"/>
            <w:tcBorders>
              <w:top w:val="nil"/>
              <w:left w:val="single" w:sz="4" w:space="0" w:color="000000"/>
              <w:bottom w:val="single" w:sz="4" w:space="0" w:color="000000"/>
              <w:right w:val="single" w:sz="4" w:space="0" w:color="000000"/>
            </w:tcBorders>
            <w:shd w:val="clear" w:color="auto" w:fill="auto"/>
            <w:noWrap/>
            <w:vAlign w:val="center"/>
            <w:hideMark/>
          </w:tcPr>
          <w:p w:rsidR="00F07E05" w:rsidRDefault="00F07E05" w:rsidP="008A253E">
            <w:pPr>
              <w:jc w:val="center"/>
              <w:rPr>
                <w:color w:val="000000"/>
                <w:sz w:val="22"/>
                <w:szCs w:val="22"/>
              </w:rPr>
            </w:pPr>
            <w:r>
              <w:rPr>
                <w:color w:val="000000"/>
                <w:sz w:val="22"/>
                <w:szCs w:val="22"/>
              </w:rPr>
              <w:t>3</w:t>
            </w:r>
          </w:p>
        </w:tc>
        <w:tc>
          <w:tcPr>
            <w:tcW w:w="4988" w:type="dxa"/>
            <w:tcBorders>
              <w:top w:val="nil"/>
              <w:left w:val="nil"/>
              <w:bottom w:val="single" w:sz="4" w:space="0" w:color="000000"/>
              <w:right w:val="single" w:sz="4" w:space="0" w:color="000000"/>
            </w:tcBorders>
            <w:shd w:val="clear" w:color="auto" w:fill="auto"/>
            <w:hideMark/>
          </w:tcPr>
          <w:p w:rsidR="00F07E05" w:rsidRDefault="00F07E05" w:rsidP="008A253E">
            <w:pPr>
              <w:rPr>
                <w:color w:val="000000"/>
                <w:sz w:val="22"/>
                <w:szCs w:val="22"/>
              </w:rPr>
            </w:pPr>
            <w:r>
              <w:rPr>
                <w:color w:val="000000"/>
                <w:sz w:val="22"/>
                <w:szCs w:val="22"/>
              </w:rPr>
              <w:t xml:space="preserve">Корректирующая сумма поступлений, учитывающая изменения законодательства о налогах и сборах, а также другие факторы, </w:t>
            </w:r>
            <w:r>
              <w:rPr>
                <w:color w:val="000000"/>
                <w:sz w:val="22"/>
                <w:szCs w:val="22"/>
              </w:rPr>
              <w:br/>
              <w:t>тыс. рублей</w:t>
            </w:r>
          </w:p>
        </w:tc>
        <w:tc>
          <w:tcPr>
            <w:tcW w:w="1098" w:type="dxa"/>
            <w:tcBorders>
              <w:top w:val="nil"/>
              <w:left w:val="nil"/>
              <w:bottom w:val="single" w:sz="4" w:space="0" w:color="000000"/>
              <w:right w:val="single" w:sz="4" w:space="0" w:color="000000"/>
            </w:tcBorders>
            <w:shd w:val="clear" w:color="auto" w:fill="auto"/>
            <w:noWrap/>
            <w:vAlign w:val="center"/>
            <w:hideMark/>
          </w:tcPr>
          <w:p w:rsidR="00F07E05" w:rsidRDefault="00F07E05" w:rsidP="008A253E">
            <w:pPr>
              <w:jc w:val="center"/>
              <w:rPr>
                <w:color w:val="000000"/>
                <w:sz w:val="22"/>
                <w:szCs w:val="22"/>
              </w:rPr>
            </w:pPr>
            <w:r>
              <w:rPr>
                <w:color w:val="000000"/>
                <w:sz w:val="22"/>
                <w:szCs w:val="22"/>
              </w:rPr>
              <w:t>0</w:t>
            </w:r>
          </w:p>
        </w:tc>
        <w:tc>
          <w:tcPr>
            <w:tcW w:w="1098" w:type="dxa"/>
            <w:tcBorders>
              <w:top w:val="nil"/>
              <w:left w:val="nil"/>
              <w:bottom w:val="single" w:sz="4" w:space="0" w:color="000000"/>
              <w:right w:val="single" w:sz="4" w:space="0" w:color="000000"/>
            </w:tcBorders>
            <w:shd w:val="clear" w:color="auto" w:fill="auto"/>
            <w:noWrap/>
            <w:vAlign w:val="center"/>
            <w:hideMark/>
          </w:tcPr>
          <w:p w:rsidR="00F07E05" w:rsidRDefault="00F07E05" w:rsidP="008A253E">
            <w:pPr>
              <w:jc w:val="center"/>
              <w:rPr>
                <w:color w:val="000000"/>
                <w:sz w:val="22"/>
                <w:szCs w:val="22"/>
              </w:rPr>
            </w:pPr>
            <w:r>
              <w:rPr>
                <w:color w:val="000000"/>
                <w:sz w:val="22"/>
                <w:szCs w:val="22"/>
              </w:rPr>
              <w:t>0</w:t>
            </w:r>
          </w:p>
        </w:tc>
        <w:tc>
          <w:tcPr>
            <w:tcW w:w="1098" w:type="dxa"/>
            <w:tcBorders>
              <w:top w:val="nil"/>
              <w:left w:val="nil"/>
              <w:bottom w:val="single" w:sz="4" w:space="0" w:color="000000"/>
              <w:right w:val="single" w:sz="4" w:space="0" w:color="000000"/>
            </w:tcBorders>
            <w:shd w:val="clear" w:color="auto" w:fill="auto"/>
            <w:noWrap/>
            <w:vAlign w:val="center"/>
            <w:hideMark/>
          </w:tcPr>
          <w:p w:rsidR="00F07E05" w:rsidRDefault="00F07E05" w:rsidP="008A253E">
            <w:pPr>
              <w:jc w:val="center"/>
              <w:rPr>
                <w:color w:val="000000"/>
                <w:sz w:val="22"/>
                <w:szCs w:val="22"/>
              </w:rPr>
            </w:pPr>
            <w:r>
              <w:rPr>
                <w:color w:val="000000"/>
                <w:sz w:val="22"/>
                <w:szCs w:val="22"/>
              </w:rPr>
              <w:t>0</w:t>
            </w:r>
          </w:p>
        </w:tc>
      </w:tr>
      <w:tr w:rsidR="00F07E05" w:rsidTr="008A253E">
        <w:trPr>
          <w:trHeight w:val="1225"/>
        </w:trPr>
        <w:tc>
          <w:tcPr>
            <w:tcW w:w="1054" w:type="dxa"/>
            <w:tcBorders>
              <w:top w:val="nil"/>
              <w:left w:val="single" w:sz="4" w:space="0" w:color="000000"/>
              <w:bottom w:val="single" w:sz="4" w:space="0" w:color="000000"/>
              <w:right w:val="single" w:sz="4" w:space="0" w:color="000000"/>
            </w:tcBorders>
            <w:shd w:val="clear" w:color="auto" w:fill="auto"/>
            <w:noWrap/>
            <w:vAlign w:val="center"/>
            <w:hideMark/>
          </w:tcPr>
          <w:p w:rsidR="00F07E05" w:rsidRDefault="00F07E05" w:rsidP="008A253E">
            <w:pPr>
              <w:jc w:val="center"/>
              <w:rPr>
                <w:color w:val="000000"/>
                <w:sz w:val="22"/>
                <w:szCs w:val="22"/>
              </w:rPr>
            </w:pPr>
            <w:r>
              <w:rPr>
                <w:color w:val="000000"/>
                <w:sz w:val="22"/>
                <w:szCs w:val="22"/>
              </w:rPr>
              <w:t>4</w:t>
            </w:r>
          </w:p>
        </w:tc>
        <w:tc>
          <w:tcPr>
            <w:tcW w:w="4988" w:type="dxa"/>
            <w:tcBorders>
              <w:top w:val="nil"/>
              <w:left w:val="nil"/>
              <w:bottom w:val="single" w:sz="4" w:space="0" w:color="000000"/>
              <w:right w:val="single" w:sz="4" w:space="0" w:color="000000"/>
            </w:tcBorders>
            <w:shd w:val="clear" w:color="auto" w:fill="auto"/>
            <w:hideMark/>
          </w:tcPr>
          <w:p w:rsidR="00F07E05" w:rsidRDefault="00F07E05" w:rsidP="008A253E">
            <w:pPr>
              <w:rPr>
                <w:color w:val="000000"/>
                <w:sz w:val="22"/>
                <w:szCs w:val="22"/>
              </w:rPr>
            </w:pPr>
            <w:r>
              <w:rPr>
                <w:color w:val="000000"/>
                <w:sz w:val="22"/>
                <w:szCs w:val="22"/>
              </w:rPr>
              <w:t>Прогнозный объем поступления (с учетом норматива зачисления в консолидированный бюджет субъета - 50%), тыс. рублей</w:t>
            </w:r>
            <w:r>
              <w:rPr>
                <w:color w:val="000000"/>
                <w:sz w:val="22"/>
                <w:szCs w:val="22"/>
              </w:rPr>
              <w:br/>
              <w:t>((стр. 1*стр. 2/1000 + стр.3)*50%)</w:t>
            </w:r>
          </w:p>
        </w:tc>
        <w:tc>
          <w:tcPr>
            <w:tcW w:w="1098" w:type="dxa"/>
            <w:tcBorders>
              <w:top w:val="nil"/>
              <w:left w:val="nil"/>
              <w:bottom w:val="single" w:sz="4" w:space="0" w:color="000000"/>
              <w:right w:val="single" w:sz="4" w:space="0" w:color="000000"/>
            </w:tcBorders>
            <w:shd w:val="clear" w:color="auto" w:fill="auto"/>
            <w:noWrap/>
            <w:vAlign w:val="center"/>
            <w:hideMark/>
          </w:tcPr>
          <w:p w:rsidR="00F07E05" w:rsidRDefault="00F07E05" w:rsidP="008A253E">
            <w:pPr>
              <w:jc w:val="center"/>
              <w:rPr>
                <w:color w:val="000000"/>
                <w:sz w:val="22"/>
                <w:szCs w:val="22"/>
              </w:rPr>
            </w:pPr>
            <w:r>
              <w:rPr>
                <w:color w:val="000000"/>
                <w:sz w:val="22"/>
                <w:szCs w:val="22"/>
              </w:rPr>
              <w:t>2</w:t>
            </w:r>
          </w:p>
        </w:tc>
        <w:tc>
          <w:tcPr>
            <w:tcW w:w="1098" w:type="dxa"/>
            <w:tcBorders>
              <w:top w:val="nil"/>
              <w:left w:val="nil"/>
              <w:bottom w:val="single" w:sz="4" w:space="0" w:color="000000"/>
              <w:right w:val="single" w:sz="4" w:space="0" w:color="000000"/>
            </w:tcBorders>
            <w:shd w:val="clear" w:color="auto" w:fill="auto"/>
            <w:noWrap/>
            <w:vAlign w:val="center"/>
            <w:hideMark/>
          </w:tcPr>
          <w:p w:rsidR="00F07E05" w:rsidRDefault="00F07E05" w:rsidP="008A253E">
            <w:pPr>
              <w:jc w:val="center"/>
              <w:rPr>
                <w:color w:val="000000"/>
                <w:sz w:val="22"/>
                <w:szCs w:val="22"/>
              </w:rPr>
            </w:pPr>
            <w:r>
              <w:rPr>
                <w:color w:val="000000"/>
                <w:sz w:val="22"/>
                <w:szCs w:val="22"/>
              </w:rPr>
              <w:t>2</w:t>
            </w:r>
          </w:p>
        </w:tc>
        <w:tc>
          <w:tcPr>
            <w:tcW w:w="1098" w:type="dxa"/>
            <w:tcBorders>
              <w:top w:val="nil"/>
              <w:left w:val="nil"/>
              <w:bottom w:val="single" w:sz="4" w:space="0" w:color="000000"/>
              <w:right w:val="single" w:sz="4" w:space="0" w:color="000000"/>
            </w:tcBorders>
            <w:shd w:val="clear" w:color="auto" w:fill="auto"/>
            <w:noWrap/>
            <w:vAlign w:val="center"/>
            <w:hideMark/>
          </w:tcPr>
          <w:p w:rsidR="00F07E05" w:rsidRDefault="00F07E05" w:rsidP="008A253E">
            <w:pPr>
              <w:jc w:val="center"/>
              <w:rPr>
                <w:color w:val="000000"/>
                <w:sz w:val="22"/>
                <w:szCs w:val="22"/>
              </w:rPr>
            </w:pPr>
            <w:r>
              <w:rPr>
                <w:color w:val="000000"/>
                <w:sz w:val="22"/>
                <w:szCs w:val="22"/>
              </w:rPr>
              <w:t>2</w:t>
            </w:r>
          </w:p>
        </w:tc>
      </w:tr>
    </w:tbl>
    <w:p w:rsidR="00F07E05" w:rsidRPr="00EB268D" w:rsidRDefault="00F07E05" w:rsidP="00F07E05">
      <w:pPr>
        <w:ind w:firstLine="708"/>
        <w:jc w:val="both"/>
        <w:rPr>
          <w:snapToGrid w:val="0"/>
          <w:sz w:val="28"/>
          <w:szCs w:val="28"/>
        </w:rPr>
      </w:pPr>
    </w:p>
    <w:p w:rsidR="00F07E05" w:rsidRPr="00F85C0F" w:rsidRDefault="00F07E05" w:rsidP="00F07E05">
      <w:pPr>
        <w:ind w:firstLine="709"/>
        <w:jc w:val="center"/>
        <w:rPr>
          <w:b/>
          <w:snapToGrid w:val="0"/>
          <w:sz w:val="28"/>
          <w:szCs w:val="28"/>
        </w:rPr>
      </w:pPr>
      <w:r>
        <w:rPr>
          <w:b/>
          <w:snapToGrid w:val="0"/>
          <w:sz w:val="28"/>
          <w:szCs w:val="28"/>
        </w:rPr>
        <w:t>Мини</w:t>
      </w:r>
      <w:r w:rsidRPr="00F85C0F">
        <w:rPr>
          <w:b/>
          <w:snapToGrid w:val="0"/>
          <w:sz w:val="28"/>
          <w:szCs w:val="28"/>
        </w:rPr>
        <w:t>стерство лесного хозяйства Тверской области</w:t>
      </w:r>
    </w:p>
    <w:p w:rsidR="00F07E05" w:rsidRDefault="00F07E05" w:rsidP="00F07E05">
      <w:pPr>
        <w:ind w:firstLine="709"/>
        <w:jc w:val="both"/>
        <w:rPr>
          <w:snapToGrid w:val="0"/>
          <w:szCs w:val="28"/>
        </w:rPr>
      </w:pPr>
    </w:p>
    <w:p w:rsidR="00F07E05" w:rsidRDefault="00F07E05" w:rsidP="00F07E05">
      <w:pPr>
        <w:ind w:firstLine="709"/>
        <w:jc w:val="right"/>
        <w:rPr>
          <w:snapToGrid w:val="0"/>
          <w:szCs w:val="28"/>
        </w:rPr>
      </w:pPr>
      <w:r>
        <w:rPr>
          <w:snapToGrid w:val="0"/>
          <w:szCs w:val="28"/>
        </w:rPr>
        <w:t>тыс. руб.</w:t>
      </w:r>
    </w:p>
    <w:tbl>
      <w:tblPr>
        <w:tblW w:w="9655" w:type="dxa"/>
        <w:tblInd w:w="-72" w:type="dxa"/>
        <w:tblLayout w:type="fixed"/>
        <w:tblLook w:val="0000" w:firstRow="0" w:lastRow="0" w:firstColumn="0" w:lastColumn="0" w:noHBand="0" w:noVBand="0"/>
      </w:tblPr>
      <w:tblGrid>
        <w:gridCol w:w="2761"/>
        <w:gridCol w:w="3402"/>
        <w:gridCol w:w="1134"/>
        <w:gridCol w:w="1134"/>
        <w:gridCol w:w="1224"/>
      </w:tblGrid>
      <w:tr w:rsidR="00F07E05" w:rsidRPr="002E2452" w:rsidTr="008A253E">
        <w:trPr>
          <w:trHeight w:val="507"/>
        </w:trPr>
        <w:tc>
          <w:tcPr>
            <w:tcW w:w="2761" w:type="dxa"/>
            <w:tcBorders>
              <w:top w:val="single" w:sz="4" w:space="0" w:color="auto"/>
              <w:left w:val="single" w:sz="4" w:space="0" w:color="auto"/>
              <w:bottom w:val="single" w:sz="4" w:space="0" w:color="auto"/>
              <w:right w:val="single" w:sz="4" w:space="0" w:color="auto"/>
            </w:tcBorders>
            <w:noWrap/>
          </w:tcPr>
          <w:p w:rsidR="00F07E05" w:rsidRPr="002E2452" w:rsidRDefault="00F07E05" w:rsidP="008A253E">
            <w:pPr>
              <w:jc w:val="center"/>
              <w:rPr>
                <w:b/>
                <w:sz w:val="22"/>
                <w:szCs w:val="22"/>
              </w:rPr>
            </w:pPr>
            <w:r w:rsidRPr="002E2452">
              <w:rPr>
                <w:b/>
                <w:sz w:val="22"/>
                <w:szCs w:val="22"/>
              </w:rPr>
              <w:t xml:space="preserve">КБК </w:t>
            </w:r>
          </w:p>
        </w:tc>
        <w:tc>
          <w:tcPr>
            <w:tcW w:w="3402" w:type="dxa"/>
            <w:tcBorders>
              <w:top w:val="single" w:sz="4" w:space="0" w:color="auto"/>
              <w:left w:val="single" w:sz="4" w:space="0" w:color="auto"/>
              <w:bottom w:val="single" w:sz="4" w:space="0" w:color="auto"/>
              <w:right w:val="single" w:sz="4" w:space="0" w:color="auto"/>
            </w:tcBorders>
            <w:noWrap/>
          </w:tcPr>
          <w:p w:rsidR="00F07E05" w:rsidRPr="002E2452" w:rsidRDefault="00F07E05" w:rsidP="008A253E">
            <w:pPr>
              <w:jc w:val="center"/>
              <w:rPr>
                <w:b/>
                <w:sz w:val="22"/>
                <w:szCs w:val="22"/>
              </w:rPr>
            </w:pPr>
            <w:r w:rsidRPr="002E2452">
              <w:rPr>
                <w:b/>
                <w:sz w:val="22"/>
                <w:szCs w:val="22"/>
              </w:rPr>
              <w:t>Наименование</w:t>
            </w:r>
          </w:p>
        </w:tc>
        <w:tc>
          <w:tcPr>
            <w:tcW w:w="1134" w:type="dxa"/>
            <w:tcBorders>
              <w:top w:val="single" w:sz="4" w:space="0" w:color="auto"/>
              <w:left w:val="single" w:sz="4" w:space="0" w:color="auto"/>
              <w:bottom w:val="single" w:sz="4" w:space="0" w:color="auto"/>
              <w:right w:val="single" w:sz="4" w:space="0" w:color="auto"/>
            </w:tcBorders>
          </w:tcPr>
          <w:p w:rsidR="00F07E05" w:rsidRPr="00616C81" w:rsidRDefault="00F07E05" w:rsidP="008A253E">
            <w:pPr>
              <w:jc w:val="center"/>
              <w:rPr>
                <w:b/>
                <w:sz w:val="22"/>
                <w:szCs w:val="22"/>
              </w:rPr>
            </w:pPr>
            <w:r w:rsidRPr="002E2452">
              <w:rPr>
                <w:b/>
                <w:sz w:val="22"/>
                <w:szCs w:val="22"/>
              </w:rPr>
              <w:t>Прогноз на 20</w:t>
            </w:r>
            <w:r>
              <w:rPr>
                <w:b/>
                <w:sz w:val="22"/>
                <w:szCs w:val="22"/>
              </w:rPr>
              <w:t>22</w:t>
            </w:r>
            <w:r w:rsidRPr="002E2452">
              <w:rPr>
                <w:b/>
                <w:sz w:val="22"/>
                <w:szCs w:val="22"/>
              </w:rPr>
              <w:t>год</w:t>
            </w:r>
          </w:p>
        </w:tc>
        <w:tc>
          <w:tcPr>
            <w:tcW w:w="1134" w:type="dxa"/>
            <w:tcBorders>
              <w:top w:val="single" w:sz="4" w:space="0" w:color="auto"/>
              <w:left w:val="single" w:sz="4" w:space="0" w:color="auto"/>
              <w:bottom w:val="single" w:sz="4" w:space="0" w:color="auto"/>
              <w:right w:val="single" w:sz="4" w:space="0" w:color="auto"/>
            </w:tcBorders>
          </w:tcPr>
          <w:p w:rsidR="00F07E05" w:rsidRPr="00616C81" w:rsidRDefault="00F07E05" w:rsidP="008A253E">
            <w:pPr>
              <w:jc w:val="center"/>
              <w:rPr>
                <w:b/>
                <w:sz w:val="22"/>
                <w:szCs w:val="22"/>
              </w:rPr>
            </w:pPr>
            <w:r w:rsidRPr="002E2452">
              <w:rPr>
                <w:b/>
                <w:sz w:val="22"/>
                <w:szCs w:val="22"/>
              </w:rPr>
              <w:t>Прогноз на 202</w:t>
            </w:r>
            <w:r>
              <w:rPr>
                <w:b/>
                <w:sz w:val="22"/>
                <w:szCs w:val="22"/>
              </w:rPr>
              <w:t>3</w:t>
            </w:r>
            <w:r w:rsidRPr="002E2452">
              <w:rPr>
                <w:b/>
                <w:sz w:val="22"/>
                <w:szCs w:val="22"/>
              </w:rPr>
              <w:t xml:space="preserve"> год</w:t>
            </w:r>
          </w:p>
        </w:tc>
        <w:tc>
          <w:tcPr>
            <w:tcW w:w="1224" w:type="dxa"/>
            <w:tcBorders>
              <w:top w:val="single" w:sz="4" w:space="0" w:color="auto"/>
              <w:left w:val="single" w:sz="4" w:space="0" w:color="auto"/>
              <w:bottom w:val="single" w:sz="4" w:space="0" w:color="auto"/>
              <w:right w:val="single" w:sz="4" w:space="0" w:color="auto"/>
            </w:tcBorders>
            <w:vAlign w:val="bottom"/>
          </w:tcPr>
          <w:p w:rsidR="00F07E05" w:rsidRPr="002E2452" w:rsidRDefault="00F07E05" w:rsidP="008A253E">
            <w:pPr>
              <w:jc w:val="center"/>
              <w:rPr>
                <w:b/>
                <w:sz w:val="22"/>
                <w:szCs w:val="22"/>
              </w:rPr>
            </w:pPr>
            <w:r w:rsidRPr="002E2452">
              <w:rPr>
                <w:b/>
                <w:sz w:val="22"/>
                <w:szCs w:val="22"/>
              </w:rPr>
              <w:t>Прогноз на</w:t>
            </w:r>
          </w:p>
          <w:p w:rsidR="00F07E05" w:rsidRPr="002E2452" w:rsidRDefault="00F07E05" w:rsidP="008A253E">
            <w:pPr>
              <w:jc w:val="center"/>
              <w:rPr>
                <w:b/>
                <w:sz w:val="22"/>
                <w:szCs w:val="22"/>
              </w:rPr>
            </w:pPr>
            <w:r w:rsidRPr="002E2452">
              <w:rPr>
                <w:b/>
                <w:sz w:val="22"/>
                <w:szCs w:val="22"/>
              </w:rPr>
              <w:t>202</w:t>
            </w:r>
            <w:r>
              <w:rPr>
                <w:b/>
                <w:sz w:val="22"/>
                <w:szCs w:val="22"/>
              </w:rPr>
              <w:t>4</w:t>
            </w:r>
            <w:r w:rsidRPr="002E2452">
              <w:rPr>
                <w:b/>
                <w:sz w:val="22"/>
                <w:szCs w:val="22"/>
              </w:rPr>
              <w:t xml:space="preserve"> год</w:t>
            </w:r>
          </w:p>
          <w:p w:rsidR="00F07E05" w:rsidRPr="002E2452" w:rsidRDefault="00F07E05" w:rsidP="008A253E">
            <w:pPr>
              <w:jc w:val="center"/>
              <w:rPr>
                <w:b/>
                <w:sz w:val="22"/>
                <w:szCs w:val="22"/>
              </w:rPr>
            </w:pPr>
          </w:p>
        </w:tc>
      </w:tr>
      <w:tr w:rsidR="00F07E05" w:rsidRPr="002E2452" w:rsidTr="008A253E">
        <w:trPr>
          <w:trHeight w:val="551"/>
        </w:trPr>
        <w:tc>
          <w:tcPr>
            <w:tcW w:w="2761" w:type="dxa"/>
            <w:tcBorders>
              <w:top w:val="single" w:sz="4" w:space="0" w:color="auto"/>
              <w:left w:val="single" w:sz="4" w:space="0" w:color="auto"/>
              <w:bottom w:val="single" w:sz="4" w:space="0" w:color="auto"/>
              <w:right w:val="single" w:sz="4" w:space="0" w:color="auto"/>
            </w:tcBorders>
            <w:noWrap/>
          </w:tcPr>
          <w:p w:rsidR="00F07E05" w:rsidRPr="004C663A" w:rsidRDefault="00F07E05" w:rsidP="008A253E">
            <w:pPr>
              <w:jc w:val="center"/>
              <w:rPr>
                <w:sz w:val="22"/>
                <w:szCs w:val="22"/>
              </w:rPr>
            </w:pPr>
            <w:r w:rsidRPr="004C663A">
              <w:rPr>
                <w:sz w:val="22"/>
                <w:szCs w:val="22"/>
              </w:rPr>
              <w:t>000 1 13 01410 01 0000 130</w:t>
            </w:r>
          </w:p>
        </w:tc>
        <w:tc>
          <w:tcPr>
            <w:tcW w:w="3402" w:type="dxa"/>
            <w:tcBorders>
              <w:top w:val="single" w:sz="4" w:space="0" w:color="auto"/>
              <w:left w:val="single" w:sz="4" w:space="0" w:color="auto"/>
              <w:bottom w:val="single" w:sz="4" w:space="0" w:color="auto"/>
              <w:right w:val="single" w:sz="4" w:space="0" w:color="auto"/>
            </w:tcBorders>
          </w:tcPr>
          <w:p w:rsidR="00F07E05" w:rsidRPr="002E2452" w:rsidRDefault="00F07E05" w:rsidP="008A253E">
            <w:pPr>
              <w:jc w:val="both"/>
              <w:rPr>
                <w:color w:val="000000"/>
                <w:sz w:val="22"/>
                <w:szCs w:val="22"/>
              </w:rPr>
            </w:pPr>
            <w:r w:rsidRPr="002E2452">
              <w:rPr>
                <w:color w:val="000000"/>
                <w:sz w:val="22"/>
                <w:szCs w:val="22"/>
              </w:rPr>
              <w:t>Плата за предоставление государственными органами субъектов Российской Федерации, казенными учреждениями субъектов Российской Федерации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w:t>
            </w:r>
          </w:p>
          <w:p w:rsidR="00F07E05" w:rsidRPr="002E2452" w:rsidRDefault="00F07E05" w:rsidP="008A253E">
            <w:pPr>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noWrap/>
          </w:tcPr>
          <w:p w:rsidR="00F07E05" w:rsidRPr="002E2452" w:rsidRDefault="00F07E05" w:rsidP="008A253E">
            <w:pPr>
              <w:pStyle w:val="a7"/>
              <w:ind w:left="0"/>
              <w:jc w:val="center"/>
              <w:rPr>
                <w:sz w:val="22"/>
                <w:szCs w:val="22"/>
              </w:rPr>
            </w:pPr>
            <w:r>
              <w:rPr>
                <w:sz w:val="22"/>
                <w:szCs w:val="22"/>
              </w:rPr>
              <w:t>50,3</w:t>
            </w:r>
          </w:p>
        </w:tc>
        <w:tc>
          <w:tcPr>
            <w:tcW w:w="1134" w:type="dxa"/>
            <w:tcBorders>
              <w:top w:val="single" w:sz="4" w:space="0" w:color="auto"/>
              <w:left w:val="single" w:sz="4" w:space="0" w:color="auto"/>
              <w:bottom w:val="single" w:sz="4" w:space="0" w:color="auto"/>
              <w:right w:val="single" w:sz="4" w:space="0" w:color="auto"/>
            </w:tcBorders>
            <w:noWrap/>
          </w:tcPr>
          <w:p w:rsidR="00F07E05" w:rsidRPr="002E2452" w:rsidRDefault="00F07E05" w:rsidP="008A253E">
            <w:pPr>
              <w:pStyle w:val="a7"/>
              <w:ind w:left="0"/>
              <w:jc w:val="center"/>
              <w:rPr>
                <w:sz w:val="22"/>
                <w:szCs w:val="22"/>
              </w:rPr>
            </w:pPr>
            <w:r>
              <w:rPr>
                <w:sz w:val="22"/>
                <w:szCs w:val="22"/>
              </w:rPr>
              <w:t>50,3</w:t>
            </w:r>
          </w:p>
        </w:tc>
        <w:tc>
          <w:tcPr>
            <w:tcW w:w="1224" w:type="dxa"/>
            <w:tcBorders>
              <w:top w:val="single" w:sz="4" w:space="0" w:color="auto"/>
              <w:left w:val="single" w:sz="4" w:space="0" w:color="auto"/>
              <w:bottom w:val="single" w:sz="4" w:space="0" w:color="auto"/>
              <w:right w:val="single" w:sz="4" w:space="0" w:color="auto"/>
            </w:tcBorders>
            <w:noWrap/>
          </w:tcPr>
          <w:p w:rsidR="00F07E05" w:rsidRPr="002E2452" w:rsidRDefault="00F07E05" w:rsidP="008A253E">
            <w:pPr>
              <w:pStyle w:val="a7"/>
              <w:ind w:left="0"/>
              <w:jc w:val="center"/>
              <w:rPr>
                <w:sz w:val="22"/>
                <w:szCs w:val="22"/>
              </w:rPr>
            </w:pPr>
            <w:r>
              <w:rPr>
                <w:sz w:val="22"/>
                <w:szCs w:val="22"/>
              </w:rPr>
              <w:t>50,3</w:t>
            </w:r>
          </w:p>
        </w:tc>
      </w:tr>
    </w:tbl>
    <w:p w:rsidR="00F07E05" w:rsidRDefault="00F07E05" w:rsidP="00F07E05">
      <w:pPr>
        <w:ind w:firstLine="709"/>
        <w:jc w:val="both"/>
        <w:rPr>
          <w:sz w:val="28"/>
          <w:szCs w:val="28"/>
        </w:rPr>
      </w:pPr>
      <w:r w:rsidRPr="0031548D">
        <w:rPr>
          <w:sz w:val="28"/>
          <w:szCs w:val="28"/>
        </w:rPr>
        <w:t>Расчет прогнозного объема поступления осуществляется методом прямого расчета по следующей формуле:</w:t>
      </w:r>
    </w:p>
    <w:p w:rsidR="00F07E05" w:rsidRDefault="00F07E05" w:rsidP="00F07E05">
      <w:pPr>
        <w:ind w:firstLine="709"/>
        <w:rPr>
          <w:sz w:val="28"/>
          <w:szCs w:val="28"/>
        </w:rPr>
      </w:pPr>
      <w:r w:rsidRPr="0031548D">
        <w:rPr>
          <w:sz w:val="28"/>
          <w:szCs w:val="28"/>
          <w:lang w:val="en-US"/>
        </w:rPr>
        <w:t>S</w:t>
      </w:r>
      <w:r w:rsidRPr="0031548D">
        <w:rPr>
          <w:sz w:val="28"/>
          <w:szCs w:val="28"/>
          <w:vertAlign w:val="subscript"/>
        </w:rPr>
        <w:t>глр</w:t>
      </w:r>
      <w:r w:rsidRPr="0031548D">
        <w:rPr>
          <w:sz w:val="28"/>
          <w:szCs w:val="28"/>
        </w:rPr>
        <w:t xml:space="preserve"> = </w:t>
      </w:r>
      <w:r w:rsidRPr="0031548D">
        <w:rPr>
          <w:sz w:val="28"/>
          <w:szCs w:val="28"/>
          <w:lang w:val="en-US"/>
        </w:rPr>
        <w:t>C</w:t>
      </w:r>
      <w:r w:rsidRPr="0031548D">
        <w:rPr>
          <w:sz w:val="28"/>
          <w:szCs w:val="28"/>
        </w:rPr>
        <w:t xml:space="preserve"> х </w:t>
      </w:r>
      <w:r w:rsidRPr="0031548D">
        <w:rPr>
          <w:sz w:val="28"/>
          <w:szCs w:val="28"/>
          <w:lang w:val="en-US"/>
        </w:rPr>
        <w:t>N</w:t>
      </w:r>
      <w:r>
        <w:rPr>
          <w:sz w:val="28"/>
          <w:szCs w:val="28"/>
        </w:rPr>
        <w:t>,</w:t>
      </w:r>
    </w:p>
    <w:p w:rsidR="00F07E05" w:rsidRPr="0031548D" w:rsidRDefault="00F07E05" w:rsidP="00F07E05">
      <w:pPr>
        <w:ind w:firstLine="709"/>
        <w:jc w:val="both"/>
        <w:rPr>
          <w:sz w:val="28"/>
          <w:szCs w:val="28"/>
        </w:rPr>
      </w:pPr>
      <w:r w:rsidRPr="0031548D">
        <w:rPr>
          <w:sz w:val="28"/>
          <w:szCs w:val="28"/>
        </w:rPr>
        <w:t xml:space="preserve">где </w:t>
      </w:r>
    </w:p>
    <w:p w:rsidR="00F07E05" w:rsidRPr="0031548D" w:rsidRDefault="00F07E05" w:rsidP="00F07E05">
      <w:pPr>
        <w:ind w:firstLine="709"/>
        <w:jc w:val="both"/>
        <w:rPr>
          <w:sz w:val="28"/>
          <w:szCs w:val="28"/>
        </w:rPr>
      </w:pPr>
      <w:r w:rsidRPr="0031548D">
        <w:rPr>
          <w:sz w:val="28"/>
          <w:szCs w:val="28"/>
          <w:lang w:val="en-US"/>
        </w:rPr>
        <w:t>S</w:t>
      </w:r>
      <w:r w:rsidRPr="0031548D">
        <w:rPr>
          <w:sz w:val="28"/>
          <w:szCs w:val="28"/>
          <w:vertAlign w:val="subscript"/>
        </w:rPr>
        <w:t>глр</w:t>
      </w:r>
      <w:r w:rsidRPr="0031548D">
        <w:rPr>
          <w:sz w:val="28"/>
          <w:szCs w:val="28"/>
        </w:rPr>
        <w:t xml:space="preserve"> – сумма платежей за предоставление выписок из государственного лесного реестра</w:t>
      </w:r>
      <w:r>
        <w:rPr>
          <w:sz w:val="28"/>
          <w:szCs w:val="28"/>
        </w:rPr>
        <w:t>, тыс. руб.</w:t>
      </w:r>
      <w:r w:rsidRPr="0031548D">
        <w:rPr>
          <w:sz w:val="28"/>
          <w:szCs w:val="28"/>
        </w:rPr>
        <w:t>;</w:t>
      </w:r>
    </w:p>
    <w:p w:rsidR="00F07E05" w:rsidRPr="0031548D" w:rsidRDefault="00F07E05" w:rsidP="00F07E05">
      <w:pPr>
        <w:ind w:firstLine="709"/>
        <w:jc w:val="both"/>
        <w:rPr>
          <w:sz w:val="28"/>
          <w:szCs w:val="28"/>
        </w:rPr>
      </w:pPr>
      <w:r w:rsidRPr="0031548D">
        <w:rPr>
          <w:sz w:val="28"/>
          <w:szCs w:val="28"/>
          <w:lang w:val="en-US"/>
        </w:rPr>
        <w:lastRenderedPageBreak/>
        <w:t>N</w:t>
      </w:r>
      <w:r w:rsidRPr="0031548D">
        <w:rPr>
          <w:sz w:val="28"/>
          <w:szCs w:val="28"/>
        </w:rPr>
        <w:t xml:space="preserve"> – </w:t>
      </w:r>
      <w:r>
        <w:rPr>
          <w:sz w:val="28"/>
          <w:szCs w:val="28"/>
        </w:rPr>
        <w:t xml:space="preserve">среднее </w:t>
      </w:r>
      <w:r w:rsidRPr="0031548D">
        <w:rPr>
          <w:sz w:val="28"/>
          <w:szCs w:val="28"/>
        </w:rPr>
        <w:t>количество выданных выписок из государственного лесного реестра</w:t>
      </w:r>
      <w:r w:rsidRPr="006967DD">
        <w:rPr>
          <w:lang w:bidi="ru-RU"/>
        </w:rPr>
        <w:t xml:space="preserve"> </w:t>
      </w:r>
      <w:r w:rsidRPr="006967DD">
        <w:rPr>
          <w:sz w:val="28"/>
          <w:szCs w:val="28"/>
          <w:lang w:bidi="ru-RU"/>
        </w:rPr>
        <w:t xml:space="preserve">за три отчетных года, предшествующих </w:t>
      </w:r>
      <w:r>
        <w:rPr>
          <w:sz w:val="28"/>
          <w:szCs w:val="28"/>
          <w:lang w:bidi="ru-RU"/>
        </w:rPr>
        <w:t>текущему финансовому</w:t>
      </w:r>
      <w:r w:rsidRPr="006967DD">
        <w:rPr>
          <w:sz w:val="28"/>
          <w:szCs w:val="28"/>
          <w:lang w:bidi="ru-RU"/>
        </w:rPr>
        <w:t xml:space="preserve"> году</w:t>
      </w:r>
      <w:r w:rsidRPr="0031548D">
        <w:rPr>
          <w:sz w:val="28"/>
          <w:szCs w:val="28"/>
        </w:rPr>
        <w:t>, шт.;</w:t>
      </w:r>
    </w:p>
    <w:p w:rsidR="00F07E05" w:rsidRDefault="00F07E05" w:rsidP="00F07E05">
      <w:pPr>
        <w:ind w:firstLine="709"/>
        <w:jc w:val="both"/>
        <w:rPr>
          <w:sz w:val="28"/>
          <w:szCs w:val="28"/>
        </w:rPr>
      </w:pPr>
      <w:r w:rsidRPr="0031548D">
        <w:rPr>
          <w:sz w:val="28"/>
          <w:szCs w:val="28"/>
        </w:rPr>
        <w:t xml:space="preserve">С – </w:t>
      </w:r>
      <w:r>
        <w:rPr>
          <w:sz w:val="28"/>
          <w:szCs w:val="28"/>
        </w:rPr>
        <w:t xml:space="preserve">средняя </w:t>
      </w:r>
      <w:r w:rsidRPr="0031548D">
        <w:rPr>
          <w:sz w:val="28"/>
          <w:szCs w:val="28"/>
        </w:rPr>
        <w:t>стоимость предоставления одной выписки из государственного лесного реестра, рассчитывается в соответствии с постановлением Правительства Российской Федерации от 03.03.2007 № 138 «О размере платы за предоставление выписок из государственного лесного реестра и порядке ее взимания</w:t>
      </w:r>
    </w:p>
    <w:p w:rsidR="00F07E05" w:rsidRDefault="00F07E05" w:rsidP="00F07E05">
      <w:pPr>
        <w:ind w:firstLine="708"/>
        <w:jc w:val="both"/>
        <w:rPr>
          <w:sz w:val="28"/>
          <w:szCs w:val="28"/>
        </w:rPr>
      </w:pPr>
      <w:r>
        <w:rPr>
          <w:sz w:val="28"/>
          <w:szCs w:val="28"/>
        </w:rPr>
        <w:t xml:space="preserve">По результатам </w:t>
      </w:r>
      <w:r w:rsidRPr="00054D2E">
        <w:rPr>
          <w:sz w:val="28"/>
          <w:szCs w:val="28"/>
        </w:rPr>
        <w:t>201</w:t>
      </w:r>
      <w:r>
        <w:rPr>
          <w:sz w:val="28"/>
          <w:szCs w:val="28"/>
        </w:rPr>
        <w:t>8, 2019, 2020 годов и 6 месяцев 2021</w:t>
      </w:r>
      <w:r w:rsidRPr="00054D2E">
        <w:rPr>
          <w:sz w:val="28"/>
          <w:szCs w:val="28"/>
        </w:rPr>
        <w:t xml:space="preserve"> среднее количество выданных выписок в год составило </w:t>
      </w:r>
      <w:r>
        <w:rPr>
          <w:sz w:val="28"/>
          <w:szCs w:val="28"/>
        </w:rPr>
        <w:t xml:space="preserve">97 </w:t>
      </w:r>
      <w:r w:rsidRPr="00054D2E">
        <w:rPr>
          <w:sz w:val="28"/>
          <w:szCs w:val="28"/>
        </w:rPr>
        <w:t>штук (</w:t>
      </w:r>
      <w:r w:rsidRPr="00054D2E">
        <w:rPr>
          <w:sz w:val="28"/>
          <w:szCs w:val="28"/>
          <w:lang w:val="en-US"/>
        </w:rPr>
        <w:t>N</w:t>
      </w:r>
      <w:r w:rsidRPr="00054D2E">
        <w:rPr>
          <w:sz w:val="28"/>
          <w:szCs w:val="28"/>
          <w:vertAlign w:val="subscript"/>
        </w:rPr>
        <w:t>сред.</w:t>
      </w:r>
      <w:r w:rsidRPr="00054D2E">
        <w:rPr>
          <w:sz w:val="28"/>
          <w:szCs w:val="28"/>
        </w:rPr>
        <w:t>=</w:t>
      </w:r>
      <w:r>
        <w:rPr>
          <w:sz w:val="28"/>
          <w:szCs w:val="28"/>
        </w:rPr>
        <w:t xml:space="preserve"> 97):</w:t>
      </w:r>
    </w:p>
    <w:p w:rsidR="00F07E05" w:rsidRDefault="00F07E05" w:rsidP="00F07E05">
      <w:pPr>
        <w:rPr>
          <w:sz w:val="28"/>
          <w:szCs w:val="28"/>
        </w:rPr>
      </w:pPr>
    </w:p>
    <w:p w:rsidR="00F07E05" w:rsidRDefault="00F07E05" w:rsidP="00F07E05">
      <w:pPr>
        <w:rPr>
          <w:sz w:val="28"/>
          <w:szCs w:val="28"/>
        </w:rPr>
      </w:pPr>
    </w:p>
    <w:p w:rsidR="00F07E05" w:rsidRDefault="00F07E05" w:rsidP="00F07E05">
      <w:pPr>
        <w:rPr>
          <w:sz w:val="28"/>
          <w:szCs w:val="28"/>
        </w:rPr>
      </w:pPr>
    </w:p>
    <w:p w:rsidR="00F07E05" w:rsidRDefault="00F07E05" w:rsidP="00F07E05">
      <w:pPr>
        <w:rPr>
          <w:sz w:val="28"/>
          <w:szCs w:val="28"/>
        </w:rPr>
      </w:pPr>
    </w:p>
    <w:p w:rsidR="00F07E05" w:rsidRDefault="00F07E05" w:rsidP="00F07E05">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8"/>
        <w:gridCol w:w="3666"/>
        <w:gridCol w:w="3660"/>
      </w:tblGrid>
      <w:tr w:rsidR="00F07E05" w:rsidTr="008A253E">
        <w:tc>
          <w:tcPr>
            <w:tcW w:w="1951" w:type="dxa"/>
            <w:shd w:val="clear" w:color="auto" w:fill="auto"/>
          </w:tcPr>
          <w:p w:rsidR="00F07E05" w:rsidRPr="005C06D9" w:rsidRDefault="00F07E05" w:rsidP="008A253E">
            <w:pPr>
              <w:rPr>
                <w:sz w:val="28"/>
                <w:szCs w:val="28"/>
              </w:rPr>
            </w:pPr>
          </w:p>
        </w:tc>
        <w:tc>
          <w:tcPr>
            <w:tcW w:w="3827" w:type="dxa"/>
            <w:shd w:val="clear" w:color="auto" w:fill="auto"/>
          </w:tcPr>
          <w:p w:rsidR="00F07E05" w:rsidRPr="005C06D9" w:rsidRDefault="00F07E05" w:rsidP="008A253E">
            <w:pPr>
              <w:rPr>
                <w:sz w:val="28"/>
                <w:szCs w:val="28"/>
              </w:rPr>
            </w:pPr>
            <w:r w:rsidRPr="005C06D9">
              <w:rPr>
                <w:sz w:val="28"/>
                <w:szCs w:val="28"/>
              </w:rPr>
              <w:t>Выдано выписок всего, шт.</w:t>
            </w:r>
          </w:p>
        </w:tc>
        <w:tc>
          <w:tcPr>
            <w:tcW w:w="3793" w:type="dxa"/>
            <w:shd w:val="clear" w:color="auto" w:fill="auto"/>
          </w:tcPr>
          <w:p w:rsidR="00F07E05" w:rsidRPr="005C06D9" w:rsidRDefault="00F07E05" w:rsidP="008A253E">
            <w:pPr>
              <w:rPr>
                <w:sz w:val="28"/>
                <w:szCs w:val="28"/>
              </w:rPr>
            </w:pPr>
            <w:r w:rsidRPr="005C06D9">
              <w:rPr>
                <w:sz w:val="28"/>
                <w:szCs w:val="28"/>
              </w:rPr>
              <w:t>В том числе платно, шт.</w:t>
            </w:r>
          </w:p>
        </w:tc>
      </w:tr>
      <w:tr w:rsidR="00F07E05" w:rsidTr="008A253E">
        <w:tc>
          <w:tcPr>
            <w:tcW w:w="1951" w:type="dxa"/>
            <w:shd w:val="clear" w:color="auto" w:fill="auto"/>
          </w:tcPr>
          <w:p w:rsidR="00F07E05" w:rsidRPr="005C06D9" w:rsidRDefault="00F07E05" w:rsidP="008A253E">
            <w:pPr>
              <w:rPr>
                <w:sz w:val="28"/>
                <w:szCs w:val="28"/>
              </w:rPr>
            </w:pPr>
            <w:r w:rsidRPr="005C06D9">
              <w:rPr>
                <w:sz w:val="28"/>
                <w:szCs w:val="28"/>
              </w:rPr>
              <w:t>2018</w:t>
            </w:r>
          </w:p>
        </w:tc>
        <w:tc>
          <w:tcPr>
            <w:tcW w:w="3827" w:type="dxa"/>
            <w:shd w:val="clear" w:color="auto" w:fill="auto"/>
          </w:tcPr>
          <w:p w:rsidR="00F07E05" w:rsidRPr="005C06D9" w:rsidRDefault="00F07E05" w:rsidP="008A253E">
            <w:pPr>
              <w:jc w:val="center"/>
              <w:rPr>
                <w:sz w:val="28"/>
                <w:szCs w:val="28"/>
              </w:rPr>
            </w:pPr>
            <w:r w:rsidRPr="005C06D9">
              <w:rPr>
                <w:sz w:val="28"/>
                <w:szCs w:val="28"/>
              </w:rPr>
              <w:t>95</w:t>
            </w:r>
          </w:p>
        </w:tc>
        <w:tc>
          <w:tcPr>
            <w:tcW w:w="3793" w:type="dxa"/>
            <w:shd w:val="clear" w:color="auto" w:fill="auto"/>
          </w:tcPr>
          <w:p w:rsidR="00F07E05" w:rsidRPr="005C06D9" w:rsidRDefault="00F07E05" w:rsidP="008A253E">
            <w:pPr>
              <w:jc w:val="center"/>
              <w:rPr>
                <w:sz w:val="28"/>
                <w:szCs w:val="28"/>
              </w:rPr>
            </w:pPr>
            <w:r w:rsidRPr="005C06D9">
              <w:rPr>
                <w:sz w:val="28"/>
                <w:szCs w:val="28"/>
              </w:rPr>
              <w:t>70</w:t>
            </w:r>
          </w:p>
        </w:tc>
      </w:tr>
      <w:tr w:rsidR="00F07E05" w:rsidTr="008A253E">
        <w:tc>
          <w:tcPr>
            <w:tcW w:w="1951" w:type="dxa"/>
            <w:shd w:val="clear" w:color="auto" w:fill="auto"/>
          </w:tcPr>
          <w:p w:rsidR="00F07E05" w:rsidRPr="005C06D9" w:rsidRDefault="00F07E05" w:rsidP="008A253E">
            <w:pPr>
              <w:rPr>
                <w:sz w:val="28"/>
                <w:szCs w:val="28"/>
              </w:rPr>
            </w:pPr>
            <w:r w:rsidRPr="005C06D9">
              <w:rPr>
                <w:sz w:val="28"/>
                <w:szCs w:val="28"/>
              </w:rPr>
              <w:t>2019</w:t>
            </w:r>
          </w:p>
        </w:tc>
        <w:tc>
          <w:tcPr>
            <w:tcW w:w="3827" w:type="dxa"/>
            <w:shd w:val="clear" w:color="auto" w:fill="auto"/>
          </w:tcPr>
          <w:p w:rsidR="00F07E05" w:rsidRPr="005C06D9" w:rsidRDefault="00F07E05" w:rsidP="008A253E">
            <w:pPr>
              <w:jc w:val="center"/>
              <w:rPr>
                <w:sz w:val="28"/>
                <w:szCs w:val="28"/>
              </w:rPr>
            </w:pPr>
            <w:r w:rsidRPr="005C06D9">
              <w:rPr>
                <w:sz w:val="28"/>
                <w:szCs w:val="28"/>
              </w:rPr>
              <w:t>151</w:t>
            </w:r>
          </w:p>
        </w:tc>
        <w:tc>
          <w:tcPr>
            <w:tcW w:w="3793" w:type="dxa"/>
            <w:shd w:val="clear" w:color="auto" w:fill="auto"/>
          </w:tcPr>
          <w:p w:rsidR="00F07E05" w:rsidRPr="005C06D9" w:rsidRDefault="00F07E05" w:rsidP="008A253E">
            <w:pPr>
              <w:jc w:val="center"/>
              <w:rPr>
                <w:sz w:val="28"/>
                <w:szCs w:val="28"/>
              </w:rPr>
            </w:pPr>
            <w:r w:rsidRPr="005C06D9">
              <w:rPr>
                <w:sz w:val="28"/>
                <w:szCs w:val="28"/>
              </w:rPr>
              <w:t>130</w:t>
            </w:r>
          </w:p>
        </w:tc>
      </w:tr>
      <w:tr w:rsidR="00F07E05" w:rsidTr="008A253E">
        <w:tc>
          <w:tcPr>
            <w:tcW w:w="1951" w:type="dxa"/>
            <w:shd w:val="clear" w:color="auto" w:fill="auto"/>
          </w:tcPr>
          <w:p w:rsidR="00F07E05" w:rsidRPr="005C06D9" w:rsidRDefault="00F07E05" w:rsidP="008A253E">
            <w:pPr>
              <w:rPr>
                <w:sz w:val="28"/>
                <w:szCs w:val="28"/>
              </w:rPr>
            </w:pPr>
            <w:r w:rsidRPr="005C06D9">
              <w:rPr>
                <w:sz w:val="28"/>
                <w:szCs w:val="28"/>
              </w:rPr>
              <w:t>2020</w:t>
            </w:r>
          </w:p>
        </w:tc>
        <w:tc>
          <w:tcPr>
            <w:tcW w:w="3827" w:type="dxa"/>
            <w:shd w:val="clear" w:color="auto" w:fill="auto"/>
          </w:tcPr>
          <w:p w:rsidR="00F07E05" w:rsidRPr="005C06D9" w:rsidRDefault="00F07E05" w:rsidP="008A253E">
            <w:pPr>
              <w:jc w:val="center"/>
              <w:rPr>
                <w:sz w:val="28"/>
                <w:szCs w:val="28"/>
              </w:rPr>
            </w:pPr>
            <w:r w:rsidRPr="005C06D9">
              <w:rPr>
                <w:sz w:val="28"/>
                <w:szCs w:val="28"/>
              </w:rPr>
              <w:t>133</w:t>
            </w:r>
          </w:p>
        </w:tc>
        <w:tc>
          <w:tcPr>
            <w:tcW w:w="3793" w:type="dxa"/>
            <w:shd w:val="clear" w:color="auto" w:fill="auto"/>
          </w:tcPr>
          <w:p w:rsidR="00F07E05" w:rsidRPr="005C06D9" w:rsidRDefault="00F07E05" w:rsidP="008A253E">
            <w:pPr>
              <w:jc w:val="center"/>
              <w:rPr>
                <w:sz w:val="28"/>
                <w:szCs w:val="28"/>
              </w:rPr>
            </w:pPr>
            <w:r w:rsidRPr="005C06D9">
              <w:rPr>
                <w:sz w:val="28"/>
                <w:szCs w:val="28"/>
              </w:rPr>
              <w:t>99</w:t>
            </w:r>
          </w:p>
        </w:tc>
      </w:tr>
      <w:tr w:rsidR="00F07E05" w:rsidTr="008A253E">
        <w:tc>
          <w:tcPr>
            <w:tcW w:w="1951" w:type="dxa"/>
            <w:shd w:val="clear" w:color="auto" w:fill="auto"/>
          </w:tcPr>
          <w:p w:rsidR="00F07E05" w:rsidRPr="005C06D9" w:rsidRDefault="00F07E05" w:rsidP="008A253E">
            <w:pPr>
              <w:rPr>
                <w:sz w:val="28"/>
                <w:szCs w:val="28"/>
              </w:rPr>
            </w:pPr>
            <w:r w:rsidRPr="005C06D9">
              <w:rPr>
                <w:sz w:val="28"/>
                <w:szCs w:val="28"/>
              </w:rPr>
              <w:t>6 мес. 2021</w:t>
            </w:r>
          </w:p>
        </w:tc>
        <w:tc>
          <w:tcPr>
            <w:tcW w:w="3827" w:type="dxa"/>
            <w:shd w:val="clear" w:color="auto" w:fill="auto"/>
          </w:tcPr>
          <w:p w:rsidR="00F07E05" w:rsidRPr="005C06D9" w:rsidRDefault="00F07E05" w:rsidP="008A253E">
            <w:pPr>
              <w:jc w:val="center"/>
              <w:rPr>
                <w:sz w:val="28"/>
                <w:szCs w:val="28"/>
              </w:rPr>
            </w:pPr>
            <w:r w:rsidRPr="005C06D9">
              <w:rPr>
                <w:sz w:val="28"/>
                <w:szCs w:val="28"/>
              </w:rPr>
              <w:t>93</w:t>
            </w:r>
          </w:p>
        </w:tc>
        <w:tc>
          <w:tcPr>
            <w:tcW w:w="3793" w:type="dxa"/>
            <w:shd w:val="clear" w:color="auto" w:fill="auto"/>
          </w:tcPr>
          <w:p w:rsidR="00F07E05" w:rsidRPr="005C06D9" w:rsidRDefault="00F07E05" w:rsidP="008A253E">
            <w:pPr>
              <w:jc w:val="center"/>
              <w:rPr>
                <w:sz w:val="28"/>
                <w:szCs w:val="28"/>
              </w:rPr>
            </w:pPr>
            <w:r w:rsidRPr="005C06D9">
              <w:rPr>
                <w:sz w:val="28"/>
                <w:szCs w:val="28"/>
              </w:rPr>
              <w:t>88</w:t>
            </w:r>
          </w:p>
        </w:tc>
      </w:tr>
      <w:tr w:rsidR="00F07E05" w:rsidTr="008A253E">
        <w:tc>
          <w:tcPr>
            <w:tcW w:w="1951" w:type="dxa"/>
            <w:shd w:val="clear" w:color="auto" w:fill="auto"/>
          </w:tcPr>
          <w:p w:rsidR="00F07E05" w:rsidRPr="005C06D9" w:rsidRDefault="00F07E05" w:rsidP="008A253E">
            <w:pPr>
              <w:rPr>
                <w:sz w:val="28"/>
                <w:szCs w:val="28"/>
              </w:rPr>
            </w:pPr>
          </w:p>
        </w:tc>
        <w:tc>
          <w:tcPr>
            <w:tcW w:w="3827" w:type="dxa"/>
            <w:shd w:val="clear" w:color="auto" w:fill="auto"/>
          </w:tcPr>
          <w:p w:rsidR="00F07E05" w:rsidRPr="005C06D9" w:rsidRDefault="00F07E05" w:rsidP="008A253E">
            <w:pPr>
              <w:jc w:val="center"/>
              <w:rPr>
                <w:sz w:val="28"/>
                <w:szCs w:val="28"/>
              </w:rPr>
            </w:pPr>
          </w:p>
        </w:tc>
        <w:tc>
          <w:tcPr>
            <w:tcW w:w="3793" w:type="dxa"/>
            <w:shd w:val="clear" w:color="auto" w:fill="auto"/>
          </w:tcPr>
          <w:p w:rsidR="00F07E05" w:rsidRPr="005C06D9" w:rsidRDefault="00F07E05" w:rsidP="008A253E">
            <w:pPr>
              <w:jc w:val="center"/>
              <w:rPr>
                <w:sz w:val="28"/>
                <w:szCs w:val="28"/>
              </w:rPr>
            </w:pPr>
            <w:r w:rsidRPr="005C06D9">
              <w:rPr>
                <w:sz w:val="28"/>
                <w:szCs w:val="28"/>
              </w:rPr>
              <w:t>387/4=96,75</w:t>
            </w:r>
          </w:p>
          <w:p w:rsidR="00F07E05" w:rsidRPr="005C06D9" w:rsidRDefault="00F07E05" w:rsidP="008A253E">
            <w:pPr>
              <w:jc w:val="center"/>
              <w:rPr>
                <w:sz w:val="28"/>
                <w:szCs w:val="28"/>
              </w:rPr>
            </w:pPr>
            <w:r w:rsidRPr="005C06D9">
              <w:rPr>
                <w:sz w:val="28"/>
                <w:szCs w:val="28"/>
              </w:rPr>
              <w:t>97 шт.</w:t>
            </w:r>
          </w:p>
        </w:tc>
      </w:tr>
    </w:tbl>
    <w:p w:rsidR="00F07E05" w:rsidRPr="00054D2E" w:rsidRDefault="00F07E05" w:rsidP="00F07E05">
      <w:pPr>
        <w:rPr>
          <w:sz w:val="28"/>
          <w:szCs w:val="28"/>
        </w:rPr>
      </w:pPr>
    </w:p>
    <w:p w:rsidR="00F07E05" w:rsidRPr="00054D2E" w:rsidRDefault="00F07E05" w:rsidP="00F07E05">
      <w:pPr>
        <w:rPr>
          <w:sz w:val="28"/>
          <w:szCs w:val="28"/>
        </w:rPr>
      </w:pPr>
      <w:r w:rsidRPr="00054D2E">
        <w:rPr>
          <w:sz w:val="28"/>
          <w:szCs w:val="28"/>
        </w:rPr>
        <w:t xml:space="preserve">Средняя стоимость одной выписки </w:t>
      </w:r>
      <w:r>
        <w:rPr>
          <w:sz w:val="28"/>
          <w:szCs w:val="28"/>
        </w:rPr>
        <w:t>518,99</w:t>
      </w:r>
      <w:r w:rsidRPr="00054D2E">
        <w:rPr>
          <w:sz w:val="28"/>
          <w:szCs w:val="28"/>
        </w:rPr>
        <w:t xml:space="preserve"> руб</w:t>
      </w:r>
      <w:r>
        <w:rPr>
          <w:sz w:val="28"/>
          <w:szCs w:val="28"/>
        </w:rPr>
        <w:t>.</w:t>
      </w:r>
      <w:r w:rsidRPr="00054D2E">
        <w:rPr>
          <w:sz w:val="28"/>
          <w:szCs w:val="28"/>
        </w:rPr>
        <w:t xml:space="preserve"> (С</w:t>
      </w:r>
      <w:r w:rsidRPr="00054D2E">
        <w:rPr>
          <w:sz w:val="28"/>
          <w:szCs w:val="28"/>
          <w:vertAlign w:val="subscript"/>
        </w:rPr>
        <w:t>сред</w:t>
      </w:r>
      <w:r w:rsidRPr="00054D2E">
        <w:rPr>
          <w:sz w:val="28"/>
          <w:szCs w:val="28"/>
        </w:rPr>
        <w:t>=</w:t>
      </w:r>
      <w:r>
        <w:rPr>
          <w:sz w:val="28"/>
          <w:szCs w:val="28"/>
        </w:rPr>
        <w:t xml:space="preserve"> 518,99</w:t>
      </w:r>
      <w:r w:rsidRPr="00054D2E">
        <w:rPr>
          <w:sz w:val="28"/>
          <w:szCs w:val="28"/>
        </w:rPr>
        <w:t xml:space="preserve">) </w:t>
      </w:r>
    </w:p>
    <w:p w:rsidR="00F07E05" w:rsidRPr="00054D2E" w:rsidRDefault="00F07E05" w:rsidP="00F07E05">
      <w:pPr>
        <w:tabs>
          <w:tab w:val="left" w:pos="4395"/>
        </w:tabs>
        <w:rPr>
          <w:sz w:val="28"/>
          <w:szCs w:val="28"/>
        </w:rPr>
      </w:pPr>
      <w:r w:rsidRPr="00054D2E">
        <w:rPr>
          <w:sz w:val="28"/>
          <w:szCs w:val="28"/>
          <w:lang w:val="en-US"/>
        </w:rPr>
        <w:t>S</w:t>
      </w:r>
      <w:r w:rsidRPr="00054D2E">
        <w:rPr>
          <w:sz w:val="28"/>
          <w:szCs w:val="28"/>
          <w:vertAlign w:val="subscript"/>
        </w:rPr>
        <w:t>глр</w:t>
      </w:r>
      <w:r w:rsidRPr="00054D2E">
        <w:rPr>
          <w:sz w:val="28"/>
          <w:szCs w:val="28"/>
        </w:rPr>
        <w:t>=</w:t>
      </w:r>
      <w:r>
        <w:rPr>
          <w:sz w:val="28"/>
          <w:szCs w:val="28"/>
        </w:rPr>
        <w:t xml:space="preserve"> 518,99 х 97</w:t>
      </w:r>
      <w:r w:rsidRPr="00054D2E">
        <w:rPr>
          <w:sz w:val="28"/>
          <w:szCs w:val="28"/>
        </w:rPr>
        <w:t>=</w:t>
      </w:r>
      <w:r>
        <w:rPr>
          <w:sz w:val="28"/>
          <w:szCs w:val="28"/>
        </w:rPr>
        <w:t xml:space="preserve"> 50342</w:t>
      </w:r>
      <w:r w:rsidRPr="00054D2E">
        <w:rPr>
          <w:sz w:val="28"/>
          <w:szCs w:val="28"/>
        </w:rPr>
        <w:t xml:space="preserve"> руб </w:t>
      </w:r>
      <w:r w:rsidRPr="00054D2E">
        <w:rPr>
          <w:rFonts w:eastAsia="SimSun"/>
          <w:sz w:val="28"/>
          <w:szCs w:val="28"/>
        </w:rPr>
        <w:t>≈</w:t>
      </w:r>
      <w:r w:rsidRPr="00054D2E">
        <w:rPr>
          <w:sz w:val="28"/>
          <w:szCs w:val="28"/>
        </w:rPr>
        <w:t xml:space="preserve"> </w:t>
      </w:r>
      <w:r>
        <w:rPr>
          <w:sz w:val="28"/>
          <w:szCs w:val="28"/>
        </w:rPr>
        <w:t>50,3</w:t>
      </w:r>
      <w:r w:rsidRPr="00054D2E">
        <w:rPr>
          <w:sz w:val="28"/>
          <w:szCs w:val="28"/>
        </w:rPr>
        <w:t xml:space="preserve"> тыс.руб</w:t>
      </w:r>
      <w:r>
        <w:rPr>
          <w:sz w:val="28"/>
          <w:szCs w:val="28"/>
        </w:rPr>
        <w:t>.</w:t>
      </w:r>
    </w:p>
    <w:p w:rsidR="00F07E05" w:rsidRDefault="00F07E05" w:rsidP="00F07E05">
      <w:pPr>
        <w:ind w:firstLine="709"/>
        <w:jc w:val="both"/>
        <w:rPr>
          <w:snapToGrid w:val="0"/>
          <w:szCs w:val="28"/>
        </w:rPr>
      </w:pPr>
    </w:p>
    <w:p w:rsidR="00F07E05" w:rsidRPr="00616C81" w:rsidRDefault="00F07E05" w:rsidP="00F07E05">
      <w:pPr>
        <w:ind w:firstLine="709"/>
        <w:jc w:val="center"/>
        <w:rPr>
          <w:b/>
          <w:snapToGrid w:val="0"/>
          <w:sz w:val="28"/>
          <w:szCs w:val="28"/>
        </w:rPr>
      </w:pPr>
    </w:p>
    <w:p w:rsidR="00F07E05" w:rsidRPr="00F85C0F" w:rsidRDefault="00F07E05" w:rsidP="00F07E05">
      <w:pPr>
        <w:ind w:firstLine="709"/>
        <w:jc w:val="center"/>
        <w:rPr>
          <w:b/>
          <w:snapToGrid w:val="0"/>
          <w:sz w:val="28"/>
          <w:szCs w:val="28"/>
        </w:rPr>
      </w:pPr>
      <w:r w:rsidRPr="00F85C0F">
        <w:rPr>
          <w:b/>
          <w:snapToGrid w:val="0"/>
          <w:sz w:val="28"/>
          <w:szCs w:val="28"/>
        </w:rPr>
        <w:t>Министерство транспорта Тверской области</w:t>
      </w:r>
    </w:p>
    <w:p w:rsidR="00F07E05" w:rsidRDefault="00F07E05" w:rsidP="00F07E05">
      <w:pPr>
        <w:ind w:firstLine="709"/>
        <w:jc w:val="both"/>
        <w:rPr>
          <w:snapToGrid w:val="0"/>
          <w:szCs w:val="28"/>
        </w:rPr>
      </w:pPr>
    </w:p>
    <w:p w:rsidR="00F07E05" w:rsidRDefault="00F07E05" w:rsidP="00F07E05">
      <w:pPr>
        <w:ind w:firstLine="709"/>
        <w:jc w:val="right"/>
        <w:rPr>
          <w:snapToGrid w:val="0"/>
          <w:szCs w:val="28"/>
        </w:rPr>
      </w:pPr>
      <w:r>
        <w:rPr>
          <w:snapToGrid w:val="0"/>
          <w:szCs w:val="28"/>
        </w:rPr>
        <w:t>Тыс. руб.</w:t>
      </w:r>
    </w:p>
    <w:tbl>
      <w:tblPr>
        <w:tblW w:w="9655" w:type="dxa"/>
        <w:tblInd w:w="-72" w:type="dxa"/>
        <w:tblLayout w:type="fixed"/>
        <w:tblLook w:val="0000" w:firstRow="0" w:lastRow="0" w:firstColumn="0" w:lastColumn="0" w:noHBand="0" w:noVBand="0"/>
      </w:tblPr>
      <w:tblGrid>
        <w:gridCol w:w="2761"/>
        <w:gridCol w:w="3402"/>
        <w:gridCol w:w="1134"/>
        <w:gridCol w:w="1134"/>
        <w:gridCol w:w="1224"/>
      </w:tblGrid>
      <w:tr w:rsidR="00F07E05" w:rsidRPr="002E2452" w:rsidTr="008A253E">
        <w:trPr>
          <w:trHeight w:val="507"/>
        </w:trPr>
        <w:tc>
          <w:tcPr>
            <w:tcW w:w="2761" w:type="dxa"/>
            <w:tcBorders>
              <w:top w:val="single" w:sz="4" w:space="0" w:color="auto"/>
              <w:left w:val="single" w:sz="4" w:space="0" w:color="auto"/>
              <w:bottom w:val="single" w:sz="4" w:space="0" w:color="auto"/>
              <w:right w:val="single" w:sz="4" w:space="0" w:color="auto"/>
            </w:tcBorders>
            <w:noWrap/>
          </w:tcPr>
          <w:p w:rsidR="00F07E05" w:rsidRPr="002E2452" w:rsidRDefault="00F07E05" w:rsidP="008A253E">
            <w:pPr>
              <w:jc w:val="center"/>
              <w:rPr>
                <w:b/>
                <w:sz w:val="22"/>
                <w:szCs w:val="22"/>
              </w:rPr>
            </w:pPr>
            <w:r w:rsidRPr="002E2452">
              <w:rPr>
                <w:b/>
                <w:sz w:val="22"/>
                <w:szCs w:val="22"/>
              </w:rPr>
              <w:t xml:space="preserve">КБК </w:t>
            </w:r>
          </w:p>
        </w:tc>
        <w:tc>
          <w:tcPr>
            <w:tcW w:w="3402" w:type="dxa"/>
            <w:tcBorders>
              <w:top w:val="single" w:sz="4" w:space="0" w:color="auto"/>
              <w:left w:val="single" w:sz="4" w:space="0" w:color="auto"/>
              <w:bottom w:val="single" w:sz="4" w:space="0" w:color="auto"/>
              <w:right w:val="single" w:sz="4" w:space="0" w:color="auto"/>
            </w:tcBorders>
            <w:noWrap/>
          </w:tcPr>
          <w:p w:rsidR="00F07E05" w:rsidRPr="002E2452" w:rsidRDefault="00F07E05" w:rsidP="008A253E">
            <w:pPr>
              <w:jc w:val="center"/>
              <w:rPr>
                <w:b/>
                <w:sz w:val="22"/>
                <w:szCs w:val="22"/>
              </w:rPr>
            </w:pPr>
            <w:r w:rsidRPr="002E2452">
              <w:rPr>
                <w:b/>
                <w:sz w:val="22"/>
                <w:szCs w:val="22"/>
              </w:rPr>
              <w:t>Наименование</w:t>
            </w:r>
          </w:p>
        </w:tc>
        <w:tc>
          <w:tcPr>
            <w:tcW w:w="1134" w:type="dxa"/>
            <w:tcBorders>
              <w:top w:val="single" w:sz="4" w:space="0" w:color="auto"/>
              <w:left w:val="single" w:sz="4" w:space="0" w:color="auto"/>
              <w:bottom w:val="single" w:sz="4" w:space="0" w:color="auto"/>
              <w:right w:val="single" w:sz="4" w:space="0" w:color="auto"/>
            </w:tcBorders>
          </w:tcPr>
          <w:p w:rsidR="00F07E05" w:rsidRPr="00616C81" w:rsidRDefault="00F07E05" w:rsidP="008A253E">
            <w:pPr>
              <w:jc w:val="center"/>
              <w:rPr>
                <w:b/>
                <w:sz w:val="22"/>
                <w:szCs w:val="22"/>
              </w:rPr>
            </w:pPr>
            <w:r w:rsidRPr="002E2452">
              <w:rPr>
                <w:b/>
                <w:sz w:val="22"/>
                <w:szCs w:val="22"/>
              </w:rPr>
              <w:t>Прогноз на 20</w:t>
            </w:r>
            <w:r>
              <w:rPr>
                <w:b/>
                <w:sz w:val="22"/>
                <w:szCs w:val="22"/>
              </w:rPr>
              <w:t>22</w:t>
            </w:r>
            <w:r w:rsidRPr="002E2452">
              <w:rPr>
                <w:b/>
                <w:sz w:val="22"/>
                <w:szCs w:val="22"/>
              </w:rPr>
              <w:t>год</w:t>
            </w:r>
          </w:p>
        </w:tc>
        <w:tc>
          <w:tcPr>
            <w:tcW w:w="1134" w:type="dxa"/>
            <w:tcBorders>
              <w:top w:val="single" w:sz="4" w:space="0" w:color="auto"/>
              <w:left w:val="single" w:sz="4" w:space="0" w:color="auto"/>
              <w:bottom w:val="single" w:sz="4" w:space="0" w:color="auto"/>
              <w:right w:val="single" w:sz="4" w:space="0" w:color="auto"/>
            </w:tcBorders>
          </w:tcPr>
          <w:p w:rsidR="00F07E05" w:rsidRPr="00616C81" w:rsidRDefault="00F07E05" w:rsidP="008A253E">
            <w:pPr>
              <w:jc w:val="center"/>
              <w:rPr>
                <w:b/>
                <w:sz w:val="22"/>
                <w:szCs w:val="22"/>
              </w:rPr>
            </w:pPr>
            <w:r w:rsidRPr="002E2452">
              <w:rPr>
                <w:b/>
                <w:sz w:val="22"/>
                <w:szCs w:val="22"/>
              </w:rPr>
              <w:t>Прогноз на 202</w:t>
            </w:r>
            <w:r>
              <w:rPr>
                <w:b/>
                <w:sz w:val="22"/>
                <w:szCs w:val="22"/>
              </w:rPr>
              <w:t>3</w:t>
            </w:r>
            <w:r w:rsidRPr="002E2452">
              <w:rPr>
                <w:b/>
                <w:sz w:val="22"/>
                <w:szCs w:val="22"/>
              </w:rPr>
              <w:t>год</w:t>
            </w:r>
          </w:p>
        </w:tc>
        <w:tc>
          <w:tcPr>
            <w:tcW w:w="1224" w:type="dxa"/>
            <w:tcBorders>
              <w:top w:val="single" w:sz="4" w:space="0" w:color="auto"/>
              <w:left w:val="single" w:sz="4" w:space="0" w:color="auto"/>
              <w:bottom w:val="single" w:sz="4" w:space="0" w:color="auto"/>
              <w:right w:val="single" w:sz="4" w:space="0" w:color="auto"/>
            </w:tcBorders>
            <w:vAlign w:val="bottom"/>
          </w:tcPr>
          <w:p w:rsidR="00F07E05" w:rsidRPr="002E2452" w:rsidRDefault="00F07E05" w:rsidP="008A253E">
            <w:pPr>
              <w:jc w:val="center"/>
              <w:rPr>
                <w:b/>
                <w:sz w:val="22"/>
                <w:szCs w:val="22"/>
              </w:rPr>
            </w:pPr>
            <w:r w:rsidRPr="002E2452">
              <w:rPr>
                <w:b/>
                <w:sz w:val="22"/>
                <w:szCs w:val="22"/>
              </w:rPr>
              <w:t>Прогноз на</w:t>
            </w:r>
          </w:p>
          <w:p w:rsidR="00F07E05" w:rsidRPr="002E2452" w:rsidRDefault="00F07E05" w:rsidP="008A253E">
            <w:pPr>
              <w:jc w:val="center"/>
              <w:rPr>
                <w:b/>
                <w:sz w:val="22"/>
                <w:szCs w:val="22"/>
              </w:rPr>
            </w:pPr>
            <w:r w:rsidRPr="002E2452">
              <w:rPr>
                <w:b/>
                <w:sz w:val="22"/>
                <w:szCs w:val="22"/>
              </w:rPr>
              <w:t>202</w:t>
            </w:r>
            <w:r>
              <w:rPr>
                <w:b/>
                <w:sz w:val="22"/>
                <w:szCs w:val="22"/>
              </w:rPr>
              <w:t>4</w:t>
            </w:r>
            <w:r w:rsidRPr="002E2452">
              <w:rPr>
                <w:b/>
                <w:sz w:val="22"/>
                <w:szCs w:val="22"/>
              </w:rPr>
              <w:t xml:space="preserve"> год</w:t>
            </w:r>
          </w:p>
          <w:p w:rsidR="00F07E05" w:rsidRPr="002E2452" w:rsidRDefault="00F07E05" w:rsidP="008A253E">
            <w:pPr>
              <w:jc w:val="center"/>
              <w:rPr>
                <w:b/>
                <w:sz w:val="22"/>
                <w:szCs w:val="22"/>
              </w:rPr>
            </w:pPr>
          </w:p>
        </w:tc>
      </w:tr>
      <w:tr w:rsidR="00F07E05" w:rsidRPr="002E2452" w:rsidTr="008A253E">
        <w:trPr>
          <w:trHeight w:val="551"/>
        </w:trPr>
        <w:tc>
          <w:tcPr>
            <w:tcW w:w="2761" w:type="dxa"/>
            <w:tcBorders>
              <w:top w:val="single" w:sz="4" w:space="0" w:color="auto"/>
              <w:left w:val="single" w:sz="4" w:space="0" w:color="auto"/>
              <w:bottom w:val="single" w:sz="4" w:space="0" w:color="auto"/>
              <w:right w:val="single" w:sz="4" w:space="0" w:color="auto"/>
            </w:tcBorders>
            <w:noWrap/>
          </w:tcPr>
          <w:p w:rsidR="00F07E05" w:rsidRPr="00A520FE" w:rsidRDefault="00F07E05" w:rsidP="008A253E">
            <w:pPr>
              <w:jc w:val="center"/>
            </w:pPr>
            <w:r w:rsidRPr="00A520FE">
              <w:rPr>
                <w:sz w:val="22"/>
                <w:szCs w:val="22"/>
              </w:rPr>
              <w:t>000 1 13 01520 02 0000 130</w:t>
            </w:r>
          </w:p>
        </w:tc>
        <w:tc>
          <w:tcPr>
            <w:tcW w:w="3402" w:type="dxa"/>
            <w:tcBorders>
              <w:top w:val="single" w:sz="4" w:space="0" w:color="auto"/>
              <w:left w:val="single" w:sz="4" w:space="0" w:color="auto"/>
              <w:bottom w:val="single" w:sz="4" w:space="0" w:color="auto"/>
              <w:right w:val="single" w:sz="4" w:space="0" w:color="auto"/>
            </w:tcBorders>
          </w:tcPr>
          <w:p w:rsidR="00F07E05" w:rsidRPr="00A520FE" w:rsidRDefault="00F07E05" w:rsidP="008A253E">
            <w:pPr>
              <w:jc w:val="both"/>
              <w:rPr>
                <w:sz w:val="22"/>
                <w:szCs w:val="22"/>
              </w:rPr>
            </w:pPr>
            <w:r w:rsidRPr="00A520FE">
              <w:rPr>
                <w:sz w:val="22"/>
                <w:szCs w:val="22"/>
              </w:rPr>
              <w:t>Плата за оказание услуг по присоединению объектов дорожного сервиса к автомобильным дорогам общего пользования регионального или межмуниципального значения, зачисляемая в бюджеты субъектов Российской Федерации</w:t>
            </w:r>
          </w:p>
        </w:tc>
        <w:tc>
          <w:tcPr>
            <w:tcW w:w="1134" w:type="dxa"/>
            <w:tcBorders>
              <w:top w:val="single" w:sz="4" w:space="0" w:color="auto"/>
              <w:left w:val="single" w:sz="4" w:space="0" w:color="auto"/>
              <w:bottom w:val="single" w:sz="4" w:space="0" w:color="auto"/>
              <w:right w:val="single" w:sz="4" w:space="0" w:color="auto"/>
            </w:tcBorders>
            <w:noWrap/>
          </w:tcPr>
          <w:p w:rsidR="00F07E05" w:rsidRPr="00A520FE" w:rsidRDefault="00F07E05" w:rsidP="008A253E">
            <w:pPr>
              <w:jc w:val="both"/>
              <w:rPr>
                <w:sz w:val="22"/>
                <w:szCs w:val="22"/>
              </w:rPr>
            </w:pPr>
            <w:r w:rsidRPr="00A520FE">
              <w:rPr>
                <w:sz w:val="22"/>
                <w:szCs w:val="22"/>
              </w:rPr>
              <w:t>108,3</w:t>
            </w:r>
          </w:p>
        </w:tc>
        <w:tc>
          <w:tcPr>
            <w:tcW w:w="1134" w:type="dxa"/>
            <w:tcBorders>
              <w:top w:val="single" w:sz="4" w:space="0" w:color="auto"/>
              <w:left w:val="single" w:sz="4" w:space="0" w:color="auto"/>
              <w:bottom w:val="single" w:sz="4" w:space="0" w:color="auto"/>
              <w:right w:val="single" w:sz="4" w:space="0" w:color="auto"/>
            </w:tcBorders>
            <w:noWrap/>
          </w:tcPr>
          <w:p w:rsidR="00F07E05" w:rsidRPr="00A520FE" w:rsidRDefault="00F07E05" w:rsidP="008A253E">
            <w:pPr>
              <w:jc w:val="both"/>
              <w:rPr>
                <w:sz w:val="22"/>
                <w:szCs w:val="22"/>
              </w:rPr>
            </w:pPr>
            <w:r w:rsidRPr="00A520FE">
              <w:rPr>
                <w:sz w:val="22"/>
                <w:szCs w:val="22"/>
              </w:rPr>
              <w:t>114,2</w:t>
            </w:r>
          </w:p>
        </w:tc>
        <w:tc>
          <w:tcPr>
            <w:tcW w:w="1224" w:type="dxa"/>
            <w:tcBorders>
              <w:top w:val="single" w:sz="4" w:space="0" w:color="auto"/>
              <w:left w:val="single" w:sz="4" w:space="0" w:color="auto"/>
              <w:bottom w:val="single" w:sz="4" w:space="0" w:color="auto"/>
              <w:right w:val="single" w:sz="4" w:space="0" w:color="auto"/>
            </w:tcBorders>
            <w:noWrap/>
          </w:tcPr>
          <w:p w:rsidR="00F07E05" w:rsidRPr="00A520FE" w:rsidRDefault="00F07E05" w:rsidP="008A253E">
            <w:pPr>
              <w:jc w:val="both"/>
              <w:rPr>
                <w:sz w:val="22"/>
                <w:szCs w:val="22"/>
              </w:rPr>
            </w:pPr>
            <w:r w:rsidRPr="00A520FE">
              <w:rPr>
                <w:sz w:val="22"/>
                <w:szCs w:val="22"/>
              </w:rPr>
              <w:t>120,6</w:t>
            </w:r>
          </w:p>
        </w:tc>
      </w:tr>
    </w:tbl>
    <w:p w:rsidR="00F07E05" w:rsidRDefault="00F07E05" w:rsidP="00F07E05">
      <w:pPr>
        <w:ind w:firstLine="709"/>
        <w:jc w:val="both"/>
        <w:rPr>
          <w:snapToGrid w:val="0"/>
          <w:szCs w:val="28"/>
        </w:rPr>
      </w:pPr>
    </w:p>
    <w:p w:rsidR="00F07E05" w:rsidRPr="000B2849" w:rsidRDefault="00F07E05" w:rsidP="00F07E05">
      <w:pPr>
        <w:ind w:firstLine="709"/>
        <w:jc w:val="both"/>
        <w:rPr>
          <w:sz w:val="28"/>
          <w:szCs w:val="28"/>
        </w:rPr>
      </w:pPr>
      <w:r>
        <w:rPr>
          <w:sz w:val="28"/>
          <w:szCs w:val="28"/>
        </w:rPr>
        <w:t>П</w:t>
      </w:r>
      <w:r w:rsidRPr="000B2849">
        <w:rPr>
          <w:sz w:val="28"/>
          <w:szCs w:val="28"/>
        </w:rPr>
        <w:t xml:space="preserve">рогноз на очередной финансовый год и на плановый период рассчитывается методом прямого расчета   исходя из количественных и стоимостных показателей с применением к стоимостному показателю индекса – дефлятора  инвестиций в основной капитал, рекомендованного Министерством экономического развития Российской Федерации на </w:t>
      </w:r>
      <w:r w:rsidRPr="000B2849">
        <w:rPr>
          <w:sz w:val="28"/>
          <w:szCs w:val="28"/>
        </w:rPr>
        <w:lastRenderedPageBreak/>
        <w:t>плановый период, и суммы дебиторской задолженности, образовавшейся на 01 января текущего года  по следующей формуле:</w:t>
      </w:r>
    </w:p>
    <w:p w:rsidR="00F07E05" w:rsidRPr="000B2849" w:rsidRDefault="00F07E05" w:rsidP="00F07E05">
      <w:pPr>
        <w:pStyle w:val="ConsPlusNormal"/>
        <w:ind w:firstLine="709"/>
        <w:jc w:val="both"/>
        <w:rPr>
          <w:rFonts w:ascii="Times New Roman" w:hAnsi="Times New Roman" w:cs="Times New Roman"/>
          <w:sz w:val="28"/>
          <w:szCs w:val="28"/>
        </w:rPr>
      </w:pPr>
    </w:p>
    <w:p w:rsidR="00F07E05" w:rsidRPr="000B2849" w:rsidRDefault="00F07E05" w:rsidP="00F07E05">
      <w:pPr>
        <w:ind w:firstLine="709"/>
        <w:jc w:val="both"/>
        <w:rPr>
          <w:b/>
          <w:sz w:val="28"/>
          <w:szCs w:val="28"/>
        </w:rPr>
      </w:pPr>
      <w:r w:rsidRPr="000B2849">
        <w:rPr>
          <w:b/>
          <w:sz w:val="28"/>
          <w:szCs w:val="28"/>
        </w:rPr>
        <w:t xml:space="preserve">                 Д = </w:t>
      </w:r>
      <w:r w:rsidRPr="000B2849">
        <w:rPr>
          <w:b/>
          <w:color w:val="000000"/>
          <w:sz w:val="28"/>
          <w:szCs w:val="28"/>
        </w:rPr>
        <w:t>Д</w:t>
      </w:r>
      <w:r w:rsidRPr="000B2849">
        <w:rPr>
          <w:b/>
          <w:color w:val="000000"/>
          <w:sz w:val="28"/>
          <w:szCs w:val="28"/>
          <w:vertAlign w:val="subscript"/>
        </w:rPr>
        <w:t>з</w:t>
      </w:r>
      <w:r w:rsidRPr="000B2849">
        <w:rPr>
          <w:b/>
          <w:color w:val="000000"/>
          <w:sz w:val="28"/>
          <w:szCs w:val="28"/>
        </w:rPr>
        <w:t xml:space="preserve"> + К</w:t>
      </w:r>
      <w:r w:rsidRPr="000B2849">
        <w:rPr>
          <w:b/>
          <w:color w:val="000000"/>
          <w:sz w:val="28"/>
          <w:szCs w:val="28"/>
          <w:vertAlign w:val="subscript"/>
          <w:lang w:val="en-US"/>
        </w:rPr>
        <w:t>i</w:t>
      </w:r>
      <w:r w:rsidRPr="000B2849">
        <w:rPr>
          <w:b/>
          <w:sz w:val="28"/>
          <w:szCs w:val="28"/>
        </w:rPr>
        <w:t xml:space="preserve"> * </w:t>
      </w:r>
      <w:r w:rsidRPr="000B2849">
        <w:rPr>
          <w:b/>
          <w:sz w:val="28"/>
          <w:szCs w:val="28"/>
          <w:lang w:val="en-US"/>
        </w:rPr>
        <w:t>S</w:t>
      </w:r>
      <w:r w:rsidRPr="000B2849">
        <w:rPr>
          <w:b/>
          <w:sz w:val="28"/>
          <w:szCs w:val="28"/>
          <w:vertAlign w:val="subscript"/>
          <w:lang w:val="en-US"/>
        </w:rPr>
        <w:t>i</w:t>
      </w:r>
      <w:r w:rsidRPr="000B2849">
        <w:rPr>
          <w:b/>
          <w:sz w:val="28"/>
          <w:szCs w:val="28"/>
        </w:rPr>
        <w:t xml:space="preserve"> * Ид</w:t>
      </w:r>
    </w:p>
    <w:p w:rsidR="00F07E05" w:rsidRPr="000B2849" w:rsidRDefault="00F07E05" w:rsidP="00F07E05">
      <w:pPr>
        <w:ind w:firstLine="709"/>
        <w:jc w:val="both"/>
        <w:rPr>
          <w:sz w:val="28"/>
          <w:szCs w:val="28"/>
        </w:rPr>
      </w:pPr>
      <w:r w:rsidRPr="000B2849">
        <w:rPr>
          <w:b/>
          <w:sz w:val="28"/>
          <w:szCs w:val="28"/>
        </w:rPr>
        <w:t>Д-</w:t>
      </w:r>
      <w:r w:rsidRPr="000B2849">
        <w:rPr>
          <w:sz w:val="28"/>
          <w:szCs w:val="28"/>
        </w:rPr>
        <w:t xml:space="preserve"> доходы за оказание услуг по присоединению объектов дорожного сервиса к автомобильным дорогам общего пользования регионального и межмуниципального значения ;</w:t>
      </w:r>
    </w:p>
    <w:p w:rsidR="00F07E05" w:rsidRPr="000B2849" w:rsidRDefault="00F07E05" w:rsidP="00F07E05">
      <w:pPr>
        <w:ind w:left="72" w:firstLine="709"/>
        <w:jc w:val="both"/>
        <w:rPr>
          <w:b/>
          <w:sz w:val="28"/>
          <w:szCs w:val="28"/>
        </w:rPr>
      </w:pPr>
      <w:r w:rsidRPr="000B2849">
        <w:rPr>
          <w:b/>
          <w:sz w:val="28"/>
          <w:szCs w:val="28"/>
        </w:rPr>
        <w:t>Д</w:t>
      </w:r>
      <w:r w:rsidRPr="000B2849">
        <w:rPr>
          <w:b/>
          <w:sz w:val="28"/>
          <w:szCs w:val="28"/>
          <w:vertAlign w:val="subscript"/>
        </w:rPr>
        <w:t>з</w:t>
      </w:r>
      <w:r w:rsidRPr="000B2849">
        <w:rPr>
          <w:sz w:val="28"/>
          <w:szCs w:val="28"/>
        </w:rPr>
        <w:t xml:space="preserve"> - сумма дебиторской задолженности, образовавшаяся на 01 января текущего финансового года;</w:t>
      </w:r>
      <w:r w:rsidRPr="000B2849">
        <w:rPr>
          <w:b/>
          <w:sz w:val="28"/>
          <w:szCs w:val="28"/>
        </w:rPr>
        <w:t xml:space="preserve"> </w:t>
      </w:r>
    </w:p>
    <w:p w:rsidR="00F07E05" w:rsidRPr="000B2849" w:rsidRDefault="00F07E05" w:rsidP="00F07E05">
      <w:pPr>
        <w:tabs>
          <w:tab w:val="left" w:pos="567"/>
        </w:tabs>
        <w:ind w:firstLine="709"/>
        <w:jc w:val="both"/>
        <w:rPr>
          <w:sz w:val="28"/>
          <w:szCs w:val="28"/>
        </w:rPr>
      </w:pPr>
      <w:r w:rsidRPr="000B2849">
        <w:rPr>
          <w:b/>
          <w:color w:val="000000"/>
          <w:sz w:val="28"/>
          <w:szCs w:val="28"/>
        </w:rPr>
        <w:t>К</w:t>
      </w:r>
      <w:r w:rsidRPr="000B2849">
        <w:rPr>
          <w:b/>
          <w:color w:val="000000"/>
          <w:sz w:val="28"/>
          <w:szCs w:val="28"/>
          <w:vertAlign w:val="subscript"/>
          <w:lang w:val="en-US"/>
        </w:rPr>
        <w:t>i</w:t>
      </w:r>
      <w:r w:rsidRPr="000B2849">
        <w:rPr>
          <w:color w:val="000000"/>
          <w:sz w:val="28"/>
          <w:szCs w:val="28"/>
        </w:rPr>
        <w:t>– среднее количество i-того вида заключенных договоров на оказание услуг по присоединению объектов дорожного сервиса за три года, предшествующих текущему финансовому году (</w:t>
      </w:r>
      <w:r w:rsidRPr="000B2849">
        <w:rPr>
          <w:sz w:val="28"/>
          <w:szCs w:val="28"/>
        </w:rPr>
        <w:t>в случае резких колебаний количественных показателей в предшествующие годы при расчете  прогноза применяется показатель количества услуг ожидаемых в текущем году с учетом возможностей учреждений в плановый период, потребности в них и других факторов, оказывающих влияние на количество оказываемых услуг в плановом периоде);</w:t>
      </w:r>
    </w:p>
    <w:p w:rsidR="00F07E05" w:rsidRPr="000B2849" w:rsidRDefault="00F07E05" w:rsidP="00F07E05">
      <w:pPr>
        <w:autoSpaceDE w:val="0"/>
        <w:autoSpaceDN w:val="0"/>
        <w:adjustRightInd w:val="0"/>
        <w:ind w:firstLine="709"/>
        <w:jc w:val="both"/>
        <w:rPr>
          <w:color w:val="000000"/>
          <w:sz w:val="28"/>
          <w:szCs w:val="28"/>
        </w:rPr>
      </w:pPr>
      <w:r w:rsidRPr="000B2849">
        <w:rPr>
          <w:b/>
          <w:sz w:val="28"/>
          <w:szCs w:val="28"/>
          <w:lang w:val="en-US"/>
        </w:rPr>
        <w:t>S</w:t>
      </w:r>
      <w:r w:rsidRPr="000B2849">
        <w:rPr>
          <w:b/>
          <w:sz w:val="28"/>
          <w:szCs w:val="28"/>
          <w:vertAlign w:val="subscript"/>
          <w:lang w:val="en-US"/>
        </w:rPr>
        <w:t>i</w:t>
      </w:r>
      <w:r w:rsidRPr="000B2849">
        <w:rPr>
          <w:b/>
          <w:sz w:val="28"/>
          <w:szCs w:val="28"/>
          <w:vertAlign w:val="subscript"/>
        </w:rPr>
        <w:t xml:space="preserve"> </w:t>
      </w:r>
      <w:r w:rsidRPr="000B2849">
        <w:rPr>
          <w:sz w:val="28"/>
          <w:szCs w:val="28"/>
          <w:vertAlign w:val="subscript"/>
        </w:rPr>
        <w:t xml:space="preserve">– </w:t>
      </w:r>
      <w:r w:rsidRPr="000B2849">
        <w:rPr>
          <w:color w:val="000000"/>
          <w:sz w:val="28"/>
          <w:szCs w:val="28"/>
        </w:rPr>
        <w:t>средний размер i-того вида  стоимости услуг по присоединению объектов дорожного сервиса за три года, предшествующих текущему финансовому году, установленный Постановлением Правительства Тверской области от 25 июня 2013 г. № 277-пп.</w:t>
      </w:r>
    </w:p>
    <w:p w:rsidR="00F07E05" w:rsidRPr="000B2849" w:rsidRDefault="00F07E05" w:rsidP="00F07E05">
      <w:pPr>
        <w:ind w:firstLine="709"/>
        <w:jc w:val="both"/>
        <w:rPr>
          <w:sz w:val="28"/>
          <w:szCs w:val="28"/>
        </w:rPr>
      </w:pPr>
      <w:r w:rsidRPr="000B2849">
        <w:rPr>
          <w:b/>
          <w:sz w:val="28"/>
          <w:szCs w:val="28"/>
        </w:rPr>
        <w:t>Ид</w:t>
      </w:r>
      <w:r w:rsidRPr="000B2849">
        <w:rPr>
          <w:sz w:val="28"/>
          <w:szCs w:val="28"/>
        </w:rPr>
        <w:t xml:space="preserve"> - индекса–дефлятора  инвестиций в основной капитал, рекомендованный Министерством экономического развития Российской Федерации на плановый период.</w:t>
      </w:r>
    </w:p>
    <w:p w:rsidR="00F07E05" w:rsidRPr="000B2849" w:rsidRDefault="00F07E05" w:rsidP="00F07E05">
      <w:pPr>
        <w:ind w:firstLine="709"/>
        <w:jc w:val="both"/>
        <w:rPr>
          <w:sz w:val="28"/>
          <w:szCs w:val="28"/>
        </w:rPr>
      </w:pPr>
    </w:p>
    <w:p w:rsidR="00F07E05" w:rsidRPr="000B2849" w:rsidRDefault="00F07E05" w:rsidP="00F07E05">
      <w:pPr>
        <w:ind w:left="72"/>
        <w:jc w:val="center"/>
        <w:rPr>
          <w:b/>
          <w:color w:val="000000"/>
          <w:sz w:val="28"/>
          <w:szCs w:val="28"/>
        </w:rPr>
      </w:pPr>
      <w:r w:rsidRPr="000B2849">
        <w:rPr>
          <w:sz w:val="28"/>
          <w:szCs w:val="28"/>
        </w:rPr>
        <w:t xml:space="preserve">Расчет </w:t>
      </w:r>
      <w:r w:rsidRPr="000B2849">
        <w:rPr>
          <w:sz w:val="28"/>
          <w:szCs w:val="28"/>
          <w:lang w:val="en-US"/>
        </w:rPr>
        <w:t>S</w:t>
      </w:r>
      <w:r w:rsidRPr="000B2849">
        <w:rPr>
          <w:sz w:val="28"/>
          <w:szCs w:val="28"/>
          <w:vertAlign w:val="subscript"/>
          <w:lang w:val="en-US"/>
        </w:rPr>
        <w:t>i</w:t>
      </w:r>
      <w:r w:rsidRPr="000B2849">
        <w:rPr>
          <w:sz w:val="28"/>
          <w:szCs w:val="28"/>
          <w:vertAlign w:val="subscript"/>
        </w:rPr>
        <w:t xml:space="preserve"> </w:t>
      </w:r>
      <w:r w:rsidRPr="000B2849">
        <w:rPr>
          <w:sz w:val="28"/>
          <w:szCs w:val="28"/>
        </w:rPr>
        <w:t xml:space="preserve">и </w:t>
      </w:r>
      <w:r w:rsidRPr="000B2849">
        <w:rPr>
          <w:color w:val="000000"/>
          <w:sz w:val="28"/>
          <w:szCs w:val="28"/>
        </w:rPr>
        <w:t>К</w:t>
      </w:r>
      <w:r w:rsidRPr="000B2849">
        <w:rPr>
          <w:color w:val="000000"/>
          <w:sz w:val="28"/>
          <w:szCs w:val="28"/>
          <w:vertAlign w:val="subscript"/>
          <w:lang w:val="en-US"/>
        </w:rPr>
        <w:t>i</w:t>
      </w:r>
      <w:r w:rsidRPr="000B2849">
        <w:rPr>
          <w:sz w:val="28"/>
          <w:szCs w:val="28"/>
        </w:rPr>
        <w:t>:</w:t>
      </w:r>
    </w:p>
    <w:p w:rsidR="00F07E05" w:rsidRPr="000B2849" w:rsidRDefault="00F07E05" w:rsidP="00F07E05">
      <w:pPr>
        <w:ind w:left="72"/>
        <w:jc w:val="both"/>
        <w:rPr>
          <w:color w:val="000000"/>
          <w:sz w:val="28"/>
          <w:szCs w:val="28"/>
        </w:rPr>
      </w:pPr>
      <w:r w:rsidRPr="000B2849">
        <w:rPr>
          <w:color w:val="000000"/>
          <w:sz w:val="28"/>
          <w:szCs w:val="28"/>
        </w:rPr>
        <w:t>1. Среднее количество договоров:</w:t>
      </w:r>
    </w:p>
    <w:p w:rsidR="00F07E05" w:rsidRPr="000B2849" w:rsidRDefault="00F07E05" w:rsidP="00F07E05">
      <w:pPr>
        <w:ind w:left="72"/>
        <w:jc w:val="both"/>
        <w:rPr>
          <w:sz w:val="28"/>
          <w:szCs w:val="28"/>
        </w:rPr>
      </w:pPr>
      <w:r w:rsidRPr="000B2849">
        <w:rPr>
          <w:color w:val="000000"/>
          <w:sz w:val="28"/>
          <w:szCs w:val="28"/>
        </w:rPr>
        <w:t>К</w:t>
      </w:r>
      <w:r w:rsidRPr="000B2849">
        <w:rPr>
          <w:color w:val="000000"/>
          <w:sz w:val="28"/>
          <w:szCs w:val="28"/>
          <w:vertAlign w:val="subscript"/>
          <w:lang w:val="en-US"/>
        </w:rPr>
        <w:t>i</w:t>
      </w:r>
      <w:r w:rsidRPr="000B2849">
        <w:rPr>
          <w:sz w:val="28"/>
          <w:szCs w:val="28"/>
        </w:rPr>
        <w:t xml:space="preserve"> = (</w:t>
      </w:r>
      <w:r w:rsidRPr="000B2849">
        <w:rPr>
          <w:color w:val="000000"/>
          <w:sz w:val="28"/>
          <w:szCs w:val="28"/>
        </w:rPr>
        <w:t>К</w:t>
      </w:r>
      <w:r w:rsidRPr="000B2849">
        <w:rPr>
          <w:color w:val="000000"/>
          <w:sz w:val="28"/>
          <w:szCs w:val="28"/>
          <w:vertAlign w:val="subscript"/>
          <w:lang w:val="en-US"/>
        </w:rPr>
        <w:t>i</w:t>
      </w:r>
      <w:r w:rsidRPr="000B2849">
        <w:rPr>
          <w:sz w:val="28"/>
          <w:szCs w:val="28"/>
        </w:rPr>
        <w:t xml:space="preserve"> 2018 + </w:t>
      </w:r>
      <w:r w:rsidRPr="000B2849">
        <w:rPr>
          <w:color w:val="000000"/>
          <w:sz w:val="28"/>
          <w:szCs w:val="28"/>
        </w:rPr>
        <w:t>К</w:t>
      </w:r>
      <w:r w:rsidRPr="000B2849">
        <w:rPr>
          <w:color w:val="000000"/>
          <w:sz w:val="28"/>
          <w:szCs w:val="28"/>
          <w:vertAlign w:val="subscript"/>
          <w:lang w:val="en-US"/>
        </w:rPr>
        <w:t>i</w:t>
      </w:r>
      <w:r w:rsidRPr="000B2849">
        <w:rPr>
          <w:sz w:val="28"/>
          <w:szCs w:val="28"/>
        </w:rPr>
        <w:t xml:space="preserve"> 2019 + </w:t>
      </w:r>
      <w:r w:rsidRPr="000B2849">
        <w:rPr>
          <w:color w:val="000000"/>
          <w:sz w:val="28"/>
          <w:szCs w:val="28"/>
        </w:rPr>
        <w:t>К</w:t>
      </w:r>
      <w:r w:rsidRPr="000B2849">
        <w:rPr>
          <w:color w:val="000000"/>
          <w:sz w:val="28"/>
          <w:szCs w:val="28"/>
          <w:vertAlign w:val="subscript"/>
          <w:lang w:val="en-US"/>
        </w:rPr>
        <w:t>i</w:t>
      </w:r>
      <w:r w:rsidRPr="000B2849">
        <w:rPr>
          <w:sz w:val="28"/>
          <w:szCs w:val="28"/>
        </w:rPr>
        <w:t xml:space="preserve"> 2020)/3 = (2+2+2)/3 = 2</w:t>
      </w:r>
    </w:p>
    <w:p w:rsidR="00F07E05" w:rsidRPr="000B2849" w:rsidRDefault="00F07E05" w:rsidP="00F07E05">
      <w:pPr>
        <w:ind w:left="72"/>
        <w:jc w:val="both"/>
        <w:rPr>
          <w:sz w:val="28"/>
          <w:szCs w:val="28"/>
        </w:rPr>
      </w:pPr>
      <w:r w:rsidRPr="000B2849">
        <w:rPr>
          <w:sz w:val="28"/>
          <w:szCs w:val="28"/>
        </w:rPr>
        <w:t xml:space="preserve">2. Средний размер стоимости услуг:   </w:t>
      </w:r>
    </w:p>
    <w:p w:rsidR="00F07E05" w:rsidRPr="000B2849" w:rsidRDefault="00F07E05" w:rsidP="00F07E05">
      <w:pPr>
        <w:ind w:left="72"/>
        <w:jc w:val="both"/>
        <w:rPr>
          <w:sz w:val="28"/>
          <w:szCs w:val="28"/>
        </w:rPr>
      </w:pPr>
      <w:r w:rsidRPr="000B2849">
        <w:rPr>
          <w:sz w:val="28"/>
          <w:szCs w:val="28"/>
          <w:lang w:val="en-US"/>
        </w:rPr>
        <w:t>S</w:t>
      </w:r>
      <w:r w:rsidRPr="000B2849">
        <w:rPr>
          <w:sz w:val="28"/>
          <w:szCs w:val="28"/>
          <w:vertAlign w:val="subscript"/>
          <w:lang w:val="en-US"/>
        </w:rPr>
        <w:t>i</w:t>
      </w:r>
      <w:r w:rsidRPr="002C5B67">
        <w:rPr>
          <w:sz w:val="28"/>
          <w:szCs w:val="28"/>
          <w:vertAlign w:val="subscript"/>
          <w:lang w:val="en-US"/>
        </w:rPr>
        <w:t xml:space="preserve"> = </w:t>
      </w:r>
      <w:r w:rsidRPr="002C5B67">
        <w:rPr>
          <w:sz w:val="28"/>
          <w:szCs w:val="28"/>
          <w:lang w:val="en-US"/>
        </w:rPr>
        <w:t>(</w:t>
      </w:r>
      <w:r w:rsidRPr="000B2849">
        <w:rPr>
          <w:sz w:val="28"/>
          <w:szCs w:val="28"/>
          <w:lang w:val="en-US"/>
        </w:rPr>
        <w:t>S</w:t>
      </w:r>
      <w:r w:rsidRPr="000B2849">
        <w:rPr>
          <w:sz w:val="28"/>
          <w:szCs w:val="28"/>
          <w:vertAlign w:val="subscript"/>
          <w:lang w:val="en-US"/>
        </w:rPr>
        <w:t>i</w:t>
      </w:r>
      <w:r w:rsidRPr="002C5B67">
        <w:rPr>
          <w:sz w:val="28"/>
          <w:szCs w:val="28"/>
          <w:vertAlign w:val="subscript"/>
          <w:lang w:val="en-US"/>
        </w:rPr>
        <w:t xml:space="preserve">  </w:t>
      </w:r>
      <w:r w:rsidRPr="002C5B67">
        <w:rPr>
          <w:sz w:val="28"/>
          <w:szCs w:val="28"/>
          <w:lang w:val="en-US"/>
        </w:rPr>
        <w:t xml:space="preserve">2018 + </w:t>
      </w:r>
      <w:r w:rsidRPr="000B2849">
        <w:rPr>
          <w:sz w:val="28"/>
          <w:szCs w:val="28"/>
          <w:lang w:val="en-US"/>
        </w:rPr>
        <w:t>S</w:t>
      </w:r>
      <w:r w:rsidRPr="000B2849">
        <w:rPr>
          <w:sz w:val="28"/>
          <w:szCs w:val="28"/>
          <w:vertAlign w:val="subscript"/>
          <w:lang w:val="en-US"/>
        </w:rPr>
        <w:t>i</w:t>
      </w:r>
      <w:r w:rsidRPr="002C5B67">
        <w:rPr>
          <w:sz w:val="28"/>
          <w:szCs w:val="28"/>
          <w:vertAlign w:val="subscript"/>
          <w:lang w:val="en-US"/>
        </w:rPr>
        <w:t xml:space="preserve">  </w:t>
      </w:r>
      <w:r w:rsidRPr="002C5B67">
        <w:rPr>
          <w:sz w:val="28"/>
          <w:szCs w:val="28"/>
          <w:lang w:val="en-US"/>
        </w:rPr>
        <w:t xml:space="preserve">2019 + </w:t>
      </w:r>
      <w:r w:rsidRPr="000B2849">
        <w:rPr>
          <w:sz w:val="28"/>
          <w:szCs w:val="28"/>
          <w:lang w:val="en-US"/>
        </w:rPr>
        <w:t>S</w:t>
      </w:r>
      <w:r w:rsidRPr="000B2849">
        <w:rPr>
          <w:sz w:val="28"/>
          <w:szCs w:val="28"/>
          <w:vertAlign w:val="subscript"/>
          <w:lang w:val="en-US"/>
        </w:rPr>
        <w:t>i</w:t>
      </w:r>
      <w:r w:rsidRPr="002C5B67">
        <w:rPr>
          <w:sz w:val="28"/>
          <w:szCs w:val="28"/>
          <w:lang w:val="en-US"/>
        </w:rPr>
        <w:t xml:space="preserve"> 2020)/3 = (16 908,75 </w:t>
      </w:r>
      <w:r w:rsidRPr="000B2849">
        <w:rPr>
          <w:sz w:val="28"/>
          <w:szCs w:val="28"/>
        </w:rPr>
        <w:t>руб</w:t>
      </w:r>
      <w:r w:rsidRPr="002C5B67">
        <w:rPr>
          <w:sz w:val="28"/>
          <w:szCs w:val="28"/>
          <w:lang w:val="en-US"/>
        </w:rPr>
        <w:t xml:space="preserve">. </w:t>
      </w:r>
      <w:r w:rsidRPr="000B2849">
        <w:rPr>
          <w:sz w:val="28"/>
          <w:szCs w:val="28"/>
        </w:rPr>
        <w:t>+75 671,75 руб. + 61 650,4 руб.)/3 = 51 410,3 руб. = 51,41 тыс.руб.</w:t>
      </w:r>
    </w:p>
    <w:p w:rsidR="00F07E05" w:rsidRPr="000B2849" w:rsidRDefault="00F07E05" w:rsidP="00F07E05">
      <w:pPr>
        <w:ind w:firstLine="709"/>
        <w:jc w:val="center"/>
        <w:rPr>
          <w:sz w:val="28"/>
          <w:szCs w:val="28"/>
        </w:rPr>
      </w:pPr>
    </w:p>
    <w:p w:rsidR="00F07E05" w:rsidRPr="000B2849" w:rsidRDefault="00F07E05" w:rsidP="00F07E05">
      <w:pPr>
        <w:autoSpaceDE w:val="0"/>
        <w:autoSpaceDN w:val="0"/>
        <w:adjustRightInd w:val="0"/>
        <w:ind w:firstLine="709"/>
        <w:jc w:val="both"/>
        <w:rPr>
          <w:sz w:val="28"/>
          <w:szCs w:val="28"/>
        </w:rPr>
      </w:pPr>
      <w:r w:rsidRPr="000B2849">
        <w:rPr>
          <w:color w:val="000000"/>
          <w:sz w:val="28"/>
          <w:szCs w:val="28"/>
        </w:rPr>
        <w:t xml:space="preserve">Ожидаемое </w:t>
      </w:r>
      <w:r w:rsidRPr="000B2849">
        <w:rPr>
          <w:b/>
          <w:color w:val="000000"/>
          <w:sz w:val="28"/>
          <w:szCs w:val="28"/>
        </w:rPr>
        <w:t>2021</w:t>
      </w:r>
      <w:r w:rsidRPr="000B2849">
        <w:rPr>
          <w:color w:val="000000"/>
          <w:sz w:val="28"/>
          <w:szCs w:val="28"/>
        </w:rPr>
        <w:t xml:space="preserve"> год =</w:t>
      </w:r>
      <w:r w:rsidRPr="000B2849">
        <w:rPr>
          <w:sz w:val="28"/>
          <w:szCs w:val="28"/>
        </w:rPr>
        <w:t xml:space="preserve"> дебиторская задолженность на 01.01.2021 г. 0,00 тыс.руб. + среднее количество обращений 2 * средняя стоимость услуг 51,41 тыс.руб. = </w:t>
      </w:r>
      <w:r w:rsidRPr="000B2849">
        <w:rPr>
          <w:b/>
          <w:sz w:val="28"/>
          <w:szCs w:val="28"/>
        </w:rPr>
        <w:t>102,82 тыс.руб</w:t>
      </w:r>
      <w:r w:rsidRPr="000B2849">
        <w:rPr>
          <w:sz w:val="28"/>
          <w:szCs w:val="28"/>
        </w:rPr>
        <w:t>.</w:t>
      </w:r>
    </w:p>
    <w:p w:rsidR="00F07E05" w:rsidRPr="000B2849" w:rsidRDefault="00F07E05" w:rsidP="00F07E05">
      <w:pPr>
        <w:autoSpaceDE w:val="0"/>
        <w:autoSpaceDN w:val="0"/>
        <w:adjustRightInd w:val="0"/>
        <w:ind w:firstLine="709"/>
        <w:jc w:val="both"/>
        <w:rPr>
          <w:sz w:val="28"/>
          <w:szCs w:val="28"/>
        </w:rPr>
      </w:pPr>
      <w:r w:rsidRPr="000B2849">
        <w:rPr>
          <w:sz w:val="28"/>
          <w:szCs w:val="28"/>
        </w:rPr>
        <w:t xml:space="preserve">Прогноз </w:t>
      </w:r>
      <w:r w:rsidRPr="000B2849">
        <w:rPr>
          <w:b/>
          <w:sz w:val="28"/>
          <w:szCs w:val="28"/>
        </w:rPr>
        <w:t>2022</w:t>
      </w:r>
      <w:r w:rsidRPr="000B2849">
        <w:rPr>
          <w:sz w:val="28"/>
          <w:szCs w:val="28"/>
        </w:rPr>
        <w:t xml:space="preserve"> год среднее количество обращений 2*средняя стоимость услуг 54,13 (51,41 тыс.руб.* 1,053) (1,053  - индекс –дефлятор инвестиций в основной капитал на 2022 год) = </w:t>
      </w:r>
      <w:r w:rsidRPr="000B2849">
        <w:rPr>
          <w:b/>
          <w:sz w:val="28"/>
          <w:szCs w:val="28"/>
        </w:rPr>
        <w:t>108,26 тыс. руб</w:t>
      </w:r>
      <w:r w:rsidRPr="000B2849">
        <w:rPr>
          <w:sz w:val="28"/>
          <w:szCs w:val="28"/>
        </w:rPr>
        <w:t>.</w:t>
      </w:r>
    </w:p>
    <w:p w:rsidR="00F07E05" w:rsidRPr="000B2849" w:rsidRDefault="00F07E05" w:rsidP="00F07E05">
      <w:pPr>
        <w:autoSpaceDE w:val="0"/>
        <w:autoSpaceDN w:val="0"/>
        <w:adjustRightInd w:val="0"/>
        <w:ind w:firstLine="709"/>
        <w:jc w:val="both"/>
        <w:rPr>
          <w:sz w:val="28"/>
          <w:szCs w:val="28"/>
        </w:rPr>
      </w:pPr>
      <w:r w:rsidRPr="000B2849">
        <w:rPr>
          <w:sz w:val="28"/>
          <w:szCs w:val="28"/>
        </w:rPr>
        <w:t xml:space="preserve">Прогноз </w:t>
      </w:r>
      <w:r w:rsidRPr="000B2849">
        <w:rPr>
          <w:b/>
          <w:sz w:val="28"/>
          <w:szCs w:val="28"/>
        </w:rPr>
        <w:t>2023</w:t>
      </w:r>
      <w:r w:rsidRPr="000B2849">
        <w:rPr>
          <w:sz w:val="28"/>
          <w:szCs w:val="28"/>
        </w:rPr>
        <w:t xml:space="preserve"> год среднее количество обращений 2*средняя стоимость услуг 57,10 (54,13* 1,055) (1,055  -  индекс –дефлятор  инвестиций в основной капитал на 2023 год)  = </w:t>
      </w:r>
      <w:r w:rsidRPr="000B2849">
        <w:rPr>
          <w:b/>
          <w:sz w:val="28"/>
          <w:szCs w:val="28"/>
        </w:rPr>
        <w:t>114,20 тыс. руб</w:t>
      </w:r>
      <w:r w:rsidRPr="000B2849">
        <w:rPr>
          <w:sz w:val="28"/>
          <w:szCs w:val="28"/>
        </w:rPr>
        <w:t>.</w:t>
      </w:r>
    </w:p>
    <w:p w:rsidR="00F07E05" w:rsidRPr="000B2849" w:rsidRDefault="00F07E05" w:rsidP="00F07E05">
      <w:pPr>
        <w:autoSpaceDE w:val="0"/>
        <w:autoSpaceDN w:val="0"/>
        <w:adjustRightInd w:val="0"/>
        <w:ind w:firstLine="709"/>
        <w:jc w:val="both"/>
        <w:rPr>
          <w:b/>
          <w:sz w:val="28"/>
          <w:szCs w:val="28"/>
        </w:rPr>
      </w:pPr>
      <w:r w:rsidRPr="000B2849">
        <w:rPr>
          <w:sz w:val="28"/>
          <w:szCs w:val="28"/>
        </w:rPr>
        <w:t xml:space="preserve">Прогноз </w:t>
      </w:r>
      <w:r w:rsidRPr="000B2849">
        <w:rPr>
          <w:b/>
          <w:sz w:val="28"/>
          <w:szCs w:val="28"/>
        </w:rPr>
        <w:t>2024</w:t>
      </w:r>
      <w:r w:rsidRPr="000B2849">
        <w:rPr>
          <w:sz w:val="28"/>
          <w:szCs w:val="28"/>
        </w:rPr>
        <w:t xml:space="preserve"> год среднее количество обращений 2*средняя стоимость услуг 60,30 (57,10 * 1,056) (1,056 -  индекс –дефлятор  инвестиций в основной капитал на 2024 год)  = </w:t>
      </w:r>
      <w:r w:rsidRPr="000B2849">
        <w:rPr>
          <w:b/>
          <w:sz w:val="28"/>
          <w:szCs w:val="28"/>
        </w:rPr>
        <w:t>120,60 тыс. руб.</w:t>
      </w:r>
    </w:p>
    <w:p w:rsidR="00F07E05" w:rsidRDefault="00F07E05" w:rsidP="00F07E05">
      <w:pPr>
        <w:ind w:firstLine="709"/>
        <w:jc w:val="both"/>
        <w:rPr>
          <w:snapToGrid w:val="0"/>
          <w:szCs w:val="28"/>
        </w:rPr>
      </w:pPr>
    </w:p>
    <w:p w:rsidR="00F07E05" w:rsidRDefault="00F07E05" w:rsidP="00F07E05">
      <w:pPr>
        <w:ind w:firstLine="709"/>
        <w:jc w:val="both"/>
        <w:rPr>
          <w:snapToGrid w:val="0"/>
          <w:szCs w:val="28"/>
        </w:rPr>
      </w:pPr>
    </w:p>
    <w:p w:rsidR="00F07E05" w:rsidRDefault="00F07E05" w:rsidP="00F07E05">
      <w:pPr>
        <w:ind w:firstLine="709"/>
        <w:jc w:val="both"/>
        <w:rPr>
          <w:snapToGrid w:val="0"/>
          <w:szCs w:val="28"/>
        </w:rPr>
      </w:pPr>
    </w:p>
    <w:p w:rsidR="00F07E05" w:rsidRPr="00B257C8" w:rsidRDefault="00F07E05" w:rsidP="00F07E05">
      <w:pPr>
        <w:ind w:firstLine="709"/>
        <w:jc w:val="center"/>
        <w:rPr>
          <w:b/>
          <w:snapToGrid w:val="0"/>
          <w:sz w:val="28"/>
          <w:szCs w:val="28"/>
        </w:rPr>
      </w:pPr>
      <w:r w:rsidRPr="00B257C8">
        <w:rPr>
          <w:b/>
          <w:snapToGrid w:val="0"/>
          <w:sz w:val="28"/>
          <w:szCs w:val="28"/>
        </w:rPr>
        <w:t>Прочие доходы от оказания платных услуг (работ)</w:t>
      </w:r>
    </w:p>
    <w:p w:rsidR="00F07E05" w:rsidRDefault="00F07E05" w:rsidP="00F07E05">
      <w:pPr>
        <w:ind w:firstLine="709"/>
        <w:jc w:val="right"/>
        <w:rPr>
          <w:snapToGrid w:val="0"/>
          <w:szCs w:val="28"/>
        </w:rPr>
      </w:pPr>
      <w:r>
        <w:rPr>
          <w:snapToGrid w:val="0"/>
          <w:szCs w:val="28"/>
        </w:rPr>
        <w:t>тыс. руб.</w:t>
      </w:r>
    </w:p>
    <w:tbl>
      <w:tblPr>
        <w:tblW w:w="9655" w:type="dxa"/>
        <w:tblInd w:w="-72" w:type="dxa"/>
        <w:tblLayout w:type="fixed"/>
        <w:tblLook w:val="0000" w:firstRow="0" w:lastRow="0" w:firstColumn="0" w:lastColumn="0" w:noHBand="0" w:noVBand="0"/>
      </w:tblPr>
      <w:tblGrid>
        <w:gridCol w:w="2761"/>
        <w:gridCol w:w="3402"/>
        <w:gridCol w:w="1134"/>
        <w:gridCol w:w="1134"/>
        <w:gridCol w:w="1224"/>
      </w:tblGrid>
      <w:tr w:rsidR="00F07E05" w:rsidRPr="002E2452" w:rsidTr="008A253E">
        <w:trPr>
          <w:trHeight w:val="507"/>
        </w:trPr>
        <w:tc>
          <w:tcPr>
            <w:tcW w:w="2761" w:type="dxa"/>
            <w:tcBorders>
              <w:top w:val="single" w:sz="4" w:space="0" w:color="auto"/>
              <w:left w:val="single" w:sz="4" w:space="0" w:color="auto"/>
              <w:bottom w:val="single" w:sz="4" w:space="0" w:color="auto"/>
              <w:right w:val="single" w:sz="4" w:space="0" w:color="auto"/>
            </w:tcBorders>
            <w:noWrap/>
          </w:tcPr>
          <w:p w:rsidR="00F07E05" w:rsidRPr="002E2452" w:rsidRDefault="00F07E05" w:rsidP="008A253E">
            <w:pPr>
              <w:jc w:val="center"/>
              <w:rPr>
                <w:b/>
                <w:sz w:val="22"/>
                <w:szCs w:val="22"/>
              </w:rPr>
            </w:pPr>
            <w:r w:rsidRPr="002E2452">
              <w:rPr>
                <w:b/>
                <w:sz w:val="22"/>
                <w:szCs w:val="22"/>
              </w:rPr>
              <w:t xml:space="preserve">КБК </w:t>
            </w:r>
          </w:p>
        </w:tc>
        <w:tc>
          <w:tcPr>
            <w:tcW w:w="3402" w:type="dxa"/>
            <w:tcBorders>
              <w:top w:val="single" w:sz="4" w:space="0" w:color="auto"/>
              <w:left w:val="single" w:sz="4" w:space="0" w:color="auto"/>
              <w:bottom w:val="single" w:sz="4" w:space="0" w:color="auto"/>
              <w:right w:val="single" w:sz="4" w:space="0" w:color="auto"/>
            </w:tcBorders>
            <w:noWrap/>
          </w:tcPr>
          <w:p w:rsidR="00F07E05" w:rsidRPr="002E2452" w:rsidRDefault="00F07E05" w:rsidP="008A253E">
            <w:pPr>
              <w:jc w:val="center"/>
              <w:rPr>
                <w:b/>
                <w:sz w:val="22"/>
                <w:szCs w:val="22"/>
              </w:rPr>
            </w:pPr>
            <w:r w:rsidRPr="002E2452">
              <w:rPr>
                <w:b/>
                <w:sz w:val="22"/>
                <w:szCs w:val="22"/>
              </w:rPr>
              <w:t>Наименование</w:t>
            </w:r>
          </w:p>
        </w:tc>
        <w:tc>
          <w:tcPr>
            <w:tcW w:w="1134" w:type="dxa"/>
            <w:tcBorders>
              <w:top w:val="single" w:sz="4" w:space="0" w:color="auto"/>
              <w:left w:val="single" w:sz="4" w:space="0" w:color="auto"/>
              <w:bottom w:val="single" w:sz="4" w:space="0" w:color="auto"/>
              <w:right w:val="single" w:sz="4" w:space="0" w:color="auto"/>
            </w:tcBorders>
          </w:tcPr>
          <w:p w:rsidR="00F07E05" w:rsidRPr="00616C81" w:rsidRDefault="00F07E05" w:rsidP="008A253E">
            <w:pPr>
              <w:jc w:val="center"/>
              <w:rPr>
                <w:b/>
                <w:sz w:val="22"/>
                <w:szCs w:val="22"/>
              </w:rPr>
            </w:pPr>
            <w:r w:rsidRPr="002E2452">
              <w:rPr>
                <w:b/>
                <w:sz w:val="22"/>
                <w:szCs w:val="22"/>
              </w:rPr>
              <w:t>Прогноз на 20</w:t>
            </w:r>
            <w:r>
              <w:rPr>
                <w:b/>
                <w:sz w:val="22"/>
                <w:szCs w:val="22"/>
              </w:rPr>
              <w:t>22</w:t>
            </w:r>
            <w:r w:rsidRPr="002E2452">
              <w:rPr>
                <w:b/>
                <w:sz w:val="22"/>
                <w:szCs w:val="22"/>
              </w:rPr>
              <w:t>год</w:t>
            </w:r>
          </w:p>
        </w:tc>
        <w:tc>
          <w:tcPr>
            <w:tcW w:w="1134" w:type="dxa"/>
            <w:tcBorders>
              <w:top w:val="single" w:sz="4" w:space="0" w:color="auto"/>
              <w:left w:val="single" w:sz="4" w:space="0" w:color="auto"/>
              <w:bottom w:val="single" w:sz="4" w:space="0" w:color="auto"/>
              <w:right w:val="single" w:sz="4" w:space="0" w:color="auto"/>
            </w:tcBorders>
          </w:tcPr>
          <w:p w:rsidR="00F07E05" w:rsidRPr="00616C81" w:rsidRDefault="00F07E05" w:rsidP="008A253E">
            <w:pPr>
              <w:jc w:val="center"/>
              <w:rPr>
                <w:b/>
                <w:sz w:val="22"/>
                <w:szCs w:val="22"/>
              </w:rPr>
            </w:pPr>
            <w:r w:rsidRPr="002E2452">
              <w:rPr>
                <w:b/>
                <w:sz w:val="22"/>
                <w:szCs w:val="22"/>
              </w:rPr>
              <w:t>Прогноз на 202</w:t>
            </w:r>
            <w:r>
              <w:rPr>
                <w:b/>
                <w:sz w:val="22"/>
                <w:szCs w:val="22"/>
              </w:rPr>
              <w:t>3</w:t>
            </w:r>
            <w:r w:rsidRPr="002E2452">
              <w:rPr>
                <w:b/>
                <w:sz w:val="22"/>
                <w:szCs w:val="22"/>
              </w:rPr>
              <w:t xml:space="preserve"> год</w:t>
            </w:r>
          </w:p>
        </w:tc>
        <w:tc>
          <w:tcPr>
            <w:tcW w:w="1224" w:type="dxa"/>
            <w:tcBorders>
              <w:top w:val="single" w:sz="4" w:space="0" w:color="auto"/>
              <w:left w:val="single" w:sz="4" w:space="0" w:color="auto"/>
              <w:bottom w:val="single" w:sz="4" w:space="0" w:color="auto"/>
              <w:right w:val="single" w:sz="4" w:space="0" w:color="auto"/>
            </w:tcBorders>
            <w:vAlign w:val="bottom"/>
          </w:tcPr>
          <w:p w:rsidR="00F07E05" w:rsidRPr="002E2452" w:rsidRDefault="00F07E05" w:rsidP="008A253E">
            <w:pPr>
              <w:jc w:val="center"/>
              <w:rPr>
                <w:b/>
                <w:sz w:val="22"/>
                <w:szCs w:val="22"/>
              </w:rPr>
            </w:pPr>
            <w:r w:rsidRPr="002E2452">
              <w:rPr>
                <w:b/>
                <w:sz w:val="22"/>
                <w:szCs w:val="22"/>
              </w:rPr>
              <w:t>Прогноз на</w:t>
            </w:r>
          </w:p>
          <w:p w:rsidR="00F07E05" w:rsidRPr="002E2452" w:rsidRDefault="00F07E05" w:rsidP="008A253E">
            <w:pPr>
              <w:jc w:val="center"/>
              <w:rPr>
                <w:b/>
                <w:sz w:val="22"/>
                <w:szCs w:val="22"/>
              </w:rPr>
            </w:pPr>
            <w:r w:rsidRPr="002E2452">
              <w:rPr>
                <w:b/>
                <w:sz w:val="22"/>
                <w:szCs w:val="22"/>
              </w:rPr>
              <w:t>202</w:t>
            </w:r>
            <w:r>
              <w:rPr>
                <w:b/>
                <w:sz w:val="22"/>
                <w:szCs w:val="22"/>
              </w:rPr>
              <w:t>4</w:t>
            </w:r>
            <w:r w:rsidRPr="002E2452">
              <w:rPr>
                <w:b/>
                <w:sz w:val="22"/>
                <w:szCs w:val="22"/>
              </w:rPr>
              <w:t xml:space="preserve"> год</w:t>
            </w:r>
          </w:p>
          <w:p w:rsidR="00F07E05" w:rsidRPr="002E2452" w:rsidRDefault="00F07E05" w:rsidP="008A253E">
            <w:pPr>
              <w:jc w:val="center"/>
              <w:rPr>
                <w:b/>
                <w:sz w:val="22"/>
                <w:szCs w:val="22"/>
              </w:rPr>
            </w:pPr>
          </w:p>
        </w:tc>
      </w:tr>
      <w:tr w:rsidR="00F07E05" w:rsidRPr="002E2452" w:rsidTr="008A253E">
        <w:trPr>
          <w:trHeight w:val="487"/>
        </w:trPr>
        <w:tc>
          <w:tcPr>
            <w:tcW w:w="2761" w:type="dxa"/>
            <w:tcBorders>
              <w:top w:val="single" w:sz="4" w:space="0" w:color="auto"/>
              <w:left w:val="single" w:sz="4" w:space="0" w:color="auto"/>
              <w:bottom w:val="single" w:sz="4" w:space="0" w:color="auto"/>
              <w:right w:val="single" w:sz="4" w:space="0" w:color="auto"/>
            </w:tcBorders>
            <w:noWrap/>
          </w:tcPr>
          <w:p w:rsidR="00F07E05" w:rsidRPr="002E2452" w:rsidRDefault="00F07E05" w:rsidP="008A253E">
            <w:pPr>
              <w:jc w:val="center"/>
              <w:rPr>
                <w:b/>
                <w:sz w:val="22"/>
                <w:szCs w:val="22"/>
              </w:rPr>
            </w:pPr>
            <w:r w:rsidRPr="002E2452">
              <w:rPr>
                <w:b/>
                <w:sz w:val="22"/>
                <w:szCs w:val="22"/>
              </w:rPr>
              <w:t>000</w:t>
            </w:r>
            <w:r w:rsidRPr="00616C81">
              <w:rPr>
                <w:b/>
                <w:sz w:val="22"/>
                <w:szCs w:val="22"/>
              </w:rPr>
              <w:t xml:space="preserve"> 1 13 0</w:t>
            </w:r>
            <w:r w:rsidRPr="002E2452">
              <w:rPr>
                <w:b/>
                <w:sz w:val="22"/>
                <w:szCs w:val="22"/>
              </w:rPr>
              <w:t>100</w:t>
            </w:r>
            <w:r w:rsidRPr="00616C81">
              <w:rPr>
                <w:b/>
                <w:sz w:val="22"/>
                <w:szCs w:val="22"/>
              </w:rPr>
              <w:t>0 0</w:t>
            </w:r>
            <w:r w:rsidRPr="002E2452">
              <w:rPr>
                <w:b/>
                <w:sz w:val="22"/>
                <w:szCs w:val="22"/>
              </w:rPr>
              <w:t>0</w:t>
            </w:r>
            <w:r w:rsidRPr="00616C81">
              <w:rPr>
                <w:b/>
                <w:sz w:val="22"/>
                <w:szCs w:val="22"/>
              </w:rPr>
              <w:t xml:space="preserve"> 000</w:t>
            </w:r>
            <w:r w:rsidRPr="002E2452">
              <w:rPr>
                <w:b/>
                <w:sz w:val="22"/>
                <w:szCs w:val="22"/>
              </w:rPr>
              <w:t>0 130</w:t>
            </w:r>
          </w:p>
        </w:tc>
        <w:tc>
          <w:tcPr>
            <w:tcW w:w="3402" w:type="dxa"/>
            <w:tcBorders>
              <w:top w:val="single" w:sz="4" w:space="0" w:color="auto"/>
              <w:left w:val="single" w:sz="4" w:space="0" w:color="auto"/>
              <w:bottom w:val="single" w:sz="4" w:space="0" w:color="auto"/>
              <w:right w:val="single" w:sz="4" w:space="0" w:color="auto"/>
            </w:tcBorders>
          </w:tcPr>
          <w:p w:rsidR="00F07E05" w:rsidRPr="002E2452" w:rsidRDefault="00F07E05" w:rsidP="008A253E">
            <w:pPr>
              <w:jc w:val="both"/>
              <w:rPr>
                <w:sz w:val="22"/>
                <w:szCs w:val="22"/>
              </w:rPr>
            </w:pPr>
            <w:r w:rsidRPr="002E2452">
              <w:rPr>
                <w:sz w:val="22"/>
                <w:szCs w:val="22"/>
              </w:rPr>
              <w:t xml:space="preserve">Доходы от оказания платных услуг (работ) </w:t>
            </w:r>
          </w:p>
        </w:tc>
        <w:tc>
          <w:tcPr>
            <w:tcW w:w="1134" w:type="dxa"/>
            <w:tcBorders>
              <w:top w:val="single" w:sz="4" w:space="0" w:color="auto"/>
              <w:left w:val="single" w:sz="4" w:space="0" w:color="auto"/>
              <w:bottom w:val="single" w:sz="4" w:space="0" w:color="auto"/>
              <w:right w:val="single" w:sz="4" w:space="0" w:color="auto"/>
            </w:tcBorders>
            <w:noWrap/>
          </w:tcPr>
          <w:p w:rsidR="00F07E05" w:rsidRPr="003F307C" w:rsidRDefault="00F07E05" w:rsidP="008A253E">
            <w:pPr>
              <w:pStyle w:val="a7"/>
              <w:ind w:left="0"/>
              <w:jc w:val="center"/>
              <w:rPr>
                <w:b/>
                <w:sz w:val="22"/>
                <w:szCs w:val="22"/>
                <w:lang w:val="en-US"/>
              </w:rPr>
            </w:pPr>
            <w:r>
              <w:rPr>
                <w:b/>
                <w:sz w:val="22"/>
                <w:szCs w:val="22"/>
                <w:lang w:val="en-US"/>
              </w:rPr>
              <w:t>38 061,3</w:t>
            </w:r>
          </w:p>
        </w:tc>
        <w:tc>
          <w:tcPr>
            <w:tcW w:w="1134" w:type="dxa"/>
            <w:tcBorders>
              <w:top w:val="single" w:sz="4" w:space="0" w:color="auto"/>
              <w:left w:val="single" w:sz="4" w:space="0" w:color="auto"/>
              <w:bottom w:val="single" w:sz="4" w:space="0" w:color="auto"/>
              <w:right w:val="single" w:sz="4" w:space="0" w:color="auto"/>
            </w:tcBorders>
            <w:noWrap/>
          </w:tcPr>
          <w:p w:rsidR="00F07E05" w:rsidRPr="003F307C" w:rsidRDefault="00F07E05" w:rsidP="008A253E">
            <w:pPr>
              <w:pStyle w:val="a7"/>
              <w:ind w:left="0"/>
              <w:jc w:val="center"/>
              <w:rPr>
                <w:b/>
                <w:sz w:val="22"/>
                <w:szCs w:val="22"/>
                <w:lang w:val="en-US"/>
              </w:rPr>
            </w:pPr>
            <w:r>
              <w:rPr>
                <w:b/>
                <w:sz w:val="22"/>
                <w:szCs w:val="22"/>
                <w:lang w:val="en-US"/>
              </w:rPr>
              <w:t>39 031</w:t>
            </w:r>
            <w:r>
              <w:rPr>
                <w:b/>
                <w:sz w:val="22"/>
                <w:szCs w:val="22"/>
              </w:rPr>
              <w:t>,</w:t>
            </w:r>
            <w:r>
              <w:rPr>
                <w:b/>
                <w:sz w:val="22"/>
                <w:szCs w:val="22"/>
                <w:lang w:val="en-US"/>
              </w:rPr>
              <w:t>3</w:t>
            </w:r>
          </w:p>
        </w:tc>
        <w:tc>
          <w:tcPr>
            <w:tcW w:w="1224" w:type="dxa"/>
            <w:tcBorders>
              <w:top w:val="single" w:sz="4" w:space="0" w:color="auto"/>
              <w:left w:val="single" w:sz="4" w:space="0" w:color="auto"/>
              <w:bottom w:val="single" w:sz="4" w:space="0" w:color="auto"/>
              <w:right w:val="single" w:sz="4" w:space="0" w:color="auto"/>
            </w:tcBorders>
            <w:noWrap/>
          </w:tcPr>
          <w:p w:rsidR="00F07E05" w:rsidRPr="003F307C" w:rsidRDefault="00F07E05" w:rsidP="008A253E">
            <w:pPr>
              <w:pStyle w:val="a7"/>
              <w:ind w:left="0"/>
              <w:jc w:val="center"/>
              <w:rPr>
                <w:b/>
                <w:sz w:val="22"/>
                <w:szCs w:val="22"/>
                <w:lang w:val="en-US"/>
              </w:rPr>
            </w:pPr>
            <w:r>
              <w:rPr>
                <w:b/>
                <w:sz w:val="22"/>
                <w:szCs w:val="22"/>
                <w:lang w:val="en-US"/>
              </w:rPr>
              <w:t>39 608</w:t>
            </w:r>
            <w:r>
              <w:rPr>
                <w:b/>
                <w:sz w:val="22"/>
                <w:szCs w:val="22"/>
              </w:rPr>
              <w:t>,</w:t>
            </w:r>
            <w:r>
              <w:rPr>
                <w:b/>
                <w:sz w:val="22"/>
                <w:szCs w:val="22"/>
                <w:lang w:val="en-US"/>
              </w:rPr>
              <w:t>8</w:t>
            </w:r>
          </w:p>
        </w:tc>
      </w:tr>
      <w:tr w:rsidR="00F07E05" w:rsidRPr="002E2452" w:rsidTr="008A253E">
        <w:trPr>
          <w:trHeight w:val="551"/>
        </w:trPr>
        <w:tc>
          <w:tcPr>
            <w:tcW w:w="2761" w:type="dxa"/>
            <w:tcBorders>
              <w:top w:val="single" w:sz="4" w:space="0" w:color="auto"/>
              <w:left w:val="single" w:sz="4" w:space="0" w:color="auto"/>
              <w:bottom w:val="single" w:sz="4" w:space="0" w:color="auto"/>
              <w:right w:val="single" w:sz="4" w:space="0" w:color="auto"/>
            </w:tcBorders>
            <w:noWrap/>
          </w:tcPr>
          <w:p w:rsidR="00F07E05" w:rsidRPr="002E2452" w:rsidRDefault="00F07E05" w:rsidP="008A253E">
            <w:pPr>
              <w:jc w:val="center"/>
              <w:rPr>
                <w:b/>
                <w:sz w:val="22"/>
                <w:szCs w:val="22"/>
              </w:rPr>
            </w:pPr>
            <w:r w:rsidRPr="00FD272C">
              <w:rPr>
                <w:b/>
                <w:sz w:val="22"/>
                <w:szCs w:val="22"/>
              </w:rPr>
              <w:t>000 1 13 01990 00 0000 130</w:t>
            </w:r>
          </w:p>
        </w:tc>
        <w:tc>
          <w:tcPr>
            <w:tcW w:w="3402" w:type="dxa"/>
            <w:tcBorders>
              <w:top w:val="single" w:sz="4" w:space="0" w:color="auto"/>
              <w:left w:val="single" w:sz="4" w:space="0" w:color="auto"/>
              <w:bottom w:val="single" w:sz="4" w:space="0" w:color="auto"/>
              <w:right w:val="single" w:sz="4" w:space="0" w:color="auto"/>
            </w:tcBorders>
          </w:tcPr>
          <w:p w:rsidR="00F07E05" w:rsidRPr="002E2452" w:rsidRDefault="00F07E05" w:rsidP="008A253E">
            <w:pPr>
              <w:jc w:val="both"/>
              <w:rPr>
                <w:sz w:val="22"/>
                <w:szCs w:val="22"/>
              </w:rPr>
            </w:pPr>
            <w:r w:rsidRPr="00FD272C">
              <w:rPr>
                <w:color w:val="000000"/>
                <w:sz w:val="22"/>
                <w:szCs w:val="22"/>
              </w:rPr>
              <w:t>Прочие доходы от оказания платных услуг (работ)</w:t>
            </w:r>
          </w:p>
        </w:tc>
        <w:tc>
          <w:tcPr>
            <w:tcW w:w="1134" w:type="dxa"/>
            <w:tcBorders>
              <w:top w:val="single" w:sz="4" w:space="0" w:color="auto"/>
              <w:left w:val="single" w:sz="4" w:space="0" w:color="auto"/>
              <w:bottom w:val="single" w:sz="4" w:space="0" w:color="auto"/>
              <w:right w:val="single" w:sz="4" w:space="0" w:color="auto"/>
            </w:tcBorders>
            <w:noWrap/>
          </w:tcPr>
          <w:p w:rsidR="00F07E05" w:rsidRPr="003F307C" w:rsidRDefault="00F07E05" w:rsidP="008A253E">
            <w:pPr>
              <w:pStyle w:val="a7"/>
              <w:ind w:left="0"/>
              <w:jc w:val="center"/>
              <w:rPr>
                <w:sz w:val="22"/>
                <w:szCs w:val="22"/>
                <w:lang w:val="en-US"/>
              </w:rPr>
            </w:pPr>
            <w:r>
              <w:rPr>
                <w:sz w:val="22"/>
                <w:szCs w:val="22"/>
                <w:lang w:val="en-US"/>
              </w:rPr>
              <w:t>38 061</w:t>
            </w:r>
            <w:r>
              <w:rPr>
                <w:sz w:val="22"/>
                <w:szCs w:val="22"/>
              </w:rPr>
              <w:t>,</w:t>
            </w:r>
            <w:r>
              <w:rPr>
                <w:sz w:val="22"/>
                <w:szCs w:val="22"/>
                <w:lang w:val="en-US"/>
              </w:rPr>
              <w:t>3</w:t>
            </w:r>
          </w:p>
        </w:tc>
        <w:tc>
          <w:tcPr>
            <w:tcW w:w="1134" w:type="dxa"/>
            <w:tcBorders>
              <w:top w:val="single" w:sz="4" w:space="0" w:color="auto"/>
              <w:left w:val="single" w:sz="4" w:space="0" w:color="auto"/>
              <w:bottom w:val="single" w:sz="4" w:space="0" w:color="auto"/>
              <w:right w:val="single" w:sz="4" w:space="0" w:color="auto"/>
            </w:tcBorders>
            <w:noWrap/>
          </w:tcPr>
          <w:p w:rsidR="00F07E05" w:rsidRPr="003F307C" w:rsidRDefault="00F07E05" w:rsidP="008A253E">
            <w:pPr>
              <w:pStyle w:val="a7"/>
              <w:ind w:left="0"/>
              <w:jc w:val="center"/>
              <w:rPr>
                <w:sz w:val="22"/>
                <w:szCs w:val="22"/>
                <w:lang w:val="en-US"/>
              </w:rPr>
            </w:pPr>
            <w:r>
              <w:rPr>
                <w:sz w:val="22"/>
                <w:szCs w:val="22"/>
                <w:lang w:val="en-US"/>
              </w:rPr>
              <w:t>39 031</w:t>
            </w:r>
            <w:r>
              <w:rPr>
                <w:sz w:val="22"/>
                <w:szCs w:val="22"/>
              </w:rPr>
              <w:t>,</w:t>
            </w:r>
            <w:r>
              <w:rPr>
                <w:sz w:val="22"/>
                <w:szCs w:val="22"/>
                <w:lang w:val="en-US"/>
              </w:rPr>
              <w:t>3</w:t>
            </w:r>
          </w:p>
        </w:tc>
        <w:tc>
          <w:tcPr>
            <w:tcW w:w="1224" w:type="dxa"/>
            <w:tcBorders>
              <w:top w:val="single" w:sz="4" w:space="0" w:color="auto"/>
              <w:left w:val="single" w:sz="4" w:space="0" w:color="auto"/>
              <w:bottom w:val="single" w:sz="4" w:space="0" w:color="auto"/>
              <w:right w:val="single" w:sz="4" w:space="0" w:color="auto"/>
            </w:tcBorders>
            <w:noWrap/>
          </w:tcPr>
          <w:p w:rsidR="00F07E05" w:rsidRPr="002E2452" w:rsidRDefault="00F07E05" w:rsidP="008A253E">
            <w:pPr>
              <w:pStyle w:val="a7"/>
              <w:ind w:left="0"/>
              <w:jc w:val="center"/>
              <w:rPr>
                <w:sz w:val="22"/>
                <w:szCs w:val="22"/>
              </w:rPr>
            </w:pPr>
            <w:r>
              <w:rPr>
                <w:sz w:val="22"/>
                <w:szCs w:val="22"/>
              </w:rPr>
              <w:t>39 608,8</w:t>
            </w:r>
          </w:p>
        </w:tc>
      </w:tr>
    </w:tbl>
    <w:p w:rsidR="00F07E05" w:rsidRDefault="00F07E05" w:rsidP="00F07E05">
      <w:pPr>
        <w:ind w:firstLine="709"/>
        <w:jc w:val="both"/>
        <w:rPr>
          <w:snapToGrid w:val="0"/>
          <w:szCs w:val="28"/>
        </w:rPr>
      </w:pPr>
    </w:p>
    <w:p w:rsidR="00F07E05" w:rsidRDefault="00F07E05" w:rsidP="00F07E05">
      <w:pPr>
        <w:ind w:firstLine="709"/>
        <w:jc w:val="center"/>
        <w:rPr>
          <w:b/>
          <w:snapToGrid w:val="0"/>
          <w:sz w:val="28"/>
          <w:szCs w:val="28"/>
        </w:rPr>
      </w:pPr>
    </w:p>
    <w:p w:rsidR="00F07E05" w:rsidRDefault="00F07E05" w:rsidP="00F07E05">
      <w:pPr>
        <w:ind w:firstLine="709"/>
        <w:jc w:val="center"/>
        <w:rPr>
          <w:b/>
          <w:snapToGrid w:val="0"/>
          <w:sz w:val="28"/>
          <w:szCs w:val="28"/>
        </w:rPr>
      </w:pPr>
    </w:p>
    <w:p w:rsidR="00F07E05" w:rsidRPr="00CA70D2" w:rsidRDefault="00F07E05" w:rsidP="00F07E05">
      <w:pPr>
        <w:ind w:firstLine="709"/>
        <w:jc w:val="center"/>
        <w:rPr>
          <w:b/>
          <w:snapToGrid w:val="0"/>
          <w:sz w:val="28"/>
          <w:szCs w:val="28"/>
        </w:rPr>
      </w:pPr>
      <w:r w:rsidRPr="00CA70D2">
        <w:rPr>
          <w:b/>
          <w:snapToGrid w:val="0"/>
          <w:sz w:val="28"/>
          <w:szCs w:val="28"/>
        </w:rPr>
        <w:t>Правительство Тверской области (</w:t>
      </w:r>
      <w:r w:rsidRPr="00CA70D2">
        <w:rPr>
          <w:b/>
          <w:sz w:val="28"/>
          <w:szCs w:val="28"/>
        </w:rPr>
        <w:t xml:space="preserve">ГКУ «Автобаза Тверской области») </w:t>
      </w:r>
    </w:p>
    <w:tbl>
      <w:tblPr>
        <w:tblW w:w="9706" w:type="dxa"/>
        <w:tblInd w:w="-72" w:type="dxa"/>
        <w:tblLayout w:type="fixed"/>
        <w:tblLook w:val="0000" w:firstRow="0" w:lastRow="0" w:firstColumn="0" w:lastColumn="0" w:noHBand="0" w:noVBand="0"/>
      </w:tblPr>
      <w:tblGrid>
        <w:gridCol w:w="2520"/>
        <w:gridCol w:w="2520"/>
        <w:gridCol w:w="1620"/>
        <w:gridCol w:w="1440"/>
        <w:gridCol w:w="1606"/>
      </w:tblGrid>
      <w:tr w:rsidR="00F07E05" w:rsidRPr="00C93A58" w:rsidTr="008A253E">
        <w:trPr>
          <w:trHeight w:val="736"/>
        </w:trPr>
        <w:tc>
          <w:tcPr>
            <w:tcW w:w="2520" w:type="dxa"/>
            <w:tcBorders>
              <w:top w:val="single" w:sz="4" w:space="0" w:color="auto"/>
              <w:left w:val="single" w:sz="4" w:space="0" w:color="auto"/>
              <w:bottom w:val="single" w:sz="4" w:space="0" w:color="auto"/>
              <w:right w:val="single" w:sz="4" w:space="0" w:color="auto"/>
            </w:tcBorders>
            <w:noWrap/>
            <w:vAlign w:val="bottom"/>
          </w:tcPr>
          <w:p w:rsidR="00F07E05" w:rsidRPr="00C93A58" w:rsidRDefault="00F07E05" w:rsidP="008A253E">
            <w:pPr>
              <w:jc w:val="center"/>
              <w:rPr>
                <w:b/>
              </w:rPr>
            </w:pPr>
            <w:r w:rsidRPr="00C93A58">
              <w:rPr>
                <w:b/>
              </w:rPr>
              <w:t>Код БК</w:t>
            </w:r>
          </w:p>
        </w:tc>
        <w:tc>
          <w:tcPr>
            <w:tcW w:w="2520" w:type="dxa"/>
            <w:tcBorders>
              <w:top w:val="single" w:sz="4" w:space="0" w:color="auto"/>
              <w:left w:val="single" w:sz="4" w:space="0" w:color="auto"/>
              <w:bottom w:val="single" w:sz="4" w:space="0" w:color="auto"/>
              <w:right w:val="single" w:sz="4" w:space="0" w:color="auto"/>
            </w:tcBorders>
            <w:noWrap/>
            <w:vAlign w:val="bottom"/>
          </w:tcPr>
          <w:p w:rsidR="00F07E05" w:rsidRPr="00C93A58" w:rsidRDefault="00F07E05" w:rsidP="008A253E">
            <w:pPr>
              <w:jc w:val="center"/>
              <w:rPr>
                <w:b/>
              </w:rPr>
            </w:pPr>
            <w:r w:rsidRPr="00C93A58">
              <w:rPr>
                <w:b/>
              </w:rPr>
              <w:t>Наименование</w:t>
            </w:r>
          </w:p>
        </w:tc>
        <w:tc>
          <w:tcPr>
            <w:tcW w:w="1620" w:type="dxa"/>
            <w:tcBorders>
              <w:top w:val="single" w:sz="4" w:space="0" w:color="auto"/>
              <w:left w:val="single" w:sz="4" w:space="0" w:color="auto"/>
              <w:bottom w:val="single" w:sz="4" w:space="0" w:color="auto"/>
              <w:right w:val="single" w:sz="4" w:space="0" w:color="auto"/>
            </w:tcBorders>
            <w:vAlign w:val="bottom"/>
          </w:tcPr>
          <w:p w:rsidR="00F07E05" w:rsidRPr="00C93A58" w:rsidRDefault="00F07E05" w:rsidP="008A253E">
            <w:pPr>
              <w:jc w:val="center"/>
              <w:rPr>
                <w:b/>
                <w:sz w:val="20"/>
                <w:szCs w:val="20"/>
              </w:rPr>
            </w:pPr>
            <w:r w:rsidRPr="00C93A58">
              <w:rPr>
                <w:b/>
                <w:sz w:val="20"/>
                <w:szCs w:val="20"/>
              </w:rPr>
              <w:t>Прогноз на</w:t>
            </w:r>
          </w:p>
          <w:p w:rsidR="00F07E05" w:rsidRPr="00C93A58" w:rsidRDefault="00F07E05" w:rsidP="008A253E">
            <w:pPr>
              <w:jc w:val="center"/>
              <w:rPr>
                <w:b/>
                <w:sz w:val="20"/>
                <w:szCs w:val="20"/>
              </w:rPr>
            </w:pPr>
            <w:r w:rsidRPr="00C93A58">
              <w:rPr>
                <w:b/>
                <w:sz w:val="20"/>
                <w:szCs w:val="20"/>
              </w:rPr>
              <w:t>20</w:t>
            </w:r>
            <w:r>
              <w:rPr>
                <w:b/>
                <w:sz w:val="20"/>
                <w:szCs w:val="20"/>
              </w:rPr>
              <w:t>22</w:t>
            </w:r>
            <w:r w:rsidRPr="00C93A58">
              <w:rPr>
                <w:b/>
                <w:sz w:val="20"/>
                <w:szCs w:val="20"/>
              </w:rPr>
              <w:t xml:space="preserve"> год</w:t>
            </w:r>
          </w:p>
        </w:tc>
        <w:tc>
          <w:tcPr>
            <w:tcW w:w="1440" w:type="dxa"/>
            <w:tcBorders>
              <w:top w:val="single" w:sz="4" w:space="0" w:color="auto"/>
              <w:left w:val="single" w:sz="4" w:space="0" w:color="auto"/>
              <w:bottom w:val="single" w:sz="4" w:space="0" w:color="auto"/>
              <w:right w:val="single" w:sz="4" w:space="0" w:color="auto"/>
            </w:tcBorders>
            <w:vAlign w:val="bottom"/>
          </w:tcPr>
          <w:p w:rsidR="00F07E05" w:rsidRDefault="00F07E05" w:rsidP="008A253E">
            <w:pPr>
              <w:jc w:val="center"/>
              <w:rPr>
                <w:b/>
                <w:sz w:val="20"/>
                <w:szCs w:val="20"/>
              </w:rPr>
            </w:pPr>
          </w:p>
          <w:p w:rsidR="00F07E05" w:rsidRDefault="00F07E05" w:rsidP="008A253E">
            <w:pPr>
              <w:jc w:val="center"/>
              <w:rPr>
                <w:b/>
                <w:sz w:val="20"/>
                <w:szCs w:val="20"/>
              </w:rPr>
            </w:pPr>
          </w:p>
          <w:p w:rsidR="00F07E05" w:rsidRPr="00C93A58" w:rsidRDefault="00F07E05" w:rsidP="008A253E">
            <w:pPr>
              <w:jc w:val="center"/>
              <w:rPr>
                <w:b/>
                <w:sz w:val="20"/>
                <w:szCs w:val="20"/>
              </w:rPr>
            </w:pPr>
            <w:r>
              <w:rPr>
                <w:b/>
                <w:sz w:val="20"/>
                <w:szCs w:val="20"/>
              </w:rPr>
              <w:t>П</w:t>
            </w:r>
            <w:r w:rsidRPr="00C93A58">
              <w:rPr>
                <w:b/>
                <w:sz w:val="20"/>
                <w:szCs w:val="20"/>
              </w:rPr>
              <w:t>рогноз на</w:t>
            </w:r>
          </w:p>
          <w:p w:rsidR="00F07E05" w:rsidRPr="00C93A58" w:rsidRDefault="00F07E05" w:rsidP="008A253E">
            <w:pPr>
              <w:jc w:val="center"/>
              <w:rPr>
                <w:b/>
                <w:sz w:val="20"/>
                <w:szCs w:val="20"/>
              </w:rPr>
            </w:pPr>
            <w:r w:rsidRPr="00C93A58">
              <w:rPr>
                <w:b/>
                <w:sz w:val="20"/>
                <w:szCs w:val="20"/>
              </w:rPr>
              <w:t>20</w:t>
            </w:r>
            <w:r>
              <w:rPr>
                <w:b/>
                <w:sz w:val="20"/>
                <w:szCs w:val="20"/>
              </w:rPr>
              <w:t xml:space="preserve">23 </w:t>
            </w:r>
            <w:r w:rsidRPr="00C93A58">
              <w:rPr>
                <w:b/>
                <w:sz w:val="20"/>
                <w:szCs w:val="20"/>
              </w:rPr>
              <w:t xml:space="preserve">год </w:t>
            </w:r>
          </w:p>
        </w:tc>
        <w:tc>
          <w:tcPr>
            <w:tcW w:w="1606" w:type="dxa"/>
            <w:tcBorders>
              <w:top w:val="single" w:sz="4" w:space="0" w:color="auto"/>
              <w:left w:val="single" w:sz="4" w:space="0" w:color="auto"/>
              <w:bottom w:val="single" w:sz="4" w:space="0" w:color="auto"/>
              <w:right w:val="single" w:sz="4" w:space="0" w:color="auto"/>
            </w:tcBorders>
            <w:vAlign w:val="bottom"/>
          </w:tcPr>
          <w:p w:rsidR="00F07E05" w:rsidRPr="00C93A58" w:rsidRDefault="00F07E05" w:rsidP="008A253E">
            <w:pPr>
              <w:jc w:val="center"/>
              <w:rPr>
                <w:b/>
                <w:sz w:val="20"/>
                <w:szCs w:val="20"/>
              </w:rPr>
            </w:pPr>
            <w:r w:rsidRPr="00C93A58">
              <w:rPr>
                <w:b/>
                <w:sz w:val="20"/>
                <w:szCs w:val="20"/>
              </w:rPr>
              <w:t>Прогноз на</w:t>
            </w:r>
          </w:p>
          <w:p w:rsidR="00F07E05" w:rsidRPr="00C93A58" w:rsidRDefault="00F07E05" w:rsidP="008A253E">
            <w:pPr>
              <w:jc w:val="center"/>
              <w:rPr>
                <w:b/>
                <w:sz w:val="20"/>
                <w:szCs w:val="20"/>
              </w:rPr>
            </w:pPr>
            <w:r w:rsidRPr="00C93A58">
              <w:rPr>
                <w:b/>
                <w:sz w:val="20"/>
                <w:szCs w:val="20"/>
              </w:rPr>
              <w:t>202</w:t>
            </w:r>
            <w:r>
              <w:rPr>
                <w:b/>
                <w:sz w:val="20"/>
                <w:szCs w:val="20"/>
              </w:rPr>
              <w:t>4</w:t>
            </w:r>
            <w:r w:rsidRPr="00C93A58">
              <w:rPr>
                <w:b/>
                <w:sz w:val="20"/>
                <w:szCs w:val="20"/>
              </w:rPr>
              <w:t xml:space="preserve"> год</w:t>
            </w:r>
          </w:p>
        </w:tc>
      </w:tr>
      <w:tr w:rsidR="00F07E05" w:rsidRPr="00C93A58" w:rsidTr="008A253E">
        <w:trPr>
          <w:trHeight w:val="626"/>
        </w:trPr>
        <w:tc>
          <w:tcPr>
            <w:tcW w:w="2520" w:type="dxa"/>
            <w:tcBorders>
              <w:top w:val="single" w:sz="4" w:space="0" w:color="auto"/>
              <w:left w:val="single" w:sz="4" w:space="0" w:color="auto"/>
              <w:bottom w:val="single" w:sz="4" w:space="0" w:color="auto"/>
              <w:right w:val="single" w:sz="4" w:space="0" w:color="auto"/>
            </w:tcBorders>
            <w:noWrap/>
          </w:tcPr>
          <w:p w:rsidR="00F07E05" w:rsidRPr="00C93A58" w:rsidRDefault="00F07E05" w:rsidP="008A253E">
            <w:pPr>
              <w:jc w:val="center"/>
              <w:rPr>
                <w:sz w:val="20"/>
                <w:szCs w:val="20"/>
              </w:rPr>
            </w:pPr>
            <w:r>
              <w:rPr>
                <w:sz w:val="20"/>
                <w:szCs w:val="20"/>
              </w:rPr>
              <w:t>000 1 13 01992 02 0000 130</w:t>
            </w:r>
          </w:p>
        </w:tc>
        <w:tc>
          <w:tcPr>
            <w:tcW w:w="2520" w:type="dxa"/>
            <w:tcBorders>
              <w:top w:val="single" w:sz="4" w:space="0" w:color="auto"/>
              <w:left w:val="single" w:sz="4" w:space="0" w:color="auto"/>
              <w:bottom w:val="single" w:sz="4" w:space="0" w:color="auto"/>
              <w:right w:val="single" w:sz="4" w:space="0" w:color="auto"/>
            </w:tcBorders>
          </w:tcPr>
          <w:p w:rsidR="00F07E05" w:rsidRPr="00C93A58" w:rsidRDefault="00F07E05" w:rsidP="008A253E">
            <w:pPr>
              <w:rPr>
                <w:sz w:val="20"/>
                <w:szCs w:val="20"/>
              </w:rPr>
            </w:pPr>
            <w:r>
              <w:rPr>
                <w:sz w:val="20"/>
                <w:szCs w:val="20"/>
              </w:rPr>
              <w:t>Прочие доходы от оказания услуг (работ) получателями средств бюджетов субъектов Российской Федерации</w:t>
            </w:r>
          </w:p>
        </w:tc>
        <w:tc>
          <w:tcPr>
            <w:tcW w:w="1620" w:type="dxa"/>
            <w:tcBorders>
              <w:top w:val="single" w:sz="4" w:space="0" w:color="auto"/>
              <w:left w:val="single" w:sz="4" w:space="0" w:color="auto"/>
              <w:bottom w:val="single" w:sz="4" w:space="0" w:color="auto"/>
              <w:right w:val="single" w:sz="4" w:space="0" w:color="auto"/>
            </w:tcBorders>
            <w:noWrap/>
          </w:tcPr>
          <w:p w:rsidR="00F07E05" w:rsidRPr="00FF1BBB" w:rsidRDefault="00F07E05" w:rsidP="008A253E">
            <w:pPr>
              <w:pStyle w:val="a7"/>
              <w:ind w:left="0"/>
              <w:jc w:val="center"/>
              <w:rPr>
                <w:sz w:val="20"/>
                <w:szCs w:val="20"/>
              </w:rPr>
            </w:pPr>
            <w:r>
              <w:rPr>
                <w:sz w:val="20"/>
                <w:szCs w:val="20"/>
              </w:rPr>
              <w:t>2 702,4</w:t>
            </w:r>
          </w:p>
        </w:tc>
        <w:tc>
          <w:tcPr>
            <w:tcW w:w="1440" w:type="dxa"/>
            <w:tcBorders>
              <w:top w:val="single" w:sz="4" w:space="0" w:color="auto"/>
              <w:left w:val="single" w:sz="4" w:space="0" w:color="auto"/>
              <w:bottom w:val="single" w:sz="4" w:space="0" w:color="auto"/>
              <w:right w:val="single" w:sz="4" w:space="0" w:color="auto"/>
            </w:tcBorders>
            <w:noWrap/>
          </w:tcPr>
          <w:p w:rsidR="00F07E05" w:rsidRPr="00FF1BBB" w:rsidRDefault="00F07E05" w:rsidP="008A253E">
            <w:pPr>
              <w:pStyle w:val="a7"/>
              <w:ind w:left="0"/>
              <w:jc w:val="center"/>
              <w:rPr>
                <w:sz w:val="20"/>
                <w:szCs w:val="20"/>
              </w:rPr>
            </w:pPr>
            <w:r>
              <w:rPr>
                <w:sz w:val="20"/>
                <w:szCs w:val="20"/>
              </w:rPr>
              <w:t>2 810,5</w:t>
            </w:r>
          </w:p>
        </w:tc>
        <w:tc>
          <w:tcPr>
            <w:tcW w:w="1606" w:type="dxa"/>
            <w:tcBorders>
              <w:top w:val="single" w:sz="4" w:space="0" w:color="auto"/>
              <w:left w:val="single" w:sz="4" w:space="0" w:color="auto"/>
              <w:bottom w:val="single" w:sz="4" w:space="0" w:color="auto"/>
              <w:right w:val="single" w:sz="4" w:space="0" w:color="auto"/>
            </w:tcBorders>
            <w:noWrap/>
          </w:tcPr>
          <w:p w:rsidR="00F07E05" w:rsidRPr="00FF1BBB" w:rsidRDefault="00F07E05" w:rsidP="008A253E">
            <w:pPr>
              <w:pStyle w:val="a7"/>
              <w:ind w:left="0"/>
              <w:jc w:val="center"/>
              <w:rPr>
                <w:sz w:val="20"/>
                <w:szCs w:val="20"/>
              </w:rPr>
            </w:pPr>
            <w:r>
              <w:rPr>
                <w:sz w:val="20"/>
                <w:szCs w:val="20"/>
              </w:rPr>
              <w:t>2 922,9</w:t>
            </w:r>
          </w:p>
        </w:tc>
      </w:tr>
    </w:tbl>
    <w:p w:rsidR="00F07E05" w:rsidRDefault="00F07E05" w:rsidP="00F07E05">
      <w:pPr>
        <w:jc w:val="center"/>
        <w:rPr>
          <w:b/>
          <w:color w:val="FF0000"/>
          <w:sz w:val="28"/>
          <w:szCs w:val="28"/>
        </w:rPr>
      </w:pPr>
    </w:p>
    <w:p w:rsidR="00F07E05" w:rsidRPr="00C93A58" w:rsidRDefault="00F07E05" w:rsidP="00F07E05">
      <w:pPr>
        <w:pStyle w:val="21"/>
        <w:rPr>
          <w:bCs/>
        </w:rPr>
      </w:pPr>
      <w:r w:rsidRPr="00C93A58">
        <w:rPr>
          <w:bCs/>
        </w:rPr>
        <w:t xml:space="preserve">Приказом Правительства Тверской области от 01.09.2016 № 91 утверждена методика прогнозирования поступлений в бюджет Тверской области доходов, главным администратором которых является Правительство Тверской области (далее – Методика). </w:t>
      </w:r>
    </w:p>
    <w:p w:rsidR="00F07E05" w:rsidRPr="00C93A58" w:rsidRDefault="00F07E05" w:rsidP="00F07E05">
      <w:pPr>
        <w:ind w:firstLine="720"/>
        <w:jc w:val="both"/>
        <w:rPr>
          <w:sz w:val="28"/>
          <w:szCs w:val="28"/>
        </w:rPr>
      </w:pPr>
      <w:r w:rsidRPr="00C93A58">
        <w:rPr>
          <w:bCs/>
          <w:sz w:val="28"/>
          <w:szCs w:val="28"/>
        </w:rPr>
        <w:t>В соответствии с вышеназванной Методикой р</w:t>
      </w:r>
      <w:r w:rsidRPr="00C93A58">
        <w:rPr>
          <w:sz w:val="28"/>
          <w:szCs w:val="28"/>
        </w:rPr>
        <w:t xml:space="preserve">асчет прогноза поступлений </w:t>
      </w:r>
      <w:r w:rsidRPr="00C93A58">
        <w:rPr>
          <w:bCs/>
          <w:sz w:val="28"/>
          <w:szCs w:val="28"/>
        </w:rPr>
        <w:t>доходов от оказания платных услуг на</w:t>
      </w:r>
      <w:r w:rsidRPr="00C93A58">
        <w:rPr>
          <w:sz w:val="28"/>
          <w:szCs w:val="28"/>
        </w:rPr>
        <w:t xml:space="preserve"> очередной финансовый год и плановый период рассчитывается с применением метода прямого расчета по следующей формуле:</w:t>
      </w:r>
    </w:p>
    <w:p w:rsidR="00F07E05" w:rsidRPr="00C93A58" w:rsidRDefault="003502D8" w:rsidP="00F07E05">
      <w:pPr>
        <w:pStyle w:val="pj"/>
        <w:shd w:val="clear" w:color="auto" w:fill="FFFFFF"/>
        <w:spacing w:before="0" w:beforeAutospacing="0" w:after="0" w:afterAutospacing="0" w:line="360" w:lineRule="atLeast"/>
        <w:ind w:firstLine="540"/>
        <w:jc w:val="both"/>
        <w:textAlignment w:val="baseline"/>
        <w:rPr>
          <w:sz w:val="28"/>
          <w:szCs w:val="28"/>
          <w:lang w:val="en-US" w:eastAsia="en-US"/>
        </w:rPr>
      </w:pPr>
      <m:oMathPara>
        <m:oMath>
          <m:sSub>
            <m:sSubPr>
              <m:ctrlPr>
                <w:rPr>
                  <w:rFonts w:ascii="Cambria Math" w:eastAsia="Calibri" w:hAnsi="Cambria Math"/>
                  <w:i/>
                  <w:sz w:val="28"/>
                  <w:szCs w:val="28"/>
                  <w:lang w:val="en-US"/>
                </w:rPr>
              </m:ctrlPr>
            </m:sSubPr>
            <m:e>
              <m:r>
                <w:rPr>
                  <w:rFonts w:ascii="Cambria Math" w:eastAsia="Calibri" w:hAnsi="Cambria Math"/>
                  <w:sz w:val="28"/>
                  <w:szCs w:val="28"/>
                  <w:lang w:val="en-US"/>
                </w:rPr>
                <m:t>СП</m:t>
              </m:r>
            </m:e>
            <m:sub>
              <m:r>
                <m:rPr>
                  <m:sty m:val="p"/>
                </m:rPr>
                <w:rPr>
                  <w:rFonts w:ascii="Cambria Math" w:eastAsia="Calibri" w:hAnsi="Cambria Math"/>
                  <w:sz w:val="28"/>
                  <w:szCs w:val="28"/>
                  <w:lang w:val="en-US"/>
                </w:rPr>
                <m:t>n</m:t>
              </m:r>
            </m:sub>
          </m:sSub>
          <m:r>
            <m:rPr>
              <m:sty m:val="p"/>
            </m:rPr>
            <w:rPr>
              <w:rFonts w:ascii="Cambria Math" w:eastAsia="Calibri" w:hAnsi="Cambria Math"/>
              <w:sz w:val="28"/>
              <w:szCs w:val="28"/>
              <w:lang w:val="en-US"/>
            </w:rPr>
            <m:t xml:space="preserve">= </m:t>
          </m:r>
          <m:nary>
            <m:naryPr>
              <m:chr m:val="∑"/>
              <m:limLoc m:val="undOvr"/>
              <m:ctrlPr>
                <w:rPr>
                  <w:rFonts w:ascii="Cambria Math" w:eastAsia="Calibri" w:hAnsi="Cambria Math"/>
                  <w:sz w:val="28"/>
                  <w:szCs w:val="28"/>
                  <w:lang w:val="en-US"/>
                </w:rPr>
              </m:ctrlPr>
            </m:naryPr>
            <m:sub>
              <m:r>
                <m:rPr>
                  <m:sty m:val="p"/>
                </m:rPr>
                <w:rPr>
                  <w:rFonts w:ascii="Cambria Math" w:eastAsia="Calibri" w:hAnsi="Cambria Math"/>
                  <w:sz w:val="28"/>
                  <w:szCs w:val="28"/>
                  <w:lang w:val="en-US"/>
                </w:rPr>
                <m:t>i=1</m:t>
              </m:r>
            </m:sub>
            <m:sup>
              <m:r>
                <m:rPr>
                  <m:sty m:val="p"/>
                </m:rPr>
                <w:rPr>
                  <w:rFonts w:ascii="Cambria Math" w:eastAsia="Calibri" w:hAnsi="Cambria Math"/>
                  <w:sz w:val="28"/>
                  <w:szCs w:val="28"/>
                  <w:lang w:val="en-US"/>
                </w:rPr>
                <m:t>n</m:t>
              </m:r>
            </m:sup>
            <m:e>
              <m:r>
                <m:rPr>
                  <m:sty m:val="p"/>
                </m:rPr>
                <w:rPr>
                  <w:rFonts w:ascii="Cambria Math" w:eastAsia="Calibri" w:hAnsi="Cambria Math"/>
                  <w:sz w:val="28"/>
                  <w:szCs w:val="28"/>
                </w:rPr>
                <m:t>P ×Q</m:t>
              </m:r>
            </m:e>
          </m:nary>
        </m:oMath>
      </m:oMathPara>
    </w:p>
    <w:p w:rsidR="00F07E05" w:rsidRPr="00C93A58" w:rsidRDefault="00F07E05" w:rsidP="00F07E05">
      <w:pPr>
        <w:pStyle w:val="pj"/>
        <w:shd w:val="clear" w:color="auto" w:fill="FFFFFF"/>
        <w:spacing w:before="0" w:beforeAutospacing="0" w:after="0" w:afterAutospacing="0"/>
        <w:ind w:firstLine="539"/>
        <w:jc w:val="both"/>
        <w:textAlignment w:val="baseline"/>
        <w:rPr>
          <w:sz w:val="28"/>
          <w:szCs w:val="28"/>
          <w:lang w:eastAsia="en-US"/>
        </w:rPr>
      </w:pPr>
      <w:r w:rsidRPr="00C93A58">
        <w:rPr>
          <w:sz w:val="28"/>
          <w:szCs w:val="28"/>
          <w:lang w:eastAsia="en-US"/>
        </w:rPr>
        <w:t>где СП</w:t>
      </w:r>
      <w:r w:rsidRPr="00C93A58">
        <w:rPr>
          <w:sz w:val="28"/>
          <w:szCs w:val="28"/>
          <w:lang w:val="en-US" w:eastAsia="en-US"/>
        </w:rPr>
        <w:t>n</w:t>
      </w:r>
      <w:r w:rsidRPr="00C93A58">
        <w:rPr>
          <w:sz w:val="28"/>
          <w:szCs w:val="28"/>
          <w:lang w:eastAsia="en-US"/>
        </w:rPr>
        <w:t xml:space="preserve"> – прогнозируемая сумма поступлений на </w:t>
      </w:r>
      <w:r w:rsidRPr="00C93A58">
        <w:rPr>
          <w:sz w:val="28"/>
          <w:szCs w:val="28"/>
          <w:lang w:val="en-US" w:eastAsia="en-US"/>
        </w:rPr>
        <w:t>n</w:t>
      </w:r>
      <w:r w:rsidRPr="00C93A58">
        <w:rPr>
          <w:sz w:val="28"/>
          <w:szCs w:val="28"/>
          <w:lang w:eastAsia="en-US"/>
        </w:rPr>
        <w:t xml:space="preserve"> год;</w:t>
      </w:r>
    </w:p>
    <w:p w:rsidR="00F07E05" w:rsidRPr="00C93A58" w:rsidRDefault="00F07E05" w:rsidP="00F07E05">
      <w:pPr>
        <w:pStyle w:val="pj"/>
        <w:shd w:val="clear" w:color="auto" w:fill="FFFFFF"/>
        <w:spacing w:before="0" w:beforeAutospacing="0" w:after="0" w:afterAutospacing="0"/>
        <w:ind w:firstLine="539"/>
        <w:jc w:val="both"/>
        <w:textAlignment w:val="baseline"/>
        <w:rPr>
          <w:sz w:val="28"/>
          <w:szCs w:val="28"/>
          <w:lang w:eastAsia="en-US"/>
        </w:rPr>
      </w:pPr>
      <w:r w:rsidRPr="00C93A58">
        <w:rPr>
          <w:sz w:val="28"/>
          <w:szCs w:val="28"/>
          <w:lang w:val="en-US" w:eastAsia="en-US"/>
        </w:rPr>
        <w:t>P</w:t>
      </w:r>
      <w:r w:rsidRPr="00C93A58">
        <w:rPr>
          <w:sz w:val="28"/>
          <w:szCs w:val="28"/>
          <w:lang w:eastAsia="en-US"/>
        </w:rPr>
        <w:t xml:space="preserve"> – планируемая стоимость оказания </w:t>
      </w:r>
      <w:r w:rsidRPr="00C93A58">
        <w:rPr>
          <w:sz w:val="28"/>
          <w:szCs w:val="28"/>
          <w:lang w:val="en-US" w:eastAsia="en-US"/>
        </w:rPr>
        <w:t>i</w:t>
      </w:r>
      <w:r w:rsidRPr="00C93A58">
        <w:rPr>
          <w:sz w:val="28"/>
          <w:szCs w:val="28"/>
          <w:lang w:eastAsia="en-US"/>
        </w:rPr>
        <w:t xml:space="preserve">-й платной услуги на </w:t>
      </w:r>
      <w:r w:rsidRPr="00C93A58">
        <w:rPr>
          <w:sz w:val="28"/>
          <w:szCs w:val="28"/>
          <w:lang w:val="en-US" w:eastAsia="en-US"/>
        </w:rPr>
        <w:t>n</w:t>
      </w:r>
      <w:r w:rsidRPr="00C93A58">
        <w:rPr>
          <w:sz w:val="28"/>
          <w:szCs w:val="28"/>
          <w:lang w:eastAsia="en-US"/>
        </w:rPr>
        <w:t xml:space="preserve"> год;</w:t>
      </w:r>
    </w:p>
    <w:p w:rsidR="00F07E05" w:rsidRPr="00C93A58" w:rsidRDefault="00F07E05" w:rsidP="00F07E05">
      <w:pPr>
        <w:pStyle w:val="pj"/>
        <w:shd w:val="clear" w:color="auto" w:fill="FFFFFF"/>
        <w:spacing w:before="0" w:beforeAutospacing="0" w:after="0" w:afterAutospacing="0"/>
        <w:ind w:firstLine="539"/>
        <w:jc w:val="both"/>
        <w:textAlignment w:val="baseline"/>
        <w:rPr>
          <w:sz w:val="28"/>
          <w:szCs w:val="28"/>
          <w:lang w:eastAsia="en-US"/>
        </w:rPr>
      </w:pPr>
      <w:r w:rsidRPr="00C93A58">
        <w:rPr>
          <w:sz w:val="28"/>
          <w:szCs w:val="28"/>
          <w:lang w:val="en-US" w:eastAsia="en-US"/>
        </w:rPr>
        <w:t>Q</w:t>
      </w:r>
      <w:r w:rsidRPr="00C93A58">
        <w:rPr>
          <w:sz w:val="28"/>
          <w:szCs w:val="28"/>
          <w:lang w:eastAsia="en-US"/>
        </w:rPr>
        <w:t xml:space="preserve"> – планируемое количество </w:t>
      </w:r>
      <w:r w:rsidRPr="00C93A58">
        <w:rPr>
          <w:sz w:val="28"/>
          <w:szCs w:val="28"/>
          <w:lang w:val="en-US" w:eastAsia="en-US"/>
        </w:rPr>
        <w:t>i</w:t>
      </w:r>
      <w:r w:rsidRPr="00C93A58">
        <w:rPr>
          <w:sz w:val="28"/>
          <w:szCs w:val="28"/>
          <w:lang w:eastAsia="en-US"/>
        </w:rPr>
        <w:t xml:space="preserve">-х платных услуг на </w:t>
      </w:r>
      <w:r w:rsidRPr="00C93A58">
        <w:rPr>
          <w:sz w:val="28"/>
          <w:szCs w:val="28"/>
          <w:lang w:val="en-US" w:eastAsia="en-US"/>
        </w:rPr>
        <w:t>n</w:t>
      </w:r>
      <w:r w:rsidRPr="00C93A58">
        <w:rPr>
          <w:sz w:val="28"/>
          <w:szCs w:val="28"/>
          <w:lang w:eastAsia="en-US"/>
        </w:rPr>
        <w:t xml:space="preserve"> год;</w:t>
      </w:r>
    </w:p>
    <w:p w:rsidR="00F07E05" w:rsidRPr="00C93A58" w:rsidRDefault="00F07E05" w:rsidP="00F07E05">
      <w:pPr>
        <w:pStyle w:val="pj"/>
        <w:shd w:val="clear" w:color="auto" w:fill="FFFFFF"/>
        <w:spacing w:before="0" w:beforeAutospacing="0" w:after="0" w:afterAutospacing="0"/>
        <w:ind w:firstLine="539"/>
        <w:jc w:val="both"/>
        <w:textAlignment w:val="baseline"/>
        <w:rPr>
          <w:sz w:val="28"/>
          <w:szCs w:val="28"/>
          <w:lang w:eastAsia="en-US"/>
        </w:rPr>
      </w:pPr>
      <w:r w:rsidRPr="00C93A58">
        <w:rPr>
          <w:sz w:val="28"/>
          <w:szCs w:val="28"/>
          <w:lang w:val="en-US" w:eastAsia="en-US"/>
        </w:rPr>
        <w:t>n</w:t>
      </w:r>
      <w:r w:rsidRPr="00C93A58">
        <w:rPr>
          <w:sz w:val="28"/>
          <w:szCs w:val="28"/>
          <w:lang w:eastAsia="en-US"/>
        </w:rPr>
        <w:t xml:space="preserve"> – </w:t>
      </w:r>
      <w:r w:rsidRPr="00C93A58">
        <w:rPr>
          <w:sz w:val="28"/>
          <w:szCs w:val="28"/>
        </w:rPr>
        <w:t xml:space="preserve">очередной финансовый год, первый год планового периода или второй год планового периода, на которые соответственно осуществляется </w:t>
      </w:r>
      <w:r w:rsidRPr="00C93A58">
        <w:rPr>
          <w:sz w:val="28"/>
          <w:szCs w:val="28"/>
          <w:lang w:eastAsia="en-US"/>
        </w:rPr>
        <w:t>расчет поступлений прочих доходов от оказания платных услуг (работ) получателями средств бюджетов субъектов Российской Федерации.</w:t>
      </w:r>
    </w:p>
    <w:p w:rsidR="00F07E05" w:rsidRPr="00C93A58" w:rsidRDefault="00F07E05" w:rsidP="00F07E05">
      <w:pPr>
        <w:pStyle w:val="pj"/>
        <w:shd w:val="clear" w:color="auto" w:fill="FFFFFF"/>
        <w:spacing w:before="0" w:beforeAutospacing="0" w:after="0" w:afterAutospacing="0"/>
        <w:ind w:firstLine="539"/>
        <w:jc w:val="both"/>
        <w:textAlignment w:val="baseline"/>
        <w:rPr>
          <w:sz w:val="28"/>
          <w:szCs w:val="28"/>
          <w:lang w:eastAsia="en-US"/>
        </w:rPr>
      </w:pPr>
      <w:r w:rsidRPr="00C93A58">
        <w:rPr>
          <w:sz w:val="28"/>
          <w:szCs w:val="28"/>
          <w:lang w:eastAsia="en-US"/>
        </w:rPr>
        <w:t>Планируемая стоимость оказания платных услуг на соответствующий год определяется с применением индекса потребительских цен.</w:t>
      </w:r>
    </w:p>
    <w:p w:rsidR="00F07E05" w:rsidRDefault="00F07E05" w:rsidP="00F07E05">
      <w:pPr>
        <w:ind w:right="282" w:firstLine="720"/>
        <w:jc w:val="both"/>
        <w:rPr>
          <w:sz w:val="28"/>
          <w:szCs w:val="28"/>
        </w:rPr>
      </w:pPr>
      <w:r w:rsidRPr="00C93A58">
        <w:rPr>
          <w:sz w:val="28"/>
          <w:szCs w:val="28"/>
        </w:rPr>
        <w:t>Тарифы на оказание ГКУ «Автобаза Тверской области» платных услуг утверждены руководителем казенного учреждения.</w:t>
      </w:r>
    </w:p>
    <w:p w:rsidR="00F07E05" w:rsidRDefault="00F07E05" w:rsidP="00F07E05">
      <w:pPr>
        <w:ind w:right="282" w:firstLine="720"/>
        <w:jc w:val="right"/>
        <w:rPr>
          <w:sz w:val="28"/>
          <w:szCs w:val="28"/>
        </w:rPr>
      </w:pPr>
      <w:r>
        <w:rPr>
          <w:sz w:val="28"/>
          <w:szCs w:val="28"/>
        </w:rPr>
        <w:t>Рублей</w:t>
      </w:r>
    </w:p>
    <w:tbl>
      <w:tblPr>
        <w:tblW w:w="9358" w:type="dxa"/>
        <w:tblLook w:val="04A0" w:firstRow="1" w:lastRow="0" w:firstColumn="1" w:lastColumn="0" w:noHBand="0" w:noVBand="1"/>
      </w:tblPr>
      <w:tblGrid>
        <w:gridCol w:w="2939"/>
        <w:gridCol w:w="2140"/>
        <w:gridCol w:w="2062"/>
        <w:gridCol w:w="2217"/>
      </w:tblGrid>
      <w:tr w:rsidR="00F07E05" w:rsidTr="008A253E">
        <w:trPr>
          <w:trHeight w:val="301"/>
        </w:trPr>
        <w:tc>
          <w:tcPr>
            <w:tcW w:w="2939"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F07E05" w:rsidRDefault="00F07E05" w:rsidP="008A253E">
            <w:pPr>
              <w:jc w:val="center"/>
              <w:rPr>
                <w:color w:val="000000"/>
                <w:sz w:val="22"/>
                <w:szCs w:val="22"/>
              </w:rPr>
            </w:pPr>
            <w:r>
              <w:rPr>
                <w:color w:val="000000"/>
                <w:sz w:val="22"/>
                <w:szCs w:val="22"/>
              </w:rPr>
              <w:lastRenderedPageBreak/>
              <w:t>Вид платных услуг</w:t>
            </w:r>
          </w:p>
        </w:tc>
        <w:tc>
          <w:tcPr>
            <w:tcW w:w="2140" w:type="dxa"/>
            <w:tcBorders>
              <w:top w:val="single" w:sz="4" w:space="0" w:color="auto"/>
              <w:left w:val="nil"/>
              <w:bottom w:val="single" w:sz="4" w:space="0" w:color="auto"/>
              <w:right w:val="nil"/>
            </w:tcBorders>
            <w:shd w:val="clear" w:color="auto" w:fill="auto"/>
            <w:vAlign w:val="bottom"/>
            <w:hideMark/>
          </w:tcPr>
          <w:p w:rsidR="00F07E05" w:rsidRDefault="00F07E05" w:rsidP="008A253E">
            <w:pPr>
              <w:jc w:val="center"/>
              <w:rPr>
                <w:color w:val="000000"/>
                <w:sz w:val="22"/>
                <w:szCs w:val="22"/>
              </w:rPr>
            </w:pPr>
            <w:r>
              <w:rPr>
                <w:color w:val="000000"/>
                <w:sz w:val="22"/>
                <w:szCs w:val="22"/>
              </w:rPr>
              <w:t>2022</w:t>
            </w:r>
          </w:p>
        </w:tc>
        <w:tc>
          <w:tcPr>
            <w:tcW w:w="2062" w:type="dxa"/>
            <w:tcBorders>
              <w:top w:val="single" w:sz="4" w:space="0" w:color="auto"/>
              <w:left w:val="nil"/>
              <w:bottom w:val="single" w:sz="4" w:space="0" w:color="auto"/>
              <w:right w:val="nil"/>
            </w:tcBorders>
            <w:shd w:val="clear" w:color="auto" w:fill="auto"/>
            <w:vAlign w:val="bottom"/>
            <w:hideMark/>
          </w:tcPr>
          <w:p w:rsidR="00F07E05" w:rsidRDefault="00F07E05" w:rsidP="008A253E">
            <w:pPr>
              <w:jc w:val="center"/>
              <w:rPr>
                <w:color w:val="000000"/>
                <w:sz w:val="22"/>
                <w:szCs w:val="22"/>
              </w:rPr>
            </w:pPr>
            <w:r>
              <w:rPr>
                <w:color w:val="000000"/>
                <w:sz w:val="22"/>
                <w:szCs w:val="22"/>
              </w:rPr>
              <w:t>2023</w:t>
            </w:r>
          </w:p>
        </w:tc>
        <w:tc>
          <w:tcPr>
            <w:tcW w:w="2217" w:type="dxa"/>
            <w:tcBorders>
              <w:top w:val="single" w:sz="4" w:space="0" w:color="auto"/>
              <w:left w:val="nil"/>
              <w:bottom w:val="single" w:sz="4" w:space="0" w:color="auto"/>
              <w:right w:val="nil"/>
            </w:tcBorders>
            <w:shd w:val="clear" w:color="auto" w:fill="auto"/>
            <w:vAlign w:val="bottom"/>
            <w:hideMark/>
          </w:tcPr>
          <w:p w:rsidR="00F07E05" w:rsidRDefault="00F07E05" w:rsidP="008A253E">
            <w:pPr>
              <w:jc w:val="center"/>
              <w:rPr>
                <w:color w:val="000000"/>
                <w:sz w:val="22"/>
                <w:szCs w:val="22"/>
              </w:rPr>
            </w:pPr>
            <w:r>
              <w:rPr>
                <w:color w:val="000000"/>
                <w:sz w:val="22"/>
                <w:szCs w:val="22"/>
              </w:rPr>
              <w:t>2024</w:t>
            </w:r>
          </w:p>
        </w:tc>
      </w:tr>
      <w:tr w:rsidR="00F07E05" w:rsidTr="008A253E">
        <w:trPr>
          <w:trHeight w:val="1279"/>
        </w:trPr>
        <w:tc>
          <w:tcPr>
            <w:tcW w:w="2939"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F07E05" w:rsidRDefault="00F07E05" w:rsidP="008A253E">
            <w:pPr>
              <w:jc w:val="center"/>
              <w:rPr>
                <w:color w:val="000000"/>
                <w:sz w:val="22"/>
                <w:szCs w:val="22"/>
              </w:rPr>
            </w:pPr>
            <w:r>
              <w:rPr>
                <w:color w:val="000000"/>
                <w:sz w:val="22"/>
                <w:szCs w:val="22"/>
              </w:rPr>
              <w:t>Предрейсовый и послерейсовый медицинские осмотры водителей</w:t>
            </w:r>
          </w:p>
        </w:tc>
        <w:tc>
          <w:tcPr>
            <w:tcW w:w="2140" w:type="dxa"/>
            <w:tcBorders>
              <w:top w:val="nil"/>
              <w:left w:val="nil"/>
              <w:bottom w:val="single" w:sz="4" w:space="0" w:color="auto"/>
              <w:right w:val="nil"/>
            </w:tcBorders>
            <w:shd w:val="clear" w:color="auto" w:fill="auto"/>
            <w:vAlign w:val="bottom"/>
            <w:hideMark/>
          </w:tcPr>
          <w:p w:rsidR="00F07E05" w:rsidRDefault="00F07E05" w:rsidP="008A253E">
            <w:pPr>
              <w:jc w:val="center"/>
              <w:rPr>
                <w:color w:val="000000"/>
                <w:sz w:val="22"/>
                <w:szCs w:val="22"/>
              </w:rPr>
            </w:pPr>
            <w:r>
              <w:rPr>
                <w:color w:val="000000"/>
                <w:sz w:val="22"/>
                <w:szCs w:val="22"/>
              </w:rPr>
              <w:t>1 136 740,80</w:t>
            </w:r>
          </w:p>
        </w:tc>
        <w:tc>
          <w:tcPr>
            <w:tcW w:w="2062" w:type="dxa"/>
            <w:tcBorders>
              <w:top w:val="nil"/>
              <w:left w:val="nil"/>
              <w:bottom w:val="single" w:sz="4" w:space="0" w:color="auto"/>
              <w:right w:val="nil"/>
            </w:tcBorders>
            <w:shd w:val="clear" w:color="auto" w:fill="auto"/>
            <w:vAlign w:val="bottom"/>
            <w:hideMark/>
          </w:tcPr>
          <w:p w:rsidR="00F07E05" w:rsidRDefault="00F07E05" w:rsidP="008A253E">
            <w:pPr>
              <w:jc w:val="center"/>
              <w:rPr>
                <w:color w:val="000000"/>
                <w:sz w:val="22"/>
                <w:szCs w:val="22"/>
              </w:rPr>
            </w:pPr>
            <w:r>
              <w:rPr>
                <w:color w:val="000000"/>
                <w:sz w:val="22"/>
                <w:szCs w:val="22"/>
              </w:rPr>
              <w:t>1 182 210,43</w:t>
            </w:r>
          </w:p>
        </w:tc>
        <w:tc>
          <w:tcPr>
            <w:tcW w:w="2217" w:type="dxa"/>
            <w:tcBorders>
              <w:top w:val="nil"/>
              <w:left w:val="nil"/>
              <w:bottom w:val="single" w:sz="4" w:space="0" w:color="auto"/>
              <w:right w:val="nil"/>
            </w:tcBorders>
            <w:shd w:val="clear" w:color="auto" w:fill="auto"/>
            <w:vAlign w:val="bottom"/>
            <w:hideMark/>
          </w:tcPr>
          <w:p w:rsidR="00F07E05" w:rsidRDefault="00F07E05" w:rsidP="008A253E">
            <w:pPr>
              <w:jc w:val="center"/>
              <w:rPr>
                <w:color w:val="000000"/>
                <w:sz w:val="22"/>
                <w:szCs w:val="22"/>
              </w:rPr>
            </w:pPr>
            <w:r>
              <w:rPr>
                <w:color w:val="000000"/>
                <w:sz w:val="22"/>
                <w:szCs w:val="22"/>
              </w:rPr>
              <w:t>1 229 498,85</w:t>
            </w:r>
          </w:p>
        </w:tc>
      </w:tr>
      <w:tr w:rsidR="00F07E05" w:rsidTr="008A253E">
        <w:trPr>
          <w:trHeight w:val="1219"/>
        </w:trPr>
        <w:tc>
          <w:tcPr>
            <w:tcW w:w="2939"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F07E05" w:rsidRDefault="00F07E05" w:rsidP="008A253E">
            <w:pPr>
              <w:jc w:val="center"/>
              <w:rPr>
                <w:color w:val="000000"/>
                <w:sz w:val="22"/>
                <w:szCs w:val="22"/>
              </w:rPr>
            </w:pPr>
            <w:r>
              <w:rPr>
                <w:color w:val="000000"/>
                <w:sz w:val="22"/>
                <w:szCs w:val="22"/>
              </w:rPr>
              <w:t>Предрейсовый и послерейсовый технические осмотры автотранспорта</w:t>
            </w:r>
          </w:p>
        </w:tc>
        <w:tc>
          <w:tcPr>
            <w:tcW w:w="2140" w:type="dxa"/>
            <w:tcBorders>
              <w:top w:val="nil"/>
              <w:left w:val="nil"/>
              <w:bottom w:val="single" w:sz="4" w:space="0" w:color="auto"/>
              <w:right w:val="nil"/>
            </w:tcBorders>
            <w:shd w:val="clear" w:color="auto" w:fill="auto"/>
            <w:vAlign w:val="bottom"/>
            <w:hideMark/>
          </w:tcPr>
          <w:p w:rsidR="00F07E05" w:rsidRDefault="00F07E05" w:rsidP="008A253E">
            <w:pPr>
              <w:jc w:val="center"/>
              <w:rPr>
                <w:color w:val="000000"/>
                <w:sz w:val="22"/>
                <w:szCs w:val="22"/>
              </w:rPr>
            </w:pPr>
            <w:r>
              <w:rPr>
                <w:color w:val="000000"/>
                <w:sz w:val="22"/>
                <w:szCs w:val="22"/>
              </w:rPr>
              <w:t>350 828,40</w:t>
            </w:r>
          </w:p>
        </w:tc>
        <w:tc>
          <w:tcPr>
            <w:tcW w:w="2062" w:type="dxa"/>
            <w:tcBorders>
              <w:top w:val="nil"/>
              <w:left w:val="nil"/>
              <w:bottom w:val="single" w:sz="4" w:space="0" w:color="auto"/>
              <w:right w:val="nil"/>
            </w:tcBorders>
            <w:shd w:val="clear" w:color="auto" w:fill="auto"/>
            <w:vAlign w:val="bottom"/>
            <w:hideMark/>
          </w:tcPr>
          <w:p w:rsidR="00F07E05" w:rsidRDefault="00F07E05" w:rsidP="008A253E">
            <w:pPr>
              <w:jc w:val="center"/>
              <w:rPr>
                <w:color w:val="000000"/>
                <w:sz w:val="22"/>
                <w:szCs w:val="22"/>
              </w:rPr>
            </w:pPr>
            <w:r>
              <w:rPr>
                <w:color w:val="000000"/>
                <w:sz w:val="22"/>
                <w:szCs w:val="22"/>
              </w:rPr>
              <w:t>364 861,54</w:t>
            </w:r>
          </w:p>
        </w:tc>
        <w:tc>
          <w:tcPr>
            <w:tcW w:w="2217" w:type="dxa"/>
            <w:tcBorders>
              <w:top w:val="nil"/>
              <w:left w:val="nil"/>
              <w:bottom w:val="single" w:sz="4" w:space="0" w:color="auto"/>
              <w:right w:val="nil"/>
            </w:tcBorders>
            <w:shd w:val="clear" w:color="auto" w:fill="auto"/>
            <w:vAlign w:val="bottom"/>
            <w:hideMark/>
          </w:tcPr>
          <w:p w:rsidR="00F07E05" w:rsidRDefault="00F07E05" w:rsidP="008A253E">
            <w:pPr>
              <w:jc w:val="center"/>
              <w:rPr>
                <w:color w:val="000000"/>
                <w:sz w:val="22"/>
                <w:szCs w:val="22"/>
              </w:rPr>
            </w:pPr>
            <w:r>
              <w:rPr>
                <w:color w:val="000000"/>
                <w:sz w:val="22"/>
                <w:szCs w:val="22"/>
              </w:rPr>
              <w:t>379 456,00</w:t>
            </w:r>
          </w:p>
        </w:tc>
      </w:tr>
      <w:tr w:rsidR="00F07E05" w:rsidTr="008A253E">
        <w:trPr>
          <w:trHeight w:val="692"/>
        </w:trPr>
        <w:tc>
          <w:tcPr>
            <w:tcW w:w="2939"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F07E05" w:rsidRDefault="00F07E05" w:rsidP="008A253E">
            <w:pPr>
              <w:jc w:val="center"/>
              <w:rPr>
                <w:color w:val="000000"/>
                <w:sz w:val="22"/>
                <w:szCs w:val="22"/>
              </w:rPr>
            </w:pPr>
            <w:r>
              <w:rPr>
                <w:color w:val="000000"/>
                <w:sz w:val="22"/>
                <w:szCs w:val="22"/>
              </w:rPr>
              <w:t>Автотранспортные услуги</w:t>
            </w:r>
          </w:p>
        </w:tc>
        <w:tc>
          <w:tcPr>
            <w:tcW w:w="2140" w:type="dxa"/>
            <w:tcBorders>
              <w:top w:val="nil"/>
              <w:left w:val="nil"/>
              <w:bottom w:val="single" w:sz="4" w:space="0" w:color="auto"/>
              <w:right w:val="nil"/>
            </w:tcBorders>
            <w:shd w:val="clear" w:color="auto" w:fill="auto"/>
            <w:vAlign w:val="bottom"/>
            <w:hideMark/>
          </w:tcPr>
          <w:p w:rsidR="00F07E05" w:rsidRDefault="00F07E05" w:rsidP="008A253E">
            <w:pPr>
              <w:jc w:val="center"/>
              <w:rPr>
                <w:color w:val="000000"/>
                <w:sz w:val="22"/>
                <w:szCs w:val="22"/>
              </w:rPr>
            </w:pPr>
            <w:r>
              <w:rPr>
                <w:color w:val="000000"/>
                <w:sz w:val="22"/>
                <w:szCs w:val="22"/>
              </w:rPr>
              <w:t>1 214 826,44</w:t>
            </w:r>
          </w:p>
        </w:tc>
        <w:tc>
          <w:tcPr>
            <w:tcW w:w="2062" w:type="dxa"/>
            <w:tcBorders>
              <w:top w:val="nil"/>
              <w:left w:val="nil"/>
              <w:bottom w:val="single" w:sz="4" w:space="0" w:color="auto"/>
              <w:right w:val="nil"/>
            </w:tcBorders>
            <w:shd w:val="clear" w:color="auto" w:fill="auto"/>
            <w:vAlign w:val="bottom"/>
            <w:hideMark/>
          </w:tcPr>
          <w:p w:rsidR="00F07E05" w:rsidRDefault="00F07E05" w:rsidP="008A253E">
            <w:pPr>
              <w:jc w:val="center"/>
              <w:rPr>
                <w:color w:val="000000"/>
                <w:sz w:val="22"/>
                <w:szCs w:val="22"/>
              </w:rPr>
            </w:pPr>
            <w:r>
              <w:rPr>
                <w:color w:val="000000"/>
                <w:sz w:val="22"/>
                <w:szCs w:val="22"/>
              </w:rPr>
              <w:t>1 263 411,64</w:t>
            </w:r>
          </w:p>
        </w:tc>
        <w:tc>
          <w:tcPr>
            <w:tcW w:w="2217" w:type="dxa"/>
            <w:tcBorders>
              <w:top w:val="nil"/>
              <w:left w:val="nil"/>
              <w:bottom w:val="single" w:sz="4" w:space="0" w:color="auto"/>
              <w:right w:val="nil"/>
            </w:tcBorders>
            <w:shd w:val="clear" w:color="auto" w:fill="auto"/>
            <w:vAlign w:val="bottom"/>
            <w:hideMark/>
          </w:tcPr>
          <w:p w:rsidR="00F07E05" w:rsidRDefault="00F07E05" w:rsidP="008A253E">
            <w:pPr>
              <w:jc w:val="center"/>
              <w:rPr>
                <w:color w:val="000000"/>
                <w:sz w:val="22"/>
                <w:szCs w:val="22"/>
              </w:rPr>
            </w:pPr>
            <w:r>
              <w:rPr>
                <w:color w:val="000000"/>
                <w:sz w:val="22"/>
                <w:szCs w:val="22"/>
              </w:rPr>
              <w:t>1 313 948,10</w:t>
            </w:r>
          </w:p>
        </w:tc>
      </w:tr>
      <w:tr w:rsidR="00F07E05" w:rsidTr="008A253E">
        <w:trPr>
          <w:trHeight w:val="301"/>
        </w:trPr>
        <w:tc>
          <w:tcPr>
            <w:tcW w:w="2939"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F07E05" w:rsidRDefault="00F07E05" w:rsidP="008A253E">
            <w:pPr>
              <w:jc w:val="center"/>
              <w:rPr>
                <w:color w:val="000000"/>
                <w:sz w:val="22"/>
                <w:szCs w:val="22"/>
              </w:rPr>
            </w:pPr>
            <w:r>
              <w:rPr>
                <w:color w:val="000000"/>
                <w:sz w:val="22"/>
                <w:szCs w:val="22"/>
              </w:rPr>
              <w:t>Мойка автомобилей</w:t>
            </w:r>
          </w:p>
        </w:tc>
        <w:tc>
          <w:tcPr>
            <w:tcW w:w="2140" w:type="dxa"/>
            <w:tcBorders>
              <w:top w:val="nil"/>
              <w:left w:val="nil"/>
              <w:bottom w:val="single" w:sz="4" w:space="0" w:color="auto"/>
              <w:right w:val="nil"/>
            </w:tcBorders>
            <w:shd w:val="clear" w:color="auto" w:fill="auto"/>
            <w:vAlign w:val="bottom"/>
            <w:hideMark/>
          </w:tcPr>
          <w:p w:rsidR="00F07E05" w:rsidRDefault="00F07E05" w:rsidP="008A253E">
            <w:pPr>
              <w:jc w:val="center"/>
              <w:rPr>
                <w:color w:val="000000"/>
                <w:sz w:val="22"/>
                <w:szCs w:val="22"/>
              </w:rPr>
            </w:pPr>
            <w:r>
              <w:rPr>
                <w:color w:val="000000"/>
                <w:sz w:val="22"/>
                <w:szCs w:val="22"/>
              </w:rPr>
              <w:t> </w:t>
            </w:r>
          </w:p>
        </w:tc>
        <w:tc>
          <w:tcPr>
            <w:tcW w:w="2062" w:type="dxa"/>
            <w:tcBorders>
              <w:top w:val="nil"/>
              <w:left w:val="nil"/>
              <w:bottom w:val="single" w:sz="4" w:space="0" w:color="auto"/>
              <w:right w:val="nil"/>
            </w:tcBorders>
            <w:shd w:val="clear" w:color="auto" w:fill="auto"/>
            <w:vAlign w:val="bottom"/>
            <w:hideMark/>
          </w:tcPr>
          <w:p w:rsidR="00F07E05" w:rsidRDefault="00F07E05" w:rsidP="008A253E">
            <w:pPr>
              <w:jc w:val="center"/>
              <w:rPr>
                <w:color w:val="000000"/>
                <w:sz w:val="22"/>
                <w:szCs w:val="22"/>
              </w:rPr>
            </w:pPr>
            <w:r>
              <w:rPr>
                <w:color w:val="000000"/>
                <w:sz w:val="22"/>
                <w:szCs w:val="22"/>
              </w:rPr>
              <w:t> </w:t>
            </w:r>
          </w:p>
        </w:tc>
        <w:tc>
          <w:tcPr>
            <w:tcW w:w="2217" w:type="dxa"/>
            <w:tcBorders>
              <w:top w:val="nil"/>
              <w:left w:val="nil"/>
              <w:bottom w:val="single" w:sz="4" w:space="0" w:color="auto"/>
              <w:right w:val="nil"/>
            </w:tcBorders>
            <w:shd w:val="clear" w:color="auto" w:fill="auto"/>
            <w:vAlign w:val="bottom"/>
            <w:hideMark/>
          </w:tcPr>
          <w:p w:rsidR="00F07E05" w:rsidRDefault="00F07E05" w:rsidP="008A253E">
            <w:pPr>
              <w:jc w:val="center"/>
              <w:rPr>
                <w:color w:val="000000"/>
                <w:sz w:val="22"/>
                <w:szCs w:val="22"/>
              </w:rPr>
            </w:pPr>
            <w:r>
              <w:rPr>
                <w:color w:val="000000"/>
                <w:sz w:val="22"/>
                <w:szCs w:val="22"/>
              </w:rPr>
              <w:t> </w:t>
            </w:r>
          </w:p>
        </w:tc>
      </w:tr>
      <w:tr w:rsidR="00F07E05" w:rsidTr="008A253E">
        <w:trPr>
          <w:trHeight w:val="301"/>
        </w:trPr>
        <w:tc>
          <w:tcPr>
            <w:tcW w:w="2939"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F07E05" w:rsidRDefault="00F07E05" w:rsidP="008A253E">
            <w:pPr>
              <w:jc w:val="center"/>
              <w:rPr>
                <w:b/>
                <w:bCs/>
                <w:color w:val="000000"/>
                <w:sz w:val="22"/>
                <w:szCs w:val="22"/>
              </w:rPr>
            </w:pPr>
            <w:r>
              <w:rPr>
                <w:b/>
                <w:bCs/>
                <w:color w:val="000000"/>
                <w:sz w:val="22"/>
                <w:szCs w:val="22"/>
              </w:rPr>
              <w:t>ИТОГО</w:t>
            </w:r>
          </w:p>
        </w:tc>
        <w:tc>
          <w:tcPr>
            <w:tcW w:w="2140" w:type="dxa"/>
            <w:tcBorders>
              <w:top w:val="nil"/>
              <w:left w:val="nil"/>
              <w:bottom w:val="single" w:sz="4" w:space="0" w:color="auto"/>
              <w:right w:val="nil"/>
            </w:tcBorders>
            <w:shd w:val="clear" w:color="auto" w:fill="auto"/>
            <w:vAlign w:val="bottom"/>
            <w:hideMark/>
          </w:tcPr>
          <w:p w:rsidR="00F07E05" w:rsidRDefault="00F07E05" w:rsidP="008A253E">
            <w:pPr>
              <w:jc w:val="center"/>
              <w:rPr>
                <w:b/>
                <w:bCs/>
                <w:color w:val="000000"/>
                <w:sz w:val="22"/>
                <w:szCs w:val="22"/>
              </w:rPr>
            </w:pPr>
            <w:r>
              <w:rPr>
                <w:b/>
                <w:bCs/>
                <w:color w:val="000000"/>
                <w:sz w:val="22"/>
                <w:szCs w:val="22"/>
              </w:rPr>
              <w:t>2 702 395,64</w:t>
            </w:r>
          </w:p>
        </w:tc>
        <w:tc>
          <w:tcPr>
            <w:tcW w:w="2062" w:type="dxa"/>
            <w:tcBorders>
              <w:top w:val="nil"/>
              <w:left w:val="nil"/>
              <w:bottom w:val="single" w:sz="4" w:space="0" w:color="auto"/>
              <w:right w:val="nil"/>
            </w:tcBorders>
            <w:shd w:val="clear" w:color="auto" w:fill="auto"/>
            <w:vAlign w:val="bottom"/>
            <w:hideMark/>
          </w:tcPr>
          <w:p w:rsidR="00F07E05" w:rsidRDefault="00F07E05" w:rsidP="008A253E">
            <w:pPr>
              <w:jc w:val="center"/>
              <w:rPr>
                <w:b/>
                <w:bCs/>
                <w:color w:val="000000"/>
                <w:sz w:val="22"/>
                <w:szCs w:val="22"/>
              </w:rPr>
            </w:pPr>
            <w:r>
              <w:rPr>
                <w:b/>
                <w:bCs/>
                <w:color w:val="000000"/>
                <w:sz w:val="22"/>
                <w:szCs w:val="22"/>
              </w:rPr>
              <w:t>2 810 483,61</w:t>
            </w:r>
          </w:p>
        </w:tc>
        <w:tc>
          <w:tcPr>
            <w:tcW w:w="2217" w:type="dxa"/>
            <w:tcBorders>
              <w:top w:val="nil"/>
              <w:left w:val="nil"/>
              <w:bottom w:val="single" w:sz="4" w:space="0" w:color="auto"/>
              <w:right w:val="nil"/>
            </w:tcBorders>
            <w:shd w:val="clear" w:color="auto" w:fill="auto"/>
            <w:vAlign w:val="bottom"/>
            <w:hideMark/>
          </w:tcPr>
          <w:p w:rsidR="00F07E05" w:rsidRDefault="00F07E05" w:rsidP="008A253E">
            <w:pPr>
              <w:jc w:val="center"/>
              <w:rPr>
                <w:b/>
                <w:bCs/>
                <w:color w:val="000000"/>
                <w:sz w:val="22"/>
                <w:szCs w:val="22"/>
              </w:rPr>
            </w:pPr>
            <w:r>
              <w:rPr>
                <w:b/>
                <w:bCs/>
                <w:color w:val="000000"/>
                <w:sz w:val="22"/>
                <w:szCs w:val="22"/>
              </w:rPr>
              <w:t>2 922 902,95</w:t>
            </w:r>
          </w:p>
        </w:tc>
      </w:tr>
    </w:tbl>
    <w:p w:rsidR="00F07E05" w:rsidRDefault="00F07E05" w:rsidP="00F07E05">
      <w:pPr>
        <w:jc w:val="center"/>
        <w:rPr>
          <w:sz w:val="22"/>
          <w:szCs w:val="22"/>
        </w:rPr>
        <w:sectPr w:rsidR="00F07E05" w:rsidSect="008A253E">
          <w:footerReference w:type="even" r:id="rId27"/>
          <w:footerReference w:type="default" r:id="rId28"/>
          <w:pgSz w:w="11906" w:h="16838"/>
          <w:pgMar w:top="1077" w:right="991" w:bottom="1134" w:left="1701" w:header="709" w:footer="709" w:gutter="0"/>
          <w:cols w:space="708"/>
          <w:docGrid w:linePitch="360"/>
        </w:sectPr>
      </w:pPr>
    </w:p>
    <w:tbl>
      <w:tblPr>
        <w:tblW w:w="15877" w:type="dxa"/>
        <w:tblInd w:w="-426" w:type="dxa"/>
        <w:tblLook w:val="04A0" w:firstRow="1" w:lastRow="0" w:firstColumn="1" w:lastColumn="0" w:noHBand="0" w:noVBand="1"/>
      </w:tblPr>
      <w:tblGrid>
        <w:gridCol w:w="513"/>
        <w:gridCol w:w="4079"/>
        <w:gridCol w:w="1014"/>
        <w:gridCol w:w="989"/>
        <w:gridCol w:w="1485"/>
        <w:gridCol w:w="1003"/>
        <w:gridCol w:w="1549"/>
        <w:gridCol w:w="1073"/>
        <w:gridCol w:w="1478"/>
        <w:gridCol w:w="1115"/>
        <w:gridCol w:w="1579"/>
      </w:tblGrid>
      <w:tr w:rsidR="00F07E05" w:rsidTr="008A253E">
        <w:trPr>
          <w:trHeight w:val="709"/>
        </w:trPr>
        <w:tc>
          <w:tcPr>
            <w:tcW w:w="15877" w:type="dxa"/>
            <w:gridSpan w:val="11"/>
            <w:tcBorders>
              <w:top w:val="nil"/>
              <w:left w:val="nil"/>
              <w:bottom w:val="nil"/>
              <w:right w:val="nil"/>
            </w:tcBorders>
            <w:shd w:val="clear" w:color="auto" w:fill="auto"/>
            <w:vAlign w:val="bottom"/>
            <w:hideMark/>
          </w:tcPr>
          <w:p w:rsidR="00F07E05" w:rsidRDefault="00F07E05" w:rsidP="008A253E">
            <w:pPr>
              <w:jc w:val="center"/>
              <w:rPr>
                <w:b/>
                <w:bCs/>
                <w:color w:val="000000"/>
              </w:rPr>
            </w:pPr>
            <w:r>
              <w:rPr>
                <w:b/>
                <w:bCs/>
                <w:color w:val="000000"/>
              </w:rPr>
              <w:lastRenderedPageBreak/>
              <w:t>Расчет ожидаемых доходов на основании заключенных контрактов на оказание услуг по проведению предрейсовых и послерейсовых медицинских осмотров водителей на 2021 -2024 гг.</w:t>
            </w:r>
          </w:p>
        </w:tc>
      </w:tr>
      <w:tr w:rsidR="00F07E05" w:rsidTr="008A253E">
        <w:trPr>
          <w:trHeight w:val="300"/>
        </w:trPr>
        <w:tc>
          <w:tcPr>
            <w:tcW w:w="513" w:type="dxa"/>
            <w:tcBorders>
              <w:top w:val="nil"/>
              <w:left w:val="nil"/>
              <w:bottom w:val="nil"/>
              <w:right w:val="nil"/>
            </w:tcBorders>
            <w:shd w:val="clear" w:color="auto" w:fill="auto"/>
            <w:noWrap/>
            <w:vAlign w:val="bottom"/>
            <w:hideMark/>
          </w:tcPr>
          <w:p w:rsidR="00F07E05" w:rsidRDefault="00F07E05" w:rsidP="008A253E">
            <w:pPr>
              <w:jc w:val="center"/>
              <w:rPr>
                <w:b/>
                <w:bCs/>
                <w:color w:val="000000"/>
              </w:rPr>
            </w:pPr>
          </w:p>
        </w:tc>
        <w:tc>
          <w:tcPr>
            <w:tcW w:w="4079" w:type="dxa"/>
            <w:tcBorders>
              <w:top w:val="nil"/>
              <w:left w:val="nil"/>
              <w:bottom w:val="nil"/>
              <w:right w:val="nil"/>
            </w:tcBorders>
            <w:shd w:val="clear" w:color="auto" w:fill="auto"/>
            <w:noWrap/>
            <w:vAlign w:val="bottom"/>
            <w:hideMark/>
          </w:tcPr>
          <w:p w:rsidR="00F07E05" w:rsidRDefault="00F07E05" w:rsidP="008A253E">
            <w:pPr>
              <w:rPr>
                <w:sz w:val="20"/>
                <w:szCs w:val="20"/>
              </w:rPr>
            </w:pPr>
          </w:p>
        </w:tc>
        <w:tc>
          <w:tcPr>
            <w:tcW w:w="1014" w:type="dxa"/>
            <w:tcBorders>
              <w:top w:val="nil"/>
              <w:left w:val="nil"/>
              <w:bottom w:val="nil"/>
              <w:right w:val="nil"/>
            </w:tcBorders>
            <w:shd w:val="clear" w:color="auto" w:fill="auto"/>
            <w:noWrap/>
            <w:vAlign w:val="bottom"/>
            <w:hideMark/>
          </w:tcPr>
          <w:p w:rsidR="00F07E05" w:rsidRDefault="00F07E05" w:rsidP="008A253E">
            <w:pPr>
              <w:jc w:val="center"/>
              <w:rPr>
                <w:sz w:val="20"/>
                <w:szCs w:val="20"/>
              </w:rPr>
            </w:pPr>
          </w:p>
        </w:tc>
        <w:tc>
          <w:tcPr>
            <w:tcW w:w="989" w:type="dxa"/>
            <w:tcBorders>
              <w:top w:val="nil"/>
              <w:left w:val="nil"/>
              <w:bottom w:val="nil"/>
              <w:right w:val="nil"/>
            </w:tcBorders>
            <w:shd w:val="clear" w:color="auto" w:fill="auto"/>
            <w:noWrap/>
            <w:vAlign w:val="bottom"/>
            <w:hideMark/>
          </w:tcPr>
          <w:p w:rsidR="00F07E05" w:rsidRDefault="00F07E05" w:rsidP="008A253E">
            <w:pPr>
              <w:rPr>
                <w:sz w:val="20"/>
                <w:szCs w:val="20"/>
              </w:rPr>
            </w:pPr>
          </w:p>
        </w:tc>
        <w:tc>
          <w:tcPr>
            <w:tcW w:w="1485" w:type="dxa"/>
            <w:tcBorders>
              <w:top w:val="nil"/>
              <w:left w:val="nil"/>
              <w:bottom w:val="nil"/>
              <w:right w:val="nil"/>
            </w:tcBorders>
            <w:shd w:val="clear" w:color="auto" w:fill="auto"/>
            <w:noWrap/>
            <w:vAlign w:val="bottom"/>
            <w:hideMark/>
          </w:tcPr>
          <w:p w:rsidR="00F07E05" w:rsidRDefault="00F07E05" w:rsidP="008A253E">
            <w:pPr>
              <w:rPr>
                <w:sz w:val="20"/>
                <w:szCs w:val="20"/>
              </w:rPr>
            </w:pPr>
          </w:p>
        </w:tc>
        <w:tc>
          <w:tcPr>
            <w:tcW w:w="1003" w:type="dxa"/>
            <w:tcBorders>
              <w:top w:val="nil"/>
              <w:left w:val="nil"/>
              <w:bottom w:val="nil"/>
              <w:right w:val="nil"/>
            </w:tcBorders>
            <w:shd w:val="clear" w:color="auto" w:fill="auto"/>
            <w:noWrap/>
            <w:vAlign w:val="bottom"/>
            <w:hideMark/>
          </w:tcPr>
          <w:p w:rsidR="00F07E05" w:rsidRDefault="00F07E05" w:rsidP="008A253E">
            <w:pPr>
              <w:rPr>
                <w:sz w:val="20"/>
                <w:szCs w:val="20"/>
              </w:rPr>
            </w:pPr>
          </w:p>
        </w:tc>
        <w:tc>
          <w:tcPr>
            <w:tcW w:w="1549" w:type="dxa"/>
            <w:tcBorders>
              <w:top w:val="nil"/>
              <w:left w:val="nil"/>
              <w:bottom w:val="nil"/>
              <w:right w:val="nil"/>
            </w:tcBorders>
            <w:shd w:val="clear" w:color="auto" w:fill="auto"/>
            <w:noWrap/>
            <w:vAlign w:val="bottom"/>
            <w:hideMark/>
          </w:tcPr>
          <w:p w:rsidR="00F07E05" w:rsidRDefault="00F07E05" w:rsidP="008A253E">
            <w:pPr>
              <w:rPr>
                <w:sz w:val="20"/>
                <w:szCs w:val="20"/>
              </w:rPr>
            </w:pPr>
          </w:p>
        </w:tc>
        <w:tc>
          <w:tcPr>
            <w:tcW w:w="1073" w:type="dxa"/>
            <w:tcBorders>
              <w:top w:val="nil"/>
              <w:left w:val="nil"/>
              <w:bottom w:val="nil"/>
              <w:right w:val="nil"/>
            </w:tcBorders>
            <w:shd w:val="clear" w:color="auto" w:fill="auto"/>
            <w:noWrap/>
            <w:vAlign w:val="bottom"/>
            <w:hideMark/>
          </w:tcPr>
          <w:p w:rsidR="00F07E05" w:rsidRDefault="00F07E05" w:rsidP="008A253E">
            <w:pPr>
              <w:rPr>
                <w:sz w:val="20"/>
                <w:szCs w:val="20"/>
              </w:rPr>
            </w:pPr>
          </w:p>
        </w:tc>
        <w:tc>
          <w:tcPr>
            <w:tcW w:w="1478" w:type="dxa"/>
            <w:tcBorders>
              <w:top w:val="nil"/>
              <w:left w:val="nil"/>
              <w:bottom w:val="nil"/>
              <w:right w:val="nil"/>
            </w:tcBorders>
            <w:shd w:val="clear" w:color="auto" w:fill="auto"/>
            <w:noWrap/>
            <w:vAlign w:val="bottom"/>
            <w:hideMark/>
          </w:tcPr>
          <w:p w:rsidR="00F07E05" w:rsidRDefault="00F07E05" w:rsidP="008A253E">
            <w:pPr>
              <w:rPr>
                <w:sz w:val="20"/>
                <w:szCs w:val="20"/>
              </w:rPr>
            </w:pPr>
          </w:p>
        </w:tc>
        <w:tc>
          <w:tcPr>
            <w:tcW w:w="1115" w:type="dxa"/>
            <w:tcBorders>
              <w:top w:val="nil"/>
              <w:left w:val="nil"/>
              <w:bottom w:val="nil"/>
              <w:right w:val="nil"/>
            </w:tcBorders>
            <w:shd w:val="clear" w:color="auto" w:fill="auto"/>
            <w:noWrap/>
            <w:vAlign w:val="bottom"/>
            <w:hideMark/>
          </w:tcPr>
          <w:p w:rsidR="00F07E05" w:rsidRDefault="00F07E05" w:rsidP="008A253E">
            <w:pPr>
              <w:rPr>
                <w:sz w:val="20"/>
                <w:szCs w:val="20"/>
              </w:rPr>
            </w:pPr>
          </w:p>
        </w:tc>
        <w:tc>
          <w:tcPr>
            <w:tcW w:w="1579" w:type="dxa"/>
            <w:tcBorders>
              <w:top w:val="nil"/>
              <w:left w:val="nil"/>
              <w:bottom w:val="nil"/>
              <w:right w:val="nil"/>
            </w:tcBorders>
            <w:shd w:val="clear" w:color="auto" w:fill="auto"/>
            <w:noWrap/>
            <w:vAlign w:val="bottom"/>
            <w:hideMark/>
          </w:tcPr>
          <w:p w:rsidR="00F07E05" w:rsidRDefault="00F07E05" w:rsidP="008A253E">
            <w:pPr>
              <w:rPr>
                <w:sz w:val="20"/>
                <w:szCs w:val="20"/>
              </w:rPr>
            </w:pPr>
          </w:p>
        </w:tc>
      </w:tr>
      <w:tr w:rsidR="00F07E05" w:rsidTr="008A253E">
        <w:trPr>
          <w:trHeight w:val="375"/>
        </w:trPr>
        <w:tc>
          <w:tcPr>
            <w:tcW w:w="513" w:type="dxa"/>
            <w:vMerge w:val="restart"/>
            <w:tcBorders>
              <w:top w:val="single" w:sz="4" w:space="0" w:color="auto"/>
              <w:left w:val="single" w:sz="4" w:space="0" w:color="auto"/>
              <w:bottom w:val="single" w:sz="4" w:space="0" w:color="000000"/>
              <w:right w:val="single" w:sz="4" w:space="0" w:color="auto"/>
            </w:tcBorders>
            <w:shd w:val="clear" w:color="000000" w:fill="FFFFFF"/>
            <w:vAlign w:val="bottom"/>
            <w:hideMark/>
          </w:tcPr>
          <w:p w:rsidR="00F07E05" w:rsidRPr="00BD47B7" w:rsidRDefault="00F07E05" w:rsidP="008A253E">
            <w:pPr>
              <w:jc w:val="center"/>
              <w:rPr>
                <w:sz w:val="22"/>
                <w:szCs w:val="22"/>
              </w:rPr>
            </w:pPr>
            <w:r w:rsidRPr="00BD47B7">
              <w:rPr>
                <w:sz w:val="22"/>
                <w:szCs w:val="22"/>
              </w:rPr>
              <w:t>№ п/п</w:t>
            </w:r>
          </w:p>
        </w:tc>
        <w:tc>
          <w:tcPr>
            <w:tcW w:w="4079"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bottom"/>
            <w:hideMark/>
          </w:tcPr>
          <w:p w:rsidR="00F07E05" w:rsidRPr="00BD47B7" w:rsidRDefault="00F07E05" w:rsidP="008A253E">
            <w:pPr>
              <w:jc w:val="center"/>
              <w:rPr>
                <w:b/>
                <w:bCs/>
                <w:sz w:val="22"/>
                <w:szCs w:val="22"/>
              </w:rPr>
            </w:pPr>
            <w:r w:rsidRPr="00BD47B7">
              <w:rPr>
                <w:b/>
                <w:bCs/>
                <w:sz w:val="22"/>
                <w:szCs w:val="22"/>
              </w:rPr>
              <w:t>Заказчик услуг</w:t>
            </w:r>
          </w:p>
        </w:tc>
        <w:tc>
          <w:tcPr>
            <w:tcW w:w="3488" w:type="dxa"/>
            <w:gridSpan w:val="3"/>
            <w:tcBorders>
              <w:top w:val="single" w:sz="4" w:space="0" w:color="auto"/>
              <w:left w:val="nil"/>
              <w:bottom w:val="single" w:sz="4" w:space="0" w:color="auto"/>
              <w:right w:val="nil"/>
            </w:tcBorders>
            <w:shd w:val="clear" w:color="000000" w:fill="FFFFFF"/>
            <w:vAlign w:val="bottom"/>
            <w:hideMark/>
          </w:tcPr>
          <w:p w:rsidR="00F07E05" w:rsidRPr="00BD47B7" w:rsidRDefault="00F07E05" w:rsidP="008A253E">
            <w:pPr>
              <w:jc w:val="center"/>
              <w:rPr>
                <w:b/>
                <w:bCs/>
                <w:sz w:val="22"/>
                <w:szCs w:val="22"/>
              </w:rPr>
            </w:pPr>
            <w:r w:rsidRPr="00BD47B7">
              <w:rPr>
                <w:b/>
                <w:bCs/>
                <w:sz w:val="22"/>
                <w:szCs w:val="22"/>
              </w:rPr>
              <w:t>Ожидаемая оценка 2021 года</w:t>
            </w:r>
          </w:p>
        </w:tc>
        <w:tc>
          <w:tcPr>
            <w:tcW w:w="7797" w:type="dxa"/>
            <w:gridSpan w:val="6"/>
            <w:tcBorders>
              <w:top w:val="single" w:sz="4" w:space="0" w:color="auto"/>
              <w:left w:val="nil"/>
              <w:bottom w:val="single" w:sz="4" w:space="0" w:color="auto"/>
              <w:right w:val="single" w:sz="4" w:space="0" w:color="000000"/>
            </w:tcBorders>
            <w:shd w:val="clear" w:color="000000" w:fill="FFFFFF"/>
            <w:noWrap/>
            <w:vAlign w:val="bottom"/>
            <w:hideMark/>
          </w:tcPr>
          <w:p w:rsidR="00F07E05" w:rsidRPr="00BD47B7" w:rsidRDefault="00F07E05" w:rsidP="008A253E">
            <w:pPr>
              <w:jc w:val="center"/>
              <w:rPr>
                <w:b/>
                <w:bCs/>
                <w:color w:val="000000"/>
                <w:sz w:val="22"/>
                <w:szCs w:val="22"/>
              </w:rPr>
            </w:pPr>
            <w:r w:rsidRPr="00BD47B7">
              <w:rPr>
                <w:b/>
                <w:bCs/>
                <w:color w:val="000000"/>
                <w:sz w:val="22"/>
                <w:szCs w:val="22"/>
              </w:rPr>
              <w:t>Прогноз</w:t>
            </w:r>
          </w:p>
        </w:tc>
      </w:tr>
      <w:tr w:rsidR="00F07E05" w:rsidTr="008A253E">
        <w:trPr>
          <w:trHeight w:val="360"/>
        </w:trPr>
        <w:tc>
          <w:tcPr>
            <w:tcW w:w="513" w:type="dxa"/>
            <w:vMerge/>
            <w:tcBorders>
              <w:top w:val="single" w:sz="4" w:space="0" w:color="auto"/>
              <w:left w:val="single" w:sz="4" w:space="0" w:color="auto"/>
              <w:bottom w:val="single" w:sz="4" w:space="0" w:color="000000"/>
              <w:right w:val="single" w:sz="4" w:space="0" w:color="auto"/>
            </w:tcBorders>
            <w:vAlign w:val="center"/>
            <w:hideMark/>
          </w:tcPr>
          <w:p w:rsidR="00F07E05" w:rsidRPr="00BD47B7" w:rsidRDefault="00F07E05" w:rsidP="008A253E">
            <w:pPr>
              <w:rPr>
                <w:sz w:val="22"/>
                <w:szCs w:val="22"/>
              </w:rPr>
            </w:pPr>
          </w:p>
        </w:tc>
        <w:tc>
          <w:tcPr>
            <w:tcW w:w="4079" w:type="dxa"/>
            <w:vMerge/>
            <w:tcBorders>
              <w:top w:val="single" w:sz="4" w:space="0" w:color="auto"/>
              <w:left w:val="single" w:sz="4" w:space="0" w:color="auto"/>
              <w:bottom w:val="single" w:sz="4" w:space="0" w:color="000000"/>
              <w:right w:val="single" w:sz="4" w:space="0" w:color="auto"/>
            </w:tcBorders>
            <w:vAlign w:val="center"/>
            <w:hideMark/>
          </w:tcPr>
          <w:p w:rsidR="00F07E05" w:rsidRPr="00BD47B7" w:rsidRDefault="00F07E05" w:rsidP="008A253E">
            <w:pPr>
              <w:rPr>
                <w:b/>
                <w:bCs/>
                <w:sz w:val="22"/>
                <w:szCs w:val="22"/>
              </w:rPr>
            </w:pPr>
          </w:p>
        </w:tc>
        <w:tc>
          <w:tcPr>
            <w:tcW w:w="2003" w:type="dxa"/>
            <w:gridSpan w:val="2"/>
            <w:tcBorders>
              <w:top w:val="single" w:sz="4" w:space="0" w:color="auto"/>
              <w:left w:val="nil"/>
              <w:bottom w:val="single" w:sz="4" w:space="0" w:color="auto"/>
              <w:right w:val="nil"/>
            </w:tcBorders>
            <w:shd w:val="clear" w:color="000000" w:fill="FFFFFF"/>
            <w:vAlign w:val="bottom"/>
            <w:hideMark/>
          </w:tcPr>
          <w:p w:rsidR="00F07E05" w:rsidRPr="00BD47B7" w:rsidRDefault="00F07E05" w:rsidP="008A253E">
            <w:pPr>
              <w:jc w:val="center"/>
              <w:rPr>
                <w:b/>
                <w:bCs/>
                <w:sz w:val="22"/>
                <w:szCs w:val="22"/>
              </w:rPr>
            </w:pPr>
            <w:r w:rsidRPr="00BD47B7">
              <w:rPr>
                <w:b/>
                <w:bCs/>
                <w:sz w:val="22"/>
                <w:szCs w:val="22"/>
              </w:rPr>
              <w:t>Основание (контракт)</w:t>
            </w:r>
          </w:p>
        </w:tc>
        <w:tc>
          <w:tcPr>
            <w:tcW w:w="1485" w:type="dxa"/>
            <w:vMerge w:val="restart"/>
            <w:tcBorders>
              <w:top w:val="nil"/>
              <w:left w:val="single" w:sz="4" w:space="0" w:color="auto"/>
              <w:bottom w:val="single" w:sz="4" w:space="0" w:color="auto"/>
              <w:right w:val="single" w:sz="4" w:space="0" w:color="auto"/>
            </w:tcBorders>
            <w:shd w:val="clear" w:color="000000" w:fill="FFFFFF"/>
            <w:vAlign w:val="bottom"/>
            <w:hideMark/>
          </w:tcPr>
          <w:p w:rsidR="00F07E05" w:rsidRPr="00BD47B7" w:rsidRDefault="00F07E05" w:rsidP="008A253E">
            <w:pPr>
              <w:jc w:val="center"/>
              <w:rPr>
                <w:b/>
                <w:bCs/>
                <w:sz w:val="22"/>
                <w:szCs w:val="22"/>
              </w:rPr>
            </w:pPr>
            <w:r w:rsidRPr="00BD47B7">
              <w:rPr>
                <w:b/>
                <w:bCs/>
                <w:sz w:val="22"/>
                <w:szCs w:val="22"/>
              </w:rPr>
              <w:t>Стоимость услуги, руб.</w:t>
            </w:r>
          </w:p>
        </w:tc>
        <w:tc>
          <w:tcPr>
            <w:tcW w:w="2552" w:type="dxa"/>
            <w:gridSpan w:val="2"/>
            <w:tcBorders>
              <w:top w:val="single" w:sz="4" w:space="0" w:color="auto"/>
              <w:left w:val="nil"/>
              <w:bottom w:val="single" w:sz="4" w:space="0" w:color="auto"/>
              <w:right w:val="single" w:sz="4" w:space="0" w:color="auto"/>
            </w:tcBorders>
            <w:shd w:val="clear" w:color="000000" w:fill="FFFFFF"/>
            <w:vAlign w:val="bottom"/>
            <w:hideMark/>
          </w:tcPr>
          <w:p w:rsidR="00F07E05" w:rsidRPr="00BD47B7" w:rsidRDefault="00F07E05" w:rsidP="008A253E">
            <w:pPr>
              <w:jc w:val="center"/>
              <w:rPr>
                <w:b/>
                <w:bCs/>
                <w:sz w:val="22"/>
                <w:szCs w:val="22"/>
              </w:rPr>
            </w:pPr>
            <w:r w:rsidRPr="00BD47B7">
              <w:rPr>
                <w:b/>
                <w:bCs/>
                <w:sz w:val="22"/>
                <w:szCs w:val="22"/>
              </w:rPr>
              <w:t>2022 год (ИПЦ 104,0)</w:t>
            </w:r>
          </w:p>
        </w:tc>
        <w:tc>
          <w:tcPr>
            <w:tcW w:w="2551" w:type="dxa"/>
            <w:gridSpan w:val="2"/>
            <w:tcBorders>
              <w:top w:val="single" w:sz="4" w:space="0" w:color="auto"/>
              <w:left w:val="nil"/>
              <w:bottom w:val="single" w:sz="4" w:space="0" w:color="auto"/>
              <w:right w:val="single" w:sz="4" w:space="0" w:color="auto"/>
            </w:tcBorders>
            <w:shd w:val="clear" w:color="000000" w:fill="FFFFFF"/>
            <w:vAlign w:val="bottom"/>
            <w:hideMark/>
          </w:tcPr>
          <w:p w:rsidR="00F07E05" w:rsidRPr="00BD47B7" w:rsidRDefault="00F07E05" w:rsidP="008A253E">
            <w:pPr>
              <w:jc w:val="center"/>
              <w:rPr>
                <w:b/>
                <w:bCs/>
                <w:sz w:val="22"/>
                <w:szCs w:val="22"/>
              </w:rPr>
            </w:pPr>
            <w:r w:rsidRPr="00BD47B7">
              <w:rPr>
                <w:b/>
                <w:bCs/>
                <w:sz w:val="22"/>
                <w:szCs w:val="22"/>
              </w:rPr>
              <w:t>2023 год (ИПЦ 104,0)</w:t>
            </w:r>
          </w:p>
        </w:tc>
        <w:tc>
          <w:tcPr>
            <w:tcW w:w="2694" w:type="dxa"/>
            <w:gridSpan w:val="2"/>
            <w:tcBorders>
              <w:top w:val="single" w:sz="4" w:space="0" w:color="auto"/>
              <w:left w:val="nil"/>
              <w:bottom w:val="single" w:sz="4" w:space="0" w:color="auto"/>
              <w:right w:val="single" w:sz="4" w:space="0" w:color="auto"/>
            </w:tcBorders>
            <w:shd w:val="clear" w:color="000000" w:fill="FFFFFF"/>
            <w:vAlign w:val="bottom"/>
            <w:hideMark/>
          </w:tcPr>
          <w:p w:rsidR="00F07E05" w:rsidRPr="00BD47B7" w:rsidRDefault="00F07E05" w:rsidP="008A253E">
            <w:pPr>
              <w:jc w:val="center"/>
              <w:rPr>
                <w:b/>
                <w:bCs/>
                <w:sz w:val="22"/>
                <w:szCs w:val="22"/>
              </w:rPr>
            </w:pPr>
            <w:r w:rsidRPr="00BD47B7">
              <w:rPr>
                <w:b/>
                <w:bCs/>
                <w:sz w:val="22"/>
                <w:szCs w:val="22"/>
              </w:rPr>
              <w:t>2024 год (ИПЦ 104,0)</w:t>
            </w:r>
          </w:p>
        </w:tc>
      </w:tr>
      <w:tr w:rsidR="00F07E05" w:rsidTr="008A253E">
        <w:trPr>
          <w:trHeight w:val="825"/>
        </w:trPr>
        <w:tc>
          <w:tcPr>
            <w:tcW w:w="513" w:type="dxa"/>
            <w:vMerge/>
            <w:tcBorders>
              <w:top w:val="single" w:sz="4" w:space="0" w:color="auto"/>
              <w:left w:val="single" w:sz="4" w:space="0" w:color="auto"/>
              <w:bottom w:val="single" w:sz="4" w:space="0" w:color="000000"/>
              <w:right w:val="single" w:sz="4" w:space="0" w:color="auto"/>
            </w:tcBorders>
            <w:vAlign w:val="center"/>
            <w:hideMark/>
          </w:tcPr>
          <w:p w:rsidR="00F07E05" w:rsidRPr="00BD47B7" w:rsidRDefault="00F07E05" w:rsidP="008A253E">
            <w:pPr>
              <w:rPr>
                <w:sz w:val="22"/>
                <w:szCs w:val="22"/>
              </w:rPr>
            </w:pPr>
          </w:p>
        </w:tc>
        <w:tc>
          <w:tcPr>
            <w:tcW w:w="4079" w:type="dxa"/>
            <w:vMerge/>
            <w:tcBorders>
              <w:top w:val="single" w:sz="4" w:space="0" w:color="auto"/>
              <w:left w:val="single" w:sz="4" w:space="0" w:color="auto"/>
              <w:bottom w:val="single" w:sz="4" w:space="0" w:color="000000"/>
              <w:right w:val="single" w:sz="4" w:space="0" w:color="auto"/>
            </w:tcBorders>
            <w:vAlign w:val="center"/>
            <w:hideMark/>
          </w:tcPr>
          <w:p w:rsidR="00F07E05" w:rsidRPr="00BD47B7" w:rsidRDefault="00F07E05" w:rsidP="008A253E">
            <w:pPr>
              <w:rPr>
                <w:b/>
                <w:bCs/>
                <w:sz w:val="22"/>
                <w:szCs w:val="22"/>
              </w:rPr>
            </w:pPr>
          </w:p>
        </w:tc>
        <w:tc>
          <w:tcPr>
            <w:tcW w:w="1014" w:type="dxa"/>
            <w:tcBorders>
              <w:top w:val="nil"/>
              <w:left w:val="nil"/>
              <w:bottom w:val="single" w:sz="4" w:space="0" w:color="auto"/>
              <w:right w:val="single" w:sz="4" w:space="0" w:color="auto"/>
            </w:tcBorders>
            <w:shd w:val="clear" w:color="000000" w:fill="FFFFFF"/>
            <w:vAlign w:val="bottom"/>
            <w:hideMark/>
          </w:tcPr>
          <w:p w:rsidR="00F07E05" w:rsidRPr="00BD47B7" w:rsidRDefault="00F07E05" w:rsidP="008A253E">
            <w:pPr>
              <w:jc w:val="center"/>
              <w:rPr>
                <w:sz w:val="20"/>
                <w:szCs w:val="20"/>
              </w:rPr>
            </w:pPr>
            <w:r w:rsidRPr="00BD47B7">
              <w:rPr>
                <w:sz w:val="20"/>
                <w:szCs w:val="20"/>
              </w:rPr>
              <w:t>кол-во осмотров</w:t>
            </w:r>
          </w:p>
        </w:tc>
        <w:tc>
          <w:tcPr>
            <w:tcW w:w="989" w:type="dxa"/>
            <w:tcBorders>
              <w:top w:val="nil"/>
              <w:left w:val="nil"/>
              <w:bottom w:val="single" w:sz="4" w:space="0" w:color="auto"/>
              <w:right w:val="single" w:sz="4" w:space="0" w:color="auto"/>
            </w:tcBorders>
            <w:shd w:val="clear" w:color="000000" w:fill="FFFFFF"/>
            <w:vAlign w:val="bottom"/>
            <w:hideMark/>
          </w:tcPr>
          <w:p w:rsidR="00F07E05" w:rsidRPr="00BD47B7" w:rsidRDefault="00F07E05" w:rsidP="008A253E">
            <w:pPr>
              <w:jc w:val="center"/>
              <w:rPr>
                <w:sz w:val="20"/>
                <w:szCs w:val="20"/>
              </w:rPr>
            </w:pPr>
            <w:r w:rsidRPr="00BD47B7">
              <w:rPr>
                <w:sz w:val="20"/>
                <w:szCs w:val="20"/>
              </w:rPr>
              <w:t>Цена за 1 осмотр, руб.</w:t>
            </w:r>
          </w:p>
        </w:tc>
        <w:tc>
          <w:tcPr>
            <w:tcW w:w="1485" w:type="dxa"/>
            <w:vMerge/>
            <w:tcBorders>
              <w:top w:val="nil"/>
              <w:left w:val="single" w:sz="4" w:space="0" w:color="auto"/>
              <w:bottom w:val="single" w:sz="4" w:space="0" w:color="auto"/>
              <w:right w:val="single" w:sz="4" w:space="0" w:color="auto"/>
            </w:tcBorders>
            <w:vAlign w:val="center"/>
            <w:hideMark/>
          </w:tcPr>
          <w:p w:rsidR="00F07E05" w:rsidRPr="00BD47B7" w:rsidRDefault="00F07E05" w:rsidP="008A253E">
            <w:pPr>
              <w:rPr>
                <w:b/>
                <w:bCs/>
                <w:sz w:val="22"/>
                <w:szCs w:val="22"/>
              </w:rPr>
            </w:pPr>
          </w:p>
        </w:tc>
        <w:tc>
          <w:tcPr>
            <w:tcW w:w="1003" w:type="dxa"/>
            <w:tcBorders>
              <w:top w:val="nil"/>
              <w:left w:val="nil"/>
              <w:bottom w:val="single" w:sz="4" w:space="0" w:color="auto"/>
              <w:right w:val="single" w:sz="4" w:space="0" w:color="auto"/>
            </w:tcBorders>
            <w:shd w:val="clear" w:color="000000" w:fill="FFFFFF"/>
            <w:vAlign w:val="bottom"/>
            <w:hideMark/>
          </w:tcPr>
          <w:p w:rsidR="00F07E05" w:rsidRPr="00BD47B7" w:rsidRDefault="00F07E05" w:rsidP="008A253E">
            <w:pPr>
              <w:jc w:val="center"/>
              <w:rPr>
                <w:sz w:val="20"/>
                <w:szCs w:val="20"/>
              </w:rPr>
            </w:pPr>
            <w:r w:rsidRPr="00BD47B7">
              <w:rPr>
                <w:sz w:val="20"/>
                <w:szCs w:val="20"/>
              </w:rPr>
              <w:t>Цена за 1 осмотр, руб.</w:t>
            </w:r>
          </w:p>
        </w:tc>
        <w:tc>
          <w:tcPr>
            <w:tcW w:w="1549" w:type="dxa"/>
            <w:tcBorders>
              <w:top w:val="nil"/>
              <w:left w:val="nil"/>
              <w:bottom w:val="single" w:sz="4" w:space="0" w:color="auto"/>
              <w:right w:val="single" w:sz="4" w:space="0" w:color="auto"/>
            </w:tcBorders>
            <w:shd w:val="clear" w:color="000000" w:fill="FFFFFF"/>
            <w:vAlign w:val="bottom"/>
            <w:hideMark/>
          </w:tcPr>
          <w:p w:rsidR="00F07E05" w:rsidRPr="00BD47B7" w:rsidRDefault="00F07E05" w:rsidP="008A253E">
            <w:pPr>
              <w:jc w:val="center"/>
              <w:rPr>
                <w:sz w:val="20"/>
                <w:szCs w:val="20"/>
              </w:rPr>
            </w:pPr>
            <w:r w:rsidRPr="00BD47B7">
              <w:rPr>
                <w:sz w:val="20"/>
                <w:szCs w:val="20"/>
              </w:rPr>
              <w:t>Стоимость услуг, руб</w:t>
            </w:r>
          </w:p>
        </w:tc>
        <w:tc>
          <w:tcPr>
            <w:tcW w:w="1073" w:type="dxa"/>
            <w:tcBorders>
              <w:top w:val="nil"/>
              <w:left w:val="nil"/>
              <w:bottom w:val="single" w:sz="4" w:space="0" w:color="auto"/>
              <w:right w:val="single" w:sz="4" w:space="0" w:color="auto"/>
            </w:tcBorders>
            <w:shd w:val="clear" w:color="000000" w:fill="FFFFFF"/>
            <w:vAlign w:val="bottom"/>
            <w:hideMark/>
          </w:tcPr>
          <w:p w:rsidR="00F07E05" w:rsidRPr="00BD47B7" w:rsidRDefault="00F07E05" w:rsidP="008A253E">
            <w:pPr>
              <w:jc w:val="center"/>
              <w:rPr>
                <w:sz w:val="20"/>
                <w:szCs w:val="20"/>
              </w:rPr>
            </w:pPr>
            <w:r w:rsidRPr="00BD47B7">
              <w:rPr>
                <w:sz w:val="20"/>
                <w:szCs w:val="20"/>
              </w:rPr>
              <w:t>Цена за 1 осмотр, руб.</w:t>
            </w:r>
          </w:p>
        </w:tc>
        <w:tc>
          <w:tcPr>
            <w:tcW w:w="1478" w:type="dxa"/>
            <w:tcBorders>
              <w:top w:val="nil"/>
              <w:left w:val="nil"/>
              <w:bottom w:val="single" w:sz="4" w:space="0" w:color="auto"/>
              <w:right w:val="single" w:sz="4" w:space="0" w:color="auto"/>
            </w:tcBorders>
            <w:shd w:val="clear" w:color="000000" w:fill="FFFFFF"/>
            <w:vAlign w:val="bottom"/>
            <w:hideMark/>
          </w:tcPr>
          <w:p w:rsidR="00F07E05" w:rsidRPr="00BD47B7" w:rsidRDefault="00F07E05" w:rsidP="008A253E">
            <w:pPr>
              <w:jc w:val="center"/>
              <w:rPr>
                <w:sz w:val="20"/>
                <w:szCs w:val="20"/>
              </w:rPr>
            </w:pPr>
            <w:r w:rsidRPr="00BD47B7">
              <w:rPr>
                <w:sz w:val="20"/>
                <w:szCs w:val="20"/>
              </w:rPr>
              <w:t>Стоимость услуг, руб</w:t>
            </w:r>
          </w:p>
        </w:tc>
        <w:tc>
          <w:tcPr>
            <w:tcW w:w="1115" w:type="dxa"/>
            <w:tcBorders>
              <w:top w:val="nil"/>
              <w:left w:val="nil"/>
              <w:bottom w:val="single" w:sz="4" w:space="0" w:color="auto"/>
              <w:right w:val="single" w:sz="4" w:space="0" w:color="auto"/>
            </w:tcBorders>
            <w:shd w:val="clear" w:color="000000" w:fill="FFFFFF"/>
            <w:vAlign w:val="bottom"/>
            <w:hideMark/>
          </w:tcPr>
          <w:p w:rsidR="00F07E05" w:rsidRPr="00BD47B7" w:rsidRDefault="00F07E05" w:rsidP="008A253E">
            <w:pPr>
              <w:jc w:val="center"/>
              <w:rPr>
                <w:sz w:val="20"/>
                <w:szCs w:val="20"/>
              </w:rPr>
            </w:pPr>
            <w:r w:rsidRPr="00BD47B7">
              <w:rPr>
                <w:sz w:val="20"/>
                <w:szCs w:val="20"/>
              </w:rPr>
              <w:t>Цена за 1 осмотр, руб.</w:t>
            </w:r>
          </w:p>
        </w:tc>
        <w:tc>
          <w:tcPr>
            <w:tcW w:w="1579" w:type="dxa"/>
            <w:tcBorders>
              <w:top w:val="nil"/>
              <w:left w:val="nil"/>
              <w:bottom w:val="single" w:sz="4" w:space="0" w:color="auto"/>
              <w:right w:val="single" w:sz="4" w:space="0" w:color="auto"/>
            </w:tcBorders>
            <w:shd w:val="clear" w:color="000000" w:fill="FFFFFF"/>
            <w:vAlign w:val="bottom"/>
            <w:hideMark/>
          </w:tcPr>
          <w:p w:rsidR="00F07E05" w:rsidRPr="00BD47B7" w:rsidRDefault="00F07E05" w:rsidP="008A253E">
            <w:pPr>
              <w:jc w:val="center"/>
              <w:rPr>
                <w:sz w:val="20"/>
                <w:szCs w:val="20"/>
              </w:rPr>
            </w:pPr>
            <w:r w:rsidRPr="00BD47B7">
              <w:rPr>
                <w:sz w:val="20"/>
                <w:szCs w:val="20"/>
              </w:rPr>
              <w:t>Стоимость услуг, руб</w:t>
            </w:r>
          </w:p>
        </w:tc>
      </w:tr>
      <w:tr w:rsidR="00F07E05" w:rsidTr="008A253E">
        <w:trPr>
          <w:trHeight w:val="300"/>
        </w:trPr>
        <w:tc>
          <w:tcPr>
            <w:tcW w:w="513" w:type="dxa"/>
            <w:tcBorders>
              <w:top w:val="nil"/>
              <w:left w:val="single" w:sz="4" w:space="0" w:color="auto"/>
              <w:bottom w:val="single" w:sz="4" w:space="0" w:color="auto"/>
              <w:right w:val="single" w:sz="4" w:space="0" w:color="auto"/>
            </w:tcBorders>
            <w:shd w:val="clear" w:color="000000" w:fill="FFFFFF"/>
            <w:vAlign w:val="bottom"/>
            <w:hideMark/>
          </w:tcPr>
          <w:p w:rsidR="00F07E05" w:rsidRPr="00BD47B7" w:rsidRDefault="00F07E05" w:rsidP="008A253E">
            <w:pPr>
              <w:jc w:val="center"/>
              <w:rPr>
                <w:sz w:val="22"/>
                <w:szCs w:val="22"/>
              </w:rPr>
            </w:pPr>
            <w:r w:rsidRPr="00BD47B7">
              <w:rPr>
                <w:sz w:val="22"/>
                <w:szCs w:val="22"/>
              </w:rPr>
              <w:t>1</w:t>
            </w:r>
          </w:p>
        </w:tc>
        <w:tc>
          <w:tcPr>
            <w:tcW w:w="4079" w:type="dxa"/>
            <w:tcBorders>
              <w:top w:val="nil"/>
              <w:left w:val="nil"/>
              <w:bottom w:val="single" w:sz="4" w:space="0" w:color="auto"/>
              <w:right w:val="single" w:sz="4" w:space="0" w:color="auto"/>
            </w:tcBorders>
            <w:shd w:val="clear" w:color="auto" w:fill="auto"/>
            <w:noWrap/>
            <w:vAlign w:val="bottom"/>
            <w:hideMark/>
          </w:tcPr>
          <w:p w:rsidR="00F07E05" w:rsidRPr="00BD47B7" w:rsidRDefault="00F07E05" w:rsidP="008A253E">
            <w:pPr>
              <w:rPr>
                <w:color w:val="000000"/>
                <w:sz w:val="22"/>
                <w:szCs w:val="22"/>
              </w:rPr>
            </w:pPr>
            <w:r w:rsidRPr="00BD47B7">
              <w:rPr>
                <w:color w:val="000000"/>
                <w:sz w:val="22"/>
                <w:szCs w:val="22"/>
              </w:rPr>
              <w:t>АО РН-Тверь</w:t>
            </w:r>
          </w:p>
        </w:tc>
        <w:tc>
          <w:tcPr>
            <w:tcW w:w="1014" w:type="dxa"/>
            <w:tcBorders>
              <w:top w:val="nil"/>
              <w:left w:val="nil"/>
              <w:bottom w:val="single" w:sz="4" w:space="0" w:color="auto"/>
              <w:right w:val="single" w:sz="4" w:space="0" w:color="auto"/>
            </w:tcBorders>
            <w:shd w:val="clear" w:color="000000" w:fill="FFFFFF"/>
            <w:vAlign w:val="bottom"/>
            <w:hideMark/>
          </w:tcPr>
          <w:p w:rsidR="00F07E05" w:rsidRPr="00BD47B7" w:rsidRDefault="00F07E05" w:rsidP="008A253E">
            <w:pPr>
              <w:jc w:val="center"/>
            </w:pPr>
            <w:r w:rsidRPr="00BD47B7">
              <w:t>1050</w:t>
            </w:r>
          </w:p>
        </w:tc>
        <w:tc>
          <w:tcPr>
            <w:tcW w:w="989" w:type="dxa"/>
            <w:tcBorders>
              <w:top w:val="nil"/>
              <w:left w:val="nil"/>
              <w:bottom w:val="single" w:sz="4" w:space="0" w:color="auto"/>
              <w:right w:val="single" w:sz="4" w:space="0" w:color="auto"/>
            </w:tcBorders>
            <w:shd w:val="clear" w:color="000000" w:fill="FFFFFF"/>
            <w:vAlign w:val="bottom"/>
            <w:hideMark/>
          </w:tcPr>
          <w:p w:rsidR="00F07E05" w:rsidRPr="00BD47B7" w:rsidRDefault="00F07E05" w:rsidP="008A253E">
            <w:pPr>
              <w:jc w:val="center"/>
            </w:pPr>
            <w:r w:rsidRPr="00BD47B7">
              <w:t>40</w:t>
            </w:r>
          </w:p>
        </w:tc>
        <w:tc>
          <w:tcPr>
            <w:tcW w:w="1485" w:type="dxa"/>
            <w:tcBorders>
              <w:top w:val="nil"/>
              <w:left w:val="nil"/>
              <w:bottom w:val="single" w:sz="4" w:space="0" w:color="auto"/>
              <w:right w:val="single" w:sz="4" w:space="0" w:color="auto"/>
            </w:tcBorders>
            <w:shd w:val="clear" w:color="auto" w:fill="auto"/>
            <w:noWrap/>
            <w:vAlign w:val="bottom"/>
            <w:hideMark/>
          </w:tcPr>
          <w:p w:rsidR="00F07E05" w:rsidRPr="00BD47B7" w:rsidRDefault="00F07E05" w:rsidP="008A253E">
            <w:pPr>
              <w:jc w:val="right"/>
              <w:rPr>
                <w:color w:val="000000"/>
              </w:rPr>
            </w:pPr>
            <w:r w:rsidRPr="00BD47B7">
              <w:rPr>
                <w:color w:val="000000"/>
              </w:rPr>
              <w:t>42 000,00</w:t>
            </w:r>
          </w:p>
        </w:tc>
        <w:tc>
          <w:tcPr>
            <w:tcW w:w="1003" w:type="dxa"/>
            <w:tcBorders>
              <w:top w:val="nil"/>
              <w:left w:val="nil"/>
              <w:bottom w:val="single" w:sz="4" w:space="0" w:color="auto"/>
              <w:right w:val="single" w:sz="4" w:space="0" w:color="auto"/>
            </w:tcBorders>
            <w:shd w:val="clear" w:color="000000" w:fill="FFFFFF"/>
            <w:noWrap/>
            <w:vAlign w:val="bottom"/>
            <w:hideMark/>
          </w:tcPr>
          <w:p w:rsidR="00F07E05" w:rsidRPr="00BD47B7" w:rsidRDefault="00F07E05" w:rsidP="008A253E">
            <w:pPr>
              <w:jc w:val="center"/>
            </w:pPr>
            <w:r w:rsidRPr="00BD47B7">
              <w:t>41,6</w:t>
            </w:r>
          </w:p>
        </w:tc>
        <w:tc>
          <w:tcPr>
            <w:tcW w:w="1549" w:type="dxa"/>
            <w:tcBorders>
              <w:top w:val="nil"/>
              <w:left w:val="nil"/>
              <w:bottom w:val="single" w:sz="4" w:space="0" w:color="auto"/>
              <w:right w:val="single" w:sz="4" w:space="0" w:color="auto"/>
            </w:tcBorders>
            <w:shd w:val="clear" w:color="000000" w:fill="FFFFFF"/>
            <w:noWrap/>
            <w:vAlign w:val="bottom"/>
            <w:hideMark/>
          </w:tcPr>
          <w:p w:rsidR="00F07E05" w:rsidRPr="00BD47B7" w:rsidRDefault="00F07E05" w:rsidP="008A253E">
            <w:pPr>
              <w:jc w:val="center"/>
            </w:pPr>
            <w:r w:rsidRPr="00BD47B7">
              <w:t>43 680,00</w:t>
            </w:r>
          </w:p>
        </w:tc>
        <w:tc>
          <w:tcPr>
            <w:tcW w:w="1073" w:type="dxa"/>
            <w:tcBorders>
              <w:top w:val="nil"/>
              <w:left w:val="nil"/>
              <w:bottom w:val="single" w:sz="4" w:space="0" w:color="auto"/>
              <w:right w:val="single" w:sz="4" w:space="0" w:color="auto"/>
            </w:tcBorders>
            <w:shd w:val="clear" w:color="000000" w:fill="FFFFFF"/>
            <w:noWrap/>
            <w:vAlign w:val="bottom"/>
            <w:hideMark/>
          </w:tcPr>
          <w:p w:rsidR="00F07E05" w:rsidRPr="00BD47B7" w:rsidRDefault="00F07E05" w:rsidP="008A253E">
            <w:pPr>
              <w:jc w:val="center"/>
            </w:pPr>
            <w:r w:rsidRPr="00BD47B7">
              <w:t>43,26</w:t>
            </w:r>
          </w:p>
        </w:tc>
        <w:tc>
          <w:tcPr>
            <w:tcW w:w="1478" w:type="dxa"/>
            <w:tcBorders>
              <w:top w:val="nil"/>
              <w:left w:val="nil"/>
              <w:bottom w:val="single" w:sz="4" w:space="0" w:color="auto"/>
              <w:right w:val="single" w:sz="4" w:space="0" w:color="auto"/>
            </w:tcBorders>
            <w:shd w:val="clear" w:color="000000" w:fill="FFFFFF"/>
            <w:noWrap/>
            <w:vAlign w:val="bottom"/>
            <w:hideMark/>
          </w:tcPr>
          <w:p w:rsidR="00F07E05" w:rsidRPr="00BD47B7" w:rsidRDefault="00F07E05" w:rsidP="008A253E">
            <w:pPr>
              <w:jc w:val="center"/>
            </w:pPr>
            <w:r w:rsidRPr="00BD47B7">
              <w:t>45 427,20</w:t>
            </w:r>
          </w:p>
        </w:tc>
        <w:tc>
          <w:tcPr>
            <w:tcW w:w="1115" w:type="dxa"/>
            <w:tcBorders>
              <w:top w:val="nil"/>
              <w:left w:val="nil"/>
              <w:bottom w:val="single" w:sz="4" w:space="0" w:color="auto"/>
              <w:right w:val="single" w:sz="4" w:space="0" w:color="auto"/>
            </w:tcBorders>
            <w:shd w:val="clear" w:color="000000" w:fill="FFFFFF"/>
            <w:noWrap/>
            <w:vAlign w:val="bottom"/>
            <w:hideMark/>
          </w:tcPr>
          <w:p w:rsidR="00F07E05" w:rsidRPr="00BD47B7" w:rsidRDefault="00F07E05" w:rsidP="008A253E">
            <w:pPr>
              <w:jc w:val="center"/>
            </w:pPr>
            <w:r w:rsidRPr="00BD47B7">
              <w:t>44,99</w:t>
            </w:r>
          </w:p>
        </w:tc>
        <w:tc>
          <w:tcPr>
            <w:tcW w:w="1579" w:type="dxa"/>
            <w:tcBorders>
              <w:top w:val="nil"/>
              <w:left w:val="nil"/>
              <w:bottom w:val="single" w:sz="4" w:space="0" w:color="auto"/>
              <w:right w:val="single" w:sz="4" w:space="0" w:color="auto"/>
            </w:tcBorders>
            <w:shd w:val="clear" w:color="000000" w:fill="FFFFFF"/>
            <w:noWrap/>
            <w:vAlign w:val="bottom"/>
            <w:hideMark/>
          </w:tcPr>
          <w:p w:rsidR="00F07E05" w:rsidRPr="00BD47B7" w:rsidRDefault="00F07E05" w:rsidP="008A253E">
            <w:pPr>
              <w:jc w:val="center"/>
            </w:pPr>
            <w:r w:rsidRPr="00BD47B7">
              <w:t>47 244,29</w:t>
            </w:r>
          </w:p>
        </w:tc>
      </w:tr>
      <w:tr w:rsidR="00F07E05" w:rsidTr="008A253E">
        <w:trPr>
          <w:trHeight w:val="300"/>
        </w:trPr>
        <w:tc>
          <w:tcPr>
            <w:tcW w:w="513" w:type="dxa"/>
            <w:tcBorders>
              <w:top w:val="nil"/>
              <w:left w:val="single" w:sz="4" w:space="0" w:color="auto"/>
              <w:bottom w:val="single" w:sz="4" w:space="0" w:color="auto"/>
              <w:right w:val="single" w:sz="4" w:space="0" w:color="auto"/>
            </w:tcBorders>
            <w:shd w:val="clear" w:color="000000" w:fill="FFFFFF"/>
            <w:vAlign w:val="bottom"/>
            <w:hideMark/>
          </w:tcPr>
          <w:p w:rsidR="00F07E05" w:rsidRPr="00BD47B7" w:rsidRDefault="00F07E05" w:rsidP="008A253E">
            <w:pPr>
              <w:jc w:val="center"/>
              <w:rPr>
                <w:sz w:val="22"/>
                <w:szCs w:val="22"/>
              </w:rPr>
            </w:pPr>
            <w:r w:rsidRPr="00BD47B7">
              <w:rPr>
                <w:sz w:val="22"/>
                <w:szCs w:val="22"/>
              </w:rPr>
              <w:t>2</w:t>
            </w:r>
          </w:p>
        </w:tc>
        <w:tc>
          <w:tcPr>
            <w:tcW w:w="4079" w:type="dxa"/>
            <w:tcBorders>
              <w:top w:val="nil"/>
              <w:left w:val="nil"/>
              <w:bottom w:val="single" w:sz="4" w:space="0" w:color="auto"/>
              <w:right w:val="single" w:sz="4" w:space="0" w:color="auto"/>
            </w:tcBorders>
            <w:shd w:val="clear" w:color="auto" w:fill="auto"/>
            <w:noWrap/>
            <w:vAlign w:val="bottom"/>
            <w:hideMark/>
          </w:tcPr>
          <w:p w:rsidR="00F07E05" w:rsidRPr="00BD47B7" w:rsidRDefault="00F07E05" w:rsidP="008A253E">
            <w:pPr>
              <w:rPr>
                <w:color w:val="000000"/>
                <w:sz w:val="22"/>
                <w:szCs w:val="22"/>
              </w:rPr>
            </w:pPr>
            <w:r w:rsidRPr="00BD47B7">
              <w:rPr>
                <w:color w:val="000000"/>
                <w:sz w:val="22"/>
                <w:szCs w:val="22"/>
              </w:rPr>
              <w:t>ФГУП "ГРЧЦ"</w:t>
            </w:r>
          </w:p>
        </w:tc>
        <w:tc>
          <w:tcPr>
            <w:tcW w:w="1014" w:type="dxa"/>
            <w:tcBorders>
              <w:top w:val="nil"/>
              <w:left w:val="nil"/>
              <w:bottom w:val="single" w:sz="4" w:space="0" w:color="auto"/>
              <w:right w:val="single" w:sz="4" w:space="0" w:color="auto"/>
            </w:tcBorders>
            <w:shd w:val="clear" w:color="000000" w:fill="FFFFFF"/>
            <w:vAlign w:val="bottom"/>
            <w:hideMark/>
          </w:tcPr>
          <w:p w:rsidR="00F07E05" w:rsidRPr="00BD47B7" w:rsidRDefault="00F07E05" w:rsidP="008A253E">
            <w:pPr>
              <w:jc w:val="center"/>
            </w:pPr>
            <w:r w:rsidRPr="00BD47B7">
              <w:t>613</w:t>
            </w:r>
          </w:p>
        </w:tc>
        <w:tc>
          <w:tcPr>
            <w:tcW w:w="989" w:type="dxa"/>
            <w:tcBorders>
              <w:top w:val="nil"/>
              <w:left w:val="nil"/>
              <w:bottom w:val="single" w:sz="4" w:space="0" w:color="auto"/>
              <w:right w:val="single" w:sz="4" w:space="0" w:color="auto"/>
            </w:tcBorders>
            <w:shd w:val="clear" w:color="000000" w:fill="FFFFFF"/>
            <w:vAlign w:val="bottom"/>
            <w:hideMark/>
          </w:tcPr>
          <w:p w:rsidR="00F07E05" w:rsidRPr="00BD47B7" w:rsidRDefault="00F07E05" w:rsidP="008A253E">
            <w:pPr>
              <w:jc w:val="center"/>
            </w:pPr>
            <w:r w:rsidRPr="00BD47B7">
              <w:t>40</w:t>
            </w:r>
          </w:p>
        </w:tc>
        <w:tc>
          <w:tcPr>
            <w:tcW w:w="1485" w:type="dxa"/>
            <w:tcBorders>
              <w:top w:val="nil"/>
              <w:left w:val="nil"/>
              <w:bottom w:val="single" w:sz="4" w:space="0" w:color="auto"/>
              <w:right w:val="single" w:sz="4" w:space="0" w:color="auto"/>
            </w:tcBorders>
            <w:shd w:val="clear" w:color="auto" w:fill="auto"/>
            <w:noWrap/>
            <w:vAlign w:val="bottom"/>
            <w:hideMark/>
          </w:tcPr>
          <w:p w:rsidR="00F07E05" w:rsidRPr="00BD47B7" w:rsidRDefault="00F07E05" w:rsidP="008A253E">
            <w:pPr>
              <w:jc w:val="right"/>
              <w:rPr>
                <w:color w:val="000000"/>
              </w:rPr>
            </w:pPr>
            <w:r w:rsidRPr="00BD47B7">
              <w:rPr>
                <w:color w:val="000000"/>
              </w:rPr>
              <w:t>24 520,00</w:t>
            </w:r>
          </w:p>
        </w:tc>
        <w:tc>
          <w:tcPr>
            <w:tcW w:w="1003" w:type="dxa"/>
            <w:tcBorders>
              <w:top w:val="nil"/>
              <w:left w:val="nil"/>
              <w:bottom w:val="single" w:sz="4" w:space="0" w:color="auto"/>
              <w:right w:val="single" w:sz="4" w:space="0" w:color="auto"/>
            </w:tcBorders>
            <w:shd w:val="clear" w:color="000000" w:fill="FFFFFF"/>
            <w:noWrap/>
            <w:vAlign w:val="bottom"/>
            <w:hideMark/>
          </w:tcPr>
          <w:p w:rsidR="00F07E05" w:rsidRPr="00BD47B7" w:rsidRDefault="00F07E05" w:rsidP="008A253E">
            <w:pPr>
              <w:jc w:val="center"/>
            </w:pPr>
            <w:r w:rsidRPr="00BD47B7">
              <w:t>41,6</w:t>
            </w:r>
          </w:p>
        </w:tc>
        <w:tc>
          <w:tcPr>
            <w:tcW w:w="1549" w:type="dxa"/>
            <w:tcBorders>
              <w:top w:val="nil"/>
              <w:left w:val="nil"/>
              <w:bottom w:val="single" w:sz="4" w:space="0" w:color="auto"/>
              <w:right w:val="single" w:sz="4" w:space="0" w:color="auto"/>
            </w:tcBorders>
            <w:shd w:val="clear" w:color="000000" w:fill="FFFFFF"/>
            <w:noWrap/>
            <w:vAlign w:val="bottom"/>
            <w:hideMark/>
          </w:tcPr>
          <w:p w:rsidR="00F07E05" w:rsidRPr="00BD47B7" w:rsidRDefault="00F07E05" w:rsidP="008A253E">
            <w:pPr>
              <w:jc w:val="center"/>
            </w:pPr>
            <w:r w:rsidRPr="00BD47B7">
              <w:t>25 500,80</w:t>
            </w:r>
          </w:p>
        </w:tc>
        <w:tc>
          <w:tcPr>
            <w:tcW w:w="1073" w:type="dxa"/>
            <w:tcBorders>
              <w:top w:val="nil"/>
              <w:left w:val="nil"/>
              <w:bottom w:val="single" w:sz="4" w:space="0" w:color="auto"/>
              <w:right w:val="single" w:sz="4" w:space="0" w:color="auto"/>
            </w:tcBorders>
            <w:shd w:val="clear" w:color="000000" w:fill="FFFFFF"/>
            <w:noWrap/>
            <w:vAlign w:val="bottom"/>
            <w:hideMark/>
          </w:tcPr>
          <w:p w:rsidR="00F07E05" w:rsidRPr="00BD47B7" w:rsidRDefault="00F07E05" w:rsidP="008A253E">
            <w:pPr>
              <w:jc w:val="center"/>
            </w:pPr>
            <w:r w:rsidRPr="00BD47B7">
              <w:t>43,26</w:t>
            </w:r>
          </w:p>
        </w:tc>
        <w:tc>
          <w:tcPr>
            <w:tcW w:w="1478" w:type="dxa"/>
            <w:tcBorders>
              <w:top w:val="nil"/>
              <w:left w:val="nil"/>
              <w:bottom w:val="single" w:sz="4" w:space="0" w:color="auto"/>
              <w:right w:val="single" w:sz="4" w:space="0" w:color="auto"/>
            </w:tcBorders>
            <w:shd w:val="clear" w:color="000000" w:fill="FFFFFF"/>
            <w:noWrap/>
            <w:vAlign w:val="bottom"/>
            <w:hideMark/>
          </w:tcPr>
          <w:p w:rsidR="00F07E05" w:rsidRPr="00BD47B7" w:rsidRDefault="00F07E05" w:rsidP="008A253E">
            <w:pPr>
              <w:jc w:val="center"/>
            </w:pPr>
            <w:r w:rsidRPr="00BD47B7">
              <w:t>26 520,83</w:t>
            </w:r>
          </w:p>
        </w:tc>
        <w:tc>
          <w:tcPr>
            <w:tcW w:w="1115" w:type="dxa"/>
            <w:tcBorders>
              <w:top w:val="nil"/>
              <w:left w:val="nil"/>
              <w:bottom w:val="single" w:sz="4" w:space="0" w:color="auto"/>
              <w:right w:val="single" w:sz="4" w:space="0" w:color="auto"/>
            </w:tcBorders>
            <w:shd w:val="clear" w:color="000000" w:fill="FFFFFF"/>
            <w:noWrap/>
            <w:vAlign w:val="bottom"/>
            <w:hideMark/>
          </w:tcPr>
          <w:p w:rsidR="00F07E05" w:rsidRPr="00BD47B7" w:rsidRDefault="00F07E05" w:rsidP="008A253E">
            <w:pPr>
              <w:jc w:val="center"/>
            </w:pPr>
            <w:r w:rsidRPr="00BD47B7">
              <w:t>44,99</w:t>
            </w:r>
          </w:p>
        </w:tc>
        <w:tc>
          <w:tcPr>
            <w:tcW w:w="1579" w:type="dxa"/>
            <w:tcBorders>
              <w:top w:val="nil"/>
              <w:left w:val="nil"/>
              <w:bottom w:val="single" w:sz="4" w:space="0" w:color="auto"/>
              <w:right w:val="single" w:sz="4" w:space="0" w:color="auto"/>
            </w:tcBorders>
            <w:shd w:val="clear" w:color="000000" w:fill="FFFFFF"/>
            <w:noWrap/>
            <w:vAlign w:val="bottom"/>
            <w:hideMark/>
          </w:tcPr>
          <w:p w:rsidR="00F07E05" w:rsidRPr="00BD47B7" w:rsidRDefault="00F07E05" w:rsidP="008A253E">
            <w:pPr>
              <w:jc w:val="center"/>
            </w:pPr>
            <w:r w:rsidRPr="00BD47B7">
              <w:t>27 581,67</w:t>
            </w:r>
          </w:p>
        </w:tc>
      </w:tr>
      <w:tr w:rsidR="00F07E05" w:rsidTr="008A253E">
        <w:trPr>
          <w:trHeight w:val="300"/>
        </w:trPr>
        <w:tc>
          <w:tcPr>
            <w:tcW w:w="513" w:type="dxa"/>
            <w:tcBorders>
              <w:top w:val="nil"/>
              <w:left w:val="single" w:sz="4" w:space="0" w:color="auto"/>
              <w:bottom w:val="single" w:sz="4" w:space="0" w:color="auto"/>
              <w:right w:val="single" w:sz="4" w:space="0" w:color="auto"/>
            </w:tcBorders>
            <w:shd w:val="clear" w:color="000000" w:fill="FFFFFF"/>
            <w:vAlign w:val="bottom"/>
            <w:hideMark/>
          </w:tcPr>
          <w:p w:rsidR="00F07E05" w:rsidRPr="00BD47B7" w:rsidRDefault="00F07E05" w:rsidP="008A253E">
            <w:pPr>
              <w:jc w:val="center"/>
              <w:rPr>
                <w:sz w:val="22"/>
                <w:szCs w:val="22"/>
              </w:rPr>
            </w:pPr>
            <w:r w:rsidRPr="00BD47B7">
              <w:rPr>
                <w:sz w:val="22"/>
                <w:szCs w:val="22"/>
              </w:rPr>
              <w:t>3</w:t>
            </w:r>
          </w:p>
        </w:tc>
        <w:tc>
          <w:tcPr>
            <w:tcW w:w="4079" w:type="dxa"/>
            <w:tcBorders>
              <w:top w:val="nil"/>
              <w:left w:val="nil"/>
              <w:bottom w:val="single" w:sz="4" w:space="0" w:color="auto"/>
              <w:right w:val="single" w:sz="4" w:space="0" w:color="auto"/>
            </w:tcBorders>
            <w:shd w:val="clear" w:color="auto" w:fill="auto"/>
            <w:noWrap/>
            <w:vAlign w:val="bottom"/>
            <w:hideMark/>
          </w:tcPr>
          <w:p w:rsidR="00F07E05" w:rsidRPr="00BD47B7" w:rsidRDefault="00F07E05" w:rsidP="008A253E">
            <w:pPr>
              <w:rPr>
                <w:color w:val="000000"/>
                <w:sz w:val="22"/>
                <w:szCs w:val="22"/>
              </w:rPr>
            </w:pPr>
            <w:r w:rsidRPr="00BD47B7">
              <w:rPr>
                <w:color w:val="000000"/>
                <w:sz w:val="22"/>
                <w:szCs w:val="22"/>
              </w:rPr>
              <w:t>Государственная инспекция труда</w:t>
            </w:r>
          </w:p>
        </w:tc>
        <w:tc>
          <w:tcPr>
            <w:tcW w:w="1014" w:type="dxa"/>
            <w:tcBorders>
              <w:top w:val="nil"/>
              <w:left w:val="nil"/>
              <w:bottom w:val="single" w:sz="4" w:space="0" w:color="auto"/>
              <w:right w:val="single" w:sz="4" w:space="0" w:color="auto"/>
            </w:tcBorders>
            <w:shd w:val="clear" w:color="000000" w:fill="FFFFFF"/>
            <w:vAlign w:val="bottom"/>
            <w:hideMark/>
          </w:tcPr>
          <w:p w:rsidR="00F07E05" w:rsidRPr="00BD47B7" w:rsidRDefault="00F07E05" w:rsidP="008A253E">
            <w:pPr>
              <w:jc w:val="center"/>
            </w:pPr>
            <w:r w:rsidRPr="00BD47B7">
              <w:t>350</w:t>
            </w:r>
          </w:p>
        </w:tc>
        <w:tc>
          <w:tcPr>
            <w:tcW w:w="989" w:type="dxa"/>
            <w:tcBorders>
              <w:top w:val="nil"/>
              <w:left w:val="nil"/>
              <w:bottom w:val="single" w:sz="4" w:space="0" w:color="auto"/>
              <w:right w:val="single" w:sz="4" w:space="0" w:color="auto"/>
            </w:tcBorders>
            <w:shd w:val="clear" w:color="000000" w:fill="FFFFFF"/>
            <w:vAlign w:val="bottom"/>
            <w:hideMark/>
          </w:tcPr>
          <w:p w:rsidR="00F07E05" w:rsidRPr="00BD47B7" w:rsidRDefault="00F07E05" w:rsidP="008A253E">
            <w:pPr>
              <w:jc w:val="center"/>
            </w:pPr>
            <w:r w:rsidRPr="00BD47B7">
              <w:t>40</w:t>
            </w:r>
          </w:p>
        </w:tc>
        <w:tc>
          <w:tcPr>
            <w:tcW w:w="1485" w:type="dxa"/>
            <w:tcBorders>
              <w:top w:val="nil"/>
              <w:left w:val="nil"/>
              <w:bottom w:val="single" w:sz="4" w:space="0" w:color="auto"/>
              <w:right w:val="single" w:sz="4" w:space="0" w:color="auto"/>
            </w:tcBorders>
            <w:shd w:val="clear" w:color="auto" w:fill="auto"/>
            <w:noWrap/>
            <w:vAlign w:val="bottom"/>
            <w:hideMark/>
          </w:tcPr>
          <w:p w:rsidR="00F07E05" w:rsidRPr="00BD47B7" w:rsidRDefault="00F07E05" w:rsidP="008A253E">
            <w:pPr>
              <w:jc w:val="right"/>
              <w:rPr>
                <w:color w:val="000000"/>
              </w:rPr>
            </w:pPr>
            <w:r w:rsidRPr="00BD47B7">
              <w:rPr>
                <w:color w:val="000000"/>
              </w:rPr>
              <w:t>14 000,00</w:t>
            </w:r>
          </w:p>
        </w:tc>
        <w:tc>
          <w:tcPr>
            <w:tcW w:w="1003" w:type="dxa"/>
            <w:tcBorders>
              <w:top w:val="nil"/>
              <w:left w:val="nil"/>
              <w:bottom w:val="single" w:sz="4" w:space="0" w:color="auto"/>
              <w:right w:val="single" w:sz="4" w:space="0" w:color="auto"/>
            </w:tcBorders>
            <w:shd w:val="clear" w:color="000000" w:fill="FFFFFF"/>
            <w:noWrap/>
            <w:vAlign w:val="bottom"/>
            <w:hideMark/>
          </w:tcPr>
          <w:p w:rsidR="00F07E05" w:rsidRPr="00BD47B7" w:rsidRDefault="00F07E05" w:rsidP="008A253E">
            <w:pPr>
              <w:jc w:val="center"/>
            </w:pPr>
            <w:r w:rsidRPr="00BD47B7">
              <w:t>41,6</w:t>
            </w:r>
          </w:p>
        </w:tc>
        <w:tc>
          <w:tcPr>
            <w:tcW w:w="1549" w:type="dxa"/>
            <w:tcBorders>
              <w:top w:val="nil"/>
              <w:left w:val="nil"/>
              <w:bottom w:val="single" w:sz="4" w:space="0" w:color="auto"/>
              <w:right w:val="single" w:sz="4" w:space="0" w:color="auto"/>
            </w:tcBorders>
            <w:shd w:val="clear" w:color="000000" w:fill="FFFFFF"/>
            <w:noWrap/>
            <w:vAlign w:val="bottom"/>
            <w:hideMark/>
          </w:tcPr>
          <w:p w:rsidR="00F07E05" w:rsidRPr="00BD47B7" w:rsidRDefault="00F07E05" w:rsidP="008A253E">
            <w:pPr>
              <w:jc w:val="center"/>
            </w:pPr>
            <w:r w:rsidRPr="00BD47B7">
              <w:t>14 560,00</w:t>
            </w:r>
          </w:p>
        </w:tc>
        <w:tc>
          <w:tcPr>
            <w:tcW w:w="1073" w:type="dxa"/>
            <w:tcBorders>
              <w:top w:val="nil"/>
              <w:left w:val="nil"/>
              <w:bottom w:val="single" w:sz="4" w:space="0" w:color="auto"/>
              <w:right w:val="single" w:sz="4" w:space="0" w:color="auto"/>
            </w:tcBorders>
            <w:shd w:val="clear" w:color="000000" w:fill="FFFFFF"/>
            <w:noWrap/>
            <w:vAlign w:val="bottom"/>
            <w:hideMark/>
          </w:tcPr>
          <w:p w:rsidR="00F07E05" w:rsidRPr="00BD47B7" w:rsidRDefault="00F07E05" w:rsidP="008A253E">
            <w:pPr>
              <w:jc w:val="center"/>
            </w:pPr>
            <w:r w:rsidRPr="00BD47B7">
              <w:t>43,26</w:t>
            </w:r>
          </w:p>
        </w:tc>
        <w:tc>
          <w:tcPr>
            <w:tcW w:w="1478" w:type="dxa"/>
            <w:tcBorders>
              <w:top w:val="nil"/>
              <w:left w:val="nil"/>
              <w:bottom w:val="single" w:sz="4" w:space="0" w:color="auto"/>
              <w:right w:val="single" w:sz="4" w:space="0" w:color="auto"/>
            </w:tcBorders>
            <w:shd w:val="clear" w:color="000000" w:fill="FFFFFF"/>
            <w:noWrap/>
            <w:vAlign w:val="bottom"/>
            <w:hideMark/>
          </w:tcPr>
          <w:p w:rsidR="00F07E05" w:rsidRPr="00BD47B7" w:rsidRDefault="00F07E05" w:rsidP="008A253E">
            <w:pPr>
              <w:jc w:val="center"/>
            </w:pPr>
            <w:r w:rsidRPr="00BD47B7">
              <w:t>15 142,40</w:t>
            </w:r>
          </w:p>
        </w:tc>
        <w:tc>
          <w:tcPr>
            <w:tcW w:w="1115" w:type="dxa"/>
            <w:tcBorders>
              <w:top w:val="nil"/>
              <w:left w:val="nil"/>
              <w:bottom w:val="single" w:sz="4" w:space="0" w:color="auto"/>
              <w:right w:val="single" w:sz="4" w:space="0" w:color="auto"/>
            </w:tcBorders>
            <w:shd w:val="clear" w:color="000000" w:fill="FFFFFF"/>
            <w:noWrap/>
            <w:vAlign w:val="bottom"/>
            <w:hideMark/>
          </w:tcPr>
          <w:p w:rsidR="00F07E05" w:rsidRPr="00BD47B7" w:rsidRDefault="00F07E05" w:rsidP="008A253E">
            <w:pPr>
              <w:jc w:val="center"/>
            </w:pPr>
            <w:r w:rsidRPr="00BD47B7">
              <w:t>44,99</w:t>
            </w:r>
          </w:p>
        </w:tc>
        <w:tc>
          <w:tcPr>
            <w:tcW w:w="1579" w:type="dxa"/>
            <w:tcBorders>
              <w:top w:val="nil"/>
              <w:left w:val="nil"/>
              <w:bottom w:val="single" w:sz="4" w:space="0" w:color="auto"/>
              <w:right w:val="single" w:sz="4" w:space="0" w:color="auto"/>
            </w:tcBorders>
            <w:shd w:val="clear" w:color="000000" w:fill="FFFFFF"/>
            <w:noWrap/>
            <w:vAlign w:val="bottom"/>
            <w:hideMark/>
          </w:tcPr>
          <w:p w:rsidR="00F07E05" w:rsidRPr="00BD47B7" w:rsidRDefault="00F07E05" w:rsidP="008A253E">
            <w:pPr>
              <w:jc w:val="center"/>
            </w:pPr>
            <w:r w:rsidRPr="00BD47B7">
              <w:t>15 748,10</w:t>
            </w:r>
          </w:p>
        </w:tc>
      </w:tr>
      <w:tr w:rsidR="00F07E05" w:rsidTr="008A253E">
        <w:trPr>
          <w:trHeight w:val="300"/>
        </w:trPr>
        <w:tc>
          <w:tcPr>
            <w:tcW w:w="513" w:type="dxa"/>
            <w:tcBorders>
              <w:top w:val="nil"/>
              <w:left w:val="single" w:sz="4" w:space="0" w:color="auto"/>
              <w:bottom w:val="single" w:sz="4" w:space="0" w:color="auto"/>
              <w:right w:val="single" w:sz="4" w:space="0" w:color="auto"/>
            </w:tcBorders>
            <w:shd w:val="clear" w:color="000000" w:fill="FFFFFF"/>
            <w:vAlign w:val="bottom"/>
            <w:hideMark/>
          </w:tcPr>
          <w:p w:rsidR="00F07E05" w:rsidRPr="00BD47B7" w:rsidRDefault="00F07E05" w:rsidP="008A253E">
            <w:pPr>
              <w:jc w:val="center"/>
              <w:rPr>
                <w:sz w:val="22"/>
                <w:szCs w:val="22"/>
              </w:rPr>
            </w:pPr>
            <w:r w:rsidRPr="00BD47B7">
              <w:rPr>
                <w:sz w:val="22"/>
                <w:szCs w:val="22"/>
              </w:rPr>
              <w:t>4</w:t>
            </w:r>
          </w:p>
        </w:tc>
        <w:tc>
          <w:tcPr>
            <w:tcW w:w="4079" w:type="dxa"/>
            <w:tcBorders>
              <w:top w:val="nil"/>
              <w:left w:val="nil"/>
              <w:bottom w:val="single" w:sz="4" w:space="0" w:color="auto"/>
              <w:right w:val="single" w:sz="4" w:space="0" w:color="auto"/>
            </w:tcBorders>
            <w:shd w:val="clear" w:color="auto" w:fill="auto"/>
            <w:noWrap/>
            <w:vAlign w:val="bottom"/>
            <w:hideMark/>
          </w:tcPr>
          <w:p w:rsidR="00F07E05" w:rsidRPr="00BD47B7" w:rsidRDefault="00F07E05" w:rsidP="008A253E">
            <w:pPr>
              <w:rPr>
                <w:color w:val="000000"/>
                <w:sz w:val="22"/>
                <w:szCs w:val="22"/>
              </w:rPr>
            </w:pPr>
            <w:r w:rsidRPr="00BD47B7">
              <w:rPr>
                <w:color w:val="000000"/>
                <w:sz w:val="22"/>
                <w:szCs w:val="22"/>
              </w:rPr>
              <w:t>Пенсионный фонд</w:t>
            </w:r>
          </w:p>
        </w:tc>
        <w:tc>
          <w:tcPr>
            <w:tcW w:w="1014" w:type="dxa"/>
            <w:tcBorders>
              <w:top w:val="nil"/>
              <w:left w:val="nil"/>
              <w:bottom w:val="single" w:sz="4" w:space="0" w:color="auto"/>
              <w:right w:val="single" w:sz="4" w:space="0" w:color="auto"/>
            </w:tcBorders>
            <w:shd w:val="clear" w:color="000000" w:fill="FFFFFF"/>
            <w:vAlign w:val="bottom"/>
            <w:hideMark/>
          </w:tcPr>
          <w:p w:rsidR="00F07E05" w:rsidRPr="00BD47B7" w:rsidRDefault="00F07E05" w:rsidP="008A253E">
            <w:pPr>
              <w:jc w:val="center"/>
            </w:pPr>
            <w:r w:rsidRPr="00BD47B7">
              <w:t>2592</w:t>
            </w:r>
          </w:p>
        </w:tc>
        <w:tc>
          <w:tcPr>
            <w:tcW w:w="989" w:type="dxa"/>
            <w:tcBorders>
              <w:top w:val="nil"/>
              <w:left w:val="nil"/>
              <w:bottom w:val="single" w:sz="4" w:space="0" w:color="auto"/>
              <w:right w:val="single" w:sz="4" w:space="0" w:color="auto"/>
            </w:tcBorders>
            <w:shd w:val="clear" w:color="000000" w:fill="FFFFFF"/>
            <w:vAlign w:val="bottom"/>
            <w:hideMark/>
          </w:tcPr>
          <w:p w:rsidR="00F07E05" w:rsidRPr="00BD47B7" w:rsidRDefault="00F07E05" w:rsidP="008A253E">
            <w:pPr>
              <w:jc w:val="center"/>
            </w:pPr>
            <w:r w:rsidRPr="00BD47B7">
              <w:t>40</w:t>
            </w:r>
          </w:p>
        </w:tc>
        <w:tc>
          <w:tcPr>
            <w:tcW w:w="1485" w:type="dxa"/>
            <w:tcBorders>
              <w:top w:val="nil"/>
              <w:left w:val="nil"/>
              <w:bottom w:val="single" w:sz="4" w:space="0" w:color="auto"/>
              <w:right w:val="single" w:sz="4" w:space="0" w:color="auto"/>
            </w:tcBorders>
            <w:shd w:val="clear" w:color="auto" w:fill="auto"/>
            <w:noWrap/>
            <w:vAlign w:val="bottom"/>
            <w:hideMark/>
          </w:tcPr>
          <w:p w:rsidR="00F07E05" w:rsidRPr="00BD47B7" w:rsidRDefault="00F07E05" w:rsidP="008A253E">
            <w:pPr>
              <w:jc w:val="right"/>
              <w:rPr>
                <w:color w:val="000000"/>
              </w:rPr>
            </w:pPr>
            <w:r w:rsidRPr="00BD47B7">
              <w:rPr>
                <w:color w:val="000000"/>
              </w:rPr>
              <w:t>103 680,00</w:t>
            </w:r>
          </w:p>
        </w:tc>
        <w:tc>
          <w:tcPr>
            <w:tcW w:w="1003" w:type="dxa"/>
            <w:tcBorders>
              <w:top w:val="nil"/>
              <w:left w:val="nil"/>
              <w:bottom w:val="single" w:sz="4" w:space="0" w:color="auto"/>
              <w:right w:val="single" w:sz="4" w:space="0" w:color="auto"/>
            </w:tcBorders>
            <w:shd w:val="clear" w:color="000000" w:fill="FFFFFF"/>
            <w:noWrap/>
            <w:vAlign w:val="bottom"/>
            <w:hideMark/>
          </w:tcPr>
          <w:p w:rsidR="00F07E05" w:rsidRPr="00BD47B7" w:rsidRDefault="00F07E05" w:rsidP="008A253E">
            <w:pPr>
              <w:jc w:val="center"/>
            </w:pPr>
            <w:r w:rsidRPr="00BD47B7">
              <w:t>41,6</w:t>
            </w:r>
          </w:p>
        </w:tc>
        <w:tc>
          <w:tcPr>
            <w:tcW w:w="1549" w:type="dxa"/>
            <w:tcBorders>
              <w:top w:val="nil"/>
              <w:left w:val="nil"/>
              <w:bottom w:val="single" w:sz="4" w:space="0" w:color="auto"/>
              <w:right w:val="single" w:sz="4" w:space="0" w:color="auto"/>
            </w:tcBorders>
            <w:shd w:val="clear" w:color="000000" w:fill="FFFFFF"/>
            <w:noWrap/>
            <w:vAlign w:val="bottom"/>
            <w:hideMark/>
          </w:tcPr>
          <w:p w:rsidR="00F07E05" w:rsidRPr="00BD47B7" w:rsidRDefault="00F07E05" w:rsidP="008A253E">
            <w:pPr>
              <w:jc w:val="center"/>
            </w:pPr>
            <w:r w:rsidRPr="00BD47B7">
              <w:t>107 827,20</w:t>
            </w:r>
          </w:p>
        </w:tc>
        <w:tc>
          <w:tcPr>
            <w:tcW w:w="1073" w:type="dxa"/>
            <w:tcBorders>
              <w:top w:val="nil"/>
              <w:left w:val="nil"/>
              <w:bottom w:val="single" w:sz="4" w:space="0" w:color="auto"/>
              <w:right w:val="single" w:sz="4" w:space="0" w:color="auto"/>
            </w:tcBorders>
            <w:shd w:val="clear" w:color="000000" w:fill="FFFFFF"/>
            <w:noWrap/>
            <w:vAlign w:val="bottom"/>
            <w:hideMark/>
          </w:tcPr>
          <w:p w:rsidR="00F07E05" w:rsidRPr="00BD47B7" w:rsidRDefault="00F07E05" w:rsidP="008A253E">
            <w:pPr>
              <w:jc w:val="center"/>
            </w:pPr>
            <w:r w:rsidRPr="00BD47B7">
              <w:t>43,26</w:t>
            </w:r>
          </w:p>
        </w:tc>
        <w:tc>
          <w:tcPr>
            <w:tcW w:w="1478" w:type="dxa"/>
            <w:tcBorders>
              <w:top w:val="nil"/>
              <w:left w:val="nil"/>
              <w:bottom w:val="single" w:sz="4" w:space="0" w:color="auto"/>
              <w:right w:val="single" w:sz="4" w:space="0" w:color="auto"/>
            </w:tcBorders>
            <w:shd w:val="clear" w:color="000000" w:fill="FFFFFF"/>
            <w:noWrap/>
            <w:vAlign w:val="bottom"/>
            <w:hideMark/>
          </w:tcPr>
          <w:p w:rsidR="00F07E05" w:rsidRPr="00BD47B7" w:rsidRDefault="00F07E05" w:rsidP="008A253E">
            <w:pPr>
              <w:jc w:val="center"/>
            </w:pPr>
            <w:r w:rsidRPr="00BD47B7">
              <w:t>112 140,29</w:t>
            </w:r>
          </w:p>
        </w:tc>
        <w:tc>
          <w:tcPr>
            <w:tcW w:w="1115" w:type="dxa"/>
            <w:tcBorders>
              <w:top w:val="nil"/>
              <w:left w:val="nil"/>
              <w:bottom w:val="single" w:sz="4" w:space="0" w:color="auto"/>
              <w:right w:val="single" w:sz="4" w:space="0" w:color="auto"/>
            </w:tcBorders>
            <w:shd w:val="clear" w:color="000000" w:fill="FFFFFF"/>
            <w:noWrap/>
            <w:vAlign w:val="bottom"/>
            <w:hideMark/>
          </w:tcPr>
          <w:p w:rsidR="00F07E05" w:rsidRPr="00BD47B7" w:rsidRDefault="00F07E05" w:rsidP="008A253E">
            <w:pPr>
              <w:jc w:val="center"/>
            </w:pPr>
            <w:r w:rsidRPr="00BD47B7">
              <w:t>44,99</w:t>
            </w:r>
          </w:p>
        </w:tc>
        <w:tc>
          <w:tcPr>
            <w:tcW w:w="1579" w:type="dxa"/>
            <w:tcBorders>
              <w:top w:val="nil"/>
              <w:left w:val="nil"/>
              <w:bottom w:val="single" w:sz="4" w:space="0" w:color="auto"/>
              <w:right w:val="single" w:sz="4" w:space="0" w:color="auto"/>
            </w:tcBorders>
            <w:shd w:val="clear" w:color="000000" w:fill="FFFFFF"/>
            <w:noWrap/>
            <w:vAlign w:val="bottom"/>
            <w:hideMark/>
          </w:tcPr>
          <w:p w:rsidR="00F07E05" w:rsidRPr="00BD47B7" w:rsidRDefault="00F07E05" w:rsidP="008A253E">
            <w:pPr>
              <w:jc w:val="center"/>
            </w:pPr>
            <w:r w:rsidRPr="00BD47B7">
              <w:t>116 625,90</w:t>
            </w:r>
          </w:p>
        </w:tc>
      </w:tr>
      <w:tr w:rsidR="00F07E05" w:rsidTr="008A253E">
        <w:trPr>
          <w:trHeight w:val="300"/>
        </w:trPr>
        <w:tc>
          <w:tcPr>
            <w:tcW w:w="513" w:type="dxa"/>
            <w:tcBorders>
              <w:top w:val="nil"/>
              <w:left w:val="single" w:sz="4" w:space="0" w:color="auto"/>
              <w:bottom w:val="single" w:sz="4" w:space="0" w:color="auto"/>
              <w:right w:val="single" w:sz="4" w:space="0" w:color="auto"/>
            </w:tcBorders>
            <w:shd w:val="clear" w:color="000000" w:fill="FFFFFF"/>
            <w:vAlign w:val="bottom"/>
            <w:hideMark/>
          </w:tcPr>
          <w:p w:rsidR="00F07E05" w:rsidRPr="00BD47B7" w:rsidRDefault="00F07E05" w:rsidP="008A253E">
            <w:pPr>
              <w:jc w:val="center"/>
              <w:rPr>
                <w:sz w:val="22"/>
                <w:szCs w:val="22"/>
              </w:rPr>
            </w:pPr>
            <w:r w:rsidRPr="00BD47B7">
              <w:rPr>
                <w:sz w:val="22"/>
                <w:szCs w:val="22"/>
              </w:rPr>
              <w:t>5</w:t>
            </w:r>
          </w:p>
        </w:tc>
        <w:tc>
          <w:tcPr>
            <w:tcW w:w="4079" w:type="dxa"/>
            <w:tcBorders>
              <w:top w:val="nil"/>
              <w:left w:val="nil"/>
              <w:bottom w:val="single" w:sz="4" w:space="0" w:color="auto"/>
              <w:right w:val="single" w:sz="4" w:space="0" w:color="auto"/>
            </w:tcBorders>
            <w:shd w:val="clear" w:color="auto" w:fill="auto"/>
            <w:noWrap/>
            <w:vAlign w:val="bottom"/>
            <w:hideMark/>
          </w:tcPr>
          <w:p w:rsidR="00F07E05" w:rsidRPr="00BD47B7" w:rsidRDefault="00F07E05" w:rsidP="008A253E">
            <w:pPr>
              <w:rPr>
                <w:color w:val="000000"/>
                <w:sz w:val="22"/>
                <w:szCs w:val="22"/>
              </w:rPr>
            </w:pPr>
            <w:r w:rsidRPr="00BD47B7">
              <w:rPr>
                <w:color w:val="000000"/>
                <w:sz w:val="22"/>
                <w:szCs w:val="22"/>
              </w:rPr>
              <w:t>ООО УК Автодор</w:t>
            </w:r>
          </w:p>
        </w:tc>
        <w:tc>
          <w:tcPr>
            <w:tcW w:w="1014" w:type="dxa"/>
            <w:tcBorders>
              <w:top w:val="nil"/>
              <w:left w:val="nil"/>
              <w:bottom w:val="single" w:sz="4" w:space="0" w:color="auto"/>
              <w:right w:val="single" w:sz="4" w:space="0" w:color="auto"/>
            </w:tcBorders>
            <w:shd w:val="clear" w:color="000000" w:fill="FFFFFF"/>
            <w:vAlign w:val="bottom"/>
            <w:hideMark/>
          </w:tcPr>
          <w:p w:rsidR="00F07E05" w:rsidRPr="00BD47B7" w:rsidRDefault="00F07E05" w:rsidP="008A253E">
            <w:pPr>
              <w:jc w:val="center"/>
            </w:pPr>
            <w:r w:rsidRPr="00BD47B7">
              <w:t>1000</w:t>
            </w:r>
          </w:p>
        </w:tc>
        <w:tc>
          <w:tcPr>
            <w:tcW w:w="989" w:type="dxa"/>
            <w:tcBorders>
              <w:top w:val="nil"/>
              <w:left w:val="nil"/>
              <w:bottom w:val="single" w:sz="4" w:space="0" w:color="auto"/>
              <w:right w:val="single" w:sz="4" w:space="0" w:color="auto"/>
            </w:tcBorders>
            <w:shd w:val="clear" w:color="000000" w:fill="FFFFFF"/>
            <w:vAlign w:val="bottom"/>
            <w:hideMark/>
          </w:tcPr>
          <w:p w:rsidR="00F07E05" w:rsidRPr="00BD47B7" w:rsidRDefault="00F07E05" w:rsidP="008A253E">
            <w:pPr>
              <w:jc w:val="center"/>
            </w:pPr>
            <w:r w:rsidRPr="00BD47B7">
              <w:t>40</w:t>
            </w:r>
          </w:p>
        </w:tc>
        <w:tc>
          <w:tcPr>
            <w:tcW w:w="1485" w:type="dxa"/>
            <w:tcBorders>
              <w:top w:val="nil"/>
              <w:left w:val="nil"/>
              <w:bottom w:val="single" w:sz="4" w:space="0" w:color="auto"/>
              <w:right w:val="single" w:sz="4" w:space="0" w:color="auto"/>
            </w:tcBorders>
            <w:shd w:val="clear" w:color="auto" w:fill="auto"/>
            <w:noWrap/>
            <w:vAlign w:val="bottom"/>
            <w:hideMark/>
          </w:tcPr>
          <w:p w:rsidR="00F07E05" w:rsidRPr="00BD47B7" w:rsidRDefault="00F07E05" w:rsidP="008A253E">
            <w:pPr>
              <w:jc w:val="right"/>
              <w:rPr>
                <w:color w:val="000000"/>
              </w:rPr>
            </w:pPr>
            <w:r w:rsidRPr="00BD47B7">
              <w:rPr>
                <w:color w:val="000000"/>
              </w:rPr>
              <w:t>40 000,00</w:t>
            </w:r>
          </w:p>
        </w:tc>
        <w:tc>
          <w:tcPr>
            <w:tcW w:w="1003" w:type="dxa"/>
            <w:tcBorders>
              <w:top w:val="nil"/>
              <w:left w:val="nil"/>
              <w:bottom w:val="single" w:sz="4" w:space="0" w:color="auto"/>
              <w:right w:val="single" w:sz="4" w:space="0" w:color="auto"/>
            </w:tcBorders>
            <w:shd w:val="clear" w:color="000000" w:fill="FFFFFF"/>
            <w:noWrap/>
            <w:vAlign w:val="bottom"/>
            <w:hideMark/>
          </w:tcPr>
          <w:p w:rsidR="00F07E05" w:rsidRPr="00BD47B7" w:rsidRDefault="00F07E05" w:rsidP="008A253E">
            <w:pPr>
              <w:jc w:val="center"/>
            </w:pPr>
            <w:r w:rsidRPr="00BD47B7">
              <w:t>41,6</w:t>
            </w:r>
          </w:p>
        </w:tc>
        <w:tc>
          <w:tcPr>
            <w:tcW w:w="1549" w:type="dxa"/>
            <w:tcBorders>
              <w:top w:val="nil"/>
              <w:left w:val="nil"/>
              <w:bottom w:val="single" w:sz="4" w:space="0" w:color="auto"/>
              <w:right w:val="single" w:sz="4" w:space="0" w:color="auto"/>
            </w:tcBorders>
            <w:shd w:val="clear" w:color="000000" w:fill="FFFFFF"/>
            <w:noWrap/>
            <w:vAlign w:val="bottom"/>
            <w:hideMark/>
          </w:tcPr>
          <w:p w:rsidR="00F07E05" w:rsidRPr="00BD47B7" w:rsidRDefault="00F07E05" w:rsidP="008A253E">
            <w:pPr>
              <w:jc w:val="center"/>
            </w:pPr>
            <w:r w:rsidRPr="00BD47B7">
              <w:t>41 600,00</w:t>
            </w:r>
          </w:p>
        </w:tc>
        <w:tc>
          <w:tcPr>
            <w:tcW w:w="1073" w:type="dxa"/>
            <w:tcBorders>
              <w:top w:val="nil"/>
              <w:left w:val="nil"/>
              <w:bottom w:val="single" w:sz="4" w:space="0" w:color="auto"/>
              <w:right w:val="single" w:sz="4" w:space="0" w:color="auto"/>
            </w:tcBorders>
            <w:shd w:val="clear" w:color="000000" w:fill="FFFFFF"/>
            <w:noWrap/>
            <w:vAlign w:val="bottom"/>
            <w:hideMark/>
          </w:tcPr>
          <w:p w:rsidR="00F07E05" w:rsidRPr="00BD47B7" w:rsidRDefault="00F07E05" w:rsidP="008A253E">
            <w:pPr>
              <w:jc w:val="center"/>
            </w:pPr>
            <w:r w:rsidRPr="00BD47B7">
              <w:t>43,26</w:t>
            </w:r>
          </w:p>
        </w:tc>
        <w:tc>
          <w:tcPr>
            <w:tcW w:w="1478" w:type="dxa"/>
            <w:tcBorders>
              <w:top w:val="nil"/>
              <w:left w:val="nil"/>
              <w:bottom w:val="single" w:sz="4" w:space="0" w:color="auto"/>
              <w:right w:val="single" w:sz="4" w:space="0" w:color="auto"/>
            </w:tcBorders>
            <w:shd w:val="clear" w:color="000000" w:fill="FFFFFF"/>
            <w:noWrap/>
            <w:vAlign w:val="bottom"/>
            <w:hideMark/>
          </w:tcPr>
          <w:p w:rsidR="00F07E05" w:rsidRPr="00BD47B7" w:rsidRDefault="00F07E05" w:rsidP="008A253E">
            <w:pPr>
              <w:jc w:val="center"/>
            </w:pPr>
            <w:r w:rsidRPr="00BD47B7">
              <w:t>43 264,00</w:t>
            </w:r>
          </w:p>
        </w:tc>
        <w:tc>
          <w:tcPr>
            <w:tcW w:w="1115" w:type="dxa"/>
            <w:tcBorders>
              <w:top w:val="nil"/>
              <w:left w:val="nil"/>
              <w:bottom w:val="single" w:sz="4" w:space="0" w:color="auto"/>
              <w:right w:val="single" w:sz="4" w:space="0" w:color="auto"/>
            </w:tcBorders>
            <w:shd w:val="clear" w:color="000000" w:fill="FFFFFF"/>
            <w:noWrap/>
            <w:vAlign w:val="bottom"/>
            <w:hideMark/>
          </w:tcPr>
          <w:p w:rsidR="00F07E05" w:rsidRPr="00BD47B7" w:rsidRDefault="00F07E05" w:rsidP="008A253E">
            <w:pPr>
              <w:jc w:val="center"/>
            </w:pPr>
            <w:r w:rsidRPr="00BD47B7">
              <w:t>44,99</w:t>
            </w:r>
          </w:p>
        </w:tc>
        <w:tc>
          <w:tcPr>
            <w:tcW w:w="1579" w:type="dxa"/>
            <w:tcBorders>
              <w:top w:val="nil"/>
              <w:left w:val="nil"/>
              <w:bottom w:val="single" w:sz="4" w:space="0" w:color="auto"/>
              <w:right w:val="single" w:sz="4" w:space="0" w:color="auto"/>
            </w:tcBorders>
            <w:shd w:val="clear" w:color="000000" w:fill="FFFFFF"/>
            <w:noWrap/>
            <w:vAlign w:val="bottom"/>
            <w:hideMark/>
          </w:tcPr>
          <w:p w:rsidR="00F07E05" w:rsidRPr="00BD47B7" w:rsidRDefault="00F07E05" w:rsidP="008A253E">
            <w:pPr>
              <w:jc w:val="center"/>
            </w:pPr>
            <w:r w:rsidRPr="00BD47B7">
              <w:t>44 994,56</w:t>
            </w:r>
          </w:p>
        </w:tc>
      </w:tr>
      <w:tr w:rsidR="00F07E05" w:rsidTr="008A253E">
        <w:trPr>
          <w:trHeight w:val="300"/>
        </w:trPr>
        <w:tc>
          <w:tcPr>
            <w:tcW w:w="513" w:type="dxa"/>
            <w:tcBorders>
              <w:top w:val="nil"/>
              <w:left w:val="single" w:sz="4" w:space="0" w:color="auto"/>
              <w:bottom w:val="single" w:sz="4" w:space="0" w:color="auto"/>
              <w:right w:val="single" w:sz="4" w:space="0" w:color="auto"/>
            </w:tcBorders>
            <w:shd w:val="clear" w:color="000000" w:fill="FFFFFF"/>
            <w:vAlign w:val="bottom"/>
            <w:hideMark/>
          </w:tcPr>
          <w:p w:rsidR="00F07E05" w:rsidRPr="00BD47B7" w:rsidRDefault="00F07E05" w:rsidP="008A253E">
            <w:pPr>
              <w:jc w:val="center"/>
              <w:rPr>
                <w:sz w:val="22"/>
                <w:szCs w:val="22"/>
              </w:rPr>
            </w:pPr>
            <w:r w:rsidRPr="00BD47B7">
              <w:rPr>
                <w:sz w:val="22"/>
                <w:szCs w:val="22"/>
              </w:rPr>
              <w:t>6</w:t>
            </w:r>
          </w:p>
        </w:tc>
        <w:tc>
          <w:tcPr>
            <w:tcW w:w="4079" w:type="dxa"/>
            <w:tcBorders>
              <w:top w:val="nil"/>
              <w:left w:val="nil"/>
              <w:bottom w:val="single" w:sz="4" w:space="0" w:color="auto"/>
              <w:right w:val="single" w:sz="4" w:space="0" w:color="auto"/>
            </w:tcBorders>
            <w:shd w:val="clear" w:color="auto" w:fill="auto"/>
            <w:noWrap/>
            <w:vAlign w:val="bottom"/>
            <w:hideMark/>
          </w:tcPr>
          <w:p w:rsidR="00F07E05" w:rsidRPr="00BD47B7" w:rsidRDefault="00F07E05" w:rsidP="008A253E">
            <w:pPr>
              <w:rPr>
                <w:color w:val="000000"/>
                <w:sz w:val="22"/>
                <w:szCs w:val="22"/>
              </w:rPr>
            </w:pPr>
            <w:r w:rsidRPr="00BD47B7">
              <w:rPr>
                <w:color w:val="000000"/>
                <w:sz w:val="22"/>
                <w:szCs w:val="22"/>
              </w:rPr>
              <w:t>Роскомнадзор</w:t>
            </w:r>
          </w:p>
        </w:tc>
        <w:tc>
          <w:tcPr>
            <w:tcW w:w="1014" w:type="dxa"/>
            <w:tcBorders>
              <w:top w:val="nil"/>
              <w:left w:val="nil"/>
              <w:bottom w:val="single" w:sz="4" w:space="0" w:color="auto"/>
              <w:right w:val="single" w:sz="4" w:space="0" w:color="auto"/>
            </w:tcBorders>
            <w:shd w:val="clear" w:color="000000" w:fill="FFFFFF"/>
            <w:vAlign w:val="bottom"/>
            <w:hideMark/>
          </w:tcPr>
          <w:p w:rsidR="00F07E05" w:rsidRPr="00BD47B7" w:rsidRDefault="00F07E05" w:rsidP="008A253E">
            <w:pPr>
              <w:jc w:val="center"/>
            </w:pPr>
            <w:r w:rsidRPr="00BD47B7">
              <w:t>800</w:t>
            </w:r>
          </w:p>
        </w:tc>
        <w:tc>
          <w:tcPr>
            <w:tcW w:w="989" w:type="dxa"/>
            <w:tcBorders>
              <w:top w:val="nil"/>
              <w:left w:val="nil"/>
              <w:bottom w:val="single" w:sz="4" w:space="0" w:color="auto"/>
              <w:right w:val="single" w:sz="4" w:space="0" w:color="auto"/>
            </w:tcBorders>
            <w:shd w:val="clear" w:color="000000" w:fill="FFFFFF"/>
            <w:vAlign w:val="bottom"/>
            <w:hideMark/>
          </w:tcPr>
          <w:p w:rsidR="00F07E05" w:rsidRPr="00BD47B7" w:rsidRDefault="00F07E05" w:rsidP="008A253E">
            <w:pPr>
              <w:jc w:val="center"/>
            </w:pPr>
            <w:r w:rsidRPr="00BD47B7">
              <w:t>40</w:t>
            </w:r>
          </w:p>
        </w:tc>
        <w:tc>
          <w:tcPr>
            <w:tcW w:w="1485" w:type="dxa"/>
            <w:tcBorders>
              <w:top w:val="nil"/>
              <w:left w:val="nil"/>
              <w:bottom w:val="single" w:sz="4" w:space="0" w:color="auto"/>
              <w:right w:val="single" w:sz="4" w:space="0" w:color="auto"/>
            </w:tcBorders>
            <w:shd w:val="clear" w:color="auto" w:fill="auto"/>
            <w:noWrap/>
            <w:vAlign w:val="bottom"/>
            <w:hideMark/>
          </w:tcPr>
          <w:p w:rsidR="00F07E05" w:rsidRPr="00BD47B7" w:rsidRDefault="00F07E05" w:rsidP="008A253E">
            <w:pPr>
              <w:jc w:val="right"/>
              <w:rPr>
                <w:color w:val="000000"/>
              </w:rPr>
            </w:pPr>
            <w:r w:rsidRPr="00BD47B7">
              <w:rPr>
                <w:color w:val="000000"/>
              </w:rPr>
              <w:t>32 000,00</w:t>
            </w:r>
          </w:p>
        </w:tc>
        <w:tc>
          <w:tcPr>
            <w:tcW w:w="1003" w:type="dxa"/>
            <w:tcBorders>
              <w:top w:val="nil"/>
              <w:left w:val="nil"/>
              <w:bottom w:val="single" w:sz="4" w:space="0" w:color="auto"/>
              <w:right w:val="single" w:sz="4" w:space="0" w:color="auto"/>
            </w:tcBorders>
            <w:shd w:val="clear" w:color="000000" w:fill="FFFFFF"/>
            <w:noWrap/>
            <w:vAlign w:val="bottom"/>
            <w:hideMark/>
          </w:tcPr>
          <w:p w:rsidR="00F07E05" w:rsidRPr="00BD47B7" w:rsidRDefault="00F07E05" w:rsidP="008A253E">
            <w:pPr>
              <w:jc w:val="center"/>
            </w:pPr>
            <w:r w:rsidRPr="00BD47B7">
              <w:t>41,6</w:t>
            </w:r>
          </w:p>
        </w:tc>
        <w:tc>
          <w:tcPr>
            <w:tcW w:w="1549" w:type="dxa"/>
            <w:tcBorders>
              <w:top w:val="nil"/>
              <w:left w:val="nil"/>
              <w:bottom w:val="single" w:sz="4" w:space="0" w:color="auto"/>
              <w:right w:val="single" w:sz="4" w:space="0" w:color="auto"/>
            </w:tcBorders>
            <w:shd w:val="clear" w:color="000000" w:fill="FFFFFF"/>
            <w:noWrap/>
            <w:vAlign w:val="bottom"/>
            <w:hideMark/>
          </w:tcPr>
          <w:p w:rsidR="00F07E05" w:rsidRPr="00BD47B7" w:rsidRDefault="00F07E05" w:rsidP="008A253E">
            <w:pPr>
              <w:jc w:val="center"/>
            </w:pPr>
            <w:r w:rsidRPr="00BD47B7">
              <w:t>33 280,00</w:t>
            </w:r>
          </w:p>
        </w:tc>
        <w:tc>
          <w:tcPr>
            <w:tcW w:w="1073" w:type="dxa"/>
            <w:tcBorders>
              <w:top w:val="nil"/>
              <w:left w:val="nil"/>
              <w:bottom w:val="single" w:sz="4" w:space="0" w:color="auto"/>
              <w:right w:val="single" w:sz="4" w:space="0" w:color="auto"/>
            </w:tcBorders>
            <w:shd w:val="clear" w:color="000000" w:fill="FFFFFF"/>
            <w:noWrap/>
            <w:vAlign w:val="bottom"/>
            <w:hideMark/>
          </w:tcPr>
          <w:p w:rsidR="00F07E05" w:rsidRPr="00BD47B7" w:rsidRDefault="00F07E05" w:rsidP="008A253E">
            <w:pPr>
              <w:jc w:val="center"/>
            </w:pPr>
            <w:r w:rsidRPr="00BD47B7">
              <w:t>43,26</w:t>
            </w:r>
          </w:p>
        </w:tc>
        <w:tc>
          <w:tcPr>
            <w:tcW w:w="1478" w:type="dxa"/>
            <w:tcBorders>
              <w:top w:val="nil"/>
              <w:left w:val="nil"/>
              <w:bottom w:val="single" w:sz="4" w:space="0" w:color="auto"/>
              <w:right w:val="single" w:sz="4" w:space="0" w:color="auto"/>
            </w:tcBorders>
            <w:shd w:val="clear" w:color="000000" w:fill="FFFFFF"/>
            <w:noWrap/>
            <w:vAlign w:val="bottom"/>
            <w:hideMark/>
          </w:tcPr>
          <w:p w:rsidR="00F07E05" w:rsidRPr="00BD47B7" w:rsidRDefault="00F07E05" w:rsidP="008A253E">
            <w:pPr>
              <w:jc w:val="center"/>
            </w:pPr>
            <w:r w:rsidRPr="00BD47B7">
              <w:t>34 611,20</w:t>
            </w:r>
          </w:p>
        </w:tc>
        <w:tc>
          <w:tcPr>
            <w:tcW w:w="1115" w:type="dxa"/>
            <w:tcBorders>
              <w:top w:val="nil"/>
              <w:left w:val="nil"/>
              <w:bottom w:val="single" w:sz="4" w:space="0" w:color="auto"/>
              <w:right w:val="single" w:sz="4" w:space="0" w:color="auto"/>
            </w:tcBorders>
            <w:shd w:val="clear" w:color="000000" w:fill="FFFFFF"/>
            <w:noWrap/>
            <w:vAlign w:val="bottom"/>
            <w:hideMark/>
          </w:tcPr>
          <w:p w:rsidR="00F07E05" w:rsidRPr="00BD47B7" w:rsidRDefault="00F07E05" w:rsidP="008A253E">
            <w:pPr>
              <w:jc w:val="center"/>
            </w:pPr>
            <w:r w:rsidRPr="00BD47B7">
              <w:t>44,99</w:t>
            </w:r>
          </w:p>
        </w:tc>
        <w:tc>
          <w:tcPr>
            <w:tcW w:w="1579" w:type="dxa"/>
            <w:tcBorders>
              <w:top w:val="nil"/>
              <w:left w:val="nil"/>
              <w:bottom w:val="single" w:sz="4" w:space="0" w:color="auto"/>
              <w:right w:val="single" w:sz="4" w:space="0" w:color="auto"/>
            </w:tcBorders>
            <w:shd w:val="clear" w:color="000000" w:fill="FFFFFF"/>
            <w:noWrap/>
            <w:vAlign w:val="bottom"/>
            <w:hideMark/>
          </w:tcPr>
          <w:p w:rsidR="00F07E05" w:rsidRPr="00BD47B7" w:rsidRDefault="00F07E05" w:rsidP="008A253E">
            <w:pPr>
              <w:jc w:val="center"/>
            </w:pPr>
            <w:r w:rsidRPr="00BD47B7">
              <w:t>35 995,65</w:t>
            </w:r>
          </w:p>
        </w:tc>
      </w:tr>
      <w:tr w:rsidR="00F07E05" w:rsidTr="008A253E">
        <w:trPr>
          <w:trHeight w:val="300"/>
        </w:trPr>
        <w:tc>
          <w:tcPr>
            <w:tcW w:w="513" w:type="dxa"/>
            <w:tcBorders>
              <w:top w:val="nil"/>
              <w:left w:val="single" w:sz="4" w:space="0" w:color="auto"/>
              <w:bottom w:val="single" w:sz="4" w:space="0" w:color="auto"/>
              <w:right w:val="single" w:sz="4" w:space="0" w:color="auto"/>
            </w:tcBorders>
            <w:shd w:val="clear" w:color="000000" w:fill="FFFFFF"/>
            <w:vAlign w:val="bottom"/>
            <w:hideMark/>
          </w:tcPr>
          <w:p w:rsidR="00F07E05" w:rsidRPr="00BD47B7" w:rsidRDefault="00F07E05" w:rsidP="008A253E">
            <w:pPr>
              <w:jc w:val="center"/>
              <w:rPr>
                <w:sz w:val="22"/>
                <w:szCs w:val="22"/>
              </w:rPr>
            </w:pPr>
            <w:r w:rsidRPr="00BD47B7">
              <w:rPr>
                <w:sz w:val="22"/>
                <w:szCs w:val="22"/>
              </w:rPr>
              <w:t>7</w:t>
            </w:r>
          </w:p>
        </w:tc>
        <w:tc>
          <w:tcPr>
            <w:tcW w:w="4079" w:type="dxa"/>
            <w:tcBorders>
              <w:top w:val="nil"/>
              <w:left w:val="nil"/>
              <w:bottom w:val="single" w:sz="4" w:space="0" w:color="auto"/>
              <w:right w:val="single" w:sz="4" w:space="0" w:color="auto"/>
            </w:tcBorders>
            <w:shd w:val="clear" w:color="auto" w:fill="auto"/>
            <w:noWrap/>
            <w:vAlign w:val="bottom"/>
            <w:hideMark/>
          </w:tcPr>
          <w:p w:rsidR="00F07E05" w:rsidRPr="00BD47B7" w:rsidRDefault="00F07E05" w:rsidP="008A253E">
            <w:pPr>
              <w:rPr>
                <w:color w:val="000000"/>
                <w:sz w:val="22"/>
                <w:szCs w:val="22"/>
              </w:rPr>
            </w:pPr>
            <w:r w:rsidRPr="00BD47B7">
              <w:rPr>
                <w:color w:val="000000"/>
                <w:sz w:val="22"/>
                <w:szCs w:val="22"/>
              </w:rPr>
              <w:t>МКУ "ЦОДСО Калин. района</w:t>
            </w:r>
          </w:p>
        </w:tc>
        <w:tc>
          <w:tcPr>
            <w:tcW w:w="1014" w:type="dxa"/>
            <w:tcBorders>
              <w:top w:val="nil"/>
              <w:left w:val="nil"/>
              <w:bottom w:val="single" w:sz="4" w:space="0" w:color="auto"/>
              <w:right w:val="single" w:sz="4" w:space="0" w:color="auto"/>
            </w:tcBorders>
            <w:shd w:val="clear" w:color="000000" w:fill="FFFFFF"/>
            <w:vAlign w:val="bottom"/>
            <w:hideMark/>
          </w:tcPr>
          <w:p w:rsidR="00F07E05" w:rsidRPr="00BD47B7" w:rsidRDefault="00F07E05" w:rsidP="008A253E">
            <w:pPr>
              <w:jc w:val="center"/>
            </w:pPr>
            <w:r w:rsidRPr="00BD47B7">
              <w:t>235</w:t>
            </w:r>
          </w:p>
        </w:tc>
        <w:tc>
          <w:tcPr>
            <w:tcW w:w="989" w:type="dxa"/>
            <w:tcBorders>
              <w:top w:val="nil"/>
              <w:left w:val="nil"/>
              <w:bottom w:val="single" w:sz="4" w:space="0" w:color="auto"/>
              <w:right w:val="single" w:sz="4" w:space="0" w:color="auto"/>
            </w:tcBorders>
            <w:shd w:val="clear" w:color="000000" w:fill="FFFFFF"/>
            <w:vAlign w:val="bottom"/>
            <w:hideMark/>
          </w:tcPr>
          <w:p w:rsidR="00F07E05" w:rsidRPr="00BD47B7" w:rsidRDefault="00F07E05" w:rsidP="008A253E">
            <w:pPr>
              <w:jc w:val="center"/>
            </w:pPr>
            <w:r w:rsidRPr="00BD47B7">
              <w:t>40</w:t>
            </w:r>
          </w:p>
        </w:tc>
        <w:tc>
          <w:tcPr>
            <w:tcW w:w="1485" w:type="dxa"/>
            <w:tcBorders>
              <w:top w:val="nil"/>
              <w:left w:val="nil"/>
              <w:bottom w:val="single" w:sz="4" w:space="0" w:color="auto"/>
              <w:right w:val="single" w:sz="4" w:space="0" w:color="auto"/>
            </w:tcBorders>
            <w:shd w:val="clear" w:color="auto" w:fill="auto"/>
            <w:noWrap/>
            <w:vAlign w:val="bottom"/>
            <w:hideMark/>
          </w:tcPr>
          <w:p w:rsidR="00F07E05" w:rsidRPr="00BD47B7" w:rsidRDefault="00F07E05" w:rsidP="008A253E">
            <w:pPr>
              <w:jc w:val="right"/>
              <w:rPr>
                <w:color w:val="000000"/>
              </w:rPr>
            </w:pPr>
            <w:r w:rsidRPr="00BD47B7">
              <w:rPr>
                <w:color w:val="000000"/>
              </w:rPr>
              <w:t>9 400,00</w:t>
            </w:r>
          </w:p>
        </w:tc>
        <w:tc>
          <w:tcPr>
            <w:tcW w:w="1003" w:type="dxa"/>
            <w:tcBorders>
              <w:top w:val="nil"/>
              <w:left w:val="nil"/>
              <w:bottom w:val="single" w:sz="4" w:space="0" w:color="auto"/>
              <w:right w:val="single" w:sz="4" w:space="0" w:color="auto"/>
            </w:tcBorders>
            <w:shd w:val="clear" w:color="000000" w:fill="FFFFFF"/>
            <w:noWrap/>
            <w:vAlign w:val="bottom"/>
            <w:hideMark/>
          </w:tcPr>
          <w:p w:rsidR="00F07E05" w:rsidRPr="00BD47B7" w:rsidRDefault="00F07E05" w:rsidP="008A253E">
            <w:pPr>
              <w:jc w:val="center"/>
            </w:pPr>
            <w:r w:rsidRPr="00BD47B7">
              <w:t>41,6</w:t>
            </w:r>
          </w:p>
        </w:tc>
        <w:tc>
          <w:tcPr>
            <w:tcW w:w="1549" w:type="dxa"/>
            <w:tcBorders>
              <w:top w:val="nil"/>
              <w:left w:val="nil"/>
              <w:bottom w:val="single" w:sz="4" w:space="0" w:color="auto"/>
              <w:right w:val="single" w:sz="4" w:space="0" w:color="auto"/>
            </w:tcBorders>
            <w:shd w:val="clear" w:color="000000" w:fill="FFFFFF"/>
            <w:noWrap/>
            <w:vAlign w:val="bottom"/>
            <w:hideMark/>
          </w:tcPr>
          <w:p w:rsidR="00F07E05" w:rsidRPr="00BD47B7" w:rsidRDefault="00F07E05" w:rsidP="008A253E">
            <w:pPr>
              <w:jc w:val="center"/>
            </w:pPr>
            <w:r w:rsidRPr="00BD47B7">
              <w:t>9 776,00</w:t>
            </w:r>
          </w:p>
        </w:tc>
        <w:tc>
          <w:tcPr>
            <w:tcW w:w="1073" w:type="dxa"/>
            <w:tcBorders>
              <w:top w:val="nil"/>
              <w:left w:val="nil"/>
              <w:bottom w:val="single" w:sz="4" w:space="0" w:color="auto"/>
              <w:right w:val="single" w:sz="4" w:space="0" w:color="auto"/>
            </w:tcBorders>
            <w:shd w:val="clear" w:color="000000" w:fill="FFFFFF"/>
            <w:noWrap/>
            <w:vAlign w:val="bottom"/>
            <w:hideMark/>
          </w:tcPr>
          <w:p w:rsidR="00F07E05" w:rsidRPr="00BD47B7" w:rsidRDefault="00F07E05" w:rsidP="008A253E">
            <w:pPr>
              <w:jc w:val="center"/>
            </w:pPr>
            <w:r w:rsidRPr="00BD47B7">
              <w:t>43,26</w:t>
            </w:r>
          </w:p>
        </w:tc>
        <w:tc>
          <w:tcPr>
            <w:tcW w:w="1478" w:type="dxa"/>
            <w:tcBorders>
              <w:top w:val="nil"/>
              <w:left w:val="nil"/>
              <w:bottom w:val="single" w:sz="4" w:space="0" w:color="auto"/>
              <w:right w:val="single" w:sz="4" w:space="0" w:color="auto"/>
            </w:tcBorders>
            <w:shd w:val="clear" w:color="000000" w:fill="FFFFFF"/>
            <w:noWrap/>
            <w:vAlign w:val="bottom"/>
            <w:hideMark/>
          </w:tcPr>
          <w:p w:rsidR="00F07E05" w:rsidRPr="00BD47B7" w:rsidRDefault="00F07E05" w:rsidP="008A253E">
            <w:pPr>
              <w:jc w:val="center"/>
            </w:pPr>
            <w:r w:rsidRPr="00BD47B7">
              <w:t>10 167,04</w:t>
            </w:r>
          </w:p>
        </w:tc>
        <w:tc>
          <w:tcPr>
            <w:tcW w:w="1115" w:type="dxa"/>
            <w:tcBorders>
              <w:top w:val="nil"/>
              <w:left w:val="nil"/>
              <w:bottom w:val="single" w:sz="4" w:space="0" w:color="auto"/>
              <w:right w:val="single" w:sz="4" w:space="0" w:color="auto"/>
            </w:tcBorders>
            <w:shd w:val="clear" w:color="000000" w:fill="FFFFFF"/>
            <w:noWrap/>
            <w:vAlign w:val="bottom"/>
            <w:hideMark/>
          </w:tcPr>
          <w:p w:rsidR="00F07E05" w:rsidRPr="00BD47B7" w:rsidRDefault="00F07E05" w:rsidP="008A253E">
            <w:pPr>
              <w:jc w:val="center"/>
            </w:pPr>
            <w:r w:rsidRPr="00BD47B7">
              <w:t>44,99</w:t>
            </w:r>
          </w:p>
        </w:tc>
        <w:tc>
          <w:tcPr>
            <w:tcW w:w="1579" w:type="dxa"/>
            <w:tcBorders>
              <w:top w:val="nil"/>
              <w:left w:val="nil"/>
              <w:bottom w:val="single" w:sz="4" w:space="0" w:color="auto"/>
              <w:right w:val="single" w:sz="4" w:space="0" w:color="auto"/>
            </w:tcBorders>
            <w:shd w:val="clear" w:color="000000" w:fill="FFFFFF"/>
            <w:noWrap/>
            <w:vAlign w:val="bottom"/>
            <w:hideMark/>
          </w:tcPr>
          <w:p w:rsidR="00F07E05" w:rsidRPr="00BD47B7" w:rsidRDefault="00F07E05" w:rsidP="008A253E">
            <w:pPr>
              <w:jc w:val="center"/>
            </w:pPr>
            <w:r w:rsidRPr="00BD47B7">
              <w:t>10 573,72</w:t>
            </w:r>
          </w:p>
        </w:tc>
      </w:tr>
      <w:tr w:rsidR="00F07E05" w:rsidTr="008A253E">
        <w:trPr>
          <w:trHeight w:val="645"/>
        </w:trPr>
        <w:tc>
          <w:tcPr>
            <w:tcW w:w="513" w:type="dxa"/>
            <w:tcBorders>
              <w:top w:val="nil"/>
              <w:left w:val="single" w:sz="4" w:space="0" w:color="auto"/>
              <w:bottom w:val="single" w:sz="4" w:space="0" w:color="auto"/>
              <w:right w:val="single" w:sz="4" w:space="0" w:color="auto"/>
            </w:tcBorders>
            <w:shd w:val="clear" w:color="000000" w:fill="FFFFFF"/>
            <w:vAlign w:val="bottom"/>
            <w:hideMark/>
          </w:tcPr>
          <w:p w:rsidR="00F07E05" w:rsidRPr="00BD47B7" w:rsidRDefault="00F07E05" w:rsidP="008A253E">
            <w:pPr>
              <w:jc w:val="center"/>
              <w:rPr>
                <w:sz w:val="22"/>
                <w:szCs w:val="22"/>
              </w:rPr>
            </w:pPr>
            <w:r w:rsidRPr="00BD47B7">
              <w:rPr>
                <w:sz w:val="22"/>
                <w:szCs w:val="22"/>
              </w:rPr>
              <w:t>8</w:t>
            </w:r>
          </w:p>
        </w:tc>
        <w:tc>
          <w:tcPr>
            <w:tcW w:w="4079" w:type="dxa"/>
            <w:tcBorders>
              <w:top w:val="nil"/>
              <w:left w:val="nil"/>
              <w:bottom w:val="single" w:sz="4" w:space="0" w:color="auto"/>
              <w:right w:val="single" w:sz="4" w:space="0" w:color="auto"/>
            </w:tcBorders>
            <w:shd w:val="clear" w:color="auto" w:fill="auto"/>
            <w:noWrap/>
            <w:vAlign w:val="bottom"/>
            <w:hideMark/>
          </w:tcPr>
          <w:p w:rsidR="00F07E05" w:rsidRPr="00BD47B7" w:rsidRDefault="00F07E05" w:rsidP="008A253E">
            <w:pPr>
              <w:rPr>
                <w:color w:val="000000"/>
                <w:sz w:val="22"/>
                <w:szCs w:val="22"/>
              </w:rPr>
            </w:pPr>
            <w:r w:rsidRPr="00BD47B7">
              <w:rPr>
                <w:color w:val="000000"/>
                <w:sz w:val="22"/>
                <w:szCs w:val="22"/>
              </w:rPr>
              <w:t>Арбитражный суд</w:t>
            </w:r>
          </w:p>
        </w:tc>
        <w:tc>
          <w:tcPr>
            <w:tcW w:w="1014" w:type="dxa"/>
            <w:tcBorders>
              <w:top w:val="nil"/>
              <w:left w:val="nil"/>
              <w:bottom w:val="single" w:sz="4" w:space="0" w:color="auto"/>
              <w:right w:val="single" w:sz="4" w:space="0" w:color="auto"/>
            </w:tcBorders>
            <w:shd w:val="clear" w:color="000000" w:fill="FFFFFF"/>
            <w:vAlign w:val="bottom"/>
            <w:hideMark/>
          </w:tcPr>
          <w:p w:rsidR="00F07E05" w:rsidRPr="00BD47B7" w:rsidRDefault="00F07E05" w:rsidP="008A253E">
            <w:pPr>
              <w:jc w:val="center"/>
            </w:pPr>
            <w:r w:rsidRPr="00BD47B7">
              <w:t>438</w:t>
            </w:r>
          </w:p>
        </w:tc>
        <w:tc>
          <w:tcPr>
            <w:tcW w:w="989" w:type="dxa"/>
            <w:tcBorders>
              <w:top w:val="nil"/>
              <w:left w:val="nil"/>
              <w:bottom w:val="single" w:sz="4" w:space="0" w:color="auto"/>
              <w:right w:val="single" w:sz="4" w:space="0" w:color="auto"/>
            </w:tcBorders>
            <w:shd w:val="clear" w:color="000000" w:fill="FFFFFF"/>
            <w:vAlign w:val="bottom"/>
            <w:hideMark/>
          </w:tcPr>
          <w:p w:rsidR="00F07E05" w:rsidRPr="00BD47B7" w:rsidRDefault="00F07E05" w:rsidP="008A253E">
            <w:pPr>
              <w:jc w:val="center"/>
            </w:pPr>
            <w:r w:rsidRPr="00BD47B7">
              <w:t>40</w:t>
            </w:r>
          </w:p>
        </w:tc>
        <w:tc>
          <w:tcPr>
            <w:tcW w:w="1485" w:type="dxa"/>
            <w:tcBorders>
              <w:top w:val="nil"/>
              <w:left w:val="nil"/>
              <w:bottom w:val="single" w:sz="4" w:space="0" w:color="auto"/>
              <w:right w:val="single" w:sz="4" w:space="0" w:color="auto"/>
            </w:tcBorders>
            <w:shd w:val="clear" w:color="auto" w:fill="auto"/>
            <w:noWrap/>
            <w:vAlign w:val="bottom"/>
            <w:hideMark/>
          </w:tcPr>
          <w:p w:rsidR="00F07E05" w:rsidRPr="00BD47B7" w:rsidRDefault="00F07E05" w:rsidP="008A253E">
            <w:pPr>
              <w:jc w:val="right"/>
              <w:rPr>
                <w:color w:val="000000"/>
              </w:rPr>
            </w:pPr>
            <w:r w:rsidRPr="00BD47B7">
              <w:rPr>
                <w:color w:val="000000"/>
              </w:rPr>
              <w:t>17 520,00</w:t>
            </w:r>
          </w:p>
        </w:tc>
        <w:tc>
          <w:tcPr>
            <w:tcW w:w="1003" w:type="dxa"/>
            <w:tcBorders>
              <w:top w:val="nil"/>
              <w:left w:val="nil"/>
              <w:bottom w:val="single" w:sz="4" w:space="0" w:color="auto"/>
              <w:right w:val="single" w:sz="4" w:space="0" w:color="auto"/>
            </w:tcBorders>
            <w:shd w:val="clear" w:color="000000" w:fill="FFFFFF"/>
            <w:noWrap/>
            <w:vAlign w:val="bottom"/>
            <w:hideMark/>
          </w:tcPr>
          <w:p w:rsidR="00F07E05" w:rsidRPr="00BD47B7" w:rsidRDefault="00F07E05" w:rsidP="008A253E">
            <w:pPr>
              <w:jc w:val="center"/>
            </w:pPr>
            <w:r w:rsidRPr="00BD47B7">
              <w:t>41,6</w:t>
            </w:r>
          </w:p>
        </w:tc>
        <w:tc>
          <w:tcPr>
            <w:tcW w:w="1549" w:type="dxa"/>
            <w:tcBorders>
              <w:top w:val="nil"/>
              <w:left w:val="nil"/>
              <w:bottom w:val="single" w:sz="4" w:space="0" w:color="auto"/>
              <w:right w:val="single" w:sz="4" w:space="0" w:color="auto"/>
            </w:tcBorders>
            <w:shd w:val="clear" w:color="000000" w:fill="FFFFFF"/>
            <w:noWrap/>
            <w:vAlign w:val="bottom"/>
            <w:hideMark/>
          </w:tcPr>
          <w:p w:rsidR="00F07E05" w:rsidRPr="00BD47B7" w:rsidRDefault="00F07E05" w:rsidP="008A253E">
            <w:pPr>
              <w:jc w:val="center"/>
            </w:pPr>
            <w:r w:rsidRPr="00BD47B7">
              <w:t>18 220,80</w:t>
            </w:r>
          </w:p>
        </w:tc>
        <w:tc>
          <w:tcPr>
            <w:tcW w:w="1073" w:type="dxa"/>
            <w:tcBorders>
              <w:top w:val="nil"/>
              <w:left w:val="nil"/>
              <w:bottom w:val="single" w:sz="4" w:space="0" w:color="auto"/>
              <w:right w:val="single" w:sz="4" w:space="0" w:color="auto"/>
            </w:tcBorders>
            <w:shd w:val="clear" w:color="000000" w:fill="FFFFFF"/>
            <w:noWrap/>
            <w:vAlign w:val="bottom"/>
            <w:hideMark/>
          </w:tcPr>
          <w:p w:rsidR="00F07E05" w:rsidRPr="00BD47B7" w:rsidRDefault="00F07E05" w:rsidP="008A253E">
            <w:pPr>
              <w:jc w:val="center"/>
            </w:pPr>
            <w:r w:rsidRPr="00BD47B7">
              <w:t>43,26</w:t>
            </w:r>
          </w:p>
        </w:tc>
        <w:tc>
          <w:tcPr>
            <w:tcW w:w="1478" w:type="dxa"/>
            <w:tcBorders>
              <w:top w:val="nil"/>
              <w:left w:val="nil"/>
              <w:bottom w:val="single" w:sz="4" w:space="0" w:color="auto"/>
              <w:right w:val="single" w:sz="4" w:space="0" w:color="auto"/>
            </w:tcBorders>
            <w:shd w:val="clear" w:color="000000" w:fill="FFFFFF"/>
            <w:noWrap/>
            <w:vAlign w:val="bottom"/>
            <w:hideMark/>
          </w:tcPr>
          <w:p w:rsidR="00F07E05" w:rsidRPr="00BD47B7" w:rsidRDefault="00F07E05" w:rsidP="008A253E">
            <w:pPr>
              <w:jc w:val="center"/>
            </w:pPr>
            <w:r w:rsidRPr="00BD47B7">
              <w:t>18 949,63</w:t>
            </w:r>
          </w:p>
        </w:tc>
        <w:tc>
          <w:tcPr>
            <w:tcW w:w="1115" w:type="dxa"/>
            <w:tcBorders>
              <w:top w:val="nil"/>
              <w:left w:val="nil"/>
              <w:bottom w:val="single" w:sz="4" w:space="0" w:color="auto"/>
              <w:right w:val="single" w:sz="4" w:space="0" w:color="auto"/>
            </w:tcBorders>
            <w:shd w:val="clear" w:color="000000" w:fill="FFFFFF"/>
            <w:noWrap/>
            <w:vAlign w:val="bottom"/>
            <w:hideMark/>
          </w:tcPr>
          <w:p w:rsidR="00F07E05" w:rsidRPr="00BD47B7" w:rsidRDefault="00F07E05" w:rsidP="008A253E">
            <w:pPr>
              <w:jc w:val="center"/>
            </w:pPr>
            <w:r w:rsidRPr="00BD47B7">
              <w:t>44,99</w:t>
            </w:r>
          </w:p>
        </w:tc>
        <w:tc>
          <w:tcPr>
            <w:tcW w:w="1579" w:type="dxa"/>
            <w:tcBorders>
              <w:top w:val="nil"/>
              <w:left w:val="nil"/>
              <w:bottom w:val="single" w:sz="4" w:space="0" w:color="auto"/>
              <w:right w:val="single" w:sz="4" w:space="0" w:color="auto"/>
            </w:tcBorders>
            <w:shd w:val="clear" w:color="000000" w:fill="FFFFFF"/>
            <w:noWrap/>
            <w:vAlign w:val="bottom"/>
            <w:hideMark/>
          </w:tcPr>
          <w:p w:rsidR="00F07E05" w:rsidRPr="00BD47B7" w:rsidRDefault="00F07E05" w:rsidP="008A253E">
            <w:pPr>
              <w:jc w:val="center"/>
            </w:pPr>
            <w:r w:rsidRPr="00BD47B7">
              <w:t>19 707,62</w:t>
            </w:r>
          </w:p>
        </w:tc>
      </w:tr>
      <w:tr w:rsidR="00F07E05" w:rsidTr="008A253E">
        <w:trPr>
          <w:trHeight w:val="570"/>
        </w:trPr>
        <w:tc>
          <w:tcPr>
            <w:tcW w:w="513" w:type="dxa"/>
            <w:tcBorders>
              <w:top w:val="nil"/>
              <w:left w:val="single" w:sz="4" w:space="0" w:color="auto"/>
              <w:bottom w:val="single" w:sz="4" w:space="0" w:color="auto"/>
              <w:right w:val="single" w:sz="4" w:space="0" w:color="auto"/>
            </w:tcBorders>
            <w:shd w:val="clear" w:color="000000" w:fill="FFFFFF"/>
            <w:vAlign w:val="bottom"/>
            <w:hideMark/>
          </w:tcPr>
          <w:p w:rsidR="00F07E05" w:rsidRPr="00BD47B7" w:rsidRDefault="00F07E05" w:rsidP="008A253E">
            <w:pPr>
              <w:jc w:val="center"/>
              <w:rPr>
                <w:sz w:val="22"/>
                <w:szCs w:val="22"/>
              </w:rPr>
            </w:pPr>
            <w:r w:rsidRPr="00BD47B7">
              <w:rPr>
                <w:sz w:val="22"/>
                <w:szCs w:val="22"/>
              </w:rPr>
              <w:t>9</w:t>
            </w:r>
          </w:p>
        </w:tc>
        <w:tc>
          <w:tcPr>
            <w:tcW w:w="4079" w:type="dxa"/>
            <w:tcBorders>
              <w:top w:val="nil"/>
              <w:left w:val="nil"/>
              <w:bottom w:val="single" w:sz="4" w:space="0" w:color="auto"/>
              <w:right w:val="single" w:sz="4" w:space="0" w:color="auto"/>
            </w:tcBorders>
            <w:shd w:val="clear" w:color="auto" w:fill="auto"/>
            <w:noWrap/>
            <w:vAlign w:val="bottom"/>
            <w:hideMark/>
          </w:tcPr>
          <w:p w:rsidR="00F07E05" w:rsidRPr="00BD47B7" w:rsidRDefault="00F07E05" w:rsidP="008A253E">
            <w:pPr>
              <w:rPr>
                <w:color w:val="000000"/>
                <w:sz w:val="22"/>
                <w:szCs w:val="22"/>
              </w:rPr>
            </w:pPr>
            <w:r w:rsidRPr="00BD47B7">
              <w:rPr>
                <w:color w:val="000000"/>
                <w:sz w:val="22"/>
                <w:szCs w:val="22"/>
              </w:rPr>
              <w:t>И.П. Тимонов И.А.</w:t>
            </w:r>
          </w:p>
        </w:tc>
        <w:tc>
          <w:tcPr>
            <w:tcW w:w="1014" w:type="dxa"/>
            <w:tcBorders>
              <w:top w:val="nil"/>
              <w:left w:val="nil"/>
              <w:bottom w:val="single" w:sz="4" w:space="0" w:color="auto"/>
              <w:right w:val="single" w:sz="4" w:space="0" w:color="auto"/>
            </w:tcBorders>
            <w:shd w:val="clear" w:color="000000" w:fill="FFFFFF"/>
            <w:vAlign w:val="bottom"/>
            <w:hideMark/>
          </w:tcPr>
          <w:p w:rsidR="00F07E05" w:rsidRPr="00BD47B7" w:rsidRDefault="00F07E05" w:rsidP="008A253E">
            <w:pPr>
              <w:jc w:val="center"/>
            </w:pPr>
            <w:r w:rsidRPr="00BD47B7">
              <w:t>100</w:t>
            </w:r>
          </w:p>
        </w:tc>
        <w:tc>
          <w:tcPr>
            <w:tcW w:w="989" w:type="dxa"/>
            <w:tcBorders>
              <w:top w:val="nil"/>
              <w:left w:val="nil"/>
              <w:bottom w:val="single" w:sz="4" w:space="0" w:color="auto"/>
              <w:right w:val="single" w:sz="4" w:space="0" w:color="auto"/>
            </w:tcBorders>
            <w:shd w:val="clear" w:color="000000" w:fill="FFFFFF"/>
            <w:vAlign w:val="bottom"/>
            <w:hideMark/>
          </w:tcPr>
          <w:p w:rsidR="00F07E05" w:rsidRPr="00BD47B7" w:rsidRDefault="00F07E05" w:rsidP="008A253E">
            <w:pPr>
              <w:jc w:val="center"/>
            </w:pPr>
            <w:r w:rsidRPr="00BD47B7">
              <w:t>40</w:t>
            </w:r>
          </w:p>
        </w:tc>
        <w:tc>
          <w:tcPr>
            <w:tcW w:w="1485" w:type="dxa"/>
            <w:tcBorders>
              <w:top w:val="nil"/>
              <w:left w:val="nil"/>
              <w:bottom w:val="single" w:sz="4" w:space="0" w:color="auto"/>
              <w:right w:val="single" w:sz="4" w:space="0" w:color="auto"/>
            </w:tcBorders>
            <w:shd w:val="clear" w:color="auto" w:fill="auto"/>
            <w:noWrap/>
            <w:vAlign w:val="bottom"/>
            <w:hideMark/>
          </w:tcPr>
          <w:p w:rsidR="00F07E05" w:rsidRPr="00BD47B7" w:rsidRDefault="00F07E05" w:rsidP="008A253E">
            <w:pPr>
              <w:jc w:val="right"/>
              <w:rPr>
                <w:color w:val="000000"/>
              </w:rPr>
            </w:pPr>
            <w:r w:rsidRPr="00BD47B7">
              <w:rPr>
                <w:color w:val="000000"/>
              </w:rPr>
              <w:t>4 000,00</w:t>
            </w:r>
          </w:p>
        </w:tc>
        <w:tc>
          <w:tcPr>
            <w:tcW w:w="1003" w:type="dxa"/>
            <w:tcBorders>
              <w:top w:val="nil"/>
              <w:left w:val="nil"/>
              <w:bottom w:val="single" w:sz="4" w:space="0" w:color="auto"/>
              <w:right w:val="single" w:sz="4" w:space="0" w:color="auto"/>
            </w:tcBorders>
            <w:shd w:val="clear" w:color="000000" w:fill="FFFFFF"/>
            <w:noWrap/>
            <w:vAlign w:val="bottom"/>
            <w:hideMark/>
          </w:tcPr>
          <w:p w:rsidR="00F07E05" w:rsidRPr="00BD47B7" w:rsidRDefault="00F07E05" w:rsidP="008A253E">
            <w:pPr>
              <w:jc w:val="center"/>
            </w:pPr>
            <w:r w:rsidRPr="00BD47B7">
              <w:t>41,6</w:t>
            </w:r>
          </w:p>
        </w:tc>
        <w:tc>
          <w:tcPr>
            <w:tcW w:w="1549" w:type="dxa"/>
            <w:tcBorders>
              <w:top w:val="nil"/>
              <w:left w:val="nil"/>
              <w:bottom w:val="single" w:sz="4" w:space="0" w:color="auto"/>
              <w:right w:val="single" w:sz="4" w:space="0" w:color="auto"/>
            </w:tcBorders>
            <w:shd w:val="clear" w:color="000000" w:fill="FFFFFF"/>
            <w:noWrap/>
            <w:vAlign w:val="bottom"/>
            <w:hideMark/>
          </w:tcPr>
          <w:p w:rsidR="00F07E05" w:rsidRPr="00BD47B7" w:rsidRDefault="00F07E05" w:rsidP="008A253E">
            <w:pPr>
              <w:jc w:val="center"/>
            </w:pPr>
            <w:r w:rsidRPr="00BD47B7">
              <w:t>4 160,00</w:t>
            </w:r>
          </w:p>
        </w:tc>
        <w:tc>
          <w:tcPr>
            <w:tcW w:w="1073" w:type="dxa"/>
            <w:tcBorders>
              <w:top w:val="nil"/>
              <w:left w:val="nil"/>
              <w:bottom w:val="single" w:sz="4" w:space="0" w:color="auto"/>
              <w:right w:val="single" w:sz="4" w:space="0" w:color="auto"/>
            </w:tcBorders>
            <w:shd w:val="clear" w:color="000000" w:fill="FFFFFF"/>
            <w:noWrap/>
            <w:vAlign w:val="bottom"/>
            <w:hideMark/>
          </w:tcPr>
          <w:p w:rsidR="00F07E05" w:rsidRPr="00BD47B7" w:rsidRDefault="00F07E05" w:rsidP="008A253E">
            <w:pPr>
              <w:jc w:val="center"/>
            </w:pPr>
            <w:r w:rsidRPr="00BD47B7">
              <w:t>43,26</w:t>
            </w:r>
          </w:p>
        </w:tc>
        <w:tc>
          <w:tcPr>
            <w:tcW w:w="1478" w:type="dxa"/>
            <w:tcBorders>
              <w:top w:val="nil"/>
              <w:left w:val="nil"/>
              <w:bottom w:val="single" w:sz="4" w:space="0" w:color="auto"/>
              <w:right w:val="single" w:sz="4" w:space="0" w:color="auto"/>
            </w:tcBorders>
            <w:shd w:val="clear" w:color="000000" w:fill="FFFFFF"/>
            <w:noWrap/>
            <w:vAlign w:val="bottom"/>
            <w:hideMark/>
          </w:tcPr>
          <w:p w:rsidR="00F07E05" w:rsidRPr="00BD47B7" w:rsidRDefault="00F07E05" w:rsidP="008A253E">
            <w:pPr>
              <w:jc w:val="center"/>
            </w:pPr>
            <w:r w:rsidRPr="00BD47B7">
              <w:t>4 326,40</w:t>
            </w:r>
          </w:p>
        </w:tc>
        <w:tc>
          <w:tcPr>
            <w:tcW w:w="1115" w:type="dxa"/>
            <w:tcBorders>
              <w:top w:val="nil"/>
              <w:left w:val="nil"/>
              <w:bottom w:val="single" w:sz="4" w:space="0" w:color="auto"/>
              <w:right w:val="single" w:sz="4" w:space="0" w:color="auto"/>
            </w:tcBorders>
            <w:shd w:val="clear" w:color="000000" w:fill="FFFFFF"/>
            <w:noWrap/>
            <w:vAlign w:val="bottom"/>
            <w:hideMark/>
          </w:tcPr>
          <w:p w:rsidR="00F07E05" w:rsidRPr="00BD47B7" w:rsidRDefault="00F07E05" w:rsidP="008A253E">
            <w:pPr>
              <w:jc w:val="center"/>
            </w:pPr>
            <w:r w:rsidRPr="00BD47B7">
              <w:t>44,99</w:t>
            </w:r>
          </w:p>
        </w:tc>
        <w:tc>
          <w:tcPr>
            <w:tcW w:w="1579" w:type="dxa"/>
            <w:tcBorders>
              <w:top w:val="nil"/>
              <w:left w:val="nil"/>
              <w:bottom w:val="single" w:sz="4" w:space="0" w:color="auto"/>
              <w:right w:val="single" w:sz="4" w:space="0" w:color="auto"/>
            </w:tcBorders>
            <w:shd w:val="clear" w:color="000000" w:fill="FFFFFF"/>
            <w:noWrap/>
            <w:vAlign w:val="bottom"/>
            <w:hideMark/>
          </w:tcPr>
          <w:p w:rsidR="00F07E05" w:rsidRPr="00BD47B7" w:rsidRDefault="00F07E05" w:rsidP="008A253E">
            <w:pPr>
              <w:jc w:val="center"/>
            </w:pPr>
            <w:r w:rsidRPr="00BD47B7">
              <w:t>4 499,46</w:t>
            </w:r>
          </w:p>
        </w:tc>
      </w:tr>
      <w:tr w:rsidR="00F07E05" w:rsidTr="008A253E">
        <w:trPr>
          <w:trHeight w:val="840"/>
        </w:trPr>
        <w:tc>
          <w:tcPr>
            <w:tcW w:w="513" w:type="dxa"/>
            <w:tcBorders>
              <w:top w:val="nil"/>
              <w:left w:val="single" w:sz="4" w:space="0" w:color="auto"/>
              <w:bottom w:val="single" w:sz="4" w:space="0" w:color="auto"/>
              <w:right w:val="single" w:sz="4" w:space="0" w:color="auto"/>
            </w:tcBorders>
            <w:shd w:val="clear" w:color="000000" w:fill="FFFFFF"/>
            <w:vAlign w:val="bottom"/>
            <w:hideMark/>
          </w:tcPr>
          <w:p w:rsidR="00F07E05" w:rsidRPr="00BD47B7" w:rsidRDefault="00F07E05" w:rsidP="008A253E">
            <w:pPr>
              <w:jc w:val="center"/>
              <w:rPr>
                <w:sz w:val="22"/>
                <w:szCs w:val="22"/>
              </w:rPr>
            </w:pPr>
            <w:r w:rsidRPr="00BD47B7">
              <w:rPr>
                <w:sz w:val="22"/>
                <w:szCs w:val="22"/>
              </w:rPr>
              <w:t>10</w:t>
            </w:r>
          </w:p>
        </w:tc>
        <w:tc>
          <w:tcPr>
            <w:tcW w:w="4079" w:type="dxa"/>
            <w:tcBorders>
              <w:top w:val="nil"/>
              <w:left w:val="nil"/>
              <w:bottom w:val="single" w:sz="4" w:space="0" w:color="auto"/>
              <w:right w:val="single" w:sz="4" w:space="0" w:color="auto"/>
            </w:tcBorders>
            <w:shd w:val="clear" w:color="auto" w:fill="auto"/>
            <w:noWrap/>
            <w:vAlign w:val="bottom"/>
            <w:hideMark/>
          </w:tcPr>
          <w:p w:rsidR="00F07E05" w:rsidRPr="00BD47B7" w:rsidRDefault="00F07E05" w:rsidP="008A253E">
            <w:pPr>
              <w:rPr>
                <w:color w:val="000000"/>
                <w:sz w:val="22"/>
                <w:szCs w:val="22"/>
              </w:rPr>
            </w:pPr>
            <w:r w:rsidRPr="00BD47B7">
              <w:rPr>
                <w:color w:val="000000"/>
                <w:sz w:val="22"/>
                <w:szCs w:val="22"/>
              </w:rPr>
              <w:t>ГБУЗ СДР "Теремок"</w:t>
            </w:r>
          </w:p>
        </w:tc>
        <w:tc>
          <w:tcPr>
            <w:tcW w:w="1014" w:type="dxa"/>
            <w:tcBorders>
              <w:top w:val="nil"/>
              <w:left w:val="nil"/>
              <w:bottom w:val="single" w:sz="4" w:space="0" w:color="auto"/>
              <w:right w:val="single" w:sz="4" w:space="0" w:color="auto"/>
            </w:tcBorders>
            <w:shd w:val="clear" w:color="000000" w:fill="FFFFFF"/>
            <w:vAlign w:val="bottom"/>
            <w:hideMark/>
          </w:tcPr>
          <w:p w:rsidR="00F07E05" w:rsidRPr="00BD47B7" w:rsidRDefault="00F07E05" w:rsidP="008A253E">
            <w:pPr>
              <w:jc w:val="center"/>
            </w:pPr>
            <w:r w:rsidRPr="00BD47B7">
              <w:t>534</w:t>
            </w:r>
          </w:p>
        </w:tc>
        <w:tc>
          <w:tcPr>
            <w:tcW w:w="989" w:type="dxa"/>
            <w:tcBorders>
              <w:top w:val="nil"/>
              <w:left w:val="nil"/>
              <w:bottom w:val="single" w:sz="4" w:space="0" w:color="auto"/>
              <w:right w:val="single" w:sz="4" w:space="0" w:color="auto"/>
            </w:tcBorders>
            <w:shd w:val="clear" w:color="000000" w:fill="FFFFFF"/>
            <w:vAlign w:val="bottom"/>
            <w:hideMark/>
          </w:tcPr>
          <w:p w:rsidR="00F07E05" w:rsidRPr="00BD47B7" w:rsidRDefault="00F07E05" w:rsidP="008A253E">
            <w:pPr>
              <w:jc w:val="center"/>
            </w:pPr>
            <w:r w:rsidRPr="00BD47B7">
              <w:t>40</w:t>
            </w:r>
          </w:p>
        </w:tc>
        <w:tc>
          <w:tcPr>
            <w:tcW w:w="1485" w:type="dxa"/>
            <w:tcBorders>
              <w:top w:val="nil"/>
              <w:left w:val="nil"/>
              <w:bottom w:val="single" w:sz="4" w:space="0" w:color="auto"/>
              <w:right w:val="single" w:sz="4" w:space="0" w:color="auto"/>
            </w:tcBorders>
            <w:shd w:val="clear" w:color="auto" w:fill="auto"/>
            <w:noWrap/>
            <w:vAlign w:val="bottom"/>
            <w:hideMark/>
          </w:tcPr>
          <w:p w:rsidR="00F07E05" w:rsidRPr="00BD47B7" w:rsidRDefault="00F07E05" w:rsidP="008A253E">
            <w:pPr>
              <w:jc w:val="right"/>
              <w:rPr>
                <w:color w:val="000000"/>
              </w:rPr>
            </w:pPr>
            <w:r w:rsidRPr="00BD47B7">
              <w:rPr>
                <w:color w:val="000000"/>
              </w:rPr>
              <w:t>21 360,00</w:t>
            </w:r>
          </w:p>
        </w:tc>
        <w:tc>
          <w:tcPr>
            <w:tcW w:w="1003" w:type="dxa"/>
            <w:tcBorders>
              <w:top w:val="nil"/>
              <w:left w:val="nil"/>
              <w:bottom w:val="single" w:sz="4" w:space="0" w:color="auto"/>
              <w:right w:val="single" w:sz="4" w:space="0" w:color="auto"/>
            </w:tcBorders>
            <w:shd w:val="clear" w:color="000000" w:fill="FFFFFF"/>
            <w:noWrap/>
            <w:vAlign w:val="bottom"/>
            <w:hideMark/>
          </w:tcPr>
          <w:p w:rsidR="00F07E05" w:rsidRPr="00BD47B7" w:rsidRDefault="00F07E05" w:rsidP="008A253E">
            <w:pPr>
              <w:jc w:val="center"/>
            </w:pPr>
            <w:r w:rsidRPr="00BD47B7">
              <w:t>41,6</w:t>
            </w:r>
          </w:p>
        </w:tc>
        <w:tc>
          <w:tcPr>
            <w:tcW w:w="1549" w:type="dxa"/>
            <w:tcBorders>
              <w:top w:val="nil"/>
              <w:left w:val="nil"/>
              <w:bottom w:val="single" w:sz="4" w:space="0" w:color="auto"/>
              <w:right w:val="single" w:sz="4" w:space="0" w:color="auto"/>
            </w:tcBorders>
            <w:shd w:val="clear" w:color="000000" w:fill="FFFFFF"/>
            <w:noWrap/>
            <w:vAlign w:val="bottom"/>
            <w:hideMark/>
          </w:tcPr>
          <w:p w:rsidR="00F07E05" w:rsidRPr="00BD47B7" w:rsidRDefault="00F07E05" w:rsidP="008A253E">
            <w:pPr>
              <w:jc w:val="center"/>
            </w:pPr>
            <w:r w:rsidRPr="00BD47B7">
              <w:t>22 214,40</w:t>
            </w:r>
          </w:p>
        </w:tc>
        <w:tc>
          <w:tcPr>
            <w:tcW w:w="1073" w:type="dxa"/>
            <w:tcBorders>
              <w:top w:val="nil"/>
              <w:left w:val="nil"/>
              <w:bottom w:val="single" w:sz="4" w:space="0" w:color="auto"/>
              <w:right w:val="single" w:sz="4" w:space="0" w:color="auto"/>
            </w:tcBorders>
            <w:shd w:val="clear" w:color="000000" w:fill="FFFFFF"/>
            <w:noWrap/>
            <w:vAlign w:val="bottom"/>
            <w:hideMark/>
          </w:tcPr>
          <w:p w:rsidR="00F07E05" w:rsidRPr="00BD47B7" w:rsidRDefault="00F07E05" w:rsidP="008A253E">
            <w:pPr>
              <w:jc w:val="center"/>
            </w:pPr>
            <w:r w:rsidRPr="00BD47B7">
              <w:t>43,26</w:t>
            </w:r>
          </w:p>
        </w:tc>
        <w:tc>
          <w:tcPr>
            <w:tcW w:w="1478" w:type="dxa"/>
            <w:tcBorders>
              <w:top w:val="nil"/>
              <w:left w:val="nil"/>
              <w:bottom w:val="single" w:sz="4" w:space="0" w:color="auto"/>
              <w:right w:val="single" w:sz="4" w:space="0" w:color="auto"/>
            </w:tcBorders>
            <w:shd w:val="clear" w:color="000000" w:fill="FFFFFF"/>
            <w:noWrap/>
            <w:vAlign w:val="bottom"/>
            <w:hideMark/>
          </w:tcPr>
          <w:p w:rsidR="00F07E05" w:rsidRPr="00BD47B7" w:rsidRDefault="00F07E05" w:rsidP="008A253E">
            <w:pPr>
              <w:jc w:val="center"/>
            </w:pPr>
            <w:r w:rsidRPr="00BD47B7">
              <w:t>23 102,98</w:t>
            </w:r>
          </w:p>
        </w:tc>
        <w:tc>
          <w:tcPr>
            <w:tcW w:w="1115" w:type="dxa"/>
            <w:tcBorders>
              <w:top w:val="nil"/>
              <w:left w:val="nil"/>
              <w:bottom w:val="single" w:sz="4" w:space="0" w:color="auto"/>
              <w:right w:val="single" w:sz="4" w:space="0" w:color="auto"/>
            </w:tcBorders>
            <w:shd w:val="clear" w:color="000000" w:fill="FFFFFF"/>
            <w:noWrap/>
            <w:vAlign w:val="bottom"/>
            <w:hideMark/>
          </w:tcPr>
          <w:p w:rsidR="00F07E05" w:rsidRPr="00BD47B7" w:rsidRDefault="00F07E05" w:rsidP="008A253E">
            <w:pPr>
              <w:jc w:val="center"/>
            </w:pPr>
            <w:r w:rsidRPr="00BD47B7">
              <w:t>44,99</w:t>
            </w:r>
          </w:p>
        </w:tc>
        <w:tc>
          <w:tcPr>
            <w:tcW w:w="1579" w:type="dxa"/>
            <w:tcBorders>
              <w:top w:val="nil"/>
              <w:left w:val="nil"/>
              <w:bottom w:val="single" w:sz="4" w:space="0" w:color="auto"/>
              <w:right w:val="single" w:sz="4" w:space="0" w:color="auto"/>
            </w:tcBorders>
            <w:shd w:val="clear" w:color="000000" w:fill="FFFFFF"/>
            <w:noWrap/>
            <w:vAlign w:val="bottom"/>
            <w:hideMark/>
          </w:tcPr>
          <w:p w:rsidR="00F07E05" w:rsidRPr="00BD47B7" w:rsidRDefault="00F07E05" w:rsidP="008A253E">
            <w:pPr>
              <w:jc w:val="center"/>
            </w:pPr>
            <w:r w:rsidRPr="00BD47B7">
              <w:t>24 027,10</w:t>
            </w:r>
          </w:p>
        </w:tc>
      </w:tr>
      <w:tr w:rsidR="00F07E05" w:rsidTr="008A253E">
        <w:trPr>
          <w:trHeight w:val="840"/>
        </w:trPr>
        <w:tc>
          <w:tcPr>
            <w:tcW w:w="513" w:type="dxa"/>
            <w:tcBorders>
              <w:top w:val="nil"/>
              <w:left w:val="single" w:sz="4" w:space="0" w:color="auto"/>
              <w:bottom w:val="single" w:sz="4" w:space="0" w:color="auto"/>
              <w:right w:val="single" w:sz="4" w:space="0" w:color="auto"/>
            </w:tcBorders>
            <w:shd w:val="clear" w:color="000000" w:fill="FFFFFF"/>
            <w:vAlign w:val="bottom"/>
            <w:hideMark/>
          </w:tcPr>
          <w:p w:rsidR="00F07E05" w:rsidRPr="00BD47B7" w:rsidRDefault="00F07E05" w:rsidP="008A253E">
            <w:pPr>
              <w:jc w:val="center"/>
              <w:rPr>
                <w:sz w:val="22"/>
                <w:szCs w:val="22"/>
              </w:rPr>
            </w:pPr>
            <w:r w:rsidRPr="00BD47B7">
              <w:rPr>
                <w:sz w:val="22"/>
                <w:szCs w:val="22"/>
              </w:rPr>
              <w:t>11</w:t>
            </w:r>
          </w:p>
        </w:tc>
        <w:tc>
          <w:tcPr>
            <w:tcW w:w="4079" w:type="dxa"/>
            <w:tcBorders>
              <w:top w:val="nil"/>
              <w:left w:val="nil"/>
              <w:bottom w:val="single" w:sz="4" w:space="0" w:color="auto"/>
              <w:right w:val="single" w:sz="4" w:space="0" w:color="auto"/>
            </w:tcBorders>
            <w:shd w:val="clear" w:color="auto" w:fill="auto"/>
            <w:noWrap/>
            <w:vAlign w:val="bottom"/>
            <w:hideMark/>
          </w:tcPr>
          <w:p w:rsidR="00F07E05" w:rsidRPr="00BD47B7" w:rsidRDefault="00F07E05" w:rsidP="008A253E">
            <w:pPr>
              <w:rPr>
                <w:color w:val="000000"/>
                <w:sz w:val="22"/>
                <w:szCs w:val="22"/>
              </w:rPr>
            </w:pPr>
            <w:r w:rsidRPr="00BD47B7">
              <w:rPr>
                <w:color w:val="000000"/>
                <w:sz w:val="22"/>
                <w:szCs w:val="22"/>
              </w:rPr>
              <w:t>ПАО Банк ФК Открытие</w:t>
            </w:r>
          </w:p>
        </w:tc>
        <w:tc>
          <w:tcPr>
            <w:tcW w:w="1014" w:type="dxa"/>
            <w:tcBorders>
              <w:top w:val="nil"/>
              <w:left w:val="nil"/>
              <w:bottom w:val="single" w:sz="4" w:space="0" w:color="auto"/>
              <w:right w:val="single" w:sz="4" w:space="0" w:color="auto"/>
            </w:tcBorders>
            <w:shd w:val="clear" w:color="000000" w:fill="FFFFFF"/>
            <w:vAlign w:val="bottom"/>
            <w:hideMark/>
          </w:tcPr>
          <w:p w:rsidR="00F07E05" w:rsidRPr="00BD47B7" w:rsidRDefault="00F07E05" w:rsidP="008A253E">
            <w:pPr>
              <w:jc w:val="center"/>
            </w:pPr>
            <w:r w:rsidRPr="00BD47B7">
              <w:t>500</w:t>
            </w:r>
          </w:p>
        </w:tc>
        <w:tc>
          <w:tcPr>
            <w:tcW w:w="989" w:type="dxa"/>
            <w:tcBorders>
              <w:top w:val="nil"/>
              <w:left w:val="nil"/>
              <w:bottom w:val="single" w:sz="4" w:space="0" w:color="auto"/>
              <w:right w:val="single" w:sz="4" w:space="0" w:color="auto"/>
            </w:tcBorders>
            <w:shd w:val="clear" w:color="000000" w:fill="FFFFFF"/>
            <w:vAlign w:val="bottom"/>
            <w:hideMark/>
          </w:tcPr>
          <w:p w:rsidR="00F07E05" w:rsidRPr="00BD47B7" w:rsidRDefault="00F07E05" w:rsidP="008A253E">
            <w:pPr>
              <w:jc w:val="center"/>
            </w:pPr>
            <w:r w:rsidRPr="00BD47B7">
              <w:t>40</w:t>
            </w:r>
          </w:p>
        </w:tc>
        <w:tc>
          <w:tcPr>
            <w:tcW w:w="1485" w:type="dxa"/>
            <w:tcBorders>
              <w:top w:val="nil"/>
              <w:left w:val="nil"/>
              <w:bottom w:val="single" w:sz="4" w:space="0" w:color="auto"/>
              <w:right w:val="single" w:sz="4" w:space="0" w:color="auto"/>
            </w:tcBorders>
            <w:shd w:val="clear" w:color="auto" w:fill="auto"/>
            <w:noWrap/>
            <w:vAlign w:val="bottom"/>
            <w:hideMark/>
          </w:tcPr>
          <w:p w:rsidR="00F07E05" w:rsidRPr="00BD47B7" w:rsidRDefault="00F07E05" w:rsidP="008A253E">
            <w:pPr>
              <w:jc w:val="right"/>
              <w:rPr>
                <w:color w:val="000000"/>
              </w:rPr>
            </w:pPr>
            <w:r w:rsidRPr="00BD47B7">
              <w:rPr>
                <w:color w:val="000000"/>
              </w:rPr>
              <w:t>20 000,00</w:t>
            </w:r>
          </w:p>
        </w:tc>
        <w:tc>
          <w:tcPr>
            <w:tcW w:w="1003" w:type="dxa"/>
            <w:tcBorders>
              <w:top w:val="nil"/>
              <w:left w:val="nil"/>
              <w:bottom w:val="single" w:sz="4" w:space="0" w:color="auto"/>
              <w:right w:val="single" w:sz="4" w:space="0" w:color="auto"/>
            </w:tcBorders>
            <w:shd w:val="clear" w:color="000000" w:fill="FFFFFF"/>
            <w:noWrap/>
            <w:vAlign w:val="bottom"/>
            <w:hideMark/>
          </w:tcPr>
          <w:p w:rsidR="00F07E05" w:rsidRPr="00BD47B7" w:rsidRDefault="00F07E05" w:rsidP="008A253E">
            <w:pPr>
              <w:jc w:val="center"/>
            </w:pPr>
            <w:r w:rsidRPr="00BD47B7">
              <w:t>41,6</w:t>
            </w:r>
          </w:p>
        </w:tc>
        <w:tc>
          <w:tcPr>
            <w:tcW w:w="1549" w:type="dxa"/>
            <w:tcBorders>
              <w:top w:val="nil"/>
              <w:left w:val="nil"/>
              <w:bottom w:val="single" w:sz="4" w:space="0" w:color="auto"/>
              <w:right w:val="single" w:sz="4" w:space="0" w:color="auto"/>
            </w:tcBorders>
            <w:shd w:val="clear" w:color="000000" w:fill="FFFFFF"/>
            <w:noWrap/>
            <w:vAlign w:val="bottom"/>
            <w:hideMark/>
          </w:tcPr>
          <w:p w:rsidR="00F07E05" w:rsidRPr="00BD47B7" w:rsidRDefault="00F07E05" w:rsidP="008A253E">
            <w:pPr>
              <w:jc w:val="center"/>
            </w:pPr>
            <w:r w:rsidRPr="00BD47B7">
              <w:t>20 800,00</w:t>
            </w:r>
          </w:p>
        </w:tc>
        <w:tc>
          <w:tcPr>
            <w:tcW w:w="1073" w:type="dxa"/>
            <w:tcBorders>
              <w:top w:val="nil"/>
              <w:left w:val="nil"/>
              <w:bottom w:val="single" w:sz="4" w:space="0" w:color="auto"/>
              <w:right w:val="single" w:sz="4" w:space="0" w:color="auto"/>
            </w:tcBorders>
            <w:shd w:val="clear" w:color="000000" w:fill="FFFFFF"/>
            <w:noWrap/>
            <w:vAlign w:val="bottom"/>
            <w:hideMark/>
          </w:tcPr>
          <w:p w:rsidR="00F07E05" w:rsidRPr="00BD47B7" w:rsidRDefault="00F07E05" w:rsidP="008A253E">
            <w:pPr>
              <w:jc w:val="center"/>
            </w:pPr>
            <w:r w:rsidRPr="00BD47B7">
              <w:t>43,26</w:t>
            </w:r>
          </w:p>
        </w:tc>
        <w:tc>
          <w:tcPr>
            <w:tcW w:w="1478" w:type="dxa"/>
            <w:tcBorders>
              <w:top w:val="nil"/>
              <w:left w:val="nil"/>
              <w:bottom w:val="single" w:sz="4" w:space="0" w:color="auto"/>
              <w:right w:val="single" w:sz="4" w:space="0" w:color="auto"/>
            </w:tcBorders>
            <w:shd w:val="clear" w:color="000000" w:fill="FFFFFF"/>
            <w:noWrap/>
            <w:vAlign w:val="bottom"/>
            <w:hideMark/>
          </w:tcPr>
          <w:p w:rsidR="00F07E05" w:rsidRPr="00BD47B7" w:rsidRDefault="00F07E05" w:rsidP="008A253E">
            <w:pPr>
              <w:jc w:val="center"/>
            </w:pPr>
            <w:r w:rsidRPr="00BD47B7">
              <w:t>21 632,00</w:t>
            </w:r>
          </w:p>
        </w:tc>
        <w:tc>
          <w:tcPr>
            <w:tcW w:w="1115" w:type="dxa"/>
            <w:tcBorders>
              <w:top w:val="nil"/>
              <w:left w:val="nil"/>
              <w:bottom w:val="single" w:sz="4" w:space="0" w:color="auto"/>
              <w:right w:val="single" w:sz="4" w:space="0" w:color="auto"/>
            </w:tcBorders>
            <w:shd w:val="clear" w:color="000000" w:fill="FFFFFF"/>
            <w:noWrap/>
            <w:vAlign w:val="bottom"/>
            <w:hideMark/>
          </w:tcPr>
          <w:p w:rsidR="00F07E05" w:rsidRPr="00BD47B7" w:rsidRDefault="00F07E05" w:rsidP="008A253E">
            <w:pPr>
              <w:jc w:val="center"/>
            </w:pPr>
            <w:r w:rsidRPr="00BD47B7">
              <w:t>44,99</w:t>
            </w:r>
          </w:p>
        </w:tc>
        <w:tc>
          <w:tcPr>
            <w:tcW w:w="1579" w:type="dxa"/>
            <w:tcBorders>
              <w:top w:val="nil"/>
              <w:left w:val="nil"/>
              <w:bottom w:val="single" w:sz="4" w:space="0" w:color="auto"/>
              <w:right w:val="single" w:sz="4" w:space="0" w:color="auto"/>
            </w:tcBorders>
            <w:shd w:val="clear" w:color="000000" w:fill="FFFFFF"/>
            <w:noWrap/>
            <w:vAlign w:val="bottom"/>
            <w:hideMark/>
          </w:tcPr>
          <w:p w:rsidR="00F07E05" w:rsidRPr="00BD47B7" w:rsidRDefault="00F07E05" w:rsidP="008A253E">
            <w:pPr>
              <w:jc w:val="center"/>
            </w:pPr>
            <w:r w:rsidRPr="00BD47B7">
              <w:t>22 497,28</w:t>
            </w:r>
          </w:p>
        </w:tc>
      </w:tr>
      <w:tr w:rsidR="00F07E05" w:rsidTr="008A253E">
        <w:trPr>
          <w:trHeight w:val="315"/>
        </w:trPr>
        <w:tc>
          <w:tcPr>
            <w:tcW w:w="513" w:type="dxa"/>
            <w:tcBorders>
              <w:top w:val="nil"/>
              <w:left w:val="single" w:sz="4" w:space="0" w:color="auto"/>
              <w:bottom w:val="single" w:sz="4" w:space="0" w:color="auto"/>
              <w:right w:val="single" w:sz="4" w:space="0" w:color="auto"/>
            </w:tcBorders>
            <w:shd w:val="clear" w:color="000000" w:fill="FFFFFF"/>
            <w:vAlign w:val="bottom"/>
            <w:hideMark/>
          </w:tcPr>
          <w:p w:rsidR="00F07E05" w:rsidRPr="00BD47B7" w:rsidRDefault="00F07E05" w:rsidP="008A253E">
            <w:pPr>
              <w:jc w:val="center"/>
              <w:rPr>
                <w:sz w:val="22"/>
                <w:szCs w:val="22"/>
              </w:rPr>
            </w:pPr>
            <w:r w:rsidRPr="00BD47B7">
              <w:rPr>
                <w:sz w:val="22"/>
                <w:szCs w:val="22"/>
              </w:rPr>
              <w:t>12</w:t>
            </w:r>
          </w:p>
        </w:tc>
        <w:tc>
          <w:tcPr>
            <w:tcW w:w="4079" w:type="dxa"/>
            <w:tcBorders>
              <w:top w:val="nil"/>
              <w:left w:val="nil"/>
              <w:bottom w:val="single" w:sz="4" w:space="0" w:color="auto"/>
              <w:right w:val="single" w:sz="4" w:space="0" w:color="auto"/>
            </w:tcBorders>
            <w:shd w:val="clear" w:color="auto" w:fill="auto"/>
            <w:noWrap/>
            <w:vAlign w:val="bottom"/>
            <w:hideMark/>
          </w:tcPr>
          <w:p w:rsidR="00F07E05" w:rsidRPr="00BD47B7" w:rsidRDefault="00F07E05" w:rsidP="008A253E">
            <w:pPr>
              <w:rPr>
                <w:color w:val="000000"/>
                <w:sz w:val="22"/>
                <w:szCs w:val="22"/>
              </w:rPr>
            </w:pPr>
            <w:r w:rsidRPr="00BD47B7">
              <w:rPr>
                <w:color w:val="000000"/>
                <w:sz w:val="22"/>
                <w:szCs w:val="22"/>
              </w:rPr>
              <w:t>Администрация МОТО Калининский раойн</w:t>
            </w:r>
          </w:p>
        </w:tc>
        <w:tc>
          <w:tcPr>
            <w:tcW w:w="1014" w:type="dxa"/>
            <w:tcBorders>
              <w:top w:val="nil"/>
              <w:left w:val="nil"/>
              <w:bottom w:val="single" w:sz="4" w:space="0" w:color="auto"/>
              <w:right w:val="single" w:sz="4" w:space="0" w:color="auto"/>
            </w:tcBorders>
            <w:shd w:val="clear" w:color="000000" w:fill="FFFFFF"/>
            <w:vAlign w:val="bottom"/>
            <w:hideMark/>
          </w:tcPr>
          <w:p w:rsidR="00F07E05" w:rsidRPr="00BD47B7" w:rsidRDefault="00F07E05" w:rsidP="008A253E">
            <w:pPr>
              <w:jc w:val="center"/>
            </w:pPr>
            <w:r w:rsidRPr="00BD47B7">
              <w:t>1000</w:t>
            </w:r>
          </w:p>
        </w:tc>
        <w:tc>
          <w:tcPr>
            <w:tcW w:w="989" w:type="dxa"/>
            <w:tcBorders>
              <w:top w:val="nil"/>
              <w:left w:val="nil"/>
              <w:bottom w:val="single" w:sz="4" w:space="0" w:color="auto"/>
              <w:right w:val="single" w:sz="4" w:space="0" w:color="auto"/>
            </w:tcBorders>
            <w:shd w:val="clear" w:color="000000" w:fill="FFFFFF"/>
            <w:vAlign w:val="bottom"/>
            <w:hideMark/>
          </w:tcPr>
          <w:p w:rsidR="00F07E05" w:rsidRPr="00BD47B7" w:rsidRDefault="00F07E05" w:rsidP="008A253E">
            <w:pPr>
              <w:jc w:val="center"/>
            </w:pPr>
            <w:r w:rsidRPr="00BD47B7">
              <w:t>40</w:t>
            </w:r>
          </w:p>
        </w:tc>
        <w:tc>
          <w:tcPr>
            <w:tcW w:w="1485" w:type="dxa"/>
            <w:tcBorders>
              <w:top w:val="nil"/>
              <w:left w:val="nil"/>
              <w:bottom w:val="single" w:sz="4" w:space="0" w:color="auto"/>
              <w:right w:val="single" w:sz="4" w:space="0" w:color="auto"/>
            </w:tcBorders>
            <w:shd w:val="clear" w:color="auto" w:fill="auto"/>
            <w:noWrap/>
            <w:vAlign w:val="bottom"/>
            <w:hideMark/>
          </w:tcPr>
          <w:p w:rsidR="00F07E05" w:rsidRPr="00BD47B7" w:rsidRDefault="00F07E05" w:rsidP="008A253E">
            <w:pPr>
              <w:jc w:val="right"/>
              <w:rPr>
                <w:color w:val="000000"/>
              </w:rPr>
            </w:pPr>
            <w:r w:rsidRPr="00BD47B7">
              <w:rPr>
                <w:color w:val="000000"/>
              </w:rPr>
              <w:t>40 000,00</w:t>
            </w:r>
          </w:p>
        </w:tc>
        <w:tc>
          <w:tcPr>
            <w:tcW w:w="1003" w:type="dxa"/>
            <w:tcBorders>
              <w:top w:val="nil"/>
              <w:left w:val="nil"/>
              <w:bottom w:val="single" w:sz="4" w:space="0" w:color="auto"/>
              <w:right w:val="single" w:sz="4" w:space="0" w:color="auto"/>
            </w:tcBorders>
            <w:shd w:val="clear" w:color="000000" w:fill="FFFFFF"/>
            <w:noWrap/>
            <w:vAlign w:val="bottom"/>
            <w:hideMark/>
          </w:tcPr>
          <w:p w:rsidR="00F07E05" w:rsidRPr="00BD47B7" w:rsidRDefault="00F07E05" w:rsidP="008A253E">
            <w:pPr>
              <w:jc w:val="center"/>
            </w:pPr>
            <w:r w:rsidRPr="00BD47B7">
              <w:t>41,6</w:t>
            </w:r>
          </w:p>
        </w:tc>
        <w:tc>
          <w:tcPr>
            <w:tcW w:w="1549" w:type="dxa"/>
            <w:tcBorders>
              <w:top w:val="nil"/>
              <w:left w:val="nil"/>
              <w:bottom w:val="single" w:sz="4" w:space="0" w:color="auto"/>
              <w:right w:val="single" w:sz="4" w:space="0" w:color="auto"/>
            </w:tcBorders>
            <w:shd w:val="clear" w:color="000000" w:fill="FFFFFF"/>
            <w:noWrap/>
            <w:vAlign w:val="bottom"/>
            <w:hideMark/>
          </w:tcPr>
          <w:p w:rsidR="00F07E05" w:rsidRPr="00BD47B7" w:rsidRDefault="00F07E05" w:rsidP="008A253E">
            <w:pPr>
              <w:jc w:val="center"/>
            </w:pPr>
            <w:r w:rsidRPr="00BD47B7">
              <w:t>41 600,00</w:t>
            </w:r>
          </w:p>
        </w:tc>
        <w:tc>
          <w:tcPr>
            <w:tcW w:w="1073" w:type="dxa"/>
            <w:tcBorders>
              <w:top w:val="nil"/>
              <w:left w:val="nil"/>
              <w:bottom w:val="single" w:sz="4" w:space="0" w:color="auto"/>
              <w:right w:val="single" w:sz="4" w:space="0" w:color="auto"/>
            </w:tcBorders>
            <w:shd w:val="clear" w:color="000000" w:fill="FFFFFF"/>
            <w:noWrap/>
            <w:vAlign w:val="bottom"/>
            <w:hideMark/>
          </w:tcPr>
          <w:p w:rsidR="00F07E05" w:rsidRPr="00BD47B7" w:rsidRDefault="00F07E05" w:rsidP="008A253E">
            <w:pPr>
              <w:jc w:val="center"/>
            </w:pPr>
            <w:r w:rsidRPr="00BD47B7">
              <w:t>43,26</w:t>
            </w:r>
          </w:p>
        </w:tc>
        <w:tc>
          <w:tcPr>
            <w:tcW w:w="1478" w:type="dxa"/>
            <w:tcBorders>
              <w:top w:val="nil"/>
              <w:left w:val="nil"/>
              <w:bottom w:val="single" w:sz="4" w:space="0" w:color="auto"/>
              <w:right w:val="single" w:sz="4" w:space="0" w:color="auto"/>
            </w:tcBorders>
            <w:shd w:val="clear" w:color="000000" w:fill="FFFFFF"/>
            <w:noWrap/>
            <w:vAlign w:val="bottom"/>
            <w:hideMark/>
          </w:tcPr>
          <w:p w:rsidR="00F07E05" w:rsidRPr="00BD47B7" w:rsidRDefault="00F07E05" w:rsidP="008A253E">
            <w:pPr>
              <w:jc w:val="center"/>
            </w:pPr>
            <w:r w:rsidRPr="00BD47B7">
              <w:t>43 264,00</w:t>
            </w:r>
          </w:p>
        </w:tc>
        <w:tc>
          <w:tcPr>
            <w:tcW w:w="1115" w:type="dxa"/>
            <w:tcBorders>
              <w:top w:val="nil"/>
              <w:left w:val="nil"/>
              <w:bottom w:val="single" w:sz="4" w:space="0" w:color="auto"/>
              <w:right w:val="single" w:sz="4" w:space="0" w:color="auto"/>
            </w:tcBorders>
            <w:shd w:val="clear" w:color="000000" w:fill="FFFFFF"/>
            <w:noWrap/>
            <w:vAlign w:val="bottom"/>
            <w:hideMark/>
          </w:tcPr>
          <w:p w:rsidR="00F07E05" w:rsidRPr="00BD47B7" w:rsidRDefault="00F07E05" w:rsidP="008A253E">
            <w:pPr>
              <w:jc w:val="center"/>
            </w:pPr>
            <w:r w:rsidRPr="00BD47B7">
              <w:t>44,99</w:t>
            </w:r>
          </w:p>
        </w:tc>
        <w:tc>
          <w:tcPr>
            <w:tcW w:w="1579" w:type="dxa"/>
            <w:tcBorders>
              <w:top w:val="nil"/>
              <w:left w:val="nil"/>
              <w:bottom w:val="single" w:sz="4" w:space="0" w:color="auto"/>
              <w:right w:val="single" w:sz="4" w:space="0" w:color="auto"/>
            </w:tcBorders>
            <w:shd w:val="clear" w:color="000000" w:fill="FFFFFF"/>
            <w:noWrap/>
            <w:vAlign w:val="bottom"/>
            <w:hideMark/>
          </w:tcPr>
          <w:p w:rsidR="00F07E05" w:rsidRPr="00BD47B7" w:rsidRDefault="00F07E05" w:rsidP="008A253E">
            <w:pPr>
              <w:jc w:val="center"/>
            </w:pPr>
            <w:r w:rsidRPr="00BD47B7">
              <w:t>44 994,56</w:t>
            </w:r>
          </w:p>
        </w:tc>
      </w:tr>
      <w:tr w:rsidR="00F07E05" w:rsidTr="008A253E">
        <w:trPr>
          <w:trHeight w:val="570"/>
        </w:trPr>
        <w:tc>
          <w:tcPr>
            <w:tcW w:w="513" w:type="dxa"/>
            <w:tcBorders>
              <w:top w:val="nil"/>
              <w:left w:val="single" w:sz="4" w:space="0" w:color="auto"/>
              <w:bottom w:val="single" w:sz="4" w:space="0" w:color="auto"/>
              <w:right w:val="single" w:sz="4" w:space="0" w:color="auto"/>
            </w:tcBorders>
            <w:shd w:val="clear" w:color="000000" w:fill="FFFFFF"/>
            <w:vAlign w:val="bottom"/>
            <w:hideMark/>
          </w:tcPr>
          <w:p w:rsidR="00F07E05" w:rsidRPr="00BD47B7" w:rsidRDefault="00F07E05" w:rsidP="008A253E">
            <w:pPr>
              <w:jc w:val="center"/>
              <w:rPr>
                <w:sz w:val="22"/>
                <w:szCs w:val="22"/>
              </w:rPr>
            </w:pPr>
            <w:r w:rsidRPr="00BD47B7">
              <w:rPr>
                <w:sz w:val="22"/>
                <w:szCs w:val="22"/>
              </w:rPr>
              <w:t>13</w:t>
            </w:r>
          </w:p>
        </w:tc>
        <w:tc>
          <w:tcPr>
            <w:tcW w:w="4079" w:type="dxa"/>
            <w:tcBorders>
              <w:top w:val="nil"/>
              <w:left w:val="nil"/>
              <w:bottom w:val="single" w:sz="4" w:space="0" w:color="auto"/>
              <w:right w:val="single" w:sz="4" w:space="0" w:color="auto"/>
            </w:tcBorders>
            <w:shd w:val="clear" w:color="auto" w:fill="auto"/>
            <w:vAlign w:val="bottom"/>
            <w:hideMark/>
          </w:tcPr>
          <w:p w:rsidR="00F07E05" w:rsidRPr="00BD47B7" w:rsidRDefault="00F07E05" w:rsidP="008A253E">
            <w:pPr>
              <w:rPr>
                <w:color w:val="000000"/>
                <w:sz w:val="22"/>
                <w:szCs w:val="22"/>
              </w:rPr>
            </w:pPr>
            <w:r w:rsidRPr="00BD47B7">
              <w:rPr>
                <w:color w:val="000000"/>
                <w:sz w:val="22"/>
                <w:szCs w:val="22"/>
              </w:rPr>
              <w:t>Фонд капитального ремонта многоквартирных домов</w:t>
            </w:r>
          </w:p>
        </w:tc>
        <w:tc>
          <w:tcPr>
            <w:tcW w:w="1014" w:type="dxa"/>
            <w:tcBorders>
              <w:top w:val="nil"/>
              <w:left w:val="nil"/>
              <w:bottom w:val="single" w:sz="4" w:space="0" w:color="auto"/>
              <w:right w:val="single" w:sz="4" w:space="0" w:color="auto"/>
            </w:tcBorders>
            <w:shd w:val="clear" w:color="000000" w:fill="FFFFFF"/>
            <w:vAlign w:val="bottom"/>
            <w:hideMark/>
          </w:tcPr>
          <w:p w:rsidR="00F07E05" w:rsidRPr="00BD47B7" w:rsidRDefault="00F07E05" w:rsidP="008A253E">
            <w:pPr>
              <w:jc w:val="center"/>
            </w:pPr>
            <w:r w:rsidRPr="00BD47B7">
              <w:t>1320</w:t>
            </w:r>
          </w:p>
        </w:tc>
        <w:tc>
          <w:tcPr>
            <w:tcW w:w="989" w:type="dxa"/>
            <w:tcBorders>
              <w:top w:val="nil"/>
              <w:left w:val="nil"/>
              <w:bottom w:val="single" w:sz="4" w:space="0" w:color="auto"/>
              <w:right w:val="single" w:sz="4" w:space="0" w:color="auto"/>
            </w:tcBorders>
            <w:shd w:val="clear" w:color="000000" w:fill="FFFFFF"/>
            <w:vAlign w:val="bottom"/>
            <w:hideMark/>
          </w:tcPr>
          <w:p w:rsidR="00F07E05" w:rsidRPr="00BD47B7" w:rsidRDefault="00F07E05" w:rsidP="008A253E">
            <w:pPr>
              <w:jc w:val="center"/>
            </w:pPr>
            <w:r w:rsidRPr="00BD47B7">
              <w:t>40</w:t>
            </w:r>
          </w:p>
        </w:tc>
        <w:tc>
          <w:tcPr>
            <w:tcW w:w="1485" w:type="dxa"/>
            <w:tcBorders>
              <w:top w:val="nil"/>
              <w:left w:val="nil"/>
              <w:bottom w:val="single" w:sz="4" w:space="0" w:color="auto"/>
              <w:right w:val="single" w:sz="4" w:space="0" w:color="auto"/>
            </w:tcBorders>
            <w:shd w:val="clear" w:color="auto" w:fill="auto"/>
            <w:noWrap/>
            <w:vAlign w:val="bottom"/>
            <w:hideMark/>
          </w:tcPr>
          <w:p w:rsidR="00F07E05" w:rsidRPr="00BD47B7" w:rsidRDefault="00F07E05" w:rsidP="008A253E">
            <w:pPr>
              <w:jc w:val="right"/>
              <w:rPr>
                <w:color w:val="000000"/>
              </w:rPr>
            </w:pPr>
            <w:r w:rsidRPr="00BD47B7">
              <w:rPr>
                <w:color w:val="000000"/>
              </w:rPr>
              <w:t>52 800,00</w:t>
            </w:r>
          </w:p>
        </w:tc>
        <w:tc>
          <w:tcPr>
            <w:tcW w:w="1003" w:type="dxa"/>
            <w:tcBorders>
              <w:top w:val="nil"/>
              <w:left w:val="nil"/>
              <w:bottom w:val="single" w:sz="4" w:space="0" w:color="auto"/>
              <w:right w:val="single" w:sz="4" w:space="0" w:color="auto"/>
            </w:tcBorders>
            <w:shd w:val="clear" w:color="000000" w:fill="FFFFFF"/>
            <w:noWrap/>
            <w:vAlign w:val="bottom"/>
            <w:hideMark/>
          </w:tcPr>
          <w:p w:rsidR="00F07E05" w:rsidRPr="00BD47B7" w:rsidRDefault="00F07E05" w:rsidP="008A253E">
            <w:pPr>
              <w:jc w:val="center"/>
            </w:pPr>
            <w:r w:rsidRPr="00BD47B7">
              <w:t>41,6</w:t>
            </w:r>
          </w:p>
        </w:tc>
        <w:tc>
          <w:tcPr>
            <w:tcW w:w="1549" w:type="dxa"/>
            <w:tcBorders>
              <w:top w:val="nil"/>
              <w:left w:val="nil"/>
              <w:bottom w:val="single" w:sz="4" w:space="0" w:color="auto"/>
              <w:right w:val="single" w:sz="4" w:space="0" w:color="auto"/>
            </w:tcBorders>
            <w:shd w:val="clear" w:color="000000" w:fill="FFFFFF"/>
            <w:noWrap/>
            <w:vAlign w:val="bottom"/>
            <w:hideMark/>
          </w:tcPr>
          <w:p w:rsidR="00F07E05" w:rsidRPr="00BD47B7" w:rsidRDefault="00F07E05" w:rsidP="008A253E">
            <w:pPr>
              <w:jc w:val="center"/>
            </w:pPr>
            <w:r w:rsidRPr="00BD47B7">
              <w:t>54 912,00</w:t>
            </w:r>
          </w:p>
        </w:tc>
        <w:tc>
          <w:tcPr>
            <w:tcW w:w="1073" w:type="dxa"/>
            <w:tcBorders>
              <w:top w:val="nil"/>
              <w:left w:val="nil"/>
              <w:bottom w:val="single" w:sz="4" w:space="0" w:color="auto"/>
              <w:right w:val="single" w:sz="4" w:space="0" w:color="auto"/>
            </w:tcBorders>
            <w:shd w:val="clear" w:color="000000" w:fill="FFFFFF"/>
            <w:noWrap/>
            <w:vAlign w:val="bottom"/>
            <w:hideMark/>
          </w:tcPr>
          <w:p w:rsidR="00F07E05" w:rsidRPr="00BD47B7" w:rsidRDefault="00F07E05" w:rsidP="008A253E">
            <w:pPr>
              <w:jc w:val="center"/>
            </w:pPr>
            <w:r w:rsidRPr="00BD47B7">
              <w:t>43,26</w:t>
            </w:r>
          </w:p>
        </w:tc>
        <w:tc>
          <w:tcPr>
            <w:tcW w:w="1478" w:type="dxa"/>
            <w:tcBorders>
              <w:top w:val="nil"/>
              <w:left w:val="nil"/>
              <w:bottom w:val="single" w:sz="4" w:space="0" w:color="auto"/>
              <w:right w:val="single" w:sz="4" w:space="0" w:color="auto"/>
            </w:tcBorders>
            <w:shd w:val="clear" w:color="000000" w:fill="FFFFFF"/>
            <w:noWrap/>
            <w:vAlign w:val="bottom"/>
            <w:hideMark/>
          </w:tcPr>
          <w:p w:rsidR="00F07E05" w:rsidRPr="00BD47B7" w:rsidRDefault="00F07E05" w:rsidP="008A253E">
            <w:pPr>
              <w:jc w:val="center"/>
            </w:pPr>
            <w:r w:rsidRPr="00BD47B7">
              <w:t>57 108,48</w:t>
            </w:r>
          </w:p>
        </w:tc>
        <w:tc>
          <w:tcPr>
            <w:tcW w:w="1115" w:type="dxa"/>
            <w:tcBorders>
              <w:top w:val="nil"/>
              <w:left w:val="nil"/>
              <w:bottom w:val="single" w:sz="4" w:space="0" w:color="auto"/>
              <w:right w:val="single" w:sz="4" w:space="0" w:color="auto"/>
            </w:tcBorders>
            <w:shd w:val="clear" w:color="000000" w:fill="FFFFFF"/>
            <w:noWrap/>
            <w:vAlign w:val="bottom"/>
            <w:hideMark/>
          </w:tcPr>
          <w:p w:rsidR="00F07E05" w:rsidRPr="00BD47B7" w:rsidRDefault="00F07E05" w:rsidP="008A253E">
            <w:pPr>
              <w:jc w:val="center"/>
            </w:pPr>
            <w:r w:rsidRPr="00BD47B7">
              <w:t>44,99</w:t>
            </w:r>
          </w:p>
        </w:tc>
        <w:tc>
          <w:tcPr>
            <w:tcW w:w="1579" w:type="dxa"/>
            <w:tcBorders>
              <w:top w:val="nil"/>
              <w:left w:val="nil"/>
              <w:bottom w:val="single" w:sz="4" w:space="0" w:color="auto"/>
              <w:right w:val="single" w:sz="4" w:space="0" w:color="auto"/>
            </w:tcBorders>
            <w:shd w:val="clear" w:color="000000" w:fill="FFFFFF"/>
            <w:noWrap/>
            <w:vAlign w:val="bottom"/>
            <w:hideMark/>
          </w:tcPr>
          <w:p w:rsidR="00F07E05" w:rsidRPr="00BD47B7" w:rsidRDefault="00F07E05" w:rsidP="008A253E">
            <w:pPr>
              <w:jc w:val="center"/>
            </w:pPr>
            <w:r w:rsidRPr="00BD47B7">
              <w:t>59 392,82</w:t>
            </w:r>
          </w:p>
        </w:tc>
      </w:tr>
      <w:tr w:rsidR="00F07E05" w:rsidTr="008A253E">
        <w:trPr>
          <w:trHeight w:val="570"/>
        </w:trPr>
        <w:tc>
          <w:tcPr>
            <w:tcW w:w="513" w:type="dxa"/>
            <w:tcBorders>
              <w:top w:val="nil"/>
              <w:left w:val="single" w:sz="4" w:space="0" w:color="auto"/>
              <w:bottom w:val="single" w:sz="4" w:space="0" w:color="auto"/>
              <w:right w:val="single" w:sz="4" w:space="0" w:color="auto"/>
            </w:tcBorders>
            <w:shd w:val="clear" w:color="000000" w:fill="FFFFFF"/>
            <w:vAlign w:val="bottom"/>
            <w:hideMark/>
          </w:tcPr>
          <w:p w:rsidR="00F07E05" w:rsidRPr="00BD47B7" w:rsidRDefault="00F07E05" w:rsidP="008A253E">
            <w:pPr>
              <w:jc w:val="center"/>
              <w:rPr>
                <w:sz w:val="22"/>
                <w:szCs w:val="22"/>
              </w:rPr>
            </w:pPr>
            <w:r w:rsidRPr="00BD47B7">
              <w:rPr>
                <w:sz w:val="22"/>
                <w:szCs w:val="22"/>
              </w:rPr>
              <w:lastRenderedPageBreak/>
              <w:t>14</w:t>
            </w:r>
          </w:p>
        </w:tc>
        <w:tc>
          <w:tcPr>
            <w:tcW w:w="4079" w:type="dxa"/>
            <w:tcBorders>
              <w:top w:val="nil"/>
              <w:left w:val="nil"/>
              <w:bottom w:val="single" w:sz="4" w:space="0" w:color="auto"/>
              <w:right w:val="single" w:sz="4" w:space="0" w:color="auto"/>
            </w:tcBorders>
            <w:shd w:val="clear" w:color="auto" w:fill="auto"/>
            <w:noWrap/>
            <w:vAlign w:val="bottom"/>
            <w:hideMark/>
          </w:tcPr>
          <w:p w:rsidR="00F07E05" w:rsidRPr="00BD47B7" w:rsidRDefault="00F07E05" w:rsidP="008A253E">
            <w:pPr>
              <w:rPr>
                <w:color w:val="000000"/>
                <w:sz w:val="22"/>
                <w:szCs w:val="22"/>
              </w:rPr>
            </w:pPr>
            <w:r w:rsidRPr="00BD47B7">
              <w:rPr>
                <w:color w:val="000000"/>
                <w:sz w:val="22"/>
                <w:szCs w:val="22"/>
              </w:rPr>
              <w:t xml:space="preserve">Управление Министрерства юстиции </w:t>
            </w:r>
          </w:p>
        </w:tc>
        <w:tc>
          <w:tcPr>
            <w:tcW w:w="1014" w:type="dxa"/>
            <w:tcBorders>
              <w:top w:val="nil"/>
              <w:left w:val="nil"/>
              <w:bottom w:val="single" w:sz="4" w:space="0" w:color="auto"/>
              <w:right w:val="single" w:sz="4" w:space="0" w:color="auto"/>
            </w:tcBorders>
            <w:shd w:val="clear" w:color="000000" w:fill="FFFFFF"/>
            <w:vAlign w:val="bottom"/>
            <w:hideMark/>
          </w:tcPr>
          <w:p w:rsidR="00F07E05" w:rsidRPr="00BD47B7" w:rsidRDefault="00F07E05" w:rsidP="008A253E">
            <w:pPr>
              <w:jc w:val="center"/>
            </w:pPr>
            <w:r w:rsidRPr="00BD47B7">
              <w:t>422</w:t>
            </w:r>
          </w:p>
        </w:tc>
        <w:tc>
          <w:tcPr>
            <w:tcW w:w="989" w:type="dxa"/>
            <w:tcBorders>
              <w:top w:val="nil"/>
              <w:left w:val="nil"/>
              <w:bottom w:val="single" w:sz="4" w:space="0" w:color="auto"/>
              <w:right w:val="single" w:sz="4" w:space="0" w:color="auto"/>
            </w:tcBorders>
            <w:shd w:val="clear" w:color="000000" w:fill="FFFFFF"/>
            <w:vAlign w:val="bottom"/>
            <w:hideMark/>
          </w:tcPr>
          <w:p w:rsidR="00F07E05" w:rsidRPr="00BD47B7" w:rsidRDefault="00F07E05" w:rsidP="008A253E">
            <w:pPr>
              <w:jc w:val="center"/>
            </w:pPr>
            <w:r w:rsidRPr="00BD47B7">
              <w:t>40</w:t>
            </w:r>
          </w:p>
        </w:tc>
        <w:tc>
          <w:tcPr>
            <w:tcW w:w="1485" w:type="dxa"/>
            <w:tcBorders>
              <w:top w:val="nil"/>
              <w:left w:val="nil"/>
              <w:bottom w:val="single" w:sz="4" w:space="0" w:color="auto"/>
              <w:right w:val="single" w:sz="4" w:space="0" w:color="auto"/>
            </w:tcBorders>
            <w:shd w:val="clear" w:color="auto" w:fill="auto"/>
            <w:noWrap/>
            <w:vAlign w:val="bottom"/>
            <w:hideMark/>
          </w:tcPr>
          <w:p w:rsidR="00F07E05" w:rsidRPr="00BD47B7" w:rsidRDefault="00F07E05" w:rsidP="008A253E">
            <w:pPr>
              <w:jc w:val="right"/>
              <w:rPr>
                <w:color w:val="000000"/>
              </w:rPr>
            </w:pPr>
            <w:r w:rsidRPr="00BD47B7">
              <w:rPr>
                <w:color w:val="000000"/>
              </w:rPr>
              <w:t>16 880,00</w:t>
            </w:r>
          </w:p>
        </w:tc>
        <w:tc>
          <w:tcPr>
            <w:tcW w:w="1003" w:type="dxa"/>
            <w:tcBorders>
              <w:top w:val="nil"/>
              <w:left w:val="nil"/>
              <w:bottom w:val="single" w:sz="4" w:space="0" w:color="auto"/>
              <w:right w:val="single" w:sz="4" w:space="0" w:color="auto"/>
            </w:tcBorders>
            <w:shd w:val="clear" w:color="000000" w:fill="FFFFFF"/>
            <w:noWrap/>
            <w:vAlign w:val="bottom"/>
            <w:hideMark/>
          </w:tcPr>
          <w:p w:rsidR="00F07E05" w:rsidRPr="00BD47B7" w:rsidRDefault="00F07E05" w:rsidP="008A253E">
            <w:pPr>
              <w:jc w:val="center"/>
            </w:pPr>
            <w:r w:rsidRPr="00BD47B7">
              <w:t>41,6</w:t>
            </w:r>
          </w:p>
        </w:tc>
        <w:tc>
          <w:tcPr>
            <w:tcW w:w="1549" w:type="dxa"/>
            <w:tcBorders>
              <w:top w:val="nil"/>
              <w:left w:val="nil"/>
              <w:bottom w:val="single" w:sz="4" w:space="0" w:color="auto"/>
              <w:right w:val="single" w:sz="4" w:space="0" w:color="auto"/>
            </w:tcBorders>
            <w:shd w:val="clear" w:color="000000" w:fill="FFFFFF"/>
            <w:noWrap/>
            <w:vAlign w:val="bottom"/>
            <w:hideMark/>
          </w:tcPr>
          <w:p w:rsidR="00F07E05" w:rsidRPr="00BD47B7" w:rsidRDefault="00F07E05" w:rsidP="008A253E">
            <w:pPr>
              <w:jc w:val="center"/>
            </w:pPr>
            <w:r w:rsidRPr="00BD47B7">
              <w:t>17 555,20</w:t>
            </w:r>
          </w:p>
        </w:tc>
        <w:tc>
          <w:tcPr>
            <w:tcW w:w="1073" w:type="dxa"/>
            <w:tcBorders>
              <w:top w:val="nil"/>
              <w:left w:val="nil"/>
              <w:bottom w:val="single" w:sz="4" w:space="0" w:color="auto"/>
              <w:right w:val="single" w:sz="4" w:space="0" w:color="auto"/>
            </w:tcBorders>
            <w:shd w:val="clear" w:color="000000" w:fill="FFFFFF"/>
            <w:noWrap/>
            <w:vAlign w:val="bottom"/>
            <w:hideMark/>
          </w:tcPr>
          <w:p w:rsidR="00F07E05" w:rsidRPr="00BD47B7" w:rsidRDefault="00F07E05" w:rsidP="008A253E">
            <w:pPr>
              <w:jc w:val="center"/>
            </w:pPr>
            <w:r w:rsidRPr="00BD47B7">
              <w:t>43,26</w:t>
            </w:r>
          </w:p>
        </w:tc>
        <w:tc>
          <w:tcPr>
            <w:tcW w:w="1478" w:type="dxa"/>
            <w:tcBorders>
              <w:top w:val="nil"/>
              <w:left w:val="nil"/>
              <w:bottom w:val="single" w:sz="4" w:space="0" w:color="auto"/>
              <w:right w:val="single" w:sz="4" w:space="0" w:color="auto"/>
            </w:tcBorders>
            <w:shd w:val="clear" w:color="000000" w:fill="FFFFFF"/>
            <w:noWrap/>
            <w:vAlign w:val="bottom"/>
            <w:hideMark/>
          </w:tcPr>
          <w:p w:rsidR="00F07E05" w:rsidRPr="00BD47B7" w:rsidRDefault="00F07E05" w:rsidP="008A253E">
            <w:pPr>
              <w:jc w:val="center"/>
            </w:pPr>
            <w:r w:rsidRPr="00BD47B7">
              <w:t>18 257,41</w:t>
            </w:r>
          </w:p>
        </w:tc>
        <w:tc>
          <w:tcPr>
            <w:tcW w:w="1115" w:type="dxa"/>
            <w:tcBorders>
              <w:top w:val="nil"/>
              <w:left w:val="nil"/>
              <w:bottom w:val="single" w:sz="4" w:space="0" w:color="auto"/>
              <w:right w:val="single" w:sz="4" w:space="0" w:color="auto"/>
            </w:tcBorders>
            <w:shd w:val="clear" w:color="000000" w:fill="FFFFFF"/>
            <w:noWrap/>
            <w:vAlign w:val="bottom"/>
            <w:hideMark/>
          </w:tcPr>
          <w:p w:rsidR="00F07E05" w:rsidRPr="00BD47B7" w:rsidRDefault="00F07E05" w:rsidP="008A253E">
            <w:pPr>
              <w:jc w:val="center"/>
            </w:pPr>
            <w:r w:rsidRPr="00BD47B7">
              <w:t>44,99</w:t>
            </w:r>
          </w:p>
        </w:tc>
        <w:tc>
          <w:tcPr>
            <w:tcW w:w="1579" w:type="dxa"/>
            <w:tcBorders>
              <w:top w:val="nil"/>
              <w:left w:val="nil"/>
              <w:bottom w:val="single" w:sz="4" w:space="0" w:color="auto"/>
              <w:right w:val="single" w:sz="4" w:space="0" w:color="auto"/>
            </w:tcBorders>
            <w:shd w:val="clear" w:color="000000" w:fill="FFFFFF"/>
            <w:noWrap/>
            <w:vAlign w:val="bottom"/>
            <w:hideMark/>
          </w:tcPr>
          <w:p w:rsidR="00F07E05" w:rsidRPr="00BD47B7" w:rsidRDefault="00F07E05" w:rsidP="008A253E">
            <w:pPr>
              <w:jc w:val="center"/>
            </w:pPr>
            <w:r w:rsidRPr="00BD47B7">
              <w:t>18 987,70</w:t>
            </w:r>
          </w:p>
        </w:tc>
      </w:tr>
      <w:tr w:rsidR="00F07E05" w:rsidTr="008A253E">
        <w:trPr>
          <w:trHeight w:val="330"/>
        </w:trPr>
        <w:tc>
          <w:tcPr>
            <w:tcW w:w="513" w:type="dxa"/>
            <w:tcBorders>
              <w:top w:val="nil"/>
              <w:left w:val="single" w:sz="4" w:space="0" w:color="auto"/>
              <w:bottom w:val="single" w:sz="4" w:space="0" w:color="auto"/>
              <w:right w:val="single" w:sz="4" w:space="0" w:color="auto"/>
            </w:tcBorders>
            <w:shd w:val="clear" w:color="000000" w:fill="FFFFFF"/>
            <w:vAlign w:val="bottom"/>
            <w:hideMark/>
          </w:tcPr>
          <w:p w:rsidR="00F07E05" w:rsidRPr="00BD47B7" w:rsidRDefault="00F07E05" w:rsidP="008A253E">
            <w:pPr>
              <w:jc w:val="center"/>
              <w:rPr>
                <w:sz w:val="22"/>
                <w:szCs w:val="22"/>
              </w:rPr>
            </w:pPr>
            <w:r w:rsidRPr="00BD47B7">
              <w:rPr>
                <w:sz w:val="22"/>
                <w:szCs w:val="22"/>
              </w:rPr>
              <w:t>15</w:t>
            </w:r>
          </w:p>
        </w:tc>
        <w:tc>
          <w:tcPr>
            <w:tcW w:w="4079" w:type="dxa"/>
            <w:tcBorders>
              <w:top w:val="nil"/>
              <w:left w:val="nil"/>
              <w:bottom w:val="single" w:sz="4" w:space="0" w:color="auto"/>
              <w:right w:val="single" w:sz="4" w:space="0" w:color="auto"/>
            </w:tcBorders>
            <w:shd w:val="clear" w:color="auto" w:fill="auto"/>
            <w:noWrap/>
            <w:vAlign w:val="bottom"/>
            <w:hideMark/>
          </w:tcPr>
          <w:p w:rsidR="00F07E05" w:rsidRPr="00BD47B7" w:rsidRDefault="00F07E05" w:rsidP="008A253E">
            <w:pPr>
              <w:rPr>
                <w:color w:val="000000"/>
                <w:sz w:val="22"/>
                <w:szCs w:val="22"/>
              </w:rPr>
            </w:pPr>
            <w:r w:rsidRPr="00BD47B7">
              <w:rPr>
                <w:color w:val="000000"/>
                <w:sz w:val="22"/>
                <w:szCs w:val="22"/>
              </w:rPr>
              <w:t>Прокуратура  ТО</w:t>
            </w:r>
          </w:p>
        </w:tc>
        <w:tc>
          <w:tcPr>
            <w:tcW w:w="1014" w:type="dxa"/>
            <w:tcBorders>
              <w:top w:val="nil"/>
              <w:left w:val="nil"/>
              <w:bottom w:val="single" w:sz="4" w:space="0" w:color="auto"/>
              <w:right w:val="single" w:sz="4" w:space="0" w:color="auto"/>
            </w:tcBorders>
            <w:shd w:val="clear" w:color="000000" w:fill="FFFFFF"/>
            <w:vAlign w:val="bottom"/>
            <w:hideMark/>
          </w:tcPr>
          <w:p w:rsidR="00F07E05" w:rsidRPr="00BD47B7" w:rsidRDefault="00F07E05" w:rsidP="008A253E">
            <w:pPr>
              <w:jc w:val="center"/>
            </w:pPr>
            <w:r w:rsidRPr="00BD47B7">
              <w:t>4602</w:t>
            </w:r>
          </w:p>
        </w:tc>
        <w:tc>
          <w:tcPr>
            <w:tcW w:w="989" w:type="dxa"/>
            <w:tcBorders>
              <w:top w:val="nil"/>
              <w:left w:val="nil"/>
              <w:bottom w:val="single" w:sz="4" w:space="0" w:color="auto"/>
              <w:right w:val="single" w:sz="4" w:space="0" w:color="auto"/>
            </w:tcBorders>
            <w:shd w:val="clear" w:color="000000" w:fill="FFFFFF"/>
            <w:vAlign w:val="bottom"/>
            <w:hideMark/>
          </w:tcPr>
          <w:p w:rsidR="00F07E05" w:rsidRPr="00BD47B7" w:rsidRDefault="00F07E05" w:rsidP="008A253E">
            <w:pPr>
              <w:jc w:val="center"/>
            </w:pPr>
            <w:r w:rsidRPr="00BD47B7">
              <w:t>40</w:t>
            </w:r>
          </w:p>
        </w:tc>
        <w:tc>
          <w:tcPr>
            <w:tcW w:w="1485" w:type="dxa"/>
            <w:tcBorders>
              <w:top w:val="nil"/>
              <w:left w:val="nil"/>
              <w:bottom w:val="single" w:sz="4" w:space="0" w:color="auto"/>
              <w:right w:val="single" w:sz="4" w:space="0" w:color="auto"/>
            </w:tcBorders>
            <w:shd w:val="clear" w:color="auto" w:fill="auto"/>
            <w:noWrap/>
            <w:vAlign w:val="bottom"/>
            <w:hideMark/>
          </w:tcPr>
          <w:p w:rsidR="00F07E05" w:rsidRPr="00BD47B7" w:rsidRDefault="00F07E05" w:rsidP="008A253E">
            <w:pPr>
              <w:jc w:val="right"/>
              <w:rPr>
                <w:color w:val="000000"/>
              </w:rPr>
            </w:pPr>
            <w:r w:rsidRPr="00BD47B7">
              <w:rPr>
                <w:color w:val="000000"/>
              </w:rPr>
              <w:t>184 080,00</w:t>
            </w:r>
          </w:p>
        </w:tc>
        <w:tc>
          <w:tcPr>
            <w:tcW w:w="1003" w:type="dxa"/>
            <w:tcBorders>
              <w:top w:val="nil"/>
              <w:left w:val="nil"/>
              <w:bottom w:val="single" w:sz="4" w:space="0" w:color="auto"/>
              <w:right w:val="single" w:sz="4" w:space="0" w:color="auto"/>
            </w:tcBorders>
            <w:shd w:val="clear" w:color="000000" w:fill="FFFFFF"/>
            <w:noWrap/>
            <w:vAlign w:val="bottom"/>
            <w:hideMark/>
          </w:tcPr>
          <w:p w:rsidR="00F07E05" w:rsidRPr="00BD47B7" w:rsidRDefault="00F07E05" w:rsidP="008A253E">
            <w:pPr>
              <w:jc w:val="center"/>
            </w:pPr>
            <w:r w:rsidRPr="00BD47B7">
              <w:t>41,6</w:t>
            </w:r>
          </w:p>
        </w:tc>
        <w:tc>
          <w:tcPr>
            <w:tcW w:w="1549" w:type="dxa"/>
            <w:tcBorders>
              <w:top w:val="nil"/>
              <w:left w:val="nil"/>
              <w:bottom w:val="single" w:sz="4" w:space="0" w:color="auto"/>
              <w:right w:val="single" w:sz="4" w:space="0" w:color="auto"/>
            </w:tcBorders>
            <w:shd w:val="clear" w:color="000000" w:fill="FFFFFF"/>
            <w:noWrap/>
            <w:vAlign w:val="bottom"/>
            <w:hideMark/>
          </w:tcPr>
          <w:p w:rsidR="00F07E05" w:rsidRPr="00BD47B7" w:rsidRDefault="00F07E05" w:rsidP="008A253E">
            <w:pPr>
              <w:jc w:val="center"/>
            </w:pPr>
            <w:r w:rsidRPr="00BD47B7">
              <w:t>191 443,20</w:t>
            </w:r>
          </w:p>
        </w:tc>
        <w:tc>
          <w:tcPr>
            <w:tcW w:w="1073" w:type="dxa"/>
            <w:tcBorders>
              <w:top w:val="nil"/>
              <w:left w:val="nil"/>
              <w:bottom w:val="single" w:sz="4" w:space="0" w:color="auto"/>
              <w:right w:val="single" w:sz="4" w:space="0" w:color="auto"/>
            </w:tcBorders>
            <w:shd w:val="clear" w:color="000000" w:fill="FFFFFF"/>
            <w:noWrap/>
            <w:vAlign w:val="bottom"/>
            <w:hideMark/>
          </w:tcPr>
          <w:p w:rsidR="00F07E05" w:rsidRPr="00BD47B7" w:rsidRDefault="00F07E05" w:rsidP="008A253E">
            <w:pPr>
              <w:jc w:val="center"/>
            </w:pPr>
            <w:r w:rsidRPr="00BD47B7">
              <w:t>43,26</w:t>
            </w:r>
          </w:p>
        </w:tc>
        <w:tc>
          <w:tcPr>
            <w:tcW w:w="1478" w:type="dxa"/>
            <w:tcBorders>
              <w:top w:val="nil"/>
              <w:left w:val="nil"/>
              <w:bottom w:val="single" w:sz="4" w:space="0" w:color="auto"/>
              <w:right w:val="single" w:sz="4" w:space="0" w:color="auto"/>
            </w:tcBorders>
            <w:shd w:val="clear" w:color="000000" w:fill="FFFFFF"/>
            <w:noWrap/>
            <w:vAlign w:val="bottom"/>
            <w:hideMark/>
          </w:tcPr>
          <w:p w:rsidR="00F07E05" w:rsidRPr="00BD47B7" w:rsidRDefault="00F07E05" w:rsidP="008A253E">
            <w:pPr>
              <w:jc w:val="center"/>
            </w:pPr>
            <w:r w:rsidRPr="00BD47B7">
              <w:t>199 100,93</w:t>
            </w:r>
          </w:p>
        </w:tc>
        <w:tc>
          <w:tcPr>
            <w:tcW w:w="1115" w:type="dxa"/>
            <w:tcBorders>
              <w:top w:val="nil"/>
              <w:left w:val="nil"/>
              <w:bottom w:val="single" w:sz="4" w:space="0" w:color="auto"/>
              <w:right w:val="single" w:sz="4" w:space="0" w:color="auto"/>
            </w:tcBorders>
            <w:shd w:val="clear" w:color="000000" w:fill="FFFFFF"/>
            <w:noWrap/>
            <w:vAlign w:val="bottom"/>
            <w:hideMark/>
          </w:tcPr>
          <w:p w:rsidR="00F07E05" w:rsidRPr="00BD47B7" w:rsidRDefault="00F07E05" w:rsidP="008A253E">
            <w:pPr>
              <w:jc w:val="center"/>
            </w:pPr>
            <w:r w:rsidRPr="00BD47B7">
              <w:t>44,99</w:t>
            </w:r>
          </w:p>
        </w:tc>
        <w:tc>
          <w:tcPr>
            <w:tcW w:w="1579" w:type="dxa"/>
            <w:tcBorders>
              <w:top w:val="nil"/>
              <w:left w:val="nil"/>
              <w:bottom w:val="single" w:sz="4" w:space="0" w:color="auto"/>
              <w:right w:val="single" w:sz="4" w:space="0" w:color="auto"/>
            </w:tcBorders>
            <w:shd w:val="clear" w:color="000000" w:fill="FFFFFF"/>
            <w:noWrap/>
            <w:vAlign w:val="bottom"/>
            <w:hideMark/>
          </w:tcPr>
          <w:p w:rsidR="00F07E05" w:rsidRPr="00BD47B7" w:rsidRDefault="00F07E05" w:rsidP="008A253E">
            <w:pPr>
              <w:jc w:val="center"/>
            </w:pPr>
            <w:r w:rsidRPr="00BD47B7">
              <w:t>207 064,97</w:t>
            </w:r>
          </w:p>
        </w:tc>
      </w:tr>
      <w:tr w:rsidR="00F07E05" w:rsidTr="008A253E">
        <w:trPr>
          <w:trHeight w:val="330"/>
        </w:trPr>
        <w:tc>
          <w:tcPr>
            <w:tcW w:w="513" w:type="dxa"/>
            <w:tcBorders>
              <w:top w:val="nil"/>
              <w:left w:val="single" w:sz="4" w:space="0" w:color="auto"/>
              <w:bottom w:val="single" w:sz="4" w:space="0" w:color="auto"/>
              <w:right w:val="single" w:sz="4" w:space="0" w:color="auto"/>
            </w:tcBorders>
            <w:shd w:val="clear" w:color="000000" w:fill="FFFFFF"/>
            <w:vAlign w:val="bottom"/>
            <w:hideMark/>
          </w:tcPr>
          <w:p w:rsidR="00F07E05" w:rsidRPr="00BD47B7" w:rsidRDefault="00F07E05" w:rsidP="008A253E">
            <w:pPr>
              <w:jc w:val="center"/>
              <w:rPr>
                <w:sz w:val="22"/>
                <w:szCs w:val="22"/>
              </w:rPr>
            </w:pPr>
            <w:r w:rsidRPr="00BD47B7">
              <w:rPr>
                <w:sz w:val="22"/>
                <w:szCs w:val="22"/>
              </w:rPr>
              <w:t>16</w:t>
            </w:r>
          </w:p>
        </w:tc>
        <w:tc>
          <w:tcPr>
            <w:tcW w:w="4079" w:type="dxa"/>
            <w:tcBorders>
              <w:top w:val="nil"/>
              <w:left w:val="nil"/>
              <w:bottom w:val="single" w:sz="4" w:space="0" w:color="auto"/>
              <w:right w:val="single" w:sz="4" w:space="0" w:color="auto"/>
            </w:tcBorders>
            <w:shd w:val="clear" w:color="auto" w:fill="auto"/>
            <w:noWrap/>
            <w:vAlign w:val="bottom"/>
            <w:hideMark/>
          </w:tcPr>
          <w:p w:rsidR="00F07E05" w:rsidRPr="00BD47B7" w:rsidRDefault="00F07E05" w:rsidP="008A253E">
            <w:pPr>
              <w:rPr>
                <w:color w:val="000000"/>
                <w:sz w:val="22"/>
                <w:szCs w:val="22"/>
              </w:rPr>
            </w:pPr>
            <w:r w:rsidRPr="00BD47B7">
              <w:rPr>
                <w:color w:val="000000"/>
                <w:sz w:val="22"/>
                <w:szCs w:val="22"/>
              </w:rPr>
              <w:t>ФКУ НИИИТ ФСИН Росиии</w:t>
            </w:r>
          </w:p>
        </w:tc>
        <w:tc>
          <w:tcPr>
            <w:tcW w:w="1014" w:type="dxa"/>
            <w:tcBorders>
              <w:top w:val="nil"/>
              <w:left w:val="nil"/>
              <w:bottom w:val="single" w:sz="4" w:space="0" w:color="auto"/>
              <w:right w:val="single" w:sz="4" w:space="0" w:color="auto"/>
            </w:tcBorders>
            <w:shd w:val="clear" w:color="000000" w:fill="FFFFFF"/>
            <w:vAlign w:val="bottom"/>
            <w:hideMark/>
          </w:tcPr>
          <w:p w:rsidR="00F07E05" w:rsidRPr="00BD47B7" w:rsidRDefault="00F07E05" w:rsidP="008A253E">
            <w:pPr>
              <w:jc w:val="center"/>
            </w:pPr>
            <w:r w:rsidRPr="00BD47B7">
              <w:t>25</w:t>
            </w:r>
          </w:p>
        </w:tc>
        <w:tc>
          <w:tcPr>
            <w:tcW w:w="989" w:type="dxa"/>
            <w:tcBorders>
              <w:top w:val="nil"/>
              <w:left w:val="nil"/>
              <w:bottom w:val="single" w:sz="4" w:space="0" w:color="auto"/>
              <w:right w:val="single" w:sz="4" w:space="0" w:color="auto"/>
            </w:tcBorders>
            <w:shd w:val="clear" w:color="000000" w:fill="FFFFFF"/>
            <w:vAlign w:val="bottom"/>
            <w:hideMark/>
          </w:tcPr>
          <w:p w:rsidR="00F07E05" w:rsidRPr="00BD47B7" w:rsidRDefault="00F07E05" w:rsidP="008A253E">
            <w:pPr>
              <w:jc w:val="center"/>
            </w:pPr>
            <w:r w:rsidRPr="00BD47B7">
              <w:t>40</w:t>
            </w:r>
          </w:p>
        </w:tc>
        <w:tc>
          <w:tcPr>
            <w:tcW w:w="1485" w:type="dxa"/>
            <w:tcBorders>
              <w:top w:val="nil"/>
              <w:left w:val="nil"/>
              <w:bottom w:val="single" w:sz="4" w:space="0" w:color="auto"/>
              <w:right w:val="single" w:sz="4" w:space="0" w:color="auto"/>
            </w:tcBorders>
            <w:shd w:val="clear" w:color="auto" w:fill="auto"/>
            <w:noWrap/>
            <w:vAlign w:val="bottom"/>
            <w:hideMark/>
          </w:tcPr>
          <w:p w:rsidR="00F07E05" w:rsidRPr="00BD47B7" w:rsidRDefault="00F07E05" w:rsidP="008A253E">
            <w:pPr>
              <w:jc w:val="right"/>
              <w:rPr>
                <w:color w:val="000000"/>
              </w:rPr>
            </w:pPr>
            <w:r w:rsidRPr="00BD47B7">
              <w:rPr>
                <w:color w:val="000000"/>
              </w:rPr>
              <w:t>1 000,00</w:t>
            </w:r>
          </w:p>
        </w:tc>
        <w:tc>
          <w:tcPr>
            <w:tcW w:w="1003" w:type="dxa"/>
            <w:tcBorders>
              <w:top w:val="nil"/>
              <w:left w:val="nil"/>
              <w:bottom w:val="single" w:sz="4" w:space="0" w:color="auto"/>
              <w:right w:val="single" w:sz="4" w:space="0" w:color="auto"/>
            </w:tcBorders>
            <w:shd w:val="clear" w:color="000000" w:fill="FFFFFF"/>
            <w:noWrap/>
            <w:vAlign w:val="bottom"/>
            <w:hideMark/>
          </w:tcPr>
          <w:p w:rsidR="00F07E05" w:rsidRPr="00BD47B7" w:rsidRDefault="00F07E05" w:rsidP="008A253E">
            <w:pPr>
              <w:jc w:val="center"/>
            </w:pPr>
            <w:r w:rsidRPr="00BD47B7">
              <w:t>41,6</w:t>
            </w:r>
          </w:p>
        </w:tc>
        <w:tc>
          <w:tcPr>
            <w:tcW w:w="1549" w:type="dxa"/>
            <w:tcBorders>
              <w:top w:val="nil"/>
              <w:left w:val="nil"/>
              <w:bottom w:val="single" w:sz="4" w:space="0" w:color="auto"/>
              <w:right w:val="single" w:sz="4" w:space="0" w:color="auto"/>
            </w:tcBorders>
            <w:shd w:val="clear" w:color="000000" w:fill="FFFFFF"/>
            <w:noWrap/>
            <w:vAlign w:val="bottom"/>
            <w:hideMark/>
          </w:tcPr>
          <w:p w:rsidR="00F07E05" w:rsidRPr="00BD47B7" w:rsidRDefault="00F07E05" w:rsidP="008A253E">
            <w:pPr>
              <w:jc w:val="center"/>
            </w:pPr>
            <w:r w:rsidRPr="00BD47B7">
              <w:t>1 040,00</w:t>
            </w:r>
          </w:p>
        </w:tc>
        <w:tc>
          <w:tcPr>
            <w:tcW w:w="1073" w:type="dxa"/>
            <w:tcBorders>
              <w:top w:val="nil"/>
              <w:left w:val="nil"/>
              <w:bottom w:val="single" w:sz="4" w:space="0" w:color="auto"/>
              <w:right w:val="single" w:sz="4" w:space="0" w:color="auto"/>
            </w:tcBorders>
            <w:shd w:val="clear" w:color="000000" w:fill="FFFFFF"/>
            <w:noWrap/>
            <w:vAlign w:val="bottom"/>
            <w:hideMark/>
          </w:tcPr>
          <w:p w:rsidR="00F07E05" w:rsidRPr="00BD47B7" w:rsidRDefault="00F07E05" w:rsidP="008A253E">
            <w:pPr>
              <w:jc w:val="center"/>
            </w:pPr>
            <w:r w:rsidRPr="00BD47B7">
              <w:t>43,26</w:t>
            </w:r>
          </w:p>
        </w:tc>
        <w:tc>
          <w:tcPr>
            <w:tcW w:w="1478" w:type="dxa"/>
            <w:tcBorders>
              <w:top w:val="nil"/>
              <w:left w:val="nil"/>
              <w:bottom w:val="single" w:sz="4" w:space="0" w:color="auto"/>
              <w:right w:val="single" w:sz="4" w:space="0" w:color="auto"/>
            </w:tcBorders>
            <w:shd w:val="clear" w:color="000000" w:fill="FFFFFF"/>
            <w:noWrap/>
            <w:vAlign w:val="bottom"/>
            <w:hideMark/>
          </w:tcPr>
          <w:p w:rsidR="00F07E05" w:rsidRPr="00BD47B7" w:rsidRDefault="00F07E05" w:rsidP="008A253E">
            <w:pPr>
              <w:jc w:val="center"/>
            </w:pPr>
            <w:r w:rsidRPr="00BD47B7">
              <w:t>1 081,60</w:t>
            </w:r>
          </w:p>
        </w:tc>
        <w:tc>
          <w:tcPr>
            <w:tcW w:w="1115" w:type="dxa"/>
            <w:tcBorders>
              <w:top w:val="nil"/>
              <w:left w:val="nil"/>
              <w:bottom w:val="single" w:sz="4" w:space="0" w:color="auto"/>
              <w:right w:val="single" w:sz="4" w:space="0" w:color="auto"/>
            </w:tcBorders>
            <w:shd w:val="clear" w:color="000000" w:fill="FFFFFF"/>
            <w:noWrap/>
            <w:vAlign w:val="bottom"/>
            <w:hideMark/>
          </w:tcPr>
          <w:p w:rsidR="00F07E05" w:rsidRPr="00BD47B7" w:rsidRDefault="00F07E05" w:rsidP="008A253E">
            <w:pPr>
              <w:jc w:val="center"/>
            </w:pPr>
            <w:r w:rsidRPr="00BD47B7">
              <w:t>44,99</w:t>
            </w:r>
          </w:p>
        </w:tc>
        <w:tc>
          <w:tcPr>
            <w:tcW w:w="1579" w:type="dxa"/>
            <w:tcBorders>
              <w:top w:val="nil"/>
              <w:left w:val="nil"/>
              <w:bottom w:val="single" w:sz="4" w:space="0" w:color="auto"/>
              <w:right w:val="single" w:sz="4" w:space="0" w:color="auto"/>
            </w:tcBorders>
            <w:shd w:val="clear" w:color="000000" w:fill="FFFFFF"/>
            <w:noWrap/>
            <w:vAlign w:val="bottom"/>
            <w:hideMark/>
          </w:tcPr>
          <w:p w:rsidR="00F07E05" w:rsidRPr="00BD47B7" w:rsidRDefault="00F07E05" w:rsidP="008A253E">
            <w:pPr>
              <w:jc w:val="center"/>
            </w:pPr>
            <w:r w:rsidRPr="00BD47B7">
              <w:t>1 124,86</w:t>
            </w:r>
          </w:p>
        </w:tc>
      </w:tr>
      <w:tr w:rsidR="00F07E05" w:rsidTr="008A253E">
        <w:trPr>
          <w:trHeight w:val="675"/>
        </w:trPr>
        <w:tc>
          <w:tcPr>
            <w:tcW w:w="513" w:type="dxa"/>
            <w:tcBorders>
              <w:top w:val="nil"/>
              <w:left w:val="single" w:sz="4" w:space="0" w:color="auto"/>
              <w:bottom w:val="single" w:sz="4" w:space="0" w:color="auto"/>
              <w:right w:val="single" w:sz="4" w:space="0" w:color="auto"/>
            </w:tcBorders>
            <w:shd w:val="clear" w:color="000000" w:fill="FFFFFF"/>
            <w:vAlign w:val="bottom"/>
            <w:hideMark/>
          </w:tcPr>
          <w:p w:rsidR="00F07E05" w:rsidRPr="00BD47B7" w:rsidRDefault="00F07E05" w:rsidP="008A253E">
            <w:pPr>
              <w:jc w:val="center"/>
              <w:rPr>
                <w:sz w:val="22"/>
                <w:szCs w:val="22"/>
              </w:rPr>
            </w:pPr>
            <w:r w:rsidRPr="00BD47B7">
              <w:rPr>
                <w:sz w:val="22"/>
                <w:szCs w:val="22"/>
              </w:rPr>
              <w:t>17</w:t>
            </w:r>
          </w:p>
        </w:tc>
        <w:tc>
          <w:tcPr>
            <w:tcW w:w="4079" w:type="dxa"/>
            <w:tcBorders>
              <w:top w:val="nil"/>
              <w:left w:val="nil"/>
              <w:bottom w:val="single" w:sz="4" w:space="0" w:color="auto"/>
              <w:right w:val="single" w:sz="4" w:space="0" w:color="auto"/>
            </w:tcBorders>
            <w:shd w:val="clear" w:color="auto" w:fill="auto"/>
            <w:noWrap/>
            <w:vAlign w:val="bottom"/>
            <w:hideMark/>
          </w:tcPr>
          <w:p w:rsidR="00F07E05" w:rsidRPr="00BD47B7" w:rsidRDefault="00F07E05" w:rsidP="008A253E">
            <w:pPr>
              <w:rPr>
                <w:color w:val="000000"/>
                <w:sz w:val="22"/>
                <w:szCs w:val="22"/>
              </w:rPr>
            </w:pPr>
            <w:r w:rsidRPr="00BD47B7">
              <w:rPr>
                <w:color w:val="000000"/>
                <w:sz w:val="22"/>
                <w:szCs w:val="22"/>
              </w:rPr>
              <w:t>ГБУК ТОКГ</w:t>
            </w:r>
          </w:p>
        </w:tc>
        <w:tc>
          <w:tcPr>
            <w:tcW w:w="1014" w:type="dxa"/>
            <w:tcBorders>
              <w:top w:val="nil"/>
              <w:left w:val="nil"/>
              <w:bottom w:val="single" w:sz="4" w:space="0" w:color="auto"/>
              <w:right w:val="single" w:sz="4" w:space="0" w:color="auto"/>
            </w:tcBorders>
            <w:shd w:val="clear" w:color="000000" w:fill="FFFFFF"/>
            <w:vAlign w:val="bottom"/>
            <w:hideMark/>
          </w:tcPr>
          <w:p w:rsidR="00F07E05" w:rsidRPr="00BD47B7" w:rsidRDefault="00F07E05" w:rsidP="008A253E">
            <w:pPr>
              <w:jc w:val="center"/>
            </w:pPr>
            <w:r w:rsidRPr="00BD47B7">
              <w:t>520</w:t>
            </w:r>
          </w:p>
        </w:tc>
        <w:tc>
          <w:tcPr>
            <w:tcW w:w="989" w:type="dxa"/>
            <w:tcBorders>
              <w:top w:val="nil"/>
              <w:left w:val="nil"/>
              <w:bottom w:val="single" w:sz="4" w:space="0" w:color="auto"/>
              <w:right w:val="single" w:sz="4" w:space="0" w:color="auto"/>
            </w:tcBorders>
            <w:shd w:val="clear" w:color="000000" w:fill="FFFFFF"/>
            <w:vAlign w:val="bottom"/>
            <w:hideMark/>
          </w:tcPr>
          <w:p w:rsidR="00F07E05" w:rsidRPr="00BD47B7" w:rsidRDefault="00F07E05" w:rsidP="008A253E">
            <w:pPr>
              <w:jc w:val="center"/>
            </w:pPr>
            <w:r w:rsidRPr="00BD47B7">
              <w:t>40</w:t>
            </w:r>
          </w:p>
        </w:tc>
        <w:tc>
          <w:tcPr>
            <w:tcW w:w="1485" w:type="dxa"/>
            <w:tcBorders>
              <w:top w:val="nil"/>
              <w:left w:val="nil"/>
              <w:bottom w:val="single" w:sz="4" w:space="0" w:color="auto"/>
              <w:right w:val="single" w:sz="4" w:space="0" w:color="auto"/>
            </w:tcBorders>
            <w:shd w:val="clear" w:color="auto" w:fill="auto"/>
            <w:noWrap/>
            <w:vAlign w:val="bottom"/>
            <w:hideMark/>
          </w:tcPr>
          <w:p w:rsidR="00F07E05" w:rsidRPr="00BD47B7" w:rsidRDefault="00F07E05" w:rsidP="008A253E">
            <w:pPr>
              <w:jc w:val="right"/>
              <w:rPr>
                <w:color w:val="000000"/>
              </w:rPr>
            </w:pPr>
            <w:r w:rsidRPr="00BD47B7">
              <w:rPr>
                <w:color w:val="000000"/>
              </w:rPr>
              <w:t>20 800,00</w:t>
            </w:r>
          </w:p>
        </w:tc>
        <w:tc>
          <w:tcPr>
            <w:tcW w:w="1003" w:type="dxa"/>
            <w:tcBorders>
              <w:top w:val="nil"/>
              <w:left w:val="nil"/>
              <w:bottom w:val="single" w:sz="4" w:space="0" w:color="auto"/>
              <w:right w:val="single" w:sz="4" w:space="0" w:color="auto"/>
            </w:tcBorders>
            <w:shd w:val="clear" w:color="000000" w:fill="FFFFFF"/>
            <w:noWrap/>
            <w:vAlign w:val="bottom"/>
            <w:hideMark/>
          </w:tcPr>
          <w:p w:rsidR="00F07E05" w:rsidRPr="00BD47B7" w:rsidRDefault="00F07E05" w:rsidP="008A253E">
            <w:pPr>
              <w:jc w:val="center"/>
            </w:pPr>
            <w:r w:rsidRPr="00BD47B7">
              <w:t>41,6</w:t>
            </w:r>
          </w:p>
        </w:tc>
        <w:tc>
          <w:tcPr>
            <w:tcW w:w="1549" w:type="dxa"/>
            <w:tcBorders>
              <w:top w:val="nil"/>
              <w:left w:val="nil"/>
              <w:bottom w:val="single" w:sz="4" w:space="0" w:color="auto"/>
              <w:right w:val="single" w:sz="4" w:space="0" w:color="auto"/>
            </w:tcBorders>
            <w:shd w:val="clear" w:color="000000" w:fill="FFFFFF"/>
            <w:noWrap/>
            <w:vAlign w:val="bottom"/>
            <w:hideMark/>
          </w:tcPr>
          <w:p w:rsidR="00F07E05" w:rsidRPr="00BD47B7" w:rsidRDefault="00F07E05" w:rsidP="008A253E">
            <w:pPr>
              <w:jc w:val="center"/>
            </w:pPr>
            <w:r w:rsidRPr="00BD47B7">
              <w:t>21 632,00</w:t>
            </w:r>
          </w:p>
        </w:tc>
        <w:tc>
          <w:tcPr>
            <w:tcW w:w="1073" w:type="dxa"/>
            <w:tcBorders>
              <w:top w:val="nil"/>
              <w:left w:val="nil"/>
              <w:bottom w:val="single" w:sz="4" w:space="0" w:color="auto"/>
              <w:right w:val="single" w:sz="4" w:space="0" w:color="auto"/>
            </w:tcBorders>
            <w:shd w:val="clear" w:color="000000" w:fill="FFFFFF"/>
            <w:noWrap/>
            <w:vAlign w:val="bottom"/>
            <w:hideMark/>
          </w:tcPr>
          <w:p w:rsidR="00F07E05" w:rsidRPr="00BD47B7" w:rsidRDefault="00F07E05" w:rsidP="008A253E">
            <w:pPr>
              <w:jc w:val="center"/>
            </w:pPr>
            <w:r w:rsidRPr="00BD47B7">
              <w:t>43,26</w:t>
            </w:r>
          </w:p>
        </w:tc>
        <w:tc>
          <w:tcPr>
            <w:tcW w:w="1478" w:type="dxa"/>
            <w:tcBorders>
              <w:top w:val="nil"/>
              <w:left w:val="nil"/>
              <w:bottom w:val="single" w:sz="4" w:space="0" w:color="auto"/>
              <w:right w:val="single" w:sz="4" w:space="0" w:color="auto"/>
            </w:tcBorders>
            <w:shd w:val="clear" w:color="000000" w:fill="FFFFFF"/>
            <w:noWrap/>
            <w:vAlign w:val="bottom"/>
            <w:hideMark/>
          </w:tcPr>
          <w:p w:rsidR="00F07E05" w:rsidRPr="00BD47B7" w:rsidRDefault="00F07E05" w:rsidP="008A253E">
            <w:pPr>
              <w:jc w:val="center"/>
            </w:pPr>
            <w:r w:rsidRPr="00BD47B7">
              <w:t>22 497,28</w:t>
            </w:r>
          </w:p>
        </w:tc>
        <w:tc>
          <w:tcPr>
            <w:tcW w:w="1115" w:type="dxa"/>
            <w:tcBorders>
              <w:top w:val="nil"/>
              <w:left w:val="nil"/>
              <w:bottom w:val="single" w:sz="4" w:space="0" w:color="auto"/>
              <w:right w:val="single" w:sz="4" w:space="0" w:color="auto"/>
            </w:tcBorders>
            <w:shd w:val="clear" w:color="000000" w:fill="FFFFFF"/>
            <w:noWrap/>
            <w:vAlign w:val="bottom"/>
            <w:hideMark/>
          </w:tcPr>
          <w:p w:rsidR="00F07E05" w:rsidRPr="00BD47B7" w:rsidRDefault="00F07E05" w:rsidP="008A253E">
            <w:pPr>
              <w:jc w:val="center"/>
            </w:pPr>
            <w:r w:rsidRPr="00BD47B7">
              <w:t>44,99</w:t>
            </w:r>
          </w:p>
        </w:tc>
        <w:tc>
          <w:tcPr>
            <w:tcW w:w="1579" w:type="dxa"/>
            <w:tcBorders>
              <w:top w:val="nil"/>
              <w:left w:val="nil"/>
              <w:bottom w:val="single" w:sz="4" w:space="0" w:color="auto"/>
              <w:right w:val="single" w:sz="4" w:space="0" w:color="auto"/>
            </w:tcBorders>
            <w:shd w:val="clear" w:color="000000" w:fill="FFFFFF"/>
            <w:noWrap/>
            <w:vAlign w:val="bottom"/>
            <w:hideMark/>
          </w:tcPr>
          <w:p w:rsidR="00F07E05" w:rsidRPr="00BD47B7" w:rsidRDefault="00F07E05" w:rsidP="008A253E">
            <w:pPr>
              <w:jc w:val="center"/>
            </w:pPr>
            <w:r w:rsidRPr="00BD47B7">
              <w:t>23 397,17</w:t>
            </w:r>
          </w:p>
        </w:tc>
      </w:tr>
      <w:tr w:rsidR="00F07E05" w:rsidTr="008A253E">
        <w:trPr>
          <w:trHeight w:val="274"/>
        </w:trPr>
        <w:tc>
          <w:tcPr>
            <w:tcW w:w="513" w:type="dxa"/>
            <w:tcBorders>
              <w:top w:val="nil"/>
              <w:left w:val="single" w:sz="4" w:space="0" w:color="auto"/>
              <w:bottom w:val="single" w:sz="4" w:space="0" w:color="auto"/>
              <w:right w:val="single" w:sz="4" w:space="0" w:color="auto"/>
            </w:tcBorders>
            <w:shd w:val="clear" w:color="000000" w:fill="FFFFFF"/>
            <w:vAlign w:val="bottom"/>
            <w:hideMark/>
          </w:tcPr>
          <w:p w:rsidR="00F07E05" w:rsidRPr="00BD47B7" w:rsidRDefault="00F07E05" w:rsidP="008A253E">
            <w:pPr>
              <w:jc w:val="center"/>
              <w:rPr>
                <w:sz w:val="22"/>
                <w:szCs w:val="22"/>
              </w:rPr>
            </w:pPr>
            <w:r w:rsidRPr="00BD47B7">
              <w:rPr>
                <w:sz w:val="22"/>
                <w:szCs w:val="22"/>
              </w:rPr>
              <w:t>18</w:t>
            </w:r>
          </w:p>
        </w:tc>
        <w:tc>
          <w:tcPr>
            <w:tcW w:w="4079" w:type="dxa"/>
            <w:tcBorders>
              <w:top w:val="nil"/>
              <w:left w:val="nil"/>
              <w:bottom w:val="single" w:sz="4" w:space="0" w:color="auto"/>
              <w:right w:val="single" w:sz="4" w:space="0" w:color="auto"/>
            </w:tcBorders>
            <w:shd w:val="clear" w:color="auto" w:fill="auto"/>
            <w:noWrap/>
            <w:vAlign w:val="bottom"/>
            <w:hideMark/>
          </w:tcPr>
          <w:p w:rsidR="00F07E05" w:rsidRPr="00BD47B7" w:rsidRDefault="00F07E05" w:rsidP="008A253E">
            <w:pPr>
              <w:rPr>
                <w:color w:val="000000"/>
                <w:sz w:val="22"/>
                <w:szCs w:val="22"/>
              </w:rPr>
            </w:pPr>
            <w:r w:rsidRPr="00BD47B7">
              <w:rPr>
                <w:color w:val="000000"/>
                <w:sz w:val="22"/>
                <w:szCs w:val="22"/>
              </w:rPr>
              <w:t>ГБПОУ ТХК м. А.Г. Венецианова"</w:t>
            </w:r>
          </w:p>
        </w:tc>
        <w:tc>
          <w:tcPr>
            <w:tcW w:w="1014" w:type="dxa"/>
            <w:tcBorders>
              <w:top w:val="nil"/>
              <w:left w:val="nil"/>
              <w:bottom w:val="single" w:sz="4" w:space="0" w:color="auto"/>
              <w:right w:val="single" w:sz="4" w:space="0" w:color="auto"/>
            </w:tcBorders>
            <w:shd w:val="clear" w:color="000000" w:fill="FFFFFF"/>
            <w:vAlign w:val="bottom"/>
            <w:hideMark/>
          </w:tcPr>
          <w:p w:rsidR="00F07E05" w:rsidRPr="00BD47B7" w:rsidRDefault="00F07E05" w:rsidP="008A253E">
            <w:pPr>
              <w:jc w:val="center"/>
            </w:pPr>
            <w:r w:rsidRPr="00BD47B7">
              <w:t>200</w:t>
            </w:r>
          </w:p>
        </w:tc>
        <w:tc>
          <w:tcPr>
            <w:tcW w:w="989" w:type="dxa"/>
            <w:tcBorders>
              <w:top w:val="nil"/>
              <w:left w:val="nil"/>
              <w:bottom w:val="single" w:sz="4" w:space="0" w:color="auto"/>
              <w:right w:val="single" w:sz="4" w:space="0" w:color="auto"/>
            </w:tcBorders>
            <w:shd w:val="clear" w:color="000000" w:fill="FFFFFF"/>
            <w:vAlign w:val="bottom"/>
            <w:hideMark/>
          </w:tcPr>
          <w:p w:rsidR="00F07E05" w:rsidRPr="00BD47B7" w:rsidRDefault="00F07E05" w:rsidP="008A253E">
            <w:pPr>
              <w:jc w:val="center"/>
            </w:pPr>
            <w:r w:rsidRPr="00BD47B7">
              <w:t>40</w:t>
            </w:r>
          </w:p>
        </w:tc>
        <w:tc>
          <w:tcPr>
            <w:tcW w:w="1485" w:type="dxa"/>
            <w:tcBorders>
              <w:top w:val="nil"/>
              <w:left w:val="nil"/>
              <w:bottom w:val="single" w:sz="4" w:space="0" w:color="auto"/>
              <w:right w:val="single" w:sz="4" w:space="0" w:color="auto"/>
            </w:tcBorders>
            <w:shd w:val="clear" w:color="auto" w:fill="auto"/>
            <w:noWrap/>
            <w:vAlign w:val="bottom"/>
            <w:hideMark/>
          </w:tcPr>
          <w:p w:rsidR="00F07E05" w:rsidRPr="00BD47B7" w:rsidRDefault="00F07E05" w:rsidP="008A253E">
            <w:pPr>
              <w:jc w:val="right"/>
              <w:rPr>
                <w:color w:val="000000"/>
              </w:rPr>
            </w:pPr>
            <w:r w:rsidRPr="00BD47B7">
              <w:rPr>
                <w:color w:val="000000"/>
              </w:rPr>
              <w:t>8 000,00</w:t>
            </w:r>
          </w:p>
        </w:tc>
        <w:tc>
          <w:tcPr>
            <w:tcW w:w="1003" w:type="dxa"/>
            <w:tcBorders>
              <w:top w:val="nil"/>
              <w:left w:val="nil"/>
              <w:bottom w:val="single" w:sz="4" w:space="0" w:color="auto"/>
              <w:right w:val="single" w:sz="4" w:space="0" w:color="auto"/>
            </w:tcBorders>
            <w:shd w:val="clear" w:color="000000" w:fill="FFFFFF"/>
            <w:noWrap/>
            <w:vAlign w:val="bottom"/>
            <w:hideMark/>
          </w:tcPr>
          <w:p w:rsidR="00F07E05" w:rsidRPr="00BD47B7" w:rsidRDefault="00F07E05" w:rsidP="008A253E">
            <w:pPr>
              <w:jc w:val="center"/>
            </w:pPr>
            <w:r w:rsidRPr="00BD47B7">
              <w:t>41,6</w:t>
            </w:r>
          </w:p>
        </w:tc>
        <w:tc>
          <w:tcPr>
            <w:tcW w:w="1549" w:type="dxa"/>
            <w:tcBorders>
              <w:top w:val="nil"/>
              <w:left w:val="nil"/>
              <w:bottom w:val="single" w:sz="4" w:space="0" w:color="auto"/>
              <w:right w:val="single" w:sz="4" w:space="0" w:color="auto"/>
            </w:tcBorders>
            <w:shd w:val="clear" w:color="000000" w:fill="FFFFFF"/>
            <w:noWrap/>
            <w:vAlign w:val="bottom"/>
            <w:hideMark/>
          </w:tcPr>
          <w:p w:rsidR="00F07E05" w:rsidRPr="00BD47B7" w:rsidRDefault="00F07E05" w:rsidP="008A253E">
            <w:pPr>
              <w:jc w:val="center"/>
            </w:pPr>
            <w:r w:rsidRPr="00BD47B7">
              <w:t>8 320,00</w:t>
            </w:r>
          </w:p>
        </w:tc>
        <w:tc>
          <w:tcPr>
            <w:tcW w:w="1073" w:type="dxa"/>
            <w:tcBorders>
              <w:top w:val="nil"/>
              <w:left w:val="nil"/>
              <w:bottom w:val="single" w:sz="4" w:space="0" w:color="auto"/>
              <w:right w:val="single" w:sz="4" w:space="0" w:color="auto"/>
            </w:tcBorders>
            <w:shd w:val="clear" w:color="000000" w:fill="FFFFFF"/>
            <w:noWrap/>
            <w:vAlign w:val="bottom"/>
            <w:hideMark/>
          </w:tcPr>
          <w:p w:rsidR="00F07E05" w:rsidRPr="00BD47B7" w:rsidRDefault="00F07E05" w:rsidP="008A253E">
            <w:pPr>
              <w:jc w:val="center"/>
            </w:pPr>
            <w:r w:rsidRPr="00BD47B7">
              <w:t>43,26</w:t>
            </w:r>
          </w:p>
        </w:tc>
        <w:tc>
          <w:tcPr>
            <w:tcW w:w="1478" w:type="dxa"/>
            <w:tcBorders>
              <w:top w:val="nil"/>
              <w:left w:val="nil"/>
              <w:bottom w:val="single" w:sz="4" w:space="0" w:color="auto"/>
              <w:right w:val="single" w:sz="4" w:space="0" w:color="auto"/>
            </w:tcBorders>
            <w:shd w:val="clear" w:color="000000" w:fill="FFFFFF"/>
            <w:noWrap/>
            <w:vAlign w:val="bottom"/>
            <w:hideMark/>
          </w:tcPr>
          <w:p w:rsidR="00F07E05" w:rsidRPr="00BD47B7" w:rsidRDefault="00F07E05" w:rsidP="008A253E">
            <w:pPr>
              <w:jc w:val="center"/>
            </w:pPr>
            <w:r w:rsidRPr="00BD47B7">
              <w:t>8 652,80</w:t>
            </w:r>
          </w:p>
        </w:tc>
        <w:tc>
          <w:tcPr>
            <w:tcW w:w="1115" w:type="dxa"/>
            <w:tcBorders>
              <w:top w:val="nil"/>
              <w:left w:val="nil"/>
              <w:bottom w:val="single" w:sz="4" w:space="0" w:color="auto"/>
              <w:right w:val="single" w:sz="4" w:space="0" w:color="auto"/>
            </w:tcBorders>
            <w:shd w:val="clear" w:color="000000" w:fill="FFFFFF"/>
            <w:noWrap/>
            <w:vAlign w:val="bottom"/>
            <w:hideMark/>
          </w:tcPr>
          <w:p w:rsidR="00F07E05" w:rsidRPr="00BD47B7" w:rsidRDefault="00F07E05" w:rsidP="008A253E">
            <w:pPr>
              <w:jc w:val="center"/>
            </w:pPr>
            <w:r w:rsidRPr="00BD47B7">
              <w:t>44,99</w:t>
            </w:r>
          </w:p>
        </w:tc>
        <w:tc>
          <w:tcPr>
            <w:tcW w:w="1579" w:type="dxa"/>
            <w:tcBorders>
              <w:top w:val="nil"/>
              <w:left w:val="nil"/>
              <w:bottom w:val="single" w:sz="4" w:space="0" w:color="auto"/>
              <w:right w:val="single" w:sz="4" w:space="0" w:color="auto"/>
            </w:tcBorders>
            <w:shd w:val="clear" w:color="000000" w:fill="FFFFFF"/>
            <w:noWrap/>
            <w:vAlign w:val="bottom"/>
            <w:hideMark/>
          </w:tcPr>
          <w:p w:rsidR="00F07E05" w:rsidRPr="00BD47B7" w:rsidRDefault="00F07E05" w:rsidP="008A253E">
            <w:pPr>
              <w:jc w:val="center"/>
            </w:pPr>
            <w:r w:rsidRPr="00BD47B7">
              <w:t>8 998,91</w:t>
            </w:r>
          </w:p>
        </w:tc>
      </w:tr>
      <w:tr w:rsidR="00F07E05" w:rsidTr="008A253E">
        <w:trPr>
          <w:trHeight w:val="529"/>
        </w:trPr>
        <w:tc>
          <w:tcPr>
            <w:tcW w:w="513" w:type="dxa"/>
            <w:tcBorders>
              <w:top w:val="nil"/>
              <w:left w:val="single" w:sz="4" w:space="0" w:color="auto"/>
              <w:bottom w:val="single" w:sz="4" w:space="0" w:color="auto"/>
              <w:right w:val="single" w:sz="4" w:space="0" w:color="auto"/>
            </w:tcBorders>
            <w:shd w:val="clear" w:color="000000" w:fill="FFFFFF"/>
            <w:vAlign w:val="bottom"/>
            <w:hideMark/>
          </w:tcPr>
          <w:p w:rsidR="00F07E05" w:rsidRPr="00BD47B7" w:rsidRDefault="00F07E05" w:rsidP="008A253E">
            <w:pPr>
              <w:jc w:val="center"/>
              <w:rPr>
                <w:sz w:val="22"/>
                <w:szCs w:val="22"/>
              </w:rPr>
            </w:pPr>
            <w:r w:rsidRPr="00BD47B7">
              <w:rPr>
                <w:sz w:val="22"/>
                <w:szCs w:val="22"/>
              </w:rPr>
              <w:t>19</w:t>
            </w:r>
          </w:p>
        </w:tc>
        <w:tc>
          <w:tcPr>
            <w:tcW w:w="4079" w:type="dxa"/>
            <w:tcBorders>
              <w:top w:val="nil"/>
              <w:left w:val="nil"/>
              <w:bottom w:val="single" w:sz="4" w:space="0" w:color="auto"/>
              <w:right w:val="single" w:sz="4" w:space="0" w:color="auto"/>
            </w:tcBorders>
            <w:shd w:val="clear" w:color="auto" w:fill="auto"/>
            <w:noWrap/>
            <w:vAlign w:val="bottom"/>
            <w:hideMark/>
          </w:tcPr>
          <w:p w:rsidR="00F07E05" w:rsidRPr="00BD47B7" w:rsidRDefault="00F07E05" w:rsidP="008A253E">
            <w:pPr>
              <w:rPr>
                <w:color w:val="000000"/>
                <w:sz w:val="22"/>
                <w:szCs w:val="22"/>
              </w:rPr>
            </w:pPr>
            <w:r w:rsidRPr="00BD47B7">
              <w:rPr>
                <w:color w:val="000000"/>
                <w:sz w:val="22"/>
                <w:szCs w:val="22"/>
              </w:rPr>
              <w:t>ГКУ "Центр занатости населения"</w:t>
            </w:r>
          </w:p>
        </w:tc>
        <w:tc>
          <w:tcPr>
            <w:tcW w:w="1014" w:type="dxa"/>
            <w:tcBorders>
              <w:top w:val="nil"/>
              <w:left w:val="nil"/>
              <w:bottom w:val="single" w:sz="4" w:space="0" w:color="auto"/>
              <w:right w:val="single" w:sz="4" w:space="0" w:color="auto"/>
            </w:tcBorders>
            <w:shd w:val="clear" w:color="000000" w:fill="FFFFFF"/>
            <w:vAlign w:val="bottom"/>
            <w:hideMark/>
          </w:tcPr>
          <w:p w:rsidR="00F07E05" w:rsidRPr="00BD47B7" w:rsidRDefault="00F07E05" w:rsidP="008A253E">
            <w:pPr>
              <w:jc w:val="center"/>
            </w:pPr>
            <w:r w:rsidRPr="00BD47B7">
              <w:t>618</w:t>
            </w:r>
          </w:p>
        </w:tc>
        <w:tc>
          <w:tcPr>
            <w:tcW w:w="989" w:type="dxa"/>
            <w:tcBorders>
              <w:top w:val="nil"/>
              <w:left w:val="nil"/>
              <w:bottom w:val="single" w:sz="4" w:space="0" w:color="auto"/>
              <w:right w:val="single" w:sz="4" w:space="0" w:color="auto"/>
            </w:tcBorders>
            <w:shd w:val="clear" w:color="000000" w:fill="FFFFFF"/>
            <w:vAlign w:val="bottom"/>
            <w:hideMark/>
          </w:tcPr>
          <w:p w:rsidR="00F07E05" w:rsidRPr="00BD47B7" w:rsidRDefault="00F07E05" w:rsidP="008A253E">
            <w:pPr>
              <w:jc w:val="center"/>
            </w:pPr>
            <w:r w:rsidRPr="00BD47B7">
              <w:t>40</w:t>
            </w:r>
          </w:p>
        </w:tc>
        <w:tc>
          <w:tcPr>
            <w:tcW w:w="1485" w:type="dxa"/>
            <w:tcBorders>
              <w:top w:val="nil"/>
              <w:left w:val="nil"/>
              <w:bottom w:val="single" w:sz="4" w:space="0" w:color="auto"/>
              <w:right w:val="single" w:sz="4" w:space="0" w:color="auto"/>
            </w:tcBorders>
            <w:shd w:val="clear" w:color="auto" w:fill="auto"/>
            <w:noWrap/>
            <w:vAlign w:val="bottom"/>
            <w:hideMark/>
          </w:tcPr>
          <w:p w:rsidR="00F07E05" w:rsidRPr="00BD47B7" w:rsidRDefault="00F07E05" w:rsidP="008A253E">
            <w:pPr>
              <w:jc w:val="right"/>
              <w:rPr>
                <w:color w:val="000000"/>
              </w:rPr>
            </w:pPr>
            <w:r w:rsidRPr="00BD47B7">
              <w:rPr>
                <w:color w:val="000000"/>
              </w:rPr>
              <w:t>24 720,00</w:t>
            </w:r>
          </w:p>
        </w:tc>
        <w:tc>
          <w:tcPr>
            <w:tcW w:w="1003" w:type="dxa"/>
            <w:tcBorders>
              <w:top w:val="nil"/>
              <w:left w:val="nil"/>
              <w:bottom w:val="single" w:sz="4" w:space="0" w:color="auto"/>
              <w:right w:val="single" w:sz="4" w:space="0" w:color="auto"/>
            </w:tcBorders>
            <w:shd w:val="clear" w:color="000000" w:fill="FFFFFF"/>
            <w:noWrap/>
            <w:vAlign w:val="bottom"/>
            <w:hideMark/>
          </w:tcPr>
          <w:p w:rsidR="00F07E05" w:rsidRPr="00BD47B7" w:rsidRDefault="00F07E05" w:rsidP="008A253E">
            <w:pPr>
              <w:jc w:val="center"/>
            </w:pPr>
            <w:r w:rsidRPr="00BD47B7">
              <w:t>41,6</w:t>
            </w:r>
          </w:p>
        </w:tc>
        <w:tc>
          <w:tcPr>
            <w:tcW w:w="1549" w:type="dxa"/>
            <w:tcBorders>
              <w:top w:val="nil"/>
              <w:left w:val="nil"/>
              <w:bottom w:val="single" w:sz="4" w:space="0" w:color="auto"/>
              <w:right w:val="single" w:sz="4" w:space="0" w:color="auto"/>
            </w:tcBorders>
            <w:shd w:val="clear" w:color="000000" w:fill="FFFFFF"/>
            <w:noWrap/>
            <w:vAlign w:val="bottom"/>
            <w:hideMark/>
          </w:tcPr>
          <w:p w:rsidR="00F07E05" w:rsidRPr="00BD47B7" w:rsidRDefault="00F07E05" w:rsidP="008A253E">
            <w:pPr>
              <w:jc w:val="center"/>
            </w:pPr>
            <w:r w:rsidRPr="00BD47B7">
              <w:t>25 708,80</w:t>
            </w:r>
          </w:p>
        </w:tc>
        <w:tc>
          <w:tcPr>
            <w:tcW w:w="1073" w:type="dxa"/>
            <w:tcBorders>
              <w:top w:val="nil"/>
              <w:left w:val="nil"/>
              <w:bottom w:val="single" w:sz="4" w:space="0" w:color="auto"/>
              <w:right w:val="single" w:sz="4" w:space="0" w:color="auto"/>
            </w:tcBorders>
            <w:shd w:val="clear" w:color="000000" w:fill="FFFFFF"/>
            <w:noWrap/>
            <w:vAlign w:val="bottom"/>
            <w:hideMark/>
          </w:tcPr>
          <w:p w:rsidR="00F07E05" w:rsidRPr="00BD47B7" w:rsidRDefault="00F07E05" w:rsidP="008A253E">
            <w:pPr>
              <w:jc w:val="center"/>
            </w:pPr>
            <w:r w:rsidRPr="00BD47B7">
              <w:t>43,26</w:t>
            </w:r>
          </w:p>
        </w:tc>
        <w:tc>
          <w:tcPr>
            <w:tcW w:w="1478" w:type="dxa"/>
            <w:tcBorders>
              <w:top w:val="nil"/>
              <w:left w:val="nil"/>
              <w:bottom w:val="single" w:sz="4" w:space="0" w:color="auto"/>
              <w:right w:val="single" w:sz="4" w:space="0" w:color="auto"/>
            </w:tcBorders>
            <w:shd w:val="clear" w:color="000000" w:fill="FFFFFF"/>
            <w:noWrap/>
            <w:vAlign w:val="bottom"/>
            <w:hideMark/>
          </w:tcPr>
          <w:p w:rsidR="00F07E05" w:rsidRPr="00BD47B7" w:rsidRDefault="00F07E05" w:rsidP="008A253E">
            <w:pPr>
              <w:jc w:val="center"/>
            </w:pPr>
            <w:r w:rsidRPr="00BD47B7">
              <w:t>26 737,15</w:t>
            </w:r>
          </w:p>
        </w:tc>
        <w:tc>
          <w:tcPr>
            <w:tcW w:w="1115" w:type="dxa"/>
            <w:tcBorders>
              <w:top w:val="nil"/>
              <w:left w:val="nil"/>
              <w:bottom w:val="single" w:sz="4" w:space="0" w:color="auto"/>
              <w:right w:val="single" w:sz="4" w:space="0" w:color="auto"/>
            </w:tcBorders>
            <w:shd w:val="clear" w:color="000000" w:fill="FFFFFF"/>
            <w:noWrap/>
            <w:vAlign w:val="bottom"/>
            <w:hideMark/>
          </w:tcPr>
          <w:p w:rsidR="00F07E05" w:rsidRPr="00BD47B7" w:rsidRDefault="00F07E05" w:rsidP="008A253E">
            <w:pPr>
              <w:jc w:val="center"/>
            </w:pPr>
            <w:r w:rsidRPr="00BD47B7">
              <w:t>44,99</w:t>
            </w:r>
          </w:p>
        </w:tc>
        <w:tc>
          <w:tcPr>
            <w:tcW w:w="1579" w:type="dxa"/>
            <w:tcBorders>
              <w:top w:val="nil"/>
              <w:left w:val="nil"/>
              <w:bottom w:val="single" w:sz="4" w:space="0" w:color="auto"/>
              <w:right w:val="single" w:sz="4" w:space="0" w:color="auto"/>
            </w:tcBorders>
            <w:shd w:val="clear" w:color="000000" w:fill="FFFFFF"/>
            <w:noWrap/>
            <w:vAlign w:val="bottom"/>
            <w:hideMark/>
          </w:tcPr>
          <w:p w:rsidR="00F07E05" w:rsidRPr="00BD47B7" w:rsidRDefault="00F07E05" w:rsidP="008A253E">
            <w:pPr>
              <w:jc w:val="center"/>
            </w:pPr>
            <w:r w:rsidRPr="00BD47B7">
              <w:t>27 806,64</w:t>
            </w:r>
          </w:p>
        </w:tc>
      </w:tr>
      <w:tr w:rsidR="00F07E05" w:rsidTr="008A253E">
        <w:trPr>
          <w:trHeight w:val="274"/>
        </w:trPr>
        <w:tc>
          <w:tcPr>
            <w:tcW w:w="513" w:type="dxa"/>
            <w:tcBorders>
              <w:top w:val="nil"/>
              <w:left w:val="single" w:sz="4" w:space="0" w:color="auto"/>
              <w:bottom w:val="single" w:sz="4" w:space="0" w:color="auto"/>
              <w:right w:val="single" w:sz="4" w:space="0" w:color="auto"/>
            </w:tcBorders>
            <w:shd w:val="clear" w:color="000000" w:fill="FFFFFF"/>
            <w:vAlign w:val="bottom"/>
            <w:hideMark/>
          </w:tcPr>
          <w:p w:rsidR="00F07E05" w:rsidRPr="00BD47B7" w:rsidRDefault="00F07E05" w:rsidP="008A253E">
            <w:pPr>
              <w:jc w:val="center"/>
              <w:rPr>
                <w:sz w:val="22"/>
                <w:szCs w:val="22"/>
              </w:rPr>
            </w:pPr>
            <w:r w:rsidRPr="00BD47B7">
              <w:rPr>
                <w:sz w:val="22"/>
                <w:szCs w:val="22"/>
              </w:rPr>
              <w:t>20</w:t>
            </w:r>
          </w:p>
        </w:tc>
        <w:tc>
          <w:tcPr>
            <w:tcW w:w="4079" w:type="dxa"/>
            <w:tcBorders>
              <w:top w:val="nil"/>
              <w:left w:val="nil"/>
              <w:bottom w:val="single" w:sz="4" w:space="0" w:color="auto"/>
              <w:right w:val="single" w:sz="4" w:space="0" w:color="auto"/>
            </w:tcBorders>
            <w:shd w:val="clear" w:color="auto" w:fill="auto"/>
            <w:noWrap/>
            <w:vAlign w:val="bottom"/>
            <w:hideMark/>
          </w:tcPr>
          <w:p w:rsidR="00F07E05" w:rsidRPr="00BD47B7" w:rsidRDefault="00F07E05" w:rsidP="008A253E">
            <w:pPr>
              <w:rPr>
                <w:color w:val="000000"/>
                <w:sz w:val="22"/>
                <w:szCs w:val="22"/>
              </w:rPr>
            </w:pPr>
            <w:r w:rsidRPr="00BD47B7">
              <w:rPr>
                <w:color w:val="000000"/>
                <w:sz w:val="22"/>
                <w:szCs w:val="22"/>
              </w:rPr>
              <w:t>ГАУ "МФЦ"</w:t>
            </w:r>
          </w:p>
        </w:tc>
        <w:tc>
          <w:tcPr>
            <w:tcW w:w="1014" w:type="dxa"/>
            <w:tcBorders>
              <w:top w:val="nil"/>
              <w:left w:val="nil"/>
              <w:bottom w:val="single" w:sz="4" w:space="0" w:color="auto"/>
              <w:right w:val="single" w:sz="4" w:space="0" w:color="auto"/>
            </w:tcBorders>
            <w:shd w:val="clear" w:color="000000" w:fill="FFFFFF"/>
            <w:vAlign w:val="bottom"/>
            <w:hideMark/>
          </w:tcPr>
          <w:p w:rsidR="00F07E05" w:rsidRPr="00BD47B7" w:rsidRDefault="00F07E05" w:rsidP="008A253E">
            <w:pPr>
              <w:jc w:val="center"/>
            </w:pPr>
            <w:r w:rsidRPr="00BD47B7">
              <w:t>1743</w:t>
            </w:r>
          </w:p>
        </w:tc>
        <w:tc>
          <w:tcPr>
            <w:tcW w:w="989" w:type="dxa"/>
            <w:tcBorders>
              <w:top w:val="nil"/>
              <w:left w:val="nil"/>
              <w:bottom w:val="single" w:sz="4" w:space="0" w:color="auto"/>
              <w:right w:val="single" w:sz="4" w:space="0" w:color="auto"/>
            </w:tcBorders>
            <w:shd w:val="clear" w:color="000000" w:fill="FFFFFF"/>
            <w:vAlign w:val="bottom"/>
            <w:hideMark/>
          </w:tcPr>
          <w:p w:rsidR="00F07E05" w:rsidRPr="00BD47B7" w:rsidRDefault="00F07E05" w:rsidP="008A253E">
            <w:pPr>
              <w:jc w:val="center"/>
            </w:pPr>
            <w:r w:rsidRPr="00BD47B7">
              <w:t>40</w:t>
            </w:r>
          </w:p>
        </w:tc>
        <w:tc>
          <w:tcPr>
            <w:tcW w:w="1485" w:type="dxa"/>
            <w:tcBorders>
              <w:top w:val="nil"/>
              <w:left w:val="nil"/>
              <w:bottom w:val="single" w:sz="4" w:space="0" w:color="auto"/>
              <w:right w:val="single" w:sz="4" w:space="0" w:color="auto"/>
            </w:tcBorders>
            <w:shd w:val="clear" w:color="auto" w:fill="auto"/>
            <w:noWrap/>
            <w:vAlign w:val="bottom"/>
            <w:hideMark/>
          </w:tcPr>
          <w:p w:rsidR="00F07E05" w:rsidRPr="00BD47B7" w:rsidRDefault="00F07E05" w:rsidP="008A253E">
            <w:pPr>
              <w:jc w:val="right"/>
              <w:rPr>
                <w:color w:val="000000"/>
              </w:rPr>
            </w:pPr>
            <w:r w:rsidRPr="00BD47B7">
              <w:rPr>
                <w:color w:val="000000"/>
              </w:rPr>
              <w:t>69 720,00</w:t>
            </w:r>
          </w:p>
        </w:tc>
        <w:tc>
          <w:tcPr>
            <w:tcW w:w="1003" w:type="dxa"/>
            <w:tcBorders>
              <w:top w:val="nil"/>
              <w:left w:val="nil"/>
              <w:bottom w:val="single" w:sz="4" w:space="0" w:color="auto"/>
              <w:right w:val="single" w:sz="4" w:space="0" w:color="auto"/>
            </w:tcBorders>
            <w:shd w:val="clear" w:color="000000" w:fill="FFFFFF"/>
            <w:noWrap/>
            <w:vAlign w:val="bottom"/>
            <w:hideMark/>
          </w:tcPr>
          <w:p w:rsidR="00F07E05" w:rsidRPr="00BD47B7" w:rsidRDefault="00F07E05" w:rsidP="008A253E">
            <w:pPr>
              <w:jc w:val="center"/>
            </w:pPr>
            <w:r w:rsidRPr="00BD47B7">
              <w:t>41,6</w:t>
            </w:r>
          </w:p>
        </w:tc>
        <w:tc>
          <w:tcPr>
            <w:tcW w:w="1549" w:type="dxa"/>
            <w:tcBorders>
              <w:top w:val="nil"/>
              <w:left w:val="nil"/>
              <w:bottom w:val="single" w:sz="4" w:space="0" w:color="auto"/>
              <w:right w:val="single" w:sz="4" w:space="0" w:color="auto"/>
            </w:tcBorders>
            <w:shd w:val="clear" w:color="000000" w:fill="FFFFFF"/>
            <w:noWrap/>
            <w:vAlign w:val="bottom"/>
            <w:hideMark/>
          </w:tcPr>
          <w:p w:rsidR="00F07E05" w:rsidRPr="00BD47B7" w:rsidRDefault="00F07E05" w:rsidP="008A253E">
            <w:pPr>
              <w:jc w:val="center"/>
            </w:pPr>
            <w:r w:rsidRPr="00BD47B7">
              <w:t>72 508,80</w:t>
            </w:r>
          </w:p>
        </w:tc>
        <w:tc>
          <w:tcPr>
            <w:tcW w:w="1073" w:type="dxa"/>
            <w:tcBorders>
              <w:top w:val="nil"/>
              <w:left w:val="nil"/>
              <w:bottom w:val="single" w:sz="4" w:space="0" w:color="auto"/>
              <w:right w:val="single" w:sz="4" w:space="0" w:color="auto"/>
            </w:tcBorders>
            <w:shd w:val="clear" w:color="000000" w:fill="FFFFFF"/>
            <w:noWrap/>
            <w:vAlign w:val="bottom"/>
            <w:hideMark/>
          </w:tcPr>
          <w:p w:rsidR="00F07E05" w:rsidRPr="00BD47B7" w:rsidRDefault="00F07E05" w:rsidP="008A253E">
            <w:pPr>
              <w:jc w:val="center"/>
            </w:pPr>
            <w:r w:rsidRPr="00BD47B7">
              <w:t>43,26</w:t>
            </w:r>
          </w:p>
        </w:tc>
        <w:tc>
          <w:tcPr>
            <w:tcW w:w="1478" w:type="dxa"/>
            <w:tcBorders>
              <w:top w:val="nil"/>
              <w:left w:val="nil"/>
              <w:bottom w:val="single" w:sz="4" w:space="0" w:color="auto"/>
              <w:right w:val="single" w:sz="4" w:space="0" w:color="auto"/>
            </w:tcBorders>
            <w:shd w:val="clear" w:color="000000" w:fill="FFFFFF"/>
            <w:noWrap/>
            <w:vAlign w:val="bottom"/>
            <w:hideMark/>
          </w:tcPr>
          <w:p w:rsidR="00F07E05" w:rsidRPr="00BD47B7" w:rsidRDefault="00F07E05" w:rsidP="008A253E">
            <w:pPr>
              <w:jc w:val="center"/>
            </w:pPr>
            <w:r w:rsidRPr="00BD47B7">
              <w:t>75 409,15</w:t>
            </w:r>
          </w:p>
        </w:tc>
        <w:tc>
          <w:tcPr>
            <w:tcW w:w="1115" w:type="dxa"/>
            <w:tcBorders>
              <w:top w:val="nil"/>
              <w:left w:val="nil"/>
              <w:bottom w:val="single" w:sz="4" w:space="0" w:color="auto"/>
              <w:right w:val="single" w:sz="4" w:space="0" w:color="auto"/>
            </w:tcBorders>
            <w:shd w:val="clear" w:color="000000" w:fill="FFFFFF"/>
            <w:noWrap/>
            <w:vAlign w:val="bottom"/>
            <w:hideMark/>
          </w:tcPr>
          <w:p w:rsidR="00F07E05" w:rsidRPr="00BD47B7" w:rsidRDefault="00F07E05" w:rsidP="008A253E">
            <w:pPr>
              <w:jc w:val="center"/>
            </w:pPr>
            <w:r w:rsidRPr="00BD47B7">
              <w:t>44,99</w:t>
            </w:r>
          </w:p>
        </w:tc>
        <w:tc>
          <w:tcPr>
            <w:tcW w:w="1579" w:type="dxa"/>
            <w:tcBorders>
              <w:top w:val="nil"/>
              <w:left w:val="nil"/>
              <w:bottom w:val="single" w:sz="4" w:space="0" w:color="auto"/>
              <w:right w:val="single" w:sz="4" w:space="0" w:color="auto"/>
            </w:tcBorders>
            <w:shd w:val="clear" w:color="000000" w:fill="FFFFFF"/>
            <w:noWrap/>
            <w:vAlign w:val="bottom"/>
            <w:hideMark/>
          </w:tcPr>
          <w:p w:rsidR="00F07E05" w:rsidRPr="00BD47B7" w:rsidRDefault="00F07E05" w:rsidP="008A253E">
            <w:pPr>
              <w:jc w:val="center"/>
            </w:pPr>
            <w:r w:rsidRPr="00BD47B7">
              <w:t>78 425,52</w:t>
            </w:r>
          </w:p>
        </w:tc>
      </w:tr>
      <w:tr w:rsidR="00F07E05" w:rsidTr="008A253E">
        <w:trPr>
          <w:trHeight w:val="615"/>
        </w:trPr>
        <w:tc>
          <w:tcPr>
            <w:tcW w:w="513" w:type="dxa"/>
            <w:tcBorders>
              <w:top w:val="nil"/>
              <w:left w:val="single" w:sz="4" w:space="0" w:color="auto"/>
              <w:bottom w:val="single" w:sz="4" w:space="0" w:color="auto"/>
              <w:right w:val="single" w:sz="4" w:space="0" w:color="auto"/>
            </w:tcBorders>
            <w:shd w:val="clear" w:color="000000" w:fill="FFFFFF"/>
            <w:vAlign w:val="bottom"/>
            <w:hideMark/>
          </w:tcPr>
          <w:p w:rsidR="00F07E05" w:rsidRPr="00BD47B7" w:rsidRDefault="00F07E05" w:rsidP="008A253E">
            <w:pPr>
              <w:jc w:val="center"/>
              <w:rPr>
                <w:sz w:val="22"/>
                <w:szCs w:val="22"/>
              </w:rPr>
            </w:pPr>
            <w:r w:rsidRPr="00BD47B7">
              <w:rPr>
                <w:sz w:val="22"/>
                <w:szCs w:val="22"/>
              </w:rPr>
              <w:t>21</w:t>
            </w:r>
          </w:p>
        </w:tc>
        <w:tc>
          <w:tcPr>
            <w:tcW w:w="4079" w:type="dxa"/>
            <w:tcBorders>
              <w:top w:val="nil"/>
              <w:left w:val="nil"/>
              <w:bottom w:val="single" w:sz="4" w:space="0" w:color="auto"/>
              <w:right w:val="single" w:sz="4" w:space="0" w:color="auto"/>
            </w:tcBorders>
            <w:shd w:val="clear" w:color="auto" w:fill="auto"/>
            <w:noWrap/>
            <w:vAlign w:val="bottom"/>
            <w:hideMark/>
          </w:tcPr>
          <w:p w:rsidR="00F07E05" w:rsidRPr="00BD47B7" w:rsidRDefault="00F07E05" w:rsidP="008A253E">
            <w:pPr>
              <w:rPr>
                <w:color w:val="000000"/>
                <w:sz w:val="22"/>
                <w:szCs w:val="22"/>
              </w:rPr>
            </w:pPr>
            <w:r w:rsidRPr="00BD47B7">
              <w:rPr>
                <w:color w:val="000000"/>
                <w:sz w:val="22"/>
                <w:szCs w:val="22"/>
              </w:rPr>
              <w:t>МУП Тверские объедененные системы</w:t>
            </w:r>
          </w:p>
        </w:tc>
        <w:tc>
          <w:tcPr>
            <w:tcW w:w="1014" w:type="dxa"/>
            <w:tcBorders>
              <w:top w:val="nil"/>
              <w:left w:val="nil"/>
              <w:bottom w:val="single" w:sz="4" w:space="0" w:color="auto"/>
              <w:right w:val="single" w:sz="4" w:space="0" w:color="auto"/>
            </w:tcBorders>
            <w:shd w:val="clear" w:color="000000" w:fill="FFFFFF"/>
            <w:vAlign w:val="bottom"/>
            <w:hideMark/>
          </w:tcPr>
          <w:p w:rsidR="00F07E05" w:rsidRPr="00BD47B7" w:rsidRDefault="00F07E05" w:rsidP="008A253E">
            <w:pPr>
              <w:jc w:val="center"/>
            </w:pPr>
            <w:r w:rsidRPr="00BD47B7">
              <w:t>240</w:t>
            </w:r>
          </w:p>
        </w:tc>
        <w:tc>
          <w:tcPr>
            <w:tcW w:w="989" w:type="dxa"/>
            <w:tcBorders>
              <w:top w:val="nil"/>
              <w:left w:val="nil"/>
              <w:bottom w:val="single" w:sz="4" w:space="0" w:color="auto"/>
              <w:right w:val="single" w:sz="4" w:space="0" w:color="auto"/>
            </w:tcBorders>
            <w:shd w:val="clear" w:color="000000" w:fill="FFFFFF"/>
            <w:vAlign w:val="bottom"/>
            <w:hideMark/>
          </w:tcPr>
          <w:p w:rsidR="00F07E05" w:rsidRPr="00BD47B7" w:rsidRDefault="00F07E05" w:rsidP="008A253E">
            <w:pPr>
              <w:jc w:val="center"/>
            </w:pPr>
            <w:r w:rsidRPr="00BD47B7">
              <w:t>40</w:t>
            </w:r>
          </w:p>
        </w:tc>
        <w:tc>
          <w:tcPr>
            <w:tcW w:w="1485" w:type="dxa"/>
            <w:tcBorders>
              <w:top w:val="nil"/>
              <w:left w:val="nil"/>
              <w:bottom w:val="single" w:sz="4" w:space="0" w:color="auto"/>
              <w:right w:val="single" w:sz="4" w:space="0" w:color="auto"/>
            </w:tcBorders>
            <w:shd w:val="clear" w:color="auto" w:fill="auto"/>
            <w:noWrap/>
            <w:vAlign w:val="bottom"/>
            <w:hideMark/>
          </w:tcPr>
          <w:p w:rsidR="00F07E05" w:rsidRPr="00BD47B7" w:rsidRDefault="00F07E05" w:rsidP="008A253E">
            <w:pPr>
              <w:jc w:val="right"/>
              <w:rPr>
                <w:color w:val="000000"/>
              </w:rPr>
            </w:pPr>
            <w:r w:rsidRPr="00BD47B7">
              <w:rPr>
                <w:color w:val="000000"/>
              </w:rPr>
              <w:t>9 600,00</w:t>
            </w:r>
          </w:p>
        </w:tc>
        <w:tc>
          <w:tcPr>
            <w:tcW w:w="1003" w:type="dxa"/>
            <w:tcBorders>
              <w:top w:val="nil"/>
              <w:left w:val="nil"/>
              <w:bottom w:val="single" w:sz="4" w:space="0" w:color="auto"/>
              <w:right w:val="single" w:sz="4" w:space="0" w:color="auto"/>
            </w:tcBorders>
            <w:shd w:val="clear" w:color="000000" w:fill="FFFFFF"/>
            <w:noWrap/>
            <w:vAlign w:val="bottom"/>
            <w:hideMark/>
          </w:tcPr>
          <w:p w:rsidR="00F07E05" w:rsidRPr="00BD47B7" w:rsidRDefault="00F07E05" w:rsidP="008A253E">
            <w:pPr>
              <w:jc w:val="center"/>
            </w:pPr>
            <w:r w:rsidRPr="00BD47B7">
              <w:t>41,6</w:t>
            </w:r>
          </w:p>
        </w:tc>
        <w:tc>
          <w:tcPr>
            <w:tcW w:w="1549" w:type="dxa"/>
            <w:tcBorders>
              <w:top w:val="nil"/>
              <w:left w:val="nil"/>
              <w:bottom w:val="single" w:sz="4" w:space="0" w:color="auto"/>
              <w:right w:val="single" w:sz="4" w:space="0" w:color="auto"/>
            </w:tcBorders>
            <w:shd w:val="clear" w:color="000000" w:fill="FFFFFF"/>
            <w:noWrap/>
            <w:vAlign w:val="bottom"/>
            <w:hideMark/>
          </w:tcPr>
          <w:p w:rsidR="00F07E05" w:rsidRPr="00BD47B7" w:rsidRDefault="00F07E05" w:rsidP="008A253E">
            <w:pPr>
              <w:jc w:val="center"/>
            </w:pPr>
            <w:r w:rsidRPr="00BD47B7">
              <w:t>9 984,00</w:t>
            </w:r>
          </w:p>
        </w:tc>
        <w:tc>
          <w:tcPr>
            <w:tcW w:w="1073" w:type="dxa"/>
            <w:tcBorders>
              <w:top w:val="nil"/>
              <w:left w:val="nil"/>
              <w:bottom w:val="single" w:sz="4" w:space="0" w:color="auto"/>
              <w:right w:val="single" w:sz="4" w:space="0" w:color="auto"/>
            </w:tcBorders>
            <w:shd w:val="clear" w:color="000000" w:fill="FFFFFF"/>
            <w:noWrap/>
            <w:vAlign w:val="bottom"/>
            <w:hideMark/>
          </w:tcPr>
          <w:p w:rsidR="00F07E05" w:rsidRPr="00BD47B7" w:rsidRDefault="00F07E05" w:rsidP="008A253E">
            <w:pPr>
              <w:jc w:val="center"/>
            </w:pPr>
            <w:r w:rsidRPr="00BD47B7">
              <w:t>43,26</w:t>
            </w:r>
          </w:p>
        </w:tc>
        <w:tc>
          <w:tcPr>
            <w:tcW w:w="1478" w:type="dxa"/>
            <w:tcBorders>
              <w:top w:val="nil"/>
              <w:left w:val="nil"/>
              <w:bottom w:val="single" w:sz="4" w:space="0" w:color="auto"/>
              <w:right w:val="single" w:sz="4" w:space="0" w:color="auto"/>
            </w:tcBorders>
            <w:shd w:val="clear" w:color="000000" w:fill="FFFFFF"/>
            <w:noWrap/>
            <w:vAlign w:val="bottom"/>
            <w:hideMark/>
          </w:tcPr>
          <w:p w:rsidR="00F07E05" w:rsidRPr="00BD47B7" w:rsidRDefault="00F07E05" w:rsidP="008A253E">
            <w:pPr>
              <w:jc w:val="center"/>
            </w:pPr>
            <w:r w:rsidRPr="00BD47B7">
              <w:t>10 383,36</w:t>
            </w:r>
          </w:p>
        </w:tc>
        <w:tc>
          <w:tcPr>
            <w:tcW w:w="1115" w:type="dxa"/>
            <w:tcBorders>
              <w:top w:val="nil"/>
              <w:left w:val="nil"/>
              <w:bottom w:val="single" w:sz="4" w:space="0" w:color="auto"/>
              <w:right w:val="single" w:sz="4" w:space="0" w:color="auto"/>
            </w:tcBorders>
            <w:shd w:val="clear" w:color="000000" w:fill="FFFFFF"/>
            <w:noWrap/>
            <w:vAlign w:val="bottom"/>
            <w:hideMark/>
          </w:tcPr>
          <w:p w:rsidR="00F07E05" w:rsidRPr="00BD47B7" w:rsidRDefault="00F07E05" w:rsidP="008A253E">
            <w:pPr>
              <w:jc w:val="center"/>
            </w:pPr>
            <w:r w:rsidRPr="00BD47B7">
              <w:t>44,99</w:t>
            </w:r>
          </w:p>
        </w:tc>
        <w:tc>
          <w:tcPr>
            <w:tcW w:w="1579" w:type="dxa"/>
            <w:tcBorders>
              <w:top w:val="nil"/>
              <w:left w:val="nil"/>
              <w:bottom w:val="single" w:sz="4" w:space="0" w:color="auto"/>
              <w:right w:val="single" w:sz="4" w:space="0" w:color="auto"/>
            </w:tcBorders>
            <w:shd w:val="clear" w:color="000000" w:fill="FFFFFF"/>
            <w:noWrap/>
            <w:vAlign w:val="bottom"/>
            <w:hideMark/>
          </w:tcPr>
          <w:p w:rsidR="00F07E05" w:rsidRPr="00BD47B7" w:rsidRDefault="00F07E05" w:rsidP="008A253E">
            <w:pPr>
              <w:jc w:val="center"/>
            </w:pPr>
            <w:r w:rsidRPr="00BD47B7">
              <w:t>10 798,69</w:t>
            </w:r>
          </w:p>
        </w:tc>
      </w:tr>
      <w:tr w:rsidR="00F07E05" w:rsidTr="008A253E">
        <w:trPr>
          <w:trHeight w:val="274"/>
        </w:trPr>
        <w:tc>
          <w:tcPr>
            <w:tcW w:w="513" w:type="dxa"/>
            <w:tcBorders>
              <w:top w:val="nil"/>
              <w:left w:val="single" w:sz="4" w:space="0" w:color="auto"/>
              <w:bottom w:val="single" w:sz="4" w:space="0" w:color="auto"/>
              <w:right w:val="single" w:sz="4" w:space="0" w:color="auto"/>
            </w:tcBorders>
            <w:shd w:val="clear" w:color="000000" w:fill="FFFFFF"/>
            <w:vAlign w:val="bottom"/>
            <w:hideMark/>
          </w:tcPr>
          <w:p w:rsidR="00F07E05" w:rsidRPr="00BD47B7" w:rsidRDefault="00F07E05" w:rsidP="008A253E">
            <w:pPr>
              <w:jc w:val="center"/>
              <w:rPr>
                <w:sz w:val="22"/>
                <w:szCs w:val="22"/>
              </w:rPr>
            </w:pPr>
            <w:r w:rsidRPr="00BD47B7">
              <w:rPr>
                <w:sz w:val="22"/>
                <w:szCs w:val="22"/>
              </w:rPr>
              <w:t>22</w:t>
            </w:r>
          </w:p>
        </w:tc>
        <w:tc>
          <w:tcPr>
            <w:tcW w:w="4079" w:type="dxa"/>
            <w:tcBorders>
              <w:top w:val="nil"/>
              <w:left w:val="nil"/>
              <w:bottom w:val="single" w:sz="4" w:space="0" w:color="auto"/>
              <w:right w:val="single" w:sz="4" w:space="0" w:color="auto"/>
            </w:tcBorders>
            <w:shd w:val="clear" w:color="auto" w:fill="auto"/>
            <w:noWrap/>
            <w:vAlign w:val="bottom"/>
            <w:hideMark/>
          </w:tcPr>
          <w:p w:rsidR="00F07E05" w:rsidRPr="00BD47B7" w:rsidRDefault="00F07E05" w:rsidP="008A253E">
            <w:pPr>
              <w:rPr>
                <w:color w:val="000000"/>
                <w:sz w:val="22"/>
                <w:szCs w:val="22"/>
              </w:rPr>
            </w:pPr>
            <w:r w:rsidRPr="00BD47B7">
              <w:rPr>
                <w:color w:val="000000"/>
                <w:sz w:val="22"/>
                <w:szCs w:val="22"/>
              </w:rPr>
              <w:t>Станция юных натуралистов</w:t>
            </w:r>
          </w:p>
        </w:tc>
        <w:tc>
          <w:tcPr>
            <w:tcW w:w="1014" w:type="dxa"/>
            <w:tcBorders>
              <w:top w:val="nil"/>
              <w:left w:val="nil"/>
              <w:bottom w:val="single" w:sz="4" w:space="0" w:color="auto"/>
              <w:right w:val="single" w:sz="4" w:space="0" w:color="auto"/>
            </w:tcBorders>
            <w:shd w:val="clear" w:color="000000" w:fill="FFFFFF"/>
            <w:vAlign w:val="bottom"/>
            <w:hideMark/>
          </w:tcPr>
          <w:p w:rsidR="00F07E05" w:rsidRPr="00BD47B7" w:rsidRDefault="00F07E05" w:rsidP="008A253E">
            <w:pPr>
              <w:jc w:val="center"/>
            </w:pPr>
            <w:r w:rsidRPr="00BD47B7">
              <w:t>400</w:t>
            </w:r>
          </w:p>
        </w:tc>
        <w:tc>
          <w:tcPr>
            <w:tcW w:w="989" w:type="dxa"/>
            <w:tcBorders>
              <w:top w:val="nil"/>
              <w:left w:val="nil"/>
              <w:bottom w:val="single" w:sz="4" w:space="0" w:color="auto"/>
              <w:right w:val="single" w:sz="4" w:space="0" w:color="auto"/>
            </w:tcBorders>
            <w:shd w:val="clear" w:color="000000" w:fill="FFFFFF"/>
            <w:vAlign w:val="bottom"/>
            <w:hideMark/>
          </w:tcPr>
          <w:p w:rsidR="00F07E05" w:rsidRPr="00BD47B7" w:rsidRDefault="00F07E05" w:rsidP="008A253E">
            <w:pPr>
              <w:jc w:val="center"/>
            </w:pPr>
            <w:r w:rsidRPr="00BD47B7">
              <w:t>40</w:t>
            </w:r>
          </w:p>
        </w:tc>
        <w:tc>
          <w:tcPr>
            <w:tcW w:w="1485" w:type="dxa"/>
            <w:tcBorders>
              <w:top w:val="nil"/>
              <w:left w:val="nil"/>
              <w:bottom w:val="single" w:sz="4" w:space="0" w:color="auto"/>
              <w:right w:val="single" w:sz="4" w:space="0" w:color="auto"/>
            </w:tcBorders>
            <w:shd w:val="clear" w:color="auto" w:fill="auto"/>
            <w:noWrap/>
            <w:vAlign w:val="bottom"/>
            <w:hideMark/>
          </w:tcPr>
          <w:p w:rsidR="00F07E05" w:rsidRPr="00BD47B7" w:rsidRDefault="00F07E05" w:rsidP="008A253E">
            <w:pPr>
              <w:jc w:val="right"/>
              <w:rPr>
                <w:color w:val="000000"/>
              </w:rPr>
            </w:pPr>
            <w:r w:rsidRPr="00BD47B7">
              <w:rPr>
                <w:color w:val="000000"/>
              </w:rPr>
              <w:t>16 000,00</w:t>
            </w:r>
          </w:p>
        </w:tc>
        <w:tc>
          <w:tcPr>
            <w:tcW w:w="1003" w:type="dxa"/>
            <w:tcBorders>
              <w:top w:val="nil"/>
              <w:left w:val="nil"/>
              <w:bottom w:val="single" w:sz="4" w:space="0" w:color="auto"/>
              <w:right w:val="single" w:sz="4" w:space="0" w:color="auto"/>
            </w:tcBorders>
            <w:shd w:val="clear" w:color="000000" w:fill="FFFFFF"/>
            <w:noWrap/>
            <w:vAlign w:val="bottom"/>
            <w:hideMark/>
          </w:tcPr>
          <w:p w:rsidR="00F07E05" w:rsidRPr="00BD47B7" w:rsidRDefault="00F07E05" w:rsidP="008A253E">
            <w:pPr>
              <w:jc w:val="center"/>
            </w:pPr>
            <w:r w:rsidRPr="00BD47B7">
              <w:t>41,6</w:t>
            </w:r>
          </w:p>
        </w:tc>
        <w:tc>
          <w:tcPr>
            <w:tcW w:w="1549" w:type="dxa"/>
            <w:tcBorders>
              <w:top w:val="nil"/>
              <w:left w:val="nil"/>
              <w:bottom w:val="single" w:sz="4" w:space="0" w:color="auto"/>
              <w:right w:val="single" w:sz="4" w:space="0" w:color="auto"/>
            </w:tcBorders>
            <w:shd w:val="clear" w:color="000000" w:fill="FFFFFF"/>
            <w:noWrap/>
            <w:vAlign w:val="bottom"/>
            <w:hideMark/>
          </w:tcPr>
          <w:p w:rsidR="00F07E05" w:rsidRPr="00BD47B7" w:rsidRDefault="00F07E05" w:rsidP="008A253E">
            <w:pPr>
              <w:jc w:val="center"/>
            </w:pPr>
            <w:r w:rsidRPr="00BD47B7">
              <w:t>16 640,00</w:t>
            </w:r>
          </w:p>
        </w:tc>
        <w:tc>
          <w:tcPr>
            <w:tcW w:w="1073" w:type="dxa"/>
            <w:tcBorders>
              <w:top w:val="nil"/>
              <w:left w:val="nil"/>
              <w:bottom w:val="single" w:sz="4" w:space="0" w:color="auto"/>
              <w:right w:val="single" w:sz="4" w:space="0" w:color="auto"/>
            </w:tcBorders>
            <w:shd w:val="clear" w:color="000000" w:fill="FFFFFF"/>
            <w:noWrap/>
            <w:vAlign w:val="bottom"/>
            <w:hideMark/>
          </w:tcPr>
          <w:p w:rsidR="00F07E05" w:rsidRPr="00BD47B7" w:rsidRDefault="00F07E05" w:rsidP="008A253E">
            <w:pPr>
              <w:jc w:val="center"/>
            </w:pPr>
            <w:r w:rsidRPr="00BD47B7">
              <w:t>43,26</w:t>
            </w:r>
          </w:p>
        </w:tc>
        <w:tc>
          <w:tcPr>
            <w:tcW w:w="1478" w:type="dxa"/>
            <w:tcBorders>
              <w:top w:val="nil"/>
              <w:left w:val="nil"/>
              <w:bottom w:val="single" w:sz="4" w:space="0" w:color="auto"/>
              <w:right w:val="single" w:sz="4" w:space="0" w:color="auto"/>
            </w:tcBorders>
            <w:shd w:val="clear" w:color="000000" w:fill="FFFFFF"/>
            <w:noWrap/>
            <w:vAlign w:val="bottom"/>
            <w:hideMark/>
          </w:tcPr>
          <w:p w:rsidR="00F07E05" w:rsidRPr="00BD47B7" w:rsidRDefault="00F07E05" w:rsidP="008A253E">
            <w:pPr>
              <w:jc w:val="center"/>
            </w:pPr>
            <w:r w:rsidRPr="00BD47B7">
              <w:t>17 305,60</w:t>
            </w:r>
          </w:p>
        </w:tc>
        <w:tc>
          <w:tcPr>
            <w:tcW w:w="1115" w:type="dxa"/>
            <w:tcBorders>
              <w:top w:val="nil"/>
              <w:left w:val="nil"/>
              <w:bottom w:val="single" w:sz="4" w:space="0" w:color="auto"/>
              <w:right w:val="single" w:sz="4" w:space="0" w:color="auto"/>
            </w:tcBorders>
            <w:shd w:val="clear" w:color="000000" w:fill="FFFFFF"/>
            <w:noWrap/>
            <w:vAlign w:val="bottom"/>
            <w:hideMark/>
          </w:tcPr>
          <w:p w:rsidR="00F07E05" w:rsidRPr="00BD47B7" w:rsidRDefault="00F07E05" w:rsidP="008A253E">
            <w:pPr>
              <w:jc w:val="center"/>
            </w:pPr>
            <w:r w:rsidRPr="00BD47B7">
              <w:t>44,99</w:t>
            </w:r>
          </w:p>
        </w:tc>
        <w:tc>
          <w:tcPr>
            <w:tcW w:w="1579" w:type="dxa"/>
            <w:tcBorders>
              <w:top w:val="nil"/>
              <w:left w:val="nil"/>
              <w:bottom w:val="single" w:sz="4" w:space="0" w:color="auto"/>
              <w:right w:val="single" w:sz="4" w:space="0" w:color="auto"/>
            </w:tcBorders>
            <w:shd w:val="clear" w:color="000000" w:fill="FFFFFF"/>
            <w:noWrap/>
            <w:vAlign w:val="bottom"/>
            <w:hideMark/>
          </w:tcPr>
          <w:p w:rsidR="00F07E05" w:rsidRPr="00BD47B7" w:rsidRDefault="00F07E05" w:rsidP="008A253E">
            <w:pPr>
              <w:jc w:val="center"/>
            </w:pPr>
            <w:r w:rsidRPr="00BD47B7">
              <w:t>17 997,82</w:t>
            </w:r>
          </w:p>
        </w:tc>
      </w:tr>
      <w:tr w:rsidR="00F07E05" w:rsidTr="008A253E">
        <w:trPr>
          <w:trHeight w:val="634"/>
        </w:trPr>
        <w:tc>
          <w:tcPr>
            <w:tcW w:w="513" w:type="dxa"/>
            <w:tcBorders>
              <w:top w:val="nil"/>
              <w:left w:val="single" w:sz="4" w:space="0" w:color="auto"/>
              <w:bottom w:val="single" w:sz="4" w:space="0" w:color="auto"/>
              <w:right w:val="single" w:sz="4" w:space="0" w:color="auto"/>
            </w:tcBorders>
            <w:shd w:val="clear" w:color="000000" w:fill="FFFFFF"/>
            <w:vAlign w:val="bottom"/>
            <w:hideMark/>
          </w:tcPr>
          <w:p w:rsidR="00F07E05" w:rsidRPr="00BD47B7" w:rsidRDefault="00F07E05" w:rsidP="008A253E">
            <w:pPr>
              <w:jc w:val="center"/>
              <w:rPr>
                <w:sz w:val="22"/>
                <w:szCs w:val="22"/>
              </w:rPr>
            </w:pPr>
            <w:r w:rsidRPr="00BD47B7">
              <w:rPr>
                <w:sz w:val="22"/>
                <w:szCs w:val="22"/>
              </w:rPr>
              <w:t>23</w:t>
            </w:r>
          </w:p>
        </w:tc>
        <w:tc>
          <w:tcPr>
            <w:tcW w:w="4079" w:type="dxa"/>
            <w:tcBorders>
              <w:top w:val="nil"/>
              <w:left w:val="nil"/>
              <w:bottom w:val="single" w:sz="4" w:space="0" w:color="auto"/>
              <w:right w:val="single" w:sz="4" w:space="0" w:color="auto"/>
            </w:tcBorders>
            <w:shd w:val="clear" w:color="auto" w:fill="auto"/>
            <w:noWrap/>
            <w:vAlign w:val="bottom"/>
            <w:hideMark/>
          </w:tcPr>
          <w:p w:rsidR="00F07E05" w:rsidRPr="00BD47B7" w:rsidRDefault="00F07E05" w:rsidP="008A253E">
            <w:pPr>
              <w:rPr>
                <w:color w:val="000000"/>
                <w:sz w:val="22"/>
                <w:szCs w:val="22"/>
              </w:rPr>
            </w:pPr>
            <w:r w:rsidRPr="00BD47B7">
              <w:rPr>
                <w:color w:val="000000"/>
                <w:sz w:val="22"/>
                <w:szCs w:val="22"/>
              </w:rPr>
              <w:t>МУК МДКМОТО кал. Район</w:t>
            </w:r>
          </w:p>
        </w:tc>
        <w:tc>
          <w:tcPr>
            <w:tcW w:w="1014" w:type="dxa"/>
            <w:tcBorders>
              <w:top w:val="nil"/>
              <w:left w:val="nil"/>
              <w:bottom w:val="single" w:sz="4" w:space="0" w:color="auto"/>
              <w:right w:val="single" w:sz="4" w:space="0" w:color="auto"/>
            </w:tcBorders>
            <w:shd w:val="clear" w:color="000000" w:fill="FFFFFF"/>
            <w:vAlign w:val="bottom"/>
            <w:hideMark/>
          </w:tcPr>
          <w:p w:rsidR="00F07E05" w:rsidRPr="00BD47B7" w:rsidRDefault="00F07E05" w:rsidP="008A253E">
            <w:pPr>
              <w:jc w:val="center"/>
            </w:pPr>
            <w:r w:rsidRPr="00BD47B7">
              <w:t>175</w:t>
            </w:r>
          </w:p>
        </w:tc>
        <w:tc>
          <w:tcPr>
            <w:tcW w:w="989" w:type="dxa"/>
            <w:tcBorders>
              <w:top w:val="nil"/>
              <w:left w:val="nil"/>
              <w:bottom w:val="single" w:sz="4" w:space="0" w:color="auto"/>
              <w:right w:val="single" w:sz="4" w:space="0" w:color="auto"/>
            </w:tcBorders>
            <w:shd w:val="clear" w:color="000000" w:fill="FFFFFF"/>
            <w:vAlign w:val="bottom"/>
            <w:hideMark/>
          </w:tcPr>
          <w:p w:rsidR="00F07E05" w:rsidRPr="00BD47B7" w:rsidRDefault="00F07E05" w:rsidP="008A253E">
            <w:pPr>
              <w:jc w:val="center"/>
            </w:pPr>
            <w:r w:rsidRPr="00BD47B7">
              <w:t>40</w:t>
            </w:r>
          </w:p>
        </w:tc>
        <w:tc>
          <w:tcPr>
            <w:tcW w:w="1485" w:type="dxa"/>
            <w:tcBorders>
              <w:top w:val="nil"/>
              <w:left w:val="nil"/>
              <w:bottom w:val="single" w:sz="4" w:space="0" w:color="auto"/>
              <w:right w:val="single" w:sz="4" w:space="0" w:color="auto"/>
            </w:tcBorders>
            <w:shd w:val="clear" w:color="auto" w:fill="auto"/>
            <w:noWrap/>
            <w:vAlign w:val="bottom"/>
            <w:hideMark/>
          </w:tcPr>
          <w:p w:rsidR="00F07E05" w:rsidRPr="00BD47B7" w:rsidRDefault="00F07E05" w:rsidP="008A253E">
            <w:pPr>
              <w:jc w:val="right"/>
              <w:rPr>
                <w:color w:val="000000"/>
              </w:rPr>
            </w:pPr>
            <w:r w:rsidRPr="00BD47B7">
              <w:rPr>
                <w:color w:val="000000"/>
              </w:rPr>
              <w:t>7 000,00</w:t>
            </w:r>
          </w:p>
        </w:tc>
        <w:tc>
          <w:tcPr>
            <w:tcW w:w="1003" w:type="dxa"/>
            <w:tcBorders>
              <w:top w:val="nil"/>
              <w:left w:val="nil"/>
              <w:bottom w:val="single" w:sz="4" w:space="0" w:color="auto"/>
              <w:right w:val="single" w:sz="4" w:space="0" w:color="auto"/>
            </w:tcBorders>
            <w:shd w:val="clear" w:color="000000" w:fill="FFFFFF"/>
            <w:noWrap/>
            <w:vAlign w:val="bottom"/>
            <w:hideMark/>
          </w:tcPr>
          <w:p w:rsidR="00F07E05" w:rsidRPr="00BD47B7" w:rsidRDefault="00F07E05" w:rsidP="008A253E">
            <w:pPr>
              <w:jc w:val="center"/>
            </w:pPr>
            <w:r w:rsidRPr="00BD47B7">
              <w:t>41,6</w:t>
            </w:r>
          </w:p>
        </w:tc>
        <w:tc>
          <w:tcPr>
            <w:tcW w:w="1549" w:type="dxa"/>
            <w:tcBorders>
              <w:top w:val="nil"/>
              <w:left w:val="nil"/>
              <w:bottom w:val="single" w:sz="4" w:space="0" w:color="auto"/>
              <w:right w:val="single" w:sz="4" w:space="0" w:color="auto"/>
            </w:tcBorders>
            <w:shd w:val="clear" w:color="000000" w:fill="FFFFFF"/>
            <w:noWrap/>
            <w:vAlign w:val="bottom"/>
            <w:hideMark/>
          </w:tcPr>
          <w:p w:rsidR="00F07E05" w:rsidRPr="00BD47B7" w:rsidRDefault="00F07E05" w:rsidP="008A253E">
            <w:pPr>
              <w:jc w:val="center"/>
            </w:pPr>
            <w:r w:rsidRPr="00BD47B7">
              <w:t>7 280,00</w:t>
            </w:r>
          </w:p>
        </w:tc>
        <w:tc>
          <w:tcPr>
            <w:tcW w:w="1073" w:type="dxa"/>
            <w:tcBorders>
              <w:top w:val="nil"/>
              <w:left w:val="nil"/>
              <w:bottom w:val="single" w:sz="4" w:space="0" w:color="auto"/>
              <w:right w:val="single" w:sz="4" w:space="0" w:color="auto"/>
            </w:tcBorders>
            <w:shd w:val="clear" w:color="000000" w:fill="FFFFFF"/>
            <w:noWrap/>
            <w:vAlign w:val="bottom"/>
            <w:hideMark/>
          </w:tcPr>
          <w:p w:rsidR="00F07E05" w:rsidRPr="00BD47B7" w:rsidRDefault="00F07E05" w:rsidP="008A253E">
            <w:pPr>
              <w:jc w:val="center"/>
            </w:pPr>
            <w:r w:rsidRPr="00BD47B7">
              <w:t>43,26</w:t>
            </w:r>
          </w:p>
        </w:tc>
        <w:tc>
          <w:tcPr>
            <w:tcW w:w="1478" w:type="dxa"/>
            <w:tcBorders>
              <w:top w:val="nil"/>
              <w:left w:val="nil"/>
              <w:bottom w:val="single" w:sz="4" w:space="0" w:color="auto"/>
              <w:right w:val="single" w:sz="4" w:space="0" w:color="auto"/>
            </w:tcBorders>
            <w:shd w:val="clear" w:color="000000" w:fill="FFFFFF"/>
            <w:noWrap/>
            <w:vAlign w:val="bottom"/>
            <w:hideMark/>
          </w:tcPr>
          <w:p w:rsidR="00F07E05" w:rsidRPr="00BD47B7" w:rsidRDefault="00F07E05" w:rsidP="008A253E">
            <w:pPr>
              <w:jc w:val="center"/>
            </w:pPr>
            <w:r w:rsidRPr="00BD47B7">
              <w:t>7 571,20</w:t>
            </w:r>
          </w:p>
        </w:tc>
        <w:tc>
          <w:tcPr>
            <w:tcW w:w="1115" w:type="dxa"/>
            <w:tcBorders>
              <w:top w:val="nil"/>
              <w:left w:val="nil"/>
              <w:bottom w:val="single" w:sz="4" w:space="0" w:color="auto"/>
              <w:right w:val="single" w:sz="4" w:space="0" w:color="auto"/>
            </w:tcBorders>
            <w:shd w:val="clear" w:color="000000" w:fill="FFFFFF"/>
            <w:noWrap/>
            <w:vAlign w:val="bottom"/>
            <w:hideMark/>
          </w:tcPr>
          <w:p w:rsidR="00F07E05" w:rsidRPr="00BD47B7" w:rsidRDefault="00F07E05" w:rsidP="008A253E">
            <w:pPr>
              <w:jc w:val="center"/>
            </w:pPr>
            <w:r w:rsidRPr="00BD47B7">
              <w:t>44,99</w:t>
            </w:r>
          </w:p>
        </w:tc>
        <w:tc>
          <w:tcPr>
            <w:tcW w:w="1579" w:type="dxa"/>
            <w:tcBorders>
              <w:top w:val="nil"/>
              <w:left w:val="nil"/>
              <w:bottom w:val="single" w:sz="4" w:space="0" w:color="auto"/>
              <w:right w:val="single" w:sz="4" w:space="0" w:color="auto"/>
            </w:tcBorders>
            <w:shd w:val="clear" w:color="000000" w:fill="FFFFFF"/>
            <w:noWrap/>
            <w:vAlign w:val="bottom"/>
            <w:hideMark/>
          </w:tcPr>
          <w:p w:rsidR="00F07E05" w:rsidRPr="00BD47B7" w:rsidRDefault="00F07E05" w:rsidP="008A253E">
            <w:pPr>
              <w:jc w:val="center"/>
            </w:pPr>
            <w:r w:rsidRPr="00BD47B7">
              <w:t>7 874,05</w:t>
            </w:r>
          </w:p>
        </w:tc>
      </w:tr>
      <w:tr w:rsidR="00F07E05" w:rsidTr="008A253E">
        <w:trPr>
          <w:trHeight w:val="465"/>
        </w:trPr>
        <w:tc>
          <w:tcPr>
            <w:tcW w:w="513" w:type="dxa"/>
            <w:tcBorders>
              <w:top w:val="nil"/>
              <w:left w:val="single" w:sz="4" w:space="0" w:color="auto"/>
              <w:bottom w:val="single" w:sz="4" w:space="0" w:color="auto"/>
              <w:right w:val="single" w:sz="4" w:space="0" w:color="auto"/>
            </w:tcBorders>
            <w:shd w:val="clear" w:color="000000" w:fill="FFFFFF"/>
            <w:vAlign w:val="bottom"/>
            <w:hideMark/>
          </w:tcPr>
          <w:p w:rsidR="00F07E05" w:rsidRPr="00BD47B7" w:rsidRDefault="00F07E05" w:rsidP="008A253E">
            <w:pPr>
              <w:jc w:val="center"/>
              <w:rPr>
                <w:sz w:val="22"/>
                <w:szCs w:val="22"/>
              </w:rPr>
            </w:pPr>
            <w:r w:rsidRPr="00BD47B7">
              <w:rPr>
                <w:sz w:val="22"/>
                <w:szCs w:val="22"/>
              </w:rPr>
              <w:t>24</w:t>
            </w:r>
          </w:p>
        </w:tc>
        <w:tc>
          <w:tcPr>
            <w:tcW w:w="4079" w:type="dxa"/>
            <w:tcBorders>
              <w:top w:val="nil"/>
              <w:left w:val="nil"/>
              <w:bottom w:val="single" w:sz="4" w:space="0" w:color="auto"/>
              <w:right w:val="single" w:sz="4" w:space="0" w:color="auto"/>
            </w:tcBorders>
            <w:shd w:val="clear" w:color="auto" w:fill="auto"/>
            <w:noWrap/>
            <w:vAlign w:val="bottom"/>
            <w:hideMark/>
          </w:tcPr>
          <w:p w:rsidR="00F07E05" w:rsidRPr="00BD47B7" w:rsidRDefault="00F07E05" w:rsidP="008A253E">
            <w:pPr>
              <w:rPr>
                <w:color w:val="000000"/>
                <w:sz w:val="22"/>
                <w:szCs w:val="22"/>
              </w:rPr>
            </w:pPr>
            <w:r w:rsidRPr="00BD47B7">
              <w:rPr>
                <w:color w:val="000000"/>
                <w:sz w:val="22"/>
                <w:szCs w:val="22"/>
              </w:rPr>
              <w:t>ГБУ "СШОР по видам единоборств"</w:t>
            </w:r>
          </w:p>
        </w:tc>
        <w:tc>
          <w:tcPr>
            <w:tcW w:w="1014" w:type="dxa"/>
            <w:tcBorders>
              <w:top w:val="nil"/>
              <w:left w:val="nil"/>
              <w:bottom w:val="single" w:sz="4" w:space="0" w:color="auto"/>
              <w:right w:val="single" w:sz="4" w:space="0" w:color="auto"/>
            </w:tcBorders>
            <w:shd w:val="clear" w:color="000000" w:fill="FFFFFF"/>
            <w:vAlign w:val="bottom"/>
            <w:hideMark/>
          </w:tcPr>
          <w:p w:rsidR="00F07E05" w:rsidRPr="00BD47B7" w:rsidRDefault="00F07E05" w:rsidP="008A253E">
            <w:pPr>
              <w:jc w:val="center"/>
            </w:pPr>
            <w:r w:rsidRPr="00BD47B7">
              <w:t>100</w:t>
            </w:r>
          </w:p>
        </w:tc>
        <w:tc>
          <w:tcPr>
            <w:tcW w:w="989" w:type="dxa"/>
            <w:tcBorders>
              <w:top w:val="nil"/>
              <w:left w:val="nil"/>
              <w:bottom w:val="single" w:sz="4" w:space="0" w:color="auto"/>
              <w:right w:val="single" w:sz="4" w:space="0" w:color="auto"/>
            </w:tcBorders>
            <w:shd w:val="clear" w:color="000000" w:fill="FFFFFF"/>
            <w:vAlign w:val="bottom"/>
            <w:hideMark/>
          </w:tcPr>
          <w:p w:rsidR="00F07E05" w:rsidRPr="00BD47B7" w:rsidRDefault="00F07E05" w:rsidP="008A253E">
            <w:pPr>
              <w:jc w:val="center"/>
            </w:pPr>
            <w:r w:rsidRPr="00BD47B7">
              <w:t>40</w:t>
            </w:r>
          </w:p>
        </w:tc>
        <w:tc>
          <w:tcPr>
            <w:tcW w:w="1485" w:type="dxa"/>
            <w:tcBorders>
              <w:top w:val="nil"/>
              <w:left w:val="nil"/>
              <w:bottom w:val="single" w:sz="4" w:space="0" w:color="auto"/>
              <w:right w:val="single" w:sz="4" w:space="0" w:color="auto"/>
            </w:tcBorders>
            <w:shd w:val="clear" w:color="auto" w:fill="auto"/>
            <w:noWrap/>
            <w:vAlign w:val="bottom"/>
            <w:hideMark/>
          </w:tcPr>
          <w:p w:rsidR="00F07E05" w:rsidRPr="00BD47B7" w:rsidRDefault="00F07E05" w:rsidP="008A253E">
            <w:pPr>
              <w:jc w:val="right"/>
              <w:rPr>
                <w:color w:val="000000"/>
              </w:rPr>
            </w:pPr>
            <w:r w:rsidRPr="00BD47B7">
              <w:rPr>
                <w:color w:val="000000"/>
              </w:rPr>
              <w:t>4 000,00</w:t>
            </w:r>
          </w:p>
        </w:tc>
        <w:tc>
          <w:tcPr>
            <w:tcW w:w="1003" w:type="dxa"/>
            <w:tcBorders>
              <w:top w:val="nil"/>
              <w:left w:val="nil"/>
              <w:bottom w:val="single" w:sz="4" w:space="0" w:color="auto"/>
              <w:right w:val="single" w:sz="4" w:space="0" w:color="auto"/>
            </w:tcBorders>
            <w:shd w:val="clear" w:color="000000" w:fill="FFFFFF"/>
            <w:noWrap/>
            <w:vAlign w:val="bottom"/>
            <w:hideMark/>
          </w:tcPr>
          <w:p w:rsidR="00F07E05" w:rsidRPr="00BD47B7" w:rsidRDefault="00F07E05" w:rsidP="008A253E">
            <w:pPr>
              <w:jc w:val="center"/>
            </w:pPr>
            <w:r w:rsidRPr="00BD47B7">
              <w:t>41,6</w:t>
            </w:r>
          </w:p>
        </w:tc>
        <w:tc>
          <w:tcPr>
            <w:tcW w:w="1549" w:type="dxa"/>
            <w:tcBorders>
              <w:top w:val="nil"/>
              <w:left w:val="nil"/>
              <w:bottom w:val="single" w:sz="4" w:space="0" w:color="auto"/>
              <w:right w:val="single" w:sz="4" w:space="0" w:color="auto"/>
            </w:tcBorders>
            <w:shd w:val="clear" w:color="000000" w:fill="FFFFFF"/>
            <w:noWrap/>
            <w:vAlign w:val="bottom"/>
            <w:hideMark/>
          </w:tcPr>
          <w:p w:rsidR="00F07E05" w:rsidRPr="00BD47B7" w:rsidRDefault="00F07E05" w:rsidP="008A253E">
            <w:pPr>
              <w:jc w:val="center"/>
            </w:pPr>
            <w:r w:rsidRPr="00BD47B7">
              <w:t>4 160,00</w:t>
            </w:r>
          </w:p>
        </w:tc>
        <w:tc>
          <w:tcPr>
            <w:tcW w:w="1073" w:type="dxa"/>
            <w:tcBorders>
              <w:top w:val="nil"/>
              <w:left w:val="nil"/>
              <w:bottom w:val="single" w:sz="4" w:space="0" w:color="auto"/>
              <w:right w:val="single" w:sz="4" w:space="0" w:color="auto"/>
            </w:tcBorders>
            <w:shd w:val="clear" w:color="000000" w:fill="FFFFFF"/>
            <w:noWrap/>
            <w:vAlign w:val="bottom"/>
            <w:hideMark/>
          </w:tcPr>
          <w:p w:rsidR="00F07E05" w:rsidRPr="00BD47B7" w:rsidRDefault="00F07E05" w:rsidP="008A253E">
            <w:pPr>
              <w:jc w:val="center"/>
            </w:pPr>
            <w:r w:rsidRPr="00BD47B7">
              <w:t>43,26</w:t>
            </w:r>
          </w:p>
        </w:tc>
        <w:tc>
          <w:tcPr>
            <w:tcW w:w="1478" w:type="dxa"/>
            <w:tcBorders>
              <w:top w:val="nil"/>
              <w:left w:val="nil"/>
              <w:bottom w:val="single" w:sz="4" w:space="0" w:color="auto"/>
              <w:right w:val="single" w:sz="4" w:space="0" w:color="auto"/>
            </w:tcBorders>
            <w:shd w:val="clear" w:color="000000" w:fill="FFFFFF"/>
            <w:noWrap/>
            <w:vAlign w:val="bottom"/>
            <w:hideMark/>
          </w:tcPr>
          <w:p w:rsidR="00F07E05" w:rsidRPr="00BD47B7" w:rsidRDefault="00F07E05" w:rsidP="008A253E">
            <w:pPr>
              <w:jc w:val="center"/>
            </w:pPr>
            <w:r w:rsidRPr="00BD47B7">
              <w:t>4 326,40</w:t>
            </w:r>
          </w:p>
        </w:tc>
        <w:tc>
          <w:tcPr>
            <w:tcW w:w="1115" w:type="dxa"/>
            <w:tcBorders>
              <w:top w:val="nil"/>
              <w:left w:val="nil"/>
              <w:bottom w:val="single" w:sz="4" w:space="0" w:color="auto"/>
              <w:right w:val="single" w:sz="4" w:space="0" w:color="auto"/>
            </w:tcBorders>
            <w:shd w:val="clear" w:color="000000" w:fill="FFFFFF"/>
            <w:noWrap/>
            <w:vAlign w:val="bottom"/>
            <w:hideMark/>
          </w:tcPr>
          <w:p w:rsidR="00F07E05" w:rsidRPr="00BD47B7" w:rsidRDefault="00F07E05" w:rsidP="008A253E">
            <w:pPr>
              <w:jc w:val="center"/>
            </w:pPr>
            <w:r w:rsidRPr="00BD47B7">
              <w:t>44,99</w:t>
            </w:r>
          </w:p>
        </w:tc>
        <w:tc>
          <w:tcPr>
            <w:tcW w:w="1579" w:type="dxa"/>
            <w:tcBorders>
              <w:top w:val="nil"/>
              <w:left w:val="nil"/>
              <w:bottom w:val="single" w:sz="4" w:space="0" w:color="auto"/>
              <w:right w:val="single" w:sz="4" w:space="0" w:color="auto"/>
            </w:tcBorders>
            <w:shd w:val="clear" w:color="000000" w:fill="FFFFFF"/>
            <w:noWrap/>
            <w:vAlign w:val="bottom"/>
            <w:hideMark/>
          </w:tcPr>
          <w:p w:rsidR="00F07E05" w:rsidRPr="00BD47B7" w:rsidRDefault="00F07E05" w:rsidP="008A253E">
            <w:pPr>
              <w:jc w:val="center"/>
            </w:pPr>
            <w:r w:rsidRPr="00BD47B7">
              <w:t>4 499,46</w:t>
            </w:r>
          </w:p>
        </w:tc>
      </w:tr>
      <w:tr w:rsidR="00F07E05" w:rsidTr="008A253E">
        <w:trPr>
          <w:trHeight w:val="300"/>
        </w:trPr>
        <w:tc>
          <w:tcPr>
            <w:tcW w:w="513" w:type="dxa"/>
            <w:tcBorders>
              <w:top w:val="nil"/>
              <w:left w:val="single" w:sz="4" w:space="0" w:color="auto"/>
              <w:bottom w:val="single" w:sz="4" w:space="0" w:color="auto"/>
              <w:right w:val="single" w:sz="4" w:space="0" w:color="auto"/>
            </w:tcBorders>
            <w:shd w:val="clear" w:color="000000" w:fill="FFFFFF"/>
            <w:vAlign w:val="bottom"/>
            <w:hideMark/>
          </w:tcPr>
          <w:p w:rsidR="00F07E05" w:rsidRPr="00BD47B7" w:rsidRDefault="00F07E05" w:rsidP="008A253E">
            <w:pPr>
              <w:jc w:val="center"/>
              <w:rPr>
                <w:sz w:val="22"/>
                <w:szCs w:val="22"/>
              </w:rPr>
            </w:pPr>
            <w:r w:rsidRPr="00BD47B7">
              <w:rPr>
                <w:sz w:val="22"/>
                <w:szCs w:val="22"/>
              </w:rPr>
              <w:t>25</w:t>
            </w:r>
          </w:p>
        </w:tc>
        <w:tc>
          <w:tcPr>
            <w:tcW w:w="4079" w:type="dxa"/>
            <w:tcBorders>
              <w:top w:val="nil"/>
              <w:left w:val="nil"/>
              <w:bottom w:val="single" w:sz="4" w:space="0" w:color="auto"/>
              <w:right w:val="single" w:sz="4" w:space="0" w:color="auto"/>
            </w:tcBorders>
            <w:shd w:val="clear" w:color="auto" w:fill="auto"/>
            <w:noWrap/>
            <w:vAlign w:val="bottom"/>
            <w:hideMark/>
          </w:tcPr>
          <w:p w:rsidR="00F07E05" w:rsidRPr="00BD47B7" w:rsidRDefault="00F07E05" w:rsidP="008A253E">
            <w:pPr>
              <w:rPr>
                <w:color w:val="000000"/>
                <w:sz w:val="22"/>
                <w:szCs w:val="22"/>
              </w:rPr>
            </w:pPr>
            <w:r w:rsidRPr="00BD47B7">
              <w:rPr>
                <w:color w:val="000000"/>
                <w:sz w:val="22"/>
                <w:szCs w:val="22"/>
              </w:rPr>
              <w:t>ГБУ "СШОР по ледовым видам спорта"</w:t>
            </w:r>
          </w:p>
        </w:tc>
        <w:tc>
          <w:tcPr>
            <w:tcW w:w="1014" w:type="dxa"/>
            <w:tcBorders>
              <w:top w:val="nil"/>
              <w:left w:val="nil"/>
              <w:bottom w:val="single" w:sz="4" w:space="0" w:color="auto"/>
              <w:right w:val="single" w:sz="4" w:space="0" w:color="auto"/>
            </w:tcBorders>
            <w:shd w:val="clear" w:color="000000" w:fill="FFFFFF"/>
            <w:vAlign w:val="bottom"/>
            <w:hideMark/>
          </w:tcPr>
          <w:p w:rsidR="00F07E05" w:rsidRPr="00BD47B7" w:rsidRDefault="00F07E05" w:rsidP="008A253E">
            <w:pPr>
              <w:jc w:val="center"/>
            </w:pPr>
            <w:r w:rsidRPr="00BD47B7">
              <w:t>264</w:t>
            </w:r>
          </w:p>
        </w:tc>
        <w:tc>
          <w:tcPr>
            <w:tcW w:w="989" w:type="dxa"/>
            <w:tcBorders>
              <w:top w:val="nil"/>
              <w:left w:val="nil"/>
              <w:bottom w:val="single" w:sz="4" w:space="0" w:color="auto"/>
              <w:right w:val="single" w:sz="4" w:space="0" w:color="auto"/>
            </w:tcBorders>
            <w:shd w:val="clear" w:color="000000" w:fill="FFFFFF"/>
            <w:vAlign w:val="bottom"/>
            <w:hideMark/>
          </w:tcPr>
          <w:p w:rsidR="00F07E05" w:rsidRPr="00BD47B7" w:rsidRDefault="00F07E05" w:rsidP="008A253E">
            <w:pPr>
              <w:jc w:val="center"/>
            </w:pPr>
            <w:r w:rsidRPr="00BD47B7">
              <w:t>40</w:t>
            </w:r>
          </w:p>
        </w:tc>
        <w:tc>
          <w:tcPr>
            <w:tcW w:w="1485" w:type="dxa"/>
            <w:tcBorders>
              <w:top w:val="nil"/>
              <w:left w:val="nil"/>
              <w:bottom w:val="single" w:sz="4" w:space="0" w:color="auto"/>
              <w:right w:val="single" w:sz="4" w:space="0" w:color="auto"/>
            </w:tcBorders>
            <w:shd w:val="clear" w:color="auto" w:fill="auto"/>
            <w:noWrap/>
            <w:vAlign w:val="bottom"/>
            <w:hideMark/>
          </w:tcPr>
          <w:p w:rsidR="00F07E05" w:rsidRPr="00BD47B7" w:rsidRDefault="00F07E05" w:rsidP="008A253E">
            <w:pPr>
              <w:jc w:val="right"/>
              <w:rPr>
                <w:color w:val="000000"/>
              </w:rPr>
            </w:pPr>
            <w:r w:rsidRPr="00BD47B7">
              <w:rPr>
                <w:color w:val="000000"/>
              </w:rPr>
              <w:t>10 560,00</w:t>
            </w:r>
          </w:p>
        </w:tc>
        <w:tc>
          <w:tcPr>
            <w:tcW w:w="1003" w:type="dxa"/>
            <w:tcBorders>
              <w:top w:val="nil"/>
              <w:left w:val="nil"/>
              <w:bottom w:val="single" w:sz="4" w:space="0" w:color="auto"/>
              <w:right w:val="single" w:sz="4" w:space="0" w:color="auto"/>
            </w:tcBorders>
            <w:shd w:val="clear" w:color="000000" w:fill="FFFFFF"/>
            <w:noWrap/>
            <w:vAlign w:val="bottom"/>
            <w:hideMark/>
          </w:tcPr>
          <w:p w:rsidR="00F07E05" w:rsidRPr="00BD47B7" w:rsidRDefault="00F07E05" w:rsidP="008A253E">
            <w:pPr>
              <w:jc w:val="center"/>
            </w:pPr>
            <w:r w:rsidRPr="00BD47B7">
              <w:t>41,6</w:t>
            </w:r>
          </w:p>
        </w:tc>
        <w:tc>
          <w:tcPr>
            <w:tcW w:w="1549" w:type="dxa"/>
            <w:tcBorders>
              <w:top w:val="nil"/>
              <w:left w:val="nil"/>
              <w:bottom w:val="single" w:sz="4" w:space="0" w:color="auto"/>
              <w:right w:val="single" w:sz="4" w:space="0" w:color="auto"/>
            </w:tcBorders>
            <w:shd w:val="clear" w:color="000000" w:fill="FFFFFF"/>
            <w:noWrap/>
            <w:vAlign w:val="bottom"/>
            <w:hideMark/>
          </w:tcPr>
          <w:p w:rsidR="00F07E05" w:rsidRPr="00BD47B7" w:rsidRDefault="00F07E05" w:rsidP="008A253E">
            <w:pPr>
              <w:jc w:val="center"/>
            </w:pPr>
            <w:r w:rsidRPr="00BD47B7">
              <w:t>10 982,40</w:t>
            </w:r>
          </w:p>
        </w:tc>
        <w:tc>
          <w:tcPr>
            <w:tcW w:w="1073" w:type="dxa"/>
            <w:tcBorders>
              <w:top w:val="nil"/>
              <w:left w:val="nil"/>
              <w:bottom w:val="single" w:sz="4" w:space="0" w:color="auto"/>
              <w:right w:val="single" w:sz="4" w:space="0" w:color="auto"/>
            </w:tcBorders>
            <w:shd w:val="clear" w:color="000000" w:fill="FFFFFF"/>
            <w:noWrap/>
            <w:vAlign w:val="bottom"/>
            <w:hideMark/>
          </w:tcPr>
          <w:p w:rsidR="00F07E05" w:rsidRPr="00BD47B7" w:rsidRDefault="00F07E05" w:rsidP="008A253E">
            <w:pPr>
              <w:jc w:val="center"/>
            </w:pPr>
            <w:r w:rsidRPr="00BD47B7">
              <w:t>43,26</w:t>
            </w:r>
          </w:p>
        </w:tc>
        <w:tc>
          <w:tcPr>
            <w:tcW w:w="1478" w:type="dxa"/>
            <w:tcBorders>
              <w:top w:val="nil"/>
              <w:left w:val="nil"/>
              <w:bottom w:val="single" w:sz="4" w:space="0" w:color="auto"/>
              <w:right w:val="single" w:sz="4" w:space="0" w:color="auto"/>
            </w:tcBorders>
            <w:shd w:val="clear" w:color="000000" w:fill="FFFFFF"/>
            <w:noWrap/>
            <w:vAlign w:val="bottom"/>
            <w:hideMark/>
          </w:tcPr>
          <w:p w:rsidR="00F07E05" w:rsidRPr="00BD47B7" w:rsidRDefault="00F07E05" w:rsidP="008A253E">
            <w:pPr>
              <w:jc w:val="center"/>
            </w:pPr>
            <w:r w:rsidRPr="00BD47B7">
              <w:t>11 421,70</w:t>
            </w:r>
          </w:p>
        </w:tc>
        <w:tc>
          <w:tcPr>
            <w:tcW w:w="1115" w:type="dxa"/>
            <w:tcBorders>
              <w:top w:val="nil"/>
              <w:left w:val="nil"/>
              <w:bottom w:val="single" w:sz="4" w:space="0" w:color="auto"/>
              <w:right w:val="single" w:sz="4" w:space="0" w:color="auto"/>
            </w:tcBorders>
            <w:shd w:val="clear" w:color="000000" w:fill="FFFFFF"/>
            <w:noWrap/>
            <w:vAlign w:val="bottom"/>
            <w:hideMark/>
          </w:tcPr>
          <w:p w:rsidR="00F07E05" w:rsidRPr="00BD47B7" w:rsidRDefault="00F07E05" w:rsidP="008A253E">
            <w:pPr>
              <w:jc w:val="center"/>
            </w:pPr>
            <w:r w:rsidRPr="00BD47B7">
              <w:t>44,99</w:t>
            </w:r>
          </w:p>
        </w:tc>
        <w:tc>
          <w:tcPr>
            <w:tcW w:w="1579" w:type="dxa"/>
            <w:tcBorders>
              <w:top w:val="nil"/>
              <w:left w:val="nil"/>
              <w:bottom w:val="single" w:sz="4" w:space="0" w:color="auto"/>
              <w:right w:val="single" w:sz="4" w:space="0" w:color="auto"/>
            </w:tcBorders>
            <w:shd w:val="clear" w:color="000000" w:fill="FFFFFF"/>
            <w:noWrap/>
            <w:vAlign w:val="bottom"/>
            <w:hideMark/>
          </w:tcPr>
          <w:p w:rsidR="00F07E05" w:rsidRPr="00BD47B7" w:rsidRDefault="00F07E05" w:rsidP="008A253E">
            <w:pPr>
              <w:jc w:val="center"/>
            </w:pPr>
            <w:r w:rsidRPr="00BD47B7">
              <w:t>11 878,56</w:t>
            </w:r>
          </w:p>
        </w:tc>
      </w:tr>
      <w:tr w:rsidR="00F07E05" w:rsidTr="008A253E">
        <w:trPr>
          <w:trHeight w:val="585"/>
        </w:trPr>
        <w:tc>
          <w:tcPr>
            <w:tcW w:w="513" w:type="dxa"/>
            <w:tcBorders>
              <w:top w:val="nil"/>
              <w:left w:val="single" w:sz="4" w:space="0" w:color="auto"/>
              <w:bottom w:val="single" w:sz="4" w:space="0" w:color="auto"/>
              <w:right w:val="single" w:sz="4" w:space="0" w:color="auto"/>
            </w:tcBorders>
            <w:shd w:val="clear" w:color="000000" w:fill="FFFFFF"/>
            <w:vAlign w:val="bottom"/>
            <w:hideMark/>
          </w:tcPr>
          <w:p w:rsidR="00F07E05" w:rsidRPr="00BD47B7" w:rsidRDefault="00F07E05" w:rsidP="008A253E">
            <w:pPr>
              <w:jc w:val="center"/>
              <w:rPr>
                <w:sz w:val="22"/>
                <w:szCs w:val="22"/>
              </w:rPr>
            </w:pPr>
            <w:r w:rsidRPr="00BD47B7">
              <w:rPr>
                <w:sz w:val="22"/>
                <w:szCs w:val="22"/>
              </w:rPr>
              <w:t>26</w:t>
            </w:r>
          </w:p>
        </w:tc>
        <w:tc>
          <w:tcPr>
            <w:tcW w:w="4079" w:type="dxa"/>
            <w:tcBorders>
              <w:top w:val="nil"/>
              <w:left w:val="nil"/>
              <w:bottom w:val="single" w:sz="4" w:space="0" w:color="auto"/>
              <w:right w:val="single" w:sz="4" w:space="0" w:color="auto"/>
            </w:tcBorders>
            <w:shd w:val="clear" w:color="auto" w:fill="auto"/>
            <w:noWrap/>
            <w:vAlign w:val="bottom"/>
            <w:hideMark/>
          </w:tcPr>
          <w:p w:rsidR="00F07E05" w:rsidRPr="00BD47B7" w:rsidRDefault="00F07E05" w:rsidP="008A253E">
            <w:pPr>
              <w:rPr>
                <w:color w:val="000000"/>
                <w:sz w:val="22"/>
                <w:szCs w:val="22"/>
              </w:rPr>
            </w:pPr>
            <w:r w:rsidRPr="00BD47B7">
              <w:rPr>
                <w:color w:val="000000"/>
                <w:sz w:val="22"/>
                <w:szCs w:val="22"/>
              </w:rPr>
              <w:t>ГБУ ДО ОДЮСШ</w:t>
            </w:r>
          </w:p>
        </w:tc>
        <w:tc>
          <w:tcPr>
            <w:tcW w:w="1014" w:type="dxa"/>
            <w:tcBorders>
              <w:top w:val="nil"/>
              <w:left w:val="nil"/>
              <w:bottom w:val="single" w:sz="4" w:space="0" w:color="auto"/>
              <w:right w:val="single" w:sz="4" w:space="0" w:color="auto"/>
            </w:tcBorders>
            <w:shd w:val="clear" w:color="000000" w:fill="FFFFFF"/>
            <w:vAlign w:val="bottom"/>
            <w:hideMark/>
          </w:tcPr>
          <w:p w:rsidR="00F07E05" w:rsidRPr="00BD47B7" w:rsidRDefault="00F07E05" w:rsidP="008A253E">
            <w:pPr>
              <w:jc w:val="center"/>
            </w:pPr>
            <w:r w:rsidRPr="00BD47B7">
              <w:t>215</w:t>
            </w:r>
          </w:p>
        </w:tc>
        <w:tc>
          <w:tcPr>
            <w:tcW w:w="989" w:type="dxa"/>
            <w:tcBorders>
              <w:top w:val="nil"/>
              <w:left w:val="nil"/>
              <w:bottom w:val="single" w:sz="4" w:space="0" w:color="auto"/>
              <w:right w:val="single" w:sz="4" w:space="0" w:color="auto"/>
            </w:tcBorders>
            <w:shd w:val="clear" w:color="000000" w:fill="FFFFFF"/>
            <w:vAlign w:val="bottom"/>
            <w:hideMark/>
          </w:tcPr>
          <w:p w:rsidR="00F07E05" w:rsidRPr="00BD47B7" w:rsidRDefault="00F07E05" w:rsidP="008A253E">
            <w:pPr>
              <w:jc w:val="center"/>
            </w:pPr>
            <w:r w:rsidRPr="00BD47B7">
              <w:t>40</w:t>
            </w:r>
          </w:p>
        </w:tc>
        <w:tc>
          <w:tcPr>
            <w:tcW w:w="1485" w:type="dxa"/>
            <w:tcBorders>
              <w:top w:val="nil"/>
              <w:left w:val="nil"/>
              <w:bottom w:val="single" w:sz="4" w:space="0" w:color="auto"/>
              <w:right w:val="single" w:sz="4" w:space="0" w:color="auto"/>
            </w:tcBorders>
            <w:shd w:val="clear" w:color="auto" w:fill="auto"/>
            <w:noWrap/>
            <w:vAlign w:val="bottom"/>
            <w:hideMark/>
          </w:tcPr>
          <w:p w:rsidR="00F07E05" w:rsidRPr="00BD47B7" w:rsidRDefault="00F07E05" w:rsidP="008A253E">
            <w:pPr>
              <w:jc w:val="right"/>
              <w:rPr>
                <w:color w:val="000000"/>
              </w:rPr>
            </w:pPr>
            <w:r w:rsidRPr="00BD47B7">
              <w:rPr>
                <w:color w:val="000000"/>
              </w:rPr>
              <w:t>8 600,00</w:t>
            </w:r>
          </w:p>
        </w:tc>
        <w:tc>
          <w:tcPr>
            <w:tcW w:w="1003" w:type="dxa"/>
            <w:tcBorders>
              <w:top w:val="nil"/>
              <w:left w:val="nil"/>
              <w:bottom w:val="single" w:sz="4" w:space="0" w:color="auto"/>
              <w:right w:val="single" w:sz="4" w:space="0" w:color="auto"/>
            </w:tcBorders>
            <w:shd w:val="clear" w:color="000000" w:fill="FFFFFF"/>
            <w:noWrap/>
            <w:vAlign w:val="bottom"/>
            <w:hideMark/>
          </w:tcPr>
          <w:p w:rsidR="00F07E05" w:rsidRPr="00BD47B7" w:rsidRDefault="00F07E05" w:rsidP="008A253E">
            <w:pPr>
              <w:jc w:val="center"/>
            </w:pPr>
            <w:r w:rsidRPr="00BD47B7">
              <w:t>41,6</w:t>
            </w:r>
          </w:p>
        </w:tc>
        <w:tc>
          <w:tcPr>
            <w:tcW w:w="1549" w:type="dxa"/>
            <w:tcBorders>
              <w:top w:val="nil"/>
              <w:left w:val="nil"/>
              <w:bottom w:val="single" w:sz="4" w:space="0" w:color="auto"/>
              <w:right w:val="single" w:sz="4" w:space="0" w:color="auto"/>
            </w:tcBorders>
            <w:shd w:val="clear" w:color="000000" w:fill="FFFFFF"/>
            <w:noWrap/>
            <w:vAlign w:val="bottom"/>
            <w:hideMark/>
          </w:tcPr>
          <w:p w:rsidR="00F07E05" w:rsidRPr="00BD47B7" w:rsidRDefault="00F07E05" w:rsidP="008A253E">
            <w:pPr>
              <w:jc w:val="center"/>
            </w:pPr>
            <w:r w:rsidRPr="00BD47B7">
              <w:t>8 944,00</w:t>
            </w:r>
          </w:p>
        </w:tc>
        <w:tc>
          <w:tcPr>
            <w:tcW w:w="1073" w:type="dxa"/>
            <w:tcBorders>
              <w:top w:val="nil"/>
              <w:left w:val="nil"/>
              <w:bottom w:val="single" w:sz="4" w:space="0" w:color="auto"/>
              <w:right w:val="single" w:sz="4" w:space="0" w:color="auto"/>
            </w:tcBorders>
            <w:shd w:val="clear" w:color="000000" w:fill="FFFFFF"/>
            <w:noWrap/>
            <w:vAlign w:val="bottom"/>
            <w:hideMark/>
          </w:tcPr>
          <w:p w:rsidR="00F07E05" w:rsidRPr="00BD47B7" w:rsidRDefault="00F07E05" w:rsidP="008A253E">
            <w:pPr>
              <w:jc w:val="center"/>
            </w:pPr>
            <w:r w:rsidRPr="00BD47B7">
              <w:t>43,26</w:t>
            </w:r>
          </w:p>
        </w:tc>
        <w:tc>
          <w:tcPr>
            <w:tcW w:w="1478" w:type="dxa"/>
            <w:tcBorders>
              <w:top w:val="nil"/>
              <w:left w:val="nil"/>
              <w:bottom w:val="single" w:sz="4" w:space="0" w:color="auto"/>
              <w:right w:val="single" w:sz="4" w:space="0" w:color="auto"/>
            </w:tcBorders>
            <w:shd w:val="clear" w:color="000000" w:fill="FFFFFF"/>
            <w:noWrap/>
            <w:vAlign w:val="bottom"/>
            <w:hideMark/>
          </w:tcPr>
          <w:p w:rsidR="00F07E05" w:rsidRPr="00BD47B7" w:rsidRDefault="00F07E05" w:rsidP="008A253E">
            <w:pPr>
              <w:jc w:val="center"/>
            </w:pPr>
            <w:r w:rsidRPr="00BD47B7">
              <w:t>9 301,76</w:t>
            </w:r>
          </w:p>
        </w:tc>
        <w:tc>
          <w:tcPr>
            <w:tcW w:w="1115" w:type="dxa"/>
            <w:tcBorders>
              <w:top w:val="nil"/>
              <w:left w:val="nil"/>
              <w:bottom w:val="single" w:sz="4" w:space="0" w:color="auto"/>
              <w:right w:val="single" w:sz="4" w:space="0" w:color="auto"/>
            </w:tcBorders>
            <w:shd w:val="clear" w:color="000000" w:fill="FFFFFF"/>
            <w:noWrap/>
            <w:vAlign w:val="bottom"/>
            <w:hideMark/>
          </w:tcPr>
          <w:p w:rsidR="00F07E05" w:rsidRPr="00BD47B7" w:rsidRDefault="00F07E05" w:rsidP="008A253E">
            <w:pPr>
              <w:jc w:val="center"/>
            </w:pPr>
            <w:r w:rsidRPr="00BD47B7">
              <w:t>44,99</w:t>
            </w:r>
          </w:p>
        </w:tc>
        <w:tc>
          <w:tcPr>
            <w:tcW w:w="1579" w:type="dxa"/>
            <w:tcBorders>
              <w:top w:val="nil"/>
              <w:left w:val="nil"/>
              <w:bottom w:val="single" w:sz="4" w:space="0" w:color="auto"/>
              <w:right w:val="single" w:sz="4" w:space="0" w:color="auto"/>
            </w:tcBorders>
            <w:shd w:val="clear" w:color="000000" w:fill="FFFFFF"/>
            <w:noWrap/>
            <w:vAlign w:val="bottom"/>
            <w:hideMark/>
          </w:tcPr>
          <w:p w:rsidR="00F07E05" w:rsidRPr="00BD47B7" w:rsidRDefault="00F07E05" w:rsidP="008A253E">
            <w:pPr>
              <w:jc w:val="center"/>
            </w:pPr>
            <w:r w:rsidRPr="00BD47B7">
              <w:t>9 673,83</w:t>
            </w:r>
          </w:p>
        </w:tc>
      </w:tr>
      <w:tr w:rsidR="00F07E05" w:rsidTr="008A253E">
        <w:trPr>
          <w:trHeight w:val="645"/>
        </w:trPr>
        <w:tc>
          <w:tcPr>
            <w:tcW w:w="513" w:type="dxa"/>
            <w:tcBorders>
              <w:top w:val="nil"/>
              <w:left w:val="single" w:sz="4" w:space="0" w:color="auto"/>
              <w:bottom w:val="single" w:sz="4" w:space="0" w:color="auto"/>
              <w:right w:val="single" w:sz="4" w:space="0" w:color="auto"/>
            </w:tcBorders>
            <w:shd w:val="clear" w:color="000000" w:fill="FFFFFF"/>
            <w:vAlign w:val="bottom"/>
            <w:hideMark/>
          </w:tcPr>
          <w:p w:rsidR="00F07E05" w:rsidRPr="00BD47B7" w:rsidRDefault="00F07E05" w:rsidP="008A253E">
            <w:pPr>
              <w:jc w:val="center"/>
              <w:rPr>
                <w:sz w:val="22"/>
                <w:szCs w:val="22"/>
              </w:rPr>
            </w:pPr>
            <w:r w:rsidRPr="00BD47B7">
              <w:rPr>
                <w:sz w:val="22"/>
                <w:szCs w:val="22"/>
              </w:rPr>
              <w:t>27</w:t>
            </w:r>
          </w:p>
        </w:tc>
        <w:tc>
          <w:tcPr>
            <w:tcW w:w="4079" w:type="dxa"/>
            <w:tcBorders>
              <w:top w:val="nil"/>
              <w:left w:val="nil"/>
              <w:bottom w:val="single" w:sz="4" w:space="0" w:color="auto"/>
              <w:right w:val="single" w:sz="4" w:space="0" w:color="auto"/>
            </w:tcBorders>
            <w:shd w:val="clear" w:color="auto" w:fill="auto"/>
            <w:noWrap/>
            <w:vAlign w:val="bottom"/>
            <w:hideMark/>
          </w:tcPr>
          <w:p w:rsidR="00F07E05" w:rsidRPr="00BD47B7" w:rsidRDefault="00F07E05" w:rsidP="008A253E">
            <w:pPr>
              <w:rPr>
                <w:color w:val="000000"/>
                <w:sz w:val="22"/>
                <w:szCs w:val="22"/>
              </w:rPr>
            </w:pPr>
            <w:r w:rsidRPr="00BD47B7">
              <w:rPr>
                <w:color w:val="000000"/>
                <w:sz w:val="22"/>
                <w:szCs w:val="22"/>
              </w:rPr>
              <w:t>Тверской областной суд</w:t>
            </w:r>
          </w:p>
        </w:tc>
        <w:tc>
          <w:tcPr>
            <w:tcW w:w="1014" w:type="dxa"/>
            <w:tcBorders>
              <w:top w:val="nil"/>
              <w:left w:val="nil"/>
              <w:bottom w:val="single" w:sz="4" w:space="0" w:color="auto"/>
              <w:right w:val="single" w:sz="4" w:space="0" w:color="auto"/>
            </w:tcBorders>
            <w:shd w:val="clear" w:color="000000" w:fill="FFFFFF"/>
            <w:vAlign w:val="bottom"/>
            <w:hideMark/>
          </w:tcPr>
          <w:p w:rsidR="00F07E05" w:rsidRPr="00BD47B7" w:rsidRDefault="00F07E05" w:rsidP="008A253E">
            <w:pPr>
              <w:jc w:val="center"/>
            </w:pPr>
            <w:r w:rsidRPr="00BD47B7">
              <w:t>741</w:t>
            </w:r>
          </w:p>
        </w:tc>
        <w:tc>
          <w:tcPr>
            <w:tcW w:w="989" w:type="dxa"/>
            <w:tcBorders>
              <w:top w:val="nil"/>
              <w:left w:val="nil"/>
              <w:bottom w:val="single" w:sz="4" w:space="0" w:color="auto"/>
              <w:right w:val="single" w:sz="4" w:space="0" w:color="auto"/>
            </w:tcBorders>
            <w:shd w:val="clear" w:color="000000" w:fill="FFFFFF"/>
            <w:vAlign w:val="bottom"/>
            <w:hideMark/>
          </w:tcPr>
          <w:p w:rsidR="00F07E05" w:rsidRPr="00BD47B7" w:rsidRDefault="00F07E05" w:rsidP="008A253E">
            <w:pPr>
              <w:jc w:val="center"/>
            </w:pPr>
            <w:r w:rsidRPr="00BD47B7">
              <w:t>40</w:t>
            </w:r>
          </w:p>
        </w:tc>
        <w:tc>
          <w:tcPr>
            <w:tcW w:w="1485" w:type="dxa"/>
            <w:tcBorders>
              <w:top w:val="nil"/>
              <w:left w:val="nil"/>
              <w:bottom w:val="single" w:sz="4" w:space="0" w:color="auto"/>
              <w:right w:val="single" w:sz="4" w:space="0" w:color="auto"/>
            </w:tcBorders>
            <w:shd w:val="clear" w:color="auto" w:fill="auto"/>
            <w:noWrap/>
            <w:vAlign w:val="bottom"/>
            <w:hideMark/>
          </w:tcPr>
          <w:p w:rsidR="00F07E05" w:rsidRPr="00BD47B7" w:rsidRDefault="00F07E05" w:rsidP="008A253E">
            <w:pPr>
              <w:jc w:val="right"/>
              <w:rPr>
                <w:color w:val="000000"/>
              </w:rPr>
            </w:pPr>
            <w:r w:rsidRPr="00BD47B7">
              <w:rPr>
                <w:color w:val="000000"/>
              </w:rPr>
              <w:t>29 640,00</w:t>
            </w:r>
          </w:p>
        </w:tc>
        <w:tc>
          <w:tcPr>
            <w:tcW w:w="1003" w:type="dxa"/>
            <w:tcBorders>
              <w:top w:val="nil"/>
              <w:left w:val="nil"/>
              <w:bottom w:val="single" w:sz="4" w:space="0" w:color="auto"/>
              <w:right w:val="single" w:sz="4" w:space="0" w:color="auto"/>
            </w:tcBorders>
            <w:shd w:val="clear" w:color="000000" w:fill="FFFFFF"/>
            <w:noWrap/>
            <w:vAlign w:val="bottom"/>
            <w:hideMark/>
          </w:tcPr>
          <w:p w:rsidR="00F07E05" w:rsidRPr="00BD47B7" w:rsidRDefault="00F07E05" w:rsidP="008A253E">
            <w:pPr>
              <w:jc w:val="center"/>
            </w:pPr>
            <w:r w:rsidRPr="00BD47B7">
              <w:t>41,6</w:t>
            </w:r>
          </w:p>
        </w:tc>
        <w:tc>
          <w:tcPr>
            <w:tcW w:w="1549" w:type="dxa"/>
            <w:tcBorders>
              <w:top w:val="nil"/>
              <w:left w:val="nil"/>
              <w:bottom w:val="single" w:sz="4" w:space="0" w:color="auto"/>
              <w:right w:val="single" w:sz="4" w:space="0" w:color="auto"/>
            </w:tcBorders>
            <w:shd w:val="clear" w:color="000000" w:fill="FFFFFF"/>
            <w:noWrap/>
            <w:vAlign w:val="bottom"/>
            <w:hideMark/>
          </w:tcPr>
          <w:p w:rsidR="00F07E05" w:rsidRPr="00BD47B7" w:rsidRDefault="00F07E05" w:rsidP="008A253E">
            <w:pPr>
              <w:jc w:val="center"/>
            </w:pPr>
            <w:r w:rsidRPr="00BD47B7">
              <w:t>30 825,60</w:t>
            </w:r>
          </w:p>
        </w:tc>
        <w:tc>
          <w:tcPr>
            <w:tcW w:w="1073" w:type="dxa"/>
            <w:tcBorders>
              <w:top w:val="nil"/>
              <w:left w:val="nil"/>
              <w:bottom w:val="single" w:sz="4" w:space="0" w:color="auto"/>
              <w:right w:val="single" w:sz="4" w:space="0" w:color="auto"/>
            </w:tcBorders>
            <w:shd w:val="clear" w:color="000000" w:fill="FFFFFF"/>
            <w:noWrap/>
            <w:vAlign w:val="bottom"/>
            <w:hideMark/>
          </w:tcPr>
          <w:p w:rsidR="00F07E05" w:rsidRPr="00BD47B7" w:rsidRDefault="00F07E05" w:rsidP="008A253E">
            <w:pPr>
              <w:jc w:val="center"/>
            </w:pPr>
            <w:r w:rsidRPr="00BD47B7">
              <w:t>43,26</w:t>
            </w:r>
          </w:p>
        </w:tc>
        <w:tc>
          <w:tcPr>
            <w:tcW w:w="1478" w:type="dxa"/>
            <w:tcBorders>
              <w:top w:val="nil"/>
              <w:left w:val="nil"/>
              <w:bottom w:val="single" w:sz="4" w:space="0" w:color="auto"/>
              <w:right w:val="single" w:sz="4" w:space="0" w:color="auto"/>
            </w:tcBorders>
            <w:shd w:val="clear" w:color="000000" w:fill="FFFFFF"/>
            <w:noWrap/>
            <w:vAlign w:val="bottom"/>
            <w:hideMark/>
          </w:tcPr>
          <w:p w:rsidR="00F07E05" w:rsidRPr="00BD47B7" w:rsidRDefault="00F07E05" w:rsidP="008A253E">
            <w:pPr>
              <w:jc w:val="center"/>
            </w:pPr>
            <w:r w:rsidRPr="00BD47B7">
              <w:t>32 058,62</w:t>
            </w:r>
          </w:p>
        </w:tc>
        <w:tc>
          <w:tcPr>
            <w:tcW w:w="1115" w:type="dxa"/>
            <w:tcBorders>
              <w:top w:val="nil"/>
              <w:left w:val="nil"/>
              <w:bottom w:val="single" w:sz="4" w:space="0" w:color="auto"/>
              <w:right w:val="single" w:sz="4" w:space="0" w:color="auto"/>
            </w:tcBorders>
            <w:shd w:val="clear" w:color="000000" w:fill="FFFFFF"/>
            <w:noWrap/>
            <w:vAlign w:val="bottom"/>
            <w:hideMark/>
          </w:tcPr>
          <w:p w:rsidR="00F07E05" w:rsidRPr="00BD47B7" w:rsidRDefault="00F07E05" w:rsidP="008A253E">
            <w:pPr>
              <w:jc w:val="center"/>
            </w:pPr>
            <w:r w:rsidRPr="00BD47B7">
              <w:t>44,99</w:t>
            </w:r>
          </w:p>
        </w:tc>
        <w:tc>
          <w:tcPr>
            <w:tcW w:w="1579" w:type="dxa"/>
            <w:tcBorders>
              <w:top w:val="nil"/>
              <w:left w:val="nil"/>
              <w:bottom w:val="single" w:sz="4" w:space="0" w:color="auto"/>
              <w:right w:val="single" w:sz="4" w:space="0" w:color="auto"/>
            </w:tcBorders>
            <w:shd w:val="clear" w:color="000000" w:fill="FFFFFF"/>
            <w:noWrap/>
            <w:vAlign w:val="bottom"/>
            <w:hideMark/>
          </w:tcPr>
          <w:p w:rsidR="00F07E05" w:rsidRPr="00BD47B7" w:rsidRDefault="00F07E05" w:rsidP="008A253E">
            <w:pPr>
              <w:jc w:val="center"/>
            </w:pPr>
            <w:r w:rsidRPr="00BD47B7">
              <w:t>33 340,97</w:t>
            </w:r>
          </w:p>
        </w:tc>
      </w:tr>
      <w:tr w:rsidR="00F07E05" w:rsidTr="008A253E">
        <w:trPr>
          <w:trHeight w:val="424"/>
        </w:trPr>
        <w:tc>
          <w:tcPr>
            <w:tcW w:w="513" w:type="dxa"/>
            <w:tcBorders>
              <w:top w:val="nil"/>
              <w:left w:val="single" w:sz="4" w:space="0" w:color="auto"/>
              <w:bottom w:val="single" w:sz="4" w:space="0" w:color="auto"/>
              <w:right w:val="single" w:sz="4" w:space="0" w:color="auto"/>
            </w:tcBorders>
            <w:shd w:val="clear" w:color="000000" w:fill="FFFFFF"/>
            <w:vAlign w:val="bottom"/>
            <w:hideMark/>
          </w:tcPr>
          <w:p w:rsidR="00F07E05" w:rsidRPr="00BD47B7" w:rsidRDefault="00F07E05" w:rsidP="008A253E">
            <w:pPr>
              <w:jc w:val="center"/>
              <w:rPr>
                <w:sz w:val="22"/>
                <w:szCs w:val="22"/>
              </w:rPr>
            </w:pPr>
            <w:r w:rsidRPr="00BD47B7">
              <w:rPr>
                <w:sz w:val="22"/>
                <w:szCs w:val="22"/>
              </w:rPr>
              <w:t>28</w:t>
            </w:r>
          </w:p>
        </w:tc>
        <w:tc>
          <w:tcPr>
            <w:tcW w:w="4079" w:type="dxa"/>
            <w:tcBorders>
              <w:top w:val="nil"/>
              <w:left w:val="nil"/>
              <w:bottom w:val="single" w:sz="4" w:space="0" w:color="auto"/>
              <w:right w:val="single" w:sz="4" w:space="0" w:color="auto"/>
            </w:tcBorders>
            <w:shd w:val="clear" w:color="auto" w:fill="auto"/>
            <w:noWrap/>
            <w:vAlign w:val="bottom"/>
            <w:hideMark/>
          </w:tcPr>
          <w:p w:rsidR="00F07E05" w:rsidRPr="00BD47B7" w:rsidRDefault="00F07E05" w:rsidP="008A253E">
            <w:pPr>
              <w:rPr>
                <w:color w:val="000000"/>
                <w:sz w:val="22"/>
                <w:szCs w:val="22"/>
              </w:rPr>
            </w:pPr>
            <w:r w:rsidRPr="00BD47B7">
              <w:rPr>
                <w:color w:val="000000"/>
                <w:sz w:val="22"/>
                <w:szCs w:val="22"/>
              </w:rPr>
              <w:t>ГБП ТКК им. Н.А. Львова</w:t>
            </w:r>
          </w:p>
        </w:tc>
        <w:tc>
          <w:tcPr>
            <w:tcW w:w="1014" w:type="dxa"/>
            <w:tcBorders>
              <w:top w:val="nil"/>
              <w:left w:val="nil"/>
              <w:bottom w:val="single" w:sz="4" w:space="0" w:color="auto"/>
              <w:right w:val="single" w:sz="4" w:space="0" w:color="auto"/>
            </w:tcBorders>
            <w:shd w:val="clear" w:color="000000" w:fill="FFFFFF"/>
            <w:vAlign w:val="bottom"/>
            <w:hideMark/>
          </w:tcPr>
          <w:p w:rsidR="00F07E05" w:rsidRPr="00BD47B7" w:rsidRDefault="00F07E05" w:rsidP="008A253E">
            <w:pPr>
              <w:jc w:val="center"/>
            </w:pPr>
            <w:r w:rsidRPr="00BD47B7">
              <w:t>230</w:t>
            </w:r>
          </w:p>
        </w:tc>
        <w:tc>
          <w:tcPr>
            <w:tcW w:w="989" w:type="dxa"/>
            <w:tcBorders>
              <w:top w:val="nil"/>
              <w:left w:val="nil"/>
              <w:bottom w:val="single" w:sz="4" w:space="0" w:color="auto"/>
              <w:right w:val="single" w:sz="4" w:space="0" w:color="auto"/>
            </w:tcBorders>
            <w:shd w:val="clear" w:color="000000" w:fill="FFFFFF"/>
            <w:vAlign w:val="bottom"/>
            <w:hideMark/>
          </w:tcPr>
          <w:p w:rsidR="00F07E05" w:rsidRPr="00BD47B7" w:rsidRDefault="00F07E05" w:rsidP="008A253E">
            <w:pPr>
              <w:jc w:val="center"/>
            </w:pPr>
            <w:r w:rsidRPr="00BD47B7">
              <w:t>40</w:t>
            </w:r>
          </w:p>
        </w:tc>
        <w:tc>
          <w:tcPr>
            <w:tcW w:w="1485" w:type="dxa"/>
            <w:tcBorders>
              <w:top w:val="nil"/>
              <w:left w:val="nil"/>
              <w:bottom w:val="single" w:sz="4" w:space="0" w:color="auto"/>
              <w:right w:val="single" w:sz="4" w:space="0" w:color="auto"/>
            </w:tcBorders>
            <w:shd w:val="clear" w:color="auto" w:fill="auto"/>
            <w:noWrap/>
            <w:vAlign w:val="bottom"/>
            <w:hideMark/>
          </w:tcPr>
          <w:p w:rsidR="00F07E05" w:rsidRPr="00BD47B7" w:rsidRDefault="00F07E05" w:rsidP="008A253E">
            <w:pPr>
              <w:jc w:val="right"/>
              <w:rPr>
                <w:color w:val="000000"/>
              </w:rPr>
            </w:pPr>
            <w:r w:rsidRPr="00BD47B7">
              <w:rPr>
                <w:color w:val="000000"/>
              </w:rPr>
              <w:t>9 200,00</w:t>
            </w:r>
          </w:p>
        </w:tc>
        <w:tc>
          <w:tcPr>
            <w:tcW w:w="1003" w:type="dxa"/>
            <w:tcBorders>
              <w:top w:val="nil"/>
              <w:left w:val="nil"/>
              <w:bottom w:val="single" w:sz="4" w:space="0" w:color="auto"/>
              <w:right w:val="single" w:sz="4" w:space="0" w:color="auto"/>
            </w:tcBorders>
            <w:shd w:val="clear" w:color="000000" w:fill="FFFFFF"/>
            <w:noWrap/>
            <w:vAlign w:val="bottom"/>
            <w:hideMark/>
          </w:tcPr>
          <w:p w:rsidR="00F07E05" w:rsidRPr="00BD47B7" w:rsidRDefault="00F07E05" w:rsidP="008A253E">
            <w:pPr>
              <w:jc w:val="center"/>
            </w:pPr>
            <w:r w:rsidRPr="00BD47B7">
              <w:t>41,6</w:t>
            </w:r>
          </w:p>
        </w:tc>
        <w:tc>
          <w:tcPr>
            <w:tcW w:w="1549" w:type="dxa"/>
            <w:tcBorders>
              <w:top w:val="nil"/>
              <w:left w:val="nil"/>
              <w:bottom w:val="single" w:sz="4" w:space="0" w:color="auto"/>
              <w:right w:val="single" w:sz="4" w:space="0" w:color="auto"/>
            </w:tcBorders>
            <w:shd w:val="clear" w:color="000000" w:fill="FFFFFF"/>
            <w:noWrap/>
            <w:vAlign w:val="bottom"/>
            <w:hideMark/>
          </w:tcPr>
          <w:p w:rsidR="00F07E05" w:rsidRPr="00BD47B7" w:rsidRDefault="00F07E05" w:rsidP="008A253E">
            <w:pPr>
              <w:jc w:val="center"/>
            </w:pPr>
            <w:r w:rsidRPr="00BD47B7">
              <w:t>9 568,00</w:t>
            </w:r>
          </w:p>
        </w:tc>
        <w:tc>
          <w:tcPr>
            <w:tcW w:w="1073" w:type="dxa"/>
            <w:tcBorders>
              <w:top w:val="nil"/>
              <w:left w:val="nil"/>
              <w:bottom w:val="single" w:sz="4" w:space="0" w:color="auto"/>
              <w:right w:val="single" w:sz="4" w:space="0" w:color="auto"/>
            </w:tcBorders>
            <w:shd w:val="clear" w:color="000000" w:fill="FFFFFF"/>
            <w:noWrap/>
            <w:vAlign w:val="bottom"/>
            <w:hideMark/>
          </w:tcPr>
          <w:p w:rsidR="00F07E05" w:rsidRPr="00BD47B7" w:rsidRDefault="00F07E05" w:rsidP="008A253E">
            <w:pPr>
              <w:jc w:val="center"/>
            </w:pPr>
            <w:r w:rsidRPr="00BD47B7">
              <w:t>43,26</w:t>
            </w:r>
          </w:p>
        </w:tc>
        <w:tc>
          <w:tcPr>
            <w:tcW w:w="1478" w:type="dxa"/>
            <w:tcBorders>
              <w:top w:val="nil"/>
              <w:left w:val="nil"/>
              <w:bottom w:val="single" w:sz="4" w:space="0" w:color="auto"/>
              <w:right w:val="single" w:sz="4" w:space="0" w:color="auto"/>
            </w:tcBorders>
            <w:shd w:val="clear" w:color="000000" w:fill="FFFFFF"/>
            <w:noWrap/>
            <w:vAlign w:val="bottom"/>
            <w:hideMark/>
          </w:tcPr>
          <w:p w:rsidR="00F07E05" w:rsidRPr="00BD47B7" w:rsidRDefault="00F07E05" w:rsidP="008A253E">
            <w:pPr>
              <w:jc w:val="center"/>
            </w:pPr>
            <w:r w:rsidRPr="00BD47B7">
              <w:t>9 950,72</w:t>
            </w:r>
          </w:p>
        </w:tc>
        <w:tc>
          <w:tcPr>
            <w:tcW w:w="1115" w:type="dxa"/>
            <w:tcBorders>
              <w:top w:val="nil"/>
              <w:left w:val="nil"/>
              <w:bottom w:val="single" w:sz="4" w:space="0" w:color="auto"/>
              <w:right w:val="single" w:sz="4" w:space="0" w:color="auto"/>
            </w:tcBorders>
            <w:shd w:val="clear" w:color="000000" w:fill="FFFFFF"/>
            <w:noWrap/>
            <w:vAlign w:val="bottom"/>
            <w:hideMark/>
          </w:tcPr>
          <w:p w:rsidR="00F07E05" w:rsidRPr="00BD47B7" w:rsidRDefault="00F07E05" w:rsidP="008A253E">
            <w:pPr>
              <w:jc w:val="center"/>
            </w:pPr>
            <w:r w:rsidRPr="00BD47B7">
              <w:t>44,99</w:t>
            </w:r>
          </w:p>
        </w:tc>
        <w:tc>
          <w:tcPr>
            <w:tcW w:w="1579" w:type="dxa"/>
            <w:tcBorders>
              <w:top w:val="nil"/>
              <w:left w:val="nil"/>
              <w:bottom w:val="single" w:sz="4" w:space="0" w:color="auto"/>
              <w:right w:val="single" w:sz="4" w:space="0" w:color="auto"/>
            </w:tcBorders>
            <w:shd w:val="clear" w:color="000000" w:fill="FFFFFF"/>
            <w:noWrap/>
            <w:vAlign w:val="bottom"/>
            <w:hideMark/>
          </w:tcPr>
          <w:p w:rsidR="00F07E05" w:rsidRPr="00BD47B7" w:rsidRDefault="00F07E05" w:rsidP="008A253E">
            <w:pPr>
              <w:jc w:val="center"/>
            </w:pPr>
            <w:r w:rsidRPr="00BD47B7">
              <w:t>10 348,75</w:t>
            </w:r>
          </w:p>
        </w:tc>
      </w:tr>
      <w:tr w:rsidR="00F07E05" w:rsidTr="008A253E">
        <w:trPr>
          <w:trHeight w:val="604"/>
        </w:trPr>
        <w:tc>
          <w:tcPr>
            <w:tcW w:w="513" w:type="dxa"/>
            <w:tcBorders>
              <w:top w:val="nil"/>
              <w:left w:val="single" w:sz="4" w:space="0" w:color="auto"/>
              <w:bottom w:val="single" w:sz="4" w:space="0" w:color="auto"/>
              <w:right w:val="single" w:sz="4" w:space="0" w:color="auto"/>
            </w:tcBorders>
            <w:shd w:val="clear" w:color="000000" w:fill="FFFFFF"/>
            <w:vAlign w:val="bottom"/>
            <w:hideMark/>
          </w:tcPr>
          <w:p w:rsidR="00F07E05" w:rsidRPr="00BD47B7" w:rsidRDefault="00F07E05" w:rsidP="008A253E">
            <w:pPr>
              <w:jc w:val="center"/>
              <w:rPr>
                <w:sz w:val="22"/>
                <w:szCs w:val="22"/>
              </w:rPr>
            </w:pPr>
            <w:r w:rsidRPr="00BD47B7">
              <w:rPr>
                <w:sz w:val="22"/>
                <w:szCs w:val="22"/>
              </w:rPr>
              <w:t>29</w:t>
            </w:r>
          </w:p>
        </w:tc>
        <w:tc>
          <w:tcPr>
            <w:tcW w:w="4079" w:type="dxa"/>
            <w:tcBorders>
              <w:top w:val="nil"/>
              <w:left w:val="nil"/>
              <w:bottom w:val="single" w:sz="4" w:space="0" w:color="auto"/>
              <w:right w:val="single" w:sz="4" w:space="0" w:color="auto"/>
            </w:tcBorders>
            <w:shd w:val="clear" w:color="auto" w:fill="auto"/>
            <w:noWrap/>
            <w:vAlign w:val="bottom"/>
            <w:hideMark/>
          </w:tcPr>
          <w:p w:rsidR="00F07E05" w:rsidRPr="00BD47B7" w:rsidRDefault="00F07E05" w:rsidP="008A253E">
            <w:pPr>
              <w:rPr>
                <w:color w:val="000000"/>
                <w:sz w:val="22"/>
                <w:szCs w:val="22"/>
              </w:rPr>
            </w:pPr>
            <w:r w:rsidRPr="00BD47B7">
              <w:rPr>
                <w:color w:val="000000"/>
                <w:sz w:val="22"/>
                <w:szCs w:val="22"/>
              </w:rPr>
              <w:t xml:space="preserve"> ООО ТОБЭКС</w:t>
            </w:r>
          </w:p>
        </w:tc>
        <w:tc>
          <w:tcPr>
            <w:tcW w:w="1014" w:type="dxa"/>
            <w:tcBorders>
              <w:top w:val="nil"/>
              <w:left w:val="nil"/>
              <w:bottom w:val="single" w:sz="4" w:space="0" w:color="auto"/>
              <w:right w:val="single" w:sz="4" w:space="0" w:color="auto"/>
            </w:tcBorders>
            <w:shd w:val="clear" w:color="000000" w:fill="FFFFFF"/>
            <w:vAlign w:val="bottom"/>
            <w:hideMark/>
          </w:tcPr>
          <w:p w:rsidR="00F07E05" w:rsidRPr="00BD47B7" w:rsidRDefault="00F07E05" w:rsidP="008A253E">
            <w:pPr>
              <w:jc w:val="center"/>
            </w:pPr>
            <w:r w:rsidRPr="00BD47B7">
              <w:t>100</w:t>
            </w:r>
          </w:p>
        </w:tc>
        <w:tc>
          <w:tcPr>
            <w:tcW w:w="989" w:type="dxa"/>
            <w:tcBorders>
              <w:top w:val="nil"/>
              <w:left w:val="nil"/>
              <w:bottom w:val="single" w:sz="4" w:space="0" w:color="auto"/>
              <w:right w:val="single" w:sz="4" w:space="0" w:color="auto"/>
            </w:tcBorders>
            <w:shd w:val="clear" w:color="000000" w:fill="FFFFFF"/>
            <w:vAlign w:val="bottom"/>
            <w:hideMark/>
          </w:tcPr>
          <w:p w:rsidR="00F07E05" w:rsidRPr="00BD47B7" w:rsidRDefault="00F07E05" w:rsidP="008A253E">
            <w:pPr>
              <w:jc w:val="center"/>
            </w:pPr>
            <w:r w:rsidRPr="00BD47B7">
              <w:t>40</w:t>
            </w:r>
          </w:p>
        </w:tc>
        <w:tc>
          <w:tcPr>
            <w:tcW w:w="1485" w:type="dxa"/>
            <w:tcBorders>
              <w:top w:val="nil"/>
              <w:left w:val="nil"/>
              <w:bottom w:val="single" w:sz="4" w:space="0" w:color="auto"/>
              <w:right w:val="single" w:sz="4" w:space="0" w:color="auto"/>
            </w:tcBorders>
            <w:shd w:val="clear" w:color="auto" w:fill="auto"/>
            <w:noWrap/>
            <w:vAlign w:val="bottom"/>
            <w:hideMark/>
          </w:tcPr>
          <w:p w:rsidR="00F07E05" w:rsidRPr="00BD47B7" w:rsidRDefault="00F07E05" w:rsidP="008A253E">
            <w:pPr>
              <w:jc w:val="right"/>
              <w:rPr>
                <w:color w:val="000000"/>
              </w:rPr>
            </w:pPr>
            <w:r w:rsidRPr="00BD47B7">
              <w:rPr>
                <w:color w:val="000000"/>
              </w:rPr>
              <w:t>4 000,00</w:t>
            </w:r>
          </w:p>
        </w:tc>
        <w:tc>
          <w:tcPr>
            <w:tcW w:w="1003" w:type="dxa"/>
            <w:tcBorders>
              <w:top w:val="nil"/>
              <w:left w:val="nil"/>
              <w:bottom w:val="single" w:sz="4" w:space="0" w:color="auto"/>
              <w:right w:val="single" w:sz="4" w:space="0" w:color="auto"/>
            </w:tcBorders>
            <w:shd w:val="clear" w:color="000000" w:fill="FFFFFF"/>
            <w:noWrap/>
            <w:vAlign w:val="bottom"/>
            <w:hideMark/>
          </w:tcPr>
          <w:p w:rsidR="00F07E05" w:rsidRPr="00BD47B7" w:rsidRDefault="00F07E05" w:rsidP="008A253E">
            <w:pPr>
              <w:jc w:val="center"/>
            </w:pPr>
            <w:r w:rsidRPr="00BD47B7">
              <w:t>41,6</w:t>
            </w:r>
          </w:p>
        </w:tc>
        <w:tc>
          <w:tcPr>
            <w:tcW w:w="1549" w:type="dxa"/>
            <w:tcBorders>
              <w:top w:val="nil"/>
              <w:left w:val="nil"/>
              <w:bottom w:val="single" w:sz="4" w:space="0" w:color="auto"/>
              <w:right w:val="single" w:sz="4" w:space="0" w:color="auto"/>
            </w:tcBorders>
            <w:shd w:val="clear" w:color="000000" w:fill="FFFFFF"/>
            <w:noWrap/>
            <w:vAlign w:val="bottom"/>
            <w:hideMark/>
          </w:tcPr>
          <w:p w:rsidR="00F07E05" w:rsidRPr="00BD47B7" w:rsidRDefault="00F07E05" w:rsidP="008A253E">
            <w:pPr>
              <w:jc w:val="center"/>
            </w:pPr>
            <w:r w:rsidRPr="00BD47B7">
              <w:t>4 160,00</w:t>
            </w:r>
          </w:p>
        </w:tc>
        <w:tc>
          <w:tcPr>
            <w:tcW w:w="1073" w:type="dxa"/>
            <w:tcBorders>
              <w:top w:val="nil"/>
              <w:left w:val="nil"/>
              <w:bottom w:val="single" w:sz="4" w:space="0" w:color="auto"/>
              <w:right w:val="single" w:sz="4" w:space="0" w:color="auto"/>
            </w:tcBorders>
            <w:shd w:val="clear" w:color="000000" w:fill="FFFFFF"/>
            <w:noWrap/>
            <w:vAlign w:val="bottom"/>
            <w:hideMark/>
          </w:tcPr>
          <w:p w:rsidR="00F07E05" w:rsidRPr="00BD47B7" w:rsidRDefault="00F07E05" w:rsidP="008A253E">
            <w:pPr>
              <w:jc w:val="center"/>
            </w:pPr>
            <w:r w:rsidRPr="00BD47B7">
              <w:t>43,26</w:t>
            </w:r>
          </w:p>
        </w:tc>
        <w:tc>
          <w:tcPr>
            <w:tcW w:w="1478" w:type="dxa"/>
            <w:tcBorders>
              <w:top w:val="nil"/>
              <w:left w:val="nil"/>
              <w:bottom w:val="single" w:sz="4" w:space="0" w:color="auto"/>
              <w:right w:val="single" w:sz="4" w:space="0" w:color="auto"/>
            </w:tcBorders>
            <w:shd w:val="clear" w:color="000000" w:fill="FFFFFF"/>
            <w:noWrap/>
            <w:vAlign w:val="bottom"/>
            <w:hideMark/>
          </w:tcPr>
          <w:p w:rsidR="00F07E05" w:rsidRPr="00BD47B7" w:rsidRDefault="00F07E05" w:rsidP="008A253E">
            <w:pPr>
              <w:jc w:val="center"/>
            </w:pPr>
            <w:r w:rsidRPr="00BD47B7">
              <w:t>4 326,40</w:t>
            </w:r>
          </w:p>
        </w:tc>
        <w:tc>
          <w:tcPr>
            <w:tcW w:w="1115" w:type="dxa"/>
            <w:tcBorders>
              <w:top w:val="nil"/>
              <w:left w:val="nil"/>
              <w:bottom w:val="single" w:sz="4" w:space="0" w:color="auto"/>
              <w:right w:val="single" w:sz="4" w:space="0" w:color="auto"/>
            </w:tcBorders>
            <w:shd w:val="clear" w:color="000000" w:fill="FFFFFF"/>
            <w:noWrap/>
            <w:vAlign w:val="bottom"/>
            <w:hideMark/>
          </w:tcPr>
          <w:p w:rsidR="00F07E05" w:rsidRPr="00BD47B7" w:rsidRDefault="00F07E05" w:rsidP="008A253E">
            <w:pPr>
              <w:jc w:val="center"/>
            </w:pPr>
            <w:r w:rsidRPr="00BD47B7">
              <w:t>44,99</w:t>
            </w:r>
          </w:p>
        </w:tc>
        <w:tc>
          <w:tcPr>
            <w:tcW w:w="1579" w:type="dxa"/>
            <w:tcBorders>
              <w:top w:val="nil"/>
              <w:left w:val="nil"/>
              <w:bottom w:val="single" w:sz="4" w:space="0" w:color="auto"/>
              <w:right w:val="single" w:sz="4" w:space="0" w:color="auto"/>
            </w:tcBorders>
            <w:shd w:val="clear" w:color="000000" w:fill="FFFFFF"/>
            <w:noWrap/>
            <w:vAlign w:val="bottom"/>
            <w:hideMark/>
          </w:tcPr>
          <w:p w:rsidR="00F07E05" w:rsidRPr="00BD47B7" w:rsidRDefault="00F07E05" w:rsidP="008A253E">
            <w:pPr>
              <w:jc w:val="center"/>
            </w:pPr>
            <w:r w:rsidRPr="00BD47B7">
              <w:t>4 499,46</w:t>
            </w:r>
          </w:p>
        </w:tc>
      </w:tr>
      <w:tr w:rsidR="00F07E05" w:rsidTr="008A253E">
        <w:trPr>
          <w:trHeight w:val="330"/>
        </w:trPr>
        <w:tc>
          <w:tcPr>
            <w:tcW w:w="513" w:type="dxa"/>
            <w:tcBorders>
              <w:top w:val="nil"/>
              <w:left w:val="single" w:sz="4" w:space="0" w:color="auto"/>
              <w:bottom w:val="single" w:sz="4" w:space="0" w:color="auto"/>
              <w:right w:val="single" w:sz="4" w:space="0" w:color="auto"/>
            </w:tcBorders>
            <w:shd w:val="clear" w:color="000000" w:fill="FFFFFF"/>
            <w:vAlign w:val="bottom"/>
            <w:hideMark/>
          </w:tcPr>
          <w:p w:rsidR="00F07E05" w:rsidRPr="00BD47B7" w:rsidRDefault="00F07E05" w:rsidP="008A253E">
            <w:pPr>
              <w:jc w:val="center"/>
              <w:rPr>
                <w:sz w:val="22"/>
                <w:szCs w:val="22"/>
              </w:rPr>
            </w:pPr>
            <w:r w:rsidRPr="00BD47B7">
              <w:rPr>
                <w:sz w:val="22"/>
                <w:szCs w:val="22"/>
              </w:rPr>
              <w:t>30</w:t>
            </w:r>
          </w:p>
        </w:tc>
        <w:tc>
          <w:tcPr>
            <w:tcW w:w="4079" w:type="dxa"/>
            <w:tcBorders>
              <w:top w:val="nil"/>
              <w:left w:val="nil"/>
              <w:bottom w:val="single" w:sz="4" w:space="0" w:color="auto"/>
              <w:right w:val="single" w:sz="4" w:space="0" w:color="auto"/>
            </w:tcBorders>
            <w:shd w:val="clear" w:color="auto" w:fill="auto"/>
            <w:noWrap/>
            <w:vAlign w:val="bottom"/>
            <w:hideMark/>
          </w:tcPr>
          <w:p w:rsidR="00F07E05" w:rsidRPr="00BD47B7" w:rsidRDefault="00F07E05" w:rsidP="008A253E">
            <w:pPr>
              <w:rPr>
                <w:color w:val="000000"/>
                <w:sz w:val="22"/>
                <w:szCs w:val="22"/>
              </w:rPr>
            </w:pPr>
            <w:r w:rsidRPr="00BD47B7">
              <w:rPr>
                <w:color w:val="000000"/>
                <w:sz w:val="22"/>
                <w:szCs w:val="22"/>
              </w:rPr>
              <w:t>Областной молодежный центр</w:t>
            </w:r>
          </w:p>
        </w:tc>
        <w:tc>
          <w:tcPr>
            <w:tcW w:w="1014" w:type="dxa"/>
            <w:tcBorders>
              <w:top w:val="nil"/>
              <w:left w:val="nil"/>
              <w:bottom w:val="single" w:sz="4" w:space="0" w:color="auto"/>
              <w:right w:val="single" w:sz="4" w:space="0" w:color="auto"/>
            </w:tcBorders>
            <w:shd w:val="clear" w:color="000000" w:fill="FFFFFF"/>
            <w:vAlign w:val="bottom"/>
            <w:hideMark/>
          </w:tcPr>
          <w:p w:rsidR="00F07E05" w:rsidRPr="00BD47B7" w:rsidRDefault="00F07E05" w:rsidP="008A253E">
            <w:pPr>
              <w:jc w:val="center"/>
            </w:pPr>
            <w:r w:rsidRPr="00BD47B7">
              <w:t>247</w:t>
            </w:r>
          </w:p>
        </w:tc>
        <w:tc>
          <w:tcPr>
            <w:tcW w:w="989" w:type="dxa"/>
            <w:tcBorders>
              <w:top w:val="nil"/>
              <w:left w:val="nil"/>
              <w:bottom w:val="single" w:sz="4" w:space="0" w:color="auto"/>
              <w:right w:val="single" w:sz="4" w:space="0" w:color="auto"/>
            </w:tcBorders>
            <w:shd w:val="clear" w:color="000000" w:fill="FFFFFF"/>
            <w:vAlign w:val="bottom"/>
            <w:hideMark/>
          </w:tcPr>
          <w:p w:rsidR="00F07E05" w:rsidRPr="00BD47B7" w:rsidRDefault="00F07E05" w:rsidP="008A253E">
            <w:pPr>
              <w:jc w:val="center"/>
            </w:pPr>
            <w:r w:rsidRPr="00BD47B7">
              <w:t>40</w:t>
            </w:r>
          </w:p>
        </w:tc>
        <w:tc>
          <w:tcPr>
            <w:tcW w:w="1485" w:type="dxa"/>
            <w:tcBorders>
              <w:top w:val="nil"/>
              <w:left w:val="nil"/>
              <w:bottom w:val="single" w:sz="4" w:space="0" w:color="auto"/>
              <w:right w:val="single" w:sz="4" w:space="0" w:color="auto"/>
            </w:tcBorders>
            <w:shd w:val="clear" w:color="auto" w:fill="auto"/>
            <w:noWrap/>
            <w:vAlign w:val="bottom"/>
            <w:hideMark/>
          </w:tcPr>
          <w:p w:rsidR="00F07E05" w:rsidRPr="00BD47B7" w:rsidRDefault="00F07E05" w:rsidP="008A253E">
            <w:pPr>
              <w:jc w:val="right"/>
              <w:rPr>
                <w:color w:val="000000"/>
              </w:rPr>
            </w:pPr>
            <w:r w:rsidRPr="00BD47B7">
              <w:rPr>
                <w:color w:val="000000"/>
              </w:rPr>
              <w:t>9 880,00</w:t>
            </w:r>
          </w:p>
        </w:tc>
        <w:tc>
          <w:tcPr>
            <w:tcW w:w="1003" w:type="dxa"/>
            <w:tcBorders>
              <w:top w:val="nil"/>
              <w:left w:val="nil"/>
              <w:bottom w:val="single" w:sz="4" w:space="0" w:color="auto"/>
              <w:right w:val="single" w:sz="4" w:space="0" w:color="auto"/>
            </w:tcBorders>
            <w:shd w:val="clear" w:color="000000" w:fill="FFFFFF"/>
            <w:noWrap/>
            <w:vAlign w:val="bottom"/>
            <w:hideMark/>
          </w:tcPr>
          <w:p w:rsidR="00F07E05" w:rsidRPr="00BD47B7" w:rsidRDefault="00F07E05" w:rsidP="008A253E">
            <w:pPr>
              <w:jc w:val="center"/>
            </w:pPr>
            <w:r w:rsidRPr="00BD47B7">
              <w:t>41,6</w:t>
            </w:r>
          </w:p>
        </w:tc>
        <w:tc>
          <w:tcPr>
            <w:tcW w:w="1549" w:type="dxa"/>
            <w:tcBorders>
              <w:top w:val="nil"/>
              <w:left w:val="nil"/>
              <w:bottom w:val="single" w:sz="4" w:space="0" w:color="auto"/>
              <w:right w:val="single" w:sz="4" w:space="0" w:color="auto"/>
            </w:tcBorders>
            <w:shd w:val="clear" w:color="000000" w:fill="FFFFFF"/>
            <w:noWrap/>
            <w:vAlign w:val="bottom"/>
            <w:hideMark/>
          </w:tcPr>
          <w:p w:rsidR="00F07E05" w:rsidRPr="00BD47B7" w:rsidRDefault="00F07E05" w:rsidP="008A253E">
            <w:pPr>
              <w:jc w:val="center"/>
            </w:pPr>
            <w:r w:rsidRPr="00BD47B7">
              <w:t>10 275,20</w:t>
            </w:r>
          </w:p>
        </w:tc>
        <w:tc>
          <w:tcPr>
            <w:tcW w:w="1073" w:type="dxa"/>
            <w:tcBorders>
              <w:top w:val="nil"/>
              <w:left w:val="nil"/>
              <w:bottom w:val="single" w:sz="4" w:space="0" w:color="auto"/>
              <w:right w:val="single" w:sz="4" w:space="0" w:color="auto"/>
            </w:tcBorders>
            <w:shd w:val="clear" w:color="000000" w:fill="FFFFFF"/>
            <w:noWrap/>
            <w:vAlign w:val="bottom"/>
            <w:hideMark/>
          </w:tcPr>
          <w:p w:rsidR="00F07E05" w:rsidRPr="00BD47B7" w:rsidRDefault="00F07E05" w:rsidP="008A253E">
            <w:pPr>
              <w:jc w:val="center"/>
            </w:pPr>
            <w:r w:rsidRPr="00BD47B7">
              <w:t>43,26</w:t>
            </w:r>
          </w:p>
        </w:tc>
        <w:tc>
          <w:tcPr>
            <w:tcW w:w="1478" w:type="dxa"/>
            <w:tcBorders>
              <w:top w:val="nil"/>
              <w:left w:val="nil"/>
              <w:bottom w:val="single" w:sz="4" w:space="0" w:color="auto"/>
              <w:right w:val="single" w:sz="4" w:space="0" w:color="auto"/>
            </w:tcBorders>
            <w:shd w:val="clear" w:color="000000" w:fill="FFFFFF"/>
            <w:noWrap/>
            <w:vAlign w:val="bottom"/>
            <w:hideMark/>
          </w:tcPr>
          <w:p w:rsidR="00F07E05" w:rsidRPr="00BD47B7" w:rsidRDefault="00F07E05" w:rsidP="008A253E">
            <w:pPr>
              <w:jc w:val="center"/>
            </w:pPr>
            <w:r w:rsidRPr="00BD47B7">
              <w:t>10 686,21</w:t>
            </w:r>
          </w:p>
        </w:tc>
        <w:tc>
          <w:tcPr>
            <w:tcW w:w="1115" w:type="dxa"/>
            <w:tcBorders>
              <w:top w:val="nil"/>
              <w:left w:val="nil"/>
              <w:bottom w:val="single" w:sz="4" w:space="0" w:color="auto"/>
              <w:right w:val="single" w:sz="4" w:space="0" w:color="auto"/>
            </w:tcBorders>
            <w:shd w:val="clear" w:color="000000" w:fill="FFFFFF"/>
            <w:noWrap/>
            <w:vAlign w:val="bottom"/>
            <w:hideMark/>
          </w:tcPr>
          <w:p w:rsidR="00F07E05" w:rsidRPr="00BD47B7" w:rsidRDefault="00F07E05" w:rsidP="008A253E">
            <w:pPr>
              <w:jc w:val="center"/>
            </w:pPr>
            <w:r w:rsidRPr="00BD47B7">
              <w:t>44,99</w:t>
            </w:r>
          </w:p>
        </w:tc>
        <w:tc>
          <w:tcPr>
            <w:tcW w:w="1579" w:type="dxa"/>
            <w:tcBorders>
              <w:top w:val="nil"/>
              <w:left w:val="nil"/>
              <w:bottom w:val="single" w:sz="4" w:space="0" w:color="auto"/>
              <w:right w:val="single" w:sz="4" w:space="0" w:color="auto"/>
            </w:tcBorders>
            <w:shd w:val="clear" w:color="000000" w:fill="FFFFFF"/>
            <w:noWrap/>
            <w:vAlign w:val="bottom"/>
            <w:hideMark/>
          </w:tcPr>
          <w:p w:rsidR="00F07E05" w:rsidRPr="00BD47B7" w:rsidRDefault="00F07E05" w:rsidP="008A253E">
            <w:pPr>
              <w:jc w:val="center"/>
            </w:pPr>
            <w:r w:rsidRPr="00BD47B7">
              <w:t>11 113,66</w:t>
            </w:r>
          </w:p>
        </w:tc>
      </w:tr>
      <w:tr w:rsidR="00F07E05" w:rsidTr="008A253E">
        <w:trPr>
          <w:trHeight w:val="615"/>
        </w:trPr>
        <w:tc>
          <w:tcPr>
            <w:tcW w:w="513" w:type="dxa"/>
            <w:tcBorders>
              <w:top w:val="nil"/>
              <w:left w:val="single" w:sz="4" w:space="0" w:color="auto"/>
              <w:bottom w:val="single" w:sz="4" w:space="0" w:color="auto"/>
              <w:right w:val="single" w:sz="4" w:space="0" w:color="auto"/>
            </w:tcBorders>
            <w:shd w:val="clear" w:color="000000" w:fill="FFFFFF"/>
            <w:vAlign w:val="bottom"/>
            <w:hideMark/>
          </w:tcPr>
          <w:p w:rsidR="00F07E05" w:rsidRPr="00BD47B7" w:rsidRDefault="00F07E05" w:rsidP="008A253E">
            <w:pPr>
              <w:jc w:val="center"/>
              <w:rPr>
                <w:sz w:val="22"/>
                <w:szCs w:val="22"/>
              </w:rPr>
            </w:pPr>
            <w:r w:rsidRPr="00BD47B7">
              <w:rPr>
                <w:sz w:val="22"/>
                <w:szCs w:val="22"/>
              </w:rPr>
              <w:t>31</w:t>
            </w:r>
          </w:p>
        </w:tc>
        <w:tc>
          <w:tcPr>
            <w:tcW w:w="4079" w:type="dxa"/>
            <w:tcBorders>
              <w:top w:val="nil"/>
              <w:left w:val="nil"/>
              <w:bottom w:val="single" w:sz="4" w:space="0" w:color="auto"/>
              <w:right w:val="single" w:sz="4" w:space="0" w:color="auto"/>
            </w:tcBorders>
            <w:shd w:val="clear" w:color="auto" w:fill="auto"/>
            <w:noWrap/>
            <w:vAlign w:val="bottom"/>
            <w:hideMark/>
          </w:tcPr>
          <w:p w:rsidR="00F07E05" w:rsidRPr="00BD47B7" w:rsidRDefault="00F07E05" w:rsidP="008A253E">
            <w:pPr>
              <w:rPr>
                <w:color w:val="000000"/>
                <w:sz w:val="22"/>
                <w:szCs w:val="22"/>
              </w:rPr>
            </w:pPr>
            <w:r w:rsidRPr="00BD47B7">
              <w:rPr>
                <w:color w:val="000000"/>
                <w:sz w:val="22"/>
                <w:szCs w:val="22"/>
              </w:rPr>
              <w:t>Рождественская СОШ</w:t>
            </w:r>
          </w:p>
        </w:tc>
        <w:tc>
          <w:tcPr>
            <w:tcW w:w="1014" w:type="dxa"/>
            <w:tcBorders>
              <w:top w:val="nil"/>
              <w:left w:val="nil"/>
              <w:bottom w:val="single" w:sz="4" w:space="0" w:color="auto"/>
              <w:right w:val="single" w:sz="4" w:space="0" w:color="auto"/>
            </w:tcBorders>
            <w:shd w:val="clear" w:color="000000" w:fill="FFFFFF"/>
            <w:vAlign w:val="bottom"/>
            <w:hideMark/>
          </w:tcPr>
          <w:p w:rsidR="00F07E05" w:rsidRPr="00BD47B7" w:rsidRDefault="00F07E05" w:rsidP="008A253E">
            <w:pPr>
              <w:jc w:val="center"/>
            </w:pPr>
            <w:r w:rsidRPr="00BD47B7">
              <w:t>680</w:t>
            </w:r>
          </w:p>
        </w:tc>
        <w:tc>
          <w:tcPr>
            <w:tcW w:w="989" w:type="dxa"/>
            <w:tcBorders>
              <w:top w:val="nil"/>
              <w:left w:val="nil"/>
              <w:bottom w:val="single" w:sz="4" w:space="0" w:color="auto"/>
              <w:right w:val="single" w:sz="4" w:space="0" w:color="auto"/>
            </w:tcBorders>
            <w:shd w:val="clear" w:color="000000" w:fill="FFFFFF"/>
            <w:vAlign w:val="bottom"/>
            <w:hideMark/>
          </w:tcPr>
          <w:p w:rsidR="00F07E05" w:rsidRPr="00BD47B7" w:rsidRDefault="00F07E05" w:rsidP="008A253E">
            <w:pPr>
              <w:jc w:val="center"/>
            </w:pPr>
            <w:r w:rsidRPr="00BD47B7">
              <w:t>40</w:t>
            </w:r>
          </w:p>
        </w:tc>
        <w:tc>
          <w:tcPr>
            <w:tcW w:w="1485" w:type="dxa"/>
            <w:tcBorders>
              <w:top w:val="nil"/>
              <w:left w:val="nil"/>
              <w:bottom w:val="single" w:sz="4" w:space="0" w:color="auto"/>
              <w:right w:val="single" w:sz="4" w:space="0" w:color="auto"/>
            </w:tcBorders>
            <w:shd w:val="clear" w:color="auto" w:fill="auto"/>
            <w:noWrap/>
            <w:vAlign w:val="bottom"/>
            <w:hideMark/>
          </w:tcPr>
          <w:p w:rsidR="00F07E05" w:rsidRPr="00BD47B7" w:rsidRDefault="00F07E05" w:rsidP="008A253E">
            <w:pPr>
              <w:jc w:val="right"/>
              <w:rPr>
                <w:color w:val="000000"/>
              </w:rPr>
            </w:pPr>
            <w:r w:rsidRPr="00BD47B7">
              <w:rPr>
                <w:color w:val="000000"/>
              </w:rPr>
              <w:t>27 200,00</w:t>
            </w:r>
          </w:p>
        </w:tc>
        <w:tc>
          <w:tcPr>
            <w:tcW w:w="1003" w:type="dxa"/>
            <w:tcBorders>
              <w:top w:val="nil"/>
              <w:left w:val="nil"/>
              <w:bottom w:val="single" w:sz="4" w:space="0" w:color="auto"/>
              <w:right w:val="single" w:sz="4" w:space="0" w:color="auto"/>
            </w:tcBorders>
            <w:shd w:val="clear" w:color="000000" w:fill="FFFFFF"/>
            <w:noWrap/>
            <w:vAlign w:val="bottom"/>
            <w:hideMark/>
          </w:tcPr>
          <w:p w:rsidR="00F07E05" w:rsidRPr="00BD47B7" w:rsidRDefault="00F07E05" w:rsidP="008A253E">
            <w:pPr>
              <w:jc w:val="center"/>
            </w:pPr>
            <w:r w:rsidRPr="00BD47B7">
              <w:t>41,6</w:t>
            </w:r>
          </w:p>
        </w:tc>
        <w:tc>
          <w:tcPr>
            <w:tcW w:w="1549" w:type="dxa"/>
            <w:tcBorders>
              <w:top w:val="nil"/>
              <w:left w:val="nil"/>
              <w:bottom w:val="single" w:sz="4" w:space="0" w:color="auto"/>
              <w:right w:val="single" w:sz="4" w:space="0" w:color="auto"/>
            </w:tcBorders>
            <w:shd w:val="clear" w:color="000000" w:fill="FFFFFF"/>
            <w:noWrap/>
            <w:vAlign w:val="bottom"/>
            <w:hideMark/>
          </w:tcPr>
          <w:p w:rsidR="00F07E05" w:rsidRPr="00BD47B7" w:rsidRDefault="00F07E05" w:rsidP="008A253E">
            <w:pPr>
              <w:jc w:val="center"/>
            </w:pPr>
            <w:r w:rsidRPr="00BD47B7">
              <w:t>28 288,00</w:t>
            </w:r>
          </w:p>
        </w:tc>
        <w:tc>
          <w:tcPr>
            <w:tcW w:w="1073" w:type="dxa"/>
            <w:tcBorders>
              <w:top w:val="nil"/>
              <w:left w:val="nil"/>
              <w:bottom w:val="single" w:sz="4" w:space="0" w:color="auto"/>
              <w:right w:val="single" w:sz="4" w:space="0" w:color="auto"/>
            </w:tcBorders>
            <w:shd w:val="clear" w:color="000000" w:fill="FFFFFF"/>
            <w:noWrap/>
            <w:vAlign w:val="bottom"/>
            <w:hideMark/>
          </w:tcPr>
          <w:p w:rsidR="00F07E05" w:rsidRPr="00BD47B7" w:rsidRDefault="00F07E05" w:rsidP="008A253E">
            <w:pPr>
              <w:jc w:val="center"/>
            </w:pPr>
            <w:r w:rsidRPr="00BD47B7">
              <w:t>43,26</w:t>
            </w:r>
          </w:p>
        </w:tc>
        <w:tc>
          <w:tcPr>
            <w:tcW w:w="1478" w:type="dxa"/>
            <w:tcBorders>
              <w:top w:val="nil"/>
              <w:left w:val="nil"/>
              <w:bottom w:val="single" w:sz="4" w:space="0" w:color="auto"/>
              <w:right w:val="single" w:sz="4" w:space="0" w:color="auto"/>
            </w:tcBorders>
            <w:shd w:val="clear" w:color="000000" w:fill="FFFFFF"/>
            <w:noWrap/>
            <w:vAlign w:val="bottom"/>
            <w:hideMark/>
          </w:tcPr>
          <w:p w:rsidR="00F07E05" w:rsidRPr="00BD47B7" w:rsidRDefault="00F07E05" w:rsidP="008A253E">
            <w:pPr>
              <w:jc w:val="center"/>
            </w:pPr>
            <w:r w:rsidRPr="00BD47B7">
              <w:t>29 419,52</w:t>
            </w:r>
          </w:p>
        </w:tc>
        <w:tc>
          <w:tcPr>
            <w:tcW w:w="1115" w:type="dxa"/>
            <w:tcBorders>
              <w:top w:val="nil"/>
              <w:left w:val="nil"/>
              <w:bottom w:val="single" w:sz="4" w:space="0" w:color="auto"/>
              <w:right w:val="single" w:sz="4" w:space="0" w:color="auto"/>
            </w:tcBorders>
            <w:shd w:val="clear" w:color="000000" w:fill="FFFFFF"/>
            <w:noWrap/>
            <w:vAlign w:val="bottom"/>
            <w:hideMark/>
          </w:tcPr>
          <w:p w:rsidR="00F07E05" w:rsidRPr="00BD47B7" w:rsidRDefault="00F07E05" w:rsidP="008A253E">
            <w:pPr>
              <w:jc w:val="center"/>
            </w:pPr>
            <w:r w:rsidRPr="00BD47B7">
              <w:t>44,99</w:t>
            </w:r>
          </w:p>
        </w:tc>
        <w:tc>
          <w:tcPr>
            <w:tcW w:w="1579" w:type="dxa"/>
            <w:tcBorders>
              <w:top w:val="nil"/>
              <w:left w:val="nil"/>
              <w:bottom w:val="single" w:sz="4" w:space="0" w:color="auto"/>
              <w:right w:val="single" w:sz="4" w:space="0" w:color="auto"/>
            </w:tcBorders>
            <w:shd w:val="clear" w:color="000000" w:fill="FFFFFF"/>
            <w:noWrap/>
            <w:vAlign w:val="bottom"/>
            <w:hideMark/>
          </w:tcPr>
          <w:p w:rsidR="00F07E05" w:rsidRPr="00BD47B7" w:rsidRDefault="00F07E05" w:rsidP="008A253E">
            <w:pPr>
              <w:jc w:val="center"/>
            </w:pPr>
            <w:r w:rsidRPr="00BD47B7">
              <w:t>30 596,30</w:t>
            </w:r>
          </w:p>
        </w:tc>
      </w:tr>
      <w:tr w:rsidR="00F07E05" w:rsidTr="008A253E">
        <w:trPr>
          <w:trHeight w:val="330"/>
        </w:trPr>
        <w:tc>
          <w:tcPr>
            <w:tcW w:w="513" w:type="dxa"/>
            <w:tcBorders>
              <w:top w:val="nil"/>
              <w:left w:val="single" w:sz="4" w:space="0" w:color="auto"/>
              <w:bottom w:val="single" w:sz="4" w:space="0" w:color="auto"/>
              <w:right w:val="single" w:sz="4" w:space="0" w:color="auto"/>
            </w:tcBorders>
            <w:shd w:val="clear" w:color="000000" w:fill="FFFFFF"/>
            <w:vAlign w:val="bottom"/>
            <w:hideMark/>
          </w:tcPr>
          <w:p w:rsidR="00F07E05" w:rsidRPr="00BD47B7" w:rsidRDefault="00F07E05" w:rsidP="008A253E">
            <w:pPr>
              <w:jc w:val="center"/>
              <w:rPr>
                <w:sz w:val="22"/>
                <w:szCs w:val="22"/>
              </w:rPr>
            </w:pPr>
            <w:r w:rsidRPr="00BD47B7">
              <w:rPr>
                <w:sz w:val="22"/>
                <w:szCs w:val="22"/>
              </w:rPr>
              <w:t>32</w:t>
            </w:r>
          </w:p>
        </w:tc>
        <w:tc>
          <w:tcPr>
            <w:tcW w:w="4079" w:type="dxa"/>
            <w:tcBorders>
              <w:top w:val="nil"/>
              <w:left w:val="nil"/>
              <w:bottom w:val="single" w:sz="4" w:space="0" w:color="auto"/>
              <w:right w:val="single" w:sz="4" w:space="0" w:color="auto"/>
            </w:tcBorders>
            <w:shd w:val="clear" w:color="auto" w:fill="auto"/>
            <w:noWrap/>
            <w:vAlign w:val="bottom"/>
            <w:hideMark/>
          </w:tcPr>
          <w:p w:rsidR="00F07E05" w:rsidRPr="00BD47B7" w:rsidRDefault="00F07E05" w:rsidP="008A253E">
            <w:pPr>
              <w:rPr>
                <w:color w:val="000000"/>
                <w:sz w:val="22"/>
                <w:szCs w:val="22"/>
              </w:rPr>
            </w:pPr>
            <w:r w:rsidRPr="00BD47B7">
              <w:rPr>
                <w:color w:val="000000"/>
                <w:sz w:val="22"/>
                <w:szCs w:val="22"/>
              </w:rPr>
              <w:t>Росприроднадзор</w:t>
            </w:r>
          </w:p>
        </w:tc>
        <w:tc>
          <w:tcPr>
            <w:tcW w:w="1014" w:type="dxa"/>
            <w:tcBorders>
              <w:top w:val="nil"/>
              <w:left w:val="nil"/>
              <w:bottom w:val="single" w:sz="4" w:space="0" w:color="auto"/>
              <w:right w:val="single" w:sz="4" w:space="0" w:color="auto"/>
            </w:tcBorders>
            <w:shd w:val="clear" w:color="000000" w:fill="FFFFFF"/>
            <w:vAlign w:val="bottom"/>
            <w:hideMark/>
          </w:tcPr>
          <w:p w:rsidR="00F07E05" w:rsidRPr="00BD47B7" w:rsidRDefault="00F07E05" w:rsidP="008A253E">
            <w:pPr>
              <w:jc w:val="center"/>
            </w:pPr>
            <w:r w:rsidRPr="00BD47B7">
              <w:t>880</w:t>
            </w:r>
          </w:p>
        </w:tc>
        <w:tc>
          <w:tcPr>
            <w:tcW w:w="989" w:type="dxa"/>
            <w:tcBorders>
              <w:top w:val="nil"/>
              <w:left w:val="nil"/>
              <w:bottom w:val="single" w:sz="4" w:space="0" w:color="auto"/>
              <w:right w:val="single" w:sz="4" w:space="0" w:color="auto"/>
            </w:tcBorders>
            <w:shd w:val="clear" w:color="000000" w:fill="FFFFFF"/>
            <w:vAlign w:val="bottom"/>
            <w:hideMark/>
          </w:tcPr>
          <w:p w:rsidR="00F07E05" w:rsidRPr="00BD47B7" w:rsidRDefault="00F07E05" w:rsidP="008A253E">
            <w:pPr>
              <w:jc w:val="center"/>
            </w:pPr>
            <w:r w:rsidRPr="00BD47B7">
              <w:t>40</w:t>
            </w:r>
          </w:p>
        </w:tc>
        <w:tc>
          <w:tcPr>
            <w:tcW w:w="1485" w:type="dxa"/>
            <w:tcBorders>
              <w:top w:val="nil"/>
              <w:left w:val="nil"/>
              <w:bottom w:val="single" w:sz="4" w:space="0" w:color="auto"/>
              <w:right w:val="single" w:sz="4" w:space="0" w:color="auto"/>
            </w:tcBorders>
            <w:shd w:val="clear" w:color="auto" w:fill="auto"/>
            <w:noWrap/>
            <w:vAlign w:val="bottom"/>
            <w:hideMark/>
          </w:tcPr>
          <w:p w:rsidR="00F07E05" w:rsidRPr="00BD47B7" w:rsidRDefault="00F07E05" w:rsidP="008A253E">
            <w:pPr>
              <w:jc w:val="right"/>
              <w:rPr>
                <w:color w:val="000000"/>
              </w:rPr>
            </w:pPr>
            <w:r w:rsidRPr="00BD47B7">
              <w:rPr>
                <w:color w:val="000000"/>
              </w:rPr>
              <w:t>35 200,00</w:t>
            </w:r>
          </w:p>
        </w:tc>
        <w:tc>
          <w:tcPr>
            <w:tcW w:w="1003" w:type="dxa"/>
            <w:tcBorders>
              <w:top w:val="nil"/>
              <w:left w:val="nil"/>
              <w:bottom w:val="single" w:sz="4" w:space="0" w:color="auto"/>
              <w:right w:val="single" w:sz="4" w:space="0" w:color="auto"/>
            </w:tcBorders>
            <w:shd w:val="clear" w:color="000000" w:fill="FFFFFF"/>
            <w:noWrap/>
            <w:vAlign w:val="bottom"/>
            <w:hideMark/>
          </w:tcPr>
          <w:p w:rsidR="00F07E05" w:rsidRPr="00BD47B7" w:rsidRDefault="00F07E05" w:rsidP="008A253E">
            <w:pPr>
              <w:jc w:val="center"/>
            </w:pPr>
            <w:r w:rsidRPr="00BD47B7">
              <w:t>41,6</w:t>
            </w:r>
          </w:p>
        </w:tc>
        <w:tc>
          <w:tcPr>
            <w:tcW w:w="1549" w:type="dxa"/>
            <w:tcBorders>
              <w:top w:val="nil"/>
              <w:left w:val="nil"/>
              <w:bottom w:val="single" w:sz="4" w:space="0" w:color="auto"/>
              <w:right w:val="single" w:sz="4" w:space="0" w:color="auto"/>
            </w:tcBorders>
            <w:shd w:val="clear" w:color="000000" w:fill="FFFFFF"/>
            <w:noWrap/>
            <w:vAlign w:val="bottom"/>
            <w:hideMark/>
          </w:tcPr>
          <w:p w:rsidR="00F07E05" w:rsidRPr="00BD47B7" w:rsidRDefault="00F07E05" w:rsidP="008A253E">
            <w:pPr>
              <w:jc w:val="center"/>
            </w:pPr>
            <w:r w:rsidRPr="00BD47B7">
              <w:t>36 608,00</w:t>
            </w:r>
          </w:p>
        </w:tc>
        <w:tc>
          <w:tcPr>
            <w:tcW w:w="1073" w:type="dxa"/>
            <w:tcBorders>
              <w:top w:val="nil"/>
              <w:left w:val="nil"/>
              <w:bottom w:val="single" w:sz="4" w:space="0" w:color="auto"/>
              <w:right w:val="single" w:sz="4" w:space="0" w:color="auto"/>
            </w:tcBorders>
            <w:shd w:val="clear" w:color="000000" w:fill="FFFFFF"/>
            <w:noWrap/>
            <w:vAlign w:val="bottom"/>
            <w:hideMark/>
          </w:tcPr>
          <w:p w:rsidR="00F07E05" w:rsidRPr="00BD47B7" w:rsidRDefault="00F07E05" w:rsidP="008A253E">
            <w:pPr>
              <w:jc w:val="center"/>
            </w:pPr>
            <w:r w:rsidRPr="00BD47B7">
              <w:t>43,26</w:t>
            </w:r>
          </w:p>
        </w:tc>
        <w:tc>
          <w:tcPr>
            <w:tcW w:w="1478" w:type="dxa"/>
            <w:tcBorders>
              <w:top w:val="nil"/>
              <w:left w:val="nil"/>
              <w:bottom w:val="single" w:sz="4" w:space="0" w:color="auto"/>
              <w:right w:val="single" w:sz="4" w:space="0" w:color="auto"/>
            </w:tcBorders>
            <w:shd w:val="clear" w:color="000000" w:fill="FFFFFF"/>
            <w:noWrap/>
            <w:vAlign w:val="bottom"/>
            <w:hideMark/>
          </w:tcPr>
          <w:p w:rsidR="00F07E05" w:rsidRPr="00BD47B7" w:rsidRDefault="00F07E05" w:rsidP="008A253E">
            <w:pPr>
              <w:jc w:val="center"/>
            </w:pPr>
            <w:r w:rsidRPr="00BD47B7">
              <w:t>38 072,32</w:t>
            </w:r>
          </w:p>
        </w:tc>
        <w:tc>
          <w:tcPr>
            <w:tcW w:w="1115" w:type="dxa"/>
            <w:tcBorders>
              <w:top w:val="nil"/>
              <w:left w:val="nil"/>
              <w:bottom w:val="single" w:sz="4" w:space="0" w:color="auto"/>
              <w:right w:val="single" w:sz="4" w:space="0" w:color="auto"/>
            </w:tcBorders>
            <w:shd w:val="clear" w:color="000000" w:fill="FFFFFF"/>
            <w:noWrap/>
            <w:vAlign w:val="bottom"/>
            <w:hideMark/>
          </w:tcPr>
          <w:p w:rsidR="00F07E05" w:rsidRPr="00BD47B7" w:rsidRDefault="00F07E05" w:rsidP="008A253E">
            <w:pPr>
              <w:jc w:val="center"/>
            </w:pPr>
            <w:r w:rsidRPr="00BD47B7">
              <w:t>44,99</w:t>
            </w:r>
          </w:p>
        </w:tc>
        <w:tc>
          <w:tcPr>
            <w:tcW w:w="1579" w:type="dxa"/>
            <w:tcBorders>
              <w:top w:val="nil"/>
              <w:left w:val="nil"/>
              <w:bottom w:val="single" w:sz="4" w:space="0" w:color="auto"/>
              <w:right w:val="single" w:sz="4" w:space="0" w:color="auto"/>
            </w:tcBorders>
            <w:shd w:val="clear" w:color="000000" w:fill="FFFFFF"/>
            <w:noWrap/>
            <w:vAlign w:val="bottom"/>
            <w:hideMark/>
          </w:tcPr>
          <w:p w:rsidR="00F07E05" w:rsidRPr="00BD47B7" w:rsidRDefault="00F07E05" w:rsidP="008A253E">
            <w:pPr>
              <w:jc w:val="center"/>
            </w:pPr>
            <w:r w:rsidRPr="00BD47B7">
              <w:t>39 595,21</w:t>
            </w:r>
          </w:p>
        </w:tc>
      </w:tr>
      <w:tr w:rsidR="00F07E05" w:rsidTr="008A253E">
        <w:trPr>
          <w:trHeight w:val="330"/>
        </w:trPr>
        <w:tc>
          <w:tcPr>
            <w:tcW w:w="513" w:type="dxa"/>
            <w:tcBorders>
              <w:top w:val="nil"/>
              <w:left w:val="single" w:sz="4" w:space="0" w:color="auto"/>
              <w:bottom w:val="single" w:sz="4" w:space="0" w:color="auto"/>
              <w:right w:val="single" w:sz="4" w:space="0" w:color="auto"/>
            </w:tcBorders>
            <w:shd w:val="clear" w:color="000000" w:fill="FFFFFF"/>
            <w:vAlign w:val="bottom"/>
            <w:hideMark/>
          </w:tcPr>
          <w:p w:rsidR="00F07E05" w:rsidRPr="00BD47B7" w:rsidRDefault="00F07E05" w:rsidP="008A253E">
            <w:pPr>
              <w:jc w:val="center"/>
              <w:rPr>
                <w:sz w:val="22"/>
                <w:szCs w:val="22"/>
              </w:rPr>
            </w:pPr>
            <w:r w:rsidRPr="00BD47B7">
              <w:rPr>
                <w:sz w:val="22"/>
                <w:szCs w:val="22"/>
              </w:rPr>
              <w:lastRenderedPageBreak/>
              <w:t>33</w:t>
            </w:r>
          </w:p>
        </w:tc>
        <w:tc>
          <w:tcPr>
            <w:tcW w:w="4079" w:type="dxa"/>
            <w:tcBorders>
              <w:top w:val="nil"/>
              <w:left w:val="nil"/>
              <w:bottom w:val="single" w:sz="4" w:space="0" w:color="auto"/>
              <w:right w:val="single" w:sz="4" w:space="0" w:color="auto"/>
            </w:tcBorders>
            <w:shd w:val="clear" w:color="auto" w:fill="auto"/>
            <w:noWrap/>
            <w:vAlign w:val="bottom"/>
            <w:hideMark/>
          </w:tcPr>
          <w:p w:rsidR="00F07E05" w:rsidRPr="00BD47B7" w:rsidRDefault="00F07E05" w:rsidP="008A253E">
            <w:pPr>
              <w:rPr>
                <w:color w:val="000000"/>
                <w:sz w:val="22"/>
                <w:szCs w:val="22"/>
              </w:rPr>
            </w:pPr>
            <w:r w:rsidRPr="00BD47B7">
              <w:rPr>
                <w:color w:val="000000"/>
                <w:sz w:val="22"/>
                <w:szCs w:val="22"/>
              </w:rPr>
              <w:t>ГБУ "СШОР №" им. Капитонова</w:t>
            </w:r>
          </w:p>
        </w:tc>
        <w:tc>
          <w:tcPr>
            <w:tcW w:w="1014" w:type="dxa"/>
            <w:tcBorders>
              <w:top w:val="nil"/>
              <w:left w:val="nil"/>
              <w:bottom w:val="single" w:sz="4" w:space="0" w:color="auto"/>
              <w:right w:val="single" w:sz="4" w:space="0" w:color="auto"/>
            </w:tcBorders>
            <w:shd w:val="clear" w:color="000000" w:fill="FFFFFF"/>
            <w:vAlign w:val="bottom"/>
            <w:hideMark/>
          </w:tcPr>
          <w:p w:rsidR="00F07E05" w:rsidRPr="00BD47B7" w:rsidRDefault="00F07E05" w:rsidP="008A253E">
            <w:pPr>
              <w:jc w:val="center"/>
            </w:pPr>
            <w:r w:rsidRPr="00BD47B7">
              <w:t>248,5</w:t>
            </w:r>
          </w:p>
        </w:tc>
        <w:tc>
          <w:tcPr>
            <w:tcW w:w="989" w:type="dxa"/>
            <w:tcBorders>
              <w:top w:val="nil"/>
              <w:left w:val="nil"/>
              <w:bottom w:val="single" w:sz="4" w:space="0" w:color="auto"/>
              <w:right w:val="single" w:sz="4" w:space="0" w:color="auto"/>
            </w:tcBorders>
            <w:shd w:val="clear" w:color="000000" w:fill="FFFFFF"/>
            <w:vAlign w:val="bottom"/>
            <w:hideMark/>
          </w:tcPr>
          <w:p w:rsidR="00F07E05" w:rsidRPr="00BD47B7" w:rsidRDefault="00F07E05" w:rsidP="008A253E">
            <w:pPr>
              <w:jc w:val="center"/>
            </w:pPr>
            <w:r w:rsidRPr="00BD47B7">
              <w:t>40</w:t>
            </w:r>
          </w:p>
        </w:tc>
        <w:tc>
          <w:tcPr>
            <w:tcW w:w="1485" w:type="dxa"/>
            <w:tcBorders>
              <w:top w:val="nil"/>
              <w:left w:val="nil"/>
              <w:bottom w:val="single" w:sz="4" w:space="0" w:color="auto"/>
              <w:right w:val="single" w:sz="4" w:space="0" w:color="auto"/>
            </w:tcBorders>
            <w:shd w:val="clear" w:color="auto" w:fill="auto"/>
            <w:noWrap/>
            <w:vAlign w:val="bottom"/>
            <w:hideMark/>
          </w:tcPr>
          <w:p w:rsidR="00F07E05" w:rsidRPr="00BD47B7" w:rsidRDefault="00F07E05" w:rsidP="008A253E">
            <w:pPr>
              <w:jc w:val="right"/>
              <w:rPr>
                <w:color w:val="000000"/>
              </w:rPr>
            </w:pPr>
            <w:r w:rsidRPr="00BD47B7">
              <w:rPr>
                <w:color w:val="000000"/>
              </w:rPr>
              <w:t>9 940,00</w:t>
            </w:r>
          </w:p>
        </w:tc>
        <w:tc>
          <w:tcPr>
            <w:tcW w:w="1003" w:type="dxa"/>
            <w:tcBorders>
              <w:top w:val="nil"/>
              <w:left w:val="nil"/>
              <w:bottom w:val="single" w:sz="4" w:space="0" w:color="auto"/>
              <w:right w:val="single" w:sz="4" w:space="0" w:color="auto"/>
            </w:tcBorders>
            <w:shd w:val="clear" w:color="000000" w:fill="FFFFFF"/>
            <w:noWrap/>
            <w:vAlign w:val="bottom"/>
            <w:hideMark/>
          </w:tcPr>
          <w:p w:rsidR="00F07E05" w:rsidRPr="00BD47B7" w:rsidRDefault="00F07E05" w:rsidP="008A253E">
            <w:pPr>
              <w:jc w:val="center"/>
            </w:pPr>
            <w:r w:rsidRPr="00BD47B7">
              <w:t>41,6</w:t>
            </w:r>
          </w:p>
        </w:tc>
        <w:tc>
          <w:tcPr>
            <w:tcW w:w="1549" w:type="dxa"/>
            <w:tcBorders>
              <w:top w:val="nil"/>
              <w:left w:val="nil"/>
              <w:bottom w:val="single" w:sz="4" w:space="0" w:color="auto"/>
              <w:right w:val="single" w:sz="4" w:space="0" w:color="auto"/>
            </w:tcBorders>
            <w:shd w:val="clear" w:color="000000" w:fill="FFFFFF"/>
            <w:noWrap/>
            <w:vAlign w:val="bottom"/>
            <w:hideMark/>
          </w:tcPr>
          <w:p w:rsidR="00F07E05" w:rsidRPr="00BD47B7" w:rsidRDefault="00F07E05" w:rsidP="008A253E">
            <w:pPr>
              <w:jc w:val="center"/>
            </w:pPr>
            <w:r w:rsidRPr="00BD47B7">
              <w:t>10 337,60</w:t>
            </w:r>
          </w:p>
        </w:tc>
        <w:tc>
          <w:tcPr>
            <w:tcW w:w="1073" w:type="dxa"/>
            <w:tcBorders>
              <w:top w:val="nil"/>
              <w:left w:val="nil"/>
              <w:bottom w:val="single" w:sz="4" w:space="0" w:color="auto"/>
              <w:right w:val="single" w:sz="4" w:space="0" w:color="auto"/>
            </w:tcBorders>
            <w:shd w:val="clear" w:color="000000" w:fill="FFFFFF"/>
            <w:noWrap/>
            <w:vAlign w:val="bottom"/>
            <w:hideMark/>
          </w:tcPr>
          <w:p w:rsidR="00F07E05" w:rsidRPr="00BD47B7" w:rsidRDefault="00F07E05" w:rsidP="008A253E">
            <w:pPr>
              <w:jc w:val="center"/>
            </w:pPr>
            <w:r w:rsidRPr="00BD47B7">
              <w:t>43,26</w:t>
            </w:r>
          </w:p>
        </w:tc>
        <w:tc>
          <w:tcPr>
            <w:tcW w:w="1478" w:type="dxa"/>
            <w:tcBorders>
              <w:top w:val="nil"/>
              <w:left w:val="nil"/>
              <w:bottom w:val="single" w:sz="4" w:space="0" w:color="auto"/>
              <w:right w:val="single" w:sz="4" w:space="0" w:color="auto"/>
            </w:tcBorders>
            <w:shd w:val="clear" w:color="000000" w:fill="FFFFFF"/>
            <w:noWrap/>
            <w:vAlign w:val="bottom"/>
            <w:hideMark/>
          </w:tcPr>
          <w:p w:rsidR="00F07E05" w:rsidRPr="00BD47B7" w:rsidRDefault="00F07E05" w:rsidP="008A253E">
            <w:pPr>
              <w:jc w:val="center"/>
            </w:pPr>
            <w:r w:rsidRPr="00BD47B7">
              <w:t>10 751,10</w:t>
            </w:r>
          </w:p>
        </w:tc>
        <w:tc>
          <w:tcPr>
            <w:tcW w:w="1115" w:type="dxa"/>
            <w:tcBorders>
              <w:top w:val="nil"/>
              <w:left w:val="nil"/>
              <w:bottom w:val="single" w:sz="4" w:space="0" w:color="auto"/>
              <w:right w:val="single" w:sz="4" w:space="0" w:color="auto"/>
            </w:tcBorders>
            <w:shd w:val="clear" w:color="000000" w:fill="FFFFFF"/>
            <w:noWrap/>
            <w:vAlign w:val="bottom"/>
            <w:hideMark/>
          </w:tcPr>
          <w:p w:rsidR="00F07E05" w:rsidRPr="00BD47B7" w:rsidRDefault="00F07E05" w:rsidP="008A253E">
            <w:pPr>
              <w:jc w:val="center"/>
            </w:pPr>
            <w:r w:rsidRPr="00BD47B7">
              <w:t>44,99</w:t>
            </w:r>
          </w:p>
        </w:tc>
        <w:tc>
          <w:tcPr>
            <w:tcW w:w="1579" w:type="dxa"/>
            <w:tcBorders>
              <w:top w:val="nil"/>
              <w:left w:val="nil"/>
              <w:bottom w:val="single" w:sz="4" w:space="0" w:color="auto"/>
              <w:right w:val="single" w:sz="4" w:space="0" w:color="auto"/>
            </w:tcBorders>
            <w:shd w:val="clear" w:color="000000" w:fill="FFFFFF"/>
            <w:noWrap/>
            <w:vAlign w:val="bottom"/>
            <w:hideMark/>
          </w:tcPr>
          <w:p w:rsidR="00F07E05" w:rsidRPr="00BD47B7" w:rsidRDefault="00F07E05" w:rsidP="008A253E">
            <w:pPr>
              <w:jc w:val="center"/>
            </w:pPr>
            <w:r w:rsidRPr="00BD47B7">
              <w:t>11 181,15</w:t>
            </w:r>
          </w:p>
        </w:tc>
      </w:tr>
      <w:tr w:rsidR="00F07E05" w:rsidTr="008A253E">
        <w:trPr>
          <w:trHeight w:val="33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F07E05" w:rsidRPr="00BD47B7" w:rsidRDefault="00F07E05" w:rsidP="008A253E">
            <w:pPr>
              <w:jc w:val="center"/>
              <w:rPr>
                <w:sz w:val="22"/>
                <w:szCs w:val="22"/>
              </w:rPr>
            </w:pPr>
            <w:r w:rsidRPr="00BD47B7">
              <w:rPr>
                <w:sz w:val="22"/>
                <w:szCs w:val="22"/>
              </w:rPr>
              <w:t>34</w:t>
            </w:r>
          </w:p>
        </w:tc>
        <w:tc>
          <w:tcPr>
            <w:tcW w:w="4079" w:type="dxa"/>
            <w:tcBorders>
              <w:top w:val="nil"/>
              <w:left w:val="nil"/>
              <w:bottom w:val="single" w:sz="4" w:space="0" w:color="auto"/>
              <w:right w:val="single" w:sz="4" w:space="0" w:color="auto"/>
            </w:tcBorders>
            <w:shd w:val="clear" w:color="auto" w:fill="auto"/>
            <w:noWrap/>
            <w:vAlign w:val="bottom"/>
            <w:hideMark/>
          </w:tcPr>
          <w:p w:rsidR="00F07E05" w:rsidRPr="00BD47B7" w:rsidRDefault="00F07E05" w:rsidP="008A253E">
            <w:pPr>
              <w:rPr>
                <w:color w:val="000000"/>
                <w:sz w:val="22"/>
                <w:szCs w:val="22"/>
              </w:rPr>
            </w:pPr>
            <w:r w:rsidRPr="00BD47B7">
              <w:rPr>
                <w:color w:val="000000"/>
                <w:sz w:val="22"/>
                <w:szCs w:val="22"/>
              </w:rPr>
              <w:t>ООО  Парк</w:t>
            </w:r>
          </w:p>
        </w:tc>
        <w:tc>
          <w:tcPr>
            <w:tcW w:w="1014" w:type="dxa"/>
            <w:tcBorders>
              <w:top w:val="nil"/>
              <w:left w:val="nil"/>
              <w:bottom w:val="single" w:sz="4" w:space="0" w:color="auto"/>
              <w:right w:val="single" w:sz="4" w:space="0" w:color="auto"/>
            </w:tcBorders>
            <w:shd w:val="clear" w:color="auto" w:fill="auto"/>
            <w:vAlign w:val="bottom"/>
            <w:hideMark/>
          </w:tcPr>
          <w:p w:rsidR="00F07E05" w:rsidRPr="00BD47B7" w:rsidRDefault="00F07E05" w:rsidP="008A253E">
            <w:pPr>
              <w:jc w:val="center"/>
            </w:pPr>
            <w:r w:rsidRPr="00BD47B7">
              <w:t>1000</w:t>
            </w:r>
          </w:p>
        </w:tc>
        <w:tc>
          <w:tcPr>
            <w:tcW w:w="989" w:type="dxa"/>
            <w:tcBorders>
              <w:top w:val="nil"/>
              <w:left w:val="nil"/>
              <w:bottom w:val="single" w:sz="4" w:space="0" w:color="auto"/>
              <w:right w:val="single" w:sz="4" w:space="0" w:color="auto"/>
            </w:tcBorders>
            <w:shd w:val="clear" w:color="auto" w:fill="auto"/>
            <w:vAlign w:val="bottom"/>
            <w:hideMark/>
          </w:tcPr>
          <w:p w:rsidR="00F07E05" w:rsidRPr="00BD47B7" w:rsidRDefault="00F07E05" w:rsidP="008A253E">
            <w:pPr>
              <w:jc w:val="center"/>
            </w:pPr>
            <w:r w:rsidRPr="00BD47B7">
              <w:t>40</w:t>
            </w:r>
          </w:p>
        </w:tc>
        <w:tc>
          <w:tcPr>
            <w:tcW w:w="1485" w:type="dxa"/>
            <w:tcBorders>
              <w:top w:val="nil"/>
              <w:left w:val="nil"/>
              <w:bottom w:val="single" w:sz="4" w:space="0" w:color="auto"/>
              <w:right w:val="single" w:sz="4" w:space="0" w:color="auto"/>
            </w:tcBorders>
            <w:shd w:val="clear" w:color="auto" w:fill="auto"/>
            <w:noWrap/>
            <w:vAlign w:val="bottom"/>
            <w:hideMark/>
          </w:tcPr>
          <w:p w:rsidR="00F07E05" w:rsidRPr="00BD47B7" w:rsidRDefault="00F07E05" w:rsidP="008A253E">
            <w:pPr>
              <w:jc w:val="right"/>
              <w:rPr>
                <w:color w:val="000000"/>
              </w:rPr>
            </w:pPr>
            <w:r w:rsidRPr="00BD47B7">
              <w:rPr>
                <w:color w:val="000000"/>
              </w:rPr>
              <w:t>40 000,00</w:t>
            </w:r>
          </w:p>
        </w:tc>
        <w:tc>
          <w:tcPr>
            <w:tcW w:w="1003" w:type="dxa"/>
            <w:tcBorders>
              <w:top w:val="nil"/>
              <w:left w:val="nil"/>
              <w:bottom w:val="single" w:sz="4" w:space="0" w:color="auto"/>
              <w:right w:val="single" w:sz="4" w:space="0" w:color="auto"/>
            </w:tcBorders>
            <w:shd w:val="clear" w:color="000000" w:fill="FFFFFF"/>
            <w:noWrap/>
            <w:vAlign w:val="bottom"/>
            <w:hideMark/>
          </w:tcPr>
          <w:p w:rsidR="00F07E05" w:rsidRPr="00BD47B7" w:rsidRDefault="00F07E05" w:rsidP="008A253E">
            <w:pPr>
              <w:jc w:val="center"/>
            </w:pPr>
            <w:r w:rsidRPr="00BD47B7">
              <w:t>41,6</w:t>
            </w:r>
          </w:p>
        </w:tc>
        <w:tc>
          <w:tcPr>
            <w:tcW w:w="1549" w:type="dxa"/>
            <w:tcBorders>
              <w:top w:val="nil"/>
              <w:left w:val="nil"/>
              <w:bottom w:val="single" w:sz="4" w:space="0" w:color="auto"/>
              <w:right w:val="single" w:sz="4" w:space="0" w:color="auto"/>
            </w:tcBorders>
            <w:shd w:val="clear" w:color="auto" w:fill="auto"/>
            <w:noWrap/>
            <w:vAlign w:val="bottom"/>
            <w:hideMark/>
          </w:tcPr>
          <w:p w:rsidR="00F07E05" w:rsidRPr="00BD47B7" w:rsidRDefault="00F07E05" w:rsidP="008A253E">
            <w:pPr>
              <w:jc w:val="center"/>
            </w:pPr>
            <w:r w:rsidRPr="00BD47B7">
              <w:t>41 600,00</w:t>
            </w:r>
          </w:p>
        </w:tc>
        <w:tc>
          <w:tcPr>
            <w:tcW w:w="1073" w:type="dxa"/>
            <w:tcBorders>
              <w:top w:val="nil"/>
              <w:left w:val="nil"/>
              <w:bottom w:val="single" w:sz="4" w:space="0" w:color="auto"/>
              <w:right w:val="single" w:sz="4" w:space="0" w:color="auto"/>
            </w:tcBorders>
            <w:shd w:val="clear" w:color="000000" w:fill="FFFFFF"/>
            <w:noWrap/>
            <w:vAlign w:val="bottom"/>
            <w:hideMark/>
          </w:tcPr>
          <w:p w:rsidR="00F07E05" w:rsidRPr="00BD47B7" w:rsidRDefault="00F07E05" w:rsidP="008A253E">
            <w:pPr>
              <w:jc w:val="center"/>
            </w:pPr>
            <w:r w:rsidRPr="00BD47B7">
              <w:t>43,26</w:t>
            </w:r>
          </w:p>
        </w:tc>
        <w:tc>
          <w:tcPr>
            <w:tcW w:w="1478" w:type="dxa"/>
            <w:tcBorders>
              <w:top w:val="nil"/>
              <w:left w:val="nil"/>
              <w:bottom w:val="single" w:sz="4" w:space="0" w:color="auto"/>
              <w:right w:val="single" w:sz="4" w:space="0" w:color="auto"/>
            </w:tcBorders>
            <w:shd w:val="clear" w:color="auto" w:fill="auto"/>
            <w:noWrap/>
            <w:vAlign w:val="bottom"/>
            <w:hideMark/>
          </w:tcPr>
          <w:p w:rsidR="00F07E05" w:rsidRPr="00BD47B7" w:rsidRDefault="00F07E05" w:rsidP="008A253E">
            <w:pPr>
              <w:jc w:val="center"/>
            </w:pPr>
            <w:r w:rsidRPr="00BD47B7">
              <w:t>43 264,00</w:t>
            </w:r>
          </w:p>
        </w:tc>
        <w:tc>
          <w:tcPr>
            <w:tcW w:w="1115" w:type="dxa"/>
            <w:tcBorders>
              <w:top w:val="nil"/>
              <w:left w:val="nil"/>
              <w:bottom w:val="single" w:sz="4" w:space="0" w:color="auto"/>
              <w:right w:val="single" w:sz="4" w:space="0" w:color="auto"/>
            </w:tcBorders>
            <w:shd w:val="clear" w:color="000000" w:fill="FFFFFF"/>
            <w:noWrap/>
            <w:vAlign w:val="bottom"/>
            <w:hideMark/>
          </w:tcPr>
          <w:p w:rsidR="00F07E05" w:rsidRPr="00BD47B7" w:rsidRDefault="00F07E05" w:rsidP="008A253E">
            <w:pPr>
              <w:jc w:val="center"/>
            </w:pPr>
            <w:r w:rsidRPr="00BD47B7">
              <w:t>44,99</w:t>
            </w:r>
          </w:p>
        </w:tc>
        <w:tc>
          <w:tcPr>
            <w:tcW w:w="1579" w:type="dxa"/>
            <w:tcBorders>
              <w:top w:val="nil"/>
              <w:left w:val="nil"/>
              <w:bottom w:val="single" w:sz="4" w:space="0" w:color="auto"/>
              <w:right w:val="single" w:sz="4" w:space="0" w:color="auto"/>
            </w:tcBorders>
            <w:shd w:val="clear" w:color="auto" w:fill="auto"/>
            <w:noWrap/>
            <w:vAlign w:val="bottom"/>
            <w:hideMark/>
          </w:tcPr>
          <w:p w:rsidR="00F07E05" w:rsidRPr="00BD47B7" w:rsidRDefault="00F07E05" w:rsidP="008A253E">
            <w:pPr>
              <w:jc w:val="center"/>
            </w:pPr>
            <w:r w:rsidRPr="00BD47B7">
              <w:t>44 994,56</w:t>
            </w:r>
          </w:p>
        </w:tc>
      </w:tr>
      <w:tr w:rsidR="00F07E05" w:rsidTr="008A253E">
        <w:trPr>
          <w:trHeight w:val="330"/>
        </w:trPr>
        <w:tc>
          <w:tcPr>
            <w:tcW w:w="513" w:type="dxa"/>
            <w:tcBorders>
              <w:top w:val="nil"/>
              <w:left w:val="single" w:sz="4" w:space="0" w:color="auto"/>
              <w:bottom w:val="single" w:sz="4" w:space="0" w:color="auto"/>
              <w:right w:val="single" w:sz="4" w:space="0" w:color="auto"/>
            </w:tcBorders>
            <w:shd w:val="clear" w:color="000000" w:fill="FFFFFF"/>
            <w:vAlign w:val="bottom"/>
            <w:hideMark/>
          </w:tcPr>
          <w:p w:rsidR="00F07E05" w:rsidRPr="00BD47B7" w:rsidRDefault="00F07E05" w:rsidP="008A253E">
            <w:pPr>
              <w:jc w:val="center"/>
              <w:rPr>
                <w:sz w:val="22"/>
                <w:szCs w:val="22"/>
              </w:rPr>
            </w:pPr>
            <w:r w:rsidRPr="00BD47B7">
              <w:rPr>
                <w:sz w:val="22"/>
                <w:szCs w:val="22"/>
              </w:rPr>
              <w:t>35</w:t>
            </w:r>
          </w:p>
        </w:tc>
        <w:tc>
          <w:tcPr>
            <w:tcW w:w="4079" w:type="dxa"/>
            <w:tcBorders>
              <w:top w:val="nil"/>
              <w:left w:val="nil"/>
              <w:bottom w:val="single" w:sz="4" w:space="0" w:color="auto"/>
              <w:right w:val="single" w:sz="4" w:space="0" w:color="auto"/>
            </w:tcBorders>
            <w:shd w:val="clear" w:color="auto" w:fill="auto"/>
            <w:noWrap/>
            <w:vAlign w:val="bottom"/>
            <w:hideMark/>
          </w:tcPr>
          <w:p w:rsidR="00F07E05" w:rsidRPr="00BD47B7" w:rsidRDefault="00F07E05" w:rsidP="008A253E">
            <w:pPr>
              <w:rPr>
                <w:color w:val="000000"/>
                <w:sz w:val="22"/>
                <w:szCs w:val="22"/>
              </w:rPr>
            </w:pPr>
            <w:r w:rsidRPr="00BD47B7">
              <w:rPr>
                <w:color w:val="000000"/>
                <w:sz w:val="22"/>
                <w:szCs w:val="22"/>
              </w:rPr>
              <w:t>Росздравнадзор</w:t>
            </w:r>
          </w:p>
        </w:tc>
        <w:tc>
          <w:tcPr>
            <w:tcW w:w="1014" w:type="dxa"/>
            <w:tcBorders>
              <w:top w:val="nil"/>
              <w:left w:val="nil"/>
              <w:bottom w:val="single" w:sz="4" w:space="0" w:color="auto"/>
              <w:right w:val="single" w:sz="4" w:space="0" w:color="auto"/>
            </w:tcBorders>
            <w:shd w:val="clear" w:color="000000" w:fill="FFFFFF"/>
            <w:vAlign w:val="bottom"/>
            <w:hideMark/>
          </w:tcPr>
          <w:p w:rsidR="00F07E05" w:rsidRPr="00BD47B7" w:rsidRDefault="00F07E05" w:rsidP="008A253E">
            <w:pPr>
              <w:jc w:val="center"/>
            </w:pPr>
            <w:r w:rsidRPr="00BD47B7">
              <w:t>528</w:t>
            </w:r>
          </w:p>
        </w:tc>
        <w:tc>
          <w:tcPr>
            <w:tcW w:w="989" w:type="dxa"/>
            <w:tcBorders>
              <w:top w:val="nil"/>
              <w:left w:val="nil"/>
              <w:bottom w:val="single" w:sz="4" w:space="0" w:color="auto"/>
              <w:right w:val="single" w:sz="4" w:space="0" w:color="auto"/>
            </w:tcBorders>
            <w:shd w:val="clear" w:color="000000" w:fill="FFFFFF"/>
            <w:vAlign w:val="bottom"/>
            <w:hideMark/>
          </w:tcPr>
          <w:p w:rsidR="00F07E05" w:rsidRPr="00BD47B7" w:rsidRDefault="00F07E05" w:rsidP="008A253E">
            <w:pPr>
              <w:jc w:val="center"/>
            </w:pPr>
            <w:r w:rsidRPr="00BD47B7">
              <w:t>40</w:t>
            </w:r>
          </w:p>
        </w:tc>
        <w:tc>
          <w:tcPr>
            <w:tcW w:w="1485" w:type="dxa"/>
            <w:tcBorders>
              <w:top w:val="nil"/>
              <w:left w:val="nil"/>
              <w:bottom w:val="single" w:sz="4" w:space="0" w:color="auto"/>
              <w:right w:val="single" w:sz="4" w:space="0" w:color="auto"/>
            </w:tcBorders>
            <w:shd w:val="clear" w:color="auto" w:fill="auto"/>
            <w:noWrap/>
            <w:vAlign w:val="bottom"/>
            <w:hideMark/>
          </w:tcPr>
          <w:p w:rsidR="00F07E05" w:rsidRPr="00BD47B7" w:rsidRDefault="00F07E05" w:rsidP="008A253E">
            <w:pPr>
              <w:jc w:val="right"/>
              <w:rPr>
                <w:color w:val="000000"/>
              </w:rPr>
            </w:pPr>
            <w:r w:rsidRPr="00BD47B7">
              <w:rPr>
                <w:color w:val="000000"/>
              </w:rPr>
              <w:t>21 120,00</w:t>
            </w:r>
          </w:p>
        </w:tc>
        <w:tc>
          <w:tcPr>
            <w:tcW w:w="1003" w:type="dxa"/>
            <w:tcBorders>
              <w:top w:val="nil"/>
              <w:left w:val="nil"/>
              <w:bottom w:val="single" w:sz="4" w:space="0" w:color="auto"/>
              <w:right w:val="single" w:sz="4" w:space="0" w:color="auto"/>
            </w:tcBorders>
            <w:shd w:val="clear" w:color="000000" w:fill="FFFFFF"/>
            <w:noWrap/>
            <w:vAlign w:val="bottom"/>
            <w:hideMark/>
          </w:tcPr>
          <w:p w:rsidR="00F07E05" w:rsidRPr="00BD47B7" w:rsidRDefault="00F07E05" w:rsidP="008A253E">
            <w:pPr>
              <w:jc w:val="center"/>
            </w:pPr>
            <w:r w:rsidRPr="00BD47B7">
              <w:t>41,6</w:t>
            </w:r>
          </w:p>
        </w:tc>
        <w:tc>
          <w:tcPr>
            <w:tcW w:w="1549" w:type="dxa"/>
            <w:tcBorders>
              <w:top w:val="nil"/>
              <w:left w:val="nil"/>
              <w:bottom w:val="single" w:sz="4" w:space="0" w:color="auto"/>
              <w:right w:val="single" w:sz="4" w:space="0" w:color="auto"/>
            </w:tcBorders>
            <w:shd w:val="clear" w:color="000000" w:fill="FFFFFF"/>
            <w:noWrap/>
            <w:vAlign w:val="bottom"/>
            <w:hideMark/>
          </w:tcPr>
          <w:p w:rsidR="00F07E05" w:rsidRPr="00BD47B7" w:rsidRDefault="00F07E05" w:rsidP="008A253E">
            <w:pPr>
              <w:jc w:val="center"/>
            </w:pPr>
            <w:r w:rsidRPr="00BD47B7">
              <w:t>21 964,80</w:t>
            </w:r>
          </w:p>
        </w:tc>
        <w:tc>
          <w:tcPr>
            <w:tcW w:w="1073" w:type="dxa"/>
            <w:tcBorders>
              <w:top w:val="nil"/>
              <w:left w:val="nil"/>
              <w:bottom w:val="single" w:sz="4" w:space="0" w:color="auto"/>
              <w:right w:val="single" w:sz="4" w:space="0" w:color="auto"/>
            </w:tcBorders>
            <w:shd w:val="clear" w:color="000000" w:fill="FFFFFF"/>
            <w:noWrap/>
            <w:vAlign w:val="bottom"/>
            <w:hideMark/>
          </w:tcPr>
          <w:p w:rsidR="00F07E05" w:rsidRPr="00BD47B7" w:rsidRDefault="00F07E05" w:rsidP="008A253E">
            <w:pPr>
              <w:jc w:val="center"/>
            </w:pPr>
            <w:r w:rsidRPr="00BD47B7">
              <w:t>43,26</w:t>
            </w:r>
          </w:p>
        </w:tc>
        <w:tc>
          <w:tcPr>
            <w:tcW w:w="1478" w:type="dxa"/>
            <w:tcBorders>
              <w:top w:val="nil"/>
              <w:left w:val="nil"/>
              <w:bottom w:val="single" w:sz="4" w:space="0" w:color="auto"/>
              <w:right w:val="single" w:sz="4" w:space="0" w:color="auto"/>
            </w:tcBorders>
            <w:shd w:val="clear" w:color="000000" w:fill="FFFFFF"/>
            <w:noWrap/>
            <w:vAlign w:val="bottom"/>
            <w:hideMark/>
          </w:tcPr>
          <w:p w:rsidR="00F07E05" w:rsidRPr="00BD47B7" w:rsidRDefault="00F07E05" w:rsidP="008A253E">
            <w:pPr>
              <w:jc w:val="center"/>
            </w:pPr>
            <w:r w:rsidRPr="00BD47B7">
              <w:t>22 843,39</w:t>
            </w:r>
          </w:p>
        </w:tc>
        <w:tc>
          <w:tcPr>
            <w:tcW w:w="1115" w:type="dxa"/>
            <w:tcBorders>
              <w:top w:val="nil"/>
              <w:left w:val="nil"/>
              <w:bottom w:val="single" w:sz="4" w:space="0" w:color="auto"/>
              <w:right w:val="single" w:sz="4" w:space="0" w:color="auto"/>
            </w:tcBorders>
            <w:shd w:val="clear" w:color="000000" w:fill="FFFFFF"/>
            <w:noWrap/>
            <w:vAlign w:val="bottom"/>
            <w:hideMark/>
          </w:tcPr>
          <w:p w:rsidR="00F07E05" w:rsidRPr="00BD47B7" w:rsidRDefault="00F07E05" w:rsidP="008A253E">
            <w:pPr>
              <w:jc w:val="center"/>
            </w:pPr>
            <w:r w:rsidRPr="00BD47B7">
              <w:t>44,99</w:t>
            </w:r>
          </w:p>
        </w:tc>
        <w:tc>
          <w:tcPr>
            <w:tcW w:w="1579" w:type="dxa"/>
            <w:tcBorders>
              <w:top w:val="nil"/>
              <w:left w:val="nil"/>
              <w:bottom w:val="single" w:sz="4" w:space="0" w:color="auto"/>
              <w:right w:val="single" w:sz="4" w:space="0" w:color="auto"/>
            </w:tcBorders>
            <w:shd w:val="clear" w:color="000000" w:fill="FFFFFF"/>
            <w:noWrap/>
            <w:vAlign w:val="bottom"/>
            <w:hideMark/>
          </w:tcPr>
          <w:p w:rsidR="00F07E05" w:rsidRPr="00BD47B7" w:rsidRDefault="00F07E05" w:rsidP="008A253E">
            <w:pPr>
              <w:jc w:val="center"/>
            </w:pPr>
            <w:r w:rsidRPr="00BD47B7">
              <w:t>23 757,13</w:t>
            </w:r>
          </w:p>
        </w:tc>
      </w:tr>
      <w:tr w:rsidR="00F07E05" w:rsidTr="008A253E">
        <w:trPr>
          <w:trHeight w:val="330"/>
        </w:trPr>
        <w:tc>
          <w:tcPr>
            <w:tcW w:w="513" w:type="dxa"/>
            <w:tcBorders>
              <w:top w:val="nil"/>
              <w:left w:val="single" w:sz="4" w:space="0" w:color="auto"/>
              <w:bottom w:val="single" w:sz="4" w:space="0" w:color="auto"/>
              <w:right w:val="single" w:sz="4" w:space="0" w:color="auto"/>
            </w:tcBorders>
            <w:shd w:val="clear" w:color="000000" w:fill="FFFFFF"/>
            <w:vAlign w:val="bottom"/>
            <w:hideMark/>
          </w:tcPr>
          <w:p w:rsidR="00F07E05" w:rsidRPr="00BD47B7" w:rsidRDefault="00F07E05" w:rsidP="008A253E">
            <w:pPr>
              <w:jc w:val="center"/>
              <w:rPr>
                <w:sz w:val="22"/>
                <w:szCs w:val="22"/>
              </w:rPr>
            </w:pPr>
            <w:r w:rsidRPr="00BD47B7">
              <w:rPr>
                <w:sz w:val="22"/>
                <w:szCs w:val="22"/>
              </w:rPr>
              <w:t>36</w:t>
            </w:r>
          </w:p>
        </w:tc>
        <w:tc>
          <w:tcPr>
            <w:tcW w:w="4079" w:type="dxa"/>
            <w:tcBorders>
              <w:top w:val="nil"/>
              <w:left w:val="nil"/>
              <w:bottom w:val="single" w:sz="4" w:space="0" w:color="auto"/>
              <w:right w:val="single" w:sz="4" w:space="0" w:color="auto"/>
            </w:tcBorders>
            <w:shd w:val="clear" w:color="auto" w:fill="auto"/>
            <w:noWrap/>
            <w:vAlign w:val="bottom"/>
            <w:hideMark/>
          </w:tcPr>
          <w:p w:rsidR="00F07E05" w:rsidRPr="00BD47B7" w:rsidRDefault="00F07E05" w:rsidP="008A253E">
            <w:pPr>
              <w:rPr>
                <w:color w:val="000000"/>
                <w:sz w:val="22"/>
                <w:szCs w:val="22"/>
              </w:rPr>
            </w:pPr>
            <w:r w:rsidRPr="00BD47B7">
              <w:rPr>
                <w:color w:val="000000"/>
                <w:sz w:val="22"/>
                <w:szCs w:val="22"/>
              </w:rPr>
              <w:t>АО "ЭР-Телеком Холдинг"</w:t>
            </w:r>
          </w:p>
        </w:tc>
        <w:tc>
          <w:tcPr>
            <w:tcW w:w="1014" w:type="dxa"/>
            <w:tcBorders>
              <w:top w:val="nil"/>
              <w:left w:val="nil"/>
              <w:bottom w:val="single" w:sz="4" w:space="0" w:color="auto"/>
              <w:right w:val="single" w:sz="4" w:space="0" w:color="auto"/>
            </w:tcBorders>
            <w:shd w:val="clear" w:color="000000" w:fill="FFFFFF"/>
            <w:vAlign w:val="bottom"/>
            <w:hideMark/>
          </w:tcPr>
          <w:p w:rsidR="00F07E05" w:rsidRPr="00BD47B7" w:rsidRDefault="00F07E05" w:rsidP="008A253E">
            <w:pPr>
              <w:jc w:val="center"/>
            </w:pPr>
            <w:r w:rsidRPr="00BD47B7">
              <w:t>275</w:t>
            </w:r>
          </w:p>
        </w:tc>
        <w:tc>
          <w:tcPr>
            <w:tcW w:w="989" w:type="dxa"/>
            <w:tcBorders>
              <w:top w:val="nil"/>
              <w:left w:val="nil"/>
              <w:bottom w:val="single" w:sz="4" w:space="0" w:color="auto"/>
              <w:right w:val="single" w:sz="4" w:space="0" w:color="auto"/>
            </w:tcBorders>
            <w:shd w:val="clear" w:color="000000" w:fill="FFFFFF"/>
            <w:vAlign w:val="bottom"/>
            <w:hideMark/>
          </w:tcPr>
          <w:p w:rsidR="00F07E05" w:rsidRPr="00BD47B7" w:rsidRDefault="00F07E05" w:rsidP="008A253E">
            <w:pPr>
              <w:jc w:val="center"/>
            </w:pPr>
            <w:r w:rsidRPr="00BD47B7">
              <w:t>40</w:t>
            </w:r>
          </w:p>
        </w:tc>
        <w:tc>
          <w:tcPr>
            <w:tcW w:w="1485" w:type="dxa"/>
            <w:tcBorders>
              <w:top w:val="nil"/>
              <w:left w:val="nil"/>
              <w:bottom w:val="single" w:sz="4" w:space="0" w:color="auto"/>
              <w:right w:val="single" w:sz="4" w:space="0" w:color="auto"/>
            </w:tcBorders>
            <w:shd w:val="clear" w:color="auto" w:fill="auto"/>
            <w:noWrap/>
            <w:vAlign w:val="bottom"/>
            <w:hideMark/>
          </w:tcPr>
          <w:p w:rsidR="00F07E05" w:rsidRPr="00BD47B7" w:rsidRDefault="00F07E05" w:rsidP="008A253E">
            <w:pPr>
              <w:jc w:val="right"/>
              <w:rPr>
                <w:color w:val="000000"/>
              </w:rPr>
            </w:pPr>
            <w:r w:rsidRPr="00BD47B7">
              <w:rPr>
                <w:color w:val="000000"/>
              </w:rPr>
              <w:t>11 000,00</w:t>
            </w:r>
          </w:p>
        </w:tc>
        <w:tc>
          <w:tcPr>
            <w:tcW w:w="1003" w:type="dxa"/>
            <w:tcBorders>
              <w:top w:val="nil"/>
              <w:left w:val="nil"/>
              <w:bottom w:val="single" w:sz="4" w:space="0" w:color="auto"/>
              <w:right w:val="single" w:sz="4" w:space="0" w:color="auto"/>
            </w:tcBorders>
            <w:shd w:val="clear" w:color="000000" w:fill="FFFFFF"/>
            <w:noWrap/>
            <w:vAlign w:val="bottom"/>
            <w:hideMark/>
          </w:tcPr>
          <w:p w:rsidR="00F07E05" w:rsidRPr="00BD47B7" w:rsidRDefault="00F07E05" w:rsidP="008A253E">
            <w:pPr>
              <w:jc w:val="center"/>
            </w:pPr>
            <w:r w:rsidRPr="00BD47B7">
              <w:t>41,6</w:t>
            </w:r>
          </w:p>
        </w:tc>
        <w:tc>
          <w:tcPr>
            <w:tcW w:w="1549" w:type="dxa"/>
            <w:tcBorders>
              <w:top w:val="nil"/>
              <w:left w:val="nil"/>
              <w:bottom w:val="single" w:sz="4" w:space="0" w:color="auto"/>
              <w:right w:val="single" w:sz="4" w:space="0" w:color="auto"/>
            </w:tcBorders>
            <w:shd w:val="clear" w:color="000000" w:fill="FFFFFF"/>
            <w:noWrap/>
            <w:vAlign w:val="bottom"/>
            <w:hideMark/>
          </w:tcPr>
          <w:p w:rsidR="00F07E05" w:rsidRPr="00BD47B7" w:rsidRDefault="00F07E05" w:rsidP="008A253E">
            <w:pPr>
              <w:jc w:val="center"/>
            </w:pPr>
            <w:r w:rsidRPr="00BD47B7">
              <w:t>11 440,00</w:t>
            </w:r>
          </w:p>
        </w:tc>
        <w:tc>
          <w:tcPr>
            <w:tcW w:w="1073" w:type="dxa"/>
            <w:tcBorders>
              <w:top w:val="nil"/>
              <w:left w:val="nil"/>
              <w:bottom w:val="single" w:sz="4" w:space="0" w:color="auto"/>
              <w:right w:val="single" w:sz="4" w:space="0" w:color="auto"/>
            </w:tcBorders>
            <w:shd w:val="clear" w:color="000000" w:fill="FFFFFF"/>
            <w:noWrap/>
            <w:vAlign w:val="bottom"/>
            <w:hideMark/>
          </w:tcPr>
          <w:p w:rsidR="00F07E05" w:rsidRPr="00BD47B7" w:rsidRDefault="00F07E05" w:rsidP="008A253E">
            <w:pPr>
              <w:jc w:val="center"/>
            </w:pPr>
            <w:r w:rsidRPr="00BD47B7">
              <w:t>43,26</w:t>
            </w:r>
          </w:p>
        </w:tc>
        <w:tc>
          <w:tcPr>
            <w:tcW w:w="1478" w:type="dxa"/>
            <w:tcBorders>
              <w:top w:val="nil"/>
              <w:left w:val="nil"/>
              <w:bottom w:val="single" w:sz="4" w:space="0" w:color="auto"/>
              <w:right w:val="single" w:sz="4" w:space="0" w:color="auto"/>
            </w:tcBorders>
            <w:shd w:val="clear" w:color="000000" w:fill="FFFFFF"/>
            <w:noWrap/>
            <w:vAlign w:val="bottom"/>
            <w:hideMark/>
          </w:tcPr>
          <w:p w:rsidR="00F07E05" w:rsidRPr="00BD47B7" w:rsidRDefault="00F07E05" w:rsidP="008A253E">
            <w:pPr>
              <w:jc w:val="center"/>
            </w:pPr>
            <w:r w:rsidRPr="00BD47B7">
              <w:t>11 897,60</w:t>
            </w:r>
          </w:p>
        </w:tc>
        <w:tc>
          <w:tcPr>
            <w:tcW w:w="1115" w:type="dxa"/>
            <w:tcBorders>
              <w:top w:val="nil"/>
              <w:left w:val="nil"/>
              <w:bottom w:val="single" w:sz="4" w:space="0" w:color="auto"/>
              <w:right w:val="single" w:sz="4" w:space="0" w:color="auto"/>
            </w:tcBorders>
            <w:shd w:val="clear" w:color="000000" w:fill="FFFFFF"/>
            <w:noWrap/>
            <w:vAlign w:val="bottom"/>
            <w:hideMark/>
          </w:tcPr>
          <w:p w:rsidR="00F07E05" w:rsidRPr="00BD47B7" w:rsidRDefault="00F07E05" w:rsidP="008A253E">
            <w:pPr>
              <w:jc w:val="center"/>
            </w:pPr>
            <w:r w:rsidRPr="00BD47B7">
              <w:t>44,99</w:t>
            </w:r>
          </w:p>
        </w:tc>
        <w:tc>
          <w:tcPr>
            <w:tcW w:w="1579" w:type="dxa"/>
            <w:tcBorders>
              <w:top w:val="nil"/>
              <w:left w:val="nil"/>
              <w:bottom w:val="single" w:sz="4" w:space="0" w:color="auto"/>
              <w:right w:val="single" w:sz="4" w:space="0" w:color="auto"/>
            </w:tcBorders>
            <w:shd w:val="clear" w:color="000000" w:fill="FFFFFF"/>
            <w:noWrap/>
            <w:vAlign w:val="bottom"/>
            <w:hideMark/>
          </w:tcPr>
          <w:p w:rsidR="00F07E05" w:rsidRPr="00BD47B7" w:rsidRDefault="00F07E05" w:rsidP="008A253E">
            <w:pPr>
              <w:jc w:val="center"/>
            </w:pPr>
            <w:r w:rsidRPr="00BD47B7">
              <w:t>12 373,50</w:t>
            </w:r>
          </w:p>
        </w:tc>
      </w:tr>
      <w:tr w:rsidR="00F07E05" w:rsidTr="008A253E">
        <w:trPr>
          <w:trHeight w:val="330"/>
        </w:trPr>
        <w:tc>
          <w:tcPr>
            <w:tcW w:w="513" w:type="dxa"/>
            <w:tcBorders>
              <w:top w:val="nil"/>
              <w:left w:val="single" w:sz="4" w:space="0" w:color="auto"/>
              <w:bottom w:val="single" w:sz="4" w:space="0" w:color="auto"/>
              <w:right w:val="single" w:sz="4" w:space="0" w:color="auto"/>
            </w:tcBorders>
            <w:shd w:val="clear" w:color="000000" w:fill="FFFFFF"/>
            <w:vAlign w:val="bottom"/>
            <w:hideMark/>
          </w:tcPr>
          <w:p w:rsidR="00F07E05" w:rsidRPr="00BD47B7" w:rsidRDefault="00F07E05" w:rsidP="008A253E">
            <w:pPr>
              <w:jc w:val="center"/>
              <w:rPr>
                <w:sz w:val="22"/>
                <w:szCs w:val="22"/>
              </w:rPr>
            </w:pPr>
            <w:r w:rsidRPr="00BD47B7">
              <w:rPr>
                <w:sz w:val="22"/>
                <w:szCs w:val="22"/>
              </w:rPr>
              <w:t>37</w:t>
            </w:r>
          </w:p>
        </w:tc>
        <w:tc>
          <w:tcPr>
            <w:tcW w:w="4079" w:type="dxa"/>
            <w:tcBorders>
              <w:top w:val="nil"/>
              <w:left w:val="nil"/>
              <w:bottom w:val="single" w:sz="4" w:space="0" w:color="auto"/>
              <w:right w:val="single" w:sz="4" w:space="0" w:color="auto"/>
            </w:tcBorders>
            <w:shd w:val="clear" w:color="auto" w:fill="auto"/>
            <w:noWrap/>
            <w:vAlign w:val="bottom"/>
            <w:hideMark/>
          </w:tcPr>
          <w:p w:rsidR="00F07E05" w:rsidRPr="00BD47B7" w:rsidRDefault="00F07E05" w:rsidP="008A253E">
            <w:pPr>
              <w:rPr>
                <w:color w:val="000000"/>
                <w:sz w:val="22"/>
                <w:szCs w:val="22"/>
              </w:rPr>
            </w:pPr>
            <w:r w:rsidRPr="00BD47B7">
              <w:rPr>
                <w:color w:val="000000"/>
                <w:sz w:val="22"/>
                <w:szCs w:val="22"/>
              </w:rPr>
              <w:t>МБУ СШОР "Тверь"</w:t>
            </w:r>
          </w:p>
        </w:tc>
        <w:tc>
          <w:tcPr>
            <w:tcW w:w="1014" w:type="dxa"/>
            <w:tcBorders>
              <w:top w:val="nil"/>
              <w:left w:val="nil"/>
              <w:bottom w:val="single" w:sz="4" w:space="0" w:color="auto"/>
              <w:right w:val="single" w:sz="4" w:space="0" w:color="auto"/>
            </w:tcBorders>
            <w:shd w:val="clear" w:color="000000" w:fill="FFFFFF"/>
            <w:vAlign w:val="bottom"/>
            <w:hideMark/>
          </w:tcPr>
          <w:p w:rsidR="00F07E05" w:rsidRPr="00BD47B7" w:rsidRDefault="00F07E05" w:rsidP="008A253E">
            <w:pPr>
              <w:jc w:val="center"/>
            </w:pPr>
            <w:r w:rsidRPr="00BD47B7">
              <w:t>400</w:t>
            </w:r>
          </w:p>
        </w:tc>
        <w:tc>
          <w:tcPr>
            <w:tcW w:w="989" w:type="dxa"/>
            <w:tcBorders>
              <w:top w:val="nil"/>
              <w:left w:val="nil"/>
              <w:bottom w:val="single" w:sz="4" w:space="0" w:color="auto"/>
              <w:right w:val="single" w:sz="4" w:space="0" w:color="auto"/>
            </w:tcBorders>
            <w:shd w:val="clear" w:color="000000" w:fill="FFFFFF"/>
            <w:vAlign w:val="bottom"/>
            <w:hideMark/>
          </w:tcPr>
          <w:p w:rsidR="00F07E05" w:rsidRPr="00BD47B7" w:rsidRDefault="00F07E05" w:rsidP="008A253E">
            <w:pPr>
              <w:jc w:val="center"/>
            </w:pPr>
            <w:r w:rsidRPr="00BD47B7">
              <w:t>40</w:t>
            </w:r>
          </w:p>
        </w:tc>
        <w:tc>
          <w:tcPr>
            <w:tcW w:w="1485" w:type="dxa"/>
            <w:tcBorders>
              <w:top w:val="nil"/>
              <w:left w:val="nil"/>
              <w:bottom w:val="single" w:sz="4" w:space="0" w:color="auto"/>
              <w:right w:val="single" w:sz="4" w:space="0" w:color="auto"/>
            </w:tcBorders>
            <w:shd w:val="clear" w:color="auto" w:fill="auto"/>
            <w:noWrap/>
            <w:vAlign w:val="bottom"/>
            <w:hideMark/>
          </w:tcPr>
          <w:p w:rsidR="00F07E05" w:rsidRPr="00BD47B7" w:rsidRDefault="00F07E05" w:rsidP="008A253E">
            <w:pPr>
              <w:jc w:val="right"/>
              <w:rPr>
                <w:color w:val="000000"/>
              </w:rPr>
            </w:pPr>
            <w:r w:rsidRPr="00BD47B7">
              <w:rPr>
                <w:color w:val="000000"/>
              </w:rPr>
              <w:t>16 000,00</w:t>
            </w:r>
          </w:p>
        </w:tc>
        <w:tc>
          <w:tcPr>
            <w:tcW w:w="1003" w:type="dxa"/>
            <w:tcBorders>
              <w:top w:val="nil"/>
              <w:left w:val="nil"/>
              <w:bottom w:val="single" w:sz="4" w:space="0" w:color="auto"/>
              <w:right w:val="single" w:sz="4" w:space="0" w:color="auto"/>
            </w:tcBorders>
            <w:shd w:val="clear" w:color="000000" w:fill="FFFFFF"/>
            <w:noWrap/>
            <w:vAlign w:val="bottom"/>
            <w:hideMark/>
          </w:tcPr>
          <w:p w:rsidR="00F07E05" w:rsidRPr="00BD47B7" w:rsidRDefault="00F07E05" w:rsidP="008A253E">
            <w:pPr>
              <w:jc w:val="center"/>
            </w:pPr>
            <w:r w:rsidRPr="00BD47B7">
              <w:t>41,6</w:t>
            </w:r>
          </w:p>
        </w:tc>
        <w:tc>
          <w:tcPr>
            <w:tcW w:w="1549" w:type="dxa"/>
            <w:tcBorders>
              <w:top w:val="nil"/>
              <w:left w:val="nil"/>
              <w:bottom w:val="single" w:sz="4" w:space="0" w:color="auto"/>
              <w:right w:val="single" w:sz="4" w:space="0" w:color="auto"/>
            </w:tcBorders>
            <w:shd w:val="clear" w:color="000000" w:fill="FFFFFF"/>
            <w:noWrap/>
            <w:vAlign w:val="bottom"/>
            <w:hideMark/>
          </w:tcPr>
          <w:p w:rsidR="00F07E05" w:rsidRPr="00BD47B7" w:rsidRDefault="00F07E05" w:rsidP="008A253E">
            <w:pPr>
              <w:jc w:val="center"/>
            </w:pPr>
            <w:r w:rsidRPr="00BD47B7">
              <w:t>16 640,00</w:t>
            </w:r>
          </w:p>
        </w:tc>
        <w:tc>
          <w:tcPr>
            <w:tcW w:w="1073" w:type="dxa"/>
            <w:tcBorders>
              <w:top w:val="nil"/>
              <w:left w:val="nil"/>
              <w:bottom w:val="single" w:sz="4" w:space="0" w:color="auto"/>
              <w:right w:val="single" w:sz="4" w:space="0" w:color="auto"/>
            </w:tcBorders>
            <w:shd w:val="clear" w:color="000000" w:fill="FFFFFF"/>
            <w:noWrap/>
            <w:vAlign w:val="bottom"/>
            <w:hideMark/>
          </w:tcPr>
          <w:p w:rsidR="00F07E05" w:rsidRPr="00BD47B7" w:rsidRDefault="00F07E05" w:rsidP="008A253E">
            <w:pPr>
              <w:jc w:val="center"/>
            </w:pPr>
            <w:r w:rsidRPr="00BD47B7">
              <w:t>43,26</w:t>
            </w:r>
          </w:p>
        </w:tc>
        <w:tc>
          <w:tcPr>
            <w:tcW w:w="1478" w:type="dxa"/>
            <w:tcBorders>
              <w:top w:val="nil"/>
              <w:left w:val="nil"/>
              <w:bottom w:val="single" w:sz="4" w:space="0" w:color="auto"/>
              <w:right w:val="single" w:sz="4" w:space="0" w:color="auto"/>
            </w:tcBorders>
            <w:shd w:val="clear" w:color="000000" w:fill="FFFFFF"/>
            <w:noWrap/>
            <w:vAlign w:val="bottom"/>
            <w:hideMark/>
          </w:tcPr>
          <w:p w:rsidR="00F07E05" w:rsidRPr="00BD47B7" w:rsidRDefault="00F07E05" w:rsidP="008A253E">
            <w:pPr>
              <w:jc w:val="center"/>
            </w:pPr>
            <w:r w:rsidRPr="00BD47B7">
              <w:t>17 305,60</w:t>
            </w:r>
          </w:p>
        </w:tc>
        <w:tc>
          <w:tcPr>
            <w:tcW w:w="1115" w:type="dxa"/>
            <w:tcBorders>
              <w:top w:val="nil"/>
              <w:left w:val="nil"/>
              <w:bottom w:val="single" w:sz="4" w:space="0" w:color="auto"/>
              <w:right w:val="single" w:sz="4" w:space="0" w:color="auto"/>
            </w:tcBorders>
            <w:shd w:val="clear" w:color="000000" w:fill="FFFFFF"/>
            <w:noWrap/>
            <w:vAlign w:val="bottom"/>
            <w:hideMark/>
          </w:tcPr>
          <w:p w:rsidR="00F07E05" w:rsidRPr="00BD47B7" w:rsidRDefault="00F07E05" w:rsidP="008A253E">
            <w:pPr>
              <w:jc w:val="center"/>
            </w:pPr>
            <w:r w:rsidRPr="00BD47B7">
              <w:t>44,99</w:t>
            </w:r>
          </w:p>
        </w:tc>
        <w:tc>
          <w:tcPr>
            <w:tcW w:w="1579" w:type="dxa"/>
            <w:tcBorders>
              <w:top w:val="nil"/>
              <w:left w:val="nil"/>
              <w:bottom w:val="single" w:sz="4" w:space="0" w:color="auto"/>
              <w:right w:val="single" w:sz="4" w:space="0" w:color="auto"/>
            </w:tcBorders>
            <w:shd w:val="clear" w:color="000000" w:fill="FFFFFF"/>
            <w:noWrap/>
            <w:vAlign w:val="bottom"/>
            <w:hideMark/>
          </w:tcPr>
          <w:p w:rsidR="00F07E05" w:rsidRPr="00BD47B7" w:rsidRDefault="00F07E05" w:rsidP="008A253E">
            <w:pPr>
              <w:jc w:val="center"/>
            </w:pPr>
            <w:r w:rsidRPr="00BD47B7">
              <w:t>17 997,82</w:t>
            </w:r>
          </w:p>
        </w:tc>
      </w:tr>
      <w:tr w:rsidR="00F07E05" w:rsidTr="008A253E">
        <w:trPr>
          <w:trHeight w:val="330"/>
        </w:trPr>
        <w:tc>
          <w:tcPr>
            <w:tcW w:w="513" w:type="dxa"/>
            <w:tcBorders>
              <w:top w:val="nil"/>
              <w:left w:val="single" w:sz="4" w:space="0" w:color="auto"/>
              <w:bottom w:val="single" w:sz="4" w:space="0" w:color="auto"/>
              <w:right w:val="single" w:sz="4" w:space="0" w:color="auto"/>
            </w:tcBorders>
            <w:shd w:val="clear" w:color="000000" w:fill="FFFFFF"/>
            <w:vAlign w:val="bottom"/>
            <w:hideMark/>
          </w:tcPr>
          <w:p w:rsidR="00F07E05" w:rsidRPr="00BD47B7" w:rsidRDefault="00F07E05" w:rsidP="008A253E">
            <w:pPr>
              <w:jc w:val="center"/>
              <w:rPr>
                <w:sz w:val="22"/>
                <w:szCs w:val="22"/>
              </w:rPr>
            </w:pPr>
            <w:r w:rsidRPr="00BD47B7">
              <w:rPr>
                <w:sz w:val="22"/>
                <w:szCs w:val="22"/>
              </w:rPr>
              <w:t>38</w:t>
            </w:r>
          </w:p>
        </w:tc>
        <w:tc>
          <w:tcPr>
            <w:tcW w:w="4079" w:type="dxa"/>
            <w:tcBorders>
              <w:top w:val="nil"/>
              <w:left w:val="nil"/>
              <w:bottom w:val="single" w:sz="4" w:space="0" w:color="auto"/>
              <w:right w:val="single" w:sz="4" w:space="0" w:color="auto"/>
            </w:tcBorders>
            <w:shd w:val="clear" w:color="auto" w:fill="auto"/>
            <w:noWrap/>
            <w:vAlign w:val="bottom"/>
            <w:hideMark/>
          </w:tcPr>
          <w:p w:rsidR="00F07E05" w:rsidRPr="00BD47B7" w:rsidRDefault="00F07E05" w:rsidP="008A253E">
            <w:pPr>
              <w:rPr>
                <w:color w:val="000000"/>
                <w:sz w:val="22"/>
                <w:szCs w:val="22"/>
              </w:rPr>
            </w:pPr>
            <w:r w:rsidRPr="00BD47B7">
              <w:rPr>
                <w:color w:val="000000"/>
                <w:sz w:val="22"/>
                <w:szCs w:val="22"/>
              </w:rPr>
              <w:t>ФГБУ СЭУ ФПС ИПЛ по Тверской области</w:t>
            </w:r>
          </w:p>
        </w:tc>
        <w:tc>
          <w:tcPr>
            <w:tcW w:w="1014" w:type="dxa"/>
            <w:tcBorders>
              <w:top w:val="nil"/>
              <w:left w:val="nil"/>
              <w:bottom w:val="single" w:sz="4" w:space="0" w:color="auto"/>
              <w:right w:val="single" w:sz="4" w:space="0" w:color="auto"/>
            </w:tcBorders>
            <w:shd w:val="clear" w:color="000000" w:fill="FFFFFF"/>
            <w:vAlign w:val="bottom"/>
            <w:hideMark/>
          </w:tcPr>
          <w:p w:rsidR="00F07E05" w:rsidRPr="00BD47B7" w:rsidRDefault="00F07E05" w:rsidP="008A253E">
            <w:pPr>
              <w:jc w:val="center"/>
            </w:pPr>
            <w:r w:rsidRPr="00BD47B7">
              <w:t>250</w:t>
            </w:r>
          </w:p>
        </w:tc>
        <w:tc>
          <w:tcPr>
            <w:tcW w:w="989" w:type="dxa"/>
            <w:tcBorders>
              <w:top w:val="nil"/>
              <w:left w:val="nil"/>
              <w:bottom w:val="single" w:sz="4" w:space="0" w:color="auto"/>
              <w:right w:val="single" w:sz="4" w:space="0" w:color="auto"/>
            </w:tcBorders>
            <w:shd w:val="clear" w:color="000000" w:fill="FFFFFF"/>
            <w:vAlign w:val="bottom"/>
            <w:hideMark/>
          </w:tcPr>
          <w:p w:rsidR="00F07E05" w:rsidRPr="00BD47B7" w:rsidRDefault="00F07E05" w:rsidP="008A253E">
            <w:pPr>
              <w:jc w:val="center"/>
            </w:pPr>
            <w:r w:rsidRPr="00BD47B7">
              <w:t>40</w:t>
            </w:r>
          </w:p>
        </w:tc>
        <w:tc>
          <w:tcPr>
            <w:tcW w:w="1485" w:type="dxa"/>
            <w:tcBorders>
              <w:top w:val="nil"/>
              <w:left w:val="nil"/>
              <w:bottom w:val="single" w:sz="4" w:space="0" w:color="auto"/>
              <w:right w:val="single" w:sz="4" w:space="0" w:color="auto"/>
            </w:tcBorders>
            <w:shd w:val="clear" w:color="auto" w:fill="auto"/>
            <w:noWrap/>
            <w:vAlign w:val="bottom"/>
            <w:hideMark/>
          </w:tcPr>
          <w:p w:rsidR="00F07E05" w:rsidRPr="00BD47B7" w:rsidRDefault="00F07E05" w:rsidP="008A253E">
            <w:pPr>
              <w:jc w:val="right"/>
              <w:rPr>
                <w:color w:val="000000"/>
              </w:rPr>
            </w:pPr>
            <w:r w:rsidRPr="00BD47B7">
              <w:rPr>
                <w:color w:val="000000"/>
              </w:rPr>
              <w:t>10 000,00</w:t>
            </w:r>
          </w:p>
        </w:tc>
        <w:tc>
          <w:tcPr>
            <w:tcW w:w="1003" w:type="dxa"/>
            <w:tcBorders>
              <w:top w:val="nil"/>
              <w:left w:val="nil"/>
              <w:bottom w:val="single" w:sz="4" w:space="0" w:color="auto"/>
              <w:right w:val="single" w:sz="4" w:space="0" w:color="auto"/>
            </w:tcBorders>
            <w:shd w:val="clear" w:color="000000" w:fill="FFFFFF"/>
            <w:noWrap/>
            <w:vAlign w:val="bottom"/>
            <w:hideMark/>
          </w:tcPr>
          <w:p w:rsidR="00F07E05" w:rsidRPr="00BD47B7" w:rsidRDefault="00F07E05" w:rsidP="008A253E">
            <w:pPr>
              <w:jc w:val="center"/>
            </w:pPr>
            <w:r w:rsidRPr="00BD47B7">
              <w:t>41,6</w:t>
            </w:r>
          </w:p>
        </w:tc>
        <w:tc>
          <w:tcPr>
            <w:tcW w:w="1549" w:type="dxa"/>
            <w:tcBorders>
              <w:top w:val="nil"/>
              <w:left w:val="nil"/>
              <w:bottom w:val="single" w:sz="4" w:space="0" w:color="auto"/>
              <w:right w:val="single" w:sz="4" w:space="0" w:color="auto"/>
            </w:tcBorders>
            <w:shd w:val="clear" w:color="000000" w:fill="FFFFFF"/>
            <w:noWrap/>
            <w:vAlign w:val="bottom"/>
            <w:hideMark/>
          </w:tcPr>
          <w:p w:rsidR="00F07E05" w:rsidRPr="00BD47B7" w:rsidRDefault="00F07E05" w:rsidP="008A253E">
            <w:pPr>
              <w:jc w:val="center"/>
            </w:pPr>
            <w:r w:rsidRPr="00BD47B7">
              <w:t>10 400,00</w:t>
            </w:r>
          </w:p>
        </w:tc>
        <w:tc>
          <w:tcPr>
            <w:tcW w:w="1073" w:type="dxa"/>
            <w:tcBorders>
              <w:top w:val="nil"/>
              <w:left w:val="nil"/>
              <w:bottom w:val="single" w:sz="4" w:space="0" w:color="auto"/>
              <w:right w:val="single" w:sz="4" w:space="0" w:color="auto"/>
            </w:tcBorders>
            <w:shd w:val="clear" w:color="000000" w:fill="FFFFFF"/>
            <w:noWrap/>
            <w:vAlign w:val="bottom"/>
            <w:hideMark/>
          </w:tcPr>
          <w:p w:rsidR="00F07E05" w:rsidRPr="00BD47B7" w:rsidRDefault="00F07E05" w:rsidP="008A253E">
            <w:pPr>
              <w:jc w:val="center"/>
            </w:pPr>
            <w:r w:rsidRPr="00BD47B7">
              <w:t>43,26</w:t>
            </w:r>
          </w:p>
        </w:tc>
        <w:tc>
          <w:tcPr>
            <w:tcW w:w="1478" w:type="dxa"/>
            <w:tcBorders>
              <w:top w:val="nil"/>
              <w:left w:val="nil"/>
              <w:bottom w:val="single" w:sz="4" w:space="0" w:color="auto"/>
              <w:right w:val="single" w:sz="4" w:space="0" w:color="auto"/>
            </w:tcBorders>
            <w:shd w:val="clear" w:color="000000" w:fill="FFFFFF"/>
            <w:noWrap/>
            <w:vAlign w:val="bottom"/>
            <w:hideMark/>
          </w:tcPr>
          <w:p w:rsidR="00F07E05" w:rsidRPr="00BD47B7" w:rsidRDefault="00F07E05" w:rsidP="008A253E">
            <w:pPr>
              <w:jc w:val="center"/>
            </w:pPr>
            <w:r w:rsidRPr="00BD47B7">
              <w:t>10 816,00</w:t>
            </w:r>
          </w:p>
        </w:tc>
        <w:tc>
          <w:tcPr>
            <w:tcW w:w="1115" w:type="dxa"/>
            <w:tcBorders>
              <w:top w:val="nil"/>
              <w:left w:val="nil"/>
              <w:bottom w:val="single" w:sz="4" w:space="0" w:color="auto"/>
              <w:right w:val="single" w:sz="4" w:space="0" w:color="auto"/>
            </w:tcBorders>
            <w:shd w:val="clear" w:color="000000" w:fill="FFFFFF"/>
            <w:noWrap/>
            <w:vAlign w:val="bottom"/>
            <w:hideMark/>
          </w:tcPr>
          <w:p w:rsidR="00F07E05" w:rsidRPr="00BD47B7" w:rsidRDefault="00F07E05" w:rsidP="008A253E">
            <w:pPr>
              <w:jc w:val="center"/>
            </w:pPr>
            <w:r w:rsidRPr="00BD47B7">
              <w:t>44,99</w:t>
            </w:r>
          </w:p>
        </w:tc>
        <w:tc>
          <w:tcPr>
            <w:tcW w:w="1579" w:type="dxa"/>
            <w:tcBorders>
              <w:top w:val="nil"/>
              <w:left w:val="nil"/>
              <w:bottom w:val="single" w:sz="4" w:space="0" w:color="auto"/>
              <w:right w:val="single" w:sz="4" w:space="0" w:color="auto"/>
            </w:tcBorders>
            <w:shd w:val="clear" w:color="000000" w:fill="FFFFFF"/>
            <w:noWrap/>
            <w:vAlign w:val="bottom"/>
            <w:hideMark/>
          </w:tcPr>
          <w:p w:rsidR="00F07E05" w:rsidRPr="00BD47B7" w:rsidRDefault="00F07E05" w:rsidP="008A253E">
            <w:pPr>
              <w:jc w:val="center"/>
            </w:pPr>
            <w:r w:rsidRPr="00BD47B7">
              <w:t>11 248,64</w:t>
            </w:r>
          </w:p>
        </w:tc>
      </w:tr>
      <w:tr w:rsidR="00F07E05" w:rsidTr="008A253E">
        <w:trPr>
          <w:trHeight w:val="945"/>
        </w:trPr>
        <w:tc>
          <w:tcPr>
            <w:tcW w:w="513" w:type="dxa"/>
            <w:tcBorders>
              <w:top w:val="nil"/>
              <w:left w:val="single" w:sz="4" w:space="0" w:color="auto"/>
              <w:bottom w:val="single" w:sz="4" w:space="0" w:color="auto"/>
              <w:right w:val="single" w:sz="4" w:space="0" w:color="auto"/>
            </w:tcBorders>
            <w:shd w:val="clear" w:color="000000" w:fill="FFFFFF"/>
            <w:vAlign w:val="bottom"/>
            <w:hideMark/>
          </w:tcPr>
          <w:p w:rsidR="00F07E05" w:rsidRPr="00BD47B7" w:rsidRDefault="00F07E05" w:rsidP="008A253E">
            <w:pPr>
              <w:jc w:val="center"/>
              <w:rPr>
                <w:sz w:val="22"/>
                <w:szCs w:val="22"/>
              </w:rPr>
            </w:pPr>
            <w:r w:rsidRPr="00BD47B7">
              <w:rPr>
                <w:sz w:val="22"/>
                <w:szCs w:val="22"/>
              </w:rPr>
              <w:t>39</w:t>
            </w:r>
          </w:p>
        </w:tc>
        <w:tc>
          <w:tcPr>
            <w:tcW w:w="4079" w:type="dxa"/>
            <w:tcBorders>
              <w:top w:val="nil"/>
              <w:left w:val="nil"/>
              <w:bottom w:val="single" w:sz="4" w:space="0" w:color="auto"/>
              <w:right w:val="single" w:sz="4" w:space="0" w:color="auto"/>
            </w:tcBorders>
            <w:shd w:val="clear" w:color="auto" w:fill="auto"/>
            <w:noWrap/>
            <w:vAlign w:val="bottom"/>
            <w:hideMark/>
          </w:tcPr>
          <w:p w:rsidR="00F07E05" w:rsidRPr="00BD47B7" w:rsidRDefault="00F07E05" w:rsidP="008A253E">
            <w:pPr>
              <w:rPr>
                <w:color w:val="000000"/>
                <w:sz w:val="22"/>
                <w:szCs w:val="22"/>
              </w:rPr>
            </w:pPr>
            <w:r w:rsidRPr="00BD47B7">
              <w:rPr>
                <w:color w:val="000000"/>
                <w:sz w:val="22"/>
                <w:szCs w:val="22"/>
              </w:rPr>
              <w:t>ФГУП ГЦСС Управл. спец связи</w:t>
            </w:r>
          </w:p>
        </w:tc>
        <w:tc>
          <w:tcPr>
            <w:tcW w:w="1014" w:type="dxa"/>
            <w:tcBorders>
              <w:top w:val="nil"/>
              <w:left w:val="nil"/>
              <w:bottom w:val="single" w:sz="4" w:space="0" w:color="auto"/>
              <w:right w:val="single" w:sz="4" w:space="0" w:color="auto"/>
            </w:tcBorders>
            <w:shd w:val="clear" w:color="000000" w:fill="FFFFFF"/>
            <w:vAlign w:val="bottom"/>
            <w:hideMark/>
          </w:tcPr>
          <w:p w:rsidR="00F07E05" w:rsidRPr="00BD47B7" w:rsidRDefault="00F07E05" w:rsidP="008A253E">
            <w:pPr>
              <w:jc w:val="center"/>
            </w:pPr>
            <w:r w:rsidRPr="00BD47B7">
              <w:t>1690</w:t>
            </w:r>
          </w:p>
        </w:tc>
        <w:tc>
          <w:tcPr>
            <w:tcW w:w="989" w:type="dxa"/>
            <w:tcBorders>
              <w:top w:val="nil"/>
              <w:left w:val="nil"/>
              <w:bottom w:val="single" w:sz="4" w:space="0" w:color="auto"/>
              <w:right w:val="single" w:sz="4" w:space="0" w:color="auto"/>
            </w:tcBorders>
            <w:shd w:val="clear" w:color="000000" w:fill="FFFFFF"/>
            <w:vAlign w:val="bottom"/>
            <w:hideMark/>
          </w:tcPr>
          <w:p w:rsidR="00F07E05" w:rsidRPr="00BD47B7" w:rsidRDefault="00F07E05" w:rsidP="008A253E">
            <w:pPr>
              <w:jc w:val="center"/>
            </w:pPr>
            <w:r w:rsidRPr="00BD47B7">
              <w:t>40</w:t>
            </w:r>
          </w:p>
        </w:tc>
        <w:tc>
          <w:tcPr>
            <w:tcW w:w="1485" w:type="dxa"/>
            <w:tcBorders>
              <w:top w:val="nil"/>
              <w:left w:val="nil"/>
              <w:bottom w:val="single" w:sz="4" w:space="0" w:color="auto"/>
              <w:right w:val="single" w:sz="4" w:space="0" w:color="auto"/>
            </w:tcBorders>
            <w:shd w:val="clear" w:color="auto" w:fill="auto"/>
            <w:noWrap/>
            <w:vAlign w:val="bottom"/>
            <w:hideMark/>
          </w:tcPr>
          <w:p w:rsidR="00F07E05" w:rsidRPr="00BD47B7" w:rsidRDefault="00F07E05" w:rsidP="008A253E">
            <w:pPr>
              <w:jc w:val="right"/>
              <w:rPr>
                <w:color w:val="000000"/>
              </w:rPr>
            </w:pPr>
            <w:r w:rsidRPr="00BD47B7">
              <w:rPr>
                <w:color w:val="000000"/>
              </w:rPr>
              <w:t>67 600,00</w:t>
            </w:r>
          </w:p>
        </w:tc>
        <w:tc>
          <w:tcPr>
            <w:tcW w:w="1003" w:type="dxa"/>
            <w:tcBorders>
              <w:top w:val="nil"/>
              <w:left w:val="nil"/>
              <w:bottom w:val="single" w:sz="4" w:space="0" w:color="auto"/>
              <w:right w:val="single" w:sz="4" w:space="0" w:color="auto"/>
            </w:tcBorders>
            <w:shd w:val="clear" w:color="000000" w:fill="FFFFFF"/>
            <w:noWrap/>
            <w:vAlign w:val="bottom"/>
            <w:hideMark/>
          </w:tcPr>
          <w:p w:rsidR="00F07E05" w:rsidRPr="00BD47B7" w:rsidRDefault="00F07E05" w:rsidP="008A253E">
            <w:pPr>
              <w:jc w:val="center"/>
            </w:pPr>
            <w:r w:rsidRPr="00BD47B7">
              <w:t>41,6</w:t>
            </w:r>
          </w:p>
        </w:tc>
        <w:tc>
          <w:tcPr>
            <w:tcW w:w="1549" w:type="dxa"/>
            <w:tcBorders>
              <w:top w:val="nil"/>
              <w:left w:val="nil"/>
              <w:bottom w:val="single" w:sz="4" w:space="0" w:color="auto"/>
              <w:right w:val="single" w:sz="4" w:space="0" w:color="auto"/>
            </w:tcBorders>
            <w:shd w:val="clear" w:color="000000" w:fill="FFFFFF"/>
            <w:noWrap/>
            <w:vAlign w:val="bottom"/>
            <w:hideMark/>
          </w:tcPr>
          <w:p w:rsidR="00F07E05" w:rsidRPr="00BD47B7" w:rsidRDefault="00F07E05" w:rsidP="008A253E">
            <w:pPr>
              <w:jc w:val="center"/>
            </w:pPr>
            <w:r w:rsidRPr="00BD47B7">
              <w:t>70 304,00</w:t>
            </w:r>
          </w:p>
        </w:tc>
        <w:tc>
          <w:tcPr>
            <w:tcW w:w="1073" w:type="dxa"/>
            <w:tcBorders>
              <w:top w:val="nil"/>
              <w:left w:val="nil"/>
              <w:bottom w:val="single" w:sz="4" w:space="0" w:color="auto"/>
              <w:right w:val="single" w:sz="4" w:space="0" w:color="auto"/>
            </w:tcBorders>
            <w:shd w:val="clear" w:color="000000" w:fill="FFFFFF"/>
            <w:noWrap/>
            <w:vAlign w:val="bottom"/>
            <w:hideMark/>
          </w:tcPr>
          <w:p w:rsidR="00F07E05" w:rsidRPr="00BD47B7" w:rsidRDefault="00F07E05" w:rsidP="008A253E">
            <w:pPr>
              <w:jc w:val="center"/>
            </w:pPr>
            <w:r w:rsidRPr="00BD47B7">
              <w:t>43,26</w:t>
            </w:r>
          </w:p>
        </w:tc>
        <w:tc>
          <w:tcPr>
            <w:tcW w:w="1478" w:type="dxa"/>
            <w:tcBorders>
              <w:top w:val="nil"/>
              <w:left w:val="nil"/>
              <w:bottom w:val="single" w:sz="4" w:space="0" w:color="auto"/>
              <w:right w:val="single" w:sz="4" w:space="0" w:color="auto"/>
            </w:tcBorders>
            <w:shd w:val="clear" w:color="000000" w:fill="FFFFFF"/>
            <w:noWrap/>
            <w:vAlign w:val="bottom"/>
            <w:hideMark/>
          </w:tcPr>
          <w:p w:rsidR="00F07E05" w:rsidRPr="00BD47B7" w:rsidRDefault="00F07E05" w:rsidP="008A253E">
            <w:pPr>
              <w:jc w:val="center"/>
            </w:pPr>
            <w:r w:rsidRPr="00BD47B7">
              <w:t>73 116,16</w:t>
            </w:r>
          </w:p>
        </w:tc>
        <w:tc>
          <w:tcPr>
            <w:tcW w:w="1115" w:type="dxa"/>
            <w:tcBorders>
              <w:top w:val="nil"/>
              <w:left w:val="nil"/>
              <w:bottom w:val="single" w:sz="4" w:space="0" w:color="auto"/>
              <w:right w:val="single" w:sz="4" w:space="0" w:color="auto"/>
            </w:tcBorders>
            <w:shd w:val="clear" w:color="000000" w:fill="FFFFFF"/>
            <w:noWrap/>
            <w:vAlign w:val="bottom"/>
            <w:hideMark/>
          </w:tcPr>
          <w:p w:rsidR="00F07E05" w:rsidRPr="00BD47B7" w:rsidRDefault="00F07E05" w:rsidP="008A253E">
            <w:pPr>
              <w:jc w:val="center"/>
            </w:pPr>
            <w:r w:rsidRPr="00BD47B7">
              <w:t>44,99</w:t>
            </w:r>
          </w:p>
        </w:tc>
        <w:tc>
          <w:tcPr>
            <w:tcW w:w="1579" w:type="dxa"/>
            <w:tcBorders>
              <w:top w:val="nil"/>
              <w:left w:val="nil"/>
              <w:bottom w:val="single" w:sz="4" w:space="0" w:color="auto"/>
              <w:right w:val="single" w:sz="4" w:space="0" w:color="auto"/>
            </w:tcBorders>
            <w:shd w:val="clear" w:color="000000" w:fill="FFFFFF"/>
            <w:noWrap/>
            <w:vAlign w:val="bottom"/>
            <w:hideMark/>
          </w:tcPr>
          <w:p w:rsidR="00F07E05" w:rsidRPr="00BD47B7" w:rsidRDefault="00F07E05" w:rsidP="008A253E">
            <w:pPr>
              <w:jc w:val="center"/>
            </w:pPr>
            <w:r w:rsidRPr="00BD47B7">
              <w:t>76 040,81</w:t>
            </w:r>
          </w:p>
        </w:tc>
      </w:tr>
      <w:tr w:rsidR="00F07E05" w:rsidTr="008A253E">
        <w:trPr>
          <w:trHeight w:val="855"/>
        </w:trPr>
        <w:tc>
          <w:tcPr>
            <w:tcW w:w="4592" w:type="dxa"/>
            <w:gridSpan w:val="2"/>
            <w:tcBorders>
              <w:top w:val="single" w:sz="4" w:space="0" w:color="auto"/>
              <w:left w:val="single" w:sz="4" w:space="0" w:color="auto"/>
              <w:bottom w:val="single" w:sz="4" w:space="0" w:color="auto"/>
              <w:right w:val="nil"/>
            </w:tcBorders>
            <w:shd w:val="clear" w:color="000000" w:fill="FFFFFF"/>
            <w:vAlign w:val="bottom"/>
            <w:hideMark/>
          </w:tcPr>
          <w:p w:rsidR="00F07E05" w:rsidRDefault="00F07E05" w:rsidP="008A253E">
            <w:pPr>
              <w:jc w:val="center"/>
              <w:rPr>
                <w:b/>
                <w:bCs/>
                <w:sz w:val="22"/>
                <w:szCs w:val="22"/>
              </w:rPr>
            </w:pPr>
            <w:r>
              <w:rPr>
                <w:b/>
                <w:bCs/>
                <w:sz w:val="22"/>
                <w:szCs w:val="22"/>
              </w:rPr>
              <w:t>Итого, ожидаемые доходы от оказания услуг по проведению предрейсовых и послерейсовых мед.осмотров водителей</w:t>
            </w:r>
          </w:p>
        </w:tc>
        <w:tc>
          <w:tcPr>
            <w:tcW w:w="1014" w:type="dxa"/>
            <w:tcBorders>
              <w:top w:val="nil"/>
              <w:left w:val="nil"/>
              <w:bottom w:val="single" w:sz="4" w:space="0" w:color="auto"/>
              <w:right w:val="single" w:sz="4" w:space="0" w:color="auto"/>
            </w:tcBorders>
            <w:shd w:val="clear" w:color="000000" w:fill="FFFFFF"/>
            <w:vAlign w:val="bottom"/>
            <w:hideMark/>
          </w:tcPr>
          <w:p w:rsidR="00F07E05" w:rsidRPr="00BD47B7" w:rsidRDefault="00F07E05" w:rsidP="008A253E">
            <w:pPr>
              <w:jc w:val="center"/>
              <w:rPr>
                <w:b/>
                <w:bCs/>
              </w:rPr>
            </w:pPr>
            <w:r w:rsidRPr="00BD47B7">
              <w:rPr>
                <w:b/>
                <w:bCs/>
              </w:rPr>
              <w:t> </w:t>
            </w:r>
          </w:p>
        </w:tc>
        <w:tc>
          <w:tcPr>
            <w:tcW w:w="989" w:type="dxa"/>
            <w:tcBorders>
              <w:top w:val="nil"/>
              <w:left w:val="nil"/>
              <w:bottom w:val="single" w:sz="4" w:space="0" w:color="auto"/>
              <w:right w:val="single" w:sz="4" w:space="0" w:color="auto"/>
            </w:tcBorders>
            <w:shd w:val="clear" w:color="000000" w:fill="FFFFFF"/>
            <w:vAlign w:val="bottom"/>
            <w:hideMark/>
          </w:tcPr>
          <w:p w:rsidR="00F07E05" w:rsidRPr="00BD47B7" w:rsidRDefault="00F07E05" w:rsidP="008A253E">
            <w:pPr>
              <w:jc w:val="center"/>
              <w:rPr>
                <w:b/>
                <w:bCs/>
              </w:rPr>
            </w:pPr>
            <w:r w:rsidRPr="00BD47B7">
              <w:rPr>
                <w:b/>
                <w:bCs/>
              </w:rPr>
              <w:t> </w:t>
            </w:r>
          </w:p>
        </w:tc>
        <w:tc>
          <w:tcPr>
            <w:tcW w:w="1485" w:type="dxa"/>
            <w:tcBorders>
              <w:top w:val="nil"/>
              <w:left w:val="nil"/>
              <w:bottom w:val="single" w:sz="4" w:space="0" w:color="auto"/>
              <w:right w:val="single" w:sz="4" w:space="0" w:color="auto"/>
            </w:tcBorders>
            <w:shd w:val="clear" w:color="000000" w:fill="FFFFFF"/>
            <w:noWrap/>
            <w:vAlign w:val="bottom"/>
            <w:hideMark/>
          </w:tcPr>
          <w:p w:rsidR="00F07E05" w:rsidRPr="00BD47B7" w:rsidRDefault="00F07E05" w:rsidP="008A253E">
            <w:pPr>
              <w:jc w:val="center"/>
              <w:rPr>
                <w:b/>
                <w:bCs/>
              </w:rPr>
            </w:pPr>
            <w:r w:rsidRPr="00BD47B7">
              <w:rPr>
                <w:b/>
                <w:bCs/>
              </w:rPr>
              <w:t>1 093 020,00</w:t>
            </w:r>
          </w:p>
        </w:tc>
        <w:tc>
          <w:tcPr>
            <w:tcW w:w="1003" w:type="dxa"/>
            <w:tcBorders>
              <w:top w:val="nil"/>
              <w:left w:val="nil"/>
              <w:bottom w:val="single" w:sz="4" w:space="0" w:color="auto"/>
              <w:right w:val="single" w:sz="4" w:space="0" w:color="auto"/>
            </w:tcBorders>
            <w:shd w:val="clear" w:color="000000" w:fill="FFFFFF"/>
            <w:noWrap/>
            <w:vAlign w:val="bottom"/>
            <w:hideMark/>
          </w:tcPr>
          <w:p w:rsidR="00F07E05" w:rsidRPr="00BD47B7" w:rsidRDefault="00F07E05" w:rsidP="008A253E">
            <w:pPr>
              <w:jc w:val="center"/>
            </w:pPr>
            <w:r w:rsidRPr="00BD47B7">
              <w:t> </w:t>
            </w:r>
          </w:p>
        </w:tc>
        <w:tc>
          <w:tcPr>
            <w:tcW w:w="1549" w:type="dxa"/>
            <w:tcBorders>
              <w:top w:val="nil"/>
              <w:left w:val="nil"/>
              <w:bottom w:val="single" w:sz="4" w:space="0" w:color="auto"/>
              <w:right w:val="single" w:sz="4" w:space="0" w:color="auto"/>
            </w:tcBorders>
            <w:shd w:val="clear" w:color="000000" w:fill="FFFFFF"/>
            <w:noWrap/>
            <w:vAlign w:val="bottom"/>
            <w:hideMark/>
          </w:tcPr>
          <w:p w:rsidR="00F07E05" w:rsidRPr="00BD47B7" w:rsidRDefault="00F07E05" w:rsidP="008A253E">
            <w:pPr>
              <w:jc w:val="center"/>
              <w:rPr>
                <w:b/>
                <w:bCs/>
              </w:rPr>
            </w:pPr>
            <w:r w:rsidRPr="00BD47B7">
              <w:rPr>
                <w:b/>
                <w:bCs/>
              </w:rPr>
              <w:t>1 136 740,80</w:t>
            </w:r>
          </w:p>
        </w:tc>
        <w:tc>
          <w:tcPr>
            <w:tcW w:w="1073" w:type="dxa"/>
            <w:tcBorders>
              <w:top w:val="nil"/>
              <w:left w:val="nil"/>
              <w:bottom w:val="single" w:sz="4" w:space="0" w:color="auto"/>
              <w:right w:val="single" w:sz="4" w:space="0" w:color="auto"/>
            </w:tcBorders>
            <w:shd w:val="clear" w:color="000000" w:fill="FFFFFF"/>
            <w:noWrap/>
            <w:vAlign w:val="bottom"/>
            <w:hideMark/>
          </w:tcPr>
          <w:p w:rsidR="00F07E05" w:rsidRPr="00BD47B7" w:rsidRDefault="00F07E05" w:rsidP="008A253E">
            <w:pPr>
              <w:jc w:val="center"/>
              <w:rPr>
                <w:b/>
                <w:bCs/>
              </w:rPr>
            </w:pPr>
            <w:r w:rsidRPr="00BD47B7">
              <w:rPr>
                <w:b/>
                <w:bCs/>
              </w:rPr>
              <w:t> </w:t>
            </w:r>
          </w:p>
        </w:tc>
        <w:tc>
          <w:tcPr>
            <w:tcW w:w="1478" w:type="dxa"/>
            <w:tcBorders>
              <w:top w:val="nil"/>
              <w:left w:val="nil"/>
              <w:bottom w:val="single" w:sz="4" w:space="0" w:color="auto"/>
              <w:right w:val="single" w:sz="4" w:space="0" w:color="auto"/>
            </w:tcBorders>
            <w:shd w:val="clear" w:color="000000" w:fill="FFFFFF"/>
            <w:noWrap/>
            <w:vAlign w:val="bottom"/>
            <w:hideMark/>
          </w:tcPr>
          <w:p w:rsidR="00F07E05" w:rsidRPr="00BD47B7" w:rsidRDefault="00F07E05" w:rsidP="008A253E">
            <w:pPr>
              <w:jc w:val="center"/>
              <w:rPr>
                <w:b/>
                <w:bCs/>
              </w:rPr>
            </w:pPr>
            <w:r w:rsidRPr="00BD47B7">
              <w:rPr>
                <w:b/>
                <w:bCs/>
              </w:rPr>
              <w:t>1 182 210,43</w:t>
            </w:r>
          </w:p>
        </w:tc>
        <w:tc>
          <w:tcPr>
            <w:tcW w:w="1115" w:type="dxa"/>
            <w:tcBorders>
              <w:top w:val="nil"/>
              <w:left w:val="nil"/>
              <w:bottom w:val="single" w:sz="4" w:space="0" w:color="auto"/>
              <w:right w:val="single" w:sz="4" w:space="0" w:color="auto"/>
            </w:tcBorders>
            <w:shd w:val="clear" w:color="000000" w:fill="FFFFFF"/>
            <w:noWrap/>
            <w:vAlign w:val="bottom"/>
            <w:hideMark/>
          </w:tcPr>
          <w:p w:rsidR="00F07E05" w:rsidRPr="00BD47B7" w:rsidRDefault="00F07E05" w:rsidP="008A253E">
            <w:pPr>
              <w:jc w:val="center"/>
              <w:rPr>
                <w:b/>
                <w:bCs/>
              </w:rPr>
            </w:pPr>
            <w:r w:rsidRPr="00BD47B7">
              <w:rPr>
                <w:b/>
                <w:bCs/>
              </w:rPr>
              <w:t> </w:t>
            </w:r>
          </w:p>
        </w:tc>
        <w:tc>
          <w:tcPr>
            <w:tcW w:w="1579" w:type="dxa"/>
            <w:tcBorders>
              <w:top w:val="nil"/>
              <w:left w:val="nil"/>
              <w:bottom w:val="single" w:sz="4" w:space="0" w:color="auto"/>
              <w:right w:val="single" w:sz="4" w:space="0" w:color="auto"/>
            </w:tcBorders>
            <w:shd w:val="clear" w:color="000000" w:fill="FFFFFF"/>
            <w:noWrap/>
            <w:vAlign w:val="bottom"/>
            <w:hideMark/>
          </w:tcPr>
          <w:p w:rsidR="00F07E05" w:rsidRPr="00BD47B7" w:rsidRDefault="00F07E05" w:rsidP="008A253E">
            <w:pPr>
              <w:jc w:val="center"/>
              <w:rPr>
                <w:b/>
                <w:bCs/>
              </w:rPr>
            </w:pPr>
            <w:r w:rsidRPr="00BD47B7">
              <w:rPr>
                <w:b/>
                <w:bCs/>
              </w:rPr>
              <w:t>1 229 498,85</w:t>
            </w:r>
          </w:p>
        </w:tc>
      </w:tr>
    </w:tbl>
    <w:p w:rsidR="00F07E05" w:rsidRDefault="00F07E05" w:rsidP="00F07E05">
      <w:pPr>
        <w:jc w:val="center"/>
        <w:rPr>
          <w:b/>
          <w:color w:val="FF0000"/>
          <w:sz w:val="28"/>
          <w:szCs w:val="28"/>
        </w:rPr>
      </w:pPr>
    </w:p>
    <w:p w:rsidR="00F07E05" w:rsidRDefault="00F07E05" w:rsidP="00F07E05">
      <w:pPr>
        <w:jc w:val="center"/>
        <w:rPr>
          <w:b/>
          <w:color w:val="FF0000"/>
          <w:sz w:val="28"/>
          <w:szCs w:val="28"/>
        </w:rPr>
      </w:pPr>
    </w:p>
    <w:p w:rsidR="00F07E05" w:rsidRDefault="00F07E05" w:rsidP="00F07E05">
      <w:pPr>
        <w:jc w:val="center"/>
        <w:rPr>
          <w:b/>
          <w:color w:val="FF0000"/>
          <w:sz w:val="28"/>
          <w:szCs w:val="28"/>
        </w:rPr>
      </w:pPr>
    </w:p>
    <w:p w:rsidR="00F07E05" w:rsidRDefault="00F07E05" w:rsidP="00F07E05">
      <w:pPr>
        <w:jc w:val="center"/>
        <w:rPr>
          <w:b/>
          <w:color w:val="FF0000"/>
          <w:sz w:val="28"/>
          <w:szCs w:val="28"/>
        </w:rPr>
      </w:pPr>
    </w:p>
    <w:p w:rsidR="00F07E05" w:rsidRDefault="00F07E05" w:rsidP="00F07E05">
      <w:pPr>
        <w:jc w:val="center"/>
        <w:rPr>
          <w:b/>
          <w:color w:val="FF0000"/>
          <w:sz w:val="28"/>
          <w:szCs w:val="28"/>
        </w:rPr>
      </w:pPr>
    </w:p>
    <w:p w:rsidR="00F07E05" w:rsidRDefault="00F07E05" w:rsidP="00F07E05">
      <w:pPr>
        <w:jc w:val="center"/>
        <w:rPr>
          <w:b/>
          <w:color w:val="FF0000"/>
          <w:sz w:val="28"/>
          <w:szCs w:val="28"/>
        </w:rPr>
      </w:pPr>
    </w:p>
    <w:p w:rsidR="00F07E05" w:rsidRDefault="00F07E05" w:rsidP="00F07E05">
      <w:pPr>
        <w:jc w:val="center"/>
        <w:rPr>
          <w:b/>
          <w:color w:val="FF0000"/>
          <w:sz w:val="28"/>
          <w:szCs w:val="28"/>
        </w:rPr>
      </w:pPr>
    </w:p>
    <w:p w:rsidR="00F07E05" w:rsidRDefault="00F07E05" w:rsidP="00F07E05">
      <w:pPr>
        <w:jc w:val="center"/>
        <w:rPr>
          <w:b/>
          <w:color w:val="FF0000"/>
          <w:sz w:val="28"/>
          <w:szCs w:val="28"/>
        </w:rPr>
      </w:pPr>
    </w:p>
    <w:p w:rsidR="00F07E05" w:rsidRDefault="00F07E05" w:rsidP="00F07E05">
      <w:pPr>
        <w:jc w:val="center"/>
        <w:rPr>
          <w:b/>
          <w:color w:val="FF0000"/>
          <w:sz w:val="28"/>
          <w:szCs w:val="28"/>
        </w:rPr>
      </w:pPr>
    </w:p>
    <w:p w:rsidR="00F07E05" w:rsidRDefault="00F07E05" w:rsidP="00F07E05">
      <w:pPr>
        <w:jc w:val="center"/>
        <w:rPr>
          <w:b/>
          <w:color w:val="FF0000"/>
          <w:sz w:val="28"/>
          <w:szCs w:val="28"/>
        </w:rPr>
      </w:pPr>
    </w:p>
    <w:p w:rsidR="00F07E05" w:rsidRDefault="00F07E05" w:rsidP="00F07E05">
      <w:pPr>
        <w:jc w:val="center"/>
        <w:rPr>
          <w:b/>
          <w:color w:val="FF0000"/>
          <w:sz w:val="28"/>
          <w:szCs w:val="28"/>
        </w:rPr>
      </w:pPr>
    </w:p>
    <w:p w:rsidR="00F07E05" w:rsidRDefault="00F07E05" w:rsidP="00F07E05">
      <w:pPr>
        <w:jc w:val="center"/>
        <w:rPr>
          <w:b/>
          <w:color w:val="FF0000"/>
          <w:sz w:val="28"/>
          <w:szCs w:val="28"/>
        </w:rPr>
      </w:pPr>
    </w:p>
    <w:p w:rsidR="00F07E05" w:rsidRDefault="00F07E05" w:rsidP="00F07E05">
      <w:pPr>
        <w:jc w:val="center"/>
        <w:rPr>
          <w:b/>
          <w:color w:val="FF0000"/>
          <w:sz w:val="28"/>
          <w:szCs w:val="28"/>
        </w:rPr>
      </w:pPr>
    </w:p>
    <w:p w:rsidR="00F07E05" w:rsidRDefault="00F07E05" w:rsidP="00F07E05">
      <w:pPr>
        <w:jc w:val="center"/>
        <w:rPr>
          <w:b/>
          <w:color w:val="FF0000"/>
          <w:sz w:val="28"/>
          <w:szCs w:val="28"/>
        </w:rPr>
      </w:pPr>
    </w:p>
    <w:p w:rsidR="00F07E05" w:rsidRDefault="00F07E05" w:rsidP="00F07E05">
      <w:pPr>
        <w:jc w:val="center"/>
        <w:rPr>
          <w:b/>
          <w:color w:val="FF0000"/>
          <w:sz w:val="28"/>
          <w:szCs w:val="28"/>
        </w:rPr>
      </w:pPr>
    </w:p>
    <w:p w:rsidR="00F07E05" w:rsidRDefault="00F07E05" w:rsidP="00F07E05">
      <w:pPr>
        <w:jc w:val="center"/>
        <w:rPr>
          <w:b/>
          <w:color w:val="FF0000"/>
          <w:sz w:val="28"/>
          <w:szCs w:val="28"/>
        </w:rPr>
      </w:pPr>
    </w:p>
    <w:tbl>
      <w:tblPr>
        <w:tblW w:w="15682" w:type="dxa"/>
        <w:tblInd w:w="-284" w:type="dxa"/>
        <w:tblLook w:val="04A0" w:firstRow="1" w:lastRow="0" w:firstColumn="1" w:lastColumn="0" w:noHBand="0" w:noVBand="1"/>
      </w:tblPr>
      <w:tblGrid>
        <w:gridCol w:w="560"/>
        <w:gridCol w:w="3675"/>
        <w:gridCol w:w="1173"/>
        <w:gridCol w:w="1210"/>
        <w:gridCol w:w="1401"/>
        <w:gridCol w:w="1203"/>
        <w:gridCol w:w="1323"/>
        <w:gridCol w:w="1203"/>
        <w:gridCol w:w="1323"/>
        <w:gridCol w:w="1288"/>
        <w:gridCol w:w="1323"/>
      </w:tblGrid>
      <w:tr w:rsidR="00F07E05" w:rsidTr="008A253E">
        <w:trPr>
          <w:trHeight w:val="900"/>
        </w:trPr>
        <w:tc>
          <w:tcPr>
            <w:tcW w:w="15682" w:type="dxa"/>
            <w:gridSpan w:val="11"/>
            <w:tcBorders>
              <w:top w:val="nil"/>
              <w:left w:val="nil"/>
              <w:bottom w:val="nil"/>
              <w:right w:val="nil"/>
            </w:tcBorders>
            <w:shd w:val="clear" w:color="auto" w:fill="auto"/>
            <w:vAlign w:val="bottom"/>
            <w:hideMark/>
          </w:tcPr>
          <w:p w:rsidR="00F07E05" w:rsidRDefault="00F07E05" w:rsidP="008A253E">
            <w:pPr>
              <w:jc w:val="center"/>
              <w:rPr>
                <w:b/>
                <w:bCs/>
                <w:color w:val="000000"/>
              </w:rPr>
            </w:pPr>
            <w:r>
              <w:rPr>
                <w:b/>
                <w:bCs/>
                <w:color w:val="000000"/>
              </w:rPr>
              <w:lastRenderedPageBreak/>
              <w:t>Расчет ожидаемых доходов на основании заключенных контрактов на оказание услуг по проведению предрейсовых и послерейсовых технических осмотров автомобилей на 2021 -2024 гг.</w:t>
            </w:r>
          </w:p>
        </w:tc>
      </w:tr>
      <w:tr w:rsidR="00F07E05" w:rsidTr="008A253E">
        <w:trPr>
          <w:trHeight w:val="300"/>
        </w:trPr>
        <w:tc>
          <w:tcPr>
            <w:tcW w:w="560" w:type="dxa"/>
            <w:tcBorders>
              <w:top w:val="nil"/>
              <w:left w:val="nil"/>
              <w:bottom w:val="nil"/>
              <w:right w:val="nil"/>
            </w:tcBorders>
            <w:shd w:val="clear" w:color="auto" w:fill="auto"/>
            <w:noWrap/>
            <w:vAlign w:val="bottom"/>
            <w:hideMark/>
          </w:tcPr>
          <w:p w:rsidR="00F07E05" w:rsidRDefault="00F07E05" w:rsidP="008A253E">
            <w:pPr>
              <w:jc w:val="center"/>
              <w:rPr>
                <w:b/>
                <w:bCs/>
                <w:color w:val="000000"/>
              </w:rPr>
            </w:pPr>
          </w:p>
        </w:tc>
        <w:tc>
          <w:tcPr>
            <w:tcW w:w="3675" w:type="dxa"/>
            <w:tcBorders>
              <w:top w:val="nil"/>
              <w:left w:val="nil"/>
              <w:bottom w:val="nil"/>
              <w:right w:val="nil"/>
            </w:tcBorders>
            <w:shd w:val="clear" w:color="auto" w:fill="auto"/>
            <w:noWrap/>
            <w:vAlign w:val="bottom"/>
            <w:hideMark/>
          </w:tcPr>
          <w:p w:rsidR="00F07E05" w:rsidRDefault="00F07E05" w:rsidP="008A253E">
            <w:pPr>
              <w:rPr>
                <w:sz w:val="20"/>
                <w:szCs w:val="20"/>
              </w:rPr>
            </w:pPr>
          </w:p>
        </w:tc>
        <w:tc>
          <w:tcPr>
            <w:tcW w:w="1173" w:type="dxa"/>
            <w:tcBorders>
              <w:top w:val="nil"/>
              <w:left w:val="nil"/>
              <w:bottom w:val="nil"/>
              <w:right w:val="nil"/>
            </w:tcBorders>
            <w:shd w:val="clear" w:color="auto" w:fill="auto"/>
            <w:noWrap/>
            <w:vAlign w:val="bottom"/>
            <w:hideMark/>
          </w:tcPr>
          <w:p w:rsidR="00F07E05" w:rsidRDefault="00F07E05" w:rsidP="008A253E">
            <w:pPr>
              <w:rPr>
                <w:sz w:val="20"/>
                <w:szCs w:val="20"/>
              </w:rPr>
            </w:pPr>
          </w:p>
        </w:tc>
        <w:tc>
          <w:tcPr>
            <w:tcW w:w="1210" w:type="dxa"/>
            <w:tcBorders>
              <w:top w:val="nil"/>
              <w:left w:val="nil"/>
              <w:bottom w:val="nil"/>
              <w:right w:val="nil"/>
            </w:tcBorders>
            <w:shd w:val="clear" w:color="auto" w:fill="auto"/>
            <w:noWrap/>
            <w:vAlign w:val="bottom"/>
            <w:hideMark/>
          </w:tcPr>
          <w:p w:rsidR="00F07E05" w:rsidRDefault="00F07E05" w:rsidP="008A253E">
            <w:pPr>
              <w:rPr>
                <w:sz w:val="20"/>
                <w:szCs w:val="20"/>
              </w:rPr>
            </w:pPr>
          </w:p>
        </w:tc>
        <w:tc>
          <w:tcPr>
            <w:tcW w:w="1401" w:type="dxa"/>
            <w:tcBorders>
              <w:top w:val="nil"/>
              <w:left w:val="nil"/>
              <w:bottom w:val="nil"/>
              <w:right w:val="nil"/>
            </w:tcBorders>
            <w:shd w:val="clear" w:color="auto" w:fill="auto"/>
            <w:noWrap/>
            <w:vAlign w:val="bottom"/>
            <w:hideMark/>
          </w:tcPr>
          <w:p w:rsidR="00F07E05" w:rsidRDefault="00F07E05" w:rsidP="008A253E">
            <w:pPr>
              <w:rPr>
                <w:sz w:val="20"/>
                <w:szCs w:val="20"/>
              </w:rPr>
            </w:pPr>
          </w:p>
        </w:tc>
        <w:tc>
          <w:tcPr>
            <w:tcW w:w="1203" w:type="dxa"/>
            <w:tcBorders>
              <w:top w:val="nil"/>
              <w:left w:val="nil"/>
              <w:bottom w:val="nil"/>
              <w:right w:val="nil"/>
            </w:tcBorders>
            <w:shd w:val="clear" w:color="auto" w:fill="auto"/>
            <w:noWrap/>
            <w:vAlign w:val="bottom"/>
            <w:hideMark/>
          </w:tcPr>
          <w:p w:rsidR="00F07E05" w:rsidRDefault="00F07E05" w:rsidP="008A253E">
            <w:pPr>
              <w:rPr>
                <w:sz w:val="20"/>
                <w:szCs w:val="20"/>
              </w:rPr>
            </w:pPr>
          </w:p>
        </w:tc>
        <w:tc>
          <w:tcPr>
            <w:tcW w:w="1323" w:type="dxa"/>
            <w:tcBorders>
              <w:top w:val="nil"/>
              <w:left w:val="nil"/>
              <w:bottom w:val="nil"/>
              <w:right w:val="nil"/>
            </w:tcBorders>
            <w:shd w:val="clear" w:color="auto" w:fill="auto"/>
            <w:noWrap/>
            <w:vAlign w:val="bottom"/>
            <w:hideMark/>
          </w:tcPr>
          <w:p w:rsidR="00F07E05" w:rsidRDefault="00F07E05" w:rsidP="008A253E">
            <w:pPr>
              <w:rPr>
                <w:sz w:val="20"/>
                <w:szCs w:val="20"/>
              </w:rPr>
            </w:pPr>
          </w:p>
        </w:tc>
        <w:tc>
          <w:tcPr>
            <w:tcW w:w="1203" w:type="dxa"/>
            <w:tcBorders>
              <w:top w:val="nil"/>
              <w:left w:val="nil"/>
              <w:bottom w:val="nil"/>
              <w:right w:val="nil"/>
            </w:tcBorders>
            <w:shd w:val="clear" w:color="auto" w:fill="auto"/>
            <w:noWrap/>
            <w:vAlign w:val="bottom"/>
            <w:hideMark/>
          </w:tcPr>
          <w:p w:rsidR="00F07E05" w:rsidRDefault="00F07E05" w:rsidP="008A253E">
            <w:pPr>
              <w:rPr>
                <w:sz w:val="20"/>
                <w:szCs w:val="20"/>
              </w:rPr>
            </w:pPr>
          </w:p>
        </w:tc>
        <w:tc>
          <w:tcPr>
            <w:tcW w:w="1323" w:type="dxa"/>
            <w:tcBorders>
              <w:top w:val="nil"/>
              <w:left w:val="nil"/>
              <w:bottom w:val="nil"/>
              <w:right w:val="nil"/>
            </w:tcBorders>
            <w:shd w:val="clear" w:color="auto" w:fill="auto"/>
            <w:noWrap/>
            <w:vAlign w:val="bottom"/>
            <w:hideMark/>
          </w:tcPr>
          <w:p w:rsidR="00F07E05" w:rsidRDefault="00F07E05" w:rsidP="008A253E">
            <w:pPr>
              <w:rPr>
                <w:sz w:val="20"/>
                <w:szCs w:val="20"/>
              </w:rPr>
            </w:pPr>
          </w:p>
        </w:tc>
        <w:tc>
          <w:tcPr>
            <w:tcW w:w="1288" w:type="dxa"/>
            <w:tcBorders>
              <w:top w:val="nil"/>
              <w:left w:val="nil"/>
              <w:bottom w:val="nil"/>
              <w:right w:val="nil"/>
            </w:tcBorders>
            <w:shd w:val="clear" w:color="auto" w:fill="auto"/>
            <w:noWrap/>
            <w:vAlign w:val="bottom"/>
            <w:hideMark/>
          </w:tcPr>
          <w:p w:rsidR="00F07E05" w:rsidRDefault="00F07E05" w:rsidP="008A253E">
            <w:pPr>
              <w:rPr>
                <w:sz w:val="20"/>
                <w:szCs w:val="20"/>
              </w:rPr>
            </w:pPr>
          </w:p>
        </w:tc>
        <w:tc>
          <w:tcPr>
            <w:tcW w:w="1323" w:type="dxa"/>
            <w:tcBorders>
              <w:top w:val="nil"/>
              <w:left w:val="nil"/>
              <w:bottom w:val="nil"/>
              <w:right w:val="nil"/>
            </w:tcBorders>
            <w:shd w:val="clear" w:color="auto" w:fill="auto"/>
            <w:noWrap/>
            <w:vAlign w:val="bottom"/>
            <w:hideMark/>
          </w:tcPr>
          <w:p w:rsidR="00F07E05" w:rsidRDefault="00F07E05" w:rsidP="008A253E">
            <w:pPr>
              <w:rPr>
                <w:sz w:val="20"/>
                <w:szCs w:val="20"/>
              </w:rPr>
            </w:pPr>
          </w:p>
        </w:tc>
      </w:tr>
      <w:tr w:rsidR="00F07E05" w:rsidTr="008A253E">
        <w:trPr>
          <w:trHeight w:val="300"/>
        </w:trPr>
        <w:tc>
          <w:tcPr>
            <w:tcW w:w="560" w:type="dxa"/>
            <w:vMerge w:val="restart"/>
            <w:tcBorders>
              <w:top w:val="single" w:sz="4" w:space="0" w:color="auto"/>
              <w:left w:val="single" w:sz="4" w:space="0" w:color="auto"/>
              <w:bottom w:val="single" w:sz="4" w:space="0" w:color="000000"/>
              <w:right w:val="single" w:sz="4" w:space="0" w:color="auto"/>
            </w:tcBorders>
            <w:shd w:val="clear" w:color="000000" w:fill="FFFFFF"/>
            <w:vAlign w:val="bottom"/>
            <w:hideMark/>
          </w:tcPr>
          <w:p w:rsidR="00F07E05" w:rsidRPr="00096E7D" w:rsidRDefault="00F07E05" w:rsidP="008A253E">
            <w:pPr>
              <w:jc w:val="center"/>
              <w:rPr>
                <w:b/>
                <w:bCs/>
              </w:rPr>
            </w:pPr>
            <w:r w:rsidRPr="00096E7D">
              <w:rPr>
                <w:b/>
                <w:bCs/>
              </w:rPr>
              <w:t>№ п/п</w:t>
            </w:r>
          </w:p>
        </w:tc>
        <w:tc>
          <w:tcPr>
            <w:tcW w:w="3675"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bottom"/>
            <w:hideMark/>
          </w:tcPr>
          <w:p w:rsidR="00F07E05" w:rsidRPr="00096E7D" w:rsidRDefault="00F07E05" w:rsidP="008A253E">
            <w:pPr>
              <w:jc w:val="center"/>
              <w:rPr>
                <w:b/>
                <w:bCs/>
              </w:rPr>
            </w:pPr>
            <w:r w:rsidRPr="00096E7D">
              <w:rPr>
                <w:b/>
                <w:bCs/>
              </w:rPr>
              <w:t>Заказчик услуг</w:t>
            </w:r>
          </w:p>
        </w:tc>
        <w:tc>
          <w:tcPr>
            <w:tcW w:w="3784" w:type="dxa"/>
            <w:gridSpan w:val="3"/>
            <w:tcBorders>
              <w:top w:val="single" w:sz="4" w:space="0" w:color="auto"/>
              <w:left w:val="nil"/>
              <w:bottom w:val="single" w:sz="4" w:space="0" w:color="auto"/>
              <w:right w:val="nil"/>
            </w:tcBorders>
            <w:shd w:val="clear" w:color="000000" w:fill="FFFFFF"/>
            <w:noWrap/>
            <w:vAlign w:val="bottom"/>
            <w:hideMark/>
          </w:tcPr>
          <w:p w:rsidR="00F07E05" w:rsidRPr="00096E7D" w:rsidRDefault="00F07E05" w:rsidP="008A253E">
            <w:pPr>
              <w:jc w:val="center"/>
              <w:rPr>
                <w:b/>
                <w:bCs/>
                <w:color w:val="000000"/>
              </w:rPr>
            </w:pPr>
            <w:r w:rsidRPr="00096E7D">
              <w:rPr>
                <w:b/>
                <w:bCs/>
                <w:color w:val="000000"/>
              </w:rPr>
              <w:t>Ожидаемая оценка 2021 года</w:t>
            </w:r>
          </w:p>
        </w:tc>
        <w:tc>
          <w:tcPr>
            <w:tcW w:w="7663" w:type="dxa"/>
            <w:gridSpan w:val="6"/>
            <w:tcBorders>
              <w:top w:val="single" w:sz="4" w:space="0" w:color="auto"/>
              <w:left w:val="nil"/>
              <w:bottom w:val="single" w:sz="4" w:space="0" w:color="auto"/>
              <w:right w:val="single" w:sz="4" w:space="0" w:color="000000"/>
            </w:tcBorders>
            <w:shd w:val="clear" w:color="000000" w:fill="FFFFFF"/>
            <w:noWrap/>
            <w:vAlign w:val="bottom"/>
            <w:hideMark/>
          </w:tcPr>
          <w:p w:rsidR="00F07E05" w:rsidRPr="00096E7D" w:rsidRDefault="00F07E05" w:rsidP="008A253E">
            <w:pPr>
              <w:jc w:val="center"/>
              <w:rPr>
                <w:b/>
                <w:bCs/>
                <w:color w:val="000000"/>
              </w:rPr>
            </w:pPr>
            <w:r w:rsidRPr="00096E7D">
              <w:rPr>
                <w:b/>
                <w:bCs/>
                <w:color w:val="000000"/>
              </w:rPr>
              <w:t>Прогноз</w:t>
            </w:r>
          </w:p>
        </w:tc>
      </w:tr>
      <w:tr w:rsidR="00F07E05" w:rsidTr="008A253E">
        <w:trPr>
          <w:trHeight w:val="300"/>
        </w:trPr>
        <w:tc>
          <w:tcPr>
            <w:tcW w:w="560" w:type="dxa"/>
            <w:vMerge/>
            <w:tcBorders>
              <w:top w:val="single" w:sz="4" w:space="0" w:color="auto"/>
              <w:left w:val="single" w:sz="4" w:space="0" w:color="auto"/>
              <w:bottom w:val="single" w:sz="4" w:space="0" w:color="000000"/>
              <w:right w:val="single" w:sz="4" w:space="0" w:color="auto"/>
            </w:tcBorders>
            <w:vAlign w:val="center"/>
            <w:hideMark/>
          </w:tcPr>
          <w:p w:rsidR="00F07E05" w:rsidRPr="00096E7D" w:rsidRDefault="00F07E05" w:rsidP="008A253E">
            <w:pPr>
              <w:rPr>
                <w:b/>
                <w:bCs/>
              </w:rPr>
            </w:pPr>
          </w:p>
        </w:tc>
        <w:tc>
          <w:tcPr>
            <w:tcW w:w="3675" w:type="dxa"/>
            <w:vMerge/>
            <w:tcBorders>
              <w:top w:val="single" w:sz="4" w:space="0" w:color="auto"/>
              <w:left w:val="single" w:sz="4" w:space="0" w:color="auto"/>
              <w:bottom w:val="single" w:sz="4" w:space="0" w:color="000000"/>
              <w:right w:val="single" w:sz="4" w:space="0" w:color="auto"/>
            </w:tcBorders>
            <w:vAlign w:val="center"/>
            <w:hideMark/>
          </w:tcPr>
          <w:p w:rsidR="00F07E05" w:rsidRPr="00096E7D" w:rsidRDefault="00F07E05" w:rsidP="008A253E">
            <w:pPr>
              <w:rPr>
                <w:b/>
                <w:bCs/>
              </w:rPr>
            </w:pPr>
          </w:p>
        </w:tc>
        <w:tc>
          <w:tcPr>
            <w:tcW w:w="2383" w:type="dxa"/>
            <w:gridSpan w:val="2"/>
            <w:tcBorders>
              <w:top w:val="single" w:sz="4" w:space="0" w:color="auto"/>
              <w:left w:val="nil"/>
              <w:bottom w:val="single" w:sz="4" w:space="0" w:color="auto"/>
              <w:right w:val="nil"/>
            </w:tcBorders>
            <w:shd w:val="clear" w:color="000000" w:fill="FFFFFF"/>
            <w:vAlign w:val="bottom"/>
            <w:hideMark/>
          </w:tcPr>
          <w:p w:rsidR="00F07E05" w:rsidRPr="00096E7D" w:rsidRDefault="00F07E05" w:rsidP="008A253E">
            <w:pPr>
              <w:jc w:val="center"/>
              <w:rPr>
                <w:b/>
                <w:bCs/>
              </w:rPr>
            </w:pPr>
            <w:r w:rsidRPr="00096E7D">
              <w:rPr>
                <w:b/>
                <w:bCs/>
              </w:rPr>
              <w:t>Основание (контракт)</w:t>
            </w:r>
          </w:p>
        </w:tc>
        <w:tc>
          <w:tcPr>
            <w:tcW w:w="1401" w:type="dxa"/>
            <w:vMerge w:val="restart"/>
            <w:tcBorders>
              <w:top w:val="nil"/>
              <w:left w:val="single" w:sz="4" w:space="0" w:color="auto"/>
              <w:bottom w:val="single" w:sz="4" w:space="0" w:color="000000"/>
              <w:right w:val="single" w:sz="4" w:space="0" w:color="auto"/>
            </w:tcBorders>
            <w:shd w:val="clear" w:color="000000" w:fill="FFFFFF"/>
            <w:vAlign w:val="bottom"/>
            <w:hideMark/>
          </w:tcPr>
          <w:p w:rsidR="00F07E05" w:rsidRPr="00096E7D" w:rsidRDefault="00F07E05" w:rsidP="008A253E">
            <w:pPr>
              <w:jc w:val="center"/>
              <w:rPr>
                <w:b/>
                <w:bCs/>
              </w:rPr>
            </w:pPr>
            <w:r w:rsidRPr="00096E7D">
              <w:rPr>
                <w:b/>
                <w:bCs/>
              </w:rPr>
              <w:t>Стоимость услуги, руб.</w:t>
            </w:r>
          </w:p>
        </w:tc>
        <w:tc>
          <w:tcPr>
            <w:tcW w:w="2526" w:type="dxa"/>
            <w:gridSpan w:val="2"/>
            <w:tcBorders>
              <w:top w:val="single" w:sz="4" w:space="0" w:color="auto"/>
              <w:left w:val="nil"/>
              <w:bottom w:val="single" w:sz="4" w:space="0" w:color="auto"/>
              <w:right w:val="single" w:sz="4" w:space="0" w:color="auto"/>
            </w:tcBorders>
            <w:shd w:val="clear" w:color="000000" w:fill="FFFFFF"/>
            <w:vAlign w:val="bottom"/>
            <w:hideMark/>
          </w:tcPr>
          <w:p w:rsidR="00F07E05" w:rsidRPr="00096E7D" w:rsidRDefault="00F07E05" w:rsidP="008A253E">
            <w:pPr>
              <w:jc w:val="center"/>
              <w:rPr>
                <w:b/>
                <w:bCs/>
              </w:rPr>
            </w:pPr>
            <w:r w:rsidRPr="00096E7D">
              <w:rPr>
                <w:b/>
                <w:bCs/>
              </w:rPr>
              <w:t>2022 год (ИПЦ 104,0)</w:t>
            </w:r>
          </w:p>
        </w:tc>
        <w:tc>
          <w:tcPr>
            <w:tcW w:w="2526" w:type="dxa"/>
            <w:gridSpan w:val="2"/>
            <w:tcBorders>
              <w:top w:val="single" w:sz="4" w:space="0" w:color="auto"/>
              <w:left w:val="nil"/>
              <w:bottom w:val="single" w:sz="4" w:space="0" w:color="auto"/>
              <w:right w:val="single" w:sz="4" w:space="0" w:color="auto"/>
            </w:tcBorders>
            <w:shd w:val="clear" w:color="000000" w:fill="FFFFFF"/>
            <w:vAlign w:val="bottom"/>
            <w:hideMark/>
          </w:tcPr>
          <w:p w:rsidR="00F07E05" w:rsidRPr="00096E7D" w:rsidRDefault="00F07E05" w:rsidP="008A253E">
            <w:pPr>
              <w:jc w:val="center"/>
              <w:rPr>
                <w:b/>
                <w:bCs/>
              </w:rPr>
            </w:pPr>
            <w:r w:rsidRPr="00096E7D">
              <w:rPr>
                <w:b/>
                <w:bCs/>
              </w:rPr>
              <w:t>2023 год (ИПЦ 104,0)</w:t>
            </w:r>
          </w:p>
        </w:tc>
        <w:tc>
          <w:tcPr>
            <w:tcW w:w="2611" w:type="dxa"/>
            <w:gridSpan w:val="2"/>
            <w:tcBorders>
              <w:top w:val="single" w:sz="4" w:space="0" w:color="auto"/>
              <w:left w:val="nil"/>
              <w:bottom w:val="single" w:sz="4" w:space="0" w:color="auto"/>
              <w:right w:val="single" w:sz="4" w:space="0" w:color="auto"/>
            </w:tcBorders>
            <w:shd w:val="clear" w:color="000000" w:fill="FFFFFF"/>
            <w:vAlign w:val="bottom"/>
            <w:hideMark/>
          </w:tcPr>
          <w:p w:rsidR="00F07E05" w:rsidRPr="00096E7D" w:rsidRDefault="00F07E05" w:rsidP="008A253E">
            <w:pPr>
              <w:jc w:val="center"/>
              <w:rPr>
                <w:b/>
                <w:bCs/>
              </w:rPr>
            </w:pPr>
            <w:r w:rsidRPr="00096E7D">
              <w:rPr>
                <w:b/>
                <w:bCs/>
              </w:rPr>
              <w:t>2024 год (ИПЦ 104,0)</w:t>
            </w:r>
          </w:p>
        </w:tc>
      </w:tr>
      <w:tr w:rsidR="00F07E05" w:rsidTr="008A253E">
        <w:trPr>
          <w:trHeight w:val="690"/>
        </w:trPr>
        <w:tc>
          <w:tcPr>
            <w:tcW w:w="560" w:type="dxa"/>
            <w:vMerge/>
            <w:tcBorders>
              <w:top w:val="single" w:sz="4" w:space="0" w:color="auto"/>
              <w:left w:val="single" w:sz="4" w:space="0" w:color="auto"/>
              <w:bottom w:val="single" w:sz="4" w:space="0" w:color="000000"/>
              <w:right w:val="single" w:sz="4" w:space="0" w:color="auto"/>
            </w:tcBorders>
            <w:vAlign w:val="center"/>
            <w:hideMark/>
          </w:tcPr>
          <w:p w:rsidR="00F07E05" w:rsidRPr="00096E7D" w:rsidRDefault="00F07E05" w:rsidP="008A253E">
            <w:pPr>
              <w:rPr>
                <w:b/>
                <w:bCs/>
              </w:rPr>
            </w:pPr>
          </w:p>
        </w:tc>
        <w:tc>
          <w:tcPr>
            <w:tcW w:w="3675" w:type="dxa"/>
            <w:vMerge/>
            <w:tcBorders>
              <w:top w:val="single" w:sz="4" w:space="0" w:color="auto"/>
              <w:left w:val="single" w:sz="4" w:space="0" w:color="auto"/>
              <w:bottom w:val="single" w:sz="4" w:space="0" w:color="000000"/>
              <w:right w:val="single" w:sz="4" w:space="0" w:color="auto"/>
            </w:tcBorders>
            <w:vAlign w:val="center"/>
            <w:hideMark/>
          </w:tcPr>
          <w:p w:rsidR="00F07E05" w:rsidRPr="00096E7D" w:rsidRDefault="00F07E05" w:rsidP="008A253E">
            <w:pPr>
              <w:rPr>
                <w:b/>
                <w:bCs/>
              </w:rPr>
            </w:pPr>
          </w:p>
        </w:tc>
        <w:tc>
          <w:tcPr>
            <w:tcW w:w="1173" w:type="dxa"/>
            <w:tcBorders>
              <w:top w:val="nil"/>
              <w:left w:val="nil"/>
              <w:bottom w:val="single" w:sz="4" w:space="0" w:color="auto"/>
              <w:right w:val="single" w:sz="4" w:space="0" w:color="auto"/>
            </w:tcBorders>
            <w:shd w:val="clear" w:color="000000" w:fill="FFFFFF"/>
            <w:vAlign w:val="bottom"/>
            <w:hideMark/>
          </w:tcPr>
          <w:p w:rsidR="00F07E05" w:rsidRPr="00096E7D" w:rsidRDefault="00F07E05" w:rsidP="008A253E">
            <w:pPr>
              <w:jc w:val="center"/>
            </w:pPr>
            <w:r w:rsidRPr="00096E7D">
              <w:t>кол-во осмотров</w:t>
            </w:r>
          </w:p>
        </w:tc>
        <w:tc>
          <w:tcPr>
            <w:tcW w:w="1210" w:type="dxa"/>
            <w:tcBorders>
              <w:top w:val="nil"/>
              <w:left w:val="nil"/>
              <w:bottom w:val="single" w:sz="4" w:space="0" w:color="auto"/>
              <w:right w:val="single" w:sz="4" w:space="0" w:color="auto"/>
            </w:tcBorders>
            <w:shd w:val="clear" w:color="000000" w:fill="FFFFFF"/>
            <w:vAlign w:val="bottom"/>
            <w:hideMark/>
          </w:tcPr>
          <w:p w:rsidR="00F07E05" w:rsidRPr="00096E7D" w:rsidRDefault="00F07E05" w:rsidP="008A253E">
            <w:pPr>
              <w:jc w:val="center"/>
            </w:pPr>
            <w:r w:rsidRPr="00096E7D">
              <w:t>цена за 1 осмотр, руб.</w:t>
            </w:r>
          </w:p>
        </w:tc>
        <w:tc>
          <w:tcPr>
            <w:tcW w:w="1401" w:type="dxa"/>
            <w:vMerge/>
            <w:tcBorders>
              <w:top w:val="nil"/>
              <w:left w:val="single" w:sz="4" w:space="0" w:color="auto"/>
              <w:bottom w:val="single" w:sz="4" w:space="0" w:color="000000"/>
              <w:right w:val="single" w:sz="4" w:space="0" w:color="auto"/>
            </w:tcBorders>
            <w:vAlign w:val="center"/>
            <w:hideMark/>
          </w:tcPr>
          <w:p w:rsidR="00F07E05" w:rsidRPr="00096E7D" w:rsidRDefault="00F07E05" w:rsidP="008A253E">
            <w:pPr>
              <w:rPr>
                <w:b/>
                <w:bCs/>
              </w:rPr>
            </w:pPr>
          </w:p>
        </w:tc>
        <w:tc>
          <w:tcPr>
            <w:tcW w:w="1203" w:type="dxa"/>
            <w:tcBorders>
              <w:top w:val="nil"/>
              <w:left w:val="nil"/>
              <w:bottom w:val="single" w:sz="4" w:space="0" w:color="auto"/>
              <w:right w:val="single" w:sz="4" w:space="0" w:color="auto"/>
            </w:tcBorders>
            <w:shd w:val="clear" w:color="000000" w:fill="FFFFFF"/>
            <w:vAlign w:val="bottom"/>
            <w:hideMark/>
          </w:tcPr>
          <w:p w:rsidR="00F07E05" w:rsidRPr="00096E7D" w:rsidRDefault="00F07E05" w:rsidP="008A253E">
            <w:pPr>
              <w:jc w:val="center"/>
            </w:pPr>
            <w:r w:rsidRPr="00096E7D">
              <w:t>цена за 1 осмотр, руб.</w:t>
            </w:r>
          </w:p>
        </w:tc>
        <w:tc>
          <w:tcPr>
            <w:tcW w:w="1323" w:type="dxa"/>
            <w:tcBorders>
              <w:top w:val="nil"/>
              <w:left w:val="nil"/>
              <w:bottom w:val="single" w:sz="4" w:space="0" w:color="auto"/>
              <w:right w:val="single" w:sz="4" w:space="0" w:color="auto"/>
            </w:tcBorders>
            <w:shd w:val="clear" w:color="000000" w:fill="FFFFFF"/>
            <w:vAlign w:val="bottom"/>
            <w:hideMark/>
          </w:tcPr>
          <w:p w:rsidR="00F07E05" w:rsidRPr="00096E7D" w:rsidRDefault="00F07E05" w:rsidP="008A253E">
            <w:pPr>
              <w:jc w:val="center"/>
            </w:pPr>
            <w:r w:rsidRPr="00096E7D">
              <w:t>Стоимость услуг, руб.</w:t>
            </w:r>
          </w:p>
        </w:tc>
        <w:tc>
          <w:tcPr>
            <w:tcW w:w="1203" w:type="dxa"/>
            <w:tcBorders>
              <w:top w:val="nil"/>
              <w:left w:val="nil"/>
              <w:bottom w:val="single" w:sz="4" w:space="0" w:color="auto"/>
              <w:right w:val="single" w:sz="4" w:space="0" w:color="auto"/>
            </w:tcBorders>
            <w:shd w:val="clear" w:color="000000" w:fill="FFFFFF"/>
            <w:vAlign w:val="bottom"/>
            <w:hideMark/>
          </w:tcPr>
          <w:p w:rsidR="00F07E05" w:rsidRPr="00096E7D" w:rsidRDefault="00F07E05" w:rsidP="008A253E">
            <w:pPr>
              <w:jc w:val="center"/>
            </w:pPr>
            <w:r w:rsidRPr="00096E7D">
              <w:t>цена за 1 осмотр, руб.</w:t>
            </w:r>
          </w:p>
        </w:tc>
        <w:tc>
          <w:tcPr>
            <w:tcW w:w="1323" w:type="dxa"/>
            <w:tcBorders>
              <w:top w:val="nil"/>
              <w:left w:val="nil"/>
              <w:bottom w:val="single" w:sz="4" w:space="0" w:color="auto"/>
              <w:right w:val="single" w:sz="4" w:space="0" w:color="auto"/>
            </w:tcBorders>
            <w:shd w:val="clear" w:color="000000" w:fill="FFFFFF"/>
            <w:vAlign w:val="bottom"/>
            <w:hideMark/>
          </w:tcPr>
          <w:p w:rsidR="00F07E05" w:rsidRPr="00096E7D" w:rsidRDefault="00F07E05" w:rsidP="008A253E">
            <w:pPr>
              <w:jc w:val="center"/>
            </w:pPr>
            <w:r w:rsidRPr="00096E7D">
              <w:t>Стоимость услуг, руб.</w:t>
            </w:r>
          </w:p>
        </w:tc>
        <w:tc>
          <w:tcPr>
            <w:tcW w:w="1288" w:type="dxa"/>
            <w:tcBorders>
              <w:top w:val="nil"/>
              <w:left w:val="nil"/>
              <w:bottom w:val="single" w:sz="4" w:space="0" w:color="auto"/>
              <w:right w:val="single" w:sz="4" w:space="0" w:color="auto"/>
            </w:tcBorders>
            <w:shd w:val="clear" w:color="000000" w:fill="FFFFFF"/>
            <w:vAlign w:val="bottom"/>
            <w:hideMark/>
          </w:tcPr>
          <w:p w:rsidR="00F07E05" w:rsidRPr="00096E7D" w:rsidRDefault="00F07E05" w:rsidP="008A253E">
            <w:pPr>
              <w:jc w:val="center"/>
            </w:pPr>
            <w:r w:rsidRPr="00096E7D">
              <w:t>цена за 1 осмотр, руб.</w:t>
            </w:r>
          </w:p>
        </w:tc>
        <w:tc>
          <w:tcPr>
            <w:tcW w:w="1323" w:type="dxa"/>
            <w:tcBorders>
              <w:top w:val="nil"/>
              <w:left w:val="nil"/>
              <w:bottom w:val="single" w:sz="4" w:space="0" w:color="auto"/>
              <w:right w:val="single" w:sz="4" w:space="0" w:color="auto"/>
            </w:tcBorders>
            <w:shd w:val="clear" w:color="000000" w:fill="FFFFFF"/>
            <w:vAlign w:val="bottom"/>
            <w:hideMark/>
          </w:tcPr>
          <w:p w:rsidR="00F07E05" w:rsidRPr="00096E7D" w:rsidRDefault="00F07E05" w:rsidP="008A253E">
            <w:pPr>
              <w:jc w:val="center"/>
            </w:pPr>
            <w:r w:rsidRPr="00096E7D">
              <w:t>Стоимость услуг, руб.</w:t>
            </w:r>
          </w:p>
        </w:tc>
      </w:tr>
      <w:tr w:rsidR="00F07E05" w:rsidTr="008A253E">
        <w:trPr>
          <w:trHeight w:val="615"/>
        </w:trPr>
        <w:tc>
          <w:tcPr>
            <w:tcW w:w="560" w:type="dxa"/>
            <w:tcBorders>
              <w:top w:val="nil"/>
              <w:left w:val="single" w:sz="4" w:space="0" w:color="auto"/>
              <w:bottom w:val="single" w:sz="4" w:space="0" w:color="auto"/>
              <w:right w:val="single" w:sz="4" w:space="0" w:color="auto"/>
            </w:tcBorders>
            <w:shd w:val="clear" w:color="000000" w:fill="FFFFFF"/>
            <w:vAlign w:val="bottom"/>
            <w:hideMark/>
          </w:tcPr>
          <w:p w:rsidR="00F07E05" w:rsidRPr="00096E7D" w:rsidRDefault="00F07E05" w:rsidP="008A253E">
            <w:pPr>
              <w:jc w:val="center"/>
            </w:pPr>
            <w:r w:rsidRPr="00096E7D">
              <w:t>1</w:t>
            </w:r>
          </w:p>
        </w:tc>
        <w:tc>
          <w:tcPr>
            <w:tcW w:w="3675" w:type="dxa"/>
            <w:tcBorders>
              <w:top w:val="nil"/>
              <w:left w:val="nil"/>
              <w:bottom w:val="single" w:sz="4" w:space="0" w:color="auto"/>
              <w:right w:val="single" w:sz="4" w:space="0" w:color="auto"/>
            </w:tcBorders>
            <w:shd w:val="clear" w:color="auto" w:fill="auto"/>
            <w:noWrap/>
            <w:vAlign w:val="bottom"/>
            <w:hideMark/>
          </w:tcPr>
          <w:p w:rsidR="00F07E05" w:rsidRPr="00096E7D" w:rsidRDefault="00F07E05" w:rsidP="008A253E">
            <w:pPr>
              <w:rPr>
                <w:color w:val="000000"/>
              </w:rPr>
            </w:pPr>
            <w:r w:rsidRPr="00096E7D">
              <w:rPr>
                <w:color w:val="000000"/>
              </w:rPr>
              <w:t>Государственная инспекция труда</w:t>
            </w:r>
          </w:p>
        </w:tc>
        <w:tc>
          <w:tcPr>
            <w:tcW w:w="1173" w:type="dxa"/>
            <w:tcBorders>
              <w:top w:val="nil"/>
              <w:left w:val="nil"/>
              <w:bottom w:val="single" w:sz="4" w:space="0" w:color="auto"/>
              <w:right w:val="single" w:sz="4" w:space="0" w:color="auto"/>
            </w:tcBorders>
            <w:shd w:val="clear" w:color="000000" w:fill="FFFFFF"/>
            <w:noWrap/>
            <w:vAlign w:val="bottom"/>
            <w:hideMark/>
          </w:tcPr>
          <w:p w:rsidR="00F07E05" w:rsidRPr="00096E7D" w:rsidRDefault="00F07E05" w:rsidP="008A253E">
            <w:pPr>
              <w:jc w:val="center"/>
            </w:pPr>
            <w:r w:rsidRPr="00096E7D">
              <w:t>343</w:t>
            </w:r>
          </w:p>
        </w:tc>
        <w:tc>
          <w:tcPr>
            <w:tcW w:w="1210" w:type="dxa"/>
            <w:tcBorders>
              <w:top w:val="nil"/>
              <w:left w:val="nil"/>
              <w:bottom w:val="single" w:sz="4" w:space="0" w:color="auto"/>
              <w:right w:val="single" w:sz="4" w:space="0" w:color="auto"/>
            </w:tcBorders>
            <w:shd w:val="clear" w:color="000000" w:fill="FFFFFF"/>
            <w:noWrap/>
            <w:vAlign w:val="bottom"/>
            <w:hideMark/>
          </w:tcPr>
          <w:p w:rsidR="00F07E05" w:rsidRPr="00096E7D" w:rsidRDefault="00F07E05" w:rsidP="008A253E">
            <w:pPr>
              <w:jc w:val="center"/>
            </w:pPr>
            <w:r w:rsidRPr="00096E7D">
              <w:t>35,00</w:t>
            </w:r>
          </w:p>
        </w:tc>
        <w:tc>
          <w:tcPr>
            <w:tcW w:w="1401" w:type="dxa"/>
            <w:tcBorders>
              <w:top w:val="nil"/>
              <w:left w:val="nil"/>
              <w:bottom w:val="single" w:sz="4" w:space="0" w:color="auto"/>
              <w:right w:val="single" w:sz="4" w:space="0" w:color="auto"/>
            </w:tcBorders>
            <w:shd w:val="clear" w:color="000000" w:fill="FFFFFF"/>
            <w:noWrap/>
            <w:vAlign w:val="bottom"/>
            <w:hideMark/>
          </w:tcPr>
          <w:p w:rsidR="00F07E05" w:rsidRPr="00096E7D" w:rsidRDefault="00F07E05" w:rsidP="008A253E">
            <w:pPr>
              <w:jc w:val="center"/>
            </w:pPr>
            <w:r w:rsidRPr="00096E7D">
              <w:t>12 000,00</w:t>
            </w:r>
          </w:p>
        </w:tc>
        <w:tc>
          <w:tcPr>
            <w:tcW w:w="1203" w:type="dxa"/>
            <w:tcBorders>
              <w:top w:val="nil"/>
              <w:left w:val="nil"/>
              <w:bottom w:val="single" w:sz="4" w:space="0" w:color="auto"/>
              <w:right w:val="single" w:sz="4" w:space="0" w:color="auto"/>
            </w:tcBorders>
            <w:shd w:val="clear" w:color="000000" w:fill="FFFFFF"/>
            <w:noWrap/>
            <w:vAlign w:val="bottom"/>
            <w:hideMark/>
          </w:tcPr>
          <w:p w:rsidR="00F07E05" w:rsidRPr="00096E7D" w:rsidRDefault="00F07E05" w:rsidP="008A253E">
            <w:pPr>
              <w:jc w:val="center"/>
            </w:pPr>
            <w:r w:rsidRPr="00096E7D">
              <w:t>36,40</w:t>
            </w:r>
          </w:p>
        </w:tc>
        <w:tc>
          <w:tcPr>
            <w:tcW w:w="1323" w:type="dxa"/>
            <w:tcBorders>
              <w:top w:val="nil"/>
              <w:left w:val="nil"/>
              <w:bottom w:val="single" w:sz="4" w:space="0" w:color="auto"/>
              <w:right w:val="single" w:sz="4" w:space="0" w:color="auto"/>
            </w:tcBorders>
            <w:shd w:val="clear" w:color="000000" w:fill="FFFFFF"/>
            <w:noWrap/>
            <w:vAlign w:val="bottom"/>
            <w:hideMark/>
          </w:tcPr>
          <w:p w:rsidR="00F07E05" w:rsidRPr="00096E7D" w:rsidRDefault="00F07E05" w:rsidP="008A253E">
            <w:pPr>
              <w:jc w:val="center"/>
            </w:pPr>
            <w:r w:rsidRPr="00096E7D">
              <w:t>12 480,00</w:t>
            </w:r>
          </w:p>
        </w:tc>
        <w:tc>
          <w:tcPr>
            <w:tcW w:w="1203" w:type="dxa"/>
            <w:tcBorders>
              <w:top w:val="nil"/>
              <w:left w:val="nil"/>
              <w:bottom w:val="single" w:sz="4" w:space="0" w:color="auto"/>
              <w:right w:val="single" w:sz="4" w:space="0" w:color="auto"/>
            </w:tcBorders>
            <w:shd w:val="clear" w:color="000000" w:fill="FFFFFF"/>
            <w:noWrap/>
            <w:vAlign w:val="bottom"/>
            <w:hideMark/>
          </w:tcPr>
          <w:p w:rsidR="00F07E05" w:rsidRPr="00096E7D" w:rsidRDefault="00F07E05" w:rsidP="008A253E">
            <w:pPr>
              <w:jc w:val="center"/>
            </w:pPr>
            <w:r w:rsidRPr="00096E7D">
              <w:t>37,86</w:t>
            </w:r>
          </w:p>
        </w:tc>
        <w:tc>
          <w:tcPr>
            <w:tcW w:w="1323" w:type="dxa"/>
            <w:tcBorders>
              <w:top w:val="nil"/>
              <w:left w:val="nil"/>
              <w:bottom w:val="single" w:sz="4" w:space="0" w:color="auto"/>
              <w:right w:val="single" w:sz="4" w:space="0" w:color="auto"/>
            </w:tcBorders>
            <w:shd w:val="clear" w:color="000000" w:fill="FFFFFF"/>
            <w:noWrap/>
            <w:vAlign w:val="bottom"/>
            <w:hideMark/>
          </w:tcPr>
          <w:p w:rsidR="00F07E05" w:rsidRPr="00096E7D" w:rsidRDefault="00F07E05" w:rsidP="008A253E">
            <w:pPr>
              <w:jc w:val="center"/>
            </w:pPr>
            <w:r w:rsidRPr="00096E7D">
              <w:t>12 979,20</w:t>
            </w:r>
          </w:p>
        </w:tc>
        <w:tc>
          <w:tcPr>
            <w:tcW w:w="1288" w:type="dxa"/>
            <w:tcBorders>
              <w:top w:val="nil"/>
              <w:left w:val="nil"/>
              <w:bottom w:val="single" w:sz="4" w:space="0" w:color="auto"/>
              <w:right w:val="single" w:sz="4" w:space="0" w:color="auto"/>
            </w:tcBorders>
            <w:shd w:val="clear" w:color="000000" w:fill="FFFFFF"/>
            <w:noWrap/>
            <w:vAlign w:val="bottom"/>
            <w:hideMark/>
          </w:tcPr>
          <w:p w:rsidR="00F07E05" w:rsidRPr="00096E7D" w:rsidRDefault="00F07E05" w:rsidP="008A253E">
            <w:pPr>
              <w:jc w:val="center"/>
            </w:pPr>
            <w:r w:rsidRPr="00096E7D">
              <w:t>39,37</w:t>
            </w:r>
          </w:p>
        </w:tc>
        <w:tc>
          <w:tcPr>
            <w:tcW w:w="1323" w:type="dxa"/>
            <w:tcBorders>
              <w:top w:val="nil"/>
              <w:left w:val="nil"/>
              <w:bottom w:val="single" w:sz="4" w:space="0" w:color="auto"/>
              <w:right w:val="single" w:sz="4" w:space="0" w:color="auto"/>
            </w:tcBorders>
            <w:shd w:val="clear" w:color="000000" w:fill="FFFFFF"/>
            <w:noWrap/>
            <w:vAlign w:val="bottom"/>
            <w:hideMark/>
          </w:tcPr>
          <w:p w:rsidR="00F07E05" w:rsidRPr="00096E7D" w:rsidRDefault="00F07E05" w:rsidP="008A253E">
            <w:pPr>
              <w:jc w:val="center"/>
            </w:pPr>
            <w:r w:rsidRPr="00096E7D">
              <w:t>13 498,37</w:t>
            </w:r>
          </w:p>
        </w:tc>
      </w:tr>
      <w:tr w:rsidR="00F07E05" w:rsidTr="008A253E">
        <w:trPr>
          <w:trHeight w:val="615"/>
        </w:trPr>
        <w:tc>
          <w:tcPr>
            <w:tcW w:w="560" w:type="dxa"/>
            <w:tcBorders>
              <w:top w:val="nil"/>
              <w:left w:val="single" w:sz="4" w:space="0" w:color="auto"/>
              <w:bottom w:val="single" w:sz="4" w:space="0" w:color="auto"/>
              <w:right w:val="single" w:sz="4" w:space="0" w:color="auto"/>
            </w:tcBorders>
            <w:shd w:val="clear" w:color="000000" w:fill="FFFFFF"/>
            <w:vAlign w:val="bottom"/>
            <w:hideMark/>
          </w:tcPr>
          <w:p w:rsidR="00F07E05" w:rsidRPr="00096E7D" w:rsidRDefault="00F07E05" w:rsidP="008A253E">
            <w:pPr>
              <w:jc w:val="center"/>
            </w:pPr>
            <w:r w:rsidRPr="00096E7D">
              <w:t>2</w:t>
            </w:r>
          </w:p>
        </w:tc>
        <w:tc>
          <w:tcPr>
            <w:tcW w:w="3675" w:type="dxa"/>
            <w:tcBorders>
              <w:top w:val="nil"/>
              <w:left w:val="nil"/>
              <w:bottom w:val="single" w:sz="4" w:space="0" w:color="auto"/>
              <w:right w:val="single" w:sz="4" w:space="0" w:color="auto"/>
            </w:tcBorders>
            <w:shd w:val="clear" w:color="auto" w:fill="auto"/>
            <w:noWrap/>
            <w:vAlign w:val="bottom"/>
            <w:hideMark/>
          </w:tcPr>
          <w:p w:rsidR="00F07E05" w:rsidRPr="00096E7D" w:rsidRDefault="00F07E05" w:rsidP="008A253E">
            <w:pPr>
              <w:rPr>
                <w:color w:val="000000"/>
              </w:rPr>
            </w:pPr>
            <w:r w:rsidRPr="00096E7D">
              <w:rPr>
                <w:color w:val="000000"/>
              </w:rPr>
              <w:t>И.П. Тимонов И.А.</w:t>
            </w:r>
          </w:p>
        </w:tc>
        <w:tc>
          <w:tcPr>
            <w:tcW w:w="1173" w:type="dxa"/>
            <w:tcBorders>
              <w:top w:val="nil"/>
              <w:left w:val="nil"/>
              <w:bottom w:val="single" w:sz="4" w:space="0" w:color="auto"/>
              <w:right w:val="single" w:sz="4" w:space="0" w:color="auto"/>
            </w:tcBorders>
            <w:shd w:val="clear" w:color="000000" w:fill="FFFFFF"/>
            <w:noWrap/>
            <w:vAlign w:val="bottom"/>
            <w:hideMark/>
          </w:tcPr>
          <w:p w:rsidR="00F07E05" w:rsidRPr="00096E7D" w:rsidRDefault="00F07E05" w:rsidP="008A253E">
            <w:pPr>
              <w:jc w:val="center"/>
            </w:pPr>
            <w:r w:rsidRPr="00096E7D">
              <w:t>114</w:t>
            </w:r>
          </w:p>
        </w:tc>
        <w:tc>
          <w:tcPr>
            <w:tcW w:w="1210" w:type="dxa"/>
            <w:tcBorders>
              <w:top w:val="nil"/>
              <w:left w:val="nil"/>
              <w:bottom w:val="single" w:sz="4" w:space="0" w:color="auto"/>
              <w:right w:val="single" w:sz="4" w:space="0" w:color="auto"/>
            </w:tcBorders>
            <w:shd w:val="clear" w:color="000000" w:fill="FFFFFF"/>
            <w:noWrap/>
            <w:vAlign w:val="bottom"/>
            <w:hideMark/>
          </w:tcPr>
          <w:p w:rsidR="00F07E05" w:rsidRPr="00096E7D" w:rsidRDefault="00F07E05" w:rsidP="008A253E">
            <w:pPr>
              <w:jc w:val="center"/>
            </w:pPr>
            <w:r w:rsidRPr="00096E7D">
              <w:t>35,00</w:t>
            </w:r>
          </w:p>
        </w:tc>
        <w:tc>
          <w:tcPr>
            <w:tcW w:w="1401" w:type="dxa"/>
            <w:tcBorders>
              <w:top w:val="nil"/>
              <w:left w:val="nil"/>
              <w:bottom w:val="single" w:sz="4" w:space="0" w:color="auto"/>
              <w:right w:val="single" w:sz="4" w:space="0" w:color="auto"/>
            </w:tcBorders>
            <w:shd w:val="clear" w:color="000000" w:fill="FFFFFF"/>
            <w:noWrap/>
            <w:vAlign w:val="bottom"/>
            <w:hideMark/>
          </w:tcPr>
          <w:p w:rsidR="00F07E05" w:rsidRPr="00096E7D" w:rsidRDefault="00F07E05" w:rsidP="008A253E">
            <w:pPr>
              <w:jc w:val="center"/>
            </w:pPr>
            <w:r w:rsidRPr="00096E7D">
              <w:t>4 000,00</w:t>
            </w:r>
          </w:p>
        </w:tc>
        <w:tc>
          <w:tcPr>
            <w:tcW w:w="1203" w:type="dxa"/>
            <w:tcBorders>
              <w:top w:val="nil"/>
              <w:left w:val="nil"/>
              <w:bottom w:val="single" w:sz="4" w:space="0" w:color="auto"/>
              <w:right w:val="single" w:sz="4" w:space="0" w:color="auto"/>
            </w:tcBorders>
            <w:shd w:val="clear" w:color="000000" w:fill="FFFFFF"/>
            <w:noWrap/>
            <w:vAlign w:val="bottom"/>
            <w:hideMark/>
          </w:tcPr>
          <w:p w:rsidR="00F07E05" w:rsidRPr="00096E7D" w:rsidRDefault="00F07E05" w:rsidP="008A253E">
            <w:pPr>
              <w:jc w:val="center"/>
            </w:pPr>
            <w:r w:rsidRPr="00096E7D">
              <w:t>36,40</w:t>
            </w:r>
          </w:p>
        </w:tc>
        <w:tc>
          <w:tcPr>
            <w:tcW w:w="1323" w:type="dxa"/>
            <w:tcBorders>
              <w:top w:val="nil"/>
              <w:left w:val="nil"/>
              <w:bottom w:val="single" w:sz="4" w:space="0" w:color="auto"/>
              <w:right w:val="single" w:sz="4" w:space="0" w:color="auto"/>
            </w:tcBorders>
            <w:shd w:val="clear" w:color="000000" w:fill="FFFFFF"/>
            <w:noWrap/>
            <w:vAlign w:val="bottom"/>
            <w:hideMark/>
          </w:tcPr>
          <w:p w:rsidR="00F07E05" w:rsidRPr="00096E7D" w:rsidRDefault="00F07E05" w:rsidP="008A253E">
            <w:pPr>
              <w:jc w:val="center"/>
            </w:pPr>
            <w:r w:rsidRPr="00096E7D">
              <w:t>4 160,00</w:t>
            </w:r>
          </w:p>
        </w:tc>
        <w:tc>
          <w:tcPr>
            <w:tcW w:w="1203" w:type="dxa"/>
            <w:tcBorders>
              <w:top w:val="nil"/>
              <w:left w:val="nil"/>
              <w:bottom w:val="single" w:sz="4" w:space="0" w:color="auto"/>
              <w:right w:val="single" w:sz="4" w:space="0" w:color="auto"/>
            </w:tcBorders>
            <w:shd w:val="clear" w:color="000000" w:fill="FFFFFF"/>
            <w:noWrap/>
            <w:vAlign w:val="bottom"/>
            <w:hideMark/>
          </w:tcPr>
          <w:p w:rsidR="00F07E05" w:rsidRPr="00096E7D" w:rsidRDefault="00F07E05" w:rsidP="008A253E">
            <w:pPr>
              <w:jc w:val="center"/>
            </w:pPr>
            <w:r w:rsidRPr="00096E7D">
              <w:t>37,86</w:t>
            </w:r>
          </w:p>
        </w:tc>
        <w:tc>
          <w:tcPr>
            <w:tcW w:w="1323" w:type="dxa"/>
            <w:tcBorders>
              <w:top w:val="nil"/>
              <w:left w:val="nil"/>
              <w:bottom w:val="single" w:sz="4" w:space="0" w:color="auto"/>
              <w:right w:val="single" w:sz="4" w:space="0" w:color="auto"/>
            </w:tcBorders>
            <w:shd w:val="clear" w:color="000000" w:fill="FFFFFF"/>
            <w:noWrap/>
            <w:vAlign w:val="bottom"/>
            <w:hideMark/>
          </w:tcPr>
          <w:p w:rsidR="00F07E05" w:rsidRPr="00096E7D" w:rsidRDefault="00F07E05" w:rsidP="008A253E">
            <w:pPr>
              <w:jc w:val="center"/>
            </w:pPr>
            <w:r w:rsidRPr="00096E7D">
              <w:t>4 326,40</w:t>
            </w:r>
          </w:p>
        </w:tc>
        <w:tc>
          <w:tcPr>
            <w:tcW w:w="1288" w:type="dxa"/>
            <w:tcBorders>
              <w:top w:val="nil"/>
              <w:left w:val="nil"/>
              <w:bottom w:val="single" w:sz="4" w:space="0" w:color="auto"/>
              <w:right w:val="single" w:sz="4" w:space="0" w:color="auto"/>
            </w:tcBorders>
            <w:shd w:val="clear" w:color="000000" w:fill="FFFFFF"/>
            <w:noWrap/>
            <w:vAlign w:val="bottom"/>
            <w:hideMark/>
          </w:tcPr>
          <w:p w:rsidR="00F07E05" w:rsidRPr="00096E7D" w:rsidRDefault="00F07E05" w:rsidP="008A253E">
            <w:pPr>
              <w:jc w:val="center"/>
            </w:pPr>
            <w:r w:rsidRPr="00096E7D">
              <w:t>39,37</w:t>
            </w:r>
          </w:p>
        </w:tc>
        <w:tc>
          <w:tcPr>
            <w:tcW w:w="1323" w:type="dxa"/>
            <w:tcBorders>
              <w:top w:val="nil"/>
              <w:left w:val="nil"/>
              <w:bottom w:val="single" w:sz="4" w:space="0" w:color="auto"/>
              <w:right w:val="single" w:sz="4" w:space="0" w:color="auto"/>
            </w:tcBorders>
            <w:shd w:val="clear" w:color="000000" w:fill="FFFFFF"/>
            <w:noWrap/>
            <w:vAlign w:val="bottom"/>
            <w:hideMark/>
          </w:tcPr>
          <w:p w:rsidR="00F07E05" w:rsidRPr="00096E7D" w:rsidRDefault="00F07E05" w:rsidP="008A253E">
            <w:pPr>
              <w:jc w:val="center"/>
            </w:pPr>
            <w:r w:rsidRPr="00096E7D">
              <w:t>4 499,46</w:t>
            </w:r>
          </w:p>
        </w:tc>
      </w:tr>
      <w:tr w:rsidR="00F07E05" w:rsidTr="008A253E">
        <w:trPr>
          <w:trHeight w:val="615"/>
        </w:trPr>
        <w:tc>
          <w:tcPr>
            <w:tcW w:w="560" w:type="dxa"/>
            <w:tcBorders>
              <w:top w:val="nil"/>
              <w:left w:val="single" w:sz="4" w:space="0" w:color="auto"/>
              <w:bottom w:val="single" w:sz="4" w:space="0" w:color="auto"/>
              <w:right w:val="single" w:sz="4" w:space="0" w:color="auto"/>
            </w:tcBorders>
            <w:shd w:val="clear" w:color="000000" w:fill="FFFFFF"/>
            <w:vAlign w:val="bottom"/>
            <w:hideMark/>
          </w:tcPr>
          <w:p w:rsidR="00F07E05" w:rsidRPr="00096E7D" w:rsidRDefault="00F07E05" w:rsidP="008A253E">
            <w:pPr>
              <w:jc w:val="center"/>
            </w:pPr>
            <w:r w:rsidRPr="00096E7D">
              <w:t>3</w:t>
            </w:r>
          </w:p>
        </w:tc>
        <w:tc>
          <w:tcPr>
            <w:tcW w:w="3675" w:type="dxa"/>
            <w:tcBorders>
              <w:top w:val="nil"/>
              <w:left w:val="nil"/>
              <w:bottom w:val="single" w:sz="4" w:space="0" w:color="auto"/>
              <w:right w:val="single" w:sz="4" w:space="0" w:color="auto"/>
            </w:tcBorders>
            <w:shd w:val="clear" w:color="auto" w:fill="auto"/>
            <w:noWrap/>
            <w:vAlign w:val="bottom"/>
            <w:hideMark/>
          </w:tcPr>
          <w:p w:rsidR="00F07E05" w:rsidRPr="00096E7D" w:rsidRDefault="00F07E05" w:rsidP="008A253E">
            <w:pPr>
              <w:rPr>
                <w:color w:val="000000"/>
              </w:rPr>
            </w:pPr>
            <w:r w:rsidRPr="00096E7D">
              <w:rPr>
                <w:color w:val="000000"/>
              </w:rPr>
              <w:t>ГБУЗ СДР "Теремок"</w:t>
            </w:r>
          </w:p>
        </w:tc>
        <w:tc>
          <w:tcPr>
            <w:tcW w:w="1173" w:type="dxa"/>
            <w:tcBorders>
              <w:top w:val="nil"/>
              <w:left w:val="nil"/>
              <w:bottom w:val="single" w:sz="4" w:space="0" w:color="auto"/>
              <w:right w:val="single" w:sz="4" w:space="0" w:color="auto"/>
            </w:tcBorders>
            <w:shd w:val="clear" w:color="000000" w:fill="FFFFFF"/>
            <w:noWrap/>
            <w:vAlign w:val="bottom"/>
            <w:hideMark/>
          </w:tcPr>
          <w:p w:rsidR="00F07E05" w:rsidRPr="00096E7D" w:rsidRDefault="00F07E05" w:rsidP="008A253E">
            <w:pPr>
              <w:jc w:val="center"/>
            </w:pPr>
            <w:r w:rsidRPr="00096E7D">
              <w:t>534</w:t>
            </w:r>
          </w:p>
        </w:tc>
        <w:tc>
          <w:tcPr>
            <w:tcW w:w="1210" w:type="dxa"/>
            <w:tcBorders>
              <w:top w:val="nil"/>
              <w:left w:val="nil"/>
              <w:bottom w:val="single" w:sz="4" w:space="0" w:color="auto"/>
              <w:right w:val="single" w:sz="4" w:space="0" w:color="auto"/>
            </w:tcBorders>
            <w:shd w:val="clear" w:color="000000" w:fill="FFFFFF"/>
            <w:noWrap/>
            <w:vAlign w:val="bottom"/>
            <w:hideMark/>
          </w:tcPr>
          <w:p w:rsidR="00F07E05" w:rsidRPr="00096E7D" w:rsidRDefault="00F07E05" w:rsidP="008A253E">
            <w:pPr>
              <w:jc w:val="center"/>
            </w:pPr>
            <w:r w:rsidRPr="00096E7D">
              <w:t>35,00</w:t>
            </w:r>
          </w:p>
        </w:tc>
        <w:tc>
          <w:tcPr>
            <w:tcW w:w="1401" w:type="dxa"/>
            <w:tcBorders>
              <w:top w:val="nil"/>
              <w:left w:val="nil"/>
              <w:bottom w:val="single" w:sz="4" w:space="0" w:color="auto"/>
              <w:right w:val="single" w:sz="4" w:space="0" w:color="auto"/>
            </w:tcBorders>
            <w:shd w:val="clear" w:color="000000" w:fill="FFFFFF"/>
            <w:noWrap/>
            <w:vAlign w:val="bottom"/>
            <w:hideMark/>
          </w:tcPr>
          <w:p w:rsidR="00F07E05" w:rsidRPr="00096E7D" w:rsidRDefault="00F07E05" w:rsidP="008A253E">
            <w:pPr>
              <w:jc w:val="center"/>
            </w:pPr>
            <w:r w:rsidRPr="00096E7D">
              <w:t>18 690,00</w:t>
            </w:r>
          </w:p>
        </w:tc>
        <w:tc>
          <w:tcPr>
            <w:tcW w:w="1203" w:type="dxa"/>
            <w:tcBorders>
              <w:top w:val="nil"/>
              <w:left w:val="nil"/>
              <w:bottom w:val="single" w:sz="4" w:space="0" w:color="auto"/>
              <w:right w:val="single" w:sz="4" w:space="0" w:color="auto"/>
            </w:tcBorders>
            <w:shd w:val="clear" w:color="000000" w:fill="FFFFFF"/>
            <w:noWrap/>
            <w:vAlign w:val="bottom"/>
            <w:hideMark/>
          </w:tcPr>
          <w:p w:rsidR="00F07E05" w:rsidRPr="00096E7D" w:rsidRDefault="00F07E05" w:rsidP="008A253E">
            <w:pPr>
              <w:jc w:val="center"/>
            </w:pPr>
            <w:r w:rsidRPr="00096E7D">
              <w:t>36,40</w:t>
            </w:r>
          </w:p>
        </w:tc>
        <w:tc>
          <w:tcPr>
            <w:tcW w:w="1323" w:type="dxa"/>
            <w:tcBorders>
              <w:top w:val="nil"/>
              <w:left w:val="nil"/>
              <w:bottom w:val="single" w:sz="4" w:space="0" w:color="auto"/>
              <w:right w:val="single" w:sz="4" w:space="0" w:color="auto"/>
            </w:tcBorders>
            <w:shd w:val="clear" w:color="000000" w:fill="FFFFFF"/>
            <w:noWrap/>
            <w:vAlign w:val="bottom"/>
            <w:hideMark/>
          </w:tcPr>
          <w:p w:rsidR="00F07E05" w:rsidRPr="00096E7D" w:rsidRDefault="00F07E05" w:rsidP="008A253E">
            <w:pPr>
              <w:jc w:val="center"/>
            </w:pPr>
            <w:r w:rsidRPr="00096E7D">
              <w:t>19 437,60</w:t>
            </w:r>
          </w:p>
        </w:tc>
        <w:tc>
          <w:tcPr>
            <w:tcW w:w="1203" w:type="dxa"/>
            <w:tcBorders>
              <w:top w:val="nil"/>
              <w:left w:val="nil"/>
              <w:bottom w:val="single" w:sz="4" w:space="0" w:color="auto"/>
              <w:right w:val="single" w:sz="4" w:space="0" w:color="auto"/>
            </w:tcBorders>
            <w:shd w:val="clear" w:color="000000" w:fill="FFFFFF"/>
            <w:noWrap/>
            <w:vAlign w:val="bottom"/>
            <w:hideMark/>
          </w:tcPr>
          <w:p w:rsidR="00F07E05" w:rsidRPr="00096E7D" w:rsidRDefault="00F07E05" w:rsidP="008A253E">
            <w:pPr>
              <w:jc w:val="center"/>
            </w:pPr>
            <w:r w:rsidRPr="00096E7D">
              <w:t>37,86</w:t>
            </w:r>
          </w:p>
        </w:tc>
        <w:tc>
          <w:tcPr>
            <w:tcW w:w="1323" w:type="dxa"/>
            <w:tcBorders>
              <w:top w:val="nil"/>
              <w:left w:val="nil"/>
              <w:bottom w:val="single" w:sz="4" w:space="0" w:color="auto"/>
              <w:right w:val="single" w:sz="4" w:space="0" w:color="auto"/>
            </w:tcBorders>
            <w:shd w:val="clear" w:color="000000" w:fill="FFFFFF"/>
            <w:noWrap/>
            <w:vAlign w:val="bottom"/>
            <w:hideMark/>
          </w:tcPr>
          <w:p w:rsidR="00F07E05" w:rsidRPr="00096E7D" w:rsidRDefault="00F07E05" w:rsidP="008A253E">
            <w:pPr>
              <w:jc w:val="center"/>
            </w:pPr>
            <w:r w:rsidRPr="00096E7D">
              <w:t>20 215,10</w:t>
            </w:r>
          </w:p>
        </w:tc>
        <w:tc>
          <w:tcPr>
            <w:tcW w:w="1288" w:type="dxa"/>
            <w:tcBorders>
              <w:top w:val="nil"/>
              <w:left w:val="nil"/>
              <w:bottom w:val="single" w:sz="4" w:space="0" w:color="auto"/>
              <w:right w:val="single" w:sz="4" w:space="0" w:color="auto"/>
            </w:tcBorders>
            <w:shd w:val="clear" w:color="000000" w:fill="FFFFFF"/>
            <w:noWrap/>
            <w:vAlign w:val="bottom"/>
            <w:hideMark/>
          </w:tcPr>
          <w:p w:rsidR="00F07E05" w:rsidRPr="00096E7D" w:rsidRDefault="00F07E05" w:rsidP="008A253E">
            <w:pPr>
              <w:jc w:val="center"/>
            </w:pPr>
            <w:r w:rsidRPr="00096E7D">
              <w:t>39,37</w:t>
            </w:r>
          </w:p>
        </w:tc>
        <w:tc>
          <w:tcPr>
            <w:tcW w:w="1323" w:type="dxa"/>
            <w:tcBorders>
              <w:top w:val="nil"/>
              <w:left w:val="nil"/>
              <w:bottom w:val="single" w:sz="4" w:space="0" w:color="auto"/>
              <w:right w:val="single" w:sz="4" w:space="0" w:color="auto"/>
            </w:tcBorders>
            <w:shd w:val="clear" w:color="000000" w:fill="FFFFFF"/>
            <w:noWrap/>
            <w:vAlign w:val="bottom"/>
            <w:hideMark/>
          </w:tcPr>
          <w:p w:rsidR="00F07E05" w:rsidRPr="00096E7D" w:rsidRDefault="00F07E05" w:rsidP="008A253E">
            <w:pPr>
              <w:jc w:val="center"/>
            </w:pPr>
            <w:r w:rsidRPr="00096E7D">
              <w:t>21 023,71</w:t>
            </w:r>
          </w:p>
        </w:tc>
      </w:tr>
      <w:tr w:rsidR="00F07E05" w:rsidTr="008A253E">
        <w:trPr>
          <w:trHeight w:val="675"/>
        </w:trPr>
        <w:tc>
          <w:tcPr>
            <w:tcW w:w="560" w:type="dxa"/>
            <w:tcBorders>
              <w:top w:val="nil"/>
              <w:left w:val="single" w:sz="4" w:space="0" w:color="auto"/>
              <w:bottom w:val="single" w:sz="4" w:space="0" w:color="auto"/>
              <w:right w:val="single" w:sz="4" w:space="0" w:color="auto"/>
            </w:tcBorders>
            <w:shd w:val="clear" w:color="000000" w:fill="FFFFFF"/>
            <w:vAlign w:val="bottom"/>
            <w:hideMark/>
          </w:tcPr>
          <w:p w:rsidR="00F07E05" w:rsidRPr="00096E7D" w:rsidRDefault="00F07E05" w:rsidP="008A253E">
            <w:pPr>
              <w:jc w:val="center"/>
            </w:pPr>
            <w:r w:rsidRPr="00096E7D">
              <w:t>4</w:t>
            </w:r>
          </w:p>
        </w:tc>
        <w:tc>
          <w:tcPr>
            <w:tcW w:w="3675" w:type="dxa"/>
            <w:tcBorders>
              <w:top w:val="nil"/>
              <w:left w:val="nil"/>
              <w:bottom w:val="single" w:sz="4" w:space="0" w:color="auto"/>
              <w:right w:val="single" w:sz="4" w:space="0" w:color="auto"/>
            </w:tcBorders>
            <w:shd w:val="clear" w:color="auto" w:fill="auto"/>
            <w:noWrap/>
            <w:vAlign w:val="bottom"/>
            <w:hideMark/>
          </w:tcPr>
          <w:p w:rsidR="00F07E05" w:rsidRPr="00096E7D" w:rsidRDefault="00F07E05" w:rsidP="008A253E">
            <w:pPr>
              <w:rPr>
                <w:color w:val="000000"/>
              </w:rPr>
            </w:pPr>
            <w:r w:rsidRPr="00096E7D">
              <w:rPr>
                <w:color w:val="000000"/>
              </w:rPr>
              <w:t>ПАО Банк ФК Открытие</w:t>
            </w:r>
          </w:p>
        </w:tc>
        <w:tc>
          <w:tcPr>
            <w:tcW w:w="1173" w:type="dxa"/>
            <w:tcBorders>
              <w:top w:val="nil"/>
              <w:left w:val="nil"/>
              <w:bottom w:val="single" w:sz="4" w:space="0" w:color="auto"/>
              <w:right w:val="single" w:sz="4" w:space="0" w:color="auto"/>
            </w:tcBorders>
            <w:shd w:val="clear" w:color="000000" w:fill="FFFFFF"/>
            <w:noWrap/>
            <w:vAlign w:val="bottom"/>
            <w:hideMark/>
          </w:tcPr>
          <w:p w:rsidR="00F07E05" w:rsidRPr="00096E7D" w:rsidRDefault="00F07E05" w:rsidP="008A253E">
            <w:pPr>
              <w:jc w:val="center"/>
            </w:pPr>
            <w:r w:rsidRPr="00096E7D">
              <w:t>500</w:t>
            </w:r>
          </w:p>
        </w:tc>
        <w:tc>
          <w:tcPr>
            <w:tcW w:w="1210" w:type="dxa"/>
            <w:tcBorders>
              <w:top w:val="nil"/>
              <w:left w:val="nil"/>
              <w:bottom w:val="single" w:sz="4" w:space="0" w:color="auto"/>
              <w:right w:val="single" w:sz="4" w:space="0" w:color="auto"/>
            </w:tcBorders>
            <w:shd w:val="clear" w:color="000000" w:fill="FFFFFF"/>
            <w:noWrap/>
            <w:vAlign w:val="bottom"/>
            <w:hideMark/>
          </w:tcPr>
          <w:p w:rsidR="00F07E05" w:rsidRPr="00096E7D" w:rsidRDefault="00F07E05" w:rsidP="008A253E">
            <w:pPr>
              <w:jc w:val="center"/>
            </w:pPr>
            <w:r w:rsidRPr="00096E7D">
              <w:t>35,00</w:t>
            </w:r>
          </w:p>
        </w:tc>
        <w:tc>
          <w:tcPr>
            <w:tcW w:w="1401" w:type="dxa"/>
            <w:tcBorders>
              <w:top w:val="nil"/>
              <w:left w:val="nil"/>
              <w:bottom w:val="single" w:sz="4" w:space="0" w:color="auto"/>
              <w:right w:val="single" w:sz="4" w:space="0" w:color="auto"/>
            </w:tcBorders>
            <w:shd w:val="clear" w:color="000000" w:fill="FFFFFF"/>
            <w:noWrap/>
            <w:vAlign w:val="bottom"/>
            <w:hideMark/>
          </w:tcPr>
          <w:p w:rsidR="00F07E05" w:rsidRPr="00096E7D" w:rsidRDefault="00F07E05" w:rsidP="008A253E">
            <w:pPr>
              <w:jc w:val="center"/>
            </w:pPr>
            <w:r w:rsidRPr="00096E7D">
              <w:t>17 500,00</w:t>
            </w:r>
          </w:p>
        </w:tc>
        <w:tc>
          <w:tcPr>
            <w:tcW w:w="1203" w:type="dxa"/>
            <w:tcBorders>
              <w:top w:val="nil"/>
              <w:left w:val="nil"/>
              <w:bottom w:val="single" w:sz="4" w:space="0" w:color="auto"/>
              <w:right w:val="single" w:sz="4" w:space="0" w:color="auto"/>
            </w:tcBorders>
            <w:shd w:val="clear" w:color="000000" w:fill="FFFFFF"/>
            <w:noWrap/>
            <w:vAlign w:val="bottom"/>
            <w:hideMark/>
          </w:tcPr>
          <w:p w:rsidR="00F07E05" w:rsidRPr="00096E7D" w:rsidRDefault="00F07E05" w:rsidP="008A253E">
            <w:pPr>
              <w:jc w:val="center"/>
            </w:pPr>
            <w:r w:rsidRPr="00096E7D">
              <w:t>36,40</w:t>
            </w:r>
          </w:p>
        </w:tc>
        <w:tc>
          <w:tcPr>
            <w:tcW w:w="1323" w:type="dxa"/>
            <w:tcBorders>
              <w:top w:val="nil"/>
              <w:left w:val="nil"/>
              <w:bottom w:val="single" w:sz="4" w:space="0" w:color="auto"/>
              <w:right w:val="single" w:sz="4" w:space="0" w:color="auto"/>
            </w:tcBorders>
            <w:shd w:val="clear" w:color="000000" w:fill="FFFFFF"/>
            <w:noWrap/>
            <w:vAlign w:val="bottom"/>
            <w:hideMark/>
          </w:tcPr>
          <w:p w:rsidR="00F07E05" w:rsidRPr="00096E7D" w:rsidRDefault="00F07E05" w:rsidP="008A253E">
            <w:pPr>
              <w:jc w:val="center"/>
            </w:pPr>
            <w:r w:rsidRPr="00096E7D">
              <w:t>18 200,00</w:t>
            </w:r>
          </w:p>
        </w:tc>
        <w:tc>
          <w:tcPr>
            <w:tcW w:w="1203" w:type="dxa"/>
            <w:tcBorders>
              <w:top w:val="nil"/>
              <w:left w:val="nil"/>
              <w:bottom w:val="single" w:sz="4" w:space="0" w:color="auto"/>
              <w:right w:val="single" w:sz="4" w:space="0" w:color="auto"/>
            </w:tcBorders>
            <w:shd w:val="clear" w:color="000000" w:fill="FFFFFF"/>
            <w:noWrap/>
            <w:vAlign w:val="bottom"/>
            <w:hideMark/>
          </w:tcPr>
          <w:p w:rsidR="00F07E05" w:rsidRPr="00096E7D" w:rsidRDefault="00F07E05" w:rsidP="008A253E">
            <w:pPr>
              <w:jc w:val="center"/>
            </w:pPr>
            <w:r w:rsidRPr="00096E7D">
              <w:t>37,86</w:t>
            </w:r>
          </w:p>
        </w:tc>
        <w:tc>
          <w:tcPr>
            <w:tcW w:w="1323" w:type="dxa"/>
            <w:tcBorders>
              <w:top w:val="nil"/>
              <w:left w:val="nil"/>
              <w:bottom w:val="single" w:sz="4" w:space="0" w:color="auto"/>
              <w:right w:val="single" w:sz="4" w:space="0" w:color="auto"/>
            </w:tcBorders>
            <w:shd w:val="clear" w:color="000000" w:fill="FFFFFF"/>
            <w:noWrap/>
            <w:vAlign w:val="bottom"/>
            <w:hideMark/>
          </w:tcPr>
          <w:p w:rsidR="00F07E05" w:rsidRPr="00096E7D" w:rsidRDefault="00F07E05" w:rsidP="008A253E">
            <w:pPr>
              <w:jc w:val="center"/>
            </w:pPr>
            <w:r w:rsidRPr="00096E7D">
              <w:t>18 928,00</w:t>
            </w:r>
          </w:p>
        </w:tc>
        <w:tc>
          <w:tcPr>
            <w:tcW w:w="1288" w:type="dxa"/>
            <w:tcBorders>
              <w:top w:val="nil"/>
              <w:left w:val="nil"/>
              <w:bottom w:val="single" w:sz="4" w:space="0" w:color="auto"/>
              <w:right w:val="single" w:sz="4" w:space="0" w:color="auto"/>
            </w:tcBorders>
            <w:shd w:val="clear" w:color="000000" w:fill="FFFFFF"/>
            <w:noWrap/>
            <w:vAlign w:val="bottom"/>
            <w:hideMark/>
          </w:tcPr>
          <w:p w:rsidR="00F07E05" w:rsidRPr="00096E7D" w:rsidRDefault="00F07E05" w:rsidP="008A253E">
            <w:pPr>
              <w:jc w:val="center"/>
            </w:pPr>
            <w:r w:rsidRPr="00096E7D">
              <w:t>39,37</w:t>
            </w:r>
          </w:p>
        </w:tc>
        <w:tc>
          <w:tcPr>
            <w:tcW w:w="1323" w:type="dxa"/>
            <w:tcBorders>
              <w:top w:val="nil"/>
              <w:left w:val="nil"/>
              <w:bottom w:val="single" w:sz="4" w:space="0" w:color="auto"/>
              <w:right w:val="single" w:sz="4" w:space="0" w:color="auto"/>
            </w:tcBorders>
            <w:shd w:val="clear" w:color="000000" w:fill="FFFFFF"/>
            <w:noWrap/>
            <w:vAlign w:val="bottom"/>
            <w:hideMark/>
          </w:tcPr>
          <w:p w:rsidR="00F07E05" w:rsidRPr="00096E7D" w:rsidRDefault="00F07E05" w:rsidP="008A253E">
            <w:pPr>
              <w:jc w:val="center"/>
            </w:pPr>
            <w:r w:rsidRPr="00096E7D">
              <w:t>19 685,12</w:t>
            </w:r>
          </w:p>
        </w:tc>
      </w:tr>
      <w:tr w:rsidR="00F07E05" w:rsidTr="008A253E">
        <w:trPr>
          <w:trHeight w:val="375"/>
        </w:trPr>
        <w:tc>
          <w:tcPr>
            <w:tcW w:w="560" w:type="dxa"/>
            <w:tcBorders>
              <w:top w:val="nil"/>
              <w:left w:val="single" w:sz="4" w:space="0" w:color="auto"/>
              <w:bottom w:val="single" w:sz="4" w:space="0" w:color="auto"/>
              <w:right w:val="single" w:sz="4" w:space="0" w:color="auto"/>
            </w:tcBorders>
            <w:shd w:val="clear" w:color="000000" w:fill="FFFFFF"/>
            <w:vAlign w:val="bottom"/>
            <w:hideMark/>
          </w:tcPr>
          <w:p w:rsidR="00F07E05" w:rsidRPr="00096E7D" w:rsidRDefault="00F07E05" w:rsidP="008A253E">
            <w:pPr>
              <w:jc w:val="center"/>
            </w:pPr>
            <w:r w:rsidRPr="00096E7D">
              <w:t>5</w:t>
            </w:r>
          </w:p>
        </w:tc>
        <w:tc>
          <w:tcPr>
            <w:tcW w:w="3675" w:type="dxa"/>
            <w:tcBorders>
              <w:top w:val="nil"/>
              <w:left w:val="nil"/>
              <w:bottom w:val="single" w:sz="4" w:space="0" w:color="auto"/>
              <w:right w:val="single" w:sz="4" w:space="0" w:color="auto"/>
            </w:tcBorders>
            <w:shd w:val="clear" w:color="auto" w:fill="auto"/>
            <w:noWrap/>
            <w:vAlign w:val="bottom"/>
            <w:hideMark/>
          </w:tcPr>
          <w:p w:rsidR="00F07E05" w:rsidRPr="00096E7D" w:rsidRDefault="00F07E05" w:rsidP="008A253E">
            <w:pPr>
              <w:rPr>
                <w:color w:val="000000"/>
              </w:rPr>
            </w:pPr>
            <w:r w:rsidRPr="00096E7D">
              <w:rPr>
                <w:color w:val="000000"/>
              </w:rPr>
              <w:t>ООО Парк</w:t>
            </w:r>
          </w:p>
        </w:tc>
        <w:tc>
          <w:tcPr>
            <w:tcW w:w="1173" w:type="dxa"/>
            <w:tcBorders>
              <w:top w:val="nil"/>
              <w:left w:val="nil"/>
              <w:bottom w:val="single" w:sz="4" w:space="0" w:color="auto"/>
              <w:right w:val="single" w:sz="4" w:space="0" w:color="auto"/>
            </w:tcBorders>
            <w:shd w:val="clear" w:color="000000" w:fill="FFFFFF"/>
            <w:noWrap/>
            <w:vAlign w:val="bottom"/>
            <w:hideMark/>
          </w:tcPr>
          <w:p w:rsidR="00F07E05" w:rsidRPr="00096E7D" w:rsidRDefault="00F07E05" w:rsidP="008A253E">
            <w:pPr>
              <w:jc w:val="center"/>
            </w:pPr>
            <w:r w:rsidRPr="00096E7D">
              <w:t>1000</w:t>
            </w:r>
          </w:p>
        </w:tc>
        <w:tc>
          <w:tcPr>
            <w:tcW w:w="1210" w:type="dxa"/>
            <w:tcBorders>
              <w:top w:val="nil"/>
              <w:left w:val="nil"/>
              <w:bottom w:val="single" w:sz="4" w:space="0" w:color="auto"/>
              <w:right w:val="single" w:sz="4" w:space="0" w:color="auto"/>
            </w:tcBorders>
            <w:shd w:val="clear" w:color="000000" w:fill="FFFFFF"/>
            <w:noWrap/>
            <w:vAlign w:val="bottom"/>
            <w:hideMark/>
          </w:tcPr>
          <w:p w:rsidR="00F07E05" w:rsidRPr="00096E7D" w:rsidRDefault="00F07E05" w:rsidP="008A253E">
            <w:pPr>
              <w:jc w:val="center"/>
            </w:pPr>
            <w:r w:rsidRPr="00096E7D">
              <w:t>35,00</w:t>
            </w:r>
          </w:p>
        </w:tc>
        <w:tc>
          <w:tcPr>
            <w:tcW w:w="1401" w:type="dxa"/>
            <w:tcBorders>
              <w:top w:val="nil"/>
              <w:left w:val="nil"/>
              <w:bottom w:val="single" w:sz="4" w:space="0" w:color="auto"/>
              <w:right w:val="single" w:sz="4" w:space="0" w:color="auto"/>
            </w:tcBorders>
            <w:shd w:val="clear" w:color="000000" w:fill="FFFFFF"/>
            <w:noWrap/>
            <w:vAlign w:val="bottom"/>
            <w:hideMark/>
          </w:tcPr>
          <w:p w:rsidR="00F07E05" w:rsidRPr="00096E7D" w:rsidRDefault="00F07E05" w:rsidP="008A253E">
            <w:pPr>
              <w:jc w:val="center"/>
            </w:pPr>
            <w:r w:rsidRPr="00096E7D">
              <w:t>35 000,00</w:t>
            </w:r>
          </w:p>
        </w:tc>
        <w:tc>
          <w:tcPr>
            <w:tcW w:w="1203" w:type="dxa"/>
            <w:tcBorders>
              <w:top w:val="nil"/>
              <w:left w:val="nil"/>
              <w:bottom w:val="single" w:sz="4" w:space="0" w:color="auto"/>
              <w:right w:val="single" w:sz="4" w:space="0" w:color="auto"/>
            </w:tcBorders>
            <w:shd w:val="clear" w:color="000000" w:fill="FFFFFF"/>
            <w:noWrap/>
            <w:vAlign w:val="bottom"/>
            <w:hideMark/>
          </w:tcPr>
          <w:p w:rsidR="00F07E05" w:rsidRPr="00096E7D" w:rsidRDefault="00F07E05" w:rsidP="008A253E">
            <w:pPr>
              <w:jc w:val="center"/>
            </w:pPr>
            <w:r w:rsidRPr="00096E7D">
              <w:t>36,40</w:t>
            </w:r>
          </w:p>
        </w:tc>
        <w:tc>
          <w:tcPr>
            <w:tcW w:w="1323" w:type="dxa"/>
            <w:tcBorders>
              <w:top w:val="nil"/>
              <w:left w:val="nil"/>
              <w:bottom w:val="single" w:sz="4" w:space="0" w:color="auto"/>
              <w:right w:val="single" w:sz="4" w:space="0" w:color="auto"/>
            </w:tcBorders>
            <w:shd w:val="clear" w:color="000000" w:fill="FFFFFF"/>
            <w:noWrap/>
            <w:vAlign w:val="bottom"/>
            <w:hideMark/>
          </w:tcPr>
          <w:p w:rsidR="00F07E05" w:rsidRPr="00096E7D" w:rsidRDefault="00F07E05" w:rsidP="008A253E">
            <w:pPr>
              <w:jc w:val="center"/>
            </w:pPr>
            <w:r w:rsidRPr="00096E7D">
              <w:t>36 400,00</w:t>
            </w:r>
          </w:p>
        </w:tc>
        <w:tc>
          <w:tcPr>
            <w:tcW w:w="1203" w:type="dxa"/>
            <w:tcBorders>
              <w:top w:val="nil"/>
              <w:left w:val="nil"/>
              <w:bottom w:val="single" w:sz="4" w:space="0" w:color="auto"/>
              <w:right w:val="single" w:sz="4" w:space="0" w:color="auto"/>
            </w:tcBorders>
            <w:shd w:val="clear" w:color="000000" w:fill="FFFFFF"/>
            <w:noWrap/>
            <w:vAlign w:val="bottom"/>
            <w:hideMark/>
          </w:tcPr>
          <w:p w:rsidR="00F07E05" w:rsidRPr="00096E7D" w:rsidRDefault="00F07E05" w:rsidP="008A253E">
            <w:pPr>
              <w:jc w:val="center"/>
            </w:pPr>
            <w:r w:rsidRPr="00096E7D">
              <w:t>37,86</w:t>
            </w:r>
          </w:p>
        </w:tc>
        <w:tc>
          <w:tcPr>
            <w:tcW w:w="1323" w:type="dxa"/>
            <w:tcBorders>
              <w:top w:val="nil"/>
              <w:left w:val="nil"/>
              <w:bottom w:val="single" w:sz="4" w:space="0" w:color="auto"/>
              <w:right w:val="single" w:sz="4" w:space="0" w:color="auto"/>
            </w:tcBorders>
            <w:shd w:val="clear" w:color="000000" w:fill="FFFFFF"/>
            <w:noWrap/>
            <w:vAlign w:val="bottom"/>
            <w:hideMark/>
          </w:tcPr>
          <w:p w:rsidR="00F07E05" w:rsidRPr="00096E7D" w:rsidRDefault="00F07E05" w:rsidP="008A253E">
            <w:pPr>
              <w:jc w:val="center"/>
            </w:pPr>
            <w:r w:rsidRPr="00096E7D">
              <w:t>37 856,00</w:t>
            </w:r>
          </w:p>
        </w:tc>
        <w:tc>
          <w:tcPr>
            <w:tcW w:w="1288" w:type="dxa"/>
            <w:tcBorders>
              <w:top w:val="nil"/>
              <w:left w:val="nil"/>
              <w:bottom w:val="single" w:sz="4" w:space="0" w:color="auto"/>
              <w:right w:val="single" w:sz="4" w:space="0" w:color="auto"/>
            </w:tcBorders>
            <w:shd w:val="clear" w:color="000000" w:fill="FFFFFF"/>
            <w:noWrap/>
            <w:vAlign w:val="bottom"/>
            <w:hideMark/>
          </w:tcPr>
          <w:p w:rsidR="00F07E05" w:rsidRPr="00096E7D" w:rsidRDefault="00F07E05" w:rsidP="008A253E">
            <w:pPr>
              <w:jc w:val="center"/>
            </w:pPr>
            <w:r w:rsidRPr="00096E7D">
              <w:t>39,37</w:t>
            </w:r>
          </w:p>
        </w:tc>
        <w:tc>
          <w:tcPr>
            <w:tcW w:w="1323" w:type="dxa"/>
            <w:tcBorders>
              <w:top w:val="nil"/>
              <w:left w:val="nil"/>
              <w:bottom w:val="single" w:sz="4" w:space="0" w:color="auto"/>
              <w:right w:val="single" w:sz="4" w:space="0" w:color="auto"/>
            </w:tcBorders>
            <w:shd w:val="clear" w:color="000000" w:fill="FFFFFF"/>
            <w:noWrap/>
            <w:vAlign w:val="bottom"/>
            <w:hideMark/>
          </w:tcPr>
          <w:p w:rsidR="00F07E05" w:rsidRPr="00096E7D" w:rsidRDefault="00F07E05" w:rsidP="008A253E">
            <w:pPr>
              <w:jc w:val="center"/>
            </w:pPr>
            <w:r w:rsidRPr="00096E7D">
              <w:t>39 370,24</w:t>
            </w:r>
          </w:p>
        </w:tc>
      </w:tr>
      <w:tr w:rsidR="00F07E05" w:rsidTr="008A253E">
        <w:trPr>
          <w:trHeight w:val="531"/>
        </w:trPr>
        <w:tc>
          <w:tcPr>
            <w:tcW w:w="560" w:type="dxa"/>
            <w:tcBorders>
              <w:top w:val="nil"/>
              <w:left w:val="single" w:sz="4" w:space="0" w:color="auto"/>
              <w:bottom w:val="single" w:sz="4" w:space="0" w:color="auto"/>
              <w:right w:val="single" w:sz="4" w:space="0" w:color="auto"/>
            </w:tcBorders>
            <w:shd w:val="clear" w:color="000000" w:fill="FFFFFF"/>
            <w:vAlign w:val="bottom"/>
            <w:hideMark/>
          </w:tcPr>
          <w:p w:rsidR="00F07E05" w:rsidRPr="00096E7D" w:rsidRDefault="00F07E05" w:rsidP="008A253E">
            <w:pPr>
              <w:jc w:val="center"/>
            </w:pPr>
            <w:r w:rsidRPr="00096E7D">
              <w:t>6</w:t>
            </w:r>
          </w:p>
        </w:tc>
        <w:tc>
          <w:tcPr>
            <w:tcW w:w="3675" w:type="dxa"/>
            <w:tcBorders>
              <w:top w:val="nil"/>
              <w:left w:val="nil"/>
              <w:bottom w:val="single" w:sz="4" w:space="0" w:color="auto"/>
              <w:right w:val="single" w:sz="4" w:space="0" w:color="auto"/>
            </w:tcBorders>
            <w:shd w:val="clear" w:color="auto" w:fill="auto"/>
            <w:noWrap/>
            <w:vAlign w:val="bottom"/>
            <w:hideMark/>
          </w:tcPr>
          <w:p w:rsidR="00F07E05" w:rsidRPr="00096E7D" w:rsidRDefault="00F07E05" w:rsidP="008A253E">
            <w:pPr>
              <w:rPr>
                <w:color w:val="000000"/>
              </w:rPr>
            </w:pPr>
            <w:r w:rsidRPr="00096E7D">
              <w:rPr>
                <w:color w:val="000000"/>
              </w:rPr>
              <w:t xml:space="preserve">Управление Министрерства юстиции </w:t>
            </w:r>
          </w:p>
        </w:tc>
        <w:tc>
          <w:tcPr>
            <w:tcW w:w="1173" w:type="dxa"/>
            <w:tcBorders>
              <w:top w:val="nil"/>
              <w:left w:val="nil"/>
              <w:bottom w:val="single" w:sz="4" w:space="0" w:color="auto"/>
              <w:right w:val="single" w:sz="4" w:space="0" w:color="auto"/>
            </w:tcBorders>
            <w:shd w:val="clear" w:color="000000" w:fill="FFFFFF"/>
            <w:noWrap/>
            <w:vAlign w:val="bottom"/>
            <w:hideMark/>
          </w:tcPr>
          <w:p w:rsidR="00F07E05" w:rsidRPr="00096E7D" w:rsidRDefault="00F07E05" w:rsidP="008A253E">
            <w:pPr>
              <w:jc w:val="center"/>
            </w:pPr>
            <w:r w:rsidRPr="00096E7D">
              <w:t>844</w:t>
            </w:r>
          </w:p>
        </w:tc>
        <w:tc>
          <w:tcPr>
            <w:tcW w:w="1210" w:type="dxa"/>
            <w:tcBorders>
              <w:top w:val="nil"/>
              <w:left w:val="nil"/>
              <w:bottom w:val="single" w:sz="4" w:space="0" w:color="auto"/>
              <w:right w:val="single" w:sz="4" w:space="0" w:color="auto"/>
            </w:tcBorders>
            <w:shd w:val="clear" w:color="000000" w:fill="FFFFFF"/>
            <w:noWrap/>
            <w:vAlign w:val="bottom"/>
            <w:hideMark/>
          </w:tcPr>
          <w:p w:rsidR="00F07E05" w:rsidRPr="00096E7D" w:rsidRDefault="00F07E05" w:rsidP="008A253E">
            <w:pPr>
              <w:jc w:val="center"/>
            </w:pPr>
            <w:r w:rsidRPr="00096E7D">
              <w:t>35,00</w:t>
            </w:r>
          </w:p>
        </w:tc>
        <w:tc>
          <w:tcPr>
            <w:tcW w:w="1401" w:type="dxa"/>
            <w:tcBorders>
              <w:top w:val="nil"/>
              <w:left w:val="nil"/>
              <w:bottom w:val="single" w:sz="4" w:space="0" w:color="auto"/>
              <w:right w:val="single" w:sz="4" w:space="0" w:color="auto"/>
            </w:tcBorders>
            <w:shd w:val="clear" w:color="000000" w:fill="FFFFFF"/>
            <w:noWrap/>
            <w:vAlign w:val="bottom"/>
            <w:hideMark/>
          </w:tcPr>
          <w:p w:rsidR="00F07E05" w:rsidRPr="00096E7D" w:rsidRDefault="00F07E05" w:rsidP="008A253E">
            <w:pPr>
              <w:jc w:val="center"/>
            </w:pPr>
            <w:r w:rsidRPr="00096E7D">
              <w:t>29 540,00</w:t>
            </w:r>
          </w:p>
        </w:tc>
        <w:tc>
          <w:tcPr>
            <w:tcW w:w="1203" w:type="dxa"/>
            <w:tcBorders>
              <w:top w:val="nil"/>
              <w:left w:val="nil"/>
              <w:bottom w:val="single" w:sz="4" w:space="0" w:color="auto"/>
              <w:right w:val="single" w:sz="4" w:space="0" w:color="auto"/>
            </w:tcBorders>
            <w:shd w:val="clear" w:color="000000" w:fill="FFFFFF"/>
            <w:noWrap/>
            <w:vAlign w:val="bottom"/>
            <w:hideMark/>
          </w:tcPr>
          <w:p w:rsidR="00F07E05" w:rsidRPr="00096E7D" w:rsidRDefault="00F07E05" w:rsidP="008A253E">
            <w:pPr>
              <w:jc w:val="center"/>
            </w:pPr>
            <w:r w:rsidRPr="00096E7D">
              <w:t>36,40</w:t>
            </w:r>
          </w:p>
        </w:tc>
        <w:tc>
          <w:tcPr>
            <w:tcW w:w="1323" w:type="dxa"/>
            <w:tcBorders>
              <w:top w:val="nil"/>
              <w:left w:val="nil"/>
              <w:bottom w:val="single" w:sz="4" w:space="0" w:color="auto"/>
              <w:right w:val="single" w:sz="4" w:space="0" w:color="auto"/>
            </w:tcBorders>
            <w:shd w:val="clear" w:color="000000" w:fill="FFFFFF"/>
            <w:noWrap/>
            <w:vAlign w:val="bottom"/>
            <w:hideMark/>
          </w:tcPr>
          <w:p w:rsidR="00F07E05" w:rsidRPr="00096E7D" w:rsidRDefault="00F07E05" w:rsidP="008A253E">
            <w:pPr>
              <w:jc w:val="center"/>
            </w:pPr>
            <w:r w:rsidRPr="00096E7D">
              <w:t>30 721,60</w:t>
            </w:r>
          </w:p>
        </w:tc>
        <w:tc>
          <w:tcPr>
            <w:tcW w:w="1203" w:type="dxa"/>
            <w:tcBorders>
              <w:top w:val="nil"/>
              <w:left w:val="nil"/>
              <w:bottom w:val="single" w:sz="4" w:space="0" w:color="auto"/>
              <w:right w:val="single" w:sz="4" w:space="0" w:color="auto"/>
            </w:tcBorders>
            <w:shd w:val="clear" w:color="000000" w:fill="FFFFFF"/>
            <w:noWrap/>
            <w:vAlign w:val="bottom"/>
            <w:hideMark/>
          </w:tcPr>
          <w:p w:rsidR="00F07E05" w:rsidRPr="00096E7D" w:rsidRDefault="00F07E05" w:rsidP="008A253E">
            <w:pPr>
              <w:jc w:val="center"/>
            </w:pPr>
            <w:r w:rsidRPr="00096E7D">
              <w:t>37,86</w:t>
            </w:r>
          </w:p>
        </w:tc>
        <w:tc>
          <w:tcPr>
            <w:tcW w:w="1323" w:type="dxa"/>
            <w:tcBorders>
              <w:top w:val="nil"/>
              <w:left w:val="nil"/>
              <w:bottom w:val="single" w:sz="4" w:space="0" w:color="auto"/>
              <w:right w:val="single" w:sz="4" w:space="0" w:color="auto"/>
            </w:tcBorders>
            <w:shd w:val="clear" w:color="000000" w:fill="FFFFFF"/>
            <w:noWrap/>
            <w:vAlign w:val="bottom"/>
            <w:hideMark/>
          </w:tcPr>
          <w:p w:rsidR="00F07E05" w:rsidRPr="00096E7D" w:rsidRDefault="00F07E05" w:rsidP="008A253E">
            <w:pPr>
              <w:jc w:val="center"/>
            </w:pPr>
            <w:r w:rsidRPr="00096E7D">
              <w:t>31 950,46</w:t>
            </w:r>
          </w:p>
        </w:tc>
        <w:tc>
          <w:tcPr>
            <w:tcW w:w="1288" w:type="dxa"/>
            <w:tcBorders>
              <w:top w:val="nil"/>
              <w:left w:val="nil"/>
              <w:bottom w:val="single" w:sz="4" w:space="0" w:color="auto"/>
              <w:right w:val="single" w:sz="4" w:space="0" w:color="auto"/>
            </w:tcBorders>
            <w:shd w:val="clear" w:color="000000" w:fill="FFFFFF"/>
            <w:noWrap/>
            <w:vAlign w:val="bottom"/>
            <w:hideMark/>
          </w:tcPr>
          <w:p w:rsidR="00F07E05" w:rsidRPr="00096E7D" w:rsidRDefault="00F07E05" w:rsidP="008A253E">
            <w:pPr>
              <w:jc w:val="center"/>
            </w:pPr>
            <w:r w:rsidRPr="00096E7D">
              <w:t>39,37</w:t>
            </w:r>
          </w:p>
        </w:tc>
        <w:tc>
          <w:tcPr>
            <w:tcW w:w="1323" w:type="dxa"/>
            <w:tcBorders>
              <w:top w:val="nil"/>
              <w:left w:val="nil"/>
              <w:bottom w:val="single" w:sz="4" w:space="0" w:color="auto"/>
              <w:right w:val="single" w:sz="4" w:space="0" w:color="auto"/>
            </w:tcBorders>
            <w:shd w:val="clear" w:color="000000" w:fill="FFFFFF"/>
            <w:noWrap/>
            <w:vAlign w:val="bottom"/>
            <w:hideMark/>
          </w:tcPr>
          <w:p w:rsidR="00F07E05" w:rsidRPr="00096E7D" w:rsidRDefault="00F07E05" w:rsidP="008A253E">
            <w:pPr>
              <w:jc w:val="center"/>
            </w:pPr>
            <w:r w:rsidRPr="00096E7D">
              <w:t>33 228,48</w:t>
            </w:r>
          </w:p>
        </w:tc>
      </w:tr>
      <w:tr w:rsidR="00F07E05" w:rsidTr="008A253E">
        <w:trPr>
          <w:trHeight w:val="615"/>
        </w:trPr>
        <w:tc>
          <w:tcPr>
            <w:tcW w:w="560" w:type="dxa"/>
            <w:tcBorders>
              <w:top w:val="nil"/>
              <w:left w:val="single" w:sz="4" w:space="0" w:color="auto"/>
              <w:bottom w:val="single" w:sz="4" w:space="0" w:color="auto"/>
              <w:right w:val="single" w:sz="4" w:space="0" w:color="auto"/>
            </w:tcBorders>
            <w:shd w:val="clear" w:color="000000" w:fill="FFFFFF"/>
            <w:vAlign w:val="bottom"/>
            <w:hideMark/>
          </w:tcPr>
          <w:p w:rsidR="00F07E05" w:rsidRPr="00096E7D" w:rsidRDefault="00F07E05" w:rsidP="008A253E">
            <w:pPr>
              <w:jc w:val="center"/>
            </w:pPr>
            <w:r w:rsidRPr="00096E7D">
              <w:t>7</w:t>
            </w:r>
          </w:p>
        </w:tc>
        <w:tc>
          <w:tcPr>
            <w:tcW w:w="3675" w:type="dxa"/>
            <w:tcBorders>
              <w:top w:val="nil"/>
              <w:left w:val="nil"/>
              <w:bottom w:val="single" w:sz="4" w:space="0" w:color="auto"/>
              <w:right w:val="single" w:sz="4" w:space="0" w:color="auto"/>
            </w:tcBorders>
            <w:shd w:val="clear" w:color="auto" w:fill="auto"/>
            <w:noWrap/>
            <w:vAlign w:val="bottom"/>
            <w:hideMark/>
          </w:tcPr>
          <w:p w:rsidR="00F07E05" w:rsidRPr="00096E7D" w:rsidRDefault="00F07E05" w:rsidP="008A253E">
            <w:pPr>
              <w:rPr>
                <w:color w:val="000000"/>
              </w:rPr>
            </w:pPr>
            <w:r w:rsidRPr="00096E7D">
              <w:rPr>
                <w:color w:val="000000"/>
              </w:rPr>
              <w:t>ГБУК ТОКГ</w:t>
            </w:r>
          </w:p>
        </w:tc>
        <w:tc>
          <w:tcPr>
            <w:tcW w:w="1173" w:type="dxa"/>
            <w:tcBorders>
              <w:top w:val="nil"/>
              <w:left w:val="nil"/>
              <w:bottom w:val="single" w:sz="4" w:space="0" w:color="auto"/>
              <w:right w:val="single" w:sz="4" w:space="0" w:color="auto"/>
            </w:tcBorders>
            <w:shd w:val="clear" w:color="000000" w:fill="FFFFFF"/>
            <w:noWrap/>
            <w:vAlign w:val="bottom"/>
            <w:hideMark/>
          </w:tcPr>
          <w:p w:rsidR="00F07E05" w:rsidRPr="00096E7D" w:rsidRDefault="00F07E05" w:rsidP="008A253E">
            <w:pPr>
              <w:jc w:val="center"/>
            </w:pPr>
            <w:r w:rsidRPr="00096E7D">
              <w:t>520</w:t>
            </w:r>
          </w:p>
        </w:tc>
        <w:tc>
          <w:tcPr>
            <w:tcW w:w="1210" w:type="dxa"/>
            <w:tcBorders>
              <w:top w:val="nil"/>
              <w:left w:val="nil"/>
              <w:bottom w:val="single" w:sz="4" w:space="0" w:color="auto"/>
              <w:right w:val="single" w:sz="4" w:space="0" w:color="auto"/>
            </w:tcBorders>
            <w:shd w:val="clear" w:color="000000" w:fill="FFFFFF"/>
            <w:noWrap/>
            <w:vAlign w:val="bottom"/>
            <w:hideMark/>
          </w:tcPr>
          <w:p w:rsidR="00F07E05" w:rsidRPr="00096E7D" w:rsidRDefault="00F07E05" w:rsidP="008A253E">
            <w:pPr>
              <w:jc w:val="center"/>
            </w:pPr>
            <w:r w:rsidRPr="00096E7D">
              <w:t>35,00</w:t>
            </w:r>
          </w:p>
        </w:tc>
        <w:tc>
          <w:tcPr>
            <w:tcW w:w="1401" w:type="dxa"/>
            <w:tcBorders>
              <w:top w:val="nil"/>
              <w:left w:val="nil"/>
              <w:bottom w:val="single" w:sz="4" w:space="0" w:color="auto"/>
              <w:right w:val="single" w:sz="4" w:space="0" w:color="auto"/>
            </w:tcBorders>
            <w:shd w:val="clear" w:color="000000" w:fill="FFFFFF"/>
            <w:noWrap/>
            <w:vAlign w:val="bottom"/>
            <w:hideMark/>
          </w:tcPr>
          <w:p w:rsidR="00F07E05" w:rsidRPr="00096E7D" w:rsidRDefault="00F07E05" w:rsidP="008A253E">
            <w:pPr>
              <w:jc w:val="center"/>
            </w:pPr>
            <w:r w:rsidRPr="00096E7D">
              <w:t>18 200,00</w:t>
            </w:r>
          </w:p>
        </w:tc>
        <w:tc>
          <w:tcPr>
            <w:tcW w:w="1203" w:type="dxa"/>
            <w:tcBorders>
              <w:top w:val="nil"/>
              <w:left w:val="nil"/>
              <w:bottom w:val="single" w:sz="4" w:space="0" w:color="auto"/>
              <w:right w:val="single" w:sz="4" w:space="0" w:color="auto"/>
            </w:tcBorders>
            <w:shd w:val="clear" w:color="000000" w:fill="FFFFFF"/>
            <w:noWrap/>
            <w:vAlign w:val="bottom"/>
            <w:hideMark/>
          </w:tcPr>
          <w:p w:rsidR="00F07E05" w:rsidRPr="00096E7D" w:rsidRDefault="00F07E05" w:rsidP="008A253E">
            <w:pPr>
              <w:jc w:val="center"/>
            </w:pPr>
            <w:r w:rsidRPr="00096E7D">
              <w:t>36,40</w:t>
            </w:r>
          </w:p>
        </w:tc>
        <w:tc>
          <w:tcPr>
            <w:tcW w:w="1323" w:type="dxa"/>
            <w:tcBorders>
              <w:top w:val="nil"/>
              <w:left w:val="nil"/>
              <w:bottom w:val="single" w:sz="4" w:space="0" w:color="auto"/>
              <w:right w:val="single" w:sz="4" w:space="0" w:color="auto"/>
            </w:tcBorders>
            <w:shd w:val="clear" w:color="000000" w:fill="FFFFFF"/>
            <w:noWrap/>
            <w:vAlign w:val="bottom"/>
            <w:hideMark/>
          </w:tcPr>
          <w:p w:rsidR="00F07E05" w:rsidRPr="00096E7D" w:rsidRDefault="00F07E05" w:rsidP="008A253E">
            <w:pPr>
              <w:jc w:val="center"/>
            </w:pPr>
            <w:r w:rsidRPr="00096E7D">
              <w:t>18 928,00</w:t>
            </w:r>
          </w:p>
        </w:tc>
        <w:tc>
          <w:tcPr>
            <w:tcW w:w="1203" w:type="dxa"/>
            <w:tcBorders>
              <w:top w:val="nil"/>
              <w:left w:val="nil"/>
              <w:bottom w:val="single" w:sz="4" w:space="0" w:color="auto"/>
              <w:right w:val="single" w:sz="4" w:space="0" w:color="auto"/>
            </w:tcBorders>
            <w:shd w:val="clear" w:color="000000" w:fill="FFFFFF"/>
            <w:noWrap/>
            <w:vAlign w:val="bottom"/>
            <w:hideMark/>
          </w:tcPr>
          <w:p w:rsidR="00F07E05" w:rsidRPr="00096E7D" w:rsidRDefault="00F07E05" w:rsidP="008A253E">
            <w:pPr>
              <w:jc w:val="center"/>
            </w:pPr>
            <w:r w:rsidRPr="00096E7D">
              <w:t>37,86</w:t>
            </w:r>
          </w:p>
        </w:tc>
        <w:tc>
          <w:tcPr>
            <w:tcW w:w="1323" w:type="dxa"/>
            <w:tcBorders>
              <w:top w:val="nil"/>
              <w:left w:val="nil"/>
              <w:bottom w:val="single" w:sz="4" w:space="0" w:color="auto"/>
              <w:right w:val="single" w:sz="4" w:space="0" w:color="auto"/>
            </w:tcBorders>
            <w:shd w:val="clear" w:color="000000" w:fill="FFFFFF"/>
            <w:noWrap/>
            <w:vAlign w:val="bottom"/>
            <w:hideMark/>
          </w:tcPr>
          <w:p w:rsidR="00F07E05" w:rsidRPr="00096E7D" w:rsidRDefault="00F07E05" w:rsidP="008A253E">
            <w:pPr>
              <w:jc w:val="center"/>
            </w:pPr>
            <w:r w:rsidRPr="00096E7D">
              <w:t>19 685,12</w:t>
            </w:r>
          </w:p>
        </w:tc>
        <w:tc>
          <w:tcPr>
            <w:tcW w:w="1288" w:type="dxa"/>
            <w:tcBorders>
              <w:top w:val="nil"/>
              <w:left w:val="nil"/>
              <w:bottom w:val="single" w:sz="4" w:space="0" w:color="auto"/>
              <w:right w:val="single" w:sz="4" w:space="0" w:color="auto"/>
            </w:tcBorders>
            <w:shd w:val="clear" w:color="000000" w:fill="FFFFFF"/>
            <w:noWrap/>
            <w:vAlign w:val="bottom"/>
            <w:hideMark/>
          </w:tcPr>
          <w:p w:rsidR="00F07E05" w:rsidRPr="00096E7D" w:rsidRDefault="00F07E05" w:rsidP="008A253E">
            <w:pPr>
              <w:jc w:val="center"/>
            </w:pPr>
            <w:r w:rsidRPr="00096E7D">
              <w:t>39,37</w:t>
            </w:r>
          </w:p>
        </w:tc>
        <w:tc>
          <w:tcPr>
            <w:tcW w:w="1323" w:type="dxa"/>
            <w:tcBorders>
              <w:top w:val="nil"/>
              <w:left w:val="nil"/>
              <w:bottom w:val="single" w:sz="4" w:space="0" w:color="auto"/>
              <w:right w:val="single" w:sz="4" w:space="0" w:color="auto"/>
            </w:tcBorders>
            <w:shd w:val="clear" w:color="000000" w:fill="FFFFFF"/>
            <w:noWrap/>
            <w:vAlign w:val="bottom"/>
            <w:hideMark/>
          </w:tcPr>
          <w:p w:rsidR="00F07E05" w:rsidRPr="00096E7D" w:rsidRDefault="00F07E05" w:rsidP="008A253E">
            <w:pPr>
              <w:jc w:val="center"/>
            </w:pPr>
            <w:r w:rsidRPr="00096E7D">
              <w:t>20 472,52</w:t>
            </w:r>
          </w:p>
        </w:tc>
      </w:tr>
      <w:tr w:rsidR="00F07E05" w:rsidTr="008A253E">
        <w:trPr>
          <w:trHeight w:val="300"/>
        </w:trPr>
        <w:tc>
          <w:tcPr>
            <w:tcW w:w="560" w:type="dxa"/>
            <w:tcBorders>
              <w:top w:val="nil"/>
              <w:left w:val="single" w:sz="4" w:space="0" w:color="auto"/>
              <w:bottom w:val="single" w:sz="4" w:space="0" w:color="auto"/>
              <w:right w:val="single" w:sz="4" w:space="0" w:color="auto"/>
            </w:tcBorders>
            <w:shd w:val="clear" w:color="000000" w:fill="FFFFFF"/>
            <w:vAlign w:val="bottom"/>
            <w:hideMark/>
          </w:tcPr>
          <w:p w:rsidR="00F07E05" w:rsidRPr="00096E7D" w:rsidRDefault="00F07E05" w:rsidP="008A253E">
            <w:pPr>
              <w:jc w:val="center"/>
            </w:pPr>
            <w:r w:rsidRPr="00096E7D">
              <w:t>8</w:t>
            </w:r>
          </w:p>
        </w:tc>
        <w:tc>
          <w:tcPr>
            <w:tcW w:w="3675" w:type="dxa"/>
            <w:tcBorders>
              <w:top w:val="nil"/>
              <w:left w:val="nil"/>
              <w:bottom w:val="single" w:sz="4" w:space="0" w:color="auto"/>
              <w:right w:val="single" w:sz="4" w:space="0" w:color="auto"/>
            </w:tcBorders>
            <w:shd w:val="clear" w:color="auto" w:fill="auto"/>
            <w:noWrap/>
            <w:vAlign w:val="bottom"/>
            <w:hideMark/>
          </w:tcPr>
          <w:p w:rsidR="00F07E05" w:rsidRPr="00096E7D" w:rsidRDefault="00F07E05" w:rsidP="008A253E">
            <w:pPr>
              <w:rPr>
                <w:color w:val="000000"/>
              </w:rPr>
            </w:pPr>
            <w:r w:rsidRPr="00096E7D">
              <w:rPr>
                <w:color w:val="000000"/>
              </w:rPr>
              <w:t>ГБПОУ ТХК м. А.Г. Венецианова"</w:t>
            </w:r>
          </w:p>
        </w:tc>
        <w:tc>
          <w:tcPr>
            <w:tcW w:w="1173" w:type="dxa"/>
            <w:tcBorders>
              <w:top w:val="nil"/>
              <w:left w:val="nil"/>
              <w:bottom w:val="single" w:sz="4" w:space="0" w:color="auto"/>
              <w:right w:val="single" w:sz="4" w:space="0" w:color="auto"/>
            </w:tcBorders>
            <w:shd w:val="clear" w:color="000000" w:fill="FFFFFF"/>
            <w:noWrap/>
            <w:vAlign w:val="bottom"/>
            <w:hideMark/>
          </w:tcPr>
          <w:p w:rsidR="00F07E05" w:rsidRPr="00096E7D" w:rsidRDefault="00F07E05" w:rsidP="008A253E">
            <w:pPr>
              <w:jc w:val="center"/>
            </w:pPr>
            <w:r w:rsidRPr="00096E7D">
              <w:t>200</w:t>
            </w:r>
          </w:p>
        </w:tc>
        <w:tc>
          <w:tcPr>
            <w:tcW w:w="1210" w:type="dxa"/>
            <w:tcBorders>
              <w:top w:val="nil"/>
              <w:left w:val="nil"/>
              <w:bottom w:val="single" w:sz="4" w:space="0" w:color="auto"/>
              <w:right w:val="single" w:sz="4" w:space="0" w:color="auto"/>
            </w:tcBorders>
            <w:shd w:val="clear" w:color="000000" w:fill="FFFFFF"/>
            <w:noWrap/>
            <w:vAlign w:val="bottom"/>
            <w:hideMark/>
          </w:tcPr>
          <w:p w:rsidR="00F07E05" w:rsidRPr="00096E7D" w:rsidRDefault="00F07E05" w:rsidP="008A253E">
            <w:pPr>
              <w:jc w:val="center"/>
            </w:pPr>
            <w:r w:rsidRPr="00096E7D">
              <w:t>35,00</w:t>
            </w:r>
          </w:p>
        </w:tc>
        <w:tc>
          <w:tcPr>
            <w:tcW w:w="1401" w:type="dxa"/>
            <w:tcBorders>
              <w:top w:val="nil"/>
              <w:left w:val="nil"/>
              <w:bottom w:val="single" w:sz="4" w:space="0" w:color="auto"/>
              <w:right w:val="single" w:sz="4" w:space="0" w:color="auto"/>
            </w:tcBorders>
            <w:shd w:val="clear" w:color="000000" w:fill="FFFFFF"/>
            <w:noWrap/>
            <w:vAlign w:val="bottom"/>
            <w:hideMark/>
          </w:tcPr>
          <w:p w:rsidR="00F07E05" w:rsidRPr="00096E7D" w:rsidRDefault="00F07E05" w:rsidP="008A253E">
            <w:pPr>
              <w:jc w:val="center"/>
            </w:pPr>
            <w:r w:rsidRPr="00096E7D">
              <w:t>7 000,00</w:t>
            </w:r>
          </w:p>
        </w:tc>
        <w:tc>
          <w:tcPr>
            <w:tcW w:w="1203" w:type="dxa"/>
            <w:tcBorders>
              <w:top w:val="nil"/>
              <w:left w:val="nil"/>
              <w:bottom w:val="single" w:sz="4" w:space="0" w:color="auto"/>
              <w:right w:val="single" w:sz="4" w:space="0" w:color="auto"/>
            </w:tcBorders>
            <w:shd w:val="clear" w:color="000000" w:fill="FFFFFF"/>
            <w:noWrap/>
            <w:vAlign w:val="bottom"/>
            <w:hideMark/>
          </w:tcPr>
          <w:p w:rsidR="00F07E05" w:rsidRPr="00096E7D" w:rsidRDefault="00F07E05" w:rsidP="008A253E">
            <w:pPr>
              <w:jc w:val="center"/>
            </w:pPr>
            <w:r w:rsidRPr="00096E7D">
              <w:t>36,40</w:t>
            </w:r>
          </w:p>
        </w:tc>
        <w:tc>
          <w:tcPr>
            <w:tcW w:w="1323" w:type="dxa"/>
            <w:tcBorders>
              <w:top w:val="nil"/>
              <w:left w:val="nil"/>
              <w:bottom w:val="single" w:sz="4" w:space="0" w:color="auto"/>
              <w:right w:val="single" w:sz="4" w:space="0" w:color="auto"/>
            </w:tcBorders>
            <w:shd w:val="clear" w:color="000000" w:fill="FFFFFF"/>
            <w:noWrap/>
            <w:vAlign w:val="bottom"/>
            <w:hideMark/>
          </w:tcPr>
          <w:p w:rsidR="00F07E05" w:rsidRPr="00096E7D" w:rsidRDefault="00F07E05" w:rsidP="008A253E">
            <w:pPr>
              <w:jc w:val="center"/>
            </w:pPr>
            <w:r w:rsidRPr="00096E7D">
              <w:t>7 280,00</w:t>
            </w:r>
          </w:p>
        </w:tc>
        <w:tc>
          <w:tcPr>
            <w:tcW w:w="1203" w:type="dxa"/>
            <w:tcBorders>
              <w:top w:val="nil"/>
              <w:left w:val="nil"/>
              <w:bottom w:val="single" w:sz="4" w:space="0" w:color="auto"/>
              <w:right w:val="single" w:sz="4" w:space="0" w:color="auto"/>
            </w:tcBorders>
            <w:shd w:val="clear" w:color="000000" w:fill="FFFFFF"/>
            <w:noWrap/>
            <w:vAlign w:val="bottom"/>
            <w:hideMark/>
          </w:tcPr>
          <w:p w:rsidR="00F07E05" w:rsidRPr="00096E7D" w:rsidRDefault="00F07E05" w:rsidP="008A253E">
            <w:pPr>
              <w:jc w:val="center"/>
            </w:pPr>
            <w:r w:rsidRPr="00096E7D">
              <w:t>37,86</w:t>
            </w:r>
          </w:p>
        </w:tc>
        <w:tc>
          <w:tcPr>
            <w:tcW w:w="1323" w:type="dxa"/>
            <w:tcBorders>
              <w:top w:val="nil"/>
              <w:left w:val="nil"/>
              <w:bottom w:val="single" w:sz="4" w:space="0" w:color="auto"/>
              <w:right w:val="single" w:sz="4" w:space="0" w:color="auto"/>
            </w:tcBorders>
            <w:shd w:val="clear" w:color="000000" w:fill="FFFFFF"/>
            <w:noWrap/>
            <w:vAlign w:val="bottom"/>
            <w:hideMark/>
          </w:tcPr>
          <w:p w:rsidR="00F07E05" w:rsidRPr="00096E7D" w:rsidRDefault="00F07E05" w:rsidP="008A253E">
            <w:pPr>
              <w:jc w:val="center"/>
            </w:pPr>
            <w:r w:rsidRPr="00096E7D">
              <w:t>7 571,20</w:t>
            </w:r>
          </w:p>
        </w:tc>
        <w:tc>
          <w:tcPr>
            <w:tcW w:w="1288" w:type="dxa"/>
            <w:tcBorders>
              <w:top w:val="nil"/>
              <w:left w:val="nil"/>
              <w:bottom w:val="single" w:sz="4" w:space="0" w:color="auto"/>
              <w:right w:val="single" w:sz="4" w:space="0" w:color="auto"/>
            </w:tcBorders>
            <w:shd w:val="clear" w:color="000000" w:fill="FFFFFF"/>
            <w:noWrap/>
            <w:vAlign w:val="bottom"/>
            <w:hideMark/>
          </w:tcPr>
          <w:p w:rsidR="00F07E05" w:rsidRPr="00096E7D" w:rsidRDefault="00F07E05" w:rsidP="008A253E">
            <w:pPr>
              <w:jc w:val="center"/>
            </w:pPr>
            <w:r w:rsidRPr="00096E7D">
              <w:t>39,37</w:t>
            </w:r>
          </w:p>
        </w:tc>
        <w:tc>
          <w:tcPr>
            <w:tcW w:w="1323" w:type="dxa"/>
            <w:tcBorders>
              <w:top w:val="nil"/>
              <w:left w:val="nil"/>
              <w:bottom w:val="single" w:sz="4" w:space="0" w:color="auto"/>
              <w:right w:val="single" w:sz="4" w:space="0" w:color="auto"/>
            </w:tcBorders>
            <w:shd w:val="clear" w:color="000000" w:fill="FFFFFF"/>
            <w:noWrap/>
            <w:vAlign w:val="bottom"/>
            <w:hideMark/>
          </w:tcPr>
          <w:p w:rsidR="00F07E05" w:rsidRPr="00096E7D" w:rsidRDefault="00F07E05" w:rsidP="008A253E">
            <w:pPr>
              <w:jc w:val="center"/>
            </w:pPr>
            <w:r w:rsidRPr="00096E7D">
              <w:t>7 874,05</w:t>
            </w:r>
          </w:p>
        </w:tc>
      </w:tr>
      <w:tr w:rsidR="00F07E05" w:rsidTr="008A253E">
        <w:trPr>
          <w:trHeight w:val="454"/>
        </w:trPr>
        <w:tc>
          <w:tcPr>
            <w:tcW w:w="560" w:type="dxa"/>
            <w:tcBorders>
              <w:top w:val="nil"/>
              <w:left w:val="single" w:sz="4" w:space="0" w:color="auto"/>
              <w:bottom w:val="single" w:sz="4" w:space="0" w:color="auto"/>
              <w:right w:val="single" w:sz="4" w:space="0" w:color="auto"/>
            </w:tcBorders>
            <w:shd w:val="clear" w:color="000000" w:fill="FFFFFF"/>
            <w:vAlign w:val="bottom"/>
            <w:hideMark/>
          </w:tcPr>
          <w:p w:rsidR="00F07E05" w:rsidRPr="00096E7D" w:rsidRDefault="00F07E05" w:rsidP="008A253E">
            <w:pPr>
              <w:jc w:val="center"/>
            </w:pPr>
            <w:r w:rsidRPr="00096E7D">
              <w:t>9</w:t>
            </w:r>
          </w:p>
        </w:tc>
        <w:tc>
          <w:tcPr>
            <w:tcW w:w="3675" w:type="dxa"/>
            <w:tcBorders>
              <w:top w:val="nil"/>
              <w:left w:val="nil"/>
              <w:bottom w:val="single" w:sz="4" w:space="0" w:color="auto"/>
              <w:right w:val="single" w:sz="4" w:space="0" w:color="auto"/>
            </w:tcBorders>
            <w:shd w:val="clear" w:color="auto" w:fill="auto"/>
            <w:noWrap/>
            <w:vAlign w:val="bottom"/>
            <w:hideMark/>
          </w:tcPr>
          <w:p w:rsidR="00F07E05" w:rsidRPr="00096E7D" w:rsidRDefault="00F07E05" w:rsidP="008A253E">
            <w:pPr>
              <w:rPr>
                <w:color w:val="000000"/>
              </w:rPr>
            </w:pPr>
            <w:r w:rsidRPr="00096E7D">
              <w:rPr>
                <w:color w:val="000000"/>
              </w:rPr>
              <w:t>ГАУ "МФЦ"</w:t>
            </w:r>
          </w:p>
        </w:tc>
        <w:tc>
          <w:tcPr>
            <w:tcW w:w="1173" w:type="dxa"/>
            <w:tcBorders>
              <w:top w:val="nil"/>
              <w:left w:val="nil"/>
              <w:bottom w:val="single" w:sz="4" w:space="0" w:color="auto"/>
              <w:right w:val="single" w:sz="4" w:space="0" w:color="auto"/>
            </w:tcBorders>
            <w:shd w:val="clear" w:color="000000" w:fill="FFFFFF"/>
            <w:noWrap/>
            <w:vAlign w:val="bottom"/>
            <w:hideMark/>
          </w:tcPr>
          <w:p w:rsidR="00F07E05" w:rsidRPr="00096E7D" w:rsidRDefault="00F07E05" w:rsidP="008A253E">
            <w:pPr>
              <w:jc w:val="center"/>
            </w:pPr>
            <w:r w:rsidRPr="00096E7D">
              <w:t>1743</w:t>
            </w:r>
          </w:p>
        </w:tc>
        <w:tc>
          <w:tcPr>
            <w:tcW w:w="1210" w:type="dxa"/>
            <w:tcBorders>
              <w:top w:val="nil"/>
              <w:left w:val="nil"/>
              <w:bottom w:val="single" w:sz="4" w:space="0" w:color="auto"/>
              <w:right w:val="single" w:sz="4" w:space="0" w:color="auto"/>
            </w:tcBorders>
            <w:shd w:val="clear" w:color="000000" w:fill="FFFFFF"/>
            <w:noWrap/>
            <w:vAlign w:val="bottom"/>
            <w:hideMark/>
          </w:tcPr>
          <w:p w:rsidR="00F07E05" w:rsidRPr="00096E7D" w:rsidRDefault="00F07E05" w:rsidP="008A253E">
            <w:pPr>
              <w:jc w:val="center"/>
            </w:pPr>
            <w:r w:rsidRPr="00096E7D">
              <w:t>35,00</w:t>
            </w:r>
          </w:p>
        </w:tc>
        <w:tc>
          <w:tcPr>
            <w:tcW w:w="1401" w:type="dxa"/>
            <w:tcBorders>
              <w:top w:val="nil"/>
              <w:left w:val="nil"/>
              <w:bottom w:val="single" w:sz="4" w:space="0" w:color="auto"/>
              <w:right w:val="single" w:sz="4" w:space="0" w:color="auto"/>
            </w:tcBorders>
            <w:shd w:val="clear" w:color="000000" w:fill="FFFFFF"/>
            <w:noWrap/>
            <w:vAlign w:val="bottom"/>
            <w:hideMark/>
          </w:tcPr>
          <w:p w:rsidR="00F07E05" w:rsidRPr="00096E7D" w:rsidRDefault="00F07E05" w:rsidP="008A253E">
            <w:pPr>
              <w:jc w:val="center"/>
            </w:pPr>
            <w:r w:rsidRPr="00096E7D">
              <w:t>61 005,00</w:t>
            </w:r>
          </w:p>
        </w:tc>
        <w:tc>
          <w:tcPr>
            <w:tcW w:w="1203" w:type="dxa"/>
            <w:tcBorders>
              <w:top w:val="nil"/>
              <w:left w:val="nil"/>
              <w:bottom w:val="single" w:sz="4" w:space="0" w:color="auto"/>
              <w:right w:val="single" w:sz="4" w:space="0" w:color="auto"/>
            </w:tcBorders>
            <w:shd w:val="clear" w:color="000000" w:fill="FFFFFF"/>
            <w:noWrap/>
            <w:vAlign w:val="bottom"/>
            <w:hideMark/>
          </w:tcPr>
          <w:p w:rsidR="00F07E05" w:rsidRPr="00096E7D" w:rsidRDefault="00F07E05" w:rsidP="008A253E">
            <w:pPr>
              <w:jc w:val="center"/>
            </w:pPr>
            <w:r w:rsidRPr="00096E7D">
              <w:t>36,40</w:t>
            </w:r>
          </w:p>
        </w:tc>
        <w:tc>
          <w:tcPr>
            <w:tcW w:w="1323" w:type="dxa"/>
            <w:tcBorders>
              <w:top w:val="nil"/>
              <w:left w:val="nil"/>
              <w:bottom w:val="single" w:sz="4" w:space="0" w:color="auto"/>
              <w:right w:val="single" w:sz="4" w:space="0" w:color="auto"/>
            </w:tcBorders>
            <w:shd w:val="clear" w:color="000000" w:fill="FFFFFF"/>
            <w:noWrap/>
            <w:vAlign w:val="bottom"/>
            <w:hideMark/>
          </w:tcPr>
          <w:p w:rsidR="00F07E05" w:rsidRPr="00096E7D" w:rsidRDefault="00F07E05" w:rsidP="008A253E">
            <w:pPr>
              <w:jc w:val="center"/>
            </w:pPr>
            <w:r w:rsidRPr="00096E7D">
              <w:t>63 445,20</w:t>
            </w:r>
          </w:p>
        </w:tc>
        <w:tc>
          <w:tcPr>
            <w:tcW w:w="1203" w:type="dxa"/>
            <w:tcBorders>
              <w:top w:val="nil"/>
              <w:left w:val="nil"/>
              <w:bottom w:val="single" w:sz="4" w:space="0" w:color="auto"/>
              <w:right w:val="single" w:sz="4" w:space="0" w:color="auto"/>
            </w:tcBorders>
            <w:shd w:val="clear" w:color="000000" w:fill="FFFFFF"/>
            <w:noWrap/>
            <w:vAlign w:val="bottom"/>
            <w:hideMark/>
          </w:tcPr>
          <w:p w:rsidR="00F07E05" w:rsidRPr="00096E7D" w:rsidRDefault="00F07E05" w:rsidP="008A253E">
            <w:pPr>
              <w:jc w:val="center"/>
            </w:pPr>
            <w:r w:rsidRPr="00096E7D">
              <w:t>37,86</w:t>
            </w:r>
          </w:p>
        </w:tc>
        <w:tc>
          <w:tcPr>
            <w:tcW w:w="1323" w:type="dxa"/>
            <w:tcBorders>
              <w:top w:val="nil"/>
              <w:left w:val="nil"/>
              <w:bottom w:val="single" w:sz="4" w:space="0" w:color="auto"/>
              <w:right w:val="single" w:sz="4" w:space="0" w:color="auto"/>
            </w:tcBorders>
            <w:shd w:val="clear" w:color="000000" w:fill="FFFFFF"/>
            <w:noWrap/>
            <w:vAlign w:val="bottom"/>
            <w:hideMark/>
          </w:tcPr>
          <w:p w:rsidR="00F07E05" w:rsidRPr="00096E7D" w:rsidRDefault="00F07E05" w:rsidP="008A253E">
            <w:pPr>
              <w:jc w:val="center"/>
            </w:pPr>
            <w:r w:rsidRPr="00096E7D">
              <w:t>65 983,01</w:t>
            </w:r>
          </w:p>
        </w:tc>
        <w:tc>
          <w:tcPr>
            <w:tcW w:w="1288" w:type="dxa"/>
            <w:tcBorders>
              <w:top w:val="nil"/>
              <w:left w:val="nil"/>
              <w:bottom w:val="single" w:sz="4" w:space="0" w:color="auto"/>
              <w:right w:val="single" w:sz="4" w:space="0" w:color="auto"/>
            </w:tcBorders>
            <w:shd w:val="clear" w:color="000000" w:fill="FFFFFF"/>
            <w:noWrap/>
            <w:vAlign w:val="bottom"/>
            <w:hideMark/>
          </w:tcPr>
          <w:p w:rsidR="00F07E05" w:rsidRPr="00096E7D" w:rsidRDefault="00F07E05" w:rsidP="008A253E">
            <w:pPr>
              <w:jc w:val="center"/>
            </w:pPr>
            <w:r w:rsidRPr="00096E7D">
              <w:t>39,37</w:t>
            </w:r>
          </w:p>
        </w:tc>
        <w:tc>
          <w:tcPr>
            <w:tcW w:w="1323" w:type="dxa"/>
            <w:tcBorders>
              <w:top w:val="nil"/>
              <w:left w:val="nil"/>
              <w:bottom w:val="single" w:sz="4" w:space="0" w:color="auto"/>
              <w:right w:val="single" w:sz="4" w:space="0" w:color="auto"/>
            </w:tcBorders>
            <w:shd w:val="clear" w:color="000000" w:fill="FFFFFF"/>
            <w:noWrap/>
            <w:vAlign w:val="bottom"/>
            <w:hideMark/>
          </w:tcPr>
          <w:p w:rsidR="00F07E05" w:rsidRPr="00096E7D" w:rsidRDefault="00F07E05" w:rsidP="008A253E">
            <w:pPr>
              <w:jc w:val="center"/>
            </w:pPr>
            <w:r w:rsidRPr="00096E7D">
              <w:t>68 622,33</w:t>
            </w:r>
          </w:p>
        </w:tc>
      </w:tr>
      <w:tr w:rsidR="00F07E05" w:rsidTr="008A253E">
        <w:trPr>
          <w:trHeight w:val="645"/>
        </w:trPr>
        <w:tc>
          <w:tcPr>
            <w:tcW w:w="560" w:type="dxa"/>
            <w:tcBorders>
              <w:top w:val="nil"/>
              <w:left w:val="single" w:sz="4" w:space="0" w:color="auto"/>
              <w:bottom w:val="single" w:sz="4" w:space="0" w:color="auto"/>
              <w:right w:val="single" w:sz="4" w:space="0" w:color="auto"/>
            </w:tcBorders>
            <w:shd w:val="clear" w:color="000000" w:fill="FFFFFF"/>
            <w:vAlign w:val="bottom"/>
            <w:hideMark/>
          </w:tcPr>
          <w:p w:rsidR="00F07E05" w:rsidRPr="00096E7D" w:rsidRDefault="00F07E05" w:rsidP="008A253E">
            <w:pPr>
              <w:jc w:val="center"/>
            </w:pPr>
            <w:r w:rsidRPr="00096E7D">
              <w:t>10</w:t>
            </w:r>
          </w:p>
        </w:tc>
        <w:tc>
          <w:tcPr>
            <w:tcW w:w="3675" w:type="dxa"/>
            <w:tcBorders>
              <w:top w:val="nil"/>
              <w:left w:val="nil"/>
              <w:bottom w:val="single" w:sz="4" w:space="0" w:color="auto"/>
              <w:right w:val="single" w:sz="4" w:space="0" w:color="auto"/>
            </w:tcBorders>
            <w:shd w:val="clear" w:color="auto" w:fill="auto"/>
            <w:noWrap/>
            <w:vAlign w:val="bottom"/>
            <w:hideMark/>
          </w:tcPr>
          <w:p w:rsidR="00F07E05" w:rsidRPr="00096E7D" w:rsidRDefault="00F07E05" w:rsidP="008A253E">
            <w:pPr>
              <w:rPr>
                <w:color w:val="000000"/>
              </w:rPr>
            </w:pPr>
            <w:r w:rsidRPr="00096E7D">
              <w:rPr>
                <w:color w:val="000000"/>
              </w:rPr>
              <w:t>Станция юных нтуралистов</w:t>
            </w:r>
          </w:p>
        </w:tc>
        <w:tc>
          <w:tcPr>
            <w:tcW w:w="1173" w:type="dxa"/>
            <w:tcBorders>
              <w:top w:val="nil"/>
              <w:left w:val="nil"/>
              <w:bottom w:val="single" w:sz="4" w:space="0" w:color="auto"/>
              <w:right w:val="single" w:sz="4" w:space="0" w:color="auto"/>
            </w:tcBorders>
            <w:shd w:val="clear" w:color="000000" w:fill="FFFFFF"/>
            <w:noWrap/>
            <w:vAlign w:val="bottom"/>
            <w:hideMark/>
          </w:tcPr>
          <w:p w:rsidR="00F07E05" w:rsidRPr="00096E7D" w:rsidRDefault="00F07E05" w:rsidP="008A253E">
            <w:pPr>
              <w:jc w:val="center"/>
            </w:pPr>
            <w:r w:rsidRPr="00096E7D">
              <w:t>400</w:t>
            </w:r>
          </w:p>
        </w:tc>
        <w:tc>
          <w:tcPr>
            <w:tcW w:w="1210" w:type="dxa"/>
            <w:tcBorders>
              <w:top w:val="nil"/>
              <w:left w:val="nil"/>
              <w:bottom w:val="single" w:sz="4" w:space="0" w:color="auto"/>
              <w:right w:val="single" w:sz="4" w:space="0" w:color="auto"/>
            </w:tcBorders>
            <w:shd w:val="clear" w:color="000000" w:fill="FFFFFF"/>
            <w:noWrap/>
            <w:vAlign w:val="bottom"/>
            <w:hideMark/>
          </w:tcPr>
          <w:p w:rsidR="00F07E05" w:rsidRPr="00096E7D" w:rsidRDefault="00F07E05" w:rsidP="008A253E">
            <w:pPr>
              <w:jc w:val="center"/>
            </w:pPr>
            <w:r w:rsidRPr="00096E7D">
              <w:t>35,00</w:t>
            </w:r>
          </w:p>
        </w:tc>
        <w:tc>
          <w:tcPr>
            <w:tcW w:w="1401" w:type="dxa"/>
            <w:tcBorders>
              <w:top w:val="nil"/>
              <w:left w:val="nil"/>
              <w:bottom w:val="single" w:sz="4" w:space="0" w:color="auto"/>
              <w:right w:val="single" w:sz="4" w:space="0" w:color="auto"/>
            </w:tcBorders>
            <w:shd w:val="clear" w:color="000000" w:fill="FFFFFF"/>
            <w:noWrap/>
            <w:vAlign w:val="bottom"/>
            <w:hideMark/>
          </w:tcPr>
          <w:p w:rsidR="00F07E05" w:rsidRPr="00096E7D" w:rsidRDefault="00F07E05" w:rsidP="008A253E">
            <w:pPr>
              <w:jc w:val="center"/>
            </w:pPr>
            <w:r w:rsidRPr="00096E7D">
              <w:t>14 000,00</w:t>
            </w:r>
          </w:p>
        </w:tc>
        <w:tc>
          <w:tcPr>
            <w:tcW w:w="1203" w:type="dxa"/>
            <w:tcBorders>
              <w:top w:val="nil"/>
              <w:left w:val="nil"/>
              <w:bottom w:val="single" w:sz="4" w:space="0" w:color="auto"/>
              <w:right w:val="single" w:sz="4" w:space="0" w:color="auto"/>
            </w:tcBorders>
            <w:shd w:val="clear" w:color="000000" w:fill="FFFFFF"/>
            <w:noWrap/>
            <w:vAlign w:val="bottom"/>
            <w:hideMark/>
          </w:tcPr>
          <w:p w:rsidR="00F07E05" w:rsidRPr="00096E7D" w:rsidRDefault="00F07E05" w:rsidP="008A253E">
            <w:pPr>
              <w:jc w:val="center"/>
            </w:pPr>
            <w:r w:rsidRPr="00096E7D">
              <w:t>36,40</w:t>
            </w:r>
          </w:p>
        </w:tc>
        <w:tc>
          <w:tcPr>
            <w:tcW w:w="1323" w:type="dxa"/>
            <w:tcBorders>
              <w:top w:val="nil"/>
              <w:left w:val="nil"/>
              <w:bottom w:val="single" w:sz="4" w:space="0" w:color="auto"/>
              <w:right w:val="single" w:sz="4" w:space="0" w:color="auto"/>
            </w:tcBorders>
            <w:shd w:val="clear" w:color="000000" w:fill="FFFFFF"/>
            <w:noWrap/>
            <w:vAlign w:val="bottom"/>
            <w:hideMark/>
          </w:tcPr>
          <w:p w:rsidR="00F07E05" w:rsidRPr="00096E7D" w:rsidRDefault="00F07E05" w:rsidP="008A253E">
            <w:pPr>
              <w:jc w:val="center"/>
            </w:pPr>
            <w:r w:rsidRPr="00096E7D">
              <w:t>14 560,00</w:t>
            </w:r>
          </w:p>
        </w:tc>
        <w:tc>
          <w:tcPr>
            <w:tcW w:w="1203" w:type="dxa"/>
            <w:tcBorders>
              <w:top w:val="nil"/>
              <w:left w:val="nil"/>
              <w:bottom w:val="single" w:sz="4" w:space="0" w:color="auto"/>
              <w:right w:val="single" w:sz="4" w:space="0" w:color="auto"/>
            </w:tcBorders>
            <w:shd w:val="clear" w:color="000000" w:fill="FFFFFF"/>
            <w:noWrap/>
            <w:vAlign w:val="bottom"/>
            <w:hideMark/>
          </w:tcPr>
          <w:p w:rsidR="00F07E05" w:rsidRPr="00096E7D" w:rsidRDefault="00F07E05" w:rsidP="008A253E">
            <w:pPr>
              <w:jc w:val="center"/>
            </w:pPr>
            <w:r w:rsidRPr="00096E7D">
              <w:t>37,86</w:t>
            </w:r>
          </w:p>
        </w:tc>
        <w:tc>
          <w:tcPr>
            <w:tcW w:w="1323" w:type="dxa"/>
            <w:tcBorders>
              <w:top w:val="nil"/>
              <w:left w:val="nil"/>
              <w:bottom w:val="single" w:sz="4" w:space="0" w:color="auto"/>
              <w:right w:val="single" w:sz="4" w:space="0" w:color="auto"/>
            </w:tcBorders>
            <w:shd w:val="clear" w:color="000000" w:fill="FFFFFF"/>
            <w:noWrap/>
            <w:vAlign w:val="bottom"/>
            <w:hideMark/>
          </w:tcPr>
          <w:p w:rsidR="00F07E05" w:rsidRPr="00096E7D" w:rsidRDefault="00F07E05" w:rsidP="008A253E">
            <w:pPr>
              <w:jc w:val="center"/>
            </w:pPr>
            <w:r w:rsidRPr="00096E7D">
              <w:t>15 142,40</w:t>
            </w:r>
          </w:p>
        </w:tc>
        <w:tc>
          <w:tcPr>
            <w:tcW w:w="1288" w:type="dxa"/>
            <w:tcBorders>
              <w:top w:val="nil"/>
              <w:left w:val="nil"/>
              <w:bottom w:val="single" w:sz="4" w:space="0" w:color="auto"/>
              <w:right w:val="single" w:sz="4" w:space="0" w:color="auto"/>
            </w:tcBorders>
            <w:shd w:val="clear" w:color="000000" w:fill="FFFFFF"/>
            <w:noWrap/>
            <w:vAlign w:val="bottom"/>
            <w:hideMark/>
          </w:tcPr>
          <w:p w:rsidR="00F07E05" w:rsidRPr="00096E7D" w:rsidRDefault="00F07E05" w:rsidP="008A253E">
            <w:pPr>
              <w:jc w:val="center"/>
            </w:pPr>
            <w:r w:rsidRPr="00096E7D">
              <w:t>39,37</w:t>
            </w:r>
          </w:p>
        </w:tc>
        <w:tc>
          <w:tcPr>
            <w:tcW w:w="1323" w:type="dxa"/>
            <w:tcBorders>
              <w:top w:val="nil"/>
              <w:left w:val="nil"/>
              <w:bottom w:val="single" w:sz="4" w:space="0" w:color="auto"/>
              <w:right w:val="single" w:sz="4" w:space="0" w:color="auto"/>
            </w:tcBorders>
            <w:shd w:val="clear" w:color="000000" w:fill="FFFFFF"/>
            <w:noWrap/>
            <w:vAlign w:val="bottom"/>
            <w:hideMark/>
          </w:tcPr>
          <w:p w:rsidR="00F07E05" w:rsidRPr="00096E7D" w:rsidRDefault="00F07E05" w:rsidP="008A253E">
            <w:pPr>
              <w:jc w:val="center"/>
            </w:pPr>
            <w:r w:rsidRPr="00096E7D">
              <w:t>15 748,10</w:t>
            </w:r>
          </w:p>
        </w:tc>
      </w:tr>
      <w:tr w:rsidR="00F07E05" w:rsidTr="008A253E">
        <w:trPr>
          <w:trHeight w:val="645"/>
        </w:trPr>
        <w:tc>
          <w:tcPr>
            <w:tcW w:w="560" w:type="dxa"/>
            <w:tcBorders>
              <w:top w:val="nil"/>
              <w:left w:val="single" w:sz="4" w:space="0" w:color="auto"/>
              <w:bottom w:val="single" w:sz="4" w:space="0" w:color="auto"/>
              <w:right w:val="single" w:sz="4" w:space="0" w:color="auto"/>
            </w:tcBorders>
            <w:shd w:val="clear" w:color="000000" w:fill="FFFFFF"/>
            <w:vAlign w:val="bottom"/>
            <w:hideMark/>
          </w:tcPr>
          <w:p w:rsidR="00F07E05" w:rsidRPr="00096E7D" w:rsidRDefault="00F07E05" w:rsidP="008A253E">
            <w:pPr>
              <w:jc w:val="center"/>
            </w:pPr>
            <w:r w:rsidRPr="00096E7D">
              <w:lastRenderedPageBreak/>
              <w:t>11</w:t>
            </w:r>
          </w:p>
        </w:tc>
        <w:tc>
          <w:tcPr>
            <w:tcW w:w="3675" w:type="dxa"/>
            <w:tcBorders>
              <w:top w:val="nil"/>
              <w:left w:val="nil"/>
              <w:bottom w:val="single" w:sz="4" w:space="0" w:color="auto"/>
              <w:right w:val="single" w:sz="4" w:space="0" w:color="auto"/>
            </w:tcBorders>
            <w:shd w:val="clear" w:color="auto" w:fill="auto"/>
            <w:noWrap/>
            <w:vAlign w:val="bottom"/>
            <w:hideMark/>
          </w:tcPr>
          <w:p w:rsidR="00F07E05" w:rsidRPr="00096E7D" w:rsidRDefault="00F07E05" w:rsidP="008A253E">
            <w:pPr>
              <w:rPr>
                <w:color w:val="000000"/>
              </w:rPr>
            </w:pPr>
            <w:r w:rsidRPr="00096E7D">
              <w:rPr>
                <w:color w:val="000000"/>
              </w:rPr>
              <w:t>МУК "МДКМОТО" Калини. Район</w:t>
            </w:r>
          </w:p>
        </w:tc>
        <w:tc>
          <w:tcPr>
            <w:tcW w:w="1173" w:type="dxa"/>
            <w:tcBorders>
              <w:top w:val="nil"/>
              <w:left w:val="nil"/>
              <w:bottom w:val="single" w:sz="4" w:space="0" w:color="auto"/>
              <w:right w:val="single" w:sz="4" w:space="0" w:color="auto"/>
            </w:tcBorders>
            <w:shd w:val="clear" w:color="000000" w:fill="FFFFFF"/>
            <w:noWrap/>
            <w:vAlign w:val="bottom"/>
            <w:hideMark/>
          </w:tcPr>
          <w:p w:rsidR="00F07E05" w:rsidRPr="00096E7D" w:rsidRDefault="00F07E05" w:rsidP="008A253E">
            <w:pPr>
              <w:jc w:val="center"/>
            </w:pPr>
            <w:r w:rsidRPr="00096E7D">
              <w:t>200</w:t>
            </w:r>
          </w:p>
        </w:tc>
        <w:tc>
          <w:tcPr>
            <w:tcW w:w="1210" w:type="dxa"/>
            <w:tcBorders>
              <w:top w:val="nil"/>
              <w:left w:val="nil"/>
              <w:bottom w:val="single" w:sz="4" w:space="0" w:color="auto"/>
              <w:right w:val="single" w:sz="4" w:space="0" w:color="auto"/>
            </w:tcBorders>
            <w:shd w:val="clear" w:color="000000" w:fill="FFFFFF"/>
            <w:noWrap/>
            <w:vAlign w:val="bottom"/>
            <w:hideMark/>
          </w:tcPr>
          <w:p w:rsidR="00F07E05" w:rsidRPr="00096E7D" w:rsidRDefault="00F07E05" w:rsidP="008A253E">
            <w:pPr>
              <w:jc w:val="center"/>
            </w:pPr>
            <w:r w:rsidRPr="00096E7D">
              <w:t>35,00</w:t>
            </w:r>
          </w:p>
        </w:tc>
        <w:tc>
          <w:tcPr>
            <w:tcW w:w="1401" w:type="dxa"/>
            <w:tcBorders>
              <w:top w:val="nil"/>
              <w:left w:val="nil"/>
              <w:bottom w:val="single" w:sz="4" w:space="0" w:color="auto"/>
              <w:right w:val="single" w:sz="4" w:space="0" w:color="auto"/>
            </w:tcBorders>
            <w:shd w:val="clear" w:color="000000" w:fill="FFFFFF"/>
            <w:noWrap/>
            <w:vAlign w:val="bottom"/>
            <w:hideMark/>
          </w:tcPr>
          <w:p w:rsidR="00F07E05" w:rsidRPr="00096E7D" w:rsidRDefault="00F07E05" w:rsidP="008A253E">
            <w:pPr>
              <w:jc w:val="center"/>
            </w:pPr>
            <w:r w:rsidRPr="00096E7D">
              <w:t>7 000,00</w:t>
            </w:r>
          </w:p>
        </w:tc>
        <w:tc>
          <w:tcPr>
            <w:tcW w:w="1203" w:type="dxa"/>
            <w:tcBorders>
              <w:top w:val="nil"/>
              <w:left w:val="nil"/>
              <w:bottom w:val="single" w:sz="4" w:space="0" w:color="auto"/>
              <w:right w:val="single" w:sz="4" w:space="0" w:color="auto"/>
            </w:tcBorders>
            <w:shd w:val="clear" w:color="000000" w:fill="FFFFFF"/>
            <w:noWrap/>
            <w:vAlign w:val="bottom"/>
            <w:hideMark/>
          </w:tcPr>
          <w:p w:rsidR="00F07E05" w:rsidRPr="00096E7D" w:rsidRDefault="00F07E05" w:rsidP="008A253E">
            <w:pPr>
              <w:jc w:val="center"/>
            </w:pPr>
            <w:r w:rsidRPr="00096E7D">
              <w:t>36,40</w:t>
            </w:r>
          </w:p>
        </w:tc>
        <w:tc>
          <w:tcPr>
            <w:tcW w:w="1323" w:type="dxa"/>
            <w:tcBorders>
              <w:top w:val="nil"/>
              <w:left w:val="nil"/>
              <w:bottom w:val="single" w:sz="4" w:space="0" w:color="auto"/>
              <w:right w:val="single" w:sz="4" w:space="0" w:color="auto"/>
            </w:tcBorders>
            <w:shd w:val="clear" w:color="000000" w:fill="FFFFFF"/>
            <w:noWrap/>
            <w:vAlign w:val="bottom"/>
            <w:hideMark/>
          </w:tcPr>
          <w:p w:rsidR="00F07E05" w:rsidRPr="00096E7D" w:rsidRDefault="00F07E05" w:rsidP="008A253E">
            <w:pPr>
              <w:jc w:val="center"/>
            </w:pPr>
            <w:r w:rsidRPr="00096E7D">
              <w:t>7 280,00</w:t>
            </w:r>
          </w:p>
        </w:tc>
        <w:tc>
          <w:tcPr>
            <w:tcW w:w="1203" w:type="dxa"/>
            <w:tcBorders>
              <w:top w:val="nil"/>
              <w:left w:val="nil"/>
              <w:bottom w:val="single" w:sz="4" w:space="0" w:color="auto"/>
              <w:right w:val="single" w:sz="4" w:space="0" w:color="auto"/>
            </w:tcBorders>
            <w:shd w:val="clear" w:color="000000" w:fill="FFFFFF"/>
            <w:noWrap/>
            <w:vAlign w:val="bottom"/>
            <w:hideMark/>
          </w:tcPr>
          <w:p w:rsidR="00F07E05" w:rsidRPr="00096E7D" w:rsidRDefault="00F07E05" w:rsidP="008A253E">
            <w:pPr>
              <w:jc w:val="center"/>
            </w:pPr>
            <w:r w:rsidRPr="00096E7D">
              <w:t>37,86</w:t>
            </w:r>
          </w:p>
        </w:tc>
        <w:tc>
          <w:tcPr>
            <w:tcW w:w="1323" w:type="dxa"/>
            <w:tcBorders>
              <w:top w:val="nil"/>
              <w:left w:val="nil"/>
              <w:bottom w:val="single" w:sz="4" w:space="0" w:color="auto"/>
              <w:right w:val="single" w:sz="4" w:space="0" w:color="auto"/>
            </w:tcBorders>
            <w:shd w:val="clear" w:color="000000" w:fill="FFFFFF"/>
            <w:noWrap/>
            <w:vAlign w:val="bottom"/>
            <w:hideMark/>
          </w:tcPr>
          <w:p w:rsidR="00F07E05" w:rsidRPr="00096E7D" w:rsidRDefault="00F07E05" w:rsidP="008A253E">
            <w:pPr>
              <w:jc w:val="center"/>
            </w:pPr>
            <w:r w:rsidRPr="00096E7D">
              <w:t>7 571,20</w:t>
            </w:r>
          </w:p>
        </w:tc>
        <w:tc>
          <w:tcPr>
            <w:tcW w:w="1288" w:type="dxa"/>
            <w:tcBorders>
              <w:top w:val="nil"/>
              <w:left w:val="nil"/>
              <w:bottom w:val="single" w:sz="4" w:space="0" w:color="auto"/>
              <w:right w:val="single" w:sz="4" w:space="0" w:color="auto"/>
            </w:tcBorders>
            <w:shd w:val="clear" w:color="000000" w:fill="FFFFFF"/>
            <w:noWrap/>
            <w:vAlign w:val="bottom"/>
            <w:hideMark/>
          </w:tcPr>
          <w:p w:rsidR="00F07E05" w:rsidRPr="00096E7D" w:rsidRDefault="00F07E05" w:rsidP="008A253E">
            <w:pPr>
              <w:jc w:val="center"/>
            </w:pPr>
            <w:r w:rsidRPr="00096E7D">
              <w:t>39,37</w:t>
            </w:r>
          </w:p>
        </w:tc>
        <w:tc>
          <w:tcPr>
            <w:tcW w:w="1323" w:type="dxa"/>
            <w:tcBorders>
              <w:top w:val="nil"/>
              <w:left w:val="nil"/>
              <w:bottom w:val="single" w:sz="4" w:space="0" w:color="auto"/>
              <w:right w:val="single" w:sz="4" w:space="0" w:color="auto"/>
            </w:tcBorders>
            <w:shd w:val="clear" w:color="000000" w:fill="FFFFFF"/>
            <w:noWrap/>
            <w:vAlign w:val="bottom"/>
            <w:hideMark/>
          </w:tcPr>
          <w:p w:rsidR="00F07E05" w:rsidRPr="00096E7D" w:rsidRDefault="00F07E05" w:rsidP="008A253E">
            <w:pPr>
              <w:jc w:val="center"/>
            </w:pPr>
            <w:r w:rsidRPr="00096E7D">
              <w:t>7 874,05</w:t>
            </w:r>
          </w:p>
        </w:tc>
      </w:tr>
      <w:tr w:rsidR="00F07E05" w:rsidTr="008A253E">
        <w:trPr>
          <w:trHeight w:val="570"/>
        </w:trPr>
        <w:tc>
          <w:tcPr>
            <w:tcW w:w="560" w:type="dxa"/>
            <w:tcBorders>
              <w:top w:val="nil"/>
              <w:left w:val="single" w:sz="4" w:space="0" w:color="auto"/>
              <w:bottom w:val="single" w:sz="4" w:space="0" w:color="auto"/>
              <w:right w:val="single" w:sz="4" w:space="0" w:color="auto"/>
            </w:tcBorders>
            <w:shd w:val="clear" w:color="000000" w:fill="FFFFFF"/>
            <w:vAlign w:val="bottom"/>
            <w:hideMark/>
          </w:tcPr>
          <w:p w:rsidR="00F07E05" w:rsidRPr="00096E7D" w:rsidRDefault="00F07E05" w:rsidP="008A253E">
            <w:pPr>
              <w:jc w:val="center"/>
            </w:pPr>
            <w:r w:rsidRPr="00096E7D">
              <w:t>12</w:t>
            </w:r>
          </w:p>
        </w:tc>
        <w:tc>
          <w:tcPr>
            <w:tcW w:w="3675" w:type="dxa"/>
            <w:tcBorders>
              <w:top w:val="nil"/>
              <w:left w:val="nil"/>
              <w:bottom w:val="single" w:sz="4" w:space="0" w:color="auto"/>
              <w:right w:val="single" w:sz="4" w:space="0" w:color="auto"/>
            </w:tcBorders>
            <w:shd w:val="clear" w:color="auto" w:fill="auto"/>
            <w:noWrap/>
            <w:vAlign w:val="bottom"/>
            <w:hideMark/>
          </w:tcPr>
          <w:p w:rsidR="00F07E05" w:rsidRPr="00096E7D" w:rsidRDefault="00F07E05" w:rsidP="008A253E">
            <w:pPr>
              <w:rPr>
                <w:color w:val="000000"/>
              </w:rPr>
            </w:pPr>
            <w:r w:rsidRPr="00096E7D">
              <w:rPr>
                <w:color w:val="000000"/>
              </w:rPr>
              <w:t>ГБУ "СШОР по видам единоборств"</w:t>
            </w:r>
          </w:p>
        </w:tc>
        <w:tc>
          <w:tcPr>
            <w:tcW w:w="1173" w:type="dxa"/>
            <w:tcBorders>
              <w:top w:val="nil"/>
              <w:left w:val="nil"/>
              <w:bottom w:val="single" w:sz="4" w:space="0" w:color="auto"/>
              <w:right w:val="single" w:sz="4" w:space="0" w:color="auto"/>
            </w:tcBorders>
            <w:shd w:val="clear" w:color="000000" w:fill="FFFFFF"/>
            <w:noWrap/>
            <w:vAlign w:val="bottom"/>
            <w:hideMark/>
          </w:tcPr>
          <w:p w:rsidR="00F07E05" w:rsidRPr="00096E7D" w:rsidRDefault="00F07E05" w:rsidP="008A253E">
            <w:pPr>
              <w:jc w:val="center"/>
            </w:pPr>
            <w:r w:rsidRPr="00096E7D">
              <w:t>100</w:t>
            </w:r>
          </w:p>
        </w:tc>
        <w:tc>
          <w:tcPr>
            <w:tcW w:w="1210" w:type="dxa"/>
            <w:tcBorders>
              <w:top w:val="nil"/>
              <w:left w:val="nil"/>
              <w:bottom w:val="single" w:sz="4" w:space="0" w:color="auto"/>
              <w:right w:val="single" w:sz="4" w:space="0" w:color="auto"/>
            </w:tcBorders>
            <w:shd w:val="clear" w:color="000000" w:fill="FFFFFF"/>
            <w:noWrap/>
            <w:vAlign w:val="bottom"/>
            <w:hideMark/>
          </w:tcPr>
          <w:p w:rsidR="00F07E05" w:rsidRPr="00096E7D" w:rsidRDefault="00F07E05" w:rsidP="008A253E">
            <w:pPr>
              <w:jc w:val="center"/>
            </w:pPr>
            <w:r w:rsidRPr="00096E7D">
              <w:t>35,00</w:t>
            </w:r>
          </w:p>
        </w:tc>
        <w:tc>
          <w:tcPr>
            <w:tcW w:w="1401" w:type="dxa"/>
            <w:tcBorders>
              <w:top w:val="nil"/>
              <w:left w:val="nil"/>
              <w:bottom w:val="single" w:sz="4" w:space="0" w:color="auto"/>
              <w:right w:val="single" w:sz="4" w:space="0" w:color="auto"/>
            </w:tcBorders>
            <w:shd w:val="clear" w:color="000000" w:fill="FFFFFF"/>
            <w:noWrap/>
            <w:vAlign w:val="bottom"/>
            <w:hideMark/>
          </w:tcPr>
          <w:p w:rsidR="00F07E05" w:rsidRPr="00096E7D" w:rsidRDefault="00F07E05" w:rsidP="008A253E">
            <w:pPr>
              <w:jc w:val="center"/>
            </w:pPr>
            <w:r w:rsidRPr="00096E7D">
              <w:t>3 500,00</w:t>
            </w:r>
          </w:p>
        </w:tc>
        <w:tc>
          <w:tcPr>
            <w:tcW w:w="1203" w:type="dxa"/>
            <w:tcBorders>
              <w:top w:val="nil"/>
              <w:left w:val="nil"/>
              <w:bottom w:val="single" w:sz="4" w:space="0" w:color="auto"/>
              <w:right w:val="single" w:sz="4" w:space="0" w:color="auto"/>
            </w:tcBorders>
            <w:shd w:val="clear" w:color="000000" w:fill="FFFFFF"/>
            <w:noWrap/>
            <w:vAlign w:val="bottom"/>
            <w:hideMark/>
          </w:tcPr>
          <w:p w:rsidR="00F07E05" w:rsidRPr="00096E7D" w:rsidRDefault="00F07E05" w:rsidP="008A253E">
            <w:pPr>
              <w:jc w:val="center"/>
            </w:pPr>
            <w:r w:rsidRPr="00096E7D">
              <w:t>36,40</w:t>
            </w:r>
          </w:p>
        </w:tc>
        <w:tc>
          <w:tcPr>
            <w:tcW w:w="1323" w:type="dxa"/>
            <w:tcBorders>
              <w:top w:val="nil"/>
              <w:left w:val="nil"/>
              <w:bottom w:val="single" w:sz="4" w:space="0" w:color="auto"/>
              <w:right w:val="single" w:sz="4" w:space="0" w:color="auto"/>
            </w:tcBorders>
            <w:shd w:val="clear" w:color="000000" w:fill="FFFFFF"/>
            <w:noWrap/>
            <w:vAlign w:val="bottom"/>
            <w:hideMark/>
          </w:tcPr>
          <w:p w:rsidR="00F07E05" w:rsidRPr="00096E7D" w:rsidRDefault="00F07E05" w:rsidP="008A253E">
            <w:pPr>
              <w:jc w:val="center"/>
            </w:pPr>
            <w:r w:rsidRPr="00096E7D">
              <w:t>3 640,00</w:t>
            </w:r>
          </w:p>
        </w:tc>
        <w:tc>
          <w:tcPr>
            <w:tcW w:w="1203" w:type="dxa"/>
            <w:tcBorders>
              <w:top w:val="nil"/>
              <w:left w:val="nil"/>
              <w:bottom w:val="single" w:sz="4" w:space="0" w:color="auto"/>
              <w:right w:val="single" w:sz="4" w:space="0" w:color="auto"/>
            </w:tcBorders>
            <w:shd w:val="clear" w:color="000000" w:fill="FFFFFF"/>
            <w:noWrap/>
            <w:vAlign w:val="bottom"/>
            <w:hideMark/>
          </w:tcPr>
          <w:p w:rsidR="00F07E05" w:rsidRPr="00096E7D" w:rsidRDefault="00F07E05" w:rsidP="008A253E">
            <w:pPr>
              <w:jc w:val="center"/>
            </w:pPr>
            <w:r w:rsidRPr="00096E7D">
              <w:t>37,86</w:t>
            </w:r>
          </w:p>
        </w:tc>
        <w:tc>
          <w:tcPr>
            <w:tcW w:w="1323" w:type="dxa"/>
            <w:tcBorders>
              <w:top w:val="nil"/>
              <w:left w:val="nil"/>
              <w:bottom w:val="single" w:sz="4" w:space="0" w:color="auto"/>
              <w:right w:val="single" w:sz="4" w:space="0" w:color="auto"/>
            </w:tcBorders>
            <w:shd w:val="clear" w:color="000000" w:fill="FFFFFF"/>
            <w:noWrap/>
            <w:vAlign w:val="bottom"/>
            <w:hideMark/>
          </w:tcPr>
          <w:p w:rsidR="00F07E05" w:rsidRPr="00096E7D" w:rsidRDefault="00F07E05" w:rsidP="008A253E">
            <w:pPr>
              <w:jc w:val="center"/>
            </w:pPr>
            <w:r w:rsidRPr="00096E7D">
              <w:t>3 785,60</w:t>
            </w:r>
          </w:p>
        </w:tc>
        <w:tc>
          <w:tcPr>
            <w:tcW w:w="1288" w:type="dxa"/>
            <w:tcBorders>
              <w:top w:val="nil"/>
              <w:left w:val="nil"/>
              <w:bottom w:val="single" w:sz="4" w:space="0" w:color="auto"/>
              <w:right w:val="single" w:sz="4" w:space="0" w:color="auto"/>
            </w:tcBorders>
            <w:shd w:val="clear" w:color="000000" w:fill="FFFFFF"/>
            <w:noWrap/>
            <w:vAlign w:val="bottom"/>
            <w:hideMark/>
          </w:tcPr>
          <w:p w:rsidR="00F07E05" w:rsidRPr="00096E7D" w:rsidRDefault="00F07E05" w:rsidP="008A253E">
            <w:pPr>
              <w:jc w:val="center"/>
            </w:pPr>
            <w:r w:rsidRPr="00096E7D">
              <w:t>39,37</w:t>
            </w:r>
          </w:p>
        </w:tc>
        <w:tc>
          <w:tcPr>
            <w:tcW w:w="1323" w:type="dxa"/>
            <w:tcBorders>
              <w:top w:val="nil"/>
              <w:left w:val="nil"/>
              <w:bottom w:val="single" w:sz="4" w:space="0" w:color="auto"/>
              <w:right w:val="single" w:sz="4" w:space="0" w:color="auto"/>
            </w:tcBorders>
            <w:shd w:val="clear" w:color="000000" w:fill="FFFFFF"/>
            <w:noWrap/>
            <w:vAlign w:val="bottom"/>
            <w:hideMark/>
          </w:tcPr>
          <w:p w:rsidR="00F07E05" w:rsidRPr="00096E7D" w:rsidRDefault="00F07E05" w:rsidP="008A253E">
            <w:pPr>
              <w:jc w:val="center"/>
            </w:pPr>
            <w:r w:rsidRPr="00096E7D">
              <w:t>3 937,02</w:t>
            </w:r>
          </w:p>
        </w:tc>
      </w:tr>
      <w:tr w:rsidR="00F07E05" w:rsidTr="008A253E">
        <w:trPr>
          <w:trHeight w:val="709"/>
        </w:trPr>
        <w:tc>
          <w:tcPr>
            <w:tcW w:w="560" w:type="dxa"/>
            <w:tcBorders>
              <w:top w:val="nil"/>
              <w:left w:val="single" w:sz="4" w:space="0" w:color="auto"/>
              <w:bottom w:val="single" w:sz="4" w:space="0" w:color="auto"/>
              <w:right w:val="single" w:sz="4" w:space="0" w:color="auto"/>
            </w:tcBorders>
            <w:shd w:val="clear" w:color="000000" w:fill="FFFFFF"/>
            <w:vAlign w:val="bottom"/>
            <w:hideMark/>
          </w:tcPr>
          <w:p w:rsidR="00F07E05" w:rsidRPr="00096E7D" w:rsidRDefault="00F07E05" w:rsidP="008A253E">
            <w:pPr>
              <w:jc w:val="center"/>
            </w:pPr>
            <w:r w:rsidRPr="00096E7D">
              <w:t>13</w:t>
            </w:r>
          </w:p>
        </w:tc>
        <w:tc>
          <w:tcPr>
            <w:tcW w:w="3675" w:type="dxa"/>
            <w:tcBorders>
              <w:top w:val="nil"/>
              <w:left w:val="nil"/>
              <w:bottom w:val="single" w:sz="4" w:space="0" w:color="auto"/>
              <w:right w:val="single" w:sz="4" w:space="0" w:color="auto"/>
            </w:tcBorders>
            <w:shd w:val="clear" w:color="auto" w:fill="auto"/>
            <w:noWrap/>
            <w:vAlign w:val="bottom"/>
            <w:hideMark/>
          </w:tcPr>
          <w:p w:rsidR="00F07E05" w:rsidRPr="00096E7D" w:rsidRDefault="00F07E05" w:rsidP="008A253E">
            <w:pPr>
              <w:rPr>
                <w:color w:val="000000"/>
              </w:rPr>
            </w:pPr>
            <w:r w:rsidRPr="00096E7D">
              <w:rPr>
                <w:color w:val="000000"/>
              </w:rPr>
              <w:t>ГБУ "СШОР по ледовым видам спорта"</w:t>
            </w:r>
          </w:p>
        </w:tc>
        <w:tc>
          <w:tcPr>
            <w:tcW w:w="1173" w:type="dxa"/>
            <w:tcBorders>
              <w:top w:val="nil"/>
              <w:left w:val="nil"/>
              <w:bottom w:val="single" w:sz="4" w:space="0" w:color="auto"/>
              <w:right w:val="single" w:sz="4" w:space="0" w:color="auto"/>
            </w:tcBorders>
            <w:shd w:val="clear" w:color="000000" w:fill="FFFFFF"/>
            <w:noWrap/>
            <w:vAlign w:val="bottom"/>
            <w:hideMark/>
          </w:tcPr>
          <w:p w:rsidR="00F07E05" w:rsidRPr="00096E7D" w:rsidRDefault="00F07E05" w:rsidP="008A253E">
            <w:pPr>
              <w:jc w:val="center"/>
            </w:pPr>
            <w:r w:rsidRPr="00096E7D">
              <w:t>264</w:t>
            </w:r>
          </w:p>
        </w:tc>
        <w:tc>
          <w:tcPr>
            <w:tcW w:w="1210" w:type="dxa"/>
            <w:tcBorders>
              <w:top w:val="nil"/>
              <w:left w:val="nil"/>
              <w:bottom w:val="single" w:sz="4" w:space="0" w:color="auto"/>
              <w:right w:val="single" w:sz="4" w:space="0" w:color="auto"/>
            </w:tcBorders>
            <w:shd w:val="clear" w:color="000000" w:fill="FFFFFF"/>
            <w:noWrap/>
            <w:vAlign w:val="bottom"/>
            <w:hideMark/>
          </w:tcPr>
          <w:p w:rsidR="00F07E05" w:rsidRPr="00096E7D" w:rsidRDefault="00F07E05" w:rsidP="008A253E">
            <w:pPr>
              <w:jc w:val="center"/>
            </w:pPr>
            <w:r w:rsidRPr="00096E7D">
              <w:t>35,00</w:t>
            </w:r>
          </w:p>
        </w:tc>
        <w:tc>
          <w:tcPr>
            <w:tcW w:w="1401" w:type="dxa"/>
            <w:tcBorders>
              <w:top w:val="nil"/>
              <w:left w:val="nil"/>
              <w:bottom w:val="single" w:sz="4" w:space="0" w:color="auto"/>
              <w:right w:val="single" w:sz="4" w:space="0" w:color="auto"/>
            </w:tcBorders>
            <w:shd w:val="clear" w:color="000000" w:fill="FFFFFF"/>
            <w:noWrap/>
            <w:vAlign w:val="bottom"/>
            <w:hideMark/>
          </w:tcPr>
          <w:p w:rsidR="00F07E05" w:rsidRPr="00096E7D" w:rsidRDefault="00F07E05" w:rsidP="008A253E">
            <w:pPr>
              <w:jc w:val="center"/>
            </w:pPr>
            <w:r w:rsidRPr="00096E7D">
              <w:t>9 240,00</w:t>
            </w:r>
          </w:p>
        </w:tc>
        <w:tc>
          <w:tcPr>
            <w:tcW w:w="1203" w:type="dxa"/>
            <w:tcBorders>
              <w:top w:val="nil"/>
              <w:left w:val="nil"/>
              <w:bottom w:val="single" w:sz="4" w:space="0" w:color="auto"/>
              <w:right w:val="single" w:sz="4" w:space="0" w:color="auto"/>
            </w:tcBorders>
            <w:shd w:val="clear" w:color="000000" w:fill="FFFFFF"/>
            <w:noWrap/>
            <w:vAlign w:val="bottom"/>
            <w:hideMark/>
          </w:tcPr>
          <w:p w:rsidR="00F07E05" w:rsidRPr="00096E7D" w:rsidRDefault="00F07E05" w:rsidP="008A253E">
            <w:pPr>
              <w:jc w:val="center"/>
            </w:pPr>
            <w:r w:rsidRPr="00096E7D">
              <w:t>36,40</w:t>
            </w:r>
          </w:p>
        </w:tc>
        <w:tc>
          <w:tcPr>
            <w:tcW w:w="1323" w:type="dxa"/>
            <w:tcBorders>
              <w:top w:val="nil"/>
              <w:left w:val="nil"/>
              <w:bottom w:val="single" w:sz="4" w:space="0" w:color="auto"/>
              <w:right w:val="single" w:sz="4" w:space="0" w:color="auto"/>
            </w:tcBorders>
            <w:shd w:val="clear" w:color="auto" w:fill="auto"/>
            <w:noWrap/>
            <w:vAlign w:val="bottom"/>
            <w:hideMark/>
          </w:tcPr>
          <w:p w:rsidR="00F07E05" w:rsidRPr="00096E7D" w:rsidRDefault="00F07E05" w:rsidP="008A253E">
            <w:pPr>
              <w:jc w:val="center"/>
            </w:pPr>
            <w:r w:rsidRPr="00096E7D">
              <w:t>9 609,60</w:t>
            </w:r>
          </w:p>
        </w:tc>
        <w:tc>
          <w:tcPr>
            <w:tcW w:w="1203" w:type="dxa"/>
            <w:tcBorders>
              <w:top w:val="nil"/>
              <w:left w:val="nil"/>
              <w:bottom w:val="single" w:sz="4" w:space="0" w:color="auto"/>
              <w:right w:val="single" w:sz="4" w:space="0" w:color="auto"/>
            </w:tcBorders>
            <w:shd w:val="clear" w:color="000000" w:fill="FFFFFF"/>
            <w:noWrap/>
            <w:vAlign w:val="bottom"/>
            <w:hideMark/>
          </w:tcPr>
          <w:p w:rsidR="00F07E05" w:rsidRPr="00096E7D" w:rsidRDefault="00F07E05" w:rsidP="008A253E">
            <w:pPr>
              <w:jc w:val="center"/>
            </w:pPr>
            <w:r w:rsidRPr="00096E7D">
              <w:t>37,86</w:t>
            </w:r>
          </w:p>
        </w:tc>
        <w:tc>
          <w:tcPr>
            <w:tcW w:w="1323" w:type="dxa"/>
            <w:tcBorders>
              <w:top w:val="nil"/>
              <w:left w:val="nil"/>
              <w:bottom w:val="single" w:sz="4" w:space="0" w:color="auto"/>
              <w:right w:val="single" w:sz="4" w:space="0" w:color="auto"/>
            </w:tcBorders>
            <w:shd w:val="clear" w:color="000000" w:fill="FFFFFF"/>
            <w:noWrap/>
            <w:vAlign w:val="bottom"/>
            <w:hideMark/>
          </w:tcPr>
          <w:p w:rsidR="00F07E05" w:rsidRPr="00096E7D" w:rsidRDefault="00F07E05" w:rsidP="008A253E">
            <w:pPr>
              <w:jc w:val="center"/>
            </w:pPr>
            <w:r w:rsidRPr="00096E7D">
              <w:t>9 993,98</w:t>
            </w:r>
          </w:p>
        </w:tc>
        <w:tc>
          <w:tcPr>
            <w:tcW w:w="1288" w:type="dxa"/>
            <w:tcBorders>
              <w:top w:val="nil"/>
              <w:left w:val="nil"/>
              <w:bottom w:val="single" w:sz="4" w:space="0" w:color="auto"/>
              <w:right w:val="single" w:sz="4" w:space="0" w:color="auto"/>
            </w:tcBorders>
            <w:shd w:val="clear" w:color="000000" w:fill="FFFFFF"/>
            <w:noWrap/>
            <w:vAlign w:val="bottom"/>
            <w:hideMark/>
          </w:tcPr>
          <w:p w:rsidR="00F07E05" w:rsidRPr="00096E7D" w:rsidRDefault="00F07E05" w:rsidP="008A253E">
            <w:pPr>
              <w:jc w:val="center"/>
            </w:pPr>
            <w:r w:rsidRPr="00096E7D">
              <w:t>39,37</w:t>
            </w:r>
          </w:p>
        </w:tc>
        <w:tc>
          <w:tcPr>
            <w:tcW w:w="1323" w:type="dxa"/>
            <w:tcBorders>
              <w:top w:val="nil"/>
              <w:left w:val="nil"/>
              <w:bottom w:val="single" w:sz="4" w:space="0" w:color="auto"/>
              <w:right w:val="single" w:sz="4" w:space="0" w:color="auto"/>
            </w:tcBorders>
            <w:shd w:val="clear" w:color="000000" w:fill="FFFFFF"/>
            <w:noWrap/>
            <w:vAlign w:val="bottom"/>
            <w:hideMark/>
          </w:tcPr>
          <w:p w:rsidR="00F07E05" w:rsidRPr="00096E7D" w:rsidRDefault="00F07E05" w:rsidP="008A253E">
            <w:pPr>
              <w:jc w:val="center"/>
            </w:pPr>
            <w:r w:rsidRPr="00096E7D">
              <w:t>10 393,74</w:t>
            </w:r>
          </w:p>
        </w:tc>
      </w:tr>
      <w:tr w:rsidR="00F07E05" w:rsidTr="008A253E">
        <w:trPr>
          <w:trHeight w:val="645"/>
        </w:trPr>
        <w:tc>
          <w:tcPr>
            <w:tcW w:w="560" w:type="dxa"/>
            <w:tcBorders>
              <w:top w:val="nil"/>
              <w:left w:val="single" w:sz="4" w:space="0" w:color="auto"/>
              <w:bottom w:val="single" w:sz="4" w:space="0" w:color="auto"/>
              <w:right w:val="single" w:sz="4" w:space="0" w:color="auto"/>
            </w:tcBorders>
            <w:shd w:val="clear" w:color="000000" w:fill="FFFFFF"/>
            <w:vAlign w:val="bottom"/>
            <w:hideMark/>
          </w:tcPr>
          <w:p w:rsidR="00F07E05" w:rsidRPr="00096E7D" w:rsidRDefault="00F07E05" w:rsidP="008A253E">
            <w:pPr>
              <w:jc w:val="center"/>
            </w:pPr>
            <w:r w:rsidRPr="00096E7D">
              <w:t>14</w:t>
            </w:r>
          </w:p>
        </w:tc>
        <w:tc>
          <w:tcPr>
            <w:tcW w:w="3675" w:type="dxa"/>
            <w:tcBorders>
              <w:top w:val="nil"/>
              <w:left w:val="nil"/>
              <w:bottom w:val="single" w:sz="4" w:space="0" w:color="auto"/>
              <w:right w:val="single" w:sz="4" w:space="0" w:color="auto"/>
            </w:tcBorders>
            <w:shd w:val="clear" w:color="auto" w:fill="auto"/>
            <w:noWrap/>
            <w:vAlign w:val="bottom"/>
            <w:hideMark/>
          </w:tcPr>
          <w:p w:rsidR="00F07E05" w:rsidRPr="00096E7D" w:rsidRDefault="00F07E05" w:rsidP="008A253E">
            <w:pPr>
              <w:rPr>
                <w:color w:val="000000"/>
              </w:rPr>
            </w:pPr>
            <w:r w:rsidRPr="00096E7D">
              <w:rPr>
                <w:color w:val="000000"/>
              </w:rPr>
              <w:t>ГБУ ДО ОДЮСШ</w:t>
            </w:r>
          </w:p>
        </w:tc>
        <w:tc>
          <w:tcPr>
            <w:tcW w:w="1173" w:type="dxa"/>
            <w:tcBorders>
              <w:top w:val="nil"/>
              <w:left w:val="nil"/>
              <w:bottom w:val="single" w:sz="4" w:space="0" w:color="auto"/>
              <w:right w:val="single" w:sz="4" w:space="0" w:color="auto"/>
            </w:tcBorders>
            <w:shd w:val="clear" w:color="000000" w:fill="FFFFFF"/>
            <w:noWrap/>
            <w:vAlign w:val="bottom"/>
            <w:hideMark/>
          </w:tcPr>
          <w:p w:rsidR="00F07E05" w:rsidRPr="00096E7D" w:rsidRDefault="00F07E05" w:rsidP="008A253E">
            <w:pPr>
              <w:jc w:val="center"/>
            </w:pPr>
            <w:r w:rsidRPr="00096E7D">
              <w:t>215</w:t>
            </w:r>
          </w:p>
        </w:tc>
        <w:tc>
          <w:tcPr>
            <w:tcW w:w="1210" w:type="dxa"/>
            <w:tcBorders>
              <w:top w:val="nil"/>
              <w:left w:val="nil"/>
              <w:bottom w:val="single" w:sz="4" w:space="0" w:color="auto"/>
              <w:right w:val="single" w:sz="4" w:space="0" w:color="auto"/>
            </w:tcBorders>
            <w:shd w:val="clear" w:color="000000" w:fill="FFFFFF"/>
            <w:noWrap/>
            <w:vAlign w:val="bottom"/>
            <w:hideMark/>
          </w:tcPr>
          <w:p w:rsidR="00F07E05" w:rsidRPr="00096E7D" w:rsidRDefault="00F07E05" w:rsidP="008A253E">
            <w:pPr>
              <w:jc w:val="center"/>
            </w:pPr>
            <w:r w:rsidRPr="00096E7D">
              <w:t>35,00</w:t>
            </w:r>
          </w:p>
        </w:tc>
        <w:tc>
          <w:tcPr>
            <w:tcW w:w="1401" w:type="dxa"/>
            <w:tcBorders>
              <w:top w:val="nil"/>
              <w:left w:val="nil"/>
              <w:bottom w:val="single" w:sz="4" w:space="0" w:color="auto"/>
              <w:right w:val="single" w:sz="4" w:space="0" w:color="auto"/>
            </w:tcBorders>
            <w:shd w:val="clear" w:color="000000" w:fill="FFFFFF"/>
            <w:noWrap/>
            <w:vAlign w:val="bottom"/>
            <w:hideMark/>
          </w:tcPr>
          <w:p w:rsidR="00F07E05" w:rsidRPr="00096E7D" w:rsidRDefault="00F07E05" w:rsidP="008A253E">
            <w:pPr>
              <w:jc w:val="center"/>
            </w:pPr>
            <w:r w:rsidRPr="00096E7D">
              <w:t>7 525,00</w:t>
            </w:r>
          </w:p>
        </w:tc>
        <w:tc>
          <w:tcPr>
            <w:tcW w:w="1203" w:type="dxa"/>
            <w:tcBorders>
              <w:top w:val="nil"/>
              <w:left w:val="nil"/>
              <w:bottom w:val="single" w:sz="4" w:space="0" w:color="auto"/>
              <w:right w:val="single" w:sz="4" w:space="0" w:color="auto"/>
            </w:tcBorders>
            <w:shd w:val="clear" w:color="000000" w:fill="FFFFFF"/>
            <w:noWrap/>
            <w:vAlign w:val="bottom"/>
            <w:hideMark/>
          </w:tcPr>
          <w:p w:rsidR="00F07E05" w:rsidRPr="00096E7D" w:rsidRDefault="00F07E05" w:rsidP="008A253E">
            <w:pPr>
              <w:jc w:val="center"/>
            </w:pPr>
            <w:r w:rsidRPr="00096E7D">
              <w:t>36,40</w:t>
            </w:r>
          </w:p>
        </w:tc>
        <w:tc>
          <w:tcPr>
            <w:tcW w:w="1323" w:type="dxa"/>
            <w:tcBorders>
              <w:top w:val="nil"/>
              <w:left w:val="nil"/>
              <w:bottom w:val="single" w:sz="4" w:space="0" w:color="auto"/>
              <w:right w:val="single" w:sz="4" w:space="0" w:color="auto"/>
            </w:tcBorders>
            <w:shd w:val="clear" w:color="000000" w:fill="FFFFFF"/>
            <w:noWrap/>
            <w:vAlign w:val="bottom"/>
            <w:hideMark/>
          </w:tcPr>
          <w:p w:rsidR="00F07E05" w:rsidRPr="00096E7D" w:rsidRDefault="00F07E05" w:rsidP="008A253E">
            <w:pPr>
              <w:jc w:val="center"/>
            </w:pPr>
            <w:r w:rsidRPr="00096E7D">
              <w:t>7 826,00</w:t>
            </w:r>
          </w:p>
        </w:tc>
        <w:tc>
          <w:tcPr>
            <w:tcW w:w="1203" w:type="dxa"/>
            <w:tcBorders>
              <w:top w:val="nil"/>
              <w:left w:val="nil"/>
              <w:bottom w:val="single" w:sz="4" w:space="0" w:color="auto"/>
              <w:right w:val="single" w:sz="4" w:space="0" w:color="auto"/>
            </w:tcBorders>
            <w:shd w:val="clear" w:color="000000" w:fill="FFFFFF"/>
            <w:noWrap/>
            <w:vAlign w:val="bottom"/>
            <w:hideMark/>
          </w:tcPr>
          <w:p w:rsidR="00F07E05" w:rsidRPr="00096E7D" w:rsidRDefault="00F07E05" w:rsidP="008A253E">
            <w:pPr>
              <w:jc w:val="center"/>
            </w:pPr>
            <w:r w:rsidRPr="00096E7D">
              <w:t>37,86</w:t>
            </w:r>
          </w:p>
        </w:tc>
        <w:tc>
          <w:tcPr>
            <w:tcW w:w="1323" w:type="dxa"/>
            <w:tcBorders>
              <w:top w:val="nil"/>
              <w:left w:val="nil"/>
              <w:bottom w:val="single" w:sz="4" w:space="0" w:color="auto"/>
              <w:right w:val="single" w:sz="4" w:space="0" w:color="auto"/>
            </w:tcBorders>
            <w:shd w:val="clear" w:color="000000" w:fill="FFFFFF"/>
            <w:noWrap/>
            <w:vAlign w:val="bottom"/>
            <w:hideMark/>
          </w:tcPr>
          <w:p w:rsidR="00F07E05" w:rsidRPr="00096E7D" w:rsidRDefault="00F07E05" w:rsidP="008A253E">
            <w:pPr>
              <w:jc w:val="center"/>
            </w:pPr>
            <w:r w:rsidRPr="00096E7D">
              <w:t>8 139,04</w:t>
            </w:r>
          </w:p>
        </w:tc>
        <w:tc>
          <w:tcPr>
            <w:tcW w:w="1288" w:type="dxa"/>
            <w:tcBorders>
              <w:top w:val="nil"/>
              <w:left w:val="nil"/>
              <w:bottom w:val="single" w:sz="4" w:space="0" w:color="auto"/>
              <w:right w:val="single" w:sz="4" w:space="0" w:color="auto"/>
            </w:tcBorders>
            <w:shd w:val="clear" w:color="000000" w:fill="FFFFFF"/>
            <w:noWrap/>
            <w:vAlign w:val="bottom"/>
            <w:hideMark/>
          </w:tcPr>
          <w:p w:rsidR="00F07E05" w:rsidRPr="00096E7D" w:rsidRDefault="00F07E05" w:rsidP="008A253E">
            <w:pPr>
              <w:jc w:val="center"/>
            </w:pPr>
            <w:r w:rsidRPr="00096E7D">
              <w:t>39,37</w:t>
            </w:r>
          </w:p>
        </w:tc>
        <w:tc>
          <w:tcPr>
            <w:tcW w:w="1323" w:type="dxa"/>
            <w:tcBorders>
              <w:top w:val="nil"/>
              <w:left w:val="nil"/>
              <w:bottom w:val="single" w:sz="4" w:space="0" w:color="auto"/>
              <w:right w:val="single" w:sz="4" w:space="0" w:color="auto"/>
            </w:tcBorders>
            <w:shd w:val="clear" w:color="000000" w:fill="FFFFFF"/>
            <w:noWrap/>
            <w:vAlign w:val="bottom"/>
            <w:hideMark/>
          </w:tcPr>
          <w:p w:rsidR="00F07E05" w:rsidRPr="00096E7D" w:rsidRDefault="00F07E05" w:rsidP="008A253E">
            <w:pPr>
              <w:jc w:val="center"/>
            </w:pPr>
            <w:r w:rsidRPr="00096E7D">
              <w:t>8 464,60</w:t>
            </w:r>
          </w:p>
        </w:tc>
      </w:tr>
      <w:tr w:rsidR="00F07E05" w:rsidTr="008A253E">
        <w:trPr>
          <w:trHeight w:val="300"/>
        </w:trPr>
        <w:tc>
          <w:tcPr>
            <w:tcW w:w="560" w:type="dxa"/>
            <w:tcBorders>
              <w:top w:val="nil"/>
              <w:left w:val="single" w:sz="4" w:space="0" w:color="auto"/>
              <w:bottom w:val="single" w:sz="4" w:space="0" w:color="auto"/>
              <w:right w:val="single" w:sz="4" w:space="0" w:color="auto"/>
            </w:tcBorders>
            <w:shd w:val="clear" w:color="000000" w:fill="FFFFFF"/>
            <w:vAlign w:val="bottom"/>
            <w:hideMark/>
          </w:tcPr>
          <w:p w:rsidR="00F07E05" w:rsidRPr="00096E7D" w:rsidRDefault="00F07E05" w:rsidP="008A253E">
            <w:pPr>
              <w:jc w:val="center"/>
            </w:pPr>
            <w:r w:rsidRPr="00096E7D">
              <w:t>15</w:t>
            </w:r>
          </w:p>
        </w:tc>
        <w:tc>
          <w:tcPr>
            <w:tcW w:w="3675" w:type="dxa"/>
            <w:tcBorders>
              <w:top w:val="nil"/>
              <w:left w:val="nil"/>
              <w:bottom w:val="single" w:sz="4" w:space="0" w:color="auto"/>
              <w:right w:val="single" w:sz="4" w:space="0" w:color="auto"/>
            </w:tcBorders>
            <w:shd w:val="clear" w:color="auto" w:fill="auto"/>
            <w:noWrap/>
            <w:vAlign w:val="bottom"/>
            <w:hideMark/>
          </w:tcPr>
          <w:p w:rsidR="00F07E05" w:rsidRPr="00096E7D" w:rsidRDefault="00F07E05" w:rsidP="008A253E">
            <w:pPr>
              <w:rPr>
                <w:color w:val="000000"/>
              </w:rPr>
            </w:pPr>
            <w:r w:rsidRPr="00096E7D">
              <w:rPr>
                <w:color w:val="000000"/>
              </w:rPr>
              <w:t>ГБП ТКК им. Н.А. Львова</w:t>
            </w:r>
          </w:p>
        </w:tc>
        <w:tc>
          <w:tcPr>
            <w:tcW w:w="1173" w:type="dxa"/>
            <w:tcBorders>
              <w:top w:val="nil"/>
              <w:left w:val="nil"/>
              <w:bottom w:val="single" w:sz="4" w:space="0" w:color="auto"/>
              <w:right w:val="single" w:sz="4" w:space="0" w:color="auto"/>
            </w:tcBorders>
            <w:shd w:val="clear" w:color="000000" w:fill="FFFFFF"/>
            <w:noWrap/>
            <w:vAlign w:val="bottom"/>
            <w:hideMark/>
          </w:tcPr>
          <w:p w:rsidR="00F07E05" w:rsidRPr="00096E7D" w:rsidRDefault="00F07E05" w:rsidP="008A253E">
            <w:pPr>
              <w:jc w:val="center"/>
            </w:pPr>
            <w:r w:rsidRPr="00096E7D">
              <w:t>230</w:t>
            </w:r>
          </w:p>
        </w:tc>
        <w:tc>
          <w:tcPr>
            <w:tcW w:w="1210" w:type="dxa"/>
            <w:tcBorders>
              <w:top w:val="nil"/>
              <w:left w:val="nil"/>
              <w:bottom w:val="single" w:sz="4" w:space="0" w:color="auto"/>
              <w:right w:val="single" w:sz="4" w:space="0" w:color="auto"/>
            </w:tcBorders>
            <w:shd w:val="clear" w:color="000000" w:fill="FFFFFF"/>
            <w:noWrap/>
            <w:vAlign w:val="bottom"/>
            <w:hideMark/>
          </w:tcPr>
          <w:p w:rsidR="00F07E05" w:rsidRPr="00096E7D" w:rsidRDefault="00F07E05" w:rsidP="008A253E">
            <w:pPr>
              <w:jc w:val="center"/>
            </w:pPr>
            <w:r w:rsidRPr="00096E7D">
              <w:t>35,00</w:t>
            </w:r>
          </w:p>
        </w:tc>
        <w:tc>
          <w:tcPr>
            <w:tcW w:w="1401" w:type="dxa"/>
            <w:tcBorders>
              <w:top w:val="nil"/>
              <w:left w:val="nil"/>
              <w:bottom w:val="single" w:sz="4" w:space="0" w:color="auto"/>
              <w:right w:val="single" w:sz="4" w:space="0" w:color="auto"/>
            </w:tcBorders>
            <w:shd w:val="clear" w:color="000000" w:fill="FFFFFF"/>
            <w:noWrap/>
            <w:vAlign w:val="bottom"/>
            <w:hideMark/>
          </w:tcPr>
          <w:p w:rsidR="00F07E05" w:rsidRPr="00096E7D" w:rsidRDefault="00F07E05" w:rsidP="008A253E">
            <w:pPr>
              <w:jc w:val="center"/>
            </w:pPr>
            <w:r w:rsidRPr="00096E7D">
              <w:t>8 050,00</w:t>
            </w:r>
          </w:p>
        </w:tc>
        <w:tc>
          <w:tcPr>
            <w:tcW w:w="1203" w:type="dxa"/>
            <w:tcBorders>
              <w:top w:val="nil"/>
              <w:left w:val="nil"/>
              <w:bottom w:val="single" w:sz="4" w:space="0" w:color="auto"/>
              <w:right w:val="single" w:sz="4" w:space="0" w:color="auto"/>
            </w:tcBorders>
            <w:shd w:val="clear" w:color="000000" w:fill="FFFFFF"/>
            <w:noWrap/>
            <w:vAlign w:val="bottom"/>
            <w:hideMark/>
          </w:tcPr>
          <w:p w:rsidR="00F07E05" w:rsidRPr="00096E7D" w:rsidRDefault="00F07E05" w:rsidP="008A253E">
            <w:pPr>
              <w:jc w:val="center"/>
            </w:pPr>
            <w:r w:rsidRPr="00096E7D">
              <w:t>36,40</w:t>
            </w:r>
          </w:p>
        </w:tc>
        <w:tc>
          <w:tcPr>
            <w:tcW w:w="1323" w:type="dxa"/>
            <w:tcBorders>
              <w:top w:val="nil"/>
              <w:left w:val="nil"/>
              <w:bottom w:val="single" w:sz="4" w:space="0" w:color="auto"/>
              <w:right w:val="single" w:sz="4" w:space="0" w:color="auto"/>
            </w:tcBorders>
            <w:shd w:val="clear" w:color="000000" w:fill="FFFFFF"/>
            <w:noWrap/>
            <w:vAlign w:val="bottom"/>
            <w:hideMark/>
          </w:tcPr>
          <w:p w:rsidR="00F07E05" w:rsidRPr="00096E7D" w:rsidRDefault="00F07E05" w:rsidP="008A253E">
            <w:pPr>
              <w:jc w:val="center"/>
            </w:pPr>
            <w:r w:rsidRPr="00096E7D">
              <w:t>8 372,00</w:t>
            </w:r>
          </w:p>
        </w:tc>
        <w:tc>
          <w:tcPr>
            <w:tcW w:w="1203" w:type="dxa"/>
            <w:tcBorders>
              <w:top w:val="nil"/>
              <w:left w:val="nil"/>
              <w:bottom w:val="single" w:sz="4" w:space="0" w:color="auto"/>
              <w:right w:val="single" w:sz="4" w:space="0" w:color="auto"/>
            </w:tcBorders>
            <w:shd w:val="clear" w:color="000000" w:fill="FFFFFF"/>
            <w:noWrap/>
            <w:vAlign w:val="bottom"/>
            <w:hideMark/>
          </w:tcPr>
          <w:p w:rsidR="00F07E05" w:rsidRPr="00096E7D" w:rsidRDefault="00F07E05" w:rsidP="008A253E">
            <w:pPr>
              <w:jc w:val="center"/>
            </w:pPr>
            <w:r w:rsidRPr="00096E7D">
              <w:t>37,86</w:t>
            </w:r>
          </w:p>
        </w:tc>
        <w:tc>
          <w:tcPr>
            <w:tcW w:w="1323" w:type="dxa"/>
            <w:tcBorders>
              <w:top w:val="nil"/>
              <w:left w:val="nil"/>
              <w:bottom w:val="single" w:sz="4" w:space="0" w:color="auto"/>
              <w:right w:val="single" w:sz="4" w:space="0" w:color="auto"/>
            </w:tcBorders>
            <w:shd w:val="clear" w:color="000000" w:fill="FFFFFF"/>
            <w:noWrap/>
            <w:vAlign w:val="bottom"/>
            <w:hideMark/>
          </w:tcPr>
          <w:p w:rsidR="00F07E05" w:rsidRPr="00096E7D" w:rsidRDefault="00F07E05" w:rsidP="008A253E">
            <w:pPr>
              <w:jc w:val="center"/>
            </w:pPr>
            <w:r w:rsidRPr="00096E7D">
              <w:t>8 706,88</w:t>
            </w:r>
          </w:p>
        </w:tc>
        <w:tc>
          <w:tcPr>
            <w:tcW w:w="1288" w:type="dxa"/>
            <w:tcBorders>
              <w:top w:val="nil"/>
              <w:left w:val="nil"/>
              <w:bottom w:val="single" w:sz="4" w:space="0" w:color="auto"/>
              <w:right w:val="single" w:sz="4" w:space="0" w:color="auto"/>
            </w:tcBorders>
            <w:shd w:val="clear" w:color="000000" w:fill="FFFFFF"/>
            <w:noWrap/>
            <w:vAlign w:val="bottom"/>
            <w:hideMark/>
          </w:tcPr>
          <w:p w:rsidR="00F07E05" w:rsidRPr="00096E7D" w:rsidRDefault="00F07E05" w:rsidP="008A253E">
            <w:pPr>
              <w:jc w:val="center"/>
            </w:pPr>
            <w:r w:rsidRPr="00096E7D">
              <w:t>39,37</w:t>
            </w:r>
          </w:p>
        </w:tc>
        <w:tc>
          <w:tcPr>
            <w:tcW w:w="1323" w:type="dxa"/>
            <w:tcBorders>
              <w:top w:val="nil"/>
              <w:left w:val="nil"/>
              <w:bottom w:val="single" w:sz="4" w:space="0" w:color="auto"/>
              <w:right w:val="single" w:sz="4" w:space="0" w:color="auto"/>
            </w:tcBorders>
            <w:shd w:val="clear" w:color="000000" w:fill="FFFFFF"/>
            <w:noWrap/>
            <w:vAlign w:val="bottom"/>
            <w:hideMark/>
          </w:tcPr>
          <w:p w:rsidR="00F07E05" w:rsidRPr="00096E7D" w:rsidRDefault="00F07E05" w:rsidP="008A253E">
            <w:pPr>
              <w:jc w:val="center"/>
            </w:pPr>
            <w:r w:rsidRPr="00096E7D">
              <w:t>9 055,16</w:t>
            </w:r>
          </w:p>
        </w:tc>
      </w:tr>
      <w:tr w:rsidR="00F07E05" w:rsidTr="008A253E">
        <w:trPr>
          <w:trHeight w:val="315"/>
        </w:trPr>
        <w:tc>
          <w:tcPr>
            <w:tcW w:w="560" w:type="dxa"/>
            <w:tcBorders>
              <w:top w:val="nil"/>
              <w:left w:val="single" w:sz="4" w:space="0" w:color="auto"/>
              <w:bottom w:val="single" w:sz="4" w:space="0" w:color="auto"/>
              <w:right w:val="single" w:sz="4" w:space="0" w:color="auto"/>
            </w:tcBorders>
            <w:shd w:val="clear" w:color="000000" w:fill="FFFFFF"/>
            <w:vAlign w:val="bottom"/>
            <w:hideMark/>
          </w:tcPr>
          <w:p w:rsidR="00F07E05" w:rsidRPr="00096E7D" w:rsidRDefault="00F07E05" w:rsidP="008A253E">
            <w:pPr>
              <w:jc w:val="center"/>
            </w:pPr>
            <w:r w:rsidRPr="00096E7D">
              <w:t>16</w:t>
            </w:r>
          </w:p>
        </w:tc>
        <w:tc>
          <w:tcPr>
            <w:tcW w:w="3675" w:type="dxa"/>
            <w:tcBorders>
              <w:top w:val="nil"/>
              <w:left w:val="nil"/>
              <w:bottom w:val="single" w:sz="4" w:space="0" w:color="auto"/>
              <w:right w:val="single" w:sz="4" w:space="0" w:color="auto"/>
            </w:tcBorders>
            <w:shd w:val="clear" w:color="auto" w:fill="auto"/>
            <w:noWrap/>
            <w:vAlign w:val="bottom"/>
            <w:hideMark/>
          </w:tcPr>
          <w:p w:rsidR="00F07E05" w:rsidRPr="00096E7D" w:rsidRDefault="00F07E05" w:rsidP="008A253E">
            <w:pPr>
              <w:rPr>
                <w:color w:val="000000"/>
              </w:rPr>
            </w:pPr>
            <w:r w:rsidRPr="00096E7D">
              <w:rPr>
                <w:color w:val="000000"/>
              </w:rPr>
              <w:t>Областной молодежный центр</w:t>
            </w:r>
          </w:p>
        </w:tc>
        <w:tc>
          <w:tcPr>
            <w:tcW w:w="1173" w:type="dxa"/>
            <w:tcBorders>
              <w:top w:val="nil"/>
              <w:left w:val="nil"/>
              <w:bottom w:val="single" w:sz="4" w:space="0" w:color="auto"/>
              <w:right w:val="single" w:sz="4" w:space="0" w:color="auto"/>
            </w:tcBorders>
            <w:shd w:val="clear" w:color="000000" w:fill="FFFFFF"/>
            <w:noWrap/>
            <w:vAlign w:val="bottom"/>
            <w:hideMark/>
          </w:tcPr>
          <w:p w:rsidR="00F07E05" w:rsidRPr="00096E7D" w:rsidRDefault="00F07E05" w:rsidP="008A253E">
            <w:pPr>
              <w:jc w:val="center"/>
            </w:pPr>
            <w:r w:rsidRPr="00096E7D">
              <w:t>247</w:t>
            </w:r>
          </w:p>
        </w:tc>
        <w:tc>
          <w:tcPr>
            <w:tcW w:w="1210" w:type="dxa"/>
            <w:tcBorders>
              <w:top w:val="nil"/>
              <w:left w:val="nil"/>
              <w:bottom w:val="single" w:sz="4" w:space="0" w:color="auto"/>
              <w:right w:val="single" w:sz="4" w:space="0" w:color="auto"/>
            </w:tcBorders>
            <w:shd w:val="clear" w:color="000000" w:fill="FFFFFF"/>
            <w:noWrap/>
            <w:vAlign w:val="bottom"/>
            <w:hideMark/>
          </w:tcPr>
          <w:p w:rsidR="00F07E05" w:rsidRPr="00096E7D" w:rsidRDefault="00F07E05" w:rsidP="008A253E">
            <w:pPr>
              <w:jc w:val="center"/>
            </w:pPr>
            <w:r w:rsidRPr="00096E7D">
              <w:t>35,00</w:t>
            </w:r>
          </w:p>
        </w:tc>
        <w:tc>
          <w:tcPr>
            <w:tcW w:w="1401" w:type="dxa"/>
            <w:tcBorders>
              <w:top w:val="nil"/>
              <w:left w:val="nil"/>
              <w:bottom w:val="single" w:sz="4" w:space="0" w:color="auto"/>
              <w:right w:val="single" w:sz="4" w:space="0" w:color="auto"/>
            </w:tcBorders>
            <w:shd w:val="clear" w:color="000000" w:fill="FFFFFF"/>
            <w:noWrap/>
            <w:vAlign w:val="bottom"/>
            <w:hideMark/>
          </w:tcPr>
          <w:p w:rsidR="00F07E05" w:rsidRPr="00096E7D" w:rsidRDefault="00F07E05" w:rsidP="008A253E">
            <w:pPr>
              <w:jc w:val="center"/>
            </w:pPr>
            <w:r w:rsidRPr="00096E7D">
              <w:t>8 645,00</w:t>
            </w:r>
          </w:p>
        </w:tc>
        <w:tc>
          <w:tcPr>
            <w:tcW w:w="1203" w:type="dxa"/>
            <w:tcBorders>
              <w:top w:val="nil"/>
              <w:left w:val="nil"/>
              <w:bottom w:val="single" w:sz="4" w:space="0" w:color="auto"/>
              <w:right w:val="single" w:sz="4" w:space="0" w:color="auto"/>
            </w:tcBorders>
            <w:shd w:val="clear" w:color="000000" w:fill="FFFFFF"/>
            <w:noWrap/>
            <w:vAlign w:val="bottom"/>
            <w:hideMark/>
          </w:tcPr>
          <w:p w:rsidR="00F07E05" w:rsidRPr="00096E7D" w:rsidRDefault="00F07E05" w:rsidP="008A253E">
            <w:pPr>
              <w:jc w:val="center"/>
            </w:pPr>
            <w:r w:rsidRPr="00096E7D">
              <w:t>36,40</w:t>
            </w:r>
          </w:p>
        </w:tc>
        <w:tc>
          <w:tcPr>
            <w:tcW w:w="1323" w:type="dxa"/>
            <w:tcBorders>
              <w:top w:val="nil"/>
              <w:left w:val="nil"/>
              <w:bottom w:val="single" w:sz="4" w:space="0" w:color="auto"/>
              <w:right w:val="single" w:sz="4" w:space="0" w:color="auto"/>
            </w:tcBorders>
            <w:shd w:val="clear" w:color="000000" w:fill="FFFFFF"/>
            <w:noWrap/>
            <w:vAlign w:val="bottom"/>
            <w:hideMark/>
          </w:tcPr>
          <w:p w:rsidR="00F07E05" w:rsidRPr="00096E7D" w:rsidRDefault="00F07E05" w:rsidP="008A253E">
            <w:pPr>
              <w:jc w:val="center"/>
            </w:pPr>
            <w:r w:rsidRPr="00096E7D">
              <w:t>8 990,80</w:t>
            </w:r>
          </w:p>
        </w:tc>
        <w:tc>
          <w:tcPr>
            <w:tcW w:w="1203" w:type="dxa"/>
            <w:tcBorders>
              <w:top w:val="nil"/>
              <w:left w:val="nil"/>
              <w:bottom w:val="single" w:sz="4" w:space="0" w:color="auto"/>
              <w:right w:val="single" w:sz="4" w:space="0" w:color="auto"/>
            </w:tcBorders>
            <w:shd w:val="clear" w:color="000000" w:fill="FFFFFF"/>
            <w:noWrap/>
            <w:vAlign w:val="bottom"/>
            <w:hideMark/>
          </w:tcPr>
          <w:p w:rsidR="00F07E05" w:rsidRPr="00096E7D" w:rsidRDefault="00F07E05" w:rsidP="008A253E">
            <w:pPr>
              <w:jc w:val="center"/>
            </w:pPr>
            <w:r w:rsidRPr="00096E7D">
              <w:t>37,86</w:t>
            </w:r>
          </w:p>
        </w:tc>
        <w:tc>
          <w:tcPr>
            <w:tcW w:w="1323" w:type="dxa"/>
            <w:tcBorders>
              <w:top w:val="nil"/>
              <w:left w:val="nil"/>
              <w:bottom w:val="single" w:sz="4" w:space="0" w:color="auto"/>
              <w:right w:val="single" w:sz="4" w:space="0" w:color="auto"/>
            </w:tcBorders>
            <w:shd w:val="clear" w:color="000000" w:fill="FFFFFF"/>
            <w:noWrap/>
            <w:vAlign w:val="bottom"/>
            <w:hideMark/>
          </w:tcPr>
          <w:p w:rsidR="00F07E05" w:rsidRPr="00096E7D" w:rsidRDefault="00F07E05" w:rsidP="008A253E">
            <w:pPr>
              <w:jc w:val="center"/>
            </w:pPr>
            <w:r w:rsidRPr="00096E7D">
              <w:t>9 350,43</w:t>
            </w:r>
          </w:p>
        </w:tc>
        <w:tc>
          <w:tcPr>
            <w:tcW w:w="1288" w:type="dxa"/>
            <w:tcBorders>
              <w:top w:val="nil"/>
              <w:left w:val="nil"/>
              <w:bottom w:val="single" w:sz="4" w:space="0" w:color="auto"/>
              <w:right w:val="single" w:sz="4" w:space="0" w:color="auto"/>
            </w:tcBorders>
            <w:shd w:val="clear" w:color="000000" w:fill="FFFFFF"/>
            <w:noWrap/>
            <w:vAlign w:val="bottom"/>
            <w:hideMark/>
          </w:tcPr>
          <w:p w:rsidR="00F07E05" w:rsidRPr="00096E7D" w:rsidRDefault="00F07E05" w:rsidP="008A253E">
            <w:pPr>
              <w:jc w:val="center"/>
            </w:pPr>
            <w:r w:rsidRPr="00096E7D">
              <w:t>39,37</w:t>
            </w:r>
          </w:p>
        </w:tc>
        <w:tc>
          <w:tcPr>
            <w:tcW w:w="1323" w:type="dxa"/>
            <w:tcBorders>
              <w:top w:val="nil"/>
              <w:left w:val="nil"/>
              <w:bottom w:val="single" w:sz="4" w:space="0" w:color="auto"/>
              <w:right w:val="single" w:sz="4" w:space="0" w:color="auto"/>
            </w:tcBorders>
            <w:shd w:val="clear" w:color="000000" w:fill="FFFFFF"/>
            <w:noWrap/>
            <w:vAlign w:val="bottom"/>
            <w:hideMark/>
          </w:tcPr>
          <w:p w:rsidR="00F07E05" w:rsidRPr="00096E7D" w:rsidRDefault="00F07E05" w:rsidP="008A253E">
            <w:pPr>
              <w:jc w:val="center"/>
            </w:pPr>
            <w:r w:rsidRPr="00096E7D">
              <w:t>9 724,45</w:t>
            </w:r>
          </w:p>
        </w:tc>
      </w:tr>
      <w:tr w:rsidR="00F07E05" w:rsidTr="008A253E">
        <w:trPr>
          <w:trHeight w:val="300"/>
        </w:trPr>
        <w:tc>
          <w:tcPr>
            <w:tcW w:w="560" w:type="dxa"/>
            <w:tcBorders>
              <w:top w:val="nil"/>
              <w:left w:val="single" w:sz="4" w:space="0" w:color="auto"/>
              <w:bottom w:val="single" w:sz="4" w:space="0" w:color="auto"/>
              <w:right w:val="single" w:sz="4" w:space="0" w:color="auto"/>
            </w:tcBorders>
            <w:shd w:val="clear" w:color="000000" w:fill="FFFFFF"/>
            <w:vAlign w:val="bottom"/>
            <w:hideMark/>
          </w:tcPr>
          <w:p w:rsidR="00F07E05" w:rsidRPr="00096E7D" w:rsidRDefault="00F07E05" w:rsidP="008A253E">
            <w:pPr>
              <w:jc w:val="center"/>
            </w:pPr>
            <w:r w:rsidRPr="00096E7D">
              <w:t>17</w:t>
            </w:r>
          </w:p>
        </w:tc>
        <w:tc>
          <w:tcPr>
            <w:tcW w:w="3675" w:type="dxa"/>
            <w:tcBorders>
              <w:top w:val="nil"/>
              <w:left w:val="nil"/>
              <w:bottom w:val="single" w:sz="4" w:space="0" w:color="auto"/>
              <w:right w:val="single" w:sz="4" w:space="0" w:color="auto"/>
            </w:tcBorders>
            <w:shd w:val="clear" w:color="auto" w:fill="auto"/>
            <w:noWrap/>
            <w:vAlign w:val="bottom"/>
            <w:hideMark/>
          </w:tcPr>
          <w:p w:rsidR="00F07E05" w:rsidRPr="00096E7D" w:rsidRDefault="00F07E05" w:rsidP="008A253E">
            <w:pPr>
              <w:rPr>
                <w:color w:val="000000"/>
              </w:rPr>
            </w:pPr>
            <w:r w:rsidRPr="00096E7D">
              <w:rPr>
                <w:color w:val="000000"/>
              </w:rPr>
              <w:t>ГБУ "СШОР №" им. Капитонова</w:t>
            </w:r>
          </w:p>
        </w:tc>
        <w:tc>
          <w:tcPr>
            <w:tcW w:w="1173" w:type="dxa"/>
            <w:tcBorders>
              <w:top w:val="nil"/>
              <w:left w:val="nil"/>
              <w:bottom w:val="single" w:sz="4" w:space="0" w:color="auto"/>
              <w:right w:val="single" w:sz="4" w:space="0" w:color="auto"/>
            </w:tcBorders>
            <w:shd w:val="clear" w:color="000000" w:fill="FFFFFF"/>
            <w:noWrap/>
            <w:vAlign w:val="bottom"/>
            <w:hideMark/>
          </w:tcPr>
          <w:p w:rsidR="00F07E05" w:rsidRPr="00096E7D" w:rsidRDefault="00F07E05" w:rsidP="008A253E">
            <w:pPr>
              <w:jc w:val="center"/>
            </w:pPr>
            <w:r w:rsidRPr="00096E7D">
              <w:t>256</w:t>
            </w:r>
          </w:p>
        </w:tc>
        <w:tc>
          <w:tcPr>
            <w:tcW w:w="1210" w:type="dxa"/>
            <w:tcBorders>
              <w:top w:val="nil"/>
              <w:left w:val="nil"/>
              <w:bottom w:val="single" w:sz="4" w:space="0" w:color="auto"/>
              <w:right w:val="single" w:sz="4" w:space="0" w:color="auto"/>
            </w:tcBorders>
            <w:shd w:val="clear" w:color="000000" w:fill="FFFFFF"/>
            <w:noWrap/>
            <w:vAlign w:val="bottom"/>
            <w:hideMark/>
          </w:tcPr>
          <w:p w:rsidR="00F07E05" w:rsidRPr="00096E7D" w:rsidRDefault="00F07E05" w:rsidP="008A253E">
            <w:pPr>
              <w:jc w:val="center"/>
            </w:pPr>
            <w:r w:rsidRPr="00096E7D">
              <w:t>35,00</w:t>
            </w:r>
          </w:p>
        </w:tc>
        <w:tc>
          <w:tcPr>
            <w:tcW w:w="1401" w:type="dxa"/>
            <w:tcBorders>
              <w:top w:val="nil"/>
              <w:left w:val="nil"/>
              <w:bottom w:val="single" w:sz="4" w:space="0" w:color="auto"/>
              <w:right w:val="single" w:sz="4" w:space="0" w:color="auto"/>
            </w:tcBorders>
            <w:shd w:val="clear" w:color="000000" w:fill="FFFFFF"/>
            <w:noWrap/>
            <w:vAlign w:val="bottom"/>
            <w:hideMark/>
          </w:tcPr>
          <w:p w:rsidR="00F07E05" w:rsidRPr="00096E7D" w:rsidRDefault="00F07E05" w:rsidP="008A253E">
            <w:pPr>
              <w:jc w:val="center"/>
            </w:pPr>
            <w:r w:rsidRPr="00096E7D">
              <w:t>8 960,00</w:t>
            </w:r>
          </w:p>
        </w:tc>
        <w:tc>
          <w:tcPr>
            <w:tcW w:w="1203" w:type="dxa"/>
            <w:tcBorders>
              <w:top w:val="nil"/>
              <w:left w:val="nil"/>
              <w:bottom w:val="single" w:sz="4" w:space="0" w:color="auto"/>
              <w:right w:val="single" w:sz="4" w:space="0" w:color="auto"/>
            </w:tcBorders>
            <w:shd w:val="clear" w:color="000000" w:fill="FFFFFF"/>
            <w:noWrap/>
            <w:vAlign w:val="bottom"/>
            <w:hideMark/>
          </w:tcPr>
          <w:p w:rsidR="00F07E05" w:rsidRPr="00096E7D" w:rsidRDefault="00F07E05" w:rsidP="008A253E">
            <w:pPr>
              <w:jc w:val="center"/>
            </w:pPr>
            <w:r w:rsidRPr="00096E7D">
              <w:t>36,40</w:t>
            </w:r>
          </w:p>
        </w:tc>
        <w:tc>
          <w:tcPr>
            <w:tcW w:w="1323" w:type="dxa"/>
            <w:tcBorders>
              <w:top w:val="nil"/>
              <w:left w:val="nil"/>
              <w:bottom w:val="single" w:sz="4" w:space="0" w:color="auto"/>
              <w:right w:val="single" w:sz="4" w:space="0" w:color="auto"/>
            </w:tcBorders>
            <w:shd w:val="clear" w:color="000000" w:fill="FFFFFF"/>
            <w:noWrap/>
            <w:vAlign w:val="bottom"/>
            <w:hideMark/>
          </w:tcPr>
          <w:p w:rsidR="00F07E05" w:rsidRPr="00096E7D" w:rsidRDefault="00F07E05" w:rsidP="008A253E">
            <w:pPr>
              <w:jc w:val="center"/>
            </w:pPr>
            <w:r w:rsidRPr="00096E7D">
              <w:t>9 318,40</w:t>
            </w:r>
          </w:p>
        </w:tc>
        <w:tc>
          <w:tcPr>
            <w:tcW w:w="1203" w:type="dxa"/>
            <w:tcBorders>
              <w:top w:val="nil"/>
              <w:left w:val="nil"/>
              <w:bottom w:val="single" w:sz="4" w:space="0" w:color="auto"/>
              <w:right w:val="single" w:sz="4" w:space="0" w:color="auto"/>
            </w:tcBorders>
            <w:shd w:val="clear" w:color="000000" w:fill="FFFFFF"/>
            <w:noWrap/>
            <w:vAlign w:val="bottom"/>
            <w:hideMark/>
          </w:tcPr>
          <w:p w:rsidR="00F07E05" w:rsidRPr="00096E7D" w:rsidRDefault="00F07E05" w:rsidP="008A253E">
            <w:pPr>
              <w:jc w:val="center"/>
            </w:pPr>
            <w:r w:rsidRPr="00096E7D">
              <w:t>37,86</w:t>
            </w:r>
          </w:p>
        </w:tc>
        <w:tc>
          <w:tcPr>
            <w:tcW w:w="1323" w:type="dxa"/>
            <w:tcBorders>
              <w:top w:val="nil"/>
              <w:left w:val="nil"/>
              <w:bottom w:val="single" w:sz="4" w:space="0" w:color="auto"/>
              <w:right w:val="single" w:sz="4" w:space="0" w:color="auto"/>
            </w:tcBorders>
            <w:shd w:val="clear" w:color="000000" w:fill="FFFFFF"/>
            <w:noWrap/>
            <w:vAlign w:val="bottom"/>
            <w:hideMark/>
          </w:tcPr>
          <w:p w:rsidR="00F07E05" w:rsidRPr="00096E7D" w:rsidRDefault="00F07E05" w:rsidP="008A253E">
            <w:pPr>
              <w:jc w:val="center"/>
            </w:pPr>
            <w:r w:rsidRPr="00096E7D">
              <w:t>9 691,14</w:t>
            </w:r>
          </w:p>
        </w:tc>
        <w:tc>
          <w:tcPr>
            <w:tcW w:w="1288" w:type="dxa"/>
            <w:tcBorders>
              <w:top w:val="nil"/>
              <w:left w:val="nil"/>
              <w:bottom w:val="single" w:sz="4" w:space="0" w:color="auto"/>
              <w:right w:val="single" w:sz="4" w:space="0" w:color="auto"/>
            </w:tcBorders>
            <w:shd w:val="clear" w:color="000000" w:fill="FFFFFF"/>
            <w:noWrap/>
            <w:vAlign w:val="bottom"/>
            <w:hideMark/>
          </w:tcPr>
          <w:p w:rsidR="00F07E05" w:rsidRPr="00096E7D" w:rsidRDefault="00F07E05" w:rsidP="008A253E">
            <w:pPr>
              <w:jc w:val="center"/>
            </w:pPr>
            <w:r w:rsidRPr="00096E7D">
              <w:t>39,37</w:t>
            </w:r>
          </w:p>
        </w:tc>
        <w:tc>
          <w:tcPr>
            <w:tcW w:w="1323" w:type="dxa"/>
            <w:tcBorders>
              <w:top w:val="nil"/>
              <w:left w:val="nil"/>
              <w:bottom w:val="single" w:sz="4" w:space="0" w:color="auto"/>
              <w:right w:val="single" w:sz="4" w:space="0" w:color="auto"/>
            </w:tcBorders>
            <w:shd w:val="clear" w:color="000000" w:fill="FFFFFF"/>
            <w:noWrap/>
            <w:vAlign w:val="bottom"/>
            <w:hideMark/>
          </w:tcPr>
          <w:p w:rsidR="00F07E05" w:rsidRPr="00096E7D" w:rsidRDefault="00F07E05" w:rsidP="008A253E">
            <w:pPr>
              <w:jc w:val="center"/>
            </w:pPr>
            <w:r w:rsidRPr="00096E7D">
              <w:t>10 078,78</w:t>
            </w:r>
          </w:p>
        </w:tc>
      </w:tr>
      <w:tr w:rsidR="00F07E05" w:rsidTr="008A253E">
        <w:trPr>
          <w:trHeight w:val="427"/>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F07E05" w:rsidRPr="00096E7D" w:rsidRDefault="00F07E05" w:rsidP="008A253E">
            <w:pPr>
              <w:jc w:val="center"/>
            </w:pPr>
            <w:r w:rsidRPr="00096E7D">
              <w:t>18</w:t>
            </w:r>
          </w:p>
        </w:tc>
        <w:tc>
          <w:tcPr>
            <w:tcW w:w="3675" w:type="dxa"/>
            <w:tcBorders>
              <w:top w:val="nil"/>
              <w:left w:val="nil"/>
              <w:bottom w:val="single" w:sz="4" w:space="0" w:color="auto"/>
              <w:right w:val="single" w:sz="4" w:space="0" w:color="auto"/>
            </w:tcBorders>
            <w:shd w:val="clear" w:color="auto" w:fill="auto"/>
            <w:noWrap/>
            <w:vAlign w:val="bottom"/>
            <w:hideMark/>
          </w:tcPr>
          <w:p w:rsidR="00F07E05" w:rsidRPr="00096E7D" w:rsidRDefault="00F07E05" w:rsidP="008A253E">
            <w:pPr>
              <w:rPr>
                <w:color w:val="000000"/>
              </w:rPr>
            </w:pPr>
            <w:r w:rsidRPr="00096E7D">
              <w:rPr>
                <w:color w:val="000000"/>
              </w:rPr>
              <w:t>ООО  Парк</w:t>
            </w:r>
          </w:p>
        </w:tc>
        <w:tc>
          <w:tcPr>
            <w:tcW w:w="1173" w:type="dxa"/>
            <w:tcBorders>
              <w:top w:val="nil"/>
              <w:left w:val="nil"/>
              <w:bottom w:val="single" w:sz="4" w:space="0" w:color="auto"/>
              <w:right w:val="single" w:sz="4" w:space="0" w:color="auto"/>
            </w:tcBorders>
            <w:shd w:val="clear" w:color="auto" w:fill="auto"/>
            <w:noWrap/>
            <w:vAlign w:val="bottom"/>
            <w:hideMark/>
          </w:tcPr>
          <w:p w:rsidR="00F07E05" w:rsidRPr="00096E7D" w:rsidRDefault="00F07E05" w:rsidP="008A253E">
            <w:pPr>
              <w:jc w:val="center"/>
            </w:pPr>
            <w:r w:rsidRPr="00096E7D">
              <w:t>1000</w:t>
            </w:r>
          </w:p>
        </w:tc>
        <w:tc>
          <w:tcPr>
            <w:tcW w:w="1210" w:type="dxa"/>
            <w:tcBorders>
              <w:top w:val="nil"/>
              <w:left w:val="nil"/>
              <w:bottom w:val="single" w:sz="4" w:space="0" w:color="auto"/>
              <w:right w:val="single" w:sz="4" w:space="0" w:color="auto"/>
            </w:tcBorders>
            <w:shd w:val="clear" w:color="auto" w:fill="auto"/>
            <w:noWrap/>
            <w:vAlign w:val="bottom"/>
            <w:hideMark/>
          </w:tcPr>
          <w:p w:rsidR="00F07E05" w:rsidRPr="00096E7D" w:rsidRDefault="00F07E05" w:rsidP="008A253E">
            <w:pPr>
              <w:jc w:val="center"/>
            </w:pPr>
            <w:r w:rsidRPr="00096E7D">
              <w:t>35,00</w:t>
            </w:r>
          </w:p>
        </w:tc>
        <w:tc>
          <w:tcPr>
            <w:tcW w:w="1401" w:type="dxa"/>
            <w:tcBorders>
              <w:top w:val="nil"/>
              <w:left w:val="nil"/>
              <w:bottom w:val="single" w:sz="4" w:space="0" w:color="auto"/>
              <w:right w:val="single" w:sz="4" w:space="0" w:color="auto"/>
            </w:tcBorders>
            <w:shd w:val="clear" w:color="auto" w:fill="auto"/>
            <w:noWrap/>
            <w:vAlign w:val="bottom"/>
            <w:hideMark/>
          </w:tcPr>
          <w:p w:rsidR="00F07E05" w:rsidRPr="00096E7D" w:rsidRDefault="00F07E05" w:rsidP="008A253E">
            <w:pPr>
              <w:jc w:val="center"/>
            </w:pPr>
            <w:r w:rsidRPr="00096E7D">
              <w:t>35 000,00</w:t>
            </w:r>
          </w:p>
        </w:tc>
        <w:tc>
          <w:tcPr>
            <w:tcW w:w="1203" w:type="dxa"/>
            <w:tcBorders>
              <w:top w:val="nil"/>
              <w:left w:val="nil"/>
              <w:bottom w:val="single" w:sz="4" w:space="0" w:color="auto"/>
              <w:right w:val="single" w:sz="4" w:space="0" w:color="auto"/>
            </w:tcBorders>
            <w:shd w:val="clear" w:color="000000" w:fill="FFFFFF"/>
            <w:noWrap/>
            <w:vAlign w:val="bottom"/>
            <w:hideMark/>
          </w:tcPr>
          <w:p w:rsidR="00F07E05" w:rsidRPr="00096E7D" w:rsidRDefault="00F07E05" w:rsidP="008A253E">
            <w:pPr>
              <w:jc w:val="center"/>
            </w:pPr>
            <w:r w:rsidRPr="00096E7D">
              <w:t>36,40</w:t>
            </w:r>
          </w:p>
        </w:tc>
        <w:tc>
          <w:tcPr>
            <w:tcW w:w="1323" w:type="dxa"/>
            <w:tcBorders>
              <w:top w:val="nil"/>
              <w:left w:val="nil"/>
              <w:bottom w:val="single" w:sz="4" w:space="0" w:color="auto"/>
              <w:right w:val="single" w:sz="4" w:space="0" w:color="auto"/>
            </w:tcBorders>
            <w:shd w:val="clear" w:color="auto" w:fill="auto"/>
            <w:noWrap/>
            <w:vAlign w:val="bottom"/>
            <w:hideMark/>
          </w:tcPr>
          <w:p w:rsidR="00F07E05" w:rsidRPr="00096E7D" w:rsidRDefault="00F07E05" w:rsidP="008A253E">
            <w:pPr>
              <w:jc w:val="center"/>
            </w:pPr>
            <w:r w:rsidRPr="00096E7D">
              <w:t>36 400,00</w:t>
            </w:r>
          </w:p>
        </w:tc>
        <w:tc>
          <w:tcPr>
            <w:tcW w:w="1203" w:type="dxa"/>
            <w:tcBorders>
              <w:top w:val="nil"/>
              <w:left w:val="nil"/>
              <w:bottom w:val="single" w:sz="4" w:space="0" w:color="auto"/>
              <w:right w:val="single" w:sz="4" w:space="0" w:color="auto"/>
            </w:tcBorders>
            <w:shd w:val="clear" w:color="000000" w:fill="FFFFFF"/>
            <w:noWrap/>
            <w:vAlign w:val="bottom"/>
            <w:hideMark/>
          </w:tcPr>
          <w:p w:rsidR="00F07E05" w:rsidRPr="00096E7D" w:rsidRDefault="00F07E05" w:rsidP="008A253E">
            <w:pPr>
              <w:jc w:val="center"/>
            </w:pPr>
            <w:r w:rsidRPr="00096E7D">
              <w:t>37,86</w:t>
            </w:r>
          </w:p>
        </w:tc>
        <w:tc>
          <w:tcPr>
            <w:tcW w:w="1323" w:type="dxa"/>
            <w:tcBorders>
              <w:top w:val="nil"/>
              <w:left w:val="nil"/>
              <w:bottom w:val="single" w:sz="4" w:space="0" w:color="auto"/>
              <w:right w:val="single" w:sz="4" w:space="0" w:color="auto"/>
            </w:tcBorders>
            <w:shd w:val="clear" w:color="auto" w:fill="auto"/>
            <w:noWrap/>
            <w:vAlign w:val="bottom"/>
            <w:hideMark/>
          </w:tcPr>
          <w:p w:rsidR="00F07E05" w:rsidRPr="00096E7D" w:rsidRDefault="00F07E05" w:rsidP="008A253E">
            <w:pPr>
              <w:jc w:val="center"/>
            </w:pPr>
            <w:r w:rsidRPr="00096E7D">
              <w:t>37 856,00</w:t>
            </w:r>
          </w:p>
        </w:tc>
        <w:tc>
          <w:tcPr>
            <w:tcW w:w="1288" w:type="dxa"/>
            <w:tcBorders>
              <w:top w:val="nil"/>
              <w:left w:val="nil"/>
              <w:bottom w:val="single" w:sz="4" w:space="0" w:color="auto"/>
              <w:right w:val="single" w:sz="4" w:space="0" w:color="auto"/>
            </w:tcBorders>
            <w:shd w:val="clear" w:color="000000" w:fill="FFFFFF"/>
            <w:noWrap/>
            <w:vAlign w:val="bottom"/>
            <w:hideMark/>
          </w:tcPr>
          <w:p w:rsidR="00F07E05" w:rsidRPr="00096E7D" w:rsidRDefault="00F07E05" w:rsidP="008A253E">
            <w:pPr>
              <w:jc w:val="center"/>
            </w:pPr>
            <w:r w:rsidRPr="00096E7D">
              <w:t>39,37</w:t>
            </w:r>
          </w:p>
        </w:tc>
        <w:tc>
          <w:tcPr>
            <w:tcW w:w="1323" w:type="dxa"/>
            <w:tcBorders>
              <w:top w:val="nil"/>
              <w:left w:val="nil"/>
              <w:bottom w:val="single" w:sz="4" w:space="0" w:color="auto"/>
              <w:right w:val="single" w:sz="4" w:space="0" w:color="auto"/>
            </w:tcBorders>
            <w:shd w:val="clear" w:color="auto" w:fill="auto"/>
            <w:noWrap/>
            <w:vAlign w:val="bottom"/>
            <w:hideMark/>
          </w:tcPr>
          <w:p w:rsidR="00F07E05" w:rsidRPr="00096E7D" w:rsidRDefault="00F07E05" w:rsidP="008A253E">
            <w:pPr>
              <w:jc w:val="center"/>
            </w:pPr>
            <w:r w:rsidRPr="00096E7D">
              <w:t>39 370,24</w:t>
            </w:r>
          </w:p>
        </w:tc>
      </w:tr>
      <w:tr w:rsidR="00F07E05" w:rsidTr="008A253E">
        <w:trPr>
          <w:trHeight w:val="604"/>
        </w:trPr>
        <w:tc>
          <w:tcPr>
            <w:tcW w:w="560" w:type="dxa"/>
            <w:tcBorders>
              <w:top w:val="nil"/>
              <w:left w:val="single" w:sz="4" w:space="0" w:color="auto"/>
              <w:bottom w:val="single" w:sz="4" w:space="0" w:color="auto"/>
              <w:right w:val="single" w:sz="4" w:space="0" w:color="auto"/>
            </w:tcBorders>
            <w:shd w:val="clear" w:color="000000" w:fill="FFFFFF"/>
            <w:vAlign w:val="bottom"/>
            <w:hideMark/>
          </w:tcPr>
          <w:p w:rsidR="00F07E05" w:rsidRPr="00096E7D" w:rsidRDefault="00F07E05" w:rsidP="008A253E">
            <w:pPr>
              <w:jc w:val="center"/>
            </w:pPr>
            <w:r w:rsidRPr="00096E7D">
              <w:t>19</w:t>
            </w:r>
          </w:p>
        </w:tc>
        <w:tc>
          <w:tcPr>
            <w:tcW w:w="3675" w:type="dxa"/>
            <w:tcBorders>
              <w:top w:val="nil"/>
              <w:left w:val="nil"/>
              <w:bottom w:val="single" w:sz="4" w:space="0" w:color="auto"/>
              <w:right w:val="single" w:sz="4" w:space="0" w:color="auto"/>
            </w:tcBorders>
            <w:shd w:val="clear" w:color="auto" w:fill="auto"/>
            <w:noWrap/>
            <w:vAlign w:val="bottom"/>
            <w:hideMark/>
          </w:tcPr>
          <w:p w:rsidR="00F07E05" w:rsidRPr="00096E7D" w:rsidRDefault="00F07E05" w:rsidP="008A253E">
            <w:pPr>
              <w:rPr>
                <w:color w:val="000000"/>
              </w:rPr>
            </w:pPr>
            <w:r w:rsidRPr="00096E7D">
              <w:rPr>
                <w:color w:val="000000"/>
              </w:rPr>
              <w:t>Росздравнадзор</w:t>
            </w:r>
          </w:p>
        </w:tc>
        <w:tc>
          <w:tcPr>
            <w:tcW w:w="1173" w:type="dxa"/>
            <w:tcBorders>
              <w:top w:val="nil"/>
              <w:left w:val="nil"/>
              <w:bottom w:val="single" w:sz="4" w:space="0" w:color="auto"/>
              <w:right w:val="single" w:sz="4" w:space="0" w:color="auto"/>
            </w:tcBorders>
            <w:shd w:val="clear" w:color="000000" w:fill="FFFFFF"/>
            <w:noWrap/>
            <w:vAlign w:val="bottom"/>
            <w:hideMark/>
          </w:tcPr>
          <w:p w:rsidR="00F07E05" w:rsidRPr="00096E7D" w:rsidRDefault="00F07E05" w:rsidP="008A253E">
            <w:pPr>
              <w:jc w:val="center"/>
            </w:pPr>
            <w:r w:rsidRPr="00096E7D">
              <w:t>528</w:t>
            </w:r>
          </w:p>
        </w:tc>
        <w:tc>
          <w:tcPr>
            <w:tcW w:w="1210" w:type="dxa"/>
            <w:tcBorders>
              <w:top w:val="nil"/>
              <w:left w:val="nil"/>
              <w:bottom w:val="single" w:sz="4" w:space="0" w:color="auto"/>
              <w:right w:val="single" w:sz="4" w:space="0" w:color="auto"/>
            </w:tcBorders>
            <w:shd w:val="clear" w:color="000000" w:fill="FFFFFF"/>
            <w:noWrap/>
            <w:vAlign w:val="bottom"/>
            <w:hideMark/>
          </w:tcPr>
          <w:p w:rsidR="00F07E05" w:rsidRPr="00096E7D" w:rsidRDefault="00F07E05" w:rsidP="008A253E">
            <w:pPr>
              <w:jc w:val="center"/>
            </w:pPr>
            <w:r w:rsidRPr="00096E7D">
              <w:t>35,00</w:t>
            </w:r>
          </w:p>
        </w:tc>
        <w:tc>
          <w:tcPr>
            <w:tcW w:w="1401" w:type="dxa"/>
            <w:tcBorders>
              <w:top w:val="nil"/>
              <w:left w:val="nil"/>
              <w:bottom w:val="single" w:sz="4" w:space="0" w:color="auto"/>
              <w:right w:val="single" w:sz="4" w:space="0" w:color="auto"/>
            </w:tcBorders>
            <w:shd w:val="clear" w:color="000000" w:fill="FFFFFF"/>
            <w:noWrap/>
            <w:vAlign w:val="bottom"/>
            <w:hideMark/>
          </w:tcPr>
          <w:p w:rsidR="00F07E05" w:rsidRPr="00096E7D" w:rsidRDefault="00F07E05" w:rsidP="008A253E">
            <w:pPr>
              <w:jc w:val="center"/>
            </w:pPr>
            <w:r w:rsidRPr="00096E7D">
              <w:t>18 480,00</w:t>
            </w:r>
          </w:p>
        </w:tc>
        <w:tc>
          <w:tcPr>
            <w:tcW w:w="1203" w:type="dxa"/>
            <w:tcBorders>
              <w:top w:val="nil"/>
              <w:left w:val="nil"/>
              <w:bottom w:val="single" w:sz="4" w:space="0" w:color="auto"/>
              <w:right w:val="single" w:sz="4" w:space="0" w:color="auto"/>
            </w:tcBorders>
            <w:shd w:val="clear" w:color="000000" w:fill="FFFFFF"/>
            <w:noWrap/>
            <w:vAlign w:val="bottom"/>
            <w:hideMark/>
          </w:tcPr>
          <w:p w:rsidR="00F07E05" w:rsidRPr="00096E7D" w:rsidRDefault="00F07E05" w:rsidP="008A253E">
            <w:pPr>
              <w:jc w:val="center"/>
            </w:pPr>
            <w:r w:rsidRPr="00096E7D">
              <w:t>36,40</w:t>
            </w:r>
          </w:p>
        </w:tc>
        <w:tc>
          <w:tcPr>
            <w:tcW w:w="1323" w:type="dxa"/>
            <w:tcBorders>
              <w:top w:val="nil"/>
              <w:left w:val="nil"/>
              <w:bottom w:val="single" w:sz="4" w:space="0" w:color="auto"/>
              <w:right w:val="single" w:sz="4" w:space="0" w:color="auto"/>
            </w:tcBorders>
            <w:shd w:val="clear" w:color="000000" w:fill="FFFFFF"/>
            <w:noWrap/>
            <w:vAlign w:val="bottom"/>
            <w:hideMark/>
          </w:tcPr>
          <w:p w:rsidR="00F07E05" w:rsidRPr="00096E7D" w:rsidRDefault="00F07E05" w:rsidP="008A253E">
            <w:pPr>
              <w:jc w:val="center"/>
            </w:pPr>
            <w:r w:rsidRPr="00096E7D">
              <w:t>19 219,20</w:t>
            </w:r>
          </w:p>
        </w:tc>
        <w:tc>
          <w:tcPr>
            <w:tcW w:w="1203" w:type="dxa"/>
            <w:tcBorders>
              <w:top w:val="nil"/>
              <w:left w:val="nil"/>
              <w:bottom w:val="single" w:sz="4" w:space="0" w:color="auto"/>
              <w:right w:val="single" w:sz="4" w:space="0" w:color="auto"/>
            </w:tcBorders>
            <w:shd w:val="clear" w:color="000000" w:fill="FFFFFF"/>
            <w:noWrap/>
            <w:vAlign w:val="bottom"/>
            <w:hideMark/>
          </w:tcPr>
          <w:p w:rsidR="00F07E05" w:rsidRPr="00096E7D" w:rsidRDefault="00F07E05" w:rsidP="008A253E">
            <w:pPr>
              <w:jc w:val="center"/>
            </w:pPr>
            <w:r w:rsidRPr="00096E7D">
              <w:t>37,86</w:t>
            </w:r>
          </w:p>
        </w:tc>
        <w:tc>
          <w:tcPr>
            <w:tcW w:w="1323" w:type="dxa"/>
            <w:tcBorders>
              <w:top w:val="nil"/>
              <w:left w:val="nil"/>
              <w:bottom w:val="single" w:sz="4" w:space="0" w:color="auto"/>
              <w:right w:val="single" w:sz="4" w:space="0" w:color="auto"/>
            </w:tcBorders>
            <w:shd w:val="clear" w:color="000000" w:fill="FFFFFF"/>
            <w:noWrap/>
            <w:vAlign w:val="bottom"/>
            <w:hideMark/>
          </w:tcPr>
          <w:p w:rsidR="00F07E05" w:rsidRPr="00096E7D" w:rsidRDefault="00F07E05" w:rsidP="008A253E">
            <w:pPr>
              <w:jc w:val="center"/>
            </w:pPr>
            <w:r w:rsidRPr="00096E7D">
              <w:t>19 987,97</w:t>
            </w:r>
          </w:p>
        </w:tc>
        <w:tc>
          <w:tcPr>
            <w:tcW w:w="1288" w:type="dxa"/>
            <w:tcBorders>
              <w:top w:val="nil"/>
              <w:left w:val="nil"/>
              <w:bottom w:val="single" w:sz="4" w:space="0" w:color="auto"/>
              <w:right w:val="single" w:sz="4" w:space="0" w:color="auto"/>
            </w:tcBorders>
            <w:shd w:val="clear" w:color="000000" w:fill="FFFFFF"/>
            <w:noWrap/>
            <w:vAlign w:val="bottom"/>
            <w:hideMark/>
          </w:tcPr>
          <w:p w:rsidR="00F07E05" w:rsidRPr="00096E7D" w:rsidRDefault="00F07E05" w:rsidP="008A253E">
            <w:pPr>
              <w:jc w:val="center"/>
            </w:pPr>
            <w:r w:rsidRPr="00096E7D">
              <w:t>39,37</w:t>
            </w:r>
          </w:p>
        </w:tc>
        <w:tc>
          <w:tcPr>
            <w:tcW w:w="1323" w:type="dxa"/>
            <w:tcBorders>
              <w:top w:val="nil"/>
              <w:left w:val="nil"/>
              <w:bottom w:val="single" w:sz="4" w:space="0" w:color="auto"/>
              <w:right w:val="single" w:sz="4" w:space="0" w:color="auto"/>
            </w:tcBorders>
            <w:shd w:val="clear" w:color="000000" w:fill="FFFFFF"/>
            <w:noWrap/>
            <w:vAlign w:val="bottom"/>
            <w:hideMark/>
          </w:tcPr>
          <w:p w:rsidR="00F07E05" w:rsidRPr="00096E7D" w:rsidRDefault="00F07E05" w:rsidP="008A253E">
            <w:pPr>
              <w:jc w:val="center"/>
            </w:pPr>
            <w:r w:rsidRPr="00096E7D">
              <w:t>20 787,49</w:t>
            </w:r>
          </w:p>
        </w:tc>
      </w:tr>
      <w:tr w:rsidR="00F07E05" w:rsidTr="008A253E">
        <w:trPr>
          <w:trHeight w:val="473"/>
        </w:trPr>
        <w:tc>
          <w:tcPr>
            <w:tcW w:w="560" w:type="dxa"/>
            <w:tcBorders>
              <w:top w:val="nil"/>
              <w:left w:val="single" w:sz="4" w:space="0" w:color="auto"/>
              <w:bottom w:val="single" w:sz="4" w:space="0" w:color="auto"/>
              <w:right w:val="single" w:sz="4" w:space="0" w:color="auto"/>
            </w:tcBorders>
            <w:shd w:val="clear" w:color="000000" w:fill="FFFFFF"/>
            <w:vAlign w:val="bottom"/>
            <w:hideMark/>
          </w:tcPr>
          <w:p w:rsidR="00F07E05" w:rsidRPr="00096E7D" w:rsidRDefault="00F07E05" w:rsidP="008A253E">
            <w:pPr>
              <w:jc w:val="center"/>
            </w:pPr>
            <w:r w:rsidRPr="00096E7D">
              <w:t>20</w:t>
            </w:r>
          </w:p>
        </w:tc>
        <w:tc>
          <w:tcPr>
            <w:tcW w:w="3675" w:type="dxa"/>
            <w:tcBorders>
              <w:top w:val="nil"/>
              <w:left w:val="nil"/>
              <w:bottom w:val="single" w:sz="4" w:space="0" w:color="auto"/>
              <w:right w:val="single" w:sz="4" w:space="0" w:color="auto"/>
            </w:tcBorders>
            <w:shd w:val="clear" w:color="auto" w:fill="auto"/>
            <w:noWrap/>
            <w:vAlign w:val="bottom"/>
            <w:hideMark/>
          </w:tcPr>
          <w:p w:rsidR="00F07E05" w:rsidRPr="00096E7D" w:rsidRDefault="00F07E05" w:rsidP="008A253E">
            <w:pPr>
              <w:rPr>
                <w:color w:val="000000"/>
              </w:rPr>
            </w:pPr>
            <w:r w:rsidRPr="00096E7D">
              <w:rPr>
                <w:color w:val="000000"/>
              </w:rPr>
              <w:t>МБУ СШОР "Тверь"</w:t>
            </w:r>
          </w:p>
        </w:tc>
        <w:tc>
          <w:tcPr>
            <w:tcW w:w="1173" w:type="dxa"/>
            <w:tcBorders>
              <w:top w:val="nil"/>
              <w:left w:val="nil"/>
              <w:bottom w:val="single" w:sz="4" w:space="0" w:color="auto"/>
              <w:right w:val="single" w:sz="4" w:space="0" w:color="auto"/>
            </w:tcBorders>
            <w:shd w:val="clear" w:color="000000" w:fill="FFFFFF"/>
            <w:noWrap/>
            <w:vAlign w:val="bottom"/>
            <w:hideMark/>
          </w:tcPr>
          <w:p w:rsidR="00F07E05" w:rsidRPr="00096E7D" w:rsidRDefault="00F07E05" w:rsidP="008A253E">
            <w:pPr>
              <w:jc w:val="center"/>
            </w:pPr>
            <w:r w:rsidRPr="00096E7D">
              <w:t>400</w:t>
            </w:r>
          </w:p>
        </w:tc>
        <w:tc>
          <w:tcPr>
            <w:tcW w:w="1210" w:type="dxa"/>
            <w:tcBorders>
              <w:top w:val="nil"/>
              <w:left w:val="nil"/>
              <w:bottom w:val="single" w:sz="4" w:space="0" w:color="auto"/>
              <w:right w:val="single" w:sz="4" w:space="0" w:color="auto"/>
            </w:tcBorders>
            <w:shd w:val="clear" w:color="000000" w:fill="FFFFFF"/>
            <w:noWrap/>
            <w:vAlign w:val="bottom"/>
            <w:hideMark/>
          </w:tcPr>
          <w:p w:rsidR="00F07E05" w:rsidRPr="00096E7D" w:rsidRDefault="00F07E05" w:rsidP="008A253E">
            <w:pPr>
              <w:jc w:val="center"/>
            </w:pPr>
            <w:r w:rsidRPr="00096E7D">
              <w:t>35,00</w:t>
            </w:r>
          </w:p>
        </w:tc>
        <w:tc>
          <w:tcPr>
            <w:tcW w:w="1401" w:type="dxa"/>
            <w:tcBorders>
              <w:top w:val="nil"/>
              <w:left w:val="nil"/>
              <w:bottom w:val="single" w:sz="4" w:space="0" w:color="auto"/>
              <w:right w:val="single" w:sz="4" w:space="0" w:color="auto"/>
            </w:tcBorders>
            <w:shd w:val="clear" w:color="000000" w:fill="FFFFFF"/>
            <w:noWrap/>
            <w:vAlign w:val="bottom"/>
            <w:hideMark/>
          </w:tcPr>
          <w:p w:rsidR="00F07E05" w:rsidRPr="00096E7D" w:rsidRDefault="00F07E05" w:rsidP="008A253E">
            <w:pPr>
              <w:jc w:val="center"/>
            </w:pPr>
            <w:r w:rsidRPr="00096E7D">
              <w:t>14 000,00</w:t>
            </w:r>
          </w:p>
        </w:tc>
        <w:tc>
          <w:tcPr>
            <w:tcW w:w="1203" w:type="dxa"/>
            <w:tcBorders>
              <w:top w:val="nil"/>
              <w:left w:val="nil"/>
              <w:bottom w:val="single" w:sz="4" w:space="0" w:color="auto"/>
              <w:right w:val="single" w:sz="4" w:space="0" w:color="auto"/>
            </w:tcBorders>
            <w:shd w:val="clear" w:color="000000" w:fill="FFFFFF"/>
            <w:noWrap/>
            <w:vAlign w:val="bottom"/>
            <w:hideMark/>
          </w:tcPr>
          <w:p w:rsidR="00F07E05" w:rsidRPr="00096E7D" w:rsidRDefault="00F07E05" w:rsidP="008A253E">
            <w:pPr>
              <w:jc w:val="center"/>
            </w:pPr>
            <w:r w:rsidRPr="00096E7D">
              <w:t>36,40</w:t>
            </w:r>
          </w:p>
        </w:tc>
        <w:tc>
          <w:tcPr>
            <w:tcW w:w="1323" w:type="dxa"/>
            <w:tcBorders>
              <w:top w:val="nil"/>
              <w:left w:val="nil"/>
              <w:bottom w:val="single" w:sz="4" w:space="0" w:color="auto"/>
              <w:right w:val="single" w:sz="4" w:space="0" w:color="auto"/>
            </w:tcBorders>
            <w:shd w:val="clear" w:color="000000" w:fill="FFFFFF"/>
            <w:noWrap/>
            <w:vAlign w:val="bottom"/>
            <w:hideMark/>
          </w:tcPr>
          <w:p w:rsidR="00F07E05" w:rsidRPr="00096E7D" w:rsidRDefault="00F07E05" w:rsidP="008A253E">
            <w:pPr>
              <w:jc w:val="center"/>
            </w:pPr>
            <w:r w:rsidRPr="00096E7D">
              <w:t>14 560,00</w:t>
            </w:r>
          </w:p>
        </w:tc>
        <w:tc>
          <w:tcPr>
            <w:tcW w:w="1203" w:type="dxa"/>
            <w:tcBorders>
              <w:top w:val="nil"/>
              <w:left w:val="nil"/>
              <w:bottom w:val="single" w:sz="4" w:space="0" w:color="auto"/>
              <w:right w:val="single" w:sz="4" w:space="0" w:color="auto"/>
            </w:tcBorders>
            <w:shd w:val="clear" w:color="000000" w:fill="FFFFFF"/>
            <w:noWrap/>
            <w:vAlign w:val="bottom"/>
            <w:hideMark/>
          </w:tcPr>
          <w:p w:rsidR="00F07E05" w:rsidRPr="00096E7D" w:rsidRDefault="00F07E05" w:rsidP="008A253E">
            <w:pPr>
              <w:jc w:val="center"/>
            </w:pPr>
            <w:r w:rsidRPr="00096E7D">
              <w:t>37,86</w:t>
            </w:r>
          </w:p>
        </w:tc>
        <w:tc>
          <w:tcPr>
            <w:tcW w:w="1323" w:type="dxa"/>
            <w:tcBorders>
              <w:top w:val="nil"/>
              <w:left w:val="nil"/>
              <w:bottom w:val="single" w:sz="4" w:space="0" w:color="auto"/>
              <w:right w:val="single" w:sz="4" w:space="0" w:color="auto"/>
            </w:tcBorders>
            <w:shd w:val="clear" w:color="000000" w:fill="FFFFFF"/>
            <w:noWrap/>
            <w:vAlign w:val="bottom"/>
            <w:hideMark/>
          </w:tcPr>
          <w:p w:rsidR="00F07E05" w:rsidRPr="00096E7D" w:rsidRDefault="00F07E05" w:rsidP="008A253E">
            <w:pPr>
              <w:jc w:val="center"/>
            </w:pPr>
            <w:r w:rsidRPr="00096E7D">
              <w:t>15 142,40</w:t>
            </w:r>
          </w:p>
        </w:tc>
        <w:tc>
          <w:tcPr>
            <w:tcW w:w="1288" w:type="dxa"/>
            <w:tcBorders>
              <w:top w:val="nil"/>
              <w:left w:val="nil"/>
              <w:bottom w:val="single" w:sz="4" w:space="0" w:color="auto"/>
              <w:right w:val="single" w:sz="4" w:space="0" w:color="auto"/>
            </w:tcBorders>
            <w:shd w:val="clear" w:color="000000" w:fill="FFFFFF"/>
            <w:noWrap/>
            <w:vAlign w:val="bottom"/>
            <w:hideMark/>
          </w:tcPr>
          <w:p w:rsidR="00F07E05" w:rsidRPr="00096E7D" w:rsidRDefault="00F07E05" w:rsidP="008A253E">
            <w:pPr>
              <w:jc w:val="center"/>
            </w:pPr>
            <w:r w:rsidRPr="00096E7D">
              <w:t>39,37</w:t>
            </w:r>
          </w:p>
        </w:tc>
        <w:tc>
          <w:tcPr>
            <w:tcW w:w="1323" w:type="dxa"/>
            <w:tcBorders>
              <w:top w:val="nil"/>
              <w:left w:val="nil"/>
              <w:bottom w:val="single" w:sz="4" w:space="0" w:color="auto"/>
              <w:right w:val="single" w:sz="4" w:space="0" w:color="auto"/>
            </w:tcBorders>
            <w:shd w:val="clear" w:color="000000" w:fill="FFFFFF"/>
            <w:noWrap/>
            <w:vAlign w:val="bottom"/>
            <w:hideMark/>
          </w:tcPr>
          <w:p w:rsidR="00F07E05" w:rsidRPr="00096E7D" w:rsidRDefault="00F07E05" w:rsidP="008A253E">
            <w:pPr>
              <w:jc w:val="center"/>
            </w:pPr>
            <w:r w:rsidRPr="00096E7D">
              <w:t>15 748,10</w:t>
            </w:r>
          </w:p>
        </w:tc>
      </w:tr>
      <w:tr w:rsidR="00F07E05" w:rsidTr="008A253E">
        <w:trPr>
          <w:trHeight w:val="889"/>
        </w:trPr>
        <w:tc>
          <w:tcPr>
            <w:tcW w:w="4235" w:type="dxa"/>
            <w:gridSpan w:val="2"/>
            <w:tcBorders>
              <w:top w:val="single" w:sz="4" w:space="0" w:color="auto"/>
              <w:left w:val="single" w:sz="4" w:space="0" w:color="auto"/>
              <w:bottom w:val="single" w:sz="4" w:space="0" w:color="auto"/>
              <w:right w:val="nil"/>
            </w:tcBorders>
            <w:shd w:val="clear" w:color="000000" w:fill="FFFFFF"/>
            <w:vAlign w:val="bottom"/>
            <w:hideMark/>
          </w:tcPr>
          <w:p w:rsidR="00F07E05" w:rsidRPr="00096E7D" w:rsidRDefault="00F07E05" w:rsidP="008A253E">
            <w:pPr>
              <w:jc w:val="center"/>
              <w:rPr>
                <w:b/>
                <w:bCs/>
              </w:rPr>
            </w:pPr>
            <w:r w:rsidRPr="00096E7D">
              <w:rPr>
                <w:b/>
                <w:bCs/>
              </w:rPr>
              <w:t>Итого, ожидаемые доходы от оказания услуг по проведению предрейсовых и послерейсовых тех.осмотров автомобилей</w:t>
            </w:r>
          </w:p>
        </w:tc>
        <w:tc>
          <w:tcPr>
            <w:tcW w:w="1173" w:type="dxa"/>
            <w:tcBorders>
              <w:top w:val="nil"/>
              <w:left w:val="nil"/>
              <w:bottom w:val="single" w:sz="4" w:space="0" w:color="auto"/>
              <w:right w:val="single" w:sz="4" w:space="0" w:color="auto"/>
            </w:tcBorders>
            <w:shd w:val="clear" w:color="000000" w:fill="FFFFFF"/>
            <w:vAlign w:val="bottom"/>
            <w:hideMark/>
          </w:tcPr>
          <w:p w:rsidR="00F07E05" w:rsidRPr="00096E7D" w:rsidRDefault="00F07E05" w:rsidP="008A253E">
            <w:pPr>
              <w:jc w:val="center"/>
              <w:rPr>
                <w:b/>
                <w:bCs/>
              </w:rPr>
            </w:pPr>
            <w:r w:rsidRPr="00096E7D">
              <w:rPr>
                <w:b/>
                <w:bCs/>
              </w:rPr>
              <w:t> </w:t>
            </w:r>
          </w:p>
        </w:tc>
        <w:tc>
          <w:tcPr>
            <w:tcW w:w="1210" w:type="dxa"/>
            <w:tcBorders>
              <w:top w:val="nil"/>
              <w:left w:val="nil"/>
              <w:bottom w:val="single" w:sz="4" w:space="0" w:color="auto"/>
              <w:right w:val="single" w:sz="4" w:space="0" w:color="auto"/>
            </w:tcBorders>
            <w:shd w:val="clear" w:color="000000" w:fill="FFFFFF"/>
            <w:vAlign w:val="bottom"/>
            <w:hideMark/>
          </w:tcPr>
          <w:p w:rsidR="00F07E05" w:rsidRPr="00096E7D" w:rsidRDefault="00F07E05" w:rsidP="008A253E">
            <w:pPr>
              <w:jc w:val="center"/>
              <w:rPr>
                <w:b/>
                <w:bCs/>
              </w:rPr>
            </w:pPr>
            <w:r w:rsidRPr="00096E7D">
              <w:rPr>
                <w:b/>
                <w:bCs/>
              </w:rPr>
              <w:t> </w:t>
            </w:r>
          </w:p>
        </w:tc>
        <w:tc>
          <w:tcPr>
            <w:tcW w:w="1401" w:type="dxa"/>
            <w:tcBorders>
              <w:top w:val="nil"/>
              <w:left w:val="nil"/>
              <w:bottom w:val="single" w:sz="4" w:space="0" w:color="auto"/>
              <w:right w:val="single" w:sz="4" w:space="0" w:color="auto"/>
            </w:tcBorders>
            <w:shd w:val="clear" w:color="000000" w:fill="FFFFFF"/>
            <w:noWrap/>
            <w:vAlign w:val="bottom"/>
            <w:hideMark/>
          </w:tcPr>
          <w:p w:rsidR="00F07E05" w:rsidRPr="00096E7D" w:rsidRDefault="00F07E05" w:rsidP="008A253E">
            <w:pPr>
              <w:jc w:val="center"/>
              <w:rPr>
                <w:b/>
                <w:bCs/>
              </w:rPr>
            </w:pPr>
            <w:r w:rsidRPr="00096E7D">
              <w:rPr>
                <w:b/>
                <w:bCs/>
              </w:rPr>
              <w:t>337 335,00</w:t>
            </w:r>
          </w:p>
        </w:tc>
        <w:tc>
          <w:tcPr>
            <w:tcW w:w="1203" w:type="dxa"/>
            <w:tcBorders>
              <w:top w:val="nil"/>
              <w:left w:val="nil"/>
              <w:bottom w:val="single" w:sz="4" w:space="0" w:color="auto"/>
              <w:right w:val="single" w:sz="4" w:space="0" w:color="auto"/>
            </w:tcBorders>
            <w:shd w:val="clear" w:color="000000" w:fill="FFFFFF"/>
            <w:vAlign w:val="bottom"/>
            <w:hideMark/>
          </w:tcPr>
          <w:p w:rsidR="00F07E05" w:rsidRPr="00096E7D" w:rsidRDefault="00F07E05" w:rsidP="008A253E">
            <w:pPr>
              <w:jc w:val="center"/>
              <w:rPr>
                <w:b/>
                <w:bCs/>
              </w:rPr>
            </w:pPr>
            <w:r w:rsidRPr="00096E7D">
              <w:rPr>
                <w:b/>
                <w:bCs/>
              </w:rPr>
              <w:t> </w:t>
            </w:r>
          </w:p>
        </w:tc>
        <w:tc>
          <w:tcPr>
            <w:tcW w:w="1323" w:type="dxa"/>
            <w:tcBorders>
              <w:top w:val="nil"/>
              <w:left w:val="nil"/>
              <w:bottom w:val="single" w:sz="4" w:space="0" w:color="auto"/>
              <w:right w:val="single" w:sz="4" w:space="0" w:color="auto"/>
            </w:tcBorders>
            <w:shd w:val="clear" w:color="000000" w:fill="FFFFFF"/>
            <w:vAlign w:val="bottom"/>
            <w:hideMark/>
          </w:tcPr>
          <w:p w:rsidR="00F07E05" w:rsidRPr="00096E7D" w:rsidRDefault="00F07E05" w:rsidP="008A253E">
            <w:pPr>
              <w:jc w:val="center"/>
              <w:rPr>
                <w:b/>
                <w:bCs/>
              </w:rPr>
            </w:pPr>
            <w:r w:rsidRPr="00096E7D">
              <w:rPr>
                <w:b/>
                <w:bCs/>
              </w:rPr>
              <w:t>350 828,40</w:t>
            </w:r>
          </w:p>
        </w:tc>
        <w:tc>
          <w:tcPr>
            <w:tcW w:w="1203" w:type="dxa"/>
            <w:tcBorders>
              <w:top w:val="nil"/>
              <w:left w:val="nil"/>
              <w:bottom w:val="single" w:sz="4" w:space="0" w:color="auto"/>
              <w:right w:val="single" w:sz="4" w:space="0" w:color="auto"/>
            </w:tcBorders>
            <w:shd w:val="clear" w:color="000000" w:fill="FFFFFF"/>
            <w:vAlign w:val="bottom"/>
            <w:hideMark/>
          </w:tcPr>
          <w:p w:rsidR="00F07E05" w:rsidRPr="00096E7D" w:rsidRDefault="00F07E05" w:rsidP="008A253E">
            <w:pPr>
              <w:jc w:val="center"/>
              <w:rPr>
                <w:b/>
                <w:bCs/>
              </w:rPr>
            </w:pPr>
            <w:r w:rsidRPr="00096E7D">
              <w:rPr>
                <w:b/>
                <w:bCs/>
              </w:rPr>
              <w:t> </w:t>
            </w:r>
          </w:p>
        </w:tc>
        <w:tc>
          <w:tcPr>
            <w:tcW w:w="1323" w:type="dxa"/>
            <w:tcBorders>
              <w:top w:val="nil"/>
              <w:left w:val="nil"/>
              <w:bottom w:val="single" w:sz="4" w:space="0" w:color="auto"/>
              <w:right w:val="single" w:sz="4" w:space="0" w:color="auto"/>
            </w:tcBorders>
            <w:shd w:val="clear" w:color="000000" w:fill="FFFFFF"/>
            <w:vAlign w:val="bottom"/>
            <w:hideMark/>
          </w:tcPr>
          <w:p w:rsidR="00F07E05" w:rsidRPr="00096E7D" w:rsidRDefault="00F07E05" w:rsidP="008A253E">
            <w:pPr>
              <w:jc w:val="center"/>
              <w:rPr>
                <w:b/>
                <w:bCs/>
              </w:rPr>
            </w:pPr>
            <w:r w:rsidRPr="00096E7D">
              <w:rPr>
                <w:b/>
                <w:bCs/>
              </w:rPr>
              <w:t>364 861,54</w:t>
            </w:r>
          </w:p>
        </w:tc>
        <w:tc>
          <w:tcPr>
            <w:tcW w:w="1288" w:type="dxa"/>
            <w:tcBorders>
              <w:top w:val="nil"/>
              <w:left w:val="nil"/>
              <w:bottom w:val="single" w:sz="4" w:space="0" w:color="auto"/>
              <w:right w:val="single" w:sz="4" w:space="0" w:color="auto"/>
            </w:tcBorders>
            <w:shd w:val="clear" w:color="000000" w:fill="FFFFFF"/>
            <w:vAlign w:val="bottom"/>
            <w:hideMark/>
          </w:tcPr>
          <w:p w:rsidR="00F07E05" w:rsidRPr="00096E7D" w:rsidRDefault="00F07E05" w:rsidP="008A253E">
            <w:pPr>
              <w:jc w:val="center"/>
              <w:rPr>
                <w:b/>
                <w:bCs/>
              </w:rPr>
            </w:pPr>
            <w:r w:rsidRPr="00096E7D">
              <w:rPr>
                <w:b/>
                <w:bCs/>
              </w:rPr>
              <w:t> </w:t>
            </w:r>
          </w:p>
        </w:tc>
        <w:tc>
          <w:tcPr>
            <w:tcW w:w="1323" w:type="dxa"/>
            <w:tcBorders>
              <w:top w:val="nil"/>
              <w:left w:val="nil"/>
              <w:bottom w:val="single" w:sz="4" w:space="0" w:color="auto"/>
              <w:right w:val="single" w:sz="4" w:space="0" w:color="auto"/>
            </w:tcBorders>
            <w:shd w:val="clear" w:color="000000" w:fill="FFFFFF"/>
            <w:vAlign w:val="bottom"/>
            <w:hideMark/>
          </w:tcPr>
          <w:p w:rsidR="00F07E05" w:rsidRPr="00096E7D" w:rsidRDefault="00F07E05" w:rsidP="008A253E">
            <w:pPr>
              <w:jc w:val="center"/>
              <w:rPr>
                <w:b/>
                <w:bCs/>
              </w:rPr>
            </w:pPr>
            <w:r w:rsidRPr="00096E7D">
              <w:rPr>
                <w:b/>
                <w:bCs/>
              </w:rPr>
              <w:t>379 456,00</w:t>
            </w:r>
          </w:p>
        </w:tc>
      </w:tr>
    </w:tbl>
    <w:p w:rsidR="00F07E05" w:rsidRDefault="00F07E05" w:rsidP="00F07E05">
      <w:pPr>
        <w:jc w:val="center"/>
        <w:rPr>
          <w:b/>
          <w:color w:val="FF0000"/>
          <w:sz w:val="28"/>
          <w:szCs w:val="28"/>
        </w:rPr>
      </w:pPr>
    </w:p>
    <w:p w:rsidR="00F07E05" w:rsidRDefault="00F07E05" w:rsidP="00F07E05">
      <w:pPr>
        <w:jc w:val="center"/>
        <w:rPr>
          <w:b/>
          <w:color w:val="FF0000"/>
          <w:sz w:val="28"/>
          <w:szCs w:val="28"/>
        </w:rPr>
      </w:pPr>
    </w:p>
    <w:p w:rsidR="00F07E05" w:rsidRDefault="00F07E05" w:rsidP="00F07E05">
      <w:pPr>
        <w:jc w:val="center"/>
        <w:rPr>
          <w:b/>
          <w:color w:val="FF0000"/>
          <w:sz w:val="28"/>
          <w:szCs w:val="28"/>
        </w:rPr>
      </w:pPr>
    </w:p>
    <w:p w:rsidR="00F07E05" w:rsidRDefault="00F07E05" w:rsidP="00F07E05">
      <w:pPr>
        <w:jc w:val="center"/>
        <w:rPr>
          <w:b/>
          <w:color w:val="FF0000"/>
          <w:sz w:val="28"/>
          <w:szCs w:val="28"/>
        </w:rPr>
      </w:pPr>
    </w:p>
    <w:p w:rsidR="00F07E05" w:rsidRDefault="00F07E05" w:rsidP="00F07E05">
      <w:pPr>
        <w:jc w:val="center"/>
        <w:rPr>
          <w:b/>
          <w:color w:val="FF0000"/>
          <w:sz w:val="28"/>
          <w:szCs w:val="28"/>
        </w:rPr>
      </w:pPr>
    </w:p>
    <w:p w:rsidR="00F07E05" w:rsidRDefault="00F07E05" w:rsidP="00F07E05">
      <w:pPr>
        <w:jc w:val="center"/>
        <w:rPr>
          <w:b/>
          <w:color w:val="FF0000"/>
          <w:sz w:val="28"/>
          <w:szCs w:val="28"/>
        </w:rPr>
      </w:pPr>
    </w:p>
    <w:p w:rsidR="00F07E05" w:rsidRDefault="00F07E05" w:rsidP="00F07E05">
      <w:pPr>
        <w:jc w:val="center"/>
        <w:rPr>
          <w:b/>
          <w:color w:val="FF0000"/>
          <w:sz w:val="28"/>
          <w:szCs w:val="28"/>
        </w:rPr>
      </w:pPr>
    </w:p>
    <w:p w:rsidR="00F07E05" w:rsidRDefault="00F07E05" w:rsidP="00F07E05">
      <w:pPr>
        <w:jc w:val="center"/>
        <w:rPr>
          <w:b/>
          <w:color w:val="FF0000"/>
          <w:sz w:val="28"/>
          <w:szCs w:val="28"/>
        </w:rPr>
      </w:pPr>
    </w:p>
    <w:tbl>
      <w:tblPr>
        <w:tblW w:w="14200" w:type="dxa"/>
        <w:tblLook w:val="04A0" w:firstRow="1" w:lastRow="0" w:firstColumn="1" w:lastColumn="0" w:noHBand="0" w:noVBand="1"/>
      </w:tblPr>
      <w:tblGrid>
        <w:gridCol w:w="531"/>
        <w:gridCol w:w="2500"/>
        <w:gridCol w:w="1180"/>
        <w:gridCol w:w="1368"/>
        <w:gridCol w:w="1360"/>
        <w:gridCol w:w="1313"/>
        <w:gridCol w:w="1360"/>
        <w:gridCol w:w="960"/>
        <w:gridCol w:w="1380"/>
        <w:gridCol w:w="960"/>
        <w:gridCol w:w="1420"/>
      </w:tblGrid>
      <w:tr w:rsidR="00F07E05" w:rsidTr="008A253E">
        <w:trPr>
          <w:trHeight w:val="634"/>
        </w:trPr>
        <w:tc>
          <w:tcPr>
            <w:tcW w:w="14200" w:type="dxa"/>
            <w:gridSpan w:val="11"/>
            <w:tcBorders>
              <w:top w:val="nil"/>
              <w:left w:val="nil"/>
              <w:bottom w:val="nil"/>
              <w:right w:val="nil"/>
            </w:tcBorders>
            <w:shd w:val="clear" w:color="auto" w:fill="auto"/>
            <w:vAlign w:val="bottom"/>
            <w:hideMark/>
          </w:tcPr>
          <w:p w:rsidR="00F07E05" w:rsidRDefault="00F07E05" w:rsidP="008A253E">
            <w:pPr>
              <w:jc w:val="center"/>
              <w:rPr>
                <w:b/>
                <w:bCs/>
                <w:color w:val="000000"/>
              </w:rPr>
            </w:pPr>
            <w:r>
              <w:rPr>
                <w:b/>
                <w:bCs/>
                <w:color w:val="000000"/>
              </w:rPr>
              <w:lastRenderedPageBreak/>
              <w:t>Расчет ожидаемых доходов на основании заключенных контрактов на оказание автотранспортных услуг на 2021 -2024гг</w:t>
            </w:r>
          </w:p>
        </w:tc>
      </w:tr>
      <w:tr w:rsidR="00F07E05" w:rsidTr="008A253E">
        <w:trPr>
          <w:trHeight w:val="300"/>
        </w:trPr>
        <w:tc>
          <w:tcPr>
            <w:tcW w:w="520" w:type="dxa"/>
            <w:tcBorders>
              <w:top w:val="nil"/>
              <w:left w:val="nil"/>
              <w:bottom w:val="nil"/>
              <w:right w:val="nil"/>
            </w:tcBorders>
            <w:shd w:val="clear" w:color="auto" w:fill="auto"/>
            <w:noWrap/>
            <w:vAlign w:val="bottom"/>
            <w:hideMark/>
          </w:tcPr>
          <w:p w:rsidR="00F07E05" w:rsidRDefault="00F07E05" w:rsidP="008A253E">
            <w:pPr>
              <w:jc w:val="center"/>
              <w:rPr>
                <w:b/>
                <w:bCs/>
                <w:color w:val="000000"/>
              </w:rPr>
            </w:pPr>
          </w:p>
        </w:tc>
        <w:tc>
          <w:tcPr>
            <w:tcW w:w="2500" w:type="dxa"/>
            <w:tcBorders>
              <w:top w:val="nil"/>
              <w:left w:val="nil"/>
              <w:bottom w:val="nil"/>
              <w:right w:val="nil"/>
            </w:tcBorders>
            <w:shd w:val="clear" w:color="auto" w:fill="auto"/>
            <w:noWrap/>
            <w:vAlign w:val="bottom"/>
            <w:hideMark/>
          </w:tcPr>
          <w:p w:rsidR="00F07E05" w:rsidRDefault="00F07E05" w:rsidP="008A253E">
            <w:pPr>
              <w:rPr>
                <w:sz w:val="20"/>
                <w:szCs w:val="20"/>
              </w:rPr>
            </w:pPr>
          </w:p>
        </w:tc>
        <w:tc>
          <w:tcPr>
            <w:tcW w:w="1180" w:type="dxa"/>
            <w:tcBorders>
              <w:top w:val="nil"/>
              <w:left w:val="nil"/>
              <w:bottom w:val="nil"/>
              <w:right w:val="nil"/>
            </w:tcBorders>
            <w:shd w:val="clear" w:color="auto" w:fill="auto"/>
            <w:noWrap/>
            <w:vAlign w:val="bottom"/>
            <w:hideMark/>
          </w:tcPr>
          <w:p w:rsidR="00F07E05" w:rsidRDefault="00F07E05" w:rsidP="008A253E">
            <w:pPr>
              <w:rPr>
                <w:sz w:val="20"/>
                <w:szCs w:val="20"/>
              </w:rPr>
            </w:pPr>
          </w:p>
        </w:tc>
        <w:tc>
          <w:tcPr>
            <w:tcW w:w="1300" w:type="dxa"/>
            <w:tcBorders>
              <w:top w:val="nil"/>
              <w:left w:val="nil"/>
              <w:bottom w:val="nil"/>
              <w:right w:val="nil"/>
            </w:tcBorders>
            <w:shd w:val="clear" w:color="auto" w:fill="auto"/>
            <w:noWrap/>
            <w:vAlign w:val="bottom"/>
            <w:hideMark/>
          </w:tcPr>
          <w:p w:rsidR="00F07E05" w:rsidRDefault="00F07E05" w:rsidP="008A253E">
            <w:pPr>
              <w:rPr>
                <w:sz w:val="20"/>
                <w:szCs w:val="20"/>
              </w:rPr>
            </w:pPr>
          </w:p>
        </w:tc>
        <w:tc>
          <w:tcPr>
            <w:tcW w:w="1360" w:type="dxa"/>
            <w:tcBorders>
              <w:top w:val="nil"/>
              <w:left w:val="nil"/>
              <w:bottom w:val="nil"/>
              <w:right w:val="nil"/>
            </w:tcBorders>
            <w:shd w:val="clear" w:color="auto" w:fill="auto"/>
            <w:noWrap/>
            <w:vAlign w:val="bottom"/>
            <w:hideMark/>
          </w:tcPr>
          <w:p w:rsidR="00F07E05" w:rsidRDefault="00F07E05" w:rsidP="008A253E">
            <w:pPr>
              <w:rPr>
                <w:sz w:val="20"/>
                <w:szCs w:val="20"/>
              </w:rPr>
            </w:pPr>
          </w:p>
        </w:tc>
        <w:tc>
          <w:tcPr>
            <w:tcW w:w="1260" w:type="dxa"/>
            <w:tcBorders>
              <w:top w:val="nil"/>
              <w:left w:val="nil"/>
              <w:bottom w:val="nil"/>
              <w:right w:val="nil"/>
            </w:tcBorders>
            <w:shd w:val="clear" w:color="auto" w:fill="auto"/>
            <w:noWrap/>
            <w:vAlign w:val="bottom"/>
            <w:hideMark/>
          </w:tcPr>
          <w:p w:rsidR="00F07E05" w:rsidRDefault="00F07E05" w:rsidP="008A253E">
            <w:pPr>
              <w:rPr>
                <w:sz w:val="20"/>
                <w:szCs w:val="20"/>
              </w:rPr>
            </w:pPr>
          </w:p>
        </w:tc>
        <w:tc>
          <w:tcPr>
            <w:tcW w:w="1360" w:type="dxa"/>
            <w:tcBorders>
              <w:top w:val="nil"/>
              <w:left w:val="nil"/>
              <w:bottom w:val="nil"/>
              <w:right w:val="nil"/>
            </w:tcBorders>
            <w:shd w:val="clear" w:color="auto" w:fill="auto"/>
            <w:noWrap/>
            <w:vAlign w:val="bottom"/>
            <w:hideMark/>
          </w:tcPr>
          <w:p w:rsidR="00F07E05" w:rsidRDefault="00F07E05" w:rsidP="008A253E">
            <w:pPr>
              <w:rPr>
                <w:sz w:val="20"/>
                <w:szCs w:val="20"/>
              </w:rPr>
            </w:pPr>
          </w:p>
        </w:tc>
        <w:tc>
          <w:tcPr>
            <w:tcW w:w="960" w:type="dxa"/>
            <w:tcBorders>
              <w:top w:val="nil"/>
              <w:left w:val="nil"/>
              <w:bottom w:val="nil"/>
              <w:right w:val="nil"/>
            </w:tcBorders>
            <w:shd w:val="clear" w:color="auto" w:fill="auto"/>
            <w:noWrap/>
            <w:vAlign w:val="bottom"/>
            <w:hideMark/>
          </w:tcPr>
          <w:p w:rsidR="00F07E05" w:rsidRDefault="00F07E05" w:rsidP="008A253E">
            <w:pPr>
              <w:rPr>
                <w:sz w:val="20"/>
                <w:szCs w:val="20"/>
              </w:rPr>
            </w:pPr>
          </w:p>
        </w:tc>
        <w:tc>
          <w:tcPr>
            <w:tcW w:w="1380" w:type="dxa"/>
            <w:tcBorders>
              <w:top w:val="nil"/>
              <w:left w:val="nil"/>
              <w:bottom w:val="nil"/>
              <w:right w:val="nil"/>
            </w:tcBorders>
            <w:shd w:val="clear" w:color="auto" w:fill="auto"/>
            <w:noWrap/>
            <w:vAlign w:val="bottom"/>
            <w:hideMark/>
          </w:tcPr>
          <w:p w:rsidR="00F07E05" w:rsidRDefault="00F07E05" w:rsidP="008A253E">
            <w:pPr>
              <w:rPr>
                <w:sz w:val="20"/>
                <w:szCs w:val="20"/>
              </w:rPr>
            </w:pPr>
          </w:p>
        </w:tc>
        <w:tc>
          <w:tcPr>
            <w:tcW w:w="960" w:type="dxa"/>
            <w:tcBorders>
              <w:top w:val="nil"/>
              <w:left w:val="nil"/>
              <w:bottom w:val="nil"/>
              <w:right w:val="nil"/>
            </w:tcBorders>
            <w:shd w:val="clear" w:color="auto" w:fill="auto"/>
            <w:noWrap/>
            <w:vAlign w:val="bottom"/>
            <w:hideMark/>
          </w:tcPr>
          <w:p w:rsidR="00F07E05" w:rsidRDefault="00F07E05" w:rsidP="008A253E">
            <w:pPr>
              <w:rPr>
                <w:sz w:val="20"/>
                <w:szCs w:val="20"/>
              </w:rPr>
            </w:pPr>
          </w:p>
        </w:tc>
        <w:tc>
          <w:tcPr>
            <w:tcW w:w="1420" w:type="dxa"/>
            <w:tcBorders>
              <w:top w:val="nil"/>
              <w:left w:val="nil"/>
              <w:bottom w:val="nil"/>
              <w:right w:val="nil"/>
            </w:tcBorders>
            <w:shd w:val="clear" w:color="auto" w:fill="auto"/>
            <w:noWrap/>
            <w:vAlign w:val="bottom"/>
            <w:hideMark/>
          </w:tcPr>
          <w:p w:rsidR="00F07E05" w:rsidRDefault="00F07E05" w:rsidP="008A253E">
            <w:pPr>
              <w:rPr>
                <w:sz w:val="20"/>
                <w:szCs w:val="20"/>
              </w:rPr>
            </w:pPr>
          </w:p>
        </w:tc>
      </w:tr>
      <w:tr w:rsidR="00F07E05" w:rsidTr="008A253E">
        <w:trPr>
          <w:trHeight w:val="300"/>
        </w:trPr>
        <w:tc>
          <w:tcPr>
            <w:tcW w:w="52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F07E05" w:rsidRDefault="00F07E05" w:rsidP="008A253E">
            <w:pPr>
              <w:jc w:val="center"/>
              <w:rPr>
                <w:b/>
                <w:bCs/>
                <w:sz w:val="22"/>
                <w:szCs w:val="22"/>
              </w:rPr>
            </w:pPr>
            <w:r>
              <w:rPr>
                <w:b/>
                <w:bCs/>
                <w:sz w:val="22"/>
                <w:szCs w:val="22"/>
              </w:rPr>
              <w:t>№ п/п</w:t>
            </w:r>
          </w:p>
        </w:tc>
        <w:tc>
          <w:tcPr>
            <w:tcW w:w="250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7E05" w:rsidRDefault="00F07E05" w:rsidP="008A253E">
            <w:pPr>
              <w:jc w:val="center"/>
              <w:rPr>
                <w:b/>
                <w:bCs/>
                <w:sz w:val="22"/>
                <w:szCs w:val="22"/>
              </w:rPr>
            </w:pPr>
            <w:r>
              <w:rPr>
                <w:b/>
                <w:bCs/>
                <w:sz w:val="22"/>
                <w:szCs w:val="22"/>
              </w:rPr>
              <w:t>Заказчик услуг</w:t>
            </w:r>
          </w:p>
        </w:tc>
        <w:tc>
          <w:tcPr>
            <w:tcW w:w="3840" w:type="dxa"/>
            <w:gridSpan w:val="3"/>
            <w:tcBorders>
              <w:top w:val="single" w:sz="4" w:space="0" w:color="auto"/>
              <w:left w:val="nil"/>
              <w:bottom w:val="single" w:sz="4" w:space="0" w:color="auto"/>
              <w:right w:val="single" w:sz="4" w:space="0" w:color="auto"/>
            </w:tcBorders>
            <w:shd w:val="clear" w:color="auto" w:fill="auto"/>
            <w:noWrap/>
            <w:vAlign w:val="bottom"/>
            <w:hideMark/>
          </w:tcPr>
          <w:p w:rsidR="00F07E05" w:rsidRDefault="00F07E05" w:rsidP="008A253E">
            <w:pPr>
              <w:jc w:val="center"/>
              <w:rPr>
                <w:b/>
                <w:bCs/>
                <w:color w:val="000000"/>
                <w:sz w:val="22"/>
                <w:szCs w:val="22"/>
              </w:rPr>
            </w:pPr>
            <w:r>
              <w:rPr>
                <w:b/>
                <w:bCs/>
                <w:color w:val="000000"/>
                <w:sz w:val="22"/>
                <w:szCs w:val="22"/>
              </w:rPr>
              <w:t>Ожидаемая оценка 2021 года</w:t>
            </w:r>
          </w:p>
        </w:tc>
        <w:tc>
          <w:tcPr>
            <w:tcW w:w="7340" w:type="dxa"/>
            <w:gridSpan w:val="6"/>
            <w:tcBorders>
              <w:top w:val="single" w:sz="4" w:space="0" w:color="auto"/>
              <w:left w:val="nil"/>
              <w:bottom w:val="single" w:sz="4" w:space="0" w:color="auto"/>
              <w:right w:val="single" w:sz="4" w:space="0" w:color="000000"/>
            </w:tcBorders>
            <w:shd w:val="clear" w:color="auto" w:fill="auto"/>
            <w:noWrap/>
            <w:vAlign w:val="bottom"/>
            <w:hideMark/>
          </w:tcPr>
          <w:p w:rsidR="00F07E05" w:rsidRDefault="00F07E05" w:rsidP="008A253E">
            <w:pPr>
              <w:jc w:val="center"/>
              <w:rPr>
                <w:b/>
                <w:bCs/>
                <w:color w:val="000000"/>
                <w:sz w:val="22"/>
                <w:szCs w:val="22"/>
              </w:rPr>
            </w:pPr>
            <w:r>
              <w:rPr>
                <w:b/>
                <w:bCs/>
                <w:color w:val="000000"/>
                <w:sz w:val="22"/>
                <w:szCs w:val="22"/>
              </w:rPr>
              <w:t>Прогноз</w:t>
            </w:r>
          </w:p>
        </w:tc>
      </w:tr>
      <w:tr w:rsidR="00F07E05" w:rsidTr="008A253E">
        <w:trPr>
          <w:trHeight w:val="300"/>
        </w:trPr>
        <w:tc>
          <w:tcPr>
            <w:tcW w:w="520" w:type="dxa"/>
            <w:vMerge/>
            <w:tcBorders>
              <w:top w:val="single" w:sz="4" w:space="0" w:color="auto"/>
              <w:left w:val="single" w:sz="4" w:space="0" w:color="auto"/>
              <w:bottom w:val="single" w:sz="4" w:space="0" w:color="auto"/>
              <w:right w:val="single" w:sz="4" w:space="0" w:color="auto"/>
            </w:tcBorders>
            <w:vAlign w:val="center"/>
            <w:hideMark/>
          </w:tcPr>
          <w:p w:rsidR="00F07E05" w:rsidRDefault="00F07E05" w:rsidP="008A253E">
            <w:pPr>
              <w:rPr>
                <w:b/>
                <w:bCs/>
                <w:sz w:val="22"/>
                <w:szCs w:val="22"/>
              </w:rPr>
            </w:pPr>
          </w:p>
        </w:tc>
        <w:tc>
          <w:tcPr>
            <w:tcW w:w="2500" w:type="dxa"/>
            <w:vMerge/>
            <w:tcBorders>
              <w:top w:val="single" w:sz="4" w:space="0" w:color="auto"/>
              <w:left w:val="single" w:sz="4" w:space="0" w:color="auto"/>
              <w:bottom w:val="single" w:sz="4" w:space="0" w:color="auto"/>
              <w:right w:val="single" w:sz="4" w:space="0" w:color="auto"/>
            </w:tcBorders>
            <w:vAlign w:val="center"/>
            <w:hideMark/>
          </w:tcPr>
          <w:p w:rsidR="00F07E05" w:rsidRDefault="00F07E05" w:rsidP="008A253E">
            <w:pPr>
              <w:rPr>
                <w:b/>
                <w:bCs/>
                <w:sz w:val="22"/>
                <w:szCs w:val="22"/>
              </w:rPr>
            </w:pPr>
          </w:p>
        </w:tc>
        <w:tc>
          <w:tcPr>
            <w:tcW w:w="2480" w:type="dxa"/>
            <w:gridSpan w:val="2"/>
            <w:tcBorders>
              <w:top w:val="single" w:sz="4" w:space="0" w:color="auto"/>
              <w:left w:val="nil"/>
              <w:bottom w:val="single" w:sz="4" w:space="0" w:color="auto"/>
              <w:right w:val="single" w:sz="4" w:space="0" w:color="auto"/>
            </w:tcBorders>
            <w:shd w:val="clear" w:color="auto" w:fill="auto"/>
            <w:vAlign w:val="bottom"/>
            <w:hideMark/>
          </w:tcPr>
          <w:p w:rsidR="00F07E05" w:rsidRDefault="00F07E05" w:rsidP="008A253E">
            <w:pPr>
              <w:jc w:val="center"/>
              <w:rPr>
                <w:b/>
                <w:bCs/>
                <w:sz w:val="22"/>
                <w:szCs w:val="22"/>
              </w:rPr>
            </w:pPr>
            <w:r>
              <w:rPr>
                <w:b/>
                <w:bCs/>
                <w:sz w:val="22"/>
                <w:szCs w:val="22"/>
              </w:rPr>
              <w:t>Основание (контракт)</w:t>
            </w:r>
          </w:p>
        </w:tc>
        <w:tc>
          <w:tcPr>
            <w:tcW w:w="1360" w:type="dxa"/>
            <w:vMerge w:val="restart"/>
            <w:tcBorders>
              <w:top w:val="nil"/>
              <w:left w:val="single" w:sz="4" w:space="0" w:color="auto"/>
              <w:bottom w:val="single" w:sz="4" w:space="0" w:color="auto"/>
              <w:right w:val="single" w:sz="4" w:space="0" w:color="auto"/>
            </w:tcBorders>
            <w:shd w:val="clear" w:color="auto" w:fill="auto"/>
            <w:vAlign w:val="bottom"/>
            <w:hideMark/>
          </w:tcPr>
          <w:p w:rsidR="00F07E05" w:rsidRDefault="00F07E05" w:rsidP="008A253E">
            <w:pPr>
              <w:jc w:val="center"/>
              <w:rPr>
                <w:b/>
                <w:bCs/>
                <w:sz w:val="22"/>
                <w:szCs w:val="22"/>
              </w:rPr>
            </w:pPr>
            <w:r>
              <w:rPr>
                <w:b/>
                <w:bCs/>
                <w:sz w:val="22"/>
                <w:szCs w:val="22"/>
              </w:rPr>
              <w:t>Стоимость услуги, руб.</w:t>
            </w:r>
          </w:p>
        </w:tc>
        <w:tc>
          <w:tcPr>
            <w:tcW w:w="2620" w:type="dxa"/>
            <w:gridSpan w:val="2"/>
            <w:tcBorders>
              <w:top w:val="single" w:sz="4" w:space="0" w:color="auto"/>
              <w:left w:val="nil"/>
              <w:bottom w:val="single" w:sz="4" w:space="0" w:color="auto"/>
              <w:right w:val="single" w:sz="4" w:space="0" w:color="auto"/>
            </w:tcBorders>
            <w:shd w:val="clear" w:color="auto" w:fill="auto"/>
            <w:vAlign w:val="bottom"/>
            <w:hideMark/>
          </w:tcPr>
          <w:p w:rsidR="00F07E05" w:rsidRDefault="00F07E05" w:rsidP="008A253E">
            <w:pPr>
              <w:jc w:val="center"/>
              <w:rPr>
                <w:b/>
                <w:bCs/>
                <w:sz w:val="20"/>
                <w:szCs w:val="20"/>
              </w:rPr>
            </w:pPr>
            <w:r>
              <w:rPr>
                <w:b/>
                <w:bCs/>
                <w:sz w:val="20"/>
                <w:szCs w:val="20"/>
              </w:rPr>
              <w:t>2022 год (ИПЦ 104,0)*</w:t>
            </w:r>
          </w:p>
        </w:tc>
        <w:tc>
          <w:tcPr>
            <w:tcW w:w="2340" w:type="dxa"/>
            <w:gridSpan w:val="2"/>
            <w:tcBorders>
              <w:top w:val="single" w:sz="4" w:space="0" w:color="auto"/>
              <w:left w:val="nil"/>
              <w:bottom w:val="single" w:sz="4" w:space="0" w:color="auto"/>
              <w:right w:val="single" w:sz="4" w:space="0" w:color="auto"/>
            </w:tcBorders>
            <w:shd w:val="clear" w:color="auto" w:fill="auto"/>
            <w:vAlign w:val="bottom"/>
            <w:hideMark/>
          </w:tcPr>
          <w:p w:rsidR="00F07E05" w:rsidRDefault="00F07E05" w:rsidP="008A253E">
            <w:pPr>
              <w:jc w:val="center"/>
              <w:rPr>
                <w:b/>
                <w:bCs/>
                <w:sz w:val="20"/>
                <w:szCs w:val="20"/>
              </w:rPr>
            </w:pPr>
            <w:r>
              <w:rPr>
                <w:b/>
                <w:bCs/>
                <w:sz w:val="20"/>
                <w:szCs w:val="20"/>
              </w:rPr>
              <w:t>2023 год (ИПЦ 104,0)</w:t>
            </w:r>
          </w:p>
        </w:tc>
        <w:tc>
          <w:tcPr>
            <w:tcW w:w="2380" w:type="dxa"/>
            <w:gridSpan w:val="2"/>
            <w:tcBorders>
              <w:top w:val="single" w:sz="4" w:space="0" w:color="auto"/>
              <w:left w:val="nil"/>
              <w:bottom w:val="single" w:sz="4" w:space="0" w:color="auto"/>
              <w:right w:val="single" w:sz="4" w:space="0" w:color="auto"/>
            </w:tcBorders>
            <w:shd w:val="clear" w:color="auto" w:fill="auto"/>
            <w:vAlign w:val="bottom"/>
            <w:hideMark/>
          </w:tcPr>
          <w:p w:rsidR="00F07E05" w:rsidRDefault="00F07E05" w:rsidP="008A253E">
            <w:pPr>
              <w:jc w:val="center"/>
              <w:rPr>
                <w:b/>
                <w:bCs/>
                <w:sz w:val="20"/>
                <w:szCs w:val="20"/>
              </w:rPr>
            </w:pPr>
            <w:r>
              <w:rPr>
                <w:b/>
                <w:bCs/>
                <w:sz w:val="20"/>
                <w:szCs w:val="20"/>
              </w:rPr>
              <w:t>2024 год (ИПЦ 104,0)</w:t>
            </w:r>
          </w:p>
        </w:tc>
      </w:tr>
      <w:tr w:rsidR="00F07E05" w:rsidTr="008A253E">
        <w:trPr>
          <w:trHeight w:val="870"/>
        </w:trPr>
        <w:tc>
          <w:tcPr>
            <w:tcW w:w="520" w:type="dxa"/>
            <w:vMerge/>
            <w:tcBorders>
              <w:top w:val="single" w:sz="4" w:space="0" w:color="auto"/>
              <w:left w:val="single" w:sz="4" w:space="0" w:color="auto"/>
              <w:bottom w:val="single" w:sz="4" w:space="0" w:color="auto"/>
              <w:right w:val="single" w:sz="4" w:space="0" w:color="auto"/>
            </w:tcBorders>
            <w:vAlign w:val="center"/>
            <w:hideMark/>
          </w:tcPr>
          <w:p w:rsidR="00F07E05" w:rsidRDefault="00F07E05" w:rsidP="008A253E">
            <w:pPr>
              <w:rPr>
                <w:b/>
                <w:bCs/>
                <w:sz w:val="22"/>
                <w:szCs w:val="22"/>
              </w:rPr>
            </w:pPr>
          </w:p>
        </w:tc>
        <w:tc>
          <w:tcPr>
            <w:tcW w:w="2500" w:type="dxa"/>
            <w:vMerge/>
            <w:tcBorders>
              <w:top w:val="single" w:sz="4" w:space="0" w:color="auto"/>
              <w:left w:val="single" w:sz="4" w:space="0" w:color="auto"/>
              <w:bottom w:val="single" w:sz="4" w:space="0" w:color="auto"/>
              <w:right w:val="single" w:sz="4" w:space="0" w:color="auto"/>
            </w:tcBorders>
            <w:vAlign w:val="center"/>
            <w:hideMark/>
          </w:tcPr>
          <w:p w:rsidR="00F07E05" w:rsidRDefault="00F07E05" w:rsidP="008A253E">
            <w:pPr>
              <w:rPr>
                <w:b/>
                <w:bCs/>
                <w:sz w:val="22"/>
                <w:szCs w:val="22"/>
              </w:rPr>
            </w:pPr>
          </w:p>
        </w:tc>
        <w:tc>
          <w:tcPr>
            <w:tcW w:w="1180" w:type="dxa"/>
            <w:tcBorders>
              <w:top w:val="nil"/>
              <w:left w:val="nil"/>
              <w:bottom w:val="single" w:sz="4" w:space="0" w:color="auto"/>
              <w:right w:val="single" w:sz="4" w:space="0" w:color="auto"/>
            </w:tcBorders>
            <w:shd w:val="clear" w:color="auto" w:fill="auto"/>
            <w:vAlign w:val="bottom"/>
            <w:hideMark/>
          </w:tcPr>
          <w:p w:rsidR="00F07E05" w:rsidRDefault="00F07E05" w:rsidP="008A253E">
            <w:pPr>
              <w:jc w:val="center"/>
              <w:rPr>
                <w:sz w:val="22"/>
                <w:szCs w:val="22"/>
              </w:rPr>
            </w:pPr>
            <w:r>
              <w:rPr>
                <w:sz w:val="22"/>
                <w:szCs w:val="22"/>
              </w:rPr>
              <w:t>кол-во авточасов</w:t>
            </w:r>
          </w:p>
        </w:tc>
        <w:tc>
          <w:tcPr>
            <w:tcW w:w="1300" w:type="dxa"/>
            <w:tcBorders>
              <w:top w:val="nil"/>
              <w:left w:val="nil"/>
              <w:bottom w:val="single" w:sz="4" w:space="0" w:color="auto"/>
              <w:right w:val="single" w:sz="4" w:space="0" w:color="auto"/>
            </w:tcBorders>
            <w:shd w:val="clear" w:color="auto" w:fill="auto"/>
            <w:vAlign w:val="bottom"/>
            <w:hideMark/>
          </w:tcPr>
          <w:p w:rsidR="00F07E05" w:rsidRDefault="00F07E05" w:rsidP="008A253E">
            <w:pPr>
              <w:jc w:val="center"/>
              <w:rPr>
                <w:sz w:val="22"/>
                <w:szCs w:val="22"/>
              </w:rPr>
            </w:pPr>
            <w:r>
              <w:rPr>
                <w:sz w:val="22"/>
                <w:szCs w:val="22"/>
              </w:rPr>
              <w:t>цена за 1 автомобиль, руб.</w:t>
            </w:r>
          </w:p>
        </w:tc>
        <w:tc>
          <w:tcPr>
            <w:tcW w:w="1360" w:type="dxa"/>
            <w:vMerge/>
            <w:tcBorders>
              <w:top w:val="nil"/>
              <w:left w:val="single" w:sz="4" w:space="0" w:color="auto"/>
              <w:bottom w:val="single" w:sz="4" w:space="0" w:color="auto"/>
              <w:right w:val="single" w:sz="4" w:space="0" w:color="auto"/>
            </w:tcBorders>
            <w:vAlign w:val="center"/>
            <w:hideMark/>
          </w:tcPr>
          <w:p w:rsidR="00F07E05" w:rsidRDefault="00F07E05" w:rsidP="008A253E">
            <w:pPr>
              <w:rPr>
                <w:b/>
                <w:bCs/>
                <w:sz w:val="22"/>
                <w:szCs w:val="22"/>
              </w:rPr>
            </w:pPr>
          </w:p>
        </w:tc>
        <w:tc>
          <w:tcPr>
            <w:tcW w:w="1260" w:type="dxa"/>
            <w:tcBorders>
              <w:top w:val="nil"/>
              <w:left w:val="nil"/>
              <w:bottom w:val="single" w:sz="4" w:space="0" w:color="auto"/>
              <w:right w:val="single" w:sz="4" w:space="0" w:color="auto"/>
            </w:tcBorders>
            <w:shd w:val="clear" w:color="auto" w:fill="auto"/>
            <w:vAlign w:val="bottom"/>
            <w:hideMark/>
          </w:tcPr>
          <w:p w:rsidR="00F07E05" w:rsidRDefault="00F07E05" w:rsidP="008A253E">
            <w:pPr>
              <w:jc w:val="center"/>
              <w:rPr>
                <w:sz w:val="22"/>
                <w:szCs w:val="22"/>
              </w:rPr>
            </w:pPr>
            <w:r>
              <w:rPr>
                <w:sz w:val="22"/>
                <w:szCs w:val="22"/>
              </w:rPr>
              <w:t>цена за 1 автомобиль руб.</w:t>
            </w:r>
          </w:p>
        </w:tc>
        <w:tc>
          <w:tcPr>
            <w:tcW w:w="1360" w:type="dxa"/>
            <w:tcBorders>
              <w:top w:val="nil"/>
              <w:left w:val="nil"/>
              <w:bottom w:val="single" w:sz="4" w:space="0" w:color="auto"/>
              <w:right w:val="single" w:sz="4" w:space="0" w:color="auto"/>
            </w:tcBorders>
            <w:shd w:val="clear" w:color="auto" w:fill="auto"/>
            <w:vAlign w:val="bottom"/>
            <w:hideMark/>
          </w:tcPr>
          <w:p w:rsidR="00F07E05" w:rsidRDefault="00F07E05" w:rsidP="008A253E">
            <w:pPr>
              <w:jc w:val="center"/>
              <w:rPr>
                <w:sz w:val="22"/>
                <w:szCs w:val="22"/>
              </w:rPr>
            </w:pPr>
            <w:r>
              <w:rPr>
                <w:sz w:val="22"/>
                <w:szCs w:val="22"/>
              </w:rPr>
              <w:t>Стоимость услуг, руб.</w:t>
            </w:r>
          </w:p>
        </w:tc>
        <w:tc>
          <w:tcPr>
            <w:tcW w:w="960" w:type="dxa"/>
            <w:tcBorders>
              <w:top w:val="nil"/>
              <w:left w:val="nil"/>
              <w:bottom w:val="single" w:sz="4" w:space="0" w:color="auto"/>
              <w:right w:val="single" w:sz="4" w:space="0" w:color="auto"/>
            </w:tcBorders>
            <w:shd w:val="clear" w:color="auto" w:fill="auto"/>
            <w:vAlign w:val="bottom"/>
            <w:hideMark/>
          </w:tcPr>
          <w:p w:rsidR="00F07E05" w:rsidRDefault="00F07E05" w:rsidP="008A253E">
            <w:pPr>
              <w:jc w:val="center"/>
              <w:rPr>
                <w:sz w:val="22"/>
                <w:szCs w:val="22"/>
              </w:rPr>
            </w:pPr>
            <w:r>
              <w:rPr>
                <w:sz w:val="22"/>
                <w:szCs w:val="22"/>
              </w:rPr>
              <w:t>цена за 1 осмотр, руб.</w:t>
            </w:r>
          </w:p>
        </w:tc>
        <w:tc>
          <w:tcPr>
            <w:tcW w:w="1380" w:type="dxa"/>
            <w:tcBorders>
              <w:top w:val="nil"/>
              <w:left w:val="nil"/>
              <w:bottom w:val="single" w:sz="4" w:space="0" w:color="auto"/>
              <w:right w:val="single" w:sz="4" w:space="0" w:color="auto"/>
            </w:tcBorders>
            <w:shd w:val="clear" w:color="auto" w:fill="auto"/>
            <w:vAlign w:val="bottom"/>
            <w:hideMark/>
          </w:tcPr>
          <w:p w:rsidR="00F07E05" w:rsidRDefault="00F07E05" w:rsidP="008A253E">
            <w:pPr>
              <w:jc w:val="center"/>
              <w:rPr>
                <w:sz w:val="22"/>
                <w:szCs w:val="22"/>
              </w:rPr>
            </w:pPr>
            <w:r>
              <w:rPr>
                <w:sz w:val="22"/>
                <w:szCs w:val="22"/>
              </w:rPr>
              <w:t>Стоимость услуг, руб.</w:t>
            </w:r>
          </w:p>
        </w:tc>
        <w:tc>
          <w:tcPr>
            <w:tcW w:w="960" w:type="dxa"/>
            <w:tcBorders>
              <w:top w:val="nil"/>
              <w:left w:val="nil"/>
              <w:bottom w:val="single" w:sz="4" w:space="0" w:color="auto"/>
              <w:right w:val="single" w:sz="4" w:space="0" w:color="auto"/>
            </w:tcBorders>
            <w:shd w:val="clear" w:color="auto" w:fill="auto"/>
            <w:vAlign w:val="bottom"/>
            <w:hideMark/>
          </w:tcPr>
          <w:p w:rsidR="00F07E05" w:rsidRDefault="00F07E05" w:rsidP="008A253E">
            <w:pPr>
              <w:jc w:val="center"/>
              <w:rPr>
                <w:sz w:val="22"/>
                <w:szCs w:val="22"/>
              </w:rPr>
            </w:pPr>
            <w:r>
              <w:rPr>
                <w:sz w:val="22"/>
                <w:szCs w:val="22"/>
              </w:rPr>
              <w:t>цена за 1 осмотр, руб.</w:t>
            </w:r>
          </w:p>
        </w:tc>
        <w:tc>
          <w:tcPr>
            <w:tcW w:w="1420" w:type="dxa"/>
            <w:tcBorders>
              <w:top w:val="nil"/>
              <w:left w:val="nil"/>
              <w:bottom w:val="single" w:sz="4" w:space="0" w:color="auto"/>
              <w:right w:val="single" w:sz="4" w:space="0" w:color="auto"/>
            </w:tcBorders>
            <w:shd w:val="clear" w:color="auto" w:fill="auto"/>
            <w:vAlign w:val="bottom"/>
            <w:hideMark/>
          </w:tcPr>
          <w:p w:rsidR="00F07E05" w:rsidRDefault="00F07E05" w:rsidP="008A253E">
            <w:pPr>
              <w:jc w:val="center"/>
              <w:rPr>
                <w:sz w:val="22"/>
                <w:szCs w:val="22"/>
              </w:rPr>
            </w:pPr>
            <w:r>
              <w:rPr>
                <w:sz w:val="22"/>
                <w:szCs w:val="22"/>
              </w:rPr>
              <w:t>Стоимость услуг, руб.</w:t>
            </w:r>
          </w:p>
        </w:tc>
      </w:tr>
      <w:tr w:rsidR="00F07E05" w:rsidTr="008A253E">
        <w:trPr>
          <w:trHeight w:val="1249"/>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F07E05" w:rsidRDefault="00F07E05" w:rsidP="008A253E">
            <w:pPr>
              <w:jc w:val="center"/>
              <w:rPr>
                <w:sz w:val="22"/>
                <w:szCs w:val="22"/>
              </w:rPr>
            </w:pPr>
            <w:r>
              <w:rPr>
                <w:sz w:val="22"/>
                <w:szCs w:val="22"/>
              </w:rPr>
              <w:t>1</w:t>
            </w:r>
          </w:p>
        </w:tc>
        <w:tc>
          <w:tcPr>
            <w:tcW w:w="2500" w:type="dxa"/>
            <w:tcBorders>
              <w:top w:val="nil"/>
              <w:left w:val="nil"/>
              <w:bottom w:val="single" w:sz="4" w:space="0" w:color="auto"/>
              <w:right w:val="single" w:sz="4" w:space="0" w:color="auto"/>
            </w:tcBorders>
            <w:shd w:val="clear" w:color="auto" w:fill="auto"/>
            <w:vAlign w:val="bottom"/>
            <w:hideMark/>
          </w:tcPr>
          <w:p w:rsidR="00F07E05" w:rsidRDefault="00F07E05" w:rsidP="008A253E">
            <w:pPr>
              <w:jc w:val="center"/>
              <w:rPr>
                <w:sz w:val="22"/>
                <w:szCs w:val="22"/>
              </w:rPr>
            </w:pPr>
            <w:r>
              <w:rPr>
                <w:sz w:val="22"/>
                <w:szCs w:val="22"/>
              </w:rPr>
              <w:t>ФГУП "Предприятие по поставкам продукции управления делами президента РФ"</w:t>
            </w:r>
          </w:p>
        </w:tc>
        <w:tc>
          <w:tcPr>
            <w:tcW w:w="1180" w:type="dxa"/>
            <w:tcBorders>
              <w:top w:val="nil"/>
              <w:left w:val="nil"/>
              <w:bottom w:val="single" w:sz="4" w:space="0" w:color="auto"/>
              <w:right w:val="single" w:sz="4" w:space="0" w:color="auto"/>
            </w:tcBorders>
            <w:shd w:val="clear" w:color="auto" w:fill="auto"/>
            <w:noWrap/>
            <w:vAlign w:val="bottom"/>
            <w:hideMark/>
          </w:tcPr>
          <w:p w:rsidR="00F07E05" w:rsidRDefault="00F07E05" w:rsidP="008A253E">
            <w:pPr>
              <w:jc w:val="center"/>
              <w:rPr>
                <w:sz w:val="22"/>
                <w:szCs w:val="22"/>
              </w:rPr>
            </w:pPr>
            <w:r>
              <w:rPr>
                <w:sz w:val="22"/>
                <w:szCs w:val="22"/>
              </w:rPr>
              <w:t>1890</w:t>
            </w:r>
          </w:p>
        </w:tc>
        <w:tc>
          <w:tcPr>
            <w:tcW w:w="1300" w:type="dxa"/>
            <w:tcBorders>
              <w:top w:val="nil"/>
              <w:left w:val="nil"/>
              <w:bottom w:val="single" w:sz="4" w:space="0" w:color="auto"/>
              <w:right w:val="single" w:sz="4" w:space="0" w:color="auto"/>
            </w:tcBorders>
            <w:shd w:val="clear" w:color="auto" w:fill="auto"/>
            <w:noWrap/>
            <w:vAlign w:val="bottom"/>
            <w:hideMark/>
          </w:tcPr>
          <w:p w:rsidR="00F07E05" w:rsidRDefault="00F07E05" w:rsidP="008A253E">
            <w:pPr>
              <w:jc w:val="center"/>
              <w:rPr>
                <w:sz w:val="22"/>
                <w:szCs w:val="22"/>
              </w:rPr>
            </w:pPr>
            <w:r>
              <w:rPr>
                <w:sz w:val="22"/>
                <w:szCs w:val="22"/>
              </w:rPr>
              <w:t>553,90</w:t>
            </w:r>
          </w:p>
        </w:tc>
        <w:tc>
          <w:tcPr>
            <w:tcW w:w="1360" w:type="dxa"/>
            <w:tcBorders>
              <w:top w:val="nil"/>
              <w:left w:val="nil"/>
              <w:bottom w:val="single" w:sz="4" w:space="0" w:color="auto"/>
              <w:right w:val="single" w:sz="4" w:space="0" w:color="auto"/>
            </w:tcBorders>
            <w:shd w:val="clear" w:color="auto" w:fill="auto"/>
            <w:noWrap/>
            <w:vAlign w:val="bottom"/>
            <w:hideMark/>
          </w:tcPr>
          <w:p w:rsidR="00F07E05" w:rsidRDefault="00F07E05" w:rsidP="008A253E">
            <w:pPr>
              <w:jc w:val="center"/>
              <w:rPr>
                <w:sz w:val="22"/>
                <w:szCs w:val="22"/>
              </w:rPr>
            </w:pPr>
            <w:r>
              <w:rPr>
                <w:sz w:val="22"/>
                <w:szCs w:val="22"/>
              </w:rPr>
              <w:t>1 046 871,00</w:t>
            </w:r>
          </w:p>
        </w:tc>
        <w:tc>
          <w:tcPr>
            <w:tcW w:w="1260" w:type="dxa"/>
            <w:tcBorders>
              <w:top w:val="nil"/>
              <w:left w:val="nil"/>
              <w:bottom w:val="single" w:sz="4" w:space="0" w:color="auto"/>
              <w:right w:val="single" w:sz="4" w:space="0" w:color="auto"/>
            </w:tcBorders>
            <w:shd w:val="clear" w:color="auto" w:fill="auto"/>
            <w:noWrap/>
            <w:vAlign w:val="bottom"/>
            <w:hideMark/>
          </w:tcPr>
          <w:p w:rsidR="00F07E05" w:rsidRDefault="00F07E05" w:rsidP="008A253E">
            <w:pPr>
              <w:jc w:val="center"/>
              <w:rPr>
                <w:sz w:val="22"/>
                <w:szCs w:val="22"/>
              </w:rPr>
            </w:pPr>
            <w:r>
              <w:rPr>
                <w:sz w:val="22"/>
                <w:szCs w:val="22"/>
              </w:rPr>
              <w:t>576,06</w:t>
            </w:r>
          </w:p>
        </w:tc>
        <w:tc>
          <w:tcPr>
            <w:tcW w:w="1360" w:type="dxa"/>
            <w:tcBorders>
              <w:top w:val="nil"/>
              <w:left w:val="nil"/>
              <w:bottom w:val="single" w:sz="4" w:space="0" w:color="auto"/>
              <w:right w:val="single" w:sz="4" w:space="0" w:color="auto"/>
            </w:tcBorders>
            <w:shd w:val="clear" w:color="auto" w:fill="auto"/>
            <w:noWrap/>
            <w:vAlign w:val="bottom"/>
            <w:hideMark/>
          </w:tcPr>
          <w:p w:rsidR="00F07E05" w:rsidRDefault="00F07E05" w:rsidP="008A253E">
            <w:pPr>
              <w:jc w:val="center"/>
              <w:rPr>
                <w:sz w:val="22"/>
                <w:szCs w:val="22"/>
              </w:rPr>
            </w:pPr>
            <w:r>
              <w:rPr>
                <w:sz w:val="22"/>
                <w:szCs w:val="22"/>
              </w:rPr>
              <w:t>1 088 745,84</w:t>
            </w:r>
          </w:p>
        </w:tc>
        <w:tc>
          <w:tcPr>
            <w:tcW w:w="960" w:type="dxa"/>
            <w:tcBorders>
              <w:top w:val="nil"/>
              <w:left w:val="nil"/>
              <w:bottom w:val="single" w:sz="4" w:space="0" w:color="auto"/>
              <w:right w:val="single" w:sz="4" w:space="0" w:color="auto"/>
            </w:tcBorders>
            <w:shd w:val="clear" w:color="auto" w:fill="auto"/>
            <w:noWrap/>
            <w:vAlign w:val="bottom"/>
            <w:hideMark/>
          </w:tcPr>
          <w:p w:rsidR="00F07E05" w:rsidRDefault="00F07E05" w:rsidP="008A253E">
            <w:pPr>
              <w:jc w:val="center"/>
              <w:rPr>
                <w:sz w:val="22"/>
                <w:szCs w:val="22"/>
              </w:rPr>
            </w:pPr>
            <w:r>
              <w:rPr>
                <w:sz w:val="22"/>
                <w:szCs w:val="22"/>
              </w:rPr>
              <w:t>599,10</w:t>
            </w:r>
          </w:p>
        </w:tc>
        <w:tc>
          <w:tcPr>
            <w:tcW w:w="1380" w:type="dxa"/>
            <w:tcBorders>
              <w:top w:val="nil"/>
              <w:left w:val="nil"/>
              <w:bottom w:val="single" w:sz="4" w:space="0" w:color="auto"/>
              <w:right w:val="single" w:sz="4" w:space="0" w:color="auto"/>
            </w:tcBorders>
            <w:shd w:val="clear" w:color="auto" w:fill="auto"/>
            <w:noWrap/>
            <w:vAlign w:val="bottom"/>
            <w:hideMark/>
          </w:tcPr>
          <w:p w:rsidR="00F07E05" w:rsidRDefault="00F07E05" w:rsidP="008A253E">
            <w:pPr>
              <w:jc w:val="center"/>
              <w:rPr>
                <w:sz w:val="22"/>
                <w:szCs w:val="22"/>
              </w:rPr>
            </w:pPr>
            <w:r>
              <w:rPr>
                <w:sz w:val="22"/>
                <w:szCs w:val="22"/>
              </w:rPr>
              <w:t>1 132 295,67</w:t>
            </w:r>
          </w:p>
        </w:tc>
        <w:tc>
          <w:tcPr>
            <w:tcW w:w="960" w:type="dxa"/>
            <w:tcBorders>
              <w:top w:val="nil"/>
              <w:left w:val="nil"/>
              <w:bottom w:val="single" w:sz="4" w:space="0" w:color="auto"/>
              <w:right w:val="single" w:sz="4" w:space="0" w:color="auto"/>
            </w:tcBorders>
            <w:shd w:val="clear" w:color="auto" w:fill="auto"/>
            <w:noWrap/>
            <w:vAlign w:val="bottom"/>
            <w:hideMark/>
          </w:tcPr>
          <w:p w:rsidR="00F07E05" w:rsidRDefault="00F07E05" w:rsidP="008A253E">
            <w:pPr>
              <w:jc w:val="center"/>
              <w:rPr>
                <w:sz w:val="22"/>
                <w:szCs w:val="22"/>
              </w:rPr>
            </w:pPr>
            <w:r>
              <w:rPr>
                <w:sz w:val="22"/>
                <w:szCs w:val="22"/>
              </w:rPr>
              <w:t>623,06</w:t>
            </w:r>
          </w:p>
        </w:tc>
        <w:tc>
          <w:tcPr>
            <w:tcW w:w="1420" w:type="dxa"/>
            <w:tcBorders>
              <w:top w:val="nil"/>
              <w:left w:val="nil"/>
              <w:bottom w:val="single" w:sz="4" w:space="0" w:color="auto"/>
              <w:right w:val="single" w:sz="4" w:space="0" w:color="auto"/>
            </w:tcBorders>
            <w:shd w:val="clear" w:color="auto" w:fill="auto"/>
            <w:noWrap/>
            <w:vAlign w:val="bottom"/>
            <w:hideMark/>
          </w:tcPr>
          <w:p w:rsidR="00F07E05" w:rsidRDefault="00F07E05" w:rsidP="008A253E">
            <w:pPr>
              <w:jc w:val="center"/>
              <w:rPr>
                <w:sz w:val="22"/>
                <w:szCs w:val="22"/>
              </w:rPr>
            </w:pPr>
            <w:r>
              <w:rPr>
                <w:sz w:val="22"/>
                <w:szCs w:val="22"/>
              </w:rPr>
              <w:t>1 177 587,50</w:t>
            </w:r>
          </w:p>
        </w:tc>
      </w:tr>
      <w:tr w:rsidR="00F07E05" w:rsidTr="008A253E">
        <w:trPr>
          <w:trHeight w:val="330"/>
        </w:trPr>
        <w:tc>
          <w:tcPr>
            <w:tcW w:w="52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F07E05" w:rsidRDefault="00F07E05" w:rsidP="008A253E">
            <w:pPr>
              <w:jc w:val="center"/>
              <w:rPr>
                <w:sz w:val="22"/>
                <w:szCs w:val="22"/>
              </w:rPr>
            </w:pPr>
            <w:r>
              <w:rPr>
                <w:sz w:val="22"/>
                <w:szCs w:val="22"/>
              </w:rPr>
              <w:t>2</w:t>
            </w:r>
          </w:p>
        </w:tc>
        <w:tc>
          <w:tcPr>
            <w:tcW w:w="2500" w:type="dxa"/>
            <w:vMerge w:val="restart"/>
            <w:tcBorders>
              <w:top w:val="nil"/>
              <w:left w:val="single" w:sz="4" w:space="0" w:color="auto"/>
              <w:bottom w:val="single" w:sz="4" w:space="0" w:color="000000"/>
              <w:right w:val="single" w:sz="4" w:space="0" w:color="auto"/>
            </w:tcBorders>
            <w:shd w:val="clear" w:color="auto" w:fill="auto"/>
            <w:vAlign w:val="bottom"/>
            <w:hideMark/>
          </w:tcPr>
          <w:p w:rsidR="00F07E05" w:rsidRDefault="00F07E05" w:rsidP="008A253E">
            <w:pPr>
              <w:jc w:val="center"/>
              <w:rPr>
                <w:sz w:val="22"/>
                <w:szCs w:val="22"/>
              </w:rPr>
            </w:pPr>
            <w:r>
              <w:rPr>
                <w:sz w:val="22"/>
                <w:szCs w:val="22"/>
              </w:rPr>
              <w:t>ГКУ Тверской центр документации новейшей истории"</w:t>
            </w:r>
          </w:p>
        </w:tc>
        <w:tc>
          <w:tcPr>
            <w:tcW w:w="118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F07E05" w:rsidRDefault="00F07E05" w:rsidP="008A253E">
            <w:pPr>
              <w:jc w:val="center"/>
              <w:rPr>
                <w:sz w:val="22"/>
                <w:szCs w:val="22"/>
              </w:rPr>
            </w:pPr>
            <w:r>
              <w:rPr>
                <w:sz w:val="22"/>
                <w:szCs w:val="22"/>
              </w:rPr>
              <w:t>165</w:t>
            </w:r>
          </w:p>
        </w:tc>
        <w:tc>
          <w:tcPr>
            <w:tcW w:w="1300" w:type="dxa"/>
            <w:tcBorders>
              <w:top w:val="nil"/>
              <w:left w:val="nil"/>
              <w:bottom w:val="single" w:sz="4" w:space="0" w:color="auto"/>
              <w:right w:val="single" w:sz="4" w:space="0" w:color="auto"/>
            </w:tcBorders>
            <w:shd w:val="clear" w:color="auto" w:fill="auto"/>
            <w:noWrap/>
            <w:vAlign w:val="bottom"/>
            <w:hideMark/>
          </w:tcPr>
          <w:p w:rsidR="00F07E05" w:rsidRDefault="00F07E05" w:rsidP="008A253E">
            <w:pPr>
              <w:jc w:val="center"/>
              <w:rPr>
                <w:sz w:val="22"/>
                <w:szCs w:val="22"/>
              </w:rPr>
            </w:pPr>
            <w:r>
              <w:rPr>
                <w:sz w:val="22"/>
                <w:szCs w:val="22"/>
              </w:rPr>
              <w:t>416,69</w:t>
            </w:r>
          </w:p>
        </w:tc>
        <w:tc>
          <w:tcPr>
            <w:tcW w:w="136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F07E05" w:rsidRDefault="00F07E05" w:rsidP="008A253E">
            <w:pPr>
              <w:jc w:val="center"/>
              <w:rPr>
                <w:sz w:val="22"/>
                <w:szCs w:val="22"/>
              </w:rPr>
            </w:pPr>
            <w:r>
              <w:rPr>
                <w:sz w:val="22"/>
                <w:szCs w:val="22"/>
              </w:rPr>
              <w:t>68 524,08</w:t>
            </w:r>
          </w:p>
        </w:tc>
        <w:tc>
          <w:tcPr>
            <w:tcW w:w="1260" w:type="dxa"/>
            <w:tcBorders>
              <w:top w:val="nil"/>
              <w:left w:val="nil"/>
              <w:bottom w:val="single" w:sz="4" w:space="0" w:color="auto"/>
              <w:right w:val="single" w:sz="4" w:space="0" w:color="auto"/>
            </w:tcBorders>
            <w:shd w:val="clear" w:color="auto" w:fill="auto"/>
            <w:noWrap/>
            <w:vAlign w:val="bottom"/>
            <w:hideMark/>
          </w:tcPr>
          <w:p w:rsidR="00F07E05" w:rsidRDefault="00F07E05" w:rsidP="008A253E">
            <w:pPr>
              <w:jc w:val="center"/>
              <w:rPr>
                <w:sz w:val="22"/>
                <w:szCs w:val="22"/>
              </w:rPr>
            </w:pPr>
            <w:r>
              <w:rPr>
                <w:sz w:val="22"/>
                <w:szCs w:val="22"/>
              </w:rPr>
              <w:t>433,36</w:t>
            </w:r>
          </w:p>
        </w:tc>
        <w:tc>
          <w:tcPr>
            <w:tcW w:w="136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F07E05" w:rsidRDefault="00F07E05" w:rsidP="008A253E">
            <w:pPr>
              <w:jc w:val="center"/>
              <w:rPr>
                <w:sz w:val="22"/>
                <w:szCs w:val="22"/>
              </w:rPr>
            </w:pPr>
            <w:r>
              <w:rPr>
                <w:sz w:val="22"/>
                <w:szCs w:val="22"/>
              </w:rPr>
              <w:t>71 265,04</w:t>
            </w:r>
          </w:p>
        </w:tc>
        <w:tc>
          <w:tcPr>
            <w:tcW w:w="960" w:type="dxa"/>
            <w:tcBorders>
              <w:top w:val="nil"/>
              <w:left w:val="nil"/>
              <w:bottom w:val="single" w:sz="4" w:space="0" w:color="auto"/>
              <w:right w:val="single" w:sz="4" w:space="0" w:color="auto"/>
            </w:tcBorders>
            <w:shd w:val="clear" w:color="auto" w:fill="auto"/>
            <w:noWrap/>
            <w:vAlign w:val="bottom"/>
            <w:hideMark/>
          </w:tcPr>
          <w:p w:rsidR="00F07E05" w:rsidRDefault="00F07E05" w:rsidP="008A253E">
            <w:pPr>
              <w:jc w:val="center"/>
              <w:rPr>
                <w:sz w:val="22"/>
                <w:szCs w:val="22"/>
              </w:rPr>
            </w:pPr>
            <w:r>
              <w:rPr>
                <w:sz w:val="22"/>
                <w:szCs w:val="22"/>
              </w:rPr>
              <w:t>450,69</w:t>
            </w:r>
          </w:p>
        </w:tc>
        <w:tc>
          <w:tcPr>
            <w:tcW w:w="138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F07E05" w:rsidRDefault="00F07E05" w:rsidP="008A253E">
            <w:pPr>
              <w:jc w:val="center"/>
              <w:rPr>
                <w:sz w:val="22"/>
                <w:szCs w:val="22"/>
              </w:rPr>
            </w:pPr>
            <w:r>
              <w:rPr>
                <w:sz w:val="22"/>
                <w:szCs w:val="22"/>
              </w:rPr>
              <w:t>74 115,64</w:t>
            </w:r>
          </w:p>
        </w:tc>
        <w:tc>
          <w:tcPr>
            <w:tcW w:w="960" w:type="dxa"/>
            <w:tcBorders>
              <w:top w:val="nil"/>
              <w:left w:val="nil"/>
              <w:bottom w:val="single" w:sz="4" w:space="0" w:color="auto"/>
              <w:right w:val="single" w:sz="4" w:space="0" w:color="auto"/>
            </w:tcBorders>
            <w:shd w:val="clear" w:color="auto" w:fill="auto"/>
            <w:noWrap/>
            <w:vAlign w:val="bottom"/>
            <w:hideMark/>
          </w:tcPr>
          <w:p w:rsidR="00F07E05" w:rsidRDefault="00F07E05" w:rsidP="008A253E">
            <w:pPr>
              <w:jc w:val="center"/>
              <w:rPr>
                <w:sz w:val="22"/>
                <w:szCs w:val="22"/>
              </w:rPr>
            </w:pPr>
            <w:r>
              <w:rPr>
                <w:sz w:val="22"/>
                <w:szCs w:val="22"/>
              </w:rPr>
              <w:t>468,72</w:t>
            </w:r>
          </w:p>
        </w:tc>
        <w:tc>
          <w:tcPr>
            <w:tcW w:w="142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F07E05" w:rsidRDefault="00F07E05" w:rsidP="008A253E">
            <w:pPr>
              <w:jc w:val="center"/>
              <w:rPr>
                <w:sz w:val="22"/>
                <w:szCs w:val="22"/>
              </w:rPr>
            </w:pPr>
            <w:r>
              <w:rPr>
                <w:sz w:val="22"/>
                <w:szCs w:val="22"/>
              </w:rPr>
              <w:t>77 080,27</w:t>
            </w:r>
          </w:p>
        </w:tc>
      </w:tr>
      <w:tr w:rsidR="00F07E05" w:rsidTr="008A253E">
        <w:trPr>
          <w:trHeight w:val="330"/>
        </w:trPr>
        <w:tc>
          <w:tcPr>
            <w:tcW w:w="520" w:type="dxa"/>
            <w:vMerge/>
            <w:tcBorders>
              <w:top w:val="nil"/>
              <w:left w:val="single" w:sz="4" w:space="0" w:color="auto"/>
              <w:bottom w:val="single" w:sz="4" w:space="0" w:color="000000"/>
              <w:right w:val="single" w:sz="4" w:space="0" w:color="auto"/>
            </w:tcBorders>
            <w:vAlign w:val="center"/>
            <w:hideMark/>
          </w:tcPr>
          <w:p w:rsidR="00F07E05" w:rsidRDefault="00F07E05" w:rsidP="008A253E">
            <w:pPr>
              <w:rPr>
                <w:sz w:val="22"/>
                <w:szCs w:val="22"/>
              </w:rPr>
            </w:pPr>
          </w:p>
        </w:tc>
        <w:tc>
          <w:tcPr>
            <w:tcW w:w="2500" w:type="dxa"/>
            <w:vMerge/>
            <w:tcBorders>
              <w:top w:val="nil"/>
              <w:left w:val="single" w:sz="4" w:space="0" w:color="auto"/>
              <w:bottom w:val="single" w:sz="4" w:space="0" w:color="000000"/>
              <w:right w:val="single" w:sz="4" w:space="0" w:color="auto"/>
            </w:tcBorders>
            <w:vAlign w:val="center"/>
            <w:hideMark/>
          </w:tcPr>
          <w:p w:rsidR="00F07E05" w:rsidRDefault="00F07E05" w:rsidP="008A253E">
            <w:pPr>
              <w:rPr>
                <w:sz w:val="22"/>
                <w:szCs w:val="22"/>
              </w:rPr>
            </w:pPr>
          </w:p>
        </w:tc>
        <w:tc>
          <w:tcPr>
            <w:tcW w:w="1180" w:type="dxa"/>
            <w:vMerge/>
            <w:tcBorders>
              <w:top w:val="nil"/>
              <w:left w:val="single" w:sz="4" w:space="0" w:color="auto"/>
              <w:bottom w:val="single" w:sz="4" w:space="0" w:color="000000"/>
              <w:right w:val="single" w:sz="4" w:space="0" w:color="auto"/>
            </w:tcBorders>
            <w:vAlign w:val="center"/>
            <w:hideMark/>
          </w:tcPr>
          <w:p w:rsidR="00F07E05" w:rsidRDefault="00F07E05" w:rsidP="008A253E">
            <w:pPr>
              <w:rPr>
                <w:sz w:val="22"/>
                <w:szCs w:val="22"/>
              </w:rPr>
            </w:pPr>
          </w:p>
        </w:tc>
        <w:tc>
          <w:tcPr>
            <w:tcW w:w="1300" w:type="dxa"/>
            <w:tcBorders>
              <w:top w:val="nil"/>
              <w:left w:val="nil"/>
              <w:bottom w:val="single" w:sz="4" w:space="0" w:color="auto"/>
              <w:right w:val="single" w:sz="4" w:space="0" w:color="auto"/>
            </w:tcBorders>
            <w:shd w:val="clear" w:color="auto" w:fill="auto"/>
            <w:noWrap/>
            <w:vAlign w:val="bottom"/>
            <w:hideMark/>
          </w:tcPr>
          <w:p w:rsidR="00F07E05" w:rsidRDefault="00F07E05" w:rsidP="008A253E">
            <w:pPr>
              <w:jc w:val="center"/>
              <w:rPr>
                <w:sz w:val="22"/>
                <w:szCs w:val="22"/>
              </w:rPr>
            </w:pPr>
            <w:r>
              <w:rPr>
                <w:sz w:val="22"/>
                <w:szCs w:val="22"/>
              </w:rPr>
              <w:t>410,83</w:t>
            </w:r>
          </w:p>
        </w:tc>
        <w:tc>
          <w:tcPr>
            <w:tcW w:w="1360" w:type="dxa"/>
            <w:vMerge/>
            <w:tcBorders>
              <w:top w:val="nil"/>
              <w:left w:val="single" w:sz="4" w:space="0" w:color="auto"/>
              <w:bottom w:val="single" w:sz="4" w:space="0" w:color="000000"/>
              <w:right w:val="single" w:sz="4" w:space="0" w:color="auto"/>
            </w:tcBorders>
            <w:vAlign w:val="center"/>
            <w:hideMark/>
          </w:tcPr>
          <w:p w:rsidR="00F07E05" w:rsidRDefault="00F07E05" w:rsidP="008A253E">
            <w:pPr>
              <w:rPr>
                <w:sz w:val="22"/>
                <w:szCs w:val="22"/>
              </w:rPr>
            </w:pPr>
          </w:p>
        </w:tc>
        <w:tc>
          <w:tcPr>
            <w:tcW w:w="1260" w:type="dxa"/>
            <w:tcBorders>
              <w:top w:val="nil"/>
              <w:left w:val="nil"/>
              <w:bottom w:val="single" w:sz="4" w:space="0" w:color="auto"/>
              <w:right w:val="single" w:sz="4" w:space="0" w:color="auto"/>
            </w:tcBorders>
            <w:shd w:val="clear" w:color="auto" w:fill="auto"/>
            <w:noWrap/>
            <w:vAlign w:val="bottom"/>
            <w:hideMark/>
          </w:tcPr>
          <w:p w:rsidR="00F07E05" w:rsidRDefault="00F07E05" w:rsidP="008A253E">
            <w:pPr>
              <w:jc w:val="center"/>
              <w:rPr>
                <w:sz w:val="22"/>
                <w:szCs w:val="22"/>
              </w:rPr>
            </w:pPr>
            <w:r>
              <w:rPr>
                <w:sz w:val="22"/>
                <w:szCs w:val="22"/>
              </w:rPr>
              <w:t>427,26</w:t>
            </w:r>
          </w:p>
        </w:tc>
        <w:tc>
          <w:tcPr>
            <w:tcW w:w="1360" w:type="dxa"/>
            <w:vMerge/>
            <w:tcBorders>
              <w:top w:val="nil"/>
              <w:left w:val="single" w:sz="4" w:space="0" w:color="auto"/>
              <w:bottom w:val="single" w:sz="4" w:space="0" w:color="auto"/>
              <w:right w:val="single" w:sz="4" w:space="0" w:color="auto"/>
            </w:tcBorders>
            <w:vAlign w:val="center"/>
            <w:hideMark/>
          </w:tcPr>
          <w:p w:rsidR="00F07E05" w:rsidRDefault="00F07E05" w:rsidP="008A253E">
            <w:pPr>
              <w:rPr>
                <w:sz w:val="22"/>
                <w:szCs w:val="22"/>
              </w:rPr>
            </w:pPr>
          </w:p>
        </w:tc>
        <w:tc>
          <w:tcPr>
            <w:tcW w:w="960" w:type="dxa"/>
            <w:tcBorders>
              <w:top w:val="nil"/>
              <w:left w:val="nil"/>
              <w:bottom w:val="single" w:sz="4" w:space="0" w:color="auto"/>
              <w:right w:val="single" w:sz="4" w:space="0" w:color="auto"/>
            </w:tcBorders>
            <w:shd w:val="clear" w:color="auto" w:fill="auto"/>
            <w:noWrap/>
            <w:vAlign w:val="bottom"/>
            <w:hideMark/>
          </w:tcPr>
          <w:p w:rsidR="00F07E05" w:rsidRDefault="00F07E05" w:rsidP="008A253E">
            <w:pPr>
              <w:jc w:val="center"/>
              <w:rPr>
                <w:sz w:val="22"/>
                <w:szCs w:val="22"/>
              </w:rPr>
            </w:pPr>
            <w:r>
              <w:rPr>
                <w:sz w:val="22"/>
                <w:szCs w:val="22"/>
              </w:rPr>
              <w:t>444,35</w:t>
            </w:r>
          </w:p>
        </w:tc>
        <w:tc>
          <w:tcPr>
            <w:tcW w:w="1380" w:type="dxa"/>
            <w:vMerge/>
            <w:tcBorders>
              <w:top w:val="nil"/>
              <w:left w:val="single" w:sz="4" w:space="0" w:color="auto"/>
              <w:bottom w:val="single" w:sz="4" w:space="0" w:color="auto"/>
              <w:right w:val="single" w:sz="4" w:space="0" w:color="auto"/>
            </w:tcBorders>
            <w:vAlign w:val="center"/>
            <w:hideMark/>
          </w:tcPr>
          <w:p w:rsidR="00F07E05" w:rsidRDefault="00F07E05" w:rsidP="008A253E">
            <w:pPr>
              <w:rPr>
                <w:sz w:val="22"/>
                <w:szCs w:val="22"/>
              </w:rPr>
            </w:pPr>
          </w:p>
        </w:tc>
        <w:tc>
          <w:tcPr>
            <w:tcW w:w="960" w:type="dxa"/>
            <w:tcBorders>
              <w:top w:val="nil"/>
              <w:left w:val="nil"/>
              <w:bottom w:val="single" w:sz="4" w:space="0" w:color="auto"/>
              <w:right w:val="single" w:sz="4" w:space="0" w:color="auto"/>
            </w:tcBorders>
            <w:shd w:val="clear" w:color="auto" w:fill="auto"/>
            <w:noWrap/>
            <w:vAlign w:val="bottom"/>
            <w:hideMark/>
          </w:tcPr>
          <w:p w:rsidR="00F07E05" w:rsidRDefault="00F07E05" w:rsidP="008A253E">
            <w:pPr>
              <w:jc w:val="center"/>
              <w:rPr>
                <w:sz w:val="22"/>
                <w:szCs w:val="22"/>
              </w:rPr>
            </w:pPr>
            <w:r>
              <w:rPr>
                <w:sz w:val="22"/>
                <w:szCs w:val="22"/>
              </w:rPr>
              <w:t>462,13</w:t>
            </w:r>
          </w:p>
        </w:tc>
        <w:tc>
          <w:tcPr>
            <w:tcW w:w="1420" w:type="dxa"/>
            <w:vMerge/>
            <w:tcBorders>
              <w:top w:val="nil"/>
              <w:left w:val="single" w:sz="4" w:space="0" w:color="auto"/>
              <w:bottom w:val="single" w:sz="4" w:space="0" w:color="auto"/>
              <w:right w:val="single" w:sz="4" w:space="0" w:color="auto"/>
            </w:tcBorders>
            <w:vAlign w:val="center"/>
            <w:hideMark/>
          </w:tcPr>
          <w:p w:rsidR="00F07E05" w:rsidRDefault="00F07E05" w:rsidP="008A253E">
            <w:pPr>
              <w:rPr>
                <w:sz w:val="22"/>
                <w:szCs w:val="22"/>
              </w:rPr>
            </w:pPr>
          </w:p>
        </w:tc>
      </w:tr>
      <w:tr w:rsidR="00F07E05" w:rsidTr="008A253E">
        <w:trPr>
          <w:trHeight w:val="330"/>
        </w:trPr>
        <w:tc>
          <w:tcPr>
            <w:tcW w:w="520" w:type="dxa"/>
            <w:vMerge/>
            <w:tcBorders>
              <w:top w:val="nil"/>
              <w:left w:val="single" w:sz="4" w:space="0" w:color="auto"/>
              <w:bottom w:val="single" w:sz="4" w:space="0" w:color="000000"/>
              <w:right w:val="single" w:sz="4" w:space="0" w:color="auto"/>
            </w:tcBorders>
            <w:vAlign w:val="center"/>
            <w:hideMark/>
          </w:tcPr>
          <w:p w:rsidR="00F07E05" w:rsidRDefault="00F07E05" w:rsidP="008A253E">
            <w:pPr>
              <w:rPr>
                <w:sz w:val="22"/>
                <w:szCs w:val="22"/>
              </w:rPr>
            </w:pPr>
          </w:p>
        </w:tc>
        <w:tc>
          <w:tcPr>
            <w:tcW w:w="2500" w:type="dxa"/>
            <w:vMerge/>
            <w:tcBorders>
              <w:top w:val="nil"/>
              <w:left w:val="single" w:sz="4" w:space="0" w:color="auto"/>
              <w:bottom w:val="single" w:sz="4" w:space="0" w:color="000000"/>
              <w:right w:val="single" w:sz="4" w:space="0" w:color="auto"/>
            </w:tcBorders>
            <w:vAlign w:val="center"/>
            <w:hideMark/>
          </w:tcPr>
          <w:p w:rsidR="00F07E05" w:rsidRDefault="00F07E05" w:rsidP="008A253E">
            <w:pPr>
              <w:rPr>
                <w:sz w:val="22"/>
                <w:szCs w:val="22"/>
              </w:rPr>
            </w:pPr>
          </w:p>
        </w:tc>
        <w:tc>
          <w:tcPr>
            <w:tcW w:w="1180" w:type="dxa"/>
            <w:vMerge/>
            <w:tcBorders>
              <w:top w:val="nil"/>
              <w:left w:val="single" w:sz="4" w:space="0" w:color="auto"/>
              <w:bottom w:val="single" w:sz="4" w:space="0" w:color="000000"/>
              <w:right w:val="single" w:sz="4" w:space="0" w:color="auto"/>
            </w:tcBorders>
            <w:vAlign w:val="center"/>
            <w:hideMark/>
          </w:tcPr>
          <w:p w:rsidR="00F07E05" w:rsidRDefault="00F07E05" w:rsidP="008A253E">
            <w:pPr>
              <w:rPr>
                <w:sz w:val="22"/>
                <w:szCs w:val="22"/>
              </w:rPr>
            </w:pPr>
          </w:p>
        </w:tc>
        <w:tc>
          <w:tcPr>
            <w:tcW w:w="1300" w:type="dxa"/>
            <w:tcBorders>
              <w:top w:val="nil"/>
              <w:left w:val="nil"/>
              <w:bottom w:val="single" w:sz="4" w:space="0" w:color="auto"/>
              <w:right w:val="single" w:sz="4" w:space="0" w:color="auto"/>
            </w:tcBorders>
            <w:shd w:val="clear" w:color="auto" w:fill="auto"/>
            <w:noWrap/>
            <w:vAlign w:val="bottom"/>
            <w:hideMark/>
          </w:tcPr>
          <w:p w:rsidR="00F07E05" w:rsidRDefault="00F07E05" w:rsidP="008A253E">
            <w:pPr>
              <w:jc w:val="center"/>
              <w:rPr>
                <w:sz w:val="22"/>
                <w:szCs w:val="22"/>
              </w:rPr>
            </w:pPr>
            <w:r>
              <w:rPr>
                <w:sz w:val="22"/>
                <w:szCs w:val="22"/>
              </w:rPr>
              <w:t>418,66</w:t>
            </w:r>
          </w:p>
        </w:tc>
        <w:tc>
          <w:tcPr>
            <w:tcW w:w="1360" w:type="dxa"/>
            <w:vMerge/>
            <w:tcBorders>
              <w:top w:val="nil"/>
              <w:left w:val="single" w:sz="4" w:space="0" w:color="auto"/>
              <w:bottom w:val="single" w:sz="4" w:space="0" w:color="000000"/>
              <w:right w:val="single" w:sz="4" w:space="0" w:color="auto"/>
            </w:tcBorders>
            <w:vAlign w:val="center"/>
            <w:hideMark/>
          </w:tcPr>
          <w:p w:rsidR="00F07E05" w:rsidRDefault="00F07E05" w:rsidP="008A253E">
            <w:pPr>
              <w:rPr>
                <w:sz w:val="22"/>
                <w:szCs w:val="22"/>
              </w:rPr>
            </w:pPr>
          </w:p>
        </w:tc>
        <w:tc>
          <w:tcPr>
            <w:tcW w:w="1260" w:type="dxa"/>
            <w:tcBorders>
              <w:top w:val="nil"/>
              <w:left w:val="nil"/>
              <w:bottom w:val="single" w:sz="4" w:space="0" w:color="auto"/>
              <w:right w:val="single" w:sz="4" w:space="0" w:color="auto"/>
            </w:tcBorders>
            <w:shd w:val="clear" w:color="auto" w:fill="auto"/>
            <w:noWrap/>
            <w:vAlign w:val="bottom"/>
            <w:hideMark/>
          </w:tcPr>
          <w:p w:rsidR="00F07E05" w:rsidRDefault="00F07E05" w:rsidP="008A253E">
            <w:pPr>
              <w:jc w:val="center"/>
              <w:rPr>
                <w:sz w:val="22"/>
                <w:szCs w:val="22"/>
              </w:rPr>
            </w:pPr>
            <w:r>
              <w:rPr>
                <w:sz w:val="22"/>
                <w:szCs w:val="22"/>
              </w:rPr>
              <w:t>435,41</w:t>
            </w:r>
          </w:p>
        </w:tc>
        <w:tc>
          <w:tcPr>
            <w:tcW w:w="1360" w:type="dxa"/>
            <w:vMerge/>
            <w:tcBorders>
              <w:top w:val="nil"/>
              <w:left w:val="single" w:sz="4" w:space="0" w:color="auto"/>
              <w:bottom w:val="single" w:sz="4" w:space="0" w:color="auto"/>
              <w:right w:val="single" w:sz="4" w:space="0" w:color="auto"/>
            </w:tcBorders>
            <w:vAlign w:val="center"/>
            <w:hideMark/>
          </w:tcPr>
          <w:p w:rsidR="00F07E05" w:rsidRDefault="00F07E05" w:rsidP="008A253E">
            <w:pPr>
              <w:rPr>
                <w:sz w:val="22"/>
                <w:szCs w:val="22"/>
              </w:rPr>
            </w:pPr>
          </w:p>
        </w:tc>
        <w:tc>
          <w:tcPr>
            <w:tcW w:w="960" w:type="dxa"/>
            <w:tcBorders>
              <w:top w:val="nil"/>
              <w:left w:val="nil"/>
              <w:bottom w:val="single" w:sz="4" w:space="0" w:color="auto"/>
              <w:right w:val="single" w:sz="4" w:space="0" w:color="auto"/>
            </w:tcBorders>
            <w:shd w:val="clear" w:color="auto" w:fill="auto"/>
            <w:noWrap/>
            <w:vAlign w:val="bottom"/>
            <w:hideMark/>
          </w:tcPr>
          <w:p w:rsidR="00F07E05" w:rsidRDefault="00F07E05" w:rsidP="008A253E">
            <w:pPr>
              <w:jc w:val="center"/>
              <w:rPr>
                <w:sz w:val="22"/>
                <w:szCs w:val="22"/>
              </w:rPr>
            </w:pPr>
            <w:r>
              <w:rPr>
                <w:sz w:val="22"/>
                <w:szCs w:val="22"/>
              </w:rPr>
              <w:t>452,82</w:t>
            </w:r>
          </w:p>
        </w:tc>
        <w:tc>
          <w:tcPr>
            <w:tcW w:w="1380" w:type="dxa"/>
            <w:vMerge/>
            <w:tcBorders>
              <w:top w:val="nil"/>
              <w:left w:val="single" w:sz="4" w:space="0" w:color="auto"/>
              <w:bottom w:val="single" w:sz="4" w:space="0" w:color="auto"/>
              <w:right w:val="single" w:sz="4" w:space="0" w:color="auto"/>
            </w:tcBorders>
            <w:vAlign w:val="center"/>
            <w:hideMark/>
          </w:tcPr>
          <w:p w:rsidR="00F07E05" w:rsidRDefault="00F07E05" w:rsidP="008A253E">
            <w:pPr>
              <w:rPr>
                <w:sz w:val="22"/>
                <w:szCs w:val="22"/>
              </w:rPr>
            </w:pPr>
          </w:p>
        </w:tc>
        <w:tc>
          <w:tcPr>
            <w:tcW w:w="960" w:type="dxa"/>
            <w:tcBorders>
              <w:top w:val="nil"/>
              <w:left w:val="nil"/>
              <w:bottom w:val="single" w:sz="4" w:space="0" w:color="auto"/>
              <w:right w:val="single" w:sz="4" w:space="0" w:color="auto"/>
            </w:tcBorders>
            <w:shd w:val="clear" w:color="auto" w:fill="auto"/>
            <w:noWrap/>
            <w:vAlign w:val="bottom"/>
            <w:hideMark/>
          </w:tcPr>
          <w:p w:rsidR="00F07E05" w:rsidRDefault="00F07E05" w:rsidP="008A253E">
            <w:pPr>
              <w:jc w:val="center"/>
              <w:rPr>
                <w:sz w:val="22"/>
                <w:szCs w:val="22"/>
              </w:rPr>
            </w:pPr>
            <w:r>
              <w:rPr>
                <w:sz w:val="22"/>
                <w:szCs w:val="22"/>
              </w:rPr>
              <w:t>470,94</w:t>
            </w:r>
          </w:p>
        </w:tc>
        <w:tc>
          <w:tcPr>
            <w:tcW w:w="1420" w:type="dxa"/>
            <w:vMerge/>
            <w:tcBorders>
              <w:top w:val="nil"/>
              <w:left w:val="single" w:sz="4" w:space="0" w:color="auto"/>
              <w:bottom w:val="single" w:sz="4" w:space="0" w:color="auto"/>
              <w:right w:val="single" w:sz="4" w:space="0" w:color="auto"/>
            </w:tcBorders>
            <w:vAlign w:val="center"/>
            <w:hideMark/>
          </w:tcPr>
          <w:p w:rsidR="00F07E05" w:rsidRDefault="00F07E05" w:rsidP="008A253E">
            <w:pPr>
              <w:rPr>
                <w:sz w:val="22"/>
                <w:szCs w:val="22"/>
              </w:rPr>
            </w:pPr>
          </w:p>
        </w:tc>
      </w:tr>
      <w:tr w:rsidR="00F07E05" w:rsidTr="008A253E">
        <w:trPr>
          <w:trHeight w:val="330"/>
        </w:trPr>
        <w:tc>
          <w:tcPr>
            <w:tcW w:w="520" w:type="dxa"/>
            <w:vMerge/>
            <w:tcBorders>
              <w:top w:val="nil"/>
              <w:left w:val="single" w:sz="4" w:space="0" w:color="auto"/>
              <w:bottom w:val="single" w:sz="4" w:space="0" w:color="000000"/>
              <w:right w:val="single" w:sz="4" w:space="0" w:color="auto"/>
            </w:tcBorders>
            <w:vAlign w:val="center"/>
            <w:hideMark/>
          </w:tcPr>
          <w:p w:rsidR="00F07E05" w:rsidRDefault="00F07E05" w:rsidP="008A253E">
            <w:pPr>
              <w:rPr>
                <w:sz w:val="22"/>
                <w:szCs w:val="22"/>
              </w:rPr>
            </w:pPr>
          </w:p>
        </w:tc>
        <w:tc>
          <w:tcPr>
            <w:tcW w:w="2500" w:type="dxa"/>
            <w:vMerge/>
            <w:tcBorders>
              <w:top w:val="nil"/>
              <w:left w:val="single" w:sz="4" w:space="0" w:color="auto"/>
              <w:bottom w:val="single" w:sz="4" w:space="0" w:color="000000"/>
              <w:right w:val="single" w:sz="4" w:space="0" w:color="auto"/>
            </w:tcBorders>
            <w:vAlign w:val="center"/>
            <w:hideMark/>
          </w:tcPr>
          <w:p w:rsidR="00F07E05" w:rsidRDefault="00F07E05" w:rsidP="008A253E">
            <w:pPr>
              <w:rPr>
                <w:sz w:val="22"/>
                <w:szCs w:val="22"/>
              </w:rPr>
            </w:pPr>
          </w:p>
        </w:tc>
        <w:tc>
          <w:tcPr>
            <w:tcW w:w="1180" w:type="dxa"/>
            <w:vMerge/>
            <w:tcBorders>
              <w:top w:val="nil"/>
              <w:left w:val="single" w:sz="4" w:space="0" w:color="auto"/>
              <w:bottom w:val="single" w:sz="4" w:space="0" w:color="000000"/>
              <w:right w:val="single" w:sz="4" w:space="0" w:color="auto"/>
            </w:tcBorders>
            <w:vAlign w:val="center"/>
            <w:hideMark/>
          </w:tcPr>
          <w:p w:rsidR="00F07E05" w:rsidRDefault="00F07E05" w:rsidP="008A253E">
            <w:pPr>
              <w:rPr>
                <w:sz w:val="22"/>
                <w:szCs w:val="22"/>
              </w:rPr>
            </w:pPr>
          </w:p>
        </w:tc>
        <w:tc>
          <w:tcPr>
            <w:tcW w:w="1300" w:type="dxa"/>
            <w:tcBorders>
              <w:top w:val="nil"/>
              <w:left w:val="nil"/>
              <w:bottom w:val="single" w:sz="4" w:space="0" w:color="auto"/>
              <w:right w:val="single" w:sz="4" w:space="0" w:color="auto"/>
            </w:tcBorders>
            <w:shd w:val="clear" w:color="auto" w:fill="auto"/>
            <w:noWrap/>
            <w:vAlign w:val="bottom"/>
            <w:hideMark/>
          </w:tcPr>
          <w:p w:rsidR="00F07E05" w:rsidRDefault="00F07E05" w:rsidP="008A253E">
            <w:pPr>
              <w:jc w:val="center"/>
              <w:rPr>
                <w:sz w:val="22"/>
                <w:szCs w:val="22"/>
              </w:rPr>
            </w:pPr>
            <w:r>
              <w:rPr>
                <w:sz w:val="22"/>
                <w:szCs w:val="22"/>
              </w:rPr>
              <w:t>410,83</w:t>
            </w:r>
          </w:p>
        </w:tc>
        <w:tc>
          <w:tcPr>
            <w:tcW w:w="1360" w:type="dxa"/>
            <w:vMerge/>
            <w:tcBorders>
              <w:top w:val="nil"/>
              <w:left w:val="single" w:sz="4" w:space="0" w:color="auto"/>
              <w:bottom w:val="single" w:sz="4" w:space="0" w:color="000000"/>
              <w:right w:val="single" w:sz="4" w:space="0" w:color="auto"/>
            </w:tcBorders>
            <w:vAlign w:val="center"/>
            <w:hideMark/>
          </w:tcPr>
          <w:p w:rsidR="00F07E05" w:rsidRDefault="00F07E05" w:rsidP="008A253E">
            <w:pPr>
              <w:rPr>
                <w:sz w:val="22"/>
                <w:szCs w:val="22"/>
              </w:rPr>
            </w:pPr>
          </w:p>
        </w:tc>
        <w:tc>
          <w:tcPr>
            <w:tcW w:w="1260" w:type="dxa"/>
            <w:tcBorders>
              <w:top w:val="nil"/>
              <w:left w:val="nil"/>
              <w:bottom w:val="single" w:sz="4" w:space="0" w:color="auto"/>
              <w:right w:val="single" w:sz="4" w:space="0" w:color="auto"/>
            </w:tcBorders>
            <w:shd w:val="clear" w:color="auto" w:fill="auto"/>
            <w:noWrap/>
            <w:vAlign w:val="bottom"/>
            <w:hideMark/>
          </w:tcPr>
          <w:p w:rsidR="00F07E05" w:rsidRDefault="00F07E05" w:rsidP="008A253E">
            <w:pPr>
              <w:jc w:val="center"/>
              <w:rPr>
                <w:sz w:val="22"/>
                <w:szCs w:val="22"/>
              </w:rPr>
            </w:pPr>
            <w:r>
              <w:rPr>
                <w:sz w:val="22"/>
                <w:szCs w:val="22"/>
              </w:rPr>
              <w:t>427,26</w:t>
            </w:r>
          </w:p>
        </w:tc>
        <w:tc>
          <w:tcPr>
            <w:tcW w:w="1360" w:type="dxa"/>
            <w:vMerge/>
            <w:tcBorders>
              <w:top w:val="nil"/>
              <w:left w:val="single" w:sz="4" w:space="0" w:color="auto"/>
              <w:bottom w:val="single" w:sz="4" w:space="0" w:color="auto"/>
              <w:right w:val="single" w:sz="4" w:space="0" w:color="auto"/>
            </w:tcBorders>
            <w:vAlign w:val="center"/>
            <w:hideMark/>
          </w:tcPr>
          <w:p w:rsidR="00F07E05" w:rsidRDefault="00F07E05" w:rsidP="008A253E">
            <w:pPr>
              <w:rPr>
                <w:sz w:val="22"/>
                <w:szCs w:val="22"/>
              </w:rPr>
            </w:pPr>
          </w:p>
        </w:tc>
        <w:tc>
          <w:tcPr>
            <w:tcW w:w="960" w:type="dxa"/>
            <w:tcBorders>
              <w:top w:val="nil"/>
              <w:left w:val="nil"/>
              <w:bottom w:val="single" w:sz="4" w:space="0" w:color="auto"/>
              <w:right w:val="single" w:sz="4" w:space="0" w:color="auto"/>
            </w:tcBorders>
            <w:shd w:val="clear" w:color="auto" w:fill="auto"/>
            <w:noWrap/>
            <w:vAlign w:val="bottom"/>
            <w:hideMark/>
          </w:tcPr>
          <w:p w:rsidR="00F07E05" w:rsidRDefault="00F07E05" w:rsidP="008A253E">
            <w:pPr>
              <w:jc w:val="center"/>
              <w:rPr>
                <w:sz w:val="22"/>
                <w:szCs w:val="22"/>
              </w:rPr>
            </w:pPr>
            <w:r>
              <w:rPr>
                <w:sz w:val="22"/>
                <w:szCs w:val="22"/>
              </w:rPr>
              <w:t>444,35</w:t>
            </w:r>
          </w:p>
        </w:tc>
        <w:tc>
          <w:tcPr>
            <w:tcW w:w="1380" w:type="dxa"/>
            <w:vMerge/>
            <w:tcBorders>
              <w:top w:val="nil"/>
              <w:left w:val="single" w:sz="4" w:space="0" w:color="auto"/>
              <w:bottom w:val="single" w:sz="4" w:space="0" w:color="auto"/>
              <w:right w:val="single" w:sz="4" w:space="0" w:color="auto"/>
            </w:tcBorders>
            <w:vAlign w:val="center"/>
            <w:hideMark/>
          </w:tcPr>
          <w:p w:rsidR="00F07E05" w:rsidRDefault="00F07E05" w:rsidP="008A253E">
            <w:pPr>
              <w:rPr>
                <w:sz w:val="22"/>
                <w:szCs w:val="22"/>
              </w:rPr>
            </w:pPr>
          </w:p>
        </w:tc>
        <w:tc>
          <w:tcPr>
            <w:tcW w:w="960" w:type="dxa"/>
            <w:tcBorders>
              <w:top w:val="nil"/>
              <w:left w:val="nil"/>
              <w:bottom w:val="single" w:sz="4" w:space="0" w:color="auto"/>
              <w:right w:val="single" w:sz="4" w:space="0" w:color="auto"/>
            </w:tcBorders>
            <w:shd w:val="clear" w:color="auto" w:fill="auto"/>
            <w:noWrap/>
            <w:vAlign w:val="bottom"/>
            <w:hideMark/>
          </w:tcPr>
          <w:p w:rsidR="00F07E05" w:rsidRDefault="00F07E05" w:rsidP="008A253E">
            <w:pPr>
              <w:jc w:val="center"/>
              <w:rPr>
                <w:sz w:val="22"/>
                <w:szCs w:val="22"/>
              </w:rPr>
            </w:pPr>
            <w:r>
              <w:rPr>
                <w:sz w:val="22"/>
                <w:szCs w:val="22"/>
              </w:rPr>
              <w:t>462,13</w:t>
            </w:r>
          </w:p>
        </w:tc>
        <w:tc>
          <w:tcPr>
            <w:tcW w:w="1420" w:type="dxa"/>
            <w:vMerge/>
            <w:tcBorders>
              <w:top w:val="nil"/>
              <w:left w:val="single" w:sz="4" w:space="0" w:color="auto"/>
              <w:bottom w:val="single" w:sz="4" w:space="0" w:color="auto"/>
              <w:right w:val="single" w:sz="4" w:space="0" w:color="auto"/>
            </w:tcBorders>
            <w:vAlign w:val="center"/>
            <w:hideMark/>
          </w:tcPr>
          <w:p w:rsidR="00F07E05" w:rsidRDefault="00F07E05" w:rsidP="008A253E">
            <w:pPr>
              <w:rPr>
                <w:sz w:val="22"/>
                <w:szCs w:val="22"/>
              </w:rPr>
            </w:pPr>
          </w:p>
        </w:tc>
      </w:tr>
      <w:tr w:rsidR="00F07E05" w:rsidTr="008A253E">
        <w:trPr>
          <w:trHeight w:val="300"/>
        </w:trPr>
        <w:tc>
          <w:tcPr>
            <w:tcW w:w="52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F07E05" w:rsidRDefault="00F07E05" w:rsidP="008A253E">
            <w:pPr>
              <w:jc w:val="center"/>
              <w:rPr>
                <w:sz w:val="22"/>
                <w:szCs w:val="22"/>
              </w:rPr>
            </w:pPr>
            <w:r>
              <w:rPr>
                <w:sz w:val="22"/>
                <w:szCs w:val="22"/>
              </w:rPr>
              <w:t>3</w:t>
            </w:r>
          </w:p>
        </w:tc>
        <w:tc>
          <w:tcPr>
            <w:tcW w:w="2500" w:type="dxa"/>
            <w:vMerge w:val="restart"/>
            <w:tcBorders>
              <w:top w:val="nil"/>
              <w:left w:val="single" w:sz="4" w:space="0" w:color="auto"/>
              <w:bottom w:val="single" w:sz="4" w:space="0" w:color="000000"/>
              <w:right w:val="single" w:sz="4" w:space="0" w:color="auto"/>
            </w:tcBorders>
            <w:shd w:val="clear" w:color="auto" w:fill="auto"/>
            <w:vAlign w:val="bottom"/>
            <w:hideMark/>
          </w:tcPr>
          <w:p w:rsidR="00F07E05" w:rsidRDefault="00F07E05" w:rsidP="008A253E">
            <w:pPr>
              <w:jc w:val="center"/>
              <w:rPr>
                <w:sz w:val="22"/>
                <w:szCs w:val="22"/>
              </w:rPr>
            </w:pPr>
            <w:r>
              <w:rPr>
                <w:sz w:val="22"/>
                <w:szCs w:val="22"/>
              </w:rPr>
              <w:t>ГКУ "Госудасртвенный архив Тверской области"</w:t>
            </w:r>
          </w:p>
        </w:tc>
        <w:tc>
          <w:tcPr>
            <w:tcW w:w="118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F07E05" w:rsidRDefault="00F07E05" w:rsidP="008A253E">
            <w:pPr>
              <w:jc w:val="center"/>
              <w:rPr>
                <w:sz w:val="22"/>
                <w:szCs w:val="22"/>
              </w:rPr>
            </w:pPr>
            <w:r>
              <w:rPr>
                <w:sz w:val="22"/>
                <w:szCs w:val="22"/>
              </w:rPr>
              <w:t>96</w:t>
            </w:r>
          </w:p>
        </w:tc>
        <w:tc>
          <w:tcPr>
            <w:tcW w:w="1300" w:type="dxa"/>
            <w:tcBorders>
              <w:top w:val="nil"/>
              <w:left w:val="nil"/>
              <w:bottom w:val="single" w:sz="4" w:space="0" w:color="auto"/>
              <w:right w:val="single" w:sz="4" w:space="0" w:color="auto"/>
            </w:tcBorders>
            <w:shd w:val="clear" w:color="auto" w:fill="auto"/>
            <w:noWrap/>
            <w:vAlign w:val="bottom"/>
            <w:hideMark/>
          </w:tcPr>
          <w:p w:rsidR="00F07E05" w:rsidRDefault="00F07E05" w:rsidP="008A253E">
            <w:pPr>
              <w:jc w:val="center"/>
              <w:rPr>
                <w:sz w:val="22"/>
                <w:szCs w:val="22"/>
              </w:rPr>
            </w:pPr>
            <w:r>
              <w:rPr>
                <w:sz w:val="22"/>
                <w:szCs w:val="22"/>
              </w:rPr>
              <w:t>533,62</w:t>
            </w:r>
          </w:p>
        </w:tc>
        <w:tc>
          <w:tcPr>
            <w:tcW w:w="136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F07E05" w:rsidRDefault="00F07E05" w:rsidP="008A253E">
            <w:pPr>
              <w:jc w:val="center"/>
              <w:rPr>
                <w:sz w:val="22"/>
                <w:szCs w:val="22"/>
              </w:rPr>
            </w:pPr>
            <w:r>
              <w:rPr>
                <w:sz w:val="22"/>
                <w:szCs w:val="22"/>
              </w:rPr>
              <w:t>52 700,00</w:t>
            </w:r>
          </w:p>
        </w:tc>
        <w:tc>
          <w:tcPr>
            <w:tcW w:w="1260" w:type="dxa"/>
            <w:tcBorders>
              <w:top w:val="nil"/>
              <w:left w:val="nil"/>
              <w:bottom w:val="single" w:sz="4" w:space="0" w:color="auto"/>
              <w:right w:val="single" w:sz="4" w:space="0" w:color="auto"/>
            </w:tcBorders>
            <w:shd w:val="clear" w:color="auto" w:fill="auto"/>
            <w:noWrap/>
            <w:vAlign w:val="bottom"/>
            <w:hideMark/>
          </w:tcPr>
          <w:p w:rsidR="00F07E05" w:rsidRDefault="00F07E05" w:rsidP="008A253E">
            <w:pPr>
              <w:jc w:val="center"/>
              <w:rPr>
                <w:sz w:val="22"/>
                <w:szCs w:val="22"/>
              </w:rPr>
            </w:pPr>
            <w:r>
              <w:rPr>
                <w:sz w:val="22"/>
                <w:szCs w:val="22"/>
              </w:rPr>
              <w:t>554,96</w:t>
            </w:r>
          </w:p>
        </w:tc>
        <w:tc>
          <w:tcPr>
            <w:tcW w:w="136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F07E05" w:rsidRDefault="00F07E05" w:rsidP="008A253E">
            <w:pPr>
              <w:jc w:val="center"/>
              <w:rPr>
                <w:sz w:val="22"/>
                <w:szCs w:val="22"/>
              </w:rPr>
            </w:pPr>
            <w:r>
              <w:rPr>
                <w:sz w:val="22"/>
                <w:szCs w:val="22"/>
              </w:rPr>
              <w:t>54 808,00</w:t>
            </w:r>
          </w:p>
        </w:tc>
        <w:tc>
          <w:tcPr>
            <w:tcW w:w="960" w:type="dxa"/>
            <w:tcBorders>
              <w:top w:val="nil"/>
              <w:left w:val="nil"/>
              <w:bottom w:val="single" w:sz="4" w:space="0" w:color="auto"/>
              <w:right w:val="single" w:sz="4" w:space="0" w:color="auto"/>
            </w:tcBorders>
            <w:shd w:val="clear" w:color="auto" w:fill="auto"/>
            <w:noWrap/>
            <w:vAlign w:val="bottom"/>
            <w:hideMark/>
          </w:tcPr>
          <w:p w:rsidR="00F07E05" w:rsidRDefault="00F07E05" w:rsidP="008A253E">
            <w:pPr>
              <w:jc w:val="center"/>
              <w:rPr>
                <w:sz w:val="22"/>
                <w:szCs w:val="22"/>
              </w:rPr>
            </w:pPr>
            <w:r>
              <w:rPr>
                <w:sz w:val="22"/>
                <w:szCs w:val="22"/>
              </w:rPr>
              <w:t>577,16</w:t>
            </w:r>
          </w:p>
        </w:tc>
        <w:tc>
          <w:tcPr>
            <w:tcW w:w="138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F07E05" w:rsidRDefault="00F07E05" w:rsidP="008A253E">
            <w:pPr>
              <w:jc w:val="center"/>
              <w:rPr>
                <w:sz w:val="22"/>
                <w:szCs w:val="22"/>
              </w:rPr>
            </w:pPr>
            <w:r>
              <w:rPr>
                <w:sz w:val="22"/>
                <w:szCs w:val="22"/>
              </w:rPr>
              <w:t>57 000,32</w:t>
            </w:r>
          </w:p>
        </w:tc>
        <w:tc>
          <w:tcPr>
            <w:tcW w:w="960" w:type="dxa"/>
            <w:tcBorders>
              <w:top w:val="nil"/>
              <w:left w:val="nil"/>
              <w:bottom w:val="single" w:sz="4" w:space="0" w:color="auto"/>
              <w:right w:val="single" w:sz="4" w:space="0" w:color="auto"/>
            </w:tcBorders>
            <w:shd w:val="clear" w:color="auto" w:fill="auto"/>
            <w:noWrap/>
            <w:vAlign w:val="bottom"/>
            <w:hideMark/>
          </w:tcPr>
          <w:p w:rsidR="00F07E05" w:rsidRDefault="00F07E05" w:rsidP="008A253E">
            <w:pPr>
              <w:jc w:val="center"/>
              <w:rPr>
                <w:sz w:val="22"/>
                <w:szCs w:val="22"/>
              </w:rPr>
            </w:pPr>
            <w:r>
              <w:rPr>
                <w:sz w:val="22"/>
                <w:szCs w:val="22"/>
              </w:rPr>
              <w:t>600,25</w:t>
            </w:r>
          </w:p>
        </w:tc>
        <w:tc>
          <w:tcPr>
            <w:tcW w:w="142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F07E05" w:rsidRDefault="00F07E05" w:rsidP="008A253E">
            <w:pPr>
              <w:jc w:val="center"/>
              <w:rPr>
                <w:sz w:val="22"/>
                <w:szCs w:val="22"/>
              </w:rPr>
            </w:pPr>
            <w:r>
              <w:rPr>
                <w:sz w:val="22"/>
                <w:szCs w:val="22"/>
              </w:rPr>
              <w:t>59 280,33</w:t>
            </w:r>
          </w:p>
        </w:tc>
      </w:tr>
      <w:tr w:rsidR="00F07E05" w:rsidTr="008A253E">
        <w:trPr>
          <w:trHeight w:val="300"/>
        </w:trPr>
        <w:tc>
          <w:tcPr>
            <w:tcW w:w="520" w:type="dxa"/>
            <w:vMerge/>
            <w:tcBorders>
              <w:top w:val="nil"/>
              <w:left w:val="single" w:sz="4" w:space="0" w:color="auto"/>
              <w:bottom w:val="single" w:sz="4" w:space="0" w:color="000000"/>
              <w:right w:val="single" w:sz="4" w:space="0" w:color="auto"/>
            </w:tcBorders>
            <w:vAlign w:val="center"/>
            <w:hideMark/>
          </w:tcPr>
          <w:p w:rsidR="00F07E05" w:rsidRDefault="00F07E05" w:rsidP="008A253E">
            <w:pPr>
              <w:rPr>
                <w:sz w:val="22"/>
                <w:szCs w:val="22"/>
              </w:rPr>
            </w:pPr>
          </w:p>
        </w:tc>
        <w:tc>
          <w:tcPr>
            <w:tcW w:w="2500" w:type="dxa"/>
            <w:vMerge/>
            <w:tcBorders>
              <w:top w:val="nil"/>
              <w:left w:val="single" w:sz="4" w:space="0" w:color="auto"/>
              <w:bottom w:val="single" w:sz="4" w:space="0" w:color="000000"/>
              <w:right w:val="single" w:sz="4" w:space="0" w:color="auto"/>
            </w:tcBorders>
            <w:vAlign w:val="center"/>
            <w:hideMark/>
          </w:tcPr>
          <w:p w:rsidR="00F07E05" w:rsidRDefault="00F07E05" w:rsidP="008A253E">
            <w:pPr>
              <w:rPr>
                <w:sz w:val="22"/>
                <w:szCs w:val="22"/>
              </w:rPr>
            </w:pPr>
          </w:p>
        </w:tc>
        <w:tc>
          <w:tcPr>
            <w:tcW w:w="1180" w:type="dxa"/>
            <w:vMerge/>
            <w:tcBorders>
              <w:top w:val="nil"/>
              <w:left w:val="single" w:sz="4" w:space="0" w:color="auto"/>
              <w:bottom w:val="single" w:sz="4" w:space="0" w:color="000000"/>
              <w:right w:val="single" w:sz="4" w:space="0" w:color="auto"/>
            </w:tcBorders>
            <w:vAlign w:val="center"/>
            <w:hideMark/>
          </w:tcPr>
          <w:p w:rsidR="00F07E05" w:rsidRDefault="00F07E05" w:rsidP="008A253E">
            <w:pPr>
              <w:rPr>
                <w:sz w:val="22"/>
                <w:szCs w:val="22"/>
              </w:rPr>
            </w:pPr>
          </w:p>
        </w:tc>
        <w:tc>
          <w:tcPr>
            <w:tcW w:w="1300" w:type="dxa"/>
            <w:tcBorders>
              <w:top w:val="nil"/>
              <w:left w:val="nil"/>
              <w:bottom w:val="single" w:sz="4" w:space="0" w:color="auto"/>
              <w:right w:val="single" w:sz="4" w:space="0" w:color="auto"/>
            </w:tcBorders>
            <w:shd w:val="clear" w:color="auto" w:fill="auto"/>
            <w:noWrap/>
            <w:vAlign w:val="bottom"/>
            <w:hideMark/>
          </w:tcPr>
          <w:p w:rsidR="00F07E05" w:rsidRDefault="00F07E05" w:rsidP="008A253E">
            <w:pPr>
              <w:jc w:val="center"/>
              <w:rPr>
                <w:sz w:val="22"/>
                <w:szCs w:val="22"/>
              </w:rPr>
            </w:pPr>
            <w:r>
              <w:rPr>
                <w:sz w:val="22"/>
                <w:szCs w:val="22"/>
              </w:rPr>
              <w:t>533,90</w:t>
            </w:r>
          </w:p>
        </w:tc>
        <w:tc>
          <w:tcPr>
            <w:tcW w:w="1360" w:type="dxa"/>
            <w:vMerge/>
            <w:tcBorders>
              <w:top w:val="nil"/>
              <w:left w:val="single" w:sz="4" w:space="0" w:color="auto"/>
              <w:bottom w:val="single" w:sz="4" w:space="0" w:color="000000"/>
              <w:right w:val="single" w:sz="4" w:space="0" w:color="auto"/>
            </w:tcBorders>
            <w:vAlign w:val="center"/>
            <w:hideMark/>
          </w:tcPr>
          <w:p w:rsidR="00F07E05" w:rsidRDefault="00F07E05" w:rsidP="008A253E">
            <w:pPr>
              <w:rPr>
                <w:sz w:val="22"/>
                <w:szCs w:val="22"/>
              </w:rPr>
            </w:pPr>
          </w:p>
        </w:tc>
        <w:tc>
          <w:tcPr>
            <w:tcW w:w="1260" w:type="dxa"/>
            <w:tcBorders>
              <w:top w:val="nil"/>
              <w:left w:val="nil"/>
              <w:bottom w:val="single" w:sz="4" w:space="0" w:color="auto"/>
              <w:right w:val="single" w:sz="4" w:space="0" w:color="auto"/>
            </w:tcBorders>
            <w:shd w:val="clear" w:color="auto" w:fill="auto"/>
            <w:noWrap/>
            <w:vAlign w:val="bottom"/>
            <w:hideMark/>
          </w:tcPr>
          <w:p w:rsidR="00F07E05" w:rsidRDefault="00F07E05" w:rsidP="008A253E">
            <w:pPr>
              <w:jc w:val="center"/>
              <w:rPr>
                <w:sz w:val="22"/>
                <w:szCs w:val="22"/>
              </w:rPr>
            </w:pPr>
            <w:r>
              <w:rPr>
                <w:sz w:val="22"/>
                <w:szCs w:val="22"/>
              </w:rPr>
              <w:t>555,26</w:t>
            </w:r>
          </w:p>
        </w:tc>
        <w:tc>
          <w:tcPr>
            <w:tcW w:w="1360" w:type="dxa"/>
            <w:vMerge/>
            <w:tcBorders>
              <w:top w:val="nil"/>
              <w:left w:val="single" w:sz="4" w:space="0" w:color="auto"/>
              <w:bottom w:val="single" w:sz="4" w:space="0" w:color="auto"/>
              <w:right w:val="single" w:sz="4" w:space="0" w:color="auto"/>
            </w:tcBorders>
            <w:vAlign w:val="center"/>
            <w:hideMark/>
          </w:tcPr>
          <w:p w:rsidR="00F07E05" w:rsidRDefault="00F07E05" w:rsidP="008A253E">
            <w:pPr>
              <w:rPr>
                <w:sz w:val="22"/>
                <w:szCs w:val="22"/>
              </w:rPr>
            </w:pPr>
          </w:p>
        </w:tc>
        <w:tc>
          <w:tcPr>
            <w:tcW w:w="960" w:type="dxa"/>
            <w:tcBorders>
              <w:top w:val="nil"/>
              <w:left w:val="nil"/>
              <w:bottom w:val="single" w:sz="4" w:space="0" w:color="auto"/>
              <w:right w:val="single" w:sz="4" w:space="0" w:color="auto"/>
            </w:tcBorders>
            <w:shd w:val="clear" w:color="auto" w:fill="auto"/>
            <w:noWrap/>
            <w:vAlign w:val="bottom"/>
            <w:hideMark/>
          </w:tcPr>
          <w:p w:rsidR="00F07E05" w:rsidRDefault="00F07E05" w:rsidP="008A253E">
            <w:pPr>
              <w:jc w:val="center"/>
              <w:rPr>
                <w:sz w:val="22"/>
                <w:szCs w:val="22"/>
              </w:rPr>
            </w:pPr>
            <w:r>
              <w:rPr>
                <w:sz w:val="22"/>
                <w:szCs w:val="22"/>
              </w:rPr>
              <w:t>577,47</w:t>
            </w:r>
          </w:p>
        </w:tc>
        <w:tc>
          <w:tcPr>
            <w:tcW w:w="1380" w:type="dxa"/>
            <w:vMerge/>
            <w:tcBorders>
              <w:top w:val="nil"/>
              <w:left w:val="single" w:sz="4" w:space="0" w:color="auto"/>
              <w:bottom w:val="single" w:sz="4" w:space="0" w:color="auto"/>
              <w:right w:val="single" w:sz="4" w:space="0" w:color="auto"/>
            </w:tcBorders>
            <w:vAlign w:val="center"/>
            <w:hideMark/>
          </w:tcPr>
          <w:p w:rsidR="00F07E05" w:rsidRDefault="00F07E05" w:rsidP="008A253E">
            <w:pPr>
              <w:rPr>
                <w:sz w:val="22"/>
                <w:szCs w:val="22"/>
              </w:rPr>
            </w:pPr>
          </w:p>
        </w:tc>
        <w:tc>
          <w:tcPr>
            <w:tcW w:w="960" w:type="dxa"/>
            <w:tcBorders>
              <w:top w:val="nil"/>
              <w:left w:val="nil"/>
              <w:bottom w:val="single" w:sz="4" w:space="0" w:color="auto"/>
              <w:right w:val="single" w:sz="4" w:space="0" w:color="auto"/>
            </w:tcBorders>
            <w:shd w:val="clear" w:color="auto" w:fill="auto"/>
            <w:noWrap/>
            <w:vAlign w:val="bottom"/>
            <w:hideMark/>
          </w:tcPr>
          <w:p w:rsidR="00F07E05" w:rsidRDefault="00F07E05" w:rsidP="008A253E">
            <w:pPr>
              <w:jc w:val="center"/>
              <w:rPr>
                <w:sz w:val="22"/>
                <w:szCs w:val="22"/>
              </w:rPr>
            </w:pPr>
            <w:r>
              <w:rPr>
                <w:sz w:val="22"/>
                <w:szCs w:val="22"/>
              </w:rPr>
              <w:t>600,56</w:t>
            </w:r>
          </w:p>
        </w:tc>
        <w:tc>
          <w:tcPr>
            <w:tcW w:w="1420" w:type="dxa"/>
            <w:vMerge/>
            <w:tcBorders>
              <w:top w:val="nil"/>
              <w:left w:val="single" w:sz="4" w:space="0" w:color="auto"/>
              <w:bottom w:val="single" w:sz="4" w:space="0" w:color="auto"/>
              <w:right w:val="single" w:sz="4" w:space="0" w:color="auto"/>
            </w:tcBorders>
            <w:vAlign w:val="center"/>
            <w:hideMark/>
          </w:tcPr>
          <w:p w:rsidR="00F07E05" w:rsidRDefault="00F07E05" w:rsidP="008A253E">
            <w:pPr>
              <w:rPr>
                <w:sz w:val="22"/>
                <w:szCs w:val="22"/>
              </w:rPr>
            </w:pPr>
          </w:p>
        </w:tc>
      </w:tr>
      <w:tr w:rsidR="00F07E05" w:rsidTr="008A253E">
        <w:trPr>
          <w:trHeight w:val="300"/>
        </w:trPr>
        <w:tc>
          <w:tcPr>
            <w:tcW w:w="520" w:type="dxa"/>
            <w:vMerge/>
            <w:tcBorders>
              <w:top w:val="nil"/>
              <w:left w:val="single" w:sz="4" w:space="0" w:color="auto"/>
              <w:bottom w:val="single" w:sz="4" w:space="0" w:color="000000"/>
              <w:right w:val="single" w:sz="4" w:space="0" w:color="auto"/>
            </w:tcBorders>
            <w:vAlign w:val="center"/>
            <w:hideMark/>
          </w:tcPr>
          <w:p w:rsidR="00F07E05" w:rsidRDefault="00F07E05" w:rsidP="008A253E">
            <w:pPr>
              <w:rPr>
                <w:sz w:val="22"/>
                <w:szCs w:val="22"/>
              </w:rPr>
            </w:pPr>
          </w:p>
        </w:tc>
        <w:tc>
          <w:tcPr>
            <w:tcW w:w="2500" w:type="dxa"/>
            <w:vMerge/>
            <w:tcBorders>
              <w:top w:val="nil"/>
              <w:left w:val="single" w:sz="4" w:space="0" w:color="auto"/>
              <w:bottom w:val="single" w:sz="4" w:space="0" w:color="000000"/>
              <w:right w:val="single" w:sz="4" w:space="0" w:color="auto"/>
            </w:tcBorders>
            <w:vAlign w:val="center"/>
            <w:hideMark/>
          </w:tcPr>
          <w:p w:rsidR="00F07E05" w:rsidRDefault="00F07E05" w:rsidP="008A253E">
            <w:pPr>
              <w:rPr>
                <w:sz w:val="22"/>
                <w:szCs w:val="22"/>
              </w:rPr>
            </w:pPr>
          </w:p>
        </w:tc>
        <w:tc>
          <w:tcPr>
            <w:tcW w:w="1180" w:type="dxa"/>
            <w:vMerge/>
            <w:tcBorders>
              <w:top w:val="nil"/>
              <w:left w:val="single" w:sz="4" w:space="0" w:color="auto"/>
              <w:bottom w:val="single" w:sz="4" w:space="0" w:color="000000"/>
              <w:right w:val="single" w:sz="4" w:space="0" w:color="auto"/>
            </w:tcBorders>
            <w:vAlign w:val="center"/>
            <w:hideMark/>
          </w:tcPr>
          <w:p w:rsidR="00F07E05" w:rsidRDefault="00F07E05" w:rsidP="008A253E">
            <w:pPr>
              <w:rPr>
                <w:sz w:val="22"/>
                <w:szCs w:val="22"/>
              </w:rPr>
            </w:pPr>
          </w:p>
        </w:tc>
        <w:tc>
          <w:tcPr>
            <w:tcW w:w="1300" w:type="dxa"/>
            <w:tcBorders>
              <w:top w:val="nil"/>
              <w:left w:val="nil"/>
              <w:bottom w:val="single" w:sz="4" w:space="0" w:color="auto"/>
              <w:right w:val="single" w:sz="4" w:space="0" w:color="auto"/>
            </w:tcBorders>
            <w:shd w:val="clear" w:color="auto" w:fill="auto"/>
            <w:noWrap/>
            <w:vAlign w:val="bottom"/>
            <w:hideMark/>
          </w:tcPr>
          <w:p w:rsidR="00F07E05" w:rsidRDefault="00F07E05" w:rsidP="008A253E">
            <w:pPr>
              <w:jc w:val="center"/>
              <w:rPr>
                <w:sz w:val="22"/>
                <w:szCs w:val="22"/>
              </w:rPr>
            </w:pPr>
            <w:r>
              <w:rPr>
                <w:sz w:val="22"/>
                <w:szCs w:val="22"/>
              </w:rPr>
              <w:t>533,02</w:t>
            </w:r>
          </w:p>
        </w:tc>
        <w:tc>
          <w:tcPr>
            <w:tcW w:w="1360" w:type="dxa"/>
            <w:vMerge/>
            <w:tcBorders>
              <w:top w:val="nil"/>
              <w:left w:val="single" w:sz="4" w:space="0" w:color="auto"/>
              <w:bottom w:val="single" w:sz="4" w:space="0" w:color="000000"/>
              <w:right w:val="single" w:sz="4" w:space="0" w:color="auto"/>
            </w:tcBorders>
            <w:vAlign w:val="center"/>
            <w:hideMark/>
          </w:tcPr>
          <w:p w:rsidR="00F07E05" w:rsidRDefault="00F07E05" w:rsidP="008A253E">
            <w:pPr>
              <w:rPr>
                <w:sz w:val="22"/>
                <w:szCs w:val="22"/>
              </w:rPr>
            </w:pPr>
          </w:p>
        </w:tc>
        <w:tc>
          <w:tcPr>
            <w:tcW w:w="1260" w:type="dxa"/>
            <w:tcBorders>
              <w:top w:val="nil"/>
              <w:left w:val="nil"/>
              <w:bottom w:val="single" w:sz="4" w:space="0" w:color="auto"/>
              <w:right w:val="single" w:sz="4" w:space="0" w:color="auto"/>
            </w:tcBorders>
            <w:shd w:val="clear" w:color="auto" w:fill="auto"/>
            <w:noWrap/>
            <w:vAlign w:val="bottom"/>
            <w:hideMark/>
          </w:tcPr>
          <w:p w:rsidR="00F07E05" w:rsidRDefault="00F07E05" w:rsidP="008A253E">
            <w:pPr>
              <w:jc w:val="center"/>
              <w:rPr>
                <w:sz w:val="22"/>
                <w:szCs w:val="22"/>
              </w:rPr>
            </w:pPr>
            <w:r>
              <w:rPr>
                <w:sz w:val="22"/>
                <w:szCs w:val="22"/>
              </w:rPr>
              <w:t>554,34</w:t>
            </w:r>
          </w:p>
        </w:tc>
        <w:tc>
          <w:tcPr>
            <w:tcW w:w="1360" w:type="dxa"/>
            <w:vMerge/>
            <w:tcBorders>
              <w:top w:val="nil"/>
              <w:left w:val="single" w:sz="4" w:space="0" w:color="auto"/>
              <w:bottom w:val="single" w:sz="4" w:space="0" w:color="auto"/>
              <w:right w:val="single" w:sz="4" w:space="0" w:color="auto"/>
            </w:tcBorders>
            <w:vAlign w:val="center"/>
            <w:hideMark/>
          </w:tcPr>
          <w:p w:rsidR="00F07E05" w:rsidRDefault="00F07E05" w:rsidP="008A253E">
            <w:pPr>
              <w:rPr>
                <w:sz w:val="22"/>
                <w:szCs w:val="22"/>
              </w:rPr>
            </w:pPr>
          </w:p>
        </w:tc>
        <w:tc>
          <w:tcPr>
            <w:tcW w:w="960" w:type="dxa"/>
            <w:tcBorders>
              <w:top w:val="nil"/>
              <w:left w:val="nil"/>
              <w:bottom w:val="single" w:sz="4" w:space="0" w:color="auto"/>
              <w:right w:val="single" w:sz="4" w:space="0" w:color="auto"/>
            </w:tcBorders>
            <w:shd w:val="clear" w:color="auto" w:fill="auto"/>
            <w:noWrap/>
            <w:vAlign w:val="bottom"/>
            <w:hideMark/>
          </w:tcPr>
          <w:p w:rsidR="00F07E05" w:rsidRDefault="00F07E05" w:rsidP="008A253E">
            <w:pPr>
              <w:jc w:val="center"/>
              <w:rPr>
                <w:sz w:val="22"/>
                <w:szCs w:val="22"/>
              </w:rPr>
            </w:pPr>
            <w:r>
              <w:rPr>
                <w:sz w:val="22"/>
                <w:szCs w:val="22"/>
              </w:rPr>
              <w:t>576,51</w:t>
            </w:r>
          </w:p>
        </w:tc>
        <w:tc>
          <w:tcPr>
            <w:tcW w:w="1380" w:type="dxa"/>
            <w:vMerge/>
            <w:tcBorders>
              <w:top w:val="nil"/>
              <w:left w:val="single" w:sz="4" w:space="0" w:color="auto"/>
              <w:bottom w:val="single" w:sz="4" w:space="0" w:color="auto"/>
              <w:right w:val="single" w:sz="4" w:space="0" w:color="auto"/>
            </w:tcBorders>
            <w:vAlign w:val="center"/>
            <w:hideMark/>
          </w:tcPr>
          <w:p w:rsidR="00F07E05" w:rsidRDefault="00F07E05" w:rsidP="008A253E">
            <w:pPr>
              <w:rPr>
                <w:sz w:val="22"/>
                <w:szCs w:val="22"/>
              </w:rPr>
            </w:pPr>
          </w:p>
        </w:tc>
        <w:tc>
          <w:tcPr>
            <w:tcW w:w="960" w:type="dxa"/>
            <w:tcBorders>
              <w:top w:val="nil"/>
              <w:left w:val="nil"/>
              <w:bottom w:val="single" w:sz="4" w:space="0" w:color="auto"/>
              <w:right w:val="single" w:sz="4" w:space="0" w:color="auto"/>
            </w:tcBorders>
            <w:shd w:val="clear" w:color="auto" w:fill="auto"/>
            <w:noWrap/>
            <w:vAlign w:val="bottom"/>
            <w:hideMark/>
          </w:tcPr>
          <w:p w:rsidR="00F07E05" w:rsidRDefault="00F07E05" w:rsidP="008A253E">
            <w:pPr>
              <w:jc w:val="center"/>
              <w:rPr>
                <w:sz w:val="22"/>
                <w:szCs w:val="22"/>
              </w:rPr>
            </w:pPr>
            <w:r>
              <w:rPr>
                <w:sz w:val="22"/>
                <w:szCs w:val="22"/>
              </w:rPr>
              <w:t>599,58</w:t>
            </w:r>
          </w:p>
        </w:tc>
        <w:tc>
          <w:tcPr>
            <w:tcW w:w="1420" w:type="dxa"/>
            <w:vMerge/>
            <w:tcBorders>
              <w:top w:val="nil"/>
              <w:left w:val="single" w:sz="4" w:space="0" w:color="auto"/>
              <w:bottom w:val="single" w:sz="4" w:space="0" w:color="auto"/>
              <w:right w:val="single" w:sz="4" w:space="0" w:color="auto"/>
            </w:tcBorders>
            <w:vAlign w:val="center"/>
            <w:hideMark/>
          </w:tcPr>
          <w:p w:rsidR="00F07E05" w:rsidRDefault="00F07E05" w:rsidP="008A253E">
            <w:pPr>
              <w:rPr>
                <w:sz w:val="22"/>
                <w:szCs w:val="22"/>
              </w:rPr>
            </w:pPr>
          </w:p>
        </w:tc>
      </w:tr>
      <w:tr w:rsidR="00F07E05" w:rsidTr="008A253E">
        <w:trPr>
          <w:trHeight w:val="300"/>
        </w:trPr>
        <w:tc>
          <w:tcPr>
            <w:tcW w:w="520" w:type="dxa"/>
            <w:vMerge/>
            <w:tcBorders>
              <w:top w:val="nil"/>
              <w:left w:val="single" w:sz="4" w:space="0" w:color="auto"/>
              <w:bottom w:val="single" w:sz="4" w:space="0" w:color="000000"/>
              <w:right w:val="single" w:sz="4" w:space="0" w:color="auto"/>
            </w:tcBorders>
            <w:vAlign w:val="center"/>
            <w:hideMark/>
          </w:tcPr>
          <w:p w:rsidR="00F07E05" w:rsidRDefault="00F07E05" w:rsidP="008A253E">
            <w:pPr>
              <w:rPr>
                <w:sz w:val="22"/>
                <w:szCs w:val="22"/>
              </w:rPr>
            </w:pPr>
          </w:p>
        </w:tc>
        <w:tc>
          <w:tcPr>
            <w:tcW w:w="2500" w:type="dxa"/>
            <w:vMerge/>
            <w:tcBorders>
              <w:top w:val="nil"/>
              <w:left w:val="single" w:sz="4" w:space="0" w:color="auto"/>
              <w:bottom w:val="single" w:sz="4" w:space="0" w:color="000000"/>
              <w:right w:val="single" w:sz="4" w:space="0" w:color="auto"/>
            </w:tcBorders>
            <w:vAlign w:val="center"/>
            <w:hideMark/>
          </w:tcPr>
          <w:p w:rsidR="00F07E05" w:rsidRDefault="00F07E05" w:rsidP="008A253E">
            <w:pPr>
              <w:rPr>
                <w:sz w:val="22"/>
                <w:szCs w:val="22"/>
              </w:rPr>
            </w:pPr>
          </w:p>
        </w:tc>
        <w:tc>
          <w:tcPr>
            <w:tcW w:w="1180" w:type="dxa"/>
            <w:vMerge/>
            <w:tcBorders>
              <w:top w:val="nil"/>
              <w:left w:val="single" w:sz="4" w:space="0" w:color="auto"/>
              <w:bottom w:val="single" w:sz="4" w:space="0" w:color="000000"/>
              <w:right w:val="single" w:sz="4" w:space="0" w:color="auto"/>
            </w:tcBorders>
            <w:vAlign w:val="center"/>
            <w:hideMark/>
          </w:tcPr>
          <w:p w:rsidR="00F07E05" w:rsidRDefault="00F07E05" w:rsidP="008A253E">
            <w:pPr>
              <w:rPr>
                <w:sz w:val="22"/>
                <w:szCs w:val="22"/>
              </w:rPr>
            </w:pPr>
          </w:p>
        </w:tc>
        <w:tc>
          <w:tcPr>
            <w:tcW w:w="1300" w:type="dxa"/>
            <w:tcBorders>
              <w:top w:val="nil"/>
              <w:left w:val="nil"/>
              <w:bottom w:val="single" w:sz="4" w:space="0" w:color="auto"/>
              <w:right w:val="single" w:sz="4" w:space="0" w:color="auto"/>
            </w:tcBorders>
            <w:shd w:val="clear" w:color="auto" w:fill="auto"/>
            <w:noWrap/>
            <w:vAlign w:val="bottom"/>
            <w:hideMark/>
          </w:tcPr>
          <w:p w:rsidR="00F07E05" w:rsidRDefault="00F07E05" w:rsidP="008A253E">
            <w:pPr>
              <w:jc w:val="center"/>
              <w:rPr>
                <w:sz w:val="22"/>
                <w:szCs w:val="22"/>
              </w:rPr>
            </w:pPr>
            <w:r>
              <w:rPr>
                <w:sz w:val="22"/>
                <w:szCs w:val="22"/>
              </w:rPr>
              <w:t>587,5</w:t>
            </w:r>
          </w:p>
        </w:tc>
        <w:tc>
          <w:tcPr>
            <w:tcW w:w="1360" w:type="dxa"/>
            <w:vMerge/>
            <w:tcBorders>
              <w:top w:val="nil"/>
              <w:left w:val="single" w:sz="4" w:space="0" w:color="auto"/>
              <w:bottom w:val="single" w:sz="4" w:space="0" w:color="000000"/>
              <w:right w:val="single" w:sz="4" w:space="0" w:color="auto"/>
            </w:tcBorders>
            <w:vAlign w:val="center"/>
            <w:hideMark/>
          </w:tcPr>
          <w:p w:rsidR="00F07E05" w:rsidRDefault="00F07E05" w:rsidP="008A253E">
            <w:pPr>
              <w:rPr>
                <w:sz w:val="22"/>
                <w:szCs w:val="22"/>
              </w:rPr>
            </w:pPr>
          </w:p>
        </w:tc>
        <w:tc>
          <w:tcPr>
            <w:tcW w:w="1260" w:type="dxa"/>
            <w:tcBorders>
              <w:top w:val="nil"/>
              <w:left w:val="nil"/>
              <w:bottom w:val="single" w:sz="4" w:space="0" w:color="auto"/>
              <w:right w:val="single" w:sz="4" w:space="0" w:color="auto"/>
            </w:tcBorders>
            <w:shd w:val="clear" w:color="auto" w:fill="auto"/>
            <w:noWrap/>
            <w:vAlign w:val="bottom"/>
            <w:hideMark/>
          </w:tcPr>
          <w:p w:rsidR="00F07E05" w:rsidRDefault="00F07E05" w:rsidP="008A253E">
            <w:pPr>
              <w:jc w:val="center"/>
              <w:rPr>
                <w:sz w:val="22"/>
                <w:szCs w:val="22"/>
              </w:rPr>
            </w:pPr>
            <w:r>
              <w:rPr>
                <w:sz w:val="22"/>
                <w:szCs w:val="22"/>
              </w:rPr>
              <w:t>611,00</w:t>
            </w:r>
          </w:p>
        </w:tc>
        <w:tc>
          <w:tcPr>
            <w:tcW w:w="1360" w:type="dxa"/>
            <w:vMerge/>
            <w:tcBorders>
              <w:top w:val="nil"/>
              <w:left w:val="single" w:sz="4" w:space="0" w:color="auto"/>
              <w:bottom w:val="single" w:sz="4" w:space="0" w:color="auto"/>
              <w:right w:val="single" w:sz="4" w:space="0" w:color="auto"/>
            </w:tcBorders>
            <w:vAlign w:val="center"/>
            <w:hideMark/>
          </w:tcPr>
          <w:p w:rsidR="00F07E05" w:rsidRDefault="00F07E05" w:rsidP="008A253E">
            <w:pPr>
              <w:rPr>
                <w:sz w:val="22"/>
                <w:szCs w:val="22"/>
              </w:rPr>
            </w:pPr>
          </w:p>
        </w:tc>
        <w:tc>
          <w:tcPr>
            <w:tcW w:w="960" w:type="dxa"/>
            <w:tcBorders>
              <w:top w:val="nil"/>
              <w:left w:val="nil"/>
              <w:bottom w:val="single" w:sz="4" w:space="0" w:color="auto"/>
              <w:right w:val="single" w:sz="4" w:space="0" w:color="auto"/>
            </w:tcBorders>
            <w:shd w:val="clear" w:color="auto" w:fill="auto"/>
            <w:noWrap/>
            <w:vAlign w:val="bottom"/>
            <w:hideMark/>
          </w:tcPr>
          <w:p w:rsidR="00F07E05" w:rsidRDefault="00F07E05" w:rsidP="008A253E">
            <w:pPr>
              <w:jc w:val="center"/>
              <w:rPr>
                <w:sz w:val="22"/>
                <w:szCs w:val="22"/>
              </w:rPr>
            </w:pPr>
            <w:r>
              <w:rPr>
                <w:sz w:val="22"/>
                <w:szCs w:val="22"/>
              </w:rPr>
              <w:t>635,44</w:t>
            </w:r>
          </w:p>
        </w:tc>
        <w:tc>
          <w:tcPr>
            <w:tcW w:w="1380" w:type="dxa"/>
            <w:vMerge/>
            <w:tcBorders>
              <w:top w:val="nil"/>
              <w:left w:val="single" w:sz="4" w:space="0" w:color="auto"/>
              <w:bottom w:val="single" w:sz="4" w:space="0" w:color="auto"/>
              <w:right w:val="single" w:sz="4" w:space="0" w:color="auto"/>
            </w:tcBorders>
            <w:vAlign w:val="center"/>
            <w:hideMark/>
          </w:tcPr>
          <w:p w:rsidR="00F07E05" w:rsidRDefault="00F07E05" w:rsidP="008A253E">
            <w:pPr>
              <w:rPr>
                <w:sz w:val="22"/>
                <w:szCs w:val="22"/>
              </w:rPr>
            </w:pPr>
          </w:p>
        </w:tc>
        <w:tc>
          <w:tcPr>
            <w:tcW w:w="960" w:type="dxa"/>
            <w:tcBorders>
              <w:top w:val="nil"/>
              <w:left w:val="nil"/>
              <w:bottom w:val="single" w:sz="4" w:space="0" w:color="auto"/>
              <w:right w:val="single" w:sz="4" w:space="0" w:color="auto"/>
            </w:tcBorders>
            <w:shd w:val="clear" w:color="auto" w:fill="auto"/>
            <w:noWrap/>
            <w:vAlign w:val="bottom"/>
            <w:hideMark/>
          </w:tcPr>
          <w:p w:rsidR="00F07E05" w:rsidRDefault="00F07E05" w:rsidP="008A253E">
            <w:pPr>
              <w:jc w:val="center"/>
              <w:rPr>
                <w:sz w:val="22"/>
                <w:szCs w:val="22"/>
              </w:rPr>
            </w:pPr>
            <w:r>
              <w:rPr>
                <w:sz w:val="22"/>
                <w:szCs w:val="22"/>
              </w:rPr>
              <w:t>660,86</w:t>
            </w:r>
          </w:p>
        </w:tc>
        <w:tc>
          <w:tcPr>
            <w:tcW w:w="1420" w:type="dxa"/>
            <w:vMerge/>
            <w:tcBorders>
              <w:top w:val="nil"/>
              <w:left w:val="single" w:sz="4" w:space="0" w:color="auto"/>
              <w:bottom w:val="single" w:sz="4" w:space="0" w:color="auto"/>
              <w:right w:val="single" w:sz="4" w:space="0" w:color="auto"/>
            </w:tcBorders>
            <w:vAlign w:val="center"/>
            <w:hideMark/>
          </w:tcPr>
          <w:p w:rsidR="00F07E05" w:rsidRDefault="00F07E05" w:rsidP="008A253E">
            <w:pPr>
              <w:rPr>
                <w:sz w:val="22"/>
                <w:szCs w:val="22"/>
              </w:rPr>
            </w:pPr>
          </w:p>
        </w:tc>
      </w:tr>
      <w:tr w:rsidR="00F07E05" w:rsidTr="008A253E">
        <w:trPr>
          <w:trHeight w:val="570"/>
        </w:trPr>
        <w:tc>
          <w:tcPr>
            <w:tcW w:w="302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07E05" w:rsidRDefault="00F07E05" w:rsidP="008A253E">
            <w:pPr>
              <w:jc w:val="center"/>
              <w:rPr>
                <w:b/>
                <w:bCs/>
                <w:sz w:val="22"/>
                <w:szCs w:val="22"/>
              </w:rPr>
            </w:pPr>
            <w:r>
              <w:rPr>
                <w:b/>
                <w:bCs/>
                <w:sz w:val="22"/>
                <w:szCs w:val="22"/>
              </w:rPr>
              <w:t>Итого, ожидаемые доходы от оказания автотранспортных услуг</w:t>
            </w:r>
          </w:p>
        </w:tc>
        <w:tc>
          <w:tcPr>
            <w:tcW w:w="1180" w:type="dxa"/>
            <w:tcBorders>
              <w:top w:val="nil"/>
              <w:left w:val="nil"/>
              <w:bottom w:val="single" w:sz="4" w:space="0" w:color="auto"/>
              <w:right w:val="single" w:sz="4" w:space="0" w:color="auto"/>
            </w:tcBorders>
            <w:shd w:val="clear" w:color="auto" w:fill="auto"/>
            <w:noWrap/>
            <w:vAlign w:val="bottom"/>
            <w:hideMark/>
          </w:tcPr>
          <w:p w:rsidR="00F07E05" w:rsidRDefault="00F07E05" w:rsidP="008A253E">
            <w:pPr>
              <w:jc w:val="center"/>
              <w:rPr>
                <w:sz w:val="22"/>
                <w:szCs w:val="22"/>
              </w:rPr>
            </w:pPr>
            <w:r>
              <w:rPr>
                <w:sz w:val="22"/>
                <w:szCs w:val="22"/>
              </w:rPr>
              <w:t> </w:t>
            </w:r>
          </w:p>
        </w:tc>
        <w:tc>
          <w:tcPr>
            <w:tcW w:w="1300" w:type="dxa"/>
            <w:tcBorders>
              <w:top w:val="nil"/>
              <w:left w:val="nil"/>
              <w:bottom w:val="single" w:sz="4" w:space="0" w:color="auto"/>
              <w:right w:val="single" w:sz="4" w:space="0" w:color="auto"/>
            </w:tcBorders>
            <w:shd w:val="clear" w:color="auto" w:fill="auto"/>
            <w:vAlign w:val="bottom"/>
            <w:hideMark/>
          </w:tcPr>
          <w:p w:rsidR="00F07E05" w:rsidRDefault="00F07E05" w:rsidP="008A253E">
            <w:pPr>
              <w:jc w:val="center"/>
              <w:rPr>
                <w:b/>
                <w:bCs/>
                <w:sz w:val="22"/>
                <w:szCs w:val="22"/>
              </w:rPr>
            </w:pPr>
            <w:r>
              <w:rPr>
                <w:b/>
                <w:bCs/>
                <w:sz w:val="22"/>
                <w:szCs w:val="22"/>
              </w:rPr>
              <w:t> </w:t>
            </w:r>
          </w:p>
        </w:tc>
        <w:tc>
          <w:tcPr>
            <w:tcW w:w="1360" w:type="dxa"/>
            <w:tcBorders>
              <w:top w:val="nil"/>
              <w:left w:val="nil"/>
              <w:bottom w:val="single" w:sz="4" w:space="0" w:color="auto"/>
              <w:right w:val="single" w:sz="4" w:space="0" w:color="auto"/>
            </w:tcBorders>
            <w:shd w:val="clear" w:color="auto" w:fill="auto"/>
            <w:noWrap/>
            <w:vAlign w:val="bottom"/>
            <w:hideMark/>
          </w:tcPr>
          <w:p w:rsidR="00F07E05" w:rsidRDefault="00F07E05" w:rsidP="008A253E">
            <w:pPr>
              <w:jc w:val="center"/>
              <w:rPr>
                <w:b/>
                <w:bCs/>
                <w:sz w:val="22"/>
                <w:szCs w:val="22"/>
              </w:rPr>
            </w:pPr>
            <w:r>
              <w:rPr>
                <w:b/>
                <w:bCs/>
                <w:sz w:val="22"/>
                <w:szCs w:val="22"/>
              </w:rPr>
              <w:t>1 168 095,08</w:t>
            </w:r>
          </w:p>
        </w:tc>
        <w:tc>
          <w:tcPr>
            <w:tcW w:w="1260" w:type="dxa"/>
            <w:tcBorders>
              <w:top w:val="nil"/>
              <w:left w:val="nil"/>
              <w:bottom w:val="single" w:sz="4" w:space="0" w:color="auto"/>
              <w:right w:val="single" w:sz="4" w:space="0" w:color="auto"/>
            </w:tcBorders>
            <w:shd w:val="clear" w:color="auto" w:fill="auto"/>
            <w:noWrap/>
            <w:vAlign w:val="bottom"/>
            <w:hideMark/>
          </w:tcPr>
          <w:p w:rsidR="00F07E05" w:rsidRDefault="00F07E05" w:rsidP="008A253E">
            <w:pPr>
              <w:jc w:val="center"/>
              <w:rPr>
                <w:b/>
                <w:bCs/>
                <w:sz w:val="22"/>
                <w:szCs w:val="22"/>
              </w:rPr>
            </w:pPr>
            <w:r>
              <w:rPr>
                <w:b/>
                <w:bCs/>
                <w:sz w:val="22"/>
                <w:szCs w:val="22"/>
              </w:rPr>
              <w:t> </w:t>
            </w:r>
          </w:p>
        </w:tc>
        <w:tc>
          <w:tcPr>
            <w:tcW w:w="1360" w:type="dxa"/>
            <w:tcBorders>
              <w:top w:val="nil"/>
              <w:left w:val="nil"/>
              <w:bottom w:val="single" w:sz="4" w:space="0" w:color="auto"/>
              <w:right w:val="single" w:sz="4" w:space="0" w:color="auto"/>
            </w:tcBorders>
            <w:shd w:val="clear" w:color="auto" w:fill="auto"/>
            <w:noWrap/>
            <w:vAlign w:val="bottom"/>
            <w:hideMark/>
          </w:tcPr>
          <w:p w:rsidR="00F07E05" w:rsidRDefault="00F07E05" w:rsidP="008A253E">
            <w:pPr>
              <w:jc w:val="center"/>
              <w:rPr>
                <w:b/>
                <w:bCs/>
                <w:sz w:val="22"/>
                <w:szCs w:val="22"/>
              </w:rPr>
            </w:pPr>
            <w:r>
              <w:rPr>
                <w:b/>
                <w:bCs/>
                <w:sz w:val="22"/>
                <w:szCs w:val="22"/>
              </w:rPr>
              <w:t>1 214 818,88</w:t>
            </w:r>
          </w:p>
        </w:tc>
        <w:tc>
          <w:tcPr>
            <w:tcW w:w="960" w:type="dxa"/>
            <w:tcBorders>
              <w:top w:val="nil"/>
              <w:left w:val="nil"/>
              <w:bottom w:val="single" w:sz="4" w:space="0" w:color="auto"/>
              <w:right w:val="single" w:sz="4" w:space="0" w:color="auto"/>
            </w:tcBorders>
            <w:shd w:val="clear" w:color="auto" w:fill="auto"/>
            <w:noWrap/>
            <w:vAlign w:val="bottom"/>
            <w:hideMark/>
          </w:tcPr>
          <w:p w:rsidR="00F07E05" w:rsidRDefault="00F07E05" w:rsidP="008A253E">
            <w:pPr>
              <w:jc w:val="center"/>
              <w:rPr>
                <w:b/>
                <w:bCs/>
                <w:sz w:val="22"/>
                <w:szCs w:val="22"/>
              </w:rPr>
            </w:pPr>
            <w:r>
              <w:rPr>
                <w:b/>
                <w:bCs/>
                <w:sz w:val="22"/>
                <w:szCs w:val="22"/>
              </w:rPr>
              <w:t> </w:t>
            </w:r>
          </w:p>
        </w:tc>
        <w:tc>
          <w:tcPr>
            <w:tcW w:w="1380" w:type="dxa"/>
            <w:tcBorders>
              <w:top w:val="nil"/>
              <w:left w:val="nil"/>
              <w:bottom w:val="single" w:sz="4" w:space="0" w:color="auto"/>
              <w:right w:val="single" w:sz="4" w:space="0" w:color="auto"/>
            </w:tcBorders>
            <w:shd w:val="clear" w:color="auto" w:fill="auto"/>
            <w:noWrap/>
            <w:vAlign w:val="bottom"/>
            <w:hideMark/>
          </w:tcPr>
          <w:p w:rsidR="00F07E05" w:rsidRDefault="00F07E05" w:rsidP="008A253E">
            <w:pPr>
              <w:jc w:val="center"/>
              <w:rPr>
                <w:b/>
                <w:bCs/>
                <w:sz w:val="22"/>
                <w:szCs w:val="22"/>
              </w:rPr>
            </w:pPr>
            <w:r>
              <w:rPr>
                <w:b/>
                <w:bCs/>
                <w:sz w:val="22"/>
                <w:szCs w:val="22"/>
              </w:rPr>
              <w:t>1 263 411,64</w:t>
            </w:r>
          </w:p>
        </w:tc>
        <w:tc>
          <w:tcPr>
            <w:tcW w:w="960" w:type="dxa"/>
            <w:tcBorders>
              <w:top w:val="nil"/>
              <w:left w:val="nil"/>
              <w:bottom w:val="single" w:sz="4" w:space="0" w:color="auto"/>
              <w:right w:val="single" w:sz="4" w:space="0" w:color="auto"/>
            </w:tcBorders>
            <w:shd w:val="clear" w:color="auto" w:fill="auto"/>
            <w:noWrap/>
            <w:vAlign w:val="bottom"/>
            <w:hideMark/>
          </w:tcPr>
          <w:p w:rsidR="00F07E05" w:rsidRDefault="00F07E05" w:rsidP="008A253E">
            <w:pPr>
              <w:jc w:val="center"/>
              <w:rPr>
                <w:b/>
                <w:bCs/>
                <w:sz w:val="22"/>
                <w:szCs w:val="22"/>
              </w:rPr>
            </w:pPr>
            <w:r>
              <w:rPr>
                <w:b/>
                <w:bCs/>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rsidR="00F07E05" w:rsidRDefault="00F07E05" w:rsidP="008A253E">
            <w:pPr>
              <w:jc w:val="center"/>
              <w:rPr>
                <w:b/>
                <w:bCs/>
                <w:sz w:val="22"/>
                <w:szCs w:val="22"/>
              </w:rPr>
            </w:pPr>
            <w:r>
              <w:rPr>
                <w:b/>
                <w:bCs/>
                <w:sz w:val="22"/>
                <w:szCs w:val="22"/>
              </w:rPr>
              <w:t>1 313 948,10</w:t>
            </w:r>
          </w:p>
        </w:tc>
      </w:tr>
    </w:tbl>
    <w:p w:rsidR="00F07E05" w:rsidRDefault="00F07E05" w:rsidP="00F07E05">
      <w:pPr>
        <w:jc w:val="center"/>
        <w:rPr>
          <w:b/>
          <w:color w:val="FF0000"/>
          <w:sz w:val="28"/>
          <w:szCs w:val="28"/>
        </w:rPr>
      </w:pPr>
    </w:p>
    <w:p w:rsidR="00F07E05" w:rsidRDefault="00F07E05" w:rsidP="00F07E05">
      <w:pPr>
        <w:jc w:val="center"/>
        <w:rPr>
          <w:b/>
          <w:color w:val="FF0000"/>
          <w:sz w:val="28"/>
          <w:szCs w:val="28"/>
        </w:rPr>
      </w:pPr>
    </w:p>
    <w:p w:rsidR="00F07E05" w:rsidRDefault="00F07E05" w:rsidP="00F07E05">
      <w:pPr>
        <w:jc w:val="center"/>
        <w:rPr>
          <w:b/>
          <w:color w:val="FF0000"/>
          <w:sz w:val="28"/>
          <w:szCs w:val="28"/>
        </w:rPr>
      </w:pPr>
    </w:p>
    <w:p w:rsidR="00F07E05" w:rsidRDefault="00F07E05" w:rsidP="00F07E05">
      <w:pPr>
        <w:jc w:val="center"/>
        <w:rPr>
          <w:b/>
          <w:color w:val="FF0000"/>
          <w:sz w:val="28"/>
          <w:szCs w:val="28"/>
        </w:rPr>
      </w:pPr>
    </w:p>
    <w:p w:rsidR="00F07E05" w:rsidRDefault="00F07E05" w:rsidP="00F07E05">
      <w:pPr>
        <w:jc w:val="center"/>
        <w:rPr>
          <w:b/>
          <w:color w:val="FF0000"/>
          <w:sz w:val="28"/>
          <w:szCs w:val="28"/>
        </w:rPr>
        <w:sectPr w:rsidR="00F07E05" w:rsidSect="008A253E">
          <w:pgSz w:w="16838" w:h="11906" w:orient="landscape"/>
          <w:pgMar w:top="1701" w:right="1077" w:bottom="992" w:left="1134" w:header="709" w:footer="709" w:gutter="0"/>
          <w:cols w:space="708"/>
          <w:docGrid w:linePitch="360"/>
        </w:sectPr>
      </w:pPr>
    </w:p>
    <w:p w:rsidR="00F07E05" w:rsidRDefault="00F07E05" w:rsidP="00F07E05">
      <w:pPr>
        <w:jc w:val="center"/>
        <w:rPr>
          <w:b/>
          <w:color w:val="FF0000"/>
          <w:sz w:val="28"/>
          <w:szCs w:val="28"/>
        </w:rPr>
      </w:pPr>
    </w:p>
    <w:p w:rsidR="00F07E05" w:rsidRPr="00EE2236" w:rsidRDefault="00F07E05" w:rsidP="00F07E05">
      <w:pPr>
        <w:jc w:val="center"/>
        <w:rPr>
          <w:b/>
          <w:sz w:val="28"/>
          <w:szCs w:val="28"/>
        </w:rPr>
      </w:pPr>
      <w:r w:rsidRPr="00EE2236">
        <w:rPr>
          <w:b/>
          <w:sz w:val="28"/>
          <w:szCs w:val="28"/>
        </w:rPr>
        <w:t>Министерство здравоохранения Тверской области</w:t>
      </w:r>
    </w:p>
    <w:p w:rsidR="00F07E05" w:rsidRDefault="00F07E05" w:rsidP="00F07E05">
      <w:pPr>
        <w:pStyle w:val="a7"/>
        <w:spacing w:after="0"/>
        <w:ind w:left="0" w:firstLine="360"/>
        <w:jc w:val="right"/>
        <w:rPr>
          <w:sz w:val="28"/>
          <w:szCs w:val="28"/>
        </w:rPr>
      </w:pPr>
    </w:p>
    <w:p w:rsidR="00F07E05" w:rsidRDefault="00F07E05" w:rsidP="00F07E05">
      <w:pPr>
        <w:pStyle w:val="a7"/>
        <w:spacing w:after="0"/>
        <w:ind w:left="0" w:firstLine="360"/>
        <w:jc w:val="right"/>
        <w:rPr>
          <w:sz w:val="28"/>
          <w:szCs w:val="28"/>
        </w:rPr>
      </w:pPr>
      <w:r>
        <w:rPr>
          <w:sz w:val="28"/>
          <w:szCs w:val="28"/>
        </w:rPr>
        <w:t>в тыс. руб.</w:t>
      </w:r>
    </w:p>
    <w:tbl>
      <w:tblPr>
        <w:tblW w:w="9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9"/>
        <w:gridCol w:w="2120"/>
        <w:gridCol w:w="1908"/>
        <w:gridCol w:w="1696"/>
        <w:gridCol w:w="1434"/>
      </w:tblGrid>
      <w:tr w:rsidR="00F07E05" w:rsidRPr="00ED784D" w:rsidTr="008A253E">
        <w:trPr>
          <w:trHeight w:val="939"/>
        </w:trPr>
        <w:tc>
          <w:tcPr>
            <w:tcW w:w="2459" w:type="dxa"/>
            <w:noWrap/>
          </w:tcPr>
          <w:p w:rsidR="00F07E05" w:rsidRPr="00ED784D" w:rsidRDefault="00F07E05" w:rsidP="008A253E">
            <w:pPr>
              <w:jc w:val="center"/>
              <w:rPr>
                <w:b/>
                <w:sz w:val="20"/>
                <w:szCs w:val="20"/>
              </w:rPr>
            </w:pPr>
            <w:r w:rsidRPr="00ED784D">
              <w:rPr>
                <w:b/>
                <w:sz w:val="20"/>
                <w:szCs w:val="20"/>
              </w:rPr>
              <w:t>КБК</w:t>
            </w:r>
          </w:p>
        </w:tc>
        <w:tc>
          <w:tcPr>
            <w:tcW w:w="2120" w:type="dxa"/>
            <w:noWrap/>
          </w:tcPr>
          <w:p w:rsidR="00F07E05" w:rsidRPr="00ED784D" w:rsidRDefault="00F07E05" w:rsidP="008A253E">
            <w:pPr>
              <w:rPr>
                <w:b/>
                <w:sz w:val="20"/>
                <w:szCs w:val="20"/>
              </w:rPr>
            </w:pPr>
            <w:r w:rsidRPr="00ED784D">
              <w:rPr>
                <w:b/>
                <w:sz w:val="20"/>
                <w:szCs w:val="20"/>
              </w:rPr>
              <w:t>Наименование</w:t>
            </w:r>
          </w:p>
        </w:tc>
        <w:tc>
          <w:tcPr>
            <w:tcW w:w="1908" w:type="dxa"/>
          </w:tcPr>
          <w:p w:rsidR="00F07E05" w:rsidRPr="00ED784D" w:rsidRDefault="00F07E05" w:rsidP="008A253E">
            <w:pPr>
              <w:jc w:val="center"/>
              <w:rPr>
                <w:b/>
                <w:sz w:val="20"/>
                <w:szCs w:val="20"/>
              </w:rPr>
            </w:pPr>
            <w:r w:rsidRPr="00ED784D">
              <w:rPr>
                <w:b/>
                <w:sz w:val="20"/>
                <w:szCs w:val="20"/>
              </w:rPr>
              <w:t>Прогноз на</w:t>
            </w:r>
          </w:p>
          <w:p w:rsidR="00F07E05" w:rsidRPr="00ED784D" w:rsidRDefault="00F07E05" w:rsidP="008A253E">
            <w:pPr>
              <w:jc w:val="center"/>
              <w:rPr>
                <w:b/>
                <w:sz w:val="20"/>
                <w:szCs w:val="20"/>
              </w:rPr>
            </w:pPr>
            <w:r w:rsidRPr="00ED784D">
              <w:rPr>
                <w:b/>
                <w:sz w:val="20"/>
                <w:szCs w:val="20"/>
              </w:rPr>
              <w:t>20</w:t>
            </w:r>
            <w:r>
              <w:rPr>
                <w:b/>
                <w:sz w:val="20"/>
                <w:szCs w:val="20"/>
              </w:rPr>
              <w:t xml:space="preserve">22 </w:t>
            </w:r>
            <w:r w:rsidRPr="00ED784D">
              <w:rPr>
                <w:b/>
                <w:sz w:val="20"/>
                <w:szCs w:val="20"/>
              </w:rPr>
              <w:t>год</w:t>
            </w:r>
          </w:p>
          <w:p w:rsidR="00F07E05" w:rsidRPr="00ED784D" w:rsidRDefault="00F07E05" w:rsidP="008A253E">
            <w:pPr>
              <w:jc w:val="center"/>
              <w:rPr>
                <w:b/>
                <w:sz w:val="20"/>
                <w:szCs w:val="20"/>
              </w:rPr>
            </w:pPr>
          </w:p>
          <w:p w:rsidR="00F07E05" w:rsidRPr="00ED784D" w:rsidRDefault="00F07E05" w:rsidP="008A253E">
            <w:pPr>
              <w:jc w:val="center"/>
              <w:rPr>
                <w:b/>
                <w:sz w:val="20"/>
                <w:szCs w:val="20"/>
              </w:rPr>
            </w:pPr>
          </w:p>
        </w:tc>
        <w:tc>
          <w:tcPr>
            <w:tcW w:w="1696" w:type="dxa"/>
          </w:tcPr>
          <w:p w:rsidR="00F07E05" w:rsidRPr="00ED784D" w:rsidRDefault="00F07E05" w:rsidP="008A253E">
            <w:pPr>
              <w:jc w:val="center"/>
              <w:rPr>
                <w:b/>
                <w:sz w:val="20"/>
                <w:szCs w:val="20"/>
              </w:rPr>
            </w:pPr>
            <w:r w:rsidRPr="00ED784D">
              <w:rPr>
                <w:b/>
                <w:sz w:val="20"/>
                <w:szCs w:val="20"/>
              </w:rPr>
              <w:t>Прогноз на</w:t>
            </w:r>
          </w:p>
          <w:p w:rsidR="00F07E05" w:rsidRPr="00ED784D" w:rsidRDefault="00F07E05" w:rsidP="008A253E">
            <w:pPr>
              <w:jc w:val="center"/>
              <w:rPr>
                <w:b/>
                <w:sz w:val="20"/>
                <w:szCs w:val="20"/>
              </w:rPr>
            </w:pPr>
            <w:r w:rsidRPr="00ED784D">
              <w:rPr>
                <w:b/>
                <w:sz w:val="20"/>
                <w:szCs w:val="20"/>
              </w:rPr>
              <w:t>20</w:t>
            </w:r>
            <w:r>
              <w:rPr>
                <w:b/>
                <w:sz w:val="20"/>
                <w:szCs w:val="20"/>
              </w:rPr>
              <w:t xml:space="preserve">23 </w:t>
            </w:r>
            <w:r w:rsidRPr="00ED784D">
              <w:rPr>
                <w:b/>
                <w:sz w:val="20"/>
                <w:szCs w:val="20"/>
              </w:rPr>
              <w:t xml:space="preserve">год </w:t>
            </w:r>
          </w:p>
          <w:p w:rsidR="00F07E05" w:rsidRPr="00ED784D" w:rsidRDefault="00F07E05" w:rsidP="008A253E">
            <w:pPr>
              <w:jc w:val="center"/>
              <w:rPr>
                <w:b/>
                <w:sz w:val="20"/>
                <w:szCs w:val="20"/>
              </w:rPr>
            </w:pPr>
          </w:p>
        </w:tc>
        <w:tc>
          <w:tcPr>
            <w:tcW w:w="1434" w:type="dxa"/>
          </w:tcPr>
          <w:p w:rsidR="00F07E05" w:rsidRPr="00ED784D" w:rsidRDefault="00F07E05" w:rsidP="008A253E">
            <w:pPr>
              <w:jc w:val="center"/>
              <w:rPr>
                <w:b/>
                <w:sz w:val="20"/>
                <w:szCs w:val="20"/>
              </w:rPr>
            </w:pPr>
            <w:r w:rsidRPr="00ED784D">
              <w:rPr>
                <w:b/>
                <w:sz w:val="20"/>
                <w:szCs w:val="20"/>
              </w:rPr>
              <w:t>Прогноз на</w:t>
            </w:r>
          </w:p>
          <w:p w:rsidR="00F07E05" w:rsidRPr="00ED784D" w:rsidRDefault="00F07E05" w:rsidP="008A253E">
            <w:pPr>
              <w:jc w:val="center"/>
              <w:rPr>
                <w:b/>
                <w:sz w:val="20"/>
                <w:szCs w:val="20"/>
              </w:rPr>
            </w:pPr>
            <w:r w:rsidRPr="00ED784D">
              <w:rPr>
                <w:b/>
                <w:sz w:val="20"/>
                <w:szCs w:val="20"/>
              </w:rPr>
              <w:t>20</w:t>
            </w:r>
            <w:r>
              <w:rPr>
                <w:b/>
                <w:sz w:val="20"/>
                <w:szCs w:val="20"/>
              </w:rPr>
              <w:t>24</w:t>
            </w:r>
            <w:r w:rsidRPr="00ED784D">
              <w:rPr>
                <w:b/>
                <w:sz w:val="20"/>
                <w:szCs w:val="20"/>
              </w:rPr>
              <w:t xml:space="preserve"> год</w:t>
            </w:r>
          </w:p>
          <w:p w:rsidR="00F07E05" w:rsidRPr="00ED784D" w:rsidRDefault="00F07E05" w:rsidP="008A253E">
            <w:pPr>
              <w:jc w:val="center"/>
              <w:rPr>
                <w:b/>
                <w:sz w:val="20"/>
                <w:szCs w:val="20"/>
              </w:rPr>
            </w:pPr>
          </w:p>
        </w:tc>
      </w:tr>
      <w:tr w:rsidR="00F07E05" w:rsidRPr="00ED784D" w:rsidTr="008A253E">
        <w:trPr>
          <w:trHeight w:val="715"/>
        </w:trPr>
        <w:tc>
          <w:tcPr>
            <w:tcW w:w="2459" w:type="dxa"/>
            <w:noWrap/>
          </w:tcPr>
          <w:p w:rsidR="00F07E05" w:rsidRPr="00ED784D" w:rsidRDefault="00F07E05" w:rsidP="008A253E">
            <w:pPr>
              <w:jc w:val="center"/>
              <w:rPr>
                <w:b/>
                <w:sz w:val="16"/>
                <w:szCs w:val="16"/>
              </w:rPr>
            </w:pPr>
            <w:r w:rsidRPr="00ED784D">
              <w:rPr>
                <w:b/>
                <w:sz w:val="16"/>
                <w:szCs w:val="16"/>
              </w:rPr>
              <w:t>000</w:t>
            </w:r>
            <w:r w:rsidRPr="00ED784D">
              <w:rPr>
                <w:b/>
                <w:sz w:val="16"/>
                <w:szCs w:val="16"/>
                <w:lang w:val="en-US"/>
              </w:rPr>
              <w:t xml:space="preserve"> 1 13 0</w:t>
            </w:r>
            <w:r w:rsidRPr="00ED784D">
              <w:rPr>
                <w:b/>
                <w:sz w:val="16"/>
                <w:szCs w:val="16"/>
              </w:rPr>
              <w:t>1990</w:t>
            </w:r>
            <w:r w:rsidRPr="00ED784D">
              <w:rPr>
                <w:b/>
                <w:sz w:val="16"/>
                <w:szCs w:val="16"/>
                <w:lang w:val="en-US"/>
              </w:rPr>
              <w:t xml:space="preserve"> 0</w:t>
            </w:r>
            <w:r w:rsidRPr="00ED784D">
              <w:rPr>
                <w:b/>
                <w:sz w:val="16"/>
                <w:szCs w:val="16"/>
              </w:rPr>
              <w:t>0</w:t>
            </w:r>
            <w:r w:rsidRPr="00ED784D">
              <w:rPr>
                <w:b/>
                <w:sz w:val="16"/>
                <w:szCs w:val="16"/>
                <w:lang w:val="en-US"/>
              </w:rPr>
              <w:t xml:space="preserve"> 0</w:t>
            </w:r>
            <w:r w:rsidRPr="00ED784D">
              <w:rPr>
                <w:b/>
                <w:sz w:val="16"/>
                <w:szCs w:val="16"/>
              </w:rPr>
              <w:t>000 130</w:t>
            </w:r>
          </w:p>
        </w:tc>
        <w:tc>
          <w:tcPr>
            <w:tcW w:w="2120" w:type="dxa"/>
          </w:tcPr>
          <w:p w:rsidR="00F07E05" w:rsidRPr="00ED784D" w:rsidRDefault="00F07E05" w:rsidP="008A253E">
            <w:pPr>
              <w:rPr>
                <w:sz w:val="20"/>
                <w:szCs w:val="20"/>
              </w:rPr>
            </w:pPr>
            <w:r w:rsidRPr="00ED784D">
              <w:rPr>
                <w:sz w:val="18"/>
                <w:szCs w:val="18"/>
              </w:rPr>
              <w:t>Прочие доходы от оказания платных услуг (работ)</w:t>
            </w:r>
          </w:p>
        </w:tc>
        <w:tc>
          <w:tcPr>
            <w:tcW w:w="1908" w:type="dxa"/>
            <w:noWrap/>
          </w:tcPr>
          <w:p w:rsidR="00F07E05" w:rsidRPr="00ED784D" w:rsidRDefault="00F07E05" w:rsidP="008A253E">
            <w:pPr>
              <w:ind w:hanging="108"/>
              <w:jc w:val="center"/>
              <w:rPr>
                <w:sz w:val="20"/>
                <w:szCs w:val="20"/>
              </w:rPr>
            </w:pPr>
            <w:r>
              <w:rPr>
                <w:sz w:val="20"/>
                <w:szCs w:val="20"/>
              </w:rPr>
              <w:t>12 258,6</w:t>
            </w:r>
          </w:p>
        </w:tc>
        <w:tc>
          <w:tcPr>
            <w:tcW w:w="1696" w:type="dxa"/>
            <w:noWrap/>
          </w:tcPr>
          <w:p w:rsidR="00F07E05" w:rsidRPr="00ED784D" w:rsidRDefault="00F07E05" w:rsidP="008A253E">
            <w:pPr>
              <w:ind w:hanging="108"/>
              <w:jc w:val="center"/>
              <w:rPr>
                <w:sz w:val="20"/>
                <w:szCs w:val="20"/>
              </w:rPr>
            </w:pPr>
            <w:r>
              <w:rPr>
                <w:sz w:val="20"/>
                <w:szCs w:val="20"/>
              </w:rPr>
              <w:t xml:space="preserve">12 514,0 </w:t>
            </w:r>
          </w:p>
        </w:tc>
        <w:tc>
          <w:tcPr>
            <w:tcW w:w="1434" w:type="dxa"/>
            <w:noWrap/>
          </w:tcPr>
          <w:p w:rsidR="00F07E05" w:rsidRPr="00ED784D" w:rsidRDefault="00F07E05" w:rsidP="008A253E">
            <w:pPr>
              <w:ind w:left="-136" w:right="-108" w:hanging="28"/>
              <w:jc w:val="center"/>
              <w:rPr>
                <w:sz w:val="20"/>
                <w:szCs w:val="20"/>
              </w:rPr>
            </w:pPr>
            <w:r>
              <w:rPr>
                <w:sz w:val="20"/>
                <w:szCs w:val="20"/>
              </w:rPr>
              <w:t>12 770,2</w:t>
            </w:r>
          </w:p>
        </w:tc>
      </w:tr>
    </w:tbl>
    <w:p w:rsidR="00F07E05" w:rsidRPr="00C00443" w:rsidRDefault="00F07E05" w:rsidP="00F07E05">
      <w:pPr>
        <w:pStyle w:val="a7"/>
        <w:ind w:left="0" w:firstLine="360"/>
      </w:pPr>
    </w:p>
    <w:p w:rsidR="00F07E05" w:rsidRPr="00ED784D" w:rsidRDefault="00F07E05" w:rsidP="00F07E05">
      <w:pPr>
        <w:pStyle w:val="21"/>
        <w:rPr>
          <w:bCs/>
        </w:rPr>
      </w:pPr>
      <w:r w:rsidRPr="00ED784D">
        <w:rPr>
          <w:bCs/>
        </w:rPr>
        <w:t xml:space="preserve">Приказом Министерства здравоохранения Тверской области от </w:t>
      </w:r>
      <w:r>
        <w:rPr>
          <w:bCs/>
        </w:rPr>
        <w:t xml:space="preserve">24.05.2017 </w:t>
      </w:r>
      <w:r w:rsidRPr="00ED784D">
        <w:rPr>
          <w:bCs/>
        </w:rPr>
        <w:t xml:space="preserve"> </w:t>
      </w:r>
      <w:r>
        <w:rPr>
          <w:bCs/>
        </w:rPr>
        <w:t xml:space="preserve"> № 368  ( с изменениями и дополнениями) </w:t>
      </w:r>
      <w:r w:rsidRPr="00ED784D">
        <w:rPr>
          <w:bCs/>
        </w:rPr>
        <w:t xml:space="preserve">утверждена методика прогнозирования поступлений в бюджет Тверской области доходов, главным администратором которых является Министерство здравоохранения Тверской области (далее – Методика). </w:t>
      </w:r>
    </w:p>
    <w:p w:rsidR="00F07E05" w:rsidRDefault="00F07E05" w:rsidP="00F07E05">
      <w:pPr>
        <w:pStyle w:val="a4"/>
        <w:tabs>
          <w:tab w:val="left" w:pos="567"/>
        </w:tabs>
      </w:pPr>
      <w:r>
        <w:t xml:space="preserve">Приказом Министерства здравоохранения Тверской области утверждена Методика прогнозирования </w:t>
      </w:r>
      <w:r w:rsidRPr="00A92985">
        <w:t xml:space="preserve">поступлений </w:t>
      </w:r>
      <w:r>
        <w:t xml:space="preserve">в </w:t>
      </w:r>
      <w:r w:rsidRPr="00A92985">
        <w:t xml:space="preserve"> бюджет Тверской области доходов, главным администратором которых является Министерство здравоохранения Тверской области</w:t>
      </w:r>
      <w:r>
        <w:t xml:space="preserve"> (далее -</w:t>
      </w:r>
      <w:r w:rsidRPr="00754F3E">
        <w:t xml:space="preserve"> </w:t>
      </w:r>
      <w:r>
        <w:t>Методика).</w:t>
      </w:r>
    </w:p>
    <w:p w:rsidR="00F07E05" w:rsidRPr="00B04757" w:rsidRDefault="00F07E05" w:rsidP="00F07E05">
      <w:pPr>
        <w:tabs>
          <w:tab w:val="left" w:pos="567"/>
        </w:tabs>
        <w:ind w:left="72"/>
        <w:jc w:val="both"/>
        <w:rPr>
          <w:sz w:val="28"/>
          <w:szCs w:val="28"/>
        </w:rPr>
      </w:pPr>
      <w:r>
        <w:rPr>
          <w:sz w:val="28"/>
          <w:szCs w:val="28"/>
        </w:rPr>
        <w:t xml:space="preserve">      В соответствии с п. 1) Раздела 1 приложения Методики: «Р</w:t>
      </w:r>
      <w:r w:rsidRPr="00B04757">
        <w:rPr>
          <w:sz w:val="28"/>
          <w:szCs w:val="28"/>
        </w:rPr>
        <w:t xml:space="preserve">асчет </w:t>
      </w:r>
      <w:r>
        <w:rPr>
          <w:sz w:val="28"/>
          <w:szCs w:val="28"/>
        </w:rPr>
        <w:t xml:space="preserve">прогноза поступлений </w:t>
      </w:r>
      <w:r w:rsidRPr="00B04757">
        <w:rPr>
          <w:sz w:val="28"/>
          <w:szCs w:val="28"/>
        </w:rPr>
        <w:t xml:space="preserve">прочих доходов от оказания платных услуг (работ) </w:t>
      </w:r>
      <w:r>
        <w:rPr>
          <w:sz w:val="28"/>
          <w:szCs w:val="28"/>
        </w:rPr>
        <w:t xml:space="preserve">на очередной финансовый год и плановый период </w:t>
      </w:r>
      <w:r w:rsidRPr="00B04757">
        <w:rPr>
          <w:sz w:val="28"/>
          <w:szCs w:val="28"/>
        </w:rPr>
        <w:t xml:space="preserve">рассчитывается методом прямого счета исходя из количественных и стоимостных показателей с применением </w:t>
      </w:r>
      <w:r>
        <w:rPr>
          <w:sz w:val="28"/>
          <w:szCs w:val="28"/>
        </w:rPr>
        <w:br/>
      </w:r>
      <w:r w:rsidRPr="00B04757">
        <w:rPr>
          <w:sz w:val="28"/>
          <w:szCs w:val="28"/>
        </w:rPr>
        <w:t>к стоимостному показателю индекса потребительских цен, доведенных Министерством экономического развития Российской Федерации на плановый период. Расчет осуществляется по формуле:</w:t>
      </w:r>
    </w:p>
    <w:p w:rsidR="00F07E05" w:rsidRPr="00B04757" w:rsidRDefault="00F07E05" w:rsidP="00F07E05">
      <w:pPr>
        <w:ind w:left="72"/>
        <w:jc w:val="both"/>
        <w:rPr>
          <w:sz w:val="28"/>
          <w:szCs w:val="28"/>
        </w:rPr>
      </w:pPr>
      <w:r w:rsidRPr="00B04757">
        <w:rPr>
          <w:sz w:val="28"/>
          <w:szCs w:val="28"/>
        </w:rPr>
        <w:t xml:space="preserve">                 Д = К * (Ст * ИПЦ)</w:t>
      </w:r>
    </w:p>
    <w:p w:rsidR="00F07E05" w:rsidRPr="00B04757" w:rsidRDefault="00F07E05" w:rsidP="00F07E05">
      <w:pPr>
        <w:ind w:left="72"/>
        <w:jc w:val="both"/>
        <w:rPr>
          <w:sz w:val="28"/>
          <w:szCs w:val="28"/>
        </w:rPr>
      </w:pPr>
      <w:r>
        <w:rPr>
          <w:sz w:val="28"/>
          <w:szCs w:val="28"/>
        </w:rPr>
        <w:t xml:space="preserve">       </w:t>
      </w:r>
      <w:r w:rsidRPr="00B04757">
        <w:rPr>
          <w:sz w:val="28"/>
          <w:szCs w:val="28"/>
        </w:rPr>
        <w:t>Количественные показатели на плановый период рассчитываются исходя из динамики сложившейся за три года, предшествующей текущему году.</w:t>
      </w:r>
    </w:p>
    <w:p w:rsidR="00F07E05" w:rsidRDefault="00F07E05" w:rsidP="00F07E05">
      <w:pPr>
        <w:tabs>
          <w:tab w:val="left" w:pos="0"/>
        </w:tabs>
        <w:ind w:left="142" w:firstLine="425"/>
        <w:jc w:val="both"/>
        <w:rPr>
          <w:sz w:val="28"/>
          <w:szCs w:val="28"/>
        </w:rPr>
      </w:pPr>
      <w:r>
        <w:rPr>
          <w:sz w:val="28"/>
          <w:szCs w:val="28"/>
        </w:rPr>
        <w:t xml:space="preserve">      </w:t>
      </w:r>
      <w:r w:rsidRPr="00B04757">
        <w:rPr>
          <w:sz w:val="28"/>
          <w:szCs w:val="28"/>
        </w:rPr>
        <w:t xml:space="preserve">В случае резких колебаний количественных показателей </w:t>
      </w:r>
      <w:r>
        <w:rPr>
          <w:sz w:val="28"/>
          <w:szCs w:val="28"/>
        </w:rPr>
        <w:br/>
      </w:r>
      <w:r w:rsidRPr="00B04757">
        <w:rPr>
          <w:sz w:val="28"/>
          <w:szCs w:val="28"/>
        </w:rPr>
        <w:t xml:space="preserve">в предшествующие годы при расчете  прогноза применяется показатель </w:t>
      </w:r>
      <w:r>
        <w:rPr>
          <w:sz w:val="28"/>
          <w:szCs w:val="28"/>
        </w:rPr>
        <w:t xml:space="preserve"> </w:t>
      </w:r>
      <w:r w:rsidRPr="00B04757">
        <w:rPr>
          <w:sz w:val="28"/>
          <w:szCs w:val="28"/>
        </w:rPr>
        <w:t>количества услуг ожидаемых в текущем году с учетом возможностей учреждений в плановый период, потребности в них и других факторов, оказывающих влияние на количество оказываемых услуг в плановом периоде.</w:t>
      </w:r>
    </w:p>
    <w:p w:rsidR="00F07E05" w:rsidRDefault="00F07E05" w:rsidP="00F07E05">
      <w:pPr>
        <w:ind w:left="72"/>
        <w:jc w:val="both"/>
        <w:rPr>
          <w:sz w:val="28"/>
          <w:szCs w:val="28"/>
        </w:rPr>
      </w:pPr>
      <w:r>
        <w:rPr>
          <w:szCs w:val="28"/>
        </w:rPr>
        <w:t xml:space="preserve">        </w:t>
      </w:r>
      <w:r w:rsidRPr="00794316">
        <w:rPr>
          <w:sz w:val="28"/>
          <w:szCs w:val="28"/>
        </w:rPr>
        <w:t xml:space="preserve">По ГКУЗ ТО МЦМР «Резерв» доходы прогнозируются по условиям контракта и суммы договора на уровне текущего года или проекта договора </w:t>
      </w:r>
    </w:p>
    <w:p w:rsidR="00F07E05" w:rsidRPr="00794316" w:rsidRDefault="00F07E05" w:rsidP="00F07E05">
      <w:pPr>
        <w:ind w:left="72"/>
        <w:jc w:val="both"/>
        <w:rPr>
          <w:sz w:val="28"/>
          <w:szCs w:val="28"/>
        </w:rPr>
      </w:pPr>
      <w:r w:rsidRPr="00794316">
        <w:rPr>
          <w:sz w:val="28"/>
          <w:szCs w:val="28"/>
        </w:rPr>
        <w:t xml:space="preserve">с Управлением Росрезерва  по ЦФО на плановый период. </w:t>
      </w:r>
    </w:p>
    <w:p w:rsidR="00F07E05" w:rsidRPr="00794316" w:rsidRDefault="00F07E05" w:rsidP="00F07E05">
      <w:pPr>
        <w:ind w:left="72"/>
        <w:jc w:val="both"/>
        <w:rPr>
          <w:sz w:val="28"/>
          <w:szCs w:val="28"/>
        </w:rPr>
      </w:pPr>
      <w:r>
        <w:rPr>
          <w:sz w:val="28"/>
          <w:szCs w:val="28"/>
        </w:rPr>
        <w:t xml:space="preserve">      </w:t>
      </w:r>
      <w:r w:rsidRPr="00794316">
        <w:rPr>
          <w:sz w:val="28"/>
          <w:szCs w:val="28"/>
        </w:rPr>
        <w:t xml:space="preserve">Источник данных для расчета является динамика количественных </w:t>
      </w:r>
      <w:r>
        <w:rPr>
          <w:sz w:val="28"/>
          <w:szCs w:val="28"/>
        </w:rPr>
        <w:t xml:space="preserve">               </w:t>
      </w:r>
      <w:r w:rsidRPr="00794316">
        <w:rPr>
          <w:sz w:val="28"/>
          <w:szCs w:val="28"/>
        </w:rPr>
        <w:t xml:space="preserve">и стоимостных показателей   прогноза доходов от оказания платных услуг </w:t>
      </w:r>
      <w:r>
        <w:rPr>
          <w:sz w:val="28"/>
          <w:szCs w:val="28"/>
        </w:rPr>
        <w:br/>
      </w:r>
      <w:r w:rsidRPr="00794316">
        <w:rPr>
          <w:sz w:val="28"/>
          <w:szCs w:val="28"/>
        </w:rPr>
        <w:t>и иной приносящей доход деятельности государственного казенного учреждения здравоохранения Тверской области на плановый период</w:t>
      </w:r>
      <w:r>
        <w:rPr>
          <w:sz w:val="28"/>
          <w:szCs w:val="28"/>
        </w:rPr>
        <w:t xml:space="preserve">,  </w:t>
      </w:r>
      <w:r w:rsidRPr="00AB6889">
        <w:rPr>
          <w:sz w:val="28"/>
          <w:szCs w:val="28"/>
        </w:rPr>
        <w:lastRenderedPageBreak/>
        <w:t>договор ГКУЗ ТО МЦМР «Резерв» с Управлением Росрезерва  по ЦФО</w:t>
      </w:r>
      <w:r>
        <w:rPr>
          <w:sz w:val="28"/>
          <w:szCs w:val="28"/>
        </w:rPr>
        <w:t xml:space="preserve"> (приложение №2)</w:t>
      </w:r>
      <w:r w:rsidRPr="00794316">
        <w:rPr>
          <w:sz w:val="28"/>
          <w:szCs w:val="28"/>
        </w:rPr>
        <w:t>.</w:t>
      </w:r>
    </w:p>
    <w:p w:rsidR="00F07E05" w:rsidRDefault="00F07E05" w:rsidP="00F07E05">
      <w:pPr>
        <w:tabs>
          <w:tab w:val="left" w:pos="567"/>
        </w:tabs>
        <w:ind w:left="72"/>
        <w:jc w:val="both"/>
        <w:rPr>
          <w:sz w:val="28"/>
          <w:szCs w:val="28"/>
        </w:rPr>
      </w:pPr>
      <w:r>
        <w:rPr>
          <w:sz w:val="28"/>
          <w:szCs w:val="28"/>
        </w:rPr>
        <w:t xml:space="preserve">      В 2021 году и в прогнозируемом периоде 2022 - 2024 годах планируем получение доходов от оказания платных услуг (приложение №1 и №2 </w:t>
      </w:r>
      <w:r>
        <w:rPr>
          <w:sz w:val="28"/>
          <w:szCs w:val="28"/>
        </w:rPr>
        <w:br/>
        <w:t>к прогнозу)  3 государственными казенными учреждениями Тверской области («Тверской областной клинический противотуберкулезный диспансер», «Бюро судебно-медицинской экспертизы», Медицинский центр мобилизационных резервов «Резерв»).</w:t>
      </w:r>
    </w:p>
    <w:p w:rsidR="00F07E05" w:rsidRPr="00663DE5" w:rsidRDefault="00F07E05" w:rsidP="00F07E05">
      <w:pPr>
        <w:tabs>
          <w:tab w:val="left" w:pos="567"/>
        </w:tabs>
        <w:ind w:left="72"/>
        <w:jc w:val="both"/>
        <w:rPr>
          <w:sz w:val="28"/>
          <w:szCs w:val="28"/>
        </w:rPr>
      </w:pPr>
      <w:r>
        <w:rPr>
          <w:sz w:val="28"/>
          <w:szCs w:val="28"/>
        </w:rPr>
        <w:t xml:space="preserve">      </w:t>
      </w:r>
      <w:r>
        <w:rPr>
          <w:szCs w:val="28"/>
        </w:rPr>
        <w:t xml:space="preserve">       </w:t>
      </w:r>
      <w:r w:rsidRPr="00663DE5">
        <w:rPr>
          <w:sz w:val="28"/>
          <w:szCs w:val="28"/>
        </w:rPr>
        <w:t xml:space="preserve">Расчет прогноза суммы доходов на 2022 - 2024 годы составлен исходя  из  количества медицинских услуг  и средней стоимости услуг с учетом ИПЦ </w:t>
      </w:r>
      <w:r w:rsidRPr="00663DE5">
        <w:rPr>
          <w:sz w:val="28"/>
          <w:szCs w:val="28"/>
        </w:rPr>
        <w:br/>
        <w:t>в прогнозируемом периоде. Прогноз индекса потребительских цен (далее - ИПЦ)  в  2022 году — 103,8%,  в  2023 году — 104,0%,  в  2024 году – 104,0%.</w:t>
      </w:r>
    </w:p>
    <w:p w:rsidR="00F07E05" w:rsidRDefault="00F07E05" w:rsidP="00F07E05">
      <w:pPr>
        <w:ind w:left="72"/>
        <w:jc w:val="both"/>
        <w:rPr>
          <w:sz w:val="28"/>
        </w:rPr>
      </w:pPr>
      <w:r>
        <w:t xml:space="preserve">       </w:t>
      </w:r>
      <w:r w:rsidRPr="007B5AB8">
        <w:rPr>
          <w:sz w:val="28"/>
        </w:rPr>
        <w:t>Цены на платные медицинские услуги, оказываемые государственными учреждениями здравоохранения сверх уста</w:t>
      </w:r>
      <w:r w:rsidRPr="007B5AB8">
        <w:rPr>
          <w:sz w:val="28"/>
        </w:rPr>
        <w:softHyphen/>
        <w:t>новленного государственного задания, устанавливаются</w:t>
      </w:r>
      <w:r w:rsidRPr="007B5AB8">
        <w:t xml:space="preserve"> </w:t>
      </w:r>
      <w:r w:rsidRPr="007B5AB8">
        <w:rPr>
          <w:sz w:val="28"/>
        </w:rPr>
        <w:t>в соответствии с Федеральным законом Российской Федерации от  21 ноября 2011  № 323-ФЗ "Об основах охраны здоровья граждан в Российской Федерации,  постановлением  Правительства  РФ от 07.03.1995 № 239 «О мерах по упорядочению государственного регулирования цен (тарифов)», постановлением Правительства Российской Федерации от 04.10.2012  № 1006 «Об утверждении Правил предоставления платных медицинскими организациями платных медицинских услуг», приказами Министерства здравоохранения Тверской области</w:t>
      </w:r>
      <w:r>
        <w:rPr>
          <w:sz w:val="28"/>
        </w:rPr>
        <w:t xml:space="preserve"> (№737, №453)</w:t>
      </w:r>
      <w:r w:rsidRPr="007B5AB8">
        <w:rPr>
          <w:sz w:val="28"/>
        </w:rPr>
        <w:t xml:space="preserve"> об утверждении порядка определения </w:t>
      </w:r>
      <w:r>
        <w:rPr>
          <w:sz w:val="28"/>
        </w:rPr>
        <w:t xml:space="preserve">размера платы </w:t>
      </w:r>
      <w:r w:rsidRPr="007B5AB8">
        <w:rPr>
          <w:sz w:val="28"/>
        </w:rPr>
        <w:t xml:space="preserve">и </w:t>
      </w:r>
      <w:r>
        <w:rPr>
          <w:sz w:val="28"/>
        </w:rPr>
        <w:t xml:space="preserve">согласования </w:t>
      </w:r>
      <w:r w:rsidRPr="007B5AB8">
        <w:rPr>
          <w:sz w:val="28"/>
        </w:rPr>
        <w:t>размера платы для физических и юридических лиц за услуги (работы), относящиеся к основным видам деятельности государств</w:t>
      </w:r>
      <w:r>
        <w:rPr>
          <w:sz w:val="28"/>
        </w:rPr>
        <w:t>енных казенных</w:t>
      </w:r>
      <w:r w:rsidRPr="007B5AB8">
        <w:rPr>
          <w:sz w:val="28"/>
        </w:rPr>
        <w:t xml:space="preserve"> учреждений, в отношении которых Министерство здравоохранения Тверской области  осуществ</w:t>
      </w:r>
      <w:r w:rsidRPr="007B5AB8">
        <w:rPr>
          <w:sz w:val="28"/>
        </w:rPr>
        <w:softHyphen/>
        <w:t>ляет функции и полномочия учредителя, оказываемые ими сверх уста</w:t>
      </w:r>
      <w:r w:rsidRPr="007B5AB8">
        <w:rPr>
          <w:sz w:val="28"/>
        </w:rPr>
        <w:softHyphen/>
        <w:t>новленного государственного задания.</w:t>
      </w:r>
    </w:p>
    <w:p w:rsidR="00F07E05" w:rsidRDefault="00F07E05" w:rsidP="00F07E05">
      <w:pPr>
        <w:pStyle w:val="a4"/>
        <w:tabs>
          <w:tab w:val="left" w:pos="567"/>
        </w:tabs>
      </w:pPr>
      <w:r>
        <w:t xml:space="preserve">Доходы от целевого финансирования ГКУЗ </w:t>
      </w:r>
      <w:r>
        <w:rPr>
          <w:bCs/>
        </w:rPr>
        <w:t>«Медицинский центр мобилизационных резервов</w:t>
      </w:r>
      <w:r>
        <w:t xml:space="preserve"> «Резерв» Управлением Розрезерва  по ЦФО в 2022 - 2024 годах планируются (по проекту договора) на сумму</w:t>
      </w:r>
      <w:r>
        <w:br/>
        <w:t xml:space="preserve"> 5 970 тыс. руб. на уровне  суммы договора 2021 года. Договор заключается в январе месяце на текущий год,  сумма может уточняться по факту заключения договора. Сумма договора зависит от возможностей Управления Розрезерва  по ЦФО, а не ГКУЗ МЦМР «Резерв», направление расходов  расписаны в договоре. Условия контракта и сумму на возмещение затрат, связанных с исполнением работ по ответственному хранению материальных ценностей мобилизационного резерва определяет Управление Розрезерва  по ЦФО.</w:t>
      </w:r>
    </w:p>
    <w:p w:rsidR="00F07E05" w:rsidRDefault="00F07E05" w:rsidP="00F07E05">
      <w:pPr>
        <w:pStyle w:val="a4"/>
        <w:tabs>
          <w:tab w:val="left" w:pos="567"/>
        </w:tabs>
      </w:pPr>
    </w:p>
    <w:p w:rsidR="00F07E05" w:rsidRDefault="00F07E05" w:rsidP="00F07E05">
      <w:pPr>
        <w:pStyle w:val="a4"/>
        <w:tabs>
          <w:tab w:val="left" w:pos="567"/>
        </w:tabs>
      </w:pPr>
    </w:p>
    <w:p w:rsidR="00F07E05" w:rsidRDefault="00F07E05" w:rsidP="00F07E05">
      <w:pPr>
        <w:pStyle w:val="a4"/>
        <w:tabs>
          <w:tab w:val="left" w:pos="567"/>
        </w:tabs>
      </w:pPr>
    </w:p>
    <w:p w:rsidR="00F07E05" w:rsidRDefault="00F07E05" w:rsidP="00F07E05">
      <w:pPr>
        <w:pStyle w:val="a4"/>
        <w:tabs>
          <w:tab w:val="left" w:pos="567"/>
        </w:tabs>
      </w:pPr>
    </w:p>
    <w:p w:rsidR="00F07E05" w:rsidRDefault="00F07E05" w:rsidP="00F07E05">
      <w:pPr>
        <w:pStyle w:val="a4"/>
        <w:tabs>
          <w:tab w:val="left" w:pos="567"/>
        </w:tabs>
      </w:pPr>
    </w:p>
    <w:tbl>
      <w:tblPr>
        <w:tblW w:w="11005" w:type="dxa"/>
        <w:tblInd w:w="-1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8"/>
        <w:gridCol w:w="1007"/>
        <w:gridCol w:w="1007"/>
        <w:gridCol w:w="935"/>
        <w:gridCol w:w="1007"/>
        <w:gridCol w:w="1007"/>
        <w:gridCol w:w="929"/>
        <w:gridCol w:w="1049"/>
        <w:gridCol w:w="1130"/>
        <w:gridCol w:w="1073"/>
        <w:gridCol w:w="13"/>
      </w:tblGrid>
      <w:tr w:rsidR="00F07E05" w:rsidTr="008A253E">
        <w:trPr>
          <w:trHeight w:val="540"/>
        </w:trPr>
        <w:tc>
          <w:tcPr>
            <w:tcW w:w="1848" w:type="dxa"/>
            <w:vMerge w:val="restart"/>
            <w:shd w:val="clear" w:color="auto" w:fill="auto"/>
            <w:vAlign w:val="bottom"/>
            <w:hideMark/>
          </w:tcPr>
          <w:p w:rsidR="00F07E05" w:rsidRPr="00D96E4C" w:rsidRDefault="00F07E05" w:rsidP="008A253E">
            <w:pPr>
              <w:jc w:val="center"/>
              <w:rPr>
                <w:b/>
                <w:bCs/>
                <w:sz w:val="20"/>
                <w:szCs w:val="20"/>
              </w:rPr>
            </w:pPr>
            <w:r w:rsidRPr="00D96E4C">
              <w:rPr>
                <w:b/>
                <w:bCs/>
                <w:sz w:val="20"/>
                <w:szCs w:val="20"/>
              </w:rPr>
              <w:t>Наименование услуги</w:t>
            </w:r>
          </w:p>
        </w:tc>
        <w:tc>
          <w:tcPr>
            <w:tcW w:w="2949" w:type="dxa"/>
            <w:gridSpan w:val="3"/>
            <w:shd w:val="clear" w:color="auto" w:fill="auto"/>
            <w:vAlign w:val="center"/>
            <w:hideMark/>
          </w:tcPr>
          <w:p w:rsidR="00F07E05" w:rsidRPr="00D96E4C" w:rsidRDefault="00F07E05" w:rsidP="008A253E">
            <w:pPr>
              <w:jc w:val="center"/>
              <w:rPr>
                <w:b/>
                <w:bCs/>
                <w:sz w:val="20"/>
                <w:szCs w:val="20"/>
              </w:rPr>
            </w:pPr>
            <w:r w:rsidRPr="00D96E4C">
              <w:rPr>
                <w:b/>
                <w:bCs/>
                <w:sz w:val="20"/>
                <w:szCs w:val="20"/>
              </w:rPr>
              <w:t xml:space="preserve">Количество </w:t>
            </w:r>
          </w:p>
        </w:tc>
        <w:tc>
          <w:tcPr>
            <w:tcW w:w="2943" w:type="dxa"/>
            <w:gridSpan w:val="3"/>
            <w:shd w:val="clear" w:color="auto" w:fill="auto"/>
            <w:noWrap/>
            <w:vAlign w:val="center"/>
            <w:hideMark/>
          </w:tcPr>
          <w:p w:rsidR="00F07E05" w:rsidRPr="00D96E4C" w:rsidRDefault="00F07E05" w:rsidP="008A253E">
            <w:pPr>
              <w:jc w:val="center"/>
              <w:rPr>
                <w:b/>
                <w:bCs/>
                <w:sz w:val="20"/>
                <w:szCs w:val="20"/>
              </w:rPr>
            </w:pPr>
            <w:r w:rsidRPr="00D96E4C">
              <w:rPr>
                <w:b/>
                <w:bCs/>
                <w:sz w:val="20"/>
                <w:szCs w:val="20"/>
              </w:rPr>
              <w:t>Средняя стоимость</w:t>
            </w:r>
          </w:p>
        </w:tc>
        <w:tc>
          <w:tcPr>
            <w:tcW w:w="3261" w:type="dxa"/>
            <w:gridSpan w:val="4"/>
            <w:shd w:val="clear" w:color="auto" w:fill="auto"/>
            <w:vAlign w:val="center"/>
            <w:hideMark/>
          </w:tcPr>
          <w:p w:rsidR="00F07E05" w:rsidRPr="00D96E4C" w:rsidRDefault="00F07E05" w:rsidP="008A253E">
            <w:pPr>
              <w:jc w:val="center"/>
              <w:rPr>
                <w:b/>
                <w:bCs/>
                <w:sz w:val="20"/>
                <w:szCs w:val="20"/>
              </w:rPr>
            </w:pPr>
            <w:r w:rsidRPr="00D96E4C">
              <w:rPr>
                <w:b/>
                <w:bCs/>
                <w:sz w:val="20"/>
                <w:szCs w:val="20"/>
              </w:rPr>
              <w:t>Общая сумма дохода ( тысяч рублей )</w:t>
            </w:r>
          </w:p>
        </w:tc>
      </w:tr>
      <w:tr w:rsidR="00F07E05" w:rsidTr="008A253E">
        <w:trPr>
          <w:gridAfter w:val="1"/>
          <w:wAfter w:w="13" w:type="dxa"/>
          <w:trHeight w:val="435"/>
        </w:trPr>
        <w:tc>
          <w:tcPr>
            <w:tcW w:w="1848" w:type="dxa"/>
            <w:vMerge/>
            <w:shd w:val="clear" w:color="auto" w:fill="auto"/>
            <w:vAlign w:val="center"/>
            <w:hideMark/>
          </w:tcPr>
          <w:p w:rsidR="00F07E05" w:rsidRPr="00D96E4C" w:rsidRDefault="00F07E05" w:rsidP="008A253E">
            <w:pPr>
              <w:rPr>
                <w:b/>
                <w:bCs/>
                <w:sz w:val="20"/>
                <w:szCs w:val="20"/>
              </w:rPr>
            </w:pPr>
          </w:p>
        </w:tc>
        <w:tc>
          <w:tcPr>
            <w:tcW w:w="1007" w:type="dxa"/>
            <w:shd w:val="clear" w:color="auto" w:fill="auto"/>
            <w:vAlign w:val="center"/>
            <w:hideMark/>
          </w:tcPr>
          <w:p w:rsidR="00F07E05" w:rsidRPr="00D96E4C" w:rsidRDefault="00F07E05" w:rsidP="008A253E">
            <w:pPr>
              <w:jc w:val="center"/>
              <w:rPr>
                <w:b/>
                <w:bCs/>
                <w:sz w:val="20"/>
                <w:szCs w:val="20"/>
              </w:rPr>
            </w:pPr>
            <w:r w:rsidRPr="00D96E4C">
              <w:rPr>
                <w:b/>
                <w:bCs/>
                <w:sz w:val="20"/>
                <w:szCs w:val="20"/>
              </w:rPr>
              <w:t>прогноз</w:t>
            </w:r>
          </w:p>
        </w:tc>
        <w:tc>
          <w:tcPr>
            <w:tcW w:w="1007" w:type="dxa"/>
            <w:shd w:val="clear" w:color="auto" w:fill="auto"/>
            <w:vAlign w:val="center"/>
            <w:hideMark/>
          </w:tcPr>
          <w:p w:rsidR="00F07E05" w:rsidRPr="00D96E4C" w:rsidRDefault="00F07E05" w:rsidP="008A253E">
            <w:pPr>
              <w:jc w:val="center"/>
              <w:rPr>
                <w:b/>
                <w:bCs/>
                <w:sz w:val="20"/>
                <w:szCs w:val="20"/>
              </w:rPr>
            </w:pPr>
            <w:r w:rsidRPr="00D96E4C">
              <w:rPr>
                <w:b/>
                <w:bCs/>
                <w:sz w:val="20"/>
                <w:szCs w:val="20"/>
              </w:rPr>
              <w:t>прогноз</w:t>
            </w:r>
          </w:p>
        </w:tc>
        <w:tc>
          <w:tcPr>
            <w:tcW w:w="935" w:type="dxa"/>
            <w:shd w:val="clear" w:color="auto" w:fill="auto"/>
            <w:vAlign w:val="center"/>
            <w:hideMark/>
          </w:tcPr>
          <w:p w:rsidR="00F07E05" w:rsidRPr="00D96E4C" w:rsidRDefault="00F07E05" w:rsidP="008A253E">
            <w:pPr>
              <w:jc w:val="center"/>
              <w:rPr>
                <w:b/>
                <w:bCs/>
                <w:sz w:val="20"/>
                <w:szCs w:val="20"/>
              </w:rPr>
            </w:pPr>
            <w:r w:rsidRPr="00D96E4C">
              <w:rPr>
                <w:b/>
                <w:bCs/>
                <w:sz w:val="20"/>
                <w:szCs w:val="20"/>
              </w:rPr>
              <w:t>прогноз</w:t>
            </w:r>
          </w:p>
        </w:tc>
        <w:tc>
          <w:tcPr>
            <w:tcW w:w="1007" w:type="dxa"/>
            <w:shd w:val="clear" w:color="auto" w:fill="auto"/>
            <w:vAlign w:val="center"/>
            <w:hideMark/>
          </w:tcPr>
          <w:p w:rsidR="00F07E05" w:rsidRPr="00D96E4C" w:rsidRDefault="00F07E05" w:rsidP="008A253E">
            <w:pPr>
              <w:jc w:val="center"/>
              <w:rPr>
                <w:b/>
                <w:bCs/>
                <w:sz w:val="20"/>
                <w:szCs w:val="20"/>
              </w:rPr>
            </w:pPr>
            <w:r w:rsidRPr="00D96E4C">
              <w:rPr>
                <w:b/>
                <w:bCs/>
                <w:sz w:val="20"/>
                <w:szCs w:val="20"/>
              </w:rPr>
              <w:t>прогноз</w:t>
            </w:r>
          </w:p>
        </w:tc>
        <w:tc>
          <w:tcPr>
            <w:tcW w:w="1007" w:type="dxa"/>
            <w:shd w:val="clear" w:color="auto" w:fill="auto"/>
            <w:vAlign w:val="center"/>
            <w:hideMark/>
          </w:tcPr>
          <w:p w:rsidR="00F07E05" w:rsidRPr="00D96E4C" w:rsidRDefault="00F07E05" w:rsidP="008A253E">
            <w:pPr>
              <w:jc w:val="center"/>
              <w:rPr>
                <w:b/>
                <w:bCs/>
                <w:sz w:val="20"/>
                <w:szCs w:val="20"/>
              </w:rPr>
            </w:pPr>
            <w:r w:rsidRPr="00D96E4C">
              <w:rPr>
                <w:b/>
                <w:bCs/>
                <w:sz w:val="20"/>
                <w:szCs w:val="20"/>
              </w:rPr>
              <w:t>прогноз</w:t>
            </w:r>
          </w:p>
        </w:tc>
        <w:tc>
          <w:tcPr>
            <w:tcW w:w="929" w:type="dxa"/>
            <w:shd w:val="clear" w:color="auto" w:fill="auto"/>
            <w:vAlign w:val="center"/>
            <w:hideMark/>
          </w:tcPr>
          <w:p w:rsidR="00F07E05" w:rsidRPr="00D96E4C" w:rsidRDefault="00F07E05" w:rsidP="008A253E">
            <w:pPr>
              <w:jc w:val="center"/>
              <w:rPr>
                <w:b/>
                <w:bCs/>
                <w:sz w:val="20"/>
                <w:szCs w:val="20"/>
              </w:rPr>
            </w:pPr>
            <w:r w:rsidRPr="00D96E4C">
              <w:rPr>
                <w:b/>
                <w:bCs/>
                <w:sz w:val="20"/>
                <w:szCs w:val="20"/>
              </w:rPr>
              <w:t>прогноз</w:t>
            </w:r>
          </w:p>
        </w:tc>
        <w:tc>
          <w:tcPr>
            <w:tcW w:w="1049" w:type="dxa"/>
            <w:shd w:val="clear" w:color="auto" w:fill="auto"/>
            <w:vAlign w:val="center"/>
            <w:hideMark/>
          </w:tcPr>
          <w:p w:rsidR="00F07E05" w:rsidRPr="00D96E4C" w:rsidRDefault="00F07E05" w:rsidP="008A253E">
            <w:pPr>
              <w:jc w:val="center"/>
              <w:rPr>
                <w:b/>
                <w:bCs/>
                <w:sz w:val="20"/>
                <w:szCs w:val="20"/>
              </w:rPr>
            </w:pPr>
            <w:r w:rsidRPr="00D96E4C">
              <w:rPr>
                <w:b/>
                <w:bCs/>
                <w:sz w:val="20"/>
                <w:szCs w:val="20"/>
              </w:rPr>
              <w:t>прогноз</w:t>
            </w:r>
          </w:p>
        </w:tc>
        <w:tc>
          <w:tcPr>
            <w:tcW w:w="1130" w:type="dxa"/>
            <w:shd w:val="clear" w:color="auto" w:fill="auto"/>
            <w:vAlign w:val="center"/>
            <w:hideMark/>
          </w:tcPr>
          <w:p w:rsidR="00F07E05" w:rsidRPr="00D96E4C" w:rsidRDefault="00F07E05" w:rsidP="008A253E">
            <w:pPr>
              <w:jc w:val="center"/>
              <w:rPr>
                <w:b/>
                <w:bCs/>
                <w:sz w:val="20"/>
                <w:szCs w:val="20"/>
              </w:rPr>
            </w:pPr>
            <w:r w:rsidRPr="00D96E4C">
              <w:rPr>
                <w:b/>
                <w:bCs/>
                <w:sz w:val="20"/>
                <w:szCs w:val="20"/>
              </w:rPr>
              <w:t>прогноз</w:t>
            </w:r>
          </w:p>
        </w:tc>
        <w:tc>
          <w:tcPr>
            <w:tcW w:w="1073" w:type="dxa"/>
            <w:shd w:val="clear" w:color="auto" w:fill="auto"/>
            <w:vAlign w:val="center"/>
            <w:hideMark/>
          </w:tcPr>
          <w:p w:rsidR="00F07E05" w:rsidRPr="00D96E4C" w:rsidRDefault="00F07E05" w:rsidP="008A253E">
            <w:pPr>
              <w:jc w:val="center"/>
              <w:rPr>
                <w:b/>
                <w:bCs/>
                <w:sz w:val="20"/>
                <w:szCs w:val="20"/>
              </w:rPr>
            </w:pPr>
            <w:r w:rsidRPr="00D96E4C">
              <w:rPr>
                <w:b/>
                <w:bCs/>
                <w:sz w:val="20"/>
                <w:szCs w:val="20"/>
              </w:rPr>
              <w:t>прогноз</w:t>
            </w:r>
          </w:p>
        </w:tc>
      </w:tr>
      <w:tr w:rsidR="00F07E05" w:rsidTr="008A253E">
        <w:trPr>
          <w:gridAfter w:val="1"/>
          <w:wAfter w:w="13" w:type="dxa"/>
          <w:trHeight w:val="345"/>
        </w:trPr>
        <w:tc>
          <w:tcPr>
            <w:tcW w:w="1848" w:type="dxa"/>
            <w:vMerge/>
            <w:shd w:val="clear" w:color="auto" w:fill="auto"/>
            <w:vAlign w:val="center"/>
            <w:hideMark/>
          </w:tcPr>
          <w:p w:rsidR="00F07E05" w:rsidRPr="00D96E4C" w:rsidRDefault="00F07E05" w:rsidP="008A253E">
            <w:pPr>
              <w:rPr>
                <w:b/>
                <w:bCs/>
                <w:sz w:val="20"/>
                <w:szCs w:val="20"/>
              </w:rPr>
            </w:pPr>
          </w:p>
        </w:tc>
        <w:tc>
          <w:tcPr>
            <w:tcW w:w="1007" w:type="dxa"/>
            <w:shd w:val="clear" w:color="auto" w:fill="auto"/>
            <w:vAlign w:val="bottom"/>
            <w:hideMark/>
          </w:tcPr>
          <w:p w:rsidR="00F07E05" w:rsidRPr="00D96E4C" w:rsidRDefault="00F07E05" w:rsidP="008A253E">
            <w:pPr>
              <w:jc w:val="center"/>
              <w:rPr>
                <w:b/>
                <w:bCs/>
                <w:sz w:val="20"/>
                <w:szCs w:val="20"/>
              </w:rPr>
            </w:pPr>
            <w:r w:rsidRPr="00D96E4C">
              <w:rPr>
                <w:b/>
                <w:bCs/>
                <w:sz w:val="20"/>
                <w:szCs w:val="20"/>
              </w:rPr>
              <w:t>2022</w:t>
            </w:r>
          </w:p>
        </w:tc>
        <w:tc>
          <w:tcPr>
            <w:tcW w:w="1007" w:type="dxa"/>
            <w:shd w:val="clear" w:color="auto" w:fill="auto"/>
            <w:vAlign w:val="bottom"/>
            <w:hideMark/>
          </w:tcPr>
          <w:p w:rsidR="00F07E05" w:rsidRPr="00D96E4C" w:rsidRDefault="00F07E05" w:rsidP="008A253E">
            <w:pPr>
              <w:jc w:val="center"/>
              <w:rPr>
                <w:b/>
                <w:bCs/>
                <w:sz w:val="20"/>
                <w:szCs w:val="20"/>
              </w:rPr>
            </w:pPr>
            <w:r w:rsidRPr="00D96E4C">
              <w:rPr>
                <w:b/>
                <w:bCs/>
                <w:sz w:val="20"/>
                <w:szCs w:val="20"/>
              </w:rPr>
              <w:t>2023</w:t>
            </w:r>
          </w:p>
        </w:tc>
        <w:tc>
          <w:tcPr>
            <w:tcW w:w="935" w:type="dxa"/>
            <w:shd w:val="clear" w:color="auto" w:fill="auto"/>
            <w:vAlign w:val="bottom"/>
            <w:hideMark/>
          </w:tcPr>
          <w:p w:rsidR="00F07E05" w:rsidRPr="00D96E4C" w:rsidRDefault="00F07E05" w:rsidP="008A253E">
            <w:pPr>
              <w:jc w:val="center"/>
              <w:rPr>
                <w:b/>
                <w:bCs/>
                <w:sz w:val="20"/>
                <w:szCs w:val="20"/>
              </w:rPr>
            </w:pPr>
            <w:r w:rsidRPr="00D96E4C">
              <w:rPr>
                <w:b/>
                <w:bCs/>
                <w:sz w:val="20"/>
                <w:szCs w:val="20"/>
              </w:rPr>
              <w:t>2024</w:t>
            </w:r>
          </w:p>
        </w:tc>
        <w:tc>
          <w:tcPr>
            <w:tcW w:w="1007" w:type="dxa"/>
            <w:shd w:val="clear" w:color="auto" w:fill="auto"/>
            <w:vAlign w:val="bottom"/>
            <w:hideMark/>
          </w:tcPr>
          <w:p w:rsidR="00F07E05" w:rsidRPr="00D96E4C" w:rsidRDefault="00F07E05" w:rsidP="008A253E">
            <w:pPr>
              <w:jc w:val="center"/>
              <w:rPr>
                <w:b/>
                <w:bCs/>
                <w:sz w:val="20"/>
                <w:szCs w:val="20"/>
              </w:rPr>
            </w:pPr>
            <w:r w:rsidRPr="00D96E4C">
              <w:rPr>
                <w:b/>
                <w:bCs/>
                <w:sz w:val="20"/>
                <w:szCs w:val="20"/>
              </w:rPr>
              <w:t>2022</w:t>
            </w:r>
          </w:p>
        </w:tc>
        <w:tc>
          <w:tcPr>
            <w:tcW w:w="1007" w:type="dxa"/>
            <w:shd w:val="clear" w:color="auto" w:fill="auto"/>
            <w:vAlign w:val="bottom"/>
            <w:hideMark/>
          </w:tcPr>
          <w:p w:rsidR="00F07E05" w:rsidRPr="00D96E4C" w:rsidRDefault="00F07E05" w:rsidP="008A253E">
            <w:pPr>
              <w:jc w:val="center"/>
              <w:rPr>
                <w:b/>
                <w:bCs/>
                <w:sz w:val="20"/>
                <w:szCs w:val="20"/>
              </w:rPr>
            </w:pPr>
            <w:r w:rsidRPr="00D96E4C">
              <w:rPr>
                <w:b/>
                <w:bCs/>
                <w:sz w:val="20"/>
                <w:szCs w:val="20"/>
              </w:rPr>
              <w:t>2023</w:t>
            </w:r>
          </w:p>
        </w:tc>
        <w:tc>
          <w:tcPr>
            <w:tcW w:w="929" w:type="dxa"/>
            <w:shd w:val="clear" w:color="auto" w:fill="auto"/>
            <w:vAlign w:val="bottom"/>
            <w:hideMark/>
          </w:tcPr>
          <w:p w:rsidR="00F07E05" w:rsidRPr="00D96E4C" w:rsidRDefault="00F07E05" w:rsidP="008A253E">
            <w:pPr>
              <w:jc w:val="center"/>
              <w:rPr>
                <w:b/>
                <w:bCs/>
                <w:sz w:val="20"/>
                <w:szCs w:val="20"/>
              </w:rPr>
            </w:pPr>
            <w:r w:rsidRPr="00D96E4C">
              <w:rPr>
                <w:b/>
                <w:bCs/>
                <w:sz w:val="20"/>
                <w:szCs w:val="20"/>
              </w:rPr>
              <w:t>2024</w:t>
            </w:r>
          </w:p>
        </w:tc>
        <w:tc>
          <w:tcPr>
            <w:tcW w:w="1049" w:type="dxa"/>
            <w:shd w:val="clear" w:color="auto" w:fill="auto"/>
            <w:vAlign w:val="bottom"/>
            <w:hideMark/>
          </w:tcPr>
          <w:p w:rsidR="00F07E05" w:rsidRPr="00D96E4C" w:rsidRDefault="00F07E05" w:rsidP="008A253E">
            <w:pPr>
              <w:jc w:val="center"/>
              <w:rPr>
                <w:b/>
                <w:bCs/>
                <w:sz w:val="20"/>
                <w:szCs w:val="20"/>
              </w:rPr>
            </w:pPr>
            <w:r w:rsidRPr="00D96E4C">
              <w:rPr>
                <w:b/>
                <w:bCs/>
                <w:sz w:val="20"/>
                <w:szCs w:val="20"/>
              </w:rPr>
              <w:t>2022</w:t>
            </w:r>
          </w:p>
        </w:tc>
        <w:tc>
          <w:tcPr>
            <w:tcW w:w="1130" w:type="dxa"/>
            <w:shd w:val="clear" w:color="auto" w:fill="auto"/>
            <w:vAlign w:val="bottom"/>
            <w:hideMark/>
          </w:tcPr>
          <w:p w:rsidR="00F07E05" w:rsidRPr="00D96E4C" w:rsidRDefault="00F07E05" w:rsidP="008A253E">
            <w:pPr>
              <w:jc w:val="center"/>
              <w:rPr>
                <w:b/>
                <w:bCs/>
                <w:sz w:val="20"/>
                <w:szCs w:val="20"/>
              </w:rPr>
            </w:pPr>
            <w:r w:rsidRPr="00D96E4C">
              <w:rPr>
                <w:b/>
                <w:bCs/>
                <w:sz w:val="20"/>
                <w:szCs w:val="20"/>
              </w:rPr>
              <w:t>2023</w:t>
            </w:r>
          </w:p>
        </w:tc>
        <w:tc>
          <w:tcPr>
            <w:tcW w:w="1073" w:type="dxa"/>
            <w:shd w:val="clear" w:color="auto" w:fill="auto"/>
            <w:vAlign w:val="bottom"/>
            <w:hideMark/>
          </w:tcPr>
          <w:p w:rsidR="00F07E05" w:rsidRPr="00D96E4C" w:rsidRDefault="00F07E05" w:rsidP="008A253E">
            <w:pPr>
              <w:jc w:val="center"/>
              <w:rPr>
                <w:b/>
                <w:bCs/>
                <w:sz w:val="20"/>
                <w:szCs w:val="20"/>
              </w:rPr>
            </w:pPr>
            <w:r w:rsidRPr="00D96E4C">
              <w:rPr>
                <w:b/>
                <w:bCs/>
                <w:sz w:val="20"/>
                <w:szCs w:val="20"/>
              </w:rPr>
              <w:t>2024</w:t>
            </w:r>
          </w:p>
        </w:tc>
      </w:tr>
      <w:tr w:rsidR="00F07E05" w:rsidTr="008A253E">
        <w:trPr>
          <w:gridAfter w:val="1"/>
          <w:wAfter w:w="13" w:type="dxa"/>
          <w:trHeight w:val="345"/>
        </w:trPr>
        <w:tc>
          <w:tcPr>
            <w:tcW w:w="1848" w:type="dxa"/>
            <w:shd w:val="clear" w:color="auto" w:fill="auto"/>
            <w:vAlign w:val="bottom"/>
            <w:hideMark/>
          </w:tcPr>
          <w:p w:rsidR="00F07E05" w:rsidRPr="00D96E4C" w:rsidRDefault="00F07E05" w:rsidP="008A253E">
            <w:pPr>
              <w:jc w:val="center"/>
              <w:rPr>
                <w:b/>
                <w:bCs/>
                <w:sz w:val="20"/>
                <w:szCs w:val="20"/>
              </w:rPr>
            </w:pPr>
            <w:r w:rsidRPr="00D96E4C">
              <w:rPr>
                <w:b/>
                <w:bCs/>
                <w:sz w:val="20"/>
                <w:szCs w:val="20"/>
              </w:rPr>
              <w:t>3</w:t>
            </w:r>
          </w:p>
        </w:tc>
        <w:tc>
          <w:tcPr>
            <w:tcW w:w="1007" w:type="dxa"/>
            <w:shd w:val="clear" w:color="auto" w:fill="auto"/>
            <w:vAlign w:val="bottom"/>
            <w:hideMark/>
          </w:tcPr>
          <w:p w:rsidR="00F07E05" w:rsidRPr="00D96E4C" w:rsidRDefault="00F07E05" w:rsidP="008A253E">
            <w:pPr>
              <w:jc w:val="center"/>
              <w:rPr>
                <w:b/>
                <w:bCs/>
                <w:sz w:val="20"/>
                <w:szCs w:val="20"/>
              </w:rPr>
            </w:pPr>
            <w:r w:rsidRPr="00D96E4C">
              <w:rPr>
                <w:b/>
                <w:bCs/>
                <w:sz w:val="20"/>
                <w:szCs w:val="20"/>
              </w:rPr>
              <w:t>8</w:t>
            </w:r>
          </w:p>
        </w:tc>
        <w:tc>
          <w:tcPr>
            <w:tcW w:w="1007" w:type="dxa"/>
            <w:shd w:val="clear" w:color="auto" w:fill="auto"/>
            <w:vAlign w:val="bottom"/>
            <w:hideMark/>
          </w:tcPr>
          <w:p w:rsidR="00F07E05" w:rsidRPr="00D96E4C" w:rsidRDefault="00F07E05" w:rsidP="008A253E">
            <w:pPr>
              <w:jc w:val="center"/>
              <w:rPr>
                <w:b/>
                <w:bCs/>
                <w:sz w:val="20"/>
                <w:szCs w:val="20"/>
              </w:rPr>
            </w:pPr>
            <w:r w:rsidRPr="00D96E4C">
              <w:rPr>
                <w:b/>
                <w:bCs/>
                <w:sz w:val="20"/>
                <w:szCs w:val="20"/>
              </w:rPr>
              <w:t>9</w:t>
            </w:r>
          </w:p>
        </w:tc>
        <w:tc>
          <w:tcPr>
            <w:tcW w:w="935" w:type="dxa"/>
            <w:shd w:val="clear" w:color="auto" w:fill="auto"/>
            <w:vAlign w:val="bottom"/>
            <w:hideMark/>
          </w:tcPr>
          <w:p w:rsidR="00F07E05" w:rsidRPr="00D96E4C" w:rsidRDefault="00F07E05" w:rsidP="008A253E">
            <w:pPr>
              <w:jc w:val="center"/>
              <w:rPr>
                <w:b/>
                <w:bCs/>
                <w:sz w:val="20"/>
                <w:szCs w:val="20"/>
              </w:rPr>
            </w:pPr>
            <w:r w:rsidRPr="00D96E4C">
              <w:rPr>
                <w:b/>
                <w:bCs/>
                <w:sz w:val="20"/>
                <w:szCs w:val="20"/>
              </w:rPr>
              <w:t>10</w:t>
            </w:r>
          </w:p>
        </w:tc>
        <w:tc>
          <w:tcPr>
            <w:tcW w:w="1007" w:type="dxa"/>
            <w:shd w:val="clear" w:color="auto" w:fill="auto"/>
            <w:vAlign w:val="bottom"/>
            <w:hideMark/>
          </w:tcPr>
          <w:p w:rsidR="00F07E05" w:rsidRPr="00D96E4C" w:rsidRDefault="00F07E05" w:rsidP="008A253E">
            <w:pPr>
              <w:jc w:val="center"/>
              <w:rPr>
                <w:b/>
                <w:bCs/>
                <w:sz w:val="20"/>
                <w:szCs w:val="20"/>
              </w:rPr>
            </w:pPr>
            <w:r w:rsidRPr="00D96E4C">
              <w:rPr>
                <w:b/>
                <w:bCs/>
                <w:sz w:val="20"/>
                <w:szCs w:val="20"/>
              </w:rPr>
              <w:t>15</w:t>
            </w:r>
          </w:p>
        </w:tc>
        <w:tc>
          <w:tcPr>
            <w:tcW w:w="1007" w:type="dxa"/>
            <w:shd w:val="clear" w:color="auto" w:fill="auto"/>
            <w:vAlign w:val="bottom"/>
            <w:hideMark/>
          </w:tcPr>
          <w:p w:rsidR="00F07E05" w:rsidRPr="00D96E4C" w:rsidRDefault="00F07E05" w:rsidP="008A253E">
            <w:pPr>
              <w:jc w:val="center"/>
              <w:rPr>
                <w:b/>
                <w:bCs/>
                <w:sz w:val="20"/>
                <w:szCs w:val="20"/>
              </w:rPr>
            </w:pPr>
            <w:r w:rsidRPr="00D96E4C">
              <w:rPr>
                <w:b/>
                <w:bCs/>
                <w:sz w:val="20"/>
                <w:szCs w:val="20"/>
              </w:rPr>
              <w:t>16</w:t>
            </w:r>
          </w:p>
        </w:tc>
        <w:tc>
          <w:tcPr>
            <w:tcW w:w="929" w:type="dxa"/>
            <w:shd w:val="clear" w:color="auto" w:fill="auto"/>
            <w:vAlign w:val="bottom"/>
            <w:hideMark/>
          </w:tcPr>
          <w:p w:rsidR="00F07E05" w:rsidRPr="00D96E4C" w:rsidRDefault="00F07E05" w:rsidP="008A253E">
            <w:pPr>
              <w:jc w:val="center"/>
              <w:rPr>
                <w:b/>
                <w:bCs/>
                <w:sz w:val="20"/>
                <w:szCs w:val="20"/>
              </w:rPr>
            </w:pPr>
            <w:r w:rsidRPr="00D96E4C">
              <w:rPr>
                <w:b/>
                <w:bCs/>
                <w:sz w:val="20"/>
                <w:szCs w:val="20"/>
              </w:rPr>
              <w:t>17</w:t>
            </w:r>
          </w:p>
        </w:tc>
        <w:tc>
          <w:tcPr>
            <w:tcW w:w="1049" w:type="dxa"/>
            <w:shd w:val="clear" w:color="auto" w:fill="auto"/>
            <w:vAlign w:val="bottom"/>
            <w:hideMark/>
          </w:tcPr>
          <w:p w:rsidR="00F07E05" w:rsidRPr="00D96E4C" w:rsidRDefault="00F07E05" w:rsidP="008A253E">
            <w:pPr>
              <w:jc w:val="center"/>
              <w:rPr>
                <w:b/>
                <w:bCs/>
                <w:sz w:val="20"/>
                <w:szCs w:val="20"/>
              </w:rPr>
            </w:pPr>
            <w:r w:rsidRPr="00D96E4C">
              <w:rPr>
                <w:b/>
                <w:bCs/>
                <w:sz w:val="20"/>
                <w:szCs w:val="20"/>
              </w:rPr>
              <w:t>22</w:t>
            </w:r>
          </w:p>
        </w:tc>
        <w:tc>
          <w:tcPr>
            <w:tcW w:w="1130" w:type="dxa"/>
            <w:shd w:val="clear" w:color="auto" w:fill="auto"/>
            <w:vAlign w:val="bottom"/>
            <w:hideMark/>
          </w:tcPr>
          <w:p w:rsidR="00F07E05" w:rsidRPr="00D96E4C" w:rsidRDefault="00F07E05" w:rsidP="008A253E">
            <w:pPr>
              <w:jc w:val="center"/>
              <w:rPr>
                <w:b/>
                <w:bCs/>
                <w:sz w:val="20"/>
                <w:szCs w:val="20"/>
              </w:rPr>
            </w:pPr>
            <w:r w:rsidRPr="00D96E4C">
              <w:rPr>
                <w:b/>
                <w:bCs/>
                <w:sz w:val="20"/>
                <w:szCs w:val="20"/>
              </w:rPr>
              <w:t>23</w:t>
            </w:r>
          </w:p>
        </w:tc>
        <w:tc>
          <w:tcPr>
            <w:tcW w:w="1073" w:type="dxa"/>
            <w:shd w:val="clear" w:color="auto" w:fill="auto"/>
            <w:vAlign w:val="bottom"/>
            <w:hideMark/>
          </w:tcPr>
          <w:p w:rsidR="00F07E05" w:rsidRPr="00D96E4C" w:rsidRDefault="00F07E05" w:rsidP="008A253E">
            <w:pPr>
              <w:jc w:val="center"/>
              <w:rPr>
                <w:b/>
                <w:bCs/>
                <w:sz w:val="20"/>
                <w:szCs w:val="20"/>
              </w:rPr>
            </w:pPr>
            <w:r w:rsidRPr="00D96E4C">
              <w:rPr>
                <w:b/>
                <w:bCs/>
                <w:sz w:val="20"/>
                <w:szCs w:val="20"/>
              </w:rPr>
              <w:t>24</w:t>
            </w:r>
          </w:p>
        </w:tc>
      </w:tr>
      <w:tr w:rsidR="00F07E05" w:rsidTr="008A253E">
        <w:trPr>
          <w:trHeight w:val="208"/>
        </w:trPr>
        <w:tc>
          <w:tcPr>
            <w:tcW w:w="11005" w:type="dxa"/>
            <w:gridSpan w:val="11"/>
            <w:shd w:val="clear" w:color="auto" w:fill="auto"/>
            <w:vAlign w:val="bottom"/>
            <w:hideMark/>
          </w:tcPr>
          <w:p w:rsidR="00F07E05" w:rsidRPr="00D96E4C" w:rsidRDefault="00F07E05" w:rsidP="008A253E">
            <w:pPr>
              <w:rPr>
                <w:b/>
              </w:rPr>
            </w:pPr>
            <w:r w:rsidRPr="00D96E4C">
              <w:rPr>
                <w:b/>
                <w:bCs/>
              </w:rPr>
              <w:t>Платные медицинские услуги :</w:t>
            </w:r>
            <w:r w:rsidRPr="00D96E4C">
              <w:rPr>
                <w:b/>
              </w:rPr>
              <w:t> </w:t>
            </w:r>
          </w:p>
        </w:tc>
      </w:tr>
      <w:tr w:rsidR="00F07E05" w:rsidTr="008A253E">
        <w:trPr>
          <w:gridAfter w:val="1"/>
          <w:wAfter w:w="13" w:type="dxa"/>
          <w:trHeight w:val="255"/>
        </w:trPr>
        <w:tc>
          <w:tcPr>
            <w:tcW w:w="1848" w:type="dxa"/>
            <w:shd w:val="clear" w:color="auto" w:fill="auto"/>
            <w:noWrap/>
            <w:vAlign w:val="bottom"/>
            <w:hideMark/>
          </w:tcPr>
          <w:p w:rsidR="00F07E05" w:rsidRPr="00D96E4C" w:rsidRDefault="00F07E05" w:rsidP="008A253E">
            <w:pPr>
              <w:rPr>
                <w:sz w:val="20"/>
                <w:szCs w:val="20"/>
              </w:rPr>
            </w:pPr>
            <w:r w:rsidRPr="00D96E4C">
              <w:rPr>
                <w:sz w:val="20"/>
                <w:szCs w:val="20"/>
              </w:rPr>
              <w:t>стационарная помощь-терапия</w:t>
            </w:r>
          </w:p>
        </w:tc>
        <w:tc>
          <w:tcPr>
            <w:tcW w:w="1007" w:type="dxa"/>
            <w:shd w:val="clear" w:color="auto" w:fill="auto"/>
            <w:noWrap/>
            <w:vAlign w:val="bottom"/>
            <w:hideMark/>
          </w:tcPr>
          <w:p w:rsidR="00F07E05" w:rsidRPr="00D96E4C" w:rsidRDefault="00F07E05" w:rsidP="008A253E">
            <w:pPr>
              <w:jc w:val="right"/>
              <w:rPr>
                <w:sz w:val="20"/>
                <w:szCs w:val="20"/>
              </w:rPr>
            </w:pPr>
            <w:r w:rsidRPr="00D96E4C">
              <w:rPr>
                <w:sz w:val="20"/>
                <w:szCs w:val="20"/>
              </w:rPr>
              <w:t>259</w:t>
            </w:r>
          </w:p>
        </w:tc>
        <w:tc>
          <w:tcPr>
            <w:tcW w:w="1007" w:type="dxa"/>
            <w:shd w:val="clear" w:color="auto" w:fill="auto"/>
            <w:noWrap/>
            <w:vAlign w:val="bottom"/>
            <w:hideMark/>
          </w:tcPr>
          <w:p w:rsidR="00F07E05" w:rsidRPr="00D96E4C" w:rsidRDefault="00F07E05" w:rsidP="008A253E">
            <w:pPr>
              <w:jc w:val="right"/>
              <w:rPr>
                <w:sz w:val="20"/>
                <w:szCs w:val="20"/>
              </w:rPr>
            </w:pPr>
            <w:r w:rsidRPr="00D96E4C">
              <w:rPr>
                <w:sz w:val="20"/>
                <w:szCs w:val="20"/>
              </w:rPr>
              <w:t>259</w:t>
            </w:r>
          </w:p>
        </w:tc>
        <w:tc>
          <w:tcPr>
            <w:tcW w:w="935" w:type="dxa"/>
            <w:shd w:val="clear" w:color="auto" w:fill="auto"/>
            <w:noWrap/>
            <w:vAlign w:val="bottom"/>
            <w:hideMark/>
          </w:tcPr>
          <w:p w:rsidR="00F07E05" w:rsidRPr="00D96E4C" w:rsidRDefault="00F07E05" w:rsidP="008A253E">
            <w:pPr>
              <w:jc w:val="right"/>
              <w:rPr>
                <w:sz w:val="20"/>
                <w:szCs w:val="20"/>
              </w:rPr>
            </w:pPr>
            <w:r w:rsidRPr="00D96E4C">
              <w:rPr>
                <w:sz w:val="20"/>
                <w:szCs w:val="20"/>
              </w:rPr>
              <w:t>259</w:t>
            </w:r>
          </w:p>
        </w:tc>
        <w:tc>
          <w:tcPr>
            <w:tcW w:w="1007" w:type="dxa"/>
            <w:shd w:val="clear" w:color="auto" w:fill="auto"/>
            <w:noWrap/>
            <w:vAlign w:val="bottom"/>
            <w:hideMark/>
          </w:tcPr>
          <w:p w:rsidR="00F07E05" w:rsidRPr="00D96E4C" w:rsidRDefault="00F07E05" w:rsidP="008A253E">
            <w:pPr>
              <w:jc w:val="right"/>
              <w:rPr>
                <w:sz w:val="20"/>
                <w:szCs w:val="20"/>
              </w:rPr>
            </w:pPr>
            <w:r w:rsidRPr="00D96E4C">
              <w:rPr>
                <w:sz w:val="20"/>
                <w:szCs w:val="20"/>
              </w:rPr>
              <w:t>0,454</w:t>
            </w:r>
          </w:p>
        </w:tc>
        <w:tc>
          <w:tcPr>
            <w:tcW w:w="1007" w:type="dxa"/>
            <w:shd w:val="clear" w:color="auto" w:fill="auto"/>
            <w:noWrap/>
            <w:vAlign w:val="bottom"/>
            <w:hideMark/>
          </w:tcPr>
          <w:p w:rsidR="00F07E05" w:rsidRPr="00D96E4C" w:rsidRDefault="00F07E05" w:rsidP="008A253E">
            <w:pPr>
              <w:jc w:val="right"/>
              <w:rPr>
                <w:sz w:val="20"/>
                <w:szCs w:val="20"/>
              </w:rPr>
            </w:pPr>
            <w:r w:rsidRPr="00D96E4C">
              <w:rPr>
                <w:sz w:val="20"/>
                <w:szCs w:val="20"/>
              </w:rPr>
              <w:t>0,472</w:t>
            </w:r>
          </w:p>
        </w:tc>
        <w:tc>
          <w:tcPr>
            <w:tcW w:w="929" w:type="dxa"/>
            <w:shd w:val="clear" w:color="auto" w:fill="auto"/>
            <w:noWrap/>
            <w:vAlign w:val="bottom"/>
            <w:hideMark/>
          </w:tcPr>
          <w:p w:rsidR="00F07E05" w:rsidRPr="00D96E4C" w:rsidRDefault="00F07E05" w:rsidP="008A253E">
            <w:pPr>
              <w:jc w:val="right"/>
              <w:rPr>
                <w:sz w:val="20"/>
                <w:szCs w:val="20"/>
              </w:rPr>
            </w:pPr>
            <w:r w:rsidRPr="00D96E4C">
              <w:rPr>
                <w:sz w:val="20"/>
                <w:szCs w:val="20"/>
              </w:rPr>
              <w:t>0,491</w:t>
            </w:r>
          </w:p>
        </w:tc>
        <w:tc>
          <w:tcPr>
            <w:tcW w:w="1049" w:type="dxa"/>
            <w:shd w:val="clear" w:color="auto" w:fill="auto"/>
            <w:noWrap/>
            <w:vAlign w:val="bottom"/>
            <w:hideMark/>
          </w:tcPr>
          <w:p w:rsidR="00F07E05" w:rsidRPr="00D96E4C" w:rsidRDefault="00F07E05" w:rsidP="008A253E">
            <w:pPr>
              <w:jc w:val="right"/>
              <w:rPr>
                <w:sz w:val="20"/>
                <w:szCs w:val="20"/>
              </w:rPr>
            </w:pPr>
            <w:r w:rsidRPr="00D96E4C">
              <w:rPr>
                <w:sz w:val="20"/>
                <w:szCs w:val="20"/>
              </w:rPr>
              <w:t>117,586</w:t>
            </w:r>
          </w:p>
        </w:tc>
        <w:tc>
          <w:tcPr>
            <w:tcW w:w="1130" w:type="dxa"/>
            <w:shd w:val="clear" w:color="auto" w:fill="auto"/>
            <w:noWrap/>
            <w:vAlign w:val="bottom"/>
            <w:hideMark/>
          </w:tcPr>
          <w:p w:rsidR="00F07E05" w:rsidRPr="00D96E4C" w:rsidRDefault="00F07E05" w:rsidP="008A253E">
            <w:pPr>
              <w:jc w:val="right"/>
              <w:rPr>
                <w:sz w:val="20"/>
                <w:szCs w:val="20"/>
              </w:rPr>
            </w:pPr>
            <w:r w:rsidRPr="00D96E4C">
              <w:rPr>
                <w:sz w:val="20"/>
                <w:szCs w:val="20"/>
              </w:rPr>
              <w:t>122,248</w:t>
            </w:r>
          </w:p>
        </w:tc>
        <w:tc>
          <w:tcPr>
            <w:tcW w:w="1073" w:type="dxa"/>
            <w:shd w:val="clear" w:color="auto" w:fill="auto"/>
            <w:noWrap/>
            <w:vAlign w:val="bottom"/>
            <w:hideMark/>
          </w:tcPr>
          <w:p w:rsidR="00F07E05" w:rsidRPr="00D96E4C" w:rsidRDefault="00F07E05" w:rsidP="008A253E">
            <w:pPr>
              <w:jc w:val="right"/>
              <w:rPr>
                <w:sz w:val="20"/>
                <w:szCs w:val="20"/>
              </w:rPr>
            </w:pPr>
            <w:r w:rsidRPr="00D96E4C">
              <w:rPr>
                <w:sz w:val="20"/>
                <w:szCs w:val="20"/>
              </w:rPr>
              <w:t>127,169</w:t>
            </w:r>
          </w:p>
        </w:tc>
      </w:tr>
      <w:tr w:rsidR="00F07E05" w:rsidTr="008A253E">
        <w:trPr>
          <w:gridAfter w:val="1"/>
          <w:wAfter w:w="13" w:type="dxa"/>
          <w:trHeight w:val="255"/>
        </w:trPr>
        <w:tc>
          <w:tcPr>
            <w:tcW w:w="1848" w:type="dxa"/>
            <w:shd w:val="clear" w:color="auto" w:fill="auto"/>
            <w:noWrap/>
            <w:vAlign w:val="bottom"/>
            <w:hideMark/>
          </w:tcPr>
          <w:p w:rsidR="00F07E05" w:rsidRPr="00D96E4C" w:rsidRDefault="00F07E05" w:rsidP="008A253E">
            <w:pPr>
              <w:rPr>
                <w:sz w:val="20"/>
                <w:szCs w:val="20"/>
              </w:rPr>
            </w:pPr>
            <w:r w:rsidRPr="00D96E4C">
              <w:rPr>
                <w:sz w:val="20"/>
                <w:szCs w:val="20"/>
              </w:rPr>
              <w:t>консультации специалистов</w:t>
            </w:r>
          </w:p>
        </w:tc>
        <w:tc>
          <w:tcPr>
            <w:tcW w:w="1007" w:type="dxa"/>
            <w:shd w:val="clear" w:color="auto" w:fill="auto"/>
            <w:noWrap/>
            <w:vAlign w:val="bottom"/>
            <w:hideMark/>
          </w:tcPr>
          <w:p w:rsidR="00F07E05" w:rsidRPr="00D96E4C" w:rsidRDefault="00F07E05" w:rsidP="008A253E">
            <w:pPr>
              <w:jc w:val="right"/>
              <w:rPr>
                <w:sz w:val="20"/>
                <w:szCs w:val="20"/>
              </w:rPr>
            </w:pPr>
            <w:r w:rsidRPr="00D96E4C">
              <w:rPr>
                <w:sz w:val="20"/>
                <w:szCs w:val="20"/>
              </w:rPr>
              <w:t>7 415</w:t>
            </w:r>
          </w:p>
        </w:tc>
        <w:tc>
          <w:tcPr>
            <w:tcW w:w="1007" w:type="dxa"/>
            <w:shd w:val="clear" w:color="auto" w:fill="auto"/>
            <w:noWrap/>
            <w:vAlign w:val="bottom"/>
            <w:hideMark/>
          </w:tcPr>
          <w:p w:rsidR="00F07E05" w:rsidRPr="00D96E4C" w:rsidRDefault="00F07E05" w:rsidP="008A253E">
            <w:pPr>
              <w:jc w:val="right"/>
              <w:rPr>
                <w:sz w:val="20"/>
                <w:szCs w:val="20"/>
              </w:rPr>
            </w:pPr>
            <w:r w:rsidRPr="00D96E4C">
              <w:rPr>
                <w:sz w:val="20"/>
                <w:szCs w:val="20"/>
              </w:rPr>
              <w:t>7 415</w:t>
            </w:r>
          </w:p>
        </w:tc>
        <w:tc>
          <w:tcPr>
            <w:tcW w:w="935" w:type="dxa"/>
            <w:shd w:val="clear" w:color="auto" w:fill="auto"/>
            <w:noWrap/>
            <w:vAlign w:val="bottom"/>
            <w:hideMark/>
          </w:tcPr>
          <w:p w:rsidR="00F07E05" w:rsidRPr="00D96E4C" w:rsidRDefault="00F07E05" w:rsidP="008A253E">
            <w:pPr>
              <w:jc w:val="right"/>
              <w:rPr>
                <w:sz w:val="20"/>
                <w:szCs w:val="20"/>
              </w:rPr>
            </w:pPr>
            <w:r w:rsidRPr="00D96E4C">
              <w:rPr>
                <w:sz w:val="20"/>
                <w:szCs w:val="20"/>
              </w:rPr>
              <w:t>7 415</w:t>
            </w:r>
          </w:p>
        </w:tc>
        <w:tc>
          <w:tcPr>
            <w:tcW w:w="1007" w:type="dxa"/>
            <w:shd w:val="clear" w:color="auto" w:fill="auto"/>
            <w:noWrap/>
            <w:vAlign w:val="bottom"/>
            <w:hideMark/>
          </w:tcPr>
          <w:p w:rsidR="00F07E05" w:rsidRPr="00D96E4C" w:rsidRDefault="00F07E05" w:rsidP="008A253E">
            <w:pPr>
              <w:jc w:val="right"/>
              <w:rPr>
                <w:sz w:val="20"/>
                <w:szCs w:val="20"/>
              </w:rPr>
            </w:pPr>
            <w:r w:rsidRPr="00D96E4C">
              <w:rPr>
                <w:sz w:val="20"/>
                <w:szCs w:val="20"/>
              </w:rPr>
              <w:t>0,217</w:t>
            </w:r>
          </w:p>
        </w:tc>
        <w:tc>
          <w:tcPr>
            <w:tcW w:w="1007" w:type="dxa"/>
            <w:shd w:val="clear" w:color="auto" w:fill="auto"/>
            <w:noWrap/>
            <w:vAlign w:val="bottom"/>
            <w:hideMark/>
          </w:tcPr>
          <w:p w:rsidR="00F07E05" w:rsidRPr="00D96E4C" w:rsidRDefault="00F07E05" w:rsidP="008A253E">
            <w:pPr>
              <w:jc w:val="right"/>
              <w:rPr>
                <w:sz w:val="20"/>
                <w:szCs w:val="20"/>
              </w:rPr>
            </w:pPr>
            <w:r w:rsidRPr="00D96E4C">
              <w:rPr>
                <w:sz w:val="20"/>
                <w:szCs w:val="20"/>
              </w:rPr>
              <w:t>0,226</w:t>
            </w:r>
          </w:p>
        </w:tc>
        <w:tc>
          <w:tcPr>
            <w:tcW w:w="929" w:type="dxa"/>
            <w:shd w:val="clear" w:color="auto" w:fill="auto"/>
            <w:noWrap/>
            <w:vAlign w:val="bottom"/>
            <w:hideMark/>
          </w:tcPr>
          <w:p w:rsidR="00F07E05" w:rsidRPr="00D96E4C" w:rsidRDefault="00F07E05" w:rsidP="008A253E">
            <w:pPr>
              <w:jc w:val="right"/>
              <w:rPr>
                <w:sz w:val="20"/>
                <w:szCs w:val="20"/>
              </w:rPr>
            </w:pPr>
            <w:r w:rsidRPr="00D96E4C">
              <w:rPr>
                <w:sz w:val="20"/>
                <w:szCs w:val="20"/>
              </w:rPr>
              <w:t>0,235</w:t>
            </w:r>
          </w:p>
        </w:tc>
        <w:tc>
          <w:tcPr>
            <w:tcW w:w="1049" w:type="dxa"/>
            <w:shd w:val="clear" w:color="auto" w:fill="auto"/>
            <w:noWrap/>
            <w:vAlign w:val="bottom"/>
            <w:hideMark/>
          </w:tcPr>
          <w:p w:rsidR="00F07E05" w:rsidRPr="00D96E4C" w:rsidRDefault="00F07E05" w:rsidP="008A253E">
            <w:pPr>
              <w:jc w:val="right"/>
              <w:rPr>
                <w:sz w:val="20"/>
                <w:szCs w:val="20"/>
              </w:rPr>
            </w:pPr>
            <w:r w:rsidRPr="00D96E4C">
              <w:rPr>
                <w:sz w:val="20"/>
                <w:szCs w:val="20"/>
              </w:rPr>
              <w:t>1 609,055</w:t>
            </w:r>
          </w:p>
        </w:tc>
        <w:tc>
          <w:tcPr>
            <w:tcW w:w="1130" w:type="dxa"/>
            <w:shd w:val="clear" w:color="auto" w:fill="auto"/>
            <w:noWrap/>
            <w:vAlign w:val="bottom"/>
            <w:hideMark/>
          </w:tcPr>
          <w:p w:rsidR="00F07E05" w:rsidRPr="00D96E4C" w:rsidRDefault="00F07E05" w:rsidP="008A253E">
            <w:pPr>
              <w:jc w:val="right"/>
              <w:rPr>
                <w:sz w:val="20"/>
                <w:szCs w:val="20"/>
              </w:rPr>
            </w:pPr>
            <w:r w:rsidRPr="00D96E4C">
              <w:rPr>
                <w:sz w:val="20"/>
                <w:szCs w:val="20"/>
              </w:rPr>
              <w:t>1 675,790</w:t>
            </w:r>
          </w:p>
        </w:tc>
        <w:tc>
          <w:tcPr>
            <w:tcW w:w="1073" w:type="dxa"/>
            <w:shd w:val="clear" w:color="auto" w:fill="auto"/>
            <w:noWrap/>
            <w:vAlign w:val="bottom"/>
            <w:hideMark/>
          </w:tcPr>
          <w:p w:rsidR="00F07E05" w:rsidRPr="00D96E4C" w:rsidRDefault="00F07E05" w:rsidP="008A253E">
            <w:pPr>
              <w:jc w:val="right"/>
              <w:rPr>
                <w:sz w:val="20"/>
                <w:szCs w:val="20"/>
              </w:rPr>
            </w:pPr>
            <w:r w:rsidRPr="00D96E4C">
              <w:rPr>
                <w:sz w:val="20"/>
                <w:szCs w:val="20"/>
              </w:rPr>
              <w:t>1 742,525</w:t>
            </w:r>
          </w:p>
        </w:tc>
      </w:tr>
      <w:tr w:rsidR="00F07E05" w:rsidTr="008A253E">
        <w:trPr>
          <w:gridAfter w:val="1"/>
          <w:wAfter w:w="13" w:type="dxa"/>
          <w:trHeight w:val="255"/>
        </w:trPr>
        <w:tc>
          <w:tcPr>
            <w:tcW w:w="1848" w:type="dxa"/>
            <w:shd w:val="clear" w:color="auto" w:fill="auto"/>
            <w:noWrap/>
            <w:vAlign w:val="bottom"/>
            <w:hideMark/>
          </w:tcPr>
          <w:p w:rsidR="00F07E05" w:rsidRPr="00D96E4C" w:rsidRDefault="00F07E05" w:rsidP="008A253E">
            <w:pPr>
              <w:rPr>
                <w:sz w:val="20"/>
                <w:szCs w:val="20"/>
              </w:rPr>
            </w:pPr>
            <w:r w:rsidRPr="00D96E4C">
              <w:rPr>
                <w:sz w:val="20"/>
                <w:szCs w:val="20"/>
              </w:rPr>
              <w:t xml:space="preserve">лабораторные исследования </w:t>
            </w:r>
          </w:p>
        </w:tc>
        <w:tc>
          <w:tcPr>
            <w:tcW w:w="1007" w:type="dxa"/>
            <w:shd w:val="clear" w:color="auto" w:fill="auto"/>
            <w:noWrap/>
            <w:vAlign w:val="bottom"/>
            <w:hideMark/>
          </w:tcPr>
          <w:p w:rsidR="00F07E05" w:rsidRPr="00D96E4C" w:rsidRDefault="00F07E05" w:rsidP="008A253E">
            <w:pPr>
              <w:jc w:val="right"/>
              <w:rPr>
                <w:sz w:val="20"/>
                <w:szCs w:val="20"/>
              </w:rPr>
            </w:pPr>
            <w:r w:rsidRPr="00D96E4C">
              <w:rPr>
                <w:sz w:val="20"/>
                <w:szCs w:val="20"/>
              </w:rPr>
              <w:t>20</w:t>
            </w:r>
          </w:p>
        </w:tc>
        <w:tc>
          <w:tcPr>
            <w:tcW w:w="1007" w:type="dxa"/>
            <w:shd w:val="clear" w:color="auto" w:fill="auto"/>
            <w:noWrap/>
            <w:vAlign w:val="bottom"/>
            <w:hideMark/>
          </w:tcPr>
          <w:p w:rsidR="00F07E05" w:rsidRPr="00D96E4C" w:rsidRDefault="00F07E05" w:rsidP="008A253E">
            <w:pPr>
              <w:jc w:val="right"/>
              <w:rPr>
                <w:sz w:val="20"/>
                <w:szCs w:val="20"/>
              </w:rPr>
            </w:pPr>
            <w:r w:rsidRPr="00D96E4C">
              <w:rPr>
                <w:sz w:val="20"/>
                <w:szCs w:val="20"/>
              </w:rPr>
              <w:t>20</w:t>
            </w:r>
          </w:p>
        </w:tc>
        <w:tc>
          <w:tcPr>
            <w:tcW w:w="935" w:type="dxa"/>
            <w:shd w:val="clear" w:color="auto" w:fill="auto"/>
            <w:noWrap/>
            <w:vAlign w:val="bottom"/>
            <w:hideMark/>
          </w:tcPr>
          <w:p w:rsidR="00F07E05" w:rsidRPr="00D96E4C" w:rsidRDefault="00F07E05" w:rsidP="008A253E">
            <w:pPr>
              <w:jc w:val="right"/>
              <w:rPr>
                <w:sz w:val="20"/>
                <w:szCs w:val="20"/>
              </w:rPr>
            </w:pPr>
            <w:r w:rsidRPr="00D96E4C">
              <w:rPr>
                <w:sz w:val="20"/>
                <w:szCs w:val="20"/>
              </w:rPr>
              <w:t>20</w:t>
            </w:r>
          </w:p>
        </w:tc>
        <w:tc>
          <w:tcPr>
            <w:tcW w:w="1007" w:type="dxa"/>
            <w:shd w:val="clear" w:color="auto" w:fill="auto"/>
            <w:noWrap/>
            <w:vAlign w:val="bottom"/>
            <w:hideMark/>
          </w:tcPr>
          <w:p w:rsidR="00F07E05" w:rsidRPr="00D96E4C" w:rsidRDefault="00F07E05" w:rsidP="008A253E">
            <w:pPr>
              <w:jc w:val="right"/>
              <w:rPr>
                <w:sz w:val="20"/>
                <w:szCs w:val="20"/>
              </w:rPr>
            </w:pPr>
            <w:r w:rsidRPr="00D96E4C">
              <w:rPr>
                <w:sz w:val="20"/>
                <w:szCs w:val="20"/>
              </w:rPr>
              <w:t>0,318</w:t>
            </w:r>
          </w:p>
        </w:tc>
        <w:tc>
          <w:tcPr>
            <w:tcW w:w="1007" w:type="dxa"/>
            <w:shd w:val="clear" w:color="auto" w:fill="auto"/>
            <w:noWrap/>
            <w:vAlign w:val="bottom"/>
            <w:hideMark/>
          </w:tcPr>
          <w:p w:rsidR="00F07E05" w:rsidRPr="00D96E4C" w:rsidRDefault="00F07E05" w:rsidP="008A253E">
            <w:pPr>
              <w:jc w:val="right"/>
              <w:rPr>
                <w:sz w:val="20"/>
                <w:szCs w:val="20"/>
              </w:rPr>
            </w:pPr>
            <w:r w:rsidRPr="00D96E4C">
              <w:rPr>
                <w:sz w:val="20"/>
                <w:szCs w:val="20"/>
              </w:rPr>
              <w:t>0,331</w:t>
            </w:r>
          </w:p>
        </w:tc>
        <w:tc>
          <w:tcPr>
            <w:tcW w:w="929" w:type="dxa"/>
            <w:shd w:val="clear" w:color="auto" w:fill="auto"/>
            <w:noWrap/>
            <w:vAlign w:val="bottom"/>
            <w:hideMark/>
          </w:tcPr>
          <w:p w:rsidR="00F07E05" w:rsidRPr="00D96E4C" w:rsidRDefault="00F07E05" w:rsidP="008A253E">
            <w:pPr>
              <w:jc w:val="right"/>
              <w:rPr>
                <w:sz w:val="20"/>
                <w:szCs w:val="20"/>
              </w:rPr>
            </w:pPr>
            <w:r w:rsidRPr="00D96E4C">
              <w:rPr>
                <w:sz w:val="20"/>
                <w:szCs w:val="20"/>
              </w:rPr>
              <w:t>0,344</w:t>
            </w:r>
          </w:p>
        </w:tc>
        <w:tc>
          <w:tcPr>
            <w:tcW w:w="1049" w:type="dxa"/>
            <w:shd w:val="clear" w:color="auto" w:fill="auto"/>
            <w:noWrap/>
            <w:vAlign w:val="bottom"/>
            <w:hideMark/>
          </w:tcPr>
          <w:p w:rsidR="00F07E05" w:rsidRPr="00D96E4C" w:rsidRDefault="00F07E05" w:rsidP="008A253E">
            <w:pPr>
              <w:jc w:val="right"/>
              <w:rPr>
                <w:sz w:val="20"/>
                <w:szCs w:val="20"/>
              </w:rPr>
            </w:pPr>
            <w:r w:rsidRPr="00D96E4C">
              <w:rPr>
                <w:sz w:val="20"/>
                <w:szCs w:val="20"/>
              </w:rPr>
              <w:t>6,360</w:t>
            </w:r>
          </w:p>
        </w:tc>
        <w:tc>
          <w:tcPr>
            <w:tcW w:w="1130" w:type="dxa"/>
            <w:shd w:val="clear" w:color="auto" w:fill="auto"/>
            <w:noWrap/>
            <w:vAlign w:val="bottom"/>
            <w:hideMark/>
          </w:tcPr>
          <w:p w:rsidR="00F07E05" w:rsidRPr="00D96E4C" w:rsidRDefault="00F07E05" w:rsidP="008A253E">
            <w:pPr>
              <w:jc w:val="right"/>
              <w:rPr>
                <w:sz w:val="20"/>
                <w:szCs w:val="20"/>
              </w:rPr>
            </w:pPr>
            <w:r w:rsidRPr="00D96E4C">
              <w:rPr>
                <w:sz w:val="20"/>
                <w:szCs w:val="20"/>
              </w:rPr>
              <w:t>6,620</w:t>
            </w:r>
          </w:p>
        </w:tc>
        <w:tc>
          <w:tcPr>
            <w:tcW w:w="1073" w:type="dxa"/>
            <w:shd w:val="clear" w:color="auto" w:fill="auto"/>
            <w:noWrap/>
            <w:vAlign w:val="bottom"/>
            <w:hideMark/>
          </w:tcPr>
          <w:p w:rsidR="00F07E05" w:rsidRPr="00D96E4C" w:rsidRDefault="00F07E05" w:rsidP="008A253E">
            <w:pPr>
              <w:jc w:val="right"/>
              <w:rPr>
                <w:sz w:val="20"/>
                <w:szCs w:val="20"/>
              </w:rPr>
            </w:pPr>
            <w:r w:rsidRPr="00D96E4C">
              <w:rPr>
                <w:sz w:val="20"/>
                <w:szCs w:val="20"/>
              </w:rPr>
              <w:t>6,880</w:t>
            </w:r>
          </w:p>
        </w:tc>
      </w:tr>
      <w:tr w:rsidR="00F07E05" w:rsidTr="008A253E">
        <w:trPr>
          <w:gridAfter w:val="1"/>
          <w:wAfter w:w="13" w:type="dxa"/>
          <w:trHeight w:val="255"/>
        </w:trPr>
        <w:tc>
          <w:tcPr>
            <w:tcW w:w="1848" w:type="dxa"/>
            <w:shd w:val="clear" w:color="auto" w:fill="auto"/>
            <w:noWrap/>
            <w:vAlign w:val="bottom"/>
            <w:hideMark/>
          </w:tcPr>
          <w:p w:rsidR="00F07E05" w:rsidRPr="00D96E4C" w:rsidRDefault="00F07E05" w:rsidP="008A253E">
            <w:pPr>
              <w:rPr>
                <w:sz w:val="20"/>
                <w:szCs w:val="20"/>
              </w:rPr>
            </w:pPr>
            <w:r w:rsidRPr="00D96E4C">
              <w:rPr>
                <w:sz w:val="20"/>
                <w:szCs w:val="20"/>
              </w:rPr>
              <w:t>проведение медосмотров</w:t>
            </w:r>
          </w:p>
        </w:tc>
        <w:tc>
          <w:tcPr>
            <w:tcW w:w="1007" w:type="dxa"/>
            <w:shd w:val="clear" w:color="auto" w:fill="auto"/>
            <w:noWrap/>
            <w:vAlign w:val="bottom"/>
            <w:hideMark/>
          </w:tcPr>
          <w:p w:rsidR="00F07E05" w:rsidRPr="00D96E4C" w:rsidRDefault="00F07E05" w:rsidP="008A253E">
            <w:pPr>
              <w:jc w:val="right"/>
              <w:rPr>
                <w:sz w:val="20"/>
                <w:szCs w:val="20"/>
              </w:rPr>
            </w:pPr>
            <w:r w:rsidRPr="00D96E4C">
              <w:rPr>
                <w:sz w:val="20"/>
                <w:szCs w:val="20"/>
              </w:rPr>
              <w:t>19 057</w:t>
            </w:r>
          </w:p>
        </w:tc>
        <w:tc>
          <w:tcPr>
            <w:tcW w:w="1007" w:type="dxa"/>
            <w:shd w:val="clear" w:color="auto" w:fill="auto"/>
            <w:noWrap/>
            <w:vAlign w:val="bottom"/>
            <w:hideMark/>
          </w:tcPr>
          <w:p w:rsidR="00F07E05" w:rsidRPr="00D96E4C" w:rsidRDefault="00F07E05" w:rsidP="008A253E">
            <w:pPr>
              <w:jc w:val="right"/>
              <w:rPr>
                <w:sz w:val="20"/>
                <w:szCs w:val="20"/>
              </w:rPr>
            </w:pPr>
            <w:r w:rsidRPr="00D96E4C">
              <w:rPr>
                <w:sz w:val="20"/>
                <w:szCs w:val="20"/>
              </w:rPr>
              <w:t>19 057</w:t>
            </w:r>
          </w:p>
        </w:tc>
        <w:tc>
          <w:tcPr>
            <w:tcW w:w="935" w:type="dxa"/>
            <w:shd w:val="clear" w:color="auto" w:fill="auto"/>
            <w:noWrap/>
            <w:vAlign w:val="bottom"/>
            <w:hideMark/>
          </w:tcPr>
          <w:p w:rsidR="00F07E05" w:rsidRPr="00D96E4C" w:rsidRDefault="00F07E05" w:rsidP="008A253E">
            <w:pPr>
              <w:jc w:val="right"/>
              <w:rPr>
                <w:sz w:val="20"/>
                <w:szCs w:val="20"/>
              </w:rPr>
            </w:pPr>
            <w:r w:rsidRPr="00D96E4C">
              <w:rPr>
                <w:sz w:val="20"/>
                <w:szCs w:val="20"/>
              </w:rPr>
              <w:t>19 057</w:t>
            </w:r>
          </w:p>
        </w:tc>
        <w:tc>
          <w:tcPr>
            <w:tcW w:w="1007" w:type="dxa"/>
            <w:shd w:val="clear" w:color="auto" w:fill="auto"/>
            <w:noWrap/>
            <w:vAlign w:val="bottom"/>
            <w:hideMark/>
          </w:tcPr>
          <w:p w:rsidR="00F07E05" w:rsidRPr="00D96E4C" w:rsidRDefault="00F07E05" w:rsidP="008A253E">
            <w:pPr>
              <w:jc w:val="right"/>
              <w:rPr>
                <w:sz w:val="20"/>
                <w:szCs w:val="20"/>
              </w:rPr>
            </w:pPr>
            <w:r w:rsidRPr="00D96E4C">
              <w:rPr>
                <w:sz w:val="20"/>
                <w:szCs w:val="20"/>
              </w:rPr>
              <w:t>0,223</w:t>
            </w:r>
          </w:p>
        </w:tc>
        <w:tc>
          <w:tcPr>
            <w:tcW w:w="1007" w:type="dxa"/>
            <w:shd w:val="clear" w:color="auto" w:fill="auto"/>
            <w:noWrap/>
            <w:vAlign w:val="bottom"/>
            <w:hideMark/>
          </w:tcPr>
          <w:p w:rsidR="00F07E05" w:rsidRPr="00D96E4C" w:rsidRDefault="00F07E05" w:rsidP="008A253E">
            <w:pPr>
              <w:jc w:val="right"/>
              <w:rPr>
                <w:sz w:val="20"/>
                <w:szCs w:val="20"/>
              </w:rPr>
            </w:pPr>
            <w:r w:rsidRPr="00D96E4C">
              <w:rPr>
                <w:sz w:val="20"/>
                <w:szCs w:val="20"/>
              </w:rPr>
              <w:t>0,232</w:t>
            </w:r>
          </w:p>
        </w:tc>
        <w:tc>
          <w:tcPr>
            <w:tcW w:w="929" w:type="dxa"/>
            <w:shd w:val="clear" w:color="auto" w:fill="auto"/>
            <w:noWrap/>
            <w:vAlign w:val="bottom"/>
            <w:hideMark/>
          </w:tcPr>
          <w:p w:rsidR="00F07E05" w:rsidRPr="00D96E4C" w:rsidRDefault="00F07E05" w:rsidP="008A253E">
            <w:pPr>
              <w:jc w:val="right"/>
              <w:rPr>
                <w:sz w:val="20"/>
                <w:szCs w:val="20"/>
              </w:rPr>
            </w:pPr>
            <w:r w:rsidRPr="00D96E4C">
              <w:rPr>
                <w:sz w:val="20"/>
                <w:szCs w:val="20"/>
              </w:rPr>
              <w:t>0,241</w:t>
            </w:r>
          </w:p>
        </w:tc>
        <w:tc>
          <w:tcPr>
            <w:tcW w:w="1049" w:type="dxa"/>
            <w:shd w:val="clear" w:color="auto" w:fill="auto"/>
            <w:noWrap/>
            <w:vAlign w:val="bottom"/>
            <w:hideMark/>
          </w:tcPr>
          <w:p w:rsidR="00F07E05" w:rsidRPr="00D96E4C" w:rsidRDefault="00F07E05" w:rsidP="008A253E">
            <w:pPr>
              <w:jc w:val="right"/>
              <w:rPr>
                <w:sz w:val="20"/>
                <w:szCs w:val="20"/>
              </w:rPr>
            </w:pPr>
            <w:r w:rsidRPr="00D96E4C">
              <w:rPr>
                <w:sz w:val="20"/>
                <w:szCs w:val="20"/>
              </w:rPr>
              <w:t>4 249,711</w:t>
            </w:r>
          </w:p>
        </w:tc>
        <w:tc>
          <w:tcPr>
            <w:tcW w:w="1130" w:type="dxa"/>
            <w:shd w:val="clear" w:color="auto" w:fill="auto"/>
            <w:noWrap/>
            <w:vAlign w:val="bottom"/>
            <w:hideMark/>
          </w:tcPr>
          <w:p w:rsidR="00F07E05" w:rsidRPr="00D96E4C" w:rsidRDefault="00F07E05" w:rsidP="008A253E">
            <w:pPr>
              <w:jc w:val="right"/>
              <w:rPr>
                <w:sz w:val="20"/>
                <w:szCs w:val="20"/>
              </w:rPr>
            </w:pPr>
            <w:r w:rsidRPr="00D96E4C">
              <w:rPr>
                <w:sz w:val="20"/>
                <w:szCs w:val="20"/>
              </w:rPr>
              <w:t>4 421,224</w:t>
            </w:r>
          </w:p>
        </w:tc>
        <w:tc>
          <w:tcPr>
            <w:tcW w:w="1073" w:type="dxa"/>
            <w:shd w:val="clear" w:color="auto" w:fill="auto"/>
            <w:noWrap/>
            <w:vAlign w:val="bottom"/>
            <w:hideMark/>
          </w:tcPr>
          <w:p w:rsidR="00F07E05" w:rsidRPr="00D96E4C" w:rsidRDefault="00F07E05" w:rsidP="008A253E">
            <w:pPr>
              <w:jc w:val="right"/>
              <w:rPr>
                <w:sz w:val="20"/>
                <w:szCs w:val="20"/>
              </w:rPr>
            </w:pPr>
            <w:r w:rsidRPr="00D96E4C">
              <w:rPr>
                <w:sz w:val="20"/>
                <w:szCs w:val="20"/>
              </w:rPr>
              <w:t>4 592,737</w:t>
            </w:r>
          </w:p>
        </w:tc>
      </w:tr>
      <w:tr w:rsidR="00F07E05" w:rsidTr="008A253E">
        <w:trPr>
          <w:gridAfter w:val="1"/>
          <w:wAfter w:w="13" w:type="dxa"/>
          <w:trHeight w:val="510"/>
        </w:trPr>
        <w:tc>
          <w:tcPr>
            <w:tcW w:w="1848" w:type="dxa"/>
            <w:shd w:val="clear" w:color="auto" w:fill="auto"/>
            <w:noWrap/>
            <w:vAlign w:val="bottom"/>
            <w:hideMark/>
          </w:tcPr>
          <w:p w:rsidR="00F07E05" w:rsidRPr="00D96E4C" w:rsidRDefault="00F07E05" w:rsidP="008A253E">
            <w:pPr>
              <w:rPr>
                <w:sz w:val="20"/>
                <w:szCs w:val="20"/>
              </w:rPr>
            </w:pPr>
            <w:r w:rsidRPr="00D96E4C">
              <w:rPr>
                <w:sz w:val="20"/>
                <w:szCs w:val="20"/>
              </w:rPr>
              <w:t> </w:t>
            </w:r>
            <w:r>
              <w:rPr>
                <w:sz w:val="20"/>
                <w:szCs w:val="20"/>
              </w:rPr>
              <w:t>ИТОГО:</w:t>
            </w:r>
          </w:p>
        </w:tc>
        <w:tc>
          <w:tcPr>
            <w:tcW w:w="1007" w:type="dxa"/>
            <w:shd w:val="clear" w:color="auto" w:fill="auto"/>
            <w:noWrap/>
            <w:vAlign w:val="bottom"/>
            <w:hideMark/>
          </w:tcPr>
          <w:p w:rsidR="00F07E05" w:rsidRPr="00D96E4C" w:rsidRDefault="00F07E05" w:rsidP="008A253E">
            <w:pPr>
              <w:jc w:val="right"/>
              <w:rPr>
                <w:sz w:val="20"/>
                <w:szCs w:val="20"/>
              </w:rPr>
            </w:pPr>
            <w:r w:rsidRPr="00D96E4C">
              <w:rPr>
                <w:sz w:val="20"/>
                <w:szCs w:val="20"/>
              </w:rPr>
              <w:t> </w:t>
            </w:r>
          </w:p>
        </w:tc>
        <w:tc>
          <w:tcPr>
            <w:tcW w:w="1007" w:type="dxa"/>
            <w:shd w:val="clear" w:color="auto" w:fill="auto"/>
            <w:noWrap/>
            <w:vAlign w:val="bottom"/>
            <w:hideMark/>
          </w:tcPr>
          <w:p w:rsidR="00F07E05" w:rsidRPr="00D96E4C" w:rsidRDefault="00F07E05" w:rsidP="008A253E">
            <w:pPr>
              <w:jc w:val="right"/>
              <w:rPr>
                <w:sz w:val="20"/>
                <w:szCs w:val="20"/>
              </w:rPr>
            </w:pPr>
            <w:r w:rsidRPr="00D96E4C">
              <w:rPr>
                <w:sz w:val="20"/>
                <w:szCs w:val="20"/>
              </w:rPr>
              <w:t> </w:t>
            </w:r>
          </w:p>
        </w:tc>
        <w:tc>
          <w:tcPr>
            <w:tcW w:w="935" w:type="dxa"/>
            <w:shd w:val="clear" w:color="auto" w:fill="auto"/>
            <w:noWrap/>
            <w:vAlign w:val="bottom"/>
            <w:hideMark/>
          </w:tcPr>
          <w:p w:rsidR="00F07E05" w:rsidRPr="00D96E4C" w:rsidRDefault="00F07E05" w:rsidP="008A253E">
            <w:pPr>
              <w:jc w:val="right"/>
              <w:rPr>
                <w:sz w:val="20"/>
                <w:szCs w:val="20"/>
              </w:rPr>
            </w:pPr>
            <w:r w:rsidRPr="00D96E4C">
              <w:rPr>
                <w:sz w:val="20"/>
                <w:szCs w:val="20"/>
              </w:rPr>
              <w:t> </w:t>
            </w:r>
          </w:p>
        </w:tc>
        <w:tc>
          <w:tcPr>
            <w:tcW w:w="1007" w:type="dxa"/>
            <w:shd w:val="clear" w:color="auto" w:fill="auto"/>
            <w:noWrap/>
            <w:vAlign w:val="bottom"/>
            <w:hideMark/>
          </w:tcPr>
          <w:p w:rsidR="00F07E05" w:rsidRPr="00D96E4C" w:rsidRDefault="00F07E05" w:rsidP="008A253E">
            <w:pPr>
              <w:rPr>
                <w:sz w:val="20"/>
                <w:szCs w:val="20"/>
              </w:rPr>
            </w:pPr>
            <w:r w:rsidRPr="00D96E4C">
              <w:rPr>
                <w:sz w:val="20"/>
                <w:szCs w:val="20"/>
              </w:rPr>
              <w:t> </w:t>
            </w:r>
          </w:p>
        </w:tc>
        <w:tc>
          <w:tcPr>
            <w:tcW w:w="1007" w:type="dxa"/>
            <w:shd w:val="clear" w:color="auto" w:fill="auto"/>
            <w:noWrap/>
            <w:vAlign w:val="bottom"/>
            <w:hideMark/>
          </w:tcPr>
          <w:p w:rsidR="00F07E05" w:rsidRPr="00D96E4C" w:rsidRDefault="00F07E05" w:rsidP="008A253E">
            <w:pPr>
              <w:rPr>
                <w:sz w:val="20"/>
                <w:szCs w:val="20"/>
              </w:rPr>
            </w:pPr>
            <w:r w:rsidRPr="00D96E4C">
              <w:rPr>
                <w:sz w:val="20"/>
                <w:szCs w:val="20"/>
              </w:rPr>
              <w:t> </w:t>
            </w:r>
          </w:p>
        </w:tc>
        <w:tc>
          <w:tcPr>
            <w:tcW w:w="929" w:type="dxa"/>
            <w:shd w:val="clear" w:color="auto" w:fill="auto"/>
            <w:noWrap/>
            <w:vAlign w:val="bottom"/>
            <w:hideMark/>
          </w:tcPr>
          <w:p w:rsidR="00F07E05" w:rsidRPr="00D96E4C" w:rsidRDefault="00F07E05" w:rsidP="008A253E">
            <w:pPr>
              <w:rPr>
                <w:sz w:val="20"/>
                <w:szCs w:val="20"/>
              </w:rPr>
            </w:pPr>
            <w:r w:rsidRPr="00D96E4C">
              <w:rPr>
                <w:sz w:val="20"/>
                <w:szCs w:val="20"/>
              </w:rPr>
              <w:t> </w:t>
            </w:r>
          </w:p>
        </w:tc>
        <w:tc>
          <w:tcPr>
            <w:tcW w:w="1049" w:type="dxa"/>
            <w:shd w:val="clear" w:color="auto" w:fill="auto"/>
            <w:noWrap/>
            <w:vAlign w:val="center"/>
            <w:hideMark/>
          </w:tcPr>
          <w:p w:rsidR="00F07E05" w:rsidRPr="00D96E4C" w:rsidRDefault="00F07E05" w:rsidP="008A253E">
            <w:pPr>
              <w:jc w:val="right"/>
              <w:rPr>
                <w:sz w:val="20"/>
                <w:szCs w:val="20"/>
              </w:rPr>
            </w:pPr>
            <w:r w:rsidRPr="00D96E4C">
              <w:rPr>
                <w:sz w:val="20"/>
                <w:szCs w:val="20"/>
              </w:rPr>
              <w:t>5 982,712</w:t>
            </w:r>
          </w:p>
        </w:tc>
        <w:tc>
          <w:tcPr>
            <w:tcW w:w="1130" w:type="dxa"/>
            <w:shd w:val="clear" w:color="auto" w:fill="auto"/>
            <w:noWrap/>
            <w:vAlign w:val="center"/>
            <w:hideMark/>
          </w:tcPr>
          <w:p w:rsidR="00F07E05" w:rsidRPr="00D96E4C" w:rsidRDefault="00F07E05" w:rsidP="008A253E">
            <w:pPr>
              <w:jc w:val="right"/>
              <w:rPr>
                <w:sz w:val="20"/>
                <w:szCs w:val="20"/>
              </w:rPr>
            </w:pPr>
            <w:r w:rsidRPr="00D96E4C">
              <w:rPr>
                <w:sz w:val="20"/>
                <w:szCs w:val="20"/>
              </w:rPr>
              <w:t>6 225,882</w:t>
            </w:r>
          </w:p>
        </w:tc>
        <w:tc>
          <w:tcPr>
            <w:tcW w:w="1073" w:type="dxa"/>
            <w:shd w:val="clear" w:color="auto" w:fill="auto"/>
            <w:noWrap/>
            <w:vAlign w:val="center"/>
            <w:hideMark/>
          </w:tcPr>
          <w:p w:rsidR="00F07E05" w:rsidRPr="00D96E4C" w:rsidRDefault="00F07E05" w:rsidP="008A253E">
            <w:pPr>
              <w:jc w:val="right"/>
              <w:rPr>
                <w:sz w:val="20"/>
                <w:szCs w:val="20"/>
              </w:rPr>
            </w:pPr>
            <w:r w:rsidRPr="00D96E4C">
              <w:rPr>
                <w:sz w:val="20"/>
                <w:szCs w:val="20"/>
              </w:rPr>
              <w:t>6 469,311</w:t>
            </w:r>
          </w:p>
        </w:tc>
      </w:tr>
      <w:tr w:rsidR="00F07E05" w:rsidTr="008A253E">
        <w:trPr>
          <w:gridAfter w:val="1"/>
          <w:wAfter w:w="13" w:type="dxa"/>
          <w:trHeight w:val="690"/>
        </w:trPr>
        <w:tc>
          <w:tcPr>
            <w:tcW w:w="1848" w:type="dxa"/>
            <w:shd w:val="clear" w:color="auto" w:fill="auto"/>
            <w:vAlign w:val="bottom"/>
            <w:hideMark/>
          </w:tcPr>
          <w:p w:rsidR="00F07E05" w:rsidRPr="00D96E4C" w:rsidRDefault="00F07E05" w:rsidP="008A253E">
            <w:pPr>
              <w:rPr>
                <w:sz w:val="20"/>
                <w:szCs w:val="20"/>
              </w:rPr>
            </w:pPr>
            <w:r w:rsidRPr="00D96E4C">
              <w:rPr>
                <w:sz w:val="20"/>
                <w:szCs w:val="20"/>
              </w:rPr>
              <w:t xml:space="preserve">Прочие платные услуги  </w:t>
            </w:r>
          </w:p>
        </w:tc>
        <w:tc>
          <w:tcPr>
            <w:tcW w:w="1007" w:type="dxa"/>
            <w:shd w:val="clear" w:color="auto" w:fill="auto"/>
            <w:noWrap/>
            <w:vAlign w:val="bottom"/>
            <w:hideMark/>
          </w:tcPr>
          <w:p w:rsidR="00F07E05" w:rsidRPr="00D96E4C" w:rsidRDefault="00F07E05" w:rsidP="008A253E">
            <w:pPr>
              <w:jc w:val="right"/>
              <w:rPr>
                <w:sz w:val="20"/>
                <w:szCs w:val="20"/>
              </w:rPr>
            </w:pPr>
            <w:r w:rsidRPr="00D96E4C">
              <w:rPr>
                <w:sz w:val="20"/>
                <w:szCs w:val="20"/>
              </w:rPr>
              <w:t>65</w:t>
            </w:r>
          </w:p>
        </w:tc>
        <w:tc>
          <w:tcPr>
            <w:tcW w:w="1007" w:type="dxa"/>
            <w:shd w:val="clear" w:color="auto" w:fill="auto"/>
            <w:noWrap/>
            <w:vAlign w:val="bottom"/>
            <w:hideMark/>
          </w:tcPr>
          <w:p w:rsidR="00F07E05" w:rsidRPr="00D96E4C" w:rsidRDefault="00F07E05" w:rsidP="008A253E">
            <w:pPr>
              <w:jc w:val="right"/>
              <w:rPr>
                <w:sz w:val="20"/>
                <w:szCs w:val="20"/>
              </w:rPr>
            </w:pPr>
            <w:r w:rsidRPr="00D96E4C">
              <w:rPr>
                <w:sz w:val="20"/>
                <w:szCs w:val="20"/>
              </w:rPr>
              <w:t>65</w:t>
            </w:r>
          </w:p>
        </w:tc>
        <w:tc>
          <w:tcPr>
            <w:tcW w:w="935" w:type="dxa"/>
            <w:shd w:val="clear" w:color="auto" w:fill="auto"/>
            <w:noWrap/>
            <w:vAlign w:val="bottom"/>
            <w:hideMark/>
          </w:tcPr>
          <w:p w:rsidR="00F07E05" w:rsidRPr="00D96E4C" w:rsidRDefault="00F07E05" w:rsidP="008A253E">
            <w:pPr>
              <w:jc w:val="right"/>
              <w:rPr>
                <w:sz w:val="20"/>
                <w:szCs w:val="20"/>
              </w:rPr>
            </w:pPr>
            <w:r w:rsidRPr="00D96E4C">
              <w:rPr>
                <w:sz w:val="20"/>
                <w:szCs w:val="20"/>
              </w:rPr>
              <w:t>65</w:t>
            </w:r>
          </w:p>
        </w:tc>
        <w:tc>
          <w:tcPr>
            <w:tcW w:w="1007" w:type="dxa"/>
            <w:shd w:val="clear" w:color="auto" w:fill="auto"/>
            <w:noWrap/>
            <w:vAlign w:val="bottom"/>
            <w:hideMark/>
          </w:tcPr>
          <w:p w:rsidR="00F07E05" w:rsidRPr="00D96E4C" w:rsidRDefault="00F07E05" w:rsidP="008A253E">
            <w:pPr>
              <w:jc w:val="right"/>
              <w:rPr>
                <w:sz w:val="20"/>
                <w:szCs w:val="20"/>
              </w:rPr>
            </w:pPr>
            <w:r w:rsidRPr="00D96E4C">
              <w:rPr>
                <w:sz w:val="20"/>
                <w:szCs w:val="20"/>
              </w:rPr>
              <w:t>4,706</w:t>
            </w:r>
          </w:p>
        </w:tc>
        <w:tc>
          <w:tcPr>
            <w:tcW w:w="1007" w:type="dxa"/>
            <w:shd w:val="clear" w:color="auto" w:fill="auto"/>
            <w:noWrap/>
            <w:vAlign w:val="bottom"/>
            <w:hideMark/>
          </w:tcPr>
          <w:p w:rsidR="00F07E05" w:rsidRPr="00D96E4C" w:rsidRDefault="00F07E05" w:rsidP="008A253E">
            <w:pPr>
              <w:jc w:val="right"/>
              <w:rPr>
                <w:sz w:val="20"/>
                <w:szCs w:val="20"/>
              </w:rPr>
            </w:pPr>
            <w:r w:rsidRPr="00D96E4C">
              <w:rPr>
                <w:sz w:val="20"/>
                <w:szCs w:val="20"/>
              </w:rPr>
              <w:t>4,894</w:t>
            </w:r>
          </w:p>
        </w:tc>
        <w:tc>
          <w:tcPr>
            <w:tcW w:w="929" w:type="dxa"/>
            <w:shd w:val="clear" w:color="auto" w:fill="auto"/>
            <w:noWrap/>
            <w:vAlign w:val="bottom"/>
            <w:hideMark/>
          </w:tcPr>
          <w:p w:rsidR="00F07E05" w:rsidRPr="00D96E4C" w:rsidRDefault="00F07E05" w:rsidP="008A253E">
            <w:pPr>
              <w:jc w:val="right"/>
              <w:rPr>
                <w:sz w:val="20"/>
                <w:szCs w:val="20"/>
              </w:rPr>
            </w:pPr>
            <w:r w:rsidRPr="00D96E4C">
              <w:rPr>
                <w:sz w:val="20"/>
                <w:szCs w:val="20"/>
              </w:rPr>
              <w:t>5,090</w:t>
            </w:r>
          </w:p>
        </w:tc>
        <w:tc>
          <w:tcPr>
            <w:tcW w:w="1049" w:type="dxa"/>
            <w:shd w:val="clear" w:color="auto" w:fill="auto"/>
            <w:noWrap/>
            <w:vAlign w:val="bottom"/>
            <w:hideMark/>
          </w:tcPr>
          <w:p w:rsidR="00F07E05" w:rsidRPr="00D96E4C" w:rsidRDefault="00F07E05" w:rsidP="008A253E">
            <w:pPr>
              <w:jc w:val="right"/>
              <w:rPr>
                <w:sz w:val="20"/>
                <w:szCs w:val="20"/>
              </w:rPr>
            </w:pPr>
            <w:r w:rsidRPr="00D96E4C">
              <w:rPr>
                <w:sz w:val="20"/>
                <w:szCs w:val="20"/>
              </w:rPr>
              <w:t>305,890</w:t>
            </w:r>
          </w:p>
        </w:tc>
        <w:tc>
          <w:tcPr>
            <w:tcW w:w="1130" w:type="dxa"/>
            <w:shd w:val="clear" w:color="auto" w:fill="auto"/>
            <w:noWrap/>
            <w:vAlign w:val="bottom"/>
            <w:hideMark/>
          </w:tcPr>
          <w:p w:rsidR="00F07E05" w:rsidRPr="00D96E4C" w:rsidRDefault="00F07E05" w:rsidP="008A253E">
            <w:pPr>
              <w:jc w:val="right"/>
              <w:rPr>
                <w:sz w:val="20"/>
                <w:szCs w:val="20"/>
              </w:rPr>
            </w:pPr>
            <w:r w:rsidRPr="00D96E4C">
              <w:rPr>
                <w:sz w:val="20"/>
                <w:szCs w:val="20"/>
              </w:rPr>
              <w:t>318,110</w:t>
            </w:r>
          </w:p>
        </w:tc>
        <w:tc>
          <w:tcPr>
            <w:tcW w:w="1073" w:type="dxa"/>
            <w:shd w:val="clear" w:color="auto" w:fill="auto"/>
            <w:noWrap/>
            <w:vAlign w:val="bottom"/>
            <w:hideMark/>
          </w:tcPr>
          <w:p w:rsidR="00F07E05" w:rsidRPr="00D96E4C" w:rsidRDefault="00F07E05" w:rsidP="008A253E">
            <w:pPr>
              <w:jc w:val="right"/>
              <w:rPr>
                <w:sz w:val="20"/>
                <w:szCs w:val="20"/>
              </w:rPr>
            </w:pPr>
            <w:r w:rsidRPr="00D96E4C">
              <w:rPr>
                <w:sz w:val="20"/>
                <w:szCs w:val="20"/>
              </w:rPr>
              <w:t>330,850</w:t>
            </w:r>
          </w:p>
        </w:tc>
      </w:tr>
      <w:tr w:rsidR="00F07E05" w:rsidTr="008A253E">
        <w:trPr>
          <w:gridAfter w:val="1"/>
          <w:wAfter w:w="13" w:type="dxa"/>
          <w:trHeight w:val="705"/>
        </w:trPr>
        <w:tc>
          <w:tcPr>
            <w:tcW w:w="1848" w:type="dxa"/>
            <w:shd w:val="clear" w:color="auto" w:fill="auto"/>
            <w:vAlign w:val="bottom"/>
            <w:hideMark/>
          </w:tcPr>
          <w:p w:rsidR="00F07E05" w:rsidRPr="00D96E4C" w:rsidRDefault="00F07E05" w:rsidP="008A253E">
            <w:pPr>
              <w:rPr>
                <w:sz w:val="20"/>
                <w:szCs w:val="20"/>
              </w:rPr>
            </w:pPr>
            <w:r w:rsidRPr="00FD07F3">
              <w:rPr>
                <w:sz w:val="20"/>
                <w:szCs w:val="20"/>
              </w:rPr>
              <w:t>Прочие платные услуги  МЦМР Резерв</w:t>
            </w:r>
          </w:p>
        </w:tc>
        <w:tc>
          <w:tcPr>
            <w:tcW w:w="1007" w:type="dxa"/>
            <w:shd w:val="clear" w:color="auto" w:fill="auto"/>
            <w:noWrap/>
            <w:vAlign w:val="bottom"/>
            <w:hideMark/>
          </w:tcPr>
          <w:p w:rsidR="00F07E05" w:rsidRPr="00D96E4C" w:rsidRDefault="00F07E05" w:rsidP="008A253E">
            <w:pPr>
              <w:rPr>
                <w:sz w:val="20"/>
                <w:szCs w:val="20"/>
              </w:rPr>
            </w:pPr>
            <w:r w:rsidRPr="00D96E4C">
              <w:rPr>
                <w:sz w:val="20"/>
                <w:szCs w:val="20"/>
              </w:rPr>
              <w:t> </w:t>
            </w:r>
          </w:p>
        </w:tc>
        <w:tc>
          <w:tcPr>
            <w:tcW w:w="1007" w:type="dxa"/>
            <w:shd w:val="clear" w:color="auto" w:fill="auto"/>
            <w:noWrap/>
            <w:vAlign w:val="bottom"/>
            <w:hideMark/>
          </w:tcPr>
          <w:p w:rsidR="00F07E05" w:rsidRPr="00D96E4C" w:rsidRDefault="00F07E05" w:rsidP="008A253E">
            <w:pPr>
              <w:rPr>
                <w:sz w:val="20"/>
                <w:szCs w:val="20"/>
              </w:rPr>
            </w:pPr>
            <w:r w:rsidRPr="00D96E4C">
              <w:rPr>
                <w:sz w:val="20"/>
                <w:szCs w:val="20"/>
              </w:rPr>
              <w:t> </w:t>
            </w:r>
          </w:p>
        </w:tc>
        <w:tc>
          <w:tcPr>
            <w:tcW w:w="935" w:type="dxa"/>
            <w:shd w:val="clear" w:color="auto" w:fill="auto"/>
            <w:noWrap/>
            <w:vAlign w:val="bottom"/>
            <w:hideMark/>
          </w:tcPr>
          <w:p w:rsidR="00F07E05" w:rsidRPr="00D96E4C" w:rsidRDefault="00F07E05" w:rsidP="008A253E">
            <w:pPr>
              <w:rPr>
                <w:sz w:val="20"/>
                <w:szCs w:val="20"/>
              </w:rPr>
            </w:pPr>
            <w:r w:rsidRPr="00D96E4C">
              <w:rPr>
                <w:sz w:val="20"/>
                <w:szCs w:val="20"/>
              </w:rPr>
              <w:t> </w:t>
            </w:r>
          </w:p>
        </w:tc>
        <w:tc>
          <w:tcPr>
            <w:tcW w:w="1007" w:type="dxa"/>
            <w:shd w:val="clear" w:color="auto" w:fill="auto"/>
            <w:noWrap/>
            <w:vAlign w:val="bottom"/>
          </w:tcPr>
          <w:p w:rsidR="00F07E05" w:rsidRPr="00D96E4C" w:rsidRDefault="00F07E05" w:rsidP="008A253E">
            <w:pPr>
              <w:jc w:val="right"/>
              <w:rPr>
                <w:sz w:val="20"/>
                <w:szCs w:val="20"/>
              </w:rPr>
            </w:pPr>
          </w:p>
        </w:tc>
        <w:tc>
          <w:tcPr>
            <w:tcW w:w="1007" w:type="dxa"/>
            <w:shd w:val="clear" w:color="auto" w:fill="auto"/>
            <w:noWrap/>
            <w:vAlign w:val="bottom"/>
          </w:tcPr>
          <w:p w:rsidR="00F07E05" w:rsidRPr="00D96E4C" w:rsidRDefault="00F07E05" w:rsidP="008A253E">
            <w:pPr>
              <w:jc w:val="right"/>
              <w:rPr>
                <w:sz w:val="20"/>
                <w:szCs w:val="20"/>
              </w:rPr>
            </w:pPr>
          </w:p>
        </w:tc>
        <w:tc>
          <w:tcPr>
            <w:tcW w:w="929" w:type="dxa"/>
            <w:shd w:val="clear" w:color="auto" w:fill="auto"/>
            <w:noWrap/>
            <w:vAlign w:val="bottom"/>
          </w:tcPr>
          <w:p w:rsidR="00F07E05" w:rsidRPr="00D96E4C" w:rsidRDefault="00F07E05" w:rsidP="008A253E">
            <w:pPr>
              <w:jc w:val="right"/>
              <w:rPr>
                <w:sz w:val="20"/>
                <w:szCs w:val="20"/>
              </w:rPr>
            </w:pPr>
          </w:p>
        </w:tc>
        <w:tc>
          <w:tcPr>
            <w:tcW w:w="1049" w:type="dxa"/>
            <w:shd w:val="clear" w:color="auto" w:fill="auto"/>
            <w:noWrap/>
            <w:vAlign w:val="bottom"/>
            <w:hideMark/>
          </w:tcPr>
          <w:p w:rsidR="00F07E05" w:rsidRPr="00D96E4C" w:rsidRDefault="00F07E05" w:rsidP="008A253E">
            <w:pPr>
              <w:jc w:val="right"/>
              <w:rPr>
                <w:sz w:val="20"/>
                <w:szCs w:val="20"/>
              </w:rPr>
            </w:pPr>
            <w:r w:rsidRPr="00D96E4C">
              <w:rPr>
                <w:sz w:val="20"/>
                <w:szCs w:val="20"/>
              </w:rPr>
              <w:t>5 970,000</w:t>
            </w:r>
          </w:p>
        </w:tc>
        <w:tc>
          <w:tcPr>
            <w:tcW w:w="1130" w:type="dxa"/>
            <w:shd w:val="clear" w:color="auto" w:fill="auto"/>
            <w:noWrap/>
            <w:vAlign w:val="bottom"/>
            <w:hideMark/>
          </w:tcPr>
          <w:p w:rsidR="00F07E05" w:rsidRPr="00D96E4C" w:rsidRDefault="00F07E05" w:rsidP="008A253E">
            <w:pPr>
              <w:jc w:val="right"/>
              <w:rPr>
                <w:sz w:val="20"/>
                <w:szCs w:val="20"/>
              </w:rPr>
            </w:pPr>
            <w:r w:rsidRPr="00D96E4C">
              <w:rPr>
                <w:sz w:val="20"/>
                <w:szCs w:val="20"/>
              </w:rPr>
              <w:t>5 970,000</w:t>
            </w:r>
          </w:p>
        </w:tc>
        <w:tc>
          <w:tcPr>
            <w:tcW w:w="1073" w:type="dxa"/>
            <w:shd w:val="clear" w:color="auto" w:fill="auto"/>
            <w:noWrap/>
            <w:vAlign w:val="bottom"/>
            <w:hideMark/>
          </w:tcPr>
          <w:p w:rsidR="00F07E05" w:rsidRPr="00D96E4C" w:rsidRDefault="00F07E05" w:rsidP="008A253E">
            <w:pPr>
              <w:jc w:val="right"/>
              <w:rPr>
                <w:sz w:val="20"/>
                <w:szCs w:val="20"/>
              </w:rPr>
            </w:pPr>
            <w:r w:rsidRPr="00D96E4C">
              <w:rPr>
                <w:sz w:val="20"/>
                <w:szCs w:val="20"/>
              </w:rPr>
              <w:t>5 970,000</w:t>
            </w:r>
          </w:p>
        </w:tc>
      </w:tr>
      <w:tr w:rsidR="00F07E05" w:rsidTr="008A253E">
        <w:trPr>
          <w:gridAfter w:val="1"/>
          <w:wAfter w:w="13" w:type="dxa"/>
          <w:trHeight w:val="705"/>
        </w:trPr>
        <w:tc>
          <w:tcPr>
            <w:tcW w:w="1848" w:type="dxa"/>
            <w:shd w:val="clear" w:color="auto" w:fill="auto"/>
            <w:vAlign w:val="bottom"/>
            <w:hideMark/>
          </w:tcPr>
          <w:p w:rsidR="00F07E05" w:rsidRPr="00D96E4C" w:rsidRDefault="00F07E05" w:rsidP="008A253E">
            <w:pPr>
              <w:rPr>
                <w:sz w:val="20"/>
                <w:szCs w:val="20"/>
              </w:rPr>
            </w:pPr>
            <w:r w:rsidRPr="00D96E4C">
              <w:rPr>
                <w:sz w:val="20"/>
                <w:szCs w:val="20"/>
              </w:rPr>
              <w:t> </w:t>
            </w:r>
            <w:r>
              <w:rPr>
                <w:sz w:val="20"/>
                <w:szCs w:val="20"/>
              </w:rPr>
              <w:t>ИТОГО:</w:t>
            </w:r>
          </w:p>
        </w:tc>
        <w:tc>
          <w:tcPr>
            <w:tcW w:w="1007" w:type="dxa"/>
            <w:shd w:val="clear" w:color="auto" w:fill="auto"/>
            <w:noWrap/>
            <w:vAlign w:val="bottom"/>
            <w:hideMark/>
          </w:tcPr>
          <w:p w:rsidR="00F07E05" w:rsidRPr="00D96E4C" w:rsidRDefault="00F07E05" w:rsidP="008A253E">
            <w:pPr>
              <w:rPr>
                <w:sz w:val="20"/>
                <w:szCs w:val="20"/>
              </w:rPr>
            </w:pPr>
            <w:r w:rsidRPr="00D96E4C">
              <w:rPr>
                <w:sz w:val="20"/>
                <w:szCs w:val="20"/>
              </w:rPr>
              <w:t> </w:t>
            </w:r>
          </w:p>
        </w:tc>
        <w:tc>
          <w:tcPr>
            <w:tcW w:w="1007" w:type="dxa"/>
            <w:shd w:val="clear" w:color="auto" w:fill="auto"/>
            <w:noWrap/>
            <w:vAlign w:val="bottom"/>
            <w:hideMark/>
          </w:tcPr>
          <w:p w:rsidR="00F07E05" w:rsidRPr="00D96E4C" w:rsidRDefault="00F07E05" w:rsidP="008A253E">
            <w:pPr>
              <w:rPr>
                <w:sz w:val="20"/>
                <w:szCs w:val="20"/>
              </w:rPr>
            </w:pPr>
            <w:r w:rsidRPr="00D96E4C">
              <w:rPr>
                <w:sz w:val="20"/>
                <w:szCs w:val="20"/>
              </w:rPr>
              <w:t> </w:t>
            </w:r>
          </w:p>
        </w:tc>
        <w:tc>
          <w:tcPr>
            <w:tcW w:w="935" w:type="dxa"/>
            <w:shd w:val="clear" w:color="auto" w:fill="auto"/>
            <w:noWrap/>
            <w:vAlign w:val="bottom"/>
            <w:hideMark/>
          </w:tcPr>
          <w:p w:rsidR="00F07E05" w:rsidRPr="00D96E4C" w:rsidRDefault="00F07E05" w:rsidP="008A253E">
            <w:pPr>
              <w:rPr>
                <w:sz w:val="20"/>
                <w:szCs w:val="20"/>
              </w:rPr>
            </w:pPr>
            <w:r w:rsidRPr="00D96E4C">
              <w:rPr>
                <w:sz w:val="20"/>
                <w:szCs w:val="20"/>
              </w:rPr>
              <w:t> </w:t>
            </w:r>
          </w:p>
        </w:tc>
        <w:tc>
          <w:tcPr>
            <w:tcW w:w="1007" w:type="dxa"/>
            <w:shd w:val="clear" w:color="auto" w:fill="auto"/>
            <w:noWrap/>
            <w:vAlign w:val="bottom"/>
            <w:hideMark/>
          </w:tcPr>
          <w:p w:rsidR="00F07E05" w:rsidRPr="00D96E4C" w:rsidRDefault="00F07E05" w:rsidP="008A253E">
            <w:pPr>
              <w:rPr>
                <w:sz w:val="20"/>
                <w:szCs w:val="20"/>
              </w:rPr>
            </w:pPr>
            <w:r w:rsidRPr="00D96E4C">
              <w:rPr>
                <w:sz w:val="20"/>
                <w:szCs w:val="20"/>
              </w:rPr>
              <w:t> </w:t>
            </w:r>
          </w:p>
        </w:tc>
        <w:tc>
          <w:tcPr>
            <w:tcW w:w="1007" w:type="dxa"/>
            <w:shd w:val="clear" w:color="auto" w:fill="auto"/>
            <w:noWrap/>
            <w:vAlign w:val="bottom"/>
            <w:hideMark/>
          </w:tcPr>
          <w:p w:rsidR="00F07E05" w:rsidRPr="00D96E4C" w:rsidRDefault="00F07E05" w:rsidP="008A253E">
            <w:pPr>
              <w:rPr>
                <w:sz w:val="20"/>
                <w:szCs w:val="20"/>
              </w:rPr>
            </w:pPr>
            <w:r w:rsidRPr="00D96E4C">
              <w:rPr>
                <w:sz w:val="20"/>
                <w:szCs w:val="20"/>
              </w:rPr>
              <w:t> </w:t>
            </w:r>
          </w:p>
        </w:tc>
        <w:tc>
          <w:tcPr>
            <w:tcW w:w="929" w:type="dxa"/>
            <w:shd w:val="clear" w:color="auto" w:fill="auto"/>
            <w:noWrap/>
            <w:vAlign w:val="bottom"/>
            <w:hideMark/>
          </w:tcPr>
          <w:p w:rsidR="00F07E05" w:rsidRPr="00D96E4C" w:rsidRDefault="00F07E05" w:rsidP="008A253E">
            <w:pPr>
              <w:rPr>
                <w:sz w:val="20"/>
                <w:szCs w:val="20"/>
              </w:rPr>
            </w:pPr>
            <w:r w:rsidRPr="00D96E4C">
              <w:rPr>
                <w:sz w:val="20"/>
                <w:szCs w:val="20"/>
              </w:rPr>
              <w:t> </w:t>
            </w:r>
          </w:p>
        </w:tc>
        <w:tc>
          <w:tcPr>
            <w:tcW w:w="1049" w:type="dxa"/>
            <w:shd w:val="clear" w:color="auto" w:fill="auto"/>
            <w:noWrap/>
            <w:vAlign w:val="bottom"/>
            <w:hideMark/>
          </w:tcPr>
          <w:p w:rsidR="00F07E05" w:rsidRPr="00D96E4C" w:rsidRDefault="00F07E05" w:rsidP="008A253E">
            <w:pPr>
              <w:jc w:val="right"/>
              <w:rPr>
                <w:sz w:val="20"/>
                <w:szCs w:val="20"/>
              </w:rPr>
            </w:pPr>
            <w:r w:rsidRPr="00D96E4C">
              <w:rPr>
                <w:sz w:val="20"/>
                <w:szCs w:val="20"/>
              </w:rPr>
              <w:t>6 275,890</w:t>
            </w:r>
          </w:p>
        </w:tc>
        <w:tc>
          <w:tcPr>
            <w:tcW w:w="1130" w:type="dxa"/>
            <w:shd w:val="clear" w:color="auto" w:fill="auto"/>
            <w:noWrap/>
            <w:vAlign w:val="bottom"/>
            <w:hideMark/>
          </w:tcPr>
          <w:p w:rsidR="00F07E05" w:rsidRPr="00D96E4C" w:rsidRDefault="00F07E05" w:rsidP="008A253E">
            <w:pPr>
              <w:jc w:val="right"/>
              <w:rPr>
                <w:sz w:val="20"/>
                <w:szCs w:val="20"/>
              </w:rPr>
            </w:pPr>
            <w:r w:rsidRPr="00D96E4C">
              <w:rPr>
                <w:sz w:val="20"/>
                <w:szCs w:val="20"/>
              </w:rPr>
              <w:t>6 288,110</w:t>
            </w:r>
          </w:p>
        </w:tc>
        <w:tc>
          <w:tcPr>
            <w:tcW w:w="1073" w:type="dxa"/>
            <w:shd w:val="clear" w:color="auto" w:fill="auto"/>
            <w:noWrap/>
            <w:vAlign w:val="bottom"/>
            <w:hideMark/>
          </w:tcPr>
          <w:p w:rsidR="00F07E05" w:rsidRPr="00D96E4C" w:rsidRDefault="00F07E05" w:rsidP="008A253E">
            <w:pPr>
              <w:jc w:val="right"/>
              <w:rPr>
                <w:sz w:val="20"/>
                <w:szCs w:val="20"/>
              </w:rPr>
            </w:pPr>
            <w:r w:rsidRPr="00D96E4C">
              <w:rPr>
                <w:sz w:val="20"/>
                <w:szCs w:val="20"/>
              </w:rPr>
              <w:t>6 300,850</w:t>
            </w:r>
          </w:p>
        </w:tc>
      </w:tr>
      <w:tr w:rsidR="00F07E05" w:rsidTr="008A253E">
        <w:trPr>
          <w:gridAfter w:val="1"/>
          <w:wAfter w:w="13" w:type="dxa"/>
          <w:trHeight w:val="705"/>
        </w:trPr>
        <w:tc>
          <w:tcPr>
            <w:tcW w:w="1848" w:type="dxa"/>
            <w:shd w:val="clear" w:color="auto" w:fill="auto"/>
            <w:vAlign w:val="bottom"/>
          </w:tcPr>
          <w:p w:rsidR="00F07E05" w:rsidRPr="005D2017" w:rsidRDefault="00F07E05" w:rsidP="008A253E">
            <w:pPr>
              <w:rPr>
                <w:b/>
                <w:sz w:val="20"/>
                <w:szCs w:val="20"/>
              </w:rPr>
            </w:pPr>
            <w:r w:rsidRPr="005D2017">
              <w:rPr>
                <w:b/>
                <w:sz w:val="20"/>
                <w:szCs w:val="20"/>
              </w:rPr>
              <w:t>ВСЕГО:</w:t>
            </w:r>
          </w:p>
        </w:tc>
        <w:tc>
          <w:tcPr>
            <w:tcW w:w="1007" w:type="dxa"/>
            <w:shd w:val="clear" w:color="auto" w:fill="auto"/>
            <w:noWrap/>
            <w:vAlign w:val="bottom"/>
          </w:tcPr>
          <w:p w:rsidR="00F07E05" w:rsidRPr="005D2017" w:rsidRDefault="00F07E05" w:rsidP="008A253E">
            <w:pPr>
              <w:rPr>
                <w:b/>
                <w:sz w:val="20"/>
                <w:szCs w:val="20"/>
              </w:rPr>
            </w:pPr>
          </w:p>
        </w:tc>
        <w:tc>
          <w:tcPr>
            <w:tcW w:w="1007" w:type="dxa"/>
            <w:shd w:val="clear" w:color="auto" w:fill="auto"/>
            <w:noWrap/>
            <w:vAlign w:val="bottom"/>
          </w:tcPr>
          <w:p w:rsidR="00F07E05" w:rsidRPr="005D2017" w:rsidRDefault="00F07E05" w:rsidP="008A253E">
            <w:pPr>
              <w:rPr>
                <w:b/>
                <w:sz w:val="20"/>
                <w:szCs w:val="20"/>
              </w:rPr>
            </w:pPr>
          </w:p>
        </w:tc>
        <w:tc>
          <w:tcPr>
            <w:tcW w:w="935" w:type="dxa"/>
            <w:shd w:val="clear" w:color="auto" w:fill="auto"/>
            <w:noWrap/>
            <w:vAlign w:val="bottom"/>
          </w:tcPr>
          <w:p w:rsidR="00F07E05" w:rsidRPr="005D2017" w:rsidRDefault="00F07E05" w:rsidP="008A253E">
            <w:pPr>
              <w:rPr>
                <w:b/>
                <w:sz w:val="20"/>
                <w:szCs w:val="20"/>
              </w:rPr>
            </w:pPr>
          </w:p>
        </w:tc>
        <w:tc>
          <w:tcPr>
            <w:tcW w:w="1007" w:type="dxa"/>
            <w:shd w:val="clear" w:color="auto" w:fill="auto"/>
            <w:noWrap/>
            <w:vAlign w:val="bottom"/>
          </w:tcPr>
          <w:p w:rsidR="00F07E05" w:rsidRPr="005D2017" w:rsidRDefault="00F07E05" w:rsidP="008A253E">
            <w:pPr>
              <w:rPr>
                <w:b/>
                <w:sz w:val="20"/>
                <w:szCs w:val="20"/>
              </w:rPr>
            </w:pPr>
          </w:p>
        </w:tc>
        <w:tc>
          <w:tcPr>
            <w:tcW w:w="1007" w:type="dxa"/>
            <w:shd w:val="clear" w:color="auto" w:fill="auto"/>
            <w:noWrap/>
            <w:vAlign w:val="bottom"/>
          </w:tcPr>
          <w:p w:rsidR="00F07E05" w:rsidRPr="005D2017" w:rsidRDefault="00F07E05" w:rsidP="008A253E">
            <w:pPr>
              <w:rPr>
                <w:b/>
                <w:sz w:val="20"/>
                <w:szCs w:val="20"/>
              </w:rPr>
            </w:pPr>
          </w:p>
        </w:tc>
        <w:tc>
          <w:tcPr>
            <w:tcW w:w="929" w:type="dxa"/>
            <w:shd w:val="clear" w:color="auto" w:fill="auto"/>
            <w:noWrap/>
            <w:vAlign w:val="bottom"/>
          </w:tcPr>
          <w:p w:rsidR="00F07E05" w:rsidRPr="005D2017" w:rsidRDefault="00F07E05" w:rsidP="008A253E">
            <w:pPr>
              <w:rPr>
                <w:b/>
                <w:sz w:val="20"/>
                <w:szCs w:val="20"/>
              </w:rPr>
            </w:pPr>
          </w:p>
        </w:tc>
        <w:tc>
          <w:tcPr>
            <w:tcW w:w="1049" w:type="dxa"/>
            <w:shd w:val="clear" w:color="auto" w:fill="auto"/>
            <w:noWrap/>
            <w:vAlign w:val="bottom"/>
          </w:tcPr>
          <w:p w:rsidR="00F07E05" w:rsidRPr="005D2017" w:rsidRDefault="00F07E05" w:rsidP="008A253E">
            <w:pPr>
              <w:jc w:val="right"/>
              <w:rPr>
                <w:b/>
                <w:sz w:val="20"/>
                <w:szCs w:val="20"/>
              </w:rPr>
            </w:pPr>
            <w:r w:rsidRPr="005D2017">
              <w:rPr>
                <w:b/>
                <w:sz w:val="20"/>
                <w:szCs w:val="20"/>
              </w:rPr>
              <w:t>12 258,6</w:t>
            </w:r>
          </w:p>
        </w:tc>
        <w:tc>
          <w:tcPr>
            <w:tcW w:w="1130" w:type="dxa"/>
            <w:shd w:val="clear" w:color="auto" w:fill="auto"/>
            <w:noWrap/>
            <w:vAlign w:val="bottom"/>
          </w:tcPr>
          <w:p w:rsidR="00F07E05" w:rsidRPr="005D2017" w:rsidRDefault="00F07E05" w:rsidP="008A253E">
            <w:pPr>
              <w:jc w:val="right"/>
              <w:rPr>
                <w:b/>
                <w:sz w:val="20"/>
                <w:szCs w:val="20"/>
              </w:rPr>
            </w:pPr>
            <w:r w:rsidRPr="005D2017">
              <w:rPr>
                <w:b/>
                <w:sz w:val="20"/>
                <w:szCs w:val="20"/>
              </w:rPr>
              <w:t>12 514,0</w:t>
            </w:r>
          </w:p>
        </w:tc>
        <w:tc>
          <w:tcPr>
            <w:tcW w:w="1073" w:type="dxa"/>
            <w:shd w:val="clear" w:color="auto" w:fill="auto"/>
            <w:noWrap/>
            <w:vAlign w:val="bottom"/>
          </w:tcPr>
          <w:p w:rsidR="00F07E05" w:rsidRPr="005D2017" w:rsidRDefault="00F07E05" w:rsidP="008A253E">
            <w:pPr>
              <w:jc w:val="right"/>
              <w:rPr>
                <w:b/>
                <w:sz w:val="20"/>
                <w:szCs w:val="20"/>
              </w:rPr>
            </w:pPr>
            <w:r w:rsidRPr="005D2017">
              <w:rPr>
                <w:b/>
                <w:sz w:val="20"/>
                <w:szCs w:val="20"/>
              </w:rPr>
              <w:t>12 770,2</w:t>
            </w:r>
          </w:p>
        </w:tc>
      </w:tr>
    </w:tbl>
    <w:p w:rsidR="00F07E05" w:rsidRDefault="00F07E05" w:rsidP="00F07E05">
      <w:pPr>
        <w:pStyle w:val="a4"/>
        <w:tabs>
          <w:tab w:val="left" w:pos="567"/>
        </w:tabs>
      </w:pPr>
    </w:p>
    <w:p w:rsidR="00F07E05" w:rsidRDefault="00F07E05" w:rsidP="00F07E05">
      <w:pPr>
        <w:pStyle w:val="a4"/>
        <w:tabs>
          <w:tab w:val="left" w:pos="567"/>
        </w:tabs>
        <w:rPr>
          <w:b/>
        </w:rPr>
      </w:pPr>
      <w:r w:rsidRPr="0028619A">
        <w:t xml:space="preserve">   </w:t>
      </w:r>
    </w:p>
    <w:p w:rsidR="00F07E05" w:rsidRPr="0038051E" w:rsidRDefault="00F07E05" w:rsidP="00F07E05">
      <w:pPr>
        <w:jc w:val="center"/>
        <w:rPr>
          <w:b/>
          <w:sz w:val="28"/>
          <w:szCs w:val="28"/>
        </w:rPr>
      </w:pPr>
      <w:r w:rsidRPr="0038051E">
        <w:rPr>
          <w:b/>
          <w:sz w:val="28"/>
          <w:szCs w:val="28"/>
        </w:rPr>
        <w:t>Министерство образования Тверской области</w:t>
      </w:r>
    </w:p>
    <w:p w:rsidR="00F07E05" w:rsidRPr="00494551" w:rsidRDefault="00F07E05" w:rsidP="00F07E05">
      <w:pPr>
        <w:jc w:val="right"/>
        <w:rPr>
          <w:b/>
          <w:sz w:val="28"/>
          <w:szCs w:val="28"/>
        </w:rPr>
      </w:pPr>
      <w:r>
        <w:rPr>
          <w:b/>
          <w:sz w:val="28"/>
          <w:szCs w:val="28"/>
        </w:rPr>
        <w:t>т</w:t>
      </w:r>
      <w:r w:rsidRPr="00494551">
        <w:rPr>
          <w:b/>
          <w:sz w:val="28"/>
          <w:szCs w:val="28"/>
        </w:rPr>
        <w:t>ыс. руб.</w:t>
      </w:r>
    </w:p>
    <w:tbl>
      <w:tblPr>
        <w:tblW w:w="9944" w:type="dxa"/>
        <w:tblInd w:w="-72" w:type="dxa"/>
        <w:tblLayout w:type="fixed"/>
        <w:tblLook w:val="0000" w:firstRow="0" w:lastRow="0" w:firstColumn="0" w:lastColumn="0" w:noHBand="0" w:noVBand="0"/>
      </w:tblPr>
      <w:tblGrid>
        <w:gridCol w:w="2582"/>
        <w:gridCol w:w="2582"/>
        <w:gridCol w:w="1660"/>
        <w:gridCol w:w="1475"/>
        <w:gridCol w:w="1645"/>
      </w:tblGrid>
      <w:tr w:rsidR="00F07E05" w:rsidRPr="00C93A58" w:rsidTr="008A253E">
        <w:trPr>
          <w:trHeight w:val="736"/>
        </w:trPr>
        <w:tc>
          <w:tcPr>
            <w:tcW w:w="2582" w:type="dxa"/>
            <w:tcBorders>
              <w:top w:val="single" w:sz="4" w:space="0" w:color="auto"/>
              <w:left w:val="single" w:sz="4" w:space="0" w:color="auto"/>
              <w:bottom w:val="single" w:sz="4" w:space="0" w:color="auto"/>
              <w:right w:val="single" w:sz="4" w:space="0" w:color="auto"/>
            </w:tcBorders>
            <w:noWrap/>
            <w:vAlign w:val="bottom"/>
          </w:tcPr>
          <w:p w:rsidR="00F07E05" w:rsidRPr="00C93A58" w:rsidRDefault="00F07E05" w:rsidP="008A253E">
            <w:pPr>
              <w:jc w:val="center"/>
              <w:rPr>
                <w:b/>
              </w:rPr>
            </w:pPr>
            <w:r w:rsidRPr="00C93A58">
              <w:rPr>
                <w:b/>
              </w:rPr>
              <w:t>Код БК</w:t>
            </w:r>
          </w:p>
        </w:tc>
        <w:tc>
          <w:tcPr>
            <w:tcW w:w="2582" w:type="dxa"/>
            <w:tcBorders>
              <w:top w:val="single" w:sz="4" w:space="0" w:color="auto"/>
              <w:left w:val="single" w:sz="4" w:space="0" w:color="auto"/>
              <w:bottom w:val="single" w:sz="4" w:space="0" w:color="auto"/>
              <w:right w:val="single" w:sz="4" w:space="0" w:color="auto"/>
            </w:tcBorders>
            <w:noWrap/>
            <w:vAlign w:val="bottom"/>
          </w:tcPr>
          <w:p w:rsidR="00F07E05" w:rsidRPr="00C93A58" w:rsidRDefault="00F07E05" w:rsidP="008A253E">
            <w:pPr>
              <w:jc w:val="center"/>
              <w:rPr>
                <w:b/>
              </w:rPr>
            </w:pPr>
            <w:r w:rsidRPr="00C93A58">
              <w:rPr>
                <w:b/>
              </w:rPr>
              <w:t>Наименование</w:t>
            </w:r>
          </w:p>
        </w:tc>
        <w:tc>
          <w:tcPr>
            <w:tcW w:w="1660" w:type="dxa"/>
            <w:tcBorders>
              <w:top w:val="single" w:sz="4" w:space="0" w:color="auto"/>
              <w:left w:val="single" w:sz="4" w:space="0" w:color="auto"/>
              <w:bottom w:val="single" w:sz="4" w:space="0" w:color="auto"/>
              <w:right w:val="single" w:sz="4" w:space="0" w:color="auto"/>
            </w:tcBorders>
            <w:vAlign w:val="bottom"/>
          </w:tcPr>
          <w:p w:rsidR="00F07E05" w:rsidRPr="00C93A58" w:rsidRDefault="00F07E05" w:rsidP="008A253E">
            <w:pPr>
              <w:jc w:val="center"/>
              <w:rPr>
                <w:b/>
                <w:sz w:val="20"/>
                <w:szCs w:val="20"/>
              </w:rPr>
            </w:pPr>
            <w:r w:rsidRPr="00C93A58">
              <w:rPr>
                <w:b/>
                <w:sz w:val="20"/>
                <w:szCs w:val="20"/>
              </w:rPr>
              <w:t>Прогноз на</w:t>
            </w:r>
          </w:p>
          <w:p w:rsidR="00F07E05" w:rsidRPr="00C93A58" w:rsidRDefault="00F07E05" w:rsidP="008A253E">
            <w:pPr>
              <w:jc w:val="center"/>
              <w:rPr>
                <w:b/>
                <w:sz w:val="20"/>
                <w:szCs w:val="20"/>
              </w:rPr>
            </w:pPr>
            <w:r w:rsidRPr="00C93A58">
              <w:rPr>
                <w:b/>
                <w:sz w:val="20"/>
                <w:szCs w:val="20"/>
              </w:rPr>
              <w:t>20</w:t>
            </w:r>
            <w:r>
              <w:rPr>
                <w:b/>
                <w:sz w:val="20"/>
                <w:szCs w:val="20"/>
              </w:rPr>
              <w:t>22</w:t>
            </w:r>
            <w:r w:rsidRPr="00C93A58">
              <w:rPr>
                <w:b/>
                <w:sz w:val="20"/>
                <w:szCs w:val="20"/>
              </w:rPr>
              <w:t xml:space="preserve"> год</w:t>
            </w:r>
          </w:p>
        </w:tc>
        <w:tc>
          <w:tcPr>
            <w:tcW w:w="1475" w:type="dxa"/>
            <w:tcBorders>
              <w:top w:val="single" w:sz="4" w:space="0" w:color="auto"/>
              <w:left w:val="single" w:sz="4" w:space="0" w:color="auto"/>
              <w:bottom w:val="single" w:sz="4" w:space="0" w:color="auto"/>
              <w:right w:val="single" w:sz="4" w:space="0" w:color="auto"/>
            </w:tcBorders>
            <w:vAlign w:val="bottom"/>
          </w:tcPr>
          <w:p w:rsidR="00F07E05" w:rsidRDefault="00F07E05" w:rsidP="008A253E">
            <w:pPr>
              <w:jc w:val="center"/>
              <w:rPr>
                <w:b/>
                <w:sz w:val="20"/>
                <w:szCs w:val="20"/>
              </w:rPr>
            </w:pPr>
          </w:p>
          <w:p w:rsidR="00F07E05" w:rsidRDefault="00F07E05" w:rsidP="008A253E">
            <w:pPr>
              <w:jc w:val="center"/>
              <w:rPr>
                <w:b/>
                <w:sz w:val="20"/>
                <w:szCs w:val="20"/>
              </w:rPr>
            </w:pPr>
          </w:p>
          <w:p w:rsidR="00F07E05" w:rsidRPr="00C93A58" w:rsidRDefault="00F07E05" w:rsidP="008A253E">
            <w:pPr>
              <w:jc w:val="center"/>
              <w:rPr>
                <w:b/>
                <w:sz w:val="20"/>
                <w:szCs w:val="20"/>
              </w:rPr>
            </w:pPr>
            <w:r>
              <w:rPr>
                <w:b/>
                <w:sz w:val="20"/>
                <w:szCs w:val="20"/>
              </w:rPr>
              <w:t>П</w:t>
            </w:r>
            <w:r w:rsidRPr="00C93A58">
              <w:rPr>
                <w:b/>
                <w:sz w:val="20"/>
                <w:szCs w:val="20"/>
              </w:rPr>
              <w:t>рогноз на</w:t>
            </w:r>
          </w:p>
          <w:p w:rsidR="00F07E05" w:rsidRPr="00C93A58" w:rsidRDefault="00F07E05" w:rsidP="008A253E">
            <w:pPr>
              <w:jc w:val="center"/>
              <w:rPr>
                <w:b/>
                <w:sz w:val="20"/>
                <w:szCs w:val="20"/>
              </w:rPr>
            </w:pPr>
            <w:r w:rsidRPr="00C93A58">
              <w:rPr>
                <w:b/>
                <w:sz w:val="20"/>
                <w:szCs w:val="20"/>
              </w:rPr>
              <w:t>20</w:t>
            </w:r>
            <w:r>
              <w:rPr>
                <w:b/>
                <w:sz w:val="20"/>
                <w:szCs w:val="20"/>
              </w:rPr>
              <w:t xml:space="preserve">23 </w:t>
            </w:r>
            <w:r w:rsidRPr="00C93A58">
              <w:rPr>
                <w:b/>
                <w:sz w:val="20"/>
                <w:szCs w:val="20"/>
              </w:rPr>
              <w:t xml:space="preserve">год </w:t>
            </w:r>
          </w:p>
        </w:tc>
        <w:tc>
          <w:tcPr>
            <w:tcW w:w="1645" w:type="dxa"/>
            <w:tcBorders>
              <w:top w:val="single" w:sz="4" w:space="0" w:color="auto"/>
              <w:left w:val="single" w:sz="4" w:space="0" w:color="auto"/>
              <w:bottom w:val="single" w:sz="4" w:space="0" w:color="auto"/>
              <w:right w:val="single" w:sz="4" w:space="0" w:color="auto"/>
            </w:tcBorders>
            <w:vAlign w:val="bottom"/>
          </w:tcPr>
          <w:p w:rsidR="00F07E05" w:rsidRPr="00C93A58" w:rsidRDefault="00F07E05" w:rsidP="008A253E">
            <w:pPr>
              <w:jc w:val="center"/>
              <w:rPr>
                <w:b/>
                <w:sz w:val="20"/>
                <w:szCs w:val="20"/>
              </w:rPr>
            </w:pPr>
            <w:r w:rsidRPr="00C93A58">
              <w:rPr>
                <w:b/>
                <w:sz w:val="20"/>
                <w:szCs w:val="20"/>
              </w:rPr>
              <w:t>Прогноз на</w:t>
            </w:r>
          </w:p>
          <w:p w:rsidR="00F07E05" w:rsidRPr="00C93A58" w:rsidRDefault="00F07E05" w:rsidP="008A253E">
            <w:pPr>
              <w:jc w:val="center"/>
              <w:rPr>
                <w:b/>
                <w:sz w:val="20"/>
                <w:szCs w:val="20"/>
              </w:rPr>
            </w:pPr>
            <w:r w:rsidRPr="00C93A58">
              <w:rPr>
                <w:b/>
                <w:sz w:val="20"/>
                <w:szCs w:val="20"/>
              </w:rPr>
              <w:t>202</w:t>
            </w:r>
            <w:r>
              <w:rPr>
                <w:b/>
                <w:sz w:val="20"/>
                <w:szCs w:val="20"/>
              </w:rPr>
              <w:t>4</w:t>
            </w:r>
            <w:r w:rsidRPr="00C93A58">
              <w:rPr>
                <w:b/>
                <w:sz w:val="20"/>
                <w:szCs w:val="20"/>
              </w:rPr>
              <w:t xml:space="preserve"> год</w:t>
            </w:r>
          </w:p>
        </w:tc>
      </w:tr>
      <w:tr w:rsidR="00F07E05" w:rsidRPr="00C93A58" w:rsidTr="008A253E">
        <w:trPr>
          <w:trHeight w:val="626"/>
        </w:trPr>
        <w:tc>
          <w:tcPr>
            <w:tcW w:w="2582" w:type="dxa"/>
            <w:tcBorders>
              <w:top w:val="single" w:sz="4" w:space="0" w:color="auto"/>
              <w:left w:val="single" w:sz="4" w:space="0" w:color="auto"/>
              <w:bottom w:val="single" w:sz="4" w:space="0" w:color="auto"/>
              <w:right w:val="single" w:sz="4" w:space="0" w:color="auto"/>
            </w:tcBorders>
            <w:noWrap/>
          </w:tcPr>
          <w:p w:rsidR="00F07E05" w:rsidRPr="00C93A58" w:rsidRDefault="00F07E05" w:rsidP="008A253E">
            <w:pPr>
              <w:jc w:val="center"/>
              <w:rPr>
                <w:sz w:val="20"/>
                <w:szCs w:val="20"/>
              </w:rPr>
            </w:pPr>
            <w:r>
              <w:rPr>
                <w:sz w:val="20"/>
                <w:szCs w:val="20"/>
              </w:rPr>
              <w:t>000 1 13 01992 02 0000 130</w:t>
            </w:r>
          </w:p>
        </w:tc>
        <w:tc>
          <w:tcPr>
            <w:tcW w:w="2582" w:type="dxa"/>
            <w:tcBorders>
              <w:top w:val="single" w:sz="4" w:space="0" w:color="auto"/>
              <w:left w:val="single" w:sz="4" w:space="0" w:color="auto"/>
              <w:bottom w:val="single" w:sz="4" w:space="0" w:color="auto"/>
              <w:right w:val="single" w:sz="4" w:space="0" w:color="auto"/>
            </w:tcBorders>
          </w:tcPr>
          <w:p w:rsidR="00F07E05" w:rsidRPr="00C93A58" w:rsidRDefault="00F07E05" w:rsidP="008A253E">
            <w:pPr>
              <w:rPr>
                <w:sz w:val="20"/>
                <w:szCs w:val="20"/>
              </w:rPr>
            </w:pPr>
            <w:r>
              <w:rPr>
                <w:sz w:val="20"/>
                <w:szCs w:val="20"/>
              </w:rPr>
              <w:t>Прочие доходы от оказания услуг (работ) получателями средств бюджетов субъектов Российской Федерации</w:t>
            </w:r>
          </w:p>
        </w:tc>
        <w:tc>
          <w:tcPr>
            <w:tcW w:w="1660" w:type="dxa"/>
            <w:tcBorders>
              <w:top w:val="single" w:sz="4" w:space="0" w:color="auto"/>
              <w:left w:val="single" w:sz="4" w:space="0" w:color="auto"/>
              <w:bottom w:val="single" w:sz="4" w:space="0" w:color="auto"/>
              <w:right w:val="single" w:sz="4" w:space="0" w:color="auto"/>
            </w:tcBorders>
            <w:noWrap/>
          </w:tcPr>
          <w:p w:rsidR="00F07E05" w:rsidRPr="00FF1BBB" w:rsidRDefault="00F07E05" w:rsidP="008A253E">
            <w:pPr>
              <w:pStyle w:val="a7"/>
              <w:ind w:left="0"/>
              <w:jc w:val="center"/>
              <w:rPr>
                <w:sz w:val="20"/>
                <w:szCs w:val="20"/>
              </w:rPr>
            </w:pPr>
            <w:r>
              <w:rPr>
                <w:sz w:val="20"/>
                <w:szCs w:val="20"/>
              </w:rPr>
              <w:t>89,7</w:t>
            </w:r>
          </w:p>
        </w:tc>
        <w:tc>
          <w:tcPr>
            <w:tcW w:w="1475" w:type="dxa"/>
            <w:tcBorders>
              <w:top w:val="single" w:sz="4" w:space="0" w:color="auto"/>
              <w:left w:val="single" w:sz="4" w:space="0" w:color="auto"/>
              <w:bottom w:val="single" w:sz="4" w:space="0" w:color="auto"/>
              <w:right w:val="single" w:sz="4" w:space="0" w:color="auto"/>
            </w:tcBorders>
            <w:noWrap/>
          </w:tcPr>
          <w:p w:rsidR="00F07E05" w:rsidRPr="00FF1BBB" w:rsidRDefault="00F07E05" w:rsidP="008A253E">
            <w:pPr>
              <w:pStyle w:val="a7"/>
              <w:ind w:left="0"/>
              <w:jc w:val="center"/>
              <w:rPr>
                <w:sz w:val="20"/>
                <w:szCs w:val="20"/>
              </w:rPr>
            </w:pPr>
            <w:r>
              <w:rPr>
                <w:sz w:val="20"/>
                <w:szCs w:val="20"/>
              </w:rPr>
              <w:t>89,7</w:t>
            </w:r>
          </w:p>
        </w:tc>
        <w:tc>
          <w:tcPr>
            <w:tcW w:w="1645" w:type="dxa"/>
            <w:tcBorders>
              <w:top w:val="single" w:sz="4" w:space="0" w:color="auto"/>
              <w:left w:val="single" w:sz="4" w:space="0" w:color="auto"/>
              <w:bottom w:val="single" w:sz="4" w:space="0" w:color="auto"/>
              <w:right w:val="single" w:sz="4" w:space="0" w:color="auto"/>
            </w:tcBorders>
            <w:noWrap/>
          </w:tcPr>
          <w:p w:rsidR="00F07E05" w:rsidRPr="00FF1BBB" w:rsidRDefault="00F07E05" w:rsidP="008A253E">
            <w:pPr>
              <w:pStyle w:val="a7"/>
              <w:ind w:left="0"/>
              <w:jc w:val="center"/>
              <w:rPr>
                <w:sz w:val="20"/>
                <w:szCs w:val="20"/>
              </w:rPr>
            </w:pPr>
            <w:r>
              <w:rPr>
                <w:sz w:val="20"/>
                <w:szCs w:val="20"/>
              </w:rPr>
              <w:t>89,7</w:t>
            </w:r>
          </w:p>
        </w:tc>
      </w:tr>
    </w:tbl>
    <w:p w:rsidR="00F07E05" w:rsidRDefault="00F07E05" w:rsidP="00F07E05">
      <w:pPr>
        <w:pStyle w:val="ConsPlusNormal"/>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Расчет произведен в соответствии с </w:t>
      </w:r>
      <w:r>
        <w:rPr>
          <w:rFonts w:ascii="Times New Roman" w:hAnsi="Times New Roman" w:cs="Times New Roman"/>
          <w:color w:val="000000"/>
          <w:sz w:val="28"/>
          <w:szCs w:val="28"/>
        </w:rPr>
        <w:t>Методикой, утвержденной приказом Министерства образования Тверской области от 20.12.2019 № 1721/ПК «Об администрировании доходов областного бюджета Тверской области в 2020 году».</w:t>
      </w:r>
    </w:p>
    <w:p w:rsidR="00F07E05" w:rsidRPr="001D1F2B" w:rsidRDefault="00F07E05" w:rsidP="00F07E05">
      <w:pPr>
        <w:ind w:firstLine="709"/>
        <w:jc w:val="both"/>
        <w:rPr>
          <w:sz w:val="28"/>
          <w:szCs w:val="28"/>
        </w:rPr>
      </w:pPr>
      <w:r w:rsidRPr="001D1F2B">
        <w:rPr>
          <w:sz w:val="28"/>
          <w:szCs w:val="28"/>
        </w:rPr>
        <w:t xml:space="preserve">В соответствии с программой, утвержденной постановлением Правительства Тверской области от 01.08.2012 № 459-пп «Об утверждении программы подготовки лиц, желающих принять на воспитание в свою семью ребенка, оставшегося без попечения родителей», ГКУ оказывают платные образовательные услуги (далее – школа приемных родителей). Оплата производится за фактически предоставленные услуги на основании сметы </w:t>
      </w:r>
      <w:r w:rsidRPr="001D1F2B">
        <w:rPr>
          <w:sz w:val="28"/>
          <w:szCs w:val="28"/>
        </w:rPr>
        <w:lastRenderedPageBreak/>
        <w:t xml:space="preserve">расходов и акта сдачи-приемки оказанных услуг. Стоимость 1 </w:t>
      </w:r>
      <w:r>
        <w:rPr>
          <w:sz w:val="28"/>
          <w:szCs w:val="28"/>
        </w:rPr>
        <w:t>обучающегося – 3 900,0</w:t>
      </w:r>
      <w:r w:rsidRPr="001D1F2B">
        <w:rPr>
          <w:sz w:val="28"/>
          <w:szCs w:val="28"/>
        </w:rPr>
        <w:t xml:space="preserve"> руб. </w:t>
      </w:r>
    </w:p>
    <w:p w:rsidR="00F07E05" w:rsidRPr="001D1F2B" w:rsidRDefault="00F07E05" w:rsidP="00F07E05">
      <w:pPr>
        <w:ind w:firstLine="709"/>
        <w:jc w:val="both"/>
        <w:rPr>
          <w:sz w:val="28"/>
          <w:szCs w:val="28"/>
        </w:rPr>
      </w:pPr>
      <w:r w:rsidRPr="001D1F2B">
        <w:rPr>
          <w:sz w:val="28"/>
          <w:szCs w:val="28"/>
        </w:rPr>
        <w:t>Для расчета прогнозируемого объема доходов применяется метод прямого расчета исходя из прогноза количества платных услуг (количество человек, планируемых к обучению) и цены услуги.</w:t>
      </w:r>
    </w:p>
    <w:p w:rsidR="00F07E05" w:rsidRDefault="00F07E05" w:rsidP="00F07E05">
      <w:pPr>
        <w:ind w:firstLine="709"/>
        <w:jc w:val="both"/>
        <w:rPr>
          <w:color w:val="000000"/>
          <w:sz w:val="28"/>
          <w:szCs w:val="28"/>
        </w:rPr>
      </w:pPr>
      <w:r w:rsidRPr="005641B4">
        <w:rPr>
          <w:sz w:val="28"/>
          <w:szCs w:val="28"/>
        </w:rPr>
        <w:t>В 20</w:t>
      </w:r>
      <w:r>
        <w:rPr>
          <w:sz w:val="28"/>
          <w:szCs w:val="28"/>
        </w:rPr>
        <w:t>21</w:t>
      </w:r>
      <w:r w:rsidRPr="005641B4">
        <w:rPr>
          <w:sz w:val="28"/>
          <w:szCs w:val="28"/>
        </w:rPr>
        <w:t xml:space="preserve"> году данная услуга оказывается ГКОУ "Вышневолоцкая школа-интернат №2".</w:t>
      </w:r>
      <w:r>
        <w:rPr>
          <w:sz w:val="28"/>
          <w:szCs w:val="28"/>
        </w:rPr>
        <w:t xml:space="preserve"> </w:t>
      </w:r>
      <w:r w:rsidRPr="001D1F2B">
        <w:rPr>
          <w:sz w:val="28"/>
          <w:szCs w:val="28"/>
        </w:rPr>
        <w:t>Оценка поступлений в областной бюджет Тверской области</w:t>
      </w:r>
      <w:r>
        <w:rPr>
          <w:sz w:val="28"/>
          <w:szCs w:val="28"/>
        </w:rPr>
        <w:t xml:space="preserve"> </w:t>
      </w:r>
      <w:r w:rsidRPr="001D1F2B">
        <w:rPr>
          <w:sz w:val="28"/>
          <w:szCs w:val="28"/>
        </w:rPr>
        <w:t>в 20</w:t>
      </w:r>
      <w:r>
        <w:rPr>
          <w:sz w:val="28"/>
          <w:szCs w:val="28"/>
        </w:rPr>
        <w:t>21</w:t>
      </w:r>
      <w:r w:rsidRPr="001D1F2B">
        <w:rPr>
          <w:sz w:val="28"/>
          <w:szCs w:val="28"/>
        </w:rPr>
        <w:t xml:space="preserve"> году составляет </w:t>
      </w:r>
      <w:r>
        <w:rPr>
          <w:sz w:val="28"/>
          <w:szCs w:val="28"/>
        </w:rPr>
        <w:t>93,6</w:t>
      </w:r>
      <w:r w:rsidRPr="001D1F2B">
        <w:rPr>
          <w:sz w:val="28"/>
          <w:szCs w:val="28"/>
        </w:rPr>
        <w:t xml:space="preserve"> тыс. руб.</w:t>
      </w:r>
      <w:r>
        <w:rPr>
          <w:sz w:val="28"/>
          <w:szCs w:val="28"/>
        </w:rPr>
        <w:t>, по состоянию на 01.06.2021 – 35,1 тыс.руб.</w:t>
      </w:r>
      <w:r w:rsidRPr="001D1F2B">
        <w:rPr>
          <w:sz w:val="28"/>
          <w:szCs w:val="28"/>
        </w:rPr>
        <w:t xml:space="preserve"> Плановые значения по услуге «школа приемных родителей» рассчитаны на основании заключенных ГКУ договоров на 20</w:t>
      </w:r>
      <w:r>
        <w:rPr>
          <w:sz w:val="28"/>
          <w:szCs w:val="28"/>
        </w:rPr>
        <w:t>21</w:t>
      </w:r>
      <w:r w:rsidRPr="001D1F2B">
        <w:rPr>
          <w:sz w:val="28"/>
          <w:szCs w:val="28"/>
        </w:rPr>
        <w:t xml:space="preserve"> год. </w:t>
      </w:r>
      <w:r>
        <w:rPr>
          <w:sz w:val="28"/>
          <w:szCs w:val="28"/>
        </w:rPr>
        <w:t>П</w:t>
      </w:r>
      <w:r w:rsidRPr="001D1F2B">
        <w:rPr>
          <w:sz w:val="28"/>
          <w:szCs w:val="28"/>
        </w:rPr>
        <w:t>рогнозный объем поступлений на 202</w:t>
      </w:r>
      <w:r>
        <w:rPr>
          <w:sz w:val="28"/>
          <w:szCs w:val="28"/>
        </w:rPr>
        <w:t>1</w:t>
      </w:r>
      <w:r w:rsidRPr="001D1F2B">
        <w:rPr>
          <w:sz w:val="28"/>
          <w:szCs w:val="28"/>
        </w:rPr>
        <w:t xml:space="preserve"> г</w:t>
      </w:r>
      <w:r>
        <w:rPr>
          <w:sz w:val="28"/>
          <w:szCs w:val="28"/>
        </w:rPr>
        <w:t xml:space="preserve"> -2024 гг</w:t>
      </w:r>
      <w:r w:rsidRPr="001D1F2B">
        <w:rPr>
          <w:sz w:val="28"/>
          <w:szCs w:val="28"/>
        </w:rPr>
        <w:t xml:space="preserve">. составляет </w:t>
      </w:r>
      <w:r>
        <w:rPr>
          <w:sz w:val="28"/>
          <w:szCs w:val="28"/>
        </w:rPr>
        <w:t>89,7</w:t>
      </w:r>
      <w:r w:rsidRPr="001D1F2B">
        <w:rPr>
          <w:sz w:val="28"/>
          <w:szCs w:val="28"/>
        </w:rPr>
        <w:t xml:space="preserve"> тыс. руб</w:t>
      </w:r>
      <w:r>
        <w:rPr>
          <w:sz w:val="28"/>
          <w:szCs w:val="28"/>
        </w:rPr>
        <w:t>.,</w:t>
      </w:r>
      <w:r w:rsidRPr="00382056">
        <w:rPr>
          <w:sz w:val="28"/>
          <w:szCs w:val="28"/>
        </w:rPr>
        <w:t xml:space="preserve"> </w:t>
      </w:r>
    </w:p>
    <w:p w:rsidR="00F07E05" w:rsidRDefault="00F07E05" w:rsidP="00F07E05">
      <w:pPr>
        <w:jc w:val="center"/>
        <w:rPr>
          <w:b/>
          <w:color w:val="FF0000"/>
          <w:sz w:val="28"/>
          <w:szCs w:val="28"/>
        </w:rPr>
      </w:pPr>
    </w:p>
    <w:p w:rsidR="00F07E05" w:rsidRDefault="00F07E05" w:rsidP="00F07E05">
      <w:pPr>
        <w:jc w:val="center"/>
        <w:rPr>
          <w:color w:val="000000"/>
        </w:rPr>
        <w:sectPr w:rsidR="00F07E05" w:rsidSect="008A253E">
          <w:pgSz w:w="11906" w:h="16838"/>
          <w:pgMar w:top="1077" w:right="991" w:bottom="1134" w:left="1701" w:header="709" w:footer="709" w:gutter="0"/>
          <w:cols w:space="708"/>
          <w:docGrid w:linePitch="360"/>
        </w:sectPr>
      </w:pPr>
    </w:p>
    <w:tbl>
      <w:tblPr>
        <w:tblW w:w="15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6"/>
        <w:gridCol w:w="1405"/>
        <w:gridCol w:w="1337"/>
        <w:gridCol w:w="1239"/>
        <w:gridCol w:w="1405"/>
        <w:gridCol w:w="1397"/>
        <w:gridCol w:w="1444"/>
        <w:gridCol w:w="1405"/>
        <w:gridCol w:w="1690"/>
        <w:gridCol w:w="1687"/>
      </w:tblGrid>
      <w:tr w:rsidR="00F07E05" w:rsidTr="008A253E">
        <w:trPr>
          <w:trHeight w:val="2969"/>
        </w:trPr>
        <w:tc>
          <w:tcPr>
            <w:tcW w:w="2016" w:type="dxa"/>
            <w:vMerge w:val="restart"/>
            <w:shd w:val="clear" w:color="auto" w:fill="auto"/>
            <w:vAlign w:val="center"/>
            <w:hideMark/>
          </w:tcPr>
          <w:p w:rsidR="00F07E05" w:rsidRDefault="00F07E05" w:rsidP="008A253E">
            <w:pPr>
              <w:jc w:val="center"/>
              <w:rPr>
                <w:color w:val="000000"/>
                <w:sz w:val="20"/>
                <w:szCs w:val="20"/>
              </w:rPr>
            </w:pPr>
            <w:r>
              <w:rPr>
                <w:color w:val="000000"/>
                <w:sz w:val="20"/>
                <w:szCs w:val="20"/>
              </w:rPr>
              <w:lastRenderedPageBreak/>
              <w:t>Наименование организации</w:t>
            </w:r>
          </w:p>
        </w:tc>
        <w:tc>
          <w:tcPr>
            <w:tcW w:w="1405" w:type="dxa"/>
            <w:vMerge w:val="restart"/>
            <w:shd w:val="clear" w:color="000000" w:fill="FFFFFF"/>
            <w:vAlign w:val="center"/>
            <w:hideMark/>
          </w:tcPr>
          <w:p w:rsidR="00F07E05" w:rsidRDefault="00F07E05" w:rsidP="008A253E">
            <w:pPr>
              <w:jc w:val="center"/>
              <w:rPr>
                <w:color w:val="000000"/>
                <w:sz w:val="20"/>
                <w:szCs w:val="20"/>
              </w:rPr>
            </w:pPr>
            <w:r>
              <w:rPr>
                <w:color w:val="000000"/>
                <w:sz w:val="20"/>
                <w:szCs w:val="20"/>
              </w:rPr>
              <w:t>Прогноз на 2022 год (в руб.)</w:t>
            </w:r>
          </w:p>
        </w:tc>
        <w:tc>
          <w:tcPr>
            <w:tcW w:w="2576" w:type="dxa"/>
            <w:gridSpan w:val="2"/>
            <w:shd w:val="clear" w:color="auto" w:fill="auto"/>
            <w:vAlign w:val="center"/>
            <w:hideMark/>
          </w:tcPr>
          <w:p w:rsidR="00F07E05" w:rsidRDefault="00F07E05" w:rsidP="008A253E">
            <w:pPr>
              <w:jc w:val="center"/>
              <w:rPr>
                <w:color w:val="000000"/>
                <w:sz w:val="20"/>
                <w:szCs w:val="20"/>
              </w:rPr>
            </w:pPr>
            <w:r>
              <w:rPr>
                <w:color w:val="000000"/>
                <w:sz w:val="20"/>
                <w:szCs w:val="20"/>
              </w:rPr>
              <w:t>Прогнозируемый объем доходов от оказания платных услуг (работ) государственными казенными организациями образования Тверской области (</w:t>
            </w:r>
            <w:r>
              <w:rPr>
                <w:b/>
                <w:bCs/>
                <w:color w:val="000000"/>
                <w:sz w:val="20"/>
                <w:szCs w:val="20"/>
              </w:rPr>
              <w:t>доходы от подготовки лиц, желающих принять на воспитание в свою семью ребенка, оставшегося без попечения родителей</w:t>
            </w:r>
            <w:r>
              <w:rPr>
                <w:color w:val="000000"/>
                <w:sz w:val="20"/>
                <w:szCs w:val="20"/>
              </w:rPr>
              <w:t>)</w:t>
            </w:r>
          </w:p>
        </w:tc>
        <w:tc>
          <w:tcPr>
            <w:tcW w:w="1405" w:type="dxa"/>
            <w:shd w:val="clear" w:color="000000" w:fill="FFFFFF"/>
            <w:vAlign w:val="center"/>
            <w:hideMark/>
          </w:tcPr>
          <w:p w:rsidR="00F07E05" w:rsidRDefault="00F07E05" w:rsidP="008A253E">
            <w:pPr>
              <w:jc w:val="center"/>
              <w:rPr>
                <w:color w:val="000000"/>
                <w:sz w:val="20"/>
                <w:szCs w:val="20"/>
              </w:rPr>
            </w:pPr>
            <w:r>
              <w:rPr>
                <w:color w:val="000000"/>
                <w:sz w:val="20"/>
                <w:szCs w:val="20"/>
              </w:rPr>
              <w:t>Прогноз на 2023 год (в руб.)</w:t>
            </w:r>
          </w:p>
        </w:tc>
        <w:tc>
          <w:tcPr>
            <w:tcW w:w="2841" w:type="dxa"/>
            <w:gridSpan w:val="2"/>
            <w:shd w:val="clear" w:color="auto" w:fill="auto"/>
            <w:vAlign w:val="center"/>
            <w:hideMark/>
          </w:tcPr>
          <w:p w:rsidR="00F07E05" w:rsidRDefault="00F07E05" w:rsidP="008A253E">
            <w:pPr>
              <w:jc w:val="center"/>
              <w:rPr>
                <w:color w:val="000000"/>
                <w:sz w:val="20"/>
                <w:szCs w:val="20"/>
              </w:rPr>
            </w:pPr>
            <w:r>
              <w:rPr>
                <w:color w:val="000000"/>
                <w:sz w:val="20"/>
                <w:szCs w:val="20"/>
              </w:rPr>
              <w:t>Прогнозируемый объем доходов от оказания платных услуг (работ) государственными казенными организациями образования Тверской области (</w:t>
            </w:r>
            <w:r>
              <w:rPr>
                <w:b/>
                <w:bCs/>
                <w:color w:val="000000"/>
                <w:sz w:val="20"/>
                <w:szCs w:val="20"/>
              </w:rPr>
              <w:t>доходы от подготовки лиц, желающих принять на воспитание в свою семью ребенка, оставшегося без попечения родителей</w:t>
            </w:r>
            <w:r>
              <w:rPr>
                <w:color w:val="000000"/>
                <w:sz w:val="20"/>
                <w:szCs w:val="20"/>
              </w:rPr>
              <w:t>)</w:t>
            </w:r>
          </w:p>
        </w:tc>
        <w:tc>
          <w:tcPr>
            <w:tcW w:w="1405" w:type="dxa"/>
            <w:shd w:val="clear" w:color="000000" w:fill="FFFFFF"/>
            <w:vAlign w:val="center"/>
            <w:hideMark/>
          </w:tcPr>
          <w:p w:rsidR="00F07E05" w:rsidRDefault="00F07E05" w:rsidP="008A253E">
            <w:pPr>
              <w:jc w:val="center"/>
              <w:rPr>
                <w:color w:val="000000"/>
                <w:sz w:val="20"/>
                <w:szCs w:val="20"/>
              </w:rPr>
            </w:pPr>
            <w:r>
              <w:rPr>
                <w:color w:val="000000"/>
                <w:sz w:val="20"/>
                <w:szCs w:val="20"/>
              </w:rPr>
              <w:t>Прогноз на 2024 год (в руб.)</w:t>
            </w:r>
          </w:p>
        </w:tc>
        <w:tc>
          <w:tcPr>
            <w:tcW w:w="3377" w:type="dxa"/>
            <w:gridSpan w:val="2"/>
            <w:shd w:val="clear" w:color="auto" w:fill="auto"/>
            <w:vAlign w:val="center"/>
            <w:hideMark/>
          </w:tcPr>
          <w:p w:rsidR="00F07E05" w:rsidRDefault="00F07E05" w:rsidP="008A253E">
            <w:pPr>
              <w:jc w:val="center"/>
              <w:rPr>
                <w:color w:val="000000"/>
                <w:sz w:val="20"/>
                <w:szCs w:val="20"/>
              </w:rPr>
            </w:pPr>
            <w:r>
              <w:rPr>
                <w:color w:val="000000"/>
                <w:sz w:val="20"/>
                <w:szCs w:val="20"/>
              </w:rPr>
              <w:t>Прогнозируемый объем доходов от оказания платных услуг (работ) государственными казенными организациями образования Тверской области (</w:t>
            </w:r>
            <w:r>
              <w:rPr>
                <w:b/>
                <w:bCs/>
                <w:color w:val="000000"/>
                <w:sz w:val="20"/>
                <w:szCs w:val="20"/>
              </w:rPr>
              <w:t>доходы от подготовки лиц, желающих принять на воспитание в свою семью ребенка, оставшегося без попечения родителей</w:t>
            </w:r>
            <w:r>
              <w:rPr>
                <w:color w:val="000000"/>
                <w:sz w:val="20"/>
                <w:szCs w:val="20"/>
              </w:rPr>
              <w:t>)</w:t>
            </w:r>
          </w:p>
        </w:tc>
      </w:tr>
      <w:tr w:rsidR="00F07E05" w:rsidTr="008A253E">
        <w:trPr>
          <w:trHeight w:val="954"/>
        </w:trPr>
        <w:tc>
          <w:tcPr>
            <w:tcW w:w="2016" w:type="dxa"/>
            <w:vMerge/>
            <w:vAlign w:val="center"/>
            <w:hideMark/>
          </w:tcPr>
          <w:p w:rsidR="00F07E05" w:rsidRDefault="00F07E05" w:rsidP="008A253E">
            <w:pPr>
              <w:rPr>
                <w:color w:val="000000"/>
                <w:sz w:val="20"/>
                <w:szCs w:val="20"/>
              </w:rPr>
            </w:pPr>
          </w:p>
        </w:tc>
        <w:tc>
          <w:tcPr>
            <w:tcW w:w="1405" w:type="dxa"/>
            <w:vMerge/>
            <w:vAlign w:val="center"/>
            <w:hideMark/>
          </w:tcPr>
          <w:p w:rsidR="00F07E05" w:rsidRDefault="00F07E05" w:rsidP="008A253E">
            <w:pPr>
              <w:rPr>
                <w:color w:val="000000"/>
                <w:sz w:val="20"/>
                <w:szCs w:val="20"/>
              </w:rPr>
            </w:pPr>
          </w:p>
        </w:tc>
        <w:tc>
          <w:tcPr>
            <w:tcW w:w="1337" w:type="dxa"/>
            <w:shd w:val="clear" w:color="auto" w:fill="auto"/>
            <w:vAlign w:val="center"/>
            <w:hideMark/>
          </w:tcPr>
          <w:p w:rsidR="00F07E05" w:rsidRDefault="00F07E05" w:rsidP="008A253E">
            <w:pPr>
              <w:jc w:val="center"/>
              <w:rPr>
                <w:color w:val="000000"/>
                <w:sz w:val="20"/>
                <w:szCs w:val="20"/>
              </w:rPr>
            </w:pPr>
            <w:r>
              <w:rPr>
                <w:color w:val="000000"/>
                <w:sz w:val="20"/>
                <w:szCs w:val="20"/>
              </w:rPr>
              <w:t>Цена платной услуги</w:t>
            </w:r>
          </w:p>
        </w:tc>
        <w:tc>
          <w:tcPr>
            <w:tcW w:w="1239" w:type="dxa"/>
            <w:shd w:val="clear" w:color="auto" w:fill="auto"/>
            <w:vAlign w:val="center"/>
            <w:hideMark/>
          </w:tcPr>
          <w:p w:rsidR="00F07E05" w:rsidRDefault="00F07E05" w:rsidP="008A253E">
            <w:pPr>
              <w:jc w:val="center"/>
              <w:rPr>
                <w:color w:val="000000"/>
                <w:sz w:val="20"/>
                <w:szCs w:val="20"/>
              </w:rPr>
            </w:pPr>
            <w:r>
              <w:rPr>
                <w:color w:val="000000"/>
                <w:sz w:val="20"/>
                <w:szCs w:val="20"/>
              </w:rPr>
              <w:t>Количество услуг</w:t>
            </w:r>
          </w:p>
        </w:tc>
        <w:tc>
          <w:tcPr>
            <w:tcW w:w="1405" w:type="dxa"/>
            <w:vAlign w:val="center"/>
            <w:hideMark/>
          </w:tcPr>
          <w:p w:rsidR="00F07E05" w:rsidRDefault="00F07E05" w:rsidP="008A253E">
            <w:pPr>
              <w:rPr>
                <w:color w:val="000000"/>
                <w:sz w:val="20"/>
                <w:szCs w:val="20"/>
              </w:rPr>
            </w:pPr>
          </w:p>
        </w:tc>
        <w:tc>
          <w:tcPr>
            <w:tcW w:w="1397" w:type="dxa"/>
            <w:shd w:val="clear" w:color="auto" w:fill="auto"/>
            <w:vAlign w:val="center"/>
            <w:hideMark/>
          </w:tcPr>
          <w:p w:rsidR="00F07E05" w:rsidRDefault="00F07E05" w:rsidP="008A253E">
            <w:pPr>
              <w:jc w:val="center"/>
              <w:rPr>
                <w:color w:val="000000"/>
                <w:sz w:val="20"/>
                <w:szCs w:val="20"/>
              </w:rPr>
            </w:pPr>
            <w:r>
              <w:rPr>
                <w:color w:val="000000"/>
                <w:sz w:val="20"/>
                <w:szCs w:val="20"/>
              </w:rPr>
              <w:t>Цена платной услуги</w:t>
            </w:r>
          </w:p>
        </w:tc>
        <w:tc>
          <w:tcPr>
            <w:tcW w:w="1443" w:type="dxa"/>
            <w:shd w:val="clear" w:color="auto" w:fill="auto"/>
            <w:vAlign w:val="center"/>
            <w:hideMark/>
          </w:tcPr>
          <w:p w:rsidR="00F07E05" w:rsidRDefault="00F07E05" w:rsidP="008A253E">
            <w:pPr>
              <w:jc w:val="center"/>
              <w:rPr>
                <w:color w:val="000000"/>
                <w:sz w:val="20"/>
                <w:szCs w:val="20"/>
              </w:rPr>
            </w:pPr>
            <w:r>
              <w:rPr>
                <w:color w:val="000000"/>
                <w:sz w:val="20"/>
                <w:szCs w:val="20"/>
              </w:rPr>
              <w:t>Количество услуг</w:t>
            </w:r>
          </w:p>
        </w:tc>
        <w:tc>
          <w:tcPr>
            <w:tcW w:w="1405" w:type="dxa"/>
            <w:vAlign w:val="center"/>
            <w:hideMark/>
          </w:tcPr>
          <w:p w:rsidR="00F07E05" w:rsidRDefault="00F07E05" w:rsidP="008A253E">
            <w:pPr>
              <w:rPr>
                <w:color w:val="000000"/>
                <w:sz w:val="20"/>
                <w:szCs w:val="20"/>
              </w:rPr>
            </w:pPr>
          </w:p>
        </w:tc>
        <w:tc>
          <w:tcPr>
            <w:tcW w:w="1690" w:type="dxa"/>
            <w:shd w:val="clear" w:color="auto" w:fill="auto"/>
            <w:vAlign w:val="center"/>
            <w:hideMark/>
          </w:tcPr>
          <w:p w:rsidR="00F07E05" w:rsidRDefault="00F07E05" w:rsidP="008A253E">
            <w:pPr>
              <w:jc w:val="center"/>
              <w:rPr>
                <w:color w:val="000000"/>
                <w:sz w:val="20"/>
                <w:szCs w:val="20"/>
              </w:rPr>
            </w:pPr>
            <w:r>
              <w:rPr>
                <w:color w:val="000000"/>
                <w:sz w:val="20"/>
                <w:szCs w:val="20"/>
              </w:rPr>
              <w:t>Цена платной услуги</w:t>
            </w:r>
          </w:p>
        </w:tc>
        <w:tc>
          <w:tcPr>
            <w:tcW w:w="1687" w:type="dxa"/>
            <w:shd w:val="clear" w:color="auto" w:fill="auto"/>
            <w:vAlign w:val="center"/>
            <w:hideMark/>
          </w:tcPr>
          <w:p w:rsidR="00F07E05" w:rsidRDefault="00F07E05" w:rsidP="008A253E">
            <w:pPr>
              <w:jc w:val="center"/>
              <w:rPr>
                <w:color w:val="000000"/>
                <w:sz w:val="20"/>
                <w:szCs w:val="20"/>
              </w:rPr>
            </w:pPr>
            <w:r>
              <w:rPr>
                <w:color w:val="000000"/>
                <w:sz w:val="20"/>
                <w:szCs w:val="20"/>
              </w:rPr>
              <w:t>Количество услуг</w:t>
            </w:r>
          </w:p>
        </w:tc>
      </w:tr>
      <w:tr w:rsidR="00F07E05" w:rsidTr="008A253E">
        <w:trPr>
          <w:trHeight w:val="1711"/>
        </w:trPr>
        <w:tc>
          <w:tcPr>
            <w:tcW w:w="2016" w:type="dxa"/>
            <w:shd w:val="clear" w:color="000000" w:fill="FFFFFF"/>
            <w:vAlign w:val="center"/>
            <w:hideMark/>
          </w:tcPr>
          <w:p w:rsidR="00F07E05" w:rsidRDefault="00F07E05" w:rsidP="008A253E">
            <w:pPr>
              <w:jc w:val="center"/>
              <w:rPr>
                <w:color w:val="000000"/>
                <w:sz w:val="20"/>
                <w:szCs w:val="20"/>
              </w:rPr>
            </w:pPr>
            <w:r>
              <w:rPr>
                <w:color w:val="000000"/>
                <w:sz w:val="20"/>
                <w:szCs w:val="20"/>
              </w:rPr>
              <w:t>ГКОУ "Вышневолоцкая школа-интернат №2"</w:t>
            </w:r>
          </w:p>
        </w:tc>
        <w:tc>
          <w:tcPr>
            <w:tcW w:w="1405" w:type="dxa"/>
            <w:shd w:val="clear" w:color="000000" w:fill="FFFFFF"/>
            <w:vAlign w:val="center"/>
            <w:hideMark/>
          </w:tcPr>
          <w:p w:rsidR="00F07E05" w:rsidRDefault="00F07E05" w:rsidP="008A253E">
            <w:pPr>
              <w:jc w:val="center"/>
              <w:rPr>
                <w:b/>
                <w:bCs/>
                <w:color w:val="000000"/>
                <w:sz w:val="20"/>
                <w:szCs w:val="20"/>
              </w:rPr>
            </w:pPr>
            <w:r>
              <w:rPr>
                <w:b/>
                <w:bCs/>
                <w:color w:val="000000"/>
                <w:sz w:val="20"/>
                <w:szCs w:val="20"/>
              </w:rPr>
              <w:t>89 700,00</w:t>
            </w:r>
          </w:p>
        </w:tc>
        <w:tc>
          <w:tcPr>
            <w:tcW w:w="1337" w:type="dxa"/>
            <w:shd w:val="clear" w:color="000000" w:fill="FFFFFF"/>
            <w:vAlign w:val="center"/>
            <w:hideMark/>
          </w:tcPr>
          <w:p w:rsidR="00F07E05" w:rsidRDefault="00F07E05" w:rsidP="008A253E">
            <w:pPr>
              <w:jc w:val="center"/>
              <w:rPr>
                <w:color w:val="000000"/>
                <w:sz w:val="20"/>
                <w:szCs w:val="20"/>
              </w:rPr>
            </w:pPr>
            <w:r>
              <w:rPr>
                <w:color w:val="000000"/>
                <w:sz w:val="20"/>
                <w:szCs w:val="20"/>
              </w:rPr>
              <w:t>3 900,00</w:t>
            </w:r>
          </w:p>
        </w:tc>
        <w:tc>
          <w:tcPr>
            <w:tcW w:w="1239" w:type="dxa"/>
            <w:shd w:val="clear" w:color="000000" w:fill="FFFFFF"/>
            <w:vAlign w:val="center"/>
            <w:hideMark/>
          </w:tcPr>
          <w:p w:rsidR="00F07E05" w:rsidRDefault="00F07E05" w:rsidP="008A253E">
            <w:pPr>
              <w:jc w:val="center"/>
              <w:rPr>
                <w:color w:val="000000"/>
                <w:sz w:val="20"/>
                <w:szCs w:val="20"/>
              </w:rPr>
            </w:pPr>
            <w:r>
              <w:rPr>
                <w:color w:val="000000"/>
                <w:sz w:val="20"/>
                <w:szCs w:val="20"/>
              </w:rPr>
              <w:t>23</w:t>
            </w:r>
          </w:p>
        </w:tc>
        <w:tc>
          <w:tcPr>
            <w:tcW w:w="1405" w:type="dxa"/>
            <w:shd w:val="clear" w:color="000000" w:fill="FFFFFF"/>
            <w:vAlign w:val="center"/>
            <w:hideMark/>
          </w:tcPr>
          <w:p w:rsidR="00F07E05" w:rsidRDefault="00F07E05" w:rsidP="008A253E">
            <w:pPr>
              <w:jc w:val="center"/>
              <w:rPr>
                <w:b/>
                <w:bCs/>
                <w:color w:val="000000"/>
                <w:sz w:val="20"/>
                <w:szCs w:val="20"/>
              </w:rPr>
            </w:pPr>
            <w:r>
              <w:rPr>
                <w:b/>
                <w:bCs/>
                <w:color w:val="000000"/>
                <w:sz w:val="20"/>
                <w:szCs w:val="20"/>
              </w:rPr>
              <w:t>89 700,00</w:t>
            </w:r>
          </w:p>
        </w:tc>
        <w:tc>
          <w:tcPr>
            <w:tcW w:w="1397" w:type="dxa"/>
            <w:shd w:val="clear" w:color="000000" w:fill="FFFFFF"/>
            <w:vAlign w:val="center"/>
            <w:hideMark/>
          </w:tcPr>
          <w:p w:rsidR="00F07E05" w:rsidRDefault="00F07E05" w:rsidP="008A253E">
            <w:pPr>
              <w:jc w:val="center"/>
              <w:rPr>
                <w:color w:val="000000"/>
                <w:sz w:val="20"/>
                <w:szCs w:val="20"/>
              </w:rPr>
            </w:pPr>
            <w:r>
              <w:rPr>
                <w:color w:val="000000"/>
                <w:sz w:val="20"/>
                <w:szCs w:val="20"/>
              </w:rPr>
              <w:t>3 900,00</w:t>
            </w:r>
          </w:p>
        </w:tc>
        <w:tc>
          <w:tcPr>
            <w:tcW w:w="1443" w:type="dxa"/>
            <w:shd w:val="clear" w:color="000000" w:fill="FFFFFF"/>
            <w:vAlign w:val="center"/>
            <w:hideMark/>
          </w:tcPr>
          <w:p w:rsidR="00F07E05" w:rsidRDefault="00F07E05" w:rsidP="008A253E">
            <w:pPr>
              <w:jc w:val="center"/>
              <w:rPr>
                <w:color w:val="000000"/>
                <w:sz w:val="20"/>
                <w:szCs w:val="20"/>
              </w:rPr>
            </w:pPr>
            <w:r>
              <w:rPr>
                <w:color w:val="000000"/>
                <w:sz w:val="20"/>
                <w:szCs w:val="20"/>
              </w:rPr>
              <w:t>23</w:t>
            </w:r>
          </w:p>
        </w:tc>
        <w:tc>
          <w:tcPr>
            <w:tcW w:w="1405" w:type="dxa"/>
            <w:shd w:val="clear" w:color="000000" w:fill="FFFFFF"/>
            <w:vAlign w:val="center"/>
            <w:hideMark/>
          </w:tcPr>
          <w:p w:rsidR="00F07E05" w:rsidRDefault="00F07E05" w:rsidP="008A253E">
            <w:pPr>
              <w:jc w:val="center"/>
              <w:rPr>
                <w:b/>
                <w:bCs/>
                <w:color w:val="000000"/>
                <w:sz w:val="20"/>
                <w:szCs w:val="20"/>
              </w:rPr>
            </w:pPr>
            <w:r>
              <w:rPr>
                <w:b/>
                <w:bCs/>
                <w:color w:val="000000"/>
                <w:sz w:val="20"/>
                <w:szCs w:val="20"/>
              </w:rPr>
              <w:t>89 700,00</w:t>
            </w:r>
          </w:p>
        </w:tc>
        <w:tc>
          <w:tcPr>
            <w:tcW w:w="1690" w:type="dxa"/>
            <w:shd w:val="clear" w:color="000000" w:fill="FFFFFF"/>
            <w:vAlign w:val="center"/>
            <w:hideMark/>
          </w:tcPr>
          <w:p w:rsidR="00F07E05" w:rsidRDefault="00F07E05" w:rsidP="008A253E">
            <w:pPr>
              <w:jc w:val="center"/>
              <w:rPr>
                <w:color w:val="000000"/>
                <w:sz w:val="20"/>
                <w:szCs w:val="20"/>
              </w:rPr>
            </w:pPr>
            <w:r>
              <w:rPr>
                <w:color w:val="000000"/>
                <w:sz w:val="20"/>
                <w:szCs w:val="20"/>
              </w:rPr>
              <w:t>3 900,00</w:t>
            </w:r>
          </w:p>
        </w:tc>
        <w:tc>
          <w:tcPr>
            <w:tcW w:w="1687" w:type="dxa"/>
            <w:shd w:val="clear" w:color="000000" w:fill="FFFFFF"/>
            <w:vAlign w:val="center"/>
            <w:hideMark/>
          </w:tcPr>
          <w:p w:rsidR="00F07E05" w:rsidRDefault="00F07E05" w:rsidP="008A253E">
            <w:pPr>
              <w:jc w:val="center"/>
              <w:rPr>
                <w:color w:val="000000"/>
                <w:sz w:val="20"/>
                <w:szCs w:val="20"/>
              </w:rPr>
            </w:pPr>
            <w:r>
              <w:rPr>
                <w:color w:val="000000"/>
                <w:sz w:val="20"/>
                <w:szCs w:val="20"/>
              </w:rPr>
              <w:t>23</w:t>
            </w:r>
          </w:p>
        </w:tc>
      </w:tr>
      <w:tr w:rsidR="00F07E05" w:rsidTr="008A253E">
        <w:trPr>
          <w:trHeight w:val="408"/>
        </w:trPr>
        <w:tc>
          <w:tcPr>
            <w:tcW w:w="2016" w:type="dxa"/>
            <w:shd w:val="clear" w:color="auto" w:fill="auto"/>
            <w:noWrap/>
            <w:vAlign w:val="center"/>
            <w:hideMark/>
          </w:tcPr>
          <w:p w:rsidR="00F07E05" w:rsidRDefault="00F07E05" w:rsidP="008A253E">
            <w:pPr>
              <w:jc w:val="center"/>
              <w:rPr>
                <w:b/>
                <w:bCs/>
                <w:color w:val="000000"/>
                <w:sz w:val="20"/>
                <w:szCs w:val="20"/>
              </w:rPr>
            </w:pPr>
            <w:r>
              <w:rPr>
                <w:b/>
                <w:bCs/>
                <w:color w:val="000000"/>
                <w:sz w:val="20"/>
                <w:szCs w:val="20"/>
              </w:rPr>
              <w:t>Итого</w:t>
            </w:r>
          </w:p>
        </w:tc>
        <w:tc>
          <w:tcPr>
            <w:tcW w:w="1405" w:type="dxa"/>
            <w:shd w:val="clear" w:color="auto" w:fill="auto"/>
            <w:noWrap/>
            <w:vAlign w:val="center"/>
            <w:hideMark/>
          </w:tcPr>
          <w:p w:rsidR="00F07E05" w:rsidRDefault="00F07E05" w:rsidP="008A253E">
            <w:pPr>
              <w:jc w:val="center"/>
              <w:rPr>
                <w:b/>
                <w:bCs/>
                <w:color w:val="000000"/>
                <w:sz w:val="20"/>
                <w:szCs w:val="20"/>
              </w:rPr>
            </w:pPr>
            <w:r>
              <w:rPr>
                <w:b/>
                <w:bCs/>
                <w:color w:val="000000"/>
                <w:sz w:val="20"/>
                <w:szCs w:val="20"/>
              </w:rPr>
              <w:t>89 700,00</w:t>
            </w:r>
          </w:p>
        </w:tc>
        <w:tc>
          <w:tcPr>
            <w:tcW w:w="1337" w:type="dxa"/>
            <w:shd w:val="clear" w:color="auto" w:fill="auto"/>
            <w:noWrap/>
            <w:vAlign w:val="center"/>
            <w:hideMark/>
          </w:tcPr>
          <w:p w:rsidR="00F07E05" w:rsidRDefault="00F07E05" w:rsidP="008A253E">
            <w:pPr>
              <w:jc w:val="center"/>
              <w:rPr>
                <w:b/>
                <w:bCs/>
                <w:color w:val="000000"/>
                <w:sz w:val="20"/>
                <w:szCs w:val="20"/>
              </w:rPr>
            </w:pPr>
            <w:r>
              <w:rPr>
                <w:b/>
                <w:bCs/>
                <w:color w:val="000000"/>
                <w:sz w:val="20"/>
                <w:szCs w:val="20"/>
              </w:rPr>
              <w:t>Х</w:t>
            </w:r>
          </w:p>
        </w:tc>
        <w:tc>
          <w:tcPr>
            <w:tcW w:w="1239" w:type="dxa"/>
            <w:shd w:val="clear" w:color="auto" w:fill="auto"/>
            <w:vAlign w:val="center"/>
            <w:hideMark/>
          </w:tcPr>
          <w:p w:rsidR="00F07E05" w:rsidRDefault="00F07E05" w:rsidP="008A253E">
            <w:pPr>
              <w:jc w:val="center"/>
              <w:rPr>
                <w:b/>
                <w:bCs/>
                <w:color w:val="000000"/>
                <w:sz w:val="20"/>
                <w:szCs w:val="20"/>
              </w:rPr>
            </w:pPr>
            <w:r>
              <w:rPr>
                <w:b/>
                <w:bCs/>
                <w:color w:val="000000"/>
                <w:sz w:val="20"/>
                <w:szCs w:val="20"/>
              </w:rPr>
              <w:t>Х</w:t>
            </w:r>
          </w:p>
        </w:tc>
        <w:tc>
          <w:tcPr>
            <w:tcW w:w="1405" w:type="dxa"/>
            <w:shd w:val="clear" w:color="auto" w:fill="auto"/>
            <w:noWrap/>
            <w:vAlign w:val="center"/>
            <w:hideMark/>
          </w:tcPr>
          <w:p w:rsidR="00F07E05" w:rsidRDefault="00F07E05" w:rsidP="008A253E">
            <w:pPr>
              <w:jc w:val="center"/>
              <w:rPr>
                <w:b/>
                <w:bCs/>
                <w:color w:val="000000"/>
                <w:sz w:val="20"/>
                <w:szCs w:val="20"/>
              </w:rPr>
            </w:pPr>
            <w:r>
              <w:rPr>
                <w:b/>
                <w:bCs/>
                <w:color w:val="000000"/>
                <w:sz w:val="20"/>
                <w:szCs w:val="20"/>
              </w:rPr>
              <w:t>89 700,00</w:t>
            </w:r>
          </w:p>
        </w:tc>
        <w:tc>
          <w:tcPr>
            <w:tcW w:w="1397" w:type="dxa"/>
            <w:shd w:val="clear" w:color="auto" w:fill="auto"/>
            <w:noWrap/>
            <w:vAlign w:val="center"/>
            <w:hideMark/>
          </w:tcPr>
          <w:p w:rsidR="00F07E05" w:rsidRDefault="00F07E05" w:rsidP="008A253E">
            <w:pPr>
              <w:jc w:val="center"/>
              <w:rPr>
                <w:b/>
                <w:bCs/>
                <w:color w:val="000000"/>
                <w:sz w:val="20"/>
                <w:szCs w:val="20"/>
              </w:rPr>
            </w:pPr>
            <w:r>
              <w:rPr>
                <w:b/>
                <w:bCs/>
                <w:color w:val="000000"/>
                <w:sz w:val="20"/>
                <w:szCs w:val="20"/>
              </w:rPr>
              <w:t>Х</w:t>
            </w:r>
          </w:p>
        </w:tc>
        <w:tc>
          <w:tcPr>
            <w:tcW w:w="1443" w:type="dxa"/>
            <w:shd w:val="clear" w:color="auto" w:fill="auto"/>
            <w:vAlign w:val="center"/>
            <w:hideMark/>
          </w:tcPr>
          <w:p w:rsidR="00F07E05" w:rsidRDefault="00F07E05" w:rsidP="008A253E">
            <w:pPr>
              <w:jc w:val="center"/>
              <w:rPr>
                <w:b/>
                <w:bCs/>
                <w:color w:val="000000"/>
                <w:sz w:val="20"/>
                <w:szCs w:val="20"/>
              </w:rPr>
            </w:pPr>
            <w:r>
              <w:rPr>
                <w:b/>
                <w:bCs/>
                <w:color w:val="000000"/>
                <w:sz w:val="20"/>
                <w:szCs w:val="20"/>
              </w:rPr>
              <w:t>Х</w:t>
            </w:r>
          </w:p>
        </w:tc>
        <w:tc>
          <w:tcPr>
            <w:tcW w:w="1405" w:type="dxa"/>
            <w:shd w:val="clear" w:color="auto" w:fill="auto"/>
            <w:noWrap/>
            <w:vAlign w:val="center"/>
            <w:hideMark/>
          </w:tcPr>
          <w:p w:rsidR="00F07E05" w:rsidRDefault="00F07E05" w:rsidP="008A253E">
            <w:pPr>
              <w:jc w:val="center"/>
              <w:rPr>
                <w:b/>
                <w:bCs/>
                <w:color w:val="000000"/>
                <w:sz w:val="20"/>
                <w:szCs w:val="20"/>
              </w:rPr>
            </w:pPr>
            <w:r>
              <w:rPr>
                <w:b/>
                <w:bCs/>
                <w:color w:val="000000"/>
                <w:sz w:val="20"/>
                <w:szCs w:val="20"/>
              </w:rPr>
              <w:t>89 700,00</w:t>
            </w:r>
          </w:p>
        </w:tc>
        <w:tc>
          <w:tcPr>
            <w:tcW w:w="1690" w:type="dxa"/>
            <w:shd w:val="clear" w:color="auto" w:fill="auto"/>
            <w:noWrap/>
            <w:vAlign w:val="center"/>
            <w:hideMark/>
          </w:tcPr>
          <w:p w:rsidR="00F07E05" w:rsidRDefault="00F07E05" w:rsidP="008A253E">
            <w:pPr>
              <w:jc w:val="center"/>
              <w:rPr>
                <w:b/>
                <w:bCs/>
                <w:color w:val="000000"/>
                <w:sz w:val="20"/>
                <w:szCs w:val="20"/>
              </w:rPr>
            </w:pPr>
            <w:r>
              <w:rPr>
                <w:b/>
                <w:bCs/>
                <w:color w:val="000000"/>
                <w:sz w:val="20"/>
                <w:szCs w:val="20"/>
              </w:rPr>
              <w:t>Х</w:t>
            </w:r>
          </w:p>
        </w:tc>
        <w:tc>
          <w:tcPr>
            <w:tcW w:w="1687" w:type="dxa"/>
            <w:shd w:val="clear" w:color="auto" w:fill="auto"/>
            <w:vAlign w:val="center"/>
            <w:hideMark/>
          </w:tcPr>
          <w:p w:rsidR="00F07E05" w:rsidRDefault="00F07E05" w:rsidP="008A253E">
            <w:pPr>
              <w:jc w:val="center"/>
              <w:rPr>
                <w:b/>
                <w:bCs/>
                <w:color w:val="000000"/>
                <w:sz w:val="20"/>
                <w:szCs w:val="20"/>
              </w:rPr>
            </w:pPr>
            <w:r>
              <w:rPr>
                <w:b/>
                <w:bCs/>
                <w:color w:val="000000"/>
                <w:sz w:val="20"/>
                <w:szCs w:val="20"/>
              </w:rPr>
              <w:t>Х</w:t>
            </w:r>
          </w:p>
        </w:tc>
      </w:tr>
    </w:tbl>
    <w:p w:rsidR="00F07E05" w:rsidRDefault="00F07E05" w:rsidP="00F07E05">
      <w:pPr>
        <w:jc w:val="center"/>
        <w:rPr>
          <w:b/>
          <w:color w:val="FF0000"/>
          <w:sz w:val="28"/>
          <w:szCs w:val="28"/>
        </w:rPr>
        <w:sectPr w:rsidR="00F07E05" w:rsidSect="008A253E">
          <w:pgSz w:w="16838" w:h="11906" w:orient="landscape"/>
          <w:pgMar w:top="1701" w:right="1077" w:bottom="992" w:left="1134" w:header="709" w:footer="709" w:gutter="0"/>
          <w:cols w:space="708"/>
          <w:docGrid w:linePitch="360"/>
        </w:sectPr>
      </w:pPr>
    </w:p>
    <w:p w:rsidR="00F07E05" w:rsidRDefault="00F07E05" w:rsidP="00F07E05">
      <w:pPr>
        <w:jc w:val="center"/>
        <w:rPr>
          <w:b/>
          <w:color w:val="FF0000"/>
          <w:sz w:val="28"/>
          <w:szCs w:val="28"/>
        </w:rPr>
      </w:pPr>
    </w:p>
    <w:p w:rsidR="00F07E05" w:rsidRDefault="00F07E05" w:rsidP="00F07E05">
      <w:pPr>
        <w:jc w:val="center"/>
        <w:rPr>
          <w:b/>
          <w:sz w:val="28"/>
          <w:szCs w:val="28"/>
        </w:rPr>
      </w:pPr>
    </w:p>
    <w:p w:rsidR="00F07E05" w:rsidRDefault="00F07E05" w:rsidP="00F07E05">
      <w:pPr>
        <w:jc w:val="center"/>
        <w:rPr>
          <w:b/>
          <w:sz w:val="28"/>
          <w:szCs w:val="28"/>
        </w:rPr>
      </w:pPr>
    </w:p>
    <w:p w:rsidR="00F07E05" w:rsidRPr="00EE2236" w:rsidRDefault="00F07E05" w:rsidP="00F07E05">
      <w:pPr>
        <w:jc w:val="center"/>
        <w:rPr>
          <w:b/>
          <w:sz w:val="28"/>
          <w:szCs w:val="28"/>
        </w:rPr>
      </w:pPr>
      <w:r w:rsidRPr="00EE2236">
        <w:rPr>
          <w:b/>
          <w:sz w:val="28"/>
          <w:szCs w:val="28"/>
        </w:rPr>
        <w:t>Министерство транспорта Тверской области</w:t>
      </w:r>
    </w:p>
    <w:p w:rsidR="00F07E05" w:rsidRPr="00725026" w:rsidRDefault="00F07E05" w:rsidP="00F07E05">
      <w:pPr>
        <w:jc w:val="center"/>
        <w:rPr>
          <w:b/>
          <w:sz w:val="28"/>
          <w:szCs w:val="28"/>
        </w:rPr>
      </w:pPr>
    </w:p>
    <w:tbl>
      <w:tblPr>
        <w:tblW w:w="9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9"/>
        <w:gridCol w:w="2120"/>
        <w:gridCol w:w="1908"/>
        <w:gridCol w:w="1696"/>
        <w:gridCol w:w="1434"/>
      </w:tblGrid>
      <w:tr w:rsidR="00F07E05" w:rsidRPr="00ED784D" w:rsidTr="008A253E">
        <w:trPr>
          <w:trHeight w:val="939"/>
        </w:trPr>
        <w:tc>
          <w:tcPr>
            <w:tcW w:w="2459" w:type="dxa"/>
            <w:noWrap/>
          </w:tcPr>
          <w:p w:rsidR="00F07E05" w:rsidRPr="00ED784D" w:rsidRDefault="00F07E05" w:rsidP="008A253E">
            <w:pPr>
              <w:jc w:val="center"/>
              <w:rPr>
                <w:b/>
                <w:sz w:val="20"/>
                <w:szCs w:val="20"/>
              </w:rPr>
            </w:pPr>
            <w:r w:rsidRPr="00ED784D">
              <w:rPr>
                <w:b/>
                <w:sz w:val="20"/>
                <w:szCs w:val="20"/>
              </w:rPr>
              <w:t>КБК</w:t>
            </w:r>
          </w:p>
        </w:tc>
        <w:tc>
          <w:tcPr>
            <w:tcW w:w="2120" w:type="dxa"/>
            <w:noWrap/>
          </w:tcPr>
          <w:p w:rsidR="00F07E05" w:rsidRPr="00ED784D" w:rsidRDefault="00F07E05" w:rsidP="008A253E">
            <w:pPr>
              <w:rPr>
                <w:b/>
                <w:sz w:val="20"/>
                <w:szCs w:val="20"/>
              </w:rPr>
            </w:pPr>
            <w:r w:rsidRPr="00ED784D">
              <w:rPr>
                <w:b/>
                <w:sz w:val="20"/>
                <w:szCs w:val="20"/>
              </w:rPr>
              <w:t>Наименование</w:t>
            </w:r>
          </w:p>
        </w:tc>
        <w:tc>
          <w:tcPr>
            <w:tcW w:w="1908" w:type="dxa"/>
          </w:tcPr>
          <w:p w:rsidR="00F07E05" w:rsidRPr="00ED784D" w:rsidRDefault="00F07E05" w:rsidP="008A253E">
            <w:pPr>
              <w:jc w:val="center"/>
              <w:rPr>
                <w:b/>
                <w:sz w:val="20"/>
                <w:szCs w:val="20"/>
              </w:rPr>
            </w:pPr>
            <w:r w:rsidRPr="00ED784D">
              <w:rPr>
                <w:b/>
                <w:sz w:val="20"/>
                <w:szCs w:val="20"/>
              </w:rPr>
              <w:t>Прогноз на</w:t>
            </w:r>
          </w:p>
          <w:p w:rsidR="00F07E05" w:rsidRPr="00ED784D" w:rsidRDefault="00F07E05" w:rsidP="008A253E">
            <w:pPr>
              <w:jc w:val="center"/>
              <w:rPr>
                <w:b/>
                <w:sz w:val="20"/>
                <w:szCs w:val="20"/>
              </w:rPr>
            </w:pPr>
            <w:r w:rsidRPr="00ED784D">
              <w:rPr>
                <w:b/>
                <w:sz w:val="20"/>
                <w:szCs w:val="20"/>
              </w:rPr>
              <w:t>20</w:t>
            </w:r>
            <w:r>
              <w:rPr>
                <w:b/>
                <w:sz w:val="20"/>
                <w:szCs w:val="20"/>
              </w:rPr>
              <w:t xml:space="preserve">22 </w:t>
            </w:r>
            <w:r w:rsidRPr="00ED784D">
              <w:rPr>
                <w:b/>
                <w:sz w:val="20"/>
                <w:szCs w:val="20"/>
              </w:rPr>
              <w:t>год</w:t>
            </w:r>
          </w:p>
          <w:p w:rsidR="00F07E05" w:rsidRPr="00ED784D" w:rsidRDefault="00F07E05" w:rsidP="008A253E">
            <w:pPr>
              <w:jc w:val="center"/>
              <w:rPr>
                <w:b/>
                <w:sz w:val="20"/>
                <w:szCs w:val="20"/>
              </w:rPr>
            </w:pPr>
          </w:p>
          <w:p w:rsidR="00F07E05" w:rsidRPr="00ED784D" w:rsidRDefault="00F07E05" w:rsidP="008A253E">
            <w:pPr>
              <w:jc w:val="center"/>
              <w:rPr>
                <w:b/>
                <w:sz w:val="20"/>
                <w:szCs w:val="20"/>
              </w:rPr>
            </w:pPr>
          </w:p>
        </w:tc>
        <w:tc>
          <w:tcPr>
            <w:tcW w:w="1696" w:type="dxa"/>
          </w:tcPr>
          <w:p w:rsidR="00F07E05" w:rsidRPr="00ED784D" w:rsidRDefault="00F07E05" w:rsidP="008A253E">
            <w:pPr>
              <w:jc w:val="center"/>
              <w:rPr>
                <w:b/>
                <w:sz w:val="20"/>
                <w:szCs w:val="20"/>
              </w:rPr>
            </w:pPr>
            <w:r w:rsidRPr="00ED784D">
              <w:rPr>
                <w:b/>
                <w:sz w:val="20"/>
                <w:szCs w:val="20"/>
              </w:rPr>
              <w:t>Прогноз на</w:t>
            </w:r>
          </w:p>
          <w:p w:rsidR="00F07E05" w:rsidRPr="00ED784D" w:rsidRDefault="00F07E05" w:rsidP="008A253E">
            <w:pPr>
              <w:jc w:val="center"/>
              <w:rPr>
                <w:b/>
                <w:sz w:val="20"/>
                <w:szCs w:val="20"/>
              </w:rPr>
            </w:pPr>
            <w:r w:rsidRPr="00ED784D">
              <w:rPr>
                <w:b/>
                <w:sz w:val="20"/>
                <w:szCs w:val="20"/>
              </w:rPr>
              <w:t>20</w:t>
            </w:r>
            <w:r>
              <w:rPr>
                <w:b/>
                <w:sz w:val="20"/>
                <w:szCs w:val="20"/>
              </w:rPr>
              <w:t xml:space="preserve">23 </w:t>
            </w:r>
            <w:r w:rsidRPr="00ED784D">
              <w:rPr>
                <w:b/>
                <w:sz w:val="20"/>
                <w:szCs w:val="20"/>
              </w:rPr>
              <w:t xml:space="preserve">год </w:t>
            </w:r>
          </w:p>
          <w:p w:rsidR="00F07E05" w:rsidRPr="00ED784D" w:rsidRDefault="00F07E05" w:rsidP="008A253E">
            <w:pPr>
              <w:jc w:val="center"/>
              <w:rPr>
                <w:b/>
                <w:sz w:val="20"/>
                <w:szCs w:val="20"/>
              </w:rPr>
            </w:pPr>
          </w:p>
        </w:tc>
        <w:tc>
          <w:tcPr>
            <w:tcW w:w="1434" w:type="dxa"/>
          </w:tcPr>
          <w:p w:rsidR="00F07E05" w:rsidRPr="00ED784D" w:rsidRDefault="00F07E05" w:rsidP="008A253E">
            <w:pPr>
              <w:jc w:val="center"/>
              <w:rPr>
                <w:b/>
                <w:sz w:val="20"/>
                <w:szCs w:val="20"/>
              </w:rPr>
            </w:pPr>
            <w:r w:rsidRPr="00ED784D">
              <w:rPr>
                <w:b/>
                <w:sz w:val="20"/>
                <w:szCs w:val="20"/>
              </w:rPr>
              <w:t>Прогноз на</w:t>
            </w:r>
          </w:p>
          <w:p w:rsidR="00F07E05" w:rsidRPr="00ED784D" w:rsidRDefault="00F07E05" w:rsidP="008A253E">
            <w:pPr>
              <w:jc w:val="center"/>
              <w:rPr>
                <w:b/>
                <w:sz w:val="20"/>
                <w:szCs w:val="20"/>
              </w:rPr>
            </w:pPr>
            <w:r w:rsidRPr="00ED784D">
              <w:rPr>
                <w:b/>
                <w:sz w:val="20"/>
                <w:szCs w:val="20"/>
              </w:rPr>
              <w:t>20</w:t>
            </w:r>
            <w:r>
              <w:rPr>
                <w:b/>
                <w:sz w:val="20"/>
                <w:szCs w:val="20"/>
              </w:rPr>
              <w:t>24</w:t>
            </w:r>
            <w:r w:rsidRPr="00ED784D">
              <w:rPr>
                <w:b/>
                <w:sz w:val="20"/>
                <w:szCs w:val="20"/>
              </w:rPr>
              <w:t xml:space="preserve"> год</w:t>
            </w:r>
          </w:p>
          <w:p w:rsidR="00F07E05" w:rsidRPr="00ED784D" w:rsidRDefault="00F07E05" w:rsidP="008A253E">
            <w:pPr>
              <w:jc w:val="center"/>
              <w:rPr>
                <w:b/>
                <w:sz w:val="20"/>
                <w:szCs w:val="20"/>
              </w:rPr>
            </w:pPr>
          </w:p>
        </w:tc>
      </w:tr>
      <w:tr w:rsidR="00F07E05" w:rsidRPr="00ED784D" w:rsidTr="008A253E">
        <w:trPr>
          <w:trHeight w:val="715"/>
        </w:trPr>
        <w:tc>
          <w:tcPr>
            <w:tcW w:w="2459" w:type="dxa"/>
            <w:noWrap/>
          </w:tcPr>
          <w:p w:rsidR="00F07E05" w:rsidRPr="00ED784D" w:rsidRDefault="00F07E05" w:rsidP="008A253E">
            <w:pPr>
              <w:jc w:val="center"/>
              <w:rPr>
                <w:b/>
                <w:sz w:val="16"/>
                <w:szCs w:val="16"/>
              </w:rPr>
            </w:pPr>
            <w:r w:rsidRPr="00ED784D">
              <w:rPr>
                <w:b/>
                <w:sz w:val="16"/>
                <w:szCs w:val="16"/>
              </w:rPr>
              <w:t>000</w:t>
            </w:r>
            <w:r w:rsidRPr="00ED784D">
              <w:rPr>
                <w:b/>
                <w:sz w:val="16"/>
                <w:szCs w:val="16"/>
                <w:lang w:val="en-US"/>
              </w:rPr>
              <w:t xml:space="preserve"> 1 13 0</w:t>
            </w:r>
            <w:r w:rsidRPr="00ED784D">
              <w:rPr>
                <w:b/>
                <w:sz w:val="16"/>
                <w:szCs w:val="16"/>
              </w:rPr>
              <w:t>1990</w:t>
            </w:r>
            <w:r w:rsidRPr="00ED784D">
              <w:rPr>
                <w:b/>
                <w:sz w:val="16"/>
                <w:szCs w:val="16"/>
                <w:lang w:val="en-US"/>
              </w:rPr>
              <w:t xml:space="preserve"> 0</w:t>
            </w:r>
            <w:r w:rsidRPr="00ED784D">
              <w:rPr>
                <w:b/>
                <w:sz w:val="16"/>
                <w:szCs w:val="16"/>
              </w:rPr>
              <w:t>0</w:t>
            </w:r>
            <w:r w:rsidRPr="00ED784D">
              <w:rPr>
                <w:b/>
                <w:sz w:val="16"/>
                <w:szCs w:val="16"/>
                <w:lang w:val="en-US"/>
              </w:rPr>
              <w:t xml:space="preserve"> 0</w:t>
            </w:r>
            <w:r w:rsidRPr="00ED784D">
              <w:rPr>
                <w:b/>
                <w:sz w:val="16"/>
                <w:szCs w:val="16"/>
              </w:rPr>
              <w:t>000 130</w:t>
            </w:r>
          </w:p>
        </w:tc>
        <w:tc>
          <w:tcPr>
            <w:tcW w:w="2120" w:type="dxa"/>
          </w:tcPr>
          <w:p w:rsidR="00F07E05" w:rsidRPr="00ED784D" w:rsidRDefault="00F07E05" w:rsidP="008A253E">
            <w:pPr>
              <w:rPr>
                <w:sz w:val="20"/>
                <w:szCs w:val="20"/>
              </w:rPr>
            </w:pPr>
            <w:r w:rsidRPr="00ED784D">
              <w:rPr>
                <w:sz w:val="18"/>
                <w:szCs w:val="18"/>
              </w:rPr>
              <w:t>Прочие доходы от оказания платных услуг (работ)</w:t>
            </w:r>
          </w:p>
        </w:tc>
        <w:tc>
          <w:tcPr>
            <w:tcW w:w="1908" w:type="dxa"/>
            <w:noWrap/>
          </w:tcPr>
          <w:p w:rsidR="00F07E05" w:rsidRPr="00ED784D" w:rsidRDefault="00F07E05" w:rsidP="000505E4">
            <w:pPr>
              <w:ind w:hanging="108"/>
              <w:jc w:val="center"/>
              <w:rPr>
                <w:sz w:val="20"/>
                <w:szCs w:val="20"/>
              </w:rPr>
            </w:pPr>
            <w:r>
              <w:rPr>
                <w:sz w:val="20"/>
                <w:szCs w:val="20"/>
              </w:rPr>
              <w:t>2 360,</w:t>
            </w:r>
            <w:r w:rsidR="000505E4">
              <w:rPr>
                <w:sz w:val="20"/>
                <w:szCs w:val="20"/>
              </w:rPr>
              <w:t>2</w:t>
            </w:r>
          </w:p>
        </w:tc>
        <w:tc>
          <w:tcPr>
            <w:tcW w:w="1696" w:type="dxa"/>
            <w:noWrap/>
          </w:tcPr>
          <w:p w:rsidR="00F07E05" w:rsidRPr="00ED784D" w:rsidRDefault="00F07E05" w:rsidP="008A253E">
            <w:pPr>
              <w:ind w:hanging="108"/>
              <w:jc w:val="center"/>
              <w:rPr>
                <w:sz w:val="20"/>
                <w:szCs w:val="20"/>
              </w:rPr>
            </w:pPr>
            <w:r>
              <w:rPr>
                <w:sz w:val="20"/>
                <w:szCs w:val="20"/>
              </w:rPr>
              <w:t>2 466,7</w:t>
            </w:r>
          </w:p>
        </w:tc>
        <w:tc>
          <w:tcPr>
            <w:tcW w:w="1434" w:type="dxa"/>
            <w:noWrap/>
          </w:tcPr>
          <w:p w:rsidR="00F07E05" w:rsidRPr="00ED784D" w:rsidRDefault="00F07E05" w:rsidP="008A253E">
            <w:pPr>
              <w:ind w:left="-136" w:right="-108" w:hanging="28"/>
              <w:jc w:val="center"/>
              <w:rPr>
                <w:sz w:val="20"/>
                <w:szCs w:val="20"/>
              </w:rPr>
            </w:pPr>
            <w:r>
              <w:rPr>
                <w:sz w:val="20"/>
                <w:szCs w:val="20"/>
              </w:rPr>
              <w:t>2 575,6</w:t>
            </w:r>
          </w:p>
        </w:tc>
      </w:tr>
    </w:tbl>
    <w:p w:rsidR="00F07E05" w:rsidRPr="00C93A58" w:rsidRDefault="00F07E05" w:rsidP="00F07E05">
      <w:pPr>
        <w:jc w:val="center"/>
        <w:rPr>
          <w:b/>
          <w:sz w:val="28"/>
          <w:szCs w:val="28"/>
        </w:rPr>
      </w:pPr>
    </w:p>
    <w:p w:rsidR="00F07E05" w:rsidRPr="009A0E95" w:rsidRDefault="00F07E05" w:rsidP="00F07E05">
      <w:pPr>
        <w:ind w:firstLine="540"/>
        <w:jc w:val="both"/>
        <w:rPr>
          <w:sz w:val="28"/>
          <w:szCs w:val="28"/>
        </w:rPr>
      </w:pPr>
      <w:r w:rsidRPr="00257577">
        <w:rPr>
          <w:bCs/>
          <w:sz w:val="28"/>
          <w:szCs w:val="28"/>
        </w:rPr>
        <w:t>Прогноз рассчитывается методом прямого счета с использование</w:t>
      </w:r>
      <w:r>
        <w:rPr>
          <w:bCs/>
          <w:sz w:val="28"/>
          <w:szCs w:val="28"/>
        </w:rPr>
        <w:t>м</w:t>
      </w:r>
      <w:r w:rsidRPr="00257577">
        <w:rPr>
          <w:bCs/>
          <w:sz w:val="28"/>
          <w:szCs w:val="28"/>
        </w:rPr>
        <w:t xml:space="preserve"> количественных и стоимостных показателей с применением к стоимостному показателю </w:t>
      </w:r>
      <w:r>
        <w:rPr>
          <w:bCs/>
          <w:sz w:val="28"/>
          <w:szCs w:val="28"/>
        </w:rPr>
        <w:t xml:space="preserve">ежегодно </w:t>
      </w:r>
      <w:r w:rsidRPr="00257577">
        <w:rPr>
          <w:bCs/>
          <w:sz w:val="28"/>
          <w:szCs w:val="28"/>
        </w:rPr>
        <w:t>индекса потребительских цен</w:t>
      </w:r>
      <w:r w:rsidRPr="009E477F">
        <w:rPr>
          <w:rFonts w:cs="Calibri"/>
          <w:sz w:val="28"/>
          <w:szCs w:val="28"/>
        </w:rPr>
        <w:t xml:space="preserve"> </w:t>
      </w:r>
      <w:r w:rsidRPr="009A0E95">
        <w:rPr>
          <w:rFonts w:cs="Calibri"/>
          <w:sz w:val="28"/>
          <w:szCs w:val="28"/>
        </w:rPr>
        <w:t>на услуги, установленный Министерством экономического развития Российской Федерации на момент</w:t>
      </w:r>
      <w:r>
        <w:rPr>
          <w:rFonts w:cs="Calibri"/>
          <w:sz w:val="28"/>
          <w:szCs w:val="28"/>
        </w:rPr>
        <w:t xml:space="preserve"> прогнозирования поступлений</w:t>
      </w:r>
      <w:r w:rsidRPr="009A0E95">
        <w:rPr>
          <w:rFonts w:cs="Calibri"/>
          <w:sz w:val="28"/>
          <w:szCs w:val="28"/>
        </w:rPr>
        <w:t>.</w:t>
      </w:r>
    </w:p>
    <w:p w:rsidR="00F07E05" w:rsidRPr="00257577" w:rsidRDefault="00F07E05" w:rsidP="00F07E05">
      <w:pPr>
        <w:autoSpaceDE w:val="0"/>
        <w:autoSpaceDN w:val="0"/>
        <w:adjustRightInd w:val="0"/>
        <w:jc w:val="both"/>
        <w:rPr>
          <w:bCs/>
          <w:sz w:val="28"/>
          <w:szCs w:val="28"/>
        </w:rPr>
      </w:pPr>
      <w:r>
        <w:rPr>
          <w:bCs/>
          <w:sz w:val="28"/>
          <w:szCs w:val="28"/>
        </w:rPr>
        <w:tab/>
      </w:r>
      <w:r w:rsidRPr="00257577">
        <w:rPr>
          <w:bCs/>
          <w:sz w:val="28"/>
          <w:szCs w:val="28"/>
        </w:rPr>
        <w:t xml:space="preserve">Количественный показатель определяется исходя из </w:t>
      </w:r>
      <w:r>
        <w:rPr>
          <w:bCs/>
          <w:sz w:val="28"/>
          <w:szCs w:val="28"/>
        </w:rPr>
        <w:t>договоров, соглашений, графика захода судов.</w:t>
      </w:r>
    </w:p>
    <w:p w:rsidR="00F07E05" w:rsidRDefault="00F07E05" w:rsidP="00F07E05">
      <w:pPr>
        <w:autoSpaceDE w:val="0"/>
        <w:autoSpaceDN w:val="0"/>
        <w:adjustRightInd w:val="0"/>
        <w:jc w:val="both"/>
        <w:rPr>
          <w:bCs/>
          <w:sz w:val="28"/>
          <w:szCs w:val="28"/>
        </w:rPr>
      </w:pPr>
      <w:r>
        <w:rPr>
          <w:bCs/>
          <w:sz w:val="28"/>
          <w:szCs w:val="28"/>
        </w:rPr>
        <w:tab/>
      </w:r>
      <w:r w:rsidRPr="00257577">
        <w:rPr>
          <w:bCs/>
          <w:sz w:val="28"/>
          <w:szCs w:val="28"/>
        </w:rPr>
        <w:t>Стоимостной показатель определяется</w:t>
      </w:r>
      <w:r>
        <w:rPr>
          <w:bCs/>
          <w:sz w:val="28"/>
          <w:szCs w:val="28"/>
        </w:rPr>
        <w:t xml:space="preserve"> исходя из правовых актов Министерства транспорта Тверской области (приказ от 25.06.2020 №250)</w:t>
      </w:r>
    </w:p>
    <w:p w:rsidR="00F07E05" w:rsidRDefault="00F07E05" w:rsidP="00F07E05">
      <w:pPr>
        <w:autoSpaceDE w:val="0"/>
        <w:autoSpaceDN w:val="0"/>
        <w:adjustRightInd w:val="0"/>
        <w:jc w:val="both"/>
        <w:rPr>
          <w:sz w:val="28"/>
          <w:szCs w:val="28"/>
        </w:rPr>
      </w:pPr>
      <w:r w:rsidRPr="00257577">
        <w:rPr>
          <w:bCs/>
          <w:sz w:val="28"/>
          <w:szCs w:val="28"/>
        </w:rPr>
        <w:t xml:space="preserve">  </w:t>
      </w:r>
      <w:r>
        <w:rPr>
          <w:rFonts w:eastAsiaTheme="minorHAnsi"/>
          <w:sz w:val="28"/>
          <w:szCs w:val="28"/>
          <w:lang w:eastAsia="en-US"/>
        </w:rPr>
        <w:tab/>
      </w:r>
      <w:r w:rsidRPr="009308E3">
        <w:rPr>
          <w:sz w:val="28"/>
          <w:szCs w:val="28"/>
        </w:rPr>
        <w:t>ОЖ</w:t>
      </w:r>
      <w:r>
        <w:rPr>
          <w:sz w:val="28"/>
          <w:szCs w:val="28"/>
          <w:vertAlign w:val="subscript"/>
        </w:rPr>
        <w:t>пп</w:t>
      </w:r>
      <w:r w:rsidRPr="00DB4417">
        <w:rPr>
          <w:sz w:val="28"/>
          <w:szCs w:val="28"/>
        </w:rPr>
        <w:t xml:space="preserve"> =</w:t>
      </w:r>
      <w:r>
        <w:rPr>
          <w:sz w:val="28"/>
          <w:szCs w:val="28"/>
        </w:rPr>
        <w:t xml:space="preserve"> </w:t>
      </w:r>
      <w:r w:rsidRPr="000B714A">
        <w:rPr>
          <w:position w:val="-28"/>
          <w:sz w:val="28"/>
          <w:szCs w:val="28"/>
          <w:lang w:val="en-US"/>
        </w:rPr>
        <w:object w:dxaOrig="46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41.25pt" o:ole="">
            <v:imagedata r:id="rId29" o:title=""/>
          </v:shape>
          <o:OLEObject Type="Embed" ProgID="Equation.3" ShapeID="_x0000_i1025" DrawAspect="Content" ObjectID="_1700028820" r:id="rId30"/>
        </w:object>
      </w:r>
      <w:r w:rsidRPr="00DB4417">
        <w:rPr>
          <w:sz w:val="28"/>
          <w:szCs w:val="28"/>
        </w:rPr>
        <w:t xml:space="preserve"> (</w:t>
      </w:r>
      <w:r w:rsidRPr="00DB4417">
        <w:rPr>
          <w:sz w:val="28"/>
          <w:szCs w:val="28"/>
          <w:lang w:val="en-US"/>
        </w:rPr>
        <w:t>L</w:t>
      </w:r>
      <w:r w:rsidRPr="00B72D6B">
        <w:rPr>
          <w:sz w:val="28"/>
          <w:szCs w:val="28"/>
          <w:vertAlign w:val="subscript"/>
          <w:lang w:val="en-US"/>
        </w:rPr>
        <w:t>i</w:t>
      </w:r>
      <w:r w:rsidRPr="00DB4417">
        <w:rPr>
          <w:sz w:val="28"/>
          <w:szCs w:val="28"/>
        </w:rPr>
        <w:t xml:space="preserve"> * Ч</w:t>
      </w:r>
      <w:r w:rsidRPr="00B72D6B">
        <w:rPr>
          <w:sz w:val="28"/>
          <w:szCs w:val="28"/>
          <w:vertAlign w:val="subscript"/>
          <w:lang w:val="en-US"/>
        </w:rPr>
        <w:t>i</w:t>
      </w:r>
      <w:r>
        <w:rPr>
          <w:sz w:val="28"/>
          <w:szCs w:val="28"/>
        </w:rPr>
        <w:t xml:space="preserve"> </w:t>
      </w:r>
      <w:r w:rsidRPr="00DB4417">
        <w:rPr>
          <w:sz w:val="28"/>
          <w:szCs w:val="28"/>
        </w:rPr>
        <w:t>* Т</w:t>
      </w:r>
      <w:r>
        <w:rPr>
          <w:sz w:val="28"/>
          <w:szCs w:val="28"/>
          <w:vertAlign w:val="subscript"/>
        </w:rPr>
        <w:t>пп</w:t>
      </w:r>
      <w:r>
        <w:rPr>
          <w:sz w:val="28"/>
          <w:szCs w:val="28"/>
        </w:rPr>
        <w:t xml:space="preserve"> * ИПЦ</w:t>
      </w:r>
      <w:r w:rsidRPr="00DB4417">
        <w:rPr>
          <w:sz w:val="28"/>
          <w:szCs w:val="28"/>
        </w:rPr>
        <w:t>)</w:t>
      </w:r>
    </w:p>
    <w:p w:rsidR="00F07E05" w:rsidRPr="001024D0" w:rsidRDefault="00F07E05" w:rsidP="00F07E05">
      <w:pPr>
        <w:autoSpaceDE w:val="0"/>
        <w:autoSpaceDN w:val="0"/>
        <w:adjustRightInd w:val="0"/>
        <w:ind w:firstLine="709"/>
        <w:jc w:val="both"/>
        <w:rPr>
          <w:sz w:val="28"/>
          <w:szCs w:val="28"/>
        </w:rPr>
      </w:pPr>
      <w:r w:rsidRPr="001024D0">
        <w:rPr>
          <w:sz w:val="28"/>
          <w:szCs w:val="28"/>
        </w:rPr>
        <w:t>где</w:t>
      </w:r>
    </w:p>
    <w:p w:rsidR="00F07E05" w:rsidRDefault="00F07E05" w:rsidP="00F07E05">
      <w:pPr>
        <w:autoSpaceDE w:val="0"/>
        <w:autoSpaceDN w:val="0"/>
        <w:adjustRightInd w:val="0"/>
        <w:ind w:firstLine="709"/>
        <w:jc w:val="both"/>
        <w:rPr>
          <w:sz w:val="28"/>
          <w:szCs w:val="28"/>
        </w:rPr>
      </w:pPr>
      <w:r w:rsidRPr="001024D0">
        <w:rPr>
          <w:sz w:val="28"/>
          <w:szCs w:val="28"/>
        </w:rPr>
        <w:t>ОЖ</w:t>
      </w:r>
      <w:r w:rsidRPr="001024D0">
        <w:rPr>
          <w:sz w:val="28"/>
          <w:szCs w:val="28"/>
          <w:vertAlign w:val="subscript"/>
        </w:rPr>
        <w:t>пп</w:t>
      </w:r>
      <w:r w:rsidRPr="001024D0">
        <w:rPr>
          <w:sz w:val="28"/>
          <w:szCs w:val="28"/>
        </w:rPr>
        <w:t xml:space="preserve"> – ожидаемые поступления от услуг по предоставлению места для стоянки судна на причале</w:t>
      </w:r>
      <w:r>
        <w:rPr>
          <w:sz w:val="28"/>
          <w:szCs w:val="28"/>
        </w:rPr>
        <w:t xml:space="preserve"> в соответствующем году</w:t>
      </w:r>
      <w:r w:rsidRPr="001024D0">
        <w:rPr>
          <w:sz w:val="28"/>
          <w:szCs w:val="28"/>
        </w:rPr>
        <w:t>;</w:t>
      </w:r>
    </w:p>
    <w:p w:rsidR="00F07E05" w:rsidRDefault="00F07E05" w:rsidP="00F07E05">
      <w:pPr>
        <w:autoSpaceDE w:val="0"/>
        <w:autoSpaceDN w:val="0"/>
        <w:adjustRightInd w:val="0"/>
        <w:ind w:firstLine="709"/>
        <w:jc w:val="both"/>
        <w:rPr>
          <w:sz w:val="28"/>
          <w:szCs w:val="28"/>
        </w:rPr>
      </w:pPr>
    </w:p>
    <w:p w:rsidR="00F07E05" w:rsidRDefault="00F07E05" w:rsidP="00F07E0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i - текущий номер судна;</w:t>
      </w:r>
    </w:p>
    <w:p w:rsidR="00F07E05" w:rsidRPr="000B714A" w:rsidRDefault="00F07E05" w:rsidP="00F07E05">
      <w:pPr>
        <w:autoSpaceDE w:val="0"/>
        <w:autoSpaceDN w:val="0"/>
        <w:adjustRightInd w:val="0"/>
        <w:ind w:firstLine="709"/>
        <w:jc w:val="both"/>
        <w:rPr>
          <w:rFonts w:eastAsiaTheme="minorHAnsi"/>
          <w:sz w:val="28"/>
          <w:szCs w:val="28"/>
          <w:lang w:eastAsia="en-US"/>
        </w:rPr>
      </w:pPr>
      <w:r>
        <w:rPr>
          <w:rFonts w:eastAsiaTheme="minorHAnsi"/>
          <w:sz w:val="28"/>
          <w:szCs w:val="28"/>
          <w:lang w:val="en-US" w:eastAsia="en-US"/>
        </w:rPr>
        <w:t>n</w:t>
      </w:r>
      <w:r w:rsidRPr="00776B56">
        <w:rPr>
          <w:rFonts w:eastAsiaTheme="minorHAnsi"/>
          <w:sz w:val="28"/>
          <w:szCs w:val="28"/>
          <w:lang w:eastAsia="en-US"/>
        </w:rPr>
        <w:t xml:space="preserve"> – </w:t>
      </w:r>
      <w:r>
        <w:rPr>
          <w:rFonts w:eastAsiaTheme="minorHAnsi"/>
          <w:sz w:val="28"/>
          <w:szCs w:val="28"/>
          <w:lang w:eastAsia="en-US"/>
        </w:rPr>
        <w:t>количество заходов судов;</w:t>
      </w:r>
    </w:p>
    <w:p w:rsidR="00F07E05" w:rsidRPr="00982CBF" w:rsidRDefault="00F07E05" w:rsidP="00F07E05">
      <w:pPr>
        <w:autoSpaceDE w:val="0"/>
        <w:autoSpaceDN w:val="0"/>
        <w:adjustRightInd w:val="0"/>
        <w:ind w:firstLine="709"/>
        <w:jc w:val="both"/>
        <w:rPr>
          <w:sz w:val="28"/>
          <w:szCs w:val="28"/>
        </w:rPr>
      </w:pPr>
      <w:r w:rsidRPr="00DB4417">
        <w:rPr>
          <w:sz w:val="28"/>
          <w:szCs w:val="28"/>
          <w:lang w:val="en-US"/>
        </w:rPr>
        <w:t>L</w:t>
      </w:r>
      <w:r w:rsidRPr="00B72D6B">
        <w:rPr>
          <w:sz w:val="28"/>
          <w:szCs w:val="28"/>
          <w:vertAlign w:val="subscript"/>
          <w:lang w:val="en-US"/>
        </w:rPr>
        <w:t>i</w:t>
      </w:r>
      <w:r w:rsidRPr="00DB4417">
        <w:rPr>
          <w:color w:val="FF0000"/>
          <w:sz w:val="28"/>
          <w:szCs w:val="28"/>
        </w:rPr>
        <w:t xml:space="preserve"> </w:t>
      </w:r>
      <w:r w:rsidRPr="00DB4417">
        <w:rPr>
          <w:sz w:val="28"/>
          <w:szCs w:val="28"/>
        </w:rPr>
        <w:t>–</w:t>
      </w:r>
      <w:r>
        <w:rPr>
          <w:sz w:val="28"/>
          <w:szCs w:val="28"/>
        </w:rPr>
        <w:t xml:space="preserve"> </w:t>
      </w:r>
      <w:r w:rsidRPr="00DB4417">
        <w:rPr>
          <w:sz w:val="28"/>
          <w:szCs w:val="28"/>
        </w:rPr>
        <w:t>длина судна</w:t>
      </w:r>
      <w:r>
        <w:rPr>
          <w:sz w:val="28"/>
          <w:szCs w:val="28"/>
        </w:rPr>
        <w:t xml:space="preserve"> (</w:t>
      </w:r>
      <w:r w:rsidRPr="00DB4417">
        <w:rPr>
          <w:sz w:val="28"/>
          <w:szCs w:val="28"/>
        </w:rPr>
        <w:t>пог.</w:t>
      </w:r>
      <w:r>
        <w:rPr>
          <w:sz w:val="28"/>
          <w:szCs w:val="28"/>
        </w:rPr>
        <w:t xml:space="preserve"> </w:t>
      </w:r>
      <w:r w:rsidRPr="00DB4417">
        <w:rPr>
          <w:sz w:val="28"/>
          <w:szCs w:val="28"/>
        </w:rPr>
        <w:t>метр</w:t>
      </w:r>
      <w:r>
        <w:rPr>
          <w:sz w:val="28"/>
          <w:szCs w:val="28"/>
        </w:rPr>
        <w:t xml:space="preserve"> - принимается по данным графика захода судов (договора, соглашения))</w:t>
      </w:r>
      <w:r w:rsidRPr="00982CBF">
        <w:rPr>
          <w:sz w:val="28"/>
          <w:szCs w:val="28"/>
        </w:rPr>
        <w:t>;</w:t>
      </w:r>
    </w:p>
    <w:p w:rsidR="00F07E05" w:rsidRPr="00982CBF" w:rsidRDefault="00F07E05" w:rsidP="00F07E05">
      <w:pPr>
        <w:autoSpaceDE w:val="0"/>
        <w:autoSpaceDN w:val="0"/>
        <w:adjustRightInd w:val="0"/>
        <w:ind w:firstLine="709"/>
        <w:jc w:val="both"/>
        <w:rPr>
          <w:sz w:val="28"/>
          <w:szCs w:val="28"/>
        </w:rPr>
      </w:pPr>
      <w:r w:rsidRPr="00982CBF">
        <w:rPr>
          <w:sz w:val="28"/>
          <w:szCs w:val="28"/>
        </w:rPr>
        <w:t>Ч</w:t>
      </w:r>
      <w:r w:rsidRPr="00982CBF">
        <w:rPr>
          <w:sz w:val="28"/>
          <w:szCs w:val="28"/>
          <w:vertAlign w:val="subscript"/>
          <w:lang w:val="en-US"/>
        </w:rPr>
        <w:t>i</w:t>
      </w:r>
      <w:r w:rsidRPr="00982CBF">
        <w:rPr>
          <w:sz w:val="28"/>
          <w:szCs w:val="28"/>
        </w:rPr>
        <w:t xml:space="preserve"> – </w:t>
      </w:r>
      <w:r>
        <w:rPr>
          <w:sz w:val="28"/>
          <w:szCs w:val="28"/>
        </w:rPr>
        <w:t>время стоянки (ч - принимается по данным графика захода судов (договора, соглашения))</w:t>
      </w:r>
      <w:r w:rsidRPr="00982CBF">
        <w:rPr>
          <w:sz w:val="28"/>
          <w:szCs w:val="28"/>
        </w:rPr>
        <w:t>;</w:t>
      </w:r>
    </w:p>
    <w:p w:rsidR="00F07E05" w:rsidRDefault="00F07E05" w:rsidP="00F07E05">
      <w:pPr>
        <w:ind w:right="-2" w:firstLine="709"/>
        <w:jc w:val="both"/>
        <w:rPr>
          <w:sz w:val="28"/>
          <w:szCs w:val="28"/>
        </w:rPr>
      </w:pPr>
      <w:r w:rsidRPr="00DB4417">
        <w:rPr>
          <w:sz w:val="28"/>
          <w:szCs w:val="28"/>
        </w:rPr>
        <w:t>Т – тариф на услугу</w:t>
      </w:r>
      <w:r>
        <w:rPr>
          <w:sz w:val="28"/>
          <w:szCs w:val="28"/>
        </w:rPr>
        <w:t xml:space="preserve"> (</w:t>
      </w:r>
      <w:r w:rsidRPr="00DB4417">
        <w:rPr>
          <w:sz w:val="28"/>
          <w:szCs w:val="28"/>
        </w:rPr>
        <w:t>руб./</w:t>
      </w:r>
      <w:r>
        <w:rPr>
          <w:sz w:val="28"/>
          <w:szCs w:val="28"/>
        </w:rPr>
        <w:t xml:space="preserve">час 1 </w:t>
      </w:r>
      <w:r w:rsidRPr="00DB4417">
        <w:rPr>
          <w:sz w:val="28"/>
          <w:szCs w:val="28"/>
        </w:rPr>
        <w:t>пог.</w:t>
      </w:r>
      <w:r>
        <w:rPr>
          <w:sz w:val="28"/>
          <w:szCs w:val="28"/>
        </w:rPr>
        <w:t xml:space="preserve"> </w:t>
      </w:r>
      <w:r w:rsidRPr="00DB4417">
        <w:rPr>
          <w:sz w:val="28"/>
          <w:szCs w:val="28"/>
        </w:rPr>
        <w:t>метр судна</w:t>
      </w:r>
      <w:r>
        <w:rPr>
          <w:sz w:val="28"/>
          <w:szCs w:val="28"/>
        </w:rPr>
        <w:t xml:space="preserve"> - действующий тариф на предоставление места для стоянки судна на причале в текущем финансовом году).</w:t>
      </w:r>
    </w:p>
    <w:p w:rsidR="00F07E05" w:rsidRDefault="00F07E05" w:rsidP="00F07E05">
      <w:pPr>
        <w:ind w:firstLine="540"/>
        <w:jc w:val="both"/>
        <w:rPr>
          <w:rFonts w:cs="Calibri"/>
          <w:sz w:val="28"/>
          <w:szCs w:val="28"/>
        </w:rPr>
      </w:pPr>
      <w:r w:rsidRPr="001024D0">
        <w:rPr>
          <w:sz w:val="28"/>
          <w:szCs w:val="28"/>
        </w:rPr>
        <w:tab/>
        <w:t xml:space="preserve">ИПЦ - индекс потребительских цен </w:t>
      </w:r>
      <w:r w:rsidRPr="001024D0">
        <w:rPr>
          <w:rFonts w:cs="Calibri"/>
          <w:sz w:val="28"/>
          <w:szCs w:val="28"/>
        </w:rPr>
        <w:t>на услуги, установленный Министерством экономического развития Российской Федерации на момент прогнозирования поступлений</w:t>
      </w:r>
      <w:r w:rsidRPr="009A0E95">
        <w:rPr>
          <w:rFonts w:cs="Calibri"/>
          <w:sz w:val="28"/>
          <w:szCs w:val="28"/>
        </w:rPr>
        <w:t>.</w:t>
      </w:r>
    </w:p>
    <w:p w:rsidR="00F07E05" w:rsidRDefault="00F07E05" w:rsidP="00F07E05">
      <w:pPr>
        <w:ind w:firstLine="540"/>
        <w:jc w:val="both"/>
        <w:rPr>
          <w:rFonts w:cs="Calibri"/>
          <w:sz w:val="28"/>
          <w:szCs w:val="28"/>
        </w:rPr>
      </w:pPr>
    </w:p>
    <w:p w:rsidR="00F07E05" w:rsidRDefault="00F07E05" w:rsidP="00F07E05">
      <w:pPr>
        <w:ind w:firstLine="540"/>
        <w:jc w:val="both"/>
        <w:rPr>
          <w:b/>
          <w:color w:val="000000"/>
          <w:sz w:val="28"/>
          <w:szCs w:val="28"/>
        </w:rPr>
      </w:pPr>
    </w:p>
    <w:p w:rsidR="00F07E05" w:rsidRDefault="00F07E05" w:rsidP="00F07E05">
      <w:pPr>
        <w:ind w:firstLine="540"/>
        <w:jc w:val="both"/>
        <w:rPr>
          <w:b/>
          <w:color w:val="000000"/>
          <w:sz w:val="28"/>
          <w:szCs w:val="28"/>
        </w:rPr>
      </w:pPr>
    </w:p>
    <w:p w:rsidR="00F07E05" w:rsidRDefault="00F07E05" w:rsidP="00F07E05">
      <w:pPr>
        <w:ind w:firstLine="540"/>
        <w:jc w:val="both"/>
        <w:rPr>
          <w:b/>
          <w:color w:val="000000"/>
          <w:sz w:val="28"/>
          <w:szCs w:val="28"/>
        </w:rPr>
      </w:pPr>
    </w:p>
    <w:p w:rsidR="00F07E05" w:rsidRDefault="00F07E05" w:rsidP="00F07E05">
      <w:pPr>
        <w:ind w:firstLine="540"/>
        <w:jc w:val="both"/>
        <w:rPr>
          <w:b/>
          <w:color w:val="000000"/>
          <w:sz w:val="28"/>
          <w:szCs w:val="28"/>
        </w:rPr>
      </w:pPr>
    </w:p>
    <w:p w:rsidR="00F07E05" w:rsidRDefault="00F07E05" w:rsidP="00F07E05">
      <w:pPr>
        <w:tabs>
          <w:tab w:val="left" w:pos="709"/>
          <w:tab w:val="left" w:pos="9356"/>
        </w:tabs>
        <w:ind w:firstLine="426"/>
        <w:jc w:val="center"/>
        <w:rPr>
          <w:b/>
          <w:color w:val="000000"/>
          <w:sz w:val="28"/>
          <w:szCs w:val="28"/>
        </w:rPr>
      </w:pPr>
    </w:p>
    <w:p w:rsidR="00F07E05" w:rsidRPr="00F037CC" w:rsidRDefault="00F07E05" w:rsidP="00F07E05">
      <w:pPr>
        <w:tabs>
          <w:tab w:val="left" w:pos="709"/>
          <w:tab w:val="left" w:pos="9356"/>
        </w:tabs>
        <w:ind w:firstLine="426"/>
        <w:jc w:val="both"/>
        <w:rPr>
          <w:sz w:val="28"/>
          <w:szCs w:val="28"/>
        </w:rPr>
      </w:pPr>
      <w:r>
        <w:rPr>
          <w:b/>
          <w:color w:val="000000"/>
          <w:sz w:val="28"/>
          <w:szCs w:val="28"/>
        </w:rPr>
        <w:lastRenderedPageBreak/>
        <w:t xml:space="preserve">График захода судов в г. Тверь с 01 мая 2022 года </w:t>
      </w:r>
      <w:r w:rsidRPr="00F037CC">
        <w:rPr>
          <w:color w:val="000000"/>
          <w:sz w:val="28"/>
          <w:szCs w:val="28"/>
        </w:rPr>
        <w:t>(р</w:t>
      </w:r>
      <w:r w:rsidRPr="00F037CC">
        <w:rPr>
          <w:sz w:val="28"/>
          <w:szCs w:val="28"/>
        </w:rPr>
        <w:t xml:space="preserve">азмер платы за предоставление места для стоянки судна на причале в 2022 году – </w:t>
      </w:r>
      <w:r w:rsidRPr="00F037CC">
        <w:rPr>
          <w:b/>
          <w:bCs/>
          <w:sz w:val="28"/>
          <w:szCs w:val="28"/>
        </w:rPr>
        <w:t>29,26 руб./час 1 пог.м</w:t>
      </w:r>
      <w:r w:rsidRPr="00F037CC">
        <w:rPr>
          <w:sz w:val="28"/>
          <w:szCs w:val="28"/>
        </w:rPr>
        <w:t>)(28 руб./час 1 пог.м * 1,045 (ИПЦ на прочие услуги)</w:t>
      </w:r>
    </w:p>
    <w:tbl>
      <w:tblPr>
        <w:tblW w:w="1069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559"/>
        <w:gridCol w:w="1459"/>
        <w:gridCol w:w="1450"/>
        <w:gridCol w:w="2195"/>
        <w:gridCol w:w="1476"/>
      </w:tblGrid>
      <w:tr w:rsidR="00F07E05" w:rsidTr="008A253E">
        <w:trPr>
          <w:trHeight w:val="720"/>
        </w:trPr>
        <w:tc>
          <w:tcPr>
            <w:tcW w:w="2552" w:type="dxa"/>
            <w:tcBorders>
              <w:top w:val="single" w:sz="4" w:space="0" w:color="auto"/>
              <w:left w:val="single" w:sz="4" w:space="0" w:color="auto"/>
              <w:bottom w:val="single" w:sz="4" w:space="0" w:color="auto"/>
              <w:right w:val="single" w:sz="4" w:space="0" w:color="auto"/>
            </w:tcBorders>
            <w:noWrap/>
            <w:vAlign w:val="center"/>
            <w:hideMark/>
          </w:tcPr>
          <w:p w:rsidR="00F07E05" w:rsidRDefault="00F07E05" w:rsidP="008A253E">
            <w:pPr>
              <w:spacing w:line="276" w:lineRule="auto"/>
              <w:jc w:val="center"/>
              <w:rPr>
                <w:color w:val="000000"/>
                <w:lang w:eastAsia="en-US"/>
              </w:rPr>
            </w:pPr>
            <w:r>
              <w:rPr>
                <w:color w:val="000000"/>
                <w:lang w:eastAsia="en-US"/>
              </w:rPr>
              <w:t>Наименование компании</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F07E05" w:rsidRDefault="00F07E05" w:rsidP="008A253E">
            <w:pPr>
              <w:spacing w:line="276" w:lineRule="auto"/>
              <w:jc w:val="center"/>
              <w:rPr>
                <w:color w:val="000000"/>
                <w:lang w:eastAsia="en-US"/>
              </w:rPr>
            </w:pPr>
            <w:r>
              <w:rPr>
                <w:color w:val="000000"/>
                <w:lang w:eastAsia="en-US"/>
              </w:rPr>
              <w:t xml:space="preserve">Проект судна </w:t>
            </w:r>
          </w:p>
        </w:tc>
        <w:tc>
          <w:tcPr>
            <w:tcW w:w="1459" w:type="dxa"/>
            <w:tcBorders>
              <w:top w:val="single" w:sz="4" w:space="0" w:color="auto"/>
              <w:left w:val="single" w:sz="4" w:space="0" w:color="auto"/>
              <w:bottom w:val="single" w:sz="4" w:space="0" w:color="auto"/>
              <w:right w:val="single" w:sz="4" w:space="0" w:color="auto"/>
            </w:tcBorders>
            <w:vAlign w:val="center"/>
            <w:hideMark/>
          </w:tcPr>
          <w:p w:rsidR="00F07E05" w:rsidRDefault="00F07E05" w:rsidP="008A253E">
            <w:pPr>
              <w:spacing w:line="276" w:lineRule="auto"/>
              <w:jc w:val="center"/>
              <w:rPr>
                <w:color w:val="000000"/>
                <w:lang w:eastAsia="en-US"/>
              </w:rPr>
            </w:pPr>
            <w:r>
              <w:rPr>
                <w:color w:val="000000"/>
                <w:lang w:eastAsia="en-US"/>
              </w:rPr>
              <w:t>Длина судна, пог.метр</w:t>
            </w:r>
          </w:p>
        </w:tc>
        <w:tc>
          <w:tcPr>
            <w:tcW w:w="1450" w:type="dxa"/>
            <w:tcBorders>
              <w:top w:val="single" w:sz="4" w:space="0" w:color="auto"/>
              <w:left w:val="single" w:sz="4" w:space="0" w:color="auto"/>
              <w:bottom w:val="single" w:sz="4" w:space="0" w:color="auto"/>
              <w:right w:val="single" w:sz="4" w:space="0" w:color="auto"/>
            </w:tcBorders>
            <w:vAlign w:val="center"/>
            <w:hideMark/>
          </w:tcPr>
          <w:p w:rsidR="00F07E05" w:rsidRDefault="00F07E05" w:rsidP="008A253E">
            <w:pPr>
              <w:spacing w:line="276" w:lineRule="auto"/>
              <w:jc w:val="center"/>
              <w:rPr>
                <w:color w:val="000000"/>
                <w:lang w:eastAsia="en-US"/>
              </w:rPr>
            </w:pPr>
            <w:r>
              <w:rPr>
                <w:color w:val="000000"/>
                <w:lang w:eastAsia="en-US"/>
              </w:rPr>
              <w:t>Время стоянки, ч</w:t>
            </w:r>
          </w:p>
        </w:tc>
        <w:tc>
          <w:tcPr>
            <w:tcW w:w="2195" w:type="dxa"/>
            <w:tcBorders>
              <w:top w:val="single" w:sz="4" w:space="0" w:color="auto"/>
              <w:left w:val="single" w:sz="4" w:space="0" w:color="auto"/>
              <w:bottom w:val="single" w:sz="4" w:space="0" w:color="auto"/>
              <w:right w:val="single" w:sz="4" w:space="0" w:color="auto"/>
            </w:tcBorders>
            <w:noWrap/>
            <w:vAlign w:val="center"/>
            <w:hideMark/>
          </w:tcPr>
          <w:p w:rsidR="00F07E05" w:rsidRDefault="00F07E05" w:rsidP="008A253E">
            <w:pPr>
              <w:spacing w:line="276" w:lineRule="auto"/>
              <w:jc w:val="center"/>
              <w:rPr>
                <w:color w:val="000000"/>
                <w:lang w:eastAsia="en-US"/>
              </w:rPr>
            </w:pPr>
            <w:r>
              <w:rPr>
                <w:color w:val="000000"/>
                <w:lang w:eastAsia="en-US"/>
              </w:rPr>
              <w:t xml:space="preserve">Дата и время стоянки </w:t>
            </w:r>
          </w:p>
        </w:tc>
        <w:tc>
          <w:tcPr>
            <w:tcW w:w="1476" w:type="dxa"/>
            <w:tcBorders>
              <w:top w:val="single" w:sz="4" w:space="0" w:color="auto"/>
              <w:left w:val="single" w:sz="4" w:space="0" w:color="auto"/>
              <w:bottom w:val="single" w:sz="4" w:space="0" w:color="auto"/>
              <w:right w:val="single" w:sz="4" w:space="0" w:color="auto"/>
            </w:tcBorders>
            <w:noWrap/>
            <w:vAlign w:val="center"/>
            <w:hideMark/>
          </w:tcPr>
          <w:p w:rsidR="00F07E05" w:rsidRDefault="00F07E05" w:rsidP="008A253E">
            <w:pPr>
              <w:spacing w:line="276" w:lineRule="auto"/>
              <w:jc w:val="center"/>
              <w:rPr>
                <w:color w:val="000000"/>
                <w:lang w:eastAsia="en-US"/>
              </w:rPr>
            </w:pPr>
            <w:r>
              <w:rPr>
                <w:color w:val="000000"/>
                <w:lang w:eastAsia="en-US"/>
              </w:rPr>
              <w:t>Стоимость, руб.</w:t>
            </w:r>
          </w:p>
        </w:tc>
      </w:tr>
      <w:tr w:rsidR="00F07E05" w:rsidRPr="008C7C09" w:rsidTr="008A253E">
        <w:trPr>
          <w:trHeight w:val="630"/>
        </w:trPr>
        <w:tc>
          <w:tcPr>
            <w:tcW w:w="2552" w:type="dxa"/>
            <w:tcBorders>
              <w:top w:val="single" w:sz="4" w:space="0" w:color="auto"/>
              <w:left w:val="single" w:sz="4" w:space="0" w:color="auto"/>
              <w:bottom w:val="single" w:sz="4" w:space="0" w:color="auto"/>
              <w:right w:val="single" w:sz="4" w:space="0" w:color="auto"/>
            </w:tcBorders>
            <w:vAlign w:val="center"/>
            <w:hideMark/>
          </w:tcPr>
          <w:p w:rsidR="00F07E05" w:rsidRDefault="00F07E05" w:rsidP="008A253E">
            <w:pPr>
              <w:spacing w:line="276" w:lineRule="auto"/>
              <w:jc w:val="center"/>
              <w:rPr>
                <w:color w:val="000000"/>
                <w:lang w:eastAsia="en-US"/>
              </w:rPr>
            </w:pPr>
            <w:r>
              <w:rPr>
                <w:color w:val="000000"/>
                <w:sz w:val="22"/>
                <w:szCs w:val="22"/>
                <w:lang w:eastAsia="en-US"/>
              </w:rPr>
              <w:t>ООО «Теплоходная компания «Большой МАЯК»</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301-02</w:t>
            </w:r>
          </w:p>
        </w:tc>
        <w:tc>
          <w:tcPr>
            <w:tcW w:w="14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125,0</w:t>
            </w:r>
          </w:p>
        </w:tc>
        <w:tc>
          <w:tcPr>
            <w:tcW w:w="1450" w:type="dxa"/>
            <w:tcBorders>
              <w:top w:val="single" w:sz="4" w:space="0" w:color="auto"/>
              <w:left w:val="single" w:sz="4" w:space="0" w:color="auto"/>
              <w:bottom w:val="single" w:sz="4" w:space="0" w:color="auto"/>
              <w:right w:val="single" w:sz="4" w:space="0" w:color="auto"/>
            </w:tcBorders>
            <w:noWrap/>
            <w:vAlign w:val="bottom"/>
            <w:hideMark/>
          </w:tcPr>
          <w:p w:rsidR="00F07E05" w:rsidRPr="00B330CE" w:rsidRDefault="00F07E05" w:rsidP="008A253E">
            <w:pPr>
              <w:spacing w:line="276" w:lineRule="auto"/>
              <w:jc w:val="center"/>
              <w:rPr>
                <w:b/>
                <w:bCs/>
                <w:color w:val="000000"/>
                <w:sz w:val="22"/>
                <w:szCs w:val="22"/>
                <w:lang w:eastAsia="en-US"/>
              </w:rPr>
            </w:pPr>
            <w:r w:rsidRPr="00B330CE">
              <w:rPr>
                <w:b/>
                <w:bCs/>
                <w:color w:val="000000"/>
                <w:sz w:val="22"/>
                <w:szCs w:val="22"/>
                <w:lang w:eastAsia="en-US"/>
              </w:rPr>
              <w:t>8</w:t>
            </w:r>
          </w:p>
        </w:tc>
        <w:tc>
          <w:tcPr>
            <w:tcW w:w="2195" w:type="dxa"/>
            <w:tcBorders>
              <w:top w:val="single" w:sz="4" w:space="0" w:color="auto"/>
              <w:left w:val="single" w:sz="4" w:space="0" w:color="auto"/>
              <w:bottom w:val="single" w:sz="4" w:space="0" w:color="auto"/>
              <w:right w:val="single" w:sz="4" w:space="0" w:color="auto"/>
            </w:tcBorders>
            <w:vAlign w:val="bottom"/>
            <w:hideMark/>
          </w:tcPr>
          <w:p w:rsidR="00F07E05" w:rsidRPr="00E62237" w:rsidRDefault="00F07E05" w:rsidP="008A253E">
            <w:pPr>
              <w:spacing w:line="276" w:lineRule="auto"/>
              <w:jc w:val="center"/>
              <w:rPr>
                <w:color w:val="000000"/>
                <w:lang w:eastAsia="en-US"/>
              </w:rPr>
            </w:pPr>
            <w:r w:rsidRPr="00E62237">
              <w:rPr>
                <w:color w:val="000000"/>
                <w:sz w:val="22"/>
                <w:szCs w:val="22"/>
                <w:lang w:eastAsia="en-US"/>
              </w:rPr>
              <w:t>25.06.21 15.00-23.00 </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Pr="008C7C09" w:rsidRDefault="00F07E05" w:rsidP="008A253E">
            <w:pPr>
              <w:spacing w:line="276" w:lineRule="auto"/>
              <w:jc w:val="center"/>
              <w:rPr>
                <w:b/>
                <w:bCs/>
                <w:color w:val="000000"/>
                <w:lang w:eastAsia="en-US"/>
              </w:rPr>
            </w:pPr>
            <w:r w:rsidRPr="008C7C09">
              <w:rPr>
                <w:b/>
                <w:bCs/>
                <w:color w:val="000000"/>
                <w:sz w:val="22"/>
                <w:szCs w:val="22"/>
                <w:lang w:eastAsia="en-US"/>
              </w:rPr>
              <w:t>29 </w:t>
            </w:r>
            <w:r>
              <w:rPr>
                <w:b/>
                <w:bCs/>
                <w:color w:val="000000"/>
                <w:sz w:val="22"/>
                <w:szCs w:val="22"/>
                <w:lang w:eastAsia="en-US"/>
              </w:rPr>
              <w:t>260</w:t>
            </w:r>
            <w:r w:rsidRPr="008C7C09">
              <w:rPr>
                <w:b/>
                <w:bCs/>
                <w:color w:val="000000"/>
                <w:sz w:val="22"/>
                <w:szCs w:val="22"/>
                <w:lang w:eastAsia="en-US"/>
              </w:rPr>
              <w:t>,00 </w:t>
            </w:r>
          </w:p>
        </w:tc>
      </w:tr>
      <w:tr w:rsidR="00F07E05" w:rsidTr="008A253E">
        <w:trPr>
          <w:trHeight w:val="330"/>
        </w:trPr>
        <w:tc>
          <w:tcPr>
            <w:tcW w:w="2552" w:type="dxa"/>
            <w:vMerge w:val="restart"/>
            <w:tcBorders>
              <w:top w:val="single" w:sz="4" w:space="0" w:color="auto"/>
              <w:left w:val="single" w:sz="4" w:space="0" w:color="auto"/>
              <w:bottom w:val="single" w:sz="4" w:space="0" w:color="auto"/>
              <w:right w:val="single" w:sz="4" w:space="0" w:color="auto"/>
            </w:tcBorders>
            <w:noWrap/>
            <w:vAlign w:val="center"/>
            <w:hideMark/>
          </w:tcPr>
          <w:p w:rsidR="00F07E05" w:rsidRDefault="00F07E05" w:rsidP="008A253E">
            <w:pPr>
              <w:spacing w:line="276" w:lineRule="auto"/>
              <w:jc w:val="center"/>
              <w:rPr>
                <w:color w:val="000000"/>
                <w:lang w:eastAsia="en-US"/>
              </w:rPr>
            </w:pPr>
            <w:r>
              <w:rPr>
                <w:color w:val="000000"/>
                <w:sz w:val="22"/>
                <w:szCs w:val="22"/>
                <w:lang w:eastAsia="en-US"/>
              </w:rPr>
              <w:t>ООО «Цезарь Трэвел»</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26-37</w:t>
            </w:r>
          </w:p>
        </w:tc>
        <w:tc>
          <w:tcPr>
            <w:tcW w:w="14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96,34 </w:t>
            </w:r>
          </w:p>
        </w:tc>
        <w:tc>
          <w:tcPr>
            <w:tcW w:w="1450"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5 </w:t>
            </w:r>
          </w:p>
        </w:tc>
        <w:tc>
          <w:tcPr>
            <w:tcW w:w="2195" w:type="dxa"/>
            <w:tcBorders>
              <w:top w:val="single" w:sz="4" w:space="0" w:color="auto"/>
              <w:left w:val="single" w:sz="4" w:space="0" w:color="auto"/>
              <w:bottom w:val="single" w:sz="4" w:space="0" w:color="auto"/>
              <w:right w:val="single" w:sz="4" w:space="0" w:color="auto"/>
            </w:tcBorders>
            <w:vAlign w:val="bottom"/>
            <w:hideMark/>
          </w:tcPr>
          <w:p w:rsidR="00F07E05" w:rsidRDefault="00F07E05" w:rsidP="008A253E">
            <w:pPr>
              <w:spacing w:line="276" w:lineRule="auto"/>
              <w:jc w:val="center"/>
              <w:rPr>
                <w:color w:val="000000"/>
                <w:lang w:eastAsia="en-US"/>
              </w:rPr>
            </w:pPr>
            <w:r>
              <w:rPr>
                <w:color w:val="000000"/>
                <w:sz w:val="22"/>
                <w:szCs w:val="22"/>
                <w:lang w:eastAsia="en-US"/>
              </w:rPr>
              <w:t>22.05.21 15.45-20.00 </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14094,54</w:t>
            </w:r>
          </w:p>
        </w:tc>
      </w:tr>
      <w:tr w:rsidR="00F07E05" w:rsidTr="008A253E">
        <w:trPr>
          <w:trHeight w:val="3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Default="00F07E05" w:rsidP="008A253E">
            <w:pPr>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26-37</w:t>
            </w:r>
          </w:p>
        </w:tc>
        <w:tc>
          <w:tcPr>
            <w:tcW w:w="14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96,34</w:t>
            </w:r>
          </w:p>
        </w:tc>
        <w:tc>
          <w:tcPr>
            <w:tcW w:w="1450"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6</w:t>
            </w:r>
          </w:p>
        </w:tc>
        <w:tc>
          <w:tcPr>
            <w:tcW w:w="2195" w:type="dxa"/>
            <w:tcBorders>
              <w:top w:val="single" w:sz="4" w:space="0" w:color="auto"/>
              <w:left w:val="single" w:sz="4" w:space="0" w:color="auto"/>
              <w:bottom w:val="single" w:sz="4" w:space="0" w:color="auto"/>
              <w:right w:val="single" w:sz="4" w:space="0" w:color="auto"/>
            </w:tcBorders>
            <w:vAlign w:val="bottom"/>
            <w:hideMark/>
          </w:tcPr>
          <w:p w:rsidR="00F07E05" w:rsidRDefault="00F07E05" w:rsidP="008A253E">
            <w:pPr>
              <w:spacing w:line="276" w:lineRule="auto"/>
              <w:rPr>
                <w:color w:val="000000"/>
                <w:lang w:eastAsia="en-US"/>
              </w:rPr>
            </w:pPr>
            <w:r>
              <w:rPr>
                <w:color w:val="000000"/>
                <w:sz w:val="22"/>
                <w:szCs w:val="22"/>
                <w:lang w:eastAsia="en-US"/>
              </w:rPr>
              <w:t xml:space="preserve">05.06.21 13.00-18.15 </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16 913,45</w:t>
            </w:r>
          </w:p>
        </w:tc>
      </w:tr>
      <w:tr w:rsidR="00F07E05" w:rsidTr="008A253E">
        <w:trPr>
          <w:trHeight w:val="3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Default="00F07E05" w:rsidP="008A253E">
            <w:pPr>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hideMark/>
          </w:tcPr>
          <w:p w:rsidR="00F07E05" w:rsidRDefault="00F07E05" w:rsidP="008A253E">
            <w:pPr>
              <w:spacing w:line="276" w:lineRule="auto"/>
              <w:jc w:val="center"/>
              <w:rPr>
                <w:color w:val="000000"/>
                <w:lang w:eastAsia="en-US"/>
              </w:rPr>
            </w:pPr>
            <w:r>
              <w:rPr>
                <w:color w:val="000000"/>
                <w:sz w:val="22"/>
                <w:szCs w:val="22"/>
                <w:lang w:eastAsia="en-US"/>
              </w:rPr>
              <w:t>26-37</w:t>
            </w:r>
          </w:p>
        </w:tc>
        <w:tc>
          <w:tcPr>
            <w:tcW w:w="1459" w:type="dxa"/>
            <w:tcBorders>
              <w:top w:val="single" w:sz="4" w:space="0" w:color="auto"/>
              <w:left w:val="single" w:sz="4" w:space="0" w:color="auto"/>
              <w:bottom w:val="single" w:sz="4" w:space="0" w:color="auto"/>
              <w:right w:val="single" w:sz="4" w:space="0" w:color="auto"/>
            </w:tcBorders>
            <w:noWrap/>
            <w:hideMark/>
          </w:tcPr>
          <w:p w:rsidR="00F07E05" w:rsidRDefault="00F07E05" w:rsidP="008A253E">
            <w:pPr>
              <w:spacing w:line="276" w:lineRule="auto"/>
              <w:jc w:val="center"/>
              <w:rPr>
                <w:color w:val="000000"/>
                <w:lang w:eastAsia="en-US"/>
              </w:rPr>
            </w:pPr>
            <w:r>
              <w:rPr>
                <w:color w:val="000000"/>
                <w:sz w:val="22"/>
                <w:szCs w:val="22"/>
                <w:lang w:eastAsia="en-US"/>
              </w:rPr>
              <w:t>96,34</w:t>
            </w:r>
          </w:p>
        </w:tc>
        <w:tc>
          <w:tcPr>
            <w:tcW w:w="1450"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5</w:t>
            </w:r>
          </w:p>
        </w:tc>
        <w:tc>
          <w:tcPr>
            <w:tcW w:w="2195" w:type="dxa"/>
            <w:tcBorders>
              <w:top w:val="single" w:sz="4" w:space="0" w:color="auto"/>
              <w:left w:val="single" w:sz="4" w:space="0" w:color="auto"/>
              <w:bottom w:val="single" w:sz="4" w:space="0" w:color="auto"/>
              <w:right w:val="single" w:sz="4" w:space="0" w:color="auto"/>
            </w:tcBorders>
            <w:vAlign w:val="bottom"/>
            <w:hideMark/>
          </w:tcPr>
          <w:p w:rsidR="00F07E05" w:rsidRDefault="00F07E05" w:rsidP="008A253E">
            <w:pPr>
              <w:spacing w:line="276" w:lineRule="auto"/>
              <w:jc w:val="center"/>
              <w:rPr>
                <w:color w:val="000000"/>
                <w:lang w:eastAsia="en-US"/>
              </w:rPr>
            </w:pPr>
            <w:r>
              <w:rPr>
                <w:color w:val="000000"/>
                <w:sz w:val="22"/>
                <w:szCs w:val="22"/>
                <w:lang w:eastAsia="en-US"/>
              </w:rPr>
              <w:t>23.06.21 13.00-18.00</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07E05" w:rsidRDefault="00F07E05" w:rsidP="008A253E">
            <w:pPr>
              <w:spacing w:line="276" w:lineRule="auto"/>
              <w:jc w:val="center"/>
              <w:rPr>
                <w:color w:val="000000"/>
                <w:lang w:eastAsia="en-US"/>
              </w:rPr>
            </w:pPr>
            <w:r>
              <w:rPr>
                <w:color w:val="000000"/>
                <w:sz w:val="22"/>
                <w:szCs w:val="22"/>
              </w:rPr>
              <w:t>14 094,54</w:t>
            </w:r>
          </w:p>
        </w:tc>
      </w:tr>
      <w:tr w:rsidR="00F07E05" w:rsidTr="008A253E">
        <w:trPr>
          <w:trHeight w:val="3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Default="00F07E05" w:rsidP="008A253E">
            <w:pPr>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hideMark/>
          </w:tcPr>
          <w:p w:rsidR="00F07E05" w:rsidRDefault="00F07E05" w:rsidP="008A253E">
            <w:pPr>
              <w:spacing w:line="276" w:lineRule="auto"/>
              <w:jc w:val="center"/>
              <w:rPr>
                <w:color w:val="000000"/>
                <w:lang w:eastAsia="en-US"/>
              </w:rPr>
            </w:pPr>
            <w:r>
              <w:rPr>
                <w:color w:val="000000"/>
                <w:sz w:val="22"/>
                <w:szCs w:val="22"/>
                <w:lang w:eastAsia="en-US"/>
              </w:rPr>
              <w:t>26-37</w:t>
            </w:r>
          </w:p>
        </w:tc>
        <w:tc>
          <w:tcPr>
            <w:tcW w:w="1459" w:type="dxa"/>
            <w:tcBorders>
              <w:top w:val="single" w:sz="4" w:space="0" w:color="auto"/>
              <w:left w:val="single" w:sz="4" w:space="0" w:color="auto"/>
              <w:bottom w:val="single" w:sz="4" w:space="0" w:color="auto"/>
              <w:right w:val="single" w:sz="4" w:space="0" w:color="auto"/>
            </w:tcBorders>
            <w:noWrap/>
            <w:hideMark/>
          </w:tcPr>
          <w:p w:rsidR="00F07E05" w:rsidRDefault="00F07E05" w:rsidP="008A253E">
            <w:pPr>
              <w:spacing w:line="276" w:lineRule="auto"/>
              <w:jc w:val="center"/>
              <w:rPr>
                <w:color w:val="000000"/>
                <w:lang w:eastAsia="en-US"/>
              </w:rPr>
            </w:pPr>
            <w:r>
              <w:rPr>
                <w:color w:val="000000"/>
                <w:sz w:val="22"/>
                <w:szCs w:val="22"/>
                <w:lang w:eastAsia="en-US"/>
              </w:rPr>
              <w:t>96,34</w:t>
            </w:r>
          </w:p>
        </w:tc>
        <w:tc>
          <w:tcPr>
            <w:tcW w:w="1450"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4</w:t>
            </w:r>
          </w:p>
        </w:tc>
        <w:tc>
          <w:tcPr>
            <w:tcW w:w="2195" w:type="dxa"/>
            <w:tcBorders>
              <w:top w:val="single" w:sz="4" w:space="0" w:color="auto"/>
              <w:left w:val="single" w:sz="4" w:space="0" w:color="auto"/>
              <w:bottom w:val="single" w:sz="4" w:space="0" w:color="auto"/>
              <w:right w:val="single" w:sz="4" w:space="0" w:color="auto"/>
            </w:tcBorders>
            <w:vAlign w:val="bottom"/>
            <w:hideMark/>
          </w:tcPr>
          <w:p w:rsidR="00F07E05" w:rsidRDefault="00F07E05" w:rsidP="008A253E">
            <w:pPr>
              <w:spacing w:line="276" w:lineRule="auto"/>
              <w:jc w:val="center"/>
              <w:rPr>
                <w:color w:val="000000"/>
                <w:lang w:eastAsia="en-US"/>
              </w:rPr>
            </w:pPr>
            <w:r>
              <w:rPr>
                <w:color w:val="000000"/>
                <w:sz w:val="22"/>
                <w:szCs w:val="22"/>
                <w:lang w:eastAsia="en-US"/>
              </w:rPr>
              <w:t>17.07.21 16.00-20.00</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07E05" w:rsidRDefault="00F07E05" w:rsidP="008A253E">
            <w:pPr>
              <w:spacing w:line="276" w:lineRule="auto"/>
              <w:jc w:val="center"/>
              <w:rPr>
                <w:color w:val="000000"/>
                <w:lang w:eastAsia="en-US"/>
              </w:rPr>
            </w:pPr>
            <w:r>
              <w:rPr>
                <w:color w:val="000000"/>
                <w:sz w:val="22"/>
                <w:szCs w:val="22"/>
              </w:rPr>
              <w:t>11 275,63</w:t>
            </w:r>
          </w:p>
        </w:tc>
      </w:tr>
      <w:tr w:rsidR="00F07E05" w:rsidTr="008A253E">
        <w:trPr>
          <w:trHeight w:val="3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Default="00F07E05" w:rsidP="008A253E">
            <w:pPr>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hideMark/>
          </w:tcPr>
          <w:p w:rsidR="00F07E05" w:rsidRDefault="00F07E05" w:rsidP="008A253E">
            <w:pPr>
              <w:spacing w:line="276" w:lineRule="auto"/>
              <w:jc w:val="center"/>
              <w:rPr>
                <w:color w:val="000000"/>
                <w:lang w:eastAsia="en-US"/>
              </w:rPr>
            </w:pPr>
            <w:r>
              <w:rPr>
                <w:color w:val="000000"/>
                <w:sz w:val="22"/>
                <w:szCs w:val="22"/>
                <w:lang w:eastAsia="en-US"/>
              </w:rPr>
              <w:t>26-37</w:t>
            </w:r>
          </w:p>
        </w:tc>
        <w:tc>
          <w:tcPr>
            <w:tcW w:w="1459" w:type="dxa"/>
            <w:tcBorders>
              <w:top w:val="single" w:sz="4" w:space="0" w:color="auto"/>
              <w:left w:val="single" w:sz="4" w:space="0" w:color="auto"/>
              <w:bottom w:val="single" w:sz="4" w:space="0" w:color="auto"/>
              <w:right w:val="single" w:sz="4" w:space="0" w:color="auto"/>
            </w:tcBorders>
            <w:noWrap/>
            <w:hideMark/>
          </w:tcPr>
          <w:p w:rsidR="00F07E05" w:rsidRDefault="00F07E05" w:rsidP="008A253E">
            <w:pPr>
              <w:spacing w:line="276" w:lineRule="auto"/>
              <w:jc w:val="center"/>
              <w:rPr>
                <w:color w:val="000000"/>
                <w:lang w:eastAsia="en-US"/>
              </w:rPr>
            </w:pPr>
            <w:r>
              <w:rPr>
                <w:color w:val="000000"/>
                <w:sz w:val="22"/>
                <w:szCs w:val="22"/>
                <w:lang w:eastAsia="en-US"/>
              </w:rPr>
              <w:t>96,34</w:t>
            </w:r>
          </w:p>
        </w:tc>
        <w:tc>
          <w:tcPr>
            <w:tcW w:w="1450"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4</w:t>
            </w:r>
          </w:p>
        </w:tc>
        <w:tc>
          <w:tcPr>
            <w:tcW w:w="2195" w:type="dxa"/>
            <w:tcBorders>
              <w:top w:val="single" w:sz="4" w:space="0" w:color="auto"/>
              <w:left w:val="single" w:sz="4" w:space="0" w:color="auto"/>
              <w:bottom w:val="single" w:sz="4" w:space="0" w:color="auto"/>
              <w:right w:val="single" w:sz="4" w:space="0" w:color="auto"/>
            </w:tcBorders>
            <w:vAlign w:val="bottom"/>
            <w:hideMark/>
          </w:tcPr>
          <w:p w:rsidR="00F07E05" w:rsidRDefault="00F07E05" w:rsidP="008A253E">
            <w:pPr>
              <w:spacing w:line="276" w:lineRule="auto"/>
              <w:jc w:val="center"/>
              <w:rPr>
                <w:color w:val="000000"/>
                <w:lang w:eastAsia="en-US"/>
              </w:rPr>
            </w:pPr>
            <w:r>
              <w:rPr>
                <w:color w:val="000000"/>
                <w:sz w:val="22"/>
                <w:szCs w:val="22"/>
                <w:lang w:eastAsia="en-US"/>
              </w:rPr>
              <w:t>07.08.21 16.30-20.30</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07E05" w:rsidRDefault="00F07E05" w:rsidP="008A253E">
            <w:pPr>
              <w:spacing w:line="276" w:lineRule="auto"/>
              <w:jc w:val="center"/>
              <w:rPr>
                <w:color w:val="000000"/>
                <w:lang w:eastAsia="en-US"/>
              </w:rPr>
            </w:pPr>
            <w:r>
              <w:rPr>
                <w:color w:val="000000"/>
                <w:sz w:val="22"/>
                <w:szCs w:val="22"/>
              </w:rPr>
              <w:t>11 275,63</w:t>
            </w:r>
          </w:p>
        </w:tc>
      </w:tr>
      <w:tr w:rsidR="00F07E05" w:rsidTr="008A253E">
        <w:trPr>
          <w:trHeight w:val="3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Default="00F07E05" w:rsidP="008A253E">
            <w:pPr>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hideMark/>
          </w:tcPr>
          <w:p w:rsidR="00F07E05" w:rsidRDefault="00F07E05" w:rsidP="008A253E">
            <w:pPr>
              <w:spacing w:line="276" w:lineRule="auto"/>
              <w:jc w:val="center"/>
              <w:rPr>
                <w:color w:val="000000"/>
                <w:lang w:eastAsia="en-US"/>
              </w:rPr>
            </w:pPr>
            <w:r>
              <w:rPr>
                <w:color w:val="000000"/>
                <w:sz w:val="22"/>
                <w:szCs w:val="22"/>
                <w:lang w:eastAsia="en-US"/>
              </w:rPr>
              <w:t>26-37</w:t>
            </w:r>
          </w:p>
        </w:tc>
        <w:tc>
          <w:tcPr>
            <w:tcW w:w="1459" w:type="dxa"/>
            <w:tcBorders>
              <w:top w:val="single" w:sz="4" w:space="0" w:color="auto"/>
              <w:left w:val="single" w:sz="4" w:space="0" w:color="auto"/>
              <w:bottom w:val="single" w:sz="4" w:space="0" w:color="auto"/>
              <w:right w:val="single" w:sz="4" w:space="0" w:color="auto"/>
            </w:tcBorders>
            <w:noWrap/>
            <w:hideMark/>
          </w:tcPr>
          <w:p w:rsidR="00F07E05" w:rsidRDefault="00F07E05" w:rsidP="008A253E">
            <w:pPr>
              <w:spacing w:line="276" w:lineRule="auto"/>
              <w:jc w:val="center"/>
              <w:rPr>
                <w:color w:val="000000"/>
                <w:lang w:eastAsia="en-US"/>
              </w:rPr>
            </w:pPr>
            <w:r>
              <w:rPr>
                <w:color w:val="000000"/>
                <w:sz w:val="22"/>
                <w:szCs w:val="22"/>
                <w:lang w:eastAsia="en-US"/>
              </w:rPr>
              <w:t>96,34</w:t>
            </w:r>
          </w:p>
        </w:tc>
        <w:tc>
          <w:tcPr>
            <w:tcW w:w="1450"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5</w:t>
            </w:r>
          </w:p>
        </w:tc>
        <w:tc>
          <w:tcPr>
            <w:tcW w:w="2195" w:type="dxa"/>
            <w:tcBorders>
              <w:top w:val="single" w:sz="4" w:space="0" w:color="auto"/>
              <w:left w:val="single" w:sz="4" w:space="0" w:color="auto"/>
              <w:bottom w:val="single" w:sz="4" w:space="0" w:color="auto"/>
              <w:right w:val="single" w:sz="4" w:space="0" w:color="auto"/>
            </w:tcBorders>
            <w:vAlign w:val="bottom"/>
            <w:hideMark/>
          </w:tcPr>
          <w:p w:rsidR="00F07E05" w:rsidRDefault="00F07E05" w:rsidP="008A253E">
            <w:pPr>
              <w:spacing w:line="276" w:lineRule="auto"/>
              <w:jc w:val="center"/>
              <w:rPr>
                <w:color w:val="000000"/>
                <w:lang w:eastAsia="en-US"/>
              </w:rPr>
            </w:pPr>
            <w:r>
              <w:rPr>
                <w:color w:val="000000"/>
                <w:sz w:val="22"/>
                <w:szCs w:val="22"/>
                <w:lang w:eastAsia="en-US"/>
              </w:rPr>
              <w:t>14.08.21 15.00-20.00</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07E05" w:rsidRDefault="00F07E05" w:rsidP="008A253E">
            <w:pPr>
              <w:spacing w:line="276" w:lineRule="auto"/>
              <w:jc w:val="center"/>
              <w:rPr>
                <w:color w:val="000000"/>
                <w:lang w:eastAsia="en-US"/>
              </w:rPr>
            </w:pPr>
            <w:r>
              <w:rPr>
                <w:color w:val="000000"/>
                <w:sz w:val="22"/>
                <w:szCs w:val="22"/>
              </w:rPr>
              <w:t>14 094,54</w:t>
            </w:r>
          </w:p>
        </w:tc>
      </w:tr>
      <w:tr w:rsidR="00F07E05" w:rsidTr="008A253E">
        <w:trPr>
          <w:trHeight w:val="3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Default="00F07E05" w:rsidP="008A253E">
            <w:pPr>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hideMark/>
          </w:tcPr>
          <w:p w:rsidR="00F07E05" w:rsidRDefault="00F07E05" w:rsidP="008A253E">
            <w:pPr>
              <w:spacing w:line="276" w:lineRule="auto"/>
              <w:jc w:val="center"/>
              <w:rPr>
                <w:color w:val="000000"/>
                <w:lang w:eastAsia="en-US"/>
              </w:rPr>
            </w:pPr>
            <w:r>
              <w:rPr>
                <w:color w:val="000000"/>
                <w:sz w:val="22"/>
                <w:szCs w:val="22"/>
                <w:lang w:eastAsia="en-US"/>
              </w:rPr>
              <w:t>26-37</w:t>
            </w:r>
          </w:p>
        </w:tc>
        <w:tc>
          <w:tcPr>
            <w:tcW w:w="1459" w:type="dxa"/>
            <w:tcBorders>
              <w:top w:val="single" w:sz="4" w:space="0" w:color="auto"/>
              <w:left w:val="single" w:sz="4" w:space="0" w:color="auto"/>
              <w:bottom w:val="single" w:sz="4" w:space="0" w:color="auto"/>
              <w:right w:val="single" w:sz="4" w:space="0" w:color="auto"/>
            </w:tcBorders>
            <w:noWrap/>
            <w:hideMark/>
          </w:tcPr>
          <w:p w:rsidR="00F07E05" w:rsidRDefault="00F07E05" w:rsidP="008A253E">
            <w:pPr>
              <w:spacing w:line="276" w:lineRule="auto"/>
              <w:jc w:val="center"/>
              <w:rPr>
                <w:color w:val="000000"/>
                <w:lang w:eastAsia="en-US"/>
              </w:rPr>
            </w:pPr>
            <w:r>
              <w:rPr>
                <w:color w:val="000000"/>
                <w:sz w:val="22"/>
                <w:szCs w:val="22"/>
                <w:lang w:eastAsia="en-US"/>
              </w:rPr>
              <w:t>96,34</w:t>
            </w:r>
          </w:p>
        </w:tc>
        <w:tc>
          <w:tcPr>
            <w:tcW w:w="1450"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5</w:t>
            </w:r>
          </w:p>
        </w:tc>
        <w:tc>
          <w:tcPr>
            <w:tcW w:w="2195" w:type="dxa"/>
            <w:tcBorders>
              <w:top w:val="single" w:sz="4" w:space="0" w:color="auto"/>
              <w:left w:val="single" w:sz="4" w:space="0" w:color="auto"/>
              <w:bottom w:val="single" w:sz="4" w:space="0" w:color="auto"/>
              <w:right w:val="single" w:sz="4" w:space="0" w:color="auto"/>
            </w:tcBorders>
            <w:vAlign w:val="bottom"/>
            <w:hideMark/>
          </w:tcPr>
          <w:p w:rsidR="00F07E05" w:rsidRDefault="00F07E05" w:rsidP="008A253E">
            <w:pPr>
              <w:spacing w:line="276" w:lineRule="auto"/>
              <w:jc w:val="center"/>
              <w:rPr>
                <w:color w:val="000000"/>
                <w:lang w:eastAsia="en-US"/>
              </w:rPr>
            </w:pPr>
            <w:r>
              <w:rPr>
                <w:color w:val="000000"/>
                <w:sz w:val="22"/>
                <w:szCs w:val="22"/>
                <w:lang w:eastAsia="en-US"/>
              </w:rPr>
              <w:t>21.08.21 13.00-18.00</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07E05" w:rsidRDefault="00F07E05" w:rsidP="008A253E">
            <w:pPr>
              <w:spacing w:line="276" w:lineRule="auto"/>
              <w:jc w:val="center"/>
              <w:rPr>
                <w:color w:val="000000"/>
                <w:lang w:eastAsia="en-US"/>
              </w:rPr>
            </w:pPr>
            <w:r w:rsidRPr="00F65164">
              <w:rPr>
                <w:color w:val="000000"/>
                <w:sz w:val="22"/>
                <w:szCs w:val="22"/>
              </w:rPr>
              <w:t>14 094,54</w:t>
            </w:r>
          </w:p>
        </w:tc>
      </w:tr>
      <w:tr w:rsidR="00F07E05" w:rsidTr="008A253E">
        <w:trPr>
          <w:trHeight w:val="3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Default="00F07E05" w:rsidP="008A253E">
            <w:pPr>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hideMark/>
          </w:tcPr>
          <w:p w:rsidR="00F07E05" w:rsidRDefault="00F07E05" w:rsidP="008A253E">
            <w:pPr>
              <w:spacing w:line="276" w:lineRule="auto"/>
              <w:jc w:val="center"/>
              <w:rPr>
                <w:color w:val="000000"/>
                <w:lang w:eastAsia="en-US"/>
              </w:rPr>
            </w:pPr>
            <w:r>
              <w:rPr>
                <w:color w:val="000000"/>
                <w:sz w:val="22"/>
                <w:szCs w:val="22"/>
                <w:lang w:eastAsia="en-US"/>
              </w:rPr>
              <w:t>26-37</w:t>
            </w:r>
          </w:p>
        </w:tc>
        <w:tc>
          <w:tcPr>
            <w:tcW w:w="1459" w:type="dxa"/>
            <w:tcBorders>
              <w:top w:val="single" w:sz="4" w:space="0" w:color="auto"/>
              <w:left w:val="single" w:sz="4" w:space="0" w:color="auto"/>
              <w:bottom w:val="single" w:sz="4" w:space="0" w:color="auto"/>
              <w:right w:val="single" w:sz="4" w:space="0" w:color="auto"/>
            </w:tcBorders>
            <w:noWrap/>
            <w:hideMark/>
          </w:tcPr>
          <w:p w:rsidR="00F07E05" w:rsidRDefault="00F07E05" w:rsidP="008A253E">
            <w:pPr>
              <w:spacing w:line="276" w:lineRule="auto"/>
              <w:jc w:val="center"/>
              <w:rPr>
                <w:color w:val="000000"/>
                <w:lang w:eastAsia="en-US"/>
              </w:rPr>
            </w:pPr>
            <w:r>
              <w:rPr>
                <w:color w:val="000000"/>
                <w:sz w:val="22"/>
                <w:szCs w:val="22"/>
                <w:lang w:eastAsia="en-US"/>
              </w:rPr>
              <w:t>96,34</w:t>
            </w:r>
          </w:p>
        </w:tc>
        <w:tc>
          <w:tcPr>
            <w:tcW w:w="1450"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3</w:t>
            </w:r>
          </w:p>
        </w:tc>
        <w:tc>
          <w:tcPr>
            <w:tcW w:w="2195" w:type="dxa"/>
            <w:tcBorders>
              <w:top w:val="single" w:sz="4" w:space="0" w:color="auto"/>
              <w:left w:val="single" w:sz="4" w:space="0" w:color="auto"/>
              <w:bottom w:val="single" w:sz="4" w:space="0" w:color="auto"/>
              <w:right w:val="single" w:sz="4" w:space="0" w:color="auto"/>
            </w:tcBorders>
            <w:vAlign w:val="bottom"/>
            <w:hideMark/>
          </w:tcPr>
          <w:p w:rsidR="00F07E05" w:rsidRDefault="00F07E05" w:rsidP="008A253E">
            <w:pPr>
              <w:spacing w:line="276" w:lineRule="auto"/>
              <w:jc w:val="center"/>
              <w:rPr>
                <w:color w:val="000000"/>
                <w:lang w:eastAsia="en-US"/>
              </w:rPr>
            </w:pPr>
            <w:r>
              <w:rPr>
                <w:color w:val="000000"/>
                <w:sz w:val="22"/>
                <w:szCs w:val="22"/>
                <w:lang w:eastAsia="en-US"/>
              </w:rPr>
              <w:t>28.08.21 15.00-18.00</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07E05" w:rsidRDefault="00F07E05" w:rsidP="008A253E">
            <w:pPr>
              <w:spacing w:line="276" w:lineRule="auto"/>
              <w:jc w:val="center"/>
              <w:rPr>
                <w:color w:val="000000"/>
                <w:lang w:eastAsia="en-US"/>
              </w:rPr>
            </w:pPr>
            <w:r>
              <w:rPr>
                <w:color w:val="000000"/>
                <w:sz w:val="22"/>
                <w:szCs w:val="22"/>
              </w:rPr>
              <w:t>8 456,73</w:t>
            </w:r>
          </w:p>
        </w:tc>
      </w:tr>
      <w:tr w:rsidR="00F07E05" w:rsidTr="008A253E">
        <w:trPr>
          <w:trHeight w:val="3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Default="00F07E05" w:rsidP="008A253E">
            <w:pPr>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hideMark/>
          </w:tcPr>
          <w:p w:rsidR="00F07E05" w:rsidRDefault="00F07E05" w:rsidP="008A253E">
            <w:pPr>
              <w:spacing w:line="276" w:lineRule="auto"/>
              <w:jc w:val="center"/>
              <w:rPr>
                <w:color w:val="000000"/>
                <w:lang w:eastAsia="en-US"/>
              </w:rPr>
            </w:pPr>
            <w:r>
              <w:rPr>
                <w:color w:val="000000"/>
                <w:sz w:val="22"/>
                <w:szCs w:val="22"/>
                <w:lang w:eastAsia="en-US"/>
              </w:rPr>
              <w:t>26-37</w:t>
            </w:r>
          </w:p>
        </w:tc>
        <w:tc>
          <w:tcPr>
            <w:tcW w:w="1459" w:type="dxa"/>
            <w:tcBorders>
              <w:top w:val="single" w:sz="4" w:space="0" w:color="auto"/>
              <w:left w:val="single" w:sz="4" w:space="0" w:color="auto"/>
              <w:bottom w:val="single" w:sz="4" w:space="0" w:color="auto"/>
              <w:right w:val="single" w:sz="4" w:space="0" w:color="auto"/>
            </w:tcBorders>
            <w:noWrap/>
            <w:hideMark/>
          </w:tcPr>
          <w:p w:rsidR="00F07E05" w:rsidRDefault="00F07E05" w:rsidP="008A253E">
            <w:pPr>
              <w:spacing w:line="276" w:lineRule="auto"/>
              <w:jc w:val="center"/>
              <w:rPr>
                <w:color w:val="000000"/>
                <w:lang w:eastAsia="en-US"/>
              </w:rPr>
            </w:pPr>
            <w:r>
              <w:rPr>
                <w:color w:val="000000"/>
                <w:sz w:val="22"/>
                <w:szCs w:val="22"/>
                <w:lang w:eastAsia="en-US"/>
              </w:rPr>
              <w:t>96,34</w:t>
            </w:r>
          </w:p>
        </w:tc>
        <w:tc>
          <w:tcPr>
            <w:tcW w:w="1450"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5</w:t>
            </w:r>
          </w:p>
        </w:tc>
        <w:tc>
          <w:tcPr>
            <w:tcW w:w="2195" w:type="dxa"/>
            <w:tcBorders>
              <w:top w:val="single" w:sz="4" w:space="0" w:color="auto"/>
              <w:left w:val="single" w:sz="4" w:space="0" w:color="auto"/>
              <w:bottom w:val="single" w:sz="4" w:space="0" w:color="auto"/>
              <w:right w:val="single" w:sz="4" w:space="0" w:color="auto"/>
            </w:tcBorders>
            <w:vAlign w:val="bottom"/>
            <w:hideMark/>
          </w:tcPr>
          <w:p w:rsidR="00F07E05" w:rsidRDefault="00F07E05" w:rsidP="008A253E">
            <w:pPr>
              <w:spacing w:line="276" w:lineRule="auto"/>
              <w:jc w:val="center"/>
              <w:rPr>
                <w:color w:val="000000"/>
                <w:lang w:eastAsia="en-US"/>
              </w:rPr>
            </w:pPr>
            <w:r>
              <w:rPr>
                <w:color w:val="000000"/>
                <w:sz w:val="22"/>
                <w:szCs w:val="22"/>
                <w:lang w:eastAsia="en-US"/>
              </w:rPr>
              <w:t>04.09.21 13.00-18.00</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07E05" w:rsidRDefault="00F07E05" w:rsidP="008A253E">
            <w:pPr>
              <w:spacing w:line="276" w:lineRule="auto"/>
              <w:jc w:val="center"/>
              <w:rPr>
                <w:color w:val="000000"/>
                <w:lang w:eastAsia="en-US"/>
              </w:rPr>
            </w:pPr>
            <w:r>
              <w:rPr>
                <w:color w:val="000000"/>
                <w:sz w:val="22"/>
                <w:szCs w:val="22"/>
              </w:rPr>
              <w:t>14 094,54</w:t>
            </w:r>
          </w:p>
        </w:tc>
      </w:tr>
      <w:tr w:rsidR="00F07E05" w:rsidTr="008A253E">
        <w:trPr>
          <w:trHeight w:val="3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Default="00F07E05" w:rsidP="008A253E">
            <w:pPr>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hideMark/>
          </w:tcPr>
          <w:p w:rsidR="00F07E05" w:rsidRDefault="00F07E05" w:rsidP="008A253E">
            <w:pPr>
              <w:spacing w:line="276" w:lineRule="auto"/>
              <w:jc w:val="center"/>
              <w:rPr>
                <w:color w:val="000000"/>
                <w:lang w:eastAsia="en-US"/>
              </w:rPr>
            </w:pPr>
            <w:r>
              <w:rPr>
                <w:color w:val="000000"/>
                <w:sz w:val="22"/>
                <w:szCs w:val="22"/>
                <w:lang w:eastAsia="en-US"/>
              </w:rPr>
              <w:t>26-37</w:t>
            </w:r>
          </w:p>
        </w:tc>
        <w:tc>
          <w:tcPr>
            <w:tcW w:w="1459" w:type="dxa"/>
            <w:tcBorders>
              <w:top w:val="single" w:sz="4" w:space="0" w:color="auto"/>
              <w:left w:val="single" w:sz="4" w:space="0" w:color="auto"/>
              <w:bottom w:val="single" w:sz="4" w:space="0" w:color="auto"/>
              <w:right w:val="single" w:sz="4" w:space="0" w:color="auto"/>
            </w:tcBorders>
            <w:noWrap/>
            <w:hideMark/>
          </w:tcPr>
          <w:p w:rsidR="00F07E05" w:rsidRDefault="00F07E05" w:rsidP="008A253E">
            <w:pPr>
              <w:spacing w:line="276" w:lineRule="auto"/>
              <w:jc w:val="center"/>
              <w:rPr>
                <w:color w:val="000000"/>
                <w:lang w:eastAsia="en-US"/>
              </w:rPr>
            </w:pPr>
            <w:r>
              <w:rPr>
                <w:color w:val="000000"/>
                <w:sz w:val="22"/>
                <w:szCs w:val="22"/>
                <w:lang w:eastAsia="en-US"/>
              </w:rPr>
              <w:t>96,34</w:t>
            </w:r>
          </w:p>
        </w:tc>
        <w:tc>
          <w:tcPr>
            <w:tcW w:w="1450"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4</w:t>
            </w:r>
          </w:p>
        </w:tc>
        <w:tc>
          <w:tcPr>
            <w:tcW w:w="2195" w:type="dxa"/>
            <w:tcBorders>
              <w:top w:val="single" w:sz="4" w:space="0" w:color="auto"/>
              <w:left w:val="single" w:sz="4" w:space="0" w:color="auto"/>
              <w:bottom w:val="single" w:sz="4" w:space="0" w:color="auto"/>
              <w:right w:val="single" w:sz="4" w:space="0" w:color="auto"/>
            </w:tcBorders>
            <w:vAlign w:val="bottom"/>
            <w:hideMark/>
          </w:tcPr>
          <w:p w:rsidR="00F07E05" w:rsidRDefault="00F07E05" w:rsidP="008A253E">
            <w:pPr>
              <w:spacing w:line="276" w:lineRule="auto"/>
              <w:jc w:val="center"/>
              <w:rPr>
                <w:color w:val="000000"/>
                <w:lang w:eastAsia="en-US"/>
              </w:rPr>
            </w:pPr>
            <w:r>
              <w:rPr>
                <w:color w:val="000000"/>
                <w:sz w:val="22"/>
                <w:szCs w:val="22"/>
                <w:lang w:eastAsia="en-US"/>
              </w:rPr>
              <w:t>11.09.21 16.30-20.30</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07E05" w:rsidRDefault="00F07E05" w:rsidP="008A253E">
            <w:pPr>
              <w:spacing w:line="276" w:lineRule="auto"/>
              <w:jc w:val="center"/>
              <w:rPr>
                <w:color w:val="000000"/>
                <w:lang w:eastAsia="en-US"/>
              </w:rPr>
            </w:pPr>
            <w:r>
              <w:rPr>
                <w:color w:val="000000"/>
                <w:sz w:val="22"/>
                <w:szCs w:val="22"/>
              </w:rPr>
              <w:t>11 275,63</w:t>
            </w:r>
          </w:p>
        </w:tc>
      </w:tr>
      <w:tr w:rsidR="00F07E05" w:rsidTr="008A253E">
        <w:trPr>
          <w:trHeight w:val="3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Default="00F07E05" w:rsidP="008A253E">
            <w:pPr>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hideMark/>
          </w:tcPr>
          <w:p w:rsidR="00F07E05" w:rsidRDefault="00F07E05" w:rsidP="008A253E">
            <w:pPr>
              <w:spacing w:line="276" w:lineRule="auto"/>
              <w:jc w:val="center"/>
              <w:rPr>
                <w:color w:val="000000"/>
                <w:lang w:eastAsia="en-US"/>
              </w:rPr>
            </w:pPr>
            <w:r>
              <w:rPr>
                <w:color w:val="000000"/>
                <w:sz w:val="22"/>
                <w:szCs w:val="22"/>
                <w:lang w:eastAsia="en-US"/>
              </w:rPr>
              <w:t>26-37</w:t>
            </w:r>
          </w:p>
        </w:tc>
        <w:tc>
          <w:tcPr>
            <w:tcW w:w="1459" w:type="dxa"/>
            <w:tcBorders>
              <w:top w:val="single" w:sz="4" w:space="0" w:color="auto"/>
              <w:left w:val="single" w:sz="4" w:space="0" w:color="auto"/>
              <w:bottom w:val="single" w:sz="4" w:space="0" w:color="auto"/>
              <w:right w:val="single" w:sz="4" w:space="0" w:color="auto"/>
            </w:tcBorders>
            <w:noWrap/>
            <w:hideMark/>
          </w:tcPr>
          <w:p w:rsidR="00F07E05" w:rsidRDefault="00F07E05" w:rsidP="008A253E">
            <w:pPr>
              <w:spacing w:line="276" w:lineRule="auto"/>
              <w:jc w:val="center"/>
              <w:rPr>
                <w:color w:val="000000"/>
                <w:lang w:eastAsia="en-US"/>
              </w:rPr>
            </w:pPr>
            <w:r>
              <w:rPr>
                <w:color w:val="000000"/>
                <w:sz w:val="22"/>
                <w:szCs w:val="22"/>
                <w:lang w:eastAsia="en-US"/>
              </w:rPr>
              <w:t>96,34</w:t>
            </w:r>
          </w:p>
        </w:tc>
        <w:tc>
          <w:tcPr>
            <w:tcW w:w="1450"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7</w:t>
            </w:r>
          </w:p>
        </w:tc>
        <w:tc>
          <w:tcPr>
            <w:tcW w:w="2195" w:type="dxa"/>
            <w:tcBorders>
              <w:top w:val="single" w:sz="4" w:space="0" w:color="auto"/>
              <w:left w:val="single" w:sz="4" w:space="0" w:color="auto"/>
              <w:bottom w:val="single" w:sz="4" w:space="0" w:color="auto"/>
              <w:right w:val="single" w:sz="4" w:space="0" w:color="auto"/>
            </w:tcBorders>
            <w:vAlign w:val="bottom"/>
            <w:hideMark/>
          </w:tcPr>
          <w:p w:rsidR="00F07E05" w:rsidRDefault="00F07E05" w:rsidP="008A253E">
            <w:pPr>
              <w:spacing w:line="276" w:lineRule="auto"/>
              <w:jc w:val="center"/>
              <w:rPr>
                <w:color w:val="000000"/>
                <w:lang w:eastAsia="en-US"/>
              </w:rPr>
            </w:pPr>
            <w:r>
              <w:rPr>
                <w:color w:val="000000"/>
                <w:sz w:val="22"/>
                <w:szCs w:val="22"/>
                <w:lang w:eastAsia="en-US"/>
              </w:rPr>
              <w:t>18.09.21 13.00-20.00</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07E05" w:rsidRDefault="00F07E05" w:rsidP="008A253E">
            <w:pPr>
              <w:spacing w:line="276" w:lineRule="auto"/>
              <w:jc w:val="center"/>
              <w:rPr>
                <w:color w:val="000000"/>
                <w:lang w:eastAsia="en-US"/>
              </w:rPr>
            </w:pPr>
            <w:r>
              <w:rPr>
                <w:color w:val="000000"/>
                <w:sz w:val="22"/>
                <w:szCs w:val="22"/>
              </w:rPr>
              <w:t>19 732,36</w:t>
            </w:r>
          </w:p>
        </w:tc>
      </w:tr>
      <w:tr w:rsidR="00F07E05" w:rsidRPr="00F07F1E" w:rsidTr="008A253E">
        <w:trPr>
          <w:trHeight w:val="3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Default="00F07E05" w:rsidP="008A253E">
            <w:pPr>
              <w:spacing w:line="276" w:lineRule="auto"/>
              <w:rPr>
                <w:color w:val="000000"/>
                <w:lang w:eastAsia="en-US"/>
              </w:rPr>
            </w:pPr>
          </w:p>
        </w:tc>
        <w:tc>
          <w:tcPr>
            <w:tcW w:w="3018" w:type="dxa"/>
            <w:gridSpan w:val="2"/>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right"/>
              <w:rPr>
                <w:b/>
                <w:bCs/>
                <w:color w:val="000000"/>
                <w:lang w:eastAsia="en-US"/>
              </w:rPr>
            </w:pPr>
            <w:r>
              <w:rPr>
                <w:b/>
                <w:bCs/>
                <w:color w:val="000000"/>
                <w:sz w:val="22"/>
                <w:szCs w:val="22"/>
                <w:lang w:eastAsia="en-US"/>
              </w:rPr>
              <w:t>ИТОГО:</w:t>
            </w:r>
          </w:p>
        </w:tc>
        <w:tc>
          <w:tcPr>
            <w:tcW w:w="1450"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b/>
                <w:bCs/>
                <w:color w:val="000000"/>
                <w:lang w:eastAsia="en-US"/>
              </w:rPr>
            </w:pPr>
            <w:r>
              <w:rPr>
                <w:b/>
                <w:bCs/>
                <w:color w:val="000000"/>
                <w:sz w:val="22"/>
                <w:szCs w:val="22"/>
                <w:lang w:eastAsia="en-US"/>
              </w:rPr>
              <w:t>53</w:t>
            </w:r>
          </w:p>
        </w:tc>
        <w:tc>
          <w:tcPr>
            <w:tcW w:w="2195" w:type="dxa"/>
            <w:tcBorders>
              <w:top w:val="single" w:sz="4" w:space="0" w:color="auto"/>
              <w:left w:val="single" w:sz="4" w:space="0" w:color="auto"/>
              <w:bottom w:val="single" w:sz="4" w:space="0" w:color="auto"/>
              <w:right w:val="single" w:sz="4" w:space="0" w:color="auto"/>
            </w:tcBorders>
            <w:vAlign w:val="bottom"/>
            <w:hideMark/>
          </w:tcPr>
          <w:p w:rsidR="00F07E05" w:rsidRDefault="00F07E05" w:rsidP="008A253E">
            <w:pPr>
              <w:spacing w:line="276" w:lineRule="auto"/>
              <w:jc w:val="right"/>
              <w:rPr>
                <w:b/>
                <w:bCs/>
                <w:color w:val="000000"/>
                <w:lang w:eastAsia="en-US"/>
              </w:rPr>
            </w:pPr>
            <w:r>
              <w:rPr>
                <w:b/>
                <w:bCs/>
                <w:color w:val="000000"/>
                <w:sz w:val="22"/>
                <w:szCs w:val="22"/>
                <w:lang w:eastAsia="en-US"/>
              </w:rPr>
              <w:t>ИТОГО:</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07E05" w:rsidRPr="00F07F1E" w:rsidRDefault="00F07E05" w:rsidP="008A253E">
            <w:pPr>
              <w:spacing w:line="276" w:lineRule="auto"/>
              <w:jc w:val="center"/>
              <w:rPr>
                <w:b/>
                <w:bCs/>
                <w:color w:val="000000"/>
                <w:lang w:eastAsia="en-US"/>
              </w:rPr>
            </w:pPr>
            <w:r>
              <w:rPr>
                <w:b/>
                <w:bCs/>
                <w:color w:val="000000"/>
                <w:lang w:eastAsia="en-US"/>
              </w:rPr>
              <w:t>149 402,13</w:t>
            </w:r>
          </w:p>
        </w:tc>
      </w:tr>
      <w:tr w:rsidR="00F07E05" w:rsidRPr="00870DF0" w:rsidTr="008A253E">
        <w:trPr>
          <w:trHeight w:val="330"/>
        </w:trPr>
        <w:tc>
          <w:tcPr>
            <w:tcW w:w="2552" w:type="dxa"/>
            <w:vMerge w:val="restart"/>
            <w:tcBorders>
              <w:top w:val="single" w:sz="4" w:space="0" w:color="auto"/>
              <w:left w:val="single" w:sz="4" w:space="0" w:color="auto"/>
              <w:bottom w:val="single" w:sz="4" w:space="0" w:color="auto"/>
              <w:right w:val="single" w:sz="4" w:space="0" w:color="auto"/>
            </w:tcBorders>
            <w:noWrap/>
            <w:vAlign w:val="center"/>
            <w:hideMark/>
          </w:tcPr>
          <w:p w:rsidR="00F07E05" w:rsidRDefault="00F07E05" w:rsidP="008A253E">
            <w:pPr>
              <w:spacing w:line="276" w:lineRule="auto"/>
              <w:jc w:val="center"/>
              <w:rPr>
                <w:color w:val="000000"/>
                <w:lang w:eastAsia="en-US"/>
              </w:rPr>
            </w:pPr>
            <w:r>
              <w:rPr>
                <w:color w:val="000000"/>
                <w:sz w:val="22"/>
                <w:szCs w:val="22"/>
                <w:lang w:eastAsia="en-US"/>
              </w:rPr>
              <w:t>ООО «Академфлот»</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26-37</w:t>
            </w:r>
          </w:p>
        </w:tc>
        <w:tc>
          <w:tcPr>
            <w:tcW w:w="14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96,28</w:t>
            </w:r>
          </w:p>
        </w:tc>
        <w:tc>
          <w:tcPr>
            <w:tcW w:w="1450"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8</w:t>
            </w:r>
          </w:p>
        </w:tc>
        <w:tc>
          <w:tcPr>
            <w:tcW w:w="2195"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 xml:space="preserve">02.06.21 12.30-20.00  </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07E05" w:rsidRPr="00870DF0" w:rsidRDefault="00F07E05" w:rsidP="008A253E">
            <w:pPr>
              <w:spacing w:line="276" w:lineRule="auto"/>
              <w:jc w:val="center"/>
              <w:rPr>
                <w:lang w:eastAsia="en-US"/>
              </w:rPr>
            </w:pPr>
            <w:r>
              <w:rPr>
                <w:color w:val="000000"/>
                <w:sz w:val="22"/>
                <w:szCs w:val="22"/>
              </w:rPr>
              <w:t>22 537,22</w:t>
            </w:r>
          </w:p>
        </w:tc>
      </w:tr>
      <w:tr w:rsidR="00F07E05" w:rsidRPr="00870DF0" w:rsidTr="008A253E">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Default="00F07E05" w:rsidP="008A253E">
            <w:pPr>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val="en-US" w:eastAsia="en-US"/>
              </w:rPr>
            </w:pPr>
            <w:r>
              <w:rPr>
                <w:color w:val="000000"/>
                <w:sz w:val="22"/>
                <w:szCs w:val="22"/>
                <w:lang w:eastAsia="en-US"/>
              </w:rPr>
              <w:t>588-</w:t>
            </w:r>
            <w:r>
              <w:rPr>
                <w:color w:val="000000"/>
                <w:sz w:val="22"/>
                <w:szCs w:val="22"/>
                <w:lang w:val="en-US" w:eastAsia="en-US"/>
              </w:rPr>
              <w:t>III</w:t>
            </w:r>
          </w:p>
        </w:tc>
        <w:tc>
          <w:tcPr>
            <w:tcW w:w="14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95,8</w:t>
            </w:r>
          </w:p>
        </w:tc>
        <w:tc>
          <w:tcPr>
            <w:tcW w:w="1450"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val="en-US" w:eastAsia="en-US"/>
              </w:rPr>
            </w:pPr>
            <w:r>
              <w:rPr>
                <w:color w:val="000000"/>
                <w:lang w:val="en-US" w:eastAsia="en-US"/>
              </w:rPr>
              <w:t>7</w:t>
            </w:r>
          </w:p>
        </w:tc>
        <w:tc>
          <w:tcPr>
            <w:tcW w:w="2195"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02.07.21 13.00-20.00 </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07E05" w:rsidRPr="00870DF0" w:rsidRDefault="00F07E05" w:rsidP="008A253E">
            <w:pPr>
              <w:spacing w:line="276" w:lineRule="auto"/>
              <w:jc w:val="center"/>
              <w:rPr>
                <w:lang w:eastAsia="en-US"/>
              </w:rPr>
            </w:pPr>
            <w:r>
              <w:rPr>
                <w:color w:val="000000"/>
                <w:sz w:val="22"/>
                <w:szCs w:val="22"/>
              </w:rPr>
              <w:t>19 621,76</w:t>
            </w:r>
          </w:p>
        </w:tc>
      </w:tr>
      <w:tr w:rsidR="00F07E05" w:rsidRPr="00870DF0" w:rsidTr="008A253E">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Default="00F07E05" w:rsidP="008A253E">
            <w:pPr>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588</w:t>
            </w:r>
            <w:r>
              <w:rPr>
                <w:color w:val="000000"/>
                <w:sz w:val="22"/>
                <w:szCs w:val="22"/>
                <w:lang w:val="en-US" w:eastAsia="en-US"/>
              </w:rPr>
              <w:t>-III</w:t>
            </w:r>
          </w:p>
        </w:tc>
        <w:tc>
          <w:tcPr>
            <w:tcW w:w="14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95,8</w:t>
            </w:r>
          </w:p>
        </w:tc>
        <w:tc>
          <w:tcPr>
            <w:tcW w:w="1450"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7</w:t>
            </w:r>
          </w:p>
        </w:tc>
        <w:tc>
          <w:tcPr>
            <w:tcW w:w="2195"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15.08.21 13.00-20.00</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07E05" w:rsidRPr="00870DF0" w:rsidRDefault="00F07E05" w:rsidP="008A253E">
            <w:pPr>
              <w:spacing w:line="276" w:lineRule="auto"/>
              <w:jc w:val="center"/>
              <w:rPr>
                <w:lang w:eastAsia="en-US"/>
              </w:rPr>
            </w:pPr>
            <w:r>
              <w:rPr>
                <w:color w:val="000000"/>
                <w:sz w:val="22"/>
                <w:szCs w:val="22"/>
              </w:rPr>
              <w:t>19 621,76</w:t>
            </w:r>
          </w:p>
        </w:tc>
      </w:tr>
      <w:tr w:rsidR="00F07E05" w:rsidRPr="0009271B" w:rsidTr="008A253E">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Default="00F07E05" w:rsidP="008A253E">
            <w:pPr>
              <w:spacing w:line="276" w:lineRule="auto"/>
              <w:rPr>
                <w:color w:val="000000"/>
                <w:lang w:eastAsia="en-US"/>
              </w:rPr>
            </w:pPr>
          </w:p>
        </w:tc>
        <w:tc>
          <w:tcPr>
            <w:tcW w:w="3018" w:type="dxa"/>
            <w:gridSpan w:val="2"/>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right"/>
              <w:rPr>
                <w:b/>
                <w:bCs/>
                <w:color w:val="000000"/>
                <w:lang w:eastAsia="en-US"/>
              </w:rPr>
            </w:pPr>
            <w:r>
              <w:rPr>
                <w:b/>
                <w:bCs/>
                <w:color w:val="000000"/>
                <w:sz w:val="22"/>
                <w:szCs w:val="22"/>
                <w:lang w:eastAsia="en-US"/>
              </w:rPr>
              <w:t>ИТОГО:</w:t>
            </w:r>
          </w:p>
        </w:tc>
        <w:tc>
          <w:tcPr>
            <w:tcW w:w="1450"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b/>
                <w:bCs/>
                <w:color w:val="000000"/>
                <w:lang w:eastAsia="en-US"/>
              </w:rPr>
            </w:pPr>
            <w:r>
              <w:rPr>
                <w:b/>
                <w:bCs/>
                <w:color w:val="000000"/>
                <w:sz w:val="22"/>
                <w:szCs w:val="22"/>
                <w:lang w:eastAsia="en-US"/>
              </w:rPr>
              <w:t>22</w:t>
            </w:r>
          </w:p>
        </w:tc>
        <w:tc>
          <w:tcPr>
            <w:tcW w:w="2195"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right"/>
              <w:rPr>
                <w:b/>
                <w:bCs/>
                <w:color w:val="000000"/>
                <w:lang w:eastAsia="en-US"/>
              </w:rPr>
            </w:pPr>
            <w:r>
              <w:rPr>
                <w:b/>
                <w:bCs/>
                <w:color w:val="000000"/>
                <w:sz w:val="22"/>
                <w:szCs w:val="22"/>
                <w:lang w:eastAsia="en-US"/>
              </w:rPr>
              <w:t>ИТОГО:</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07E05" w:rsidRPr="0009271B" w:rsidRDefault="00F07E05" w:rsidP="008A253E">
            <w:pPr>
              <w:spacing w:line="276" w:lineRule="auto"/>
              <w:jc w:val="center"/>
              <w:rPr>
                <w:b/>
                <w:bCs/>
                <w:lang w:eastAsia="en-US"/>
              </w:rPr>
            </w:pPr>
            <w:r>
              <w:rPr>
                <w:b/>
                <w:bCs/>
                <w:lang w:eastAsia="en-US"/>
              </w:rPr>
              <w:t>61 780,74</w:t>
            </w:r>
          </w:p>
        </w:tc>
      </w:tr>
      <w:tr w:rsidR="00F07E05" w:rsidRPr="0009271B" w:rsidTr="008A253E">
        <w:trPr>
          <w:trHeight w:val="330"/>
        </w:trPr>
        <w:tc>
          <w:tcPr>
            <w:tcW w:w="2552" w:type="dxa"/>
            <w:tcBorders>
              <w:top w:val="single" w:sz="4" w:space="0" w:color="auto"/>
              <w:left w:val="single" w:sz="4" w:space="0" w:color="auto"/>
              <w:bottom w:val="single" w:sz="4" w:space="0" w:color="auto"/>
              <w:right w:val="single" w:sz="4" w:space="0" w:color="auto"/>
            </w:tcBorders>
            <w:noWrap/>
            <w:vAlign w:val="center"/>
            <w:hideMark/>
          </w:tcPr>
          <w:p w:rsidR="00F07E05" w:rsidRDefault="00F07E05" w:rsidP="008A253E">
            <w:pPr>
              <w:spacing w:line="276" w:lineRule="auto"/>
              <w:jc w:val="center"/>
              <w:rPr>
                <w:color w:val="000000"/>
                <w:lang w:eastAsia="en-US"/>
              </w:rPr>
            </w:pPr>
            <w:r>
              <w:rPr>
                <w:color w:val="000000"/>
                <w:sz w:val="22"/>
                <w:szCs w:val="22"/>
                <w:lang w:eastAsia="en-US"/>
              </w:rPr>
              <w:t>ООО «Круиз»</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588</w:t>
            </w:r>
          </w:p>
        </w:tc>
        <w:tc>
          <w:tcPr>
            <w:tcW w:w="14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95,8</w:t>
            </w:r>
          </w:p>
        </w:tc>
        <w:tc>
          <w:tcPr>
            <w:tcW w:w="1450"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b/>
                <w:bCs/>
                <w:color w:val="000000"/>
                <w:lang w:eastAsia="en-US"/>
              </w:rPr>
            </w:pPr>
            <w:r>
              <w:rPr>
                <w:b/>
                <w:bCs/>
                <w:color w:val="000000"/>
                <w:sz w:val="22"/>
                <w:szCs w:val="22"/>
                <w:lang w:eastAsia="en-US"/>
              </w:rPr>
              <w:t>4</w:t>
            </w:r>
          </w:p>
        </w:tc>
        <w:tc>
          <w:tcPr>
            <w:tcW w:w="2195"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09.08.21 15.00-19.00</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Pr="0009271B" w:rsidRDefault="00F07E05" w:rsidP="008A253E">
            <w:pPr>
              <w:spacing w:line="276" w:lineRule="auto"/>
              <w:jc w:val="center"/>
              <w:rPr>
                <w:b/>
                <w:bCs/>
                <w:lang w:eastAsia="en-US"/>
              </w:rPr>
            </w:pPr>
            <w:r>
              <w:rPr>
                <w:b/>
                <w:bCs/>
                <w:sz w:val="22"/>
                <w:szCs w:val="22"/>
                <w:lang w:eastAsia="en-US"/>
              </w:rPr>
              <w:t>11 212,43</w:t>
            </w:r>
          </w:p>
        </w:tc>
      </w:tr>
      <w:tr w:rsidR="00F07E05" w:rsidRPr="0009271B" w:rsidTr="008A253E">
        <w:trPr>
          <w:trHeight w:val="330"/>
        </w:trPr>
        <w:tc>
          <w:tcPr>
            <w:tcW w:w="2552" w:type="dxa"/>
            <w:vMerge w:val="restart"/>
            <w:tcBorders>
              <w:top w:val="single" w:sz="4" w:space="0" w:color="auto"/>
              <w:left w:val="single" w:sz="4" w:space="0" w:color="auto"/>
              <w:bottom w:val="single" w:sz="4" w:space="0" w:color="auto"/>
              <w:right w:val="single" w:sz="4" w:space="0" w:color="auto"/>
            </w:tcBorders>
            <w:noWrap/>
            <w:vAlign w:val="center"/>
            <w:hideMark/>
          </w:tcPr>
          <w:p w:rsidR="00F07E05" w:rsidRDefault="00F07E05" w:rsidP="008A253E">
            <w:pPr>
              <w:spacing w:line="276" w:lineRule="auto"/>
              <w:jc w:val="center"/>
              <w:rPr>
                <w:color w:val="000000"/>
                <w:lang w:eastAsia="en-US"/>
              </w:rPr>
            </w:pPr>
            <w:r>
              <w:rPr>
                <w:color w:val="000000"/>
                <w:sz w:val="22"/>
                <w:szCs w:val="22"/>
                <w:lang w:eastAsia="en-US"/>
              </w:rPr>
              <w:t>ООО «Экспресс-Тур»</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26-37</w:t>
            </w:r>
          </w:p>
        </w:tc>
        <w:tc>
          <w:tcPr>
            <w:tcW w:w="14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96,23</w:t>
            </w:r>
          </w:p>
        </w:tc>
        <w:tc>
          <w:tcPr>
            <w:tcW w:w="1450"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6</w:t>
            </w:r>
          </w:p>
        </w:tc>
        <w:tc>
          <w:tcPr>
            <w:tcW w:w="2195"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02.05.21 10.00-16.00</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07E05" w:rsidRPr="0009271B" w:rsidRDefault="00F07E05" w:rsidP="008A253E">
            <w:pPr>
              <w:spacing w:line="276" w:lineRule="auto"/>
              <w:jc w:val="center"/>
              <w:rPr>
                <w:lang w:eastAsia="en-US"/>
              </w:rPr>
            </w:pPr>
            <w:r>
              <w:rPr>
                <w:color w:val="000000"/>
                <w:sz w:val="22"/>
                <w:szCs w:val="22"/>
              </w:rPr>
              <w:t>16 894,14</w:t>
            </w:r>
          </w:p>
        </w:tc>
      </w:tr>
      <w:tr w:rsidR="00F07E05" w:rsidRPr="0009271B" w:rsidTr="008A253E">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Default="00F07E05" w:rsidP="008A253E">
            <w:pPr>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26-37</w:t>
            </w:r>
          </w:p>
        </w:tc>
        <w:tc>
          <w:tcPr>
            <w:tcW w:w="14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96,23</w:t>
            </w:r>
          </w:p>
        </w:tc>
        <w:tc>
          <w:tcPr>
            <w:tcW w:w="1450"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6</w:t>
            </w:r>
          </w:p>
        </w:tc>
        <w:tc>
          <w:tcPr>
            <w:tcW w:w="2195"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15.07.21 08.00-14.00</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07E05" w:rsidRPr="0009271B" w:rsidRDefault="00F07E05" w:rsidP="008A253E">
            <w:pPr>
              <w:spacing w:line="276" w:lineRule="auto"/>
              <w:jc w:val="center"/>
              <w:rPr>
                <w:lang w:eastAsia="en-US"/>
              </w:rPr>
            </w:pPr>
            <w:r>
              <w:rPr>
                <w:color w:val="000000"/>
                <w:sz w:val="22"/>
                <w:szCs w:val="22"/>
              </w:rPr>
              <w:t>16 894,14</w:t>
            </w:r>
          </w:p>
        </w:tc>
      </w:tr>
      <w:tr w:rsidR="00F07E05" w:rsidRPr="0009271B" w:rsidTr="008A253E">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Default="00F07E05" w:rsidP="008A253E">
            <w:pPr>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26-37</w:t>
            </w:r>
          </w:p>
        </w:tc>
        <w:tc>
          <w:tcPr>
            <w:tcW w:w="14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96,23</w:t>
            </w:r>
          </w:p>
        </w:tc>
        <w:tc>
          <w:tcPr>
            <w:tcW w:w="1450"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 6</w:t>
            </w:r>
          </w:p>
        </w:tc>
        <w:tc>
          <w:tcPr>
            <w:tcW w:w="2195"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28.08.21 13.00-19.00 </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07E05" w:rsidRPr="0009271B" w:rsidRDefault="00F07E05" w:rsidP="008A253E">
            <w:pPr>
              <w:spacing w:line="276" w:lineRule="auto"/>
              <w:jc w:val="center"/>
              <w:rPr>
                <w:lang w:eastAsia="en-US"/>
              </w:rPr>
            </w:pPr>
            <w:r>
              <w:rPr>
                <w:color w:val="000000"/>
                <w:sz w:val="22"/>
                <w:szCs w:val="22"/>
              </w:rPr>
              <w:t>16 894,14</w:t>
            </w:r>
          </w:p>
        </w:tc>
      </w:tr>
      <w:tr w:rsidR="00F07E05" w:rsidRPr="0009271B" w:rsidTr="008A253E">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Default="00F07E05" w:rsidP="008A253E">
            <w:pPr>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26-37</w:t>
            </w:r>
          </w:p>
        </w:tc>
        <w:tc>
          <w:tcPr>
            <w:tcW w:w="14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96,23</w:t>
            </w:r>
          </w:p>
        </w:tc>
        <w:tc>
          <w:tcPr>
            <w:tcW w:w="1450"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7</w:t>
            </w:r>
          </w:p>
        </w:tc>
        <w:tc>
          <w:tcPr>
            <w:tcW w:w="2195"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16.10.21 12.00-19.00</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07E05" w:rsidRPr="0009271B" w:rsidRDefault="00F07E05" w:rsidP="008A253E">
            <w:pPr>
              <w:spacing w:line="276" w:lineRule="auto"/>
              <w:jc w:val="center"/>
              <w:rPr>
                <w:lang w:eastAsia="en-US"/>
              </w:rPr>
            </w:pPr>
            <w:r>
              <w:rPr>
                <w:color w:val="000000"/>
                <w:sz w:val="22"/>
                <w:szCs w:val="22"/>
              </w:rPr>
              <w:t>19 709,83</w:t>
            </w:r>
          </w:p>
        </w:tc>
      </w:tr>
      <w:tr w:rsidR="00F07E05" w:rsidRPr="0009271B" w:rsidTr="008A253E">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Default="00F07E05" w:rsidP="008A253E">
            <w:pPr>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РЕКГ.002</w:t>
            </w:r>
          </w:p>
        </w:tc>
        <w:tc>
          <w:tcPr>
            <w:tcW w:w="14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93,32</w:t>
            </w:r>
          </w:p>
        </w:tc>
        <w:tc>
          <w:tcPr>
            <w:tcW w:w="1450"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8</w:t>
            </w:r>
          </w:p>
        </w:tc>
        <w:tc>
          <w:tcPr>
            <w:tcW w:w="2195"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02.10.21 15.00-23.00</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07E05" w:rsidRPr="0009271B" w:rsidRDefault="00F07E05" w:rsidP="008A253E">
            <w:pPr>
              <w:spacing w:line="276" w:lineRule="auto"/>
              <w:jc w:val="center"/>
              <w:rPr>
                <w:lang w:eastAsia="en-US"/>
              </w:rPr>
            </w:pPr>
            <w:r>
              <w:rPr>
                <w:color w:val="000000"/>
                <w:sz w:val="22"/>
                <w:szCs w:val="22"/>
              </w:rPr>
              <w:t>21 844,35</w:t>
            </w:r>
          </w:p>
        </w:tc>
      </w:tr>
      <w:tr w:rsidR="00F07E05" w:rsidRPr="0009271B" w:rsidTr="008A253E">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Default="00F07E05" w:rsidP="008A253E">
            <w:pPr>
              <w:spacing w:line="276" w:lineRule="auto"/>
              <w:rPr>
                <w:color w:val="000000"/>
                <w:lang w:eastAsia="en-US"/>
              </w:rPr>
            </w:pPr>
          </w:p>
        </w:tc>
        <w:tc>
          <w:tcPr>
            <w:tcW w:w="3018" w:type="dxa"/>
            <w:gridSpan w:val="2"/>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right"/>
              <w:rPr>
                <w:color w:val="000000"/>
                <w:lang w:eastAsia="en-US"/>
              </w:rPr>
            </w:pPr>
            <w:r>
              <w:rPr>
                <w:b/>
                <w:bCs/>
                <w:color w:val="000000"/>
                <w:sz w:val="22"/>
                <w:szCs w:val="22"/>
                <w:lang w:eastAsia="en-US"/>
              </w:rPr>
              <w:t>ИТОГО:</w:t>
            </w:r>
          </w:p>
        </w:tc>
        <w:tc>
          <w:tcPr>
            <w:tcW w:w="1450" w:type="dxa"/>
            <w:tcBorders>
              <w:top w:val="single" w:sz="4" w:space="0" w:color="auto"/>
              <w:left w:val="single" w:sz="4" w:space="0" w:color="auto"/>
              <w:bottom w:val="single" w:sz="4" w:space="0" w:color="auto"/>
              <w:right w:val="single" w:sz="4" w:space="0" w:color="auto"/>
            </w:tcBorders>
            <w:noWrap/>
            <w:vAlign w:val="bottom"/>
            <w:hideMark/>
          </w:tcPr>
          <w:p w:rsidR="00F07E05" w:rsidRPr="006A4D6E" w:rsidRDefault="00F07E05" w:rsidP="008A253E">
            <w:pPr>
              <w:spacing w:line="276" w:lineRule="auto"/>
              <w:jc w:val="center"/>
              <w:rPr>
                <w:b/>
                <w:bCs/>
                <w:color w:val="000000"/>
                <w:lang w:eastAsia="en-US"/>
              </w:rPr>
            </w:pPr>
            <w:r w:rsidRPr="006A4D6E">
              <w:rPr>
                <w:b/>
                <w:bCs/>
                <w:color w:val="000000"/>
                <w:sz w:val="22"/>
                <w:szCs w:val="22"/>
                <w:lang w:eastAsia="en-US"/>
              </w:rPr>
              <w:t>33</w:t>
            </w:r>
          </w:p>
        </w:tc>
        <w:tc>
          <w:tcPr>
            <w:tcW w:w="2195"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right"/>
              <w:rPr>
                <w:color w:val="000000"/>
                <w:lang w:eastAsia="en-US"/>
              </w:rPr>
            </w:pPr>
            <w:r>
              <w:rPr>
                <w:b/>
                <w:bCs/>
                <w:color w:val="000000"/>
                <w:sz w:val="22"/>
                <w:szCs w:val="22"/>
                <w:lang w:eastAsia="en-US"/>
              </w:rPr>
              <w:t>ИТОГО:</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Pr="0009271B" w:rsidRDefault="00F07E05" w:rsidP="008A253E">
            <w:pPr>
              <w:spacing w:line="276" w:lineRule="auto"/>
              <w:jc w:val="center"/>
              <w:rPr>
                <w:b/>
                <w:bCs/>
                <w:lang w:eastAsia="en-US"/>
              </w:rPr>
            </w:pPr>
            <w:r>
              <w:rPr>
                <w:b/>
                <w:bCs/>
                <w:sz w:val="22"/>
                <w:szCs w:val="22"/>
                <w:lang w:eastAsia="en-US"/>
              </w:rPr>
              <w:t>92 236,60</w:t>
            </w:r>
          </w:p>
        </w:tc>
      </w:tr>
      <w:tr w:rsidR="00F07E05" w:rsidRPr="0009271B" w:rsidTr="008A253E">
        <w:trPr>
          <w:trHeight w:val="330"/>
        </w:trPr>
        <w:tc>
          <w:tcPr>
            <w:tcW w:w="2552" w:type="dxa"/>
            <w:vMerge w:val="restart"/>
            <w:tcBorders>
              <w:top w:val="single" w:sz="4" w:space="0" w:color="auto"/>
              <w:left w:val="single" w:sz="4" w:space="0" w:color="auto"/>
              <w:bottom w:val="single" w:sz="4" w:space="0" w:color="auto"/>
              <w:right w:val="single" w:sz="4" w:space="0" w:color="auto"/>
            </w:tcBorders>
            <w:noWrap/>
            <w:vAlign w:val="center"/>
            <w:hideMark/>
          </w:tcPr>
          <w:p w:rsidR="00F07E05" w:rsidRDefault="00F07E05" w:rsidP="008A253E">
            <w:pPr>
              <w:spacing w:line="276" w:lineRule="auto"/>
              <w:jc w:val="center"/>
              <w:rPr>
                <w:color w:val="000000"/>
                <w:lang w:eastAsia="en-US"/>
              </w:rPr>
            </w:pPr>
            <w:r>
              <w:rPr>
                <w:color w:val="000000"/>
                <w:sz w:val="22"/>
                <w:szCs w:val="22"/>
                <w:lang w:eastAsia="en-US"/>
              </w:rPr>
              <w:t>ИП Александров Владимир Геннадьевич</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26-37</w:t>
            </w:r>
          </w:p>
        </w:tc>
        <w:tc>
          <w:tcPr>
            <w:tcW w:w="14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 96,32</w:t>
            </w:r>
          </w:p>
        </w:tc>
        <w:tc>
          <w:tcPr>
            <w:tcW w:w="1450"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lang w:eastAsia="en-US"/>
              </w:rPr>
              <w:t>6</w:t>
            </w:r>
          </w:p>
        </w:tc>
        <w:tc>
          <w:tcPr>
            <w:tcW w:w="2195"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24.07.21 15.30-21.00</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07E05" w:rsidRPr="0009271B" w:rsidRDefault="00F07E05" w:rsidP="008A253E">
            <w:pPr>
              <w:spacing w:line="276" w:lineRule="auto"/>
              <w:jc w:val="center"/>
              <w:rPr>
                <w:lang w:eastAsia="en-US"/>
              </w:rPr>
            </w:pPr>
            <w:r>
              <w:rPr>
                <w:color w:val="000000"/>
                <w:sz w:val="22"/>
                <w:szCs w:val="22"/>
              </w:rPr>
              <w:t>16 383,26</w:t>
            </w:r>
          </w:p>
        </w:tc>
      </w:tr>
      <w:tr w:rsidR="00F07E05" w:rsidRPr="0009271B" w:rsidTr="008A253E">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Default="00F07E05" w:rsidP="008A253E">
            <w:pPr>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26-37</w:t>
            </w:r>
          </w:p>
        </w:tc>
        <w:tc>
          <w:tcPr>
            <w:tcW w:w="14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96,32</w:t>
            </w:r>
          </w:p>
        </w:tc>
        <w:tc>
          <w:tcPr>
            <w:tcW w:w="1450"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6</w:t>
            </w:r>
          </w:p>
        </w:tc>
        <w:tc>
          <w:tcPr>
            <w:tcW w:w="2195"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18.09.21 14.30-20.00 </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07E05" w:rsidRPr="0009271B" w:rsidRDefault="00F07E05" w:rsidP="008A253E">
            <w:pPr>
              <w:spacing w:line="276" w:lineRule="auto"/>
              <w:jc w:val="center"/>
              <w:rPr>
                <w:lang w:eastAsia="en-US"/>
              </w:rPr>
            </w:pPr>
            <w:r>
              <w:rPr>
                <w:color w:val="000000"/>
                <w:sz w:val="22"/>
                <w:szCs w:val="22"/>
              </w:rPr>
              <w:t>16 909,94</w:t>
            </w:r>
          </w:p>
        </w:tc>
      </w:tr>
      <w:tr w:rsidR="00F07E05" w:rsidRPr="0009271B" w:rsidTr="008A253E">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Default="00F07E05" w:rsidP="008A253E">
            <w:pPr>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26-37</w:t>
            </w:r>
          </w:p>
        </w:tc>
        <w:tc>
          <w:tcPr>
            <w:tcW w:w="14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96,32</w:t>
            </w:r>
          </w:p>
        </w:tc>
        <w:tc>
          <w:tcPr>
            <w:tcW w:w="1450"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4</w:t>
            </w:r>
          </w:p>
        </w:tc>
        <w:tc>
          <w:tcPr>
            <w:tcW w:w="2195"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06.10.21 15.00-19.00 </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07E05" w:rsidRPr="0009271B" w:rsidRDefault="00F07E05" w:rsidP="008A253E">
            <w:pPr>
              <w:spacing w:line="276" w:lineRule="auto"/>
              <w:jc w:val="center"/>
              <w:rPr>
                <w:lang w:eastAsia="en-US"/>
              </w:rPr>
            </w:pPr>
            <w:r>
              <w:rPr>
                <w:color w:val="000000"/>
                <w:sz w:val="22"/>
                <w:szCs w:val="22"/>
              </w:rPr>
              <w:t>11 273,29</w:t>
            </w:r>
          </w:p>
        </w:tc>
      </w:tr>
      <w:tr w:rsidR="00F07E05" w:rsidRPr="0009271B" w:rsidTr="008A253E">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Default="00F07E05" w:rsidP="008A253E">
            <w:pPr>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588</w:t>
            </w:r>
          </w:p>
        </w:tc>
        <w:tc>
          <w:tcPr>
            <w:tcW w:w="14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95,81</w:t>
            </w:r>
          </w:p>
        </w:tc>
        <w:tc>
          <w:tcPr>
            <w:tcW w:w="1450"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9</w:t>
            </w:r>
          </w:p>
        </w:tc>
        <w:tc>
          <w:tcPr>
            <w:tcW w:w="2195"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03.07.21 13.00-22.00</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07E05" w:rsidRPr="0009271B" w:rsidRDefault="00F07E05" w:rsidP="008A253E">
            <w:pPr>
              <w:spacing w:line="276" w:lineRule="auto"/>
              <w:jc w:val="center"/>
              <w:rPr>
                <w:lang w:eastAsia="en-US"/>
              </w:rPr>
            </w:pPr>
            <w:r>
              <w:rPr>
                <w:color w:val="000000"/>
                <w:sz w:val="22"/>
                <w:szCs w:val="22"/>
              </w:rPr>
              <w:t>25 230,61</w:t>
            </w:r>
          </w:p>
        </w:tc>
      </w:tr>
      <w:tr w:rsidR="00F07E05" w:rsidRPr="0009271B" w:rsidTr="008A253E">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Default="00F07E05" w:rsidP="008A253E">
            <w:pPr>
              <w:spacing w:line="276" w:lineRule="auto"/>
              <w:rPr>
                <w:color w:val="000000"/>
                <w:lang w:eastAsia="en-US"/>
              </w:rPr>
            </w:pPr>
          </w:p>
        </w:tc>
        <w:tc>
          <w:tcPr>
            <w:tcW w:w="3018" w:type="dxa"/>
            <w:gridSpan w:val="2"/>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right"/>
              <w:rPr>
                <w:color w:val="000000"/>
                <w:lang w:eastAsia="en-US"/>
              </w:rPr>
            </w:pPr>
            <w:r>
              <w:rPr>
                <w:b/>
                <w:bCs/>
                <w:color w:val="000000"/>
                <w:sz w:val="22"/>
                <w:szCs w:val="22"/>
                <w:lang w:eastAsia="en-US"/>
              </w:rPr>
              <w:t>ИТОГО:</w:t>
            </w:r>
          </w:p>
        </w:tc>
        <w:tc>
          <w:tcPr>
            <w:tcW w:w="1450" w:type="dxa"/>
            <w:tcBorders>
              <w:top w:val="single" w:sz="4" w:space="0" w:color="auto"/>
              <w:left w:val="single" w:sz="4" w:space="0" w:color="auto"/>
              <w:bottom w:val="single" w:sz="4" w:space="0" w:color="auto"/>
              <w:right w:val="single" w:sz="4" w:space="0" w:color="auto"/>
            </w:tcBorders>
            <w:noWrap/>
            <w:vAlign w:val="bottom"/>
            <w:hideMark/>
          </w:tcPr>
          <w:p w:rsidR="00F07E05" w:rsidRPr="006A4D6E" w:rsidRDefault="00F07E05" w:rsidP="008A253E">
            <w:pPr>
              <w:spacing w:line="276" w:lineRule="auto"/>
              <w:jc w:val="center"/>
              <w:rPr>
                <w:b/>
                <w:bCs/>
                <w:color w:val="000000"/>
                <w:lang w:eastAsia="en-US"/>
              </w:rPr>
            </w:pPr>
            <w:r w:rsidRPr="006A4D6E">
              <w:rPr>
                <w:b/>
                <w:bCs/>
                <w:color w:val="000000"/>
                <w:sz w:val="22"/>
                <w:szCs w:val="22"/>
                <w:lang w:eastAsia="en-US"/>
              </w:rPr>
              <w:t>25</w:t>
            </w:r>
          </w:p>
        </w:tc>
        <w:tc>
          <w:tcPr>
            <w:tcW w:w="2195"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right"/>
              <w:rPr>
                <w:color w:val="000000"/>
                <w:lang w:eastAsia="en-US"/>
              </w:rPr>
            </w:pPr>
            <w:r>
              <w:rPr>
                <w:b/>
                <w:bCs/>
                <w:color w:val="000000"/>
                <w:sz w:val="22"/>
                <w:szCs w:val="22"/>
                <w:lang w:eastAsia="en-US"/>
              </w:rPr>
              <w:t>ИТОГО:</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Pr="0009271B" w:rsidRDefault="00F07E05" w:rsidP="008A253E">
            <w:pPr>
              <w:spacing w:line="276" w:lineRule="auto"/>
              <w:jc w:val="center"/>
              <w:rPr>
                <w:lang w:eastAsia="en-US"/>
              </w:rPr>
            </w:pPr>
            <w:r w:rsidRPr="0009271B">
              <w:rPr>
                <w:b/>
                <w:bCs/>
                <w:sz w:val="22"/>
                <w:szCs w:val="22"/>
                <w:lang w:eastAsia="en-US"/>
              </w:rPr>
              <w:t>69</w:t>
            </w:r>
            <w:r>
              <w:rPr>
                <w:b/>
                <w:bCs/>
                <w:sz w:val="22"/>
                <w:szCs w:val="22"/>
                <w:lang w:eastAsia="en-US"/>
              </w:rPr>
              <w:t> 797,10</w:t>
            </w:r>
          </w:p>
        </w:tc>
      </w:tr>
      <w:tr w:rsidR="00F07E05" w:rsidRPr="0009271B" w:rsidTr="008A253E">
        <w:trPr>
          <w:trHeight w:val="330"/>
        </w:trPr>
        <w:tc>
          <w:tcPr>
            <w:tcW w:w="2552" w:type="dxa"/>
            <w:tcBorders>
              <w:top w:val="single" w:sz="4" w:space="0" w:color="auto"/>
              <w:left w:val="single" w:sz="4" w:space="0" w:color="auto"/>
              <w:bottom w:val="single" w:sz="4" w:space="0" w:color="auto"/>
              <w:right w:val="single" w:sz="4" w:space="0" w:color="auto"/>
            </w:tcBorders>
            <w:noWrap/>
            <w:vAlign w:val="center"/>
            <w:hideMark/>
          </w:tcPr>
          <w:p w:rsidR="00F07E05" w:rsidRDefault="00F07E05" w:rsidP="008A253E">
            <w:pPr>
              <w:spacing w:line="276" w:lineRule="auto"/>
              <w:jc w:val="center"/>
              <w:rPr>
                <w:color w:val="000000"/>
                <w:lang w:eastAsia="en-US"/>
              </w:rPr>
            </w:pPr>
            <w:r>
              <w:rPr>
                <w:color w:val="000000"/>
                <w:sz w:val="22"/>
                <w:szCs w:val="22"/>
                <w:lang w:eastAsia="en-US"/>
              </w:rPr>
              <w:t>ООО «СК «Инфофлот»</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302</w:t>
            </w:r>
          </w:p>
        </w:tc>
        <w:tc>
          <w:tcPr>
            <w:tcW w:w="14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129,1</w:t>
            </w:r>
          </w:p>
        </w:tc>
        <w:tc>
          <w:tcPr>
            <w:tcW w:w="1450"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b/>
                <w:bCs/>
                <w:color w:val="000000"/>
                <w:lang w:eastAsia="en-US"/>
              </w:rPr>
            </w:pPr>
            <w:r>
              <w:rPr>
                <w:b/>
                <w:bCs/>
                <w:color w:val="000000"/>
                <w:sz w:val="22"/>
                <w:szCs w:val="22"/>
                <w:lang w:eastAsia="en-US"/>
              </w:rPr>
              <w:t>7</w:t>
            </w:r>
          </w:p>
        </w:tc>
        <w:tc>
          <w:tcPr>
            <w:tcW w:w="2195"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14.09.21 11.30-18.00</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Pr="0009271B" w:rsidRDefault="00F07E05" w:rsidP="008A253E">
            <w:pPr>
              <w:spacing w:line="276" w:lineRule="auto"/>
              <w:jc w:val="center"/>
              <w:rPr>
                <w:b/>
                <w:bCs/>
                <w:lang w:eastAsia="en-US"/>
              </w:rPr>
            </w:pPr>
            <w:r w:rsidRPr="0009271B">
              <w:rPr>
                <w:b/>
                <w:bCs/>
                <w:sz w:val="22"/>
                <w:szCs w:val="22"/>
                <w:lang w:eastAsia="en-US"/>
              </w:rPr>
              <w:t>26</w:t>
            </w:r>
            <w:r>
              <w:rPr>
                <w:b/>
                <w:bCs/>
                <w:sz w:val="22"/>
                <w:szCs w:val="22"/>
                <w:lang w:eastAsia="en-US"/>
              </w:rPr>
              <w:t> 442,26</w:t>
            </w:r>
          </w:p>
        </w:tc>
      </w:tr>
      <w:tr w:rsidR="00F07E05" w:rsidRPr="0009271B" w:rsidTr="008A253E">
        <w:trPr>
          <w:trHeight w:val="330"/>
        </w:trPr>
        <w:tc>
          <w:tcPr>
            <w:tcW w:w="2552" w:type="dxa"/>
            <w:vMerge w:val="restart"/>
            <w:tcBorders>
              <w:top w:val="single" w:sz="4" w:space="0" w:color="auto"/>
              <w:left w:val="single" w:sz="4" w:space="0" w:color="auto"/>
              <w:bottom w:val="single" w:sz="4" w:space="0" w:color="auto"/>
              <w:right w:val="single" w:sz="4" w:space="0" w:color="auto"/>
            </w:tcBorders>
            <w:noWrap/>
            <w:vAlign w:val="center"/>
            <w:hideMark/>
          </w:tcPr>
          <w:p w:rsidR="00F07E05" w:rsidRDefault="00F07E05" w:rsidP="008A253E">
            <w:pPr>
              <w:spacing w:line="276" w:lineRule="auto"/>
              <w:jc w:val="center"/>
              <w:rPr>
                <w:color w:val="000000"/>
                <w:lang w:eastAsia="en-US"/>
              </w:rPr>
            </w:pPr>
            <w:r>
              <w:rPr>
                <w:color w:val="000000"/>
                <w:sz w:val="22"/>
                <w:szCs w:val="22"/>
                <w:lang w:eastAsia="en-US"/>
              </w:rPr>
              <w:t>ООО «СК «Солнечный город»</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588</w:t>
            </w:r>
          </w:p>
        </w:tc>
        <w:tc>
          <w:tcPr>
            <w:tcW w:w="14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95,8</w:t>
            </w:r>
          </w:p>
        </w:tc>
        <w:tc>
          <w:tcPr>
            <w:tcW w:w="1450"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4</w:t>
            </w:r>
          </w:p>
        </w:tc>
        <w:tc>
          <w:tcPr>
            <w:tcW w:w="2195"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05.06.21 16.30-20.30 </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07E05" w:rsidRPr="0009271B" w:rsidRDefault="00F07E05" w:rsidP="008A253E">
            <w:pPr>
              <w:spacing w:line="276" w:lineRule="auto"/>
              <w:jc w:val="center"/>
              <w:rPr>
                <w:lang w:eastAsia="en-US"/>
              </w:rPr>
            </w:pPr>
            <w:r>
              <w:rPr>
                <w:color w:val="000000"/>
                <w:sz w:val="22"/>
                <w:szCs w:val="22"/>
              </w:rPr>
              <w:t>11 212,43</w:t>
            </w:r>
          </w:p>
        </w:tc>
      </w:tr>
      <w:tr w:rsidR="00F07E05" w:rsidRPr="00A53D6D" w:rsidTr="008A253E">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Default="00F07E05" w:rsidP="008A253E">
            <w:pPr>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588</w:t>
            </w:r>
          </w:p>
        </w:tc>
        <w:tc>
          <w:tcPr>
            <w:tcW w:w="14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95,8</w:t>
            </w:r>
          </w:p>
        </w:tc>
        <w:tc>
          <w:tcPr>
            <w:tcW w:w="1450"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5</w:t>
            </w:r>
          </w:p>
        </w:tc>
        <w:tc>
          <w:tcPr>
            <w:tcW w:w="2195"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12.06.21 08.00-13.00 </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07E05" w:rsidRPr="00A53D6D" w:rsidRDefault="00F07E05" w:rsidP="008A253E">
            <w:pPr>
              <w:spacing w:line="276" w:lineRule="auto"/>
              <w:jc w:val="center"/>
              <w:rPr>
                <w:lang w:eastAsia="en-US"/>
              </w:rPr>
            </w:pPr>
            <w:r>
              <w:rPr>
                <w:color w:val="000000"/>
                <w:sz w:val="22"/>
                <w:szCs w:val="22"/>
              </w:rPr>
              <w:t>14 015,54</w:t>
            </w:r>
          </w:p>
        </w:tc>
      </w:tr>
      <w:tr w:rsidR="00F07E05" w:rsidRPr="00A53D6D" w:rsidTr="008A253E">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Default="00F07E05" w:rsidP="008A253E">
            <w:pPr>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588</w:t>
            </w:r>
          </w:p>
        </w:tc>
        <w:tc>
          <w:tcPr>
            <w:tcW w:w="14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95,8</w:t>
            </w:r>
          </w:p>
        </w:tc>
        <w:tc>
          <w:tcPr>
            <w:tcW w:w="1450"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3</w:t>
            </w:r>
          </w:p>
        </w:tc>
        <w:tc>
          <w:tcPr>
            <w:tcW w:w="2195"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24.07.21 17.30-20.30</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07E05" w:rsidRPr="00A53D6D" w:rsidRDefault="00F07E05" w:rsidP="008A253E">
            <w:pPr>
              <w:spacing w:line="276" w:lineRule="auto"/>
              <w:jc w:val="center"/>
              <w:rPr>
                <w:lang w:eastAsia="en-US"/>
              </w:rPr>
            </w:pPr>
            <w:r>
              <w:rPr>
                <w:color w:val="000000"/>
                <w:sz w:val="22"/>
                <w:szCs w:val="22"/>
              </w:rPr>
              <w:t>8 409,32</w:t>
            </w:r>
          </w:p>
        </w:tc>
      </w:tr>
      <w:tr w:rsidR="00F07E05" w:rsidRPr="00A53D6D" w:rsidTr="008A253E">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Default="00F07E05" w:rsidP="008A253E">
            <w:pPr>
              <w:spacing w:line="276" w:lineRule="auto"/>
              <w:rPr>
                <w:color w:val="000000"/>
                <w:lang w:eastAsia="en-US"/>
              </w:rPr>
            </w:pPr>
          </w:p>
        </w:tc>
        <w:tc>
          <w:tcPr>
            <w:tcW w:w="3018" w:type="dxa"/>
            <w:gridSpan w:val="2"/>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right"/>
              <w:rPr>
                <w:color w:val="000000"/>
                <w:lang w:eastAsia="en-US"/>
              </w:rPr>
            </w:pPr>
            <w:r>
              <w:rPr>
                <w:b/>
                <w:bCs/>
                <w:color w:val="000000"/>
                <w:sz w:val="22"/>
                <w:szCs w:val="22"/>
                <w:lang w:eastAsia="en-US"/>
              </w:rPr>
              <w:t>ИТОГО:</w:t>
            </w:r>
          </w:p>
        </w:tc>
        <w:tc>
          <w:tcPr>
            <w:tcW w:w="1450" w:type="dxa"/>
            <w:tcBorders>
              <w:top w:val="single" w:sz="4" w:space="0" w:color="auto"/>
              <w:left w:val="single" w:sz="4" w:space="0" w:color="auto"/>
              <w:bottom w:val="single" w:sz="4" w:space="0" w:color="auto"/>
              <w:right w:val="single" w:sz="4" w:space="0" w:color="auto"/>
            </w:tcBorders>
            <w:noWrap/>
            <w:vAlign w:val="bottom"/>
            <w:hideMark/>
          </w:tcPr>
          <w:p w:rsidR="00F07E05" w:rsidRPr="006A4D6E" w:rsidRDefault="00F07E05" w:rsidP="008A253E">
            <w:pPr>
              <w:spacing w:line="276" w:lineRule="auto"/>
              <w:jc w:val="center"/>
              <w:rPr>
                <w:b/>
                <w:bCs/>
                <w:color w:val="000000"/>
                <w:lang w:eastAsia="en-US"/>
              </w:rPr>
            </w:pPr>
            <w:r w:rsidRPr="006A4D6E">
              <w:rPr>
                <w:b/>
                <w:bCs/>
                <w:color w:val="000000"/>
                <w:sz w:val="22"/>
                <w:szCs w:val="22"/>
                <w:lang w:eastAsia="en-US"/>
              </w:rPr>
              <w:t>12</w:t>
            </w:r>
          </w:p>
        </w:tc>
        <w:tc>
          <w:tcPr>
            <w:tcW w:w="2195"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right"/>
              <w:rPr>
                <w:color w:val="000000"/>
                <w:lang w:eastAsia="en-US"/>
              </w:rPr>
            </w:pPr>
            <w:r>
              <w:rPr>
                <w:b/>
                <w:bCs/>
                <w:color w:val="000000"/>
                <w:sz w:val="22"/>
                <w:szCs w:val="22"/>
                <w:lang w:eastAsia="en-US"/>
              </w:rPr>
              <w:t>ИТОГО:</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Pr="00A53D6D" w:rsidRDefault="00F07E05" w:rsidP="008A253E">
            <w:pPr>
              <w:spacing w:line="276" w:lineRule="auto"/>
              <w:jc w:val="center"/>
              <w:rPr>
                <w:lang w:eastAsia="en-US"/>
              </w:rPr>
            </w:pPr>
            <w:r w:rsidRPr="00A53D6D">
              <w:rPr>
                <w:b/>
                <w:bCs/>
                <w:sz w:val="22"/>
                <w:szCs w:val="22"/>
                <w:lang w:eastAsia="en-US"/>
              </w:rPr>
              <w:t>33</w:t>
            </w:r>
            <w:r>
              <w:rPr>
                <w:b/>
                <w:bCs/>
                <w:sz w:val="22"/>
                <w:szCs w:val="22"/>
                <w:lang w:eastAsia="en-US"/>
              </w:rPr>
              <w:t> 637,29</w:t>
            </w:r>
          </w:p>
        </w:tc>
      </w:tr>
      <w:tr w:rsidR="00F07E05" w:rsidRPr="0040190B" w:rsidTr="008A253E">
        <w:trPr>
          <w:trHeight w:val="330"/>
        </w:trPr>
        <w:tc>
          <w:tcPr>
            <w:tcW w:w="2552" w:type="dxa"/>
            <w:vMerge w:val="restart"/>
            <w:tcBorders>
              <w:top w:val="single" w:sz="4" w:space="0" w:color="auto"/>
              <w:left w:val="single" w:sz="4" w:space="0" w:color="auto"/>
              <w:bottom w:val="single" w:sz="4" w:space="0" w:color="auto"/>
              <w:right w:val="single" w:sz="4" w:space="0" w:color="auto"/>
            </w:tcBorders>
            <w:noWrap/>
            <w:vAlign w:val="center"/>
            <w:hideMark/>
          </w:tcPr>
          <w:p w:rsidR="00F07E05" w:rsidRDefault="00F07E05" w:rsidP="008A253E">
            <w:pPr>
              <w:spacing w:line="276" w:lineRule="auto"/>
              <w:jc w:val="center"/>
              <w:rPr>
                <w:color w:val="000000"/>
                <w:lang w:eastAsia="en-US"/>
              </w:rPr>
            </w:pPr>
            <w:r>
              <w:rPr>
                <w:color w:val="000000"/>
                <w:sz w:val="22"/>
                <w:szCs w:val="22"/>
                <w:lang w:eastAsia="en-US"/>
              </w:rPr>
              <w:lastRenderedPageBreak/>
              <w:t>ООО «СК «Созвездие»</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26-37</w:t>
            </w:r>
          </w:p>
        </w:tc>
        <w:tc>
          <w:tcPr>
            <w:tcW w:w="14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 96,18</w:t>
            </w:r>
          </w:p>
        </w:tc>
        <w:tc>
          <w:tcPr>
            <w:tcW w:w="1450"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8</w:t>
            </w:r>
          </w:p>
        </w:tc>
        <w:tc>
          <w:tcPr>
            <w:tcW w:w="2195"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04.05.21 13.40-21.00 </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07E05" w:rsidRPr="0040190B" w:rsidRDefault="00F07E05" w:rsidP="008A253E">
            <w:pPr>
              <w:spacing w:line="276" w:lineRule="auto"/>
              <w:jc w:val="center"/>
              <w:rPr>
                <w:lang w:eastAsia="en-US"/>
              </w:rPr>
            </w:pPr>
            <w:r>
              <w:rPr>
                <w:color w:val="000000"/>
                <w:sz w:val="22"/>
                <w:szCs w:val="22"/>
              </w:rPr>
              <w:t>22 513,81</w:t>
            </w:r>
          </w:p>
        </w:tc>
      </w:tr>
      <w:tr w:rsidR="00F07E05" w:rsidRPr="0040190B" w:rsidTr="008A253E">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Default="00F07E05" w:rsidP="008A253E">
            <w:pPr>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26-37</w:t>
            </w:r>
          </w:p>
        </w:tc>
        <w:tc>
          <w:tcPr>
            <w:tcW w:w="14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 96,18</w:t>
            </w:r>
          </w:p>
        </w:tc>
        <w:tc>
          <w:tcPr>
            <w:tcW w:w="1450"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6</w:t>
            </w:r>
          </w:p>
        </w:tc>
        <w:tc>
          <w:tcPr>
            <w:tcW w:w="2195"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29.05.21 16.00-20.30</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07E05" w:rsidRPr="0040190B" w:rsidRDefault="00F07E05" w:rsidP="008A253E">
            <w:pPr>
              <w:spacing w:line="276" w:lineRule="auto"/>
              <w:jc w:val="center"/>
              <w:rPr>
                <w:lang w:eastAsia="en-US"/>
              </w:rPr>
            </w:pPr>
            <w:r>
              <w:rPr>
                <w:color w:val="000000"/>
                <w:sz w:val="22"/>
                <w:szCs w:val="22"/>
              </w:rPr>
              <w:t>16 885,36</w:t>
            </w:r>
          </w:p>
        </w:tc>
      </w:tr>
      <w:tr w:rsidR="00F07E05" w:rsidRPr="0040190B" w:rsidTr="008A253E">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Default="00F07E05" w:rsidP="008A253E">
            <w:pPr>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26-37</w:t>
            </w:r>
          </w:p>
        </w:tc>
        <w:tc>
          <w:tcPr>
            <w:tcW w:w="1459" w:type="dxa"/>
            <w:tcBorders>
              <w:top w:val="single" w:sz="4" w:space="0" w:color="auto"/>
              <w:left w:val="single" w:sz="4" w:space="0" w:color="auto"/>
              <w:bottom w:val="single" w:sz="4" w:space="0" w:color="auto"/>
              <w:right w:val="single" w:sz="4" w:space="0" w:color="auto"/>
            </w:tcBorders>
            <w:noWrap/>
            <w:hideMark/>
          </w:tcPr>
          <w:p w:rsidR="00F07E05" w:rsidRDefault="00F07E05" w:rsidP="008A253E">
            <w:pPr>
              <w:spacing w:line="276" w:lineRule="auto"/>
              <w:jc w:val="center"/>
              <w:rPr>
                <w:color w:val="000000"/>
                <w:lang w:eastAsia="en-US"/>
              </w:rPr>
            </w:pPr>
            <w:r>
              <w:rPr>
                <w:color w:val="000000"/>
                <w:sz w:val="22"/>
                <w:szCs w:val="22"/>
                <w:lang w:eastAsia="en-US"/>
              </w:rPr>
              <w:t>96,18</w:t>
            </w:r>
          </w:p>
        </w:tc>
        <w:tc>
          <w:tcPr>
            <w:tcW w:w="1450"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5</w:t>
            </w:r>
          </w:p>
        </w:tc>
        <w:tc>
          <w:tcPr>
            <w:tcW w:w="2195"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12.06.21 15.30-20.00 </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07E05" w:rsidRPr="0040190B" w:rsidRDefault="00F07E05" w:rsidP="008A253E">
            <w:pPr>
              <w:spacing w:line="276" w:lineRule="auto"/>
              <w:jc w:val="center"/>
              <w:rPr>
                <w:lang w:eastAsia="en-US"/>
              </w:rPr>
            </w:pPr>
            <w:r>
              <w:rPr>
                <w:color w:val="000000"/>
                <w:sz w:val="22"/>
                <w:szCs w:val="22"/>
              </w:rPr>
              <w:t>14 071,13</w:t>
            </w:r>
          </w:p>
        </w:tc>
      </w:tr>
      <w:tr w:rsidR="00F07E05" w:rsidRPr="0040190B" w:rsidTr="008A253E">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Default="00F07E05" w:rsidP="008A253E">
            <w:pPr>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26-37</w:t>
            </w:r>
          </w:p>
        </w:tc>
        <w:tc>
          <w:tcPr>
            <w:tcW w:w="1459" w:type="dxa"/>
            <w:tcBorders>
              <w:top w:val="single" w:sz="4" w:space="0" w:color="auto"/>
              <w:left w:val="single" w:sz="4" w:space="0" w:color="auto"/>
              <w:bottom w:val="single" w:sz="4" w:space="0" w:color="auto"/>
              <w:right w:val="single" w:sz="4" w:space="0" w:color="auto"/>
            </w:tcBorders>
            <w:noWrap/>
            <w:hideMark/>
          </w:tcPr>
          <w:p w:rsidR="00F07E05" w:rsidRDefault="00F07E05" w:rsidP="008A253E">
            <w:pPr>
              <w:spacing w:line="276" w:lineRule="auto"/>
              <w:jc w:val="center"/>
              <w:rPr>
                <w:color w:val="000000"/>
                <w:lang w:eastAsia="en-US"/>
              </w:rPr>
            </w:pPr>
            <w:r>
              <w:rPr>
                <w:color w:val="000000"/>
                <w:sz w:val="22"/>
                <w:szCs w:val="22"/>
                <w:lang w:eastAsia="en-US"/>
              </w:rPr>
              <w:t>96,18</w:t>
            </w:r>
          </w:p>
        </w:tc>
        <w:tc>
          <w:tcPr>
            <w:tcW w:w="1450"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lang w:eastAsia="en-US"/>
              </w:rPr>
              <w:t>5</w:t>
            </w:r>
          </w:p>
        </w:tc>
        <w:tc>
          <w:tcPr>
            <w:tcW w:w="2195"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14.08.21 16.00-20.30 </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07E05" w:rsidRPr="0040190B" w:rsidRDefault="00F07E05" w:rsidP="008A253E">
            <w:pPr>
              <w:spacing w:line="276" w:lineRule="auto"/>
              <w:jc w:val="center"/>
              <w:rPr>
                <w:lang w:eastAsia="en-US"/>
              </w:rPr>
            </w:pPr>
            <w:r>
              <w:rPr>
                <w:color w:val="000000"/>
                <w:sz w:val="22"/>
                <w:szCs w:val="22"/>
              </w:rPr>
              <w:t>14 071,13</w:t>
            </w:r>
          </w:p>
        </w:tc>
      </w:tr>
      <w:tr w:rsidR="00F07E05" w:rsidRPr="0040190B" w:rsidTr="008A253E">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Default="00F07E05" w:rsidP="008A253E">
            <w:pPr>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26-37</w:t>
            </w:r>
          </w:p>
        </w:tc>
        <w:tc>
          <w:tcPr>
            <w:tcW w:w="1459" w:type="dxa"/>
            <w:tcBorders>
              <w:top w:val="single" w:sz="4" w:space="0" w:color="auto"/>
              <w:left w:val="single" w:sz="4" w:space="0" w:color="auto"/>
              <w:bottom w:val="single" w:sz="4" w:space="0" w:color="auto"/>
              <w:right w:val="single" w:sz="4" w:space="0" w:color="auto"/>
            </w:tcBorders>
            <w:noWrap/>
            <w:hideMark/>
          </w:tcPr>
          <w:p w:rsidR="00F07E05" w:rsidRDefault="00F07E05" w:rsidP="008A253E">
            <w:pPr>
              <w:spacing w:line="276" w:lineRule="auto"/>
              <w:jc w:val="center"/>
              <w:rPr>
                <w:color w:val="000000"/>
                <w:lang w:eastAsia="en-US"/>
              </w:rPr>
            </w:pPr>
            <w:r>
              <w:rPr>
                <w:color w:val="000000"/>
                <w:sz w:val="22"/>
                <w:szCs w:val="22"/>
                <w:lang w:eastAsia="en-US"/>
              </w:rPr>
              <w:t>96,18</w:t>
            </w:r>
          </w:p>
        </w:tc>
        <w:tc>
          <w:tcPr>
            <w:tcW w:w="1450"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lang w:eastAsia="en-US"/>
              </w:rPr>
              <w:t>6</w:t>
            </w:r>
          </w:p>
        </w:tc>
        <w:tc>
          <w:tcPr>
            <w:tcW w:w="2195"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26.08.21 09.00-15.00</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07E05" w:rsidRPr="0040190B" w:rsidRDefault="00F07E05" w:rsidP="008A253E">
            <w:pPr>
              <w:spacing w:line="276" w:lineRule="auto"/>
              <w:jc w:val="center"/>
              <w:rPr>
                <w:lang w:eastAsia="en-US"/>
              </w:rPr>
            </w:pPr>
            <w:r>
              <w:rPr>
                <w:color w:val="000000"/>
                <w:sz w:val="22"/>
                <w:szCs w:val="22"/>
              </w:rPr>
              <w:t>16 885,36</w:t>
            </w:r>
          </w:p>
        </w:tc>
      </w:tr>
      <w:tr w:rsidR="00F07E05" w:rsidRPr="0040190B" w:rsidTr="008A253E">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Default="00F07E05" w:rsidP="008A253E">
            <w:pPr>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26-37</w:t>
            </w:r>
          </w:p>
        </w:tc>
        <w:tc>
          <w:tcPr>
            <w:tcW w:w="14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96,18</w:t>
            </w:r>
          </w:p>
        </w:tc>
        <w:tc>
          <w:tcPr>
            <w:tcW w:w="1450"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5</w:t>
            </w:r>
          </w:p>
        </w:tc>
        <w:tc>
          <w:tcPr>
            <w:tcW w:w="2195"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17.07.21 16.00-20.30</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07E05" w:rsidRPr="0040190B" w:rsidRDefault="00F07E05" w:rsidP="008A253E">
            <w:pPr>
              <w:spacing w:line="276" w:lineRule="auto"/>
              <w:jc w:val="center"/>
              <w:rPr>
                <w:lang w:eastAsia="en-US"/>
              </w:rPr>
            </w:pPr>
            <w:r w:rsidRPr="00F65164">
              <w:rPr>
                <w:color w:val="000000"/>
                <w:sz w:val="22"/>
                <w:szCs w:val="22"/>
              </w:rPr>
              <w:t>14 071,13</w:t>
            </w:r>
          </w:p>
        </w:tc>
      </w:tr>
      <w:tr w:rsidR="00F07E05" w:rsidRPr="0040190B" w:rsidTr="008A253E">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Default="00F07E05" w:rsidP="008A253E">
            <w:pPr>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302</w:t>
            </w:r>
          </w:p>
        </w:tc>
        <w:tc>
          <w:tcPr>
            <w:tcW w:w="14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129,15</w:t>
            </w:r>
          </w:p>
        </w:tc>
        <w:tc>
          <w:tcPr>
            <w:tcW w:w="1450"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7</w:t>
            </w:r>
          </w:p>
        </w:tc>
        <w:tc>
          <w:tcPr>
            <w:tcW w:w="2195"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22.05.21 15.10-22.00</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07E05" w:rsidRPr="0040190B" w:rsidRDefault="00F07E05" w:rsidP="008A253E">
            <w:pPr>
              <w:spacing w:line="276" w:lineRule="auto"/>
              <w:jc w:val="center"/>
              <w:rPr>
                <w:lang w:eastAsia="en-US"/>
              </w:rPr>
            </w:pPr>
            <w:r>
              <w:rPr>
                <w:color w:val="000000"/>
                <w:sz w:val="22"/>
                <w:szCs w:val="22"/>
              </w:rPr>
              <w:t>26 452,50</w:t>
            </w:r>
          </w:p>
        </w:tc>
      </w:tr>
      <w:tr w:rsidR="00F07E05" w:rsidRPr="0040190B" w:rsidTr="008A253E">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Default="00F07E05" w:rsidP="008A253E">
            <w:pPr>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hideMark/>
          </w:tcPr>
          <w:p w:rsidR="00F07E05" w:rsidRDefault="00F07E05" w:rsidP="008A253E">
            <w:pPr>
              <w:spacing w:line="276" w:lineRule="auto"/>
              <w:jc w:val="center"/>
              <w:rPr>
                <w:color w:val="000000"/>
                <w:lang w:eastAsia="en-US"/>
              </w:rPr>
            </w:pPr>
            <w:r>
              <w:rPr>
                <w:color w:val="000000"/>
                <w:sz w:val="22"/>
                <w:szCs w:val="22"/>
                <w:lang w:eastAsia="en-US"/>
              </w:rPr>
              <w:t>302</w:t>
            </w:r>
          </w:p>
        </w:tc>
        <w:tc>
          <w:tcPr>
            <w:tcW w:w="1459" w:type="dxa"/>
            <w:tcBorders>
              <w:top w:val="single" w:sz="4" w:space="0" w:color="auto"/>
              <w:left w:val="single" w:sz="4" w:space="0" w:color="auto"/>
              <w:bottom w:val="single" w:sz="4" w:space="0" w:color="auto"/>
              <w:right w:val="single" w:sz="4" w:space="0" w:color="auto"/>
            </w:tcBorders>
            <w:noWrap/>
            <w:hideMark/>
          </w:tcPr>
          <w:p w:rsidR="00F07E05" w:rsidRDefault="00F07E05" w:rsidP="008A253E">
            <w:pPr>
              <w:spacing w:line="276" w:lineRule="auto"/>
              <w:jc w:val="center"/>
              <w:rPr>
                <w:color w:val="000000"/>
                <w:lang w:eastAsia="en-US"/>
              </w:rPr>
            </w:pPr>
            <w:r>
              <w:rPr>
                <w:color w:val="000000"/>
                <w:sz w:val="22"/>
                <w:szCs w:val="22"/>
                <w:lang w:eastAsia="en-US"/>
              </w:rPr>
              <w:t>129,15</w:t>
            </w:r>
          </w:p>
        </w:tc>
        <w:tc>
          <w:tcPr>
            <w:tcW w:w="1450"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3</w:t>
            </w:r>
          </w:p>
        </w:tc>
        <w:tc>
          <w:tcPr>
            <w:tcW w:w="2195"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 xml:space="preserve">26.06.21 17.30-20.30 </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07E05" w:rsidRPr="0040190B" w:rsidRDefault="00F07E05" w:rsidP="008A253E">
            <w:pPr>
              <w:spacing w:line="276" w:lineRule="auto"/>
              <w:jc w:val="center"/>
              <w:rPr>
                <w:lang w:eastAsia="en-US"/>
              </w:rPr>
            </w:pPr>
            <w:r>
              <w:rPr>
                <w:color w:val="000000"/>
                <w:sz w:val="22"/>
                <w:szCs w:val="22"/>
              </w:rPr>
              <w:t>11 336,79</w:t>
            </w:r>
          </w:p>
        </w:tc>
      </w:tr>
      <w:tr w:rsidR="00F07E05" w:rsidRPr="0040190B" w:rsidTr="008A253E">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Default="00F07E05" w:rsidP="008A253E">
            <w:pPr>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hideMark/>
          </w:tcPr>
          <w:p w:rsidR="00F07E05" w:rsidRDefault="00F07E05" w:rsidP="008A253E">
            <w:pPr>
              <w:spacing w:line="276" w:lineRule="auto"/>
              <w:jc w:val="center"/>
              <w:rPr>
                <w:color w:val="000000"/>
                <w:lang w:eastAsia="en-US"/>
              </w:rPr>
            </w:pPr>
            <w:r>
              <w:rPr>
                <w:color w:val="000000"/>
                <w:sz w:val="22"/>
                <w:szCs w:val="22"/>
                <w:lang w:eastAsia="en-US"/>
              </w:rPr>
              <w:t>302</w:t>
            </w:r>
          </w:p>
        </w:tc>
        <w:tc>
          <w:tcPr>
            <w:tcW w:w="1459" w:type="dxa"/>
            <w:tcBorders>
              <w:top w:val="single" w:sz="4" w:space="0" w:color="auto"/>
              <w:left w:val="single" w:sz="4" w:space="0" w:color="auto"/>
              <w:bottom w:val="single" w:sz="4" w:space="0" w:color="auto"/>
              <w:right w:val="single" w:sz="4" w:space="0" w:color="auto"/>
            </w:tcBorders>
            <w:noWrap/>
            <w:hideMark/>
          </w:tcPr>
          <w:p w:rsidR="00F07E05" w:rsidRDefault="00F07E05" w:rsidP="008A253E">
            <w:pPr>
              <w:spacing w:line="276" w:lineRule="auto"/>
              <w:jc w:val="center"/>
              <w:rPr>
                <w:color w:val="000000"/>
                <w:lang w:eastAsia="en-US"/>
              </w:rPr>
            </w:pPr>
            <w:r>
              <w:rPr>
                <w:color w:val="000000"/>
                <w:sz w:val="22"/>
                <w:szCs w:val="22"/>
                <w:lang w:eastAsia="en-US"/>
              </w:rPr>
              <w:t>129,15</w:t>
            </w:r>
          </w:p>
        </w:tc>
        <w:tc>
          <w:tcPr>
            <w:tcW w:w="1450"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5</w:t>
            </w:r>
          </w:p>
        </w:tc>
        <w:tc>
          <w:tcPr>
            <w:tcW w:w="2195"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10.07.21 16.00-20.30</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07E05" w:rsidRPr="0040190B" w:rsidRDefault="00F07E05" w:rsidP="008A253E">
            <w:pPr>
              <w:spacing w:line="276" w:lineRule="auto"/>
              <w:jc w:val="center"/>
              <w:rPr>
                <w:lang w:eastAsia="en-US"/>
              </w:rPr>
            </w:pPr>
            <w:r>
              <w:rPr>
                <w:color w:val="000000"/>
                <w:sz w:val="22"/>
                <w:szCs w:val="22"/>
              </w:rPr>
              <w:t>18 894,65</w:t>
            </w:r>
          </w:p>
        </w:tc>
      </w:tr>
      <w:tr w:rsidR="00F07E05" w:rsidRPr="0040190B" w:rsidTr="008A253E">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Default="00F07E05" w:rsidP="008A253E">
            <w:pPr>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hideMark/>
          </w:tcPr>
          <w:p w:rsidR="00F07E05" w:rsidRDefault="00F07E05" w:rsidP="008A253E">
            <w:pPr>
              <w:spacing w:line="276" w:lineRule="auto"/>
              <w:jc w:val="center"/>
              <w:rPr>
                <w:color w:val="000000"/>
                <w:lang w:eastAsia="en-US"/>
              </w:rPr>
            </w:pPr>
            <w:r>
              <w:rPr>
                <w:color w:val="000000"/>
                <w:sz w:val="22"/>
                <w:szCs w:val="22"/>
                <w:lang w:eastAsia="en-US"/>
              </w:rPr>
              <w:t>302</w:t>
            </w:r>
          </w:p>
        </w:tc>
        <w:tc>
          <w:tcPr>
            <w:tcW w:w="1459" w:type="dxa"/>
            <w:tcBorders>
              <w:top w:val="single" w:sz="4" w:space="0" w:color="auto"/>
              <w:left w:val="single" w:sz="4" w:space="0" w:color="auto"/>
              <w:bottom w:val="single" w:sz="4" w:space="0" w:color="auto"/>
              <w:right w:val="single" w:sz="4" w:space="0" w:color="auto"/>
            </w:tcBorders>
            <w:noWrap/>
            <w:hideMark/>
          </w:tcPr>
          <w:p w:rsidR="00F07E05" w:rsidRDefault="00F07E05" w:rsidP="008A253E">
            <w:pPr>
              <w:spacing w:line="276" w:lineRule="auto"/>
              <w:jc w:val="center"/>
              <w:rPr>
                <w:color w:val="000000"/>
                <w:lang w:eastAsia="en-US"/>
              </w:rPr>
            </w:pPr>
            <w:r>
              <w:rPr>
                <w:color w:val="000000"/>
                <w:sz w:val="22"/>
                <w:szCs w:val="22"/>
                <w:lang w:eastAsia="en-US"/>
              </w:rPr>
              <w:t>129,15</w:t>
            </w:r>
          </w:p>
        </w:tc>
        <w:tc>
          <w:tcPr>
            <w:tcW w:w="1450"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4</w:t>
            </w:r>
          </w:p>
        </w:tc>
        <w:tc>
          <w:tcPr>
            <w:tcW w:w="2195"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25.07.21 15.30-19.30</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07E05" w:rsidRPr="0040190B" w:rsidRDefault="00F07E05" w:rsidP="008A253E">
            <w:pPr>
              <w:spacing w:line="276" w:lineRule="auto"/>
              <w:jc w:val="center"/>
              <w:rPr>
                <w:lang w:eastAsia="en-US"/>
              </w:rPr>
            </w:pPr>
            <w:r>
              <w:rPr>
                <w:color w:val="000000"/>
                <w:sz w:val="22"/>
                <w:szCs w:val="22"/>
              </w:rPr>
              <w:t>15 115,72</w:t>
            </w:r>
          </w:p>
        </w:tc>
      </w:tr>
      <w:tr w:rsidR="00F07E05" w:rsidRPr="0040190B" w:rsidTr="008A253E">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Default="00F07E05" w:rsidP="008A253E">
            <w:pPr>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hideMark/>
          </w:tcPr>
          <w:p w:rsidR="00F07E05" w:rsidRDefault="00F07E05" w:rsidP="008A253E">
            <w:pPr>
              <w:spacing w:line="276" w:lineRule="auto"/>
              <w:jc w:val="center"/>
              <w:rPr>
                <w:color w:val="000000"/>
                <w:lang w:eastAsia="en-US"/>
              </w:rPr>
            </w:pPr>
            <w:r>
              <w:rPr>
                <w:color w:val="000000"/>
                <w:sz w:val="22"/>
                <w:szCs w:val="22"/>
                <w:lang w:eastAsia="en-US"/>
              </w:rPr>
              <w:t>302</w:t>
            </w:r>
          </w:p>
        </w:tc>
        <w:tc>
          <w:tcPr>
            <w:tcW w:w="1459" w:type="dxa"/>
            <w:tcBorders>
              <w:top w:val="single" w:sz="4" w:space="0" w:color="auto"/>
              <w:left w:val="single" w:sz="4" w:space="0" w:color="auto"/>
              <w:bottom w:val="single" w:sz="4" w:space="0" w:color="auto"/>
              <w:right w:val="single" w:sz="4" w:space="0" w:color="auto"/>
            </w:tcBorders>
            <w:noWrap/>
            <w:hideMark/>
          </w:tcPr>
          <w:p w:rsidR="00F07E05" w:rsidRDefault="00F07E05" w:rsidP="008A253E">
            <w:pPr>
              <w:spacing w:line="276" w:lineRule="auto"/>
              <w:jc w:val="center"/>
              <w:rPr>
                <w:color w:val="000000"/>
                <w:lang w:eastAsia="en-US"/>
              </w:rPr>
            </w:pPr>
            <w:r>
              <w:rPr>
                <w:color w:val="000000"/>
                <w:sz w:val="22"/>
                <w:szCs w:val="22"/>
                <w:lang w:eastAsia="en-US"/>
              </w:rPr>
              <w:t>129,15</w:t>
            </w:r>
          </w:p>
        </w:tc>
        <w:tc>
          <w:tcPr>
            <w:tcW w:w="1450"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5</w:t>
            </w:r>
          </w:p>
        </w:tc>
        <w:tc>
          <w:tcPr>
            <w:tcW w:w="2195"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31.07.21 16.00-20.30</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07E05" w:rsidRPr="0040190B" w:rsidRDefault="00F07E05" w:rsidP="008A253E">
            <w:pPr>
              <w:spacing w:line="276" w:lineRule="auto"/>
              <w:jc w:val="center"/>
              <w:rPr>
                <w:lang w:eastAsia="en-US"/>
              </w:rPr>
            </w:pPr>
            <w:r w:rsidRPr="00EA71CE">
              <w:rPr>
                <w:color w:val="000000"/>
                <w:sz w:val="22"/>
                <w:szCs w:val="22"/>
              </w:rPr>
              <w:t>18 894,65</w:t>
            </w:r>
          </w:p>
        </w:tc>
      </w:tr>
      <w:tr w:rsidR="00F07E05" w:rsidRPr="0040190B" w:rsidTr="008A253E">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Default="00F07E05" w:rsidP="008A253E">
            <w:pPr>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hideMark/>
          </w:tcPr>
          <w:p w:rsidR="00F07E05" w:rsidRDefault="00F07E05" w:rsidP="008A253E">
            <w:pPr>
              <w:spacing w:line="276" w:lineRule="auto"/>
              <w:jc w:val="center"/>
              <w:rPr>
                <w:color w:val="000000"/>
                <w:lang w:eastAsia="en-US"/>
              </w:rPr>
            </w:pPr>
            <w:r>
              <w:rPr>
                <w:color w:val="000000"/>
                <w:sz w:val="22"/>
                <w:szCs w:val="22"/>
                <w:lang w:eastAsia="en-US"/>
              </w:rPr>
              <w:t>302</w:t>
            </w:r>
          </w:p>
        </w:tc>
        <w:tc>
          <w:tcPr>
            <w:tcW w:w="1459" w:type="dxa"/>
            <w:tcBorders>
              <w:top w:val="single" w:sz="4" w:space="0" w:color="auto"/>
              <w:left w:val="single" w:sz="4" w:space="0" w:color="auto"/>
              <w:bottom w:val="single" w:sz="4" w:space="0" w:color="auto"/>
              <w:right w:val="single" w:sz="4" w:space="0" w:color="auto"/>
            </w:tcBorders>
            <w:noWrap/>
            <w:hideMark/>
          </w:tcPr>
          <w:p w:rsidR="00F07E05" w:rsidRDefault="00F07E05" w:rsidP="008A253E">
            <w:pPr>
              <w:spacing w:line="276" w:lineRule="auto"/>
              <w:jc w:val="center"/>
              <w:rPr>
                <w:color w:val="000000"/>
                <w:lang w:eastAsia="en-US"/>
              </w:rPr>
            </w:pPr>
            <w:r>
              <w:rPr>
                <w:color w:val="000000"/>
                <w:sz w:val="22"/>
                <w:szCs w:val="22"/>
                <w:lang w:eastAsia="en-US"/>
              </w:rPr>
              <w:t>129,15</w:t>
            </w:r>
          </w:p>
        </w:tc>
        <w:tc>
          <w:tcPr>
            <w:tcW w:w="1450"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4</w:t>
            </w:r>
          </w:p>
        </w:tc>
        <w:tc>
          <w:tcPr>
            <w:tcW w:w="2195"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29.08.21 16.00-20.00</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07E05" w:rsidRPr="0040190B" w:rsidRDefault="00F07E05" w:rsidP="008A253E">
            <w:pPr>
              <w:spacing w:line="276" w:lineRule="auto"/>
              <w:jc w:val="center"/>
              <w:rPr>
                <w:lang w:eastAsia="en-US"/>
              </w:rPr>
            </w:pPr>
            <w:r w:rsidRPr="00EA71CE">
              <w:rPr>
                <w:color w:val="000000"/>
                <w:sz w:val="22"/>
                <w:szCs w:val="22"/>
              </w:rPr>
              <w:t>15 115,72</w:t>
            </w:r>
          </w:p>
        </w:tc>
      </w:tr>
      <w:tr w:rsidR="00F07E05" w:rsidRPr="0040190B" w:rsidTr="008A253E">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Default="00F07E05" w:rsidP="008A253E">
            <w:pPr>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hideMark/>
          </w:tcPr>
          <w:p w:rsidR="00F07E05" w:rsidRDefault="00F07E05" w:rsidP="008A253E">
            <w:pPr>
              <w:spacing w:line="276" w:lineRule="auto"/>
              <w:jc w:val="center"/>
              <w:rPr>
                <w:color w:val="000000"/>
                <w:lang w:eastAsia="en-US"/>
              </w:rPr>
            </w:pPr>
            <w:r>
              <w:rPr>
                <w:color w:val="000000"/>
                <w:sz w:val="22"/>
                <w:szCs w:val="22"/>
                <w:lang w:eastAsia="en-US"/>
              </w:rPr>
              <w:t>302</w:t>
            </w:r>
          </w:p>
        </w:tc>
        <w:tc>
          <w:tcPr>
            <w:tcW w:w="1459" w:type="dxa"/>
            <w:tcBorders>
              <w:top w:val="single" w:sz="4" w:space="0" w:color="auto"/>
              <w:left w:val="single" w:sz="4" w:space="0" w:color="auto"/>
              <w:bottom w:val="single" w:sz="4" w:space="0" w:color="auto"/>
              <w:right w:val="single" w:sz="4" w:space="0" w:color="auto"/>
            </w:tcBorders>
            <w:noWrap/>
            <w:hideMark/>
          </w:tcPr>
          <w:p w:rsidR="00F07E05" w:rsidRDefault="00F07E05" w:rsidP="008A253E">
            <w:pPr>
              <w:spacing w:line="276" w:lineRule="auto"/>
              <w:jc w:val="center"/>
              <w:rPr>
                <w:color w:val="000000"/>
                <w:lang w:eastAsia="en-US"/>
              </w:rPr>
            </w:pPr>
            <w:r>
              <w:rPr>
                <w:color w:val="000000"/>
                <w:sz w:val="22"/>
                <w:szCs w:val="22"/>
                <w:lang w:eastAsia="en-US"/>
              </w:rPr>
              <w:t>129,15</w:t>
            </w:r>
          </w:p>
        </w:tc>
        <w:tc>
          <w:tcPr>
            <w:tcW w:w="1450"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7</w:t>
            </w:r>
          </w:p>
        </w:tc>
        <w:tc>
          <w:tcPr>
            <w:tcW w:w="2195"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28.09.21 12.00-18.30</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07E05" w:rsidRPr="0040190B" w:rsidRDefault="00F07E05" w:rsidP="008A253E">
            <w:pPr>
              <w:spacing w:line="276" w:lineRule="auto"/>
              <w:jc w:val="center"/>
              <w:rPr>
                <w:lang w:eastAsia="en-US"/>
              </w:rPr>
            </w:pPr>
            <w:r>
              <w:rPr>
                <w:color w:val="000000"/>
                <w:sz w:val="22"/>
                <w:szCs w:val="22"/>
              </w:rPr>
              <w:t>26 452,60</w:t>
            </w:r>
          </w:p>
        </w:tc>
      </w:tr>
      <w:tr w:rsidR="00F07E05" w:rsidRPr="0040190B" w:rsidTr="008A253E">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Default="00F07E05" w:rsidP="008A253E">
            <w:pPr>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302</w:t>
            </w:r>
          </w:p>
        </w:tc>
        <w:tc>
          <w:tcPr>
            <w:tcW w:w="1459" w:type="dxa"/>
            <w:tcBorders>
              <w:top w:val="single" w:sz="4" w:space="0" w:color="auto"/>
              <w:left w:val="single" w:sz="4" w:space="0" w:color="auto"/>
              <w:bottom w:val="single" w:sz="4" w:space="0" w:color="auto"/>
              <w:right w:val="single" w:sz="4" w:space="0" w:color="auto"/>
            </w:tcBorders>
            <w:noWrap/>
            <w:hideMark/>
          </w:tcPr>
          <w:p w:rsidR="00F07E05" w:rsidRDefault="00F07E05" w:rsidP="008A253E">
            <w:pPr>
              <w:spacing w:line="276" w:lineRule="auto"/>
              <w:jc w:val="center"/>
              <w:rPr>
                <w:color w:val="000000"/>
                <w:lang w:eastAsia="en-US"/>
              </w:rPr>
            </w:pPr>
            <w:r>
              <w:rPr>
                <w:color w:val="000000"/>
                <w:sz w:val="22"/>
                <w:szCs w:val="22"/>
                <w:lang w:eastAsia="en-US"/>
              </w:rPr>
              <w:t>129,15</w:t>
            </w:r>
          </w:p>
        </w:tc>
        <w:tc>
          <w:tcPr>
            <w:tcW w:w="1450"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5</w:t>
            </w:r>
          </w:p>
        </w:tc>
        <w:tc>
          <w:tcPr>
            <w:tcW w:w="2195"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 23.10.21 16.00-20.30</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07E05" w:rsidRPr="0040190B" w:rsidRDefault="00F07E05" w:rsidP="008A253E">
            <w:pPr>
              <w:spacing w:line="276" w:lineRule="auto"/>
              <w:jc w:val="center"/>
              <w:rPr>
                <w:lang w:eastAsia="en-US"/>
              </w:rPr>
            </w:pPr>
            <w:r>
              <w:rPr>
                <w:color w:val="000000"/>
                <w:sz w:val="22"/>
                <w:szCs w:val="22"/>
              </w:rPr>
              <w:t>18 894,65</w:t>
            </w:r>
          </w:p>
        </w:tc>
      </w:tr>
      <w:tr w:rsidR="00F07E05" w:rsidRPr="0040190B" w:rsidTr="008A253E">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Default="00F07E05" w:rsidP="008A253E">
            <w:pPr>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302</w:t>
            </w:r>
          </w:p>
        </w:tc>
        <w:tc>
          <w:tcPr>
            <w:tcW w:w="1459" w:type="dxa"/>
            <w:tcBorders>
              <w:top w:val="single" w:sz="4" w:space="0" w:color="auto"/>
              <w:left w:val="single" w:sz="4" w:space="0" w:color="auto"/>
              <w:bottom w:val="single" w:sz="4" w:space="0" w:color="auto"/>
              <w:right w:val="single" w:sz="4" w:space="0" w:color="auto"/>
            </w:tcBorders>
            <w:noWrap/>
            <w:hideMark/>
          </w:tcPr>
          <w:p w:rsidR="00F07E05" w:rsidRDefault="00F07E05" w:rsidP="008A253E">
            <w:pPr>
              <w:spacing w:line="276" w:lineRule="auto"/>
              <w:jc w:val="center"/>
              <w:rPr>
                <w:color w:val="000000"/>
                <w:lang w:eastAsia="en-US"/>
              </w:rPr>
            </w:pPr>
            <w:r>
              <w:rPr>
                <w:color w:val="000000"/>
                <w:sz w:val="22"/>
                <w:szCs w:val="22"/>
                <w:lang w:eastAsia="en-US"/>
              </w:rPr>
              <w:t>129,15</w:t>
            </w:r>
          </w:p>
        </w:tc>
        <w:tc>
          <w:tcPr>
            <w:tcW w:w="1450"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3</w:t>
            </w:r>
          </w:p>
        </w:tc>
        <w:tc>
          <w:tcPr>
            <w:tcW w:w="2195"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rPr>
                <w:color w:val="000000"/>
                <w:lang w:eastAsia="en-US"/>
              </w:rPr>
            </w:pPr>
            <w:r>
              <w:rPr>
                <w:color w:val="000000"/>
                <w:sz w:val="22"/>
                <w:szCs w:val="22"/>
                <w:lang w:eastAsia="en-US"/>
              </w:rPr>
              <w:t>30.10.21 12.00-15.00</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07E05" w:rsidRPr="0040190B" w:rsidRDefault="00F07E05" w:rsidP="008A253E">
            <w:pPr>
              <w:spacing w:line="276" w:lineRule="auto"/>
              <w:jc w:val="center"/>
              <w:rPr>
                <w:lang w:eastAsia="en-US"/>
              </w:rPr>
            </w:pPr>
            <w:r>
              <w:rPr>
                <w:color w:val="000000"/>
                <w:sz w:val="22"/>
                <w:szCs w:val="22"/>
              </w:rPr>
              <w:t>11 336,79</w:t>
            </w:r>
          </w:p>
        </w:tc>
      </w:tr>
      <w:tr w:rsidR="00F07E05" w:rsidRPr="0040190B" w:rsidTr="008A253E">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Default="00F07E05" w:rsidP="008A253E">
            <w:pPr>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302</w:t>
            </w:r>
          </w:p>
        </w:tc>
        <w:tc>
          <w:tcPr>
            <w:tcW w:w="1459" w:type="dxa"/>
            <w:tcBorders>
              <w:top w:val="single" w:sz="4" w:space="0" w:color="auto"/>
              <w:left w:val="single" w:sz="4" w:space="0" w:color="auto"/>
              <w:bottom w:val="single" w:sz="4" w:space="0" w:color="auto"/>
              <w:right w:val="single" w:sz="4" w:space="0" w:color="auto"/>
            </w:tcBorders>
            <w:noWrap/>
            <w:hideMark/>
          </w:tcPr>
          <w:p w:rsidR="00F07E05" w:rsidRDefault="00F07E05" w:rsidP="008A253E">
            <w:pPr>
              <w:spacing w:line="276" w:lineRule="auto"/>
              <w:jc w:val="center"/>
              <w:rPr>
                <w:color w:val="000000"/>
                <w:lang w:eastAsia="en-US"/>
              </w:rPr>
            </w:pPr>
            <w:r>
              <w:rPr>
                <w:color w:val="000000"/>
                <w:sz w:val="22"/>
                <w:szCs w:val="22"/>
                <w:lang w:eastAsia="en-US"/>
              </w:rPr>
              <w:t>129,15</w:t>
            </w:r>
          </w:p>
        </w:tc>
        <w:tc>
          <w:tcPr>
            <w:tcW w:w="1450"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3</w:t>
            </w:r>
          </w:p>
        </w:tc>
        <w:tc>
          <w:tcPr>
            <w:tcW w:w="2195"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02.11.21 12.00-15.00 </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07E05" w:rsidRPr="0040190B" w:rsidRDefault="00F07E05" w:rsidP="008A253E">
            <w:pPr>
              <w:spacing w:line="276" w:lineRule="auto"/>
              <w:jc w:val="center"/>
              <w:rPr>
                <w:lang w:eastAsia="en-US"/>
              </w:rPr>
            </w:pPr>
            <w:r>
              <w:rPr>
                <w:color w:val="000000"/>
                <w:sz w:val="22"/>
                <w:szCs w:val="22"/>
              </w:rPr>
              <w:t>11 336,79</w:t>
            </w:r>
          </w:p>
        </w:tc>
      </w:tr>
      <w:tr w:rsidR="00F07E05" w:rsidRPr="00E86E48" w:rsidTr="008A253E">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Default="00F07E05" w:rsidP="008A253E">
            <w:pPr>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302</w:t>
            </w:r>
          </w:p>
        </w:tc>
        <w:tc>
          <w:tcPr>
            <w:tcW w:w="1459" w:type="dxa"/>
            <w:tcBorders>
              <w:top w:val="single" w:sz="4" w:space="0" w:color="auto"/>
              <w:left w:val="single" w:sz="4" w:space="0" w:color="auto"/>
              <w:bottom w:val="single" w:sz="4" w:space="0" w:color="auto"/>
              <w:right w:val="single" w:sz="4" w:space="0" w:color="auto"/>
            </w:tcBorders>
            <w:noWrap/>
            <w:hideMark/>
          </w:tcPr>
          <w:p w:rsidR="00F07E05" w:rsidRDefault="00F07E05" w:rsidP="008A253E">
            <w:pPr>
              <w:spacing w:line="276" w:lineRule="auto"/>
              <w:jc w:val="center"/>
              <w:rPr>
                <w:color w:val="000000"/>
                <w:lang w:eastAsia="en-US"/>
              </w:rPr>
            </w:pPr>
            <w:r>
              <w:rPr>
                <w:color w:val="000000"/>
                <w:sz w:val="22"/>
                <w:szCs w:val="22"/>
                <w:lang w:eastAsia="en-US"/>
              </w:rPr>
              <w:t>129,15</w:t>
            </w:r>
          </w:p>
        </w:tc>
        <w:tc>
          <w:tcPr>
            <w:tcW w:w="1450"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4 </w:t>
            </w:r>
          </w:p>
        </w:tc>
        <w:tc>
          <w:tcPr>
            <w:tcW w:w="2195"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02.05.21 09.00-12.30 </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07E05" w:rsidRPr="00E86E48" w:rsidRDefault="00F07E05" w:rsidP="008A253E">
            <w:pPr>
              <w:spacing w:line="276" w:lineRule="auto"/>
              <w:jc w:val="center"/>
              <w:rPr>
                <w:lang w:eastAsia="en-US"/>
              </w:rPr>
            </w:pPr>
            <w:r>
              <w:rPr>
                <w:color w:val="000000"/>
                <w:sz w:val="22"/>
                <w:szCs w:val="22"/>
              </w:rPr>
              <w:t>15 115,72</w:t>
            </w:r>
          </w:p>
        </w:tc>
      </w:tr>
      <w:tr w:rsidR="00F07E05" w:rsidRPr="00E86E48" w:rsidTr="008A253E">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Default="00F07E05" w:rsidP="008A253E">
            <w:pPr>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302</w:t>
            </w:r>
          </w:p>
        </w:tc>
        <w:tc>
          <w:tcPr>
            <w:tcW w:w="1459" w:type="dxa"/>
            <w:tcBorders>
              <w:top w:val="single" w:sz="4" w:space="0" w:color="auto"/>
              <w:left w:val="single" w:sz="4" w:space="0" w:color="auto"/>
              <w:bottom w:val="single" w:sz="4" w:space="0" w:color="auto"/>
              <w:right w:val="single" w:sz="4" w:space="0" w:color="auto"/>
            </w:tcBorders>
            <w:noWrap/>
            <w:hideMark/>
          </w:tcPr>
          <w:p w:rsidR="00F07E05" w:rsidRDefault="00F07E05" w:rsidP="008A253E">
            <w:pPr>
              <w:spacing w:line="276" w:lineRule="auto"/>
              <w:jc w:val="center"/>
              <w:rPr>
                <w:color w:val="000000"/>
                <w:lang w:eastAsia="en-US"/>
              </w:rPr>
            </w:pPr>
            <w:r>
              <w:rPr>
                <w:color w:val="000000"/>
                <w:sz w:val="22"/>
                <w:szCs w:val="22"/>
                <w:lang w:eastAsia="en-US"/>
              </w:rPr>
              <w:t>129,15</w:t>
            </w:r>
          </w:p>
        </w:tc>
        <w:tc>
          <w:tcPr>
            <w:tcW w:w="1450"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5</w:t>
            </w:r>
          </w:p>
        </w:tc>
        <w:tc>
          <w:tcPr>
            <w:tcW w:w="2195"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08.05.21 15.15-20.00</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07E05" w:rsidRPr="00E86E48" w:rsidRDefault="00F07E05" w:rsidP="008A253E">
            <w:pPr>
              <w:spacing w:line="276" w:lineRule="auto"/>
              <w:jc w:val="center"/>
              <w:rPr>
                <w:lang w:eastAsia="en-US"/>
              </w:rPr>
            </w:pPr>
            <w:r>
              <w:rPr>
                <w:color w:val="000000"/>
                <w:sz w:val="22"/>
                <w:szCs w:val="22"/>
              </w:rPr>
              <w:t>18 894,65</w:t>
            </w:r>
          </w:p>
        </w:tc>
      </w:tr>
      <w:tr w:rsidR="00F07E05" w:rsidRPr="00E86E48" w:rsidTr="008A253E">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Default="00F07E05" w:rsidP="008A253E">
            <w:pPr>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302</w:t>
            </w:r>
          </w:p>
        </w:tc>
        <w:tc>
          <w:tcPr>
            <w:tcW w:w="1459" w:type="dxa"/>
            <w:tcBorders>
              <w:top w:val="single" w:sz="4" w:space="0" w:color="auto"/>
              <w:left w:val="single" w:sz="4" w:space="0" w:color="auto"/>
              <w:bottom w:val="single" w:sz="4" w:space="0" w:color="auto"/>
              <w:right w:val="single" w:sz="4" w:space="0" w:color="auto"/>
            </w:tcBorders>
            <w:noWrap/>
            <w:hideMark/>
          </w:tcPr>
          <w:p w:rsidR="00F07E05" w:rsidRDefault="00F07E05" w:rsidP="008A253E">
            <w:pPr>
              <w:spacing w:line="276" w:lineRule="auto"/>
              <w:jc w:val="center"/>
              <w:rPr>
                <w:color w:val="000000"/>
                <w:lang w:eastAsia="en-US"/>
              </w:rPr>
            </w:pPr>
            <w:r>
              <w:rPr>
                <w:color w:val="000000"/>
                <w:sz w:val="22"/>
                <w:szCs w:val="22"/>
                <w:lang w:eastAsia="en-US"/>
              </w:rPr>
              <w:t>129,15</w:t>
            </w:r>
          </w:p>
        </w:tc>
        <w:tc>
          <w:tcPr>
            <w:tcW w:w="1450"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5</w:t>
            </w:r>
          </w:p>
        </w:tc>
        <w:tc>
          <w:tcPr>
            <w:tcW w:w="2195"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13.05.21 10.50-15.00</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07E05" w:rsidRPr="00E86E48" w:rsidRDefault="00F07E05" w:rsidP="008A253E">
            <w:pPr>
              <w:spacing w:line="276" w:lineRule="auto"/>
              <w:jc w:val="center"/>
              <w:rPr>
                <w:lang w:eastAsia="en-US"/>
              </w:rPr>
            </w:pPr>
            <w:r>
              <w:rPr>
                <w:color w:val="000000"/>
                <w:sz w:val="22"/>
                <w:szCs w:val="22"/>
              </w:rPr>
              <w:t>18 894,65</w:t>
            </w:r>
          </w:p>
        </w:tc>
      </w:tr>
      <w:tr w:rsidR="00F07E05" w:rsidRPr="00E86E48" w:rsidTr="008A253E">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Default="00F07E05" w:rsidP="008A253E">
            <w:pPr>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302</w:t>
            </w:r>
          </w:p>
        </w:tc>
        <w:tc>
          <w:tcPr>
            <w:tcW w:w="1459" w:type="dxa"/>
            <w:tcBorders>
              <w:top w:val="single" w:sz="4" w:space="0" w:color="auto"/>
              <w:left w:val="single" w:sz="4" w:space="0" w:color="auto"/>
              <w:bottom w:val="single" w:sz="4" w:space="0" w:color="auto"/>
              <w:right w:val="single" w:sz="4" w:space="0" w:color="auto"/>
            </w:tcBorders>
            <w:noWrap/>
            <w:hideMark/>
          </w:tcPr>
          <w:p w:rsidR="00F07E05" w:rsidRDefault="00F07E05" w:rsidP="008A253E">
            <w:pPr>
              <w:spacing w:line="276" w:lineRule="auto"/>
              <w:jc w:val="center"/>
              <w:rPr>
                <w:color w:val="000000"/>
                <w:lang w:eastAsia="en-US"/>
              </w:rPr>
            </w:pPr>
            <w:r>
              <w:rPr>
                <w:color w:val="000000"/>
                <w:sz w:val="22"/>
                <w:szCs w:val="22"/>
                <w:lang w:eastAsia="en-US"/>
              </w:rPr>
              <w:t>129,15</w:t>
            </w:r>
          </w:p>
        </w:tc>
        <w:tc>
          <w:tcPr>
            <w:tcW w:w="1450"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7</w:t>
            </w:r>
          </w:p>
        </w:tc>
        <w:tc>
          <w:tcPr>
            <w:tcW w:w="2195"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10.06.21 08.00-15.00</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07E05" w:rsidRPr="00E86E48" w:rsidRDefault="00F07E05" w:rsidP="008A253E">
            <w:pPr>
              <w:spacing w:line="276" w:lineRule="auto"/>
              <w:jc w:val="center"/>
              <w:rPr>
                <w:lang w:eastAsia="en-US"/>
              </w:rPr>
            </w:pPr>
            <w:r>
              <w:rPr>
                <w:color w:val="000000"/>
                <w:sz w:val="22"/>
                <w:szCs w:val="22"/>
              </w:rPr>
              <w:t>26 452,50</w:t>
            </w:r>
          </w:p>
        </w:tc>
      </w:tr>
      <w:tr w:rsidR="00F07E05" w:rsidRPr="00E86E48" w:rsidTr="008A253E">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Default="00F07E05" w:rsidP="008A253E">
            <w:pPr>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hideMark/>
          </w:tcPr>
          <w:p w:rsidR="00F07E05" w:rsidRDefault="00F07E05" w:rsidP="008A253E">
            <w:pPr>
              <w:spacing w:line="276" w:lineRule="auto"/>
              <w:jc w:val="center"/>
              <w:rPr>
                <w:color w:val="000000"/>
                <w:lang w:eastAsia="en-US"/>
              </w:rPr>
            </w:pPr>
            <w:r>
              <w:rPr>
                <w:color w:val="000000"/>
                <w:sz w:val="22"/>
                <w:szCs w:val="22"/>
                <w:lang w:eastAsia="en-US"/>
              </w:rPr>
              <w:t>302</w:t>
            </w:r>
          </w:p>
        </w:tc>
        <w:tc>
          <w:tcPr>
            <w:tcW w:w="1459" w:type="dxa"/>
            <w:tcBorders>
              <w:top w:val="single" w:sz="4" w:space="0" w:color="auto"/>
              <w:left w:val="single" w:sz="4" w:space="0" w:color="auto"/>
              <w:bottom w:val="single" w:sz="4" w:space="0" w:color="auto"/>
              <w:right w:val="single" w:sz="4" w:space="0" w:color="auto"/>
            </w:tcBorders>
            <w:noWrap/>
            <w:hideMark/>
          </w:tcPr>
          <w:p w:rsidR="00F07E05" w:rsidRDefault="00F07E05" w:rsidP="008A253E">
            <w:pPr>
              <w:spacing w:line="276" w:lineRule="auto"/>
              <w:jc w:val="center"/>
              <w:rPr>
                <w:color w:val="000000"/>
                <w:lang w:eastAsia="en-US"/>
              </w:rPr>
            </w:pPr>
            <w:r>
              <w:rPr>
                <w:color w:val="000000"/>
                <w:sz w:val="22"/>
                <w:szCs w:val="22"/>
                <w:lang w:eastAsia="en-US"/>
              </w:rPr>
              <w:t>129,15</w:t>
            </w:r>
          </w:p>
        </w:tc>
        <w:tc>
          <w:tcPr>
            <w:tcW w:w="1450"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5</w:t>
            </w:r>
          </w:p>
        </w:tc>
        <w:tc>
          <w:tcPr>
            <w:tcW w:w="2195"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03.08.21 15.30-20.00</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07E05" w:rsidRPr="00E86E48" w:rsidRDefault="00F07E05" w:rsidP="008A253E">
            <w:pPr>
              <w:spacing w:line="276" w:lineRule="auto"/>
              <w:jc w:val="center"/>
              <w:rPr>
                <w:lang w:eastAsia="en-US"/>
              </w:rPr>
            </w:pPr>
            <w:r>
              <w:rPr>
                <w:color w:val="000000"/>
                <w:sz w:val="22"/>
                <w:szCs w:val="22"/>
              </w:rPr>
              <w:t>18 894,65</w:t>
            </w:r>
          </w:p>
        </w:tc>
      </w:tr>
      <w:tr w:rsidR="00F07E05" w:rsidRPr="00E86E48" w:rsidTr="008A253E">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Default="00F07E05" w:rsidP="008A253E">
            <w:pPr>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hideMark/>
          </w:tcPr>
          <w:p w:rsidR="00F07E05" w:rsidRDefault="00F07E05" w:rsidP="008A253E">
            <w:pPr>
              <w:spacing w:line="276" w:lineRule="auto"/>
              <w:jc w:val="center"/>
              <w:rPr>
                <w:color w:val="000000"/>
                <w:lang w:eastAsia="en-US"/>
              </w:rPr>
            </w:pPr>
            <w:r>
              <w:rPr>
                <w:color w:val="000000"/>
                <w:sz w:val="22"/>
                <w:szCs w:val="22"/>
                <w:lang w:eastAsia="en-US"/>
              </w:rPr>
              <w:t>302</w:t>
            </w:r>
          </w:p>
        </w:tc>
        <w:tc>
          <w:tcPr>
            <w:tcW w:w="1459" w:type="dxa"/>
            <w:tcBorders>
              <w:top w:val="single" w:sz="4" w:space="0" w:color="auto"/>
              <w:left w:val="single" w:sz="4" w:space="0" w:color="auto"/>
              <w:bottom w:val="single" w:sz="4" w:space="0" w:color="auto"/>
              <w:right w:val="single" w:sz="4" w:space="0" w:color="auto"/>
            </w:tcBorders>
            <w:noWrap/>
            <w:hideMark/>
          </w:tcPr>
          <w:p w:rsidR="00F07E05" w:rsidRDefault="00F07E05" w:rsidP="008A253E">
            <w:pPr>
              <w:spacing w:line="276" w:lineRule="auto"/>
              <w:jc w:val="center"/>
              <w:rPr>
                <w:color w:val="000000"/>
                <w:lang w:eastAsia="en-US"/>
              </w:rPr>
            </w:pPr>
            <w:r>
              <w:rPr>
                <w:color w:val="000000"/>
                <w:sz w:val="22"/>
                <w:szCs w:val="22"/>
                <w:lang w:eastAsia="en-US"/>
              </w:rPr>
              <w:t>129,15</w:t>
            </w:r>
          </w:p>
        </w:tc>
        <w:tc>
          <w:tcPr>
            <w:tcW w:w="1450"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5</w:t>
            </w:r>
          </w:p>
        </w:tc>
        <w:tc>
          <w:tcPr>
            <w:tcW w:w="2195"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07.08.21 15.30-20.30</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07E05" w:rsidRPr="00E86E48" w:rsidRDefault="00F07E05" w:rsidP="008A253E">
            <w:pPr>
              <w:spacing w:line="276" w:lineRule="auto"/>
              <w:jc w:val="center"/>
              <w:rPr>
                <w:lang w:eastAsia="en-US"/>
              </w:rPr>
            </w:pPr>
            <w:r>
              <w:rPr>
                <w:color w:val="000000"/>
                <w:sz w:val="22"/>
                <w:szCs w:val="22"/>
              </w:rPr>
              <w:t>18 894,65</w:t>
            </w:r>
          </w:p>
        </w:tc>
      </w:tr>
      <w:tr w:rsidR="00F07E05" w:rsidRPr="00E86E48" w:rsidTr="008A253E">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Default="00F07E05" w:rsidP="008A253E">
            <w:pPr>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hideMark/>
          </w:tcPr>
          <w:p w:rsidR="00F07E05" w:rsidRDefault="00F07E05" w:rsidP="008A253E">
            <w:pPr>
              <w:spacing w:line="276" w:lineRule="auto"/>
              <w:jc w:val="center"/>
              <w:rPr>
                <w:color w:val="000000"/>
                <w:lang w:eastAsia="en-US"/>
              </w:rPr>
            </w:pPr>
            <w:r>
              <w:rPr>
                <w:color w:val="000000"/>
                <w:sz w:val="22"/>
                <w:szCs w:val="22"/>
                <w:lang w:eastAsia="en-US"/>
              </w:rPr>
              <w:t>302</w:t>
            </w:r>
          </w:p>
        </w:tc>
        <w:tc>
          <w:tcPr>
            <w:tcW w:w="1459" w:type="dxa"/>
            <w:tcBorders>
              <w:top w:val="single" w:sz="4" w:space="0" w:color="auto"/>
              <w:left w:val="single" w:sz="4" w:space="0" w:color="auto"/>
              <w:bottom w:val="single" w:sz="4" w:space="0" w:color="auto"/>
              <w:right w:val="single" w:sz="4" w:space="0" w:color="auto"/>
            </w:tcBorders>
            <w:noWrap/>
            <w:hideMark/>
          </w:tcPr>
          <w:p w:rsidR="00F07E05" w:rsidRDefault="00F07E05" w:rsidP="008A253E">
            <w:pPr>
              <w:spacing w:line="276" w:lineRule="auto"/>
              <w:jc w:val="center"/>
              <w:rPr>
                <w:color w:val="000000"/>
                <w:lang w:eastAsia="en-US"/>
              </w:rPr>
            </w:pPr>
            <w:r>
              <w:rPr>
                <w:color w:val="000000"/>
                <w:sz w:val="22"/>
                <w:szCs w:val="22"/>
                <w:lang w:eastAsia="en-US"/>
              </w:rPr>
              <w:t>129,15</w:t>
            </w:r>
          </w:p>
        </w:tc>
        <w:tc>
          <w:tcPr>
            <w:tcW w:w="1450"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3</w:t>
            </w:r>
          </w:p>
        </w:tc>
        <w:tc>
          <w:tcPr>
            <w:tcW w:w="2195"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09.09.21 10.00-13.00</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07E05" w:rsidRPr="00E86E48" w:rsidRDefault="00F07E05" w:rsidP="008A253E">
            <w:pPr>
              <w:spacing w:line="276" w:lineRule="auto"/>
              <w:jc w:val="center"/>
              <w:rPr>
                <w:lang w:eastAsia="en-US"/>
              </w:rPr>
            </w:pPr>
            <w:r>
              <w:rPr>
                <w:color w:val="000000"/>
                <w:sz w:val="22"/>
                <w:szCs w:val="22"/>
              </w:rPr>
              <w:t>11 336,79</w:t>
            </w:r>
          </w:p>
        </w:tc>
      </w:tr>
      <w:tr w:rsidR="00F07E05" w:rsidRPr="00E86E48" w:rsidTr="008A253E">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Default="00F07E05" w:rsidP="008A253E">
            <w:pPr>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hideMark/>
          </w:tcPr>
          <w:p w:rsidR="00F07E05" w:rsidRDefault="00F07E05" w:rsidP="008A253E">
            <w:pPr>
              <w:spacing w:line="276" w:lineRule="auto"/>
              <w:jc w:val="center"/>
              <w:rPr>
                <w:color w:val="000000"/>
                <w:lang w:eastAsia="en-US"/>
              </w:rPr>
            </w:pPr>
            <w:r>
              <w:rPr>
                <w:color w:val="000000"/>
                <w:sz w:val="22"/>
                <w:szCs w:val="22"/>
                <w:lang w:eastAsia="en-US"/>
              </w:rPr>
              <w:t>302</w:t>
            </w:r>
          </w:p>
        </w:tc>
        <w:tc>
          <w:tcPr>
            <w:tcW w:w="1459" w:type="dxa"/>
            <w:tcBorders>
              <w:top w:val="single" w:sz="4" w:space="0" w:color="auto"/>
              <w:left w:val="single" w:sz="4" w:space="0" w:color="auto"/>
              <w:bottom w:val="single" w:sz="4" w:space="0" w:color="auto"/>
              <w:right w:val="single" w:sz="4" w:space="0" w:color="auto"/>
            </w:tcBorders>
            <w:noWrap/>
            <w:hideMark/>
          </w:tcPr>
          <w:p w:rsidR="00F07E05" w:rsidRDefault="00F07E05" w:rsidP="008A253E">
            <w:pPr>
              <w:spacing w:line="276" w:lineRule="auto"/>
              <w:jc w:val="center"/>
              <w:rPr>
                <w:color w:val="000000"/>
                <w:lang w:eastAsia="en-US"/>
              </w:rPr>
            </w:pPr>
            <w:r>
              <w:rPr>
                <w:color w:val="000000"/>
                <w:sz w:val="22"/>
                <w:szCs w:val="22"/>
                <w:lang w:eastAsia="en-US"/>
              </w:rPr>
              <w:t>129,15</w:t>
            </w:r>
          </w:p>
        </w:tc>
        <w:tc>
          <w:tcPr>
            <w:tcW w:w="1450"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7</w:t>
            </w:r>
          </w:p>
        </w:tc>
        <w:tc>
          <w:tcPr>
            <w:tcW w:w="2195"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14.09.21 11.30-18.00</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07E05" w:rsidRPr="00E86E48" w:rsidRDefault="00F07E05" w:rsidP="008A253E">
            <w:pPr>
              <w:spacing w:line="276" w:lineRule="auto"/>
              <w:jc w:val="center"/>
              <w:rPr>
                <w:lang w:eastAsia="en-US"/>
              </w:rPr>
            </w:pPr>
            <w:r>
              <w:rPr>
                <w:color w:val="000000"/>
                <w:sz w:val="22"/>
                <w:szCs w:val="22"/>
              </w:rPr>
              <w:t>26 452,50</w:t>
            </w:r>
          </w:p>
        </w:tc>
      </w:tr>
      <w:tr w:rsidR="00F07E05" w:rsidRPr="00E86E48" w:rsidTr="008A253E">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Default="00F07E05" w:rsidP="008A253E">
            <w:pPr>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hideMark/>
          </w:tcPr>
          <w:p w:rsidR="00F07E05" w:rsidRDefault="00F07E05" w:rsidP="008A253E">
            <w:pPr>
              <w:spacing w:line="276" w:lineRule="auto"/>
              <w:jc w:val="center"/>
              <w:rPr>
                <w:color w:val="000000"/>
                <w:lang w:eastAsia="en-US"/>
              </w:rPr>
            </w:pPr>
            <w:r>
              <w:rPr>
                <w:color w:val="000000"/>
                <w:sz w:val="22"/>
                <w:szCs w:val="22"/>
                <w:lang w:eastAsia="en-US"/>
              </w:rPr>
              <w:t>302</w:t>
            </w:r>
          </w:p>
        </w:tc>
        <w:tc>
          <w:tcPr>
            <w:tcW w:w="1459" w:type="dxa"/>
            <w:tcBorders>
              <w:top w:val="single" w:sz="4" w:space="0" w:color="auto"/>
              <w:left w:val="single" w:sz="4" w:space="0" w:color="auto"/>
              <w:bottom w:val="single" w:sz="4" w:space="0" w:color="auto"/>
              <w:right w:val="single" w:sz="4" w:space="0" w:color="auto"/>
            </w:tcBorders>
            <w:noWrap/>
            <w:hideMark/>
          </w:tcPr>
          <w:p w:rsidR="00F07E05" w:rsidRDefault="00F07E05" w:rsidP="008A253E">
            <w:pPr>
              <w:spacing w:line="276" w:lineRule="auto"/>
              <w:jc w:val="center"/>
              <w:rPr>
                <w:color w:val="000000"/>
                <w:lang w:eastAsia="en-US"/>
              </w:rPr>
            </w:pPr>
            <w:r>
              <w:rPr>
                <w:color w:val="000000"/>
                <w:sz w:val="22"/>
                <w:szCs w:val="22"/>
                <w:lang w:eastAsia="en-US"/>
              </w:rPr>
              <w:t>129,15</w:t>
            </w:r>
          </w:p>
        </w:tc>
        <w:tc>
          <w:tcPr>
            <w:tcW w:w="1450"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4</w:t>
            </w:r>
          </w:p>
        </w:tc>
        <w:tc>
          <w:tcPr>
            <w:tcW w:w="2195"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01.10.21 09.00-12.30</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07E05" w:rsidRPr="00E86E48" w:rsidRDefault="00F07E05" w:rsidP="008A253E">
            <w:pPr>
              <w:spacing w:line="276" w:lineRule="auto"/>
              <w:jc w:val="center"/>
              <w:rPr>
                <w:lang w:eastAsia="en-US"/>
              </w:rPr>
            </w:pPr>
            <w:r>
              <w:rPr>
                <w:color w:val="000000"/>
                <w:sz w:val="22"/>
                <w:szCs w:val="22"/>
              </w:rPr>
              <w:t>15 115,72</w:t>
            </w:r>
          </w:p>
        </w:tc>
      </w:tr>
      <w:tr w:rsidR="00F07E05" w:rsidRPr="00E86E48" w:rsidTr="008A253E">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Default="00F07E05" w:rsidP="008A253E">
            <w:pPr>
              <w:spacing w:line="276" w:lineRule="auto"/>
              <w:rPr>
                <w:color w:val="000000"/>
                <w:lang w:eastAsia="en-US"/>
              </w:rPr>
            </w:pPr>
          </w:p>
        </w:tc>
        <w:tc>
          <w:tcPr>
            <w:tcW w:w="3018" w:type="dxa"/>
            <w:gridSpan w:val="2"/>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right"/>
              <w:rPr>
                <w:color w:val="000000"/>
                <w:lang w:eastAsia="en-US"/>
              </w:rPr>
            </w:pPr>
            <w:r>
              <w:rPr>
                <w:b/>
                <w:bCs/>
                <w:color w:val="000000"/>
                <w:sz w:val="22"/>
                <w:szCs w:val="22"/>
                <w:lang w:eastAsia="en-US"/>
              </w:rPr>
              <w:t>ИТОГО:</w:t>
            </w:r>
          </w:p>
        </w:tc>
        <w:tc>
          <w:tcPr>
            <w:tcW w:w="1450"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b/>
                <w:bCs/>
                <w:color w:val="000000"/>
                <w:lang w:eastAsia="en-US"/>
              </w:rPr>
            </w:pPr>
            <w:r>
              <w:rPr>
                <w:b/>
                <w:bCs/>
                <w:color w:val="000000"/>
                <w:sz w:val="22"/>
                <w:szCs w:val="22"/>
                <w:lang w:eastAsia="en-US"/>
              </w:rPr>
              <w:t>126</w:t>
            </w:r>
          </w:p>
        </w:tc>
        <w:tc>
          <w:tcPr>
            <w:tcW w:w="2195"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right"/>
              <w:rPr>
                <w:color w:val="000000"/>
                <w:lang w:eastAsia="en-US"/>
              </w:rPr>
            </w:pPr>
            <w:r>
              <w:rPr>
                <w:b/>
                <w:bCs/>
                <w:color w:val="000000"/>
                <w:sz w:val="22"/>
                <w:szCs w:val="22"/>
                <w:lang w:eastAsia="en-US"/>
              </w:rPr>
              <w:t>ИТОГО:</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Pr="00E86E48" w:rsidRDefault="00F07E05" w:rsidP="008A253E">
            <w:pPr>
              <w:spacing w:line="276" w:lineRule="auto"/>
              <w:jc w:val="center"/>
              <w:rPr>
                <w:b/>
                <w:bCs/>
                <w:lang w:eastAsia="en-US"/>
              </w:rPr>
            </w:pPr>
            <w:r>
              <w:rPr>
                <w:b/>
                <w:bCs/>
                <w:sz w:val="22"/>
                <w:szCs w:val="22"/>
                <w:lang w:eastAsia="en-US"/>
              </w:rPr>
              <w:t>442 380,51</w:t>
            </w:r>
          </w:p>
        </w:tc>
      </w:tr>
      <w:tr w:rsidR="00F07E05" w:rsidRPr="00E06931" w:rsidTr="008A253E">
        <w:trPr>
          <w:trHeight w:val="330"/>
        </w:trPr>
        <w:tc>
          <w:tcPr>
            <w:tcW w:w="2552" w:type="dxa"/>
            <w:vMerge w:val="restart"/>
            <w:tcBorders>
              <w:top w:val="single" w:sz="4" w:space="0" w:color="auto"/>
              <w:left w:val="single" w:sz="4" w:space="0" w:color="auto"/>
              <w:bottom w:val="single" w:sz="4" w:space="0" w:color="auto"/>
              <w:right w:val="single" w:sz="4" w:space="0" w:color="auto"/>
            </w:tcBorders>
            <w:noWrap/>
            <w:vAlign w:val="center"/>
            <w:hideMark/>
          </w:tcPr>
          <w:p w:rsidR="00F07E05" w:rsidRDefault="00F07E05" w:rsidP="008A253E">
            <w:pPr>
              <w:spacing w:line="276" w:lineRule="auto"/>
              <w:jc w:val="center"/>
              <w:rPr>
                <w:color w:val="000000"/>
                <w:lang w:eastAsia="en-US"/>
              </w:rPr>
            </w:pPr>
            <w:r>
              <w:rPr>
                <w:color w:val="000000"/>
                <w:sz w:val="22"/>
                <w:szCs w:val="22"/>
                <w:lang w:eastAsia="en-US"/>
              </w:rPr>
              <w:t>ООО «ВодоходЪ»</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301</w:t>
            </w:r>
          </w:p>
        </w:tc>
        <w:tc>
          <w:tcPr>
            <w:tcW w:w="14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125</w:t>
            </w:r>
          </w:p>
        </w:tc>
        <w:tc>
          <w:tcPr>
            <w:tcW w:w="1450"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5,5</w:t>
            </w:r>
          </w:p>
        </w:tc>
        <w:tc>
          <w:tcPr>
            <w:tcW w:w="2195"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02.05.21 11.30-18.30</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07E05" w:rsidRPr="00E06931" w:rsidRDefault="00F07E05" w:rsidP="008A253E">
            <w:pPr>
              <w:spacing w:line="276" w:lineRule="auto"/>
              <w:jc w:val="center"/>
              <w:rPr>
                <w:color w:val="FF0000"/>
                <w:lang w:eastAsia="en-US"/>
              </w:rPr>
            </w:pPr>
            <w:r>
              <w:rPr>
                <w:color w:val="000000"/>
                <w:sz w:val="22"/>
                <w:szCs w:val="22"/>
              </w:rPr>
              <w:t>20 116,25</w:t>
            </w:r>
          </w:p>
        </w:tc>
      </w:tr>
      <w:tr w:rsidR="00F07E05" w:rsidRPr="00E06931" w:rsidTr="008A253E">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Default="00F07E05" w:rsidP="008A253E">
            <w:pPr>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301</w:t>
            </w:r>
          </w:p>
        </w:tc>
        <w:tc>
          <w:tcPr>
            <w:tcW w:w="14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125</w:t>
            </w:r>
          </w:p>
        </w:tc>
        <w:tc>
          <w:tcPr>
            <w:tcW w:w="1450"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9</w:t>
            </w:r>
          </w:p>
        </w:tc>
        <w:tc>
          <w:tcPr>
            <w:tcW w:w="2195"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19.06.21 09.00-18.00</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07E05" w:rsidRPr="00E06931" w:rsidRDefault="00F07E05" w:rsidP="008A253E">
            <w:pPr>
              <w:spacing w:line="276" w:lineRule="auto"/>
              <w:jc w:val="center"/>
              <w:rPr>
                <w:color w:val="FF0000"/>
                <w:lang w:eastAsia="en-US"/>
              </w:rPr>
            </w:pPr>
            <w:r>
              <w:rPr>
                <w:color w:val="000000"/>
                <w:sz w:val="22"/>
                <w:szCs w:val="22"/>
              </w:rPr>
              <w:t>32 917,50</w:t>
            </w:r>
          </w:p>
        </w:tc>
      </w:tr>
      <w:tr w:rsidR="00F07E05" w:rsidRPr="00E06931" w:rsidTr="008A253E">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Default="00F07E05" w:rsidP="008A253E">
            <w:pPr>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301</w:t>
            </w:r>
          </w:p>
        </w:tc>
        <w:tc>
          <w:tcPr>
            <w:tcW w:w="14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125</w:t>
            </w:r>
          </w:p>
        </w:tc>
        <w:tc>
          <w:tcPr>
            <w:tcW w:w="1450"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4</w:t>
            </w:r>
          </w:p>
        </w:tc>
        <w:tc>
          <w:tcPr>
            <w:tcW w:w="2195"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27.06.21 16.00-20.00</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07E05" w:rsidRPr="00E06931" w:rsidRDefault="00F07E05" w:rsidP="008A253E">
            <w:pPr>
              <w:spacing w:line="276" w:lineRule="auto"/>
              <w:jc w:val="center"/>
              <w:rPr>
                <w:color w:val="FF0000"/>
                <w:lang w:eastAsia="en-US"/>
              </w:rPr>
            </w:pPr>
            <w:r>
              <w:rPr>
                <w:color w:val="000000"/>
                <w:sz w:val="22"/>
                <w:szCs w:val="22"/>
              </w:rPr>
              <w:t>14 630,00</w:t>
            </w:r>
          </w:p>
        </w:tc>
      </w:tr>
      <w:tr w:rsidR="00F07E05" w:rsidRPr="00E06931" w:rsidTr="008A253E">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Default="00F07E05" w:rsidP="008A253E">
            <w:pPr>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301</w:t>
            </w:r>
          </w:p>
        </w:tc>
        <w:tc>
          <w:tcPr>
            <w:tcW w:w="14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125</w:t>
            </w:r>
          </w:p>
        </w:tc>
        <w:tc>
          <w:tcPr>
            <w:tcW w:w="1450"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6</w:t>
            </w:r>
          </w:p>
        </w:tc>
        <w:tc>
          <w:tcPr>
            <w:tcW w:w="2195"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20.07.21 14.00-20.00</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07E05" w:rsidRPr="00E06931" w:rsidRDefault="00F07E05" w:rsidP="008A253E">
            <w:pPr>
              <w:spacing w:line="276" w:lineRule="auto"/>
              <w:jc w:val="center"/>
              <w:rPr>
                <w:color w:val="FF0000"/>
                <w:lang w:eastAsia="en-US"/>
              </w:rPr>
            </w:pPr>
            <w:r>
              <w:rPr>
                <w:color w:val="000000"/>
                <w:sz w:val="22"/>
                <w:szCs w:val="22"/>
              </w:rPr>
              <w:t>21 945,00</w:t>
            </w:r>
          </w:p>
        </w:tc>
      </w:tr>
      <w:tr w:rsidR="00F07E05" w:rsidRPr="00E06931" w:rsidTr="008A253E">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Default="00F07E05" w:rsidP="008A253E">
            <w:pPr>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301</w:t>
            </w:r>
          </w:p>
        </w:tc>
        <w:tc>
          <w:tcPr>
            <w:tcW w:w="14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125</w:t>
            </w:r>
          </w:p>
        </w:tc>
        <w:tc>
          <w:tcPr>
            <w:tcW w:w="1450"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7</w:t>
            </w:r>
          </w:p>
        </w:tc>
        <w:tc>
          <w:tcPr>
            <w:tcW w:w="2195"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03.08.21 12.30-19.00</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07E05" w:rsidRPr="00E06931" w:rsidRDefault="00F07E05" w:rsidP="008A253E">
            <w:pPr>
              <w:spacing w:line="276" w:lineRule="auto"/>
              <w:jc w:val="center"/>
              <w:rPr>
                <w:color w:val="FF0000"/>
                <w:lang w:eastAsia="en-US"/>
              </w:rPr>
            </w:pPr>
            <w:r>
              <w:rPr>
                <w:color w:val="000000"/>
                <w:sz w:val="22"/>
                <w:szCs w:val="22"/>
              </w:rPr>
              <w:t>25 602,50</w:t>
            </w:r>
          </w:p>
        </w:tc>
      </w:tr>
      <w:tr w:rsidR="00F07E05" w:rsidRPr="00E06931" w:rsidTr="008A253E">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Default="00F07E05" w:rsidP="008A253E">
            <w:pPr>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301</w:t>
            </w:r>
          </w:p>
        </w:tc>
        <w:tc>
          <w:tcPr>
            <w:tcW w:w="14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125</w:t>
            </w:r>
          </w:p>
        </w:tc>
        <w:tc>
          <w:tcPr>
            <w:tcW w:w="1450"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5</w:t>
            </w:r>
          </w:p>
        </w:tc>
        <w:tc>
          <w:tcPr>
            <w:tcW w:w="2195"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26.10.21 09.00-14.00</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07E05" w:rsidRPr="00E06931" w:rsidRDefault="00F07E05" w:rsidP="008A253E">
            <w:pPr>
              <w:spacing w:line="276" w:lineRule="auto"/>
              <w:jc w:val="center"/>
              <w:rPr>
                <w:color w:val="FF0000"/>
                <w:lang w:eastAsia="en-US"/>
              </w:rPr>
            </w:pPr>
            <w:r>
              <w:rPr>
                <w:color w:val="000000"/>
                <w:sz w:val="22"/>
                <w:szCs w:val="22"/>
              </w:rPr>
              <w:t>18 287,50</w:t>
            </w:r>
          </w:p>
        </w:tc>
      </w:tr>
      <w:tr w:rsidR="00F07E05" w:rsidRPr="00E06931" w:rsidTr="008A253E">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Default="00F07E05" w:rsidP="008A253E">
            <w:pPr>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92-016</w:t>
            </w:r>
          </w:p>
        </w:tc>
        <w:tc>
          <w:tcPr>
            <w:tcW w:w="14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135,75</w:t>
            </w:r>
          </w:p>
        </w:tc>
        <w:tc>
          <w:tcPr>
            <w:tcW w:w="1450"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5</w:t>
            </w:r>
          </w:p>
        </w:tc>
        <w:tc>
          <w:tcPr>
            <w:tcW w:w="2195"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08.05.21 12.30-18.00</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07E05" w:rsidRPr="00E06931" w:rsidRDefault="00F07E05" w:rsidP="008A253E">
            <w:pPr>
              <w:spacing w:line="276" w:lineRule="auto"/>
              <w:jc w:val="center"/>
              <w:rPr>
                <w:color w:val="FF0000"/>
                <w:lang w:eastAsia="en-US"/>
              </w:rPr>
            </w:pPr>
            <w:r>
              <w:rPr>
                <w:color w:val="000000"/>
                <w:sz w:val="22"/>
                <w:szCs w:val="22"/>
              </w:rPr>
              <w:t>19 860,23</w:t>
            </w:r>
          </w:p>
        </w:tc>
      </w:tr>
      <w:tr w:rsidR="00F07E05" w:rsidRPr="00E06931" w:rsidTr="008A253E">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Default="00F07E05" w:rsidP="008A253E">
            <w:pPr>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92-016</w:t>
            </w:r>
          </w:p>
        </w:tc>
        <w:tc>
          <w:tcPr>
            <w:tcW w:w="14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135,75</w:t>
            </w:r>
          </w:p>
        </w:tc>
        <w:tc>
          <w:tcPr>
            <w:tcW w:w="1450"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4</w:t>
            </w:r>
          </w:p>
        </w:tc>
        <w:tc>
          <w:tcPr>
            <w:tcW w:w="2195"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01.06.21 09.00-13.00</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07E05" w:rsidRPr="00E06931" w:rsidRDefault="00F07E05" w:rsidP="008A253E">
            <w:pPr>
              <w:spacing w:line="276" w:lineRule="auto"/>
              <w:jc w:val="center"/>
              <w:rPr>
                <w:color w:val="FF0000"/>
                <w:lang w:eastAsia="en-US"/>
              </w:rPr>
            </w:pPr>
            <w:r>
              <w:rPr>
                <w:color w:val="000000"/>
                <w:sz w:val="22"/>
                <w:szCs w:val="22"/>
              </w:rPr>
              <w:t>15 888,18</w:t>
            </w:r>
          </w:p>
        </w:tc>
      </w:tr>
      <w:tr w:rsidR="00F07E05" w:rsidRPr="00E06931" w:rsidTr="008A253E">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Default="00F07E05" w:rsidP="008A253E">
            <w:pPr>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92-016</w:t>
            </w:r>
          </w:p>
        </w:tc>
        <w:tc>
          <w:tcPr>
            <w:tcW w:w="14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135,75</w:t>
            </w:r>
          </w:p>
        </w:tc>
        <w:tc>
          <w:tcPr>
            <w:tcW w:w="1450"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8</w:t>
            </w:r>
          </w:p>
        </w:tc>
        <w:tc>
          <w:tcPr>
            <w:tcW w:w="2195"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05.06.21 11.15-19.10</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07E05" w:rsidRPr="00E06931" w:rsidRDefault="00F07E05" w:rsidP="008A253E">
            <w:pPr>
              <w:spacing w:line="276" w:lineRule="auto"/>
              <w:jc w:val="center"/>
              <w:rPr>
                <w:color w:val="FF0000"/>
                <w:lang w:eastAsia="en-US"/>
              </w:rPr>
            </w:pPr>
            <w:r>
              <w:rPr>
                <w:color w:val="000000"/>
                <w:sz w:val="22"/>
                <w:szCs w:val="22"/>
              </w:rPr>
              <w:t>31 776,36</w:t>
            </w:r>
          </w:p>
        </w:tc>
      </w:tr>
      <w:tr w:rsidR="00F07E05" w:rsidRPr="00E06931" w:rsidTr="008A253E">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Default="00F07E05" w:rsidP="008A253E">
            <w:pPr>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92-016</w:t>
            </w:r>
          </w:p>
        </w:tc>
        <w:tc>
          <w:tcPr>
            <w:tcW w:w="14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135,75</w:t>
            </w:r>
          </w:p>
        </w:tc>
        <w:tc>
          <w:tcPr>
            <w:tcW w:w="1450"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5</w:t>
            </w:r>
          </w:p>
        </w:tc>
        <w:tc>
          <w:tcPr>
            <w:tcW w:w="2195"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12.06.21 12.30-17.00</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07E05" w:rsidRPr="00E06931" w:rsidRDefault="00F07E05" w:rsidP="008A253E">
            <w:pPr>
              <w:spacing w:line="276" w:lineRule="auto"/>
              <w:jc w:val="center"/>
              <w:rPr>
                <w:color w:val="FF0000"/>
                <w:lang w:eastAsia="en-US"/>
              </w:rPr>
            </w:pPr>
            <w:r>
              <w:rPr>
                <w:color w:val="000000"/>
                <w:sz w:val="22"/>
                <w:szCs w:val="22"/>
              </w:rPr>
              <w:t>19 860,23</w:t>
            </w:r>
          </w:p>
        </w:tc>
      </w:tr>
      <w:tr w:rsidR="00F07E05" w:rsidRPr="00E06931" w:rsidTr="008A253E">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Default="00F07E05" w:rsidP="008A253E">
            <w:pPr>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92-016</w:t>
            </w:r>
          </w:p>
        </w:tc>
        <w:tc>
          <w:tcPr>
            <w:tcW w:w="14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135,75</w:t>
            </w:r>
          </w:p>
        </w:tc>
        <w:tc>
          <w:tcPr>
            <w:tcW w:w="1450"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8</w:t>
            </w:r>
          </w:p>
        </w:tc>
        <w:tc>
          <w:tcPr>
            <w:tcW w:w="2195"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13.07.21 11.30-19.00</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07E05" w:rsidRPr="00E06931" w:rsidRDefault="00F07E05" w:rsidP="008A253E">
            <w:pPr>
              <w:spacing w:line="276" w:lineRule="auto"/>
              <w:jc w:val="center"/>
              <w:rPr>
                <w:color w:val="FF0000"/>
                <w:lang w:eastAsia="en-US"/>
              </w:rPr>
            </w:pPr>
            <w:r>
              <w:rPr>
                <w:color w:val="000000"/>
                <w:sz w:val="22"/>
                <w:szCs w:val="22"/>
              </w:rPr>
              <w:t>31 776,36</w:t>
            </w:r>
          </w:p>
        </w:tc>
      </w:tr>
      <w:tr w:rsidR="00F07E05" w:rsidRPr="00E06931" w:rsidTr="008A253E">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Default="00F07E05" w:rsidP="008A253E">
            <w:pPr>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sz w:val="22"/>
                <w:szCs w:val="22"/>
                <w:lang w:val="en-US" w:eastAsia="en-US"/>
              </w:rPr>
              <w:t>PV-300</w:t>
            </w:r>
          </w:p>
        </w:tc>
        <w:tc>
          <w:tcPr>
            <w:tcW w:w="14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141,15</w:t>
            </w:r>
          </w:p>
        </w:tc>
        <w:tc>
          <w:tcPr>
            <w:tcW w:w="1450"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7</w:t>
            </w:r>
          </w:p>
        </w:tc>
        <w:tc>
          <w:tcPr>
            <w:tcW w:w="2195"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11.05.21 11.10-18.00</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07E05" w:rsidRPr="00E06931" w:rsidRDefault="00F07E05" w:rsidP="008A253E">
            <w:pPr>
              <w:spacing w:line="276" w:lineRule="auto"/>
              <w:jc w:val="center"/>
              <w:rPr>
                <w:color w:val="FF0000"/>
                <w:lang w:eastAsia="en-US"/>
              </w:rPr>
            </w:pPr>
            <w:r>
              <w:rPr>
                <w:color w:val="000000"/>
                <w:sz w:val="22"/>
                <w:szCs w:val="22"/>
              </w:rPr>
              <w:t>28 910,34</w:t>
            </w:r>
          </w:p>
        </w:tc>
      </w:tr>
      <w:tr w:rsidR="00F07E05" w:rsidRPr="00E06931" w:rsidTr="008A253E">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Default="00F07E05" w:rsidP="008A253E">
            <w:pPr>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sz w:val="22"/>
                <w:szCs w:val="22"/>
                <w:lang w:val="en-US" w:eastAsia="en-US"/>
              </w:rPr>
              <w:t>PV-300</w:t>
            </w:r>
          </w:p>
        </w:tc>
        <w:tc>
          <w:tcPr>
            <w:tcW w:w="14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141,15</w:t>
            </w:r>
          </w:p>
        </w:tc>
        <w:tc>
          <w:tcPr>
            <w:tcW w:w="1450"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6</w:t>
            </w:r>
          </w:p>
        </w:tc>
        <w:tc>
          <w:tcPr>
            <w:tcW w:w="2195"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12.06.21 14.00-20.00</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07E05" w:rsidRPr="00E06931" w:rsidRDefault="00F07E05" w:rsidP="008A253E">
            <w:pPr>
              <w:spacing w:line="276" w:lineRule="auto"/>
              <w:jc w:val="center"/>
              <w:rPr>
                <w:color w:val="FF0000"/>
                <w:lang w:eastAsia="en-US"/>
              </w:rPr>
            </w:pPr>
            <w:r>
              <w:rPr>
                <w:color w:val="000000"/>
                <w:sz w:val="22"/>
                <w:szCs w:val="22"/>
              </w:rPr>
              <w:t>24 780,29</w:t>
            </w:r>
          </w:p>
        </w:tc>
      </w:tr>
      <w:tr w:rsidR="00F07E05" w:rsidRPr="00E06931" w:rsidTr="008A253E">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Default="00F07E05" w:rsidP="008A253E">
            <w:pPr>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sz w:val="22"/>
                <w:szCs w:val="22"/>
                <w:lang w:val="en-US" w:eastAsia="en-US"/>
              </w:rPr>
              <w:t>PV-300</w:t>
            </w:r>
          </w:p>
        </w:tc>
        <w:tc>
          <w:tcPr>
            <w:tcW w:w="14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141,15</w:t>
            </w:r>
          </w:p>
        </w:tc>
        <w:tc>
          <w:tcPr>
            <w:tcW w:w="1450"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10</w:t>
            </w:r>
          </w:p>
        </w:tc>
        <w:tc>
          <w:tcPr>
            <w:tcW w:w="2195"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24.07.21 08.00-18.00</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07E05" w:rsidRPr="00E06931" w:rsidRDefault="00F07E05" w:rsidP="008A253E">
            <w:pPr>
              <w:spacing w:line="276" w:lineRule="auto"/>
              <w:jc w:val="center"/>
              <w:rPr>
                <w:color w:val="FF0000"/>
                <w:lang w:eastAsia="en-US"/>
              </w:rPr>
            </w:pPr>
            <w:r>
              <w:rPr>
                <w:color w:val="000000"/>
                <w:sz w:val="22"/>
                <w:szCs w:val="22"/>
              </w:rPr>
              <w:t>41 300,49</w:t>
            </w:r>
          </w:p>
        </w:tc>
      </w:tr>
      <w:tr w:rsidR="00F07E05" w:rsidRPr="00E06931" w:rsidTr="008A253E">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Default="00F07E05" w:rsidP="008A253E">
            <w:pPr>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301</w:t>
            </w:r>
          </w:p>
        </w:tc>
        <w:tc>
          <w:tcPr>
            <w:tcW w:w="14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125</w:t>
            </w:r>
          </w:p>
        </w:tc>
        <w:tc>
          <w:tcPr>
            <w:tcW w:w="1450"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5</w:t>
            </w:r>
          </w:p>
        </w:tc>
        <w:tc>
          <w:tcPr>
            <w:tcW w:w="2195"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18.05.21 15.50-20.30</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07E05" w:rsidRPr="00E06931" w:rsidRDefault="00F07E05" w:rsidP="008A253E">
            <w:pPr>
              <w:spacing w:line="276" w:lineRule="auto"/>
              <w:jc w:val="center"/>
              <w:rPr>
                <w:color w:val="FF0000"/>
                <w:lang w:eastAsia="en-US"/>
              </w:rPr>
            </w:pPr>
            <w:r>
              <w:rPr>
                <w:color w:val="000000"/>
                <w:sz w:val="22"/>
                <w:szCs w:val="22"/>
              </w:rPr>
              <w:t>18 287,50</w:t>
            </w:r>
          </w:p>
        </w:tc>
      </w:tr>
      <w:tr w:rsidR="00F07E05" w:rsidRPr="00E06931" w:rsidTr="008A253E">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Default="00F07E05" w:rsidP="008A253E">
            <w:pPr>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92-016</w:t>
            </w:r>
          </w:p>
        </w:tc>
        <w:tc>
          <w:tcPr>
            <w:tcW w:w="14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135,66</w:t>
            </w:r>
          </w:p>
        </w:tc>
        <w:tc>
          <w:tcPr>
            <w:tcW w:w="1450"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6</w:t>
            </w:r>
          </w:p>
        </w:tc>
        <w:tc>
          <w:tcPr>
            <w:tcW w:w="2195"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18.05.21 08.00-14.00</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07E05" w:rsidRPr="00E06931" w:rsidRDefault="00F07E05" w:rsidP="008A253E">
            <w:pPr>
              <w:spacing w:line="276" w:lineRule="auto"/>
              <w:jc w:val="center"/>
              <w:rPr>
                <w:color w:val="FF0000"/>
                <w:lang w:eastAsia="en-US"/>
              </w:rPr>
            </w:pPr>
            <w:r>
              <w:rPr>
                <w:color w:val="000000"/>
                <w:sz w:val="22"/>
                <w:szCs w:val="22"/>
              </w:rPr>
              <w:t>23 816,47</w:t>
            </w:r>
          </w:p>
        </w:tc>
      </w:tr>
      <w:tr w:rsidR="00F07E05" w:rsidRPr="00E06931" w:rsidTr="008A253E">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Default="00F07E05" w:rsidP="008A253E">
            <w:pPr>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92-016</w:t>
            </w:r>
          </w:p>
        </w:tc>
        <w:tc>
          <w:tcPr>
            <w:tcW w:w="14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135,66</w:t>
            </w:r>
          </w:p>
        </w:tc>
        <w:tc>
          <w:tcPr>
            <w:tcW w:w="1450"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7</w:t>
            </w:r>
          </w:p>
        </w:tc>
        <w:tc>
          <w:tcPr>
            <w:tcW w:w="2195"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22.05.21 11.30-18.00</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07E05" w:rsidRPr="00E06931" w:rsidRDefault="00F07E05" w:rsidP="008A253E">
            <w:pPr>
              <w:spacing w:line="276" w:lineRule="auto"/>
              <w:jc w:val="center"/>
              <w:rPr>
                <w:color w:val="FF0000"/>
                <w:lang w:eastAsia="en-US"/>
              </w:rPr>
            </w:pPr>
            <w:r>
              <w:rPr>
                <w:color w:val="000000"/>
                <w:sz w:val="22"/>
                <w:szCs w:val="22"/>
              </w:rPr>
              <w:t>27 785,88</w:t>
            </w:r>
          </w:p>
        </w:tc>
      </w:tr>
      <w:tr w:rsidR="00F07E05" w:rsidRPr="00E06931" w:rsidTr="008A253E">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Default="00F07E05" w:rsidP="008A253E">
            <w:pPr>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92-016</w:t>
            </w:r>
          </w:p>
        </w:tc>
        <w:tc>
          <w:tcPr>
            <w:tcW w:w="14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135,66</w:t>
            </w:r>
          </w:p>
        </w:tc>
        <w:tc>
          <w:tcPr>
            <w:tcW w:w="1450"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5</w:t>
            </w:r>
          </w:p>
        </w:tc>
        <w:tc>
          <w:tcPr>
            <w:tcW w:w="2195"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06.06.21 15.35-20.00</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07E05" w:rsidRPr="00E06931" w:rsidRDefault="00F07E05" w:rsidP="008A253E">
            <w:pPr>
              <w:spacing w:line="276" w:lineRule="auto"/>
              <w:jc w:val="center"/>
              <w:rPr>
                <w:color w:val="FF0000"/>
                <w:lang w:eastAsia="en-US"/>
              </w:rPr>
            </w:pPr>
            <w:r>
              <w:rPr>
                <w:color w:val="000000"/>
                <w:sz w:val="22"/>
                <w:szCs w:val="22"/>
              </w:rPr>
              <w:t>19 847,06</w:t>
            </w:r>
          </w:p>
        </w:tc>
      </w:tr>
      <w:tr w:rsidR="00F07E05" w:rsidRPr="00E06931" w:rsidTr="008A253E">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Default="00F07E05" w:rsidP="008A253E">
            <w:pPr>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92-016</w:t>
            </w:r>
          </w:p>
        </w:tc>
        <w:tc>
          <w:tcPr>
            <w:tcW w:w="14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135,66</w:t>
            </w:r>
          </w:p>
        </w:tc>
        <w:tc>
          <w:tcPr>
            <w:tcW w:w="1450"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5</w:t>
            </w:r>
          </w:p>
        </w:tc>
        <w:tc>
          <w:tcPr>
            <w:tcW w:w="2195"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29.06.21 09.00-14.00</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07E05" w:rsidRPr="00E06931" w:rsidRDefault="00F07E05" w:rsidP="008A253E">
            <w:pPr>
              <w:spacing w:line="276" w:lineRule="auto"/>
              <w:jc w:val="center"/>
              <w:rPr>
                <w:color w:val="FF0000"/>
                <w:lang w:eastAsia="en-US"/>
              </w:rPr>
            </w:pPr>
            <w:r>
              <w:rPr>
                <w:color w:val="000000"/>
                <w:sz w:val="22"/>
                <w:szCs w:val="22"/>
              </w:rPr>
              <w:t>19 847,06</w:t>
            </w:r>
          </w:p>
        </w:tc>
      </w:tr>
      <w:tr w:rsidR="00F07E05" w:rsidRPr="00E06931" w:rsidTr="008A253E">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Default="00F07E05" w:rsidP="008A253E">
            <w:pPr>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92-016</w:t>
            </w:r>
          </w:p>
        </w:tc>
        <w:tc>
          <w:tcPr>
            <w:tcW w:w="14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135,66</w:t>
            </w:r>
          </w:p>
        </w:tc>
        <w:tc>
          <w:tcPr>
            <w:tcW w:w="1450"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11</w:t>
            </w:r>
          </w:p>
        </w:tc>
        <w:tc>
          <w:tcPr>
            <w:tcW w:w="2195"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31.07.21 09.00-20.00</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07E05" w:rsidRPr="00E06931" w:rsidRDefault="00F07E05" w:rsidP="008A253E">
            <w:pPr>
              <w:spacing w:line="276" w:lineRule="auto"/>
              <w:jc w:val="center"/>
              <w:rPr>
                <w:color w:val="FF0000"/>
                <w:lang w:eastAsia="en-US"/>
              </w:rPr>
            </w:pPr>
            <w:r>
              <w:rPr>
                <w:color w:val="000000"/>
                <w:sz w:val="22"/>
                <w:szCs w:val="22"/>
              </w:rPr>
              <w:t>43 663,53</w:t>
            </w:r>
          </w:p>
        </w:tc>
      </w:tr>
      <w:tr w:rsidR="00F07E05" w:rsidRPr="00E06931" w:rsidTr="008A253E">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Default="00F07E05" w:rsidP="008A253E">
            <w:pPr>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92-016</w:t>
            </w:r>
          </w:p>
        </w:tc>
        <w:tc>
          <w:tcPr>
            <w:tcW w:w="14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135,66</w:t>
            </w:r>
          </w:p>
        </w:tc>
        <w:tc>
          <w:tcPr>
            <w:tcW w:w="1450"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5</w:t>
            </w:r>
          </w:p>
        </w:tc>
        <w:tc>
          <w:tcPr>
            <w:tcW w:w="2195"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17.08.21 09.00-14.00</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07E05" w:rsidRPr="00E06931" w:rsidRDefault="00F07E05" w:rsidP="008A253E">
            <w:pPr>
              <w:spacing w:line="276" w:lineRule="auto"/>
              <w:jc w:val="center"/>
              <w:rPr>
                <w:color w:val="FF0000"/>
                <w:lang w:eastAsia="en-US"/>
              </w:rPr>
            </w:pPr>
            <w:r>
              <w:rPr>
                <w:color w:val="000000"/>
                <w:sz w:val="22"/>
                <w:szCs w:val="22"/>
              </w:rPr>
              <w:t>19 847,06</w:t>
            </w:r>
          </w:p>
        </w:tc>
      </w:tr>
      <w:tr w:rsidR="00F07E05" w:rsidRPr="00E06931" w:rsidTr="008A253E">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Default="00F07E05" w:rsidP="008A253E">
            <w:pPr>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92-016</w:t>
            </w:r>
          </w:p>
        </w:tc>
        <w:tc>
          <w:tcPr>
            <w:tcW w:w="14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135,66</w:t>
            </w:r>
          </w:p>
        </w:tc>
        <w:tc>
          <w:tcPr>
            <w:tcW w:w="1450"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11</w:t>
            </w:r>
          </w:p>
        </w:tc>
        <w:tc>
          <w:tcPr>
            <w:tcW w:w="2195"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21.08.21 09.00-20.00</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07E05" w:rsidRPr="00E06931" w:rsidRDefault="00F07E05" w:rsidP="008A253E">
            <w:pPr>
              <w:spacing w:line="276" w:lineRule="auto"/>
              <w:jc w:val="center"/>
              <w:rPr>
                <w:color w:val="FF0000"/>
                <w:lang w:eastAsia="en-US"/>
              </w:rPr>
            </w:pPr>
            <w:r w:rsidRPr="00DE0B3B">
              <w:rPr>
                <w:color w:val="000000"/>
                <w:sz w:val="22"/>
                <w:szCs w:val="22"/>
              </w:rPr>
              <w:t>43 663,53</w:t>
            </w:r>
          </w:p>
        </w:tc>
      </w:tr>
      <w:tr w:rsidR="00F07E05" w:rsidRPr="00E06931" w:rsidTr="008A253E">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Default="00F07E05" w:rsidP="008A253E">
            <w:pPr>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92-016</w:t>
            </w:r>
          </w:p>
        </w:tc>
        <w:tc>
          <w:tcPr>
            <w:tcW w:w="14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135,66</w:t>
            </w:r>
          </w:p>
        </w:tc>
        <w:tc>
          <w:tcPr>
            <w:tcW w:w="1450"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11</w:t>
            </w:r>
          </w:p>
        </w:tc>
        <w:tc>
          <w:tcPr>
            <w:tcW w:w="2195"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18.09.21 09.00-20.00</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07E05" w:rsidRPr="00E06931" w:rsidRDefault="00F07E05" w:rsidP="008A253E">
            <w:pPr>
              <w:spacing w:line="276" w:lineRule="auto"/>
              <w:jc w:val="center"/>
              <w:rPr>
                <w:color w:val="FF0000"/>
                <w:lang w:eastAsia="en-US"/>
              </w:rPr>
            </w:pPr>
            <w:r w:rsidRPr="00DE0B3B">
              <w:rPr>
                <w:color w:val="000000"/>
                <w:sz w:val="22"/>
                <w:szCs w:val="22"/>
              </w:rPr>
              <w:t>43 663,53</w:t>
            </w:r>
          </w:p>
        </w:tc>
      </w:tr>
      <w:tr w:rsidR="00F07E05" w:rsidRPr="00E06931" w:rsidTr="008A253E">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Default="00F07E05" w:rsidP="008A253E">
            <w:pPr>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301</w:t>
            </w:r>
          </w:p>
        </w:tc>
        <w:tc>
          <w:tcPr>
            <w:tcW w:w="14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125</w:t>
            </w:r>
          </w:p>
        </w:tc>
        <w:tc>
          <w:tcPr>
            <w:tcW w:w="1450"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6</w:t>
            </w:r>
          </w:p>
        </w:tc>
        <w:tc>
          <w:tcPr>
            <w:tcW w:w="2195"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23.06.21 09.00-15.00</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07E05" w:rsidRPr="00E06931" w:rsidRDefault="00F07E05" w:rsidP="008A253E">
            <w:pPr>
              <w:spacing w:line="276" w:lineRule="auto"/>
              <w:jc w:val="center"/>
              <w:rPr>
                <w:color w:val="FF0000"/>
                <w:lang w:eastAsia="en-US"/>
              </w:rPr>
            </w:pPr>
            <w:r>
              <w:rPr>
                <w:color w:val="000000"/>
                <w:sz w:val="22"/>
                <w:szCs w:val="22"/>
              </w:rPr>
              <w:t>21 945,00</w:t>
            </w:r>
          </w:p>
        </w:tc>
      </w:tr>
      <w:tr w:rsidR="00F07E05" w:rsidRPr="00E06931" w:rsidTr="008A253E">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Default="00F07E05" w:rsidP="008A253E">
            <w:pPr>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301</w:t>
            </w:r>
          </w:p>
        </w:tc>
        <w:tc>
          <w:tcPr>
            <w:tcW w:w="14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125</w:t>
            </w:r>
          </w:p>
        </w:tc>
        <w:tc>
          <w:tcPr>
            <w:tcW w:w="1450"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5</w:t>
            </w:r>
          </w:p>
        </w:tc>
        <w:tc>
          <w:tcPr>
            <w:tcW w:w="2195"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12.10.21 09.00-14.00</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07E05" w:rsidRPr="00E06931" w:rsidRDefault="00F07E05" w:rsidP="008A253E">
            <w:pPr>
              <w:spacing w:line="276" w:lineRule="auto"/>
              <w:jc w:val="center"/>
              <w:rPr>
                <w:color w:val="FF0000"/>
                <w:lang w:eastAsia="en-US"/>
              </w:rPr>
            </w:pPr>
            <w:r>
              <w:rPr>
                <w:color w:val="000000"/>
                <w:sz w:val="22"/>
                <w:szCs w:val="22"/>
              </w:rPr>
              <w:t>18 287,50</w:t>
            </w:r>
          </w:p>
        </w:tc>
      </w:tr>
      <w:tr w:rsidR="00F07E05" w:rsidRPr="00E06931" w:rsidTr="008A253E">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Default="00F07E05" w:rsidP="008A253E">
            <w:pPr>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301</w:t>
            </w:r>
          </w:p>
        </w:tc>
        <w:tc>
          <w:tcPr>
            <w:tcW w:w="14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125</w:t>
            </w:r>
          </w:p>
        </w:tc>
        <w:tc>
          <w:tcPr>
            <w:tcW w:w="1450"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5</w:t>
            </w:r>
          </w:p>
        </w:tc>
        <w:tc>
          <w:tcPr>
            <w:tcW w:w="2195"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19.10.21 09.00-14.00</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07E05" w:rsidRPr="00E06931" w:rsidRDefault="00F07E05" w:rsidP="008A253E">
            <w:pPr>
              <w:spacing w:line="276" w:lineRule="auto"/>
              <w:jc w:val="center"/>
              <w:rPr>
                <w:color w:val="FF0000"/>
                <w:lang w:eastAsia="en-US"/>
              </w:rPr>
            </w:pPr>
            <w:r>
              <w:rPr>
                <w:color w:val="000000"/>
                <w:sz w:val="22"/>
                <w:szCs w:val="22"/>
              </w:rPr>
              <w:t>18 287,50</w:t>
            </w:r>
          </w:p>
        </w:tc>
      </w:tr>
      <w:tr w:rsidR="00F07E05" w:rsidRPr="00E06931" w:rsidTr="008A253E">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Default="00F07E05" w:rsidP="008A253E">
            <w:pPr>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301</w:t>
            </w:r>
          </w:p>
        </w:tc>
        <w:tc>
          <w:tcPr>
            <w:tcW w:w="14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125</w:t>
            </w:r>
          </w:p>
        </w:tc>
        <w:tc>
          <w:tcPr>
            <w:tcW w:w="1450"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6</w:t>
            </w:r>
          </w:p>
        </w:tc>
        <w:tc>
          <w:tcPr>
            <w:tcW w:w="2195"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28.10.21 09.00-15.00</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07E05" w:rsidRPr="00E06931" w:rsidRDefault="00F07E05" w:rsidP="008A253E">
            <w:pPr>
              <w:spacing w:line="276" w:lineRule="auto"/>
              <w:jc w:val="center"/>
              <w:rPr>
                <w:color w:val="FF0000"/>
                <w:lang w:eastAsia="en-US"/>
              </w:rPr>
            </w:pPr>
            <w:r>
              <w:rPr>
                <w:color w:val="000000"/>
                <w:sz w:val="22"/>
                <w:szCs w:val="22"/>
              </w:rPr>
              <w:t>21 945,00</w:t>
            </w:r>
          </w:p>
        </w:tc>
      </w:tr>
      <w:tr w:rsidR="00F07E05" w:rsidRPr="00E06931" w:rsidTr="008A253E">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Default="00F07E05" w:rsidP="008A253E">
            <w:pPr>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301</w:t>
            </w:r>
          </w:p>
        </w:tc>
        <w:tc>
          <w:tcPr>
            <w:tcW w:w="14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125</w:t>
            </w:r>
          </w:p>
        </w:tc>
        <w:tc>
          <w:tcPr>
            <w:tcW w:w="1450"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6</w:t>
            </w:r>
          </w:p>
        </w:tc>
        <w:tc>
          <w:tcPr>
            <w:tcW w:w="2195"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04.11.21 09.00-15.00</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07E05" w:rsidRPr="00E06931" w:rsidRDefault="00F07E05" w:rsidP="008A253E">
            <w:pPr>
              <w:spacing w:line="276" w:lineRule="auto"/>
              <w:jc w:val="center"/>
              <w:rPr>
                <w:color w:val="FF0000"/>
                <w:lang w:eastAsia="en-US"/>
              </w:rPr>
            </w:pPr>
            <w:r>
              <w:rPr>
                <w:color w:val="000000"/>
                <w:sz w:val="22"/>
                <w:szCs w:val="22"/>
              </w:rPr>
              <w:t>21 945,00</w:t>
            </w:r>
          </w:p>
        </w:tc>
      </w:tr>
      <w:tr w:rsidR="00F07E05" w:rsidRPr="00E06931" w:rsidTr="008A253E">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Default="00F07E05" w:rsidP="008A253E">
            <w:pPr>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92-016</w:t>
            </w:r>
          </w:p>
        </w:tc>
        <w:tc>
          <w:tcPr>
            <w:tcW w:w="14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135,75</w:t>
            </w:r>
          </w:p>
        </w:tc>
        <w:tc>
          <w:tcPr>
            <w:tcW w:w="1450"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5</w:t>
            </w:r>
          </w:p>
        </w:tc>
        <w:tc>
          <w:tcPr>
            <w:tcW w:w="2195"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15.07.21 13.00-18.00</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07E05" w:rsidRPr="00E06931" w:rsidRDefault="00F07E05" w:rsidP="008A253E">
            <w:pPr>
              <w:spacing w:line="276" w:lineRule="auto"/>
              <w:jc w:val="center"/>
              <w:rPr>
                <w:color w:val="FF0000"/>
                <w:lang w:eastAsia="en-US"/>
              </w:rPr>
            </w:pPr>
            <w:r>
              <w:rPr>
                <w:color w:val="000000"/>
                <w:sz w:val="22"/>
                <w:szCs w:val="22"/>
              </w:rPr>
              <w:t>19 860,23</w:t>
            </w:r>
          </w:p>
        </w:tc>
      </w:tr>
      <w:tr w:rsidR="00F07E05" w:rsidRPr="00E06931" w:rsidTr="008A253E">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Default="00F07E05" w:rsidP="008A253E">
            <w:pPr>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302</w:t>
            </w:r>
          </w:p>
        </w:tc>
        <w:tc>
          <w:tcPr>
            <w:tcW w:w="14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129,15</w:t>
            </w:r>
          </w:p>
        </w:tc>
        <w:tc>
          <w:tcPr>
            <w:tcW w:w="1450"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6</w:t>
            </w:r>
          </w:p>
        </w:tc>
        <w:tc>
          <w:tcPr>
            <w:tcW w:w="2195"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02.08.21 08.00-14.00</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07E05" w:rsidRPr="00E06931" w:rsidRDefault="00F07E05" w:rsidP="008A253E">
            <w:pPr>
              <w:spacing w:line="276" w:lineRule="auto"/>
              <w:jc w:val="center"/>
              <w:rPr>
                <w:color w:val="FF0000"/>
                <w:lang w:eastAsia="en-US"/>
              </w:rPr>
            </w:pPr>
            <w:r>
              <w:rPr>
                <w:color w:val="000000"/>
                <w:sz w:val="22"/>
                <w:szCs w:val="22"/>
              </w:rPr>
              <w:t>22 673,57</w:t>
            </w:r>
          </w:p>
        </w:tc>
      </w:tr>
      <w:tr w:rsidR="00F07E05" w:rsidRPr="00E06931" w:rsidTr="008A253E">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Default="00F07E05" w:rsidP="008A253E">
            <w:pPr>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92-016</w:t>
            </w:r>
          </w:p>
        </w:tc>
        <w:tc>
          <w:tcPr>
            <w:tcW w:w="14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135,75</w:t>
            </w:r>
          </w:p>
        </w:tc>
        <w:tc>
          <w:tcPr>
            <w:tcW w:w="1450"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5</w:t>
            </w:r>
          </w:p>
        </w:tc>
        <w:tc>
          <w:tcPr>
            <w:tcW w:w="2195"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13.08.21 14.00-19.00</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07E05" w:rsidRPr="00E06931" w:rsidRDefault="00F07E05" w:rsidP="008A253E">
            <w:pPr>
              <w:spacing w:line="276" w:lineRule="auto"/>
              <w:jc w:val="center"/>
              <w:rPr>
                <w:color w:val="FF0000"/>
                <w:lang w:eastAsia="en-US"/>
              </w:rPr>
            </w:pPr>
            <w:r>
              <w:rPr>
                <w:color w:val="000000"/>
                <w:sz w:val="22"/>
                <w:szCs w:val="22"/>
              </w:rPr>
              <w:t>19 860,23</w:t>
            </w:r>
          </w:p>
        </w:tc>
      </w:tr>
      <w:tr w:rsidR="00F07E05" w:rsidRPr="00E06931" w:rsidTr="008A253E">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Default="00F07E05" w:rsidP="008A253E">
            <w:pPr>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sz w:val="22"/>
                <w:szCs w:val="22"/>
                <w:lang w:val="en-US" w:eastAsia="en-US"/>
              </w:rPr>
              <w:t>PV-25</w:t>
            </w:r>
          </w:p>
        </w:tc>
        <w:tc>
          <w:tcPr>
            <w:tcW w:w="14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110,08</w:t>
            </w:r>
          </w:p>
        </w:tc>
        <w:tc>
          <w:tcPr>
            <w:tcW w:w="1450"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6</w:t>
            </w:r>
          </w:p>
        </w:tc>
        <w:tc>
          <w:tcPr>
            <w:tcW w:w="2195"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10.09.21 09.00-15.00</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07E05" w:rsidRPr="00E06931" w:rsidRDefault="00F07E05" w:rsidP="008A253E">
            <w:pPr>
              <w:spacing w:line="276" w:lineRule="auto"/>
              <w:jc w:val="center"/>
              <w:rPr>
                <w:color w:val="FF0000"/>
                <w:lang w:eastAsia="en-US"/>
              </w:rPr>
            </w:pPr>
            <w:r>
              <w:rPr>
                <w:color w:val="000000"/>
                <w:sz w:val="22"/>
                <w:szCs w:val="22"/>
              </w:rPr>
              <w:t>19 325,64</w:t>
            </w:r>
          </w:p>
        </w:tc>
      </w:tr>
      <w:tr w:rsidR="00F07E05" w:rsidRPr="00E06931" w:rsidTr="008A253E">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Default="00F07E05" w:rsidP="008A253E">
            <w:pPr>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301</w:t>
            </w:r>
          </w:p>
        </w:tc>
        <w:tc>
          <w:tcPr>
            <w:tcW w:w="14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125</w:t>
            </w:r>
          </w:p>
        </w:tc>
        <w:tc>
          <w:tcPr>
            <w:tcW w:w="1450"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5</w:t>
            </w:r>
          </w:p>
        </w:tc>
        <w:tc>
          <w:tcPr>
            <w:tcW w:w="2195"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05.06.21 12.50-17.30</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07E05" w:rsidRPr="00E06931" w:rsidRDefault="00F07E05" w:rsidP="008A253E">
            <w:pPr>
              <w:spacing w:line="276" w:lineRule="auto"/>
              <w:jc w:val="center"/>
              <w:rPr>
                <w:color w:val="FF0000"/>
                <w:lang w:eastAsia="en-US"/>
              </w:rPr>
            </w:pPr>
            <w:r>
              <w:rPr>
                <w:color w:val="000000"/>
                <w:sz w:val="22"/>
                <w:szCs w:val="22"/>
              </w:rPr>
              <w:t>18 287,50</w:t>
            </w:r>
          </w:p>
        </w:tc>
      </w:tr>
      <w:tr w:rsidR="00F07E05" w:rsidRPr="00E06931" w:rsidTr="008A253E">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Default="00F07E05" w:rsidP="008A253E">
            <w:pPr>
              <w:spacing w:line="276" w:lineRule="auto"/>
              <w:rPr>
                <w:color w:val="000000"/>
                <w:lang w:eastAsia="en-US"/>
              </w:rPr>
            </w:pPr>
          </w:p>
        </w:tc>
        <w:tc>
          <w:tcPr>
            <w:tcW w:w="3018" w:type="dxa"/>
            <w:gridSpan w:val="2"/>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right"/>
              <w:rPr>
                <w:color w:val="000000"/>
                <w:lang w:eastAsia="en-US"/>
              </w:rPr>
            </w:pPr>
            <w:r>
              <w:rPr>
                <w:b/>
                <w:bCs/>
                <w:color w:val="000000"/>
                <w:sz w:val="22"/>
                <w:szCs w:val="22"/>
                <w:lang w:eastAsia="en-US"/>
              </w:rPr>
              <w:t>ИТОГО:</w:t>
            </w:r>
          </w:p>
        </w:tc>
        <w:tc>
          <w:tcPr>
            <w:tcW w:w="1450" w:type="dxa"/>
            <w:tcBorders>
              <w:top w:val="single" w:sz="4" w:space="0" w:color="auto"/>
              <w:left w:val="single" w:sz="4" w:space="0" w:color="auto"/>
              <w:bottom w:val="single" w:sz="4" w:space="0" w:color="auto"/>
              <w:right w:val="single" w:sz="4" w:space="0" w:color="auto"/>
            </w:tcBorders>
            <w:noWrap/>
            <w:vAlign w:val="bottom"/>
            <w:hideMark/>
          </w:tcPr>
          <w:p w:rsidR="00F07E05" w:rsidRPr="00457E03" w:rsidRDefault="00F07E05" w:rsidP="008A253E">
            <w:pPr>
              <w:spacing w:line="276" w:lineRule="auto"/>
              <w:jc w:val="center"/>
              <w:rPr>
                <w:b/>
                <w:bCs/>
                <w:color w:val="000000"/>
                <w:lang w:eastAsia="en-US"/>
              </w:rPr>
            </w:pPr>
            <w:r w:rsidRPr="00457E03">
              <w:rPr>
                <w:b/>
                <w:bCs/>
                <w:color w:val="000000"/>
                <w:sz w:val="22"/>
                <w:szCs w:val="22"/>
                <w:lang w:eastAsia="en-US"/>
              </w:rPr>
              <w:t>2</w:t>
            </w:r>
            <w:r>
              <w:rPr>
                <w:b/>
                <w:bCs/>
                <w:color w:val="000000"/>
                <w:sz w:val="22"/>
                <w:szCs w:val="22"/>
                <w:lang w:eastAsia="en-US"/>
              </w:rPr>
              <w:t>1</w:t>
            </w:r>
            <w:r w:rsidRPr="00457E03">
              <w:rPr>
                <w:b/>
                <w:bCs/>
                <w:color w:val="000000"/>
                <w:sz w:val="22"/>
                <w:szCs w:val="22"/>
                <w:lang w:eastAsia="en-US"/>
              </w:rPr>
              <w:t>0,5</w:t>
            </w:r>
          </w:p>
        </w:tc>
        <w:tc>
          <w:tcPr>
            <w:tcW w:w="2195"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right"/>
              <w:rPr>
                <w:color w:val="000000"/>
                <w:lang w:eastAsia="en-US"/>
              </w:rPr>
            </w:pPr>
            <w:r>
              <w:rPr>
                <w:b/>
                <w:bCs/>
                <w:color w:val="000000"/>
                <w:sz w:val="22"/>
                <w:szCs w:val="22"/>
                <w:lang w:eastAsia="en-US"/>
              </w:rPr>
              <w:t>ИТОГО:</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Pr="00E06931" w:rsidRDefault="00F07E05" w:rsidP="008A253E">
            <w:pPr>
              <w:spacing w:line="276" w:lineRule="auto"/>
              <w:jc w:val="center"/>
              <w:rPr>
                <w:lang w:eastAsia="en-US"/>
              </w:rPr>
            </w:pPr>
            <w:r>
              <w:rPr>
                <w:b/>
                <w:bCs/>
                <w:sz w:val="22"/>
                <w:szCs w:val="22"/>
                <w:lang w:eastAsia="en-US"/>
              </w:rPr>
              <w:t>810 490,02</w:t>
            </w:r>
          </w:p>
        </w:tc>
      </w:tr>
      <w:tr w:rsidR="00F07E05" w:rsidRPr="00E06931" w:rsidTr="008A253E">
        <w:trPr>
          <w:trHeight w:val="330"/>
        </w:trPr>
        <w:tc>
          <w:tcPr>
            <w:tcW w:w="2552" w:type="dxa"/>
            <w:vMerge w:val="restart"/>
            <w:tcBorders>
              <w:top w:val="single" w:sz="4" w:space="0" w:color="auto"/>
              <w:left w:val="single" w:sz="4" w:space="0" w:color="auto"/>
              <w:bottom w:val="single" w:sz="4" w:space="0" w:color="auto"/>
              <w:right w:val="single" w:sz="4" w:space="0" w:color="auto"/>
            </w:tcBorders>
            <w:noWrap/>
            <w:vAlign w:val="center"/>
            <w:hideMark/>
          </w:tcPr>
          <w:p w:rsidR="00F07E05" w:rsidRDefault="00F07E05" w:rsidP="008A253E">
            <w:pPr>
              <w:spacing w:line="276" w:lineRule="auto"/>
              <w:jc w:val="center"/>
              <w:rPr>
                <w:color w:val="000000"/>
                <w:lang w:eastAsia="en-US"/>
              </w:rPr>
            </w:pPr>
            <w:r>
              <w:rPr>
                <w:color w:val="000000"/>
                <w:sz w:val="22"/>
                <w:szCs w:val="22"/>
                <w:lang w:eastAsia="en-US"/>
              </w:rPr>
              <w:t>ООО «Речфлот Республики Башкортостан»</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305</w:t>
            </w:r>
          </w:p>
        </w:tc>
        <w:tc>
          <w:tcPr>
            <w:tcW w:w="14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77,87</w:t>
            </w:r>
          </w:p>
        </w:tc>
        <w:tc>
          <w:tcPr>
            <w:tcW w:w="1450"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lang w:eastAsia="en-US"/>
              </w:rPr>
              <w:t>6</w:t>
            </w:r>
          </w:p>
        </w:tc>
        <w:tc>
          <w:tcPr>
            <w:tcW w:w="2195"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01.05.21 11.10-16.30</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07E05" w:rsidRPr="00E06931" w:rsidRDefault="00F07E05" w:rsidP="008A253E">
            <w:pPr>
              <w:spacing w:line="276" w:lineRule="auto"/>
              <w:jc w:val="center"/>
              <w:rPr>
                <w:lang w:eastAsia="en-US"/>
              </w:rPr>
            </w:pPr>
            <w:r>
              <w:rPr>
                <w:color w:val="000000"/>
                <w:sz w:val="22"/>
                <w:szCs w:val="22"/>
              </w:rPr>
              <w:t>13 670,86</w:t>
            </w:r>
          </w:p>
        </w:tc>
      </w:tr>
      <w:tr w:rsidR="00F07E05" w:rsidRPr="00E06931" w:rsidTr="008A253E">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Default="00F07E05" w:rsidP="008A253E">
            <w:pPr>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305</w:t>
            </w:r>
          </w:p>
        </w:tc>
        <w:tc>
          <w:tcPr>
            <w:tcW w:w="14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77,87</w:t>
            </w:r>
          </w:p>
        </w:tc>
        <w:tc>
          <w:tcPr>
            <w:tcW w:w="1450"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lang w:eastAsia="en-US"/>
              </w:rPr>
              <w:t>4</w:t>
            </w:r>
          </w:p>
        </w:tc>
        <w:tc>
          <w:tcPr>
            <w:tcW w:w="2195"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08.05.21 14.30-18.20</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07E05" w:rsidRPr="00E06931" w:rsidRDefault="00F07E05" w:rsidP="008A253E">
            <w:pPr>
              <w:spacing w:line="276" w:lineRule="auto"/>
              <w:jc w:val="center"/>
              <w:rPr>
                <w:lang w:eastAsia="en-US"/>
              </w:rPr>
            </w:pPr>
            <w:r>
              <w:rPr>
                <w:color w:val="000000"/>
                <w:sz w:val="22"/>
                <w:szCs w:val="22"/>
              </w:rPr>
              <w:t>9 113,90</w:t>
            </w:r>
          </w:p>
        </w:tc>
      </w:tr>
      <w:tr w:rsidR="00F07E05" w:rsidRPr="00E06931" w:rsidTr="008A253E">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Default="00F07E05" w:rsidP="008A253E">
            <w:pPr>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305</w:t>
            </w:r>
          </w:p>
        </w:tc>
        <w:tc>
          <w:tcPr>
            <w:tcW w:w="14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77,87</w:t>
            </w:r>
          </w:p>
        </w:tc>
        <w:tc>
          <w:tcPr>
            <w:tcW w:w="1450"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lang w:eastAsia="en-US"/>
              </w:rPr>
              <w:t>9</w:t>
            </w:r>
          </w:p>
        </w:tc>
        <w:tc>
          <w:tcPr>
            <w:tcW w:w="2195"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04.09.21 15.30-23.59</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07E05" w:rsidRPr="00E06931" w:rsidRDefault="00F07E05" w:rsidP="008A253E">
            <w:pPr>
              <w:spacing w:line="276" w:lineRule="auto"/>
              <w:jc w:val="center"/>
              <w:rPr>
                <w:lang w:eastAsia="en-US"/>
              </w:rPr>
            </w:pPr>
            <w:r>
              <w:rPr>
                <w:color w:val="000000"/>
                <w:sz w:val="22"/>
                <w:szCs w:val="22"/>
              </w:rPr>
              <w:t>20 506,29</w:t>
            </w:r>
          </w:p>
        </w:tc>
      </w:tr>
      <w:tr w:rsidR="00F07E05" w:rsidRPr="00E06931" w:rsidTr="008A253E">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Default="00F07E05" w:rsidP="008A253E">
            <w:pPr>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305</w:t>
            </w:r>
          </w:p>
        </w:tc>
        <w:tc>
          <w:tcPr>
            <w:tcW w:w="14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77,87</w:t>
            </w:r>
          </w:p>
        </w:tc>
        <w:tc>
          <w:tcPr>
            <w:tcW w:w="1450"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lang w:eastAsia="en-US"/>
              </w:rPr>
              <w:t>11</w:t>
            </w:r>
          </w:p>
        </w:tc>
        <w:tc>
          <w:tcPr>
            <w:tcW w:w="2195"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11.09.21 13.00-23.59</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07E05" w:rsidRPr="00E06931" w:rsidRDefault="00F07E05" w:rsidP="008A253E">
            <w:pPr>
              <w:spacing w:line="276" w:lineRule="auto"/>
              <w:jc w:val="center"/>
              <w:rPr>
                <w:lang w:eastAsia="en-US"/>
              </w:rPr>
            </w:pPr>
            <w:r>
              <w:rPr>
                <w:color w:val="000000"/>
                <w:sz w:val="22"/>
                <w:szCs w:val="22"/>
              </w:rPr>
              <w:t>25 063,24</w:t>
            </w:r>
          </w:p>
        </w:tc>
      </w:tr>
      <w:tr w:rsidR="00F07E05" w:rsidRPr="00E06931" w:rsidTr="008A253E">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Default="00F07E05" w:rsidP="008A253E">
            <w:pPr>
              <w:spacing w:line="276" w:lineRule="auto"/>
              <w:rPr>
                <w:color w:val="000000"/>
                <w:lang w:eastAsia="en-US"/>
              </w:rPr>
            </w:pPr>
          </w:p>
        </w:tc>
        <w:tc>
          <w:tcPr>
            <w:tcW w:w="3018" w:type="dxa"/>
            <w:gridSpan w:val="2"/>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right"/>
              <w:rPr>
                <w:color w:val="000000"/>
                <w:lang w:eastAsia="en-US"/>
              </w:rPr>
            </w:pPr>
            <w:r>
              <w:rPr>
                <w:b/>
                <w:bCs/>
                <w:color w:val="000000"/>
                <w:sz w:val="22"/>
                <w:szCs w:val="22"/>
                <w:lang w:eastAsia="en-US"/>
              </w:rPr>
              <w:t>ИТОГО:</w:t>
            </w:r>
          </w:p>
        </w:tc>
        <w:tc>
          <w:tcPr>
            <w:tcW w:w="1450" w:type="dxa"/>
            <w:tcBorders>
              <w:top w:val="single" w:sz="4" w:space="0" w:color="auto"/>
              <w:left w:val="single" w:sz="4" w:space="0" w:color="auto"/>
              <w:bottom w:val="single" w:sz="4" w:space="0" w:color="auto"/>
              <w:right w:val="single" w:sz="4" w:space="0" w:color="auto"/>
            </w:tcBorders>
            <w:noWrap/>
            <w:vAlign w:val="bottom"/>
            <w:hideMark/>
          </w:tcPr>
          <w:p w:rsidR="00F07E05" w:rsidRPr="00457E03" w:rsidRDefault="00F07E05" w:rsidP="008A253E">
            <w:pPr>
              <w:spacing w:line="276" w:lineRule="auto"/>
              <w:jc w:val="center"/>
              <w:rPr>
                <w:b/>
                <w:bCs/>
                <w:color w:val="000000"/>
                <w:lang w:eastAsia="en-US"/>
              </w:rPr>
            </w:pPr>
            <w:r w:rsidRPr="00457E03">
              <w:rPr>
                <w:b/>
                <w:bCs/>
                <w:color w:val="000000"/>
                <w:lang w:eastAsia="en-US"/>
              </w:rPr>
              <w:t>30</w:t>
            </w:r>
          </w:p>
        </w:tc>
        <w:tc>
          <w:tcPr>
            <w:tcW w:w="2195"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right"/>
              <w:rPr>
                <w:color w:val="000000"/>
                <w:lang w:eastAsia="en-US"/>
              </w:rPr>
            </w:pPr>
            <w:r>
              <w:rPr>
                <w:b/>
                <w:bCs/>
                <w:color w:val="000000"/>
                <w:sz w:val="22"/>
                <w:szCs w:val="22"/>
                <w:lang w:eastAsia="en-US"/>
              </w:rPr>
              <w:t>ИТОГО:</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Pr="00E06931" w:rsidRDefault="00F07E05" w:rsidP="008A253E">
            <w:pPr>
              <w:spacing w:line="276" w:lineRule="auto"/>
              <w:jc w:val="center"/>
              <w:rPr>
                <w:b/>
                <w:bCs/>
                <w:lang w:eastAsia="en-US"/>
              </w:rPr>
            </w:pPr>
            <w:r>
              <w:rPr>
                <w:b/>
                <w:bCs/>
                <w:sz w:val="22"/>
                <w:szCs w:val="22"/>
                <w:lang w:eastAsia="en-US"/>
              </w:rPr>
              <w:t>68 354,29</w:t>
            </w:r>
          </w:p>
        </w:tc>
      </w:tr>
      <w:tr w:rsidR="00F07E05" w:rsidRPr="00E06931" w:rsidTr="008A253E">
        <w:trPr>
          <w:trHeight w:val="330"/>
        </w:trPr>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F07E05" w:rsidRDefault="00F07E05" w:rsidP="008A253E">
            <w:pPr>
              <w:spacing w:line="276" w:lineRule="auto"/>
              <w:jc w:val="center"/>
              <w:rPr>
                <w:color w:val="000000"/>
                <w:lang w:eastAsia="en-US"/>
              </w:rPr>
            </w:pPr>
            <w:r>
              <w:rPr>
                <w:color w:val="000000"/>
                <w:sz w:val="22"/>
                <w:szCs w:val="22"/>
                <w:lang w:eastAsia="en-US"/>
              </w:rPr>
              <w:t>ООО «СК «Тектоника»</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Буровой понтон</w:t>
            </w:r>
          </w:p>
        </w:tc>
        <w:tc>
          <w:tcPr>
            <w:tcW w:w="14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11,8</w:t>
            </w:r>
          </w:p>
        </w:tc>
        <w:tc>
          <w:tcPr>
            <w:tcW w:w="1450"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15</w:t>
            </w:r>
          </w:p>
        </w:tc>
        <w:tc>
          <w:tcPr>
            <w:tcW w:w="2195"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07.08.21 09.00-23.59</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07E05" w:rsidRPr="00E06931" w:rsidRDefault="00F07E05" w:rsidP="008A253E">
            <w:pPr>
              <w:spacing w:line="276" w:lineRule="auto"/>
              <w:jc w:val="center"/>
              <w:rPr>
                <w:lang w:eastAsia="en-US"/>
              </w:rPr>
            </w:pPr>
            <w:r>
              <w:rPr>
                <w:color w:val="000000"/>
                <w:sz w:val="22"/>
                <w:szCs w:val="22"/>
              </w:rPr>
              <w:t>5 179,02</w:t>
            </w:r>
          </w:p>
        </w:tc>
      </w:tr>
      <w:tr w:rsidR="00F07E05" w:rsidRPr="00E06931" w:rsidTr="008A253E">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Default="00F07E05" w:rsidP="008A253E">
            <w:pPr>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Буровой понтон</w:t>
            </w:r>
          </w:p>
        </w:tc>
        <w:tc>
          <w:tcPr>
            <w:tcW w:w="14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11.8</w:t>
            </w:r>
          </w:p>
        </w:tc>
        <w:tc>
          <w:tcPr>
            <w:tcW w:w="1450"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10</w:t>
            </w:r>
          </w:p>
        </w:tc>
        <w:tc>
          <w:tcPr>
            <w:tcW w:w="2195"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08.05.21 00.00-09.30</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07E05" w:rsidRPr="00E06931" w:rsidRDefault="00F07E05" w:rsidP="008A253E">
            <w:pPr>
              <w:spacing w:line="276" w:lineRule="auto"/>
              <w:jc w:val="center"/>
              <w:rPr>
                <w:lang w:eastAsia="en-US"/>
              </w:rPr>
            </w:pPr>
            <w:r>
              <w:rPr>
                <w:color w:val="000000"/>
                <w:sz w:val="22"/>
                <w:szCs w:val="22"/>
              </w:rPr>
              <w:t>3 452,68</w:t>
            </w:r>
          </w:p>
        </w:tc>
      </w:tr>
      <w:tr w:rsidR="00F07E05" w:rsidRPr="00E06931" w:rsidTr="008A253E">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Default="00F07E05" w:rsidP="008A253E">
            <w:pPr>
              <w:spacing w:line="276" w:lineRule="auto"/>
              <w:rPr>
                <w:color w:val="000000"/>
                <w:lang w:eastAsia="en-US"/>
              </w:rPr>
            </w:pPr>
          </w:p>
        </w:tc>
        <w:tc>
          <w:tcPr>
            <w:tcW w:w="3018" w:type="dxa"/>
            <w:gridSpan w:val="2"/>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right"/>
              <w:rPr>
                <w:color w:val="000000"/>
                <w:lang w:eastAsia="en-US"/>
              </w:rPr>
            </w:pPr>
            <w:r>
              <w:rPr>
                <w:b/>
                <w:bCs/>
                <w:color w:val="000000"/>
                <w:sz w:val="22"/>
                <w:szCs w:val="22"/>
                <w:lang w:eastAsia="en-US"/>
              </w:rPr>
              <w:t>ИТОГО:</w:t>
            </w:r>
          </w:p>
        </w:tc>
        <w:tc>
          <w:tcPr>
            <w:tcW w:w="1450"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b/>
                <w:bCs/>
                <w:color w:val="000000"/>
                <w:sz w:val="22"/>
                <w:szCs w:val="22"/>
                <w:lang w:eastAsia="en-US"/>
              </w:rPr>
              <w:t>25</w:t>
            </w:r>
          </w:p>
        </w:tc>
        <w:tc>
          <w:tcPr>
            <w:tcW w:w="2195"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right"/>
              <w:rPr>
                <w:color w:val="000000"/>
                <w:lang w:eastAsia="en-US"/>
              </w:rPr>
            </w:pPr>
            <w:r>
              <w:rPr>
                <w:b/>
                <w:bCs/>
                <w:color w:val="000000"/>
                <w:sz w:val="22"/>
                <w:szCs w:val="22"/>
                <w:lang w:eastAsia="en-US"/>
              </w:rPr>
              <w:t>ИТОГО:</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Pr="00E06931" w:rsidRDefault="00F07E05" w:rsidP="008A253E">
            <w:pPr>
              <w:spacing w:line="276" w:lineRule="auto"/>
              <w:jc w:val="center"/>
              <w:rPr>
                <w:lang w:eastAsia="en-US"/>
              </w:rPr>
            </w:pPr>
            <w:r w:rsidRPr="00E06931">
              <w:rPr>
                <w:b/>
                <w:bCs/>
                <w:sz w:val="22"/>
                <w:szCs w:val="22"/>
                <w:lang w:eastAsia="en-US"/>
              </w:rPr>
              <w:t>8</w:t>
            </w:r>
            <w:r>
              <w:rPr>
                <w:b/>
                <w:bCs/>
                <w:sz w:val="22"/>
                <w:szCs w:val="22"/>
                <w:lang w:eastAsia="en-US"/>
              </w:rPr>
              <w:t> 631,70</w:t>
            </w:r>
          </w:p>
        </w:tc>
      </w:tr>
      <w:tr w:rsidR="00F07E05" w:rsidRPr="006C5108" w:rsidTr="008A253E">
        <w:trPr>
          <w:trHeight w:val="330"/>
        </w:trPr>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F07E05" w:rsidRDefault="00F07E05" w:rsidP="008A253E">
            <w:pPr>
              <w:spacing w:line="276" w:lineRule="auto"/>
              <w:jc w:val="center"/>
              <w:rPr>
                <w:color w:val="000000"/>
                <w:lang w:eastAsia="en-US"/>
              </w:rPr>
            </w:pPr>
            <w:r>
              <w:rPr>
                <w:color w:val="000000"/>
                <w:sz w:val="22"/>
                <w:szCs w:val="22"/>
                <w:lang w:eastAsia="en-US"/>
              </w:rPr>
              <w:t>ОАО «Московский туристический флот»</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301</w:t>
            </w:r>
          </w:p>
        </w:tc>
        <w:tc>
          <w:tcPr>
            <w:tcW w:w="14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125</w:t>
            </w:r>
          </w:p>
        </w:tc>
        <w:tc>
          <w:tcPr>
            <w:tcW w:w="1450"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7</w:t>
            </w:r>
          </w:p>
        </w:tc>
        <w:tc>
          <w:tcPr>
            <w:tcW w:w="2195"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01.05.21 09.00-16.00</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07E05" w:rsidRPr="006C5108" w:rsidRDefault="00F07E05" w:rsidP="008A253E">
            <w:pPr>
              <w:spacing w:line="276" w:lineRule="auto"/>
              <w:jc w:val="center"/>
              <w:rPr>
                <w:color w:val="FF0000"/>
                <w:sz w:val="22"/>
                <w:szCs w:val="22"/>
                <w:lang w:eastAsia="en-US"/>
              </w:rPr>
            </w:pPr>
            <w:r w:rsidRPr="006C5108">
              <w:rPr>
                <w:sz w:val="22"/>
                <w:szCs w:val="22"/>
              </w:rPr>
              <w:t>25 602,50</w:t>
            </w:r>
          </w:p>
        </w:tc>
      </w:tr>
      <w:tr w:rsidR="00F07E05" w:rsidRPr="006C5108" w:rsidTr="008A253E">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Default="00F07E05" w:rsidP="008A253E">
            <w:pPr>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301</w:t>
            </w:r>
          </w:p>
        </w:tc>
        <w:tc>
          <w:tcPr>
            <w:tcW w:w="14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125</w:t>
            </w:r>
          </w:p>
        </w:tc>
        <w:tc>
          <w:tcPr>
            <w:tcW w:w="1450"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8</w:t>
            </w:r>
          </w:p>
        </w:tc>
        <w:tc>
          <w:tcPr>
            <w:tcW w:w="2195"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08.05.21 08.40-16.00</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07E05" w:rsidRPr="006C5108" w:rsidRDefault="00F07E05" w:rsidP="008A253E">
            <w:pPr>
              <w:spacing w:line="276" w:lineRule="auto"/>
              <w:jc w:val="center"/>
              <w:rPr>
                <w:color w:val="FF0000"/>
                <w:sz w:val="22"/>
                <w:szCs w:val="22"/>
                <w:lang w:eastAsia="en-US"/>
              </w:rPr>
            </w:pPr>
            <w:r w:rsidRPr="006C5108">
              <w:rPr>
                <w:sz w:val="22"/>
                <w:szCs w:val="22"/>
              </w:rPr>
              <w:t>29 260,00</w:t>
            </w:r>
          </w:p>
        </w:tc>
      </w:tr>
      <w:tr w:rsidR="00F07E05" w:rsidRPr="006C5108" w:rsidTr="008A253E">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Default="00F07E05" w:rsidP="008A253E">
            <w:pPr>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301</w:t>
            </w:r>
          </w:p>
        </w:tc>
        <w:tc>
          <w:tcPr>
            <w:tcW w:w="14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125</w:t>
            </w:r>
          </w:p>
        </w:tc>
        <w:tc>
          <w:tcPr>
            <w:tcW w:w="1450"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9</w:t>
            </w:r>
          </w:p>
        </w:tc>
        <w:tc>
          <w:tcPr>
            <w:tcW w:w="2195"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21.07.21 14.30-23.00</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07E05" w:rsidRPr="006C5108" w:rsidRDefault="00F07E05" w:rsidP="008A253E">
            <w:pPr>
              <w:spacing w:line="276" w:lineRule="auto"/>
              <w:jc w:val="center"/>
              <w:rPr>
                <w:color w:val="FF0000"/>
                <w:sz w:val="22"/>
                <w:szCs w:val="22"/>
                <w:lang w:eastAsia="en-US"/>
              </w:rPr>
            </w:pPr>
            <w:r w:rsidRPr="006C5108">
              <w:rPr>
                <w:sz w:val="22"/>
                <w:szCs w:val="22"/>
              </w:rPr>
              <w:t>32 917,50</w:t>
            </w:r>
          </w:p>
        </w:tc>
      </w:tr>
      <w:tr w:rsidR="00F07E05" w:rsidRPr="006C5108" w:rsidTr="008A253E">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Default="00F07E05" w:rsidP="008A253E">
            <w:pPr>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sz w:val="22"/>
                <w:szCs w:val="22"/>
                <w:lang w:val="en-US" w:eastAsia="en-US"/>
              </w:rPr>
              <w:t>PV-08</w:t>
            </w:r>
          </w:p>
        </w:tc>
        <w:tc>
          <w:tcPr>
            <w:tcW w:w="14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90,1</w:t>
            </w:r>
          </w:p>
        </w:tc>
        <w:tc>
          <w:tcPr>
            <w:tcW w:w="1450"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11</w:t>
            </w:r>
          </w:p>
        </w:tc>
        <w:tc>
          <w:tcPr>
            <w:tcW w:w="2195"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02.05.21 08.50-19.00</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07E05" w:rsidRPr="006C5108" w:rsidRDefault="00F07E05" w:rsidP="008A253E">
            <w:pPr>
              <w:spacing w:line="276" w:lineRule="auto"/>
              <w:jc w:val="center"/>
              <w:rPr>
                <w:color w:val="FF0000"/>
                <w:sz w:val="22"/>
                <w:szCs w:val="22"/>
                <w:lang w:eastAsia="en-US"/>
              </w:rPr>
            </w:pPr>
            <w:r w:rsidRPr="006C5108">
              <w:rPr>
                <w:sz w:val="22"/>
                <w:szCs w:val="22"/>
              </w:rPr>
              <w:t>28 999,59</w:t>
            </w:r>
          </w:p>
        </w:tc>
      </w:tr>
      <w:tr w:rsidR="00F07E05" w:rsidRPr="006C5108" w:rsidTr="008A253E">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Default="00F07E05" w:rsidP="008A253E">
            <w:pPr>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sz w:val="22"/>
                <w:szCs w:val="22"/>
                <w:lang w:val="en-US" w:eastAsia="en-US"/>
              </w:rPr>
              <w:t>PV-08</w:t>
            </w:r>
          </w:p>
        </w:tc>
        <w:tc>
          <w:tcPr>
            <w:tcW w:w="14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90,1</w:t>
            </w:r>
          </w:p>
        </w:tc>
        <w:tc>
          <w:tcPr>
            <w:tcW w:w="1450"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7</w:t>
            </w:r>
          </w:p>
        </w:tc>
        <w:tc>
          <w:tcPr>
            <w:tcW w:w="2195"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03.09.21 13.00-20.00</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07E05" w:rsidRPr="006C5108" w:rsidRDefault="00F07E05" w:rsidP="008A253E">
            <w:pPr>
              <w:spacing w:line="276" w:lineRule="auto"/>
              <w:jc w:val="center"/>
              <w:rPr>
                <w:color w:val="FF0000"/>
                <w:sz w:val="22"/>
                <w:szCs w:val="22"/>
                <w:lang w:eastAsia="en-US"/>
              </w:rPr>
            </w:pPr>
            <w:r w:rsidRPr="006C5108">
              <w:rPr>
                <w:sz w:val="22"/>
                <w:szCs w:val="22"/>
              </w:rPr>
              <w:t>18 454,28</w:t>
            </w:r>
          </w:p>
        </w:tc>
      </w:tr>
      <w:tr w:rsidR="00F07E05" w:rsidRPr="006C5108" w:rsidTr="008A253E">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Default="00F07E05" w:rsidP="008A253E">
            <w:pPr>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301</w:t>
            </w:r>
          </w:p>
        </w:tc>
        <w:tc>
          <w:tcPr>
            <w:tcW w:w="14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124,87</w:t>
            </w:r>
          </w:p>
        </w:tc>
        <w:tc>
          <w:tcPr>
            <w:tcW w:w="1450"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1,5</w:t>
            </w:r>
          </w:p>
        </w:tc>
        <w:tc>
          <w:tcPr>
            <w:tcW w:w="2195"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02.05.21 15.40-19.00</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07E05" w:rsidRPr="006C5108" w:rsidRDefault="00F07E05" w:rsidP="008A253E">
            <w:pPr>
              <w:spacing w:line="276" w:lineRule="auto"/>
              <w:jc w:val="center"/>
              <w:rPr>
                <w:color w:val="FF0000"/>
                <w:sz w:val="22"/>
                <w:szCs w:val="22"/>
                <w:lang w:eastAsia="en-US"/>
              </w:rPr>
            </w:pPr>
            <w:r w:rsidRPr="006C5108">
              <w:rPr>
                <w:sz w:val="22"/>
                <w:szCs w:val="22"/>
              </w:rPr>
              <w:t>5 480,54</w:t>
            </w:r>
          </w:p>
        </w:tc>
      </w:tr>
      <w:tr w:rsidR="00F07E05" w:rsidRPr="006C5108" w:rsidTr="008A253E">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Default="00F07E05" w:rsidP="008A253E">
            <w:pPr>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301</w:t>
            </w:r>
          </w:p>
        </w:tc>
        <w:tc>
          <w:tcPr>
            <w:tcW w:w="14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124,87</w:t>
            </w:r>
          </w:p>
        </w:tc>
        <w:tc>
          <w:tcPr>
            <w:tcW w:w="1450"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4</w:t>
            </w:r>
          </w:p>
        </w:tc>
        <w:tc>
          <w:tcPr>
            <w:tcW w:w="2195"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08.05.2113.50-18.00</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07E05" w:rsidRPr="006C5108" w:rsidRDefault="00F07E05" w:rsidP="008A253E">
            <w:pPr>
              <w:spacing w:line="276" w:lineRule="auto"/>
              <w:jc w:val="center"/>
              <w:rPr>
                <w:color w:val="FF0000"/>
                <w:sz w:val="22"/>
                <w:szCs w:val="22"/>
                <w:lang w:eastAsia="en-US"/>
              </w:rPr>
            </w:pPr>
            <w:r w:rsidRPr="006C5108">
              <w:rPr>
                <w:sz w:val="22"/>
                <w:szCs w:val="22"/>
              </w:rPr>
              <w:t>14 614,78</w:t>
            </w:r>
          </w:p>
        </w:tc>
      </w:tr>
      <w:tr w:rsidR="00F07E05" w:rsidRPr="006C5108" w:rsidTr="008A253E">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Default="00F07E05" w:rsidP="008A253E">
            <w:pPr>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302</w:t>
            </w:r>
          </w:p>
        </w:tc>
        <w:tc>
          <w:tcPr>
            <w:tcW w:w="14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129,15</w:t>
            </w:r>
          </w:p>
        </w:tc>
        <w:tc>
          <w:tcPr>
            <w:tcW w:w="1450"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7</w:t>
            </w:r>
          </w:p>
        </w:tc>
        <w:tc>
          <w:tcPr>
            <w:tcW w:w="2195"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09.05.21 12.30-19.00</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07E05" w:rsidRPr="006C5108" w:rsidRDefault="00F07E05" w:rsidP="008A253E">
            <w:pPr>
              <w:spacing w:line="276" w:lineRule="auto"/>
              <w:jc w:val="center"/>
              <w:rPr>
                <w:color w:val="FF0000"/>
                <w:sz w:val="22"/>
                <w:szCs w:val="22"/>
                <w:lang w:eastAsia="en-US"/>
              </w:rPr>
            </w:pPr>
            <w:r w:rsidRPr="006C5108">
              <w:rPr>
                <w:sz w:val="22"/>
                <w:szCs w:val="22"/>
              </w:rPr>
              <w:t>26 452,50</w:t>
            </w:r>
          </w:p>
        </w:tc>
      </w:tr>
      <w:tr w:rsidR="00F07E05" w:rsidRPr="006C5108" w:rsidTr="008A253E">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Default="00F07E05" w:rsidP="008A253E">
            <w:pPr>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302</w:t>
            </w:r>
          </w:p>
        </w:tc>
        <w:tc>
          <w:tcPr>
            <w:tcW w:w="14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129,15</w:t>
            </w:r>
          </w:p>
        </w:tc>
        <w:tc>
          <w:tcPr>
            <w:tcW w:w="1450"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7</w:t>
            </w:r>
          </w:p>
        </w:tc>
        <w:tc>
          <w:tcPr>
            <w:tcW w:w="2195"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06.06.21 13.50-20.00</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07E05" w:rsidRPr="006C5108" w:rsidRDefault="00F07E05" w:rsidP="008A253E">
            <w:pPr>
              <w:spacing w:line="276" w:lineRule="auto"/>
              <w:jc w:val="center"/>
              <w:rPr>
                <w:color w:val="FF0000"/>
                <w:sz w:val="22"/>
                <w:szCs w:val="22"/>
                <w:lang w:eastAsia="en-US"/>
              </w:rPr>
            </w:pPr>
            <w:r w:rsidRPr="006C5108">
              <w:rPr>
                <w:sz w:val="22"/>
                <w:szCs w:val="22"/>
              </w:rPr>
              <w:t>26 452,50</w:t>
            </w:r>
          </w:p>
        </w:tc>
      </w:tr>
      <w:tr w:rsidR="00F07E05" w:rsidRPr="006C5108" w:rsidTr="008A253E">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Default="00F07E05" w:rsidP="008A253E">
            <w:pPr>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302</w:t>
            </w:r>
          </w:p>
        </w:tc>
        <w:tc>
          <w:tcPr>
            <w:tcW w:w="14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129,15</w:t>
            </w:r>
          </w:p>
        </w:tc>
        <w:tc>
          <w:tcPr>
            <w:tcW w:w="1450"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6</w:t>
            </w:r>
          </w:p>
        </w:tc>
        <w:tc>
          <w:tcPr>
            <w:tcW w:w="2195"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11.07.21 14.00-20.00</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07E05" w:rsidRPr="006C5108" w:rsidRDefault="00F07E05" w:rsidP="008A253E">
            <w:pPr>
              <w:spacing w:line="276" w:lineRule="auto"/>
              <w:jc w:val="center"/>
              <w:rPr>
                <w:color w:val="FF0000"/>
                <w:sz w:val="22"/>
                <w:szCs w:val="22"/>
                <w:lang w:eastAsia="en-US"/>
              </w:rPr>
            </w:pPr>
            <w:r w:rsidRPr="006C5108">
              <w:rPr>
                <w:sz w:val="22"/>
                <w:szCs w:val="22"/>
              </w:rPr>
              <w:t>22 673,57</w:t>
            </w:r>
          </w:p>
        </w:tc>
      </w:tr>
      <w:tr w:rsidR="00F07E05" w:rsidRPr="006C5108" w:rsidTr="008A253E">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Default="00F07E05" w:rsidP="008A253E">
            <w:pPr>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302</w:t>
            </w:r>
          </w:p>
        </w:tc>
        <w:tc>
          <w:tcPr>
            <w:tcW w:w="14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129,15</w:t>
            </w:r>
          </w:p>
        </w:tc>
        <w:tc>
          <w:tcPr>
            <w:tcW w:w="1450"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4</w:t>
            </w:r>
          </w:p>
        </w:tc>
        <w:tc>
          <w:tcPr>
            <w:tcW w:w="2195"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27.07.21 14.00-18.00</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07E05" w:rsidRPr="006C5108" w:rsidRDefault="00F07E05" w:rsidP="008A253E">
            <w:pPr>
              <w:spacing w:line="276" w:lineRule="auto"/>
              <w:jc w:val="center"/>
              <w:rPr>
                <w:color w:val="FF0000"/>
                <w:sz w:val="22"/>
                <w:szCs w:val="22"/>
                <w:lang w:eastAsia="en-US"/>
              </w:rPr>
            </w:pPr>
            <w:r w:rsidRPr="006C5108">
              <w:rPr>
                <w:sz w:val="22"/>
                <w:szCs w:val="22"/>
              </w:rPr>
              <w:t>15 115,72</w:t>
            </w:r>
          </w:p>
        </w:tc>
      </w:tr>
      <w:tr w:rsidR="00F07E05" w:rsidRPr="006C5108" w:rsidTr="008A253E">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Default="00F07E05" w:rsidP="008A253E">
            <w:pPr>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302</w:t>
            </w:r>
          </w:p>
        </w:tc>
        <w:tc>
          <w:tcPr>
            <w:tcW w:w="14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129,15</w:t>
            </w:r>
          </w:p>
        </w:tc>
        <w:tc>
          <w:tcPr>
            <w:tcW w:w="1450"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6</w:t>
            </w:r>
          </w:p>
        </w:tc>
        <w:tc>
          <w:tcPr>
            <w:tcW w:w="2195"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07.09.21 13.30-19.00</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07E05" w:rsidRPr="006C5108" w:rsidRDefault="00F07E05" w:rsidP="008A253E">
            <w:pPr>
              <w:spacing w:line="276" w:lineRule="auto"/>
              <w:jc w:val="center"/>
              <w:rPr>
                <w:color w:val="FF0000"/>
                <w:sz w:val="22"/>
                <w:szCs w:val="22"/>
                <w:lang w:eastAsia="en-US"/>
              </w:rPr>
            </w:pPr>
            <w:r w:rsidRPr="006C5108">
              <w:rPr>
                <w:sz w:val="22"/>
                <w:szCs w:val="22"/>
              </w:rPr>
              <w:t>22 673,57</w:t>
            </w:r>
          </w:p>
        </w:tc>
      </w:tr>
      <w:tr w:rsidR="00F07E05" w:rsidRPr="006C5108" w:rsidTr="008A253E">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Default="00F07E05" w:rsidP="008A253E">
            <w:pPr>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302</w:t>
            </w:r>
          </w:p>
        </w:tc>
        <w:tc>
          <w:tcPr>
            <w:tcW w:w="14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129,15</w:t>
            </w:r>
          </w:p>
        </w:tc>
        <w:tc>
          <w:tcPr>
            <w:tcW w:w="1450"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9</w:t>
            </w:r>
          </w:p>
        </w:tc>
        <w:tc>
          <w:tcPr>
            <w:tcW w:w="2195"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18.09.21 14.00-23.00</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07E05" w:rsidRPr="006C5108" w:rsidRDefault="00F07E05" w:rsidP="008A253E">
            <w:pPr>
              <w:spacing w:line="276" w:lineRule="auto"/>
              <w:jc w:val="center"/>
              <w:rPr>
                <w:color w:val="FF0000"/>
                <w:sz w:val="22"/>
                <w:szCs w:val="22"/>
                <w:lang w:eastAsia="en-US"/>
              </w:rPr>
            </w:pPr>
            <w:r w:rsidRPr="006C5108">
              <w:rPr>
                <w:sz w:val="22"/>
                <w:szCs w:val="22"/>
              </w:rPr>
              <w:t>34 010,36</w:t>
            </w:r>
          </w:p>
        </w:tc>
      </w:tr>
      <w:tr w:rsidR="00F07E05" w:rsidRPr="006C5108" w:rsidTr="008A253E">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Default="00F07E05" w:rsidP="008A253E">
            <w:pPr>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302</w:t>
            </w:r>
          </w:p>
        </w:tc>
        <w:tc>
          <w:tcPr>
            <w:tcW w:w="14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129,15</w:t>
            </w:r>
          </w:p>
        </w:tc>
        <w:tc>
          <w:tcPr>
            <w:tcW w:w="1450"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6</w:t>
            </w:r>
          </w:p>
        </w:tc>
        <w:tc>
          <w:tcPr>
            <w:tcW w:w="2195"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21.09.21 12.00-18.00</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07E05" w:rsidRPr="006C5108" w:rsidRDefault="00F07E05" w:rsidP="008A253E">
            <w:pPr>
              <w:spacing w:line="276" w:lineRule="auto"/>
              <w:jc w:val="center"/>
              <w:rPr>
                <w:color w:val="FF0000"/>
                <w:sz w:val="22"/>
                <w:szCs w:val="22"/>
                <w:lang w:eastAsia="en-US"/>
              </w:rPr>
            </w:pPr>
            <w:r w:rsidRPr="006C5108">
              <w:rPr>
                <w:sz w:val="22"/>
                <w:szCs w:val="22"/>
              </w:rPr>
              <w:t>22 673,57</w:t>
            </w:r>
          </w:p>
        </w:tc>
      </w:tr>
      <w:tr w:rsidR="00F07E05" w:rsidRPr="006C5108" w:rsidTr="008A253E">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Default="00F07E05" w:rsidP="008A253E">
            <w:pPr>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588</w:t>
            </w:r>
          </w:p>
        </w:tc>
        <w:tc>
          <w:tcPr>
            <w:tcW w:w="14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95,8</w:t>
            </w:r>
          </w:p>
        </w:tc>
        <w:tc>
          <w:tcPr>
            <w:tcW w:w="1450"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12</w:t>
            </w:r>
          </w:p>
        </w:tc>
        <w:tc>
          <w:tcPr>
            <w:tcW w:w="2195"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15.05.21 08.45-20.00</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07E05" w:rsidRPr="006C5108" w:rsidRDefault="00F07E05" w:rsidP="008A253E">
            <w:pPr>
              <w:spacing w:line="276" w:lineRule="auto"/>
              <w:jc w:val="center"/>
              <w:rPr>
                <w:color w:val="FF0000"/>
                <w:sz w:val="22"/>
                <w:szCs w:val="22"/>
                <w:lang w:eastAsia="en-US"/>
              </w:rPr>
            </w:pPr>
            <w:r w:rsidRPr="006C5108">
              <w:rPr>
                <w:sz w:val="22"/>
                <w:szCs w:val="22"/>
              </w:rPr>
              <w:t>33 637,30</w:t>
            </w:r>
          </w:p>
        </w:tc>
      </w:tr>
      <w:tr w:rsidR="00F07E05" w:rsidRPr="006C5108" w:rsidTr="008A253E">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Default="00F07E05" w:rsidP="008A253E">
            <w:pPr>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301</w:t>
            </w:r>
          </w:p>
        </w:tc>
        <w:tc>
          <w:tcPr>
            <w:tcW w:w="14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125</w:t>
            </w:r>
          </w:p>
        </w:tc>
        <w:tc>
          <w:tcPr>
            <w:tcW w:w="1450"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6</w:t>
            </w:r>
          </w:p>
        </w:tc>
        <w:tc>
          <w:tcPr>
            <w:tcW w:w="2195"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31.05.21 09.00-15.00</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07E05" w:rsidRPr="006C5108" w:rsidRDefault="00F07E05" w:rsidP="008A253E">
            <w:pPr>
              <w:spacing w:line="276" w:lineRule="auto"/>
              <w:jc w:val="center"/>
              <w:rPr>
                <w:color w:val="FF0000"/>
                <w:sz w:val="22"/>
                <w:szCs w:val="22"/>
                <w:lang w:eastAsia="en-US"/>
              </w:rPr>
            </w:pPr>
            <w:r w:rsidRPr="006C5108">
              <w:rPr>
                <w:sz w:val="22"/>
                <w:szCs w:val="22"/>
              </w:rPr>
              <w:t>21 945,00</w:t>
            </w:r>
          </w:p>
        </w:tc>
      </w:tr>
      <w:tr w:rsidR="00F07E05" w:rsidRPr="006C5108" w:rsidTr="008A253E">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Default="00F07E05" w:rsidP="008A253E">
            <w:pPr>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301</w:t>
            </w:r>
          </w:p>
        </w:tc>
        <w:tc>
          <w:tcPr>
            <w:tcW w:w="14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124,87</w:t>
            </w:r>
          </w:p>
        </w:tc>
        <w:tc>
          <w:tcPr>
            <w:tcW w:w="1450"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9</w:t>
            </w:r>
          </w:p>
        </w:tc>
        <w:tc>
          <w:tcPr>
            <w:tcW w:w="2195"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01.07.21 13.00-22.00</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07E05" w:rsidRPr="006C5108" w:rsidRDefault="00F07E05" w:rsidP="008A253E">
            <w:pPr>
              <w:spacing w:line="276" w:lineRule="auto"/>
              <w:jc w:val="center"/>
              <w:rPr>
                <w:color w:val="FF0000"/>
                <w:sz w:val="22"/>
                <w:szCs w:val="22"/>
                <w:lang w:eastAsia="en-US"/>
              </w:rPr>
            </w:pPr>
            <w:r w:rsidRPr="006C5108">
              <w:rPr>
                <w:sz w:val="22"/>
                <w:szCs w:val="22"/>
              </w:rPr>
              <w:t>32 883,27</w:t>
            </w:r>
          </w:p>
        </w:tc>
      </w:tr>
      <w:tr w:rsidR="00F07E05" w:rsidRPr="004827C2" w:rsidTr="008A253E">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Default="00F07E05" w:rsidP="008A253E">
            <w:pPr>
              <w:spacing w:line="276" w:lineRule="auto"/>
              <w:rPr>
                <w:color w:val="000000"/>
                <w:lang w:eastAsia="en-US"/>
              </w:rPr>
            </w:pPr>
          </w:p>
        </w:tc>
        <w:tc>
          <w:tcPr>
            <w:tcW w:w="3018" w:type="dxa"/>
            <w:gridSpan w:val="2"/>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right"/>
              <w:rPr>
                <w:color w:val="000000"/>
                <w:lang w:eastAsia="en-US"/>
              </w:rPr>
            </w:pPr>
            <w:r>
              <w:rPr>
                <w:b/>
                <w:bCs/>
                <w:color w:val="000000"/>
                <w:sz w:val="22"/>
                <w:szCs w:val="22"/>
                <w:lang w:eastAsia="en-US"/>
              </w:rPr>
              <w:t>ИТОГО:</w:t>
            </w:r>
          </w:p>
        </w:tc>
        <w:tc>
          <w:tcPr>
            <w:tcW w:w="1450"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b/>
                <w:bCs/>
                <w:color w:val="000000"/>
                <w:lang w:eastAsia="en-US"/>
              </w:rPr>
            </w:pPr>
            <w:r>
              <w:rPr>
                <w:b/>
                <w:bCs/>
                <w:color w:val="000000"/>
                <w:sz w:val="22"/>
                <w:szCs w:val="22"/>
                <w:lang w:eastAsia="en-US"/>
              </w:rPr>
              <w:t>119,5</w:t>
            </w:r>
          </w:p>
        </w:tc>
        <w:tc>
          <w:tcPr>
            <w:tcW w:w="2195"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right"/>
              <w:rPr>
                <w:color w:val="000000"/>
                <w:lang w:eastAsia="en-US"/>
              </w:rPr>
            </w:pPr>
            <w:r>
              <w:rPr>
                <w:b/>
                <w:bCs/>
                <w:color w:val="000000"/>
                <w:sz w:val="22"/>
                <w:szCs w:val="22"/>
                <w:lang w:eastAsia="en-US"/>
              </w:rPr>
              <w:t>ИТОГО:</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Pr="004827C2" w:rsidRDefault="00F07E05" w:rsidP="008A253E">
            <w:pPr>
              <w:spacing w:line="276" w:lineRule="auto"/>
              <w:jc w:val="center"/>
              <w:rPr>
                <w:b/>
                <w:bCs/>
                <w:lang w:eastAsia="en-US"/>
              </w:rPr>
            </w:pPr>
            <w:r>
              <w:rPr>
                <w:b/>
                <w:bCs/>
                <w:sz w:val="22"/>
                <w:szCs w:val="22"/>
                <w:lang w:eastAsia="en-US"/>
              </w:rPr>
              <w:t>413 846,55</w:t>
            </w:r>
          </w:p>
        </w:tc>
      </w:tr>
      <w:tr w:rsidR="00F07E05" w:rsidRPr="004827C2" w:rsidTr="008A253E">
        <w:trPr>
          <w:trHeight w:val="330"/>
        </w:trPr>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F07E05" w:rsidRDefault="00F07E05" w:rsidP="008A253E">
            <w:pPr>
              <w:spacing w:line="276" w:lineRule="auto"/>
              <w:jc w:val="center"/>
              <w:rPr>
                <w:color w:val="000000"/>
                <w:lang w:eastAsia="en-US"/>
              </w:rPr>
            </w:pPr>
            <w:r>
              <w:rPr>
                <w:color w:val="000000"/>
                <w:sz w:val="22"/>
                <w:szCs w:val="22"/>
                <w:lang w:eastAsia="en-US"/>
              </w:rPr>
              <w:t>ООО «Бельские речные путешествия»</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305</w:t>
            </w:r>
          </w:p>
        </w:tc>
        <w:tc>
          <w:tcPr>
            <w:tcW w:w="14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77,76</w:t>
            </w:r>
          </w:p>
        </w:tc>
        <w:tc>
          <w:tcPr>
            <w:tcW w:w="1450"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6</w:t>
            </w:r>
          </w:p>
        </w:tc>
        <w:tc>
          <w:tcPr>
            <w:tcW w:w="2195"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17.07.21 17.00-23.00</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07E05" w:rsidRPr="004827C2" w:rsidRDefault="00F07E05" w:rsidP="008A253E">
            <w:pPr>
              <w:spacing w:line="276" w:lineRule="auto"/>
              <w:jc w:val="center"/>
              <w:rPr>
                <w:lang w:eastAsia="en-US"/>
              </w:rPr>
            </w:pPr>
            <w:r>
              <w:rPr>
                <w:color w:val="000000"/>
                <w:sz w:val="22"/>
                <w:szCs w:val="22"/>
              </w:rPr>
              <w:t>13 651,55</w:t>
            </w:r>
          </w:p>
        </w:tc>
      </w:tr>
      <w:tr w:rsidR="00F07E05" w:rsidRPr="004827C2" w:rsidTr="008A253E">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Default="00F07E05" w:rsidP="008A253E">
            <w:pPr>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305</w:t>
            </w:r>
          </w:p>
        </w:tc>
        <w:tc>
          <w:tcPr>
            <w:tcW w:w="14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77,76</w:t>
            </w:r>
          </w:p>
        </w:tc>
        <w:tc>
          <w:tcPr>
            <w:tcW w:w="1450"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6</w:t>
            </w:r>
          </w:p>
        </w:tc>
        <w:tc>
          <w:tcPr>
            <w:tcW w:w="2195"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28.08.21 14.00-20.00</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07E05" w:rsidRPr="004827C2" w:rsidRDefault="00F07E05" w:rsidP="008A253E">
            <w:pPr>
              <w:spacing w:line="276" w:lineRule="auto"/>
              <w:jc w:val="center"/>
              <w:rPr>
                <w:lang w:eastAsia="en-US"/>
              </w:rPr>
            </w:pPr>
            <w:r>
              <w:rPr>
                <w:color w:val="000000"/>
                <w:sz w:val="22"/>
                <w:szCs w:val="22"/>
              </w:rPr>
              <w:t>13 651,55</w:t>
            </w:r>
          </w:p>
        </w:tc>
      </w:tr>
      <w:tr w:rsidR="00F07E05" w:rsidRPr="004827C2" w:rsidTr="008A253E">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Default="00F07E05" w:rsidP="008A253E">
            <w:pPr>
              <w:spacing w:line="276" w:lineRule="auto"/>
              <w:rPr>
                <w:color w:val="000000"/>
                <w:lang w:eastAsia="en-US"/>
              </w:rPr>
            </w:pPr>
          </w:p>
        </w:tc>
        <w:tc>
          <w:tcPr>
            <w:tcW w:w="3018" w:type="dxa"/>
            <w:gridSpan w:val="2"/>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right"/>
              <w:rPr>
                <w:color w:val="000000"/>
                <w:lang w:eastAsia="en-US"/>
              </w:rPr>
            </w:pPr>
            <w:r>
              <w:rPr>
                <w:b/>
                <w:bCs/>
                <w:color w:val="000000"/>
                <w:sz w:val="22"/>
                <w:szCs w:val="22"/>
                <w:lang w:eastAsia="en-US"/>
              </w:rPr>
              <w:t>ИТОГО:</w:t>
            </w:r>
          </w:p>
        </w:tc>
        <w:tc>
          <w:tcPr>
            <w:tcW w:w="1450"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b/>
                <w:bCs/>
                <w:color w:val="000000"/>
                <w:lang w:eastAsia="en-US"/>
              </w:rPr>
            </w:pPr>
            <w:r>
              <w:rPr>
                <w:b/>
                <w:bCs/>
                <w:color w:val="000000"/>
                <w:sz w:val="22"/>
                <w:szCs w:val="22"/>
                <w:lang w:eastAsia="en-US"/>
              </w:rPr>
              <w:t>12</w:t>
            </w:r>
          </w:p>
        </w:tc>
        <w:tc>
          <w:tcPr>
            <w:tcW w:w="2195"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right"/>
              <w:rPr>
                <w:color w:val="000000"/>
                <w:lang w:eastAsia="en-US"/>
              </w:rPr>
            </w:pPr>
            <w:r>
              <w:rPr>
                <w:b/>
                <w:bCs/>
                <w:color w:val="000000"/>
                <w:sz w:val="22"/>
                <w:szCs w:val="22"/>
                <w:lang w:eastAsia="en-US"/>
              </w:rPr>
              <w:t>ИТОГО:</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Pr="004827C2" w:rsidRDefault="00F07E05" w:rsidP="008A253E">
            <w:pPr>
              <w:spacing w:line="276" w:lineRule="auto"/>
              <w:jc w:val="center"/>
              <w:rPr>
                <w:b/>
                <w:bCs/>
                <w:lang w:eastAsia="en-US"/>
              </w:rPr>
            </w:pPr>
            <w:r>
              <w:rPr>
                <w:b/>
                <w:bCs/>
                <w:sz w:val="22"/>
                <w:szCs w:val="22"/>
                <w:lang w:eastAsia="en-US"/>
              </w:rPr>
              <w:t>27 303,10</w:t>
            </w:r>
          </w:p>
        </w:tc>
      </w:tr>
      <w:tr w:rsidR="00F07E05" w:rsidRPr="006C5108" w:rsidTr="008A253E">
        <w:trPr>
          <w:trHeight w:val="330"/>
        </w:trPr>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F07E05" w:rsidRDefault="00F07E05" w:rsidP="008A253E">
            <w:pPr>
              <w:spacing w:line="276" w:lineRule="auto"/>
              <w:jc w:val="center"/>
              <w:rPr>
                <w:color w:val="000000"/>
                <w:lang w:eastAsia="en-US"/>
              </w:rPr>
            </w:pPr>
            <w:r>
              <w:rPr>
                <w:color w:val="000000"/>
                <w:sz w:val="22"/>
                <w:szCs w:val="22"/>
                <w:lang w:eastAsia="en-US"/>
              </w:rPr>
              <w:t>ООО «Волга Лайн»</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305</w:t>
            </w:r>
          </w:p>
        </w:tc>
        <w:tc>
          <w:tcPr>
            <w:tcW w:w="14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77,87</w:t>
            </w:r>
          </w:p>
        </w:tc>
        <w:tc>
          <w:tcPr>
            <w:tcW w:w="1450"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9</w:t>
            </w:r>
          </w:p>
        </w:tc>
        <w:tc>
          <w:tcPr>
            <w:tcW w:w="2195"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05.06.21 13.35-21.15</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07E05" w:rsidRPr="006C5108" w:rsidRDefault="00F07E05" w:rsidP="008A253E">
            <w:pPr>
              <w:spacing w:line="276" w:lineRule="auto"/>
              <w:jc w:val="center"/>
              <w:rPr>
                <w:sz w:val="22"/>
                <w:szCs w:val="22"/>
                <w:lang w:eastAsia="en-US"/>
              </w:rPr>
            </w:pPr>
            <w:r w:rsidRPr="006C5108">
              <w:rPr>
                <w:sz w:val="22"/>
                <w:szCs w:val="22"/>
              </w:rPr>
              <w:t>20 506,29</w:t>
            </w:r>
          </w:p>
        </w:tc>
      </w:tr>
      <w:tr w:rsidR="00F07E05" w:rsidRPr="006C5108" w:rsidTr="008A253E">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Default="00F07E05" w:rsidP="008A253E">
            <w:pPr>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305</w:t>
            </w:r>
          </w:p>
        </w:tc>
        <w:tc>
          <w:tcPr>
            <w:tcW w:w="14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77,87</w:t>
            </w:r>
          </w:p>
        </w:tc>
        <w:tc>
          <w:tcPr>
            <w:tcW w:w="1450"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8</w:t>
            </w:r>
          </w:p>
        </w:tc>
        <w:tc>
          <w:tcPr>
            <w:tcW w:w="2195"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26.06.21 14.00-21.30</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07E05" w:rsidRPr="006C5108" w:rsidRDefault="00F07E05" w:rsidP="008A253E">
            <w:pPr>
              <w:spacing w:line="276" w:lineRule="auto"/>
              <w:jc w:val="center"/>
              <w:rPr>
                <w:sz w:val="22"/>
                <w:szCs w:val="22"/>
                <w:lang w:eastAsia="en-US"/>
              </w:rPr>
            </w:pPr>
            <w:r w:rsidRPr="006C5108">
              <w:rPr>
                <w:sz w:val="22"/>
                <w:szCs w:val="22"/>
              </w:rPr>
              <w:t>18 227,81</w:t>
            </w:r>
          </w:p>
        </w:tc>
      </w:tr>
      <w:tr w:rsidR="00F07E05" w:rsidRPr="006C5108" w:rsidTr="008A253E">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Default="00F07E05" w:rsidP="008A253E">
            <w:pPr>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305</w:t>
            </w:r>
          </w:p>
        </w:tc>
        <w:tc>
          <w:tcPr>
            <w:tcW w:w="14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77,87</w:t>
            </w:r>
          </w:p>
        </w:tc>
        <w:tc>
          <w:tcPr>
            <w:tcW w:w="1450"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5</w:t>
            </w:r>
          </w:p>
        </w:tc>
        <w:tc>
          <w:tcPr>
            <w:tcW w:w="2195"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14.08.21 14.00-19.00</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07E05" w:rsidRPr="006C5108" w:rsidRDefault="00F07E05" w:rsidP="008A253E">
            <w:pPr>
              <w:spacing w:line="276" w:lineRule="auto"/>
              <w:jc w:val="center"/>
              <w:rPr>
                <w:sz w:val="22"/>
                <w:szCs w:val="22"/>
                <w:lang w:eastAsia="en-US"/>
              </w:rPr>
            </w:pPr>
            <w:r w:rsidRPr="006C5108">
              <w:rPr>
                <w:sz w:val="22"/>
                <w:szCs w:val="22"/>
              </w:rPr>
              <w:t>11 392,38</w:t>
            </w:r>
          </w:p>
        </w:tc>
      </w:tr>
      <w:tr w:rsidR="00F07E05" w:rsidRPr="006C5108" w:rsidTr="008A253E">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Default="00F07E05" w:rsidP="008A253E">
            <w:pPr>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305</w:t>
            </w:r>
          </w:p>
        </w:tc>
        <w:tc>
          <w:tcPr>
            <w:tcW w:w="14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77,87</w:t>
            </w:r>
          </w:p>
        </w:tc>
        <w:tc>
          <w:tcPr>
            <w:tcW w:w="1450"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7</w:t>
            </w:r>
          </w:p>
        </w:tc>
        <w:tc>
          <w:tcPr>
            <w:tcW w:w="2195"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31.08.21 13.00-20.00</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07E05" w:rsidRPr="006C5108" w:rsidRDefault="00F07E05" w:rsidP="008A253E">
            <w:pPr>
              <w:spacing w:line="276" w:lineRule="auto"/>
              <w:jc w:val="center"/>
              <w:rPr>
                <w:sz w:val="22"/>
                <w:szCs w:val="22"/>
                <w:lang w:eastAsia="en-US"/>
              </w:rPr>
            </w:pPr>
            <w:r w:rsidRPr="006C5108">
              <w:rPr>
                <w:sz w:val="22"/>
                <w:szCs w:val="22"/>
              </w:rPr>
              <w:t>15 949,33</w:t>
            </w:r>
          </w:p>
        </w:tc>
      </w:tr>
      <w:tr w:rsidR="00F07E05" w:rsidRPr="006C5108" w:rsidTr="008A253E">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Default="00F07E05" w:rsidP="008A253E">
            <w:pPr>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305</w:t>
            </w:r>
          </w:p>
        </w:tc>
        <w:tc>
          <w:tcPr>
            <w:tcW w:w="14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77,87</w:t>
            </w:r>
          </w:p>
        </w:tc>
        <w:tc>
          <w:tcPr>
            <w:tcW w:w="1450"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9</w:t>
            </w:r>
          </w:p>
        </w:tc>
        <w:tc>
          <w:tcPr>
            <w:tcW w:w="2195"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18.09.21 14.00-23.00</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07E05" w:rsidRPr="006C5108" w:rsidRDefault="00F07E05" w:rsidP="008A253E">
            <w:pPr>
              <w:spacing w:line="276" w:lineRule="auto"/>
              <w:jc w:val="center"/>
              <w:rPr>
                <w:sz w:val="22"/>
                <w:szCs w:val="22"/>
                <w:lang w:eastAsia="en-US"/>
              </w:rPr>
            </w:pPr>
            <w:r w:rsidRPr="006C5108">
              <w:rPr>
                <w:sz w:val="22"/>
                <w:szCs w:val="22"/>
              </w:rPr>
              <w:t>20 506,29</w:t>
            </w:r>
          </w:p>
        </w:tc>
      </w:tr>
      <w:tr w:rsidR="00F07E05" w:rsidRPr="006C5108" w:rsidTr="008A253E">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Default="00F07E05" w:rsidP="008A253E">
            <w:pPr>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305</w:t>
            </w:r>
          </w:p>
        </w:tc>
        <w:tc>
          <w:tcPr>
            <w:tcW w:w="14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77,87</w:t>
            </w:r>
          </w:p>
        </w:tc>
        <w:tc>
          <w:tcPr>
            <w:tcW w:w="1450"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7</w:t>
            </w:r>
          </w:p>
        </w:tc>
        <w:tc>
          <w:tcPr>
            <w:tcW w:w="2195"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02.10.21 16.00-23.00</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07E05" w:rsidRPr="006C5108" w:rsidRDefault="00F07E05" w:rsidP="008A253E">
            <w:pPr>
              <w:spacing w:line="276" w:lineRule="auto"/>
              <w:jc w:val="center"/>
              <w:rPr>
                <w:sz w:val="22"/>
                <w:szCs w:val="22"/>
                <w:lang w:eastAsia="en-US"/>
              </w:rPr>
            </w:pPr>
            <w:r w:rsidRPr="006C5108">
              <w:rPr>
                <w:sz w:val="22"/>
                <w:szCs w:val="22"/>
              </w:rPr>
              <w:t>15 949,33</w:t>
            </w:r>
          </w:p>
        </w:tc>
      </w:tr>
      <w:tr w:rsidR="00F07E05" w:rsidRPr="004827C2" w:rsidTr="008A253E">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Default="00F07E05" w:rsidP="008A253E">
            <w:pPr>
              <w:spacing w:line="276" w:lineRule="auto"/>
              <w:rPr>
                <w:color w:val="000000"/>
                <w:lang w:eastAsia="en-US"/>
              </w:rPr>
            </w:pPr>
          </w:p>
        </w:tc>
        <w:tc>
          <w:tcPr>
            <w:tcW w:w="3018" w:type="dxa"/>
            <w:gridSpan w:val="2"/>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right"/>
              <w:rPr>
                <w:color w:val="000000"/>
                <w:lang w:eastAsia="en-US"/>
              </w:rPr>
            </w:pPr>
            <w:r>
              <w:rPr>
                <w:b/>
                <w:bCs/>
                <w:color w:val="000000"/>
                <w:sz w:val="22"/>
                <w:szCs w:val="22"/>
                <w:lang w:eastAsia="en-US"/>
              </w:rPr>
              <w:t>ИТОГО:</w:t>
            </w:r>
          </w:p>
        </w:tc>
        <w:tc>
          <w:tcPr>
            <w:tcW w:w="1450" w:type="dxa"/>
            <w:tcBorders>
              <w:top w:val="single" w:sz="4" w:space="0" w:color="auto"/>
              <w:left w:val="single" w:sz="4" w:space="0" w:color="auto"/>
              <w:bottom w:val="single" w:sz="4" w:space="0" w:color="auto"/>
              <w:right w:val="single" w:sz="4" w:space="0" w:color="auto"/>
            </w:tcBorders>
            <w:noWrap/>
            <w:vAlign w:val="bottom"/>
          </w:tcPr>
          <w:p w:rsidR="00F07E05" w:rsidRPr="00B330CE" w:rsidRDefault="00F07E05" w:rsidP="008A253E">
            <w:pPr>
              <w:spacing w:line="276" w:lineRule="auto"/>
              <w:jc w:val="center"/>
              <w:rPr>
                <w:b/>
                <w:bCs/>
                <w:color w:val="000000"/>
                <w:sz w:val="22"/>
                <w:szCs w:val="22"/>
                <w:lang w:eastAsia="en-US"/>
              </w:rPr>
            </w:pPr>
            <w:r w:rsidRPr="00B330CE">
              <w:rPr>
                <w:b/>
                <w:bCs/>
                <w:color w:val="000000"/>
                <w:sz w:val="22"/>
                <w:szCs w:val="22"/>
                <w:lang w:eastAsia="en-US"/>
              </w:rPr>
              <w:t>45</w:t>
            </w:r>
          </w:p>
        </w:tc>
        <w:tc>
          <w:tcPr>
            <w:tcW w:w="2195"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right"/>
              <w:rPr>
                <w:color w:val="000000"/>
                <w:lang w:eastAsia="en-US"/>
              </w:rPr>
            </w:pPr>
            <w:r>
              <w:rPr>
                <w:b/>
                <w:bCs/>
                <w:color w:val="000000"/>
                <w:sz w:val="22"/>
                <w:szCs w:val="22"/>
                <w:lang w:eastAsia="en-US"/>
              </w:rPr>
              <w:t>ИТОГО:</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Pr="004827C2" w:rsidRDefault="00F07E05" w:rsidP="008A253E">
            <w:pPr>
              <w:spacing w:line="276" w:lineRule="auto"/>
              <w:jc w:val="center"/>
              <w:rPr>
                <w:b/>
                <w:bCs/>
                <w:lang w:eastAsia="en-US"/>
              </w:rPr>
            </w:pPr>
            <w:r>
              <w:rPr>
                <w:b/>
                <w:bCs/>
                <w:sz w:val="22"/>
                <w:szCs w:val="22"/>
                <w:lang w:eastAsia="en-US"/>
              </w:rPr>
              <w:t>102 531,43</w:t>
            </w:r>
          </w:p>
        </w:tc>
      </w:tr>
      <w:tr w:rsidR="00F07E05" w:rsidRPr="004827C2" w:rsidTr="008A253E">
        <w:trPr>
          <w:trHeight w:val="330"/>
        </w:trPr>
        <w:tc>
          <w:tcPr>
            <w:tcW w:w="2552" w:type="dxa"/>
            <w:tcBorders>
              <w:top w:val="single" w:sz="4" w:space="0" w:color="auto"/>
              <w:left w:val="single" w:sz="4" w:space="0" w:color="auto"/>
              <w:bottom w:val="single" w:sz="4" w:space="0" w:color="auto"/>
              <w:right w:val="single" w:sz="4" w:space="0" w:color="auto"/>
            </w:tcBorders>
            <w:vAlign w:val="center"/>
            <w:hideMark/>
          </w:tcPr>
          <w:p w:rsidR="00F07E05" w:rsidRDefault="00F07E05" w:rsidP="008A253E">
            <w:pPr>
              <w:spacing w:line="276" w:lineRule="auto"/>
              <w:jc w:val="center"/>
              <w:rPr>
                <w:color w:val="000000"/>
                <w:lang w:eastAsia="en-US"/>
              </w:rPr>
            </w:pPr>
            <w:r>
              <w:rPr>
                <w:color w:val="000000"/>
                <w:sz w:val="22"/>
                <w:szCs w:val="22"/>
                <w:lang w:eastAsia="en-US"/>
              </w:rPr>
              <w:t>ООО «Волга Сервис»</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305</w:t>
            </w:r>
          </w:p>
        </w:tc>
        <w:tc>
          <w:tcPr>
            <w:tcW w:w="14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77,91</w:t>
            </w:r>
          </w:p>
        </w:tc>
        <w:tc>
          <w:tcPr>
            <w:tcW w:w="1450"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b/>
                <w:bCs/>
                <w:color w:val="000000"/>
                <w:lang w:eastAsia="en-US"/>
              </w:rPr>
            </w:pPr>
            <w:r>
              <w:rPr>
                <w:b/>
                <w:bCs/>
                <w:color w:val="000000"/>
                <w:sz w:val="22"/>
                <w:szCs w:val="22"/>
                <w:lang w:eastAsia="en-US"/>
              </w:rPr>
              <w:t>5</w:t>
            </w:r>
          </w:p>
        </w:tc>
        <w:tc>
          <w:tcPr>
            <w:tcW w:w="2195"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18.08.21 08.00-13.00</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Pr="004827C2" w:rsidRDefault="00F07E05" w:rsidP="008A253E">
            <w:pPr>
              <w:spacing w:line="276" w:lineRule="auto"/>
              <w:jc w:val="center"/>
              <w:rPr>
                <w:b/>
                <w:bCs/>
                <w:lang w:eastAsia="en-US"/>
              </w:rPr>
            </w:pPr>
            <w:r w:rsidRPr="004827C2">
              <w:rPr>
                <w:b/>
                <w:bCs/>
                <w:sz w:val="22"/>
                <w:szCs w:val="22"/>
                <w:lang w:eastAsia="en-US"/>
              </w:rPr>
              <w:t>11</w:t>
            </w:r>
            <w:r>
              <w:rPr>
                <w:b/>
                <w:bCs/>
                <w:sz w:val="22"/>
                <w:szCs w:val="22"/>
                <w:lang w:eastAsia="en-US"/>
              </w:rPr>
              <w:t> 398,23</w:t>
            </w:r>
          </w:p>
        </w:tc>
      </w:tr>
      <w:tr w:rsidR="00F07E05" w:rsidRPr="004827C2" w:rsidTr="008A253E">
        <w:trPr>
          <w:trHeight w:val="330"/>
        </w:trPr>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F07E05" w:rsidRDefault="00F07E05" w:rsidP="008A253E">
            <w:pPr>
              <w:spacing w:line="276" w:lineRule="auto"/>
              <w:jc w:val="center"/>
              <w:rPr>
                <w:color w:val="000000"/>
                <w:lang w:eastAsia="en-US"/>
              </w:rPr>
            </w:pPr>
            <w:r>
              <w:rPr>
                <w:color w:val="000000"/>
                <w:sz w:val="22"/>
                <w:szCs w:val="22"/>
                <w:lang w:eastAsia="en-US"/>
              </w:rPr>
              <w:t>ИП Яковлев Андрей Викторович</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М-01-126</w:t>
            </w:r>
          </w:p>
        </w:tc>
        <w:tc>
          <w:tcPr>
            <w:tcW w:w="14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21,05</w:t>
            </w:r>
          </w:p>
        </w:tc>
        <w:tc>
          <w:tcPr>
            <w:tcW w:w="1450"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0,5</w:t>
            </w:r>
          </w:p>
        </w:tc>
        <w:tc>
          <w:tcPr>
            <w:tcW w:w="2195"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08.05.21 12.20-12.40</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07E05" w:rsidRPr="004827C2" w:rsidRDefault="00F07E05" w:rsidP="008A253E">
            <w:pPr>
              <w:spacing w:line="276" w:lineRule="auto"/>
              <w:jc w:val="center"/>
              <w:rPr>
                <w:lang w:eastAsia="en-US"/>
              </w:rPr>
            </w:pPr>
            <w:r>
              <w:rPr>
                <w:color w:val="000000"/>
                <w:sz w:val="22"/>
                <w:szCs w:val="22"/>
              </w:rPr>
              <w:t>307,96</w:t>
            </w:r>
          </w:p>
        </w:tc>
      </w:tr>
      <w:tr w:rsidR="00F07E05" w:rsidRPr="004827C2" w:rsidTr="008A253E">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Default="00F07E05" w:rsidP="008A253E">
            <w:pPr>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М-01-126</w:t>
            </w:r>
          </w:p>
        </w:tc>
        <w:tc>
          <w:tcPr>
            <w:tcW w:w="14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21,05</w:t>
            </w:r>
          </w:p>
        </w:tc>
        <w:tc>
          <w:tcPr>
            <w:tcW w:w="1450"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2</w:t>
            </w:r>
          </w:p>
        </w:tc>
        <w:tc>
          <w:tcPr>
            <w:tcW w:w="2195"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15.05.21 14.15-17.15</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07E05" w:rsidRPr="004827C2" w:rsidRDefault="00F07E05" w:rsidP="008A253E">
            <w:pPr>
              <w:spacing w:line="276" w:lineRule="auto"/>
              <w:jc w:val="center"/>
              <w:rPr>
                <w:lang w:eastAsia="en-US"/>
              </w:rPr>
            </w:pPr>
            <w:r>
              <w:rPr>
                <w:color w:val="000000"/>
                <w:sz w:val="22"/>
                <w:szCs w:val="22"/>
              </w:rPr>
              <w:t>1 231,85</w:t>
            </w:r>
          </w:p>
        </w:tc>
      </w:tr>
      <w:tr w:rsidR="00F07E05" w:rsidRPr="004827C2" w:rsidTr="008A253E">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Default="00F07E05" w:rsidP="008A253E">
            <w:pPr>
              <w:spacing w:line="276" w:lineRule="auto"/>
              <w:rPr>
                <w:color w:val="000000"/>
                <w:lang w:eastAsia="en-US"/>
              </w:rPr>
            </w:pPr>
          </w:p>
        </w:tc>
        <w:tc>
          <w:tcPr>
            <w:tcW w:w="3018" w:type="dxa"/>
            <w:gridSpan w:val="2"/>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right"/>
              <w:rPr>
                <w:color w:val="000000"/>
                <w:lang w:eastAsia="en-US"/>
              </w:rPr>
            </w:pPr>
            <w:r>
              <w:rPr>
                <w:b/>
                <w:bCs/>
                <w:color w:val="000000"/>
                <w:sz w:val="22"/>
                <w:szCs w:val="22"/>
                <w:lang w:eastAsia="en-US"/>
              </w:rPr>
              <w:t>ИТОГО:</w:t>
            </w:r>
          </w:p>
        </w:tc>
        <w:tc>
          <w:tcPr>
            <w:tcW w:w="1450"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b/>
                <w:bCs/>
                <w:color w:val="000000"/>
                <w:lang w:eastAsia="en-US"/>
              </w:rPr>
            </w:pPr>
            <w:r>
              <w:rPr>
                <w:b/>
                <w:bCs/>
                <w:color w:val="000000"/>
                <w:sz w:val="22"/>
                <w:szCs w:val="22"/>
                <w:lang w:eastAsia="en-US"/>
              </w:rPr>
              <w:t>2,5</w:t>
            </w:r>
          </w:p>
        </w:tc>
        <w:tc>
          <w:tcPr>
            <w:tcW w:w="2195"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right"/>
              <w:rPr>
                <w:color w:val="000000"/>
                <w:lang w:eastAsia="en-US"/>
              </w:rPr>
            </w:pPr>
            <w:r>
              <w:rPr>
                <w:b/>
                <w:bCs/>
                <w:color w:val="000000"/>
                <w:sz w:val="22"/>
                <w:szCs w:val="22"/>
                <w:lang w:eastAsia="en-US"/>
              </w:rPr>
              <w:t>ИТОГО:</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Pr="004827C2" w:rsidRDefault="00F07E05" w:rsidP="008A253E">
            <w:pPr>
              <w:spacing w:line="276" w:lineRule="auto"/>
              <w:jc w:val="center"/>
              <w:rPr>
                <w:b/>
                <w:bCs/>
                <w:lang w:eastAsia="en-US"/>
              </w:rPr>
            </w:pPr>
            <w:r w:rsidRPr="004827C2">
              <w:rPr>
                <w:b/>
                <w:bCs/>
                <w:sz w:val="22"/>
                <w:szCs w:val="22"/>
                <w:lang w:eastAsia="en-US"/>
              </w:rPr>
              <w:t>1</w:t>
            </w:r>
            <w:r>
              <w:rPr>
                <w:b/>
                <w:bCs/>
                <w:sz w:val="22"/>
                <w:szCs w:val="22"/>
                <w:lang w:eastAsia="en-US"/>
              </w:rPr>
              <w:t> 539,81</w:t>
            </w:r>
          </w:p>
        </w:tc>
      </w:tr>
      <w:tr w:rsidR="00F07E05" w:rsidRPr="004A0CBF" w:rsidTr="008A253E">
        <w:trPr>
          <w:trHeight w:val="341"/>
        </w:trPr>
        <w:tc>
          <w:tcPr>
            <w:tcW w:w="5570" w:type="dxa"/>
            <w:gridSpan w:val="3"/>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right"/>
              <w:rPr>
                <w:b/>
                <w:bCs/>
                <w:color w:val="000000"/>
                <w:lang w:eastAsia="en-US"/>
              </w:rPr>
            </w:pPr>
            <w:r>
              <w:rPr>
                <w:b/>
                <w:bCs/>
                <w:color w:val="000000"/>
                <w:lang w:eastAsia="en-US"/>
              </w:rPr>
              <w:t>ВСЕГО:</w:t>
            </w:r>
          </w:p>
        </w:tc>
        <w:tc>
          <w:tcPr>
            <w:tcW w:w="1450"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jc w:val="center"/>
              <w:rPr>
                <w:b/>
                <w:bCs/>
                <w:color w:val="000000"/>
                <w:lang w:eastAsia="en-US"/>
              </w:rPr>
            </w:pPr>
            <w:r>
              <w:rPr>
                <w:b/>
                <w:bCs/>
                <w:color w:val="000000"/>
                <w:lang w:eastAsia="en-US"/>
              </w:rPr>
              <w:t>739,5</w:t>
            </w:r>
          </w:p>
        </w:tc>
        <w:tc>
          <w:tcPr>
            <w:tcW w:w="2195"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rPr>
                <w:color w:val="000000"/>
                <w:lang w:eastAsia="en-US"/>
              </w:rPr>
            </w:pPr>
            <w:r>
              <w:rPr>
                <w:color w:val="000000"/>
                <w:lang w:eastAsia="en-US"/>
              </w:rPr>
              <w:t> </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Pr="004A0CBF" w:rsidRDefault="00F07E05" w:rsidP="008A253E">
            <w:pPr>
              <w:spacing w:line="276" w:lineRule="auto"/>
              <w:jc w:val="center"/>
              <w:rPr>
                <w:b/>
                <w:bCs/>
                <w:lang w:eastAsia="en-US"/>
              </w:rPr>
            </w:pPr>
            <w:r w:rsidRPr="004A0CBF">
              <w:rPr>
                <w:b/>
                <w:bCs/>
                <w:lang w:eastAsia="en-US"/>
              </w:rPr>
              <w:t>2</w:t>
            </w:r>
            <w:r>
              <w:rPr>
                <w:b/>
                <w:bCs/>
                <w:lang w:eastAsia="en-US"/>
              </w:rPr>
              <w:t> 360 244,19</w:t>
            </w:r>
          </w:p>
        </w:tc>
      </w:tr>
    </w:tbl>
    <w:p w:rsidR="00F07E05" w:rsidRDefault="00F07E05" w:rsidP="00F07E05">
      <w:pPr>
        <w:tabs>
          <w:tab w:val="left" w:pos="709"/>
          <w:tab w:val="left" w:pos="9356"/>
        </w:tabs>
        <w:ind w:firstLine="426"/>
        <w:jc w:val="both"/>
        <w:rPr>
          <w:b/>
          <w:color w:val="000000"/>
          <w:sz w:val="28"/>
          <w:szCs w:val="28"/>
        </w:rPr>
      </w:pPr>
    </w:p>
    <w:p w:rsidR="00F07E05" w:rsidRDefault="00F07E05" w:rsidP="00F07E05">
      <w:pPr>
        <w:tabs>
          <w:tab w:val="left" w:pos="709"/>
          <w:tab w:val="left" w:pos="9356"/>
        </w:tabs>
        <w:ind w:firstLine="426"/>
        <w:jc w:val="both"/>
        <w:rPr>
          <w:color w:val="000000"/>
          <w:sz w:val="28"/>
          <w:szCs w:val="28"/>
        </w:rPr>
      </w:pPr>
      <w:r w:rsidRPr="006656D4">
        <w:rPr>
          <w:b/>
          <w:color w:val="000000"/>
          <w:sz w:val="28"/>
          <w:szCs w:val="28"/>
        </w:rPr>
        <w:t xml:space="preserve">График захода судов в г. Тверь с 01 мая 2023 года </w:t>
      </w:r>
      <w:r w:rsidRPr="006656D4">
        <w:rPr>
          <w:color w:val="000000"/>
          <w:sz w:val="28"/>
          <w:szCs w:val="28"/>
        </w:rPr>
        <w:t>(размер платы за предоставление места для стоянки судна на причале в 2023 году – 30,58 руб./час 1 пог.м)(29,26 руб./час 1 пог.м * 1,045 (ИПЦ)</w:t>
      </w:r>
    </w:p>
    <w:tbl>
      <w:tblPr>
        <w:tblW w:w="10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559"/>
        <w:gridCol w:w="1459"/>
        <w:gridCol w:w="1450"/>
        <w:gridCol w:w="2195"/>
        <w:gridCol w:w="1476"/>
      </w:tblGrid>
      <w:tr w:rsidR="00F07E05" w:rsidTr="008A253E">
        <w:trPr>
          <w:trHeight w:val="720"/>
          <w:jc w:val="center"/>
        </w:trPr>
        <w:tc>
          <w:tcPr>
            <w:tcW w:w="2552" w:type="dxa"/>
            <w:tcBorders>
              <w:top w:val="single" w:sz="4" w:space="0" w:color="auto"/>
              <w:left w:val="single" w:sz="4" w:space="0" w:color="auto"/>
              <w:bottom w:val="single" w:sz="4" w:space="0" w:color="auto"/>
              <w:right w:val="single" w:sz="4" w:space="0" w:color="auto"/>
            </w:tcBorders>
            <w:noWrap/>
            <w:vAlign w:val="center"/>
            <w:hideMark/>
          </w:tcPr>
          <w:p w:rsidR="00F07E05" w:rsidRDefault="00F07E05" w:rsidP="008A253E">
            <w:pPr>
              <w:spacing w:line="276" w:lineRule="auto"/>
              <w:jc w:val="center"/>
              <w:rPr>
                <w:color w:val="000000"/>
                <w:lang w:eastAsia="en-US"/>
              </w:rPr>
            </w:pPr>
            <w:r>
              <w:rPr>
                <w:color w:val="000000"/>
                <w:lang w:eastAsia="en-US"/>
              </w:rPr>
              <w:t>Наименование компании</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F07E05" w:rsidRDefault="00F07E05" w:rsidP="008A253E">
            <w:pPr>
              <w:spacing w:line="276" w:lineRule="auto"/>
              <w:jc w:val="center"/>
              <w:rPr>
                <w:color w:val="000000"/>
                <w:lang w:eastAsia="en-US"/>
              </w:rPr>
            </w:pPr>
            <w:r>
              <w:rPr>
                <w:color w:val="000000"/>
                <w:lang w:eastAsia="en-US"/>
              </w:rPr>
              <w:t xml:space="preserve">Проект судна </w:t>
            </w:r>
          </w:p>
        </w:tc>
        <w:tc>
          <w:tcPr>
            <w:tcW w:w="1459" w:type="dxa"/>
            <w:tcBorders>
              <w:top w:val="single" w:sz="4" w:space="0" w:color="auto"/>
              <w:left w:val="single" w:sz="4" w:space="0" w:color="auto"/>
              <w:bottom w:val="single" w:sz="4" w:space="0" w:color="auto"/>
              <w:right w:val="single" w:sz="4" w:space="0" w:color="auto"/>
            </w:tcBorders>
            <w:vAlign w:val="center"/>
            <w:hideMark/>
          </w:tcPr>
          <w:p w:rsidR="00F07E05" w:rsidRDefault="00F07E05" w:rsidP="008A253E">
            <w:pPr>
              <w:spacing w:line="276" w:lineRule="auto"/>
              <w:jc w:val="center"/>
              <w:rPr>
                <w:color w:val="000000"/>
                <w:lang w:eastAsia="en-US"/>
              </w:rPr>
            </w:pPr>
            <w:r>
              <w:rPr>
                <w:color w:val="000000"/>
                <w:lang w:eastAsia="en-US"/>
              </w:rPr>
              <w:t>Длина судна, пог.метр</w:t>
            </w:r>
          </w:p>
        </w:tc>
        <w:tc>
          <w:tcPr>
            <w:tcW w:w="1450" w:type="dxa"/>
            <w:tcBorders>
              <w:top w:val="single" w:sz="4" w:space="0" w:color="auto"/>
              <w:left w:val="single" w:sz="4" w:space="0" w:color="auto"/>
              <w:bottom w:val="single" w:sz="4" w:space="0" w:color="auto"/>
              <w:right w:val="single" w:sz="4" w:space="0" w:color="auto"/>
            </w:tcBorders>
            <w:vAlign w:val="center"/>
            <w:hideMark/>
          </w:tcPr>
          <w:p w:rsidR="00F07E05" w:rsidRDefault="00F07E05" w:rsidP="008A253E">
            <w:pPr>
              <w:spacing w:line="276" w:lineRule="auto"/>
              <w:jc w:val="center"/>
              <w:rPr>
                <w:color w:val="000000"/>
                <w:lang w:eastAsia="en-US"/>
              </w:rPr>
            </w:pPr>
            <w:r>
              <w:rPr>
                <w:color w:val="000000"/>
                <w:lang w:eastAsia="en-US"/>
              </w:rPr>
              <w:t>Время стоянки, ч</w:t>
            </w:r>
          </w:p>
        </w:tc>
        <w:tc>
          <w:tcPr>
            <w:tcW w:w="2195" w:type="dxa"/>
            <w:tcBorders>
              <w:top w:val="single" w:sz="4" w:space="0" w:color="auto"/>
              <w:left w:val="single" w:sz="4" w:space="0" w:color="auto"/>
              <w:bottom w:val="single" w:sz="4" w:space="0" w:color="auto"/>
              <w:right w:val="single" w:sz="4" w:space="0" w:color="auto"/>
            </w:tcBorders>
            <w:noWrap/>
            <w:vAlign w:val="center"/>
            <w:hideMark/>
          </w:tcPr>
          <w:p w:rsidR="00F07E05" w:rsidRDefault="00F07E05" w:rsidP="008A253E">
            <w:pPr>
              <w:spacing w:line="276" w:lineRule="auto"/>
              <w:jc w:val="center"/>
              <w:rPr>
                <w:color w:val="000000"/>
                <w:lang w:eastAsia="en-US"/>
              </w:rPr>
            </w:pPr>
            <w:r>
              <w:rPr>
                <w:color w:val="000000"/>
                <w:lang w:eastAsia="en-US"/>
              </w:rPr>
              <w:t xml:space="preserve">Дата и время стоянки </w:t>
            </w:r>
          </w:p>
        </w:tc>
        <w:tc>
          <w:tcPr>
            <w:tcW w:w="1476" w:type="dxa"/>
            <w:tcBorders>
              <w:top w:val="single" w:sz="4" w:space="0" w:color="auto"/>
              <w:left w:val="single" w:sz="4" w:space="0" w:color="auto"/>
              <w:bottom w:val="single" w:sz="4" w:space="0" w:color="auto"/>
              <w:right w:val="single" w:sz="4" w:space="0" w:color="auto"/>
            </w:tcBorders>
            <w:noWrap/>
            <w:vAlign w:val="center"/>
            <w:hideMark/>
          </w:tcPr>
          <w:p w:rsidR="00F07E05" w:rsidRDefault="00F07E05" w:rsidP="008A253E">
            <w:pPr>
              <w:spacing w:line="276" w:lineRule="auto"/>
              <w:jc w:val="center"/>
              <w:rPr>
                <w:color w:val="000000"/>
                <w:lang w:eastAsia="en-US"/>
              </w:rPr>
            </w:pPr>
            <w:r>
              <w:rPr>
                <w:color w:val="000000"/>
                <w:lang w:eastAsia="en-US"/>
              </w:rPr>
              <w:t>Стоимость, руб.</w:t>
            </w:r>
          </w:p>
        </w:tc>
      </w:tr>
      <w:tr w:rsidR="00F07E05" w:rsidRPr="006C5108" w:rsidTr="008A253E">
        <w:trPr>
          <w:trHeight w:val="630"/>
          <w:jc w:val="center"/>
        </w:trPr>
        <w:tc>
          <w:tcPr>
            <w:tcW w:w="2552" w:type="dxa"/>
            <w:tcBorders>
              <w:top w:val="single" w:sz="4" w:space="0" w:color="auto"/>
              <w:left w:val="single" w:sz="4" w:space="0" w:color="auto"/>
              <w:bottom w:val="single" w:sz="4" w:space="0" w:color="auto"/>
              <w:right w:val="single" w:sz="4" w:space="0" w:color="auto"/>
            </w:tcBorders>
            <w:vAlign w:val="center"/>
            <w:hideMark/>
          </w:tcPr>
          <w:p w:rsidR="00F07E05" w:rsidRDefault="00F07E05" w:rsidP="008A253E">
            <w:pPr>
              <w:spacing w:line="276" w:lineRule="auto"/>
              <w:jc w:val="center"/>
              <w:rPr>
                <w:color w:val="000000"/>
                <w:lang w:eastAsia="en-US"/>
              </w:rPr>
            </w:pPr>
            <w:r>
              <w:rPr>
                <w:color w:val="000000"/>
                <w:sz w:val="22"/>
                <w:szCs w:val="22"/>
                <w:lang w:eastAsia="en-US"/>
              </w:rPr>
              <w:t>ООО «Теплоходная компания «Большой МАЯК»</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301-02</w:t>
            </w:r>
          </w:p>
        </w:tc>
        <w:tc>
          <w:tcPr>
            <w:tcW w:w="14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125,0</w:t>
            </w:r>
          </w:p>
        </w:tc>
        <w:tc>
          <w:tcPr>
            <w:tcW w:w="14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Pr="00B330CE" w:rsidRDefault="00F07E05" w:rsidP="008A253E">
            <w:pPr>
              <w:spacing w:line="276" w:lineRule="auto"/>
              <w:jc w:val="center"/>
              <w:rPr>
                <w:b/>
                <w:bCs/>
                <w:color w:val="000000"/>
                <w:sz w:val="22"/>
                <w:szCs w:val="22"/>
                <w:lang w:eastAsia="en-US"/>
              </w:rPr>
            </w:pPr>
            <w:r w:rsidRPr="00B330CE">
              <w:rPr>
                <w:b/>
                <w:bCs/>
                <w:color w:val="000000"/>
                <w:sz w:val="22"/>
                <w:szCs w:val="22"/>
                <w:lang w:eastAsia="en-US"/>
              </w:rPr>
              <w:t>8</w:t>
            </w:r>
          </w:p>
        </w:tc>
        <w:tc>
          <w:tcPr>
            <w:tcW w:w="2195"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F07E05" w:rsidRPr="00E62237" w:rsidRDefault="00F07E05" w:rsidP="008A253E">
            <w:pPr>
              <w:spacing w:line="276" w:lineRule="auto"/>
              <w:jc w:val="center"/>
              <w:rPr>
                <w:color w:val="000000"/>
                <w:lang w:eastAsia="en-US"/>
              </w:rPr>
            </w:pPr>
            <w:r w:rsidRPr="00E62237">
              <w:rPr>
                <w:color w:val="000000"/>
                <w:sz w:val="22"/>
                <w:szCs w:val="22"/>
                <w:lang w:eastAsia="en-US"/>
              </w:rPr>
              <w:t>25.06.21 15.00-23.00 </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Pr="006C5108" w:rsidRDefault="00F07E05" w:rsidP="008A253E">
            <w:pPr>
              <w:spacing w:line="276" w:lineRule="auto"/>
              <w:jc w:val="center"/>
              <w:rPr>
                <w:b/>
                <w:bCs/>
                <w:sz w:val="22"/>
                <w:szCs w:val="22"/>
                <w:lang w:eastAsia="en-US"/>
              </w:rPr>
            </w:pPr>
            <w:r w:rsidRPr="006C5108">
              <w:rPr>
                <w:b/>
                <w:bCs/>
                <w:sz w:val="22"/>
                <w:szCs w:val="22"/>
                <w:lang w:eastAsia="en-US"/>
              </w:rPr>
              <w:t>30 580,00</w:t>
            </w:r>
          </w:p>
        </w:tc>
      </w:tr>
      <w:tr w:rsidR="00F07E05" w:rsidRPr="006C5108" w:rsidTr="008A253E">
        <w:trPr>
          <w:trHeight w:val="330"/>
          <w:jc w:val="center"/>
        </w:trPr>
        <w:tc>
          <w:tcPr>
            <w:tcW w:w="2552" w:type="dxa"/>
            <w:vMerge w:val="restart"/>
            <w:tcBorders>
              <w:top w:val="single" w:sz="4" w:space="0" w:color="auto"/>
              <w:left w:val="single" w:sz="4" w:space="0" w:color="auto"/>
              <w:bottom w:val="single" w:sz="4" w:space="0" w:color="auto"/>
              <w:right w:val="single" w:sz="4" w:space="0" w:color="auto"/>
            </w:tcBorders>
            <w:noWrap/>
            <w:vAlign w:val="center"/>
            <w:hideMark/>
          </w:tcPr>
          <w:p w:rsidR="00F07E05" w:rsidRDefault="00F07E05" w:rsidP="008A253E">
            <w:pPr>
              <w:spacing w:line="276" w:lineRule="auto"/>
              <w:jc w:val="center"/>
              <w:rPr>
                <w:color w:val="000000"/>
                <w:lang w:eastAsia="en-US"/>
              </w:rPr>
            </w:pPr>
            <w:r>
              <w:rPr>
                <w:color w:val="000000"/>
                <w:sz w:val="22"/>
                <w:szCs w:val="22"/>
                <w:lang w:eastAsia="en-US"/>
              </w:rPr>
              <w:t>ООО «Цезарь Трэвел»</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26-37</w:t>
            </w:r>
          </w:p>
        </w:tc>
        <w:tc>
          <w:tcPr>
            <w:tcW w:w="14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96,34 </w:t>
            </w:r>
          </w:p>
        </w:tc>
        <w:tc>
          <w:tcPr>
            <w:tcW w:w="14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5 </w:t>
            </w:r>
          </w:p>
        </w:tc>
        <w:tc>
          <w:tcPr>
            <w:tcW w:w="2195"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F07E05" w:rsidRDefault="00F07E05" w:rsidP="008A253E">
            <w:pPr>
              <w:spacing w:line="276" w:lineRule="auto"/>
              <w:jc w:val="center"/>
              <w:rPr>
                <w:color w:val="000000"/>
                <w:lang w:eastAsia="en-US"/>
              </w:rPr>
            </w:pPr>
            <w:r>
              <w:rPr>
                <w:color w:val="000000"/>
                <w:sz w:val="22"/>
                <w:szCs w:val="22"/>
                <w:lang w:eastAsia="en-US"/>
              </w:rPr>
              <w:t>22.05.21 15.45-20.00 </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07E05" w:rsidRPr="006C5108" w:rsidRDefault="00F07E05" w:rsidP="008A253E">
            <w:pPr>
              <w:spacing w:line="276" w:lineRule="auto"/>
              <w:jc w:val="center"/>
              <w:rPr>
                <w:sz w:val="22"/>
                <w:szCs w:val="22"/>
                <w:lang w:eastAsia="en-US"/>
              </w:rPr>
            </w:pPr>
            <w:r w:rsidRPr="006C5108">
              <w:rPr>
                <w:sz w:val="22"/>
                <w:szCs w:val="22"/>
                <w:lang w:eastAsia="en-US"/>
              </w:rPr>
              <w:t>14 730,39</w:t>
            </w:r>
          </w:p>
        </w:tc>
      </w:tr>
      <w:tr w:rsidR="00F07E05" w:rsidRPr="006C5108" w:rsidTr="008A253E">
        <w:trPr>
          <w:trHeight w:val="3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Default="00F07E05" w:rsidP="008A253E">
            <w:pPr>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26-37</w:t>
            </w:r>
          </w:p>
        </w:tc>
        <w:tc>
          <w:tcPr>
            <w:tcW w:w="14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96,34</w:t>
            </w:r>
          </w:p>
        </w:tc>
        <w:tc>
          <w:tcPr>
            <w:tcW w:w="14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6</w:t>
            </w:r>
          </w:p>
        </w:tc>
        <w:tc>
          <w:tcPr>
            <w:tcW w:w="2195"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F07E05" w:rsidRDefault="00F07E05" w:rsidP="008A253E">
            <w:pPr>
              <w:spacing w:line="276" w:lineRule="auto"/>
              <w:rPr>
                <w:color w:val="000000"/>
                <w:lang w:eastAsia="en-US"/>
              </w:rPr>
            </w:pPr>
            <w:r>
              <w:rPr>
                <w:color w:val="000000"/>
                <w:sz w:val="22"/>
                <w:szCs w:val="22"/>
                <w:lang w:eastAsia="en-US"/>
              </w:rPr>
              <w:t xml:space="preserve">05.06.21 13.00-18.15 </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07E05" w:rsidRPr="006C5108" w:rsidRDefault="00F07E05" w:rsidP="008A253E">
            <w:pPr>
              <w:spacing w:line="276" w:lineRule="auto"/>
              <w:jc w:val="center"/>
              <w:rPr>
                <w:sz w:val="22"/>
                <w:szCs w:val="22"/>
                <w:lang w:eastAsia="en-US"/>
              </w:rPr>
            </w:pPr>
            <w:r w:rsidRPr="006C5108">
              <w:rPr>
                <w:sz w:val="22"/>
                <w:szCs w:val="22"/>
                <w:lang w:eastAsia="en-US"/>
              </w:rPr>
              <w:t xml:space="preserve">17 676,46 </w:t>
            </w:r>
          </w:p>
        </w:tc>
      </w:tr>
      <w:tr w:rsidR="00F07E05" w:rsidRPr="006C5108" w:rsidTr="008A253E">
        <w:trPr>
          <w:trHeight w:val="3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Default="00F07E05" w:rsidP="008A253E">
            <w:pPr>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hideMark/>
          </w:tcPr>
          <w:p w:rsidR="00F07E05" w:rsidRDefault="00F07E05" w:rsidP="008A253E">
            <w:pPr>
              <w:spacing w:line="276" w:lineRule="auto"/>
              <w:jc w:val="center"/>
              <w:rPr>
                <w:color w:val="000000"/>
                <w:lang w:eastAsia="en-US"/>
              </w:rPr>
            </w:pPr>
            <w:r>
              <w:rPr>
                <w:color w:val="000000"/>
                <w:sz w:val="22"/>
                <w:szCs w:val="22"/>
                <w:lang w:eastAsia="en-US"/>
              </w:rPr>
              <w:t>26-37</w:t>
            </w:r>
          </w:p>
        </w:tc>
        <w:tc>
          <w:tcPr>
            <w:tcW w:w="1459" w:type="dxa"/>
            <w:tcBorders>
              <w:top w:val="single" w:sz="4" w:space="0" w:color="auto"/>
              <w:left w:val="single" w:sz="4" w:space="0" w:color="auto"/>
              <w:bottom w:val="single" w:sz="4" w:space="0" w:color="auto"/>
              <w:right w:val="single" w:sz="4" w:space="0" w:color="auto"/>
            </w:tcBorders>
            <w:noWrap/>
            <w:hideMark/>
          </w:tcPr>
          <w:p w:rsidR="00F07E05" w:rsidRDefault="00F07E05" w:rsidP="008A253E">
            <w:pPr>
              <w:spacing w:line="276" w:lineRule="auto"/>
              <w:jc w:val="center"/>
              <w:rPr>
                <w:color w:val="000000"/>
                <w:lang w:eastAsia="en-US"/>
              </w:rPr>
            </w:pPr>
            <w:r>
              <w:rPr>
                <w:color w:val="000000"/>
                <w:sz w:val="22"/>
                <w:szCs w:val="22"/>
                <w:lang w:eastAsia="en-US"/>
              </w:rPr>
              <w:t>96,34</w:t>
            </w:r>
          </w:p>
        </w:tc>
        <w:tc>
          <w:tcPr>
            <w:tcW w:w="14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5</w:t>
            </w:r>
          </w:p>
        </w:tc>
        <w:tc>
          <w:tcPr>
            <w:tcW w:w="2195"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F07E05" w:rsidRDefault="00F07E05" w:rsidP="008A253E">
            <w:pPr>
              <w:spacing w:line="276" w:lineRule="auto"/>
              <w:jc w:val="center"/>
              <w:rPr>
                <w:color w:val="000000"/>
                <w:lang w:eastAsia="en-US"/>
              </w:rPr>
            </w:pPr>
            <w:r>
              <w:rPr>
                <w:color w:val="000000"/>
                <w:sz w:val="22"/>
                <w:szCs w:val="22"/>
                <w:lang w:eastAsia="en-US"/>
              </w:rPr>
              <w:t>23.06.21 13.00-18.00</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07E05" w:rsidRPr="006C5108" w:rsidRDefault="00F07E05" w:rsidP="008A253E">
            <w:pPr>
              <w:spacing w:line="276" w:lineRule="auto"/>
              <w:jc w:val="center"/>
              <w:rPr>
                <w:sz w:val="22"/>
                <w:szCs w:val="22"/>
                <w:lang w:eastAsia="en-US"/>
              </w:rPr>
            </w:pPr>
            <w:r w:rsidRPr="006C5108">
              <w:rPr>
                <w:sz w:val="22"/>
                <w:szCs w:val="22"/>
              </w:rPr>
              <w:t>14 730,39</w:t>
            </w:r>
          </w:p>
        </w:tc>
      </w:tr>
      <w:tr w:rsidR="00F07E05" w:rsidRPr="006C5108" w:rsidTr="008A253E">
        <w:trPr>
          <w:trHeight w:val="3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Default="00F07E05" w:rsidP="008A253E">
            <w:pPr>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hideMark/>
          </w:tcPr>
          <w:p w:rsidR="00F07E05" w:rsidRDefault="00F07E05" w:rsidP="008A253E">
            <w:pPr>
              <w:spacing w:line="276" w:lineRule="auto"/>
              <w:jc w:val="center"/>
              <w:rPr>
                <w:color w:val="000000"/>
                <w:lang w:eastAsia="en-US"/>
              </w:rPr>
            </w:pPr>
            <w:r>
              <w:rPr>
                <w:color w:val="000000"/>
                <w:sz w:val="22"/>
                <w:szCs w:val="22"/>
                <w:lang w:eastAsia="en-US"/>
              </w:rPr>
              <w:t>26-37</w:t>
            </w:r>
          </w:p>
        </w:tc>
        <w:tc>
          <w:tcPr>
            <w:tcW w:w="1459" w:type="dxa"/>
            <w:tcBorders>
              <w:top w:val="single" w:sz="4" w:space="0" w:color="auto"/>
              <w:left w:val="single" w:sz="4" w:space="0" w:color="auto"/>
              <w:bottom w:val="single" w:sz="4" w:space="0" w:color="auto"/>
              <w:right w:val="single" w:sz="4" w:space="0" w:color="auto"/>
            </w:tcBorders>
            <w:noWrap/>
            <w:hideMark/>
          </w:tcPr>
          <w:p w:rsidR="00F07E05" w:rsidRDefault="00F07E05" w:rsidP="008A253E">
            <w:pPr>
              <w:spacing w:line="276" w:lineRule="auto"/>
              <w:jc w:val="center"/>
              <w:rPr>
                <w:color w:val="000000"/>
                <w:lang w:eastAsia="en-US"/>
              </w:rPr>
            </w:pPr>
            <w:r>
              <w:rPr>
                <w:color w:val="000000"/>
                <w:sz w:val="22"/>
                <w:szCs w:val="22"/>
                <w:lang w:eastAsia="en-US"/>
              </w:rPr>
              <w:t>96,34</w:t>
            </w:r>
          </w:p>
        </w:tc>
        <w:tc>
          <w:tcPr>
            <w:tcW w:w="14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4</w:t>
            </w:r>
          </w:p>
        </w:tc>
        <w:tc>
          <w:tcPr>
            <w:tcW w:w="2195"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F07E05" w:rsidRDefault="00F07E05" w:rsidP="008A253E">
            <w:pPr>
              <w:spacing w:line="276" w:lineRule="auto"/>
              <w:jc w:val="center"/>
              <w:rPr>
                <w:color w:val="000000"/>
                <w:lang w:eastAsia="en-US"/>
              </w:rPr>
            </w:pPr>
            <w:r>
              <w:rPr>
                <w:color w:val="000000"/>
                <w:sz w:val="22"/>
                <w:szCs w:val="22"/>
                <w:lang w:eastAsia="en-US"/>
              </w:rPr>
              <w:t>17.07.21 16.00-20.00</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07E05" w:rsidRPr="006C5108" w:rsidRDefault="00F07E05" w:rsidP="008A253E">
            <w:pPr>
              <w:spacing w:line="276" w:lineRule="auto"/>
              <w:jc w:val="center"/>
              <w:rPr>
                <w:sz w:val="22"/>
                <w:szCs w:val="22"/>
                <w:lang w:eastAsia="en-US"/>
              </w:rPr>
            </w:pPr>
            <w:r w:rsidRPr="006C5108">
              <w:rPr>
                <w:sz w:val="22"/>
                <w:szCs w:val="22"/>
              </w:rPr>
              <w:t>11 784,31</w:t>
            </w:r>
          </w:p>
        </w:tc>
      </w:tr>
      <w:tr w:rsidR="00F07E05" w:rsidRPr="006C5108" w:rsidTr="008A253E">
        <w:trPr>
          <w:trHeight w:val="3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Default="00F07E05" w:rsidP="008A253E">
            <w:pPr>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hideMark/>
          </w:tcPr>
          <w:p w:rsidR="00F07E05" w:rsidRDefault="00F07E05" w:rsidP="008A253E">
            <w:pPr>
              <w:spacing w:line="276" w:lineRule="auto"/>
              <w:jc w:val="center"/>
              <w:rPr>
                <w:color w:val="000000"/>
                <w:lang w:eastAsia="en-US"/>
              </w:rPr>
            </w:pPr>
            <w:r>
              <w:rPr>
                <w:color w:val="000000"/>
                <w:sz w:val="22"/>
                <w:szCs w:val="22"/>
                <w:lang w:eastAsia="en-US"/>
              </w:rPr>
              <w:t>26-37</w:t>
            </w:r>
          </w:p>
        </w:tc>
        <w:tc>
          <w:tcPr>
            <w:tcW w:w="1459" w:type="dxa"/>
            <w:tcBorders>
              <w:top w:val="single" w:sz="4" w:space="0" w:color="auto"/>
              <w:left w:val="single" w:sz="4" w:space="0" w:color="auto"/>
              <w:bottom w:val="single" w:sz="4" w:space="0" w:color="auto"/>
              <w:right w:val="single" w:sz="4" w:space="0" w:color="auto"/>
            </w:tcBorders>
            <w:noWrap/>
            <w:hideMark/>
          </w:tcPr>
          <w:p w:rsidR="00F07E05" w:rsidRDefault="00F07E05" w:rsidP="008A253E">
            <w:pPr>
              <w:spacing w:line="276" w:lineRule="auto"/>
              <w:jc w:val="center"/>
              <w:rPr>
                <w:color w:val="000000"/>
                <w:lang w:eastAsia="en-US"/>
              </w:rPr>
            </w:pPr>
            <w:r>
              <w:rPr>
                <w:color w:val="000000"/>
                <w:sz w:val="22"/>
                <w:szCs w:val="22"/>
                <w:lang w:eastAsia="en-US"/>
              </w:rPr>
              <w:t>96,34</w:t>
            </w:r>
          </w:p>
        </w:tc>
        <w:tc>
          <w:tcPr>
            <w:tcW w:w="14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4</w:t>
            </w:r>
          </w:p>
        </w:tc>
        <w:tc>
          <w:tcPr>
            <w:tcW w:w="2195"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F07E05" w:rsidRDefault="00F07E05" w:rsidP="008A253E">
            <w:pPr>
              <w:spacing w:line="276" w:lineRule="auto"/>
              <w:jc w:val="center"/>
              <w:rPr>
                <w:color w:val="000000"/>
                <w:lang w:eastAsia="en-US"/>
              </w:rPr>
            </w:pPr>
            <w:r>
              <w:rPr>
                <w:color w:val="000000"/>
                <w:sz w:val="22"/>
                <w:szCs w:val="22"/>
                <w:lang w:eastAsia="en-US"/>
              </w:rPr>
              <w:t>07.08.21 16.30-20.30</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07E05" w:rsidRPr="006C5108" w:rsidRDefault="00F07E05" w:rsidP="008A253E">
            <w:pPr>
              <w:spacing w:line="276" w:lineRule="auto"/>
              <w:jc w:val="center"/>
              <w:rPr>
                <w:sz w:val="22"/>
                <w:szCs w:val="22"/>
                <w:lang w:eastAsia="en-US"/>
              </w:rPr>
            </w:pPr>
            <w:r w:rsidRPr="006C5108">
              <w:rPr>
                <w:sz w:val="22"/>
                <w:szCs w:val="22"/>
              </w:rPr>
              <w:t>11 784,31</w:t>
            </w:r>
          </w:p>
        </w:tc>
      </w:tr>
      <w:tr w:rsidR="00F07E05" w:rsidRPr="006C5108" w:rsidTr="008A253E">
        <w:trPr>
          <w:trHeight w:val="3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Default="00F07E05" w:rsidP="008A253E">
            <w:pPr>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hideMark/>
          </w:tcPr>
          <w:p w:rsidR="00F07E05" w:rsidRDefault="00F07E05" w:rsidP="008A253E">
            <w:pPr>
              <w:spacing w:line="276" w:lineRule="auto"/>
              <w:jc w:val="center"/>
              <w:rPr>
                <w:color w:val="000000"/>
                <w:lang w:eastAsia="en-US"/>
              </w:rPr>
            </w:pPr>
            <w:r>
              <w:rPr>
                <w:color w:val="000000"/>
                <w:sz w:val="22"/>
                <w:szCs w:val="22"/>
                <w:lang w:eastAsia="en-US"/>
              </w:rPr>
              <w:t>26-37</w:t>
            </w:r>
          </w:p>
        </w:tc>
        <w:tc>
          <w:tcPr>
            <w:tcW w:w="1459" w:type="dxa"/>
            <w:tcBorders>
              <w:top w:val="single" w:sz="4" w:space="0" w:color="auto"/>
              <w:left w:val="single" w:sz="4" w:space="0" w:color="auto"/>
              <w:bottom w:val="single" w:sz="4" w:space="0" w:color="auto"/>
              <w:right w:val="single" w:sz="4" w:space="0" w:color="auto"/>
            </w:tcBorders>
            <w:noWrap/>
            <w:hideMark/>
          </w:tcPr>
          <w:p w:rsidR="00F07E05" w:rsidRDefault="00F07E05" w:rsidP="008A253E">
            <w:pPr>
              <w:spacing w:line="276" w:lineRule="auto"/>
              <w:jc w:val="center"/>
              <w:rPr>
                <w:color w:val="000000"/>
                <w:lang w:eastAsia="en-US"/>
              </w:rPr>
            </w:pPr>
            <w:r>
              <w:rPr>
                <w:color w:val="000000"/>
                <w:sz w:val="22"/>
                <w:szCs w:val="22"/>
                <w:lang w:eastAsia="en-US"/>
              </w:rPr>
              <w:t>96,34</w:t>
            </w:r>
          </w:p>
        </w:tc>
        <w:tc>
          <w:tcPr>
            <w:tcW w:w="14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5</w:t>
            </w:r>
          </w:p>
        </w:tc>
        <w:tc>
          <w:tcPr>
            <w:tcW w:w="2195"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F07E05" w:rsidRDefault="00F07E05" w:rsidP="008A253E">
            <w:pPr>
              <w:spacing w:line="276" w:lineRule="auto"/>
              <w:jc w:val="center"/>
              <w:rPr>
                <w:color w:val="000000"/>
                <w:lang w:eastAsia="en-US"/>
              </w:rPr>
            </w:pPr>
            <w:r>
              <w:rPr>
                <w:color w:val="000000"/>
                <w:sz w:val="22"/>
                <w:szCs w:val="22"/>
                <w:lang w:eastAsia="en-US"/>
              </w:rPr>
              <w:t>14.08.21 15.00-20.00</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07E05" w:rsidRPr="006C5108" w:rsidRDefault="00F07E05" w:rsidP="008A253E">
            <w:pPr>
              <w:spacing w:line="276" w:lineRule="auto"/>
              <w:jc w:val="center"/>
              <w:rPr>
                <w:sz w:val="22"/>
                <w:szCs w:val="22"/>
                <w:lang w:eastAsia="en-US"/>
              </w:rPr>
            </w:pPr>
            <w:r w:rsidRPr="006C5108">
              <w:rPr>
                <w:sz w:val="22"/>
                <w:szCs w:val="22"/>
              </w:rPr>
              <w:t>14 730,39</w:t>
            </w:r>
          </w:p>
        </w:tc>
      </w:tr>
      <w:tr w:rsidR="00F07E05" w:rsidRPr="006C5108" w:rsidTr="008A253E">
        <w:trPr>
          <w:trHeight w:val="3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Default="00F07E05" w:rsidP="008A253E">
            <w:pPr>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hideMark/>
          </w:tcPr>
          <w:p w:rsidR="00F07E05" w:rsidRDefault="00F07E05" w:rsidP="008A253E">
            <w:pPr>
              <w:spacing w:line="276" w:lineRule="auto"/>
              <w:jc w:val="center"/>
              <w:rPr>
                <w:color w:val="000000"/>
                <w:lang w:eastAsia="en-US"/>
              </w:rPr>
            </w:pPr>
            <w:r>
              <w:rPr>
                <w:color w:val="000000"/>
                <w:sz w:val="22"/>
                <w:szCs w:val="22"/>
                <w:lang w:eastAsia="en-US"/>
              </w:rPr>
              <w:t>26-37</w:t>
            </w:r>
          </w:p>
        </w:tc>
        <w:tc>
          <w:tcPr>
            <w:tcW w:w="1459" w:type="dxa"/>
            <w:tcBorders>
              <w:top w:val="single" w:sz="4" w:space="0" w:color="auto"/>
              <w:left w:val="single" w:sz="4" w:space="0" w:color="auto"/>
              <w:bottom w:val="single" w:sz="4" w:space="0" w:color="auto"/>
              <w:right w:val="single" w:sz="4" w:space="0" w:color="auto"/>
            </w:tcBorders>
            <w:noWrap/>
            <w:hideMark/>
          </w:tcPr>
          <w:p w:rsidR="00F07E05" w:rsidRDefault="00F07E05" w:rsidP="008A253E">
            <w:pPr>
              <w:spacing w:line="276" w:lineRule="auto"/>
              <w:jc w:val="center"/>
              <w:rPr>
                <w:color w:val="000000"/>
                <w:lang w:eastAsia="en-US"/>
              </w:rPr>
            </w:pPr>
            <w:r>
              <w:rPr>
                <w:color w:val="000000"/>
                <w:sz w:val="22"/>
                <w:szCs w:val="22"/>
                <w:lang w:eastAsia="en-US"/>
              </w:rPr>
              <w:t>96,34</w:t>
            </w:r>
          </w:p>
        </w:tc>
        <w:tc>
          <w:tcPr>
            <w:tcW w:w="14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5</w:t>
            </w:r>
          </w:p>
        </w:tc>
        <w:tc>
          <w:tcPr>
            <w:tcW w:w="2195"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F07E05" w:rsidRDefault="00F07E05" w:rsidP="008A253E">
            <w:pPr>
              <w:spacing w:line="276" w:lineRule="auto"/>
              <w:jc w:val="center"/>
              <w:rPr>
                <w:color w:val="000000"/>
                <w:lang w:eastAsia="en-US"/>
              </w:rPr>
            </w:pPr>
            <w:r>
              <w:rPr>
                <w:color w:val="000000"/>
                <w:sz w:val="22"/>
                <w:szCs w:val="22"/>
                <w:lang w:eastAsia="en-US"/>
              </w:rPr>
              <w:t>21.08.21 13.00-18.00</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07E05" w:rsidRPr="006C5108" w:rsidRDefault="00F07E05" w:rsidP="008A253E">
            <w:pPr>
              <w:spacing w:line="276" w:lineRule="auto"/>
              <w:jc w:val="center"/>
              <w:rPr>
                <w:sz w:val="22"/>
                <w:szCs w:val="22"/>
                <w:lang w:eastAsia="en-US"/>
              </w:rPr>
            </w:pPr>
            <w:r w:rsidRPr="006C5108">
              <w:rPr>
                <w:sz w:val="22"/>
                <w:szCs w:val="22"/>
              </w:rPr>
              <w:t>14 730,39</w:t>
            </w:r>
          </w:p>
        </w:tc>
      </w:tr>
      <w:tr w:rsidR="00F07E05" w:rsidRPr="006C5108" w:rsidTr="008A253E">
        <w:trPr>
          <w:trHeight w:val="3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Default="00F07E05" w:rsidP="008A253E">
            <w:pPr>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hideMark/>
          </w:tcPr>
          <w:p w:rsidR="00F07E05" w:rsidRDefault="00F07E05" w:rsidP="008A253E">
            <w:pPr>
              <w:spacing w:line="276" w:lineRule="auto"/>
              <w:jc w:val="center"/>
              <w:rPr>
                <w:color w:val="000000"/>
                <w:lang w:eastAsia="en-US"/>
              </w:rPr>
            </w:pPr>
            <w:r>
              <w:rPr>
                <w:color w:val="000000"/>
                <w:sz w:val="22"/>
                <w:szCs w:val="22"/>
                <w:lang w:eastAsia="en-US"/>
              </w:rPr>
              <w:t>26-37</w:t>
            </w:r>
          </w:p>
        </w:tc>
        <w:tc>
          <w:tcPr>
            <w:tcW w:w="1459" w:type="dxa"/>
            <w:tcBorders>
              <w:top w:val="single" w:sz="4" w:space="0" w:color="auto"/>
              <w:left w:val="single" w:sz="4" w:space="0" w:color="auto"/>
              <w:bottom w:val="single" w:sz="4" w:space="0" w:color="auto"/>
              <w:right w:val="single" w:sz="4" w:space="0" w:color="auto"/>
            </w:tcBorders>
            <w:noWrap/>
            <w:hideMark/>
          </w:tcPr>
          <w:p w:rsidR="00F07E05" w:rsidRDefault="00F07E05" w:rsidP="008A253E">
            <w:pPr>
              <w:spacing w:line="276" w:lineRule="auto"/>
              <w:jc w:val="center"/>
              <w:rPr>
                <w:color w:val="000000"/>
                <w:lang w:eastAsia="en-US"/>
              </w:rPr>
            </w:pPr>
            <w:r>
              <w:rPr>
                <w:color w:val="000000"/>
                <w:sz w:val="22"/>
                <w:szCs w:val="22"/>
                <w:lang w:eastAsia="en-US"/>
              </w:rPr>
              <w:t>96,34</w:t>
            </w:r>
          </w:p>
        </w:tc>
        <w:tc>
          <w:tcPr>
            <w:tcW w:w="14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3</w:t>
            </w:r>
          </w:p>
        </w:tc>
        <w:tc>
          <w:tcPr>
            <w:tcW w:w="2195"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F07E05" w:rsidRDefault="00F07E05" w:rsidP="008A253E">
            <w:pPr>
              <w:spacing w:line="276" w:lineRule="auto"/>
              <w:jc w:val="center"/>
              <w:rPr>
                <w:color w:val="000000"/>
                <w:lang w:eastAsia="en-US"/>
              </w:rPr>
            </w:pPr>
            <w:r>
              <w:rPr>
                <w:color w:val="000000"/>
                <w:sz w:val="22"/>
                <w:szCs w:val="22"/>
                <w:lang w:eastAsia="en-US"/>
              </w:rPr>
              <w:t>28.08.21 15.00-18.00</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07E05" w:rsidRPr="006C5108" w:rsidRDefault="00F07E05" w:rsidP="008A253E">
            <w:pPr>
              <w:spacing w:line="276" w:lineRule="auto"/>
              <w:jc w:val="center"/>
              <w:rPr>
                <w:sz w:val="22"/>
                <w:szCs w:val="22"/>
                <w:lang w:eastAsia="en-US"/>
              </w:rPr>
            </w:pPr>
            <w:r w:rsidRPr="006C5108">
              <w:rPr>
                <w:sz w:val="22"/>
                <w:szCs w:val="22"/>
              </w:rPr>
              <w:t>8 838,23</w:t>
            </w:r>
          </w:p>
        </w:tc>
      </w:tr>
      <w:tr w:rsidR="00F07E05" w:rsidRPr="006C5108" w:rsidTr="008A253E">
        <w:trPr>
          <w:trHeight w:val="3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Default="00F07E05" w:rsidP="008A253E">
            <w:pPr>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hideMark/>
          </w:tcPr>
          <w:p w:rsidR="00F07E05" w:rsidRDefault="00F07E05" w:rsidP="008A253E">
            <w:pPr>
              <w:spacing w:line="276" w:lineRule="auto"/>
              <w:jc w:val="center"/>
              <w:rPr>
                <w:color w:val="000000"/>
                <w:lang w:eastAsia="en-US"/>
              </w:rPr>
            </w:pPr>
            <w:r>
              <w:rPr>
                <w:color w:val="000000"/>
                <w:sz w:val="22"/>
                <w:szCs w:val="22"/>
                <w:lang w:eastAsia="en-US"/>
              </w:rPr>
              <w:t>26-37</w:t>
            </w:r>
          </w:p>
        </w:tc>
        <w:tc>
          <w:tcPr>
            <w:tcW w:w="1459" w:type="dxa"/>
            <w:tcBorders>
              <w:top w:val="single" w:sz="4" w:space="0" w:color="auto"/>
              <w:left w:val="single" w:sz="4" w:space="0" w:color="auto"/>
              <w:bottom w:val="single" w:sz="4" w:space="0" w:color="auto"/>
              <w:right w:val="single" w:sz="4" w:space="0" w:color="auto"/>
            </w:tcBorders>
            <w:noWrap/>
            <w:hideMark/>
          </w:tcPr>
          <w:p w:rsidR="00F07E05" w:rsidRDefault="00F07E05" w:rsidP="008A253E">
            <w:pPr>
              <w:spacing w:line="276" w:lineRule="auto"/>
              <w:jc w:val="center"/>
              <w:rPr>
                <w:color w:val="000000"/>
                <w:lang w:eastAsia="en-US"/>
              </w:rPr>
            </w:pPr>
            <w:r>
              <w:rPr>
                <w:color w:val="000000"/>
                <w:sz w:val="22"/>
                <w:szCs w:val="22"/>
                <w:lang w:eastAsia="en-US"/>
              </w:rPr>
              <w:t>96,34</w:t>
            </w:r>
          </w:p>
        </w:tc>
        <w:tc>
          <w:tcPr>
            <w:tcW w:w="14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5</w:t>
            </w:r>
          </w:p>
        </w:tc>
        <w:tc>
          <w:tcPr>
            <w:tcW w:w="2195"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F07E05" w:rsidRDefault="00F07E05" w:rsidP="008A253E">
            <w:pPr>
              <w:spacing w:line="276" w:lineRule="auto"/>
              <w:jc w:val="center"/>
              <w:rPr>
                <w:color w:val="000000"/>
                <w:lang w:eastAsia="en-US"/>
              </w:rPr>
            </w:pPr>
            <w:r>
              <w:rPr>
                <w:color w:val="000000"/>
                <w:sz w:val="22"/>
                <w:szCs w:val="22"/>
                <w:lang w:eastAsia="en-US"/>
              </w:rPr>
              <w:t>04.09.21 13.00-18.00</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07E05" w:rsidRPr="006C5108" w:rsidRDefault="00F07E05" w:rsidP="008A253E">
            <w:pPr>
              <w:spacing w:line="276" w:lineRule="auto"/>
              <w:jc w:val="center"/>
              <w:rPr>
                <w:sz w:val="22"/>
                <w:szCs w:val="22"/>
                <w:lang w:eastAsia="en-US"/>
              </w:rPr>
            </w:pPr>
            <w:r w:rsidRPr="006C5108">
              <w:rPr>
                <w:sz w:val="22"/>
                <w:szCs w:val="22"/>
              </w:rPr>
              <w:t>14 730,39</w:t>
            </w:r>
          </w:p>
        </w:tc>
      </w:tr>
      <w:tr w:rsidR="00F07E05" w:rsidRPr="006C5108" w:rsidTr="008A253E">
        <w:trPr>
          <w:trHeight w:val="3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Default="00F07E05" w:rsidP="008A253E">
            <w:pPr>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hideMark/>
          </w:tcPr>
          <w:p w:rsidR="00F07E05" w:rsidRDefault="00F07E05" w:rsidP="008A253E">
            <w:pPr>
              <w:spacing w:line="276" w:lineRule="auto"/>
              <w:jc w:val="center"/>
              <w:rPr>
                <w:color w:val="000000"/>
                <w:lang w:eastAsia="en-US"/>
              </w:rPr>
            </w:pPr>
            <w:r>
              <w:rPr>
                <w:color w:val="000000"/>
                <w:sz w:val="22"/>
                <w:szCs w:val="22"/>
                <w:lang w:eastAsia="en-US"/>
              </w:rPr>
              <w:t>26-37</w:t>
            </w:r>
          </w:p>
        </w:tc>
        <w:tc>
          <w:tcPr>
            <w:tcW w:w="1459" w:type="dxa"/>
            <w:tcBorders>
              <w:top w:val="single" w:sz="4" w:space="0" w:color="auto"/>
              <w:left w:val="single" w:sz="4" w:space="0" w:color="auto"/>
              <w:bottom w:val="single" w:sz="4" w:space="0" w:color="auto"/>
              <w:right w:val="single" w:sz="4" w:space="0" w:color="auto"/>
            </w:tcBorders>
            <w:noWrap/>
            <w:hideMark/>
          </w:tcPr>
          <w:p w:rsidR="00F07E05" w:rsidRDefault="00F07E05" w:rsidP="008A253E">
            <w:pPr>
              <w:spacing w:line="276" w:lineRule="auto"/>
              <w:jc w:val="center"/>
              <w:rPr>
                <w:color w:val="000000"/>
                <w:lang w:eastAsia="en-US"/>
              </w:rPr>
            </w:pPr>
            <w:r>
              <w:rPr>
                <w:color w:val="000000"/>
                <w:sz w:val="22"/>
                <w:szCs w:val="22"/>
                <w:lang w:eastAsia="en-US"/>
              </w:rPr>
              <w:t>96,34</w:t>
            </w:r>
          </w:p>
        </w:tc>
        <w:tc>
          <w:tcPr>
            <w:tcW w:w="14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4</w:t>
            </w:r>
          </w:p>
        </w:tc>
        <w:tc>
          <w:tcPr>
            <w:tcW w:w="2195"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F07E05" w:rsidRDefault="00F07E05" w:rsidP="008A253E">
            <w:pPr>
              <w:spacing w:line="276" w:lineRule="auto"/>
              <w:jc w:val="center"/>
              <w:rPr>
                <w:color w:val="000000"/>
                <w:lang w:eastAsia="en-US"/>
              </w:rPr>
            </w:pPr>
            <w:r>
              <w:rPr>
                <w:color w:val="000000"/>
                <w:sz w:val="22"/>
                <w:szCs w:val="22"/>
                <w:lang w:eastAsia="en-US"/>
              </w:rPr>
              <w:t>11.09.21 16.30-20.30</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07E05" w:rsidRPr="006C5108" w:rsidRDefault="00F07E05" w:rsidP="008A253E">
            <w:pPr>
              <w:spacing w:line="276" w:lineRule="auto"/>
              <w:jc w:val="center"/>
              <w:rPr>
                <w:sz w:val="22"/>
                <w:szCs w:val="22"/>
                <w:lang w:eastAsia="en-US"/>
              </w:rPr>
            </w:pPr>
            <w:r w:rsidRPr="006C5108">
              <w:rPr>
                <w:sz w:val="22"/>
                <w:szCs w:val="22"/>
              </w:rPr>
              <w:t>11 784,31</w:t>
            </w:r>
          </w:p>
        </w:tc>
      </w:tr>
      <w:tr w:rsidR="00F07E05" w:rsidRPr="006C5108" w:rsidTr="008A253E">
        <w:trPr>
          <w:trHeight w:val="3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Default="00F07E05" w:rsidP="008A253E">
            <w:pPr>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hideMark/>
          </w:tcPr>
          <w:p w:rsidR="00F07E05" w:rsidRDefault="00F07E05" w:rsidP="008A253E">
            <w:pPr>
              <w:spacing w:line="276" w:lineRule="auto"/>
              <w:jc w:val="center"/>
              <w:rPr>
                <w:color w:val="000000"/>
                <w:lang w:eastAsia="en-US"/>
              </w:rPr>
            </w:pPr>
            <w:r>
              <w:rPr>
                <w:color w:val="000000"/>
                <w:sz w:val="22"/>
                <w:szCs w:val="22"/>
                <w:lang w:eastAsia="en-US"/>
              </w:rPr>
              <w:t>26-37</w:t>
            </w:r>
          </w:p>
        </w:tc>
        <w:tc>
          <w:tcPr>
            <w:tcW w:w="1459" w:type="dxa"/>
            <w:tcBorders>
              <w:top w:val="single" w:sz="4" w:space="0" w:color="auto"/>
              <w:left w:val="single" w:sz="4" w:space="0" w:color="auto"/>
              <w:bottom w:val="single" w:sz="4" w:space="0" w:color="auto"/>
              <w:right w:val="single" w:sz="4" w:space="0" w:color="auto"/>
            </w:tcBorders>
            <w:noWrap/>
            <w:hideMark/>
          </w:tcPr>
          <w:p w:rsidR="00F07E05" w:rsidRDefault="00F07E05" w:rsidP="008A253E">
            <w:pPr>
              <w:spacing w:line="276" w:lineRule="auto"/>
              <w:jc w:val="center"/>
              <w:rPr>
                <w:color w:val="000000"/>
                <w:lang w:eastAsia="en-US"/>
              </w:rPr>
            </w:pPr>
            <w:r>
              <w:rPr>
                <w:color w:val="000000"/>
                <w:sz w:val="22"/>
                <w:szCs w:val="22"/>
                <w:lang w:eastAsia="en-US"/>
              </w:rPr>
              <w:t>96,34</w:t>
            </w:r>
          </w:p>
        </w:tc>
        <w:tc>
          <w:tcPr>
            <w:tcW w:w="14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7</w:t>
            </w:r>
          </w:p>
        </w:tc>
        <w:tc>
          <w:tcPr>
            <w:tcW w:w="2195"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F07E05" w:rsidRDefault="00F07E05" w:rsidP="008A253E">
            <w:pPr>
              <w:spacing w:line="276" w:lineRule="auto"/>
              <w:jc w:val="center"/>
              <w:rPr>
                <w:color w:val="000000"/>
                <w:lang w:eastAsia="en-US"/>
              </w:rPr>
            </w:pPr>
            <w:r>
              <w:rPr>
                <w:color w:val="000000"/>
                <w:sz w:val="22"/>
                <w:szCs w:val="22"/>
                <w:lang w:eastAsia="en-US"/>
              </w:rPr>
              <w:t>18.09.21 13.00-20.00</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07E05" w:rsidRPr="006C5108" w:rsidRDefault="00F07E05" w:rsidP="008A253E">
            <w:pPr>
              <w:spacing w:line="276" w:lineRule="auto"/>
              <w:jc w:val="center"/>
              <w:rPr>
                <w:sz w:val="22"/>
                <w:szCs w:val="22"/>
                <w:lang w:eastAsia="en-US"/>
              </w:rPr>
            </w:pPr>
            <w:r w:rsidRPr="006C5108">
              <w:rPr>
                <w:sz w:val="22"/>
                <w:szCs w:val="22"/>
              </w:rPr>
              <w:t>20 622,54</w:t>
            </w:r>
          </w:p>
        </w:tc>
      </w:tr>
      <w:tr w:rsidR="00F07E05" w:rsidRPr="0016398B" w:rsidTr="008A253E">
        <w:trPr>
          <w:trHeight w:val="3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Default="00F07E05" w:rsidP="008A253E">
            <w:pPr>
              <w:spacing w:line="276" w:lineRule="auto"/>
              <w:rPr>
                <w:color w:val="000000"/>
                <w:lang w:eastAsia="en-US"/>
              </w:rPr>
            </w:pPr>
          </w:p>
        </w:tc>
        <w:tc>
          <w:tcPr>
            <w:tcW w:w="3018" w:type="dxa"/>
            <w:gridSpan w:val="2"/>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right"/>
              <w:rPr>
                <w:b/>
                <w:bCs/>
                <w:color w:val="000000"/>
                <w:lang w:eastAsia="en-US"/>
              </w:rPr>
            </w:pPr>
            <w:r>
              <w:rPr>
                <w:b/>
                <w:bCs/>
                <w:color w:val="000000"/>
                <w:sz w:val="22"/>
                <w:szCs w:val="22"/>
                <w:lang w:eastAsia="en-US"/>
              </w:rPr>
              <w:t>ИТОГО:</w:t>
            </w:r>
          </w:p>
        </w:tc>
        <w:tc>
          <w:tcPr>
            <w:tcW w:w="14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Default="00F07E05" w:rsidP="008A253E">
            <w:pPr>
              <w:spacing w:line="276" w:lineRule="auto"/>
              <w:jc w:val="center"/>
              <w:rPr>
                <w:b/>
                <w:bCs/>
                <w:color w:val="000000"/>
                <w:lang w:eastAsia="en-US"/>
              </w:rPr>
            </w:pPr>
            <w:r>
              <w:rPr>
                <w:b/>
                <w:bCs/>
                <w:color w:val="000000"/>
                <w:sz w:val="22"/>
                <w:szCs w:val="22"/>
                <w:lang w:eastAsia="en-US"/>
              </w:rPr>
              <w:t>53</w:t>
            </w:r>
          </w:p>
        </w:tc>
        <w:tc>
          <w:tcPr>
            <w:tcW w:w="2195"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F07E05" w:rsidRDefault="00F07E05" w:rsidP="008A253E">
            <w:pPr>
              <w:spacing w:line="276" w:lineRule="auto"/>
              <w:jc w:val="right"/>
              <w:rPr>
                <w:b/>
                <w:bCs/>
                <w:color w:val="000000"/>
                <w:lang w:eastAsia="en-US"/>
              </w:rPr>
            </w:pPr>
            <w:r>
              <w:rPr>
                <w:b/>
                <w:bCs/>
                <w:color w:val="000000"/>
                <w:sz w:val="22"/>
                <w:szCs w:val="22"/>
                <w:lang w:eastAsia="en-US"/>
              </w:rPr>
              <w:t>ИТОГО:</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Pr="0016398B" w:rsidRDefault="00F07E05" w:rsidP="008A253E">
            <w:pPr>
              <w:spacing w:line="276" w:lineRule="auto"/>
              <w:jc w:val="center"/>
              <w:rPr>
                <w:b/>
                <w:bCs/>
                <w:lang w:eastAsia="en-US"/>
              </w:rPr>
            </w:pPr>
            <w:r>
              <w:rPr>
                <w:b/>
                <w:bCs/>
                <w:sz w:val="22"/>
                <w:szCs w:val="22"/>
                <w:lang w:eastAsia="en-US"/>
              </w:rPr>
              <w:t>156 142,11</w:t>
            </w:r>
          </w:p>
        </w:tc>
      </w:tr>
      <w:tr w:rsidR="00F07E05" w:rsidRPr="006C5108" w:rsidTr="008A253E">
        <w:trPr>
          <w:trHeight w:val="330"/>
          <w:jc w:val="center"/>
        </w:trPr>
        <w:tc>
          <w:tcPr>
            <w:tcW w:w="2552" w:type="dxa"/>
            <w:vMerge w:val="restart"/>
            <w:tcBorders>
              <w:top w:val="single" w:sz="4" w:space="0" w:color="auto"/>
              <w:left w:val="single" w:sz="4" w:space="0" w:color="auto"/>
              <w:bottom w:val="single" w:sz="4" w:space="0" w:color="auto"/>
              <w:right w:val="single" w:sz="4" w:space="0" w:color="auto"/>
            </w:tcBorders>
            <w:noWrap/>
            <w:vAlign w:val="center"/>
            <w:hideMark/>
          </w:tcPr>
          <w:p w:rsidR="00F07E05" w:rsidRDefault="00F07E05" w:rsidP="008A253E">
            <w:pPr>
              <w:spacing w:line="276" w:lineRule="auto"/>
              <w:jc w:val="center"/>
              <w:rPr>
                <w:color w:val="000000"/>
                <w:lang w:eastAsia="en-US"/>
              </w:rPr>
            </w:pPr>
            <w:r>
              <w:rPr>
                <w:color w:val="000000"/>
                <w:sz w:val="22"/>
                <w:szCs w:val="22"/>
                <w:lang w:eastAsia="en-US"/>
              </w:rPr>
              <w:t>ООО «Академфлот»</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26-37</w:t>
            </w:r>
          </w:p>
        </w:tc>
        <w:tc>
          <w:tcPr>
            <w:tcW w:w="14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96,28</w:t>
            </w:r>
          </w:p>
        </w:tc>
        <w:tc>
          <w:tcPr>
            <w:tcW w:w="14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8</w:t>
            </w:r>
          </w:p>
        </w:tc>
        <w:tc>
          <w:tcPr>
            <w:tcW w:w="21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 xml:space="preserve">02.06.21 12.30-20.00  </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07E05" w:rsidRPr="006C5108" w:rsidRDefault="00F07E05" w:rsidP="008A253E">
            <w:pPr>
              <w:spacing w:line="276" w:lineRule="auto"/>
              <w:jc w:val="center"/>
              <w:rPr>
                <w:sz w:val="22"/>
                <w:szCs w:val="22"/>
                <w:lang w:eastAsia="en-US"/>
              </w:rPr>
            </w:pPr>
            <w:r w:rsidRPr="006C5108">
              <w:rPr>
                <w:sz w:val="22"/>
                <w:szCs w:val="22"/>
              </w:rPr>
              <w:t>23 553,94</w:t>
            </w:r>
          </w:p>
        </w:tc>
      </w:tr>
      <w:tr w:rsidR="00F07E05" w:rsidRPr="006C5108" w:rsidTr="008A253E">
        <w:trPr>
          <w:trHeight w:val="3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Default="00F07E05" w:rsidP="008A253E">
            <w:pPr>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val="en-US" w:eastAsia="en-US"/>
              </w:rPr>
            </w:pPr>
            <w:r>
              <w:rPr>
                <w:color w:val="000000"/>
                <w:sz w:val="22"/>
                <w:szCs w:val="22"/>
                <w:lang w:eastAsia="en-US"/>
              </w:rPr>
              <w:t>588-</w:t>
            </w:r>
            <w:r>
              <w:rPr>
                <w:color w:val="000000"/>
                <w:sz w:val="22"/>
                <w:szCs w:val="22"/>
                <w:lang w:val="en-US" w:eastAsia="en-US"/>
              </w:rPr>
              <w:t>III</w:t>
            </w:r>
          </w:p>
        </w:tc>
        <w:tc>
          <w:tcPr>
            <w:tcW w:w="14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95,8</w:t>
            </w:r>
          </w:p>
        </w:tc>
        <w:tc>
          <w:tcPr>
            <w:tcW w:w="14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Default="00F07E05" w:rsidP="008A253E">
            <w:pPr>
              <w:spacing w:line="276" w:lineRule="auto"/>
              <w:jc w:val="center"/>
              <w:rPr>
                <w:color w:val="000000"/>
                <w:lang w:val="en-US" w:eastAsia="en-US"/>
              </w:rPr>
            </w:pPr>
            <w:r>
              <w:rPr>
                <w:color w:val="000000"/>
                <w:lang w:val="en-US" w:eastAsia="en-US"/>
              </w:rPr>
              <w:t>7</w:t>
            </w:r>
          </w:p>
        </w:tc>
        <w:tc>
          <w:tcPr>
            <w:tcW w:w="21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02.07.21 13.00-20.00 </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07E05" w:rsidRPr="006C5108" w:rsidRDefault="00F07E05" w:rsidP="008A253E">
            <w:pPr>
              <w:spacing w:line="276" w:lineRule="auto"/>
              <w:jc w:val="center"/>
              <w:rPr>
                <w:sz w:val="22"/>
                <w:szCs w:val="22"/>
                <w:lang w:eastAsia="en-US"/>
              </w:rPr>
            </w:pPr>
            <w:r w:rsidRPr="006C5108">
              <w:rPr>
                <w:sz w:val="22"/>
                <w:szCs w:val="22"/>
              </w:rPr>
              <w:t>20 506,95</w:t>
            </w:r>
          </w:p>
        </w:tc>
      </w:tr>
      <w:tr w:rsidR="00F07E05" w:rsidRPr="006C5108" w:rsidTr="008A253E">
        <w:trPr>
          <w:trHeight w:val="3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Default="00F07E05" w:rsidP="008A253E">
            <w:pPr>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588</w:t>
            </w:r>
            <w:r>
              <w:rPr>
                <w:color w:val="000000"/>
                <w:sz w:val="22"/>
                <w:szCs w:val="22"/>
                <w:lang w:val="en-US" w:eastAsia="en-US"/>
              </w:rPr>
              <w:t>-III</w:t>
            </w:r>
          </w:p>
        </w:tc>
        <w:tc>
          <w:tcPr>
            <w:tcW w:w="14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95,8</w:t>
            </w:r>
          </w:p>
        </w:tc>
        <w:tc>
          <w:tcPr>
            <w:tcW w:w="14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7</w:t>
            </w:r>
          </w:p>
        </w:tc>
        <w:tc>
          <w:tcPr>
            <w:tcW w:w="21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15.08.21 13.00-20.00</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07E05" w:rsidRPr="006C5108" w:rsidRDefault="00F07E05" w:rsidP="008A253E">
            <w:pPr>
              <w:spacing w:line="276" w:lineRule="auto"/>
              <w:jc w:val="center"/>
              <w:rPr>
                <w:sz w:val="22"/>
                <w:szCs w:val="22"/>
                <w:lang w:eastAsia="en-US"/>
              </w:rPr>
            </w:pPr>
            <w:r w:rsidRPr="006C5108">
              <w:rPr>
                <w:sz w:val="22"/>
                <w:szCs w:val="22"/>
              </w:rPr>
              <w:t>20 506,95</w:t>
            </w:r>
          </w:p>
        </w:tc>
      </w:tr>
      <w:tr w:rsidR="00F07E05" w:rsidRPr="006C5108" w:rsidTr="008A253E">
        <w:trPr>
          <w:trHeight w:val="3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Default="00F07E05" w:rsidP="008A253E">
            <w:pPr>
              <w:spacing w:line="276" w:lineRule="auto"/>
              <w:rPr>
                <w:color w:val="000000"/>
                <w:lang w:eastAsia="en-US"/>
              </w:rPr>
            </w:pPr>
          </w:p>
        </w:tc>
        <w:tc>
          <w:tcPr>
            <w:tcW w:w="3018" w:type="dxa"/>
            <w:gridSpan w:val="2"/>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right"/>
              <w:rPr>
                <w:b/>
                <w:bCs/>
                <w:color w:val="000000"/>
                <w:lang w:eastAsia="en-US"/>
              </w:rPr>
            </w:pPr>
            <w:r>
              <w:rPr>
                <w:b/>
                <w:bCs/>
                <w:color w:val="000000"/>
                <w:sz w:val="22"/>
                <w:szCs w:val="22"/>
                <w:lang w:eastAsia="en-US"/>
              </w:rPr>
              <w:t>ИТОГО:</w:t>
            </w:r>
          </w:p>
        </w:tc>
        <w:tc>
          <w:tcPr>
            <w:tcW w:w="14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Default="00F07E05" w:rsidP="008A253E">
            <w:pPr>
              <w:spacing w:line="276" w:lineRule="auto"/>
              <w:jc w:val="center"/>
              <w:rPr>
                <w:b/>
                <w:bCs/>
                <w:color w:val="000000"/>
                <w:lang w:eastAsia="en-US"/>
              </w:rPr>
            </w:pPr>
            <w:r>
              <w:rPr>
                <w:b/>
                <w:bCs/>
                <w:color w:val="000000"/>
                <w:sz w:val="22"/>
                <w:szCs w:val="22"/>
                <w:lang w:eastAsia="en-US"/>
              </w:rPr>
              <w:t>22</w:t>
            </w:r>
          </w:p>
        </w:tc>
        <w:tc>
          <w:tcPr>
            <w:tcW w:w="21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Default="00F07E05" w:rsidP="008A253E">
            <w:pPr>
              <w:spacing w:line="276" w:lineRule="auto"/>
              <w:jc w:val="right"/>
              <w:rPr>
                <w:b/>
                <w:bCs/>
                <w:color w:val="000000"/>
                <w:lang w:eastAsia="en-US"/>
              </w:rPr>
            </w:pPr>
            <w:r>
              <w:rPr>
                <w:b/>
                <w:bCs/>
                <w:color w:val="000000"/>
                <w:sz w:val="22"/>
                <w:szCs w:val="22"/>
                <w:lang w:eastAsia="en-US"/>
              </w:rPr>
              <w:t>ИТОГО:</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07E05" w:rsidRPr="006C5108" w:rsidRDefault="00F07E05" w:rsidP="008A253E">
            <w:pPr>
              <w:spacing w:line="276" w:lineRule="auto"/>
              <w:jc w:val="center"/>
              <w:rPr>
                <w:b/>
                <w:bCs/>
                <w:sz w:val="22"/>
                <w:szCs w:val="22"/>
                <w:lang w:eastAsia="en-US"/>
              </w:rPr>
            </w:pPr>
            <w:r>
              <w:rPr>
                <w:b/>
                <w:bCs/>
                <w:sz w:val="22"/>
                <w:szCs w:val="22"/>
                <w:lang w:eastAsia="en-US"/>
              </w:rPr>
              <w:t>64 567,84</w:t>
            </w:r>
          </w:p>
        </w:tc>
      </w:tr>
      <w:tr w:rsidR="00F07E05" w:rsidRPr="00431D52" w:rsidTr="008A253E">
        <w:trPr>
          <w:trHeight w:val="330"/>
          <w:jc w:val="center"/>
        </w:trPr>
        <w:tc>
          <w:tcPr>
            <w:tcW w:w="2552" w:type="dxa"/>
            <w:tcBorders>
              <w:top w:val="single" w:sz="4" w:space="0" w:color="auto"/>
              <w:left w:val="single" w:sz="4" w:space="0" w:color="auto"/>
              <w:bottom w:val="single" w:sz="4" w:space="0" w:color="auto"/>
              <w:right w:val="single" w:sz="4" w:space="0" w:color="auto"/>
            </w:tcBorders>
            <w:noWrap/>
            <w:vAlign w:val="center"/>
            <w:hideMark/>
          </w:tcPr>
          <w:p w:rsidR="00F07E05" w:rsidRDefault="00F07E05" w:rsidP="008A253E">
            <w:pPr>
              <w:spacing w:line="276" w:lineRule="auto"/>
              <w:jc w:val="center"/>
              <w:rPr>
                <w:color w:val="000000"/>
                <w:lang w:eastAsia="en-US"/>
              </w:rPr>
            </w:pPr>
            <w:r>
              <w:rPr>
                <w:color w:val="000000"/>
                <w:sz w:val="22"/>
                <w:szCs w:val="22"/>
                <w:lang w:eastAsia="en-US"/>
              </w:rPr>
              <w:t>ООО «Круиз»</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588</w:t>
            </w:r>
          </w:p>
        </w:tc>
        <w:tc>
          <w:tcPr>
            <w:tcW w:w="14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95,8</w:t>
            </w:r>
          </w:p>
        </w:tc>
        <w:tc>
          <w:tcPr>
            <w:tcW w:w="14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Default="00F07E05" w:rsidP="008A253E">
            <w:pPr>
              <w:spacing w:line="276" w:lineRule="auto"/>
              <w:jc w:val="center"/>
              <w:rPr>
                <w:b/>
                <w:bCs/>
                <w:color w:val="000000"/>
                <w:lang w:eastAsia="en-US"/>
              </w:rPr>
            </w:pPr>
            <w:r>
              <w:rPr>
                <w:b/>
                <w:bCs/>
                <w:color w:val="000000"/>
                <w:sz w:val="22"/>
                <w:szCs w:val="22"/>
                <w:lang w:eastAsia="en-US"/>
              </w:rPr>
              <w:t>4</w:t>
            </w:r>
          </w:p>
        </w:tc>
        <w:tc>
          <w:tcPr>
            <w:tcW w:w="21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09.08.21 15.00-19.00</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Pr="00431D52" w:rsidRDefault="00F07E05" w:rsidP="008A253E">
            <w:pPr>
              <w:spacing w:line="276" w:lineRule="auto"/>
              <w:jc w:val="center"/>
              <w:rPr>
                <w:b/>
                <w:bCs/>
                <w:lang w:eastAsia="en-US"/>
              </w:rPr>
            </w:pPr>
            <w:r>
              <w:rPr>
                <w:b/>
                <w:bCs/>
                <w:sz w:val="22"/>
                <w:szCs w:val="22"/>
                <w:lang w:eastAsia="en-US"/>
              </w:rPr>
              <w:t>11 718,26</w:t>
            </w:r>
          </w:p>
        </w:tc>
      </w:tr>
      <w:tr w:rsidR="00F07E05" w:rsidRPr="0014738D" w:rsidTr="008A253E">
        <w:trPr>
          <w:trHeight w:val="330"/>
          <w:jc w:val="center"/>
        </w:trPr>
        <w:tc>
          <w:tcPr>
            <w:tcW w:w="2552" w:type="dxa"/>
            <w:vMerge w:val="restart"/>
            <w:tcBorders>
              <w:top w:val="single" w:sz="4" w:space="0" w:color="auto"/>
              <w:left w:val="single" w:sz="4" w:space="0" w:color="auto"/>
              <w:bottom w:val="single" w:sz="4" w:space="0" w:color="auto"/>
              <w:right w:val="single" w:sz="4" w:space="0" w:color="auto"/>
            </w:tcBorders>
            <w:noWrap/>
            <w:vAlign w:val="center"/>
            <w:hideMark/>
          </w:tcPr>
          <w:p w:rsidR="00F07E05" w:rsidRDefault="00F07E05" w:rsidP="008A253E">
            <w:pPr>
              <w:spacing w:line="276" w:lineRule="auto"/>
              <w:jc w:val="center"/>
              <w:rPr>
                <w:color w:val="000000"/>
                <w:lang w:eastAsia="en-US"/>
              </w:rPr>
            </w:pPr>
            <w:r>
              <w:rPr>
                <w:color w:val="000000"/>
                <w:sz w:val="22"/>
                <w:szCs w:val="22"/>
                <w:lang w:eastAsia="en-US"/>
              </w:rPr>
              <w:t>ООО «Экспресс-Тур»</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26-37</w:t>
            </w:r>
          </w:p>
        </w:tc>
        <w:tc>
          <w:tcPr>
            <w:tcW w:w="14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96,23</w:t>
            </w:r>
          </w:p>
        </w:tc>
        <w:tc>
          <w:tcPr>
            <w:tcW w:w="14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6</w:t>
            </w:r>
          </w:p>
        </w:tc>
        <w:tc>
          <w:tcPr>
            <w:tcW w:w="21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02.05.21 10.00-16.00</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07E05" w:rsidRPr="0014738D" w:rsidRDefault="00F07E05" w:rsidP="008A253E">
            <w:pPr>
              <w:spacing w:line="276" w:lineRule="auto"/>
              <w:jc w:val="center"/>
              <w:rPr>
                <w:sz w:val="22"/>
                <w:szCs w:val="22"/>
                <w:lang w:eastAsia="en-US"/>
              </w:rPr>
            </w:pPr>
            <w:r w:rsidRPr="0014738D">
              <w:rPr>
                <w:sz w:val="22"/>
                <w:szCs w:val="22"/>
              </w:rPr>
              <w:t>17 656,28</w:t>
            </w:r>
          </w:p>
        </w:tc>
      </w:tr>
      <w:tr w:rsidR="00F07E05" w:rsidRPr="0014738D" w:rsidTr="008A253E">
        <w:trPr>
          <w:trHeight w:val="3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Default="00F07E05" w:rsidP="008A253E">
            <w:pPr>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26-37</w:t>
            </w:r>
          </w:p>
        </w:tc>
        <w:tc>
          <w:tcPr>
            <w:tcW w:w="14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96,23</w:t>
            </w:r>
          </w:p>
        </w:tc>
        <w:tc>
          <w:tcPr>
            <w:tcW w:w="14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6</w:t>
            </w:r>
          </w:p>
        </w:tc>
        <w:tc>
          <w:tcPr>
            <w:tcW w:w="21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15.07.21 08.00-14.00</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07E05" w:rsidRPr="0014738D" w:rsidRDefault="00F07E05" w:rsidP="008A253E">
            <w:pPr>
              <w:spacing w:line="276" w:lineRule="auto"/>
              <w:jc w:val="center"/>
              <w:rPr>
                <w:sz w:val="22"/>
                <w:szCs w:val="22"/>
                <w:lang w:eastAsia="en-US"/>
              </w:rPr>
            </w:pPr>
            <w:r w:rsidRPr="0014738D">
              <w:rPr>
                <w:sz w:val="22"/>
                <w:szCs w:val="22"/>
              </w:rPr>
              <w:t>17 656,28</w:t>
            </w:r>
          </w:p>
        </w:tc>
      </w:tr>
      <w:tr w:rsidR="00F07E05" w:rsidRPr="0014738D" w:rsidTr="008A253E">
        <w:trPr>
          <w:trHeight w:val="3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Default="00F07E05" w:rsidP="008A253E">
            <w:pPr>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26-37</w:t>
            </w:r>
          </w:p>
        </w:tc>
        <w:tc>
          <w:tcPr>
            <w:tcW w:w="14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96,23</w:t>
            </w:r>
          </w:p>
        </w:tc>
        <w:tc>
          <w:tcPr>
            <w:tcW w:w="14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 6</w:t>
            </w:r>
          </w:p>
        </w:tc>
        <w:tc>
          <w:tcPr>
            <w:tcW w:w="21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28.08.21 13.00-19.00 </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07E05" w:rsidRPr="0014738D" w:rsidRDefault="00F07E05" w:rsidP="008A253E">
            <w:pPr>
              <w:spacing w:line="276" w:lineRule="auto"/>
              <w:jc w:val="center"/>
              <w:rPr>
                <w:sz w:val="22"/>
                <w:szCs w:val="22"/>
                <w:lang w:eastAsia="en-US"/>
              </w:rPr>
            </w:pPr>
            <w:r w:rsidRPr="0014738D">
              <w:rPr>
                <w:sz w:val="22"/>
                <w:szCs w:val="22"/>
              </w:rPr>
              <w:t>17 656,28</w:t>
            </w:r>
          </w:p>
        </w:tc>
      </w:tr>
      <w:tr w:rsidR="00F07E05" w:rsidRPr="0014738D" w:rsidTr="008A253E">
        <w:trPr>
          <w:trHeight w:val="3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Default="00F07E05" w:rsidP="008A253E">
            <w:pPr>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26-37</w:t>
            </w:r>
          </w:p>
        </w:tc>
        <w:tc>
          <w:tcPr>
            <w:tcW w:w="14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96,23</w:t>
            </w:r>
          </w:p>
        </w:tc>
        <w:tc>
          <w:tcPr>
            <w:tcW w:w="14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7</w:t>
            </w:r>
          </w:p>
        </w:tc>
        <w:tc>
          <w:tcPr>
            <w:tcW w:w="21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16.10.21 12.00-19.00</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07E05" w:rsidRPr="0014738D" w:rsidRDefault="00F07E05" w:rsidP="008A253E">
            <w:pPr>
              <w:spacing w:line="276" w:lineRule="auto"/>
              <w:jc w:val="center"/>
              <w:rPr>
                <w:sz w:val="22"/>
                <w:szCs w:val="22"/>
                <w:lang w:eastAsia="en-US"/>
              </w:rPr>
            </w:pPr>
            <w:r w:rsidRPr="0014738D">
              <w:rPr>
                <w:sz w:val="22"/>
                <w:szCs w:val="22"/>
              </w:rPr>
              <w:t>20 598,99</w:t>
            </w:r>
          </w:p>
        </w:tc>
      </w:tr>
      <w:tr w:rsidR="00F07E05" w:rsidRPr="0014738D" w:rsidTr="008A253E">
        <w:trPr>
          <w:trHeight w:val="3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Default="00F07E05" w:rsidP="008A253E">
            <w:pPr>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РЕКГ.002</w:t>
            </w:r>
          </w:p>
        </w:tc>
        <w:tc>
          <w:tcPr>
            <w:tcW w:w="14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93,32</w:t>
            </w:r>
          </w:p>
        </w:tc>
        <w:tc>
          <w:tcPr>
            <w:tcW w:w="14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8</w:t>
            </w:r>
          </w:p>
        </w:tc>
        <w:tc>
          <w:tcPr>
            <w:tcW w:w="21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02.10.21 15.00-23.00</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07E05" w:rsidRPr="0014738D" w:rsidRDefault="00F07E05" w:rsidP="008A253E">
            <w:pPr>
              <w:spacing w:line="276" w:lineRule="auto"/>
              <w:jc w:val="center"/>
              <w:rPr>
                <w:sz w:val="22"/>
                <w:szCs w:val="22"/>
                <w:lang w:eastAsia="en-US"/>
              </w:rPr>
            </w:pPr>
            <w:r w:rsidRPr="0014738D">
              <w:rPr>
                <w:sz w:val="22"/>
                <w:szCs w:val="22"/>
              </w:rPr>
              <w:t>22 829,80</w:t>
            </w:r>
          </w:p>
        </w:tc>
      </w:tr>
      <w:tr w:rsidR="00F07E05" w:rsidRPr="00431D52" w:rsidTr="008A253E">
        <w:trPr>
          <w:trHeight w:val="3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Default="00F07E05" w:rsidP="008A253E">
            <w:pPr>
              <w:spacing w:line="276" w:lineRule="auto"/>
              <w:rPr>
                <w:color w:val="000000"/>
                <w:lang w:eastAsia="en-US"/>
              </w:rPr>
            </w:pPr>
          </w:p>
        </w:tc>
        <w:tc>
          <w:tcPr>
            <w:tcW w:w="3018" w:type="dxa"/>
            <w:gridSpan w:val="2"/>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right"/>
              <w:rPr>
                <w:color w:val="000000"/>
                <w:lang w:eastAsia="en-US"/>
              </w:rPr>
            </w:pPr>
            <w:r>
              <w:rPr>
                <w:b/>
                <w:bCs/>
                <w:color w:val="000000"/>
                <w:sz w:val="22"/>
                <w:szCs w:val="22"/>
                <w:lang w:eastAsia="en-US"/>
              </w:rPr>
              <w:t>ИТОГО:</w:t>
            </w:r>
          </w:p>
        </w:tc>
        <w:tc>
          <w:tcPr>
            <w:tcW w:w="14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Pr="00B330CE" w:rsidRDefault="00F07E05" w:rsidP="008A253E">
            <w:pPr>
              <w:spacing w:line="276" w:lineRule="auto"/>
              <w:jc w:val="center"/>
              <w:rPr>
                <w:b/>
                <w:bCs/>
                <w:color w:val="000000"/>
                <w:lang w:eastAsia="en-US"/>
              </w:rPr>
            </w:pPr>
            <w:r w:rsidRPr="00B330CE">
              <w:rPr>
                <w:b/>
                <w:bCs/>
                <w:color w:val="000000"/>
                <w:sz w:val="22"/>
                <w:szCs w:val="22"/>
                <w:lang w:eastAsia="en-US"/>
              </w:rPr>
              <w:t>33</w:t>
            </w:r>
          </w:p>
        </w:tc>
        <w:tc>
          <w:tcPr>
            <w:tcW w:w="21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Default="00F07E05" w:rsidP="008A253E">
            <w:pPr>
              <w:spacing w:line="276" w:lineRule="auto"/>
              <w:jc w:val="right"/>
              <w:rPr>
                <w:color w:val="000000"/>
                <w:lang w:eastAsia="en-US"/>
              </w:rPr>
            </w:pPr>
            <w:r>
              <w:rPr>
                <w:b/>
                <w:bCs/>
                <w:color w:val="000000"/>
                <w:sz w:val="22"/>
                <w:szCs w:val="22"/>
                <w:lang w:eastAsia="en-US"/>
              </w:rPr>
              <w:t>ИТОГО:</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Pr="00431D52" w:rsidRDefault="00F07E05" w:rsidP="008A253E">
            <w:pPr>
              <w:spacing w:line="276" w:lineRule="auto"/>
              <w:jc w:val="center"/>
              <w:rPr>
                <w:b/>
                <w:bCs/>
                <w:lang w:eastAsia="en-US"/>
              </w:rPr>
            </w:pPr>
            <w:r>
              <w:rPr>
                <w:b/>
                <w:bCs/>
                <w:sz w:val="22"/>
                <w:szCs w:val="22"/>
                <w:lang w:eastAsia="en-US"/>
              </w:rPr>
              <w:t>96 397,63</w:t>
            </w:r>
          </w:p>
        </w:tc>
      </w:tr>
      <w:tr w:rsidR="00F07E05" w:rsidRPr="0014738D" w:rsidTr="008A253E">
        <w:trPr>
          <w:trHeight w:val="330"/>
          <w:jc w:val="center"/>
        </w:trPr>
        <w:tc>
          <w:tcPr>
            <w:tcW w:w="2552" w:type="dxa"/>
            <w:vMerge w:val="restart"/>
            <w:tcBorders>
              <w:top w:val="single" w:sz="4" w:space="0" w:color="auto"/>
              <w:left w:val="single" w:sz="4" w:space="0" w:color="auto"/>
              <w:bottom w:val="single" w:sz="4" w:space="0" w:color="auto"/>
              <w:right w:val="single" w:sz="4" w:space="0" w:color="auto"/>
            </w:tcBorders>
            <w:noWrap/>
            <w:vAlign w:val="center"/>
            <w:hideMark/>
          </w:tcPr>
          <w:p w:rsidR="00F07E05" w:rsidRDefault="00F07E05" w:rsidP="008A253E">
            <w:pPr>
              <w:spacing w:line="276" w:lineRule="auto"/>
              <w:jc w:val="center"/>
              <w:rPr>
                <w:color w:val="000000"/>
                <w:lang w:eastAsia="en-US"/>
              </w:rPr>
            </w:pPr>
            <w:r>
              <w:rPr>
                <w:color w:val="000000"/>
                <w:sz w:val="22"/>
                <w:szCs w:val="22"/>
                <w:lang w:eastAsia="en-US"/>
              </w:rPr>
              <w:t>ИП Александров Владимир Геннадьевич</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26-37</w:t>
            </w:r>
          </w:p>
        </w:tc>
        <w:tc>
          <w:tcPr>
            <w:tcW w:w="14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 96,32</w:t>
            </w:r>
          </w:p>
        </w:tc>
        <w:tc>
          <w:tcPr>
            <w:tcW w:w="14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Default="00F07E05" w:rsidP="008A253E">
            <w:pPr>
              <w:spacing w:line="276" w:lineRule="auto"/>
              <w:jc w:val="center"/>
              <w:rPr>
                <w:color w:val="000000"/>
                <w:lang w:eastAsia="en-US"/>
              </w:rPr>
            </w:pPr>
            <w:r>
              <w:rPr>
                <w:color w:val="000000"/>
                <w:lang w:eastAsia="en-US"/>
              </w:rPr>
              <w:t>6</w:t>
            </w:r>
          </w:p>
        </w:tc>
        <w:tc>
          <w:tcPr>
            <w:tcW w:w="21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24.07.21 15.30-21.00</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07E05" w:rsidRPr="0014738D" w:rsidRDefault="00F07E05" w:rsidP="008A253E">
            <w:pPr>
              <w:spacing w:line="276" w:lineRule="auto"/>
              <w:jc w:val="center"/>
              <w:rPr>
                <w:sz w:val="22"/>
                <w:szCs w:val="22"/>
                <w:lang w:eastAsia="en-US"/>
              </w:rPr>
            </w:pPr>
            <w:r w:rsidRPr="0014738D">
              <w:rPr>
                <w:sz w:val="22"/>
                <w:szCs w:val="22"/>
              </w:rPr>
              <w:t>17 122,35</w:t>
            </w:r>
          </w:p>
        </w:tc>
      </w:tr>
      <w:tr w:rsidR="00F07E05" w:rsidRPr="0014738D" w:rsidTr="008A253E">
        <w:trPr>
          <w:trHeight w:val="3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Default="00F07E05" w:rsidP="008A253E">
            <w:pPr>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26-37</w:t>
            </w:r>
          </w:p>
        </w:tc>
        <w:tc>
          <w:tcPr>
            <w:tcW w:w="14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96,32</w:t>
            </w:r>
          </w:p>
        </w:tc>
        <w:tc>
          <w:tcPr>
            <w:tcW w:w="14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6</w:t>
            </w:r>
          </w:p>
        </w:tc>
        <w:tc>
          <w:tcPr>
            <w:tcW w:w="21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18.09.21 14.30-20.00 </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07E05" w:rsidRPr="0014738D" w:rsidRDefault="00F07E05" w:rsidP="008A253E">
            <w:pPr>
              <w:spacing w:line="276" w:lineRule="auto"/>
              <w:jc w:val="center"/>
              <w:rPr>
                <w:sz w:val="22"/>
                <w:szCs w:val="22"/>
                <w:lang w:eastAsia="en-US"/>
              </w:rPr>
            </w:pPr>
            <w:r w:rsidRPr="0014738D">
              <w:rPr>
                <w:sz w:val="22"/>
                <w:szCs w:val="22"/>
              </w:rPr>
              <w:t>17 672,79</w:t>
            </w:r>
          </w:p>
        </w:tc>
      </w:tr>
      <w:tr w:rsidR="00F07E05" w:rsidRPr="0014738D" w:rsidTr="008A253E">
        <w:trPr>
          <w:trHeight w:val="3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Default="00F07E05" w:rsidP="008A253E">
            <w:pPr>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26-37</w:t>
            </w:r>
          </w:p>
        </w:tc>
        <w:tc>
          <w:tcPr>
            <w:tcW w:w="14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96,32</w:t>
            </w:r>
          </w:p>
        </w:tc>
        <w:tc>
          <w:tcPr>
            <w:tcW w:w="14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4</w:t>
            </w:r>
          </w:p>
        </w:tc>
        <w:tc>
          <w:tcPr>
            <w:tcW w:w="21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06.10.21 15.00-19.00 </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07E05" w:rsidRPr="0014738D" w:rsidRDefault="00F07E05" w:rsidP="008A253E">
            <w:pPr>
              <w:spacing w:line="276" w:lineRule="auto"/>
              <w:jc w:val="center"/>
              <w:rPr>
                <w:sz w:val="22"/>
                <w:szCs w:val="22"/>
                <w:lang w:eastAsia="en-US"/>
              </w:rPr>
            </w:pPr>
            <w:r w:rsidRPr="0014738D">
              <w:rPr>
                <w:sz w:val="22"/>
                <w:szCs w:val="22"/>
              </w:rPr>
              <w:t>11 781,86</w:t>
            </w:r>
          </w:p>
        </w:tc>
      </w:tr>
      <w:tr w:rsidR="00F07E05" w:rsidRPr="0014738D" w:rsidTr="008A253E">
        <w:trPr>
          <w:trHeight w:val="3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Default="00F07E05" w:rsidP="008A253E">
            <w:pPr>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588</w:t>
            </w:r>
          </w:p>
        </w:tc>
        <w:tc>
          <w:tcPr>
            <w:tcW w:w="14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95,81</w:t>
            </w:r>
          </w:p>
        </w:tc>
        <w:tc>
          <w:tcPr>
            <w:tcW w:w="14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9</w:t>
            </w:r>
          </w:p>
        </w:tc>
        <w:tc>
          <w:tcPr>
            <w:tcW w:w="21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03.07.21 13.00-22.00</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07E05" w:rsidRPr="0014738D" w:rsidRDefault="00F07E05" w:rsidP="008A253E">
            <w:pPr>
              <w:spacing w:line="276" w:lineRule="auto"/>
              <w:jc w:val="center"/>
              <w:rPr>
                <w:sz w:val="22"/>
                <w:szCs w:val="22"/>
                <w:lang w:eastAsia="en-US"/>
              </w:rPr>
            </w:pPr>
            <w:r w:rsidRPr="0014738D">
              <w:rPr>
                <w:sz w:val="22"/>
                <w:szCs w:val="22"/>
              </w:rPr>
              <w:t>26 368,83</w:t>
            </w:r>
          </w:p>
        </w:tc>
      </w:tr>
      <w:tr w:rsidR="00F07E05" w:rsidRPr="0014738D" w:rsidTr="008A253E">
        <w:trPr>
          <w:trHeight w:val="3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Default="00F07E05" w:rsidP="008A253E">
            <w:pPr>
              <w:spacing w:line="276" w:lineRule="auto"/>
              <w:rPr>
                <w:color w:val="000000"/>
                <w:lang w:eastAsia="en-US"/>
              </w:rPr>
            </w:pPr>
          </w:p>
        </w:tc>
        <w:tc>
          <w:tcPr>
            <w:tcW w:w="3018" w:type="dxa"/>
            <w:gridSpan w:val="2"/>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right"/>
              <w:rPr>
                <w:color w:val="000000"/>
                <w:lang w:eastAsia="en-US"/>
              </w:rPr>
            </w:pPr>
            <w:r>
              <w:rPr>
                <w:b/>
                <w:bCs/>
                <w:color w:val="000000"/>
                <w:sz w:val="22"/>
                <w:szCs w:val="22"/>
                <w:lang w:eastAsia="en-US"/>
              </w:rPr>
              <w:t>ИТОГО:</w:t>
            </w:r>
          </w:p>
        </w:tc>
        <w:tc>
          <w:tcPr>
            <w:tcW w:w="14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Pr="00B330CE" w:rsidRDefault="00F07E05" w:rsidP="008A253E">
            <w:pPr>
              <w:spacing w:line="276" w:lineRule="auto"/>
              <w:jc w:val="center"/>
              <w:rPr>
                <w:b/>
                <w:bCs/>
                <w:color w:val="000000"/>
                <w:lang w:eastAsia="en-US"/>
              </w:rPr>
            </w:pPr>
            <w:r w:rsidRPr="00B330CE">
              <w:rPr>
                <w:b/>
                <w:bCs/>
                <w:color w:val="000000"/>
                <w:sz w:val="22"/>
                <w:szCs w:val="22"/>
                <w:lang w:eastAsia="en-US"/>
              </w:rPr>
              <w:t>25</w:t>
            </w:r>
          </w:p>
        </w:tc>
        <w:tc>
          <w:tcPr>
            <w:tcW w:w="21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Default="00F07E05" w:rsidP="008A253E">
            <w:pPr>
              <w:spacing w:line="276" w:lineRule="auto"/>
              <w:jc w:val="right"/>
              <w:rPr>
                <w:color w:val="000000"/>
                <w:lang w:eastAsia="en-US"/>
              </w:rPr>
            </w:pPr>
            <w:r>
              <w:rPr>
                <w:b/>
                <w:bCs/>
                <w:color w:val="000000"/>
                <w:sz w:val="22"/>
                <w:szCs w:val="22"/>
                <w:lang w:eastAsia="en-US"/>
              </w:rPr>
              <w:t>ИТОГО:</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Pr="0014738D" w:rsidRDefault="00F07E05" w:rsidP="008A253E">
            <w:pPr>
              <w:spacing w:line="276" w:lineRule="auto"/>
              <w:jc w:val="center"/>
              <w:rPr>
                <w:b/>
                <w:bCs/>
                <w:sz w:val="22"/>
                <w:szCs w:val="22"/>
                <w:lang w:eastAsia="en-US"/>
              </w:rPr>
            </w:pPr>
            <w:r w:rsidRPr="0014738D">
              <w:rPr>
                <w:b/>
                <w:bCs/>
                <w:sz w:val="22"/>
                <w:szCs w:val="22"/>
                <w:lang w:eastAsia="en-US"/>
              </w:rPr>
              <w:t>72 945,83</w:t>
            </w:r>
          </w:p>
        </w:tc>
      </w:tr>
      <w:tr w:rsidR="00F07E05" w:rsidRPr="00431D52" w:rsidTr="008A253E">
        <w:trPr>
          <w:trHeight w:val="330"/>
          <w:jc w:val="center"/>
        </w:trPr>
        <w:tc>
          <w:tcPr>
            <w:tcW w:w="2552" w:type="dxa"/>
            <w:tcBorders>
              <w:top w:val="single" w:sz="4" w:space="0" w:color="auto"/>
              <w:left w:val="single" w:sz="4" w:space="0" w:color="auto"/>
              <w:bottom w:val="single" w:sz="4" w:space="0" w:color="auto"/>
              <w:right w:val="single" w:sz="4" w:space="0" w:color="auto"/>
            </w:tcBorders>
            <w:noWrap/>
            <w:vAlign w:val="center"/>
            <w:hideMark/>
          </w:tcPr>
          <w:p w:rsidR="00F07E05" w:rsidRDefault="00F07E05" w:rsidP="008A253E">
            <w:pPr>
              <w:spacing w:line="276" w:lineRule="auto"/>
              <w:jc w:val="center"/>
              <w:rPr>
                <w:color w:val="000000"/>
                <w:lang w:eastAsia="en-US"/>
              </w:rPr>
            </w:pPr>
            <w:r>
              <w:rPr>
                <w:color w:val="000000"/>
                <w:sz w:val="22"/>
                <w:szCs w:val="22"/>
                <w:lang w:eastAsia="en-US"/>
              </w:rPr>
              <w:t>ООО «СК «Инфофлот»</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302</w:t>
            </w:r>
          </w:p>
        </w:tc>
        <w:tc>
          <w:tcPr>
            <w:tcW w:w="14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129,1</w:t>
            </w:r>
          </w:p>
        </w:tc>
        <w:tc>
          <w:tcPr>
            <w:tcW w:w="14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Default="00F07E05" w:rsidP="008A253E">
            <w:pPr>
              <w:spacing w:line="276" w:lineRule="auto"/>
              <w:jc w:val="center"/>
              <w:rPr>
                <w:b/>
                <w:bCs/>
                <w:color w:val="000000"/>
                <w:lang w:eastAsia="en-US"/>
              </w:rPr>
            </w:pPr>
            <w:r>
              <w:rPr>
                <w:b/>
                <w:bCs/>
                <w:color w:val="000000"/>
                <w:sz w:val="22"/>
                <w:szCs w:val="22"/>
                <w:lang w:eastAsia="en-US"/>
              </w:rPr>
              <w:t>7</w:t>
            </w:r>
          </w:p>
        </w:tc>
        <w:tc>
          <w:tcPr>
            <w:tcW w:w="21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14.09.21 11.30-18.00</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Pr="00431D52" w:rsidRDefault="00F07E05" w:rsidP="008A253E">
            <w:pPr>
              <w:spacing w:line="276" w:lineRule="auto"/>
              <w:jc w:val="center"/>
              <w:rPr>
                <w:b/>
                <w:bCs/>
                <w:lang w:eastAsia="en-US"/>
              </w:rPr>
            </w:pPr>
            <w:r>
              <w:rPr>
                <w:b/>
                <w:bCs/>
                <w:sz w:val="22"/>
                <w:szCs w:val="22"/>
                <w:lang w:eastAsia="en-US"/>
              </w:rPr>
              <w:t>27 635,15</w:t>
            </w:r>
          </w:p>
        </w:tc>
      </w:tr>
      <w:tr w:rsidR="00F07E05" w:rsidRPr="0014738D" w:rsidTr="008A253E">
        <w:trPr>
          <w:trHeight w:val="330"/>
          <w:jc w:val="center"/>
        </w:trPr>
        <w:tc>
          <w:tcPr>
            <w:tcW w:w="2552" w:type="dxa"/>
            <w:vMerge w:val="restart"/>
            <w:tcBorders>
              <w:top w:val="single" w:sz="4" w:space="0" w:color="auto"/>
              <w:left w:val="single" w:sz="4" w:space="0" w:color="auto"/>
              <w:bottom w:val="single" w:sz="4" w:space="0" w:color="auto"/>
              <w:right w:val="single" w:sz="4" w:space="0" w:color="auto"/>
            </w:tcBorders>
            <w:noWrap/>
            <w:vAlign w:val="center"/>
            <w:hideMark/>
          </w:tcPr>
          <w:p w:rsidR="00F07E05" w:rsidRDefault="00F07E05" w:rsidP="008A253E">
            <w:pPr>
              <w:spacing w:line="276" w:lineRule="auto"/>
              <w:jc w:val="center"/>
              <w:rPr>
                <w:color w:val="000000"/>
                <w:lang w:eastAsia="en-US"/>
              </w:rPr>
            </w:pPr>
            <w:r>
              <w:rPr>
                <w:color w:val="000000"/>
                <w:sz w:val="22"/>
                <w:szCs w:val="22"/>
                <w:lang w:eastAsia="en-US"/>
              </w:rPr>
              <w:t>ООО «СК «Солнечный город»</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588</w:t>
            </w:r>
          </w:p>
        </w:tc>
        <w:tc>
          <w:tcPr>
            <w:tcW w:w="14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95,8</w:t>
            </w:r>
          </w:p>
        </w:tc>
        <w:tc>
          <w:tcPr>
            <w:tcW w:w="14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4</w:t>
            </w:r>
          </w:p>
        </w:tc>
        <w:tc>
          <w:tcPr>
            <w:tcW w:w="21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05.06.21 16.30-20.30 </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07E05" w:rsidRPr="0014738D" w:rsidRDefault="00F07E05" w:rsidP="008A253E">
            <w:pPr>
              <w:spacing w:line="276" w:lineRule="auto"/>
              <w:jc w:val="center"/>
              <w:rPr>
                <w:sz w:val="22"/>
                <w:szCs w:val="22"/>
                <w:lang w:eastAsia="en-US"/>
              </w:rPr>
            </w:pPr>
            <w:r w:rsidRPr="0014738D">
              <w:rPr>
                <w:sz w:val="22"/>
                <w:szCs w:val="22"/>
              </w:rPr>
              <w:t>11 718,26</w:t>
            </w:r>
          </w:p>
        </w:tc>
      </w:tr>
      <w:tr w:rsidR="00F07E05" w:rsidRPr="0014738D" w:rsidTr="008A253E">
        <w:trPr>
          <w:trHeight w:val="3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Default="00F07E05" w:rsidP="008A253E">
            <w:pPr>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588</w:t>
            </w:r>
          </w:p>
        </w:tc>
        <w:tc>
          <w:tcPr>
            <w:tcW w:w="14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95,8</w:t>
            </w:r>
          </w:p>
        </w:tc>
        <w:tc>
          <w:tcPr>
            <w:tcW w:w="14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5</w:t>
            </w:r>
          </w:p>
        </w:tc>
        <w:tc>
          <w:tcPr>
            <w:tcW w:w="21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12.06.21 08.00-13.00 </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07E05" w:rsidRPr="0014738D" w:rsidRDefault="00F07E05" w:rsidP="008A253E">
            <w:pPr>
              <w:spacing w:line="276" w:lineRule="auto"/>
              <w:jc w:val="center"/>
              <w:rPr>
                <w:sz w:val="22"/>
                <w:szCs w:val="22"/>
                <w:lang w:eastAsia="en-US"/>
              </w:rPr>
            </w:pPr>
            <w:r w:rsidRPr="0014738D">
              <w:rPr>
                <w:sz w:val="22"/>
                <w:szCs w:val="22"/>
              </w:rPr>
              <w:t>14 647,82</w:t>
            </w:r>
          </w:p>
        </w:tc>
      </w:tr>
      <w:tr w:rsidR="00F07E05" w:rsidRPr="0014738D" w:rsidTr="008A253E">
        <w:trPr>
          <w:trHeight w:val="3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Default="00F07E05" w:rsidP="008A253E">
            <w:pPr>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588</w:t>
            </w:r>
          </w:p>
        </w:tc>
        <w:tc>
          <w:tcPr>
            <w:tcW w:w="14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95,8</w:t>
            </w:r>
          </w:p>
        </w:tc>
        <w:tc>
          <w:tcPr>
            <w:tcW w:w="14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3</w:t>
            </w:r>
          </w:p>
        </w:tc>
        <w:tc>
          <w:tcPr>
            <w:tcW w:w="21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24.07.21 17.30-20.30</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07E05" w:rsidRPr="0014738D" w:rsidRDefault="00F07E05" w:rsidP="008A253E">
            <w:pPr>
              <w:spacing w:line="276" w:lineRule="auto"/>
              <w:jc w:val="center"/>
              <w:rPr>
                <w:sz w:val="22"/>
                <w:szCs w:val="22"/>
                <w:lang w:eastAsia="en-US"/>
              </w:rPr>
            </w:pPr>
            <w:r w:rsidRPr="0014738D">
              <w:rPr>
                <w:sz w:val="22"/>
                <w:szCs w:val="22"/>
              </w:rPr>
              <w:t>8 788,69</w:t>
            </w:r>
          </w:p>
        </w:tc>
      </w:tr>
      <w:tr w:rsidR="00F07E05" w:rsidRPr="00431D52" w:rsidTr="008A253E">
        <w:trPr>
          <w:trHeight w:val="3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Default="00F07E05" w:rsidP="008A253E">
            <w:pPr>
              <w:spacing w:line="276" w:lineRule="auto"/>
              <w:rPr>
                <w:color w:val="000000"/>
                <w:lang w:eastAsia="en-US"/>
              </w:rPr>
            </w:pPr>
          </w:p>
        </w:tc>
        <w:tc>
          <w:tcPr>
            <w:tcW w:w="3018" w:type="dxa"/>
            <w:gridSpan w:val="2"/>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right"/>
              <w:rPr>
                <w:color w:val="000000"/>
                <w:lang w:eastAsia="en-US"/>
              </w:rPr>
            </w:pPr>
            <w:r>
              <w:rPr>
                <w:b/>
                <w:bCs/>
                <w:color w:val="000000"/>
                <w:sz w:val="22"/>
                <w:szCs w:val="22"/>
                <w:lang w:eastAsia="en-US"/>
              </w:rPr>
              <w:t>ИТОГО:</w:t>
            </w:r>
          </w:p>
        </w:tc>
        <w:tc>
          <w:tcPr>
            <w:tcW w:w="14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Pr="00B330CE" w:rsidRDefault="00F07E05" w:rsidP="008A253E">
            <w:pPr>
              <w:spacing w:line="276" w:lineRule="auto"/>
              <w:jc w:val="center"/>
              <w:rPr>
                <w:b/>
                <w:bCs/>
                <w:color w:val="000000"/>
                <w:lang w:eastAsia="en-US"/>
              </w:rPr>
            </w:pPr>
            <w:r w:rsidRPr="00B330CE">
              <w:rPr>
                <w:b/>
                <w:bCs/>
                <w:color w:val="000000"/>
                <w:sz w:val="22"/>
                <w:szCs w:val="22"/>
                <w:lang w:eastAsia="en-US"/>
              </w:rPr>
              <w:t>12</w:t>
            </w:r>
          </w:p>
        </w:tc>
        <w:tc>
          <w:tcPr>
            <w:tcW w:w="21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Default="00F07E05" w:rsidP="008A253E">
            <w:pPr>
              <w:spacing w:line="276" w:lineRule="auto"/>
              <w:jc w:val="right"/>
              <w:rPr>
                <w:color w:val="000000"/>
                <w:lang w:eastAsia="en-US"/>
              </w:rPr>
            </w:pPr>
            <w:r>
              <w:rPr>
                <w:b/>
                <w:bCs/>
                <w:color w:val="000000"/>
                <w:sz w:val="22"/>
                <w:szCs w:val="22"/>
                <w:lang w:eastAsia="en-US"/>
              </w:rPr>
              <w:t>ИТОГО:</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Pr="00431D52" w:rsidRDefault="00F07E05" w:rsidP="008A253E">
            <w:pPr>
              <w:spacing w:line="276" w:lineRule="auto"/>
              <w:jc w:val="center"/>
              <w:rPr>
                <w:lang w:eastAsia="en-US"/>
              </w:rPr>
            </w:pPr>
            <w:r>
              <w:rPr>
                <w:b/>
                <w:bCs/>
                <w:sz w:val="22"/>
                <w:szCs w:val="22"/>
                <w:lang w:eastAsia="en-US"/>
              </w:rPr>
              <w:t>35 154,77</w:t>
            </w:r>
          </w:p>
        </w:tc>
      </w:tr>
      <w:tr w:rsidR="00F07E05" w:rsidRPr="0014738D" w:rsidTr="008A253E">
        <w:trPr>
          <w:trHeight w:val="330"/>
          <w:jc w:val="center"/>
        </w:trPr>
        <w:tc>
          <w:tcPr>
            <w:tcW w:w="2552" w:type="dxa"/>
            <w:vMerge w:val="restart"/>
            <w:tcBorders>
              <w:top w:val="single" w:sz="4" w:space="0" w:color="auto"/>
              <w:left w:val="single" w:sz="4" w:space="0" w:color="auto"/>
              <w:bottom w:val="single" w:sz="4" w:space="0" w:color="auto"/>
              <w:right w:val="single" w:sz="4" w:space="0" w:color="auto"/>
            </w:tcBorders>
            <w:noWrap/>
            <w:vAlign w:val="center"/>
            <w:hideMark/>
          </w:tcPr>
          <w:p w:rsidR="00F07E05" w:rsidRDefault="00F07E05" w:rsidP="008A253E">
            <w:pPr>
              <w:spacing w:line="276" w:lineRule="auto"/>
              <w:jc w:val="center"/>
              <w:rPr>
                <w:color w:val="000000"/>
                <w:lang w:eastAsia="en-US"/>
              </w:rPr>
            </w:pPr>
            <w:r>
              <w:rPr>
                <w:color w:val="000000"/>
                <w:sz w:val="22"/>
                <w:szCs w:val="22"/>
                <w:lang w:eastAsia="en-US"/>
              </w:rPr>
              <w:t>ООО «СК «Созвездие»</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26-37</w:t>
            </w:r>
          </w:p>
        </w:tc>
        <w:tc>
          <w:tcPr>
            <w:tcW w:w="14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 96,18</w:t>
            </w:r>
          </w:p>
        </w:tc>
        <w:tc>
          <w:tcPr>
            <w:tcW w:w="14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8</w:t>
            </w:r>
          </w:p>
        </w:tc>
        <w:tc>
          <w:tcPr>
            <w:tcW w:w="21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04.05.21 13.40-21.00 </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07E05" w:rsidRPr="0014738D" w:rsidRDefault="00F07E05" w:rsidP="008A253E">
            <w:pPr>
              <w:spacing w:line="276" w:lineRule="auto"/>
              <w:jc w:val="center"/>
              <w:rPr>
                <w:color w:val="FF0000"/>
                <w:sz w:val="22"/>
                <w:szCs w:val="22"/>
                <w:lang w:eastAsia="en-US"/>
              </w:rPr>
            </w:pPr>
            <w:r w:rsidRPr="0014738D">
              <w:rPr>
                <w:sz w:val="22"/>
                <w:szCs w:val="22"/>
              </w:rPr>
              <w:t>23 529,48</w:t>
            </w:r>
          </w:p>
        </w:tc>
      </w:tr>
      <w:tr w:rsidR="00F07E05" w:rsidRPr="0014738D" w:rsidTr="008A253E">
        <w:trPr>
          <w:trHeight w:val="3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Default="00F07E05" w:rsidP="008A253E">
            <w:pPr>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26-37</w:t>
            </w:r>
          </w:p>
        </w:tc>
        <w:tc>
          <w:tcPr>
            <w:tcW w:w="14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 96,18</w:t>
            </w:r>
          </w:p>
        </w:tc>
        <w:tc>
          <w:tcPr>
            <w:tcW w:w="14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6</w:t>
            </w:r>
          </w:p>
        </w:tc>
        <w:tc>
          <w:tcPr>
            <w:tcW w:w="21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29.05.21 16.00-20.30</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07E05" w:rsidRPr="0014738D" w:rsidRDefault="00F07E05" w:rsidP="008A253E">
            <w:pPr>
              <w:spacing w:line="276" w:lineRule="auto"/>
              <w:jc w:val="center"/>
              <w:rPr>
                <w:color w:val="FF0000"/>
                <w:sz w:val="22"/>
                <w:szCs w:val="22"/>
                <w:lang w:eastAsia="en-US"/>
              </w:rPr>
            </w:pPr>
            <w:r w:rsidRPr="0014738D">
              <w:rPr>
                <w:sz w:val="22"/>
                <w:szCs w:val="22"/>
              </w:rPr>
              <w:t>17 647,11</w:t>
            </w:r>
          </w:p>
        </w:tc>
      </w:tr>
      <w:tr w:rsidR="00F07E05" w:rsidRPr="0014738D" w:rsidTr="008A253E">
        <w:trPr>
          <w:trHeight w:val="3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Default="00F07E05" w:rsidP="008A253E">
            <w:pPr>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26-37</w:t>
            </w:r>
          </w:p>
        </w:tc>
        <w:tc>
          <w:tcPr>
            <w:tcW w:w="1459" w:type="dxa"/>
            <w:tcBorders>
              <w:top w:val="single" w:sz="4" w:space="0" w:color="auto"/>
              <w:left w:val="single" w:sz="4" w:space="0" w:color="auto"/>
              <w:bottom w:val="single" w:sz="4" w:space="0" w:color="auto"/>
              <w:right w:val="single" w:sz="4" w:space="0" w:color="auto"/>
            </w:tcBorders>
            <w:noWrap/>
            <w:hideMark/>
          </w:tcPr>
          <w:p w:rsidR="00F07E05" w:rsidRDefault="00F07E05" w:rsidP="008A253E">
            <w:pPr>
              <w:spacing w:line="276" w:lineRule="auto"/>
              <w:jc w:val="center"/>
              <w:rPr>
                <w:color w:val="000000"/>
                <w:lang w:eastAsia="en-US"/>
              </w:rPr>
            </w:pPr>
            <w:r>
              <w:rPr>
                <w:color w:val="000000"/>
                <w:sz w:val="22"/>
                <w:szCs w:val="22"/>
                <w:lang w:eastAsia="en-US"/>
              </w:rPr>
              <w:t>96,18</w:t>
            </w:r>
          </w:p>
        </w:tc>
        <w:tc>
          <w:tcPr>
            <w:tcW w:w="14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5</w:t>
            </w:r>
          </w:p>
        </w:tc>
        <w:tc>
          <w:tcPr>
            <w:tcW w:w="21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12.06.21 15.30-20.00 </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07E05" w:rsidRPr="0014738D" w:rsidRDefault="00F07E05" w:rsidP="008A253E">
            <w:pPr>
              <w:spacing w:line="276" w:lineRule="auto"/>
              <w:jc w:val="center"/>
              <w:rPr>
                <w:color w:val="FF0000"/>
                <w:sz w:val="22"/>
                <w:szCs w:val="22"/>
                <w:lang w:eastAsia="en-US"/>
              </w:rPr>
            </w:pPr>
            <w:r w:rsidRPr="0014738D">
              <w:rPr>
                <w:sz w:val="22"/>
                <w:szCs w:val="22"/>
              </w:rPr>
              <w:t>14 705,92</w:t>
            </w:r>
          </w:p>
        </w:tc>
      </w:tr>
      <w:tr w:rsidR="00F07E05" w:rsidRPr="0014738D" w:rsidTr="008A253E">
        <w:trPr>
          <w:trHeight w:val="3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Default="00F07E05" w:rsidP="008A253E">
            <w:pPr>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26-37</w:t>
            </w:r>
          </w:p>
        </w:tc>
        <w:tc>
          <w:tcPr>
            <w:tcW w:w="1459" w:type="dxa"/>
            <w:tcBorders>
              <w:top w:val="single" w:sz="4" w:space="0" w:color="auto"/>
              <w:left w:val="single" w:sz="4" w:space="0" w:color="auto"/>
              <w:bottom w:val="single" w:sz="4" w:space="0" w:color="auto"/>
              <w:right w:val="single" w:sz="4" w:space="0" w:color="auto"/>
            </w:tcBorders>
            <w:noWrap/>
            <w:hideMark/>
          </w:tcPr>
          <w:p w:rsidR="00F07E05" w:rsidRDefault="00F07E05" w:rsidP="008A253E">
            <w:pPr>
              <w:spacing w:line="276" w:lineRule="auto"/>
              <w:jc w:val="center"/>
              <w:rPr>
                <w:color w:val="000000"/>
                <w:lang w:eastAsia="en-US"/>
              </w:rPr>
            </w:pPr>
            <w:r>
              <w:rPr>
                <w:color w:val="000000"/>
                <w:sz w:val="22"/>
                <w:szCs w:val="22"/>
                <w:lang w:eastAsia="en-US"/>
              </w:rPr>
              <w:t>96,18</w:t>
            </w:r>
          </w:p>
        </w:tc>
        <w:tc>
          <w:tcPr>
            <w:tcW w:w="14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Default="00F07E05" w:rsidP="008A253E">
            <w:pPr>
              <w:spacing w:line="276" w:lineRule="auto"/>
              <w:jc w:val="center"/>
              <w:rPr>
                <w:color w:val="000000"/>
                <w:lang w:eastAsia="en-US"/>
              </w:rPr>
            </w:pPr>
            <w:r>
              <w:rPr>
                <w:color w:val="000000"/>
                <w:lang w:eastAsia="en-US"/>
              </w:rPr>
              <w:t>5</w:t>
            </w:r>
          </w:p>
        </w:tc>
        <w:tc>
          <w:tcPr>
            <w:tcW w:w="21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14.08.21 16.00-20.30 </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07E05" w:rsidRPr="0014738D" w:rsidRDefault="00F07E05" w:rsidP="008A253E">
            <w:pPr>
              <w:spacing w:line="276" w:lineRule="auto"/>
              <w:jc w:val="center"/>
              <w:rPr>
                <w:color w:val="FF0000"/>
                <w:sz w:val="22"/>
                <w:szCs w:val="22"/>
                <w:lang w:eastAsia="en-US"/>
              </w:rPr>
            </w:pPr>
            <w:r w:rsidRPr="0014738D">
              <w:rPr>
                <w:sz w:val="22"/>
                <w:szCs w:val="22"/>
              </w:rPr>
              <w:t>14 705,92</w:t>
            </w:r>
          </w:p>
        </w:tc>
      </w:tr>
      <w:tr w:rsidR="00F07E05" w:rsidRPr="0014738D" w:rsidTr="008A253E">
        <w:trPr>
          <w:trHeight w:val="3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Default="00F07E05" w:rsidP="008A253E">
            <w:pPr>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26-37</w:t>
            </w:r>
          </w:p>
        </w:tc>
        <w:tc>
          <w:tcPr>
            <w:tcW w:w="1459" w:type="dxa"/>
            <w:tcBorders>
              <w:top w:val="single" w:sz="4" w:space="0" w:color="auto"/>
              <w:left w:val="single" w:sz="4" w:space="0" w:color="auto"/>
              <w:bottom w:val="single" w:sz="4" w:space="0" w:color="auto"/>
              <w:right w:val="single" w:sz="4" w:space="0" w:color="auto"/>
            </w:tcBorders>
            <w:noWrap/>
            <w:hideMark/>
          </w:tcPr>
          <w:p w:rsidR="00F07E05" w:rsidRDefault="00F07E05" w:rsidP="008A253E">
            <w:pPr>
              <w:spacing w:line="276" w:lineRule="auto"/>
              <w:jc w:val="center"/>
              <w:rPr>
                <w:color w:val="000000"/>
                <w:lang w:eastAsia="en-US"/>
              </w:rPr>
            </w:pPr>
            <w:r>
              <w:rPr>
                <w:color w:val="000000"/>
                <w:sz w:val="22"/>
                <w:szCs w:val="22"/>
                <w:lang w:eastAsia="en-US"/>
              </w:rPr>
              <w:t>96,18</w:t>
            </w:r>
          </w:p>
        </w:tc>
        <w:tc>
          <w:tcPr>
            <w:tcW w:w="14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Default="00F07E05" w:rsidP="008A253E">
            <w:pPr>
              <w:spacing w:line="276" w:lineRule="auto"/>
              <w:jc w:val="center"/>
              <w:rPr>
                <w:color w:val="000000"/>
                <w:lang w:eastAsia="en-US"/>
              </w:rPr>
            </w:pPr>
            <w:r>
              <w:rPr>
                <w:color w:val="000000"/>
                <w:lang w:eastAsia="en-US"/>
              </w:rPr>
              <w:t>6</w:t>
            </w:r>
          </w:p>
        </w:tc>
        <w:tc>
          <w:tcPr>
            <w:tcW w:w="21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26.08.21 09.00-15.00</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07E05" w:rsidRPr="0014738D" w:rsidRDefault="00F07E05" w:rsidP="008A253E">
            <w:pPr>
              <w:spacing w:line="276" w:lineRule="auto"/>
              <w:jc w:val="center"/>
              <w:rPr>
                <w:color w:val="FF0000"/>
                <w:sz w:val="22"/>
                <w:szCs w:val="22"/>
                <w:lang w:eastAsia="en-US"/>
              </w:rPr>
            </w:pPr>
            <w:r w:rsidRPr="0014738D">
              <w:rPr>
                <w:sz w:val="22"/>
                <w:szCs w:val="22"/>
              </w:rPr>
              <w:t>17 647,11</w:t>
            </w:r>
          </w:p>
        </w:tc>
      </w:tr>
      <w:tr w:rsidR="00F07E05" w:rsidRPr="0014738D" w:rsidTr="008A253E">
        <w:trPr>
          <w:trHeight w:val="3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Default="00F07E05" w:rsidP="008A253E">
            <w:pPr>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26-37</w:t>
            </w:r>
          </w:p>
        </w:tc>
        <w:tc>
          <w:tcPr>
            <w:tcW w:w="14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96,18</w:t>
            </w:r>
          </w:p>
        </w:tc>
        <w:tc>
          <w:tcPr>
            <w:tcW w:w="14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5</w:t>
            </w:r>
          </w:p>
        </w:tc>
        <w:tc>
          <w:tcPr>
            <w:tcW w:w="21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17.07.21 16.00-20.30</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07E05" w:rsidRPr="0014738D" w:rsidRDefault="00F07E05" w:rsidP="008A253E">
            <w:pPr>
              <w:spacing w:line="276" w:lineRule="auto"/>
              <w:jc w:val="center"/>
              <w:rPr>
                <w:color w:val="FF0000"/>
                <w:sz w:val="22"/>
                <w:szCs w:val="22"/>
                <w:lang w:eastAsia="en-US"/>
              </w:rPr>
            </w:pPr>
            <w:r w:rsidRPr="0014738D">
              <w:rPr>
                <w:sz w:val="22"/>
                <w:szCs w:val="22"/>
              </w:rPr>
              <w:t>14 705,92</w:t>
            </w:r>
          </w:p>
        </w:tc>
      </w:tr>
      <w:tr w:rsidR="00F07E05" w:rsidRPr="0014738D" w:rsidTr="008A253E">
        <w:trPr>
          <w:trHeight w:val="3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Default="00F07E05" w:rsidP="008A253E">
            <w:pPr>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302</w:t>
            </w:r>
          </w:p>
        </w:tc>
        <w:tc>
          <w:tcPr>
            <w:tcW w:w="14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129,15</w:t>
            </w:r>
          </w:p>
        </w:tc>
        <w:tc>
          <w:tcPr>
            <w:tcW w:w="14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7</w:t>
            </w:r>
          </w:p>
        </w:tc>
        <w:tc>
          <w:tcPr>
            <w:tcW w:w="21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22.05.21 15.10-22.00</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07E05" w:rsidRPr="0014738D" w:rsidRDefault="00F07E05" w:rsidP="008A253E">
            <w:pPr>
              <w:spacing w:line="276" w:lineRule="auto"/>
              <w:jc w:val="center"/>
              <w:rPr>
                <w:color w:val="FF0000"/>
                <w:sz w:val="22"/>
                <w:szCs w:val="22"/>
                <w:lang w:eastAsia="en-US"/>
              </w:rPr>
            </w:pPr>
            <w:r w:rsidRPr="0014738D">
              <w:rPr>
                <w:sz w:val="22"/>
                <w:szCs w:val="22"/>
              </w:rPr>
              <w:t>27 645,85</w:t>
            </w:r>
          </w:p>
        </w:tc>
      </w:tr>
      <w:tr w:rsidR="00F07E05" w:rsidRPr="0014738D" w:rsidTr="008A253E">
        <w:trPr>
          <w:trHeight w:val="3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Default="00F07E05" w:rsidP="008A253E">
            <w:pPr>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hideMark/>
          </w:tcPr>
          <w:p w:rsidR="00F07E05" w:rsidRDefault="00F07E05" w:rsidP="008A253E">
            <w:pPr>
              <w:spacing w:line="276" w:lineRule="auto"/>
              <w:jc w:val="center"/>
              <w:rPr>
                <w:color w:val="000000"/>
                <w:lang w:eastAsia="en-US"/>
              </w:rPr>
            </w:pPr>
            <w:r>
              <w:rPr>
                <w:color w:val="000000"/>
                <w:sz w:val="22"/>
                <w:szCs w:val="22"/>
                <w:lang w:eastAsia="en-US"/>
              </w:rPr>
              <w:t>302</w:t>
            </w:r>
          </w:p>
        </w:tc>
        <w:tc>
          <w:tcPr>
            <w:tcW w:w="1459" w:type="dxa"/>
            <w:tcBorders>
              <w:top w:val="single" w:sz="4" w:space="0" w:color="auto"/>
              <w:left w:val="single" w:sz="4" w:space="0" w:color="auto"/>
              <w:bottom w:val="single" w:sz="4" w:space="0" w:color="auto"/>
              <w:right w:val="single" w:sz="4" w:space="0" w:color="auto"/>
            </w:tcBorders>
            <w:noWrap/>
            <w:hideMark/>
          </w:tcPr>
          <w:p w:rsidR="00F07E05" w:rsidRDefault="00F07E05" w:rsidP="008A253E">
            <w:pPr>
              <w:spacing w:line="276" w:lineRule="auto"/>
              <w:jc w:val="center"/>
              <w:rPr>
                <w:color w:val="000000"/>
                <w:lang w:eastAsia="en-US"/>
              </w:rPr>
            </w:pPr>
            <w:r>
              <w:rPr>
                <w:color w:val="000000"/>
                <w:sz w:val="22"/>
                <w:szCs w:val="22"/>
                <w:lang w:eastAsia="en-US"/>
              </w:rPr>
              <w:t>129,15</w:t>
            </w:r>
          </w:p>
        </w:tc>
        <w:tc>
          <w:tcPr>
            <w:tcW w:w="14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3</w:t>
            </w:r>
          </w:p>
        </w:tc>
        <w:tc>
          <w:tcPr>
            <w:tcW w:w="21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 xml:space="preserve">26.06.21 17.30-20.30 </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07E05" w:rsidRPr="0014738D" w:rsidRDefault="00F07E05" w:rsidP="008A253E">
            <w:pPr>
              <w:spacing w:line="276" w:lineRule="auto"/>
              <w:jc w:val="center"/>
              <w:rPr>
                <w:color w:val="FF0000"/>
                <w:sz w:val="22"/>
                <w:szCs w:val="22"/>
                <w:lang w:eastAsia="en-US"/>
              </w:rPr>
            </w:pPr>
            <w:r w:rsidRPr="0014738D">
              <w:rPr>
                <w:sz w:val="22"/>
                <w:szCs w:val="22"/>
              </w:rPr>
              <w:t>11 848,22</w:t>
            </w:r>
          </w:p>
        </w:tc>
      </w:tr>
      <w:tr w:rsidR="00F07E05" w:rsidRPr="0014738D" w:rsidTr="008A253E">
        <w:trPr>
          <w:trHeight w:val="3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Default="00F07E05" w:rsidP="008A253E">
            <w:pPr>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hideMark/>
          </w:tcPr>
          <w:p w:rsidR="00F07E05" w:rsidRDefault="00F07E05" w:rsidP="008A253E">
            <w:pPr>
              <w:spacing w:line="276" w:lineRule="auto"/>
              <w:jc w:val="center"/>
              <w:rPr>
                <w:color w:val="000000"/>
                <w:lang w:eastAsia="en-US"/>
              </w:rPr>
            </w:pPr>
            <w:r>
              <w:rPr>
                <w:color w:val="000000"/>
                <w:sz w:val="22"/>
                <w:szCs w:val="22"/>
                <w:lang w:eastAsia="en-US"/>
              </w:rPr>
              <w:t>302</w:t>
            </w:r>
          </w:p>
        </w:tc>
        <w:tc>
          <w:tcPr>
            <w:tcW w:w="1459" w:type="dxa"/>
            <w:tcBorders>
              <w:top w:val="single" w:sz="4" w:space="0" w:color="auto"/>
              <w:left w:val="single" w:sz="4" w:space="0" w:color="auto"/>
              <w:bottom w:val="single" w:sz="4" w:space="0" w:color="auto"/>
              <w:right w:val="single" w:sz="4" w:space="0" w:color="auto"/>
            </w:tcBorders>
            <w:noWrap/>
            <w:hideMark/>
          </w:tcPr>
          <w:p w:rsidR="00F07E05" w:rsidRDefault="00F07E05" w:rsidP="008A253E">
            <w:pPr>
              <w:spacing w:line="276" w:lineRule="auto"/>
              <w:jc w:val="center"/>
              <w:rPr>
                <w:color w:val="000000"/>
                <w:lang w:eastAsia="en-US"/>
              </w:rPr>
            </w:pPr>
            <w:r>
              <w:rPr>
                <w:color w:val="000000"/>
                <w:sz w:val="22"/>
                <w:szCs w:val="22"/>
                <w:lang w:eastAsia="en-US"/>
              </w:rPr>
              <w:t>129,15</w:t>
            </w:r>
          </w:p>
        </w:tc>
        <w:tc>
          <w:tcPr>
            <w:tcW w:w="14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5</w:t>
            </w:r>
          </w:p>
        </w:tc>
        <w:tc>
          <w:tcPr>
            <w:tcW w:w="21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10.07.21 16.00-20.30</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07E05" w:rsidRPr="0014738D" w:rsidRDefault="00F07E05" w:rsidP="008A253E">
            <w:pPr>
              <w:spacing w:line="276" w:lineRule="auto"/>
              <w:jc w:val="center"/>
              <w:rPr>
                <w:color w:val="FF0000"/>
                <w:sz w:val="22"/>
                <w:szCs w:val="22"/>
                <w:lang w:eastAsia="en-US"/>
              </w:rPr>
            </w:pPr>
            <w:r w:rsidRPr="0014738D">
              <w:rPr>
                <w:sz w:val="22"/>
                <w:szCs w:val="22"/>
              </w:rPr>
              <w:t>19 747,04</w:t>
            </w:r>
          </w:p>
        </w:tc>
      </w:tr>
      <w:tr w:rsidR="00F07E05" w:rsidRPr="0014738D" w:rsidTr="008A253E">
        <w:trPr>
          <w:trHeight w:val="3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Default="00F07E05" w:rsidP="008A253E">
            <w:pPr>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hideMark/>
          </w:tcPr>
          <w:p w:rsidR="00F07E05" w:rsidRDefault="00F07E05" w:rsidP="008A253E">
            <w:pPr>
              <w:spacing w:line="276" w:lineRule="auto"/>
              <w:jc w:val="center"/>
              <w:rPr>
                <w:color w:val="000000"/>
                <w:lang w:eastAsia="en-US"/>
              </w:rPr>
            </w:pPr>
            <w:r>
              <w:rPr>
                <w:color w:val="000000"/>
                <w:sz w:val="22"/>
                <w:szCs w:val="22"/>
                <w:lang w:eastAsia="en-US"/>
              </w:rPr>
              <w:t>302</w:t>
            </w:r>
          </w:p>
        </w:tc>
        <w:tc>
          <w:tcPr>
            <w:tcW w:w="1459" w:type="dxa"/>
            <w:tcBorders>
              <w:top w:val="single" w:sz="4" w:space="0" w:color="auto"/>
              <w:left w:val="single" w:sz="4" w:space="0" w:color="auto"/>
              <w:bottom w:val="single" w:sz="4" w:space="0" w:color="auto"/>
              <w:right w:val="single" w:sz="4" w:space="0" w:color="auto"/>
            </w:tcBorders>
            <w:noWrap/>
            <w:hideMark/>
          </w:tcPr>
          <w:p w:rsidR="00F07E05" w:rsidRDefault="00F07E05" w:rsidP="008A253E">
            <w:pPr>
              <w:spacing w:line="276" w:lineRule="auto"/>
              <w:jc w:val="center"/>
              <w:rPr>
                <w:color w:val="000000"/>
                <w:lang w:eastAsia="en-US"/>
              </w:rPr>
            </w:pPr>
            <w:r>
              <w:rPr>
                <w:color w:val="000000"/>
                <w:sz w:val="22"/>
                <w:szCs w:val="22"/>
                <w:lang w:eastAsia="en-US"/>
              </w:rPr>
              <w:t>129,15</w:t>
            </w:r>
          </w:p>
        </w:tc>
        <w:tc>
          <w:tcPr>
            <w:tcW w:w="14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4</w:t>
            </w:r>
          </w:p>
        </w:tc>
        <w:tc>
          <w:tcPr>
            <w:tcW w:w="21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25.07.21 15.30-19.30</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07E05" w:rsidRPr="0014738D" w:rsidRDefault="00F07E05" w:rsidP="008A253E">
            <w:pPr>
              <w:spacing w:line="276" w:lineRule="auto"/>
              <w:jc w:val="center"/>
              <w:rPr>
                <w:color w:val="FF0000"/>
                <w:sz w:val="22"/>
                <w:szCs w:val="22"/>
                <w:lang w:eastAsia="en-US"/>
              </w:rPr>
            </w:pPr>
            <w:r w:rsidRPr="0014738D">
              <w:rPr>
                <w:sz w:val="22"/>
                <w:szCs w:val="22"/>
              </w:rPr>
              <w:t>15 797,63</w:t>
            </w:r>
          </w:p>
        </w:tc>
      </w:tr>
      <w:tr w:rsidR="00F07E05" w:rsidRPr="0014738D" w:rsidTr="008A253E">
        <w:trPr>
          <w:trHeight w:val="3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Default="00F07E05" w:rsidP="008A253E">
            <w:pPr>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hideMark/>
          </w:tcPr>
          <w:p w:rsidR="00F07E05" w:rsidRDefault="00F07E05" w:rsidP="008A253E">
            <w:pPr>
              <w:spacing w:line="276" w:lineRule="auto"/>
              <w:jc w:val="center"/>
              <w:rPr>
                <w:color w:val="000000"/>
                <w:lang w:eastAsia="en-US"/>
              </w:rPr>
            </w:pPr>
            <w:r>
              <w:rPr>
                <w:color w:val="000000"/>
                <w:sz w:val="22"/>
                <w:szCs w:val="22"/>
                <w:lang w:eastAsia="en-US"/>
              </w:rPr>
              <w:t>302</w:t>
            </w:r>
          </w:p>
        </w:tc>
        <w:tc>
          <w:tcPr>
            <w:tcW w:w="1459" w:type="dxa"/>
            <w:tcBorders>
              <w:top w:val="single" w:sz="4" w:space="0" w:color="auto"/>
              <w:left w:val="single" w:sz="4" w:space="0" w:color="auto"/>
              <w:bottom w:val="single" w:sz="4" w:space="0" w:color="auto"/>
              <w:right w:val="single" w:sz="4" w:space="0" w:color="auto"/>
            </w:tcBorders>
            <w:noWrap/>
            <w:hideMark/>
          </w:tcPr>
          <w:p w:rsidR="00F07E05" w:rsidRDefault="00F07E05" w:rsidP="008A253E">
            <w:pPr>
              <w:spacing w:line="276" w:lineRule="auto"/>
              <w:jc w:val="center"/>
              <w:rPr>
                <w:color w:val="000000"/>
                <w:lang w:eastAsia="en-US"/>
              </w:rPr>
            </w:pPr>
            <w:r>
              <w:rPr>
                <w:color w:val="000000"/>
                <w:sz w:val="22"/>
                <w:szCs w:val="22"/>
                <w:lang w:eastAsia="en-US"/>
              </w:rPr>
              <w:t>129,15</w:t>
            </w:r>
          </w:p>
        </w:tc>
        <w:tc>
          <w:tcPr>
            <w:tcW w:w="14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5</w:t>
            </w:r>
          </w:p>
        </w:tc>
        <w:tc>
          <w:tcPr>
            <w:tcW w:w="21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31.07.21 16.00-20.30</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07E05" w:rsidRPr="0014738D" w:rsidRDefault="00F07E05" w:rsidP="008A253E">
            <w:pPr>
              <w:spacing w:line="276" w:lineRule="auto"/>
              <w:jc w:val="center"/>
              <w:rPr>
                <w:color w:val="FF0000"/>
                <w:sz w:val="22"/>
                <w:szCs w:val="22"/>
                <w:lang w:eastAsia="en-US"/>
              </w:rPr>
            </w:pPr>
            <w:r w:rsidRPr="0014738D">
              <w:rPr>
                <w:sz w:val="22"/>
                <w:szCs w:val="22"/>
              </w:rPr>
              <w:t>19 747,04</w:t>
            </w:r>
          </w:p>
        </w:tc>
      </w:tr>
      <w:tr w:rsidR="00F07E05" w:rsidRPr="0014738D" w:rsidTr="008A253E">
        <w:trPr>
          <w:trHeight w:val="3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Default="00F07E05" w:rsidP="008A253E">
            <w:pPr>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hideMark/>
          </w:tcPr>
          <w:p w:rsidR="00F07E05" w:rsidRDefault="00F07E05" w:rsidP="008A253E">
            <w:pPr>
              <w:spacing w:line="276" w:lineRule="auto"/>
              <w:jc w:val="center"/>
              <w:rPr>
                <w:color w:val="000000"/>
                <w:lang w:eastAsia="en-US"/>
              </w:rPr>
            </w:pPr>
            <w:r>
              <w:rPr>
                <w:color w:val="000000"/>
                <w:sz w:val="22"/>
                <w:szCs w:val="22"/>
                <w:lang w:eastAsia="en-US"/>
              </w:rPr>
              <w:t>302</w:t>
            </w:r>
          </w:p>
        </w:tc>
        <w:tc>
          <w:tcPr>
            <w:tcW w:w="1459" w:type="dxa"/>
            <w:tcBorders>
              <w:top w:val="single" w:sz="4" w:space="0" w:color="auto"/>
              <w:left w:val="single" w:sz="4" w:space="0" w:color="auto"/>
              <w:bottom w:val="single" w:sz="4" w:space="0" w:color="auto"/>
              <w:right w:val="single" w:sz="4" w:space="0" w:color="auto"/>
            </w:tcBorders>
            <w:noWrap/>
            <w:hideMark/>
          </w:tcPr>
          <w:p w:rsidR="00F07E05" w:rsidRDefault="00F07E05" w:rsidP="008A253E">
            <w:pPr>
              <w:spacing w:line="276" w:lineRule="auto"/>
              <w:jc w:val="center"/>
              <w:rPr>
                <w:color w:val="000000"/>
                <w:lang w:eastAsia="en-US"/>
              </w:rPr>
            </w:pPr>
            <w:r>
              <w:rPr>
                <w:color w:val="000000"/>
                <w:sz w:val="22"/>
                <w:szCs w:val="22"/>
                <w:lang w:eastAsia="en-US"/>
              </w:rPr>
              <w:t>129,15</w:t>
            </w:r>
          </w:p>
        </w:tc>
        <w:tc>
          <w:tcPr>
            <w:tcW w:w="14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4</w:t>
            </w:r>
          </w:p>
        </w:tc>
        <w:tc>
          <w:tcPr>
            <w:tcW w:w="21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29.08.21 16.00-20.00</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07E05" w:rsidRPr="0014738D" w:rsidRDefault="00F07E05" w:rsidP="008A253E">
            <w:pPr>
              <w:spacing w:line="276" w:lineRule="auto"/>
              <w:jc w:val="center"/>
              <w:rPr>
                <w:color w:val="FF0000"/>
                <w:sz w:val="22"/>
                <w:szCs w:val="22"/>
                <w:lang w:eastAsia="en-US"/>
              </w:rPr>
            </w:pPr>
            <w:r w:rsidRPr="0014738D">
              <w:rPr>
                <w:sz w:val="22"/>
                <w:szCs w:val="22"/>
              </w:rPr>
              <w:t>15 797,63</w:t>
            </w:r>
          </w:p>
        </w:tc>
      </w:tr>
      <w:tr w:rsidR="00F07E05" w:rsidRPr="0014738D" w:rsidTr="008A253E">
        <w:trPr>
          <w:trHeight w:val="3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Default="00F07E05" w:rsidP="008A253E">
            <w:pPr>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hideMark/>
          </w:tcPr>
          <w:p w:rsidR="00F07E05" w:rsidRDefault="00F07E05" w:rsidP="008A253E">
            <w:pPr>
              <w:spacing w:line="276" w:lineRule="auto"/>
              <w:jc w:val="center"/>
              <w:rPr>
                <w:color w:val="000000"/>
                <w:lang w:eastAsia="en-US"/>
              </w:rPr>
            </w:pPr>
            <w:r>
              <w:rPr>
                <w:color w:val="000000"/>
                <w:sz w:val="22"/>
                <w:szCs w:val="22"/>
                <w:lang w:eastAsia="en-US"/>
              </w:rPr>
              <w:t>302</w:t>
            </w:r>
          </w:p>
        </w:tc>
        <w:tc>
          <w:tcPr>
            <w:tcW w:w="1459" w:type="dxa"/>
            <w:tcBorders>
              <w:top w:val="single" w:sz="4" w:space="0" w:color="auto"/>
              <w:left w:val="single" w:sz="4" w:space="0" w:color="auto"/>
              <w:bottom w:val="single" w:sz="4" w:space="0" w:color="auto"/>
              <w:right w:val="single" w:sz="4" w:space="0" w:color="auto"/>
            </w:tcBorders>
            <w:noWrap/>
            <w:hideMark/>
          </w:tcPr>
          <w:p w:rsidR="00F07E05" w:rsidRDefault="00F07E05" w:rsidP="008A253E">
            <w:pPr>
              <w:spacing w:line="276" w:lineRule="auto"/>
              <w:jc w:val="center"/>
              <w:rPr>
                <w:color w:val="000000"/>
                <w:lang w:eastAsia="en-US"/>
              </w:rPr>
            </w:pPr>
            <w:r>
              <w:rPr>
                <w:color w:val="000000"/>
                <w:sz w:val="22"/>
                <w:szCs w:val="22"/>
                <w:lang w:eastAsia="en-US"/>
              </w:rPr>
              <w:t>129,15</w:t>
            </w:r>
          </w:p>
        </w:tc>
        <w:tc>
          <w:tcPr>
            <w:tcW w:w="14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7</w:t>
            </w:r>
          </w:p>
        </w:tc>
        <w:tc>
          <w:tcPr>
            <w:tcW w:w="21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28.09.21 12.00-18.30</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07E05" w:rsidRPr="0014738D" w:rsidRDefault="00F07E05" w:rsidP="008A253E">
            <w:pPr>
              <w:spacing w:line="276" w:lineRule="auto"/>
              <w:jc w:val="center"/>
              <w:rPr>
                <w:color w:val="FF0000"/>
                <w:sz w:val="22"/>
                <w:szCs w:val="22"/>
                <w:lang w:eastAsia="en-US"/>
              </w:rPr>
            </w:pPr>
            <w:r w:rsidRPr="0014738D">
              <w:rPr>
                <w:sz w:val="22"/>
                <w:szCs w:val="22"/>
              </w:rPr>
              <w:t>27 645,85</w:t>
            </w:r>
          </w:p>
        </w:tc>
      </w:tr>
      <w:tr w:rsidR="00F07E05" w:rsidRPr="0014738D" w:rsidTr="008A253E">
        <w:trPr>
          <w:trHeight w:val="3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Default="00F07E05" w:rsidP="008A253E">
            <w:pPr>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302</w:t>
            </w:r>
          </w:p>
        </w:tc>
        <w:tc>
          <w:tcPr>
            <w:tcW w:w="1459" w:type="dxa"/>
            <w:tcBorders>
              <w:top w:val="single" w:sz="4" w:space="0" w:color="auto"/>
              <w:left w:val="single" w:sz="4" w:space="0" w:color="auto"/>
              <w:bottom w:val="single" w:sz="4" w:space="0" w:color="auto"/>
              <w:right w:val="single" w:sz="4" w:space="0" w:color="auto"/>
            </w:tcBorders>
            <w:noWrap/>
            <w:hideMark/>
          </w:tcPr>
          <w:p w:rsidR="00F07E05" w:rsidRDefault="00F07E05" w:rsidP="008A253E">
            <w:pPr>
              <w:spacing w:line="276" w:lineRule="auto"/>
              <w:jc w:val="center"/>
              <w:rPr>
                <w:color w:val="000000"/>
                <w:lang w:eastAsia="en-US"/>
              </w:rPr>
            </w:pPr>
            <w:r>
              <w:rPr>
                <w:color w:val="000000"/>
                <w:sz w:val="22"/>
                <w:szCs w:val="22"/>
                <w:lang w:eastAsia="en-US"/>
              </w:rPr>
              <w:t>129,15</w:t>
            </w:r>
          </w:p>
        </w:tc>
        <w:tc>
          <w:tcPr>
            <w:tcW w:w="14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5</w:t>
            </w:r>
          </w:p>
        </w:tc>
        <w:tc>
          <w:tcPr>
            <w:tcW w:w="21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 23.10.21 16.00-20.30</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07E05" w:rsidRPr="0014738D" w:rsidRDefault="00F07E05" w:rsidP="008A253E">
            <w:pPr>
              <w:spacing w:line="276" w:lineRule="auto"/>
              <w:jc w:val="center"/>
              <w:rPr>
                <w:color w:val="FF0000"/>
                <w:sz w:val="22"/>
                <w:szCs w:val="22"/>
                <w:lang w:eastAsia="en-US"/>
              </w:rPr>
            </w:pPr>
            <w:r w:rsidRPr="0014738D">
              <w:rPr>
                <w:sz w:val="22"/>
                <w:szCs w:val="22"/>
              </w:rPr>
              <w:t>19 747,04</w:t>
            </w:r>
          </w:p>
        </w:tc>
      </w:tr>
      <w:tr w:rsidR="00F07E05" w:rsidRPr="0014738D" w:rsidTr="008A253E">
        <w:trPr>
          <w:trHeight w:val="3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Default="00F07E05" w:rsidP="008A253E">
            <w:pPr>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302</w:t>
            </w:r>
          </w:p>
        </w:tc>
        <w:tc>
          <w:tcPr>
            <w:tcW w:w="1459" w:type="dxa"/>
            <w:tcBorders>
              <w:top w:val="single" w:sz="4" w:space="0" w:color="auto"/>
              <w:left w:val="single" w:sz="4" w:space="0" w:color="auto"/>
              <w:bottom w:val="single" w:sz="4" w:space="0" w:color="auto"/>
              <w:right w:val="single" w:sz="4" w:space="0" w:color="auto"/>
            </w:tcBorders>
            <w:noWrap/>
            <w:hideMark/>
          </w:tcPr>
          <w:p w:rsidR="00F07E05" w:rsidRDefault="00F07E05" w:rsidP="008A253E">
            <w:pPr>
              <w:spacing w:line="276" w:lineRule="auto"/>
              <w:jc w:val="center"/>
              <w:rPr>
                <w:color w:val="000000"/>
                <w:lang w:eastAsia="en-US"/>
              </w:rPr>
            </w:pPr>
            <w:r>
              <w:rPr>
                <w:color w:val="000000"/>
                <w:sz w:val="22"/>
                <w:szCs w:val="22"/>
                <w:lang w:eastAsia="en-US"/>
              </w:rPr>
              <w:t>129,15</w:t>
            </w:r>
          </w:p>
        </w:tc>
        <w:tc>
          <w:tcPr>
            <w:tcW w:w="14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3</w:t>
            </w:r>
          </w:p>
        </w:tc>
        <w:tc>
          <w:tcPr>
            <w:tcW w:w="21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Default="00F07E05" w:rsidP="008A253E">
            <w:pPr>
              <w:spacing w:line="276" w:lineRule="auto"/>
              <w:rPr>
                <w:color w:val="000000"/>
                <w:lang w:eastAsia="en-US"/>
              </w:rPr>
            </w:pPr>
            <w:r>
              <w:rPr>
                <w:color w:val="000000"/>
                <w:sz w:val="22"/>
                <w:szCs w:val="22"/>
                <w:lang w:eastAsia="en-US"/>
              </w:rPr>
              <w:t>30.10.21 12.00-15.00</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07E05" w:rsidRPr="0014738D" w:rsidRDefault="00F07E05" w:rsidP="008A253E">
            <w:pPr>
              <w:spacing w:line="276" w:lineRule="auto"/>
              <w:jc w:val="center"/>
              <w:rPr>
                <w:color w:val="FF0000"/>
                <w:sz w:val="22"/>
                <w:szCs w:val="22"/>
                <w:lang w:eastAsia="en-US"/>
              </w:rPr>
            </w:pPr>
            <w:r w:rsidRPr="0014738D">
              <w:rPr>
                <w:sz w:val="22"/>
                <w:szCs w:val="22"/>
              </w:rPr>
              <w:t>11 848,22</w:t>
            </w:r>
          </w:p>
        </w:tc>
      </w:tr>
      <w:tr w:rsidR="00F07E05" w:rsidRPr="0014738D" w:rsidTr="008A253E">
        <w:trPr>
          <w:trHeight w:val="3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Default="00F07E05" w:rsidP="008A253E">
            <w:pPr>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302</w:t>
            </w:r>
          </w:p>
        </w:tc>
        <w:tc>
          <w:tcPr>
            <w:tcW w:w="1459" w:type="dxa"/>
            <w:tcBorders>
              <w:top w:val="single" w:sz="4" w:space="0" w:color="auto"/>
              <w:left w:val="single" w:sz="4" w:space="0" w:color="auto"/>
              <w:bottom w:val="single" w:sz="4" w:space="0" w:color="auto"/>
              <w:right w:val="single" w:sz="4" w:space="0" w:color="auto"/>
            </w:tcBorders>
            <w:noWrap/>
            <w:hideMark/>
          </w:tcPr>
          <w:p w:rsidR="00F07E05" w:rsidRDefault="00F07E05" w:rsidP="008A253E">
            <w:pPr>
              <w:spacing w:line="276" w:lineRule="auto"/>
              <w:jc w:val="center"/>
              <w:rPr>
                <w:color w:val="000000"/>
                <w:lang w:eastAsia="en-US"/>
              </w:rPr>
            </w:pPr>
            <w:r>
              <w:rPr>
                <w:color w:val="000000"/>
                <w:sz w:val="22"/>
                <w:szCs w:val="22"/>
                <w:lang w:eastAsia="en-US"/>
              </w:rPr>
              <w:t>129,15</w:t>
            </w:r>
          </w:p>
        </w:tc>
        <w:tc>
          <w:tcPr>
            <w:tcW w:w="14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3</w:t>
            </w:r>
          </w:p>
        </w:tc>
        <w:tc>
          <w:tcPr>
            <w:tcW w:w="21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02.11.21 12.00-15.00 </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07E05" w:rsidRPr="0014738D" w:rsidRDefault="00F07E05" w:rsidP="008A253E">
            <w:pPr>
              <w:spacing w:line="276" w:lineRule="auto"/>
              <w:jc w:val="center"/>
              <w:rPr>
                <w:color w:val="FF0000"/>
                <w:sz w:val="22"/>
                <w:szCs w:val="22"/>
                <w:lang w:eastAsia="en-US"/>
              </w:rPr>
            </w:pPr>
            <w:r w:rsidRPr="0014738D">
              <w:rPr>
                <w:sz w:val="22"/>
                <w:szCs w:val="22"/>
              </w:rPr>
              <w:t>11 848,22</w:t>
            </w:r>
          </w:p>
        </w:tc>
      </w:tr>
      <w:tr w:rsidR="00F07E05" w:rsidRPr="0014738D" w:rsidTr="008A253E">
        <w:trPr>
          <w:trHeight w:val="3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Default="00F07E05" w:rsidP="008A253E">
            <w:pPr>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302</w:t>
            </w:r>
          </w:p>
        </w:tc>
        <w:tc>
          <w:tcPr>
            <w:tcW w:w="1459" w:type="dxa"/>
            <w:tcBorders>
              <w:top w:val="single" w:sz="4" w:space="0" w:color="auto"/>
              <w:left w:val="single" w:sz="4" w:space="0" w:color="auto"/>
              <w:bottom w:val="single" w:sz="4" w:space="0" w:color="auto"/>
              <w:right w:val="single" w:sz="4" w:space="0" w:color="auto"/>
            </w:tcBorders>
            <w:noWrap/>
            <w:hideMark/>
          </w:tcPr>
          <w:p w:rsidR="00F07E05" w:rsidRDefault="00F07E05" w:rsidP="008A253E">
            <w:pPr>
              <w:spacing w:line="276" w:lineRule="auto"/>
              <w:jc w:val="center"/>
              <w:rPr>
                <w:color w:val="000000"/>
                <w:lang w:eastAsia="en-US"/>
              </w:rPr>
            </w:pPr>
            <w:r>
              <w:rPr>
                <w:color w:val="000000"/>
                <w:sz w:val="22"/>
                <w:szCs w:val="22"/>
                <w:lang w:eastAsia="en-US"/>
              </w:rPr>
              <w:t>129,15</w:t>
            </w:r>
          </w:p>
        </w:tc>
        <w:tc>
          <w:tcPr>
            <w:tcW w:w="14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4 </w:t>
            </w:r>
          </w:p>
        </w:tc>
        <w:tc>
          <w:tcPr>
            <w:tcW w:w="21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02.05.21 09.00-12.30 </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07E05" w:rsidRPr="0014738D" w:rsidRDefault="00F07E05" w:rsidP="008A253E">
            <w:pPr>
              <w:spacing w:line="276" w:lineRule="auto"/>
              <w:jc w:val="center"/>
              <w:rPr>
                <w:color w:val="FF0000"/>
                <w:sz w:val="22"/>
                <w:szCs w:val="22"/>
                <w:lang w:eastAsia="en-US"/>
              </w:rPr>
            </w:pPr>
            <w:r w:rsidRPr="0014738D">
              <w:rPr>
                <w:sz w:val="22"/>
                <w:szCs w:val="22"/>
              </w:rPr>
              <w:t>15 797,63</w:t>
            </w:r>
          </w:p>
        </w:tc>
      </w:tr>
      <w:tr w:rsidR="00F07E05" w:rsidRPr="0014738D" w:rsidTr="008A253E">
        <w:trPr>
          <w:trHeight w:val="3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Default="00F07E05" w:rsidP="008A253E">
            <w:pPr>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302</w:t>
            </w:r>
          </w:p>
        </w:tc>
        <w:tc>
          <w:tcPr>
            <w:tcW w:w="1459" w:type="dxa"/>
            <w:tcBorders>
              <w:top w:val="single" w:sz="4" w:space="0" w:color="auto"/>
              <w:left w:val="single" w:sz="4" w:space="0" w:color="auto"/>
              <w:bottom w:val="single" w:sz="4" w:space="0" w:color="auto"/>
              <w:right w:val="single" w:sz="4" w:space="0" w:color="auto"/>
            </w:tcBorders>
            <w:noWrap/>
            <w:hideMark/>
          </w:tcPr>
          <w:p w:rsidR="00F07E05" w:rsidRDefault="00F07E05" w:rsidP="008A253E">
            <w:pPr>
              <w:spacing w:line="276" w:lineRule="auto"/>
              <w:jc w:val="center"/>
              <w:rPr>
                <w:color w:val="000000"/>
                <w:lang w:eastAsia="en-US"/>
              </w:rPr>
            </w:pPr>
            <w:r>
              <w:rPr>
                <w:color w:val="000000"/>
                <w:sz w:val="22"/>
                <w:szCs w:val="22"/>
                <w:lang w:eastAsia="en-US"/>
              </w:rPr>
              <w:t>129,15</w:t>
            </w:r>
          </w:p>
        </w:tc>
        <w:tc>
          <w:tcPr>
            <w:tcW w:w="14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5</w:t>
            </w:r>
          </w:p>
        </w:tc>
        <w:tc>
          <w:tcPr>
            <w:tcW w:w="21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08.05.21 15.15-20.00</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07E05" w:rsidRPr="0014738D" w:rsidRDefault="00F07E05" w:rsidP="008A253E">
            <w:pPr>
              <w:spacing w:line="276" w:lineRule="auto"/>
              <w:jc w:val="center"/>
              <w:rPr>
                <w:color w:val="FF0000"/>
                <w:sz w:val="22"/>
                <w:szCs w:val="22"/>
                <w:lang w:eastAsia="en-US"/>
              </w:rPr>
            </w:pPr>
            <w:r w:rsidRPr="0014738D">
              <w:rPr>
                <w:sz w:val="22"/>
                <w:szCs w:val="22"/>
              </w:rPr>
              <w:t>19 747,04</w:t>
            </w:r>
          </w:p>
        </w:tc>
      </w:tr>
      <w:tr w:rsidR="00F07E05" w:rsidRPr="0014738D" w:rsidTr="008A253E">
        <w:trPr>
          <w:trHeight w:val="3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Default="00F07E05" w:rsidP="008A253E">
            <w:pPr>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302</w:t>
            </w:r>
          </w:p>
        </w:tc>
        <w:tc>
          <w:tcPr>
            <w:tcW w:w="1459" w:type="dxa"/>
            <w:tcBorders>
              <w:top w:val="single" w:sz="4" w:space="0" w:color="auto"/>
              <w:left w:val="single" w:sz="4" w:space="0" w:color="auto"/>
              <w:bottom w:val="single" w:sz="4" w:space="0" w:color="auto"/>
              <w:right w:val="single" w:sz="4" w:space="0" w:color="auto"/>
            </w:tcBorders>
            <w:noWrap/>
            <w:hideMark/>
          </w:tcPr>
          <w:p w:rsidR="00F07E05" w:rsidRDefault="00F07E05" w:rsidP="008A253E">
            <w:pPr>
              <w:spacing w:line="276" w:lineRule="auto"/>
              <w:jc w:val="center"/>
              <w:rPr>
                <w:color w:val="000000"/>
                <w:lang w:eastAsia="en-US"/>
              </w:rPr>
            </w:pPr>
            <w:r>
              <w:rPr>
                <w:color w:val="000000"/>
                <w:sz w:val="22"/>
                <w:szCs w:val="22"/>
                <w:lang w:eastAsia="en-US"/>
              </w:rPr>
              <w:t>129,15</w:t>
            </w:r>
          </w:p>
        </w:tc>
        <w:tc>
          <w:tcPr>
            <w:tcW w:w="14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5</w:t>
            </w:r>
          </w:p>
        </w:tc>
        <w:tc>
          <w:tcPr>
            <w:tcW w:w="21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13.05.21 10.50-15.00</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07E05" w:rsidRPr="0014738D" w:rsidRDefault="00F07E05" w:rsidP="008A253E">
            <w:pPr>
              <w:spacing w:line="276" w:lineRule="auto"/>
              <w:jc w:val="center"/>
              <w:rPr>
                <w:color w:val="FF0000"/>
                <w:sz w:val="22"/>
                <w:szCs w:val="22"/>
                <w:lang w:eastAsia="en-US"/>
              </w:rPr>
            </w:pPr>
            <w:r w:rsidRPr="0014738D">
              <w:rPr>
                <w:sz w:val="22"/>
                <w:szCs w:val="22"/>
              </w:rPr>
              <w:t>19 747,04</w:t>
            </w:r>
          </w:p>
        </w:tc>
      </w:tr>
      <w:tr w:rsidR="00F07E05" w:rsidRPr="0014738D" w:rsidTr="008A253E">
        <w:trPr>
          <w:trHeight w:val="3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Default="00F07E05" w:rsidP="008A253E">
            <w:pPr>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302</w:t>
            </w:r>
          </w:p>
        </w:tc>
        <w:tc>
          <w:tcPr>
            <w:tcW w:w="1459" w:type="dxa"/>
            <w:tcBorders>
              <w:top w:val="single" w:sz="4" w:space="0" w:color="auto"/>
              <w:left w:val="single" w:sz="4" w:space="0" w:color="auto"/>
              <w:bottom w:val="single" w:sz="4" w:space="0" w:color="auto"/>
              <w:right w:val="single" w:sz="4" w:space="0" w:color="auto"/>
            </w:tcBorders>
            <w:noWrap/>
            <w:hideMark/>
          </w:tcPr>
          <w:p w:rsidR="00F07E05" w:rsidRDefault="00F07E05" w:rsidP="008A253E">
            <w:pPr>
              <w:spacing w:line="276" w:lineRule="auto"/>
              <w:jc w:val="center"/>
              <w:rPr>
                <w:color w:val="000000"/>
                <w:lang w:eastAsia="en-US"/>
              </w:rPr>
            </w:pPr>
            <w:r>
              <w:rPr>
                <w:color w:val="000000"/>
                <w:sz w:val="22"/>
                <w:szCs w:val="22"/>
                <w:lang w:eastAsia="en-US"/>
              </w:rPr>
              <w:t>129,15</w:t>
            </w:r>
          </w:p>
        </w:tc>
        <w:tc>
          <w:tcPr>
            <w:tcW w:w="14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7</w:t>
            </w:r>
          </w:p>
        </w:tc>
        <w:tc>
          <w:tcPr>
            <w:tcW w:w="21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10.06.21 08.00-15.00</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07E05" w:rsidRPr="0014738D" w:rsidRDefault="00F07E05" w:rsidP="008A253E">
            <w:pPr>
              <w:spacing w:line="276" w:lineRule="auto"/>
              <w:jc w:val="center"/>
              <w:rPr>
                <w:color w:val="FF0000"/>
                <w:sz w:val="22"/>
                <w:szCs w:val="22"/>
                <w:lang w:eastAsia="en-US"/>
              </w:rPr>
            </w:pPr>
            <w:r w:rsidRPr="0014738D">
              <w:rPr>
                <w:sz w:val="22"/>
                <w:szCs w:val="22"/>
              </w:rPr>
              <w:t>27 645,85</w:t>
            </w:r>
          </w:p>
        </w:tc>
      </w:tr>
      <w:tr w:rsidR="00F07E05" w:rsidRPr="0014738D" w:rsidTr="008A253E">
        <w:trPr>
          <w:trHeight w:val="3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Default="00F07E05" w:rsidP="008A253E">
            <w:pPr>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hideMark/>
          </w:tcPr>
          <w:p w:rsidR="00F07E05" w:rsidRDefault="00F07E05" w:rsidP="008A253E">
            <w:pPr>
              <w:spacing w:line="276" w:lineRule="auto"/>
              <w:jc w:val="center"/>
              <w:rPr>
                <w:color w:val="000000"/>
                <w:lang w:eastAsia="en-US"/>
              </w:rPr>
            </w:pPr>
            <w:r>
              <w:rPr>
                <w:color w:val="000000"/>
                <w:sz w:val="22"/>
                <w:szCs w:val="22"/>
                <w:lang w:eastAsia="en-US"/>
              </w:rPr>
              <w:t>302</w:t>
            </w:r>
          </w:p>
        </w:tc>
        <w:tc>
          <w:tcPr>
            <w:tcW w:w="1459" w:type="dxa"/>
            <w:tcBorders>
              <w:top w:val="single" w:sz="4" w:space="0" w:color="auto"/>
              <w:left w:val="single" w:sz="4" w:space="0" w:color="auto"/>
              <w:bottom w:val="single" w:sz="4" w:space="0" w:color="auto"/>
              <w:right w:val="single" w:sz="4" w:space="0" w:color="auto"/>
            </w:tcBorders>
            <w:noWrap/>
            <w:hideMark/>
          </w:tcPr>
          <w:p w:rsidR="00F07E05" w:rsidRDefault="00F07E05" w:rsidP="008A253E">
            <w:pPr>
              <w:spacing w:line="276" w:lineRule="auto"/>
              <w:jc w:val="center"/>
              <w:rPr>
                <w:color w:val="000000"/>
                <w:lang w:eastAsia="en-US"/>
              </w:rPr>
            </w:pPr>
            <w:r>
              <w:rPr>
                <w:color w:val="000000"/>
                <w:sz w:val="22"/>
                <w:szCs w:val="22"/>
                <w:lang w:eastAsia="en-US"/>
              </w:rPr>
              <w:t>129,15</w:t>
            </w:r>
          </w:p>
        </w:tc>
        <w:tc>
          <w:tcPr>
            <w:tcW w:w="14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5</w:t>
            </w:r>
          </w:p>
        </w:tc>
        <w:tc>
          <w:tcPr>
            <w:tcW w:w="21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03.08.21 15.30-20.00</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07E05" w:rsidRPr="0014738D" w:rsidRDefault="00F07E05" w:rsidP="008A253E">
            <w:pPr>
              <w:spacing w:line="276" w:lineRule="auto"/>
              <w:jc w:val="center"/>
              <w:rPr>
                <w:color w:val="FF0000"/>
                <w:sz w:val="22"/>
                <w:szCs w:val="22"/>
                <w:lang w:eastAsia="en-US"/>
              </w:rPr>
            </w:pPr>
            <w:r w:rsidRPr="0014738D">
              <w:rPr>
                <w:sz w:val="22"/>
                <w:szCs w:val="22"/>
              </w:rPr>
              <w:t>19 747,04</w:t>
            </w:r>
          </w:p>
        </w:tc>
      </w:tr>
      <w:tr w:rsidR="00F07E05" w:rsidRPr="0014738D" w:rsidTr="008A253E">
        <w:trPr>
          <w:trHeight w:val="3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Default="00F07E05" w:rsidP="008A253E">
            <w:pPr>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hideMark/>
          </w:tcPr>
          <w:p w:rsidR="00F07E05" w:rsidRDefault="00F07E05" w:rsidP="008A253E">
            <w:pPr>
              <w:spacing w:line="276" w:lineRule="auto"/>
              <w:jc w:val="center"/>
              <w:rPr>
                <w:color w:val="000000"/>
                <w:lang w:eastAsia="en-US"/>
              </w:rPr>
            </w:pPr>
            <w:r>
              <w:rPr>
                <w:color w:val="000000"/>
                <w:sz w:val="22"/>
                <w:szCs w:val="22"/>
                <w:lang w:eastAsia="en-US"/>
              </w:rPr>
              <w:t>302</w:t>
            </w:r>
          </w:p>
        </w:tc>
        <w:tc>
          <w:tcPr>
            <w:tcW w:w="1459" w:type="dxa"/>
            <w:tcBorders>
              <w:top w:val="single" w:sz="4" w:space="0" w:color="auto"/>
              <w:left w:val="single" w:sz="4" w:space="0" w:color="auto"/>
              <w:bottom w:val="single" w:sz="4" w:space="0" w:color="auto"/>
              <w:right w:val="single" w:sz="4" w:space="0" w:color="auto"/>
            </w:tcBorders>
            <w:noWrap/>
            <w:hideMark/>
          </w:tcPr>
          <w:p w:rsidR="00F07E05" w:rsidRDefault="00F07E05" w:rsidP="008A253E">
            <w:pPr>
              <w:spacing w:line="276" w:lineRule="auto"/>
              <w:jc w:val="center"/>
              <w:rPr>
                <w:color w:val="000000"/>
                <w:lang w:eastAsia="en-US"/>
              </w:rPr>
            </w:pPr>
            <w:r>
              <w:rPr>
                <w:color w:val="000000"/>
                <w:sz w:val="22"/>
                <w:szCs w:val="22"/>
                <w:lang w:eastAsia="en-US"/>
              </w:rPr>
              <w:t>129,15</w:t>
            </w:r>
          </w:p>
        </w:tc>
        <w:tc>
          <w:tcPr>
            <w:tcW w:w="14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5</w:t>
            </w:r>
          </w:p>
        </w:tc>
        <w:tc>
          <w:tcPr>
            <w:tcW w:w="21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07.08.21 15.30-20.30</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07E05" w:rsidRPr="0014738D" w:rsidRDefault="00F07E05" w:rsidP="008A253E">
            <w:pPr>
              <w:spacing w:line="276" w:lineRule="auto"/>
              <w:jc w:val="center"/>
              <w:rPr>
                <w:color w:val="FF0000"/>
                <w:sz w:val="22"/>
                <w:szCs w:val="22"/>
                <w:lang w:eastAsia="en-US"/>
              </w:rPr>
            </w:pPr>
            <w:r w:rsidRPr="0014738D">
              <w:rPr>
                <w:sz w:val="22"/>
                <w:szCs w:val="22"/>
              </w:rPr>
              <w:t>19 747,04</w:t>
            </w:r>
          </w:p>
        </w:tc>
      </w:tr>
      <w:tr w:rsidR="00F07E05" w:rsidRPr="0014738D" w:rsidTr="008A253E">
        <w:trPr>
          <w:trHeight w:val="3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Default="00F07E05" w:rsidP="008A253E">
            <w:pPr>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hideMark/>
          </w:tcPr>
          <w:p w:rsidR="00F07E05" w:rsidRDefault="00F07E05" w:rsidP="008A253E">
            <w:pPr>
              <w:spacing w:line="276" w:lineRule="auto"/>
              <w:jc w:val="center"/>
              <w:rPr>
                <w:color w:val="000000"/>
                <w:lang w:eastAsia="en-US"/>
              </w:rPr>
            </w:pPr>
            <w:r>
              <w:rPr>
                <w:color w:val="000000"/>
                <w:sz w:val="22"/>
                <w:szCs w:val="22"/>
                <w:lang w:eastAsia="en-US"/>
              </w:rPr>
              <w:t>302</w:t>
            </w:r>
          </w:p>
        </w:tc>
        <w:tc>
          <w:tcPr>
            <w:tcW w:w="1459" w:type="dxa"/>
            <w:tcBorders>
              <w:top w:val="single" w:sz="4" w:space="0" w:color="auto"/>
              <w:left w:val="single" w:sz="4" w:space="0" w:color="auto"/>
              <w:bottom w:val="single" w:sz="4" w:space="0" w:color="auto"/>
              <w:right w:val="single" w:sz="4" w:space="0" w:color="auto"/>
            </w:tcBorders>
            <w:noWrap/>
            <w:hideMark/>
          </w:tcPr>
          <w:p w:rsidR="00F07E05" w:rsidRDefault="00F07E05" w:rsidP="008A253E">
            <w:pPr>
              <w:spacing w:line="276" w:lineRule="auto"/>
              <w:jc w:val="center"/>
              <w:rPr>
                <w:color w:val="000000"/>
                <w:lang w:eastAsia="en-US"/>
              </w:rPr>
            </w:pPr>
            <w:r>
              <w:rPr>
                <w:color w:val="000000"/>
                <w:sz w:val="22"/>
                <w:szCs w:val="22"/>
                <w:lang w:eastAsia="en-US"/>
              </w:rPr>
              <w:t>129,15</w:t>
            </w:r>
          </w:p>
        </w:tc>
        <w:tc>
          <w:tcPr>
            <w:tcW w:w="14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3</w:t>
            </w:r>
          </w:p>
        </w:tc>
        <w:tc>
          <w:tcPr>
            <w:tcW w:w="21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09.09.21 10.00-13.00</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07E05" w:rsidRPr="0014738D" w:rsidRDefault="00F07E05" w:rsidP="008A253E">
            <w:pPr>
              <w:spacing w:line="276" w:lineRule="auto"/>
              <w:jc w:val="center"/>
              <w:rPr>
                <w:color w:val="FF0000"/>
                <w:sz w:val="22"/>
                <w:szCs w:val="22"/>
                <w:lang w:eastAsia="en-US"/>
              </w:rPr>
            </w:pPr>
            <w:r w:rsidRPr="0014738D">
              <w:rPr>
                <w:sz w:val="22"/>
                <w:szCs w:val="22"/>
              </w:rPr>
              <w:t>11 848,22</w:t>
            </w:r>
          </w:p>
        </w:tc>
      </w:tr>
      <w:tr w:rsidR="00F07E05" w:rsidRPr="0014738D" w:rsidTr="008A253E">
        <w:trPr>
          <w:trHeight w:val="3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Default="00F07E05" w:rsidP="008A253E">
            <w:pPr>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hideMark/>
          </w:tcPr>
          <w:p w:rsidR="00F07E05" w:rsidRDefault="00F07E05" w:rsidP="008A253E">
            <w:pPr>
              <w:spacing w:line="276" w:lineRule="auto"/>
              <w:jc w:val="center"/>
              <w:rPr>
                <w:color w:val="000000"/>
                <w:lang w:eastAsia="en-US"/>
              </w:rPr>
            </w:pPr>
            <w:r>
              <w:rPr>
                <w:color w:val="000000"/>
                <w:sz w:val="22"/>
                <w:szCs w:val="22"/>
                <w:lang w:eastAsia="en-US"/>
              </w:rPr>
              <w:t>302</w:t>
            </w:r>
          </w:p>
        </w:tc>
        <w:tc>
          <w:tcPr>
            <w:tcW w:w="1459" w:type="dxa"/>
            <w:tcBorders>
              <w:top w:val="single" w:sz="4" w:space="0" w:color="auto"/>
              <w:left w:val="single" w:sz="4" w:space="0" w:color="auto"/>
              <w:bottom w:val="single" w:sz="4" w:space="0" w:color="auto"/>
              <w:right w:val="single" w:sz="4" w:space="0" w:color="auto"/>
            </w:tcBorders>
            <w:noWrap/>
            <w:hideMark/>
          </w:tcPr>
          <w:p w:rsidR="00F07E05" w:rsidRDefault="00F07E05" w:rsidP="008A253E">
            <w:pPr>
              <w:spacing w:line="276" w:lineRule="auto"/>
              <w:jc w:val="center"/>
              <w:rPr>
                <w:color w:val="000000"/>
                <w:lang w:eastAsia="en-US"/>
              </w:rPr>
            </w:pPr>
            <w:r>
              <w:rPr>
                <w:color w:val="000000"/>
                <w:sz w:val="22"/>
                <w:szCs w:val="22"/>
                <w:lang w:eastAsia="en-US"/>
              </w:rPr>
              <w:t>129,15</w:t>
            </w:r>
          </w:p>
        </w:tc>
        <w:tc>
          <w:tcPr>
            <w:tcW w:w="14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7</w:t>
            </w:r>
          </w:p>
        </w:tc>
        <w:tc>
          <w:tcPr>
            <w:tcW w:w="21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14.09.21 11.30-18.00</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07E05" w:rsidRPr="0014738D" w:rsidRDefault="00F07E05" w:rsidP="008A253E">
            <w:pPr>
              <w:spacing w:line="276" w:lineRule="auto"/>
              <w:jc w:val="center"/>
              <w:rPr>
                <w:color w:val="FF0000"/>
                <w:sz w:val="22"/>
                <w:szCs w:val="22"/>
                <w:lang w:eastAsia="en-US"/>
              </w:rPr>
            </w:pPr>
            <w:r w:rsidRPr="0014738D">
              <w:rPr>
                <w:sz w:val="22"/>
                <w:szCs w:val="22"/>
              </w:rPr>
              <w:t>27 645,85</w:t>
            </w:r>
          </w:p>
        </w:tc>
      </w:tr>
      <w:tr w:rsidR="00F07E05" w:rsidRPr="0014738D" w:rsidTr="008A253E">
        <w:trPr>
          <w:trHeight w:val="3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Default="00F07E05" w:rsidP="008A253E">
            <w:pPr>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hideMark/>
          </w:tcPr>
          <w:p w:rsidR="00F07E05" w:rsidRDefault="00F07E05" w:rsidP="008A253E">
            <w:pPr>
              <w:spacing w:line="276" w:lineRule="auto"/>
              <w:jc w:val="center"/>
              <w:rPr>
                <w:color w:val="000000"/>
                <w:lang w:eastAsia="en-US"/>
              </w:rPr>
            </w:pPr>
            <w:r>
              <w:rPr>
                <w:color w:val="000000"/>
                <w:sz w:val="22"/>
                <w:szCs w:val="22"/>
                <w:lang w:eastAsia="en-US"/>
              </w:rPr>
              <w:t>302</w:t>
            </w:r>
          </w:p>
        </w:tc>
        <w:tc>
          <w:tcPr>
            <w:tcW w:w="1459" w:type="dxa"/>
            <w:tcBorders>
              <w:top w:val="single" w:sz="4" w:space="0" w:color="auto"/>
              <w:left w:val="single" w:sz="4" w:space="0" w:color="auto"/>
              <w:bottom w:val="single" w:sz="4" w:space="0" w:color="auto"/>
              <w:right w:val="single" w:sz="4" w:space="0" w:color="auto"/>
            </w:tcBorders>
            <w:noWrap/>
            <w:hideMark/>
          </w:tcPr>
          <w:p w:rsidR="00F07E05" w:rsidRDefault="00F07E05" w:rsidP="008A253E">
            <w:pPr>
              <w:spacing w:line="276" w:lineRule="auto"/>
              <w:jc w:val="center"/>
              <w:rPr>
                <w:color w:val="000000"/>
                <w:lang w:eastAsia="en-US"/>
              </w:rPr>
            </w:pPr>
            <w:r>
              <w:rPr>
                <w:color w:val="000000"/>
                <w:sz w:val="22"/>
                <w:szCs w:val="22"/>
                <w:lang w:eastAsia="en-US"/>
              </w:rPr>
              <w:t>129,15</w:t>
            </w:r>
          </w:p>
        </w:tc>
        <w:tc>
          <w:tcPr>
            <w:tcW w:w="14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4</w:t>
            </w:r>
          </w:p>
        </w:tc>
        <w:tc>
          <w:tcPr>
            <w:tcW w:w="21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01.10.21 09.00-12.30</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07E05" w:rsidRPr="0014738D" w:rsidRDefault="00F07E05" w:rsidP="008A253E">
            <w:pPr>
              <w:spacing w:line="276" w:lineRule="auto"/>
              <w:jc w:val="center"/>
              <w:rPr>
                <w:color w:val="FF0000"/>
                <w:sz w:val="22"/>
                <w:szCs w:val="22"/>
                <w:lang w:eastAsia="en-US"/>
              </w:rPr>
            </w:pPr>
            <w:r w:rsidRPr="0014738D">
              <w:rPr>
                <w:sz w:val="22"/>
                <w:szCs w:val="22"/>
              </w:rPr>
              <w:t>15 797,63</w:t>
            </w:r>
          </w:p>
        </w:tc>
      </w:tr>
      <w:tr w:rsidR="00F07E05" w:rsidRPr="00F16730" w:rsidTr="008A253E">
        <w:trPr>
          <w:trHeight w:val="3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Default="00F07E05" w:rsidP="008A253E">
            <w:pPr>
              <w:spacing w:line="276" w:lineRule="auto"/>
              <w:rPr>
                <w:color w:val="000000"/>
                <w:lang w:eastAsia="en-US"/>
              </w:rPr>
            </w:pPr>
          </w:p>
        </w:tc>
        <w:tc>
          <w:tcPr>
            <w:tcW w:w="3018" w:type="dxa"/>
            <w:gridSpan w:val="2"/>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right"/>
              <w:rPr>
                <w:color w:val="000000"/>
                <w:lang w:eastAsia="en-US"/>
              </w:rPr>
            </w:pPr>
            <w:r>
              <w:rPr>
                <w:b/>
                <w:bCs/>
                <w:color w:val="000000"/>
                <w:sz w:val="22"/>
                <w:szCs w:val="22"/>
                <w:lang w:eastAsia="en-US"/>
              </w:rPr>
              <w:t>ИТОГО:</w:t>
            </w:r>
          </w:p>
        </w:tc>
        <w:tc>
          <w:tcPr>
            <w:tcW w:w="14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Default="00F07E05" w:rsidP="008A253E">
            <w:pPr>
              <w:spacing w:line="276" w:lineRule="auto"/>
              <w:jc w:val="center"/>
              <w:rPr>
                <w:b/>
                <w:bCs/>
                <w:color w:val="000000"/>
                <w:lang w:eastAsia="en-US"/>
              </w:rPr>
            </w:pPr>
            <w:r>
              <w:rPr>
                <w:b/>
                <w:bCs/>
                <w:color w:val="000000"/>
                <w:sz w:val="22"/>
                <w:szCs w:val="22"/>
                <w:lang w:eastAsia="en-US"/>
              </w:rPr>
              <w:t>126</w:t>
            </w:r>
          </w:p>
        </w:tc>
        <w:tc>
          <w:tcPr>
            <w:tcW w:w="21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Default="00F07E05" w:rsidP="008A253E">
            <w:pPr>
              <w:spacing w:line="276" w:lineRule="auto"/>
              <w:jc w:val="right"/>
              <w:rPr>
                <w:color w:val="000000"/>
                <w:lang w:eastAsia="en-US"/>
              </w:rPr>
            </w:pPr>
            <w:r>
              <w:rPr>
                <w:b/>
                <w:bCs/>
                <w:color w:val="000000"/>
                <w:sz w:val="22"/>
                <w:szCs w:val="22"/>
                <w:lang w:eastAsia="en-US"/>
              </w:rPr>
              <w:t>ИТОГО:</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Pr="00F16730" w:rsidRDefault="00F07E05" w:rsidP="008A253E">
            <w:pPr>
              <w:spacing w:line="276" w:lineRule="auto"/>
              <w:jc w:val="center"/>
              <w:rPr>
                <w:b/>
                <w:bCs/>
                <w:lang w:eastAsia="en-US"/>
              </w:rPr>
            </w:pPr>
            <w:r>
              <w:rPr>
                <w:b/>
                <w:bCs/>
                <w:sz w:val="22"/>
                <w:szCs w:val="22"/>
                <w:lang w:eastAsia="en-US"/>
              </w:rPr>
              <w:t>462 337,54</w:t>
            </w:r>
          </w:p>
        </w:tc>
      </w:tr>
      <w:tr w:rsidR="00F07E05" w:rsidRPr="00F16730" w:rsidTr="008A253E">
        <w:trPr>
          <w:trHeight w:val="330"/>
          <w:jc w:val="center"/>
        </w:trPr>
        <w:tc>
          <w:tcPr>
            <w:tcW w:w="2552" w:type="dxa"/>
            <w:vMerge w:val="restart"/>
            <w:tcBorders>
              <w:top w:val="single" w:sz="4" w:space="0" w:color="auto"/>
              <w:left w:val="single" w:sz="4" w:space="0" w:color="auto"/>
              <w:bottom w:val="single" w:sz="4" w:space="0" w:color="auto"/>
              <w:right w:val="single" w:sz="4" w:space="0" w:color="auto"/>
            </w:tcBorders>
            <w:noWrap/>
            <w:vAlign w:val="center"/>
            <w:hideMark/>
          </w:tcPr>
          <w:p w:rsidR="00F07E05" w:rsidRDefault="00F07E05" w:rsidP="008A253E">
            <w:pPr>
              <w:spacing w:line="276" w:lineRule="auto"/>
              <w:jc w:val="center"/>
              <w:rPr>
                <w:color w:val="000000"/>
                <w:lang w:eastAsia="en-US"/>
              </w:rPr>
            </w:pPr>
            <w:r>
              <w:rPr>
                <w:color w:val="000000"/>
                <w:sz w:val="22"/>
                <w:szCs w:val="22"/>
                <w:lang w:eastAsia="en-US"/>
              </w:rPr>
              <w:t>ООО «ВодоходЪ»</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301</w:t>
            </w:r>
          </w:p>
        </w:tc>
        <w:tc>
          <w:tcPr>
            <w:tcW w:w="14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125</w:t>
            </w:r>
          </w:p>
        </w:tc>
        <w:tc>
          <w:tcPr>
            <w:tcW w:w="14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5,5</w:t>
            </w:r>
          </w:p>
        </w:tc>
        <w:tc>
          <w:tcPr>
            <w:tcW w:w="21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02.05.21 11.30-18.30</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07E05" w:rsidRPr="00F16730" w:rsidRDefault="00F07E05" w:rsidP="008A253E">
            <w:pPr>
              <w:spacing w:line="276" w:lineRule="auto"/>
              <w:jc w:val="center"/>
              <w:rPr>
                <w:color w:val="FF0000"/>
                <w:lang w:eastAsia="en-US"/>
              </w:rPr>
            </w:pPr>
            <w:r>
              <w:rPr>
                <w:color w:val="000000"/>
                <w:sz w:val="22"/>
                <w:szCs w:val="22"/>
              </w:rPr>
              <w:t>21 023,75</w:t>
            </w:r>
          </w:p>
        </w:tc>
      </w:tr>
      <w:tr w:rsidR="00F07E05" w:rsidRPr="0014738D" w:rsidTr="008A253E">
        <w:trPr>
          <w:trHeight w:val="3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Default="00F07E05" w:rsidP="008A253E">
            <w:pPr>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301</w:t>
            </w:r>
          </w:p>
        </w:tc>
        <w:tc>
          <w:tcPr>
            <w:tcW w:w="14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125</w:t>
            </w:r>
          </w:p>
        </w:tc>
        <w:tc>
          <w:tcPr>
            <w:tcW w:w="14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9</w:t>
            </w:r>
          </w:p>
        </w:tc>
        <w:tc>
          <w:tcPr>
            <w:tcW w:w="21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19.06.21 09.00-18.00</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07E05" w:rsidRPr="0014738D" w:rsidRDefault="00F07E05" w:rsidP="008A253E">
            <w:pPr>
              <w:spacing w:line="276" w:lineRule="auto"/>
              <w:jc w:val="center"/>
              <w:rPr>
                <w:color w:val="FF0000"/>
                <w:sz w:val="22"/>
                <w:szCs w:val="22"/>
                <w:lang w:eastAsia="en-US"/>
              </w:rPr>
            </w:pPr>
            <w:r w:rsidRPr="0014738D">
              <w:rPr>
                <w:sz w:val="22"/>
                <w:szCs w:val="22"/>
              </w:rPr>
              <w:t>34 402,50</w:t>
            </w:r>
          </w:p>
        </w:tc>
      </w:tr>
      <w:tr w:rsidR="00F07E05" w:rsidRPr="0014738D" w:rsidTr="008A253E">
        <w:trPr>
          <w:trHeight w:val="3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Default="00F07E05" w:rsidP="008A253E">
            <w:pPr>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301</w:t>
            </w:r>
          </w:p>
        </w:tc>
        <w:tc>
          <w:tcPr>
            <w:tcW w:w="14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125</w:t>
            </w:r>
          </w:p>
        </w:tc>
        <w:tc>
          <w:tcPr>
            <w:tcW w:w="14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4</w:t>
            </w:r>
          </w:p>
        </w:tc>
        <w:tc>
          <w:tcPr>
            <w:tcW w:w="21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27.06.21 16.00-20.00</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07E05" w:rsidRPr="0014738D" w:rsidRDefault="00F07E05" w:rsidP="008A253E">
            <w:pPr>
              <w:spacing w:line="276" w:lineRule="auto"/>
              <w:jc w:val="center"/>
              <w:rPr>
                <w:color w:val="FF0000"/>
                <w:sz w:val="22"/>
                <w:szCs w:val="22"/>
                <w:lang w:eastAsia="en-US"/>
              </w:rPr>
            </w:pPr>
            <w:r w:rsidRPr="0014738D">
              <w:rPr>
                <w:sz w:val="22"/>
                <w:szCs w:val="22"/>
              </w:rPr>
              <w:t>15 290,00</w:t>
            </w:r>
          </w:p>
        </w:tc>
      </w:tr>
      <w:tr w:rsidR="00F07E05" w:rsidRPr="0014738D" w:rsidTr="008A253E">
        <w:trPr>
          <w:trHeight w:val="3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Default="00F07E05" w:rsidP="008A253E">
            <w:pPr>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301</w:t>
            </w:r>
          </w:p>
        </w:tc>
        <w:tc>
          <w:tcPr>
            <w:tcW w:w="14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125</w:t>
            </w:r>
          </w:p>
        </w:tc>
        <w:tc>
          <w:tcPr>
            <w:tcW w:w="14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6</w:t>
            </w:r>
          </w:p>
        </w:tc>
        <w:tc>
          <w:tcPr>
            <w:tcW w:w="21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20.07.21 14.00-20.00</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07E05" w:rsidRPr="0014738D" w:rsidRDefault="00F07E05" w:rsidP="008A253E">
            <w:pPr>
              <w:spacing w:line="276" w:lineRule="auto"/>
              <w:jc w:val="center"/>
              <w:rPr>
                <w:color w:val="FF0000"/>
                <w:sz w:val="22"/>
                <w:szCs w:val="22"/>
                <w:lang w:eastAsia="en-US"/>
              </w:rPr>
            </w:pPr>
            <w:r w:rsidRPr="0014738D">
              <w:rPr>
                <w:sz w:val="22"/>
                <w:szCs w:val="22"/>
              </w:rPr>
              <w:t>22 935,00</w:t>
            </w:r>
          </w:p>
        </w:tc>
      </w:tr>
      <w:tr w:rsidR="00F07E05" w:rsidRPr="0014738D" w:rsidTr="008A253E">
        <w:trPr>
          <w:trHeight w:val="3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Default="00F07E05" w:rsidP="008A253E">
            <w:pPr>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301</w:t>
            </w:r>
          </w:p>
        </w:tc>
        <w:tc>
          <w:tcPr>
            <w:tcW w:w="14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125</w:t>
            </w:r>
          </w:p>
        </w:tc>
        <w:tc>
          <w:tcPr>
            <w:tcW w:w="14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7</w:t>
            </w:r>
          </w:p>
        </w:tc>
        <w:tc>
          <w:tcPr>
            <w:tcW w:w="21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03.08.21 12.30-19.00</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07E05" w:rsidRPr="0014738D" w:rsidRDefault="00F07E05" w:rsidP="008A253E">
            <w:pPr>
              <w:spacing w:line="276" w:lineRule="auto"/>
              <w:jc w:val="center"/>
              <w:rPr>
                <w:color w:val="FF0000"/>
                <w:sz w:val="22"/>
                <w:szCs w:val="22"/>
                <w:lang w:eastAsia="en-US"/>
              </w:rPr>
            </w:pPr>
            <w:r w:rsidRPr="0014738D">
              <w:rPr>
                <w:sz w:val="22"/>
                <w:szCs w:val="22"/>
              </w:rPr>
              <w:t>26 757,50</w:t>
            </w:r>
          </w:p>
        </w:tc>
      </w:tr>
      <w:tr w:rsidR="00F07E05" w:rsidRPr="0014738D" w:rsidTr="008A253E">
        <w:trPr>
          <w:trHeight w:val="3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Default="00F07E05" w:rsidP="008A253E">
            <w:pPr>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301</w:t>
            </w:r>
          </w:p>
        </w:tc>
        <w:tc>
          <w:tcPr>
            <w:tcW w:w="14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125</w:t>
            </w:r>
          </w:p>
        </w:tc>
        <w:tc>
          <w:tcPr>
            <w:tcW w:w="14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5</w:t>
            </w:r>
          </w:p>
        </w:tc>
        <w:tc>
          <w:tcPr>
            <w:tcW w:w="21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26.10.21 09.00-14.00</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07E05" w:rsidRPr="0014738D" w:rsidRDefault="00F07E05" w:rsidP="008A253E">
            <w:pPr>
              <w:spacing w:line="276" w:lineRule="auto"/>
              <w:jc w:val="center"/>
              <w:rPr>
                <w:color w:val="FF0000"/>
                <w:sz w:val="22"/>
                <w:szCs w:val="22"/>
                <w:lang w:eastAsia="en-US"/>
              </w:rPr>
            </w:pPr>
            <w:r w:rsidRPr="0014738D">
              <w:rPr>
                <w:sz w:val="22"/>
                <w:szCs w:val="22"/>
              </w:rPr>
              <w:t>19 112,50</w:t>
            </w:r>
          </w:p>
        </w:tc>
      </w:tr>
      <w:tr w:rsidR="00F07E05" w:rsidRPr="0014738D" w:rsidTr="008A253E">
        <w:trPr>
          <w:trHeight w:val="3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Default="00F07E05" w:rsidP="008A253E">
            <w:pPr>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92-016</w:t>
            </w:r>
          </w:p>
        </w:tc>
        <w:tc>
          <w:tcPr>
            <w:tcW w:w="14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135,75</w:t>
            </w:r>
          </w:p>
        </w:tc>
        <w:tc>
          <w:tcPr>
            <w:tcW w:w="14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5</w:t>
            </w:r>
          </w:p>
        </w:tc>
        <w:tc>
          <w:tcPr>
            <w:tcW w:w="21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08.05.21 12.30-18.00</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07E05" w:rsidRPr="0014738D" w:rsidRDefault="00F07E05" w:rsidP="008A253E">
            <w:pPr>
              <w:spacing w:line="276" w:lineRule="auto"/>
              <w:jc w:val="center"/>
              <w:rPr>
                <w:color w:val="FF0000"/>
                <w:sz w:val="22"/>
                <w:szCs w:val="22"/>
                <w:lang w:eastAsia="en-US"/>
              </w:rPr>
            </w:pPr>
            <w:r w:rsidRPr="0014738D">
              <w:rPr>
                <w:sz w:val="22"/>
                <w:szCs w:val="22"/>
              </w:rPr>
              <w:t>20 756,18</w:t>
            </w:r>
          </w:p>
        </w:tc>
      </w:tr>
      <w:tr w:rsidR="00F07E05" w:rsidRPr="0014738D" w:rsidTr="008A253E">
        <w:trPr>
          <w:trHeight w:val="3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Default="00F07E05" w:rsidP="008A253E">
            <w:pPr>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92-016</w:t>
            </w:r>
          </w:p>
        </w:tc>
        <w:tc>
          <w:tcPr>
            <w:tcW w:w="14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135,75</w:t>
            </w:r>
          </w:p>
        </w:tc>
        <w:tc>
          <w:tcPr>
            <w:tcW w:w="14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4</w:t>
            </w:r>
          </w:p>
        </w:tc>
        <w:tc>
          <w:tcPr>
            <w:tcW w:w="21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01.06.21 09.00-13.00</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07E05" w:rsidRPr="0014738D" w:rsidRDefault="00F07E05" w:rsidP="008A253E">
            <w:pPr>
              <w:spacing w:line="276" w:lineRule="auto"/>
              <w:jc w:val="center"/>
              <w:rPr>
                <w:color w:val="FF0000"/>
                <w:sz w:val="22"/>
                <w:szCs w:val="22"/>
                <w:lang w:eastAsia="en-US"/>
              </w:rPr>
            </w:pPr>
            <w:r w:rsidRPr="0014738D">
              <w:rPr>
                <w:sz w:val="22"/>
                <w:szCs w:val="22"/>
              </w:rPr>
              <w:t>16 604,94</w:t>
            </w:r>
          </w:p>
        </w:tc>
      </w:tr>
      <w:tr w:rsidR="00F07E05" w:rsidRPr="0014738D" w:rsidTr="008A253E">
        <w:trPr>
          <w:trHeight w:val="3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Default="00F07E05" w:rsidP="008A253E">
            <w:pPr>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92-016</w:t>
            </w:r>
          </w:p>
        </w:tc>
        <w:tc>
          <w:tcPr>
            <w:tcW w:w="14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135,75</w:t>
            </w:r>
          </w:p>
        </w:tc>
        <w:tc>
          <w:tcPr>
            <w:tcW w:w="14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8</w:t>
            </w:r>
          </w:p>
        </w:tc>
        <w:tc>
          <w:tcPr>
            <w:tcW w:w="21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05.06.21 11.15-19.10</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07E05" w:rsidRPr="0014738D" w:rsidRDefault="00F07E05" w:rsidP="008A253E">
            <w:pPr>
              <w:spacing w:line="276" w:lineRule="auto"/>
              <w:jc w:val="center"/>
              <w:rPr>
                <w:color w:val="FF0000"/>
                <w:sz w:val="22"/>
                <w:szCs w:val="22"/>
                <w:lang w:eastAsia="en-US"/>
              </w:rPr>
            </w:pPr>
            <w:r w:rsidRPr="0014738D">
              <w:rPr>
                <w:sz w:val="22"/>
                <w:szCs w:val="22"/>
              </w:rPr>
              <w:t>33 209,88</w:t>
            </w:r>
          </w:p>
        </w:tc>
      </w:tr>
      <w:tr w:rsidR="00F07E05" w:rsidRPr="0014738D" w:rsidTr="008A253E">
        <w:trPr>
          <w:trHeight w:val="3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Default="00F07E05" w:rsidP="008A253E">
            <w:pPr>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92-016</w:t>
            </w:r>
          </w:p>
        </w:tc>
        <w:tc>
          <w:tcPr>
            <w:tcW w:w="14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135,75</w:t>
            </w:r>
          </w:p>
        </w:tc>
        <w:tc>
          <w:tcPr>
            <w:tcW w:w="14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5</w:t>
            </w:r>
          </w:p>
        </w:tc>
        <w:tc>
          <w:tcPr>
            <w:tcW w:w="21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12.06.21 12.30-17.00</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07E05" w:rsidRPr="0014738D" w:rsidRDefault="00F07E05" w:rsidP="008A253E">
            <w:pPr>
              <w:spacing w:line="276" w:lineRule="auto"/>
              <w:jc w:val="center"/>
              <w:rPr>
                <w:color w:val="FF0000"/>
                <w:sz w:val="22"/>
                <w:szCs w:val="22"/>
                <w:lang w:eastAsia="en-US"/>
              </w:rPr>
            </w:pPr>
            <w:r w:rsidRPr="0014738D">
              <w:rPr>
                <w:sz w:val="22"/>
                <w:szCs w:val="22"/>
              </w:rPr>
              <w:t>20 756,18</w:t>
            </w:r>
          </w:p>
        </w:tc>
      </w:tr>
      <w:tr w:rsidR="00F07E05" w:rsidRPr="0014738D" w:rsidTr="008A253E">
        <w:trPr>
          <w:trHeight w:val="3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Default="00F07E05" w:rsidP="008A253E">
            <w:pPr>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92-016</w:t>
            </w:r>
          </w:p>
        </w:tc>
        <w:tc>
          <w:tcPr>
            <w:tcW w:w="14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135,75</w:t>
            </w:r>
          </w:p>
        </w:tc>
        <w:tc>
          <w:tcPr>
            <w:tcW w:w="14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8</w:t>
            </w:r>
          </w:p>
        </w:tc>
        <w:tc>
          <w:tcPr>
            <w:tcW w:w="21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13.07.21 11.30-19.00</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07E05" w:rsidRPr="0014738D" w:rsidRDefault="00F07E05" w:rsidP="008A253E">
            <w:pPr>
              <w:spacing w:line="276" w:lineRule="auto"/>
              <w:jc w:val="center"/>
              <w:rPr>
                <w:color w:val="FF0000"/>
                <w:sz w:val="22"/>
                <w:szCs w:val="22"/>
                <w:lang w:eastAsia="en-US"/>
              </w:rPr>
            </w:pPr>
            <w:r w:rsidRPr="0014738D">
              <w:rPr>
                <w:sz w:val="22"/>
                <w:szCs w:val="22"/>
              </w:rPr>
              <w:t>33 209,88</w:t>
            </w:r>
          </w:p>
        </w:tc>
      </w:tr>
      <w:tr w:rsidR="00F07E05" w:rsidRPr="0014738D" w:rsidTr="008A253E">
        <w:trPr>
          <w:trHeight w:val="3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Default="00F07E05" w:rsidP="008A253E">
            <w:pPr>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sz w:val="22"/>
                <w:szCs w:val="22"/>
                <w:lang w:val="en-US" w:eastAsia="en-US"/>
              </w:rPr>
              <w:t>PV-300</w:t>
            </w:r>
          </w:p>
        </w:tc>
        <w:tc>
          <w:tcPr>
            <w:tcW w:w="14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141,15</w:t>
            </w:r>
          </w:p>
        </w:tc>
        <w:tc>
          <w:tcPr>
            <w:tcW w:w="14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7</w:t>
            </w:r>
          </w:p>
        </w:tc>
        <w:tc>
          <w:tcPr>
            <w:tcW w:w="21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11.05.21 11.10-18.00</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07E05" w:rsidRPr="0014738D" w:rsidRDefault="00F07E05" w:rsidP="008A253E">
            <w:pPr>
              <w:spacing w:line="276" w:lineRule="auto"/>
              <w:jc w:val="center"/>
              <w:rPr>
                <w:color w:val="FF0000"/>
                <w:sz w:val="22"/>
                <w:szCs w:val="22"/>
                <w:lang w:eastAsia="en-US"/>
              </w:rPr>
            </w:pPr>
            <w:r w:rsidRPr="0014738D">
              <w:rPr>
                <w:sz w:val="22"/>
                <w:szCs w:val="22"/>
              </w:rPr>
              <w:t>30 214,57</w:t>
            </w:r>
          </w:p>
        </w:tc>
      </w:tr>
      <w:tr w:rsidR="00F07E05" w:rsidRPr="0014738D" w:rsidTr="008A253E">
        <w:trPr>
          <w:trHeight w:val="3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Default="00F07E05" w:rsidP="008A253E">
            <w:pPr>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sz w:val="22"/>
                <w:szCs w:val="22"/>
                <w:lang w:val="en-US" w:eastAsia="en-US"/>
              </w:rPr>
              <w:t>PV-300</w:t>
            </w:r>
          </w:p>
        </w:tc>
        <w:tc>
          <w:tcPr>
            <w:tcW w:w="14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141,15</w:t>
            </w:r>
          </w:p>
        </w:tc>
        <w:tc>
          <w:tcPr>
            <w:tcW w:w="14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6</w:t>
            </w:r>
          </w:p>
        </w:tc>
        <w:tc>
          <w:tcPr>
            <w:tcW w:w="21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12.06.21 14.00-20.00</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07E05" w:rsidRPr="0014738D" w:rsidRDefault="00F07E05" w:rsidP="008A253E">
            <w:pPr>
              <w:spacing w:line="276" w:lineRule="auto"/>
              <w:jc w:val="center"/>
              <w:rPr>
                <w:color w:val="FF0000"/>
                <w:sz w:val="22"/>
                <w:szCs w:val="22"/>
                <w:lang w:eastAsia="en-US"/>
              </w:rPr>
            </w:pPr>
            <w:r w:rsidRPr="0014738D">
              <w:rPr>
                <w:sz w:val="22"/>
                <w:szCs w:val="22"/>
              </w:rPr>
              <w:t>25 898,20</w:t>
            </w:r>
          </w:p>
        </w:tc>
      </w:tr>
      <w:tr w:rsidR="00F07E05" w:rsidRPr="0014738D" w:rsidTr="008A253E">
        <w:trPr>
          <w:trHeight w:val="3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Default="00F07E05" w:rsidP="008A253E">
            <w:pPr>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sz w:val="22"/>
                <w:szCs w:val="22"/>
                <w:lang w:val="en-US" w:eastAsia="en-US"/>
              </w:rPr>
              <w:t>PV-300</w:t>
            </w:r>
          </w:p>
        </w:tc>
        <w:tc>
          <w:tcPr>
            <w:tcW w:w="14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141,15</w:t>
            </w:r>
          </w:p>
        </w:tc>
        <w:tc>
          <w:tcPr>
            <w:tcW w:w="14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10</w:t>
            </w:r>
          </w:p>
        </w:tc>
        <w:tc>
          <w:tcPr>
            <w:tcW w:w="21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24.07.21 08.00-18.00</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07E05" w:rsidRPr="0014738D" w:rsidRDefault="00F07E05" w:rsidP="008A253E">
            <w:pPr>
              <w:spacing w:line="276" w:lineRule="auto"/>
              <w:jc w:val="center"/>
              <w:rPr>
                <w:color w:val="FF0000"/>
                <w:sz w:val="22"/>
                <w:szCs w:val="22"/>
                <w:lang w:eastAsia="en-US"/>
              </w:rPr>
            </w:pPr>
            <w:r w:rsidRPr="0014738D">
              <w:rPr>
                <w:sz w:val="22"/>
                <w:szCs w:val="22"/>
              </w:rPr>
              <w:t>43 163,67</w:t>
            </w:r>
          </w:p>
        </w:tc>
      </w:tr>
      <w:tr w:rsidR="00F07E05" w:rsidRPr="0014738D" w:rsidTr="008A253E">
        <w:trPr>
          <w:trHeight w:val="3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Default="00F07E05" w:rsidP="008A253E">
            <w:pPr>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301</w:t>
            </w:r>
          </w:p>
        </w:tc>
        <w:tc>
          <w:tcPr>
            <w:tcW w:w="14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125</w:t>
            </w:r>
          </w:p>
        </w:tc>
        <w:tc>
          <w:tcPr>
            <w:tcW w:w="14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5</w:t>
            </w:r>
          </w:p>
        </w:tc>
        <w:tc>
          <w:tcPr>
            <w:tcW w:w="21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18.05.21 15.50-20.30</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07E05" w:rsidRPr="0014738D" w:rsidRDefault="00F07E05" w:rsidP="008A253E">
            <w:pPr>
              <w:spacing w:line="276" w:lineRule="auto"/>
              <w:jc w:val="center"/>
              <w:rPr>
                <w:color w:val="FF0000"/>
                <w:sz w:val="22"/>
                <w:szCs w:val="22"/>
                <w:lang w:eastAsia="en-US"/>
              </w:rPr>
            </w:pPr>
            <w:r w:rsidRPr="0014738D">
              <w:rPr>
                <w:sz w:val="22"/>
                <w:szCs w:val="22"/>
              </w:rPr>
              <w:t>19 112,50</w:t>
            </w:r>
          </w:p>
        </w:tc>
      </w:tr>
      <w:tr w:rsidR="00F07E05" w:rsidRPr="0014738D" w:rsidTr="008A253E">
        <w:trPr>
          <w:trHeight w:val="3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Default="00F07E05" w:rsidP="008A253E">
            <w:pPr>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92-016</w:t>
            </w:r>
          </w:p>
        </w:tc>
        <w:tc>
          <w:tcPr>
            <w:tcW w:w="14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135,66</w:t>
            </w:r>
          </w:p>
        </w:tc>
        <w:tc>
          <w:tcPr>
            <w:tcW w:w="14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6</w:t>
            </w:r>
          </w:p>
        </w:tc>
        <w:tc>
          <w:tcPr>
            <w:tcW w:w="21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18.05.21 08.00-14.00</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07E05" w:rsidRPr="0014738D" w:rsidRDefault="00F07E05" w:rsidP="008A253E">
            <w:pPr>
              <w:spacing w:line="276" w:lineRule="auto"/>
              <w:jc w:val="center"/>
              <w:rPr>
                <w:color w:val="FF0000"/>
                <w:sz w:val="22"/>
                <w:szCs w:val="22"/>
                <w:lang w:eastAsia="en-US"/>
              </w:rPr>
            </w:pPr>
            <w:r w:rsidRPr="0014738D">
              <w:rPr>
                <w:sz w:val="22"/>
                <w:szCs w:val="22"/>
              </w:rPr>
              <w:t>24 890,90</w:t>
            </w:r>
          </w:p>
        </w:tc>
      </w:tr>
      <w:tr w:rsidR="00F07E05" w:rsidRPr="0014738D" w:rsidTr="008A253E">
        <w:trPr>
          <w:trHeight w:val="3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Default="00F07E05" w:rsidP="008A253E">
            <w:pPr>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92-016</w:t>
            </w:r>
          </w:p>
        </w:tc>
        <w:tc>
          <w:tcPr>
            <w:tcW w:w="14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135,66</w:t>
            </w:r>
          </w:p>
        </w:tc>
        <w:tc>
          <w:tcPr>
            <w:tcW w:w="14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7</w:t>
            </w:r>
          </w:p>
        </w:tc>
        <w:tc>
          <w:tcPr>
            <w:tcW w:w="21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22.05.21 11.30-18.00</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07E05" w:rsidRPr="0014738D" w:rsidRDefault="00F07E05" w:rsidP="008A253E">
            <w:pPr>
              <w:spacing w:line="276" w:lineRule="auto"/>
              <w:jc w:val="center"/>
              <w:rPr>
                <w:color w:val="FF0000"/>
                <w:sz w:val="22"/>
                <w:szCs w:val="22"/>
                <w:lang w:eastAsia="en-US"/>
              </w:rPr>
            </w:pPr>
            <w:r w:rsidRPr="0014738D">
              <w:rPr>
                <w:sz w:val="22"/>
                <w:szCs w:val="22"/>
              </w:rPr>
              <w:t>29 039,38</w:t>
            </w:r>
          </w:p>
        </w:tc>
      </w:tr>
      <w:tr w:rsidR="00F07E05" w:rsidRPr="0014738D" w:rsidTr="008A253E">
        <w:trPr>
          <w:trHeight w:val="3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Default="00F07E05" w:rsidP="008A253E">
            <w:pPr>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92-016</w:t>
            </w:r>
          </w:p>
        </w:tc>
        <w:tc>
          <w:tcPr>
            <w:tcW w:w="14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135,66</w:t>
            </w:r>
          </w:p>
        </w:tc>
        <w:tc>
          <w:tcPr>
            <w:tcW w:w="14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5</w:t>
            </w:r>
          </w:p>
        </w:tc>
        <w:tc>
          <w:tcPr>
            <w:tcW w:w="21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06.06.21 15.35-20.00</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07E05" w:rsidRPr="0014738D" w:rsidRDefault="00F07E05" w:rsidP="008A253E">
            <w:pPr>
              <w:spacing w:line="276" w:lineRule="auto"/>
              <w:jc w:val="center"/>
              <w:rPr>
                <w:color w:val="FF0000"/>
                <w:sz w:val="22"/>
                <w:szCs w:val="22"/>
                <w:lang w:eastAsia="en-US"/>
              </w:rPr>
            </w:pPr>
            <w:r w:rsidRPr="0014738D">
              <w:rPr>
                <w:sz w:val="22"/>
                <w:szCs w:val="22"/>
              </w:rPr>
              <w:t>20 742,41</w:t>
            </w:r>
          </w:p>
        </w:tc>
      </w:tr>
      <w:tr w:rsidR="00F07E05" w:rsidRPr="0014738D" w:rsidTr="008A253E">
        <w:trPr>
          <w:trHeight w:val="3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Default="00F07E05" w:rsidP="008A253E">
            <w:pPr>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92-016</w:t>
            </w:r>
          </w:p>
        </w:tc>
        <w:tc>
          <w:tcPr>
            <w:tcW w:w="14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135,66</w:t>
            </w:r>
          </w:p>
        </w:tc>
        <w:tc>
          <w:tcPr>
            <w:tcW w:w="14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5</w:t>
            </w:r>
          </w:p>
        </w:tc>
        <w:tc>
          <w:tcPr>
            <w:tcW w:w="21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29.06.21 09.00-14.00</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07E05" w:rsidRPr="0014738D" w:rsidRDefault="00F07E05" w:rsidP="008A253E">
            <w:pPr>
              <w:spacing w:line="276" w:lineRule="auto"/>
              <w:jc w:val="center"/>
              <w:rPr>
                <w:color w:val="FF0000"/>
                <w:sz w:val="22"/>
                <w:szCs w:val="22"/>
                <w:lang w:eastAsia="en-US"/>
              </w:rPr>
            </w:pPr>
            <w:r w:rsidRPr="0014738D">
              <w:rPr>
                <w:sz w:val="22"/>
                <w:szCs w:val="22"/>
              </w:rPr>
              <w:t>20 742,41</w:t>
            </w:r>
          </w:p>
        </w:tc>
      </w:tr>
      <w:tr w:rsidR="00F07E05" w:rsidRPr="0014738D" w:rsidTr="008A253E">
        <w:trPr>
          <w:trHeight w:val="3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Default="00F07E05" w:rsidP="008A253E">
            <w:pPr>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92-016</w:t>
            </w:r>
          </w:p>
        </w:tc>
        <w:tc>
          <w:tcPr>
            <w:tcW w:w="14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135,66</w:t>
            </w:r>
          </w:p>
        </w:tc>
        <w:tc>
          <w:tcPr>
            <w:tcW w:w="14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11</w:t>
            </w:r>
          </w:p>
        </w:tc>
        <w:tc>
          <w:tcPr>
            <w:tcW w:w="21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31.07.21 09.00-20.00</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07E05" w:rsidRPr="0014738D" w:rsidRDefault="00F07E05" w:rsidP="008A253E">
            <w:pPr>
              <w:spacing w:line="276" w:lineRule="auto"/>
              <w:jc w:val="center"/>
              <w:rPr>
                <w:color w:val="FF0000"/>
                <w:sz w:val="22"/>
                <w:szCs w:val="22"/>
                <w:lang w:eastAsia="en-US"/>
              </w:rPr>
            </w:pPr>
            <w:r w:rsidRPr="0014738D">
              <w:rPr>
                <w:sz w:val="22"/>
                <w:szCs w:val="22"/>
              </w:rPr>
              <w:t>45 633,31</w:t>
            </w:r>
          </w:p>
        </w:tc>
      </w:tr>
      <w:tr w:rsidR="00F07E05" w:rsidRPr="0014738D" w:rsidTr="008A253E">
        <w:trPr>
          <w:trHeight w:val="3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Default="00F07E05" w:rsidP="008A253E">
            <w:pPr>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92-016</w:t>
            </w:r>
          </w:p>
        </w:tc>
        <w:tc>
          <w:tcPr>
            <w:tcW w:w="14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135,66</w:t>
            </w:r>
          </w:p>
        </w:tc>
        <w:tc>
          <w:tcPr>
            <w:tcW w:w="14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5</w:t>
            </w:r>
          </w:p>
        </w:tc>
        <w:tc>
          <w:tcPr>
            <w:tcW w:w="21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17.08.21 09.00-14.00</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07E05" w:rsidRPr="0014738D" w:rsidRDefault="00F07E05" w:rsidP="008A253E">
            <w:pPr>
              <w:spacing w:line="276" w:lineRule="auto"/>
              <w:jc w:val="center"/>
              <w:rPr>
                <w:color w:val="FF0000"/>
                <w:sz w:val="22"/>
                <w:szCs w:val="22"/>
                <w:lang w:eastAsia="en-US"/>
              </w:rPr>
            </w:pPr>
            <w:r w:rsidRPr="0014738D">
              <w:rPr>
                <w:sz w:val="22"/>
                <w:szCs w:val="22"/>
              </w:rPr>
              <w:t>20 742,41</w:t>
            </w:r>
          </w:p>
        </w:tc>
      </w:tr>
      <w:tr w:rsidR="00F07E05" w:rsidRPr="0014738D" w:rsidTr="008A253E">
        <w:trPr>
          <w:trHeight w:val="3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Default="00F07E05" w:rsidP="008A253E">
            <w:pPr>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92-016</w:t>
            </w:r>
          </w:p>
        </w:tc>
        <w:tc>
          <w:tcPr>
            <w:tcW w:w="14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135,66</w:t>
            </w:r>
          </w:p>
        </w:tc>
        <w:tc>
          <w:tcPr>
            <w:tcW w:w="14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11</w:t>
            </w:r>
          </w:p>
        </w:tc>
        <w:tc>
          <w:tcPr>
            <w:tcW w:w="21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21.08.21 09.00-20.00</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07E05" w:rsidRPr="0014738D" w:rsidRDefault="00F07E05" w:rsidP="008A253E">
            <w:pPr>
              <w:spacing w:line="276" w:lineRule="auto"/>
              <w:jc w:val="center"/>
              <w:rPr>
                <w:color w:val="FF0000"/>
                <w:sz w:val="22"/>
                <w:szCs w:val="22"/>
                <w:lang w:eastAsia="en-US"/>
              </w:rPr>
            </w:pPr>
            <w:r w:rsidRPr="0014738D">
              <w:rPr>
                <w:sz w:val="22"/>
                <w:szCs w:val="22"/>
              </w:rPr>
              <w:t>45 633,31</w:t>
            </w:r>
          </w:p>
        </w:tc>
      </w:tr>
      <w:tr w:rsidR="00F07E05" w:rsidRPr="0014738D" w:rsidTr="008A253E">
        <w:trPr>
          <w:trHeight w:val="3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Default="00F07E05" w:rsidP="008A253E">
            <w:pPr>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92-016</w:t>
            </w:r>
          </w:p>
        </w:tc>
        <w:tc>
          <w:tcPr>
            <w:tcW w:w="14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135,66</w:t>
            </w:r>
          </w:p>
        </w:tc>
        <w:tc>
          <w:tcPr>
            <w:tcW w:w="14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11</w:t>
            </w:r>
          </w:p>
        </w:tc>
        <w:tc>
          <w:tcPr>
            <w:tcW w:w="21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18.09.21 09.00-20.00</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07E05" w:rsidRPr="0014738D" w:rsidRDefault="00F07E05" w:rsidP="008A253E">
            <w:pPr>
              <w:spacing w:line="276" w:lineRule="auto"/>
              <w:jc w:val="center"/>
              <w:rPr>
                <w:color w:val="FF0000"/>
                <w:sz w:val="22"/>
                <w:szCs w:val="22"/>
                <w:lang w:eastAsia="en-US"/>
              </w:rPr>
            </w:pPr>
            <w:r w:rsidRPr="0014738D">
              <w:rPr>
                <w:sz w:val="22"/>
                <w:szCs w:val="22"/>
              </w:rPr>
              <w:t>45 633,31</w:t>
            </w:r>
          </w:p>
        </w:tc>
      </w:tr>
      <w:tr w:rsidR="00F07E05" w:rsidRPr="0014738D" w:rsidTr="008A253E">
        <w:trPr>
          <w:trHeight w:val="3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Default="00F07E05" w:rsidP="008A253E">
            <w:pPr>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301</w:t>
            </w:r>
          </w:p>
        </w:tc>
        <w:tc>
          <w:tcPr>
            <w:tcW w:w="14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125</w:t>
            </w:r>
          </w:p>
        </w:tc>
        <w:tc>
          <w:tcPr>
            <w:tcW w:w="14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6</w:t>
            </w:r>
          </w:p>
        </w:tc>
        <w:tc>
          <w:tcPr>
            <w:tcW w:w="21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23.06.21 09.00-15.00</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07E05" w:rsidRPr="0014738D" w:rsidRDefault="00F07E05" w:rsidP="008A253E">
            <w:pPr>
              <w:spacing w:line="276" w:lineRule="auto"/>
              <w:jc w:val="center"/>
              <w:rPr>
                <w:color w:val="FF0000"/>
                <w:sz w:val="22"/>
                <w:szCs w:val="22"/>
                <w:lang w:eastAsia="en-US"/>
              </w:rPr>
            </w:pPr>
            <w:r w:rsidRPr="0014738D">
              <w:rPr>
                <w:sz w:val="22"/>
                <w:szCs w:val="22"/>
              </w:rPr>
              <w:t>22 935,00</w:t>
            </w:r>
          </w:p>
        </w:tc>
      </w:tr>
      <w:tr w:rsidR="00F07E05" w:rsidRPr="0014738D" w:rsidTr="008A253E">
        <w:trPr>
          <w:trHeight w:val="3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Default="00F07E05" w:rsidP="008A253E">
            <w:pPr>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301</w:t>
            </w:r>
          </w:p>
        </w:tc>
        <w:tc>
          <w:tcPr>
            <w:tcW w:w="14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125</w:t>
            </w:r>
          </w:p>
        </w:tc>
        <w:tc>
          <w:tcPr>
            <w:tcW w:w="14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5</w:t>
            </w:r>
          </w:p>
        </w:tc>
        <w:tc>
          <w:tcPr>
            <w:tcW w:w="21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12.10.21 09.00-14.00</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07E05" w:rsidRPr="0014738D" w:rsidRDefault="00F07E05" w:rsidP="008A253E">
            <w:pPr>
              <w:spacing w:line="276" w:lineRule="auto"/>
              <w:jc w:val="center"/>
              <w:rPr>
                <w:color w:val="FF0000"/>
                <w:sz w:val="22"/>
                <w:szCs w:val="22"/>
                <w:lang w:eastAsia="en-US"/>
              </w:rPr>
            </w:pPr>
            <w:r w:rsidRPr="0014738D">
              <w:rPr>
                <w:sz w:val="22"/>
                <w:szCs w:val="22"/>
              </w:rPr>
              <w:t>19 112,50</w:t>
            </w:r>
          </w:p>
        </w:tc>
      </w:tr>
      <w:tr w:rsidR="00F07E05" w:rsidRPr="0014738D" w:rsidTr="008A253E">
        <w:trPr>
          <w:trHeight w:val="3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Default="00F07E05" w:rsidP="008A253E">
            <w:pPr>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301</w:t>
            </w:r>
          </w:p>
        </w:tc>
        <w:tc>
          <w:tcPr>
            <w:tcW w:w="14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125</w:t>
            </w:r>
          </w:p>
        </w:tc>
        <w:tc>
          <w:tcPr>
            <w:tcW w:w="14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5</w:t>
            </w:r>
          </w:p>
        </w:tc>
        <w:tc>
          <w:tcPr>
            <w:tcW w:w="21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19.10.21 09.00-14.00</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07E05" w:rsidRPr="0014738D" w:rsidRDefault="00F07E05" w:rsidP="008A253E">
            <w:pPr>
              <w:spacing w:line="276" w:lineRule="auto"/>
              <w:jc w:val="center"/>
              <w:rPr>
                <w:color w:val="FF0000"/>
                <w:sz w:val="22"/>
                <w:szCs w:val="22"/>
                <w:lang w:eastAsia="en-US"/>
              </w:rPr>
            </w:pPr>
            <w:r w:rsidRPr="0014738D">
              <w:rPr>
                <w:sz w:val="22"/>
                <w:szCs w:val="22"/>
              </w:rPr>
              <w:t>19 112,50</w:t>
            </w:r>
          </w:p>
        </w:tc>
      </w:tr>
      <w:tr w:rsidR="00F07E05" w:rsidRPr="0014738D" w:rsidTr="008A253E">
        <w:trPr>
          <w:trHeight w:val="3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Default="00F07E05" w:rsidP="008A253E">
            <w:pPr>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301</w:t>
            </w:r>
          </w:p>
        </w:tc>
        <w:tc>
          <w:tcPr>
            <w:tcW w:w="14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125</w:t>
            </w:r>
          </w:p>
        </w:tc>
        <w:tc>
          <w:tcPr>
            <w:tcW w:w="14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6</w:t>
            </w:r>
          </w:p>
        </w:tc>
        <w:tc>
          <w:tcPr>
            <w:tcW w:w="21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28.10.21 09.00-15.00</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07E05" w:rsidRPr="0014738D" w:rsidRDefault="00F07E05" w:rsidP="008A253E">
            <w:pPr>
              <w:spacing w:line="276" w:lineRule="auto"/>
              <w:jc w:val="center"/>
              <w:rPr>
                <w:color w:val="FF0000"/>
                <w:sz w:val="22"/>
                <w:szCs w:val="22"/>
                <w:lang w:eastAsia="en-US"/>
              </w:rPr>
            </w:pPr>
            <w:r w:rsidRPr="0014738D">
              <w:rPr>
                <w:sz w:val="22"/>
                <w:szCs w:val="22"/>
              </w:rPr>
              <w:t>22 935,00</w:t>
            </w:r>
          </w:p>
        </w:tc>
      </w:tr>
      <w:tr w:rsidR="00F07E05" w:rsidRPr="0014738D" w:rsidTr="008A253E">
        <w:trPr>
          <w:trHeight w:val="3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Default="00F07E05" w:rsidP="008A253E">
            <w:pPr>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301</w:t>
            </w:r>
          </w:p>
        </w:tc>
        <w:tc>
          <w:tcPr>
            <w:tcW w:w="14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125</w:t>
            </w:r>
          </w:p>
        </w:tc>
        <w:tc>
          <w:tcPr>
            <w:tcW w:w="14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6</w:t>
            </w:r>
          </w:p>
        </w:tc>
        <w:tc>
          <w:tcPr>
            <w:tcW w:w="21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04.11.21 09.00-15.00</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07E05" w:rsidRPr="0014738D" w:rsidRDefault="00F07E05" w:rsidP="008A253E">
            <w:pPr>
              <w:spacing w:line="276" w:lineRule="auto"/>
              <w:jc w:val="center"/>
              <w:rPr>
                <w:color w:val="FF0000"/>
                <w:sz w:val="22"/>
                <w:szCs w:val="22"/>
                <w:lang w:eastAsia="en-US"/>
              </w:rPr>
            </w:pPr>
            <w:r w:rsidRPr="0014738D">
              <w:rPr>
                <w:sz w:val="22"/>
                <w:szCs w:val="22"/>
              </w:rPr>
              <w:t>22 935,00</w:t>
            </w:r>
          </w:p>
        </w:tc>
      </w:tr>
      <w:tr w:rsidR="00F07E05" w:rsidRPr="0014738D" w:rsidTr="008A253E">
        <w:trPr>
          <w:trHeight w:val="3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Default="00F07E05" w:rsidP="008A253E">
            <w:pPr>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92-016</w:t>
            </w:r>
          </w:p>
        </w:tc>
        <w:tc>
          <w:tcPr>
            <w:tcW w:w="14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135,75</w:t>
            </w:r>
          </w:p>
        </w:tc>
        <w:tc>
          <w:tcPr>
            <w:tcW w:w="14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5</w:t>
            </w:r>
          </w:p>
        </w:tc>
        <w:tc>
          <w:tcPr>
            <w:tcW w:w="21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15.07.21 13.00-18.00</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07E05" w:rsidRPr="0014738D" w:rsidRDefault="00F07E05" w:rsidP="008A253E">
            <w:pPr>
              <w:spacing w:line="276" w:lineRule="auto"/>
              <w:jc w:val="center"/>
              <w:rPr>
                <w:color w:val="FF0000"/>
                <w:sz w:val="22"/>
                <w:szCs w:val="22"/>
                <w:lang w:eastAsia="en-US"/>
              </w:rPr>
            </w:pPr>
            <w:r w:rsidRPr="0014738D">
              <w:rPr>
                <w:sz w:val="22"/>
                <w:szCs w:val="22"/>
              </w:rPr>
              <w:t>20 756,18</w:t>
            </w:r>
          </w:p>
        </w:tc>
      </w:tr>
      <w:tr w:rsidR="00F07E05" w:rsidRPr="0014738D" w:rsidTr="008A253E">
        <w:trPr>
          <w:trHeight w:val="3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Default="00F07E05" w:rsidP="008A253E">
            <w:pPr>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302</w:t>
            </w:r>
          </w:p>
        </w:tc>
        <w:tc>
          <w:tcPr>
            <w:tcW w:w="14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129,15</w:t>
            </w:r>
          </w:p>
        </w:tc>
        <w:tc>
          <w:tcPr>
            <w:tcW w:w="14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6</w:t>
            </w:r>
          </w:p>
        </w:tc>
        <w:tc>
          <w:tcPr>
            <w:tcW w:w="21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02.08.21 08.00-14.00</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07E05" w:rsidRPr="0014738D" w:rsidRDefault="00F07E05" w:rsidP="008A253E">
            <w:pPr>
              <w:spacing w:line="276" w:lineRule="auto"/>
              <w:jc w:val="center"/>
              <w:rPr>
                <w:color w:val="FF0000"/>
                <w:sz w:val="22"/>
                <w:szCs w:val="22"/>
                <w:lang w:eastAsia="en-US"/>
              </w:rPr>
            </w:pPr>
            <w:r w:rsidRPr="0014738D">
              <w:rPr>
                <w:sz w:val="22"/>
                <w:szCs w:val="22"/>
              </w:rPr>
              <w:t>23 696,44</w:t>
            </w:r>
          </w:p>
        </w:tc>
      </w:tr>
      <w:tr w:rsidR="00F07E05" w:rsidRPr="0014738D" w:rsidTr="008A253E">
        <w:trPr>
          <w:trHeight w:val="3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Default="00F07E05" w:rsidP="008A253E">
            <w:pPr>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92-016</w:t>
            </w:r>
          </w:p>
        </w:tc>
        <w:tc>
          <w:tcPr>
            <w:tcW w:w="14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135,75</w:t>
            </w:r>
          </w:p>
        </w:tc>
        <w:tc>
          <w:tcPr>
            <w:tcW w:w="14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5</w:t>
            </w:r>
          </w:p>
        </w:tc>
        <w:tc>
          <w:tcPr>
            <w:tcW w:w="21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13.08.21 14.00-19.00</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07E05" w:rsidRPr="0014738D" w:rsidRDefault="00F07E05" w:rsidP="008A253E">
            <w:pPr>
              <w:spacing w:line="276" w:lineRule="auto"/>
              <w:jc w:val="center"/>
              <w:rPr>
                <w:color w:val="FF0000"/>
                <w:sz w:val="22"/>
                <w:szCs w:val="22"/>
                <w:lang w:eastAsia="en-US"/>
              </w:rPr>
            </w:pPr>
            <w:r w:rsidRPr="0014738D">
              <w:rPr>
                <w:sz w:val="22"/>
                <w:szCs w:val="22"/>
              </w:rPr>
              <w:t>20 756,18</w:t>
            </w:r>
          </w:p>
        </w:tc>
      </w:tr>
      <w:tr w:rsidR="00F07E05" w:rsidRPr="0014738D" w:rsidTr="008A253E">
        <w:trPr>
          <w:trHeight w:val="3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Default="00F07E05" w:rsidP="008A253E">
            <w:pPr>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sz w:val="22"/>
                <w:szCs w:val="22"/>
                <w:lang w:val="en-US" w:eastAsia="en-US"/>
              </w:rPr>
              <w:t>PV-25</w:t>
            </w:r>
          </w:p>
        </w:tc>
        <w:tc>
          <w:tcPr>
            <w:tcW w:w="14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110,08</w:t>
            </w:r>
          </w:p>
        </w:tc>
        <w:tc>
          <w:tcPr>
            <w:tcW w:w="14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6</w:t>
            </w:r>
          </w:p>
        </w:tc>
        <w:tc>
          <w:tcPr>
            <w:tcW w:w="21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10.09.21 09.00-15.00</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07E05" w:rsidRPr="0014738D" w:rsidRDefault="00F07E05" w:rsidP="008A253E">
            <w:pPr>
              <w:spacing w:line="276" w:lineRule="auto"/>
              <w:jc w:val="center"/>
              <w:rPr>
                <w:color w:val="FF0000"/>
                <w:sz w:val="22"/>
                <w:szCs w:val="22"/>
                <w:lang w:eastAsia="en-US"/>
              </w:rPr>
            </w:pPr>
            <w:r w:rsidRPr="0014738D">
              <w:rPr>
                <w:sz w:val="22"/>
                <w:szCs w:val="22"/>
              </w:rPr>
              <w:t>20 197,48</w:t>
            </w:r>
          </w:p>
        </w:tc>
      </w:tr>
      <w:tr w:rsidR="00F07E05" w:rsidRPr="0014738D" w:rsidTr="008A253E">
        <w:trPr>
          <w:trHeight w:val="3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Default="00F07E05" w:rsidP="008A253E">
            <w:pPr>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301</w:t>
            </w:r>
          </w:p>
        </w:tc>
        <w:tc>
          <w:tcPr>
            <w:tcW w:w="14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125</w:t>
            </w:r>
          </w:p>
        </w:tc>
        <w:tc>
          <w:tcPr>
            <w:tcW w:w="14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5</w:t>
            </w:r>
          </w:p>
        </w:tc>
        <w:tc>
          <w:tcPr>
            <w:tcW w:w="21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05.06.21 12.50-17.30</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07E05" w:rsidRPr="0014738D" w:rsidRDefault="00F07E05" w:rsidP="008A253E">
            <w:pPr>
              <w:spacing w:line="276" w:lineRule="auto"/>
              <w:jc w:val="center"/>
              <w:rPr>
                <w:color w:val="FF0000"/>
                <w:sz w:val="22"/>
                <w:szCs w:val="22"/>
                <w:lang w:eastAsia="en-US"/>
              </w:rPr>
            </w:pPr>
            <w:r w:rsidRPr="0014738D">
              <w:rPr>
                <w:sz w:val="22"/>
                <w:szCs w:val="22"/>
              </w:rPr>
              <w:t>19 112,50</w:t>
            </w:r>
          </w:p>
        </w:tc>
      </w:tr>
      <w:tr w:rsidR="00F07E05" w:rsidRPr="00F16730" w:rsidTr="008A253E">
        <w:trPr>
          <w:trHeight w:val="3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Default="00F07E05" w:rsidP="008A253E">
            <w:pPr>
              <w:spacing w:line="276" w:lineRule="auto"/>
              <w:rPr>
                <w:color w:val="000000"/>
                <w:lang w:eastAsia="en-US"/>
              </w:rPr>
            </w:pPr>
          </w:p>
        </w:tc>
        <w:tc>
          <w:tcPr>
            <w:tcW w:w="3018" w:type="dxa"/>
            <w:gridSpan w:val="2"/>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right"/>
              <w:rPr>
                <w:color w:val="000000"/>
                <w:lang w:eastAsia="en-US"/>
              </w:rPr>
            </w:pPr>
            <w:r>
              <w:rPr>
                <w:b/>
                <w:bCs/>
                <w:color w:val="000000"/>
                <w:sz w:val="22"/>
                <w:szCs w:val="22"/>
                <w:lang w:eastAsia="en-US"/>
              </w:rPr>
              <w:t>ИТОГО:</w:t>
            </w:r>
          </w:p>
        </w:tc>
        <w:tc>
          <w:tcPr>
            <w:tcW w:w="14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Pr="00B01DB8" w:rsidRDefault="00F07E05" w:rsidP="008A253E">
            <w:pPr>
              <w:spacing w:line="276" w:lineRule="auto"/>
              <w:jc w:val="center"/>
              <w:rPr>
                <w:b/>
                <w:bCs/>
                <w:color w:val="000000"/>
                <w:lang w:eastAsia="en-US"/>
              </w:rPr>
            </w:pPr>
            <w:r w:rsidRPr="00B01DB8">
              <w:rPr>
                <w:b/>
                <w:bCs/>
                <w:color w:val="000000"/>
                <w:sz w:val="22"/>
                <w:szCs w:val="22"/>
                <w:lang w:eastAsia="en-US"/>
              </w:rPr>
              <w:t>210,5</w:t>
            </w:r>
          </w:p>
        </w:tc>
        <w:tc>
          <w:tcPr>
            <w:tcW w:w="21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Default="00F07E05" w:rsidP="008A253E">
            <w:pPr>
              <w:spacing w:line="276" w:lineRule="auto"/>
              <w:jc w:val="right"/>
              <w:rPr>
                <w:color w:val="000000"/>
                <w:lang w:eastAsia="en-US"/>
              </w:rPr>
            </w:pPr>
            <w:r>
              <w:rPr>
                <w:b/>
                <w:bCs/>
                <w:color w:val="000000"/>
                <w:sz w:val="22"/>
                <w:szCs w:val="22"/>
                <w:lang w:eastAsia="en-US"/>
              </w:rPr>
              <w:t>ИТОГО:</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Pr="00F16730" w:rsidRDefault="00F07E05" w:rsidP="008A253E">
            <w:pPr>
              <w:spacing w:line="276" w:lineRule="auto"/>
              <w:jc w:val="center"/>
              <w:rPr>
                <w:lang w:eastAsia="en-US"/>
              </w:rPr>
            </w:pPr>
            <w:r>
              <w:rPr>
                <w:b/>
                <w:bCs/>
                <w:sz w:val="22"/>
                <w:szCs w:val="22"/>
                <w:lang w:eastAsia="en-US"/>
              </w:rPr>
              <w:t>847 053,47</w:t>
            </w:r>
          </w:p>
        </w:tc>
      </w:tr>
      <w:tr w:rsidR="00F07E05" w:rsidRPr="0014738D" w:rsidTr="008A253E">
        <w:trPr>
          <w:trHeight w:val="330"/>
          <w:jc w:val="center"/>
        </w:trPr>
        <w:tc>
          <w:tcPr>
            <w:tcW w:w="2552" w:type="dxa"/>
            <w:vMerge w:val="restart"/>
            <w:tcBorders>
              <w:top w:val="single" w:sz="4" w:space="0" w:color="auto"/>
              <w:left w:val="single" w:sz="4" w:space="0" w:color="auto"/>
              <w:bottom w:val="single" w:sz="4" w:space="0" w:color="auto"/>
              <w:right w:val="single" w:sz="4" w:space="0" w:color="auto"/>
            </w:tcBorders>
            <w:noWrap/>
            <w:vAlign w:val="center"/>
            <w:hideMark/>
          </w:tcPr>
          <w:p w:rsidR="00F07E05" w:rsidRDefault="00F07E05" w:rsidP="008A253E">
            <w:pPr>
              <w:spacing w:line="276" w:lineRule="auto"/>
              <w:jc w:val="center"/>
              <w:rPr>
                <w:color w:val="000000"/>
                <w:lang w:eastAsia="en-US"/>
              </w:rPr>
            </w:pPr>
            <w:r>
              <w:rPr>
                <w:color w:val="000000"/>
                <w:sz w:val="22"/>
                <w:szCs w:val="22"/>
                <w:lang w:eastAsia="en-US"/>
              </w:rPr>
              <w:t>ООО «Речфлот Республики Башкортостан»</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305</w:t>
            </w:r>
          </w:p>
        </w:tc>
        <w:tc>
          <w:tcPr>
            <w:tcW w:w="14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77,87</w:t>
            </w:r>
          </w:p>
        </w:tc>
        <w:tc>
          <w:tcPr>
            <w:tcW w:w="14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Default="00F07E05" w:rsidP="008A253E">
            <w:pPr>
              <w:spacing w:line="276" w:lineRule="auto"/>
              <w:jc w:val="center"/>
              <w:rPr>
                <w:color w:val="000000"/>
                <w:lang w:eastAsia="en-US"/>
              </w:rPr>
            </w:pPr>
            <w:r>
              <w:rPr>
                <w:color w:val="000000"/>
                <w:lang w:eastAsia="en-US"/>
              </w:rPr>
              <w:t>6</w:t>
            </w:r>
          </w:p>
        </w:tc>
        <w:tc>
          <w:tcPr>
            <w:tcW w:w="21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01.05.21 11.10-16.30</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07E05" w:rsidRPr="0014738D" w:rsidRDefault="00F07E05" w:rsidP="008A253E">
            <w:pPr>
              <w:spacing w:line="276" w:lineRule="auto"/>
              <w:jc w:val="center"/>
              <w:rPr>
                <w:sz w:val="22"/>
                <w:szCs w:val="22"/>
                <w:lang w:eastAsia="en-US"/>
              </w:rPr>
            </w:pPr>
            <w:r w:rsidRPr="0014738D">
              <w:rPr>
                <w:sz w:val="22"/>
                <w:szCs w:val="22"/>
              </w:rPr>
              <w:t>14 287,59</w:t>
            </w:r>
          </w:p>
        </w:tc>
      </w:tr>
      <w:tr w:rsidR="00F07E05" w:rsidRPr="0014738D" w:rsidTr="008A253E">
        <w:trPr>
          <w:trHeight w:val="3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Default="00F07E05" w:rsidP="008A253E">
            <w:pPr>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305</w:t>
            </w:r>
          </w:p>
        </w:tc>
        <w:tc>
          <w:tcPr>
            <w:tcW w:w="14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77,87</w:t>
            </w:r>
          </w:p>
        </w:tc>
        <w:tc>
          <w:tcPr>
            <w:tcW w:w="14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Default="00F07E05" w:rsidP="008A253E">
            <w:pPr>
              <w:spacing w:line="276" w:lineRule="auto"/>
              <w:jc w:val="center"/>
              <w:rPr>
                <w:color w:val="000000"/>
                <w:lang w:eastAsia="en-US"/>
              </w:rPr>
            </w:pPr>
            <w:r>
              <w:rPr>
                <w:color w:val="000000"/>
                <w:lang w:eastAsia="en-US"/>
              </w:rPr>
              <w:t>4</w:t>
            </w:r>
          </w:p>
        </w:tc>
        <w:tc>
          <w:tcPr>
            <w:tcW w:w="21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08.05.21 14.30-18.20</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07E05" w:rsidRPr="0014738D" w:rsidRDefault="00F07E05" w:rsidP="008A253E">
            <w:pPr>
              <w:spacing w:line="276" w:lineRule="auto"/>
              <w:jc w:val="center"/>
              <w:rPr>
                <w:sz w:val="22"/>
                <w:szCs w:val="22"/>
                <w:lang w:eastAsia="en-US"/>
              </w:rPr>
            </w:pPr>
            <w:r w:rsidRPr="0014738D">
              <w:rPr>
                <w:sz w:val="22"/>
                <w:szCs w:val="22"/>
              </w:rPr>
              <w:t>9 525,06</w:t>
            </w:r>
          </w:p>
        </w:tc>
      </w:tr>
      <w:tr w:rsidR="00F07E05" w:rsidRPr="0014738D" w:rsidTr="008A253E">
        <w:trPr>
          <w:trHeight w:val="3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Default="00F07E05" w:rsidP="008A253E">
            <w:pPr>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305</w:t>
            </w:r>
          </w:p>
        </w:tc>
        <w:tc>
          <w:tcPr>
            <w:tcW w:w="14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77,87</w:t>
            </w:r>
          </w:p>
        </w:tc>
        <w:tc>
          <w:tcPr>
            <w:tcW w:w="14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Default="00F07E05" w:rsidP="008A253E">
            <w:pPr>
              <w:spacing w:line="276" w:lineRule="auto"/>
              <w:jc w:val="center"/>
              <w:rPr>
                <w:color w:val="000000"/>
                <w:lang w:eastAsia="en-US"/>
              </w:rPr>
            </w:pPr>
            <w:r>
              <w:rPr>
                <w:color w:val="000000"/>
                <w:lang w:eastAsia="en-US"/>
              </w:rPr>
              <w:t>9</w:t>
            </w:r>
          </w:p>
        </w:tc>
        <w:tc>
          <w:tcPr>
            <w:tcW w:w="21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04.09.21 15.30-23.59</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07E05" w:rsidRPr="0014738D" w:rsidRDefault="00F07E05" w:rsidP="008A253E">
            <w:pPr>
              <w:spacing w:line="276" w:lineRule="auto"/>
              <w:jc w:val="center"/>
              <w:rPr>
                <w:sz w:val="22"/>
                <w:szCs w:val="22"/>
                <w:lang w:eastAsia="en-US"/>
              </w:rPr>
            </w:pPr>
            <w:r w:rsidRPr="0014738D">
              <w:rPr>
                <w:sz w:val="22"/>
                <w:szCs w:val="22"/>
              </w:rPr>
              <w:t>21 431,38</w:t>
            </w:r>
          </w:p>
        </w:tc>
      </w:tr>
      <w:tr w:rsidR="00F07E05" w:rsidRPr="0014738D" w:rsidTr="008A253E">
        <w:trPr>
          <w:trHeight w:val="3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Default="00F07E05" w:rsidP="008A253E">
            <w:pPr>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305</w:t>
            </w:r>
          </w:p>
        </w:tc>
        <w:tc>
          <w:tcPr>
            <w:tcW w:w="14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77,87</w:t>
            </w:r>
          </w:p>
        </w:tc>
        <w:tc>
          <w:tcPr>
            <w:tcW w:w="14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Default="00F07E05" w:rsidP="008A253E">
            <w:pPr>
              <w:spacing w:line="276" w:lineRule="auto"/>
              <w:jc w:val="center"/>
              <w:rPr>
                <w:color w:val="000000"/>
                <w:lang w:eastAsia="en-US"/>
              </w:rPr>
            </w:pPr>
            <w:r>
              <w:rPr>
                <w:color w:val="000000"/>
                <w:lang w:eastAsia="en-US"/>
              </w:rPr>
              <w:t>11</w:t>
            </w:r>
          </w:p>
        </w:tc>
        <w:tc>
          <w:tcPr>
            <w:tcW w:w="21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11.09.21 13.00-23.59</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07E05" w:rsidRPr="0014738D" w:rsidRDefault="00F07E05" w:rsidP="008A253E">
            <w:pPr>
              <w:spacing w:line="276" w:lineRule="auto"/>
              <w:jc w:val="center"/>
              <w:rPr>
                <w:sz w:val="22"/>
                <w:szCs w:val="22"/>
                <w:lang w:eastAsia="en-US"/>
              </w:rPr>
            </w:pPr>
            <w:r w:rsidRPr="0014738D">
              <w:rPr>
                <w:sz w:val="22"/>
                <w:szCs w:val="22"/>
              </w:rPr>
              <w:t>26 193,91</w:t>
            </w:r>
          </w:p>
        </w:tc>
      </w:tr>
      <w:tr w:rsidR="00F07E05" w:rsidRPr="00F16730" w:rsidTr="008A253E">
        <w:trPr>
          <w:trHeight w:val="3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Default="00F07E05" w:rsidP="008A253E">
            <w:pPr>
              <w:spacing w:line="276" w:lineRule="auto"/>
              <w:rPr>
                <w:color w:val="000000"/>
                <w:lang w:eastAsia="en-US"/>
              </w:rPr>
            </w:pPr>
          </w:p>
        </w:tc>
        <w:tc>
          <w:tcPr>
            <w:tcW w:w="3018" w:type="dxa"/>
            <w:gridSpan w:val="2"/>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right"/>
              <w:rPr>
                <w:color w:val="000000"/>
                <w:lang w:eastAsia="en-US"/>
              </w:rPr>
            </w:pPr>
            <w:r>
              <w:rPr>
                <w:b/>
                <w:bCs/>
                <w:color w:val="000000"/>
                <w:sz w:val="22"/>
                <w:szCs w:val="22"/>
                <w:lang w:eastAsia="en-US"/>
              </w:rPr>
              <w:t>ИТОГО:</w:t>
            </w:r>
          </w:p>
        </w:tc>
        <w:tc>
          <w:tcPr>
            <w:tcW w:w="14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Pr="00B01DB8" w:rsidRDefault="00F07E05" w:rsidP="008A253E">
            <w:pPr>
              <w:spacing w:line="276" w:lineRule="auto"/>
              <w:jc w:val="center"/>
              <w:rPr>
                <w:b/>
                <w:bCs/>
                <w:color w:val="000000"/>
                <w:sz w:val="22"/>
                <w:szCs w:val="22"/>
                <w:lang w:eastAsia="en-US"/>
              </w:rPr>
            </w:pPr>
            <w:r w:rsidRPr="00B01DB8">
              <w:rPr>
                <w:b/>
                <w:bCs/>
                <w:color w:val="000000"/>
                <w:sz w:val="22"/>
                <w:szCs w:val="22"/>
                <w:lang w:eastAsia="en-US"/>
              </w:rPr>
              <w:t>30</w:t>
            </w:r>
          </w:p>
        </w:tc>
        <w:tc>
          <w:tcPr>
            <w:tcW w:w="21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Default="00F07E05" w:rsidP="008A253E">
            <w:pPr>
              <w:spacing w:line="276" w:lineRule="auto"/>
              <w:jc w:val="right"/>
              <w:rPr>
                <w:color w:val="000000"/>
                <w:lang w:eastAsia="en-US"/>
              </w:rPr>
            </w:pPr>
            <w:r>
              <w:rPr>
                <w:b/>
                <w:bCs/>
                <w:color w:val="000000"/>
                <w:sz w:val="22"/>
                <w:szCs w:val="22"/>
                <w:lang w:eastAsia="en-US"/>
              </w:rPr>
              <w:t>ИТОГО:</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Pr="00F16730" w:rsidRDefault="00F07E05" w:rsidP="008A253E">
            <w:pPr>
              <w:spacing w:line="276" w:lineRule="auto"/>
              <w:jc w:val="center"/>
              <w:rPr>
                <w:b/>
                <w:bCs/>
                <w:lang w:eastAsia="en-US"/>
              </w:rPr>
            </w:pPr>
            <w:r>
              <w:rPr>
                <w:b/>
                <w:bCs/>
                <w:sz w:val="22"/>
                <w:szCs w:val="22"/>
                <w:lang w:eastAsia="en-US"/>
              </w:rPr>
              <w:t>71 437,94</w:t>
            </w:r>
          </w:p>
        </w:tc>
      </w:tr>
      <w:tr w:rsidR="00F07E05" w:rsidRPr="00F16730" w:rsidTr="008A253E">
        <w:trPr>
          <w:trHeight w:val="330"/>
          <w:jc w:val="center"/>
        </w:trPr>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F07E05" w:rsidRDefault="00F07E05" w:rsidP="008A253E">
            <w:pPr>
              <w:spacing w:line="276" w:lineRule="auto"/>
              <w:jc w:val="center"/>
              <w:rPr>
                <w:color w:val="000000"/>
                <w:lang w:eastAsia="en-US"/>
              </w:rPr>
            </w:pPr>
            <w:r>
              <w:rPr>
                <w:color w:val="000000"/>
                <w:sz w:val="22"/>
                <w:szCs w:val="22"/>
                <w:lang w:eastAsia="en-US"/>
              </w:rPr>
              <w:lastRenderedPageBreak/>
              <w:t>ООО «СК «Тектоника»</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Буровой понтон</w:t>
            </w:r>
          </w:p>
        </w:tc>
        <w:tc>
          <w:tcPr>
            <w:tcW w:w="14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11,8</w:t>
            </w:r>
          </w:p>
        </w:tc>
        <w:tc>
          <w:tcPr>
            <w:tcW w:w="14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15</w:t>
            </w:r>
          </w:p>
        </w:tc>
        <w:tc>
          <w:tcPr>
            <w:tcW w:w="21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07.08.21 09.00-23.59</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07E05" w:rsidRPr="00F16730" w:rsidRDefault="00F07E05" w:rsidP="008A253E">
            <w:pPr>
              <w:spacing w:line="276" w:lineRule="auto"/>
              <w:jc w:val="center"/>
              <w:rPr>
                <w:lang w:eastAsia="en-US"/>
              </w:rPr>
            </w:pPr>
            <w:r>
              <w:rPr>
                <w:color w:val="000000"/>
                <w:sz w:val="22"/>
                <w:szCs w:val="22"/>
              </w:rPr>
              <w:t>5 412,66</w:t>
            </w:r>
          </w:p>
        </w:tc>
      </w:tr>
      <w:tr w:rsidR="00F07E05" w:rsidRPr="00F16730" w:rsidTr="008A253E">
        <w:trPr>
          <w:trHeight w:val="3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Default="00F07E05" w:rsidP="008A253E">
            <w:pPr>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Буровой понтон</w:t>
            </w:r>
          </w:p>
        </w:tc>
        <w:tc>
          <w:tcPr>
            <w:tcW w:w="14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11.8</w:t>
            </w:r>
          </w:p>
        </w:tc>
        <w:tc>
          <w:tcPr>
            <w:tcW w:w="14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10</w:t>
            </w:r>
          </w:p>
        </w:tc>
        <w:tc>
          <w:tcPr>
            <w:tcW w:w="21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08.05.21 00.00-09.30</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07E05" w:rsidRPr="00F16730" w:rsidRDefault="00F07E05" w:rsidP="008A253E">
            <w:pPr>
              <w:spacing w:line="276" w:lineRule="auto"/>
              <w:jc w:val="center"/>
              <w:rPr>
                <w:lang w:eastAsia="en-US"/>
              </w:rPr>
            </w:pPr>
            <w:r>
              <w:rPr>
                <w:color w:val="000000"/>
                <w:sz w:val="22"/>
                <w:szCs w:val="22"/>
              </w:rPr>
              <w:t>3 608,44</w:t>
            </w:r>
          </w:p>
        </w:tc>
      </w:tr>
      <w:tr w:rsidR="00F07E05" w:rsidRPr="00F16730" w:rsidTr="008A253E">
        <w:trPr>
          <w:trHeight w:val="3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Default="00F07E05" w:rsidP="008A253E">
            <w:pPr>
              <w:spacing w:line="276" w:lineRule="auto"/>
              <w:rPr>
                <w:color w:val="000000"/>
                <w:lang w:eastAsia="en-US"/>
              </w:rPr>
            </w:pPr>
          </w:p>
        </w:tc>
        <w:tc>
          <w:tcPr>
            <w:tcW w:w="3018" w:type="dxa"/>
            <w:gridSpan w:val="2"/>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right"/>
              <w:rPr>
                <w:color w:val="000000"/>
                <w:lang w:eastAsia="en-US"/>
              </w:rPr>
            </w:pPr>
            <w:r>
              <w:rPr>
                <w:b/>
                <w:bCs/>
                <w:color w:val="000000"/>
                <w:sz w:val="22"/>
                <w:szCs w:val="22"/>
                <w:lang w:eastAsia="en-US"/>
              </w:rPr>
              <w:t>ИТОГО:</w:t>
            </w:r>
          </w:p>
        </w:tc>
        <w:tc>
          <w:tcPr>
            <w:tcW w:w="14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Default="00F07E05" w:rsidP="008A253E">
            <w:pPr>
              <w:spacing w:line="276" w:lineRule="auto"/>
              <w:jc w:val="center"/>
              <w:rPr>
                <w:color w:val="000000"/>
                <w:lang w:eastAsia="en-US"/>
              </w:rPr>
            </w:pPr>
            <w:r>
              <w:rPr>
                <w:b/>
                <w:bCs/>
                <w:color w:val="000000"/>
                <w:sz w:val="22"/>
                <w:szCs w:val="22"/>
                <w:lang w:eastAsia="en-US"/>
              </w:rPr>
              <w:t>25</w:t>
            </w:r>
          </w:p>
        </w:tc>
        <w:tc>
          <w:tcPr>
            <w:tcW w:w="21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Default="00F07E05" w:rsidP="008A253E">
            <w:pPr>
              <w:spacing w:line="276" w:lineRule="auto"/>
              <w:jc w:val="right"/>
              <w:rPr>
                <w:color w:val="000000"/>
                <w:lang w:eastAsia="en-US"/>
              </w:rPr>
            </w:pPr>
            <w:r>
              <w:rPr>
                <w:b/>
                <w:bCs/>
                <w:color w:val="000000"/>
                <w:sz w:val="22"/>
                <w:szCs w:val="22"/>
                <w:lang w:eastAsia="en-US"/>
              </w:rPr>
              <w:t>ИТОГО:</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Pr="00F16730" w:rsidRDefault="00F07E05" w:rsidP="008A253E">
            <w:pPr>
              <w:spacing w:line="276" w:lineRule="auto"/>
              <w:jc w:val="center"/>
              <w:rPr>
                <w:lang w:eastAsia="en-US"/>
              </w:rPr>
            </w:pPr>
            <w:r>
              <w:rPr>
                <w:b/>
                <w:bCs/>
                <w:sz w:val="22"/>
                <w:szCs w:val="22"/>
                <w:lang w:eastAsia="en-US"/>
              </w:rPr>
              <w:t>9 021,10</w:t>
            </w:r>
          </w:p>
        </w:tc>
      </w:tr>
      <w:tr w:rsidR="00F07E05" w:rsidRPr="00F16730" w:rsidTr="008A253E">
        <w:trPr>
          <w:trHeight w:val="330"/>
          <w:jc w:val="center"/>
        </w:trPr>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F07E05" w:rsidRDefault="00F07E05" w:rsidP="008A253E">
            <w:pPr>
              <w:spacing w:line="276" w:lineRule="auto"/>
              <w:jc w:val="center"/>
              <w:rPr>
                <w:color w:val="000000"/>
                <w:lang w:eastAsia="en-US"/>
              </w:rPr>
            </w:pPr>
            <w:r>
              <w:rPr>
                <w:color w:val="000000"/>
                <w:sz w:val="22"/>
                <w:szCs w:val="22"/>
                <w:lang w:eastAsia="en-US"/>
              </w:rPr>
              <w:t>ОАО «Московский туристический флот»</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301</w:t>
            </w:r>
          </w:p>
        </w:tc>
        <w:tc>
          <w:tcPr>
            <w:tcW w:w="14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125</w:t>
            </w:r>
          </w:p>
        </w:tc>
        <w:tc>
          <w:tcPr>
            <w:tcW w:w="14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7</w:t>
            </w:r>
          </w:p>
        </w:tc>
        <w:tc>
          <w:tcPr>
            <w:tcW w:w="21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01.05.21 09.00-16.00</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07E05" w:rsidRPr="00F16730" w:rsidRDefault="00F07E05" w:rsidP="008A253E">
            <w:pPr>
              <w:spacing w:line="276" w:lineRule="auto"/>
              <w:jc w:val="center"/>
              <w:rPr>
                <w:color w:val="FF0000"/>
                <w:lang w:eastAsia="en-US"/>
              </w:rPr>
            </w:pPr>
            <w:r>
              <w:rPr>
                <w:color w:val="000000"/>
                <w:sz w:val="22"/>
                <w:szCs w:val="22"/>
              </w:rPr>
              <w:t>26 757,50</w:t>
            </w:r>
          </w:p>
        </w:tc>
      </w:tr>
      <w:tr w:rsidR="00F07E05" w:rsidRPr="0014738D" w:rsidTr="008A253E">
        <w:trPr>
          <w:trHeight w:val="3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Default="00F07E05" w:rsidP="008A253E">
            <w:pPr>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301</w:t>
            </w:r>
          </w:p>
        </w:tc>
        <w:tc>
          <w:tcPr>
            <w:tcW w:w="14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125</w:t>
            </w:r>
          </w:p>
        </w:tc>
        <w:tc>
          <w:tcPr>
            <w:tcW w:w="14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8</w:t>
            </w:r>
          </w:p>
        </w:tc>
        <w:tc>
          <w:tcPr>
            <w:tcW w:w="21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08.05.21 08.40-16.00</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07E05" w:rsidRPr="0014738D" w:rsidRDefault="00F07E05" w:rsidP="008A253E">
            <w:pPr>
              <w:spacing w:line="276" w:lineRule="auto"/>
              <w:jc w:val="center"/>
              <w:rPr>
                <w:color w:val="FF0000"/>
                <w:sz w:val="22"/>
                <w:szCs w:val="22"/>
                <w:lang w:eastAsia="en-US"/>
              </w:rPr>
            </w:pPr>
            <w:r w:rsidRPr="0014738D">
              <w:rPr>
                <w:sz w:val="22"/>
                <w:szCs w:val="22"/>
              </w:rPr>
              <w:t>30 580,00</w:t>
            </w:r>
          </w:p>
        </w:tc>
      </w:tr>
      <w:tr w:rsidR="00F07E05" w:rsidRPr="0014738D" w:rsidTr="008A253E">
        <w:trPr>
          <w:trHeight w:val="3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Default="00F07E05" w:rsidP="008A253E">
            <w:pPr>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301</w:t>
            </w:r>
          </w:p>
        </w:tc>
        <w:tc>
          <w:tcPr>
            <w:tcW w:w="14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125</w:t>
            </w:r>
          </w:p>
        </w:tc>
        <w:tc>
          <w:tcPr>
            <w:tcW w:w="14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9</w:t>
            </w:r>
          </w:p>
        </w:tc>
        <w:tc>
          <w:tcPr>
            <w:tcW w:w="21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21.07.21 14.30-23.00</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07E05" w:rsidRPr="0014738D" w:rsidRDefault="00F07E05" w:rsidP="008A253E">
            <w:pPr>
              <w:spacing w:line="276" w:lineRule="auto"/>
              <w:jc w:val="center"/>
              <w:rPr>
                <w:color w:val="FF0000"/>
                <w:sz w:val="22"/>
                <w:szCs w:val="22"/>
                <w:lang w:eastAsia="en-US"/>
              </w:rPr>
            </w:pPr>
            <w:r w:rsidRPr="0014738D">
              <w:rPr>
                <w:sz w:val="22"/>
                <w:szCs w:val="22"/>
              </w:rPr>
              <w:t>34 402,50</w:t>
            </w:r>
          </w:p>
        </w:tc>
      </w:tr>
      <w:tr w:rsidR="00F07E05" w:rsidRPr="0014738D" w:rsidTr="008A253E">
        <w:trPr>
          <w:trHeight w:val="3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Default="00F07E05" w:rsidP="008A253E">
            <w:pPr>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sz w:val="22"/>
                <w:szCs w:val="22"/>
                <w:lang w:val="en-US" w:eastAsia="en-US"/>
              </w:rPr>
              <w:t>PV-08</w:t>
            </w:r>
          </w:p>
        </w:tc>
        <w:tc>
          <w:tcPr>
            <w:tcW w:w="14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90,1</w:t>
            </w:r>
          </w:p>
        </w:tc>
        <w:tc>
          <w:tcPr>
            <w:tcW w:w="14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11</w:t>
            </w:r>
          </w:p>
        </w:tc>
        <w:tc>
          <w:tcPr>
            <w:tcW w:w="21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02.05.21 08.50-19.00</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07E05" w:rsidRPr="0014738D" w:rsidRDefault="00F07E05" w:rsidP="008A253E">
            <w:pPr>
              <w:spacing w:line="276" w:lineRule="auto"/>
              <w:jc w:val="center"/>
              <w:rPr>
                <w:color w:val="FF0000"/>
                <w:sz w:val="22"/>
                <w:szCs w:val="22"/>
                <w:lang w:eastAsia="en-US"/>
              </w:rPr>
            </w:pPr>
            <w:r w:rsidRPr="0014738D">
              <w:rPr>
                <w:sz w:val="22"/>
                <w:szCs w:val="22"/>
              </w:rPr>
              <w:t>30 307,84</w:t>
            </w:r>
          </w:p>
        </w:tc>
      </w:tr>
      <w:tr w:rsidR="00F07E05" w:rsidRPr="0014738D" w:rsidTr="008A253E">
        <w:trPr>
          <w:trHeight w:val="3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Default="00F07E05" w:rsidP="008A253E">
            <w:pPr>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sz w:val="22"/>
                <w:szCs w:val="22"/>
                <w:lang w:val="en-US" w:eastAsia="en-US"/>
              </w:rPr>
              <w:t>PV-08</w:t>
            </w:r>
          </w:p>
        </w:tc>
        <w:tc>
          <w:tcPr>
            <w:tcW w:w="14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90,1</w:t>
            </w:r>
          </w:p>
        </w:tc>
        <w:tc>
          <w:tcPr>
            <w:tcW w:w="14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7</w:t>
            </w:r>
          </w:p>
        </w:tc>
        <w:tc>
          <w:tcPr>
            <w:tcW w:w="21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03.09.21 13.00-20.00</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07E05" w:rsidRPr="0014738D" w:rsidRDefault="00F07E05" w:rsidP="008A253E">
            <w:pPr>
              <w:spacing w:line="276" w:lineRule="auto"/>
              <w:jc w:val="center"/>
              <w:rPr>
                <w:color w:val="FF0000"/>
                <w:sz w:val="22"/>
                <w:szCs w:val="22"/>
                <w:lang w:eastAsia="en-US"/>
              </w:rPr>
            </w:pPr>
            <w:r w:rsidRPr="0014738D">
              <w:rPr>
                <w:sz w:val="22"/>
                <w:szCs w:val="22"/>
              </w:rPr>
              <w:t>19 286,81</w:t>
            </w:r>
          </w:p>
        </w:tc>
      </w:tr>
      <w:tr w:rsidR="00F07E05" w:rsidRPr="0014738D" w:rsidTr="008A253E">
        <w:trPr>
          <w:trHeight w:val="3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Default="00F07E05" w:rsidP="008A253E">
            <w:pPr>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301</w:t>
            </w:r>
          </w:p>
        </w:tc>
        <w:tc>
          <w:tcPr>
            <w:tcW w:w="14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124,87</w:t>
            </w:r>
          </w:p>
        </w:tc>
        <w:tc>
          <w:tcPr>
            <w:tcW w:w="14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1,5</w:t>
            </w:r>
          </w:p>
        </w:tc>
        <w:tc>
          <w:tcPr>
            <w:tcW w:w="21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02.05.21 15.40-19.00</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07E05" w:rsidRPr="0014738D" w:rsidRDefault="00F07E05" w:rsidP="008A253E">
            <w:pPr>
              <w:spacing w:line="276" w:lineRule="auto"/>
              <w:jc w:val="center"/>
              <w:rPr>
                <w:color w:val="FF0000"/>
                <w:sz w:val="22"/>
                <w:szCs w:val="22"/>
                <w:lang w:eastAsia="en-US"/>
              </w:rPr>
            </w:pPr>
            <w:r w:rsidRPr="0014738D">
              <w:rPr>
                <w:sz w:val="22"/>
                <w:szCs w:val="22"/>
              </w:rPr>
              <w:t>5 727,79</w:t>
            </w:r>
          </w:p>
        </w:tc>
      </w:tr>
      <w:tr w:rsidR="00F07E05" w:rsidRPr="0014738D" w:rsidTr="008A253E">
        <w:trPr>
          <w:trHeight w:val="3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Default="00F07E05" w:rsidP="008A253E">
            <w:pPr>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301</w:t>
            </w:r>
          </w:p>
        </w:tc>
        <w:tc>
          <w:tcPr>
            <w:tcW w:w="14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124,87</w:t>
            </w:r>
          </w:p>
        </w:tc>
        <w:tc>
          <w:tcPr>
            <w:tcW w:w="14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4</w:t>
            </w:r>
          </w:p>
        </w:tc>
        <w:tc>
          <w:tcPr>
            <w:tcW w:w="21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08.05.2113.50-18.00</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07E05" w:rsidRPr="0014738D" w:rsidRDefault="00F07E05" w:rsidP="008A253E">
            <w:pPr>
              <w:spacing w:line="276" w:lineRule="auto"/>
              <w:jc w:val="center"/>
              <w:rPr>
                <w:color w:val="FF0000"/>
                <w:sz w:val="22"/>
                <w:szCs w:val="22"/>
                <w:lang w:eastAsia="en-US"/>
              </w:rPr>
            </w:pPr>
            <w:r w:rsidRPr="0014738D">
              <w:rPr>
                <w:sz w:val="22"/>
                <w:szCs w:val="22"/>
              </w:rPr>
              <w:t>15 274,10</w:t>
            </w:r>
          </w:p>
        </w:tc>
      </w:tr>
      <w:tr w:rsidR="00F07E05" w:rsidRPr="0014738D" w:rsidTr="008A253E">
        <w:trPr>
          <w:trHeight w:val="3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Default="00F07E05" w:rsidP="008A253E">
            <w:pPr>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302</w:t>
            </w:r>
          </w:p>
        </w:tc>
        <w:tc>
          <w:tcPr>
            <w:tcW w:w="14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129,15</w:t>
            </w:r>
          </w:p>
        </w:tc>
        <w:tc>
          <w:tcPr>
            <w:tcW w:w="14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7</w:t>
            </w:r>
          </w:p>
        </w:tc>
        <w:tc>
          <w:tcPr>
            <w:tcW w:w="21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09.05.21 12.30-19.00</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07E05" w:rsidRPr="0014738D" w:rsidRDefault="00F07E05" w:rsidP="008A253E">
            <w:pPr>
              <w:spacing w:line="276" w:lineRule="auto"/>
              <w:jc w:val="center"/>
              <w:rPr>
                <w:color w:val="FF0000"/>
                <w:sz w:val="22"/>
                <w:szCs w:val="22"/>
                <w:lang w:eastAsia="en-US"/>
              </w:rPr>
            </w:pPr>
            <w:r w:rsidRPr="0014738D">
              <w:rPr>
                <w:sz w:val="22"/>
                <w:szCs w:val="22"/>
              </w:rPr>
              <w:t>27 645,85</w:t>
            </w:r>
          </w:p>
        </w:tc>
      </w:tr>
      <w:tr w:rsidR="00F07E05" w:rsidRPr="0014738D" w:rsidTr="008A253E">
        <w:trPr>
          <w:trHeight w:val="3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Default="00F07E05" w:rsidP="008A253E">
            <w:pPr>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302</w:t>
            </w:r>
          </w:p>
        </w:tc>
        <w:tc>
          <w:tcPr>
            <w:tcW w:w="14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129,15</w:t>
            </w:r>
          </w:p>
        </w:tc>
        <w:tc>
          <w:tcPr>
            <w:tcW w:w="14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7</w:t>
            </w:r>
          </w:p>
        </w:tc>
        <w:tc>
          <w:tcPr>
            <w:tcW w:w="21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06.06.21 13.50-20.00</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07E05" w:rsidRPr="0014738D" w:rsidRDefault="00F07E05" w:rsidP="008A253E">
            <w:pPr>
              <w:spacing w:line="276" w:lineRule="auto"/>
              <w:jc w:val="center"/>
              <w:rPr>
                <w:color w:val="FF0000"/>
                <w:sz w:val="22"/>
                <w:szCs w:val="22"/>
                <w:lang w:eastAsia="en-US"/>
              </w:rPr>
            </w:pPr>
            <w:r w:rsidRPr="0014738D">
              <w:rPr>
                <w:sz w:val="22"/>
                <w:szCs w:val="22"/>
              </w:rPr>
              <w:t>27 645,85</w:t>
            </w:r>
          </w:p>
        </w:tc>
      </w:tr>
      <w:tr w:rsidR="00F07E05" w:rsidRPr="0014738D" w:rsidTr="008A253E">
        <w:trPr>
          <w:trHeight w:val="3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Default="00F07E05" w:rsidP="008A253E">
            <w:pPr>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302</w:t>
            </w:r>
          </w:p>
        </w:tc>
        <w:tc>
          <w:tcPr>
            <w:tcW w:w="14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129,15</w:t>
            </w:r>
          </w:p>
        </w:tc>
        <w:tc>
          <w:tcPr>
            <w:tcW w:w="14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6</w:t>
            </w:r>
          </w:p>
        </w:tc>
        <w:tc>
          <w:tcPr>
            <w:tcW w:w="21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11.07.21 14.00-20.00</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07E05" w:rsidRPr="0014738D" w:rsidRDefault="00F07E05" w:rsidP="008A253E">
            <w:pPr>
              <w:spacing w:line="276" w:lineRule="auto"/>
              <w:jc w:val="center"/>
              <w:rPr>
                <w:color w:val="FF0000"/>
                <w:sz w:val="22"/>
                <w:szCs w:val="22"/>
                <w:lang w:eastAsia="en-US"/>
              </w:rPr>
            </w:pPr>
            <w:r w:rsidRPr="0014738D">
              <w:rPr>
                <w:sz w:val="22"/>
                <w:szCs w:val="22"/>
              </w:rPr>
              <w:t>23 696,44</w:t>
            </w:r>
          </w:p>
        </w:tc>
      </w:tr>
      <w:tr w:rsidR="00F07E05" w:rsidRPr="0014738D" w:rsidTr="008A253E">
        <w:trPr>
          <w:trHeight w:val="3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Default="00F07E05" w:rsidP="008A253E">
            <w:pPr>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302</w:t>
            </w:r>
          </w:p>
        </w:tc>
        <w:tc>
          <w:tcPr>
            <w:tcW w:w="14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129,15</w:t>
            </w:r>
          </w:p>
        </w:tc>
        <w:tc>
          <w:tcPr>
            <w:tcW w:w="14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4</w:t>
            </w:r>
          </w:p>
        </w:tc>
        <w:tc>
          <w:tcPr>
            <w:tcW w:w="21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27.07.21 14.00-18.00</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07E05" w:rsidRPr="0014738D" w:rsidRDefault="00F07E05" w:rsidP="008A253E">
            <w:pPr>
              <w:spacing w:line="276" w:lineRule="auto"/>
              <w:jc w:val="center"/>
              <w:rPr>
                <w:color w:val="FF0000"/>
                <w:sz w:val="22"/>
                <w:szCs w:val="22"/>
                <w:lang w:eastAsia="en-US"/>
              </w:rPr>
            </w:pPr>
            <w:r w:rsidRPr="0014738D">
              <w:rPr>
                <w:sz w:val="22"/>
                <w:szCs w:val="22"/>
              </w:rPr>
              <w:t>15 797,63</w:t>
            </w:r>
          </w:p>
        </w:tc>
      </w:tr>
      <w:tr w:rsidR="00F07E05" w:rsidRPr="0014738D" w:rsidTr="008A253E">
        <w:trPr>
          <w:trHeight w:val="3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Default="00F07E05" w:rsidP="008A253E">
            <w:pPr>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302</w:t>
            </w:r>
          </w:p>
        </w:tc>
        <w:tc>
          <w:tcPr>
            <w:tcW w:w="14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129,15</w:t>
            </w:r>
          </w:p>
        </w:tc>
        <w:tc>
          <w:tcPr>
            <w:tcW w:w="14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6</w:t>
            </w:r>
          </w:p>
        </w:tc>
        <w:tc>
          <w:tcPr>
            <w:tcW w:w="21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07.09.21 13.30-19.00</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07E05" w:rsidRPr="0014738D" w:rsidRDefault="00F07E05" w:rsidP="008A253E">
            <w:pPr>
              <w:spacing w:line="276" w:lineRule="auto"/>
              <w:jc w:val="center"/>
              <w:rPr>
                <w:color w:val="FF0000"/>
                <w:sz w:val="22"/>
                <w:szCs w:val="22"/>
                <w:lang w:eastAsia="en-US"/>
              </w:rPr>
            </w:pPr>
            <w:r w:rsidRPr="0014738D">
              <w:rPr>
                <w:sz w:val="22"/>
                <w:szCs w:val="22"/>
              </w:rPr>
              <w:t>23 696,44</w:t>
            </w:r>
          </w:p>
        </w:tc>
      </w:tr>
      <w:tr w:rsidR="00F07E05" w:rsidRPr="0014738D" w:rsidTr="008A253E">
        <w:trPr>
          <w:trHeight w:val="3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Default="00F07E05" w:rsidP="008A253E">
            <w:pPr>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302</w:t>
            </w:r>
          </w:p>
        </w:tc>
        <w:tc>
          <w:tcPr>
            <w:tcW w:w="14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129,15</w:t>
            </w:r>
          </w:p>
        </w:tc>
        <w:tc>
          <w:tcPr>
            <w:tcW w:w="14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9</w:t>
            </w:r>
          </w:p>
        </w:tc>
        <w:tc>
          <w:tcPr>
            <w:tcW w:w="21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18.09.21 14.00-23.00</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07E05" w:rsidRPr="0014738D" w:rsidRDefault="00F07E05" w:rsidP="008A253E">
            <w:pPr>
              <w:spacing w:line="276" w:lineRule="auto"/>
              <w:jc w:val="center"/>
              <w:rPr>
                <w:color w:val="FF0000"/>
                <w:sz w:val="22"/>
                <w:szCs w:val="22"/>
                <w:lang w:eastAsia="en-US"/>
              </w:rPr>
            </w:pPr>
            <w:r w:rsidRPr="0014738D">
              <w:rPr>
                <w:sz w:val="22"/>
                <w:szCs w:val="22"/>
              </w:rPr>
              <w:t>35 544,66</w:t>
            </w:r>
          </w:p>
        </w:tc>
      </w:tr>
      <w:tr w:rsidR="00F07E05" w:rsidRPr="0014738D" w:rsidTr="008A253E">
        <w:trPr>
          <w:trHeight w:val="3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Default="00F07E05" w:rsidP="008A253E">
            <w:pPr>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302</w:t>
            </w:r>
          </w:p>
        </w:tc>
        <w:tc>
          <w:tcPr>
            <w:tcW w:w="14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129,15</w:t>
            </w:r>
          </w:p>
        </w:tc>
        <w:tc>
          <w:tcPr>
            <w:tcW w:w="14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6</w:t>
            </w:r>
          </w:p>
        </w:tc>
        <w:tc>
          <w:tcPr>
            <w:tcW w:w="21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21.09.21 12.00-18.00</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07E05" w:rsidRPr="0014738D" w:rsidRDefault="00F07E05" w:rsidP="008A253E">
            <w:pPr>
              <w:spacing w:line="276" w:lineRule="auto"/>
              <w:jc w:val="center"/>
              <w:rPr>
                <w:color w:val="FF0000"/>
                <w:sz w:val="22"/>
                <w:szCs w:val="22"/>
                <w:lang w:eastAsia="en-US"/>
              </w:rPr>
            </w:pPr>
            <w:r w:rsidRPr="0014738D">
              <w:rPr>
                <w:sz w:val="22"/>
                <w:szCs w:val="22"/>
              </w:rPr>
              <w:t>23 696,44</w:t>
            </w:r>
          </w:p>
        </w:tc>
      </w:tr>
      <w:tr w:rsidR="00F07E05" w:rsidRPr="0014738D" w:rsidTr="008A253E">
        <w:trPr>
          <w:trHeight w:val="3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Default="00F07E05" w:rsidP="008A253E">
            <w:pPr>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588</w:t>
            </w:r>
          </w:p>
        </w:tc>
        <w:tc>
          <w:tcPr>
            <w:tcW w:w="14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95,8</w:t>
            </w:r>
          </w:p>
        </w:tc>
        <w:tc>
          <w:tcPr>
            <w:tcW w:w="14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12</w:t>
            </w:r>
          </w:p>
        </w:tc>
        <w:tc>
          <w:tcPr>
            <w:tcW w:w="21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15.05.21 08.45-20.00</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07E05" w:rsidRPr="0014738D" w:rsidRDefault="00F07E05" w:rsidP="008A253E">
            <w:pPr>
              <w:spacing w:line="276" w:lineRule="auto"/>
              <w:jc w:val="center"/>
              <w:rPr>
                <w:color w:val="FF0000"/>
                <w:sz w:val="22"/>
                <w:szCs w:val="22"/>
                <w:lang w:eastAsia="en-US"/>
              </w:rPr>
            </w:pPr>
            <w:r w:rsidRPr="0014738D">
              <w:rPr>
                <w:sz w:val="22"/>
                <w:szCs w:val="22"/>
              </w:rPr>
              <w:t>35 154,77</w:t>
            </w:r>
          </w:p>
        </w:tc>
      </w:tr>
      <w:tr w:rsidR="00F07E05" w:rsidRPr="0014738D" w:rsidTr="008A253E">
        <w:trPr>
          <w:trHeight w:val="3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Default="00F07E05" w:rsidP="008A253E">
            <w:pPr>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301</w:t>
            </w:r>
          </w:p>
        </w:tc>
        <w:tc>
          <w:tcPr>
            <w:tcW w:w="14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125</w:t>
            </w:r>
          </w:p>
        </w:tc>
        <w:tc>
          <w:tcPr>
            <w:tcW w:w="14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6</w:t>
            </w:r>
          </w:p>
        </w:tc>
        <w:tc>
          <w:tcPr>
            <w:tcW w:w="21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31.05.21 09.00-15.00</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07E05" w:rsidRPr="0014738D" w:rsidRDefault="00F07E05" w:rsidP="008A253E">
            <w:pPr>
              <w:spacing w:line="276" w:lineRule="auto"/>
              <w:jc w:val="center"/>
              <w:rPr>
                <w:color w:val="FF0000"/>
                <w:sz w:val="22"/>
                <w:szCs w:val="22"/>
                <w:lang w:eastAsia="en-US"/>
              </w:rPr>
            </w:pPr>
            <w:r w:rsidRPr="0014738D">
              <w:rPr>
                <w:sz w:val="22"/>
                <w:szCs w:val="22"/>
              </w:rPr>
              <w:t>22 935,00</w:t>
            </w:r>
          </w:p>
        </w:tc>
      </w:tr>
      <w:tr w:rsidR="00F07E05" w:rsidRPr="0014738D" w:rsidTr="008A253E">
        <w:trPr>
          <w:trHeight w:val="3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Default="00F07E05" w:rsidP="008A253E">
            <w:pPr>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301</w:t>
            </w:r>
          </w:p>
        </w:tc>
        <w:tc>
          <w:tcPr>
            <w:tcW w:w="14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124,87</w:t>
            </w:r>
          </w:p>
        </w:tc>
        <w:tc>
          <w:tcPr>
            <w:tcW w:w="14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9</w:t>
            </w:r>
          </w:p>
        </w:tc>
        <w:tc>
          <w:tcPr>
            <w:tcW w:w="21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01.07.21 13.00-22.00</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07E05" w:rsidRPr="0014738D" w:rsidRDefault="00F07E05" w:rsidP="008A253E">
            <w:pPr>
              <w:spacing w:line="276" w:lineRule="auto"/>
              <w:jc w:val="center"/>
              <w:rPr>
                <w:color w:val="FF0000"/>
                <w:sz w:val="22"/>
                <w:szCs w:val="22"/>
                <w:lang w:eastAsia="en-US"/>
              </w:rPr>
            </w:pPr>
            <w:r w:rsidRPr="0014738D">
              <w:rPr>
                <w:sz w:val="22"/>
                <w:szCs w:val="22"/>
              </w:rPr>
              <w:t>34 366,72</w:t>
            </w:r>
          </w:p>
        </w:tc>
      </w:tr>
      <w:tr w:rsidR="00F07E05" w:rsidRPr="00F16730" w:rsidTr="008A253E">
        <w:trPr>
          <w:trHeight w:val="3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Default="00F07E05" w:rsidP="008A253E">
            <w:pPr>
              <w:spacing w:line="276" w:lineRule="auto"/>
              <w:rPr>
                <w:color w:val="000000"/>
                <w:lang w:eastAsia="en-US"/>
              </w:rPr>
            </w:pPr>
          </w:p>
        </w:tc>
        <w:tc>
          <w:tcPr>
            <w:tcW w:w="3018" w:type="dxa"/>
            <w:gridSpan w:val="2"/>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right"/>
              <w:rPr>
                <w:color w:val="000000"/>
                <w:lang w:eastAsia="en-US"/>
              </w:rPr>
            </w:pPr>
            <w:r>
              <w:rPr>
                <w:b/>
                <w:bCs/>
                <w:color w:val="000000"/>
                <w:sz w:val="22"/>
                <w:szCs w:val="22"/>
                <w:lang w:eastAsia="en-US"/>
              </w:rPr>
              <w:t>ИТОГО:</w:t>
            </w:r>
          </w:p>
        </w:tc>
        <w:tc>
          <w:tcPr>
            <w:tcW w:w="14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Default="00F07E05" w:rsidP="008A253E">
            <w:pPr>
              <w:spacing w:line="276" w:lineRule="auto"/>
              <w:jc w:val="center"/>
              <w:rPr>
                <w:b/>
                <w:bCs/>
                <w:color w:val="000000"/>
                <w:lang w:eastAsia="en-US"/>
              </w:rPr>
            </w:pPr>
            <w:r>
              <w:rPr>
                <w:b/>
                <w:bCs/>
                <w:color w:val="000000"/>
                <w:sz w:val="22"/>
                <w:szCs w:val="22"/>
                <w:lang w:eastAsia="en-US"/>
              </w:rPr>
              <w:t>119,5</w:t>
            </w:r>
          </w:p>
        </w:tc>
        <w:tc>
          <w:tcPr>
            <w:tcW w:w="21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Default="00F07E05" w:rsidP="008A253E">
            <w:pPr>
              <w:spacing w:line="276" w:lineRule="auto"/>
              <w:jc w:val="right"/>
              <w:rPr>
                <w:color w:val="000000"/>
                <w:lang w:eastAsia="en-US"/>
              </w:rPr>
            </w:pPr>
            <w:r>
              <w:rPr>
                <w:b/>
                <w:bCs/>
                <w:color w:val="000000"/>
                <w:sz w:val="22"/>
                <w:szCs w:val="22"/>
                <w:lang w:eastAsia="en-US"/>
              </w:rPr>
              <w:t>ИТОГО:</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Pr="00F16730" w:rsidRDefault="00F07E05" w:rsidP="008A253E">
            <w:pPr>
              <w:spacing w:line="276" w:lineRule="auto"/>
              <w:jc w:val="center"/>
              <w:rPr>
                <w:b/>
                <w:bCs/>
                <w:lang w:eastAsia="en-US"/>
              </w:rPr>
            </w:pPr>
            <w:r>
              <w:rPr>
                <w:b/>
                <w:bCs/>
                <w:sz w:val="22"/>
                <w:szCs w:val="22"/>
                <w:lang w:eastAsia="en-US"/>
              </w:rPr>
              <w:t>432 516,34</w:t>
            </w:r>
          </w:p>
        </w:tc>
      </w:tr>
      <w:tr w:rsidR="00F07E05" w:rsidRPr="007034FB" w:rsidTr="008A253E">
        <w:trPr>
          <w:trHeight w:val="330"/>
          <w:jc w:val="center"/>
        </w:trPr>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F07E05" w:rsidRDefault="00F07E05" w:rsidP="008A253E">
            <w:pPr>
              <w:spacing w:line="276" w:lineRule="auto"/>
              <w:jc w:val="center"/>
              <w:rPr>
                <w:color w:val="000000"/>
                <w:lang w:eastAsia="en-US"/>
              </w:rPr>
            </w:pPr>
            <w:r>
              <w:rPr>
                <w:color w:val="000000"/>
                <w:sz w:val="22"/>
                <w:szCs w:val="22"/>
                <w:lang w:eastAsia="en-US"/>
              </w:rPr>
              <w:t>ООО «Бельские речные путешествия»</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305</w:t>
            </w:r>
          </w:p>
        </w:tc>
        <w:tc>
          <w:tcPr>
            <w:tcW w:w="14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77,76</w:t>
            </w:r>
          </w:p>
        </w:tc>
        <w:tc>
          <w:tcPr>
            <w:tcW w:w="14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6</w:t>
            </w:r>
          </w:p>
        </w:tc>
        <w:tc>
          <w:tcPr>
            <w:tcW w:w="21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17.07.21 17.00-23.00</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07E05" w:rsidRPr="007034FB" w:rsidRDefault="00F07E05" w:rsidP="008A253E">
            <w:pPr>
              <w:spacing w:line="276" w:lineRule="auto"/>
              <w:jc w:val="center"/>
              <w:rPr>
                <w:lang w:eastAsia="en-US"/>
              </w:rPr>
            </w:pPr>
            <w:r>
              <w:rPr>
                <w:color w:val="000000"/>
                <w:sz w:val="22"/>
                <w:szCs w:val="22"/>
              </w:rPr>
              <w:t>14 267,40</w:t>
            </w:r>
          </w:p>
        </w:tc>
      </w:tr>
      <w:tr w:rsidR="00F07E05" w:rsidRPr="007034FB" w:rsidTr="008A253E">
        <w:trPr>
          <w:trHeight w:val="3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Default="00F07E05" w:rsidP="008A253E">
            <w:pPr>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305</w:t>
            </w:r>
          </w:p>
        </w:tc>
        <w:tc>
          <w:tcPr>
            <w:tcW w:w="14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77,76</w:t>
            </w:r>
          </w:p>
        </w:tc>
        <w:tc>
          <w:tcPr>
            <w:tcW w:w="14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6</w:t>
            </w:r>
          </w:p>
        </w:tc>
        <w:tc>
          <w:tcPr>
            <w:tcW w:w="21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28.08.21 14.00-20.00</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07E05" w:rsidRPr="007034FB" w:rsidRDefault="00F07E05" w:rsidP="008A253E">
            <w:pPr>
              <w:spacing w:line="276" w:lineRule="auto"/>
              <w:jc w:val="center"/>
              <w:rPr>
                <w:lang w:eastAsia="en-US"/>
              </w:rPr>
            </w:pPr>
            <w:r>
              <w:rPr>
                <w:color w:val="000000"/>
                <w:sz w:val="22"/>
                <w:szCs w:val="22"/>
              </w:rPr>
              <w:t>14 267,40</w:t>
            </w:r>
          </w:p>
        </w:tc>
      </w:tr>
      <w:tr w:rsidR="00F07E05" w:rsidRPr="007034FB" w:rsidTr="008A253E">
        <w:trPr>
          <w:trHeight w:val="3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Default="00F07E05" w:rsidP="008A253E">
            <w:pPr>
              <w:spacing w:line="276" w:lineRule="auto"/>
              <w:rPr>
                <w:color w:val="000000"/>
                <w:lang w:eastAsia="en-US"/>
              </w:rPr>
            </w:pPr>
          </w:p>
        </w:tc>
        <w:tc>
          <w:tcPr>
            <w:tcW w:w="3018" w:type="dxa"/>
            <w:gridSpan w:val="2"/>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right"/>
              <w:rPr>
                <w:color w:val="000000"/>
                <w:lang w:eastAsia="en-US"/>
              </w:rPr>
            </w:pPr>
            <w:r>
              <w:rPr>
                <w:b/>
                <w:bCs/>
                <w:color w:val="000000"/>
                <w:sz w:val="22"/>
                <w:szCs w:val="22"/>
                <w:lang w:eastAsia="en-US"/>
              </w:rPr>
              <w:t>ИТОГО:</w:t>
            </w:r>
          </w:p>
        </w:tc>
        <w:tc>
          <w:tcPr>
            <w:tcW w:w="14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Default="00F07E05" w:rsidP="008A253E">
            <w:pPr>
              <w:spacing w:line="276" w:lineRule="auto"/>
              <w:jc w:val="center"/>
              <w:rPr>
                <w:b/>
                <w:bCs/>
                <w:color w:val="000000"/>
                <w:lang w:eastAsia="en-US"/>
              </w:rPr>
            </w:pPr>
            <w:r>
              <w:rPr>
                <w:b/>
                <w:bCs/>
                <w:color w:val="000000"/>
                <w:sz w:val="22"/>
                <w:szCs w:val="22"/>
                <w:lang w:eastAsia="en-US"/>
              </w:rPr>
              <w:t>12</w:t>
            </w:r>
          </w:p>
        </w:tc>
        <w:tc>
          <w:tcPr>
            <w:tcW w:w="21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Default="00F07E05" w:rsidP="008A253E">
            <w:pPr>
              <w:spacing w:line="276" w:lineRule="auto"/>
              <w:jc w:val="right"/>
              <w:rPr>
                <w:color w:val="000000"/>
                <w:lang w:eastAsia="en-US"/>
              </w:rPr>
            </w:pPr>
            <w:r>
              <w:rPr>
                <w:b/>
                <w:bCs/>
                <w:color w:val="000000"/>
                <w:sz w:val="22"/>
                <w:szCs w:val="22"/>
                <w:lang w:eastAsia="en-US"/>
              </w:rPr>
              <w:t>ИТОГО:</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Pr="007034FB" w:rsidRDefault="00F07E05" w:rsidP="008A253E">
            <w:pPr>
              <w:spacing w:line="276" w:lineRule="auto"/>
              <w:jc w:val="center"/>
              <w:rPr>
                <w:b/>
                <w:bCs/>
                <w:lang w:eastAsia="en-US"/>
              </w:rPr>
            </w:pPr>
            <w:r>
              <w:rPr>
                <w:b/>
                <w:bCs/>
                <w:sz w:val="22"/>
                <w:szCs w:val="22"/>
                <w:lang w:eastAsia="en-US"/>
              </w:rPr>
              <w:t>28 534,80</w:t>
            </w:r>
          </w:p>
        </w:tc>
      </w:tr>
      <w:tr w:rsidR="00F07E05" w:rsidRPr="0014738D" w:rsidTr="008A253E">
        <w:trPr>
          <w:trHeight w:val="330"/>
          <w:jc w:val="center"/>
        </w:trPr>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F07E05" w:rsidRDefault="00F07E05" w:rsidP="008A253E">
            <w:pPr>
              <w:spacing w:line="276" w:lineRule="auto"/>
              <w:jc w:val="center"/>
              <w:rPr>
                <w:color w:val="000000"/>
                <w:lang w:eastAsia="en-US"/>
              </w:rPr>
            </w:pPr>
            <w:r>
              <w:rPr>
                <w:color w:val="000000"/>
                <w:sz w:val="22"/>
                <w:szCs w:val="22"/>
                <w:lang w:eastAsia="en-US"/>
              </w:rPr>
              <w:t>ООО «Волга Лайн»</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305</w:t>
            </w:r>
          </w:p>
        </w:tc>
        <w:tc>
          <w:tcPr>
            <w:tcW w:w="14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77,87</w:t>
            </w:r>
          </w:p>
        </w:tc>
        <w:tc>
          <w:tcPr>
            <w:tcW w:w="14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9</w:t>
            </w:r>
          </w:p>
        </w:tc>
        <w:tc>
          <w:tcPr>
            <w:tcW w:w="21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05.06.21 13.35-21.15</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07E05" w:rsidRPr="0014738D" w:rsidRDefault="00F07E05" w:rsidP="008A253E">
            <w:pPr>
              <w:spacing w:line="276" w:lineRule="auto"/>
              <w:jc w:val="center"/>
              <w:rPr>
                <w:color w:val="FF0000"/>
                <w:sz w:val="22"/>
                <w:szCs w:val="22"/>
                <w:lang w:eastAsia="en-US"/>
              </w:rPr>
            </w:pPr>
            <w:r w:rsidRPr="0014738D">
              <w:rPr>
                <w:sz w:val="22"/>
                <w:szCs w:val="22"/>
              </w:rPr>
              <w:t>21 431,38</w:t>
            </w:r>
          </w:p>
        </w:tc>
      </w:tr>
      <w:tr w:rsidR="00F07E05" w:rsidRPr="0014738D" w:rsidTr="008A253E">
        <w:trPr>
          <w:trHeight w:val="3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Default="00F07E05" w:rsidP="008A253E">
            <w:pPr>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305</w:t>
            </w:r>
          </w:p>
        </w:tc>
        <w:tc>
          <w:tcPr>
            <w:tcW w:w="14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77,87</w:t>
            </w:r>
          </w:p>
        </w:tc>
        <w:tc>
          <w:tcPr>
            <w:tcW w:w="14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8</w:t>
            </w:r>
          </w:p>
        </w:tc>
        <w:tc>
          <w:tcPr>
            <w:tcW w:w="21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26.06.21 14.00-21.30</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07E05" w:rsidRPr="0014738D" w:rsidRDefault="00F07E05" w:rsidP="008A253E">
            <w:pPr>
              <w:spacing w:line="276" w:lineRule="auto"/>
              <w:jc w:val="center"/>
              <w:rPr>
                <w:color w:val="FF0000"/>
                <w:sz w:val="22"/>
                <w:szCs w:val="22"/>
                <w:lang w:eastAsia="en-US"/>
              </w:rPr>
            </w:pPr>
            <w:r w:rsidRPr="0014738D">
              <w:rPr>
                <w:sz w:val="22"/>
                <w:szCs w:val="22"/>
              </w:rPr>
              <w:t>19 050,12</w:t>
            </w:r>
          </w:p>
        </w:tc>
      </w:tr>
      <w:tr w:rsidR="00F07E05" w:rsidRPr="0014738D" w:rsidTr="008A253E">
        <w:trPr>
          <w:trHeight w:val="3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Default="00F07E05" w:rsidP="008A253E">
            <w:pPr>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305</w:t>
            </w:r>
          </w:p>
        </w:tc>
        <w:tc>
          <w:tcPr>
            <w:tcW w:w="14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77,87</w:t>
            </w:r>
          </w:p>
        </w:tc>
        <w:tc>
          <w:tcPr>
            <w:tcW w:w="14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5</w:t>
            </w:r>
          </w:p>
        </w:tc>
        <w:tc>
          <w:tcPr>
            <w:tcW w:w="21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14.08.21 14.00-19.00</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07E05" w:rsidRPr="0014738D" w:rsidRDefault="00F07E05" w:rsidP="008A253E">
            <w:pPr>
              <w:spacing w:line="276" w:lineRule="auto"/>
              <w:jc w:val="center"/>
              <w:rPr>
                <w:color w:val="FF0000"/>
                <w:sz w:val="22"/>
                <w:szCs w:val="22"/>
                <w:lang w:eastAsia="en-US"/>
              </w:rPr>
            </w:pPr>
            <w:r w:rsidRPr="0014738D">
              <w:rPr>
                <w:sz w:val="22"/>
                <w:szCs w:val="22"/>
              </w:rPr>
              <w:t>11 906,32</w:t>
            </w:r>
          </w:p>
        </w:tc>
      </w:tr>
      <w:tr w:rsidR="00F07E05" w:rsidRPr="0014738D" w:rsidTr="008A253E">
        <w:trPr>
          <w:trHeight w:val="3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Default="00F07E05" w:rsidP="008A253E">
            <w:pPr>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305</w:t>
            </w:r>
          </w:p>
        </w:tc>
        <w:tc>
          <w:tcPr>
            <w:tcW w:w="14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77,87</w:t>
            </w:r>
          </w:p>
        </w:tc>
        <w:tc>
          <w:tcPr>
            <w:tcW w:w="14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7</w:t>
            </w:r>
          </w:p>
        </w:tc>
        <w:tc>
          <w:tcPr>
            <w:tcW w:w="21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31.08.21 13.00-20.00</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07E05" w:rsidRPr="0014738D" w:rsidRDefault="00F07E05" w:rsidP="008A253E">
            <w:pPr>
              <w:spacing w:line="276" w:lineRule="auto"/>
              <w:jc w:val="center"/>
              <w:rPr>
                <w:color w:val="FF0000"/>
                <w:sz w:val="22"/>
                <w:szCs w:val="22"/>
                <w:lang w:eastAsia="en-US"/>
              </w:rPr>
            </w:pPr>
            <w:r w:rsidRPr="0014738D">
              <w:rPr>
                <w:sz w:val="22"/>
                <w:szCs w:val="22"/>
              </w:rPr>
              <w:t>16 668,85</w:t>
            </w:r>
          </w:p>
        </w:tc>
      </w:tr>
      <w:tr w:rsidR="00F07E05" w:rsidRPr="0014738D" w:rsidTr="008A253E">
        <w:trPr>
          <w:trHeight w:val="3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Default="00F07E05" w:rsidP="008A253E">
            <w:pPr>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305</w:t>
            </w:r>
          </w:p>
        </w:tc>
        <w:tc>
          <w:tcPr>
            <w:tcW w:w="14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77,87</w:t>
            </w:r>
          </w:p>
        </w:tc>
        <w:tc>
          <w:tcPr>
            <w:tcW w:w="14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9</w:t>
            </w:r>
          </w:p>
        </w:tc>
        <w:tc>
          <w:tcPr>
            <w:tcW w:w="21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18.09.21 14.00-23.00</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07E05" w:rsidRPr="0014738D" w:rsidRDefault="00F07E05" w:rsidP="008A253E">
            <w:pPr>
              <w:spacing w:line="276" w:lineRule="auto"/>
              <w:jc w:val="center"/>
              <w:rPr>
                <w:color w:val="FF0000"/>
                <w:sz w:val="22"/>
                <w:szCs w:val="22"/>
                <w:lang w:eastAsia="en-US"/>
              </w:rPr>
            </w:pPr>
            <w:r w:rsidRPr="0014738D">
              <w:rPr>
                <w:sz w:val="22"/>
                <w:szCs w:val="22"/>
              </w:rPr>
              <w:t>21 431,38</w:t>
            </w:r>
          </w:p>
        </w:tc>
      </w:tr>
      <w:tr w:rsidR="00F07E05" w:rsidRPr="0014738D" w:rsidTr="008A253E">
        <w:trPr>
          <w:trHeight w:val="3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Default="00F07E05" w:rsidP="008A253E">
            <w:pPr>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305</w:t>
            </w:r>
          </w:p>
        </w:tc>
        <w:tc>
          <w:tcPr>
            <w:tcW w:w="14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77,87</w:t>
            </w:r>
          </w:p>
        </w:tc>
        <w:tc>
          <w:tcPr>
            <w:tcW w:w="14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7</w:t>
            </w:r>
          </w:p>
        </w:tc>
        <w:tc>
          <w:tcPr>
            <w:tcW w:w="21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02.10.21 16.00-23.00</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07E05" w:rsidRPr="0014738D" w:rsidRDefault="00F07E05" w:rsidP="008A253E">
            <w:pPr>
              <w:spacing w:line="276" w:lineRule="auto"/>
              <w:jc w:val="center"/>
              <w:rPr>
                <w:color w:val="FF0000"/>
                <w:sz w:val="22"/>
                <w:szCs w:val="22"/>
                <w:lang w:eastAsia="en-US"/>
              </w:rPr>
            </w:pPr>
            <w:r w:rsidRPr="0014738D">
              <w:rPr>
                <w:sz w:val="22"/>
                <w:szCs w:val="22"/>
              </w:rPr>
              <w:t>16 668,85</w:t>
            </w:r>
          </w:p>
        </w:tc>
      </w:tr>
      <w:tr w:rsidR="00F07E05" w:rsidRPr="007034FB" w:rsidTr="008A253E">
        <w:trPr>
          <w:trHeight w:val="3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Default="00F07E05" w:rsidP="008A253E">
            <w:pPr>
              <w:spacing w:line="276" w:lineRule="auto"/>
              <w:rPr>
                <w:color w:val="000000"/>
                <w:lang w:eastAsia="en-US"/>
              </w:rPr>
            </w:pPr>
          </w:p>
        </w:tc>
        <w:tc>
          <w:tcPr>
            <w:tcW w:w="3018" w:type="dxa"/>
            <w:gridSpan w:val="2"/>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right"/>
              <w:rPr>
                <w:color w:val="000000"/>
                <w:lang w:eastAsia="en-US"/>
              </w:rPr>
            </w:pPr>
            <w:r>
              <w:rPr>
                <w:b/>
                <w:bCs/>
                <w:color w:val="000000"/>
                <w:sz w:val="22"/>
                <w:szCs w:val="22"/>
                <w:lang w:eastAsia="en-US"/>
              </w:rPr>
              <w:t>ИТОГО:</w:t>
            </w:r>
          </w:p>
        </w:tc>
        <w:tc>
          <w:tcPr>
            <w:tcW w:w="14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07E05" w:rsidRPr="00B01DB8" w:rsidRDefault="00F07E05" w:rsidP="008A253E">
            <w:pPr>
              <w:spacing w:line="276" w:lineRule="auto"/>
              <w:jc w:val="center"/>
              <w:rPr>
                <w:b/>
                <w:bCs/>
                <w:color w:val="000000"/>
                <w:sz w:val="22"/>
                <w:szCs w:val="22"/>
                <w:lang w:eastAsia="en-US"/>
              </w:rPr>
            </w:pPr>
            <w:r w:rsidRPr="00B01DB8">
              <w:rPr>
                <w:b/>
                <w:bCs/>
                <w:color w:val="000000"/>
                <w:sz w:val="22"/>
                <w:szCs w:val="22"/>
                <w:lang w:eastAsia="en-US"/>
              </w:rPr>
              <w:t>45</w:t>
            </w:r>
          </w:p>
        </w:tc>
        <w:tc>
          <w:tcPr>
            <w:tcW w:w="21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Default="00F07E05" w:rsidP="008A253E">
            <w:pPr>
              <w:spacing w:line="276" w:lineRule="auto"/>
              <w:jc w:val="right"/>
              <w:rPr>
                <w:color w:val="000000"/>
                <w:lang w:eastAsia="en-US"/>
              </w:rPr>
            </w:pPr>
            <w:r>
              <w:rPr>
                <w:b/>
                <w:bCs/>
                <w:color w:val="000000"/>
                <w:sz w:val="22"/>
                <w:szCs w:val="22"/>
                <w:lang w:eastAsia="en-US"/>
              </w:rPr>
              <w:t>ИТОГО:</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Pr="007034FB" w:rsidRDefault="00F07E05" w:rsidP="008A253E">
            <w:pPr>
              <w:spacing w:line="276" w:lineRule="auto"/>
              <w:jc w:val="center"/>
              <w:rPr>
                <w:b/>
                <w:bCs/>
                <w:lang w:eastAsia="en-US"/>
              </w:rPr>
            </w:pPr>
            <w:r>
              <w:rPr>
                <w:b/>
                <w:bCs/>
                <w:sz w:val="22"/>
                <w:szCs w:val="22"/>
                <w:lang w:eastAsia="en-US"/>
              </w:rPr>
              <w:t>107 156,90</w:t>
            </w:r>
          </w:p>
        </w:tc>
      </w:tr>
      <w:tr w:rsidR="00F07E05" w:rsidRPr="007034FB" w:rsidTr="008A253E">
        <w:trPr>
          <w:trHeight w:val="330"/>
          <w:jc w:val="center"/>
        </w:trPr>
        <w:tc>
          <w:tcPr>
            <w:tcW w:w="2552" w:type="dxa"/>
            <w:tcBorders>
              <w:top w:val="single" w:sz="4" w:space="0" w:color="auto"/>
              <w:left w:val="single" w:sz="4" w:space="0" w:color="auto"/>
              <w:bottom w:val="single" w:sz="4" w:space="0" w:color="auto"/>
              <w:right w:val="single" w:sz="4" w:space="0" w:color="auto"/>
            </w:tcBorders>
            <w:vAlign w:val="center"/>
            <w:hideMark/>
          </w:tcPr>
          <w:p w:rsidR="00F07E05" w:rsidRDefault="00F07E05" w:rsidP="008A253E">
            <w:pPr>
              <w:spacing w:line="276" w:lineRule="auto"/>
              <w:jc w:val="center"/>
              <w:rPr>
                <w:color w:val="000000"/>
                <w:lang w:eastAsia="en-US"/>
              </w:rPr>
            </w:pPr>
            <w:r>
              <w:rPr>
                <w:color w:val="000000"/>
                <w:sz w:val="22"/>
                <w:szCs w:val="22"/>
                <w:lang w:eastAsia="en-US"/>
              </w:rPr>
              <w:t>ООО «Волга Сервис»</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305</w:t>
            </w:r>
          </w:p>
        </w:tc>
        <w:tc>
          <w:tcPr>
            <w:tcW w:w="14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77,91</w:t>
            </w:r>
          </w:p>
        </w:tc>
        <w:tc>
          <w:tcPr>
            <w:tcW w:w="14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Default="00F07E05" w:rsidP="008A253E">
            <w:pPr>
              <w:spacing w:line="276" w:lineRule="auto"/>
              <w:jc w:val="center"/>
              <w:rPr>
                <w:b/>
                <w:bCs/>
                <w:color w:val="000000"/>
                <w:lang w:eastAsia="en-US"/>
              </w:rPr>
            </w:pPr>
            <w:r>
              <w:rPr>
                <w:b/>
                <w:bCs/>
                <w:color w:val="000000"/>
                <w:sz w:val="22"/>
                <w:szCs w:val="22"/>
                <w:lang w:eastAsia="en-US"/>
              </w:rPr>
              <w:t>5</w:t>
            </w:r>
          </w:p>
        </w:tc>
        <w:tc>
          <w:tcPr>
            <w:tcW w:w="21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18.08.21 08.00-13.00</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Pr="007034FB" w:rsidRDefault="00F07E05" w:rsidP="008A253E">
            <w:pPr>
              <w:spacing w:line="276" w:lineRule="auto"/>
              <w:jc w:val="center"/>
              <w:rPr>
                <w:b/>
                <w:bCs/>
                <w:lang w:eastAsia="en-US"/>
              </w:rPr>
            </w:pPr>
            <w:r>
              <w:rPr>
                <w:b/>
                <w:bCs/>
                <w:sz w:val="22"/>
                <w:szCs w:val="22"/>
                <w:lang w:eastAsia="en-US"/>
              </w:rPr>
              <w:t>11 912,44</w:t>
            </w:r>
          </w:p>
        </w:tc>
      </w:tr>
      <w:tr w:rsidR="00F07E05" w:rsidRPr="007034FB" w:rsidTr="008A253E">
        <w:trPr>
          <w:trHeight w:val="330"/>
          <w:jc w:val="center"/>
        </w:trPr>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F07E05" w:rsidRDefault="00F07E05" w:rsidP="008A253E">
            <w:pPr>
              <w:spacing w:line="276" w:lineRule="auto"/>
              <w:jc w:val="center"/>
              <w:rPr>
                <w:color w:val="000000"/>
                <w:lang w:eastAsia="en-US"/>
              </w:rPr>
            </w:pPr>
            <w:r>
              <w:rPr>
                <w:color w:val="000000"/>
                <w:sz w:val="22"/>
                <w:szCs w:val="22"/>
                <w:lang w:eastAsia="en-US"/>
              </w:rPr>
              <w:t>ИП Яковлев Андрей Викторович</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М-01-126</w:t>
            </w:r>
          </w:p>
        </w:tc>
        <w:tc>
          <w:tcPr>
            <w:tcW w:w="14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21,05</w:t>
            </w:r>
          </w:p>
        </w:tc>
        <w:tc>
          <w:tcPr>
            <w:tcW w:w="14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0,5</w:t>
            </w:r>
          </w:p>
        </w:tc>
        <w:tc>
          <w:tcPr>
            <w:tcW w:w="21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08.05.21 12.20-12.40</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07E05" w:rsidRPr="007034FB" w:rsidRDefault="00F07E05" w:rsidP="008A253E">
            <w:pPr>
              <w:spacing w:line="276" w:lineRule="auto"/>
              <w:jc w:val="center"/>
              <w:rPr>
                <w:lang w:eastAsia="en-US"/>
              </w:rPr>
            </w:pPr>
            <w:r>
              <w:rPr>
                <w:color w:val="000000"/>
                <w:sz w:val="22"/>
                <w:szCs w:val="22"/>
              </w:rPr>
              <w:t>321,85</w:t>
            </w:r>
          </w:p>
        </w:tc>
      </w:tr>
      <w:tr w:rsidR="00F07E05" w:rsidRPr="007034FB" w:rsidTr="008A253E">
        <w:trPr>
          <w:trHeight w:val="3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Default="00F07E05" w:rsidP="008A253E">
            <w:pPr>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М-01-126</w:t>
            </w:r>
          </w:p>
        </w:tc>
        <w:tc>
          <w:tcPr>
            <w:tcW w:w="1459" w:type="dxa"/>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21,05</w:t>
            </w:r>
          </w:p>
        </w:tc>
        <w:tc>
          <w:tcPr>
            <w:tcW w:w="14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2</w:t>
            </w:r>
          </w:p>
        </w:tc>
        <w:tc>
          <w:tcPr>
            <w:tcW w:w="21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Default="00F07E05" w:rsidP="008A253E">
            <w:pPr>
              <w:spacing w:line="276" w:lineRule="auto"/>
              <w:jc w:val="center"/>
              <w:rPr>
                <w:color w:val="000000"/>
                <w:lang w:eastAsia="en-US"/>
              </w:rPr>
            </w:pPr>
            <w:r>
              <w:rPr>
                <w:color w:val="000000"/>
                <w:sz w:val="22"/>
                <w:szCs w:val="22"/>
                <w:lang w:eastAsia="en-US"/>
              </w:rPr>
              <w:t>15.05.21 14.15-17.15</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07E05" w:rsidRPr="007034FB" w:rsidRDefault="00F07E05" w:rsidP="008A253E">
            <w:pPr>
              <w:spacing w:line="276" w:lineRule="auto"/>
              <w:jc w:val="center"/>
              <w:rPr>
                <w:lang w:eastAsia="en-US"/>
              </w:rPr>
            </w:pPr>
            <w:r>
              <w:rPr>
                <w:color w:val="000000"/>
                <w:sz w:val="22"/>
                <w:szCs w:val="22"/>
              </w:rPr>
              <w:t>1 287,42</w:t>
            </w:r>
          </w:p>
        </w:tc>
      </w:tr>
      <w:tr w:rsidR="00F07E05" w:rsidRPr="007034FB" w:rsidTr="008A253E">
        <w:trPr>
          <w:trHeight w:val="3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Default="00F07E05" w:rsidP="008A253E">
            <w:pPr>
              <w:spacing w:line="276" w:lineRule="auto"/>
              <w:rPr>
                <w:color w:val="000000"/>
                <w:lang w:eastAsia="en-US"/>
              </w:rPr>
            </w:pPr>
          </w:p>
        </w:tc>
        <w:tc>
          <w:tcPr>
            <w:tcW w:w="3018" w:type="dxa"/>
            <w:gridSpan w:val="2"/>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right"/>
              <w:rPr>
                <w:color w:val="000000"/>
                <w:lang w:eastAsia="en-US"/>
              </w:rPr>
            </w:pPr>
            <w:r>
              <w:rPr>
                <w:b/>
                <w:bCs/>
                <w:color w:val="000000"/>
                <w:sz w:val="22"/>
                <w:szCs w:val="22"/>
                <w:lang w:eastAsia="en-US"/>
              </w:rPr>
              <w:t>ИТОГО:</w:t>
            </w:r>
          </w:p>
        </w:tc>
        <w:tc>
          <w:tcPr>
            <w:tcW w:w="14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Default="00F07E05" w:rsidP="008A253E">
            <w:pPr>
              <w:spacing w:line="276" w:lineRule="auto"/>
              <w:jc w:val="center"/>
              <w:rPr>
                <w:b/>
                <w:bCs/>
                <w:color w:val="000000"/>
                <w:lang w:eastAsia="en-US"/>
              </w:rPr>
            </w:pPr>
            <w:r>
              <w:rPr>
                <w:b/>
                <w:bCs/>
                <w:color w:val="000000"/>
                <w:sz w:val="22"/>
                <w:szCs w:val="22"/>
                <w:lang w:eastAsia="en-US"/>
              </w:rPr>
              <w:t>2,5</w:t>
            </w:r>
          </w:p>
        </w:tc>
        <w:tc>
          <w:tcPr>
            <w:tcW w:w="21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Default="00F07E05" w:rsidP="008A253E">
            <w:pPr>
              <w:spacing w:line="276" w:lineRule="auto"/>
              <w:jc w:val="right"/>
              <w:rPr>
                <w:color w:val="000000"/>
                <w:lang w:eastAsia="en-US"/>
              </w:rPr>
            </w:pPr>
            <w:r>
              <w:rPr>
                <w:b/>
                <w:bCs/>
                <w:color w:val="000000"/>
                <w:sz w:val="22"/>
                <w:szCs w:val="22"/>
                <w:lang w:eastAsia="en-US"/>
              </w:rPr>
              <w:t>ИТОГО:</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Pr="007034FB" w:rsidRDefault="00F07E05" w:rsidP="008A253E">
            <w:pPr>
              <w:spacing w:line="276" w:lineRule="auto"/>
              <w:jc w:val="center"/>
              <w:rPr>
                <w:b/>
                <w:bCs/>
                <w:lang w:eastAsia="en-US"/>
              </w:rPr>
            </w:pPr>
            <w:r w:rsidRPr="007034FB">
              <w:rPr>
                <w:b/>
                <w:bCs/>
                <w:sz w:val="22"/>
                <w:szCs w:val="22"/>
                <w:lang w:eastAsia="en-US"/>
              </w:rPr>
              <w:t>1</w:t>
            </w:r>
            <w:r>
              <w:rPr>
                <w:b/>
                <w:bCs/>
                <w:sz w:val="22"/>
                <w:szCs w:val="22"/>
                <w:lang w:eastAsia="en-US"/>
              </w:rPr>
              <w:t> 609,27</w:t>
            </w:r>
          </w:p>
        </w:tc>
      </w:tr>
      <w:tr w:rsidR="00F07E05" w:rsidRPr="007034FB" w:rsidTr="008A253E">
        <w:trPr>
          <w:trHeight w:val="341"/>
          <w:jc w:val="center"/>
        </w:trPr>
        <w:tc>
          <w:tcPr>
            <w:tcW w:w="5570" w:type="dxa"/>
            <w:gridSpan w:val="3"/>
            <w:tcBorders>
              <w:top w:val="single" w:sz="4" w:space="0" w:color="auto"/>
              <w:left w:val="single" w:sz="4" w:space="0" w:color="auto"/>
              <w:bottom w:val="single" w:sz="4" w:space="0" w:color="auto"/>
              <w:right w:val="single" w:sz="4" w:space="0" w:color="auto"/>
            </w:tcBorders>
            <w:noWrap/>
            <w:vAlign w:val="bottom"/>
            <w:hideMark/>
          </w:tcPr>
          <w:p w:rsidR="00F07E05" w:rsidRDefault="00F07E05" w:rsidP="008A253E">
            <w:pPr>
              <w:spacing w:line="276" w:lineRule="auto"/>
              <w:jc w:val="right"/>
              <w:rPr>
                <w:b/>
                <w:bCs/>
                <w:color w:val="000000"/>
                <w:lang w:eastAsia="en-US"/>
              </w:rPr>
            </w:pPr>
            <w:r>
              <w:rPr>
                <w:b/>
                <w:bCs/>
                <w:color w:val="000000"/>
                <w:lang w:eastAsia="en-US"/>
              </w:rPr>
              <w:t>ВСЕГО:</w:t>
            </w:r>
          </w:p>
        </w:tc>
        <w:tc>
          <w:tcPr>
            <w:tcW w:w="14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Default="00F07E05" w:rsidP="008A253E">
            <w:pPr>
              <w:jc w:val="center"/>
              <w:rPr>
                <w:b/>
                <w:bCs/>
                <w:color w:val="000000"/>
                <w:lang w:eastAsia="en-US"/>
              </w:rPr>
            </w:pPr>
            <w:r>
              <w:rPr>
                <w:b/>
                <w:bCs/>
                <w:color w:val="000000"/>
                <w:lang w:eastAsia="en-US"/>
              </w:rPr>
              <w:t>739,5</w:t>
            </w:r>
          </w:p>
        </w:tc>
        <w:tc>
          <w:tcPr>
            <w:tcW w:w="21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Default="00F07E05" w:rsidP="008A253E">
            <w:pPr>
              <w:spacing w:line="276" w:lineRule="auto"/>
              <w:rPr>
                <w:color w:val="000000"/>
                <w:lang w:eastAsia="en-US"/>
              </w:rPr>
            </w:pPr>
            <w:r>
              <w:rPr>
                <w:color w:val="000000"/>
                <w:lang w:eastAsia="en-US"/>
              </w:rPr>
              <w:t> </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07E05" w:rsidRPr="007034FB" w:rsidRDefault="00F07E05" w:rsidP="008A253E">
            <w:pPr>
              <w:spacing w:line="276" w:lineRule="auto"/>
              <w:jc w:val="center"/>
              <w:rPr>
                <w:b/>
                <w:bCs/>
                <w:lang w:eastAsia="en-US"/>
              </w:rPr>
            </w:pPr>
            <w:r w:rsidRPr="007034FB">
              <w:rPr>
                <w:b/>
                <w:bCs/>
                <w:lang w:eastAsia="en-US"/>
              </w:rPr>
              <w:t>2</w:t>
            </w:r>
            <w:r>
              <w:rPr>
                <w:b/>
                <w:bCs/>
                <w:lang w:eastAsia="en-US"/>
              </w:rPr>
              <w:t> 466 721,39</w:t>
            </w:r>
          </w:p>
        </w:tc>
      </w:tr>
    </w:tbl>
    <w:p w:rsidR="00F07E05" w:rsidRPr="006656D4" w:rsidRDefault="00F07E05" w:rsidP="00F07E05">
      <w:pPr>
        <w:tabs>
          <w:tab w:val="left" w:pos="709"/>
          <w:tab w:val="left" w:pos="9356"/>
        </w:tabs>
        <w:ind w:firstLine="426"/>
        <w:jc w:val="both"/>
        <w:rPr>
          <w:color w:val="000000"/>
          <w:sz w:val="40"/>
          <w:szCs w:val="40"/>
        </w:rPr>
      </w:pPr>
    </w:p>
    <w:p w:rsidR="00F07E05" w:rsidRDefault="00F07E05" w:rsidP="00F07E05">
      <w:pPr>
        <w:pStyle w:val="a7"/>
        <w:ind w:left="0" w:firstLine="709"/>
        <w:jc w:val="both"/>
        <w:rPr>
          <w:sz w:val="28"/>
          <w:szCs w:val="28"/>
        </w:rPr>
      </w:pPr>
    </w:p>
    <w:p w:rsidR="00F07E05" w:rsidRPr="00912DAC" w:rsidRDefault="00F07E05" w:rsidP="00F07E05">
      <w:pPr>
        <w:tabs>
          <w:tab w:val="left" w:pos="709"/>
          <w:tab w:val="left" w:pos="9356"/>
        </w:tabs>
        <w:ind w:firstLine="426"/>
        <w:jc w:val="both"/>
        <w:rPr>
          <w:color w:val="000000"/>
          <w:sz w:val="28"/>
          <w:szCs w:val="28"/>
        </w:rPr>
      </w:pPr>
      <w:r w:rsidRPr="00912DAC">
        <w:rPr>
          <w:b/>
          <w:color w:val="000000"/>
          <w:sz w:val="28"/>
          <w:szCs w:val="28"/>
        </w:rPr>
        <w:lastRenderedPageBreak/>
        <w:t xml:space="preserve">График захода судов в г. Тверь с 01 мая 2024 года </w:t>
      </w:r>
      <w:r w:rsidRPr="00912DAC">
        <w:rPr>
          <w:color w:val="000000"/>
          <w:sz w:val="28"/>
          <w:szCs w:val="28"/>
        </w:rPr>
        <w:t>(р</w:t>
      </w:r>
      <w:r w:rsidRPr="00912DAC">
        <w:rPr>
          <w:sz w:val="28"/>
          <w:szCs w:val="28"/>
        </w:rPr>
        <w:t xml:space="preserve">азмер платы за предоставление места для стоянки судна на причале в 2024 году – </w:t>
      </w:r>
      <w:r w:rsidRPr="00912DAC">
        <w:rPr>
          <w:b/>
          <w:bCs/>
          <w:sz w:val="28"/>
          <w:szCs w:val="28"/>
        </w:rPr>
        <w:t>31,93 руб./час 1 пог.м</w:t>
      </w:r>
      <w:r w:rsidRPr="00912DAC">
        <w:rPr>
          <w:sz w:val="28"/>
          <w:szCs w:val="28"/>
        </w:rPr>
        <w:t>)(30,58 руб./час 1 пог.м * 1,044 (ИПЦ)</w:t>
      </w:r>
    </w:p>
    <w:tbl>
      <w:tblPr>
        <w:tblW w:w="1069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559"/>
        <w:gridCol w:w="1459"/>
        <w:gridCol w:w="1450"/>
        <w:gridCol w:w="2195"/>
        <w:gridCol w:w="1476"/>
      </w:tblGrid>
      <w:tr w:rsidR="00F07E05" w:rsidRPr="00B8009B" w:rsidTr="008A253E">
        <w:trPr>
          <w:trHeight w:val="720"/>
        </w:trPr>
        <w:tc>
          <w:tcPr>
            <w:tcW w:w="2552" w:type="dxa"/>
            <w:tcBorders>
              <w:top w:val="single" w:sz="4" w:space="0" w:color="auto"/>
              <w:left w:val="single" w:sz="4" w:space="0" w:color="auto"/>
              <w:bottom w:val="single" w:sz="4" w:space="0" w:color="auto"/>
              <w:right w:val="single" w:sz="4" w:space="0" w:color="auto"/>
            </w:tcBorders>
            <w:noWrap/>
            <w:vAlign w:val="center"/>
            <w:hideMark/>
          </w:tcPr>
          <w:p w:rsidR="00F07E05" w:rsidRPr="00B8009B" w:rsidRDefault="00F07E05" w:rsidP="008A253E">
            <w:pPr>
              <w:spacing w:line="276" w:lineRule="auto"/>
              <w:jc w:val="center"/>
              <w:rPr>
                <w:color w:val="000000"/>
                <w:lang w:eastAsia="en-US"/>
              </w:rPr>
            </w:pPr>
            <w:r w:rsidRPr="00B8009B">
              <w:rPr>
                <w:color w:val="000000"/>
                <w:lang w:eastAsia="en-US"/>
              </w:rPr>
              <w:t>Наименование компании</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F07E05" w:rsidRPr="00B8009B" w:rsidRDefault="00F07E05" w:rsidP="008A253E">
            <w:pPr>
              <w:spacing w:line="276" w:lineRule="auto"/>
              <w:jc w:val="center"/>
              <w:rPr>
                <w:color w:val="000000"/>
                <w:lang w:eastAsia="en-US"/>
              </w:rPr>
            </w:pPr>
            <w:r w:rsidRPr="00B8009B">
              <w:rPr>
                <w:color w:val="000000"/>
                <w:lang w:eastAsia="en-US"/>
              </w:rPr>
              <w:t xml:space="preserve">Проект судна </w:t>
            </w:r>
          </w:p>
        </w:tc>
        <w:tc>
          <w:tcPr>
            <w:tcW w:w="1459" w:type="dxa"/>
            <w:tcBorders>
              <w:top w:val="single" w:sz="4" w:space="0" w:color="auto"/>
              <w:left w:val="single" w:sz="4" w:space="0" w:color="auto"/>
              <w:bottom w:val="single" w:sz="4" w:space="0" w:color="auto"/>
              <w:right w:val="single" w:sz="4" w:space="0" w:color="auto"/>
            </w:tcBorders>
            <w:vAlign w:val="center"/>
            <w:hideMark/>
          </w:tcPr>
          <w:p w:rsidR="00F07E05" w:rsidRPr="00B8009B" w:rsidRDefault="00F07E05" w:rsidP="008A253E">
            <w:pPr>
              <w:spacing w:line="276" w:lineRule="auto"/>
              <w:jc w:val="center"/>
              <w:rPr>
                <w:color w:val="000000"/>
                <w:lang w:eastAsia="en-US"/>
              </w:rPr>
            </w:pPr>
            <w:r w:rsidRPr="00B8009B">
              <w:rPr>
                <w:color w:val="000000"/>
                <w:lang w:eastAsia="en-US"/>
              </w:rPr>
              <w:t>Длина судна, пог.метр</w:t>
            </w:r>
          </w:p>
        </w:tc>
        <w:tc>
          <w:tcPr>
            <w:tcW w:w="1450" w:type="dxa"/>
            <w:tcBorders>
              <w:top w:val="single" w:sz="4" w:space="0" w:color="auto"/>
              <w:left w:val="single" w:sz="4" w:space="0" w:color="auto"/>
              <w:bottom w:val="single" w:sz="4" w:space="0" w:color="auto"/>
              <w:right w:val="single" w:sz="4" w:space="0" w:color="auto"/>
            </w:tcBorders>
            <w:vAlign w:val="center"/>
            <w:hideMark/>
          </w:tcPr>
          <w:p w:rsidR="00F07E05" w:rsidRPr="00B8009B" w:rsidRDefault="00F07E05" w:rsidP="008A253E">
            <w:pPr>
              <w:spacing w:line="276" w:lineRule="auto"/>
              <w:jc w:val="center"/>
              <w:rPr>
                <w:color w:val="000000"/>
                <w:lang w:eastAsia="en-US"/>
              </w:rPr>
            </w:pPr>
            <w:r w:rsidRPr="00B8009B">
              <w:rPr>
                <w:color w:val="000000"/>
                <w:lang w:eastAsia="en-US"/>
              </w:rPr>
              <w:t>Время стоянки, ч</w:t>
            </w:r>
          </w:p>
        </w:tc>
        <w:tc>
          <w:tcPr>
            <w:tcW w:w="2195" w:type="dxa"/>
            <w:tcBorders>
              <w:top w:val="single" w:sz="4" w:space="0" w:color="auto"/>
              <w:left w:val="single" w:sz="4" w:space="0" w:color="auto"/>
              <w:bottom w:val="single" w:sz="4" w:space="0" w:color="auto"/>
              <w:right w:val="single" w:sz="4" w:space="0" w:color="auto"/>
            </w:tcBorders>
            <w:noWrap/>
            <w:vAlign w:val="center"/>
            <w:hideMark/>
          </w:tcPr>
          <w:p w:rsidR="00F07E05" w:rsidRPr="00B8009B" w:rsidRDefault="00F07E05" w:rsidP="008A253E">
            <w:pPr>
              <w:spacing w:line="276" w:lineRule="auto"/>
              <w:jc w:val="center"/>
              <w:rPr>
                <w:color w:val="000000"/>
                <w:lang w:eastAsia="en-US"/>
              </w:rPr>
            </w:pPr>
            <w:r w:rsidRPr="00B8009B">
              <w:rPr>
                <w:color w:val="000000"/>
                <w:lang w:eastAsia="en-US"/>
              </w:rPr>
              <w:t xml:space="preserve">Дата и время стоянки </w:t>
            </w:r>
          </w:p>
        </w:tc>
        <w:tc>
          <w:tcPr>
            <w:tcW w:w="1476" w:type="dxa"/>
            <w:tcBorders>
              <w:top w:val="single" w:sz="4" w:space="0" w:color="auto"/>
              <w:left w:val="single" w:sz="4" w:space="0" w:color="auto"/>
              <w:bottom w:val="single" w:sz="4" w:space="0" w:color="auto"/>
              <w:right w:val="single" w:sz="4" w:space="0" w:color="auto"/>
            </w:tcBorders>
            <w:noWrap/>
            <w:vAlign w:val="center"/>
            <w:hideMark/>
          </w:tcPr>
          <w:p w:rsidR="00F07E05" w:rsidRPr="00B8009B" w:rsidRDefault="00F07E05" w:rsidP="008A253E">
            <w:pPr>
              <w:spacing w:line="276" w:lineRule="auto"/>
              <w:jc w:val="center"/>
              <w:rPr>
                <w:color w:val="000000"/>
                <w:lang w:eastAsia="en-US"/>
              </w:rPr>
            </w:pPr>
            <w:r w:rsidRPr="00B8009B">
              <w:rPr>
                <w:color w:val="000000"/>
                <w:lang w:eastAsia="en-US"/>
              </w:rPr>
              <w:t>Стоимость, руб.</w:t>
            </w:r>
          </w:p>
        </w:tc>
      </w:tr>
      <w:tr w:rsidR="00F07E05" w:rsidRPr="009B1938" w:rsidTr="008A253E">
        <w:trPr>
          <w:trHeight w:val="630"/>
        </w:trPr>
        <w:tc>
          <w:tcPr>
            <w:tcW w:w="2552" w:type="dxa"/>
            <w:tcBorders>
              <w:top w:val="single" w:sz="4" w:space="0" w:color="auto"/>
              <w:left w:val="single" w:sz="4" w:space="0" w:color="auto"/>
              <w:bottom w:val="single" w:sz="4" w:space="0" w:color="auto"/>
              <w:right w:val="single" w:sz="4" w:space="0" w:color="auto"/>
            </w:tcBorders>
            <w:vAlign w:val="center"/>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ООО «Теплоходная компания «Большой МАЯК»</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301-02</w:t>
            </w:r>
          </w:p>
        </w:tc>
        <w:tc>
          <w:tcPr>
            <w:tcW w:w="1459"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125,0</w:t>
            </w:r>
          </w:p>
        </w:tc>
        <w:tc>
          <w:tcPr>
            <w:tcW w:w="1450" w:type="dxa"/>
            <w:tcBorders>
              <w:top w:val="single" w:sz="4" w:space="0" w:color="auto"/>
              <w:left w:val="single" w:sz="4" w:space="0" w:color="auto"/>
              <w:bottom w:val="single" w:sz="4" w:space="0" w:color="auto"/>
              <w:right w:val="single" w:sz="4" w:space="0" w:color="auto"/>
            </w:tcBorders>
            <w:noWrap/>
            <w:vAlign w:val="bottom"/>
            <w:hideMark/>
          </w:tcPr>
          <w:p w:rsidR="00F07E05" w:rsidRPr="00B01DB8" w:rsidRDefault="00F07E05" w:rsidP="008A253E">
            <w:pPr>
              <w:shd w:val="clear" w:color="auto" w:fill="FFFFFF" w:themeFill="background1"/>
              <w:spacing w:line="276" w:lineRule="auto"/>
              <w:jc w:val="center"/>
              <w:rPr>
                <w:b/>
                <w:bCs/>
                <w:color w:val="000000"/>
                <w:sz w:val="22"/>
                <w:szCs w:val="22"/>
                <w:lang w:eastAsia="en-US"/>
              </w:rPr>
            </w:pPr>
            <w:r w:rsidRPr="00B01DB8">
              <w:rPr>
                <w:b/>
                <w:bCs/>
                <w:color w:val="000000"/>
                <w:sz w:val="22"/>
                <w:szCs w:val="22"/>
                <w:lang w:eastAsia="en-US"/>
              </w:rPr>
              <w:t>8</w:t>
            </w:r>
          </w:p>
        </w:tc>
        <w:tc>
          <w:tcPr>
            <w:tcW w:w="2195" w:type="dxa"/>
            <w:tcBorders>
              <w:top w:val="single" w:sz="4" w:space="0" w:color="auto"/>
              <w:left w:val="single" w:sz="4" w:space="0" w:color="auto"/>
              <w:bottom w:val="single" w:sz="4" w:space="0" w:color="auto"/>
              <w:right w:val="single" w:sz="4" w:space="0" w:color="auto"/>
            </w:tcBorders>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25.06.21 15.00-23.00 </w:t>
            </w:r>
          </w:p>
        </w:tc>
        <w:tc>
          <w:tcPr>
            <w:tcW w:w="14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7E05" w:rsidRPr="003C5C9D" w:rsidRDefault="00F07E05" w:rsidP="008A253E">
            <w:pPr>
              <w:jc w:val="center"/>
              <w:rPr>
                <w:b/>
                <w:sz w:val="22"/>
                <w:szCs w:val="22"/>
              </w:rPr>
            </w:pPr>
            <w:r w:rsidRPr="003C5C9D">
              <w:rPr>
                <w:b/>
                <w:sz w:val="22"/>
                <w:szCs w:val="22"/>
              </w:rPr>
              <w:t>31 930,00</w:t>
            </w:r>
          </w:p>
        </w:tc>
      </w:tr>
      <w:tr w:rsidR="00F07E05" w:rsidRPr="009B1938" w:rsidTr="008A253E">
        <w:trPr>
          <w:trHeight w:val="330"/>
        </w:trPr>
        <w:tc>
          <w:tcPr>
            <w:tcW w:w="2552" w:type="dxa"/>
            <w:vMerge w:val="restart"/>
            <w:tcBorders>
              <w:top w:val="single" w:sz="4" w:space="0" w:color="auto"/>
              <w:left w:val="single" w:sz="4" w:space="0" w:color="auto"/>
              <w:bottom w:val="single" w:sz="4" w:space="0" w:color="auto"/>
              <w:right w:val="single" w:sz="4" w:space="0" w:color="auto"/>
            </w:tcBorders>
            <w:noWrap/>
            <w:vAlign w:val="center"/>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ООО «Цезарь Трэвел»</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26-37</w:t>
            </w:r>
          </w:p>
        </w:tc>
        <w:tc>
          <w:tcPr>
            <w:tcW w:w="1459"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96,34 </w:t>
            </w:r>
          </w:p>
        </w:tc>
        <w:tc>
          <w:tcPr>
            <w:tcW w:w="1450"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5 </w:t>
            </w:r>
          </w:p>
        </w:tc>
        <w:tc>
          <w:tcPr>
            <w:tcW w:w="2195" w:type="dxa"/>
            <w:tcBorders>
              <w:top w:val="single" w:sz="4" w:space="0" w:color="auto"/>
              <w:left w:val="single" w:sz="4" w:space="0" w:color="auto"/>
              <w:bottom w:val="single" w:sz="4" w:space="0" w:color="auto"/>
              <w:right w:val="single" w:sz="4" w:space="0" w:color="auto"/>
            </w:tcBorders>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22.05.21 15.45-20.00 </w:t>
            </w:r>
          </w:p>
        </w:tc>
        <w:tc>
          <w:tcPr>
            <w:tcW w:w="1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7E05" w:rsidRPr="009B1938" w:rsidRDefault="00F07E05" w:rsidP="008A253E">
            <w:pPr>
              <w:jc w:val="center"/>
              <w:rPr>
                <w:sz w:val="22"/>
                <w:szCs w:val="22"/>
              </w:rPr>
            </w:pPr>
            <w:r>
              <w:rPr>
                <w:sz w:val="22"/>
                <w:szCs w:val="22"/>
              </w:rPr>
              <w:t>15 380,68</w:t>
            </w:r>
          </w:p>
        </w:tc>
      </w:tr>
      <w:tr w:rsidR="00F07E05" w:rsidRPr="009B1938" w:rsidTr="008A253E">
        <w:trPr>
          <w:trHeight w:val="3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Pr="00B8009B" w:rsidRDefault="00F07E05" w:rsidP="008A253E">
            <w:pPr>
              <w:shd w:val="clear" w:color="auto" w:fill="FFFFFF" w:themeFill="background1"/>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26-37</w:t>
            </w:r>
          </w:p>
        </w:tc>
        <w:tc>
          <w:tcPr>
            <w:tcW w:w="1459"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96,34</w:t>
            </w:r>
          </w:p>
        </w:tc>
        <w:tc>
          <w:tcPr>
            <w:tcW w:w="1450"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6</w:t>
            </w:r>
          </w:p>
        </w:tc>
        <w:tc>
          <w:tcPr>
            <w:tcW w:w="2195" w:type="dxa"/>
            <w:tcBorders>
              <w:top w:val="single" w:sz="4" w:space="0" w:color="auto"/>
              <w:left w:val="single" w:sz="4" w:space="0" w:color="auto"/>
              <w:bottom w:val="single" w:sz="4" w:space="0" w:color="auto"/>
              <w:right w:val="single" w:sz="4" w:space="0" w:color="auto"/>
            </w:tcBorders>
            <w:vAlign w:val="bottom"/>
            <w:hideMark/>
          </w:tcPr>
          <w:p w:rsidR="00F07E05" w:rsidRPr="00B8009B" w:rsidRDefault="00F07E05" w:rsidP="008A253E">
            <w:pPr>
              <w:shd w:val="clear" w:color="auto" w:fill="FFFFFF" w:themeFill="background1"/>
              <w:spacing w:line="276" w:lineRule="auto"/>
              <w:rPr>
                <w:color w:val="000000"/>
                <w:lang w:eastAsia="en-US"/>
              </w:rPr>
            </w:pPr>
            <w:r w:rsidRPr="00B8009B">
              <w:rPr>
                <w:color w:val="000000"/>
                <w:sz w:val="22"/>
                <w:szCs w:val="22"/>
                <w:lang w:eastAsia="en-US"/>
              </w:rPr>
              <w:t xml:space="preserve">05.06.21 13.00-18.15 </w:t>
            </w:r>
          </w:p>
        </w:tc>
        <w:tc>
          <w:tcPr>
            <w:tcW w:w="1476" w:type="dxa"/>
            <w:tcBorders>
              <w:top w:val="single" w:sz="4" w:space="0" w:color="auto"/>
              <w:left w:val="single" w:sz="4" w:space="0" w:color="auto"/>
              <w:bottom w:val="single" w:sz="4" w:space="0" w:color="auto"/>
              <w:right w:val="single" w:sz="4" w:space="0" w:color="auto"/>
            </w:tcBorders>
            <w:shd w:val="clear" w:color="auto" w:fill="auto"/>
            <w:noWrap/>
          </w:tcPr>
          <w:p w:rsidR="00F07E05" w:rsidRPr="009B1938" w:rsidRDefault="00F07E05" w:rsidP="008A253E">
            <w:pPr>
              <w:jc w:val="center"/>
              <w:rPr>
                <w:sz w:val="22"/>
                <w:szCs w:val="22"/>
              </w:rPr>
            </w:pPr>
            <w:r>
              <w:rPr>
                <w:sz w:val="22"/>
                <w:szCs w:val="22"/>
              </w:rPr>
              <w:t>18 456,82</w:t>
            </w:r>
          </w:p>
        </w:tc>
      </w:tr>
      <w:tr w:rsidR="00F07E05" w:rsidRPr="009B1938" w:rsidTr="008A253E">
        <w:trPr>
          <w:trHeight w:val="3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Pr="00B8009B" w:rsidRDefault="00F07E05" w:rsidP="008A253E">
            <w:pPr>
              <w:shd w:val="clear" w:color="auto" w:fill="FFFFFF" w:themeFill="background1"/>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26-37</w:t>
            </w:r>
          </w:p>
        </w:tc>
        <w:tc>
          <w:tcPr>
            <w:tcW w:w="1459" w:type="dxa"/>
            <w:tcBorders>
              <w:top w:val="single" w:sz="4" w:space="0" w:color="auto"/>
              <w:left w:val="single" w:sz="4" w:space="0" w:color="auto"/>
              <w:bottom w:val="single" w:sz="4" w:space="0" w:color="auto"/>
              <w:right w:val="single" w:sz="4" w:space="0" w:color="auto"/>
            </w:tcBorders>
            <w:noWrap/>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96,34</w:t>
            </w:r>
          </w:p>
        </w:tc>
        <w:tc>
          <w:tcPr>
            <w:tcW w:w="1450"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5</w:t>
            </w:r>
          </w:p>
        </w:tc>
        <w:tc>
          <w:tcPr>
            <w:tcW w:w="2195" w:type="dxa"/>
            <w:tcBorders>
              <w:top w:val="single" w:sz="4" w:space="0" w:color="auto"/>
              <w:left w:val="single" w:sz="4" w:space="0" w:color="auto"/>
              <w:bottom w:val="single" w:sz="4" w:space="0" w:color="auto"/>
              <w:right w:val="single" w:sz="4" w:space="0" w:color="auto"/>
            </w:tcBorders>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23.06.21 13.00-18.00</w:t>
            </w:r>
          </w:p>
        </w:tc>
        <w:tc>
          <w:tcPr>
            <w:tcW w:w="1476" w:type="dxa"/>
            <w:tcBorders>
              <w:top w:val="single" w:sz="4" w:space="0" w:color="auto"/>
              <w:left w:val="single" w:sz="4" w:space="0" w:color="auto"/>
              <w:bottom w:val="single" w:sz="4" w:space="0" w:color="auto"/>
              <w:right w:val="single" w:sz="4" w:space="0" w:color="auto"/>
            </w:tcBorders>
            <w:shd w:val="clear" w:color="auto" w:fill="auto"/>
            <w:noWrap/>
          </w:tcPr>
          <w:p w:rsidR="00F07E05" w:rsidRPr="009B1938" w:rsidRDefault="00F07E05" w:rsidP="008A253E">
            <w:pPr>
              <w:jc w:val="center"/>
              <w:rPr>
                <w:sz w:val="22"/>
                <w:szCs w:val="22"/>
              </w:rPr>
            </w:pPr>
            <w:r w:rsidRPr="009B1938">
              <w:rPr>
                <w:sz w:val="22"/>
                <w:szCs w:val="22"/>
              </w:rPr>
              <w:t>15 380,68</w:t>
            </w:r>
          </w:p>
        </w:tc>
      </w:tr>
      <w:tr w:rsidR="00F07E05" w:rsidRPr="009B1938" w:rsidTr="008A253E">
        <w:trPr>
          <w:trHeight w:val="3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Pr="00B8009B" w:rsidRDefault="00F07E05" w:rsidP="008A253E">
            <w:pPr>
              <w:shd w:val="clear" w:color="auto" w:fill="FFFFFF" w:themeFill="background1"/>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26-37</w:t>
            </w:r>
          </w:p>
        </w:tc>
        <w:tc>
          <w:tcPr>
            <w:tcW w:w="1459" w:type="dxa"/>
            <w:tcBorders>
              <w:top w:val="single" w:sz="4" w:space="0" w:color="auto"/>
              <w:left w:val="single" w:sz="4" w:space="0" w:color="auto"/>
              <w:bottom w:val="single" w:sz="4" w:space="0" w:color="auto"/>
              <w:right w:val="single" w:sz="4" w:space="0" w:color="auto"/>
            </w:tcBorders>
            <w:noWrap/>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96,34</w:t>
            </w:r>
          </w:p>
        </w:tc>
        <w:tc>
          <w:tcPr>
            <w:tcW w:w="1450"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4</w:t>
            </w:r>
          </w:p>
        </w:tc>
        <w:tc>
          <w:tcPr>
            <w:tcW w:w="2195" w:type="dxa"/>
            <w:tcBorders>
              <w:top w:val="single" w:sz="4" w:space="0" w:color="auto"/>
              <w:left w:val="single" w:sz="4" w:space="0" w:color="auto"/>
              <w:bottom w:val="single" w:sz="4" w:space="0" w:color="auto"/>
              <w:right w:val="single" w:sz="4" w:space="0" w:color="auto"/>
            </w:tcBorders>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17.07.21 16.00-20.00</w:t>
            </w:r>
          </w:p>
        </w:tc>
        <w:tc>
          <w:tcPr>
            <w:tcW w:w="1476" w:type="dxa"/>
            <w:tcBorders>
              <w:top w:val="single" w:sz="4" w:space="0" w:color="auto"/>
              <w:left w:val="single" w:sz="4" w:space="0" w:color="auto"/>
              <w:bottom w:val="single" w:sz="4" w:space="0" w:color="auto"/>
              <w:right w:val="single" w:sz="4" w:space="0" w:color="auto"/>
            </w:tcBorders>
            <w:shd w:val="clear" w:color="auto" w:fill="auto"/>
            <w:noWrap/>
          </w:tcPr>
          <w:p w:rsidR="00F07E05" w:rsidRPr="009B1938" w:rsidRDefault="00F07E05" w:rsidP="008A253E">
            <w:pPr>
              <w:jc w:val="center"/>
              <w:rPr>
                <w:sz w:val="22"/>
                <w:szCs w:val="22"/>
              </w:rPr>
            </w:pPr>
            <w:r w:rsidRPr="009B1938">
              <w:rPr>
                <w:sz w:val="22"/>
                <w:szCs w:val="22"/>
              </w:rPr>
              <w:t>12 304,54</w:t>
            </w:r>
          </w:p>
        </w:tc>
      </w:tr>
      <w:tr w:rsidR="00F07E05" w:rsidRPr="009B1938" w:rsidTr="008A253E">
        <w:trPr>
          <w:trHeight w:val="3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Pr="00B8009B" w:rsidRDefault="00F07E05" w:rsidP="008A253E">
            <w:pPr>
              <w:shd w:val="clear" w:color="auto" w:fill="FFFFFF" w:themeFill="background1"/>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26-37</w:t>
            </w:r>
          </w:p>
        </w:tc>
        <w:tc>
          <w:tcPr>
            <w:tcW w:w="1459" w:type="dxa"/>
            <w:tcBorders>
              <w:top w:val="single" w:sz="4" w:space="0" w:color="auto"/>
              <w:left w:val="single" w:sz="4" w:space="0" w:color="auto"/>
              <w:bottom w:val="single" w:sz="4" w:space="0" w:color="auto"/>
              <w:right w:val="single" w:sz="4" w:space="0" w:color="auto"/>
            </w:tcBorders>
            <w:noWrap/>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96,34</w:t>
            </w:r>
          </w:p>
        </w:tc>
        <w:tc>
          <w:tcPr>
            <w:tcW w:w="1450"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4</w:t>
            </w:r>
          </w:p>
        </w:tc>
        <w:tc>
          <w:tcPr>
            <w:tcW w:w="2195" w:type="dxa"/>
            <w:tcBorders>
              <w:top w:val="single" w:sz="4" w:space="0" w:color="auto"/>
              <w:left w:val="single" w:sz="4" w:space="0" w:color="auto"/>
              <w:bottom w:val="single" w:sz="4" w:space="0" w:color="auto"/>
              <w:right w:val="single" w:sz="4" w:space="0" w:color="auto"/>
            </w:tcBorders>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07.08.21 16.30-20.30</w:t>
            </w:r>
          </w:p>
        </w:tc>
        <w:tc>
          <w:tcPr>
            <w:tcW w:w="1476" w:type="dxa"/>
            <w:tcBorders>
              <w:top w:val="single" w:sz="4" w:space="0" w:color="auto"/>
              <w:left w:val="single" w:sz="4" w:space="0" w:color="auto"/>
              <w:bottom w:val="single" w:sz="4" w:space="0" w:color="auto"/>
              <w:right w:val="single" w:sz="4" w:space="0" w:color="auto"/>
            </w:tcBorders>
            <w:shd w:val="clear" w:color="auto" w:fill="auto"/>
            <w:noWrap/>
          </w:tcPr>
          <w:p w:rsidR="00F07E05" w:rsidRPr="009B1938" w:rsidRDefault="00F07E05" w:rsidP="008A253E">
            <w:pPr>
              <w:jc w:val="center"/>
              <w:rPr>
                <w:sz w:val="22"/>
                <w:szCs w:val="22"/>
              </w:rPr>
            </w:pPr>
            <w:r w:rsidRPr="009B1938">
              <w:rPr>
                <w:sz w:val="22"/>
                <w:szCs w:val="22"/>
              </w:rPr>
              <w:t>12 304,54</w:t>
            </w:r>
          </w:p>
        </w:tc>
      </w:tr>
      <w:tr w:rsidR="00F07E05" w:rsidRPr="009B1938" w:rsidTr="008A253E">
        <w:trPr>
          <w:trHeight w:val="3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Pr="00B8009B" w:rsidRDefault="00F07E05" w:rsidP="008A253E">
            <w:pPr>
              <w:shd w:val="clear" w:color="auto" w:fill="FFFFFF" w:themeFill="background1"/>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26-37</w:t>
            </w:r>
          </w:p>
        </w:tc>
        <w:tc>
          <w:tcPr>
            <w:tcW w:w="1459" w:type="dxa"/>
            <w:tcBorders>
              <w:top w:val="single" w:sz="4" w:space="0" w:color="auto"/>
              <w:left w:val="single" w:sz="4" w:space="0" w:color="auto"/>
              <w:bottom w:val="single" w:sz="4" w:space="0" w:color="auto"/>
              <w:right w:val="single" w:sz="4" w:space="0" w:color="auto"/>
            </w:tcBorders>
            <w:noWrap/>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96,34</w:t>
            </w:r>
          </w:p>
        </w:tc>
        <w:tc>
          <w:tcPr>
            <w:tcW w:w="1450"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5</w:t>
            </w:r>
          </w:p>
        </w:tc>
        <w:tc>
          <w:tcPr>
            <w:tcW w:w="2195" w:type="dxa"/>
            <w:tcBorders>
              <w:top w:val="single" w:sz="4" w:space="0" w:color="auto"/>
              <w:left w:val="single" w:sz="4" w:space="0" w:color="auto"/>
              <w:bottom w:val="single" w:sz="4" w:space="0" w:color="auto"/>
              <w:right w:val="single" w:sz="4" w:space="0" w:color="auto"/>
            </w:tcBorders>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14.08.21 15.00-20.00</w:t>
            </w:r>
          </w:p>
        </w:tc>
        <w:tc>
          <w:tcPr>
            <w:tcW w:w="1476" w:type="dxa"/>
            <w:tcBorders>
              <w:top w:val="single" w:sz="4" w:space="0" w:color="auto"/>
              <w:left w:val="single" w:sz="4" w:space="0" w:color="auto"/>
              <w:bottom w:val="single" w:sz="4" w:space="0" w:color="auto"/>
              <w:right w:val="single" w:sz="4" w:space="0" w:color="auto"/>
            </w:tcBorders>
            <w:shd w:val="clear" w:color="auto" w:fill="auto"/>
            <w:noWrap/>
          </w:tcPr>
          <w:p w:rsidR="00F07E05" w:rsidRPr="009B1938" w:rsidRDefault="00F07E05" w:rsidP="008A253E">
            <w:pPr>
              <w:jc w:val="center"/>
              <w:rPr>
                <w:sz w:val="22"/>
                <w:szCs w:val="22"/>
              </w:rPr>
            </w:pPr>
            <w:r w:rsidRPr="009B1938">
              <w:rPr>
                <w:sz w:val="22"/>
                <w:szCs w:val="22"/>
              </w:rPr>
              <w:t>15 380,68</w:t>
            </w:r>
          </w:p>
        </w:tc>
      </w:tr>
      <w:tr w:rsidR="00F07E05" w:rsidRPr="009B1938" w:rsidTr="008A253E">
        <w:trPr>
          <w:trHeight w:val="3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Pr="00B8009B" w:rsidRDefault="00F07E05" w:rsidP="008A253E">
            <w:pPr>
              <w:shd w:val="clear" w:color="auto" w:fill="FFFFFF" w:themeFill="background1"/>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26-37</w:t>
            </w:r>
          </w:p>
        </w:tc>
        <w:tc>
          <w:tcPr>
            <w:tcW w:w="1459" w:type="dxa"/>
            <w:tcBorders>
              <w:top w:val="single" w:sz="4" w:space="0" w:color="auto"/>
              <w:left w:val="single" w:sz="4" w:space="0" w:color="auto"/>
              <w:bottom w:val="single" w:sz="4" w:space="0" w:color="auto"/>
              <w:right w:val="single" w:sz="4" w:space="0" w:color="auto"/>
            </w:tcBorders>
            <w:noWrap/>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96,34</w:t>
            </w:r>
          </w:p>
        </w:tc>
        <w:tc>
          <w:tcPr>
            <w:tcW w:w="1450"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5</w:t>
            </w:r>
          </w:p>
        </w:tc>
        <w:tc>
          <w:tcPr>
            <w:tcW w:w="2195" w:type="dxa"/>
            <w:tcBorders>
              <w:top w:val="single" w:sz="4" w:space="0" w:color="auto"/>
              <w:left w:val="single" w:sz="4" w:space="0" w:color="auto"/>
              <w:bottom w:val="single" w:sz="4" w:space="0" w:color="auto"/>
              <w:right w:val="single" w:sz="4" w:space="0" w:color="auto"/>
            </w:tcBorders>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21.08.21 13.00-18.00</w:t>
            </w:r>
          </w:p>
        </w:tc>
        <w:tc>
          <w:tcPr>
            <w:tcW w:w="1476" w:type="dxa"/>
            <w:tcBorders>
              <w:top w:val="single" w:sz="4" w:space="0" w:color="auto"/>
              <w:left w:val="single" w:sz="4" w:space="0" w:color="auto"/>
              <w:bottom w:val="single" w:sz="4" w:space="0" w:color="auto"/>
              <w:right w:val="single" w:sz="4" w:space="0" w:color="auto"/>
            </w:tcBorders>
            <w:shd w:val="clear" w:color="auto" w:fill="auto"/>
            <w:noWrap/>
          </w:tcPr>
          <w:p w:rsidR="00F07E05" w:rsidRPr="009B1938" w:rsidRDefault="00F07E05" w:rsidP="008A253E">
            <w:pPr>
              <w:jc w:val="center"/>
              <w:rPr>
                <w:sz w:val="22"/>
                <w:szCs w:val="22"/>
              </w:rPr>
            </w:pPr>
            <w:r w:rsidRPr="009B1938">
              <w:rPr>
                <w:sz w:val="22"/>
                <w:szCs w:val="22"/>
              </w:rPr>
              <w:t>15 380,68</w:t>
            </w:r>
          </w:p>
        </w:tc>
      </w:tr>
      <w:tr w:rsidR="00F07E05" w:rsidRPr="009B1938" w:rsidTr="008A253E">
        <w:trPr>
          <w:trHeight w:val="3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Pr="00B8009B" w:rsidRDefault="00F07E05" w:rsidP="008A253E">
            <w:pPr>
              <w:shd w:val="clear" w:color="auto" w:fill="FFFFFF" w:themeFill="background1"/>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26-37</w:t>
            </w:r>
          </w:p>
        </w:tc>
        <w:tc>
          <w:tcPr>
            <w:tcW w:w="1459" w:type="dxa"/>
            <w:tcBorders>
              <w:top w:val="single" w:sz="4" w:space="0" w:color="auto"/>
              <w:left w:val="single" w:sz="4" w:space="0" w:color="auto"/>
              <w:bottom w:val="single" w:sz="4" w:space="0" w:color="auto"/>
              <w:right w:val="single" w:sz="4" w:space="0" w:color="auto"/>
            </w:tcBorders>
            <w:noWrap/>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96,34</w:t>
            </w:r>
          </w:p>
        </w:tc>
        <w:tc>
          <w:tcPr>
            <w:tcW w:w="1450"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3</w:t>
            </w:r>
          </w:p>
        </w:tc>
        <w:tc>
          <w:tcPr>
            <w:tcW w:w="2195" w:type="dxa"/>
            <w:tcBorders>
              <w:top w:val="single" w:sz="4" w:space="0" w:color="auto"/>
              <w:left w:val="single" w:sz="4" w:space="0" w:color="auto"/>
              <w:bottom w:val="single" w:sz="4" w:space="0" w:color="auto"/>
              <w:right w:val="single" w:sz="4" w:space="0" w:color="auto"/>
            </w:tcBorders>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28.08.21 15.00-18.00</w:t>
            </w:r>
          </w:p>
        </w:tc>
        <w:tc>
          <w:tcPr>
            <w:tcW w:w="1476" w:type="dxa"/>
            <w:tcBorders>
              <w:top w:val="single" w:sz="4" w:space="0" w:color="auto"/>
              <w:left w:val="single" w:sz="4" w:space="0" w:color="auto"/>
              <w:bottom w:val="single" w:sz="4" w:space="0" w:color="auto"/>
              <w:right w:val="single" w:sz="4" w:space="0" w:color="auto"/>
            </w:tcBorders>
            <w:shd w:val="clear" w:color="auto" w:fill="auto"/>
            <w:noWrap/>
          </w:tcPr>
          <w:p w:rsidR="00F07E05" w:rsidRPr="009B1938" w:rsidRDefault="00F07E05" w:rsidP="008A253E">
            <w:pPr>
              <w:jc w:val="center"/>
              <w:rPr>
                <w:sz w:val="22"/>
                <w:szCs w:val="22"/>
              </w:rPr>
            </w:pPr>
            <w:r w:rsidRPr="009B1938">
              <w:rPr>
                <w:sz w:val="22"/>
                <w:szCs w:val="22"/>
              </w:rPr>
              <w:t>9 228,41</w:t>
            </w:r>
          </w:p>
        </w:tc>
      </w:tr>
      <w:tr w:rsidR="00F07E05" w:rsidRPr="009B1938" w:rsidTr="008A253E">
        <w:trPr>
          <w:trHeight w:val="3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Pr="00B8009B" w:rsidRDefault="00F07E05" w:rsidP="008A253E">
            <w:pPr>
              <w:shd w:val="clear" w:color="auto" w:fill="FFFFFF" w:themeFill="background1"/>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26-37</w:t>
            </w:r>
          </w:p>
        </w:tc>
        <w:tc>
          <w:tcPr>
            <w:tcW w:w="1459" w:type="dxa"/>
            <w:tcBorders>
              <w:top w:val="single" w:sz="4" w:space="0" w:color="auto"/>
              <w:left w:val="single" w:sz="4" w:space="0" w:color="auto"/>
              <w:bottom w:val="single" w:sz="4" w:space="0" w:color="auto"/>
              <w:right w:val="single" w:sz="4" w:space="0" w:color="auto"/>
            </w:tcBorders>
            <w:noWrap/>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96,34</w:t>
            </w:r>
          </w:p>
        </w:tc>
        <w:tc>
          <w:tcPr>
            <w:tcW w:w="1450"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5</w:t>
            </w:r>
          </w:p>
        </w:tc>
        <w:tc>
          <w:tcPr>
            <w:tcW w:w="2195" w:type="dxa"/>
            <w:tcBorders>
              <w:top w:val="single" w:sz="4" w:space="0" w:color="auto"/>
              <w:left w:val="single" w:sz="4" w:space="0" w:color="auto"/>
              <w:bottom w:val="single" w:sz="4" w:space="0" w:color="auto"/>
              <w:right w:val="single" w:sz="4" w:space="0" w:color="auto"/>
            </w:tcBorders>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04.09.21 13.00-18.00</w:t>
            </w:r>
          </w:p>
        </w:tc>
        <w:tc>
          <w:tcPr>
            <w:tcW w:w="1476" w:type="dxa"/>
            <w:tcBorders>
              <w:top w:val="single" w:sz="4" w:space="0" w:color="auto"/>
              <w:left w:val="single" w:sz="4" w:space="0" w:color="auto"/>
              <w:bottom w:val="single" w:sz="4" w:space="0" w:color="auto"/>
              <w:right w:val="single" w:sz="4" w:space="0" w:color="auto"/>
            </w:tcBorders>
            <w:shd w:val="clear" w:color="auto" w:fill="auto"/>
            <w:noWrap/>
          </w:tcPr>
          <w:p w:rsidR="00F07E05" w:rsidRPr="009B1938" w:rsidRDefault="00F07E05" w:rsidP="008A253E">
            <w:pPr>
              <w:jc w:val="center"/>
              <w:rPr>
                <w:sz w:val="22"/>
                <w:szCs w:val="22"/>
              </w:rPr>
            </w:pPr>
            <w:r w:rsidRPr="009B1938">
              <w:rPr>
                <w:sz w:val="22"/>
                <w:szCs w:val="22"/>
              </w:rPr>
              <w:t>15 380,68</w:t>
            </w:r>
          </w:p>
        </w:tc>
      </w:tr>
      <w:tr w:rsidR="00F07E05" w:rsidRPr="009B1938" w:rsidTr="008A253E">
        <w:trPr>
          <w:trHeight w:val="3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Pr="00B8009B" w:rsidRDefault="00F07E05" w:rsidP="008A253E">
            <w:pPr>
              <w:shd w:val="clear" w:color="auto" w:fill="FFFFFF" w:themeFill="background1"/>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26-37</w:t>
            </w:r>
          </w:p>
        </w:tc>
        <w:tc>
          <w:tcPr>
            <w:tcW w:w="1459" w:type="dxa"/>
            <w:tcBorders>
              <w:top w:val="single" w:sz="4" w:space="0" w:color="auto"/>
              <w:left w:val="single" w:sz="4" w:space="0" w:color="auto"/>
              <w:bottom w:val="single" w:sz="4" w:space="0" w:color="auto"/>
              <w:right w:val="single" w:sz="4" w:space="0" w:color="auto"/>
            </w:tcBorders>
            <w:noWrap/>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96,34</w:t>
            </w:r>
          </w:p>
        </w:tc>
        <w:tc>
          <w:tcPr>
            <w:tcW w:w="1450"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4</w:t>
            </w:r>
          </w:p>
        </w:tc>
        <w:tc>
          <w:tcPr>
            <w:tcW w:w="2195" w:type="dxa"/>
            <w:tcBorders>
              <w:top w:val="single" w:sz="4" w:space="0" w:color="auto"/>
              <w:left w:val="single" w:sz="4" w:space="0" w:color="auto"/>
              <w:bottom w:val="single" w:sz="4" w:space="0" w:color="auto"/>
              <w:right w:val="single" w:sz="4" w:space="0" w:color="auto"/>
            </w:tcBorders>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11.09.21 16.30-20.30</w:t>
            </w:r>
          </w:p>
        </w:tc>
        <w:tc>
          <w:tcPr>
            <w:tcW w:w="1476" w:type="dxa"/>
            <w:tcBorders>
              <w:top w:val="single" w:sz="4" w:space="0" w:color="auto"/>
              <w:left w:val="single" w:sz="4" w:space="0" w:color="auto"/>
              <w:bottom w:val="single" w:sz="4" w:space="0" w:color="auto"/>
              <w:right w:val="single" w:sz="4" w:space="0" w:color="auto"/>
            </w:tcBorders>
            <w:shd w:val="clear" w:color="auto" w:fill="auto"/>
            <w:noWrap/>
          </w:tcPr>
          <w:p w:rsidR="00F07E05" w:rsidRPr="009B1938" w:rsidRDefault="00F07E05" w:rsidP="008A253E">
            <w:pPr>
              <w:jc w:val="center"/>
              <w:rPr>
                <w:sz w:val="22"/>
                <w:szCs w:val="22"/>
              </w:rPr>
            </w:pPr>
            <w:r w:rsidRPr="009B1938">
              <w:rPr>
                <w:sz w:val="22"/>
                <w:szCs w:val="22"/>
              </w:rPr>
              <w:t>12 304,54</w:t>
            </w:r>
          </w:p>
        </w:tc>
      </w:tr>
      <w:tr w:rsidR="00F07E05" w:rsidRPr="009B1938" w:rsidTr="008A253E">
        <w:trPr>
          <w:trHeight w:val="3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Pr="00B8009B" w:rsidRDefault="00F07E05" w:rsidP="008A253E">
            <w:pPr>
              <w:shd w:val="clear" w:color="auto" w:fill="FFFFFF" w:themeFill="background1"/>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26-37</w:t>
            </w:r>
          </w:p>
        </w:tc>
        <w:tc>
          <w:tcPr>
            <w:tcW w:w="1459" w:type="dxa"/>
            <w:tcBorders>
              <w:top w:val="single" w:sz="4" w:space="0" w:color="auto"/>
              <w:left w:val="single" w:sz="4" w:space="0" w:color="auto"/>
              <w:bottom w:val="single" w:sz="4" w:space="0" w:color="auto"/>
              <w:right w:val="single" w:sz="4" w:space="0" w:color="auto"/>
            </w:tcBorders>
            <w:noWrap/>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96,34</w:t>
            </w:r>
          </w:p>
        </w:tc>
        <w:tc>
          <w:tcPr>
            <w:tcW w:w="1450"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7</w:t>
            </w:r>
          </w:p>
        </w:tc>
        <w:tc>
          <w:tcPr>
            <w:tcW w:w="2195" w:type="dxa"/>
            <w:tcBorders>
              <w:top w:val="single" w:sz="4" w:space="0" w:color="auto"/>
              <w:left w:val="single" w:sz="4" w:space="0" w:color="auto"/>
              <w:bottom w:val="single" w:sz="4" w:space="0" w:color="auto"/>
              <w:right w:val="single" w:sz="4" w:space="0" w:color="auto"/>
            </w:tcBorders>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18.09.21 13.00-20.00</w:t>
            </w:r>
          </w:p>
        </w:tc>
        <w:tc>
          <w:tcPr>
            <w:tcW w:w="1476" w:type="dxa"/>
            <w:tcBorders>
              <w:top w:val="single" w:sz="4" w:space="0" w:color="auto"/>
              <w:left w:val="single" w:sz="4" w:space="0" w:color="auto"/>
              <w:bottom w:val="single" w:sz="4" w:space="0" w:color="auto"/>
              <w:right w:val="single" w:sz="4" w:space="0" w:color="auto"/>
            </w:tcBorders>
            <w:shd w:val="clear" w:color="auto" w:fill="auto"/>
            <w:noWrap/>
          </w:tcPr>
          <w:p w:rsidR="00F07E05" w:rsidRPr="009B1938" w:rsidRDefault="00F07E05" w:rsidP="008A253E">
            <w:pPr>
              <w:jc w:val="center"/>
              <w:rPr>
                <w:sz w:val="22"/>
                <w:szCs w:val="22"/>
              </w:rPr>
            </w:pPr>
            <w:r w:rsidRPr="009B1938">
              <w:rPr>
                <w:sz w:val="22"/>
                <w:szCs w:val="22"/>
              </w:rPr>
              <w:t>21 532,95</w:t>
            </w:r>
          </w:p>
        </w:tc>
      </w:tr>
      <w:tr w:rsidR="00F07E05" w:rsidRPr="00D71B5A" w:rsidTr="008A253E">
        <w:trPr>
          <w:trHeight w:val="3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Pr="00B8009B" w:rsidRDefault="00F07E05" w:rsidP="008A253E">
            <w:pPr>
              <w:shd w:val="clear" w:color="auto" w:fill="FFFFFF" w:themeFill="background1"/>
              <w:spacing w:line="276" w:lineRule="auto"/>
              <w:rPr>
                <w:color w:val="000000"/>
                <w:lang w:eastAsia="en-US"/>
              </w:rPr>
            </w:pPr>
          </w:p>
        </w:tc>
        <w:tc>
          <w:tcPr>
            <w:tcW w:w="3018" w:type="dxa"/>
            <w:gridSpan w:val="2"/>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right"/>
              <w:rPr>
                <w:b/>
                <w:bCs/>
                <w:color w:val="000000"/>
                <w:lang w:eastAsia="en-US"/>
              </w:rPr>
            </w:pPr>
            <w:r w:rsidRPr="00B8009B">
              <w:rPr>
                <w:b/>
                <w:bCs/>
                <w:color w:val="000000"/>
                <w:sz w:val="22"/>
                <w:szCs w:val="22"/>
                <w:lang w:eastAsia="en-US"/>
              </w:rPr>
              <w:t>ИТОГО:</w:t>
            </w:r>
          </w:p>
        </w:tc>
        <w:tc>
          <w:tcPr>
            <w:tcW w:w="1450"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b/>
                <w:bCs/>
                <w:color w:val="000000"/>
                <w:lang w:eastAsia="en-US"/>
              </w:rPr>
            </w:pPr>
            <w:r w:rsidRPr="00B8009B">
              <w:rPr>
                <w:b/>
                <w:bCs/>
                <w:color w:val="000000"/>
                <w:sz w:val="22"/>
                <w:szCs w:val="22"/>
                <w:lang w:eastAsia="en-US"/>
              </w:rPr>
              <w:t>53</w:t>
            </w:r>
          </w:p>
        </w:tc>
        <w:tc>
          <w:tcPr>
            <w:tcW w:w="2195" w:type="dxa"/>
            <w:tcBorders>
              <w:top w:val="single" w:sz="4" w:space="0" w:color="auto"/>
              <w:left w:val="single" w:sz="4" w:space="0" w:color="auto"/>
              <w:bottom w:val="single" w:sz="4" w:space="0" w:color="auto"/>
              <w:right w:val="single" w:sz="4" w:space="0" w:color="auto"/>
            </w:tcBorders>
            <w:vAlign w:val="bottom"/>
            <w:hideMark/>
          </w:tcPr>
          <w:p w:rsidR="00F07E05" w:rsidRPr="00B8009B" w:rsidRDefault="00F07E05" w:rsidP="008A253E">
            <w:pPr>
              <w:shd w:val="clear" w:color="auto" w:fill="FFFFFF" w:themeFill="background1"/>
              <w:spacing w:line="276" w:lineRule="auto"/>
              <w:jc w:val="right"/>
              <w:rPr>
                <w:b/>
                <w:bCs/>
                <w:color w:val="000000"/>
                <w:lang w:eastAsia="en-US"/>
              </w:rPr>
            </w:pPr>
            <w:r w:rsidRPr="00B8009B">
              <w:rPr>
                <w:b/>
                <w:bCs/>
                <w:color w:val="000000"/>
                <w:sz w:val="22"/>
                <w:szCs w:val="22"/>
                <w:lang w:eastAsia="en-US"/>
              </w:rPr>
              <w:t>ИТОГО:</w:t>
            </w:r>
          </w:p>
        </w:tc>
        <w:tc>
          <w:tcPr>
            <w:tcW w:w="14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7E05" w:rsidRPr="00D71B5A" w:rsidRDefault="00F07E05" w:rsidP="008A253E">
            <w:pPr>
              <w:shd w:val="clear" w:color="auto" w:fill="FFFFFF" w:themeFill="background1"/>
              <w:spacing w:line="276" w:lineRule="auto"/>
              <w:jc w:val="center"/>
              <w:rPr>
                <w:b/>
                <w:bCs/>
                <w:color w:val="000000" w:themeColor="text1"/>
                <w:lang w:eastAsia="en-US"/>
              </w:rPr>
            </w:pPr>
            <w:r>
              <w:rPr>
                <w:b/>
                <w:bCs/>
                <w:color w:val="000000" w:themeColor="text1"/>
                <w:sz w:val="22"/>
                <w:szCs w:val="22"/>
                <w:lang w:eastAsia="en-US"/>
              </w:rPr>
              <w:t>163 035,20</w:t>
            </w:r>
          </w:p>
        </w:tc>
      </w:tr>
      <w:tr w:rsidR="00F07E05" w:rsidRPr="009B1938" w:rsidTr="008A253E">
        <w:trPr>
          <w:trHeight w:val="330"/>
        </w:trPr>
        <w:tc>
          <w:tcPr>
            <w:tcW w:w="2552" w:type="dxa"/>
            <w:vMerge w:val="restart"/>
            <w:tcBorders>
              <w:top w:val="single" w:sz="4" w:space="0" w:color="auto"/>
              <w:left w:val="single" w:sz="4" w:space="0" w:color="auto"/>
              <w:bottom w:val="single" w:sz="4" w:space="0" w:color="auto"/>
              <w:right w:val="single" w:sz="4" w:space="0" w:color="auto"/>
            </w:tcBorders>
            <w:noWrap/>
            <w:vAlign w:val="center"/>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ООО «Академфлот»</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26-37</w:t>
            </w:r>
          </w:p>
        </w:tc>
        <w:tc>
          <w:tcPr>
            <w:tcW w:w="1459"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96,28</w:t>
            </w:r>
          </w:p>
        </w:tc>
        <w:tc>
          <w:tcPr>
            <w:tcW w:w="1450"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8</w:t>
            </w:r>
          </w:p>
        </w:tc>
        <w:tc>
          <w:tcPr>
            <w:tcW w:w="2195"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 xml:space="preserve">02.06.21 12.30-20.00  </w:t>
            </w:r>
          </w:p>
        </w:tc>
        <w:tc>
          <w:tcPr>
            <w:tcW w:w="1476" w:type="dxa"/>
            <w:tcBorders>
              <w:top w:val="single" w:sz="4" w:space="0" w:color="auto"/>
              <w:left w:val="single" w:sz="4" w:space="0" w:color="auto"/>
              <w:bottom w:val="single" w:sz="4" w:space="0" w:color="auto"/>
              <w:right w:val="single" w:sz="4" w:space="0" w:color="auto"/>
            </w:tcBorders>
            <w:shd w:val="clear" w:color="auto" w:fill="auto"/>
            <w:noWrap/>
          </w:tcPr>
          <w:p w:rsidR="00F07E05" w:rsidRPr="009B1938" w:rsidRDefault="00F07E05" w:rsidP="008A253E">
            <w:pPr>
              <w:shd w:val="clear" w:color="auto" w:fill="FFFFFF" w:themeFill="background1"/>
              <w:spacing w:line="276" w:lineRule="auto"/>
              <w:jc w:val="center"/>
              <w:rPr>
                <w:color w:val="000000" w:themeColor="text1"/>
                <w:sz w:val="22"/>
                <w:szCs w:val="22"/>
                <w:lang w:eastAsia="en-US"/>
              </w:rPr>
            </w:pPr>
            <w:r w:rsidRPr="009B1938">
              <w:rPr>
                <w:sz w:val="22"/>
                <w:szCs w:val="22"/>
              </w:rPr>
              <w:t>24 593,76</w:t>
            </w:r>
          </w:p>
        </w:tc>
      </w:tr>
      <w:tr w:rsidR="00F07E05" w:rsidRPr="009B1938" w:rsidTr="008A253E">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Pr="00B8009B" w:rsidRDefault="00F07E05" w:rsidP="008A253E">
            <w:pPr>
              <w:shd w:val="clear" w:color="auto" w:fill="FFFFFF" w:themeFill="background1"/>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val="en-US" w:eastAsia="en-US"/>
              </w:rPr>
            </w:pPr>
            <w:r w:rsidRPr="00B8009B">
              <w:rPr>
                <w:color w:val="000000"/>
                <w:sz w:val="22"/>
                <w:szCs w:val="22"/>
                <w:lang w:eastAsia="en-US"/>
              </w:rPr>
              <w:t>588-</w:t>
            </w:r>
            <w:r w:rsidRPr="00B8009B">
              <w:rPr>
                <w:color w:val="000000"/>
                <w:sz w:val="22"/>
                <w:szCs w:val="22"/>
                <w:lang w:val="en-US" w:eastAsia="en-US"/>
              </w:rPr>
              <w:t>III</w:t>
            </w:r>
          </w:p>
        </w:tc>
        <w:tc>
          <w:tcPr>
            <w:tcW w:w="1459"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95,8</w:t>
            </w:r>
          </w:p>
        </w:tc>
        <w:tc>
          <w:tcPr>
            <w:tcW w:w="1450"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val="en-US" w:eastAsia="en-US"/>
              </w:rPr>
            </w:pPr>
            <w:r w:rsidRPr="00B8009B">
              <w:rPr>
                <w:color w:val="000000"/>
                <w:lang w:val="en-US" w:eastAsia="en-US"/>
              </w:rPr>
              <w:t>7</w:t>
            </w:r>
          </w:p>
        </w:tc>
        <w:tc>
          <w:tcPr>
            <w:tcW w:w="2195"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02.07.21 13.00-20.00 </w:t>
            </w:r>
          </w:p>
        </w:tc>
        <w:tc>
          <w:tcPr>
            <w:tcW w:w="1476" w:type="dxa"/>
            <w:tcBorders>
              <w:top w:val="single" w:sz="4" w:space="0" w:color="auto"/>
              <w:left w:val="single" w:sz="4" w:space="0" w:color="auto"/>
              <w:bottom w:val="single" w:sz="4" w:space="0" w:color="auto"/>
              <w:right w:val="single" w:sz="4" w:space="0" w:color="auto"/>
            </w:tcBorders>
            <w:shd w:val="clear" w:color="auto" w:fill="auto"/>
            <w:noWrap/>
          </w:tcPr>
          <w:p w:rsidR="00F07E05" w:rsidRPr="009B1938" w:rsidRDefault="00F07E05" w:rsidP="008A253E">
            <w:pPr>
              <w:shd w:val="clear" w:color="auto" w:fill="FFFFFF" w:themeFill="background1"/>
              <w:spacing w:line="276" w:lineRule="auto"/>
              <w:jc w:val="center"/>
              <w:rPr>
                <w:color w:val="000000" w:themeColor="text1"/>
                <w:sz w:val="22"/>
                <w:szCs w:val="22"/>
                <w:lang w:eastAsia="en-US"/>
              </w:rPr>
            </w:pPr>
            <w:r w:rsidRPr="009B1938">
              <w:rPr>
                <w:sz w:val="22"/>
                <w:szCs w:val="22"/>
              </w:rPr>
              <w:t>21 412,26</w:t>
            </w:r>
          </w:p>
        </w:tc>
      </w:tr>
      <w:tr w:rsidR="00F07E05" w:rsidRPr="009B1938" w:rsidTr="008A253E">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Pr="00B8009B" w:rsidRDefault="00F07E05" w:rsidP="008A253E">
            <w:pPr>
              <w:shd w:val="clear" w:color="auto" w:fill="FFFFFF" w:themeFill="background1"/>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588</w:t>
            </w:r>
            <w:r w:rsidRPr="00B8009B">
              <w:rPr>
                <w:color w:val="000000"/>
                <w:sz w:val="22"/>
                <w:szCs w:val="22"/>
                <w:lang w:val="en-US" w:eastAsia="en-US"/>
              </w:rPr>
              <w:t>-III</w:t>
            </w:r>
          </w:p>
        </w:tc>
        <w:tc>
          <w:tcPr>
            <w:tcW w:w="1459"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95,8</w:t>
            </w:r>
          </w:p>
        </w:tc>
        <w:tc>
          <w:tcPr>
            <w:tcW w:w="1450"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7</w:t>
            </w:r>
          </w:p>
        </w:tc>
        <w:tc>
          <w:tcPr>
            <w:tcW w:w="2195"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15.08.21 13.00-20.00</w:t>
            </w:r>
          </w:p>
        </w:tc>
        <w:tc>
          <w:tcPr>
            <w:tcW w:w="1476" w:type="dxa"/>
            <w:tcBorders>
              <w:top w:val="single" w:sz="4" w:space="0" w:color="auto"/>
              <w:left w:val="single" w:sz="4" w:space="0" w:color="auto"/>
              <w:bottom w:val="single" w:sz="4" w:space="0" w:color="auto"/>
              <w:right w:val="single" w:sz="4" w:space="0" w:color="auto"/>
            </w:tcBorders>
            <w:shd w:val="clear" w:color="auto" w:fill="auto"/>
            <w:noWrap/>
          </w:tcPr>
          <w:p w:rsidR="00F07E05" w:rsidRPr="009B1938" w:rsidRDefault="00F07E05" w:rsidP="008A253E">
            <w:pPr>
              <w:shd w:val="clear" w:color="auto" w:fill="FFFFFF" w:themeFill="background1"/>
              <w:spacing w:line="276" w:lineRule="auto"/>
              <w:jc w:val="center"/>
              <w:rPr>
                <w:color w:val="000000" w:themeColor="text1"/>
                <w:sz w:val="22"/>
                <w:szCs w:val="22"/>
                <w:lang w:eastAsia="en-US"/>
              </w:rPr>
            </w:pPr>
            <w:r w:rsidRPr="009B1938">
              <w:rPr>
                <w:sz w:val="22"/>
                <w:szCs w:val="22"/>
              </w:rPr>
              <w:t>21 412,26</w:t>
            </w:r>
          </w:p>
        </w:tc>
      </w:tr>
      <w:tr w:rsidR="00F07E05" w:rsidRPr="00D71B5A" w:rsidTr="008A253E">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Pr="00B8009B" w:rsidRDefault="00F07E05" w:rsidP="008A253E">
            <w:pPr>
              <w:shd w:val="clear" w:color="auto" w:fill="FFFFFF" w:themeFill="background1"/>
              <w:spacing w:line="276" w:lineRule="auto"/>
              <w:rPr>
                <w:color w:val="000000"/>
                <w:lang w:eastAsia="en-US"/>
              </w:rPr>
            </w:pPr>
          </w:p>
        </w:tc>
        <w:tc>
          <w:tcPr>
            <w:tcW w:w="3018" w:type="dxa"/>
            <w:gridSpan w:val="2"/>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right"/>
              <w:rPr>
                <w:b/>
                <w:bCs/>
                <w:color w:val="000000"/>
                <w:lang w:eastAsia="en-US"/>
              </w:rPr>
            </w:pPr>
            <w:r w:rsidRPr="00B8009B">
              <w:rPr>
                <w:b/>
                <w:bCs/>
                <w:color w:val="000000"/>
                <w:sz w:val="22"/>
                <w:szCs w:val="22"/>
                <w:lang w:eastAsia="en-US"/>
              </w:rPr>
              <w:t>ИТОГО:</w:t>
            </w:r>
          </w:p>
        </w:tc>
        <w:tc>
          <w:tcPr>
            <w:tcW w:w="1450"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b/>
                <w:bCs/>
                <w:color w:val="000000"/>
                <w:lang w:eastAsia="en-US"/>
              </w:rPr>
            </w:pPr>
            <w:r w:rsidRPr="00B8009B">
              <w:rPr>
                <w:b/>
                <w:bCs/>
                <w:color w:val="000000"/>
                <w:sz w:val="22"/>
                <w:szCs w:val="22"/>
                <w:lang w:eastAsia="en-US"/>
              </w:rPr>
              <w:t>22</w:t>
            </w:r>
          </w:p>
        </w:tc>
        <w:tc>
          <w:tcPr>
            <w:tcW w:w="2195"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right"/>
              <w:rPr>
                <w:b/>
                <w:bCs/>
                <w:color w:val="000000"/>
                <w:lang w:eastAsia="en-US"/>
              </w:rPr>
            </w:pPr>
            <w:r w:rsidRPr="00B8009B">
              <w:rPr>
                <w:b/>
                <w:bCs/>
                <w:color w:val="000000"/>
                <w:sz w:val="22"/>
                <w:szCs w:val="22"/>
                <w:lang w:eastAsia="en-US"/>
              </w:rPr>
              <w:t>ИТОГО:</w:t>
            </w:r>
          </w:p>
        </w:tc>
        <w:tc>
          <w:tcPr>
            <w:tcW w:w="14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7E05" w:rsidRPr="00D71B5A" w:rsidRDefault="00F07E05" w:rsidP="008A253E">
            <w:pPr>
              <w:shd w:val="clear" w:color="auto" w:fill="FFFFFF" w:themeFill="background1"/>
              <w:spacing w:line="276" w:lineRule="auto"/>
              <w:jc w:val="center"/>
              <w:rPr>
                <w:b/>
                <w:bCs/>
                <w:color w:val="000000" w:themeColor="text1"/>
                <w:lang w:eastAsia="en-US"/>
              </w:rPr>
            </w:pPr>
            <w:r>
              <w:rPr>
                <w:b/>
                <w:bCs/>
                <w:color w:val="000000" w:themeColor="text1"/>
                <w:sz w:val="22"/>
                <w:szCs w:val="22"/>
                <w:lang w:eastAsia="en-US"/>
              </w:rPr>
              <w:t>67 418,28</w:t>
            </w:r>
          </w:p>
        </w:tc>
      </w:tr>
      <w:tr w:rsidR="00F07E05" w:rsidRPr="00D71B5A" w:rsidTr="008A253E">
        <w:trPr>
          <w:trHeight w:val="330"/>
        </w:trPr>
        <w:tc>
          <w:tcPr>
            <w:tcW w:w="2552" w:type="dxa"/>
            <w:tcBorders>
              <w:top w:val="single" w:sz="4" w:space="0" w:color="auto"/>
              <w:left w:val="single" w:sz="4" w:space="0" w:color="auto"/>
              <w:bottom w:val="single" w:sz="4" w:space="0" w:color="auto"/>
              <w:right w:val="single" w:sz="4" w:space="0" w:color="auto"/>
            </w:tcBorders>
            <w:noWrap/>
            <w:vAlign w:val="center"/>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ООО «Круиз»</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588</w:t>
            </w:r>
          </w:p>
        </w:tc>
        <w:tc>
          <w:tcPr>
            <w:tcW w:w="1459"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95,8</w:t>
            </w:r>
          </w:p>
        </w:tc>
        <w:tc>
          <w:tcPr>
            <w:tcW w:w="1450"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b/>
                <w:bCs/>
                <w:color w:val="000000"/>
                <w:lang w:eastAsia="en-US"/>
              </w:rPr>
            </w:pPr>
            <w:r w:rsidRPr="00B8009B">
              <w:rPr>
                <w:b/>
                <w:bCs/>
                <w:color w:val="000000"/>
                <w:sz w:val="22"/>
                <w:szCs w:val="22"/>
                <w:lang w:eastAsia="en-US"/>
              </w:rPr>
              <w:t>4</w:t>
            </w:r>
          </w:p>
        </w:tc>
        <w:tc>
          <w:tcPr>
            <w:tcW w:w="2195"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09.08.21 15.00-19.00</w:t>
            </w:r>
          </w:p>
        </w:tc>
        <w:tc>
          <w:tcPr>
            <w:tcW w:w="14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7E05" w:rsidRPr="00D71B5A" w:rsidRDefault="00F07E05" w:rsidP="008A253E">
            <w:pPr>
              <w:shd w:val="clear" w:color="auto" w:fill="FFFFFF" w:themeFill="background1"/>
              <w:spacing w:line="276" w:lineRule="auto"/>
              <w:jc w:val="center"/>
              <w:rPr>
                <w:b/>
                <w:bCs/>
                <w:color w:val="000000" w:themeColor="text1"/>
                <w:lang w:eastAsia="en-US"/>
              </w:rPr>
            </w:pPr>
            <w:r>
              <w:rPr>
                <w:b/>
                <w:bCs/>
                <w:color w:val="000000" w:themeColor="text1"/>
                <w:sz w:val="22"/>
                <w:szCs w:val="22"/>
                <w:lang w:eastAsia="en-US"/>
              </w:rPr>
              <w:t>12 235,58</w:t>
            </w:r>
          </w:p>
        </w:tc>
      </w:tr>
      <w:tr w:rsidR="00F07E05" w:rsidRPr="009B1938" w:rsidTr="008A253E">
        <w:trPr>
          <w:trHeight w:val="330"/>
        </w:trPr>
        <w:tc>
          <w:tcPr>
            <w:tcW w:w="2552" w:type="dxa"/>
            <w:vMerge w:val="restart"/>
            <w:tcBorders>
              <w:top w:val="single" w:sz="4" w:space="0" w:color="auto"/>
              <w:left w:val="single" w:sz="4" w:space="0" w:color="auto"/>
              <w:bottom w:val="single" w:sz="4" w:space="0" w:color="auto"/>
              <w:right w:val="single" w:sz="4" w:space="0" w:color="auto"/>
            </w:tcBorders>
            <w:noWrap/>
            <w:vAlign w:val="center"/>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ООО «Экспресс-Тур»</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26-37</w:t>
            </w:r>
          </w:p>
        </w:tc>
        <w:tc>
          <w:tcPr>
            <w:tcW w:w="1459"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96,23</w:t>
            </w:r>
          </w:p>
        </w:tc>
        <w:tc>
          <w:tcPr>
            <w:tcW w:w="1450"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6</w:t>
            </w:r>
          </w:p>
        </w:tc>
        <w:tc>
          <w:tcPr>
            <w:tcW w:w="2195"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02.05.21 10.00-16.00</w:t>
            </w:r>
          </w:p>
        </w:tc>
        <w:tc>
          <w:tcPr>
            <w:tcW w:w="1476" w:type="dxa"/>
            <w:tcBorders>
              <w:top w:val="single" w:sz="4" w:space="0" w:color="auto"/>
              <w:left w:val="single" w:sz="4" w:space="0" w:color="auto"/>
              <w:bottom w:val="single" w:sz="4" w:space="0" w:color="auto"/>
              <w:right w:val="single" w:sz="4" w:space="0" w:color="auto"/>
            </w:tcBorders>
            <w:shd w:val="clear" w:color="auto" w:fill="auto"/>
            <w:noWrap/>
          </w:tcPr>
          <w:p w:rsidR="00F07E05" w:rsidRPr="009B1938" w:rsidRDefault="00F07E05" w:rsidP="008A253E">
            <w:pPr>
              <w:shd w:val="clear" w:color="auto" w:fill="FFFFFF" w:themeFill="background1"/>
              <w:spacing w:line="276" w:lineRule="auto"/>
              <w:jc w:val="center"/>
              <w:rPr>
                <w:color w:val="000000" w:themeColor="text1"/>
                <w:sz w:val="22"/>
                <w:szCs w:val="22"/>
                <w:lang w:eastAsia="en-US"/>
              </w:rPr>
            </w:pPr>
            <w:r w:rsidRPr="009B1938">
              <w:rPr>
                <w:sz w:val="22"/>
                <w:szCs w:val="22"/>
              </w:rPr>
              <w:t>17 878,25</w:t>
            </w:r>
          </w:p>
        </w:tc>
      </w:tr>
      <w:tr w:rsidR="00F07E05" w:rsidRPr="009B1938" w:rsidTr="008A253E">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Pr="00B8009B" w:rsidRDefault="00F07E05" w:rsidP="008A253E">
            <w:pPr>
              <w:shd w:val="clear" w:color="auto" w:fill="FFFFFF" w:themeFill="background1"/>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26-37</w:t>
            </w:r>
          </w:p>
        </w:tc>
        <w:tc>
          <w:tcPr>
            <w:tcW w:w="1459"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96,23</w:t>
            </w:r>
          </w:p>
        </w:tc>
        <w:tc>
          <w:tcPr>
            <w:tcW w:w="1450"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6</w:t>
            </w:r>
          </w:p>
        </w:tc>
        <w:tc>
          <w:tcPr>
            <w:tcW w:w="2195"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15.07.21 08.00-14.00</w:t>
            </w:r>
          </w:p>
        </w:tc>
        <w:tc>
          <w:tcPr>
            <w:tcW w:w="1476" w:type="dxa"/>
            <w:tcBorders>
              <w:top w:val="single" w:sz="4" w:space="0" w:color="auto"/>
              <w:left w:val="single" w:sz="4" w:space="0" w:color="auto"/>
              <w:bottom w:val="single" w:sz="4" w:space="0" w:color="auto"/>
              <w:right w:val="single" w:sz="4" w:space="0" w:color="auto"/>
            </w:tcBorders>
            <w:shd w:val="clear" w:color="auto" w:fill="auto"/>
            <w:noWrap/>
          </w:tcPr>
          <w:p w:rsidR="00F07E05" w:rsidRPr="009B1938" w:rsidRDefault="00F07E05" w:rsidP="008A253E">
            <w:pPr>
              <w:shd w:val="clear" w:color="auto" w:fill="FFFFFF" w:themeFill="background1"/>
              <w:spacing w:line="276" w:lineRule="auto"/>
              <w:jc w:val="center"/>
              <w:rPr>
                <w:color w:val="000000" w:themeColor="text1"/>
                <w:sz w:val="22"/>
                <w:szCs w:val="22"/>
                <w:lang w:eastAsia="en-US"/>
              </w:rPr>
            </w:pPr>
            <w:r w:rsidRPr="009B1938">
              <w:rPr>
                <w:sz w:val="22"/>
                <w:szCs w:val="22"/>
              </w:rPr>
              <w:t>18 452,99</w:t>
            </w:r>
          </w:p>
        </w:tc>
      </w:tr>
      <w:tr w:rsidR="00F07E05" w:rsidRPr="009B1938" w:rsidTr="008A253E">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Pr="00B8009B" w:rsidRDefault="00F07E05" w:rsidP="008A253E">
            <w:pPr>
              <w:shd w:val="clear" w:color="auto" w:fill="FFFFFF" w:themeFill="background1"/>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26-37</w:t>
            </w:r>
          </w:p>
        </w:tc>
        <w:tc>
          <w:tcPr>
            <w:tcW w:w="1459"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96,23</w:t>
            </w:r>
          </w:p>
        </w:tc>
        <w:tc>
          <w:tcPr>
            <w:tcW w:w="1450"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 6</w:t>
            </w:r>
          </w:p>
        </w:tc>
        <w:tc>
          <w:tcPr>
            <w:tcW w:w="2195"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28.08.21 13.00-19.00 </w:t>
            </w:r>
          </w:p>
        </w:tc>
        <w:tc>
          <w:tcPr>
            <w:tcW w:w="1476" w:type="dxa"/>
            <w:tcBorders>
              <w:top w:val="single" w:sz="4" w:space="0" w:color="auto"/>
              <w:left w:val="single" w:sz="4" w:space="0" w:color="auto"/>
              <w:bottom w:val="single" w:sz="4" w:space="0" w:color="auto"/>
              <w:right w:val="single" w:sz="4" w:space="0" w:color="auto"/>
            </w:tcBorders>
            <w:shd w:val="clear" w:color="auto" w:fill="auto"/>
            <w:noWrap/>
          </w:tcPr>
          <w:p w:rsidR="00F07E05" w:rsidRPr="009B1938" w:rsidRDefault="00F07E05" w:rsidP="008A253E">
            <w:pPr>
              <w:shd w:val="clear" w:color="auto" w:fill="FFFFFF" w:themeFill="background1"/>
              <w:spacing w:line="276" w:lineRule="auto"/>
              <w:jc w:val="center"/>
              <w:rPr>
                <w:color w:val="000000" w:themeColor="text1"/>
                <w:sz w:val="22"/>
                <w:szCs w:val="22"/>
                <w:lang w:eastAsia="en-US"/>
              </w:rPr>
            </w:pPr>
            <w:r w:rsidRPr="009B1938">
              <w:rPr>
                <w:sz w:val="22"/>
                <w:szCs w:val="22"/>
              </w:rPr>
              <w:t>12 301,99</w:t>
            </w:r>
          </w:p>
        </w:tc>
      </w:tr>
      <w:tr w:rsidR="00F07E05" w:rsidRPr="009B1938" w:rsidTr="008A253E">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Pr="00B8009B" w:rsidRDefault="00F07E05" w:rsidP="008A253E">
            <w:pPr>
              <w:shd w:val="clear" w:color="auto" w:fill="FFFFFF" w:themeFill="background1"/>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26-37</w:t>
            </w:r>
          </w:p>
        </w:tc>
        <w:tc>
          <w:tcPr>
            <w:tcW w:w="1459"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96,23</w:t>
            </w:r>
          </w:p>
        </w:tc>
        <w:tc>
          <w:tcPr>
            <w:tcW w:w="1450"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7</w:t>
            </w:r>
          </w:p>
        </w:tc>
        <w:tc>
          <w:tcPr>
            <w:tcW w:w="2195"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16.10.21 12.00-19.00</w:t>
            </w:r>
          </w:p>
        </w:tc>
        <w:tc>
          <w:tcPr>
            <w:tcW w:w="1476" w:type="dxa"/>
            <w:tcBorders>
              <w:top w:val="single" w:sz="4" w:space="0" w:color="auto"/>
              <w:left w:val="single" w:sz="4" w:space="0" w:color="auto"/>
              <w:bottom w:val="single" w:sz="4" w:space="0" w:color="auto"/>
              <w:right w:val="single" w:sz="4" w:space="0" w:color="auto"/>
            </w:tcBorders>
            <w:shd w:val="clear" w:color="auto" w:fill="auto"/>
            <w:noWrap/>
          </w:tcPr>
          <w:p w:rsidR="00F07E05" w:rsidRPr="009B1938" w:rsidRDefault="00F07E05" w:rsidP="008A253E">
            <w:pPr>
              <w:shd w:val="clear" w:color="auto" w:fill="FFFFFF" w:themeFill="background1"/>
              <w:spacing w:line="276" w:lineRule="auto"/>
              <w:jc w:val="center"/>
              <w:rPr>
                <w:color w:val="000000" w:themeColor="text1"/>
                <w:sz w:val="22"/>
                <w:szCs w:val="22"/>
                <w:lang w:eastAsia="en-US"/>
              </w:rPr>
            </w:pPr>
            <w:r w:rsidRPr="009B1938">
              <w:rPr>
                <w:sz w:val="22"/>
                <w:szCs w:val="22"/>
              </w:rPr>
              <w:t>27 532,92</w:t>
            </w:r>
          </w:p>
        </w:tc>
      </w:tr>
      <w:tr w:rsidR="00F07E05" w:rsidRPr="009B1938" w:rsidTr="008A253E">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Pr="00B8009B" w:rsidRDefault="00F07E05" w:rsidP="008A253E">
            <w:pPr>
              <w:shd w:val="clear" w:color="auto" w:fill="FFFFFF" w:themeFill="background1"/>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РЕКГ.002</w:t>
            </w:r>
          </w:p>
        </w:tc>
        <w:tc>
          <w:tcPr>
            <w:tcW w:w="1459"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93,32</w:t>
            </w:r>
          </w:p>
        </w:tc>
        <w:tc>
          <w:tcPr>
            <w:tcW w:w="1450"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8</w:t>
            </w:r>
          </w:p>
        </w:tc>
        <w:tc>
          <w:tcPr>
            <w:tcW w:w="2195"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02.10.21 15.00-23.00</w:t>
            </w:r>
          </w:p>
        </w:tc>
        <w:tc>
          <w:tcPr>
            <w:tcW w:w="1476" w:type="dxa"/>
            <w:tcBorders>
              <w:top w:val="single" w:sz="4" w:space="0" w:color="auto"/>
              <w:left w:val="single" w:sz="4" w:space="0" w:color="auto"/>
              <w:bottom w:val="single" w:sz="4" w:space="0" w:color="auto"/>
              <w:right w:val="single" w:sz="4" w:space="0" w:color="auto"/>
            </w:tcBorders>
            <w:shd w:val="clear" w:color="auto" w:fill="auto"/>
            <w:noWrap/>
          </w:tcPr>
          <w:p w:rsidR="00F07E05" w:rsidRPr="009B1938" w:rsidRDefault="00F07E05" w:rsidP="008A253E">
            <w:pPr>
              <w:shd w:val="clear" w:color="auto" w:fill="FFFFFF" w:themeFill="background1"/>
              <w:spacing w:line="276" w:lineRule="auto"/>
              <w:jc w:val="center"/>
              <w:rPr>
                <w:color w:val="000000" w:themeColor="text1"/>
                <w:sz w:val="22"/>
                <w:szCs w:val="22"/>
                <w:lang w:eastAsia="en-US"/>
              </w:rPr>
            </w:pPr>
            <w:r w:rsidRPr="009B1938">
              <w:rPr>
                <w:sz w:val="22"/>
                <w:szCs w:val="22"/>
              </w:rPr>
              <w:t>17 878,25</w:t>
            </w:r>
          </w:p>
        </w:tc>
      </w:tr>
      <w:tr w:rsidR="00F07E05" w:rsidRPr="00D71B5A" w:rsidTr="008A253E">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Pr="00B8009B" w:rsidRDefault="00F07E05" w:rsidP="008A253E">
            <w:pPr>
              <w:shd w:val="clear" w:color="auto" w:fill="FFFFFF" w:themeFill="background1"/>
              <w:spacing w:line="276" w:lineRule="auto"/>
              <w:rPr>
                <w:color w:val="000000"/>
                <w:lang w:eastAsia="en-US"/>
              </w:rPr>
            </w:pPr>
          </w:p>
        </w:tc>
        <w:tc>
          <w:tcPr>
            <w:tcW w:w="3018" w:type="dxa"/>
            <w:gridSpan w:val="2"/>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right"/>
              <w:rPr>
                <w:color w:val="000000"/>
                <w:lang w:eastAsia="en-US"/>
              </w:rPr>
            </w:pPr>
            <w:r w:rsidRPr="00B8009B">
              <w:rPr>
                <w:b/>
                <w:bCs/>
                <w:color w:val="000000"/>
                <w:sz w:val="22"/>
                <w:szCs w:val="22"/>
                <w:lang w:eastAsia="en-US"/>
              </w:rPr>
              <w:t>ИТОГО:</w:t>
            </w:r>
          </w:p>
        </w:tc>
        <w:tc>
          <w:tcPr>
            <w:tcW w:w="1450" w:type="dxa"/>
            <w:tcBorders>
              <w:top w:val="single" w:sz="4" w:space="0" w:color="auto"/>
              <w:left w:val="single" w:sz="4" w:space="0" w:color="auto"/>
              <w:bottom w:val="single" w:sz="4" w:space="0" w:color="auto"/>
              <w:right w:val="single" w:sz="4" w:space="0" w:color="auto"/>
            </w:tcBorders>
            <w:noWrap/>
            <w:vAlign w:val="bottom"/>
            <w:hideMark/>
          </w:tcPr>
          <w:p w:rsidR="00F07E05" w:rsidRPr="00B01DB8" w:rsidRDefault="00F07E05" w:rsidP="008A253E">
            <w:pPr>
              <w:shd w:val="clear" w:color="auto" w:fill="FFFFFF" w:themeFill="background1"/>
              <w:spacing w:line="276" w:lineRule="auto"/>
              <w:jc w:val="center"/>
              <w:rPr>
                <w:b/>
                <w:bCs/>
                <w:color w:val="000000"/>
                <w:lang w:eastAsia="en-US"/>
              </w:rPr>
            </w:pPr>
            <w:r w:rsidRPr="00B01DB8">
              <w:rPr>
                <w:b/>
                <w:bCs/>
                <w:color w:val="000000"/>
                <w:sz w:val="22"/>
                <w:szCs w:val="22"/>
                <w:lang w:eastAsia="en-US"/>
              </w:rPr>
              <w:t>33</w:t>
            </w:r>
          </w:p>
        </w:tc>
        <w:tc>
          <w:tcPr>
            <w:tcW w:w="2195"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right"/>
              <w:rPr>
                <w:color w:val="000000"/>
                <w:lang w:eastAsia="en-US"/>
              </w:rPr>
            </w:pPr>
            <w:r w:rsidRPr="00B8009B">
              <w:rPr>
                <w:b/>
                <w:bCs/>
                <w:color w:val="000000"/>
                <w:sz w:val="22"/>
                <w:szCs w:val="22"/>
                <w:lang w:eastAsia="en-US"/>
              </w:rPr>
              <w:t>ИТОГО:</w:t>
            </w:r>
          </w:p>
        </w:tc>
        <w:tc>
          <w:tcPr>
            <w:tcW w:w="14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7E05" w:rsidRPr="00D71B5A" w:rsidRDefault="00F07E05" w:rsidP="008A253E">
            <w:pPr>
              <w:shd w:val="clear" w:color="auto" w:fill="FFFFFF" w:themeFill="background1"/>
              <w:spacing w:line="276" w:lineRule="auto"/>
              <w:jc w:val="center"/>
              <w:rPr>
                <w:b/>
                <w:bCs/>
                <w:color w:val="000000" w:themeColor="text1"/>
                <w:lang w:eastAsia="en-US"/>
              </w:rPr>
            </w:pPr>
            <w:r>
              <w:rPr>
                <w:b/>
                <w:bCs/>
                <w:color w:val="000000" w:themeColor="text1"/>
                <w:sz w:val="22"/>
                <w:szCs w:val="22"/>
                <w:lang w:eastAsia="en-US"/>
              </w:rPr>
              <w:t>100 653,25</w:t>
            </w:r>
          </w:p>
        </w:tc>
      </w:tr>
      <w:tr w:rsidR="00F07E05" w:rsidRPr="009B1938" w:rsidTr="008A253E">
        <w:trPr>
          <w:trHeight w:val="330"/>
        </w:trPr>
        <w:tc>
          <w:tcPr>
            <w:tcW w:w="2552" w:type="dxa"/>
            <w:vMerge w:val="restart"/>
            <w:tcBorders>
              <w:top w:val="single" w:sz="4" w:space="0" w:color="auto"/>
              <w:left w:val="single" w:sz="4" w:space="0" w:color="auto"/>
              <w:bottom w:val="single" w:sz="4" w:space="0" w:color="auto"/>
              <w:right w:val="single" w:sz="4" w:space="0" w:color="auto"/>
            </w:tcBorders>
            <w:noWrap/>
            <w:vAlign w:val="center"/>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ИП Александров Владимир Геннадьевич</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26-37</w:t>
            </w:r>
          </w:p>
        </w:tc>
        <w:tc>
          <w:tcPr>
            <w:tcW w:w="1459"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 96,32</w:t>
            </w:r>
          </w:p>
        </w:tc>
        <w:tc>
          <w:tcPr>
            <w:tcW w:w="1450"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lang w:eastAsia="en-US"/>
              </w:rPr>
              <w:t>6</w:t>
            </w:r>
          </w:p>
        </w:tc>
        <w:tc>
          <w:tcPr>
            <w:tcW w:w="2195"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24.07.21 15.30-21.00</w:t>
            </w:r>
          </w:p>
        </w:tc>
        <w:tc>
          <w:tcPr>
            <w:tcW w:w="1476" w:type="dxa"/>
            <w:tcBorders>
              <w:top w:val="single" w:sz="4" w:space="0" w:color="auto"/>
              <w:left w:val="single" w:sz="4" w:space="0" w:color="auto"/>
              <w:bottom w:val="single" w:sz="4" w:space="0" w:color="auto"/>
              <w:right w:val="single" w:sz="4" w:space="0" w:color="auto"/>
            </w:tcBorders>
            <w:shd w:val="clear" w:color="auto" w:fill="auto"/>
            <w:noWrap/>
          </w:tcPr>
          <w:p w:rsidR="00F07E05" w:rsidRPr="009B1938" w:rsidRDefault="00F07E05" w:rsidP="008A253E">
            <w:pPr>
              <w:shd w:val="clear" w:color="auto" w:fill="FFFFFF" w:themeFill="background1"/>
              <w:spacing w:line="276" w:lineRule="auto"/>
              <w:jc w:val="center"/>
              <w:rPr>
                <w:color w:val="000000" w:themeColor="text1"/>
                <w:sz w:val="22"/>
                <w:szCs w:val="22"/>
                <w:lang w:eastAsia="en-US"/>
              </w:rPr>
            </w:pPr>
            <w:r w:rsidRPr="009B1938">
              <w:rPr>
                <w:sz w:val="22"/>
                <w:szCs w:val="22"/>
              </w:rPr>
              <w:t>17 878,25</w:t>
            </w:r>
          </w:p>
        </w:tc>
      </w:tr>
      <w:tr w:rsidR="00F07E05" w:rsidRPr="009B1938" w:rsidTr="008A253E">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Pr="00B8009B" w:rsidRDefault="00F07E05" w:rsidP="008A253E">
            <w:pPr>
              <w:shd w:val="clear" w:color="auto" w:fill="FFFFFF" w:themeFill="background1"/>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26-37</w:t>
            </w:r>
          </w:p>
        </w:tc>
        <w:tc>
          <w:tcPr>
            <w:tcW w:w="1459"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96,32</w:t>
            </w:r>
          </w:p>
        </w:tc>
        <w:tc>
          <w:tcPr>
            <w:tcW w:w="1450"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6</w:t>
            </w:r>
          </w:p>
        </w:tc>
        <w:tc>
          <w:tcPr>
            <w:tcW w:w="2195"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18.09.21 14.30-20.00 </w:t>
            </w:r>
          </w:p>
        </w:tc>
        <w:tc>
          <w:tcPr>
            <w:tcW w:w="1476" w:type="dxa"/>
            <w:tcBorders>
              <w:top w:val="single" w:sz="4" w:space="0" w:color="auto"/>
              <w:left w:val="single" w:sz="4" w:space="0" w:color="auto"/>
              <w:bottom w:val="single" w:sz="4" w:space="0" w:color="auto"/>
              <w:right w:val="single" w:sz="4" w:space="0" w:color="auto"/>
            </w:tcBorders>
            <w:shd w:val="clear" w:color="auto" w:fill="auto"/>
            <w:noWrap/>
          </w:tcPr>
          <w:p w:rsidR="00F07E05" w:rsidRPr="009B1938" w:rsidRDefault="00F07E05" w:rsidP="008A253E">
            <w:pPr>
              <w:shd w:val="clear" w:color="auto" w:fill="FFFFFF" w:themeFill="background1"/>
              <w:spacing w:line="276" w:lineRule="auto"/>
              <w:jc w:val="center"/>
              <w:rPr>
                <w:color w:val="000000" w:themeColor="text1"/>
                <w:sz w:val="22"/>
                <w:szCs w:val="22"/>
                <w:lang w:eastAsia="en-US"/>
              </w:rPr>
            </w:pPr>
            <w:r w:rsidRPr="009B1938">
              <w:rPr>
                <w:sz w:val="22"/>
                <w:szCs w:val="22"/>
              </w:rPr>
              <w:t>18 452,99</w:t>
            </w:r>
          </w:p>
        </w:tc>
      </w:tr>
      <w:tr w:rsidR="00F07E05" w:rsidRPr="009B1938" w:rsidTr="008A253E">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Pr="00B8009B" w:rsidRDefault="00F07E05" w:rsidP="008A253E">
            <w:pPr>
              <w:shd w:val="clear" w:color="auto" w:fill="FFFFFF" w:themeFill="background1"/>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26-37</w:t>
            </w:r>
          </w:p>
        </w:tc>
        <w:tc>
          <w:tcPr>
            <w:tcW w:w="1459"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96,32</w:t>
            </w:r>
          </w:p>
        </w:tc>
        <w:tc>
          <w:tcPr>
            <w:tcW w:w="1450"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4</w:t>
            </w:r>
          </w:p>
        </w:tc>
        <w:tc>
          <w:tcPr>
            <w:tcW w:w="2195"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06.10.21 15.00-19.00 </w:t>
            </w:r>
          </w:p>
        </w:tc>
        <w:tc>
          <w:tcPr>
            <w:tcW w:w="1476" w:type="dxa"/>
            <w:tcBorders>
              <w:top w:val="single" w:sz="4" w:space="0" w:color="auto"/>
              <w:left w:val="single" w:sz="4" w:space="0" w:color="auto"/>
              <w:bottom w:val="single" w:sz="4" w:space="0" w:color="auto"/>
              <w:right w:val="single" w:sz="4" w:space="0" w:color="auto"/>
            </w:tcBorders>
            <w:shd w:val="clear" w:color="auto" w:fill="auto"/>
            <w:noWrap/>
          </w:tcPr>
          <w:p w:rsidR="00F07E05" w:rsidRPr="009B1938" w:rsidRDefault="00F07E05" w:rsidP="008A253E">
            <w:pPr>
              <w:shd w:val="clear" w:color="auto" w:fill="FFFFFF" w:themeFill="background1"/>
              <w:spacing w:line="276" w:lineRule="auto"/>
              <w:jc w:val="center"/>
              <w:rPr>
                <w:color w:val="000000" w:themeColor="text1"/>
                <w:sz w:val="22"/>
                <w:szCs w:val="22"/>
                <w:lang w:eastAsia="en-US"/>
              </w:rPr>
            </w:pPr>
            <w:r w:rsidRPr="009B1938">
              <w:rPr>
                <w:sz w:val="22"/>
                <w:szCs w:val="22"/>
              </w:rPr>
              <w:t>12 301,99</w:t>
            </w:r>
          </w:p>
        </w:tc>
      </w:tr>
      <w:tr w:rsidR="00F07E05" w:rsidRPr="009B1938" w:rsidTr="008A253E">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Pr="00B8009B" w:rsidRDefault="00F07E05" w:rsidP="008A253E">
            <w:pPr>
              <w:shd w:val="clear" w:color="auto" w:fill="FFFFFF" w:themeFill="background1"/>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588</w:t>
            </w:r>
          </w:p>
        </w:tc>
        <w:tc>
          <w:tcPr>
            <w:tcW w:w="1459"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95,81</w:t>
            </w:r>
          </w:p>
        </w:tc>
        <w:tc>
          <w:tcPr>
            <w:tcW w:w="1450"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9</w:t>
            </w:r>
          </w:p>
        </w:tc>
        <w:tc>
          <w:tcPr>
            <w:tcW w:w="2195"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03.07.21 13.00-22.00</w:t>
            </w:r>
          </w:p>
        </w:tc>
        <w:tc>
          <w:tcPr>
            <w:tcW w:w="1476" w:type="dxa"/>
            <w:tcBorders>
              <w:top w:val="single" w:sz="4" w:space="0" w:color="auto"/>
              <w:left w:val="single" w:sz="4" w:space="0" w:color="auto"/>
              <w:bottom w:val="single" w:sz="4" w:space="0" w:color="auto"/>
              <w:right w:val="single" w:sz="4" w:space="0" w:color="auto"/>
            </w:tcBorders>
            <w:shd w:val="clear" w:color="auto" w:fill="auto"/>
            <w:noWrap/>
          </w:tcPr>
          <w:p w:rsidR="00F07E05" w:rsidRPr="009B1938" w:rsidRDefault="00F07E05" w:rsidP="008A253E">
            <w:pPr>
              <w:shd w:val="clear" w:color="auto" w:fill="FFFFFF" w:themeFill="background1"/>
              <w:spacing w:line="276" w:lineRule="auto"/>
              <w:jc w:val="center"/>
              <w:rPr>
                <w:color w:val="000000" w:themeColor="text1"/>
                <w:sz w:val="22"/>
                <w:szCs w:val="22"/>
                <w:lang w:eastAsia="en-US"/>
              </w:rPr>
            </w:pPr>
            <w:r w:rsidRPr="009B1938">
              <w:rPr>
                <w:sz w:val="22"/>
                <w:szCs w:val="22"/>
              </w:rPr>
              <w:t>27 532,92</w:t>
            </w:r>
          </w:p>
        </w:tc>
      </w:tr>
      <w:tr w:rsidR="00F07E05" w:rsidRPr="009B1938" w:rsidTr="008A253E">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Pr="00B8009B" w:rsidRDefault="00F07E05" w:rsidP="008A253E">
            <w:pPr>
              <w:shd w:val="clear" w:color="auto" w:fill="FFFFFF" w:themeFill="background1"/>
              <w:spacing w:line="276" w:lineRule="auto"/>
              <w:rPr>
                <w:color w:val="000000"/>
                <w:lang w:eastAsia="en-US"/>
              </w:rPr>
            </w:pPr>
          </w:p>
        </w:tc>
        <w:tc>
          <w:tcPr>
            <w:tcW w:w="3018" w:type="dxa"/>
            <w:gridSpan w:val="2"/>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right"/>
              <w:rPr>
                <w:color w:val="000000"/>
                <w:lang w:eastAsia="en-US"/>
              </w:rPr>
            </w:pPr>
            <w:r w:rsidRPr="00B8009B">
              <w:rPr>
                <w:b/>
                <w:bCs/>
                <w:color w:val="000000"/>
                <w:sz w:val="22"/>
                <w:szCs w:val="22"/>
                <w:lang w:eastAsia="en-US"/>
              </w:rPr>
              <w:t>ИТОГО:</w:t>
            </w:r>
          </w:p>
        </w:tc>
        <w:tc>
          <w:tcPr>
            <w:tcW w:w="1450" w:type="dxa"/>
            <w:tcBorders>
              <w:top w:val="single" w:sz="4" w:space="0" w:color="auto"/>
              <w:left w:val="single" w:sz="4" w:space="0" w:color="auto"/>
              <w:bottom w:val="single" w:sz="4" w:space="0" w:color="auto"/>
              <w:right w:val="single" w:sz="4" w:space="0" w:color="auto"/>
            </w:tcBorders>
            <w:noWrap/>
            <w:vAlign w:val="bottom"/>
            <w:hideMark/>
          </w:tcPr>
          <w:p w:rsidR="00F07E05" w:rsidRPr="00B01DB8" w:rsidRDefault="00F07E05" w:rsidP="008A253E">
            <w:pPr>
              <w:shd w:val="clear" w:color="auto" w:fill="FFFFFF" w:themeFill="background1"/>
              <w:spacing w:line="276" w:lineRule="auto"/>
              <w:jc w:val="center"/>
              <w:rPr>
                <w:b/>
                <w:bCs/>
                <w:color w:val="000000"/>
                <w:lang w:eastAsia="en-US"/>
              </w:rPr>
            </w:pPr>
            <w:r w:rsidRPr="00B01DB8">
              <w:rPr>
                <w:b/>
                <w:bCs/>
                <w:color w:val="000000"/>
                <w:sz w:val="22"/>
                <w:szCs w:val="22"/>
                <w:lang w:eastAsia="en-US"/>
              </w:rPr>
              <w:t>25</w:t>
            </w:r>
          </w:p>
        </w:tc>
        <w:tc>
          <w:tcPr>
            <w:tcW w:w="2195"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right"/>
              <w:rPr>
                <w:color w:val="000000"/>
                <w:lang w:eastAsia="en-US"/>
              </w:rPr>
            </w:pPr>
            <w:r w:rsidRPr="00B8009B">
              <w:rPr>
                <w:b/>
                <w:bCs/>
                <w:color w:val="000000"/>
                <w:sz w:val="22"/>
                <w:szCs w:val="22"/>
                <w:lang w:eastAsia="en-US"/>
              </w:rPr>
              <w:t>ИТОГО:</w:t>
            </w:r>
          </w:p>
        </w:tc>
        <w:tc>
          <w:tcPr>
            <w:tcW w:w="14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7E05" w:rsidRPr="009B1938" w:rsidRDefault="00F07E05" w:rsidP="008A253E">
            <w:pPr>
              <w:shd w:val="clear" w:color="auto" w:fill="FFFFFF" w:themeFill="background1"/>
              <w:spacing w:line="276" w:lineRule="auto"/>
              <w:jc w:val="center"/>
              <w:rPr>
                <w:b/>
                <w:bCs/>
                <w:color w:val="000000" w:themeColor="text1"/>
                <w:sz w:val="22"/>
                <w:szCs w:val="22"/>
                <w:lang w:eastAsia="en-US"/>
              </w:rPr>
            </w:pPr>
            <w:r w:rsidRPr="009B1938">
              <w:rPr>
                <w:b/>
                <w:bCs/>
                <w:color w:val="000000" w:themeColor="text1"/>
                <w:sz w:val="22"/>
                <w:szCs w:val="22"/>
                <w:lang w:eastAsia="en-US"/>
              </w:rPr>
              <w:t>76 166,15</w:t>
            </w:r>
          </w:p>
        </w:tc>
      </w:tr>
      <w:tr w:rsidR="00F07E05" w:rsidRPr="009B1938" w:rsidTr="008A253E">
        <w:trPr>
          <w:trHeight w:val="330"/>
        </w:trPr>
        <w:tc>
          <w:tcPr>
            <w:tcW w:w="2552" w:type="dxa"/>
            <w:tcBorders>
              <w:top w:val="single" w:sz="4" w:space="0" w:color="auto"/>
              <w:left w:val="single" w:sz="4" w:space="0" w:color="auto"/>
              <w:bottom w:val="single" w:sz="4" w:space="0" w:color="auto"/>
              <w:right w:val="single" w:sz="4" w:space="0" w:color="auto"/>
            </w:tcBorders>
            <w:noWrap/>
            <w:vAlign w:val="center"/>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ООО «СК «Инфофлот»</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302</w:t>
            </w:r>
          </w:p>
        </w:tc>
        <w:tc>
          <w:tcPr>
            <w:tcW w:w="1459"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129,1</w:t>
            </w:r>
          </w:p>
        </w:tc>
        <w:tc>
          <w:tcPr>
            <w:tcW w:w="1450"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b/>
                <w:bCs/>
                <w:color w:val="000000"/>
                <w:lang w:eastAsia="en-US"/>
              </w:rPr>
            </w:pPr>
            <w:r w:rsidRPr="00B8009B">
              <w:rPr>
                <w:b/>
                <w:bCs/>
                <w:color w:val="000000"/>
                <w:sz w:val="22"/>
                <w:szCs w:val="22"/>
                <w:lang w:eastAsia="en-US"/>
              </w:rPr>
              <w:t>7</w:t>
            </w:r>
          </w:p>
        </w:tc>
        <w:tc>
          <w:tcPr>
            <w:tcW w:w="2195"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14.09.21 11.30-18.00</w:t>
            </w:r>
          </w:p>
        </w:tc>
        <w:tc>
          <w:tcPr>
            <w:tcW w:w="14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7E05" w:rsidRPr="009B1938" w:rsidRDefault="00F07E05" w:rsidP="008A253E">
            <w:pPr>
              <w:shd w:val="clear" w:color="auto" w:fill="FFFFFF" w:themeFill="background1"/>
              <w:spacing w:line="276" w:lineRule="auto"/>
              <w:jc w:val="center"/>
              <w:rPr>
                <w:b/>
                <w:bCs/>
                <w:color w:val="000000" w:themeColor="text1"/>
                <w:sz w:val="22"/>
                <w:szCs w:val="22"/>
                <w:lang w:eastAsia="en-US"/>
              </w:rPr>
            </w:pPr>
            <w:r>
              <w:rPr>
                <w:b/>
                <w:bCs/>
                <w:color w:val="000000" w:themeColor="text1"/>
                <w:sz w:val="22"/>
                <w:szCs w:val="22"/>
                <w:lang w:eastAsia="en-US"/>
              </w:rPr>
              <w:t>28 855,14</w:t>
            </w:r>
          </w:p>
        </w:tc>
      </w:tr>
      <w:tr w:rsidR="00F07E05" w:rsidRPr="009B1938" w:rsidTr="008A253E">
        <w:trPr>
          <w:trHeight w:val="330"/>
        </w:trPr>
        <w:tc>
          <w:tcPr>
            <w:tcW w:w="2552" w:type="dxa"/>
            <w:vMerge w:val="restart"/>
            <w:tcBorders>
              <w:top w:val="single" w:sz="4" w:space="0" w:color="auto"/>
              <w:left w:val="single" w:sz="4" w:space="0" w:color="auto"/>
              <w:bottom w:val="single" w:sz="4" w:space="0" w:color="auto"/>
              <w:right w:val="single" w:sz="4" w:space="0" w:color="auto"/>
            </w:tcBorders>
            <w:noWrap/>
            <w:vAlign w:val="center"/>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ООО «СК «Солнечный город»</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588</w:t>
            </w:r>
          </w:p>
        </w:tc>
        <w:tc>
          <w:tcPr>
            <w:tcW w:w="1459"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95,8</w:t>
            </w:r>
          </w:p>
        </w:tc>
        <w:tc>
          <w:tcPr>
            <w:tcW w:w="1450"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4</w:t>
            </w:r>
          </w:p>
        </w:tc>
        <w:tc>
          <w:tcPr>
            <w:tcW w:w="2195"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05.06.21 16.30-20.30 </w:t>
            </w:r>
          </w:p>
        </w:tc>
        <w:tc>
          <w:tcPr>
            <w:tcW w:w="1476" w:type="dxa"/>
            <w:tcBorders>
              <w:top w:val="single" w:sz="4" w:space="0" w:color="auto"/>
              <w:left w:val="single" w:sz="4" w:space="0" w:color="auto"/>
              <w:bottom w:val="single" w:sz="4" w:space="0" w:color="auto"/>
              <w:right w:val="single" w:sz="4" w:space="0" w:color="auto"/>
            </w:tcBorders>
            <w:shd w:val="clear" w:color="auto" w:fill="auto"/>
            <w:noWrap/>
          </w:tcPr>
          <w:p w:rsidR="00F07E05" w:rsidRPr="009B1938" w:rsidRDefault="00F07E05" w:rsidP="008A253E">
            <w:pPr>
              <w:shd w:val="clear" w:color="auto" w:fill="FFFFFF" w:themeFill="background1"/>
              <w:spacing w:line="276" w:lineRule="auto"/>
              <w:jc w:val="center"/>
              <w:rPr>
                <w:color w:val="000000" w:themeColor="text1"/>
                <w:sz w:val="22"/>
                <w:szCs w:val="22"/>
                <w:lang w:eastAsia="en-US"/>
              </w:rPr>
            </w:pPr>
            <w:r w:rsidRPr="009B1938">
              <w:rPr>
                <w:sz w:val="22"/>
                <w:szCs w:val="22"/>
              </w:rPr>
              <w:t>12 235,58</w:t>
            </w:r>
          </w:p>
        </w:tc>
      </w:tr>
      <w:tr w:rsidR="00F07E05" w:rsidRPr="009B1938" w:rsidTr="008A253E">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Pr="00B8009B" w:rsidRDefault="00F07E05" w:rsidP="008A253E">
            <w:pPr>
              <w:shd w:val="clear" w:color="auto" w:fill="FFFFFF" w:themeFill="background1"/>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588</w:t>
            </w:r>
          </w:p>
        </w:tc>
        <w:tc>
          <w:tcPr>
            <w:tcW w:w="1459"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95,8</w:t>
            </w:r>
          </w:p>
        </w:tc>
        <w:tc>
          <w:tcPr>
            <w:tcW w:w="1450"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5</w:t>
            </w:r>
          </w:p>
        </w:tc>
        <w:tc>
          <w:tcPr>
            <w:tcW w:w="2195"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12.06.21 08.00-13.00 </w:t>
            </w:r>
          </w:p>
        </w:tc>
        <w:tc>
          <w:tcPr>
            <w:tcW w:w="1476" w:type="dxa"/>
            <w:tcBorders>
              <w:top w:val="single" w:sz="4" w:space="0" w:color="auto"/>
              <w:left w:val="single" w:sz="4" w:space="0" w:color="auto"/>
              <w:bottom w:val="single" w:sz="4" w:space="0" w:color="auto"/>
              <w:right w:val="single" w:sz="4" w:space="0" w:color="auto"/>
            </w:tcBorders>
            <w:shd w:val="clear" w:color="auto" w:fill="auto"/>
            <w:noWrap/>
          </w:tcPr>
          <w:p w:rsidR="00F07E05" w:rsidRPr="009B1938" w:rsidRDefault="00F07E05" w:rsidP="008A253E">
            <w:pPr>
              <w:shd w:val="clear" w:color="auto" w:fill="FFFFFF" w:themeFill="background1"/>
              <w:spacing w:line="276" w:lineRule="auto"/>
              <w:jc w:val="center"/>
              <w:rPr>
                <w:color w:val="000000" w:themeColor="text1"/>
                <w:sz w:val="22"/>
                <w:szCs w:val="22"/>
                <w:lang w:eastAsia="en-US"/>
              </w:rPr>
            </w:pPr>
            <w:r w:rsidRPr="009B1938">
              <w:rPr>
                <w:sz w:val="22"/>
                <w:szCs w:val="22"/>
              </w:rPr>
              <w:t>15 294,47</w:t>
            </w:r>
          </w:p>
        </w:tc>
      </w:tr>
      <w:tr w:rsidR="00F07E05" w:rsidRPr="009B1938" w:rsidTr="008A253E">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Pr="00B8009B" w:rsidRDefault="00F07E05" w:rsidP="008A253E">
            <w:pPr>
              <w:shd w:val="clear" w:color="auto" w:fill="FFFFFF" w:themeFill="background1"/>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588</w:t>
            </w:r>
          </w:p>
        </w:tc>
        <w:tc>
          <w:tcPr>
            <w:tcW w:w="1459"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95,8</w:t>
            </w:r>
          </w:p>
        </w:tc>
        <w:tc>
          <w:tcPr>
            <w:tcW w:w="1450"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3</w:t>
            </w:r>
          </w:p>
        </w:tc>
        <w:tc>
          <w:tcPr>
            <w:tcW w:w="2195"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24.07.21 17.30-20.30</w:t>
            </w:r>
          </w:p>
        </w:tc>
        <w:tc>
          <w:tcPr>
            <w:tcW w:w="1476" w:type="dxa"/>
            <w:tcBorders>
              <w:top w:val="single" w:sz="4" w:space="0" w:color="auto"/>
              <w:left w:val="single" w:sz="4" w:space="0" w:color="auto"/>
              <w:bottom w:val="single" w:sz="4" w:space="0" w:color="auto"/>
              <w:right w:val="single" w:sz="4" w:space="0" w:color="auto"/>
            </w:tcBorders>
            <w:shd w:val="clear" w:color="auto" w:fill="auto"/>
            <w:noWrap/>
          </w:tcPr>
          <w:p w:rsidR="00F07E05" w:rsidRPr="009B1938" w:rsidRDefault="00F07E05" w:rsidP="008A253E">
            <w:pPr>
              <w:shd w:val="clear" w:color="auto" w:fill="FFFFFF" w:themeFill="background1"/>
              <w:spacing w:line="276" w:lineRule="auto"/>
              <w:jc w:val="center"/>
              <w:rPr>
                <w:color w:val="000000" w:themeColor="text1"/>
                <w:sz w:val="22"/>
                <w:szCs w:val="22"/>
                <w:lang w:eastAsia="en-US"/>
              </w:rPr>
            </w:pPr>
            <w:r w:rsidRPr="009B1938">
              <w:rPr>
                <w:sz w:val="22"/>
                <w:szCs w:val="22"/>
              </w:rPr>
              <w:t>9 176,68</w:t>
            </w:r>
          </w:p>
        </w:tc>
      </w:tr>
      <w:tr w:rsidR="00F07E05" w:rsidRPr="009B1938" w:rsidTr="008A253E">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Pr="00B8009B" w:rsidRDefault="00F07E05" w:rsidP="008A253E">
            <w:pPr>
              <w:shd w:val="clear" w:color="auto" w:fill="FFFFFF" w:themeFill="background1"/>
              <w:spacing w:line="276" w:lineRule="auto"/>
              <w:rPr>
                <w:color w:val="000000"/>
                <w:lang w:eastAsia="en-US"/>
              </w:rPr>
            </w:pPr>
          </w:p>
        </w:tc>
        <w:tc>
          <w:tcPr>
            <w:tcW w:w="3018" w:type="dxa"/>
            <w:gridSpan w:val="2"/>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right"/>
              <w:rPr>
                <w:color w:val="000000"/>
                <w:lang w:eastAsia="en-US"/>
              </w:rPr>
            </w:pPr>
            <w:r w:rsidRPr="00B8009B">
              <w:rPr>
                <w:b/>
                <w:bCs/>
                <w:color w:val="000000"/>
                <w:sz w:val="22"/>
                <w:szCs w:val="22"/>
                <w:lang w:eastAsia="en-US"/>
              </w:rPr>
              <w:t>ИТОГО:</w:t>
            </w:r>
          </w:p>
        </w:tc>
        <w:tc>
          <w:tcPr>
            <w:tcW w:w="1450" w:type="dxa"/>
            <w:tcBorders>
              <w:top w:val="single" w:sz="4" w:space="0" w:color="auto"/>
              <w:left w:val="single" w:sz="4" w:space="0" w:color="auto"/>
              <w:bottom w:val="single" w:sz="4" w:space="0" w:color="auto"/>
              <w:right w:val="single" w:sz="4" w:space="0" w:color="auto"/>
            </w:tcBorders>
            <w:noWrap/>
            <w:vAlign w:val="bottom"/>
            <w:hideMark/>
          </w:tcPr>
          <w:p w:rsidR="00F07E05" w:rsidRPr="00B01DB8" w:rsidRDefault="00F07E05" w:rsidP="008A253E">
            <w:pPr>
              <w:shd w:val="clear" w:color="auto" w:fill="FFFFFF" w:themeFill="background1"/>
              <w:spacing w:line="276" w:lineRule="auto"/>
              <w:jc w:val="center"/>
              <w:rPr>
                <w:b/>
                <w:bCs/>
                <w:color w:val="000000"/>
                <w:lang w:eastAsia="en-US"/>
              </w:rPr>
            </w:pPr>
            <w:r w:rsidRPr="00B01DB8">
              <w:rPr>
                <w:b/>
                <w:bCs/>
                <w:color w:val="000000"/>
                <w:sz w:val="22"/>
                <w:szCs w:val="22"/>
                <w:lang w:eastAsia="en-US"/>
              </w:rPr>
              <w:t>12</w:t>
            </w:r>
          </w:p>
        </w:tc>
        <w:tc>
          <w:tcPr>
            <w:tcW w:w="2195"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right"/>
              <w:rPr>
                <w:color w:val="000000"/>
                <w:lang w:eastAsia="en-US"/>
              </w:rPr>
            </w:pPr>
            <w:r w:rsidRPr="00B8009B">
              <w:rPr>
                <w:b/>
                <w:bCs/>
                <w:color w:val="000000"/>
                <w:sz w:val="22"/>
                <w:szCs w:val="22"/>
                <w:lang w:eastAsia="en-US"/>
              </w:rPr>
              <w:t>ИТОГО:</w:t>
            </w:r>
          </w:p>
        </w:tc>
        <w:tc>
          <w:tcPr>
            <w:tcW w:w="14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7E05" w:rsidRPr="009B1938" w:rsidRDefault="00F07E05" w:rsidP="008A253E">
            <w:pPr>
              <w:shd w:val="clear" w:color="auto" w:fill="FFFFFF" w:themeFill="background1"/>
              <w:spacing w:line="276" w:lineRule="auto"/>
              <w:jc w:val="center"/>
              <w:rPr>
                <w:b/>
                <w:bCs/>
                <w:color w:val="000000" w:themeColor="text1"/>
                <w:sz w:val="22"/>
                <w:szCs w:val="22"/>
                <w:lang w:eastAsia="en-US"/>
              </w:rPr>
            </w:pPr>
            <w:r w:rsidRPr="009B1938">
              <w:rPr>
                <w:b/>
                <w:bCs/>
                <w:color w:val="000000" w:themeColor="text1"/>
                <w:sz w:val="22"/>
                <w:szCs w:val="22"/>
                <w:lang w:eastAsia="en-US"/>
              </w:rPr>
              <w:t>36 706,73</w:t>
            </w:r>
          </w:p>
        </w:tc>
      </w:tr>
      <w:tr w:rsidR="00F07E05" w:rsidRPr="00D71B5A" w:rsidTr="008A253E">
        <w:trPr>
          <w:trHeight w:val="330"/>
        </w:trPr>
        <w:tc>
          <w:tcPr>
            <w:tcW w:w="2552" w:type="dxa"/>
            <w:vMerge w:val="restart"/>
            <w:tcBorders>
              <w:top w:val="single" w:sz="4" w:space="0" w:color="auto"/>
              <w:left w:val="single" w:sz="4" w:space="0" w:color="auto"/>
              <w:bottom w:val="single" w:sz="4" w:space="0" w:color="auto"/>
              <w:right w:val="single" w:sz="4" w:space="0" w:color="auto"/>
            </w:tcBorders>
            <w:noWrap/>
            <w:vAlign w:val="center"/>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lastRenderedPageBreak/>
              <w:t>ООО «СК «Созвездие»</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26-37</w:t>
            </w:r>
          </w:p>
        </w:tc>
        <w:tc>
          <w:tcPr>
            <w:tcW w:w="1459"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 96,18</w:t>
            </w:r>
          </w:p>
        </w:tc>
        <w:tc>
          <w:tcPr>
            <w:tcW w:w="1450"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8</w:t>
            </w:r>
          </w:p>
        </w:tc>
        <w:tc>
          <w:tcPr>
            <w:tcW w:w="2195"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04.05.21 13.40-21.00 </w:t>
            </w:r>
          </w:p>
        </w:tc>
        <w:tc>
          <w:tcPr>
            <w:tcW w:w="1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7E05" w:rsidRPr="00D71B5A" w:rsidRDefault="00F07E05" w:rsidP="008A253E">
            <w:pPr>
              <w:shd w:val="clear" w:color="auto" w:fill="FFFFFF" w:themeFill="background1"/>
              <w:spacing w:line="276" w:lineRule="auto"/>
              <w:jc w:val="center"/>
              <w:rPr>
                <w:color w:val="000000" w:themeColor="text1"/>
                <w:lang w:eastAsia="en-US"/>
              </w:rPr>
            </w:pPr>
            <w:r>
              <w:rPr>
                <w:color w:val="000000" w:themeColor="text1"/>
                <w:sz w:val="22"/>
                <w:szCs w:val="22"/>
              </w:rPr>
              <w:t>24 568,22</w:t>
            </w:r>
          </w:p>
        </w:tc>
      </w:tr>
      <w:tr w:rsidR="00F07E05" w:rsidRPr="009B1938" w:rsidTr="008A253E">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Pr="00B8009B" w:rsidRDefault="00F07E05" w:rsidP="008A253E">
            <w:pPr>
              <w:shd w:val="clear" w:color="auto" w:fill="FFFFFF" w:themeFill="background1"/>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26-37</w:t>
            </w:r>
          </w:p>
        </w:tc>
        <w:tc>
          <w:tcPr>
            <w:tcW w:w="1459"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 96,18</w:t>
            </w:r>
          </w:p>
        </w:tc>
        <w:tc>
          <w:tcPr>
            <w:tcW w:w="1450"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6</w:t>
            </w:r>
          </w:p>
        </w:tc>
        <w:tc>
          <w:tcPr>
            <w:tcW w:w="2195"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29.05.21 16.00-20.30</w:t>
            </w:r>
          </w:p>
        </w:tc>
        <w:tc>
          <w:tcPr>
            <w:tcW w:w="1476" w:type="dxa"/>
            <w:tcBorders>
              <w:top w:val="single" w:sz="4" w:space="0" w:color="auto"/>
              <w:left w:val="single" w:sz="4" w:space="0" w:color="auto"/>
              <w:bottom w:val="single" w:sz="4" w:space="0" w:color="auto"/>
              <w:right w:val="single" w:sz="4" w:space="0" w:color="auto"/>
            </w:tcBorders>
            <w:shd w:val="clear" w:color="auto" w:fill="auto"/>
            <w:noWrap/>
          </w:tcPr>
          <w:p w:rsidR="00F07E05" w:rsidRPr="009B1938" w:rsidRDefault="00F07E05" w:rsidP="008A253E">
            <w:pPr>
              <w:shd w:val="clear" w:color="auto" w:fill="FFFFFF" w:themeFill="background1"/>
              <w:spacing w:line="276" w:lineRule="auto"/>
              <w:jc w:val="center"/>
              <w:rPr>
                <w:color w:val="000000" w:themeColor="text1"/>
                <w:sz w:val="22"/>
                <w:szCs w:val="22"/>
                <w:lang w:eastAsia="en-US"/>
              </w:rPr>
            </w:pPr>
            <w:r w:rsidRPr="009B1938">
              <w:rPr>
                <w:sz w:val="22"/>
                <w:szCs w:val="22"/>
              </w:rPr>
              <w:t>18 426,16</w:t>
            </w:r>
          </w:p>
        </w:tc>
      </w:tr>
      <w:tr w:rsidR="00F07E05" w:rsidRPr="009B1938" w:rsidTr="008A253E">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Pr="00B8009B" w:rsidRDefault="00F07E05" w:rsidP="008A253E">
            <w:pPr>
              <w:shd w:val="clear" w:color="auto" w:fill="FFFFFF" w:themeFill="background1"/>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26-37</w:t>
            </w:r>
          </w:p>
        </w:tc>
        <w:tc>
          <w:tcPr>
            <w:tcW w:w="1459" w:type="dxa"/>
            <w:tcBorders>
              <w:top w:val="single" w:sz="4" w:space="0" w:color="auto"/>
              <w:left w:val="single" w:sz="4" w:space="0" w:color="auto"/>
              <w:bottom w:val="single" w:sz="4" w:space="0" w:color="auto"/>
              <w:right w:val="single" w:sz="4" w:space="0" w:color="auto"/>
            </w:tcBorders>
            <w:noWrap/>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96,18</w:t>
            </w:r>
          </w:p>
        </w:tc>
        <w:tc>
          <w:tcPr>
            <w:tcW w:w="1450"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5</w:t>
            </w:r>
          </w:p>
        </w:tc>
        <w:tc>
          <w:tcPr>
            <w:tcW w:w="2195"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12.06.21 15.30-20.00 </w:t>
            </w:r>
          </w:p>
        </w:tc>
        <w:tc>
          <w:tcPr>
            <w:tcW w:w="1476" w:type="dxa"/>
            <w:tcBorders>
              <w:top w:val="single" w:sz="4" w:space="0" w:color="auto"/>
              <w:left w:val="single" w:sz="4" w:space="0" w:color="auto"/>
              <w:bottom w:val="single" w:sz="4" w:space="0" w:color="auto"/>
              <w:right w:val="single" w:sz="4" w:space="0" w:color="auto"/>
            </w:tcBorders>
            <w:shd w:val="clear" w:color="auto" w:fill="auto"/>
            <w:noWrap/>
          </w:tcPr>
          <w:p w:rsidR="00F07E05" w:rsidRPr="009B1938" w:rsidRDefault="00F07E05" w:rsidP="008A253E">
            <w:pPr>
              <w:shd w:val="clear" w:color="auto" w:fill="FFFFFF" w:themeFill="background1"/>
              <w:spacing w:line="276" w:lineRule="auto"/>
              <w:jc w:val="center"/>
              <w:rPr>
                <w:color w:val="000000" w:themeColor="text1"/>
                <w:sz w:val="22"/>
                <w:szCs w:val="22"/>
                <w:lang w:eastAsia="en-US"/>
              </w:rPr>
            </w:pPr>
            <w:r w:rsidRPr="009B1938">
              <w:rPr>
                <w:sz w:val="22"/>
                <w:szCs w:val="22"/>
              </w:rPr>
              <w:t>15 355,14</w:t>
            </w:r>
          </w:p>
        </w:tc>
      </w:tr>
      <w:tr w:rsidR="00F07E05" w:rsidRPr="009B1938" w:rsidTr="008A253E">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Pr="00B8009B" w:rsidRDefault="00F07E05" w:rsidP="008A253E">
            <w:pPr>
              <w:shd w:val="clear" w:color="auto" w:fill="FFFFFF" w:themeFill="background1"/>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26-37</w:t>
            </w:r>
          </w:p>
        </w:tc>
        <w:tc>
          <w:tcPr>
            <w:tcW w:w="1459" w:type="dxa"/>
            <w:tcBorders>
              <w:top w:val="single" w:sz="4" w:space="0" w:color="auto"/>
              <w:left w:val="single" w:sz="4" w:space="0" w:color="auto"/>
              <w:bottom w:val="single" w:sz="4" w:space="0" w:color="auto"/>
              <w:right w:val="single" w:sz="4" w:space="0" w:color="auto"/>
            </w:tcBorders>
            <w:noWrap/>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96,18</w:t>
            </w:r>
          </w:p>
        </w:tc>
        <w:tc>
          <w:tcPr>
            <w:tcW w:w="1450"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lang w:eastAsia="en-US"/>
              </w:rPr>
              <w:t>5</w:t>
            </w:r>
          </w:p>
        </w:tc>
        <w:tc>
          <w:tcPr>
            <w:tcW w:w="2195"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14.08.21 16.00-20.30 </w:t>
            </w:r>
          </w:p>
        </w:tc>
        <w:tc>
          <w:tcPr>
            <w:tcW w:w="1476" w:type="dxa"/>
            <w:tcBorders>
              <w:top w:val="single" w:sz="4" w:space="0" w:color="auto"/>
              <w:left w:val="single" w:sz="4" w:space="0" w:color="auto"/>
              <w:bottom w:val="single" w:sz="4" w:space="0" w:color="auto"/>
              <w:right w:val="single" w:sz="4" w:space="0" w:color="auto"/>
            </w:tcBorders>
            <w:shd w:val="clear" w:color="auto" w:fill="auto"/>
            <w:noWrap/>
          </w:tcPr>
          <w:p w:rsidR="00F07E05" w:rsidRPr="009B1938" w:rsidRDefault="00F07E05" w:rsidP="008A253E">
            <w:pPr>
              <w:shd w:val="clear" w:color="auto" w:fill="FFFFFF" w:themeFill="background1"/>
              <w:spacing w:line="276" w:lineRule="auto"/>
              <w:jc w:val="center"/>
              <w:rPr>
                <w:color w:val="000000" w:themeColor="text1"/>
                <w:sz w:val="22"/>
                <w:szCs w:val="22"/>
                <w:lang w:eastAsia="en-US"/>
              </w:rPr>
            </w:pPr>
            <w:r w:rsidRPr="009B1938">
              <w:rPr>
                <w:sz w:val="22"/>
                <w:szCs w:val="22"/>
              </w:rPr>
              <w:t>15 355,14</w:t>
            </w:r>
          </w:p>
        </w:tc>
      </w:tr>
      <w:tr w:rsidR="00F07E05" w:rsidRPr="009B1938" w:rsidTr="008A253E">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Pr="00B8009B" w:rsidRDefault="00F07E05" w:rsidP="008A253E">
            <w:pPr>
              <w:shd w:val="clear" w:color="auto" w:fill="FFFFFF" w:themeFill="background1"/>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26-37</w:t>
            </w:r>
          </w:p>
        </w:tc>
        <w:tc>
          <w:tcPr>
            <w:tcW w:w="1459" w:type="dxa"/>
            <w:tcBorders>
              <w:top w:val="single" w:sz="4" w:space="0" w:color="auto"/>
              <w:left w:val="single" w:sz="4" w:space="0" w:color="auto"/>
              <w:bottom w:val="single" w:sz="4" w:space="0" w:color="auto"/>
              <w:right w:val="single" w:sz="4" w:space="0" w:color="auto"/>
            </w:tcBorders>
            <w:noWrap/>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96,18</w:t>
            </w:r>
          </w:p>
        </w:tc>
        <w:tc>
          <w:tcPr>
            <w:tcW w:w="1450"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lang w:eastAsia="en-US"/>
              </w:rPr>
              <w:t>6</w:t>
            </w:r>
          </w:p>
        </w:tc>
        <w:tc>
          <w:tcPr>
            <w:tcW w:w="2195"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26.08.21 09.00-15.00</w:t>
            </w:r>
          </w:p>
        </w:tc>
        <w:tc>
          <w:tcPr>
            <w:tcW w:w="1476" w:type="dxa"/>
            <w:tcBorders>
              <w:top w:val="single" w:sz="4" w:space="0" w:color="auto"/>
              <w:left w:val="single" w:sz="4" w:space="0" w:color="auto"/>
              <w:bottom w:val="single" w:sz="4" w:space="0" w:color="auto"/>
              <w:right w:val="single" w:sz="4" w:space="0" w:color="auto"/>
            </w:tcBorders>
            <w:shd w:val="clear" w:color="auto" w:fill="auto"/>
            <w:noWrap/>
          </w:tcPr>
          <w:p w:rsidR="00F07E05" w:rsidRPr="009B1938" w:rsidRDefault="00F07E05" w:rsidP="008A253E">
            <w:pPr>
              <w:shd w:val="clear" w:color="auto" w:fill="FFFFFF" w:themeFill="background1"/>
              <w:spacing w:line="276" w:lineRule="auto"/>
              <w:jc w:val="center"/>
              <w:rPr>
                <w:color w:val="000000" w:themeColor="text1"/>
                <w:sz w:val="22"/>
                <w:szCs w:val="22"/>
                <w:lang w:eastAsia="en-US"/>
              </w:rPr>
            </w:pPr>
            <w:r w:rsidRPr="009B1938">
              <w:rPr>
                <w:sz w:val="22"/>
                <w:szCs w:val="22"/>
              </w:rPr>
              <w:t>18 426,16</w:t>
            </w:r>
          </w:p>
        </w:tc>
      </w:tr>
      <w:tr w:rsidR="00F07E05" w:rsidRPr="009B1938" w:rsidTr="008A253E">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Pr="00B8009B" w:rsidRDefault="00F07E05" w:rsidP="008A253E">
            <w:pPr>
              <w:shd w:val="clear" w:color="auto" w:fill="FFFFFF" w:themeFill="background1"/>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26-37</w:t>
            </w:r>
          </w:p>
        </w:tc>
        <w:tc>
          <w:tcPr>
            <w:tcW w:w="1459"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96,18</w:t>
            </w:r>
          </w:p>
        </w:tc>
        <w:tc>
          <w:tcPr>
            <w:tcW w:w="1450"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5</w:t>
            </w:r>
          </w:p>
        </w:tc>
        <w:tc>
          <w:tcPr>
            <w:tcW w:w="2195"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17.07.21 16.00-20.30</w:t>
            </w:r>
          </w:p>
        </w:tc>
        <w:tc>
          <w:tcPr>
            <w:tcW w:w="1476" w:type="dxa"/>
            <w:tcBorders>
              <w:top w:val="single" w:sz="4" w:space="0" w:color="auto"/>
              <w:left w:val="single" w:sz="4" w:space="0" w:color="auto"/>
              <w:bottom w:val="single" w:sz="4" w:space="0" w:color="auto"/>
              <w:right w:val="single" w:sz="4" w:space="0" w:color="auto"/>
            </w:tcBorders>
            <w:shd w:val="clear" w:color="auto" w:fill="auto"/>
            <w:noWrap/>
          </w:tcPr>
          <w:p w:rsidR="00F07E05" w:rsidRPr="009B1938" w:rsidRDefault="00F07E05" w:rsidP="008A253E">
            <w:pPr>
              <w:shd w:val="clear" w:color="auto" w:fill="FFFFFF" w:themeFill="background1"/>
              <w:spacing w:line="276" w:lineRule="auto"/>
              <w:jc w:val="center"/>
              <w:rPr>
                <w:color w:val="000000" w:themeColor="text1"/>
                <w:sz w:val="22"/>
                <w:szCs w:val="22"/>
                <w:lang w:eastAsia="en-US"/>
              </w:rPr>
            </w:pPr>
            <w:r w:rsidRPr="009B1938">
              <w:rPr>
                <w:sz w:val="22"/>
                <w:szCs w:val="22"/>
              </w:rPr>
              <w:t>15 355,14</w:t>
            </w:r>
          </w:p>
        </w:tc>
      </w:tr>
      <w:tr w:rsidR="00F07E05" w:rsidRPr="009B1938" w:rsidTr="008A253E">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Pr="00B8009B" w:rsidRDefault="00F07E05" w:rsidP="008A253E">
            <w:pPr>
              <w:shd w:val="clear" w:color="auto" w:fill="FFFFFF" w:themeFill="background1"/>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302</w:t>
            </w:r>
          </w:p>
        </w:tc>
        <w:tc>
          <w:tcPr>
            <w:tcW w:w="1459"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129,15</w:t>
            </w:r>
          </w:p>
        </w:tc>
        <w:tc>
          <w:tcPr>
            <w:tcW w:w="1450"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7</w:t>
            </w:r>
          </w:p>
        </w:tc>
        <w:tc>
          <w:tcPr>
            <w:tcW w:w="2195"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22.05.21 15.10-22.00</w:t>
            </w:r>
          </w:p>
        </w:tc>
        <w:tc>
          <w:tcPr>
            <w:tcW w:w="1476" w:type="dxa"/>
            <w:tcBorders>
              <w:top w:val="single" w:sz="4" w:space="0" w:color="auto"/>
              <w:left w:val="single" w:sz="4" w:space="0" w:color="auto"/>
              <w:bottom w:val="single" w:sz="4" w:space="0" w:color="auto"/>
              <w:right w:val="single" w:sz="4" w:space="0" w:color="auto"/>
            </w:tcBorders>
            <w:shd w:val="clear" w:color="auto" w:fill="auto"/>
            <w:noWrap/>
          </w:tcPr>
          <w:p w:rsidR="00F07E05" w:rsidRPr="009B1938" w:rsidRDefault="00F07E05" w:rsidP="008A253E">
            <w:pPr>
              <w:shd w:val="clear" w:color="auto" w:fill="FFFFFF" w:themeFill="background1"/>
              <w:spacing w:line="276" w:lineRule="auto"/>
              <w:jc w:val="center"/>
              <w:rPr>
                <w:color w:val="000000" w:themeColor="text1"/>
                <w:sz w:val="22"/>
                <w:szCs w:val="22"/>
                <w:lang w:eastAsia="en-US"/>
              </w:rPr>
            </w:pPr>
            <w:r w:rsidRPr="009B1938">
              <w:rPr>
                <w:sz w:val="22"/>
                <w:szCs w:val="22"/>
              </w:rPr>
              <w:t>28 866,32</w:t>
            </w:r>
          </w:p>
        </w:tc>
      </w:tr>
      <w:tr w:rsidR="00F07E05" w:rsidRPr="009B1938" w:rsidTr="008A253E">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Pr="00B8009B" w:rsidRDefault="00F07E05" w:rsidP="008A253E">
            <w:pPr>
              <w:shd w:val="clear" w:color="auto" w:fill="FFFFFF" w:themeFill="background1"/>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302</w:t>
            </w:r>
          </w:p>
        </w:tc>
        <w:tc>
          <w:tcPr>
            <w:tcW w:w="1459" w:type="dxa"/>
            <w:tcBorders>
              <w:top w:val="single" w:sz="4" w:space="0" w:color="auto"/>
              <w:left w:val="single" w:sz="4" w:space="0" w:color="auto"/>
              <w:bottom w:val="single" w:sz="4" w:space="0" w:color="auto"/>
              <w:right w:val="single" w:sz="4" w:space="0" w:color="auto"/>
            </w:tcBorders>
            <w:noWrap/>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129,15</w:t>
            </w:r>
          </w:p>
        </w:tc>
        <w:tc>
          <w:tcPr>
            <w:tcW w:w="1450"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3</w:t>
            </w:r>
          </w:p>
        </w:tc>
        <w:tc>
          <w:tcPr>
            <w:tcW w:w="2195"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 xml:space="preserve">26.06.21 17.30-20.30 </w:t>
            </w:r>
          </w:p>
        </w:tc>
        <w:tc>
          <w:tcPr>
            <w:tcW w:w="1476" w:type="dxa"/>
            <w:tcBorders>
              <w:top w:val="single" w:sz="4" w:space="0" w:color="auto"/>
              <w:left w:val="single" w:sz="4" w:space="0" w:color="auto"/>
              <w:bottom w:val="single" w:sz="4" w:space="0" w:color="auto"/>
              <w:right w:val="single" w:sz="4" w:space="0" w:color="auto"/>
            </w:tcBorders>
            <w:shd w:val="clear" w:color="auto" w:fill="auto"/>
            <w:noWrap/>
          </w:tcPr>
          <w:p w:rsidR="00F07E05" w:rsidRPr="009B1938" w:rsidRDefault="00F07E05" w:rsidP="008A253E">
            <w:pPr>
              <w:shd w:val="clear" w:color="auto" w:fill="FFFFFF" w:themeFill="background1"/>
              <w:spacing w:line="276" w:lineRule="auto"/>
              <w:jc w:val="center"/>
              <w:rPr>
                <w:color w:val="000000" w:themeColor="text1"/>
                <w:sz w:val="22"/>
                <w:szCs w:val="22"/>
                <w:lang w:eastAsia="en-US"/>
              </w:rPr>
            </w:pPr>
            <w:r w:rsidRPr="009B1938">
              <w:rPr>
                <w:sz w:val="22"/>
                <w:szCs w:val="22"/>
              </w:rPr>
              <w:t>12 371,28</w:t>
            </w:r>
          </w:p>
        </w:tc>
      </w:tr>
      <w:tr w:rsidR="00F07E05" w:rsidRPr="009B1938" w:rsidTr="008A253E">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Pr="00B8009B" w:rsidRDefault="00F07E05" w:rsidP="008A253E">
            <w:pPr>
              <w:shd w:val="clear" w:color="auto" w:fill="FFFFFF" w:themeFill="background1"/>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302</w:t>
            </w:r>
          </w:p>
        </w:tc>
        <w:tc>
          <w:tcPr>
            <w:tcW w:w="1459" w:type="dxa"/>
            <w:tcBorders>
              <w:top w:val="single" w:sz="4" w:space="0" w:color="auto"/>
              <w:left w:val="single" w:sz="4" w:space="0" w:color="auto"/>
              <w:bottom w:val="single" w:sz="4" w:space="0" w:color="auto"/>
              <w:right w:val="single" w:sz="4" w:space="0" w:color="auto"/>
            </w:tcBorders>
            <w:noWrap/>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129,15</w:t>
            </w:r>
          </w:p>
        </w:tc>
        <w:tc>
          <w:tcPr>
            <w:tcW w:w="1450"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5</w:t>
            </w:r>
          </w:p>
        </w:tc>
        <w:tc>
          <w:tcPr>
            <w:tcW w:w="2195"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10.07.21 16.00-20.30</w:t>
            </w:r>
          </w:p>
        </w:tc>
        <w:tc>
          <w:tcPr>
            <w:tcW w:w="1476" w:type="dxa"/>
            <w:tcBorders>
              <w:top w:val="single" w:sz="4" w:space="0" w:color="auto"/>
              <w:left w:val="single" w:sz="4" w:space="0" w:color="auto"/>
              <w:bottom w:val="single" w:sz="4" w:space="0" w:color="auto"/>
              <w:right w:val="single" w:sz="4" w:space="0" w:color="auto"/>
            </w:tcBorders>
            <w:shd w:val="clear" w:color="auto" w:fill="auto"/>
            <w:noWrap/>
          </w:tcPr>
          <w:p w:rsidR="00F07E05" w:rsidRPr="009B1938" w:rsidRDefault="00F07E05" w:rsidP="008A253E">
            <w:pPr>
              <w:shd w:val="clear" w:color="auto" w:fill="FFFFFF" w:themeFill="background1"/>
              <w:spacing w:line="276" w:lineRule="auto"/>
              <w:jc w:val="center"/>
              <w:rPr>
                <w:color w:val="000000" w:themeColor="text1"/>
                <w:sz w:val="22"/>
                <w:szCs w:val="22"/>
                <w:lang w:eastAsia="en-US"/>
              </w:rPr>
            </w:pPr>
            <w:r w:rsidRPr="009B1938">
              <w:rPr>
                <w:sz w:val="22"/>
                <w:szCs w:val="22"/>
              </w:rPr>
              <w:t>20 618,80</w:t>
            </w:r>
          </w:p>
        </w:tc>
      </w:tr>
      <w:tr w:rsidR="00F07E05" w:rsidRPr="009B1938" w:rsidTr="008A253E">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Pr="00B8009B" w:rsidRDefault="00F07E05" w:rsidP="008A253E">
            <w:pPr>
              <w:shd w:val="clear" w:color="auto" w:fill="FFFFFF" w:themeFill="background1"/>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302</w:t>
            </w:r>
          </w:p>
        </w:tc>
        <w:tc>
          <w:tcPr>
            <w:tcW w:w="1459" w:type="dxa"/>
            <w:tcBorders>
              <w:top w:val="single" w:sz="4" w:space="0" w:color="auto"/>
              <w:left w:val="single" w:sz="4" w:space="0" w:color="auto"/>
              <w:bottom w:val="single" w:sz="4" w:space="0" w:color="auto"/>
              <w:right w:val="single" w:sz="4" w:space="0" w:color="auto"/>
            </w:tcBorders>
            <w:noWrap/>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129,15</w:t>
            </w:r>
          </w:p>
        </w:tc>
        <w:tc>
          <w:tcPr>
            <w:tcW w:w="1450"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4</w:t>
            </w:r>
          </w:p>
        </w:tc>
        <w:tc>
          <w:tcPr>
            <w:tcW w:w="2195"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25.07.21 15.30-19.30</w:t>
            </w:r>
          </w:p>
        </w:tc>
        <w:tc>
          <w:tcPr>
            <w:tcW w:w="1476" w:type="dxa"/>
            <w:tcBorders>
              <w:top w:val="single" w:sz="4" w:space="0" w:color="auto"/>
              <w:left w:val="single" w:sz="4" w:space="0" w:color="auto"/>
              <w:bottom w:val="single" w:sz="4" w:space="0" w:color="auto"/>
              <w:right w:val="single" w:sz="4" w:space="0" w:color="auto"/>
            </w:tcBorders>
            <w:shd w:val="clear" w:color="auto" w:fill="auto"/>
            <w:noWrap/>
          </w:tcPr>
          <w:p w:rsidR="00F07E05" w:rsidRPr="009B1938" w:rsidRDefault="00F07E05" w:rsidP="008A253E">
            <w:pPr>
              <w:shd w:val="clear" w:color="auto" w:fill="FFFFFF" w:themeFill="background1"/>
              <w:spacing w:line="276" w:lineRule="auto"/>
              <w:jc w:val="center"/>
              <w:rPr>
                <w:color w:val="000000" w:themeColor="text1"/>
                <w:sz w:val="22"/>
                <w:szCs w:val="22"/>
                <w:lang w:eastAsia="en-US"/>
              </w:rPr>
            </w:pPr>
            <w:r w:rsidRPr="009B1938">
              <w:rPr>
                <w:sz w:val="22"/>
                <w:szCs w:val="22"/>
              </w:rPr>
              <w:t>16 495,04</w:t>
            </w:r>
          </w:p>
        </w:tc>
      </w:tr>
      <w:tr w:rsidR="00F07E05" w:rsidRPr="009B1938" w:rsidTr="008A253E">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Pr="00B8009B" w:rsidRDefault="00F07E05" w:rsidP="008A253E">
            <w:pPr>
              <w:shd w:val="clear" w:color="auto" w:fill="FFFFFF" w:themeFill="background1"/>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302</w:t>
            </w:r>
          </w:p>
        </w:tc>
        <w:tc>
          <w:tcPr>
            <w:tcW w:w="1459" w:type="dxa"/>
            <w:tcBorders>
              <w:top w:val="single" w:sz="4" w:space="0" w:color="auto"/>
              <w:left w:val="single" w:sz="4" w:space="0" w:color="auto"/>
              <w:bottom w:val="single" w:sz="4" w:space="0" w:color="auto"/>
              <w:right w:val="single" w:sz="4" w:space="0" w:color="auto"/>
            </w:tcBorders>
            <w:noWrap/>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129,15</w:t>
            </w:r>
          </w:p>
        </w:tc>
        <w:tc>
          <w:tcPr>
            <w:tcW w:w="1450"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5</w:t>
            </w:r>
          </w:p>
        </w:tc>
        <w:tc>
          <w:tcPr>
            <w:tcW w:w="2195"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31.07.21 16.00-20.30</w:t>
            </w:r>
          </w:p>
        </w:tc>
        <w:tc>
          <w:tcPr>
            <w:tcW w:w="1476" w:type="dxa"/>
            <w:tcBorders>
              <w:top w:val="single" w:sz="4" w:space="0" w:color="auto"/>
              <w:left w:val="single" w:sz="4" w:space="0" w:color="auto"/>
              <w:bottom w:val="single" w:sz="4" w:space="0" w:color="auto"/>
              <w:right w:val="single" w:sz="4" w:space="0" w:color="auto"/>
            </w:tcBorders>
            <w:shd w:val="clear" w:color="auto" w:fill="auto"/>
            <w:noWrap/>
          </w:tcPr>
          <w:p w:rsidR="00F07E05" w:rsidRPr="009B1938" w:rsidRDefault="00F07E05" w:rsidP="008A253E">
            <w:pPr>
              <w:shd w:val="clear" w:color="auto" w:fill="FFFFFF" w:themeFill="background1"/>
              <w:spacing w:line="276" w:lineRule="auto"/>
              <w:jc w:val="center"/>
              <w:rPr>
                <w:color w:val="000000" w:themeColor="text1"/>
                <w:sz w:val="22"/>
                <w:szCs w:val="22"/>
                <w:lang w:eastAsia="en-US"/>
              </w:rPr>
            </w:pPr>
            <w:r w:rsidRPr="009B1938">
              <w:rPr>
                <w:sz w:val="22"/>
                <w:szCs w:val="22"/>
              </w:rPr>
              <w:t>20 618,80</w:t>
            </w:r>
          </w:p>
        </w:tc>
      </w:tr>
      <w:tr w:rsidR="00F07E05" w:rsidRPr="009B1938" w:rsidTr="008A253E">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Pr="00B8009B" w:rsidRDefault="00F07E05" w:rsidP="008A253E">
            <w:pPr>
              <w:shd w:val="clear" w:color="auto" w:fill="FFFFFF" w:themeFill="background1"/>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302</w:t>
            </w:r>
          </w:p>
        </w:tc>
        <w:tc>
          <w:tcPr>
            <w:tcW w:w="1459" w:type="dxa"/>
            <w:tcBorders>
              <w:top w:val="single" w:sz="4" w:space="0" w:color="auto"/>
              <w:left w:val="single" w:sz="4" w:space="0" w:color="auto"/>
              <w:bottom w:val="single" w:sz="4" w:space="0" w:color="auto"/>
              <w:right w:val="single" w:sz="4" w:space="0" w:color="auto"/>
            </w:tcBorders>
            <w:noWrap/>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129,15</w:t>
            </w:r>
          </w:p>
        </w:tc>
        <w:tc>
          <w:tcPr>
            <w:tcW w:w="1450"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4</w:t>
            </w:r>
          </w:p>
        </w:tc>
        <w:tc>
          <w:tcPr>
            <w:tcW w:w="2195"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29.08.21 16.00-20.00</w:t>
            </w:r>
          </w:p>
        </w:tc>
        <w:tc>
          <w:tcPr>
            <w:tcW w:w="1476" w:type="dxa"/>
            <w:tcBorders>
              <w:top w:val="single" w:sz="4" w:space="0" w:color="auto"/>
              <w:left w:val="single" w:sz="4" w:space="0" w:color="auto"/>
              <w:bottom w:val="single" w:sz="4" w:space="0" w:color="auto"/>
              <w:right w:val="single" w:sz="4" w:space="0" w:color="auto"/>
            </w:tcBorders>
            <w:shd w:val="clear" w:color="auto" w:fill="auto"/>
            <w:noWrap/>
          </w:tcPr>
          <w:p w:rsidR="00F07E05" w:rsidRPr="009B1938" w:rsidRDefault="00F07E05" w:rsidP="008A253E">
            <w:pPr>
              <w:shd w:val="clear" w:color="auto" w:fill="FFFFFF" w:themeFill="background1"/>
              <w:spacing w:line="276" w:lineRule="auto"/>
              <w:jc w:val="center"/>
              <w:rPr>
                <w:color w:val="000000" w:themeColor="text1"/>
                <w:sz w:val="22"/>
                <w:szCs w:val="22"/>
                <w:lang w:eastAsia="en-US"/>
              </w:rPr>
            </w:pPr>
            <w:r w:rsidRPr="009B1938">
              <w:rPr>
                <w:sz w:val="22"/>
                <w:szCs w:val="22"/>
              </w:rPr>
              <w:t>16 495,04</w:t>
            </w:r>
          </w:p>
        </w:tc>
      </w:tr>
      <w:tr w:rsidR="00F07E05" w:rsidRPr="009B1938" w:rsidTr="008A253E">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Pr="00B8009B" w:rsidRDefault="00F07E05" w:rsidP="008A253E">
            <w:pPr>
              <w:shd w:val="clear" w:color="auto" w:fill="FFFFFF" w:themeFill="background1"/>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302</w:t>
            </w:r>
          </w:p>
        </w:tc>
        <w:tc>
          <w:tcPr>
            <w:tcW w:w="1459" w:type="dxa"/>
            <w:tcBorders>
              <w:top w:val="single" w:sz="4" w:space="0" w:color="auto"/>
              <w:left w:val="single" w:sz="4" w:space="0" w:color="auto"/>
              <w:bottom w:val="single" w:sz="4" w:space="0" w:color="auto"/>
              <w:right w:val="single" w:sz="4" w:space="0" w:color="auto"/>
            </w:tcBorders>
            <w:noWrap/>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129,15</w:t>
            </w:r>
          </w:p>
        </w:tc>
        <w:tc>
          <w:tcPr>
            <w:tcW w:w="1450"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7</w:t>
            </w:r>
          </w:p>
        </w:tc>
        <w:tc>
          <w:tcPr>
            <w:tcW w:w="2195"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28.09.21 12.00-18.30</w:t>
            </w:r>
          </w:p>
        </w:tc>
        <w:tc>
          <w:tcPr>
            <w:tcW w:w="1476" w:type="dxa"/>
            <w:tcBorders>
              <w:top w:val="single" w:sz="4" w:space="0" w:color="auto"/>
              <w:left w:val="single" w:sz="4" w:space="0" w:color="auto"/>
              <w:bottom w:val="single" w:sz="4" w:space="0" w:color="auto"/>
              <w:right w:val="single" w:sz="4" w:space="0" w:color="auto"/>
            </w:tcBorders>
            <w:shd w:val="clear" w:color="auto" w:fill="auto"/>
            <w:noWrap/>
          </w:tcPr>
          <w:p w:rsidR="00F07E05" w:rsidRPr="009B1938" w:rsidRDefault="00F07E05" w:rsidP="008A253E">
            <w:pPr>
              <w:shd w:val="clear" w:color="auto" w:fill="FFFFFF" w:themeFill="background1"/>
              <w:spacing w:line="276" w:lineRule="auto"/>
              <w:jc w:val="center"/>
              <w:rPr>
                <w:color w:val="000000" w:themeColor="text1"/>
                <w:sz w:val="22"/>
                <w:szCs w:val="22"/>
                <w:lang w:eastAsia="en-US"/>
              </w:rPr>
            </w:pPr>
            <w:r w:rsidRPr="009B1938">
              <w:rPr>
                <w:sz w:val="22"/>
                <w:szCs w:val="22"/>
              </w:rPr>
              <w:t>28 866,32</w:t>
            </w:r>
          </w:p>
        </w:tc>
      </w:tr>
      <w:tr w:rsidR="00F07E05" w:rsidRPr="009B1938" w:rsidTr="008A253E">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Pr="00B8009B" w:rsidRDefault="00F07E05" w:rsidP="008A253E">
            <w:pPr>
              <w:shd w:val="clear" w:color="auto" w:fill="FFFFFF" w:themeFill="background1"/>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302</w:t>
            </w:r>
          </w:p>
        </w:tc>
        <w:tc>
          <w:tcPr>
            <w:tcW w:w="1459" w:type="dxa"/>
            <w:tcBorders>
              <w:top w:val="single" w:sz="4" w:space="0" w:color="auto"/>
              <w:left w:val="single" w:sz="4" w:space="0" w:color="auto"/>
              <w:bottom w:val="single" w:sz="4" w:space="0" w:color="auto"/>
              <w:right w:val="single" w:sz="4" w:space="0" w:color="auto"/>
            </w:tcBorders>
            <w:noWrap/>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129,15</w:t>
            </w:r>
          </w:p>
        </w:tc>
        <w:tc>
          <w:tcPr>
            <w:tcW w:w="1450"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5</w:t>
            </w:r>
          </w:p>
        </w:tc>
        <w:tc>
          <w:tcPr>
            <w:tcW w:w="2195"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 23.10.21 16.00-20.30</w:t>
            </w:r>
          </w:p>
        </w:tc>
        <w:tc>
          <w:tcPr>
            <w:tcW w:w="1476" w:type="dxa"/>
            <w:tcBorders>
              <w:top w:val="single" w:sz="4" w:space="0" w:color="auto"/>
              <w:left w:val="single" w:sz="4" w:space="0" w:color="auto"/>
              <w:bottom w:val="single" w:sz="4" w:space="0" w:color="auto"/>
              <w:right w:val="single" w:sz="4" w:space="0" w:color="auto"/>
            </w:tcBorders>
            <w:shd w:val="clear" w:color="auto" w:fill="auto"/>
            <w:noWrap/>
          </w:tcPr>
          <w:p w:rsidR="00F07E05" w:rsidRPr="009B1938" w:rsidRDefault="00F07E05" w:rsidP="008A253E">
            <w:pPr>
              <w:shd w:val="clear" w:color="auto" w:fill="FFFFFF" w:themeFill="background1"/>
              <w:spacing w:line="276" w:lineRule="auto"/>
              <w:jc w:val="center"/>
              <w:rPr>
                <w:color w:val="000000" w:themeColor="text1"/>
                <w:sz w:val="22"/>
                <w:szCs w:val="22"/>
                <w:lang w:eastAsia="en-US"/>
              </w:rPr>
            </w:pPr>
            <w:r w:rsidRPr="009B1938">
              <w:rPr>
                <w:sz w:val="22"/>
                <w:szCs w:val="22"/>
              </w:rPr>
              <w:t>20 618,80</w:t>
            </w:r>
          </w:p>
        </w:tc>
      </w:tr>
      <w:tr w:rsidR="00F07E05" w:rsidRPr="009B1938" w:rsidTr="008A253E">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Pr="00B8009B" w:rsidRDefault="00F07E05" w:rsidP="008A253E">
            <w:pPr>
              <w:shd w:val="clear" w:color="auto" w:fill="FFFFFF" w:themeFill="background1"/>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302</w:t>
            </w:r>
          </w:p>
        </w:tc>
        <w:tc>
          <w:tcPr>
            <w:tcW w:w="1459" w:type="dxa"/>
            <w:tcBorders>
              <w:top w:val="single" w:sz="4" w:space="0" w:color="auto"/>
              <w:left w:val="single" w:sz="4" w:space="0" w:color="auto"/>
              <w:bottom w:val="single" w:sz="4" w:space="0" w:color="auto"/>
              <w:right w:val="single" w:sz="4" w:space="0" w:color="auto"/>
            </w:tcBorders>
            <w:noWrap/>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129,15</w:t>
            </w:r>
          </w:p>
        </w:tc>
        <w:tc>
          <w:tcPr>
            <w:tcW w:w="1450"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3</w:t>
            </w:r>
          </w:p>
        </w:tc>
        <w:tc>
          <w:tcPr>
            <w:tcW w:w="2195"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rPr>
                <w:color w:val="000000"/>
                <w:lang w:eastAsia="en-US"/>
              </w:rPr>
            </w:pPr>
            <w:r w:rsidRPr="00B8009B">
              <w:rPr>
                <w:color w:val="000000"/>
                <w:sz w:val="22"/>
                <w:szCs w:val="22"/>
                <w:lang w:eastAsia="en-US"/>
              </w:rPr>
              <w:t>30.10.21 12.00-15.00</w:t>
            </w:r>
          </w:p>
        </w:tc>
        <w:tc>
          <w:tcPr>
            <w:tcW w:w="1476" w:type="dxa"/>
            <w:tcBorders>
              <w:top w:val="single" w:sz="4" w:space="0" w:color="auto"/>
              <w:left w:val="single" w:sz="4" w:space="0" w:color="auto"/>
              <w:bottom w:val="single" w:sz="4" w:space="0" w:color="auto"/>
              <w:right w:val="single" w:sz="4" w:space="0" w:color="auto"/>
            </w:tcBorders>
            <w:shd w:val="clear" w:color="auto" w:fill="auto"/>
            <w:noWrap/>
          </w:tcPr>
          <w:p w:rsidR="00F07E05" w:rsidRPr="009B1938" w:rsidRDefault="00F07E05" w:rsidP="008A253E">
            <w:pPr>
              <w:shd w:val="clear" w:color="auto" w:fill="FFFFFF" w:themeFill="background1"/>
              <w:spacing w:line="276" w:lineRule="auto"/>
              <w:jc w:val="center"/>
              <w:rPr>
                <w:color w:val="000000" w:themeColor="text1"/>
                <w:sz w:val="22"/>
                <w:szCs w:val="22"/>
                <w:lang w:eastAsia="en-US"/>
              </w:rPr>
            </w:pPr>
            <w:r w:rsidRPr="009B1938">
              <w:rPr>
                <w:sz w:val="22"/>
                <w:szCs w:val="22"/>
              </w:rPr>
              <w:t>12 371,28</w:t>
            </w:r>
          </w:p>
        </w:tc>
      </w:tr>
      <w:tr w:rsidR="00F07E05" w:rsidRPr="009B1938" w:rsidTr="008A253E">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Pr="00B8009B" w:rsidRDefault="00F07E05" w:rsidP="008A253E">
            <w:pPr>
              <w:shd w:val="clear" w:color="auto" w:fill="FFFFFF" w:themeFill="background1"/>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302</w:t>
            </w:r>
          </w:p>
        </w:tc>
        <w:tc>
          <w:tcPr>
            <w:tcW w:w="1459" w:type="dxa"/>
            <w:tcBorders>
              <w:top w:val="single" w:sz="4" w:space="0" w:color="auto"/>
              <w:left w:val="single" w:sz="4" w:space="0" w:color="auto"/>
              <w:bottom w:val="single" w:sz="4" w:space="0" w:color="auto"/>
              <w:right w:val="single" w:sz="4" w:space="0" w:color="auto"/>
            </w:tcBorders>
            <w:noWrap/>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129,15</w:t>
            </w:r>
          </w:p>
        </w:tc>
        <w:tc>
          <w:tcPr>
            <w:tcW w:w="1450"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3</w:t>
            </w:r>
          </w:p>
        </w:tc>
        <w:tc>
          <w:tcPr>
            <w:tcW w:w="2195"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02.11.21 12.00-15.00 </w:t>
            </w:r>
          </w:p>
        </w:tc>
        <w:tc>
          <w:tcPr>
            <w:tcW w:w="1476" w:type="dxa"/>
            <w:tcBorders>
              <w:top w:val="single" w:sz="4" w:space="0" w:color="auto"/>
              <w:left w:val="single" w:sz="4" w:space="0" w:color="auto"/>
              <w:bottom w:val="single" w:sz="4" w:space="0" w:color="auto"/>
              <w:right w:val="single" w:sz="4" w:space="0" w:color="auto"/>
            </w:tcBorders>
            <w:shd w:val="clear" w:color="auto" w:fill="auto"/>
            <w:noWrap/>
          </w:tcPr>
          <w:p w:rsidR="00F07E05" w:rsidRPr="009B1938" w:rsidRDefault="00F07E05" w:rsidP="008A253E">
            <w:pPr>
              <w:shd w:val="clear" w:color="auto" w:fill="FFFFFF" w:themeFill="background1"/>
              <w:spacing w:line="276" w:lineRule="auto"/>
              <w:jc w:val="center"/>
              <w:rPr>
                <w:color w:val="000000" w:themeColor="text1"/>
                <w:sz w:val="22"/>
                <w:szCs w:val="22"/>
                <w:lang w:eastAsia="en-US"/>
              </w:rPr>
            </w:pPr>
            <w:r w:rsidRPr="009B1938">
              <w:rPr>
                <w:sz w:val="22"/>
                <w:szCs w:val="22"/>
              </w:rPr>
              <w:t>12 371,28</w:t>
            </w:r>
          </w:p>
        </w:tc>
      </w:tr>
      <w:tr w:rsidR="00F07E05" w:rsidRPr="009B1938" w:rsidTr="008A253E">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Pr="00B8009B" w:rsidRDefault="00F07E05" w:rsidP="008A253E">
            <w:pPr>
              <w:shd w:val="clear" w:color="auto" w:fill="FFFFFF" w:themeFill="background1"/>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302</w:t>
            </w:r>
          </w:p>
        </w:tc>
        <w:tc>
          <w:tcPr>
            <w:tcW w:w="1459" w:type="dxa"/>
            <w:tcBorders>
              <w:top w:val="single" w:sz="4" w:space="0" w:color="auto"/>
              <w:left w:val="single" w:sz="4" w:space="0" w:color="auto"/>
              <w:bottom w:val="single" w:sz="4" w:space="0" w:color="auto"/>
              <w:right w:val="single" w:sz="4" w:space="0" w:color="auto"/>
            </w:tcBorders>
            <w:noWrap/>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129,15</w:t>
            </w:r>
          </w:p>
        </w:tc>
        <w:tc>
          <w:tcPr>
            <w:tcW w:w="1450"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4 </w:t>
            </w:r>
          </w:p>
        </w:tc>
        <w:tc>
          <w:tcPr>
            <w:tcW w:w="2195"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02.05.21 09.00-12.30 </w:t>
            </w:r>
          </w:p>
        </w:tc>
        <w:tc>
          <w:tcPr>
            <w:tcW w:w="1476" w:type="dxa"/>
            <w:tcBorders>
              <w:top w:val="single" w:sz="4" w:space="0" w:color="auto"/>
              <w:left w:val="single" w:sz="4" w:space="0" w:color="auto"/>
              <w:bottom w:val="single" w:sz="4" w:space="0" w:color="auto"/>
              <w:right w:val="single" w:sz="4" w:space="0" w:color="auto"/>
            </w:tcBorders>
            <w:shd w:val="clear" w:color="auto" w:fill="auto"/>
            <w:noWrap/>
          </w:tcPr>
          <w:p w:rsidR="00F07E05" w:rsidRPr="009B1938" w:rsidRDefault="00F07E05" w:rsidP="008A253E">
            <w:pPr>
              <w:shd w:val="clear" w:color="auto" w:fill="FFFFFF" w:themeFill="background1"/>
              <w:spacing w:line="276" w:lineRule="auto"/>
              <w:jc w:val="center"/>
              <w:rPr>
                <w:color w:val="000000" w:themeColor="text1"/>
                <w:sz w:val="22"/>
                <w:szCs w:val="22"/>
                <w:lang w:eastAsia="en-US"/>
              </w:rPr>
            </w:pPr>
            <w:r w:rsidRPr="009B1938">
              <w:rPr>
                <w:sz w:val="22"/>
                <w:szCs w:val="22"/>
              </w:rPr>
              <w:t>16 495,04</w:t>
            </w:r>
          </w:p>
        </w:tc>
      </w:tr>
      <w:tr w:rsidR="00F07E05" w:rsidRPr="009B1938" w:rsidTr="008A253E">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Pr="00B8009B" w:rsidRDefault="00F07E05" w:rsidP="008A253E">
            <w:pPr>
              <w:shd w:val="clear" w:color="auto" w:fill="FFFFFF" w:themeFill="background1"/>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302</w:t>
            </w:r>
          </w:p>
        </w:tc>
        <w:tc>
          <w:tcPr>
            <w:tcW w:w="1459" w:type="dxa"/>
            <w:tcBorders>
              <w:top w:val="single" w:sz="4" w:space="0" w:color="auto"/>
              <w:left w:val="single" w:sz="4" w:space="0" w:color="auto"/>
              <w:bottom w:val="single" w:sz="4" w:space="0" w:color="auto"/>
              <w:right w:val="single" w:sz="4" w:space="0" w:color="auto"/>
            </w:tcBorders>
            <w:noWrap/>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129,15</w:t>
            </w:r>
          </w:p>
        </w:tc>
        <w:tc>
          <w:tcPr>
            <w:tcW w:w="1450"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5</w:t>
            </w:r>
          </w:p>
        </w:tc>
        <w:tc>
          <w:tcPr>
            <w:tcW w:w="2195"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08.05.21 15.15-20.00</w:t>
            </w:r>
          </w:p>
        </w:tc>
        <w:tc>
          <w:tcPr>
            <w:tcW w:w="1476" w:type="dxa"/>
            <w:tcBorders>
              <w:top w:val="single" w:sz="4" w:space="0" w:color="auto"/>
              <w:left w:val="single" w:sz="4" w:space="0" w:color="auto"/>
              <w:bottom w:val="single" w:sz="4" w:space="0" w:color="auto"/>
              <w:right w:val="single" w:sz="4" w:space="0" w:color="auto"/>
            </w:tcBorders>
            <w:shd w:val="clear" w:color="auto" w:fill="auto"/>
            <w:noWrap/>
          </w:tcPr>
          <w:p w:rsidR="00F07E05" w:rsidRPr="009B1938" w:rsidRDefault="00F07E05" w:rsidP="008A253E">
            <w:pPr>
              <w:shd w:val="clear" w:color="auto" w:fill="FFFFFF" w:themeFill="background1"/>
              <w:spacing w:line="276" w:lineRule="auto"/>
              <w:jc w:val="center"/>
              <w:rPr>
                <w:color w:val="000000" w:themeColor="text1"/>
                <w:sz w:val="22"/>
                <w:szCs w:val="22"/>
                <w:lang w:eastAsia="en-US"/>
              </w:rPr>
            </w:pPr>
            <w:r w:rsidRPr="009B1938">
              <w:rPr>
                <w:sz w:val="22"/>
                <w:szCs w:val="22"/>
              </w:rPr>
              <w:t>20 618,80</w:t>
            </w:r>
          </w:p>
        </w:tc>
      </w:tr>
      <w:tr w:rsidR="00F07E05" w:rsidRPr="009B1938" w:rsidTr="008A253E">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Pr="00B8009B" w:rsidRDefault="00F07E05" w:rsidP="008A253E">
            <w:pPr>
              <w:shd w:val="clear" w:color="auto" w:fill="FFFFFF" w:themeFill="background1"/>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302</w:t>
            </w:r>
          </w:p>
        </w:tc>
        <w:tc>
          <w:tcPr>
            <w:tcW w:w="1459" w:type="dxa"/>
            <w:tcBorders>
              <w:top w:val="single" w:sz="4" w:space="0" w:color="auto"/>
              <w:left w:val="single" w:sz="4" w:space="0" w:color="auto"/>
              <w:bottom w:val="single" w:sz="4" w:space="0" w:color="auto"/>
              <w:right w:val="single" w:sz="4" w:space="0" w:color="auto"/>
            </w:tcBorders>
            <w:noWrap/>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129,15</w:t>
            </w:r>
          </w:p>
        </w:tc>
        <w:tc>
          <w:tcPr>
            <w:tcW w:w="1450"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5</w:t>
            </w:r>
          </w:p>
        </w:tc>
        <w:tc>
          <w:tcPr>
            <w:tcW w:w="2195"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13.05.21 10.50-15.00</w:t>
            </w:r>
          </w:p>
        </w:tc>
        <w:tc>
          <w:tcPr>
            <w:tcW w:w="1476" w:type="dxa"/>
            <w:tcBorders>
              <w:top w:val="single" w:sz="4" w:space="0" w:color="auto"/>
              <w:left w:val="single" w:sz="4" w:space="0" w:color="auto"/>
              <w:bottom w:val="single" w:sz="4" w:space="0" w:color="auto"/>
              <w:right w:val="single" w:sz="4" w:space="0" w:color="auto"/>
            </w:tcBorders>
            <w:shd w:val="clear" w:color="auto" w:fill="auto"/>
            <w:noWrap/>
          </w:tcPr>
          <w:p w:rsidR="00F07E05" w:rsidRPr="009B1938" w:rsidRDefault="00F07E05" w:rsidP="008A253E">
            <w:pPr>
              <w:shd w:val="clear" w:color="auto" w:fill="FFFFFF" w:themeFill="background1"/>
              <w:spacing w:line="276" w:lineRule="auto"/>
              <w:jc w:val="center"/>
              <w:rPr>
                <w:color w:val="000000" w:themeColor="text1"/>
                <w:sz w:val="22"/>
                <w:szCs w:val="22"/>
                <w:lang w:eastAsia="en-US"/>
              </w:rPr>
            </w:pPr>
            <w:r w:rsidRPr="009B1938">
              <w:rPr>
                <w:sz w:val="22"/>
                <w:szCs w:val="22"/>
              </w:rPr>
              <w:t>20 618,80</w:t>
            </w:r>
          </w:p>
        </w:tc>
      </w:tr>
      <w:tr w:rsidR="00F07E05" w:rsidRPr="009B1938" w:rsidTr="008A253E">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Pr="00B8009B" w:rsidRDefault="00F07E05" w:rsidP="008A253E">
            <w:pPr>
              <w:shd w:val="clear" w:color="auto" w:fill="FFFFFF" w:themeFill="background1"/>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302</w:t>
            </w:r>
          </w:p>
        </w:tc>
        <w:tc>
          <w:tcPr>
            <w:tcW w:w="1459" w:type="dxa"/>
            <w:tcBorders>
              <w:top w:val="single" w:sz="4" w:space="0" w:color="auto"/>
              <w:left w:val="single" w:sz="4" w:space="0" w:color="auto"/>
              <w:bottom w:val="single" w:sz="4" w:space="0" w:color="auto"/>
              <w:right w:val="single" w:sz="4" w:space="0" w:color="auto"/>
            </w:tcBorders>
            <w:noWrap/>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129,15</w:t>
            </w:r>
          </w:p>
        </w:tc>
        <w:tc>
          <w:tcPr>
            <w:tcW w:w="1450"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7</w:t>
            </w:r>
          </w:p>
        </w:tc>
        <w:tc>
          <w:tcPr>
            <w:tcW w:w="2195"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10.06.21 08.00-15.00</w:t>
            </w:r>
          </w:p>
        </w:tc>
        <w:tc>
          <w:tcPr>
            <w:tcW w:w="1476" w:type="dxa"/>
            <w:tcBorders>
              <w:top w:val="single" w:sz="4" w:space="0" w:color="auto"/>
              <w:left w:val="single" w:sz="4" w:space="0" w:color="auto"/>
              <w:bottom w:val="single" w:sz="4" w:space="0" w:color="auto"/>
              <w:right w:val="single" w:sz="4" w:space="0" w:color="auto"/>
            </w:tcBorders>
            <w:shd w:val="clear" w:color="auto" w:fill="auto"/>
            <w:noWrap/>
          </w:tcPr>
          <w:p w:rsidR="00F07E05" w:rsidRPr="009B1938" w:rsidRDefault="00F07E05" w:rsidP="008A253E">
            <w:pPr>
              <w:shd w:val="clear" w:color="auto" w:fill="FFFFFF" w:themeFill="background1"/>
              <w:spacing w:line="276" w:lineRule="auto"/>
              <w:jc w:val="center"/>
              <w:rPr>
                <w:color w:val="000000" w:themeColor="text1"/>
                <w:sz w:val="22"/>
                <w:szCs w:val="22"/>
                <w:lang w:eastAsia="en-US"/>
              </w:rPr>
            </w:pPr>
            <w:r w:rsidRPr="009B1938">
              <w:rPr>
                <w:sz w:val="22"/>
                <w:szCs w:val="22"/>
              </w:rPr>
              <w:t>28 866,32</w:t>
            </w:r>
          </w:p>
        </w:tc>
      </w:tr>
      <w:tr w:rsidR="00F07E05" w:rsidRPr="009B1938" w:rsidTr="008A253E">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Pr="00B8009B" w:rsidRDefault="00F07E05" w:rsidP="008A253E">
            <w:pPr>
              <w:shd w:val="clear" w:color="auto" w:fill="FFFFFF" w:themeFill="background1"/>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302</w:t>
            </w:r>
          </w:p>
        </w:tc>
        <w:tc>
          <w:tcPr>
            <w:tcW w:w="1459" w:type="dxa"/>
            <w:tcBorders>
              <w:top w:val="single" w:sz="4" w:space="0" w:color="auto"/>
              <w:left w:val="single" w:sz="4" w:space="0" w:color="auto"/>
              <w:bottom w:val="single" w:sz="4" w:space="0" w:color="auto"/>
              <w:right w:val="single" w:sz="4" w:space="0" w:color="auto"/>
            </w:tcBorders>
            <w:noWrap/>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129,15</w:t>
            </w:r>
          </w:p>
        </w:tc>
        <w:tc>
          <w:tcPr>
            <w:tcW w:w="1450"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5</w:t>
            </w:r>
          </w:p>
        </w:tc>
        <w:tc>
          <w:tcPr>
            <w:tcW w:w="2195"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03.08.21 15.30-20.00</w:t>
            </w:r>
          </w:p>
        </w:tc>
        <w:tc>
          <w:tcPr>
            <w:tcW w:w="1476" w:type="dxa"/>
            <w:tcBorders>
              <w:top w:val="single" w:sz="4" w:space="0" w:color="auto"/>
              <w:left w:val="single" w:sz="4" w:space="0" w:color="auto"/>
              <w:bottom w:val="single" w:sz="4" w:space="0" w:color="auto"/>
              <w:right w:val="single" w:sz="4" w:space="0" w:color="auto"/>
            </w:tcBorders>
            <w:shd w:val="clear" w:color="auto" w:fill="auto"/>
            <w:noWrap/>
          </w:tcPr>
          <w:p w:rsidR="00F07E05" w:rsidRPr="009B1938" w:rsidRDefault="00F07E05" w:rsidP="008A253E">
            <w:pPr>
              <w:shd w:val="clear" w:color="auto" w:fill="FFFFFF" w:themeFill="background1"/>
              <w:spacing w:line="276" w:lineRule="auto"/>
              <w:jc w:val="center"/>
              <w:rPr>
                <w:color w:val="000000" w:themeColor="text1"/>
                <w:sz w:val="22"/>
                <w:szCs w:val="22"/>
                <w:lang w:eastAsia="en-US"/>
              </w:rPr>
            </w:pPr>
            <w:r w:rsidRPr="009B1938">
              <w:rPr>
                <w:sz w:val="22"/>
                <w:szCs w:val="22"/>
              </w:rPr>
              <w:t>20 618,80</w:t>
            </w:r>
          </w:p>
        </w:tc>
      </w:tr>
      <w:tr w:rsidR="00F07E05" w:rsidRPr="009B1938" w:rsidTr="008A253E">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Pr="00B8009B" w:rsidRDefault="00F07E05" w:rsidP="008A253E">
            <w:pPr>
              <w:shd w:val="clear" w:color="auto" w:fill="FFFFFF" w:themeFill="background1"/>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302</w:t>
            </w:r>
          </w:p>
        </w:tc>
        <w:tc>
          <w:tcPr>
            <w:tcW w:w="1459" w:type="dxa"/>
            <w:tcBorders>
              <w:top w:val="single" w:sz="4" w:space="0" w:color="auto"/>
              <w:left w:val="single" w:sz="4" w:space="0" w:color="auto"/>
              <w:bottom w:val="single" w:sz="4" w:space="0" w:color="auto"/>
              <w:right w:val="single" w:sz="4" w:space="0" w:color="auto"/>
            </w:tcBorders>
            <w:noWrap/>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129,15</w:t>
            </w:r>
          </w:p>
        </w:tc>
        <w:tc>
          <w:tcPr>
            <w:tcW w:w="1450"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5</w:t>
            </w:r>
          </w:p>
        </w:tc>
        <w:tc>
          <w:tcPr>
            <w:tcW w:w="2195"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07.08.21 15.30-20.30</w:t>
            </w:r>
          </w:p>
        </w:tc>
        <w:tc>
          <w:tcPr>
            <w:tcW w:w="1476" w:type="dxa"/>
            <w:tcBorders>
              <w:top w:val="single" w:sz="4" w:space="0" w:color="auto"/>
              <w:left w:val="single" w:sz="4" w:space="0" w:color="auto"/>
              <w:bottom w:val="single" w:sz="4" w:space="0" w:color="auto"/>
              <w:right w:val="single" w:sz="4" w:space="0" w:color="auto"/>
            </w:tcBorders>
            <w:shd w:val="clear" w:color="auto" w:fill="auto"/>
            <w:noWrap/>
          </w:tcPr>
          <w:p w:rsidR="00F07E05" w:rsidRPr="009B1938" w:rsidRDefault="00F07E05" w:rsidP="008A253E">
            <w:pPr>
              <w:shd w:val="clear" w:color="auto" w:fill="FFFFFF" w:themeFill="background1"/>
              <w:spacing w:line="276" w:lineRule="auto"/>
              <w:jc w:val="center"/>
              <w:rPr>
                <w:color w:val="000000" w:themeColor="text1"/>
                <w:sz w:val="22"/>
                <w:szCs w:val="22"/>
                <w:lang w:eastAsia="en-US"/>
              </w:rPr>
            </w:pPr>
            <w:r w:rsidRPr="009B1938">
              <w:rPr>
                <w:sz w:val="22"/>
                <w:szCs w:val="22"/>
              </w:rPr>
              <w:t>20 618,80</w:t>
            </w:r>
          </w:p>
        </w:tc>
      </w:tr>
      <w:tr w:rsidR="00F07E05" w:rsidRPr="009B1938" w:rsidTr="008A253E">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Pr="00B8009B" w:rsidRDefault="00F07E05" w:rsidP="008A253E">
            <w:pPr>
              <w:shd w:val="clear" w:color="auto" w:fill="FFFFFF" w:themeFill="background1"/>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302</w:t>
            </w:r>
          </w:p>
        </w:tc>
        <w:tc>
          <w:tcPr>
            <w:tcW w:w="1459" w:type="dxa"/>
            <w:tcBorders>
              <w:top w:val="single" w:sz="4" w:space="0" w:color="auto"/>
              <w:left w:val="single" w:sz="4" w:space="0" w:color="auto"/>
              <w:bottom w:val="single" w:sz="4" w:space="0" w:color="auto"/>
              <w:right w:val="single" w:sz="4" w:space="0" w:color="auto"/>
            </w:tcBorders>
            <w:noWrap/>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129,15</w:t>
            </w:r>
          </w:p>
        </w:tc>
        <w:tc>
          <w:tcPr>
            <w:tcW w:w="1450"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3</w:t>
            </w:r>
          </w:p>
        </w:tc>
        <w:tc>
          <w:tcPr>
            <w:tcW w:w="2195"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09.09.21 10.00-13.00</w:t>
            </w:r>
          </w:p>
        </w:tc>
        <w:tc>
          <w:tcPr>
            <w:tcW w:w="1476" w:type="dxa"/>
            <w:tcBorders>
              <w:top w:val="single" w:sz="4" w:space="0" w:color="auto"/>
              <w:left w:val="single" w:sz="4" w:space="0" w:color="auto"/>
              <w:bottom w:val="single" w:sz="4" w:space="0" w:color="auto"/>
              <w:right w:val="single" w:sz="4" w:space="0" w:color="auto"/>
            </w:tcBorders>
            <w:shd w:val="clear" w:color="auto" w:fill="auto"/>
            <w:noWrap/>
          </w:tcPr>
          <w:p w:rsidR="00F07E05" w:rsidRPr="009B1938" w:rsidRDefault="00F07E05" w:rsidP="008A253E">
            <w:pPr>
              <w:shd w:val="clear" w:color="auto" w:fill="FFFFFF" w:themeFill="background1"/>
              <w:spacing w:line="276" w:lineRule="auto"/>
              <w:jc w:val="center"/>
              <w:rPr>
                <w:color w:val="000000" w:themeColor="text1"/>
                <w:sz w:val="22"/>
                <w:szCs w:val="22"/>
                <w:lang w:eastAsia="en-US"/>
              </w:rPr>
            </w:pPr>
            <w:r w:rsidRPr="009B1938">
              <w:rPr>
                <w:sz w:val="22"/>
                <w:szCs w:val="22"/>
              </w:rPr>
              <w:t>12 371,28</w:t>
            </w:r>
          </w:p>
        </w:tc>
      </w:tr>
      <w:tr w:rsidR="00F07E05" w:rsidRPr="009B1938" w:rsidTr="008A253E">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Pr="00B8009B" w:rsidRDefault="00F07E05" w:rsidP="008A253E">
            <w:pPr>
              <w:shd w:val="clear" w:color="auto" w:fill="FFFFFF" w:themeFill="background1"/>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302</w:t>
            </w:r>
          </w:p>
        </w:tc>
        <w:tc>
          <w:tcPr>
            <w:tcW w:w="1459" w:type="dxa"/>
            <w:tcBorders>
              <w:top w:val="single" w:sz="4" w:space="0" w:color="auto"/>
              <w:left w:val="single" w:sz="4" w:space="0" w:color="auto"/>
              <w:bottom w:val="single" w:sz="4" w:space="0" w:color="auto"/>
              <w:right w:val="single" w:sz="4" w:space="0" w:color="auto"/>
            </w:tcBorders>
            <w:noWrap/>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129,15</w:t>
            </w:r>
          </w:p>
        </w:tc>
        <w:tc>
          <w:tcPr>
            <w:tcW w:w="1450"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7</w:t>
            </w:r>
          </w:p>
        </w:tc>
        <w:tc>
          <w:tcPr>
            <w:tcW w:w="2195"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14.09.21 11.30-18.00</w:t>
            </w:r>
          </w:p>
        </w:tc>
        <w:tc>
          <w:tcPr>
            <w:tcW w:w="1476" w:type="dxa"/>
            <w:tcBorders>
              <w:top w:val="single" w:sz="4" w:space="0" w:color="auto"/>
              <w:left w:val="single" w:sz="4" w:space="0" w:color="auto"/>
              <w:bottom w:val="single" w:sz="4" w:space="0" w:color="auto"/>
              <w:right w:val="single" w:sz="4" w:space="0" w:color="auto"/>
            </w:tcBorders>
            <w:shd w:val="clear" w:color="auto" w:fill="auto"/>
            <w:noWrap/>
          </w:tcPr>
          <w:p w:rsidR="00F07E05" w:rsidRPr="009B1938" w:rsidRDefault="00F07E05" w:rsidP="008A253E">
            <w:pPr>
              <w:shd w:val="clear" w:color="auto" w:fill="FFFFFF" w:themeFill="background1"/>
              <w:spacing w:line="276" w:lineRule="auto"/>
              <w:jc w:val="center"/>
              <w:rPr>
                <w:color w:val="000000" w:themeColor="text1"/>
                <w:sz w:val="22"/>
                <w:szCs w:val="22"/>
                <w:lang w:eastAsia="en-US"/>
              </w:rPr>
            </w:pPr>
            <w:r w:rsidRPr="009B1938">
              <w:rPr>
                <w:sz w:val="22"/>
                <w:szCs w:val="22"/>
              </w:rPr>
              <w:t>28 866,32</w:t>
            </w:r>
          </w:p>
        </w:tc>
      </w:tr>
      <w:tr w:rsidR="00F07E05" w:rsidRPr="009B1938" w:rsidTr="008A253E">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Pr="00B8009B" w:rsidRDefault="00F07E05" w:rsidP="008A253E">
            <w:pPr>
              <w:shd w:val="clear" w:color="auto" w:fill="FFFFFF" w:themeFill="background1"/>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302</w:t>
            </w:r>
          </w:p>
        </w:tc>
        <w:tc>
          <w:tcPr>
            <w:tcW w:w="1459" w:type="dxa"/>
            <w:tcBorders>
              <w:top w:val="single" w:sz="4" w:space="0" w:color="auto"/>
              <w:left w:val="single" w:sz="4" w:space="0" w:color="auto"/>
              <w:bottom w:val="single" w:sz="4" w:space="0" w:color="auto"/>
              <w:right w:val="single" w:sz="4" w:space="0" w:color="auto"/>
            </w:tcBorders>
            <w:noWrap/>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129,15</w:t>
            </w:r>
          </w:p>
        </w:tc>
        <w:tc>
          <w:tcPr>
            <w:tcW w:w="1450"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4</w:t>
            </w:r>
          </w:p>
        </w:tc>
        <w:tc>
          <w:tcPr>
            <w:tcW w:w="2195"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01.10.21 09.00-12.30</w:t>
            </w:r>
          </w:p>
        </w:tc>
        <w:tc>
          <w:tcPr>
            <w:tcW w:w="1476" w:type="dxa"/>
            <w:tcBorders>
              <w:top w:val="single" w:sz="4" w:space="0" w:color="auto"/>
              <w:left w:val="single" w:sz="4" w:space="0" w:color="auto"/>
              <w:bottom w:val="single" w:sz="4" w:space="0" w:color="auto"/>
              <w:right w:val="single" w:sz="4" w:space="0" w:color="auto"/>
            </w:tcBorders>
            <w:shd w:val="clear" w:color="auto" w:fill="auto"/>
            <w:noWrap/>
          </w:tcPr>
          <w:p w:rsidR="00F07E05" w:rsidRPr="009B1938" w:rsidRDefault="00F07E05" w:rsidP="008A253E">
            <w:pPr>
              <w:shd w:val="clear" w:color="auto" w:fill="FFFFFF" w:themeFill="background1"/>
              <w:spacing w:line="276" w:lineRule="auto"/>
              <w:jc w:val="center"/>
              <w:rPr>
                <w:color w:val="000000" w:themeColor="text1"/>
                <w:sz w:val="22"/>
                <w:szCs w:val="22"/>
                <w:lang w:eastAsia="en-US"/>
              </w:rPr>
            </w:pPr>
            <w:r w:rsidRPr="009B1938">
              <w:rPr>
                <w:sz w:val="22"/>
                <w:szCs w:val="22"/>
              </w:rPr>
              <w:t>16 495,04</w:t>
            </w:r>
          </w:p>
        </w:tc>
      </w:tr>
      <w:tr w:rsidR="00F07E05" w:rsidRPr="00352407" w:rsidTr="008A253E">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Pr="00B8009B" w:rsidRDefault="00F07E05" w:rsidP="008A253E">
            <w:pPr>
              <w:shd w:val="clear" w:color="auto" w:fill="FFFFFF" w:themeFill="background1"/>
              <w:spacing w:line="276" w:lineRule="auto"/>
              <w:rPr>
                <w:color w:val="000000"/>
                <w:lang w:eastAsia="en-US"/>
              </w:rPr>
            </w:pPr>
          </w:p>
        </w:tc>
        <w:tc>
          <w:tcPr>
            <w:tcW w:w="3018" w:type="dxa"/>
            <w:gridSpan w:val="2"/>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right"/>
              <w:rPr>
                <w:color w:val="000000"/>
                <w:lang w:eastAsia="en-US"/>
              </w:rPr>
            </w:pPr>
            <w:r w:rsidRPr="00B8009B">
              <w:rPr>
                <w:b/>
                <w:bCs/>
                <w:color w:val="000000"/>
                <w:sz w:val="22"/>
                <w:szCs w:val="22"/>
                <w:lang w:eastAsia="en-US"/>
              </w:rPr>
              <w:t>ИТОГО:</w:t>
            </w:r>
          </w:p>
        </w:tc>
        <w:tc>
          <w:tcPr>
            <w:tcW w:w="1450"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b/>
                <w:bCs/>
                <w:color w:val="000000"/>
                <w:lang w:eastAsia="en-US"/>
              </w:rPr>
            </w:pPr>
            <w:r w:rsidRPr="00B8009B">
              <w:rPr>
                <w:b/>
                <w:bCs/>
                <w:color w:val="000000"/>
                <w:sz w:val="22"/>
                <w:szCs w:val="22"/>
                <w:lang w:eastAsia="en-US"/>
              </w:rPr>
              <w:t>126</w:t>
            </w:r>
          </w:p>
        </w:tc>
        <w:tc>
          <w:tcPr>
            <w:tcW w:w="2195"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right"/>
              <w:rPr>
                <w:color w:val="000000"/>
                <w:lang w:eastAsia="en-US"/>
              </w:rPr>
            </w:pPr>
            <w:r w:rsidRPr="00B8009B">
              <w:rPr>
                <w:b/>
                <w:bCs/>
                <w:color w:val="000000"/>
                <w:sz w:val="22"/>
                <w:szCs w:val="22"/>
                <w:lang w:eastAsia="en-US"/>
              </w:rPr>
              <w:t>ИТОГО:</w:t>
            </w:r>
          </w:p>
        </w:tc>
        <w:tc>
          <w:tcPr>
            <w:tcW w:w="14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7E05" w:rsidRPr="00352407" w:rsidRDefault="00F07E05" w:rsidP="008A253E">
            <w:pPr>
              <w:shd w:val="clear" w:color="auto" w:fill="FFFFFF" w:themeFill="background1"/>
              <w:spacing w:line="276" w:lineRule="auto"/>
              <w:jc w:val="center"/>
              <w:rPr>
                <w:b/>
                <w:bCs/>
                <w:color w:val="000000" w:themeColor="text1"/>
                <w:sz w:val="22"/>
                <w:szCs w:val="22"/>
                <w:lang w:eastAsia="en-US"/>
              </w:rPr>
            </w:pPr>
            <w:r w:rsidRPr="00352407">
              <w:rPr>
                <w:b/>
                <w:bCs/>
                <w:color w:val="000000" w:themeColor="text1"/>
                <w:sz w:val="22"/>
                <w:szCs w:val="22"/>
                <w:lang w:eastAsia="en-US"/>
              </w:rPr>
              <w:t>482 748,12</w:t>
            </w:r>
          </w:p>
        </w:tc>
      </w:tr>
      <w:tr w:rsidR="00F07E05" w:rsidRPr="00352407" w:rsidTr="008A253E">
        <w:trPr>
          <w:trHeight w:val="330"/>
        </w:trPr>
        <w:tc>
          <w:tcPr>
            <w:tcW w:w="2552" w:type="dxa"/>
            <w:vMerge w:val="restart"/>
            <w:tcBorders>
              <w:top w:val="single" w:sz="4" w:space="0" w:color="auto"/>
              <w:left w:val="single" w:sz="4" w:space="0" w:color="auto"/>
              <w:bottom w:val="single" w:sz="4" w:space="0" w:color="auto"/>
              <w:right w:val="single" w:sz="4" w:space="0" w:color="auto"/>
            </w:tcBorders>
            <w:noWrap/>
            <w:vAlign w:val="center"/>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ООО «ВодоходЪ»</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301</w:t>
            </w:r>
          </w:p>
        </w:tc>
        <w:tc>
          <w:tcPr>
            <w:tcW w:w="1459"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125</w:t>
            </w:r>
          </w:p>
        </w:tc>
        <w:tc>
          <w:tcPr>
            <w:tcW w:w="1450"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5,5</w:t>
            </w:r>
          </w:p>
        </w:tc>
        <w:tc>
          <w:tcPr>
            <w:tcW w:w="2195"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02.05.21 11.30-18.30</w:t>
            </w:r>
          </w:p>
        </w:tc>
        <w:tc>
          <w:tcPr>
            <w:tcW w:w="1476" w:type="dxa"/>
            <w:tcBorders>
              <w:top w:val="single" w:sz="4" w:space="0" w:color="auto"/>
              <w:left w:val="single" w:sz="4" w:space="0" w:color="auto"/>
              <w:bottom w:val="single" w:sz="4" w:space="0" w:color="auto"/>
              <w:right w:val="single" w:sz="4" w:space="0" w:color="auto"/>
            </w:tcBorders>
            <w:shd w:val="clear" w:color="auto" w:fill="auto"/>
            <w:noWrap/>
          </w:tcPr>
          <w:p w:rsidR="00F07E05" w:rsidRPr="00352407" w:rsidRDefault="00F07E05" w:rsidP="008A253E">
            <w:pPr>
              <w:shd w:val="clear" w:color="auto" w:fill="FFFFFF" w:themeFill="background1"/>
              <w:spacing w:line="276" w:lineRule="auto"/>
              <w:jc w:val="center"/>
              <w:rPr>
                <w:color w:val="000000" w:themeColor="text1"/>
                <w:sz w:val="22"/>
                <w:szCs w:val="22"/>
                <w:lang w:eastAsia="en-US"/>
              </w:rPr>
            </w:pPr>
            <w:r w:rsidRPr="00352407">
              <w:rPr>
                <w:sz w:val="22"/>
                <w:szCs w:val="22"/>
              </w:rPr>
              <w:t>21 951,88</w:t>
            </w:r>
          </w:p>
        </w:tc>
      </w:tr>
      <w:tr w:rsidR="00F07E05" w:rsidRPr="00352407" w:rsidTr="008A253E">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Pr="00B8009B" w:rsidRDefault="00F07E05" w:rsidP="008A253E">
            <w:pPr>
              <w:shd w:val="clear" w:color="auto" w:fill="FFFFFF" w:themeFill="background1"/>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301</w:t>
            </w:r>
          </w:p>
        </w:tc>
        <w:tc>
          <w:tcPr>
            <w:tcW w:w="1459"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125</w:t>
            </w:r>
          </w:p>
        </w:tc>
        <w:tc>
          <w:tcPr>
            <w:tcW w:w="1450"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9</w:t>
            </w:r>
          </w:p>
        </w:tc>
        <w:tc>
          <w:tcPr>
            <w:tcW w:w="2195"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19.06.21 09.00-18.00</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07E05" w:rsidRPr="00352407" w:rsidRDefault="00F07E05" w:rsidP="008A253E">
            <w:pPr>
              <w:shd w:val="clear" w:color="auto" w:fill="FFFFFF" w:themeFill="background1"/>
              <w:spacing w:line="276" w:lineRule="auto"/>
              <w:jc w:val="center"/>
              <w:rPr>
                <w:sz w:val="22"/>
                <w:szCs w:val="22"/>
                <w:lang w:eastAsia="en-US"/>
              </w:rPr>
            </w:pPr>
            <w:r w:rsidRPr="00352407">
              <w:rPr>
                <w:sz w:val="22"/>
                <w:szCs w:val="22"/>
              </w:rPr>
              <w:t>35 921,25</w:t>
            </w:r>
          </w:p>
        </w:tc>
      </w:tr>
      <w:tr w:rsidR="00F07E05" w:rsidRPr="00352407" w:rsidTr="008A253E">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Pr="00B8009B" w:rsidRDefault="00F07E05" w:rsidP="008A253E">
            <w:pPr>
              <w:shd w:val="clear" w:color="auto" w:fill="FFFFFF" w:themeFill="background1"/>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301</w:t>
            </w:r>
          </w:p>
        </w:tc>
        <w:tc>
          <w:tcPr>
            <w:tcW w:w="1459"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125</w:t>
            </w:r>
          </w:p>
        </w:tc>
        <w:tc>
          <w:tcPr>
            <w:tcW w:w="1450"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4</w:t>
            </w:r>
          </w:p>
        </w:tc>
        <w:tc>
          <w:tcPr>
            <w:tcW w:w="2195"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27.06.21 16.00-20.00</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07E05" w:rsidRPr="00352407" w:rsidRDefault="00F07E05" w:rsidP="008A253E">
            <w:pPr>
              <w:shd w:val="clear" w:color="auto" w:fill="FFFFFF" w:themeFill="background1"/>
              <w:spacing w:line="276" w:lineRule="auto"/>
              <w:jc w:val="center"/>
              <w:rPr>
                <w:sz w:val="22"/>
                <w:szCs w:val="22"/>
                <w:lang w:eastAsia="en-US"/>
              </w:rPr>
            </w:pPr>
            <w:r w:rsidRPr="00352407">
              <w:rPr>
                <w:sz w:val="22"/>
                <w:szCs w:val="22"/>
              </w:rPr>
              <w:t>15 965,00</w:t>
            </w:r>
          </w:p>
        </w:tc>
      </w:tr>
      <w:tr w:rsidR="00F07E05" w:rsidRPr="00352407" w:rsidTr="008A253E">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Pr="00B8009B" w:rsidRDefault="00F07E05" w:rsidP="008A253E">
            <w:pPr>
              <w:shd w:val="clear" w:color="auto" w:fill="FFFFFF" w:themeFill="background1"/>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301</w:t>
            </w:r>
          </w:p>
        </w:tc>
        <w:tc>
          <w:tcPr>
            <w:tcW w:w="1459"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125</w:t>
            </w:r>
          </w:p>
        </w:tc>
        <w:tc>
          <w:tcPr>
            <w:tcW w:w="1450"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6</w:t>
            </w:r>
          </w:p>
        </w:tc>
        <w:tc>
          <w:tcPr>
            <w:tcW w:w="2195"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20.07.21 14.00-20.00</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07E05" w:rsidRPr="00352407" w:rsidRDefault="00F07E05" w:rsidP="008A253E">
            <w:pPr>
              <w:shd w:val="clear" w:color="auto" w:fill="FFFFFF" w:themeFill="background1"/>
              <w:spacing w:line="276" w:lineRule="auto"/>
              <w:jc w:val="center"/>
              <w:rPr>
                <w:sz w:val="22"/>
                <w:szCs w:val="22"/>
                <w:lang w:eastAsia="en-US"/>
              </w:rPr>
            </w:pPr>
            <w:r w:rsidRPr="00352407">
              <w:rPr>
                <w:sz w:val="22"/>
                <w:szCs w:val="22"/>
              </w:rPr>
              <w:t>23 947,50</w:t>
            </w:r>
          </w:p>
        </w:tc>
      </w:tr>
      <w:tr w:rsidR="00F07E05" w:rsidRPr="00352407" w:rsidTr="008A253E">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Pr="00B8009B" w:rsidRDefault="00F07E05" w:rsidP="008A253E">
            <w:pPr>
              <w:shd w:val="clear" w:color="auto" w:fill="FFFFFF" w:themeFill="background1"/>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301</w:t>
            </w:r>
          </w:p>
        </w:tc>
        <w:tc>
          <w:tcPr>
            <w:tcW w:w="1459"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125</w:t>
            </w:r>
          </w:p>
        </w:tc>
        <w:tc>
          <w:tcPr>
            <w:tcW w:w="1450"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7</w:t>
            </w:r>
          </w:p>
        </w:tc>
        <w:tc>
          <w:tcPr>
            <w:tcW w:w="2195"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03.08.21 12.30-19.00</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07E05" w:rsidRPr="00352407" w:rsidRDefault="00F07E05" w:rsidP="008A253E">
            <w:pPr>
              <w:shd w:val="clear" w:color="auto" w:fill="FFFFFF" w:themeFill="background1"/>
              <w:spacing w:line="276" w:lineRule="auto"/>
              <w:jc w:val="center"/>
              <w:rPr>
                <w:sz w:val="22"/>
                <w:szCs w:val="22"/>
                <w:lang w:eastAsia="en-US"/>
              </w:rPr>
            </w:pPr>
            <w:r w:rsidRPr="00352407">
              <w:rPr>
                <w:sz w:val="22"/>
                <w:szCs w:val="22"/>
              </w:rPr>
              <w:t>27 938,75</w:t>
            </w:r>
          </w:p>
        </w:tc>
      </w:tr>
      <w:tr w:rsidR="00F07E05" w:rsidRPr="00352407" w:rsidTr="008A253E">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Pr="00B8009B" w:rsidRDefault="00F07E05" w:rsidP="008A253E">
            <w:pPr>
              <w:shd w:val="clear" w:color="auto" w:fill="FFFFFF" w:themeFill="background1"/>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301</w:t>
            </w:r>
          </w:p>
        </w:tc>
        <w:tc>
          <w:tcPr>
            <w:tcW w:w="1459"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125</w:t>
            </w:r>
          </w:p>
        </w:tc>
        <w:tc>
          <w:tcPr>
            <w:tcW w:w="1450"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5</w:t>
            </w:r>
          </w:p>
        </w:tc>
        <w:tc>
          <w:tcPr>
            <w:tcW w:w="2195"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26.10.21 09.00-14.00</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07E05" w:rsidRPr="00352407" w:rsidRDefault="00F07E05" w:rsidP="008A253E">
            <w:pPr>
              <w:shd w:val="clear" w:color="auto" w:fill="FFFFFF" w:themeFill="background1"/>
              <w:spacing w:line="276" w:lineRule="auto"/>
              <w:jc w:val="center"/>
              <w:rPr>
                <w:sz w:val="22"/>
                <w:szCs w:val="22"/>
                <w:lang w:eastAsia="en-US"/>
              </w:rPr>
            </w:pPr>
            <w:r w:rsidRPr="00352407">
              <w:rPr>
                <w:sz w:val="22"/>
                <w:szCs w:val="22"/>
              </w:rPr>
              <w:t>19 956,25</w:t>
            </w:r>
          </w:p>
        </w:tc>
      </w:tr>
      <w:tr w:rsidR="00F07E05" w:rsidRPr="00352407" w:rsidTr="008A253E">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Pr="00B8009B" w:rsidRDefault="00F07E05" w:rsidP="008A253E">
            <w:pPr>
              <w:shd w:val="clear" w:color="auto" w:fill="FFFFFF" w:themeFill="background1"/>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92-016</w:t>
            </w:r>
          </w:p>
        </w:tc>
        <w:tc>
          <w:tcPr>
            <w:tcW w:w="1459"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135,75</w:t>
            </w:r>
          </w:p>
        </w:tc>
        <w:tc>
          <w:tcPr>
            <w:tcW w:w="1450"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5</w:t>
            </w:r>
          </w:p>
        </w:tc>
        <w:tc>
          <w:tcPr>
            <w:tcW w:w="2195"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08.05.21 12.30-18.00</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07E05" w:rsidRPr="00352407" w:rsidRDefault="00F07E05" w:rsidP="008A253E">
            <w:pPr>
              <w:shd w:val="clear" w:color="auto" w:fill="FFFFFF" w:themeFill="background1"/>
              <w:spacing w:line="276" w:lineRule="auto"/>
              <w:jc w:val="center"/>
              <w:rPr>
                <w:sz w:val="22"/>
                <w:szCs w:val="22"/>
                <w:lang w:eastAsia="en-US"/>
              </w:rPr>
            </w:pPr>
            <w:r w:rsidRPr="00352407">
              <w:rPr>
                <w:sz w:val="22"/>
                <w:szCs w:val="22"/>
              </w:rPr>
              <w:t>21 672,49</w:t>
            </w:r>
          </w:p>
        </w:tc>
      </w:tr>
      <w:tr w:rsidR="00F07E05" w:rsidRPr="00352407" w:rsidTr="008A253E">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Pr="00B8009B" w:rsidRDefault="00F07E05" w:rsidP="008A253E">
            <w:pPr>
              <w:shd w:val="clear" w:color="auto" w:fill="FFFFFF" w:themeFill="background1"/>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92-016</w:t>
            </w:r>
          </w:p>
        </w:tc>
        <w:tc>
          <w:tcPr>
            <w:tcW w:w="1459"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135,75</w:t>
            </w:r>
          </w:p>
        </w:tc>
        <w:tc>
          <w:tcPr>
            <w:tcW w:w="1450"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4</w:t>
            </w:r>
          </w:p>
        </w:tc>
        <w:tc>
          <w:tcPr>
            <w:tcW w:w="2195"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01.06.21 09.00-13.00</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07E05" w:rsidRPr="00352407" w:rsidRDefault="00F07E05" w:rsidP="008A253E">
            <w:pPr>
              <w:shd w:val="clear" w:color="auto" w:fill="FFFFFF" w:themeFill="background1"/>
              <w:spacing w:line="276" w:lineRule="auto"/>
              <w:jc w:val="center"/>
              <w:rPr>
                <w:sz w:val="22"/>
                <w:szCs w:val="22"/>
                <w:lang w:eastAsia="en-US"/>
              </w:rPr>
            </w:pPr>
            <w:r w:rsidRPr="00352407">
              <w:rPr>
                <w:sz w:val="22"/>
                <w:szCs w:val="22"/>
              </w:rPr>
              <w:t>17 337,99</w:t>
            </w:r>
          </w:p>
        </w:tc>
      </w:tr>
      <w:tr w:rsidR="00F07E05" w:rsidRPr="00352407" w:rsidTr="008A253E">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Pr="00B8009B" w:rsidRDefault="00F07E05" w:rsidP="008A253E">
            <w:pPr>
              <w:shd w:val="clear" w:color="auto" w:fill="FFFFFF" w:themeFill="background1"/>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92-016</w:t>
            </w:r>
          </w:p>
        </w:tc>
        <w:tc>
          <w:tcPr>
            <w:tcW w:w="1459"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135,75</w:t>
            </w:r>
          </w:p>
        </w:tc>
        <w:tc>
          <w:tcPr>
            <w:tcW w:w="1450"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8</w:t>
            </w:r>
          </w:p>
        </w:tc>
        <w:tc>
          <w:tcPr>
            <w:tcW w:w="2195"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05.06.21 11.15-19.10</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07E05" w:rsidRPr="00352407" w:rsidRDefault="00F07E05" w:rsidP="008A253E">
            <w:pPr>
              <w:shd w:val="clear" w:color="auto" w:fill="FFFFFF" w:themeFill="background1"/>
              <w:spacing w:line="276" w:lineRule="auto"/>
              <w:jc w:val="center"/>
              <w:rPr>
                <w:sz w:val="22"/>
                <w:szCs w:val="22"/>
                <w:lang w:eastAsia="en-US"/>
              </w:rPr>
            </w:pPr>
            <w:r w:rsidRPr="00352407">
              <w:rPr>
                <w:sz w:val="22"/>
                <w:szCs w:val="22"/>
              </w:rPr>
              <w:t>34 675,98</w:t>
            </w:r>
          </w:p>
        </w:tc>
      </w:tr>
      <w:tr w:rsidR="00F07E05" w:rsidRPr="00352407" w:rsidTr="008A253E">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Pr="00B8009B" w:rsidRDefault="00F07E05" w:rsidP="008A253E">
            <w:pPr>
              <w:shd w:val="clear" w:color="auto" w:fill="FFFFFF" w:themeFill="background1"/>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92-016</w:t>
            </w:r>
          </w:p>
        </w:tc>
        <w:tc>
          <w:tcPr>
            <w:tcW w:w="1459"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135,75</w:t>
            </w:r>
          </w:p>
        </w:tc>
        <w:tc>
          <w:tcPr>
            <w:tcW w:w="1450"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5</w:t>
            </w:r>
          </w:p>
        </w:tc>
        <w:tc>
          <w:tcPr>
            <w:tcW w:w="2195"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12.06.21 12.30-17.00</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07E05" w:rsidRPr="00352407" w:rsidRDefault="00F07E05" w:rsidP="008A253E">
            <w:pPr>
              <w:shd w:val="clear" w:color="auto" w:fill="FFFFFF" w:themeFill="background1"/>
              <w:spacing w:line="276" w:lineRule="auto"/>
              <w:jc w:val="center"/>
              <w:rPr>
                <w:sz w:val="22"/>
                <w:szCs w:val="22"/>
                <w:lang w:eastAsia="en-US"/>
              </w:rPr>
            </w:pPr>
            <w:r w:rsidRPr="00352407">
              <w:rPr>
                <w:sz w:val="22"/>
                <w:szCs w:val="22"/>
              </w:rPr>
              <w:t>21 672,49</w:t>
            </w:r>
          </w:p>
        </w:tc>
      </w:tr>
      <w:tr w:rsidR="00F07E05" w:rsidRPr="00352407" w:rsidTr="008A253E">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Pr="00B8009B" w:rsidRDefault="00F07E05" w:rsidP="008A253E">
            <w:pPr>
              <w:shd w:val="clear" w:color="auto" w:fill="FFFFFF" w:themeFill="background1"/>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92-016</w:t>
            </w:r>
          </w:p>
        </w:tc>
        <w:tc>
          <w:tcPr>
            <w:tcW w:w="1459"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135,75</w:t>
            </w:r>
          </w:p>
        </w:tc>
        <w:tc>
          <w:tcPr>
            <w:tcW w:w="1450"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8</w:t>
            </w:r>
          </w:p>
        </w:tc>
        <w:tc>
          <w:tcPr>
            <w:tcW w:w="2195"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13.07.21 11.30-19.00</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07E05" w:rsidRPr="00352407" w:rsidRDefault="00F07E05" w:rsidP="008A253E">
            <w:pPr>
              <w:shd w:val="clear" w:color="auto" w:fill="FFFFFF" w:themeFill="background1"/>
              <w:spacing w:line="276" w:lineRule="auto"/>
              <w:jc w:val="center"/>
              <w:rPr>
                <w:sz w:val="22"/>
                <w:szCs w:val="22"/>
                <w:lang w:eastAsia="en-US"/>
              </w:rPr>
            </w:pPr>
            <w:r w:rsidRPr="00352407">
              <w:rPr>
                <w:sz w:val="22"/>
                <w:szCs w:val="22"/>
              </w:rPr>
              <w:t>34 675,98</w:t>
            </w:r>
          </w:p>
        </w:tc>
      </w:tr>
      <w:tr w:rsidR="00F07E05" w:rsidRPr="00352407" w:rsidTr="008A253E">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Pr="00B8009B" w:rsidRDefault="00F07E05" w:rsidP="008A253E">
            <w:pPr>
              <w:shd w:val="clear" w:color="auto" w:fill="FFFFFF" w:themeFill="background1"/>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sz w:val="22"/>
                <w:szCs w:val="22"/>
                <w:lang w:val="en-US" w:eastAsia="en-US"/>
              </w:rPr>
              <w:t>PV-300</w:t>
            </w:r>
          </w:p>
        </w:tc>
        <w:tc>
          <w:tcPr>
            <w:tcW w:w="1459"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141,15</w:t>
            </w:r>
          </w:p>
        </w:tc>
        <w:tc>
          <w:tcPr>
            <w:tcW w:w="1450"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7</w:t>
            </w:r>
          </w:p>
        </w:tc>
        <w:tc>
          <w:tcPr>
            <w:tcW w:w="2195"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11.05.21 11.10-18.00</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07E05" w:rsidRPr="00352407" w:rsidRDefault="00F07E05" w:rsidP="008A253E">
            <w:pPr>
              <w:shd w:val="clear" w:color="auto" w:fill="FFFFFF" w:themeFill="background1"/>
              <w:spacing w:line="276" w:lineRule="auto"/>
              <w:jc w:val="center"/>
              <w:rPr>
                <w:sz w:val="22"/>
                <w:szCs w:val="22"/>
                <w:lang w:eastAsia="en-US"/>
              </w:rPr>
            </w:pPr>
            <w:r w:rsidRPr="00352407">
              <w:rPr>
                <w:sz w:val="22"/>
                <w:szCs w:val="22"/>
              </w:rPr>
              <w:t>31 548,44</w:t>
            </w:r>
          </w:p>
        </w:tc>
      </w:tr>
      <w:tr w:rsidR="00F07E05" w:rsidRPr="00352407" w:rsidTr="008A253E">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Pr="00B8009B" w:rsidRDefault="00F07E05" w:rsidP="008A253E">
            <w:pPr>
              <w:shd w:val="clear" w:color="auto" w:fill="FFFFFF" w:themeFill="background1"/>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sz w:val="22"/>
                <w:szCs w:val="22"/>
                <w:lang w:val="en-US" w:eastAsia="en-US"/>
              </w:rPr>
              <w:t>PV-300</w:t>
            </w:r>
          </w:p>
        </w:tc>
        <w:tc>
          <w:tcPr>
            <w:tcW w:w="1459"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141,15</w:t>
            </w:r>
          </w:p>
        </w:tc>
        <w:tc>
          <w:tcPr>
            <w:tcW w:w="1450"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6</w:t>
            </w:r>
          </w:p>
        </w:tc>
        <w:tc>
          <w:tcPr>
            <w:tcW w:w="2195"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12.06.21 14.00-20.00</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07E05" w:rsidRPr="00352407" w:rsidRDefault="00F07E05" w:rsidP="008A253E">
            <w:pPr>
              <w:shd w:val="clear" w:color="auto" w:fill="FFFFFF" w:themeFill="background1"/>
              <w:spacing w:line="276" w:lineRule="auto"/>
              <w:jc w:val="center"/>
              <w:rPr>
                <w:sz w:val="22"/>
                <w:szCs w:val="22"/>
                <w:lang w:eastAsia="en-US"/>
              </w:rPr>
            </w:pPr>
            <w:r w:rsidRPr="00352407">
              <w:rPr>
                <w:sz w:val="22"/>
                <w:szCs w:val="22"/>
              </w:rPr>
              <w:t>27 041,52</w:t>
            </w:r>
          </w:p>
        </w:tc>
      </w:tr>
      <w:tr w:rsidR="00F07E05" w:rsidRPr="00352407" w:rsidTr="008A253E">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Pr="00B8009B" w:rsidRDefault="00F07E05" w:rsidP="008A253E">
            <w:pPr>
              <w:shd w:val="clear" w:color="auto" w:fill="FFFFFF" w:themeFill="background1"/>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sz w:val="22"/>
                <w:szCs w:val="22"/>
                <w:lang w:val="en-US" w:eastAsia="en-US"/>
              </w:rPr>
              <w:t>PV-300</w:t>
            </w:r>
          </w:p>
        </w:tc>
        <w:tc>
          <w:tcPr>
            <w:tcW w:w="1459"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141,15</w:t>
            </w:r>
          </w:p>
        </w:tc>
        <w:tc>
          <w:tcPr>
            <w:tcW w:w="1450"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10</w:t>
            </w:r>
          </w:p>
        </w:tc>
        <w:tc>
          <w:tcPr>
            <w:tcW w:w="2195"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24.07.21 08.00-18.00</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07E05" w:rsidRPr="00352407" w:rsidRDefault="00F07E05" w:rsidP="008A253E">
            <w:pPr>
              <w:shd w:val="clear" w:color="auto" w:fill="FFFFFF" w:themeFill="background1"/>
              <w:spacing w:line="276" w:lineRule="auto"/>
              <w:jc w:val="center"/>
              <w:rPr>
                <w:sz w:val="22"/>
                <w:szCs w:val="22"/>
                <w:lang w:eastAsia="en-US"/>
              </w:rPr>
            </w:pPr>
            <w:r w:rsidRPr="00352407">
              <w:rPr>
                <w:sz w:val="22"/>
                <w:szCs w:val="22"/>
              </w:rPr>
              <w:t>45 069,20</w:t>
            </w:r>
          </w:p>
        </w:tc>
      </w:tr>
      <w:tr w:rsidR="00F07E05" w:rsidRPr="00352407" w:rsidTr="008A253E">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Pr="00B8009B" w:rsidRDefault="00F07E05" w:rsidP="008A253E">
            <w:pPr>
              <w:shd w:val="clear" w:color="auto" w:fill="FFFFFF" w:themeFill="background1"/>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301</w:t>
            </w:r>
          </w:p>
        </w:tc>
        <w:tc>
          <w:tcPr>
            <w:tcW w:w="1459"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125</w:t>
            </w:r>
          </w:p>
        </w:tc>
        <w:tc>
          <w:tcPr>
            <w:tcW w:w="1450"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5</w:t>
            </w:r>
          </w:p>
        </w:tc>
        <w:tc>
          <w:tcPr>
            <w:tcW w:w="2195"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18.05.21 15.50-20.30</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07E05" w:rsidRPr="00352407" w:rsidRDefault="00F07E05" w:rsidP="008A253E">
            <w:pPr>
              <w:shd w:val="clear" w:color="auto" w:fill="FFFFFF" w:themeFill="background1"/>
              <w:spacing w:line="276" w:lineRule="auto"/>
              <w:jc w:val="center"/>
              <w:rPr>
                <w:sz w:val="22"/>
                <w:szCs w:val="22"/>
                <w:lang w:eastAsia="en-US"/>
              </w:rPr>
            </w:pPr>
            <w:r w:rsidRPr="00352407">
              <w:rPr>
                <w:sz w:val="22"/>
                <w:szCs w:val="22"/>
              </w:rPr>
              <w:t>19 956,25</w:t>
            </w:r>
          </w:p>
        </w:tc>
      </w:tr>
      <w:tr w:rsidR="00F07E05" w:rsidRPr="00352407" w:rsidTr="008A253E">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Pr="00B8009B" w:rsidRDefault="00F07E05" w:rsidP="008A253E">
            <w:pPr>
              <w:shd w:val="clear" w:color="auto" w:fill="FFFFFF" w:themeFill="background1"/>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92-016</w:t>
            </w:r>
          </w:p>
        </w:tc>
        <w:tc>
          <w:tcPr>
            <w:tcW w:w="1459"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135,66</w:t>
            </w:r>
          </w:p>
        </w:tc>
        <w:tc>
          <w:tcPr>
            <w:tcW w:w="1450"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6</w:t>
            </w:r>
          </w:p>
        </w:tc>
        <w:tc>
          <w:tcPr>
            <w:tcW w:w="2195"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18.05.21 08.00-14.00</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07E05" w:rsidRPr="00352407" w:rsidRDefault="00F07E05" w:rsidP="008A253E">
            <w:pPr>
              <w:shd w:val="clear" w:color="auto" w:fill="FFFFFF" w:themeFill="background1"/>
              <w:spacing w:line="276" w:lineRule="auto"/>
              <w:jc w:val="center"/>
              <w:rPr>
                <w:sz w:val="22"/>
                <w:szCs w:val="22"/>
                <w:lang w:eastAsia="en-US"/>
              </w:rPr>
            </w:pPr>
            <w:r w:rsidRPr="00352407">
              <w:rPr>
                <w:sz w:val="22"/>
                <w:szCs w:val="22"/>
              </w:rPr>
              <w:t>25 989,74</w:t>
            </w:r>
          </w:p>
        </w:tc>
      </w:tr>
      <w:tr w:rsidR="00F07E05" w:rsidRPr="00352407" w:rsidTr="008A253E">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Pr="00B8009B" w:rsidRDefault="00F07E05" w:rsidP="008A253E">
            <w:pPr>
              <w:shd w:val="clear" w:color="auto" w:fill="FFFFFF" w:themeFill="background1"/>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92-016</w:t>
            </w:r>
          </w:p>
        </w:tc>
        <w:tc>
          <w:tcPr>
            <w:tcW w:w="1459"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135,66</w:t>
            </w:r>
          </w:p>
        </w:tc>
        <w:tc>
          <w:tcPr>
            <w:tcW w:w="1450"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7</w:t>
            </w:r>
          </w:p>
        </w:tc>
        <w:tc>
          <w:tcPr>
            <w:tcW w:w="2195"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22.05.21 11.30-18.00</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07E05" w:rsidRPr="00352407" w:rsidRDefault="00F07E05" w:rsidP="008A253E">
            <w:pPr>
              <w:shd w:val="clear" w:color="auto" w:fill="FFFFFF" w:themeFill="background1"/>
              <w:spacing w:line="276" w:lineRule="auto"/>
              <w:jc w:val="center"/>
              <w:rPr>
                <w:sz w:val="22"/>
                <w:szCs w:val="22"/>
                <w:lang w:eastAsia="en-US"/>
              </w:rPr>
            </w:pPr>
            <w:r w:rsidRPr="00352407">
              <w:rPr>
                <w:sz w:val="22"/>
                <w:szCs w:val="22"/>
              </w:rPr>
              <w:t>30 321,37</w:t>
            </w:r>
          </w:p>
        </w:tc>
      </w:tr>
      <w:tr w:rsidR="00F07E05" w:rsidRPr="00352407" w:rsidTr="008A253E">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Pr="00B8009B" w:rsidRDefault="00F07E05" w:rsidP="008A253E">
            <w:pPr>
              <w:shd w:val="clear" w:color="auto" w:fill="FFFFFF" w:themeFill="background1"/>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92-016</w:t>
            </w:r>
          </w:p>
        </w:tc>
        <w:tc>
          <w:tcPr>
            <w:tcW w:w="1459"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135,66</w:t>
            </w:r>
          </w:p>
        </w:tc>
        <w:tc>
          <w:tcPr>
            <w:tcW w:w="1450"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5</w:t>
            </w:r>
          </w:p>
        </w:tc>
        <w:tc>
          <w:tcPr>
            <w:tcW w:w="2195"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06.06.21 15.35-20.00</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07E05" w:rsidRPr="00352407" w:rsidRDefault="00F07E05" w:rsidP="008A253E">
            <w:pPr>
              <w:shd w:val="clear" w:color="auto" w:fill="FFFFFF" w:themeFill="background1"/>
              <w:spacing w:line="276" w:lineRule="auto"/>
              <w:jc w:val="center"/>
              <w:rPr>
                <w:sz w:val="22"/>
                <w:szCs w:val="22"/>
                <w:lang w:eastAsia="en-US"/>
              </w:rPr>
            </w:pPr>
            <w:r w:rsidRPr="00352407">
              <w:rPr>
                <w:sz w:val="22"/>
                <w:szCs w:val="22"/>
              </w:rPr>
              <w:t>21 658,12</w:t>
            </w:r>
          </w:p>
        </w:tc>
      </w:tr>
      <w:tr w:rsidR="00F07E05" w:rsidRPr="00352407" w:rsidTr="008A253E">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Pr="00B8009B" w:rsidRDefault="00F07E05" w:rsidP="008A253E">
            <w:pPr>
              <w:shd w:val="clear" w:color="auto" w:fill="FFFFFF" w:themeFill="background1"/>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92-016</w:t>
            </w:r>
          </w:p>
        </w:tc>
        <w:tc>
          <w:tcPr>
            <w:tcW w:w="1459"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135,66</w:t>
            </w:r>
          </w:p>
        </w:tc>
        <w:tc>
          <w:tcPr>
            <w:tcW w:w="1450"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5</w:t>
            </w:r>
          </w:p>
        </w:tc>
        <w:tc>
          <w:tcPr>
            <w:tcW w:w="2195"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29.06.21 09.00-14.00</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07E05" w:rsidRPr="00352407" w:rsidRDefault="00F07E05" w:rsidP="008A253E">
            <w:pPr>
              <w:shd w:val="clear" w:color="auto" w:fill="FFFFFF" w:themeFill="background1"/>
              <w:spacing w:line="276" w:lineRule="auto"/>
              <w:jc w:val="center"/>
              <w:rPr>
                <w:sz w:val="22"/>
                <w:szCs w:val="22"/>
                <w:lang w:eastAsia="en-US"/>
              </w:rPr>
            </w:pPr>
            <w:r w:rsidRPr="00352407">
              <w:rPr>
                <w:sz w:val="22"/>
                <w:szCs w:val="22"/>
              </w:rPr>
              <w:t>21 658,12</w:t>
            </w:r>
          </w:p>
        </w:tc>
      </w:tr>
      <w:tr w:rsidR="00F07E05" w:rsidRPr="00352407" w:rsidTr="008A253E">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Pr="00B8009B" w:rsidRDefault="00F07E05" w:rsidP="008A253E">
            <w:pPr>
              <w:shd w:val="clear" w:color="auto" w:fill="FFFFFF" w:themeFill="background1"/>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92-016</w:t>
            </w:r>
          </w:p>
        </w:tc>
        <w:tc>
          <w:tcPr>
            <w:tcW w:w="1459"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135,66</w:t>
            </w:r>
          </w:p>
        </w:tc>
        <w:tc>
          <w:tcPr>
            <w:tcW w:w="1450"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11</w:t>
            </w:r>
          </w:p>
        </w:tc>
        <w:tc>
          <w:tcPr>
            <w:tcW w:w="2195"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31.07.21 09.00-20.00</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07E05" w:rsidRPr="00352407" w:rsidRDefault="00F07E05" w:rsidP="008A253E">
            <w:pPr>
              <w:shd w:val="clear" w:color="auto" w:fill="FFFFFF" w:themeFill="background1"/>
              <w:spacing w:line="276" w:lineRule="auto"/>
              <w:jc w:val="center"/>
              <w:rPr>
                <w:sz w:val="22"/>
                <w:szCs w:val="22"/>
                <w:lang w:eastAsia="en-US"/>
              </w:rPr>
            </w:pPr>
            <w:r w:rsidRPr="00352407">
              <w:rPr>
                <w:sz w:val="22"/>
                <w:szCs w:val="22"/>
              </w:rPr>
              <w:t>47 647,86</w:t>
            </w:r>
          </w:p>
        </w:tc>
      </w:tr>
      <w:tr w:rsidR="00F07E05" w:rsidRPr="00352407" w:rsidTr="008A253E">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Pr="00B8009B" w:rsidRDefault="00F07E05" w:rsidP="008A253E">
            <w:pPr>
              <w:shd w:val="clear" w:color="auto" w:fill="FFFFFF" w:themeFill="background1"/>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92-016</w:t>
            </w:r>
          </w:p>
        </w:tc>
        <w:tc>
          <w:tcPr>
            <w:tcW w:w="1459"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135,66</w:t>
            </w:r>
          </w:p>
        </w:tc>
        <w:tc>
          <w:tcPr>
            <w:tcW w:w="1450"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5</w:t>
            </w:r>
          </w:p>
        </w:tc>
        <w:tc>
          <w:tcPr>
            <w:tcW w:w="2195"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17.08.21 09.00-14.00</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07E05" w:rsidRPr="00352407" w:rsidRDefault="00F07E05" w:rsidP="008A253E">
            <w:pPr>
              <w:shd w:val="clear" w:color="auto" w:fill="FFFFFF" w:themeFill="background1"/>
              <w:spacing w:line="276" w:lineRule="auto"/>
              <w:jc w:val="center"/>
              <w:rPr>
                <w:sz w:val="22"/>
                <w:szCs w:val="22"/>
                <w:lang w:eastAsia="en-US"/>
              </w:rPr>
            </w:pPr>
            <w:r w:rsidRPr="00352407">
              <w:rPr>
                <w:sz w:val="22"/>
                <w:szCs w:val="22"/>
              </w:rPr>
              <w:t>21 658,12</w:t>
            </w:r>
          </w:p>
        </w:tc>
      </w:tr>
      <w:tr w:rsidR="00F07E05" w:rsidRPr="00352407" w:rsidTr="008A253E">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Pr="00B8009B" w:rsidRDefault="00F07E05" w:rsidP="008A253E">
            <w:pPr>
              <w:shd w:val="clear" w:color="auto" w:fill="FFFFFF" w:themeFill="background1"/>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92-016</w:t>
            </w:r>
          </w:p>
        </w:tc>
        <w:tc>
          <w:tcPr>
            <w:tcW w:w="1459"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135,66</w:t>
            </w:r>
          </w:p>
        </w:tc>
        <w:tc>
          <w:tcPr>
            <w:tcW w:w="1450"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11</w:t>
            </w:r>
          </w:p>
        </w:tc>
        <w:tc>
          <w:tcPr>
            <w:tcW w:w="2195"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21.08.21 09.00-20.00</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07E05" w:rsidRPr="00352407" w:rsidRDefault="00F07E05" w:rsidP="008A253E">
            <w:pPr>
              <w:shd w:val="clear" w:color="auto" w:fill="FFFFFF" w:themeFill="background1"/>
              <w:spacing w:line="276" w:lineRule="auto"/>
              <w:jc w:val="center"/>
              <w:rPr>
                <w:sz w:val="22"/>
                <w:szCs w:val="22"/>
                <w:lang w:eastAsia="en-US"/>
              </w:rPr>
            </w:pPr>
            <w:r w:rsidRPr="00352407">
              <w:rPr>
                <w:sz w:val="22"/>
                <w:szCs w:val="22"/>
              </w:rPr>
              <w:t>47 647,86</w:t>
            </w:r>
          </w:p>
        </w:tc>
      </w:tr>
      <w:tr w:rsidR="00F07E05" w:rsidRPr="00352407" w:rsidTr="008A253E">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Pr="00B8009B" w:rsidRDefault="00F07E05" w:rsidP="008A253E">
            <w:pPr>
              <w:shd w:val="clear" w:color="auto" w:fill="FFFFFF" w:themeFill="background1"/>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92-016</w:t>
            </w:r>
          </w:p>
        </w:tc>
        <w:tc>
          <w:tcPr>
            <w:tcW w:w="1459"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135,66</w:t>
            </w:r>
          </w:p>
        </w:tc>
        <w:tc>
          <w:tcPr>
            <w:tcW w:w="1450"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11</w:t>
            </w:r>
          </w:p>
        </w:tc>
        <w:tc>
          <w:tcPr>
            <w:tcW w:w="2195"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18.09.21 09.00-20.00</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07E05" w:rsidRPr="00352407" w:rsidRDefault="00F07E05" w:rsidP="008A253E">
            <w:pPr>
              <w:shd w:val="clear" w:color="auto" w:fill="FFFFFF" w:themeFill="background1"/>
              <w:spacing w:line="276" w:lineRule="auto"/>
              <w:jc w:val="center"/>
              <w:rPr>
                <w:sz w:val="22"/>
                <w:szCs w:val="22"/>
                <w:lang w:eastAsia="en-US"/>
              </w:rPr>
            </w:pPr>
            <w:r w:rsidRPr="00352407">
              <w:rPr>
                <w:sz w:val="22"/>
                <w:szCs w:val="22"/>
              </w:rPr>
              <w:t>47 647,86</w:t>
            </w:r>
          </w:p>
        </w:tc>
      </w:tr>
      <w:tr w:rsidR="00F07E05" w:rsidRPr="00352407" w:rsidTr="008A253E">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Pr="00B8009B" w:rsidRDefault="00F07E05" w:rsidP="008A253E">
            <w:pPr>
              <w:shd w:val="clear" w:color="auto" w:fill="FFFFFF" w:themeFill="background1"/>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301</w:t>
            </w:r>
          </w:p>
        </w:tc>
        <w:tc>
          <w:tcPr>
            <w:tcW w:w="1459"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125</w:t>
            </w:r>
          </w:p>
        </w:tc>
        <w:tc>
          <w:tcPr>
            <w:tcW w:w="1450"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6</w:t>
            </w:r>
          </w:p>
        </w:tc>
        <w:tc>
          <w:tcPr>
            <w:tcW w:w="2195"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23.06.21 09.00-15.00</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07E05" w:rsidRPr="00352407" w:rsidRDefault="00F07E05" w:rsidP="008A253E">
            <w:pPr>
              <w:shd w:val="clear" w:color="auto" w:fill="FFFFFF" w:themeFill="background1"/>
              <w:spacing w:line="276" w:lineRule="auto"/>
              <w:jc w:val="center"/>
              <w:rPr>
                <w:sz w:val="22"/>
                <w:szCs w:val="22"/>
                <w:lang w:eastAsia="en-US"/>
              </w:rPr>
            </w:pPr>
            <w:r w:rsidRPr="00352407">
              <w:rPr>
                <w:sz w:val="22"/>
                <w:szCs w:val="22"/>
              </w:rPr>
              <w:t>23 947,50</w:t>
            </w:r>
          </w:p>
        </w:tc>
      </w:tr>
      <w:tr w:rsidR="00F07E05" w:rsidRPr="00352407" w:rsidTr="008A253E">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Pr="00B8009B" w:rsidRDefault="00F07E05" w:rsidP="008A253E">
            <w:pPr>
              <w:shd w:val="clear" w:color="auto" w:fill="FFFFFF" w:themeFill="background1"/>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301</w:t>
            </w:r>
          </w:p>
        </w:tc>
        <w:tc>
          <w:tcPr>
            <w:tcW w:w="1459"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125</w:t>
            </w:r>
          </w:p>
        </w:tc>
        <w:tc>
          <w:tcPr>
            <w:tcW w:w="1450"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5</w:t>
            </w:r>
          </w:p>
        </w:tc>
        <w:tc>
          <w:tcPr>
            <w:tcW w:w="2195"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12.10.21 09.00-14.00</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07E05" w:rsidRPr="00352407" w:rsidRDefault="00F07E05" w:rsidP="008A253E">
            <w:pPr>
              <w:shd w:val="clear" w:color="auto" w:fill="FFFFFF" w:themeFill="background1"/>
              <w:spacing w:line="276" w:lineRule="auto"/>
              <w:jc w:val="center"/>
              <w:rPr>
                <w:sz w:val="22"/>
                <w:szCs w:val="22"/>
                <w:lang w:eastAsia="en-US"/>
              </w:rPr>
            </w:pPr>
            <w:r w:rsidRPr="00352407">
              <w:rPr>
                <w:sz w:val="22"/>
                <w:szCs w:val="22"/>
              </w:rPr>
              <w:t>19 956,25</w:t>
            </w:r>
          </w:p>
        </w:tc>
      </w:tr>
      <w:tr w:rsidR="00F07E05" w:rsidRPr="00352407" w:rsidTr="008A253E">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Pr="00B8009B" w:rsidRDefault="00F07E05" w:rsidP="008A253E">
            <w:pPr>
              <w:shd w:val="clear" w:color="auto" w:fill="FFFFFF" w:themeFill="background1"/>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301</w:t>
            </w:r>
          </w:p>
        </w:tc>
        <w:tc>
          <w:tcPr>
            <w:tcW w:w="1459"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125</w:t>
            </w:r>
          </w:p>
        </w:tc>
        <w:tc>
          <w:tcPr>
            <w:tcW w:w="1450"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5</w:t>
            </w:r>
          </w:p>
        </w:tc>
        <w:tc>
          <w:tcPr>
            <w:tcW w:w="2195"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19.10.21 09.00-14.00</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07E05" w:rsidRPr="00352407" w:rsidRDefault="00F07E05" w:rsidP="008A253E">
            <w:pPr>
              <w:shd w:val="clear" w:color="auto" w:fill="FFFFFF" w:themeFill="background1"/>
              <w:spacing w:line="276" w:lineRule="auto"/>
              <w:jc w:val="center"/>
              <w:rPr>
                <w:sz w:val="22"/>
                <w:szCs w:val="22"/>
                <w:lang w:eastAsia="en-US"/>
              </w:rPr>
            </w:pPr>
            <w:r w:rsidRPr="00352407">
              <w:rPr>
                <w:sz w:val="22"/>
                <w:szCs w:val="22"/>
              </w:rPr>
              <w:t>19 956,25</w:t>
            </w:r>
          </w:p>
        </w:tc>
      </w:tr>
      <w:tr w:rsidR="00F07E05" w:rsidRPr="00352407" w:rsidTr="008A253E">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Pr="00B8009B" w:rsidRDefault="00F07E05" w:rsidP="008A253E">
            <w:pPr>
              <w:shd w:val="clear" w:color="auto" w:fill="FFFFFF" w:themeFill="background1"/>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301</w:t>
            </w:r>
          </w:p>
        </w:tc>
        <w:tc>
          <w:tcPr>
            <w:tcW w:w="1459"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125</w:t>
            </w:r>
          </w:p>
        </w:tc>
        <w:tc>
          <w:tcPr>
            <w:tcW w:w="1450"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6</w:t>
            </w:r>
          </w:p>
        </w:tc>
        <w:tc>
          <w:tcPr>
            <w:tcW w:w="2195"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28.10.21 09.00-15.00</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07E05" w:rsidRPr="00352407" w:rsidRDefault="00F07E05" w:rsidP="008A253E">
            <w:pPr>
              <w:shd w:val="clear" w:color="auto" w:fill="FFFFFF" w:themeFill="background1"/>
              <w:spacing w:line="276" w:lineRule="auto"/>
              <w:jc w:val="center"/>
              <w:rPr>
                <w:sz w:val="22"/>
                <w:szCs w:val="22"/>
                <w:lang w:eastAsia="en-US"/>
              </w:rPr>
            </w:pPr>
            <w:r w:rsidRPr="00352407">
              <w:rPr>
                <w:sz w:val="22"/>
                <w:szCs w:val="22"/>
              </w:rPr>
              <w:t>23 947,50</w:t>
            </w:r>
          </w:p>
        </w:tc>
      </w:tr>
      <w:tr w:rsidR="00F07E05" w:rsidRPr="00352407" w:rsidTr="008A253E">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Pr="00B8009B" w:rsidRDefault="00F07E05" w:rsidP="008A253E">
            <w:pPr>
              <w:shd w:val="clear" w:color="auto" w:fill="FFFFFF" w:themeFill="background1"/>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301</w:t>
            </w:r>
          </w:p>
        </w:tc>
        <w:tc>
          <w:tcPr>
            <w:tcW w:w="1459"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125</w:t>
            </w:r>
          </w:p>
        </w:tc>
        <w:tc>
          <w:tcPr>
            <w:tcW w:w="1450"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6</w:t>
            </w:r>
          </w:p>
        </w:tc>
        <w:tc>
          <w:tcPr>
            <w:tcW w:w="2195"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04.11.21 09.00-15.00</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07E05" w:rsidRPr="00352407" w:rsidRDefault="00F07E05" w:rsidP="008A253E">
            <w:pPr>
              <w:shd w:val="clear" w:color="auto" w:fill="FFFFFF" w:themeFill="background1"/>
              <w:spacing w:line="276" w:lineRule="auto"/>
              <w:jc w:val="center"/>
              <w:rPr>
                <w:sz w:val="22"/>
                <w:szCs w:val="22"/>
                <w:lang w:eastAsia="en-US"/>
              </w:rPr>
            </w:pPr>
            <w:r w:rsidRPr="00352407">
              <w:rPr>
                <w:sz w:val="22"/>
                <w:szCs w:val="22"/>
              </w:rPr>
              <w:t>23 947,50</w:t>
            </w:r>
          </w:p>
        </w:tc>
      </w:tr>
      <w:tr w:rsidR="00F07E05" w:rsidRPr="00352407" w:rsidTr="008A253E">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Pr="00B8009B" w:rsidRDefault="00F07E05" w:rsidP="008A253E">
            <w:pPr>
              <w:shd w:val="clear" w:color="auto" w:fill="FFFFFF" w:themeFill="background1"/>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92-016</w:t>
            </w:r>
          </w:p>
        </w:tc>
        <w:tc>
          <w:tcPr>
            <w:tcW w:w="1459"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135,75</w:t>
            </w:r>
          </w:p>
        </w:tc>
        <w:tc>
          <w:tcPr>
            <w:tcW w:w="1450"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5</w:t>
            </w:r>
          </w:p>
        </w:tc>
        <w:tc>
          <w:tcPr>
            <w:tcW w:w="2195"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15.07.21 13.00-18.00</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07E05" w:rsidRPr="00352407" w:rsidRDefault="00F07E05" w:rsidP="008A253E">
            <w:pPr>
              <w:shd w:val="clear" w:color="auto" w:fill="FFFFFF" w:themeFill="background1"/>
              <w:spacing w:line="276" w:lineRule="auto"/>
              <w:jc w:val="center"/>
              <w:rPr>
                <w:sz w:val="22"/>
                <w:szCs w:val="22"/>
                <w:lang w:eastAsia="en-US"/>
              </w:rPr>
            </w:pPr>
            <w:r w:rsidRPr="00352407">
              <w:rPr>
                <w:sz w:val="22"/>
                <w:szCs w:val="22"/>
              </w:rPr>
              <w:t>21 672,49</w:t>
            </w:r>
          </w:p>
        </w:tc>
      </w:tr>
      <w:tr w:rsidR="00F07E05" w:rsidRPr="00352407" w:rsidTr="008A253E">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Pr="00B8009B" w:rsidRDefault="00F07E05" w:rsidP="008A253E">
            <w:pPr>
              <w:shd w:val="clear" w:color="auto" w:fill="FFFFFF" w:themeFill="background1"/>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302</w:t>
            </w:r>
          </w:p>
        </w:tc>
        <w:tc>
          <w:tcPr>
            <w:tcW w:w="1459"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129,15</w:t>
            </w:r>
          </w:p>
        </w:tc>
        <w:tc>
          <w:tcPr>
            <w:tcW w:w="1450"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6</w:t>
            </w:r>
          </w:p>
        </w:tc>
        <w:tc>
          <w:tcPr>
            <w:tcW w:w="2195"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02.08.21 08.00-14.00</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07E05" w:rsidRPr="00352407" w:rsidRDefault="00F07E05" w:rsidP="008A253E">
            <w:pPr>
              <w:shd w:val="clear" w:color="auto" w:fill="FFFFFF" w:themeFill="background1"/>
              <w:spacing w:line="276" w:lineRule="auto"/>
              <w:jc w:val="center"/>
              <w:rPr>
                <w:sz w:val="22"/>
                <w:szCs w:val="22"/>
                <w:lang w:eastAsia="en-US"/>
              </w:rPr>
            </w:pPr>
            <w:r w:rsidRPr="00352407">
              <w:rPr>
                <w:sz w:val="22"/>
                <w:szCs w:val="22"/>
              </w:rPr>
              <w:t>24 742,56</w:t>
            </w:r>
          </w:p>
        </w:tc>
      </w:tr>
      <w:tr w:rsidR="00F07E05" w:rsidRPr="00352407" w:rsidTr="008A253E">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Pr="00B8009B" w:rsidRDefault="00F07E05" w:rsidP="008A253E">
            <w:pPr>
              <w:shd w:val="clear" w:color="auto" w:fill="FFFFFF" w:themeFill="background1"/>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92-016</w:t>
            </w:r>
          </w:p>
        </w:tc>
        <w:tc>
          <w:tcPr>
            <w:tcW w:w="1459"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135,75</w:t>
            </w:r>
          </w:p>
        </w:tc>
        <w:tc>
          <w:tcPr>
            <w:tcW w:w="1450"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5</w:t>
            </w:r>
          </w:p>
        </w:tc>
        <w:tc>
          <w:tcPr>
            <w:tcW w:w="2195"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13.08.21 14.00-19.00</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07E05" w:rsidRPr="00352407" w:rsidRDefault="00F07E05" w:rsidP="008A253E">
            <w:pPr>
              <w:shd w:val="clear" w:color="auto" w:fill="FFFFFF" w:themeFill="background1"/>
              <w:spacing w:line="276" w:lineRule="auto"/>
              <w:jc w:val="center"/>
              <w:rPr>
                <w:sz w:val="22"/>
                <w:szCs w:val="22"/>
                <w:lang w:eastAsia="en-US"/>
              </w:rPr>
            </w:pPr>
            <w:r w:rsidRPr="00352407">
              <w:rPr>
                <w:sz w:val="22"/>
                <w:szCs w:val="22"/>
              </w:rPr>
              <w:t>21 672,49</w:t>
            </w:r>
          </w:p>
        </w:tc>
      </w:tr>
      <w:tr w:rsidR="00F07E05" w:rsidRPr="00352407" w:rsidTr="008A253E">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Pr="00B8009B" w:rsidRDefault="00F07E05" w:rsidP="008A253E">
            <w:pPr>
              <w:shd w:val="clear" w:color="auto" w:fill="FFFFFF" w:themeFill="background1"/>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sz w:val="22"/>
                <w:szCs w:val="22"/>
                <w:lang w:val="en-US" w:eastAsia="en-US"/>
              </w:rPr>
              <w:t>PV-25</w:t>
            </w:r>
          </w:p>
        </w:tc>
        <w:tc>
          <w:tcPr>
            <w:tcW w:w="1459"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110,08</w:t>
            </w:r>
          </w:p>
        </w:tc>
        <w:tc>
          <w:tcPr>
            <w:tcW w:w="1450"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6</w:t>
            </w:r>
          </w:p>
        </w:tc>
        <w:tc>
          <w:tcPr>
            <w:tcW w:w="2195"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10.09.21 09.00-15.00</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07E05" w:rsidRPr="00352407" w:rsidRDefault="00F07E05" w:rsidP="008A253E">
            <w:pPr>
              <w:shd w:val="clear" w:color="auto" w:fill="FFFFFF" w:themeFill="background1"/>
              <w:spacing w:line="276" w:lineRule="auto"/>
              <w:jc w:val="center"/>
              <w:rPr>
                <w:sz w:val="22"/>
                <w:szCs w:val="22"/>
                <w:lang w:eastAsia="en-US"/>
              </w:rPr>
            </w:pPr>
            <w:r w:rsidRPr="00352407">
              <w:rPr>
                <w:sz w:val="22"/>
                <w:szCs w:val="22"/>
              </w:rPr>
              <w:t>21 089,13</w:t>
            </w:r>
          </w:p>
        </w:tc>
      </w:tr>
      <w:tr w:rsidR="00F07E05" w:rsidRPr="00352407" w:rsidTr="008A253E">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Pr="00B8009B" w:rsidRDefault="00F07E05" w:rsidP="008A253E">
            <w:pPr>
              <w:shd w:val="clear" w:color="auto" w:fill="FFFFFF" w:themeFill="background1"/>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301</w:t>
            </w:r>
          </w:p>
        </w:tc>
        <w:tc>
          <w:tcPr>
            <w:tcW w:w="1459"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125</w:t>
            </w:r>
          </w:p>
        </w:tc>
        <w:tc>
          <w:tcPr>
            <w:tcW w:w="1450"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5</w:t>
            </w:r>
          </w:p>
        </w:tc>
        <w:tc>
          <w:tcPr>
            <w:tcW w:w="2195"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05.06.21 12.50-17.30</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07E05" w:rsidRPr="00352407" w:rsidRDefault="00F07E05" w:rsidP="008A253E">
            <w:pPr>
              <w:shd w:val="clear" w:color="auto" w:fill="FFFFFF" w:themeFill="background1"/>
              <w:spacing w:line="276" w:lineRule="auto"/>
              <w:jc w:val="center"/>
              <w:rPr>
                <w:sz w:val="22"/>
                <w:szCs w:val="22"/>
                <w:lang w:eastAsia="en-US"/>
              </w:rPr>
            </w:pPr>
            <w:r w:rsidRPr="00352407">
              <w:rPr>
                <w:sz w:val="22"/>
                <w:szCs w:val="22"/>
              </w:rPr>
              <w:t>19 956,25</w:t>
            </w:r>
          </w:p>
        </w:tc>
      </w:tr>
      <w:tr w:rsidR="00F07E05" w:rsidRPr="00352407" w:rsidTr="008A253E">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Pr="00B8009B" w:rsidRDefault="00F07E05" w:rsidP="008A253E">
            <w:pPr>
              <w:shd w:val="clear" w:color="auto" w:fill="FFFFFF" w:themeFill="background1"/>
              <w:spacing w:line="276" w:lineRule="auto"/>
              <w:rPr>
                <w:color w:val="000000"/>
                <w:lang w:eastAsia="en-US"/>
              </w:rPr>
            </w:pPr>
          </w:p>
        </w:tc>
        <w:tc>
          <w:tcPr>
            <w:tcW w:w="3018" w:type="dxa"/>
            <w:gridSpan w:val="2"/>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right"/>
              <w:rPr>
                <w:color w:val="000000"/>
                <w:lang w:eastAsia="en-US"/>
              </w:rPr>
            </w:pPr>
            <w:r w:rsidRPr="00B8009B">
              <w:rPr>
                <w:b/>
                <w:bCs/>
                <w:color w:val="000000"/>
                <w:sz w:val="22"/>
                <w:szCs w:val="22"/>
                <w:lang w:eastAsia="en-US"/>
              </w:rPr>
              <w:t>ИТОГО:</w:t>
            </w:r>
          </w:p>
        </w:tc>
        <w:tc>
          <w:tcPr>
            <w:tcW w:w="1450" w:type="dxa"/>
            <w:tcBorders>
              <w:top w:val="single" w:sz="4" w:space="0" w:color="auto"/>
              <w:left w:val="single" w:sz="4" w:space="0" w:color="auto"/>
              <w:bottom w:val="single" w:sz="4" w:space="0" w:color="auto"/>
              <w:right w:val="single" w:sz="4" w:space="0" w:color="auto"/>
            </w:tcBorders>
            <w:noWrap/>
            <w:vAlign w:val="bottom"/>
            <w:hideMark/>
          </w:tcPr>
          <w:p w:rsidR="00F07E05" w:rsidRPr="00B01DB8" w:rsidRDefault="00F07E05" w:rsidP="008A253E">
            <w:pPr>
              <w:shd w:val="clear" w:color="auto" w:fill="FFFFFF" w:themeFill="background1"/>
              <w:spacing w:line="276" w:lineRule="auto"/>
              <w:jc w:val="center"/>
              <w:rPr>
                <w:b/>
                <w:bCs/>
                <w:color w:val="000000"/>
                <w:lang w:eastAsia="en-US"/>
              </w:rPr>
            </w:pPr>
            <w:r w:rsidRPr="00B01DB8">
              <w:rPr>
                <w:b/>
                <w:bCs/>
                <w:color w:val="000000"/>
                <w:sz w:val="22"/>
                <w:szCs w:val="22"/>
                <w:lang w:eastAsia="en-US"/>
              </w:rPr>
              <w:t>210,5</w:t>
            </w:r>
          </w:p>
        </w:tc>
        <w:tc>
          <w:tcPr>
            <w:tcW w:w="2195"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right"/>
              <w:rPr>
                <w:color w:val="000000"/>
                <w:lang w:eastAsia="en-US"/>
              </w:rPr>
            </w:pPr>
            <w:r w:rsidRPr="00B8009B">
              <w:rPr>
                <w:b/>
                <w:bCs/>
                <w:color w:val="000000"/>
                <w:sz w:val="22"/>
                <w:szCs w:val="22"/>
                <w:lang w:eastAsia="en-US"/>
              </w:rPr>
              <w:t>ИТОГО:</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07E05" w:rsidRPr="00352407" w:rsidRDefault="00F07E05" w:rsidP="008A253E">
            <w:pPr>
              <w:shd w:val="clear" w:color="auto" w:fill="FFFFFF" w:themeFill="background1"/>
              <w:spacing w:line="276" w:lineRule="auto"/>
              <w:jc w:val="center"/>
              <w:rPr>
                <w:b/>
                <w:bCs/>
                <w:sz w:val="22"/>
                <w:szCs w:val="22"/>
                <w:lang w:eastAsia="en-US"/>
              </w:rPr>
            </w:pPr>
            <w:r w:rsidRPr="00352407">
              <w:rPr>
                <w:b/>
                <w:bCs/>
                <w:sz w:val="22"/>
                <w:szCs w:val="22"/>
                <w:lang w:eastAsia="en-US"/>
              </w:rPr>
              <w:t>884 447,94</w:t>
            </w:r>
          </w:p>
        </w:tc>
      </w:tr>
      <w:tr w:rsidR="00F07E05" w:rsidRPr="00352407" w:rsidTr="008A253E">
        <w:trPr>
          <w:trHeight w:val="330"/>
        </w:trPr>
        <w:tc>
          <w:tcPr>
            <w:tcW w:w="2552" w:type="dxa"/>
            <w:vMerge w:val="restart"/>
            <w:tcBorders>
              <w:top w:val="single" w:sz="4" w:space="0" w:color="auto"/>
              <w:left w:val="single" w:sz="4" w:space="0" w:color="auto"/>
              <w:bottom w:val="single" w:sz="4" w:space="0" w:color="auto"/>
              <w:right w:val="single" w:sz="4" w:space="0" w:color="auto"/>
            </w:tcBorders>
            <w:noWrap/>
            <w:vAlign w:val="center"/>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ООО «Речфлот Республики Башкортостан»</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305</w:t>
            </w:r>
          </w:p>
        </w:tc>
        <w:tc>
          <w:tcPr>
            <w:tcW w:w="1459"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77,87</w:t>
            </w:r>
          </w:p>
        </w:tc>
        <w:tc>
          <w:tcPr>
            <w:tcW w:w="1450"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lang w:eastAsia="en-US"/>
              </w:rPr>
              <w:t>6</w:t>
            </w:r>
          </w:p>
        </w:tc>
        <w:tc>
          <w:tcPr>
            <w:tcW w:w="2195"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01.05.21 11.10-16.30</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07E05" w:rsidRPr="00352407" w:rsidRDefault="00F07E05" w:rsidP="008A253E">
            <w:pPr>
              <w:shd w:val="clear" w:color="auto" w:fill="FFFFFF" w:themeFill="background1"/>
              <w:spacing w:line="276" w:lineRule="auto"/>
              <w:jc w:val="center"/>
              <w:rPr>
                <w:sz w:val="22"/>
                <w:szCs w:val="22"/>
                <w:lang w:eastAsia="en-US"/>
              </w:rPr>
            </w:pPr>
            <w:r w:rsidRPr="00352407">
              <w:rPr>
                <w:sz w:val="22"/>
                <w:szCs w:val="22"/>
              </w:rPr>
              <w:t>14 918,33</w:t>
            </w:r>
          </w:p>
        </w:tc>
      </w:tr>
      <w:tr w:rsidR="00F07E05" w:rsidRPr="00352407" w:rsidTr="008A253E">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Pr="00B8009B" w:rsidRDefault="00F07E05" w:rsidP="008A253E">
            <w:pPr>
              <w:shd w:val="clear" w:color="auto" w:fill="FFFFFF" w:themeFill="background1"/>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305</w:t>
            </w:r>
          </w:p>
        </w:tc>
        <w:tc>
          <w:tcPr>
            <w:tcW w:w="1459"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77,87</w:t>
            </w:r>
          </w:p>
        </w:tc>
        <w:tc>
          <w:tcPr>
            <w:tcW w:w="1450"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lang w:eastAsia="en-US"/>
              </w:rPr>
              <w:t>4</w:t>
            </w:r>
          </w:p>
        </w:tc>
        <w:tc>
          <w:tcPr>
            <w:tcW w:w="2195"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08.05.21 14.30-18.20</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07E05" w:rsidRPr="00352407" w:rsidRDefault="00F07E05" w:rsidP="008A253E">
            <w:pPr>
              <w:shd w:val="clear" w:color="auto" w:fill="FFFFFF" w:themeFill="background1"/>
              <w:spacing w:line="276" w:lineRule="auto"/>
              <w:jc w:val="center"/>
              <w:rPr>
                <w:sz w:val="22"/>
                <w:szCs w:val="22"/>
                <w:lang w:eastAsia="en-US"/>
              </w:rPr>
            </w:pPr>
            <w:r w:rsidRPr="00352407">
              <w:rPr>
                <w:sz w:val="22"/>
                <w:szCs w:val="22"/>
              </w:rPr>
              <w:t>9 945,56</w:t>
            </w:r>
          </w:p>
        </w:tc>
      </w:tr>
      <w:tr w:rsidR="00F07E05" w:rsidRPr="00352407" w:rsidTr="008A253E">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Pr="00B8009B" w:rsidRDefault="00F07E05" w:rsidP="008A253E">
            <w:pPr>
              <w:shd w:val="clear" w:color="auto" w:fill="FFFFFF" w:themeFill="background1"/>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305</w:t>
            </w:r>
          </w:p>
        </w:tc>
        <w:tc>
          <w:tcPr>
            <w:tcW w:w="1459"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77,87</w:t>
            </w:r>
          </w:p>
        </w:tc>
        <w:tc>
          <w:tcPr>
            <w:tcW w:w="1450"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lang w:eastAsia="en-US"/>
              </w:rPr>
              <w:t>9</w:t>
            </w:r>
          </w:p>
        </w:tc>
        <w:tc>
          <w:tcPr>
            <w:tcW w:w="2195"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04.09.21 15.30-23.59</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07E05" w:rsidRPr="00352407" w:rsidRDefault="00F07E05" w:rsidP="008A253E">
            <w:pPr>
              <w:shd w:val="clear" w:color="auto" w:fill="FFFFFF" w:themeFill="background1"/>
              <w:spacing w:line="276" w:lineRule="auto"/>
              <w:jc w:val="center"/>
              <w:rPr>
                <w:sz w:val="22"/>
                <w:szCs w:val="22"/>
                <w:lang w:eastAsia="en-US"/>
              </w:rPr>
            </w:pPr>
            <w:r w:rsidRPr="00352407">
              <w:rPr>
                <w:sz w:val="22"/>
                <w:szCs w:val="22"/>
              </w:rPr>
              <w:t>22 377,50</w:t>
            </w:r>
          </w:p>
        </w:tc>
      </w:tr>
      <w:tr w:rsidR="00F07E05" w:rsidRPr="00352407" w:rsidTr="008A253E">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Pr="00B8009B" w:rsidRDefault="00F07E05" w:rsidP="008A253E">
            <w:pPr>
              <w:shd w:val="clear" w:color="auto" w:fill="FFFFFF" w:themeFill="background1"/>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305</w:t>
            </w:r>
          </w:p>
        </w:tc>
        <w:tc>
          <w:tcPr>
            <w:tcW w:w="1459"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77,87</w:t>
            </w:r>
          </w:p>
        </w:tc>
        <w:tc>
          <w:tcPr>
            <w:tcW w:w="1450"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lang w:eastAsia="en-US"/>
              </w:rPr>
              <w:t>11</w:t>
            </w:r>
          </w:p>
        </w:tc>
        <w:tc>
          <w:tcPr>
            <w:tcW w:w="2195"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11.09.21 13.00-23.59</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07E05" w:rsidRPr="00352407" w:rsidRDefault="00F07E05" w:rsidP="008A253E">
            <w:pPr>
              <w:shd w:val="clear" w:color="auto" w:fill="FFFFFF" w:themeFill="background1"/>
              <w:spacing w:line="276" w:lineRule="auto"/>
              <w:jc w:val="center"/>
              <w:rPr>
                <w:sz w:val="22"/>
                <w:szCs w:val="22"/>
                <w:lang w:eastAsia="en-US"/>
              </w:rPr>
            </w:pPr>
            <w:r w:rsidRPr="00352407">
              <w:rPr>
                <w:sz w:val="22"/>
                <w:szCs w:val="22"/>
              </w:rPr>
              <w:t>27 350,28</w:t>
            </w:r>
          </w:p>
        </w:tc>
      </w:tr>
      <w:tr w:rsidR="00F07E05" w:rsidRPr="00352407" w:rsidTr="008A253E">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Pr="00B8009B" w:rsidRDefault="00F07E05" w:rsidP="008A253E">
            <w:pPr>
              <w:shd w:val="clear" w:color="auto" w:fill="FFFFFF" w:themeFill="background1"/>
              <w:spacing w:line="276" w:lineRule="auto"/>
              <w:rPr>
                <w:color w:val="000000"/>
                <w:lang w:eastAsia="en-US"/>
              </w:rPr>
            </w:pPr>
          </w:p>
        </w:tc>
        <w:tc>
          <w:tcPr>
            <w:tcW w:w="3018" w:type="dxa"/>
            <w:gridSpan w:val="2"/>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right"/>
              <w:rPr>
                <w:color w:val="000000"/>
                <w:lang w:eastAsia="en-US"/>
              </w:rPr>
            </w:pPr>
            <w:r w:rsidRPr="00B8009B">
              <w:rPr>
                <w:b/>
                <w:bCs/>
                <w:color w:val="000000"/>
                <w:sz w:val="22"/>
                <w:szCs w:val="22"/>
                <w:lang w:eastAsia="en-US"/>
              </w:rPr>
              <w:t>ИТОГО:</w:t>
            </w:r>
          </w:p>
        </w:tc>
        <w:tc>
          <w:tcPr>
            <w:tcW w:w="1450" w:type="dxa"/>
            <w:tcBorders>
              <w:top w:val="single" w:sz="4" w:space="0" w:color="auto"/>
              <w:left w:val="single" w:sz="4" w:space="0" w:color="auto"/>
              <w:bottom w:val="single" w:sz="4" w:space="0" w:color="auto"/>
              <w:right w:val="single" w:sz="4" w:space="0" w:color="auto"/>
            </w:tcBorders>
            <w:noWrap/>
            <w:vAlign w:val="bottom"/>
            <w:hideMark/>
          </w:tcPr>
          <w:p w:rsidR="00F07E05" w:rsidRPr="00B01DB8" w:rsidRDefault="00F07E05" w:rsidP="008A253E">
            <w:pPr>
              <w:shd w:val="clear" w:color="auto" w:fill="FFFFFF" w:themeFill="background1"/>
              <w:spacing w:line="276" w:lineRule="auto"/>
              <w:jc w:val="center"/>
              <w:rPr>
                <w:b/>
                <w:bCs/>
                <w:color w:val="000000"/>
                <w:lang w:eastAsia="en-US"/>
              </w:rPr>
            </w:pPr>
            <w:r w:rsidRPr="00B01DB8">
              <w:rPr>
                <w:b/>
                <w:bCs/>
                <w:color w:val="000000"/>
                <w:lang w:eastAsia="en-US"/>
              </w:rPr>
              <w:t>30</w:t>
            </w:r>
          </w:p>
        </w:tc>
        <w:tc>
          <w:tcPr>
            <w:tcW w:w="2195"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right"/>
              <w:rPr>
                <w:color w:val="000000"/>
                <w:lang w:eastAsia="en-US"/>
              </w:rPr>
            </w:pPr>
            <w:r w:rsidRPr="00B8009B">
              <w:rPr>
                <w:b/>
                <w:bCs/>
                <w:color w:val="000000"/>
                <w:sz w:val="22"/>
                <w:szCs w:val="22"/>
                <w:lang w:eastAsia="en-US"/>
              </w:rPr>
              <w:t>ИТОГО:</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07E05" w:rsidRPr="00352407" w:rsidRDefault="00F07E05" w:rsidP="008A253E">
            <w:pPr>
              <w:shd w:val="clear" w:color="auto" w:fill="FFFFFF" w:themeFill="background1"/>
              <w:spacing w:line="276" w:lineRule="auto"/>
              <w:jc w:val="center"/>
              <w:rPr>
                <w:b/>
                <w:bCs/>
                <w:sz w:val="22"/>
                <w:szCs w:val="22"/>
                <w:lang w:eastAsia="en-US"/>
              </w:rPr>
            </w:pPr>
            <w:r w:rsidRPr="00352407">
              <w:rPr>
                <w:b/>
                <w:bCs/>
                <w:sz w:val="22"/>
                <w:szCs w:val="22"/>
                <w:lang w:eastAsia="en-US"/>
              </w:rPr>
              <w:t>74 591,67</w:t>
            </w:r>
          </w:p>
        </w:tc>
      </w:tr>
      <w:tr w:rsidR="00F07E05" w:rsidRPr="00C65402" w:rsidTr="008A253E">
        <w:trPr>
          <w:trHeight w:val="330"/>
        </w:trPr>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ООО «СК «Тектоника»</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Буровой понтон</w:t>
            </w:r>
          </w:p>
        </w:tc>
        <w:tc>
          <w:tcPr>
            <w:tcW w:w="1459"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11,8</w:t>
            </w:r>
          </w:p>
        </w:tc>
        <w:tc>
          <w:tcPr>
            <w:tcW w:w="1450"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15</w:t>
            </w:r>
          </w:p>
        </w:tc>
        <w:tc>
          <w:tcPr>
            <w:tcW w:w="2195"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07.08.21 09.00-23.59</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07E05" w:rsidRPr="00C65402" w:rsidRDefault="00F07E05" w:rsidP="008A253E">
            <w:pPr>
              <w:shd w:val="clear" w:color="auto" w:fill="FFFFFF" w:themeFill="background1"/>
              <w:spacing w:line="276" w:lineRule="auto"/>
              <w:jc w:val="center"/>
              <w:rPr>
                <w:lang w:eastAsia="en-US"/>
              </w:rPr>
            </w:pPr>
            <w:r>
              <w:rPr>
                <w:color w:val="000000"/>
                <w:sz w:val="22"/>
                <w:szCs w:val="22"/>
              </w:rPr>
              <w:t>5 651,61</w:t>
            </w:r>
          </w:p>
        </w:tc>
      </w:tr>
      <w:tr w:rsidR="00F07E05" w:rsidRPr="00C65402" w:rsidTr="008A253E">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Pr="00B8009B" w:rsidRDefault="00F07E05" w:rsidP="008A253E">
            <w:pPr>
              <w:shd w:val="clear" w:color="auto" w:fill="FFFFFF" w:themeFill="background1"/>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Буровой понтон</w:t>
            </w:r>
          </w:p>
        </w:tc>
        <w:tc>
          <w:tcPr>
            <w:tcW w:w="1459"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11.8</w:t>
            </w:r>
          </w:p>
        </w:tc>
        <w:tc>
          <w:tcPr>
            <w:tcW w:w="1450"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10</w:t>
            </w:r>
          </w:p>
        </w:tc>
        <w:tc>
          <w:tcPr>
            <w:tcW w:w="2195"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08.05.21 00.00-09.30</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07E05" w:rsidRPr="00C65402" w:rsidRDefault="00F07E05" w:rsidP="008A253E">
            <w:pPr>
              <w:shd w:val="clear" w:color="auto" w:fill="FFFFFF" w:themeFill="background1"/>
              <w:spacing w:line="276" w:lineRule="auto"/>
              <w:jc w:val="center"/>
              <w:rPr>
                <w:lang w:eastAsia="en-US"/>
              </w:rPr>
            </w:pPr>
            <w:r>
              <w:rPr>
                <w:color w:val="000000"/>
                <w:sz w:val="22"/>
                <w:szCs w:val="22"/>
              </w:rPr>
              <w:t>3 767,74</w:t>
            </w:r>
          </w:p>
        </w:tc>
      </w:tr>
      <w:tr w:rsidR="00F07E05" w:rsidRPr="00B330CE" w:rsidTr="008A253E">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Pr="00B8009B" w:rsidRDefault="00F07E05" w:rsidP="008A253E">
            <w:pPr>
              <w:shd w:val="clear" w:color="auto" w:fill="FFFFFF" w:themeFill="background1"/>
              <w:spacing w:line="276" w:lineRule="auto"/>
              <w:rPr>
                <w:color w:val="000000"/>
                <w:lang w:eastAsia="en-US"/>
              </w:rPr>
            </w:pPr>
          </w:p>
        </w:tc>
        <w:tc>
          <w:tcPr>
            <w:tcW w:w="3018" w:type="dxa"/>
            <w:gridSpan w:val="2"/>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right"/>
              <w:rPr>
                <w:color w:val="000000"/>
                <w:lang w:eastAsia="en-US"/>
              </w:rPr>
            </w:pPr>
            <w:r w:rsidRPr="00B8009B">
              <w:rPr>
                <w:b/>
                <w:bCs/>
                <w:color w:val="000000"/>
                <w:sz w:val="22"/>
                <w:szCs w:val="22"/>
                <w:lang w:eastAsia="en-US"/>
              </w:rPr>
              <w:t>ИТОГО:</w:t>
            </w:r>
          </w:p>
        </w:tc>
        <w:tc>
          <w:tcPr>
            <w:tcW w:w="1450"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b/>
                <w:bCs/>
                <w:color w:val="000000"/>
                <w:sz w:val="22"/>
                <w:szCs w:val="22"/>
                <w:lang w:eastAsia="en-US"/>
              </w:rPr>
              <w:t>25</w:t>
            </w:r>
          </w:p>
        </w:tc>
        <w:tc>
          <w:tcPr>
            <w:tcW w:w="2195"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right"/>
              <w:rPr>
                <w:color w:val="000000"/>
                <w:lang w:eastAsia="en-US"/>
              </w:rPr>
            </w:pPr>
            <w:r w:rsidRPr="00B8009B">
              <w:rPr>
                <w:b/>
                <w:bCs/>
                <w:color w:val="000000"/>
                <w:sz w:val="22"/>
                <w:szCs w:val="22"/>
                <w:lang w:eastAsia="en-US"/>
              </w:rPr>
              <w:t>ИТОГО:</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07E05" w:rsidRPr="00B330CE" w:rsidRDefault="00F07E05" w:rsidP="008A253E">
            <w:pPr>
              <w:shd w:val="clear" w:color="auto" w:fill="FFFFFF" w:themeFill="background1"/>
              <w:spacing w:line="276" w:lineRule="auto"/>
              <w:jc w:val="center"/>
              <w:rPr>
                <w:b/>
                <w:bCs/>
                <w:sz w:val="22"/>
                <w:szCs w:val="22"/>
                <w:lang w:eastAsia="en-US"/>
              </w:rPr>
            </w:pPr>
            <w:r w:rsidRPr="00B330CE">
              <w:rPr>
                <w:b/>
                <w:bCs/>
                <w:sz w:val="22"/>
                <w:szCs w:val="22"/>
                <w:lang w:eastAsia="en-US"/>
              </w:rPr>
              <w:t>9 419,35</w:t>
            </w:r>
          </w:p>
        </w:tc>
      </w:tr>
      <w:tr w:rsidR="00F07E05" w:rsidRPr="00B330CE" w:rsidTr="008A253E">
        <w:trPr>
          <w:trHeight w:val="330"/>
        </w:trPr>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ОАО «Московский туристический флот»</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301</w:t>
            </w:r>
          </w:p>
        </w:tc>
        <w:tc>
          <w:tcPr>
            <w:tcW w:w="1459"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125</w:t>
            </w:r>
          </w:p>
        </w:tc>
        <w:tc>
          <w:tcPr>
            <w:tcW w:w="1450"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7</w:t>
            </w:r>
          </w:p>
        </w:tc>
        <w:tc>
          <w:tcPr>
            <w:tcW w:w="2195"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01.05.21 09.00-16.00</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07E05" w:rsidRPr="00B330CE" w:rsidRDefault="00F07E05" w:rsidP="008A253E">
            <w:pPr>
              <w:shd w:val="clear" w:color="auto" w:fill="FFFFFF" w:themeFill="background1"/>
              <w:spacing w:line="276" w:lineRule="auto"/>
              <w:jc w:val="center"/>
              <w:rPr>
                <w:sz w:val="22"/>
                <w:szCs w:val="22"/>
                <w:lang w:eastAsia="en-US"/>
              </w:rPr>
            </w:pPr>
            <w:r w:rsidRPr="00B330CE">
              <w:rPr>
                <w:sz w:val="22"/>
                <w:szCs w:val="22"/>
              </w:rPr>
              <w:t>27 938,75</w:t>
            </w:r>
          </w:p>
        </w:tc>
      </w:tr>
      <w:tr w:rsidR="00F07E05" w:rsidRPr="00B330CE" w:rsidTr="008A253E">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Pr="00B8009B" w:rsidRDefault="00F07E05" w:rsidP="008A253E">
            <w:pPr>
              <w:shd w:val="clear" w:color="auto" w:fill="FFFFFF" w:themeFill="background1"/>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301</w:t>
            </w:r>
          </w:p>
        </w:tc>
        <w:tc>
          <w:tcPr>
            <w:tcW w:w="1459"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125</w:t>
            </w:r>
          </w:p>
        </w:tc>
        <w:tc>
          <w:tcPr>
            <w:tcW w:w="1450"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8</w:t>
            </w:r>
          </w:p>
        </w:tc>
        <w:tc>
          <w:tcPr>
            <w:tcW w:w="2195"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08.05.21 08.40-16.00</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07E05" w:rsidRPr="00B330CE" w:rsidRDefault="00F07E05" w:rsidP="008A253E">
            <w:pPr>
              <w:shd w:val="clear" w:color="auto" w:fill="FFFFFF" w:themeFill="background1"/>
              <w:spacing w:line="276" w:lineRule="auto"/>
              <w:jc w:val="center"/>
              <w:rPr>
                <w:sz w:val="22"/>
                <w:szCs w:val="22"/>
                <w:lang w:eastAsia="en-US"/>
              </w:rPr>
            </w:pPr>
            <w:r w:rsidRPr="00B330CE">
              <w:rPr>
                <w:sz w:val="22"/>
                <w:szCs w:val="22"/>
              </w:rPr>
              <w:t>31 930,00</w:t>
            </w:r>
          </w:p>
        </w:tc>
      </w:tr>
      <w:tr w:rsidR="00F07E05" w:rsidRPr="00B330CE" w:rsidTr="008A253E">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Pr="00B8009B" w:rsidRDefault="00F07E05" w:rsidP="008A253E">
            <w:pPr>
              <w:shd w:val="clear" w:color="auto" w:fill="FFFFFF" w:themeFill="background1"/>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301</w:t>
            </w:r>
          </w:p>
        </w:tc>
        <w:tc>
          <w:tcPr>
            <w:tcW w:w="1459"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125</w:t>
            </w:r>
          </w:p>
        </w:tc>
        <w:tc>
          <w:tcPr>
            <w:tcW w:w="1450"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9</w:t>
            </w:r>
          </w:p>
        </w:tc>
        <w:tc>
          <w:tcPr>
            <w:tcW w:w="2195"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21.07.21 14.30-23.00</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07E05" w:rsidRPr="00B330CE" w:rsidRDefault="00F07E05" w:rsidP="008A253E">
            <w:pPr>
              <w:shd w:val="clear" w:color="auto" w:fill="FFFFFF" w:themeFill="background1"/>
              <w:spacing w:line="276" w:lineRule="auto"/>
              <w:jc w:val="center"/>
              <w:rPr>
                <w:sz w:val="22"/>
                <w:szCs w:val="22"/>
                <w:lang w:eastAsia="en-US"/>
              </w:rPr>
            </w:pPr>
            <w:r w:rsidRPr="00B330CE">
              <w:rPr>
                <w:sz w:val="22"/>
                <w:szCs w:val="22"/>
              </w:rPr>
              <w:t>35 921,25</w:t>
            </w:r>
          </w:p>
        </w:tc>
      </w:tr>
      <w:tr w:rsidR="00F07E05" w:rsidRPr="00B330CE" w:rsidTr="008A253E">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Pr="00B8009B" w:rsidRDefault="00F07E05" w:rsidP="008A253E">
            <w:pPr>
              <w:shd w:val="clear" w:color="auto" w:fill="FFFFFF" w:themeFill="background1"/>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sz w:val="22"/>
                <w:szCs w:val="22"/>
                <w:lang w:val="en-US" w:eastAsia="en-US"/>
              </w:rPr>
              <w:t>PV-08</w:t>
            </w:r>
          </w:p>
        </w:tc>
        <w:tc>
          <w:tcPr>
            <w:tcW w:w="1459"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90,1</w:t>
            </w:r>
          </w:p>
        </w:tc>
        <w:tc>
          <w:tcPr>
            <w:tcW w:w="1450"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11</w:t>
            </w:r>
          </w:p>
        </w:tc>
        <w:tc>
          <w:tcPr>
            <w:tcW w:w="2195"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02.05.21 08.50-19.00</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07E05" w:rsidRPr="00B330CE" w:rsidRDefault="00F07E05" w:rsidP="008A253E">
            <w:pPr>
              <w:shd w:val="clear" w:color="auto" w:fill="FFFFFF" w:themeFill="background1"/>
              <w:spacing w:line="276" w:lineRule="auto"/>
              <w:jc w:val="center"/>
              <w:rPr>
                <w:sz w:val="22"/>
                <w:szCs w:val="22"/>
                <w:lang w:eastAsia="en-US"/>
              </w:rPr>
            </w:pPr>
            <w:r w:rsidRPr="00B330CE">
              <w:rPr>
                <w:sz w:val="22"/>
                <w:szCs w:val="22"/>
              </w:rPr>
              <w:t>31 645,82</w:t>
            </w:r>
          </w:p>
        </w:tc>
      </w:tr>
      <w:tr w:rsidR="00F07E05" w:rsidRPr="00B330CE" w:rsidTr="008A253E">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Pr="00B8009B" w:rsidRDefault="00F07E05" w:rsidP="008A253E">
            <w:pPr>
              <w:shd w:val="clear" w:color="auto" w:fill="FFFFFF" w:themeFill="background1"/>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sz w:val="22"/>
                <w:szCs w:val="22"/>
                <w:lang w:val="en-US" w:eastAsia="en-US"/>
              </w:rPr>
              <w:t>PV-08</w:t>
            </w:r>
          </w:p>
        </w:tc>
        <w:tc>
          <w:tcPr>
            <w:tcW w:w="1459"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90,1</w:t>
            </w:r>
          </w:p>
        </w:tc>
        <w:tc>
          <w:tcPr>
            <w:tcW w:w="1450"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7</w:t>
            </w:r>
          </w:p>
        </w:tc>
        <w:tc>
          <w:tcPr>
            <w:tcW w:w="2195"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03.09.21 13.00-20.00</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07E05" w:rsidRPr="00B330CE" w:rsidRDefault="00F07E05" w:rsidP="008A253E">
            <w:pPr>
              <w:shd w:val="clear" w:color="auto" w:fill="FFFFFF" w:themeFill="background1"/>
              <w:spacing w:line="276" w:lineRule="auto"/>
              <w:jc w:val="center"/>
              <w:rPr>
                <w:sz w:val="22"/>
                <w:szCs w:val="22"/>
                <w:lang w:eastAsia="en-US"/>
              </w:rPr>
            </w:pPr>
            <w:r w:rsidRPr="00B330CE">
              <w:rPr>
                <w:sz w:val="22"/>
                <w:szCs w:val="22"/>
              </w:rPr>
              <w:t>20 138,25</w:t>
            </w:r>
          </w:p>
        </w:tc>
      </w:tr>
      <w:tr w:rsidR="00F07E05" w:rsidRPr="00B330CE" w:rsidTr="008A253E">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Pr="00B8009B" w:rsidRDefault="00F07E05" w:rsidP="008A253E">
            <w:pPr>
              <w:shd w:val="clear" w:color="auto" w:fill="FFFFFF" w:themeFill="background1"/>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301</w:t>
            </w:r>
          </w:p>
        </w:tc>
        <w:tc>
          <w:tcPr>
            <w:tcW w:w="1459"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124,87</w:t>
            </w:r>
          </w:p>
        </w:tc>
        <w:tc>
          <w:tcPr>
            <w:tcW w:w="1450"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1,5</w:t>
            </w:r>
          </w:p>
        </w:tc>
        <w:tc>
          <w:tcPr>
            <w:tcW w:w="2195"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02.05.21 15.40-19.00</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07E05" w:rsidRPr="00B330CE" w:rsidRDefault="00F07E05" w:rsidP="008A253E">
            <w:pPr>
              <w:shd w:val="clear" w:color="auto" w:fill="FFFFFF" w:themeFill="background1"/>
              <w:spacing w:line="276" w:lineRule="auto"/>
              <w:jc w:val="center"/>
              <w:rPr>
                <w:sz w:val="22"/>
                <w:szCs w:val="22"/>
                <w:lang w:eastAsia="en-US"/>
              </w:rPr>
            </w:pPr>
            <w:r w:rsidRPr="00B330CE">
              <w:rPr>
                <w:sz w:val="22"/>
                <w:szCs w:val="22"/>
              </w:rPr>
              <w:t>5 980,65</w:t>
            </w:r>
          </w:p>
        </w:tc>
      </w:tr>
      <w:tr w:rsidR="00F07E05" w:rsidRPr="00B330CE" w:rsidTr="008A253E">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Pr="00B8009B" w:rsidRDefault="00F07E05" w:rsidP="008A253E">
            <w:pPr>
              <w:shd w:val="clear" w:color="auto" w:fill="FFFFFF" w:themeFill="background1"/>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301</w:t>
            </w:r>
          </w:p>
        </w:tc>
        <w:tc>
          <w:tcPr>
            <w:tcW w:w="1459"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124,87</w:t>
            </w:r>
          </w:p>
        </w:tc>
        <w:tc>
          <w:tcPr>
            <w:tcW w:w="1450"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4</w:t>
            </w:r>
          </w:p>
        </w:tc>
        <w:tc>
          <w:tcPr>
            <w:tcW w:w="2195"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08.05.2113.50-18.00</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07E05" w:rsidRPr="00B330CE" w:rsidRDefault="00F07E05" w:rsidP="008A253E">
            <w:pPr>
              <w:shd w:val="clear" w:color="auto" w:fill="FFFFFF" w:themeFill="background1"/>
              <w:spacing w:line="276" w:lineRule="auto"/>
              <w:jc w:val="center"/>
              <w:rPr>
                <w:sz w:val="22"/>
                <w:szCs w:val="22"/>
                <w:lang w:eastAsia="en-US"/>
              </w:rPr>
            </w:pPr>
            <w:r w:rsidRPr="00B330CE">
              <w:rPr>
                <w:sz w:val="22"/>
                <w:szCs w:val="22"/>
              </w:rPr>
              <w:t>15 948,40</w:t>
            </w:r>
          </w:p>
        </w:tc>
      </w:tr>
      <w:tr w:rsidR="00F07E05" w:rsidRPr="00B330CE" w:rsidTr="008A253E">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Pr="00B8009B" w:rsidRDefault="00F07E05" w:rsidP="008A253E">
            <w:pPr>
              <w:shd w:val="clear" w:color="auto" w:fill="FFFFFF" w:themeFill="background1"/>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302</w:t>
            </w:r>
          </w:p>
        </w:tc>
        <w:tc>
          <w:tcPr>
            <w:tcW w:w="1459"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129,15</w:t>
            </w:r>
          </w:p>
        </w:tc>
        <w:tc>
          <w:tcPr>
            <w:tcW w:w="1450"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7</w:t>
            </w:r>
          </w:p>
        </w:tc>
        <w:tc>
          <w:tcPr>
            <w:tcW w:w="2195"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09.05.21 12.30-19.00</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07E05" w:rsidRPr="00B330CE" w:rsidRDefault="00F07E05" w:rsidP="008A253E">
            <w:pPr>
              <w:shd w:val="clear" w:color="auto" w:fill="FFFFFF" w:themeFill="background1"/>
              <w:spacing w:line="276" w:lineRule="auto"/>
              <w:jc w:val="center"/>
              <w:rPr>
                <w:sz w:val="22"/>
                <w:szCs w:val="22"/>
                <w:lang w:eastAsia="en-US"/>
              </w:rPr>
            </w:pPr>
            <w:r w:rsidRPr="00B330CE">
              <w:rPr>
                <w:sz w:val="22"/>
                <w:szCs w:val="22"/>
              </w:rPr>
              <w:t>28 866,32</w:t>
            </w:r>
          </w:p>
        </w:tc>
      </w:tr>
      <w:tr w:rsidR="00F07E05" w:rsidRPr="00B330CE" w:rsidTr="008A253E">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Pr="00B8009B" w:rsidRDefault="00F07E05" w:rsidP="008A253E">
            <w:pPr>
              <w:shd w:val="clear" w:color="auto" w:fill="FFFFFF" w:themeFill="background1"/>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302</w:t>
            </w:r>
          </w:p>
        </w:tc>
        <w:tc>
          <w:tcPr>
            <w:tcW w:w="1459"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129,15</w:t>
            </w:r>
          </w:p>
        </w:tc>
        <w:tc>
          <w:tcPr>
            <w:tcW w:w="1450"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7</w:t>
            </w:r>
          </w:p>
        </w:tc>
        <w:tc>
          <w:tcPr>
            <w:tcW w:w="2195"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06.06.21 13.50-20.00</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07E05" w:rsidRPr="00B330CE" w:rsidRDefault="00F07E05" w:rsidP="008A253E">
            <w:pPr>
              <w:shd w:val="clear" w:color="auto" w:fill="FFFFFF" w:themeFill="background1"/>
              <w:spacing w:line="276" w:lineRule="auto"/>
              <w:jc w:val="center"/>
              <w:rPr>
                <w:sz w:val="22"/>
                <w:szCs w:val="22"/>
                <w:lang w:eastAsia="en-US"/>
              </w:rPr>
            </w:pPr>
            <w:r w:rsidRPr="00B330CE">
              <w:rPr>
                <w:sz w:val="22"/>
                <w:szCs w:val="22"/>
              </w:rPr>
              <w:t>28 866,32</w:t>
            </w:r>
          </w:p>
        </w:tc>
      </w:tr>
      <w:tr w:rsidR="00F07E05" w:rsidRPr="00B330CE" w:rsidTr="008A253E">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Pr="00B8009B" w:rsidRDefault="00F07E05" w:rsidP="008A253E">
            <w:pPr>
              <w:shd w:val="clear" w:color="auto" w:fill="FFFFFF" w:themeFill="background1"/>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302</w:t>
            </w:r>
          </w:p>
        </w:tc>
        <w:tc>
          <w:tcPr>
            <w:tcW w:w="1459"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129,15</w:t>
            </w:r>
          </w:p>
        </w:tc>
        <w:tc>
          <w:tcPr>
            <w:tcW w:w="1450"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6</w:t>
            </w:r>
          </w:p>
        </w:tc>
        <w:tc>
          <w:tcPr>
            <w:tcW w:w="2195"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11.07.21 14.00-20.00</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07E05" w:rsidRPr="00B330CE" w:rsidRDefault="00F07E05" w:rsidP="008A253E">
            <w:pPr>
              <w:shd w:val="clear" w:color="auto" w:fill="FFFFFF" w:themeFill="background1"/>
              <w:spacing w:line="276" w:lineRule="auto"/>
              <w:jc w:val="center"/>
              <w:rPr>
                <w:sz w:val="22"/>
                <w:szCs w:val="22"/>
                <w:lang w:eastAsia="en-US"/>
              </w:rPr>
            </w:pPr>
            <w:r w:rsidRPr="00B330CE">
              <w:rPr>
                <w:sz w:val="22"/>
                <w:szCs w:val="22"/>
              </w:rPr>
              <w:t>24 742,56</w:t>
            </w:r>
          </w:p>
        </w:tc>
      </w:tr>
      <w:tr w:rsidR="00F07E05" w:rsidRPr="00B330CE" w:rsidTr="008A253E">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Pr="00B8009B" w:rsidRDefault="00F07E05" w:rsidP="008A253E">
            <w:pPr>
              <w:shd w:val="clear" w:color="auto" w:fill="FFFFFF" w:themeFill="background1"/>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302</w:t>
            </w:r>
          </w:p>
        </w:tc>
        <w:tc>
          <w:tcPr>
            <w:tcW w:w="1459"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129,15</w:t>
            </w:r>
          </w:p>
        </w:tc>
        <w:tc>
          <w:tcPr>
            <w:tcW w:w="1450"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4</w:t>
            </w:r>
          </w:p>
        </w:tc>
        <w:tc>
          <w:tcPr>
            <w:tcW w:w="2195"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27.07.21 14.00-18.00</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07E05" w:rsidRPr="00B330CE" w:rsidRDefault="00F07E05" w:rsidP="008A253E">
            <w:pPr>
              <w:shd w:val="clear" w:color="auto" w:fill="FFFFFF" w:themeFill="background1"/>
              <w:spacing w:line="276" w:lineRule="auto"/>
              <w:jc w:val="center"/>
              <w:rPr>
                <w:sz w:val="22"/>
                <w:szCs w:val="22"/>
                <w:lang w:eastAsia="en-US"/>
              </w:rPr>
            </w:pPr>
            <w:r w:rsidRPr="00B330CE">
              <w:rPr>
                <w:sz w:val="22"/>
                <w:szCs w:val="22"/>
              </w:rPr>
              <w:t>16 495,04</w:t>
            </w:r>
          </w:p>
        </w:tc>
      </w:tr>
      <w:tr w:rsidR="00F07E05" w:rsidRPr="00B330CE" w:rsidTr="008A253E">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Pr="00B8009B" w:rsidRDefault="00F07E05" w:rsidP="008A253E">
            <w:pPr>
              <w:shd w:val="clear" w:color="auto" w:fill="FFFFFF" w:themeFill="background1"/>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302</w:t>
            </w:r>
          </w:p>
        </w:tc>
        <w:tc>
          <w:tcPr>
            <w:tcW w:w="1459"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129,15</w:t>
            </w:r>
          </w:p>
        </w:tc>
        <w:tc>
          <w:tcPr>
            <w:tcW w:w="1450"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6</w:t>
            </w:r>
          </w:p>
        </w:tc>
        <w:tc>
          <w:tcPr>
            <w:tcW w:w="2195"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07.09.21 13.30-19.00</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07E05" w:rsidRPr="00B330CE" w:rsidRDefault="00F07E05" w:rsidP="008A253E">
            <w:pPr>
              <w:shd w:val="clear" w:color="auto" w:fill="FFFFFF" w:themeFill="background1"/>
              <w:spacing w:line="276" w:lineRule="auto"/>
              <w:jc w:val="center"/>
              <w:rPr>
                <w:sz w:val="22"/>
                <w:szCs w:val="22"/>
                <w:lang w:eastAsia="en-US"/>
              </w:rPr>
            </w:pPr>
            <w:r w:rsidRPr="00B330CE">
              <w:rPr>
                <w:sz w:val="22"/>
                <w:szCs w:val="22"/>
              </w:rPr>
              <w:t>24 742,56</w:t>
            </w:r>
          </w:p>
        </w:tc>
      </w:tr>
      <w:tr w:rsidR="00F07E05" w:rsidRPr="00B330CE" w:rsidTr="008A253E">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Pr="00B8009B" w:rsidRDefault="00F07E05" w:rsidP="008A253E">
            <w:pPr>
              <w:shd w:val="clear" w:color="auto" w:fill="FFFFFF" w:themeFill="background1"/>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302</w:t>
            </w:r>
          </w:p>
        </w:tc>
        <w:tc>
          <w:tcPr>
            <w:tcW w:w="1459"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129,15</w:t>
            </w:r>
          </w:p>
        </w:tc>
        <w:tc>
          <w:tcPr>
            <w:tcW w:w="1450"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9</w:t>
            </w:r>
          </w:p>
        </w:tc>
        <w:tc>
          <w:tcPr>
            <w:tcW w:w="2195"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18.09.21 14.00-23.00</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07E05" w:rsidRPr="00B330CE" w:rsidRDefault="00F07E05" w:rsidP="008A253E">
            <w:pPr>
              <w:shd w:val="clear" w:color="auto" w:fill="FFFFFF" w:themeFill="background1"/>
              <w:spacing w:line="276" w:lineRule="auto"/>
              <w:jc w:val="center"/>
              <w:rPr>
                <w:sz w:val="22"/>
                <w:szCs w:val="22"/>
                <w:lang w:eastAsia="en-US"/>
              </w:rPr>
            </w:pPr>
            <w:r w:rsidRPr="00B330CE">
              <w:rPr>
                <w:sz w:val="22"/>
                <w:szCs w:val="22"/>
              </w:rPr>
              <w:t>37 113,84</w:t>
            </w:r>
          </w:p>
        </w:tc>
      </w:tr>
      <w:tr w:rsidR="00F07E05" w:rsidRPr="00B330CE" w:rsidTr="008A253E">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Pr="00B8009B" w:rsidRDefault="00F07E05" w:rsidP="008A253E">
            <w:pPr>
              <w:shd w:val="clear" w:color="auto" w:fill="FFFFFF" w:themeFill="background1"/>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302</w:t>
            </w:r>
          </w:p>
        </w:tc>
        <w:tc>
          <w:tcPr>
            <w:tcW w:w="1459"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129,15</w:t>
            </w:r>
          </w:p>
        </w:tc>
        <w:tc>
          <w:tcPr>
            <w:tcW w:w="1450"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6</w:t>
            </w:r>
          </w:p>
        </w:tc>
        <w:tc>
          <w:tcPr>
            <w:tcW w:w="2195"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21.09.21 12.00-18.00</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07E05" w:rsidRPr="00B330CE" w:rsidRDefault="00F07E05" w:rsidP="008A253E">
            <w:pPr>
              <w:shd w:val="clear" w:color="auto" w:fill="FFFFFF" w:themeFill="background1"/>
              <w:spacing w:line="276" w:lineRule="auto"/>
              <w:jc w:val="center"/>
              <w:rPr>
                <w:sz w:val="22"/>
                <w:szCs w:val="22"/>
                <w:lang w:eastAsia="en-US"/>
              </w:rPr>
            </w:pPr>
            <w:r w:rsidRPr="00B330CE">
              <w:rPr>
                <w:sz w:val="22"/>
                <w:szCs w:val="22"/>
              </w:rPr>
              <w:t>24 742,56</w:t>
            </w:r>
          </w:p>
        </w:tc>
      </w:tr>
      <w:tr w:rsidR="00F07E05" w:rsidRPr="00B330CE" w:rsidTr="008A253E">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Pr="00B8009B" w:rsidRDefault="00F07E05" w:rsidP="008A253E">
            <w:pPr>
              <w:shd w:val="clear" w:color="auto" w:fill="FFFFFF" w:themeFill="background1"/>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588</w:t>
            </w:r>
          </w:p>
        </w:tc>
        <w:tc>
          <w:tcPr>
            <w:tcW w:w="1459"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95,8</w:t>
            </w:r>
          </w:p>
        </w:tc>
        <w:tc>
          <w:tcPr>
            <w:tcW w:w="1450"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12</w:t>
            </w:r>
          </w:p>
        </w:tc>
        <w:tc>
          <w:tcPr>
            <w:tcW w:w="2195"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15.05.21 08.45-20.00</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07E05" w:rsidRPr="00B330CE" w:rsidRDefault="00F07E05" w:rsidP="008A253E">
            <w:pPr>
              <w:shd w:val="clear" w:color="auto" w:fill="FFFFFF" w:themeFill="background1"/>
              <w:spacing w:line="276" w:lineRule="auto"/>
              <w:jc w:val="center"/>
              <w:rPr>
                <w:sz w:val="22"/>
                <w:szCs w:val="22"/>
                <w:lang w:eastAsia="en-US"/>
              </w:rPr>
            </w:pPr>
            <w:r w:rsidRPr="00B330CE">
              <w:rPr>
                <w:sz w:val="22"/>
                <w:szCs w:val="22"/>
              </w:rPr>
              <w:t>36 706,73</w:t>
            </w:r>
          </w:p>
        </w:tc>
      </w:tr>
      <w:tr w:rsidR="00F07E05" w:rsidRPr="00B330CE" w:rsidTr="008A253E">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Pr="00B8009B" w:rsidRDefault="00F07E05" w:rsidP="008A253E">
            <w:pPr>
              <w:shd w:val="clear" w:color="auto" w:fill="FFFFFF" w:themeFill="background1"/>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301</w:t>
            </w:r>
          </w:p>
        </w:tc>
        <w:tc>
          <w:tcPr>
            <w:tcW w:w="1459"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125</w:t>
            </w:r>
          </w:p>
        </w:tc>
        <w:tc>
          <w:tcPr>
            <w:tcW w:w="1450"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6</w:t>
            </w:r>
          </w:p>
        </w:tc>
        <w:tc>
          <w:tcPr>
            <w:tcW w:w="2195"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31.05.21 09.00-15.00</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07E05" w:rsidRPr="00B330CE" w:rsidRDefault="00F07E05" w:rsidP="008A253E">
            <w:pPr>
              <w:shd w:val="clear" w:color="auto" w:fill="FFFFFF" w:themeFill="background1"/>
              <w:spacing w:line="276" w:lineRule="auto"/>
              <w:jc w:val="center"/>
              <w:rPr>
                <w:sz w:val="22"/>
                <w:szCs w:val="22"/>
                <w:lang w:eastAsia="en-US"/>
              </w:rPr>
            </w:pPr>
            <w:r w:rsidRPr="00B330CE">
              <w:rPr>
                <w:sz w:val="22"/>
                <w:szCs w:val="22"/>
              </w:rPr>
              <w:t>23 947,50</w:t>
            </w:r>
          </w:p>
        </w:tc>
      </w:tr>
      <w:tr w:rsidR="00F07E05" w:rsidRPr="00B330CE" w:rsidTr="008A253E">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Pr="00B8009B" w:rsidRDefault="00F07E05" w:rsidP="008A253E">
            <w:pPr>
              <w:shd w:val="clear" w:color="auto" w:fill="FFFFFF" w:themeFill="background1"/>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301</w:t>
            </w:r>
          </w:p>
        </w:tc>
        <w:tc>
          <w:tcPr>
            <w:tcW w:w="1459"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124,87</w:t>
            </w:r>
          </w:p>
        </w:tc>
        <w:tc>
          <w:tcPr>
            <w:tcW w:w="1450"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9</w:t>
            </w:r>
          </w:p>
        </w:tc>
        <w:tc>
          <w:tcPr>
            <w:tcW w:w="2195"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01.07.21 13.00-22.00</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07E05" w:rsidRPr="00B330CE" w:rsidRDefault="00F07E05" w:rsidP="008A253E">
            <w:pPr>
              <w:shd w:val="clear" w:color="auto" w:fill="FFFFFF" w:themeFill="background1"/>
              <w:spacing w:line="276" w:lineRule="auto"/>
              <w:jc w:val="center"/>
              <w:rPr>
                <w:sz w:val="22"/>
                <w:szCs w:val="22"/>
                <w:lang w:eastAsia="en-US"/>
              </w:rPr>
            </w:pPr>
            <w:r w:rsidRPr="00B330CE">
              <w:rPr>
                <w:sz w:val="22"/>
                <w:szCs w:val="22"/>
              </w:rPr>
              <w:t>35 883,89</w:t>
            </w:r>
          </w:p>
        </w:tc>
      </w:tr>
      <w:tr w:rsidR="00F07E05" w:rsidRPr="00B330CE" w:rsidTr="008A253E">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Pr="00B8009B" w:rsidRDefault="00F07E05" w:rsidP="008A253E">
            <w:pPr>
              <w:shd w:val="clear" w:color="auto" w:fill="FFFFFF" w:themeFill="background1"/>
              <w:spacing w:line="276" w:lineRule="auto"/>
              <w:rPr>
                <w:color w:val="000000"/>
                <w:lang w:eastAsia="en-US"/>
              </w:rPr>
            </w:pPr>
          </w:p>
        </w:tc>
        <w:tc>
          <w:tcPr>
            <w:tcW w:w="3018" w:type="dxa"/>
            <w:gridSpan w:val="2"/>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right"/>
              <w:rPr>
                <w:color w:val="000000"/>
                <w:lang w:eastAsia="en-US"/>
              </w:rPr>
            </w:pPr>
            <w:r w:rsidRPr="00B8009B">
              <w:rPr>
                <w:b/>
                <w:bCs/>
                <w:color w:val="000000"/>
                <w:sz w:val="22"/>
                <w:szCs w:val="22"/>
                <w:lang w:eastAsia="en-US"/>
              </w:rPr>
              <w:t>ИТОГО:</w:t>
            </w:r>
          </w:p>
        </w:tc>
        <w:tc>
          <w:tcPr>
            <w:tcW w:w="1450"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b/>
                <w:bCs/>
                <w:color w:val="000000"/>
                <w:lang w:eastAsia="en-US"/>
              </w:rPr>
            </w:pPr>
            <w:r w:rsidRPr="00B8009B">
              <w:rPr>
                <w:b/>
                <w:bCs/>
                <w:color w:val="000000"/>
                <w:sz w:val="22"/>
                <w:szCs w:val="22"/>
                <w:lang w:eastAsia="en-US"/>
              </w:rPr>
              <w:t>119,5</w:t>
            </w:r>
          </w:p>
        </w:tc>
        <w:tc>
          <w:tcPr>
            <w:tcW w:w="2195"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right"/>
              <w:rPr>
                <w:color w:val="000000"/>
                <w:lang w:eastAsia="en-US"/>
              </w:rPr>
            </w:pPr>
            <w:r w:rsidRPr="00B8009B">
              <w:rPr>
                <w:b/>
                <w:bCs/>
                <w:color w:val="000000"/>
                <w:sz w:val="22"/>
                <w:szCs w:val="22"/>
                <w:lang w:eastAsia="en-US"/>
              </w:rPr>
              <w:t>ИТОГО:</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07E05" w:rsidRPr="00B330CE" w:rsidRDefault="00F07E05" w:rsidP="008A253E">
            <w:pPr>
              <w:shd w:val="clear" w:color="auto" w:fill="FFFFFF" w:themeFill="background1"/>
              <w:spacing w:line="276" w:lineRule="auto"/>
              <w:jc w:val="center"/>
              <w:rPr>
                <w:b/>
                <w:bCs/>
                <w:sz w:val="22"/>
                <w:szCs w:val="22"/>
                <w:lang w:eastAsia="en-US"/>
              </w:rPr>
            </w:pPr>
            <w:r w:rsidRPr="00B330CE">
              <w:rPr>
                <w:b/>
                <w:bCs/>
                <w:sz w:val="22"/>
                <w:szCs w:val="22"/>
                <w:lang w:eastAsia="en-US"/>
              </w:rPr>
              <w:t>451 610,44</w:t>
            </w:r>
          </w:p>
        </w:tc>
      </w:tr>
      <w:tr w:rsidR="00F07E05" w:rsidRPr="00C65402" w:rsidTr="008A253E">
        <w:trPr>
          <w:trHeight w:val="330"/>
        </w:trPr>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ООО «Бельские речные путешествия»</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305</w:t>
            </w:r>
          </w:p>
        </w:tc>
        <w:tc>
          <w:tcPr>
            <w:tcW w:w="1459"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77,76</w:t>
            </w:r>
          </w:p>
        </w:tc>
        <w:tc>
          <w:tcPr>
            <w:tcW w:w="1450"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6</w:t>
            </w:r>
          </w:p>
        </w:tc>
        <w:tc>
          <w:tcPr>
            <w:tcW w:w="2195"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17.07.21 17.00-23.00</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07E05" w:rsidRPr="00C65402" w:rsidRDefault="00F07E05" w:rsidP="008A253E">
            <w:pPr>
              <w:shd w:val="clear" w:color="auto" w:fill="FFFFFF" w:themeFill="background1"/>
              <w:spacing w:line="276" w:lineRule="auto"/>
              <w:jc w:val="center"/>
              <w:rPr>
                <w:lang w:eastAsia="en-US"/>
              </w:rPr>
            </w:pPr>
            <w:r>
              <w:rPr>
                <w:color w:val="000000"/>
                <w:sz w:val="22"/>
                <w:szCs w:val="22"/>
              </w:rPr>
              <w:t>14 897,26</w:t>
            </w:r>
          </w:p>
        </w:tc>
      </w:tr>
      <w:tr w:rsidR="00F07E05" w:rsidRPr="00C65402" w:rsidTr="008A253E">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Pr="00B8009B" w:rsidRDefault="00F07E05" w:rsidP="008A253E">
            <w:pPr>
              <w:shd w:val="clear" w:color="auto" w:fill="FFFFFF" w:themeFill="background1"/>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305</w:t>
            </w:r>
          </w:p>
        </w:tc>
        <w:tc>
          <w:tcPr>
            <w:tcW w:w="1459"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77,76</w:t>
            </w:r>
          </w:p>
        </w:tc>
        <w:tc>
          <w:tcPr>
            <w:tcW w:w="1450"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6</w:t>
            </w:r>
          </w:p>
        </w:tc>
        <w:tc>
          <w:tcPr>
            <w:tcW w:w="2195"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28.08.21 14.00-20.00</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07E05" w:rsidRPr="00C65402" w:rsidRDefault="00F07E05" w:rsidP="008A253E">
            <w:pPr>
              <w:shd w:val="clear" w:color="auto" w:fill="FFFFFF" w:themeFill="background1"/>
              <w:spacing w:line="276" w:lineRule="auto"/>
              <w:jc w:val="center"/>
              <w:rPr>
                <w:lang w:eastAsia="en-US"/>
              </w:rPr>
            </w:pPr>
            <w:r>
              <w:rPr>
                <w:color w:val="000000"/>
                <w:sz w:val="22"/>
                <w:szCs w:val="22"/>
              </w:rPr>
              <w:t>14 897,26</w:t>
            </w:r>
          </w:p>
        </w:tc>
      </w:tr>
      <w:tr w:rsidR="00F07E05" w:rsidRPr="00B330CE" w:rsidTr="008A253E">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Pr="00B8009B" w:rsidRDefault="00F07E05" w:rsidP="008A253E">
            <w:pPr>
              <w:shd w:val="clear" w:color="auto" w:fill="FFFFFF" w:themeFill="background1"/>
              <w:spacing w:line="276" w:lineRule="auto"/>
              <w:rPr>
                <w:color w:val="000000"/>
                <w:lang w:eastAsia="en-US"/>
              </w:rPr>
            </w:pPr>
          </w:p>
        </w:tc>
        <w:tc>
          <w:tcPr>
            <w:tcW w:w="3018" w:type="dxa"/>
            <w:gridSpan w:val="2"/>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right"/>
              <w:rPr>
                <w:color w:val="000000"/>
                <w:lang w:eastAsia="en-US"/>
              </w:rPr>
            </w:pPr>
            <w:r w:rsidRPr="00B8009B">
              <w:rPr>
                <w:b/>
                <w:bCs/>
                <w:color w:val="000000"/>
                <w:sz w:val="22"/>
                <w:szCs w:val="22"/>
                <w:lang w:eastAsia="en-US"/>
              </w:rPr>
              <w:t>ИТОГО:</w:t>
            </w:r>
          </w:p>
        </w:tc>
        <w:tc>
          <w:tcPr>
            <w:tcW w:w="1450"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b/>
                <w:bCs/>
                <w:color w:val="000000"/>
                <w:lang w:eastAsia="en-US"/>
              </w:rPr>
            </w:pPr>
            <w:r w:rsidRPr="00B8009B">
              <w:rPr>
                <w:b/>
                <w:bCs/>
                <w:color w:val="000000"/>
                <w:sz w:val="22"/>
                <w:szCs w:val="22"/>
                <w:lang w:eastAsia="en-US"/>
              </w:rPr>
              <w:t>12</w:t>
            </w:r>
          </w:p>
        </w:tc>
        <w:tc>
          <w:tcPr>
            <w:tcW w:w="2195"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right"/>
              <w:rPr>
                <w:color w:val="000000"/>
                <w:lang w:eastAsia="en-US"/>
              </w:rPr>
            </w:pPr>
            <w:r w:rsidRPr="00B8009B">
              <w:rPr>
                <w:b/>
                <w:bCs/>
                <w:color w:val="000000"/>
                <w:sz w:val="22"/>
                <w:szCs w:val="22"/>
                <w:lang w:eastAsia="en-US"/>
              </w:rPr>
              <w:t>ИТОГО:</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07E05" w:rsidRPr="00B330CE" w:rsidRDefault="00F07E05" w:rsidP="008A253E">
            <w:pPr>
              <w:shd w:val="clear" w:color="auto" w:fill="FFFFFF" w:themeFill="background1"/>
              <w:spacing w:line="276" w:lineRule="auto"/>
              <w:jc w:val="center"/>
              <w:rPr>
                <w:b/>
                <w:bCs/>
                <w:sz w:val="22"/>
                <w:szCs w:val="22"/>
                <w:lang w:eastAsia="en-US"/>
              </w:rPr>
            </w:pPr>
            <w:r w:rsidRPr="00B330CE">
              <w:rPr>
                <w:b/>
                <w:bCs/>
                <w:sz w:val="22"/>
                <w:szCs w:val="22"/>
                <w:lang w:eastAsia="en-US"/>
              </w:rPr>
              <w:t>29 794,52</w:t>
            </w:r>
          </w:p>
        </w:tc>
      </w:tr>
      <w:tr w:rsidR="00F07E05" w:rsidRPr="00B330CE" w:rsidTr="008A253E">
        <w:trPr>
          <w:trHeight w:val="330"/>
        </w:trPr>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ООО «Волга Лайн»</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305</w:t>
            </w:r>
          </w:p>
        </w:tc>
        <w:tc>
          <w:tcPr>
            <w:tcW w:w="1459"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77,87</w:t>
            </w:r>
          </w:p>
        </w:tc>
        <w:tc>
          <w:tcPr>
            <w:tcW w:w="1450"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9</w:t>
            </w:r>
          </w:p>
        </w:tc>
        <w:tc>
          <w:tcPr>
            <w:tcW w:w="2195"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05.06.21 13.35-21.15</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07E05" w:rsidRPr="00B330CE" w:rsidRDefault="00F07E05" w:rsidP="008A253E">
            <w:pPr>
              <w:shd w:val="clear" w:color="auto" w:fill="FFFFFF" w:themeFill="background1"/>
              <w:spacing w:line="276" w:lineRule="auto"/>
              <w:jc w:val="center"/>
              <w:rPr>
                <w:sz w:val="22"/>
                <w:szCs w:val="22"/>
                <w:lang w:eastAsia="en-US"/>
              </w:rPr>
            </w:pPr>
            <w:r w:rsidRPr="00B330CE">
              <w:rPr>
                <w:sz w:val="22"/>
                <w:szCs w:val="22"/>
              </w:rPr>
              <w:t>22 377,50</w:t>
            </w:r>
          </w:p>
        </w:tc>
      </w:tr>
      <w:tr w:rsidR="00F07E05" w:rsidRPr="00B330CE" w:rsidTr="008A253E">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Pr="00B8009B" w:rsidRDefault="00F07E05" w:rsidP="008A253E">
            <w:pPr>
              <w:shd w:val="clear" w:color="auto" w:fill="FFFFFF" w:themeFill="background1"/>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305</w:t>
            </w:r>
          </w:p>
        </w:tc>
        <w:tc>
          <w:tcPr>
            <w:tcW w:w="1459"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77,87</w:t>
            </w:r>
          </w:p>
        </w:tc>
        <w:tc>
          <w:tcPr>
            <w:tcW w:w="1450"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8</w:t>
            </w:r>
          </w:p>
        </w:tc>
        <w:tc>
          <w:tcPr>
            <w:tcW w:w="2195"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26.06.21 14.00-21.30</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07E05" w:rsidRPr="00B330CE" w:rsidRDefault="00F07E05" w:rsidP="008A253E">
            <w:pPr>
              <w:shd w:val="clear" w:color="auto" w:fill="FFFFFF" w:themeFill="background1"/>
              <w:spacing w:line="276" w:lineRule="auto"/>
              <w:jc w:val="center"/>
              <w:rPr>
                <w:sz w:val="22"/>
                <w:szCs w:val="22"/>
                <w:lang w:eastAsia="en-US"/>
              </w:rPr>
            </w:pPr>
            <w:r w:rsidRPr="00B330CE">
              <w:rPr>
                <w:sz w:val="22"/>
                <w:szCs w:val="22"/>
              </w:rPr>
              <w:t>19 891,11</w:t>
            </w:r>
          </w:p>
        </w:tc>
      </w:tr>
      <w:tr w:rsidR="00F07E05" w:rsidRPr="00B330CE" w:rsidTr="008A253E">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Pr="00B8009B" w:rsidRDefault="00F07E05" w:rsidP="008A253E">
            <w:pPr>
              <w:shd w:val="clear" w:color="auto" w:fill="FFFFFF" w:themeFill="background1"/>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305</w:t>
            </w:r>
          </w:p>
        </w:tc>
        <w:tc>
          <w:tcPr>
            <w:tcW w:w="1459"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77,87</w:t>
            </w:r>
          </w:p>
        </w:tc>
        <w:tc>
          <w:tcPr>
            <w:tcW w:w="1450"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5</w:t>
            </w:r>
          </w:p>
        </w:tc>
        <w:tc>
          <w:tcPr>
            <w:tcW w:w="2195"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14.08.21 14.00-19.00</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07E05" w:rsidRPr="00B330CE" w:rsidRDefault="00F07E05" w:rsidP="008A253E">
            <w:pPr>
              <w:shd w:val="clear" w:color="auto" w:fill="FFFFFF" w:themeFill="background1"/>
              <w:spacing w:line="276" w:lineRule="auto"/>
              <w:jc w:val="center"/>
              <w:rPr>
                <w:sz w:val="22"/>
                <w:szCs w:val="22"/>
                <w:lang w:eastAsia="en-US"/>
              </w:rPr>
            </w:pPr>
            <w:r w:rsidRPr="00B330CE">
              <w:rPr>
                <w:sz w:val="22"/>
                <w:szCs w:val="22"/>
              </w:rPr>
              <w:t>12 431,95</w:t>
            </w:r>
          </w:p>
        </w:tc>
      </w:tr>
      <w:tr w:rsidR="00F07E05" w:rsidRPr="00B330CE" w:rsidTr="008A253E">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Pr="00B8009B" w:rsidRDefault="00F07E05" w:rsidP="008A253E">
            <w:pPr>
              <w:shd w:val="clear" w:color="auto" w:fill="FFFFFF" w:themeFill="background1"/>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305</w:t>
            </w:r>
          </w:p>
        </w:tc>
        <w:tc>
          <w:tcPr>
            <w:tcW w:w="1459"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77,87</w:t>
            </w:r>
          </w:p>
        </w:tc>
        <w:tc>
          <w:tcPr>
            <w:tcW w:w="1450"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7</w:t>
            </w:r>
          </w:p>
        </w:tc>
        <w:tc>
          <w:tcPr>
            <w:tcW w:w="2195"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31.08.21 13.00-20.00</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07E05" w:rsidRPr="00B330CE" w:rsidRDefault="00F07E05" w:rsidP="008A253E">
            <w:pPr>
              <w:shd w:val="clear" w:color="auto" w:fill="FFFFFF" w:themeFill="background1"/>
              <w:spacing w:line="276" w:lineRule="auto"/>
              <w:jc w:val="center"/>
              <w:rPr>
                <w:sz w:val="22"/>
                <w:szCs w:val="22"/>
                <w:lang w:eastAsia="en-US"/>
              </w:rPr>
            </w:pPr>
            <w:r w:rsidRPr="00B330CE">
              <w:rPr>
                <w:sz w:val="22"/>
                <w:szCs w:val="22"/>
              </w:rPr>
              <w:t>17 404,72</w:t>
            </w:r>
          </w:p>
        </w:tc>
      </w:tr>
      <w:tr w:rsidR="00F07E05" w:rsidRPr="00B330CE" w:rsidTr="008A253E">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Pr="00B8009B" w:rsidRDefault="00F07E05" w:rsidP="008A253E">
            <w:pPr>
              <w:shd w:val="clear" w:color="auto" w:fill="FFFFFF" w:themeFill="background1"/>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305</w:t>
            </w:r>
          </w:p>
        </w:tc>
        <w:tc>
          <w:tcPr>
            <w:tcW w:w="1459"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77,87</w:t>
            </w:r>
          </w:p>
        </w:tc>
        <w:tc>
          <w:tcPr>
            <w:tcW w:w="1450"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9</w:t>
            </w:r>
          </w:p>
        </w:tc>
        <w:tc>
          <w:tcPr>
            <w:tcW w:w="2195"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18.09.21 14.00-23.00</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07E05" w:rsidRPr="00B330CE" w:rsidRDefault="00F07E05" w:rsidP="008A253E">
            <w:pPr>
              <w:shd w:val="clear" w:color="auto" w:fill="FFFFFF" w:themeFill="background1"/>
              <w:spacing w:line="276" w:lineRule="auto"/>
              <w:jc w:val="center"/>
              <w:rPr>
                <w:sz w:val="22"/>
                <w:szCs w:val="22"/>
                <w:lang w:eastAsia="en-US"/>
              </w:rPr>
            </w:pPr>
            <w:r w:rsidRPr="00B330CE">
              <w:rPr>
                <w:sz w:val="22"/>
                <w:szCs w:val="22"/>
              </w:rPr>
              <w:t>22 377,50</w:t>
            </w:r>
          </w:p>
        </w:tc>
      </w:tr>
      <w:tr w:rsidR="00F07E05" w:rsidRPr="00B330CE" w:rsidTr="008A253E">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Pr="00B8009B" w:rsidRDefault="00F07E05" w:rsidP="008A253E">
            <w:pPr>
              <w:shd w:val="clear" w:color="auto" w:fill="FFFFFF" w:themeFill="background1"/>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305</w:t>
            </w:r>
          </w:p>
        </w:tc>
        <w:tc>
          <w:tcPr>
            <w:tcW w:w="1459"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77,87</w:t>
            </w:r>
          </w:p>
        </w:tc>
        <w:tc>
          <w:tcPr>
            <w:tcW w:w="1450"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7</w:t>
            </w:r>
          </w:p>
        </w:tc>
        <w:tc>
          <w:tcPr>
            <w:tcW w:w="2195"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02.10.21 16.00-23.00</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F07E05" w:rsidRPr="00B330CE" w:rsidRDefault="00F07E05" w:rsidP="008A253E">
            <w:pPr>
              <w:shd w:val="clear" w:color="auto" w:fill="FFFFFF" w:themeFill="background1"/>
              <w:spacing w:line="276" w:lineRule="auto"/>
              <w:jc w:val="center"/>
              <w:rPr>
                <w:sz w:val="22"/>
                <w:szCs w:val="22"/>
                <w:lang w:eastAsia="en-US"/>
              </w:rPr>
            </w:pPr>
            <w:r w:rsidRPr="00B330CE">
              <w:rPr>
                <w:sz w:val="22"/>
                <w:szCs w:val="22"/>
              </w:rPr>
              <w:t>17 404,72</w:t>
            </w:r>
          </w:p>
        </w:tc>
      </w:tr>
      <w:tr w:rsidR="00F07E05" w:rsidRPr="00C65402" w:rsidTr="008A253E">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Pr="00B8009B" w:rsidRDefault="00F07E05" w:rsidP="008A253E">
            <w:pPr>
              <w:shd w:val="clear" w:color="auto" w:fill="FFFFFF" w:themeFill="background1"/>
              <w:spacing w:line="276" w:lineRule="auto"/>
              <w:rPr>
                <w:color w:val="000000"/>
                <w:lang w:eastAsia="en-US"/>
              </w:rPr>
            </w:pPr>
          </w:p>
        </w:tc>
        <w:tc>
          <w:tcPr>
            <w:tcW w:w="3018" w:type="dxa"/>
            <w:gridSpan w:val="2"/>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right"/>
              <w:rPr>
                <w:color w:val="000000"/>
                <w:lang w:eastAsia="en-US"/>
              </w:rPr>
            </w:pPr>
            <w:r w:rsidRPr="00B8009B">
              <w:rPr>
                <w:b/>
                <w:bCs/>
                <w:color w:val="000000"/>
                <w:sz w:val="22"/>
                <w:szCs w:val="22"/>
                <w:lang w:eastAsia="en-US"/>
              </w:rPr>
              <w:t>ИТОГО:</w:t>
            </w:r>
          </w:p>
        </w:tc>
        <w:tc>
          <w:tcPr>
            <w:tcW w:w="1450" w:type="dxa"/>
            <w:tcBorders>
              <w:top w:val="single" w:sz="4" w:space="0" w:color="auto"/>
              <w:left w:val="single" w:sz="4" w:space="0" w:color="auto"/>
              <w:bottom w:val="single" w:sz="4" w:space="0" w:color="auto"/>
              <w:right w:val="single" w:sz="4" w:space="0" w:color="auto"/>
            </w:tcBorders>
            <w:noWrap/>
            <w:vAlign w:val="bottom"/>
          </w:tcPr>
          <w:p w:rsidR="00F07E05" w:rsidRPr="00B01DB8" w:rsidRDefault="00F07E05" w:rsidP="008A253E">
            <w:pPr>
              <w:shd w:val="clear" w:color="auto" w:fill="FFFFFF" w:themeFill="background1"/>
              <w:spacing w:line="276" w:lineRule="auto"/>
              <w:jc w:val="center"/>
              <w:rPr>
                <w:b/>
                <w:bCs/>
                <w:color w:val="000000"/>
                <w:sz w:val="22"/>
                <w:szCs w:val="22"/>
                <w:lang w:eastAsia="en-US"/>
              </w:rPr>
            </w:pPr>
            <w:r w:rsidRPr="00B01DB8">
              <w:rPr>
                <w:b/>
                <w:bCs/>
                <w:color w:val="000000"/>
                <w:sz w:val="22"/>
                <w:szCs w:val="22"/>
                <w:lang w:eastAsia="en-US"/>
              </w:rPr>
              <w:t>45</w:t>
            </w:r>
          </w:p>
        </w:tc>
        <w:tc>
          <w:tcPr>
            <w:tcW w:w="2195"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right"/>
              <w:rPr>
                <w:color w:val="000000"/>
                <w:lang w:eastAsia="en-US"/>
              </w:rPr>
            </w:pPr>
            <w:r w:rsidRPr="00B8009B">
              <w:rPr>
                <w:b/>
                <w:bCs/>
                <w:color w:val="000000"/>
                <w:sz w:val="22"/>
                <w:szCs w:val="22"/>
                <w:lang w:eastAsia="en-US"/>
              </w:rPr>
              <w:t>ИТОГО:</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07E05" w:rsidRPr="00C65402" w:rsidRDefault="00F07E05" w:rsidP="008A253E">
            <w:pPr>
              <w:shd w:val="clear" w:color="auto" w:fill="FFFFFF" w:themeFill="background1"/>
              <w:spacing w:line="276" w:lineRule="auto"/>
              <w:jc w:val="center"/>
              <w:rPr>
                <w:b/>
                <w:bCs/>
                <w:lang w:eastAsia="en-US"/>
              </w:rPr>
            </w:pPr>
            <w:r>
              <w:rPr>
                <w:b/>
                <w:bCs/>
                <w:lang w:eastAsia="en-US"/>
              </w:rPr>
              <w:t>111 887,50</w:t>
            </w:r>
          </w:p>
        </w:tc>
      </w:tr>
      <w:tr w:rsidR="00F07E05" w:rsidRPr="00C65402" w:rsidTr="008A253E">
        <w:trPr>
          <w:trHeight w:val="330"/>
        </w:trPr>
        <w:tc>
          <w:tcPr>
            <w:tcW w:w="2552" w:type="dxa"/>
            <w:tcBorders>
              <w:top w:val="single" w:sz="4" w:space="0" w:color="auto"/>
              <w:left w:val="single" w:sz="4" w:space="0" w:color="auto"/>
              <w:bottom w:val="single" w:sz="4" w:space="0" w:color="auto"/>
              <w:right w:val="single" w:sz="4" w:space="0" w:color="auto"/>
            </w:tcBorders>
            <w:vAlign w:val="center"/>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ООО «Волга Сервис»</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305</w:t>
            </w:r>
          </w:p>
        </w:tc>
        <w:tc>
          <w:tcPr>
            <w:tcW w:w="1459"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77,91</w:t>
            </w:r>
          </w:p>
        </w:tc>
        <w:tc>
          <w:tcPr>
            <w:tcW w:w="1450"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b/>
                <w:bCs/>
                <w:color w:val="000000"/>
                <w:lang w:eastAsia="en-US"/>
              </w:rPr>
            </w:pPr>
            <w:r w:rsidRPr="00B8009B">
              <w:rPr>
                <w:b/>
                <w:bCs/>
                <w:color w:val="000000"/>
                <w:sz w:val="22"/>
                <w:szCs w:val="22"/>
                <w:lang w:eastAsia="en-US"/>
              </w:rPr>
              <w:t>5</w:t>
            </w:r>
          </w:p>
        </w:tc>
        <w:tc>
          <w:tcPr>
            <w:tcW w:w="2195"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18.08.21 08.00-13.00</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07E05" w:rsidRPr="00C65402" w:rsidRDefault="00F07E05" w:rsidP="008A253E">
            <w:pPr>
              <w:shd w:val="clear" w:color="auto" w:fill="FFFFFF" w:themeFill="background1"/>
              <w:spacing w:line="276" w:lineRule="auto"/>
              <w:jc w:val="center"/>
              <w:rPr>
                <w:b/>
                <w:bCs/>
                <w:lang w:eastAsia="en-US"/>
              </w:rPr>
            </w:pPr>
            <w:r>
              <w:rPr>
                <w:b/>
                <w:bCs/>
                <w:lang w:eastAsia="en-US"/>
              </w:rPr>
              <w:t>12 438,33</w:t>
            </w:r>
          </w:p>
        </w:tc>
      </w:tr>
      <w:tr w:rsidR="00F07E05" w:rsidRPr="00C65402" w:rsidTr="008A253E">
        <w:trPr>
          <w:trHeight w:val="330"/>
        </w:trPr>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ИП Яковлев Андрей Викторович</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М-01-126</w:t>
            </w:r>
          </w:p>
        </w:tc>
        <w:tc>
          <w:tcPr>
            <w:tcW w:w="1459"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21,05</w:t>
            </w:r>
          </w:p>
        </w:tc>
        <w:tc>
          <w:tcPr>
            <w:tcW w:w="1450"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0,5</w:t>
            </w:r>
          </w:p>
        </w:tc>
        <w:tc>
          <w:tcPr>
            <w:tcW w:w="2195"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08.05.21 12.20-12.40</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07E05" w:rsidRPr="00C65402" w:rsidRDefault="00F07E05" w:rsidP="008A253E">
            <w:pPr>
              <w:shd w:val="clear" w:color="auto" w:fill="FFFFFF" w:themeFill="background1"/>
              <w:spacing w:line="276" w:lineRule="auto"/>
              <w:jc w:val="center"/>
              <w:rPr>
                <w:lang w:eastAsia="en-US"/>
              </w:rPr>
            </w:pPr>
            <w:r>
              <w:rPr>
                <w:color w:val="000000"/>
                <w:sz w:val="22"/>
                <w:szCs w:val="22"/>
              </w:rPr>
              <w:t>336,06</w:t>
            </w:r>
          </w:p>
        </w:tc>
      </w:tr>
      <w:tr w:rsidR="00F07E05" w:rsidRPr="00C65402" w:rsidTr="008A253E">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Pr="00B8009B" w:rsidRDefault="00F07E05" w:rsidP="008A253E">
            <w:pPr>
              <w:shd w:val="clear" w:color="auto" w:fill="FFFFFF" w:themeFill="background1"/>
              <w:spacing w:line="276" w:lineRule="auto"/>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М-01-126</w:t>
            </w:r>
          </w:p>
        </w:tc>
        <w:tc>
          <w:tcPr>
            <w:tcW w:w="1459"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21,05</w:t>
            </w:r>
          </w:p>
        </w:tc>
        <w:tc>
          <w:tcPr>
            <w:tcW w:w="1450"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2</w:t>
            </w:r>
          </w:p>
        </w:tc>
        <w:tc>
          <w:tcPr>
            <w:tcW w:w="2195"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color w:val="000000"/>
                <w:lang w:eastAsia="en-US"/>
              </w:rPr>
            </w:pPr>
            <w:r w:rsidRPr="00B8009B">
              <w:rPr>
                <w:color w:val="000000"/>
                <w:sz w:val="22"/>
                <w:szCs w:val="22"/>
                <w:lang w:eastAsia="en-US"/>
              </w:rPr>
              <w:t>15.05.21 14.15-17.15</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07E05" w:rsidRPr="00C65402" w:rsidRDefault="00F07E05" w:rsidP="008A253E">
            <w:pPr>
              <w:shd w:val="clear" w:color="auto" w:fill="FFFFFF" w:themeFill="background1"/>
              <w:spacing w:line="276" w:lineRule="auto"/>
              <w:jc w:val="center"/>
              <w:rPr>
                <w:lang w:eastAsia="en-US"/>
              </w:rPr>
            </w:pPr>
            <w:r>
              <w:rPr>
                <w:color w:val="000000"/>
                <w:sz w:val="22"/>
                <w:szCs w:val="22"/>
              </w:rPr>
              <w:t>1 344,25</w:t>
            </w:r>
          </w:p>
        </w:tc>
      </w:tr>
      <w:tr w:rsidR="00F07E05" w:rsidRPr="00B330CE" w:rsidTr="008A253E">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E05" w:rsidRPr="00B8009B" w:rsidRDefault="00F07E05" w:rsidP="008A253E">
            <w:pPr>
              <w:shd w:val="clear" w:color="auto" w:fill="FFFFFF" w:themeFill="background1"/>
              <w:spacing w:line="276" w:lineRule="auto"/>
              <w:rPr>
                <w:color w:val="000000"/>
                <w:lang w:eastAsia="en-US"/>
              </w:rPr>
            </w:pPr>
          </w:p>
        </w:tc>
        <w:tc>
          <w:tcPr>
            <w:tcW w:w="3018" w:type="dxa"/>
            <w:gridSpan w:val="2"/>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right"/>
              <w:rPr>
                <w:color w:val="000000"/>
                <w:lang w:eastAsia="en-US"/>
              </w:rPr>
            </w:pPr>
            <w:r w:rsidRPr="00B8009B">
              <w:rPr>
                <w:b/>
                <w:bCs/>
                <w:color w:val="000000"/>
                <w:sz w:val="22"/>
                <w:szCs w:val="22"/>
                <w:lang w:eastAsia="en-US"/>
              </w:rPr>
              <w:t>ИТОГО:</w:t>
            </w:r>
          </w:p>
        </w:tc>
        <w:tc>
          <w:tcPr>
            <w:tcW w:w="1450"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center"/>
              <w:rPr>
                <w:b/>
                <w:bCs/>
                <w:color w:val="000000"/>
                <w:lang w:eastAsia="en-US"/>
              </w:rPr>
            </w:pPr>
            <w:r w:rsidRPr="00B8009B">
              <w:rPr>
                <w:b/>
                <w:bCs/>
                <w:color w:val="000000"/>
                <w:sz w:val="22"/>
                <w:szCs w:val="22"/>
                <w:lang w:eastAsia="en-US"/>
              </w:rPr>
              <w:t>2,5</w:t>
            </w:r>
          </w:p>
        </w:tc>
        <w:tc>
          <w:tcPr>
            <w:tcW w:w="2195"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right"/>
              <w:rPr>
                <w:color w:val="000000"/>
                <w:lang w:eastAsia="en-US"/>
              </w:rPr>
            </w:pPr>
            <w:r w:rsidRPr="00B8009B">
              <w:rPr>
                <w:b/>
                <w:bCs/>
                <w:color w:val="000000"/>
                <w:sz w:val="22"/>
                <w:szCs w:val="22"/>
                <w:lang w:eastAsia="en-US"/>
              </w:rPr>
              <w:t>ИТОГО:</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07E05" w:rsidRPr="00B330CE" w:rsidRDefault="00F07E05" w:rsidP="008A253E">
            <w:pPr>
              <w:shd w:val="clear" w:color="auto" w:fill="FFFFFF" w:themeFill="background1"/>
              <w:spacing w:line="276" w:lineRule="auto"/>
              <w:jc w:val="center"/>
              <w:rPr>
                <w:b/>
                <w:bCs/>
                <w:sz w:val="22"/>
                <w:szCs w:val="22"/>
                <w:lang w:eastAsia="en-US"/>
              </w:rPr>
            </w:pPr>
            <w:r w:rsidRPr="00B330CE">
              <w:rPr>
                <w:b/>
                <w:bCs/>
                <w:sz w:val="22"/>
                <w:szCs w:val="22"/>
                <w:lang w:eastAsia="en-US"/>
              </w:rPr>
              <w:t>1 680,31</w:t>
            </w:r>
          </w:p>
        </w:tc>
      </w:tr>
      <w:tr w:rsidR="00F07E05" w:rsidRPr="00C65402" w:rsidTr="008A253E">
        <w:trPr>
          <w:trHeight w:val="341"/>
        </w:trPr>
        <w:tc>
          <w:tcPr>
            <w:tcW w:w="5570" w:type="dxa"/>
            <w:gridSpan w:val="3"/>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jc w:val="right"/>
              <w:rPr>
                <w:b/>
                <w:bCs/>
                <w:color w:val="000000"/>
                <w:lang w:eastAsia="en-US"/>
              </w:rPr>
            </w:pPr>
            <w:r w:rsidRPr="00B8009B">
              <w:rPr>
                <w:b/>
                <w:bCs/>
                <w:color w:val="000000"/>
                <w:lang w:eastAsia="en-US"/>
              </w:rPr>
              <w:t>ВСЕГО:</w:t>
            </w:r>
          </w:p>
        </w:tc>
        <w:tc>
          <w:tcPr>
            <w:tcW w:w="1450"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jc w:val="center"/>
              <w:rPr>
                <w:b/>
                <w:bCs/>
                <w:color w:val="000000"/>
                <w:lang w:eastAsia="en-US"/>
              </w:rPr>
            </w:pPr>
            <w:r>
              <w:rPr>
                <w:b/>
                <w:bCs/>
                <w:color w:val="000000"/>
                <w:lang w:eastAsia="en-US"/>
              </w:rPr>
              <w:t>739,5</w:t>
            </w:r>
          </w:p>
        </w:tc>
        <w:tc>
          <w:tcPr>
            <w:tcW w:w="2195" w:type="dxa"/>
            <w:tcBorders>
              <w:top w:val="single" w:sz="4" w:space="0" w:color="auto"/>
              <w:left w:val="single" w:sz="4" w:space="0" w:color="auto"/>
              <w:bottom w:val="single" w:sz="4" w:space="0" w:color="auto"/>
              <w:right w:val="single" w:sz="4" w:space="0" w:color="auto"/>
            </w:tcBorders>
            <w:noWrap/>
            <w:vAlign w:val="bottom"/>
            <w:hideMark/>
          </w:tcPr>
          <w:p w:rsidR="00F07E05" w:rsidRPr="00B8009B" w:rsidRDefault="00F07E05" w:rsidP="008A253E">
            <w:pPr>
              <w:shd w:val="clear" w:color="auto" w:fill="FFFFFF" w:themeFill="background1"/>
              <w:spacing w:line="276" w:lineRule="auto"/>
              <w:rPr>
                <w:color w:val="000000"/>
                <w:lang w:eastAsia="en-US"/>
              </w:rPr>
            </w:pPr>
            <w:r w:rsidRPr="00B8009B">
              <w:rPr>
                <w:color w:val="000000"/>
                <w:lang w:eastAsia="en-US"/>
              </w:rPr>
              <w:t> </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07E05" w:rsidRPr="00C65402" w:rsidRDefault="00F07E05" w:rsidP="008A253E">
            <w:pPr>
              <w:shd w:val="clear" w:color="auto" w:fill="FFFFFF" w:themeFill="background1"/>
              <w:spacing w:line="276" w:lineRule="auto"/>
              <w:jc w:val="center"/>
              <w:rPr>
                <w:b/>
                <w:bCs/>
                <w:lang w:eastAsia="en-US"/>
              </w:rPr>
            </w:pPr>
            <w:r>
              <w:rPr>
                <w:b/>
                <w:bCs/>
                <w:lang w:eastAsia="en-US"/>
              </w:rPr>
              <w:t>2 575 618,51</w:t>
            </w:r>
          </w:p>
        </w:tc>
      </w:tr>
    </w:tbl>
    <w:p w:rsidR="00F07E05" w:rsidRDefault="00F07E05" w:rsidP="00F07E05">
      <w:pPr>
        <w:jc w:val="center"/>
        <w:rPr>
          <w:b/>
          <w:sz w:val="28"/>
          <w:szCs w:val="28"/>
        </w:rPr>
      </w:pPr>
    </w:p>
    <w:p w:rsidR="00F07E05" w:rsidRPr="00C93A58" w:rsidRDefault="00F07E05" w:rsidP="00F07E05">
      <w:pPr>
        <w:pStyle w:val="a7"/>
        <w:spacing w:after="0"/>
        <w:ind w:left="360"/>
        <w:jc w:val="center"/>
        <w:rPr>
          <w:b/>
          <w:sz w:val="28"/>
          <w:szCs w:val="28"/>
        </w:rPr>
      </w:pPr>
    </w:p>
    <w:p w:rsidR="00F07E05" w:rsidRPr="00165682" w:rsidRDefault="00F07E05" w:rsidP="00F07E05">
      <w:pPr>
        <w:pStyle w:val="a7"/>
        <w:spacing w:after="0"/>
        <w:ind w:left="360"/>
        <w:jc w:val="center"/>
        <w:rPr>
          <w:b/>
          <w:sz w:val="28"/>
          <w:szCs w:val="28"/>
        </w:rPr>
      </w:pPr>
      <w:r w:rsidRPr="00165682">
        <w:rPr>
          <w:b/>
          <w:sz w:val="28"/>
          <w:szCs w:val="28"/>
        </w:rPr>
        <w:t>Министерство природных ресурсов и экологии Тверской области</w:t>
      </w:r>
    </w:p>
    <w:p w:rsidR="00F07E05" w:rsidRPr="00C93A58" w:rsidRDefault="00F07E05" w:rsidP="00F07E05">
      <w:pPr>
        <w:pStyle w:val="a7"/>
        <w:spacing w:after="0"/>
        <w:ind w:left="360"/>
        <w:jc w:val="center"/>
        <w:rPr>
          <w:b/>
          <w:sz w:val="28"/>
          <w:szCs w:val="28"/>
        </w:rPr>
      </w:pPr>
    </w:p>
    <w:p w:rsidR="00F07E05" w:rsidRDefault="00F07E05" w:rsidP="00F07E05">
      <w:pPr>
        <w:pStyle w:val="a7"/>
        <w:tabs>
          <w:tab w:val="left" w:pos="7005"/>
          <w:tab w:val="right" w:pos="9355"/>
        </w:tabs>
        <w:spacing w:after="0"/>
        <w:ind w:left="360"/>
        <w:rPr>
          <w:b/>
        </w:rPr>
      </w:pPr>
      <w:r w:rsidRPr="00C93A58">
        <w:rPr>
          <w:b/>
        </w:rPr>
        <w:tab/>
        <w:t xml:space="preserve">                 тыс. руб.</w:t>
      </w:r>
    </w:p>
    <w:p w:rsidR="00F07E05" w:rsidRDefault="00F07E05" w:rsidP="00F07E05">
      <w:pPr>
        <w:pStyle w:val="a7"/>
        <w:tabs>
          <w:tab w:val="left" w:pos="7005"/>
          <w:tab w:val="right" w:pos="9355"/>
        </w:tabs>
        <w:spacing w:after="0"/>
        <w:ind w:left="360"/>
        <w:rPr>
          <w:b/>
        </w:rPr>
      </w:pPr>
    </w:p>
    <w:tbl>
      <w:tblPr>
        <w:tblW w:w="9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9"/>
        <w:gridCol w:w="2120"/>
        <w:gridCol w:w="1908"/>
        <w:gridCol w:w="1696"/>
        <w:gridCol w:w="1434"/>
      </w:tblGrid>
      <w:tr w:rsidR="00F07E05" w:rsidRPr="00ED784D" w:rsidTr="008A253E">
        <w:trPr>
          <w:trHeight w:val="939"/>
        </w:trPr>
        <w:tc>
          <w:tcPr>
            <w:tcW w:w="2459" w:type="dxa"/>
            <w:noWrap/>
          </w:tcPr>
          <w:p w:rsidR="00F07E05" w:rsidRPr="00ED784D" w:rsidRDefault="00F07E05" w:rsidP="008A253E">
            <w:pPr>
              <w:jc w:val="center"/>
              <w:rPr>
                <w:b/>
                <w:sz w:val="20"/>
                <w:szCs w:val="20"/>
              </w:rPr>
            </w:pPr>
            <w:r w:rsidRPr="00ED784D">
              <w:rPr>
                <w:b/>
                <w:sz w:val="20"/>
                <w:szCs w:val="20"/>
              </w:rPr>
              <w:t>КБК</w:t>
            </w:r>
          </w:p>
        </w:tc>
        <w:tc>
          <w:tcPr>
            <w:tcW w:w="2120" w:type="dxa"/>
            <w:noWrap/>
          </w:tcPr>
          <w:p w:rsidR="00F07E05" w:rsidRPr="00ED784D" w:rsidRDefault="00F07E05" w:rsidP="008A253E">
            <w:pPr>
              <w:rPr>
                <w:b/>
                <w:sz w:val="20"/>
                <w:szCs w:val="20"/>
              </w:rPr>
            </w:pPr>
            <w:r w:rsidRPr="00ED784D">
              <w:rPr>
                <w:b/>
                <w:sz w:val="20"/>
                <w:szCs w:val="20"/>
              </w:rPr>
              <w:t>Наименование</w:t>
            </w:r>
          </w:p>
        </w:tc>
        <w:tc>
          <w:tcPr>
            <w:tcW w:w="1908" w:type="dxa"/>
          </w:tcPr>
          <w:p w:rsidR="00F07E05" w:rsidRPr="00ED784D" w:rsidRDefault="00F07E05" w:rsidP="008A253E">
            <w:pPr>
              <w:jc w:val="center"/>
              <w:rPr>
                <w:b/>
                <w:sz w:val="20"/>
                <w:szCs w:val="20"/>
              </w:rPr>
            </w:pPr>
            <w:r w:rsidRPr="00ED784D">
              <w:rPr>
                <w:b/>
                <w:sz w:val="20"/>
                <w:szCs w:val="20"/>
              </w:rPr>
              <w:t>Прогноз на</w:t>
            </w:r>
          </w:p>
          <w:p w:rsidR="00F07E05" w:rsidRPr="00ED784D" w:rsidRDefault="00F07E05" w:rsidP="008A253E">
            <w:pPr>
              <w:jc w:val="center"/>
              <w:rPr>
                <w:b/>
                <w:sz w:val="20"/>
                <w:szCs w:val="20"/>
              </w:rPr>
            </w:pPr>
            <w:r w:rsidRPr="00ED784D">
              <w:rPr>
                <w:b/>
                <w:sz w:val="20"/>
                <w:szCs w:val="20"/>
              </w:rPr>
              <w:t>20</w:t>
            </w:r>
            <w:r>
              <w:rPr>
                <w:b/>
                <w:sz w:val="20"/>
                <w:szCs w:val="20"/>
                <w:lang w:val="en-US"/>
              </w:rPr>
              <w:t>2</w:t>
            </w:r>
            <w:r>
              <w:rPr>
                <w:b/>
                <w:sz w:val="20"/>
                <w:szCs w:val="20"/>
              </w:rPr>
              <w:t>2</w:t>
            </w:r>
            <w:r w:rsidRPr="00ED784D">
              <w:rPr>
                <w:b/>
                <w:sz w:val="20"/>
                <w:szCs w:val="20"/>
              </w:rPr>
              <w:t xml:space="preserve"> год</w:t>
            </w:r>
          </w:p>
          <w:p w:rsidR="00F07E05" w:rsidRPr="00ED784D" w:rsidRDefault="00F07E05" w:rsidP="008A253E">
            <w:pPr>
              <w:jc w:val="center"/>
              <w:rPr>
                <w:b/>
                <w:sz w:val="20"/>
                <w:szCs w:val="20"/>
              </w:rPr>
            </w:pPr>
          </w:p>
          <w:p w:rsidR="00F07E05" w:rsidRPr="00ED784D" w:rsidRDefault="00F07E05" w:rsidP="008A253E">
            <w:pPr>
              <w:jc w:val="center"/>
              <w:rPr>
                <w:b/>
                <w:sz w:val="20"/>
                <w:szCs w:val="20"/>
              </w:rPr>
            </w:pPr>
          </w:p>
        </w:tc>
        <w:tc>
          <w:tcPr>
            <w:tcW w:w="1696" w:type="dxa"/>
          </w:tcPr>
          <w:p w:rsidR="00F07E05" w:rsidRPr="00ED784D" w:rsidRDefault="00F07E05" w:rsidP="008A253E">
            <w:pPr>
              <w:jc w:val="center"/>
              <w:rPr>
                <w:b/>
                <w:sz w:val="20"/>
                <w:szCs w:val="20"/>
              </w:rPr>
            </w:pPr>
            <w:r w:rsidRPr="00ED784D">
              <w:rPr>
                <w:b/>
                <w:sz w:val="20"/>
                <w:szCs w:val="20"/>
              </w:rPr>
              <w:t>Прогноз на</w:t>
            </w:r>
          </w:p>
          <w:p w:rsidR="00F07E05" w:rsidRPr="00ED784D" w:rsidRDefault="00F07E05" w:rsidP="008A253E">
            <w:pPr>
              <w:jc w:val="center"/>
              <w:rPr>
                <w:b/>
                <w:sz w:val="20"/>
                <w:szCs w:val="20"/>
              </w:rPr>
            </w:pPr>
            <w:r w:rsidRPr="00ED784D">
              <w:rPr>
                <w:b/>
                <w:sz w:val="20"/>
                <w:szCs w:val="20"/>
              </w:rPr>
              <w:t>20</w:t>
            </w:r>
            <w:r>
              <w:rPr>
                <w:b/>
                <w:sz w:val="20"/>
                <w:szCs w:val="20"/>
              </w:rPr>
              <w:t>23</w:t>
            </w:r>
            <w:r>
              <w:rPr>
                <w:b/>
                <w:sz w:val="20"/>
                <w:szCs w:val="20"/>
                <w:lang w:val="en-US"/>
              </w:rPr>
              <w:t xml:space="preserve"> </w:t>
            </w:r>
            <w:r w:rsidRPr="00ED784D">
              <w:rPr>
                <w:b/>
                <w:sz w:val="20"/>
                <w:szCs w:val="20"/>
              </w:rPr>
              <w:t xml:space="preserve">год </w:t>
            </w:r>
          </w:p>
          <w:p w:rsidR="00F07E05" w:rsidRPr="00ED784D" w:rsidRDefault="00F07E05" w:rsidP="008A253E">
            <w:pPr>
              <w:jc w:val="center"/>
              <w:rPr>
                <w:b/>
                <w:sz w:val="20"/>
                <w:szCs w:val="20"/>
              </w:rPr>
            </w:pPr>
          </w:p>
        </w:tc>
        <w:tc>
          <w:tcPr>
            <w:tcW w:w="1434" w:type="dxa"/>
          </w:tcPr>
          <w:p w:rsidR="00F07E05" w:rsidRPr="00ED784D" w:rsidRDefault="00F07E05" w:rsidP="008A253E">
            <w:pPr>
              <w:jc w:val="center"/>
              <w:rPr>
                <w:b/>
                <w:sz w:val="20"/>
                <w:szCs w:val="20"/>
              </w:rPr>
            </w:pPr>
            <w:r w:rsidRPr="00ED784D">
              <w:rPr>
                <w:b/>
                <w:sz w:val="20"/>
                <w:szCs w:val="20"/>
              </w:rPr>
              <w:t>Прогноз на</w:t>
            </w:r>
          </w:p>
          <w:p w:rsidR="00F07E05" w:rsidRPr="00ED784D" w:rsidRDefault="00F07E05" w:rsidP="008A253E">
            <w:pPr>
              <w:jc w:val="center"/>
              <w:rPr>
                <w:b/>
                <w:sz w:val="20"/>
                <w:szCs w:val="20"/>
              </w:rPr>
            </w:pPr>
            <w:r w:rsidRPr="00ED784D">
              <w:rPr>
                <w:b/>
                <w:sz w:val="20"/>
                <w:szCs w:val="20"/>
              </w:rPr>
              <w:t>20</w:t>
            </w:r>
            <w:r>
              <w:rPr>
                <w:b/>
                <w:sz w:val="20"/>
                <w:szCs w:val="20"/>
              </w:rPr>
              <w:t>24</w:t>
            </w:r>
            <w:r w:rsidRPr="00ED784D">
              <w:rPr>
                <w:b/>
                <w:sz w:val="20"/>
                <w:szCs w:val="20"/>
              </w:rPr>
              <w:t xml:space="preserve"> год</w:t>
            </w:r>
          </w:p>
          <w:p w:rsidR="00F07E05" w:rsidRPr="00ED784D" w:rsidRDefault="00F07E05" w:rsidP="008A253E">
            <w:pPr>
              <w:jc w:val="center"/>
              <w:rPr>
                <w:b/>
                <w:sz w:val="20"/>
                <w:szCs w:val="20"/>
              </w:rPr>
            </w:pPr>
          </w:p>
        </w:tc>
      </w:tr>
      <w:tr w:rsidR="00F07E05" w:rsidRPr="00ED784D" w:rsidTr="008A253E">
        <w:trPr>
          <w:trHeight w:val="715"/>
        </w:trPr>
        <w:tc>
          <w:tcPr>
            <w:tcW w:w="2459" w:type="dxa"/>
            <w:noWrap/>
          </w:tcPr>
          <w:p w:rsidR="00F07E05" w:rsidRPr="00ED784D" w:rsidRDefault="00F07E05" w:rsidP="008A253E">
            <w:pPr>
              <w:jc w:val="center"/>
              <w:rPr>
                <w:b/>
                <w:sz w:val="16"/>
                <w:szCs w:val="16"/>
              </w:rPr>
            </w:pPr>
            <w:r w:rsidRPr="00ED784D">
              <w:rPr>
                <w:b/>
                <w:sz w:val="16"/>
                <w:szCs w:val="16"/>
              </w:rPr>
              <w:t>000</w:t>
            </w:r>
            <w:r w:rsidRPr="00ED784D">
              <w:rPr>
                <w:b/>
                <w:sz w:val="16"/>
                <w:szCs w:val="16"/>
                <w:lang w:val="en-US"/>
              </w:rPr>
              <w:t xml:space="preserve"> 1 13 0</w:t>
            </w:r>
            <w:r w:rsidRPr="00ED784D">
              <w:rPr>
                <w:b/>
                <w:sz w:val="16"/>
                <w:szCs w:val="16"/>
              </w:rPr>
              <w:t>1990</w:t>
            </w:r>
            <w:r w:rsidRPr="00ED784D">
              <w:rPr>
                <w:b/>
                <w:sz w:val="16"/>
                <w:szCs w:val="16"/>
                <w:lang w:val="en-US"/>
              </w:rPr>
              <w:t xml:space="preserve"> 0</w:t>
            </w:r>
            <w:r w:rsidRPr="00ED784D">
              <w:rPr>
                <w:b/>
                <w:sz w:val="16"/>
                <w:szCs w:val="16"/>
              </w:rPr>
              <w:t>0</w:t>
            </w:r>
            <w:r w:rsidRPr="00ED784D">
              <w:rPr>
                <w:b/>
                <w:sz w:val="16"/>
                <w:szCs w:val="16"/>
                <w:lang w:val="en-US"/>
              </w:rPr>
              <w:t xml:space="preserve"> 0</w:t>
            </w:r>
            <w:r w:rsidRPr="00ED784D">
              <w:rPr>
                <w:b/>
                <w:sz w:val="16"/>
                <w:szCs w:val="16"/>
              </w:rPr>
              <w:t>000 130</w:t>
            </w:r>
          </w:p>
        </w:tc>
        <w:tc>
          <w:tcPr>
            <w:tcW w:w="2120" w:type="dxa"/>
          </w:tcPr>
          <w:p w:rsidR="00F07E05" w:rsidRPr="00ED784D" w:rsidRDefault="00F07E05" w:rsidP="008A253E">
            <w:pPr>
              <w:rPr>
                <w:sz w:val="20"/>
                <w:szCs w:val="20"/>
              </w:rPr>
            </w:pPr>
            <w:r w:rsidRPr="00ED784D">
              <w:rPr>
                <w:sz w:val="18"/>
                <w:szCs w:val="18"/>
              </w:rPr>
              <w:t>Прочие доходы от оказания платных услуг (работ)</w:t>
            </w:r>
          </w:p>
        </w:tc>
        <w:tc>
          <w:tcPr>
            <w:tcW w:w="1908" w:type="dxa"/>
            <w:noWrap/>
          </w:tcPr>
          <w:p w:rsidR="00F07E05" w:rsidRPr="00E76698" w:rsidRDefault="00F07E05" w:rsidP="008A253E">
            <w:pPr>
              <w:ind w:hanging="108"/>
              <w:jc w:val="center"/>
              <w:rPr>
                <w:sz w:val="20"/>
                <w:szCs w:val="20"/>
              </w:rPr>
            </w:pPr>
            <w:r>
              <w:rPr>
                <w:sz w:val="20"/>
                <w:szCs w:val="20"/>
              </w:rPr>
              <w:t>3 000</w:t>
            </w:r>
          </w:p>
        </w:tc>
        <w:tc>
          <w:tcPr>
            <w:tcW w:w="1696" w:type="dxa"/>
            <w:noWrap/>
          </w:tcPr>
          <w:p w:rsidR="00F07E05" w:rsidRPr="00E76698" w:rsidRDefault="00F07E05" w:rsidP="008A253E">
            <w:pPr>
              <w:ind w:hanging="108"/>
              <w:jc w:val="center"/>
              <w:rPr>
                <w:sz w:val="20"/>
                <w:szCs w:val="20"/>
              </w:rPr>
            </w:pPr>
            <w:r>
              <w:rPr>
                <w:sz w:val="20"/>
                <w:szCs w:val="20"/>
                <w:lang w:val="en-US"/>
              </w:rPr>
              <w:t>3</w:t>
            </w:r>
            <w:r>
              <w:rPr>
                <w:sz w:val="20"/>
                <w:szCs w:val="20"/>
              </w:rPr>
              <w:t xml:space="preserve"> 500</w:t>
            </w:r>
          </w:p>
        </w:tc>
        <w:tc>
          <w:tcPr>
            <w:tcW w:w="1434" w:type="dxa"/>
            <w:noWrap/>
          </w:tcPr>
          <w:p w:rsidR="00F07E05" w:rsidRPr="00E76698" w:rsidRDefault="00F07E05" w:rsidP="008A253E">
            <w:pPr>
              <w:ind w:left="-136" w:right="-108" w:hanging="28"/>
              <w:jc w:val="center"/>
              <w:rPr>
                <w:sz w:val="20"/>
                <w:szCs w:val="20"/>
              </w:rPr>
            </w:pPr>
            <w:r>
              <w:rPr>
                <w:sz w:val="20"/>
                <w:szCs w:val="20"/>
                <w:lang w:val="en-US"/>
              </w:rPr>
              <w:t>3</w:t>
            </w:r>
            <w:r>
              <w:rPr>
                <w:sz w:val="20"/>
                <w:szCs w:val="20"/>
              </w:rPr>
              <w:t xml:space="preserve"> 600</w:t>
            </w:r>
          </w:p>
        </w:tc>
      </w:tr>
    </w:tbl>
    <w:p w:rsidR="00F07E05" w:rsidRPr="00C93A58" w:rsidRDefault="00F07E05" w:rsidP="00F07E05">
      <w:pPr>
        <w:pStyle w:val="a7"/>
        <w:spacing w:after="0"/>
        <w:ind w:left="0" w:firstLine="360"/>
        <w:jc w:val="center"/>
        <w:rPr>
          <w:b/>
        </w:rPr>
      </w:pPr>
    </w:p>
    <w:p w:rsidR="00F07E05" w:rsidRPr="00C93A58" w:rsidRDefault="00F07E05" w:rsidP="00F07E05">
      <w:pPr>
        <w:pStyle w:val="21"/>
        <w:rPr>
          <w:bCs/>
        </w:rPr>
      </w:pPr>
      <w:r w:rsidRPr="00C93A58">
        <w:rPr>
          <w:bCs/>
        </w:rPr>
        <w:t xml:space="preserve">Приказом Министерства природных ресурсов и экологии Тверской области от 31.08.2016 № 187-кв </w:t>
      </w:r>
      <w:r>
        <w:rPr>
          <w:bCs/>
        </w:rPr>
        <w:t xml:space="preserve"> (с изменениями и дополнениями) </w:t>
      </w:r>
      <w:r w:rsidRPr="00C93A58">
        <w:rPr>
          <w:bCs/>
        </w:rPr>
        <w:t xml:space="preserve">утверждена методика прогнозирования поступлений в областной бюджет Тверской области доходов, главным администратором которых является Министерство природных ресурсов и экологии Тверской области (далее – Методика). </w:t>
      </w:r>
    </w:p>
    <w:p w:rsidR="00F07E05" w:rsidRDefault="00F07E05" w:rsidP="00F07E05">
      <w:pPr>
        <w:ind w:firstLine="709"/>
        <w:jc w:val="both"/>
        <w:rPr>
          <w:bCs/>
          <w:sz w:val="28"/>
          <w:szCs w:val="28"/>
        </w:rPr>
      </w:pPr>
      <w:r>
        <w:rPr>
          <w:bCs/>
          <w:sz w:val="28"/>
          <w:szCs w:val="28"/>
        </w:rPr>
        <w:t xml:space="preserve">В соответствии с </w:t>
      </w:r>
      <w:r w:rsidRPr="00C93A58">
        <w:rPr>
          <w:bCs/>
          <w:sz w:val="28"/>
          <w:szCs w:val="28"/>
        </w:rPr>
        <w:t>Методикой</w:t>
      </w:r>
      <w:r>
        <w:rPr>
          <w:bCs/>
          <w:sz w:val="28"/>
          <w:szCs w:val="28"/>
        </w:rPr>
        <w:t xml:space="preserve"> расчет </w:t>
      </w:r>
      <w:r>
        <w:rPr>
          <w:sz w:val="28"/>
          <w:szCs w:val="28"/>
        </w:rPr>
        <w:t>п</w:t>
      </w:r>
      <w:r w:rsidRPr="008A4A99">
        <w:rPr>
          <w:sz w:val="28"/>
          <w:szCs w:val="28"/>
        </w:rPr>
        <w:t>рогноз</w:t>
      </w:r>
      <w:r>
        <w:rPr>
          <w:sz w:val="28"/>
          <w:szCs w:val="28"/>
        </w:rPr>
        <w:t>а</w:t>
      </w:r>
      <w:r w:rsidRPr="008A4A99">
        <w:rPr>
          <w:sz w:val="28"/>
          <w:szCs w:val="28"/>
        </w:rPr>
        <w:t xml:space="preserve"> на 20</w:t>
      </w:r>
      <w:r>
        <w:rPr>
          <w:sz w:val="28"/>
          <w:szCs w:val="28"/>
        </w:rPr>
        <w:t>21</w:t>
      </w:r>
      <w:r w:rsidRPr="008A4A99">
        <w:rPr>
          <w:sz w:val="28"/>
          <w:szCs w:val="28"/>
        </w:rPr>
        <w:t>-202</w:t>
      </w:r>
      <w:r>
        <w:rPr>
          <w:sz w:val="28"/>
          <w:szCs w:val="28"/>
        </w:rPr>
        <w:t>3</w:t>
      </w:r>
      <w:r w:rsidRPr="008A4A99">
        <w:rPr>
          <w:sz w:val="28"/>
          <w:szCs w:val="28"/>
        </w:rPr>
        <w:t xml:space="preserve"> гг. по КБК 000 1 13 01092 02 0000 130 «Прочие доходы от оказания платных услуг (работ) получателями средств бюдж</w:t>
      </w:r>
      <w:r w:rsidRPr="0028619A">
        <w:rPr>
          <w:sz w:val="28"/>
          <w:szCs w:val="28"/>
        </w:rPr>
        <w:t>етов субъектов Российской Федерации»</w:t>
      </w:r>
      <w:r>
        <w:rPr>
          <w:sz w:val="28"/>
          <w:szCs w:val="28"/>
        </w:rPr>
        <w:t xml:space="preserve"> </w:t>
      </w:r>
      <w:r>
        <w:rPr>
          <w:bCs/>
          <w:sz w:val="28"/>
          <w:szCs w:val="28"/>
        </w:rPr>
        <w:t>осуществляется методом прямого счета исходя из количества оказываемых услуг и средней стоимости оказываемой услуги.</w:t>
      </w:r>
    </w:p>
    <w:p w:rsidR="00F07E05" w:rsidRDefault="00F07E05" w:rsidP="00F07E05">
      <w:pPr>
        <w:ind w:firstLine="708"/>
        <w:jc w:val="both"/>
        <w:rPr>
          <w:b/>
          <w:sz w:val="28"/>
          <w:szCs w:val="28"/>
        </w:rPr>
      </w:pPr>
    </w:p>
    <w:p w:rsidR="00F07E05" w:rsidRDefault="00F07E05" w:rsidP="00F07E05">
      <w:pPr>
        <w:ind w:firstLine="708"/>
        <w:jc w:val="both"/>
        <w:rPr>
          <w:b/>
          <w:sz w:val="28"/>
          <w:szCs w:val="28"/>
        </w:rPr>
      </w:pPr>
    </w:p>
    <w:p w:rsidR="00F07E05" w:rsidRDefault="00F07E05" w:rsidP="00F07E05">
      <w:pPr>
        <w:ind w:firstLine="708"/>
        <w:jc w:val="both"/>
        <w:rPr>
          <w:b/>
          <w:sz w:val="28"/>
          <w:szCs w:val="28"/>
        </w:rPr>
      </w:pPr>
    </w:p>
    <w:p w:rsidR="00F07E05" w:rsidRDefault="00F07E05" w:rsidP="00F07E05">
      <w:pPr>
        <w:ind w:firstLine="708"/>
        <w:jc w:val="both"/>
        <w:rPr>
          <w:sz w:val="28"/>
          <w:szCs w:val="28"/>
        </w:rPr>
      </w:pPr>
      <w:r w:rsidRPr="00EA21E8">
        <w:rPr>
          <w:b/>
          <w:sz w:val="28"/>
          <w:szCs w:val="28"/>
        </w:rPr>
        <w:lastRenderedPageBreak/>
        <w:t>Прогноз 202</w:t>
      </w:r>
      <w:r>
        <w:rPr>
          <w:b/>
          <w:sz w:val="28"/>
          <w:szCs w:val="28"/>
        </w:rPr>
        <w:t>2</w:t>
      </w:r>
      <w:r w:rsidRPr="00EA21E8">
        <w:rPr>
          <w:b/>
          <w:sz w:val="28"/>
          <w:szCs w:val="28"/>
        </w:rPr>
        <w:t xml:space="preserve"> год</w:t>
      </w:r>
      <w:r>
        <w:rPr>
          <w:sz w:val="28"/>
          <w:szCs w:val="28"/>
        </w:rPr>
        <w:t xml:space="preserve"> - </w:t>
      </w:r>
      <w:r w:rsidRPr="0020200A">
        <w:rPr>
          <w:sz w:val="28"/>
          <w:szCs w:val="28"/>
        </w:rPr>
        <w:t xml:space="preserve"> </w:t>
      </w:r>
      <w:r w:rsidRPr="0020200A">
        <w:rPr>
          <w:b/>
          <w:sz w:val="28"/>
          <w:szCs w:val="28"/>
        </w:rPr>
        <w:t>3 000,0</w:t>
      </w:r>
      <w:r w:rsidRPr="0020200A">
        <w:rPr>
          <w:sz w:val="28"/>
          <w:szCs w:val="28"/>
        </w:rPr>
        <w:t xml:space="preserve"> тыс. рублей.</w:t>
      </w:r>
    </w:p>
    <w:p w:rsidR="00F07E05" w:rsidRPr="006A4190" w:rsidRDefault="00F07E05" w:rsidP="00F07E05">
      <w:pPr>
        <w:ind w:firstLine="708"/>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
        <w:gridCol w:w="3154"/>
        <w:gridCol w:w="1863"/>
        <w:gridCol w:w="1800"/>
        <w:gridCol w:w="1776"/>
      </w:tblGrid>
      <w:tr w:rsidR="00F07E05" w:rsidRPr="006A4190" w:rsidTr="008A253E">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F07E05" w:rsidRPr="006A4190" w:rsidRDefault="00F07E05" w:rsidP="008A253E">
            <w:pPr>
              <w:jc w:val="center"/>
              <w:rPr>
                <w:b/>
              </w:rPr>
            </w:pPr>
            <w:r w:rsidRPr="006A4190">
              <w:rPr>
                <w:b/>
              </w:rPr>
              <w:t>№ п/п</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tcPr>
          <w:p w:rsidR="00F07E05" w:rsidRPr="006A4190" w:rsidRDefault="00F07E05" w:rsidP="008A253E">
            <w:pPr>
              <w:jc w:val="center"/>
              <w:rPr>
                <w:b/>
              </w:rPr>
            </w:pPr>
            <w:r w:rsidRPr="006A4190">
              <w:rPr>
                <w:b/>
              </w:rPr>
              <w:t>Направление деятельности</w:t>
            </w:r>
          </w:p>
        </w:tc>
        <w:tc>
          <w:tcPr>
            <w:tcW w:w="1903" w:type="dxa"/>
            <w:tcBorders>
              <w:top w:val="single" w:sz="4" w:space="0" w:color="auto"/>
              <w:left w:val="single" w:sz="4" w:space="0" w:color="auto"/>
              <w:bottom w:val="single" w:sz="4" w:space="0" w:color="auto"/>
              <w:right w:val="single" w:sz="4" w:space="0" w:color="auto"/>
            </w:tcBorders>
            <w:shd w:val="clear" w:color="auto" w:fill="auto"/>
            <w:vAlign w:val="center"/>
          </w:tcPr>
          <w:p w:rsidR="00F07E05" w:rsidRPr="006A4190" w:rsidRDefault="00F07E05" w:rsidP="008A253E">
            <w:pPr>
              <w:jc w:val="center"/>
              <w:rPr>
                <w:b/>
              </w:rPr>
            </w:pPr>
            <w:r w:rsidRPr="006A4190">
              <w:rPr>
                <w:b/>
              </w:rPr>
              <w:t>Количество, шт.</w:t>
            </w:r>
          </w:p>
        </w:tc>
        <w:tc>
          <w:tcPr>
            <w:tcW w:w="1883" w:type="dxa"/>
            <w:tcBorders>
              <w:top w:val="single" w:sz="4" w:space="0" w:color="auto"/>
              <w:left w:val="single" w:sz="4" w:space="0" w:color="auto"/>
              <w:bottom w:val="single" w:sz="4" w:space="0" w:color="auto"/>
              <w:right w:val="single" w:sz="4" w:space="0" w:color="auto"/>
            </w:tcBorders>
            <w:shd w:val="clear" w:color="auto" w:fill="auto"/>
            <w:vAlign w:val="center"/>
          </w:tcPr>
          <w:p w:rsidR="00F07E05" w:rsidRPr="006A4190" w:rsidRDefault="00F07E05" w:rsidP="008A253E">
            <w:pPr>
              <w:jc w:val="center"/>
              <w:rPr>
                <w:b/>
              </w:rPr>
            </w:pPr>
            <w:r w:rsidRPr="006A4190">
              <w:rPr>
                <w:b/>
              </w:rPr>
              <w:t xml:space="preserve">Цена за единицу, </w:t>
            </w:r>
          </w:p>
          <w:p w:rsidR="00F07E05" w:rsidRPr="006A4190" w:rsidRDefault="00F07E05" w:rsidP="008A253E">
            <w:pPr>
              <w:jc w:val="center"/>
              <w:rPr>
                <w:b/>
              </w:rPr>
            </w:pPr>
            <w:r w:rsidRPr="006A4190">
              <w:rPr>
                <w:b/>
              </w:rPr>
              <w:t>тыс. руб.</w:t>
            </w:r>
          </w:p>
        </w:tc>
        <w:tc>
          <w:tcPr>
            <w:tcW w:w="1877" w:type="dxa"/>
            <w:tcBorders>
              <w:top w:val="single" w:sz="4" w:space="0" w:color="auto"/>
              <w:left w:val="single" w:sz="4" w:space="0" w:color="auto"/>
              <w:bottom w:val="single" w:sz="4" w:space="0" w:color="auto"/>
              <w:right w:val="single" w:sz="4" w:space="0" w:color="auto"/>
            </w:tcBorders>
            <w:shd w:val="clear" w:color="auto" w:fill="auto"/>
            <w:vAlign w:val="center"/>
          </w:tcPr>
          <w:p w:rsidR="00F07E05" w:rsidRPr="006A4190" w:rsidRDefault="00F07E05" w:rsidP="008A253E">
            <w:pPr>
              <w:jc w:val="center"/>
              <w:rPr>
                <w:b/>
              </w:rPr>
            </w:pPr>
            <w:r w:rsidRPr="006A4190">
              <w:rPr>
                <w:b/>
              </w:rPr>
              <w:t xml:space="preserve">Сумма, </w:t>
            </w:r>
          </w:p>
          <w:p w:rsidR="00F07E05" w:rsidRPr="006A4190" w:rsidRDefault="00F07E05" w:rsidP="008A253E">
            <w:pPr>
              <w:jc w:val="center"/>
              <w:rPr>
                <w:b/>
              </w:rPr>
            </w:pPr>
            <w:r w:rsidRPr="006A4190">
              <w:rPr>
                <w:b/>
              </w:rPr>
              <w:t>тыс. руб.</w:t>
            </w:r>
          </w:p>
        </w:tc>
      </w:tr>
      <w:tr w:rsidR="00F07E05" w:rsidRPr="006A4190" w:rsidTr="008A253E">
        <w:tc>
          <w:tcPr>
            <w:tcW w:w="617" w:type="dxa"/>
            <w:tcBorders>
              <w:top w:val="single" w:sz="4" w:space="0" w:color="auto"/>
              <w:left w:val="single" w:sz="4" w:space="0" w:color="auto"/>
              <w:bottom w:val="single" w:sz="4" w:space="0" w:color="auto"/>
              <w:right w:val="single" w:sz="4" w:space="0" w:color="auto"/>
            </w:tcBorders>
            <w:shd w:val="clear" w:color="auto" w:fill="auto"/>
          </w:tcPr>
          <w:p w:rsidR="00F07E05" w:rsidRPr="006A4190" w:rsidRDefault="00F07E05" w:rsidP="008A253E">
            <w:pPr>
              <w:jc w:val="center"/>
            </w:pPr>
            <w:r w:rsidRPr="006A4190">
              <w:t>1.</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tcPr>
          <w:p w:rsidR="00F07E05" w:rsidRPr="006A4190" w:rsidRDefault="00F07E05" w:rsidP="008A253E">
            <w:r w:rsidRPr="006A4190">
              <w:t>Охрана окружающей среды</w:t>
            </w:r>
          </w:p>
        </w:tc>
        <w:tc>
          <w:tcPr>
            <w:tcW w:w="1903" w:type="dxa"/>
            <w:tcBorders>
              <w:top w:val="single" w:sz="4" w:space="0" w:color="auto"/>
              <w:left w:val="single" w:sz="4" w:space="0" w:color="auto"/>
              <w:bottom w:val="single" w:sz="4" w:space="0" w:color="auto"/>
              <w:right w:val="single" w:sz="4" w:space="0" w:color="auto"/>
            </w:tcBorders>
            <w:shd w:val="clear" w:color="auto" w:fill="auto"/>
            <w:vAlign w:val="center"/>
          </w:tcPr>
          <w:p w:rsidR="00F07E05" w:rsidRPr="006A4190" w:rsidRDefault="00F07E05" w:rsidP="008A253E">
            <w:pPr>
              <w:jc w:val="center"/>
            </w:pPr>
            <w:r w:rsidRPr="006A4190">
              <w:t>113</w:t>
            </w:r>
          </w:p>
        </w:tc>
        <w:tc>
          <w:tcPr>
            <w:tcW w:w="1883" w:type="dxa"/>
            <w:tcBorders>
              <w:top w:val="single" w:sz="4" w:space="0" w:color="auto"/>
              <w:left w:val="single" w:sz="4" w:space="0" w:color="auto"/>
              <w:bottom w:val="single" w:sz="4" w:space="0" w:color="auto"/>
              <w:right w:val="single" w:sz="4" w:space="0" w:color="auto"/>
            </w:tcBorders>
            <w:shd w:val="clear" w:color="auto" w:fill="auto"/>
            <w:vAlign w:val="center"/>
          </w:tcPr>
          <w:p w:rsidR="00F07E05" w:rsidRPr="006A4190" w:rsidRDefault="00F07E05" w:rsidP="008A253E">
            <w:pPr>
              <w:jc w:val="right"/>
            </w:pPr>
            <w:r w:rsidRPr="006A4190">
              <w:t>5,0</w:t>
            </w:r>
          </w:p>
        </w:tc>
        <w:tc>
          <w:tcPr>
            <w:tcW w:w="1877" w:type="dxa"/>
            <w:tcBorders>
              <w:top w:val="single" w:sz="4" w:space="0" w:color="auto"/>
              <w:left w:val="single" w:sz="4" w:space="0" w:color="auto"/>
              <w:bottom w:val="single" w:sz="4" w:space="0" w:color="auto"/>
              <w:right w:val="single" w:sz="4" w:space="0" w:color="auto"/>
            </w:tcBorders>
            <w:shd w:val="clear" w:color="auto" w:fill="auto"/>
            <w:vAlign w:val="center"/>
          </w:tcPr>
          <w:p w:rsidR="00F07E05" w:rsidRPr="006A4190" w:rsidRDefault="00F07E05" w:rsidP="008A253E">
            <w:pPr>
              <w:jc w:val="right"/>
            </w:pPr>
            <w:r w:rsidRPr="006A4190">
              <w:t>565,0</w:t>
            </w:r>
          </w:p>
        </w:tc>
      </w:tr>
      <w:tr w:rsidR="00F07E05" w:rsidRPr="006A4190" w:rsidTr="008A253E">
        <w:tc>
          <w:tcPr>
            <w:tcW w:w="617" w:type="dxa"/>
            <w:tcBorders>
              <w:top w:val="single" w:sz="4" w:space="0" w:color="auto"/>
              <w:left w:val="single" w:sz="4" w:space="0" w:color="auto"/>
              <w:bottom w:val="single" w:sz="4" w:space="0" w:color="auto"/>
              <w:right w:val="single" w:sz="4" w:space="0" w:color="auto"/>
            </w:tcBorders>
            <w:shd w:val="clear" w:color="auto" w:fill="auto"/>
          </w:tcPr>
          <w:p w:rsidR="00F07E05" w:rsidRPr="006A4190" w:rsidRDefault="00F07E05" w:rsidP="008A253E">
            <w:pPr>
              <w:jc w:val="center"/>
            </w:pPr>
            <w:r w:rsidRPr="006A4190">
              <w:t>2.</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tcPr>
          <w:p w:rsidR="00F07E05" w:rsidRPr="006A4190" w:rsidRDefault="00F07E05" w:rsidP="008A253E">
            <w:r w:rsidRPr="006A4190">
              <w:t>Водопользование</w:t>
            </w:r>
          </w:p>
        </w:tc>
        <w:tc>
          <w:tcPr>
            <w:tcW w:w="1903" w:type="dxa"/>
            <w:tcBorders>
              <w:top w:val="single" w:sz="4" w:space="0" w:color="auto"/>
              <w:left w:val="single" w:sz="4" w:space="0" w:color="auto"/>
              <w:bottom w:val="single" w:sz="4" w:space="0" w:color="auto"/>
              <w:right w:val="single" w:sz="4" w:space="0" w:color="auto"/>
            </w:tcBorders>
            <w:shd w:val="clear" w:color="auto" w:fill="auto"/>
            <w:vAlign w:val="center"/>
          </w:tcPr>
          <w:p w:rsidR="00F07E05" w:rsidRPr="006A4190" w:rsidRDefault="00F07E05" w:rsidP="008A253E">
            <w:pPr>
              <w:jc w:val="center"/>
            </w:pPr>
            <w:r w:rsidRPr="006A4190">
              <w:t>13</w:t>
            </w:r>
          </w:p>
        </w:tc>
        <w:tc>
          <w:tcPr>
            <w:tcW w:w="1883" w:type="dxa"/>
            <w:tcBorders>
              <w:top w:val="single" w:sz="4" w:space="0" w:color="auto"/>
              <w:left w:val="single" w:sz="4" w:space="0" w:color="auto"/>
              <w:bottom w:val="single" w:sz="4" w:space="0" w:color="auto"/>
              <w:right w:val="single" w:sz="4" w:space="0" w:color="auto"/>
            </w:tcBorders>
            <w:shd w:val="clear" w:color="auto" w:fill="auto"/>
            <w:vAlign w:val="center"/>
          </w:tcPr>
          <w:p w:rsidR="00F07E05" w:rsidRPr="006A4190" w:rsidRDefault="00F07E05" w:rsidP="008A253E">
            <w:pPr>
              <w:jc w:val="right"/>
            </w:pPr>
            <w:r w:rsidRPr="006A4190">
              <w:t>25,0</w:t>
            </w:r>
          </w:p>
        </w:tc>
        <w:tc>
          <w:tcPr>
            <w:tcW w:w="1877" w:type="dxa"/>
            <w:tcBorders>
              <w:top w:val="single" w:sz="4" w:space="0" w:color="auto"/>
              <w:left w:val="single" w:sz="4" w:space="0" w:color="auto"/>
              <w:bottom w:val="single" w:sz="4" w:space="0" w:color="auto"/>
              <w:right w:val="single" w:sz="4" w:space="0" w:color="auto"/>
            </w:tcBorders>
            <w:shd w:val="clear" w:color="auto" w:fill="auto"/>
            <w:vAlign w:val="center"/>
          </w:tcPr>
          <w:p w:rsidR="00F07E05" w:rsidRPr="006A4190" w:rsidRDefault="00F07E05" w:rsidP="008A253E">
            <w:pPr>
              <w:jc w:val="right"/>
            </w:pPr>
            <w:r w:rsidRPr="006A4190">
              <w:t>325,0</w:t>
            </w:r>
          </w:p>
        </w:tc>
      </w:tr>
      <w:tr w:rsidR="00F07E05" w:rsidRPr="006A4190" w:rsidTr="008A253E">
        <w:tc>
          <w:tcPr>
            <w:tcW w:w="617" w:type="dxa"/>
            <w:tcBorders>
              <w:top w:val="single" w:sz="4" w:space="0" w:color="auto"/>
              <w:left w:val="single" w:sz="4" w:space="0" w:color="auto"/>
              <w:bottom w:val="single" w:sz="4" w:space="0" w:color="auto"/>
              <w:right w:val="single" w:sz="4" w:space="0" w:color="auto"/>
            </w:tcBorders>
            <w:shd w:val="clear" w:color="auto" w:fill="auto"/>
          </w:tcPr>
          <w:p w:rsidR="00F07E05" w:rsidRPr="006A4190" w:rsidRDefault="00F07E05" w:rsidP="008A253E">
            <w:pPr>
              <w:jc w:val="center"/>
            </w:pPr>
            <w:r w:rsidRPr="006A4190">
              <w:t>3.</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tcPr>
          <w:p w:rsidR="00F07E05" w:rsidRPr="006A4190" w:rsidRDefault="00F07E05" w:rsidP="008A253E">
            <w:r w:rsidRPr="006A4190">
              <w:t>Недропользование</w:t>
            </w:r>
          </w:p>
        </w:tc>
        <w:tc>
          <w:tcPr>
            <w:tcW w:w="1903" w:type="dxa"/>
            <w:tcBorders>
              <w:top w:val="single" w:sz="4" w:space="0" w:color="auto"/>
              <w:left w:val="single" w:sz="4" w:space="0" w:color="auto"/>
              <w:bottom w:val="single" w:sz="4" w:space="0" w:color="auto"/>
              <w:right w:val="single" w:sz="4" w:space="0" w:color="auto"/>
            </w:tcBorders>
            <w:shd w:val="clear" w:color="auto" w:fill="auto"/>
            <w:vAlign w:val="center"/>
          </w:tcPr>
          <w:p w:rsidR="00F07E05" w:rsidRPr="006A4190" w:rsidRDefault="00F07E05" w:rsidP="008A253E">
            <w:pPr>
              <w:jc w:val="center"/>
            </w:pPr>
            <w:r w:rsidRPr="006A4190">
              <w:t>43</w:t>
            </w:r>
          </w:p>
        </w:tc>
        <w:tc>
          <w:tcPr>
            <w:tcW w:w="1883" w:type="dxa"/>
            <w:tcBorders>
              <w:top w:val="single" w:sz="4" w:space="0" w:color="auto"/>
              <w:left w:val="single" w:sz="4" w:space="0" w:color="auto"/>
              <w:bottom w:val="single" w:sz="4" w:space="0" w:color="auto"/>
              <w:right w:val="single" w:sz="4" w:space="0" w:color="auto"/>
            </w:tcBorders>
            <w:shd w:val="clear" w:color="auto" w:fill="auto"/>
            <w:vAlign w:val="center"/>
          </w:tcPr>
          <w:p w:rsidR="00F07E05" w:rsidRPr="006A4190" w:rsidRDefault="00F07E05" w:rsidP="008A253E">
            <w:pPr>
              <w:jc w:val="right"/>
            </w:pPr>
            <w:r w:rsidRPr="006A4190">
              <w:t>20,0</w:t>
            </w:r>
          </w:p>
        </w:tc>
        <w:tc>
          <w:tcPr>
            <w:tcW w:w="1877" w:type="dxa"/>
            <w:tcBorders>
              <w:top w:val="single" w:sz="4" w:space="0" w:color="auto"/>
              <w:left w:val="single" w:sz="4" w:space="0" w:color="auto"/>
              <w:bottom w:val="single" w:sz="4" w:space="0" w:color="auto"/>
              <w:right w:val="single" w:sz="4" w:space="0" w:color="auto"/>
            </w:tcBorders>
            <w:shd w:val="clear" w:color="auto" w:fill="auto"/>
            <w:vAlign w:val="center"/>
          </w:tcPr>
          <w:p w:rsidR="00F07E05" w:rsidRPr="006A4190" w:rsidRDefault="00F07E05" w:rsidP="008A253E">
            <w:pPr>
              <w:jc w:val="right"/>
            </w:pPr>
            <w:r w:rsidRPr="006A4190">
              <w:t>860,0</w:t>
            </w:r>
          </w:p>
        </w:tc>
      </w:tr>
      <w:tr w:rsidR="00F07E05" w:rsidRPr="006A4190" w:rsidTr="008A253E">
        <w:tc>
          <w:tcPr>
            <w:tcW w:w="617" w:type="dxa"/>
            <w:tcBorders>
              <w:top w:val="single" w:sz="4" w:space="0" w:color="auto"/>
              <w:left w:val="single" w:sz="4" w:space="0" w:color="auto"/>
              <w:bottom w:val="single" w:sz="4" w:space="0" w:color="auto"/>
              <w:right w:val="single" w:sz="4" w:space="0" w:color="auto"/>
            </w:tcBorders>
            <w:shd w:val="clear" w:color="auto" w:fill="auto"/>
          </w:tcPr>
          <w:p w:rsidR="00F07E05" w:rsidRPr="006A4190" w:rsidRDefault="00F07E05" w:rsidP="008A253E">
            <w:pPr>
              <w:jc w:val="center"/>
            </w:pPr>
            <w:r w:rsidRPr="006A4190">
              <w:t>4.</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tcPr>
          <w:p w:rsidR="00F07E05" w:rsidRPr="006A4190" w:rsidRDefault="00F07E05" w:rsidP="008A253E">
            <w:r w:rsidRPr="006A4190">
              <w:t>Охотопользование</w:t>
            </w:r>
          </w:p>
        </w:tc>
        <w:tc>
          <w:tcPr>
            <w:tcW w:w="1903" w:type="dxa"/>
            <w:tcBorders>
              <w:top w:val="single" w:sz="4" w:space="0" w:color="auto"/>
              <w:left w:val="single" w:sz="4" w:space="0" w:color="auto"/>
              <w:bottom w:val="single" w:sz="4" w:space="0" w:color="auto"/>
              <w:right w:val="single" w:sz="4" w:space="0" w:color="auto"/>
            </w:tcBorders>
            <w:shd w:val="clear" w:color="auto" w:fill="auto"/>
            <w:vAlign w:val="center"/>
          </w:tcPr>
          <w:p w:rsidR="00F07E05" w:rsidRPr="006A4190" w:rsidRDefault="00F07E05" w:rsidP="008A253E">
            <w:pPr>
              <w:jc w:val="center"/>
            </w:pPr>
            <w:r w:rsidRPr="006A4190">
              <w:t>25</w:t>
            </w:r>
          </w:p>
        </w:tc>
        <w:tc>
          <w:tcPr>
            <w:tcW w:w="1883" w:type="dxa"/>
            <w:tcBorders>
              <w:top w:val="single" w:sz="4" w:space="0" w:color="auto"/>
              <w:left w:val="single" w:sz="4" w:space="0" w:color="auto"/>
              <w:bottom w:val="single" w:sz="4" w:space="0" w:color="auto"/>
              <w:right w:val="single" w:sz="4" w:space="0" w:color="auto"/>
            </w:tcBorders>
            <w:shd w:val="clear" w:color="auto" w:fill="auto"/>
            <w:vAlign w:val="center"/>
          </w:tcPr>
          <w:p w:rsidR="00F07E05" w:rsidRPr="006A4190" w:rsidRDefault="00F07E05" w:rsidP="008A253E">
            <w:pPr>
              <w:jc w:val="right"/>
            </w:pPr>
            <w:r w:rsidRPr="006A4190">
              <w:t>50,0</w:t>
            </w:r>
          </w:p>
        </w:tc>
        <w:tc>
          <w:tcPr>
            <w:tcW w:w="1877" w:type="dxa"/>
            <w:tcBorders>
              <w:top w:val="single" w:sz="4" w:space="0" w:color="auto"/>
              <w:left w:val="single" w:sz="4" w:space="0" w:color="auto"/>
              <w:bottom w:val="single" w:sz="4" w:space="0" w:color="auto"/>
              <w:right w:val="single" w:sz="4" w:space="0" w:color="auto"/>
            </w:tcBorders>
            <w:shd w:val="clear" w:color="auto" w:fill="auto"/>
            <w:vAlign w:val="center"/>
          </w:tcPr>
          <w:p w:rsidR="00F07E05" w:rsidRPr="006A4190" w:rsidRDefault="00F07E05" w:rsidP="008A253E">
            <w:pPr>
              <w:jc w:val="right"/>
            </w:pPr>
            <w:r w:rsidRPr="006A4190">
              <w:t>1</w:t>
            </w:r>
            <w:r>
              <w:t xml:space="preserve"> </w:t>
            </w:r>
            <w:r w:rsidRPr="006A4190">
              <w:t>250,0</w:t>
            </w:r>
          </w:p>
        </w:tc>
      </w:tr>
      <w:tr w:rsidR="00F07E05" w:rsidRPr="006A4190" w:rsidTr="008A253E">
        <w:tc>
          <w:tcPr>
            <w:tcW w:w="7693" w:type="dxa"/>
            <w:gridSpan w:val="4"/>
            <w:shd w:val="clear" w:color="auto" w:fill="auto"/>
          </w:tcPr>
          <w:p w:rsidR="00F07E05" w:rsidRPr="006A4190" w:rsidRDefault="00F07E05" w:rsidP="008A253E">
            <w:pPr>
              <w:jc w:val="center"/>
              <w:rPr>
                <w:b/>
              </w:rPr>
            </w:pPr>
            <w:r w:rsidRPr="006A4190">
              <w:rPr>
                <w:b/>
              </w:rPr>
              <w:t>Всего:</w:t>
            </w:r>
          </w:p>
        </w:tc>
        <w:tc>
          <w:tcPr>
            <w:tcW w:w="1877" w:type="dxa"/>
            <w:shd w:val="clear" w:color="auto" w:fill="auto"/>
            <w:vAlign w:val="center"/>
          </w:tcPr>
          <w:p w:rsidR="00F07E05" w:rsidRPr="006A4190" w:rsidRDefault="00F07E05" w:rsidP="008A253E">
            <w:pPr>
              <w:jc w:val="right"/>
              <w:rPr>
                <w:b/>
              </w:rPr>
            </w:pPr>
            <w:r w:rsidRPr="006A4190">
              <w:rPr>
                <w:b/>
              </w:rPr>
              <w:t>3 000,0</w:t>
            </w:r>
          </w:p>
        </w:tc>
      </w:tr>
    </w:tbl>
    <w:p w:rsidR="00F07E05" w:rsidRPr="0020200A" w:rsidRDefault="00F07E05" w:rsidP="00F07E05">
      <w:pPr>
        <w:ind w:firstLine="708"/>
        <w:jc w:val="both"/>
        <w:rPr>
          <w:sz w:val="28"/>
          <w:szCs w:val="28"/>
        </w:rPr>
      </w:pPr>
    </w:p>
    <w:p w:rsidR="00F07E05" w:rsidRDefault="00F07E05" w:rsidP="00F07E05">
      <w:pPr>
        <w:ind w:firstLine="709"/>
        <w:jc w:val="both"/>
        <w:rPr>
          <w:b/>
          <w:bCs/>
          <w:sz w:val="28"/>
          <w:szCs w:val="28"/>
        </w:rPr>
      </w:pPr>
      <w:r w:rsidRPr="007250B9">
        <w:rPr>
          <w:b/>
          <w:bCs/>
          <w:sz w:val="28"/>
          <w:szCs w:val="28"/>
        </w:rPr>
        <w:t>Прогноз 20</w:t>
      </w:r>
      <w:r>
        <w:rPr>
          <w:b/>
          <w:bCs/>
          <w:sz w:val="28"/>
          <w:szCs w:val="28"/>
        </w:rPr>
        <w:t>23</w:t>
      </w:r>
      <w:r w:rsidRPr="007250B9">
        <w:rPr>
          <w:b/>
          <w:bCs/>
          <w:sz w:val="28"/>
          <w:szCs w:val="28"/>
        </w:rPr>
        <w:t xml:space="preserve"> год – </w:t>
      </w:r>
      <w:r>
        <w:rPr>
          <w:b/>
          <w:bCs/>
          <w:sz w:val="28"/>
          <w:szCs w:val="28"/>
        </w:rPr>
        <w:t>3</w:t>
      </w:r>
      <w:r w:rsidRPr="007250B9">
        <w:rPr>
          <w:b/>
          <w:bCs/>
          <w:sz w:val="28"/>
          <w:szCs w:val="28"/>
        </w:rPr>
        <w:t xml:space="preserve"> </w:t>
      </w:r>
      <w:r>
        <w:rPr>
          <w:b/>
          <w:bCs/>
          <w:sz w:val="28"/>
          <w:szCs w:val="28"/>
        </w:rPr>
        <w:t>500</w:t>
      </w:r>
      <w:r w:rsidRPr="007250B9">
        <w:rPr>
          <w:b/>
          <w:bCs/>
          <w:sz w:val="28"/>
          <w:szCs w:val="28"/>
        </w:rPr>
        <w:t xml:space="preserve"> тыс.руб.</w:t>
      </w:r>
    </w:p>
    <w:p w:rsidR="00F07E05" w:rsidRPr="00DD4E7E" w:rsidRDefault="00F07E05" w:rsidP="00F07E05">
      <w:pPr>
        <w:ind w:firstLine="708"/>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
        <w:gridCol w:w="3154"/>
        <w:gridCol w:w="1863"/>
        <w:gridCol w:w="1800"/>
        <w:gridCol w:w="1776"/>
      </w:tblGrid>
      <w:tr w:rsidR="00F07E05" w:rsidRPr="00DD4E7E" w:rsidTr="008A253E">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F07E05" w:rsidRPr="00DD4E7E" w:rsidRDefault="00F07E05" w:rsidP="008A253E">
            <w:pPr>
              <w:jc w:val="center"/>
              <w:rPr>
                <w:b/>
              </w:rPr>
            </w:pPr>
            <w:r w:rsidRPr="00DD4E7E">
              <w:rPr>
                <w:b/>
              </w:rPr>
              <w:t>№ п/п</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tcPr>
          <w:p w:rsidR="00F07E05" w:rsidRPr="00DD4E7E" w:rsidRDefault="00F07E05" w:rsidP="008A253E">
            <w:pPr>
              <w:jc w:val="center"/>
              <w:rPr>
                <w:b/>
              </w:rPr>
            </w:pPr>
            <w:r w:rsidRPr="00DD4E7E">
              <w:rPr>
                <w:b/>
              </w:rPr>
              <w:t>Направление деятельности</w:t>
            </w:r>
          </w:p>
        </w:tc>
        <w:tc>
          <w:tcPr>
            <w:tcW w:w="1903" w:type="dxa"/>
            <w:tcBorders>
              <w:top w:val="single" w:sz="4" w:space="0" w:color="auto"/>
              <w:left w:val="single" w:sz="4" w:space="0" w:color="auto"/>
              <w:bottom w:val="single" w:sz="4" w:space="0" w:color="auto"/>
              <w:right w:val="single" w:sz="4" w:space="0" w:color="auto"/>
            </w:tcBorders>
            <w:shd w:val="clear" w:color="auto" w:fill="auto"/>
            <w:vAlign w:val="center"/>
          </w:tcPr>
          <w:p w:rsidR="00F07E05" w:rsidRPr="00DD4E7E" w:rsidRDefault="00F07E05" w:rsidP="008A253E">
            <w:pPr>
              <w:jc w:val="center"/>
              <w:rPr>
                <w:b/>
              </w:rPr>
            </w:pPr>
            <w:r w:rsidRPr="00DD4E7E">
              <w:rPr>
                <w:b/>
              </w:rPr>
              <w:t>Количество, шт.</w:t>
            </w:r>
          </w:p>
        </w:tc>
        <w:tc>
          <w:tcPr>
            <w:tcW w:w="1883" w:type="dxa"/>
            <w:tcBorders>
              <w:top w:val="single" w:sz="4" w:space="0" w:color="auto"/>
              <w:left w:val="single" w:sz="4" w:space="0" w:color="auto"/>
              <w:bottom w:val="single" w:sz="4" w:space="0" w:color="auto"/>
              <w:right w:val="single" w:sz="4" w:space="0" w:color="auto"/>
            </w:tcBorders>
            <w:shd w:val="clear" w:color="auto" w:fill="auto"/>
            <w:vAlign w:val="center"/>
          </w:tcPr>
          <w:p w:rsidR="00F07E05" w:rsidRPr="00DD4E7E" w:rsidRDefault="00F07E05" w:rsidP="008A253E">
            <w:pPr>
              <w:jc w:val="center"/>
              <w:rPr>
                <w:b/>
              </w:rPr>
            </w:pPr>
            <w:r w:rsidRPr="00DD4E7E">
              <w:rPr>
                <w:b/>
              </w:rPr>
              <w:t xml:space="preserve">Цена за единицу, </w:t>
            </w:r>
          </w:p>
          <w:p w:rsidR="00F07E05" w:rsidRPr="00DD4E7E" w:rsidRDefault="00F07E05" w:rsidP="008A253E">
            <w:pPr>
              <w:jc w:val="center"/>
              <w:rPr>
                <w:b/>
              </w:rPr>
            </w:pPr>
            <w:r w:rsidRPr="00DD4E7E">
              <w:rPr>
                <w:b/>
              </w:rPr>
              <w:t>тыс. руб.</w:t>
            </w:r>
          </w:p>
        </w:tc>
        <w:tc>
          <w:tcPr>
            <w:tcW w:w="1877" w:type="dxa"/>
            <w:tcBorders>
              <w:top w:val="single" w:sz="4" w:space="0" w:color="auto"/>
              <w:left w:val="single" w:sz="4" w:space="0" w:color="auto"/>
              <w:bottom w:val="single" w:sz="4" w:space="0" w:color="auto"/>
              <w:right w:val="single" w:sz="4" w:space="0" w:color="auto"/>
            </w:tcBorders>
            <w:shd w:val="clear" w:color="auto" w:fill="auto"/>
            <w:vAlign w:val="center"/>
          </w:tcPr>
          <w:p w:rsidR="00F07E05" w:rsidRPr="00DD4E7E" w:rsidRDefault="00F07E05" w:rsidP="008A253E">
            <w:pPr>
              <w:jc w:val="center"/>
              <w:rPr>
                <w:b/>
              </w:rPr>
            </w:pPr>
            <w:r w:rsidRPr="00DD4E7E">
              <w:rPr>
                <w:b/>
              </w:rPr>
              <w:t xml:space="preserve">Сумма, </w:t>
            </w:r>
          </w:p>
          <w:p w:rsidR="00F07E05" w:rsidRPr="00DD4E7E" w:rsidRDefault="00F07E05" w:rsidP="008A253E">
            <w:pPr>
              <w:jc w:val="center"/>
              <w:rPr>
                <w:b/>
              </w:rPr>
            </w:pPr>
            <w:r w:rsidRPr="00DD4E7E">
              <w:rPr>
                <w:b/>
              </w:rPr>
              <w:t>тыс. руб.</w:t>
            </w:r>
          </w:p>
        </w:tc>
      </w:tr>
      <w:tr w:rsidR="00F07E05" w:rsidRPr="00DD4E7E" w:rsidTr="008A253E">
        <w:tc>
          <w:tcPr>
            <w:tcW w:w="617" w:type="dxa"/>
            <w:tcBorders>
              <w:top w:val="single" w:sz="4" w:space="0" w:color="auto"/>
              <w:left w:val="single" w:sz="4" w:space="0" w:color="auto"/>
              <w:bottom w:val="single" w:sz="4" w:space="0" w:color="auto"/>
              <w:right w:val="single" w:sz="4" w:space="0" w:color="auto"/>
            </w:tcBorders>
            <w:shd w:val="clear" w:color="auto" w:fill="auto"/>
          </w:tcPr>
          <w:p w:rsidR="00F07E05" w:rsidRPr="00DD4E7E" w:rsidRDefault="00F07E05" w:rsidP="008A253E">
            <w:pPr>
              <w:jc w:val="center"/>
            </w:pPr>
            <w:r w:rsidRPr="00DD4E7E">
              <w:t>1.</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tcPr>
          <w:p w:rsidR="00F07E05" w:rsidRPr="00DD4E7E" w:rsidRDefault="00F07E05" w:rsidP="008A253E">
            <w:r w:rsidRPr="00DD4E7E">
              <w:t>Охрана окружающей среды</w:t>
            </w:r>
          </w:p>
        </w:tc>
        <w:tc>
          <w:tcPr>
            <w:tcW w:w="1903" w:type="dxa"/>
            <w:tcBorders>
              <w:top w:val="single" w:sz="4" w:space="0" w:color="auto"/>
              <w:left w:val="single" w:sz="4" w:space="0" w:color="auto"/>
              <w:bottom w:val="single" w:sz="4" w:space="0" w:color="auto"/>
              <w:right w:val="single" w:sz="4" w:space="0" w:color="auto"/>
            </w:tcBorders>
            <w:shd w:val="clear" w:color="auto" w:fill="auto"/>
            <w:vAlign w:val="center"/>
          </w:tcPr>
          <w:p w:rsidR="00F07E05" w:rsidRPr="00DD4E7E" w:rsidRDefault="00F07E05" w:rsidP="008A253E">
            <w:pPr>
              <w:jc w:val="center"/>
            </w:pPr>
            <w:r w:rsidRPr="00DD4E7E">
              <w:t>115</w:t>
            </w:r>
          </w:p>
        </w:tc>
        <w:tc>
          <w:tcPr>
            <w:tcW w:w="1883" w:type="dxa"/>
            <w:tcBorders>
              <w:top w:val="single" w:sz="4" w:space="0" w:color="auto"/>
              <w:left w:val="single" w:sz="4" w:space="0" w:color="auto"/>
              <w:bottom w:val="single" w:sz="4" w:space="0" w:color="auto"/>
              <w:right w:val="single" w:sz="4" w:space="0" w:color="auto"/>
            </w:tcBorders>
            <w:shd w:val="clear" w:color="auto" w:fill="auto"/>
            <w:vAlign w:val="center"/>
          </w:tcPr>
          <w:p w:rsidR="00F07E05" w:rsidRPr="00DD4E7E" w:rsidRDefault="00F07E05" w:rsidP="008A253E">
            <w:pPr>
              <w:jc w:val="right"/>
            </w:pPr>
            <w:r w:rsidRPr="00DD4E7E">
              <w:t>5,0</w:t>
            </w:r>
          </w:p>
        </w:tc>
        <w:tc>
          <w:tcPr>
            <w:tcW w:w="1877" w:type="dxa"/>
            <w:tcBorders>
              <w:top w:val="single" w:sz="4" w:space="0" w:color="auto"/>
              <w:left w:val="single" w:sz="4" w:space="0" w:color="auto"/>
              <w:bottom w:val="single" w:sz="4" w:space="0" w:color="auto"/>
              <w:right w:val="single" w:sz="4" w:space="0" w:color="auto"/>
            </w:tcBorders>
            <w:shd w:val="clear" w:color="auto" w:fill="auto"/>
            <w:vAlign w:val="center"/>
          </w:tcPr>
          <w:p w:rsidR="00F07E05" w:rsidRPr="00DD4E7E" w:rsidRDefault="00F07E05" w:rsidP="008A253E">
            <w:pPr>
              <w:jc w:val="right"/>
            </w:pPr>
            <w:r w:rsidRPr="00DD4E7E">
              <w:t>575,0</w:t>
            </w:r>
          </w:p>
        </w:tc>
      </w:tr>
      <w:tr w:rsidR="00F07E05" w:rsidRPr="00DD4E7E" w:rsidTr="008A253E">
        <w:tc>
          <w:tcPr>
            <w:tcW w:w="617" w:type="dxa"/>
            <w:tcBorders>
              <w:top w:val="single" w:sz="4" w:space="0" w:color="auto"/>
              <w:left w:val="single" w:sz="4" w:space="0" w:color="auto"/>
              <w:bottom w:val="single" w:sz="4" w:space="0" w:color="auto"/>
              <w:right w:val="single" w:sz="4" w:space="0" w:color="auto"/>
            </w:tcBorders>
            <w:shd w:val="clear" w:color="auto" w:fill="auto"/>
          </w:tcPr>
          <w:p w:rsidR="00F07E05" w:rsidRPr="00DD4E7E" w:rsidRDefault="00F07E05" w:rsidP="008A253E">
            <w:pPr>
              <w:jc w:val="center"/>
            </w:pPr>
            <w:r w:rsidRPr="00DD4E7E">
              <w:t>2.</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tcPr>
          <w:p w:rsidR="00F07E05" w:rsidRPr="00DD4E7E" w:rsidRDefault="00F07E05" w:rsidP="008A253E">
            <w:r w:rsidRPr="00DD4E7E">
              <w:t>Водопользование</w:t>
            </w:r>
          </w:p>
        </w:tc>
        <w:tc>
          <w:tcPr>
            <w:tcW w:w="1903" w:type="dxa"/>
            <w:tcBorders>
              <w:top w:val="single" w:sz="4" w:space="0" w:color="auto"/>
              <w:left w:val="single" w:sz="4" w:space="0" w:color="auto"/>
              <w:bottom w:val="single" w:sz="4" w:space="0" w:color="auto"/>
              <w:right w:val="single" w:sz="4" w:space="0" w:color="auto"/>
            </w:tcBorders>
            <w:shd w:val="clear" w:color="auto" w:fill="auto"/>
            <w:vAlign w:val="center"/>
          </w:tcPr>
          <w:p w:rsidR="00F07E05" w:rsidRPr="00DD4E7E" w:rsidRDefault="00F07E05" w:rsidP="008A253E">
            <w:pPr>
              <w:jc w:val="center"/>
            </w:pPr>
            <w:r w:rsidRPr="00DD4E7E">
              <w:t>13</w:t>
            </w:r>
          </w:p>
        </w:tc>
        <w:tc>
          <w:tcPr>
            <w:tcW w:w="1883" w:type="dxa"/>
            <w:tcBorders>
              <w:top w:val="single" w:sz="4" w:space="0" w:color="auto"/>
              <w:left w:val="single" w:sz="4" w:space="0" w:color="auto"/>
              <w:bottom w:val="single" w:sz="4" w:space="0" w:color="auto"/>
              <w:right w:val="single" w:sz="4" w:space="0" w:color="auto"/>
            </w:tcBorders>
            <w:shd w:val="clear" w:color="auto" w:fill="auto"/>
            <w:vAlign w:val="center"/>
          </w:tcPr>
          <w:p w:rsidR="00F07E05" w:rsidRPr="00DD4E7E" w:rsidRDefault="00F07E05" w:rsidP="008A253E">
            <w:pPr>
              <w:jc w:val="right"/>
            </w:pPr>
            <w:r w:rsidRPr="00DD4E7E">
              <w:t>25,0</w:t>
            </w:r>
          </w:p>
        </w:tc>
        <w:tc>
          <w:tcPr>
            <w:tcW w:w="1877" w:type="dxa"/>
            <w:tcBorders>
              <w:top w:val="single" w:sz="4" w:space="0" w:color="auto"/>
              <w:left w:val="single" w:sz="4" w:space="0" w:color="auto"/>
              <w:bottom w:val="single" w:sz="4" w:space="0" w:color="auto"/>
              <w:right w:val="single" w:sz="4" w:space="0" w:color="auto"/>
            </w:tcBorders>
            <w:shd w:val="clear" w:color="auto" w:fill="auto"/>
            <w:vAlign w:val="center"/>
          </w:tcPr>
          <w:p w:rsidR="00F07E05" w:rsidRPr="00DD4E7E" w:rsidRDefault="00F07E05" w:rsidP="008A253E">
            <w:pPr>
              <w:jc w:val="right"/>
            </w:pPr>
            <w:r w:rsidRPr="00DD4E7E">
              <w:t>325,0</w:t>
            </w:r>
          </w:p>
        </w:tc>
      </w:tr>
      <w:tr w:rsidR="00F07E05" w:rsidRPr="00DD4E7E" w:rsidTr="008A253E">
        <w:tc>
          <w:tcPr>
            <w:tcW w:w="617" w:type="dxa"/>
            <w:tcBorders>
              <w:top w:val="single" w:sz="4" w:space="0" w:color="auto"/>
              <w:left w:val="single" w:sz="4" w:space="0" w:color="auto"/>
              <w:bottom w:val="single" w:sz="4" w:space="0" w:color="auto"/>
              <w:right w:val="single" w:sz="4" w:space="0" w:color="auto"/>
            </w:tcBorders>
            <w:shd w:val="clear" w:color="auto" w:fill="auto"/>
          </w:tcPr>
          <w:p w:rsidR="00F07E05" w:rsidRPr="00DD4E7E" w:rsidRDefault="00F07E05" w:rsidP="008A253E">
            <w:pPr>
              <w:jc w:val="center"/>
            </w:pPr>
            <w:r w:rsidRPr="00DD4E7E">
              <w:t>3.</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tcPr>
          <w:p w:rsidR="00F07E05" w:rsidRPr="00DD4E7E" w:rsidRDefault="00F07E05" w:rsidP="008A253E">
            <w:r w:rsidRPr="00DD4E7E">
              <w:t>Недропользование</w:t>
            </w:r>
          </w:p>
        </w:tc>
        <w:tc>
          <w:tcPr>
            <w:tcW w:w="1903" w:type="dxa"/>
            <w:tcBorders>
              <w:top w:val="single" w:sz="4" w:space="0" w:color="auto"/>
              <w:left w:val="single" w:sz="4" w:space="0" w:color="auto"/>
              <w:bottom w:val="single" w:sz="4" w:space="0" w:color="auto"/>
              <w:right w:val="single" w:sz="4" w:space="0" w:color="auto"/>
            </w:tcBorders>
            <w:shd w:val="clear" w:color="auto" w:fill="auto"/>
            <w:vAlign w:val="center"/>
          </w:tcPr>
          <w:p w:rsidR="00F07E05" w:rsidRPr="00DD4E7E" w:rsidRDefault="00F07E05" w:rsidP="008A253E">
            <w:pPr>
              <w:jc w:val="center"/>
            </w:pPr>
            <w:r w:rsidRPr="00DD4E7E">
              <w:t>45</w:t>
            </w:r>
          </w:p>
        </w:tc>
        <w:tc>
          <w:tcPr>
            <w:tcW w:w="1883" w:type="dxa"/>
            <w:tcBorders>
              <w:top w:val="single" w:sz="4" w:space="0" w:color="auto"/>
              <w:left w:val="single" w:sz="4" w:space="0" w:color="auto"/>
              <w:bottom w:val="single" w:sz="4" w:space="0" w:color="auto"/>
              <w:right w:val="single" w:sz="4" w:space="0" w:color="auto"/>
            </w:tcBorders>
            <w:shd w:val="clear" w:color="auto" w:fill="auto"/>
            <w:vAlign w:val="center"/>
          </w:tcPr>
          <w:p w:rsidR="00F07E05" w:rsidRPr="00DD4E7E" w:rsidRDefault="00F07E05" w:rsidP="008A253E">
            <w:pPr>
              <w:jc w:val="right"/>
            </w:pPr>
            <w:r w:rsidRPr="00DD4E7E">
              <w:t>20,0</w:t>
            </w:r>
          </w:p>
        </w:tc>
        <w:tc>
          <w:tcPr>
            <w:tcW w:w="1877" w:type="dxa"/>
            <w:tcBorders>
              <w:top w:val="single" w:sz="4" w:space="0" w:color="auto"/>
              <w:left w:val="single" w:sz="4" w:space="0" w:color="auto"/>
              <w:bottom w:val="single" w:sz="4" w:space="0" w:color="auto"/>
              <w:right w:val="single" w:sz="4" w:space="0" w:color="auto"/>
            </w:tcBorders>
            <w:shd w:val="clear" w:color="auto" w:fill="auto"/>
            <w:vAlign w:val="center"/>
          </w:tcPr>
          <w:p w:rsidR="00F07E05" w:rsidRPr="00DD4E7E" w:rsidRDefault="00F07E05" w:rsidP="008A253E">
            <w:pPr>
              <w:jc w:val="right"/>
            </w:pPr>
            <w:r w:rsidRPr="00DD4E7E">
              <w:t>900,0</w:t>
            </w:r>
          </w:p>
        </w:tc>
      </w:tr>
      <w:tr w:rsidR="00F07E05" w:rsidRPr="00DD4E7E" w:rsidTr="008A253E">
        <w:tc>
          <w:tcPr>
            <w:tcW w:w="617" w:type="dxa"/>
            <w:tcBorders>
              <w:top w:val="single" w:sz="4" w:space="0" w:color="auto"/>
              <w:left w:val="single" w:sz="4" w:space="0" w:color="auto"/>
              <w:bottom w:val="single" w:sz="4" w:space="0" w:color="auto"/>
              <w:right w:val="single" w:sz="4" w:space="0" w:color="auto"/>
            </w:tcBorders>
            <w:shd w:val="clear" w:color="auto" w:fill="auto"/>
          </w:tcPr>
          <w:p w:rsidR="00F07E05" w:rsidRPr="00DD4E7E" w:rsidRDefault="00F07E05" w:rsidP="008A253E">
            <w:pPr>
              <w:jc w:val="center"/>
            </w:pPr>
            <w:r w:rsidRPr="00DD4E7E">
              <w:t>4.</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tcPr>
          <w:p w:rsidR="00F07E05" w:rsidRPr="00DD4E7E" w:rsidRDefault="00F07E05" w:rsidP="008A253E">
            <w:r w:rsidRPr="00DD4E7E">
              <w:t>Охотопользование</w:t>
            </w:r>
          </w:p>
        </w:tc>
        <w:tc>
          <w:tcPr>
            <w:tcW w:w="1903" w:type="dxa"/>
            <w:tcBorders>
              <w:top w:val="single" w:sz="4" w:space="0" w:color="auto"/>
              <w:left w:val="single" w:sz="4" w:space="0" w:color="auto"/>
              <w:bottom w:val="single" w:sz="4" w:space="0" w:color="auto"/>
              <w:right w:val="single" w:sz="4" w:space="0" w:color="auto"/>
            </w:tcBorders>
            <w:shd w:val="clear" w:color="auto" w:fill="auto"/>
            <w:vAlign w:val="center"/>
          </w:tcPr>
          <w:p w:rsidR="00F07E05" w:rsidRPr="00DD4E7E" w:rsidRDefault="00F07E05" w:rsidP="008A253E">
            <w:pPr>
              <w:jc w:val="center"/>
            </w:pPr>
            <w:r w:rsidRPr="00DD4E7E">
              <w:t>34</w:t>
            </w:r>
          </w:p>
        </w:tc>
        <w:tc>
          <w:tcPr>
            <w:tcW w:w="1883" w:type="dxa"/>
            <w:tcBorders>
              <w:top w:val="single" w:sz="4" w:space="0" w:color="auto"/>
              <w:left w:val="single" w:sz="4" w:space="0" w:color="auto"/>
              <w:bottom w:val="single" w:sz="4" w:space="0" w:color="auto"/>
              <w:right w:val="single" w:sz="4" w:space="0" w:color="auto"/>
            </w:tcBorders>
            <w:shd w:val="clear" w:color="auto" w:fill="auto"/>
            <w:vAlign w:val="center"/>
          </w:tcPr>
          <w:p w:rsidR="00F07E05" w:rsidRPr="00DD4E7E" w:rsidRDefault="00F07E05" w:rsidP="008A253E">
            <w:pPr>
              <w:jc w:val="right"/>
            </w:pPr>
            <w:r w:rsidRPr="00DD4E7E">
              <w:t>50,0</w:t>
            </w:r>
          </w:p>
        </w:tc>
        <w:tc>
          <w:tcPr>
            <w:tcW w:w="1877" w:type="dxa"/>
            <w:tcBorders>
              <w:top w:val="single" w:sz="4" w:space="0" w:color="auto"/>
              <w:left w:val="single" w:sz="4" w:space="0" w:color="auto"/>
              <w:bottom w:val="single" w:sz="4" w:space="0" w:color="auto"/>
              <w:right w:val="single" w:sz="4" w:space="0" w:color="auto"/>
            </w:tcBorders>
            <w:shd w:val="clear" w:color="auto" w:fill="auto"/>
            <w:vAlign w:val="center"/>
          </w:tcPr>
          <w:p w:rsidR="00F07E05" w:rsidRPr="00DD4E7E" w:rsidRDefault="00F07E05" w:rsidP="008A253E">
            <w:pPr>
              <w:jc w:val="right"/>
            </w:pPr>
            <w:r w:rsidRPr="00DD4E7E">
              <w:t>1 700,0</w:t>
            </w:r>
          </w:p>
        </w:tc>
      </w:tr>
      <w:tr w:rsidR="00F07E05" w:rsidRPr="00DD4E7E" w:rsidTr="008A253E">
        <w:tc>
          <w:tcPr>
            <w:tcW w:w="7693" w:type="dxa"/>
            <w:gridSpan w:val="4"/>
            <w:shd w:val="clear" w:color="auto" w:fill="auto"/>
          </w:tcPr>
          <w:p w:rsidR="00F07E05" w:rsidRPr="00DD4E7E" w:rsidRDefault="00F07E05" w:rsidP="008A253E">
            <w:pPr>
              <w:jc w:val="center"/>
              <w:rPr>
                <w:b/>
              </w:rPr>
            </w:pPr>
            <w:r w:rsidRPr="00DD4E7E">
              <w:rPr>
                <w:b/>
              </w:rPr>
              <w:t>Всего:</w:t>
            </w:r>
          </w:p>
        </w:tc>
        <w:tc>
          <w:tcPr>
            <w:tcW w:w="1877" w:type="dxa"/>
            <w:shd w:val="clear" w:color="auto" w:fill="auto"/>
            <w:vAlign w:val="center"/>
          </w:tcPr>
          <w:p w:rsidR="00F07E05" w:rsidRPr="00DD4E7E" w:rsidRDefault="00F07E05" w:rsidP="008A253E">
            <w:pPr>
              <w:jc w:val="right"/>
              <w:rPr>
                <w:b/>
              </w:rPr>
            </w:pPr>
            <w:r w:rsidRPr="00DD4E7E">
              <w:rPr>
                <w:b/>
              </w:rPr>
              <w:t>3 500,0</w:t>
            </w:r>
          </w:p>
        </w:tc>
      </w:tr>
    </w:tbl>
    <w:p w:rsidR="00F07E05" w:rsidRDefault="00F07E05" w:rsidP="00F07E05">
      <w:pPr>
        <w:ind w:firstLine="709"/>
        <w:jc w:val="both"/>
        <w:rPr>
          <w:b/>
          <w:bCs/>
          <w:sz w:val="28"/>
          <w:szCs w:val="28"/>
        </w:rPr>
      </w:pPr>
    </w:p>
    <w:p w:rsidR="00F07E05" w:rsidRDefault="00F07E05" w:rsidP="00F07E05">
      <w:pPr>
        <w:pStyle w:val="a7"/>
        <w:spacing w:after="0"/>
        <w:ind w:left="0" w:firstLine="360"/>
        <w:jc w:val="both"/>
        <w:rPr>
          <w:b/>
          <w:sz w:val="28"/>
          <w:szCs w:val="28"/>
        </w:rPr>
      </w:pPr>
      <w:r>
        <w:rPr>
          <w:b/>
          <w:sz w:val="28"/>
          <w:szCs w:val="28"/>
        </w:rPr>
        <w:t>Прогноз 2024 год – 3600 тыс. руб.</w:t>
      </w:r>
    </w:p>
    <w:p w:rsidR="00F07E05" w:rsidRPr="00DD4E7E" w:rsidRDefault="00F07E05" w:rsidP="00F07E05">
      <w:pPr>
        <w:ind w:firstLine="708"/>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
        <w:gridCol w:w="3154"/>
        <w:gridCol w:w="1863"/>
        <w:gridCol w:w="1800"/>
        <w:gridCol w:w="1776"/>
      </w:tblGrid>
      <w:tr w:rsidR="00F07E05" w:rsidRPr="00DD4E7E" w:rsidTr="008A253E">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F07E05" w:rsidRPr="00DD4E7E" w:rsidRDefault="00F07E05" w:rsidP="008A253E">
            <w:pPr>
              <w:jc w:val="center"/>
              <w:rPr>
                <w:b/>
              </w:rPr>
            </w:pPr>
            <w:r w:rsidRPr="00DD4E7E">
              <w:rPr>
                <w:b/>
              </w:rPr>
              <w:t>№ п/п</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tcPr>
          <w:p w:rsidR="00F07E05" w:rsidRPr="00DD4E7E" w:rsidRDefault="00F07E05" w:rsidP="008A253E">
            <w:pPr>
              <w:jc w:val="center"/>
              <w:rPr>
                <w:b/>
              </w:rPr>
            </w:pPr>
            <w:r w:rsidRPr="00DD4E7E">
              <w:rPr>
                <w:b/>
              </w:rPr>
              <w:t>Направление деятельности</w:t>
            </w:r>
          </w:p>
        </w:tc>
        <w:tc>
          <w:tcPr>
            <w:tcW w:w="1903" w:type="dxa"/>
            <w:tcBorders>
              <w:top w:val="single" w:sz="4" w:space="0" w:color="auto"/>
              <w:left w:val="single" w:sz="4" w:space="0" w:color="auto"/>
              <w:bottom w:val="single" w:sz="4" w:space="0" w:color="auto"/>
              <w:right w:val="single" w:sz="4" w:space="0" w:color="auto"/>
            </w:tcBorders>
            <w:shd w:val="clear" w:color="auto" w:fill="auto"/>
            <w:vAlign w:val="center"/>
          </w:tcPr>
          <w:p w:rsidR="00F07E05" w:rsidRPr="00DD4E7E" w:rsidRDefault="00F07E05" w:rsidP="008A253E">
            <w:pPr>
              <w:jc w:val="center"/>
              <w:rPr>
                <w:b/>
              </w:rPr>
            </w:pPr>
            <w:r w:rsidRPr="00DD4E7E">
              <w:rPr>
                <w:b/>
              </w:rPr>
              <w:t>Количество, шт.</w:t>
            </w:r>
          </w:p>
        </w:tc>
        <w:tc>
          <w:tcPr>
            <w:tcW w:w="1883" w:type="dxa"/>
            <w:tcBorders>
              <w:top w:val="single" w:sz="4" w:space="0" w:color="auto"/>
              <w:left w:val="single" w:sz="4" w:space="0" w:color="auto"/>
              <w:bottom w:val="single" w:sz="4" w:space="0" w:color="auto"/>
              <w:right w:val="single" w:sz="4" w:space="0" w:color="auto"/>
            </w:tcBorders>
            <w:shd w:val="clear" w:color="auto" w:fill="auto"/>
            <w:vAlign w:val="center"/>
          </w:tcPr>
          <w:p w:rsidR="00F07E05" w:rsidRPr="00DD4E7E" w:rsidRDefault="00F07E05" w:rsidP="008A253E">
            <w:pPr>
              <w:jc w:val="center"/>
              <w:rPr>
                <w:b/>
              </w:rPr>
            </w:pPr>
            <w:r w:rsidRPr="00DD4E7E">
              <w:rPr>
                <w:b/>
              </w:rPr>
              <w:t xml:space="preserve">Цена за единицу, </w:t>
            </w:r>
          </w:p>
          <w:p w:rsidR="00F07E05" w:rsidRPr="00DD4E7E" w:rsidRDefault="00F07E05" w:rsidP="008A253E">
            <w:pPr>
              <w:jc w:val="center"/>
              <w:rPr>
                <w:b/>
              </w:rPr>
            </w:pPr>
            <w:r w:rsidRPr="00DD4E7E">
              <w:rPr>
                <w:b/>
              </w:rPr>
              <w:t>тыс. руб.</w:t>
            </w:r>
          </w:p>
        </w:tc>
        <w:tc>
          <w:tcPr>
            <w:tcW w:w="1877" w:type="dxa"/>
            <w:tcBorders>
              <w:top w:val="single" w:sz="4" w:space="0" w:color="auto"/>
              <w:left w:val="single" w:sz="4" w:space="0" w:color="auto"/>
              <w:bottom w:val="single" w:sz="4" w:space="0" w:color="auto"/>
              <w:right w:val="single" w:sz="4" w:space="0" w:color="auto"/>
            </w:tcBorders>
            <w:shd w:val="clear" w:color="auto" w:fill="auto"/>
            <w:vAlign w:val="center"/>
          </w:tcPr>
          <w:p w:rsidR="00F07E05" w:rsidRPr="00DD4E7E" w:rsidRDefault="00F07E05" w:rsidP="008A253E">
            <w:pPr>
              <w:jc w:val="center"/>
              <w:rPr>
                <w:b/>
              </w:rPr>
            </w:pPr>
            <w:r w:rsidRPr="00DD4E7E">
              <w:rPr>
                <w:b/>
              </w:rPr>
              <w:t xml:space="preserve">Сумма, </w:t>
            </w:r>
          </w:p>
          <w:p w:rsidR="00F07E05" w:rsidRPr="00DD4E7E" w:rsidRDefault="00F07E05" w:rsidP="008A253E">
            <w:pPr>
              <w:jc w:val="center"/>
              <w:rPr>
                <w:b/>
              </w:rPr>
            </w:pPr>
            <w:r w:rsidRPr="00DD4E7E">
              <w:rPr>
                <w:b/>
              </w:rPr>
              <w:t>тыс. руб.</w:t>
            </w:r>
          </w:p>
        </w:tc>
      </w:tr>
      <w:tr w:rsidR="00F07E05" w:rsidRPr="00DD4E7E" w:rsidTr="008A253E">
        <w:tc>
          <w:tcPr>
            <w:tcW w:w="617" w:type="dxa"/>
            <w:tcBorders>
              <w:top w:val="single" w:sz="4" w:space="0" w:color="auto"/>
              <w:left w:val="single" w:sz="4" w:space="0" w:color="auto"/>
              <w:bottom w:val="single" w:sz="4" w:space="0" w:color="auto"/>
              <w:right w:val="single" w:sz="4" w:space="0" w:color="auto"/>
            </w:tcBorders>
            <w:shd w:val="clear" w:color="auto" w:fill="auto"/>
          </w:tcPr>
          <w:p w:rsidR="00F07E05" w:rsidRPr="00DD4E7E" w:rsidRDefault="00F07E05" w:rsidP="008A253E">
            <w:pPr>
              <w:jc w:val="center"/>
            </w:pPr>
            <w:r w:rsidRPr="00DD4E7E">
              <w:t>1.</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tcPr>
          <w:p w:rsidR="00F07E05" w:rsidRPr="00DD4E7E" w:rsidRDefault="00F07E05" w:rsidP="008A253E">
            <w:r w:rsidRPr="00DD4E7E">
              <w:t>Охрана окружающей среды</w:t>
            </w:r>
          </w:p>
        </w:tc>
        <w:tc>
          <w:tcPr>
            <w:tcW w:w="1903" w:type="dxa"/>
            <w:tcBorders>
              <w:top w:val="single" w:sz="4" w:space="0" w:color="auto"/>
              <w:left w:val="single" w:sz="4" w:space="0" w:color="auto"/>
              <w:bottom w:val="single" w:sz="4" w:space="0" w:color="auto"/>
              <w:right w:val="single" w:sz="4" w:space="0" w:color="auto"/>
            </w:tcBorders>
            <w:shd w:val="clear" w:color="auto" w:fill="auto"/>
            <w:vAlign w:val="center"/>
          </w:tcPr>
          <w:p w:rsidR="00F07E05" w:rsidRPr="00DD4E7E" w:rsidRDefault="00F07E05" w:rsidP="008A253E">
            <w:pPr>
              <w:jc w:val="center"/>
            </w:pPr>
            <w:r w:rsidRPr="00DD4E7E">
              <w:t>120</w:t>
            </w:r>
          </w:p>
        </w:tc>
        <w:tc>
          <w:tcPr>
            <w:tcW w:w="1883" w:type="dxa"/>
            <w:tcBorders>
              <w:top w:val="single" w:sz="4" w:space="0" w:color="auto"/>
              <w:left w:val="single" w:sz="4" w:space="0" w:color="auto"/>
              <w:bottom w:val="single" w:sz="4" w:space="0" w:color="auto"/>
              <w:right w:val="single" w:sz="4" w:space="0" w:color="auto"/>
            </w:tcBorders>
            <w:shd w:val="clear" w:color="auto" w:fill="auto"/>
            <w:vAlign w:val="center"/>
          </w:tcPr>
          <w:p w:rsidR="00F07E05" w:rsidRPr="00DD4E7E" w:rsidRDefault="00F07E05" w:rsidP="008A253E">
            <w:pPr>
              <w:jc w:val="right"/>
            </w:pPr>
            <w:r w:rsidRPr="00DD4E7E">
              <w:t>5,0</w:t>
            </w:r>
          </w:p>
        </w:tc>
        <w:tc>
          <w:tcPr>
            <w:tcW w:w="1877" w:type="dxa"/>
            <w:tcBorders>
              <w:top w:val="single" w:sz="4" w:space="0" w:color="auto"/>
              <w:left w:val="single" w:sz="4" w:space="0" w:color="auto"/>
              <w:bottom w:val="single" w:sz="4" w:space="0" w:color="auto"/>
              <w:right w:val="single" w:sz="4" w:space="0" w:color="auto"/>
            </w:tcBorders>
            <w:shd w:val="clear" w:color="auto" w:fill="auto"/>
          </w:tcPr>
          <w:p w:rsidR="00F07E05" w:rsidRPr="00DD4E7E" w:rsidRDefault="00F07E05" w:rsidP="008A253E">
            <w:pPr>
              <w:jc w:val="right"/>
            </w:pPr>
            <w:r w:rsidRPr="00DD4E7E">
              <w:t>600,0</w:t>
            </w:r>
          </w:p>
        </w:tc>
      </w:tr>
      <w:tr w:rsidR="00F07E05" w:rsidRPr="00DD4E7E" w:rsidTr="008A253E">
        <w:tc>
          <w:tcPr>
            <w:tcW w:w="617" w:type="dxa"/>
            <w:tcBorders>
              <w:top w:val="single" w:sz="4" w:space="0" w:color="auto"/>
              <w:left w:val="single" w:sz="4" w:space="0" w:color="auto"/>
              <w:bottom w:val="single" w:sz="4" w:space="0" w:color="auto"/>
              <w:right w:val="single" w:sz="4" w:space="0" w:color="auto"/>
            </w:tcBorders>
            <w:shd w:val="clear" w:color="auto" w:fill="auto"/>
          </w:tcPr>
          <w:p w:rsidR="00F07E05" w:rsidRPr="00DD4E7E" w:rsidRDefault="00F07E05" w:rsidP="008A253E">
            <w:pPr>
              <w:jc w:val="center"/>
            </w:pPr>
            <w:r w:rsidRPr="00DD4E7E">
              <w:t>2.</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tcPr>
          <w:p w:rsidR="00F07E05" w:rsidRPr="00DD4E7E" w:rsidRDefault="00F07E05" w:rsidP="008A253E">
            <w:r w:rsidRPr="00DD4E7E">
              <w:t>Водопользование</w:t>
            </w:r>
          </w:p>
        </w:tc>
        <w:tc>
          <w:tcPr>
            <w:tcW w:w="1903" w:type="dxa"/>
            <w:tcBorders>
              <w:top w:val="single" w:sz="4" w:space="0" w:color="auto"/>
              <w:left w:val="single" w:sz="4" w:space="0" w:color="auto"/>
              <w:bottom w:val="single" w:sz="4" w:space="0" w:color="auto"/>
              <w:right w:val="single" w:sz="4" w:space="0" w:color="auto"/>
            </w:tcBorders>
            <w:shd w:val="clear" w:color="auto" w:fill="auto"/>
            <w:vAlign w:val="center"/>
          </w:tcPr>
          <w:p w:rsidR="00F07E05" w:rsidRPr="00DD4E7E" w:rsidRDefault="00F07E05" w:rsidP="008A253E">
            <w:pPr>
              <w:jc w:val="center"/>
            </w:pPr>
            <w:r w:rsidRPr="00DD4E7E">
              <w:t>16</w:t>
            </w:r>
          </w:p>
        </w:tc>
        <w:tc>
          <w:tcPr>
            <w:tcW w:w="1883" w:type="dxa"/>
            <w:tcBorders>
              <w:top w:val="single" w:sz="4" w:space="0" w:color="auto"/>
              <w:left w:val="single" w:sz="4" w:space="0" w:color="auto"/>
              <w:bottom w:val="single" w:sz="4" w:space="0" w:color="auto"/>
              <w:right w:val="single" w:sz="4" w:space="0" w:color="auto"/>
            </w:tcBorders>
            <w:shd w:val="clear" w:color="auto" w:fill="auto"/>
            <w:vAlign w:val="center"/>
          </w:tcPr>
          <w:p w:rsidR="00F07E05" w:rsidRPr="00DD4E7E" w:rsidRDefault="00F07E05" w:rsidP="008A253E">
            <w:pPr>
              <w:jc w:val="right"/>
            </w:pPr>
            <w:r w:rsidRPr="00DD4E7E">
              <w:t>25,0</w:t>
            </w:r>
          </w:p>
        </w:tc>
        <w:tc>
          <w:tcPr>
            <w:tcW w:w="1877" w:type="dxa"/>
            <w:tcBorders>
              <w:top w:val="single" w:sz="4" w:space="0" w:color="auto"/>
              <w:left w:val="single" w:sz="4" w:space="0" w:color="auto"/>
              <w:bottom w:val="single" w:sz="4" w:space="0" w:color="auto"/>
              <w:right w:val="single" w:sz="4" w:space="0" w:color="auto"/>
            </w:tcBorders>
            <w:shd w:val="clear" w:color="auto" w:fill="auto"/>
          </w:tcPr>
          <w:p w:rsidR="00F07E05" w:rsidRPr="00DD4E7E" w:rsidRDefault="00F07E05" w:rsidP="008A253E">
            <w:pPr>
              <w:jc w:val="right"/>
            </w:pPr>
            <w:r w:rsidRPr="00DD4E7E">
              <w:t>400,0</w:t>
            </w:r>
          </w:p>
        </w:tc>
      </w:tr>
      <w:tr w:rsidR="00F07E05" w:rsidRPr="00DD4E7E" w:rsidTr="008A253E">
        <w:tc>
          <w:tcPr>
            <w:tcW w:w="617" w:type="dxa"/>
            <w:tcBorders>
              <w:top w:val="single" w:sz="4" w:space="0" w:color="auto"/>
              <w:left w:val="single" w:sz="4" w:space="0" w:color="auto"/>
              <w:bottom w:val="single" w:sz="4" w:space="0" w:color="auto"/>
              <w:right w:val="single" w:sz="4" w:space="0" w:color="auto"/>
            </w:tcBorders>
            <w:shd w:val="clear" w:color="auto" w:fill="auto"/>
          </w:tcPr>
          <w:p w:rsidR="00F07E05" w:rsidRPr="00DD4E7E" w:rsidRDefault="00F07E05" w:rsidP="008A253E">
            <w:pPr>
              <w:jc w:val="center"/>
            </w:pPr>
            <w:r w:rsidRPr="00DD4E7E">
              <w:t>3.</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tcPr>
          <w:p w:rsidR="00F07E05" w:rsidRPr="00DD4E7E" w:rsidRDefault="00F07E05" w:rsidP="008A253E">
            <w:r w:rsidRPr="00DD4E7E">
              <w:t>Недропользование</w:t>
            </w:r>
          </w:p>
        </w:tc>
        <w:tc>
          <w:tcPr>
            <w:tcW w:w="1903" w:type="dxa"/>
            <w:tcBorders>
              <w:top w:val="single" w:sz="4" w:space="0" w:color="auto"/>
              <w:left w:val="single" w:sz="4" w:space="0" w:color="auto"/>
              <w:bottom w:val="single" w:sz="4" w:space="0" w:color="auto"/>
              <w:right w:val="single" w:sz="4" w:space="0" w:color="auto"/>
            </w:tcBorders>
            <w:shd w:val="clear" w:color="auto" w:fill="auto"/>
            <w:vAlign w:val="center"/>
          </w:tcPr>
          <w:p w:rsidR="00F07E05" w:rsidRPr="00DD4E7E" w:rsidRDefault="00F07E05" w:rsidP="008A253E">
            <w:pPr>
              <w:jc w:val="center"/>
            </w:pPr>
            <w:r w:rsidRPr="00DD4E7E">
              <w:t>45</w:t>
            </w:r>
          </w:p>
        </w:tc>
        <w:tc>
          <w:tcPr>
            <w:tcW w:w="1883" w:type="dxa"/>
            <w:tcBorders>
              <w:top w:val="single" w:sz="4" w:space="0" w:color="auto"/>
              <w:left w:val="single" w:sz="4" w:space="0" w:color="auto"/>
              <w:bottom w:val="single" w:sz="4" w:space="0" w:color="auto"/>
              <w:right w:val="single" w:sz="4" w:space="0" w:color="auto"/>
            </w:tcBorders>
            <w:shd w:val="clear" w:color="auto" w:fill="auto"/>
            <w:vAlign w:val="center"/>
          </w:tcPr>
          <w:p w:rsidR="00F07E05" w:rsidRPr="00DD4E7E" w:rsidRDefault="00F07E05" w:rsidP="008A253E">
            <w:pPr>
              <w:jc w:val="right"/>
            </w:pPr>
            <w:r w:rsidRPr="00DD4E7E">
              <w:t>20,0</w:t>
            </w:r>
          </w:p>
        </w:tc>
        <w:tc>
          <w:tcPr>
            <w:tcW w:w="1877" w:type="dxa"/>
            <w:tcBorders>
              <w:top w:val="single" w:sz="4" w:space="0" w:color="auto"/>
              <w:left w:val="single" w:sz="4" w:space="0" w:color="auto"/>
              <w:bottom w:val="single" w:sz="4" w:space="0" w:color="auto"/>
              <w:right w:val="single" w:sz="4" w:space="0" w:color="auto"/>
            </w:tcBorders>
            <w:shd w:val="clear" w:color="auto" w:fill="auto"/>
          </w:tcPr>
          <w:p w:rsidR="00F07E05" w:rsidRPr="00DD4E7E" w:rsidRDefault="00F07E05" w:rsidP="008A253E">
            <w:pPr>
              <w:jc w:val="right"/>
            </w:pPr>
            <w:r w:rsidRPr="00DD4E7E">
              <w:t>900,0</w:t>
            </w:r>
          </w:p>
        </w:tc>
      </w:tr>
      <w:tr w:rsidR="00F07E05" w:rsidRPr="00DD4E7E" w:rsidTr="008A253E">
        <w:tc>
          <w:tcPr>
            <w:tcW w:w="617" w:type="dxa"/>
            <w:tcBorders>
              <w:top w:val="single" w:sz="4" w:space="0" w:color="auto"/>
              <w:left w:val="single" w:sz="4" w:space="0" w:color="auto"/>
              <w:bottom w:val="single" w:sz="4" w:space="0" w:color="auto"/>
              <w:right w:val="single" w:sz="4" w:space="0" w:color="auto"/>
            </w:tcBorders>
            <w:shd w:val="clear" w:color="auto" w:fill="auto"/>
          </w:tcPr>
          <w:p w:rsidR="00F07E05" w:rsidRPr="00DD4E7E" w:rsidRDefault="00F07E05" w:rsidP="008A253E">
            <w:pPr>
              <w:jc w:val="center"/>
            </w:pPr>
            <w:r w:rsidRPr="00DD4E7E">
              <w:t>4.</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tcPr>
          <w:p w:rsidR="00F07E05" w:rsidRPr="00DD4E7E" w:rsidRDefault="00F07E05" w:rsidP="008A253E">
            <w:r w:rsidRPr="00DD4E7E">
              <w:t>Охотопользование</w:t>
            </w:r>
          </w:p>
        </w:tc>
        <w:tc>
          <w:tcPr>
            <w:tcW w:w="1903" w:type="dxa"/>
            <w:tcBorders>
              <w:top w:val="single" w:sz="4" w:space="0" w:color="auto"/>
              <w:left w:val="single" w:sz="4" w:space="0" w:color="auto"/>
              <w:bottom w:val="single" w:sz="4" w:space="0" w:color="auto"/>
              <w:right w:val="single" w:sz="4" w:space="0" w:color="auto"/>
            </w:tcBorders>
            <w:shd w:val="clear" w:color="auto" w:fill="auto"/>
            <w:vAlign w:val="center"/>
          </w:tcPr>
          <w:p w:rsidR="00F07E05" w:rsidRPr="00DD4E7E" w:rsidRDefault="00F07E05" w:rsidP="008A253E">
            <w:pPr>
              <w:jc w:val="center"/>
            </w:pPr>
            <w:r w:rsidRPr="00DD4E7E">
              <w:t>34</w:t>
            </w:r>
          </w:p>
        </w:tc>
        <w:tc>
          <w:tcPr>
            <w:tcW w:w="1883" w:type="dxa"/>
            <w:tcBorders>
              <w:top w:val="single" w:sz="4" w:space="0" w:color="auto"/>
              <w:left w:val="single" w:sz="4" w:space="0" w:color="auto"/>
              <w:bottom w:val="single" w:sz="4" w:space="0" w:color="auto"/>
              <w:right w:val="single" w:sz="4" w:space="0" w:color="auto"/>
            </w:tcBorders>
            <w:shd w:val="clear" w:color="auto" w:fill="auto"/>
            <w:vAlign w:val="center"/>
          </w:tcPr>
          <w:p w:rsidR="00F07E05" w:rsidRPr="00DD4E7E" w:rsidRDefault="00F07E05" w:rsidP="008A253E">
            <w:pPr>
              <w:jc w:val="right"/>
            </w:pPr>
            <w:r w:rsidRPr="00DD4E7E">
              <w:t>50,0</w:t>
            </w:r>
          </w:p>
        </w:tc>
        <w:tc>
          <w:tcPr>
            <w:tcW w:w="1877" w:type="dxa"/>
            <w:tcBorders>
              <w:top w:val="single" w:sz="4" w:space="0" w:color="auto"/>
              <w:left w:val="single" w:sz="4" w:space="0" w:color="auto"/>
              <w:bottom w:val="single" w:sz="4" w:space="0" w:color="auto"/>
              <w:right w:val="single" w:sz="4" w:space="0" w:color="auto"/>
            </w:tcBorders>
            <w:shd w:val="clear" w:color="auto" w:fill="auto"/>
          </w:tcPr>
          <w:p w:rsidR="00F07E05" w:rsidRPr="00DD4E7E" w:rsidRDefault="00F07E05" w:rsidP="008A253E">
            <w:pPr>
              <w:jc w:val="right"/>
            </w:pPr>
            <w:r w:rsidRPr="00DD4E7E">
              <w:t>1 700,0</w:t>
            </w:r>
          </w:p>
        </w:tc>
      </w:tr>
      <w:tr w:rsidR="00F07E05" w:rsidRPr="00DD4E7E" w:rsidTr="008A253E">
        <w:tc>
          <w:tcPr>
            <w:tcW w:w="7693" w:type="dxa"/>
            <w:gridSpan w:val="4"/>
            <w:shd w:val="clear" w:color="auto" w:fill="auto"/>
          </w:tcPr>
          <w:p w:rsidR="00F07E05" w:rsidRPr="00DD4E7E" w:rsidRDefault="00F07E05" w:rsidP="008A253E">
            <w:pPr>
              <w:jc w:val="center"/>
              <w:rPr>
                <w:b/>
              </w:rPr>
            </w:pPr>
            <w:r w:rsidRPr="00DD4E7E">
              <w:rPr>
                <w:b/>
              </w:rPr>
              <w:t>Всего:</w:t>
            </w:r>
          </w:p>
        </w:tc>
        <w:tc>
          <w:tcPr>
            <w:tcW w:w="1877" w:type="dxa"/>
            <w:shd w:val="clear" w:color="auto" w:fill="auto"/>
            <w:vAlign w:val="center"/>
          </w:tcPr>
          <w:p w:rsidR="00F07E05" w:rsidRPr="00DD4E7E" w:rsidRDefault="00F07E05" w:rsidP="008A253E">
            <w:pPr>
              <w:jc w:val="right"/>
              <w:rPr>
                <w:b/>
              </w:rPr>
            </w:pPr>
            <w:r w:rsidRPr="00DD4E7E">
              <w:rPr>
                <w:b/>
              </w:rPr>
              <w:t>3 600,0</w:t>
            </w:r>
          </w:p>
        </w:tc>
      </w:tr>
    </w:tbl>
    <w:p w:rsidR="00F07E05" w:rsidRDefault="00F07E05" w:rsidP="00F07E05">
      <w:pPr>
        <w:jc w:val="center"/>
        <w:rPr>
          <w:b/>
          <w:sz w:val="28"/>
          <w:szCs w:val="28"/>
        </w:rPr>
      </w:pPr>
    </w:p>
    <w:p w:rsidR="00F07E05" w:rsidRPr="00165682" w:rsidRDefault="00F07E05" w:rsidP="00F07E05">
      <w:pPr>
        <w:jc w:val="center"/>
        <w:rPr>
          <w:b/>
          <w:sz w:val="28"/>
          <w:szCs w:val="28"/>
        </w:rPr>
      </w:pPr>
      <w:r w:rsidRPr="00165682">
        <w:rPr>
          <w:b/>
          <w:sz w:val="28"/>
          <w:szCs w:val="28"/>
        </w:rPr>
        <w:t>Главное управление региональной безопасности</w:t>
      </w:r>
    </w:p>
    <w:p w:rsidR="00F07E05" w:rsidRPr="009F4B76" w:rsidRDefault="00F07E05" w:rsidP="00F07E05">
      <w:pPr>
        <w:jc w:val="center"/>
        <w:rPr>
          <w:b/>
          <w:sz w:val="28"/>
          <w:szCs w:val="28"/>
        </w:rPr>
      </w:pPr>
      <w:r w:rsidRPr="00165682">
        <w:rPr>
          <w:b/>
          <w:sz w:val="28"/>
          <w:szCs w:val="28"/>
        </w:rPr>
        <w:t>Тверской области</w:t>
      </w:r>
    </w:p>
    <w:p w:rsidR="00F07E05" w:rsidRPr="00165682" w:rsidRDefault="00F07E05" w:rsidP="00F07E05">
      <w:pPr>
        <w:jc w:val="center"/>
        <w:rPr>
          <w:b/>
          <w:sz w:val="28"/>
          <w:szCs w:val="28"/>
        </w:rPr>
      </w:pPr>
    </w:p>
    <w:p w:rsidR="00F07E05" w:rsidRPr="00C93A58" w:rsidRDefault="00F07E05" w:rsidP="00F07E05">
      <w:pPr>
        <w:jc w:val="right"/>
        <w:rPr>
          <w:b/>
          <w:sz w:val="28"/>
          <w:szCs w:val="28"/>
        </w:rPr>
      </w:pPr>
      <w:r w:rsidRPr="00C93A58">
        <w:rPr>
          <w:sz w:val="28"/>
          <w:szCs w:val="28"/>
        </w:rPr>
        <w:t xml:space="preserve">     </w:t>
      </w:r>
      <w:r>
        <w:rPr>
          <w:b/>
          <w:sz w:val="28"/>
          <w:szCs w:val="28"/>
        </w:rPr>
        <w:t>тыс. руб.</w:t>
      </w:r>
    </w:p>
    <w:tbl>
      <w:tblPr>
        <w:tblW w:w="9706" w:type="dxa"/>
        <w:tblInd w:w="-72" w:type="dxa"/>
        <w:tblLayout w:type="fixed"/>
        <w:tblLook w:val="0000" w:firstRow="0" w:lastRow="0" w:firstColumn="0" w:lastColumn="0" w:noHBand="0" w:noVBand="0"/>
      </w:tblPr>
      <w:tblGrid>
        <w:gridCol w:w="2520"/>
        <w:gridCol w:w="2520"/>
        <w:gridCol w:w="1620"/>
        <w:gridCol w:w="1440"/>
        <w:gridCol w:w="1606"/>
      </w:tblGrid>
      <w:tr w:rsidR="00F07E05" w:rsidRPr="00C93A58" w:rsidTr="008A253E">
        <w:trPr>
          <w:trHeight w:val="736"/>
        </w:trPr>
        <w:tc>
          <w:tcPr>
            <w:tcW w:w="2520" w:type="dxa"/>
            <w:tcBorders>
              <w:top w:val="single" w:sz="4" w:space="0" w:color="auto"/>
              <w:left w:val="single" w:sz="4" w:space="0" w:color="auto"/>
              <w:bottom w:val="single" w:sz="4" w:space="0" w:color="auto"/>
              <w:right w:val="single" w:sz="4" w:space="0" w:color="auto"/>
            </w:tcBorders>
            <w:noWrap/>
            <w:vAlign w:val="bottom"/>
          </w:tcPr>
          <w:p w:rsidR="00F07E05" w:rsidRPr="00C93A58" w:rsidRDefault="00F07E05" w:rsidP="008A253E">
            <w:pPr>
              <w:jc w:val="center"/>
              <w:rPr>
                <w:b/>
              </w:rPr>
            </w:pPr>
            <w:r w:rsidRPr="00C93A58">
              <w:rPr>
                <w:b/>
              </w:rPr>
              <w:t>Код БК</w:t>
            </w:r>
          </w:p>
        </w:tc>
        <w:tc>
          <w:tcPr>
            <w:tcW w:w="2520" w:type="dxa"/>
            <w:tcBorders>
              <w:top w:val="single" w:sz="4" w:space="0" w:color="auto"/>
              <w:left w:val="single" w:sz="4" w:space="0" w:color="auto"/>
              <w:bottom w:val="single" w:sz="4" w:space="0" w:color="auto"/>
              <w:right w:val="single" w:sz="4" w:space="0" w:color="auto"/>
            </w:tcBorders>
            <w:noWrap/>
            <w:vAlign w:val="bottom"/>
          </w:tcPr>
          <w:p w:rsidR="00F07E05" w:rsidRPr="00C93A58" w:rsidRDefault="00F07E05" w:rsidP="008A253E">
            <w:pPr>
              <w:jc w:val="center"/>
              <w:rPr>
                <w:b/>
              </w:rPr>
            </w:pPr>
            <w:r w:rsidRPr="00C93A58">
              <w:rPr>
                <w:b/>
              </w:rPr>
              <w:t>Наименование</w:t>
            </w:r>
          </w:p>
        </w:tc>
        <w:tc>
          <w:tcPr>
            <w:tcW w:w="1620" w:type="dxa"/>
            <w:tcBorders>
              <w:top w:val="single" w:sz="4" w:space="0" w:color="auto"/>
              <w:left w:val="single" w:sz="4" w:space="0" w:color="auto"/>
              <w:bottom w:val="single" w:sz="4" w:space="0" w:color="auto"/>
              <w:right w:val="single" w:sz="4" w:space="0" w:color="auto"/>
            </w:tcBorders>
            <w:vAlign w:val="bottom"/>
          </w:tcPr>
          <w:p w:rsidR="00F07E05" w:rsidRPr="00C93A58" w:rsidRDefault="00F07E05" w:rsidP="008A253E">
            <w:pPr>
              <w:jc w:val="center"/>
              <w:rPr>
                <w:b/>
                <w:sz w:val="20"/>
                <w:szCs w:val="20"/>
              </w:rPr>
            </w:pPr>
            <w:r w:rsidRPr="00C93A58">
              <w:rPr>
                <w:b/>
                <w:sz w:val="20"/>
                <w:szCs w:val="20"/>
              </w:rPr>
              <w:t>Прогноз на</w:t>
            </w:r>
          </w:p>
          <w:p w:rsidR="00F07E05" w:rsidRPr="00C93A58" w:rsidRDefault="00F07E05" w:rsidP="008A253E">
            <w:pPr>
              <w:jc w:val="center"/>
              <w:rPr>
                <w:b/>
                <w:sz w:val="20"/>
                <w:szCs w:val="20"/>
              </w:rPr>
            </w:pPr>
            <w:r w:rsidRPr="00C93A58">
              <w:rPr>
                <w:b/>
                <w:sz w:val="20"/>
                <w:szCs w:val="20"/>
              </w:rPr>
              <w:t>20</w:t>
            </w:r>
            <w:r>
              <w:rPr>
                <w:b/>
                <w:sz w:val="20"/>
                <w:szCs w:val="20"/>
              </w:rPr>
              <w:t>22</w:t>
            </w:r>
            <w:r w:rsidRPr="00C93A58">
              <w:rPr>
                <w:b/>
                <w:sz w:val="20"/>
                <w:szCs w:val="20"/>
              </w:rPr>
              <w:t xml:space="preserve"> год</w:t>
            </w:r>
          </w:p>
        </w:tc>
        <w:tc>
          <w:tcPr>
            <w:tcW w:w="1440" w:type="dxa"/>
            <w:tcBorders>
              <w:top w:val="single" w:sz="4" w:space="0" w:color="auto"/>
              <w:left w:val="single" w:sz="4" w:space="0" w:color="auto"/>
              <w:bottom w:val="single" w:sz="4" w:space="0" w:color="auto"/>
              <w:right w:val="single" w:sz="4" w:space="0" w:color="auto"/>
            </w:tcBorders>
            <w:vAlign w:val="bottom"/>
          </w:tcPr>
          <w:p w:rsidR="00F07E05" w:rsidRDefault="00F07E05" w:rsidP="008A253E">
            <w:pPr>
              <w:jc w:val="center"/>
              <w:rPr>
                <w:b/>
                <w:sz w:val="20"/>
                <w:szCs w:val="20"/>
              </w:rPr>
            </w:pPr>
          </w:p>
          <w:p w:rsidR="00F07E05" w:rsidRDefault="00F07E05" w:rsidP="008A253E">
            <w:pPr>
              <w:jc w:val="center"/>
              <w:rPr>
                <w:b/>
                <w:sz w:val="20"/>
                <w:szCs w:val="20"/>
              </w:rPr>
            </w:pPr>
          </w:p>
          <w:p w:rsidR="00F07E05" w:rsidRPr="00C93A58" w:rsidRDefault="00F07E05" w:rsidP="008A253E">
            <w:pPr>
              <w:jc w:val="center"/>
              <w:rPr>
                <w:b/>
                <w:sz w:val="20"/>
                <w:szCs w:val="20"/>
              </w:rPr>
            </w:pPr>
            <w:r>
              <w:rPr>
                <w:b/>
                <w:sz w:val="20"/>
                <w:szCs w:val="20"/>
              </w:rPr>
              <w:t>П</w:t>
            </w:r>
            <w:r w:rsidRPr="00C93A58">
              <w:rPr>
                <w:b/>
                <w:sz w:val="20"/>
                <w:szCs w:val="20"/>
              </w:rPr>
              <w:t>рогноз на</w:t>
            </w:r>
          </w:p>
          <w:p w:rsidR="00F07E05" w:rsidRPr="00C93A58" w:rsidRDefault="00F07E05" w:rsidP="008A253E">
            <w:pPr>
              <w:jc w:val="center"/>
              <w:rPr>
                <w:b/>
                <w:sz w:val="20"/>
                <w:szCs w:val="20"/>
              </w:rPr>
            </w:pPr>
            <w:r w:rsidRPr="00C93A58">
              <w:rPr>
                <w:b/>
                <w:sz w:val="20"/>
                <w:szCs w:val="20"/>
              </w:rPr>
              <w:t>20</w:t>
            </w:r>
            <w:r>
              <w:rPr>
                <w:b/>
                <w:sz w:val="20"/>
                <w:szCs w:val="20"/>
              </w:rPr>
              <w:t xml:space="preserve">23 </w:t>
            </w:r>
            <w:r w:rsidRPr="00C93A58">
              <w:rPr>
                <w:b/>
                <w:sz w:val="20"/>
                <w:szCs w:val="20"/>
              </w:rPr>
              <w:t xml:space="preserve">год </w:t>
            </w:r>
          </w:p>
        </w:tc>
        <w:tc>
          <w:tcPr>
            <w:tcW w:w="1606" w:type="dxa"/>
            <w:tcBorders>
              <w:top w:val="single" w:sz="4" w:space="0" w:color="auto"/>
              <w:left w:val="single" w:sz="4" w:space="0" w:color="auto"/>
              <w:bottom w:val="single" w:sz="4" w:space="0" w:color="auto"/>
              <w:right w:val="single" w:sz="4" w:space="0" w:color="auto"/>
            </w:tcBorders>
            <w:vAlign w:val="bottom"/>
          </w:tcPr>
          <w:p w:rsidR="00F07E05" w:rsidRPr="00C93A58" w:rsidRDefault="00F07E05" w:rsidP="008A253E">
            <w:pPr>
              <w:jc w:val="center"/>
              <w:rPr>
                <w:b/>
                <w:sz w:val="20"/>
                <w:szCs w:val="20"/>
              </w:rPr>
            </w:pPr>
            <w:r w:rsidRPr="00C93A58">
              <w:rPr>
                <w:b/>
                <w:sz w:val="20"/>
                <w:szCs w:val="20"/>
              </w:rPr>
              <w:t>Прогноз на</w:t>
            </w:r>
          </w:p>
          <w:p w:rsidR="00F07E05" w:rsidRPr="00C93A58" w:rsidRDefault="00F07E05" w:rsidP="008A253E">
            <w:pPr>
              <w:jc w:val="center"/>
              <w:rPr>
                <w:b/>
                <w:sz w:val="20"/>
                <w:szCs w:val="20"/>
              </w:rPr>
            </w:pPr>
            <w:r w:rsidRPr="00C93A58">
              <w:rPr>
                <w:b/>
                <w:sz w:val="20"/>
                <w:szCs w:val="20"/>
              </w:rPr>
              <w:t>202</w:t>
            </w:r>
            <w:r>
              <w:rPr>
                <w:b/>
                <w:sz w:val="20"/>
                <w:szCs w:val="20"/>
              </w:rPr>
              <w:t>4</w:t>
            </w:r>
            <w:r w:rsidRPr="00C93A58">
              <w:rPr>
                <w:b/>
                <w:sz w:val="20"/>
                <w:szCs w:val="20"/>
              </w:rPr>
              <w:t xml:space="preserve"> год</w:t>
            </w:r>
          </w:p>
        </w:tc>
      </w:tr>
      <w:tr w:rsidR="00F07E05" w:rsidRPr="00C93A58" w:rsidTr="008A253E">
        <w:trPr>
          <w:trHeight w:val="626"/>
        </w:trPr>
        <w:tc>
          <w:tcPr>
            <w:tcW w:w="2520" w:type="dxa"/>
            <w:tcBorders>
              <w:top w:val="single" w:sz="4" w:space="0" w:color="auto"/>
              <w:left w:val="single" w:sz="4" w:space="0" w:color="auto"/>
              <w:bottom w:val="single" w:sz="4" w:space="0" w:color="auto"/>
              <w:right w:val="single" w:sz="4" w:space="0" w:color="auto"/>
            </w:tcBorders>
            <w:noWrap/>
          </w:tcPr>
          <w:p w:rsidR="00F07E05" w:rsidRPr="00C93A58" w:rsidRDefault="00F07E05" w:rsidP="008A253E">
            <w:pPr>
              <w:jc w:val="center"/>
              <w:rPr>
                <w:sz w:val="20"/>
                <w:szCs w:val="20"/>
              </w:rPr>
            </w:pPr>
            <w:r>
              <w:rPr>
                <w:sz w:val="20"/>
                <w:szCs w:val="20"/>
              </w:rPr>
              <w:t>000 1 13 01992 02 0000 130</w:t>
            </w:r>
          </w:p>
        </w:tc>
        <w:tc>
          <w:tcPr>
            <w:tcW w:w="2520" w:type="dxa"/>
            <w:tcBorders>
              <w:top w:val="single" w:sz="4" w:space="0" w:color="auto"/>
              <w:left w:val="single" w:sz="4" w:space="0" w:color="auto"/>
              <w:bottom w:val="single" w:sz="4" w:space="0" w:color="auto"/>
              <w:right w:val="single" w:sz="4" w:space="0" w:color="auto"/>
            </w:tcBorders>
          </w:tcPr>
          <w:p w:rsidR="00F07E05" w:rsidRPr="00C93A58" w:rsidRDefault="00F07E05" w:rsidP="008A253E">
            <w:pPr>
              <w:rPr>
                <w:sz w:val="20"/>
                <w:szCs w:val="20"/>
              </w:rPr>
            </w:pPr>
            <w:r>
              <w:rPr>
                <w:sz w:val="20"/>
                <w:szCs w:val="20"/>
              </w:rPr>
              <w:t>Прочие доходы от оказания услуг (работ) получателями средств бюджетов субъектов Российской Федерации</w:t>
            </w:r>
          </w:p>
        </w:tc>
        <w:tc>
          <w:tcPr>
            <w:tcW w:w="1620" w:type="dxa"/>
            <w:tcBorders>
              <w:top w:val="single" w:sz="4" w:space="0" w:color="auto"/>
              <w:left w:val="single" w:sz="4" w:space="0" w:color="auto"/>
              <w:bottom w:val="single" w:sz="4" w:space="0" w:color="auto"/>
              <w:right w:val="single" w:sz="4" w:space="0" w:color="auto"/>
            </w:tcBorders>
            <w:noWrap/>
          </w:tcPr>
          <w:p w:rsidR="00F07E05" w:rsidRPr="00FF1BBB" w:rsidRDefault="00F07E05" w:rsidP="008A253E">
            <w:pPr>
              <w:pStyle w:val="a7"/>
              <w:ind w:left="0"/>
              <w:jc w:val="center"/>
              <w:rPr>
                <w:sz w:val="20"/>
                <w:szCs w:val="20"/>
              </w:rPr>
            </w:pPr>
            <w:r>
              <w:rPr>
                <w:sz w:val="20"/>
                <w:szCs w:val="20"/>
              </w:rPr>
              <w:t>17 650,4</w:t>
            </w:r>
          </w:p>
        </w:tc>
        <w:tc>
          <w:tcPr>
            <w:tcW w:w="1440" w:type="dxa"/>
            <w:tcBorders>
              <w:top w:val="single" w:sz="4" w:space="0" w:color="auto"/>
              <w:left w:val="single" w:sz="4" w:space="0" w:color="auto"/>
              <w:bottom w:val="single" w:sz="4" w:space="0" w:color="auto"/>
              <w:right w:val="single" w:sz="4" w:space="0" w:color="auto"/>
            </w:tcBorders>
            <w:noWrap/>
          </w:tcPr>
          <w:p w:rsidR="00F07E05" w:rsidRPr="00FF1BBB" w:rsidRDefault="00F07E05" w:rsidP="008A253E">
            <w:pPr>
              <w:pStyle w:val="a7"/>
              <w:ind w:left="0"/>
              <w:jc w:val="center"/>
              <w:rPr>
                <w:sz w:val="20"/>
                <w:szCs w:val="20"/>
              </w:rPr>
            </w:pPr>
            <w:r>
              <w:rPr>
                <w:sz w:val="20"/>
                <w:szCs w:val="20"/>
              </w:rPr>
              <w:t>17 650,4</w:t>
            </w:r>
          </w:p>
        </w:tc>
        <w:tc>
          <w:tcPr>
            <w:tcW w:w="1606" w:type="dxa"/>
            <w:tcBorders>
              <w:top w:val="single" w:sz="4" w:space="0" w:color="auto"/>
              <w:left w:val="single" w:sz="4" w:space="0" w:color="auto"/>
              <w:bottom w:val="single" w:sz="4" w:space="0" w:color="auto"/>
              <w:right w:val="single" w:sz="4" w:space="0" w:color="auto"/>
            </w:tcBorders>
            <w:noWrap/>
          </w:tcPr>
          <w:p w:rsidR="00F07E05" w:rsidRPr="00FF1BBB" w:rsidRDefault="00F07E05" w:rsidP="008A253E">
            <w:pPr>
              <w:pStyle w:val="a7"/>
              <w:ind w:left="0"/>
              <w:jc w:val="center"/>
              <w:rPr>
                <w:sz w:val="20"/>
                <w:szCs w:val="20"/>
              </w:rPr>
            </w:pPr>
            <w:r>
              <w:rPr>
                <w:sz w:val="20"/>
                <w:szCs w:val="20"/>
              </w:rPr>
              <w:t>17 650,4</w:t>
            </w:r>
          </w:p>
        </w:tc>
      </w:tr>
    </w:tbl>
    <w:p w:rsidR="00F07E05" w:rsidRPr="00C93A58" w:rsidRDefault="00F07E05" w:rsidP="00F07E05">
      <w:pPr>
        <w:pStyle w:val="21"/>
        <w:rPr>
          <w:bCs/>
        </w:rPr>
      </w:pPr>
    </w:p>
    <w:p w:rsidR="00F07E05" w:rsidRDefault="00F07E05" w:rsidP="00F07E05">
      <w:pPr>
        <w:pStyle w:val="21"/>
      </w:pPr>
      <w:r w:rsidRPr="00C93A58">
        <w:rPr>
          <w:bCs/>
        </w:rPr>
        <w:t>Приказом Главного</w:t>
      </w:r>
      <w:r w:rsidRPr="00C93A58">
        <w:t xml:space="preserve"> управления региональной безопасности Тверской области </w:t>
      </w:r>
      <w:r w:rsidRPr="00C93A58">
        <w:rPr>
          <w:bCs/>
        </w:rPr>
        <w:t xml:space="preserve">от </w:t>
      </w:r>
      <w:r>
        <w:rPr>
          <w:bCs/>
        </w:rPr>
        <w:t>24.07.2018</w:t>
      </w:r>
      <w:r w:rsidRPr="00C93A58">
        <w:rPr>
          <w:bCs/>
        </w:rPr>
        <w:t xml:space="preserve"> № </w:t>
      </w:r>
      <w:r>
        <w:rPr>
          <w:bCs/>
        </w:rPr>
        <w:t xml:space="preserve">124 ( с изменениями и дополнениями) </w:t>
      </w:r>
      <w:r w:rsidRPr="00C93A58">
        <w:rPr>
          <w:bCs/>
        </w:rPr>
        <w:t xml:space="preserve">утверждена методика прогнозирования поступлений доходов в областной бюджет </w:t>
      </w:r>
      <w:r w:rsidRPr="00C93A58">
        <w:rPr>
          <w:bCs/>
        </w:rPr>
        <w:lastRenderedPageBreak/>
        <w:t xml:space="preserve">Тверской области, главным администратором которых является </w:t>
      </w:r>
      <w:r w:rsidRPr="00C93A58">
        <w:t>Главное управление региональной безопасности Тверской области</w:t>
      </w:r>
      <w:r>
        <w:t xml:space="preserve"> </w:t>
      </w:r>
      <w:r w:rsidRPr="00C93A58">
        <w:t>.</w:t>
      </w:r>
    </w:p>
    <w:p w:rsidR="00F07E05" w:rsidRDefault="00F07E05" w:rsidP="00F07E05">
      <w:pPr>
        <w:pStyle w:val="21"/>
      </w:pPr>
    </w:p>
    <w:p w:rsidR="00F07E05" w:rsidRPr="00F13206" w:rsidRDefault="00F07E05" w:rsidP="00F07E05">
      <w:pPr>
        <w:pStyle w:val="1"/>
        <w:ind w:left="525" w:hanging="540"/>
        <w:jc w:val="center"/>
        <w:rPr>
          <w:rFonts w:ascii="Times New Roman" w:hAnsi="Times New Roman"/>
          <w:sz w:val="28"/>
          <w:szCs w:val="28"/>
        </w:rPr>
      </w:pPr>
      <w:r w:rsidRPr="00F13206">
        <w:rPr>
          <w:rFonts w:ascii="Times New Roman" w:hAnsi="Times New Roman"/>
          <w:sz w:val="28"/>
          <w:szCs w:val="28"/>
        </w:rPr>
        <w:t>2022 год</w:t>
      </w:r>
    </w:p>
    <w:p w:rsidR="00F07E05" w:rsidRPr="00F13206" w:rsidRDefault="00F07E05" w:rsidP="00F07E05">
      <w:pPr>
        <w:ind w:left="-5"/>
        <w:jc w:val="both"/>
        <w:rPr>
          <w:sz w:val="28"/>
          <w:szCs w:val="28"/>
        </w:rPr>
      </w:pPr>
      <w:r w:rsidRPr="00F13206">
        <w:rPr>
          <w:b/>
          <w:sz w:val="28"/>
          <w:szCs w:val="28"/>
        </w:rPr>
        <w:t>10 506,2</w:t>
      </w:r>
      <w:r w:rsidRPr="00F13206">
        <w:rPr>
          <w:sz w:val="28"/>
          <w:szCs w:val="28"/>
        </w:rPr>
        <w:t xml:space="preserve"> </w:t>
      </w:r>
      <w:r>
        <w:rPr>
          <w:sz w:val="28"/>
          <w:szCs w:val="28"/>
        </w:rPr>
        <w:t>=</w:t>
      </w:r>
      <w:r w:rsidRPr="00F13206">
        <w:rPr>
          <w:sz w:val="28"/>
          <w:szCs w:val="28"/>
        </w:rPr>
        <w:t xml:space="preserve"> 12 эвакуаций в день * 2 400,00 (тариф) * 30,4 (среднее количество дней в месяце по году) * 12 (количество отработанных месяцев)  </w:t>
      </w:r>
    </w:p>
    <w:p w:rsidR="00F07E05" w:rsidRPr="00F13206" w:rsidRDefault="00F07E05" w:rsidP="00F07E05">
      <w:pPr>
        <w:ind w:left="-5"/>
        <w:jc w:val="both"/>
        <w:rPr>
          <w:sz w:val="28"/>
          <w:szCs w:val="28"/>
        </w:rPr>
      </w:pPr>
      <w:r w:rsidRPr="00F13206">
        <w:rPr>
          <w:b/>
          <w:sz w:val="28"/>
          <w:szCs w:val="28"/>
        </w:rPr>
        <w:t>7 144,2</w:t>
      </w:r>
      <w:r w:rsidRPr="00F13206">
        <w:rPr>
          <w:sz w:val="28"/>
          <w:szCs w:val="28"/>
        </w:rPr>
        <w:t xml:space="preserve"> = 12 эвакуаций в день * 34 (тариф) * 48 (среднее количество часов нахождения а/м на стоянке) * 30,4 (среднее количество дней в месяце по году) * 12 (количество отработанных месяцев)  </w:t>
      </w:r>
    </w:p>
    <w:p w:rsidR="00F07E05" w:rsidRPr="00F13206" w:rsidRDefault="00F07E05" w:rsidP="00F07E05">
      <w:pPr>
        <w:pStyle w:val="1"/>
        <w:ind w:left="525" w:hanging="540"/>
        <w:jc w:val="center"/>
        <w:rPr>
          <w:rFonts w:ascii="Times New Roman" w:hAnsi="Times New Roman"/>
          <w:sz w:val="28"/>
          <w:szCs w:val="28"/>
        </w:rPr>
      </w:pPr>
      <w:r>
        <w:rPr>
          <w:rFonts w:ascii="Times New Roman" w:hAnsi="Times New Roman"/>
          <w:sz w:val="28"/>
          <w:szCs w:val="28"/>
        </w:rPr>
        <w:t xml:space="preserve">2023 </w:t>
      </w:r>
      <w:r w:rsidRPr="00F13206">
        <w:rPr>
          <w:rFonts w:ascii="Times New Roman" w:hAnsi="Times New Roman"/>
          <w:sz w:val="28"/>
          <w:szCs w:val="28"/>
        </w:rPr>
        <w:t>год</w:t>
      </w:r>
    </w:p>
    <w:p w:rsidR="00F07E05" w:rsidRPr="00F13206" w:rsidRDefault="00F07E05" w:rsidP="00F07E05">
      <w:pPr>
        <w:ind w:left="-5"/>
        <w:jc w:val="both"/>
        <w:rPr>
          <w:sz w:val="28"/>
          <w:szCs w:val="28"/>
        </w:rPr>
      </w:pPr>
      <w:r w:rsidRPr="00F13206">
        <w:rPr>
          <w:b/>
          <w:sz w:val="28"/>
          <w:szCs w:val="28"/>
        </w:rPr>
        <w:t>10 506,2</w:t>
      </w:r>
      <w:r w:rsidRPr="00F13206">
        <w:rPr>
          <w:sz w:val="28"/>
          <w:szCs w:val="28"/>
        </w:rPr>
        <w:t xml:space="preserve"> </w:t>
      </w:r>
      <w:r>
        <w:rPr>
          <w:sz w:val="28"/>
          <w:szCs w:val="28"/>
        </w:rPr>
        <w:t>=</w:t>
      </w:r>
      <w:r w:rsidRPr="00F13206">
        <w:rPr>
          <w:sz w:val="28"/>
          <w:szCs w:val="28"/>
        </w:rPr>
        <w:t xml:space="preserve"> 12 эвакуаций в день * 2 400,00 (тариф) * 30,4 (среднее количество дней в месяце по году) * 12 (количество отработанных месяцев)  </w:t>
      </w:r>
    </w:p>
    <w:p w:rsidR="00F07E05" w:rsidRPr="00F13206" w:rsidRDefault="00F07E05" w:rsidP="00F07E05">
      <w:pPr>
        <w:ind w:left="-5"/>
        <w:jc w:val="both"/>
        <w:rPr>
          <w:sz w:val="28"/>
          <w:szCs w:val="28"/>
        </w:rPr>
      </w:pPr>
      <w:r w:rsidRPr="00F13206">
        <w:rPr>
          <w:b/>
          <w:sz w:val="28"/>
          <w:szCs w:val="28"/>
        </w:rPr>
        <w:t>7 144,2</w:t>
      </w:r>
      <w:r w:rsidRPr="00F13206">
        <w:rPr>
          <w:sz w:val="28"/>
          <w:szCs w:val="28"/>
        </w:rPr>
        <w:t xml:space="preserve"> = 12 эвакуаций в день * 34 (тариф) * 48 (среднее количество часов нахождения а/м на стоянке) * 30,4 (среднее количество дней в месяце по году) * 12 (количество отработанных месяцев) </w:t>
      </w:r>
    </w:p>
    <w:p w:rsidR="00F07E05" w:rsidRPr="00F13206" w:rsidRDefault="00F07E05" w:rsidP="00F07E05">
      <w:pPr>
        <w:pStyle w:val="1"/>
        <w:ind w:left="525" w:hanging="540"/>
        <w:jc w:val="center"/>
        <w:rPr>
          <w:rFonts w:ascii="Times New Roman" w:hAnsi="Times New Roman"/>
          <w:sz w:val="28"/>
          <w:szCs w:val="28"/>
        </w:rPr>
      </w:pPr>
      <w:r>
        <w:rPr>
          <w:rFonts w:ascii="Times New Roman" w:hAnsi="Times New Roman"/>
          <w:sz w:val="28"/>
          <w:szCs w:val="28"/>
        </w:rPr>
        <w:t>2024 год</w:t>
      </w:r>
    </w:p>
    <w:p w:rsidR="00F07E05" w:rsidRPr="00F13206" w:rsidRDefault="00F07E05" w:rsidP="00F07E05">
      <w:pPr>
        <w:ind w:left="-5"/>
        <w:jc w:val="both"/>
        <w:rPr>
          <w:sz w:val="28"/>
          <w:szCs w:val="28"/>
        </w:rPr>
      </w:pPr>
      <w:r w:rsidRPr="00F13206">
        <w:rPr>
          <w:b/>
          <w:sz w:val="28"/>
          <w:szCs w:val="28"/>
        </w:rPr>
        <w:t>10 506,2</w:t>
      </w:r>
      <w:r w:rsidRPr="00F13206">
        <w:rPr>
          <w:sz w:val="28"/>
          <w:szCs w:val="28"/>
        </w:rPr>
        <w:t xml:space="preserve"> </w:t>
      </w:r>
      <w:r>
        <w:rPr>
          <w:sz w:val="28"/>
          <w:szCs w:val="28"/>
        </w:rPr>
        <w:t>=</w:t>
      </w:r>
      <w:r w:rsidRPr="00F13206">
        <w:rPr>
          <w:sz w:val="28"/>
          <w:szCs w:val="28"/>
        </w:rPr>
        <w:t xml:space="preserve">12 эвакуаций в день * 2 400,00 (тариф) * 30,4 (среднее количество дней в месяце по году) * 12 (количество отработанных месяцев)  </w:t>
      </w:r>
    </w:p>
    <w:p w:rsidR="00F07E05" w:rsidRDefault="00F07E05" w:rsidP="00F07E05">
      <w:pPr>
        <w:ind w:left="-5"/>
        <w:jc w:val="both"/>
        <w:rPr>
          <w:sz w:val="28"/>
          <w:szCs w:val="28"/>
        </w:rPr>
      </w:pPr>
      <w:r w:rsidRPr="00F13206">
        <w:rPr>
          <w:b/>
          <w:sz w:val="28"/>
          <w:szCs w:val="28"/>
        </w:rPr>
        <w:t>7 144,2</w:t>
      </w:r>
      <w:r w:rsidRPr="00F13206">
        <w:rPr>
          <w:sz w:val="28"/>
          <w:szCs w:val="28"/>
        </w:rPr>
        <w:t xml:space="preserve"> = 12 эвакуаций в день * 34 (тариф) * 48 (среднее количество часов нахождения а/м на стоянке) * 30,4 (среднее количество дней в месяце по году) * 12 (количество отработанных месяцев). </w:t>
      </w:r>
    </w:p>
    <w:p w:rsidR="00F07E05" w:rsidRPr="00F13206" w:rsidRDefault="00F07E05" w:rsidP="00F07E05">
      <w:pPr>
        <w:ind w:left="-5"/>
        <w:jc w:val="both"/>
        <w:rPr>
          <w:sz w:val="28"/>
          <w:szCs w:val="28"/>
        </w:rPr>
      </w:pPr>
    </w:p>
    <w:p w:rsidR="00F07E05" w:rsidRPr="00F13206" w:rsidRDefault="00F07E05" w:rsidP="00F07E05">
      <w:pPr>
        <w:ind w:left="-5"/>
        <w:jc w:val="both"/>
        <w:rPr>
          <w:sz w:val="28"/>
          <w:szCs w:val="28"/>
        </w:rPr>
      </w:pPr>
      <w:r w:rsidRPr="00F13206">
        <w:rPr>
          <w:sz w:val="28"/>
          <w:szCs w:val="28"/>
        </w:rPr>
        <w:t xml:space="preserve">       На балансе ГКУ Тверской области «ЦОДД» 5 эвакуаторов. Среднее расчетное время эвакуации одного автомобиля в пределах городской черты, с учетом расположения специализированной стоянки, временем следования по маршруту до автомобиля, подлежащего эвакуации и эвакуация его на специализированную стоянку, дорожной обстановки, времени оформления протокола задержания транспортного средства сотрудником ДПС ГИБДД, его безопасной загрузки и крепления на платформе, доставки на специализированную стоянку, разгрузки и передаче эвакуированного автомобиля и документов старшему администратору составит 3 часа. Рабочий день составляет 8 часов.  8/3=3*5 = 15 (эвакуаций в день) </w:t>
      </w:r>
    </w:p>
    <w:p w:rsidR="00F07E05" w:rsidRPr="00F13206" w:rsidRDefault="00F07E05" w:rsidP="00F07E05">
      <w:pPr>
        <w:ind w:left="-5"/>
        <w:jc w:val="both"/>
        <w:rPr>
          <w:sz w:val="28"/>
          <w:szCs w:val="28"/>
        </w:rPr>
      </w:pPr>
      <w:r w:rsidRPr="00F13206">
        <w:rPr>
          <w:sz w:val="28"/>
          <w:szCs w:val="28"/>
        </w:rPr>
        <w:t xml:space="preserve">       Согласно ст.115 ТК РФ каждому работнику предоставляется ежегодный основной оплачиваемый отпуск продолжительностью 28 календарных дней. Согласно штатному расписанию, количество машинистов крана 4 разряда составляет 10 человек. Общее время пребывания их в отпуске составит 280 календарных дней. 10*28 = 280 (календарных дней) </w:t>
      </w:r>
    </w:p>
    <w:p w:rsidR="00F07E05" w:rsidRPr="00F13206" w:rsidRDefault="00F07E05" w:rsidP="00F07E05">
      <w:pPr>
        <w:ind w:left="-5"/>
        <w:jc w:val="both"/>
        <w:rPr>
          <w:sz w:val="28"/>
          <w:szCs w:val="28"/>
        </w:rPr>
      </w:pPr>
      <w:r w:rsidRPr="00F13206">
        <w:rPr>
          <w:sz w:val="28"/>
          <w:szCs w:val="28"/>
        </w:rPr>
        <w:t xml:space="preserve">         В целях безаварийной эксплуатации автомобилей каждый эвакуатор проходит 2 раза в  год плановое техническое обслуживание (ТО) в специализированных сервисах, из них: </w:t>
      </w:r>
    </w:p>
    <w:p w:rsidR="00F07E05" w:rsidRPr="00F13206" w:rsidRDefault="00F07E05" w:rsidP="00F07E05">
      <w:pPr>
        <w:tabs>
          <w:tab w:val="center" w:pos="1491"/>
          <w:tab w:val="center" w:pos="2496"/>
          <w:tab w:val="center" w:pos="2847"/>
          <w:tab w:val="center" w:pos="3779"/>
          <w:tab w:val="center" w:pos="4711"/>
          <w:tab w:val="center" w:pos="5143"/>
          <w:tab w:val="center" w:pos="5797"/>
          <w:tab w:val="center" w:pos="6767"/>
          <w:tab w:val="center" w:pos="7758"/>
          <w:tab w:val="right" w:pos="9502"/>
        </w:tabs>
        <w:ind w:left="-15"/>
        <w:jc w:val="both"/>
        <w:rPr>
          <w:sz w:val="28"/>
          <w:szCs w:val="28"/>
        </w:rPr>
      </w:pPr>
      <w:r w:rsidRPr="00F13206">
        <w:rPr>
          <w:sz w:val="28"/>
          <w:szCs w:val="28"/>
        </w:rPr>
        <w:lastRenderedPageBreak/>
        <w:t xml:space="preserve">ООО </w:t>
      </w:r>
      <w:r w:rsidRPr="00F13206">
        <w:rPr>
          <w:sz w:val="28"/>
          <w:szCs w:val="28"/>
        </w:rPr>
        <w:tab/>
        <w:t xml:space="preserve">«ГАЗ-сервис» </w:t>
      </w:r>
      <w:r w:rsidRPr="00F13206">
        <w:rPr>
          <w:sz w:val="28"/>
          <w:szCs w:val="28"/>
        </w:rPr>
        <w:tab/>
        <w:t xml:space="preserve">- </w:t>
      </w:r>
      <w:r w:rsidRPr="00F13206">
        <w:rPr>
          <w:sz w:val="28"/>
          <w:szCs w:val="28"/>
        </w:rPr>
        <w:tab/>
        <w:t xml:space="preserve">5 </w:t>
      </w:r>
      <w:r w:rsidRPr="00F13206">
        <w:rPr>
          <w:sz w:val="28"/>
          <w:szCs w:val="28"/>
        </w:rPr>
        <w:tab/>
        <w:t xml:space="preserve">эвакуаторов </w:t>
      </w:r>
      <w:r w:rsidRPr="00F13206">
        <w:rPr>
          <w:sz w:val="28"/>
          <w:szCs w:val="28"/>
        </w:rPr>
        <w:tab/>
        <w:t xml:space="preserve">* </w:t>
      </w:r>
      <w:r w:rsidRPr="00F13206">
        <w:rPr>
          <w:sz w:val="28"/>
          <w:szCs w:val="28"/>
        </w:rPr>
        <w:tab/>
        <w:t xml:space="preserve">48 </w:t>
      </w:r>
      <w:r w:rsidRPr="00F13206">
        <w:rPr>
          <w:sz w:val="28"/>
          <w:szCs w:val="28"/>
        </w:rPr>
        <w:tab/>
        <w:t xml:space="preserve">часов </w:t>
      </w:r>
      <w:r w:rsidRPr="00F13206">
        <w:rPr>
          <w:sz w:val="28"/>
          <w:szCs w:val="28"/>
        </w:rPr>
        <w:tab/>
        <w:t xml:space="preserve">(среднее </w:t>
      </w:r>
      <w:r w:rsidRPr="00F13206">
        <w:rPr>
          <w:sz w:val="28"/>
          <w:szCs w:val="28"/>
        </w:rPr>
        <w:tab/>
        <w:t xml:space="preserve">время проведения ТО)*2(количество ТО в год) </w:t>
      </w:r>
      <w:r>
        <w:rPr>
          <w:sz w:val="28"/>
          <w:szCs w:val="28"/>
        </w:rPr>
        <w:t xml:space="preserve"> </w:t>
      </w:r>
      <w:r w:rsidRPr="00F13206">
        <w:rPr>
          <w:sz w:val="28"/>
          <w:szCs w:val="28"/>
        </w:rPr>
        <w:t xml:space="preserve">5*48*2 = 480 часов = 20 (календарных дней) </w:t>
      </w:r>
    </w:p>
    <w:p w:rsidR="00F07E05" w:rsidRPr="00F13206" w:rsidRDefault="00F07E05" w:rsidP="00F07E05">
      <w:pPr>
        <w:ind w:left="-5"/>
        <w:jc w:val="both"/>
        <w:rPr>
          <w:sz w:val="28"/>
          <w:szCs w:val="28"/>
        </w:rPr>
      </w:pPr>
      <w:r w:rsidRPr="00F13206">
        <w:rPr>
          <w:sz w:val="28"/>
          <w:szCs w:val="28"/>
        </w:rPr>
        <w:t xml:space="preserve">ООО «Кран-сервис» - 3 эвакуатора с КМУ*48 часов (среднее время проведения ТО)*2(количество ТО в год) 3*48*2 = 288 часов = 12 (календарных дней) </w:t>
      </w:r>
    </w:p>
    <w:p w:rsidR="00F07E05" w:rsidRPr="00F13206" w:rsidRDefault="00F07E05" w:rsidP="00F07E05">
      <w:pPr>
        <w:ind w:left="-5"/>
        <w:jc w:val="both"/>
        <w:rPr>
          <w:sz w:val="28"/>
          <w:szCs w:val="28"/>
        </w:rPr>
      </w:pPr>
      <w:r w:rsidRPr="00F13206">
        <w:rPr>
          <w:sz w:val="28"/>
          <w:szCs w:val="28"/>
        </w:rPr>
        <w:t xml:space="preserve">        Общее время отсутствия одного работника по вышеуказанных причинам составляет 312 календарных дней в году, или простой 1 эвакуатора согласно графику отпусков работников и графиков ТО.  </w:t>
      </w:r>
    </w:p>
    <w:p w:rsidR="00F07E05" w:rsidRPr="00F13206" w:rsidRDefault="00F07E05" w:rsidP="00F07E05">
      <w:pPr>
        <w:ind w:left="-5"/>
        <w:jc w:val="both"/>
        <w:rPr>
          <w:sz w:val="28"/>
          <w:szCs w:val="28"/>
        </w:rPr>
      </w:pPr>
      <w:r w:rsidRPr="00F13206">
        <w:rPr>
          <w:sz w:val="28"/>
          <w:szCs w:val="28"/>
        </w:rPr>
        <w:t xml:space="preserve">        В связи с вышеизложенным, количество планируемых эвакуаций в день составит 3часа*4 эвакуатора и будет равно 12 эвакуаций в день. </w:t>
      </w:r>
    </w:p>
    <w:p w:rsidR="00F07E05" w:rsidRPr="00F13206" w:rsidRDefault="00F07E05" w:rsidP="00F07E05">
      <w:pPr>
        <w:ind w:left="-5"/>
        <w:jc w:val="both"/>
        <w:rPr>
          <w:sz w:val="28"/>
          <w:szCs w:val="28"/>
        </w:rPr>
      </w:pPr>
      <w:r w:rsidRPr="00F13206">
        <w:rPr>
          <w:sz w:val="28"/>
          <w:szCs w:val="28"/>
        </w:rPr>
        <w:t xml:space="preserve">3*4 = 12 (эвакуаций в день) </w:t>
      </w:r>
    </w:p>
    <w:p w:rsidR="00F07E05" w:rsidRPr="00F13206" w:rsidRDefault="00F07E05" w:rsidP="00F07E05">
      <w:pPr>
        <w:ind w:left="-5" w:firstLine="572"/>
        <w:jc w:val="both"/>
        <w:rPr>
          <w:sz w:val="28"/>
          <w:szCs w:val="28"/>
        </w:rPr>
      </w:pPr>
      <w:r>
        <w:rPr>
          <w:sz w:val="28"/>
          <w:szCs w:val="28"/>
        </w:rPr>
        <w:t xml:space="preserve">При расчете используются тарифы, </w:t>
      </w:r>
      <w:r w:rsidRPr="00F13206">
        <w:rPr>
          <w:sz w:val="28"/>
          <w:szCs w:val="28"/>
        </w:rPr>
        <w:t xml:space="preserve">утвержденные приказом Главного управления «Региональная энергетическая комиссия» Тверской области от 09.12.2020 № 135-нп. </w:t>
      </w:r>
    </w:p>
    <w:p w:rsidR="00F07E05" w:rsidRDefault="00F07E05" w:rsidP="00F07E05">
      <w:pPr>
        <w:tabs>
          <w:tab w:val="left" w:pos="284"/>
          <w:tab w:val="left" w:pos="993"/>
        </w:tabs>
        <w:ind w:firstLine="426"/>
        <w:jc w:val="both"/>
        <w:rPr>
          <w:b/>
          <w:color w:val="FF0000"/>
          <w:sz w:val="28"/>
          <w:szCs w:val="28"/>
        </w:rPr>
      </w:pPr>
    </w:p>
    <w:p w:rsidR="00F07E05" w:rsidRDefault="00F07E05" w:rsidP="00F07E05">
      <w:pPr>
        <w:pStyle w:val="21"/>
        <w:jc w:val="center"/>
        <w:rPr>
          <w:b/>
        </w:rPr>
      </w:pPr>
    </w:p>
    <w:p w:rsidR="00F07E05" w:rsidRDefault="00F07E05" w:rsidP="00F07E05">
      <w:pPr>
        <w:pStyle w:val="21"/>
        <w:jc w:val="center"/>
        <w:rPr>
          <w:b/>
        </w:rPr>
      </w:pPr>
      <w:r>
        <w:rPr>
          <w:b/>
        </w:rPr>
        <w:t>Доходы от компенсации затрат государства</w:t>
      </w:r>
    </w:p>
    <w:p w:rsidR="00F07E05" w:rsidRDefault="00F07E05" w:rsidP="00F07E05">
      <w:pPr>
        <w:pStyle w:val="21"/>
        <w:jc w:val="center"/>
        <w:rPr>
          <w:b/>
        </w:rPr>
      </w:pPr>
    </w:p>
    <w:p w:rsidR="00F07E05" w:rsidRDefault="00F07E05" w:rsidP="00F07E05">
      <w:pPr>
        <w:pStyle w:val="21"/>
        <w:rPr>
          <w:b/>
        </w:rPr>
      </w:pPr>
      <w:r w:rsidRPr="0032295A">
        <w:rPr>
          <w:b/>
        </w:rPr>
        <w:t>Доходы, поступающие в порядке возмещения расходов, понесенных в связи с эксплуатацией имущества</w:t>
      </w:r>
    </w:p>
    <w:p w:rsidR="00F07E05" w:rsidRDefault="00F07E05" w:rsidP="00F07E05">
      <w:pPr>
        <w:pStyle w:val="21"/>
        <w:rPr>
          <w:b/>
        </w:rPr>
      </w:pPr>
    </w:p>
    <w:p w:rsidR="00F07E05" w:rsidRPr="00C93A58" w:rsidRDefault="00F07E05" w:rsidP="00F07E05">
      <w:pPr>
        <w:pStyle w:val="a7"/>
        <w:ind w:left="0" w:firstLine="360"/>
        <w:jc w:val="right"/>
        <w:rPr>
          <w:b/>
        </w:rPr>
      </w:pPr>
      <w:r w:rsidRPr="00C93A58">
        <w:rPr>
          <w:b/>
        </w:rPr>
        <w:t>тыс. руб.</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1368"/>
        <w:gridCol w:w="1440"/>
        <w:gridCol w:w="1620"/>
      </w:tblGrid>
      <w:tr w:rsidR="00F07E05" w:rsidRPr="00C93A58" w:rsidTr="008A253E">
        <w:trPr>
          <w:trHeight w:val="309"/>
        </w:trPr>
        <w:tc>
          <w:tcPr>
            <w:tcW w:w="2520" w:type="dxa"/>
            <w:noWrap/>
          </w:tcPr>
          <w:p w:rsidR="00F07E05" w:rsidRPr="00C93A58" w:rsidRDefault="00F07E05" w:rsidP="008A253E">
            <w:pPr>
              <w:rPr>
                <w:b/>
                <w:sz w:val="20"/>
                <w:szCs w:val="20"/>
              </w:rPr>
            </w:pPr>
            <w:r w:rsidRPr="00C93A58">
              <w:rPr>
                <w:b/>
                <w:sz w:val="20"/>
                <w:szCs w:val="20"/>
              </w:rPr>
              <w:t>Код БК</w:t>
            </w:r>
          </w:p>
        </w:tc>
        <w:tc>
          <w:tcPr>
            <w:tcW w:w="2520" w:type="dxa"/>
            <w:noWrap/>
          </w:tcPr>
          <w:p w:rsidR="00F07E05" w:rsidRPr="00C93A58" w:rsidRDefault="00F07E05" w:rsidP="008A253E">
            <w:pPr>
              <w:rPr>
                <w:b/>
                <w:sz w:val="20"/>
                <w:szCs w:val="20"/>
              </w:rPr>
            </w:pPr>
            <w:r w:rsidRPr="00C93A58">
              <w:rPr>
                <w:b/>
                <w:sz w:val="20"/>
                <w:szCs w:val="20"/>
              </w:rPr>
              <w:t>Наименование</w:t>
            </w:r>
          </w:p>
        </w:tc>
        <w:tc>
          <w:tcPr>
            <w:tcW w:w="1368" w:type="dxa"/>
          </w:tcPr>
          <w:p w:rsidR="00F07E05" w:rsidRPr="00C93A58" w:rsidRDefault="00F07E05" w:rsidP="008A253E">
            <w:pPr>
              <w:jc w:val="center"/>
              <w:rPr>
                <w:b/>
                <w:sz w:val="20"/>
                <w:szCs w:val="20"/>
              </w:rPr>
            </w:pPr>
            <w:r w:rsidRPr="00C93A58">
              <w:rPr>
                <w:b/>
                <w:sz w:val="20"/>
                <w:szCs w:val="20"/>
              </w:rPr>
              <w:t>Прогноз на</w:t>
            </w:r>
          </w:p>
          <w:p w:rsidR="00F07E05" w:rsidRPr="00C93A58" w:rsidRDefault="00F07E05" w:rsidP="008A253E">
            <w:pPr>
              <w:jc w:val="center"/>
              <w:rPr>
                <w:b/>
                <w:sz w:val="20"/>
                <w:szCs w:val="20"/>
              </w:rPr>
            </w:pPr>
            <w:r w:rsidRPr="00C93A58">
              <w:rPr>
                <w:b/>
                <w:sz w:val="20"/>
                <w:szCs w:val="20"/>
              </w:rPr>
              <w:t>20</w:t>
            </w:r>
            <w:r>
              <w:rPr>
                <w:b/>
                <w:sz w:val="20"/>
                <w:szCs w:val="20"/>
              </w:rPr>
              <w:t>22</w:t>
            </w:r>
            <w:r w:rsidRPr="00C93A58">
              <w:rPr>
                <w:b/>
                <w:sz w:val="20"/>
                <w:szCs w:val="20"/>
              </w:rPr>
              <w:t xml:space="preserve"> год </w:t>
            </w:r>
          </w:p>
          <w:p w:rsidR="00F07E05" w:rsidRPr="00C93A58" w:rsidRDefault="00F07E05" w:rsidP="008A253E">
            <w:pPr>
              <w:jc w:val="center"/>
              <w:rPr>
                <w:b/>
                <w:sz w:val="20"/>
                <w:szCs w:val="20"/>
              </w:rPr>
            </w:pPr>
          </w:p>
        </w:tc>
        <w:tc>
          <w:tcPr>
            <w:tcW w:w="1440" w:type="dxa"/>
          </w:tcPr>
          <w:p w:rsidR="00F07E05" w:rsidRPr="00C93A58" w:rsidRDefault="00F07E05" w:rsidP="008A253E">
            <w:pPr>
              <w:jc w:val="center"/>
              <w:rPr>
                <w:b/>
                <w:sz w:val="20"/>
                <w:szCs w:val="20"/>
              </w:rPr>
            </w:pPr>
            <w:r w:rsidRPr="00C93A58">
              <w:rPr>
                <w:b/>
                <w:sz w:val="20"/>
                <w:szCs w:val="20"/>
              </w:rPr>
              <w:t>Прогноз на</w:t>
            </w:r>
          </w:p>
          <w:p w:rsidR="00F07E05" w:rsidRPr="00C93A58" w:rsidRDefault="00F07E05" w:rsidP="008A253E">
            <w:pPr>
              <w:jc w:val="center"/>
              <w:rPr>
                <w:b/>
                <w:sz w:val="20"/>
                <w:szCs w:val="20"/>
              </w:rPr>
            </w:pPr>
            <w:r w:rsidRPr="00C93A58">
              <w:rPr>
                <w:b/>
                <w:sz w:val="20"/>
                <w:szCs w:val="20"/>
              </w:rPr>
              <w:t>20</w:t>
            </w:r>
            <w:r>
              <w:rPr>
                <w:b/>
                <w:sz w:val="20"/>
                <w:szCs w:val="20"/>
              </w:rPr>
              <w:t xml:space="preserve">23 </w:t>
            </w:r>
            <w:r w:rsidRPr="00C93A58">
              <w:rPr>
                <w:b/>
                <w:sz w:val="20"/>
                <w:szCs w:val="20"/>
              </w:rPr>
              <w:t>год</w:t>
            </w:r>
          </w:p>
          <w:p w:rsidR="00F07E05" w:rsidRPr="00C93A58" w:rsidRDefault="00F07E05" w:rsidP="008A253E">
            <w:pPr>
              <w:jc w:val="center"/>
              <w:rPr>
                <w:b/>
                <w:sz w:val="20"/>
                <w:szCs w:val="20"/>
              </w:rPr>
            </w:pPr>
          </w:p>
        </w:tc>
        <w:tc>
          <w:tcPr>
            <w:tcW w:w="1620" w:type="dxa"/>
          </w:tcPr>
          <w:p w:rsidR="00F07E05" w:rsidRPr="00C93A58" w:rsidRDefault="00F07E05" w:rsidP="008A253E">
            <w:pPr>
              <w:jc w:val="center"/>
              <w:rPr>
                <w:b/>
                <w:sz w:val="20"/>
                <w:szCs w:val="20"/>
              </w:rPr>
            </w:pPr>
            <w:r w:rsidRPr="00C93A58">
              <w:rPr>
                <w:b/>
                <w:sz w:val="20"/>
                <w:szCs w:val="20"/>
              </w:rPr>
              <w:t>Прогноз на</w:t>
            </w:r>
          </w:p>
          <w:p w:rsidR="00F07E05" w:rsidRPr="00C93A58" w:rsidRDefault="00F07E05" w:rsidP="008A253E">
            <w:pPr>
              <w:jc w:val="center"/>
              <w:rPr>
                <w:b/>
                <w:sz w:val="20"/>
                <w:szCs w:val="20"/>
              </w:rPr>
            </w:pPr>
            <w:r w:rsidRPr="00C93A58">
              <w:rPr>
                <w:b/>
                <w:sz w:val="20"/>
                <w:szCs w:val="20"/>
              </w:rPr>
              <w:t>202</w:t>
            </w:r>
            <w:r>
              <w:rPr>
                <w:b/>
                <w:sz w:val="20"/>
                <w:szCs w:val="20"/>
              </w:rPr>
              <w:t xml:space="preserve">4 </w:t>
            </w:r>
            <w:r w:rsidRPr="00C93A58">
              <w:rPr>
                <w:b/>
                <w:sz w:val="20"/>
                <w:szCs w:val="20"/>
              </w:rPr>
              <w:t>год</w:t>
            </w:r>
          </w:p>
          <w:p w:rsidR="00F07E05" w:rsidRPr="00C93A58" w:rsidRDefault="00F07E05" w:rsidP="008A253E">
            <w:pPr>
              <w:jc w:val="center"/>
              <w:rPr>
                <w:b/>
                <w:sz w:val="20"/>
                <w:szCs w:val="20"/>
              </w:rPr>
            </w:pPr>
          </w:p>
        </w:tc>
      </w:tr>
      <w:tr w:rsidR="00F07E05" w:rsidRPr="00C93A58" w:rsidTr="008A253E">
        <w:trPr>
          <w:trHeight w:val="532"/>
        </w:trPr>
        <w:tc>
          <w:tcPr>
            <w:tcW w:w="2520" w:type="dxa"/>
            <w:noWrap/>
          </w:tcPr>
          <w:p w:rsidR="00F07E05" w:rsidRPr="00C93A58" w:rsidRDefault="00F07E05" w:rsidP="008A253E">
            <w:pPr>
              <w:jc w:val="center"/>
              <w:rPr>
                <w:b/>
                <w:sz w:val="18"/>
                <w:szCs w:val="18"/>
              </w:rPr>
            </w:pPr>
          </w:p>
          <w:p w:rsidR="00F07E05" w:rsidRPr="00C93A58" w:rsidRDefault="00F07E05" w:rsidP="008A253E">
            <w:pPr>
              <w:jc w:val="center"/>
              <w:rPr>
                <w:b/>
                <w:sz w:val="16"/>
                <w:szCs w:val="16"/>
              </w:rPr>
            </w:pPr>
          </w:p>
          <w:p w:rsidR="00F07E05" w:rsidRPr="00C93A58" w:rsidRDefault="00F07E05" w:rsidP="008A253E">
            <w:pPr>
              <w:jc w:val="center"/>
              <w:rPr>
                <w:b/>
                <w:sz w:val="16"/>
                <w:szCs w:val="16"/>
              </w:rPr>
            </w:pPr>
            <w:r w:rsidRPr="00C93A58">
              <w:rPr>
                <w:b/>
                <w:sz w:val="16"/>
                <w:szCs w:val="16"/>
              </w:rPr>
              <w:t>000</w:t>
            </w:r>
            <w:r w:rsidRPr="00C93A58">
              <w:rPr>
                <w:b/>
                <w:sz w:val="16"/>
                <w:szCs w:val="16"/>
                <w:lang w:val="en-US"/>
              </w:rPr>
              <w:t xml:space="preserve"> 1 13 0</w:t>
            </w:r>
            <w:r w:rsidRPr="00C93A58">
              <w:rPr>
                <w:b/>
                <w:sz w:val="16"/>
                <w:szCs w:val="16"/>
              </w:rPr>
              <w:t>200</w:t>
            </w:r>
            <w:r w:rsidRPr="00C93A58">
              <w:rPr>
                <w:b/>
                <w:sz w:val="16"/>
                <w:szCs w:val="16"/>
                <w:lang w:val="en-US"/>
              </w:rPr>
              <w:t>0 0</w:t>
            </w:r>
            <w:r w:rsidRPr="00C93A58">
              <w:rPr>
                <w:b/>
                <w:sz w:val="16"/>
                <w:szCs w:val="16"/>
              </w:rPr>
              <w:t>0</w:t>
            </w:r>
            <w:r w:rsidRPr="00C93A58">
              <w:rPr>
                <w:b/>
                <w:sz w:val="16"/>
                <w:szCs w:val="16"/>
                <w:lang w:val="en-US"/>
              </w:rPr>
              <w:t xml:space="preserve"> 000</w:t>
            </w:r>
            <w:r w:rsidRPr="00C93A58">
              <w:rPr>
                <w:b/>
                <w:sz w:val="16"/>
                <w:szCs w:val="16"/>
              </w:rPr>
              <w:t>0 130</w:t>
            </w:r>
          </w:p>
          <w:p w:rsidR="00F07E05" w:rsidRPr="00C93A58" w:rsidRDefault="00F07E05" w:rsidP="008A253E">
            <w:pPr>
              <w:rPr>
                <w:b/>
                <w:sz w:val="16"/>
                <w:szCs w:val="16"/>
              </w:rPr>
            </w:pPr>
          </w:p>
          <w:p w:rsidR="00F07E05" w:rsidRPr="00C93A58" w:rsidRDefault="00F07E05" w:rsidP="008A253E">
            <w:pPr>
              <w:jc w:val="right"/>
              <w:rPr>
                <w:b/>
                <w:sz w:val="16"/>
                <w:szCs w:val="16"/>
              </w:rPr>
            </w:pPr>
          </w:p>
        </w:tc>
        <w:tc>
          <w:tcPr>
            <w:tcW w:w="2520" w:type="dxa"/>
          </w:tcPr>
          <w:p w:rsidR="00F07E05" w:rsidRPr="00C93A58" w:rsidRDefault="00F07E05" w:rsidP="008A253E">
            <w:pPr>
              <w:rPr>
                <w:b/>
                <w:sz w:val="18"/>
                <w:szCs w:val="18"/>
              </w:rPr>
            </w:pPr>
          </w:p>
          <w:p w:rsidR="00F07E05" w:rsidRPr="00C93A58" w:rsidRDefault="00F07E05" w:rsidP="008A253E">
            <w:pPr>
              <w:rPr>
                <w:b/>
                <w:sz w:val="18"/>
                <w:szCs w:val="18"/>
              </w:rPr>
            </w:pPr>
            <w:r w:rsidRPr="00C93A58">
              <w:rPr>
                <w:b/>
                <w:sz w:val="18"/>
                <w:szCs w:val="18"/>
              </w:rPr>
              <w:t xml:space="preserve">Доходы от компенсации затрат государства </w:t>
            </w:r>
          </w:p>
        </w:tc>
        <w:tc>
          <w:tcPr>
            <w:tcW w:w="1368" w:type="dxa"/>
            <w:noWrap/>
          </w:tcPr>
          <w:p w:rsidR="00F07E05" w:rsidRDefault="00F07E05" w:rsidP="008A253E">
            <w:pPr>
              <w:ind w:hanging="108"/>
              <w:jc w:val="center"/>
              <w:rPr>
                <w:b/>
                <w:sz w:val="20"/>
                <w:szCs w:val="20"/>
              </w:rPr>
            </w:pPr>
          </w:p>
          <w:p w:rsidR="0018156C" w:rsidRPr="00EE2236" w:rsidRDefault="0018156C" w:rsidP="008A253E">
            <w:pPr>
              <w:ind w:hanging="108"/>
              <w:jc w:val="center"/>
              <w:rPr>
                <w:b/>
                <w:sz w:val="20"/>
                <w:szCs w:val="20"/>
              </w:rPr>
            </w:pPr>
            <w:r>
              <w:rPr>
                <w:b/>
                <w:sz w:val="20"/>
                <w:szCs w:val="20"/>
              </w:rPr>
              <w:t>2 280 010,8</w:t>
            </w:r>
          </w:p>
        </w:tc>
        <w:tc>
          <w:tcPr>
            <w:tcW w:w="1440" w:type="dxa"/>
            <w:noWrap/>
          </w:tcPr>
          <w:p w:rsidR="00F07E05" w:rsidRDefault="00F07E05" w:rsidP="008A253E">
            <w:pPr>
              <w:ind w:left="-854"/>
              <w:jc w:val="right"/>
              <w:rPr>
                <w:b/>
                <w:sz w:val="20"/>
                <w:szCs w:val="20"/>
              </w:rPr>
            </w:pPr>
          </w:p>
          <w:p w:rsidR="0018156C" w:rsidRPr="00EE2236" w:rsidRDefault="0018156C" w:rsidP="008A253E">
            <w:pPr>
              <w:ind w:left="-854"/>
              <w:jc w:val="right"/>
              <w:rPr>
                <w:b/>
                <w:sz w:val="20"/>
                <w:szCs w:val="20"/>
              </w:rPr>
            </w:pPr>
            <w:r>
              <w:rPr>
                <w:b/>
                <w:sz w:val="20"/>
                <w:szCs w:val="20"/>
              </w:rPr>
              <w:t>2 124 642,7</w:t>
            </w:r>
          </w:p>
        </w:tc>
        <w:tc>
          <w:tcPr>
            <w:tcW w:w="1620" w:type="dxa"/>
            <w:noWrap/>
          </w:tcPr>
          <w:p w:rsidR="00F07E05" w:rsidRDefault="00F07E05" w:rsidP="008A253E">
            <w:pPr>
              <w:ind w:left="-309"/>
              <w:jc w:val="center"/>
              <w:rPr>
                <w:b/>
                <w:sz w:val="20"/>
                <w:szCs w:val="20"/>
              </w:rPr>
            </w:pPr>
          </w:p>
          <w:p w:rsidR="0018156C" w:rsidRPr="00D23161" w:rsidRDefault="0018156C" w:rsidP="008A253E">
            <w:pPr>
              <w:ind w:left="-309"/>
              <w:jc w:val="center"/>
              <w:rPr>
                <w:b/>
                <w:sz w:val="20"/>
                <w:szCs w:val="20"/>
              </w:rPr>
            </w:pPr>
            <w:r>
              <w:rPr>
                <w:b/>
                <w:sz w:val="20"/>
                <w:szCs w:val="20"/>
              </w:rPr>
              <w:t>2 724 157,6</w:t>
            </w:r>
          </w:p>
        </w:tc>
      </w:tr>
      <w:tr w:rsidR="00F07E05" w:rsidRPr="00C93A58" w:rsidTr="008A253E">
        <w:trPr>
          <w:trHeight w:val="1353"/>
        </w:trPr>
        <w:tc>
          <w:tcPr>
            <w:tcW w:w="2520" w:type="dxa"/>
            <w:noWrap/>
          </w:tcPr>
          <w:p w:rsidR="00F07E05" w:rsidRPr="00C93A58" w:rsidRDefault="00F07E05" w:rsidP="008A253E">
            <w:pPr>
              <w:jc w:val="center"/>
              <w:rPr>
                <w:sz w:val="16"/>
                <w:szCs w:val="16"/>
              </w:rPr>
            </w:pPr>
          </w:p>
          <w:p w:rsidR="00F07E05" w:rsidRPr="00C93A58" w:rsidRDefault="00F07E05" w:rsidP="008A253E">
            <w:pPr>
              <w:jc w:val="center"/>
              <w:rPr>
                <w:sz w:val="16"/>
                <w:szCs w:val="16"/>
              </w:rPr>
            </w:pPr>
          </w:p>
          <w:p w:rsidR="00F07E05" w:rsidRPr="00C93A58" w:rsidRDefault="00F07E05" w:rsidP="008A253E">
            <w:pPr>
              <w:jc w:val="center"/>
              <w:rPr>
                <w:sz w:val="16"/>
                <w:szCs w:val="16"/>
              </w:rPr>
            </w:pPr>
            <w:r w:rsidRPr="0032295A">
              <w:rPr>
                <w:sz w:val="16"/>
                <w:szCs w:val="16"/>
              </w:rPr>
              <w:t>000 1 13 02060 00 0000 130</w:t>
            </w:r>
          </w:p>
        </w:tc>
        <w:tc>
          <w:tcPr>
            <w:tcW w:w="2520" w:type="dxa"/>
          </w:tcPr>
          <w:p w:rsidR="00F07E05" w:rsidRPr="00C93A58" w:rsidRDefault="00F07E05" w:rsidP="008A253E">
            <w:pPr>
              <w:rPr>
                <w:sz w:val="20"/>
                <w:szCs w:val="20"/>
              </w:rPr>
            </w:pPr>
          </w:p>
          <w:p w:rsidR="00F07E05" w:rsidRPr="00C93A58" w:rsidRDefault="00F07E05" w:rsidP="008A253E">
            <w:pPr>
              <w:rPr>
                <w:sz w:val="20"/>
                <w:szCs w:val="20"/>
              </w:rPr>
            </w:pPr>
            <w:r w:rsidRPr="0032295A">
              <w:rPr>
                <w:sz w:val="20"/>
                <w:szCs w:val="20"/>
              </w:rPr>
              <w:t>Доходы, поступающие в порядке возмещения расходов, понесенных в связи с эксплуатацией имущества</w:t>
            </w:r>
          </w:p>
        </w:tc>
        <w:tc>
          <w:tcPr>
            <w:tcW w:w="1368" w:type="dxa"/>
            <w:noWrap/>
          </w:tcPr>
          <w:p w:rsidR="00F07E05" w:rsidRPr="007E2F4E" w:rsidRDefault="00F07E05" w:rsidP="008A253E">
            <w:pPr>
              <w:ind w:hanging="108"/>
              <w:jc w:val="center"/>
              <w:rPr>
                <w:sz w:val="20"/>
                <w:szCs w:val="20"/>
              </w:rPr>
            </w:pPr>
          </w:p>
          <w:p w:rsidR="00F07E05" w:rsidRPr="007E2F4E" w:rsidRDefault="00F07E05" w:rsidP="008A253E">
            <w:pPr>
              <w:ind w:hanging="108"/>
              <w:jc w:val="center"/>
              <w:rPr>
                <w:sz w:val="20"/>
                <w:szCs w:val="20"/>
              </w:rPr>
            </w:pPr>
          </w:p>
          <w:p w:rsidR="00F07E05" w:rsidRPr="007E2F4E" w:rsidRDefault="00F07E05" w:rsidP="008A253E">
            <w:pPr>
              <w:ind w:hanging="108"/>
              <w:jc w:val="center"/>
              <w:rPr>
                <w:sz w:val="20"/>
                <w:szCs w:val="20"/>
              </w:rPr>
            </w:pPr>
          </w:p>
          <w:p w:rsidR="00F07E05" w:rsidRPr="007E2F4E" w:rsidRDefault="00F07E05" w:rsidP="008A253E">
            <w:pPr>
              <w:ind w:hanging="108"/>
              <w:jc w:val="center"/>
              <w:rPr>
                <w:sz w:val="20"/>
                <w:szCs w:val="20"/>
              </w:rPr>
            </w:pPr>
          </w:p>
          <w:p w:rsidR="00F07E05" w:rsidRPr="00D23161" w:rsidRDefault="00F07E05" w:rsidP="008A253E">
            <w:pPr>
              <w:ind w:hanging="108"/>
              <w:jc w:val="center"/>
              <w:rPr>
                <w:sz w:val="20"/>
                <w:szCs w:val="20"/>
              </w:rPr>
            </w:pPr>
            <w:r>
              <w:rPr>
                <w:sz w:val="20"/>
                <w:szCs w:val="20"/>
              </w:rPr>
              <w:t>6 508,1</w:t>
            </w:r>
          </w:p>
          <w:p w:rsidR="00F07E05" w:rsidRDefault="00F07E05" w:rsidP="008A253E">
            <w:pPr>
              <w:ind w:hanging="108"/>
              <w:jc w:val="center"/>
              <w:rPr>
                <w:sz w:val="20"/>
                <w:szCs w:val="20"/>
                <w:lang w:val="en-US"/>
              </w:rPr>
            </w:pPr>
          </w:p>
          <w:p w:rsidR="00F07E05" w:rsidRDefault="00F07E05" w:rsidP="008A253E">
            <w:pPr>
              <w:ind w:hanging="108"/>
              <w:jc w:val="center"/>
              <w:rPr>
                <w:sz w:val="20"/>
                <w:szCs w:val="20"/>
                <w:lang w:val="en-US"/>
              </w:rPr>
            </w:pPr>
          </w:p>
          <w:p w:rsidR="00F07E05" w:rsidRPr="00EE2236" w:rsidRDefault="00F07E05" w:rsidP="008A253E">
            <w:pPr>
              <w:ind w:hanging="108"/>
              <w:jc w:val="center"/>
              <w:rPr>
                <w:sz w:val="20"/>
                <w:szCs w:val="20"/>
                <w:lang w:val="en-US"/>
              </w:rPr>
            </w:pPr>
          </w:p>
        </w:tc>
        <w:tc>
          <w:tcPr>
            <w:tcW w:w="1440" w:type="dxa"/>
            <w:noWrap/>
          </w:tcPr>
          <w:p w:rsidR="00F07E05" w:rsidRDefault="00F07E05" w:rsidP="008A253E">
            <w:pPr>
              <w:ind w:left="-136" w:right="-108" w:hanging="28"/>
              <w:jc w:val="center"/>
              <w:rPr>
                <w:sz w:val="20"/>
                <w:szCs w:val="20"/>
              </w:rPr>
            </w:pPr>
          </w:p>
          <w:p w:rsidR="00F07E05" w:rsidRDefault="00F07E05" w:rsidP="008A253E">
            <w:pPr>
              <w:ind w:left="-136" w:right="-108" w:hanging="28"/>
              <w:jc w:val="center"/>
              <w:rPr>
                <w:sz w:val="20"/>
                <w:szCs w:val="20"/>
              </w:rPr>
            </w:pPr>
          </w:p>
          <w:p w:rsidR="00F07E05" w:rsidRDefault="00F07E05" w:rsidP="008A253E">
            <w:pPr>
              <w:ind w:left="-136" w:right="-108" w:hanging="28"/>
              <w:jc w:val="center"/>
              <w:rPr>
                <w:sz w:val="20"/>
                <w:szCs w:val="20"/>
              </w:rPr>
            </w:pPr>
          </w:p>
          <w:p w:rsidR="00F07E05" w:rsidRDefault="00F07E05" w:rsidP="008A253E">
            <w:pPr>
              <w:ind w:left="-136" w:right="-108" w:hanging="28"/>
              <w:jc w:val="center"/>
              <w:rPr>
                <w:sz w:val="20"/>
                <w:szCs w:val="20"/>
              </w:rPr>
            </w:pPr>
          </w:p>
          <w:p w:rsidR="00F07E05" w:rsidRPr="00C93A58" w:rsidRDefault="00F07E05" w:rsidP="008A253E">
            <w:pPr>
              <w:ind w:left="-136" w:right="-108" w:hanging="28"/>
              <w:jc w:val="center"/>
              <w:rPr>
                <w:sz w:val="20"/>
                <w:szCs w:val="20"/>
              </w:rPr>
            </w:pPr>
            <w:r>
              <w:rPr>
                <w:sz w:val="20"/>
                <w:szCs w:val="20"/>
              </w:rPr>
              <w:t>6 649,1</w:t>
            </w:r>
          </w:p>
        </w:tc>
        <w:tc>
          <w:tcPr>
            <w:tcW w:w="1620" w:type="dxa"/>
            <w:noWrap/>
          </w:tcPr>
          <w:p w:rsidR="00F07E05" w:rsidRDefault="00F07E05" w:rsidP="008A253E">
            <w:pPr>
              <w:ind w:left="-108" w:right="-3" w:hanging="108"/>
              <w:jc w:val="center"/>
              <w:rPr>
                <w:sz w:val="20"/>
                <w:szCs w:val="20"/>
              </w:rPr>
            </w:pPr>
          </w:p>
          <w:p w:rsidR="00F07E05" w:rsidRDefault="00F07E05" w:rsidP="008A253E">
            <w:pPr>
              <w:ind w:left="-108" w:right="-3" w:hanging="108"/>
              <w:jc w:val="center"/>
              <w:rPr>
                <w:sz w:val="20"/>
                <w:szCs w:val="20"/>
              </w:rPr>
            </w:pPr>
          </w:p>
          <w:p w:rsidR="00F07E05" w:rsidRDefault="00F07E05" w:rsidP="008A253E">
            <w:pPr>
              <w:ind w:left="-108" w:right="-3" w:hanging="108"/>
              <w:jc w:val="center"/>
              <w:rPr>
                <w:sz w:val="20"/>
                <w:szCs w:val="20"/>
              </w:rPr>
            </w:pPr>
          </w:p>
          <w:p w:rsidR="00F07E05" w:rsidRDefault="00F07E05" w:rsidP="008A253E">
            <w:pPr>
              <w:ind w:left="-108" w:right="-3" w:hanging="108"/>
              <w:jc w:val="center"/>
              <w:rPr>
                <w:sz w:val="20"/>
                <w:szCs w:val="20"/>
              </w:rPr>
            </w:pPr>
          </w:p>
          <w:p w:rsidR="00F07E05" w:rsidRPr="00C93A58" w:rsidRDefault="00F07E05" w:rsidP="008A253E">
            <w:pPr>
              <w:ind w:left="-108" w:right="-3" w:hanging="108"/>
              <w:jc w:val="center"/>
              <w:rPr>
                <w:sz w:val="20"/>
                <w:szCs w:val="20"/>
              </w:rPr>
            </w:pPr>
            <w:r>
              <w:rPr>
                <w:sz w:val="20"/>
                <w:szCs w:val="20"/>
              </w:rPr>
              <w:t>6 796,9</w:t>
            </w:r>
          </w:p>
        </w:tc>
      </w:tr>
    </w:tbl>
    <w:p w:rsidR="00F07E05" w:rsidRDefault="00F07E05" w:rsidP="00F07E05">
      <w:pPr>
        <w:pStyle w:val="21"/>
        <w:jc w:val="center"/>
        <w:rPr>
          <w:b/>
          <w:color w:val="FF0000"/>
        </w:rPr>
      </w:pPr>
    </w:p>
    <w:p w:rsidR="00F07E05" w:rsidRDefault="00F07E05" w:rsidP="00F07E05">
      <w:pPr>
        <w:pStyle w:val="21"/>
        <w:jc w:val="center"/>
        <w:rPr>
          <w:b/>
          <w:color w:val="FF0000"/>
        </w:rPr>
      </w:pPr>
    </w:p>
    <w:p w:rsidR="00F07E05" w:rsidRPr="00EE2236" w:rsidRDefault="00F07E05" w:rsidP="00F07E05">
      <w:pPr>
        <w:pStyle w:val="21"/>
        <w:jc w:val="center"/>
        <w:rPr>
          <w:b/>
        </w:rPr>
      </w:pPr>
      <w:r w:rsidRPr="00EE2236">
        <w:rPr>
          <w:b/>
        </w:rPr>
        <w:t>Министерство здравоохранения Тверской области</w:t>
      </w:r>
    </w:p>
    <w:p w:rsidR="00F07E05" w:rsidRPr="00D23161" w:rsidRDefault="00F07E05" w:rsidP="00F07E05">
      <w:pPr>
        <w:pStyle w:val="21"/>
        <w:jc w:val="right"/>
        <w:rPr>
          <w:b/>
          <w:sz w:val="24"/>
          <w:szCs w:val="24"/>
        </w:rPr>
      </w:pPr>
      <w:r w:rsidRPr="00D23161">
        <w:rPr>
          <w:b/>
          <w:sz w:val="24"/>
          <w:szCs w:val="24"/>
        </w:rPr>
        <w:t>тыс. руб.</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1368"/>
        <w:gridCol w:w="1440"/>
        <w:gridCol w:w="1620"/>
      </w:tblGrid>
      <w:tr w:rsidR="00F07E05" w:rsidRPr="00C93A58" w:rsidTr="008A253E">
        <w:trPr>
          <w:trHeight w:val="833"/>
        </w:trPr>
        <w:tc>
          <w:tcPr>
            <w:tcW w:w="2520" w:type="dxa"/>
            <w:noWrap/>
          </w:tcPr>
          <w:p w:rsidR="00F07E05" w:rsidRPr="00C93A58" w:rsidRDefault="00F07E05" w:rsidP="008A253E">
            <w:pPr>
              <w:rPr>
                <w:b/>
                <w:sz w:val="20"/>
                <w:szCs w:val="20"/>
              </w:rPr>
            </w:pPr>
            <w:r w:rsidRPr="00C93A58">
              <w:rPr>
                <w:b/>
                <w:sz w:val="20"/>
                <w:szCs w:val="20"/>
              </w:rPr>
              <w:t>Код БК</w:t>
            </w:r>
          </w:p>
        </w:tc>
        <w:tc>
          <w:tcPr>
            <w:tcW w:w="2520" w:type="dxa"/>
            <w:noWrap/>
          </w:tcPr>
          <w:p w:rsidR="00F07E05" w:rsidRPr="00C93A58" w:rsidRDefault="00F07E05" w:rsidP="008A253E">
            <w:pPr>
              <w:rPr>
                <w:b/>
                <w:sz w:val="20"/>
                <w:szCs w:val="20"/>
              </w:rPr>
            </w:pPr>
            <w:r w:rsidRPr="00C93A58">
              <w:rPr>
                <w:b/>
                <w:sz w:val="20"/>
                <w:szCs w:val="20"/>
              </w:rPr>
              <w:t>Наименование</w:t>
            </w:r>
          </w:p>
        </w:tc>
        <w:tc>
          <w:tcPr>
            <w:tcW w:w="1368" w:type="dxa"/>
          </w:tcPr>
          <w:p w:rsidR="00F07E05" w:rsidRPr="00C93A58" w:rsidRDefault="00F07E05" w:rsidP="008A253E">
            <w:pPr>
              <w:jc w:val="center"/>
              <w:rPr>
                <w:b/>
                <w:sz w:val="20"/>
                <w:szCs w:val="20"/>
              </w:rPr>
            </w:pPr>
            <w:r w:rsidRPr="00C93A58">
              <w:rPr>
                <w:b/>
                <w:sz w:val="20"/>
                <w:szCs w:val="20"/>
              </w:rPr>
              <w:t>Прогноз на</w:t>
            </w:r>
          </w:p>
          <w:p w:rsidR="00F07E05" w:rsidRPr="00C93A58" w:rsidRDefault="00F07E05" w:rsidP="008A253E">
            <w:pPr>
              <w:jc w:val="center"/>
              <w:rPr>
                <w:b/>
                <w:sz w:val="20"/>
                <w:szCs w:val="20"/>
              </w:rPr>
            </w:pPr>
            <w:r w:rsidRPr="00C93A58">
              <w:rPr>
                <w:b/>
                <w:sz w:val="20"/>
                <w:szCs w:val="20"/>
              </w:rPr>
              <w:t>20</w:t>
            </w:r>
            <w:r>
              <w:rPr>
                <w:b/>
                <w:sz w:val="20"/>
                <w:szCs w:val="20"/>
              </w:rPr>
              <w:t>2</w:t>
            </w:r>
            <w:r w:rsidR="000505E4">
              <w:rPr>
                <w:b/>
                <w:sz w:val="20"/>
                <w:szCs w:val="20"/>
              </w:rPr>
              <w:t>2</w:t>
            </w:r>
            <w:r w:rsidRPr="00C93A58">
              <w:rPr>
                <w:b/>
                <w:sz w:val="20"/>
                <w:szCs w:val="20"/>
              </w:rPr>
              <w:t xml:space="preserve"> год </w:t>
            </w:r>
          </w:p>
          <w:p w:rsidR="00F07E05" w:rsidRPr="00C93A58" w:rsidRDefault="00F07E05" w:rsidP="008A253E">
            <w:pPr>
              <w:jc w:val="center"/>
              <w:rPr>
                <w:b/>
                <w:sz w:val="20"/>
                <w:szCs w:val="20"/>
              </w:rPr>
            </w:pPr>
          </w:p>
        </w:tc>
        <w:tc>
          <w:tcPr>
            <w:tcW w:w="1440" w:type="dxa"/>
          </w:tcPr>
          <w:p w:rsidR="00F07E05" w:rsidRPr="00C93A58" w:rsidRDefault="00F07E05" w:rsidP="008A253E">
            <w:pPr>
              <w:jc w:val="center"/>
              <w:rPr>
                <w:b/>
                <w:sz w:val="20"/>
                <w:szCs w:val="20"/>
              </w:rPr>
            </w:pPr>
            <w:r w:rsidRPr="00C93A58">
              <w:rPr>
                <w:b/>
                <w:sz w:val="20"/>
                <w:szCs w:val="20"/>
              </w:rPr>
              <w:t>Прогноз на</w:t>
            </w:r>
          </w:p>
          <w:p w:rsidR="00F07E05" w:rsidRPr="00C93A58" w:rsidRDefault="00F07E05" w:rsidP="008A253E">
            <w:pPr>
              <w:jc w:val="center"/>
              <w:rPr>
                <w:b/>
                <w:sz w:val="20"/>
                <w:szCs w:val="20"/>
              </w:rPr>
            </w:pPr>
            <w:r w:rsidRPr="00C93A58">
              <w:rPr>
                <w:b/>
                <w:sz w:val="20"/>
                <w:szCs w:val="20"/>
              </w:rPr>
              <w:t>20</w:t>
            </w:r>
            <w:r>
              <w:rPr>
                <w:b/>
                <w:sz w:val="20"/>
                <w:szCs w:val="20"/>
              </w:rPr>
              <w:t>2</w:t>
            </w:r>
            <w:r w:rsidR="000505E4">
              <w:rPr>
                <w:b/>
                <w:sz w:val="20"/>
                <w:szCs w:val="20"/>
              </w:rPr>
              <w:t>3</w:t>
            </w:r>
            <w:r>
              <w:rPr>
                <w:b/>
                <w:sz w:val="20"/>
                <w:szCs w:val="20"/>
              </w:rPr>
              <w:t xml:space="preserve"> </w:t>
            </w:r>
            <w:r w:rsidRPr="00C93A58">
              <w:rPr>
                <w:b/>
                <w:sz w:val="20"/>
                <w:szCs w:val="20"/>
              </w:rPr>
              <w:t>год</w:t>
            </w:r>
          </w:p>
          <w:p w:rsidR="00F07E05" w:rsidRPr="00C93A58" w:rsidRDefault="00F07E05" w:rsidP="008A253E">
            <w:pPr>
              <w:jc w:val="center"/>
              <w:rPr>
                <w:b/>
                <w:sz w:val="20"/>
                <w:szCs w:val="20"/>
              </w:rPr>
            </w:pPr>
          </w:p>
        </w:tc>
        <w:tc>
          <w:tcPr>
            <w:tcW w:w="1620" w:type="dxa"/>
          </w:tcPr>
          <w:p w:rsidR="00F07E05" w:rsidRPr="00C93A58" w:rsidRDefault="00F07E05" w:rsidP="008A253E">
            <w:pPr>
              <w:jc w:val="center"/>
              <w:rPr>
                <w:b/>
                <w:sz w:val="20"/>
                <w:szCs w:val="20"/>
              </w:rPr>
            </w:pPr>
            <w:r w:rsidRPr="00C93A58">
              <w:rPr>
                <w:b/>
                <w:sz w:val="20"/>
                <w:szCs w:val="20"/>
              </w:rPr>
              <w:t>Прогноз на</w:t>
            </w:r>
          </w:p>
          <w:p w:rsidR="00F07E05" w:rsidRPr="00C93A58" w:rsidRDefault="00F07E05" w:rsidP="008A253E">
            <w:pPr>
              <w:jc w:val="center"/>
              <w:rPr>
                <w:b/>
                <w:sz w:val="20"/>
                <w:szCs w:val="20"/>
              </w:rPr>
            </w:pPr>
            <w:r w:rsidRPr="00C93A58">
              <w:rPr>
                <w:b/>
                <w:sz w:val="20"/>
                <w:szCs w:val="20"/>
              </w:rPr>
              <w:t>202</w:t>
            </w:r>
            <w:r w:rsidR="000505E4">
              <w:rPr>
                <w:b/>
                <w:sz w:val="20"/>
                <w:szCs w:val="20"/>
              </w:rPr>
              <w:t>4</w:t>
            </w:r>
            <w:r>
              <w:rPr>
                <w:b/>
                <w:sz w:val="20"/>
                <w:szCs w:val="20"/>
              </w:rPr>
              <w:t xml:space="preserve"> </w:t>
            </w:r>
            <w:r w:rsidRPr="00C93A58">
              <w:rPr>
                <w:b/>
                <w:sz w:val="20"/>
                <w:szCs w:val="20"/>
              </w:rPr>
              <w:t>год</w:t>
            </w:r>
          </w:p>
          <w:p w:rsidR="00F07E05" w:rsidRPr="00C93A58" w:rsidRDefault="00F07E05" w:rsidP="008A253E">
            <w:pPr>
              <w:jc w:val="center"/>
              <w:rPr>
                <w:b/>
                <w:sz w:val="20"/>
                <w:szCs w:val="20"/>
              </w:rPr>
            </w:pPr>
          </w:p>
        </w:tc>
      </w:tr>
      <w:tr w:rsidR="00F07E05" w:rsidRPr="00C93A58" w:rsidTr="008A253E">
        <w:trPr>
          <w:trHeight w:val="630"/>
        </w:trPr>
        <w:tc>
          <w:tcPr>
            <w:tcW w:w="2520" w:type="dxa"/>
            <w:noWrap/>
          </w:tcPr>
          <w:p w:rsidR="00F07E05" w:rsidRPr="00C93A58" w:rsidRDefault="00F07E05" w:rsidP="008A253E">
            <w:pPr>
              <w:jc w:val="center"/>
              <w:rPr>
                <w:sz w:val="16"/>
                <w:szCs w:val="16"/>
              </w:rPr>
            </w:pPr>
          </w:p>
          <w:p w:rsidR="00F07E05" w:rsidRPr="00C93A58" w:rsidRDefault="00F07E05" w:rsidP="008A253E">
            <w:pPr>
              <w:jc w:val="center"/>
              <w:rPr>
                <w:sz w:val="16"/>
                <w:szCs w:val="16"/>
              </w:rPr>
            </w:pPr>
          </w:p>
          <w:p w:rsidR="00F07E05" w:rsidRPr="00C93A58" w:rsidRDefault="00F07E05" w:rsidP="008A253E">
            <w:pPr>
              <w:jc w:val="center"/>
              <w:rPr>
                <w:sz w:val="16"/>
                <w:szCs w:val="16"/>
              </w:rPr>
            </w:pPr>
            <w:r w:rsidRPr="0032295A">
              <w:rPr>
                <w:sz w:val="16"/>
                <w:szCs w:val="16"/>
              </w:rPr>
              <w:t>000 1 13 02060 00 0000 130</w:t>
            </w:r>
          </w:p>
        </w:tc>
        <w:tc>
          <w:tcPr>
            <w:tcW w:w="2520" w:type="dxa"/>
          </w:tcPr>
          <w:p w:rsidR="00F07E05" w:rsidRPr="00C93A58" w:rsidRDefault="00F07E05" w:rsidP="008A253E">
            <w:pPr>
              <w:rPr>
                <w:sz w:val="20"/>
                <w:szCs w:val="20"/>
              </w:rPr>
            </w:pPr>
            <w:r w:rsidRPr="0032295A">
              <w:rPr>
                <w:sz w:val="20"/>
                <w:szCs w:val="20"/>
              </w:rPr>
              <w:t>Доходы, поступающие в порядке возмещения расходов, понесенных в связи с эксплуатацией имущества</w:t>
            </w:r>
          </w:p>
        </w:tc>
        <w:tc>
          <w:tcPr>
            <w:tcW w:w="1368" w:type="dxa"/>
            <w:noWrap/>
          </w:tcPr>
          <w:p w:rsidR="00F07E05" w:rsidRDefault="00F07E05" w:rsidP="008A253E">
            <w:pPr>
              <w:ind w:hanging="108"/>
              <w:jc w:val="center"/>
              <w:rPr>
                <w:sz w:val="20"/>
                <w:szCs w:val="20"/>
              </w:rPr>
            </w:pPr>
          </w:p>
          <w:p w:rsidR="00F07E05" w:rsidRDefault="00F07E05" w:rsidP="008A253E">
            <w:pPr>
              <w:ind w:hanging="108"/>
              <w:jc w:val="center"/>
              <w:rPr>
                <w:sz w:val="20"/>
                <w:szCs w:val="20"/>
              </w:rPr>
            </w:pPr>
          </w:p>
          <w:p w:rsidR="00F07E05" w:rsidRPr="00C93A58" w:rsidRDefault="00F07E05" w:rsidP="008A253E">
            <w:pPr>
              <w:ind w:hanging="108"/>
              <w:jc w:val="center"/>
              <w:rPr>
                <w:sz w:val="20"/>
                <w:szCs w:val="20"/>
              </w:rPr>
            </w:pPr>
            <w:r>
              <w:rPr>
                <w:sz w:val="20"/>
                <w:szCs w:val="20"/>
              </w:rPr>
              <w:t>2 501,5</w:t>
            </w:r>
          </w:p>
        </w:tc>
        <w:tc>
          <w:tcPr>
            <w:tcW w:w="1440" w:type="dxa"/>
            <w:noWrap/>
          </w:tcPr>
          <w:p w:rsidR="00F07E05" w:rsidRDefault="00F07E05" w:rsidP="008A253E">
            <w:pPr>
              <w:ind w:left="-136" w:right="-108" w:hanging="28"/>
              <w:jc w:val="center"/>
              <w:rPr>
                <w:sz w:val="20"/>
                <w:szCs w:val="20"/>
              </w:rPr>
            </w:pPr>
          </w:p>
          <w:p w:rsidR="00F07E05" w:rsidRDefault="00F07E05" w:rsidP="008A253E">
            <w:pPr>
              <w:ind w:left="-136" w:right="-108" w:hanging="28"/>
              <w:jc w:val="center"/>
              <w:rPr>
                <w:sz w:val="20"/>
                <w:szCs w:val="20"/>
              </w:rPr>
            </w:pPr>
          </w:p>
          <w:p w:rsidR="00F07E05" w:rsidRPr="00C93A58" w:rsidRDefault="00F07E05" w:rsidP="008A253E">
            <w:pPr>
              <w:ind w:left="-136" w:right="-108" w:hanging="28"/>
              <w:jc w:val="center"/>
              <w:rPr>
                <w:sz w:val="20"/>
                <w:szCs w:val="20"/>
              </w:rPr>
            </w:pPr>
            <w:r>
              <w:rPr>
                <w:sz w:val="20"/>
                <w:szCs w:val="20"/>
              </w:rPr>
              <w:t>2 601,6</w:t>
            </w:r>
          </w:p>
        </w:tc>
        <w:tc>
          <w:tcPr>
            <w:tcW w:w="1620" w:type="dxa"/>
            <w:noWrap/>
          </w:tcPr>
          <w:p w:rsidR="00F07E05" w:rsidRDefault="00F07E05" w:rsidP="008A253E">
            <w:pPr>
              <w:ind w:left="-108" w:right="-3" w:hanging="108"/>
              <w:jc w:val="center"/>
              <w:rPr>
                <w:sz w:val="20"/>
                <w:szCs w:val="20"/>
              </w:rPr>
            </w:pPr>
          </w:p>
          <w:p w:rsidR="00F07E05" w:rsidRDefault="00F07E05" w:rsidP="008A253E">
            <w:pPr>
              <w:ind w:left="-108" w:right="-3" w:hanging="108"/>
              <w:jc w:val="center"/>
              <w:rPr>
                <w:sz w:val="20"/>
                <w:szCs w:val="20"/>
              </w:rPr>
            </w:pPr>
          </w:p>
          <w:p w:rsidR="00F07E05" w:rsidRPr="00C93A58" w:rsidRDefault="00F07E05" w:rsidP="008A253E">
            <w:pPr>
              <w:ind w:left="-108" w:right="-3" w:hanging="108"/>
              <w:jc w:val="center"/>
              <w:rPr>
                <w:sz w:val="20"/>
                <w:szCs w:val="20"/>
              </w:rPr>
            </w:pPr>
            <w:r>
              <w:rPr>
                <w:sz w:val="20"/>
                <w:szCs w:val="20"/>
              </w:rPr>
              <w:t>2 705,6</w:t>
            </w:r>
          </w:p>
        </w:tc>
      </w:tr>
    </w:tbl>
    <w:p w:rsidR="00F07E05" w:rsidRPr="007149B1" w:rsidRDefault="00F07E05" w:rsidP="00F07E05">
      <w:pPr>
        <w:tabs>
          <w:tab w:val="left" w:pos="567"/>
        </w:tabs>
        <w:ind w:left="72"/>
        <w:jc w:val="both"/>
        <w:rPr>
          <w:sz w:val="28"/>
        </w:rPr>
      </w:pPr>
      <w:r w:rsidRPr="007149B1">
        <w:rPr>
          <w:sz w:val="28"/>
        </w:rPr>
        <w:lastRenderedPageBreak/>
        <w:t xml:space="preserve">Прогноз дохода рассчитываются методом индексации  ожидаемой оценки поступлений доходов текущего года, рассчитанной </w:t>
      </w:r>
      <w:r>
        <w:rPr>
          <w:sz w:val="28"/>
        </w:rPr>
        <w:br/>
      </w:r>
      <w:r w:rsidRPr="007149B1">
        <w:rPr>
          <w:sz w:val="28"/>
        </w:rPr>
        <w:t>в соответствии с заключенными договорами на возмещение арендаторами площадей коммунальных услуг. Источником  данных для расчета является прогноз суммы доходов от возмещения арендаторами площадей коммунальных услуг государственных казенных учреждений здравоохранения Тверской области на очередной финансовый год и на плановый период, договора на возмещение коммунальных услуг учреждений с арендаторами площадей</w:t>
      </w:r>
      <w:r>
        <w:rPr>
          <w:sz w:val="28"/>
        </w:rPr>
        <w:t>»</w:t>
      </w:r>
      <w:r w:rsidRPr="007149B1">
        <w:rPr>
          <w:sz w:val="28"/>
        </w:rPr>
        <w:t>.</w:t>
      </w:r>
    </w:p>
    <w:p w:rsidR="00F07E05" w:rsidRDefault="00F07E05" w:rsidP="00F07E05">
      <w:pPr>
        <w:pStyle w:val="a4"/>
        <w:tabs>
          <w:tab w:val="left" w:pos="567"/>
        </w:tabs>
      </w:pPr>
      <w:r>
        <w:t xml:space="preserve">       </w:t>
      </w:r>
      <w:r w:rsidRPr="00A06991">
        <w:t>Расчет прогноза доходов, поступающих в порядке возмещения расходов, понесенных в связи с</w:t>
      </w:r>
      <w:r>
        <w:t xml:space="preserve"> эксплуатацией имущества на 2022 - 2024</w:t>
      </w:r>
      <w:r w:rsidRPr="00A06991">
        <w:t xml:space="preserve"> годы составлен исходя из о</w:t>
      </w:r>
      <w:r>
        <w:t>жидаемой оценки поступлений 2021</w:t>
      </w:r>
      <w:r w:rsidRPr="00A06991">
        <w:t xml:space="preserve"> года, рассчитанной </w:t>
      </w:r>
      <w:r>
        <w:br/>
      </w:r>
      <w:r w:rsidRPr="00A06991">
        <w:t>в соответствии с заключенными договорами на возмещение арендаторами коммунальных расходов, с применением к ожидаемой оценке ИПЦ.</w:t>
      </w:r>
    </w:p>
    <w:p w:rsidR="00F07E05" w:rsidRDefault="00F07E05" w:rsidP="00F07E05">
      <w:pPr>
        <w:pStyle w:val="a4"/>
        <w:tabs>
          <w:tab w:val="left" w:pos="567"/>
        </w:tabs>
      </w:pPr>
      <w:r>
        <w:t xml:space="preserve">       В 2021 года ГКУЗ ТО «Т</w:t>
      </w:r>
      <w:r w:rsidRPr="00464209">
        <w:t xml:space="preserve">ОКПТД» </w:t>
      </w:r>
      <w:r>
        <w:t xml:space="preserve">отменяется прогнозируемая </w:t>
      </w:r>
      <w:r w:rsidRPr="00464209">
        <w:t>пере</w:t>
      </w:r>
      <w:r>
        <w:t>дача обособленного структурного подразделения стационар №</w:t>
      </w:r>
      <w:r w:rsidRPr="00464209">
        <w:t xml:space="preserve">3 </w:t>
      </w:r>
      <w:r>
        <w:br/>
        <w:t xml:space="preserve">в </w:t>
      </w:r>
      <w:r w:rsidRPr="00464209">
        <w:t>ГКУЗ ТО "Черногубовский туберкулезный госпиталь ветеранов войн</w:t>
      </w:r>
      <w:r>
        <w:t>»          по не зависящим от учреждения причинам, поэтому ожидаемое выполнение поступлений  2021 года увеличивается по ГКУЗ ТО «Т</w:t>
      </w:r>
      <w:r w:rsidRPr="00464209">
        <w:t>ОКПТД»</w:t>
      </w:r>
      <w:r>
        <w:t xml:space="preserve"> и уменьшается по </w:t>
      </w:r>
      <w:r w:rsidRPr="00464209">
        <w:t xml:space="preserve"> </w:t>
      </w:r>
      <w:r>
        <w:t>госпиталю. Увеличение общей суммы дохода прогнозируется за счет повышения тарифов.</w:t>
      </w:r>
    </w:p>
    <w:p w:rsidR="00F07E05" w:rsidRDefault="00F07E05" w:rsidP="00F07E05">
      <w:pPr>
        <w:tabs>
          <w:tab w:val="left" w:pos="567"/>
        </w:tabs>
        <w:autoSpaceDE w:val="0"/>
        <w:jc w:val="both"/>
        <w:rPr>
          <w:sz w:val="28"/>
        </w:rPr>
      </w:pPr>
      <w:r>
        <w:rPr>
          <w:sz w:val="28"/>
        </w:rPr>
        <w:t xml:space="preserve">        </w:t>
      </w:r>
      <w:r w:rsidRPr="00E04234">
        <w:rPr>
          <w:sz w:val="28"/>
        </w:rPr>
        <w:t>Увели</w:t>
      </w:r>
      <w:r>
        <w:rPr>
          <w:sz w:val="28"/>
        </w:rPr>
        <w:t>чение общей суммы доходов в 2022</w:t>
      </w:r>
      <w:r w:rsidRPr="00E04234">
        <w:rPr>
          <w:sz w:val="28"/>
        </w:rPr>
        <w:t xml:space="preserve"> - 202</w:t>
      </w:r>
      <w:r>
        <w:rPr>
          <w:sz w:val="28"/>
        </w:rPr>
        <w:t>4 годах</w:t>
      </w:r>
      <w:r w:rsidRPr="00E04234">
        <w:rPr>
          <w:sz w:val="28"/>
        </w:rPr>
        <w:t xml:space="preserve"> прогнозируется </w:t>
      </w:r>
      <w:r>
        <w:rPr>
          <w:sz w:val="28"/>
        </w:rPr>
        <w:br/>
      </w:r>
      <w:r w:rsidRPr="00E04234">
        <w:rPr>
          <w:sz w:val="28"/>
        </w:rPr>
        <w:t>за счет примен</w:t>
      </w:r>
      <w:r>
        <w:rPr>
          <w:sz w:val="28"/>
        </w:rPr>
        <w:t>ения ИПЦ (2022-2024 -103,8%, 104%, 104%)</w:t>
      </w:r>
      <w:r w:rsidRPr="00E04234">
        <w:rPr>
          <w:sz w:val="28"/>
        </w:rPr>
        <w:t xml:space="preserve"> к сумме доходов </w:t>
      </w:r>
      <w:r>
        <w:rPr>
          <w:sz w:val="28"/>
        </w:rPr>
        <w:br/>
        <w:t>по ожидаемой оценке доходов 2021-2022 годов.</w:t>
      </w:r>
      <w:r w:rsidRPr="007B5AB8">
        <w:rPr>
          <w:sz w:val="28"/>
        </w:rPr>
        <w:t xml:space="preserve"> </w:t>
      </w:r>
    </w:p>
    <w:tbl>
      <w:tblPr>
        <w:tblW w:w="9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6"/>
        <w:gridCol w:w="1536"/>
        <w:gridCol w:w="1344"/>
        <w:gridCol w:w="1408"/>
        <w:gridCol w:w="1495"/>
      </w:tblGrid>
      <w:tr w:rsidR="00F07E05" w:rsidTr="008A253E">
        <w:trPr>
          <w:trHeight w:val="554"/>
        </w:trPr>
        <w:tc>
          <w:tcPr>
            <w:tcW w:w="3756" w:type="dxa"/>
            <w:vMerge w:val="restart"/>
            <w:shd w:val="clear" w:color="auto" w:fill="auto"/>
            <w:vAlign w:val="center"/>
            <w:hideMark/>
          </w:tcPr>
          <w:p w:rsidR="00F07E05" w:rsidRPr="002F5AF7" w:rsidRDefault="00F07E05" w:rsidP="008A253E">
            <w:pPr>
              <w:jc w:val="center"/>
              <w:rPr>
                <w:b/>
                <w:bCs/>
              </w:rPr>
            </w:pPr>
            <w:r w:rsidRPr="002F5AF7">
              <w:rPr>
                <w:b/>
                <w:bCs/>
              </w:rPr>
              <w:t>Наименование учреждения</w:t>
            </w:r>
          </w:p>
        </w:tc>
        <w:tc>
          <w:tcPr>
            <w:tcW w:w="5783" w:type="dxa"/>
            <w:gridSpan w:val="4"/>
            <w:shd w:val="clear" w:color="auto" w:fill="auto"/>
            <w:vAlign w:val="center"/>
            <w:hideMark/>
          </w:tcPr>
          <w:p w:rsidR="00F07E05" w:rsidRPr="002F5AF7" w:rsidRDefault="00F07E05" w:rsidP="008A253E">
            <w:pPr>
              <w:jc w:val="center"/>
              <w:rPr>
                <w:b/>
                <w:bCs/>
              </w:rPr>
            </w:pPr>
            <w:r w:rsidRPr="002F5AF7">
              <w:rPr>
                <w:b/>
                <w:bCs/>
              </w:rPr>
              <w:t>Общая сумма дохода ( тысяч рублей )</w:t>
            </w:r>
          </w:p>
        </w:tc>
      </w:tr>
      <w:tr w:rsidR="00F07E05" w:rsidTr="008A253E">
        <w:trPr>
          <w:trHeight w:val="446"/>
        </w:trPr>
        <w:tc>
          <w:tcPr>
            <w:tcW w:w="3756" w:type="dxa"/>
            <w:vMerge/>
            <w:shd w:val="clear" w:color="auto" w:fill="auto"/>
            <w:vAlign w:val="center"/>
            <w:hideMark/>
          </w:tcPr>
          <w:p w:rsidR="00F07E05" w:rsidRPr="002F5AF7" w:rsidRDefault="00F07E05" w:rsidP="008A253E">
            <w:pPr>
              <w:rPr>
                <w:b/>
                <w:bCs/>
              </w:rPr>
            </w:pPr>
          </w:p>
        </w:tc>
        <w:tc>
          <w:tcPr>
            <w:tcW w:w="1536" w:type="dxa"/>
            <w:shd w:val="clear" w:color="auto" w:fill="auto"/>
            <w:vAlign w:val="center"/>
            <w:hideMark/>
          </w:tcPr>
          <w:p w:rsidR="00F07E05" w:rsidRPr="002F5AF7" w:rsidRDefault="00F07E05" w:rsidP="008A253E">
            <w:pPr>
              <w:jc w:val="center"/>
              <w:rPr>
                <w:b/>
                <w:bCs/>
              </w:rPr>
            </w:pPr>
            <w:r w:rsidRPr="002F5AF7">
              <w:rPr>
                <w:b/>
                <w:bCs/>
              </w:rPr>
              <w:t>оценка</w:t>
            </w:r>
          </w:p>
        </w:tc>
        <w:tc>
          <w:tcPr>
            <w:tcW w:w="1344" w:type="dxa"/>
            <w:shd w:val="clear" w:color="auto" w:fill="auto"/>
            <w:vAlign w:val="center"/>
            <w:hideMark/>
          </w:tcPr>
          <w:p w:rsidR="00F07E05" w:rsidRPr="002F5AF7" w:rsidRDefault="00F07E05" w:rsidP="008A253E">
            <w:pPr>
              <w:jc w:val="center"/>
              <w:rPr>
                <w:b/>
                <w:bCs/>
              </w:rPr>
            </w:pPr>
            <w:r w:rsidRPr="002F5AF7">
              <w:rPr>
                <w:b/>
                <w:bCs/>
              </w:rPr>
              <w:t>прогноз</w:t>
            </w:r>
          </w:p>
        </w:tc>
        <w:tc>
          <w:tcPr>
            <w:tcW w:w="1408" w:type="dxa"/>
            <w:shd w:val="clear" w:color="auto" w:fill="auto"/>
            <w:vAlign w:val="center"/>
            <w:hideMark/>
          </w:tcPr>
          <w:p w:rsidR="00F07E05" w:rsidRPr="002F5AF7" w:rsidRDefault="00F07E05" w:rsidP="008A253E">
            <w:pPr>
              <w:jc w:val="center"/>
              <w:rPr>
                <w:b/>
                <w:bCs/>
              </w:rPr>
            </w:pPr>
            <w:r w:rsidRPr="002F5AF7">
              <w:rPr>
                <w:b/>
                <w:bCs/>
              </w:rPr>
              <w:t>прогноз</w:t>
            </w:r>
          </w:p>
        </w:tc>
        <w:tc>
          <w:tcPr>
            <w:tcW w:w="1493" w:type="dxa"/>
            <w:shd w:val="clear" w:color="auto" w:fill="auto"/>
            <w:vAlign w:val="center"/>
            <w:hideMark/>
          </w:tcPr>
          <w:p w:rsidR="00F07E05" w:rsidRPr="002F5AF7" w:rsidRDefault="00F07E05" w:rsidP="008A253E">
            <w:pPr>
              <w:jc w:val="center"/>
              <w:rPr>
                <w:b/>
                <w:bCs/>
              </w:rPr>
            </w:pPr>
            <w:r w:rsidRPr="002F5AF7">
              <w:rPr>
                <w:b/>
                <w:bCs/>
              </w:rPr>
              <w:t>прогноз</w:t>
            </w:r>
          </w:p>
        </w:tc>
      </w:tr>
      <w:tr w:rsidR="00F07E05" w:rsidTr="008A253E">
        <w:trPr>
          <w:trHeight w:val="353"/>
        </w:trPr>
        <w:tc>
          <w:tcPr>
            <w:tcW w:w="3756" w:type="dxa"/>
            <w:vMerge/>
            <w:shd w:val="clear" w:color="auto" w:fill="auto"/>
            <w:vAlign w:val="center"/>
            <w:hideMark/>
          </w:tcPr>
          <w:p w:rsidR="00F07E05" w:rsidRPr="002F5AF7" w:rsidRDefault="00F07E05" w:rsidP="008A253E">
            <w:pPr>
              <w:rPr>
                <w:b/>
                <w:bCs/>
              </w:rPr>
            </w:pPr>
          </w:p>
        </w:tc>
        <w:tc>
          <w:tcPr>
            <w:tcW w:w="1536" w:type="dxa"/>
            <w:shd w:val="clear" w:color="auto" w:fill="auto"/>
            <w:vAlign w:val="bottom"/>
            <w:hideMark/>
          </w:tcPr>
          <w:p w:rsidR="00F07E05" w:rsidRPr="002F5AF7" w:rsidRDefault="00F07E05" w:rsidP="008A253E">
            <w:pPr>
              <w:jc w:val="center"/>
              <w:rPr>
                <w:b/>
                <w:bCs/>
              </w:rPr>
            </w:pPr>
            <w:r w:rsidRPr="002F5AF7">
              <w:rPr>
                <w:b/>
                <w:bCs/>
              </w:rPr>
              <w:t>2021</w:t>
            </w:r>
          </w:p>
        </w:tc>
        <w:tc>
          <w:tcPr>
            <w:tcW w:w="1344" w:type="dxa"/>
            <w:shd w:val="clear" w:color="auto" w:fill="auto"/>
            <w:vAlign w:val="bottom"/>
            <w:hideMark/>
          </w:tcPr>
          <w:p w:rsidR="00F07E05" w:rsidRPr="002F5AF7" w:rsidRDefault="00F07E05" w:rsidP="008A253E">
            <w:pPr>
              <w:jc w:val="center"/>
              <w:rPr>
                <w:b/>
                <w:bCs/>
              </w:rPr>
            </w:pPr>
            <w:r w:rsidRPr="002F5AF7">
              <w:rPr>
                <w:b/>
                <w:bCs/>
              </w:rPr>
              <w:t>2022</w:t>
            </w:r>
          </w:p>
        </w:tc>
        <w:tc>
          <w:tcPr>
            <w:tcW w:w="1408" w:type="dxa"/>
            <w:shd w:val="clear" w:color="auto" w:fill="auto"/>
            <w:vAlign w:val="bottom"/>
            <w:hideMark/>
          </w:tcPr>
          <w:p w:rsidR="00F07E05" w:rsidRPr="002F5AF7" w:rsidRDefault="00F07E05" w:rsidP="008A253E">
            <w:pPr>
              <w:jc w:val="center"/>
              <w:rPr>
                <w:b/>
                <w:bCs/>
              </w:rPr>
            </w:pPr>
            <w:r w:rsidRPr="002F5AF7">
              <w:rPr>
                <w:b/>
                <w:bCs/>
              </w:rPr>
              <w:t>2023</w:t>
            </w:r>
          </w:p>
        </w:tc>
        <w:tc>
          <w:tcPr>
            <w:tcW w:w="1493" w:type="dxa"/>
            <w:shd w:val="clear" w:color="auto" w:fill="auto"/>
            <w:vAlign w:val="bottom"/>
            <w:hideMark/>
          </w:tcPr>
          <w:p w:rsidR="00F07E05" w:rsidRPr="002F5AF7" w:rsidRDefault="00F07E05" w:rsidP="008A253E">
            <w:pPr>
              <w:jc w:val="center"/>
              <w:rPr>
                <w:b/>
                <w:bCs/>
              </w:rPr>
            </w:pPr>
            <w:r w:rsidRPr="002F5AF7">
              <w:rPr>
                <w:b/>
                <w:bCs/>
              </w:rPr>
              <w:t>2024</w:t>
            </w:r>
          </w:p>
        </w:tc>
      </w:tr>
      <w:tr w:rsidR="00F07E05" w:rsidTr="008A253E">
        <w:trPr>
          <w:trHeight w:val="353"/>
        </w:trPr>
        <w:tc>
          <w:tcPr>
            <w:tcW w:w="3756" w:type="dxa"/>
            <w:shd w:val="clear" w:color="auto" w:fill="auto"/>
            <w:vAlign w:val="bottom"/>
            <w:hideMark/>
          </w:tcPr>
          <w:p w:rsidR="00F07E05" w:rsidRPr="002F5AF7" w:rsidRDefault="00F07E05" w:rsidP="008A253E">
            <w:pPr>
              <w:jc w:val="center"/>
              <w:rPr>
                <w:b/>
                <w:bCs/>
              </w:rPr>
            </w:pPr>
            <w:r w:rsidRPr="002F5AF7">
              <w:rPr>
                <w:b/>
                <w:bCs/>
              </w:rPr>
              <w:t>2</w:t>
            </w:r>
          </w:p>
        </w:tc>
        <w:tc>
          <w:tcPr>
            <w:tcW w:w="1536" w:type="dxa"/>
            <w:shd w:val="clear" w:color="auto" w:fill="auto"/>
            <w:vAlign w:val="bottom"/>
            <w:hideMark/>
          </w:tcPr>
          <w:p w:rsidR="00F07E05" w:rsidRPr="002F5AF7" w:rsidRDefault="00F07E05" w:rsidP="008A253E">
            <w:pPr>
              <w:jc w:val="center"/>
              <w:rPr>
                <w:b/>
                <w:bCs/>
              </w:rPr>
            </w:pPr>
            <w:r w:rsidRPr="002F5AF7">
              <w:rPr>
                <w:b/>
                <w:bCs/>
              </w:rPr>
              <w:t>21</w:t>
            </w:r>
          </w:p>
        </w:tc>
        <w:tc>
          <w:tcPr>
            <w:tcW w:w="1344" w:type="dxa"/>
            <w:shd w:val="clear" w:color="auto" w:fill="auto"/>
            <w:vAlign w:val="bottom"/>
            <w:hideMark/>
          </w:tcPr>
          <w:p w:rsidR="00F07E05" w:rsidRPr="002F5AF7" w:rsidRDefault="00F07E05" w:rsidP="008A253E">
            <w:pPr>
              <w:jc w:val="center"/>
              <w:rPr>
                <w:b/>
                <w:bCs/>
              </w:rPr>
            </w:pPr>
            <w:r w:rsidRPr="002F5AF7">
              <w:rPr>
                <w:b/>
                <w:bCs/>
              </w:rPr>
              <w:t>22</w:t>
            </w:r>
          </w:p>
        </w:tc>
        <w:tc>
          <w:tcPr>
            <w:tcW w:w="1408" w:type="dxa"/>
            <w:shd w:val="clear" w:color="auto" w:fill="auto"/>
            <w:vAlign w:val="bottom"/>
            <w:hideMark/>
          </w:tcPr>
          <w:p w:rsidR="00F07E05" w:rsidRPr="002F5AF7" w:rsidRDefault="00F07E05" w:rsidP="008A253E">
            <w:pPr>
              <w:jc w:val="center"/>
              <w:rPr>
                <w:b/>
                <w:bCs/>
              </w:rPr>
            </w:pPr>
            <w:r w:rsidRPr="002F5AF7">
              <w:rPr>
                <w:b/>
                <w:bCs/>
              </w:rPr>
              <w:t>23</w:t>
            </w:r>
          </w:p>
        </w:tc>
        <w:tc>
          <w:tcPr>
            <w:tcW w:w="1493" w:type="dxa"/>
            <w:shd w:val="clear" w:color="auto" w:fill="auto"/>
            <w:vAlign w:val="bottom"/>
            <w:hideMark/>
          </w:tcPr>
          <w:p w:rsidR="00F07E05" w:rsidRPr="002F5AF7" w:rsidRDefault="00F07E05" w:rsidP="008A253E">
            <w:pPr>
              <w:jc w:val="center"/>
              <w:rPr>
                <w:b/>
                <w:bCs/>
              </w:rPr>
            </w:pPr>
            <w:r w:rsidRPr="002F5AF7">
              <w:rPr>
                <w:b/>
                <w:bCs/>
              </w:rPr>
              <w:t>24</w:t>
            </w:r>
          </w:p>
        </w:tc>
      </w:tr>
      <w:tr w:rsidR="00F07E05" w:rsidTr="008A253E">
        <w:trPr>
          <w:trHeight w:val="477"/>
        </w:trPr>
        <w:tc>
          <w:tcPr>
            <w:tcW w:w="3756" w:type="dxa"/>
            <w:shd w:val="clear" w:color="auto" w:fill="auto"/>
            <w:noWrap/>
            <w:vAlign w:val="bottom"/>
            <w:hideMark/>
          </w:tcPr>
          <w:p w:rsidR="00F07E05" w:rsidRPr="002F5AF7" w:rsidRDefault="00F07E05" w:rsidP="008A253E">
            <w:r w:rsidRPr="002F5AF7">
              <w:t>Тверской областной клинический противотуберкулезный диспансер</w:t>
            </w:r>
          </w:p>
        </w:tc>
        <w:tc>
          <w:tcPr>
            <w:tcW w:w="1536" w:type="dxa"/>
            <w:shd w:val="clear" w:color="auto" w:fill="auto"/>
            <w:noWrap/>
            <w:vAlign w:val="bottom"/>
            <w:hideMark/>
          </w:tcPr>
          <w:p w:rsidR="00F07E05" w:rsidRPr="002F5AF7" w:rsidRDefault="00F07E05" w:rsidP="008A253E">
            <w:pPr>
              <w:jc w:val="right"/>
            </w:pPr>
            <w:r w:rsidRPr="002F5AF7">
              <w:t>1 664,000</w:t>
            </w:r>
          </w:p>
        </w:tc>
        <w:tc>
          <w:tcPr>
            <w:tcW w:w="1344" w:type="dxa"/>
            <w:shd w:val="clear" w:color="auto" w:fill="auto"/>
            <w:noWrap/>
            <w:vAlign w:val="bottom"/>
            <w:hideMark/>
          </w:tcPr>
          <w:p w:rsidR="00F07E05" w:rsidRPr="002F5AF7" w:rsidRDefault="00F07E05" w:rsidP="008A253E">
            <w:pPr>
              <w:jc w:val="right"/>
            </w:pPr>
            <w:r w:rsidRPr="002F5AF7">
              <w:t>1 727,232</w:t>
            </w:r>
          </w:p>
        </w:tc>
        <w:tc>
          <w:tcPr>
            <w:tcW w:w="1408" w:type="dxa"/>
            <w:shd w:val="clear" w:color="auto" w:fill="auto"/>
            <w:noWrap/>
            <w:vAlign w:val="bottom"/>
            <w:hideMark/>
          </w:tcPr>
          <w:p w:rsidR="00F07E05" w:rsidRPr="002F5AF7" w:rsidRDefault="00F07E05" w:rsidP="008A253E">
            <w:pPr>
              <w:jc w:val="right"/>
            </w:pPr>
            <w:r w:rsidRPr="002F5AF7">
              <w:t>1 796,321</w:t>
            </w:r>
          </w:p>
        </w:tc>
        <w:tc>
          <w:tcPr>
            <w:tcW w:w="1493" w:type="dxa"/>
            <w:shd w:val="clear" w:color="auto" w:fill="auto"/>
            <w:noWrap/>
            <w:vAlign w:val="bottom"/>
            <w:hideMark/>
          </w:tcPr>
          <w:p w:rsidR="00F07E05" w:rsidRPr="002F5AF7" w:rsidRDefault="00F07E05" w:rsidP="008A253E">
            <w:pPr>
              <w:jc w:val="right"/>
            </w:pPr>
            <w:r w:rsidRPr="002F5AF7">
              <w:t>1 868,174</w:t>
            </w:r>
          </w:p>
        </w:tc>
      </w:tr>
      <w:tr w:rsidR="00F07E05" w:rsidTr="008A253E">
        <w:trPr>
          <w:trHeight w:val="461"/>
        </w:trPr>
        <w:tc>
          <w:tcPr>
            <w:tcW w:w="3756" w:type="dxa"/>
            <w:shd w:val="clear" w:color="auto" w:fill="auto"/>
            <w:noWrap/>
            <w:vAlign w:val="bottom"/>
            <w:hideMark/>
          </w:tcPr>
          <w:p w:rsidR="00F07E05" w:rsidRPr="002F5AF7" w:rsidRDefault="00F07E05" w:rsidP="008A253E">
            <w:r w:rsidRPr="002F5AF7">
              <w:t>Черногубовский госпиталь ветеранов войн</w:t>
            </w:r>
          </w:p>
        </w:tc>
        <w:tc>
          <w:tcPr>
            <w:tcW w:w="1536" w:type="dxa"/>
            <w:shd w:val="clear" w:color="auto" w:fill="auto"/>
            <w:noWrap/>
            <w:vAlign w:val="bottom"/>
            <w:hideMark/>
          </w:tcPr>
          <w:p w:rsidR="00F07E05" w:rsidRPr="002F5AF7" w:rsidRDefault="00F07E05" w:rsidP="008A253E">
            <w:pPr>
              <w:jc w:val="right"/>
            </w:pPr>
            <w:r w:rsidRPr="002F5AF7">
              <w:t>733,000</w:t>
            </w:r>
          </w:p>
        </w:tc>
        <w:tc>
          <w:tcPr>
            <w:tcW w:w="1344" w:type="dxa"/>
            <w:shd w:val="clear" w:color="auto" w:fill="auto"/>
            <w:noWrap/>
            <w:vAlign w:val="bottom"/>
            <w:hideMark/>
          </w:tcPr>
          <w:p w:rsidR="00F07E05" w:rsidRPr="002F5AF7" w:rsidRDefault="00F07E05" w:rsidP="008A253E">
            <w:pPr>
              <w:jc w:val="right"/>
            </w:pPr>
            <w:r w:rsidRPr="002F5AF7">
              <w:t>760,854</w:t>
            </w:r>
          </w:p>
        </w:tc>
        <w:tc>
          <w:tcPr>
            <w:tcW w:w="1408" w:type="dxa"/>
            <w:shd w:val="clear" w:color="auto" w:fill="auto"/>
            <w:noWrap/>
            <w:vAlign w:val="bottom"/>
            <w:hideMark/>
          </w:tcPr>
          <w:p w:rsidR="00F07E05" w:rsidRPr="002F5AF7" w:rsidRDefault="00F07E05" w:rsidP="008A253E">
            <w:pPr>
              <w:jc w:val="right"/>
            </w:pPr>
            <w:r w:rsidRPr="002F5AF7">
              <w:t>791,288</w:t>
            </w:r>
          </w:p>
        </w:tc>
        <w:tc>
          <w:tcPr>
            <w:tcW w:w="1493" w:type="dxa"/>
            <w:shd w:val="clear" w:color="auto" w:fill="auto"/>
            <w:noWrap/>
            <w:vAlign w:val="bottom"/>
            <w:hideMark/>
          </w:tcPr>
          <w:p w:rsidR="00F07E05" w:rsidRPr="002F5AF7" w:rsidRDefault="00F07E05" w:rsidP="008A253E">
            <w:pPr>
              <w:jc w:val="right"/>
            </w:pPr>
            <w:r w:rsidRPr="002F5AF7">
              <w:t>822,940</w:t>
            </w:r>
          </w:p>
        </w:tc>
      </w:tr>
      <w:tr w:rsidR="00F07E05" w:rsidTr="008A253E">
        <w:trPr>
          <w:trHeight w:val="507"/>
        </w:trPr>
        <w:tc>
          <w:tcPr>
            <w:tcW w:w="3756" w:type="dxa"/>
            <w:shd w:val="clear" w:color="auto" w:fill="auto"/>
            <w:noWrap/>
            <w:vAlign w:val="bottom"/>
            <w:hideMark/>
          </w:tcPr>
          <w:p w:rsidR="00F07E05" w:rsidRPr="002F5AF7" w:rsidRDefault="00F07E05" w:rsidP="008A253E">
            <w:r w:rsidRPr="002F5AF7">
              <w:t>Бюро судебно-медицинской экспертизы</w:t>
            </w:r>
          </w:p>
        </w:tc>
        <w:tc>
          <w:tcPr>
            <w:tcW w:w="1536" w:type="dxa"/>
            <w:shd w:val="clear" w:color="auto" w:fill="auto"/>
            <w:noWrap/>
            <w:vAlign w:val="bottom"/>
            <w:hideMark/>
          </w:tcPr>
          <w:p w:rsidR="00F07E05" w:rsidRPr="002F5AF7" w:rsidRDefault="00F07E05" w:rsidP="008A253E">
            <w:pPr>
              <w:jc w:val="right"/>
            </w:pPr>
            <w:r w:rsidRPr="002F5AF7">
              <w:t>12,940</w:t>
            </w:r>
          </w:p>
        </w:tc>
        <w:tc>
          <w:tcPr>
            <w:tcW w:w="1344" w:type="dxa"/>
            <w:shd w:val="clear" w:color="auto" w:fill="auto"/>
            <w:noWrap/>
            <w:vAlign w:val="bottom"/>
            <w:hideMark/>
          </w:tcPr>
          <w:p w:rsidR="00F07E05" w:rsidRPr="002F5AF7" w:rsidRDefault="00F07E05" w:rsidP="008A253E">
            <w:pPr>
              <w:jc w:val="right"/>
            </w:pPr>
            <w:r w:rsidRPr="002F5AF7">
              <w:t>13,432</w:t>
            </w:r>
          </w:p>
        </w:tc>
        <w:tc>
          <w:tcPr>
            <w:tcW w:w="1408" w:type="dxa"/>
            <w:shd w:val="clear" w:color="auto" w:fill="auto"/>
            <w:noWrap/>
            <w:vAlign w:val="bottom"/>
            <w:hideMark/>
          </w:tcPr>
          <w:p w:rsidR="00F07E05" w:rsidRPr="002F5AF7" w:rsidRDefault="00F07E05" w:rsidP="008A253E">
            <w:pPr>
              <w:jc w:val="right"/>
            </w:pPr>
            <w:r w:rsidRPr="002F5AF7">
              <w:t>13,967</w:t>
            </w:r>
          </w:p>
        </w:tc>
        <w:tc>
          <w:tcPr>
            <w:tcW w:w="1493" w:type="dxa"/>
            <w:shd w:val="clear" w:color="auto" w:fill="auto"/>
            <w:noWrap/>
            <w:vAlign w:val="bottom"/>
            <w:hideMark/>
          </w:tcPr>
          <w:p w:rsidR="00F07E05" w:rsidRPr="002F5AF7" w:rsidRDefault="00F07E05" w:rsidP="008A253E">
            <w:pPr>
              <w:jc w:val="right"/>
            </w:pPr>
            <w:r w:rsidRPr="002F5AF7">
              <w:t>14,526</w:t>
            </w:r>
          </w:p>
        </w:tc>
      </w:tr>
      <w:tr w:rsidR="00F07E05" w:rsidTr="008A253E">
        <w:trPr>
          <w:trHeight w:val="351"/>
        </w:trPr>
        <w:tc>
          <w:tcPr>
            <w:tcW w:w="3756" w:type="dxa"/>
            <w:shd w:val="clear" w:color="auto" w:fill="auto"/>
            <w:vAlign w:val="bottom"/>
            <w:hideMark/>
          </w:tcPr>
          <w:p w:rsidR="00F07E05" w:rsidRPr="002F5AF7" w:rsidRDefault="00F07E05" w:rsidP="008A253E">
            <w:pPr>
              <w:rPr>
                <w:b/>
                <w:bCs/>
              </w:rPr>
            </w:pPr>
            <w:r w:rsidRPr="002F5AF7">
              <w:rPr>
                <w:b/>
                <w:bCs/>
              </w:rPr>
              <w:t xml:space="preserve">ИТОГО </w:t>
            </w:r>
          </w:p>
        </w:tc>
        <w:tc>
          <w:tcPr>
            <w:tcW w:w="1536" w:type="dxa"/>
            <w:shd w:val="clear" w:color="auto" w:fill="auto"/>
            <w:noWrap/>
            <w:vAlign w:val="bottom"/>
            <w:hideMark/>
          </w:tcPr>
          <w:p w:rsidR="00F07E05" w:rsidRPr="002F5AF7" w:rsidRDefault="00F07E05" w:rsidP="008A253E">
            <w:pPr>
              <w:jc w:val="right"/>
              <w:rPr>
                <w:b/>
                <w:bCs/>
              </w:rPr>
            </w:pPr>
            <w:r w:rsidRPr="002F5AF7">
              <w:rPr>
                <w:b/>
                <w:bCs/>
              </w:rPr>
              <w:t>2 409,940</w:t>
            </w:r>
          </w:p>
        </w:tc>
        <w:tc>
          <w:tcPr>
            <w:tcW w:w="1344" w:type="dxa"/>
            <w:shd w:val="clear" w:color="auto" w:fill="auto"/>
            <w:noWrap/>
            <w:vAlign w:val="bottom"/>
            <w:hideMark/>
          </w:tcPr>
          <w:p w:rsidR="00F07E05" w:rsidRPr="002F5AF7" w:rsidRDefault="00F07E05" w:rsidP="008A253E">
            <w:pPr>
              <w:jc w:val="right"/>
              <w:rPr>
                <w:b/>
                <w:bCs/>
              </w:rPr>
            </w:pPr>
            <w:r w:rsidRPr="002F5AF7">
              <w:rPr>
                <w:b/>
                <w:bCs/>
              </w:rPr>
              <w:t>2 501,518</w:t>
            </w:r>
          </w:p>
        </w:tc>
        <w:tc>
          <w:tcPr>
            <w:tcW w:w="1408" w:type="dxa"/>
            <w:shd w:val="clear" w:color="auto" w:fill="auto"/>
            <w:noWrap/>
            <w:vAlign w:val="bottom"/>
            <w:hideMark/>
          </w:tcPr>
          <w:p w:rsidR="00F07E05" w:rsidRPr="002F5AF7" w:rsidRDefault="00F07E05" w:rsidP="008A253E">
            <w:pPr>
              <w:jc w:val="right"/>
              <w:rPr>
                <w:b/>
                <w:bCs/>
              </w:rPr>
            </w:pPr>
            <w:r w:rsidRPr="002F5AF7">
              <w:rPr>
                <w:b/>
                <w:bCs/>
              </w:rPr>
              <w:t>2 601,576</w:t>
            </w:r>
          </w:p>
        </w:tc>
        <w:tc>
          <w:tcPr>
            <w:tcW w:w="1493" w:type="dxa"/>
            <w:shd w:val="clear" w:color="auto" w:fill="auto"/>
            <w:noWrap/>
            <w:vAlign w:val="bottom"/>
            <w:hideMark/>
          </w:tcPr>
          <w:p w:rsidR="00F07E05" w:rsidRPr="002F5AF7" w:rsidRDefault="00F07E05" w:rsidP="008A253E">
            <w:pPr>
              <w:jc w:val="right"/>
              <w:rPr>
                <w:b/>
                <w:bCs/>
              </w:rPr>
            </w:pPr>
            <w:r w:rsidRPr="002F5AF7">
              <w:rPr>
                <w:b/>
                <w:bCs/>
              </w:rPr>
              <w:t>2 705,640</w:t>
            </w:r>
          </w:p>
        </w:tc>
      </w:tr>
    </w:tbl>
    <w:p w:rsidR="00F07E05" w:rsidRDefault="00F07E05" w:rsidP="00F07E05">
      <w:pPr>
        <w:tabs>
          <w:tab w:val="left" w:pos="567"/>
        </w:tabs>
        <w:autoSpaceDE w:val="0"/>
        <w:jc w:val="both"/>
        <w:rPr>
          <w:sz w:val="28"/>
        </w:rPr>
      </w:pPr>
    </w:p>
    <w:p w:rsidR="00F07E05" w:rsidRDefault="00F07E05" w:rsidP="00F07E05">
      <w:pPr>
        <w:pStyle w:val="a4"/>
        <w:tabs>
          <w:tab w:val="left" w:pos="567"/>
        </w:tabs>
      </w:pPr>
      <w:r>
        <w:t xml:space="preserve">        </w:t>
      </w:r>
    </w:p>
    <w:p w:rsidR="00F07E05" w:rsidRDefault="00F07E05" w:rsidP="00F07E05">
      <w:pPr>
        <w:pStyle w:val="a4"/>
        <w:tabs>
          <w:tab w:val="left" w:pos="567"/>
        </w:tabs>
      </w:pPr>
    </w:p>
    <w:p w:rsidR="00F07E05" w:rsidRDefault="00F07E05" w:rsidP="00F07E05">
      <w:pPr>
        <w:pStyle w:val="a4"/>
        <w:tabs>
          <w:tab w:val="left" w:pos="567"/>
        </w:tabs>
      </w:pPr>
    </w:p>
    <w:p w:rsidR="00F07E05" w:rsidRDefault="00F07E05" w:rsidP="00F07E05">
      <w:pPr>
        <w:pStyle w:val="a4"/>
        <w:tabs>
          <w:tab w:val="left" w:pos="567"/>
        </w:tabs>
      </w:pPr>
    </w:p>
    <w:p w:rsidR="00F07E05" w:rsidRDefault="00F07E05" w:rsidP="00F07E05">
      <w:pPr>
        <w:pStyle w:val="a4"/>
        <w:tabs>
          <w:tab w:val="left" w:pos="567"/>
        </w:tabs>
      </w:pPr>
    </w:p>
    <w:p w:rsidR="00F07E05" w:rsidRDefault="00F07E05" w:rsidP="00F07E05">
      <w:pPr>
        <w:pStyle w:val="21"/>
        <w:jc w:val="center"/>
        <w:rPr>
          <w:b/>
          <w:color w:val="FF0000"/>
        </w:rPr>
      </w:pPr>
    </w:p>
    <w:p w:rsidR="00F07E05" w:rsidRPr="007E2F4E" w:rsidRDefault="00F07E05" w:rsidP="00F07E05">
      <w:pPr>
        <w:pStyle w:val="21"/>
        <w:jc w:val="center"/>
        <w:rPr>
          <w:b/>
        </w:rPr>
      </w:pPr>
      <w:r w:rsidRPr="007E2F4E">
        <w:rPr>
          <w:b/>
        </w:rPr>
        <w:lastRenderedPageBreak/>
        <w:t>Министерство образования Тверской области</w:t>
      </w:r>
    </w:p>
    <w:p w:rsidR="00F07E05" w:rsidRDefault="00F07E05" w:rsidP="00F07E05">
      <w:pPr>
        <w:pStyle w:val="21"/>
        <w:jc w:val="right"/>
        <w:rPr>
          <w:b/>
        </w:rPr>
      </w:pPr>
      <w:r w:rsidRPr="00FC6199">
        <w:t>тыс. руб</w:t>
      </w:r>
      <w:r>
        <w:rPr>
          <w:b/>
        </w:rPr>
        <w: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1368"/>
        <w:gridCol w:w="1440"/>
        <w:gridCol w:w="1620"/>
      </w:tblGrid>
      <w:tr w:rsidR="00F07E05" w:rsidRPr="00C93A58" w:rsidTr="008A253E">
        <w:trPr>
          <w:trHeight w:val="482"/>
        </w:trPr>
        <w:tc>
          <w:tcPr>
            <w:tcW w:w="2520" w:type="dxa"/>
            <w:noWrap/>
          </w:tcPr>
          <w:p w:rsidR="00F07E05" w:rsidRPr="00C93A58" w:rsidRDefault="00F07E05" w:rsidP="008A253E">
            <w:pPr>
              <w:rPr>
                <w:b/>
                <w:sz w:val="20"/>
                <w:szCs w:val="20"/>
              </w:rPr>
            </w:pPr>
            <w:r w:rsidRPr="00C93A58">
              <w:rPr>
                <w:b/>
                <w:sz w:val="20"/>
                <w:szCs w:val="20"/>
              </w:rPr>
              <w:t>Код БК</w:t>
            </w:r>
          </w:p>
        </w:tc>
        <w:tc>
          <w:tcPr>
            <w:tcW w:w="2520" w:type="dxa"/>
            <w:noWrap/>
          </w:tcPr>
          <w:p w:rsidR="00F07E05" w:rsidRPr="00C93A58" w:rsidRDefault="00F07E05" w:rsidP="008A253E">
            <w:pPr>
              <w:rPr>
                <w:b/>
                <w:sz w:val="20"/>
                <w:szCs w:val="20"/>
              </w:rPr>
            </w:pPr>
            <w:r w:rsidRPr="00C93A58">
              <w:rPr>
                <w:b/>
                <w:sz w:val="20"/>
                <w:szCs w:val="20"/>
              </w:rPr>
              <w:t>Наименование</w:t>
            </w:r>
          </w:p>
        </w:tc>
        <w:tc>
          <w:tcPr>
            <w:tcW w:w="1368" w:type="dxa"/>
          </w:tcPr>
          <w:p w:rsidR="00F07E05" w:rsidRPr="00C93A58" w:rsidRDefault="00F07E05" w:rsidP="008A253E">
            <w:pPr>
              <w:jc w:val="center"/>
              <w:rPr>
                <w:b/>
                <w:sz w:val="20"/>
                <w:szCs w:val="20"/>
              </w:rPr>
            </w:pPr>
            <w:r w:rsidRPr="00C93A58">
              <w:rPr>
                <w:b/>
                <w:sz w:val="20"/>
                <w:szCs w:val="20"/>
              </w:rPr>
              <w:t>Прогноз на</w:t>
            </w:r>
          </w:p>
          <w:p w:rsidR="00F07E05" w:rsidRPr="00C93A58" w:rsidRDefault="00F07E05" w:rsidP="008A253E">
            <w:pPr>
              <w:jc w:val="center"/>
              <w:rPr>
                <w:b/>
                <w:sz w:val="20"/>
                <w:szCs w:val="20"/>
              </w:rPr>
            </w:pPr>
            <w:r w:rsidRPr="00C93A58">
              <w:rPr>
                <w:b/>
                <w:sz w:val="20"/>
                <w:szCs w:val="20"/>
              </w:rPr>
              <w:t>20</w:t>
            </w:r>
            <w:r>
              <w:rPr>
                <w:b/>
                <w:sz w:val="20"/>
                <w:szCs w:val="20"/>
              </w:rPr>
              <w:t xml:space="preserve">22 </w:t>
            </w:r>
            <w:r w:rsidRPr="00C93A58">
              <w:rPr>
                <w:b/>
                <w:sz w:val="20"/>
                <w:szCs w:val="20"/>
              </w:rPr>
              <w:t xml:space="preserve">год </w:t>
            </w:r>
          </w:p>
          <w:p w:rsidR="00F07E05" w:rsidRPr="00C93A58" w:rsidRDefault="00F07E05" w:rsidP="008A253E">
            <w:pPr>
              <w:jc w:val="center"/>
              <w:rPr>
                <w:b/>
                <w:sz w:val="20"/>
                <w:szCs w:val="20"/>
              </w:rPr>
            </w:pPr>
          </w:p>
        </w:tc>
        <w:tc>
          <w:tcPr>
            <w:tcW w:w="1440" w:type="dxa"/>
          </w:tcPr>
          <w:p w:rsidR="00F07E05" w:rsidRPr="00C93A58" w:rsidRDefault="00F07E05" w:rsidP="008A253E">
            <w:pPr>
              <w:jc w:val="center"/>
              <w:rPr>
                <w:b/>
                <w:sz w:val="20"/>
                <w:szCs w:val="20"/>
              </w:rPr>
            </w:pPr>
            <w:r w:rsidRPr="00C93A58">
              <w:rPr>
                <w:b/>
                <w:sz w:val="20"/>
                <w:szCs w:val="20"/>
              </w:rPr>
              <w:t>Прогноз на</w:t>
            </w:r>
          </w:p>
          <w:p w:rsidR="00F07E05" w:rsidRDefault="00F07E05" w:rsidP="008A253E">
            <w:pPr>
              <w:jc w:val="center"/>
              <w:rPr>
                <w:b/>
                <w:sz w:val="20"/>
                <w:szCs w:val="20"/>
              </w:rPr>
            </w:pPr>
            <w:r w:rsidRPr="00C93A58">
              <w:rPr>
                <w:b/>
                <w:sz w:val="20"/>
                <w:szCs w:val="20"/>
              </w:rPr>
              <w:t>20</w:t>
            </w:r>
            <w:r>
              <w:rPr>
                <w:b/>
                <w:sz w:val="20"/>
                <w:szCs w:val="20"/>
              </w:rPr>
              <w:t xml:space="preserve">23 </w:t>
            </w:r>
            <w:r w:rsidRPr="00C93A58">
              <w:rPr>
                <w:b/>
                <w:sz w:val="20"/>
                <w:szCs w:val="20"/>
              </w:rPr>
              <w:t>год</w:t>
            </w:r>
          </w:p>
          <w:p w:rsidR="00F07E05" w:rsidRPr="00C93A58" w:rsidRDefault="00F07E05" w:rsidP="008A253E">
            <w:pPr>
              <w:jc w:val="center"/>
              <w:rPr>
                <w:b/>
                <w:sz w:val="20"/>
                <w:szCs w:val="20"/>
              </w:rPr>
            </w:pPr>
          </w:p>
        </w:tc>
        <w:tc>
          <w:tcPr>
            <w:tcW w:w="1620" w:type="dxa"/>
          </w:tcPr>
          <w:p w:rsidR="00F07E05" w:rsidRPr="00C93A58" w:rsidRDefault="00F07E05" w:rsidP="008A253E">
            <w:pPr>
              <w:jc w:val="center"/>
              <w:rPr>
                <w:b/>
                <w:sz w:val="20"/>
                <w:szCs w:val="20"/>
              </w:rPr>
            </w:pPr>
            <w:r w:rsidRPr="00C93A58">
              <w:rPr>
                <w:b/>
                <w:sz w:val="20"/>
                <w:szCs w:val="20"/>
              </w:rPr>
              <w:t>Прогноз на</w:t>
            </w:r>
          </w:p>
          <w:p w:rsidR="00F07E05" w:rsidRPr="00C93A58" w:rsidRDefault="00F07E05" w:rsidP="008A253E">
            <w:pPr>
              <w:jc w:val="center"/>
              <w:rPr>
                <w:b/>
                <w:sz w:val="20"/>
                <w:szCs w:val="20"/>
              </w:rPr>
            </w:pPr>
            <w:r w:rsidRPr="00C93A58">
              <w:rPr>
                <w:b/>
                <w:sz w:val="20"/>
                <w:szCs w:val="20"/>
              </w:rPr>
              <w:t>202</w:t>
            </w:r>
            <w:r>
              <w:rPr>
                <w:b/>
                <w:sz w:val="20"/>
                <w:szCs w:val="20"/>
              </w:rPr>
              <w:t xml:space="preserve">4 </w:t>
            </w:r>
            <w:r w:rsidRPr="00C93A58">
              <w:rPr>
                <w:b/>
                <w:sz w:val="20"/>
                <w:szCs w:val="20"/>
              </w:rPr>
              <w:t>год</w:t>
            </w:r>
          </w:p>
        </w:tc>
      </w:tr>
      <w:tr w:rsidR="00F07E05" w:rsidRPr="00C93A58" w:rsidTr="008A253E">
        <w:trPr>
          <w:trHeight w:val="70"/>
        </w:trPr>
        <w:tc>
          <w:tcPr>
            <w:tcW w:w="2520" w:type="dxa"/>
            <w:noWrap/>
          </w:tcPr>
          <w:p w:rsidR="00F07E05" w:rsidRPr="00C93A58" w:rsidRDefault="00F07E05" w:rsidP="008A253E">
            <w:pPr>
              <w:jc w:val="center"/>
              <w:rPr>
                <w:sz w:val="16"/>
                <w:szCs w:val="16"/>
              </w:rPr>
            </w:pPr>
          </w:p>
          <w:p w:rsidR="00F07E05" w:rsidRPr="00C93A58" w:rsidRDefault="00F07E05" w:rsidP="008A253E">
            <w:pPr>
              <w:jc w:val="center"/>
              <w:rPr>
                <w:sz w:val="16"/>
                <w:szCs w:val="16"/>
              </w:rPr>
            </w:pPr>
          </w:p>
          <w:p w:rsidR="00F07E05" w:rsidRPr="00C93A58" w:rsidRDefault="00F07E05" w:rsidP="008A253E">
            <w:pPr>
              <w:jc w:val="center"/>
              <w:rPr>
                <w:sz w:val="16"/>
                <w:szCs w:val="16"/>
              </w:rPr>
            </w:pPr>
            <w:r w:rsidRPr="0032295A">
              <w:rPr>
                <w:sz w:val="16"/>
                <w:szCs w:val="16"/>
              </w:rPr>
              <w:t>000 1 13 02060 00 0000 130</w:t>
            </w:r>
          </w:p>
        </w:tc>
        <w:tc>
          <w:tcPr>
            <w:tcW w:w="2520" w:type="dxa"/>
          </w:tcPr>
          <w:p w:rsidR="00F07E05" w:rsidRPr="00C93A58" w:rsidRDefault="00F07E05" w:rsidP="008A253E">
            <w:pPr>
              <w:rPr>
                <w:sz w:val="20"/>
                <w:szCs w:val="20"/>
              </w:rPr>
            </w:pPr>
          </w:p>
          <w:p w:rsidR="00F07E05" w:rsidRPr="00C93A58" w:rsidRDefault="00F07E05" w:rsidP="008A253E">
            <w:pPr>
              <w:rPr>
                <w:sz w:val="20"/>
                <w:szCs w:val="20"/>
              </w:rPr>
            </w:pPr>
            <w:r w:rsidRPr="0032295A">
              <w:rPr>
                <w:sz w:val="20"/>
                <w:szCs w:val="20"/>
              </w:rPr>
              <w:t>Доходы, поступающие в порядке возмещения расходов, понесенных в связи с эксплуатацией имущества</w:t>
            </w:r>
          </w:p>
        </w:tc>
        <w:tc>
          <w:tcPr>
            <w:tcW w:w="1368" w:type="dxa"/>
            <w:noWrap/>
          </w:tcPr>
          <w:p w:rsidR="00F07E05" w:rsidRDefault="00F07E05" w:rsidP="008A253E">
            <w:pPr>
              <w:ind w:hanging="108"/>
              <w:jc w:val="center"/>
              <w:rPr>
                <w:sz w:val="20"/>
                <w:szCs w:val="20"/>
              </w:rPr>
            </w:pPr>
          </w:p>
          <w:p w:rsidR="00F07E05" w:rsidRPr="00C93A58" w:rsidRDefault="00F07E05" w:rsidP="008A253E">
            <w:pPr>
              <w:ind w:hanging="108"/>
              <w:jc w:val="center"/>
              <w:rPr>
                <w:sz w:val="20"/>
                <w:szCs w:val="20"/>
              </w:rPr>
            </w:pPr>
            <w:r>
              <w:rPr>
                <w:sz w:val="20"/>
                <w:szCs w:val="20"/>
              </w:rPr>
              <w:t>3 032,1</w:t>
            </w:r>
          </w:p>
        </w:tc>
        <w:tc>
          <w:tcPr>
            <w:tcW w:w="1440" w:type="dxa"/>
            <w:noWrap/>
          </w:tcPr>
          <w:p w:rsidR="00F07E05" w:rsidRDefault="00F07E05" w:rsidP="008A253E">
            <w:pPr>
              <w:ind w:left="-136" w:right="-108" w:hanging="28"/>
              <w:jc w:val="center"/>
              <w:rPr>
                <w:sz w:val="20"/>
                <w:szCs w:val="20"/>
              </w:rPr>
            </w:pPr>
          </w:p>
          <w:p w:rsidR="00F07E05" w:rsidRPr="00C93A58" w:rsidRDefault="00F07E05" w:rsidP="008A253E">
            <w:pPr>
              <w:ind w:left="-136" w:right="-108" w:hanging="28"/>
              <w:jc w:val="center"/>
              <w:rPr>
                <w:sz w:val="20"/>
                <w:szCs w:val="20"/>
              </w:rPr>
            </w:pPr>
            <w:r>
              <w:rPr>
                <w:sz w:val="20"/>
                <w:szCs w:val="20"/>
              </w:rPr>
              <w:t>3 034,0</w:t>
            </w:r>
          </w:p>
        </w:tc>
        <w:tc>
          <w:tcPr>
            <w:tcW w:w="1620" w:type="dxa"/>
            <w:noWrap/>
          </w:tcPr>
          <w:p w:rsidR="00F07E05" w:rsidRDefault="00F07E05" w:rsidP="008A253E">
            <w:pPr>
              <w:ind w:left="-108" w:right="-3" w:hanging="108"/>
              <w:jc w:val="center"/>
              <w:rPr>
                <w:sz w:val="20"/>
                <w:szCs w:val="20"/>
              </w:rPr>
            </w:pPr>
          </w:p>
          <w:p w:rsidR="00F07E05" w:rsidRPr="00C93A58" w:rsidRDefault="00F07E05" w:rsidP="008A253E">
            <w:pPr>
              <w:ind w:left="-108" w:right="-3" w:hanging="108"/>
              <w:jc w:val="center"/>
              <w:rPr>
                <w:sz w:val="20"/>
                <w:szCs w:val="20"/>
              </w:rPr>
            </w:pPr>
            <w:r>
              <w:rPr>
                <w:sz w:val="20"/>
                <w:szCs w:val="20"/>
              </w:rPr>
              <w:t>3 037,3</w:t>
            </w:r>
          </w:p>
        </w:tc>
      </w:tr>
    </w:tbl>
    <w:p w:rsidR="00F07E05" w:rsidRDefault="00F07E05" w:rsidP="00F07E05">
      <w:pPr>
        <w:ind w:firstLine="709"/>
        <w:jc w:val="both"/>
        <w:rPr>
          <w:sz w:val="28"/>
          <w:szCs w:val="28"/>
        </w:rPr>
      </w:pPr>
    </w:p>
    <w:p w:rsidR="00F07E05" w:rsidRDefault="00F07E05" w:rsidP="00F07E05">
      <w:pPr>
        <w:spacing w:after="54"/>
        <w:ind w:right="13" w:firstLine="709"/>
        <w:jc w:val="both"/>
      </w:pPr>
      <w:r>
        <w:t xml:space="preserve">Для расчета прогнозируемого объема доходов применяется метод прямого расчета исходя из расчетной потребности по каждому виду потребляемых коммунальных услуг и их тарифов. </w:t>
      </w:r>
    </w:p>
    <w:p w:rsidR="00F07E05" w:rsidRDefault="00F07E05" w:rsidP="00F07E05">
      <w:pPr>
        <w:ind w:firstLine="709"/>
        <w:jc w:val="both"/>
        <w:rPr>
          <w:sz w:val="28"/>
          <w:szCs w:val="28"/>
        </w:rPr>
      </w:pPr>
    </w:p>
    <w:p w:rsidR="00F07E05" w:rsidRDefault="00F07E05" w:rsidP="00F07E05">
      <w:pPr>
        <w:ind w:firstLine="709"/>
        <w:jc w:val="both"/>
        <w:rPr>
          <w:sz w:val="28"/>
          <w:szCs w:val="28"/>
        </w:rPr>
      </w:pPr>
    </w:p>
    <w:p w:rsidR="00F07E05" w:rsidRDefault="00F07E05" w:rsidP="00F07E05">
      <w:pPr>
        <w:pStyle w:val="21"/>
        <w:jc w:val="center"/>
        <w:rPr>
          <w:b/>
        </w:rPr>
      </w:pPr>
    </w:p>
    <w:p w:rsidR="00F07E05" w:rsidRDefault="00F07E05" w:rsidP="00F07E05">
      <w:pPr>
        <w:jc w:val="center"/>
        <w:rPr>
          <w:color w:val="000000"/>
        </w:rPr>
        <w:sectPr w:rsidR="00F07E05" w:rsidSect="008A253E">
          <w:pgSz w:w="11906" w:h="16838"/>
          <w:pgMar w:top="1077" w:right="991" w:bottom="1134" w:left="1701" w:header="709" w:footer="709" w:gutter="0"/>
          <w:cols w:space="708"/>
          <w:docGrid w:linePitch="360"/>
        </w:sectPr>
      </w:pPr>
    </w:p>
    <w:tbl>
      <w:tblPr>
        <w:tblW w:w="16210" w:type="dxa"/>
        <w:tblInd w:w="-709" w:type="dxa"/>
        <w:tblLook w:val="04A0" w:firstRow="1" w:lastRow="0" w:firstColumn="1" w:lastColumn="0" w:noHBand="0" w:noVBand="1"/>
      </w:tblPr>
      <w:tblGrid>
        <w:gridCol w:w="486"/>
        <w:gridCol w:w="1715"/>
        <w:gridCol w:w="1769"/>
        <w:gridCol w:w="1417"/>
        <w:gridCol w:w="1276"/>
        <w:gridCol w:w="1276"/>
        <w:gridCol w:w="1405"/>
        <w:gridCol w:w="1288"/>
        <w:gridCol w:w="1742"/>
        <w:gridCol w:w="1376"/>
        <w:gridCol w:w="1134"/>
        <w:gridCol w:w="1276"/>
        <w:gridCol w:w="50"/>
      </w:tblGrid>
      <w:tr w:rsidR="00F07E05" w:rsidTr="008A253E">
        <w:trPr>
          <w:trHeight w:val="1043"/>
        </w:trPr>
        <w:tc>
          <w:tcPr>
            <w:tcW w:w="16210" w:type="dxa"/>
            <w:gridSpan w:val="13"/>
            <w:tcBorders>
              <w:top w:val="nil"/>
              <w:left w:val="nil"/>
              <w:bottom w:val="single" w:sz="4" w:space="0" w:color="auto"/>
              <w:right w:val="nil"/>
            </w:tcBorders>
            <w:shd w:val="clear" w:color="auto" w:fill="auto"/>
            <w:vAlign w:val="center"/>
            <w:hideMark/>
          </w:tcPr>
          <w:p w:rsidR="00F07E05" w:rsidRDefault="00F07E05" w:rsidP="008A253E">
            <w:pPr>
              <w:jc w:val="center"/>
              <w:rPr>
                <w:b/>
                <w:bCs/>
                <w:color w:val="000000"/>
              </w:rPr>
            </w:pPr>
            <w:r>
              <w:rPr>
                <w:b/>
                <w:bCs/>
                <w:color w:val="000000"/>
              </w:rPr>
              <w:lastRenderedPageBreak/>
              <w:t>Информация о прогнозировании поступлений неналоговых доходов в областной бюджет Тверской области по доходам от возмещения коммунальных услуг</w:t>
            </w:r>
            <w:r>
              <w:rPr>
                <w:b/>
                <w:bCs/>
                <w:color w:val="000000"/>
              </w:rPr>
              <w:br/>
              <w:t>(доходы, поступающие в порядке возмещения расходов, понесенных в связи с эксплуатацией имущества субъектов Российской Федерации (возмещение коммунальных расходов)</w:t>
            </w:r>
          </w:p>
        </w:tc>
      </w:tr>
      <w:tr w:rsidR="00F07E05" w:rsidTr="008A253E">
        <w:trPr>
          <w:gridAfter w:val="1"/>
          <w:wAfter w:w="50" w:type="dxa"/>
          <w:trHeight w:val="1875"/>
        </w:trPr>
        <w:tc>
          <w:tcPr>
            <w:tcW w:w="486" w:type="dxa"/>
            <w:vMerge w:val="restart"/>
            <w:tcBorders>
              <w:top w:val="nil"/>
              <w:left w:val="single" w:sz="4" w:space="0" w:color="auto"/>
              <w:bottom w:val="single" w:sz="4" w:space="0" w:color="000000"/>
              <w:right w:val="single" w:sz="4" w:space="0" w:color="auto"/>
            </w:tcBorders>
            <w:shd w:val="clear" w:color="auto" w:fill="auto"/>
            <w:vAlign w:val="center"/>
            <w:hideMark/>
          </w:tcPr>
          <w:p w:rsidR="00F07E05" w:rsidRDefault="00F07E05" w:rsidP="008A253E">
            <w:pPr>
              <w:jc w:val="center"/>
              <w:rPr>
                <w:color w:val="000000"/>
                <w:sz w:val="20"/>
                <w:szCs w:val="20"/>
              </w:rPr>
            </w:pPr>
            <w:r>
              <w:rPr>
                <w:color w:val="000000"/>
                <w:sz w:val="20"/>
                <w:szCs w:val="20"/>
              </w:rPr>
              <w:t>№ п/п</w:t>
            </w:r>
          </w:p>
        </w:tc>
        <w:tc>
          <w:tcPr>
            <w:tcW w:w="1715" w:type="dxa"/>
            <w:vMerge w:val="restart"/>
            <w:tcBorders>
              <w:top w:val="nil"/>
              <w:left w:val="single" w:sz="4" w:space="0" w:color="auto"/>
              <w:bottom w:val="single" w:sz="4" w:space="0" w:color="auto"/>
              <w:right w:val="single" w:sz="4" w:space="0" w:color="auto"/>
            </w:tcBorders>
            <w:shd w:val="clear" w:color="auto" w:fill="auto"/>
            <w:vAlign w:val="center"/>
            <w:hideMark/>
          </w:tcPr>
          <w:p w:rsidR="00F07E05" w:rsidRDefault="00F07E05" w:rsidP="008A253E">
            <w:pPr>
              <w:jc w:val="center"/>
              <w:rPr>
                <w:color w:val="000000"/>
                <w:sz w:val="20"/>
                <w:szCs w:val="20"/>
              </w:rPr>
            </w:pPr>
            <w:r>
              <w:rPr>
                <w:color w:val="000000"/>
                <w:sz w:val="20"/>
                <w:szCs w:val="20"/>
              </w:rPr>
              <w:t>Наименование организации</w:t>
            </w:r>
          </w:p>
        </w:tc>
        <w:tc>
          <w:tcPr>
            <w:tcW w:w="176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07E05" w:rsidRDefault="00F07E05" w:rsidP="008A253E">
            <w:pPr>
              <w:jc w:val="center"/>
              <w:rPr>
                <w:color w:val="000000"/>
                <w:sz w:val="20"/>
                <w:szCs w:val="20"/>
              </w:rPr>
            </w:pPr>
            <w:r>
              <w:rPr>
                <w:color w:val="000000"/>
                <w:sz w:val="20"/>
                <w:szCs w:val="20"/>
              </w:rPr>
              <w:t>Наименование доходов</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F07E05" w:rsidRDefault="00F07E05" w:rsidP="008A253E">
            <w:pPr>
              <w:jc w:val="center"/>
              <w:rPr>
                <w:color w:val="000000"/>
                <w:sz w:val="20"/>
                <w:szCs w:val="20"/>
              </w:rPr>
            </w:pPr>
            <w:r>
              <w:rPr>
                <w:color w:val="000000"/>
                <w:sz w:val="20"/>
                <w:szCs w:val="20"/>
              </w:rPr>
              <w:t>Прогноз на 2022 год (в руб.)</w:t>
            </w:r>
          </w:p>
        </w:tc>
        <w:tc>
          <w:tcPr>
            <w:tcW w:w="2552" w:type="dxa"/>
            <w:gridSpan w:val="2"/>
            <w:tcBorders>
              <w:top w:val="single" w:sz="4" w:space="0" w:color="auto"/>
              <w:left w:val="nil"/>
              <w:bottom w:val="single" w:sz="4" w:space="0" w:color="auto"/>
              <w:right w:val="nil"/>
            </w:tcBorders>
            <w:shd w:val="clear" w:color="auto" w:fill="auto"/>
            <w:vAlign w:val="center"/>
            <w:hideMark/>
          </w:tcPr>
          <w:p w:rsidR="00F07E05" w:rsidRDefault="00F07E05" w:rsidP="008A253E">
            <w:pPr>
              <w:jc w:val="center"/>
              <w:rPr>
                <w:color w:val="000000"/>
                <w:sz w:val="20"/>
                <w:szCs w:val="20"/>
              </w:rPr>
            </w:pPr>
            <w:r>
              <w:rPr>
                <w:color w:val="000000"/>
                <w:sz w:val="20"/>
                <w:szCs w:val="20"/>
              </w:rPr>
              <w:t xml:space="preserve">Прогнозируемый объем доходов </w:t>
            </w:r>
          </w:p>
        </w:tc>
        <w:tc>
          <w:tcPr>
            <w:tcW w:w="1405" w:type="dxa"/>
            <w:tcBorders>
              <w:top w:val="nil"/>
              <w:left w:val="single" w:sz="4" w:space="0" w:color="auto"/>
              <w:bottom w:val="single" w:sz="4" w:space="0" w:color="auto"/>
              <w:right w:val="single" w:sz="4" w:space="0" w:color="auto"/>
            </w:tcBorders>
            <w:shd w:val="clear" w:color="auto" w:fill="auto"/>
            <w:vAlign w:val="center"/>
            <w:hideMark/>
          </w:tcPr>
          <w:p w:rsidR="00F07E05" w:rsidRDefault="00F07E05" w:rsidP="008A253E">
            <w:pPr>
              <w:jc w:val="center"/>
              <w:rPr>
                <w:color w:val="000000"/>
                <w:sz w:val="20"/>
                <w:szCs w:val="20"/>
              </w:rPr>
            </w:pPr>
            <w:r>
              <w:rPr>
                <w:color w:val="000000"/>
                <w:sz w:val="20"/>
                <w:szCs w:val="20"/>
              </w:rPr>
              <w:t>Прогноз на 2023 год (в руб.)</w:t>
            </w:r>
          </w:p>
        </w:tc>
        <w:tc>
          <w:tcPr>
            <w:tcW w:w="3030" w:type="dxa"/>
            <w:gridSpan w:val="2"/>
            <w:tcBorders>
              <w:top w:val="single" w:sz="4" w:space="0" w:color="auto"/>
              <w:left w:val="nil"/>
              <w:bottom w:val="single" w:sz="4" w:space="0" w:color="auto"/>
              <w:right w:val="single" w:sz="4" w:space="0" w:color="auto"/>
            </w:tcBorders>
            <w:shd w:val="clear" w:color="auto" w:fill="auto"/>
            <w:vAlign w:val="center"/>
            <w:hideMark/>
          </w:tcPr>
          <w:p w:rsidR="00F07E05" w:rsidRDefault="00F07E05" w:rsidP="008A253E">
            <w:pPr>
              <w:jc w:val="center"/>
              <w:rPr>
                <w:color w:val="000000"/>
                <w:sz w:val="20"/>
                <w:szCs w:val="20"/>
              </w:rPr>
            </w:pPr>
            <w:r>
              <w:rPr>
                <w:color w:val="000000"/>
                <w:sz w:val="20"/>
                <w:szCs w:val="20"/>
              </w:rPr>
              <w:t xml:space="preserve">Прогнозируемый объем доходов </w:t>
            </w:r>
          </w:p>
        </w:tc>
        <w:tc>
          <w:tcPr>
            <w:tcW w:w="1376" w:type="dxa"/>
            <w:tcBorders>
              <w:top w:val="nil"/>
              <w:left w:val="single" w:sz="4" w:space="0" w:color="auto"/>
              <w:bottom w:val="single" w:sz="4" w:space="0" w:color="auto"/>
              <w:right w:val="single" w:sz="4" w:space="0" w:color="auto"/>
            </w:tcBorders>
            <w:shd w:val="clear" w:color="auto" w:fill="auto"/>
            <w:vAlign w:val="center"/>
            <w:hideMark/>
          </w:tcPr>
          <w:p w:rsidR="00F07E05" w:rsidRDefault="00F07E05" w:rsidP="008A253E">
            <w:pPr>
              <w:jc w:val="center"/>
              <w:rPr>
                <w:color w:val="000000"/>
                <w:sz w:val="20"/>
                <w:szCs w:val="20"/>
              </w:rPr>
            </w:pPr>
            <w:r>
              <w:rPr>
                <w:color w:val="000000"/>
                <w:sz w:val="20"/>
                <w:szCs w:val="20"/>
              </w:rPr>
              <w:t>Прогноз на 2024 год (в руб.)</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rsidR="00F07E05" w:rsidRDefault="00F07E05" w:rsidP="008A253E">
            <w:pPr>
              <w:jc w:val="center"/>
              <w:rPr>
                <w:color w:val="000000"/>
                <w:sz w:val="20"/>
                <w:szCs w:val="20"/>
              </w:rPr>
            </w:pPr>
            <w:r>
              <w:rPr>
                <w:color w:val="000000"/>
                <w:sz w:val="20"/>
                <w:szCs w:val="20"/>
              </w:rPr>
              <w:t>Прогнозируемый объем доходов</w:t>
            </w:r>
          </w:p>
        </w:tc>
      </w:tr>
      <w:tr w:rsidR="00F07E05" w:rsidTr="008A253E">
        <w:trPr>
          <w:gridAfter w:val="1"/>
          <w:wAfter w:w="50" w:type="dxa"/>
          <w:trHeight w:val="600"/>
        </w:trPr>
        <w:tc>
          <w:tcPr>
            <w:tcW w:w="486" w:type="dxa"/>
            <w:vMerge/>
            <w:tcBorders>
              <w:top w:val="nil"/>
              <w:left w:val="single" w:sz="4" w:space="0" w:color="auto"/>
              <w:bottom w:val="single" w:sz="4" w:space="0" w:color="000000"/>
              <w:right w:val="single" w:sz="4" w:space="0" w:color="auto"/>
            </w:tcBorders>
            <w:shd w:val="clear" w:color="auto" w:fill="auto"/>
            <w:vAlign w:val="center"/>
            <w:hideMark/>
          </w:tcPr>
          <w:p w:rsidR="00F07E05" w:rsidRDefault="00F07E05" w:rsidP="008A253E">
            <w:pPr>
              <w:rPr>
                <w:color w:val="000000"/>
                <w:sz w:val="20"/>
                <w:szCs w:val="20"/>
              </w:rPr>
            </w:pPr>
          </w:p>
        </w:tc>
        <w:tc>
          <w:tcPr>
            <w:tcW w:w="1715" w:type="dxa"/>
            <w:vMerge/>
            <w:tcBorders>
              <w:top w:val="nil"/>
              <w:left w:val="single" w:sz="4" w:space="0" w:color="auto"/>
              <w:bottom w:val="single" w:sz="4" w:space="0" w:color="auto"/>
              <w:right w:val="single" w:sz="4" w:space="0" w:color="auto"/>
            </w:tcBorders>
            <w:shd w:val="clear" w:color="auto" w:fill="auto"/>
            <w:vAlign w:val="center"/>
            <w:hideMark/>
          </w:tcPr>
          <w:p w:rsidR="00F07E05" w:rsidRDefault="00F07E05" w:rsidP="008A253E">
            <w:pPr>
              <w:rPr>
                <w:color w:val="000000"/>
                <w:sz w:val="20"/>
                <w:szCs w:val="20"/>
              </w:rPr>
            </w:pPr>
          </w:p>
        </w:tc>
        <w:tc>
          <w:tcPr>
            <w:tcW w:w="1769" w:type="dxa"/>
            <w:vMerge/>
            <w:tcBorders>
              <w:top w:val="nil"/>
              <w:left w:val="single" w:sz="4" w:space="0" w:color="auto"/>
              <w:bottom w:val="single" w:sz="4" w:space="0" w:color="auto"/>
              <w:right w:val="single" w:sz="4" w:space="0" w:color="auto"/>
            </w:tcBorders>
            <w:shd w:val="clear" w:color="auto" w:fill="auto"/>
            <w:vAlign w:val="center"/>
            <w:hideMark/>
          </w:tcPr>
          <w:p w:rsidR="00F07E05" w:rsidRDefault="00F07E05" w:rsidP="008A253E">
            <w:pPr>
              <w:rPr>
                <w:color w:val="000000"/>
                <w:sz w:val="20"/>
                <w:szCs w:val="20"/>
              </w:rPr>
            </w:pP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rsidR="00F07E05" w:rsidRDefault="00F07E05" w:rsidP="008A253E">
            <w:pPr>
              <w:rPr>
                <w:color w:val="000000"/>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F07E05" w:rsidRDefault="00F07E05" w:rsidP="008A253E">
            <w:pPr>
              <w:jc w:val="center"/>
              <w:rPr>
                <w:color w:val="000000"/>
                <w:sz w:val="20"/>
                <w:szCs w:val="20"/>
              </w:rPr>
            </w:pPr>
            <w:r>
              <w:rPr>
                <w:color w:val="000000"/>
                <w:sz w:val="20"/>
                <w:szCs w:val="20"/>
              </w:rPr>
              <w:t>кол-во (Гкал., кВт)</w:t>
            </w:r>
          </w:p>
        </w:tc>
        <w:tc>
          <w:tcPr>
            <w:tcW w:w="1276" w:type="dxa"/>
            <w:tcBorders>
              <w:top w:val="nil"/>
              <w:left w:val="nil"/>
              <w:bottom w:val="single" w:sz="4" w:space="0" w:color="auto"/>
              <w:right w:val="single" w:sz="4" w:space="0" w:color="auto"/>
            </w:tcBorders>
            <w:shd w:val="clear" w:color="auto" w:fill="auto"/>
            <w:vAlign w:val="center"/>
            <w:hideMark/>
          </w:tcPr>
          <w:p w:rsidR="00F07E05" w:rsidRDefault="00F07E05" w:rsidP="008A253E">
            <w:pPr>
              <w:jc w:val="center"/>
              <w:rPr>
                <w:color w:val="000000"/>
                <w:sz w:val="20"/>
                <w:szCs w:val="20"/>
              </w:rPr>
            </w:pPr>
            <w:r>
              <w:rPr>
                <w:color w:val="000000"/>
                <w:sz w:val="20"/>
                <w:szCs w:val="20"/>
              </w:rPr>
              <w:t>тариф, руб.</w:t>
            </w:r>
          </w:p>
        </w:tc>
        <w:tc>
          <w:tcPr>
            <w:tcW w:w="1405" w:type="dxa"/>
            <w:tcBorders>
              <w:top w:val="nil"/>
              <w:left w:val="single" w:sz="4" w:space="0" w:color="auto"/>
              <w:bottom w:val="single" w:sz="4" w:space="0" w:color="auto"/>
              <w:right w:val="single" w:sz="4" w:space="0" w:color="auto"/>
            </w:tcBorders>
            <w:shd w:val="clear" w:color="auto" w:fill="auto"/>
            <w:vAlign w:val="center"/>
            <w:hideMark/>
          </w:tcPr>
          <w:p w:rsidR="00F07E05" w:rsidRDefault="00F07E05" w:rsidP="008A253E">
            <w:pPr>
              <w:rPr>
                <w:color w:val="000000"/>
                <w:sz w:val="20"/>
                <w:szCs w:val="20"/>
              </w:rPr>
            </w:pPr>
          </w:p>
        </w:tc>
        <w:tc>
          <w:tcPr>
            <w:tcW w:w="1288" w:type="dxa"/>
            <w:tcBorders>
              <w:top w:val="nil"/>
              <w:left w:val="nil"/>
              <w:bottom w:val="single" w:sz="4" w:space="0" w:color="auto"/>
              <w:right w:val="single" w:sz="4" w:space="0" w:color="auto"/>
            </w:tcBorders>
            <w:shd w:val="clear" w:color="auto" w:fill="auto"/>
            <w:vAlign w:val="center"/>
            <w:hideMark/>
          </w:tcPr>
          <w:p w:rsidR="00F07E05" w:rsidRDefault="00F07E05" w:rsidP="008A253E">
            <w:pPr>
              <w:jc w:val="center"/>
              <w:rPr>
                <w:color w:val="000000"/>
                <w:sz w:val="20"/>
                <w:szCs w:val="20"/>
              </w:rPr>
            </w:pPr>
            <w:r>
              <w:rPr>
                <w:color w:val="000000"/>
                <w:sz w:val="20"/>
                <w:szCs w:val="20"/>
              </w:rPr>
              <w:t>кол-во (Гкал., кВт)</w:t>
            </w:r>
          </w:p>
        </w:tc>
        <w:tc>
          <w:tcPr>
            <w:tcW w:w="1742" w:type="dxa"/>
            <w:tcBorders>
              <w:top w:val="nil"/>
              <w:left w:val="nil"/>
              <w:bottom w:val="single" w:sz="4" w:space="0" w:color="auto"/>
              <w:right w:val="single" w:sz="4" w:space="0" w:color="auto"/>
            </w:tcBorders>
            <w:shd w:val="clear" w:color="auto" w:fill="auto"/>
            <w:vAlign w:val="center"/>
            <w:hideMark/>
          </w:tcPr>
          <w:p w:rsidR="00F07E05" w:rsidRDefault="00F07E05" w:rsidP="008A253E">
            <w:pPr>
              <w:jc w:val="center"/>
              <w:rPr>
                <w:color w:val="000000"/>
                <w:sz w:val="20"/>
                <w:szCs w:val="20"/>
              </w:rPr>
            </w:pPr>
            <w:r>
              <w:rPr>
                <w:color w:val="000000"/>
                <w:sz w:val="20"/>
                <w:szCs w:val="20"/>
              </w:rPr>
              <w:t>тариф, руб.</w:t>
            </w:r>
          </w:p>
        </w:tc>
        <w:tc>
          <w:tcPr>
            <w:tcW w:w="1376" w:type="dxa"/>
            <w:tcBorders>
              <w:top w:val="nil"/>
              <w:left w:val="single" w:sz="4" w:space="0" w:color="auto"/>
              <w:bottom w:val="single" w:sz="4" w:space="0" w:color="auto"/>
              <w:right w:val="single" w:sz="4" w:space="0" w:color="auto"/>
            </w:tcBorders>
            <w:shd w:val="clear" w:color="auto" w:fill="auto"/>
            <w:vAlign w:val="center"/>
            <w:hideMark/>
          </w:tcPr>
          <w:p w:rsidR="00F07E05" w:rsidRDefault="00F07E05" w:rsidP="008A253E">
            <w:pPr>
              <w:rPr>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F07E05" w:rsidRDefault="00F07E05" w:rsidP="008A253E">
            <w:pPr>
              <w:jc w:val="center"/>
              <w:rPr>
                <w:color w:val="000000"/>
                <w:sz w:val="20"/>
                <w:szCs w:val="20"/>
              </w:rPr>
            </w:pPr>
            <w:r>
              <w:rPr>
                <w:color w:val="000000"/>
                <w:sz w:val="20"/>
                <w:szCs w:val="20"/>
              </w:rPr>
              <w:t>кол-во (Гкал., кВт)</w:t>
            </w:r>
          </w:p>
        </w:tc>
        <w:tc>
          <w:tcPr>
            <w:tcW w:w="1276" w:type="dxa"/>
            <w:tcBorders>
              <w:top w:val="nil"/>
              <w:left w:val="nil"/>
              <w:bottom w:val="single" w:sz="4" w:space="0" w:color="auto"/>
              <w:right w:val="single" w:sz="4" w:space="0" w:color="auto"/>
            </w:tcBorders>
            <w:shd w:val="clear" w:color="auto" w:fill="auto"/>
            <w:vAlign w:val="center"/>
            <w:hideMark/>
          </w:tcPr>
          <w:p w:rsidR="00F07E05" w:rsidRDefault="00F07E05" w:rsidP="008A253E">
            <w:pPr>
              <w:jc w:val="center"/>
              <w:rPr>
                <w:color w:val="000000"/>
                <w:sz w:val="20"/>
                <w:szCs w:val="20"/>
              </w:rPr>
            </w:pPr>
            <w:r>
              <w:rPr>
                <w:color w:val="000000"/>
                <w:sz w:val="20"/>
                <w:szCs w:val="20"/>
              </w:rPr>
              <w:t>тариф, руб.</w:t>
            </w:r>
          </w:p>
        </w:tc>
      </w:tr>
      <w:tr w:rsidR="00F07E05" w:rsidTr="008A253E">
        <w:trPr>
          <w:gridAfter w:val="1"/>
          <w:wAfter w:w="50" w:type="dxa"/>
          <w:trHeight w:val="270"/>
        </w:trPr>
        <w:tc>
          <w:tcPr>
            <w:tcW w:w="486" w:type="dxa"/>
            <w:vMerge w:val="restart"/>
            <w:tcBorders>
              <w:top w:val="nil"/>
              <w:left w:val="single" w:sz="4" w:space="0" w:color="auto"/>
              <w:bottom w:val="nil"/>
              <w:right w:val="single" w:sz="4" w:space="0" w:color="auto"/>
            </w:tcBorders>
            <w:shd w:val="clear" w:color="auto" w:fill="auto"/>
            <w:vAlign w:val="center"/>
            <w:hideMark/>
          </w:tcPr>
          <w:p w:rsidR="00F07E05" w:rsidRDefault="00F07E05" w:rsidP="008A253E">
            <w:pPr>
              <w:jc w:val="center"/>
              <w:rPr>
                <w:color w:val="000000"/>
                <w:sz w:val="20"/>
                <w:szCs w:val="20"/>
              </w:rPr>
            </w:pPr>
            <w:r>
              <w:rPr>
                <w:color w:val="000000"/>
                <w:sz w:val="20"/>
                <w:szCs w:val="20"/>
              </w:rPr>
              <w:t>1</w:t>
            </w:r>
          </w:p>
        </w:tc>
        <w:tc>
          <w:tcPr>
            <w:tcW w:w="1715" w:type="dxa"/>
            <w:vMerge w:val="restart"/>
            <w:tcBorders>
              <w:top w:val="nil"/>
              <w:left w:val="single" w:sz="4" w:space="0" w:color="auto"/>
              <w:bottom w:val="nil"/>
              <w:right w:val="single" w:sz="4" w:space="0" w:color="auto"/>
            </w:tcBorders>
            <w:shd w:val="clear" w:color="auto" w:fill="auto"/>
            <w:vAlign w:val="center"/>
            <w:hideMark/>
          </w:tcPr>
          <w:p w:rsidR="00F07E05" w:rsidRDefault="00F07E05" w:rsidP="008A253E">
            <w:pPr>
              <w:jc w:val="center"/>
              <w:rPr>
                <w:sz w:val="20"/>
                <w:szCs w:val="20"/>
              </w:rPr>
            </w:pPr>
            <w:r>
              <w:rPr>
                <w:sz w:val="20"/>
                <w:szCs w:val="20"/>
              </w:rPr>
              <w:t>ГКООУ "Медновская санаторная школа-интернат"</w:t>
            </w:r>
          </w:p>
        </w:tc>
        <w:tc>
          <w:tcPr>
            <w:tcW w:w="1769" w:type="dxa"/>
            <w:tcBorders>
              <w:top w:val="nil"/>
              <w:left w:val="nil"/>
              <w:bottom w:val="single" w:sz="4" w:space="0" w:color="auto"/>
              <w:right w:val="single" w:sz="4" w:space="0" w:color="auto"/>
            </w:tcBorders>
            <w:shd w:val="clear" w:color="auto" w:fill="auto"/>
            <w:vAlign w:val="center"/>
            <w:hideMark/>
          </w:tcPr>
          <w:p w:rsidR="00F07E05" w:rsidRDefault="00F07E05" w:rsidP="008A253E">
            <w:pPr>
              <w:rPr>
                <w:color w:val="000000"/>
                <w:sz w:val="20"/>
                <w:szCs w:val="20"/>
              </w:rPr>
            </w:pPr>
            <w:r>
              <w:rPr>
                <w:color w:val="000000"/>
                <w:sz w:val="20"/>
                <w:szCs w:val="20"/>
              </w:rPr>
              <w:t>теплоэнергия</w:t>
            </w:r>
          </w:p>
        </w:tc>
        <w:tc>
          <w:tcPr>
            <w:tcW w:w="1417" w:type="dxa"/>
            <w:tcBorders>
              <w:top w:val="nil"/>
              <w:left w:val="nil"/>
              <w:bottom w:val="single" w:sz="4" w:space="0" w:color="auto"/>
              <w:right w:val="single" w:sz="4" w:space="0" w:color="auto"/>
            </w:tcBorders>
            <w:shd w:val="clear" w:color="auto" w:fill="auto"/>
            <w:noWrap/>
            <w:vAlign w:val="center"/>
            <w:hideMark/>
          </w:tcPr>
          <w:p w:rsidR="00F07E05" w:rsidRDefault="00F07E05" w:rsidP="008A253E">
            <w:pPr>
              <w:jc w:val="center"/>
              <w:rPr>
                <w:b/>
                <w:bCs/>
                <w:color w:val="000000"/>
                <w:sz w:val="20"/>
                <w:szCs w:val="20"/>
              </w:rPr>
            </w:pPr>
            <w:r>
              <w:rPr>
                <w:b/>
                <w:bCs/>
                <w:color w:val="000000"/>
                <w:sz w:val="20"/>
                <w:szCs w:val="20"/>
              </w:rPr>
              <w:t>636 750,00</w:t>
            </w:r>
          </w:p>
        </w:tc>
        <w:tc>
          <w:tcPr>
            <w:tcW w:w="1276" w:type="dxa"/>
            <w:tcBorders>
              <w:top w:val="nil"/>
              <w:left w:val="nil"/>
              <w:bottom w:val="single" w:sz="4" w:space="0" w:color="auto"/>
              <w:right w:val="single" w:sz="4" w:space="0" w:color="auto"/>
            </w:tcBorders>
            <w:shd w:val="clear" w:color="auto" w:fill="auto"/>
            <w:noWrap/>
            <w:vAlign w:val="center"/>
            <w:hideMark/>
          </w:tcPr>
          <w:p w:rsidR="00F07E05" w:rsidRDefault="00F07E05" w:rsidP="008A253E">
            <w:pPr>
              <w:jc w:val="center"/>
              <w:rPr>
                <w:color w:val="000000"/>
                <w:sz w:val="20"/>
                <w:szCs w:val="20"/>
              </w:rPr>
            </w:pPr>
            <w:r>
              <w:rPr>
                <w:color w:val="000000"/>
                <w:sz w:val="20"/>
                <w:szCs w:val="20"/>
              </w:rPr>
              <w:t>250,00</w:t>
            </w:r>
          </w:p>
        </w:tc>
        <w:tc>
          <w:tcPr>
            <w:tcW w:w="1276" w:type="dxa"/>
            <w:tcBorders>
              <w:top w:val="nil"/>
              <w:left w:val="nil"/>
              <w:bottom w:val="single" w:sz="4" w:space="0" w:color="auto"/>
              <w:right w:val="single" w:sz="4" w:space="0" w:color="auto"/>
            </w:tcBorders>
            <w:shd w:val="clear" w:color="auto" w:fill="auto"/>
            <w:noWrap/>
            <w:vAlign w:val="center"/>
            <w:hideMark/>
          </w:tcPr>
          <w:p w:rsidR="00F07E05" w:rsidRDefault="00F07E05" w:rsidP="008A253E">
            <w:pPr>
              <w:jc w:val="center"/>
              <w:rPr>
                <w:color w:val="000000"/>
                <w:sz w:val="20"/>
                <w:szCs w:val="20"/>
              </w:rPr>
            </w:pPr>
            <w:r>
              <w:rPr>
                <w:color w:val="000000"/>
                <w:sz w:val="20"/>
                <w:szCs w:val="20"/>
              </w:rPr>
              <w:t>2 547,00</w:t>
            </w:r>
          </w:p>
        </w:tc>
        <w:tc>
          <w:tcPr>
            <w:tcW w:w="1405" w:type="dxa"/>
            <w:tcBorders>
              <w:top w:val="nil"/>
              <w:left w:val="nil"/>
              <w:bottom w:val="single" w:sz="4" w:space="0" w:color="auto"/>
              <w:right w:val="single" w:sz="4" w:space="0" w:color="auto"/>
            </w:tcBorders>
            <w:shd w:val="clear" w:color="auto" w:fill="auto"/>
            <w:noWrap/>
            <w:vAlign w:val="center"/>
            <w:hideMark/>
          </w:tcPr>
          <w:p w:rsidR="00F07E05" w:rsidRDefault="00F07E05" w:rsidP="008A253E">
            <w:pPr>
              <w:jc w:val="center"/>
              <w:rPr>
                <w:b/>
                <w:bCs/>
                <w:color w:val="000000"/>
                <w:sz w:val="20"/>
                <w:szCs w:val="20"/>
              </w:rPr>
            </w:pPr>
            <w:r>
              <w:rPr>
                <w:b/>
                <w:bCs/>
                <w:color w:val="000000"/>
                <w:sz w:val="20"/>
                <w:szCs w:val="20"/>
              </w:rPr>
              <w:t>636 750,00</w:t>
            </w:r>
          </w:p>
        </w:tc>
        <w:tc>
          <w:tcPr>
            <w:tcW w:w="1288" w:type="dxa"/>
            <w:tcBorders>
              <w:top w:val="nil"/>
              <w:left w:val="nil"/>
              <w:bottom w:val="single" w:sz="4" w:space="0" w:color="auto"/>
              <w:right w:val="single" w:sz="4" w:space="0" w:color="auto"/>
            </w:tcBorders>
            <w:shd w:val="clear" w:color="auto" w:fill="auto"/>
            <w:noWrap/>
            <w:vAlign w:val="center"/>
            <w:hideMark/>
          </w:tcPr>
          <w:p w:rsidR="00F07E05" w:rsidRDefault="00F07E05" w:rsidP="008A253E">
            <w:pPr>
              <w:jc w:val="center"/>
              <w:rPr>
                <w:color w:val="000000"/>
                <w:sz w:val="20"/>
                <w:szCs w:val="20"/>
              </w:rPr>
            </w:pPr>
            <w:r>
              <w:rPr>
                <w:color w:val="000000"/>
                <w:sz w:val="20"/>
                <w:szCs w:val="20"/>
              </w:rPr>
              <w:t>250,00</w:t>
            </w:r>
          </w:p>
        </w:tc>
        <w:tc>
          <w:tcPr>
            <w:tcW w:w="1742" w:type="dxa"/>
            <w:tcBorders>
              <w:top w:val="nil"/>
              <w:left w:val="nil"/>
              <w:bottom w:val="single" w:sz="4" w:space="0" w:color="auto"/>
              <w:right w:val="single" w:sz="4" w:space="0" w:color="auto"/>
            </w:tcBorders>
            <w:shd w:val="clear" w:color="auto" w:fill="auto"/>
            <w:noWrap/>
            <w:vAlign w:val="center"/>
            <w:hideMark/>
          </w:tcPr>
          <w:p w:rsidR="00F07E05" w:rsidRDefault="00F07E05" w:rsidP="008A253E">
            <w:pPr>
              <w:jc w:val="center"/>
              <w:rPr>
                <w:color w:val="000000"/>
                <w:sz w:val="20"/>
                <w:szCs w:val="20"/>
              </w:rPr>
            </w:pPr>
            <w:r>
              <w:rPr>
                <w:color w:val="000000"/>
                <w:sz w:val="20"/>
                <w:szCs w:val="20"/>
              </w:rPr>
              <w:t>2 547,00</w:t>
            </w:r>
          </w:p>
        </w:tc>
        <w:tc>
          <w:tcPr>
            <w:tcW w:w="1376" w:type="dxa"/>
            <w:tcBorders>
              <w:top w:val="nil"/>
              <w:left w:val="nil"/>
              <w:bottom w:val="single" w:sz="4" w:space="0" w:color="auto"/>
              <w:right w:val="single" w:sz="4" w:space="0" w:color="auto"/>
            </w:tcBorders>
            <w:shd w:val="clear" w:color="auto" w:fill="auto"/>
            <w:noWrap/>
            <w:vAlign w:val="center"/>
            <w:hideMark/>
          </w:tcPr>
          <w:p w:rsidR="00F07E05" w:rsidRDefault="00F07E05" w:rsidP="008A253E">
            <w:pPr>
              <w:jc w:val="center"/>
              <w:rPr>
                <w:b/>
                <w:bCs/>
                <w:color w:val="000000"/>
                <w:sz w:val="20"/>
                <w:szCs w:val="20"/>
              </w:rPr>
            </w:pPr>
            <w:r>
              <w:rPr>
                <w:b/>
                <w:bCs/>
                <w:color w:val="000000"/>
                <w:sz w:val="20"/>
                <w:szCs w:val="20"/>
              </w:rPr>
              <w:t>636 750,00</w:t>
            </w:r>
          </w:p>
        </w:tc>
        <w:tc>
          <w:tcPr>
            <w:tcW w:w="1134" w:type="dxa"/>
            <w:tcBorders>
              <w:top w:val="nil"/>
              <w:left w:val="nil"/>
              <w:bottom w:val="single" w:sz="4" w:space="0" w:color="auto"/>
              <w:right w:val="single" w:sz="4" w:space="0" w:color="auto"/>
            </w:tcBorders>
            <w:shd w:val="clear" w:color="auto" w:fill="auto"/>
            <w:noWrap/>
            <w:vAlign w:val="center"/>
            <w:hideMark/>
          </w:tcPr>
          <w:p w:rsidR="00F07E05" w:rsidRDefault="00F07E05" w:rsidP="008A253E">
            <w:pPr>
              <w:jc w:val="center"/>
              <w:rPr>
                <w:color w:val="000000"/>
                <w:sz w:val="20"/>
                <w:szCs w:val="20"/>
              </w:rPr>
            </w:pPr>
            <w:r>
              <w:rPr>
                <w:color w:val="000000"/>
                <w:sz w:val="20"/>
                <w:szCs w:val="20"/>
              </w:rPr>
              <w:t>250,00</w:t>
            </w:r>
          </w:p>
        </w:tc>
        <w:tc>
          <w:tcPr>
            <w:tcW w:w="1276" w:type="dxa"/>
            <w:tcBorders>
              <w:top w:val="nil"/>
              <w:left w:val="nil"/>
              <w:bottom w:val="single" w:sz="4" w:space="0" w:color="auto"/>
              <w:right w:val="single" w:sz="4" w:space="0" w:color="auto"/>
            </w:tcBorders>
            <w:shd w:val="clear" w:color="auto" w:fill="auto"/>
            <w:noWrap/>
            <w:vAlign w:val="center"/>
            <w:hideMark/>
          </w:tcPr>
          <w:p w:rsidR="00F07E05" w:rsidRDefault="00F07E05" w:rsidP="008A253E">
            <w:pPr>
              <w:jc w:val="center"/>
              <w:rPr>
                <w:color w:val="000000"/>
                <w:sz w:val="20"/>
                <w:szCs w:val="20"/>
              </w:rPr>
            </w:pPr>
            <w:r>
              <w:rPr>
                <w:color w:val="000000"/>
                <w:sz w:val="20"/>
                <w:szCs w:val="20"/>
              </w:rPr>
              <w:t>2 547,00</w:t>
            </w:r>
          </w:p>
        </w:tc>
      </w:tr>
      <w:tr w:rsidR="00F07E05" w:rsidTr="008A253E">
        <w:trPr>
          <w:gridAfter w:val="1"/>
          <w:wAfter w:w="50" w:type="dxa"/>
          <w:trHeight w:val="270"/>
        </w:trPr>
        <w:tc>
          <w:tcPr>
            <w:tcW w:w="486" w:type="dxa"/>
            <w:vMerge/>
            <w:tcBorders>
              <w:top w:val="nil"/>
              <w:left w:val="single" w:sz="4" w:space="0" w:color="auto"/>
              <w:bottom w:val="nil"/>
              <w:right w:val="single" w:sz="4" w:space="0" w:color="auto"/>
            </w:tcBorders>
            <w:shd w:val="clear" w:color="auto" w:fill="auto"/>
            <w:vAlign w:val="center"/>
            <w:hideMark/>
          </w:tcPr>
          <w:p w:rsidR="00F07E05" w:rsidRDefault="00F07E05" w:rsidP="008A253E">
            <w:pPr>
              <w:rPr>
                <w:color w:val="000000"/>
                <w:sz w:val="20"/>
                <w:szCs w:val="20"/>
              </w:rPr>
            </w:pPr>
          </w:p>
        </w:tc>
        <w:tc>
          <w:tcPr>
            <w:tcW w:w="1715" w:type="dxa"/>
            <w:vMerge/>
            <w:tcBorders>
              <w:top w:val="nil"/>
              <w:left w:val="single" w:sz="4" w:space="0" w:color="auto"/>
              <w:bottom w:val="nil"/>
              <w:right w:val="single" w:sz="4" w:space="0" w:color="auto"/>
            </w:tcBorders>
            <w:shd w:val="clear" w:color="auto" w:fill="auto"/>
            <w:vAlign w:val="center"/>
            <w:hideMark/>
          </w:tcPr>
          <w:p w:rsidR="00F07E05" w:rsidRDefault="00F07E05" w:rsidP="008A253E">
            <w:pPr>
              <w:rPr>
                <w:sz w:val="20"/>
                <w:szCs w:val="20"/>
              </w:rPr>
            </w:pPr>
          </w:p>
        </w:tc>
        <w:tc>
          <w:tcPr>
            <w:tcW w:w="1769" w:type="dxa"/>
            <w:tcBorders>
              <w:top w:val="nil"/>
              <w:left w:val="nil"/>
              <w:bottom w:val="single" w:sz="4" w:space="0" w:color="auto"/>
              <w:right w:val="single" w:sz="4" w:space="0" w:color="auto"/>
            </w:tcBorders>
            <w:shd w:val="clear" w:color="auto" w:fill="auto"/>
            <w:vAlign w:val="center"/>
            <w:hideMark/>
          </w:tcPr>
          <w:p w:rsidR="00F07E05" w:rsidRDefault="00F07E05" w:rsidP="008A253E">
            <w:pPr>
              <w:rPr>
                <w:color w:val="000000"/>
                <w:sz w:val="20"/>
                <w:szCs w:val="20"/>
              </w:rPr>
            </w:pPr>
            <w:r>
              <w:rPr>
                <w:color w:val="000000"/>
                <w:sz w:val="20"/>
                <w:szCs w:val="20"/>
              </w:rPr>
              <w:t>горячее водоснабжение</w:t>
            </w:r>
          </w:p>
        </w:tc>
        <w:tc>
          <w:tcPr>
            <w:tcW w:w="1417" w:type="dxa"/>
            <w:tcBorders>
              <w:top w:val="nil"/>
              <w:left w:val="nil"/>
              <w:bottom w:val="single" w:sz="4" w:space="0" w:color="auto"/>
              <w:right w:val="single" w:sz="4" w:space="0" w:color="auto"/>
            </w:tcBorders>
            <w:shd w:val="clear" w:color="auto" w:fill="auto"/>
            <w:noWrap/>
            <w:vAlign w:val="center"/>
            <w:hideMark/>
          </w:tcPr>
          <w:p w:rsidR="00F07E05" w:rsidRDefault="00F07E05" w:rsidP="008A253E">
            <w:pPr>
              <w:jc w:val="center"/>
              <w:rPr>
                <w:b/>
                <w:bCs/>
                <w:color w:val="000000"/>
                <w:sz w:val="20"/>
                <w:szCs w:val="20"/>
              </w:rPr>
            </w:pPr>
            <w:r>
              <w:rPr>
                <w:b/>
                <w:bCs/>
                <w:color w:val="000000"/>
                <w:sz w:val="20"/>
                <w:szCs w:val="20"/>
              </w:rPr>
              <w:t>187 960,00</w:t>
            </w:r>
          </w:p>
        </w:tc>
        <w:tc>
          <w:tcPr>
            <w:tcW w:w="1276" w:type="dxa"/>
            <w:tcBorders>
              <w:top w:val="nil"/>
              <w:left w:val="nil"/>
              <w:bottom w:val="single" w:sz="4" w:space="0" w:color="auto"/>
              <w:right w:val="single" w:sz="4" w:space="0" w:color="auto"/>
            </w:tcBorders>
            <w:shd w:val="clear" w:color="auto" w:fill="auto"/>
            <w:noWrap/>
            <w:vAlign w:val="center"/>
            <w:hideMark/>
          </w:tcPr>
          <w:p w:rsidR="00F07E05" w:rsidRDefault="00F07E05" w:rsidP="008A253E">
            <w:pPr>
              <w:jc w:val="center"/>
              <w:rPr>
                <w:color w:val="000000"/>
                <w:sz w:val="20"/>
                <w:szCs w:val="20"/>
              </w:rPr>
            </w:pPr>
            <w:r>
              <w:rPr>
                <w:color w:val="000000"/>
                <w:sz w:val="20"/>
                <w:szCs w:val="20"/>
              </w:rPr>
              <w:t>1 480,00</w:t>
            </w:r>
          </w:p>
        </w:tc>
        <w:tc>
          <w:tcPr>
            <w:tcW w:w="1276" w:type="dxa"/>
            <w:tcBorders>
              <w:top w:val="nil"/>
              <w:left w:val="nil"/>
              <w:bottom w:val="single" w:sz="4" w:space="0" w:color="auto"/>
              <w:right w:val="single" w:sz="4" w:space="0" w:color="auto"/>
            </w:tcBorders>
            <w:shd w:val="clear" w:color="auto" w:fill="auto"/>
            <w:noWrap/>
            <w:vAlign w:val="center"/>
            <w:hideMark/>
          </w:tcPr>
          <w:p w:rsidR="00F07E05" w:rsidRDefault="00F07E05" w:rsidP="008A253E">
            <w:pPr>
              <w:jc w:val="center"/>
              <w:rPr>
                <w:color w:val="000000"/>
                <w:sz w:val="20"/>
                <w:szCs w:val="20"/>
              </w:rPr>
            </w:pPr>
            <w:r>
              <w:rPr>
                <w:color w:val="000000"/>
                <w:sz w:val="20"/>
                <w:szCs w:val="20"/>
              </w:rPr>
              <w:t>127,00</w:t>
            </w:r>
          </w:p>
        </w:tc>
        <w:tc>
          <w:tcPr>
            <w:tcW w:w="1405" w:type="dxa"/>
            <w:tcBorders>
              <w:top w:val="nil"/>
              <w:left w:val="nil"/>
              <w:bottom w:val="single" w:sz="4" w:space="0" w:color="auto"/>
              <w:right w:val="single" w:sz="4" w:space="0" w:color="auto"/>
            </w:tcBorders>
            <w:shd w:val="clear" w:color="auto" w:fill="auto"/>
            <w:noWrap/>
            <w:vAlign w:val="center"/>
            <w:hideMark/>
          </w:tcPr>
          <w:p w:rsidR="00F07E05" w:rsidRDefault="00F07E05" w:rsidP="008A253E">
            <w:pPr>
              <w:jc w:val="center"/>
              <w:rPr>
                <w:b/>
                <w:bCs/>
                <w:color w:val="000000"/>
                <w:sz w:val="20"/>
                <w:szCs w:val="20"/>
              </w:rPr>
            </w:pPr>
            <w:r>
              <w:rPr>
                <w:b/>
                <w:bCs/>
                <w:color w:val="000000"/>
                <w:sz w:val="20"/>
                <w:szCs w:val="20"/>
              </w:rPr>
              <w:t>187 960,00</w:t>
            </w:r>
          </w:p>
        </w:tc>
        <w:tc>
          <w:tcPr>
            <w:tcW w:w="1288" w:type="dxa"/>
            <w:tcBorders>
              <w:top w:val="nil"/>
              <w:left w:val="nil"/>
              <w:bottom w:val="single" w:sz="4" w:space="0" w:color="auto"/>
              <w:right w:val="single" w:sz="4" w:space="0" w:color="auto"/>
            </w:tcBorders>
            <w:shd w:val="clear" w:color="auto" w:fill="auto"/>
            <w:noWrap/>
            <w:vAlign w:val="center"/>
            <w:hideMark/>
          </w:tcPr>
          <w:p w:rsidR="00F07E05" w:rsidRDefault="00F07E05" w:rsidP="008A253E">
            <w:pPr>
              <w:jc w:val="center"/>
              <w:rPr>
                <w:color w:val="000000"/>
                <w:sz w:val="20"/>
                <w:szCs w:val="20"/>
              </w:rPr>
            </w:pPr>
            <w:r>
              <w:rPr>
                <w:color w:val="000000"/>
                <w:sz w:val="20"/>
                <w:szCs w:val="20"/>
              </w:rPr>
              <w:t>1 480,00</w:t>
            </w:r>
          </w:p>
        </w:tc>
        <w:tc>
          <w:tcPr>
            <w:tcW w:w="1742" w:type="dxa"/>
            <w:tcBorders>
              <w:top w:val="nil"/>
              <w:left w:val="nil"/>
              <w:bottom w:val="single" w:sz="4" w:space="0" w:color="auto"/>
              <w:right w:val="single" w:sz="4" w:space="0" w:color="auto"/>
            </w:tcBorders>
            <w:shd w:val="clear" w:color="auto" w:fill="auto"/>
            <w:noWrap/>
            <w:vAlign w:val="center"/>
            <w:hideMark/>
          </w:tcPr>
          <w:p w:rsidR="00F07E05" w:rsidRDefault="00F07E05" w:rsidP="008A253E">
            <w:pPr>
              <w:jc w:val="center"/>
              <w:rPr>
                <w:color w:val="000000"/>
                <w:sz w:val="20"/>
                <w:szCs w:val="20"/>
              </w:rPr>
            </w:pPr>
            <w:r>
              <w:rPr>
                <w:color w:val="000000"/>
                <w:sz w:val="20"/>
                <w:szCs w:val="20"/>
              </w:rPr>
              <w:t>127,00</w:t>
            </w:r>
          </w:p>
        </w:tc>
        <w:tc>
          <w:tcPr>
            <w:tcW w:w="1376" w:type="dxa"/>
            <w:tcBorders>
              <w:top w:val="nil"/>
              <w:left w:val="nil"/>
              <w:bottom w:val="single" w:sz="4" w:space="0" w:color="auto"/>
              <w:right w:val="single" w:sz="4" w:space="0" w:color="auto"/>
            </w:tcBorders>
            <w:shd w:val="clear" w:color="auto" w:fill="auto"/>
            <w:noWrap/>
            <w:vAlign w:val="center"/>
            <w:hideMark/>
          </w:tcPr>
          <w:p w:rsidR="00F07E05" w:rsidRDefault="00F07E05" w:rsidP="008A253E">
            <w:pPr>
              <w:jc w:val="center"/>
              <w:rPr>
                <w:b/>
                <w:bCs/>
                <w:color w:val="000000"/>
                <w:sz w:val="20"/>
                <w:szCs w:val="20"/>
              </w:rPr>
            </w:pPr>
            <w:r>
              <w:rPr>
                <w:b/>
                <w:bCs/>
                <w:color w:val="000000"/>
                <w:sz w:val="20"/>
                <w:szCs w:val="20"/>
              </w:rPr>
              <w:t>187 960,00</w:t>
            </w:r>
          </w:p>
        </w:tc>
        <w:tc>
          <w:tcPr>
            <w:tcW w:w="1134" w:type="dxa"/>
            <w:tcBorders>
              <w:top w:val="nil"/>
              <w:left w:val="nil"/>
              <w:bottom w:val="single" w:sz="4" w:space="0" w:color="auto"/>
              <w:right w:val="single" w:sz="4" w:space="0" w:color="auto"/>
            </w:tcBorders>
            <w:shd w:val="clear" w:color="auto" w:fill="auto"/>
            <w:noWrap/>
            <w:vAlign w:val="center"/>
            <w:hideMark/>
          </w:tcPr>
          <w:p w:rsidR="00F07E05" w:rsidRDefault="00F07E05" w:rsidP="008A253E">
            <w:pPr>
              <w:jc w:val="center"/>
              <w:rPr>
                <w:color w:val="000000"/>
                <w:sz w:val="20"/>
                <w:szCs w:val="20"/>
              </w:rPr>
            </w:pPr>
            <w:r>
              <w:rPr>
                <w:color w:val="000000"/>
                <w:sz w:val="20"/>
                <w:szCs w:val="20"/>
              </w:rPr>
              <w:t>1 480,00</w:t>
            </w:r>
          </w:p>
        </w:tc>
        <w:tc>
          <w:tcPr>
            <w:tcW w:w="1276" w:type="dxa"/>
            <w:tcBorders>
              <w:top w:val="nil"/>
              <w:left w:val="nil"/>
              <w:bottom w:val="single" w:sz="4" w:space="0" w:color="auto"/>
              <w:right w:val="single" w:sz="4" w:space="0" w:color="auto"/>
            </w:tcBorders>
            <w:shd w:val="clear" w:color="auto" w:fill="auto"/>
            <w:noWrap/>
            <w:vAlign w:val="center"/>
            <w:hideMark/>
          </w:tcPr>
          <w:p w:rsidR="00F07E05" w:rsidRDefault="00F07E05" w:rsidP="008A253E">
            <w:pPr>
              <w:jc w:val="center"/>
              <w:rPr>
                <w:color w:val="000000"/>
                <w:sz w:val="20"/>
                <w:szCs w:val="20"/>
              </w:rPr>
            </w:pPr>
            <w:r>
              <w:rPr>
                <w:color w:val="000000"/>
                <w:sz w:val="20"/>
                <w:szCs w:val="20"/>
              </w:rPr>
              <w:t>127,00</w:t>
            </w:r>
          </w:p>
        </w:tc>
      </w:tr>
      <w:tr w:rsidR="00F07E05" w:rsidTr="008A253E">
        <w:trPr>
          <w:gridAfter w:val="1"/>
          <w:wAfter w:w="50" w:type="dxa"/>
          <w:trHeight w:val="270"/>
        </w:trPr>
        <w:tc>
          <w:tcPr>
            <w:tcW w:w="486" w:type="dxa"/>
            <w:vMerge/>
            <w:tcBorders>
              <w:top w:val="nil"/>
              <w:left w:val="single" w:sz="4" w:space="0" w:color="auto"/>
              <w:bottom w:val="nil"/>
              <w:right w:val="single" w:sz="4" w:space="0" w:color="auto"/>
            </w:tcBorders>
            <w:shd w:val="clear" w:color="auto" w:fill="auto"/>
            <w:vAlign w:val="center"/>
            <w:hideMark/>
          </w:tcPr>
          <w:p w:rsidR="00F07E05" w:rsidRDefault="00F07E05" w:rsidP="008A253E">
            <w:pPr>
              <w:rPr>
                <w:color w:val="000000"/>
                <w:sz w:val="20"/>
                <w:szCs w:val="20"/>
              </w:rPr>
            </w:pPr>
          </w:p>
        </w:tc>
        <w:tc>
          <w:tcPr>
            <w:tcW w:w="1715" w:type="dxa"/>
            <w:vMerge/>
            <w:tcBorders>
              <w:top w:val="nil"/>
              <w:left w:val="single" w:sz="4" w:space="0" w:color="auto"/>
              <w:bottom w:val="nil"/>
              <w:right w:val="single" w:sz="4" w:space="0" w:color="auto"/>
            </w:tcBorders>
            <w:shd w:val="clear" w:color="auto" w:fill="auto"/>
            <w:vAlign w:val="center"/>
            <w:hideMark/>
          </w:tcPr>
          <w:p w:rsidR="00F07E05" w:rsidRDefault="00F07E05" w:rsidP="008A253E">
            <w:pPr>
              <w:rPr>
                <w:sz w:val="20"/>
                <w:szCs w:val="20"/>
              </w:rPr>
            </w:pPr>
          </w:p>
        </w:tc>
        <w:tc>
          <w:tcPr>
            <w:tcW w:w="1769" w:type="dxa"/>
            <w:tcBorders>
              <w:top w:val="nil"/>
              <w:left w:val="nil"/>
              <w:bottom w:val="single" w:sz="4" w:space="0" w:color="auto"/>
              <w:right w:val="single" w:sz="4" w:space="0" w:color="auto"/>
            </w:tcBorders>
            <w:shd w:val="clear" w:color="auto" w:fill="auto"/>
            <w:vAlign w:val="center"/>
            <w:hideMark/>
          </w:tcPr>
          <w:p w:rsidR="00F07E05" w:rsidRDefault="00F07E05" w:rsidP="008A253E">
            <w:pPr>
              <w:rPr>
                <w:color w:val="000000"/>
                <w:sz w:val="20"/>
                <w:szCs w:val="20"/>
              </w:rPr>
            </w:pPr>
            <w:r>
              <w:rPr>
                <w:color w:val="000000"/>
                <w:sz w:val="20"/>
                <w:szCs w:val="20"/>
              </w:rPr>
              <w:t>холодное водоснабжение</w:t>
            </w:r>
          </w:p>
        </w:tc>
        <w:tc>
          <w:tcPr>
            <w:tcW w:w="1417" w:type="dxa"/>
            <w:tcBorders>
              <w:top w:val="nil"/>
              <w:left w:val="nil"/>
              <w:bottom w:val="single" w:sz="4" w:space="0" w:color="auto"/>
              <w:right w:val="single" w:sz="4" w:space="0" w:color="auto"/>
            </w:tcBorders>
            <w:shd w:val="clear" w:color="auto" w:fill="auto"/>
            <w:noWrap/>
            <w:vAlign w:val="center"/>
            <w:hideMark/>
          </w:tcPr>
          <w:p w:rsidR="00F07E05" w:rsidRDefault="00F07E05" w:rsidP="008A253E">
            <w:pPr>
              <w:jc w:val="center"/>
              <w:rPr>
                <w:b/>
                <w:bCs/>
                <w:color w:val="000000"/>
                <w:sz w:val="20"/>
                <w:szCs w:val="20"/>
              </w:rPr>
            </w:pPr>
            <w:r>
              <w:rPr>
                <w:b/>
                <w:bCs/>
                <w:color w:val="000000"/>
                <w:sz w:val="20"/>
                <w:szCs w:val="20"/>
              </w:rPr>
              <w:t>157 988,00</w:t>
            </w:r>
          </w:p>
        </w:tc>
        <w:tc>
          <w:tcPr>
            <w:tcW w:w="1276" w:type="dxa"/>
            <w:tcBorders>
              <w:top w:val="nil"/>
              <w:left w:val="nil"/>
              <w:bottom w:val="single" w:sz="4" w:space="0" w:color="auto"/>
              <w:right w:val="single" w:sz="4" w:space="0" w:color="auto"/>
            </w:tcBorders>
            <w:shd w:val="clear" w:color="auto" w:fill="auto"/>
            <w:noWrap/>
            <w:vAlign w:val="center"/>
            <w:hideMark/>
          </w:tcPr>
          <w:p w:rsidR="00F07E05" w:rsidRDefault="00F07E05" w:rsidP="008A253E">
            <w:pPr>
              <w:jc w:val="center"/>
              <w:rPr>
                <w:color w:val="000000"/>
                <w:sz w:val="20"/>
                <w:szCs w:val="20"/>
              </w:rPr>
            </w:pPr>
            <w:r>
              <w:rPr>
                <w:color w:val="000000"/>
                <w:sz w:val="20"/>
                <w:szCs w:val="20"/>
              </w:rPr>
              <w:t>1 244,00</w:t>
            </w:r>
          </w:p>
        </w:tc>
        <w:tc>
          <w:tcPr>
            <w:tcW w:w="1276" w:type="dxa"/>
            <w:tcBorders>
              <w:top w:val="nil"/>
              <w:left w:val="nil"/>
              <w:bottom w:val="single" w:sz="4" w:space="0" w:color="auto"/>
              <w:right w:val="single" w:sz="4" w:space="0" w:color="auto"/>
            </w:tcBorders>
            <w:shd w:val="clear" w:color="auto" w:fill="auto"/>
            <w:noWrap/>
            <w:vAlign w:val="center"/>
            <w:hideMark/>
          </w:tcPr>
          <w:p w:rsidR="00F07E05" w:rsidRDefault="00F07E05" w:rsidP="008A253E">
            <w:pPr>
              <w:jc w:val="center"/>
              <w:rPr>
                <w:color w:val="000000"/>
                <w:sz w:val="20"/>
                <w:szCs w:val="20"/>
              </w:rPr>
            </w:pPr>
            <w:r>
              <w:rPr>
                <w:color w:val="000000"/>
                <w:sz w:val="20"/>
                <w:szCs w:val="20"/>
              </w:rPr>
              <w:t>127,00</w:t>
            </w:r>
          </w:p>
        </w:tc>
        <w:tc>
          <w:tcPr>
            <w:tcW w:w="1405" w:type="dxa"/>
            <w:tcBorders>
              <w:top w:val="nil"/>
              <w:left w:val="nil"/>
              <w:bottom w:val="single" w:sz="4" w:space="0" w:color="auto"/>
              <w:right w:val="single" w:sz="4" w:space="0" w:color="auto"/>
            </w:tcBorders>
            <w:shd w:val="clear" w:color="auto" w:fill="auto"/>
            <w:noWrap/>
            <w:vAlign w:val="center"/>
            <w:hideMark/>
          </w:tcPr>
          <w:p w:rsidR="00F07E05" w:rsidRDefault="00F07E05" w:rsidP="008A253E">
            <w:pPr>
              <w:jc w:val="center"/>
              <w:rPr>
                <w:b/>
                <w:bCs/>
                <w:color w:val="000000"/>
                <w:sz w:val="20"/>
                <w:szCs w:val="20"/>
              </w:rPr>
            </w:pPr>
            <w:r>
              <w:rPr>
                <w:b/>
                <w:bCs/>
                <w:color w:val="000000"/>
                <w:sz w:val="20"/>
                <w:szCs w:val="20"/>
              </w:rPr>
              <w:t>157 988,00</w:t>
            </w:r>
          </w:p>
        </w:tc>
        <w:tc>
          <w:tcPr>
            <w:tcW w:w="1288" w:type="dxa"/>
            <w:tcBorders>
              <w:top w:val="nil"/>
              <w:left w:val="nil"/>
              <w:bottom w:val="single" w:sz="4" w:space="0" w:color="auto"/>
              <w:right w:val="single" w:sz="4" w:space="0" w:color="auto"/>
            </w:tcBorders>
            <w:shd w:val="clear" w:color="auto" w:fill="auto"/>
            <w:noWrap/>
            <w:vAlign w:val="center"/>
            <w:hideMark/>
          </w:tcPr>
          <w:p w:rsidR="00F07E05" w:rsidRDefault="00F07E05" w:rsidP="008A253E">
            <w:pPr>
              <w:jc w:val="center"/>
              <w:rPr>
                <w:color w:val="000000"/>
                <w:sz w:val="20"/>
                <w:szCs w:val="20"/>
              </w:rPr>
            </w:pPr>
            <w:r>
              <w:rPr>
                <w:color w:val="000000"/>
                <w:sz w:val="20"/>
                <w:szCs w:val="20"/>
              </w:rPr>
              <w:t>1 244,00</w:t>
            </w:r>
          </w:p>
        </w:tc>
        <w:tc>
          <w:tcPr>
            <w:tcW w:w="1742" w:type="dxa"/>
            <w:tcBorders>
              <w:top w:val="nil"/>
              <w:left w:val="nil"/>
              <w:bottom w:val="single" w:sz="4" w:space="0" w:color="auto"/>
              <w:right w:val="single" w:sz="4" w:space="0" w:color="auto"/>
            </w:tcBorders>
            <w:shd w:val="clear" w:color="auto" w:fill="auto"/>
            <w:noWrap/>
            <w:vAlign w:val="center"/>
            <w:hideMark/>
          </w:tcPr>
          <w:p w:rsidR="00F07E05" w:rsidRDefault="00F07E05" w:rsidP="008A253E">
            <w:pPr>
              <w:jc w:val="center"/>
              <w:rPr>
                <w:color w:val="000000"/>
                <w:sz w:val="20"/>
                <w:szCs w:val="20"/>
              </w:rPr>
            </w:pPr>
            <w:r>
              <w:rPr>
                <w:color w:val="000000"/>
                <w:sz w:val="20"/>
                <w:szCs w:val="20"/>
              </w:rPr>
              <w:t>127,00</w:t>
            </w:r>
          </w:p>
        </w:tc>
        <w:tc>
          <w:tcPr>
            <w:tcW w:w="1376" w:type="dxa"/>
            <w:tcBorders>
              <w:top w:val="nil"/>
              <w:left w:val="nil"/>
              <w:bottom w:val="single" w:sz="4" w:space="0" w:color="auto"/>
              <w:right w:val="single" w:sz="4" w:space="0" w:color="auto"/>
            </w:tcBorders>
            <w:shd w:val="clear" w:color="auto" w:fill="auto"/>
            <w:noWrap/>
            <w:vAlign w:val="center"/>
            <w:hideMark/>
          </w:tcPr>
          <w:p w:rsidR="00F07E05" w:rsidRDefault="00F07E05" w:rsidP="008A253E">
            <w:pPr>
              <w:jc w:val="center"/>
              <w:rPr>
                <w:b/>
                <w:bCs/>
                <w:color w:val="000000"/>
                <w:sz w:val="20"/>
                <w:szCs w:val="20"/>
              </w:rPr>
            </w:pPr>
            <w:r>
              <w:rPr>
                <w:b/>
                <w:bCs/>
                <w:color w:val="000000"/>
                <w:sz w:val="20"/>
                <w:szCs w:val="20"/>
              </w:rPr>
              <w:t>157 988,00</w:t>
            </w:r>
          </w:p>
        </w:tc>
        <w:tc>
          <w:tcPr>
            <w:tcW w:w="1134" w:type="dxa"/>
            <w:tcBorders>
              <w:top w:val="nil"/>
              <w:left w:val="nil"/>
              <w:bottom w:val="single" w:sz="4" w:space="0" w:color="auto"/>
              <w:right w:val="single" w:sz="4" w:space="0" w:color="auto"/>
            </w:tcBorders>
            <w:shd w:val="clear" w:color="auto" w:fill="auto"/>
            <w:noWrap/>
            <w:vAlign w:val="center"/>
            <w:hideMark/>
          </w:tcPr>
          <w:p w:rsidR="00F07E05" w:rsidRDefault="00F07E05" w:rsidP="008A253E">
            <w:pPr>
              <w:jc w:val="center"/>
              <w:rPr>
                <w:color w:val="000000"/>
                <w:sz w:val="20"/>
                <w:szCs w:val="20"/>
              </w:rPr>
            </w:pPr>
            <w:r>
              <w:rPr>
                <w:color w:val="000000"/>
                <w:sz w:val="20"/>
                <w:szCs w:val="20"/>
              </w:rPr>
              <w:t>1 244,00</w:t>
            </w:r>
          </w:p>
        </w:tc>
        <w:tc>
          <w:tcPr>
            <w:tcW w:w="1276" w:type="dxa"/>
            <w:tcBorders>
              <w:top w:val="nil"/>
              <w:left w:val="nil"/>
              <w:bottom w:val="single" w:sz="4" w:space="0" w:color="auto"/>
              <w:right w:val="single" w:sz="4" w:space="0" w:color="auto"/>
            </w:tcBorders>
            <w:shd w:val="clear" w:color="auto" w:fill="auto"/>
            <w:noWrap/>
            <w:vAlign w:val="center"/>
            <w:hideMark/>
          </w:tcPr>
          <w:p w:rsidR="00F07E05" w:rsidRDefault="00F07E05" w:rsidP="008A253E">
            <w:pPr>
              <w:jc w:val="center"/>
              <w:rPr>
                <w:color w:val="000000"/>
                <w:sz w:val="20"/>
                <w:szCs w:val="20"/>
              </w:rPr>
            </w:pPr>
            <w:r>
              <w:rPr>
                <w:color w:val="000000"/>
                <w:sz w:val="20"/>
                <w:szCs w:val="20"/>
              </w:rPr>
              <w:t>127,00</w:t>
            </w:r>
          </w:p>
        </w:tc>
      </w:tr>
      <w:tr w:rsidR="00F07E05" w:rsidTr="008A253E">
        <w:trPr>
          <w:gridAfter w:val="1"/>
          <w:wAfter w:w="50" w:type="dxa"/>
          <w:trHeight w:val="270"/>
        </w:trPr>
        <w:tc>
          <w:tcPr>
            <w:tcW w:w="486" w:type="dxa"/>
            <w:vMerge/>
            <w:tcBorders>
              <w:top w:val="nil"/>
              <w:left w:val="single" w:sz="4" w:space="0" w:color="auto"/>
              <w:bottom w:val="nil"/>
              <w:right w:val="single" w:sz="4" w:space="0" w:color="auto"/>
            </w:tcBorders>
            <w:shd w:val="clear" w:color="auto" w:fill="auto"/>
            <w:vAlign w:val="center"/>
            <w:hideMark/>
          </w:tcPr>
          <w:p w:rsidR="00F07E05" w:rsidRDefault="00F07E05" w:rsidP="008A253E">
            <w:pPr>
              <w:rPr>
                <w:color w:val="000000"/>
                <w:sz w:val="20"/>
                <w:szCs w:val="20"/>
              </w:rPr>
            </w:pPr>
          </w:p>
        </w:tc>
        <w:tc>
          <w:tcPr>
            <w:tcW w:w="1715" w:type="dxa"/>
            <w:vMerge/>
            <w:tcBorders>
              <w:top w:val="nil"/>
              <w:left w:val="single" w:sz="4" w:space="0" w:color="auto"/>
              <w:bottom w:val="nil"/>
              <w:right w:val="single" w:sz="4" w:space="0" w:color="auto"/>
            </w:tcBorders>
            <w:shd w:val="clear" w:color="auto" w:fill="auto"/>
            <w:vAlign w:val="center"/>
            <w:hideMark/>
          </w:tcPr>
          <w:p w:rsidR="00F07E05" w:rsidRDefault="00F07E05" w:rsidP="008A253E">
            <w:pPr>
              <w:rPr>
                <w:sz w:val="20"/>
                <w:szCs w:val="20"/>
              </w:rPr>
            </w:pPr>
          </w:p>
        </w:tc>
        <w:tc>
          <w:tcPr>
            <w:tcW w:w="1769" w:type="dxa"/>
            <w:tcBorders>
              <w:top w:val="nil"/>
              <w:left w:val="nil"/>
              <w:bottom w:val="single" w:sz="4" w:space="0" w:color="auto"/>
              <w:right w:val="single" w:sz="4" w:space="0" w:color="auto"/>
            </w:tcBorders>
            <w:shd w:val="clear" w:color="auto" w:fill="auto"/>
            <w:vAlign w:val="center"/>
            <w:hideMark/>
          </w:tcPr>
          <w:p w:rsidR="00F07E05" w:rsidRDefault="00F07E05" w:rsidP="008A253E">
            <w:pPr>
              <w:rPr>
                <w:color w:val="000000"/>
                <w:sz w:val="20"/>
                <w:szCs w:val="20"/>
              </w:rPr>
            </w:pPr>
            <w:r>
              <w:rPr>
                <w:color w:val="000000"/>
                <w:sz w:val="20"/>
                <w:szCs w:val="20"/>
              </w:rPr>
              <w:t>водоотведение</w:t>
            </w:r>
          </w:p>
        </w:tc>
        <w:tc>
          <w:tcPr>
            <w:tcW w:w="1417" w:type="dxa"/>
            <w:tcBorders>
              <w:top w:val="nil"/>
              <w:left w:val="nil"/>
              <w:bottom w:val="single" w:sz="4" w:space="0" w:color="auto"/>
              <w:right w:val="single" w:sz="4" w:space="0" w:color="auto"/>
            </w:tcBorders>
            <w:shd w:val="clear" w:color="auto" w:fill="auto"/>
            <w:noWrap/>
            <w:vAlign w:val="center"/>
            <w:hideMark/>
          </w:tcPr>
          <w:p w:rsidR="00F07E05" w:rsidRDefault="00F07E05" w:rsidP="008A253E">
            <w:pPr>
              <w:jc w:val="center"/>
              <w:rPr>
                <w:b/>
                <w:bCs/>
                <w:color w:val="000000"/>
                <w:sz w:val="20"/>
                <w:szCs w:val="20"/>
              </w:rPr>
            </w:pPr>
            <w:r>
              <w:rPr>
                <w:b/>
                <w:bCs/>
                <w:color w:val="000000"/>
                <w:sz w:val="20"/>
                <w:szCs w:val="20"/>
              </w:rPr>
              <w:t>158 750,00</w:t>
            </w:r>
          </w:p>
        </w:tc>
        <w:tc>
          <w:tcPr>
            <w:tcW w:w="1276" w:type="dxa"/>
            <w:tcBorders>
              <w:top w:val="nil"/>
              <w:left w:val="nil"/>
              <w:bottom w:val="single" w:sz="4" w:space="0" w:color="auto"/>
              <w:right w:val="single" w:sz="4" w:space="0" w:color="auto"/>
            </w:tcBorders>
            <w:shd w:val="clear" w:color="auto" w:fill="auto"/>
            <w:noWrap/>
            <w:vAlign w:val="center"/>
            <w:hideMark/>
          </w:tcPr>
          <w:p w:rsidR="00F07E05" w:rsidRDefault="00F07E05" w:rsidP="008A253E">
            <w:pPr>
              <w:jc w:val="center"/>
              <w:rPr>
                <w:color w:val="000000"/>
                <w:sz w:val="20"/>
                <w:szCs w:val="20"/>
              </w:rPr>
            </w:pPr>
            <w:r>
              <w:rPr>
                <w:color w:val="000000"/>
                <w:sz w:val="20"/>
                <w:szCs w:val="20"/>
              </w:rPr>
              <w:t>1 250,00</w:t>
            </w:r>
          </w:p>
        </w:tc>
        <w:tc>
          <w:tcPr>
            <w:tcW w:w="1276" w:type="dxa"/>
            <w:tcBorders>
              <w:top w:val="nil"/>
              <w:left w:val="nil"/>
              <w:bottom w:val="single" w:sz="4" w:space="0" w:color="auto"/>
              <w:right w:val="single" w:sz="4" w:space="0" w:color="auto"/>
            </w:tcBorders>
            <w:shd w:val="clear" w:color="auto" w:fill="auto"/>
            <w:noWrap/>
            <w:vAlign w:val="center"/>
            <w:hideMark/>
          </w:tcPr>
          <w:p w:rsidR="00F07E05" w:rsidRDefault="00F07E05" w:rsidP="008A253E">
            <w:pPr>
              <w:jc w:val="center"/>
              <w:rPr>
                <w:color w:val="000000"/>
                <w:sz w:val="20"/>
                <w:szCs w:val="20"/>
              </w:rPr>
            </w:pPr>
            <w:r>
              <w:rPr>
                <w:color w:val="000000"/>
                <w:sz w:val="20"/>
                <w:szCs w:val="20"/>
              </w:rPr>
              <w:t>127,00</w:t>
            </w:r>
          </w:p>
        </w:tc>
        <w:tc>
          <w:tcPr>
            <w:tcW w:w="1405" w:type="dxa"/>
            <w:tcBorders>
              <w:top w:val="nil"/>
              <w:left w:val="nil"/>
              <w:bottom w:val="single" w:sz="4" w:space="0" w:color="auto"/>
              <w:right w:val="single" w:sz="4" w:space="0" w:color="auto"/>
            </w:tcBorders>
            <w:shd w:val="clear" w:color="auto" w:fill="auto"/>
            <w:noWrap/>
            <w:vAlign w:val="center"/>
            <w:hideMark/>
          </w:tcPr>
          <w:p w:rsidR="00F07E05" w:rsidRDefault="00F07E05" w:rsidP="008A253E">
            <w:pPr>
              <w:jc w:val="center"/>
              <w:rPr>
                <w:b/>
                <w:bCs/>
                <w:color w:val="000000"/>
                <w:sz w:val="20"/>
                <w:szCs w:val="20"/>
              </w:rPr>
            </w:pPr>
            <w:r>
              <w:rPr>
                <w:b/>
                <w:bCs/>
                <w:color w:val="000000"/>
                <w:sz w:val="20"/>
                <w:szCs w:val="20"/>
              </w:rPr>
              <w:t>158 750,00</w:t>
            </w:r>
          </w:p>
        </w:tc>
        <w:tc>
          <w:tcPr>
            <w:tcW w:w="1288" w:type="dxa"/>
            <w:tcBorders>
              <w:top w:val="nil"/>
              <w:left w:val="nil"/>
              <w:bottom w:val="single" w:sz="4" w:space="0" w:color="auto"/>
              <w:right w:val="single" w:sz="4" w:space="0" w:color="auto"/>
            </w:tcBorders>
            <w:shd w:val="clear" w:color="auto" w:fill="auto"/>
            <w:noWrap/>
            <w:vAlign w:val="center"/>
            <w:hideMark/>
          </w:tcPr>
          <w:p w:rsidR="00F07E05" w:rsidRDefault="00F07E05" w:rsidP="008A253E">
            <w:pPr>
              <w:jc w:val="center"/>
              <w:rPr>
                <w:color w:val="000000"/>
                <w:sz w:val="20"/>
                <w:szCs w:val="20"/>
              </w:rPr>
            </w:pPr>
            <w:r>
              <w:rPr>
                <w:color w:val="000000"/>
                <w:sz w:val="20"/>
                <w:szCs w:val="20"/>
              </w:rPr>
              <w:t>1 250,00</w:t>
            </w:r>
          </w:p>
        </w:tc>
        <w:tc>
          <w:tcPr>
            <w:tcW w:w="1742" w:type="dxa"/>
            <w:tcBorders>
              <w:top w:val="nil"/>
              <w:left w:val="nil"/>
              <w:bottom w:val="single" w:sz="4" w:space="0" w:color="auto"/>
              <w:right w:val="single" w:sz="4" w:space="0" w:color="auto"/>
            </w:tcBorders>
            <w:shd w:val="clear" w:color="auto" w:fill="auto"/>
            <w:noWrap/>
            <w:vAlign w:val="center"/>
            <w:hideMark/>
          </w:tcPr>
          <w:p w:rsidR="00F07E05" w:rsidRDefault="00F07E05" w:rsidP="008A253E">
            <w:pPr>
              <w:jc w:val="center"/>
              <w:rPr>
                <w:color w:val="000000"/>
                <w:sz w:val="20"/>
                <w:szCs w:val="20"/>
              </w:rPr>
            </w:pPr>
            <w:r>
              <w:rPr>
                <w:color w:val="000000"/>
                <w:sz w:val="20"/>
                <w:szCs w:val="20"/>
              </w:rPr>
              <w:t>127,00</w:t>
            </w:r>
          </w:p>
        </w:tc>
        <w:tc>
          <w:tcPr>
            <w:tcW w:w="1376" w:type="dxa"/>
            <w:tcBorders>
              <w:top w:val="nil"/>
              <w:left w:val="nil"/>
              <w:bottom w:val="single" w:sz="4" w:space="0" w:color="auto"/>
              <w:right w:val="single" w:sz="4" w:space="0" w:color="auto"/>
            </w:tcBorders>
            <w:shd w:val="clear" w:color="auto" w:fill="auto"/>
            <w:noWrap/>
            <w:vAlign w:val="center"/>
            <w:hideMark/>
          </w:tcPr>
          <w:p w:rsidR="00F07E05" w:rsidRDefault="00F07E05" w:rsidP="008A253E">
            <w:pPr>
              <w:jc w:val="center"/>
              <w:rPr>
                <w:b/>
                <w:bCs/>
                <w:color w:val="000000"/>
                <w:sz w:val="20"/>
                <w:szCs w:val="20"/>
              </w:rPr>
            </w:pPr>
            <w:r>
              <w:rPr>
                <w:b/>
                <w:bCs/>
                <w:color w:val="000000"/>
                <w:sz w:val="20"/>
                <w:szCs w:val="20"/>
              </w:rPr>
              <w:t>158 750,00</w:t>
            </w:r>
          </w:p>
        </w:tc>
        <w:tc>
          <w:tcPr>
            <w:tcW w:w="1134" w:type="dxa"/>
            <w:tcBorders>
              <w:top w:val="nil"/>
              <w:left w:val="nil"/>
              <w:bottom w:val="single" w:sz="4" w:space="0" w:color="auto"/>
              <w:right w:val="single" w:sz="4" w:space="0" w:color="auto"/>
            </w:tcBorders>
            <w:shd w:val="clear" w:color="auto" w:fill="auto"/>
            <w:noWrap/>
            <w:vAlign w:val="center"/>
            <w:hideMark/>
          </w:tcPr>
          <w:p w:rsidR="00F07E05" w:rsidRDefault="00F07E05" w:rsidP="008A253E">
            <w:pPr>
              <w:jc w:val="center"/>
              <w:rPr>
                <w:color w:val="000000"/>
                <w:sz w:val="20"/>
                <w:szCs w:val="20"/>
              </w:rPr>
            </w:pPr>
            <w:r>
              <w:rPr>
                <w:color w:val="000000"/>
                <w:sz w:val="20"/>
                <w:szCs w:val="20"/>
              </w:rPr>
              <w:t>1 250,00</w:t>
            </w:r>
          </w:p>
        </w:tc>
        <w:tc>
          <w:tcPr>
            <w:tcW w:w="1276" w:type="dxa"/>
            <w:tcBorders>
              <w:top w:val="nil"/>
              <w:left w:val="nil"/>
              <w:bottom w:val="single" w:sz="4" w:space="0" w:color="auto"/>
              <w:right w:val="single" w:sz="4" w:space="0" w:color="auto"/>
            </w:tcBorders>
            <w:shd w:val="clear" w:color="auto" w:fill="auto"/>
            <w:noWrap/>
            <w:vAlign w:val="center"/>
            <w:hideMark/>
          </w:tcPr>
          <w:p w:rsidR="00F07E05" w:rsidRDefault="00F07E05" w:rsidP="008A253E">
            <w:pPr>
              <w:jc w:val="center"/>
              <w:rPr>
                <w:color w:val="000000"/>
                <w:sz w:val="20"/>
                <w:szCs w:val="20"/>
              </w:rPr>
            </w:pPr>
            <w:r>
              <w:rPr>
                <w:color w:val="000000"/>
                <w:sz w:val="20"/>
                <w:szCs w:val="20"/>
              </w:rPr>
              <w:t>127,00</w:t>
            </w:r>
          </w:p>
        </w:tc>
      </w:tr>
      <w:tr w:rsidR="00F07E05" w:rsidTr="008A253E">
        <w:trPr>
          <w:gridAfter w:val="1"/>
          <w:wAfter w:w="50" w:type="dxa"/>
          <w:trHeight w:val="270"/>
        </w:trPr>
        <w:tc>
          <w:tcPr>
            <w:tcW w:w="486" w:type="dxa"/>
            <w:vMerge/>
            <w:tcBorders>
              <w:top w:val="nil"/>
              <w:left w:val="single" w:sz="4" w:space="0" w:color="auto"/>
              <w:bottom w:val="nil"/>
              <w:right w:val="single" w:sz="4" w:space="0" w:color="auto"/>
            </w:tcBorders>
            <w:shd w:val="clear" w:color="auto" w:fill="auto"/>
            <w:vAlign w:val="center"/>
            <w:hideMark/>
          </w:tcPr>
          <w:p w:rsidR="00F07E05" w:rsidRDefault="00F07E05" w:rsidP="008A253E">
            <w:pPr>
              <w:rPr>
                <w:color w:val="000000"/>
                <w:sz w:val="20"/>
                <w:szCs w:val="20"/>
              </w:rPr>
            </w:pPr>
          </w:p>
        </w:tc>
        <w:tc>
          <w:tcPr>
            <w:tcW w:w="1715" w:type="dxa"/>
            <w:vMerge/>
            <w:tcBorders>
              <w:top w:val="nil"/>
              <w:left w:val="single" w:sz="4" w:space="0" w:color="auto"/>
              <w:bottom w:val="nil"/>
              <w:right w:val="single" w:sz="4" w:space="0" w:color="auto"/>
            </w:tcBorders>
            <w:shd w:val="clear" w:color="auto" w:fill="auto"/>
            <w:vAlign w:val="center"/>
            <w:hideMark/>
          </w:tcPr>
          <w:p w:rsidR="00F07E05" w:rsidRDefault="00F07E05" w:rsidP="008A253E">
            <w:pPr>
              <w:rPr>
                <w:sz w:val="20"/>
                <w:szCs w:val="20"/>
              </w:rPr>
            </w:pPr>
          </w:p>
        </w:tc>
        <w:tc>
          <w:tcPr>
            <w:tcW w:w="1769" w:type="dxa"/>
            <w:tcBorders>
              <w:top w:val="nil"/>
              <w:left w:val="nil"/>
              <w:bottom w:val="single" w:sz="4" w:space="0" w:color="auto"/>
              <w:right w:val="single" w:sz="4" w:space="0" w:color="auto"/>
            </w:tcBorders>
            <w:shd w:val="clear" w:color="auto" w:fill="auto"/>
            <w:vAlign w:val="center"/>
            <w:hideMark/>
          </w:tcPr>
          <w:p w:rsidR="00F07E05" w:rsidRDefault="00F07E05" w:rsidP="008A253E">
            <w:pPr>
              <w:rPr>
                <w:color w:val="000000"/>
                <w:sz w:val="20"/>
                <w:szCs w:val="20"/>
              </w:rPr>
            </w:pPr>
            <w:r>
              <w:rPr>
                <w:color w:val="000000"/>
                <w:sz w:val="20"/>
                <w:szCs w:val="20"/>
              </w:rPr>
              <w:t>содержание помещений</w:t>
            </w:r>
          </w:p>
        </w:tc>
        <w:tc>
          <w:tcPr>
            <w:tcW w:w="1417" w:type="dxa"/>
            <w:tcBorders>
              <w:top w:val="nil"/>
              <w:left w:val="nil"/>
              <w:bottom w:val="single" w:sz="4" w:space="0" w:color="auto"/>
              <w:right w:val="single" w:sz="4" w:space="0" w:color="auto"/>
            </w:tcBorders>
            <w:shd w:val="clear" w:color="auto" w:fill="auto"/>
            <w:noWrap/>
            <w:vAlign w:val="center"/>
            <w:hideMark/>
          </w:tcPr>
          <w:p w:rsidR="00F07E05" w:rsidRDefault="00F07E05" w:rsidP="008A253E">
            <w:pPr>
              <w:jc w:val="center"/>
              <w:rPr>
                <w:b/>
                <w:bCs/>
                <w:color w:val="000000"/>
                <w:sz w:val="20"/>
                <w:szCs w:val="20"/>
              </w:rPr>
            </w:pPr>
            <w:r>
              <w:rPr>
                <w:b/>
                <w:bCs/>
                <w:color w:val="000000"/>
                <w:sz w:val="20"/>
                <w:szCs w:val="20"/>
              </w:rPr>
              <w:t>25 680,00</w:t>
            </w:r>
          </w:p>
        </w:tc>
        <w:tc>
          <w:tcPr>
            <w:tcW w:w="1276" w:type="dxa"/>
            <w:tcBorders>
              <w:top w:val="nil"/>
              <w:left w:val="nil"/>
              <w:bottom w:val="single" w:sz="4" w:space="0" w:color="auto"/>
              <w:right w:val="single" w:sz="4" w:space="0" w:color="auto"/>
            </w:tcBorders>
            <w:shd w:val="clear" w:color="auto" w:fill="auto"/>
            <w:noWrap/>
            <w:vAlign w:val="center"/>
            <w:hideMark/>
          </w:tcPr>
          <w:p w:rsidR="00F07E05" w:rsidRDefault="00F07E05" w:rsidP="008A253E">
            <w:pPr>
              <w:jc w:val="center"/>
              <w:rPr>
                <w:color w:val="000000"/>
                <w:sz w:val="20"/>
                <w:szCs w:val="20"/>
              </w:rPr>
            </w:pPr>
            <w:r>
              <w:rPr>
                <w:color w:val="000000"/>
                <w:sz w:val="20"/>
                <w:szCs w:val="20"/>
              </w:rPr>
              <w:t>120,00</w:t>
            </w:r>
          </w:p>
        </w:tc>
        <w:tc>
          <w:tcPr>
            <w:tcW w:w="1276" w:type="dxa"/>
            <w:tcBorders>
              <w:top w:val="nil"/>
              <w:left w:val="nil"/>
              <w:bottom w:val="single" w:sz="4" w:space="0" w:color="auto"/>
              <w:right w:val="single" w:sz="4" w:space="0" w:color="auto"/>
            </w:tcBorders>
            <w:shd w:val="clear" w:color="auto" w:fill="auto"/>
            <w:noWrap/>
            <w:vAlign w:val="center"/>
            <w:hideMark/>
          </w:tcPr>
          <w:p w:rsidR="00F07E05" w:rsidRDefault="00F07E05" w:rsidP="008A253E">
            <w:pPr>
              <w:jc w:val="center"/>
              <w:rPr>
                <w:color w:val="000000"/>
                <w:sz w:val="20"/>
                <w:szCs w:val="20"/>
              </w:rPr>
            </w:pPr>
            <w:r>
              <w:rPr>
                <w:color w:val="000000"/>
                <w:sz w:val="20"/>
                <w:szCs w:val="20"/>
              </w:rPr>
              <w:t>214,00</w:t>
            </w:r>
          </w:p>
        </w:tc>
        <w:tc>
          <w:tcPr>
            <w:tcW w:w="1405" w:type="dxa"/>
            <w:tcBorders>
              <w:top w:val="nil"/>
              <w:left w:val="nil"/>
              <w:bottom w:val="single" w:sz="4" w:space="0" w:color="auto"/>
              <w:right w:val="single" w:sz="4" w:space="0" w:color="auto"/>
            </w:tcBorders>
            <w:shd w:val="clear" w:color="auto" w:fill="auto"/>
            <w:noWrap/>
            <w:vAlign w:val="center"/>
            <w:hideMark/>
          </w:tcPr>
          <w:p w:rsidR="00F07E05" w:rsidRDefault="00F07E05" w:rsidP="008A253E">
            <w:pPr>
              <w:jc w:val="center"/>
              <w:rPr>
                <w:b/>
                <w:bCs/>
                <w:color w:val="000000"/>
                <w:sz w:val="20"/>
                <w:szCs w:val="20"/>
              </w:rPr>
            </w:pPr>
            <w:r>
              <w:rPr>
                <w:b/>
                <w:bCs/>
                <w:color w:val="000000"/>
                <w:sz w:val="20"/>
                <w:szCs w:val="20"/>
              </w:rPr>
              <w:t>25 680,00</w:t>
            </w:r>
          </w:p>
        </w:tc>
        <w:tc>
          <w:tcPr>
            <w:tcW w:w="1288" w:type="dxa"/>
            <w:tcBorders>
              <w:top w:val="nil"/>
              <w:left w:val="nil"/>
              <w:bottom w:val="single" w:sz="4" w:space="0" w:color="auto"/>
              <w:right w:val="single" w:sz="4" w:space="0" w:color="auto"/>
            </w:tcBorders>
            <w:shd w:val="clear" w:color="auto" w:fill="auto"/>
            <w:noWrap/>
            <w:vAlign w:val="center"/>
            <w:hideMark/>
          </w:tcPr>
          <w:p w:rsidR="00F07E05" w:rsidRDefault="00F07E05" w:rsidP="008A253E">
            <w:pPr>
              <w:jc w:val="center"/>
              <w:rPr>
                <w:color w:val="000000"/>
                <w:sz w:val="20"/>
                <w:szCs w:val="20"/>
              </w:rPr>
            </w:pPr>
            <w:r>
              <w:rPr>
                <w:color w:val="000000"/>
                <w:sz w:val="20"/>
                <w:szCs w:val="20"/>
              </w:rPr>
              <w:t>120,00</w:t>
            </w:r>
          </w:p>
        </w:tc>
        <w:tc>
          <w:tcPr>
            <w:tcW w:w="1742" w:type="dxa"/>
            <w:tcBorders>
              <w:top w:val="nil"/>
              <w:left w:val="nil"/>
              <w:bottom w:val="single" w:sz="4" w:space="0" w:color="auto"/>
              <w:right w:val="single" w:sz="4" w:space="0" w:color="auto"/>
            </w:tcBorders>
            <w:shd w:val="clear" w:color="auto" w:fill="auto"/>
            <w:noWrap/>
            <w:vAlign w:val="center"/>
            <w:hideMark/>
          </w:tcPr>
          <w:p w:rsidR="00F07E05" w:rsidRDefault="00F07E05" w:rsidP="008A253E">
            <w:pPr>
              <w:jc w:val="center"/>
              <w:rPr>
                <w:color w:val="000000"/>
                <w:sz w:val="20"/>
                <w:szCs w:val="20"/>
              </w:rPr>
            </w:pPr>
            <w:r>
              <w:rPr>
                <w:color w:val="000000"/>
                <w:sz w:val="20"/>
                <w:szCs w:val="20"/>
              </w:rPr>
              <w:t>214,00</w:t>
            </w:r>
          </w:p>
        </w:tc>
        <w:tc>
          <w:tcPr>
            <w:tcW w:w="1376" w:type="dxa"/>
            <w:tcBorders>
              <w:top w:val="nil"/>
              <w:left w:val="nil"/>
              <w:bottom w:val="single" w:sz="4" w:space="0" w:color="auto"/>
              <w:right w:val="single" w:sz="4" w:space="0" w:color="auto"/>
            </w:tcBorders>
            <w:shd w:val="clear" w:color="auto" w:fill="auto"/>
            <w:noWrap/>
            <w:vAlign w:val="center"/>
            <w:hideMark/>
          </w:tcPr>
          <w:p w:rsidR="00F07E05" w:rsidRDefault="00F07E05" w:rsidP="008A253E">
            <w:pPr>
              <w:jc w:val="center"/>
              <w:rPr>
                <w:b/>
                <w:bCs/>
                <w:color w:val="000000"/>
                <w:sz w:val="20"/>
                <w:szCs w:val="20"/>
              </w:rPr>
            </w:pPr>
            <w:r>
              <w:rPr>
                <w:b/>
                <w:bCs/>
                <w:color w:val="000000"/>
                <w:sz w:val="20"/>
                <w:szCs w:val="20"/>
              </w:rPr>
              <w:t>25 680,00</w:t>
            </w:r>
          </w:p>
        </w:tc>
        <w:tc>
          <w:tcPr>
            <w:tcW w:w="1134" w:type="dxa"/>
            <w:tcBorders>
              <w:top w:val="nil"/>
              <w:left w:val="nil"/>
              <w:bottom w:val="single" w:sz="4" w:space="0" w:color="auto"/>
              <w:right w:val="single" w:sz="4" w:space="0" w:color="auto"/>
            </w:tcBorders>
            <w:shd w:val="clear" w:color="auto" w:fill="auto"/>
            <w:noWrap/>
            <w:vAlign w:val="center"/>
            <w:hideMark/>
          </w:tcPr>
          <w:p w:rsidR="00F07E05" w:rsidRDefault="00F07E05" w:rsidP="008A253E">
            <w:pPr>
              <w:jc w:val="center"/>
              <w:rPr>
                <w:color w:val="000000"/>
                <w:sz w:val="20"/>
                <w:szCs w:val="20"/>
              </w:rPr>
            </w:pPr>
            <w:r>
              <w:rPr>
                <w:color w:val="000000"/>
                <w:sz w:val="20"/>
                <w:szCs w:val="20"/>
              </w:rPr>
              <w:t>120,00</w:t>
            </w:r>
          </w:p>
        </w:tc>
        <w:tc>
          <w:tcPr>
            <w:tcW w:w="1276" w:type="dxa"/>
            <w:tcBorders>
              <w:top w:val="nil"/>
              <w:left w:val="nil"/>
              <w:bottom w:val="single" w:sz="4" w:space="0" w:color="auto"/>
              <w:right w:val="single" w:sz="4" w:space="0" w:color="auto"/>
            </w:tcBorders>
            <w:shd w:val="clear" w:color="auto" w:fill="auto"/>
            <w:noWrap/>
            <w:vAlign w:val="center"/>
            <w:hideMark/>
          </w:tcPr>
          <w:p w:rsidR="00F07E05" w:rsidRDefault="00F07E05" w:rsidP="008A253E">
            <w:pPr>
              <w:jc w:val="center"/>
              <w:rPr>
                <w:color w:val="000000"/>
                <w:sz w:val="20"/>
                <w:szCs w:val="20"/>
              </w:rPr>
            </w:pPr>
            <w:r>
              <w:rPr>
                <w:color w:val="000000"/>
                <w:sz w:val="20"/>
                <w:szCs w:val="20"/>
              </w:rPr>
              <w:t>214,00</w:t>
            </w:r>
          </w:p>
        </w:tc>
      </w:tr>
      <w:tr w:rsidR="00F07E05" w:rsidTr="008A253E">
        <w:trPr>
          <w:gridAfter w:val="1"/>
          <w:wAfter w:w="50" w:type="dxa"/>
          <w:trHeight w:val="270"/>
        </w:trPr>
        <w:tc>
          <w:tcPr>
            <w:tcW w:w="486" w:type="dxa"/>
            <w:vMerge/>
            <w:tcBorders>
              <w:top w:val="nil"/>
              <w:left w:val="single" w:sz="4" w:space="0" w:color="auto"/>
              <w:bottom w:val="nil"/>
              <w:right w:val="single" w:sz="4" w:space="0" w:color="auto"/>
            </w:tcBorders>
            <w:shd w:val="clear" w:color="auto" w:fill="auto"/>
            <w:vAlign w:val="center"/>
            <w:hideMark/>
          </w:tcPr>
          <w:p w:rsidR="00F07E05" w:rsidRDefault="00F07E05" w:rsidP="008A253E">
            <w:pPr>
              <w:rPr>
                <w:color w:val="000000"/>
                <w:sz w:val="20"/>
                <w:szCs w:val="20"/>
              </w:rPr>
            </w:pPr>
          </w:p>
        </w:tc>
        <w:tc>
          <w:tcPr>
            <w:tcW w:w="1715" w:type="dxa"/>
            <w:vMerge/>
            <w:tcBorders>
              <w:top w:val="nil"/>
              <w:left w:val="single" w:sz="4" w:space="0" w:color="auto"/>
              <w:bottom w:val="nil"/>
              <w:right w:val="single" w:sz="4" w:space="0" w:color="auto"/>
            </w:tcBorders>
            <w:shd w:val="clear" w:color="auto" w:fill="auto"/>
            <w:vAlign w:val="center"/>
            <w:hideMark/>
          </w:tcPr>
          <w:p w:rsidR="00F07E05" w:rsidRDefault="00F07E05" w:rsidP="008A253E">
            <w:pPr>
              <w:rPr>
                <w:sz w:val="20"/>
                <w:szCs w:val="20"/>
              </w:rPr>
            </w:pPr>
          </w:p>
        </w:tc>
        <w:tc>
          <w:tcPr>
            <w:tcW w:w="1769" w:type="dxa"/>
            <w:tcBorders>
              <w:top w:val="nil"/>
              <w:left w:val="nil"/>
              <w:bottom w:val="single" w:sz="4" w:space="0" w:color="auto"/>
              <w:right w:val="nil"/>
            </w:tcBorders>
            <w:shd w:val="clear" w:color="auto" w:fill="auto"/>
            <w:noWrap/>
            <w:vAlign w:val="center"/>
            <w:hideMark/>
          </w:tcPr>
          <w:p w:rsidR="00F07E05" w:rsidRDefault="00F07E05" w:rsidP="008A253E">
            <w:pPr>
              <w:jc w:val="center"/>
              <w:rPr>
                <w:b/>
                <w:bCs/>
                <w:color w:val="000000"/>
                <w:sz w:val="20"/>
                <w:szCs w:val="20"/>
              </w:rPr>
            </w:pPr>
            <w:r>
              <w:rPr>
                <w:b/>
                <w:bCs/>
                <w:color w:val="000000"/>
                <w:sz w:val="20"/>
                <w:szCs w:val="20"/>
              </w:rPr>
              <w:t>Итого</w:t>
            </w:r>
          </w:p>
        </w:tc>
        <w:tc>
          <w:tcPr>
            <w:tcW w:w="1417" w:type="dxa"/>
            <w:tcBorders>
              <w:top w:val="nil"/>
              <w:left w:val="nil"/>
              <w:bottom w:val="single" w:sz="4" w:space="0" w:color="auto"/>
              <w:right w:val="single" w:sz="4" w:space="0" w:color="auto"/>
            </w:tcBorders>
            <w:shd w:val="clear" w:color="auto" w:fill="auto"/>
            <w:noWrap/>
            <w:vAlign w:val="center"/>
            <w:hideMark/>
          </w:tcPr>
          <w:p w:rsidR="00F07E05" w:rsidRDefault="00F07E05" w:rsidP="008A253E">
            <w:pPr>
              <w:jc w:val="center"/>
              <w:rPr>
                <w:b/>
                <w:bCs/>
                <w:color w:val="000000"/>
                <w:sz w:val="20"/>
                <w:szCs w:val="20"/>
              </w:rPr>
            </w:pPr>
            <w:r>
              <w:rPr>
                <w:b/>
                <w:bCs/>
                <w:color w:val="000000"/>
                <w:sz w:val="20"/>
                <w:szCs w:val="20"/>
              </w:rPr>
              <w:t>1 167 128,00</w:t>
            </w:r>
          </w:p>
        </w:tc>
        <w:tc>
          <w:tcPr>
            <w:tcW w:w="1276" w:type="dxa"/>
            <w:tcBorders>
              <w:top w:val="nil"/>
              <w:left w:val="nil"/>
              <w:bottom w:val="single" w:sz="4" w:space="0" w:color="auto"/>
              <w:right w:val="single" w:sz="4" w:space="0" w:color="auto"/>
            </w:tcBorders>
            <w:shd w:val="clear" w:color="auto" w:fill="auto"/>
            <w:noWrap/>
            <w:vAlign w:val="center"/>
            <w:hideMark/>
          </w:tcPr>
          <w:p w:rsidR="00F07E05" w:rsidRDefault="00F07E05" w:rsidP="008A253E">
            <w:pPr>
              <w:jc w:val="center"/>
              <w:rPr>
                <w:b/>
                <w:bCs/>
                <w:color w:val="000000"/>
                <w:sz w:val="20"/>
                <w:szCs w:val="20"/>
              </w:rPr>
            </w:pPr>
            <w:r>
              <w:rPr>
                <w:b/>
                <w:bCs/>
                <w:color w:val="000000"/>
                <w:sz w:val="20"/>
                <w:szCs w:val="20"/>
              </w:rPr>
              <w:t>Х</w:t>
            </w:r>
          </w:p>
        </w:tc>
        <w:tc>
          <w:tcPr>
            <w:tcW w:w="1276" w:type="dxa"/>
            <w:tcBorders>
              <w:top w:val="nil"/>
              <w:left w:val="nil"/>
              <w:bottom w:val="single" w:sz="4" w:space="0" w:color="auto"/>
              <w:right w:val="single" w:sz="4" w:space="0" w:color="auto"/>
            </w:tcBorders>
            <w:shd w:val="clear" w:color="auto" w:fill="auto"/>
            <w:noWrap/>
            <w:vAlign w:val="center"/>
            <w:hideMark/>
          </w:tcPr>
          <w:p w:rsidR="00F07E05" w:rsidRDefault="00F07E05" w:rsidP="008A253E">
            <w:pPr>
              <w:jc w:val="center"/>
              <w:rPr>
                <w:b/>
                <w:bCs/>
                <w:color w:val="000000"/>
                <w:sz w:val="20"/>
                <w:szCs w:val="20"/>
              </w:rPr>
            </w:pPr>
            <w:r>
              <w:rPr>
                <w:b/>
                <w:bCs/>
                <w:color w:val="000000"/>
                <w:sz w:val="20"/>
                <w:szCs w:val="20"/>
              </w:rPr>
              <w:t>Х</w:t>
            </w:r>
          </w:p>
        </w:tc>
        <w:tc>
          <w:tcPr>
            <w:tcW w:w="1405" w:type="dxa"/>
            <w:tcBorders>
              <w:top w:val="nil"/>
              <w:left w:val="nil"/>
              <w:bottom w:val="single" w:sz="4" w:space="0" w:color="auto"/>
              <w:right w:val="single" w:sz="4" w:space="0" w:color="auto"/>
            </w:tcBorders>
            <w:shd w:val="clear" w:color="auto" w:fill="auto"/>
            <w:noWrap/>
            <w:vAlign w:val="center"/>
            <w:hideMark/>
          </w:tcPr>
          <w:p w:rsidR="00F07E05" w:rsidRDefault="00F07E05" w:rsidP="008A253E">
            <w:pPr>
              <w:jc w:val="center"/>
              <w:rPr>
                <w:b/>
                <w:bCs/>
                <w:color w:val="000000"/>
                <w:sz w:val="20"/>
                <w:szCs w:val="20"/>
              </w:rPr>
            </w:pPr>
            <w:r>
              <w:rPr>
                <w:b/>
                <w:bCs/>
                <w:color w:val="000000"/>
                <w:sz w:val="20"/>
                <w:szCs w:val="20"/>
              </w:rPr>
              <w:t>1 167 128,00</w:t>
            </w:r>
          </w:p>
        </w:tc>
        <w:tc>
          <w:tcPr>
            <w:tcW w:w="1288" w:type="dxa"/>
            <w:tcBorders>
              <w:top w:val="nil"/>
              <w:left w:val="nil"/>
              <w:bottom w:val="single" w:sz="4" w:space="0" w:color="auto"/>
              <w:right w:val="single" w:sz="4" w:space="0" w:color="auto"/>
            </w:tcBorders>
            <w:shd w:val="clear" w:color="auto" w:fill="auto"/>
            <w:noWrap/>
            <w:vAlign w:val="center"/>
            <w:hideMark/>
          </w:tcPr>
          <w:p w:rsidR="00F07E05" w:rsidRDefault="00F07E05" w:rsidP="008A253E">
            <w:pPr>
              <w:jc w:val="center"/>
              <w:rPr>
                <w:b/>
                <w:bCs/>
                <w:color w:val="000000"/>
                <w:sz w:val="20"/>
                <w:szCs w:val="20"/>
              </w:rPr>
            </w:pPr>
            <w:r>
              <w:rPr>
                <w:b/>
                <w:bCs/>
                <w:color w:val="000000"/>
                <w:sz w:val="20"/>
                <w:szCs w:val="20"/>
              </w:rPr>
              <w:t>Х</w:t>
            </w:r>
          </w:p>
        </w:tc>
        <w:tc>
          <w:tcPr>
            <w:tcW w:w="1742" w:type="dxa"/>
            <w:tcBorders>
              <w:top w:val="nil"/>
              <w:left w:val="nil"/>
              <w:bottom w:val="single" w:sz="4" w:space="0" w:color="auto"/>
              <w:right w:val="single" w:sz="4" w:space="0" w:color="auto"/>
            </w:tcBorders>
            <w:shd w:val="clear" w:color="auto" w:fill="auto"/>
            <w:noWrap/>
            <w:vAlign w:val="center"/>
            <w:hideMark/>
          </w:tcPr>
          <w:p w:rsidR="00F07E05" w:rsidRDefault="00F07E05" w:rsidP="008A253E">
            <w:pPr>
              <w:jc w:val="center"/>
              <w:rPr>
                <w:b/>
                <w:bCs/>
                <w:color w:val="000000"/>
                <w:sz w:val="20"/>
                <w:szCs w:val="20"/>
              </w:rPr>
            </w:pPr>
            <w:r>
              <w:rPr>
                <w:b/>
                <w:bCs/>
                <w:color w:val="000000"/>
                <w:sz w:val="20"/>
                <w:szCs w:val="20"/>
              </w:rPr>
              <w:t>Х</w:t>
            </w:r>
          </w:p>
        </w:tc>
        <w:tc>
          <w:tcPr>
            <w:tcW w:w="1376" w:type="dxa"/>
            <w:tcBorders>
              <w:top w:val="nil"/>
              <w:left w:val="nil"/>
              <w:bottom w:val="single" w:sz="4" w:space="0" w:color="auto"/>
              <w:right w:val="single" w:sz="4" w:space="0" w:color="auto"/>
            </w:tcBorders>
            <w:shd w:val="clear" w:color="auto" w:fill="auto"/>
            <w:noWrap/>
            <w:vAlign w:val="center"/>
            <w:hideMark/>
          </w:tcPr>
          <w:p w:rsidR="00F07E05" w:rsidRDefault="00F07E05" w:rsidP="008A253E">
            <w:pPr>
              <w:jc w:val="center"/>
              <w:rPr>
                <w:b/>
                <w:bCs/>
                <w:color w:val="000000"/>
                <w:sz w:val="20"/>
                <w:szCs w:val="20"/>
              </w:rPr>
            </w:pPr>
            <w:r>
              <w:rPr>
                <w:b/>
                <w:bCs/>
                <w:color w:val="000000"/>
                <w:sz w:val="20"/>
                <w:szCs w:val="20"/>
              </w:rPr>
              <w:t>1 167 128,00</w:t>
            </w:r>
          </w:p>
        </w:tc>
        <w:tc>
          <w:tcPr>
            <w:tcW w:w="1134" w:type="dxa"/>
            <w:tcBorders>
              <w:top w:val="nil"/>
              <w:left w:val="nil"/>
              <w:bottom w:val="single" w:sz="4" w:space="0" w:color="auto"/>
              <w:right w:val="single" w:sz="4" w:space="0" w:color="auto"/>
            </w:tcBorders>
            <w:shd w:val="clear" w:color="auto" w:fill="auto"/>
            <w:noWrap/>
            <w:vAlign w:val="center"/>
            <w:hideMark/>
          </w:tcPr>
          <w:p w:rsidR="00F07E05" w:rsidRDefault="00F07E05" w:rsidP="008A253E">
            <w:pPr>
              <w:jc w:val="center"/>
              <w:rPr>
                <w:b/>
                <w:bCs/>
                <w:color w:val="000000"/>
                <w:sz w:val="20"/>
                <w:szCs w:val="20"/>
              </w:rPr>
            </w:pPr>
            <w:r>
              <w:rPr>
                <w:b/>
                <w:bCs/>
                <w:color w:val="000000"/>
                <w:sz w:val="20"/>
                <w:szCs w:val="20"/>
              </w:rPr>
              <w:t>Х</w:t>
            </w:r>
          </w:p>
        </w:tc>
        <w:tc>
          <w:tcPr>
            <w:tcW w:w="1276" w:type="dxa"/>
            <w:tcBorders>
              <w:top w:val="nil"/>
              <w:left w:val="nil"/>
              <w:bottom w:val="single" w:sz="4" w:space="0" w:color="auto"/>
              <w:right w:val="single" w:sz="4" w:space="0" w:color="auto"/>
            </w:tcBorders>
            <w:shd w:val="clear" w:color="auto" w:fill="auto"/>
            <w:noWrap/>
            <w:vAlign w:val="center"/>
            <w:hideMark/>
          </w:tcPr>
          <w:p w:rsidR="00F07E05" w:rsidRDefault="00F07E05" w:rsidP="008A253E">
            <w:pPr>
              <w:jc w:val="center"/>
              <w:rPr>
                <w:b/>
                <w:bCs/>
                <w:color w:val="000000"/>
                <w:sz w:val="20"/>
                <w:szCs w:val="20"/>
              </w:rPr>
            </w:pPr>
            <w:r>
              <w:rPr>
                <w:b/>
                <w:bCs/>
                <w:color w:val="000000"/>
                <w:sz w:val="20"/>
                <w:szCs w:val="20"/>
              </w:rPr>
              <w:t>Х</w:t>
            </w:r>
          </w:p>
        </w:tc>
      </w:tr>
      <w:tr w:rsidR="00F07E05" w:rsidTr="008A253E">
        <w:trPr>
          <w:gridAfter w:val="1"/>
          <w:wAfter w:w="50" w:type="dxa"/>
          <w:trHeight w:val="540"/>
        </w:trPr>
        <w:tc>
          <w:tcPr>
            <w:tcW w:w="486" w:type="dxa"/>
            <w:vMerge w:val="restart"/>
            <w:tcBorders>
              <w:top w:val="nil"/>
              <w:left w:val="single" w:sz="4" w:space="0" w:color="auto"/>
              <w:bottom w:val="nil"/>
              <w:right w:val="single" w:sz="4" w:space="0" w:color="auto"/>
            </w:tcBorders>
            <w:shd w:val="clear" w:color="auto" w:fill="auto"/>
            <w:vAlign w:val="center"/>
            <w:hideMark/>
          </w:tcPr>
          <w:p w:rsidR="00F07E05" w:rsidRDefault="00F07E05" w:rsidP="008A253E">
            <w:pPr>
              <w:jc w:val="center"/>
              <w:rPr>
                <w:color w:val="000000"/>
                <w:sz w:val="20"/>
                <w:szCs w:val="20"/>
              </w:rPr>
            </w:pPr>
            <w:r>
              <w:rPr>
                <w:color w:val="000000"/>
                <w:sz w:val="20"/>
                <w:szCs w:val="20"/>
              </w:rPr>
              <w:t>2</w:t>
            </w:r>
          </w:p>
        </w:tc>
        <w:tc>
          <w:tcPr>
            <w:tcW w:w="1715" w:type="dxa"/>
            <w:vMerge w:val="restart"/>
            <w:tcBorders>
              <w:top w:val="nil"/>
              <w:left w:val="single" w:sz="4" w:space="0" w:color="auto"/>
              <w:bottom w:val="nil"/>
              <w:right w:val="single" w:sz="4" w:space="0" w:color="auto"/>
            </w:tcBorders>
            <w:shd w:val="clear" w:color="auto" w:fill="auto"/>
            <w:vAlign w:val="center"/>
            <w:hideMark/>
          </w:tcPr>
          <w:p w:rsidR="00F07E05" w:rsidRDefault="00F07E05" w:rsidP="008A253E">
            <w:pPr>
              <w:jc w:val="center"/>
              <w:rPr>
                <w:sz w:val="20"/>
                <w:szCs w:val="20"/>
              </w:rPr>
            </w:pPr>
            <w:r>
              <w:rPr>
                <w:sz w:val="20"/>
                <w:szCs w:val="20"/>
              </w:rPr>
              <w:t>ГКУ "Митинский детский дом"</w:t>
            </w:r>
          </w:p>
        </w:tc>
        <w:tc>
          <w:tcPr>
            <w:tcW w:w="1769" w:type="dxa"/>
            <w:tcBorders>
              <w:top w:val="nil"/>
              <w:left w:val="nil"/>
              <w:bottom w:val="single" w:sz="4" w:space="0" w:color="auto"/>
              <w:right w:val="single" w:sz="4" w:space="0" w:color="auto"/>
            </w:tcBorders>
            <w:shd w:val="clear" w:color="auto" w:fill="auto"/>
            <w:vAlign w:val="center"/>
            <w:hideMark/>
          </w:tcPr>
          <w:p w:rsidR="00F07E05" w:rsidRDefault="00F07E05" w:rsidP="008A253E">
            <w:pPr>
              <w:rPr>
                <w:color w:val="000000"/>
                <w:sz w:val="20"/>
                <w:szCs w:val="20"/>
              </w:rPr>
            </w:pPr>
            <w:r>
              <w:rPr>
                <w:color w:val="000000"/>
                <w:sz w:val="20"/>
                <w:szCs w:val="20"/>
              </w:rPr>
              <w:t>электроэнергия</w:t>
            </w:r>
          </w:p>
        </w:tc>
        <w:tc>
          <w:tcPr>
            <w:tcW w:w="1417" w:type="dxa"/>
            <w:tcBorders>
              <w:top w:val="nil"/>
              <w:left w:val="nil"/>
              <w:bottom w:val="single" w:sz="4" w:space="0" w:color="auto"/>
              <w:right w:val="single" w:sz="4" w:space="0" w:color="auto"/>
            </w:tcBorders>
            <w:shd w:val="clear" w:color="auto" w:fill="auto"/>
            <w:noWrap/>
            <w:vAlign w:val="center"/>
            <w:hideMark/>
          </w:tcPr>
          <w:p w:rsidR="00F07E05" w:rsidRDefault="00F07E05" w:rsidP="008A253E">
            <w:pPr>
              <w:jc w:val="center"/>
              <w:rPr>
                <w:b/>
                <w:bCs/>
                <w:color w:val="000000"/>
                <w:sz w:val="20"/>
                <w:szCs w:val="20"/>
              </w:rPr>
            </w:pPr>
            <w:r>
              <w:rPr>
                <w:b/>
                <w:bCs/>
                <w:color w:val="000000"/>
                <w:sz w:val="20"/>
                <w:szCs w:val="20"/>
              </w:rPr>
              <w:t>60 200,00</w:t>
            </w:r>
          </w:p>
        </w:tc>
        <w:tc>
          <w:tcPr>
            <w:tcW w:w="1276" w:type="dxa"/>
            <w:tcBorders>
              <w:top w:val="nil"/>
              <w:left w:val="nil"/>
              <w:bottom w:val="single" w:sz="4" w:space="0" w:color="auto"/>
              <w:right w:val="single" w:sz="4" w:space="0" w:color="auto"/>
            </w:tcBorders>
            <w:shd w:val="clear" w:color="auto" w:fill="auto"/>
            <w:noWrap/>
            <w:vAlign w:val="center"/>
            <w:hideMark/>
          </w:tcPr>
          <w:p w:rsidR="00F07E05" w:rsidRDefault="00F07E05" w:rsidP="008A253E">
            <w:pPr>
              <w:jc w:val="center"/>
              <w:rPr>
                <w:color w:val="000000"/>
                <w:sz w:val="20"/>
                <w:szCs w:val="20"/>
              </w:rPr>
            </w:pPr>
            <w:r>
              <w:rPr>
                <w:color w:val="000000"/>
                <w:sz w:val="20"/>
                <w:szCs w:val="20"/>
              </w:rPr>
              <w:t>20 000,00</w:t>
            </w:r>
          </w:p>
        </w:tc>
        <w:tc>
          <w:tcPr>
            <w:tcW w:w="1276" w:type="dxa"/>
            <w:tcBorders>
              <w:top w:val="nil"/>
              <w:left w:val="nil"/>
              <w:bottom w:val="single" w:sz="4" w:space="0" w:color="auto"/>
              <w:right w:val="single" w:sz="4" w:space="0" w:color="auto"/>
            </w:tcBorders>
            <w:shd w:val="clear" w:color="auto" w:fill="auto"/>
            <w:noWrap/>
            <w:vAlign w:val="center"/>
            <w:hideMark/>
          </w:tcPr>
          <w:p w:rsidR="00F07E05" w:rsidRDefault="00F07E05" w:rsidP="008A253E">
            <w:pPr>
              <w:jc w:val="center"/>
              <w:rPr>
                <w:color w:val="000000"/>
                <w:sz w:val="20"/>
                <w:szCs w:val="20"/>
              </w:rPr>
            </w:pPr>
            <w:r>
              <w:rPr>
                <w:color w:val="000000"/>
                <w:sz w:val="20"/>
                <w:szCs w:val="20"/>
              </w:rPr>
              <w:t>3,01</w:t>
            </w:r>
          </w:p>
        </w:tc>
        <w:tc>
          <w:tcPr>
            <w:tcW w:w="1405" w:type="dxa"/>
            <w:tcBorders>
              <w:top w:val="nil"/>
              <w:left w:val="nil"/>
              <w:bottom w:val="single" w:sz="4" w:space="0" w:color="auto"/>
              <w:right w:val="single" w:sz="4" w:space="0" w:color="auto"/>
            </w:tcBorders>
            <w:shd w:val="clear" w:color="auto" w:fill="auto"/>
            <w:noWrap/>
            <w:vAlign w:val="center"/>
            <w:hideMark/>
          </w:tcPr>
          <w:p w:rsidR="00F07E05" w:rsidRDefault="00F07E05" w:rsidP="008A253E">
            <w:pPr>
              <w:jc w:val="center"/>
              <w:rPr>
                <w:b/>
                <w:bCs/>
                <w:color w:val="000000"/>
                <w:sz w:val="20"/>
                <w:szCs w:val="20"/>
              </w:rPr>
            </w:pPr>
            <w:r>
              <w:rPr>
                <w:b/>
                <w:bCs/>
                <w:color w:val="000000"/>
                <w:sz w:val="20"/>
                <w:szCs w:val="20"/>
              </w:rPr>
              <w:t>60 200,00</w:t>
            </w:r>
          </w:p>
        </w:tc>
        <w:tc>
          <w:tcPr>
            <w:tcW w:w="1288" w:type="dxa"/>
            <w:tcBorders>
              <w:top w:val="nil"/>
              <w:left w:val="nil"/>
              <w:bottom w:val="single" w:sz="4" w:space="0" w:color="auto"/>
              <w:right w:val="single" w:sz="4" w:space="0" w:color="auto"/>
            </w:tcBorders>
            <w:shd w:val="clear" w:color="auto" w:fill="auto"/>
            <w:noWrap/>
            <w:vAlign w:val="center"/>
            <w:hideMark/>
          </w:tcPr>
          <w:p w:rsidR="00F07E05" w:rsidRDefault="00F07E05" w:rsidP="008A253E">
            <w:pPr>
              <w:jc w:val="center"/>
              <w:rPr>
                <w:color w:val="000000"/>
                <w:sz w:val="20"/>
                <w:szCs w:val="20"/>
              </w:rPr>
            </w:pPr>
            <w:r>
              <w:rPr>
                <w:color w:val="000000"/>
                <w:sz w:val="20"/>
                <w:szCs w:val="20"/>
              </w:rPr>
              <w:t>20 000,00</w:t>
            </w:r>
          </w:p>
        </w:tc>
        <w:tc>
          <w:tcPr>
            <w:tcW w:w="1742" w:type="dxa"/>
            <w:tcBorders>
              <w:top w:val="nil"/>
              <w:left w:val="nil"/>
              <w:bottom w:val="single" w:sz="4" w:space="0" w:color="auto"/>
              <w:right w:val="single" w:sz="4" w:space="0" w:color="auto"/>
            </w:tcBorders>
            <w:shd w:val="clear" w:color="auto" w:fill="auto"/>
            <w:noWrap/>
            <w:vAlign w:val="center"/>
            <w:hideMark/>
          </w:tcPr>
          <w:p w:rsidR="00F07E05" w:rsidRDefault="00F07E05" w:rsidP="008A253E">
            <w:pPr>
              <w:jc w:val="center"/>
              <w:rPr>
                <w:color w:val="000000"/>
                <w:sz w:val="20"/>
                <w:szCs w:val="20"/>
              </w:rPr>
            </w:pPr>
            <w:r>
              <w:rPr>
                <w:color w:val="000000"/>
                <w:sz w:val="20"/>
                <w:szCs w:val="20"/>
              </w:rPr>
              <w:t>3,01</w:t>
            </w:r>
          </w:p>
        </w:tc>
        <w:tc>
          <w:tcPr>
            <w:tcW w:w="1376" w:type="dxa"/>
            <w:tcBorders>
              <w:top w:val="nil"/>
              <w:left w:val="nil"/>
              <w:bottom w:val="single" w:sz="4" w:space="0" w:color="auto"/>
              <w:right w:val="single" w:sz="4" w:space="0" w:color="auto"/>
            </w:tcBorders>
            <w:shd w:val="clear" w:color="auto" w:fill="auto"/>
            <w:noWrap/>
            <w:vAlign w:val="center"/>
            <w:hideMark/>
          </w:tcPr>
          <w:p w:rsidR="00F07E05" w:rsidRDefault="00F07E05" w:rsidP="008A253E">
            <w:pPr>
              <w:jc w:val="center"/>
              <w:rPr>
                <w:b/>
                <w:bCs/>
                <w:color w:val="000000"/>
                <w:sz w:val="20"/>
                <w:szCs w:val="20"/>
              </w:rPr>
            </w:pPr>
            <w:r>
              <w:rPr>
                <w:b/>
                <w:bCs/>
                <w:color w:val="000000"/>
                <w:sz w:val="20"/>
                <w:szCs w:val="20"/>
              </w:rPr>
              <w:t>60 200,00</w:t>
            </w:r>
          </w:p>
        </w:tc>
        <w:tc>
          <w:tcPr>
            <w:tcW w:w="1134" w:type="dxa"/>
            <w:tcBorders>
              <w:top w:val="nil"/>
              <w:left w:val="nil"/>
              <w:bottom w:val="single" w:sz="4" w:space="0" w:color="auto"/>
              <w:right w:val="single" w:sz="4" w:space="0" w:color="auto"/>
            </w:tcBorders>
            <w:shd w:val="clear" w:color="auto" w:fill="auto"/>
            <w:noWrap/>
            <w:vAlign w:val="center"/>
            <w:hideMark/>
          </w:tcPr>
          <w:p w:rsidR="00F07E05" w:rsidRDefault="00F07E05" w:rsidP="008A253E">
            <w:pPr>
              <w:jc w:val="center"/>
              <w:rPr>
                <w:color w:val="000000"/>
                <w:sz w:val="20"/>
                <w:szCs w:val="20"/>
              </w:rPr>
            </w:pPr>
            <w:r>
              <w:rPr>
                <w:color w:val="000000"/>
                <w:sz w:val="20"/>
                <w:szCs w:val="20"/>
              </w:rPr>
              <w:t>20 000,00</w:t>
            </w:r>
          </w:p>
        </w:tc>
        <w:tc>
          <w:tcPr>
            <w:tcW w:w="1276" w:type="dxa"/>
            <w:tcBorders>
              <w:top w:val="nil"/>
              <w:left w:val="nil"/>
              <w:bottom w:val="single" w:sz="4" w:space="0" w:color="auto"/>
              <w:right w:val="single" w:sz="4" w:space="0" w:color="auto"/>
            </w:tcBorders>
            <w:shd w:val="clear" w:color="auto" w:fill="auto"/>
            <w:noWrap/>
            <w:vAlign w:val="center"/>
            <w:hideMark/>
          </w:tcPr>
          <w:p w:rsidR="00F07E05" w:rsidRDefault="00F07E05" w:rsidP="008A253E">
            <w:pPr>
              <w:jc w:val="center"/>
              <w:rPr>
                <w:color w:val="000000"/>
                <w:sz w:val="20"/>
                <w:szCs w:val="20"/>
              </w:rPr>
            </w:pPr>
            <w:r>
              <w:rPr>
                <w:color w:val="000000"/>
                <w:sz w:val="20"/>
                <w:szCs w:val="20"/>
              </w:rPr>
              <w:t>3,01</w:t>
            </w:r>
          </w:p>
        </w:tc>
      </w:tr>
      <w:tr w:rsidR="00F07E05" w:rsidTr="008A253E">
        <w:trPr>
          <w:gridAfter w:val="1"/>
          <w:wAfter w:w="50" w:type="dxa"/>
          <w:trHeight w:val="255"/>
        </w:trPr>
        <w:tc>
          <w:tcPr>
            <w:tcW w:w="486" w:type="dxa"/>
            <w:vMerge/>
            <w:tcBorders>
              <w:top w:val="nil"/>
              <w:left w:val="single" w:sz="4" w:space="0" w:color="auto"/>
              <w:bottom w:val="nil"/>
              <w:right w:val="single" w:sz="4" w:space="0" w:color="auto"/>
            </w:tcBorders>
            <w:shd w:val="clear" w:color="auto" w:fill="auto"/>
            <w:vAlign w:val="center"/>
            <w:hideMark/>
          </w:tcPr>
          <w:p w:rsidR="00F07E05" w:rsidRDefault="00F07E05" w:rsidP="008A253E">
            <w:pPr>
              <w:rPr>
                <w:color w:val="000000"/>
                <w:sz w:val="20"/>
                <w:szCs w:val="20"/>
              </w:rPr>
            </w:pPr>
          </w:p>
        </w:tc>
        <w:tc>
          <w:tcPr>
            <w:tcW w:w="1715" w:type="dxa"/>
            <w:vMerge/>
            <w:tcBorders>
              <w:top w:val="nil"/>
              <w:left w:val="single" w:sz="4" w:space="0" w:color="auto"/>
              <w:bottom w:val="nil"/>
              <w:right w:val="single" w:sz="4" w:space="0" w:color="auto"/>
            </w:tcBorders>
            <w:shd w:val="clear" w:color="auto" w:fill="auto"/>
            <w:vAlign w:val="center"/>
            <w:hideMark/>
          </w:tcPr>
          <w:p w:rsidR="00F07E05" w:rsidRDefault="00F07E05" w:rsidP="008A253E">
            <w:pPr>
              <w:rPr>
                <w:sz w:val="20"/>
                <w:szCs w:val="20"/>
              </w:rPr>
            </w:pPr>
          </w:p>
        </w:tc>
        <w:tc>
          <w:tcPr>
            <w:tcW w:w="1769" w:type="dxa"/>
            <w:tcBorders>
              <w:top w:val="nil"/>
              <w:left w:val="nil"/>
              <w:bottom w:val="single" w:sz="4" w:space="0" w:color="auto"/>
              <w:right w:val="nil"/>
            </w:tcBorders>
            <w:shd w:val="clear" w:color="auto" w:fill="auto"/>
            <w:noWrap/>
            <w:vAlign w:val="center"/>
            <w:hideMark/>
          </w:tcPr>
          <w:p w:rsidR="00F07E05" w:rsidRDefault="00F07E05" w:rsidP="008A253E">
            <w:pPr>
              <w:jc w:val="center"/>
              <w:rPr>
                <w:b/>
                <w:bCs/>
                <w:color w:val="000000"/>
                <w:sz w:val="20"/>
                <w:szCs w:val="20"/>
              </w:rPr>
            </w:pPr>
            <w:r>
              <w:rPr>
                <w:b/>
                <w:bCs/>
                <w:color w:val="000000"/>
                <w:sz w:val="20"/>
                <w:szCs w:val="20"/>
              </w:rPr>
              <w:t>Итого</w:t>
            </w:r>
          </w:p>
        </w:tc>
        <w:tc>
          <w:tcPr>
            <w:tcW w:w="1417" w:type="dxa"/>
            <w:tcBorders>
              <w:top w:val="nil"/>
              <w:left w:val="nil"/>
              <w:bottom w:val="single" w:sz="4" w:space="0" w:color="auto"/>
              <w:right w:val="single" w:sz="4" w:space="0" w:color="auto"/>
            </w:tcBorders>
            <w:shd w:val="clear" w:color="auto" w:fill="auto"/>
            <w:noWrap/>
            <w:vAlign w:val="center"/>
            <w:hideMark/>
          </w:tcPr>
          <w:p w:rsidR="00F07E05" w:rsidRDefault="00F07E05" w:rsidP="008A253E">
            <w:pPr>
              <w:jc w:val="center"/>
              <w:rPr>
                <w:b/>
                <w:bCs/>
                <w:color w:val="000000"/>
                <w:sz w:val="20"/>
                <w:szCs w:val="20"/>
              </w:rPr>
            </w:pPr>
            <w:r>
              <w:rPr>
                <w:b/>
                <w:bCs/>
                <w:color w:val="000000"/>
                <w:sz w:val="20"/>
                <w:szCs w:val="20"/>
              </w:rPr>
              <w:t>60 200,00</w:t>
            </w:r>
          </w:p>
        </w:tc>
        <w:tc>
          <w:tcPr>
            <w:tcW w:w="1276" w:type="dxa"/>
            <w:tcBorders>
              <w:top w:val="nil"/>
              <w:left w:val="nil"/>
              <w:bottom w:val="single" w:sz="4" w:space="0" w:color="auto"/>
              <w:right w:val="single" w:sz="4" w:space="0" w:color="auto"/>
            </w:tcBorders>
            <w:shd w:val="clear" w:color="auto" w:fill="auto"/>
            <w:noWrap/>
            <w:vAlign w:val="center"/>
            <w:hideMark/>
          </w:tcPr>
          <w:p w:rsidR="00F07E05" w:rsidRDefault="00F07E05" w:rsidP="008A253E">
            <w:pPr>
              <w:jc w:val="center"/>
              <w:rPr>
                <w:b/>
                <w:bCs/>
                <w:color w:val="000000"/>
                <w:sz w:val="20"/>
                <w:szCs w:val="20"/>
              </w:rPr>
            </w:pPr>
            <w:r>
              <w:rPr>
                <w:b/>
                <w:bCs/>
                <w:color w:val="000000"/>
                <w:sz w:val="20"/>
                <w:szCs w:val="20"/>
              </w:rPr>
              <w:t>Х</w:t>
            </w:r>
          </w:p>
        </w:tc>
        <w:tc>
          <w:tcPr>
            <w:tcW w:w="1276" w:type="dxa"/>
            <w:tcBorders>
              <w:top w:val="nil"/>
              <w:left w:val="nil"/>
              <w:bottom w:val="single" w:sz="4" w:space="0" w:color="auto"/>
              <w:right w:val="single" w:sz="4" w:space="0" w:color="auto"/>
            </w:tcBorders>
            <w:shd w:val="clear" w:color="auto" w:fill="auto"/>
            <w:noWrap/>
            <w:vAlign w:val="center"/>
            <w:hideMark/>
          </w:tcPr>
          <w:p w:rsidR="00F07E05" w:rsidRDefault="00F07E05" w:rsidP="008A253E">
            <w:pPr>
              <w:jc w:val="center"/>
              <w:rPr>
                <w:b/>
                <w:bCs/>
                <w:color w:val="000000"/>
                <w:sz w:val="20"/>
                <w:szCs w:val="20"/>
              </w:rPr>
            </w:pPr>
            <w:r>
              <w:rPr>
                <w:b/>
                <w:bCs/>
                <w:color w:val="000000"/>
                <w:sz w:val="20"/>
                <w:szCs w:val="20"/>
              </w:rPr>
              <w:t>Х</w:t>
            </w:r>
          </w:p>
        </w:tc>
        <w:tc>
          <w:tcPr>
            <w:tcW w:w="1405" w:type="dxa"/>
            <w:tcBorders>
              <w:top w:val="nil"/>
              <w:left w:val="nil"/>
              <w:bottom w:val="single" w:sz="4" w:space="0" w:color="auto"/>
              <w:right w:val="single" w:sz="4" w:space="0" w:color="auto"/>
            </w:tcBorders>
            <w:shd w:val="clear" w:color="auto" w:fill="auto"/>
            <w:noWrap/>
            <w:vAlign w:val="center"/>
            <w:hideMark/>
          </w:tcPr>
          <w:p w:rsidR="00F07E05" w:rsidRDefault="00F07E05" w:rsidP="008A253E">
            <w:pPr>
              <w:jc w:val="center"/>
              <w:rPr>
                <w:b/>
                <w:bCs/>
                <w:color w:val="000000"/>
                <w:sz w:val="20"/>
                <w:szCs w:val="20"/>
              </w:rPr>
            </w:pPr>
            <w:r>
              <w:rPr>
                <w:b/>
                <w:bCs/>
                <w:color w:val="000000"/>
                <w:sz w:val="20"/>
                <w:szCs w:val="20"/>
              </w:rPr>
              <w:t>60 200,00</w:t>
            </w:r>
          </w:p>
        </w:tc>
        <w:tc>
          <w:tcPr>
            <w:tcW w:w="1288" w:type="dxa"/>
            <w:tcBorders>
              <w:top w:val="nil"/>
              <w:left w:val="nil"/>
              <w:bottom w:val="single" w:sz="4" w:space="0" w:color="auto"/>
              <w:right w:val="single" w:sz="4" w:space="0" w:color="auto"/>
            </w:tcBorders>
            <w:shd w:val="clear" w:color="auto" w:fill="auto"/>
            <w:noWrap/>
            <w:vAlign w:val="center"/>
            <w:hideMark/>
          </w:tcPr>
          <w:p w:rsidR="00F07E05" w:rsidRDefault="00F07E05" w:rsidP="008A253E">
            <w:pPr>
              <w:jc w:val="center"/>
              <w:rPr>
                <w:b/>
                <w:bCs/>
                <w:color w:val="000000"/>
                <w:sz w:val="20"/>
                <w:szCs w:val="20"/>
              </w:rPr>
            </w:pPr>
            <w:r>
              <w:rPr>
                <w:b/>
                <w:bCs/>
                <w:color w:val="000000"/>
                <w:sz w:val="20"/>
                <w:szCs w:val="20"/>
              </w:rPr>
              <w:t>Х</w:t>
            </w:r>
          </w:p>
        </w:tc>
        <w:tc>
          <w:tcPr>
            <w:tcW w:w="1742" w:type="dxa"/>
            <w:tcBorders>
              <w:top w:val="nil"/>
              <w:left w:val="nil"/>
              <w:bottom w:val="single" w:sz="4" w:space="0" w:color="auto"/>
              <w:right w:val="single" w:sz="4" w:space="0" w:color="auto"/>
            </w:tcBorders>
            <w:shd w:val="clear" w:color="auto" w:fill="auto"/>
            <w:noWrap/>
            <w:vAlign w:val="center"/>
            <w:hideMark/>
          </w:tcPr>
          <w:p w:rsidR="00F07E05" w:rsidRDefault="00F07E05" w:rsidP="008A253E">
            <w:pPr>
              <w:jc w:val="center"/>
              <w:rPr>
                <w:b/>
                <w:bCs/>
                <w:color w:val="000000"/>
                <w:sz w:val="20"/>
                <w:szCs w:val="20"/>
              </w:rPr>
            </w:pPr>
            <w:r>
              <w:rPr>
                <w:b/>
                <w:bCs/>
                <w:color w:val="000000"/>
                <w:sz w:val="20"/>
                <w:szCs w:val="20"/>
              </w:rPr>
              <w:t>Х</w:t>
            </w:r>
          </w:p>
        </w:tc>
        <w:tc>
          <w:tcPr>
            <w:tcW w:w="1376" w:type="dxa"/>
            <w:tcBorders>
              <w:top w:val="nil"/>
              <w:left w:val="nil"/>
              <w:bottom w:val="single" w:sz="4" w:space="0" w:color="auto"/>
              <w:right w:val="single" w:sz="4" w:space="0" w:color="auto"/>
            </w:tcBorders>
            <w:shd w:val="clear" w:color="auto" w:fill="auto"/>
            <w:noWrap/>
            <w:vAlign w:val="center"/>
            <w:hideMark/>
          </w:tcPr>
          <w:p w:rsidR="00F07E05" w:rsidRDefault="00F07E05" w:rsidP="008A253E">
            <w:pPr>
              <w:jc w:val="center"/>
              <w:rPr>
                <w:b/>
                <w:bCs/>
                <w:color w:val="000000"/>
                <w:sz w:val="20"/>
                <w:szCs w:val="20"/>
              </w:rPr>
            </w:pPr>
            <w:r>
              <w:rPr>
                <w:b/>
                <w:bCs/>
                <w:color w:val="000000"/>
                <w:sz w:val="20"/>
                <w:szCs w:val="20"/>
              </w:rPr>
              <w:t>60 200,00</w:t>
            </w:r>
          </w:p>
        </w:tc>
        <w:tc>
          <w:tcPr>
            <w:tcW w:w="1134" w:type="dxa"/>
            <w:tcBorders>
              <w:top w:val="nil"/>
              <w:left w:val="nil"/>
              <w:bottom w:val="single" w:sz="4" w:space="0" w:color="auto"/>
              <w:right w:val="single" w:sz="4" w:space="0" w:color="auto"/>
            </w:tcBorders>
            <w:shd w:val="clear" w:color="auto" w:fill="auto"/>
            <w:noWrap/>
            <w:vAlign w:val="center"/>
            <w:hideMark/>
          </w:tcPr>
          <w:p w:rsidR="00F07E05" w:rsidRDefault="00F07E05" w:rsidP="008A253E">
            <w:pPr>
              <w:jc w:val="center"/>
              <w:rPr>
                <w:b/>
                <w:bCs/>
                <w:color w:val="000000"/>
                <w:sz w:val="20"/>
                <w:szCs w:val="20"/>
              </w:rPr>
            </w:pPr>
            <w:r>
              <w:rPr>
                <w:b/>
                <w:bCs/>
                <w:color w:val="000000"/>
                <w:sz w:val="20"/>
                <w:szCs w:val="20"/>
              </w:rPr>
              <w:t>Х</w:t>
            </w:r>
          </w:p>
        </w:tc>
        <w:tc>
          <w:tcPr>
            <w:tcW w:w="1276" w:type="dxa"/>
            <w:tcBorders>
              <w:top w:val="nil"/>
              <w:left w:val="nil"/>
              <w:bottom w:val="single" w:sz="4" w:space="0" w:color="auto"/>
              <w:right w:val="single" w:sz="4" w:space="0" w:color="auto"/>
            </w:tcBorders>
            <w:shd w:val="clear" w:color="auto" w:fill="auto"/>
            <w:noWrap/>
            <w:vAlign w:val="center"/>
            <w:hideMark/>
          </w:tcPr>
          <w:p w:rsidR="00F07E05" w:rsidRDefault="00F07E05" w:rsidP="008A253E">
            <w:pPr>
              <w:jc w:val="center"/>
              <w:rPr>
                <w:b/>
                <w:bCs/>
                <w:color w:val="000000"/>
                <w:sz w:val="20"/>
                <w:szCs w:val="20"/>
              </w:rPr>
            </w:pPr>
            <w:r>
              <w:rPr>
                <w:b/>
                <w:bCs/>
                <w:color w:val="000000"/>
                <w:sz w:val="20"/>
                <w:szCs w:val="20"/>
              </w:rPr>
              <w:t>Х</w:t>
            </w:r>
          </w:p>
        </w:tc>
      </w:tr>
      <w:tr w:rsidR="00F07E05" w:rsidTr="008A253E">
        <w:trPr>
          <w:gridAfter w:val="1"/>
          <w:wAfter w:w="50" w:type="dxa"/>
          <w:trHeight w:val="270"/>
        </w:trPr>
        <w:tc>
          <w:tcPr>
            <w:tcW w:w="486" w:type="dxa"/>
            <w:vMerge w:val="restart"/>
            <w:tcBorders>
              <w:top w:val="nil"/>
              <w:left w:val="single" w:sz="4" w:space="0" w:color="auto"/>
              <w:bottom w:val="nil"/>
              <w:right w:val="single" w:sz="4" w:space="0" w:color="auto"/>
            </w:tcBorders>
            <w:shd w:val="clear" w:color="auto" w:fill="auto"/>
            <w:vAlign w:val="center"/>
            <w:hideMark/>
          </w:tcPr>
          <w:p w:rsidR="00F07E05" w:rsidRDefault="00F07E05" w:rsidP="008A253E">
            <w:pPr>
              <w:jc w:val="center"/>
              <w:rPr>
                <w:color w:val="000000"/>
                <w:sz w:val="20"/>
                <w:szCs w:val="20"/>
              </w:rPr>
            </w:pPr>
            <w:r>
              <w:rPr>
                <w:color w:val="000000"/>
                <w:sz w:val="20"/>
                <w:szCs w:val="20"/>
              </w:rPr>
              <w:t>3</w:t>
            </w:r>
          </w:p>
        </w:tc>
        <w:tc>
          <w:tcPr>
            <w:tcW w:w="1715" w:type="dxa"/>
            <w:vMerge w:val="restart"/>
            <w:tcBorders>
              <w:top w:val="nil"/>
              <w:left w:val="single" w:sz="4" w:space="0" w:color="auto"/>
              <w:bottom w:val="nil"/>
              <w:right w:val="single" w:sz="4" w:space="0" w:color="auto"/>
            </w:tcBorders>
            <w:shd w:val="clear" w:color="auto" w:fill="auto"/>
            <w:vAlign w:val="center"/>
            <w:hideMark/>
          </w:tcPr>
          <w:p w:rsidR="00F07E05" w:rsidRDefault="00F07E05" w:rsidP="008A253E">
            <w:pPr>
              <w:jc w:val="center"/>
              <w:rPr>
                <w:sz w:val="20"/>
                <w:szCs w:val="20"/>
              </w:rPr>
            </w:pPr>
            <w:r>
              <w:rPr>
                <w:sz w:val="20"/>
                <w:szCs w:val="20"/>
              </w:rPr>
              <w:t>ГКОУ "Осташковский детский центр"</w:t>
            </w:r>
          </w:p>
        </w:tc>
        <w:tc>
          <w:tcPr>
            <w:tcW w:w="1769" w:type="dxa"/>
            <w:tcBorders>
              <w:top w:val="nil"/>
              <w:left w:val="nil"/>
              <w:bottom w:val="single" w:sz="4" w:space="0" w:color="auto"/>
              <w:right w:val="single" w:sz="4" w:space="0" w:color="auto"/>
            </w:tcBorders>
            <w:shd w:val="clear" w:color="auto" w:fill="auto"/>
            <w:vAlign w:val="center"/>
            <w:hideMark/>
          </w:tcPr>
          <w:p w:rsidR="00F07E05" w:rsidRDefault="00F07E05" w:rsidP="008A253E">
            <w:pPr>
              <w:rPr>
                <w:color w:val="000000"/>
                <w:sz w:val="20"/>
                <w:szCs w:val="20"/>
              </w:rPr>
            </w:pPr>
            <w:r>
              <w:rPr>
                <w:color w:val="000000"/>
                <w:sz w:val="20"/>
                <w:szCs w:val="20"/>
              </w:rPr>
              <w:t xml:space="preserve">отопление </w:t>
            </w:r>
          </w:p>
        </w:tc>
        <w:tc>
          <w:tcPr>
            <w:tcW w:w="1417" w:type="dxa"/>
            <w:tcBorders>
              <w:top w:val="nil"/>
              <w:left w:val="nil"/>
              <w:bottom w:val="single" w:sz="4" w:space="0" w:color="auto"/>
              <w:right w:val="single" w:sz="4" w:space="0" w:color="auto"/>
            </w:tcBorders>
            <w:shd w:val="clear" w:color="auto" w:fill="auto"/>
            <w:noWrap/>
            <w:vAlign w:val="center"/>
            <w:hideMark/>
          </w:tcPr>
          <w:p w:rsidR="00F07E05" w:rsidRDefault="00F07E05" w:rsidP="008A253E">
            <w:pPr>
              <w:jc w:val="center"/>
              <w:rPr>
                <w:b/>
                <w:bCs/>
                <w:color w:val="000000"/>
                <w:sz w:val="20"/>
                <w:szCs w:val="20"/>
              </w:rPr>
            </w:pPr>
            <w:r>
              <w:rPr>
                <w:b/>
                <w:bCs/>
                <w:color w:val="000000"/>
                <w:sz w:val="20"/>
                <w:szCs w:val="20"/>
              </w:rPr>
              <w:t>334 270,01</w:t>
            </w:r>
          </w:p>
        </w:tc>
        <w:tc>
          <w:tcPr>
            <w:tcW w:w="1276" w:type="dxa"/>
            <w:tcBorders>
              <w:top w:val="nil"/>
              <w:left w:val="nil"/>
              <w:bottom w:val="single" w:sz="4" w:space="0" w:color="auto"/>
              <w:right w:val="single" w:sz="4" w:space="0" w:color="auto"/>
            </w:tcBorders>
            <w:shd w:val="clear" w:color="auto" w:fill="auto"/>
            <w:noWrap/>
            <w:vAlign w:val="center"/>
            <w:hideMark/>
          </w:tcPr>
          <w:p w:rsidR="00F07E05" w:rsidRDefault="00F07E05" w:rsidP="008A253E">
            <w:pPr>
              <w:jc w:val="center"/>
              <w:rPr>
                <w:color w:val="000000"/>
                <w:sz w:val="20"/>
                <w:szCs w:val="20"/>
              </w:rPr>
            </w:pPr>
            <w:r>
              <w:rPr>
                <w:color w:val="000000"/>
                <w:sz w:val="20"/>
                <w:szCs w:val="20"/>
              </w:rPr>
              <w:t>139,20</w:t>
            </w:r>
          </w:p>
        </w:tc>
        <w:tc>
          <w:tcPr>
            <w:tcW w:w="1276" w:type="dxa"/>
            <w:tcBorders>
              <w:top w:val="nil"/>
              <w:left w:val="nil"/>
              <w:bottom w:val="single" w:sz="4" w:space="0" w:color="auto"/>
              <w:right w:val="single" w:sz="4" w:space="0" w:color="auto"/>
            </w:tcBorders>
            <w:shd w:val="clear" w:color="auto" w:fill="auto"/>
            <w:noWrap/>
            <w:vAlign w:val="center"/>
            <w:hideMark/>
          </w:tcPr>
          <w:p w:rsidR="00F07E05" w:rsidRDefault="00F07E05" w:rsidP="008A253E">
            <w:pPr>
              <w:jc w:val="center"/>
              <w:rPr>
                <w:color w:val="000000"/>
                <w:sz w:val="20"/>
                <w:szCs w:val="20"/>
              </w:rPr>
            </w:pPr>
            <w:r>
              <w:rPr>
                <w:color w:val="000000"/>
                <w:sz w:val="20"/>
                <w:szCs w:val="20"/>
              </w:rPr>
              <w:t>2412.06/</w:t>
            </w:r>
          </w:p>
          <w:p w:rsidR="00F07E05" w:rsidRDefault="00F07E05" w:rsidP="008A253E">
            <w:pPr>
              <w:jc w:val="center"/>
              <w:rPr>
                <w:color w:val="000000"/>
                <w:sz w:val="20"/>
                <w:szCs w:val="20"/>
              </w:rPr>
            </w:pPr>
            <w:r>
              <w:rPr>
                <w:color w:val="000000"/>
                <w:sz w:val="20"/>
                <w:szCs w:val="20"/>
              </w:rPr>
              <w:t>2390.67</w:t>
            </w:r>
          </w:p>
        </w:tc>
        <w:tc>
          <w:tcPr>
            <w:tcW w:w="1405" w:type="dxa"/>
            <w:tcBorders>
              <w:top w:val="nil"/>
              <w:left w:val="nil"/>
              <w:bottom w:val="single" w:sz="4" w:space="0" w:color="auto"/>
              <w:right w:val="single" w:sz="4" w:space="0" w:color="auto"/>
            </w:tcBorders>
            <w:shd w:val="clear" w:color="auto" w:fill="auto"/>
            <w:noWrap/>
            <w:vAlign w:val="center"/>
            <w:hideMark/>
          </w:tcPr>
          <w:p w:rsidR="00F07E05" w:rsidRDefault="00F07E05" w:rsidP="008A253E">
            <w:pPr>
              <w:jc w:val="center"/>
              <w:rPr>
                <w:b/>
                <w:bCs/>
                <w:color w:val="000000"/>
                <w:sz w:val="20"/>
                <w:szCs w:val="20"/>
              </w:rPr>
            </w:pPr>
            <w:r>
              <w:rPr>
                <w:b/>
                <w:bCs/>
                <w:color w:val="000000"/>
                <w:sz w:val="20"/>
                <w:szCs w:val="20"/>
              </w:rPr>
              <w:t>336 109,63</w:t>
            </w:r>
          </w:p>
        </w:tc>
        <w:tc>
          <w:tcPr>
            <w:tcW w:w="1288" w:type="dxa"/>
            <w:tcBorders>
              <w:top w:val="nil"/>
              <w:left w:val="nil"/>
              <w:bottom w:val="single" w:sz="4" w:space="0" w:color="auto"/>
              <w:right w:val="single" w:sz="4" w:space="0" w:color="auto"/>
            </w:tcBorders>
            <w:shd w:val="clear" w:color="auto" w:fill="auto"/>
            <w:noWrap/>
            <w:vAlign w:val="center"/>
            <w:hideMark/>
          </w:tcPr>
          <w:p w:rsidR="00F07E05" w:rsidRDefault="00F07E05" w:rsidP="008A253E">
            <w:pPr>
              <w:jc w:val="center"/>
              <w:rPr>
                <w:color w:val="000000"/>
                <w:sz w:val="20"/>
                <w:szCs w:val="20"/>
              </w:rPr>
            </w:pPr>
            <w:r>
              <w:rPr>
                <w:color w:val="000000"/>
                <w:sz w:val="20"/>
                <w:szCs w:val="20"/>
              </w:rPr>
              <w:t>139,20</w:t>
            </w:r>
          </w:p>
        </w:tc>
        <w:tc>
          <w:tcPr>
            <w:tcW w:w="1742" w:type="dxa"/>
            <w:tcBorders>
              <w:top w:val="nil"/>
              <w:left w:val="nil"/>
              <w:bottom w:val="single" w:sz="4" w:space="0" w:color="auto"/>
              <w:right w:val="single" w:sz="4" w:space="0" w:color="auto"/>
            </w:tcBorders>
            <w:shd w:val="clear" w:color="auto" w:fill="auto"/>
            <w:noWrap/>
            <w:vAlign w:val="center"/>
            <w:hideMark/>
          </w:tcPr>
          <w:p w:rsidR="00F07E05" w:rsidRDefault="00F07E05" w:rsidP="008A253E">
            <w:pPr>
              <w:jc w:val="center"/>
              <w:rPr>
                <w:color w:val="000000"/>
                <w:sz w:val="20"/>
                <w:szCs w:val="20"/>
              </w:rPr>
            </w:pPr>
            <w:r>
              <w:rPr>
                <w:color w:val="000000"/>
                <w:sz w:val="20"/>
                <w:szCs w:val="20"/>
              </w:rPr>
              <w:t>2390.67/</w:t>
            </w:r>
          </w:p>
          <w:p w:rsidR="00F07E05" w:rsidRDefault="00F07E05" w:rsidP="008A253E">
            <w:pPr>
              <w:jc w:val="center"/>
              <w:rPr>
                <w:color w:val="000000"/>
                <w:sz w:val="20"/>
                <w:szCs w:val="20"/>
              </w:rPr>
            </w:pPr>
            <w:r>
              <w:rPr>
                <w:color w:val="000000"/>
                <w:sz w:val="20"/>
                <w:szCs w:val="20"/>
              </w:rPr>
              <w:t>2438.49</w:t>
            </w:r>
          </w:p>
        </w:tc>
        <w:tc>
          <w:tcPr>
            <w:tcW w:w="1376" w:type="dxa"/>
            <w:tcBorders>
              <w:top w:val="nil"/>
              <w:left w:val="nil"/>
              <w:bottom w:val="single" w:sz="4" w:space="0" w:color="auto"/>
              <w:right w:val="single" w:sz="4" w:space="0" w:color="auto"/>
            </w:tcBorders>
            <w:shd w:val="clear" w:color="auto" w:fill="auto"/>
            <w:noWrap/>
            <w:vAlign w:val="center"/>
            <w:hideMark/>
          </w:tcPr>
          <w:p w:rsidR="00F07E05" w:rsidRDefault="00F07E05" w:rsidP="008A253E">
            <w:pPr>
              <w:jc w:val="center"/>
              <w:rPr>
                <w:b/>
                <w:bCs/>
                <w:color w:val="000000"/>
                <w:sz w:val="20"/>
                <w:szCs w:val="20"/>
              </w:rPr>
            </w:pPr>
            <w:r>
              <w:rPr>
                <w:b/>
                <w:bCs/>
                <w:color w:val="000000"/>
                <w:sz w:val="20"/>
                <w:szCs w:val="20"/>
              </w:rPr>
              <w:t>339 437,81</w:t>
            </w:r>
          </w:p>
        </w:tc>
        <w:tc>
          <w:tcPr>
            <w:tcW w:w="1134" w:type="dxa"/>
            <w:tcBorders>
              <w:top w:val="nil"/>
              <w:left w:val="nil"/>
              <w:bottom w:val="single" w:sz="4" w:space="0" w:color="auto"/>
              <w:right w:val="single" w:sz="4" w:space="0" w:color="auto"/>
            </w:tcBorders>
            <w:shd w:val="clear" w:color="auto" w:fill="auto"/>
            <w:noWrap/>
            <w:vAlign w:val="center"/>
            <w:hideMark/>
          </w:tcPr>
          <w:p w:rsidR="00F07E05" w:rsidRDefault="00F07E05" w:rsidP="008A253E">
            <w:pPr>
              <w:jc w:val="center"/>
              <w:rPr>
                <w:color w:val="000000"/>
                <w:sz w:val="20"/>
                <w:szCs w:val="20"/>
              </w:rPr>
            </w:pPr>
            <w:r>
              <w:rPr>
                <w:color w:val="000000"/>
                <w:sz w:val="20"/>
                <w:szCs w:val="20"/>
              </w:rPr>
              <w:t>139,20</w:t>
            </w:r>
          </w:p>
        </w:tc>
        <w:tc>
          <w:tcPr>
            <w:tcW w:w="1276" w:type="dxa"/>
            <w:tcBorders>
              <w:top w:val="nil"/>
              <w:left w:val="nil"/>
              <w:bottom w:val="single" w:sz="4" w:space="0" w:color="auto"/>
              <w:right w:val="single" w:sz="4" w:space="0" w:color="auto"/>
            </w:tcBorders>
            <w:shd w:val="clear" w:color="auto" w:fill="auto"/>
            <w:noWrap/>
            <w:vAlign w:val="center"/>
            <w:hideMark/>
          </w:tcPr>
          <w:p w:rsidR="00F07E05" w:rsidRDefault="00F07E05" w:rsidP="008A253E">
            <w:pPr>
              <w:jc w:val="center"/>
              <w:rPr>
                <w:color w:val="000000"/>
                <w:sz w:val="20"/>
                <w:szCs w:val="20"/>
              </w:rPr>
            </w:pPr>
            <w:r>
              <w:rPr>
                <w:color w:val="000000"/>
                <w:sz w:val="20"/>
                <w:szCs w:val="20"/>
              </w:rPr>
              <w:t>2 438,49</w:t>
            </w:r>
          </w:p>
        </w:tc>
      </w:tr>
      <w:tr w:rsidR="00F07E05" w:rsidTr="008A253E">
        <w:trPr>
          <w:gridAfter w:val="1"/>
          <w:wAfter w:w="50" w:type="dxa"/>
          <w:trHeight w:val="270"/>
        </w:trPr>
        <w:tc>
          <w:tcPr>
            <w:tcW w:w="486" w:type="dxa"/>
            <w:vMerge/>
            <w:tcBorders>
              <w:top w:val="nil"/>
              <w:left w:val="single" w:sz="4" w:space="0" w:color="auto"/>
              <w:bottom w:val="nil"/>
              <w:right w:val="single" w:sz="4" w:space="0" w:color="auto"/>
            </w:tcBorders>
            <w:shd w:val="clear" w:color="auto" w:fill="auto"/>
            <w:vAlign w:val="center"/>
            <w:hideMark/>
          </w:tcPr>
          <w:p w:rsidR="00F07E05" w:rsidRDefault="00F07E05" w:rsidP="008A253E">
            <w:pPr>
              <w:rPr>
                <w:color w:val="000000"/>
                <w:sz w:val="20"/>
                <w:szCs w:val="20"/>
              </w:rPr>
            </w:pPr>
          </w:p>
        </w:tc>
        <w:tc>
          <w:tcPr>
            <w:tcW w:w="1715" w:type="dxa"/>
            <w:vMerge/>
            <w:tcBorders>
              <w:top w:val="nil"/>
              <w:left w:val="single" w:sz="4" w:space="0" w:color="auto"/>
              <w:bottom w:val="nil"/>
              <w:right w:val="single" w:sz="4" w:space="0" w:color="auto"/>
            </w:tcBorders>
            <w:shd w:val="clear" w:color="auto" w:fill="auto"/>
            <w:vAlign w:val="center"/>
            <w:hideMark/>
          </w:tcPr>
          <w:p w:rsidR="00F07E05" w:rsidRDefault="00F07E05" w:rsidP="008A253E">
            <w:pPr>
              <w:rPr>
                <w:sz w:val="20"/>
                <w:szCs w:val="20"/>
              </w:rPr>
            </w:pPr>
          </w:p>
        </w:tc>
        <w:tc>
          <w:tcPr>
            <w:tcW w:w="1769" w:type="dxa"/>
            <w:tcBorders>
              <w:top w:val="nil"/>
              <w:left w:val="nil"/>
              <w:bottom w:val="single" w:sz="4" w:space="0" w:color="auto"/>
              <w:right w:val="single" w:sz="4" w:space="0" w:color="auto"/>
            </w:tcBorders>
            <w:shd w:val="clear" w:color="auto" w:fill="auto"/>
            <w:vAlign w:val="center"/>
            <w:hideMark/>
          </w:tcPr>
          <w:p w:rsidR="00F07E05" w:rsidRDefault="00F07E05" w:rsidP="008A253E">
            <w:pPr>
              <w:rPr>
                <w:color w:val="000000"/>
                <w:sz w:val="20"/>
                <w:szCs w:val="20"/>
              </w:rPr>
            </w:pPr>
            <w:r>
              <w:rPr>
                <w:color w:val="000000"/>
                <w:sz w:val="20"/>
                <w:szCs w:val="20"/>
              </w:rPr>
              <w:t xml:space="preserve"> горячее водоснабжение</w:t>
            </w:r>
          </w:p>
        </w:tc>
        <w:tc>
          <w:tcPr>
            <w:tcW w:w="1417" w:type="dxa"/>
            <w:tcBorders>
              <w:top w:val="nil"/>
              <w:left w:val="nil"/>
              <w:bottom w:val="single" w:sz="4" w:space="0" w:color="auto"/>
              <w:right w:val="single" w:sz="4" w:space="0" w:color="auto"/>
            </w:tcBorders>
            <w:shd w:val="clear" w:color="auto" w:fill="auto"/>
            <w:noWrap/>
            <w:vAlign w:val="center"/>
            <w:hideMark/>
          </w:tcPr>
          <w:p w:rsidR="00F07E05" w:rsidRDefault="00F07E05" w:rsidP="008A253E">
            <w:pPr>
              <w:jc w:val="center"/>
              <w:rPr>
                <w:b/>
                <w:bCs/>
                <w:color w:val="000000"/>
                <w:sz w:val="20"/>
                <w:szCs w:val="20"/>
              </w:rPr>
            </w:pPr>
            <w:r>
              <w:rPr>
                <w:b/>
                <w:bCs/>
                <w:color w:val="000000"/>
                <w:sz w:val="20"/>
                <w:szCs w:val="20"/>
              </w:rPr>
              <w:t>77 258,88</w:t>
            </w:r>
          </w:p>
        </w:tc>
        <w:tc>
          <w:tcPr>
            <w:tcW w:w="1276" w:type="dxa"/>
            <w:tcBorders>
              <w:top w:val="nil"/>
              <w:left w:val="nil"/>
              <w:bottom w:val="single" w:sz="4" w:space="0" w:color="auto"/>
              <w:right w:val="single" w:sz="4" w:space="0" w:color="auto"/>
            </w:tcBorders>
            <w:shd w:val="clear" w:color="auto" w:fill="auto"/>
            <w:noWrap/>
            <w:vAlign w:val="center"/>
            <w:hideMark/>
          </w:tcPr>
          <w:p w:rsidR="00F07E05" w:rsidRDefault="00F07E05" w:rsidP="008A253E">
            <w:pPr>
              <w:jc w:val="center"/>
              <w:rPr>
                <w:color w:val="000000"/>
                <w:sz w:val="20"/>
                <w:szCs w:val="20"/>
              </w:rPr>
            </w:pPr>
            <w:r>
              <w:rPr>
                <w:color w:val="000000"/>
                <w:sz w:val="20"/>
                <w:szCs w:val="20"/>
              </w:rPr>
              <w:t>432,00</w:t>
            </w:r>
          </w:p>
        </w:tc>
        <w:tc>
          <w:tcPr>
            <w:tcW w:w="1276" w:type="dxa"/>
            <w:tcBorders>
              <w:top w:val="nil"/>
              <w:left w:val="nil"/>
              <w:bottom w:val="single" w:sz="4" w:space="0" w:color="auto"/>
              <w:right w:val="single" w:sz="4" w:space="0" w:color="auto"/>
            </w:tcBorders>
            <w:shd w:val="clear" w:color="auto" w:fill="auto"/>
            <w:noWrap/>
            <w:vAlign w:val="center"/>
            <w:hideMark/>
          </w:tcPr>
          <w:p w:rsidR="00F07E05" w:rsidRDefault="00F07E05" w:rsidP="008A253E">
            <w:pPr>
              <w:jc w:val="center"/>
              <w:rPr>
                <w:color w:val="000000"/>
                <w:sz w:val="20"/>
                <w:szCs w:val="20"/>
              </w:rPr>
            </w:pPr>
            <w:r>
              <w:rPr>
                <w:color w:val="000000"/>
                <w:sz w:val="20"/>
                <w:szCs w:val="20"/>
              </w:rPr>
              <w:t>178,84</w:t>
            </w:r>
          </w:p>
        </w:tc>
        <w:tc>
          <w:tcPr>
            <w:tcW w:w="1405" w:type="dxa"/>
            <w:tcBorders>
              <w:top w:val="nil"/>
              <w:left w:val="nil"/>
              <w:bottom w:val="single" w:sz="4" w:space="0" w:color="auto"/>
              <w:right w:val="single" w:sz="4" w:space="0" w:color="auto"/>
            </w:tcBorders>
            <w:shd w:val="clear" w:color="auto" w:fill="auto"/>
            <w:noWrap/>
            <w:vAlign w:val="center"/>
            <w:hideMark/>
          </w:tcPr>
          <w:p w:rsidR="00F07E05" w:rsidRDefault="00F07E05" w:rsidP="008A253E">
            <w:pPr>
              <w:jc w:val="center"/>
              <w:rPr>
                <w:b/>
                <w:bCs/>
                <w:color w:val="000000"/>
                <w:sz w:val="20"/>
                <w:szCs w:val="20"/>
              </w:rPr>
            </w:pPr>
            <w:r>
              <w:rPr>
                <w:b/>
                <w:bCs/>
                <w:color w:val="000000"/>
                <w:sz w:val="20"/>
                <w:szCs w:val="20"/>
              </w:rPr>
              <w:t>77 258,88</w:t>
            </w:r>
          </w:p>
        </w:tc>
        <w:tc>
          <w:tcPr>
            <w:tcW w:w="1288" w:type="dxa"/>
            <w:tcBorders>
              <w:top w:val="nil"/>
              <w:left w:val="nil"/>
              <w:bottom w:val="single" w:sz="4" w:space="0" w:color="auto"/>
              <w:right w:val="single" w:sz="4" w:space="0" w:color="auto"/>
            </w:tcBorders>
            <w:shd w:val="clear" w:color="auto" w:fill="auto"/>
            <w:noWrap/>
            <w:vAlign w:val="center"/>
            <w:hideMark/>
          </w:tcPr>
          <w:p w:rsidR="00F07E05" w:rsidRDefault="00F07E05" w:rsidP="008A253E">
            <w:pPr>
              <w:jc w:val="center"/>
              <w:rPr>
                <w:color w:val="000000"/>
                <w:sz w:val="20"/>
                <w:szCs w:val="20"/>
              </w:rPr>
            </w:pPr>
            <w:r>
              <w:rPr>
                <w:color w:val="000000"/>
                <w:sz w:val="20"/>
                <w:szCs w:val="20"/>
              </w:rPr>
              <w:t>432,00</w:t>
            </w:r>
          </w:p>
        </w:tc>
        <w:tc>
          <w:tcPr>
            <w:tcW w:w="1742" w:type="dxa"/>
            <w:tcBorders>
              <w:top w:val="nil"/>
              <w:left w:val="nil"/>
              <w:bottom w:val="single" w:sz="4" w:space="0" w:color="auto"/>
              <w:right w:val="single" w:sz="4" w:space="0" w:color="auto"/>
            </w:tcBorders>
            <w:shd w:val="clear" w:color="auto" w:fill="auto"/>
            <w:noWrap/>
            <w:vAlign w:val="center"/>
            <w:hideMark/>
          </w:tcPr>
          <w:p w:rsidR="00F07E05" w:rsidRDefault="00F07E05" w:rsidP="008A253E">
            <w:pPr>
              <w:jc w:val="center"/>
              <w:rPr>
                <w:color w:val="000000"/>
                <w:sz w:val="20"/>
                <w:szCs w:val="20"/>
              </w:rPr>
            </w:pPr>
            <w:r>
              <w:rPr>
                <w:color w:val="000000"/>
                <w:sz w:val="20"/>
                <w:szCs w:val="20"/>
              </w:rPr>
              <w:t>178,84</w:t>
            </w:r>
          </w:p>
        </w:tc>
        <w:tc>
          <w:tcPr>
            <w:tcW w:w="1376" w:type="dxa"/>
            <w:tcBorders>
              <w:top w:val="nil"/>
              <w:left w:val="nil"/>
              <w:bottom w:val="single" w:sz="4" w:space="0" w:color="auto"/>
              <w:right w:val="single" w:sz="4" w:space="0" w:color="auto"/>
            </w:tcBorders>
            <w:shd w:val="clear" w:color="auto" w:fill="auto"/>
            <w:noWrap/>
            <w:vAlign w:val="center"/>
            <w:hideMark/>
          </w:tcPr>
          <w:p w:rsidR="00F07E05" w:rsidRDefault="00F07E05" w:rsidP="008A253E">
            <w:pPr>
              <w:jc w:val="center"/>
              <w:rPr>
                <w:b/>
                <w:bCs/>
                <w:color w:val="000000"/>
                <w:sz w:val="20"/>
                <w:szCs w:val="20"/>
              </w:rPr>
            </w:pPr>
            <w:r>
              <w:rPr>
                <w:b/>
                <w:bCs/>
                <w:color w:val="000000"/>
                <w:sz w:val="20"/>
                <w:szCs w:val="20"/>
              </w:rPr>
              <w:t>77 258,88</w:t>
            </w:r>
          </w:p>
        </w:tc>
        <w:tc>
          <w:tcPr>
            <w:tcW w:w="1134" w:type="dxa"/>
            <w:tcBorders>
              <w:top w:val="nil"/>
              <w:left w:val="nil"/>
              <w:bottom w:val="single" w:sz="4" w:space="0" w:color="auto"/>
              <w:right w:val="single" w:sz="4" w:space="0" w:color="auto"/>
            </w:tcBorders>
            <w:shd w:val="clear" w:color="auto" w:fill="auto"/>
            <w:noWrap/>
            <w:vAlign w:val="center"/>
            <w:hideMark/>
          </w:tcPr>
          <w:p w:rsidR="00F07E05" w:rsidRDefault="00F07E05" w:rsidP="008A253E">
            <w:pPr>
              <w:jc w:val="center"/>
              <w:rPr>
                <w:color w:val="000000"/>
                <w:sz w:val="20"/>
                <w:szCs w:val="20"/>
              </w:rPr>
            </w:pPr>
            <w:r>
              <w:rPr>
                <w:color w:val="000000"/>
                <w:sz w:val="20"/>
                <w:szCs w:val="20"/>
              </w:rPr>
              <w:t>432,00</w:t>
            </w:r>
          </w:p>
        </w:tc>
        <w:tc>
          <w:tcPr>
            <w:tcW w:w="1276" w:type="dxa"/>
            <w:tcBorders>
              <w:top w:val="nil"/>
              <w:left w:val="nil"/>
              <w:bottom w:val="single" w:sz="4" w:space="0" w:color="auto"/>
              <w:right w:val="single" w:sz="4" w:space="0" w:color="auto"/>
            </w:tcBorders>
            <w:shd w:val="clear" w:color="auto" w:fill="auto"/>
            <w:noWrap/>
            <w:vAlign w:val="center"/>
            <w:hideMark/>
          </w:tcPr>
          <w:p w:rsidR="00F07E05" w:rsidRDefault="00F07E05" w:rsidP="008A253E">
            <w:pPr>
              <w:jc w:val="center"/>
              <w:rPr>
                <w:color w:val="000000"/>
                <w:sz w:val="20"/>
                <w:szCs w:val="20"/>
              </w:rPr>
            </w:pPr>
            <w:r>
              <w:rPr>
                <w:color w:val="000000"/>
                <w:sz w:val="20"/>
                <w:szCs w:val="20"/>
              </w:rPr>
              <w:t>178,84</w:t>
            </w:r>
          </w:p>
        </w:tc>
      </w:tr>
      <w:tr w:rsidR="00F07E05" w:rsidTr="008A253E">
        <w:trPr>
          <w:gridAfter w:val="1"/>
          <w:wAfter w:w="50" w:type="dxa"/>
          <w:trHeight w:val="270"/>
        </w:trPr>
        <w:tc>
          <w:tcPr>
            <w:tcW w:w="486" w:type="dxa"/>
            <w:vMerge/>
            <w:tcBorders>
              <w:top w:val="nil"/>
              <w:left w:val="single" w:sz="4" w:space="0" w:color="auto"/>
              <w:bottom w:val="nil"/>
              <w:right w:val="single" w:sz="4" w:space="0" w:color="auto"/>
            </w:tcBorders>
            <w:shd w:val="clear" w:color="auto" w:fill="auto"/>
            <w:vAlign w:val="center"/>
            <w:hideMark/>
          </w:tcPr>
          <w:p w:rsidR="00F07E05" w:rsidRDefault="00F07E05" w:rsidP="008A253E">
            <w:pPr>
              <w:rPr>
                <w:color w:val="000000"/>
                <w:sz w:val="20"/>
                <w:szCs w:val="20"/>
              </w:rPr>
            </w:pPr>
          </w:p>
        </w:tc>
        <w:tc>
          <w:tcPr>
            <w:tcW w:w="1715" w:type="dxa"/>
            <w:vMerge/>
            <w:tcBorders>
              <w:top w:val="nil"/>
              <w:left w:val="single" w:sz="4" w:space="0" w:color="auto"/>
              <w:bottom w:val="nil"/>
              <w:right w:val="single" w:sz="4" w:space="0" w:color="auto"/>
            </w:tcBorders>
            <w:shd w:val="clear" w:color="auto" w:fill="auto"/>
            <w:vAlign w:val="center"/>
            <w:hideMark/>
          </w:tcPr>
          <w:p w:rsidR="00F07E05" w:rsidRDefault="00F07E05" w:rsidP="008A253E">
            <w:pPr>
              <w:rPr>
                <w:sz w:val="20"/>
                <w:szCs w:val="20"/>
              </w:rPr>
            </w:pPr>
          </w:p>
        </w:tc>
        <w:tc>
          <w:tcPr>
            <w:tcW w:w="1769" w:type="dxa"/>
            <w:tcBorders>
              <w:top w:val="nil"/>
              <w:left w:val="nil"/>
              <w:bottom w:val="single" w:sz="4" w:space="0" w:color="auto"/>
              <w:right w:val="nil"/>
            </w:tcBorders>
            <w:shd w:val="clear" w:color="auto" w:fill="auto"/>
            <w:noWrap/>
            <w:vAlign w:val="center"/>
            <w:hideMark/>
          </w:tcPr>
          <w:p w:rsidR="00F07E05" w:rsidRDefault="00F07E05" w:rsidP="008A253E">
            <w:pPr>
              <w:jc w:val="center"/>
              <w:rPr>
                <w:b/>
                <w:bCs/>
                <w:color w:val="000000"/>
                <w:sz w:val="20"/>
                <w:szCs w:val="20"/>
              </w:rPr>
            </w:pPr>
            <w:r>
              <w:rPr>
                <w:b/>
                <w:bCs/>
                <w:color w:val="000000"/>
                <w:sz w:val="20"/>
                <w:szCs w:val="20"/>
              </w:rPr>
              <w:t>Итого</w:t>
            </w:r>
          </w:p>
        </w:tc>
        <w:tc>
          <w:tcPr>
            <w:tcW w:w="1417" w:type="dxa"/>
            <w:tcBorders>
              <w:top w:val="nil"/>
              <w:left w:val="nil"/>
              <w:bottom w:val="single" w:sz="4" w:space="0" w:color="auto"/>
              <w:right w:val="single" w:sz="4" w:space="0" w:color="auto"/>
            </w:tcBorders>
            <w:shd w:val="clear" w:color="auto" w:fill="auto"/>
            <w:noWrap/>
            <w:vAlign w:val="center"/>
            <w:hideMark/>
          </w:tcPr>
          <w:p w:rsidR="00F07E05" w:rsidRDefault="00F07E05" w:rsidP="008A253E">
            <w:pPr>
              <w:jc w:val="center"/>
              <w:rPr>
                <w:b/>
                <w:bCs/>
                <w:color w:val="000000"/>
                <w:sz w:val="20"/>
                <w:szCs w:val="20"/>
              </w:rPr>
            </w:pPr>
            <w:r>
              <w:rPr>
                <w:b/>
                <w:bCs/>
                <w:color w:val="000000"/>
                <w:sz w:val="20"/>
                <w:szCs w:val="20"/>
              </w:rPr>
              <w:t>411 528,89</w:t>
            </w:r>
          </w:p>
        </w:tc>
        <w:tc>
          <w:tcPr>
            <w:tcW w:w="1276" w:type="dxa"/>
            <w:tcBorders>
              <w:top w:val="nil"/>
              <w:left w:val="nil"/>
              <w:bottom w:val="single" w:sz="4" w:space="0" w:color="auto"/>
              <w:right w:val="single" w:sz="4" w:space="0" w:color="auto"/>
            </w:tcBorders>
            <w:shd w:val="clear" w:color="auto" w:fill="auto"/>
            <w:noWrap/>
            <w:vAlign w:val="center"/>
            <w:hideMark/>
          </w:tcPr>
          <w:p w:rsidR="00F07E05" w:rsidRDefault="00F07E05" w:rsidP="008A253E">
            <w:pPr>
              <w:jc w:val="center"/>
              <w:rPr>
                <w:b/>
                <w:bCs/>
                <w:color w:val="000000"/>
                <w:sz w:val="20"/>
                <w:szCs w:val="20"/>
              </w:rPr>
            </w:pPr>
            <w:r>
              <w:rPr>
                <w:b/>
                <w:bCs/>
                <w:color w:val="000000"/>
                <w:sz w:val="20"/>
                <w:szCs w:val="20"/>
              </w:rPr>
              <w:t>Х</w:t>
            </w:r>
          </w:p>
        </w:tc>
        <w:tc>
          <w:tcPr>
            <w:tcW w:w="1276" w:type="dxa"/>
            <w:tcBorders>
              <w:top w:val="nil"/>
              <w:left w:val="nil"/>
              <w:bottom w:val="single" w:sz="4" w:space="0" w:color="auto"/>
              <w:right w:val="single" w:sz="4" w:space="0" w:color="auto"/>
            </w:tcBorders>
            <w:shd w:val="clear" w:color="auto" w:fill="auto"/>
            <w:noWrap/>
            <w:vAlign w:val="center"/>
            <w:hideMark/>
          </w:tcPr>
          <w:p w:rsidR="00F07E05" w:rsidRDefault="00F07E05" w:rsidP="008A253E">
            <w:pPr>
              <w:jc w:val="center"/>
              <w:rPr>
                <w:b/>
                <w:bCs/>
                <w:color w:val="000000"/>
                <w:sz w:val="20"/>
                <w:szCs w:val="20"/>
              </w:rPr>
            </w:pPr>
            <w:r>
              <w:rPr>
                <w:b/>
                <w:bCs/>
                <w:color w:val="000000"/>
                <w:sz w:val="20"/>
                <w:szCs w:val="20"/>
              </w:rPr>
              <w:t>Х</w:t>
            </w:r>
          </w:p>
        </w:tc>
        <w:tc>
          <w:tcPr>
            <w:tcW w:w="1405" w:type="dxa"/>
            <w:tcBorders>
              <w:top w:val="nil"/>
              <w:left w:val="nil"/>
              <w:bottom w:val="single" w:sz="4" w:space="0" w:color="auto"/>
              <w:right w:val="single" w:sz="4" w:space="0" w:color="auto"/>
            </w:tcBorders>
            <w:shd w:val="clear" w:color="auto" w:fill="auto"/>
            <w:noWrap/>
            <w:vAlign w:val="center"/>
            <w:hideMark/>
          </w:tcPr>
          <w:p w:rsidR="00F07E05" w:rsidRDefault="00F07E05" w:rsidP="008A253E">
            <w:pPr>
              <w:jc w:val="center"/>
              <w:rPr>
                <w:b/>
                <w:bCs/>
                <w:color w:val="000000"/>
                <w:sz w:val="20"/>
                <w:szCs w:val="20"/>
              </w:rPr>
            </w:pPr>
            <w:r>
              <w:rPr>
                <w:b/>
                <w:bCs/>
                <w:color w:val="000000"/>
                <w:sz w:val="20"/>
                <w:szCs w:val="20"/>
              </w:rPr>
              <w:t>413 368,51</w:t>
            </w:r>
          </w:p>
        </w:tc>
        <w:tc>
          <w:tcPr>
            <w:tcW w:w="1288" w:type="dxa"/>
            <w:tcBorders>
              <w:top w:val="nil"/>
              <w:left w:val="nil"/>
              <w:bottom w:val="single" w:sz="4" w:space="0" w:color="auto"/>
              <w:right w:val="single" w:sz="4" w:space="0" w:color="auto"/>
            </w:tcBorders>
            <w:shd w:val="clear" w:color="auto" w:fill="auto"/>
            <w:noWrap/>
            <w:vAlign w:val="center"/>
            <w:hideMark/>
          </w:tcPr>
          <w:p w:rsidR="00F07E05" w:rsidRDefault="00F07E05" w:rsidP="008A253E">
            <w:pPr>
              <w:jc w:val="center"/>
              <w:rPr>
                <w:b/>
                <w:bCs/>
                <w:color w:val="000000"/>
                <w:sz w:val="20"/>
                <w:szCs w:val="20"/>
              </w:rPr>
            </w:pPr>
            <w:r>
              <w:rPr>
                <w:b/>
                <w:bCs/>
                <w:color w:val="000000"/>
                <w:sz w:val="20"/>
                <w:szCs w:val="20"/>
              </w:rPr>
              <w:t>Х</w:t>
            </w:r>
          </w:p>
        </w:tc>
        <w:tc>
          <w:tcPr>
            <w:tcW w:w="1742" w:type="dxa"/>
            <w:tcBorders>
              <w:top w:val="nil"/>
              <w:left w:val="nil"/>
              <w:bottom w:val="single" w:sz="4" w:space="0" w:color="auto"/>
              <w:right w:val="single" w:sz="4" w:space="0" w:color="auto"/>
            </w:tcBorders>
            <w:shd w:val="clear" w:color="auto" w:fill="auto"/>
            <w:noWrap/>
            <w:vAlign w:val="center"/>
            <w:hideMark/>
          </w:tcPr>
          <w:p w:rsidR="00F07E05" w:rsidRDefault="00F07E05" w:rsidP="008A253E">
            <w:pPr>
              <w:jc w:val="center"/>
              <w:rPr>
                <w:b/>
                <w:bCs/>
                <w:color w:val="000000"/>
                <w:sz w:val="20"/>
                <w:szCs w:val="20"/>
              </w:rPr>
            </w:pPr>
            <w:r>
              <w:rPr>
                <w:b/>
                <w:bCs/>
                <w:color w:val="000000"/>
                <w:sz w:val="20"/>
                <w:szCs w:val="20"/>
              </w:rPr>
              <w:t>Х</w:t>
            </w:r>
          </w:p>
        </w:tc>
        <w:tc>
          <w:tcPr>
            <w:tcW w:w="1376" w:type="dxa"/>
            <w:tcBorders>
              <w:top w:val="nil"/>
              <w:left w:val="nil"/>
              <w:bottom w:val="single" w:sz="4" w:space="0" w:color="auto"/>
              <w:right w:val="single" w:sz="4" w:space="0" w:color="auto"/>
            </w:tcBorders>
            <w:shd w:val="clear" w:color="auto" w:fill="auto"/>
            <w:noWrap/>
            <w:vAlign w:val="center"/>
            <w:hideMark/>
          </w:tcPr>
          <w:p w:rsidR="00F07E05" w:rsidRDefault="00F07E05" w:rsidP="008A253E">
            <w:pPr>
              <w:jc w:val="center"/>
              <w:rPr>
                <w:b/>
                <w:bCs/>
                <w:color w:val="000000"/>
                <w:sz w:val="20"/>
                <w:szCs w:val="20"/>
              </w:rPr>
            </w:pPr>
            <w:r>
              <w:rPr>
                <w:b/>
                <w:bCs/>
                <w:color w:val="000000"/>
                <w:sz w:val="20"/>
                <w:szCs w:val="20"/>
              </w:rPr>
              <w:t>416 696,69</w:t>
            </w:r>
          </w:p>
        </w:tc>
        <w:tc>
          <w:tcPr>
            <w:tcW w:w="1134" w:type="dxa"/>
            <w:tcBorders>
              <w:top w:val="nil"/>
              <w:left w:val="nil"/>
              <w:bottom w:val="single" w:sz="4" w:space="0" w:color="auto"/>
              <w:right w:val="single" w:sz="4" w:space="0" w:color="auto"/>
            </w:tcBorders>
            <w:shd w:val="clear" w:color="auto" w:fill="auto"/>
            <w:noWrap/>
            <w:vAlign w:val="center"/>
            <w:hideMark/>
          </w:tcPr>
          <w:p w:rsidR="00F07E05" w:rsidRDefault="00F07E05" w:rsidP="008A253E">
            <w:pPr>
              <w:jc w:val="center"/>
              <w:rPr>
                <w:b/>
                <w:bCs/>
                <w:color w:val="000000"/>
                <w:sz w:val="20"/>
                <w:szCs w:val="20"/>
              </w:rPr>
            </w:pPr>
            <w:r>
              <w:rPr>
                <w:b/>
                <w:bCs/>
                <w:color w:val="000000"/>
                <w:sz w:val="20"/>
                <w:szCs w:val="20"/>
              </w:rPr>
              <w:t>Х</w:t>
            </w:r>
          </w:p>
        </w:tc>
        <w:tc>
          <w:tcPr>
            <w:tcW w:w="1276" w:type="dxa"/>
            <w:tcBorders>
              <w:top w:val="nil"/>
              <w:left w:val="nil"/>
              <w:bottom w:val="single" w:sz="4" w:space="0" w:color="auto"/>
              <w:right w:val="single" w:sz="4" w:space="0" w:color="auto"/>
            </w:tcBorders>
            <w:shd w:val="clear" w:color="auto" w:fill="auto"/>
            <w:noWrap/>
            <w:vAlign w:val="center"/>
            <w:hideMark/>
          </w:tcPr>
          <w:p w:rsidR="00F07E05" w:rsidRDefault="00F07E05" w:rsidP="008A253E">
            <w:pPr>
              <w:jc w:val="center"/>
              <w:rPr>
                <w:b/>
                <w:bCs/>
                <w:color w:val="000000"/>
                <w:sz w:val="20"/>
                <w:szCs w:val="20"/>
              </w:rPr>
            </w:pPr>
            <w:r>
              <w:rPr>
                <w:b/>
                <w:bCs/>
                <w:color w:val="000000"/>
                <w:sz w:val="20"/>
                <w:szCs w:val="20"/>
              </w:rPr>
              <w:t>Х</w:t>
            </w:r>
          </w:p>
        </w:tc>
      </w:tr>
      <w:tr w:rsidR="00F07E05" w:rsidTr="008A253E">
        <w:trPr>
          <w:gridAfter w:val="1"/>
          <w:wAfter w:w="50" w:type="dxa"/>
          <w:trHeight w:val="270"/>
        </w:trPr>
        <w:tc>
          <w:tcPr>
            <w:tcW w:w="486" w:type="dxa"/>
            <w:vMerge w:val="restart"/>
            <w:tcBorders>
              <w:top w:val="nil"/>
              <w:left w:val="single" w:sz="4" w:space="0" w:color="auto"/>
              <w:bottom w:val="nil"/>
              <w:right w:val="single" w:sz="4" w:space="0" w:color="auto"/>
            </w:tcBorders>
            <w:shd w:val="clear" w:color="auto" w:fill="auto"/>
            <w:vAlign w:val="center"/>
            <w:hideMark/>
          </w:tcPr>
          <w:p w:rsidR="00F07E05" w:rsidRDefault="00F07E05" w:rsidP="008A253E">
            <w:pPr>
              <w:jc w:val="center"/>
              <w:rPr>
                <w:color w:val="000000"/>
                <w:sz w:val="20"/>
                <w:szCs w:val="20"/>
              </w:rPr>
            </w:pPr>
            <w:r>
              <w:rPr>
                <w:color w:val="000000"/>
                <w:sz w:val="20"/>
                <w:szCs w:val="20"/>
              </w:rPr>
              <w:t>4</w:t>
            </w:r>
          </w:p>
        </w:tc>
        <w:tc>
          <w:tcPr>
            <w:tcW w:w="1715" w:type="dxa"/>
            <w:vMerge w:val="restart"/>
            <w:tcBorders>
              <w:top w:val="nil"/>
              <w:left w:val="single" w:sz="4" w:space="0" w:color="auto"/>
              <w:bottom w:val="nil"/>
              <w:right w:val="single" w:sz="4" w:space="0" w:color="auto"/>
            </w:tcBorders>
            <w:shd w:val="clear" w:color="auto" w:fill="auto"/>
            <w:vAlign w:val="center"/>
            <w:hideMark/>
          </w:tcPr>
          <w:p w:rsidR="00F07E05" w:rsidRDefault="00F07E05" w:rsidP="008A253E">
            <w:pPr>
              <w:jc w:val="center"/>
              <w:rPr>
                <w:sz w:val="20"/>
                <w:szCs w:val="20"/>
              </w:rPr>
            </w:pPr>
            <w:r>
              <w:rPr>
                <w:sz w:val="20"/>
                <w:szCs w:val="20"/>
              </w:rPr>
              <w:t xml:space="preserve">ГКОУ "Ригодищенская школа-интернат" </w:t>
            </w:r>
          </w:p>
        </w:tc>
        <w:tc>
          <w:tcPr>
            <w:tcW w:w="1769" w:type="dxa"/>
            <w:tcBorders>
              <w:top w:val="nil"/>
              <w:left w:val="nil"/>
              <w:bottom w:val="single" w:sz="4" w:space="0" w:color="auto"/>
              <w:right w:val="single" w:sz="4" w:space="0" w:color="auto"/>
            </w:tcBorders>
            <w:shd w:val="clear" w:color="auto" w:fill="auto"/>
            <w:vAlign w:val="center"/>
            <w:hideMark/>
          </w:tcPr>
          <w:p w:rsidR="00F07E05" w:rsidRDefault="00F07E05" w:rsidP="008A253E">
            <w:pPr>
              <w:rPr>
                <w:color w:val="000000"/>
                <w:sz w:val="20"/>
                <w:szCs w:val="20"/>
              </w:rPr>
            </w:pPr>
            <w:r>
              <w:rPr>
                <w:color w:val="000000"/>
                <w:sz w:val="20"/>
                <w:szCs w:val="20"/>
              </w:rPr>
              <w:t xml:space="preserve">водопотребление </w:t>
            </w:r>
          </w:p>
        </w:tc>
        <w:tc>
          <w:tcPr>
            <w:tcW w:w="1417" w:type="dxa"/>
            <w:tcBorders>
              <w:top w:val="nil"/>
              <w:left w:val="nil"/>
              <w:bottom w:val="single" w:sz="4" w:space="0" w:color="auto"/>
              <w:right w:val="single" w:sz="4" w:space="0" w:color="auto"/>
            </w:tcBorders>
            <w:shd w:val="clear" w:color="auto" w:fill="auto"/>
            <w:noWrap/>
            <w:vAlign w:val="center"/>
            <w:hideMark/>
          </w:tcPr>
          <w:p w:rsidR="00F07E05" w:rsidRDefault="00F07E05" w:rsidP="008A253E">
            <w:pPr>
              <w:jc w:val="center"/>
              <w:rPr>
                <w:b/>
                <w:bCs/>
                <w:color w:val="000000"/>
                <w:sz w:val="20"/>
                <w:szCs w:val="20"/>
              </w:rPr>
            </w:pPr>
            <w:r>
              <w:rPr>
                <w:b/>
                <w:bCs/>
                <w:color w:val="000000"/>
                <w:sz w:val="20"/>
                <w:szCs w:val="20"/>
              </w:rPr>
              <w:t>80 115,00</w:t>
            </w:r>
          </w:p>
        </w:tc>
        <w:tc>
          <w:tcPr>
            <w:tcW w:w="1276" w:type="dxa"/>
            <w:tcBorders>
              <w:top w:val="nil"/>
              <w:left w:val="nil"/>
              <w:bottom w:val="single" w:sz="4" w:space="0" w:color="auto"/>
              <w:right w:val="single" w:sz="4" w:space="0" w:color="auto"/>
            </w:tcBorders>
            <w:shd w:val="clear" w:color="auto" w:fill="auto"/>
            <w:noWrap/>
            <w:vAlign w:val="center"/>
            <w:hideMark/>
          </w:tcPr>
          <w:p w:rsidR="00F07E05" w:rsidRDefault="00F07E05" w:rsidP="008A253E">
            <w:pPr>
              <w:jc w:val="center"/>
              <w:rPr>
                <w:color w:val="000000"/>
                <w:sz w:val="20"/>
                <w:szCs w:val="20"/>
              </w:rPr>
            </w:pPr>
            <w:r>
              <w:rPr>
                <w:color w:val="000000"/>
                <w:sz w:val="20"/>
                <w:szCs w:val="20"/>
              </w:rPr>
              <w:t>3 500,00</w:t>
            </w:r>
          </w:p>
        </w:tc>
        <w:tc>
          <w:tcPr>
            <w:tcW w:w="1276" w:type="dxa"/>
            <w:tcBorders>
              <w:top w:val="nil"/>
              <w:left w:val="nil"/>
              <w:bottom w:val="single" w:sz="4" w:space="0" w:color="auto"/>
              <w:right w:val="single" w:sz="4" w:space="0" w:color="auto"/>
            </w:tcBorders>
            <w:shd w:val="clear" w:color="auto" w:fill="auto"/>
            <w:noWrap/>
            <w:vAlign w:val="center"/>
            <w:hideMark/>
          </w:tcPr>
          <w:p w:rsidR="00F07E05" w:rsidRDefault="00F07E05" w:rsidP="008A253E">
            <w:pPr>
              <w:jc w:val="center"/>
              <w:rPr>
                <w:color w:val="000000"/>
                <w:sz w:val="20"/>
                <w:szCs w:val="20"/>
              </w:rPr>
            </w:pPr>
            <w:r>
              <w:rPr>
                <w:color w:val="000000"/>
                <w:sz w:val="20"/>
                <w:szCs w:val="20"/>
              </w:rPr>
              <w:t>22,89</w:t>
            </w:r>
          </w:p>
        </w:tc>
        <w:tc>
          <w:tcPr>
            <w:tcW w:w="1405" w:type="dxa"/>
            <w:tcBorders>
              <w:top w:val="nil"/>
              <w:left w:val="nil"/>
              <w:bottom w:val="single" w:sz="4" w:space="0" w:color="auto"/>
              <w:right w:val="single" w:sz="4" w:space="0" w:color="auto"/>
            </w:tcBorders>
            <w:shd w:val="clear" w:color="auto" w:fill="auto"/>
            <w:noWrap/>
            <w:vAlign w:val="center"/>
            <w:hideMark/>
          </w:tcPr>
          <w:p w:rsidR="00F07E05" w:rsidRDefault="00F07E05" w:rsidP="008A253E">
            <w:pPr>
              <w:jc w:val="center"/>
              <w:rPr>
                <w:b/>
                <w:bCs/>
                <w:color w:val="000000"/>
                <w:sz w:val="20"/>
                <w:szCs w:val="20"/>
              </w:rPr>
            </w:pPr>
            <w:r>
              <w:rPr>
                <w:b/>
                <w:bCs/>
                <w:color w:val="000000"/>
                <w:sz w:val="20"/>
                <w:szCs w:val="20"/>
              </w:rPr>
              <w:t>80 115,00</w:t>
            </w:r>
          </w:p>
        </w:tc>
        <w:tc>
          <w:tcPr>
            <w:tcW w:w="1288" w:type="dxa"/>
            <w:tcBorders>
              <w:top w:val="nil"/>
              <w:left w:val="nil"/>
              <w:bottom w:val="single" w:sz="4" w:space="0" w:color="auto"/>
              <w:right w:val="single" w:sz="4" w:space="0" w:color="auto"/>
            </w:tcBorders>
            <w:shd w:val="clear" w:color="auto" w:fill="auto"/>
            <w:noWrap/>
            <w:vAlign w:val="center"/>
            <w:hideMark/>
          </w:tcPr>
          <w:p w:rsidR="00F07E05" w:rsidRDefault="00F07E05" w:rsidP="008A253E">
            <w:pPr>
              <w:jc w:val="center"/>
              <w:rPr>
                <w:color w:val="000000"/>
                <w:sz w:val="20"/>
                <w:szCs w:val="20"/>
              </w:rPr>
            </w:pPr>
            <w:r>
              <w:rPr>
                <w:color w:val="000000"/>
                <w:sz w:val="20"/>
                <w:szCs w:val="20"/>
              </w:rPr>
              <w:t>3 500,00</w:t>
            </w:r>
          </w:p>
        </w:tc>
        <w:tc>
          <w:tcPr>
            <w:tcW w:w="1742" w:type="dxa"/>
            <w:tcBorders>
              <w:top w:val="nil"/>
              <w:left w:val="nil"/>
              <w:bottom w:val="single" w:sz="4" w:space="0" w:color="auto"/>
              <w:right w:val="single" w:sz="4" w:space="0" w:color="auto"/>
            </w:tcBorders>
            <w:shd w:val="clear" w:color="auto" w:fill="auto"/>
            <w:noWrap/>
            <w:vAlign w:val="center"/>
            <w:hideMark/>
          </w:tcPr>
          <w:p w:rsidR="00F07E05" w:rsidRDefault="00F07E05" w:rsidP="008A253E">
            <w:pPr>
              <w:jc w:val="center"/>
              <w:rPr>
                <w:color w:val="000000"/>
                <w:sz w:val="20"/>
                <w:szCs w:val="20"/>
              </w:rPr>
            </w:pPr>
            <w:r>
              <w:rPr>
                <w:color w:val="000000"/>
                <w:sz w:val="20"/>
                <w:szCs w:val="20"/>
              </w:rPr>
              <w:t>22,89</w:t>
            </w:r>
          </w:p>
        </w:tc>
        <w:tc>
          <w:tcPr>
            <w:tcW w:w="1376" w:type="dxa"/>
            <w:tcBorders>
              <w:top w:val="nil"/>
              <w:left w:val="nil"/>
              <w:bottom w:val="single" w:sz="4" w:space="0" w:color="auto"/>
              <w:right w:val="single" w:sz="4" w:space="0" w:color="auto"/>
            </w:tcBorders>
            <w:shd w:val="clear" w:color="auto" w:fill="auto"/>
            <w:noWrap/>
            <w:vAlign w:val="center"/>
            <w:hideMark/>
          </w:tcPr>
          <w:p w:rsidR="00F07E05" w:rsidRDefault="00F07E05" w:rsidP="008A253E">
            <w:pPr>
              <w:jc w:val="center"/>
              <w:rPr>
                <w:b/>
                <w:bCs/>
                <w:color w:val="000000"/>
                <w:sz w:val="20"/>
                <w:szCs w:val="20"/>
              </w:rPr>
            </w:pPr>
            <w:r>
              <w:rPr>
                <w:b/>
                <w:bCs/>
                <w:color w:val="000000"/>
                <w:sz w:val="20"/>
                <w:szCs w:val="20"/>
              </w:rPr>
              <w:t>80 115,00</w:t>
            </w:r>
          </w:p>
        </w:tc>
        <w:tc>
          <w:tcPr>
            <w:tcW w:w="1134" w:type="dxa"/>
            <w:tcBorders>
              <w:top w:val="nil"/>
              <w:left w:val="nil"/>
              <w:bottom w:val="single" w:sz="4" w:space="0" w:color="auto"/>
              <w:right w:val="single" w:sz="4" w:space="0" w:color="auto"/>
            </w:tcBorders>
            <w:shd w:val="clear" w:color="auto" w:fill="auto"/>
            <w:noWrap/>
            <w:vAlign w:val="center"/>
            <w:hideMark/>
          </w:tcPr>
          <w:p w:rsidR="00F07E05" w:rsidRDefault="00F07E05" w:rsidP="008A253E">
            <w:pPr>
              <w:jc w:val="center"/>
              <w:rPr>
                <w:color w:val="000000"/>
                <w:sz w:val="20"/>
                <w:szCs w:val="20"/>
              </w:rPr>
            </w:pPr>
            <w:r>
              <w:rPr>
                <w:color w:val="000000"/>
                <w:sz w:val="20"/>
                <w:szCs w:val="20"/>
              </w:rPr>
              <w:t>3 500,00</w:t>
            </w:r>
          </w:p>
        </w:tc>
        <w:tc>
          <w:tcPr>
            <w:tcW w:w="1276" w:type="dxa"/>
            <w:tcBorders>
              <w:top w:val="nil"/>
              <w:left w:val="nil"/>
              <w:bottom w:val="single" w:sz="4" w:space="0" w:color="auto"/>
              <w:right w:val="single" w:sz="4" w:space="0" w:color="auto"/>
            </w:tcBorders>
            <w:shd w:val="clear" w:color="auto" w:fill="auto"/>
            <w:noWrap/>
            <w:vAlign w:val="center"/>
            <w:hideMark/>
          </w:tcPr>
          <w:p w:rsidR="00F07E05" w:rsidRDefault="00F07E05" w:rsidP="008A253E">
            <w:pPr>
              <w:jc w:val="center"/>
              <w:rPr>
                <w:color w:val="000000"/>
                <w:sz w:val="20"/>
                <w:szCs w:val="20"/>
              </w:rPr>
            </w:pPr>
            <w:r>
              <w:rPr>
                <w:color w:val="000000"/>
                <w:sz w:val="20"/>
                <w:szCs w:val="20"/>
              </w:rPr>
              <w:t>22,89</w:t>
            </w:r>
          </w:p>
        </w:tc>
      </w:tr>
      <w:tr w:rsidR="00F07E05" w:rsidTr="008A253E">
        <w:trPr>
          <w:gridAfter w:val="1"/>
          <w:wAfter w:w="50" w:type="dxa"/>
          <w:trHeight w:val="270"/>
        </w:trPr>
        <w:tc>
          <w:tcPr>
            <w:tcW w:w="486" w:type="dxa"/>
            <w:vMerge/>
            <w:tcBorders>
              <w:top w:val="nil"/>
              <w:left w:val="single" w:sz="4" w:space="0" w:color="auto"/>
              <w:bottom w:val="nil"/>
              <w:right w:val="single" w:sz="4" w:space="0" w:color="auto"/>
            </w:tcBorders>
            <w:shd w:val="clear" w:color="auto" w:fill="auto"/>
            <w:vAlign w:val="center"/>
            <w:hideMark/>
          </w:tcPr>
          <w:p w:rsidR="00F07E05" w:rsidRDefault="00F07E05" w:rsidP="008A253E">
            <w:pPr>
              <w:rPr>
                <w:color w:val="000000"/>
                <w:sz w:val="20"/>
                <w:szCs w:val="20"/>
              </w:rPr>
            </w:pPr>
          </w:p>
        </w:tc>
        <w:tc>
          <w:tcPr>
            <w:tcW w:w="1715" w:type="dxa"/>
            <w:vMerge/>
            <w:tcBorders>
              <w:top w:val="nil"/>
              <w:left w:val="single" w:sz="4" w:space="0" w:color="auto"/>
              <w:bottom w:val="nil"/>
              <w:right w:val="single" w:sz="4" w:space="0" w:color="auto"/>
            </w:tcBorders>
            <w:shd w:val="clear" w:color="auto" w:fill="auto"/>
            <w:vAlign w:val="center"/>
            <w:hideMark/>
          </w:tcPr>
          <w:p w:rsidR="00F07E05" w:rsidRDefault="00F07E05" w:rsidP="008A253E">
            <w:pPr>
              <w:rPr>
                <w:sz w:val="20"/>
                <w:szCs w:val="20"/>
              </w:rPr>
            </w:pPr>
          </w:p>
        </w:tc>
        <w:tc>
          <w:tcPr>
            <w:tcW w:w="1769" w:type="dxa"/>
            <w:tcBorders>
              <w:top w:val="nil"/>
              <w:left w:val="nil"/>
              <w:bottom w:val="single" w:sz="4" w:space="0" w:color="auto"/>
              <w:right w:val="single" w:sz="4" w:space="0" w:color="auto"/>
            </w:tcBorders>
            <w:shd w:val="clear" w:color="auto" w:fill="auto"/>
            <w:vAlign w:val="center"/>
            <w:hideMark/>
          </w:tcPr>
          <w:p w:rsidR="00F07E05" w:rsidRDefault="00F07E05" w:rsidP="008A253E">
            <w:pPr>
              <w:rPr>
                <w:color w:val="000000"/>
                <w:sz w:val="20"/>
                <w:szCs w:val="20"/>
              </w:rPr>
            </w:pPr>
            <w:r>
              <w:rPr>
                <w:color w:val="000000"/>
                <w:sz w:val="20"/>
                <w:szCs w:val="20"/>
              </w:rPr>
              <w:t>водоотведение</w:t>
            </w:r>
          </w:p>
        </w:tc>
        <w:tc>
          <w:tcPr>
            <w:tcW w:w="1417" w:type="dxa"/>
            <w:tcBorders>
              <w:top w:val="nil"/>
              <w:left w:val="nil"/>
              <w:bottom w:val="single" w:sz="4" w:space="0" w:color="auto"/>
              <w:right w:val="single" w:sz="4" w:space="0" w:color="auto"/>
            </w:tcBorders>
            <w:shd w:val="clear" w:color="auto" w:fill="auto"/>
            <w:noWrap/>
            <w:vAlign w:val="center"/>
            <w:hideMark/>
          </w:tcPr>
          <w:p w:rsidR="00F07E05" w:rsidRDefault="00F07E05" w:rsidP="008A253E">
            <w:pPr>
              <w:jc w:val="center"/>
              <w:rPr>
                <w:b/>
                <w:bCs/>
                <w:color w:val="000000"/>
                <w:sz w:val="20"/>
                <w:szCs w:val="20"/>
              </w:rPr>
            </w:pPr>
            <w:r>
              <w:rPr>
                <w:b/>
                <w:bCs/>
                <w:color w:val="000000"/>
                <w:sz w:val="20"/>
                <w:szCs w:val="20"/>
              </w:rPr>
              <w:t>22 272,00</w:t>
            </w:r>
          </w:p>
        </w:tc>
        <w:tc>
          <w:tcPr>
            <w:tcW w:w="1276" w:type="dxa"/>
            <w:tcBorders>
              <w:top w:val="nil"/>
              <w:left w:val="nil"/>
              <w:bottom w:val="single" w:sz="4" w:space="0" w:color="auto"/>
              <w:right w:val="single" w:sz="4" w:space="0" w:color="auto"/>
            </w:tcBorders>
            <w:shd w:val="clear" w:color="auto" w:fill="auto"/>
            <w:noWrap/>
            <w:vAlign w:val="center"/>
            <w:hideMark/>
          </w:tcPr>
          <w:p w:rsidR="00F07E05" w:rsidRDefault="00F07E05" w:rsidP="008A253E">
            <w:pPr>
              <w:jc w:val="center"/>
              <w:rPr>
                <w:color w:val="000000"/>
                <w:sz w:val="20"/>
                <w:szCs w:val="20"/>
              </w:rPr>
            </w:pPr>
            <w:r>
              <w:rPr>
                <w:color w:val="000000"/>
                <w:sz w:val="20"/>
                <w:szCs w:val="20"/>
              </w:rPr>
              <w:t>3 200,00</w:t>
            </w:r>
          </w:p>
        </w:tc>
        <w:tc>
          <w:tcPr>
            <w:tcW w:w="1276" w:type="dxa"/>
            <w:tcBorders>
              <w:top w:val="nil"/>
              <w:left w:val="nil"/>
              <w:bottom w:val="single" w:sz="4" w:space="0" w:color="auto"/>
              <w:right w:val="single" w:sz="4" w:space="0" w:color="auto"/>
            </w:tcBorders>
            <w:shd w:val="clear" w:color="auto" w:fill="auto"/>
            <w:noWrap/>
            <w:vAlign w:val="center"/>
            <w:hideMark/>
          </w:tcPr>
          <w:p w:rsidR="00F07E05" w:rsidRDefault="00F07E05" w:rsidP="008A253E">
            <w:pPr>
              <w:jc w:val="center"/>
              <w:rPr>
                <w:color w:val="000000"/>
                <w:sz w:val="20"/>
                <w:szCs w:val="20"/>
              </w:rPr>
            </w:pPr>
            <w:r>
              <w:rPr>
                <w:color w:val="000000"/>
                <w:sz w:val="20"/>
                <w:szCs w:val="20"/>
              </w:rPr>
              <w:t>6,96</w:t>
            </w:r>
          </w:p>
        </w:tc>
        <w:tc>
          <w:tcPr>
            <w:tcW w:w="1405" w:type="dxa"/>
            <w:tcBorders>
              <w:top w:val="nil"/>
              <w:left w:val="nil"/>
              <w:bottom w:val="single" w:sz="4" w:space="0" w:color="auto"/>
              <w:right w:val="single" w:sz="4" w:space="0" w:color="auto"/>
            </w:tcBorders>
            <w:shd w:val="clear" w:color="auto" w:fill="auto"/>
            <w:noWrap/>
            <w:vAlign w:val="center"/>
            <w:hideMark/>
          </w:tcPr>
          <w:p w:rsidR="00F07E05" w:rsidRDefault="00F07E05" w:rsidP="008A253E">
            <w:pPr>
              <w:jc w:val="center"/>
              <w:rPr>
                <w:b/>
                <w:bCs/>
                <w:color w:val="000000"/>
                <w:sz w:val="20"/>
                <w:szCs w:val="20"/>
              </w:rPr>
            </w:pPr>
            <w:r>
              <w:rPr>
                <w:b/>
                <w:bCs/>
                <w:color w:val="000000"/>
                <w:sz w:val="20"/>
                <w:szCs w:val="20"/>
              </w:rPr>
              <w:t>22 272,00</w:t>
            </w:r>
          </w:p>
        </w:tc>
        <w:tc>
          <w:tcPr>
            <w:tcW w:w="1288" w:type="dxa"/>
            <w:tcBorders>
              <w:top w:val="nil"/>
              <w:left w:val="nil"/>
              <w:bottom w:val="single" w:sz="4" w:space="0" w:color="auto"/>
              <w:right w:val="single" w:sz="4" w:space="0" w:color="auto"/>
            </w:tcBorders>
            <w:shd w:val="clear" w:color="auto" w:fill="auto"/>
            <w:noWrap/>
            <w:vAlign w:val="center"/>
            <w:hideMark/>
          </w:tcPr>
          <w:p w:rsidR="00F07E05" w:rsidRDefault="00F07E05" w:rsidP="008A253E">
            <w:pPr>
              <w:jc w:val="center"/>
              <w:rPr>
                <w:color w:val="000000"/>
                <w:sz w:val="20"/>
                <w:szCs w:val="20"/>
              </w:rPr>
            </w:pPr>
            <w:r>
              <w:rPr>
                <w:color w:val="000000"/>
                <w:sz w:val="20"/>
                <w:szCs w:val="20"/>
              </w:rPr>
              <w:t>3 200,00</w:t>
            </w:r>
          </w:p>
        </w:tc>
        <w:tc>
          <w:tcPr>
            <w:tcW w:w="1742" w:type="dxa"/>
            <w:tcBorders>
              <w:top w:val="nil"/>
              <w:left w:val="nil"/>
              <w:bottom w:val="single" w:sz="4" w:space="0" w:color="auto"/>
              <w:right w:val="single" w:sz="4" w:space="0" w:color="auto"/>
            </w:tcBorders>
            <w:shd w:val="clear" w:color="auto" w:fill="auto"/>
            <w:noWrap/>
            <w:vAlign w:val="center"/>
            <w:hideMark/>
          </w:tcPr>
          <w:p w:rsidR="00F07E05" w:rsidRDefault="00F07E05" w:rsidP="008A253E">
            <w:pPr>
              <w:jc w:val="center"/>
              <w:rPr>
                <w:color w:val="000000"/>
                <w:sz w:val="20"/>
                <w:szCs w:val="20"/>
              </w:rPr>
            </w:pPr>
            <w:r>
              <w:rPr>
                <w:color w:val="000000"/>
                <w:sz w:val="20"/>
                <w:szCs w:val="20"/>
              </w:rPr>
              <w:t>6,96</w:t>
            </w:r>
          </w:p>
        </w:tc>
        <w:tc>
          <w:tcPr>
            <w:tcW w:w="1376" w:type="dxa"/>
            <w:tcBorders>
              <w:top w:val="nil"/>
              <w:left w:val="nil"/>
              <w:bottom w:val="single" w:sz="4" w:space="0" w:color="auto"/>
              <w:right w:val="single" w:sz="4" w:space="0" w:color="auto"/>
            </w:tcBorders>
            <w:shd w:val="clear" w:color="auto" w:fill="auto"/>
            <w:noWrap/>
            <w:vAlign w:val="center"/>
            <w:hideMark/>
          </w:tcPr>
          <w:p w:rsidR="00F07E05" w:rsidRDefault="00F07E05" w:rsidP="008A253E">
            <w:pPr>
              <w:jc w:val="center"/>
              <w:rPr>
                <w:b/>
                <w:bCs/>
                <w:color w:val="000000"/>
                <w:sz w:val="20"/>
                <w:szCs w:val="20"/>
              </w:rPr>
            </w:pPr>
            <w:r>
              <w:rPr>
                <w:b/>
                <w:bCs/>
                <w:color w:val="000000"/>
                <w:sz w:val="20"/>
                <w:szCs w:val="20"/>
              </w:rPr>
              <w:t>22 272,00</w:t>
            </w:r>
          </w:p>
        </w:tc>
        <w:tc>
          <w:tcPr>
            <w:tcW w:w="1134" w:type="dxa"/>
            <w:tcBorders>
              <w:top w:val="nil"/>
              <w:left w:val="nil"/>
              <w:bottom w:val="single" w:sz="4" w:space="0" w:color="auto"/>
              <w:right w:val="single" w:sz="4" w:space="0" w:color="auto"/>
            </w:tcBorders>
            <w:shd w:val="clear" w:color="auto" w:fill="auto"/>
            <w:noWrap/>
            <w:vAlign w:val="center"/>
            <w:hideMark/>
          </w:tcPr>
          <w:p w:rsidR="00F07E05" w:rsidRDefault="00F07E05" w:rsidP="008A253E">
            <w:pPr>
              <w:jc w:val="center"/>
              <w:rPr>
                <w:color w:val="000000"/>
                <w:sz w:val="20"/>
                <w:szCs w:val="20"/>
              </w:rPr>
            </w:pPr>
            <w:r>
              <w:rPr>
                <w:color w:val="000000"/>
                <w:sz w:val="20"/>
                <w:szCs w:val="20"/>
              </w:rPr>
              <w:t>3 200,00</w:t>
            </w:r>
          </w:p>
        </w:tc>
        <w:tc>
          <w:tcPr>
            <w:tcW w:w="1276" w:type="dxa"/>
            <w:tcBorders>
              <w:top w:val="nil"/>
              <w:left w:val="nil"/>
              <w:bottom w:val="single" w:sz="4" w:space="0" w:color="auto"/>
              <w:right w:val="single" w:sz="4" w:space="0" w:color="auto"/>
            </w:tcBorders>
            <w:shd w:val="clear" w:color="auto" w:fill="auto"/>
            <w:noWrap/>
            <w:vAlign w:val="center"/>
            <w:hideMark/>
          </w:tcPr>
          <w:p w:rsidR="00F07E05" w:rsidRDefault="00F07E05" w:rsidP="008A253E">
            <w:pPr>
              <w:jc w:val="center"/>
              <w:rPr>
                <w:color w:val="000000"/>
                <w:sz w:val="20"/>
                <w:szCs w:val="20"/>
              </w:rPr>
            </w:pPr>
            <w:r>
              <w:rPr>
                <w:color w:val="000000"/>
                <w:sz w:val="20"/>
                <w:szCs w:val="20"/>
              </w:rPr>
              <w:t>6,96</w:t>
            </w:r>
          </w:p>
        </w:tc>
      </w:tr>
      <w:tr w:rsidR="00F07E05" w:rsidTr="008A253E">
        <w:trPr>
          <w:gridAfter w:val="1"/>
          <w:wAfter w:w="50" w:type="dxa"/>
          <w:trHeight w:val="270"/>
        </w:trPr>
        <w:tc>
          <w:tcPr>
            <w:tcW w:w="486" w:type="dxa"/>
            <w:vMerge/>
            <w:tcBorders>
              <w:top w:val="nil"/>
              <w:left w:val="single" w:sz="4" w:space="0" w:color="auto"/>
              <w:bottom w:val="nil"/>
              <w:right w:val="single" w:sz="4" w:space="0" w:color="auto"/>
            </w:tcBorders>
            <w:shd w:val="clear" w:color="auto" w:fill="auto"/>
            <w:vAlign w:val="center"/>
            <w:hideMark/>
          </w:tcPr>
          <w:p w:rsidR="00F07E05" w:rsidRDefault="00F07E05" w:rsidP="008A253E">
            <w:pPr>
              <w:rPr>
                <w:color w:val="000000"/>
                <w:sz w:val="20"/>
                <w:szCs w:val="20"/>
              </w:rPr>
            </w:pPr>
          </w:p>
        </w:tc>
        <w:tc>
          <w:tcPr>
            <w:tcW w:w="1715" w:type="dxa"/>
            <w:vMerge/>
            <w:tcBorders>
              <w:top w:val="nil"/>
              <w:left w:val="single" w:sz="4" w:space="0" w:color="auto"/>
              <w:bottom w:val="nil"/>
              <w:right w:val="single" w:sz="4" w:space="0" w:color="auto"/>
            </w:tcBorders>
            <w:shd w:val="clear" w:color="auto" w:fill="auto"/>
            <w:vAlign w:val="center"/>
            <w:hideMark/>
          </w:tcPr>
          <w:p w:rsidR="00F07E05" w:rsidRDefault="00F07E05" w:rsidP="008A253E">
            <w:pPr>
              <w:rPr>
                <w:sz w:val="20"/>
                <w:szCs w:val="20"/>
              </w:rPr>
            </w:pPr>
          </w:p>
        </w:tc>
        <w:tc>
          <w:tcPr>
            <w:tcW w:w="1769" w:type="dxa"/>
            <w:tcBorders>
              <w:top w:val="nil"/>
              <w:left w:val="nil"/>
              <w:bottom w:val="single" w:sz="4" w:space="0" w:color="auto"/>
              <w:right w:val="nil"/>
            </w:tcBorders>
            <w:shd w:val="clear" w:color="auto" w:fill="auto"/>
            <w:noWrap/>
            <w:vAlign w:val="center"/>
            <w:hideMark/>
          </w:tcPr>
          <w:p w:rsidR="00F07E05" w:rsidRDefault="00F07E05" w:rsidP="008A253E">
            <w:pPr>
              <w:jc w:val="center"/>
              <w:rPr>
                <w:b/>
                <w:bCs/>
                <w:color w:val="000000"/>
                <w:sz w:val="20"/>
                <w:szCs w:val="20"/>
              </w:rPr>
            </w:pPr>
            <w:r>
              <w:rPr>
                <w:b/>
                <w:bCs/>
                <w:color w:val="000000"/>
                <w:sz w:val="20"/>
                <w:szCs w:val="20"/>
              </w:rPr>
              <w:t>Итого</w:t>
            </w:r>
          </w:p>
        </w:tc>
        <w:tc>
          <w:tcPr>
            <w:tcW w:w="1417" w:type="dxa"/>
            <w:tcBorders>
              <w:top w:val="nil"/>
              <w:left w:val="nil"/>
              <w:bottom w:val="single" w:sz="4" w:space="0" w:color="auto"/>
              <w:right w:val="single" w:sz="4" w:space="0" w:color="auto"/>
            </w:tcBorders>
            <w:shd w:val="clear" w:color="auto" w:fill="auto"/>
            <w:noWrap/>
            <w:vAlign w:val="center"/>
            <w:hideMark/>
          </w:tcPr>
          <w:p w:rsidR="00F07E05" w:rsidRDefault="00F07E05" w:rsidP="008A253E">
            <w:pPr>
              <w:jc w:val="center"/>
              <w:rPr>
                <w:b/>
                <w:bCs/>
                <w:color w:val="000000"/>
                <w:sz w:val="20"/>
                <w:szCs w:val="20"/>
              </w:rPr>
            </w:pPr>
            <w:r>
              <w:rPr>
                <w:b/>
                <w:bCs/>
                <w:color w:val="000000"/>
                <w:sz w:val="20"/>
                <w:szCs w:val="20"/>
              </w:rPr>
              <w:t>102 387,00</w:t>
            </w:r>
          </w:p>
        </w:tc>
        <w:tc>
          <w:tcPr>
            <w:tcW w:w="1276" w:type="dxa"/>
            <w:tcBorders>
              <w:top w:val="nil"/>
              <w:left w:val="nil"/>
              <w:bottom w:val="single" w:sz="4" w:space="0" w:color="auto"/>
              <w:right w:val="single" w:sz="4" w:space="0" w:color="auto"/>
            </w:tcBorders>
            <w:shd w:val="clear" w:color="auto" w:fill="auto"/>
            <w:noWrap/>
            <w:vAlign w:val="center"/>
            <w:hideMark/>
          </w:tcPr>
          <w:p w:rsidR="00F07E05" w:rsidRDefault="00F07E05" w:rsidP="008A253E">
            <w:pPr>
              <w:jc w:val="center"/>
              <w:rPr>
                <w:b/>
                <w:bCs/>
                <w:color w:val="000000"/>
                <w:sz w:val="20"/>
                <w:szCs w:val="20"/>
              </w:rPr>
            </w:pPr>
            <w:r>
              <w:rPr>
                <w:b/>
                <w:bCs/>
                <w:color w:val="000000"/>
                <w:sz w:val="20"/>
                <w:szCs w:val="20"/>
              </w:rPr>
              <w:t>Х</w:t>
            </w:r>
          </w:p>
        </w:tc>
        <w:tc>
          <w:tcPr>
            <w:tcW w:w="1276" w:type="dxa"/>
            <w:tcBorders>
              <w:top w:val="nil"/>
              <w:left w:val="nil"/>
              <w:bottom w:val="single" w:sz="4" w:space="0" w:color="auto"/>
              <w:right w:val="single" w:sz="4" w:space="0" w:color="auto"/>
            </w:tcBorders>
            <w:shd w:val="clear" w:color="auto" w:fill="auto"/>
            <w:noWrap/>
            <w:vAlign w:val="center"/>
            <w:hideMark/>
          </w:tcPr>
          <w:p w:rsidR="00F07E05" w:rsidRDefault="00F07E05" w:rsidP="008A253E">
            <w:pPr>
              <w:jc w:val="center"/>
              <w:rPr>
                <w:b/>
                <w:bCs/>
                <w:color w:val="000000"/>
                <w:sz w:val="20"/>
                <w:szCs w:val="20"/>
              </w:rPr>
            </w:pPr>
            <w:r>
              <w:rPr>
                <w:b/>
                <w:bCs/>
                <w:color w:val="000000"/>
                <w:sz w:val="20"/>
                <w:szCs w:val="20"/>
              </w:rPr>
              <w:t>Х</w:t>
            </w:r>
          </w:p>
        </w:tc>
        <w:tc>
          <w:tcPr>
            <w:tcW w:w="1405" w:type="dxa"/>
            <w:tcBorders>
              <w:top w:val="nil"/>
              <w:left w:val="nil"/>
              <w:bottom w:val="single" w:sz="4" w:space="0" w:color="auto"/>
              <w:right w:val="single" w:sz="4" w:space="0" w:color="auto"/>
            </w:tcBorders>
            <w:shd w:val="clear" w:color="auto" w:fill="auto"/>
            <w:noWrap/>
            <w:vAlign w:val="center"/>
            <w:hideMark/>
          </w:tcPr>
          <w:p w:rsidR="00F07E05" w:rsidRDefault="00F07E05" w:rsidP="008A253E">
            <w:pPr>
              <w:jc w:val="center"/>
              <w:rPr>
                <w:b/>
                <w:bCs/>
                <w:color w:val="000000"/>
                <w:sz w:val="20"/>
                <w:szCs w:val="20"/>
              </w:rPr>
            </w:pPr>
            <w:r>
              <w:rPr>
                <w:b/>
                <w:bCs/>
                <w:color w:val="000000"/>
                <w:sz w:val="20"/>
                <w:szCs w:val="20"/>
              </w:rPr>
              <w:t>102 387,00</w:t>
            </w:r>
          </w:p>
        </w:tc>
        <w:tc>
          <w:tcPr>
            <w:tcW w:w="1288" w:type="dxa"/>
            <w:tcBorders>
              <w:top w:val="nil"/>
              <w:left w:val="nil"/>
              <w:bottom w:val="single" w:sz="4" w:space="0" w:color="auto"/>
              <w:right w:val="single" w:sz="4" w:space="0" w:color="auto"/>
            </w:tcBorders>
            <w:shd w:val="clear" w:color="auto" w:fill="auto"/>
            <w:noWrap/>
            <w:vAlign w:val="center"/>
            <w:hideMark/>
          </w:tcPr>
          <w:p w:rsidR="00F07E05" w:rsidRDefault="00F07E05" w:rsidP="008A253E">
            <w:pPr>
              <w:jc w:val="center"/>
              <w:rPr>
                <w:b/>
                <w:bCs/>
                <w:color w:val="000000"/>
                <w:sz w:val="20"/>
                <w:szCs w:val="20"/>
              </w:rPr>
            </w:pPr>
            <w:r>
              <w:rPr>
                <w:b/>
                <w:bCs/>
                <w:color w:val="000000"/>
                <w:sz w:val="20"/>
                <w:szCs w:val="20"/>
              </w:rPr>
              <w:t>Х</w:t>
            </w:r>
          </w:p>
        </w:tc>
        <w:tc>
          <w:tcPr>
            <w:tcW w:w="1742" w:type="dxa"/>
            <w:tcBorders>
              <w:top w:val="nil"/>
              <w:left w:val="nil"/>
              <w:bottom w:val="single" w:sz="4" w:space="0" w:color="auto"/>
              <w:right w:val="single" w:sz="4" w:space="0" w:color="auto"/>
            </w:tcBorders>
            <w:shd w:val="clear" w:color="auto" w:fill="auto"/>
            <w:noWrap/>
            <w:vAlign w:val="center"/>
            <w:hideMark/>
          </w:tcPr>
          <w:p w:rsidR="00F07E05" w:rsidRDefault="00F07E05" w:rsidP="008A253E">
            <w:pPr>
              <w:jc w:val="center"/>
              <w:rPr>
                <w:b/>
                <w:bCs/>
                <w:color w:val="000000"/>
                <w:sz w:val="20"/>
                <w:szCs w:val="20"/>
              </w:rPr>
            </w:pPr>
            <w:r>
              <w:rPr>
                <w:b/>
                <w:bCs/>
                <w:color w:val="000000"/>
                <w:sz w:val="20"/>
                <w:szCs w:val="20"/>
              </w:rPr>
              <w:t>Х</w:t>
            </w:r>
          </w:p>
        </w:tc>
        <w:tc>
          <w:tcPr>
            <w:tcW w:w="1376" w:type="dxa"/>
            <w:tcBorders>
              <w:top w:val="nil"/>
              <w:left w:val="nil"/>
              <w:bottom w:val="single" w:sz="4" w:space="0" w:color="auto"/>
              <w:right w:val="single" w:sz="4" w:space="0" w:color="auto"/>
            </w:tcBorders>
            <w:shd w:val="clear" w:color="auto" w:fill="auto"/>
            <w:noWrap/>
            <w:vAlign w:val="center"/>
            <w:hideMark/>
          </w:tcPr>
          <w:p w:rsidR="00F07E05" w:rsidRDefault="00F07E05" w:rsidP="008A253E">
            <w:pPr>
              <w:jc w:val="center"/>
              <w:rPr>
                <w:b/>
                <w:bCs/>
                <w:color w:val="000000"/>
                <w:sz w:val="20"/>
                <w:szCs w:val="20"/>
              </w:rPr>
            </w:pPr>
            <w:r>
              <w:rPr>
                <w:b/>
                <w:bCs/>
                <w:color w:val="000000"/>
                <w:sz w:val="20"/>
                <w:szCs w:val="20"/>
              </w:rPr>
              <w:t>102 387,00</w:t>
            </w:r>
          </w:p>
        </w:tc>
        <w:tc>
          <w:tcPr>
            <w:tcW w:w="1134" w:type="dxa"/>
            <w:tcBorders>
              <w:top w:val="nil"/>
              <w:left w:val="nil"/>
              <w:bottom w:val="single" w:sz="4" w:space="0" w:color="auto"/>
              <w:right w:val="single" w:sz="4" w:space="0" w:color="auto"/>
            </w:tcBorders>
            <w:shd w:val="clear" w:color="auto" w:fill="auto"/>
            <w:noWrap/>
            <w:vAlign w:val="center"/>
            <w:hideMark/>
          </w:tcPr>
          <w:p w:rsidR="00F07E05" w:rsidRDefault="00F07E05" w:rsidP="008A253E">
            <w:pPr>
              <w:jc w:val="center"/>
              <w:rPr>
                <w:b/>
                <w:bCs/>
                <w:color w:val="000000"/>
                <w:sz w:val="20"/>
                <w:szCs w:val="20"/>
              </w:rPr>
            </w:pPr>
            <w:r>
              <w:rPr>
                <w:b/>
                <w:bCs/>
                <w:color w:val="000000"/>
                <w:sz w:val="20"/>
                <w:szCs w:val="20"/>
              </w:rPr>
              <w:t>Х</w:t>
            </w:r>
          </w:p>
        </w:tc>
        <w:tc>
          <w:tcPr>
            <w:tcW w:w="1276" w:type="dxa"/>
            <w:tcBorders>
              <w:top w:val="nil"/>
              <w:left w:val="nil"/>
              <w:bottom w:val="single" w:sz="4" w:space="0" w:color="auto"/>
              <w:right w:val="single" w:sz="4" w:space="0" w:color="auto"/>
            </w:tcBorders>
            <w:shd w:val="clear" w:color="auto" w:fill="auto"/>
            <w:noWrap/>
            <w:vAlign w:val="center"/>
            <w:hideMark/>
          </w:tcPr>
          <w:p w:rsidR="00F07E05" w:rsidRDefault="00F07E05" w:rsidP="008A253E">
            <w:pPr>
              <w:jc w:val="center"/>
              <w:rPr>
                <w:b/>
                <w:bCs/>
                <w:color w:val="000000"/>
                <w:sz w:val="20"/>
                <w:szCs w:val="20"/>
              </w:rPr>
            </w:pPr>
            <w:r>
              <w:rPr>
                <w:b/>
                <w:bCs/>
                <w:color w:val="000000"/>
                <w:sz w:val="20"/>
                <w:szCs w:val="20"/>
              </w:rPr>
              <w:t>Х</w:t>
            </w:r>
          </w:p>
        </w:tc>
      </w:tr>
      <w:tr w:rsidR="00F07E05" w:rsidTr="008A253E">
        <w:trPr>
          <w:gridAfter w:val="1"/>
          <w:wAfter w:w="50" w:type="dxa"/>
          <w:trHeight w:val="525"/>
        </w:trPr>
        <w:tc>
          <w:tcPr>
            <w:tcW w:w="486" w:type="dxa"/>
            <w:vMerge w:val="restart"/>
            <w:tcBorders>
              <w:top w:val="nil"/>
              <w:left w:val="single" w:sz="4" w:space="0" w:color="auto"/>
              <w:bottom w:val="nil"/>
              <w:right w:val="single" w:sz="4" w:space="0" w:color="auto"/>
            </w:tcBorders>
            <w:shd w:val="clear" w:color="auto" w:fill="auto"/>
            <w:vAlign w:val="center"/>
            <w:hideMark/>
          </w:tcPr>
          <w:p w:rsidR="00F07E05" w:rsidRDefault="00F07E05" w:rsidP="008A253E">
            <w:pPr>
              <w:jc w:val="center"/>
              <w:rPr>
                <w:color w:val="000000"/>
                <w:sz w:val="20"/>
                <w:szCs w:val="20"/>
              </w:rPr>
            </w:pPr>
            <w:r>
              <w:rPr>
                <w:color w:val="000000"/>
                <w:sz w:val="20"/>
                <w:szCs w:val="20"/>
              </w:rPr>
              <w:lastRenderedPageBreak/>
              <w:t>5</w:t>
            </w:r>
          </w:p>
        </w:tc>
        <w:tc>
          <w:tcPr>
            <w:tcW w:w="1715" w:type="dxa"/>
            <w:vMerge w:val="restart"/>
            <w:tcBorders>
              <w:top w:val="nil"/>
              <w:left w:val="single" w:sz="4" w:space="0" w:color="auto"/>
              <w:bottom w:val="nil"/>
              <w:right w:val="single" w:sz="4" w:space="0" w:color="auto"/>
            </w:tcBorders>
            <w:shd w:val="clear" w:color="auto" w:fill="auto"/>
            <w:vAlign w:val="center"/>
            <w:hideMark/>
          </w:tcPr>
          <w:p w:rsidR="00F07E05" w:rsidRDefault="00F07E05" w:rsidP="008A253E">
            <w:pPr>
              <w:jc w:val="center"/>
              <w:rPr>
                <w:sz w:val="20"/>
                <w:szCs w:val="20"/>
              </w:rPr>
            </w:pPr>
            <w:r>
              <w:rPr>
                <w:sz w:val="20"/>
                <w:szCs w:val="20"/>
              </w:rPr>
              <w:t>ГКОУ "Торжокская школа-интернат"</w:t>
            </w:r>
          </w:p>
        </w:tc>
        <w:tc>
          <w:tcPr>
            <w:tcW w:w="1769" w:type="dxa"/>
            <w:tcBorders>
              <w:top w:val="nil"/>
              <w:left w:val="nil"/>
              <w:bottom w:val="single" w:sz="4" w:space="0" w:color="auto"/>
              <w:right w:val="single" w:sz="4" w:space="0" w:color="auto"/>
            </w:tcBorders>
            <w:shd w:val="clear" w:color="auto" w:fill="auto"/>
            <w:vAlign w:val="center"/>
            <w:hideMark/>
          </w:tcPr>
          <w:p w:rsidR="00F07E05" w:rsidRDefault="00F07E05" w:rsidP="008A253E">
            <w:pPr>
              <w:rPr>
                <w:color w:val="000000"/>
                <w:sz w:val="20"/>
                <w:szCs w:val="20"/>
              </w:rPr>
            </w:pPr>
            <w:r>
              <w:rPr>
                <w:color w:val="000000"/>
                <w:sz w:val="20"/>
                <w:szCs w:val="20"/>
              </w:rPr>
              <w:t>отопление и горячее водоснабжение</w:t>
            </w:r>
          </w:p>
        </w:tc>
        <w:tc>
          <w:tcPr>
            <w:tcW w:w="1417" w:type="dxa"/>
            <w:tcBorders>
              <w:top w:val="nil"/>
              <w:left w:val="nil"/>
              <w:bottom w:val="single" w:sz="4" w:space="0" w:color="auto"/>
              <w:right w:val="single" w:sz="4" w:space="0" w:color="auto"/>
            </w:tcBorders>
            <w:shd w:val="clear" w:color="auto" w:fill="auto"/>
            <w:noWrap/>
            <w:vAlign w:val="center"/>
            <w:hideMark/>
          </w:tcPr>
          <w:p w:rsidR="00F07E05" w:rsidRDefault="00F07E05" w:rsidP="008A253E">
            <w:pPr>
              <w:jc w:val="center"/>
              <w:rPr>
                <w:b/>
                <w:bCs/>
                <w:color w:val="000000"/>
                <w:sz w:val="20"/>
                <w:szCs w:val="20"/>
              </w:rPr>
            </w:pPr>
            <w:r>
              <w:rPr>
                <w:b/>
                <w:bCs/>
                <w:color w:val="000000"/>
                <w:sz w:val="20"/>
                <w:szCs w:val="20"/>
              </w:rPr>
              <w:t>831 870,92</w:t>
            </w:r>
          </w:p>
        </w:tc>
        <w:tc>
          <w:tcPr>
            <w:tcW w:w="1276" w:type="dxa"/>
            <w:tcBorders>
              <w:top w:val="nil"/>
              <w:left w:val="nil"/>
              <w:bottom w:val="single" w:sz="4" w:space="0" w:color="auto"/>
              <w:right w:val="single" w:sz="4" w:space="0" w:color="auto"/>
            </w:tcBorders>
            <w:shd w:val="clear" w:color="auto" w:fill="auto"/>
            <w:noWrap/>
            <w:vAlign w:val="center"/>
            <w:hideMark/>
          </w:tcPr>
          <w:p w:rsidR="00F07E05" w:rsidRDefault="00F07E05" w:rsidP="008A253E">
            <w:pPr>
              <w:jc w:val="center"/>
              <w:rPr>
                <w:color w:val="000000"/>
                <w:sz w:val="20"/>
                <w:szCs w:val="20"/>
              </w:rPr>
            </w:pPr>
            <w:r>
              <w:rPr>
                <w:color w:val="000000"/>
                <w:sz w:val="20"/>
                <w:szCs w:val="20"/>
              </w:rPr>
              <w:t>361,22</w:t>
            </w:r>
          </w:p>
        </w:tc>
        <w:tc>
          <w:tcPr>
            <w:tcW w:w="1276" w:type="dxa"/>
            <w:tcBorders>
              <w:top w:val="nil"/>
              <w:left w:val="nil"/>
              <w:bottom w:val="single" w:sz="4" w:space="0" w:color="auto"/>
              <w:right w:val="single" w:sz="4" w:space="0" w:color="auto"/>
            </w:tcBorders>
            <w:shd w:val="clear" w:color="auto" w:fill="auto"/>
            <w:noWrap/>
            <w:vAlign w:val="center"/>
            <w:hideMark/>
          </w:tcPr>
          <w:p w:rsidR="00F07E05" w:rsidRDefault="00F07E05" w:rsidP="008A253E">
            <w:pPr>
              <w:jc w:val="center"/>
              <w:rPr>
                <w:color w:val="000000"/>
                <w:sz w:val="20"/>
                <w:szCs w:val="20"/>
              </w:rPr>
            </w:pPr>
            <w:r>
              <w:rPr>
                <w:color w:val="000000"/>
                <w:sz w:val="20"/>
                <w:szCs w:val="20"/>
              </w:rPr>
              <w:t>2 302,98</w:t>
            </w:r>
          </w:p>
        </w:tc>
        <w:tc>
          <w:tcPr>
            <w:tcW w:w="1405" w:type="dxa"/>
            <w:tcBorders>
              <w:top w:val="nil"/>
              <w:left w:val="nil"/>
              <w:bottom w:val="single" w:sz="4" w:space="0" w:color="auto"/>
              <w:right w:val="single" w:sz="4" w:space="0" w:color="auto"/>
            </w:tcBorders>
            <w:shd w:val="clear" w:color="auto" w:fill="auto"/>
            <w:noWrap/>
            <w:vAlign w:val="center"/>
            <w:hideMark/>
          </w:tcPr>
          <w:p w:rsidR="00F07E05" w:rsidRDefault="00F07E05" w:rsidP="008A253E">
            <w:pPr>
              <w:jc w:val="center"/>
              <w:rPr>
                <w:b/>
                <w:bCs/>
                <w:color w:val="000000"/>
                <w:sz w:val="20"/>
                <w:szCs w:val="20"/>
              </w:rPr>
            </w:pPr>
            <w:r>
              <w:rPr>
                <w:b/>
                <w:bCs/>
                <w:color w:val="000000"/>
                <w:sz w:val="20"/>
                <w:szCs w:val="20"/>
              </w:rPr>
              <w:t>831 870,92</w:t>
            </w:r>
          </w:p>
        </w:tc>
        <w:tc>
          <w:tcPr>
            <w:tcW w:w="1288" w:type="dxa"/>
            <w:tcBorders>
              <w:top w:val="nil"/>
              <w:left w:val="nil"/>
              <w:bottom w:val="single" w:sz="4" w:space="0" w:color="auto"/>
              <w:right w:val="single" w:sz="4" w:space="0" w:color="auto"/>
            </w:tcBorders>
            <w:shd w:val="clear" w:color="auto" w:fill="auto"/>
            <w:noWrap/>
            <w:vAlign w:val="center"/>
            <w:hideMark/>
          </w:tcPr>
          <w:p w:rsidR="00F07E05" w:rsidRDefault="00F07E05" w:rsidP="008A253E">
            <w:pPr>
              <w:jc w:val="center"/>
              <w:rPr>
                <w:color w:val="000000"/>
                <w:sz w:val="20"/>
                <w:szCs w:val="20"/>
              </w:rPr>
            </w:pPr>
            <w:r>
              <w:rPr>
                <w:color w:val="000000"/>
                <w:sz w:val="20"/>
                <w:szCs w:val="20"/>
              </w:rPr>
              <w:t>361,22</w:t>
            </w:r>
          </w:p>
        </w:tc>
        <w:tc>
          <w:tcPr>
            <w:tcW w:w="1742" w:type="dxa"/>
            <w:tcBorders>
              <w:top w:val="nil"/>
              <w:left w:val="nil"/>
              <w:bottom w:val="single" w:sz="4" w:space="0" w:color="auto"/>
              <w:right w:val="single" w:sz="4" w:space="0" w:color="auto"/>
            </w:tcBorders>
            <w:shd w:val="clear" w:color="auto" w:fill="auto"/>
            <w:noWrap/>
            <w:vAlign w:val="center"/>
            <w:hideMark/>
          </w:tcPr>
          <w:p w:rsidR="00F07E05" w:rsidRDefault="00F07E05" w:rsidP="008A253E">
            <w:pPr>
              <w:jc w:val="center"/>
              <w:rPr>
                <w:color w:val="000000"/>
                <w:sz w:val="20"/>
                <w:szCs w:val="20"/>
              </w:rPr>
            </w:pPr>
            <w:r>
              <w:rPr>
                <w:color w:val="000000"/>
                <w:sz w:val="20"/>
                <w:szCs w:val="20"/>
              </w:rPr>
              <w:t>2 302,98</w:t>
            </w:r>
          </w:p>
        </w:tc>
        <w:tc>
          <w:tcPr>
            <w:tcW w:w="1376" w:type="dxa"/>
            <w:tcBorders>
              <w:top w:val="nil"/>
              <w:left w:val="nil"/>
              <w:bottom w:val="single" w:sz="4" w:space="0" w:color="auto"/>
              <w:right w:val="single" w:sz="4" w:space="0" w:color="auto"/>
            </w:tcBorders>
            <w:shd w:val="clear" w:color="auto" w:fill="auto"/>
            <w:noWrap/>
            <w:vAlign w:val="center"/>
            <w:hideMark/>
          </w:tcPr>
          <w:p w:rsidR="00F07E05" w:rsidRDefault="00F07E05" w:rsidP="008A253E">
            <w:pPr>
              <w:jc w:val="center"/>
              <w:rPr>
                <w:b/>
                <w:bCs/>
                <w:color w:val="000000"/>
                <w:sz w:val="20"/>
                <w:szCs w:val="20"/>
              </w:rPr>
            </w:pPr>
            <w:r>
              <w:rPr>
                <w:b/>
                <w:bCs/>
                <w:color w:val="000000"/>
                <w:sz w:val="20"/>
                <w:szCs w:val="20"/>
              </w:rPr>
              <w:t>831 870,92</w:t>
            </w:r>
          </w:p>
        </w:tc>
        <w:tc>
          <w:tcPr>
            <w:tcW w:w="1134" w:type="dxa"/>
            <w:tcBorders>
              <w:top w:val="nil"/>
              <w:left w:val="nil"/>
              <w:bottom w:val="single" w:sz="4" w:space="0" w:color="auto"/>
              <w:right w:val="single" w:sz="4" w:space="0" w:color="auto"/>
            </w:tcBorders>
            <w:shd w:val="clear" w:color="auto" w:fill="auto"/>
            <w:noWrap/>
            <w:vAlign w:val="center"/>
            <w:hideMark/>
          </w:tcPr>
          <w:p w:rsidR="00F07E05" w:rsidRDefault="00F07E05" w:rsidP="008A253E">
            <w:pPr>
              <w:jc w:val="center"/>
              <w:rPr>
                <w:color w:val="000000"/>
                <w:sz w:val="20"/>
                <w:szCs w:val="20"/>
              </w:rPr>
            </w:pPr>
            <w:r>
              <w:rPr>
                <w:color w:val="000000"/>
                <w:sz w:val="20"/>
                <w:szCs w:val="20"/>
              </w:rPr>
              <w:t>361,22</w:t>
            </w:r>
          </w:p>
        </w:tc>
        <w:tc>
          <w:tcPr>
            <w:tcW w:w="1276" w:type="dxa"/>
            <w:tcBorders>
              <w:top w:val="nil"/>
              <w:left w:val="nil"/>
              <w:bottom w:val="single" w:sz="4" w:space="0" w:color="auto"/>
              <w:right w:val="single" w:sz="4" w:space="0" w:color="auto"/>
            </w:tcBorders>
            <w:shd w:val="clear" w:color="auto" w:fill="auto"/>
            <w:noWrap/>
            <w:vAlign w:val="center"/>
            <w:hideMark/>
          </w:tcPr>
          <w:p w:rsidR="00F07E05" w:rsidRDefault="00F07E05" w:rsidP="008A253E">
            <w:pPr>
              <w:jc w:val="center"/>
              <w:rPr>
                <w:color w:val="000000"/>
                <w:sz w:val="20"/>
                <w:szCs w:val="20"/>
              </w:rPr>
            </w:pPr>
            <w:r>
              <w:rPr>
                <w:color w:val="000000"/>
                <w:sz w:val="20"/>
                <w:szCs w:val="20"/>
              </w:rPr>
              <w:t>2 302,98</w:t>
            </w:r>
          </w:p>
        </w:tc>
      </w:tr>
      <w:tr w:rsidR="00F07E05" w:rsidTr="008A253E">
        <w:trPr>
          <w:gridAfter w:val="1"/>
          <w:wAfter w:w="50" w:type="dxa"/>
          <w:trHeight w:val="405"/>
        </w:trPr>
        <w:tc>
          <w:tcPr>
            <w:tcW w:w="486" w:type="dxa"/>
            <w:vMerge/>
            <w:tcBorders>
              <w:top w:val="nil"/>
              <w:left w:val="single" w:sz="4" w:space="0" w:color="auto"/>
              <w:bottom w:val="nil"/>
              <w:right w:val="single" w:sz="4" w:space="0" w:color="auto"/>
            </w:tcBorders>
            <w:shd w:val="clear" w:color="auto" w:fill="auto"/>
            <w:vAlign w:val="center"/>
            <w:hideMark/>
          </w:tcPr>
          <w:p w:rsidR="00F07E05" w:rsidRDefault="00F07E05" w:rsidP="008A253E">
            <w:pPr>
              <w:rPr>
                <w:color w:val="000000"/>
                <w:sz w:val="20"/>
                <w:szCs w:val="20"/>
              </w:rPr>
            </w:pPr>
          </w:p>
        </w:tc>
        <w:tc>
          <w:tcPr>
            <w:tcW w:w="1715" w:type="dxa"/>
            <w:vMerge/>
            <w:tcBorders>
              <w:top w:val="nil"/>
              <w:left w:val="single" w:sz="4" w:space="0" w:color="auto"/>
              <w:bottom w:val="nil"/>
              <w:right w:val="single" w:sz="4" w:space="0" w:color="auto"/>
            </w:tcBorders>
            <w:shd w:val="clear" w:color="auto" w:fill="auto"/>
            <w:vAlign w:val="center"/>
            <w:hideMark/>
          </w:tcPr>
          <w:p w:rsidR="00F07E05" w:rsidRDefault="00F07E05" w:rsidP="008A253E">
            <w:pPr>
              <w:rPr>
                <w:sz w:val="20"/>
                <w:szCs w:val="20"/>
              </w:rPr>
            </w:pPr>
          </w:p>
        </w:tc>
        <w:tc>
          <w:tcPr>
            <w:tcW w:w="1769" w:type="dxa"/>
            <w:tcBorders>
              <w:top w:val="nil"/>
              <w:left w:val="nil"/>
              <w:bottom w:val="single" w:sz="4" w:space="0" w:color="auto"/>
              <w:right w:val="single" w:sz="4" w:space="0" w:color="auto"/>
            </w:tcBorders>
            <w:shd w:val="clear" w:color="auto" w:fill="auto"/>
            <w:vAlign w:val="center"/>
            <w:hideMark/>
          </w:tcPr>
          <w:p w:rsidR="00F07E05" w:rsidRDefault="00F07E05" w:rsidP="008A253E">
            <w:pPr>
              <w:rPr>
                <w:color w:val="000000"/>
                <w:sz w:val="20"/>
                <w:szCs w:val="20"/>
              </w:rPr>
            </w:pPr>
            <w:r>
              <w:rPr>
                <w:color w:val="000000"/>
                <w:sz w:val="20"/>
                <w:szCs w:val="20"/>
              </w:rPr>
              <w:t>электроэнергия</w:t>
            </w:r>
          </w:p>
        </w:tc>
        <w:tc>
          <w:tcPr>
            <w:tcW w:w="1417" w:type="dxa"/>
            <w:tcBorders>
              <w:top w:val="nil"/>
              <w:left w:val="nil"/>
              <w:bottom w:val="single" w:sz="4" w:space="0" w:color="auto"/>
              <w:right w:val="single" w:sz="4" w:space="0" w:color="auto"/>
            </w:tcBorders>
            <w:shd w:val="clear" w:color="auto" w:fill="auto"/>
            <w:noWrap/>
            <w:vAlign w:val="center"/>
            <w:hideMark/>
          </w:tcPr>
          <w:p w:rsidR="00F07E05" w:rsidRDefault="00F07E05" w:rsidP="008A253E">
            <w:pPr>
              <w:jc w:val="center"/>
              <w:rPr>
                <w:b/>
                <w:bCs/>
                <w:color w:val="000000"/>
                <w:sz w:val="20"/>
                <w:szCs w:val="20"/>
              </w:rPr>
            </w:pPr>
            <w:r>
              <w:rPr>
                <w:b/>
                <w:bCs/>
                <w:color w:val="000000"/>
                <w:sz w:val="20"/>
                <w:szCs w:val="20"/>
              </w:rPr>
              <w:t>93 951,78</w:t>
            </w:r>
          </w:p>
        </w:tc>
        <w:tc>
          <w:tcPr>
            <w:tcW w:w="1276" w:type="dxa"/>
            <w:tcBorders>
              <w:top w:val="nil"/>
              <w:left w:val="nil"/>
              <w:bottom w:val="single" w:sz="4" w:space="0" w:color="auto"/>
              <w:right w:val="single" w:sz="4" w:space="0" w:color="auto"/>
            </w:tcBorders>
            <w:shd w:val="clear" w:color="auto" w:fill="auto"/>
            <w:noWrap/>
            <w:vAlign w:val="center"/>
            <w:hideMark/>
          </w:tcPr>
          <w:p w:rsidR="00F07E05" w:rsidRDefault="00F07E05" w:rsidP="008A253E">
            <w:pPr>
              <w:jc w:val="center"/>
              <w:rPr>
                <w:color w:val="000000"/>
                <w:sz w:val="20"/>
                <w:szCs w:val="20"/>
              </w:rPr>
            </w:pPr>
            <w:r>
              <w:rPr>
                <w:color w:val="000000"/>
                <w:sz w:val="20"/>
                <w:szCs w:val="20"/>
              </w:rPr>
              <w:t>31 422,00</w:t>
            </w:r>
          </w:p>
        </w:tc>
        <w:tc>
          <w:tcPr>
            <w:tcW w:w="1276" w:type="dxa"/>
            <w:tcBorders>
              <w:top w:val="nil"/>
              <w:left w:val="nil"/>
              <w:bottom w:val="single" w:sz="4" w:space="0" w:color="auto"/>
              <w:right w:val="single" w:sz="4" w:space="0" w:color="auto"/>
            </w:tcBorders>
            <w:shd w:val="clear" w:color="auto" w:fill="auto"/>
            <w:noWrap/>
            <w:vAlign w:val="center"/>
            <w:hideMark/>
          </w:tcPr>
          <w:p w:rsidR="00F07E05" w:rsidRDefault="00F07E05" w:rsidP="008A253E">
            <w:pPr>
              <w:jc w:val="center"/>
              <w:rPr>
                <w:color w:val="000000"/>
                <w:sz w:val="20"/>
                <w:szCs w:val="20"/>
              </w:rPr>
            </w:pPr>
            <w:r>
              <w:rPr>
                <w:color w:val="000000"/>
                <w:sz w:val="20"/>
                <w:szCs w:val="20"/>
              </w:rPr>
              <w:t>2,99</w:t>
            </w:r>
          </w:p>
        </w:tc>
        <w:tc>
          <w:tcPr>
            <w:tcW w:w="1405" w:type="dxa"/>
            <w:tcBorders>
              <w:top w:val="nil"/>
              <w:left w:val="nil"/>
              <w:bottom w:val="single" w:sz="4" w:space="0" w:color="auto"/>
              <w:right w:val="single" w:sz="4" w:space="0" w:color="auto"/>
            </w:tcBorders>
            <w:shd w:val="clear" w:color="auto" w:fill="auto"/>
            <w:noWrap/>
            <w:vAlign w:val="center"/>
            <w:hideMark/>
          </w:tcPr>
          <w:p w:rsidR="00F07E05" w:rsidRDefault="00F07E05" w:rsidP="008A253E">
            <w:pPr>
              <w:jc w:val="center"/>
              <w:rPr>
                <w:b/>
                <w:bCs/>
                <w:color w:val="000000"/>
                <w:sz w:val="20"/>
                <w:szCs w:val="20"/>
              </w:rPr>
            </w:pPr>
            <w:r>
              <w:rPr>
                <w:b/>
                <w:bCs/>
                <w:color w:val="000000"/>
                <w:sz w:val="20"/>
                <w:szCs w:val="20"/>
              </w:rPr>
              <w:t>93 951,78</w:t>
            </w:r>
          </w:p>
        </w:tc>
        <w:tc>
          <w:tcPr>
            <w:tcW w:w="1288" w:type="dxa"/>
            <w:tcBorders>
              <w:top w:val="nil"/>
              <w:left w:val="nil"/>
              <w:bottom w:val="single" w:sz="4" w:space="0" w:color="auto"/>
              <w:right w:val="single" w:sz="4" w:space="0" w:color="auto"/>
            </w:tcBorders>
            <w:shd w:val="clear" w:color="auto" w:fill="auto"/>
            <w:noWrap/>
            <w:vAlign w:val="center"/>
            <w:hideMark/>
          </w:tcPr>
          <w:p w:rsidR="00F07E05" w:rsidRDefault="00F07E05" w:rsidP="008A253E">
            <w:pPr>
              <w:jc w:val="center"/>
              <w:rPr>
                <w:color w:val="000000"/>
                <w:sz w:val="20"/>
                <w:szCs w:val="20"/>
              </w:rPr>
            </w:pPr>
            <w:r>
              <w:rPr>
                <w:color w:val="000000"/>
                <w:sz w:val="20"/>
                <w:szCs w:val="20"/>
              </w:rPr>
              <w:t>31 422,00</w:t>
            </w:r>
          </w:p>
        </w:tc>
        <w:tc>
          <w:tcPr>
            <w:tcW w:w="1742" w:type="dxa"/>
            <w:tcBorders>
              <w:top w:val="nil"/>
              <w:left w:val="nil"/>
              <w:bottom w:val="single" w:sz="4" w:space="0" w:color="auto"/>
              <w:right w:val="single" w:sz="4" w:space="0" w:color="auto"/>
            </w:tcBorders>
            <w:shd w:val="clear" w:color="auto" w:fill="auto"/>
            <w:noWrap/>
            <w:vAlign w:val="center"/>
            <w:hideMark/>
          </w:tcPr>
          <w:p w:rsidR="00F07E05" w:rsidRDefault="00F07E05" w:rsidP="008A253E">
            <w:pPr>
              <w:jc w:val="center"/>
              <w:rPr>
                <w:color w:val="000000"/>
                <w:sz w:val="20"/>
                <w:szCs w:val="20"/>
              </w:rPr>
            </w:pPr>
            <w:r>
              <w:rPr>
                <w:color w:val="000000"/>
                <w:sz w:val="20"/>
                <w:szCs w:val="20"/>
              </w:rPr>
              <w:t>2,99</w:t>
            </w:r>
          </w:p>
        </w:tc>
        <w:tc>
          <w:tcPr>
            <w:tcW w:w="1376" w:type="dxa"/>
            <w:tcBorders>
              <w:top w:val="nil"/>
              <w:left w:val="nil"/>
              <w:bottom w:val="single" w:sz="4" w:space="0" w:color="auto"/>
              <w:right w:val="single" w:sz="4" w:space="0" w:color="auto"/>
            </w:tcBorders>
            <w:shd w:val="clear" w:color="auto" w:fill="auto"/>
            <w:noWrap/>
            <w:vAlign w:val="center"/>
            <w:hideMark/>
          </w:tcPr>
          <w:p w:rsidR="00F07E05" w:rsidRDefault="00F07E05" w:rsidP="008A253E">
            <w:pPr>
              <w:jc w:val="center"/>
              <w:rPr>
                <w:b/>
                <w:bCs/>
                <w:color w:val="000000"/>
                <w:sz w:val="20"/>
                <w:szCs w:val="20"/>
              </w:rPr>
            </w:pPr>
            <w:r>
              <w:rPr>
                <w:b/>
                <w:bCs/>
                <w:color w:val="000000"/>
                <w:sz w:val="20"/>
                <w:szCs w:val="20"/>
              </w:rPr>
              <w:t>93 951,78</w:t>
            </w:r>
          </w:p>
        </w:tc>
        <w:tc>
          <w:tcPr>
            <w:tcW w:w="1134" w:type="dxa"/>
            <w:tcBorders>
              <w:top w:val="nil"/>
              <w:left w:val="nil"/>
              <w:bottom w:val="single" w:sz="4" w:space="0" w:color="auto"/>
              <w:right w:val="single" w:sz="4" w:space="0" w:color="auto"/>
            </w:tcBorders>
            <w:shd w:val="clear" w:color="auto" w:fill="auto"/>
            <w:noWrap/>
            <w:vAlign w:val="center"/>
            <w:hideMark/>
          </w:tcPr>
          <w:p w:rsidR="00F07E05" w:rsidRDefault="00F07E05" w:rsidP="008A253E">
            <w:pPr>
              <w:jc w:val="center"/>
              <w:rPr>
                <w:color w:val="000000"/>
                <w:sz w:val="20"/>
                <w:szCs w:val="20"/>
              </w:rPr>
            </w:pPr>
            <w:r>
              <w:rPr>
                <w:color w:val="000000"/>
                <w:sz w:val="20"/>
                <w:szCs w:val="20"/>
              </w:rPr>
              <w:t>31 422,00</w:t>
            </w:r>
          </w:p>
        </w:tc>
        <w:tc>
          <w:tcPr>
            <w:tcW w:w="1276" w:type="dxa"/>
            <w:tcBorders>
              <w:top w:val="nil"/>
              <w:left w:val="nil"/>
              <w:bottom w:val="single" w:sz="4" w:space="0" w:color="auto"/>
              <w:right w:val="single" w:sz="4" w:space="0" w:color="auto"/>
            </w:tcBorders>
            <w:shd w:val="clear" w:color="auto" w:fill="auto"/>
            <w:noWrap/>
            <w:vAlign w:val="center"/>
            <w:hideMark/>
          </w:tcPr>
          <w:p w:rsidR="00F07E05" w:rsidRDefault="00F07E05" w:rsidP="008A253E">
            <w:pPr>
              <w:jc w:val="center"/>
              <w:rPr>
                <w:color w:val="000000"/>
                <w:sz w:val="20"/>
                <w:szCs w:val="20"/>
              </w:rPr>
            </w:pPr>
            <w:r>
              <w:rPr>
                <w:color w:val="000000"/>
                <w:sz w:val="20"/>
                <w:szCs w:val="20"/>
              </w:rPr>
              <w:t>2,99</w:t>
            </w:r>
          </w:p>
        </w:tc>
      </w:tr>
      <w:tr w:rsidR="00F07E05" w:rsidTr="008A253E">
        <w:trPr>
          <w:gridAfter w:val="1"/>
          <w:wAfter w:w="50" w:type="dxa"/>
          <w:trHeight w:val="540"/>
        </w:trPr>
        <w:tc>
          <w:tcPr>
            <w:tcW w:w="486" w:type="dxa"/>
            <w:vMerge/>
            <w:tcBorders>
              <w:top w:val="nil"/>
              <w:left w:val="single" w:sz="4" w:space="0" w:color="auto"/>
              <w:bottom w:val="nil"/>
              <w:right w:val="single" w:sz="4" w:space="0" w:color="auto"/>
            </w:tcBorders>
            <w:shd w:val="clear" w:color="auto" w:fill="auto"/>
            <w:vAlign w:val="center"/>
            <w:hideMark/>
          </w:tcPr>
          <w:p w:rsidR="00F07E05" w:rsidRDefault="00F07E05" w:rsidP="008A253E">
            <w:pPr>
              <w:rPr>
                <w:color w:val="000000"/>
                <w:sz w:val="20"/>
                <w:szCs w:val="20"/>
              </w:rPr>
            </w:pPr>
          </w:p>
        </w:tc>
        <w:tc>
          <w:tcPr>
            <w:tcW w:w="1715" w:type="dxa"/>
            <w:vMerge/>
            <w:tcBorders>
              <w:top w:val="nil"/>
              <w:left w:val="single" w:sz="4" w:space="0" w:color="auto"/>
              <w:bottom w:val="nil"/>
              <w:right w:val="single" w:sz="4" w:space="0" w:color="auto"/>
            </w:tcBorders>
            <w:shd w:val="clear" w:color="auto" w:fill="auto"/>
            <w:vAlign w:val="center"/>
            <w:hideMark/>
          </w:tcPr>
          <w:p w:rsidR="00F07E05" w:rsidRDefault="00F07E05" w:rsidP="008A253E">
            <w:pPr>
              <w:rPr>
                <w:sz w:val="20"/>
                <w:szCs w:val="20"/>
              </w:rPr>
            </w:pPr>
          </w:p>
        </w:tc>
        <w:tc>
          <w:tcPr>
            <w:tcW w:w="1769" w:type="dxa"/>
            <w:tcBorders>
              <w:top w:val="nil"/>
              <w:left w:val="nil"/>
              <w:bottom w:val="single" w:sz="4" w:space="0" w:color="auto"/>
              <w:right w:val="single" w:sz="4" w:space="0" w:color="auto"/>
            </w:tcBorders>
            <w:shd w:val="clear" w:color="auto" w:fill="auto"/>
            <w:vAlign w:val="center"/>
            <w:hideMark/>
          </w:tcPr>
          <w:p w:rsidR="00F07E05" w:rsidRDefault="00F07E05" w:rsidP="008A253E">
            <w:pPr>
              <w:rPr>
                <w:color w:val="000000"/>
                <w:sz w:val="20"/>
                <w:szCs w:val="20"/>
              </w:rPr>
            </w:pPr>
            <w:r>
              <w:rPr>
                <w:color w:val="000000"/>
                <w:sz w:val="20"/>
                <w:szCs w:val="20"/>
              </w:rPr>
              <w:t>холодное водоснабжение и водоотведение</w:t>
            </w:r>
          </w:p>
        </w:tc>
        <w:tc>
          <w:tcPr>
            <w:tcW w:w="1417" w:type="dxa"/>
            <w:tcBorders>
              <w:top w:val="nil"/>
              <w:left w:val="nil"/>
              <w:bottom w:val="single" w:sz="4" w:space="0" w:color="auto"/>
              <w:right w:val="single" w:sz="4" w:space="0" w:color="auto"/>
            </w:tcBorders>
            <w:shd w:val="clear" w:color="auto" w:fill="auto"/>
            <w:noWrap/>
            <w:vAlign w:val="center"/>
            <w:hideMark/>
          </w:tcPr>
          <w:p w:rsidR="00F07E05" w:rsidRDefault="00F07E05" w:rsidP="008A253E">
            <w:pPr>
              <w:jc w:val="center"/>
              <w:rPr>
                <w:b/>
                <w:bCs/>
                <w:color w:val="000000"/>
                <w:sz w:val="20"/>
                <w:szCs w:val="20"/>
              </w:rPr>
            </w:pPr>
            <w:r>
              <w:rPr>
                <w:b/>
                <w:bCs/>
                <w:color w:val="000000"/>
                <w:sz w:val="20"/>
                <w:szCs w:val="20"/>
              </w:rPr>
              <w:t>120 040,90</w:t>
            </w:r>
          </w:p>
        </w:tc>
        <w:tc>
          <w:tcPr>
            <w:tcW w:w="1276" w:type="dxa"/>
            <w:tcBorders>
              <w:top w:val="nil"/>
              <w:left w:val="nil"/>
              <w:bottom w:val="single" w:sz="4" w:space="0" w:color="auto"/>
              <w:right w:val="single" w:sz="4" w:space="0" w:color="auto"/>
            </w:tcBorders>
            <w:shd w:val="clear" w:color="auto" w:fill="auto"/>
            <w:noWrap/>
            <w:vAlign w:val="center"/>
            <w:hideMark/>
          </w:tcPr>
          <w:p w:rsidR="00F07E05" w:rsidRDefault="00F07E05" w:rsidP="008A253E">
            <w:pPr>
              <w:jc w:val="center"/>
              <w:rPr>
                <w:color w:val="000000"/>
                <w:sz w:val="20"/>
                <w:szCs w:val="20"/>
              </w:rPr>
            </w:pPr>
            <w:r>
              <w:rPr>
                <w:color w:val="000000"/>
                <w:sz w:val="20"/>
                <w:szCs w:val="20"/>
              </w:rPr>
              <w:t>6 244,00</w:t>
            </w:r>
          </w:p>
        </w:tc>
        <w:tc>
          <w:tcPr>
            <w:tcW w:w="1276" w:type="dxa"/>
            <w:tcBorders>
              <w:top w:val="nil"/>
              <w:left w:val="nil"/>
              <w:bottom w:val="single" w:sz="4" w:space="0" w:color="auto"/>
              <w:right w:val="single" w:sz="4" w:space="0" w:color="auto"/>
            </w:tcBorders>
            <w:shd w:val="clear" w:color="auto" w:fill="auto"/>
            <w:noWrap/>
            <w:vAlign w:val="center"/>
            <w:hideMark/>
          </w:tcPr>
          <w:p w:rsidR="00F07E05" w:rsidRDefault="00F07E05" w:rsidP="008A253E">
            <w:pPr>
              <w:jc w:val="center"/>
              <w:rPr>
                <w:color w:val="000000"/>
                <w:sz w:val="20"/>
                <w:szCs w:val="20"/>
              </w:rPr>
            </w:pPr>
            <w:r>
              <w:rPr>
                <w:color w:val="000000"/>
                <w:sz w:val="20"/>
                <w:szCs w:val="20"/>
              </w:rPr>
              <w:t>19,23</w:t>
            </w:r>
          </w:p>
        </w:tc>
        <w:tc>
          <w:tcPr>
            <w:tcW w:w="1405" w:type="dxa"/>
            <w:tcBorders>
              <w:top w:val="nil"/>
              <w:left w:val="nil"/>
              <w:bottom w:val="single" w:sz="4" w:space="0" w:color="auto"/>
              <w:right w:val="single" w:sz="4" w:space="0" w:color="auto"/>
            </w:tcBorders>
            <w:shd w:val="clear" w:color="auto" w:fill="auto"/>
            <w:noWrap/>
            <w:vAlign w:val="center"/>
            <w:hideMark/>
          </w:tcPr>
          <w:p w:rsidR="00F07E05" w:rsidRDefault="00F07E05" w:rsidP="008A253E">
            <w:pPr>
              <w:jc w:val="center"/>
              <w:rPr>
                <w:b/>
                <w:bCs/>
                <w:color w:val="000000"/>
                <w:sz w:val="20"/>
                <w:szCs w:val="20"/>
              </w:rPr>
            </w:pPr>
            <w:r>
              <w:rPr>
                <w:b/>
                <w:bCs/>
                <w:color w:val="000000"/>
                <w:sz w:val="20"/>
                <w:szCs w:val="20"/>
              </w:rPr>
              <w:t>120 040,90</w:t>
            </w:r>
          </w:p>
        </w:tc>
        <w:tc>
          <w:tcPr>
            <w:tcW w:w="1288" w:type="dxa"/>
            <w:tcBorders>
              <w:top w:val="nil"/>
              <w:left w:val="nil"/>
              <w:bottom w:val="single" w:sz="4" w:space="0" w:color="auto"/>
              <w:right w:val="single" w:sz="4" w:space="0" w:color="auto"/>
            </w:tcBorders>
            <w:shd w:val="clear" w:color="auto" w:fill="auto"/>
            <w:noWrap/>
            <w:vAlign w:val="center"/>
            <w:hideMark/>
          </w:tcPr>
          <w:p w:rsidR="00F07E05" w:rsidRDefault="00F07E05" w:rsidP="008A253E">
            <w:pPr>
              <w:jc w:val="center"/>
              <w:rPr>
                <w:color w:val="000000"/>
                <w:sz w:val="20"/>
                <w:szCs w:val="20"/>
              </w:rPr>
            </w:pPr>
            <w:r>
              <w:rPr>
                <w:color w:val="000000"/>
                <w:sz w:val="20"/>
                <w:szCs w:val="20"/>
              </w:rPr>
              <w:t>6 244,00</w:t>
            </w:r>
          </w:p>
        </w:tc>
        <w:tc>
          <w:tcPr>
            <w:tcW w:w="1742" w:type="dxa"/>
            <w:tcBorders>
              <w:top w:val="nil"/>
              <w:left w:val="nil"/>
              <w:bottom w:val="single" w:sz="4" w:space="0" w:color="auto"/>
              <w:right w:val="single" w:sz="4" w:space="0" w:color="auto"/>
            </w:tcBorders>
            <w:shd w:val="clear" w:color="auto" w:fill="auto"/>
            <w:noWrap/>
            <w:vAlign w:val="center"/>
            <w:hideMark/>
          </w:tcPr>
          <w:p w:rsidR="00F07E05" w:rsidRDefault="00F07E05" w:rsidP="008A253E">
            <w:pPr>
              <w:jc w:val="center"/>
              <w:rPr>
                <w:color w:val="000000"/>
                <w:sz w:val="20"/>
                <w:szCs w:val="20"/>
              </w:rPr>
            </w:pPr>
            <w:r>
              <w:rPr>
                <w:color w:val="000000"/>
                <w:sz w:val="20"/>
                <w:szCs w:val="20"/>
              </w:rPr>
              <w:t>19,23</w:t>
            </w:r>
          </w:p>
        </w:tc>
        <w:tc>
          <w:tcPr>
            <w:tcW w:w="1376" w:type="dxa"/>
            <w:tcBorders>
              <w:top w:val="nil"/>
              <w:left w:val="nil"/>
              <w:bottom w:val="single" w:sz="4" w:space="0" w:color="auto"/>
              <w:right w:val="single" w:sz="4" w:space="0" w:color="auto"/>
            </w:tcBorders>
            <w:shd w:val="clear" w:color="auto" w:fill="auto"/>
            <w:noWrap/>
            <w:vAlign w:val="center"/>
            <w:hideMark/>
          </w:tcPr>
          <w:p w:rsidR="00F07E05" w:rsidRDefault="00F07E05" w:rsidP="008A253E">
            <w:pPr>
              <w:jc w:val="center"/>
              <w:rPr>
                <w:b/>
                <w:bCs/>
                <w:color w:val="000000"/>
                <w:sz w:val="20"/>
                <w:szCs w:val="20"/>
              </w:rPr>
            </w:pPr>
            <w:r>
              <w:rPr>
                <w:b/>
                <w:bCs/>
                <w:color w:val="000000"/>
                <w:sz w:val="20"/>
                <w:szCs w:val="20"/>
              </w:rPr>
              <w:t>120 040,90</w:t>
            </w:r>
          </w:p>
        </w:tc>
        <w:tc>
          <w:tcPr>
            <w:tcW w:w="1134" w:type="dxa"/>
            <w:tcBorders>
              <w:top w:val="nil"/>
              <w:left w:val="nil"/>
              <w:bottom w:val="single" w:sz="4" w:space="0" w:color="auto"/>
              <w:right w:val="single" w:sz="4" w:space="0" w:color="auto"/>
            </w:tcBorders>
            <w:shd w:val="clear" w:color="auto" w:fill="auto"/>
            <w:noWrap/>
            <w:vAlign w:val="center"/>
            <w:hideMark/>
          </w:tcPr>
          <w:p w:rsidR="00F07E05" w:rsidRDefault="00F07E05" w:rsidP="008A253E">
            <w:pPr>
              <w:jc w:val="center"/>
              <w:rPr>
                <w:color w:val="000000"/>
                <w:sz w:val="20"/>
                <w:szCs w:val="20"/>
              </w:rPr>
            </w:pPr>
            <w:r>
              <w:rPr>
                <w:color w:val="000000"/>
                <w:sz w:val="20"/>
                <w:szCs w:val="20"/>
              </w:rPr>
              <w:t>6 244,00</w:t>
            </w:r>
          </w:p>
        </w:tc>
        <w:tc>
          <w:tcPr>
            <w:tcW w:w="1276" w:type="dxa"/>
            <w:tcBorders>
              <w:top w:val="nil"/>
              <w:left w:val="nil"/>
              <w:bottom w:val="single" w:sz="4" w:space="0" w:color="auto"/>
              <w:right w:val="single" w:sz="4" w:space="0" w:color="auto"/>
            </w:tcBorders>
            <w:shd w:val="clear" w:color="auto" w:fill="auto"/>
            <w:noWrap/>
            <w:vAlign w:val="center"/>
            <w:hideMark/>
          </w:tcPr>
          <w:p w:rsidR="00F07E05" w:rsidRDefault="00F07E05" w:rsidP="008A253E">
            <w:pPr>
              <w:jc w:val="center"/>
              <w:rPr>
                <w:color w:val="000000"/>
                <w:sz w:val="20"/>
                <w:szCs w:val="20"/>
              </w:rPr>
            </w:pPr>
            <w:r>
              <w:rPr>
                <w:color w:val="000000"/>
                <w:sz w:val="20"/>
                <w:szCs w:val="20"/>
              </w:rPr>
              <w:t>19,23</w:t>
            </w:r>
          </w:p>
        </w:tc>
      </w:tr>
      <w:tr w:rsidR="00F07E05" w:rsidTr="008A253E">
        <w:trPr>
          <w:gridAfter w:val="1"/>
          <w:wAfter w:w="50" w:type="dxa"/>
          <w:trHeight w:val="330"/>
        </w:trPr>
        <w:tc>
          <w:tcPr>
            <w:tcW w:w="486" w:type="dxa"/>
            <w:vMerge/>
            <w:tcBorders>
              <w:top w:val="nil"/>
              <w:left w:val="single" w:sz="4" w:space="0" w:color="auto"/>
              <w:bottom w:val="nil"/>
              <w:right w:val="single" w:sz="4" w:space="0" w:color="auto"/>
            </w:tcBorders>
            <w:shd w:val="clear" w:color="auto" w:fill="auto"/>
            <w:vAlign w:val="center"/>
            <w:hideMark/>
          </w:tcPr>
          <w:p w:rsidR="00F07E05" w:rsidRDefault="00F07E05" w:rsidP="008A253E">
            <w:pPr>
              <w:rPr>
                <w:color w:val="000000"/>
                <w:sz w:val="20"/>
                <w:szCs w:val="20"/>
              </w:rPr>
            </w:pPr>
          </w:p>
        </w:tc>
        <w:tc>
          <w:tcPr>
            <w:tcW w:w="1715" w:type="dxa"/>
            <w:vMerge/>
            <w:tcBorders>
              <w:top w:val="nil"/>
              <w:left w:val="single" w:sz="4" w:space="0" w:color="auto"/>
              <w:bottom w:val="nil"/>
              <w:right w:val="single" w:sz="4" w:space="0" w:color="auto"/>
            </w:tcBorders>
            <w:shd w:val="clear" w:color="auto" w:fill="auto"/>
            <w:vAlign w:val="center"/>
            <w:hideMark/>
          </w:tcPr>
          <w:p w:rsidR="00F07E05" w:rsidRDefault="00F07E05" w:rsidP="008A253E">
            <w:pPr>
              <w:rPr>
                <w:sz w:val="20"/>
                <w:szCs w:val="20"/>
              </w:rPr>
            </w:pPr>
          </w:p>
        </w:tc>
        <w:tc>
          <w:tcPr>
            <w:tcW w:w="1769" w:type="dxa"/>
            <w:tcBorders>
              <w:top w:val="nil"/>
              <w:left w:val="nil"/>
              <w:bottom w:val="single" w:sz="4" w:space="0" w:color="auto"/>
              <w:right w:val="single" w:sz="4" w:space="0" w:color="auto"/>
            </w:tcBorders>
            <w:shd w:val="clear" w:color="auto" w:fill="auto"/>
            <w:vAlign w:val="center"/>
            <w:hideMark/>
          </w:tcPr>
          <w:p w:rsidR="00F07E05" w:rsidRDefault="00F07E05" w:rsidP="008A253E">
            <w:pPr>
              <w:rPr>
                <w:color w:val="000000"/>
                <w:sz w:val="20"/>
                <w:szCs w:val="20"/>
              </w:rPr>
            </w:pPr>
            <w:r>
              <w:rPr>
                <w:color w:val="000000"/>
                <w:sz w:val="20"/>
                <w:szCs w:val="20"/>
              </w:rPr>
              <w:t>водоотведение</w:t>
            </w:r>
          </w:p>
        </w:tc>
        <w:tc>
          <w:tcPr>
            <w:tcW w:w="1417" w:type="dxa"/>
            <w:tcBorders>
              <w:top w:val="nil"/>
              <w:left w:val="nil"/>
              <w:bottom w:val="single" w:sz="4" w:space="0" w:color="auto"/>
              <w:right w:val="single" w:sz="4" w:space="0" w:color="auto"/>
            </w:tcBorders>
            <w:shd w:val="clear" w:color="auto" w:fill="auto"/>
            <w:noWrap/>
            <w:vAlign w:val="center"/>
            <w:hideMark/>
          </w:tcPr>
          <w:p w:rsidR="00F07E05" w:rsidRDefault="00F07E05" w:rsidP="008A253E">
            <w:pPr>
              <w:jc w:val="center"/>
              <w:rPr>
                <w:b/>
                <w:bCs/>
                <w:color w:val="000000"/>
                <w:sz w:val="20"/>
                <w:szCs w:val="20"/>
              </w:rPr>
            </w:pPr>
            <w:r>
              <w:rPr>
                <w:b/>
                <w:bCs/>
                <w:color w:val="000000"/>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F07E05" w:rsidRDefault="00F07E05" w:rsidP="008A253E">
            <w:pPr>
              <w:jc w:val="center"/>
              <w:rPr>
                <w:color w:val="000000"/>
                <w:sz w:val="20"/>
                <w:szCs w:val="20"/>
              </w:rPr>
            </w:pPr>
            <w:r>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F07E05" w:rsidRDefault="00F07E05" w:rsidP="008A253E">
            <w:pPr>
              <w:jc w:val="center"/>
              <w:rPr>
                <w:color w:val="000000"/>
                <w:sz w:val="20"/>
                <w:szCs w:val="20"/>
              </w:rPr>
            </w:pPr>
            <w:r>
              <w:rPr>
                <w:color w:val="000000"/>
                <w:sz w:val="20"/>
                <w:szCs w:val="20"/>
              </w:rPr>
              <w:t> </w:t>
            </w:r>
          </w:p>
        </w:tc>
        <w:tc>
          <w:tcPr>
            <w:tcW w:w="1405" w:type="dxa"/>
            <w:tcBorders>
              <w:top w:val="nil"/>
              <w:left w:val="nil"/>
              <w:bottom w:val="single" w:sz="4" w:space="0" w:color="auto"/>
              <w:right w:val="single" w:sz="4" w:space="0" w:color="auto"/>
            </w:tcBorders>
            <w:shd w:val="clear" w:color="auto" w:fill="auto"/>
            <w:noWrap/>
            <w:vAlign w:val="center"/>
            <w:hideMark/>
          </w:tcPr>
          <w:p w:rsidR="00F07E05" w:rsidRDefault="00F07E05" w:rsidP="008A253E">
            <w:pPr>
              <w:jc w:val="center"/>
              <w:rPr>
                <w:b/>
                <w:bCs/>
                <w:color w:val="000000"/>
                <w:sz w:val="20"/>
                <w:szCs w:val="20"/>
              </w:rPr>
            </w:pPr>
            <w:r>
              <w:rPr>
                <w:b/>
                <w:bCs/>
                <w:color w:val="000000"/>
                <w:sz w:val="20"/>
                <w:szCs w:val="20"/>
              </w:rPr>
              <w:t>0,00</w:t>
            </w:r>
          </w:p>
        </w:tc>
        <w:tc>
          <w:tcPr>
            <w:tcW w:w="1288" w:type="dxa"/>
            <w:tcBorders>
              <w:top w:val="nil"/>
              <w:left w:val="nil"/>
              <w:bottom w:val="single" w:sz="4" w:space="0" w:color="auto"/>
              <w:right w:val="single" w:sz="4" w:space="0" w:color="auto"/>
            </w:tcBorders>
            <w:shd w:val="clear" w:color="auto" w:fill="auto"/>
            <w:noWrap/>
            <w:vAlign w:val="center"/>
            <w:hideMark/>
          </w:tcPr>
          <w:p w:rsidR="00F07E05" w:rsidRDefault="00F07E05" w:rsidP="008A253E">
            <w:pPr>
              <w:jc w:val="center"/>
              <w:rPr>
                <w:color w:val="000000"/>
                <w:sz w:val="20"/>
                <w:szCs w:val="20"/>
              </w:rPr>
            </w:pPr>
            <w:r>
              <w:rPr>
                <w:color w:val="000000"/>
                <w:sz w:val="20"/>
                <w:szCs w:val="20"/>
              </w:rPr>
              <w:t> </w:t>
            </w:r>
          </w:p>
        </w:tc>
        <w:tc>
          <w:tcPr>
            <w:tcW w:w="1742" w:type="dxa"/>
            <w:tcBorders>
              <w:top w:val="nil"/>
              <w:left w:val="nil"/>
              <w:bottom w:val="single" w:sz="4" w:space="0" w:color="auto"/>
              <w:right w:val="single" w:sz="4" w:space="0" w:color="auto"/>
            </w:tcBorders>
            <w:shd w:val="clear" w:color="auto" w:fill="auto"/>
            <w:noWrap/>
            <w:vAlign w:val="center"/>
            <w:hideMark/>
          </w:tcPr>
          <w:p w:rsidR="00F07E05" w:rsidRDefault="00F07E05" w:rsidP="008A253E">
            <w:pPr>
              <w:jc w:val="center"/>
              <w:rPr>
                <w:color w:val="000000"/>
                <w:sz w:val="20"/>
                <w:szCs w:val="20"/>
              </w:rPr>
            </w:pPr>
            <w:r>
              <w:rPr>
                <w:color w:val="000000"/>
                <w:sz w:val="20"/>
                <w:szCs w:val="20"/>
              </w:rPr>
              <w:t> </w:t>
            </w:r>
          </w:p>
        </w:tc>
        <w:tc>
          <w:tcPr>
            <w:tcW w:w="1376" w:type="dxa"/>
            <w:tcBorders>
              <w:top w:val="nil"/>
              <w:left w:val="nil"/>
              <w:bottom w:val="single" w:sz="4" w:space="0" w:color="auto"/>
              <w:right w:val="single" w:sz="4" w:space="0" w:color="auto"/>
            </w:tcBorders>
            <w:shd w:val="clear" w:color="auto" w:fill="auto"/>
            <w:noWrap/>
            <w:vAlign w:val="center"/>
            <w:hideMark/>
          </w:tcPr>
          <w:p w:rsidR="00F07E05" w:rsidRDefault="00F07E05" w:rsidP="008A253E">
            <w:pPr>
              <w:jc w:val="center"/>
              <w:rPr>
                <w:b/>
                <w:bCs/>
                <w:color w:val="000000"/>
                <w:sz w:val="20"/>
                <w:szCs w:val="20"/>
              </w:rPr>
            </w:pPr>
            <w:r>
              <w:rPr>
                <w:b/>
                <w:bCs/>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F07E05" w:rsidRDefault="00F07E05" w:rsidP="008A253E">
            <w:pPr>
              <w:jc w:val="center"/>
              <w:rPr>
                <w:color w:val="000000"/>
                <w:sz w:val="20"/>
                <w:szCs w:val="20"/>
              </w:rPr>
            </w:pPr>
            <w:r>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F07E05" w:rsidRDefault="00F07E05" w:rsidP="008A253E">
            <w:pPr>
              <w:jc w:val="center"/>
              <w:rPr>
                <w:color w:val="000000"/>
                <w:sz w:val="20"/>
                <w:szCs w:val="20"/>
              </w:rPr>
            </w:pPr>
            <w:r>
              <w:rPr>
                <w:color w:val="000000"/>
                <w:sz w:val="20"/>
                <w:szCs w:val="20"/>
              </w:rPr>
              <w:t> </w:t>
            </w:r>
          </w:p>
        </w:tc>
      </w:tr>
      <w:tr w:rsidR="00F07E05" w:rsidTr="008A253E">
        <w:trPr>
          <w:gridAfter w:val="1"/>
          <w:wAfter w:w="50" w:type="dxa"/>
          <w:trHeight w:val="503"/>
        </w:trPr>
        <w:tc>
          <w:tcPr>
            <w:tcW w:w="486" w:type="dxa"/>
            <w:vMerge/>
            <w:tcBorders>
              <w:top w:val="nil"/>
              <w:left w:val="single" w:sz="4" w:space="0" w:color="auto"/>
              <w:bottom w:val="nil"/>
              <w:right w:val="single" w:sz="4" w:space="0" w:color="auto"/>
            </w:tcBorders>
            <w:shd w:val="clear" w:color="auto" w:fill="auto"/>
            <w:vAlign w:val="center"/>
            <w:hideMark/>
          </w:tcPr>
          <w:p w:rsidR="00F07E05" w:rsidRDefault="00F07E05" w:rsidP="008A253E">
            <w:pPr>
              <w:rPr>
                <w:color w:val="000000"/>
                <w:sz w:val="20"/>
                <w:szCs w:val="20"/>
              </w:rPr>
            </w:pPr>
          </w:p>
        </w:tc>
        <w:tc>
          <w:tcPr>
            <w:tcW w:w="1715" w:type="dxa"/>
            <w:vMerge/>
            <w:tcBorders>
              <w:top w:val="nil"/>
              <w:left w:val="single" w:sz="4" w:space="0" w:color="auto"/>
              <w:bottom w:val="nil"/>
              <w:right w:val="single" w:sz="4" w:space="0" w:color="auto"/>
            </w:tcBorders>
            <w:shd w:val="clear" w:color="auto" w:fill="auto"/>
            <w:vAlign w:val="center"/>
            <w:hideMark/>
          </w:tcPr>
          <w:p w:rsidR="00F07E05" w:rsidRDefault="00F07E05" w:rsidP="008A253E">
            <w:pPr>
              <w:rPr>
                <w:sz w:val="20"/>
                <w:szCs w:val="20"/>
              </w:rPr>
            </w:pPr>
          </w:p>
        </w:tc>
        <w:tc>
          <w:tcPr>
            <w:tcW w:w="1769" w:type="dxa"/>
            <w:tcBorders>
              <w:top w:val="nil"/>
              <w:left w:val="nil"/>
              <w:bottom w:val="single" w:sz="4" w:space="0" w:color="auto"/>
              <w:right w:val="single" w:sz="4" w:space="0" w:color="auto"/>
            </w:tcBorders>
            <w:shd w:val="clear" w:color="auto" w:fill="auto"/>
            <w:vAlign w:val="center"/>
            <w:hideMark/>
          </w:tcPr>
          <w:p w:rsidR="00F07E05" w:rsidRDefault="00F07E05" w:rsidP="008A253E">
            <w:pPr>
              <w:rPr>
                <w:color w:val="000000"/>
                <w:sz w:val="20"/>
                <w:szCs w:val="20"/>
              </w:rPr>
            </w:pPr>
            <w:r>
              <w:rPr>
                <w:color w:val="000000"/>
                <w:sz w:val="20"/>
                <w:szCs w:val="20"/>
              </w:rPr>
              <w:t>прочие коммунальные услуги (вывоз отходов)</w:t>
            </w:r>
          </w:p>
        </w:tc>
        <w:tc>
          <w:tcPr>
            <w:tcW w:w="1417" w:type="dxa"/>
            <w:tcBorders>
              <w:top w:val="nil"/>
              <w:left w:val="nil"/>
              <w:bottom w:val="single" w:sz="4" w:space="0" w:color="auto"/>
              <w:right w:val="single" w:sz="4" w:space="0" w:color="auto"/>
            </w:tcBorders>
            <w:shd w:val="clear" w:color="auto" w:fill="auto"/>
            <w:noWrap/>
            <w:vAlign w:val="center"/>
            <w:hideMark/>
          </w:tcPr>
          <w:p w:rsidR="00F07E05" w:rsidRDefault="00F07E05" w:rsidP="008A253E">
            <w:pPr>
              <w:jc w:val="center"/>
              <w:rPr>
                <w:b/>
                <w:bCs/>
                <w:color w:val="000000"/>
                <w:sz w:val="20"/>
                <w:szCs w:val="20"/>
              </w:rPr>
            </w:pPr>
            <w:r>
              <w:rPr>
                <w:b/>
                <w:bCs/>
                <w:color w:val="000000"/>
                <w:sz w:val="20"/>
                <w:szCs w:val="20"/>
              </w:rPr>
              <w:t>41 484,08</w:t>
            </w:r>
          </w:p>
        </w:tc>
        <w:tc>
          <w:tcPr>
            <w:tcW w:w="1276" w:type="dxa"/>
            <w:tcBorders>
              <w:top w:val="nil"/>
              <w:left w:val="nil"/>
              <w:bottom w:val="single" w:sz="4" w:space="0" w:color="auto"/>
              <w:right w:val="single" w:sz="4" w:space="0" w:color="auto"/>
            </w:tcBorders>
            <w:shd w:val="clear" w:color="auto" w:fill="auto"/>
            <w:noWrap/>
            <w:vAlign w:val="center"/>
            <w:hideMark/>
          </w:tcPr>
          <w:p w:rsidR="00F07E05" w:rsidRDefault="00F07E05" w:rsidP="008A253E">
            <w:pPr>
              <w:jc w:val="center"/>
              <w:rPr>
                <w:color w:val="000000"/>
                <w:sz w:val="20"/>
                <w:szCs w:val="20"/>
              </w:rPr>
            </w:pPr>
            <w:r>
              <w:rPr>
                <w:color w:val="000000"/>
                <w:sz w:val="20"/>
                <w:szCs w:val="20"/>
              </w:rPr>
              <w:t>472,00</w:t>
            </w:r>
          </w:p>
        </w:tc>
        <w:tc>
          <w:tcPr>
            <w:tcW w:w="1276" w:type="dxa"/>
            <w:tcBorders>
              <w:top w:val="nil"/>
              <w:left w:val="nil"/>
              <w:bottom w:val="single" w:sz="4" w:space="0" w:color="auto"/>
              <w:right w:val="single" w:sz="4" w:space="0" w:color="auto"/>
            </w:tcBorders>
            <w:shd w:val="clear" w:color="auto" w:fill="auto"/>
            <w:noWrap/>
            <w:vAlign w:val="center"/>
            <w:hideMark/>
          </w:tcPr>
          <w:p w:rsidR="00F07E05" w:rsidRDefault="00F07E05" w:rsidP="008A253E">
            <w:pPr>
              <w:jc w:val="center"/>
              <w:rPr>
                <w:color w:val="000000"/>
                <w:sz w:val="20"/>
                <w:szCs w:val="20"/>
              </w:rPr>
            </w:pPr>
            <w:r>
              <w:rPr>
                <w:color w:val="000000"/>
                <w:sz w:val="20"/>
                <w:szCs w:val="20"/>
              </w:rPr>
              <w:t>87,89</w:t>
            </w:r>
          </w:p>
        </w:tc>
        <w:tc>
          <w:tcPr>
            <w:tcW w:w="1405" w:type="dxa"/>
            <w:tcBorders>
              <w:top w:val="nil"/>
              <w:left w:val="nil"/>
              <w:bottom w:val="single" w:sz="4" w:space="0" w:color="auto"/>
              <w:right w:val="single" w:sz="4" w:space="0" w:color="auto"/>
            </w:tcBorders>
            <w:shd w:val="clear" w:color="auto" w:fill="auto"/>
            <w:noWrap/>
            <w:vAlign w:val="center"/>
            <w:hideMark/>
          </w:tcPr>
          <w:p w:rsidR="00F07E05" w:rsidRDefault="00F07E05" w:rsidP="008A253E">
            <w:pPr>
              <w:jc w:val="center"/>
              <w:rPr>
                <w:b/>
                <w:bCs/>
                <w:color w:val="000000"/>
                <w:sz w:val="20"/>
                <w:szCs w:val="20"/>
              </w:rPr>
            </w:pPr>
            <w:r>
              <w:rPr>
                <w:b/>
                <w:bCs/>
                <w:color w:val="000000"/>
                <w:sz w:val="20"/>
                <w:szCs w:val="20"/>
              </w:rPr>
              <w:t>41 484,08</w:t>
            </w:r>
          </w:p>
        </w:tc>
        <w:tc>
          <w:tcPr>
            <w:tcW w:w="1288" w:type="dxa"/>
            <w:tcBorders>
              <w:top w:val="nil"/>
              <w:left w:val="nil"/>
              <w:bottom w:val="single" w:sz="4" w:space="0" w:color="auto"/>
              <w:right w:val="single" w:sz="4" w:space="0" w:color="auto"/>
            </w:tcBorders>
            <w:shd w:val="clear" w:color="auto" w:fill="auto"/>
            <w:noWrap/>
            <w:vAlign w:val="center"/>
            <w:hideMark/>
          </w:tcPr>
          <w:p w:rsidR="00F07E05" w:rsidRDefault="00F07E05" w:rsidP="008A253E">
            <w:pPr>
              <w:jc w:val="center"/>
              <w:rPr>
                <w:color w:val="000000"/>
                <w:sz w:val="20"/>
                <w:szCs w:val="20"/>
              </w:rPr>
            </w:pPr>
            <w:r>
              <w:rPr>
                <w:color w:val="000000"/>
                <w:sz w:val="20"/>
                <w:szCs w:val="20"/>
              </w:rPr>
              <w:t>472,00</w:t>
            </w:r>
          </w:p>
        </w:tc>
        <w:tc>
          <w:tcPr>
            <w:tcW w:w="1742" w:type="dxa"/>
            <w:tcBorders>
              <w:top w:val="nil"/>
              <w:left w:val="nil"/>
              <w:bottom w:val="single" w:sz="4" w:space="0" w:color="auto"/>
              <w:right w:val="single" w:sz="4" w:space="0" w:color="auto"/>
            </w:tcBorders>
            <w:shd w:val="clear" w:color="auto" w:fill="auto"/>
            <w:noWrap/>
            <w:vAlign w:val="center"/>
            <w:hideMark/>
          </w:tcPr>
          <w:p w:rsidR="00F07E05" w:rsidRDefault="00F07E05" w:rsidP="008A253E">
            <w:pPr>
              <w:jc w:val="center"/>
              <w:rPr>
                <w:color w:val="000000"/>
                <w:sz w:val="20"/>
                <w:szCs w:val="20"/>
              </w:rPr>
            </w:pPr>
            <w:r>
              <w:rPr>
                <w:color w:val="000000"/>
                <w:sz w:val="20"/>
                <w:szCs w:val="20"/>
              </w:rPr>
              <w:t>87,89</w:t>
            </w:r>
          </w:p>
        </w:tc>
        <w:tc>
          <w:tcPr>
            <w:tcW w:w="1376" w:type="dxa"/>
            <w:tcBorders>
              <w:top w:val="nil"/>
              <w:left w:val="nil"/>
              <w:bottom w:val="single" w:sz="4" w:space="0" w:color="auto"/>
              <w:right w:val="single" w:sz="4" w:space="0" w:color="auto"/>
            </w:tcBorders>
            <w:shd w:val="clear" w:color="auto" w:fill="auto"/>
            <w:noWrap/>
            <w:vAlign w:val="center"/>
            <w:hideMark/>
          </w:tcPr>
          <w:p w:rsidR="00F07E05" w:rsidRDefault="00F07E05" w:rsidP="008A253E">
            <w:pPr>
              <w:jc w:val="center"/>
              <w:rPr>
                <w:b/>
                <w:bCs/>
                <w:color w:val="000000"/>
                <w:sz w:val="20"/>
                <w:szCs w:val="20"/>
              </w:rPr>
            </w:pPr>
            <w:r>
              <w:rPr>
                <w:b/>
                <w:bCs/>
                <w:color w:val="000000"/>
                <w:sz w:val="20"/>
                <w:szCs w:val="20"/>
              </w:rPr>
              <w:t>41 484,08</w:t>
            </w:r>
          </w:p>
        </w:tc>
        <w:tc>
          <w:tcPr>
            <w:tcW w:w="1134" w:type="dxa"/>
            <w:tcBorders>
              <w:top w:val="nil"/>
              <w:left w:val="nil"/>
              <w:bottom w:val="single" w:sz="4" w:space="0" w:color="auto"/>
              <w:right w:val="single" w:sz="4" w:space="0" w:color="auto"/>
            </w:tcBorders>
            <w:shd w:val="clear" w:color="auto" w:fill="auto"/>
            <w:noWrap/>
            <w:vAlign w:val="center"/>
            <w:hideMark/>
          </w:tcPr>
          <w:p w:rsidR="00F07E05" w:rsidRDefault="00F07E05" w:rsidP="008A253E">
            <w:pPr>
              <w:jc w:val="center"/>
              <w:rPr>
                <w:color w:val="000000"/>
                <w:sz w:val="20"/>
                <w:szCs w:val="20"/>
              </w:rPr>
            </w:pPr>
            <w:r>
              <w:rPr>
                <w:color w:val="000000"/>
                <w:sz w:val="20"/>
                <w:szCs w:val="20"/>
              </w:rPr>
              <w:t>472,00</w:t>
            </w:r>
          </w:p>
        </w:tc>
        <w:tc>
          <w:tcPr>
            <w:tcW w:w="1276" w:type="dxa"/>
            <w:tcBorders>
              <w:top w:val="nil"/>
              <w:left w:val="nil"/>
              <w:bottom w:val="single" w:sz="4" w:space="0" w:color="auto"/>
              <w:right w:val="single" w:sz="4" w:space="0" w:color="auto"/>
            </w:tcBorders>
            <w:shd w:val="clear" w:color="auto" w:fill="auto"/>
            <w:noWrap/>
            <w:vAlign w:val="center"/>
            <w:hideMark/>
          </w:tcPr>
          <w:p w:rsidR="00F07E05" w:rsidRDefault="00F07E05" w:rsidP="008A253E">
            <w:pPr>
              <w:jc w:val="center"/>
              <w:rPr>
                <w:color w:val="000000"/>
                <w:sz w:val="20"/>
                <w:szCs w:val="20"/>
              </w:rPr>
            </w:pPr>
            <w:r>
              <w:rPr>
                <w:color w:val="000000"/>
                <w:sz w:val="20"/>
                <w:szCs w:val="20"/>
              </w:rPr>
              <w:t>87,89</w:t>
            </w:r>
          </w:p>
        </w:tc>
      </w:tr>
      <w:tr w:rsidR="00F07E05" w:rsidTr="008A253E">
        <w:trPr>
          <w:gridAfter w:val="1"/>
          <w:wAfter w:w="50" w:type="dxa"/>
          <w:trHeight w:val="270"/>
        </w:trPr>
        <w:tc>
          <w:tcPr>
            <w:tcW w:w="486" w:type="dxa"/>
            <w:vMerge/>
            <w:tcBorders>
              <w:top w:val="nil"/>
              <w:left w:val="single" w:sz="4" w:space="0" w:color="auto"/>
              <w:bottom w:val="nil"/>
              <w:right w:val="single" w:sz="4" w:space="0" w:color="auto"/>
            </w:tcBorders>
            <w:shd w:val="clear" w:color="auto" w:fill="auto"/>
            <w:vAlign w:val="center"/>
            <w:hideMark/>
          </w:tcPr>
          <w:p w:rsidR="00F07E05" w:rsidRDefault="00F07E05" w:rsidP="008A253E">
            <w:pPr>
              <w:rPr>
                <w:color w:val="000000"/>
                <w:sz w:val="20"/>
                <w:szCs w:val="20"/>
              </w:rPr>
            </w:pPr>
          </w:p>
        </w:tc>
        <w:tc>
          <w:tcPr>
            <w:tcW w:w="1715" w:type="dxa"/>
            <w:vMerge/>
            <w:tcBorders>
              <w:top w:val="nil"/>
              <w:left w:val="single" w:sz="4" w:space="0" w:color="auto"/>
              <w:bottom w:val="nil"/>
              <w:right w:val="single" w:sz="4" w:space="0" w:color="auto"/>
            </w:tcBorders>
            <w:shd w:val="clear" w:color="auto" w:fill="auto"/>
            <w:vAlign w:val="center"/>
            <w:hideMark/>
          </w:tcPr>
          <w:p w:rsidR="00F07E05" w:rsidRDefault="00F07E05" w:rsidP="008A253E">
            <w:pPr>
              <w:rPr>
                <w:sz w:val="20"/>
                <w:szCs w:val="20"/>
              </w:rPr>
            </w:pPr>
          </w:p>
        </w:tc>
        <w:tc>
          <w:tcPr>
            <w:tcW w:w="1769" w:type="dxa"/>
            <w:tcBorders>
              <w:top w:val="nil"/>
              <w:left w:val="nil"/>
              <w:bottom w:val="single" w:sz="4" w:space="0" w:color="auto"/>
              <w:right w:val="nil"/>
            </w:tcBorders>
            <w:shd w:val="clear" w:color="auto" w:fill="auto"/>
            <w:noWrap/>
            <w:vAlign w:val="center"/>
            <w:hideMark/>
          </w:tcPr>
          <w:p w:rsidR="00F07E05" w:rsidRDefault="00F07E05" w:rsidP="008A253E">
            <w:pPr>
              <w:jc w:val="center"/>
              <w:rPr>
                <w:b/>
                <w:bCs/>
                <w:color w:val="000000"/>
                <w:sz w:val="20"/>
                <w:szCs w:val="20"/>
              </w:rPr>
            </w:pPr>
            <w:r>
              <w:rPr>
                <w:b/>
                <w:bCs/>
                <w:color w:val="000000"/>
                <w:sz w:val="20"/>
                <w:szCs w:val="20"/>
              </w:rPr>
              <w:t>Итого</w:t>
            </w:r>
          </w:p>
        </w:tc>
        <w:tc>
          <w:tcPr>
            <w:tcW w:w="1417" w:type="dxa"/>
            <w:tcBorders>
              <w:top w:val="nil"/>
              <w:left w:val="nil"/>
              <w:bottom w:val="single" w:sz="4" w:space="0" w:color="auto"/>
              <w:right w:val="single" w:sz="4" w:space="0" w:color="auto"/>
            </w:tcBorders>
            <w:shd w:val="clear" w:color="auto" w:fill="auto"/>
            <w:noWrap/>
            <w:vAlign w:val="center"/>
            <w:hideMark/>
          </w:tcPr>
          <w:p w:rsidR="00F07E05" w:rsidRDefault="00F07E05" w:rsidP="008A253E">
            <w:pPr>
              <w:jc w:val="center"/>
              <w:rPr>
                <w:b/>
                <w:bCs/>
                <w:color w:val="000000"/>
                <w:sz w:val="20"/>
                <w:szCs w:val="20"/>
              </w:rPr>
            </w:pPr>
            <w:r>
              <w:rPr>
                <w:b/>
                <w:bCs/>
                <w:color w:val="000000"/>
                <w:sz w:val="20"/>
                <w:szCs w:val="20"/>
              </w:rPr>
              <w:t>1 087 347,68</w:t>
            </w:r>
          </w:p>
        </w:tc>
        <w:tc>
          <w:tcPr>
            <w:tcW w:w="1276" w:type="dxa"/>
            <w:tcBorders>
              <w:top w:val="nil"/>
              <w:left w:val="nil"/>
              <w:bottom w:val="single" w:sz="4" w:space="0" w:color="auto"/>
              <w:right w:val="single" w:sz="4" w:space="0" w:color="auto"/>
            </w:tcBorders>
            <w:shd w:val="clear" w:color="auto" w:fill="auto"/>
            <w:noWrap/>
            <w:vAlign w:val="center"/>
            <w:hideMark/>
          </w:tcPr>
          <w:p w:rsidR="00F07E05" w:rsidRDefault="00F07E05" w:rsidP="008A253E">
            <w:pPr>
              <w:jc w:val="center"/>
              <w:rPr>
                <w:b/>
                <w:bCs/>
                <w:color w:val="000000"/>
                <w:sz w:val="20"/>
                <w:szCs w:val="20"/>
              </w:rPr>
            </w:pPr>
            <w:r>
              <w:rPr>
                <w:b/>
                <w:bCs/>
                <w:color w:val="000000"/>
                <w:sz w:val="20"/>
                <w:szCs w:val="20"/>
              </w:rPr>
              <w:t>Х</w:t>
            </w:r>
          </w:p>
        </w:tc>
        <w:tc>
          <w:tcPr>
            <w:tcW w:w="1276" w:type="dxa"/>
            <w:tcBorders>
              <w:top w:val="nil"/>
              <w:left w:val="nil"/>
              <w:bottom w:val="single" w:sz="4" w:space="0" w:color="auto"/>
              <w:right w:val="single" w:sz="4" w:space="0" w:color="auto"/>
            </w:tcBorders>
            <w:shd w:val="clear" w:color="auto" w:fill="auto"/>
            <w:noWrap/>
            <w:vAlign w:val="center"/>
            <w:hideMark/>
          </w:tcPr>
          <w:p w:rsidR="00F07E05" w:rsidRDefault="00F07E05" w:rsidP="008A253E">
            <w:pPr>
              <w:jc w:val="center"/>
              <w:rPr>
                <w:b/>
                <w:bCs/>
                <w:color w:val="000000"/>
                <w:sz w:val="20"/>
                <w:szCs w:val="20"/>
              </w:rPr>
            </w:pPr>
            <w:r>
              <w:rPr>
                <w:b/>
                <w:bCs/>
                <w:color w:val="000000"/>
                <w:sz w:val="20"/>
                <w:szCs w:val="20"/>
              </w:rPr>
              <w:t>Х</w:t>
            </w:r>
          </w:p>
        </w:tc>
        <w:tc>
          <w:tcPr>
            <w:tcW w:w="1405" w:type="dxa"/>
            <w:tcBorders>
              <w:top w:val="nil"/>
              <w:left w:val="nil"/>
              <w:bottom w:val="single" w:sz="4" w:space="0" w:color="auto"/>
              <w:right w:val="single" w:sz="4" w:space="0" w:color="auto"/>
            </w:tcBorders>
            <w:shd w:val="clear" w:color="auto" w:fill="auto"/>
            <w:noWrap/>
            <w:vAlign w:val="center"/>
            <w:hideMark/>
          </w:tcPr>
          <w:p w:rsidR="00F07E05" w:rsidRDefault="00F07E05" w:rsidP="008A253E">
            <w:pPr>
              <w:jc w:val="center"/>
              <w:rPr>
                <w:b/>
                <w:bCs/>
                <w:color w:val="000000"/>
                <w:sz w:val="20"/>
                <w:szCs w:val="20"/>
              </w:rPr>
            </w:pPr>
            <w:r>
              <w:rPr>
                <w:b/>
                <w:bCs/>
                <w:color w:val="000000"/>
                <w:sz w:val="20"/>
                <w:szCs w:val="20"/>
              </w:rPr>
              <w:t>1 087 347,68</w:t>
            </w:r>
          </w:p>
        </w:tc>
        <w:tc>
          <w:tcPr>
            <w:tcW w:w="1288" w:type="dxa"/>
            <w:tcBorders>
              <w:top w:val="nil"/>
              <w:left w:val="nil"/>
              <w:bottom w:val="single" w:sz="4" w:space="0" w:color="auto"/>
              <w:right w:val="single" w:sz="4" w:space="0" w:color="auto"/>
            </w:tcBorders>
            <w:shd w:val="clear" w:color="auto" w:fill="auto"/>
            <w:noWrap/>
            <w:vAlign w:val="center"/>
            <w:hideMark/>
          </w:tcPr>
          <w:p w:rsidR="00F07E05" w:rsidRDefault="00F07E05" w:rsidP="008A253E">
            <w:pPr>
              <w:jc w:val="center"/>
              <w:rPr>
                <w:b/>
                <w:bCs/>
                <w:color w:val="000000"/>
                <w:sz w:val="20"/>
                <w:szCs w:val="20"/>
              </w:rPr>
            </w:pPr>
            <w:r>
              <w:rPr>
                <w:b/>
                <w:bCs/>
                <w:color w:val="000000"/>
                <w:sz w:val="20"/>
                <w:szCs w:val="20"/>
              </w:rPr>
              <w:t>Х</w:t>
            </w:r>
          </w:p>
        </w:tc>
        <w:tc>
          <w:tcPr>
            <w:tcW w:w="1742" w:type="dxa"/>
            <w:tcBorders>
              <w:top w:val="nil"/>
              <w:left w:val="nil"/>
              <w:bottom w:val="single" w:sz="4" w:space="0" w:color="auto"/>
              <w:right w:val="single" w:sz="4" w:space="0" w:color="auto"/>
            </w:tcBorders>
            <w:shd w:val="clear" w:color="auto" w:fill="auto"/>
            <w:noWrap/>
            <w:vAlign w:val="center"/>
            <w:hideMark/>
          </w:tcPr>
          <w:p w:rsidR="00F07E05" w:rsidRDefault="00F07E05" w:rsidP="008A253E">
            <w:pPr>
              <w:jc w:val="center"/>
              <w:rPr>
                <w:b/>
                <w:bCs/>
                <w:color w:val="000000"/>
                <w:sz w:val="20"/>
                <w:szCs w:val="20"/>
              </w:rPr>
            </w:pPr>
            <w:r>
              <w:rPr>
                <w:b/>
                <w:bCs/>
                <w:color w:val="000000"/>
                <w:sz w:val="20"/>
                <w:szCs w:val="20"/>
              </w:rPr>
              <w:t>Х</w:t>
            </w:r>
          </w:p>
        </w:tc>
        <w:tc>
          <w:tcPr>
            <w:tcW w:w="1376" w:type="dxa"/>
            <w:tcBorders>
              <w:top w:val="nil"/>
              <w:left w:val="nil"/>
              <w:bottom w:val="single" w:sz="4" w:space="0" w:color="auto"/>
              <w:right w:val="single" w:sz="4" w:space="0" w:color="auto"/>
            </w:tcBorders>
            <w:shd w:val="clear" w:color="auto" w:fill="auto"/>
            <w:noWrap/>
            <w:vAlign w:val="center"/>
            <w:hideMark/>
          </w:tcPr>
          <w:p w:rsidR="00F07E05" w:rsidRDefault="00F07E05" w:rsidP="008A253E">
            <w:pPr>
              <w:jc w:val="center"/>
              <w:rPr>
                <w:b/>
                <w:bCs/>
                <w:color w:val="000000"/>
                <w:sz w:val="20"/>
                <w:szCs w:val="20"/>
              </w:rPr>
            </w:pPr>
            <w:r>
              <w:rPr>
                <w:b/>
                <w:bCs/>
                <w:color w:val="000000"/>
                <w:sz w:val="20"/>
                <w:szCs w:val="20"/>
              </w:rPr>
              <w:t>1 087 347,68</w:t>
            </w:r>
          </w:p>
        </w:tc>
        <w:tc>
          <w:tcPr>
            <w:tcW w:w="1134" w:type="dxa"/>
            <w:tcBorders>
              <w:top w:val="nil"/>
              <w:left w:val="nil"/>
              <w:bottom w:val="single" w:sz="4" w:space="0" w:color="auto"/>
              <w:right w:val="single" w:sz="4" w:space="0" w:color="auto"/>
            </w:tcBorders>
            <w:shd w:val="clear" w:color="auto" w:fill="auto"/>
            <w:noWrap/>
            <w:vAlign w:val="center"/>
            <w:hideMark/>
          </w:tcPr>
          <w:p w:rsidR="00F07E05" w:rsidRDefault="00F07E05" w:rsidP="008A253E">
            <w:pPr>
              <w:jc w:val="center"/>
              <w:rPr>
                <w:b/>
                <w:bCs/>
                <w:color w:val="000000"/>
                <w:sz w:val="20"/>
                <w:szCs w:val="20"/>
              </w:rPr>
            </w:pPr>
            <w:r>
              <w:rPr>
                <w:b/>
                <w:bCs/>
                <w:color w:val="000000"/>
                <w:sz w:val="20"/>
                <w:szCs w:val="20"/>
              </w:rPr>
              <w:t>Х</w:t>
            </w:r>
          </w:p>
        </w:tc>
        <w:tc>
          <w:tcPr>
            <w:tcW w:w="1276" w:type="dxa"/>
            <w:tcBorders>
              <w:top w:val="nil"/>
              <w:left w:val="nil"/>
              <w:bottom w:val="single" w:sz="4" w:space="0" w:color="auto"/>
              <w:right w:val="single" w:sz="4" w:space="0" w:color="auto"/>
            </w:tcBorders>
            <w:shd w:val="clear" w:color="auto" w:fill="auto"/>
            <w:noWrap/>
            <w:vAlign w:val="center"/>
            <w:hideMark/>
          </w:tcPr>
          <w:p w:rsidR="00F07E05" w:rsidRDefault="00F07E05" w:rsidP="008A253E">
            <w:pPr>
              <w:jc w:val="center"/>
              <w:rPr>
                <w:b/>
                <w:bCs/>
                <w:color w:val="000000"/>
                <w:sz w:val="20"/>
                <w:szCs w:val="20"/>
              </w:rPr>
            </w:pPr>
            <w:r>
              <w:rPr>
                <w:b/>
                <w:bCs/>
                <w:color w:val="000000"/>
                <w:sz w:val="20"/>
                <w:szCs w:val="20"/>
              </w:rPr>
              <w:t>Х</w:t>
            </w:r>
          </w:p>
        </w:tc>
      </w:tr>
      <w:tr w:rsidR="00F07E05" w:rsidTr="008A253E">
        <w:trPr>
          <w:gridAfter w:val="1"/>
          <w:wAfter w:w="50" w:type="dxa"/>
          <w:trHeight w:val="525"/>
        </w:trPr>
        <w:tc>
          <w:tcPr>
            <w:tcW w:w="486" w:type="dxa"/>
            <w:vMerge w:val="restart"/>
            <w:tcBorders>
              <w:top w:val="nil"/>
              <w:left w:val="single" w:sz="4" w:space="0" w:color="auto"/>
              <w:bottom w:val="nil"/>
              <w:right w:val="single" w:sz="4" w:space="0" w:color="auto"/>
            </w:tcBorders>
            <w:shd w:val="clear" w:color="auto" w:fill="auto"/>
            <w:vAlign w:val="center"/>
            <w:hideMark/>
          </w:tcPr>
          <w:p w:rsidR="00F07E05" w:rsidRDefault="00F07E05" w:rsidP="008A253E">
            <w:pPr>
              <w:jc w:val="center"/>
              <w:rPr>
                <w:color w:val="000000"/>
                <w:sz w:val="20"/>
                <w:szCs w:val="20"/>
              </w:rPr>
            </w:pPr>
            <w:r>
              <w:rPr>
                <w:color w:val="000000"/>
                <w:sz w:val="20"/>
                <w:szCs w:val="20"/>
              </w:rPr>
              <w:t>6</w:t>
            </w:r>
          </w:p>
        </w:tc>
        <w:tc>
          <w:tcPr>
            <w:tcW w:w="1715" w:type="dxa"/>
            <w:vMerge w:val="restart"/>
            <w:tcBorders>
              <w:top w:val="nil"/>
              <w:left w:val="single" w:sz="4" w:space="0" w:color="auto"/>
              <w:bottom w:val="nil"/>
              <w:right w:val="single" w:sz="4" w:space="0" w:color="auto"/>
            </w:tcBorders>
            <w:shd w:val="clear" w:color="auto" w:fill="auto"/>
            <w:vAlign w:val="center"/>
            <w:hideMark/>
          </w:tcPr>
          <w:p w:rsidR="00F07E05" w:rsidRDefault="00F07E05" w:rsidP="008A253E">
            <w:pPr>
              <w:jc w:val="center"/>
              <w:rPr>
                <w:sz w:val="20"/>
                <w:szCs w:val="20"/>
              </w:rPr>
            </w:pPr>
            <w:r>
              <w:rPr>
                <w:sz w:val="20"/>
                <w:szCs w:val="20"/>
              </w:rPr>
              <w:t>ГКОУ "Максатихинская школа-интернат"</w:t>
            </w:r>
          </w:p>
        </w:tc>
        <w:tc>
          <w:tcPr>
            <w:tcW w:w="1769" w:type="dxa"/>
            <w:tcBorders>
              <w:top w:val="nil"/>
              <w:left w:val="nil"/>
              <w:bottom w:val="single" w:sz="4" w:space="0" w:color="auto"/>
              <w:right w:val="single" w:sz="4" w:space="0" w:color="auto"/>
            </w:tcBorders>
            <w:shd w:val="clear" w:color="auto" w:fill="auto"/>
            <w:vAlign w:val="center"/>
            <w:hideMark/>
          </w:tcPr>
          <w:p w:rsidR="00F07E05" w:rsidRDefault="00F07E05" w:rsidP="008A253E">
            <w:pPr>
              <w:rPr>
                <w:color w:val="000000"/>
                <w:sz w:val="20"/>
                <w:szCs w:val="20"/>
              </w:rPr>
            </w:pPr>
            <w:r>
              <w:rPr>
                <w:color w:val="000000"/>
                <w:sz w:val="20"/>
                <w:szCs w:val="20"/>
              </w:rPr>
              <w:t>отопление и горячее водоснабжение</w:t>
            </w:r>
          </w:p>
        </w:tc>
        <w:tc>
          <w:tcPr>
            <w:tcW w:w="1417" w:type="dxa"/>
            <w:tcBorders>
              <w:top w:val="nil"/>
              <w:left w:val="nil"/>
              <w:bottom w:val="single" w:sz="4" w:space="0" w:color="auto"/>
              <w:right w:val="single" w:sz="4" w:space="0" w:color="auto"/>
            </w:tcBorders>
            <w:shd w:val="clear" w:color="auto" w:fill="auto"/>
            <w:noWrap/>
            <w:vAlign w:val="center"/>
            <w:hideMark/>
          </w:tcPr>
          <w:p w:rsidR="00F07E05" w:rsidRDefault="00F07E05" w:rsidP="008A253E">
            <w:pPr>
              <w:jc w:val="center"/>
              <w:rPr>
                <w:b/>
                <w:bCs/>
                <w:color w:val="000000"/>
                <w:sz w:val="20"/>
                <w:szCs w:val="20"/>
              </w:rPr>
            </w:pPr>
            <w:r>
              <w:rPr>
                <w:b/>
                <w:bCs/>
                <w:color w:val="000000"/>
                <w:sz w:val="20"/>
                <w:szCs w:val="20"/>
              </w:rPr>
              <w:t>144 838,21</w:t>
            </w:r>
          </w:p>
        </w:tc>
        <w:tc>
          <w:tcPr>
            <w:tcW w:w="1276" w:type="dxa"/>
            <w:tcBorders>
              <w:top w:val="nil"/>
              <w:left w:val="nil"/>
              <w:bottom w:val="single" w:sz="4" w:space="0" w:color="auto"/>
              <w:right w:val="single" w:sz="4" w:space="0" w:color="auto"/>
            </w:tcBorders>
            <w:shd w:val="clear" w:color="auto" w:fill="auto"/>
            <w:noWrap/>
            <w:vAlign w:val="center"/>
            <w:hideMark/>
          </w:tcPr>
          <w:p w:rsidR="00F07E05" w:rsidRDefault="00F07E05" w:rsidP="008A253E">
            <w:pPr>
              <w:jc w:val="center"/>
              <w:rPr>
                <w:color w:val="000000"/>
                <w:sz w:val="20"/>
                <w:szCs w:val="20"/>
              </w:rPr>
            </w:pPr>
            <w:r>
              <w:rPr>
                <w:color w:val="000000"/>
                <w:sz w:val="20"/>
                <w:szCs w:val="20"/>
              </w:rPr>
              <w:t>2 998,10</w:t>
            </w:r>
          </w:p>
        </w:tc>
        <w:tc>
          <w:tcPr>
            <w:tcW w:w="1276" w:type="dxa"/>
            <w:tcBorders>
              <w:top w:val="nil"/>
              <w:left w:val="nil"/>
              <w:bottom w:val="single" w:sz="4" w:space="0" w:color="auto"/>
              <w:right w:val="single" w:sz="4" w:space="0" w:color="auto"/>
            </w:tcBorders>
            <w:shd w:val="clear" w:color="auto" w:fill="auto"/>
            <w:noWrap/>
            <w:vAlign w:val="center"/>
            <w:hideMark/>
          </w:tcPr>
          <w:p w:rsidR="00F07E05" w:rsidRDefault="00F07E05" w:rsidP="008A253E">
            <w:pPr>
              <w:jc w:val="center"/>
              <w:rPr>
                <w:color w:val="000000"/>
                <w:sz w:val="20"/>
                <w:szCs w:val="20"/>
              </w:rPr>
            </w:pPr>
            <w:r>
              <w:rPr>
                <w:color w:val="000000"/>
                <w:sz w:val="20"/>
                <w:szCs w:val="20"/>
              </w:rPr>
              <w:t>48,31</w:t>
            </w:r>
          </w:p>
        </w:tc>
        <w:tc>
          <w:tcPr>
            <w:tcW w:w="1405" w:type="dxa"/>
            <w:tcBorders>
              <w:top w:val="nil"/>
              <w:left w:val="nil"/>
              <w:bottom w:val="single" w:sz="4" w:space="0" w:color="auto"/>
              <w:right w:val="single" w:sz="4" w:space="0" w:color="auto"/>
            </w:tcBorders>
            <w:shd w:val="clear" w:color="auto" w:fill="auto"/>
            <w:noWrap/>
            <w:vAlign w:val="center"/>
            <w:hideMark/>
          </w:tcPr>
          <w:p w:rsidR="00F07E05" w:rsidRDefault="00F07E05" w:rsidP="008A253E">
            <w:pPr>
              <w:jc w:val="center"/>
              <w:rPr>
                <w:b/>
                <w:bCs/>
                <w:color w:val="000000"/>
                <w:sz w:val="20"/>
                <w:szCs w:val="20"/>
              </w:rPr>
            </w:pPr>
            <w:r>
              <w:rPr>
                <w:b/>
                <w:bCs/>
                <w:color w:val="000000"/>
                <w:sz w:val="20"/>
                <w:szCs w:val="20"/>
              </w:rPr>
              <w:t>144 838,21</w:t>
            </w:r>
          </w:p>
        </w:tc>
        <w:tc>
          <w:tcPr>
            <w:tcW w:w="1288" w:type="dxa"/>
            <w:tcBorders>
              <w:top w:val="nil"/>
              <w:left w:val="nil"/>
              <w:bottom w:val="single" w:sz="4" w:space="0" w:color="auto"/>
              <w:right w:val="single" w:sz="4" w:space="0" w:color="auto"/>
            </w:tcBorders>
            <w:shd w:val="clear" w:color="auto" w:fill="auto"/>
            <w:noWrap/>
            <w:vAlign w:val="center"/>
            <w:hideMark/>
          </w:tcPr>
          <w:p w:rsidR="00F07E05" w:rsidRDefault="00F07E05" w:rsidP="008A253E">
            <w:pPr>
              <w:jc w:val="center"/>
              <w:rPr>
                <w:color w:val="000000"/>
                <w:sz w:val="20"/>
                <w:szCs w:val="20"/>
              </w:rPr>
            </w:pPr>
            <w:r>
              <w:rPr>
                <w:color w:val="000000"/>
                <w:sz w:val="20"/>
                <w:szCs w:val="20"/>
              </w:rPr>
              <w:t>2 998,10</w:t>
            </w:r>
          </w:p>
        </w:tc>
        <w:tc>
          <w:tcPr>
            <w:tcW w:w="1742" w:type="dxa"/>
            <w:tcBorders>
              <w:top w:val="nil"/>
              <w:left w:val="nil"/>
              <w:bottom w:val="single" w:sz="4" w:space="0" w:color="auto"/>
              <w:right w:val="single" w:sz="4" w:space="0" w:color="auto"/>
            </w:tcBorders>
            <w:shd w:val="clear" w:color="auto" w:fill="auto"/>
            <w:noWrap/>
            <w:vAlign w:val="center"/>
            <w:hideMark/>
          </w:tcPr>
          <w:p w:rsidR="00F07E05" w:rsidRDefault="00F07E05" w:rsidP="008A253E">
            <w:pPr>
              <w:jc w:val="center"/>
              <w:rPr>
                <w:color w:val="000000"/>
                <w:sz w:val="20"/>
                <w:szCs w:val="20"/>
              </w:rPr>
            </w:pPr>
            <w:r>
              <w:rPr>
                <w:color w:val="000000"/>
                <w:sz w:val="20"/>
                <w:szCs w:val="20"/>
              </w:rPr>
              <w:t>48,31</w:t>
            </w:r>
          </w:p>
        </w:tc>
        <w:tc>
          <w:tcPr>
            <w:tcW w:w="1376" w:type="dxa"/>
            <w:tcBorders>
              <w:top w:val="nil"/>
              <w:left w:val="nil"/>
              <w:bottom w:val="single" w:sz="4" w:space="0" w:color="auto"/>
              <w:right w:val="single" w:sz="4" w:space="0" w:color="auto"/>
            </w:tcBorders>
            <w:shd w:val="clear" w:color="auto" w:fill="auto"/>
            <w:noWrap/>
            <w:vAlign w:val="center"/>
            <w:hideMark/>
          </w:tcPr>
          <w:p w:rsidR="00F07E05" w:rsidRDefault="00F07E05" w:rsidP="008A253E">
            <w:pPr>
              <w:jc w:val="center"/>
              <w:rPr>
                <w:b/>
                <w:bCs/>
                <w:color w:val="000000"/>
                <w:sz w:val="20"/>
                <w:szCs w:val="20"/>
              </w:rPr>
            </w:pPr>
            <w:r>
              <w:rPr>
                <w:b/>
                <w:bCs/>
                <w:color w:val="000000"/>
                <w:sz w:val="20"/>
                <w:szCs w:val="20"/>
              </w:rPr>
              <w:t>144 838,21</w:t>
            </w:r>
          </w:p>
        </w:tc>
        <w:tc>
          <w:tcPr>
            <w:tcW w:w="1134" w:type="dxa"/>
            <w:tcBorders>
              <w:top w:val="nil"/>
              <w:left w:val="nil"/>
              <w:bottom w:val="single" w:sz="4" w:space="0" w:color="auto"/>
              <w:right w:val="single" w:sz="4" w:space="0" w:color="auto"/>
            </w:tcBorders>
            <w:shd w:val="clear" w:color="auto" w:fill="auto"/>
            <w:noWrap/>
            <w:vAlign w:val="center"/>
            <w:hideMark/>
          </w:tcPr>
          <w:p w:rsidR="00F07E05" w:rsidRDefault="00F07E05" w:rsidP="008A253E">
            <w:pPr>
              <w:jc w:val="center"/>
              <w:rPr>
                <w:color w:val="000000"/>
                <w:sz w:val="20"/>
                <w:szCs w:val="20"/>
              </w:rPr>
            </w:pPr>
            <w:r>
              <w:rPr>
                <w:color w:val="000000"/>
                <w:sz w:val="20"/>
                <w:szCs w:val="20"/>
              </w:rPr>
              <w:t>2 998,10</w:t>
            </w:r>
          </w:p>
        </w:tc>
        <w:tc>
          <w:tcPr>
            <w:tcW w:w="1276" w:type="dxa"/>
            <w:tcBorders>
              <w:top w:val="nil"/>
              <w:left w:val="nil"/>
              <w:bottom w:val="single" w:sz="4" w:space="0" w:color="auto"/>
              <w:right w:val="single" w:sz="4" w:space="0" w:color="auto"/>
            </w:tcBorders>
            <w:shd w:val="clear" w:color="auto" w:fill="auto"/>
            <w:noWrap/>
            <w:vAlign w:val="center"/>
            <w:hideMark/>
          </w:tcPr>
          <w:p w:rsidR="00F07E05" w:rsidRDefault="00F07E05" w:rsidP="008A253E">
            <w:pPr>
              <w:jc w:val="center"/>
              <w:rPr>
                <w:color w:val="000000"/>
                <w:sz w:val="20"/>
                <w:szCs w:val="20"/>
              </w:rPr>
            </w:pPr>
            <w:r>
              <w:rPr>
                <w:color w:val="000000"/>
                <w:sz w:val="20"/>
                <w:szCs w:val="20"/>
              </w:rPr>
              <w:t>48,31</w:t>
            </w:r>
          </w:p>
        </w:tc>
      </w:tr>
      <w:tr w:rsidR="00F07E05" w:rsidTr="008A253E">
        <w:trPr>
          <w:gridAfter w:val="1"/>
          <w:wAfter w:w="50" w:type="dxa"/>
          <w:trHeight w:val="495"/>
        </w:trPr>
        <w:tc>
          <w:tcPr>
            <w:tcW w:w="486" w:type="dxa"/>
            <w:vMerge/>
            <w:tcBorders>
              <w:top w:val="nil"/>
              <w:left w:val="single" w:sz="4" w:space="0" w:color="auto"/>
              <w:bottom w:val="nil"/>
              <w:right w:val="single" w:sz="4" w:space="0" w:color="auto"/>
            </w:tcBorders>
            <w:shd w:val="clear" w:color="auto" w:fill="auto"/>
            <w:vAlign w:val="center"/>
            <w:hideMark/>
          </w:tcPr>
          <w:p w:rsidR="00F07E05" w:rsidRDefault="00F07E05" w:rsidP="008A253E">
            <w:pPr>
              <w:rPr>
                <w:color w:val="000000"/>
                <w:sz w:val="20"/>
                <w:szCs w:val="20"/>
              </w:rPr>
            </w:pPr>
          </w:p>
        </w:tc>
        <w:tc>
          <w:tcPr>
            <w:tcW w:w="1715" w:type="dxa"/>
            <w:vMerge/>
            <w:tcBorders>
              <w:top w:val="nil"/>
              <w:left w:val="single" w:sz="4" w:space="0" w:color="auto"/>
              <w:bottom w:val="nil"/>
              <w:right w:val="single" w:sz="4" w:space="0" w:color="auto"/>
            </w:tcBorders>
            <w:shd w:val="clear" w:color="auto" w:fill="auto"/>
            <w:vAlign w:val="center"/>
            <w:hideMark/>
          </w:tcPr>
          <w:p w:rsidR="00F07E05" w:rsidRDefault="00F07E05" w:rsidP="008A253E">
            <w:pPr>
              <w:rPr>
                <w:sz w:val="20"/>
                <w:szCs w:val="20"/>
              </w:rPr>
            </w:pPr>
          </w:p>
        </w:tc>
        <w:tc>
          <w:tcPr>
            <w:tcW w:w="1769" w:type="dxa"/>
            <w:tcBorders>
              <w:top w:val="nil"/>
              <w:left w:val="nil"/>
              <w:bottom w:val="single" w:sz="4" w:space="0" w:color="auto"/>
              <w:right w:val="single" w:sz="4" w:space="0" w:color="auto"/>
            </w:tcBorders>
            <w:shd w:val="clear" w:color="auto" w:fill="auto"/>
            <w:vAlign w:val="center"/>
            <w:hideMark/>
          </w:tcPr>
          <w:p w:rsidR="00F07E05" w:rsidRDefault="00F07E05" w:rsidP="008A253E">
            <w:pPr>
              <w:rPr>
                <w:color w:val="000000"/>
                <w:sz w:val="20"/>
                <w:szCs w:val="20"/>
              </w:rPr>
            </w:pPr>
            <w:r>
              <w:rPr>
                <w:color w:val="000000"/>
                <w:sz w:val="20"/>
                <w:szCs w:val="20"/>
              </w:rPr>
              <w:t>холодное водоснабжение и водоотведение</w:t>
            </w:r>
          </w:p>
        </w:tc>
        <w:tc>
          <w:tcPr>
            <w:tcW w:w="1417" w:type="dxa"/>
            <w:tcBorders>
              <w:top w:val="nil"/>
              <w:left w:val="nil"/>
              <w:bottom w:val="single" w:sz="4" w:space="0" w:color="auto"/>
              <w:right w:val="single" w:sz="4" w:space="0" w:color="auto"/>
            </w:tcBorders>
            <w:shd w:val="clear" w:color="auto" w:fill="auto"/>
            <w:noWrap/>
            <w:vAlign w:val="center"/>
            <w:hideMark/>
          </w:tcPr>
          <w:p w:rsidR="00F07E05" w:rsidRDefault="00F07E05" w:rsidP="008A253E">
            <w:pPr>
              <w:jc w:val="center"/>
              <w:rPr>
                <w:b/>
                <w:bCs/>
                <w:color w:val="000000"/>
                <w:sz w:val="20"/>
                <w:szCs w:val="20"/>
              </w:rPr>
            </w:pPr>
            <w:r>
              <w:rPr>
                <w:b/>
                <w:bCs/>
                <w:color w:val="000000"/>
                <w:sz w:val="20"/>
                <w:szCs w:val="20"/>
              </w:rPr>
              <w:t>24 810,77</w:t>
            </w:r>
          </w:p>
        </w:tc>
        <w:tc>
          <w:tcPr>
            <w:tcW w:w="1276" w:type="dxa"/>
            <w:tcBorders>
              <w:top w:val="nil"/>
              <w:left w:val="nil"/>
              <w:bottom w:val="single" w:sz="4" w:space="0" w:color="auto"/>
              <w:right w:val="single" w:sz="4" w:space="0" w:color="auto"/>
            </w:tcBorders>
            <w:shd w:val="clear" w:color="auto" w:fill="auto"/>
            <w:noWrap/>
            <w:vAlign w:val="center"/>
            <w:hideMark/>
          </w:tcPr>
          <w:p w:rsidR="00F07E05" w:rsidRDefault="00F07E05" w:rsidP="008A253E">
            <w:pPr>
              <w:jc w:val="center"/>
              <w:rPr>
                <w:color w:val="000000"/>
                <w:sz w:val="20"/>
                <w:szCs w:val="20"/>
              </w:rPr>
            </w:pPr>
            <w:r>
              <w:rPr>
                <w:color w:val="000000"/>
                <w:sz w:val="20"/>
                <w:szCs w:val="20"/>
              </w:rPr>
              <w:t>215,99</w:t>
            </w:r>
          </w:p>
        </w:tc>
        <w:tc>
          <w:tcPr>
            <w:tcW w:w="1276" w:type="dxa"/>
            <w:tcBorders>
              <w:top w:val="nil"/>
              <w:left w:val="nil"/>
              <w:bottom w:val="single" w:sz="4" w:space="0" w:color="auto"/>
              <w:right w:val="single" w:sz="4" w:space="0" w:color="auto"/>
            </w:tcBorders>
            <w:shd w:val="clear" w:color="auto" w:fill="auto"/>
            <w:noWrap/>
            <w:vAlign w:val="center"/>
            <w:hideMark/>
          </w:tcPr>
          <w:p w:rsidR="00F07E05" w:rsidRDefault="00F07E05" w:rsidP="008A253E">
            <w:pPr>
              <w:jc w:val="center"/>
              <w:rPr>
                <w:color w:val="000000"/>
                <w:sz w:val="20"/>
                <w:szCs w:val="20"/>
              </w:rPr>
            </w:pPr>
            <w:r>
              <w:rPr>
                <w:color w:val="000000"/>
                <w:sz w:val="20"/>
                <w:szCs w:val="20"/>
              </w:rPr>
              <w:t>114,87</w:t>
            </w:r>
          </w:p>
        </w:tc>
        <w:tc>
          <w:tcPr>
            <w:tcW w:w="1405" w:type="dxa"/>
            <w:tcBorders>
              <w:top w:val="nil"/>
              <w:left w:val="nil"/>
              <w:bottom w:val="single" w:sz="4" w:space="0" w:color="auto"/>
              <w:right w:val="single" w:sz="4" w:space="0" w:color="auto"/>
            </w:tcBorders>
            <w:shd w:val="clear" w:color="auto" w:fill="auto"/>
            <w:noWrap/>
            <w:vAlign w:val="center"/>
            <w:hideMark/>
          </w:tcPr>
          <w:p w:rsidR="00F07E05" w:rsidRDefault="00F07E05" w:rsidP="008A253E">
            <w:pPr>
              <w:jc w:val="center"/>
              <w:rPr>
                <w:b/>
                <w:bCs/>
                <w:color w:val="000000"/>
                <w:sz w:val="20"/>
                <w:szCs w:val="20"/>
              </w:rPr>
            </w:pPr>
            <w:r>
              <w:rPr>
                <w:b/>
                <w:bCs/>
                <w:color w:val="000000"/>
                <w:sz w:val="20"/>
                <w:szCs w:val="20"/>
              </w:rPr>
              <w:t>24 810,77</w:t>
            </w:r>
          </w:p>
        </w:tc>
        <w:tc>
          <w:tcPr>
            <w:tcW w:w="1288" w:type="dxa"/>
            <w:tcBorders>
              <w:top w:val="nil"/>
              <w:left w:val="nil"/>
              <w:bottom w:val="single" w:sz="4" w:space="0" w:color="auto"/>
              <w:right w:val="single" w:sz="4" w:space="0" w:color="auto"/>
            </w:tcBorders>
            <w:shd w:val="clear" w:color="auto" w:fill="auto"/>
            <w:noWrap/>
            <w:vAlign w:val="center"/>
            <w:hideMark/>
          </w:tcPr>
          <w:p w:rsidR="00F07E05" w:rsidRDefault="00F07E05" w:rsidP="008A253E">
            <w:pPr>
              <w:jc w:val="center"/>
              <w:rPr>
                <w:color w:val="000000"/>
                <w:sz w:val="20"/>
                <w:szCs w:val="20"/>
              </w:rPr>
            </w:pPr>
            <w:r>
              <w:rPr>
                <w:color w:val="000000"/>
                <w:sz w:val="20"/>
                <w:szCs w:val="20"/>
              </w:rPr>
              <w:t>215,99</w:t>
            </w:r>
          </w:p>
        </w:tc>
        <w:tc>
          <w:tcPr>
            <w:tcW w:w="1742" w:type="dxa"/>
            <w:tcBorders>
              <w:top w:val="nil"/>
              <w:left w:val="nil"/>
              <w:bottom w:val="single" w:sz="4" w:space="0" w:color="auto"/>
              <w:right w:val="single" w:sz="4" w:space="0" w:color="auto"/>
            </w:tcBorders>
            <w:shd w:val="clear" w:color="auto" w:fill="auto"/>
            <w:noWrap/>
            <w:vAlign w:val="center"/>
            <w:hideMark/>
          </w:tcPr>
          <w:p w:rsidR="00F07E05" w:rsidRDefault="00F07E05" w:rsidP="008A253E">
            <w:pPr>
              <w:jc w:val="center"/>
              <w:rPr>
                <w:color w:val="000000"/>
                <w:sz w:val="20"/>
                <w:szCs w:val="20"/>
              </w:rPr>
            </w:pPr>
            <w:r>
              <w:rPr>
                <w:color w:val="000000"/>
                <w:sz w:val="20"/>
                <w:szCs w:val="20"/>
              </w:rPr>
              <w:t>114,87</w:t>
            </w:r>
          </w:p>
        </w:tc>
        <w:tc>
          <w:tcPr>
            <w:tcW w:w="1376" w:type="dxa"/>
            <w:tcBorders>
              <w:top w:val="nil"/>
              <w:left w:val="nil"/>
              <w:bottom w:val="single" w:sz="4" w:space="0" w:color="auto"/>
              <w:right w:val="single" w:sz="4" w:space="0" w:color="auto"/>
            </w:tcBorders>
            <w:shd w:val="clear" w:color="auto" w:fill="auto"/>
            <w:noWrap/>
            <w:vAlign w:val="center"/>
            <w:hideMark/>
          </w:tcPr>
          <w:p w:rsidR="00F07E05" w:rsidRDefault="00F07E05" w:rsidP="008A253E">
            <w:pPr>
              <w:jc w:val="center"/>
              <w:rPr>
                <w:b/>
                <w:bCs/>
                <w:color w:val="000000"/>
                <w:sz w:val="20"/>
                <w:szCs w:val="20"/>
              </w:rPr>
            </w:pPr>
            <w:r>
              <w:rPr>
                <w:b/>
                <w:bCs/>
                <w:color w:val="000000"/>
                <w:sz w:val="20"/>
                <w:szCs w:val="20"/>
              </w:rPr>
              <w:t>24 810,77</w:t>
            </w:r>
          </w:p>
        </w:tc>
        <w:tc>
          <w:tcPr>
            <w:tcW w:w="1134" w:type="dxa"/>
            <w:tcBorders>
              <w:top w:val="nil"/>
              <w:left w:val="nil"/>
              <w:bottom w:val="single" w:sz="4" w:space="0" w:color="auto"/>
              <w:right w:val="single" w:sz="4" w:space="0" w:color="auto"/>
            </w:tcBorders>
            <w:shd w:val="clear" w:color="auto" w:fill="auto"/>
            <w:noWrap/>
            <w:vAlign w:val="center"/>
            <w:hideMark/>
          </w:tcPr>
          <w:p w:rsidR="00F07E05" w:rsidRDefault="00F07E05" w:rsidP="008A253E">
            <w:pPr>
              <w:jc w:val="center"/>
              <w:rPr>
                <w:color w:val="000000"/>
                <w:sz w:val="20"/>
                <w:szCs w:val="20"/>
              </w:rPr>
            </w:pPr>
            <w:r>
              <w:rPr>
                <w:color w:val="000000"/>
                <w:sz w:val="20"/>
                <w:szCs w:val="20"/>
              </w:rPr>
              <w:t>215,99</w:t>
            </w:r>
          </w:p>
        </w:tc>
        <w:tc>
          <w:tcPr>
            <w:tcW w:w="1276" w:type="dxa"/>
            <w:tcBorders>
              <w:top w:val="nil"/>
              <w:left w:val="nil"/>
              <w:bottom w:val="single" w:sz="4" w:space="0" w:color="auto"/>
              <w:right w:val="single" w:sz="4" w:space="0" w:color="auto"/>
            </w:tcBorders>
            <w:shd w:val="clear" w:color="auto" w:fill="auto"/>
            <w:noWrap/>
            <w:vAlign w:val="center"/>
            <w:hideMark/>
          </w:tcPr>
          <w:p w:rsidR="00F07E05" w:rsidRDefault="00F07E05" w:rsidP="008A253E">
            <w:pPr>
              <w:jc w:val="center"/>
              <w:rPr>
                <w:color w:val="000000"/>
                <w:sz w:val="20"/>
                <w:szCs w:val="20"/>
              </w:rPr>
            </w:pPr>
            <w:r>
              <w:rPr>
                <w:color w:val="000000"/>
                <w:sz w:val="20"/>
                <w:szCs w:val="20"/>
              </w:rPr>
              <w:t>114,87</w:t>
            </w:r>
          </w:p>
        </w:tc>
      </w:tr>
      <w:tr w:rsidR="00F07E05" w:rsidTr="008A253E">
        <w:trPr>
          <w:gridAfter w:val="1"/>
          <w:wAfter w:w="50" w:type="dxa"/>
          <w:trHeight w:val="552"/>
        </w:trPr>
        <w:tc>
          <w:tcPr>
            <w:tcW w:w="486" w:type="dxa"/>
            <w:vMerge/>
            <w:tcBorders>
              <w:top w:val="nil"/>
              <w:left w:val="single" w:sz="4" w:space="0" w:color="auto"/>
              <w:bottom w:val="nil"/>
              <w:right w:val="single" w:sz="4" w:space="0" w:color="auto"/>
            </w:tcBorders>
            <w:shd w:val="clear" w:color="auto" w:fill="auto"/>
            <w:vAlign w:val="center"/>
            <w:hideMark/>
          </w:tcPr>
          <w:p w:rsidR="00F07E05" w:rsidRDefault="00F07E05" w:rsidP="008A253E">
            <w:pPr>
              <w:rPr>
                <w:color w:val="000000"/>
                <w:sz w:val="20"/>
                <w:szCs w:val="20"/>
              </w:rPr>
            </w:pPr>
          </w:p>
        </w:tc>
        <w:tc>
          <w:tcPr>
            <w:tcW w:w="1715" w:type="dxa"/>
            <w:vMerge/>
            <w:tcBorders>
              <w:top w:val="nil"/>
              <w:left w:val="single" w:sz="4" w:space="0" w:color="auto"/>
              <w:bottom w:val="nil"/>
              <w:right w:val="single" w:sz="4" w:space="0" w:color="auto"/>
            </w:tcBorders>
            <w:shd w:val="clear" w:color="auto" w:fill="auto"/>
            <w:vAlign w:val="center"/>
            <w:hideMark/>
          </w:tcPr>
          <w:p w:rsidR="00F07E05" w:rsidRDefault="00F07E05" w:rsidP="008A253E">
            <w:pPr>
              <w:rPr>
                <w:sz w:val="20"/>
                <w:szCs w:val="20"/>
              </w:rPr>
            </w:pPr>
          </w:p>
        </w:tc>
        <w:tc>
          <w:tcPr>
            <w:tcW w:w="1769" w:type="dxa"/>
            <w:tcBorders>
              <w:top w:val="nil"/>
              <w:left w:val="nil"/>
              <w:bottom w:val="single" w:sz="4" w:space="0" w:color="auto"/>
              <w:right w:val="single" w:sz="4" w:space="0" w:color="auto"/>
            </w:tcBorders>
            <w:shd w:val="clear" w:color="auto" w:fill="auto"/>
            <w:vAlign w:val="center"/>
            <w:hideMark/>
          </w:tcPr>
          <w:p w:rsidR="00F07E05" w:rsidRDefault="00F07E05" w:rsidP="008A253E">
            <w:pPr>
              <w:rPr>
                <w:color w:val="000000"/>
                <w:sz w:val="20"/>
                <w:szCs w:val="20"/>
              </w:rPr>
            </w:pPr>
            <w:r>
              <w:rPr>
                <w:color w:val="000000"/>
                <w:sz w:val="20"/>
                <w:szCs w:val="20"/>
              </w:rPr>
              <w:t>прочие коммунальные услуги (квартплата)</w:t>
            </w:r>
          </w:p>
        </w:tc>
        <w:tc>
          <w:tcPr>
            <w:tcW w:w="1417" w:type="dxa"/>
            <w:tcBorders>
              <w:top w:val="nil"/>
              <w:left w:val="nil"/>
              <w:bottom w:val="single" w:sz="4" w:space="0" w:color="auto"/>
              <w:right w:val="single" w:sz="4" w:space="0" w:color="auto"/>
            </w:tcBorders>
            <w:shd w:val="clear" w:color="auto" w:fill="auto"/>
            <w:noWrap/>
            <w:vAlign w:val="center"/>
            <w:hideMark/>
          </w:tcPr>
          <w:p w:rsidR="00F07E05" w:rsidRDefault="00F07E05" w:rsidP="008A253E">
            <w:pPr>
              <w:jc w:val="center"/>
              <w:rPr>
                <w:b/>
                <w:bCs/>
                <w:color w:val="000000"/>
                <w:sz w:val="20"/>
                <w:szCs w:val="20"/>
              </w:rPr>
            </w:pPr>
            <w:r>
              <w:rPr>
                <w:b/>
                <w:bCs/>
                <w:color w:val="000000"/>
                <w:sz w:val="20"/>
                <w:szCs w:val="20"/>
              </w:rPr>
              <w:t>33 918,19</w:t>
            </w:r>
          </w:p>
        </w:tc>
        <w:tc>
          <w:tcPr>
            <w:tcW w:w="1276" w:type="dxa"/>
            <w:tcBorders>
              <w:top w:val="nil"/>
              <w:left w:val="nil"/>
              <w:bottom w:val="single" w:sz="4" w:space="0" w:color="auto"/>
              <w:right w:val="single" w:sz="4" w:space="0" w:color="auto"/>
            </w:tcBorders>
            <w:shd w:val="clear" w:color="auto" w:fill="auto"/>
            <w:noWrap/>
            <w:vAlign w:val="center"/>
            <w:hideMark/>
          </w:tcPr>
          <w:p w:rsidR="00F07E05" w:rsidRDefault="00F07E05" w:rsidP="008A253E">
            <w:pPr>
              <w:jc w:val="center"/>
              <w:rPr>
                <w:color w:val="000000"/>
                <w:sz w:val="20"/>
                <w:szCs w:val="20"/>
              </w:rPr>
            </w:pPr>
            <w:r>
              <w:rPr>
                <w:color w:val="000000"/>
                <w:sz w:val="20"/>
                <w:szCs w:val="20"/>
              </w:rPr>
              <w:t>6 056,82</w:t>
            </w:r>
          </w:p>
        </w:tc>
        <w:tc>
          <w:tcPr>
            <w:tcW w:w="1276" w:type="dxa"/>
            <w:tcBorders>
              <w:top w:val="nil"/>
              <w:left w:val="nil"/>
              <w:bottom w:val="single" w:sz="4" w:space="0" w:color="auto"/>
              <w:right w:val="single" w:sz="4" w:space="0" w:color="auto"/>
            </w:tcBorders>
            <w:shd w:val="clear" w:color="auto" w:fill="auto"/>
            <w:noWrap/>
            <w:vAlign w:val="center"/>
            <w:hideMark/>
          </w:tcPr>
          <w:p w:rsidR="00F07E05" w:rsidRDefault="00F07E05" w:rsidP="008A253E">
            <w:pPr>
              <w:jc w:val="center"/>
              <w:rPr>
                <w:color w:val="000000"/>
                <w:sz w:val="20"/>
                <w:szCs w:val="20"/>
              </w:rPr>
            </w:pPr>
            <w:r>
              <w:rPr>
                <w:color w:val="000000"/>
                <w:sz w:val="20"/>
                <w:szCs w:val="20"/>
              </w:rPr>
              <w:t>5,60</w:t>
            </w:r>
          </w:p>
        </w:tc>
        <w:tc>
          <w:tcPr>
            <w:tcW w:w="1405" w:type="dxa"/>
            <w:tcBorders>
              <w:top w:val="nil"/>
              <w:left w:val="nil"/>
              <w:bottom w:val="single" w:sz="4" w:space="0" w:color="auto"/>
              <w:right w:val="single" w:sz="4" w:space="0" w:color="auto"/>
            </w:tcBorders>
            <w:shd w:val="clear" w:color="auto" w:fill="auto"/>
            <w:noWrap/>
            <w:vAlign w:val="center"/>
            <w:hideMark/>
          </w:tcPr>
          <w:p w:rsidR="00F07E05" w:rsidRDefault="00F07E05" w:rsidP="008A253E">
            <w:pPr>
              <w:jc w:val="center"/>
              <w:rPr>
                <w:b/>
                <w:bCs/>
                <w:color w:val="000000"/>
                <w:sz w:val="20"/>
                <w:szCs w:val="20"/>
              </w:rPr>
            </w:pPr>
            <w:r>
              <w:rPr>
                <w:b/>
                <w:bCs/>
                <w:color w:val="000000"/>
                <w:sz w:val="20"/>
                <w:szCs w:val="20"/>
              </w:rPr>
              <w:t>33 918,19</w:t>
            </w:r>
          </w:p>
        </w:tc>
        <w:tc>
          <w:tcPr>
            <w:tcW w:w="1288" w:type="dxa"/>
            <w:tcBorders>
              <w:top w:val="nil"/>
              <w:left w:val="nil"/>
              <w:bottom w:val="single" w:sz="4" w:space="0" w:color="auto"/>
              <w:right w:val="single" w:sz="4" w:space="0" w:color="auto"/>
            </w:tcBorders>
            <w:shd w:val="clear" w:color="auto" w:fill="auto"/>
            <w:noWrap/>
            <w:vAlign w:val="center"/>
            <w:hideMark/>
          </w:tcPr>
          <w:p w:rsidR="00F07E05" w:rsidRDefault="00F07E05" w:rsidP="008A253E">
            <w:pPr>
              <w:jc w:val="center"/>
              <w:rPr>
                <w:color w:val="000000"/>
                <w:sz w:val="20"/>
                <w:szCs w:val="20"/>
              </w:rPr>
            </w:pPr>
            <w:r>
              <w:rPr>
                <w:color w:val="000000"/>
                <w:sz w:val="20"/>
                <w:szCs w:val="20"/>
              </w:rPr>
              <w:t>6 056,82</w:t>
            </w:r>
          </w:p>
        </w:tc>
        <w:tc>
          <w:tcPr>
            <w:tcW w:w="1742" w:type="dxa"/>
            <w:tcBorders>
              <w:top w:val="nil"/>
              <w:left w:val="nil"/>
              <w:bottom w:val="single" w:sz="4" w:space="0" w:color="auto"/>
              <w:right w:val="single" w:sz="4" w:space="0" w:color="auto"/>
            </w:tcBorders>
            <w:shd w:val="clear" w:color="auto" w:fill="auto"/>
            <w:noWrap/>
            <w:vAlign w:val="center"/>
            <w:hideMark/>
          </w:tcPr>
          <w:p w:rsidR="00F07E05" w:rsidRDefault="00F07E05" w:rsidP="008A253E">
            <w:pPr>
              <w:jc w:val="center"/>
              <w:rPr>
                <w:color w:val="000000"/>
                <w:sz w:val="20"/>
                <w:szCs w:val="20"/>
              </w:rPr>
            </w:pPr>
            <w:r>
              <w:rPr>
                <w:color w:val="000000"/>
                <w:sz w:val="20"/>
                <w:szCs w:val="20"/>
              </w:rPr>
              <w:t>5,60</w:t>
            </w:r>
          </w:p>
        </w:tc>
        <w:tc>
          <w:tcPr>
            <w:tcW w:w="1376" w:type="dxa"/>
            <w:tcBorders>
              <w:top w:val="nil"/>
              <w:left w:val="nil"/>
              <w:bottom w:val="single" w:sz="4" w:space="0" w:color="auto"/>
              <w:right w:val="single" w:sz="4" w:space="0" w:color="auto"/>
            </w:tcBorders>
            <w:shd w:val="clear" w:color="auto" w:fill="auto"/>
            <w:noWrap/>
            <w:vAlign w:val="center"/>
            <w:hideMark/>
          </w:tcPr>
          <w:p w:rsidR="00F07E05" w:rsidRDefault="00F07E05" w:rsidP="008A253E">
            <w:pPr>
              <w:jc w:val="center"/>
              <w:rPr>
                <w:b/>
                <w:bCs/>
                <w:color w:val="000000"/>
                <w:sz w:val="20"/>
                <w:szCs w:val="20"/>
              </w:rPr>
            </w:pPr>
            <w:r>
              <w:rPr>
                <w:b/>
                <w:bCs/>
                <w:color w:val="000000"/>
                <w:sz w:val="20"/>
                <w:szCs w:val="20"/>
              </w:rPr>
              <w:t>33 918,19</w:t>
            </w:r>
          </w:p>
        </w:tc>
        <w:tc>
          <w:tcPr>
            <w:tcW w:w="1134" w:type="dxa"/>
            <w:tcBorders>
              <w:top w:val="nil"/>
              <w:left w:val="nil"/>
              <w:bottom w:val="single" w:sz="4" w:space="0" w:color="auto"/>
              <w:right w:val="single" w:sz="4" w:space="0" w:color="auto"/>
            </w:tcBorders>
            <w:shd w:val="clear" w:color="auto" w:fill="auto"/>
            <w:noWrap/>
            <w:vAlign w:val="center"/>
            <w:hideMark/>
          </w:tcPr>
          <w:p w:rsidR="00F07E05" w:rsidRDefault="00F07E05" w:rsidP="008A253E">
            <w:pPr>
              <w:jc w:val="center"/>
              <w:rPr>
                <w:color w:val="000000"/>
                <w:sz w:val="20"/>
                <w:szCs w:val="20"/>
              </w:rPr>
            </w:pPr>
            <w:r>
              <w:rPr>
                <w:color w:val="000000"/>
                <w:sz w:val="20"/>
                <w:szCs w:val="20"/>
              </w:rPr>
              <w:t>6 056,82</w:t>
            </w:r>
          </w:p>
        </w:tc>
        <w:tc>
          <w:tcPr>
            <w:tcW w:w="1276" w:type="dxa"/>
            <w:tcBorders>
              <w:top w:val="nil"/>
              <w:left w:val="nil"/>
              <w:bottom w:val="single" w:sz="4" w:space="0" w:color="auto"/>
              <w:right w:val="single" w:sz="4" w:space="0" w:color="auto"/>
            </w:tcBorders>
            <w:shd w:val="clear" w:color="auto" w:fill="auto"/>
            <w:noWrap/>
            <w:vAlign w:val="center"/>
            <w:hideMark/>
          </w:tcPr>
          <w:p w:rsidR="00F07E05" w:rsidRDefault="00F07E05" w:rsidP="008A253E">
            <w:pPr>
              <w:jc w:val="center"/>
              <w:rPr>
                <w:color w:val="000000"/>
                <w:sz w:val="20"/>
                <w:szCs w:val="20"/>
              </w:rPr>
            </w:pPr>
            <w:r>
              <w:rPr>
                <w:color w:val="000000"/>
                <w:sz w:val="20"/>
                <w:szCs w:val="20"/>
              </w:rPr>
              <w:t>5,60</w:t>
            </w:r>
          </w:p>
        </w:tc>
      </w:tr>
      <w:tr w:rsidR="00F07E05" w:rsidTr="008A253E">
        <w:trPr>
          <w:gridAfter w:val="1"/>
          <w:wAfter w:w="50" w:type="dxa"/>
          <w:trHeight w:val="270"/>
        </w:trPr>
        <w:tc>
          <w:tcPr>
            <w:tcW w:w="486" w:type="dxa"/>
            <w:vMerge/>
            <w:tcBorders>
              <w:top w:val="nil"/>
              <w:left w:val="single" w:sz="4" w:space="0" w:color="auto"/>
              <w:bottom w:val="nil"/>
              <w:right w:val="single" w:sz="4" w:space="0" w:color="auto"/>
            </w:tcBorders>
            <w:shd w:val="clear" w:color="auto" w:fill="auto"/>
            <w:vAlign w:val="center"/>
            <w:hideMark/>
          </w:tcPr>
          <w:p w:rsidR="00F07E05" w:rsidRDefault="00F07E05" w:rsidP="008A253E">
            <w:pPr>
              <w:rPr>
                <w:color w:val="000000"/>
                <w:sz w:val="20"/>
                <w:szCs w:val="20"/>
              </w:rPr>
            </w:pPr>
          </w:p>
        </w:tc>
        <w:tc>
          <w:tcPr>
            <w:tcW w:w="1715" w:type="dxa"/>
            <w:vMerge/>
            <w:tcBorders>
              <w:top w:val="nil"/>
              <w:left w:val="single" w:sz="4" w:space="0" w:color="auto"/>
              <w:bottom w:val="nil"/>
              <w:right w:val="single" w:sz="4" w:space="0" w:color="auto"/>
            </w:tcBorders>
            <w:shd w:val="clear" w:color="auto" w:fill="auto"/>
            <w:vAlign w:val="center"/>
            <w:hideMark/>
          </w:tcPr>
          <w:p w:rsidR="00F07E05" w:rsidRDefault="00F07E05" w:rsidP="008A253E">
            <w:pPr>
              <w:rPr>
                <w:sz w:val="20"/>
                <w:szCs w:val="20"/>
              </w:rPr>
            </w:pPr>
          </w:p>
        </w:tc>
        <w:tc>
          <w:tcPr>
            <w:tcW w:w="1769" w:type="dxa"/>
            <w:tcBorders>
              <w:top w:val="nil"/>
              <w:left w:val="nil"/>
              <w:bottom w:val="single" w:sz="4" w:space="0" w:color="auto"/>
              <w:right w:val="nil"/>
            </w:tcBorders>
            <w:shd w:val="clear" w:color="auto" w:fill="auto"/>
            <w:noWrap/>
            <w:vAlign w:val="center"/>
            <w:hideMark/>
          </w:tcPr>
          <w:p w:rsidR="00F07E05" w:rsidRDefault="00F07E05" w:rsidP="008A253E">
            <w:pPr>
              <w:jc w:val="center"/>
              <w:rPr>
                <w:b/>
                <w:bCs/>
                <w:color w:val="000000"/>
                <w:sz w:val="20"/>
                <w:szCs w:val="20"/>
              </w:rPr>
            </w:pPr>
            <w:r>
              <w:rPr>
                <w:b/>
                <w:bCs/>
                <w:color w:val="000000"/>
                <w:sz w:val="20"/>
                <w:szCs w:val="20"/>
              </w:rPr>
              <w:t>Итого</w:t>
            </w:r>
          </w:p>
        </w:tc>
        <w:tc>
          <w:tcPr>
            <w:tcW w:w="1417" w:type="dxa"/>
            <w:tcBorders>
              <w:top w:val="nil"/>
              <w:left w:val="nil"/>
              <w:bottom w:val="single" w:sz="4" w:space="0" w:color="auto"/>
              <w:right w:val="single" w:sz="4" w:space="0" w:color="auto"/>
            </w:tcBorders>
            <w:shd w:val="clear" w:color="auto" w:fill="auto"/>
            <w:noWrap/>
            <w:vAlign w:val="center"/>
            <w:hideMark/>
          </w:tcPr>
          <w:p w:rsidR="00F07E05" w:rsidRDefault="00F07E05" w:rsidP="008A253E">
            <w:pPr>
              <w:jc w:val="center"/>
              <w:rPr>
                <w:b/>
                <w:bCs/>
                <w:color w:val="000000"/>
                <w:sz w:val="20"/>
                <w:szCs w:val="20"/>
              </w:rPr>
            </w:pPr>
            <w:r>
              <w:rPr>
                <w:b/>
                <w:bCs/>
                <w:color w:val="000000"/>
                <w:sz w:val="20"/>
                <w:szCs w:val="20"/>
              </w:rPr>
              <w:t>203 567,17</w:t>
            </w:r>
          </w:p>
        </w:tc>
        <w:tc>
          <w:tcPr>
            <w:tcW w:w="1276" w:type="dxa"/>
            <w:tcBorders>
              <w:top w:val="nil"/>
              <w:left w:val="nil"/>
              <w:bottom w:val="single" w:sz="4" w:space="0" w:color="auto"/>
              <w:right w:val="single" w:sz="4" w:space="0" w:color="auto"/>
            </w:tcBorders>
            <w:shd w:val="clear" w:color="auto" w:fill="auto"/>
            <w:noWrap/>
            <w:vAlign w:val="center"/>
            <w:hideMark/>
          </w:tcPr>
          <w:p w:rsidR="00F07E05" w:rsidRDefault="00F07E05" w:rsidP="008A253E">
            <w:pPr>
              <w:jc w:val="center"/>
              <w:rPr>
                <w:b/>
                <w:bCs/>
                <w:color w:val="000000"/>
                <w:sz w:val="20"/>
                <w:szCs w:val="20"/>
              </w:rPr>
            </w:pPr>
            <w:r>
              <w:rPr>
                <w:b/>
                <w:bCs/>
                <w:color w:val="000000"/>
                <w:sz w:val="20"/>
                <w:szCs w:val="20"/>
              </w:rPr>
              <w:t>Х</w:t>
            </w:r>
          </w:p>
        </w:tc>
        <w:tc>
          <w:tcPr>
            <w:tcW w:w="1276" w:type="dxa"/>
            <w:tcBorders>
              <w:top w:val="nil"/>
              <w:left w:val="nil"/>
              <w:bottom w:val="single" w:sz="4" w:space="0" w:color="auto"/>
              <w:right w:val="single" w:sz="4" w:space="0" w:color="auto"/>
            </w:tcBorders>
            <w:shd w:val="clear" w:color="auto" w:fill="auto"/>
            <w:noWrap/>
            <w:vAlign w:val="center"/>
            <w:hideMark/>
          </w:tcPr>
          <w:p w:rsidR="00F07E05" w:rsidRDefault="00F07E05" w:rsidP="008A253E">
            <w:pPr>
              <w:jc w:val="center"/>
              <w:rPr>
                <w:b/>
                <w:bCs/>
                <w:color w:val="000000"/>
                <w:sz w:val="20"/>
                <w:szCs w:val="20"/>
              </w:rPr>
            </w:pPr>
            <w:r>
              <w:rPr>
                <w:b/>
                <w:bCs/>
                <w:color w:val="000000"/>
                <w:sz w:val="20"/>
                <w:szCs w:val="20"/>
              </w:rPr>
              <w:t>Х</w:t>
            </w:r>
          </w:p>
        </w:tc>
        <w:tc>
          <w:tcPr>
            <w:tcW w:w="1405" w:type="dxa"/>
            <w:tcBorders>
              <w:top w:val="nil"/>
              <w:left w:val="nil"/>
              <w:bottom w:val="single" w:sz="4" w:space="0" w:color="auto"/>
              <w:right w:val="single" w:sz="4" w:space="0" w:color="auto"/>
            </w:tcBorders>
            <w:shd w:val="clear" w:color="auto" w:fill="auto"/>
            <w:noWrap/>
            <w:vAlign w:val="center"/>
            <w:hideMark/>
          </w:tcPr>
          <w:p w:rsidR="00F07E05" w:rsidRDefault="00F07E05" w:rsidP="008A253E">
            <w:pPr>
              <w:jc w:val="center"/>
              <w:rPr>
                <w:b/>
                <w:bCs/>
                <w:color w:val="000000"/>
                <w:sz w:val="20"/>
                <w:szCs w:val="20"/>
              </w:rPr>
            </w:pPr>
            <w:r>
              <w:rPr>
                <w:b/>
                <w:bCs/>
                <w:color w:val="000000"/>
                <w:sz w:val="20"/>
                <w:szCs w:val="20"/>
              </w:rPr>
              <w:t>203 567,17</w:t>
            </w:r>
          </w:p>
        </w:tc>
        <w:tc>
          <w:tcPr>
            <w:tcW w:w="1288" w:type="dxa"/>
            <w:tcBorders>
              <w:top w:val="nil"/>
              <w:left w:val="nil"/>
              <w:bottom w:val="single" w:sz="4" w:space="0" w:color="auto"/>
              <w:right w:val="single" w:sz="4" w:space="0" w:color="auto"/>
            </w:tcBorders>
            <w:shd w:val="clear" w:color="auto" w:fill="auto"/>
            <w:noWrap/>
            <w:vAlign w:val="center"/>
            <w:hideMark/>
          </w:tcPr>
          <w:p w:rsidR="00F07E05" w:rsidRDefault="00F07E05" w:rsidP="008A253E">
            <w:pPr>
              <w:jc w:val="center"/>
              <w:rPr>
                <w:b/>
                <w:bCs/>
                <w:color w:val="000000"/>
                <w:sz w:val="20"/>
                <w:szCs w:val="20"/>
              </w:rPr>
            </w:pPr>
            <w:r>
              <w:rPr>
                <w:b/>
                <w:bCs/>
                <w:color w:val="000000"/>
                <w:sz w:val="20"/>
                <w:szCs w:val="20"/>
              </w:rPr>
              <w:t>Х</w:t>
            </w:r>
          </w:p>
        </w:tc>
        <w:tc>
          <w:tcPr>
            <w:tcW w:w="1742" w:type="dxa"/>
            <w:tcBorders>
              <w:top w:val="nil"/>
              <w:left w:val="nil"/>
              <w:bottom w:val="single" w:sz="4" w:space="0" w:color="auto"/>
              <w:right w:val="single" w:sz="4" w:space="0" w:color="auto"/>
            </w:tcBorders>
            <w:shd w:val="clear" w:color="auto" w:fill="auto"/>
            <w:noWrap/>
            <w:vAlign w:val="center"/>
            <w:hideMark/>
          </w:tcPr>
          <w:p w:rsidR="00F07E05" w:rsidRDefault="00F07E05" w:rsidP="008A253E">
            <w:pPr>
              <w:jc w:val="center"/>
              <w:rPr>
                <w:b/>
                <w:bCs/>
                <w:color w:val="000000"/>
                <w:sz w:val="20"/>
                <w:szCs w:val="20"/>
              </w:rPr>
            </w:pPr>
            <w:r>
              <w:rPr>
                <w:b/>
                <w:bCs/>
                <w:color w:val="000000"/>
                <w:sz w:val="20"/>
                <w:szCs w:val="20"/>
              </w:rPr>
              <w:t>Х</w:t>
            </w:r>
          </w:p>
        </w:tc>
        <w:tc>
          <w:tcPr>
            <w:tcW w:w="1376" w:type="dxa"/>
            <w:tcBorders>
              <w:top w:val="nil"/>
              <w:left w:val="nil"/>
              <w:bottom w:val="single" w:sz="4" w:space="0" w:color="auto"/>
              <w:right w:val="single" w:sz="4" w:space="0" w:color="auto"/>
            </w:tcBorders>
            <w:shd w:val="clear" w:color="auto" w:fill="auto"/>
            <w:noWrap/>
            <w:vAlign w:val="center"/>
            <w:hideMark/>
          </w:tcPr>
          <w:p w:rsidR="00F07E05" w:rsidRDefault="00F07E05" w:rsidP="008A253E">
            <w:pPr>
              <w:jc w:val="center"/>
              <w:rPr>
                <w:b/>
                <w:bCs/>
                <w:color w:val="000000"/>
                <w:sz w:val="20"/>
                <w:szCs w:val="20"/>
              </w:rPr>
            </w:pPr>
            <w:r>
              <w:rPr>
                <w:b/>
                <w:bCs/>
                <w:color w:val="000000"/>
                <w:sz w:val="20"/>
                <w:szCs w:val="20"/>
              </w:rPr>
              <w:t>203 567,17</w:t>
            </w:r>
          </w:p>
        </w:tc>
        <w:tc>
          <w:tcPr>
            <w:tcW w:w="1134" w:type="dxa"/>
            <w:tcBorders>
              <w:top w:val="nil"/>
              <w:left w:val="nil"/>
              <w:bottom w:val="single" w:sz="4" w:space="0" w:color="auto"/>
              <w:right w:val="single" w:sz="4" w:space="0" w:color="auto"/>
            </w:tcBorders>
            <w:shd w:val="clear" w:color="auto" w:fill="auto"/>
            <w:noWrap/>
            <w:vAlign w:val="center"/>
            <w:hideMark/>
          </w:tcPr>
          <w:p w:rsidR="00F07E05" w:rsidRDefault="00F07E05" w:rsidP="008A253E">
            <w:pPr>
              <w:jc w:val="center"/>
              <w:rPr>
                <w:b/>
                <w:bCs/>
                <w:color w:val="000000"/>
                <w:sz w:val="20"/>
                <w:szCs w:val="20"/>
              </w:rPr>
            </w:pPr>
            <w:r>
              <w:rPr>
                <w:b/>
                <w:bCs/>
                <w:color w:val="000000"/>
                <w:sz w:val="20"/>
                <w:szCs w:val="20"/>
              </w:rPr>
              <w:t>Х</w:t>
            </w:r>
          </w:p>
        </w:tc>
        <w:tc>
          <w:tcPr>
            <w:tcW w:w="1276" w:type="dxa"/>
            <w:tcBorders>
              <w:top w:val="nil"/>
              <w:left w:val="nil"/>
              <w:bottom w:val="single" w:sz="4" w:space="0" w:color="auto"/>
              <w:right w:val="single" w:sz="4" w:space="0" w:color="auto"/>
            </w:tcBorders>
            <w:shd w:val="clear" w:color="auto" w:fill="auto"/>
            <w:noWrap/>
            <w:vAlign w:val="center"/>
            <w:hideMark/>
          </w:tcPr>
          <w:p w:rsidR="00F07E05" w:rsidRDefault="00F07E05" w:rsidP="008A253E">
            <w:pPr>
              <w:jc w:val="center"/>
              <w:rPr>
                <w:b/>
                <w:bCs/>
                <w:color w:val="000000"/>
                <w:sz w:val="20"/>
                <w:szCs w:val="20"/>
              </w:rPr>
            </w:pPr>
            <w:r>
              <w:rPr>
                <w:b/>
                <w:bCs/>
                <w:color w:val="000000"/>
                <w:sz w:val="20"/>
                <w:szCs w:val="20"/>
              </w:rPr>
              <w:t>Х</w:t>
            </w:r>
          </w:p>
        </w:tc>
      </w:tr>
      <w:tr w:rsidR="00F07E05" w:rsidTr="008A253E">
        <w:trPr>
          <w:gridAfter w:val="1"/>
          <w:wAfter w:w="50" w:type="dxa"/>
          <w:trHeight w:val="255"/>
        </w:trPr>
        <w:tc>
          <w:tcPr>
            <w:tcW w:w="3970" w:type="dxa"/>
            <w:gridSpan w:val="3"/>
            <w:tcBorders>
              <w:top w:val="single" w:sz="4" w:space="0" w:color="auto"/>
              <w:left w:val="single" w:sz="4" w:space="0" w:color="auto"/>
              <w:bottom w:val="single" w:sz="4" w:space="0" w:color="auto"/>
              <w:right w:val="nil"/>
            </w:tcBorders>
            <w:shd w:val="clear" w:color="auto" w:fill="auto"/>
            <w:noWrap/>
            <w:vAlign w:val="bottom"/>
            <w:hideMark/>
          </w:tcPr>
          <w:p w:rsidR="00F07E05" w:rsidRDefault="00F07E05" w:rsidP="008A253E">
            <w:pPr>
              <w:jc w:val="center"/>
              <w:rPr>
                <w:b/>
                <w:bCs/>
                <w:color w:val="000000"/>
                <w:sz w:val="20"/>
                <w:szCs w:val="20"/>
              </w:rPr>
            </w:pPr>
            <w:r>
              <w:rPr>
                <w:b/>
                <w:bCs/>
                <w:color w:val="000000"/>
                <w:sz w:val="20"/>
                <w:szCs w:val="20"/>
              </w:rPr>
              <w:t>Всего:</w:t>
            </w:r>
          </w:p>
        </w:tc>
        <w:tc>
          <w:tcPr>
            <w:tcW w:w="1417" w:type="dxa"/>
            <w:tcBorders>
              <w:top w:val="nil"/>
              <w:left w:val="nil"/>
              <w:bottom w:val="single" w:sz="4" w:space="0" w:color="auto"/>
              <w:right w:val="single" w:sz="4" w:space="0" w:color="auto"/>
            </w:tcBorders>
            <w:shd w:val="clear" w:color="auto" w:fill="auto"/>
            <w:noWrap/>
            <w:vAlign w:val="center"/>
            <w:hideMark/>
          </w:tcPr>
          <w:p w:rsidR="00F07E05" w:rsidRDefault="00F07E05" w:rsidP="008A253E">
            <w:pPr>
              <w:jc w:val="center"/>
              <w:rPr>
                <w:b/>
                <w:bCs/>
                <w:color w:val="000000"/>
                <w:sz w:val="20"/>
                <w:szCs w:val="20"/>
              </w:rPr>
            </w:pPr>
            <w:r>
              <w:rPr>
                <w:b/>
                <w:bCs/>
                <w:color w:val="000000"/>
                <w:sz w:val="20"/>
                <w:szCs w:val="20"/>
              </w:rPr>
              <w:t>3 032 158,75</w:t>
            </w:r>
          </w:p>
        </w:tc>
        <w:tc>
          <w:tcPr>
            <w:tcW w:w="1276" w:type="dxa"/>
            <w:tcBorders>
              <w:top w:val="nil"/>
              <w:left w:val="nil"/>
              <w:bottom w:val="single" w:sz="4" w:space="0" w:color="auto"/>
              <w:right w:val="single" w:sz="4" w:space="0" w:color="auto"/>
            </w:tcBorders>
            <w:shd w:val="clear" w:color="auto" w:fill="auto"/>
            <w:noWrap/>
            <w:vAlign w:val="center"/>
            <w:hideMark/>
          </w:tcPr>
          <w:p w:rsidR="00F07E05" w:rsidRDefault="00F07E05" w:rsidP="008A253E">
            <w:pPr>
              <w:jc w:val="center"/>
              <w:rPr>
                <w:b/>
                <w:bCs/>
                <w:color w:val="000000"/>
                <w:sz w:val="20"/>
                <w:szCs w:val="20"/>
              </w:rPr>
            </w:pPr>
            <w:r>
              <w:rPr>
                <w:b/>
                <w:bCs/>
                <w:color w:val="000000"/>
                <w:sz w:val="20"/>
                <w:szCs w:val="20"/>
              </w:rPr>
              <w:t>Х</w:t>
            </w:r>
          </w:p>
        </w:tc>
        <w:tc>
          <w:tcPr>
            <w:tcW w:w="1276" w:type="dxa"/>
            <w:tcBorders>
              <w:top w:val="nil"/>
              <w:left w:val="nil"/>
              <w:bottom w:val="single" w:sz="4" w:space="0" w:color="auto"/>
              <w:right w:val="single" w:sz="4" w:space="0" w:color="auto"/>
            </w:tcBorders>
            <w:shd w:val="clear" w:color="auto" w:fill="auto"/>
            <w:noWrap/>
            <w:vAlign w:val="center"/>
            <w:hideMark/>
          </w:tcPr>
          <w:p w:rsidR="00F07E05" w:rsidRDefault="00F07E05" w:rsidP="008A253E">
            <w:pPr>
              <w:jc w:val="center"/>
              <w:rPr>
                <w:b/>
                <w:bCs/>
                <w:color w:val="000000"/>
                <w:sz w:val="20"/>
                <w:szCs w:val="20"/>
              </w:rPr>
            </w:pPr>
            <w:r>
              <w:rPr>
                <w:b/>
                <w:bCs/>
                <w:color w:val="000000"/>
                <w:sz w:val="20"/>
                <w:szCs w:val="20"/>
              </w:rPr>
              <w:t>Х</w:t>
            </w:r>
          </w:p>
        </w:tc>
        <w:tc>
          <w:tcPr>
            <w:tcW w:w="1405" w:type="dxa"/>
            <w:tcBorders>
              <w:top w:val="nil"/>
              <w:left w:val="nil"/>
              <w:bottom w:val="single" w:sz="4" w:space="0" w:color="auto"/>
              <w:right w:val="single" w:sz="4" w:space="0" w:color="auto"/>
            </w:tcBorders>
            <w:shd w:val="clear" w:color="auto" w:fill="auto"/>
            <w:noWrap/>
            <w:vAlign w:val="center"/>
            <w:hideMark/>
          </w:tcPr>
          <w:p w:rsidR="00F07E05" w:rsidRDefault="00F07E05" w:rsidP="008A253E">
            <w:pPr>
              <w:jc w:val="center"/>
              <w:rPr>
                <w:b/>
                <w:bCs/>
                <w:color w:val="000000"/>
                <w:sz w:val="20"/>
                <w:szCs w:val="20"/>
              </w:rPr>
            </w:pPr>
            <w:r>
              <w:rPr>
                <w:b/>
                <w:bCs/>
                <w:color w:val="000000"/>
                <w:sz w:val="20"/>
                <w:szCs w:val="20"/>
              </w:rPr>
              <w:t>3 033 998,37</w:t>
            </w:r>
          </w:p>
        </w:tc>
        <w:tc>
          <w:tcPr>
            <w:tcW w:w="1288" w:type="dxa"/>
            <w:tcBorders>
              <w:top w:val="nil"/>
              <w:left w:val="nil"/>
              <w:bottom w:val="single" w:sz="4" w:space="0" w:color="auto"/>
              <w:right w:val="single" w:sz="4" w:space="0" w:color="auto"/>
            </w:tcBorders>
            <w:shd w:val="clear" w:color="auto" w:fill="auto"/>
            <w:noWrap/>
            <w:vAlign w:val="center"/>
            <w:hideMark/>
          </w:tcPr>
          <w:p w:rsidR="00F07E05" w:rsidRDefault="00F07E05" w:rsidP="008A253E">
            <w:pPr>
              <w:jc w:val="center"/>
              <w:rPr>
                <w:b/>
                <w:bCs/>
                <w:color w:val="000000"/>
                <w:sz w:val="20"/>
                <w:szCs w:val="20"/>
              </w:rPr>
            </w:pPr>
            <w:r>
              <w:rPr>
                <w:b/>
                <w:bCs/>
                <w:color w:val="000000"/>
                <w:sz w:val="20"/>
                <w:szCs w:val="20"/>
              </w:rPr>
              <w:t>Х</w:t>
            </w:r>
          </w:p>
        </w:tc>
        <w:tc>
          <w:tcPr>
            <w:tcW w:w="1742" w:type="dxa"/>
            <w:tcBorders>
              <w:top w:val="nil"/>
              <w:left w:val="nil"/>
              <w:bottom w:val="single" w:sz="4" w:space="0" w:color="auto"/>
              <w:right w:val="single" w:sz="4" w:space="0" w:color="auto"/>
            </w:tcBorders>
            <w:shd w:val="clear" w:color="auto" w:fill="auto"/>
            <w:noWrap/>
            <w:vAlign w:val="center"/>
            <w:hideMark/>
          </w:tcPr>
          <w:p w:rsidR="00F07E05" w:rsidRDefault="00F07E05" w:rsidP="008A253E">
            <w:pPr>
              <w:jc w:val="center"/>
              <w:rPr>
                <w:b/>
                <w:bCs/>
                <w:color w:val="000000"/>
                <w:sz w:val="20"/>
                <w:szCs w:val="20"/>
              </w:rPr>
            </w:pPr>
            <w:r>
              <w:rPr>
                <w:b/>
                <w:bCs/>
                <w:color w:val="000000"/>
                <w:sz w:val="20"/>
                <w:szCs w:val="20"/>
              </w:rPr>
              <w:t>Х</w:t>
            </w:r>
          </w:p>
        </w:tc>
        <w:tc>
          <w:tcPr>
            <w:tcW w:w="1376" w:type="dxa"/>
            <w:tcBorders>
              <w:top w:val="nil"/>
              <w:left w:val="nil"/>
              <w:bottom w:val="single" w:sz="4" w:space="0" w:color="auto"/>
              <w:right w:val="single" w:sz="4" w:space="0" w:color="auto"/>
            </w:tcBorders>
            <w:shd w:val="clear" w:color="auto" w:fill="auto"/>
            <w:noWrap/>
            <w:vAlign w:val="center"/>
            <w:hideMark/>
          </w:tcPr>
          <w:p w:rsidR="00F07E05" w:rsidRDefault="00F07E05" w:rsidP="008A253E">
            <w:pPr>
              <w:jc w:val="center"/>
              <w:rPr>
                <w:b/>
                <w:bCs/>
                <w:color w:val="000000"/>
                <w:sz w:val="20"/>
                <w:szCs w:val="20"/>
              </w:rPr>
            </w:pPr>
            <w:r>
              <w:rPr>
                <w:b/>
                <w:bCs/>
                <w:color w:val="000000"/>
                <w:sz w:val="20"/>
                <w:szCs w:val="20"/>
              </w:rPr>
              <w:t>3 037 326,55</w:t>
            </w:r>
          </w:p>
        </w:tc>
        <w:tc>
          <w:tcPr>
            <w:tcW w:w="1134" w:type="dxa"/>
            <w:tcBorders>
              <w:top w:val="nil"/>
              <w:left w:val="nil"/>
              <w:bottom w:val="single" w:sz="4" w:space="0" w:color="auto"/>
              <w:right w:val="single" w:sz="4" w:space="0" w:color="auto"/>
            </w:tcBorders>
            <w:shd w:val="clear" w:color="auto" w:fill="auto"/>
            <w:noWrap/>
            <w:vAlign w:val="center"/>
            <w:hideMark/>
          </w:tcPr>
          <w:p w:rsidR="00F07E05" w:rsidRDefault="00F07E05" w:rsidP="008A253E">
            <w:pPr>
              <w:jc w:val="center"/>
              <w:rPr>
                <w:b/>
                <w:bCs/>
                <w:color w:val="000000"/>
                <w:sz w:val="20"/>
                <w:szCs w:val="20"/>
              </w:rPr>
            </w:pPr>
            <w:r>
              <w:rPr>
                <w:b/>
                <w:bCs/>
                <w:color w:val="000000"/>
                <w:sz w:val="20"/>
                <w:szCs w:val="20"/>
              </w:rPr>
              <w:t>Х</w:t>
            </w:r>
          </w:p>
        </w:tc>
        <w:tc>
          <w:tcPr>
            <w:tcW w:w="1276" w:type="dxa"/>
            <w:tcBorders>
              <w:top w:val="nil"/>
              <w:left w:val="nil"/>
              <w:bottom w:val="single" w:sz="4" w:space="0" w:color="auto"/>
              <w:right w:val="single" w:sz="4" w:space="0" w:color="auto"/>
            </w:tcBorders>
            <w:shd w:val="clear" w:color="auto" w:fill="auto"/>
            <w:noWrap/>
            <w:vAlign w:val="center"/>
            <w:hideMark/>
          </w:tcPr>
          <w:p w:rsidR="00F07E05" w:rsidRDefault="00F07E05" w:rsidP="008A253E">
            <w:pPr>
              <w:jc w:val="center"/>
              <w:rPr>
                <w:b/>
                <w:bCs/>
                <w:color w:val="000000"/>
                <w:sz w:val="20"/>
                <w:szCs w:val="20"/>
              </w:rPr>
            </w:pPr>
            <w:r>
              <w:rPr>
                <w:b/>
                <w:bCs/>
                <w:color w:val="000000"/>
                <w:sz w:val="20"/>
                <w:szCs w:val="20"/>
              </w:rPr>
              <w:t>Х</w:t>
            </w:r>
          </w:p>
        </w:tc>
      </w:tr>
    </w:tbl>
    <w:p w:rsidR="00F07E05" w:rsidRDefault="00F07E05" w:rsidP="00F07E05">
      <w:pPr>
        <w:pStyle w:val="21"/>
        <w:jc w:val="center"/>
        <w:rPr>
          <w:b/>
        </w:rPr>
        <w:sectPr w:rsidR="00F07E05" w:rsidSect="008A253E">
          <w:pgSz w:w="16838" w:h="11906" w:orient="landscape"/>
          <w:pgMar w:top="1701" w:right="1077" w:bottom="992" w:left="1134" w:header="709" w:footer="709" w:gutter="0"/>
          <w:cols w:space="708"/>
          <w:docGrid w:linePitch="360"/>
        </w:sectPr>
      </w:pPr>
    </w:p>
    <w:p w:rsidR="00F07E05" w:rsidRPr="0032295A" w:rsidRDefault="00F07E05" w:rsidP="00F07E05">
      <w:pPr>
        <w:pStyle w:val="21"/>
        <w:jc w:val="center"/>
        <w:rPr>
          <w:b/>
        </w:rPr>
      </w:pPr>
    </w:p>
    <w:p w:rsidR="00F07E05" w:rsidRDefault="00F07E05" w:rsidP="00F07E05">
      <w:pPr>
        <w:pStyle w:val="21"/>
        <w:jc w:val="center"/>
        <w:rPr>
          <w:b/>
        </w:rPr>
      </w:pPr>
    </w:p>
    <w:p w:rsidR="00F07E05" w:rsidRPr="00C95882" w:rsidRDefault="00F07E05" w:rsidP="00F07E05">
      <w:pPr>
        <w:pStyle w:val="21"/>
        <w:jc w:val="center"/>
        <w:rPr>
          <w:b/>
        </w:rPr>
      </w:pPr>
      <w:r w:rsidRPr="00C95882">
        <w:rPr>
          <w:b/>
        </w:rPr>
        <w:t>Министерство транспорта Тверской области.</w:t>
      </w:r>
    </w:p>
    <w:p w:rsidR="00F07E05" w:rsidRPr="0080634B" w:rsidRDefault="00F07E05" w:rsidP="00F07E05">
      <w:pPr>
        <w:pStyle w:val="21"/>
        <w:jc w:val="right"/>
      </w:pPr>
      <w:r>
        <w:t>т</w:t>
      </w:r>
      <w:r w:rsidRPr="0080634B">
        <w:t>ыс. руб.</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1368"/>
        <w:gridCol w:w="1440"/>
        <w:gridCol w:w="1620"/>
      </w:tblGrid>
      <w:tr w:rsidR="00F07E05" w:rsidRPr="00C93A58" w:rsidTr="008A253E">
        <w:trPr>
          <w:trHeight w:val="833"/>
        </w:trPr>
        <w:tc>
          <w:tcPr>
            <w:tcW w:w="2520" w:type="dxa"/>
            <w:noWrap/>
          </w:tcPr>
          <w:p w:rsidR="00F07E05" w:rsidRPr="00C93A58" w:rsidRDefault="00F07E05" w:rsidP="008A253E">
            <w:pPr>
              <w:rPr>
                <w:b/>
                <w:sz w:val="20"/>
                <w:szCs w:val="20"/>
              </w:rPr>
            </w:pPr>
            <w:r w:rsidRPr="00C93A58">
              <w:rPr>
                <w:b/>
                <w:sz w:val="20"/>
                <w:szCs w:val="20"/>
              </w:rPr>
              <w:t>Код БК</w:t>
            </w:r>
          </w:p>
        </w:tc>
        <w:tc>
          <w:tcPr>
            <w:tcW w:w="2520" w:type="dxa"/>
            <w:noWrap/>
          </w:tcPr>
          <w:p w:rsidR="00F07E05" w:rsidRPr="00C93A58" w:rsidRDefault="00F07E05" w:rsidP="008A253E">
            <w:pPr>
              <w:rPr>
                <w:b/>
                <w:sz w:val="20"/>
                <w:szCs w:val="20"/>
              </w:rPr>
            </w:pPr>
            <w:r w:rsidRPr="00C93A58">
              <w:rPr>
                <w:b/>
                <w:sz w:val="20"/>
                <w:szCs w:val="20"/>
              </w:rPr>
              <w:t>Наименование</w:t>
            </w:r>
          </w:p>
        </w:tc>
        <w:tc>
          <w:tcPr>
            <w:tcW w:w="1368" w:type="dxa"/>
          </w:tcPr>
          <w:p w:rsidR="00F07E05" w:rsidRPr="00C93A58" w:rsidRDefault="00F07E05" w:rsidP="008A253E">
            <w:pPr>
              <w:jc w:val="center"/>
              <w:rPr>
                <w:b/>
                <w:sz w:val="20"/>
                <w:szCs w:val="20"/>
              </w:rPr>
            </w:pPr>
            <w:r w:rsidRPr="00C93A58">
              <w:rPr>
                <w:b/>
                <w:sz w:val="20"/>
                <w:szCs w:val="20"/>
              </w:rPr>
              <w:t>Прогноз на</w:t>
            </w:r>
          </w:p>
          <w:p w:rsidR="00F07E05" w:rsidRPr="00C93A58" w:rsidRDefault="00F07E05" w:rsidP="008A253E">
            <w:pPr>
              <w:jc w:val="center"/>
              <w:rPr>
                <w:b/>
                <w:sz w:val="20"/>
                <w:szCs w:val="20"/>
              </w:rPr>
            </w:pPr>
            <w:r w:rsidRPr="00C93A58">
              <w:rPr>
                <w:b/>
                <w:sz w:val="20"/>
                <w:szCs w:val="20"/>
              </w:rPr>
              <w:t>20</w:t>
            </w:r>
            <w:r>
              <w:rPr>
                <w:b/>
                <w:sz w:val="20"/>
                <w:szCs w:val="20"/>
              </w:rPr>
              <w:t>22</w:t>
            </w:r>
            <w:r w:rsidRPr="00C93A58">
              <w:rPr>
                <w:b/>
                <w:sz w:val="20"/>
                <w:szCs w:val="20"/>
              </w:rPr>
              <w:t xml:space="preserve"> год </w:t>
            </w:r>
          </w:p>
          <w:p w:rsidR="00F07E05" w:rsidRPr="00C93A58" w:rsidRDefault="00F07E05" w:rsidP="008A253E">
            <w:pPr>
              <w:jc w:val="center"/>
              <w:rPr>
                <w:b/>
                <w:sz w:val="20"/>
                <w:szCs w:val="20"/>
              </w:rPr>
            </w:pPr>
          </w:p>
        </w:tc>
        <w:tc>
          <w:tcPr>
            <w:tcW w:w="1440" w:type="dxa"/>
          </w:tcPr>
          <w:p w:rsidR="00F07E05" w:rsidRPr="00C93A58" w:rsidRDefault="00F07E05" w:rsidP="008A253E">
            <w:pPr>
              <w:jc w:val="center"/>
              <w:rPr>
                <w:b/>
                <w:sz w:val="20"/>
                <w:szCs w:val="20"/>
              </w:rPr>
            </w:pPr>
            <w:r w:rsidRPr="00C93A58">
              <w:rPr>
                <w:b/>
                <w:sz w:val="20"/>
                <w:szCs w:val="20"/>
              </w:rPr>
              <w:t>Прогноз на</w:t>
            </w:r>
          </w:p>
          <w:p w:rsidR="00F07E05" w:rsidRPr="00C93A58" w:rsidRDefault="00F07E05" w:rsidP="008A253E">
            <w:pPr>
              <w:jc w:val="center"/>
              <w:rPr>
                <w:b/>
                <w:sz w:val="20"/>
                <w:szCs w:val="20"/>
              </w:rPr>
            </w:pPr>
            <w:r w:rsidRPr="00C93A58">
              <w:rPr>
                <w:b/>
                <w:sz w:val="20"/>
                <w:szCs w:val="20"/>
              </w:rPr>
              <w:t>20</w:t>
            </w:r>
            <w:r>
              <w:rPr>
                <w:b/>
                <w:sz w:val="20"/>
                <w:szCs w:val="20"/>
              </w:rPr>
              <w:t xml:space="preserve">23 </w:t>
            </w:r>
            <w:r w:rsidRPr="00C93A58">
              <w:rPr>
                <w:b/>
                <w:sz w:val="20"/>
                <w:szCs w:val="20"/>
              </w:rPr>
              <w:t>год</w:t>
            </w:r>
          </w:p>
          <w:p w:rsidR="00F07E05" w:rsidRPr="00C93A58" w:rsidRDefault="00F07E05" w:rsidP="008A253E">
            <w:pPr>
              <w:jc w:val="center"/>
              <w:rPr>
                <w:b/>
                <w:sz w:val="20"/>
                <w:szCs w:val="20"/>
              </w:rPr>
            </w:pPr>
          </w:p>
        </w:tc>
        <w:tc>
          <w:tcPr>
            <w:tcW w:w="1620" w:type="dxa"/>
          </w:tcPr>
          <w:p w:rsidR="00F07E05" w:rsidRPr="00C93A58" w:rsidRDefault="00F07E05" w:rsidP="008A253E">
            <w:pPr>
              <w:jc w:val="center"/>
              <w:rPr>
                <w:b/>
                <w:sz w:val="20"/>
                <w:szCs w:val="20"/>
              </w:rPr>
            </w:pPr>
            <w:r w:rsidRPr="00C93A58">
              <w:rPr>
                <w:b/>
                <w:sz w:val="20"/>
                <w:szCs w:val="20"/>
              </w:rPr>
              <w:t>Прогноз на</w:t>
            </w:r>
          </w:p>
          <w:p w:rsidR="00F07E05" w:rsidRPr="00C93A58" w:rsidRDefault="00F07E05" w:rsidP="008A253E">
            <w:pPr>
              <w:jc w:val="center"/>
              <w:rPr>
                <w:b/>
                <w:sz w:val="20"/>
                <w:szCs w:val="20"/>
              </w:rPr>
            </w:pPr>
            <w:r w:rsidRPr="00C93A58">
              <w:rPr>
                <w:b/>
                <w:sz w:val="20"/>
                <w:szCs w:val="20"/>
              </w:rPr>
              <w:t>202</w:t>
            </w:r>
            <w:r>
              <w:rPr>
                <w:b/>
                <w:sz w:val="20"/>
                <w:szCs w:val="20"/>
              </w:rPr>
              <w:t xml:space="preserve">4 </w:t>
            </w:r>
            <w:r w:rsidRPr="00C93A58">
              <w:rPr>
                <w:b/>
                <w:sz w:val="20"/>
                <w:szCs w:val="20"/>
              </w:rPr>
              <w:t>год</w:t>
            </w:r>
          </w:p>
          <w:p w:rsidR="00F07E05" w:rsidRPr="00C93A58" w:rsidRDefault="00F07E05" w:rsidP="008A253E">
            <w:pPr>
              <w:jc w:val="center"/>
              <w:rPr>
                <w:b/>
                <w:sz w:val="20"/>
                <w:szCs w:val="20"/>
              </w:rPr>
            </w:pPr>
          </w:p>
        </w:tc>
      </w:tr>
      <w:tr w:rsidR="00F07E05" w:rsidRPr="00C93A58" w:rsidTr="008A253E">
        <w:trPr>
          <w:trHeight w:val="830"/>
        </w:trPr>
        <w:tc>
          <w:tcPr>
            <w:tcW w:w="2520" w:type="dxa"/>
            <w:noWrap/>
          </w:tcPr>
          <w:p w:rsidR="00F07E05" w:rsidRPr="00C93A58" w:rsidRDefault="00F07E05" w:rsidP="008A253E">
            <w:pPr>
              <w:jc w:val="center"/>
              <w:rPr>
                <w:sz w:val="16"/>
                <w:szCs w:val="16"/>
              </w:rPr>
            </w:pPr>
          </w:p>
          <w:p w:rsidR="00F07E05" w:rsidRPr="00C93A58" w:rsidRDefault="00F07E05" w:rsidP="008A253E">
            <w:pPr>
              <w:jc w:val="center"/>
              <w:rPr>
                <w:sz w:val="16"/>
                <w:szCs w:val="16"/>
              </w:rPr>
            </w:pPr>
            <w:r w:rsidRPr="0032295A">
              <w:rPr>
                <w:sz w:val="16"/>
                <w:szCs w:val="16"/>
              </w:rPr>
              <w:t>000 1 13 02060 00 0000 130</w:t>
            </w:r>
          </w:p>
        </w:tc>
        <w:tc>
          <w:tcPr>
            <w:tcW w:w="2520" w:type="dxa"/>
          </w:tcPr>
          <w:p w:rsidR="00F07E05" w:rsidRPr="00C93A58" w:rsidRDefault="00F07E05" w:rsidP="008A253E">
            <w:pPr>
              <w:rPr>
                <w:sz w:val="20"/>
                <w:szCs w:val="20"/>
              </w:rPr>
            </w:pPr>
            <w:r w:rsidRPr="0032295A">
              <w:rPr>
                <w:sz w:val="20"/>
                <w:szCs w:val="20"/>
              </w:rPr>
              <w:t>Доходы, поступающие в порядке возмещения расходов, понесенных в связи с эксплуатацией имущества</w:t>
            </w:r>
          </w:p>
        </w:tc>
        <w:tc>
          <w:tcPr>
            <w:tcW w:w="1368" w:type="dxa"/>
            <w:noWrap/>
          </w:tcPr>
          <w:p w:rsidR="00F07E05" w:rsidRDefault="00F07E05" w:rsidP="008A253E">
            <w:pPr>
              <w:ind w:hanging="108"/>
              <w:jc w:val="center"/>
              <w:rPr>
                <w:sz w:val="20"/>
                <w:szCs w:val="20"/>
              </w:rPr>
            </w:pPr>
          </w:p>
          <w:p w:rsidR="00F07E05" w:rsidRPr="00C93A58" w:rsidRDefault="00F07E05" w:rsidP="008A253E">
            <w:pPr>
              <w:ind w:hanging="108"/>
              <w:jc w:val="center"/>
              <w:rPr>
                <w:sz w:val="20"/>
                <w:szCs w:val="20"/>
              </w:rPr>
            </w:pPr>
            <w:r>
              <w:rPr>
                <w:sz w:val="20"/>
                <w:szCs w:val="20"/>
              </w:rPr>
              <w:t>974,5</w:t>
            </w:r>
          </w:p>
        </w:tc>
        <w:tc>
          <w:tcPr>
            <w:tcW w:w="1440" w:type="dxa"/>
            <w:noWrap/>
          </w:tcPr>
          <w:p w:rsidR="00F07E05" w:rsidRDefault="00F07E05" w:rsidP="008A253E">
            <w:pPr>
              <w:ind w:left="-136" w:right="-108" w:hanging="28"/>
              <w:jc w:val="center"/>
              <w:rPr>
                <w:sz w:val="20"/>
                <w:szCs w:val="20"/>
              </w:rPr>
            </w:pPr>
          </w:p>
          <w:p w:rsidR="00F07E05" w:rsidRPr="00C93A58" w:rsidRDefault="00F07E05" w:rsidP="008A253E">
            <w:pPr>
              <w:ind w:left="-136" w:right="-108" w:hanging="28"/>
              <w:jc w:val="center"/>
              <w:rPr>
                <w:sz w:val="20"/>
                <w:szCs w:val="20"/>
              </w:rPr>
            </w:pPr>
            <w:r>
              <w:rPr>
                <w:sz w:val="20"/>
                <w:szCs w:val="20"/>
              </w:rPr>
              <w:t>1 013,5</w:t>
            </w:r>
          </w:p>
        </w:tc>
        <w:tc>
          <w:tcPr>
            <w:tcW w:w="1620" w:type="dxa"/>
            <w:noWrap/>
          </w:tcPr>
          <w:p w:rsidR="00F07E05" w:rsidRDefault="00F07E05" w:rsidP="008A253E">
            <w:pPr>
              <w:ind w:left="-108" w:right="-3" w:hanging="108"/>
              <w:jc w:val="center"/>
              <w:rPr>
                <w:sz w:val="20"/>
                <w:szCs w:val="20"/>
              </w:rPr>
            </w:pPr>
          </w:p>
          <w:p w:rsidR="00F07E05" w:rsidRPr="00C93A58" w:rsidRDefault="00F07E05" w:rsidP="008A253E">
            <w:pPr>
              <w:ind w:left="-108" w:right="-3" w:hanging="108"/>
              <w:jc w:val="center"/>
              <w:rPr>
                <w:sz w:val="20"/>
                <w:szCs w:val="20"/>
              </w:rPr>
            </w:pPr>
            <w:r>
              <w:rPr>
                <w:sz w:val="20"/>
                <w:szCs w:val="20"/>
              </w:rPr>
              <w:t>1 054,0</w:t>
            </w:r>
          </w:p>
        </w:tc>
      </w:tr>
    </w:tbl>
    <w:p w:rsidR="00F07E05" w:rsidRDefault="00F07E05" w:rsidP="00F07E05">
      <w:pPr>
        <w:ind w:firstLine="851"/>
        <w:jc w:val="both"/>
        <w:rPr>
          <w:sz w:val="28"/>
          <w:szCs w:val="28"/>
        </w:rPr>
      </w:pPr>
    </w:p>
    <w:p w:rsidR="00F07E05" w:rsidRPr="00E86841" w:rsidRDefault="00F07E05" w:rsidP="00F07E05">
      <w:pPr>
        <w:ind w:firstLine="851"/>
        <w:jc w:val="both"/>
        <w:rPr>
          <w:sz w:val="28"/>
          <w:szCs w:val="28"/>
        </w:rPr>
      </w:pPr>
      <w:r w:rsidRPr="00E86841">
        <w:rPr>
          <w:sz w:val="28"/>
          <w:szCs w:val="28"/>
        </w:rPr>
        <w:t>Ожидаемая оценка текущего года рассчитывается исходя из действующих в текущем году тарифов на коммунальные услуги и объемов коммунальных услуг, возмещаемых арендаторами с учетом удельного веса арендуемых площадей в общем объеме коммунальных затрат по формуле:</w:t>
      </w:r>
    </w:p>
    <w:p w:rsidR="00F07E05" w:rsidRPr="00E86841" w:rsidRDefault="00F07E05" w:rsidP="00F07E05">
      <w:pPr>
        <w:ind w:firstLine="851"/>
        <w:jc w:val="both"/>
        <w:rPr>
          <w:sz w:val="28"/>
          <w:szCs w:val="28"/>
        </w:rPr>
      </w:pPr>
    </w:p>
    <w:p w:rsidR="00F07E05" w:rsidRPr="00E86841" w:rsidRDefault="00F07E05" w:rsidP="00F07E05">
      <w:pPr>
        <w:ind w:right="282" w:firstLine="708"/>
        <w:jc w:val="both"/>
        <w:rPr>
          <w:b/>
          <w:sz w:val="28"/>
          <w:szCs w:val="28"/>
        </w:rPr>
      </w:pPr>
      <w:r w:rsidRPr="00E86841">
        <w:rPr>
          <w:sz w:val="28"/>
          <w:szCs w:val="28"/>
        </w:rPr>
        <w:t xml:space="preserve">                                  </w:t>
      </w:r>
      <w:r w:rsidRPr="00E86841">
        <w:rPr>
          <w:b/>
          <w:sz w:val="28"/>
          <w:szCs w:val="28"/>
        </w:rPr>
        <w:t>ПРдох=Кусл х СТусл,</w:t>
      </w:r>
    </w:p>
    <w:p w:rsidR="00F07E05" w:rsidRPr="00E86841" w:rsidRDefault="00F07E05" w:rsidP="00F07E05">
      <w:pPr>
        <w:ind w:right="282" w:firstLine="708"/>
        <w:jc w:val="both"/>
        <w:rPr>
          <w:b/>
          <w:sz w:val="28"/>
          <w:szCs w:val="28"/>
        </w:rPr>
      </w:pPr>
    </w:p>
    <w:p w:rsidR="00F07E05" w:rsidRPr="00E86841" w:rsidRDefault="00F07E05" w:rsidP="00F07E05">
      <w:pPr>
        <w:ind w:right="282" w:firstLine="708"/>
        <w:jc w:val="both"/>
        <w:rPr>
          <w:b/>
          <w:sz w:val="28"/>
          <w:szCs w:val="28"/>
        </w:rPr>
      </w:pPr>
      <w:r w:rsidRPr="00E86841">
        <w:rPr>
          <w:b/>
          <w:sz w:val="28"/>
          <w:szCs w:val="28"/>
        </w:rPr>
        <w:t xml:space="preserve"> г</w:t>
      </w:r>
      <w:r w:rsidRPr="00E86841">
        <w:rPr>
          <w:sz w:val="28"/>
          <w:szCs w:val="28"/>
        </w:rPr>
        <w:t xml:space="preserve">де: </w:t>
      </w:r>
      <w:r w:rsidRPr="00E86841">
        <w:rPr>
          <w:b/>
          <w:sz w:val="28"/>
          <w:szCs w:val="28"/>
        </w:rPr>
        <w:t xml:space="preserve"> </w:t>
      </w:r>
    </w:p>
    <w:p w:rsidR="00F07E05" w:rsidRPr="00E86841" w:rsidRDefault="00F07E05" w:rsidP="00F07E05">
      <w:pPr>
        <w:ind w:right="282" w:firstLine="708"/>
        <w:jc w:val="both"/>
        <w:rPr>
          <w:sz w:val="28"/>
          <w:szCs w:val="28"/>
        </w:rPr>
      </w:pPr>
      <w:r w:rsidRPr="00E86841">
        <w:rPr>
          <w:b/>
          <w:sz w:val="28"/>
          <w:szCs w:val="28"/>
        </w:rPr>
        <w:t xml:space="preserve">ПРдох - </w:t>
      </w:r>
      <w:r w:rsidRPr="00E86841">
        <w:rPr>
          <w:sz w:val="28"/>
          <w:szCs w:val="28"/>
        </w:rPr>
        <w:t>прочие доходы от оказания платных услуг;</w:t>
      </w:r>
    </w:p>
    <w:p w:rsidR="00F07E05" w:rsidRPr="00E86841" w:rsidRDefault="00F07E05" w:rsidP="00F07E05">
      <w:pPr>
        <w:ind w:right="282" w:firstLine="708"/>
        <w:jc w:val="both"/>
        <w:rPr>
          <w:sz w:val="28"/>
          <w:szCs w:val="28"/>
        </w:rPr>
      </w:pPr>
      <w:r w:rsidRPr="00E86841">
        <w:rPr>
          <w:b/>
          <w:sz w:val="28"/>
          <w:szCs w:val="28"/>
        </w:rPr>
        <w:t xml:space="preserve">Кусл – </w:t>
      </w:r>
      <w:r w:rsidRPr="00E86841">
        <w:rPr>
          <w:sz w:val="28"/>
          <w:szCs w:val="28"/>
        </w:rPr>
        <w:t>количество оказываемых платных услуг;</w:t>
      </w:r>
    </w:p>
    <w:p w:rsidR="00F07E05" w:rsidRPr="00E86841" w:rsidRDefault="00F07E05" w:rsidP="00F07E05">
      <w:pPr>
        <w:ind w:right="282" w:firstLine="708"/>
        <w:jc w:val="both"/>
        <w:rPr>
          <w:sz w:val="28"/>
          <w:szCs w:val="28"/>
        </w:rPr>
      </w:pPr>
      <w:r w:rsidRPr="00E86841">
        <w:rPr>
          <w:b/>
          <w:sz w:val="28"/>
          <w:szCs w:val="28"/>
        </w:rPr>
        <w:t xml:space="preserve">СТусл </w:t>
      </w:r>
      <w:r w:rsidRPr="00E86841">
        <w:rPr>
          <w:sz w:val="28"/>
          <w:szCs w:val="28"/>
        </w:rPr>
        <w:t>– стоимость услуги.</w:t>
      </w:r>
    </w:p>
    <w:p w:rsidR="00F07E05" w:rsidRPr="00E86841" w:rsidRDefault="00F07E05" w:rsidP="00F07E05">
      <w:pPr>
        <w:ind w:left="72" w:firstLine="709"/>
        <w:jc w:val="both"/>
        <w:rPr>
          <w:sz w:val="28"/>
          <w:szCs w:val="28"/>
        </w:rPr>
      </w:pPr>
      <w:r w:rsidRPr="00E86841">
        <w:rPr>
          <w:sz w:val="28"/>
          <w:szCs w:val="28"/>
        </w:rPr>
        <w:t xml:space="preserve">      </w:t>
      </w:r>
    </w:p>
    <w:p w:rsidR="00F07E05" w:rsidRPr="00E86841" w:rsidRDefault="00F07E05" w:rsidP="00F07E05">
      <w:pPr>
        <w:ind w:left="72" w:firstLine="709"/>
        <w:jc w:val="both"/>
        <w:rPr>
          <w:sz w:val="28"/>
          <w:szCs w:val="28"/>
        </w:rPr>
      </w:pPr>
      <w:r w:rsidRPr="00E86841">
        <w:rPr>
          <w:sz w:val="28"/>
          <w:szCs w:val="28"/>
        </w:rPr>
        <w:t xml:space="preserve">  Прогноз на очередной финансовый год и на плановый период рассчитывается комбинацией методов прямого расчета и индексации по следующей формуле:</w:t>
      </w:r>
    </w:p>
    <w:p w:rsidR="00F07E05" w:rsidRPr="00E86841" w:rsidRDefault="00F07E05" w:rsidP="00F07E05">
      <w:pPr>
        <w:ind w:left="72" w:firstLine="709"/>
        <w:jc w:val="both"/>
        <w:rPr>
          <w:b/>
          <w:sz w:val="28"/>
          <w:szCs w:val="28"/>
        </w:rPr>
      </w:pPr>
      <w:r w:rsidRPr="00E86841">
        <w:rPr>
          <w:b/>
          <w:sz w:val="28"/>
          <w:szCs w:val="28"/>
        </w:rPr>
        <w:t xml:space="preserve">Пн+1=ОЖтг </w:t>
      </w:r>
      <w:r w:rsidRPr="00E86841">
        <w:rPr>
          <w:b/>
          <w:sz w:val="28"/>
          <w:szCs w:val="28"/>
          <w:lang w:val="en-US"/>
        </w:rPr>
        <w:t>x</w:t>
      </w:r>
      <w:r w:rsidRPr="00E86841">
        <w:rPr>
          <w:b/>
          <w:sz w:val="28"/>
          <w:szCs w:val="28"/>
        </w:rPr>
        <w:t xml:space="preserve"> ИПЦ </w:t>
      </w:r>
    </w:p>
    <w:p w:rsidR="00F07E05" w:rsidRPr="00E86841" w:rsidRDefault="00F07E05" w:rsidP="00F07E05">
      <w:pPr>
        <w:ind w:left="72" w:firstLine="709"/>
        <w:jc w:val="both"/>
        <w:rPr>
          <w:b/>
          <w:sz w:val="28"/>
          <w:szCs w:val="28"/>
        </w:rPr>
      </w:pPr>
      <w:r w:rsidRPr="00E86841">
        <w:rPr>
          <w:b/>
          <w:sz w:val="28"/>
          <w:szCs w:val="28"/>
        </w:rPr>
        <w:t xml:space="preserve">Пн+2=Пн+1 </w:t>
      </w:r>
      <w:r w:rsidRPr="00E86841">
        <w:rPr>
          <w:b/>
          <w:sz w:val="28"/>
          <w:szCs w:val="28"/>
          <w:lang w:val="en-US"/>
        </w:rPr>
        <w:t>x</w:t>
      </w:r>
      <w:r w:rsidRPr="00E86841">
        <w:rPr>
          <w:b/>
          <w:sz w:val="28"/>
          <w:szCs w:val="28"/>
        </w:rPr>
        <w:t xml:space="preserve"> ИПЦ </w:t>
      </w:r>
    </w:p>
    <w:p w:rsidR="00F07E05" w:rsidRPr="00E86841" w:rsidRDefault="00F07E05" w:rsidP="00F07E05">
      <w:pPr>
        <w:ind w:left="72" w:hanging="72"/>
        <w:jc w:val="both"/>
        <w:rPr>
          <w:b/>
          <w:sz w:val="28"/>
          <w:szCs w:val="28"/>
        </w:rPr>
      </w:pPr>
      <w:r w:rsidRPr="00E86841">
        <w:rPr>
          <w:b/>
          <w:sz w:val="28"/>
          <w:szCs w:val="28"/>
        </w:rPr>
        <w:t xml:space="preserve">            Пн+3= Пн+2 </w:t>
      </w:r>
      <w:r w:rsidRPr="00E86841">
        <w:rPr>
          <w:b/>
          <w:sz w:val="28"/>
          <w:szCs w:val="28"/>
          <w:lang w:val="en-US"/>
        </w:rPr>
        <w:t>x</w:t>
      </w:r>
      <w:r w:rsidRPr="00E86841">
        <w:rPr>
          <w:b/>
          <w:sz w:val="28"/>
          <w:szCs w:val="28"/>
        </w:rPr>
        <w:t xml:space="preserve"> ИПЦ, </w:t>
      </w:r>
    </w:p>
    <w:p w:rsidR="00F07E05" w:rsidRPr="00E86841" w:rsidRDefault="00F07E05" w:rsidP="00F07E05">
      <w:pPr>
        <w:ind w:left="72" w:firstLine="709"/>
        <w:jc w:val="both"/>
        <w:rPr>
          <w:sz w:val="28"/>
          <w:szCs w:val="28"/>
        </w:rPr>
      </w:pPr>
      <w:r w:rsidRPr="00E86841">
        <w:rPr>
          <w:sz w:val="28"/>
          <w:szCs w:val="28"/>
        </w:rPr>
        <w:t>где:</w:t>
      </w:r>
    </w:p>
    <w:p w:rsidR="00F07E05" w:rsidRPr="00E86841" w:rsidRDefault="00F07E05" w:rsidP="00F07E05">
      <w:pPr>
        <w:ind w:left="72" w:firstLine="709"/>
        <w:jc w:val="both"/>
        <w:rPr>
          <w:sz w:val="28"/>
          <w:szCs w:val="28"/>
        </w:rPr>
      </w:pPr>
      <w:r w:rsidRPr="00E86841">
        <w:rPr>
          <w:sz w:val="28"/>
          <w:szCs w:val="28"/>
        </w:rPr>
        <w:t xml:space="preserve">Пн+1 – прогноз на очередной финансовый год; </w:t>
      </w:r>
    </w:p>
    <w:p w:rsidR="00F07E05" w:rsidRPr="00E86841" w:rsidRDefault="00F07E05" w:rsidP="00F07E05">
      <w:pPr>
        <w:ind w:left="72" w:firstLine="709"/>
        <w:jc w:val="both"/>
        <w:rPr>
          <w:sz w:val="28"/>
          <w:szCs w:val="28"/>
        </w:rPr>
      </w:pPr>
      <w:r w:rsidRPr="00E86841">
        <w:rPr>
          <w:sz w:val="28"/>
          <w:szCs w:val="28"/>
        </w:rPr>
        <w:t>Пн+2 – прогноз на первый год планового периода;</w:t>
      </w:r>
    </w:p>
    <w:p w:rsidR="00F07E05" w:rsidRPr="00E86841" w:rsidRDefault="00F07E05" w:rsidP="00F07E05">
      <w:pPr>
        <w:ind w:left="72" w:firstLine="709"/>
        <w:jc w:val="both"/>
        <w:rPr>
          <w:sz w:val="28"/>
          <w:szCs w:val="28"/>
        </w:rPr>
      </w:pPr>
      <w:r w:rsidRPr="00E86841">
        <w:rPr>
          <w:sz w:val="28"/>
          <w:szCs w:val="28"/>
        </w:rPr>
        <w:t>Пн+3 – прогноз на второй год планового периода.</w:t>
      </w:r>
    </w:p>
    <w:p w:rsidR="00F07E05" w:rsidRPr="00E86841" w:rsidRDefault="00F07E05" w:rsidP="00F07E05">
      <w:pPr>
        <w:ind w:left="72" w:firstLine="709"/>
        <w:jc w:val="both"/>
        <w:rPr>
          <w:sz w:val="28"/>
          <w:szCs w:val="28"/>
        </w:rPr>
      </w:pPr>
      <w:r w:rsidRPr="00E86841">
        <w:rPr>
          <w:sz w:val="28"/>
          <w:szCs w:val="28"/>
        </w:rPr>
        <w:t>ОЖтг – ожидаемая оценка поступлений в текущем году</w:t>
      </w:r>
    </w:p>
    <w:p w:rsidR="00F07E05" w:rsidRDefault="00F07E05" w:rsidP="00F07E05">
      <w:pPr>
        <w:ind w:right="282" w:firstLine="708"/>
        <w:jc w:val="both"/>
        <w:rPr>
          <w:sz w:val="28"/>
          <w:szCs w:val="28"/>
        </w:rPr>
      </w:pPr>
    </w:p>
    <w:p w:rsidR="00F07E05" w:rsidRPr="002E6055" w:rsidRDefault="00F07E05" w:rsidP="00F07E05">
      <w:pPr>
        <w:ind w:right="282" w:firstLine="708"/>
        <w:jc w:val="both"/>
        <w:rPr>
          <w:sz w:val="28"/>
          <w:szCs w:val="28"/>
        </w:rPr>
      </w:pPr>
      <w:r w:rsidRPr="002E6055">
        <w:rPr>
          <w:sz w:val="28"/>
          <w:szCs w:val="28"/>
        </w:rPr>
        <w:t xml:space="preserve">Ожидаемое возмещение коммунальных услуг на </w:t>
      </w:r>
      <w:r w:rsidRPr="002E6055">
        <w:rPr>
          <w:b/>
          <w:sz w:val="28"/>
          <w:szCs w:val="28"/>
        </w:rPr>
        <w:t>202</w:t>
      </w:r>
      <w:r w:rsidRPr="002E6055">
        <w:rPr>
          <w:sz w:val="28"/>
          <w:szCs w:val="28"/>
        </w:rPr>
        <w:t xml:space="preserve">1 год составляет </w:t>
      </w:r>
      <w:r w:rsidRPr="002E6055">
        <w:rPr>
          <w:b/>
          <w:sz w:val="28"/>
          <w:szCs w:val="28"/>
        </w:rPr>
        <w:t>937,02 тыс. руб</w:t>
      </w:r>
      <w:r w:rsidRPr="002E6055">
        <w:rPr>
          <w:sz w:val="28"/>
          <w:szCs w:val="28"/>
        </w:rPr>
        <w:t xml:space="preserve">., в том числе: </w:t>
      </w:r>
    </w:p>
    <w:p w:rsidR="00F07E05" w:rsidRPr="002E6055" w:rsidRDefault="00F07E05" w:rsidP="00F07E05">
      <w:pPr>
        <w:ind w:right="282" w:firstLine="708"/>
        <w:jc w:val="both"/>
        <w:rPr>
          <w:sz w:val="28"/>
          <w:szCs w:val="28"/>
        </w:rPr>
      </w:pPr>
    </w:p>
    <w:p w:rsidR="00F07E05" w:rsidRPr="002E6055" w:rsidRDefault="00F07E05" w:rsidP="00F07E05">
      <w:pPr>
        <w:ind w:right="282"/>
        <w:jc w:val="both"/>
        <w:rPr>
          <w:sz w:val="28"/>
          <w:szCs w:val="28"/>
        </w:rPr>
      </w:pPr>
      <w:r w:rsidRPr="002E6055">
        <w:rPr>
          <w:sz w:val="28"/>
          <w:szCs w:val="28"/>
        </w:rPr>
        <w:t>- дебиторская задолженность по состоянию на 01 января 2021 года составила 6,72 тыс. руб.</w:t>
      </w:r>
    </w:p>
    <w:p w:rsidR="00F07E05" w:rsidRPr="002E6055" w:rsidRDefault="00F07E05" w:rsidP="00F07E05">
      <w:pPr>
        <w:ind w:right="282"/>
        <w:jc w:val="both"/>
        <w:rPr>
          <w:sz w:val="28"/>
          <w:szCs w:val="28"/>
        </w:rPr>
      </w:pPr>
      <w:r w:rsidRPr="002E6055">
        <w:rPr>
          <w:sz w:val="28"/>
          <w:szCs w:val="28"/>
        </w:rPr>
        <w:t>-  теплоэнергия    110,33 Гкалл  х 1 804,104 руб. = 199 047 (199,05 тыс. руб.);</w:t>
      </w:r>
    </w:p>
    <w:p w:rsidR="00F07E05" w:rsidRPr="002E6055" w:rsidRDefault="00F07E05" w:rsidP="00F07E05">
      <w:pPr>
        <w:ind w:right="282"/>
        <w:jc w:val="both"/>
        <w:rPr>
          <w:sz w:val="28"/>
          <w:szCs w:val="28"/>
        </w:rPr>
      </w:pPr>
      <w:r w:rsidRPr="002E6055">
        <w:rPr>
          <w:sz w:val="28"/>
          <w:szCs w:val="28"/>
        </w:rPr>
        <w:t>-  электроэнергия  82 099,13  кВатт  х 8,309 руб. = 682 162 руб.  (682,16 тыс. руб.);</w:t>
      </w:r>
    </w:p>
    <w:p w:rsidR="00F07E05" w:rsidRPr="002E6055" w:rsidRDefault="00F07E05" w:rsidP="00F07E05">
      <w:pPr>
        <w:ind w:right="282"/>
        <w:jc w:val="both"/>
        <w:rPr>
          <w:sz w:val="28"/>
          <w:szCs w:val="28"/>
        </w:rPr>
      </w:pPr>
      <w:r w:rsidRPr="002E6055">
        <w:rPr>
          <w:sz w:val="28"/>
          <w:szCs w:val="28"/>
        </w:rPr>
        <w:t>- водоснабжение 963,41 куб. л. х 21,95 руб. =21 147 руб. (21,15 тыс. руб.);</w:t>
      </w:r>
    </w:p>
    <w:p w:rsidR="00F07E05" w:rsidRPr="002E6055" w:rsidRDefault="00F07E05" w:rsidP="00F07E05">
      <w:pPr>
        <w:ind w:right="282"/>
        <w:jc w:val="both"/>
        <w:rPr>
          <w:sz w:val="28"/>
          <w:szCs w:val="28"/>
        </w:rPr>
      </w:pPr>
      <w:r w:rsidRPr="002E6055">
        <w:rPr>
          <w:sz w:val="28"/>
          <w:szCs w:val="28"/>
        </w:rPr>
        <w:t>- водоотведение 963,41 куб. л. х 23,96 руб. = 23 083 руб. (23,08 тыс. руб.);</w:t>
      </w:r>
    </w:p>
    <w:p w:rsidR="00F07E05" w:rsidRPr="002E6055" w:rsidRDefault="00F07E05" w:rsidP="00F07E05">
      <w:pPr>
        <w:ind w:right="282"/>
        <w:jc w:val="both"/>
        <w:rPr>
          <w:sz w:val="28"/>
          <w:szCs w:val="28"/>
        </w:rPr>
      </w:pPr>
      <w:r w:rsidRPr="002E6055">
        <w:rPr>
          <w:sz w:val="28"/>
          <w:szCs w:val="28"/>
        </w:rPr>
        <w:lastRenderedPageBreak/>
        <w:t>- сброс загрязняющих веществ 4 864 руб., (4,86 тыс. руб.).</w:t>
      </w:r>
    </w:p>
    <w:p w:rsidR="00F07E05" w:rsidRPr="002E6055" w:rsidRDefault="00F07E05" w:rsidP="00F07E05">
      <w:pPr>
        <w:ind w:right="282" w:firstLine="709"/>
        <w:jc w:val="both"/>
        <w:rPr>
          <w:sz w:val="28"/>
          <w:szCs w:val="28"/>
        </w:rPr>
      </w:pPr>
    </w:p>
    <w:p w:rsidR="00F07E05" w:rsidRPr="002E6055" w:rsidRDefault="00F07E05" w:rsidP="00F07E05">
      <w:pPr>
        <w:ind w:right="282" w:firstLine="708"/>
        <w:jc w:val="both"/>
        <w:rPr>
          <w:b/>
          <w:sz w:val="28"/>
          <w:szCs w:val="28"/>
        </w:rPr>
      </w:pPr>
      <w:r w:rsidRPr="002E6055">
        <w:rPr>
          <w:sz w:val="28"/>
          <w:szCs w:val="28"/>
        </w:rPr>
        <w:t xml:space="preserve">Прогноз возмещения коммунальных услуг на </w:t>
      </w:r>
      <w:r w:rsidRPr="002E6055">
        <w:rPr>
          <w:b/>
          <w:sz w:val="28"/>
          <w:szCs w:val="28"/>
        </w:rPr>
        <w:t>2022</w:t>
      </w:r>
      <w:r w:rsidRPr="002E6055">
        <w:rPr>
          <w:sz w:val="28"/>
          <w:szCs w:val="28"/>
        </w:rPr>
        <w:t xml:space="preserve"> год с учётом индекса дефлятора 1,040 составляет 937,02 тыс.руб.* 1,040 = </w:t>
      </w:r>
      <w:r w:rsidRPr="002E6055">
        <w:rPr>
          <w:b/>
          <w:sz w:val="28"/>
          <w:szCs w:val="28"/>
        </w:rPr>
        <w:t>974,50 тыс. руб.</w:t>
      </w:r>
    </w:p>
    <w:p w:rsidR="00F07E05" w:rsidRPr="002E6055" w:rsidRDefault="00F07E05" w:rsidP="00F07E05">
      <w:pPr>
        <w:ind w:right="282" w:firstLine="708"/>
        <w:jc w:val="both"/>
        <w:rPr>
          <w:b/>
          <w:szCs w:val="28"/>
        </w:rPr>
      </w:pPr>
      <w:r w:rsidRPr="002E6055">
        <w:rPr>
          <w:sz w:val="28"/>
          <w:szCs w:val="28"/>
        </w:rPr>
        <w:t xml:space="preserve">Прогноз возмещения коммунальных услуг на </w:t>
      </w:r>
      <w:r w:rsidRPr="002E6055">
        <w:rPr>
          <w:b/>
          <w:sz w:val="28"/>
          <w:szCs w:val="28"/>
        </w:rPr>
        <w:t>2023</w:t>
      </w:r>
      <w:r w:rsidRPr="002E6055">
        <w:rPr>
          <w:sz w:val="28"/>
          <w:szCs w:val="28"/>
        </w:rPr>
        <w:t xml:space="preserve"> год с учётом индекса дефлятора 1,040 составляет 974,50 тыс.</w:t>
      </w:r>
      <w:r w:rsidR="00CF2111" w:rsidRPr="00CF2111">
        <w:rPr>
          <w:sz w:val="28"/>
          <w:szCs w:val="28"/>
        </w:rPr>
        <w:t xml:space="preserve"> </w:t>
      </w:r>
      <w:r w:rsidRPr="002E6055">
        <w:rPr>
          <w:sz w:val="28"/>
          <w:szCs w:val="28"/>
        </w:rPr>
        <w:t xml:space="preserve">руб.  * 1,040 = </w:t>
      </w:r>
      <w:r w:rsidRPr="002E6055">
        <w:rPr>
          <w:b/>
          <w:sz w:val="28"/>
          <w:szCs w:val="28"/>
        </w:rPr>
        <w:t>1 013,48 тыс. руб.</w:t>
      </w:r>
    </w:p>
    <w:p w:rsidR="00F07E05" w:rsidRPr="002E6055" w:rsidRDefault="00F07E05" w:rsidP="00F07E05">
      <w:pPr>
        <w:ind w:right="282" w:firstLine="708"/>
        <w:jc w:val="both"/>
        <w:rPr>
          <w:b/>
          <w:szCs w:val="28"/>
        </w:rPr>
      </w:pPr>
      <w:r w:rsidRPr="002E6055">
        <w:rPr>
          <w:sz w:val="28"/>
          <w:szCs w:val="28"/>
        </w:rPr>
        <w:t xml:space="preserve">Прогноз возмещения коммунальных услуг на </w:t>
      </w:r>
      <w:r w:rsidRPr="002E6055">
        <w:rPr>
          <w:b/>
          <w:sz w:val="28"/>
          <w:szCs w:val="28"/>
        </w:rPr>
        <w:t>2024</w:t>
      </w:r>
      <w:r w:rsidRPr="002E6055">
        <w:rPr>
          <w:sz w:val="28"/>
          <w:szCs w:val="28"/>
        </w:rPr>
        <w:t xml:space="preserve"> год с учётом индекса дефлятора 1,040 составляет 1 013,48 тыс.</w:t>
      </w:r>
      <w:r w:rsidR="00CF2111" w:rsidRPr="00CF2111">
        <w:rPr>
          <w:sz w:val="28"/>
          <w:szCs w:val="28"/>
        </w:rPr>
        <w:t xml:space="preserve"> </w:t>
      </w:r>
      <w:r w:rsidRPr="002E6055">
        <w:rPr>
          <w:sz w:val="28"/>
          <w:szCs w:val="28"/>
        </w:rPr>
        <w:t xml:space="preserve">руб. * 1,040 = </w:t>
      </w:r>
      <w:r w:rsidRPr="002E6055">
        <w:rPr>
          <w:b/>
          <w:sz w:val="28"/>
          <w:szCs w:val="28"/>
        </w:rPr>
        <w:t>1 054,02 тыс. руб.</w:t>
      </w:r>
    </w:p>
    <w:p w:rsidR="00F07E05" w:rsidRDefault="00F07E05" w:rsidP="00F07E05">
      <w:pPr>
        <w:pStyle w:val="21"/>
        <w:jc w:val="center"/>
        <w:rPr>
          <w:b/>
        </w:rPr>
      </w:pPr>
    </w:p>
    <w:p w:rsidR="00F07E05" w:rsidRPr="00725026" w:rsidRDefault="00F07E05" w:rsidP="00F07E05">
      <w:pPr>
        <w:pStyle w:val="21"/>
        <w:jc w:val="center"/>
        <w:rPr>
          <w:b/>
        </w:rPr>
      </w:pPr>
      <w:r>
        <w:rPr>
          <w:b/>
        </w:rPr>
        <w:t>Прочие доходы от компенсации затрат государства</w:t>
      </w:r>
    </w:p>
    <w:p w:rsidR="00F07E05" w:rsidRPr="00C93A58" w:rsidRDefault="00F07E05" w:rsidP="00F07E05">
      <w:pPr>
        <w:pStyle w:val="21"/>
        <w:rPr>
          <w:b/>
        </w:rPr>
      </w:pPr>
      <w:r w:rsidRPr="00C93A58">
        <w:t xml:space="preserve"> </w:t>
      </w:r>
    </w:p>
    <w:p w:rsidR="00F07E05" w:rsidRPr="00C93A58" w:rsidRDefault="00F07E05" w:rsidP="00F07E05">
      <w:pPr>
        <w:jc w:val="right"/>
      </w:pPr>
      <w:r w:rsidRPr="00C93A58">
        <w:t>в тыс. руб.</w:t>
      </w:r>
    </w:p>
    <w:tbl>
      <w:tblPr>
        <w:tblW w:w="9706" w:type="dxa"/>
        <w:tblInd w:w="-72" w:type="dxa"/>
        <w:tblLayout w:type="fixed"/>
        <w:tblLook w:val="0000" w:firstRow="0" w:lastRow="0" w:firstColumn="0" w:lastColumn="0" w:noHBand="0" w:noVBand="0"/>
      </w:tblPr>
      <w:tblGrid>
        <w:gridCol w:w="2520"/>
        <w:gridCol w:w="2520"/>
        <w:gridCol w:w="1620"/>
        <w:gridCol w:w="1440"/>
        <w:gridCol w:w="1606"/>
      </w:tblGrid>
      <w:tr w:rsidR="00F07E05" w:rsidRPr="00C93A58" w:rsidTr="008A253E">
        <w:trPr>
          <w:trHeight w:val="474"/>
        </w:trPr>
        <w:tc>
          <w:tcPr>
            <w:tcW w:w="2520" w:type="dxa"/>
            <w:tcBorders>
              <w:top w:val="single" w:sz="4" w:space="0" w:color="auto"/>
              <w:left w:val="single" w:sz="4" w:space="0" w:color="auto"/>
              <w:bottom w:val="single" w:sz="4" w:space="0" w:color="auto"/>
              <w:right w:val="single" w:sz="4" w:space="0" w:color="auto"/>
            </w:tcBorders>
            <w:noWrap/>
            <w:vAlign w:val="bottom"/>
          </w:tcPr>
          <w:p w:rsidR="00F07E05" w:rsidRDefault="00F07E05" w:rsidP="008A253E">
            <w:pPr>
              <w:jc w:val="center"/>
              <w:rPr>
                <w:b/>
              </w:rPr>
            </w:pPr>
            <w:r w:rsidRPr="00C93A58">
              <w:rPr>
                <w:b/>
              </w:rPr>
              <w:t>Код БК</w:t>
            </w:r>
          </w:p>
          <w:p w:rsidR="00F07E05" w:rsidRDefault="00F07E05" w:rsidP="008A253E">
            <w:pPr>
              <w:jc w:val="center"/>
              <w:rPr>
                <w:b/>
              </w:rPr>
            </w:pPr>
          </w:p>
          <w:p w:rsidR="00F07E05" w:rsidRDefault="00F07E05" w:rsidP="008A253E">
            <w:pPr>
              <w:jc w:val="center"/>
              <w:rPr>
                <w:b/>
              </w:rPr>
            </w:pPr>
          </w:p>
          <w:p w:rsidR="00F07E05" w:rsidRPr="00C93A58" w:rsidRDefault="00F07E05" w:rsidP="008A253E">
            <w:pPr>
              <w:jc w:val="center"/>
              <w:rPr>
                <w:b/>
              </w:rPr>
            </w:pPr>
          </w:p>
        </w:tc>
        <w:tc>
          <w:tcPr>
            <w:tcW w:w="2520" w:type="dxa"/>
            <w:tcBorders>
              <w:top w:val="single" w:sz="4" w:space="0" w:color="auto"/>
              <w:left w:val="single" w:sz="4" w:space="0" w:color="auto"/>
              <w:bottom w:val="single" w:sz="4" w:space="0" w:color="auto"/>
              <w:right w:val="single" w:sz="4" w:space="0" w:color="auto"/>
            </w:tcBorders>
            <w:noWrap/>
            <w:vAlign w:val="bottom"/>
          </w:tcPr>
          <w:p w:rsidR="00F07E05" w:rsidRDefault="00F07E05" w:rsidP="008A253E">
            <w:pPr>
              <w:jc w:val="center"/>
              <w:rPr>
                <w:b/>
              </w:rPr>
            </w:pPr>
            <w:r w:rsidRPr="00C93A58">
              <w:rPr>
                <w:b/>
              </w:rPr>
              <w:t>Наименование</w:t>
            </w:r>
          </w:p>
          <w:p w:rsidR="00F07E05" w:rsidRDefault="00F07E05" w:rsidP="008A253E">
            <w:pPr>
              <w:jc w:val="center"/>
              <w:rPr>
                <w:b/>
              </w:rPr>
            </w:pPr>
          </w:p>
          <w:p w:rsidR="00F07E05" w:rsidRDefault="00F07E05" w:rsidP="008A253E">
            <w:pPr>
              <w:jc w:val="center"/>
              <w:rPr>
                <w:b/>
              </w:rPr>
            </w:pPr>
          </w:p>
          <w:p w:rsidR="00F07E05" w:rsidRPr="00C93A58" w:rsidRDefault="00F07E05" w:rsidP="008A253E">
            <w:pPr>
              <w:jc w:val="center"/>
              <w:rPr>
                <w:b/>
              </w:rPr>
            </w:pPr>
          </w:p>
        </w:tc>
        <w:tc>
          <w:tcPr>
            <w:tcW w:w="1620" w:type="dxa"/>
            <w:tcBorders>
              <w:top w:val="single" w:sz="4" w:space="0" w:color="auto"/>
              <w:left w:val="single" w:sz="4" w:space="0" w:color="auto"/>
              <w:bottom w:val="single" w:sz="4" w:space="0" w:color="auto"/>
              <w:right w:val="single" w:sz="4" w:space="0" w:color="auto"/>
            </w:tcBorders>
            <w:vAlign w:val="bottom"/>
          </w:tcPr>
          <w:p w:rsidR="00F07E05" w:rsidRPr="00C93A58" w:rsidRDefault="00F07E05" w:rsidP="008A253E">
            <w:pPr>
              <w:jc w:val="center"/>
              <w:rPr>
                <w:b/>
                <w:sz w:val="20"/>
                <w:szCs w:val="20"/>
              </w:rPr>
            </w:pPr>
            <w:r w:rsidRPr="00C93A58">
              <w:rPr>
                <w:b/>
                <w:sz w:val="20"/>
                <w:szCs w:val="20"/>
              </w:rPr>
              <w:t>Прогноз на</w:t>
            </w:r>
          </w:p>
          <w:p w:rsidR="00F07E05" w:rsidRPr="00C93A58" w:rsidRDefault="00F07E05" w:rsidP="008A253E">
            <w:pPr>
              <w:jc w:val="center"/>
              <w:rPr>
                <w:b/>
                <w:sz w:val="20"/>
                <w:szCs w:val="20"/>
              </w:rPr>
            </w:pPr>
            <w:r w:rsidRPr="00C93A58">
              <w:rPr>
                <w:b/>
                <w:sz w:val="20"/>
                <w:szCs w:val="20"/>
              </w:rPr>
              <w:t>20</w:t>
            </w:r>
            <w:r>
              <w:rPr>
                <w:b/>
                <w:sz w:val="20"/>
                <w:szCs w:val="20"/>
              </w:rPr>
              <w:t>22</w:t>
            </w:r>
            <w:r w:rsidRPr="00C93A58">
              <w:rPr>
                <w:b/>
                <w:sz w:val="20"/>
                <w:szCs w:val="20"/>
              </w:rPr>
              <w:t xml:space="preserve"> год</w:t>
            </w:r>
          </w:p>
          <w:p w:rsidR="00F07E05" w:rsidRDefault="00F07E05" w:rsidP="008A253E">
            <w:pPr>
              <w:jc w:val="center"/>
              <w:rPr>
                <w:b/>
                <w:sz w:val="20"/>
                <w:szCs w:val="20"/>
              </w:rPr>
            </w:pPr>
          </w:p>
          <w:p w:rsidR="00F07E05" w:rsidRPr="00C93A58" w:rsidRDefault="00F07E05" w:rsidP="008A253E">
            <w:pPr>
              <w:jc w:val="center"/>
              <w:rPr>
                <w:b/>
                <w:sz w:val="20"/>
                <w:szCs w:val="20"/>
              </w:rPr>
            </w:pPr>
          </w:p>
          <w:p w:rsidR="00F07E05" w:rsidRPr="00C93A58" w:rsidRDefault="00F07E05" w:rsidP="008A253E">
            <w:pPr>
              <w:jc w:val="center"/>
              <w:rPr>
                <w:b/>
                <w:sz w:val="20"/>
                <w:szCs w:val="20"/>
              </w:rPr>
            </w:pPr>
          </w:p>
        </w:tc>
        <w:tc>
          <w:tcPr>
            <w:tcW w:w="1440" w:type="dxa"/>
            <w:tcBorders>
              <w:top w:val="single" w:sz="4" w:space="0" w:color="auto"/>
              <w:left w:val="single" w:sz="4" w:space="0" w:color="auto"/>
              <w:bottom w:val="single" w:sz="4" w:space="0" w:color="auto"/>
              <w:right w:val="single" w:sz="4" w:space="0" w:color="auto"/>
            </w:tcBorders>
            <w:vAlign w:val="bottom"/>
          </w:tcPr>
          <w:p w:rsidR="00F07E05" w:rsidRPr="00C93A58" w:rsidRDefault="00F07E05" w:rsidP="008A253E">
            <w:pPr>
              <w:jc w:val="center"/>
              <w:rPr>
                <w:b/>
                <w:sz w:val="20"/>
                <w:szCs w:val="20"/>
              </w:rPr>
            </w:pPr>
            <w:r w:rsidRPr="00C93A58">
              <w:rPr>
                <w:b/>
                <w:sz w:val="20"/>
                <w:szCs w:val="20"/>
              </w:rPr>
              <w:t>Прогноз на</w:t>
            </w:r>
          </w:p>
          <w:p w:rsidR="00F07E05" w:rsidRPr="00C93A58" w:rsidRDefault="00F07E05" w:rsidP="008A253E">
            <w:pPr>
              <w:jc w:val="center"/>
              <w:rPr>
                <w:b/>
                <w:sz w:val="20"/>
                <w:szCs w:val="20"/>
              </w:rPr>
            </w:pPr>
            <w:r w:rsidRPr="00C93A58">
              <w:rPr>
                <w:b/>
                <w:sz w:val="20"/>
                <w:szCs w:val="20"/>
              </w:rPr>
              <w:t>20</w:t>
            </w:r>
            <w:r>
              <w:rPr>
                <w:b/>
                <w:sz w:val="20"/>
                <w:szCs w:val="20"/>
              </w:rPr>
              <w:t xml:space="preserve">23 </w:t>
            </w:r>
            <w:r w:rsidRPr="00C93A58">
              <w:rPr>
                <w:b/>
                <w:sz w:val="20"/>
                <w:szCs w:val="20"/>
              </w:rPr>
              <w:t>год</w:t>
            </w:r>
          </w:p>
          <w:p w:rsidR="00F07E05" w:rsidRPr="00C93A58" w:rsidRDefault="00F07E05" w:rsidP="008A253E">
            <w:pPr>
              <w:jc w:val="center"/>
              <w:rPr>
                <w:b/>
                <w:sz w:val="20"/>
                <w:szCs w:val="20"/>
              </w:rPr>
            </w:pPr>
          </w:p>
          <w:p w:rsidR="00F07E05" w:rsidRPr="00C93A58" w:rsidRDefault="00F07E05" w:rsidP="008A253E">
            <w:pPr>
              <w:jc w:val="center"/>
              <w:rPr>
                <w:b/>
                <w:sz w:val="20"/>
                <w:szCs w:val="20"/>
              </w:rPr>
            </w:pPr>
          </w:p>
          <w:p w:rsidR="00F07E05" w:rsidRPr="00C93A58" w:rsidRDefault="00F07E05" w:rsidP="008A253E">
            <w:pPr>
              <w:jc w:val="center"/>
              <w:rPr>
                <w:b/>
                <w:sz w:val="20"/>
                <w:szCs w:val="20"/>
              </w:rPr>
            </w:pPr>
          </w:p>
        </w:tc>
        <w:tc>
          <w:tcPr>
            <w:tcW w:w="1606" w:type="dxa"/>
            <w:tcBorders>
              <w:top w:val="single" w:sz="4" w:space="0" w:color="auto"/>
              <w:left w:val="single" w:sz="4" w:space="0" w:color="auto"/>
              <w:bottom w:val="single" w:sz="4" w:space="0" w:color="auto"/>
              <w:right w:val="single" w:sz="4" w:space="0" w:color="auto"/>
            </w:tcBorders>
            <w:vAlign w:val="bottom"/>
          </w:tcPr>
          <w:p w:rsidR="00F07E05" w:rsidRPr="00C93A58" w:rsidRDefault="00F07E05" w:rsidP="008A253E">
            <w:pPr>
              <w:jc w:val="center"/>
              <w:rPr>
                <w:b/>
                <w:sz w:val="20"/>
                <w:szCs w:val="20"/>
              </w:rPr>
            </w:pPr>
            <w:r w:rsidRPr="00C93A58">
              <w:rPr>
                <w:b/>
                <w:sz w:val="20"/>
                <w:szCs w:val="20"/>
              </w:rPr>
              <w:t>Прогноз на</w:t>
            </w:r>
          </w:p>
          <w:p w:rsidR="00F07E05" w:rsidRDefault="00F07E05" w:rsidP="008A253E">
            <w:pPr>
              <w:jc w:val="center"/>
              <w:rPr>
                <w:b/>
                <w:sz w:val="20"/>
                <w:szCs w:val="20"/>
              </w:rPr>
            </w:pPr>
            <w:r w:rsidRPr="00C93A58">
              <w:rPr>
                <w:b/>
                <w:sz w:val="20"/>
                <w:szCs w:val="20"/>
              </w:rPr>
              <w:t>20</w:t>
            </w:r>
            <w:r>
              <w:rPr>
                <w:b/>
                <w:sz w:val="20"/>
                <w:szCs w:val="20"/>
              </w:rPr>
              <w:t xml:space="preserve">24 </w:t>
            </w:r>
            <w:r w:rsidRPr="00C93A58">
              <w:rPr>
                <w:b/>
                <w:sz w:val="20"/>
                <w:szCs w:val="20"/>
              </w:rPr>
              <w:t>год</w:t>
            </w:r>
          </w:p>
          <w:p w:rsidR="00F07E05" w:rsidRDefault="00F07E05" w:rsidP="008A253E">
            <w:pPr>
              <w:jc w:val="center"/>
              <w:rPr>
                <w:b/>
                <w:sz w:val="20"/>
                <w:szCs w:val="20"/>
              </w:rPr>
            </w:pPr>
          </w:p>
          <w:p w:rsidR="00F07E05" w:rsidRDefault="00F07E05" w:rsidP="008A253E">
            <w:pPr>
              <w:jc w:val="center"/>
              <w:rPr>
                <w:b/>
                <w:sz w:val="20"/>
                <w:szCs w:val="20"/>
              </w:rPr>
            </w:pPr>
          </w:p>
          <w:p w:rsidR="00F07E05" w:rsidRPr="00C93A58" w:rsidRDefault="00F07E05" w:rsidP="008A253E">
            <w:pPr>
              <w:jc w:val="center"/>
              <w:rPr>
                <w:b/>
                <w:sz w:val="20"/>
                <w:szCs w:val="20"/>
              </w:rPr>
            </w:pPr>
          </w:p>
        </w:tc>
      </w:tr>
      <w:tr w:rsidR="00F07E05" w:rsidRPr="00C93A58" w:rsidTr="008A253E">
        <w:trPr>
          <w:trHeight w:val="580"/>
        </w:trPr>
        <w:tc>
          <w:tcPr>
            <w:tcW w:w="2520" w:type="dxa"/>
            <w:tcBorders>
              <w:top w:val="single" w:sz="4" w:space="0" w:color="auto"/>
              <w:left w:val="single" w:sz="4" w:space="0" w:color="auto"/>
              <w:bottom w:val="single" w:sz="4" w:space="0" w:color="auto"/>
              <w:right w:val="single" w:sz="4" w:space="0" w:color="auto"/>
            </w:tcBorders>
            <w:noWrap/>
          </w:tcPr>
          <w:p w:rsidR="00F07E05" w:rsidRPr="00E63FE7" w:rsidRDefault="00F07E05" w:rsidP="008A253E">
            <w:pPr>
              <w:jc w:val="center"/>
              <w:rPr>
                <w:b/>
                <w:sz w:val="20"/>
                <w:szCs w:val="20"/>
              </w:rPr>
            </w:pPr>
          </w:p>
          <w:p w:rsidR="00F07E05" w:rsidRPr="00E63FE7" w:rsidRDefault="00F07E05" w:rsidP="008A253E">
            <w:pPr>
              <w:jc w:val="center"/>
              <w:rPr>
                <w:b/>
                <w:sz w:val="20"/>
                <w:szCs w:val="20"/>
              </w:rPr>
            </w:pPr>
          </w:p>
          <w:p w:rsidR="00F07E05" w:rsidRPr="00E63FE7" w:rsidRDefault="00F07E05" w:rsidP="008A253E">
            <w:pPr>
              <w:jc w:val="center"/>
              <w:rPr>
                <w:b/>
                <w:sz w:val="20"/>
                <w:szCs w:val="20"/>
              </w:rPr>
            </w:pPr>
            <w:r w:rsidRPr="00E63FE7">
              <w:rPr>
                <w:b/>
                <w:sz w:val="20"/>
                <w:szCs w:val="20"/>
              </w:rPr>
              <w:t>000</w:t>
            </w:r>
            <w:r w:rsidRPr="00E63FE7">
              <w:rPr>
                <w:b/>
                <w:sz w:val="20"/>
                <w:szCs w:val="20"/>
                <w:lang w:val="en-US"/>
              </w:rPr>
              <w:t xml:space="preserve"> 1 13 0</w:t>
            </w:r>
            <w:r w:rsidRPr="00E63FE7">
              <w:rPr>
                <w:b/>
                <w:sz w:val="20"/>
                <w:szCs w:val="20"/>
              </w:rPr>
              <w:t>200</w:t>
            </w:r>
            <w:r w:rsidRPr="00E63FE7">
              <w:rPr>
                <w:b/>
                <w:sz w:val="20"/>
                <w:szCs w:val="20"/>
                <w:lang w:val="en-US"/>
              </w:rPr>
              <w:t>0 0</w:t>
            </w:r>
            <w:r w:rsidRPr="00E63FE7">
              <w:rPr>
                <w:b/>
                <w:sz w:val="20"/>
                <w:szCs w:val="20"/>
              </w:rPr>
              <w:t>0</w:t>
            </w:r>
            <w:r w:rsidRPr="00E63FE7">
              <w:rPr>
                <w:b/>
                <w:sz w:val="20"/>
                <w:szCs w:val="20"/>
                <w:lang w:val="en-US"/>
              </w:rPr>
              <w:t xml:space="preserve"> 000</w:t>
            </w:r>
            <w:r w:rsidRPr="00E63FE7">
              <w:rPr>
                <w:b/>
                <w:sz w:val="20"/>
                <w:szCs w:val="20"/>
              </w:rPr>
              <w:t>0 130</w:t>
            </w:r>
          </w:p>
          <w:p w:rsidR="00F07E05" w:rsidRPr="00E63FE7" w:rsidRDefault="00F07E05" w:rsidP="008A253E">
            <w:pPr>
              <w:rPr>
                <w:b/>
                <w:sz w:val="20"/>
                <w:szCs w:val="20"/>
              </w:rPr>
            </w:pPr>
          </w:p>
          <w:p w:rsidR="00F07E05" w:rsidRPr="00E63FE7" w:rsidRDefault="00F07E05" w:rsidP="008A253E">
            <w:pPr>
              <w:jc w:val="right"/>
              <w:rPr>
                <w:b/>
                <w:sz w:val="20"/>
                <w:szCs w:val="20"/>
              </w:rPr>
            </w:pPr>
          </w:p>
        </w:tc>
        <w:tc>
          <w:tcPr>
            <w:tcW w:w="2520" w:type="dxa"/>
            <w:tcBorders>
              <w:top w:val="single" w:sz="4" w:space="0" w:color="auto"/>
              <w:left w:val="single" w:sz="4" w:space="0" w:color="auto"/>
              <w:bottom w:val="single" w:sz="4" w:space="0" w:color="auto"/>
              <w:right w:val="single" w:sz="4" w:space="0" w:color="auto"/>
            </w:tcBorders>
          </w:tcPr>
          <w:p w:rsidR="00F07E05" w:rsidRPr="00E63FE7" w:rsidRDefault="00F07E05" w:rsidP="008A253E">
            <w:pPr>
              <w:rPr>
                <w:b/>
                <w:sz w:val="20"/>
                <w:szCs w:val="20"/>
              </w:rPr>
            </w:pPr>
          </w:p>
          <w:p w:rsidR="00F07E05" w:rsidRPr="00E63FE7" w:rsidRDefault="00F07E05" w:rsidP="008A253E">
            <w:pPr>
              <w:rPr>
                <w:b/>
                <w:sz w:val="20"/>
                <w:szCs w:val="20"/>
              </w:rPr>
            </w:pPr>
            <w:r w:rsidRPr="00E63FE7">
              <w:rPr>
                <w:b/>
                <w:sz w:val="20"/>
                <w:szCs w:val="20"/>
              </w:rPr>
              <w:t xml:space="preserve">Доходы от компенсации затрат государства </w:t>
            </w:r>
          </w:p>
        </w:tc>
        <w:tc>
          <w:tcPr>
            <w:tcW w:w="1620" w:type="dxa"/>
            <w:tcBorders>
              <w:top w:val="single" w:sz="4" w:space="0" w:color="auto"/>
              <w:left w:val="single" w:sz="4" w:space="0" w:color="auto"/>
              <w:bottom w:val="single" w:sz="4" w:space="0" w:color="auto"/>
              <w:right w:val="single" w:sz="4" w:space="0" w:color="auto"/>
            </w:tcBorders>
            <w:noWrap/>
          </w:tcPr>
          <w:p w:rsidR="00F07E05" w:rsidRDefault="00F07E05" w:rsidP="008A253E">
            <w:pPr>
              <w:pStyle w:val="a7"/>
              <w:ind w:left="0"/>
              <w:jc w:val="center"/>
              <w:rPr>
                <w:b/>
                <w:sz w:val="20"/>
                <w:szCs w:val="20"/>
              </w:rPr>
            </w:pPr>
          </w:p>
          <w:p w:rsidR="0018156C" w:rsidRPr="00E63FE7" w:rsidRDefault="0018156C" w:rsidP="008A253E">
            <w:pPr>
              <w:pStyle w:val="a7"/>
              <w:ind w:left="0"/>
              <w:jc w:val="center"/>
              <w:rPr>
                <w:b/>
                <w:sz w:val="20"/>
                <w:szCs w:val="20"/>
              </w:rPr>
            </w:pPr>
            <w:r>
              <w:rPr>
                <w:b/>
                <w:sz w:val="20"/>
                <w:szCs w:val="20"/>
              </w:rPr>
              <w:t>2 280 010,8</w:t>
            </w:r>
          </w:p>
        </w:tc>
        <w:tc>
          <w:tcPr>
            <w:tcW w:w="1440" w:type="dxa"/>
            <w:tcBorders>
              <w:top w:val="single" w:sz="4" w:space="0" w:color="auto"/>
              <w:left w:val="single" w:sz="4" w:space="0" w:color="auto"/>
              <w:bottom w:val="single" w:sz="4" w:space="0" w:color="auto"/>
              <w:right w:val="single" w:sz="4" w:space="0" w:color="auto"/>
            </w:tcBorders>
            <w:noWrap/>
          </w:tcPr>
          <w:p w:rsidR="00F07E05" w:rsidRDefault="00F07E05" w:rsidP="008A253E">
            <w:pPr>
              <w:pStyle w:val="a7"/>
              <w:ind w:left="0"/>
              <w:jc w:val="center"/>
              <w:rPr>
                <w:b/>
                <w:sz w:val="20"/>
                <w:szCs w:val="20"/>
              </w:rPr>
            </w:pPr>
          </w:p>
          <w:p w:rsidR="0018156C" w:rsidRPr="00E63FE7" w:rsidRDefault="0018156C" w:rsidP="008A253E">
            <w:pPr>
              <w:pStyle w:val="a7"/>
              <w:ind w:left="0"/>
              <w:jc w:val="center"/>
              <w:rPr>
                <w:b/>
                <w:sz w:val="20"/>
                <w:szCs w:val="20"/>
              </w:rPr>
            </w:pPr>
            <w:r>
              <w:rPr>
                <w:b/>
                <w:sz w:val="20"/>
                <w:szCs w:val="20"/>
              </w:rPr>
              <w:t>2 124 642,7</w:t>
            </w:r>
          </w:p>
        </w:tc>
        <w:tc>
          <w:tcPr>
            <w:tcW w:w="1606" w:type="dxa"/>
            <w:tcBorders>
              <w:top w:val="single" w:sz="4" w:space="0" w:color="auto"/>
              <w:left w:val="single" w:sz="4" w:space="0" w:color="auto"/>
              <w:bottom w:val="single" w:sz="4" w:space="0" w:color="auto"/>
              <w:right w:val="single" w:sz="4" w:space="0" w:color="auto"/>
            </w:tcBorders>
            <w:noWrap/>
          </w:tcPr>
          <w:p w:rsidR="00F07E05" w:rsidRDefault="00F07E05" w:rsidP="008A253E">
            <w:pPr>
              <w:pStyle w:val="a7"/>
              <w:ind w:left="0"/>
              <w:jc w:val="center"/>
              <w:rPr>
                <w:b/>
                <w:sz w:val="20"/>
                <w:szCs w:val="20"/>
              </w:rPr>
            </w:pPr>
          </w:p>
          <w:p w:rsidR="0018156C" w:rsidRPr="00E63FE7" w:rsidRDefault="0018156C" w:rsidP="008A253E">
            <w:pPr>
              <w:pStyle w:val="a7"/>
              <w:ind w:left="0"/>
              <w:jc w:val="center"/>
              <w:rPr>
                <w:b/>
                <w:sz w:val="20"/>
                <w:szCs w:val="20"/>
              </w:rPr>
            </w:pPr>
            <w:r>
              <w:rPr>
                <w:b/>
                <w:sz w:val="20"/>
                <w:szCs w:val="20"/>
              </w:rPr>
              <w:t>2 724 157,96</w:t>
            </w:r>
          </w:p>
        </w:tc>
      </w:tr>
      <w:tr w:rsidR="00F07E05" w:rsidRPr="00C93A58" w:rsidTr="008A253E">
        <w:trPr>
          <w:trHeight w:val="837"/>
        </w:trPr>
        <w:tc>
          <w:tcPr>
            <w:tcW w:w="2520" w:type="dxa"/>
            <w:tcBorders>
              <w:top w:val="single" w:sz="4" w:space="0" w:color="auto"/>
              <w:left w:val="single" w:sz="4" w:space="0" w:color="auto"/>
              <w:bottom w:val="single" w:sz="4" w:space="0" w:color="auto"/>
              <w:right w:val="single" w:sz="4" w:space="0" w:color="auto"/>
            </w:tcBorders>
            <w:noWrap/>
          </w:tcPr>
          <w:p w:rsidR="00F07E05" w:rsidRPr="00C93A58" w:rsidRDefault="00F07E05" w:rsidP="008A253E">
            <w:pPr>
              <w:jc w:val="center"/>
              <w:rPr>
                <w:sz w:val="20"/>
                <w:szCs w:val="20"/>
              </w:rPr>
            </w:pPr>
          </w:p>
          <w:p w:rsidR="00F07E05" w:rsidRPr="00C93A58" w:rsidRDefault="00F07E05" w:rsidP="008A253E">
            <w:pPr>
              <w:jc w:val="center"/>
              <w:rPr>
                <w:sz w:val="20"/>
                <w:szCs w:val="20"/>
              </w:rPr>
            </w:pPr>
          </w:p>
          <w:p w:rsidR="00F07E05" w:rsidRPr="00C93A58" w:rsidRDefault="00F07E05" w:rsidP="008A253E">
            <w:pPr>
              <w:jc w:val="center"/>
              <w:rPr>
                <w:sz w:val="20"/>
                <w:szCs w:val="20"/>
              </w:rPr>
            </w:pPr>
            <w:r w:rsidRPr="00C93A58">
              <w:rPr>
                <w:sz w:val="20"/>
                <w:szCs w:val="20"/>
              </w:rPr>
              <w:t>000</w:t>
            </w:r>
            <w:r w:rsidRPr="00C93A58">
              <w:rPr>
                <w:sz w:val="20"/>
                <w:szCs w:val="20"/>
                <w:lang w:val="en-US"/>
              </w:rPr>
              <w:t xml:space="preserve"> 1 13 0</w:t>
            </w:r>
            <w:r w:rsidRPr="00C93A58">
              <w:rPr>
                <w:sz w:val="20"/>
                <w:szCs w:val="20"/>
              </w:rPr>
              <w:t>2990</w:t>
            </w:r>
            <w:r w:rsidRPr="00C93A58">
              <w:rPr>
                <w:sz w:val="20"/>
                <w:szCs w:val="20"/>
                <w:lang w:val="en-US"/>
              </w:rPr>
              <w:t xml:space="preserve"> 0</w:t>
            </w:r>
            <w:r w:rsidRPr="00C93A58">
              <w:rPr>
                <w:sz w:val="20"/>
                <w:szCs w:val="20"/>
              </w:rPr>
              <w:t>0</w:t>
            </w:r>
            <w:r w:rsidRPr="00C93A58">
              <w:rPr>
                <w:sz w:val="20"/>
                <w:szCs w:val="20"/>
                <w:lang w:val="en-US"/>
              </w:rPr>
              <w:t xml:space="preserve"> 0</w:t>
            </w:r>
            <w:r w:rsidRPr="00C93A58">
              <w:rPr>
                <w:sz w:val="20"/>
                <w:szCs w:val="20"/>
              </w:rPr>
              <w:t>000 130</w:t>
            </w:r>
          </w:p>
        </w:tc>
        <w:tc>
          <w:tcPr>
            <w:tcW w:w="2520" w:type="dxa"/>
            <w:tcBorders>
              <w:top w:val="single" w:sz="4" w:space="0" w:color="auto"/>
              <w:left w:val="single" w:sz="4" w:space="0" w:color="auto"/>
              <w:bottom w:val="single" w:sz="4" w:space="0" w:color="auto"/>
              <w:right w:val="single" w:sz="4" w:space="0" w:color="auto"/>
            </w:tcBorders>
          </w:tcPr>
          <w:p w:rsidR="00F07E05" w:rsidRPr="00C93A58" w:rsidRDefault="00F07E05" w:rsidP="008A253E">
            <w:pPr>
              <w:rPr>
                <w:sz w:val="20"/>
                <w:szCs w:val="20"/>
              </w:rPr>
            </w:pPr>
          </w:p>
          <w:p w:rsidR="00F07E05" w:rsidRPr="00C93A58" w:rsidRDefault="00F07E05" w:rsidP="008A253E">
            <w:pPr>
              <w:rPr>
                <w:sz w:val="20"/>
                <w:szCs w:val="20"/>
              </w:rPr>
            </w:pPr>
            <w:r w:rsidRPr="00C93A58">
              <w:rPr>
                <w:sz w:val="20"/>
                <w:szCs w:val="20"/>
              </w:rPr>
              <w:t xml:space="preserve">Прочие доходы от компенсации затрат государства </w:t>
            </w:r>
          </w:p>
        </w:tc>
        <w:tc>
          <w:tcPr>
            <w:tcW w:w="1620" w:type="dxa"/>
            <w:tcBorders>
              <w:top w:val="single" w:sz="4" w:space="0" w:color="auto"/>
              <w:left w:val="single" w:sz="4" w:space="0" w:color="auto"/>
              <w:bottom w:val="single" w:sz="4" w:space="0" w:color="auto"/>
              <w:right w:val="single" w:sz="4" w:space="0" w:color="auto"/>
            </w:tcBorders>
            <w:noWrap/>
          </w:tcPr>
          <w:p w:rsidR="00F07E05" w:rsidRDefault="00F07E05" w:rsidP="008A253E">
            <w:pPr>
              <w:pStyle w:val="a7"/>
              <w:ind w:left="0"/>
              <w:jc w:val="center"/>
              <w:rPr>
                <w:sz w:val="20"/>
                <w:szCs w:val="20"/>
              </w:rPr>
            </w:pPr>
          </w:p>
          <w:p w:rsidR="00845C97" w:rsidRPr="00C93A58" w:rsidRDefault="00845C97" w:rsidP="008A253E">
            <w:pPr>
              <w:pStyle w:val="a7"/>
              <w:ind w:left="0"/>
              <w:jc w:val="center"/>
              <w:rPr>
                <w:sz w:val="20"/>
                <w:szCs w:val="20"/>
              </w:rPr>
            </w:pPr>
            <w:r>
              <w:rPr>
                <w:sz w:val="20"/>
                <w:szCs w:val="20"/>
              </w:rPr>
              <w:t>2 273 502,7</w:t>
            </w:r>
          </w:p>
        </w:tc>
        <w:tc>
          <w:tcPr>
            <w:tcW w:w="1440" w:type="dxa"/>
            <w:tcBorders>
              <w:top w:val="single" w:sz="4" w:space="0" w:color="auto"/>
              <w:left w:val="single" w:sz="4" w:space="0" w:color="auto"/>
              <w:bottom w:val="single" w:sz="4" w:space="0" w:color="auto"/>
              <w:right w:val="single" w:sz="4" w:space="0" w:color="auto"/>
            </w:tcBorders>
            <w:noWrap/>
          </w:tcPr>
          <w:p w:rsidR="0018156C" w:rsidRDefault="0018156C" w:rsidP="008A253E">
            <w:pPr>
              <w:pStyle w:val="a7"/>
              <w:ind w:left="0"/>
              <w:jc w:val="center"/>
              <w:rPr>
                <w:sz w:val="20"/>
                <w:szCs w:val="20"/>
              </w:rPr>
            </w:pPr>
          </w:p>
          <w:p w:rsidR="00845C97" w:rsidRPr="00C93A58" w:rsidRDefault="00845C97" w:rsidP="008A253E">
            <w:pPr>
              <w:pStyle w:val="a7"/>
              <w:ind w:left="0"/>
              <w:jc w:val="center"/>
              <w:rPr>
                <w:sz w:val="20"/>
                <w:szCs w:val="20"/>
              </w:rPr>
            </w:pPr>
            <w:r>
              <w:rPr>
                <w:sz w:val="20"/>
                <w:szCs w:val="20"/>
              </w:rPr>
              <w:t>2 117 993,6</w:t>
            </w:r>
          </w:p>
        </w:tc>
        <w:tc>
          <w:tcPr>
            <w:tcW w:w="1606" w:type="dxa"/>
            <w:tcBorders>
              <w:top w:val="single" w:sz="4" w:space="0" w:color="auto"/>
              <w:left w:val="single" w:sz="4" w:space="0" w:color="auto"/>
              <w:bottom w:val="single" w:sz="4" w:space="0" w:color="auto"/>
              <w:right w:val="single" w:sz="4" w:space="0" w:color="auto"/>
            </w:tcBorders>
            <w:noWrap/>
          </w:tcPr>
          <w:p w:rsidR="0018156C" w:rsidRDefault="0018156C" w:rsidP="008A253E">
            <w:pPr>
              <w:pStyle w:val="a7"/>
              <w:ind w:left="0"/>
              <w:jc w:val="center"/>
              <w:rPr>
                <w:sz w:val="20"/>
                <w:szCs w:val="20"/>
              </w:rPr>
            </w:pPr>
          </w:p>
          <w:p w:rsidR="00845C97" w:rsidRPr="00C93A58" w:rsidRDefault="00845C97" w:rsidP="008A253E">
            <w:pPr>
              <w:pStyle w:val="a7"/>
              <w:ind w:left="0"/>
              <w:jc w:val="center"/>
              <w:rPr>
                <w:sz w:val="20"/>
                <w:szCs w:val="20"/>
              </w:rPr>
            </w:pPr>
            <w:r>
              <w:rPr>
                <w:sz w:val="20"/>
                <w:szCs w:val="20"/>
              </w:rPr>
              <w:t>2 717 360,7</w:t>
            </w:r>
          </w:p>
        </w:tc>
      </w:tr>
    </w:tbl>
    <w:p w:rsidR="00F07E05" w:rsidRPr="00C93A58" w:rsidRDefault="00F07E05" w:rsidP="00F07E05">
      <w:pPr>
        <w:jc w:val="center"/>
      </w:pPr>
    </w:p>
    <w:p w:rsidR="00F07E05" w:rsidRPr="00C95882" w:rsidRDefault="00F07E05" w:rsidP="00F07E05">
      <w:pPr>
        <w:pStyle w:val="21"/>
        <w:jc w:val="center"/>
        <w:rPr>
          <w:b/>
        </w:rPr>
      </w:pPr>
      <w:r w:rsidRPr="00C95882">
        <w:rPr>
          <w:b/>
        </w:rPr>
        <w:t>Правительство Тверской области</w:t>
      </w:r>
    </w:p>
    <w:p w:rsidR="00F07E05" w:rsidRPr="00E63FE7" w:rsidRDefault="00F07E05" w:rsidP="00F07E05">
      <w:pPr>
        <w:pStyle w:val="21"/>
        <w:jc w:val="right"/>
      </w:pPr>
      <w:r w:rsidRPr="00E63FE7">
        <w:t>тыс.</w:t>
      </w:r>
      <w:r>
        <w:t xml:space="preserve"> </w:t>
      </w:r>
      <w:r w:rsidRPr="00E63FE7">
        <w:t>руб</w:t>
      </w:r>
      <w:r>
        <w:t>.</w:t>
      </w:r>
    </w:p>
    <w:p w:rsidR="00F07E05" w:rsidRDefault="00F07E05" w:rsidP="00F07E05">
      <w:pPr>
        <w:pStyle w:val="21"/>
        <w:jc w:val="center"/>
        <w:rPr>
          <w:b/>
        </w:rPr>
      </w:pPr>
    </w:p>
    <w:tbl>
      <w:tblPr>
        <w:tblW w:w="9706" w:type="dxa"/>
        <w:tblInd w:w="-72" w:type="dxa"/>
        <w:tblLayout w:type="fixed"/>
        <w:tblLook w:val="0000" w:firstRow="0" w:lastRow="0" w:firstColumn="0" w:lastColumn="0" w:noHBand="0" w:noVBand="0"/>
      </w:tblPr>
      <w:tblGrid>
        <w:gridCol w:w="2520"/>
        <w:gridCol w:w="2520"/>
        <w:gridCol w:w="1620"/>
        <w:gridCol w:w="1440"/>
        <w:gridCol w:w="1606"/>
      </w:tblGrid>
      <w:tr w:rsidR="00F07E05" w:rsidRPr="00C93A58" w:rsidTr="008A253E">
        <w:trPr>
          <w:trHeight w:val="474"/>
        </w:trPr>
        <w:tc>
          <w:tcPr>
            <w:tcW w:w="2520" w:type="dxa"/>
            <w:tcBorders>
              <w:top w:val="single" w:sz="4" w:space="0" w:color="auto"/>
              <w:left w:val="single" w:sz="4" w:space="0" w:color="auto"/>
              <w:bottom w:val="single" w:sz="4" w:space="0" w:color="auto"/>
              <w:right w:val="single" w:sz="4" w:space="0" w:color="auto"/>
            </w:tcBorders>
            <w:noWrap/>
            <w:vAlign w:val="bottom"/>
          </w:tcPr>
          <w:p w:rsidR="00F07E05" w:rsidRDefault="00F07E05" w:rsidP="008A253E">
            <w:pPr>
              <w:jc w:val="center"/>
              <w:rPr>
                <w:b/>
              </w:rPr>
            </w:pPr>
            <w:r w:rsidRPr="00C93A58">
              <w:rPr>
                <w:b/>
              </w:rPr>
              <w:t>Код БК</w:t>
            </w:r>
          </w:p>
          <w:p w:rsidR="00F07E05" w:rsidRDefault="00F07E05" w:rsidP="008A253E">
            <w:pPr>
              <w:jc w:val="center"/>
              <w:rPr>
                <w:b/>
              </w:rPr>
            </w:pPr>
          </w:p>
          <w:p w:rsidR="00F07E05" w:rsidRDefault="00F07E05" w:rsidP="008A253E">
            <w:pPr>
              <w:jc w:val="center"/>
              <w:rPr>
                <w:b/>
              </w:rPr>
            </w:pPr>
          </w:p>
          <w:p w:rsidR="00F07E05" w:rsidRPr="00C93A58" w:rsidRDefault="00F07E05" w:rsidP="008A253E">
            <w:pPr>
              <w:jc w:val="center"/>
              <w:rPr>
                <w:b/>
              </w:rPr>
            </w:pPr>
          </w:p>
        </w:tc>
        <w:tc>
          <w:tcPr>
            <w:tcW w:w="2520" w:type="dxa"/>
            <w:tcBorders>
              <w:top w:val="single" w:sz="4" w:space="0" w:color="auto"/>
              <w:left w:val="single" w:sz="4" w:space="0" w:color="auto"/>
              <w:bottom w:val="single" w:sz="4" w:space="0" w:color="auto"/>
              <w:right w:val="single" w:sz="4" w:space="0" w:color="auto"/>
            </w:tcBorders>
            <w:noWrap/>
            <w:vAlign w:val="bottom"/>
          </w:tcPr>
          <w:p w:rsidR="00F07E05" w:rsidRDefault="00F07E05" w:rsidP="008A253E">
            <w:pPr>
              <w:jc w:val="center"/>
              <w:rPr>
                <w:b/>
              </w:rPr>
            </w:pPr>
            <w:r w:rsidRPr="00C93A58">
              <w:rPr>
                <w:b/>
              </w:rPr>
              <w:t>Наименование</w:t>
            </w:r>
          </w:p>
          <w:p w:rsidR="00F07E05" w:rsidRDefault="00F07E05" w:rsidP="008A253E">
            <w:pPr>
              <w:jc w:val="center"/>
              <w:rPr>
                <w:b/>
              </w:rPr>
            </w:pPr>
          </w:p>
          <w:p w:rsidR="00F07E05" w:rsidRDefault="00F07E05" w:rsidP="008A253E">
            <w:pPr>
              <w:jc w:val="center"/>
              <w:rPr>
                <w:b/>
              </w:rPr>
            </w:pPr>
          </w:p>
          <w:p w:rsidR="00F07E05" w:rsidRPr="00C93A58" w:rsidRDefault="00F07E05" w:rsidP="008A253E">
            <w:pPr>
              <w:jc w:val="center"/>
              <w:rPr>
                <w:b/>
              </w:rPr>
            </w:pPr>
          </w:p>
        </w:tc>
        <w:tc>
          <w:tcPr>
            <w:tcW w:w="1620" w:type="dxa"/>
            <w:tcBorders>
              <w:top w:val="single" w:sz="4" w:space="0" w:color="auto"/>
              <w:left w:val="single" w:sz="4" w:space="0" w:color="auto"/>
              <w:bottom w:val="single" w:sz="4" w:space="0" w:color="auto"/>
              <w:right w:val="single" w:sz="4" w:space="0" w:color="auto"/>
            </w:tcBorders>
            <w:vAlign w:val="bottom"/>
          </w:tcPr>
          <w:p w:rsidR="00F07E05" w:rsidRPr="00C93A58" w:rsidRDefault="00F07E05" w:rsidP="008A253E">
            <w:pPr>
              <w:jc w:val="center"/>
              <w:rPr>
                <w:b/>
                <w:sz w:val="20"/>
                <w:szCs w:val="20"/>
              </w:rPr>
            </w:pPr>
            <w:r w:rsidRPr="00C93A58">
              <w:rPr>
                <w:b/>
                <w:sz w:val="20"/>
                <w:szCs w:val="20"/>
              </w:rPr>
              <w:t>Прогноз на</w:t>
            </w:r>
          </w:p>
          <w:p w:rsidR="00F07E05" w:rsidRPr="00C93A58" w:rsidRDefault="00F07E05" w:rsidP="008A253E">
            <w:pPr>
              <w:jc w:val="center"/>
              <w:rPr>
                <w:b/>
                <w:sz w:val="20"/>
                <w:szCs w:val="20"/>
              </w:rPr>
            </w:pPr>
            <w:r w:rsidRPr="00C93A58">
              <w:rPr>
                <w:b/>
                <w:sz w:val="20"/>
                <w:szCs w:val="20"/>
              </w:rPr>
              <w:t>20</w:t>
            </w:r>
            <w:r>
              <w:rPr>
                <w:b/>
                <w:sz w:val="20"/>
                <w:szCs w:val="20"/>
              </w:rPr>
              <w:t xml:space="preserve">22 </w:t>
            </w:r>
            <w:r w:rsidRPr="00C93A58">
              <w:rPr>
                <w:b/>
                <w:sz w:val="20"/>
                <w:szCs w:val="20"/>
              </w:rPr>
              <w:t>год</w:t>
            </w:r>
          </w:p>
          <w:p w:rsidR="00F07E05" w:rsidRDefault="00F07E05" w:rsidP="008A253E">
            <w:pPr>
              <w:jc w:val="center"/>
              <w:rPr>
                <w:b/>
                <w:sz w:val="20"/>
                <w:szCs w:val="20"/>
              </w:rPr>
            </w:pPr>
          </w:p>
          <w:p w:rsidR="00F07E05" w:rsidRPr="00C93A58" w:rsidRDefault="00F07E05" w:rsidP="008A253E">
            <w:pPr>
              <w:jc w:val="center"/>
              <w:rPr>
                <w:b/>
                <w:sz w:val="20"/>
                <w:szCs w:val="20"/>
              </w:rPr>
            </w:pPr>
          </w:p>
          <w:p w:rsidR="00F07E05" w:rsidRPr="00C93A58" w:rsidRDefault="00F07E05" w:rsidP="008A253E">
            <w:pPr>
              <w:jc w:val="center"/>
              <w:rPr>
                <w:b/>
                <w:sz w:val="20"/>
                <w:szCs w:val="20"/>
              </w:rPr>
            </w:pPr>
          </w:p>
        </w:tc>
        <w:tc>
          <w:tcPr>
            <w:tcW w:w="1440" w:type="dxa"/>
            <w:tcBorders>
              <w:top w:val="single" w:sz="4" w:space="0" w:color="auto"/>
              <w:left w:val="single" w:sz="4" w:space="0" w:color="auto"/>
              <w:bottom w:val="single" w:sz="4" w:space="0" w:color="auto"/>
              <w:right w:val="single" w:sz="4" w:space="0" w:color="auto"/>
            </w:tcBorders>
            <w:vAlign w:val="bottom"/>
          </w:tcPr>
          <w:p w:rsidR="00F07E05" w:rsidRPr="00C93A58" w:rsidRDefault="00F07E05" w:rsidP="008A253E">
            <w:pPr>
              <w:jc w:val="center"/>
              <w:rPr>
                <w:b/>
                <w:sz w:val="20"/>
                <w:szCs w:val="20"/>
              </w:rPr>
            </w:pPr>
            <w:r w:rsidRPr="00C93A58">
              <w:rPr>
                <w:b/>
                <w:sz w:val="20"/>
                <w:szCs w:val="20"/>
              </w:rPr>
              <w:t>Прогноз на</w:t>
            </w:r>
          </w:p>
          <w:p w:rsidR="00F07E05" w:rsidRPr="00C93A58" w:rsidRDefault="00F07E05" w:rsidP="008A253E">
            <w:pPr>
              <w:jc w:val="center"/>
              <w:rPr>
                <w:b/>
                <w:sz w:val="20"/>
                <w:szCs w:val="20"/>
              </w:rPr>
            </w:pPr>
            <w:r w:rsidRPr="00C93A58">
              <w:rPr>
                <w:b/>
                <w:sz w:val="20"/>
                <w:szCs w:val="20"/>
              </w:rPr>
              <w:t>20</w:t>
            </w:r>
            <w:r>
              <w:rPr>
                <w:b/>
                <w:sz w:val="20"/>
                <w:szCs w:val="20"/>
              </w:rPr>
              <w:t xml:space="preserve">23 </w:t>
            </w:r>
            <w:r w:rsidRPr="00C93A58">
              <w:rPr>
                <w:b/>
                <w:sz w:val="20"/>
                <w:szCs w:val="20"/>
              </w:rPr>
              <w:t>год</w:t>
            </w:r>
          </w:p>
          <w:p w:rsidR="00F07E05" w:rsidRPr="00C93A58" w:rsidRDefault="00F07E05" w:rsidP="008A253E">
            <w:pPr>
              <w:jc w:val="center"/>
              <w:rPr>
                <w:b/>
                <w:sz w:val="20"/>
                <w:szCs w:val="20"/>
              </w:rPr>
            </w:pPr>
          </w:p>
          <w:p w:rsidR="00F07E05" w:rsidRPr="00C93A58" w:rsidRDefault="00F07E05" w:rsidP="008A253E">
            <w:pPr>
              <w:jc w:val="center"/>
              <w:rPr>
                <w:b/>
                <w:sz w:val="20"/>
                <w:szCs w:val="20"/>
              </w:rPr>
            </w:pPr>
          </w:p>
          <w:p w:rsidR="00F07E05" w:rsidRPr="00C93A58" w:rsidRDefault="00F07E05" w:rsidP="008A253E">
            <w:pPr>
              <w:jc w:val="center"/>
              <w:rPr>
                <w:b/>
                <w:sz w:val="20"/>
                <w:szCs w:val="20"/>
              </w:rPr>
            </w:pPr>
          </w:p>
        </w:tc>
        <w:tc>
          <w:tcPr>
            <w:tcW w:w="1606" w:type="dxa"/>
            <w:tcBorders>
              <w:top w:val="single" w:sz="4" w:space="0" w:color="auto"/>
              <w:left w:val="single" w:sz="4" w:space="0" w:color="auto"/>
              <w:bottom w:val="single" w:sz="4" w:space="0" w:color="auto"/>
              <w:right w:val="single" w:sz="4" w:space="0" w:color="auto"/>
            </w:tcBorders>
            <w:vAlign w:val="bottom"/>
          </w:tcPr>
          <w:p w:rsidR="00F07E05" w:rsidRPr="00C93A58" w:rsidRDefault="00F07E05" w:rsidP="008A253E">
            <w:pPr>
              <w:jc w:val="center"/>
              <w:rPr>
                <w:b/>
                <w:sz w:val="20"/>
                <w:szCs w:val="20"/>
              </w:rPr>
            </w:pPr>
            <w:r w:rsidRPr="00C93A58">
              <w:rPr>
                <w:b/>
                <w:sz w:val="20"/>
                <w:szCs w:val="20"/>
              </w:rPr>
              <w:t>Прогноз на</w:t>
            </w:r>
          </w:p>
          <w:p w:rsidR="00F07E05" w:rsidRDefault="00F07E05" w:rsidP="008A253E">
            <w:pPr>
              <w:jc w:val="center"/>
              <w:rPr>
                <w:b/>
                <w:sz w:val="20"/>
                <w:szCs w:val="20"/>
              </w:rPr>
            </w:pPr>
            <w:r w:rsidRPr="00C93A58">
              <w:rPr>
                <w:b/>
                <w:sz w:val="20"/>
                <w:szCs w:val="20"/>
              </w:rPr>
              <w:t>20</w:t>
            </w:r>
            <w:r>
              <w:rPr>
                <w:b/>
                <w:sz w:val="20"/>
                <w:szCs w:val="20"/>
              </w:rPr>
              <w:t xml:space="preserve">24 </w:t>
            </w:r>
            <w:r w:rsidRPr="00C93A58">
              <w:rPr>
                <w:b/>
                <w:sz w:val="20"/>
                <w:szCs w:val="20"/>
              </w:rPr>
              <w:t>год</w:t>
            </w:r>
          </w:p>
          <w:p w:rsidR="00F07E05" w:rsidRDefault="00F07E05" w:rsidP="008A253E">
            <w:pPr>
              <w:jc w:val="center"/>
              <w:rPr>
                <w:b/>
                <w:sz w:val="20"/>
                <w:szCs w:val="20"/>
              </w:rPr>
            </w:pPr>
          </w:p>
          <w:p w:rsidR="00F07E05" w:rsidRDefault="00F07E05" w:rsidP="008A253E">
            <w:pPr>
              <w:jc w:val="center"/>
              <w:rPr>
                <w:b/>
                <w:sz w:val="20"/>
                <w:szCs w:val="20"/>
              </w:rPr>
            </w:pPr>
          </w:p>
          <w:p w:rsidR="00F07E05" w:rsidRPr="00C93A58" w:rsidRDefault="00F07E05" w:rsidP="008A253E">
            <w:pPr>
              <w:jc w:val="center"/>
              <w:rPr>
                <w:b/>
                <w:sz w:val="20"/>
                <w:szCs w:val="20"/>
              </w:rPr>
            </w:pPr>
          </w:p>
        </w:tc>
      </w:tr>
      <w:tr w:rsidR="00F07E05" w:rsidRPr="00C93A58" w:rsidTr="008A253E">
        <w:trPr>
          <w:trHeight w:val="837"/>
        </w:trPr>
        <w:tc>
          <w:tcPr>
            <w:tcW w:w="2520" w:type="dxa"/>
            <w:tcBorders>
              <w:top w:val="single" w:sz="4" w:space="0" w:color="auto"/>
              <w:left w:val="single" w:sz="4" w:space="0" w:color="auto"/>
              <w:bottom w:val="single" w:sz="4" w:space="0" w:color="auto"/>
              <w:right w:val="single" w:sz="4" w:space="0" w:color="auto"/>
            </w:tcBorders>
            <w:noWrap/>
          </w:tcPr>
          <w:p w:rsidR="00F07E05" w:rsidRPr="00C93A58" w:rsidRDefault="00F07E05" w:rsidP="008A253E">
            <w:pPr>
              <w:jc w:val="center"/>
              <w:rPr>
                <w:sz w:val="20"/>
                <w:szCs w:val="20"/>
              </w:rPr>
            </w:pPr>
          </w:p>
          <w:p w:rsidR="00F07E05" w:rsidRPr="00C93A58" w:rsidRDefault="00F07E05" w:rsidP="008A253E">
            <w:pPr>
              <w:jc w:val="center"/>
              <w:rPr>
                <w:sz w:val="20"/>
                <w:szCs w:val="20"/>
              </w:rPr>
            </w:pPr>
          </w:p>
          <w:p w:rsidR="00F07E05" w:rsidRPr="00C93A58" w:rsidRDefault="00F07E05" w:rsidP="008A253E">
            <w:pPr>
              <w:jc w:val="center"/>
              <w:rPr>
                <w:sz w:val="20"/>
                <w:szCs w:val="20"/>
              </w:rPr>
            </w:pPr>
            <w:r w:rsidRPr="00C93A58">
              <w:rPr>
                <w:sz w:val="20"/>
                <w:szCs w:val="20"/>
              </w:rPr>
              <w:t>000</w:t>
            </w:r>
            <w:r w:rsidRPr="00C93A58">
              <w:rPr>
                <w:sz w:val="20"/>
                <w:szCs w:val="20"/>
                <w:lang w:val="en-US"/>
              </w:rPr>
              <w:t xml:space="preserve"> 1 13 0</w:t>
            </w:r>
            <w:r w:rsidRPr="00C93A58">
              <w:rPr>
                <w:sz w:val="20"/>
                <w:szCs w:val="20"/>
              </w:rPr>
              <w:t>2990</w:t>
            </w:r>
            <w:r w:rsidRPr="00C93A58">
              <w:rPr>
                <w:sz w:val="20"/>
                <w:szCs w:val="20"/>
                <w:lang w:val="en-US"/>
              </w:rPr>
              <w:t xml:space="preserve"> 0</w:t>
            </w:r>
            <w:r w:rsidRPr="00C93A58">
              <w:rPr>
                <w:sz w:val="20"/>
                <w:szCs w:val="20"/>
              </w:rPr>
              <w:t>0</w:t>
            </w:r>
            <w:r w:rsidRPr="00C93A58">
              <w:rPr>
                <w:sz w:val="20"/>
                <w:szCs w:val="20"/>
                <w:lang w:val="en-US"/>
              </w:rPr>
              <w:t xml:space="preserve"> 0</w:t>
            </w:r>
            <w:r w:rsidRPr="00C93A58">
              <w:rPr>
                <w:sz w:val="20"/>
                <w:szCs w:val="20"/>
              </w:rPr>
              <w:t>000 130</w:t>
            </w:r>
          </w:p>
        </w:tc>
        <w:tc>
          <w:tcPr>
            <w:tcW w:w="2520" w:type="dxa"/>
            <w:tcBorders>
              <w:top w:val="single" w:sz="4" w:space="0" w:color="auto"/>
              <w:left w:val="single" w:sz="4" w:space="0" w:color="auto"/>
              <w:bottom w:val="single" w:sz="4" w:space="0" w:color="auto"/>
              <w:right w:val="single" w:sz="4" w:space="0" w:color="auto"/>
            </w:tcBorders>
          </w:tcPr>
          <w:p w:rsidR="00F07E05" w:rsidRPr="00C93A58" w:rsidRDefault="00F07E05" w:rsidP="008A253E">
            <w:pPr>
              <w:rPr>
                <w:sz w:val="20"/>
                <w:szCs w:val="20"/>
              </w:rPr>
            </w:pPr>
          </w:p>
          <w:p w:rsidR="00F07E05" w:rsidRPr="00C93A58" w:rsidRDefault="00F07E05" w:rsidP="008A253E">
            <w:pPr>
              <w:rPr>
                <w:sz w:val="20"/>
                <w:szCs w:val="20"/>
              </w:rPr>
            </w:pPr>
            <w:r w:rsidRPr="00C93A58">
              <w:rPr>
                <w:sz w:val="20"/>
                <w:szCs w:val="20"/>
              </w:rPr>
              <w:t xml:space="preserve">Прочие доходы от компенсации затрат государства </w:t>
            </w:r>
          </w:p>
        </w:tc>
        <w:tc>
          <w:tcPr>
            <w:tcW w:w="1620" w:type="dxa"/>
            <w:tcBorders>
              <w:top w:val="single" w:sz="4" w:space="0" w:color="auto"/>
              <w:left w:val="single" w:sz="4" w:space="0" w:color="auto"/>
              <w:bottom w:val="single" w:sz="4" w:space="0" w:color="auto"/>
              <w:right w:val="single" w:sz="4" w:space="0" w:color="auto"/>
            </w:tcBorders>
            <w:noWrap/>
          </w:tcPr>
          <w:p w:rsidR="00F07E05" w:rsidRDefault="00F07E05" w:rsidP="008A253E">
            <w:pPr>
              <w:pStyle w:val="a7"/>
              <w:ind w:left="0"/>
              <w:jc w:val="center"/>
              <w:rPr>
                <w:sz w:val="20"/>
                <w:szCs w:val="20"/>
              </w:rPr>
            </w:pPr>
          </w:p>
          <w:p w:rsidR="00F07E05" w:rsidRPr="00C93A58" w:rsidRDefault="00F07E05" w:rsidP="008A253E">
            <w:pPr>
              <w:pStyle w:val="a7"/>
              <w:ind w:left="0"/>
              <w:jc w:val="center"/>
              <w:rPr>
                <w:sz w:val="20"/>
                <w:szCs w:val="20"/>
              </w:rPr>
            </w:pPr>
            <w:r>
              <w:rPr>
                <w:sz w:val="20"/>
                <w:szCs w:val="20"/>
              </w:rPr>
              <w:t>1 040,5</w:t>
            </w:r>
          </w:p>
        </w:tc>
        <w:tc>
          <w:tcPr>
            <w:tcW w:w="1440" w:type="dxa"/>
            <w:tcBorders>
              <w:top w:val="single" w:sz="4" w:space="0" w:color="auto"/>
              <w:left w:val="single" w:sz="4" w:space="0" w:color="auto"/>
              <w:bottom w:val="single" w:sz="4" w:space="0" w:color="auto"/>
              <w:right w:val="single" w:sz="4" w:space="0" w:color="auto"/>
            </w:tcBorders>
            <w:noWrap/>
          </w:tcPr>
          <w:p w:rsidR="00F07E05" w:rsidRDefault="00F07E05" w:rsidP="008A253E">
            <w:pPr>
              <w:pStyle w:val="a7"/>
              <w:ind w:left="0"/>
              <w:jc w:val="center"/>
              <w:rPr>
                <w:sz w:val="20"/>
                <w:szCs w:val="20"/>
              </w:rPr>
            </w:pPr>
          </w:p>
          <w:p w:rsidR="00F07E05" w:rsidRPr="00C93A58" w:rsidRDefault="00F07E05" w:rsidP="008A253E">
            <w:pPr>
              <w:pStyle w:val="a7"/>
              <w:ind w:left="0"/>
              <w:jc w:val="center"/>
              <w:rPr>
                <w:sz w:val="20"/>
                <w:szCs w:val="20"/>
              </w:rPr>
            </w:pPr>
            <w:r>
              <w:rPr>
                <w:sz w:val="20"/>
                <w:szCs w:val="20"/>
              </w:rPr>
              <w:t>1 002,0</w:t>
            </w:r>
          </w:p>
        </w:tc>
        <w:tc>
          <w:tcPr>
            <w:tcW w:w="1606" w:type="dxa"/>
            <w:tcBorders>
              <w:top w:val="single" w:sz="4" w:space="0" w:color="auto"/>
              <w:left w:val="single" w:sz="4" w:space="0" w:color="auto"/>
              <w:bottom w:val="single" w:sz="4" w:space="0" w:color="auto"/>
              <w:right w:val="single" w:sz="4" w:space="0" w:color="auto"/>
            </w:tcBorders>
            <w:noWrap/>
          </w:tcPr>
          <w:p w:rsidR="00F07E05" w:rsidRDefault="00F07E05" w:rsidP="008A253E">
            <w:pPr>
              <w:pStyle w:val="a7"/>
              <w:ind w:left="0"/>
              <w:jc w:val="center"/>
              <w:rPr>
                <w:sz w:val="20"/>
                <w:szCs w:val="20"/>
              </w:rPr>
            </w:pPr>
          </w:p>
          <w:p w:rsidR="00F07E05" w:rsidRPr="00C93A58" w:rsidRDefault="00F07E05" w:rsidP="008A253E">
            <w:pPr>
              <w:pStyle w:val="a7"/>
              <w:ind w:left="0"/>
              <w:jc w:val="center"/>
              <w:rPr>
                <w:sz w:val="20"/>
                <w:szCs w:val="20"/>
              </w:rPr>
            </w:pPr>
            <w:r>
              <w:rPr>
                <w:sz w:val="20"/>
                <w:szCs w:val="20"/>
              </w:rPr>
              <w:t>1 033,5</w:t>
            </w:r>
          </w:p>
        </w:tc>
      </w:tr>
    </w:tbl>
    <w:p w:rsidR="00F07E05" w:rsidRDefault="00F07E05" w:rsidP="00F07E05">
      <w:pPr>
        <w:pStyle w:val="21"/>
        <w:jc w:val="center"/>
        <w:rPr>
          <w:b/>
        </w:rPr>
      </w:pPr>
    </w:p>
    <w:p w:rsidR="00F07E05" w:rsidRPr="00C93A58" w:rsidRDefault="00F07E05" w:rsidP="00F07E05">
      <w:pPr>
        <w:pStyle w:val="21"/>
        <w:rPr>
          <w:bCs/>
        </w:rPr>
      </w:pPr>
      <w:r w:rsidRPr="00C93A58">
        <w:rPr>
          <w:bCs/>
        </w:rPr>
        <w:t xml:space="preserve">Приказом Правительства Тверской области от 01.09.2016 № 91 утверждена методика прогнозирования поступлений в бюджет Тверской области доходов, главным администратором которых является Правительство Тверской области. </w:t>
      </w:r>
    </w:p>
    <w:p w:rsidR="00F07E05" w:rsidRDefault="00F07E05" w:rsidP="00F07E05">
      <w:pPr>
        <w:ind w:firstLine="720"/>
        <w:jc w:val="both"/>
        <w:rPr>
          <w:sz w:val="28"/>
          <w:szCs w:val="28"/>
        </w:rPr>
      </w:pPr>
      <w:r w:rsidRPr="00C93A58">
        <w:rPr>
          <w:sz w:val="28"/>
          <w:szCs w:val="28"/>
        </w:rPr>
        <w:t>Расчет прогноза поступлений по данному доходному источнику на очередной финансовый год рассчитан с применением метода усреднения за три года, предшествующих текущему финансовому году</w:t>
      </w:r>
      <w:r>
        <w:rPr>
          <w:sz w:val="28"/>
          <w:szCs w:val="28"/>
        </w:rPr>
        <w:t xml:space="preserve"> исходя из поступлений:</w:t>
      </w:r>
    </w:p>
    <w:p w:rsidR="00F07E05" w:rsidRDefault="00F07E05" w:rsidP="00F07E05">
      <w:pPr>
        <w:ind w:firstLine="720"/>
        <w:jc w:val="both"/>
        <w:rPr>
          <w:sz w:val="28"/>
          <w:szCs w:val="28"/>
        </w:rPr>
      </w:pPr>
      <w:r>
        <w:rPr>
          <w:sz w:val="28"/>
          <w:szCs w:val="28"/>
        </w:rPr>
        <w:t>2019 год – 1 156,2 тыс. руб.;</w:t>
      </w:r>
    </w:p>
    <w:p w:rsidR="00F07E05" w:rsidRDefault="00F07E05" w:rsidP="00F07E05">
      <w:pPr>
        <w:ind w:firstLine="720"/>
        <w:jc w:val="both"/>
        <w:rPr>
          <w:sz w:val="28"/>
          <w:szCs w:val="28"/>
        </w:rPr>
      </w:pPr>
      <w:r>
        <w:rPr>
          <w:sz w:val="28"/>
          <w:szCs w:val="28"/>
        </w:rPr>
        <w:lastRenderedPageBreak/>
        <w:t>2020 год – 907,4 тыс. руб.;</w:t>
      </w:r>
    </w:p>
    <w:p w:rsidR="00F07E05" w:rsidRDefault="00F07E05" w:rsidP="00F07E05">
      <w:pPr>
        <w:ind w:firstLine="720"/>
        <w:jc w:val="both"/>
        <w:rPr>
          <w:sz w:val="28"/>
          <w:szCs w:val="28"/>
        </w:rPr>
      </w:pPr>
      <w:r>
        <w:rPr>
          <w:sz w:val="28"/>
          <w:szCs w:val="28"/>
        </w:rPr>
        <w:t>2021 год (оценка) – 1 057,9 тыс. руб.</w:t>
      </w:r>
    </w:p>
    <w:p w:rsidR="00F07E05" w:rsidRDefault="00F07E05" w:rsidP="00F07E05">
      <w:pPr>
        <w:ind w:firstLine="720"/>
        <w:jc w:val="both"/>
        <w:rPr>
          <w:sz w:val="28"/>
          <w:szCs w:val="28"/>
        </w:rPr>
      </w:pPr>
      <w:r w:rsidRPr="007A4349">
        <w:rPr>
          <w:b/>
          <w:sz w:val="28"/>
          <w:szCs w:val="28"/>
        </w:rPr>
        <w:t>Прогноз 20</w:t>
      </w:r>
      <w:r>
        <w:rPr>
          <w:b/>
          <w:sz w:val="28"/>
          <w:szCs w:val="28"/>
        </w:rPr>
        <w:t>22</w:t>
      </w:r>
      <w:r w:rsidRPr="007A4349">
        <w:rPr>
          <w:b/>
          <w:sz w:val="28"/>
          <w:szCs w:val="28"/>
        </w:rPr>
        <w:t xml:space="preserve"> год – </w:t>
      </w:r>
      <w:r>
        <w:rPr>
          <w:b/>
          <w:sz w:val="28"/>
          <w:szCs w:val="28"/>
        </w:rPr>
        <w:t>1 040,5</w:t>
      </w:r>
      <w:r w:rsidRPr="007A4349">
        <w:rPr>
          <w:b/>
          <w:sz w:val="28"/>
          <w:szCs w:val="28"/>
        </w:rPr>
        <w:t xml:space="preserve"> тыс. руб.</w:t>
      </w:r>
      <w:r>
        <w:rPr>
          <w:sz w:val="28"/>
          <w:szCs w:val="28"/>
        </w:rPr>
        <w:t xml:space="preserve"> (1 156,2 тыс. руб.+907,4 тыс. руб.+ 1 057,9 тыс. руб.)/3= 1 040,5 тыс. руб.</w:t>
      </w:r>
    </w:p>
    <w:p w:rsidR="00F07E05" w:rsidRDefault="00F07E05" w:rsidP="00F07E05">
      <w:pPr>
        <w:ind w:firstLine="720"/>
        <w:jc w:val="both"/>
        <w:rPr>
          <w:sz w:val="28"/>
          <w:szCs w:val="28"/>
        </w:rPr>
      </w:pPr>
      <w:r w:rsidRPr="007A4349">
        <w:rPr>
          <w:b/>
          <w:sz w:val="28"/>
          <w:szCs w:val="28"/>
        </w:rPr>
        <w:t>Прогноз 202</w:t>
      </w:r>
      <w:r>
        <w:rPr>
          <w:b/>
          <w:sz w:val="28"/>
          <w:szCs w:val="28"/>
        </w:rPr>
        <w:t xml:space="preserve">3 </w:t>
      </w:r>
      <w:r w:rsidRPr="007A4349">
        <w:rPr>
          <w:b/>
          <w:sz w:val="28"/>
          <w:szCs w:val="28"/>
        </w:rPr>
        <w:t xml:space="preserve">год – </w:t>
      </w:r>
      <w:r>
        <w:rPr>
          <w:b/>
          <w:sz w:val="28"/>
          <w:szCs w:val="28"/>
        </w:rPr>
        <w:t xml:space="preserve">1 002,0 </w:t>
      </w:r>
      <w:r w:rsidRPr="007A4349">
        <w:rPr>
          <w:b/>
          <w:sz w:val="28"/>
          <w:szCs w:val="28"/>
        </w:rPr>
        <w:t xml:space="preserve"> тыс. руб.</w:t>
      </w:r>
      <w:r>
        <w:rPr>
          <w:sz w:val="28"/>
          <w:szCs w:val="28"/>
        </w:rPr>
        <w:t xml:space="preserve"> (907,4 тыс. руб.+ 1 057,9 тыс. руб. + 1 040,5 тыс. руб.)/3= 1 002,0 тыс. руб.</w:t>
      </w:r>
    </w:p>
    <w:p w:rsidR="00F07E05" w:rsidRDefault="00F07E05" w:rsidP="00F07E05">
      <w:pPr>
        <w:ind w:firstLine="720"/>
        <w:jc w:val="both"/>
        <w:rPr>
          <w:sz w:val="28"/>
          <w:szCs w:val="28"/>
        </w:rPr>
      </w:pPr>
      <w:r w:rsidRPr="007A4349">
        <w:rPr>
          <w:b/>
          <w:sz w:val="28"/>
          <w:szCs w:val="28"/>
        </w:rPr>
        <w:t>Прогноз 202</w:t>
      </w:r>
      <w:r>
        <w:rPr>
          <w:b/>
          <w:sz w:val="28"/>
          <w:szCs w:val="28"/>
        </w:rPr>
        <w:t>4</w:t>
      </w:r>
      <w:r w:rsidRPr="007A4349">
        <w:rPr>
          <w:b/>
          <w:sz w:val="28"/>
          <w:szCs w:val="28"/>
        </w:rPr>
        <w:t xml:space="preserve"> год – </w:t>
      </w:r>
      <w:r>
        <w:rPr>
          <w:b/>
          <w:sz w:val="28"/>
          <w:szCs w:val="28"/>
        </w:rPr>
        <w:t>1 033,5</w:t>
      </w:r>
      <w:r w:rsidRPr="007A4349">
        <w:rPr>
          <w:b/>
          <w:sz w:val="28"/>
          <w:szCs w:val="28"/>
        </w:rPr>
        <w:t xml:space="preserve"> тыс. руб.</w:t>
      </w:r>
      <w:r>
        <w:rPr>
          <w:sz w:val="28"/>
          <w:szCs w:val="28"/>
        </w:rPr>
        <w:t xml:space="preserve"> (1 057,9 тыс. руб. + 1 040,5 тыс. руб. + 1 002,0 тыс. руб.)/3= 1 033,5 тыс. руб.</w:t>
      </w:r>
    </w:p>
    <w:p w:rsidR="00F07E05" w:rsidRDefault="00F07E05" w:rsidP="00F07E05">
      <w:pPr>
        <w:pStyle w:val="21"/>
        <w:jc w:val="center"/>
        <w:rPr>
          <w:b/>
        </w:rPr>
      </w:pPr>
    </w:p>
    <w:p w:rsidR="00F07E05" w:rsidRPr="005E37D3" w:rsidRDefault="00F07E05" w:rsidP="00F07E05">
      <w:pPr>
        <w:pStyle w:val="21"/>
        <w:jc w:val="center"/>
        <w:rPr>
          <w:b/>
        </w:rPr>
      </w:pPr>
      <w:r w:rsidRPr="005E37D3">
        <w:rPr>
          <w:b/>
        </w:rPr>
        <w:t>Законодательное собрание Тверской области</w:t>
      </w:r>
    </w:p>
    <w:p w:rsidR="00F07E05" w:rsidRPr="005E37D3" w:rsidRDefault="00F07E05" w:rsidP="00F07E05">
      <w:pPr>
        <w:pStyle w:val="21"/>
      </w:pPr>
    </w:p>
    <w:p w:rsidR="00F07E05" w:rsidRPr="005E37D3" w:rsidRDefault="00F07E05" w:rsidP="00F07E05">
      <w:pPr>
        <w:pStyle w:val="21"/>
        <w:rPr>
          <w:b/>
        </w:rPr>
      </w:pPr>
      <w:r w:rsidRPr="005E37D3">
        <w:t xml:space="preserve"> Законодательное Собрание Тверской области прогнозирует получение   прочих доходов от компенсации затрат бюджетов в суммах:</w:t>
      </w:r>
    </w:p>
    <w:p w:rsidR="00F07E05" w:rsidRPr="005E37D3" w:rsidRDefault="00F07E05" w:rsidP="00F07E05">
      <w:pPr>
        <w:pStyle w:val="a7"/>
        <w:ind w:left="0" w:firstLine="360"/>
        <w:jc w:val="right"/>
        <w:rPr>
          <w:b/>
        </w:rPr>
      </w:pPr>
      <w:r w:rsidRPr="005E37D3">
        <w:rPr>
          <w:b/>
        </w:rPr>
        <w:t>тыс. руб.</w:t>
      </w:r>
    </w:p>
    <w:tbl>
      <w:tblPr>
        <w:tblW w:w="9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6"/>
        <w:gridCol w:w="2546"/>
        <w:gridCol w:w="1382"/>
        <w:gridCol w:w="1454"/>
        <w:gridCol w:w="1636"/>
      </w:tblGrid>
      <w:tr w:rsidR="00F07E05" w:rsidRPr="005E37D3" w:rsidTr="008A253E">
        <w:trPr>
          <w:trHeight w:val="278"/>
        </w:trPr>
        <w:tc>
          <w:tcPr>
            <w:tcW w:w="2546" w:type="dxa"/>
            <w:noWrap/>
          </w:tcPr>
          <w:p w:rsidR="00F07E05" w:rsidRPr="005E37D3" w:rsidRDefault="00F07E05" w:rsidP="008A253E">
            <w:pPr>
              <w:rPr>
                <w:b/>
                <w:sz w:val="20"/>
                <w:szCs w:val="20"/>
              </w:rPr>
            </w:pPr>
            <w:r w:rsidRPr="005E37D3">
              <w:rPr>
                <w:b/>
                <w:sz w:val="20"/>
                <w:szCs w:val="20"/>
              </w:rPr>
              <w:t>Код БК</w:t>
            </w:r>
          </w:p>
        </w:tc>
        <w:tc>
          <w:tcPr>
            <w:tcW w:w="2546" w:type="dxa"/>
            <w:noWrap/>
          </w:tcPr>
          <w:p w:rsidR="00F07E05" w:rsidRPr="005E37D3" w:rsidRDefault="00F07E05" w:rsidP="008A253E">
            <w:pPr>
              <w:rPr>
                <w:b/>
                <w:sz w:val="20"/>
                <w:szCs w:val="20"/>
              </w:rPr>
            </w:pPr>
            <w:r w:rsidRPr="005E37D3">
              <w:rPr>
                <w:b/>
                <w:sz w:val="20"/>
                <w:szCs w:val="20"/>
              </w:rPr>
              <w:t>Наименование</w:t>
            </w:r>
          </w:p>
        </w:tc>
        <w:tc>
          <w:tcPr>
            <w:tcW w:w="1382" w:type="dxa"/>
          </w:tcPr>
          <w:p w:rsidR="00F07E05" w:rsidRPr="005E37D3" w:rsidRDefault="00F07E05" w:rsidP="008A253E">
            <w:pPr>
              <w:jc w:val="center"/>
              <w:rPr>
                <w:b/>
                <w:sz w:val="20"/>
                <w:szCs w:val="20"/>
              </w:rPr>
            </w:pPr>
            <w:r w:rsidRPr="005E37D3">
              <w:rPr>
                <w:b/>
                <w:sz w:val="20"/>
                <w:szCs w:val="20"/>
              </w:rPr>
              <w:t>Прогноз на</w:t>
            </w:r>
          </w:p>
          <w:p w:rsidR="00F07E05" w:rsidRPr="005E37D3" w:rsidRDefault="00F07E05" w:rsidP="008A253E">
            <w:pPr>
              <w:jc w:val="center"/>
              <w:rPr>
                <w:b/>
                <w:sz w:val="20"/>
                <w:szCs w:val="20"/>
              </w:rPr>
            </w:pPr>
            <w:r w:rsidRPr="005E37D3">
              <w:rPr>
                <w:b/>
                <w:sz w:val="20"/>
                <w:szCs w:val="20"/>
              </w:rPr>
              <w:t xml:space="preserve">2022 год </w:t>
            </w:r>
          </w:p>
          <w:p w:rsidR="00F07E05" w:rsidRPr="005E37D3" w:rsidRDefault="00F07E05" w:rsidP="008A253E">
            <w:pPr>
              <w:jc w:val="center"/>
              <w:rPr>
                <w:b/>
                <w:sz w:val="20"/>
                <w:szCs w:val="20"/>
              </w:rPr>
            </w:pPr>
          </w:p>
        </w:tc>
        <w:tc>
          <w:tcPr>
            <w:tcW w:w="1454" w:type="dxa"/>
          </w:tcPr>
          <w:p w:rsidR="00F07E05" w:rsidRPr="005E37D3" w:rsidRDefault="00F07E05" w:rsidP="008A253E">
            <w:pPr>
              <w:jc w:val="center"/>
              <w:rPr>
                <w:b/>
                <w:sz w:val="20"/>
                <w:szCs w:val="20"/>
              </w:rPr>
            </w:pPr>
            <w:r w:rsidRPr="005E37D3">
              <w:rPr>
                <w:b/>
                <w:sz w:val="20"/>
                <w:szCs w:val="20"/>
              </w:rPr>
              <w:t>Прогноз на</w:t>
            </w:r>
          </w:p>
          <w:p w:rsidR="00F07E05" w:rsidRPr="005E37D3" w:rsidRDefault="00F07E05" w:rsidP="008A253E">
            <w:pPr>
              <w:jc w:val="center"/>
              <w:rPr>
                <w:b/>
                <w:sz w:val="20"/>
                <w:szCs w:val="20"/>
              </w:rPr>
            </w:pPr>
            <w:r w:rsidRPr="005E37D3">
              <w:rPr>
                <w:b/>
                <w:sz w:val="20"/>
                <w:szCs w:val="20"/>
              </w:rPr>
              <w:t>2023 год</w:t>
            </w:r>
          </w:p>
          <w:p w:rsidR="00F07E05" w:rsidRPr="005E37D3" w:rsidRDefault="00F07E05" w:rsidP="008A253E">
            <w:pPr>
              <w:jc w:val="center"/>
              <w:rPr>
                <w:b/>
                <w:sz w:val="20"/>
                <w:szCs w:val="20"/>
              </w:rPr>
            </w:pPr>
          </w:p>
        </w:tc>
        <w:tc>
          <w:tcPr>
            <w:tcW w:w="1636" w:type="dxa"/>
          </w:tcPr>
          <w:p w:rsidR="00F07E05" w:rsidRPr="005E37D3" w:rsidRDefault="00F07E05" w:rsidP="008A253E">
            <w:pPr>
              <w:jc w:val="center"/>
              <w:rPr>
                <w:b/>
                <w:sz w:val="20"/>
                <w:szCs w:val="20"/>
              </w:rPr>
            </w:pPr>
            <w:r w:rsidRPr="005E37D3">
              <w:rPr>
                <w:b/>
                <w:sz w:val="20"/>
                <w:szCs w:val="20"/>
              </w:rPr>
              <w:t>Прогноз на</w:t>
            </w:r>
          </w:p>
          <w:p w:rsidR="00F07E05" w:rsidRPr="005E37D3" w:rsidRDefault="00F07E05" w:rsidP="008A253E">
            <w:pPr>
              <w:jc w:val="center"/>
              <w:rPr>
                <w:b/>
                <w:sz w:val="20"/>
                <w:szCs w:val="20"/>
              </w:rPr>
            </w:pPr>
            <w:r w:rsidRPr="005E37D3">
              <w:rPr>
                <w:b/>
                <w:sz w:val="20"/>
                <w:szCs w:val="20"/>
              </w:rPr>
              <w:t>2024 год</w:t>
            </w:r>
          </w:p>
          <w:p w:rsidR="00F07E05" w:rsidRPr="005E37D3" w:rsidRDefault="00F07E05" w:rsidP="008A253E">
            <w:pPr>
              <w:jc w:val="center"/>
              <w:rPr>
                <w:b/>
                <w:sz w:val="20"/>
                <w:szCs w:val="20"/>
              </w:rPr>
            </w:pPr>
          </w:p>
          <w:p w:rsidR="00F07E05" w:rsidRPr="005E37D3" w:rsidRDefault="00F07E05" w:rsidP="008A253E">
            <w:pPr>
              <w:jc w:val="center"/>
              <w:rPr>
                <w:b/>
                <w:sz w:val="20"/>
                <w:szCs w:val="20"/>
              </w:rPr>
            </w:pPr>
          </w:p>
        </w:tc>
      </w:tr>
      <w:tr w:rsidR="00F07E05" w:rsidRPr="002504BD" w:rsidTr="008A253E">
        <w:trPr>
          <w:trHeight w:val="697"/>
        </w:trPr>
        <w:tc>
          <w:tcPr>
            <w:tcW w:w="2546" w:type="dxa"/>
            <w:noWrap/>
          </w:tcPr>
          <w:p w:rsidR="00F07E05" w:rsidRPr="005E37D3" w:rsidRDefault="00F07E05" w:rsidP="008A253E">
            <w:pPr>
              <w:jc w:val="center"/>
              <w:rPr>
                <w:b/>
                <w:sz w:val="16"/>
                <w:szCs w:val="16"/>
              </w:rPr>
            </w:pPr>
          </w:p>
          <w:p w:rsidR="00F07E05" w:rsidRPr="005E37D3" w:rsidRDefault="00F07E05" w:rsidP="008A253E">
            <w:pPr>
              <w:jc w:val="center"/>
              <w:rPr>
                <w:b/>
                <w:sz w:val="16"/>
                <w:szCs w:val="16"/>
              </w:rPr>
            </w:pPr>
          </w:p>
          <w:p w:rsidR="00F07E05" w:rsidRPr="005E37D3" w:rsidRDefault="00F07E05" w:rsidP="008A253E">
            <w:pPr>
              <w:jc w:val="center"/>
              <w:rPr>
                <w:b/>
                <w:sz w:val="16"/>
                <w:szCs w:val="16"/>
              </w:rPr>
            </w:pPr>
            <w:r w:rsidRPr="005E37D3">
              <w:rPr>
                <w:b/>
                <w:sz w:val="16"/>
                <w:szCs w:val="16"/>
              </w:rPr>
              <w:t>000</w:t>
            </w:r>
            <w:r w:rsidRPr="005E37D3">
              <w:rPr>
                <w:b/>
                <w:sz w:val="16"/>
                <w:szCs w:val="16"/>
                <w:lang w:val="en-US"/>
              </w:rPr>
              <w:t xml:space="preserve"> 1 13 0</w:t>
            </w:r>
            <w:r w:rsidRPr="005E37D3">
              <w:rPr>
                <w:b/>
                <w:sz w:val="16"/>
                <w:szCs w:val="16"/>
              </w:rPr>
              <w:t>2990</w:t>
            </w:r>
            <w:r w:rsidRPr="005E37D3">
              <w:rPr>
                <w:b/>
                <w:sz w:val="16"/>
                <w:szCs w:val="16"/>
                <w:lang w:val="en-US"/>
              </w:rPr>
              <w:t xml:space="preserve"> 0</w:t>
            </w:r>
            <w:r w:rsidRPr="005E37D3">
              <w:rPr>
                <w:b/>
                <w:sz w:val="16"/>
                <w:szCs w:val="16"/>
              </w:rPr>
              <w:t>0</w:t>
            </w:r>
            <w:r w:rsidRPr="005E37D3">
              <w:rPr>
                <w:b/>
                <w:sz w:val="16"/>
                <w:szCs w:val="16"/>
                <w:lang w:val="en-US"/>
              </w:rPr>
              <w:t xml:space="preserve"> 0</w:t>
            </w:r>
            <w:r w:rsidRPr="005E37D3">
              <w:rPr>
                <w:b/>
                <w:sz w:val="16"/>
                <w:szCs w:val="16"/>
              </w:rPr>
              <w:t>000 130</w:t>
            </w:r>
          </w:p>
        </w:tc>
        <w:tc>
          <w:tcPr>
            <w:tcW w:w="2546" w:type="dxa"/>
          </w:tcPr>
          <w:p w:rsidR="00F07E05" w:rsidRPr="005E37D3" w:rsidRDefault="00F07E05" w:rsidP="008A253E">
            <w:pPr>
              <w:rPr>
                <w:sz w:val="20"/>
                <w:szCs w:val="20"/>
              </w:rPr>
            </w:pPr>
          </w:p>
          <w:p w:rsidR="00F07E05" w:rsidRPr="005E37D3" w:rsidRDefault="00F07E05" w:rsidP="008A253E">
            <w:pPr>
              <w:rPr>
                <w:sz w:val="20"/>
                <w:szCs w:val="20"/>
              </w:rPr>
            </w:pPr>
            <w:r w:rsidRPr="005E37D3">
              <w:rPr>
                <w:sz w:val="20"/>
                <w:szCs w:val="20"/>
              </w:rPr>
              <w:t xml:space="preserve">Прочие доходы от компенсации затрат государства </w:t>
            </w:r>
          </w:p>
        </w:tc>
        <w:tc>
          <w:tcPr>
            <w:tcW w:w="1382" w:type="dxa"/>
            <w:noWrap/>
          </w:tcPr>
          <w:p w:rsidR="00F07E05" w:rsidRPr="005E37D3" w:rsidRDefault="00F07E05" w:rsidP="008A253E">
            <w:pPr>
              <w:ind w:hanging="108"/>
              <w:jc w:val="center"/>
              <w:rPr>
                <w:sz w:val="20"/>
                <w:szCs w:val="20"/>
              </w:rPr>
            </w:pPr>
          </w:p>
          <w:p w:rsidR="00F07E05" w:rsidRPr="005E37D3" w:rsidRDefault="00F07E05" w:rsidP="008A253E">
            <w:pPr>
              <w:ind w:hanging="108"/>
              <w:jc w:val="center"/>
              <w:rPr>
                <w:sz w:val="20"/>
                <w:szCs w:val="20"/>
              </w:rPr>
            </w:pPr>
            <w:r w:rsidRPr="005E37D3">
              <w:rPr>
                <w:sz w:val="20"/>
                <w:szCs w:val="20"/>
              </w:rPr>
              <w:t>237,6</w:t>
            </w:r>
          </w:p>
        </w:tc>
        <w:tc>
          <w:tcPr>
            <w:tcW w:w="1454" w:type="dxa"/>
            <w:noWrap/>
          </w:tcPr>
          <w:p w:rsidR="00F07E05" w:rsidRPr="005E37D3" w:rsidRDefault="00F07E05" w:rsidP="008A253E">
            <w:pPr>
              <w:ind w:left="-136" w:right="-108" w:hanging="28"/>
              <w:jc w:val="center"/>
              <w:rPr>
                <w:sz w:val="20"/>
                <w:szCs w:val="20"/>
              </w:rPr>
            </w:pPr>
          </w:p>
          <w:p w:rsidR="00F07E05" w:rsidRPr="005E37D3" w:rsidRDefault="00F07E05" w:rsidP="008A253E">
            <w:pPr>
              <w:ind w:left="-136" w:right="-108" w:hanging="28"/>
              <w:jc w:val="center"/>
              <w:rPr>
                <w:sz w:val="20"/>
                <w:szCs w:val="20"/>
              </w:rPr>
            </w:pPr>
            <w:r w:rsidRPr="005E37D3">
              <w:rPr>
                <w:sz w:val="20"/>
                <w:szCs w:val="20"/>
              </w:rPr>
              <w:t>188,4</w:t>
            </w:r>
          </w:p>
        </w:tc>
        <w:tc>
          <w:tcPr>
            <w:tcW w:w="1636" w:type="dxa"/>
            <w:noWrap/>
          </w:tcPr>
          <w:p w:rsidR="00F07E05" w:rsidRPr="005E37D3" w:rsidRDefault="00F07E05" w:rsidP="008A253E">
            <w:pPr>
              <w:ind w:left="-108" w:right="-3" w:hanging="108"/>
              <w:jc w:val="center"/>
              <w:rPr>
                <w:sz w:val="20"/>
                <w:szCs w:val="20"/>
              </w:rPr>
            </w:pPr>
          </w:p>
          <w:p w:rsidR="00F07E05" w:rsidRPr="005E37D3" w:rsidRDefault="00F07E05" w:rsidP="008A253E">
            <w:pPr>
              <w:ind w:left="-108" w:right="-3" w:hanging="108"/>
              <w:jc w:val="center"/>
              <w:rPr>
                <w:sz w:val="20"/>
                <w:szCs w:val="20"/>
              </w:rPr>
            </w:pPr>
            <w:r w:rsidRPr="005E37D3">
              <w:rPr>
                <w:sz w:val="20"/>
                <w:szCs w:val="20"/>
              </w:rPr>
              <w:t>219</w:t>
            </w:r>
          </w:p>
        </w:tc>
      </w:tr>
    </w:tbl>
    <w:p w:rsidR="00F07E05" w:rsidRPr="002504BD" w:rsidRDefault="00F07E05" w:rsidP="00F07E05">
      <w:pPr>
        <w:ind w:firstLine="720"/>
        <w:jc w:val="both"/>
        <w:rPr>
          <w:b/>
          <w:sz w:val="28"/>
          <w:szCs w:val="28"/>
          <w:highlight w:val="yellow"/>
        </w:rPr>
      </w:pPr>
    </w:p>
    <w:p w:rsidR="00F07E05" w:rsidRPr="004F1328" w:rsidRDefault="00F07E05" w:rsidP="00F07E05">
      <w:pPr>
        <w:ind w:firstLine="851"/>
        <w:jc w:val="both"/>
        <w:rPr>
          <w:sz w:val="28"/>
          <w:szCs w:val="28"/>
        </w:rPr>
      </w:pPr>
      <w:r w:rsidRPr="004F1328">
        <w:rPr>
          <w:sz w:val="28"/>
          <w:szCs w:val="28"/>
        </w:rPr>
        <w:t>Расчет осуществлен на основании методики, утвержденной р</w:t>
      </w:r>
      <w:r w:rsidRPr="004F1328">
        <w:rPr>
          <w:bCs/>
          <w:sz w:val="28"/>
          <w:szCs w:val="28"/>
        </w:rPr>
        <w:t xml:space="preserve">аспоряжением Председателя Законодательного Собрания Тверской области от 20.09.2019  № 89-р  «Об утверждении </w:t>
      </w:r>
      <w:r w:rsidRPr="004F1328">
        <w:rPr>
          <w:sz w:val="28"/>
          <w:szCs w:val="28"/>
        </w:rPr>
        <w:t xml:space="preserve">методики </w:t>
      </w:r>
      <w:r w:rsidRPr="004F1328">
        <w:rPr>
          <w:bCs/>
          <w:sz w:val="28"/>
          <w:szCs w:val="28"/>
        </w:rPr>
        <w:t xml:space="preserve">прогнозирования поступлений доходов в областной бюджет </w:t>
      </w:r>
      <w:r w:rsidRPr="004F1328">
        <w:rPr>
          <w:sz w:val="28"/>
          <w:szCs w:val="28"/>
        </w:rPr>
        <w:t>Тверской области в части доходов, в отношении которых Законодательное Собрание Тверской области наделено полномочиями главного администратора доходов областного бюджета Тверской области</w:t>
      </w:r>
      <w:r w:rsidRPr="004F1328">
        <w:rPr>
          <w:bCs/>
          <w:sz w:val="28"/>
          <w:szCs w:val="28"/>
        </w:rPr>
        <w:t xml:space="preserve">». </w:t>
      </w:r>
    </w:p>
    <w:p w:rsidR="00F07E05" w:rsidRDefault="00F07E05" w:rsidP="00F07E05">
      <w:pPr>
        <w:jc w:val="both"/>
        <w:rPr>
          <w:sz w:val="28"/>
          <w:szCs w:val="28"/>
        </w:rPr>
      </w:pPr>
      <w:r>
        <w:rPr>
          <w:sz w:val="28"/>
          <w:szCs w:val="28"/>
        </w:rPr>
        <w:t xml:space="preserve"> При расчете применен </w:t>
      </w:r>
      <w:r w:rsidRPr="004F1328">
        <w:rPr>
          <w:sz w:val="28"/>
          <w:szCs w:val="28"/>
        </w:rPr>
        <w:t>Метод усреднения годовых объемов доходов за последние три года:</w:t>
      </w:r>
    </w:p>
    <w:p w:rsidR="00F07E05" w:rsidRDefault="00F07E05" w:rsidP="00F07E05">
      <w:pPr>
        <w:jc w:val="both"/>
        <w:rPr>
          <w:sz w:val="28"/>
          <w:szCs w:val="28"/>
        </w:rPr>
      </w:pPr>
      <w:r>
        <w:rPr>
          <w:sz w:val="28"/>
          <w:szCs w:val="28"/>
        </w:rPr>
        <w:t>2019 год (факт) – 385,4 тыс. руб.;</w:t>
      </w:r>
    </w:p>
    <w:p w:rsidR="00F07E05" w:rsidRDefault="00F07E05" w:rsidP="00F07E05">
      <w:pPr>
        <w:jc w:val="both"/>
        <w:rPr>
          <w:sz w:val="28"/>
          <w:szCs w:val="28"/>
        </w:rPr>
      </w:pPr>
      <w:r>
        <w:rPr>
          <w:sz w:val="28"/>
          <w:szCs w:val="28"/>
        </w:rPr>
        <w:t>2020 год (факт) – 96,6 тыс. руб.;</w:t>
      </w:r>
    </w:p>
    <w:p w:rsidR="00F07E05" w:rsidRPr="004F1328" w:rsidRDefault="00F07E05" w:rsidP="00F07E05">
      <w:pPr>
        <w:jc w:val="both"/>
        <w:rPr>
          <w:sz w:val="28"/>
          <w:szCs w:val="28"/>
        </w:rPr>
      </w:pPr>
      <w:r>
        <w:rPr>
          <w:sz w:val="28"/>
          <w:szCs w:val="28"/>
        </w:rPr>
        <w:t>2021 год (оценка) – 230,9 тыс. руб.</w:t>
      </w:r>
    </w:p>
    <w:p w:rsidR="00F07E05" w:rsidRPr="004F1328" w:rsidRDefault="00F07E05" w:rsidP="00F07E05">
      <w:pPr>
        <w:jc w:val="both"/>
        <w:rPr>
          <w:sz w:val="28"/>
          <w:szCs w:val="28"/>
        </w:rPr>
      </w:pPr>
      <w:r>
        <w:rPr>
          <w:sz w:val="28"/>
          <w:szCs w:val="28"/>
        </w:rPr>
        <w:t>Прогноз 2022 год – 237,6 тыс. руб.</w:t>
      </w:r>
      <w:r w:rsidRPr="004F1328">
        <w:rPr>
          <w:sz w:val="28"/>
          <w:szCs w:val="28"/>
        </w:rPr>
        <w:t xml:space="preserve"> (385,4+96,6+230,9):3=237,6</w:t>
      </w:r>
      <w:r>
        <w:rPr>
          <w:sz w:val="28"/>
          <w:szCs w:val="28"/>
        </w:rPr>
        <w:t xml:space="preserve"> тыс. руб.</w:t>
      </w:r>
    </w:p>
    <w:p w:rsidR="00F07E05" w:rsidRPr="004F1328" w:rsidRDefault="00F07E05" w:rsidP="00F07E05">
      <w:pPr>
        <w:jc w:val="both"/>
        <w:rPr>
          <w:sz w:val="28"/>
          <w:szCs w:val="28"/>
        </w:rPr>
      </w:pPr>
      <w:r>
        <w:rPr>
          <w:sz w:val="28"/>
          <w:szCs w:val="28"/>
        </w:rPr>
        <w:t>Прогноз 2023 год – 188,4 тыс. руб. (</w:t>
      </w:r>
      <w:r w:rsidRPr="004F1328">
        <w:rPr>
          <w:sz w:val="28"/>
          <w:szCs w:val="28"/>
        </w:rPr>
        <w:t>(96,6+230,9+237,6):3=188,4</w:t>
      </w:r>
      <w:r>
        <w:rPr>
          <w:sz w:val="28"/>
          <w:szCs w:val="28"/>
        </w:rPr>
        <w:t xml:space="preserve"> тыс. руб.</w:t>
      </w:r>
    </w:p>
    <w:p w:rsidR="00F07E05" w:rsidRPr="004F1328" w:rsidRDefault="00F07E05" w:rsidP="00F07E05">
      <w:pPr>
        <w:jc w:val="both"/>
        <w:rPr>
          <w:sz w:val="28"/>
          <w:szCs w:val="28"/>
        </w:rPr>
      </w:pPr>
      <w:r>
        <w:rPr>
          <w:sz w:val="28"/>
          <w:szCs w:val="28"/>
        </w:rPr>
        <w:t>Прогноз 2024 год – 219,0 тыс. руб.</w:t>
      </w:r>
      <w:r w:rsidRPr="004F1328">
        <w:rPr>
          <w:sz w:val="28"/>
          <w:szCs w:val="28"/>
        </w:rPr>
        <w:t xml:space="preserve"> (230,9+237,6+188,4):3=219,0</w:t>
      </w:r>
      <w:r>
        <w:rPr>
          <w:sz w:val="28"/>
          <w:szCs w:val="28"/>
        </w:rPr>
        <w:t xml:space="preserve"> тыс. руб.</w:t>
      </w:r>
    </w:p>
    <w:p w:rsidR="00F07E05" w:rsidRPr="004F1328" w:rsidRDefault="00F07E05" w:rsidP="00F07E05">
      <w:pPr>
        <w:jc w:val="both"/>
        <w:rPr>
          <w:sz w:val="28"/>
          <w:szCs w:val="28"/>
        </w:rPr>
      </w:pPr>
    </w:p>
    <w:p w:rsidR="00F07E05" w:rsidRDefault="00F07E05" w:rsidP="00F07E05">
      <w:pPr>
        <w:pStyle w:val="21"/>
        <w:rPr>
          <w:lang w:eastAsia="en-US"/>
        </w:rPr>
      </w:pPr>
    </w:p>
    <w:p w:rsidR="00F07E05" w:rsidRDefault="00F07E05" w:rsidP="00F07E05">
      <w:pPr>
        <w:pStyle w:val="21"/>
        <w:rPr>
          <w:lang w:eastAsia="en-US"/>
        </w:rPr>
      </w:pPr>
    </w:p>
    <w:p w:rsidR="00F07E05" w:rsidRDefault="00F07E05" w:rsidP="00F07E05">
      <w:pPr>
        <w:pStyle w:val="21"/>
        <w:rPr>
          <w:lang w:eastAsia="en-US"/>
        </w:rPr>
      </w:pPr>
    </w:p>
    <w:p w:rsidR="00F07E05" w:rsidRDefault="00F07E05" w:rsidP="00F07E05">
      <w:pPr>
        <w:pStyle w:val="21"/>
        <w:rPr>
          <w:lang w:eastAsia="en-US"/>
        </w:rPr>
      </w:pPr>
    </w:p>
    <w:p w:rsidR="00F07E05" w:rsidRDefault="00F07E05" w:rsidP="00F07E05">
      <w:pPr>
        <w:pStyle w:val="21"/>
        <w:rPr>
          <w:lang w:eastAsia="en-US"/>
        </w:rPr>
      </w:pPr>
    </w:p>
    <w:p w:rsidR="00F07E05" w:rsidRDefault="00F07E05" w:rsidP="00F07E05">
      <w:pPr>
        <w:pStyle w:val="21"/>
        <w:rPr>
          <w:lang w:eastAsia="en-US"/>
        </w:rPr>
      </w:pPr>
    </w:p>
    <w:p w:rsidR="00F07E05" w:rsidRDefault="00F07E05" w:rsidP="00F07E05">
      <w:pPr>
        <w:pStyle w:val="21"/>
        <w:rPr>
          <w:lang w:eastAsia="en-US"/>
        </w:rPr>
      </w:pPr>
    </w:p>
    <w:p w:rsidR="00F07E05" w:rsidRDefault="00F07E05" w:rsidP="00F07E05">
      <w:pPr>
        <w:pStyle w:val="21"/>
        <w:rPr>
          <w:lang w:eastAsia="en-US"/>
        </w:rPr>
      </w:pPr>
    </w:p>
    <w:p w:rsidR="00F07E05" w:rsidRDefault="00F07E05" w:rsidP="00F07E05">
      <w:pPr>
        <w:pStyle w:val="21"/>
        <w:jc w:val="center"/>
        <w:rPr>
          <w:b/>
        </w:rPr>
      </w:pPr>
    </w:p>
    <w:p w:rsidR="00F07E05" w:rsidRPr="00C95882" w:rsidRDefault="00F07E05" w:rsidP="00F07E05">
      <w:pPr>
        <w:pStyle w:val="21"/>
        <w:jc w:val="center"/>
        <w:rPr>
          <w:b/>
        </w:rPr>
      </w:pPr>
      <w:r w:rsidRPr="00C95882">
        <w:rPr>
          <w:b/>
        </w:rPr>
        <w:lastRenderedPageBreak/>
        <w:t>Контрольно –счетная палата Тверской области</w:t>
      </w:r>
    </w:p>
    <w:p w:rsidR="00F07E05" w:rsidRPr="00C93A58" w:rsidRDefault="00F07E05" w:rsidP="00F07E05">
      <w:pPr>
        <w:pStyle w:val="21"/>
        <w:rPr>
          <w:b/>
        </w:rPr>
      </w:pPr>
    </w:p>
    <w:p w:rsidR="00F07E05" w:rsidRPr="00C93A58" w:rsidRDefault="00F07E05" w:rsidP="00F07E05">
      <w:pPr>
        <w:pStyle w:val="a7"/>
        <w:ind w:left="0" w:firstLine="360"/>
        <w:jc w:val="right"/>
        <w:rPr>
          <w:b/>
        </w:rPr>
      </w:pPr>
      <w:r w:rsidRPr="00C93A58">
        <w:rPr>
          <w:b/>
        </w:rPr>
        <w:t>тыс. руб.</w:t>
      </w:r>
    </w:p>
    <w:tbl>
      <w:tblPr>
        <w:tblW w:w="9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6"/>
        <w:gridCol w:w="2546"/>
        <w:gridCol w:w="1382"/>
        <w:gridCol w:w="1454"/>
        <w:gridCol w:w="1636"/>
      </w:tblGrid>
      <w:tr w:rsidR="00F07E05" w:rsidRPr="00C93A58" w:rsidTr="008A253E">
        <w:trPr>
          <w:trHeight w:val="278"/>
        </w:trPr>
        <w:tc>
          <w:tcPr>
            <w:tcW w:w="2546" w:type="dxa"/>
            <w:noWrap/>
          </w:tcPr>
          <w:p w:rsidR="00F07E05" w:rsidRPr="00C93A58" w:rsidRDefault="00F07E05" w:rsidP="008A253E">
            <w:pPr>
              <w:rPr>
                <w:b/>
                <w:sz w:val="20"/>
                <w:szCs w:val="20"/>
              </w:rPr>
            </w:pPr>
            <w:r w:rsidRPr="00C93A58">
              <w:rPr>
                <w:b/>
                <w:sz w:val="20"/>
                <w:szCs w:val="20"/>
              </w:rPr>
              <w:t>Код БК</w:t>
            </w:r>
          </w:p>
        </w:tc>
        <w:tc>
          <w:tcPr>
            <w:tcW w:w="2546" w:type="dxa"/>
            <w:noWrap/>
          </w:tcPr>
          <w:p w:rsidR="00F07E05" w:rsidRPr="00C93A58" w:rsidRDefault="00F07E05" w:rsidP="008A253E">
            <w:pPr>
              <w:rPr>
                <w:b/>
                <w:sz w:val="20"/>
                <w:szCs w:val="20"/>
              </w:rPr>
            </w:pPr>
            <w:r w:rsidRPr="00C93A58">
              <w:rPr>
                <w:b/>
                <w:sz w:val="20"/>
                <w:szCs w:val="20"/>
              </w:rPr>
              <w:t>Наименование</w:t>
            </w:r>
          </w:p>
        </w:tc>
        <w:tc>
          <w:tcPr>
            <w:tcW w:w="1382" w:type="dxa"/>
          </w:tcPr>
          <w:p w:rsidR="00F07E05" w:rsidRPr="00C93A58" w:rsidRDefault="00F07E05" w:rsidP="008A253E">
            <w:pPr>
              <w:jc w:val="center"/>
              <w:rPr>
                <w:b/>
                <w:sz w:val="20"/>
                <w:szCs w:val="20"/>
              </w:rPr>
            </w:pPr>
            <w:r w:rsidRPr="00C93A58">
              <w:rPr>
                <w:b/>
                <w:sz w:val="20"/>
                <w:szCs w:val="20"/>
              </w:rPr>
              <w:t>Прогноз на</w:t>
            </w:r>
          </w:p>
          <w:p w:rsidR="00F07E05" w:rsidRPr="00C93A58" w:rsidRDefault="00F07E05" w:rsidP="008A253E">
            <w:pPr>
              <w:jc w:val="center"/>
              <w:rPr>
                <w:b/>
                <w:sz w:val="20"/>
                <w:szCs w:val="20"/>
              </w:rPr>
            </w:pPr>
            <w:r w:rsidRPr="00C93A58">
              <w:rPr>
                <w:b/>
                <w:sz w:val="20"/>
                <w:szCs w:val="20"/>
              </w:rPr>
              <w:t>20</w:t>
            </w:r>
            <w:r>
              <w:rPr>
                <w:b/>
                <w:sz w:val="20"/>
                <w:szCs w:val="20"/>
              </w:rPr>
              <w:t>22</w:t>
            </w:r>
            <w:r w:rsidRPr="00C93A58">
              <w:rPr>
                <w:b/>
                <w:sz w:val="20"/>
                <w:szCs w:val="20"/>
              </w:rPr>
              <w:t xml:space="preserve"> год </w:t>
            </w:r>
          </w:p>
          <w:p w:rsidR="00F07E05" w:rsidRPr="00C93A58" w:rsidRDefault="00F07E05" w:rsidP="008A253E">
            <w:pPr>
              <w:jc w:val="center"/>
              <w:rPr>
                <w:b/>
                <w:sz w:val="20"/>
                <w:szCs w:val="20"/>
              </w:rPr>
            </w:pPr>
          </w:p>
        </w:tc>
        <w:tc>
          <w:tcPr>
            <w:tcW w:w="1454" w:type="dxa"/>
          </w:tcPr>
          <w:p w:rsidR="00F07E05" w:rsidRPr="00C93A58" w:rsidRDefault="00F07E05" w:rsidP="008A253E">
            <w:pPr>
              <w:jc w:val="center"/>
              <w:rPr>
                <w:b/>
                <w:sz w:val="20"/>
                <w:szCs w:val="20"/>
              </w:rPr>
            </w:pPr>
            <w:r w:rsidRPr="00C93A58">
              <w:rPr>
                <w:b/>
                <w:sz w:val="20"/>
                <w:szCs w:val="20"/>
              </w:rPr>
              <w:t>Прогноз на</w:t>
            </w:r>
          </w:p>
          <w:p w:rsidR="00F07E05" w:rsidRPr="00C93A58" w:rsidRDefault="00F07E05" w:rsidP="008A253E">
            <w:pPr>
              <w:jc w:val="center"/>
              <w:rPr>
                <w:b/>
                <w:sz w:val="20"/>
                <w:szCs w:val="20"/>
              </w:rPr>
            </w:pPr>
            <w:r w:rsidRPr="00C93A58">
              <w:rPr>
                <w:b/>
                <w:sz w:val="20"/>
                <w:szCs w:val="20"/>
              </w:rPr>
              <w:t>20</w:t>
            </w:r>
            <w:r>
              <w:rPr>
                <w:b/>
                <w:sz w:val="20"/>
                <w:szCs w:val="20"/>
              </w:rPr>
              <w:t xml:space="preserve">23 </w:t>
            </w:r>
            <w:r w:rsidRPr="00C93A58">
              <w:rPr>
                <w:b/>
                <w:sz w:val="20"/>
                <w:szCs w:val="20"/>
              </w:rPr>
              <w:t>год</w:t>
            </w:r>
          </w:p>
          <w:p w:rsidR="00F07E05" w:rsidRPr="00C93A58" w:rsidRDefault="00F07E05" w:rsidP="008A253E">
            <w:pPr>
              <w:jc w:val="center"/>
              <w:rPr>
                <w:b/>
                <w:sz w:val="20"/>
                <w:szCs w:val="20"/>
              </w:rPr>
            </w:pPr>
          </w:p>
        </w:tc>
        <w:tc>
          <w:tcPr>
            <w:tcW w:w="1636" w:type="dxa"/>
          </w:tcPr>
          <w:p w:rsidR="00F07E05" w:rsidRPr="00C93A58" w:rsidRDefault="00F07E05" w:rsidP="008A253E">
            <w:pPr>
              <w:jc w:val="center"/>
              <w:rPr>
                <w:b/>
                <w:sz w:val="20"/>
                <w:szCs w:val="20"/>
              </w:rPr>
            </w:pPr>
            <w:r w:rsidRPr="00C93A58">
              <w:rPr>
                <w:b/>
                <w:sz w:val="20"/>
                <w:szCs w:val="20"/>
              </w:rPr>
              <w:t>Прогноз на</w:t>
            </w:r>
          </w:p>
          <w:p w:rsidR="00F07E05" w:rsidRPr="00C93A58" w:rsidRDefault="00F07E05" w:rsidP="008A253E">
            <w:pPr>
              <w:jc w:val="center"/>
              <w:rPr>
                <w:b/>
                <w:sz w:val="20"/>
                <w:szCs w:val="20"/>
              </w:rPr>
            </w:pPr>
            <w:r w:rsidRPr="00C93A58">
              <w:rPr>
                <w:b/>
                <w:sz w:val="20"/>
                <w:szCs w:val="20"/>
              </w:rPr>
              <w:t>202</w:t>
            </w:r>
            <w:r>
              <w:rPr>
                <w:b/>
                <w:sz w:val="20"/>
                <w:szCs w:val="20"/>
              </w:rPr>
              <w:t xml:space="preserve">4 </w:t>
            </w:r>
            <w:r w:rsidRPr="00C93A58">
              <w:rPr>
                <w:b/>
                <w:sz w:val="20"/>
                <w:szCs w:val="20"/>
              </w:rPr>
              <w:t>год</w:t>
            </w:r>
          </w:p>
          <w:p w:rsidR="00F07E05" w:rsidRPr="00C93A58" w:rsidRDefault="00F07E05" w:rsidP="008A253E">
            <w:pPr>
              <w:jc w:val="center"/>
              <w:rPr>
                <w:b/>
                <w:sz w:val="20"/>
                <w:szCs w:val="20"/>
              </w:rPr>
            </w:pPr>
          </w:p>
          <w:p w:rsidR="00F07E05" w:rsidRPr="00C93A58" w:rsidRDefault="00F07E05" w:rsidP="008A253E">
            <w:pPr>
              <w:jc w:val="center"/>
              <w:rPr>
                <w:b/>
                <w:sz w:val="20"/>
                <w:szCs w:val="20"/>
              </w:rPr>
            </w:pPr>
          </w:p>
        </w:tc>
      </w:tr>
      <w:tr w:rsidR="00F07E05" w:rsidRPr="00C93A58" w:rsidTr="008A253E">
        <w:trPr>
          <w:trHeight w:val="697"/>
        </w:trPr>
        <w:tc>
          <w:tcPr>
            <w:tcW w:w="2546" w:type="dxa"/>
            <w:noWrap/>
          </w:tcPr>
          <w:p w:rsidR="00F07E05" w:rsidRPr="00C93A58" w:rsidRDefault="00F07E05" w:rsidP="008A253E">
            <w:pPr>
              <w:jc w:val="center"/>
              <w:rPr>
                <w:b/>
                <w:sz w:val="16"/>
                <w:szCs w:val="16"/>
              </w:rPr>
            </w:pPr>
          </w:p>
          <w:p w:rsidR="00F07E05" w:rsidRPr="00C93A58" w:rsidRDefault="00F07E05" w:rsidP="008A253E">
            <w:pPr>
              <w:jc w:val="center"/>
              <w:rPr>
                <w:b/>
                <w:sz w:val="16"/>
                <w:szCs w:val="16"/>
              </w:rPr>
            </w:pPr>
          </w:p>
          <w:p w:rsidR="00F07E05" w:rsidRPr="00C93A58" w:rsidRDefault="00F07E05" w:rsidP="008A253E">
            <w:pPr>
              <w:jc w:val="center"/>
              <w:rPr>
                <w:b/>
                <w:sz w:val="16"/>
                <w:szCs w:val="16"/>
              </w:rPr>
            </w:pPr>
            <w:r w:rsidRPr="00C93A58">
              <w:rPr>
                <w:b/>
                <w:sz w:val="16"/>
                <w:szCs w:val="16"/>
              </w:rPr>
              <w:t>000</w:t>
            </w:r>
            <w:r w:rsidRPr="00C93A58">
              <w:rPr>
                <w:b/>
                <w:sz w:val="16"/>
                <w:szCs w:val="16"/>
                <w:lang w:val="en-US"/>
              </w:rPr>
              <w:t xml:space="preserve"> 1 13 0</w:t>
            </w:r>
            <w:r w:rsidRPr="00C93A58">
              <w:rPr>
                <w:b/>
                <w:sz w:val="16"/>
                <w:szCs w:val="16"/>
              </w:rPr>
              <w:t>2990</w:t>
            </w:r>
            <w:r w:rsidRPr="00C93A58">
              <w:rPr>
                <w:b/>
                <w:sz w:val="16"/>
                <w:szCs w:val="16"/>
                <w:lang w:val="en-US"/>
              </w:rPr>
              <w:t xml:space="preserve"> 0</w:t>
            </w:r>
            <w:r w:rsidRPr="00C93A58">
              <w:rPr>
                <w:b/>
                <w:sz w:val="16"/>
                <w:szCs w:val="16"/>
              </w:rPr>
              <w:t>0</w:t>
            </w:r>
            <w:r w:rsidRPr="00C93A58">
              <w:rPr>
                <w:b/>
                <w:sz w:val="16"/>
                <w:szCs w:val="16"/>
                <w:lang w:val="en-US"/>
              </w:rPr>
              <w:t xml:space="preserve"> 0</w:t>
            </w:r>
            <w:r w:rsidRPr="00C93A58">
              <w:rPr>
                <w:b/>
                <w:sz w:val="16"/>
                <w:szCs w:val="16"/>
              </w:rPr>
              <w:t>000 130</w:t>
            </w:r>
          </w:p>
        </w:tc>
        <w:tc>
          <w:tcPr>
            <w:tcW w:w="2546" w:type="dxa"/>
          </w:tcPr>
          <w:p w:rsidR="00F07E05" w:rsidRPr="00C93A58" w:rsidRDefault="00F07E05" w:rsidP="008A253E">
            <w:pPr>
              <w:rPr>
                <w:sz w:val="20"/>
                <w:szCs w:val="20"/>
              </w:rPr>
            </w:pPr>
          </w:p>
          <w:p w:rsidR="00F07E05" w:rsidRPr="00C93A58" w:rsidRDefault="00F07E05" w:rsidP="008A253E">
            <w:pPr>
              <w:rPr>
                <w:sz w:val="20"/>
                <w:szCs w:val="20"/>
              </w:rPr>
            </w:pPr>
            <w:r w:rsidRPr="00C93A58">
              <w:rPr>
                <w:sz w:val="20"/>
                <w:szCs w:val="20"/>
              </w:rPr>
              <w:t xml:space="preserve">Прочие доходы от компенсации затрат государства </w:t>
            </w:r>
          </w:p>
        </w:tc>
        <w:tc>
          <w:tcPr>
            <w:tcW w:w="1382" w:type="dxa"/>
            <w:noWrap/>
          </w:tcPr>
          <w:p w:rsidR="00F07E05" w:rsidRDefault="00F07E05" w:rsidP="008A253E">
            <w:pPr>
              <w:ind w:hanging="108"/>
              <w:jc w:val="center"/>
              <w:rPr>
                <w:sz w:val="20"/>
                <w:szCs w:val="20"/>
              </w:rPr>
            </w:pPr>
          </w:p>
          <w:p w:rsidR="00F07E05" w:rsidRPr="00C93A58" w:rsidRDefault="00F07E05" w:rsidP="008A253E">
            <w:pPr>
              <w:ind w:hanging="108"/>
              <w:jc w:val="center"/>
              <w:rPr>
                <w:sz w:val="20"/>
                <w:szCs w:val="20"/>
              </w:rPr>
            </w:pPr>
            <w:r>
              <w:rPr>
                <w:sz w:val="20"/>
                <w:szCs w:val="20"/>
              </w:rPr>
              <w:t>207,9</w:t>
            </w:r>
          </w:p>
        </w:tc>
        <w:tc>
          <w:tcPr>
            <w:tcW w:w="1454" w:type="dxa"/>
            <w:noWrap/>
          </w:tcPr>
          <w:p w:rsidR="00F07E05" w:rsidRDefault="00F07E05" w:rsidP="008A253E">
            <w:pPr>
              <w:ind w:left="-136" w:right="-108" w:hanging="28"/>
              <w:jc w:val="center"/>
              <w:rPr>
                <w:sz w:val="20"/>
                <w:szCs w:val="20"/>
              </w:rPr>
            </w:pPr>
          </w:p>
          <w:p w:rsidR="00F07E05" w:rsidRPr="00C93A58" w:rsidRDefault="00F07E05" w:rsidP="008A253E">
            <w:pPr>
              <w:ind w:left="-136" w:right="-108" w:hanging="28"/>
              <w:jc w:val="center"/>
              <w:rPr>
                <w:sz w:val="20"/>
                <w:szCs w:val="20"/>
              </w:rPr>
            </w:pPr>
            <w:r>
              <w:rPr>
                <w:sz w:val="20"/>
                <w:szCs w:val="20"/>
              </w:rPr>
              <w:t>207,9</w:t>
            </w:r>
          </w:p>
        </w:tc>
        <w:tc>
          <w:tcPr>
            <w:tcW w:w="1636" w:type="dxa"/>
            <w:noWrap/>
          </w:tcPr>
          <w:p w:rsidR="00F07E05" w:rsidRDefault="00F07E05" w:rsidP="008A253E">
            <w:pPr>
              <w:ind w:left="-108" w:right="-3" w:hanging="108"/>
              <w:jc w:val="center"/>
              <w:rPr>
                <w:sz w:val="20"/>
                <w:szCs w:val="20"/>
              </w:rPr>
            </w:pPr>
          </w:p>
          <w:p w:rsidR="00F07E05" w:rsidRPr="00C93A58" w:rsidRDefault="00F07E05" w:rsidP="008A253E">
            <w:pPr>
              <w:ind w:left="-108" w:right="-3" w:hanging="108"/>
              <w:jc w:val="center"/>
              <w:rPr>
                <w:sz w:val="20"/>
                <w:szCs w:val="20"/>
              </w:rPr>
            </w:pPr>
            <w:r>
              <w:rPr>
                <w:sz w:val="20"/>
                <w:szCs w:val="20"/>
              </w:rPr>
              <w:t>207,9</w:t>
            </w:r>
          </w:p>
        </w:tc>
      </w:tr>
    </w:tbl>
    <w:p w:rsidR="00F07E05" w:rsidRPr="00C93A58" w:rsidRDefault="00F07E05" w:rsidP="00F07E05">
      <w:pPr>
        <w:ind w:firstLine="720"/>
        <w:jc w:val="both"/>
        <w:rPr>
          <w:b/>
          <w:sz w:val="28"/>
          <w:szCs w:val="28"/>
        </w:rPr>
      </w:pPr>
    </w:p>
    <w:p w:rsidR="00F07E05" w:rsidRPr="00C93A58" w:rsidRDefault="00F07E05" w:rsidP="00F07E05">
      <w:pPr>
        <w:ind w:firstLine="720"/>
        <w:jc w:val="both"/>
        <w:rPr>
          <w:sz w:val="28"/>
          <w:szCs w:val="28"/>
        </w:rPr>
      </w:pPr>
      <w:r w:rsidRPr="00C93A58">
        <w:rPr>
          <w:sz w:val="28"/>
          <w:szCs w:val="28"/>
        </w:rPr>
        <w:t>Прогноз поступления произведен в соответствии с методикой прогнозирования поступлений в областной бюджет Тверской области, в отношении которых Контрольно-счетная палата Тверской области наделена полномочиями главного администратора доходов областного бюджета Тверской области, утвержденной приказом Контрольно-счетной палаты Тверской области от 31.08.2016 № 49 путем усредненной оценки поступлений за 3 года.</w:t>
      </w:r>
    </w:p>
    <w:p w:rsidR="00F07E05" w:rsidRDefault="00F07E05" w:rsidP="00F07E05">
      <w:pPr>
        <w:ind w:firstLine="720"/>
        <w:jc w:val="both"/>
        <w:rPr>
          <w:sz w:val="28"/>
          <w:szCs w:val="28"/>
        </w:rPr>
      </w:pPr>
      <w:r>
        <w:rPr>
          <w:sz w:val="28"/>
          <w:szCs w:val="28"/>
        </w:rPr>
        <w:t xml:space="preserve">Факт </w:t>
      </w:r>
      <w:r w:rsidRPr="00C93A58">
        <w:rPr>
          <w:sz w:val="28"/>
          <w:szCs w:val="28"/>
        </w:rPr>
        <w:t xml:space="preserve"> 20</w:t>
      </w:r>
      <w:r>
        <w:rPr>
          <w:sz w:val="28"/>
          <w:szCs w:val="28"/>
        </w:rPr>
        <w:t xml:space="preserve">18 </w:t>
      </w:r>
      <w:r w:rsidRPr="00C93A58">
        <w:rPr>
          <w:sz w:val="28"/>
          <w:szCs w:val="28"/>
        </w:rPr>
        <w:t xml:space="preserve">год – </w:t>
      </w:r>
      <w:r>
        <w:rPr>
          <w:sz w:val="28"/>
          <w:szCs w:val="28"/>
        </w:rPr>
        <w:t xml:space="preserve">247,2 </w:t>
      </w:r>
      <w:r w:rsidRPr="00C93A58">
        <w:rPr>
          <w:sz w:val="28"/>
          <w:szCs w:val="28"/>
        </w:rPr>
        <w:t xml:space="preserve"> тыс. руб., </w:t>
      </w:r>
    </w:p>
    <w:p w:rsidR="00F07E05" w:rsidRDefault="00F07E05" w:rsidP="00F07E05">
      <w:pPr>
        <w:ind w:firstLine="720"/>
        <w:jc w:val="both"/>
        <w:rPr>
          <w:sz w:val="28"/>
          <w:szCs w:val="28"/>
        </w:rPr>
      </w:pPr>
      <w:r>
        <w:rPr>
          <w:sz w:val="28"/>
          <w:szCs w:val="28"/>
        </w:rPr>
        <w:t xml:space="preserve">Факт </w:t>
      </w:r>
      <w:r w:rsidRPr="00C93A58">
        <w:rPr>
          <w:sz w:val="28"/>
          <w:szCs w:val="28"/>
        </w:rPr>
        <w:t>201</w:t>
      </w:r>
      <w:r>
        <w:rPr>
          <w:sz w:val="28"/>
          <w:szCs w:val="28"/>
        </w:rPr>
        <w:t xml:space="preserve">9 год </w:t>
      </w:r>
      <w:r w:rsidRPr="00C93A58">
        <w:rPr>
          <w:sz w:val="28"/>
          <w:szCs w:val="28"/>
        </w:rPr>
        <w:t xml:space="preserve">– </w:t>
      </w:r>
      <w:r>
        <w:rPr>
          <w:sz w:val="28"/>
          <w:szCs w:val="28"/>
        </w:rPr>
        <w:t>338,6</w:t>
      </w:r>
      <w:r w:rsidRPr="00C93A58">
        <w:rPr>
          <w:sz w:val="28"/>
          <w:szCs w:val="28"/>
        </w:rPr>
        <w:t xml:space="preserve"> тыс. руб.</w:t>
      </w:r>
      <w:r>
        <w:rPr>
          <w:sz w:val="28"/>
          <w:szCs w:val="28"/>
        </w:rPr>
        <w:t>;</w:t>
      </w:r>
    </w:p>
    <w:p w:rsidR="00F07E05" w:rsidRPr="00C93A58" w:rsidRDefault="00F07E05" w:rsidP="00F07E05">
      <w:pPr>
        <w:ind w:firstLine="720"/>
        <w:jc w:val="both"/>
        <w:rPr>
          <w:sz w:val="28"/>
          <w:szCs w:val="28"/>
        </w:rPr>
      </w:pPr>
      <w:r>
        <w:rPr>
          <w:sz w:val="28"/>
          <w:szCs w:val="28"/>
        </w:rPr>
        <w:t>Факт 2020 год –    37,9</w:t>
      </w:r>
      <w:r w:rsidRPr="00C93A58">
        <w:rPr>
          <w:sz w:val="28"/>
          <w:szCs w:val="28"/>
        </w:rPr>
        <w:t xml:space="preserve"> </w:t>
      </w:r>
      <w:r>
        <w:rPr>
          <w:sz w:val="28"/>
          <w:szCs w:val="28"/>
        </w:rPr>
        <w:t xml:space="preserve">тыс. руб. </w:t>
      </w:r>
      <w:r w:rsidRPr="00C93A58">
        <w:rPr>
          <w:sz w:val="28"/>
          <w:szCs w:val="28"/>
        </w:rPr>
        <w:t xml:space="preserve"> </w:t>
      </w:r>
    </w:p>
    <w:p w:rsidR="00F07E05" w:rsidRPr="00C93A58" w:rsidRDefault="00F07E05" w:rsidP="00F07E05">
      <w:pPr>
        <w:ind w:firstLine="720"/>
        <w:jc w:val="both"/>
        <w:rPr>
          <w:sz w:val="28"/>
          <w:szCs w:val="28"/>
        </w:rPr>
      </w:pPr>
      <w:r w:rsidRPr="00C93A58">
        <w:rPr>
          <w:b/>
          <w:sz w:val="28"/>
          <w:szCs w:val="28"/>
        </w:rPr>
        <w:t>Прогноз на 20</w:t>
      </w:r>
      <w:r>
        <w:rPr>
          <w:b/>
          <w:sz w:val="28"/>
          <w:szCs w:val="28"/>
        </w:rPr>
        <w:t>22</w:t>
      </w:r>
      <w:r w:rsidRPr="00C93A58">
        <w:rPr>
          <w:b/>
          <w:sz w:val="28"/>
          <w:szCs w:val="28"/>
        </w:rPr>
        <w:t xml:space="preserve"> год </w:t>
      </w:r>
      <w:r>
        <w:rPr>
          <w:b/>
          <w:sz w:val="28"/>
          <w:szCs w:val="28"/>
        </w:rPr>
        <w:t xml:space="preserve"> - 207,9 </w:t>
      </w:r>
      <w:r w:rsidRPr="00C93A58">
        <w:rPr>
          <w:b/>
          <w:sz w:val="28"/>
          <w:szCs w:val="28"/>
        </w:rPr>
        <w:t xml:space="preserve">  тыс. руб.</w:t>
      </w:r>
      <w:r w:rsidRPr="00C93A58">
        <w:rPr>
          <w:sz w:val="28"/>
          <w:szCs w:val="28"/>
        </w:rPr>
        <w:t xml:space="preserve"> (</w:t>
      </w:r>
      <w:r>
        <w:rPr>
          <w:sz w:val="28"/>
          <w:szCs w:val="28"/>
        </w:rPr>
        <w:t>247,2</w:t>
      </w:r>
      <w:r w:rsidRPr="00C93A58">
        <w:rPr>
          <w:sz w:val="28"/>
          <w:szCs w:val="28"/>
        </w:rPr>
        <w:t xml:space="preserve"> тыс.</w:t>
      </w:r>
      <w:r w:rsidR="005E37D3">
        <w:rPr>
          <w:sz w:val="28"/>
          <w:szCs w:val="28"/>
        </w:rPr>
        <w:t xml:space="preserve"> </w:t>
      </w:r>
      <w:r w:rsidRPr="00C93A58">
        <w:rPr>
          <w:sz w:val="28"/>
          <w:szCs w:val="28"/>
        </w:rPr>
        <w:t>руб.</w:t>
      </w:r>
      <w:r>
        <w:rPr>
          <w:sz w:val="28"/>
          <w:szCs w:val="28"/>
        </w:rPr>
        <w:t>+ 338,6 тыс. руб</w:t>
      </w:r>
      <w:r w:rsidRPr="00C93A58">
        <w:rPr>
          <w:sz w:val="28"/>
          <w:szCs w:val="28"/>
        </w:rPr>
        <w:t>.</w:t>
      </w:r>
      <w:r>
        <w:rPr>
          <w:sz w:val="28"/>
          <w:szCs w:val="28"/>
        </w:rPr>
        <w:t>+ 37,9</w:t>
      </w:r>
      <w:r w:rsidRPr="00C93A58">
        <w:rPr>
          <w:sz w:val="28"/>
          <w:szCs w:val="28"/>
        </w:rPr>
        <w:t xml:space="preserve">)/3 = </w:t>
      </w:r>
      <w:r>
        <w:rPr>
          <w:sz w:val="28"/>
          <w:szCs w:val="28"/>
        </w:rPr>
        <w:t xml:space="preserve">207,9 </w:t>
      </w:r>
      <w:r w:rsidRPr="00C93A58">
        <w:rPr>
          <w:sz w:val="28"/>
          <w:szCs w:val="28"/>
        </w:rPr>
        <w:t xml:space="preserve"> т</w:t>
      </w:r>
      <w:r>
        <w:rPr>
          <w:sz w:val="28"/>
          <w:szCs w:val="28"/>
        </w:rPr>
        <w:t>ыс. руб.</w:t>
      </w:r>
    </w:p>
    <w:p w:rsidR="00F07E05" w:rsidRPr="00C93A58" w:rsidRDefault="00F07E05" w:rsidP="00F07E05">
      <w:pPr>
        <w:ind w:firstLine="720"/>
        <w:jc w:val="both"/>
        <w:rPr>
          <w:b/>
          <w:sz w:val="28"/>
          <w:szCs w:val="28"/>
        </w:rPr>
      </w:pPr>
      <w:r w:rsidRPr="00C93A58">
        <w:rPr>
          <w:b/>
          <w:sz w:val="28"/>
          <w:szCs w:val="28"/>
        </w:rPr>
        <w:t>Прогноз на 20</w:t>
      </w:r>
      <w:r>
        <w:rPr>
          <w:b/>
          <w:sz w:val="28"/>
          <w:szCs w:val="28"/>
        </w:rPr>
        <w:t>23</w:t>
      </w:r>
      <w:r w:rsidRPr="00C93A58">
        <w:rPr>
          <w:b/>
          <w:sz w:val="28"/>
          <w:szCs w:val="28"/>
        </w:rPr>
        <w:t>-202</w:t>
      </w:r>
      <w:r>
        <w:rPr>
          <w:b/>
          <w:sz w:val="28"/>
          <w:szCs w:val="28"/>
        </w:rPr>
        <w:t>4</w:t>
      </w:r>
      <w:r w:rsidRPr="00C93A58">
        <w:rPr>
          <w:b/>
          <w:sz w:val="28"/>
          <w:szCs w:val="28"/>
        </w:rPr>
        <w:t xml:space="preserve">  годы  </w:t>
      </w:r>
      <w:r w:rsidRPr="00C93A58">
        <w:rPr>
          <w:sz w:val="28"/>
          <w:szCs w:val="28"/>
        </w:rPr>
        <w:t>на уровне прогноза 20</w:t>
      </w:r>
      <w:r>
        <w:rPr>
          <w:sz w:val="28"/>
          <w:szCs w:val="28"/>
        </w:rPr>
        <w:t>22</w:t>
      </w:r>
      <w:r w:rsidRPr="00C93A58">
        <w:rPr>
          <w:sz w:val="28"/>
          <w:szCs w:val="28"/>
        </w:rPr>
        <w:t xml:space="preserve"> года.</w:t>
      </w:r>
    </w:p>
    <w:p w:rsidR="00F07E05" w:rsidRPr="00C93A58" w:rsidRDefault="00F07E05" w:rsidP="00F07E05">
      <w:pPr>
        <w:pStyle w:val="21"/>
        <w:rPr>
          <w:lang w:eastAsia="en-US"/>
        </w:rPr>
      </w:pPr>
    </w:p>
    <w:p w:rsidR="00F07E05" w:rsidRDefault="00F07E05" w:rsidP="00F07E05">
      <w:pPr>
        <w:pStyle w:val="21"/>
        <w:jc w:val="center"/>
        <w:rPr>
          <w:b/>
          <w:color w:val="FF0000"/>
        </w:rPr>
      </w:pPr>
    </w:p>
    <w:p w:rsidR="00F07E05" w:rsidRPr="009B02A8" w:rsidRDefault="00F07E05" w:rsidP="00F07E05">
      <w:pPr>
        <w:pStyle w:val="21"/>
        <w:jc w:val="center"/>
        <w:rPr>
          <w:b/>
        </w:rPr>
      </w:pPr>
      <w:r w:rsidRPr="009B02A8">
        <w:rPr>
          <w:b/>
        </w:rPr>
        <w:t>Избирательная комиссия Тверской области</w:t>
      </w:r>
    </w:p>
    <w:p w:rsidR="00F07E05" w:rsidRPr="00C93A58" w:rsidRDefault="00F07E05" w:rsidP="00F07E05">
      <w:pPr>
        <w:pStyle w:val="21"/>
        <w:rPr>
          <w:b/>
        </w:rPr>
      </w:pPr>
    </w:p>
    <w:p w:rsidR="00F07E05" w:rsidRPr="00C93A58" w:rsidRDefault="00F07E05" w:rsidP="00F07E05">
      <w:pPr>
        <w:pStyle w:val="a7"/>
        <w:ind w:left="0" w:firstLine="360"/>
        <w:jc w:val="right"/>
        <w:rPr>
          <w:b/>
        </w:rPr>
      </w:pPr>
      <w:r w:rsidRPr="00C93A58">
        <w:rPr>
          <w:b/>
        </w:rPr>
        <w:t>тыс. руб.</w:t>
      </w:r>
    </w:p>
    <w:tbl>
      <w:tblPr>
        <w:tblW w:w="9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6"/>
        <w:gridCol w:w="2546"/>
        <w:gridCol w:w="1382"/>
        <w:gridCol w:w="1454"/>
        <w:gridCol w:w="1636"/>
      </w:tblGrid>
      <w:tr w:rsidR="00F07E05" w:rsidRPr="00C93A58" w:rsidTr="008A253E">
        <w:trPr>
          <w:trHeight w:val="278"/>
        </w:trPr>
        <w:tc>
          <w:tcPr>
            <w:tcW w:w="2546" w:type="dxa"/>
            <w:noWrap/>
          </w:tcPr>
          <w:p w:rsidR="00F07E05" w:rsidRPr="00C93A58" w:rsidRDefault="00F07E05" w:rsidP="008A253E">
            <w:pPr>
              <w:rPr>
                <w:b/>
                <w:sz w:val="20"/>
                <w:szCs w:val="20"/>
              </w:rPr>
            </w:pPr>
            <w:r w:rsidRPr="00C93A58">
              <w:rPr>
                <w:b/>
                <w:sz w:val="20"/>
                <w:szCs w:val="20"/>
              </w:rPr>
              <w:t>Код БК</w:t>
            </w:r>
          </w:p>
        </w:tc>
        <w:tc>
          <w:tcPr>
            <w:tcW w:w="2546" w:type="dxa"/>
            <w:noWrap/>
          </w:tcPr>
          <w:p w:rsidR="00F07E05" w:rsidRPr="00C93A58" w:rsidRDefault="00F07E05" w:rsidP="008A253E">
            <w:pPr>
              <w:rPr>
                <w:b/>
                <w:sz w:val="20"/>
                <w:szCs w:val="20"/>
              </w:rPr>
            </w:pPr>
            <w:r w:rsidRPr="00C93A58">
              <w:rPr>
                <w:b/>
                <w:sz w:val="20"/>
                <w:szCs w:val="20"/>
              </w:rPr>
              <w:t>Наименование</w:t>
            </w:r>
          </w:p>
        </w:tc>
        <w:tc>
          <w:tcPr>
            <w:tcW w:w="1382" w:type="dxa"/>
          </w:tcPr>
          <w:p w:rsidR="00F07E05" w:rsidRPr="00C93A58" w:rsidRDefault="00F07E05" w:rsidP="008A253E">
            <w:pPr>
              <w:jc w:val="center"/>
              <w:rPr>
                <w:b/>
                <w:sz w:val="20"/>
                <w:szCs w:val="20"/>
              </w:rPr>
            </w:pPr>
            <w:r w:rsidRPr="00C93A58">
              <w:rPr>
                <w:b/>
                <w:sz w:val="20"/>
                <w:szCs w:val="20"/>
              </w:rPr>
              <w:t>Прогноз на</w:t>
            </w:r>
          </w:p>
          <w:p w:rsidR="00F07E05" w:rsidRPr="00C93A58" w:rsidRDefault="00F07E05" w:rsidP="008A253E">
            <w:pPr>
              <w:jc w:val="center"/>
              <w:rPr>
                <w:b/>
                <w:sz w:val="20"/>
                <w:szCs w:val="20"/>
              </w:rPr>
            </w:pPr>
            <w:r w:rsidRPr="00C93A58">
              <w:rPr>
                <w:b/>
                <w:sz w:val="20"/>
                <w:szCs w:val="20"/>
              </w:rPr>
              <w:t>20</w:t>
            </w:r>
            <w:r>
              <w:rPr>
                <w:b/>
                <w:sz w:val="20"/>
                <w:szCs w:val="20"/>
              </w:rPr>
              <w:t>2</w:t>
            </w:r>
            <w:r w:rsidR="00D63BC9">
              <w:rPr>
                <w:b/>
                <w:sz w:val="20"/>
                <w:szCs w:val="20"/>
              </w:rPr>
              <w:t>2</w:t>
            </w:r>
            <w:r w:rsidRPr="00C93A58">
              <w:rPr>
                <w:b/>
                <w:sz w:val="20"/>
                <w:szCs w:val="20"/>
              </w:rPr>
              <w:t xml:space="preserve"> год </w:t>
            </w:r>
          </w:p>
          <w:p w:rsidR="00F07E05" w:rsidRPr="00C93A58" w:rsidRDefault="00F07E05" w:rsidP="008A253E">
            <w:pPr>
              <w:jc w:val="center"/>
              <w:rPr>
                <w:b/>
                <w:sz w:val="20"/>
                <w:szCs w:val="20"/>
              </w:rPr>
            </w:pPr>
          </w:p>
        </w:tc>
        <w:tc>
          <w:tcPr>
            <w:tcW w:w="1454" w:type="dxa"/>
          </w:tcPr>
          <w:p w:rsidR="00F07E05" w:rsidRPr="00C93A58" w:rsidRDefault="00F07E05" w:rsidP="008A253E">
            <w:pPr>
              <w:jc w:val="center"/>
              <w:rPr>
                <w:b/>
                <w:sz w:val="20"/>
                <w:szCs w:val="20"/>
              </w:rPr>
            </w:pPr>
            <w:r w:rsidRPr="00C93A58">
              <w:rPr>
                <w:b/>
                <w:sz w:val="20"/>
                <w:szCs w:val="20"/>
              </w:rPr>
              <w:t>Прогноз на</w:t>
            </w:r>
          </w:p>
          <w:p w:rsidR="00F07E05" w:rsidRPr="00C93A58" w:rsidRDefault="00F07E05" w:rsidP="008A253E">
            <w:pPr>
              <w:jc w:val="center"/>
              <w:rPr>
                <w:b/>
                <w:sz w:val="20"/>
                <w:szCs w:val="20"/>
              </w:rPr>
            </w:pPr>
            <w:r w:rsidRPr="00C93A58">
              <w:rPr>
                <w:b/>
                <w:sz w:val="20"/>
                <w:szCs w:val="20"/>
              </w:rPr>
              <w:t>20</w:t>
            </w:r>
            <w:r>
              <w:rPr>
                <w:b/>
                <w:sz w:val="20"/>
                <w:szCs w:val="20"/>
              </w:rPr>
              <w:t>2</w:t>
            </w:r>
            <w:r w:rsidR="00D63BC9">
              <w:rPr>
                <w:b/>
                <w:sz w:val="20"/>
                <w:szCs w:val="20"/>
              </w:rPr>
              <w:t>3</w:t>
            </w:r>
            <w:r>
              <w:rPr>
                <w:b/>
                <w:sz w:val="20"/>
                <w:szCs w:val="20"/>
              </w:rPr>
              <w:t xml:space="preserve"> </w:t>
            </w:r>
            <w:r w:rsidRPr="00C93A58">
              <w:rPr>
                <w:b/>
                <w:sz w:val="20"/>
                <w:szCs w:val="20"/>
              </w:rPr>
              <w:t>год</w:t>
            </w:r>
          </w:p>
          <w:p w:rsidR="00F07E05" w:rsidRPr="00C93A58" w:rsidRDefault="00F07E05" w:rsidP="008A253E">
            <w:pPr>
              <w:jc w:val="center"/>
              <w:rPr>
                <w:b/>
                <w:sz w:val="20"/>
                <w:szCs w:val="20"/>
              </w:rPr>
            </w:pPr>
          </w:p>
        </w:tc>
        <w:tc>
          <w:tcPr>
            <w:tcW w:w="1636" w:type="dxa"/>
          </w:tcPr>
          <w:p w:rsidR="00F07E05" w:rsidRPr="00C93A58" w:rsidRDefault="00F07E05" w:rsidP="008A253E">
            <w:pPr>
              <w:jc w:val="center"/>
              <w:rPr>
                <w:b/>
                <w:sz w:val="20"/>
                <w:szCs w:val="20"/>
              </w:rPr>
            </w:pPr>
            <w:r w:rsidRPr="00C93A58">
              <w:rPr>
                <w:b/>
                <w:sz w:val="20"/>
                <w:szCs w:val="20"/>
              </w:rPr>
              <w:t>Прогноз на</w:t>
            </w:r>
          </w:p>
          <w:p w:rsidR="00F07E05" w:rsidRPr="00C93A58" w:rsidRDefault="00F07E05" w:rsidP="008A253E">
            <w:pPr>
              <w:jc w:val="center"/>
              <w:rPr>
                <w:b/>
                <w:sz w:val="20"/>
                <w:szCs w:val="20"/>
              </w:rPr>
            </w:pPr>
            <w:r w:rsidRPr="00C93A58">
              <w:rPr>
                <w:b/>
                <w:sz w:val="20"/>
                <w:szCs w:val="20"/>
              </w:rPr>
              <w:t>202</w:t>
            </w:r>
            <w:r w:rsidR="00D63BC9">
              <w:rPr>
                <w:b/>
                <w:sz w:val="20"/>
                <w:szCs w:val="20"/>
              </w:rPr>
              <w:t>4</w:t>
            </w:r>
            <w:r>
              <w:rPr>
                <w:b/>
                <w:sz w:val="20"/>
                <w:szCs w:val="20"/>
              </w:rPr>
              <w:t xml:space="preserve"> </w:t>
            </w:r>
            <w:r w:rsidRPr="00C93A58">
              <w:rPr>
                <w:b/>
                <w:sz w:val="20"/>
                <w:szCs w:val="20"/>
              </w:rPr>
              <w:t>год</w:t>
            </w:r>
          </w:p>
          <w:p w:rsidR="00F07E05" w:rsidRPr="00C93A58" w:rsidRDefault="00F07E05" w:rsidP="008A253E">
            <w:pPr>
              <w:jc w:val="center"/>
              <w:rPr>
                <w:b/>
                <w:sz w:val="20"/>
                <w:szCs w:val="20"/>
              </w:rPr>
            </w:pPr>
          </w:p>
          <w:p w:rsidR="00F07E05" w:rsidRPr="00C93A58" w:rsidRDefault="00F07E05" w:rsidP="008A253E">
            <w:pPr>
              <w:jc w:val="center"/>
              <w:rPr>
                <w:b/>
                <w:sz w:val="20"/>
                <w:szCs w:val="20"/>
              </w:rPr>
            </w:pPr>
          </w:p>
        </w:tc>
      </w:tr>
      <w:tr w:rsidR="00F07E05" w:rsidRPr="00C93A58" w:rsidTr="008A253E">
        <w:trPr>
          <w:trHeight w:val="697"/>
        </w:trPr>
        <w:tc>
          <w:tcPr>
            <w:tcW w:w="2546" w:type="dxa"/>
            <w:noWrap/>
          </w:tcPr>
          <w:p w:rsidR="00F07E05" w:rsidRPr="00C93A58" w:rsidRDefault="00F07E05" w:rsidP="008A253E">
            <w:pPr>
              <w:jc w:val="center"/>
              <w:rPr>
                <w:b/>
                <w:sz w:val="16"/>
                <w:szCs w:val="16"/>
              </w:rPr>
            </w:pPr>
          </w:p>
          <w:p w:rsidR="00F07E05" w:rsidRPr="00C93A58" w:rsidRDefault="00F07E05" w:rsidP="008A253E">
            <w:pPr>
              <w:jc w:val="center"/>
              <w:rPr>
                <w:b/>
                <w:sz w:val="16"/>
                <w:szCs w:val="16"/>
              </w:rPr>
            </w:pPr>
          </w:p>
          <w:p w:rsidR="00F07E05" w:rsidRPr="00C93A58" w:rsidRDefault="00F07E05" w:rsidP="008A253E">
            <w:pPr>
              <w:jc w:val="center"/>
              <w:rPr>
                <w:b/>
                <w:sz w:val="16"/>
                <w:szCs w:val="16"/>
              </w:rPr>
            </w:pPr>
            <w:r w:rsidRPr="00C93A58">
              <w:rPr>
                <w:b/>
                <w:sz w:val="16"/>
                <w:szCs w:val="16"/>
              </w:rPr>
              <w:t>000</w:t>
            </w:r>
            <w:r w:rsidRPr="00C93A58">
              <w:rPr>
                <w:b/>
                <w:sz w:val="16"/>
                <w:szCs w:val="16"/>
                <w:lang w:val="en-US"/>
              </w:rPr>
              <w:t xml:space="preserve"> 1 13 0</w:t>
            </w:r>
            <w:r w:rsidRPr="00C93A58">
              <w:rPr>
                <w:b/>
                <w:sz w:val="16"/>
                <w:szCs w:val="16"/>
              </w:rPr>
              <w:t>2990</w:t>
            </w:r>
            <w:r w:rsidRPr="00C93A58">
              <w:rPr>
                <w:b/>
                <w:sz w:val="16"/>
                <w:szCs w:val="16"/>
                <w:lang w:val="en-US"/>
              </w:rPr>
              <w:t xml:space="preserve"> 0</w:t>
            </w:r>
            <w:r w:rsidRPr="00C93A58">
              <w:rPr>
                <w:b/>
                <w:sz w:val="16"/>
                <w:szCs w:val="16"/>
              </w:rPr>
              <w:t>0</w:t>
            </w:r>
            <w:r w:rsidRPr="00C93A58">
              <w:rPr>
                <w:b/>
                <w:sz w:val="16"/>
                <w:szCs w:val="16"/>
                <w:lang w:val="en-US"/>
              </w:rPr>
              <w:t xml:space="preserve"> 0</w:t>
            </w:r>
            <w:r w:rsidRPr="00C93A58">
              <w:rPr>
                <w:b/>
                <w:sz w:val="16"/>
                <w:szCs w:val="16"/>
              </w:rPr>
              <w:t>000 130</w:t>
            </w:r>
          </w:p>
        </w:tc>
        <w:tc>
          <w:tcPr>
            <w:tcW w:w="2546" w:type="dxa"/>
          </w:tcPr>
          <w:p w:rsidR="00F07E05" w:rsidRPr="00C93A58" w:rsidRDefault="00F07E05" w:rsidP="008A253E">
            <w:pPr>
              <w:rPr>
                <w:sz w:val="20"/>
                <w:szCs w:val="20"/>
              </w:rPr>
            </w:pPr>
          </w:p>
          <w:p w:rsidR="00F07E05" w:rsidRPr="00C93A58" w:rsidRDefault="00F07E05" w:rsidP="008A253E">
            <w:pPr>
              <w:rPr>
                <w:sz w:val="20"/>
                <w:szCs w:val="20"/>
              </w:rPr>
            </w:pPr>
            <w:r w:rsidRPr="00C93A58">
              <w:rPr>
                <w:sz w:val="20"/>
                <w:szCs w:val="20"/>
              </w:rPr>
              <w:t xml:space="preserve">Прочие доходы от компенсации затрат государства </w:t>
            </w:r>
          </w:p>
        </w:tc>
        <w:tc>
          <w:tcPr>
            <w:tcW w:w="1382" w:type="dxa"/>
            <w:noWrap/>
          </w:tcPr>
          <w:p w:rsidR="00F07E05" w:rsidRDefault="00F07E05" w:rsidP="008A253E">
            <w:pPr>
              <w:ind w:hanging="108"/>
              <w:jc w:val="center"/>
              <w:rPr>
                <w:sz w:val="20"/>
                <w:szCs w:val="20"/>
              </w:rPr>
            </w:pPr>
          </w:p>
          <w:p w:rsidR="00F07E05" w:rsidRPr="00C93A58" w:rsidRDefault="00F07E05" w:rsidP="008A253E">
            <w:pPr>
              <w:ind w:hanging="108"/>
              <w:jc w:val="center"/>
              <w:rPr>
                <w:sz w:val="20"/>
                <w:szCs w:val="20"/>
              </w:rPr>
            </w:pPr>
            <w:r>
              <w:rPr>
                <w:sz w:val="20"/>
                <w:szCs w:val="20"/>
              </w:rPr>
              <w:t>2,2</w:t>
            </w:r>
          </w:p>
        </w:tc>
        <w:tc>
          <w:tcPr>
            <w:tcW w:w="1454" w:type="dxa"/>
            <w:noWrap/>
          </w:tcPr>
          <w:p w:rsidR="00F07E05" w:rsidRDefault="00F07E05" w:rsidP="008A253E">
            <w:pPr>
              <w:ind w:left="-136" w:right="-108" w:hanging="28"/>
              <w:jc w:val="center"/>
              <w:rPr>
                <w:sz w:val="20"/>
                <w:szCs w:val="20"/>
              </w:rPr>
            </w:pPr>
          </w:p>
          <w:p w:rsidR="00F07E05" w:rsidRPr="00C93A58" w:rsidRDefault="00F07E05" w:rsidP="008A253E">
            <w:pPr>
              <w:ind w:left="-136" w:right="-108" w:hanging="28"/>
              <w:jc w:val="center"/>
              <w:rPr>
                <w:sz w:val="20"/>
                <w:szCs w:val="20"/>
              </w:rPr>
            </w:pPr>
            <w:r>
              <w:rPr>
                <w:sz w:val="20"/>
                <w:szCs w:val="20"/>
              </w:rPr>
              <w:t>2,2</w:t>
            </w:r>
          </w:p>
        </w:tc>
        <w:tc>
          <w:tcPr>
            <w:tcW w:w="1636" w:type="dxa"/>
            <w:noWrap/>
          </w:tcPr>
          <w:p w:rsidR="00F07E05" w:rsidRDefault="00F07E05" w:rsidP="008A253E">
            <w:pPr>
              <w:ind w:left="-108" w:right="-3" w:hanging="108"/>
              <w:jc w:val="center"/>
              <w:rPr>
                <w:sz w:val="20"/>
                <w:szCs w:val="20"/>
              </w:rPr>
            </w:pPr>
          </w:p>
          <w:p w:rsidR="00F07E05" w:rsidRPr="00C93A58" w:rsidRDefault="00F07E05" w:rsidP="008A253E">
            <w:pPr>
              <w:ind w:left="-108" w:right="-3" w:hanging="108"/>
              <w:jc w:val="center"/>
              <w:rPr>
                <w:sz w:val="20"/>
                <w:szCs w:val="20"/>
              </w:rPr>
            </w:pPr>
            <w:r>
              <w:rPr>
                <w:sz w:val="20"/>
                <w:szCs w:val="20"/>
              </w:rPr>
              <w:t>2,2</w:t>
            </w:r>
          </w:p>
        </w:tc>
      </w:tr>
    </w:tbl>
    <w:p w:rsidR="00F07E05" w:rsidRPr="00C93A58" w:rsidRDefault="00F07E05" w:rsidP="00F07E05">
      <w:pPr>
        <w:ind w:firstLine="720"/>
        <w:jc w:val="both"/>
        <w:rPr>
          <w:sz w:val="28"/>
          <w:szCs w:val="28"/>
        </w:rPr>
      </w:pPr>
      <w:r w:rsidRPr="00C93A58">
        <w:rPr>
          <w:sz w:val="28"/>
          <w:szCs w:val="28"/>
        </w:rPr>
        <w:t xml:space="preserve">Прогноз поступления произведен в соответствии с методикой прогнозирования поступлений в областной бюджет Тверской области, в отношении которых </w:t>
      </w:r>
      <w:r>
        <w:rPr>
          <w:sz w:val="28"/>
          <w:szCs w:val="28"/>
        </w:rPr>
        <w:t>Избирательная комиссия</w:t>
      </w:r>
      <w:r w:rsidRPr="00C93A58">
        <w:rPr>
          <w:sz w:val="28"/>
          <w:szCs w:val="28"/>
        </w:rPr>
        <w:t xml:space="preserve"> Тверской области наделена полномочиями главного администратора доходов областного бюджета Тверской обла</w:t>
      </w:r>
      <w:r>
        <w:rPr>
          <w:sz w:val="28"/>
          <w:szCs w:val="28"/>
        </w:rPr>
        <w:t>сти, утвержденной распоряжением Избирательной комиссии Тверской области от 12.09.2019 № 01-08/312-р методом экстраполяции по минимальному значению за три года, предшествующих году осуществления прогнозирования</w:t>
      </w:r>
      <w:r w:rsidRPr="00C93A58">
        <w:rPr>
          <w:sz w:val="28"/>
          <w:szCs w:val="28"/>
        </w:rPr>
        <w:t>.</w:t>
      </w:r>
      <w:r>
        <w:rPr>
          <w:sz w:val="28"/>
          <w:szCs w:val="28"/>
        </w:rPr>
        <w:t xml:space="preserve"> Прогноз на плановый период равен прогнозу на очередной год.</w:t>
      </w:r>
    </w:p>
    <w:p w:rsidR="00F07E05" w:rsidRDefault="00F07E05" w:rsidP="00F07E05">
      <w:pPr>
        <w:ind w:firstLine="720"/>
        <w:jc w:val="both"/>
        <w:rPr>
          <w:sz w:val="28"/>
          <w:szCs w:val="28"/>
        </w:rPr>
      </w:pPr>
      <w:r>
        <w:rPr>
          <w:sz w:val="28"/>
          <w:szCs w:val="28"/>
        </w:rPr>
        <w:t xml:space="preserve">Факт </w:t>
      </w:r>
      <w:r w:rsidRPr="00C93A58">
        <w:rPr>
          <w:sz w:val="28"/>
          <w:szCs w:val="28"/>
        </w:rPr>
        <w:t>2019</w:t>
      </w:r>
      <w:r>
        <w:rPr>
          <w:sz w:val="28"/>
          <w:szCs w:val="28"/>
        </w:rPr>
        <w:t xml:space="preserve"> </w:t>
      </w:r>
      <w:r w:rsidRPr="00C93A58">
        <w:rPr>
          <w:sz w:val="28"/>
          <w:szCs w:val="28"/>
        </w:rPr>
        <w:t xml:space="preserve">год – </w:t>
      </w:r>
      <w:r>
        <w:rPr>
          <w:sz w:val="28"/>
          <w:szCs w:val="28"/>
        </w:rPr>
        <w:t xml:space="preserve">44,1 </w:t>
      </w:r>
      <w:r w:rsidRPr="00C93A58">
        <w:rPr>
          <w:sz w:val="28"/>
          <w:szCs w:val="28"/>
        </w:rPr>
        <w:t xml:space="preserve">тыс. руб., </w:t>
      </w:r>
    </w:p>
    <w:p w:rsidR="00F07E05" w:rsidRDefault="00F07E05" w:rsidP="00F07E05">
      <w:pPr>
        <w:ind w:firstLine="720"/>
        <w:jc w:val="both"/>
        <w:rPr>
          <w:sz w:val="28"/>
          <w:szCs w:val="28"/>
        </w:rPr>
      </w:pPr>
      <w:r>
        <w:rPr>
          <w:sz w:val="28"/>
          <w:szCs w:val="28"/>
        </w:rPr>
        <w:t xml:space="preserve">Факт </w:t>
      </w:r>
      <w:r w:rsidRPr="00C93A58">
        <w:rPr>
          <w:sz w:val="28"/>
          <w:szCs w:val="28"/>
        </w:rPr>
        <w:t>20</w:t>
      </w:r>
      <w:r>
        <w:rPr>
          <w:sz w:val="28"/>
          <w:szCs w:val="28"/>
        </w:rPr>
        <w:t xml:space="preserve">20 год </w:t>
      </w:r>
      <w:r w:rsidRPr="00C93A58">
        <w:rPr>
          <w:sz w:val="28"/>
          <w:szCs w:val="28"/>
        </w:rPr>
        <w:t xml:space="preserve">– </w:t>
      </w:r>
      <w:r>
        <w:rPr>
          <w:sz w:val="28"/>
          <w:szCs w:val="28"/>
        </w:rPr>
        <w:t>39,0</w:t>
      </w:r>
      <w:r w:rsidRPr="00C93A58">
        <w:rPr>
          <w:sz w:val="28"/>
          <w:szCs w:val="28"/>
        </w:rPr>
        <w:t xml:space="preserve"> тыс. руб.</w:t>
      </w:r>
      <w:r>
        <w:rPr>
          <w:sz w:val="28"/>
          <w:szCs w:val="28"/>
        </w:rPr>
        <w:t>;</w:t>
      </w:r>
    </w:p>
    <w:p w:rsidR="00F07E05" w:rsidRDefault="00F07E05" w:rsidP="00F07E05">
      <w:pPr>
        <w:pStyle w:val="21"/>
      </w:pPr>
      <w:r>
        <w:t>Факт 2021 год –   2,2</w:t>
      </w:r>
      <w:r w:rsidRPr="00C93A58">
        <w:t xml:space="preserve"> </w:t>
      </w:r>
      <w:r>
        <w:t xml:space="preserve">тыс. руб. </w:t>
      </w:r>
      <w:r w:rsidRPr="00C93A58">
        <w:t xml:space="preserve"> </w:t>
      </w:r>
    </w:p>
    <w:p w:rsidR="00F07E05" w:rsidRPr="001A35F1" w:rsidRDefault="00F07E05" w:rsidP="00F07E05">
      <w:pPr>
        <w:pStyle w:val="21"/>
        <w:rPr>
          <w:b/>
        </w:rPr>
      </w:pPr>
      <w:r>
        <w:rPr>
          <w:b/>
        </w:rPr>
        <w:lastRenderedPageBreak/>
        <w:t>Прогноз 2022-2024 – 2,2 тыс. руб.</w:t>
      </w:r>
    </w:p>
    <w:p w:rsidR="00F07E05" w:rsidRPr="004D375F" w:rsidRDefault="00F07E05" w:rsidP="00F07E05">
      <w:pPr>
        <w:pStyle w:val="21"/>
        <w:jc w:val="center"/>
        <w:rPr>
          <w:b/>
          <w:color w:val="FFC000"/>
        </w:rPr>
      </w:pPr>
    </w:p>
    <w:p w:rsidR="00F07E05" w:rsidRPr="0076540F" w:rsidRDefault="00F07E05" w:rsidP="00F07E05">
      <w:pPr>
        <w:pStyle w:val="21"/>
        <w:jc w:val="center"/>
        <w:rPr>
          <w:b/>
        </w:rPr>
      </w:pPr>
      <w:r w:rsidRPr="0076540F">
        <w:rPr>
          <w:b/>
        </w:rPr>
        <w:t xml:space="preserve">Министерство экономического развития Тверской области </w:t>
      </w:r>
    </w:p>
    <w:p w:rsidR="00F07E05" w:rsidRPr="004D375F" w:rsidRDefault="00F07E05" w:rsidP="00F07E05">
      <w:pPr>
        <w:pStyle w:val="21"/>
        <w:rPr>
          <w:color w:val="FFC000"/>
        </w:rPr>
      </w:pPr>
    </w:p>
    <w:p w:rsidR="00F07E05" w:rsidRPr="00C93A58" w:rsidRDefault="00F07E05" w:rsidP="00F07E05">
      <w:pPr>
        <w:pStyle w:val="21"/>
      </w:pPr>
      <w:r w:rsidRPr="00C93A58">
        <w:t xml:space="preserve"> Министерство экономического развития Тверской области прогнозирует получение   прочих доходов от компенсации затрат бюджетов в суммах:   </w:t>
      </w:r>
    </w:p>
    <w:p w:rsidR="00F07E05" w:rsidRPr="00C93A58" w:rsidRDefault="00F07E05" w:rsidP="00F07E05">
      <w:pPr>
        <w:pStyle w:val="a7"/>
        <w:ind w:left="0" w:firstLine="360"/>
        <w:jc w:val="right"/>
        <w:rPr>
          <w:b/>
        </w:rPr>
      </w:pPr>
      <w:r w:rsidRPr="00C93A58">
        <w:rPr>
          <w:b/>
        </w:rPr>
        <w:t>тыс. руб.</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1368"/>
        <w:gridCol w:w="1440"/>
        <w:gridCol w:w="1620"/>
      </w:tblGrid>
      <w:tr w:rsidR="00F07E05" w:rsidRPr="00C93A58" w:rsidTr="008A253E">
        <w:trPr>
          <w:trHeight w:val="510"/>
        </w:trPr>
        <w:tc>
          <w:tcPr>
            <w:tcW w:w="2520" w:type="dxa"/>
            <w:noWrap/>
          </w:tcPr>
          <w:p w:rsidR="00F07E05" w:rsidRPr="00C93A58" w:rsidRDefault="00F07E05" w:rsidP="008A253E">
            <w:pPr>
              <w:rPr>
                <w:b/>
                <w:sz w:val="20"/>
                <w:szCs w:val="20"/>
              </w:rPr>
            </w:pPr>
            <w:r w:rsidRPr="00C93A58">
              <w:rPr>
                <w:b/>
                <w:sz w:val="20"/>
                <w:szCs w:val="20"/>
              </w:rPr>
              <w:t>Код БК</w:t>
            </w:r>
          </w:p>
        </w:tc>
        <w:tc>
          <w:tcPr>
            <w:tcW w:w="2520" w:type="dxa"/>
            <w:noWrap/>
          </w:tcPr>
          <w:p w:rsidR="00F07E05" w:rsidRPr="00C93A58" w:rsidRDefault="00F07E05" w:rsidP="008A253E">
            <w:pPr>
              <w:rPr>
                <w:b/>
                <w:sz w:val="20"/>
                <w:szCs w:val="20"/>
              </w:rPr>
            </w:pPr>
            <w:r w:rsidRPr="00C93A58">
              <w:rPr>
                <w:b/>
                <w:sz w:val="20"/>
                <w:szCs w:val="20"/>
              </w:rPr>
              <w:t>Наименование</w:t>
            </w:r>
          </w:p>
        </w:tc>
        <w:tc>
          <w:tcPr>
            <w:tcW w:w="1368" w:type="dxa"/>
          </w:tcPr>
          <w:p w:rsidR="00F07E05" w:rsidRPr="00C93A58" w:rsidRDefault="00F07E05" w:rsidP="008A253E">
            <w:pPr>
              <w:jc w:val="center"/>
              <w:rPr>
                <w:b/>
                <w:sz w:val="20"/>
                <w:szCs w:val="20"/>
              </w:rPr>
            </w:pPr>
            <w:r w:rsidRPr="00C93A58">
              <w:rPr>
                <w:b/>
                <w:sz w:val="20"/>
                <w:szCs w:val="20"/>
              </w:rPr>
              <w:t>Прогноз на</w:t>
            </w:r>
          </w:p>
          <w:p w:rsidR="00F07E05" w:rsidRPr="00C93A58" w:rsidRDefault="00F07E05" w:rsidP="008A253E">
            <w:pPr>
              <w:jc w:val="center"/>
              <w:rPr>
                <w:b/>
                <w:sz w:val="20"/>
                <w:szCs w:val="20"/>
              </w:rPr>
            </w:pPr>
            <w:r w:rsidRPr="00C93A58">
              <w:rPr>
                <w:b/>
                <w:sz w:val="20"/>
                <w:szCs w:val="20"/>
              </w:rPr>
              <w:t>20</w:t>
            </w:r>
            <w:r>
              <w:rPr>
                <w:b/>
                <w:sz w:val="20"/>
                <w:szCs w:val="20"/>
              </w:rPr>
              <w:t xml:space="preserve">22 </w:t>
            </w:r>
            <w:r w:rsidRPr="00C93A58">
              <w:rPr>
                <w:b/>
                <w:sz w:val="20"/>
                <w:szCs w:val="20"/>
              </w:rPr>
              <w:t xml:space="preserve">год </w:t>
            </w:r>
          </w:p>
          <w:p w:rsidR="00F07E05" w:rsidRPr="00C93A58" w:rsidRDefault="00F07E05" w:rsidP="008A253E">
            <w:pPr>
              <w:jc w:val="center"/>
              <w:rPr>
                <w:b/>
                <w:sz w:val="20"/>
                <w:szCs w:val="20"/>
              </w:rPr>
            </w:pPr>
          </w:p>
        </w:tc>
        <w:tc>
          <w:tcPr>
            <w:tcW w:w="1440" w:type="dxa"/>
          </w:tcPr>
          <w:p w:rsidR="00F07E05" w:rsidRPr="00C93A58" w:rsidRDefault="00F07E05" w:rsidP="008A253E">
            <w:pPr>
              <w:jc w:val="center"/>
              <w:rPr>
                <w:b/>
                <w:sz w:val="20"/>
                <w:szCs w:val="20"/>
              </w:rPr>
            </w:pPr>
            <w:r w:rsidRPr="00C93A58">
              <w:rPr>
                <w:b/>
                <w:sz w:val="20"/>
                <w:szCs w:val="20"/>
              </w:rPr>
              <w:t>Прогноз на</w:t>
            </w:r>
          </w:p>
          <w:p w:rsidR="00F07E05" w:rsidRPr="00C93A58" w:rsidRDefault="00F07E05" w:rsidP="008A253E">
            <w:pPr>
              <w:jc w:val="center"/>
              <w:rPr>
                <w:b/>
                <w:sz w:val="20"/>
                <w:szCs w:val="20"/>
              </w:rPr>
            </w:pPr>
            <w:r w:rsidRPr="00C93A58">
              <w:rPr>
                <w:b/>
                <w:sz w:val="20"/>
                <w:szCs w:val="20"/>
              </w:rPr>
              <w:t>20</w:t>
            </w:r>
            <w:r>
              <w:rPr>
                <w:b/>
                <w:sz w:val="20"/>
                <w:szCs w:val="20"/>
              </w:rPr>
              <w:t>23</w:t>
            </w:r>
            <w:r w:rsidRPr="00C93A58">
              <w:rPr>
                <w:b/>
                <w:sz w:val="20"/>
                <w:szCs w:val="20"/>
              </w:rPr>
              <w:t xml:space="preserve"> год</w:t>
            </w:r>
          </w:p>
          <w:p w:rsidR="00F07E05" w:rsidRPr="00C93A58" w:rsidRDefault="00F07E05" w:rsidP="008A253E">
            <w:pPr>
              <w:jc w:val="center"/>
              <w:rPr>
                <w:b/>
                <w:sz w:val="20"/>
                <w:szCs w:val="20"/>
              </w:rPr>
            </w:pPr>
          </w:p>
        </w:tc>
        <w:tc>
          <w:tcPr>
            <w:tcW w:w="1620" w:type="dxa"/>
          </w:tcPr>
          <w:p w:rsidR="00F07E05" w:rsidRPr="00C93A58" w:rsidRDefault="00F07E05" w:rsidP="008A253E">
            <w:pPr>
              <w:jc w:val="center"/>
              <w:rPr>
                <w:b/>
                <w:sz w:val="20"/>
                <w:szCs w:val="20"/>
              </w:rPr>
            </w:pPr>
            <w:r w:rsidRPr="00C93A58">
              <w:rPr>
                <w:b/>
                <w:sz w:val="20"/>
                <w:szCs w:val="20"/>
              </w:rPr>
              <w:t>Прогноз на</w:t>
            </w:r>
          </w:p>
          <w:p w:rsidR="00F07E05" w:rsidRPr="00C93A58" w:rsidRDefault="00F07E05" w:rsidP="008A253E">
            <w:pPr>
              <w:jc w:val="center"/>
              <w:rPr>
                <w:b/>
                <w:sz w:val="20"/>
                <w:szCs w:val="20"/>
              </w:rPr>
            </w:pPr>
            <w:r w:rsidRPr="00C93A58">
              <w:rPr>
                <w:b/>
                <w:sz w:val="20"/>
                <w:szCs w:val="20"/>
              </w:rPr>
              <w:t>202</w:t>
            </w:r>
            <w:r>
              <w:rPr>
                <w:b/>
                <w:sz w:val="20"/>
                <w:szCs w:val="20"/>
              </w:rPr>
              <w:t>4</w:t>
            </w:r>
            <w:r w:rsidRPr="00C93A58">
              <w:rPr>
                <w:b/>
                <w:sz w:val="20"/>
                <w:szCs w:val="20"/>
              </w:rPr>
              <w:t xml:space="preserve"> год</w:t>
            </w:r>
          </w:p>
          <w:p w:rsidR="00F07E05" w:rsidRPr="00C93A58" w:rsidRDefault="00F07E05" w:rsidP="008A253E">
            <w:pPr>
              <w:jc w:val="center"/>
              <w:rPr>
                <w:b/>
                <w:sz w:val="20"/>
                <w:szCs w:val="20"/>
              </w:rPr>
            </w:pPr>
          </w:p>
          <w:p w:rsidR="00F07E05" w:rsidRPr="00C93A58" w:rsidRDefault="00F07E05" w:rsidP="008A253E">
            <w:pPr>
              <w:jc w:val="center"/>
              <w:rPr>
                <w:b/>
                <w:sz w:val="20"/>
                <w:szCs w:val="20"/>
              </w:rPr>
            </w:pPr>
          </w:p>
        </w:tc>
      </w:tr>
      <w:tr w:rsidR="00F07E05" w:rsidRPr="00C93A58" w:rsidTr="008A253E">
        <w:trPr>
          <w:trHeight w:val="930"/>
        </w:trPr>
        <w:tc>
          <w:tcPr>
            <w:tcW w:w="2520" w:type="dxa"/>
            <w:noWrap/>
          </w:tcPr>
          <w:p w:rsidR="00F07E05" w:rsidRPr="00C93A58" w:rsidRDefault="00F07E05" w:rsidP="008A253E">
            <w:pPr>
              <w:jc w:val="center"/>
              <w:rPr>
                <w:b/>
                <w:sz w:val="16"/>
                <w:szCs w:val="16"/>
              </w:rPr>
            </w:pPr>
          </w:p>
          <w:p w:rsidR="00F07E05" w:rsidRPr="00C93A58" w:rsidRDefault="00F07E05" w:rsidP="008A253E">
            <w:pPr>
              <w:jc w:val="center"/>
              <w:rPr>
                <w:b/>
                <w:sz w:val="16"/>
                <w:szCs w:val="16"/>
              </w:rPr>
            </w:pPr>
          </w:p>
          <w:p w:rsidR="00F07E05" w:rsidRPr="00C93A58" w:rsidRDefault="00F07E05" w:rsidP="008A253E">
            <w:pPr>
              <w:jc w:val="center"/>
              <w:rPr>
                <w:b/>
                <w:sz w:val="16"/>
                <w:szCs w:val="16"/>
              </w:rPr>
            </w:pPr>
            <w:r w:rsidRPr="00C93A58">
              <w:rPr>
                <w:b/>
                <w:sz w:val="16"/>
                <w:szCs w:val="16"/>
              </w:rPr>
              <w:t>000</w:t>
            </w:r>
            <w:r w:rsidRPr="00C93A58">
              <w:rPr>
                <w:b/>
                <w:sz w:val="16"/>
                <w:szCs w:val="16"/>
                <w:lang w:val="en-US"/>
              </w:rPr>
              <w:t xml:space="preserve"> 1 13 0</w:t>
            </w:r>
            <w:r w:rsidRPr="00C93A58">
              <w:rPr>
                <w:b/>
                <w:sz w:val="16"/>
                <w:szCs w:val="16"/>
              </w:rPr>
              <w:t>2990</w:t>
            </w:r>
            <w:r w:rsidRPr="00C93A58">
              <w:rPr>
                <w:b/>
                <w:sz w:val="16"/>
                <w:szCs w:val="16"/>
                <w:lang w:val="en-US"/>
              </w:rPr>
              <w:t xml:space="preserve"> 0</w:t>
            </w:r>
            <w:r w:rsidRPr="00C93A58">
              <w:rPr>
                <w:b/>
                <w:sz w:val="16"/>
                <w:szCs w:val="16"/>
              </w:rPr>
              <w:t>0</w:t>
            </w:r>
            <w:r w:rsidRPr="00C93A58">
              <w:rPr>
                <w:b/>
                <w:sz w:val="16"/>
                <w:szCs w:val="16"/>
                <w:lang w:val="en-US"/>
              </w:rPr>
              <w:t xml:space="preserve"> 0</w:t>
            </w:r>
            <w:r w:rsidRPr="00C93A58">
              <w:rPr>
                <w:b/>
                <w:sz w:val="16"/>
                <w:szCs w:val="16"/>
              </w:rPr>
              <w:t>000 130</w:t>
            </w:r>
          </w:p>
        </w:tc>
        <w:tc>
          <w:tcPr>
            <w:tcW w:w="2520" w:type="dxa"/>
          </w:tcPr>
          <w:p w:rsidR="00F07E05" w:rsidRPr="00C93A58" w:rsidRDefault="00F07E05" w:rsidP="008A253E">
            <w:pPr>
              <w:rPr>
                <w:sz w:val="20"/>
                <w:szCs w:val="20"/>
              </w:rPr>
            </w:pPr>
          </w:p>
          <w:p w:rsidR="00F07E05" w:rsidRPr="00C93A58" w:rsidRDefault="00F07E05" w:rsidP="008A253E">
            <w:pPr>
              <w:rPr>
                <w:sz w:val="20"/>
                <w:szCs w:val="20"/>
              </w:rPr>
            </w:pPr>
            <w:r w:rsidRPr="00C93A58">
              <w:rPr>
                <w:sz w:val="20"/>
                <w:szCs w:val="20"/>
              </w:rPr>
              <w:t xml:space="preserve">Прочие доходы от компенсации затрат государства </w:t>
            </w:r>
          </w:p>
        </w:tc>
        <w:tc>
          <w:tcPr>
            <w:tcW w:w="1368" w:type="dxa"/>
            <w:noWrap/>
          </w:tcPr>
          <w:p w:rsidR="00F07E05" w:rsidRDefault="00F07E05" w:rsidP="008A253E">
            <w:pPr>
              <w:ind w:hanging="108"/>
              <w:jc w:val="center"/>
              <w:rPr>
                <w:sz w:val="20"/>
                <w:szCs w:val="20"/>
              </w:rPr>
            </w:pPr>
          </w:p>
          <w:p w:rsidR="00F07E05" w:rsidRDefault="00F07E05" w:rsidP="008A253E">
            <w:pPr>
              <w:ind w:hanging="108"/>
              <w:jc w:val="center"/>
              <w:rPr>
                <w:sz w:val="20"/>
                <w:szCs w:val="20"/>
              </w:rPr>
            </w:pPr>
          </w:p>
          <w:p w:rsidR="00F07E05" w:rsidRPr="00C93A58" w:rsidRDefault="00F07E05" w:rsidP="008A253E">
            <w:pPr>
              <w:ind w:hanging="108"/>
              <w:jc w:val="center"/>
              <w:rPr>
                <w:sz w:val="20"/>
                <w:szCs w:val="20"/>
              </w:rPr>
            </w:pPr>
            <w:r>
              <w:rPr>
                <w:sz w:val="20"/>
                <w:szCs w:val="20"/>
              </w:rPr>
              <w:t>769,2</w:t>
            </w:r>
          </w:p>
        </w:tc>
        <w:tc>
          <w:tcPr>
            <w:tcW w:w="1440" w:type="dxa"/>
            <w:noWrap/>
          </w:tcPr>
          <w:p w:rsidR="00F07E05" w:rsidRDefault="00F07E05" w:rsidP="008A253E">
            <w:pPr>
              <w:ind w:left="-136" w:right="-108" w:hanging="28"/>
              <w:jc w:val="center"/>
              <w:rPr>
                <w:sz w:val="20"/>
                <w:szCs w:val="20"/>
              </w:rPr>
            </w:pPr>
          </w:p>
          <w:p w:rsidR="00F07E05" w:rsidRDefault="00F07E05" w:rsidP="008A253E">
            <w:pPr>
              <w:ind w:left="-136" w:right="-108" w:hanging="28"/>
              <w:jc w:val="center"/>
              <w:rPr>
                <w:sz w:val="20"/>
                <w:szCs w:val="20"/>
              </w:rPr>
            </w:pPr>
          </w:p>
          <w:p w:rsidR="00F07E05" w:rsidRPr="00C93A58" w:rsidRDefault="00F07E05" w:rsidP="008A253E">
            <w:pPr>
              <w:ind w:left="-136" w:right="-108" w:hanging="28"/>
              <w:jc w:val="center"/>
              <w:rPr>
                <w:sz w:val="20"/>
                <w:szCs w:val="20"/>
              </w:rPr>
            </w:pPr>
            <w:r>
              <w:rPr>
                <w:sz w:val="20"/>
                <w:szCs w:val="20"/>
              </w:rPr>
              <w:t>876,7</w:t>
            </w:r>
          </w:p>
        </w:tc>
        <w:tc>
          <w:tcPr>
            <w:tcW w:w="1620" w:type="dxa"/>
            <w:noWrap/>
          </w:tcPr>
          <w:p w:rsidR="00F07E05" w:rsidRDefault="00F07E05" w:rsidP="008A253E">
            <w:pPr>
              <w:ind w:left="-108" w:right="-3" w:hanging="108"/>
              <w:jc w:val="center"/>
              <w:rPr>
                <w:sz w:val="20"/>
                <w:szCs w:val="20"/>
              </w:rPr>
            </w:pPr>
          </w:p>
          <w:p w:rsidR="00F07E05" w:rsidRDefault="00F07E05" w:rsidP="008A253E">
            <w:pPr>
              <w:ind w:left="-108" w:right="-3" w:hanging="108"/>
              <w:jc w:val="center"/>
              <w:rPr>
                <w:sz w:val="20"/>
                <w:szCs w:val="20"/>
              </w:rPr>
            </w:pPr>
          </w:p>
          <w:p w:rsidR="00F07E05" w:rsidRPr="00C93A58" w:rsidRDefault="00F07E05" w:rsidP="008A253E">
            <w:pPr>
              <w:ind w:left="-108" w:right="-3" w:hanging="108"/>
              <w:jc w:val="center"/>
              <w:rPr>
                <w:sz w:val="20"/>
                <w:szCs w:val="20"/>
              </w:rPr>
            </w:pPr>
            <w:r>
              <w:rPr>
                <w:sz w:val="20"/>
                <w:szCs w:val="20"/>
              </w:rPr>
              <w:t>1 019,6</w:t>
            </w:r>
          </w:p>
        </w:tc>
      </w:tr>
    </w:tbl>
    <w:p w:rsidR="00F07E05" w:rsidRDefault="00F07E05" w:rsidP="00F07E05">
      <w:pPr>
        <w:spacing w:line="276" w:lineRule="auto"/>
        <w:ind w:firstLine="720"/>
        <w:jc w:val="both"/>
        <w:rPr>
          <w:sz w:val="28"/>
          <w:szCs w:val="28"/>
        </w:rPr>
      </w:pPr>
      <w:r>
        <w:rPr>
          <w:sz w:val="28"/>
          <w:szCs w:val="28"/>
        </w:rPr>
        <w:t xml:space="preserve"> Расчет произведен в соответствии с  методикой расчета прогноза доходов, утвержденной приказом Министерства экономического развития Тверской области (далее по тексту- Министерство) от 21.05.2020 № 120 «Об утверждении методики формирования прогноза доходов областного бюджета, администрирование которых осуществляет Министерство экономического развития Тверской области»  кодам бюджетной классификации составят:</w:t>
      </w:r>
    </w:p>
    <w:p w:rsidR="00F07E05" w:rsidRDefault="00F07E05" w:rsidP="00F07E05">
      <w:pPr>
        <w:spacing w:line="276" w:lineRule="auto"/>
        <w:ind w:firstLine="720"/>
        <w:jc w:val="both"/>
        <w:rPr>
          <w:sz w:val="28"/>
          <w:szCs w:val="28"/>
        </w:rPr>
      </w:pPr>
      <w:r>
        <w:rPr>
          <w:sz w:val="28"/>
          <w:szCs w:val="28"/>
        </w:rPr>
        <w:t xml:space="preserve"> </w:t>
      </w:r>
    </w:p>
    <w:p w:rsidR="00F07E05" w:rsidRPr="000B243E" w:rsidRDefault="00F07E05" w:rsidP="00F07E05">
      <w:pPr>
        <w:spacing w:line="276" w:lineRule="auto"/>
        <w:ind w:right="20"/>
        <w:jc w:val="both"/>
        <w:rPr>
          <w:sz w:val="28"/>
          <w:szCs w:val="28"/>
          <w:lang w:eastAsia="en-US"/>
        </w:rPr>
      </w:pPr>
      <w:r w:rsidRPr="000B243E">
        <w:rPr>
          <w:sz w:val="28"/>
          <w:szCs w:val="28"/>
          <w:lang w:eastAsia="en-US"/>
        </w:rPr>
        <w:t xml:space="preserve">1. </w:t>
      </w:r>
      <w:r w:rsidRPr="000B243E">
        <w:rPr>
          <w:sz w:val="28"/>
          <w:szCs w:val="28"/>
          <w:u w:val="single"/>
        </w:rPr>
        <w:t xml:space="preserve">по коду </w:t>
      </w:r>
      <w:r w:rsidRPr="000B243E">
        <w:rPr>
          <w:b/>
          <w:sz w:val="28"/>
          <w:szCs w:val="28"/>
          <w:u w:val="single"/>
        </w:rPr>
        <w:t>013 1 13 02992 02 0420 130</w:t>
      </w:r>
      <w:r w:rsidRPr="000B243E">
        <w:rPr>
          <w:sz w:val="28"/>
          <w:szCs w:val="28"/>
        </w:rPr>
        <w:t>-</w:t>
      </w:r>
      <w:r w:rsidRPr="000B243E">
        <w:rPr>
          <w:sz w:val="28"/>
          <w:szCs w:val="28"/>
          <w:lang w:eastAsia="en-US"/>
        </w:rPr>
        <w:t xml:space="preserve"> Прочие доходы от компенсации затрат бюджетов субъектов Российской</w:t>
      </w:r>
      <w:r w:rsidRPr="000B243E">
        <w:rPr>
          <w:sz w:val="28"/>
          <w:szCs w:val="28"/>
          <w:lang w:eastAsia="en-US"/>
        </w:rPr>
        <w:tab/>
        <w:t xml:space="preserve"> Федерации (средства в объеме остатков субсидий, предоставленных государственным автономным учреждениям Тверской области на финансовое обеспечение выполнения ими государственного задания на оказание государственных услуг (выполнение работ), образовавшихся в связи с недостижением установленных государственным заданием показателей, характеризующих объем государственных услуг (работ) в отчетном финансовом году»:</w:t>
      </w:r>
    </w:p>
    <w:p w:rsidR="00F07E05" w:rsidRDefault="00F07E05" w:rsidP="00F07E05">
      <w:pPr>
        <w:autoSpaceDE w:val="0"/>
        <w:autoSpaceDN w:val="0"/>
        <w:adjustRightInd w:val="0"/>
        <w:jc w:val="both"/>
        <w:rPr>
          <w:sz w:val="28"/>
          <w:szCs w:val="28"/>
          <w:shd w:val="clear" w:color="auto" w:fill="FFFFFF"/>
          <w:lang w:eastAsia="en-US"/>
        </w:rPr>
      </w:pPr>
      <w:r>
        <w:rPr>
          <w:rFonts w:eastAsia="Calibri"/>
          <w:color w:val="000000"/>
          <w:sz w:val="28"/>
          <w:szCs w:val="28"/>
          <w:lang w:eastAsia="en-US"/>
        </w:rPr>
        <w:t xml:space="preserve">     Прогнозное  значение показателя на 2022 год</w:t>
      </w:r>
      <w:r w:rsidRPr="00212655">
        <w:rPr>
          <w:sz w:val="28"/>
          <w:szCs w:val="28"/>
          <w:shd w:val="clear" w:color="auto" w:fill="FFFFFF"/>
          <w:lang w:eastAsia="en-US"/>
        </w:rPr>
        <w:t xml:space="preserve"> </w:t>
      </w:r>
      <w:r>
        <w:rPr>
          <w:sz w:val="28"/>
          <w:szCs w:val="28"/>
          <w:shd w:val="clear" w:color="auto" w:fill="FFFFFF"/>
          <w:lang w:eastAsia="en-US"/>
        </w:rPr>
        <w:t xml:space="preserve">рассчитывается исходя из минимальных годовых объемов поступлений сумм  доходов за предшествующий очередному финансовому году 3-х летний период </w:t>
      </w:r>
    </w:p>
    <w:p w:rsidR="00F07E05" w:rsidRDefault="00F07E05" w:rsidP="00F07E05">
      <w:pPr>
        <w:autoSpaceDE w:val="0"/>
        <w:autoSpaceDN w:val="0"/>
        <w:adjustRightInd w:val="0"/>
        <w:jc w:val="both"/>
        <w:rPr>
          <w:sz w:val="28"/>
          <w:szCs w:val="28"/>
          <w:shd w:val="clear" w:color="auto" w:fill="FFFFFF"/>
          <w:lang w:eastAsia="en-US"/>
        </w:rPr>
      </w:pPr>
    </w:p>
    <w:p w:rsidR="00F07E05" w:rsidRDefault="00F07E05" w:rsidP="00F07E05">
      <w:pPr>
        <w:autoSpaceDE w:val="0"/>
        <w:autoSpaceDN w:val="0"/>
        <w:adjustRightInd w:val="0"/>
        <w:jc w:val="both"/>
        <w:rPr>
          <w:sz w:val="28"/>
          <w:szCs w:val="28"/>
          <w:shd w:val="clear" w:color="auto" w:fill="FFFFFF"/>
          <w:lang w:eastAsia="en-US"/>
        </w:rPr>
      </w:pPr>
      <w:r>
        <w:rPr>
          <w:sz w:val="28"/>
          <w:szCs w:val="28"/>
          <w:shd w:val="clear" w:color="auto" w:fill="FFFFFF"/>
          <w:lang w:eastAsia="en-US"/>
        </w:rPr>
        <w:t>2019 год (факт) – 16,02 тыс. руб.;</w:t>
      </w:r>
    </w:p>
    <w:p w:rsidR="00F07E05" w:rsidRDefault="00F07E05" w:rsidP="00F07E05">
      <w:pPr>
        <w:autoSpaceDE w:val="0"/>
        <w:autoSpaceDN w:val="0"/>
        <w:adjustRightInd w:val="0"/>
        <w:jc w:val="both"/>
        <w:rPr>
          <w:sz w:val="28"/>
          <w:szCs w:val="28"/>
          <w:shd w:val="clear" w:color="auto" w:fill="FFFFFF"/>
          <w:lang w:eastAsia="en-US"/>
        </w:rPr>
      </w:pPr>
      <w:r>
        <w:rPr>
          <w:sz w:val="28"/>
          <w:szCs w:val="28"/>
          <w:shd w:val="clear" w:color="auto" w:fill="FFFFFF"/>
          <w:lang w:eastAsia="en-US"/>
        </w:rPr>
        <w:t>2020 год (факт) – 35,8 тыс. руб.;</w:t>
      </w:r>
    </w:p>
    <w:p w:rsidR="00F07E05" w:rsidRDefault="00F07E05" w:rsidP="00F07E05">
      <w:pPr>
        <w:autoSpaceDE w:val="0"/>
        <w:autoSpaceDN w:val="0"/>
        <w:adjustRightInd w:val="0"/>
        <w:jc w:val="both"/>
        <w:rPr>
          <w:sz w:val="28"/>
          <w:szCs w:val="28"/>
          <w:shd w:val="clear" w:color="auto" w:fill="FFFFFF"/>
          <w:lang w:eastAsia="en-US"/>
        </w:rPr>
      </w:pPr>
      <w:r>
        <w:rPr>
          <w:sz w:val="28"/>
          <w:szCs w:val="28"/>
          <w:shd w:val="clear" w:color="auto" w:fill="FFFFFF"/>
          <w:lang w:eastAsia="en-US"/>
        </w:rPr>
        <w:t xml:space="preserve">2021 год (оценка) – 1 546,1 тыс. руб. </w:t>
      </w:r>
    </w:p>
    <w:p w:rsidR="00F07E05" w:rsidRPr="00047E1C" w:rsidRDefault="00F07E05" w:rsidP="00F07E05">
      <w:pPr>
        <w:autoSpaceDE w:val="0"/>
        <w:autoSpaceDN w:val="0"/>
        <w:adjustRightInd w:val="0"/>
        <w:ind w:firstLine="567"/>
        <w:jc w:val="both"/>
        <w:rPr>
          <w:b/>
          <w:sz w:val="28"/>
          <w:szCs w:val="28"/>
          <w:shd w:val="clear" w:color="auto" w:fill="FFFFFF"/>
          <w:lang w:eastAsia="en-US"/>
        </w:rPr>
      </w:pPr>
      <w:r w:rsidRPr="00047E1C">
        <w:rPr>
          <w:b/>
          <w:sz w:val="28"/>
          <w:szCs w:val="28"/>
          <w:shd w:val="clear" w:color="auto" w:fill="FFFFFF"/>
          <w:lang w:eastAsia="en-US"/>
        </w:rPr>
        <w:t>Прогноз 2022 год – 16,0 тыс. руб.</w:t>
      </w:r>
    </w:p>
    <w:p w:rsidR="00F07E05" w:rsidRPr="00DE3000" w:rsidRDefault="00F07E05" w:rsidP="00F07E05">
      <w:pPr>
        <w:autoSpaceDE w:val="0"/>
        <w:autoSpaceDN w:val="0"/>
        <w:adjustRightInd w:val="0"/>
        <w:ind w:firstLine="567"/>
        <w:jc w:val="both"/>
        <w:rPr>
          <w:rFonts w:eastAsia="Calibri"/>
          <w:b/>
          <w:color w:val="000000"/>
          <w:sz w:val="28"/>
          <w:szCs w:val="28"/>
          <w:lang w:eastAsia="en-US"/>
        </w:rPr>
      </w:pPr>
      <w:r>
        <w:rPr>
          <w:sz w:val="28"/>
          <w:szCs w:val="28"/>
          <w:shd w:val="clear" w:color="auto" w:fill="FFFFFF"/>
          <w:lang w:eastAsia="en-US"/>
        </w:rPr>
        <w:t xml:space="preserve">Прогноз на плановый период равен прогнозу на очередной финансовый год и составляет соответственно </w:t>
      </w:r>
      <w:r w:rsidRPr="00DE3000">
        <w:rPr>
          <w:b/>
          <w:sz w:val="28"/>
          <w:szCs w:val="28"/>
          <w:shd w:val="clear" w:color="auto" w:fill="FFFFFF"/>
          <w:lang w:eastAsia="en-US"/>
        </w:rPr>
        <w:t>2023 год – 16,0 тыс. руб., 2024 год – 16,0 тыс. руб.</w:t>
      </w:r>
    </w:p>
    <w:p w:rsidR="00F07E05" w:rsidRPr="00706543" w:rsidRDefault="00F07E05" w:rsidP="00F07E05">
      <w:pPr>
        <w:tabs>
          <w:tab w:val="left" w:pos="426"/>
        </w:tabs>
        <w:spacing w:line="276" w:lineRule="auto"/>
        <w:ind w:right="20"/>
        <w:jc w:val="both"/>
        <w:rPr>
          <w:sz w:val="28"/>
          <w:szCs w:val="28"/>
          <w:lang w:eastAsia="en-US"/>
        </w:rPr>
      </w:pPr>
    </w:p>
    <w:p w:rsidR="00F07E05" w:rsidRDefault="00F07E05" w:rsidP="00F07E05">
      <w:pPr>
        <w:spacing w:line="276" w:lineRule="auto"/>
        <w:ind w:right="20"/>
        <w:jc w:val="both"/>
        <w:rPr>
          <w:i/>
          <w:sz w:val="28"/>
          <w:szCs w:val="28"/>
          <w:u w:val="single"/>
        </w:rPr>
      </w:pPr>
    </w:p>
    <w:p w:rsidR="00F07E05" w:rsidRPr="00D2487A" w:rsidRDefault="00F07E05" w:rsidP="00F07E05">
      <w:pPr>
        <w:spacing w:line="276" w:lineRule="auto"/>
        <w:ind w:right="20"/>
        <w:jc w:val="both"/>
        <w:rPr>
          <w:sz w:val="28"/>
          <w:szCs w:val="28"/>
          <w:lang w:eastAsia="en-US"/>
        </w:rPr>
      </w:pPr>
      <w:r w:rsidRPr="00D2487A">
        <w:rPr>
          <w:sz w:val="28"/>
          <w:szCs w:val="28"/>
        </w:rPr>
        <w:lastRenderedPageBreak/>
        <w:t xml:space="preserve">2 </w:t>
      </w:r>
      <w:r w:rsidRPr="00DE3000">
        <w:rPr>
          <w:sz w:val="28"/>
          <w:szCs w:val="28"/>
          <w:u w:val="single"/>
        </w:rPr>
        <w:t xml:space="preserve">. по коду </w:t>
      </w:r>
      <w:r w:rsidRPr="00DE3000">
        <w:rPr>
          <w:b/>
          <w:sz w:val="28"/>
          <w:szCs w:val="28"/>
          <w:u w:val="single"/>
        </w:rPr>
        <w:t>013 1 13 02992 02 0426 130</w:t>
      </w:r>
      <w:r w:rsidRPr="00D2487A">
        <w:rPr>
          <w:b/>
          <w:sz w:val="28"/>
          <w:szCs w:val="28"/>
        </w:rPr>
        <w:t>- «</w:t>
      </w:r>
      <w:r w:rsidRPr="00D2487A">
        <w:rPr>
          <w:sz w:val="28"/>
          <w:szCs w:val="28"/>
          <w:lang w:eastAsia="en-US"/>
        </w:rPr>
        <w:t>Прочие доходы от компенсации затрат бюджетов субъектов Российской</w:t>
      </w:r>
      <w:r w:rsidRPr="00D2487A">
        <w:rPr>
          <w:sz w:val="28"/>
          <w:szCs w:val="28"/>
          <w:lang w:eastAsia="en-US"/>
        </w:rPr>
        <w:tab/>
        <w:t xml:space="preserve"> Федерации (средства от возврата дебиторской задолженности прошлых лет)»:</w:t>
      </w:r>
    </w:p>
    <w:p w:rsidR="00F07E05" w:rsidRPr="00D2487A" w:rsidRDefault="00F07E05" w:rsidP="00F07E05">
      <w:pPr>
        <w:spacing w:line="276" w:lineRule="auto"/>
        <w:ind w:right="20"/>
        <w:jc w:val="both"/>
        <w:rPr>
          <w:b/>
          <w:sz w:val="28"/>
          <w:szCs w:val="28"/>
          <w:lang w:eastAsia="en-US"/>
        </w:rPr>
      </w:pPr>
      <w:r w:rsidRPr="00D2487A">
        <w:rPr>
          <w:sz w:val="28"/>
          <w:szCs w:val="28"/>
          <w:lang w:eastAsia="en-US"/>
        </w:rPr>
        <w:t xml:space="preserve">-в части ожидаемой оценки поступлений на 2021г – </w:t>
      </w:r>
      <w:r w:rsidRPr="00D2487A">
        <w:rPr>
          <w:b/>
          <w:sz w:val="28"/>
          <w:szCs w:val="28"/>
          <w:lang w:eastAsia="en-US"/>
        </w:rPr>
        <w:t>1,0 тыс.руб.</w:t>
      </w:r>
    </w:p>
    <w:p w:rsidR="00F07E05" w:rsidRPr="00D2487A" w:rsidRDefault="00F07E05" w:rsidP="00F07E05">
      <w:pPr>
        <w:spacing w:line="276" w:lineRule="auto"/>
        <w:ind w:right="20"/>
        <w:jc w:val="both"/>
        <w:rPr>
          <w:b/>
          <w:sz w:val="28"/>
          <w:szCs w:val="28"/>
          <w:lang w:eastAsia="en-US"/>
        </w:rPr>
      </w:pPr>
      <w:r w:rsidRPr="00D2487A">
        <w:rPr>
          <w:sz w:val="28"/>
          <w:szCs w:val="28"/>
          <w:lang w:eastAsia="en-US"/>
        </w:rPr>
        <w:t>-в части прогнозируемого уровня поступления сумм доходов на 2022г и на плановый период 2023-2024гг</w:t>
      </w:r>
      <w:r w:rsidRPr="00D2487A">
        <w:rPr>
          <w:b/>
          <w:sz w:val="28"/>
          <w:szCs w:val="28"/>
          <w:lang w:eastAsia="en-US"/>
        </w:rPr>
        <w:t>-    4,7 тыс. руб.</w:t>
      </w:r>
    </w:p>
    <w:p w:rsidR="00F07E05" w:rsidRDefault="00F07E05" w:rsidP="00F07E05">
      <w:pPr>
        <w:spacing w:line="276" w:lineRule="auto"/>
        <w:ind w:right="20"/>
        <w:jc w:val="both"/>
        <w:rPr>
          <w:sz w:val="28"/>
          <w:szCs w:val="28"/>
          <w:lang w:eastAsia="en-US"/>
        </w:rPr>
      </w:pPr>
      <w:r w:rsidRPr="00835FA7">
        <w:rPr>
          <w:sz w:val="28"/>
          <w:szCs w:val="28"/>
          <w:lang w:eastAsia="en-US"/>
        </w:rPr>
        <w:t xml:space="preserve">         </w:t>
      </w:r>
      <w:r>
        <w:rPr>
          <w:sz w:val="28"/>
          <w:szCs w:val="28"/>
          <w:lang w:eastAsia="en-US"/>
        </w:rPr>
        <w:t xml:space="preserve">        Прогноз на </w:t>
      </w:r>
      <w:r w:rsidRPr="00C9228D">
        <w:rPr>
          <w:sz w:val="28"/>
          <w:szCs w:val="28"/>
          <w:lang w:eastAsia="en-US"/>
        </w:rPr>
        <w:t xml:space="preserve"> 20</w:t>
      </w:r>
      <w:r>
        <w:rPr>
          <w:sz w:val="28"/>
          <w:szCs w:val="28"/>
          <w:lang w:eastAsia="en-US"/>
        </w:rPr>
        <w:t>22</w:t>
      </w:r>
      <w:r w:rsidRPr="00C9228D">
        <w:rPr>
          <w:sz w:val="28"/>
          <w:szCs w:val="28"/>
          <w:lang w:eastAsia="en-US"/>
        </w:rPr>
        <w:t>г</w:t>
      </w:r>
      <w:r>
        <w:rPr>
          <w:sz w:val="28"/>
          <w:szCs w:val="28"/>
          <w:lang w:eastAsia="en-US"/>
        </w:rPr>
        <w:t>. рассчитан методом усреднения, основанным на анализе сумм поступлений доходов в течении 3-х лет:</w:t>
      </w:r>
    </w:p>
    <w:p w:rsidR="00F07E05" w:rsidRDefault="00F07E05" w:rsidP="00F07E05">
      <w:pPr>
        <w:spacing w:line="276" w:lineRule="auto"/>
        <w:ind w:right="20"/>
        <w:jc w:val="both"/>
        <w:rPr>
          <w:sz w:val="28"/>
          <w:szCs w:val="28"/>
          <w:lang w:eastAsia="en-US"/>
        </w:rPr>
      </w:pPr>
      <w:r>
        <w:rPr>
          <w:sz w:val="28"/>
          <w:szCs w:val="28"/>
          <w:lang w:eastAsia="en-US"/>
        </w:rPr>
        <w:t>2019 год (факт) – 2,4 тыс. руб.;</w:t>
      </w:r>
    </w:p>
    <w:p w:rsidR="00F07E05" w:rsidRDefault="00F07E05" w:rsidP="00F07E05">
      <w:pPr>
        <w:spacing w:line="276" w:lineRule="auto"/>
        <w:ind w:right="20"/>
        <w:jc w:val="both"/>
        <w:rPr>
          <w:sz w:val="28"/>
          <w:szCs w:val="28"/>
          <w:lang w:eastAsia="en-US"/>
        </w:rPr>
      </w:pPr>
      <w:r>
        <w:rPr>
          <w:sz w:val="28"/>
          <w:szCs w:val="28"/>
          <w:lang w:eastAsia="en-US"/>
        </w:rPr>
        <w:t>2020 год (факт) – 10,8 тыс. руб;</w:t>
      </w:r>
    </w:p>
    <w:p w:rsidR="00F07E05" w:rsidRDefault="00F07E05" w:rsidP="00F07E05">
      <w:pPr>
        <w:spacing w:line="276" w:lineRule="auto"/>
        <w:ind w:right="20"/>
        <w:jc w:val="both"/>
        <w:rPr>
          <w:sz w:val="28"/>
          <w:szCs w:val="28"/>
          <w:lang w:eastAsia="en-US"/>
        </w:rPr>
      </w:pPr>
      <w:r>
        <w:rPr>
          <w:sz w:val="28"/>
          <w:szCs w:val="28"/>
          <w:lang w:eastAsia="en-US"/>
        </w:rPr>
        <w:t>2021 год (оценка) – 1,0 тыс. руб.</w:t>
      </w:r>
    </w:p>
    <w:p w:rsidR="00F07E05" w:rsidRDefault="00F07E05" w:rsidP="00F07E05">
      <w:pPr>
        <w:spacing w:line="276" w:lineRule="auto"/>
        <w:ind w:right="20"/>
        <w:jc w:val="both"/>
        <w:rPr>
          <w:sz w:val="28"/>
          <w:szCs w:val="28"/>
          <w:lang w:eastAsia="en-US"/>
        </w:rPr>
      </w:pPr>
      <w:r>
        <w:rPr>
          <w:b/>
          <w:sz w:val="28"/>
          <w:szCs w:val="28"/>
          <w:lang w:eastAsia="en-US"/>
        </w:rPr>
        <w:t xml:space="preserve">Прогноз 2022 год – 4,7 тыс. руб. </w:t>
      </w:r>
      <w:r w:rsidRPr="00DE3000">
        <w:rPr>
          <w:sz w:val="28"/>
          <w:szCs w:val="28"/>
          <w:lang w:eastAsia="en-US"/>
        </w:rPr>
        <w:t>(</w:t>
      </w:r>
      <w:r>
        <w:rPr>
          <w:sz w:val="28"/>
          <w:szCs w:val="28"/>
          <w:lang w:eastAsia="en-US"/>
        </w:rPr>
        <w:t>2,4 +10,8+1,0)/3=4,7 тыс. руб.</w:t>
      </w:r>
    </w:p>
    <w:p w:rsidR="00F07E05" w:rsidRDefault="00F07E05" w:rsidP="00F07E05">
      <w:pPr>
        <w:spacing w:line="276" w:lineRule="auto"/>
        <w:ind w:right="20"/>
        <w:jc w:val="both"/>
        <w:rPr>
          <w:sz w:val="28"/>
          <w:szCs w:val="28"/>
          <w:lang w:eastAsia="en-US"/>
        </w:rPr>
      </w:pPr>
      <w:r>
        <w:rPr>
          <w:sz w:val="28"/>
          <w:szCs w:val="28"/>
          <w:shd w:val="clear" w:color="auto" w:fill="FFFFFF"/>
          <w:lang w:eastAsia="en-US"/>
        </w:rPr>
        <w:t xml:space="preserve">Прогноз на плановый период равен прогнозу на очередной финансовый год и составляет соответственно </w:t>
      </w:r>
      <w:r w:rsidRPr="00DE3000">
        <w:rPr>
          <w:b/>
          <w:sz w:val="28"/>
          <w:szCs w:val="28"/>
          <w:shd w:val="clear" w:color="auto" w:fill="FFFFFF"/>
          <w:lang w:eastAsia="en-US"/>
        </w:rPr>
        <w:t>2023 год – 4,7 тыс. руб., 2024 год – 4,7 тыс. руб</w:t>
      </w:r>
      <w:r>
        <w:rPr>
          <w:sz w:val="28"/>
          <w:szCs w:val="28"/>
          <w:lang w:eastAsia="en-US"/>
        </w:rPr>
        <w:t xml:space="preserve">   </w:t>
      </w:r>
    </w:p>
    <w:p w:rsidR="00F07E05" w:rsidRDefault="00F07E05" w:rsidP="00F07E05">
      <w:pPr>
        <w:spacing w:line="276" w:lineRule="auto"/>
        <w:jc w:val="both"/>
        <w:rPr>
          <w:sz w:val="28"/>
          <w:szCs w:val="28"/>
        </w:rPr>
      </w:pPr>
    </w:p>
    <w:p w:rsidR="00F07E05" w:rsidRPr="00DE3000" w:rsidRDefault="00F07E05" w:rsidP="00F07E05">
      <w:pPr>
        <w:spacing w:line="276" w:lineRule="auto"/>
        <w:jc w:val="both"/>
      </w:pPr>
      <w:r w:rsidRPr="00DE3000">
        <w:rPr>
          <w:sz w:val="28"/>
          <w:szCs w:val="28"/>
          <w:u w:val="single"/>
        </w:rPr>
        <w:t xml:space="preserve">3. по коду </w:t>
      </w:r>
      <w:r w:rsidRPr="00DE3000">
        <w:rPr>
          <w:b/>
          <w:sz w:val="28"/>
          <w:szCs w:val="28"/>
          <w:u w:val="single"/>
        </w:rPr>
        <w:t>013 1 13 02992 02 0430 130</w:t>
      </w:r>
      <w:r w:rsidRPr="00DE3000">
        <w:rPr>
          <w:b/>
          <w:sz w:val="28"/>
          <w:szCs w:val="28"/>
        </w:rPr>
        <w:t xml:space="preserve">- </w:t>
      </w:r>
      <w:r w:rsidRPr="00DE3000">
        <w:rPr>
          <w:sz w:val="28"/>
          <w:szCs w:val="28"/>
        </w:rPr>
        <w:t>«Прочие доходы от компенсации затрат бюджетов субъектов Российской Федерации» (иные прочие доходы от компенсации затрат бюджетов субъектов Российской Федерации):</w:t>
      </w:r>
    </w:p>
    <w:p w:rsidR="00F07E05" w:rsidRPr="00DE3000" w:rsidRDefault="00F07E05" w:rsidP="00F07E05">
      <w:pPr>
        <w:spacing w:line="276" w:lineRule="auto"/>
        <w:jc w:val="both"/>
        <w:rPr>
          <w:b/>
          <w:sz w:val="28"/>
          <w:szCs w:val="28"/>
        </w:rPr>
      </w:pPr>
      <w:r w:rsidRPr="00DE3000">
        <w:rPr>
          <w:sz w:val="26"/>
          <w:szCs w:val="26"/>
        </w:rPr>
        <w:t xml:space="preserve">- </w:t>
      </w:r>
      <w:r w:rsidRPr="00DE3000">
        <w:rPr>
          <w:sz w:val="28"/>
          <w:szCs w:val="28"/>
        </w:rPr>
        <w:t xml:space="preserve">в части ожидаемой оценки значения показателя на текущий год- </w:t>
      </w:r>
      <w:r w:rsidRPr="00DE3000">
        <w:rPr>
          <w:b/>
          <w:sz w:val="28"/>
          <w:szCs w:val="28"/>
        </w:rPr>
        <w:t>1392,4 тыс. руб.</w:t>
      </w:r>
    </w:p>
    <w:p w:rsidR="00F07E05" w:rsidRPr="00DE3000" w:rsidRDefault="00F07E05" w:rsidP="00F07E05">
      <w:pPr>
        <w:spacing w:line="276" w:lineRule="auto"/>
        <w:jc w:val="both"/>
        <w:rPr>
          <w:sz w:val="28"/>
          <w:szCs w:val="28"/>
        </w:rPr>
      </w:pPr>
      <w:r w:rsidRPr="00DE3000">
        <w:rPr>
          <w:sz w:val="28"/>
          <w:szCs w:val="28"/>
        </w:rPr>
        <w:t>- прогнозное значение показателя  поступления сумм доходов на 2022 год и плановый период 2023-2024гг составит :</w:t>
      </w:r>
    </w:p>
    <w:p w:rsidR="00F07E05" w:rsidRPr="00DE3000" w:rsidRDefault="00F07E05" w:rsidP="00F07E05">
      <w:pPr>
        <w:spacing w:line="276" w:lineRule="auto"/>
        <w:jc w:val="both"/>
        <w:rPr>
          <w:b/>
          <w:sz w:val="28"/>
          <w:szCs w:val="28"/>
        </w:rPr>
      </w:pPr>
      <w:r w:rsidRPr="00DE3000">
        <w:rPr>
          <w:sz w:val="28"/>
          <w:szCs w:val="28"/>
        </w:rPr>
        <w:t xml:space="preserve">- на 2022г – </w:t>
      </w:r>
      <w:r w:rsidRPr="00DE3000">
        <w:rPr>
          <w:b/>
          <w:sz w:val="28"/>
          <w:szCs w:val="28"/>
        </w:rPr>
        <w:t>748,5 тыс.</w:t>
      </w:r>
      <w:r w:rsidR="005E37D3">
        <w:rPr>
          <w:b/>
          <w:sz w:val="28"/>
          <w:szCs w:val="28"/>
        </w:rPr>
        <w:t xml:space="preserve"> </w:t>
      </w:r>
      <w:r w:rsidRPr="00DE3000">
        <w:rPr>
          <w:b/>
          <w:sz w:val="28"/>
          <w:szCs w:val="28"/>
        </w:rPr>
        <w:t>руб.</w:t>
      </w:r>
    </w:p>
    <w:p w:rsidR="00F07E05" w:rsidRPr="00DE3000" w:rsidRDefault="00F07E05" w:rsidP="00F07E05">
      <w:pPr>
        <w:spacing w:line="276" w:lineRule="auto"/>
        <w:jc w:val="both"/>
        <w:rPr>
          <w:b/>
          <w:sz w:val="28"/>
          <w:szCs w:val="28"/>
        </w:rPr>
      </w:pPr>
      <w:r w:rsidRPr="00DE3000">
        <w:rPr>
          <w:sz w:val="28"/>
          <w:szCs w:val="28"/>
        </w:rPr>
        <w:t>-на 2023 г-</w:t>
      </w:r>
      <w:r w:rsidRPr="00DE3000">
        <w:rPr>
          <w:b/>
          <w:sz w:val="28"/>
          <w:szCs w:val="28"/>
        </w:rPr>
        <w:t xml:space="preserve"> 856,0 тыс.</w:t>
      </w:r>
      <w:r w:rsidR="005E37D3">
        <w:rPr>
          <w:b/>
          <w:sz w:val="28"/>
          <w:szCs w:val="28"/>
        </w:rPr>
        <w:t xml:space="preserve"> </w:t>
      </w:r>
      <w:r w:rsidRPr="00DE3000">
        <w:rPr>
          <w:b/>
          <w:sz w:val="28"/>
          <w:szCs w:val="28"/>
        </w:rPr>
        <w:t>руб.</w:t>
      </w:r>
    </w:p>
    <w:p w:rsidR="00F07E05" w:rsidRPr="00DE3000" w:rsidRDefault="00F07E05" w:rsidP="00F07E05">
      <w:pPr>
        <w:spacing w:line="276" w:lineRule="auto"/>
        <w:jc w:val="both"/>
        <w:rPr>
          <w:b/>
          <w:sz w:val="28"/>
          <w:szCs w:val="28"/>
        </w:rPr>
      </w:pPr>
      <w:r w:rsidRPr="00DE3000">
        <w:rPr>
          <w:sz w:val="28"/>
          <w:szCs w:val="28"/>
        </w:rPr>
        <w:t>-на 2024г</w:t>
      </w:r>
      <w:r w:rsidRPr="00DE3000">
        <w:rPr>
          <w:b/>
          <w:sz w:val="28"/>
          <w:szCs w:val="28"/>
        </w:rPr>
        <w:t>- 998,9 тыс.</w:t>
      </w:r>
      <w:r w:rsidR="005E37D3">
        <w:rPr>
          <w:b/>
          <w:sz w:val="28"/>
          <w:szCs w:val="28"/>
        </w:rPr>
        <w:t xml:space="preserve"> </w:t>
      </w:r>
      <w:r w:rsidRPr="00DE3000">
        <w:rPr>
          <w:b/>
          <w:sz w:val="28"/>
          <w:szCs w:val="28"/>
        </w:rPr>
        <w:t>руб.</w:t>
      </w:r>
    </w:p>
    <w:p w:rsidR="00F07E05" w:rsidRPr="00E11255" w:rsidRDefault="00F07E05" w:rsidP="00F07E05">
      <w:pPr>
        <w:spacing w:line="276" w:lineRule="auto"/>
        <w:jc w:val="both"/>
        <w:rPr>
          <w:b/>
          <w:sz w:val="28"/>
          <w:szCs w:val="28"/>
          <w:highlight w:val="yellow"/>
        </w:rPr>
      </w:pPr>
    </w:p>
    <w:p w:rsidR="00F07E05" w:rsidRDefault="00F07E05" w:rsidP="00F07E05">
      <w:pPr>
        <w:ind w:firstLine="720"/>
        <w:jc w:val="both"/>
        <w:rPr>
          <w:sz w:val="28"/>
          <w:szCs w:val="28"/>
        </w:rPr>
      </w:pPr>
      <w:r w:rsidRPr="00205F4E">
        <w:rPr>
          <w:sz w:val="28"/>
          <w:szCs w:val="28"/>
        </w:rPr>
        <w:t>Прогнозируемый уровень поступления сумм доходов по данному коду бюджетной классификации на 202</w:t>
      </w:r>
      <w:r>
        <w:rPr>
          <w:sz w:val="28"/>
          <w:szCs w:val="28"/>
        </w:rPr>
        <w:t>2</w:t>
      </w:r>
      <w:r w:rsidRPr="00205F4E">
        <w:rPr>
          <w:sz w:val="28"/>
          <w:szCs w:val="28"/>
        </w:rPr>
        <w:t>год и плановый период 202</w:t>
      </w:r>
      <w:r>
        <w:rPr>
          <w:sz w:val="28"/>
          <w:szCs w:val="28"/>
        </w:rPr>
        <w:t>3</w:t>
      </w:r>
      <w:r w:rsidRPr="00205F4E">
        <w:rPr>
          <w:sz w:val="28"/>
          <w:szCs w:val="28"/>
        </w:rPr>
        <w:t>-202</w:t>
      </w:r>
      <w:r>
        <w:rPr>
          <w:sz w:val="28"/>
          <w:szCs w:val="28"/>
        </w:rPr>
        <w:t>4</w:t>
      </w:r>
      <w:r w:rsidRPr="00205F4E">
        <w:rPr>
          <w:sz w:val="28"/>
          <w:szCs w:val="28"/>
        </w:rPr>
        <w:t>гг. исходя из расчета, осуществляемого на основании усреднения годовых объемов поступлений</w:t>
      </w:r>
      <w:r>
        <w:rPr>
          <w:sz w:val="28"/>
          <w:szCs w:val="28"/>
        </w:rPr>
        <w:t xml:space="preserve">  за предыдущие 3 года </w:t>
      </w:r>
      <w:r w:rsidRPr="00205F4E">
        <w:rPr>
          <w:sz w:val="28"/>
          <w:szCs w:val="28"/>
        </w:rPr>
        <w:t>составит:</w:t>
      </w:r>
    </w:p>
    <w:p w:rsidR="00F07E05" w:rsidRDefault="00F07E05" w:rsidP="00F07E05">
      <w:pPr>
        <w:jc w:val="both"/>
        <w:rPr>
          <w:sz w:val="28"/>
          <w:szCs w:val="28"/>
        </w:rPr>
      </w:pPr>
    </w:p>
    <w:p w:rsidR="00F07E05" w:rsidRDefault="00F07E05" w:rsidP="00F07E05">
      <w:pPr>
        <w:jc w:val="both"/>
        <w:rPr>
          <w:sz w:val="28"/>
          <w:szCs w:val="28"/>
        </w:rPr>
      </w:pPr>
      <w:r>
        <w:rPr>
          <w:sz w:val="28"/>
          <w:szCs w:val="28"/>
        </w:rPr>
        <w:t>2019 год (факт) – 426,2 тыс. руб.;</w:t>
      </w:r>
    </w:p>
    <w:p w:rsidR="00F07E05" w:rsidRDefault="00F07E05" w:rsidP="00F07E05">
      <w:pPr>
        <w:jc w:val="both"/>
        <w:rPr>
          <w:sz w:val="28"/>
          <w:szCs w:val="28"/>
        </w:rPr>
      </w:pPr>
      <w:r>
        <w:rPr>
          <w:sz w:val="28"/>
          <w:szCs w:val="28"/>
        </w:rPr>
        <w:t>2020 год (факт) – 427,1 тыс. руб.;</w:t>
      </w:r>
    </w:p>
    <w:p w:rsidR="00F07E05" w:rsidRDefault="00F07E05" w:rsidP="00F07E05">
      <w:pPr>
        <w:jc w:val="both"/>
        <w:rPr>
          <w:sz w:val="28"/>
          <w:szCs w:val="28"/>
        </w:rPr>
      </w:pPr>
      <w:r>
        <w:rPr>
          <w:sz w:val="28"/>
          <w:szCs w:val="28"/>
        </w:rPr>
        <w:t>2021 год (факт) – 1392,4 тыс.</w:t>
      </w:r>
      <w:r w:rsidR="005E37D3">
        <w:rPr>
          <w:sz w:val="28"/>
          <w:szCs w:val="28"/>
        </w:rPr>
        <w:t xml:space="preserve"> </w:t>
      </w:r>
      <w:r>
        <w:rPr>
          <w:sz w:val="28"/>
          <w:szCs w:val="28"/>
        </w:rPr>
        <w:t>руб.</w:t>
      </w:r>
    </w:p>
    <w:p w:rsidR="00F07E05" w:rsidRDefault="00F07E05" w:rsidP="00F07E05">
      <w:pPr>
        <w:jc w:val="both"/>
        <w:rPr>
          <w:sz w:val="28"/>
          <w:szCs w:val="28"/>
        </w:rPr>
      </w:pPr>
      <w:r w:rsidRPr="00047E1C">
        <w:rPr>
          <w:b/>
          <w:sz w:val="28"/>
          <w:szCs w:val="28"/>
        </w:rPr>
        <w:t>2022 год(прогноз)  - 748,5 тыс. руб.</w:t>
      </w:r>
      <w:r>
        <w:rPr>
          <w:sz w:val="28"/>
          <w:szCs w:val="28"/>
        </w:rPr>
        <w:t xml:space="preserve"> (426,2+427,1+ 1392,4)/3= 748,5 тыс. руб.</w:t>
      </w:r>
    </w:p>
    <w:p w:rsidR="00F07E05" w:rsidRDefault="00F07E05" w:rsidP="00F07E05">
      <w:pPr>
        <w:jc w:val="both"/>
        <w:rPr>
          <w:sz w:val="28"/>
          <w:szCs w:val="28"/>
        </w:rPr>
      </w:pPr>
      <w:r w:rsidRPr="00047E1C">
        <w:rPr>
          <w:b/>
          <w:sz w:val="28"/>
          <w:szCs w:val="28"/>
        </w:rPr>
        <w:t>2023 год (прогноз) – 856,0 тыс. руб.</w:t>
      </w:r>
      <w:r>
        <w:rPr>
          <w:sz w:val="28"/>
          <w:szCs w:val="28"/>
        </w:rPr>
        <w:t xml:space="preserve"> (427,1+1392,4+748,5)/3=856,0 тыс. руб.</w:t>
      </w:r>
    </w:p>
    <w:p w:rsidR="00F07E05" w:rsidRDefault="00F07E05" w:rsidP="00F07E05">
      <w:pPr>
        <w:jc w:val="both"/>
        <w:rPr>
          <w:sz w:val="28"/>
          <w:szCs w:val="28"/>
        </w:rPr>
      </w:pPr>
      <w:r w:rsidRPr="00047E1C">
        <w:rPr>
          <w:b/>
          <w:sz w:val="28"/>
          <w:szCs w:val="28"/>
        </w:rPr>
        <w:t>2024 год (прогноз) – 998,9 тыс. руб.</w:t>
      </w:r>
      <w:r>
        <w:rPr>
          <w:sz w:val="28"/>
          <w:szCs w:val="28"/>
        </w:rPr>
        <w:t xml:space="preserve"> (1392,4+748,5+856,0)/3=998,9 тыс. руб.</w:t>
      </w:r>
    </w:p>
    <w:p w:rsidR="00F07E05" w:rsidRDefault="00F07E05" w:rsidP="00F07E05">
      <w:pPr>
        <w:spacing w:line="276" w:lineRule="auto"/>
        <w:ind w:firstLine="720"/>
        <w:jc w:val="both"/>
        <w:rPr>
          <w:i/>
        </w:rPr>
      </w:pPr>
    </w:p>
    <w:p w:rsidR="00F07E05" w:rsidRDefault="00F07E05" w:rsidP="00F07E05">
      <w:pPr>
        <w:pStyle w:val="21"/>
        <w:jc w:val="center"/>
        <w:rPr>
          <w:b/>
        </w:rPr>
      </w:pPr>
    </w:p>
    <w:p w:rsidR="00F07E05" w:rsidRPr="004B4EAC" w:rsidRDefault="00F07E05" w:rsidP="00F07E05">
      <w:pPr>
        <w:pStyle w:val="21"/>
        <w:jc w:val="center"/>
        <w:rPr>
          <w:b/>
        </w:rPr>
      </w:pPr>
      <w:r w:rsidRPr="004B4EAC">
        <w:rPr>
          <w:b/>
        </w:rPr>
        <w:t>Главное управление «Государственная жилищная инспекция Тверской области»</w:t>
      </w:r>
    </w:p>
    <w:p w:rsidR="00F07E05" w:rsidRPr="004B4EAC" w:rsidRDefault="00F07E05" w:rsidP="00F07E05">
      <w:pPr>
        <w:pStyle w:val="21"/>
      </w:pPr>
    </w:p>
    <w:p w:rsidR="00F07E05" w:rsidRPr="00C93A58" w:rsidRDefault="00F07E05" w:rsidP="00F07E05">
      <w:pPr>
        <w:pStyle w:val="21"/>
        <w:jc w:val="right"/>
      </w:pPr>
      <w:r w:rsidRPr="00C93A58">
        <w:lastRenderedPageBreak/>
        <w:t xml:space="preserve"> тыс.</w:t>
      </w:r>
      <w:r>
        <w:rPr>
          <w:lang w:val="en-US"/>
        </w:rPr>
        <w:t xml:space="preserve"> </w:t>
      </w:r>
      <w:r w:rsidRPr="00C93A58">
        <w:t>руб.</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1368"/>
        <w:gridCol w:w="1440"/>
        <w:gridCol w:w="1620"/>
      </w:tblGrid>
      <w:tr w:rsidR="00F07E05" w:rsidRPr="00C93A58" w:rsidTr="008A253E">
        <w:trPr>
          <w:trHeight w:val="510"/>
        </w:trPr>
        <w:tc>
          <w:tcPr>
            <w:tcW w:w="2520" w:type="dxa"/>
            <w:noWrap/>
          </w:tcPr>
          <w:p w:rsidR="00F07E05" w:rsidRPr="00C93A58" w:rsidRDefault="00F07E05" w:rsidP="008A253E">
            <w:pPr>
              <w:rPr>
                <w:b/>
                <w:sz w:val="20"/>
                <w:szCs w:val="20"/>
              </w:rPr>
            </w:pPr>
            <w:r w:rsidRPr="00C93A58">
              <w:rPr>
                <w:b/>
                <w:sz w:val="20"/>
                <w:szCs w:val="20"/>
              </w:rPr>
              <w:t>Код БК</w:t>
            </w:r>
          </w:p>
        </w:tc>
        <w:tc>
          <w:tcPr>
            <w:tcW w:w="2520" w:type="dxa"/>
            <w:noWrap/>
          </w:tcPr>
          <w:p w:rsidR="00F07E05" w:rsidRPr="00C93A58" w:rsidRDefault="00F07E05" w:rsidP="008A253E">
            <w:pPr>
              <w:rPr>
                <w:b/>
                <w:sz w:val="20"/>
                <w:szCs w:val="20"/>
              </w:rPr>
            </w:pPr>
            <w:r w:rsidRPr="00C93A58">
              <w:rPr>
                <w:b/>
                <w:sz w:val="20"/>
                <w:szCs w:val="20"/>
              </w:rPr>
              <w:t>Наименование</w:t>
            </w:r>
          </w:p>
        </w:tc>
        <w:tc>
          <w:tcPr>
            <w:tcW w:w="1368" w:type="dxa"/>
          </w:tcPr>
          <w:p w:rsidR="00F07E05" w:rsidRPr="00C93A58" w:rsidRDefault="00F07E05" w:rsidP="008A253E">
            <w:pPr>
              <w:jc w:val="center"/>
              <w:rPr>
                <w:b/>
                <w:sz w:val="20"/>
                <w:szCs w:val="20"/>
              </w:rPr>
            </w:pPr>
            <w:r w:rsidRPr="00C93A58">
              <w:rPr>
                <w:b/>
                <w:sz w:val="20"/>
                <w:szCs w:val="20"/>
              </w:rPr>
              <w:t>Прогноз на</w:t>
            </w:r>
          </w:p>
          <w:p w:rsidR="00F07E05" w:rsidRPr="00C93A58" w:rsidRDefault="00F07E05" w:rsidP="008A253E">
            <w:pPr>
              <w:jc w:val="center"/>
              <w:rPr>
                <w:b/>
                <w:sz w:val="20"/>
                <w:szCs w:val="20"/>
              </w:rPr>
            </w:pPr>
            <w:r>
              <w:rPr>
                <w:b/>
                <w:sz w:val="20"/>
                <w:szCs w:val="20"/>
              </w:rPr>
              <w:t>2022</w:t>
            </w:r>
            <w:r w:rsidRPr="00C93A58">
              <w:rPr>
                <w:b/>
                <w:sz w:val="20"/>
                <w:szCs w:val="20"/>
              </w:rPr>
              <w:t xml:space="preserve"> год </w:t>
            </w:r>
          </w:p>
          <w:p w:rsidR="00F07E05" w:rsidRPr="00C93A58" w:rsidRDefault="00F07E05" w:rsidP="008A253E">
            <w:pPr>
              <w:jc w:val="center"/>
              <w:rPr>
                <w:b/>
                <w:sz w:val="20"/>
                <w:szCs w:val="20"/>
              </w:rPr>
            </w:pPr>
          </w:p>
        </w:tc>
        <w:tc>
          <w:tcPr>
            <w:tcW w:w="1440" w:type="dxa"/>
          </w:tcPr>
          <w:p w:rsidR="00F07E05" w:rsidRPr="00C93A58" w:rsidRDefault="00F07E05" w:rsidP="008A253E">
            <w:pPr>
              <w:jc w:val="center"/>
              <w:rPr>
                <w:b/>
                <w:sz w:val="20"/>
                <w:szCs w:val="20"/>
              </w:rPr>
            </w:pPr>
            <w:r w:rsidRPr="00C93A58">
              <w:rPr>
                <w:b/>
                <w:sz w:val="20"/>
                <w:szCs w:val="20"/>
              </w:rPr>
              <w:t>Прогноз на</w:t>
            </w:r>
          </w:p>
          <w:p w:rsidR="00F07E05" w:rsidRPr="00C93A58" w:rsidRDefault="00F07E05" w:rsidP="008A253E">
            <w:pPr>
              <w:jc w:val="center"/>
              <w:rPr>
                <w:b/>
                <w:sz w:val="20"/>
                <w:szCs w:val="20"/>
              </w:rPr>
            </w:pPr>
            <w:r>
              <w:rPr>
                <w:b/>
                <w:sz w:val="20"/>
                <w:szCs w:val="20"/>
              </w:rPr>
              <w:t xml:space="preserve">2023 </w:t>
            </w:r>
            <w:r w:rsidRPr="00C93A58">
              <w:rPr>
                <w:b/>
                <w:sz w:val="20"/>
                <w:szCs w:val="20"/>
              </w:rPr>
              <w:t>год</w:t>
            </w:r>
          </w:p>
          <w:p w:rsidR="00F07E05" w:rsidRPr="00C93A58" w:rsidRDefault="00F07E05" w:rsidP="008A253E">
            <w:pPr>
              <w:jc w:val="center"/>
              <w:rPr>
                <w:b/>
                <w:sz w:val="20"/>
                <w:szCs w:val="20"/>
              </w:rPr>
            </w:pPr>
          </w:p>
        </w:tc>
        <w:tc>
          <w:tcPr>
            <w:tcW w:w="1620" w:type="dxa"/>
          </w:tcPr>
          <w:p w:rsidR="00F07E05" w:rsidRPr="00C93A58" w:rsidRDefault="00F07E05" w:rsidP="008A253E">
            <w:pPr>
              <w:jc w:val="center"/>
              <w:rPr>
                <w:b/>
                <w:sz w:val="20"/>
                <w:szCs w:val="20"/>
              </w:rPr>
            </w:pPr>
            <w:r w:rsidRPr="00C93A58">
              <w:rPr>
                <w:b/>
                <w:sz w:val="20"/>
                <w:szCs w:val="20"/>
              </w:rPr>
              <w:t>Прогноз на</w:t>
            </w:r>
          </w:p>
          <w:p w:rsidR="00F07E05" w:rsidRPr="00C93A58" w:rsidRDefault="00F07E05" w:rsidP="008A253E">
            <w:pPr>
              <w:jc w:val="center"/>
              <w:rPr>
                <w:b/>
                <w:sz w:val="20"/>
                <w:szCs w:val="20"/>
              </w:rPr>
            </w:pPr>
            <w:r>
              <w:rPr>
                <w:b/>
                <w:sz w:val="20"/>
                <w:szCs w:val="20"/>
              </w:rPr>
              <w:t xml:space="preserve">2024 </w:t>
            </w:r>
            <w:r w:rsidRPr="00C93A58">
              <w:rPr>
                <w:b/>
                <w:sz w:val="20"/>
                <w:szCs w:val="20"/>
              </w:rPr>
              <w:t>год</w:t>
            </w:r>
          </w:p>
          <w:p w:rsidR="00F07E05" w:rsidRPr="00C93A58" w:rsidRDefault="00F07E05" w:rsidP="008A253E">
            <w:pPr>
              <w:jc w:val="center"/>
              <w:rPr>
                <w:b/>
                <w:sz w:val="20"/>
                <w:szCs w:val="20"/>
              </w:rPr>
            </w:pPr>
          </w:p>
          <w:p w:rsidR="00F07E05" w:rsidRPr="00C93A58" w:rsidRDefault="00F07E05" w:rsidP="008A253E">
            <w:pPr>
              <w:jc w:val="center"/>
              <w:rPr>
                <w:b/>
                <w:sz w:val="20"/>
                <w:szCs w:val="20"/>
              </w:rPr>
            </w:pPr>
          </w:p>
        </w:tc>
      </w:tr>
      <w:tr w:rsidR="00F07E05" w:rsidRPr="00C93A58" w:rsidTr="008A253E">
        <w:trPr>
          <w:trHeight w:val="1275"/>
        </w:trPr>
        <w:tc>
          <w:tcPr>
            <w:tcW w:w="2520" w:type="dxa"/>
            <w:noWrap/>
          </w:tcPr>
          <w:p w:rsidR="00F07E05" w:rsidRPr="00C93A58" w:rsidRDefault="00F07E05" w:rsidP="008A253E">
            <w:pPr>
              <w:jc w:val="center"/>
              <w:rPr>
                <w:b/>
                <w:sz w:val="16"/>
                <w:szCs w:val="16"/>
              </w:rPr>
            </w:pPr>
          </w:p>
          <w:p w:rsidR="00F07E05" w:rsidRPr="00C93A58" w:rsidRDefault="00F07E05" w:rsidP="008A253E">
            <w:pPr>
              <w:jc w:val="center"/>
              <w:rPr>
                <w:b/>
                <w:sz w:val="16"/>
                <w:szCs w:val="16"/>
              </w:rPr>
            </w:pPr>
          </w:p>
          <w:p w:rsidR="00F07E05" w:rsidRPr="00C93A58" w:rsidRDefault="00F07E05" w:rsidP="008A253E">
            <w:pPr>
              <w:jc w:val="center"/>
              <w:rPr>
                <w:b/>
                <w:sz w:val="16"/>
                <w:szCs w:val="16"/>
              </w:rPr>
            </w:pPr>
            <w:r w:rsidRPr="00C93A58">
              <w:rPr>
                <w:b/>
                <w:sz w:val="16"/>
                <w:szCs w:val="16"/>
              </w:rPr>
              <w:t>000</w:t>
            </w:r>
            <w:r w:rsidRPr="00C93A58">
              <w:rPr>
                <w:b/>
                <w:sz w:val="16"/>
                <w:szCs w:val="16"/>
                <w:lang w:val="en-US"/>
              </w:rPr>
              <w:t xml:space="preserve"> 1 13 0</w:t>
            </w:r>
            <w:r w:rsidRPr="00C93A58">
              <w:rPr>
                <w:b/>
                <w:sz w:val="16"/>
                <w:szCs w:val="16"/>
              </w:rPr>
              <w:t>2990</w:t>
            </w:r>
            <w:r w:rsidRPr="00C93A58">
              <w:rPr>
                <w:b/>
                <w:sz w:val="16"/>
                <w:szCs w:val="16"/>
                <w:lang w:val="en-US"/>
              </w:rPr>
              <w:t xml:space="preserve"> 0</w:t>
            </w:r>
            <w:r w:rsidRPr="00C93A58">
              <w:rPr>
                <w:b/>
                <w:sz w:val="16"/>
                <w:szCs w:val="16"/>
              </w:rPr>
              <w:t>0</w:t>
            </w:r>
            <w:r w:rsidRPr="00C93A58">
              <w:rPr>
                <w:b/>
                <w:sz w:val="16"/>
                <w:szCs w:val="16"/>
                <w:lang w:val="en-US"/>
              </w:rPr>
              <w:t xml:space="preserve"> 0</w:t>
            </w:r>
            <w:r w:rsidRPr="00C93A58">
              <w:rPr>
                <w:b/>
                <w:sz w:val="16"/>
                <w:szCs w:val="16"/>
              </w:rPr>
              <w:t>000 130</w:t>
            </w:r>
          </w:p>
        </w:tc>
        <w:tc>
          <w:tcPr>
            <w:tcW w:w="2520" w:type="dxa"/>
          </w:tcPr>
          <w:p w:rsidR="00F07E05" w:rsidRPr="00C93A58" w:rsidRDefault="00F07E05" w:rsidP="008A253E">
            <w:pPr>
              <w:rPr>
                <w:sz w:val="20"/>
                <w:szCs w:val="20"/>
              </w:rPr>
            </w:pPr>
          </w:p>
          <w:p w:rsidR="00F07E05" w:rsidRPr="00C93A58" w:rsidRDefault="00F07E05" w:rsidP="008A253E">
            <w:pPr>
              <w:rPr>
                <w:sz w:val="20"/>
                <w:szCs w:val="20"/>
              </w:rPr>
            </w:pPr>
            <w:r w:rsidRPr="00C93A58">
              <w:rPr>
                <w:sz w:val="20"/>
                <w:szCs w:val="20"/>
              </w:rPr>
              <w:t xml:space="preserve">Прочие доходы от компенсации затрат государства </w:t>
            </w:r>
          </w:p>
        </w:tc>
        <w:tc>
          <w:tcPr>
            <w:tcW w:w="1368" w:type="dxa"/>
            <w:noWrap/>
          </w:tcPr>
          <w:p w:rsidR="00F07E05" w:rsidRDefault="00F07E05" w:rsidP="008A253E">
            <w:pPr>
              <w:ind w:hanging="108"/>
              <w:jc w:val="center"/>
              <w:rPr>
                <w:sz w:val="20"/>
                <w:szCs w:val="20"/>
              </w:rPr>
            </w:pPr>
          </w:p>
          <w:p w:rsidR="00F07E05" w:rsidRDefault="00F07E05" w:rsidP="008A253E">
            <w:pPr>
              <w:ind w:hanging="108"/>
              <w:jc w:val="center"/>
              <w:rPr>
                <w:sz w:val="20"/>
                <w:szCs w:val="20"/>
              </w:rPr>
            </w:pPr>
          </w:p>
          <w:p w:rsidR="00F07E05" w:rsidRPr="00C93A58" w:rsidRDefault="00F07E05" w:rsidP="008A253E">
            <w:pPr>
              <w:ind w:hanging="108"/>
              <w:jc w:val="center"/>
              <w:rPr>
                <w:sz w:val="20"/>
                <w:szCs w:val="20"/>
              </w:rPr>
            </w:pPr>
            <w:r>
              <w:rPr>
                <w:sz w:val="20"/>
                <w:szCs w:val="20"/>
              </w:rPr>
              <w:t>167,5</w:t>
            </w:r>
          </w:p>
        </w:tc>
        <w:tc>
          <w:tcPr>
            <w:tcW w:w="1440" w:type="dxa"/>
            <w:noWrap/>
          </w:tcPr>
          <w:p w:rsidR="00F07E05" w:rsidRDefault="00F07E05" w:rsidP="008A253E">
            <w:pPr>
              <w:ind w:left="-136" w:right="-108" w:hanging="28"/>
              <w:jc w:val="center"/>
              <w:rPr>
                <w:sz w:val="20"/>
                <w:szCs w:val="20"/>
              </w:rPr>
            </w:pPr>
          </w:p>
          <w:p w:rsidR="00F07E05" w:rsidRDefault="00F07E05" w:rsidP="008A253E">
            <w:pPr>
              <w:ind w:left="-136" w:right="-108" w:hanging="28"/>
              <w:jc w:val="center"/>
              <w:rPr>
                <w:sz w:val="20"/>
                <w:szCs w:val="20"/>
              </w:rPr>
            </w:pPr>
          </w:p>
          <w:p w:rsidR="00F07E05" w:rsidRPr="00C93A58" w:rsidRDefault="00F07E05" w:rsidP="008A253E">
            <w:pPr>
              <w:ind w:left="-136" w:right="-108" w:hanging="28"/>
              <w:jc w:val="center"/>
              <w:rPr>
                <w:sz w:val="20"/>
                <w:szCs w:val="20"/>
              </w:rPr>
            </w:pPr>
            <w:r>
              <w:rPr>
                <w:sz w:val="20"/>
                <w:szCs w:val="20"/>
              </w:rPr>
              <w:t>97,9</w:t>
            </w:r>
          </w:p>
        </w:tc>
        <w:tc>
          <w:tcPr>
            <w:tcW w:w="1620" w:type="dxa"/>
            <w:noWrap/>
          </w:tcPr>
          <w:p w:rsidR="00F07E05" w:rsidRDefault="00F07E05" w:rsidP="008A253E">
            <w:pPr>
              <w:ind w:left="-108" w:right="-3" w:hanging="108"/>
              <w:jc w:val="center"/>
              <w:rPr>
                <w:sz w:val="20"/>
                <w:szCs w:val="20"/>
              </w:rPr>
            </w:pPr>
          </w:p>
          <w:p w:rsidR="00F07E05" w:rsidRDefault="00F07E05" w:rsidP="008A253E">
            <w:pPr>
              <w:ind w:left="-108" w:right="-3" w:hanging="108"/>
              <w:jc w:val="center"/>
              <w:rPr>
                <w:sz w:val="20"/>
                <w:szCs w:val="20"/>
              </w:rPr>
            </w:pPr>
          </w:p>
          <w:p w:rsidR="00F07E05" w:rsidRPr="00C93A58" w:rsidRDefault="00F07E05" w:rsidP="008A253E">
            <w:pPr>
              <w:ind w:left="-108" w:right="-3" w:hanging="108"/>
              <w:jc w:val="center"/>
              <w:rPr>
                <w:sz w:val="20"/>
                <w:szCs w:val="20"/>
              </w:rPr>
            </w:pPr>
            <w:r>
              <w:rPr>
                <w:sz w:val="20"/>
                <w:szCs w:val="20"/>
              </w:rPr>
              <w:t>130,3</w:t>
            </w:r>
          </w:p>
        </w:tc>
      </w:tr>
    </w:tbl>
    <w:p w:rsidR="00F07E05" w:rsidRDefault="00F07E05" w:rsidP="00F07E05">
      <w:pPr>
        <w:pStyle w:val="21"/>
        <w:jc w:val="center"/>
        <w:rPr>
          <w:b/>
        </w:rPr>
      </w:pPr>
    </w:p>
    <w:p w:rsidR="00F07E05" w:rsidRPr="00797EB9" w:rsidRDefault="00F07E05" w:rsidP="00F07E05">
      <w:pPr>
        <w:ind w:left="-180" w:right="158" w:firstLine="889"/>
        <w:jc w:val="both"/>
        <w:rPr>
          <w:sz w:val="28"/>
          <w:szCs w:val="28"/>
        </w:rPr>
      </w:pPr>
      <w:r w:rsidRPr="00797EB9">
        <w:rPr>
          <w:sz w:val="28"/>
          <w:szCs w:val="28"/>
        </w:rPr>
        <w:t xml:space="preserve"> В соответствии с методикой прогнозирования доходов областного бюджета Тверской области, утвержденной приказом</w:t>
      </w:r>
      <w:r w:rsidRPr="003C62FB">
        <w:rPr>
          <w:sz w:val="28"/>
          <w:szCs w:val="28"/>
        </w:rPr>
        <w:t xml:space="preserve"> </w:t>
      </w:r>
      <w:r>
        <w:rPr>
          <w:sz w:val="28"/>
          <w:szCs w:val="28"/>
        </w:rPr>
        <w:t>Главного управления «Государственная жилищная инспекции» Тверской области от 29.08.2016 № 669-ОД п</w:t>
      </w:r>
      <w:r w:rsidRPr="00797EB9">
        <w:rPr>
          <w:sz w:val="28"/>
          <w:szCs w:val="28"/>
        </w:rPr>
        <w:t>рогноз прочих доходов от компенсации затрат бюджетов субъектов Российской Федерации рассчитывается с применением метода усреднения   годовых объемов доходов, полученных   не менее чем за 3 года или  весь  период  поступления, если  он  не превышает  3 года.</w:t>
      </w:r>
    </w:p>
    <w:p w:rsidR="00F07E05" w:rsidRPr="00797EB9" w:rsidRDefault="00F07E05" w:rsidP="00F07E05">
      <w:pPr>
        <w:ind w:firstLine="851"/>
        <w:rPr>
          <w:sz w:val="28"/>
          <w:szCs w:val="28"/>
        </w:rPr>
      </w:pPr>
      <w:r w:rsidRPr="00797EB9">
        <w:rPr>
          <w:sz w:val="28"/>
          <w:szCs w:val="28"/>
        </w:rPr>
        <w:t>20</w:t>
      </w:r>
      <w:r>
        <w:rPr>
          <w:sz w:val="28"/>
          <w:szCs w:val="28"/>
        </w:rPr>
        <w:t xml:space="preserve">19 </w:t>
      </w:r>
      <w:r w:rsidRPr="00797EB9">
        <w:rPr>
          <w:sz w:val="28"/>
          <w:szCs w:val="28"/>
        </w:rPr>
        <w:t xml:space="preserve">год – </w:t>
      </w:r>
      <w:r>
        <w:rPr>
          <w:sz w:val="28"/>
          <w:szCs w:val="28"/>
        </w:rPr>
        <w:t>376,4</w:t>
      </w:r>
      <w:r w:rsidRPr="00797EB9">
        <w:rPr>
          <w:sz w:val="28"/>
          <w:szCs w:val="28"/>
        </w:rPr>
        <w:t xml:space="preserve"> тыс. руб;</w:t>
      </w:r>
    </w:p>
    <w:p w:rsidR="00F07E05" w:rsidRPr="00797EB9" w:rsidRDefault="00F07E05" w:rsidP="00F07E05">
      <w:pPr>
        <w:ind w:firstLine="851"/>
        <w:rPr>
          <w:sz w:val="28"/>
          <w:szCs w:val="28"/>
        </w:rPr>
      </w:pPr>
      <w:r w:rsidRPr="00797EB9">
        <w:rPr>
          <w:sz w:val="28"/>
          <w:szCs w:val="28"/>
        </w:rPr>
        <w:t>20</w:t>
      </w:r>
      <w:r>
        <w:rPr>
          <w:sz w:val="28"/>
          <w:szCs w:val="28"/>
        </w:rPr>
        <w:t xml:space="preserve">20 </w:t>
      </w:r>
      <w:r w:rsidRPr="00797EB9">
        <w:rPr>
          <w:sz w:val="28"/>
          <w:szCs w:val="28"/>
        </w:rPr>
        <w:t xml:space="preserve">год – </w:t>
      </w:r>
      <w:r>
        <w:rPr>
          <w:sz w:val="28"/>
          <w:szCs w:val="28"/>
        </w:rPr>
        <w:t>0,5</w:t>
      </w:r>
      <w:r w:rsidRPr="00797EB9">
        <w:rPr>
          <w:sz w:val="28"/>
          <w:szCs w:val="28"/>
        </w:rPr>
        <w:t xml:space="preserve"> тыс. руб.;</w:t>
      </w:r>
    </w:p>
    <w:p w:rsidR="00F07E05" w:rsidRPr="00797EB9" w:rsidRDefault="00F07E05" w:rsidP="00F07E05">
      <w:pPr>
        <w:ind w:firstLine="851"/>
        <w:rPr>
          <w:sz w:val="28"/>
          <w:szCs w:val="28"/>
        </w:rPr>
      </w:pPr>
      <w:r w:rsidRPr="00797EB9">
        <w:rPr>
          <w:sz w:val="28"/>
          <w:szCs w:val="28"/>
        </w:rPr>
        <w:t>20</w:t>
      </w:r>
      <w:r>
        <w:rPr>
          <w:sz w:val="28"/>
          <w:szCs w:val="28"/>
        </w:rPr>
        <w:t xml:space="preserve">21 </w:t>
      </w:r>
      <w:r w:rsidRPr="00797EB9">
        <w:rPr>
          <w:sz w:val="28"/>
          <w:szCs w:val="28"/>
        </w:rPr>
        <w:t xml:space="preserve">год (оценка) – </w:t>
      </w:r>
      <w:r>
        <w:rPr>
          <w:sz w:val="28"/>
          <w:szCs w:val="28"/>
        </w:rPr>
        <w:t xml:space="preserve">125,6 </w:t>
      </w:r>
      <w:r w:rsidRPr="00797EB9">
        <w:rPr>
          <w:sz w:val="28"/>
          <w:szCs w:val="28"/>
        </w:rPr>
        <w:t xml:space="preserve"> тыс. руб.</w:t>
      </w:r>
    </w:p>
    <w:p w:rsidR="00F07E05" w:rsidRPr="00797EB9" w:rsidRDefault="00F07E05" w:rsidP="00F07E05">
      <w:pPr>
        <w:ind w:firstLine="851"/>
        <w:jc w:val="both"/>
        <w:rPr>
          <w:sz w:val="28"/>
          <w:szCs w:val="28"/>
        </w:rPr>
      </w:pPr>
      <w:r w:rsidRPr="00304834">
        <w:rPr>
          <w:b/>
          <w:sz w:val="28"/>
          <w:szCs w:val="28"/>
        </w:rPr>
        <w:t>Прогноз 20</w:t>
      </w:r>
      <w:r>
        <w:rPr>
          <w:b/>
          <w:sz w:val="28"/>
          <w:szCs w:val="28"/>
        </w:rPr>
        <w:t>22</w:t>
      </w:r>
      <w:r w:rsidRPr="00304834">
        <w:rPr>
          <w:b/>
          <w:sz w:val="28"/>
          <w:szCs w:val="28"/>
        </w:rPr>
        <w:t xml:space="preserve"> год – </w:t>
      </w:r>
      <w:r>
        <w:rPr>
          <w:b/>
          <w:sz w:val="28"/>
          <w:szCs w:val="28"/>
        </w:rPr>
        <w:t>167,5</w:t>
      </w:r>
      <w:r w:rsidRPr="00304834">
        <w:rPr>
          <w:b/>
          <w:sz w:val="28"/>
          <w:szCs w:val="28"/>
        </w:rPr>
        <w:t xml:space="preserve"> тыс. руб</w:t>
      </w:r>
      <w:r w:rsidRPr="00797EB9">
        <w:rPr>
          <w:sz w:val="28"/>
          <w:szCs w:val="28"/>
        </w:rPr>
        <w:t>. (</w:t>
      </w:r>
      <w:r>
        <w:rPr>
          <w:sz w:val="28"/>
          <w:szCs w:val="28"/>
        </w:rPr>
        <w:t>376,4</w:t>
      </w:r>
      <w:r w:rsidRPr="00797EB9">
        <w:rPr>
          <w:sz w:val="28"/>
          <w:szCs w:val="28"/>
        </w:rPr>
        <w:t xml:space="preserve"> тыс. руб. </w:t>
      </w:r>
      <w:r>
        <w:rPr>
          <w:sz w:val="28"/>
          <w:szCs w:val="28"/>
        </w:rPr>
        <w:t>+0,5</w:t>
      </w:r>
      <w:r w:rsidRPr="00797EB9">
        <w:rPr>
          <w:sz w:val="28"/>
          <w:szCs w:val="28"/>
        </w:rPr>
        <w:t xml:space="preserve"> тыс. руб.</w:t>
      </w:r>
      <w:r>
        <w:rPr>
          <w:sz w:val="28"/>
          <w:szCs w:val="28"/>
        </w:rPr>
        <w:t>+ 125,6 тыс. руб.</w:t>
      </w:r>
      <w:r w:rsidRPr="00797EB9">
        <w:rPr>
          <w:sz w:val="28"/>
          <w:szCs w:val="28"/>
        </w:rPr>
        <w:t>)/3=</w:t>
      </w:r>
      <w:r>
        <w:rPr>
          <w:sz w:val="28"/>
          <w:szCs w:val="28"/>
        </w:rPr>
        <w:t xml:space="preserve">167,5 </w:t>
      </w:r>
      <w:r w:rsidRPr="00797EB9">
        <w:rPr>
          <w:sz w:val="28"/>
          <w:szCs w:val="28"/>
        </w:rPr>
        <w:t xml:space="preserve"> тыс. руб.</w:t>
      </w:r>
    </w:p>
    <w:p w:rsidR="00F07E05" w:rsidRPr="00797EB9" w:rsidRDefault="00F07E05" w:rsidP="00F07E05">
      <w:pPr>
        <w:ind w:firstLine="851"/>
        <w:jc w:val="both"/>
        <w:rPr>
          <w:sz w:val="28"/>
          <w:szCs w:val="28"/>
        </w:rPr>
      </w:pPr>
      <w:r w:rsidRPr="00304834">
        <w:rPr>
          <w:b/>
          <w:sz w:val="28"/>
          <w:szCs w:val="28"/>
        </w:rPr>
        <w:t>Прогноз 202</w:t>
      </w:r>
      <w:r>
        <w:rPr>
          <w:b/>
          <w:sz w:val="28"/>
          <w:szCs w:val="28"/>
        </w:rPr>
        <w:t>3</w:t>
      </w:r>
      <w:r w:rsidRPr="00304834">
        <w:rPr>
          <w:b/>
          <w:sz w:val="28"/>
          <w:szCs w:val="28"/>
        </w:rPr>
        <w:t xml:space="preserve"> год – </w:t>
      </w:r>
      <w:r>
        <w:rPr>
          <w:b/>
          <w:sz w:val="28"/>
          <w:szCs w:val="28"/>
        </w:rPr>
        <w:t>97,9</w:t>
      </w:r>
      <w:r w:rsidRPr="00304834">
        <w:rPr>
          <w:b/>
          <w:sz w:val="28"/>
          <w:szCs w:val="28"/>
        </w:rPr>
        <w:t xml:space="preserve"> тыс. руб.</w:t>
      </w:r>
      <w:r w:rsidRPr="00797EB9">
        <w:rPr>
          <w:sz w:val="28"/>
          <w:szCs w:val="28"/>
        </w:rPr>
        <w:t xml:space="preserve"> (</w:t>
      </w:r>
      <w:r>
        <w:rPr>
          <w:sz w:val="28"/>
          <w:szCs w:val="28"/>
        </w:rPr>
        <w:t>0,5</w:t>
      </w:r>
      <w:r w:rsidRPr="00797EB9">
        <w:rPr>
          <w:sz w:val="28"/>
          <w:szCs w:val="28"/>
        </w:rPr>
        <w:t xml:space="preserve"> тыс. руб. + </w:t>
      </w:r>
      <w:r>
        <w:rPr>
          <w:sz w:val="28"/>
          <w:szCs w:val="28"/>
        </w:rPr>
        <w:t>125,6</w:t>
      </w:r>
      <w:r w:rsidRPr="00797EB9">
        <w:rPr>
          <w:sz w:val="28"/>
          <w:szCs w:val="28"/>
        </w:rPr>
        <w:t xml:space="preserve"> тыс. руб. + </w:t>
      </w:r>
      <w:r>
        <w:rPr>
          <w:sz w:val="28"/>
          <w:szCs w:val="28"/>
        </w:rPr>
        <w:t>167,5</w:t>
      </w:r>
      <w:r w:rsidRPr="00797EB9">
        <w:rPr>
          <w:sz w:val="28"/>
          <w:szCs w:val="28"/>
        </w:rPr>
        <w:t xml:space="preserve"> тыс. руб.)/3= </w:t>
      </w:r>
      <w:r>
        <w:rPr>
          <w:sz w:val="28"/>
          <w:szCs w:val="28"/>
        </w:rPr>
        <w:t>97,9</w:t>
      </w:r>
      <w:r w:rsidRPr="00797EB9">
        <w:rPr>
          <w:sz w:val="28"/>
          <w:szCs w:val="28"/>
        </w:rPr>
        <w:t xml:space="preserve"> тыс. руб.</w:t>
      </w:r>
    </w:p>
    <w:p w:rsidR="00F07E05" w:rsidRPr="00797EB9" w:rsidRDefault="00F07E05" w:rsidP="00F07E05">
      <w:pPr>
        <w:ind w:firstLine="851"/>
        <w:jc w:val="both"/>
        <w:rPr>
          <w:sz w:val="28"/>
          <w:szCs w:val="28"/>
        </w:rPr>
      </w:pPr>
      <w:r w:rsidRPr="00304834">
        <w:rPr>
          <w:b/>
          <w:sz w:val="28"/>
          <w:szCs w:val="28"/>
        </w:rPr>
        <w:t>Прогноз 202</w:t>
      </w:r>
      <w:r>
        <w:rPr>
          <w:b/>
          <w:sz w:val="28"/>
          <w:szCs w:val="28"/>
        </w:rPr>
        <w:t>4</w:t>
      </w:r>
      <w:r w:rsidRPr="00304834">
        <w:rPr>
          <w:b/>
          <w:sz w:val="28"/>
          <w:szCs w:val="28"/>
        </w:rPr>
        <w:t xml:space="preserve"> год – </w:t>
      </w:r>
      <w:r>
        <w:rPr>
          <w:b/>
          <w:sz w:val="28"/>
          <w:szCs w:val="28"/>
        </w:rPr>
        <w:t>130,3</w:t>
      </w:r>
      <w:r w:rsidRPr="00304834">
        <w:rPr>
          <w:b/>
          <w:sz w:val="28"/>
          <w:szCs w:val="28"/>
        </w:rPr>
        <w:t xml:space="preserve"> тыс. руб</w:t>
      </w:r>
      <w:r w:rsidRPr="00797EB9">
        <w:rPr>
          <w:sz w:val="28"/>
          <w:szCs w:val="28"/>
        </w:rPr>
        <w:t>.</w:t>
      </w:r>
      <w:r>
        <w:rPr>
          <w:sz w:val="28"/>
          <w:szCs w:val="28"/>
        </w:rPr>
        <w:t xml:space="preserve"> </w:t>
      </w:r>
      <w:r w:rsidRPr="00797EB9">
        <w:rPr>
          <w:sz w:val="28"/>
          <w:szCs w:val="28"/>
        </w:rPr>
        <w:t>(</w:t>
      </w:r>
      <w:r>
        <w:rPr>
          <w:sz w:val="28"/>
          <w:szCs w:val="28"/>
        </w:rPr>
        <w:t>125</w:t>
      </w:r>
      <w:r w:rsidRPr="00797EB9">
        <w:rPr>
          <w:sz w:val="28"/>
          <w:szCs w:val="28"/>
        </w:rPr>
        <w:t>,</w:t>
      </w:r>
      <w:r>
        <w:rPr>
          <w:sz w:val="28"/>
          <w:szCs w:val="28"/>
        </w:rPr>
        <w:t>6</w:t>
      </w:r>
      <w:r w:rsidRPr="00797EB9">
        <w:rPr>
          <w:sz w:val="28"/>
          <w:szCs w:val="28"/>
        </w:rPr>
        <w:t xml:space="preserve"> тыс. руб. + </w:t>
      </w:r>
      <w:r>
        <w:rPr>
          <w:sz w:val="28"/>
          <w:szCs w:val="28"/>
        </w:rPr>
        <w:t>167,5</w:t>
      </w:r>
      <w:r w:rsidRPr="00797EB9">
        <w:rPr>
          <w:sz w:val="28"/>
          <w:szCs w:val="28"/>
        </w:rPr>
        <w:t xml:space="preserve"> тыс. руб. + </w:t>
      </w:r>
      <w:r>
        <w:rPr>
          <w:sz w:val="28"/>
          <w:szCs w:val="28"/>
        </w:rPr>
        <w:t>97,9</w:t>
      </w:r>
      <w:r w:rsidRPr="00797EB9">
        <w:rPr>
          <w:sz w:val="28"/>
          <w:szCs w:val="28"/>
        </w:rPr>
        <w:t xml:space="preserve"> тыс. руб)/3= </w:t>
      </w:r>
      <w:r>
        <w:rPr>
          <w:sz w:val="28"/>
          <w:szCs w:val="28"/>
        </w:rPr>
        <w:t>130,3</w:t>
      </w:r>
      <w:r w:rsidRPr="00797EB9">
        <w:rPr>
          <w:sz w:val="28"/>
          <w:szCs w:val="28"/>
        </w:rPr>
        <w:t xml:space="preserve"> тыс. руб.</w:t>
      </w:r>
    </w:p>
    <w:p w:rsidR="00F07E05" w:rsidRDefault="00F07E05" w:rsidP="00F07E05">
      <w:pPr>
        <w:ind w:firstLine="851"/>
        <w:jc w:val="both"/>
        <w:rPr>
          <w:b/>
        </w:rPr>
      </w:pPr>
    </w:p>
    <w:p w:rsidR="00F07E05" w:rsidRDefault="00F07E05" w:rsidP="00F07E05">
      <w:pPr>
        <w:ind w:firstLine="851"/>
        <w:jc w:val="both"/>
        <w:rPr>
          <w:b/>
        </w:rPr>
      </w:pPr>
    </w:p>
    <w:p w:rsidR="00F07E05" w:rsidRDefault="00F07E05" w:rsidP="00F07E05">
      <w:pPr>
        <w:ind w:firstLine="851"/>
        <w:jc w:val="both"/>
        <w:rPr>
          <w:b/>
        </w:rPr>
      </w:pPr>
    </w:p>
    <w:p w:rsidR="00F07E05" w:rsidRDefault="00F07E05" w:rsidP="00F07E05">
      <w:pPr>
        <w:ind w:firstLine="851"/>
        <w:jc w:val="both"/>
        <w:rPr>
          <w:b/>
        </w:rPr>
      </w:pPr>
    </w:p>
    <w:p w:rsidR="00F07E05" w:rsidRDefault="00F07E05" w:rsidP="00F07E05">
      <w:pPr>
        <w:ind w:firstLine="851"/>
        <w:jc w:val="both"/>
        <w:rPr>
          <w:b/>
        </w:rPr>
      </w:pPr>
    </w:p>
    <w:p w:rsidR="00F07E05" w:rsidRDefault="00F07E05" w:rsidP="00F07E05">
      <w:pPr>
        <w:ind w:firstLine="851"/>
        <w:jc w:val="both"/>
        <w:rPr>
          <w:b/>
        </w:rPr>
      </w:pPr>
    </w:p>
    <w:p w:rsidR="00F07E05" w:rsidRDefault="00F07E05" w:rsidP="00F07E05">
      <w:pPr>
        <w:ind w:firstLine="851"/>
        <w:jc w:val="both"/>
        <w:rPr>
          <w:b/>
        </w:rPr>
      </w:pPr>
    </w:p>
    <w:p w:rsidR="00F07E05" w:rsidRDefault="00F07E05" w:rsidP="00F07E05">
      <w:pPr>
        <w:ind w:firstLine="851"/>
        <w:jc w:val="both"/>
        <w:rPr>
          <w:b/>
        </w:rPr>
      </w:pPr>
    </w:p>
    <w:p w:rsidR="00F07E05" w:rsidRDefault="00F07E05" w:rsidP="00F07E05">
      <w:pPr>
        <w:ind w:firstLine="851"/>
        <w:jc w:val="both"/>
        <w:rPr>
          <w:b/>
        </w:rPr>
      </w:pPr>
    </w:p>
    <w:p w:rsidR="00F07E05" w:rsidRDefault="00F07E05" w:rsidP="00F07E05">
      <w:pPr>
        <w:ind w:firstLine="851"/>
        <w:jc w:val="both"/>
        <w:rPr>
          <w:b/>
        </w:rPr>
      </w:pPr>
    </w:p>
    <w:p w:rsidR="00F07E05" w:rsidRDefault="00F07E05" w:rsidP="00F07E05">
      <w:pPr>
        <w:ind w:firstLine="851"/>
        <w:jc w:val="both"/>
        <w:rPr>
          <w:b/>
        </w:rPr>
      </w:pPr>
    </w:p>
    <w:p w:rsidR="00F07E05" w:rsidRDefault="00F07E05" w:rsidP="00F07E05">
      <w:pPr>
        <w:ind w:firstLine="851"/>
        <w:jc w:val="both"/>
        <w:rPr>
          <w:b/>
        </w:rPr>
      </w:pPr>
    </w:p>
    <w:p w:rsidR="00F07E05" w:rsidRDefault="00F07E05" w:rsidP="00F07E05">
      <w:pPr>
        <w:ind w:firstLine="851"/>
        <w:jc w:val="both"/>
        <w:rPr>
          <w:b/>
        </w:rPr>
      </w:pPr>
    </w:p>
    <w:p w:rsidR="00F07E05" w:rsidRDefault="00F07E05" w:rsidP="00F07E05">
      <w:pPr>
        <w:ind w:firstLine="851"/>
        <w:jc w:val="both"/>
        <w:rPr>
          <w:b/>
        </w:rPr>
      </w:pPr>
    </w:p>
    <w:p w:rsidR="00F07E05" w:rsidRPr="005F1987" w:rsidRDefault="00F07E05" w:rsidP="00F07E05">
      <w:pPr>
        <w:jc w:val="center"/>
        <w:rPr>
          <w:b/>
          <w:sz w:val="28"/>
          <w:szCs w:val="28"/>
        </w:rPr>
      </w:pPr>
      <w:r w:rsidRPr="005F1987">
        <w:rPr>
          <w:b/>
          <w:sz w:val="28"/>
          <w:szCs w:val="28"/>
        </w:rPr>
        <w:t>Министерство имущественных и земельных отношений Тверской области</w:t>
      </w:r>
    </w:p>
    <w:p w:rsidR="00F07E05" w:rsidRPr="005F1987" w:rsidRDefault="00F07E05" w:rsidP="00F07E05">
      <w:pPr>
        <w:jc w:val="center"/>
        <w:rPr>
          <w:b/>
          <w:sz w:val="28"/>
          <w:szCs w:val="28"/>
        </w:rPr>
      </w:pPr>
    </w:p>
    <w:p w:rsidR="00F07E05" w:rsidRPr="00BF640E" w:rsidRDefault="00F07E05" w:rsidP="00F07E05">
      <w:pPr>
        <w:jc w:val="right"/>
        <w:rPr>
          <w:color w:val="FF0000"/>
          <w:sz w:val="28"/>
          <w:szCs w:val="28"/>
        </w:rPr>
      </w:pPr>
      <w:r w:rsidRPr="00BF640E">
        <w:rPr>
          <w:sz w:val="28"/>
          <w:szCs w:val="28"/>
        </w:rPr>
        <w:t>тыс. руб</w:t>
      </w:r>
      <w:r w:rsidRPr="00BF640E">
        <w:rPr>
          <w:color w:val="FF0000"/>
          <w:sz w:val="28"/>
          <w:szCs w:val="28"/>
        </w:rPr>
        <w:t>.</w:t>
      </w:r>
    </w:p>
    <w:p w:rsidR="00F07E05" w:rsidRPr="0028619A" w:rsidRDefault="00F07E05" w:rsidP="00F07E05">
      <w:pPr>
        <w:tabs>
          <w:tab w:val="left" w:pos="10335"/>
          <w:tab w:val="right" w:pos="14570"/>
        </w:tabs>
      </w:pPr>
      <w:r w:rsidRPr="0028619A">
        <w:tab/>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1368"/>
        <w:gridCol w:w="1440"/>
        <w:gridCol w:w="1620"/>
      </w:tblGrid>
      <w:tr w:rsidR="00F07E05" w:rsidRPr="00C93A58" w:rsidTr="008A253E">
        <w:trPr>
          <w:trHeight w:val="510"/>
        </w:trPr>
        <w:tc>
          <w:tcPr>
            <w:tcW w:w="2520" w:type="dxa"/>
            <w:noWrap/>
          </w:tcPr>
          <w:p w:rsidR="00F07E05" w:rsidRPr="00C93A58" w:rsidRDefault="00F07E05" w:rsidP="008A253E">
            <w:pPr>
              <w:rPr>
                <w:b/>
                <w:sz w:val="20"/>
                <w:szCs w:val="20"/>
              </w:rPr>
            </w:pPr>
            <w:r w:rsidRPr="00C93A58">
              <w:rPr>
                <w:b/>
                <w:sz w:val="20"/>
                <w:szCs w:val="20"/>
              </w:rPr>
              <w:t>Код БК</w:t>
            </w:r>
          </w:p>
        </w:tc>
        <w:tc>
          <w:tcPr>
            <w:tcW w:w="2520" w:type="dxa"/>
            <w:noWrap/>
          </w:tcPr>
          <w:p w:rsidR="00F07E05" w:rsidRPr="00C93A58" w:rsidRDefault="00F07E05" w:rsidP="008A253E">
            <w:pPr>
              <w:rPr>
                <w:b/>
                <w:sz w:val="20"/>
                <w:szCs w:val="20"/>
              </w:rPr>
            </w:pPr>
            <w:r w:rsidRPr="00C93A58">
              <w:rPr>
                <w:b/>
                <w:sz w:val="20"/>
                <w:szCs w:val="20"/>
              </w:rPr>
              <w:t>Наименование</w:t>
            </w:r>
          </w:p>
        </w:tc>
        <w:tc>
          <w:tcPr>
            <w:tcW w:w="1368" w:type="dxa"/>
          </w:tcPr>
          <w:p w:rsidR="00F07E05" w:rsidRPr="00C93A58" w:rsidRDefault="00F07E05" w:rsidP="008A253E">
            <w:pPr>
              <w:jc w:val="center"/>
              <w:rPr>
                <w:b/>
                <w:sz w:val="20"/>
                <w:szCs w:val="20"/>
              </w:rPr>
            </w:pPr>
            <w:r w:rsidRPr="00C93A58">
              <w:rPr>
                <w:b/>
                <w:sz w:val="20"/>
                <w:szCs w:val="20"/>
              </w:rPr>
              <w:t>Прогноз на</w:t>
            </w:r>
          </w:p>
          <w:p w:rsidR="00F07E05" w:rsidRPr="00C93A58" w:rsidRDefault="00F07E05" w:rsidP="008A253E">
            <w:pPr>
              <w:jc w:val="center"/>
              <w:rPr>
                <w:b/>
                <w:sz w:val="20"/>
                <w:szCs w:val="20"/>
              </w:rPr>
            </w:pPr>
            <w:r>
              <w:rPr>
                <w:b/>
                <w:sz w:val="20"/>
                <w:szCs w:val="20"/>
              </w:rPr>
              <w:t>2022</w:t>
            </w:r>
            <w:r w:rsidRPr="00C93A58">
              <w:rPr>
                <w:b/>
                <w:sz w:val="20"/>
                <w:szCs w:val="20"/>
              </w:rPr>
              <w:t xml:space="preserve"> год </w:t>
            </w:r>
          </w:p>
          <w:p w:rsidR="00F07E05" w:rsidRPr="00C93A58" w:rsidRDefault="00F07E05" w:rsidP="008A253E">
            <w:pPr>
              <w:jc w:val="center"/>
              <w:rPr>
                <w:b/>
                <w:sz w:val="20"/>
                <w:szCs w:val="20"/>
              </w:rPr>
            </w:pPr>
          </w:p>
        </w:tc>
        <w:tc>
          <w:tcPr>
            <w:tcW w:w="1440" w:type="dxa"/>
          </w:tcPr>
          <w:p w:rsidR="00F07E05" w:rsidRPr="00C93A58" w:rsidRDefault="00F07E05" w:rsidP="008A253E">
            <w:pPr>
              <w:jc w:val="center"/>
              <w:rPr>
                <w:b/>
                <w:sz w:val="20"/>
                <w:szCs w:val="20"/>
              </w:rPr>
            </w:pPr>
            <w:r w:rsidRPr="00C93A58">
              <w:rPr>
                <w:b/>
                <w:sz w:val="20"/>
                <w:szCs w:val="20"/>
              </w:rPr>
              <w:t>Прогноз на</w:t>
            </w:r>
          </w:p>
          <w:p w:rsidR="00F07E05" w:rsidRPr="00C93A58" w:rsidRDefault="00F07E05" w:rsidP="008A253E">
            <w:pPr>
              <w:jc w:val="center"/>
              <w:rPr>
                <w:b/>
                <w:sz w:val="20"/>
                <w:szCs w:val="20"/>
              </w:rPr>
            </w:pPr>
            <w:r>
              <w:rPr>
                <w:b/>
                <w:sz w:val="20"/>
                <w:szCs w:val="20"/>
              </w:rPr>
              <w:t xml:space="preserve">2023 </w:t>
            </w:r>
            <w:r w:rsidRPr="00C93A58">
              <w:rPr>
                <w:b/>
                <w:sz w:val="20"/>
                <w:szCs w:val="20"/>
              </w:rPr>
              <w:t>год</w:t>
            </w:r>
          </w:p>
          <w:p w:rsidR="00F07E05" w:rsidRPr="00C93A58" w:rsidRDefault="00F07E05" w:rsidP="008A253E">
            <w:pPr>
              <w:jc w:val="center"/>
              <w:rPr>
                <w:b/>
                <w:sz w:val="20"/>
                <w:szCs w:val="20"/>
              </w:rPr>
            </w:pPr>
          </w:p>
        </w:tc>
        <w:tc>
          <w:tcPr>
            <w:tcW w:w="1620" w:type="dxa"/>
          </w:tcPr>
          <w:p w:rsidR="00F07E05" w:rsidRPr="00C93A58" w:rsidRDefault="00F07E05" w:rsidP="008A253E">
            <w:pPr>
              <w:jc w:val="center"/>
              <w:rPr>
                <w:b/>
                <w:sz w:val="20"/>
                <w:szCs w:val="20"/>
              </w:rPr>
            </w:pPr>
            <w:r w:rsidRPr="00C93A58">
              <w:rPr>
                <w:b/>
                <w:sz w:val="20"/>
                <w:szCs w:val="20"/>
              </w:rPr>
              <w:t>Прогноз на</w:t>
            </w:r>
          </w:p>
          <w:p w:rsidR="00F07E05" w:rsidRPr="00C93A58" w:rsidRDefault="00F07E05" w:rsidP="008A253E">
            <w:pPr>
              <w:jc w:val="center"/>
              <w:rPr>
                <w:b/>
                <w:sz w:val="20"/>
                <w:szCs w:val="20"/>
              </w:rPr>
            </w:pPr>
            <w:r>
              <w:rPr>
                <w:b/>
                <w:sz w:val="20"/>
                <w:szCs w:val="20"/>
              </w:rPr>
              <w:t xml:space="preserve">2024 </w:t>
            </w:r>
            <w:r w:rsidRPr="00C93A58">
              <w:rPr>
                <w:b/>
                <w:sz w:val="20"/>
                <w:szCs w:val="20"/>
              </w:rPr>
              <w:t>год</w:t>
            </w:r>
          </w:p>
          <w:p w:rsidR="00F07E05" w:rsidRPr="00C93A58" w:rsidRDefault="00F07E05" w:rsidP="008A253E">
            <w:pPr>
              <w:jc w:val="center"/>
              <w:rPr>
                <w:b/>
                <w:sz w:val="20"/>
                <w:szCs w:val="20"/>
              </w:rPr>
            </w:pPr>
          </w:p>
          <w:p w:rsidR="00F07E05" w:rsidRPr="00C93A58" w:rsidRDefault="00F07E05" w:rsidP="008A253E">
            <w:pPr>
              <w:jc w:val="center"/>
              <w:rPr>
                <w:b/>
                <w:sz w:val="20"/>
                <w:szCs w:val="20"/>
              </w:rPr>
            </w:pPr>
          </w:p>
        </w:tc>
      </w:tr>
      <w:tr w:rsidR="00F07E05" w:rsidRPr="00C93A58" w:rsidTr="008A253E">
        <w:trPr>
          <w:trHeight w:val="1275"/>
        </w:trPr>
        <w:tc>
          <w:tcPr>
            <w:tcW w:w="2520" w:type="dxa"/>
            <w:noWrap/>
          </w:tcPr>
          <w:p w:rsidR="00F07E05" w:rsidRPr="00C93A58" w:rsidRDefault="00F07E05" w:rsidP="008A253E">
            <w:pPr>
              <w:jc w:val="center"/>
              <w:rPr>
                <w:b/>
                <w:sz w:val="16"/>
                <w:szCs w:val="16"/>
              </w:rPr>
            </w:pPr>
          </w:p>
          <w:p w:rsidR="00F07E05" w:rsidRPr="00C93A58" w:rsidRDefault="00F07E05" w:rsidP="008A253E">
            <w:pPr>
              <w:jc w:val="center"/>
              <w:rPr>
                <w:b/>
                <w:sz w:val="16"/>
                <w:szCs w:val="16"/>
              </w:rPr>
            </w:pPr>
          </w:p>
          <w:p w:rsidR="00F07E05" w:rsidRPr="00C93A58" w:rsidRDefault="00F07E05" w:rsidP="008A253E">
            <w:pPr>
              <w:jc w:val="center"/>
              <w:rPr>
                <w:b/>
                <w:sz w:val="16"/>
                <w:szCs w:val="16"/>
              </w:rPr>
            </w:pPr>
            <w:r w:rsidRPr="00C93A58">
              <w:rPr>
                <w:b/>
                <w:sz w:val="16"/>
                <w:szCs w:val="16"/>
              </w:rPr>
              <w:t>000</w:t>
            </w:r>
            <w:r w:rsidRPr="00C93A58">
              <w:rPr>
                <w:b/>
                <w:sz w:val="16"/>
                <w:szCs w:val="16"/>
                <w:lang w:val="en-US"/>
              </w:rPr>
              <w:t xml:space="preserve"> 1 13 0</w:t>
            </w:r>
            <w:r w:rsidRPr="00C93A58">
              <w:rPr>
                <w:b/>
                <w:sz w:val="16"/>
                <w:szCs w:val="16"/>
              </w:rPr>
              <w:t>2990</w:t>
            </w:r>
            <w:r w:rsidRPr="00C93A58">
              <w:rPr>
                <w:b/>
                <w:sz w:val="16"/>
                <w:szCs w:val="16"/>
                <w:lang w:val="en-US"/>
              </w:rPr>
              <w:t xml:space="preserve"> 0</w:t>
            </w:r>
            <w:r w:rsidRPr="00C93A58">
              <w:rPr>
                <w:b/>
                <w:sz w:val="16"/>
                <w:szCs w:val="16"/>
              </w:rPr>
              <w:t>0</w:t>
            </w:r>
            <w:r w:rsidRPr="00C93A58">
              <w:rPr>
                <w:b/>
                <w:sz w:val="16"/>
                <w:szCs w:val="16"/>
                <w:lang w:val="en-US"/>
              </w:rPr>
              <w:t xml:space="preserve"> 0</w:t>
            </w:r>
            <w:r w:rsidRPr="00C93A58">
              <w:rPr>
                <w:b/>
                <w:sz w:val="16"/>
                <w:szCs w:val="16"/>
              </w:rPr>
              <w:t>000 130</w:t>
            </w:r>
          </w:p>
        </w:tc>
        <w:tc>
          <w:tcPr>
            <w:tcW w:w="2520" w:type="dxa"/>
          </w:tcPr>
          <w:p w:rsidR="00F07E05" w:rsidRPr="00C93A58" w:rsidRDefault="00F07E05" w:rsidP="008A253E">
            <w:pPr>
              <w:rPr>
                <w:sz w:val="20"/>
                <w:szCs w:val="20"/>
              </w:rPr>
            </w:pPr>
          </w:p>
          <w:p w:rsidR="00F07E05" w:rsidRPr="00C93A58" w:rsidRDefault="00F07E05" w:rsidP="008A253E">
            <w:pPr>
              <w:rPr>
                <w:sz w:val="20"/>
                <w:szCs w:val="20"/>
              </w:rPr>
            </w:pPr>
            <w:r w:rsidRPr="00C93A58">
              <w:rPr>
                <w:sz w:val="20"/>
                <w:szCs w:val="20"/>
              </w:rPr>
              <w:t xml:space="preserve">Прочие доходы от компенсации затрат государства </w:t>
            </w:r>
          </w:p>
        </w:tc>
        <w:tc>
          <w:tcPr>
            <w:tcW w:w="1368" w:type="dxa"/>
            <w:noWrap/>
          </w:tcPr>
          <w:p w:rsidR="00F07E05" w:rsidRDefault="00F07E05" w:rsidP="008A253E">
            <w:pPr>
              <w:ind w:hanging="108"/>
              <w:jc w:val="center"/>
              <w:rPr>
                <w:sz w:val="20"/>
                <w:szCs w:val="20"/>
              </w:rPr>
            </w:pPr>
          </w:p>
          <w:p w:rsidR="00F07E05" w:rsidRPr="00C93A58" w:rsidRDefault="00F07E05" w:rsidP="008A253E">
            <w:pPr>
              <w:ind w:hanging="108"/>
              <w:jc w:val="center"/>
              <w:rPr>
                <w:sz w:val="20"/>
                <w:szCs w:val="20"/>
              </w:rPr>
            </w:pPr>
            <w:r>
              <w:rPr>
                <w:sz w:val="20"/>
                <w:szCs w:val="20"/>
              </w:rPr>
              <w:t>25,0</w:t>
            </w:r>
          </w:p>
        </w:tc>
        <w:tc>
          <w:tcPr>
            <w:tcW w:w="1440" w:type="dxa"/>
            <w:noWrap/>
          </w:tcPr>
          <w:p w:rsidR="00F07E05" w:rsidRDefault="00F07E05" w:rsidP="008A253E">
            <w:pPr>
              <w:ind w:left="-136" w:right="-108" w:hanging="28"/>
              <w:jc w:val="center"/>
              <w:rPr>
                <w:sz w:val="20"/>
                <w:szCs w:val="20"/>
              </w:rPr>
            </w:pPr>
          </w:p>
          <w:p w:rsidR="00F07E05" w:rsidRPr="00C93A58" w:rsidRDefault="00F07E05" w:rsidP="008A253E">
            <w:pPr>
              <w:ind w:left="-136" w:right="-108" w:hanging="28"/>
              <w:jc w:val="center"/>
              <w:rPr>
                <w:sz w:val="20"/>
                <w:szCs w:val="20"/>
              </w:rPr>
            </w:pPr>
            <w:r>
              <w:rPr>
                <w:sz w:val="20"/>
                <w:szCs w:val="20"/>
              </w:rPr>
              <w:t>25,0</w:t>
            </w:r>
          </w:p>
        </w:tc>
        <w:tc>
          <w:tcPr>
            <w:tcW w:w="1620" w:type="dxa"/>
            <w:noWrap/>
          </w:tcPr>
          <w:p w:rsidR="00F07E05" w:rsidRDefault="00F07E05" w:rsidP="008A253E">
            <w:pPr>
              <w:ind w:left="-108" w:right="-3" w:hanging="108"/>
              <w:jc w:val="center"/>
              <w:rPr>
                <w:sz w:val="20"/>
                <w:szCs w:val="20"/>
              </w:rPr>
            </w:pPr>
          </w:p>
          <w:p w:rsidR="00F07E05" w:rsidRPr="00C93A58" w:rsidRDefault="00F07E05" w:rsidP="008A253E">
            <w:pPr>
              <w:ind w:left="-108" w:right="-3" w:hanging="108"/>
              <w:jc w:val="center"/>
              <w:rPr>
                <w:sz w:val="20"/>
                <w:szCs w:val="20"/>
              </w:rPr>
            </w:pPr>
            <w:r>
              <w:rPr>
                <w:sz w:val="20"/>
                <w:szCs w:val="20"/>
              </w:rPr>
              <w:t>25,0</w:t>
            </w:r>
          </w:p>
        </w:tc>
      </w:tr>
    </w:tbl>
    <w:p w:rsidR="00F07E05" w:rsidRDefault="00F07E05" w:rsidP="00F07E05">
      <w:pPr>
        <w:jc w:val="center"/>
        <w:rPr>
          <w:b/>
          <w:sz w:val="28"/>
          <w:szCs w:val="28"/>
        </w:rPr>
      </w:pPr>
    </w:p>
    <w:p w:rsidR="00F07E05" w:rsidRPr="0073268C" w:rsidRDefault="00F07E05" w:rsidP="00F07E05">
      <w:pPr>
        <w:pStyle w:val="ConsPlusNormal"/>
        <w:ind w:firstLine="709"/>
        <w:jc w:val="both"/>
        <w:rPr>
          <w:rFonts w:ascii="Times New Roman" w:hAnsi="Times New Roman" w:cs="Times New Roman"/>
          <w:sz w:val="28"/>
          <w:szCs w:val="28"/>
        </w:rPr>
      </w:pPr>
      <w:r w:rsidRPr="0073268C">
        <w:rPr>
          <w:rFonts w:ascii="Times New Roman" w:hAnsi="Times New Roman" w:cs="Times New Roman"/>
          <w:sz w:val="28"/>
          <w:szCs w:val="28"/>
        </w:rPr>
        <w:t>Расчет прогноза поступлений по данному доходному источнику на 2021 год рассчитывается с применением метода усреднения за три года, предшествующих текущему финансовому году по следующей формуле:</w:t>
      </w:r>
    </w:p>
    <w:p w:rsidR="00F07E05" w:rsidRPr="0073268C" w:rsidRDefault="00F07E05" w:rsidP="00F07E05">
      <w:pPr>
        <w:pStyle w:val="ConsPlusNormal"/>
        <w:ind w:firstLine="709"/>
        <w:jc w:val="both"/>
        <w:rPr>
          <w:rFonts w:ascii="Times New Roman" w:hAnsi="Times New Roman" w:cs="Times New Roman"/>
          <w:sz w:val="28"/>
          <w:szCs w:val="28"/>
        </w:rPr>
      </w:pPr>
    </w:p>
    <w:p w:rsidR="00F07E05" w:rsidRPr="0073268C" w:rsidRDefault="00F07E05" w:rsidP="00F07E05">
      <w:pPr>
        <w:pStyle w:val="ConsPlusNormal"/>
        <w:jc w:val="center"/>
        <w:outlineLvl w:val="0"/>
        <w:rPr>
          <w:rFonts w:ascii="Times New Roman" w:hAnsi="Times New Roman" w:cs="Times New Roman"/>
          <w:sz w:val="28"/>
          <w:szCs w:val="28"/>
        </w:rPr>
      </w:pPr>
      <w:r w:rsidRPr="0073268C">
        <w:rPr>
          <w:rFonts w:ascii="Times New Roman" w:hAnsi="Times New Roman" w:cs="Times New Roman"/>
          <w:sz w:val="28"/>
          <w:szCs w:val="28"/>
          <w:lang w:val="en-US"/>
        </w:rPr>
        <w:t>n</w:t>
      </w:r>
    </w:p>
    <w:p w:rsidR="00F07E05" w:rsidRPr="0073268C" w:rsidRDefault="00F07E05" w:rsidP="00F07E05">
      <w:pPr>
        <w:pStyle w:val="ConsPlusNormal"/>
        <w:ind w:firstLine="709"/>
        <w:jc w:val="center"/>
        <w:outlineLvl w:val="0"/>
        <w:rPr>
          <w:rFonts w:ascii="Times New Roman" w:hAnsi="Times New Roman" w:cs="Times New Roman"/>
          <w:sz w:val="28"/>
          <w:szCs w:val="28"/>
        </w:rPr>
      </w:pPr>
      <w:r w:rsidRPr="0073268C">
        <w:rPr>
          <w:rFonts w:ascii="Times New Roman" w:hAnsi="Times New Roman" w:cs="Times New Roman"/>
          <w:b/>
          <w:sz w:val="28"/>
          <w:szCs w:val="28"/>
        </w:rPr>
        <w:t xml:space="preserve">Ддз = ∑ Двдз / </w:t>
      </w:r>
      <w:r w:rsidRPr="0073268C">
        <w:rPr>
          <w:rFonts w:ascii="Times New Roman" w:hAnsi="Times New Roman" w:cs="Times New Roman"/>
          <w:b/>
          <w:sz w:val="28"/>
          <w:szCs w:val="28"/>
          <w:lang w:val="en-US"/>
        </w:rPr>
        <w:t>n</w:t>
      </w:r>
      <w:r w:rsidRPr="0073268C">
        <w:rPr>
          <w:rFonts w:ascii="Times New Roman" w:hAnsi="Times New Roman" w:cs="Times New Roman"/>
          <w:b/>
          <w:sz w:val="28"/>
          <w:szCs w:val="28"/>
        </w:rPr>
        <w:t xml:space="preserve">, </w:t>
      </w:r>
      <w:r w:rsidRPr="0073268C">
        <w:rPr>
          <w:rFonts w:ascii="Times New Roman" w:hAnsi="Times New Roman" w:cs="Times New Roman"/>
          <w:sz w:val="28"/>
          <w:szCs w:val="28"/>
        </w:rPr>
        <w:t>где</w:t>
      </w:r>
    </w:p>
    <w:p w:rsidR="00F07E05" w:rsidRPr="0073268C" w:rsidRDefault="00F07E05" w:rsidP="00F07E05">
      <w:pPr>
        <w:pStyle w:val="ConsPlusNormal"/>
        <w:jc w:val="center"/>
        <w:outlineLvl w:val="0"/>
        <w:rPr>
          <w:rFonts w:ascii="Times New Roman" w:hAnsi="Times New Roman" w:cs="Times New Roman"/>
          <w:sz w:val="28"/>
          <w:szCs w:val="28"/>
        </w:rPr>
      </w:pPr>
      <w:r w:rsidRPr="0073268C">
        <w:rPr>
          <w:rFonts w:ascii="Times New Roman" w:hAnsi="Times New Roman" w:cs="Times New Roman"/>
          <w:sz w:val="28"/>
          <w:szCs w:val="28"/>
          <w:lang w:val="en-US"/>
        </w:rPr>
        <w:t>i</w:t>
      </w:r>
      <w:r w:rsidRPr="0073268C">
        <w:rPr>
          <w:rFonts w:ascii="Times New Roman" w:hAnsi="Times New Roman" w:cs="Times New Roman"/>
          <w:sz w:val="28"/>
          <w:szCs w:val="28"/>
        </w:rPr>
        <w:t xml:space="preserve"> = 1</w:t>
      </w:r>
    </w:p>
    <w:p w:rsidR="00F07E05" w:rsidRPr="0073268C" w:rsidRDefault="00F07E05" w:rsidP="00F07E05">
      <w:pPr>
        <w:pStyle w:val="ConsPlusNormal"/>
        <w:ind w:firstLine="709"/>
        <w:jc w:val="both"/>
        <w:rPr>
          <w:rFonts w:ascii="Times New Roman" w:hAnsi="Times New Roman" w:cs="Times New Roman"/>
          <w:sz w:val="28"/>
          <w:szCs w:val="28"/>
        </w:rPr>
      </w:pPr>
    </w:p>
    <w:p w:rsidR="00F07E05" w:rsidRPr="0073268C" w:rsidRDefault="00F07E05" w:rsidP="00F07E05">
      <w:pPr>
        <w:ind w:firstLine="709"/>
        <w:jc w:val="both"/>
        <w:rPr>
          <w:sz w:val="28"/>
          <w:szCs w:val="28"/>
        </w:rPr>
      </w:pPr>
      <w:r w:rsidRPr="0073268C">
        <w:rPr>
          <w:sz w:val="28"/>
          <w:szCs w:val="28"/>
        </w:rPr>
        <w:t>n - количество отчетных периодов (не менее 3-х лет, предшествующих текущему финансовому году);</w:t>
      </w:r>
    </w:p>
    <w:p w:rsidR="00F07E05" w:rsidRPr="0073268C" w:rsidRDefault="00F07E05" w:rsidP="00F07E05">
      <w:pPr>
        <w:ind w:firstLine="709"/>
        <w:jc w:val="both"/>
        <w:rPr>
          <w:sz w:val="28"/>
          <w:szCs w:val="28"/>
        </w:rPr>
      </w:pPr>
      <w:r w:rsidRPr="0073268C">
        <w:rPr>
          <w:sz w:val="28"/>
          <w:szCs w:val="28"/>
        </w:rPr>
        <w:t>Двдз - фактические доходы от возврата дебиторской задолженности прошлых лет, за исключением поступлений, носящих разовый характер.</w:t>
      </w:r>
    </w:p>
    <w:p w:rsidR="00F07E05" w:rsidRPr="0073268C" w:rsidRDefault="00F07E05" w:rsidP="00F07E05">
      <w:pPr>
        <w:pStyle w:val="ConsPlusNormal"/>
        <w:ind w:firstLine="709"/>
        <w:jc w:val="both"/>
        <w:rPr>
          <w:rFonts w:ascii="Times New Roman" w:hAnsi="Times New Roman" w:cs="Times New Roman"/>
          <w:sz w:val="28"/>
          <w:szCs w:val="28"/>
        </w:rPr>
      </w:pPr>
      <w:r w:rsidRPr="0073268C">
        <w:rPr>
          <w:rFonts w:ascii="Times New Roman" w:hAnsi="Times New Roman" w:cs="Times New Roman"/>
          <w:sz w:val="28"/>
          <w:szCs w:val="28"/>
        </w:rPr>
        <w:t>Прогноз поступлений по данному доходному источнику на 202</w:t>
      </w:r>
      <w:r>
        <w:rPr>
          <w:rFonts w:ascii="Times New Roman" w:hAnsi="Times New Roman" w:cs="Times New Roman"/>
          <w:sz w:val="28"/>
          <w:szCs w:val="28"/>
        </w:rPr>
        <w:t>3</w:t>
      </w:r>
      <w:r w:rsidRPr="0073268C">
        <w:rPr>
          <w:rFonts w:ascii="Times New Roman" w:hAnsi="Times New Roman" w:cs="Times New Roman"/>
          <w:sz w:val="28"/>
          <w:szCs w:val="28"/>
        </w:rPr>
        <w:t>-202</w:t>
      </w:r>
      <w:r>
        <w:rPr>
          <w:rFonts w:ascii="Times New Roman" w:hAnsi="Times New Roman" w:cs="Times New Roman"/>
          <w:sz w:val="28"/>
          <w:szCs w:val="28"/>
        </w:rPr>
        <w:t>4</w:t>
      </w:r>
      <w:r w:rsidRPr="0073268C">
        <w:rPr>
          <w:rFonts w:ascii="Times New Roman" w:hAnsi="Times New Roman" w:cs="Times New Roman"/>
          <w:sz w:val="28"/>
          <w:szCs w:val="28"/>
        </w:rPr>
        <w:t xml:space="preserve"> годы устанавливается на уровне рассчитанного прогноза поступлений на 202</w:t>
      </w:r>
      <w:r>
        <w:rPr>
          <w:rFonts w:ascii="Times New Roman" w:hAnsi="Times New Roman" w:cs="Times New Roman"/>
          <w:sz w:val="28"/>
          <w:szCs w:val="28"/>
        </w:rPr>
        <w:t xml:space="preserve">2 </w:t>
      </w:r>
      <w:r w:rsidRPr="0073268C">
        <w:rPr>
          <w:rFonts w:ascii="Times New Roman" w:hAnsi="Times New Roman" w:cs="Times New Roman"/>
          <w:sz w:val="28"/>
          <w:szCs w:val="28"/>
        </w:rPr>
        <w:t>год.</w:t>
      </w:r>
    </w:p>
    <w:p w:rsidR="00F07E05" w:rsidRPr="0073268C" w:rsidRDefault="00F07E05" w:rsidP="00F07E05">
      <w:pPr>
        <w:ind w:firstLine="709"/>
        <w:jc w:val="both"/>
        <w:rPr>
          <w:sz w:val="28"/>
          <w:szCs w:val="28"/>
        </w:rPr>
      </w:pPr>
      <w:r w:rsidRPr="0073268C">
        <w:rPr>
          <w:sz w:val="28"/>
          <w:szCs w:val="28"/>
        </w:rPr>
        <w:t>Факт  201</w:t>
      </w:r>
      <w:r>
        <w:rPr>
          <w:sz w:val="28"/>
          <w:szCs w:val="28"/>
        </w:rPr>
        <w:t xml:space="preserve">8 </w:t>
      </w:r>
      <w:r w:rsidRPr="0073268C">
        <w:rPr>
          <w:sz w:val="28"/>
          <w:szCs w:val="28"/>
        </w:rPr>
        <w:t xml:space="preserve">год – </w:t>
      </w:r>
      <w:r>
        <w:rPr>
          <w:sz w:val="28"/>
          <w:szCs w:val="28"/>
        </w:rPr>
        <w:t>19,5</w:t>
      </w:r>
      <w:r w:rsidRPr="0073268C">
        <w:rPr>
          <w:sz w:val="28"/>
          <w:szCs w:val="28"/>
        </w:rPr>
        <w:t xml:space="preserve"> тыс. руб.;</w:t>
      </w:r>
    </w:p>
    <w:p w:rsidR="00F07E05" w:rsidRPr="0073268C" w:rsidRDefault="00F07E05" w:rsidP="00F07E05">
      <w:pPr>
        <w:ind w:firstLine="709"/>
        <w:jc w:val="both"/>
        <w:rPr>
          <w:sz w:val="28"/>
          <w:szCs w:val="28"/>
        </w:rPr>
      </w:pPr>
      <w:r w:rsidRPr="0073268C">
        <w:rPr>
          <w:sz w:val="28"/>
          <w:szCs w:val="28"/>
        </w:rPr>
        <w:t>Факт 20</w:t>
      </w:r>
      <w:r>
        <w:rPr>
          <w:sz w:val="28"/>
          <w:szCs w:val="28"/>
        </w:rPr>
        <w:t>19</w:t>
      </w:r>
      <w:r w:rsidRPr="0073268C">
        <w:rPr>
          <w:sz w:val="28"/>
          <w:szCs w:val="28"/>
        </w:rPr>
        <w:t xml:space="preserve"> год -  </w:t>
      </w:r>
      <w:r>
        <w:rPr>
          <w:sz w:val="28"/>
          <w:szCs w:val="28"/>
        </w:rPr>
        <w:t xml:space="preserve">24,7 </w:t>
      </w:r>
      <w:r w:rsidRPr="0073268C">
        <w:rPr>
          <w:sz w:val="28"/>
          <w:szCs w:val="28"/>
        </w:rPr>
        <w:t xml:space="preserve"> тыс. руб.;</w:t>
      </w:r>
    </w:p>
    <w:p w:rsidR="00F07E05" w:rsidRPr="0073268C" w:rsidRDefault="00F07E05" w:rsidP="00F07E05">
      <w:pPr>
        <w:ind w:firstLine="709"/>
        <w:jc w:val="both"/>
        <w:rPr>
          <w:sz w:val="28"/>
          <w:szCs w:val="28"/>
        </w:rPr>
      </w:pPr>
      <w:r w:rsidRPr="0073268C">
        <w:rPr>
          <w:sz w:val="28"/>
          <w:szCs w:val="28"/>
        </w:rPr>
        <w:t>Факт 20</w:t>
      </w:r>
      <w:r>
        <w:rPr>
          <w:sz w:val="28"/>
          <w:szCs w:val="28"/>
        </w:rPr>
        <w:t>20</w:t>
      </w:r>
      <w:r w:rsidRPr="0073268C">
        <w:rPr>
          <w:sz w:val="28"/>
          <w:szCs w:val="28"/>
        </w:rPr>
        <w:t xml:space="preserve"> год – </w:t>
      </w:r>
      <w:r>
        <w:rPr>
          <w:sz w:val="28"/>
          <w:szCs w:val="28"/>
        </w:rPr>
        <w:t>30,7</w:t>
      </w:r>
      <w:r w:rsidRPr="0073268C">
        <w:rPr>
          <w:sz w:val="28"/>
          <w:szCs w:val="28"/>
        </w:rPr>
        <w:t xml:space="preserve"> тыс. руб.</w:t>
      </w:r>
    </w:p>
    <w:p w:rsidR="00F07E05" w:rsidRPr="0073268C" w:rsidRDefault="00F07E05" w:rsidP="00F07E05">
      <w:pPr>
        <w:ind w:firstLine="709"/>
        <w:jc w:val="both"/>
        <w:rPr>
          <w:sz w:val="28"/>
          <w:szCs w:val="28"/>
        </w:rPr>
      </w:pPr>
      <w:r>
        <w:rPr>
          <w:b/>
          <w:sz w:val="28"/>
          <w:szCs w:val="28"/>
        </w:rPr>
        <w:t>Прогноз 2022 год – 144,3 тыс. руб. (</w:t>
      </w:r>
      <w:r>
        <w:rPr>
          <w:sz w:val="28"/>
          <w:szCs w:val="28"/>
        </w:rPr>
        <w:t>19,5+24,7+30,7</w:t>
      </w:r>
      <w:r w:rsidRPr="0073268C">
        <w:rPr>
          <w:sz w:val="28"/>
          <w:szCs w:val="28"/>
        </w:rPr>
        <w:t xml:space="preserve">)/3= </w:t>
      </w:r>
      <w:r>
        <w:rPr>
          <w:sz w:val="28"/>
          <w:szCs w:val="28"/>
        </w:rPr>
        <w:t>25</w:t>
      </w:r>
      <w:r w:rsidRPr="0073268C">
        <w:rPr>
          <w:sz w:val="28"/>
          <w:szCs w:val="28"/>
        </w:rPr>
        <w:t xml:space="preserve"> тыс. руб.</w:t>
      </w:r>
    </w:p>
    <w:p w:rsidR="00F07E05" w:rsidRPr="0073268C" w:rsidRDefault="00F07E05" w:rsidP="00F07E05">
      <w:pPr>
        <w:jc w:val="center"/>
        <w:rPr>
          <w:sz w:val="28"/>
          <w:szCs w:val="28"/>
        </w:rPr>
      </w:pPr>
    </w:p>
    <w:p w:rsidR="00F07E05" w:rsidRDefault="00F07E05" w:rsidP="00F07E05">
      <w:pPr>
        <w:jc w:val="center"/>
        <w:rPr>
          <w:b/>
          <w:sz w:val="28"/>
          <w:szCs w:val="28"/>
        </w:rPr>
      </w:pPr>
    </w:p>
    <w:p w:rsidR="00F07E05" w:rsidRPr="00536B9A" w:rsidRDefault="00F07E05" w:rsidP="00F07E05">
      <w:pPr>
        <w:jc w:val="center"/>
        <w:rPr>
          <w:b/>
          <w:sz w:val="28"/>
          <w:szCs w:val="28"/>
        </w:rPr>
      </w:pPr>
      <w:r w:rsidRPr="00536B9A">
        <w:rPr>
          <w:b/>
          <w:sz w:val="28"/>
          <w:szCs w:val="28"/>
        </w:rPr>
        <w:t>Министерство здравоохранения Тверской области</w:t>
      </w:r>
    </w:p>
    <w:p w:rsidR="00F07E05" w:rsidRPr="00BF640E" w:rsidRDefault="00F07E05" w:rsidP="00F07E05">
      <w:pPr>
        <w:jc w:val="right"/>
        <w:rPr>
          <w:color w:val="FF0000"/>
          <w:sz w:val="28"/>
          <w:szCs w:val="28"/>
        </w:rPr>
      </w:pPr>
      <w:r w:rsidRPr="00BF640E">
        <w:rPr>
          <w:sz w:val="28"/>
          <w:szCs w:val="28"/>
        </w:rPr>
        <w:t>тыс. руб</w:t>
      </w:r>
      <w:r w:rsidRPr="00BF640E">
        <w:rPr>
          <w:color w:val="FF0000"/>
          <w:sz w:val="28"/>
          <w:szCs w:val="28"/>
        </w:rPr>
        <w:t>.</w:t>
      </w:r>
    </w:p>
    <w:p w:rsidR="00F07E05" w:rsidRPr="0028619A" w:rsidRDefault="00F07E05" w:rsidP="00F07E05">
      <w:pPr>
        <w:tabs>
          <w:tab w:val="left" w:pos="10335"/>
          <w:tab w:val="right" w:pos="14570"/>
        </w:tabs>
      </w:pPr>
      <w:r w:rsidRPr="0028619A">
        <w:tab/>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1368"/>
        <w:gridCol w:w="1440"/>
        <w:gridCol w:w="1620"/>
      </w:tblGrid>
      <w:tr w:rsidR="00F07E05" w:rsidRPr="00C93A58" w:rsidTr="008A253E">
        <w:trPr>
          <w:trHeight w:val="510"/>
        </w:trPr>
        <w:tc>
          <w:tcPr>
            <w:tcW w:w="2520" w:type="dxa"/>
            <w:noWrap/>
          </w:tcPr>
          <w:p w:rsidR="00F07E05" w:rsidRPr="00C93A58" w:rsidRDefault="00F07E05" w:rsidP="008A253E">
            <w:pPr>
              <w:rPr>
                <w:b/>
                <w:sz w:val="20"/>
                <w:szCs w:val="20"/>
              </w:rPr>
            </w:pPr>
            <w:r w:rsidRPr="00C93A58">
              <w:rPr>
                <w:b/>
                <w:sz w:val="20"/>
                <w:szCs w:val="20"/>
              </w:rPr>
              <w:t>Код БК</w:t>
            </w:r>
          </w:p>
        </w:tc>
        <w:tc>
          <w:tcPr>
            <w:tcW w:w="2520" w:type="dxa"/>
            <w:noWrap/>
          </w:tcPr>
          <w:p w:rsidR="00F07E05" w:rsidRPr="00C93A58" w:rsidRDefault="00F07E05" w:rsidP="008A253E">
            <w:pPr>
              <w:rPr>
                <w:b/>
                <w:sz w:val="20"/>
                <w:szCs w:val="20"/>
              </w:rPr>
            </w:pPr>
            <w:r w:rsidRPr="00C93A58">
              <w:rPr>
                <w:b/>
                <w:sz w:val="20"/>
                <w:szCs w:val="20"/>
              </w:rPr>
              <w:t>Наименование</w:t>
            </w:r>
          </w:p>
        </w:tc>
        <w:tc>
          <w:tcPr>
            <w:tcW w:w="1368" w:type="dxa"/>
          </w:tcPr>
          <w:p w:rsidR="00F07E05" w:rsidRPr="00C93A58" w:rsidRDefault="00F07E05" w:rsidP="008A253E">
            <w:pPr>
              <w:jc w:val="center"/>
              <w:rPr>
                <w:b/>
                <w:sz w:val="20"/>
                <w:szCs w:val="20"/>
              </w:rPr>
            </w:pPr>
            <w:r w:rsidRPr="00C93A58">
              <w:rPr>
                <w:b/>
                <w:sz w:val="20"/>
                <w:szCs w:val="20"/>
              </w:rPr>
              <w:t>Прогноз на</w:t>
            </w:r>
          </w:p>
          <w:p w:rsidR="00F07E05" w:rsidRPr="00C93A58" w:rsidRDefault="00F07E05" w:rsidP="008A253E">
            <w:pPr>
              <w:jc w:val="center"/>
              <w:rPr>
                <w:b/>
                <w:sz w:val="20"/>
                <w:szCs w:val="20"/>
              </w:rPr>
            </w:pPr>
            <w:r>
              <w:rPr>
                <w:b/>
                <w:sz w:val="20"/>
                <w:szCs w:val="20"/>
              </w:rPr>
              <w:t>2022</w:t>
            </w:r>
            <w:r w:rsidRPr="00C93A58">
              <w:rPr>
                <w:b/>
                <w:sz w:val="20"/>
                <w:szCs w:val="20"/>
              </w:rPr>
              <w:t xml:space="preserve"> год </w:t>
            </w:r>
          </w:p>
          <w:p w:rsidR="00F07E05" w:rsidRPr="00C93A58" w:rsidRDefault="00F07E05" w:rsidP="008A253E">
            <w:pPr>
              <w:jc w:val="center"/>
              <w:rPr>
                <w:b/>
                <w:sz w:val="20"/>
                <w:szCs w:val="20"/>
              </w:rPr>
            </w:pPr>
          </w:p>
        </w:tc>
        <w:tc>
          <w:tcPr>
            <w:tcW w:w="1440" w:type="dxa"/>
          </w:tcPr>
          <w:p w:rsidR="00F07E05" w:rsidRPr="00C93A58" w:rsidRDefault="00F07E05" w:rsidP="008A253E">
            <w:pPr>
              <w:jc w:val="center"/>
              <w:rPr>
                <w:b/>
                <w:sz w:val="20"/>
                <w:szCs w:val="20"/>
              </w:rPr>
            </w:pPr>
            <w:r w:rsidRPr="00C93A58">
              <w:rPr>
                <w:b/>
                <w:sz w:val="20"/>
                <w:szCs w:val="20"/>
              </w:rPr>
              <w:t>Прогноз на</w:t>
            </w:r>
          </w:p>
          <w:p w:rsidR="00F07E05" w:rsidRPr="00C93A58" w:rsidRDefault="00F07E05" w:rsidP="008A253E">
            <w:pPr>
              <w:jc w:val="center"/>
              <w:rPr>
                <w:b/>
                <w:sz w:val="20"/>
                <w:szCs w:val="20"/>
              </w:rPr>
            </w:pPr>
            <w:r>
              <w:rPr>
                <w:b/>
                <w:sz w:val="20"/>
                <w:szCs w:val="20"/>
              </w:rPr>
              <w:t xml:space="preserve">2023 </w:t>
            </w:r>
            <w:r w:rsidRPr="00C93A58">
              <w:rPr>
                <w:b/>
                <w:sz w:val="20"/>
                <w:szCs w:val="20"/>
              </w:rPr>
              <w:t>год</w:t>
            </w:r>
          </w:p>
          <w:p w:rsidR="00F07E05" w:rsidRPr="00C93A58" w:rsidRDefault="00F07E05" w:rsidP="008A253E">
            <w:pPr>
              <w:jc w:val="center"/>
              <w:rPr>
                <w:b/>
                <w:sz w:val="20"/>
                <w:szCs w:val="20"/>
              </w:rPr>
            </w:pPr>
          </w:p>
        </w:tc>
        <w:tc>
          <w:tcPr>
            <w:tcW w:w="1620" w:type="dxa"/>
          </w:tcPr>
          <w:p w:rsidR="00F07E05" w:rsidRPr="00C93A58" w:rsidRDefault="00F07E05" w:rsidP="008A253E">
            <w:pPr>
              <w:jc w:val="center"/>
              <w:rPr>
                <w:b/>
                <w:sz w:val="20"/>
                <w:szCs w:val="20"/>
              </w:rPr>
            </w:pPr>
            <w:r w:rsidRPr="00C93A58">
              <w:rPr>
                <w:b/>
                <w:sz w:val="20"/>
                <w:szCs w:val="20"/>
              </w:rPr>
              <w:t>Прогноз на</w:t>
            </w:r>
          </w:p>
          <w:p w:rsidR="00F07E05" w:rsidRPr="00C93A58" w:rsidRDefault="00F07E05" w:rsidP="008A253E">
            <w:pPr>
              <w:jc w:val="center"/>
              <w:rPr>
                <w:b/>
                <w:sz w:val="20"/>
                <w:szCs w:val="20"/>
              </w:rPr>
            </w:pPr>
            <w:r>
              <w:rPr>
                <w:b/>
                <w:sz w:val="20"/>
                <w:szCs w:val="20"/>
              </w:rPr>
              <w:t xml:space="preserve">2024 </w:t>
            </w:r>
            <w:r w:rsidRPr="00C93A58">
              <w:rPr>
                <w:b/>
                <w:sz w:val="20"/>
                <w:szCs w:val="20"/>
              </w:rPr>
              <w:t>год</w:t>
            </w:r>
          </w:p>
          <w:p w:rsidR="00F07E05" w:rsidRPr="00C93A58" w:rsidRDefault="00F07E05" w:rsidP="008A253E">
            <w:pPr>
              <w:jc w:val="center"/>
              <w:rPr>
                <w:b/>
                <w:sz w:val="20"/>
                <w:szCs w:val="20"/>
              </w:rPr>
            </w:pPr>
          </w:p>
          <w:p w:rsidR="00F07E05" w:rsidRPr="00C93A58" w:rsidRDefault="00F07E05" w:rsidP="008A253E">
            <w:pPr>
              <w:jc w:val="center"/>
              <w:rPr>
                <w:b/>
                <w:sz w:val="20"/>
                <w:szCs w:val="20"/>
              </w:rPr>
            </w:pPr>
          </w:p>
        </w:tc>
      </w:tr>
      <w:tr w:rsidR="00F07E05" w:rsidRPr="00C93A58" w:rsidTr="008A253E">
        <w:trPr>
          <w:trHeight w:val="1275"/>
        </w:trPr>
        <w:tc>
          <w:tcPr>
            <w:tcW w:w="2520" w:type="dxa"/>
            <w:noWrap/>
          </w:tcPr>
          <w:p w:rsidR="00F07E05" w:rsidRPr="00C93A58" w:rsidRDefault="00F07E05" w:rsidP="008A253E">
            <w:pPr>
              <w:jc w:val="center"/>
              <w:rPr>
                <w:b/>
                <w:sz w:val="16"/>
                <w:szCs w:val="16"/>
              </w:rPr>
            </w:pPr>
          </w:p>
          <w:p w:rsidR="00F07E05" w:rsidRPr="00C93A58" w:rsidRDefault="00F07E05" w:rsidP="008A253E">
            <w:pPr>
              <w:jc w:val="center"/>
              <w:rPr>
                <w:b/>
                <w:sz w:val="16"/>
                <w:szCs w:val="16"/>
              </w:rPr>
            </w:pPr>
          </w:p>
          <w:p w:rsidR="00F07E05" w:rsidRPr="00C93A58" w:rsidRDefault="00F07E05" w:rsidP="008A253E">
            <w:pPr>
              <w:jc w:val="center"/>
              <w:rPr>
                <w:b/>
                <w:sz w:val="16"/>
                <w:szCs w:val="16"/>
              </w:rPr>
            </w:pPr>
            <w:r w:rsidRPr="00C93A58">
              <w:rPr>
                <w:b/>
                <w:sz w:val="16"/>
                <w:szCs w:val="16"/>
              </w:rPr>
              <w:t>000</w:t>
            </w:r>
            <w:r w:rsidRPr="00C93A58">
              <w:rPr>
                <w:b/>
                <w:sz w:val="16"/>
                <w:szCs w:val="16"/>
                <w:lang w:val="en-US"/>
              </w:rPr>
              <w:t xml:space="preserve"> 1 13 0</w:t>
            </w:r>
            <w:r w:rsidRPr="00C93A58">
              <w:rPr>
                <w:b/>
                <w:sz w:val="16"/>
                <w:szCs w:val="16"/>
              </w:rPr>
              <w:t>2990</w:t>
            </w:r>
            <w:r w:rsidRPr="00C93A58">
              <w:rPr>
                <w:b/>
                <w:sz w:val="16"/>
                <w:szCs w:val="16"/>
                <w:lang w:val="en-US"/>
              </w:rPr>
              <w:t xml:space="preserve"> 0</w:t>
            </w:r>
            <w:r w:rsidRPr="00C93A58">
              <w:rPr>
                <w:b/>
                <w:sz w:val="16"/>
                <w:szCs w:val="16"/>
              </w:rPr>
              <w:t>0</w:t>
            </w:r>
            <w:r w:rsidRPr="00C93A58">
              <w:rPr>
                <w:b/>
                <w:sz w:val="16"/>
                <w:szCs w:val="16"/>
                <w:lang w:val="en-US"/>
              </w:rPr>
              <w:t xml:space="preserve"> 0</w:t>
            </w:r>
            <w:r w:rsidRPr="00C93A58">
              <w:rPr>
                <w:b/>
                <w:sz w:val="16"/>
                <w:szCs w:val="16"/>
              </w:rPr>
              <w:t>000 130</w:t>
            </w:r>
          </w:p>
        </w:tc>
        <w:tc>
          <w:tcPr>
            <w:tcW w:w="2520" w:type="dxa"/>
          </w:tcPr>
          <w:p w:rsidR="00F07E05" w:rsidRPr="00C93A58" w:rsidRDefault="00F07E05" w:rsidP="008A253E">
            <w:pPr>
              <w:rPr>
                <w:sz w:val="20"/>
                <w:szCs w:val="20"/>
              </w:rPr>
            </w:pPr>
          </w:p>
          <w:p w:rsidR="00F07E05" w:rsidRPr="00C93A58" w:rsidRDefault="00F07E05" w:rsidP="008A253E">
            <w:pPr>
              <w:rPr>
                <w:sz w:val="20"/>
                <w:szCs w:val="20"/>
              </w:rPr>
            </w:pPr>
            <w:r w:rsidRPr="00C93A58">
              <w:rPr>
                <w:sz w:val="20"/>
                <w:szCs w:val="20"/>
              </w:rPr>
              <w:t xml:space="preserve">Прочие доходы от компенсации затрат государства </w:t>
            </w:r>
          </w:p>
        </w:tc>
        <w:tc>
          <w:tcPr>
            <w:tcW w:w="1368" w:type="dxa"/>
            <w:noWrap/>
          </w:tcPr>
          <w:p w:rsidR="00F07E05" w:rsidRDefault="00F07E05" w:rsidP="008A253E">
            <w:pPr>
              <w:ind w:hanging="108"/>
              <w:jc w:val="center"/>
              <w:rPr>
                <w:sz w:val="20"/>
                <w:szCs w:val="20"/>
              </w:rPr>
            </w:pPr>
          </w:p>
          <w:p w:rsidR="00F07E05" w:rsidRPr="00C93A58" w:rsidRDefault="00F07E05" w:rsidP="008A253E">
            <w:pPr>
              <w:ind w:hanging="108"/>
              <w:jc w:val="center"/>
              <w:rPr>
                <w:sz w:val="20"/>
                <w:szCs w:val="20"/>
              </w:rPr>
            </w:pPr>
            <w:r>
              <w:rPr>
                <w:sz w:val="20"/>
                <w:szCs w:val="20"/>
              </w:rPr>
              <w:t>13 895,5</w:t>
            </w:r>
          </w:p>
        </w:tc>
        <w:tc>
          <w:tcPr>
            <w:tcW w:w="1440" w:type="dxa"/>
            <w:noWrap/>
          </w:tcPr>
          <w:p w:rsidR="00F07E05" w:rsidRDefault="00F07E05" w:rsidP="008A253E">
            <w:pPr>
              <w:ind w:left="-136" w:right="-108" w:hanging="28"/>
              <w:jc w:val="center"/>
              <w:rPr>
                <w:sz w:val="20"/>
                <w:szCs w:val="20"/>
              </w:rPr>
            </w:pPr>
          </w:p>
          <w:p w:rsidR="00F07E05" w:rsidRPr="00C93A58" w:rsidRDefault="00F07E05" w:rsidP="008A253E">
            <w:pPr>
              <w:ind w:left="-136" w:right="-108" w:hanging="28"/>
              <w:jc w:val="center"/>
              <w:rPr>
                <w:sz w:val="20"/>
                <w:szCs w:val="20"/>
              </w:rPr>
            </w:pPr>
            <w:r>
              <w:rPr>
                <w:sz w:val="20"/>
                <w:szCs w:val="20"/>
              </w:rPr>
              <w:t>13 895,5</w:t>
            </w:r>
          </w:p>
        </w:tc>
        <w:tc>
          <w:tcPr>
            <w:tcW w:w="1620" w:type="dxa"/>
            <w:noWrap/>
          </w:tcPr>
          <w:p w:rsidR="00F07E05" w:rsidRDefault="00F07E05" w:rsidP="008A253E">
            <w:pPr>
              <w:ind w:left="-108" w:right="-3" w:hanging="108"/>
              <w:jc w:val="center"/>
              <w:rPr>
                <w:sz w:val="20"/>
                <w:szCs w:val="20"/>
              </w:rPr>
            </w:pPr>
          </w:p>
          <w:p w:rsidR="00F07E05" w:rsidRPr="00C93A58" w:rsidRDefault="00F07E05" w:rsidP="008A253E">
            <w:pPr>
              <w:ind w:left="-108" w:right="-3" w:hanging="108"/>
              <w:jc w:val="center"/>
              <w:rPr>
                <w:sz w:val="20"/>
                <w:szCs w:val="20"/>
              </w:rPr>
            </w:pPr>
            <w:r>
              <w:rPr>
                <w:sz w:val="20"/>
                <w:szCs w:val="20"/>
              </w:rPr>
              <w:t>13 895,5</w:t>
            </w:r>
          </w:p>
        </w:tc>
      </w:tr>
    </w:tbl>
    <w:p w:rsidR="00F07E05" w:rsidRDefault="00F07E05" w:rsidP="00F07E05">
      <w:pPr>
        <w:autoSpaceDE w:val="0"/>
        <w:autoSpaceDN w:val="0"/>
        <w:adjustRightInd w:val="0"/>
        <w:ind w:firstLine="709"/>
        <w:jc w:val="both"/>
        <w:rPr>
          <w:sz w:val="28"/>
          <w:szCs w:val="28"/>
        </w:rPr>
      </w:pPr>
    </w:p>
    <w:p w:rsidR="00F07E05" w:rsidRPr="00BB4858" w:rsidRDefault="00F07E05" w:rsidP="00F07E05">
      <w:pPr>
        <w:autoSpaceDE w:val="0"/>
        <w:autoSpaceDN w:val="0"/>
        <w:adjustRightInd w:val="0"/>
        <w:ind w:firstLine="709"/>
        <w:jc w:val="both"/>
        <w:rPr>
          <w:sz w:val="28"/>
          <w:szCs w:val="28"/>
        </w:rPr>
      </w:pPr>
      <w:r w:rsidRPr="00BB4858">
        <w:rPr>
          <w:sz w:val="28"/>
          <w:szCs w:val="28"/>
        </w:rPr>
        <w:t>В соответствии с Методикой расчет прогноза поступлений на очередной финансовый год и плановый период по данному доходному источнику осуществляется с применением метода экстраполяции по результатам анализа объема поступлений доходов по минимальному значению за три года, предшествующих прогнозируемому финансовому году.</w:t>
      </w:r>
    </w:p>
    <w:p w:rsidR="00F07E05" w:rsidRPr="00BB4858" w:rsidRDefault="00F07E05" w:rsidP="00F07E05">
      <w:pPr>
        <w:jc w:val="center"/>
        <w:rPr>
          <w:b/>
          <w:sz w:val="28"/>
          <w:szCs w:val="28"/>
        </w:rPr>
      </w:pPr>
    </w:p>
    <w:tbl>
      <w:tblPr>
        <w:tblW w:w="10915" w:type="dxa"/>
        <w:tblInd w:w="-1139" w:type="dxa"/>
        <w:tblLook w:val="04A0" w:firstRow="1" w:lastRow="0" w:firstColumn="1" w:lastColumn="0" w:noHBand="0" w:noVBand="1"/>
      </w:tblPr>
      <w:tblGrid>
        <w:gridCol w:w="720"/>
        <w:gridCol w:w="3450"/>
        <w:gridCol w:w="1147"/>
        <w:gridCol w:w="1147"/>
        <w:gridCol w:w="1345"/>
        <w:gridCol w:w="986"/>
        <w:gridCol w:w="1134"/>
        <w:gridCol w:w="986"/>
      </w:tblGrid>
      <w:tr w:rsidR="00F07E05" w:rsidRPr="00BB4858" w:rsidTr="008A253E">
        <w:trPr>
          <w:trHeight w:val="525"/>
        </w:trPr>
        <w:tc>
          <w:tcPr>
            <w:tcW w:w="7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7E05" w:rsidRPr="00BB4858" w:rsidRDefault="00F07E05" w:rsidP="008A253E">
            <w:pPr>
              <w:jc w:val="center"/>
              <w:rPr>
                <w:sz w:val="22"/>
                <w:szCs w:val="22"/>
              </w:rPr>
            </w:pPr>
            <w:r w:rsidRPr="00BB4858">
              <w:rPr>
                <w:sz w:val="22"/>
                <w:szCs w:val="22"/>
              </w:rPr>
              <w:t>№</w:t>
            </w:r>
          </w:p>
        </w:tc>
        <w:tc>
          <w:tcPr>
            <w:tcW w:w="35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7E05" w:rsidRPr="00BB4858" w:rsidRDefault="00F07E05" w:rsidP="008A253E">
            <w:pPr>
              <w:jc w:val="center"/>
              <w:rPr>
                <w:sz w:val="22"/>
                <w:szCs w:val="22"/>
              </w:rPr>
            </w:pPr>
            <w:r w:rsidRPr="00BB4858">
              <w:rPr>
                <w:sz w:val="22"/>
                <w:szCs w:val="22"/>
              </w:rPr>
              <w:t>Наименование кода классификации доходов</w:t>
            </w:r>
          </w:p>
        </w:tc>
        <w:tc>
          <w:tcPr>
            <w:tcW w:w="11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7E05" w:rsidRPr="00BB4858" w:rsidRDefault="00F07E05" w:rsidP="008A253E">
            <w:pPr>
              <w:jc w:val="center"/>
              <w:rPr>
                <w:sz w:val="22"/>
                <w:szCs w:val="22"/>
              </w:rPr>
            </w:pPr>
            <w:r w:rsidRPr="00BB4858">
              <w:rPr>
                <w:sz w:val="22"/>
                <w:szCs w:val="22"/>
              </w:rPr>
              <w:t>Факт 2018 года (тыс.руб.)</w:t>
            </w:r>
          </w:p>
        </w:tc>
        <w:tc>
          <w:tcPr>
            <w:tcW w:w="11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7E05" w:rsidRPr="00BB4858" w:rsidRDefault="00F07E05" w:rsidP="008A253E">
            <w:pPr>
              <w:jc w:val="center"/>
              <w:rPr>
                <w:sz w:val="22"/>
                <w:szCs w:val="22"/>
              </w:rPr>
            </w:pPr>
            <w:r w:rsidRPr="00BB4858">
              <w:rPr>
                <w:sz w:val="22"/>
                <w:szCs w:val="22"/>
              </w:rPr>
              <w:t>Факт 2019 года (тыс.руб.)</w:t>
            </w:r>
          </w:p>
        </w:tc>
        <w:tc>
          <w:tcPr>
            <w:tcW w:w="13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7E05" w:rsidRPr="00BB4858" w:rsidRDefault="00F07E05" w:rsidP="008A253E">
            <w:pPr>
              <w:rPr>
                <w:sz w:val="22"/>
                <w:szCs w:val="22"/>
              </w:rPr>
            </w:pPr>
            <w:r w:rsidRPr="00BB4858">
              <w:rPr>
                <w:sz w:val="22"/>
                <w:szCs w:val="22"/>
              </w:rPr>
              <w:t> Факт 2020 года (тыс.руб.)</w:t>
            </w:r>
          </w:p>
        </w:tc>
        <w:tc>
          <w:tcPr>
            <w:tcW w:w="3023"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7E05" w:rsidRPr="00BB4858" w:rsidRDefault="00F07E05" w:rsidP="005E37D3">
            <w:pPr>
              <w:jc w:val="center"/>
            </w:pPr>
            <w:r w:rsidRPr="00BB4858">
              <w:t>Прогноз 202</w:t>
            </w:r>
            <w:r w:rsidR="005E37D3">
              <w:t>2</w:t>
            </w:r>
            <w:r w:rsidRPr="00BB4858">
              <w:t xml:space="preserve"> - 202</w:t>
            </w:r>
            <w:r w:rsidR="005E37D3">
              <w:t>4</w:t>
            </w:r>
            <w:r w:rsidRPr="00BB4858">
              <w:t xml:space="preserve"> (тыс.руб.)</w:t>
            </w:r>
          </w:p>
        </w:tc>
      </w:tr>
      <w:tr w:rsidR="00F07E05" w:rsidRPr="00BB4858" w:rsidTr="008A253E">
        <w:trPr>
          <w:trHeight w:val="276"/>
        </w:trPr>
        <w:tc>
          <w:tcPr>
            <w:tcW w:w="720" w:type="dxa"/>
            <w:vMerge/>
            <w:tcBorders>
              <w:top w:val="single" w:sz="4" w:space="0" w:color="auto"/>
              <w:left w:val="single" w:sz="4" w:space="0" w:color="auto"/>
              <w:bottom w:val="single" w:sz="4" w:space="0" w:color="auto"/>
              <w:right w:val="single" w:sz="4" w:space="0" w:color="auto"/>
            </w:tcBorders>
            <w:vAlign w:val="center"/>
            <w:hideMark/>
          </w:tcPr>
          <w:p w:rsidR="00F07E05" w:rsidRPr="00BB4858" w:rsidRDefault="00F07E05" w:rsidP="008A253E">
            <w:pPr>
              <w:rPr>
                <w:sz w:val="22"/>
                <w:szCs w:val="22"/>
              </w:rPr>
            </w:pPr>
          </w:p>
        </w:tc>
        <w:tc>
          <w:tcPr>
            <w:tcW w:w="3533" w:type="dxa"/>
            <w:vMerge/>
            <w:tcBorders>
              <w:top w:val="single" w:sz="4" w:space="0" w:color="auto"/>
              <w:left w:val="single" w:sz="4" w:space="0" w:color="auto"/>
              <w:bottom w:val="single" w:sz="4" w:space="0" w:color="auto"/>
              <w:right w:val="single" w:sz="4" w:space="0" w:color="auto"/>
            </w:tcBorders>
            <w:vAlign w:val="center"/>
            <w:hideMark/>
          </w:tcPr>
          <w:p w:rsidR="00F07E05" w:rsidRPr="00BB4858" w:rsidRDefault="00F07E05" w:rsidP="008A253E">
            <w:pPr>
              <w:rPr>
                <w:sz w:val="22"/>
                <w:szCs w:val="22"/>
              </w:rPr>
            </w:pPr>
          </w:p>
        </w:tc>
        <w:tc>
          <w:tcPr>
            <w:tcW w:w="1147" w:type="dxa"/>
            <w:vMerge/>
            <w:tcBorders>
              <w:top w:val="single" w:sz="4" w:space="0" w:color="auto"/>
              <w:left w:val="single" w:sz="4" w:space="0" w:color="auto"/>
              <w:bottom w:val="single" w:sz="4" w:space="0" w:color="auto"/>
              <w:right w:val="single" w:sz="4" w:space="0" w:color="auto"/>
            </w:tcBorders>
            <w:vAlign w:val="center"/>
            <w:hideMark/>
          </w:tcPr>
          <w:p w:rsidR="00F07E05" w:rsidRPr="00BB4858" w:rsidRDefault="00F07E05" w:rsidP="008A253E">
            <w:pPr>
              <w:rPr>
                <w:sz w:val="22"/>
                <w:szCs w:val="22"/>
              </w:rPr>
            </w:pPr>
          </w:p>
        </w:tc>
        <w:tc>
          <w:tcPr>
            <w:tcW w:w="1147" w:type="dxa"/>
            <w:vMerge/>
            <w:tcBorders>
              <w:top w:val="single" w:sz="4" w:space="0" w:color="auto"/>
              <w:left w:val="single" w:sz="4" w:space="0" w:color="auto"/>
              <w:bottom w:val="single" w:sz="4" w:space="0" w:color="auto"/>
              <w:right w:val="single" w:sz="4" w:space="0" w:color="auto"/>
            </w:tcBorders>
            <w:vAlign w:val="center"/>
            <w:hideMark/>
          </w:tcPr>
          <w:p w:rsidR="00F07E05" w:rsidRPr="00BB4858" w:rsidRDefault="00F07E05" w:rsidP="008A253E">
            <w:pPr>
              <w:rPr>
                <w:sz w:val="22"/>
                <w:szCs w:val="22"/>
              </w:rPr>
            </w:pPr>
          </w:p>
        </w:tc>
        <w:tc>
          <w:tcPr>
            <w:tcW w:w="13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07E05" w:rsidRPr="00BB4858" w:rsidRDefault="00F07E05" w:rsidP="008A253E">
            <w:pPr>
              <w:rPr>
                <w:sz w:val="22"/>
                <w:szCs w:val="22"/>
              </w:rPr>
            </w:pPr>
          </w:p>
        </w:tc>
        <w:tc>
          <w:tcPr>
            <w:tcW w:w="3023"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07E05" w:rsidRPr="00BB4858" w:rsidRDefault="00F07E05" w:rsidP="008A253E"/>
        </w:tc>
      </w:tr>
      <w:tr w:rsidR="00F07E05" w:rsidRPr="00BB4858" w:rsidTr="008A253E">
        <w:trPr>
          <w:trHeight w:val="82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F07E05" w:rsidRPr="00BB4858" w:rsidRDefault="00F07E05" w:rsidP="008A253E">
            <w:pPr>
              <w:rPr>
                <w:sz w:val="22"/>
                <w:szCs w:val="22"/>
              </w:rPr>
            </w:pPr>
          </w:p>
        </w:tc>
        <w:tc>
          <w:tcPr>
            <w:tcW w:w="3533" w:type="dxa"/>
            <w:vMerge/>
            <w:tcBorders>
              <w:top w:val="single" w:sz="4" w:space="0" w:color="auto"/>
              <w:left w:val="single" w:sz="4" w:space="0" w:color="auto"/>
              <w:bottom w:val="single" w:sz="4" w:space="0" w:color="auto"/>
              <w:right w:val="single" w:sz="4" w:space="0" w:color="auto"/>
            </w:tcBorders>
            <w:vAlign w:val="center"/>
            <w:hideMark/>
          </w:tcPr>
          <w:p w:rsidR="00F07E05" w:rsidRPr="00BB4858" w:rsidRDefault="00F07E05" w:rsidP="008A253E">
            <w:pPr>
              <w:rPr>
                <w:sz w:val="22"/>
                <w:szCs w:val="22"/>
              </w:rPr>
            </w:pPr>
          </w:p>
        </w:tc>
        <w:tc>
          <w:tcPr>
            <w:tcW w:w="1147" w:type="dxa"/>
            <w:vMerge/>
            <w:tcBorders>
              <w:top w:val="single" w:sz="4" w:space="0" w:color="auto"/>
              <w:left w:val="single" w:sz="4" w:space="0" w:color="auto"/>
              <w:bottom w:val="single" w:sz="4" w:space="0" w:color="auto"/>
              <w:right w:val="single" w:sz="4" w:space="0" w:color="auto"/>
            </w:tcBorders>
            <w:vAlign w:val="center"/>
            <w:hideMark/>
          </w:tcPr>
          <w:p w:rsidR="00F07E05" w:rsidRPr="00BB4858" w:rsidRDefault="00F07E05" w:rsidP="008A253E">
            <w:pPr>
              <w:rPr>
                <w:sz w:val="22"/>
                <w:szCs w:val="22"/>
              </w:rPr>
            </w:pPr>
          </w:p>
        </w:tc>
        <w:tc>
          <w:tcPr>
            <w:tcW w:w="1147" w:type="dxa"/>
            <w:vMerge/>
            <w:tcBorders>
              <w:top w:val="single" w:sz="4" w:space="0" w:color="auto"/>
              <w:left w:val="single" w:sz="4" w:space="0" w:color="auto"/>
              <w:bottom w:val="single" w:sz="4" w:space="0" w:color="auto"/>
              <w:right w:val="single" w:sz="4" w:space="0" w:color="auto"/>
            </w:tcBorders>
            <w:vAlign w:val="center"/>
            <w:hideMark/>
          </w:tcPr>
          <w:p w:rsidR="00F07E05" w:rsidRPr="00BB4858" w:rsidRDefault="00F07E05" w:rsidP="008A253E">
            <w:pPr>
              <w:rPr>
                <w:sz w:val="22"/>
                <w:szCs w:val="22"/>
              </w:rPr>
            </w:pPr>
          </w:p>
        </w:tc>
        <w:tc>
          <w:tcPr>
            <w:tcW w:w="13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07E05" w:rsidRPr="00BB4858" w:rsidRDefault="00F07E05" w:rsidP="008A253E">
            <w:pPr>
              <w:rPr>
                <w:sz w:val="22"/>
                <w:szCs w:val="22"/>
              </w:rPr>
            </w:pPr>
          </w:p>
        </w:tc>
        <w:tc>
          <w:tcPr>
            <w:tcW w:w="910" w:type="dxa"/>
            <w:tcBorders>
              <w:top w:val="nil"/>
              <w:left w:val="nil"/>
              <w:bottom w:val="single" w:sz="4" w:space="0" w:color="auto"/>
              <w:right w:val="single" w:sz="4" w:space="0" w:color="auto"/>
            </w:tcBorders>
            <w:shd w:val="clear" w:color="auto" w:fill="auto"/>
            <w:noWrap/>
            <w:vAlign w:val="center"/>
            <w:hideMark/>
          </w:tcPr>
          <w:p w:rsidR="00F07E05" w:rsidRPr="00BB4858" w:rsidRDefault="00F07E05" w:rsidP="005E37D3">
            <w:pPr>
              <w:jc w:val="center"/>
            </w:pPr>
            <w:r w:rsidRPr="00BB4858">
              <w:t>202</w:t>
            </w:r>
            <w:r w:rsidR="005E37D3">
              <w:t>2</w:t>
            </w:r>
          </w:p>
        </w:tc>
        <w:tc>
          <w:tcPr>
            <w:tcW w:w="1134" w:type="dxa"/>
            <w:tcBorders>
              <w:top w:val="nil"/>
              <w:left w:val="nil"/>
              <w:bottom w:val="single" w:sz="4" w:space="0" w:color="auto"/>
              <w:right w:val="single" w:sz="4" w:space="0" w:color="auto"/>
            </w:tcBorders>
            <w:shd w:val="clear" w:color="auto" w:fill="auto"/>
            <w:noWrap/>
            <w:vAlign w:val="center"/>
            <w:hideMark/>
          </w:tcPr>
          <w:p w:rsidR="00F07E05" w:rsidRPr="00BB4858" w:rsidRDefault="00F07E05" w:rsidP="005E37D3">
            <w:pPr>
              <w:jc w:val="center"/>
            </w:pPr>
            <w:r w:rsidRPr="00BB4858">
              <w:t>202</w:t>
            </w:r>
            <w:r w:rsidR="005E37D3">
              <w:t>3</w:t>
            </w:r>
          </w:p>
        </w:tc>
        <w:tc>
          <w:tcPr>
            <w:tcW w:w="979" w:type="dxa"/>
            <w:tcBorders>
              <w:top w:val="nil"/>
              <w:left w:val="nil"/>
              <w:bottom w:val="single" w:sz="4" w:space="0" w:color="auto"/>
              <w:right w:val="single" w:sz="4" w:space="0" w:color="auto"/>
            </w:tcBorders>
            <w:shd w:val="clear" w:color="auto" w:fill="auto"/>
            <w:noWrap/>
            <w:vAlign w:val="center"/>
            <w:hideMark/>
          </w:tcPr>
          <w:p w:rsidR="00F07E05" w:rsidRPr="00BB4858" w:rsidRDefault="00F07E05" w:rsidP="005E37D3">
            <w:pPr>
              <w:jc w:val="center"/>
            </w:pPr>
            <w:r w:rsidRPr="00BB4858">
              <w:t>202</w:t>
            </w:r>
            <w:r w:rsidR="005E37D3">
              <w:t>4</w:t>
            </w:r>
          </w:p>
        </w:tc>
      </w:tr>
      <w:tr w:rsidR="00F07E05" w:rsidRPr="00BB4858" w:rsidTr="008A253E">
        <w:trPr>
          <w:trHeight w:val="373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F07E05" w:rsidRPr="00BB4858" w:rsidRDefault="00F07E05" w:rsidP="008A253E">
            <w:pPr>
              <w:jc w:val="center"/>
              <w:rPr>
                <w:sz w:val="22"/>
                <w:szCs w:val="22"/>
              </w:rPr>
            </w:pPr>
            <w:r w:rsidRPr="00BB4858">
              <w:rPr>
                <w:sz w:val="22"/>
                <w:szCs w:val="22"/>
              </w:rPr>
              <w:t>3</w:t>
            </w:r>
          </w:p>
        </w:tc>
        <w:tc>
          <w:tcPr>
            <w:tcW w:w="3533" w:type="dxa"/>
            <w:tcBorders>
              <w:top w:val="nil"/>
              <w:left w:val="nil"/>
              <w:bottom w:val="single" w:sz="4" w:space="0" w:color="auto"/>
              <w:right w:val="single" w:sz="4" w:space="0" w:color="auto"/>
            </w:tcBorders>
            <w:shd w:val="clear" w:color="auto" w:fill="auto"/>
            <w:vAlign w:val="bottom"/>
            <w:hideMark/>
          </w:tcPr>
          <w:p w:rsidR="00F07E05" w:rsidRPr="00BB4858" w:rsidRDefault="00F07E05" w:rsidP="008A253E">
            <w:pPr>
              <w:rPr>
                <w:sz w:val="22"/>
                <w:szCs w:val="22"/>
              </w:rPr>
            </w:pPr>
            <w:r w:rsidRPr="00BB4858">
              <w:rPr>
                <w:sz w:val="22"/>
                <w:szCs w:val="22"/>
              </w:rPr>
              <w:t>Прочие доходы от компенсации затрат бюджетов субъектов Российской Федерации (средства в объеме остатков субсидий, предоставленных в отчетном финансовом году государственным бюджетным учреждениям Тверской области на финансовое обеспечение выполнения государственных заданий на оказание государственных услуг (выполнение работ), образовавшихся в связи с невыполнением  государственных заданий)</w:t>
            </w:r>
            <w:r w:rsidRPr="00BB4858">
              <w:t xml:space="preserve"> </w:t>
            </w:r>
            <w:r w:rsidRPr="00BB4858">
              <w:rPr>
                <w:sz w:val="22"/>
                <w:szCs w:val="22"/>
              </w:rPr>
              <w:t>1 13 02992 02 0410 130</w:t>
            </w:r>
          </w:p>
        </w:tc>
        <w:tc>
          <w:tcPr>
            <w:tcW w:w="1147" w:type="dxa"/>
            <w:tcBorders>
              <w:top w:val="nil"/>
              <w:left w:val="nil"/>
              <w:bottom w:val="single" w:sz="4" w:space="0" w:color="auto"/>
              <w:right w:val="single" w:sz="4" w:space="0" w:color="auto"/>
            </w:tcBorders>
            <w:shd w:val="clear" w:color="auto" w:fill="auto"/>
            <w:noWrap/>
            <w:vAlign w:val="bottom"/>
            <w:hideMark/>
          </w:tcPr>
          <w:p w:rsidR="00F07E05" w:rsidRPr="00BB4858" w:rsidRDefault="00F07E05" w:rsidP="008A253E">
            <w:pPr>
              <w:jc w:val="center"/>
              <w:rPr>
                <w:sz w:val="22"/>
                <w:szCs w:val="22"/>
              </w:rPr>
            </w:pPr>
            <w:r w:rsidRPr="00BB4858">
              <w:rPr>
                <w:sz w:val="22"/>
                <w:szCs w:val="22"/>
              </w:rPr>
              <w:t>17 435,70</w:t>
            </w:r>
          </w:p>
        </w:tc>
        <w:tc>
          <w:tcPr>
            <w:tcW w:w="1147" w:type="dxa"/>
            <w:tcBorders>
              <w:top w:val="nil"/>
              <w:left w:val="nil"/>
              <w:bottom w:val="single" w:sz="4" w:space="0" w:color="auto"/>
              <w:right w:val="single" w:sz="4" w:space="0" w:color="auto"/>
            </w:tcBorders>
            <w:shd w:val="clear" w:color="auto" w:fill="auto"/>
            <w:noWrap/>
            <w:vAlign w:val="bottom"/>
            <w:hideMark/>
          </w:tcPr>
          <w:p w:rsidR="00F07E05" w:rsidRPr="00BB4858" w:rsidRDefault="00F07E05" w:rsidP="008A253E">
            <w:pPr>
              <w:jc w:val="center"/>
              <w:rPr>
                <w:sz w:val="22"/>
                <w:szCs w:val="22"/>
              </w:rPr>
            </w:pPr>
            <w:r w:rsidRPr="00BB4858">
              <w:rPr>
                <w:sz w:val="22"/>
                <w:szCs w:val="22"/>
              </w:rPr>
              <w:t>13 359,3</w:t>
            </w:r>
          </w:p>
        </w:tc>
        <w:tc>
          <w:tcPr>
            <w:tcW w:w="1345" w:type="dxa"/>
            <w:tcBorders>
              <w:top w:val="nil"/>
              <w:left w:val="nil"/>
              <w:bottom w:val="single" w:sz="4" w:space="0" w:color="auto"/>
              <w:right w:val="single" w:sz="4" w:space="0" w:color="auto"/>
            </w:tcBorders>
            <w:shd w:val="clear" w:color="auto" w:fill="auto"/>
            <w:noWrap/>
            <w:vAlign w:val="bottom"/>
            <w:hideMark/>
          </w:tcPr>
          <w:p w:rsidR="00F07E05" w:rsidRPr="00BB4858" w:rsidRDefault="00F07E05" w:rsidP="008A253E">
            <w:pPr>
              <w:jc w:val="center"/>
              <w:rPr>
                <w:sz w:val="22"/>
                <w:szCs w:val="22"/>
              </w:rPr>
            </w:pPr>
            <w:r w:rsidRPr="00BB4858">
              <w:rPr>
                <w:sz w:val="22"/>
                <w:szCs w:val="22"/>
              </w:rPr>
              <w:t>12 682,7</w:t>
            </w:r>
          </w:p>
        </w:tc>
        <w:tc>
          <w:tcPr>
            <w:tcW w:w="910" w:type="dxa"/>
            <w:tcBorders>
              <w:top w:val="nil"/>
              <w:left w:val="nil"/>
              <w:bottom w:val="single" w:sz="4" w:space="0" w:color="auto"/>
              <w:right w:val="single" w:sz="4" w:space="0" w:color="auto"/>
            </w:tcBorders>
            <w:shd w:val="clear" w:color="auto" w:fill="auto"/>
            <w:noWrap/>
            <w:vAlign w:val="bottom"/>
            <w:hideMark/>
          </w:tcPr>
          <w:p w:rsidR="00F07E05" w:rsidRPr="00BB4858" w:rsidRDefault="00F07E05" w:rsidP="008A253E">
            <w:pPr>
              <w:jc w:val="center"/>
              <w:rPr>
                <w:sz w:val="22"/>
                <w:szCs w:val="22"/>
              </w:rPr>
            </w:pPr>
            <w:r w:rsidRPr="00BB4858">
              <w:rPr>
                <w:sz w:val="22"/>
                <w:szCs w:val="22"/>
              </w:rPr>
              <w:t>12 682,7</w:t>
            </w:r>
          </w:p>
        </w:tc>
        <w:tc>
          <w:tcPr>
            <w:tcW w:w="1134" w:type="dxa"/>
            <w:tcBorders>
              <w:top w:val="nil"/>
              <w:left w:val="nil"/>
              <w:bottom w:val="single" w:sz="4" w:space="0" w:color="auto"/>
              <w:right w:val="single" w:sz="4" w:space="0" w:color="auto"/>
            </w:tcBorders>
            <w:shd w:val="clear" w:color="auto" w:fill="auto"/>
            <w:noWrap/>
            <w:vAlign w:val="bottom"/>
            <w:hideMark/>
          </w:tcPr>
          <w:p w:rsidR="00F07E05" w:rsidRPr="00BB4858" w:rsidRDefault="00F07E05" w:rsidP="008A253E">
            <w:pPr>
              <w:jc w:val="center"/>
              <w:rPr>
                <w:sz w:val="22"/>
                <w:szCs w:val="22"/>
              </w:rPr>
            </w:pPr>
            <w:r w:rsidRPr="00BB4858">
              <w:rPr>
                <w:sz w:val="22"/>
                <w:szCs w:val="22"/>
              </w:rPr>
              <w:t>12 682,7</w:t>
            </w:r>
          </w:p>
        </w:tc>
        <w:tc>
          <w:tcPr>
            <w:tcW w:w="979" w:type="dxa"/>
            <w:tcBorders>
              <w:top w:val="nil"/>
              <w:left w:val="nil"/>
              <w:bottom w:val="single" w:sz="4" w:space="0" w:color="auto"/>
              <w:right w:val="single" w:sz="4" w:space="0" w:color="auto"/>
            </w:tcBorders>
            <w:shd w:val="clear" w:color="auto" w:fill="auto"/>
            <w:noWrap/>
            <w:vAlign w:val="bottom"/>
            <w:hideMark/>
          </w:tcPr>
          <w:p w:rsidR="00F07E05" w:rsidRPr="00BB4858" w:rsidRDefault="00F07E05" w:rsidP="008A253E">
            <w:pPr>
              <w:jc w:val="center"/>
              <w:rPr>
                <w:sz w:val="22"/>
                <w:szCs w:val="22"/>
              </w:rPr>
            </w:pPr>
            <w:r w:rsidRPr="00BB4858">
              <w:rPr>
                <w:sz w:val="22"/>
                <w:szCs w:val="22"/>
              </w:rPr>
              <w:t>12 682,7</w:t>
            </w:r>
          </w:p>
        </w:tc>
      </w:tr>
      <w:tr w:rsidR="00F07E05" w:rsidRPr="00BB4858" w:rsidTr="008A253E">
        <w:trPr>
          <w:trHeight w:val="144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F07E05" w:rsidRPr="00BB4858" w:rsidRDefault="00F07E05" w:rsidP="008A253E">
            <w:pPr>
              <w:jc w:val="center"/>
              <w:rPr>
                <w:sz w:val="22"/>
                <w:szCs w:val="22"/>
              </w:rPr>
            </w:pPr>
            <w:r w:rsidRPr="00BB4858">
              <w:rPr>
                <w:sz w:val="22"/>
                <w:szCs w:val="22"/>
              </w:rPr>
              <w:t>4</w:t>
            </w:r>
          </w:p>
        </w:tc>
        <w:tc>
          <w:tcPr>
            <w:tcW w:w="3533" w:type="dxa"/>
            <w:tcBorders>
              <w:top w:val="nil"/>
              <w:left w:val="nil"/>
              <w:bottom w:val="single" w:sz="4" w:space="0" w:color="auto"/>
              <w:right w:val="single" w:sz="4" w:space="0" w:color="auto"/>
            </w:tcBorders>
            <w:shd w:val="clear" w:color="auto" w:fill="auto"/>
            <w:vAlign w:val="bottom"/>
            <w:hideMark/>
          </w:tcPr>
          <w:p w:rsidR="00F07E05" w:rsidRPr="00BB4858" w:rsidRDefault="00F07E05" w:rsidP="008A253E">
            <w:pPr>
              <w:rPr>
                <w:sz w:val="22"/>
                <w:szCs w:val="22"/>
              </w:rPr>
            </w:pPr>
            <w:r w:rsidRPr="00BB4858">
              <w:rPr>
                <w:sz w:val="22"/>
                <w:szCs w:val="22"/>
              </w:rPr>
              <w:t xml:space="preserve">Прочие доходы от компенсации затрат бюджетов субъектов Российской Федерации (средства от возврата дебиторской задолженности прошлых лет) </w:t>
            </w:r>
          </w:p>
          <w:p w:rsidR="00F07E05" w:rsidRPr="00BB4858" w:rsidRDefault="00F07E05" w:rsidP="008A253E">
            <w:pPr>
              <w:rPr>
                <w:sz w:val="22"/>
                <w:szCs w:val="22"/>
              </w:rPr>
            </w:pPr>
            <w:r w:rsidRPr="00BB4858">
              <w:rPr>
                <w:sz w:val="22"/>
                <w:szCs w:val="22"/>
              </w:rPr>
              <w:t>1 13 02992 02 0426 130</w:t>
            </w:r>
          </w:p>
        </w:tc>
        <w:tc>
          <w:tcPr>
            <w:tcW w:w="1147" w:type="dxa"/>
            <w:tcBorders>
              <w:top w:val="nil"/>
              <w:left w:val="nil"/>
              <w:bottom w:val="single" w:sz="4" w:space="0" w:color="auto"/>
              <w:right w:val="single" w:sz="4" w:space="0" w:color="auto"/>
            </w:tcBorders>
            <w:shd w:val="clear" w:color="auto" w:fill="auto"/>
            <w:noWrap/>
            <w:vAlign w:val="bottom"/>
            <w:hideMark/>
          </w:tcPr>
          <w:p w:rsidR="00F07E05" w:rsidRPr="00BB4858" w:rsidRDefault="00F07E05" w:rsidP="008A253E">
            <w:pPr>
              <w:jc w:val="center"/>
              <w:rPr>
                <w:sz w:val="22"/>
                <w:szCs w:val="22"/>
              </w:rPr>
            </w:pPr>
            <w:r w:rsidRPr="00BB4858">
              <w:rPr>
                <w:sz w:val="22"/>
                <w:szCs w:val="22"/>
              </w:rPr>
              <w:t>1 443,60</w:t>
            </w:r>
          </w:p>
        </w:tc>
        <w:tc>
          <w:tcPr>
            <w:tcW w:w="1147" w:type="dxa"/>
            <w:tcBorders>
              <w:top w:val="nil"/>
              <w:left w:val="nil"/>
              <w:bottom w:val="single" w:sz="4" w:space="0" w:color="auto"/>
              <w:right w:val="single" w:sz="4" w:space="0" w:color="auto"/>
            </w:tcBorders>
            <w:shd w:val="clear" w:color="auto" w:fill="auto"/>
            <w:noWrap/>
            <w:vAlign w:val="bottom"/>
            <w:hideMark/>
          </w:tcPr>
          <w:p w:rsidR="00F07E05" w:rsidRPr="00BB4858" w:rsidRDefault="00F07E05" w:rsidP="008A253E">
            <w:pPr>
              <w:jc w:val="center"/>
              <w:rPr>
                <w:sz w:val="22"/>
                <w:szCs w:val="22"/>
              </w:rPr>
            </w:pPr>
            <w:r w:rsidRPr="00BB4858">
              <w:rPr>
                <w:sz w:val="22"/>
                <w:szCs w:val="22"/>
              </w:rPr>
              <w:t>105,5</w:t>
            </w:r>
          </w:p>
        </w:tc>
        <w:tc>
          <w:tcPr>
            <w:tcW w:w="1345" w:type="dxa"/>
            <w:tcBorders>
              <w:top w:val="nil"/>
              <w:left w:val="nil"/>
              <w:bottom w:val="single" w:sz="4" w:space="0" w:color="auto"/>
              <w:right w:val="single" w:sz="4" w:space="0" w:color="auto"/>
            </w:tcBorders>
            <w:shd w:val="clear" w:color="auto" w:fill="auto"/>
            <w:noWrap/>
            <w:vAlign w:val="bottom"/>
            <w:hideMark/>
          </w:tcPr>
          <w:p w:rsidR="00F07E05" w:rsidRPr="00BB4858" w:rsidRDefault="00F07E05" w:rsidP="008A253E">
            <w:pPr>
              <w:jc w:val="center"/>
              <w:rPr>
                <w:sz w:val="22"/>
                <w:szCs w:val="22"/>
              </w:rPr>
            </w:pPr>
            <w:r w:rsidRPr="00BB4858">
              <w:rPr>
                <w:sz w:val="22"/>
                <w:szCs w:val="22"/>
              </w:rPr>
              <w:t>10 28,2</w:t>
            </w:r>
          </w:p>
        </w:tc>
        <w:tc>
          <w:tcPr>
            <w:tcW w:w="910" w:type="dxa"/>
            <w:tcBorders>
              <w:top w:val="nil"/>
              <w:left w:val="nil"/>
              <w:bottom w:val="single" w:sz="4" w:space="0" w:color="auto"/>
              <w:right w:val="single" w:sz="4" w:space="0" w:color="auto"/>
            </w:tcBorders>
            <w:shd w:val="clear" w:color="auto" w:fill="auto"/>
            <w:noWrap/>
            <w:vAlign w:val="bottom"/>
            <w:hideMark/>
          </w:tcPr>
          <w:p w:rsidR="00F07E05" w:rsidRPr="00BB4858" w:rsidRDefault="00F07E05" w:rsidP="008A253E">
            <w:pPr>
              <w:jc w:val="center"/>
              <w:rPr>
                <w:sz w:val="22"/>
                <w:szCs w:val="22"/>
              </w:rPr>
            </w:pPr>
            <w:r w:rsidRPr="00BB4858">
              <w:rPr>
                <w:sz w:val="22"/>
                <w:szCs w:val="22"/>
              </w:rPr>
              <w:t>105,5</w:t>
            </w:r>
          </w:p>
        </w:tc>
        <w:tc>
          <w:tcPr>
            <w:tcW w:w="1134" w:type="dxa"/>
            <w:tcBorders>
              <w:top w:val="nil"/>
              <w:left w:val="nil"/>
              <w:bottom w:val="single" w:sz="4" w:space="0" w:color="auto"/>
              <w:right w:val="single" w:sz="4" w:space="0" w:color="auto"/>
            </w:tcBorders>
            <w:shd w:val="clear" w:color="auto" w:fill="auto"/>
            <w:noWrap/>
            <w:vAlign w:val="bottom"/>
            <w:hideMark/>
          </w:tcPr>
          <w:p w:rsidR="00F07E05" w:rsidRPr="00BB4858" w:rsidRDefault="00F07E05" w:rsidP="008A253E">
            <w:pPr>
              <w:jc w:val="center"/>
              <w:rPr>
                <w:sz w:val="22"/>
                <w:szCs w:val="22"/>
              </w:rPr>
            </w:pPr>
            <w:r w:rsidRPr="00BB4858">
              <w:rPr>
                <w:sz w:val="22"/>
                <w:szCs w:val="22"/>
              </w:rPr>
              <w:t>105,5</w:t>
            </w:r>
          </w:p>
        </w:tc>
        <w:tc>
          <w:tcPr>
            <w:tcW w:w="979" w:type="dxa"/>
            <w:tcBorders>
              <w:top w:val="nil"/>
              <w:left w:val="nil"/>
              <w:bottom w:val="single" w:sz="4" w:space="0" w:color="auto"/>
              <w:right w:val="single" w:sz="4" w:space="0" w:color="auto"/>
            </w:tcBorders>
            <w:shd w:val="clear" w:color="auto" w:fill="auto"/>
            <w:noWrap/>
            <w:vAlign w:val="bottom"/>
            <w:hideMark/>
          </w:tcPr>
          <w:p w:rsidR="00F07E05" w:rsidRPr="00BB4858" w:rsidRDefault="00F07E05" w:rsidP="008A253E">
            <w:pPr>
              <w:jc w:val="center"/>
              <w:rPr>
                <w:sz w:val="22"/>
                <w:szCs w:val="22"/>
              </w:rPr>
            </w:pPr>
            <w:r w:rsidRPr="00BB4858">
              <w:rPr>
                <w:sz w:val="22"/>
                <w:szCs w:val="22"/>
              </w:rPr>
              <w:t>105,5</w:t>
            </w:r>
          </w:p>
        </w:tc>
      </w:tr>
      <w:tr w:rsidR="00F07E05" w:rsidRPr="00F31A3C" w:rsidTr="008A253E">
        <w:trPr>
          <w:trHeight w:val="156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F07E05" w:rsidRPr="00BB4858" w:rsidRDefault="00F07E05" w:rsidP="008A253E">
            <w:pPr>
              <w:jc w:val="center"/>
              <w:rPr>
                <w:sz w:val="22"/>
                <w:szCs w:val="22"/>
              </w:rPr>
            </w:pPr>
            <w:r w:rsidRPr="00BB4858">
              <w:rPr>
                <w:sz w:val="22"/>
                <w:szCs w:val="22"/>
              </w:rPr>
              <w:t>5</w:t>
            </w:r>
          </w:p>
        </w:tc>
        <w:tc>
          <w:tcPr>
            <w:tcW w:w="3533" w:type="dxa"/>
            <w:tcBorders>
              <w:top w:val="nil"/>
              <w:left w:val="nil"/>
              <w:bottom w:val="single" w:sz="4" w:space="0" w:color="auto"/>
              <w:right w:val="single" w:sz="4" w:space="0" w:color="auto"/>
            </w:tcBorders>
            <w:shd w:val="clear" w:color="auto" w:fill="auto"/>
            <w:vAlign w:val="bottom"/>
            <w:hideMark/>
          </w:tcPr>
          <w:p w:rsidR="00F07E05" w:rsidRPr="00BB4858" w:rsidRDefault="00F07E05" w:rsidP="008A253E">
            <w:pPr>
              <w:rPr>
                <w:sz w:val="22"/>
                <w:szCs w:val="22"/>
              </w:rPr>
            </w:pPr>
            <w:r w:rsidRPr="00BB4858">
              <w:rPr>
                <w:sz w:val="22"/>
                <w:szCs w:val="22"/>
              </w:rPr>
              <w:t>Прочие доходы от компенсации затрат бюджетов субъектов Российской Федерации (иные прочие доходы от компенсации затрат бюджетов субъектов Российской Федерации)</w:t>
            </w:r>
          </w:p>
          <w:p w:rsidR="00F07E05" w:rsidRPr="00BB4858" w:rsidRDefault="00F07E05" w:rsidP="008A253E">
            <w:pPr>
              <w:rPr>
                <w:sz w:val="22"/>
                <w:szCs w:val="22"/>
              </w:rPr>
            </w:pPr>
            <w:r w:rsidRPr="00BB4858">
              <w:rPr>
                <w:sz w:val="22"/>
                <w:szCs w:val="22"/>
              </w:rPr>
              <w:t xml:space="preserve"> 1 13 02992 02 0430 130</w:t>
            </w:r>
          </w:p>
        </w:tc>
        <w:tc>
          <w:tcPr>
            <w:tcW w:w="1147" w:type="dxa"/>
            <w:tcBorders>
              <w:top w:val="nil"/>
              <w:left w:val="nil"/>
              <w:bottom w:val="single" w:sz="4" w:space="0" w:color="auto"/>
              <w:right w:val="single" w:sz="4" w:space="0" w:color="auto"/>
            </w:tcBorders>
            <w:shd w:val="clear" w:color="auto" w:fill="auto"/>
            <w:noWrap/>
            <w:vAlign w:val="bottom"/>
            <w:hideMark/>
          </w:tcPr>
          <w:p w:rsidR="00F07E05" w:rsidRPr="00BB4858" w:rsidRDefault="00F07E05" w:rsidP="008A253E">
            <w:pPr>
              <w:jc w:val="center"/>
              <w:rPr>
                <w:sz w:val="22"/>
                <w:szCs w:val="22"/>
              </w:rPr>
            </w:pPr>
            <w:r w:rsidRPr="00BB4858">
              <w:rPr>
                <w:sz w:val="22"/>
                <w:szCs w:val="22"/>
              </w:rPr>
              <w:t>1 107,30</w:t>
            </w:r>
          </w:p>
        </w:tc>
        <w:tc>
          <w:tcPr>
            <w:tcW w:w="1147" w:type="dxa"/>
            <w:tcBorders>
              <w:top w:val="nil"/>
              <w:left w:val="nil"/>
              <w:bottom w:val="single" w:sz="4" w:space="0" w:color="auto"/>
              <w:right w:val="single" w:sz="4" w:space="0" w:color="auto"/>
            </w:tcBorders>
            <w:shd w:val="clear" w:color="auto" w:fill="auto"/>
            <w:noWrap/>
            <w:vAlign w:val="bottom"/>
            <w:hideMark/>
          </w:tcPr>
          <w:p w:rsidR="00F07E05" w:rsidRPr="00BB4858" w:rsidRDefault="00F07E05" w:rsidP="008A253E">
            <w:pPr>
              <w:jc w:val="center"/>
              <w:rPr>
                <w:sz w:val="22"/>
                <w:szCs w:val="22"/>
              </w:rPr>
            </w:pPr>
            <w:r w:rsidRPr="00BB4858">
              <w:rPr>
                <w:sz w:val="22"/>
                <w:szCs w:val="22"/>
              </w:rPr>
              <w:t>2 644,5</w:t>
            </w:r>
          </w:p>
        </w:tc>
        <w:tc>
          <w:tcPr>
            <w:tcW w:w="1345" w:type="dxa"/>
            <w:tcBorders>
              <w:top w:val="nil"/>
              <w:left w:val="nil"/>
              <w:bottom w:val="single" w:sz="4" w:space="0" w:color="auto"/>
              <w:right w:val="single" w:sz="4" w:space="0" w:color="auto"/>
            </w:tcBorders>
            <w:shd w:val="clear" w:color="auto" w:fill="auto"/>
            <w:noWrap/>
            <w:vAlign w:val="bottom"/>
            <w:hideMark/>
          </w:tcPr>
          <w:p w:rsidR="00F07E05" w:rsidRPr="00BB4858" w:rsidRDefault="00F07E05" w:rsidP="008A253E">
            <w:pPr>
              <w:jc w:val="center"/>
              <w:rPr>
                <w:sz w:val="22"/>
                <w:szCs w:val="22"/>
              </w:rPr>
            </w:pPr>
            <w:r w:rsidRPr="00BB4858">
              <w:rPr>
                <w:sz w:val="22"/>
                <w:szCs w:val="22"/>
              </w:rPr>
              <w:t>2 110,1</w:t>
            </w:r>
          </w:p>
        </w:tc>
        <w:tc>
          <w:tcPr>
            <w:tcW w:w="910" w:type="dxa"/>
            <w:tcBorders>
              <w:top w:val="nil"/>
              <w:left w:val="nil"/>
              <w:bottom w:val="single" w:sz="4" w:space="0" w:color="auto"/>
              <w:right w:val="single" w:sz="4" w:space="0" w:color="auto"/>
            </w:tcBorders>
            <w:shd w:val="clear" w:color="auto" w:fill="auto"/>
            <w:noWrap/>
            <w:vAlign w:val="bottom"/>
            <w:hideMark/>
          </w:tcPr>
          <w:p w:rsidR="00F07E05" w:rsidRPr="00BB4858" w:rsidRDefault="00F07E05" w:rsidP="008A253E">
            <w:pPr>
              <w:jc w:val="center"/>
              <w:rPr>
                <w:sz w:val="22"/>
                <w:szCs w:val="22"/>
              </w:rPr>
            </w:pPr>
            <w:r w:rsidRPr="00BB4858">
              <w:rPr>
                <w:sz w:val="22"/>
                <w:szCs w:val="22"/>
              </w:rPr>
              <w:t>1 107,3</w:t>
            </w:r>
          </w:p>
        </w:tc>
        <w:tc>
          <w:tcPr>
            <w:tcW w:w="1134" w:type="dxa"/>
            <w:tcBorders>
              <w:top w:val="nil"/>
              <w:left w:val="nil"/>
              <w:bottom w:val="single" w:sz="4" w:space="0" w:color="auto"/>
              <w:right w:val="single" w:sz="4" w:space="0" w:color="auto"/>
            </w:tcBorders>
            <w:shd w:val="clear" w:color="auto" w:fill="auto"/>
            <w:noWrap/>
            <w:vAlign w:val="bottom"/>
            <w:hideMark/>
          </w:tcPr>
          <w:p w:rsidR="00F07E05" w:rsidRPr="00BB4858" w:rsidRDefault="00F07E05" w:rsidP="008A253E">
            <w:pPr>
              <w:jc w:val="center"/>
              <w:rPr>
                <w:sz w:val="22"/>
                <w:szCs w:val="22"/>
              </w:rPr>
            </w:pPr>
            <w:r w:rsidRPr="00BB4858">
              <w:rPr>
                <w:sz w:val="22"/>
                <w:szCs w:val="22"/>
              </w:rPr>
              <w:t>1 107,3</w:t>
            </w:r>
          </w:p>
        </w:tc>
        <w:tc>
          <w:tcPr>
            <w:tcW w:w="979" w:type="dxa"/>
            <w:tcBorders>
              <w:top w:val="nil"/>
              <w:left w:val="nil"/>
              <w:bottom w:val="single" w:sz="4" w:space="0" w:color="auto"/>
              <w:right w:val="single" w:sz="4" w:space="0" w:color="auto"/>
            </w:tcBorders>
            <w:shd w:val="clear" w:color="auto" w:fill="auto"/>
            <w:noWrap/>
            <w:vAlign w:val="bottom"/>
            <w:hideMark/>
          </w:tcPr>
          <w:p w:rsidR="00F07E05" w:rsidRPr="00F31A3C" w:rsidRDefault="00F07E05" w:rsidP="008A253E">
            <w:pPr>
              <w:jc w:val="center"/>
              <w:rPr>
                <w:sz w:val="22"/>
                <w:szCs w:val="22"/>
              </w:rPr>
            </w:pPr>
            <w:r w:rsidRPr="00BB4858">
              <w:rPr>
                <w:sz w:val="22"/>
                <w:szCs w:val="22"/>
              </w:rPr>
              <w:t>1 107,3</w:t>
            </w:r>
          </w:p>
        </w:tc>
      </w:tr>
    </w:tbl>
    <w:p w:rsidR="00F07E05" w:rsidRDefault="00F07E05" w:rsidP="00F07E05">
      <w:pPr>
        <w:jc w:val="center"/>
        <w:rPr>
          <w:b/>
          <w:sz w:val="28"/>
          <w:szCs w:val="28"/>
        </w:rPr>
      </w:pPr>
    </w:p>
    <w:p w:rsidR="00F07E05" w:rsidRDefault="00F07E05" w:rsidP="00F07E05">
      <w:pPr>
        <w:jc w:val="center"/>
        <w:rPr>
          <w:b/>
          <w:sz w:val="28"/>
          <w:szCs w:val="28"/>
        </w:rPr>
      </w:pPr>
    </w:p>
    <w:p w:rsidR="00F07E05" w:rsidRPr="00C234B0" w:rsidRDefault="00F07E05" w:rsidP="00F07E05">
      <w:pPr>
        <w:jc w:val="center"/>
        <w:rPr>
          <w:b/>
          <w:sz w:val="28"/>
          <w:szCs w:val="28"/>
        </w:rPr>
      </w:pPr>
      <w:r w:rsidRPr="00C234B0">
        <w:rPr>
          <w:b/>
          <w:sz w:val="28"/>
          <w:szCs w:val="28"/>
        </w:rPr>
        <w:t>Министерство образования Тверской области</w:t>
      </w:r>
    </w:p>
    <w:p w:rsidR="00F07E05" w:rsidRDefault="00F07E05" w:rsidP="00F07E05">
      <w:pPr>
        <w:jc w:val="right"/>
        <w:rPr>
          <w:b/>
          <w:sz w:val="28"/>
          <w:szCs w:val="28"/>
        </w:rPr>
      </w:pPr>
      <w:r>
        <w:rPr>
          <w:b/>
          <w:sz w:val="28"/>
          <w:szCs w:val="28"/>
        </w:rPr>
        <w:t>тыс. руб.</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1368"/>
        <w:gridCol w:w="1440"/>
        <w:gridCol w:w="1620"/>
      </w:tblGrid>
      <w:tr w:rsidR="00F07E05" w:rsidRPr="00C93A58" w:rsidTr="008A253E">
        <w:trPr>
          <w:trHeight w:val="510"/>
        </w:trPr>
        <w:tc>
          <w:tcPr>
            <w:tcW w:w="2520" w:type="dxa"/>
            <w:noWrap/>
          </w:tcPr>
          <w:p w:rsidR="00F07E05" w:rsidRPr="00C93A58" w:rsidRDefault="00F07E05" w:rsidP="008A253E">
            <w:pPr>
              <w:rPr>
                <w:b/>
                <w:sz w:val="20"/>
                <w:szCs w:val="20"/>
              </w:rPr>
            </w:pPr>
            <w:r w:rsidRPr="00C93A58">
              <w:rPr>
                <w:b/>
                <w:sz w:val="20"/>
                <w:szCs w:val="20"/>
              </w:rPr>
              <w:t>Код БК</w:t>
            </w:r>
          </w:p>
        </w:tc>
        <w:tc>
          <w:tcPr>
            <w:tcW w:w="2520" w:type="dxa"/>
            <w:noWrap/>
          </w:tcPr>
          <w:p w:rsidR="00F07E05" w:rsidRPr="00C93A58" w:rsidRDefault="00F07E05" w:rsidP="008A253E">
            <w:pPr>
              <w:rPr>
                <w:b/>
                <w:sz w:val="20"/>
                <w:szCs w:val="20"/>
              </w:rPr>
            </w:pPr>
            <w:r w:rsidRPr="00C93A58">
              <w:rPr>
                <w:b/>
                <w:sz w:val="20"/>
                <w:szCs w:val="20"/>
              </w:rPr>
              <w:t>Наименование</w:t>
            </w:r>
          </w:p>
        </w:tc>
        <w:tc>
          <w:tcPr>
            <w:tcW w:w="1368" w:type="dxa"/>
          </w:tcPr>
          <w:p w:rsidR="00F07E05" w:rsidRPr="00C93A58" w:rsidRDefault="00F07E05" w:rsidP="008A253E">
            <w:pPr>
              <w:jc w:val="center"/>
              <w:rPr>
                <w:b/>
                <w:sz w:val="20"/>
                <w:szCs w:val="20"/>
              </w:rPr>
            </w:pPr>
            <w:r w:rsidRPr="00C93A58">
              <w:rPr>
                <w:b/>
                <w:sz w:val="20"/>
                <w:szCs w:val="20"/>
              </w:rPr>
              <w:t>Прогноз на</w:t>
            </w:r>
          </w:p>
          <w:p w:rsidR="00F07E05" w:rsidRPr="00C93A58" w:rsidRDefault="00F07E05" w:rsidP="008A253E">
            <w:pPr>
              <w:jc w:val="center"/>
              <w:rPr>
                <w:b/>
                <w:sz w:val="20"/>
                <w:szCs w:val="20"/>
              </w:rPr>
            </w:pPr>
            <w:r>
              <w:rPr>
                <w:b/>
                <w:sz w:val="20"/>
                <w:szCs w:val="20"/>
              </w:rPr>
              <w:t>2022</w:t>
            </w:r>
            <w:r w:rsidRPr="00C93A58">
              <w:rPr>
                <w:b/>
                <w:sz w:val="20"/>
                <w:szCs w:val="20"/>
              </w:rPr>
              <w:t xml:space="preserve"> год </w:t>
            </w:r>
          </w:p>
          <w:p w:rsidR="00F07E05" w:rsidRPr="00C93A58" w:rsidRDefault="00F07E05" w:rsidP="008A253E">
            <w:pPr>
              <w:jc w:val="center"/>
              <w:rPr>
                <w:b/>
                <w:sz w:val="20"/>
                <w:szCs w:val="20"/>
              </w:rPr>
            </w:pPr>
          </w:p>
        </w:tc>
        <w:tc>
          <w:tcPr>
            <w:tcW w:w="1440" w:type="dxa"/>
          </w:tcPr>
          <w:p w:rsidR="00F07E05" w:rsidRPr="00C93A58" w:rsidRDefault="00F07E05" w:rsidP="008A253E">
            <w:pPr>
              <w:jc w:val="center"/>
              <w:rPr>
                <w:b/>
                <w:sz w:val="20"/>
                <w:szCs w:val="20"/>
              </w:rPr>
            </w:pPr>
            <w:r w:rsidRPr="00C93A58">
              <w:rPr>
                <w:b/>
                <w:sz w:val="20"/>
                <w:szCs w:val="20"/>
              </w:rPr>
              <w:t>Прогноз на</w:t>
            </w:r>
          </w:p>
          <w:p w:rsidR="00F07E05" w:rsidRPr="00C93A58" w:rsidRDefault="00F07E05" w:rsidP="008A253E">
            <w:pPr>
              <w:jc w:val="center"/>
              <w:rPr>
                <w:b/>
                <w:sz w:val="20"/>
                <w:szCs w:val="20"/>
              </w:rPr>
            </w:pPr>
            <w:r>
              <w:rPr>
                <w:b/>
                <w:sz w:val="20"/>
                <w:szCs w:val="20"/>
              </w:rPr>
              <w:t xml:space="preserve">2023 </w:t>
            </w:r>
            <w:r w:rsidRPr="00C93A58">
              <w:rPr>
                <w:b/>
                <w:sz w:val="20"/>
                <w:szCs w:val="20"/>
              </w:rPr>
              <w:t>год</w:t>
            </w:r>
          </w:p>
          <w:p w:rsidR="00F07E05" w:rsidRPr="00C93A58" w:rsidRDefault="00F07E05" w:rsidP="008A253E">
            <w:pPr>
              <w:jc w:val="center"/>
              <w:rPr>
                <w:b/>
                <w:sz w:val="20"/>
                <w:szCs w:val="20"/>
              </w:rPr>
            </w:pPr>
          </w:p>
        </w:tc>
        <w:tc>
          <w:tcPr>
            <w:tcW w:w="1620" w:type="dxa"/>
          </w:tcPr>
          <w:p w:rsidR="00F07E05" w:rsidRPr="00C93A58" w:rsidRDefault="00F07E05" w:rsidP="008A253E">
            <w:pPr>
              <w:jc w:val="center"/>
              <w:rPr>
                <w:b/>
                <w:sz w:val="20"/>
                <w:szCs w:val="20"/>
              </w:rPr>
            </w:pPr>
            <w:r w:rsidRPr="00C93A58">
              <w:rPr>
                <w:b/>
                <w:sz w:val="20"/>
                <w:szCs w:val="20"/>
              </w:rPr>
              <w:t>Прогноз на</w:t>
            </w:r>
          </w:p>
          <w:p w:rsidR="00F07E05" w:rsidRPr="00C93A58" w:rsidRDefault="00F07E05" w:rsidP="008A253E">
            <w:pPr>
              <w:jc w:val="center"/>
              <w:rPr>
                <w:b/>
                <w:sz w:val="20"/>
                <w:szCs w:val="20"/>
              </w:rPr>
            </w:pPr>
            <w:r>
              <w:rPr>
                <w:b/>
                <w:sz w:val="20"/>
                <w:szCs w:val="20"/>
              </w:rPr>
              <w:t xml:space="preserve">2024 </w:t>
            </w:r>
            <w:r w:rsidRPr="00C93A58">
              <w:rPr>
                <w:b/>
                <w:sz w:val="20"/>
                <w:szCs w:val="20"/>
              </w:rPr>
              <w:t>год</w:t>
            </w:r>
          </w:p>
          <w:p w:rsidR="00F07E05" w:rsidRPr="00C93A58" w:rsidRDefault="00F07E05" w:rsidP="008A253E">
            <w:pPr>
              <w:jc w:val="center"/>
              <w:rPr>
                <w:b/>
                <w:sz w:val="20"/>
                <w:szCs w:val="20"/>
              </w:rPr>
            </w:pPr>
          </w:p>
          <w:p w:rsidR="00F07E05" w:rsidRPr="00C93A58" w:rsidRDefault="00F07E05" w:rsidP="008A253E">
            <w:pPr>
              <w:jc w:val="center"/>
              <w:rPr>
                <w:b/>
                <w:sz w:val="20"/>
                <w:szCs w:val="20"/>
              </w:rPr>
            </w:pPr>
          </w:p>
        </w:tc>
      </w:tr>
      <w:tr w:rsidR="00F07E05" w:rsidRPr="00C93A58" w:rsidTr="008A253E">
        <w:trPr>
          <w:trHeight w:val="1275"/>
        </w:trPr>
        <w:tc>
          <w:tcPr>
            <w:tcW w:w="2520" w:type="dxa"/>
            <w:noWrap/>
          </w:tcPr>
          <w:p w:rsidR="00F07E05" w:rsidRPr="00C93A58" w:rsidRDefault="00F07E05" w:rsidP="008A253E">
            <w:pPr>
              <w:jc w:val="center"/>
              <w:rPr>
                <w:b/>
                <w:sz w:val="16"/>
                <w:szCs w:val="16"/>
              </w:rPr>
            </w:pPr>
          </w:p>
          <w:p w:rsidR="00F07E05" w:rsidRPr="00C93A58" w:rsidRDefault="00F07E05" w:rsidP="008A253E">
            <w:pPr>
              <w:jc w:val="center"/>
              <w:rPr>
                <w:b/>
                <w:sz w:val="16"/>
                <w:szCs w:val="16"/>
              </w:rPr>
            </w:pPr>
          </w:p>
          <w:p w:rsidR="00F07E05" w:rsidRPr="00C93A58" w:rsidRDefault="00F07E05" w:rsidP="008A253E">
            <w:pPr>
              <w:jc w:val="center"/>
              <w:rPr>
                <w:b/>
                <w:sz w:val="16"/>
                <w:szCs w:val="16"/>
              </w:rPr>
            </w:pPr>
            <w:r w:rsidRPr="00C93A58">
              <w:rPr>
                <w:b/>
                <w:sz w:val="16"/>
                <w:szCs w:val="16"/>
              </w:rPr>
              <w:t>000</w:t>
            </w:r>
            <w:r w:rsidRPr="00C93A58">
              <w:rPr>
                <w:b/>
                <w:sz w:val="16"/>
                <w:szCs w:val="16"/>
                <w:lang w:val="en-US"/>
              </w:rPr>
              <w:t xml:space="preserve"> 1 13 0</w:t>
            </w:r>
            <w:r w:rsidRPr="00C93A58">
              <w:rPr>
                <w:b/>
                <w:sz w:val="16"/>
                <w:szCs w:val="16"/>
              </w:rPr>
              <w:t>2990</w:t>
            </w:r>
            <w:r w:rsidRPr="00C93A58">
              <w:rPr>
                <w:b/>
                <w:sz w:val="16"/>
                <w:szCs w:val="16"/>
                <w:lang w:val="en-US"/>
              </w:rPr>
              <w:t xml:space="preserve"> 0</w:t>
            </w:r>
            <w:r w:rsidRPr="00C93A58">
              <w:rPr>
                <w:b/>
                <w:sz w:val="16"/>
                <w:szCs w:val="16"/>
              </w:rPr>
              <w:t>0</w:t>
            </w:r>
            <w:r w:rsidRPr="00C93A58">
              <w:rPr>
                <w:b/>
                <w:sz w:val="16"/>
                <w:szCs w:val="16"/>
                <w:lang w:val="en-US"/>
              </w:rPr>
              <w:t xml:space="preserve"> 0</w:t>
            </w:r>
            <w:r w:rsidRPr="00C93A58">
              <w:rPr>
                <w:b/>
                <w:sz w:val="16"/>
                <w:szCs w:val="16"/>
              </w:rPr>
              <w:t>000 130</w:t>
            </w:r>
          </w:p>
        </w:tc>
        <w:tc>
          <w:tcPr>
            <w:tcW w:w="2520" w:type="dxa"/>
          </w:tcPr>
          <w:p w:rsidR="00F07E05" w:rsidRPr="00C93A58" w:rsidRDefault="00F07E05" w:rsidP="008A253E">
            <w:pPr>
              <w:rPr>
                <w:sz w:val="20"/>
                <w:szCs w:val="20"/>
              </w:rPr>
            </w:pPr>
          </w:p>
          <w:p w:rsidR="00F07E05" w:rsidRPr="00C93A58" w:rsidRDefault="00F07E05" w:rsidP="008A253E">
            <w:pPr>
              <w:rPr>
                <w:sz w:val="20"/>
                <w:szCs w:val="20"/>
              </w:rPr>
            </w:pPr>
            <w:r w:rsidRPr="00C93A58">
              <w:rPr>
                <w:sz w:val="20"/>
                <w:szCs w:val="20"/>
              </w:rPr>
              <w:t xml:space="preserve">Прочие доходы от компенсации затрат государства </w:t>
            </w:r>
          </w:p>
        </w:tc>
        <w:tc>
          <w:tcPr>
            <w:tcW w:w="1368" w:type="dxa"/>
            <w:noWrap/>
          </w:tcPr>
          <w:p w:rsidR="00F07E05" w:rsidRDefault="00F07E05" w:rsidP="008A253E">
            <w:pPr>
              <w:ind w:hanging="108"/>
              <w:jc w:val="center"/>
              <w:rPr>
                <w:sz w:val="20"/>
                <w:szCs w:val="20"/>
              </w:rPr>
            </w:pPr>
          </w:p>
          <w:p w:rsidR="00F07E05" w:rsidRDefault="00F07E05" w:rsidP="008A253E">
            <w:pPr>
              <w:ind w:hanging="108"/>
              <w:jc w:val="center"/>
              <w:rPr>
                <w:sz w:val="20"/>
                <w:szCs w:val="20"/>
              </w:rPr>
            </w:pPr>
          </w:p>
          <w:p w:rsidR="00F07E05" w:rsidRPr="00C93A58" w:rsidRDefault="00F07E05" w:rsidP="008A253E">
            <w:pPr>
              <w:ind w:hanging="108"/>
              <w:jc w:val="center"/>
              <w:rPr>
                <w:sz w:val="20"/>
                <w:szCs w:val="20"/>
              </w:rPr>
            </w:pPr>
            <w:r>
              <w:rPr>
                <w:sz w:val="20"/>
                <w:szCs w:val="20"/>
              </w:rPr>
              <w:t>136,6</w:t>
            </w:r>
          </w:p>
        </w:tc>
        <w:tc>
          <w:tcPr>
            <w:tcW w:w="1440" w:type="dxa"/>
            <w:noWrap/>
          </w:tcPr>
          <w:p w:rsidR="00F07E05" w:rsidRDefault="00F07E05" w:rsidP="008A253E">
            <w:pPr>
              <w:ind w:left="-136" w:right="-108" w:hanging="28"/>
              <w:jc w:val="center"/>
              <w:rPr>
                <w:sz w:val="20"/>
                <w:szCs w:val="20"/>
              </w:rPr>
            </w:pPr>
          </w:p>
          <w:p w:rsidR="00F07E05" w:rsidRDefault="00F07E05" w:rsidP="008A253E">
            <w:pPr>
              <w:ind w:left="-136" w:right="-108" w:hanging="28"/>
              <w:jc w:val="center"/>
              <w:rPr>
                <w:sz w:val="20"/>
                <w:szCs w:val="20"/>
              </w:rPr>
            </w:pPr>
          </w:p>
          <w:p w:rsidR="00F07E05" w:rsidRPr="00C93A58" w:rsidRDefault="00F07E05" w:rsidP="008A253E">
            <w:pPr>
              <w:ind w:left="-136" w:right="-108" w:hanging="28"/>
              <w:jc w:val="center"/>
              <w:rPr>
                <w:sz w:val="20"/>
                <w:szCs w:val="20"/>
              </w:rPr>
            </w:pPr>
            <w:r>
              <w:rPr>
                <w:sz w:val="20"/>
                <w:szCs w:val="20"/>
              </w:rPr>
              <w:t>136,6</w:t>
            </w:r>
          </w:p>
        </w:tc>
        <w:tc>
          <w:tcPr>
            <w:tcW w:w="1620" w:type="dxa"/>
            <w:noWrap/>
          </w:tcPr>
          <w:p w:rsidR="00F07E05" w:rsidRDefault="00F07E05" w:rsidP="008A253E">
            <w:pPr>
              <w:ind w:left="-108" w:right="-3" w:hanging="108"/>
              <w:jc w:val="center"/>
              <w:rPr>
                <w:sz w:val="20"/>
                <w:szCs w:val="20"/>
              </w:rPr>
            </w:pPr>
          </w:p>
          <w:p w:rsidR="00F07E05" w:rsidRDefault="00F07E05" w:rsidP="008A253E">
            <w:pPr>
              <w:ind w:left="-108" w:right="-3" w:hanging="108"/>
              <w:jc w:val="center"/>
              <w:rPr>
                <w:sz w:val="20"/>
                <w:szCs w:val="20"/>
              </w:rPr>
            </w:pPr>
          </w:p>
          <w:p w:rsidR="00F07E05" w:rsidRPr="00C93A58" w:rsidRDefault="00F07E05" w:rsidP="008A253E">
            <w:pPr>
              <w:ind w:left="-108" w:right="-3" w:hanging="108"/>
              <w:jc w:val="center"/>
              <w:rPr>
                <w:sz w:val="20"/>
                <w:szCs w:val="20"/>
              </w:rPr>
            </w:pPr>
            <w:r>
              <w:rPr>
                <w:sz w:val="20"/>
                <w:szCs w:val="20"/>
              </w:rPr>
              <w:t>136,6</w:t>
            </w:r>
          </w:p>
        </w:tc>
      </w:tr>
    </w:tbl>
    <w:p w:rsidR="00F07E05" w:rsidRDefault="00F07E05" w:rsidP="00F07E05">
      <w:pPr>
        <w:jc w:val="center"/>
        <w:rPr>
          <w:b/>
          <w:sz w:val="28"/>
          <w:szCs w:val="28"/>
        </w:rPr>
      </w:pPr>
    </w:p>
    <w:p w:rsidR="00F07E05" w:rsidRDefault="00F07E05" w:rsidP="00F07E05">
      <w:pPr>
        <w:tabs>
          <w:tab w:val="left" w:pos="1276"/>
        </w:tabs>
        <w:ind w:firstLine="709"/>
        <w:jc w:val="both"/>
        <w:rPr>
          <w:sz w:val="28"/>
          <w:szCs w:val="28"/>
        </w:rPr>
      </w:pPr>
      <w:r w:rsidRPr="00781A96">
        <w:rPr>
          <w:sz w:val="28"/>
          <w:szCs w:val="28"/>
        </w:rPr>
        <w:t>Для расчета прогнозируемого объема доходов п</w:t>
      </w:r>
      <w:r>
        <w:rPr>
          <w:sz w:val="28"/>
          <w:szCs w:val="28"/>
        </w:rPr>
        <w:t xml:space="preserve">рименяется метод экстраполяции. </w:t>
      </w:r>
      <w:r w:rsidRPr="00781A96">
        <w:rPr>
          <w:sz w:val="28"/>
          <w:szCs w:val="28"/>
        </w:rPr>
        <w:t>Прогнозные</w:t>
      </w:r>
      <w:r>
        <w:rPr>
          <w:sz w:val="28"/>
          <w:szCs w:val="28"/>
        </w:rPr>
        <w:t xml:space="preserve"> объемы </w:t>
      </w:r>
      <w:r w:rsidRPr="00781A96">
        <w:rPr>
          <w:sz w:val="28"/>
          <w:szCs w:val="28"/>
        </w:rPr>
        <w:t>поступлений по результатам анализа годовых объемов поступлений за три предшествующих текущему года признаны равными минимальному значению поступлений за три предшествующих текущему года.</w:t>
      </w:r>
    </w:p>
    <w:p w:rsidR="00F07E05" w:rsidRPr="00C444C0" w:rsidRDefault="00F07E05" w:rsidP="00F07E05">
      <w:pPr>
        <w:ind w:firstLine="709"/>
        <w:jc w:val="both"/>
        <w:rPr>
          <w:sz w:val="28"/>
          <w:szCs w:val="28"/>
        </w:rPr>
      </w:pPr>
      <w:r w:rsidRPr="00C444C0">
        <w:rPr>
          <w:sz w:val="28"/>
          <w:szCs w:val="28"/>
        </w:rPr>
        <w:t>Поступления средств от возврата дебиторской задолженности прошлых лет за три предшествующих текущему года составили:</w:t>
      </w:r>
    </w:p>
    <w:p w:rsidR="00F07E05" w:rsidRPr="00C444C0" w:rsidRDefault="00F07E05" w:rsidP="00F07E05">
      <w:pPr>
        <w:ind w:firstLine="709"/>
        <w:jc w:val="both"/>
        <w:rPr>
          <w:sz w:val="28"/>
          <w:szCs w:val="28"/>
        </w:rPr>
      </w:pPr>
      <w:r w:rsidRPr="00C444C0">
        <w:rPr>
          <w:sz w:val="28"/>
          <w:szCs w:val="28"/>
        </w:rPr>
        <w:t>в 201</w:t>
      </w:r>
      <w:r>
        <w:rPr>
          <w:sz w:val="28"/>
          <w:szCs w:val="28"/>
        </w:rPr>
        <w:t>8</w:t>
      </w:r>
      <w:r w:rsidRPr="00C444C0">
        <w:rPr>
          <w:sz w:val="28"/>
          <w:szCs w:val="28"/>
        </w:rPr>
        <w:t xml:space="preserve"> году – </w:t>
      </w:r>
      <w:r>
        <w:rPr>
          <w:sz w:val="28"/>
          <w:szCs w:val="28"/>
        </w:rPr>
        <w:t>136,6</w:t>
      </w:r>
      <w:r w:rsidRPr="00C444C0">
        <w:rPr>
          <w:sz w:val="28"/>
          <w:szCs w:val="28"/>
        </w:rPr>
        <w:t xml:space="preserve"> тыс. руб.;</w:t>
      </w:r>
    </w:p>
    <w:p w:rsidR="00F07E05" w:rsidRDefault="00F07E05" w:rsidP="00F07E05">
      <w:pPr>
        <w:ind w:firstLine="709"/>
        <w:jc w:val="both"/>
        <w:rPr>
          <w:sz w:val="28"/>
          <w:szCs w:val="28"/>
        </w:rPr>
      </w:pPr>
      <w:r w:rsidRPr="00C444C0">
        <w:rPr>
          <w:sz w:val="28"/>
          <w:szCs w:val="28"/>
        </w:rPr>
        <w:lastRenderedPageBreak/>
        <w:t>в 201</w:t>
      </w:r>
      <w:r>
        <w:rPr>
          <w:sz w:val="28"/>
          <w:szCs w:val="28"/>
        </w:rPr>
        <w:t>9</w:t>
      </w:r>
      <w:r w:rsidRPr="00C444C0">
        <w:rPr>
          <w:sz w:val="28"/>
          <w:szCs w:val="28"/>
        </w:rPr>
        <w:t xml:space="preserve"> году – </w:t>
      </w:r>
      <w:r>
        <w:rPr>
          <w:sz w:val="28"/>
          <w:szCs w:val="28"/>
        </w:rPr>
        <w:t>670,0</w:t>
      </w:r>
      <w:r w:rsidRPr="00C444C0">
        <w:rPr>
          <w:sz w:val="28"/>
          <w:szCs w:val="28"/>
        </w:rPr>
        <w:t xml:space="preserve"> тыс. руб.</w:t>
      </w:r>
      <w:r>
        <w:rPr>
          <w:sz w:val="28"/>
          <w:szCs w:val="28"/>
        </w:rPr>
        <w:t>;</w:t>
      </w:r>
    </w:p>
    <w:p w:rsidR="00F07E05" w:rsidRPr="00C444C0" w:rsidRDefault="00F07E05" w:rsidP="00F07E05">
      <w:pPr>
        <w:ind w:firstLine="709"/>
        <w:jc w:val="both"/>
        <w:rPr>
          <w:sz w:val="28"/>
          <w:szCs w:val="28"/>
        </w:rPr>
      </w:pPr>
      <w:r>
        <w:rPr>
          <w:sz w:val="28"/>
          <w:szCs w:val="28"/>
        </w:rPr>
        <w:t>в 2020 году – 1 288,2 тыс. руб.</w:t>
      </w:r>
    </w:p>
    <w:p w:rsidR="00F07E05" w:rsidRPr="00781A96" w:rsidRDefault="00F07E05" w:rsidP="00F07E05">
      <w:pPr>
        <w:tabs>
          <w:tab w:val="left" w:pos="1276"/>
        </w:tabs>
        <w:ind w:firstLine="709"/>
        <w:jc w:val="both"/>
        <w:rPr>
          <w:sz w:val="28"/>
          <w:szCs w:val="28"/>
        </w:rPr>
      </w:pPr>
    </w:p>
    <w:p w:rsidR="00F07E05" w:rsidRPr="00781A96" w:rsidRDefault="00F07E05" w:rsidP="00F07E05">
      <w:pPr>
        <w:tabs>
          <w:tab w:val="left" w:pos="1276"/>
        </w:tabs>
        <w:ind w:firstLine="709"/>
        <w:jc w:val="both"/>
        <w:rPr>
          <w:sz w:val="28"/>
          <w:szCs w:val="28"/>
        </w:rPr>
      </w:pPr>
      <w:r w:rsidRPr="00781A96">
        <w:rPr>
          <w:color w:val="000000"/>
          <w:sz w:val="28"/>
          <w:szCs w:val="28"/>
        </w:rPr>
        <w:t>Прогноз поступлений на 202</w:t>
      </w:r>
      <w:r>
        <w:rPr>
          <w:color w:val="000000"/>
          <w:sz w:val="28"/>
          <w:szCs w:val="28"/>
        </w:rPr>
        <w:t xml:space="preserve">2 год - </w:t>
      </w:r>
      <w:r w:rsidRPr="00781A96">
        <w:rPr>
          <w:color w:val="000000"/>
          <w:sz w:val="28"/>
          <w:szCs w:val="28"/>
        </w:rPr>
        <w:t xml:space="preserve"> </w:t>
      </w:r>
      <w:r>
        <w:rPr>
          <w:color w:val="000000"/>
          <w:sz w:val="28"/>
          <w:szCs w:val="28"/>
        </w:rPr>
        <w:t>136,6</w:t>
      </w:r>
      <w:r w:rsidRPr="00781A96">
        <w:rPr>
          <w:color w:val="000000"/>
          <w:sz w:val="28"/>
          <w:szCs w:val="28"/>
        </w:rPr>
        <w:t xml:space="preserve"> тыс. руб.</w:t>
      </w:r>
      <w:r>
        <w:rPr>
          <w:color w:val="000000"/>
          <w:sz w:val="28"/>
          <w:szCs w:val="28"/>
        </w:rPr>
        <w:t xml:space="preserve"> Прогноз на плановый период 2023-2024 годов на уровне прогноза на очередной финансовый год 136,6 тыс. руб.</w:t>
      </w:r>
      <w:r w:rsidRPr="00781A96">
        <w:rPr>
          <w:color w:val="000000"/>
          <w:sz w:val="28"/>
          <w:szCs w:val="28"/>
        </w:rPr>
        <w:t xml:space="preserve"> </w:t>
      </w:r>
    </w:p>
    <w:p w:rsidR="00F07E05" w:rsidRDefault="00F07E05" w:rsidP="00F07E05">
      <w:pPr>
        <w:pStyle w:val="21"/>
        <w:jc w:val="center"/>
        <w:rPr>
          <w:b/>
        </w:rPr>
      </w:pPr>
    </w:p>
    <w:p w:rsidR="00F07E05" w:rsidRPr="00C234B0" w:rsidRDefault="00F07E05" w:rsidP="00F07E05">
      <w:pPr>
        <w:pStyle w:val="21"/>
        <w:jc w:val="center"/>
        <w:rPr>
          <w:b/>
        </w:rPr>
      </w:pPr>
      <w:r w:rsidRPr="00C234B0">
        <w:rPr>
          <w:b/>
        </w:rPr>
        <w:t>Министерство сельского хозяйства Тверской области</w:t>
      </w:r>
    </w:p>
    <w:p w:rsidR="00F07E05" w:rsidRPr="00C93A58" w:rsidRDefault="00F07E05" w:rsidP="00F07E05">
      <w:pPr>
        <w:pStyle w:val="21"/>
      </w:pPr>
    </w:p>
    <w:p w:rsidR="00F07E05" w:rsidRPr="00FD15F7" w:rsidRDefault="00F07E05" w:rsidP="00F07E05">
      <w:pPr>
        <w:pStyle w:val="a7"/>
        <w:ind w:left="0" w:firstLine="360"/>
        <w:jc w:val="right"/>
        <w:rPr>
          <w:sz w:val="28"/>
          <w:szCs w:val="28"/>
        </w:rPr>
      </w:pPr>
      <w:r w:rsidRPr="00FD15F7">
        <w:rPr>
          <w:sz w:val="28"/>
          <w:szCs w:val="28"/>
        </w:rPr>
        <w:t>тыс. руб.</w:t>
      </w:r>
    </w:p>
    <w:tbl>
      <w:tblPr>
        <w:tblW w:w="9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1"/>
        <w:gridCol w:w="2531"/>
        <w:gridCol w:w="1374"/>
        <w:gridCol w:w="1446"/>
        <w:gridCol w:w="1627"/>
      </w:tblGrid>
      <w:tr w:rsidR="00F07E05" w:rsidRPr="00C93A58" w:rsidTr="008A253E">
        <w:trPr>
          <w:trHeight w:val="380"/>
        </w:trPr>
        <w:tc>
          <w:tcPr>
            <w:tcW w:w="2531" w:type="dxa"/>
            <w:noWrap/>
          </w:tcPr>
          <w:p w:rsidR="00F07E05" w:rsidRPr="00C93A58" w:rsidRDefault="00F07E05" w:rsidP="008A253E">
            <w:pPr>
              <w:rPr>
                <w:b/>
                <w:sz w:val="20"/>
                <w:szCs w:val="20"/>
              </w:rPr>
            </w:pPr>
            <w:r w:rsidRPr="00C93A58">
              <w:rPr>
                <w:b/>
                <w:sz w:val="20"/>
                <w:szCs w:val="20"/>
              </w:rPr>
              <w:t>Код БК</w:t>
            </w:r>
          </w:p>
        </w:tc>
        <w:tc>
          <w:tcPr>
            <w:tcW w:w="2531" w:type="dxa"/>
            <w:noWrap/>
          </w:tcPr>
          <w:p w:rsidR="00F07E05" w:rsidRPr="00C93A58" w:rsidRDefault="00F07E05" w:rsidP="008A253E">
            <w:pPr>
              <w:rPr>
                <w:b/>
                <w:sz w:val="20"/>
                <w:szCs w:val="20"/>
              </w:rPr>
            </w:pPr>
            <w:r w:rsidRPr="00C93A58">
              <w:rPr>
                <w:b/>
                <w:sz w:val="20"/>
                <w:szCs w:val="20"/>
              </w:rPr>
              <w:t>Наименование</w:t>
            </w:r>
          </w:p>
        </w:tc>
        <w:tc>
          <w:tcPr>
            <w:tcW w:w="1374" w:type="dxa"/>
          </w:tcPr>
          <w:p w:rsidR="00F07E05" w:rsidRPr="00C93A58" w:rsidRDefault="00F07E05" w:rsidP="008A253E">
            <w:pPr>
              <w:jc w:val="center"/>
              <w:rPr>
                <w:b/>
                <w:sz w:val="20"/>
                <w:szCs w:val="20"/>
              </w:rPr>
            </w:pPr>
            <w:r w:rsidRPr="00C93A58">
              <w:rPr>
                <w:b/>
                <w:sz w:val="20"/>
                <w:szCs w:val="20"/>
              </w:rPr>
              <w:t>Прогноз на</w:t>
            </w:r>
          </w:p>
          <w:p w:rsidR="00F07E05" w:rsidRPr="00C93A58" w:rsidRDefault="00F07E05" w:rsidP="008A253E">
            <w:pPr>
              <w:jc w:val="center"/>
              <w:rPr>
                <w:b/>
                <w:sz w:val="20"/>
                <w:szCs w:val="20"/>
              </w:rPr>
            </w:pPr>
            <w:r w:rsidRPr="00C93A58">
              <w:rPr>
                <w:b/>
                <w:sz w:val="20"/>
                <w:szCs w:val="20"/>
              </w:rPr>
              <w:t>20</w:t>
            </w:r>
            <w:r>
              <w:rPr>
                <w:b/>
                <w:sz w:val="20"/>
                <w:szCs w:val="20"/>
              </w:rPr>
              <w:t xml:space="preserve">22 </w:t>
            </w:r>
            <w:r w:rsidRPr="00C93A58">
              <w:rPr>
                <w:b/>
                <w:sz w:val="20"/>
                <w:szCs w:val="20"/>
              </w:rPr>
              <w:t xml:space="preserve">год </w:t>
            </w:r>
          </w:p>
          <w:p w:rsidR="00F07E05" w:rsidRPr="00C93A58" w:rsidRDefault="00F07E05" w:rsidP="008A253E">
            <w:pPr>
              <w:jc w:val="center"/>
              <w:rPr>
                <w:b/>
                <w:sz w:val="20"/>
                <w:szCs w:val="20"/>
              </w:rPr>
            </w:pPr>
            <w:r>
              <w:rPr>
                <w:b/>
                <w:sz w:val="20"/>
                <w:szCs w:val="20"/>
              </w:rPr>
              <w:t xml:space="preserve"> </w:t>
            </w:r>
          </w:p>
          <w:p w:rsidR="00F07E05" w:rsidRPr="00C93A58" w:rsidRDefault="00F07E05" w:rsidP="008A253E">
            <w:pPr>
              <w:jc w:val="center"/>
              <w:rPr>
                <w:b/>
                <w:sz w:val="20"/>
                <w:szCs w:val="20"/>
              </w:rPr>
            </w:pPr>
          </w:p>
        </w:tc>
        <w:tc>
          <w:tcPr>
            <w:tcW w:w="1446" w:type="dxa"/>
          </w:tcPr>
          <w:p w:rsidR="00F07E05" w:rsidRPr="00C93A58" w:rsidRDefault="00F07E05" w:rsidP="008A253E">
            <w:pPr>
              <w:jc w:val="center"/>
              <w:rPr>
                <w:b/>
                <w:sz w:val="20"/>
                <w:szCs w:val="20"/>
              </w:rPr>
            </w:pPr>
            <w:r w:rsidRPr="00C93A58">
              <w:rPr>
                <w:b/>
                <w:sz w:val="20"/>
                <w:szCs w:val="20"/>
              </w:rPr>
              <w:t>Прогноз на</w:t>
            </w:r>
          </w:p>
          <w:p w:rsidR="00F07E05" w:rsidRPr="00C93A58" w:rsidRDefault="00F07E05" w:rsidP="008A253E">
            <w:pPr>
              <w:jc w:val="center"/>
              <w:rPr>
                <w:b/>
                <w:sz w:val="20"/>
                <w:szCs w:val="20"/>
              </w:rPr>
            </w:pPr>
            <w:r w:rsidRPr="00C93A58">
              <w:rPr>
                <w:b/>
                <w:sz w:val="20"/>
                <w:szCs w:val="20"/>
              </w:rPr>
              <w:t>20</w:t>
            </w:r>
            <w:r>
              <w:rPr>
                <w:b/>
                <w:sz w:val="20"/>
                <w:szCs w:val="20"/>
              </w:rPr>
              <w:t xml:space="preserve">23 </w:t>
            </w:r>
            <w:r w:rsidRPr="00C93A58">
              <w:rPr>
                <w:b/>
                <w:sz w:val="20"/>
                <w:szCs w:val="20"/>
              </w:rPr>
              <w:t>год</w:t>
            </w:r>
          </w:p>
          <w:p w:rsidR="00F07E05" w:rsidRPr="00C93A58" w:rsidRDefault="00F07E05" w:rsidP="008A253E">
            <w:pPr>
              <w:jc w:val="center"/>
              <w:rPr>
                <w:b/>
                <w:sz w:val="20"/>
                <w:szCs w:val="20"/>
              </w:rPr>
            </w:pPr>
            <w:r>
              <w:rPr>
                <w:b/>
                <w:sz w:val="20"/>
                <w:szCs w:val="20"/>
              </w:rPr>
              <w:t xml:space="preserve"> </w:t>
            </w:r>
          </w:p>
          <w:p w:rsidR="00F07E05" w:rsidRPr="00C93A58" w:rsidRDefault="00F07E05" w:rsidP="008A253E">
            <w:pPr>
              <w:jc w:val="center"/>
              <w:rPr>
                <w:b/>
                <w:sz w:val="20"/>
                <w:szCs w:val="20"/>
              </w:rPr>
            </w:pPr>
            <w:r w:rsidRPr="00C93A58">
              <w:rPr>
                <w:b/>
                <w:sz w:val="20"/>
                <w:szCs w:val="20"/>
              </w:rPr>
              <w:t xml:space="preserve"> </w:t>
            </w:r>
          </w:p>
        </w:tc>
        <w:tc>
          <w:tcPr>
            <w:tcW w:w="1627" w:type="dxa"/>
          </w:tcPr>
          <w:p w:rsidR="00F07E05" w:rsidRPr="00C93A58" w:rsidRDefault="00F07E05" w:rsidP="008A253E">
            <w:pPr>
              <w:jc w:val="center"/>
              <w:rPr>
                <w:b/>
                <w:sz w:val="20"/>
                <w:szCs w:val="20"/>
              </w:rPr>
            </w:pPr>
            <w:r w:rsidRPr="00C93A58">
              <w:rPr>
                <w:b/>
                <w:sz w:val="20"/>
                <w:szCs w:val="20"/>
              </w:rPr>
              <w:t>Прогноз на</w:t>
            </w:r>
          </w:p>
          <w:p w:rsidR="00F07E05" w:rsidRPr="00C93A58" w:rsidRDefault="00F07E05" w:rsidP="008A253E">
            <w:pPr>
              <w:jc w:val="center"/>
              <w:rPr>
                <w:b/>
                <w:sz w:val="20"/>
                <w:szCs w:val="20"/>
              </w:rPr>
            </w:pPr>
            <w:r w:rsidRPr="00C93A58">
              <w:rPr>
                <w:b/>
                <w:sz w:val="20"/>
                <w:szCs w:val="20"/>
              </w:rPr>
              <w:t>202</w:t>
            </w:r>
            <w:r>
              <w:rPr>
                <w:b/>
                <w:sz w:val="20"/>
                <w:szCs w:val="20"/>
              </w:rPr>
              <w:t>4</w:t>
            </w:r>
            <w:r w:rsidRPr="00C93A58">
              <w:rPr>
                <w:b/>
                <w:sz w:val="20"/>
                <w:szCs w:val="20"/>
              </w:rPr>
              <w:t xml:space="preserve"> год</w:t>
            </w:r>
          </w:p>
          <w:p w:rsidR="00F07E05" w:rsidRPr="00C93A58" w:rsidRDefault="00F07E05" w:rsidP="008A253E">
            <w:pPr>
              <w:jc w:val="center"/>
              <w:rPr>
                <w:b/>
                <w:sz w:val="20"/>
                <w:szCs w:val="20"/>
              </w:rPr>
            </w:pPr>
          </w:p>
          <w:p w:rsidR="00F07E05" w:rsidRPr="00C93A58" w:rsidRDefault="00F07E05" w:rsidP="008A253E">
            <w:pPr>
              <w:jc w:val="center"/>
              <w:rPr>
                <w:b/>
                <w:sz w:val="20"/>
                <w:szCs w:val="20"/>
              </w:rPr>
            </w:pPr>
          </w:p>
        </w:tc>
      </w:tr>
      <w:tr w:rsidR="00F07E05" w:rsidRPr="00C93A58" w:rsidTr="008A253E">
        <w:trPr>
          <w:trHeight w:val="950"/>
        </w:trPr>
        <w:tc>
          <w:tcPr>
            <w:tcW w:w="2531" w:type="dxa"/>
            <w:noWrap/>
          </w:tcPr>
          <w:p w:rsidR="00F07E05" w:rsidRPr="00C93A58" w:rsidRDefault="00F07E05" w:rsidP="008A253E">
            <w:pPr>
              <w:jc w:val="center"/>
              <w:rPr>
                <w:b/>
                <w:sz w:val="16"/>
                <w:szCs w:val="16"/>
              </w:rPr>
            </w:pPr>
          </w:p>
          <w:p w:rsidR="00F07E05" w:rsidRPr="00C93A58" w:rsidRDefault="00F07E05" w:rsidP="008A253E">
            <w:pPr>
              <w:jc w:val="center"/>
              <w:rPr>
                <w:b/>
                <w:sz w:val="16"/>
                <w:szCs w:val="16"/>
              </w:rPr>
            </w:pPr>
          </w:p>
          <w:p w:rsidR="00F07E05" w:rsidRPr="00C93A58" w:rsidRDefault="00F07E05" w:rsidP="008A253E">
            <w:pPr>
              <w:jc w:val="center"/>
              <w:rPr>
                <w:b/>
                <w:sz w:val="16"/>
                <w:szCs w:val="16"/>
              </w:rPr>
            </w:pPr>
            <w:r w:rsidRPr="00C93A58">
              <w:rPr>
                <w:b/>
                <w:sz w:val="16"/>
                <w:szCs w:val="16"/>
              </w:rPr>
              <w:t>000</w:t>
            </w:r>
            <w:r w:rsidRPr="00C93A58">
              <w:rPr>
                <w:b/>
                <w:sz w:val="16"/>
                <w:szCs w:val="16"/>
                <w:lang w:val="en-US"/>
              </w:rPr>
              <w:t xml:space="preserve"> 1 13 0</w:t>
            </w:r>
            <w:r w:rsidRPr="00C93A58">
              <w:rPr>
                <w:b/>
                <w:sz w:val="16"/>
                <w:szCs w:val="16"/>
              </w:rPr>
              <w:t>2990</w:t>
            </w:r>
            <w:r w:rsidRPr="00C93A58">
              <w:rPr>
                <w:b/>
                <w:sz w:val="16"/>
                <w:szCs w:val="16"/>
                <w:lang w:val="en-US"/>
              </w:rPr>
              <w:t xml:space="preserve"> 0</w:t>
            </w:r>
            <w:r w:rsidRPr="00C93A58">
              <w:rPr>
                <w:b/>
                <w:sz w:val="16"/>
                <w:szCs w:val="16"/>
              </w:rPr>
              <w:t>0</w:t>
            </w:r>
            <w:r w:rsidRPr="00C93A58">
              <w:rPr>
                <w:b/>
                <w:sz w:val="16"/>
                <w:szCs w:val="16"/>
                <w:lang w:val="en-US"/>
              </w:rPr>
              <w:t xml:space="preserve"> 0</w:t>
            </w:r>
            <w:r w:rsidRPr="00C93A58">
              <w:rPr>
                <w:b/>
                <w:sz w:val="16"/>
                <w:szCs w:val="16"/>
              </w:rPr>
              <w:t>000 130</w:t>
            </w:r>
          </w:p>
        </w:tc>
        <w:tc>
          <w:tcPr>
            <w:tcW w:w="2531" w:type="dxa"/>
          </w:tcPr>
          <w:p w:rsidR="00F07E05" w:rsidRPr="00C93A58" w:rsidRDefault="00F07E05" w:rsidP="008A253E">
            <w:pPr>
              <w:rPr>
                <w:sz w:val="20"/>
                <w:szCs w:val="20"/>
              </w:rPr>
            </w:pPr>
          </w:p>
          <w:p w:rsidR="00F07E05" w:rsidRPr="00C93A58" w:rsidRDefault="00F07E05" w:rsidP="008A253E">
            <w:pPr>
              <w:rPr>
                <w:sz w:val="20"/>
                <w:szCs w:val="20"/>
              </w:rPr>
            </w:pPr>
            <w:r w:rsidRPr="00C93A58">
              <w:rPr>
                <w:sz w:val="20"/>
                <w:szCs w:val="20"/>
              </w:rPr>
              <w:t xml:space="preserve">Прочие доходы от компенсации затрат государства </w:t>
            </w:r>
          </w:p>
        </w:tc>
        <w:tc>
          <w:tcPr>
            <w:tcW w:w="1374" w:type="dxa"/>
            <w:noWrap/>
          </w:tcPr>
          <w:p w:rsidR="00F07E05" w:rsidRDefault="00F07E05" w:rsidP="008A253E">
            <w:pPr>
              <w:ind w:hanging="108"/>
              <w:jc w:val="center"/>
              <w:rPr>
                <w:sz w:val="20"/>
                <w:szCs w:val="20"/>
              </w:rPr>
            </w:pPr>
          </w:p>
          <w:p w:rsidR="00F07E05" w:rsidRPr="00C93A58" w:rsidRDefault="00F07E05" w:rsidP="008A253E">
            <w:pPr>
              <w:ind w:hanging="108"/>
              <w:jc w:val="center"/>
              <w:rPr>
                <w:sz w:val="20"/>
                <w:szCs w:val="20"/>
              </w:rPr>
            </w:pPr>
            <w:r>
              <w:rPr>
                <w:sz w:val="20"/>
                <w:szCs w:val="20"/>
              </w:rPr>
              <w:t>699,7</w:t>
            </w:r>
          </w:p>
        </w:tc>
        <w:tc>
          <w:tcPr>
            <w:tcW w:w="1446" w:type="dxa"/>
            <w:noWrap/>
          </w:tcPr>
          <w:p w:rsidR="00F07E05" w:rsidRDefault="00F07E05" w:rsidP="008A253E">
            <w:pPr>
              <w:ind w:left="-136" w:right="-108" w:hanging="28"/>
              <w:jc w:val="center"/>
              <w:rPr>
                <w:sz w:val="20"/>
                <w:szCs w:val="20"/>
              </w:rPr>
            </w:pPr>
          </w:p>
          <w:p w:rsidR="00F07E05" w:rsidRPr="00C93A58" w:rsidRDefault="00F07E05" w:rsidP="008A253E">
            <w:pPr>
              <w:ind w:left="-136" w:right="-108" w:hanging="28"/>
              <w:jc w:val="center"/>
              <w:rPr>
                <w:sz w:val="20"/>
                <w:szCs w:val="20"/>
              </w:rPr>
            </w:pPr>
            <w:r>
              <w:rPr>
                <w:sz w:val="20"/>
                <w:szCs w:val="20"/>
              </w:rPr>
              <w:t>699,7</w:t>
            </w:r>
          </w:p>
        </w:tc>
        <w:tc>
          <w:tcPr>
            <w:tcW w:w="1627" w:type="dxa"/>
            <w:noWrap/>
          </w:tcPr>
          <w:p w:rsidR="00F07E05" w:rsidRDefault="00F07E05" w:rsidP="008A253E">
            <w:pPr>
              <w:ind w:left="-108" w:right="-3" w:hanging="108"/>
              <w:jc w:val="center"/>
              <w:rPr>
                <w:sz w:val="20"/>
                <w:szCs w:val="20"/>
              </w:rPr>
            </w:pPr>
          </w:p>
          <w:p w:rsidR="00F07E05" w:rsidRPr="00C93A58" w:rsidRDefault="00F07E05" w:rsidP="008A253E">
            <w:pPr>
              <w:ind w:left="-108" w:right="-3" w:hanging="108"/>
              <w:jc w:val="center"/>
              <w:rPr>
                <w:sz w:val="20"/>
                <w:szCs w:val="20"/>
              </w:rPr>
            </w:pPr>
            <w:r>
              <w:rPr>
                <w:sz w:val="20"/>
                <w:szCs w:val="20"/>
              </w:rPr>
              <w:t>699,7</w:t>
            </w:r>
          </w:p>
        </w:tc>
      </w:tr>
    </w:tbl>
    <w:p w:rsidR="00F07E05" w:rsidRPr="00C93A58" w:rsidRDefault="00F07E05" w:rsidP="00F07E05">
      <w:pPr>
        <w:ind w:firstLine="720"/>
        <w:jc w:val="both"/>
        <w:rPr>
          <w:b/>
          <w:sz w:val="28"/>
          <w:szCs w:val="28"/>
        </w:rPr>
      </w:pPr>
    </w:p>
    <w:p w:rsidR="00F07E05" w:rsidRDefault="00F07E05" w:rsidP="00F07E05">
      <w:pPr>
        <w:ind w:firstLine="720"/>
        <w:jc w:val="both"/>
        <w:rPr>
          <w:sz w:val="28"/>
          <w:szCs w:val="28"/>
        </w:rPr>
      </w:pPr>
      <w:r w:rsidRPr="00C93A58">
        <w:rPr>
          <w:sz w:val="28"/>
          <w:szCs w:val="28"/>
        </w:rPr>
        <w:t>В соответствии с Методикой прогнозирования утвержденной приказом Министерства сельского хозяйства Тверской области от 31.08.2016 № 120 «Об утверждении Методики прогн</w:t>
      </w:r>
      <w:r>
        <w:rPr>
          <w:sz w:val="28"/>
          <w:szCs w:val="28"/>
        </w:rPr>
        <w:t xml:space="preserve">озирования поступлений доходов» (с изменениями и дополнениями) </w:t>
      </w:r>
      <w:r w:rsidRPr="00C93A58">
        <w:rPr>
          <w:sz w:val="28"/>
          <w:szCs w:val="28"/>
        </w:rPr>
        <w:t xml:space="preserve">прогнозирование поступлений в областной бюджет прочих доходов от компенсации затрат бюджетов субъектов Российской Федерации осуществляется </w:t>
      </w:r>
      <w:r>
        <w:rPr>
          <w:sz w:val="28"/>
          <w:szCs w:val="28"/>
        </w:rPr>
        <w:t>методом экстраполяции по минимальному значению за трои года, предшествующих текущему финансовому году.</w:t>
      </w:r>
    </w:p>
    <w:p w:rsidR="00F07E05" w:rsidRDefault="00F07E05" w:rsidP="00F07E05">
      <w:pPr>
        <w:ind w:firstLine="720"/>
        <w:jc w:val="right"/>
        <w:rPr>
          <w:sz w:val="28"/>
          <w:szCs w:val="28"/>
        </w:rPr>
      </w:pPr>
      <w:r>
        <w:rPr>
          <w:sz w:val="28"/>
          <w:szCs w:val="28"/>
        </w:rPr>
        <w:t>тыс. руб.</w:t>
      </w:r>
    </w:p>
    <w:tbl>
      <w:tblPr>
        <w:tblW w:w="10491" w:type="dxa"/>
        <w:tblInd w:w="-998" w:type="dxa"/>
        <w:tblLook w:val="04A0" w:firstRow="1" w:lastRow="0" w:firstColumn="1" w:lastColumn="0" w:noHBand="0" w:noVBand="1"/>
      </w:tblPr>
      <w:tblGrid>
        <w:gridCol w:w="720"/>
        <w:gridCol w:w="3082"/>
        <w:gridCol w:w="1276"/>
        <w:gridCol w:w="1147"/>
        <w:gridCol w:w="1147"/>
        <w:gridCol w:w="992"/>
        <w:gridCol w:w="993"/>
        <w:gridCol w:w="1134"/>
      </w:tblGrid>
      <w:tr w:rsidR="00F07E05" w:rsidRPr="00EC70DE" w:rsidTr="008A253E">
        <w:trPr>
          <w:trHeight w:val="525"/>
        </w:trPr>
        <w:tc>
          <w:tcPr>
            <w:tcW w:w="7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7E05" w:rsidRPr="00EC70DE" w:rsidRDefault="00F07E05" w:rsidP="008A253E">
            <w:pPr>
              <w:jc w:val="center"/>
              <w:rPr>
                <w:sz w:val="22"/>
                <w:szCs w:val="22"/>
              </w:rPr>
            </w:pPr>
            <w:r w:rsidRPr="00EC70DE">
              <w:rPr>
                <w:sz w:val="22"/>
                <w:szCs w:val="22"/>
              </w:rPr>
              <w:t>№</w:t>
            </w:r>
          </w:p>
        </w:tc>
        <w:tc>
          <w:tcPr>
            <w:tcW w:w="30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7E05" w:rsidRPr="00EC70DE" w:rsidRDefault="00F07E05" w:rsidP="008A253E">
            <w:pPr>
              <w:jc w:val="center"/>
              <w:rPr>
                <w:sz w:val="22"/>
                <w:szCs w:val="22"/>
              </w:rPr>
            </w:pPr>
            <w:r w:rsidRPr="00EC70DE">
              <w:rPr>
                <w:sz w:val="22"/>
                <w:szCs w:val="22"/>
              </w:rPr>
              <w:t>Наименование кода классификации доходов</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7E05" w:rsidRPr="00EC70DE" w:rsidRDefault="00F07E05" w:rsidP="008A253E">
            <w:pPr>
              <w:jc w:val="center"/>
              <w:rPr>
                <w:sz w:val="22"/>
                <w:szCs w:val="22"/>
              </w:rPr>
            </w:pPr>
            <w:r w:rsidRPr="00EC70DE">
              <w:rPr>
                <w:sz w:val="22"/>
                <w:szCs w:val="22"/>
              </w:rPr>
              <w:t>Факт 201</w:t>
            </w:r>
            <w:r>
              <w:rPr>
                <w:sz w:val="22"/>
                <w:szCs w:val="22"/>
              </w:rPr>
              <w:t>8</w:t>
            </w:r>
            <w:r w:rsidRPr="00EC70DE">
              <w:rPr>
                <w:sz w:val="22"/>
                <w:szCs w:val="22"/>
              </w:rPr>
              <w:t xml:space="preserve"> год </w:t>
            </w:r>
          </w:p>
        </w:tc>
        <w:tc>
          <w:tcPr>
            <w:tcW w:w="11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7E05" w:rsidRPr="00EC70DE" w:rsidRDefault="00F07E05" w:rsidP="008A253E">
            <w:pPr>
              <w:jc w:val="center"/>
              <w:rPr>
                <w:sz w:val="22"/>
                <w:szCs w:val="22"/>
              </w:rPr>
            </w:pPr>
            <w:r w:rsidRPr="00EC70DE">
              <w:rPr>
                <w:sz w:val="22"/>
                <w:szCs w:val="22"/>
              </w:rPr>
              <w:t>Факт 201</w:t>
            </w:r>
            <w:r>
              <w:rPr>
                <w:sz w:val="22"/>
                <w:szCs w:val="22"/>
              </w:rPr>
              <w:t xml:space="preserve">9 </w:t>
            </w:r>
            <w:r w:rsidRPr="00EC70DE">
              <w:rPr>
                <w:sz w:val="22"/>
                <w:szCs w:val="22"/>
              </w:rPr>
              <w:t xml:space="preserve">год </w:t>
            </w:r>
          </w:p>
        </w:tc>
        <w:tc>
          <w:tcPr>
            <w:tcW w:w="11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7E05" w:rsidRPr="00EC70DE" w:rsidRDefault="00F07E05" w:rsidP="008A253E">
            <w:pPr>
              <w:jc w:val="center"/>
              <w:rPr>
                <w:sz w:val="22"/>
                <w:szCs w:val="22"/>
              </w:rPr>
            </w:pPr>
            <w:r w:rsidRPr="00EC70DE">
              <w:rPr>
                <w:sz w:val="22"/>
                <w:szCs w:val="22"/>
              </w:rPr>
              <w:t xml:space="preserve">Факт 2019 год </w:t>
            </w:r>
          </w:p>
        </w:tc>
        <w:tc>
          <w:tcPr>
            <w:tcW w:w="3119"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7E05" w:rsidRPr="00EC70DE" w:rsidRDefault="00F07E05" w:rsidP="005E37D3">
            <w:pPr>
              <w:jc w:val="center"/>
              <w:rPr>
                <w:sz w:val="22"/>
                <w:szCs w:val="22"/>
              </w:rPr>
            </w:pPr>
            <w:r w:rsidRPr="00EC70DE">
              <w:rPr>
                <w:sz w:val="22"/>
                <w:szCs w:val="22"/>
              </w:rPr>
              <w:t>Прогноз 202</w:t>
            </w:r>
            <w:r w:rsidR="005E37D3">
              <w:rPr>
                <w:sz w:val="22"/>
                <w:szCs w:val="22"/>
              </w:rPr>
              <w:t>2</w:t>
            </w:r>
            <w:r w:rsidRPr="00EC70DE">
              <w:rPr>
                <w:sz w:val="22"/>
                <w:szCs w:val="22"/>
              </w:rPr>
              <w:t xml:space="preserve"> - 202</w:t>
            </w:r>
            <w:r w:rsidR="005E37D3">
              <w:rPr>
                <w:sz w:val="22"/>
                <w:szCs w:val="22"/>
              </w:rPr>
              <w:t>4</w:t>
            </w:r>
            <w:r w:rsidRPr="00EC70DE">
              <w:rPr>
                <w:sz w:val="22"/>
                <w:szCs w:val="22"/>
              </w:rPr>
              <w:t xml:space="preserve"> </w:t>
            </w:r>
          </w:p>
        </w:tc>
      </w:tr>
      <w:tr w:rsidR="00F07E05" w:rsidRPr="00EC70DE" w:rsidTr="008A253E">
        <w:trPr>
          <w:trHeight w:val="276"/>
        </w:trPr>
        <w:tc>
          <w:tcPr>
            <w:tcW w:w="7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07E05" w:rsidRPr="00EC70DE" w:rsidRDefault="00F07E05" w:rsidP="008A253E">
            <w:pPr>
              <w:rPr>
                <w:sz w:val="22"/>
                <w:szCs w:val="22"/>
              </w:rPr>
            </w:pPr>
          </w:p>
        </w:tc>
        <w:tc>
          <w:tcPr>
            <w:tcW w:w="30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07E05" w:rsidRPr="00EC70DE" w:rsidRDefault="00F07E05" w:rsidP="008A253E">
            <w:pPr>
              <w:rPr>
                <w:sz w:val="22"/>
                <w:szCs w:val="22"/>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07E05" w:rsidRPr="00EC70DE" w:rsidRDefault="00F07E05" w:rsidP="008A253E">
            <w:pPr>
              <w:rPr>
                <w:sz w:val="22"/>
                <w:szCs w:val="22"/>
              </w:rPr>
            </w:pPr>
          </w:p>
        </w:tc>
        <w:tc>
          <w:tcPr>
            <w:tcW w:w="11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07E05" w:rsidRPr="00EC70DE" w:rsidRDefault="00F07E05" w:rsidP="008A253E">
            <w:pPr>
              <w:rPr>
                <w:sz w:val="22"/>
                <w:szCs w:val="22"/>
              </w:rPr>
            </w:pPr>
          </w:p>
        </w:tc>
        <w:tc>
          <w:tcPr>
            <w:tcW w:w="11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07E05" w:rsidRPr="00EC70DE" w:rsidRDefault="00F07E05" w:rsidP="008A253E">
            <w:pPr>
              <w:rPr>
                <w:sz w:val="22"/>
                <w:szCs w:val="22"/>
              </w:rPr>
            </w:pPr>
          </w:p>
        </w:tc>
        <w:tc>
          <w:tcPr>
            <w:tcW w:w="3119"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07E05" w:rsidRPr="00EC70DE" w:rsidRDefault="00F07E05" w:rsidP="008A253E">
            <w:pPr>
              <w:rPr>
                <w:sz w:val="22"/>
                <w:szCs w:val="22"/>
              </w:rPr>
            </w:pPr>
          </w:p>
        </w:tc>
      </w:tr>
      <w:tr w:rsidR="00F07E05" w:rsidRPr="00EC70DE" w:rsidTr="008A253E">
        <w:trPr>
          <w:trHeight w:val="297"/>
        </w:trPr>
        <w:tc>
          <w:tcPr>
            <w:tcW w:w="7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07E05" w:rsidRPr="00EC70DE" w:rsidRDefault="00F07E05" w:rsidP="008A253E">
            <w:pPr>
              <w:rPr>
                <w:sz w:val="22"/>
                <w:szCs w:val="22"/>
              </w:rPr>
            </w:pPr>
          </w:p>
        </w:tc>
        <w:tc>
          <w:tcPr>
            <w:tcW w:w="30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07E05" w:rsidRPr="00EC70DE" w:rsidRDefault="00F07E05" w:rsidP="008A253E">
            <w:pPr>
              <w:rPr>
                <w:sz w:val="22"/>
                <w:szCs w:val="22"/>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07E05" w:rsidRPr="00EC70DE" w:rsidRDefault="00F07E05" w:rsidP="008A253E">
            <w:pPr>
              <w:rPr>
                <w:sz w:val="22"/>
                <w:szCs w:val="22"/>
              </w:rPr>
            </w:pPr>
          </w:p>
        </w:tc>
        <w:tc>
          <w:tcPr>
            <w:tcW w:w="11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07E05" w:rsidRPr="00EC70DE" w:rsidRDefault="00F07E05" w:rsidP="008A253E">
            <w:pPr>
              <w:rPr>
                <w:sz w:val="22"/>
                <w:szCs w:val="22"/>
              </w:rPr>
            </w:pPr>
          </w:p>
        </w:tc>
        <w:tc>
          <w:tcPr>
            <w:tcW w:w="11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07E05" w:rsidRPr="00EC70DE" w:rsidRDefault="00F07E05" w:rsidP="008A253E">
            <w:pPr>
              <w:rPr>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F07E05" w:rsidRPr="00EC70DE" w:rsidRDefault="00F07E05" w:rsidP="005E37D3">
            <w:pPr>
              <w:jc w:val="center"/>
              <w:rPr>
                <w:sz w:val="22"/>
                <w:szCs w:val="22"/>
              </w:rPr>
            </w:pPr>
            <w:r w:rsidRPr="00EC70DE">
              <w:rPr>
                <w:sz w:val="22"/>
                <w:szCs w:val="22"/>
              </w:rPr>
              <w:t>202</w:t>
            </w:r>
            <w:r w:rsidR="005E37D3">
              <w:rPr>
                <w:sz w:val="22"/>
                <w:szCs w:val="22"/>
              </w:rPr>
              <w:t>2</w:t>
            </w:r>
          </w:p>
        </w:tc>
        <w:tc>
          <w:tcPr>
            <w:tcW w:w="993" w:type="dxa"/>
            <w:tcBorders>
              <w:top w:val="nil"/>
              <w:left w:val="nil"/>
              <w:bottom w:val="single" w:sz="4" w:space="0" w:color="auto"/>
              <w:right w:val="single" w:sz="4" w:space="0" w:color="auto"/>
            </w:tcBorders>
            <w:shd w:val="clear" w:color="auto" w:fill="auto"/>
            <w:noWrap/>
            <w:vAlign w:val="center"/>
            <w:hideMark/>
          </w:tcPr>
          <w:p w:rsidR="00F07E05" w:rsidRPr="00EC70DE" w:rsidRDefault="00F07E05" w:rsidP="005E37D3">
            <w:pPr>
              <w:jc w:val="center"/>
              <w:rPr>
                <w:sz w:val="22"/>
                <w:szCs w:val="22"/>
              </w:rPr>
            </w:pPr>
            <w:r w:rsidRPr="00EC70DE">
              <w:rPr>
                <w:sz w:val="22"/>
                <w:szCs w:val="22"/>
              </w:rPr>
              <w:t>202</w:t>
            </w:r>
            <w:r w:rsidR="005E37D3">
              <w:rPr>
                <w:sz w:val="22"/>
                <w:szCs w:val="22"/>
              </w:rPr>
              <w:t>3</w:t>
            </w:r>
          </w:p>
        </w:tc>
        <w:tc>
          <w:tcPr>
            <w:tcW w:w="1134" w:type="dxa"/>
            <w:tcBorders>
              <w:top w:val="nil"/>
              <w:left w:val="nil"/>
              <w:bottom w:val="single" w:sz="4" w:space="0" w:color="auto"/>
              <w:right w:val="single" w:sz="4" w:space="0" w:color="auto"/>
            </w:tcBorders>
            <w:shd w:val="clear" w:color="auto" w:fill="auto"/>
            <w:noWrap/>
            <w:vAlign w:val="center"/>
            <w:hideMark/>
          </w:tcPr>
          <w:p w:rsidR="00F07E05" w:rsidRPr="00EC70DE" w:rsidRDefault="00F07E05" w:rsidP="005E37D3">
            <w:pPr>
              <w:jc w:val="center"/>
            </w:pPr>
            <w:r w:rsidRPr="00EC70DE">
              <w:t>202</w:t>
            </w:r>
            <w:r w:rsidR="005E37D3">
              <w:t>4</w:t>
            </w:r>
          </w:p>
        </w:tc>
      </w:tr>
      <w:tr w:rsidR="00F07E05" w:rsidRPr="00EC70DE" w:rsidTr="008A253E">
        <w:trPr>
          <w:trHeight w:val="144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F07E05" w:rsidRPr="00EC70DE" w:rsidRDefault="00F07E05" w:rsidP="008A253E">
            <w:pPr>
              <w:jc w:val="center"/>
              <w:rPr>
                <w:sz w:val="22"/>
                <w:szCs w:val="22"/>
              </w:rPr>
            </w:pPr>
          </w:p>
        </w:tc>
        <w:tc>
          <w:tcPr>
            <w:tcW w:w="3082" w:type="dxa"/>
            <w:tcBorders>
              <w:top w:val="nil"/>
              <w:left w:val="nil"/>
              <w:bottom w:val="single" w:sz="4" w:space="0" w:color="auto"/>
              <w:right w:val="single" w:sz="4" w:space="0" w:color="auto"/>
            </w:tcBorders>
            <w:shd w:val="clear" w:color="auto" w:fill="auto"/>
            <w:vAlign w:val="bottom"/>
            <w:hideMark/>
          </w:tcPr>
          <w:p w:rsidR="00F07E05" w:rsidRPr="00EC70DE" w:rsidRDefault="00F07E05" w:rsidP="008A253E">
            <w:pPr>
              <w:rPr>
                <w:sz w:val="22"/>
                <w:szCs w:val="22"/>
              </w:rPr>
            </w:pPr>
            <w:r w:rsidRPr="00EC70DE">
              <w:rPr>
                <w:sz w:val="22"/>
                <w:szCs w:val="22"/>
              </w:rPr>
              <w:t>Прочие доходы от компенсации затрат бюджетов субъектов Российской Федерации (средства от возврата дебиторской задолженности прошлых лет) 034 1 13 02992 02 0426 130</w:t>
            </w:r>
          </w:p>
        </w:tc>
        <w:tc>
          <w:tcPr>
            <w:tcW w:w="1276" w:type="dxa"/>
            <w:tcBorders>
              <w:top w:val="nil"/>
              <w:left w:val="nil"/>
              <w:bottom w:val="single" w:sz="4" w:space="0" w:color="auto"/>
              <w:right w:val="single" w:sz="4" w:space="0" w:color="auto"/>
            </w:tcBorders>
            <w:shd w:val="clear" w:color="auto" w:fill="auto"/>
            <w:noWrap/>
            <w:hideMark/>
          </w:tcPr>
          <w:p w:rsidR="00F07E05" w:rsidRPr="00252806" w:rsidRDefault="00F07E05" w:rsidP="008A253E">
            <w:r w:rsidRPr="00252806">
              <w:t>214,3</w:t>
            </w:r>
          </w:p>
        </w:tc>
        <w:tc>
          <w:tcPr>
            <w:tcW w:w="1147" w:type="dxa"/>
            <w:tcBorders>
              <w:top w:val="nil"/>
              <w:left w:val="nil"/>
              <w:bottom w:val="single" w:sz="4" w:space="0" w:color="auto"/>
              <w:right w:val="single" w:sz="4" w:space="0" w:color="auto"/>
            </w:tcBorders>
            <w:shd w:val="clear" w:color="auto" w:fill="auto"/>
            <w:noWrap/>
            <w:hideMark/>
          </w:tcPr>
          <w:p w:rsidR="00F07E05" w:rsidRPr="00252806" w:rsidRDefault="00F07E05" w:rsidP="008A253E">
            <w:r w:rsidRPr="00252806">
              <w:t>121,9</w:t>
            </w:r>
          </w:p>
        </w:tc>
        <w:tc>
          <w:tcPr>
            <w:tcW w:w="1147" w:type="dxa"/>
            <w:tcBorders>
              <w:top w:val="nil"/>
              <w:left w:val="nil"/>
              <w:bottom w:val="single" w:sz="4" w:space="0" w:color="auto"/>
              <w:right w:val="single" w:sz="4" w:space="0" w:color="auto"/>
            </w:tcBorders>
            <w:shd w:val="clear" w:color="auto" w:fill="auto"/>
            <w:noWrap/>
            <w:hideMark/>
          </w:tcPr>
          <w:p w:rsidR="00F07E05" w:rsidRPr="00252806" w:rsidRDefault="00F07E05" w:rsidP="008A253E">
            <w:r w:rsidRPr="00252806">
              <w:t>128,6</w:t>
            </w:r>
          </w:p>
        </w:tc>
        <w:tc>
          <w:tcPr>
            <w:tcW w:w="992" w:type="dxa"/>
            <w:tcBorders>
              <w:top w:val="nil"/>
              <w:left w:val="nil"/>
              <w:bottom w:val="single" w:sz="4" w:space="0" w:color="auto"/>
              <w:right w:val="single" w:sz="4" w:space="0" w:color="auto"/>
            </w:tcBorders>
            <w:shd w:val="clear" w:color="auto" w:fill="auto"/>
            <w:noWrap/>
            <w:hideMark/>
          </w:tcPr>
          <w:p w:rsidR="00F07E05" w:rsidRPr="00252806" w:rsidRDefault="00F07E05" w:rsidP="008A253E">
            <w:r w:rsidRPr="00252806">
              <w:t>121,9</w:t>
            </w:r>
          </w:p>
        </w:tc>
        <w:tc>
          <w:tcPr>
            <w:tcW w:w="993" w:type="dxa"/>
            <w:tcBorders>
              <w:top w:val="nil"/>
              <w:left w:val="nil"/>
              <w:bottom w:val="single" w:sz="4" w:space="0" w:color="auto"/>
              <w:right w:val="single" w:sz="4" w:space="0" w:color="auto"/>
            </w:tcBorders>
            <w:shd w:val="clear" w:color="auto" w:fill="auto"/>
            <w:noWrap/>
            <w:hideMark/>
          </w:tcPr>
          <w:p w:rsidR="00F07E05" w:rsidRPr="00252806" w:rsidRDefault="00F07E05" w:rsidP="008A253E">
            <w:r w:rsidRPr="00252806">
              <w:t>121,9</w:t>
            </w:r>
          </w:p>
        </w:tc>
        <w:tc>
          <w:tcPr>
            <w:tcW w:w="1134" w:type="dxa"/>
            <w:tcBorders>
              <w:top w:val="nil"/>
              <w:left w:val="nil"/>
              <w:bottom w:val="single" w:sz="4" w:space="0" w:color="auto"/>
              <w:right w:val="single" w:sz="4" w:space="0" w:color="auto"/>
            </w:tcBorders>
            <w:shd w:val="clear" w:color="auto" w:fill="auto"/>
            <w:noWrap/>
            <w:hideMark/>
          </w:tcPr>
          <w:p w:rsidR="00F07E05" w:rsidRDefault="00F07E05" w:rsidP="008A253E">
            <w:r w:rsidRPr="00252806">
              <w:t>121,9</w:t>
            </w:r>
          </w:p>
        </w:tc>
      </w:tr>
      <w:tr w:rsidR="00F07E05" w:rsidRPr="00EC70DE" w:rsidTr="008A253E">
        <w:trPr>
          <w:trHeight w:val="156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F07E05" w:rsidRPr="00EC70DE" w:rsidRDefault="00F07E05" w:rsidP="008A253E">
            <w:pPr>
              <w:jc w:val="center"/>
              <w:rPr>
                <w:sz w:val="22"/>
                <w:szCs w:val="22"/>
              </w:rPr>
            </w:pPr>
          </w:p>
        </w:tc>
        <w:tc>
          <w:tcPr>
            <w:tcW w:w="3082" w:type="dxa"/>
            <w:tcBorders>
              <w:top w:val="nil"/>
              <w:left w:val="nil"/>
              <w:bottom w:val="single" w:sz="4" w:space="0" w:color="auto"/>
              <w:right w:val="single" w:sz="4" w:space="0" w:color="auto"/>
            </w:tcBorders>
            <w:shd w:val="clear" w:color="auto" w:fill="auto"/>
            <w:vAlign w:val="bottom"/>
            <w:hideMark/>
          </w:tcPr>
          <w:p w:rsidR="00F07E05" w:rsidRPr="00EC70DE" w:rsidRDefault="00F07E05" w:rsidP="008A253E">
            <w:pPr>
              <w:rPr>
                <w:sz w:val="22"/>
                <w:szCs w:val="22"/>
              </w:rPr>
            </w:pPr>
            <w:r w:rsidRPr="00EC70DE">
              <w:rPr>
                <w:sz w:val="22"/>
                <w:szCs w:val="22"/>
              </w:rPr>
              <w:t>Прочие доходы от компенсации затрат бюджетов субъектов Российской Федерации (иные прочие доходы от компенсации затрат бюджетов субъектов Российской Федерации)</w:t>
            </w:r>
          </w:p>
          <w:p w:rsidR="00F07E05" w:rsidRPr="00EC70DE" w:rsidRDefault="00F07E05" w:rsidP="008A253E">
            <w:pPr>
              <w:rPr>
                <w:sz w:val="22"/>
                <w:szCs w:val="22"/>
              </w:rPr>
            </w:pPr>
            <w:r w:rsidRPr="00EC70DE">
              <w:rPr>
                <w:sz w:val="22"/>
                <w:szCs w:val="22"/>
              </w:rPr>
              <w:t xml:space="preserve"> 034 1 13 02992 02 0430 130</w:t>
            </w:r>
          </w:p>
        </w:tc>
        <w:tc>
          <w:tcPr>
            <w:tcW w:w="1276" w:type="dxa"/>
            <w:tcBorders>
              <w:top w:val="nil"/>
              <w:left w:val="nil"/>
              <w:bottom w:val="single" w:sz="4" w:space="0" w:color="auto"/>
              <w:right w:val="single" w:sz="4" w:space="0" w:color="auto"/>
            </w:tcBorders>
            <w:shd w:val="clear" w:color="auto" w:fill="auto"/>
            <w:noWrap/>
            <w:hideMark/>
          </w:tcPr>
          <w:p w:rsidR="00F07E05" w:rsidRPr="004316BA" w:rsidRDefault="00F07E05" w:rsidP="008A253E">
            <w:r w:rsidRPr="004316BA">
              <w:t>6 459,8</w:t>
            </w:r>
          </w:p>
        </w:tc>
        <w:tc>
          <w:tcPr>
            <w:tcW w:w="1147" w:type="dxa"/>
            <w:tcBorders>
              <w:top w:val="nil"/>
              <w:left w:val="nil"/>
              <w:bottom w:val="single" w:sz="4" w:space="0" w:color="auto"/>
              <w:right w:val="single" w:sz="4" w:space="0" w:color="auto"/>
            </w:tcBorders>
            <w:shd w:val="clear" w:color="auto" w:fill="auto"/>
            <w:noWrap/>
            <w:hideMark/>
          </w:tcPr>
          <w:p w:rsidR="00F07E05" w:rsidRPr="004316BA" w:rsidRDefault="00F07E05" w:rsidP="008A253E">
            <w:r w:rsidRPr="004316BA">
              <w:t>577,8</w:t>
            </w:r>
          </w:p>
        </w:tc>
        <w:tc>
          <w:tcPr>
            <w:tcW w:w="1147" w:type="dxa"/>
            <w:tcBorders>
              <w:top w:val="nil"/>
              <w:left w:val="nil"/>
              <w:bottom w:val="single" w:sz="4" w:space="0" w:color="auto"/>
              <w:right w:val="single" w:sz="4" w:space="0" w:color="auto"/>
            </w:tcBorders>
            <w:shd w:val="clear" w:color="auto" w:fill="auto"/>
            <w:noWrap/>
            <w:hideMark/>
          </w:tcPr>
          <w:p w:rsidR="00F07E05" w:rsidRPr="004316BA" w:rsidRDefault="00F07E05" w:rsidP="008A253E">
            <w:r w:rsidRPr="004316BA">
              <w:t>7 835,0</w:t>
            </w:r>
          </w:p>
        </w:tc>
        <w:tc>
          <w:tcPr>
            <w:tcW w:w="992" w:type="dxa"/>
            <w:tcBorders>
              <w:top w:val="nil"/>
              <w:left w:val="nil"/>
              <w:bottom w:val="single" w:sz="4" w:space="0" w:color="auto"/>
              <w:right w:val="single" w:sz="4" w:space="0" w:color="auto"/>
            </w:tcBorders>
            <w:shd w:val="clear" w:color="auto" w:fill="auto"/>
            <w:noWrap/>
          </w:tcPr>
          <w:p w:rsidR="00F07E05" w:rsidRPr="004316BA" w:rsidRDefault="00F07E05" w:rsidP="008A253E">
            <w:r w:rsidRPr="004316BA">
              <w:t>577,8</w:t>
            </w:r>
          </w:p>
        </w:tc>
        <w:tc>
          <w:tcPr>
            <w:tcW w:w="993" w:type="dxa"/>
            <w:tcBorders>
              <w:top w:val="nil"/>
              <w:left w:val="nil"/>
              <w:bottom w:val="single" w:sz="4" w:space="0" w:color="auto"/>
              <w:right w:val="single" w:sz="4" w:space="0" w:color="auto"/>
            </w:tcBorders>
            <w:shd w:val="clear" w:color="auto" w:fill="auto"/>
            <w:noWrap/>
          </w:tcPr>
          <w:p w:rsidR="00F07E05" w:rsidRPr="004316BA" w:rsidRDefault="00F07E05" w:rsidP="008A253E">
            <w:r w:rsidRPr="004316BA">
              <w:t>577,8</w:t>
            </w:r>
          </w:p>
        </w:tc>
        <w:tc>
          <w:tcPr>
            <w:tcW w:w="1134" w:type="dxa"/>
            <w:tcBorders>
              <w:top w:val="nil"/>
              <w:left w:val="nil"/>
              <w:bottom w:val="single" w:sz="4" w:space="0" w:color="auto"/>
              <w:right w:val="single" w:sz="4" w:space="0" w:color="auto"/>
            </w:tcBorders>
            <w:shd w:val="clear" w:color="auto" w:fill="auto"/>
            <w:noWrap/>
          </w:tcPr>
          <w:p w:rsidR="00F07E05" w:rsidRDefault="00F07E05" w:rsidP="008A253E">
            <w:r w:rsidRPr="004316BA">
              <w:t>577,8</w:t>
            </w:r>
          </w:p>
        </w:tc>
      </w:tr>
    </w:tbl>
    <w:p w:rsidR="00F07E05" w:rsidRDefault="00F07E05" w:rsidP="00F07E05">
      <w:pPr>
        <w:ind w:firstLine="709"/>
        <w:jc w:val="both"/>
        <w:rPr>
          <w:b/>
          <w:sz w:val="28"/>
          <w:szCs w:val="28"/>
        </w:rPr>
      </w:pPr>
    </w:p>
    <w:p w:rsidR="00BB4858" w:rsidRDefault="00BB4858" w:rsidP="00F07E05">
      <w:pPr>
        <w:jc w:val="center"/>
        <w:rPr>
          <w:b/>
          <w:sz w:val="28"/>
          <w:szCs w:val="28"/>
        </w:rPr>
      </w:pPr>
    </w:p>
    <w:p w:rsidR="00F07E05" w:rsidRDefault="00F07E05" w:rsidP="00F07E05">
      <w:pPr>
        <w:jc w:val="center"/>
        <w:rPr>
          <w:b/>
          <w:sz w:val="28"/>
          <w:szCs w:val="28"/>
        </w:rPr>
      </w:pPr>
      <w:r>
        <w:rPr>
          <w:b/>
          <w:sz w:val="28"/>
          <w:szCs w:val="28"/>
        </w:rPr>
        <w:lastRenderedPageBreak/>
        <w:t>Министерство финансов Тверской области</w:t>
      </w:r>
    </w:p>
    <w:p w:rsidR="00F07E05" w:rsidRDefault="00F07E05" w:rsidP="00F07E05">
      <w:pPr>
        <w:jc w:val="right"/>
        <w:rPr>
          <w:b/>
          <w:sz w:val="28"/>
          <w:szCs w:val="28"/>
        </w:rPr>
      </w:pPr>
      <w:r>
        <w:rPr>
          <w:b/>
          <w:sz w:val="28"/>
          <w:szCs w:val="28"/>
        </w:rPr>
        <w:t>тыс. руб.</w:t>
      </w:r>
    </w:p>
    <w:tbl>
      <w:tblPr>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9"/>
        <w:gridCol w:w="2579"/>
        <w:gridCol w:w="1400"/>
        <w:gridCol w:w="1474"/>
        <w:gridCol w:w="1658"/>
      </w:tblGrid>
      <w:tr w:rsidR="00F07E05" w:rsidRPr="00C93A58" w:rsidTr="008A253E">
        <w:trPr>
          <w:trHeight w:val="534"/>
        </w:trPr>
        <w:tc>
          <w:tcPr>
            <w:tcW w:w="2579" w:type="dxa"/>
            <w:noWrap/>
          </w:tcPr>
          <w:p w:rsidR="00F07E05" w:rsidRPr="00C93A58" w:rsidRDefault="00F07E05" w:rsidP="008A253E">
            <w:pPr>
              <w:rPr>
                <w:b/>
                <w:sz w:val="20"/>
                <w:szCs w:val="20"/>
              </w:rPr>
            </w:pPr>
            <w:r w:rsidRPr="00C93A58">
              <w:rPr>
                <w:b/>
                <w:sz w:val="20"/>
                <w:szCs w:val="20"/>
              </w:rPr>
              <w:t>Код БК</w:t>
            </w:r>
          </w:p>
        </w:tc>
        <w:tc>
          <w:tcPr>
            <w:tcW w:w="2579" w:type="dxa"/>
            <w:noWrap/>
          </w:tcPr>
          <w:p w:rsidR="00F07E05" w:rsidRPr="00C93A58" w:rsidRDefault="00F07E05" w:rsidP="008A253E">
            <w:pPr>
              <w:rPr>
                <w:b/>
                <w:sz w:val="20"/>
                <w:szCs w:val="20"/>
              </w:rPr>
            </w:pPr>
            <w:r w:rsidRPr="00C93A58">
              <w:rPr>
                <w:b/>
                <w:sz w:val="20"/>
                <w:szCs w:val="20"/>
              </w:rPr>
              <w:t>Наименование</w:t>
            </w:r>
          </w:p>
        </w:tc>
        <w:tc>
          <w:tcPr>
            <w:tcW w:w="1400" w:type="dxa"/>
          </w:tcPr>
          <w:p w:rsidR="00F07E05" w:rsidRPr="00C93A58" w:rsidRDefault="00F07E05" w:rsidP="008A253E">
            <w:pPr>
              <w:jc w:val="center"/>
              <w:rPr>
                <w:b/>
                <w:sz w:val="20"/>
                <w:szCs w:val="20"/>
              </w:rPr>
            </w:pPr>
            <w:r w:rsidRPr="00C93A58">
              <w:rPr>
                <w:b/>
                <w:sz w:val="20"/>
                <w:szCs w:val="20"/>
              </w:rPr>
              <w:t>Прогноз на</w:t>
            </w:r>
          </w:p>
          <w:p w:rsidR="00F07E05" w:rsidRPr="00C93A58" w:rsidRDefault="00F07E05" w:rsidP="008A253E">
            <w:pPr>
              <w:jc w:val="center"/>
              <w:rPr>
                <w:b/>
                <w:sz w:val="20"/>
                <w:szCs w:val="20"/>
              </w:rPr>
            </w:pPr>
            <w:r>
              <w:rPr>
                <w:b/>
                <w:sz w:val="20"/>
                <w:szCs w:val="20"/>
              </w:rPr>
              <w:t>2022</w:t>
            </w:r>
            <w:r w:rsidRPr="00C93A58">
              <w:rPr>
                <w:b/>
                <w:sz w:val="20"/>
                <w:szCs w:val="20"/>
              </w:rPr>
              <w:t xml:space="preserve"> год </w:t>
            </w:r>
          </w:p>
          <w:p w:rsidR="00F07E05" w:rsidRPr="00C93A58" w:rsidRDefault="00F07E05" w:rsidP="008A253E">
            <w:pPr>
              <w:jc w:val="center"/>
              <w:rPr>
                <w:b/>
                <w:sz w:val="20"/>
                <w:szCs w:val="20"/>
              </w:rPr>
            </w:pPr>
          </w:p>
        </w:tc>
        <w:tc>
          <w:tcPr>
            <w:tcW w:w="1474" w:type="dxa"/>
          </w:tcPr>
          <w:p w:rsidR="00F07E05" w:rsidRPr="00C93A58" w:rsidRDefault="00F07E05" w:rsidP="008A253E">
            <w:pPr>
              <w:jc w:val="center"/>
              <w:rPr>
                <w:b/>
                <w:sz w:val="20"/>
                <w:szCs w:val="20"/>
              </w:rPr>
            </w:pPr>
            <w:r w:rsidRPr="00C93A58">
              <w:rPr>
                <w:b/>
                <w:sz w:val="20"/>
                <w:szCs w:val="20"/>
              </w:rPr>
              <w:t>Прогноз на</w:t>
            </w:r>
          </w:p>
          <w:p w:rsidR="00F07E05" w:rsidRPr="00C93A58" w:rsidRDefault="00F07E05" w:rsidP="008A253E">
            <w:pPr>
              <w:jc w:val="center"/>
              <w:rPr>
                <w:b/>
                <w:sz w:val="20"/>
                <w:szCs w:val="20"/>
              </w:rPr>
            </w:pPr>
            <w:r>
              <w:rPr>
                <w:b/>
                <w:sz w:val="20"/>
                <w:szCs w:val="20"/>
              </w:rPr>
              <w:t xml:space="preserve">2023 </w:t>
            </w:r>
            <w:r w:rsidRPr="00C93A58">
              <w:rPr>
                <w:b/>
                <w:sz w:val="20"/>
                <w:szCs w:val="20"/>
              </w:rPr>
              <w:t>год</w:t>
            </w:r>
          </w:p>
          <w:p w:rsidR="00F07E05" w:rsidRPr="00C93A58" w:rsidRDefault="00F07E05" w:rsidP="008A253E">
            <w:pPr>
              <w:jc w:val="center"/>
              <w:rPr>
                <w:b/>
                <w:sz w:val="20"/>
                <w:szCs w:val="20"/>
              </w:rPr>
            </w:pPr>
          </w:p>
        </w:tc>
        <w:tc>
          <w:tcPr>
            <w:tcW w:w="1658" w:type="dxa"/>
          </w:tcPr>
          <w:p w:rsidR="00F07E05" w:rsidRPr="00C93A58" w:rsidRDefault="00F07E05" w:rsidP="008A253E">
            <w:pPr>
              <w:jc w:val="center"/>
              <w:rPr>
                <w:b/>
                <w:sz w:val="20"/>
                <w:szCs w:val="20"/>
              </w:rPr>
            </w:pPr>
            <w:r w:rsidRPr="00C93A58">
              <w:rPr>
                <w:b/>
                <w:sz w:val="20"/>
                <w:szCs w:val="20"/>
              </w:rPr>
              <w:t>Прогноз на</w:t>
            </w:r>
          </w:p>
          <w:p w:rsidR="00F07E05" w:rsidRPr="00C93A58" w:rsidRDefault="00F07E05" w:rsidP="008A253E">
            <w:pPr>
              <w:jc w:val="center"/>
              <w:rPr>
                <w:b/>
                <w:sz w:val="20"/>
                <w:szCs w:val="20"/>
              </w:rPr>
            </w:pPr>
            <w:r>
              <w:rPr>
                <w:b/>
                <w:sz w:val="20"/>
                <w:szCs w:val="20"/>
              </w:rPr>
              <w:t xml:space="preserve">2024 </w:t>
            </w:r>
            <w:r w:rsidRPr="00C93A58">
              <w:rPr>
                <w:b/>
                <w:sz w:val="20"/>
                <w:szCs w:val="20"/>
              </w:rPr>
              <w:t>год</w:t>
            </w:r>
          </w:p>
          <w:p w:rsidR="00F07E05" w:rsidRPr="00C93A58" w:rsidRDefault="00F07E05" w:rsidP="008A253E">
            <w:pPr>
              <w:jc w:val="center"/>
              <w:rPr>
                <w:b/>
                <w:sz w:val="20"/>
                <w:szCs w:val="20"/>
              </w:rPr>
            </w:pPr>
          </w:p>
          <w:p w:rsidR="00F07E05" w:rsidRPr="00C93A58" w:rsidRDefault="00F07E05" w:rsidP="008A253E">
            <w:pPr>
              <w:jc w:val="center"/>
              <w:rPr>
                <w:b/>
                <w:sz w:val="20"/>
                <w:szCs w:val="20"/>
              </w:rPr>
            </w:pPr>
          </w:p>
        </w:tc>
      </w:tr>
      <w:tr w:rsidR="00F07E05" w:rsidRPr="00C93A58" w:rsidTr="008A253E">
        <w:trPr>
          <w:trHeight w:val="760"/>
        </w:trPr>
        <w:tc>
          <w:tcPr>
            <w:tcW w:w="2579" w:type="dxa"/>
            <w:noWrap/>
          </w:tcPr>
          <w:p w:rsidR="00F07E05" w:rsidRPr="00C93A58" w:rsidRDefault="00F07E05" w:rsidP="008A253E">
            <w:pPr>
              <w:jc w:val="center"/>
              <w:rPr>
                <w:b/>
                <w:sz w:val="16"/>
                <w:szCs w:val="16"/>
              </w:rPr>
            </w:pPr>
          </w:p>
          <w:p w:rsidR="00F07E05" w:rsidRPr="00C93A58" w:rsidRDefault="00F07E05" w:rsidP="008A253E">
            <w:pPr>
              <w:jc w:val="center"/>
              <w:rPr>
                <w:b/>
                <w:sz w:val="16"/>
                <w:szCs w:val="16"/>
              </w:rPr>
            </w:pPr>
          </w:p>
          <w:p w:rsidR="00F07E05" w:rsidRPr="00C93A58" w:rsidRDefault="00F07E05" w:rsidP="008A253E">
            <w:pPr>
              <w:jc w:val="center"/>
              <w:rPr>
                <w:b/>
                <w:sz w:val="16"/>
                <w:szCs w:val="16"/>
              </w:rPr>
            </w:pPr>
            <w:r w:rsidRPr="00C93A58">
              <w:rPr>
                <w:b/>
                <w:sz w:val="16"/>
                <w:szCs w:val="16"/>
              </w:rPr>
              <w:t>000</w:t>
            </w:r>
            <w:r w:rsidRPr="00C93A58">
              <w:rPr>
                <w:b/>
                <w:sz w:val="16"/>
                <w:szCs w:val="16"/>
                <w:lang w:val="en-US"/>
              </w:rPr>
              <w:t xml:space="preserve"> 1 13 0</w:t>
            </w:r>
            <w:r w:rsidRPr="00C93A58">
              <w:rPr>
                <w:b/>
                <w:sz w:val="16"/>
                <w:szCs w:val="16"/>
              </w:rPr>
              <w:t>2990</w:t>
            </w:r>
            <w:r w:rsidRPr="00C93A58">
              <w:rPr>
                <w:b/>
                <w:sz w:val="16"/>
                <w:szCs w:val="16"/>
                <w:lang w:val="en-US"/>
              </w:rPr>
              <w:t xml:space="preserve"> 0</w:t>
            </w:r>
            <w:r w:rsidRPr="00C93A58">
              <w:rPr>
                <w:b/>
                <w:sz w:val="16"/>
                <w:szCs w:val="16"/>
              </w:rPr>
              <w:t>0</w:t>
            </w:r>
            <w:r w:rsidRPr="00C93A58">
              <w:rPr>
                <w:b/>
                <w:sz w:val="16"/>
                <w:szCs w:val="16"/>
                <w:lang w:val="en-US"/>
              </w:rPr>
              <w:t xml:space="preserve"> 0</w:t>
            </w:r>
            <w:r w:rsidRPr="00C93A58">
              <w:rPr>
                <w:b/>
                <w:sz w:val="16"/>
                <w:szCs w:val="16"/>
              </w:rPr>
              <w:t>000 130</w:t>
            </w:r>
          </w:p>
        </w:tc>
        <w:tc>
          <w:tcPr>
            <w:tcW w:w="2579" w:type="dxa"/>
          </w:tcPr>
          <w:p w:rsidR="00F07E05" w:rsidRPr="00C93A58" w:rsidRDefault="00F07E05" w:rsidP="008A253E">
            <w:pPr>
              <w:rPr>
                <w:sz w:val="20"/>
                <w:szCs w:val="20"/>
              </w:rPr>
            </w:pPr>
          </w:p>
          <w:p w:rsidR="00F07E05" w:rsidRPr="00C93A58" w:rsidRDefault="00F07E05" w:rsidP="008A253E">
            <w:pPr>
              <w:rPr>
                <w:sz w:val="20"/>
                <w:szCs w:val="20"/>
              </w:rPr>
            </w:pPr>
            <w:r w:rsidRPr="00C93A58">
              <w:rPr>
                <w:sz w:val="20"/>
                <w:szCs w:val="20"/>
              </w:rPr>
              <w:t xml:space="preserve">Прочие доходы от компенсации затрат государства </w:t>
            </w:r>
          </w:p>
        </w:tc>
        <w:tc>
          <w:tcPr>
            <w:tcW w:w="1400" w:type="dxa"/>
            <w:noWrap/>
          </w:tcPr>
          <w:p w:rsidR="00F07E05" w:rsidRDefault="00F07E05" w:rsidP="008A253E">
            <w:pPr>
              <w:ind w:hanging="108"/>
              <w:jc w:val="center"/>
              <w:rPr>
                <w:sz w:val="20"/>
                <w:szCs w:val="20"/>
              </w:rPr>
            </w:pPr>
          </w:p>
          <w:p w:rsidR="00F07E05" w:rsidRDefault="00F07E05" w:rsidP="008A253E">
            <w:pPr>
              <w:ind w:hanging="108"/>
              <w:jc w:val="center"/>
              <w:rPr>
                <w:sz w:val="20"/>
                <w:szCs w:val="20"/>
              </w:rPr>
            </w:pPr>
          </w:p>
          <w:p w:rsidR="00F07E05" w:rsidRPr="00C8705D" w:rsidRDefault="00F07E05" w:rsidP="008A253E">
            <w:pPr>
              <w:ind w:hanging="108"/>
              <w:jc w:val="center"/>
              <w:rPr>
                <w:sz w:val="20"/>
                <w:szCs w:val="20"/>
              </w:rPr>
            </w:pPr>
            <w:r>
              <w:rPr>
                <w:sz w:val="20"/>
                <w:szCs w:val="20"/>
              </w:rPr>
              <w:t>0,5</w:t>
            </w:r>
          </w:p>
        </w:tc>
        <w:tc>
          <w:tcPr>
            <w:tcW w:w="1474" w:type="dxa"/>
            <w:noWrap/>
          </w:tcPr>
          <w:p w:rsidR="00F07E05" w:rsidRDefault="00F07E05" w:rsidP="008A253E">
            <w:pPr>
              <w:ind w:left="-136" w:right="-108" w:hanging="28"/>
              <w:jc w:val="center"/>
              <w:rPr>
                <w:sz w:val="20"/>
                <w:szCs w:val="20"/>
              </w:rPr>
            </w:pPr>
          </w:p>
          <w:p w:rsidR="00F07E05" w:rsidRDefault="00F07E05" w:rsidP="008A253E">
            <w:pPr>
              <w:ind w:left="-136" w:right="-108" w:hanging="28"/>
              <w:jc w:val="center"/>
              <w:rPr>
                <w:sz w:val="20"/>
                <w:szCs w:val="20"/>
              </w:rPr>
            </w:pPr>
          </w:p>
          <w:p w:rsidR="00F07E05" w:rsidRPr="00C8705D" w:rsidRDefault="00F07E05" w:rsidP="008A253E">
            <w:pPr>
              <w:ind w:left="-136" w:right="-108" w:hanging="28"/>
              <w:jc w:val="center"/>
              <w:rPr>
                <w:sz w:val="20"/>
                <w:szCs w:val="20"/>
              </w:rPr>
            </w:pPr>
            <w:r>
              <w:rPr>
                <w:sz w:val="20"/>
                <w:szCs w:val="20"/>
              </w:rPr>
              <w:t>0,5</w:t>
            </w:r>
          </w:p>
        </w:tc>
        <w:tc>
          <w:tcPr>
            <w:tcW w:w="1658" w:type="dxa"/>
            <w:noWrap/>
          </w:tcPr>
          <w:p w:rsidR="00F07E05" w:rsidRDefault="00F07E05" w:rsidP="008A253E">
            <w:pPr>
              <w:ind w:left="-108" w:right="-3" w:hanging="108"/>
              <w:jc w:val="center"/>
              <w:rPr>
                <w:sz w:val="20"/>
                <w:szCs w:val="20"/>
              </w:rPr>
            </w:pPr>
          </w:p>
          <w:p w:rsidR="00F07E05" w:rsidRDefault="00F07E05" w:rsidP="008A253E">
            <w:pPr>
              <w:ind w:left="-108" w:right="-3" w:hanging="108"/>
              <w:jc w:val="center"/>
              <w:rPr>
                <w:sz w:val="20"/>
                <w:szCs w:val="20"/>
              </w:rPr>
            </w:pPr>
          </w:p>
          <w:p w:rsidR="00F07E05" w:rsidRPr="00C8705D" w:rsidRDefault="00F07E05" w:rsidP="008A253E">
            <w:pPr>
              <w:ind w:left="-108" w:right="-3" w:hanging="108"/>
              <w:jc w:val="center"/>
              <w:rPr>
                <w:sz w:val="20"/>
                <w:szCs w:val="20"/>
              </w:rPr>
            </w:pPr>
            <w:r>
              <w:rPr>
                <w:sz w:val="20"/>
                <w:szCs w:val="20"/>
              </w:rPr>
              <w:t>0,5</w:t>
            </w:r>
          </w:p>
        </w:tc>
      </w:tr>
    </w:tbl>
    <w:p w:rsidR="00F07E05" w:rsidRDefault="00F07E05" w:rsidP="00F07E05">
      <w:pPr>
        <w:jc w:val="center"/>
        <w:rPr>
          <w:b/>
          <w:sz w:val="28"/>
          <w:szCs w:val="28"/>
        </w:rPr>
      </w:pPr>
    </w:p>
    <w:p w:rsidR="00F07E05" w:rsidRDefault="00F07E05" w:rsidP="00F07E05">
      <w:pPr>
        <w:ind w:firstLine="426"/>
        <w:jc w:val="both"/>
        <w:rPr>
          <w:sz w:val="28"/>
          <w:szCs w:val="28"/>
        </w:rPr>
      </w:pPr>
      <w:r>
        <w:rPr>
          <w:sz w:val="28"/>
          <w:szCs w:val="28"/>
        </w:rPr>
        <w:t xml:space="preserve"> Расчет прогноза произведен в соответствии с п</w:t>
      </w:r>
      <w:r w:rsidRPr="00D94D54">
        <w:rPr>
          <w:sz w:val="28"/>
          <w:szCs w:val="28"/>
        </w:rPr>
        <w:t>риказ</w:t>
      </w:r>
      <w:r>
        <w:rPr>
          <w:sz w:val="28"/>
          <w:szCs w:val="28"/>
        </w:rPr>
        <w:t xml:space="preserve">ом </w:t>
      </w:r>
      <w:r w:rsidRPr="00D94D54">
        <w:rPr>
          <w:sz w:val="28"/>
          <w:szCs w:val="28"/>
        </w:rPr>
        <w:t xml:space="preserve">Министерства финансов Тверской области от 31.08.2016 </w:t>
      </w:r>
      <w:r>
        <w:rPr>
          <w:sz w:val="28"/>
          <w:szCs w:val="28"/>
        </w:rPr>
        <w:br/>
      </w:r>
      <w:r w:rsidRPr="00D94D54">
        <w:rPr>
          <w:sz w:val="28"/>
          <w:szCs w:val="28"/>
        </w:rPr>
        <w:t>№ 50</w:t>
      </w:r>
      <w:r>
        <w:rPr>
          <w:sz w:val="28"/>
          <w:szCs w:val="28"/>
        </w:rPr>
        <w:t xml:space="preserve"> «</w:t>
      </w:r>
      <w:r w:rsidRPr="00D94D54">
        <w:rPr>
          <w:sz w:val="28"/>
          <w:szCs w:val="28"/>
        </w:rPr>
        <w:t>Методик</w:t>
      </w:r>
      <w:r>
        <w:rPr>
          <w:sz w:val="28"/>
          <w:szCs w:val="28"/>
        </w:rPr>
        <w:t>а</w:t>
      </w:r>
      <w:r w:rsidRPr="00D94D54">
        <w:rPr>
          <w:sz w:val="28"/>
          <w:szCs w:val="28"/>
        </w:rPr>
        <w:t xml:space="preserve"> прогнозирования поступлений доходов в областной бюджет Тверской области, главным администратором которых является Министерство финансов Тверской области</w:t>
      </w:r>
      <w:r>
        <w:rPr>
          <w:sz w:val="28"/>
          <w:szCs w:val="28"/>
        </w:rPr>
        <w:t>».</w:t>
      </w:r>
    </w:p>
    <w:p w:rsidR="00F07E05" w:rsidRDefault="00F07E05" w:rsidP="00F07E05">
      <w:pPr>
        <w:ind w:firstLine="426"/>
        <w:jc w:val="both"/>
        <w:rPr>
          <w:sz w:val="28"/>
          <w:szCs w:val="28"/>
        </w:rPr>
      </w:pPr>
      <w:r>
        <w:rPr>
          <w:sz w:val="28"/>
          <w:szCs w:val="28"/>
        </w:rPr>
        <w:t xml:space="preserve">Прогноз поступлений доходов на очередной финансовый год: и на плановый период рассчитан методом усреднения, исходя из годовых объемов поступлений за вычетом поступлений носящих разовый (несистемный характер): </w:t>
      </w:r>
    </w:p>
    <w:p w:rsidR="00F07E05" w:rsidRDefault="00F07E05" w:rsidP="00F07E05">
      <w:pPr>
        <w:jc w:val="both"/>
        <w:rPr>
          <w:sz w:val="28"/>
          <w:szCs w:val="28"/>
        </w:rPr>
      </w:pPr>
      <w:r>
        <w:rPr>
          <w:sz w:val="28"/>
          <w:szCs w:val="28"/>
        </w:rPr>
        <w:t>2019 год (факт) – 135,3 тыс. руб. (135,2 тыс. руб. разовые поступления);</w:t>
      </w:r>
    </w:p>
    <w:p w:rsidR="00F07E05" w:rsidRDefault="00F07E05" w:rsidP="00F07E05">
      <w:pPr>
        <w:jc w:val="both"/>
        <w:rPr>
          <w:sz w:val="28"/>
          <w:szCs w:val="28"/>
        </w:rPr>
      </w:pPr>
      <w:r>
        <w:rPr>
          <w:sz w:val="28"/>
          <w:szCs w:val="28"/>
        </w:rPr>
        <w:t>2020 год (факт) – 9,6 тыс. руб.( 8,6 тыс. руб. разовые поступления);</w:t>
      </w:r>
    </w:p>
    <w:p w:rsidR="00F07E05" w:rsidRDefault="00F07E05" w:rsidP="00F07E05">
      <w:pPr>
        <w:jc w:val="both"/>
        <w:rPr>
          <w:sz w:val="28"/>
          <w:szCs w:val="28"/>
        </w:rPr>
      </w:pPr>
      <w:r>
        <w:rPr>
          <w:sz w:val="28"/>
          <w:szCs w:val="28"/>
        </w:rPr>
        <w:t>2021 год (оценка) – 0,37 тыс. руб.</w:t>
      </w:r>
    </w:p>
    <w:p w:rsidR="00F07E05" w:rsidRPr="00840188" w:rsidRDefault="00F07E05" w:rsidP="00F07E05">
      <w:pPr>
        <w:rPr>
          <w:sz w:val="28"/>
          <w:szCs w:val="28"/>
        </w:rPr>
      </w:pPr>
      <w:r w:rsidRPr="00840188">
        <w:rPr>
          <w:sz w:val="28"/>
          <w:szCs w:val="28"/>
        </w:rPr>
        <w:t xml:space="preserve">                                                             </w:t>
      </w:r>
    </w:p>
    <w:p w:rsidR="00F07E05" w:rsidRDefault="00F07E05" w:rsidP="00F07E05">
      <w:pPr>
        <w:rPr>
          <w:sz w:val="28"/>
          <w:szCs w:val="28"/>
        </w:rPr>
      </w:pPr>
      <w:r w:rsidRPr="00840188">
        <w:rPr>
          <w:sz w:val="28"/>
          <w:szCs w:val="28"/>
        </w:rPr>
        <w:t>ДКБЗ</w:t>
      </w:r>
      <w:r w:rsidRPr="00840188">
        <w:rPr>
          <w:sz w:val="28"/>
          <w:szCs w:val="28"/>
          <w:vertAlign w:val="subscript"/>
          <w:lang w:val="en-US"/>
        </w:rPr>
        <w:t>n</w:t>
      </w:r>
      <w:r w:rsidRPr="00840188">
        <w:rPr>
          <w:sz w:val="28"/>
          <w:szCs w:val="28"/>
          <w:vertAlign w:val="subscript"/>
        </w:rPr>
        <w:t xml:space="preserve">+1 </w:t>
      </w:r>
      <w:r w:rsidRPr="00840188">
        <w:rPr>
          <w:sz w:val="28"/>
          <w:szCs w:val="28"/>
        </w:rPr>
        <w:t>= (</w:t>
      </w:r>
      <w:r>
        <w:rPr>
          <w:sz w:val="28"/>
          <w:szCs w:val="28"/>
        </w:rPr>
        <w:t>0,37</w:t>
      </w:r>
      <w:r w:rsidRPr="00840188">
        <w:rPr>
          <w:sz w:val="28"/>
          <w:szCs w:val="28"/>
        </w:rPr>
        <w:t xml:space="preserve"> + </w:t>
      </w:r>
      <w:r>
        <w:rPr>
          <w:sz w:val="28"/>
          <w:szCs w:val="28"/>
        </w:rPr>
        <w:t>(9,6 – 8,6)</w:t>
      </w:r>
      <w:r w:rsidRPr="00840188">
        <w:rPr>
          <w:sz w:val="28"/>
          <w:szCs w:val="28"/>
        </w:rPr>
        <w:t xml:space="preserve"> + </w:t>
      </w:r>
      <w:r>
        <w:rPr>
          <w:sz w:val="28"/>
          <w:szCs w:val="28"/>
        </w:rPr>
        <w:t>(135,3 – 135,2</w:t>
      </w:r>
      <w:r w:rsidRPr="00840188">
        <w:rPr>
          <w:sz w:val="28"/>
          <w:szCs w:val="28"/>
        </w:rPr>
        <w:t>)</w:t>
      </w:r>
      <w:r>
        <w:rPr>
          <w:sz w:val="28"/>
          <w:szCs w:val="28"/>
        </w:rPr>
        <w:t>)</w:t>
      </w:r>
      <w:r w:rsidRPr="00840188">
        <w:rPr>
          <w:sz w:val="28"/>
          <w:szCs w:val="28"/>
        </w:rPr>
        <w:t xml:space="preserve">/3 = </w:t>
      </w:r>
      <w:r>
        <w:rPr>
          <w:sz w:val="28"/>
          <w:szCs w:val="28"/>
        </w:rPr>
        <w:t>0,5 тыс. руб.</w:t>
      </w:r>
    </w:p>
    <w:p w:rsidR="00F07E05" w:rsidRDefault="00F07E05" w:rsidP="00F07E05">
      <w:pPr>
        <w:ind w:firstLine="426"/>
        <w:rPr>
          <w:sz w:val="28"/>
          <w:szCs w:val="28"/>
        </w:rPr>
      </w:pPr>
      <w:r>
        <w:rPr>
          <w:sz w:val="28"/>
          <w:szCs w:val="28"/>
        </w:rPr>
        <w:t>Прогноз на плановый период равен прогнозу на очередной финансовый год.</w:t>
      </w:r>
    </w:p>
    <w:p w:rsidR="00F07E05" w:rsidRDefault="00F07E05" w:rsidP="00F07E05">
      <w:pPr>
        <w:jc w:val="center"/>
        <w:rPr>
          <w:b/>
          <w:sz w:val="28"/>
          <w:szCs w:val="28"/>
        </w:rPr>
      </w:pPr>
    </w:p>
    <w:p w:rsidR="00F07E05" w:rsidRPr="00FE6BC6" w:rsidRDefault="00F07E05" w:rsidP="00F07E05">
      <w:pPr>
        <w:jc w:val="center"/>
        <w:rPr>
          <w:b/>
          <w:sz w:val="28"/>
          <w:szCs w:val="28"/>
        </w:rPr>
      </w:pPr>
      <w:r w:rsidRPr="00FE6BC6">
        <w:rPr>
          <w:b/>
          <w:sz w:val="28"/>
          <w:szCs w:val="28"/>
        </w:rPr>
        <w:t>Министерство транспорта Тверской области</w:t>
      </w:r>
    </w:p>
    <w:p w:rsidR="00F07E05" w:rsidRDefault="00F07E05" w:rsidP="00F07E05">
      <w:pPr>
        <w:pStyle w:val="a7"/>
        <w:ind w:left="0" w:firstLine="709"/>
        <w:jc w:val="right"/>
        <w:rPr>
          <w:sz w:val="28"/>
          <w:szCs w:val="28"/>
        </w:rPr>
      </w:pPr>
      <w:r>
        <w:rPr>
          <w:sz w:val="28"/>
          <w:szCs w:val="28"/>
        </w:rPr>
        <w:t>тыс. руб.</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1368"/>
        <w:gridCol w:w="1440"/>
        <w:gridCol w:w="1620"/>
      </w:tblGrid>
      <w:tr w:rsidR="00F07E05" w:rsidRPr="00C93A58" w:rsidTr="008A253E">
        <w:trPr>
          <w:trHeight w:val="510"/>
        </w:trPr>
        <w:tc>
          <w:tcPr>
            <w:tcW w:w="2520" w:type="dxa"/>
            <w:noWrap/>
          </w:tcPr>
          <w:p w:rsidR="00F07E05" w:rsidRPr="00C93A58" w:rsidRDefault="00F07E05" w:rsidP="008A253E">
            <w:pPr>
              <w:rPr>
                <w:b/>
                <w:sz w:val="20"/>
                <w:szCs w:val="20"/>
              </w:rPr>
            </w:pPr>
            <w:r w:rsidRPr="00C93A58">
              <w:rPr>
                <w:b/>
                <w:sz w:val="20"/>
                <w:szCs w:val="20"/>
              </w:rPr>
              <w:t>Код БК</w:t>
            </w:r>
          </w:p>
        </w:tc>
        <w:tc>
          <w:tcPr>
            <w:tcW w:w="2520" w:type="dxa"/>
            <w:noWrap/>
          </w:tcPr>
          <w:p w:rsidR="00F07E05" w:rsidRPr="00C93A58" w:rsidRDefault="00F07E05" w:rsidP="008A253E">
            <w:pPr>
              <w:rPr>
                <w:b/>
                <w:sz w:val="20"/>
                <w:szCs w:val="20"/>
              </w:rPr>
            </w:pPr>
            <w:r w:rsidRPr="00C93A58">
              <w:rPr>
                <w:b/>
                <w:sz w:val="20"/>
                <w:szCs w:val="20"/>
              </w:rPr>
              <w:t>Наименование</w:t>
            </w:r>
          </w:p>
        </w:tc>
        <w:tc>
          <w:tcPr>
            <w:tcW w:w="1368" w:type="dxa"/>
          </w:tcPr>
          <w:p w:rsidR="00F07E05" w:rsidRPr="00C93A58" w:rsidRDefault="00F07E05" w:rsidP="008A253E">
            <w:pPr>
              <w:jc w:val="center"/>
              <w:rPr>
                <w:b/>
                <w:sz w:val="20"/>
                <w:szCs w:val="20"/>
              </w:rPr>
            </w:pPr>
            <w:r w:rsidRPr="00C93A58">
              <w:rPr>
                <w:b/>
                <w:sz w:val="20"/>
                <w:szCs w:val="20"/>
              </w:rPr>
              <w:t>Прогноз на</w:t>
            </w:r>
          </w:p>
          <w:p w:rsidR="00F07E05" w:rsidRPr="00C93A58" w:rsidRDefault="00F07E05" w:rsidP="008A253E">
            <w:pPr>
              <w:jc w:val="center"/>
              <w:rPr>
                <w:b/>
                <w:sz w:val="20"/>
                <w:szCs w:val="20"/>
              </w:rPr>
            </w:pPr>
            <w:r>
              <w:rPr>
                <w:b/>
                <w:sz w:val="20"/>
                <w:szCs w:val="20"/>
              </w:rPr>
              <w:t>2022</w:t>
            </w:r>
            <w:r w:rsidRPr="00C93A58">
              <w:rPr>
                <w:b/>
                <w:sz w:val="20"/>
                <w:szCs w:val="20"/>
              </w:rPr>
              <w:t xml:space="preserve"> год </w:t>
            </w:r>
          </w:p>
          <w:p w:rsidR="00F07E05" w:rsidRPr="00C93A58" w:rsidRDefault="00F07E05" w:rsidP="008A253E">
            <w:pPr>
              <w:jc w:val="center"/>
              <w:rPr>
                <w:b/>
                <w:sz w:val="20"/>
                <w:szCs w:val="20"/>
              </w:rPr>
            </w:pPr>
          </w:p>
        </w:tc>
        <w:tc>
          <w:tcPr>
            <w:tcW w:w="1440" w:type="dxa"/>
          </w:tcPr>
          <w:p w:rsidR="00F07E05" w:rsidRPr="00C93A58" w:rsidRDefault="00F07E05" w:rsidP="008A253E">
            <w:pPr>
              <w:jc w:val="center"/>
              <w:rPr>
                <w:b/>
                <w:sz w:val="20"/>
                <w:szCs w:val="20"/>
              </w:rPr>
            </w:pPr>
            <w:r w:rsidRPr="00C93A58">
              <w:rPr>
                <w:b/>
                <w:sz w:val="20"/>
                <w:szCs w:val="20"/>
              </w:rPr>
              <w:t>Прогноз на</w:t>
            </w:r>
          </w:p>
          <w:p w:rsidR="00F07E05" w:rsidRPr="00C93A58" w:rsidRDefault="00F07E05" w:rsidP="008A253E">
            <w:pPr>
              <w:jc w:val="center"/>
              <w:rPr>
                <w:b/>
                <w:sz w:val="20"/>
                <w:szCs w:val="20"/>
              </w:rPr>
            </w:pPr>
            <w:r>
              <w:rPr>
                <w:b/>
                <w:sz w:val="20"/>
                <w:szCs w:val="20"/>
              </w:rPr>
              <w:t xml:space="preserve">2023 </w:t>
            </w:r>
            <w:r w:rsidRPr="00C93A58">
              <w:rPr>
                <w:b/>
                <w:sz w:val="20"/>
                <w:szCs w:val="20"/>
              </w:rPr>
              <w:t>год</w:t>
            </w:r>
          </w:p>
          <w:p w:rsidR="00F07E05" w:rsidRPr="00C93A58" w:rsidRDefault="00F07E05" w:rsidP="008A253E">
            <w:pPr>
              <w:jc w:val="center"/>
              <w:rPr>
                <w:b/>
                <w:sz w:val="20"/>
                <w:szCs w:val="20"/>
              </w:rPr>
            </w:pPr>
          </w:p>
        </w:tc>
        <w:tc>
          <w:tcPr>
            <w:tcW w:w="1620" w:type="dxa"/>
          </w:tcPr>
          <w:p w:rsidR="00F07E05" w:rsidRPr="00C93A58" w:rsidRDefault="00F07E05" w:rsidP="008A253E">
            <w:pPr>
              <w:jc w:val="center"/>
              <w:rPr>
                <w:b/>
                <w:sz w:val="20"/>
                <w:szCs w:val="20"/>
              </w:rPr>
            </w:pPr>
            <w:r w:rsidRPr="00C93A58">
              <w:rPr>
                <w:b/>
                <w:sz w:val="20"/>
                <w:szCs w:val="20"/>
              </w:rPr>
              <w:t>Прогноз на</w:t>
            </w:r>
          </w:p>
          <w:p w:rsidR="00F07E05" w:rsidRPr="00C93A58" w:rsidRDefault="00F07E05" w:rsidP="008A253E">
            <w:pPr>
              <w:jc w:val="center"/>
              <w:rPr>
                <w:b/>
                <w:sz w:val="20"/>
                <w:szCs w:val="20"/>
              </w:rPr>
            </w:pPr>
            <w:r>
              <w:rPr>
                <w:b/>
                <w:sz w:val="20"/>
                <w:szCs w:val="20"/>
              </w:rPr>
              <w:t xml:space="preserve">2024 </w:t>
            </w:r>
            <w:r w:rsidRPr="00C93A58">
              <w:rPr>
                <w:b/>
                <w:sz w:val="20"/>
                <w:szCs w:val="20"/>
              </w:rPr>
              <w:t>год</w:t>
            </w:r>
          </w:p>
          <w:p w:rsidR="00F07E05" w:rsidRPr="00C93A58" w:rsidRDefault="00F07E05" w:rsidP="008A253E">
            <w:pPr>
              <w:jc w:val="center"/>
              <w:rPr>
                <w:b/>
                <w:sz w:val="20"/>
                <w:szCs w:val="20"/>
              </w:rPr>
            </w:pPr>
          </w:p>
          <w:p w:rsidR="00F07E05" w:rsidRPr="00C93A58" w:rsidRDefault="00F07E05" w:rsidP="008A253E">
            <w:pPr>
              <w:jc w:val="center"/>
              <w:rPr>
                <w:b/>
                <w:sz w:val="20"/>
                <w:szCs w:val="20"/>
              </w:rPr>
            </w:pPr>
          </w:p>
        </w:tc>
      </w:tr>
      <w:tr w:rsidR="00F07E05" w:rsidRPr="00C93A58" w:rsidTr="008A253E">
        <w:trPr>
          <w:trHeight w:val="1275"/>
        </w:trPr>
        <w:tc>
          <w:tcPr>
            <w:tcW w:w="2520" w:type="dxa"/>
            <w:noWrap/>
          </w:tcPr>
          <w:p w:rsidR="00F07E05" w:rsidRPr="00C93A58" w:rsidRDefault="00F07E05" w:rsidP="008A253E">
            <w:pPr>
              <w:jc w:val="center"/>
              <w:rPr>
                <w:b/>
                <w:sz w:val="16"/>
                <w:szCs w:val="16"/>
              </w:rPr>
            </w:pPr>
          </w:p>
          <w:p w:rsidR="00F07E05" w:rsidRPr="00C93A58" w:rsidRDefault="00F07E05" w:rsidP="008A253E">
            <w:pPr>
              <w:jc w:val="center"/>
              <w:rPr>
                <w:b/>
                <w:sz w:val="16"/>
                <w:szCs w:val="16"/>
              </w:rPr>
            </w:pPr>
          </w:p>
          <w:p w:rsidR="00F07E05" w:rsidRPr="00C93A58" w:rsidRDefault="00F07E05" w:rsidP="008A253E">
            <w:pPr>
              <w:jc w:val="center"/>
              <w:rPr>
                <w:b/>
                <w:sz w:val="16"/>
                <w:szCs w:val="16"/>
              </w:rPr>
            </w:pPr>
            <w:r w:rsidRPr="00C93A58">
              <w:rPr>
                <w:b/>
                <w:sz w:val="16"/>
                <w:szCs w:val="16"/>
              </w:rPr>
              <w:t>000</w:t>
            </w:r>
            <w:r w:rsidRPr="00C93A58">
              <w:rPr>
                <w:b/>
                <w:sz w:val="16"/>
                <w:szCs w:val="16"/>
                <w:lang w:val="en-US"/>
              </w:rPr>
              <w:t xml:space="preserve"> 1 13 0</w:t>
            </w:r>
            <w:r w:rsidRPr="00C93A58">
              <w:rPr>
                <w:b/>
                <w:sz w:val="16"/>
                <w:szCs w:val="16"/>
              </w:rPr>
              <w:t>2990</w:t>
            </w:r>
            <w:r w:rsidRPr="00C93A58">
              <w:rPr>
                <w:b/>
                <w:sz w:val="16"/>
                <w:szCs w:val="16"/>
                <w:lang w:val="en-US"/>
              </w:rPr>
              <w:t xml:space="preserve"> 0</w:t>
            </w:r>
            <w:r w:rsidRPr="00C93A58">
              <w:rPr>
                <w:b/>
                <w:sz w:val="16"/>
                <w:szCs w:val="16"/>
              </w:rPr>
              <w:t>0</w:t>
            </w:r>
            <w:r w:rsidRPr="00C93A58">
              <w:rPr>
                <w:b/>
                <w:sz w:val="16"/>
                <w:szCs w:val="16"/>
                <w:lang w:val="en-US"/>
              </w:rPr>
              <w:t xml:space="preserve"> 0</w:t>
            </w:r>
            <w:r w:rsidRPr="00C93A58">
              <w:rPr>
                <w:b/>
                <w:sz w:val="16"/>
                <w:szCs w:val="16"/>
              </w:rPr>
              <w:t>000 130</w:t>
            </w:r>
          </w:p>
        </w:tc>
        <w:tc>
          <w:tcPr>
            <w:tcW w:w="2520" w:type="dxa"/>
          </w:tcPr>
          <w:p w:rsidR="00F07E05" w:rsidRPr="00C93A58" w:rsidRDefault="00F07E05" w:rsidP="008A253E">
            <w:pPr>
              <w:rPr>
                <w:sz w:val="20"/>
                <w:szCs w:val="20"/>
              </w:rPr>
            </w:pPr>
          </w:p>
          <w:p w:rsidR="00F07E05" w:rsidRPr="00C93A58" w:rsidRDefault="00F07E05" w:rsidP="008A253E">
            <w:pPr>
              <w:rPr>
                <w:sz w:val="20"/>
                <w:szCs w:val="20"/>
              </w:rPr>
            </w:pPr>
            <w:r w:rsidRPr="00C93A58">
              <w:rPr>
                <w:sz w:val="20"/>
                <w:szCs w:val="20"/>
              </w:rPr>
              <w:t xml:space="preserve">Прочие доходы от компенсации затрат государства </w:t>
            </w:r>
          </w:p>
        </w:tc>
        <w:tc>
          <w:tcPr>
            <w:tcW w:w="1368" w:type="dxa"/>
            <w:noWrap/>
          </w:tcPr>
          <w:p w:rsidR="00F07E05" w:rsidRDefault="00F07E05" w:rsidP="008A253E">
            <w:pPr>
              <w:ind w:hanging="108"/>
              <w:jc w:val="center"/>
              <w:rPr>
                <w:sz w:val="20"/>
                <w:szCs w:val="20"/>
              </w:rPr>
            </w:pPr>
          </w:p>
          <w:p w:rsidR="00F07E05" w:rsidRDefault="00F07E05" w:rsidP="008A253E">
            <w:pPr>
              <w:ind w:hanging="108"/>
              <w:jc w:val="center"/>
              <w:rPr>
                <w:sz w:val="20"/>
                <w:szCs w:val="20"/>
              </w:rPr>
            </w:pPr>
          </w:p>
          <w:p w:rsidR="00F07E05" w:rsidRPr="00C8705D" w:rsidRDefault="00F07E05" w:rsidP="008A253E">
            <w:pPr>
              <w:ind w:hanging="108"/>
              <w:jc w:val="center"/>
              <w:rPr>
                <w:sz w:val="20"/>
                <w:szCs w:val="20"/>
              </w:rPr>
            </w:pPr>
            <w:r>
              <w:rPr>
                <w:sz w:val="20"/>
                <w:szCs w:val="20"/>
              </w:rPr>
              <w:t>2 197 317,0</w:t>
            </w:r>
          </w:p>
        </w:tc>
        <w:tc>
          <w:tcPr>
            <w:tcW w:w="1440" w:type="dxa"/>
            <w:noWrap/>
          </w:tcPr>
          <w:p w:rsidR="00F07E05" w:rsidRDefault="00F07E05" w:rsidP="008A253E">
            <w:pPr>
              <w:ind w:left="-136" w:right="-108" w:hanging="28"/>
              <w:jc w:val="center"/>
              <w:rPr>
                <w:sz w:val="20"/>
                <w:szCs w:val="20"/>
              </w:rPr>
            </w:pPr>
          </w:p>
          <w:p w:rsidR="00F07E05" w:rsidRDefault="00F07E05" w:rsidP="008A253E">
            <w:pPr>
              <w:ind w:left="-136" w:right="-108" w:hanging="28"/>
              <w:jc w:val="center"/>
              <w:rPr>
                <w:sz w:val="20"/>
                <w:szCs w:val="20"/>
              </w:rPr>
            </w:pPr>
          </w:p>
          <w:p w:rsidR="00F07E05" w:rsidRPr="00C8705D" w:rsidRDefault="00F07E05" w:rsidP="008A253E">
            <w:pPr>
              <w:ind w:left="-136" w:right="-108" w:hanging="28"/>
              <w:jc w:val="center"/>
              <w:rPr>
                <w:sz w:val="20"/>
                <w:szCs w:val="20"/>
              </w:rPr>
            </w:pPr>
            <w:r>
              <w:rPr>
                <w:sz w:val="20"/>
                <w:szCs w:val="20"/>
              </w:rPr>
              <w:t>2 041 956,0</w:t>
            </w:r>
          </w:p>
        </w:tc>
        <w:tc>
          <w:tcPr>
            <w:tcW w:w="1620" w:type="dxa"/>
            <w:noWrap/>
          </w:tcPr>
          <w:p w:rsidR="00F07E05" w:rsidRDefault="00F07E05" w:rsidP="008A253E">
            <w:pPr>
              <w:ind w:left="-108" w:right="-3" w:hanging="108"/>
              <w:jc w:val="center"/>
              <w:rPr>
                <w:sz w:val="20"/>
                <w:szCs w:val="20"/>
              </w:rPr>
            </w:pPr>
          </w:p>
          <w:p w:rsidR="00F07E05" w:rsidRDefault="00F07E05" w:rsidP="008A253E">
            <w:pPr>
              <w:ind w:left="-108" w:right="-3" w:hanging="108"/>
              <w:jc w:val="center"/>
              <w:rPr>
                <w:sz w:val="20"/>
                <w:szCs w:val="20"/>
              </w:rPr>
            </w:pPr>
          </w:p>
          <w:p w:rsidR="00F07E05" w:rsidRPr="00C8705D" w:rsidRDefault="00F07E05" w:rsidP="008A253E">
            <w:pPr>
              <w:ind w:left="-108" w:right="-3" w:hanging="108"/>
              <w:jc w:val="center"/>
              <w:rPr>
                <w:sz w:val="20"/>
                <w:szCs w:val="20"/>
              </w:rPr>
            </w:pPr>
            <w:r>
              <w:rPr>
                <w:sz w:val="20"/>
                <w:szCs w:val="20"/>
              </w:rPr>
              <w:t>2 641 040,0</w:t>
            </w:r>
          </w:p>
        </w:tc>
      </w:tr>
    </w:tbl>
    <w:p w:rsidR="00F07E05" w:rsidRDefault="00F07E05" w:rsidP="00F07E05">
      <w:pPr>
        <w:ind w:right="-2" w:firstLine="708"/>
        <w:jc w:val="both"/>
        <w:rPr>
          <w:b/>
          <w:sz w:val="28"/>
          <w:szCs w:val="28"/>
        </w:rPr>
      </w:pPr>
      <w:r w:rsidRPr="00C93A58">
        <w:rPr>
          <w:sz w:val="28"/>
          <w:szCs w:val="28"/>
        </w:rPr>
        <w:t xml:space="preserve">  </w:t>
      </w:r>
    </w:p>
    <w:p w:rsidR="00F07E05" w:rsidRPr="00E86841" w:rsidRDefault="00F07E05" w:rsidP="00F07E05">
      <w:pPr>
        <w:ind w:right="282" w:firstLine="708"/>
        <w:jc w:val="both"/>
        <w:rPr>
          <w:sz w:val="28"/>
          <w:szCs w:val="28"/>
        </w:rPr>
      </w:pPr>
      <w:r w:rsidRPr="00E86841">
        <w:rPr>
          <w:sz w:val="28"/>
          <w:szCs w:val="28"/>
        </w:rPr>
        <w:t xml:space="preserve">Прогноз на очередной финансовый год и на плановый период рассчитывается методом усреднения, исходя из годовых объемов доходов за 3 года, по формуле: </w:t>
      </w:r>
    </w:p>
    <w:p w:rsidR="00F07E05" w:rsidRDefault="00F07E05" w:rsidP="00F07E05">
      <w:pPr>
        <w:autoSpaceDE w:val="0"/>
        <w:autoSpaceDN w:val="0"/>
        <w:adjustRightInd w:val="0"/>
        <w:ind w:firstLine="709"/>
        <w:jc w:val="both"/>
        <w:rPr>
          <w:color w:val="000000"/>
          <w:sz w:val="28"/>
          <w:szCs w:val="28"/>
        </w:rPr>
      </w:pPr>
      <w:r w:rsidRPr="002E6055">
        <w:rPr>
          <w:color w:val="000000"/>
          <w:sz w:val="28"/>
          <w:szCs w:val="28"/>
        </w:rPr>
        <w:t xml:space="preserve">Прогноз на первый и второй плановый период рассчитывается на уровне прогноза на очередной финансовый год. </w:t>
      </w:r>
    </w:p>
    <w:p w:rsidR="00F07E05" w:rsidRPr="00EB3ACF" w:rsidRDefault="00F07E05" w:rsidP="00F07E05">
      <w:pPr>
        <w:rPr>
          <w:color w:val="000000"/>
          <w:sz w:val="28"/>
          <w:szCs w:val="28"/>
        </w:rPr>
      </w:pPr>
      <w:r w:rsidRPr="00EB3ACF">
        <w:rPr>
          <w:sz w:val="28"/>
          <w:szCs w:val="28"/>
        </w:rPr>
        <w:t>КБК дохода - 104 1 13 02992 02 0426 130</w:t>
      </w:r>
    </w:p>
    <w:p w:rsidR="00F07E05" w:rsidRDefault="00F07E05" w:rsidP="00F07E05">
      <w:pPr>
        <w:autoSpaceDE w:val="0"/>
        <w:autoSpaceDN w:val="0"/>
        <w:adjustRightInd w:val="0"/>
        <w:ind w:firstLine="720"/>
        <w:jc w:val="both"/>
        <w:rPr>
          <w:color w:val="000000"/>
          <w:sz w:val="28"/>
          <w:szCs w:val="28"/>
        </w:rPr>
      </w:pPr>
      <w:r>
        <w:rPr>
          <w:color w:val="000000"/>
          <w:sz w:val="28"/>
          <w:szCs w:val="28"/>
        </w:rPr>
        <w:t>Факт 2019 год – 66,6 тыс. руб.;</w:t>
      </w:r>
    </w:p>
    <w:p w:rsidR="00F07E05" w:rsidRDefault="00F07E05" w:rsidP="00F07E05">
      <w:pPr>
        <w:autoSpaceDE w:val="0"/>
        <w:autoSpaceDN w:val="0"/>
        <w:adjustRightInd w:val="0"/>
        <w:ind w:firstLine="720"/>
        <w:jc w:val="both"/>
        <w:rPr>
          <w:color w:val="000000"/>
          <w:sz w:val="28"/>
          <w:szCs w:val="28"/>
        </w:rPr>
      </w:pPr>
      <w:r>
        <w:rPr>
          <w:color w:val="000000"/>
          <w:sz w:val="28"/>
          <w:szCs w:val="28"/>
        </w:rPr>
        <w:t>Факт 2020 год – 112,68 тыс. руб.;</w:t>
      </w:r>
    </w:p>
    <w:p w:rsidR="00F07E05" w:rsidRPr="00E86841" w:rsidRDefault="00F07E05" w:rsidP="00F07E05">
      <w:pPr>
        <w:autoSpaceDE w:val="0"/>
        <w:autoSpaceDN w:val="0"/>
        <w:adjustRightInd w:val="0"/>
        <w:ind w:firstLine="720"/>
        <w:jc w:val="both"/>
        <w:rPr>
          <w:sz w:val="28"/>
          <w:szCs w:val="28"/>
        </w:rPr>
      </w:pPr>
      <w:r>
        <w:rPr>
          <w:color w:val="000000"/>
          <w:sz w:val="28"/>
          <w:szCs w:val="28"/>
        </w:rPr>
        <w:t>Оценка 2021 год – 6,0 тыс. руб.</w:t>
      </w:r>
    </w:p>
    <w:p w:rsidR="00F07E05" w:rsidRDefault="00F07E05" w:rsidP="00F07E05">
      <w:pPr>
        <w:ind w:firstLine="709"/>
        <w:jc w:val="both"/>
        <w:rPr>
          <w:sz w:val="28"/>
          <w:szCs w:val="28"/>
        </w:rPr>
      </w:pPr>
      <w:r>
        <w:rPr>
          <w:sz w:val="28"/>
          <w:szCs w:val="28"/>
        </w:rPr>
        <w:t>П</w:t>
      </w:r>
      <w:r w:rsidRPr="00E86841">
        <w:rPr>
          <w:sz w:val="28"/>
          <w:szCs w:val="28"/>
        </w:rPr>
        <w:t xml:space="preserve">рогноз </w:t>
      </w:r>
      <w:r w:rsidRPr="00E86841">
        <w:rPr>
          <w:b/>
          <w:sz w:val="28"/>
          <w:szCs w:val="28"/>
        </w:rPr>
        <w:t>202</w:t>
      </w:r>
      <w:r>
        <w:rPr>
          <w:b/>
          <w:sz w:val="28"/>
          <w:szCs w:val="28"/>
        </w:rPr>
        <w:t>2</w:t>
      </w:r>
      <w:r w:rsidRPr="00E86841">
        <w:rPr>
          <w:sz w:val="28"/>
          <w:szCs w:val="28"/>
        </w:rPr>
        <w:t xml:space="preserve"> год</w:t>
      </w:r>
      <w:r>
        <w:rPr>
          <w:sz w:val="28"/>
          <w:szCs w:val="28"/>
        </w:rPr>
        <w:t xml:space="preserve"> – 61,7 тыс. руб.</w:t>
      </w:r>
      <w:r w:rsidRPr="00E86841">
        <w:rPr>
          <w:sz w:val="28"/>
          <w:szCs w:val="28"/>
        </w:rPr>
        <w:t xml:space="preserve"> (</w:t>
      </w:r>
      <w:r>
        <w:rPr>
          <w:sz w:val="28"/>
          <w:szCs w:val="28"/>
        </w:rPr>
        <w:t>66,6+112,68+6)/</w:t>
      </w:r>
      <w:r w:rsidRPr="00E86841">
        <w:rPr>
          <w:sz w:val="28"/>
          <w:szCs w:val="28"/>
        </w:rPr>
        <w:t>3 =</w:t>
      </w:r>
      <w:r>
        <w:rPr>
          <w:sz w:val="28"/>
          <w:szCs w:val="28"/>
        </w:rPr>
        <w:t xml:space="preserve"> 61,7 </w:t>
      </w:r>
      <w:r w:rsidRPr="00E86841">
        <w:rPr>
          <w:sz w:val="28"/>
          <w:szCs w:val="28"/>
        </w:rPr>
        <w:t>тыс. руб.</w:t>
      </w:r>
    </w:p>
    <w:p w:rsidR="00F07E05" w:rsidRDefault="00F07E05" w:rsidP="00F07E05">
      <w:pPr>
        <w:ind w:firstLine="709"/>
        <w:jc w:val="both"/>
        <w:rPr>
          <w:sz w:val="28"/>
          <w:szCs w:val="28"/>
        </w:rPr>
      </w:pPr>
      <w:r>
        <w:rPr>
          <w:sz w:val="28"/>
          <w:szCs w:val="28"/>
        </w:rPr>
        <w:lastRenderedPageBreak/>
        <w:t>Прогноз на плановой период равен прогнозу на очередной финансовый год 61,7 тыс. руб.</w:t>
      </w:r>
    </w:p>
    <w:p w:rsidR="00F07E05" w:rsidRPr="0001272C" w:rsidRDefault="00F07E05" w:rsidP="00F07E05">
      <w:pPr>
        <w:rPr>
          <w:color w:val="000000"/>
          <w:sz w:val="28"/>
          <w:szCs w:val="28"/>
        </w:rPr>
      </w:pPr>
      <w:r w:rsidRPr="0001272C">
        <w:rPr>
          <w:sz w:val="28"/>
          <w:szCs w:val="28"/>
        </w:rPr>
        <w:t>КБК дохода - 104 1 13 02992 02 0430 130</w:t>
      </w:r>
    </w:p>
    <w:p w:rsidR="00F07E05" w:rsidRDefault="00F07E05" w:rsidP="00F07E05">
      <w:pPr>
        <w:ind w:right="282"/>
        <w:jc w:val="both"/>
        <w:rPr>
          <w:sz w:val="28"/>
          <w:szCs w:val="28"/>
        </w:rPr>
      </w:pPr>
      <w:r w:rsidRPr="002E6055">
        <w:rPr>
          <w:sz w:val="28"/>
          <w:szCs w:val="28"/>
        </w:rPr>
        <w:t xml:space="preserve">         Прогноз поступлений на очередной финансовый год и на плановый период рассчитывается методом усреднения</w:t>
      </w:r>
      <w:r>
        <w:rPr>
          <w:sz w:val="28"/>
          <w:szCs w:val="28"/>
        </w:rPr>
        <w:t>.</w:t>
      </w:r>
    </w:p>
    <w:p w:rsidR="00F07E05" w:rsidRDefault="00F07E05" w:rsidP="00F07E05">
      <w:pPr>
        <w:ind w:right="282" w:firstLine="851"/>
        <w:jc w:val="both"/>
        <w:rPr>
          <w:sz w:val="28"/>
          <w:szCs w:val="28"/>
        </w:rPr>
      </w:pPr>
      <w:r>
        <w:rPr>
          <w:sz w:val="28"/>
          <w:szCs w:val="28"/>
        </w:rPr>
        <w:t>Факт 2019 год – 0 тыс. руб.;</w:t>
      </w:r>
    </w:p>
    <w:p w:rsidR="00F07E05" w:rsidRDefault="00F07E05" w:rsidP="00F07E05">
      <w:pPr>
        <w:ind w:right="282" w:firstLine="851"/>
        <w:jc w:val="both"/>
        <w:rPr>
          <w:sz w:val="28"/>
          <w:szCs w:val="28"/>
        </w:rPr>
      </w:pPr>
      <w:r>
        <w:rPr>
          <w:sz w:val="28"/>
          <w:szCs w:val="28"/>
        </w:rPr>
        <w:t>Факт 2020 год – 0 тыс. руб.;</w:t>
      </w:r>
    </w:p>
    <w:p w:rsidR="00F07E05" w:rsidRDefault="00F07E05" w:rsidP="00F07E05">
      <w:pPr>
        <w:ind w:right="282" w:firstLine="851"/>
        <w:jc w:val="both"/>
        <w:rPr>
          <w:sz w:val="28"/>
          <w:szCs w:val="28"/>
        </w:rPr>
      </w:pPr>
      <w:r>
        <w:rPr>
          <w:sz w:val="28"/>
          <w:szCs w:val="28"/>
        </w:rPr>
        <w:t>Оценка 2021 год – 2332,5 тыс.руб.</w:t>
      </w:r>
    </w:p>
    <w:p w:rsidR="00F07E05" w:rsidRPr="002E6055" w:rsidRDefault="00F07E05" w:rsidP="00F07E05">
      <w:pPr>
        <w:ind w:firstLine="709"/>
        <w:jc w:val="both"/>
        <w:rPr>
          <w:sz w:val="28"/>
          <w:szCs w:val="28"/>
        </w:rPr>
      </w:pPr>
      <w:r w:rsidRPr="002E6055">
        <w:rPr>
          <w:sz w:val="28"/>
          <w:szCs w:val="28"/>
        </w:rPr>
        <w:t xml:space="preserve">Расчет прогноза на </w:t>
      </w:r>
      <w:r w:rsidRPr="002E6055">
        <w:rPr>
          <w:b/>
          <w:sz w:val="28"/>
          <w:szCs w:val="28"/>
        </w:rPr>
        <w:t>2022 год</w:t>
      </w:r>
      <w:r w:rsidRPr="002E6055">
        <w:rPr>
          <w:sz w:val="28"/>
          <w:szCs w:val="28"/>
        </w:rPr>
        <w:t xml:space="preserve"> = (0,0+0,0+ 2 332,51)/3 =</w:t>
      </w:r>
      <w:r w:rsidRPr="002E6055">
        <w:rPr>
          <w:b/>
          <w:sz w:val="28"/>
          <w:szCs w:val="28"/>
        </w:rPr>
        <w:t>777,50 тыс. руб.</w:t>
      </w:r>
    </w:p>
    <w:p w:rsidR="00F07E05" w:rsidRPr="002E6055" w:rsidRDefault="00F07E05" w:rsidP="00F07E05">
      <w:pPr>
        <w:ind w:firstLine="709"/>
        <w:jc w:val="both"/>
        <w:rPr>
          <w:sz w:val="28"/>
          <w:szCs w:val="28"/>
        </w:rPr>
      </w:pPr>
      <w:r w:rsidRPr="002E6055">
        <w:rPr>
          <w:sz w:val="28"/>
          <w:szCs w:val="28"/>
        </w:rPr>
        <w:t>Прогноз на 202</w:t>
      </w:r>
      <w:r w:rsidRPr="002E6055">
        <w:rPr>
          <w:color w:val="000000"/>
          <w:sz w:val="28"/>
          <w:szCs w:val="28"/>
        </w:rPr>
        <w:t>3=(факт 2020+ ожидаемое 2021+прогноз 2022)/3</w:t>
      </w:r>
    </w:p>
    <w:p w:rsidR="00F07E05" w:rsidRPr="002E6055" w:rsidRDefault="00F07E05" w:rsidP="00F07E05">
      <w:pPr>
        <w:ind w:firstLine="709"/>
        <w:jc w:val="both"/>
        <w:rPr>
          <w:sz w:val="28"/>
          <w:szCs w:val="28"/>
        </w:rPr>
      </w:pPr>
      <w:r w:rsidRPr="002E6055">
        <w:rPr>
          <w:sz w:val="28"/>
          <w:szCs w:val="28"/>
        </w:rPr>
        <w:t xml:space="preserve">Расчет прогноза на </w:t>
      </w:r>
      <w:r w:rsidRPr="002E6055">
        <w:rPr>
          <w:b/>
          <w:sz w:val="28"/>
          <w:szCs w:val="28"/>
        </w:rPr>
        <w:t>2023</w:t>
      </w:r>
      <w:r w:rsidRPr="002E6055">
        <w:rPr>
          <w:sz w:val="28"/>
          <w:szCs w:val="28"/>
        </w:rPr>
        <w:t xml:space="preserve"> год = (0,0+2 332,51 + 777,50)/3= </w:t>
      </w:r>
      <w:r w:rsidRPr="002E6055">
        <w:rPr>
          <w:b/>
          <w:sz w:val="28"/>
          <w:szCs w:val="28"/>
        </w:rPr>
        <w:t>1 036,67 тыс.руб.</w:t>
      </w:r>
    </w:p>
    <w:p w:rsidR="00F07E05" w:rsidRPr="002E6055" w:rsidRDefault="00F07E05" w:rsidP="00F07E05">
      <w:pPr>
        <w:ind w:firstLine="709"/>
        <w:jc w:val="both"/>
        <w:rPr>
          <w:sz w:val="28"/>
          <w:szCs w:val="28"/>
        </w:rPr>
      </w:pPr>
      <w:r w:rsidRPr="002E6055">
        <w:rPr>
          <w:sz w:val="28"/>
          <w:szCs w:val="28"/>
        </w:rPr>
        <w:t>Прогноз на 202</w:t>
      </w:r>
      <w:r w:rsidRPr="002E6055">
        <w:rPr>
          <w:color w:val="000000"/>
          <w:sz w:val="28"/>
          <w:szCs w:val="28"/>
        </w:rPr>
        <w:t>4=(ожидаемое 2021+прогноз 2022+прогноз 2023)/3</w:t>
      </w:r>
    </w:p>
    <w:p w:rsidR="00F07E05" w:rsidRDefault="00F07E05" w:rsidP="00F07E05">
      <w:pPr>
        <w:ind w:right="282"/>
        <w:jc w:val="both"/>
        <w:rPr>
          <w:sz w:val="28"/>
          <w:szCs w:val="28"/>
        </w:rPr>
      </w:pPr>
      <w:r w:rsidRPr="002E6055">
        <w:rPr>
          <w:sz w:val="28"/>
          <w:szCs w:val="28"/>
        </w:rPr>
        <w:t xml:space="preserve">Расчет прогноза на </w:t>
      </w:r>
      <w:r w:rsidRPr="002E6055">
        <w:rPr>
          <w:b/>
          <w:sz w:val="28"/>
          <w:szCs w:val="28"/>
        </w:rPr>
        <w:t>2024</w:t>
      </w:r>
      <w:r w:rsidRPr="002E6055">
        <w:rPr>
          <w:sz w:val="28"/>
          <w:szCs w:val="28"/>
        </w:rPr>
        <w:t xml:space="preserve"> год = (2 332,51 +777,50 + 1 036,67)/3= </w:t>
      </w:r>
      <w:r w:rsidRPr="002E6055">
        <w:rPr>
          <w:b/>
          <w:sz w:val="28"/>
          <w:szCs w:val="28"/>
        </w:rPr>
        <w:t>1 382,23 тыс.руб</w:t>
      </w:r>
    </w:p>
    <w:p w:rsidR="00F07E05" w:rsidRDefault="00F07E05" w:rsidP="00F07E05">
      <w:pPr>
        <w:ind w:right="282"/>
        <w:jc w:val="both"/>
        <w:rPr>
          <w:sz w:val="28"/>
          <w:szCs w:val="28"/>
        </w:rPr>
      </w:pPr>
      <w:r w:rsidRPr="002E6055">
        <w:rPr>
          <w:sz w:val="28"/>
          <w:szCs w:val="28"/>
        </w:rPr>
        <w:t xml:space="preserve"> </w:t>
      </w:r>
      <w:r w:rsidRPr="00280467">
        <w:rPr>
          <w:sz w:val="28"/>
          <w:szCs w:val="28"/>
        </w:rPr>
        <w:t>КБК   000 1 13 02992 02 0000 130 «Прочие доходы от компенсации затрат бюджетов субъектов Российской Федерации»</w:t>
      </w:r>
      <w:r>
        <w:rPr>
          <w:sz w:val="28"/>
          <w:szCs w:val="28"/>
        </w:rPr>
        <w:t xml:space="preserve"> (</w:t>
      </w:r>
      <w:r w:rsidRPr="000650F2">
        <w:rPr>
          <w:sz w:val="28"/>
          <w:szCs w:val="28"/>
        </w:rPr>
        <w:t>доходы от организации транспортного обслуживания населения Тверской области</w:t>
      </w:r>
      <w:r>
        <w:rPr>
          <w:sz w:val="28"/>
          <w:szCs w:val="28"/>
        </w:rPr>
        <w:t>)</w:t>
      </w:r>
    </w:p>
    <w:p w:rsidR="00F07E05" w:rsidRDefault="00F07E05" w:rsidP="00F07E05">
      <w:pPr>
        <w:ind w:right="-2" w:firstLine="708"/>
        <w:jc w:val="both"/>
        <w:rPr>
          <w:sz w:val="28"/>
          <w:szCs w:val="28"/>
        </w:rPr>
      </w:pPr>
    </w:p>
    <w:p w:rsidR="00F07E05" w:rsidRPr="0051423B" w:rsidRDefault="00F07E05" w:rsidP="00F07E05">
      <w:pPr>
        <w:autoSpaceDE w:val="0"/>
        <w:autoSpaceDN w:val="0"/>
        <w:adjustRightInd w:val="0"/>
        <w:ind w:firstLine="708"/>
        <w:jc w:val="both"/>
        <w:rPr>
          <w:color w:val="000000"/>
          <w:sz w:val="28"/>
          <w:szCs w:val="28"/>
        </w:rPr>
      </w:pPr>
      <w:r>
        <w:rPr>
          <w:sz w:val="28"/>
          <w:szCs w:val="28"/>
        </w:rPr>
        <w:t>П</w:t>
      </w:r>
      <w:r w:rsidRPr="00D468D2">
        <w:rPr>
          <w:sz w:val="28"/>
          <w:szCs w:val="28"/>
        </w:rPr>
        <w:t>рогноз</w:t>
      </w:r>
      <w:r w:rsidRPr="000078CC">
        <w:rPr>
          <w:sz w:val="28"/>
          <w:szCs w:val="28"/>
        </w:rPr>
        <w:t xml:space="preserve"> поступлений на </w:t>
      </w:r>
      <w:r>
        <w:rPr>
          <w:sz w:val="28"/>
          <w:szCs w:val="28"/>
        </w:rPr>
        <w:t xml:space="preserve">период </w:t>
      </w:r>
      <w:r w:rsidRPr="000078CC">
        <w:rPr>
          <w:sz w:val="28"/>
          <w:szCs w:val="28"/>
        </w:rPr>
        <w:t>20</w:t>
      </w:r>
      <w:r>
        <w:rPr>
          <w:sz w:val="28"/>
          <w:szCs w:val="28"/>
        </w:rPr>
        <w:t xml:space="preserve">21 - 2024 гг. рассчитывается </w:t>
      </w:r>
      <w:r w:rsidRPr="00EA74D3">
        <w:rPr>
          <w:sz w:val="28"/>
          <w:szCs w:val="28"/>
        </w:rPr>
        <w:t>по следующей формуле</w:t>
      </w:r>
      <w:r>
        <w:rPr>
          <w:sz w:val="28"/>
          <w:szCs w:val="28"/>
        </w:rPr>
        <w:t>:</w:t>
      </w:r>
      <w:r w:rsidRPr="000078CC">
        <w:rPr>
          <w:sz w:val="28"/>
          <w:szCs w:val="28"/>
        </w:rPr>
        <w:t xml:space="preserve"> </w:t>
      </w:r>
    </w:p>
    <w:p w:rsidR="00F07E05" w:rsidRDefault="00F07E05" w:rsidP="00F07E05">
      <w:pPr>
        <w:ind w:right="282" w:firstLine="708"/>
        <w:jc w:val="both"/>
        <w:rPr>
          <w:sz w:val="28"/>
          <w:szCs w:val="28"/>
        </w:rPr>
      </w:pPr>
    </w:p>
    <w:p w:rsidR="00F07E05" w:rsidRDefault="00F07E05" w:rsidP="00F07E05">
      <w:pPr>
        <w:autoSpaceDE w:val="0"/>
        <w:autoSpaceDN w:val="0"/>
        <w:adjustRightInd w:val="0"/>
        <w:ind w:firstLine="708"/>
        <w:jc w:val="both"/>
        <w:rPr>
          <w:bCs/>
          <w:sz w:val="28"/>
          <w:szCs w:val="28"/>
        </w:rPr>
      </w:pPr>
      <w:bookmarkStart w:id="1" w:name="_Hlk11339980"/>
      <w:bookmarkStart w:id="2" w:name="_Hlk11335990"/>
      <w:bookmarkStart w:id="3" w:name="_Hlk11341338"/>
      <w:r>
        <w:rPr>
          <w:sz w:val="28"/>
          <w:szCs w:val="28"/>
        </w:rPr>
        <w:t xml:space="preserve">        </w:t>
      </w:r>
      <w:r w:rsidRPr="009C282E">
        <w:rPr>
          <w:sz w:val="28"/>
          <w:szCs w:val="28"/>
        </w:rPr>
        <w:t>Пн</w:t>
      </w:r>
      <w:r w:rsidRPr="00EC7EBA">
        <w:rPr>
          <w:sz w:val="20"/>
          <w:szCs w:val="20"/>
          <w:lang w:val="en-US"/>
        </w:rPr>
        <w:t>t</w:t>
      </w:r>
      <w:r>
        <w:rPr>
          <w:sz w:val="28"/>
          <w:szCs w:val="28"/>
        </w:rPr>
        <w:t xml:space="preserve">= </w:t>
      </w:r>
      <w:r w:rsidRPr="00926764">
        <w:rPr>
          <w:sz w:val="28"/>
          <w:szCs w:val="28"/>
        </w:rPr>
        <w:t>(</w:t>
      </w:r>
      <w:r>
        <w:rPr>
          <w:sz w:val="28"/>
          <w:szCs w:val="28"/>
        </w:rPr>
        <w:t>((Пмун</w:t>
      </w:r>
      <w:r w:rsidRPr="00EC7EBA">
        <w:rPr>
          <w:sz w:val="20"/>
          <w:szCs w:val="20"/>
          <w:lang w:val="en-US"/>
        </w:rPr>
        <w:t>t</w:t>
      </w:r>
      <w:r>
        <w:rPr>
          <w:sz w:val="28"/>
          <w:szCs w:val="28"/>
        </w:rPr>
        <w:t xml:space="preserve"> х Тмун</w:t>
      </w:r>
      <w:r w:rsidRPr="00EC7EBA">
        <w:rPr>
          <w:sz w:val="20"/>
          <w:szCs w:val="20"/>
          <w:lang w:val="en-US"/>
        </w:rPr>
        <w:t>t</w:t>
      </w:r>
      <w:r>
        <w:rPr>
          <w:sz w:val="28"/>
          <w:szCs w:val="28"/>
        </w:rPr>
        <w:t xml:space="preserve"> + Пмеж</w:t>
      </w:r>
      <w:r w:rsidRPr="00EC7EBA">
        <w:rPr>
          <w:sz w:val="20"/>
          <w:szCs w:val="20"/>
          <w:lang w:val="en-US"/>
        </w:rPr>
        <w:t>t</w:t>
      </w:r>
      <w:r>
        <w:rPr>
          <w:sz w:val="28"/>
          <w:szCs w:val="28"/>
        </w:rPr>
        <w:t xml:space="preserve"> х Тмеж</w:t>
      </w:r>
      <w:r w:rsidRPr="00EC7EBA">
        <w:rPr>
          <w:sz w:val="20"/>
          <w:szCs w:val="20"/>
          <w:lang w:val="en-US"/>
        </w:rPr>
        <w:t>t</w:t>
      </w:r>
      <w:r>
        <w:rPr>
          <w:sz w:val="28"/>
          <w:szCs w:val="28"/>
        </w:rPr>
        <w:t xml:space="preserve"> х СДмеж) х (100% – К</w:t>
      </w:r>
      <w:r w:rsidRPr="00EC7EBA">
        <w:rPr>
          <w:sz w:val="20"/>
          <w:szCs w:val="20"/>
          <w:lang w:val="en-US"/>
        </w:rPr>
        <w:t>t</w:t>
      </w:r>
      <w:r>
        <w:rPr>
          <w:sz w:val="28"/>
          <w:szCs w:val="28"/>
        </w:rPr>
        <w:t xml:space="preserve">) х </w:t>
      </w:r>
      <w:r>
        <w:rPr>
          <w:sz w:val="28"/>
          <w:szCs w:val="28"/>
          <w:lang w:val="en-US"/>
        </w:rPr>
        <w:t>r</w:t>
      </w:r>
      <w:r w:rsidRPr="00B61E00">
        <w:rPr>
          <w:sz w:val="16"/>
          <w:szCs w:val="28"/>
          <w:lang w:val="en-US"/>
        </w:rPr>
        <w:t>t</w:t>
      </w:r>
      <w:r>
        <w:rPr>
          <w:sz w:val="28"/>
          <w:szCs w:val="28"/>
        </w:rPr>
        <w:t xml:space="preserve">/12) + </w:t>
      </w:r>
      <w:bookmarkStart w:id="4" w:name="_Hlk51229200"/>
      <w:r w:rsidRPr="006F6C4B">
        <w:rPr>
          <w:bCs/>
          <w:sz w:val="28"/>
          <w:szCs w:val="28"/>
        </w:rPr>
        <w:t>Д</w:t>
      </w:r>
      <w:bookmarkEnd w:id="4"/>
      <w:r>
        <w:rPr>
          <w:bCs/>
          <w:sz w:val="28"/>
          <w:szCs w:val="28"/>
        </w:rPr>
        <w:t>пр</w:t>
      </w:r>
      <w:r w:rsidRPr="00926764">
        <w:rPr>
          <w:bCs/>
          <w:sz w:val="28"/>
          <w:szCs w:val="28"/>
        </w:rPr>
        <w:t xml:space="preserve">) </w:t>
      </w:r>
      <w:r>
        <w:rPr>
          <w:bCs/>
          <w:sz w:val="28"/>
          <w:szCs w:val="28"/>
          <w:lang w:val="en-US"/>
        </w:rPr>
        <w:t>x</w:t>
      </w:r>
      <w:r w:rsidRPr="00926764">
        <w:rPr>
          <w:bCs/>
          <w:sz w:val="28"/>
          <w:szCs w:val="28"/>
        </w:rPr>
        <w:t xml:space="preserve"> </w:t>
      </w:r>
      <w:r>
        <w:rPr>
          <w:bCs/>
          <w:sz w:val="28"/>
          <w:szCs w:val="28"/>
        </w:rPr>
        <w:t>Ккр</w:t>
      </w:r>
      <w:r w:rsidRPr="00EC7EBA">
        <w:rPr>
          <w:sz w:val="20"/>
          <w:szCs w:val="20"/>
          <w:lang w:val="en-US"/>
        </w:rPr>
        <w:t>t</w:t>
      </w:r>
      <w:r w:rsidRPr="006F6C4B">
        <w:rPr>
          <w:bCs/>
          <w:sz w:val="28"/>
          <w:szCs w:val="28"/>
        </w:rPr>
        <w:t>,</w:t>
      </w:r>
      <w:bookmarkStart w:id="5" w:name="_Hlk11335998"/>
      <w:bookmarkEnd w:id="1"/>
      <w:bookmarkEnd w:id="2"/>
    </w:p>
    <w:p w:rsidR="00F07E05" w:rsidRPr="006F6C4B" w:rsidRDefault="00F07E05" w:rsidP="00F07E05">
      <w:pPr>
        <w:autoSpaceDE w:val="0"/>
        <w:autoSpaceDN w:val="0"/>
        <w:adjustRightInd w:val="0"/>
        <w:ind w:firstLine="708"/>
        <w:jc w:val="both"/>
        <w:rPr>
          <w:bCs/>
          <w:sz w:val="28"/>
          <w:szCs w:val="28"/>
        </w:rPr>
      </w:pPr>
    </w:p>
    <w:p w:rsidR="00F07E05" w:rsidRPr="00F15FE4" w:rsidRDefault="00F07E05" w:rsidP="00F07E05">
      <w:pPr>
        <w:pStyle w:val="af4"/>
        <w:ind w:left="284" w:firstLine="708"/>
        <w:rPr>
          <w:sz w:val="28"/>
          <w:szCs w:val="28"/>
        </w:rPr>
      </w:pPr>
      <w:r>
        <w:rPr>
          <w:sz w:val="28"/>
          <w:szCs w:val="28"/>
        </w:rPr>
        <w:t>где:</w:t>
      </w:r>
    </w:p>
    <w:p w:rsidR="00F07E05" w:rsidRDefault="00F07E05" w:rsidP="00F07E05">
      <w:pPr>
        <w:pStyle w:val="af4"/>
        <w:ind w:left="284" w:firstLine="708"/>
        <w:rPr>
          <w:sz w:val="28"/>
          <w:szCs w:val="28"/>
        </w:rPr>
      </w:pPr>
      <w:r w:rsidRPr="009C282E">
        <w:rPr>
          <w:sz w:val="28"/>
          <w:szCs w:val="28"/>
        </w:rPr>
        <w:t>Пн</w:t>
      </w:r>
      <w:r w:rsidRPr="00EC7EBA">
        <w:rPr>
          <w:sz w:val="20"/>
          <w:szCs w:val="20"/>
          <w:lang w:val="en-US"/>
        </w:rPr>
        <w:t>t</w:t>
      </w:r>
      <w:r w:rsidRPr="00EC7EBA">
        <w:rPr>
          <w:sz w:val="20"/>
          <w:szCs w:val="20"/>
        </w:rPr>
        <w:t xml:space="preserve"> </w:t>
      </w:r>
      <w:r>
        <w:rPr>
          <w:sz w:val="28"/>
          <w:szCs w:val="28"/>
        </w:rPr>
        <w:t>– прогноз на очередной финансовый год</w:t>
      </w:r>
      <w:r w:rsidRPr="00EC7EBA">
        <w:rPr>
          <w:sz w:val="28"/>
          <w:szCs w:val="28"/>
        </w:rPr>
        <w:t xml:space="preserve"> </w:t>
      </w:r>
      <w:r>
        <w:rPr>
          <w:sz w:val="28"/>
          <w:szCs w:val="28"/>
          <w:lang w:val="en-US"/>
        </w:rPr>
        <w:t>t</w:t>
      </w:r>
      <w:r>
        <w:rPr>
          <w:sz w:val="28"/>
          <w:szCs w:val="28"/>
        </w:rPr>
        <w:t>;</w:t>
      </w:r>
    </w:p>
    <w:p w:rsidR="00F07E05" w:rsidRDefault="00F07E05" w:rsidP="00F07E05">
      <w:pPr>
        <w:pStyle w:val="af4"/>
        <w:ind w:left="284" w:firstLine="708"/>
        <w:jc w:val="both"/>
        <w:rPr>
          <w:sz w:val="28"/>
          <w:szCs w:val="28"/>
        </w:rPr>
      </w:pPr>
      <w:r>
        <w:rPr>
          <w:sz w:val="28"/>
          <w:szCs w:val="28"/>
        </w:rPr>
        <w:t>Пмун</w:t>
      </w:r>
      <w:r w:rsidRPr="00EC7EBA">
        <w:rPr>
          <w:sz w:val="20"/>
          <w:szCs w:val="20"/>
          <w:lang w:val="en-US"/>
        </w:rPr>
        <w:t>t</w:t>
      </w:r>
      <w:r>
        <w:rPr>
          <w:sz w:val="28"/>
          <w:szCs w:val="28"/>
        </w:rPr>
        <w:t xml:space="preserve"> – объем перевезенных пассажиров автомобильным транспортом общего пользования по муниципальным маршрутам регулярных перевозок </w:t>
      </w:r>
      <w:r w:rsidRPr="00EE2646">
        <w:rPr>
          <w:sz w:val="28"/>
          <w:szCs w:val="28"/>
        </w:rPr>
        <w:t>в муниципальном образовании</w:t>
      </w:r>
      <w:r>
        <w:rPr>
          <w:sz w:val="28"/>
          <w:szCs w:val="28"/>
        </w:rPr>
        <w:t xml:space="preserve"> Т</w:t>
      </w:r>
      <w:r w:rsidRPr="00EE2646">
        <w:rPr>
          <w:sz w:val="28"/>
          <w:szCs w:val="28"/>
        </w:rPr>
        <w:t xml:space="preserve">верской области городской округ город </w:t>
      </w:r>
      <w:r>
        <w:rPr>
          <w:sz w:val="28"/>
          <w:szCs w:val="28"/>
        </w:rPr>
        <w:t>Т</w:t>
      </w:r>
      <w:r w:rsidRPr="00EE2646">
        <w:rPr>
          <w:sz w:val="28"/>
          <w:szCs w:val="28"/>
        </w:rPr>
        <w:t>верь</w:t>
      </w:r>
      <w:r>
        <w:rPr>
          <w:sz w:val="28"/>
          <w:szCs w:val="28"/>
        </w:rPr>
        <w:t xml:space="preserve"> за отчетный период, определяемый в соответствии с статистическими данными территориальных органов Федеральной службы государственной статистики по Тверской области или иных источников статистической информации;</w:t>
      </w:r>
    </w:p>
    <w:p w:rsidR="00F07E05" w:rsidRDefault="00F07E05" w:rsidP="00F07E05">
      <w:pPr>
        <w:pStyle w:val="af4"/>
        <w:ind w:left="284" w:firstLine="708"/>
        <w:jc w:val="both"/>
        <w:rPr>
          <w:sz w:val="28"/>
          <w:szCs w:val="28"/>
        </w:rPr>
      </w:pPr>
      <w:r>
        <w:rPr>
          <w:sz w:val="28"/>
          <w:szCs w:val="28"/>
        </w:rPr>
        <w:t>Пмеж</w:t>
      </w:r>
      <w:r w:rsidRPr="00EC7EBA">
        <w:rPr>
          <w:sz w:val="20"/>
          <w:szCs w:val="20"/>
          <w:lang w:val="en-US"/>
        </w:rPr>
        <w:t>t</w:t>
      </w:r>
      <w:r>
        <w:rPr>
          <w:sz w:val="28"/>
          <w:szCs w:val="28"/>
        </w:rPr>
        <w:t xml:space="preserve"> – объем перевезенных пассажиров автомобильным транспортом общего пользования по межмуниципальным маршрутам регулярных перевозок на территории Тверской области </w:t>
      </w:r>
      <w:r w:rsidRPr="00730A39">
        <w:rPr>
          <w:sz w:val="28"/>
          <w:szCs w:val="28"/>
        </w:rPr>
        <w:t xml:space="preserve">в очередном финансовом году </w:t>
      </w:r>
      <w:r w:rsidRPr="00730A39">
        <w:rPr>
          <w:sz w:val="28"/>
          <w:szCs w:val="28"/>
          <w:lang w:val="en-US"/>
        </w:rPr>
        <w:t>t</w:t>
      </w:r>
      <w:r>
        <w:rPr>
          <w:sz w:val="28"/>
          <w:szCs w:val="28"/>
        </w:rPr>
        <w:t>,</w:t>
      </w:r>
      <w:r w:rsidRPr="00570A08">
        <w:rPr>
          <w:sz w:val="28"/>
          <w:szCs w:val="28"/>
        </w:rPr>
        <w:t xml:space="preserve"> </w:t>
      </w:r>
      <w:r>
        <w:rPr>
          <w:sz w:val="28"/>
          <w:szCs w:val="28"/>
        </w:rPr>
        <w:t>определяемый в соответствии с статистическими данными территориальных органов Федеральной службы государственной статистики по Тверской области или иных источников статистической информации;</w:t>
      </w:r>
    </w:p>
    <w:p w:rsidR="00F07E05" w:rsidRDefault="00F07E05" w:rsidP="00F07E05">
      <w:pPr>
        <w:pStyle w:val="af4"/>
        <w:ind w:left="284" w:firstLine="708"/>
        <w:jc w:val="both"/>
        <w:rPr>
          <w:sz w:val="28"/>
          <w:szCs w:val="28"/>
        </w:rPr>
      </w:pPr>
      <w:r>
        <w:rPr>
          <w:sz w:val="28"/>
          <w:szCs w:val="28"/>
        </w:rPr>
        <w:t>Тмун</w:t>
      </w:r>
      <w:r w:rsidRPr="00EC7EBA">
        <w:rPr>
          <w:sz w:val="20"/>
          <w:szCs w:val="20"/>
          <w:lang w:val="en-US"/>
        </w:rPr>
        <w:t>t</w:t>
      </w:r>
      <w:r>
        <w:rPr>
          <w:sz w:val="28"/>
          <w:szCs w:val="28"/>
        </w:rPr>
        <w:t xml:space="preserve"> – средневзвешенный размер тарифа (доходная ставка) </w:t>
      </w:r>
      <w:r w:rsidRPr="00EE2646">
        <w:rPr>
          <w:sz w:val="28"/>
          <w:szCs w:val="28"/>
        </w:rPr>
        <w:t>на перевозки</w:t>
      </w:r>
      <w:r>
        <w:rPr>
          <w:sz w:val="28"/>
          <w:szCs w:val="28"/>
        </w:rPr>
        <w:t xml:space="preserve"> </w:t>
      </w:r>
      <w:r w:rsidRPr="00EE2646">
        <w:rPr>
          <w:sz w:val="28"/>
          <w:szCs w:val="28"/>
        </w:rPr>
        <w:t>пассажиров автомобильным транспортом общего пользования</w:t>
      </w:r>
      <w:r>
        <w:rPr>
          <w:sz w:val="28"/>
          <w:szCs w:val="28"/>
        </w:rPr>
        <w:t xml:space="preserve"> </w:t>
      </w:r>
      <w:r w:rsidRPr="00EE2646">
        <w:rPr>
          <w:sz w:val="28"/>
          <w:szCs w:val="28"/>
        </w:rPr>
        <w:t>с посадкой и высадкой пассажиров только в установленных</w:t>
      </w:r>
      <w:r>
        <w:rPr>
          <w:sz w:val="28"/>
          <w:szCs w:val="28"/>
        </w:rPr>
        <w:t xml:space="preserve"> </w:t>
      </w:r>
      <w:r w:rsidRPr="00EE2646">
        <w:rPr>
          <w:sz w:val="28"/>
          <w:szCs w:val="28"/>
        </w:rPr>
        <w:t>остановочных пунктах по маршруту регулярных перевозок</w:t>
      </w:r>
      <w:r>
        <w:rPr>
          <w:sz w:val="28"/>
          <w:szCs w:val="28"/>
        </w:rPr>
        <w:t xml:space="preserve"> </w:t>
      </w:r>
      <w:r w:rsidRPr="00EE2646">
        <w:rPr>
          <w:sz w:val="28"/>
          <w:szCs w:val="28"/>
        </w:rPr>
        <w:t>в городском сообщении в муниципальном образовании</w:t>
      </w:r>
      <w:r>
        <w:rPr>
          <w:sz w:val="28"/>
          <w:szCs w:val="28"/>
        </w:rPr>
        <w:t xml:space="preserve"> Т</w:t>
      </w:r>
      <w:r w:rsidRPr="00EE2646">
        <w:rPr>
          <w:sz w:val="28"/>
          <w:szCs w:val="28"/>
        </w:rPr>
        <w:t xml:space="preserve">верской области городской округ город </w:t>
      </w:r>
      <w:r>
        <w:rPr>
          <w:sz w:val="28"/>
          <w:szCs w:val="28"/>
        </w:rPr>
        <w:lastRenderedPageBreak/>
        <w:t>Т</w:t>
      </w:r>
      <w:r w:rsidRPr="00EE2646">
        <w:rPr>
          <w:sz w:val="28"/>
          <w:szCs w:val="28"/>
        </w:rPr>
        <w:t>верь</w:t>
      </w:r>
      <w:r>
        <w:rPr>
          <w:sz w:val="28"/>
          <w:szCs w:val="28"/>
        </w:rPr>
        <w:t xml:space="preserve"> </w:t>
      </w:r>
      <w:r w:rsidRPr="00730A39">
        <w:rPr>
          <w:sz w:val="28"/>
          <w:szCs w:val="28"/>
        </w:rPr>
        <w:t xml:space="preserve">в очередном финансовом году </w:t>
      </w:r>
      <w:r w:rsidRPr="00730A39">
        <w:rPr>
          <w:sz w:val="28"/>
          <w:szCs w:val="28"/>
          <w:lang w:val="en-US"/>
        </w:rPr>
        <w:t>t</w:t>
      </w:r>
      <w:r>
        <w:rPr>
          <w:sz w:val="28"/>
          <w:szCs w:val="28"/>
        </w:rPr>
        <w:t>, рассчитанный в соответствии с тарифами, запланированными на прогнозный финансовый год (расчет прилагается);</w:t>
      </w:r>
    </w:p>
    <w:p w:rsidR="00F07E05" w:rsidRDefault="00F07E05" w:rsidP="00F07E05">
      <w:pPr>
        <w:pStyle w:val="af4"/>
        <w:ind w:left="284" w:firstLine="708"/>
        <w:jc w:val="both"/>
        <w:rPr>
          <w:sz w:val="28"/>
          <w:szCs w:val="28"/>
        </w:rPr>
      </w:pPr>
      <w:r>
        <w:rPr>
          <w:sz w:val="28"/>
          <w:szCs w:val="28"/>
        </w:rPr>
        <w:t>Тмеж</w:t>
      </w:r>
      <w:r w:rsidRPr="00EC7EBA">
        <w:rPr>
          <w:sz w:val="20"/>
          <w:szCs w:val="20"/>
          <w:lang w:val="en-US"/>
        </w:rPr>
        <w:t>t</w:t>
      </w:r>
      <w:r>
        <w:rPr>
          <w:sz w:val="28"/>
          <w:szCs w:val="28"/>
        </w:rPr>
        <w:t xml:space="preserve"> – средневзвешенный размер тарифа (доходная ставка) </w:t>
      </w:r>
      <w:r w:rsidRPr="00EE2646">
        <w:rPr>
          <w:sz w:val="28"/>
          <w:szCs w:val="28"/>
        </w:rPr>
        <w:t>на перевозки</w:t>
      </w:r>
      <w:r>
        <w:rPr>
          <w:sz w:val="28"/>
          <w:szCs w:val="28"/>
        </w:rPr>
        <w:t xml:space="preserve"> </w:t>
      </w:r>
      <w:r w:rsidRPr="00EE2646">
        <w:rPr>
          <w:sz w:val="28"/>
          <w:szCs w:val="28"/>
        </w:rPr>
        <w:t>пассажиров автомобильным транспортом общего пользования</w:t>
      </w:r>
      <w:r>
        <w:rPr>
          <w:sz w:val="28"/>
          <w:szCs w:val="28"/>
        </w:rPr>
        <w:t xml:space="preserve"> </w:t>
      </w:r>
      <w:r w:rsidRPr="00EE2646">
        <w:rPr>
          <w:sz w:val="28"/>
          <w:szCs w:val="28"/>
        </w:rPr>
        <w:t>с посадкой и высадкой пассажиров только в установленных</w:t>
      </w:r>
      <w:r>
        <w:rPr>
          <w:sz w:val="28"/>
          <w:szCs w:val="28"/>
        </w:rPr>
        <w:t xml:space="preserve"> </w:t>
      </w:r>
      <w:r w:rsidRPr="00EE2646">
        <w:rPr>
          <w:sz w:val="28"/>
          <w:szCs w:val="28"/>
        </w:rPr>
        <w:t>остановочных пунктах по маршруту регулярных перевозок</w:t>
      </w:r>
      <w:r>
        <w:rPr>
          <w:sz w:val="28"/>
          <w:szCs w:val="28"/>
        </w:rPr>
        <w:t xml:space="preserve"> </w:t>
      </w:r>
      <w:r w:rsidRPr="00EE2646">
        <w:rPr>
          <w:sz w:val="28"/>
          <w:szCs w:val="28"/>
        </w:rPr>
        <w:t>в</w:t>
      </w:r>
      <w:r>
        <w:rPr>
          <w:sz w:val="28"/>
          <w:szCs w:val="28"/>
        </w:rPr>
        <w:t xml:space="preserve"> пригородном сообщении в муниципальных </w:t>
      </w:r>
    </w:p>
    <w:p w:rsidR="00F07E05" w:rsidRDefault="00F07E05" w:rsidP="00F07E05">
      <w:pPr>
        <w:pStyle w:val="af4"/>
        <w:ind w:left="284" w:firstLine="708"/>
        <w:jc w:val="both"/>
        <w:rPr>
          <w:sz w:val="28"/>
          <w:szCs w:val="28"/>
        </w:rPr>
      </w:pPr>
      <w:r>
        <w:rPr>
          <w:sz w:val="28"/>
          <w:szCs w:val="28"/>
        </w:rPr>
        <w:t xml:space="preserve">образованиях Тверской области </w:t>
      </w:r>
      <w:r w:rsidRPr="00730A39">
        <w:rPr>
          <w:sz w:val="28"/>
          <w:szCs w:val="28"/>
        </w:rPr>
        <w:t xml:space="preserve">в очередном финансовом году </w:t>
      </w:r>
      <w:r w:rsidRPr="00730A39">
        <w:rPr>
          <w:sz w:val="28"/>
          <w:szCs w:val="28"/>
          <w:lang w:val="en-US"/>
        </w:rPr>
        <w:t>t</w:t>
      </w:r>
      <w:r>
        <w:rPr>
          <w:sz w:val="28"/>
          <w:szCs w:val="28"/>
        </w:rPr>
        <w:t>, рассчитанный в соответствии с тарифами, запланированными на прогнозный финансовый год (расчет прилагается);</w:t>
      </w:r>
    </w:p>
    <w:p w:rsidR="00F07E05" w:rsidRDefault="00F07E05" w:rsidP="00F07E05">
      <w:pPr>
        <w:pStyle w:val="af4"/>
        <w:ind w:left="284" w:firstLine="708"/>
        <w:jc w:val="both"/>
        <w:rPr>
          <w:sz w:val="28"/>
          <w:szCs w:val="28"/>
        </w:rPr>
      </w:pPr>
      <w:r>
        <w:rPr>
          <w:sz w:val="28"/>
          <w:szCs w:val="28"/>
        </w:rPr>
        <w:t xml:space="preserve">СДмеж – средняя дальность перевозки пассажира </w:t>
      </w:r>
      <w:r w:rsidRPr="00EE2646">
        <w:rPr>
          <w:sz w:val="28"/>
          <w:szCs w:val="28"/>
        </w:rPr>
        <w:t>автомобильным транспортом общего пользования</w:t>
      </w:r>
      <w:r>
        <w:rPr>
          <w:sz w:val="28"/>
          <w:szCs w:val="28"/>
        </w:rPr>
        <w:t xml:space="preserve"> </w:t>
      </w:r>
      <w:r w:rsidRPr="00EE2646">
        <w:rPr>
          <w:sz w:val="28"/>
          <w:szCs w:val="28"/>
        </w:rPr>
        <w:t>по маршрут</w:t>
      </w:r>
      <w:r>
        <w:rPr>
          <w:sz w:val="28"/>
          <w:szCs w:val="28"/>
        </w:rPr>
        <w:t>ам</w:t>
      </w:r>
      <w:r w:rsidRPr="00EE2646">
        <w:rPr>
          <w:sz w:val="28"/>
          <w:szCs w:val="28"/>
        </w:rPr>
        <w:t xml:space="preserve"> регулярных перевозок</w:t>
      </w:r>
      <w:r>
        <w:rPr>
          <w:sz w:val="28"/>
          <w:szCs w:val="28"/>
        </w:rPr>
        <w:t xml:space="preserve"> </w:t>
      </w:r>
      <w:r w:rsidRPr="00EE2646">
        <w:rPr>
          <w:sz w:val="28"/>
          <w:szCs w:val="28"/>
        </w:rPr>
        <w:t>в</w:t>
      </w:r>
      <w:r>
        <w:rPr>
          <w:sz w:val="28"/>
          <w:szCs w:val="28"/>
        </w:rPr>
        <w:t xml:space="preserve"> пригородном сообщении в муниципальных образованиях Тверской области </w:t>
      </w:r>
      <w:r w:rsidRPr="00730A39">
        <w:rPr>
          <w:sz w:val="28"/>
          <w:szCs w:val="28"/>
        </w:rPr>
        <w:t xml:space="preserve">в очередном финансовом году </w:t>
      </w:r>
      <w:r w:rsidRPr="00730A39">
        <w:rPr>
          <w:sz w:val="28"/>
          <w:szCs w:val="28"/>
          <w:lang w:val="en-US"/>
        </w:rPr>
        <w:t>t</w:t>
      </w:r>
      <w:r>
        <w:rPr>
          <w:sz w:val="28"/>
          <w:szCs w:val="28"/>
        </w:rPr>
        <w:t>, определяемый в соответствии с статистическими данными территориальных органов Федеральной службы государственной статистики по Тверской области или иных источников статистической информации;</w:t>
      </w:r>
    </w:p>
    <w:p w:rsidR="00F07E05" w:rsidRPr="003F7F8F" w:rsidRDefault="00F07E05" w:rsidP="00F07E05">
      <w:pPr>
        <w:pStyle w:val="af4"/>
        <w:ind w:left="284" w:firstLine="708"/>
        <w:jc w:val="both"/>
        <w:rPr>
          <w:sz w:val="28"/>
          <w:szCs w:val="28"/>
        </w:rPr>
      </w:pPr>
      <w:bookmarkStart w:id="6" w:name="_Hlk11340287"/>
      <w:r w:rsidRPr="003F7F8F">
        <w:rPr>
          <w:sz w:val="28"/>
          <w:szCs w:val="28"/>
        </w:rPr>
        <w:t>К</w:t>
      </w:r>
      <w:r w:rsidRPr="00686122">
        <w:rPr>
          <w:sz w:val="28"/>
          <w:szCs w:val="28"/>
        </w:rPr>
        <w:t>t</w:t>
      </w:r>
      <w:r w:rsidRPr="003F7F8F">
        <w:rPr>
          <w:sz w:val="28"/>
          <w:szCs w:val="28"/>
        </w:rPr>
        <w:t xml:space="preserve"> – </w:t>
      </w:r>
      <w:bookmarkEnd w:id="3"/>
      <w:r w:rsidRPr="00686122">
        <w:rPr>
          <w:sz w:val="28"/>
          <w:szCs w:val="28"/>
        </w:rPr>
        <w:t>Размер затрат на мониторинг транспортной работы и пассажирских потоков, организацию системы безналичной оплаты проезда и провоза багажа, осуществление контроля за полнотой сбора платы за проезд пассажиров и провоз багажа, а также затрат на информационно-техническое и технологическое обеспечение ее сбора</w:t>
      </w:r>
      <w:r>
        <w:rPr>
          <w:sz w:val="28"/>
          <w:szCs w:val="28"/>
        </w:rPr>
        <w:t xml:space="preserve"> </w:t>
      </w:r>
      <w:r w:rsidRPr="003F7F8F">
        <w:rPr>
          <w:sz w:val="28"/>
          <w:szCs w:val="28"/>
        </w:rPr>
        <w:t xml:space="preserve">в очередном финансовом году </w:t>
      </w:r>
      <w:r w:rsidRPr="00686122">
        <w:rPr>
          <w:sz w:val="28"/>
          <w:szCs w:val="28"/>
        </w:rPr>
        <w:t>t</w:t>
      </w:r>
      <w:r w:rsidRPr="003F7F8F">
        <w:rPr>
          <w:sz w:val="28"/>
          <w:szCs w:val="28"/>
        </w:rPr>
        <w:t>;</w:t>
      </w:r>
    </w:p>
    <w:p w:rsidR="00F07E05" w:rsidRDefault="00F07E05" w:rsidP="00F07E05">
      <w:pPr>
        <w:pStyle w:val="af4"/>
        <w:ind w:left="284" w:firstLine="708"/>
        <w:jc w:val="both"/>
        <w:rPr>
          <w:sz w:val="28"/>
          <w:szCs w:val="28"/>
        </w:rPr>
      </w:pPr>
      <w:r w:rsidRPr="005B6421">
        <w:rPr>
          <w:color w:val="000000"/>
          <w:sz w:val="28"/>
          <w:szCs w:val="28"/>
        </w:rPr>
        <w:t>rt – количество месяцев исполнения контрактов на выполнение работ, связанных с</w:t>
      </w:r>
      <w:r>
        <w:rPr>
          <w:sz w:val="28"/>
          <w:szCs w:val="28"/>
        </w:rPr>
        <w:t xml:space="preserve"> осуществлением регулярных перевозок по регулируемым тарифам на </w:t>
      </w:r>
      <w:r w:rsidRPr="00B61E00">
        <w:rPr>
          <w:sz w:val="28"/>
          <w:szCs w:val="28"/>
        </w:rPr>
        <w:t>муниципальных и межмуниципальных маршрутах регулярных перевозок Тверской агломерации</w:t>
      </w:r>
      <w:r>
        <w:rPr>
          <w:sz w:val="28"/>
          <w:szCs w:val="28"/>
        </w:rPr>
        <w:t xml:space="preserve"> </w:t>
      </w:r>
      <w:r w:rsidRPr="00730A39">
        <w:rPr>
          <w:sz w:val="28"/>
          <w:szCs w:val="28"/>
        </w:rPr>
        <w:t xml:space="preserve">в очередном финансовом году </w:t>
      </w:r>
      <w:r w:rsidRPr="00730A39">
        <w:rPr>
          <w:sz w:val="28"/>
          <w:szCs w:val="28"/>
          <w:lang w:val="en-US"/>
        </w:rPr>
        <w:t>t</w:t>
      </w:r>
      <w:r w:rsidRPr="00730A39">
        <w:rPr>
          <w:sz w:val="28"/>
          <w:szCs w:val="28"/>
        </w:rPr>
        <w:t>;</w:t>
      </w:r>
    </w:p>
    <w:p w:rsidR="00F07E05" w:rsidRDefault="00F07E05" w:rsidP="00F07E05">
      <w:pPr>
        <w:pStyle w:val="af4"/>
        <w:ind w:left="284" w:firstLine="708"/>
        <w:jc w:val="both"/>
        <w:rPr>
          <w:sz w:val="28"/>
          <w:szCs w:val="28"/>
        </w:rPr>
      </w:pPr>
      <w:r>
        <w:rPr>
          <w:sz w:val="28"/>
          <w:szCs w:val="28"/>
        </w:rPr>
        <w:t>12 – количество месяцев в году</w:t>
      </w:r>
      <w:bookmarkEnd w:id="5"/>
      <w:bookmarkEnd w:id="6"/>
      <w:r>
        <w:rPr>
          <w:sz w:val="28"/>
          <w:szCs w:val="28"/>
        </w:rPr>
        <w:t>;</w:t>
      </w:r>
    </w:p>
    <w:p w:rsidR="00F07E05" w:rsidRDefault="00F07E05" w:rsidP="00F07E05">
      <w:pPr>
        <w:ind w:firstLine="708"/>
        <w:jc w:val="both"/>
        <w:textAlignment w:val="baseline"/>
        <w:rPr>
          <w:color w:val="000000"/>
          <w:sz w:val="28"/>
          <w:szCs w:val="28"/>
        </w:rPr>
      </w:pPr>
      <w:r w:rsidRPr="00D56C32">
        <w:rPr>
          <w:sz w:val="28"/>
          <w:szCs w:val="28"/>
        </w:rPr>
        <w:t>Д</w:t>
      </w:r>
      <w:r>
        <w:rPr>
          <w:sz w:val="28"/>
          <w:szCs w:val="28"/>
        </w:rPr>
        <w:t>пр</w:t>
      </w:r>
      <w:r w:rsidRPr="00D56C32">
        <w:rPr>
          <w:color w:val="000000"/>
          <w:sz w:val="22"/>
          <w:szCs w:val="22"/>
          <w:vertAlign w:val="subscript"/>
        </w:rPr>
        <w:t xml:space="preserve"> </w:t>
      </w:r>
      <w:r w:rsidRPr="00D56C32">
        <w:rPr>
          <w:bCs/>
          <w:sz w:val="28"/>
          <w:szCs w:val="28"/>
        </w:rPr>
        <w:t>–</w:t>
      </w:r>
      <w:r w:rsidRPr="00D56C32">
        <w:rPr>
          <w:color w:val="000000"/>
          <w:sz w:val="22"/>
          <w:szCs w:val="22"/>
          <w:vertAlign w:val="subscript"/>
        </w:rPr>
        <w:t xml:space="preserve"> </w:t>
      </w:r>
      <w:r>
        <w:rPr>
          <w:color w:val="000000"/>
          <w:sz w:val="28"/>
          <w:szCs w:val="28"/>
        </w:rPr>
        <w:t>прогноз</w:t>
      </w:r>
      <w:r w:rsidRPr="00D56C32">
        <w:rPr>
          <w:sz w:val="28"/>
          <w:szCs w:val="28"/>
        </w:rPr>
        <w:t xml:space="preserve"> по доходам от предоставления льготного проезда гражданам с использованием электронной карты "Социальная карта жителя Тверской области", электронной банковской карты и электронной карты "Социальная транспортная карта"</w:t>
      </w:r>
      <w:r w:rsidRPr="00D56C32">
        <w:rPr>
          <w:color w:val="000000"/>
          <w:sz w:val="28"/>
          <w:szCs w:val="28"/>
        </w:rPr>
        <w:t xml:space="preserve">. </w:t>
      </w:r>
    </w:p>
    <w:p w:rsidR="00F07E05" w:rsidRPr="00D56C32" w:rsidRDefault="00F07E05" w:rsidP="00F07E05">
      <w:pPr>
        <w:ind w:firstLine="708"/>
        <w:jc w:val="both"/>
        <w:textAlignment w:val="baseline"/>
        <w:rPr>
          <w:sz w:val="28"/>
          <w:szCs w:val="28"/>
        </w:rPr>
      </w:pPr>
      <w:r w:rsidRPr="00D56C32">
        <w:rPr>
          <w:color w:val="000000"/>
          <w:sz w:val="28"/>
          <w:szCs w:val="28"/>
        </w:rPr>
        <w:t>Данный показатель</w:t>
      </w:r>
      <w:r>
        <w:rPr>
          <w:color w:val="000000"/>
          <w:sz w:val="28"/>
          <w:szCs w:val="28"/>
        </w:rPr>
        <w:t xml:space="preserve"> равен ожидаемой оценке текущего года, которая</w:t>
      </w:r>
      <w:r w:rsidRPr="00D56C32">
        <w:rPr>
          <w:color w:val="000000"/>
          <w:sz w:val="28"/>
          <w:szCs w:val="28"/>
        </w:rPr>
        <w:t xml:space="preserve"> </w:t>
      </w:r>
      <w:r w:rsidRPr="00D56C32">
        <w:rPr>
          <w:sz w:val="28"/>
          <w:szCs w:val="28"/>
        </w:rPr>
        <w:t>рассчитывается по среднемесячному, исходя из фактических поступлений</w:t>
      </w:r>
      <w:r w:rsidR="005E37D3">
        <w:rPr>
          <w:sz w:val="28"/>
          <w:szCs w:val="28"/>
        </w:rPr>
        <w:t xml:space="preserve">               </w:t>
      </w:r>
      <w:r w:rsidRPr="00D56C32">
        <w:rPr>
          <w:sz w:val="28"/>
          <w:szCs w:val="28"/>
        </w:rPr>
        <w:t xml:space="preserve"> (за «минусом» затрат на мониторинг транспортной работы и пассажирских потоков, организацию системы безналичной оплаты проезда и провоза багажа, осуществление контроля за полнотой сбора платы за проезд пассажиров и провоз багажа, а также затрат на информационно-техническое и технологическое обеспечение ее сбора) на дату составления прогноза (отчетную дату). </w:t>
      </w:r>
    </w:p>
    <w:p w:rsidR="00F07E05" w:rsidRPr="00D56C32" w:rsidRDefault="00F07E05" w:rsidP="00F07E05">
      <w:pPr>
        <w:ind w:firstLine="708"/>
        <w:jc w:val="both"/>
        <w:textAlignment w:val="baseline"/>
        <w:rPr>
          <w:sz w:val="28"/>
          <w:szCs w:val="28"/>
        </w:rPr>
      </w:pPr>
      <w:r w:rsidRPr="00D56C32">
        <w:rPr>
          <w:sz w:val="28"/>
          <w:szCs w:val="28"/>
        </w:rPr>
        <w:t xml:space="preserve">Дож = </w:t>
      </w:r>
      <w:bookmarkStart w:id="7" w:name="_Hlk51571856"/>
      <w:r w:rsidRPr="00D56C32">
        <w:rPr>
          <w:sz w:val="28"/>
          <w:szCs w:val="28"/>
        </w:rPr>
        <w:t>Факт</w:t>
      </w:r>
      <w:r w:rsidRPr="00D56C32">
        <w:rPr>
          <w:sz w:val="28"/>
          <w:szCs w:val="28"/>
          <w:vertAlign w:val="subscript"/>
          <w:lang w:val="en-US"/>
        </w:rPr>
        <w:t>n</w:t>
      </w:r>
      <w:bookmarkEnd w:id="7"/>
      <w:r w:rsidRPr="00D56C32">
        <w:rPr>
          <w:sz w:val="28"/>
          <w:szCs w:val="28"/>
        </w:rPr>
        <w:t xml:space="preserve"> / </w:t>
      </w:r>
      <w:r w:rsidRPr="00D56C32">
        <w:rPr>
          <w:sz w:val="28"/>
          <w:szCs w:val="28"/>
          <w:lang w:val="en-US"/>
        </w:rPr>
        <w:t>n</w:t>
      </w:r>
      <w:r w:rsidRPr="00D56C32">
        <w:rPr>
          <w:sz w:val="28"/>
          <w:szCs w:val="28"/>
        </w:rPr>
        <w:t xml:space="preserve"> *12, где</w:t>
      </w:r>
    </w:p>
    <w:p w:rsidR="00F07E05" w:rsidRPr="00D56C32" w:rsidRDefault="00F07E05" w:rsidP="00F07E05">
      <w:pPr>
        <w:ind w:firstLine="708"/>
        <w:jc w:val="both"/>
        <w:textAlignment w:val="baseline"/>
        <w:rPr>
          <w:sz w:val="28"/>
          <w:szCs w:val="28"/>
        </w:rPr>
      </w:pPr>
      <w:r w:rsidRPr="00D56C32">
        <w:rPr>
          <w:sz w:val="28"/>
          <w:szCs w:val="28"/>
        </w:rPr>
        <w:t>Факт</w:t>
      </w:r>
      <w:r w:rsidRPr="00D56C32">
        <w:rPr>
          <w:sz w:val="28"/>
          <w:szCs w:val="28"/>
          <w:vertAlign w:val="subscript"/>
          <w:lang w:val="en-US"/>
        </w:rPr>
        <w:t>n</w:t>
      </w:r>
      <w:r w:rsidRPr="00D56C32">
        <w:rPr>
          <w:sz w:val="28"/>
          <w:szCs w:val="28"/>
        </w:rPr>
        <w:t xml:space="preserve"> - фактические поступления на дату составления прогноза (отчётную дату);</w:t>
      </w:r>
    </w:p>
    <w:p w:rsidR="00F07E05" w:rsidRPr="00D56C32" w:rsidRDefault="00F07E05" w:rsidP="00F07E05">
      <w:pPr>
        <w:ind w:firstLine="708"/>
        <w:jc w:val="both"/>
        <w:textAlignment w:val="baseline"/>
        <w:rPr>
          <w:sz w:val="28"/>
          <w:szCs w:val="28"/>
        </w:rPr>
      </w:pPr>
      <w:r w:rsidRPr="00D56C32">
        <w:rPr>
          <w:sz w:val="28"/>
          <w:szCs w:val="28"/>
          <w:lang w:val="en-US"/>
        </w:rPr>
        <w:t>n</w:t>
      </w:r>
      <w:r w:rsidRPr="00D56C32">
        <w:rPr>
          <w:sz w:val="28"/>
          <w:szCs w:val="28"/>
        </w:rPr>
        <w:t xml:space="preserve"> – количество месяцев с начала года;</w:t>
      </w:r>
    </w:p>
    <w:p w:rsidR="00F07E05" w:rsidRDefault="00F07E05" w:rsidP="00F07E05">
      <w:pPr>
        <w:ind w:firstLine="708"/>
        <w:jc w:val="both"/>
        <w:textAlignment w:val="baseline"/>
        <w:rPr>
          <w:bCs/>
          <w:sz w:val="28"/>
          <w:szCs w:val="28"/>
        </w:rPr>
      </w:pPr>
      <w:r w:rsidRPr="00D56C32">
        <w:rPr>
          <w:bCs/>
          <w:sz w:val="28"/>
          <w:szCs w:val="28"/>
        </w:rPr>
        <w:t>12 – количество месяцев в году.</w:t>
      </w:r>
    </w:p>
    <w:p w:rsidR="00F07E05" w:rsidRPr="00B93929" w:rsidRDefault="00F07E05" w:rsidP="00F07E05">
      <w:pPr>
        <w:ind w:firstLine="708"/>
        <w:jc w:val="both"/>
        <w:textAlignment w:val="baseline"/>
        <w:rPr>
          <w:sz w:val="28"/>
          <w:szCs w:val="28"/>
        </w:rPr>
      </w:pPr>
      <w:r>
        <w:rPr>
          <w:bCs/>
          <w:sz w:val="28"/>
          <w:szCs w:val="28"/>
        </w:rPr>
        <w:lastRenderedPageBreak/>
        <w:t>Ккр</w:t>
      </w:r>
      <w:r w:rsidRPr="00EC7EBA">
        <w:rPr>
          <w:sz w:val="20"/>
          <w:szCs w:val="20"/>
          <w:lang w:val="en-US"/>
        </w:rPr>
        <w:t>t</w:t>
      </w:r>
      <w:r w:rsidRPr="00D56C32">
        <w:rPr>
          <w:color w:val="000000"/>
          <w:sz w:val="28"/>
          <w:szCs w:val="28"/>
        </w:rPr>
        <w:t xml:space="preserve"> </w:t>
      </w:r>
      <w:r w:rsidRPr="00D56C32">
        <w:rPr>
          <w:bCs/>
          <w:sz w:val="28"/>
          <w:szCs w:val="28"/>
        </w:rPr>
        <w:t xml:space="preserve">– </w:t>
      </w:r>
      <w:r>
        <w:rPr>
          <w:bCs/>
          <w:sz w:val="28"/>
          <w:szCs w:val="28"/>
        </w:rPr>
        <w:t>коэффициент</w:t>
      </w:r>
      <w:r>
        <w:rPr>
          <w:color w:val="000000"/>
          <w:sz w:val="28"/>
          <w:szCs w:val="28"/>
        </w:rPr>
        <w:t xml:space="preserve"> корректировки </w:t>
      </w:r>
      <w:r w:rsidRPr="00D56C32">
        <w:rPr>
          <w:sz w:val="28"/>
          <w:szCs w:val="28"/>
        </w:rPr>
        <w:t>снижения</w:t>
      </w:r>
      <w:r>
        <w:rPr>
          <w:sz w:val="28"/>
          <w:szCs w:val="28"/>
        </w:rPr>
        <w:t xml:space="preserve"> пассажиропотока из-за профилактических мер в связи с новой коронавирусной инфекцией (</w:t>
      </w:r>
      <w:r>
        <w:rPr>
          <w:sz w:val="28"/>
          <w:szCs w:val="28"/>
          <w:lang w:val="en-US"/>
        </w:rPr>
        <w:t>COVID</w:t>
      </w:r>
      <w:r w:rsidRPr="00926764">
        <w:rPr>
          <w:sz w:val="28"/>
          <w:szCs w:val="28"/>
        </w:rPr>
        <w:t xml:space="preserve">-19) </w:t>
      </w:r>
      <w:r>
        <w:rPr>
          <w:sz w:val="28"/>
          <w:szCs w:val="28"/>
        </w:rPr>
        <w:t>и безбилетных пассажиров.</w:t>
      </w:r>
    </w:p>
    <w:p w:rsidR="00F07E05" w:rsidRDefault="00F07E05" w:rsidP="00F07E05">
      <w:pPr>
        <w:ind w:firstLine="705"/>
        <w:jc w:val="both"/>
        <w:textAlignment w:val="baseline"/>
        <w:rPr>
          <w:color w:val="000000"/>
          <w:sz w:val="28"/>
          <w:szCs w:val="28"/>
        </w:rPr>
      </w:pPr>
      <w:r>
        <w:rPr>
          <w:color w:val="000000"/>
          <w:sz w:val="28"/>
          <w:szCs w:val="28"/>
        </w:rPr>
        <w:t xml:space="preserve">В связи с отсутствием за отчетный период полных статистических данных по </w:t>
      </w:r>
      <w:r w:rsidRPr="001752D7">
        <w:rPr>
          <w:color w:val="000000"/>
          <w:sz w:val="28"/>
          <w:szCs w:val="28"/>
        </w:rPr>
        <w:t>объем</w:t>
      </w:r>
      <w:r>
        <w:rPr>
          <w:color w:val="000000"/>
          <w:sz w:val="28"/>
          <w:szCs w:val="28"/>
        </w:rPr>
        <w:t>у</w:t>
      </w:r>
      <w:r w:rsidRPr="001752D7">
        <w:rPr>
          <w:color w:val="000000"/>
          <w:sz w:val="28"/>
          <w:szCs w:val="28"/>
        </w:rPr>
        <w:t xml:space="preserve"> перевезенных пассажиров автомобильным транспортом общего пользования по муниципальным и межмуниципальным маршрутам регулярных перевозок на территории Тверской области</w:t>
      </w:r>
      <w:r w:rsidRPr="005B72D3">
        <w:rPr>
          <w:color w:val="000000"/>
          <w:sz w:val="28"/>
          <w:szCs w:val="28"/>
        </w:rPr>
        <w:t xml:space="preserve"> </w:t>
      </w:r>
      <w:r>
        <w:rPr>
          <w:color w:val="000000"/>
          <w:sz w:val="28"/>
          <w:szCs w:val="28"/>
        </w:rPr>
        <w:t xml:space="preserve">и за не имением других источников информации, источником данной информации предлагается принимать </w:t>
      </w:r>
      <w:r w:rsidRPr="005B72D3">
        <w:rPr>
          <w:color w:val="000000"/>
          <w:sz w:val="28"/>
          <w:szCs w:val="28"/>
        </w:rPr>
        <w:t>научно-исследовательск</w:t>
      </w:r>
      <w:r>
        <w:rPr>
          <w:color w:val="000000"/>
          <w:sz w:val="28"/>
          <w:szCs w:val="28"/>
        </w:rPr>
        <w:t>ую</w:t>
      </w:r>
      <w:r w:rsidRPr="005B72D3">
        <w:rPr>
          <w:color w:val="000000"/>
          <w:sz w:val="28"/>
          <w:szCs w:val="28"/>
        </w:rPr>
        <w:t xml:space="preserve"> работ</w:t>
      </w:r>
      <w:r>
        <w:rPr>
          <w:color w:val="000000"/>
          <w:sz w:val="28"/>
          <w:szCs w:val="28"/>
        </w:rPr>
        <w:t>у</w:t>
      </w:r>
      <w:r w:rsidRPr="005B72D3">
        <w:rPr>
          <w:color w:val="000000"/>
          <w:sz w:val="28"/>
          <w:szCs w:val="28"/>
        </w:rPr>
        <w:t xml:space="preserve"> «</w:t>
      </w:r>
      <w:r>
        <w:rPr>
          <w:color w:val="000000"/>
          <w:sz w:val="28"/>
          <w:szCs w:val="28"/>
        </w:rPr>
        <w:t>А</w:t>
      </w:r>
      <w:r w:rsidRPr="005B72D3">
        <w:rPr>
          <w:color w:val="000000"/>
          <w:sz w:val="28"/>
          <w:szCs w:val="28"/>
        </w:rPr>
        <w:t xml:space="preserve">нализ существующих и оценка перспективных пассажиропотоков (до 2026 года) транспорта общего пользования города </w:t>
      </w:r>
      <w:r>
        <w:rPr>
          <w:color w:val="000000"/>
          <w:sz w:val="28"/>
          <w:szCs w:val="28"/>
        </w:rPr>
        <w:t>Т</w:t>
      </w:r>
      <w:r w:rsidRPr="005B72D3">
        <w:rPr>
          <w:color w:val="000000"/>
          <w:sz w:val="28"/>
          <w:szCs w:val="28"/>
        </w:rPr>
        <w:t xml:space="preserve">вери и </w:t>
      </w:r>
      <w:r>
        <w:rPr>
          <w:color w:val="000000"/>
          <w:sz w:val="28"/>
          <w:szCs w:val="28"/>
        </w:rPr>
        <w:t>К</w:t>
      </w:r>
      <w:r w:rsidRPr="005B72D3">
        <w:rPr>
          <w:color w:val="000000"/>
          <w:sz w:val="28"/>
          <w:szCs w:val="28"/>
        </w:rPr>
        <w:t xml:space="preserve">алининского района </w:t>
      </w:r>
      <w:r>
        <w:rPr>
          <w:color w:val="000000"/>
          <w:sz w:val="28"/>
          <w:szCs w:val="28"/>
        </w:rPr>
        <w:t>Т</w:t>
      </w:r>
      <w:bookmarkStart w:id="8" w:name="_Hlk75946328"/>
      <w:bookmarkStart w:id="9" w:name="_Hlk75946356"/>
      <w:r>
        <w:rPr>
          <w:color w:val="000000"/>
          <w:sz w:val="28"/>
          <w:szCs w:val="28"/>
        </w:rPr>
        <w:t xml:space="preserve">верской области, </w:t>
      </w:r>
      <w:r w:rsidRPr="008D35B4">
        <w:rPr>
          <w:color w:val="000000"/>
          <w:sz w:val="28"/>
          <w:szCs w:val="28"/>
        </w:rPr>
        <w:t>городской округ город Кимры Тверской области, Кимрский муниципальный район Тверской области</w:t>
      </w:r>
      <w:bookmarkEnd w:id="8"/>
      <w:r w:rsidRPr="008D35B4">
        <w:rPr>
          <w:color w:val="000000"/>
          <w:sz w:val="28"/>
          <w:szCs w:val="28"/>
        </w:rPr>
        <w:t>, городской округ город Ржев Тверской области, Ржевский муниципальный район Тверской области, городское поселение город Старица Старицкого муниципального района, Старицкий муниципальный район Тверской области, городское поселение город Зубцов Зубцовского муниципального района Тверской области, Зубцовский муниципальный район Тверской области на маршрутах регулярных перевозок» (далее – НИР)</w:t>
      </w:r>
      <w:bookmarkEnd w:id="9"/>
      <w:r>
        <w:rPr>
          <w:color w:val="000000"/>
          <w:sz w:val="28"/>
          <w:szCs w:val="28"/>
        </w:rPr>
        <w:t>.</w:t>
      </w:r>
    </w:p>
    <w:p w:rsidR="00F07E05" w:rsidRDefault="00F07E05" w:rsidP="00F07E05">
      <w:pPr>
        <w:ind w:firstLine="705"/>
        <w:jc w:val="both"/>
        <w:textAlignment w:val="baseline"/>
        <w:rPr>
          <w:color w:val="000000"/>
          <w:sz w:val="28"/>
          <w:szCs w:val="28"/>
        </w:rPr>
      </w:pPr>
      <w:r w:rsidRPr="00B26C78">
        <w:rPr>
          <w:color w:val="000000"/>
          <w:sz w:val="28"/>
          <w:szCs w:val="28"/>
        </w:rPr>
        <w:t>В связи с тем, что предоставление льготного проезда гражданам с использованием электронной карты "Социальная карта жителя Тверской области", электронной банковской карты и электронной карты "Социальная транспортная карта" действует на всей территории Тверской области, доходы от данного вида предлагаем рассчитать, начиная с июля 2021 года, пропорционально доходам от продажи проездных билетов для транспорта общего пользования города Твери и Калининского района Тверской области, городской округ город Кимры Тверской области, Кимрский муниципальный район Тверской области, городской округ город Ржев Тверской области, Ржевский муниципальный район Тверской области, городское поселение город Старица Старицкого муниципального района, Старицкий муниципальный район Тверской области, городское поселение город Зубцов Зубцовского муниципального района Тверской области, Зубцовский муниципальный район Тверской области.</w:t>
      </w:r>
    </w:p>
    <w:p w:rsidR="00F07E05" w:rsidRPr="008D35B4" w:rsidRDefault="00F07E05" w:rsidP="00F07E05">
      <w:pPr>
        <w:ind w:firstLine="705"/>
        <w:jc w:val="both"/>
        <w:textAlignment w:val="baseline"/>
        <w:rPr>
          <w:color w:val="000000"/>
          <w:sz w:val="28"/>
          <w:szCs w:val="28"/>
        </w:rPr>
      </w:pPr>
    </w:p>
    <w:p w:rsidR="00F07E05" w:rsidRDefault="00F07E05" w:rsidP="00F07E05">
      <w:pPr>
        <w:ind w:firstLine="705"/>
        <w:jc w:val="center"/>
        <w:textAlignment w:val="baseline"/>
        <w:rPr>
          <w:b/>
          <w:color w:val="000000"/>
          <w:sz w:val="28"/>
          <w:szCs w:val="28"/>
        </w:rPr>
      </w:pPr>
    </w:p>
    <w:p w:rsidR="00F07E05" w:rsidRDefault="00F07E05" w:rsidP="00F07E05">
      <w:pPr>
        <w:ind w:firstLine="705"/>
        <w:jc w:val="center"/>
        <w:textAlignment w:val="baseline"/>
        <w:rPr>
          <w:b/>
          <w:color w:val="000000"/>
          <w:sz w:val="28"/>
          <w:szCs w:val="28"/>
        </w:rPr>
      </w:pPr>
    </w:p>
    <w:p w:rsidR="00F07E05" w:rsidRDefault="00F07E05" w:rsidP="00F07E05">
      <w:pPr>
        <w:ind w:firstLine="705"/>
        <w:jc w:val="center"/>
        <w:textAlignment w:val="baseline"/>
        <w:rPr>
          <w:b/>
          <w:color w:val="000000"/>
          <w:sz w:val="28"/>
          <w:szCs w:val="28"/>
        </w:rPr>
      </w:pPr>
      <w:r w:rsidRPr="004E589F">
        <w:rPr>
          <w:b/>
          <w:color w:val="000000"/>
          <w:sz w:val="28"/>
          <w:szCs w:val="28"/>
        </w:rPr>
        <w:t>Расчеты по маршрутам</w:t>
      </w:r>
    </w:p>
    <w:p w:rsidR="00F07E05" w:rsidRDefault="00F07E05" w:rsidP="00F07E05">
      <w:pPr>
        <w:ind w:firstLine="705"/>
        <w:jc w:val="center"/>
        <w:textAlignment w:val="baseline"/>
        <w:rPr>
          <w:b/>
          <w:color w:val="000000"/>
          <w:sz w:val="28"/>
          <w:szCs w:val="28"/>
        </w:rPr>
      </w:pPr>
      <w:r w:rsidRPr="004E589F">
        <w:rPr>
          <w:b/>
          <w:color w:val="000000"/>
          <w:sz w:val="28"/>
          <w:szCs w:val="28"/>
        </w:rPr>
        <w:t>города Твери и Калининского района Тверской области</w:t>
      </w:r>
    </w:p>
    <w:p w:rsidR="00F07E05" w:rsidRDefault="00F07E05" w:rsidP="00F07E05">
      <w:pPr>
        <w:autoSpaceDE w:val="0"/>
        <w:autoSpaceDN w:val="0"/>
        <w:adjustRightInd w:val="0"/>
        <w:ind w:firstLine="720"/>
        <w:jc w:val="both"/>
        <w:rPr>
          <w:sz w:val="28"/>
          <w:szCs w:val="28"/>
        </w:rPr>
      </w:pPr>
      <w:r>
        <w:rPr>
          <w:color w:val="000000"/>
          <w:sz w:val="28"/>
          <w:szCs w:val="28"/>
        </w:rPr>
        <w:t xml:space="preserve">В соответствии с НИР данный показатель </w:t>
      </w:r>
      <w:r w:rsidRPr="001752D7">
        <w:rPr>
          <w:color w:val="000000"/>
          <w:sz w:val="28"/>
          <w:szCs w:val="28"/>
        </w:rPr>
        <w:t>по муниципальным маршрутам регулярных перевозок на территории Тверской области</w:t>
      </w:r>
      <w:r w:rsidRPr="00725EEB">
        <w:rPr>
          <w:sz w:val="28"/>
          <w:szCs w:val="28"/>
        </w:rPr>
        <w:t xml:space="preserve"> </w:t>
      </w:r>
      <w:r>
        <w:rPr>
          <w:sz w:val="28"/>
          <w:szCs w:val="28"/>
        </w:rPr>
        <w:t xml:space="preserve">на </w:t>
      </w:r>
      <w:r w:rsidRPr="00A9195F">
        <w:rPr>
          <w:color w:val="000000"/>
          <w:sz w:val="28"/>
          <w:szCs w:val="28"/>
        </w:rPr>
        <w:t>2021 г. – 85,48 млн пасс.,</w:t>
      </w:r>
      <w:r w:rsidRPr="002F1CE7">
        <w:rPr>
          <w:color w:val="000000" w:themeColor="text1"/>
          <w:sz w:val="28"/>
          <w:szCs w:val="28"/>
        </w:rPr>
        <w:t xml:space="preserve"> на 2022 г. – </w:t>
      </w:r>
      <w:r w:rsidRPr="00926764">
        <w:rPr>
          <w:color w:val="000000" w:themeColor="text1"/>
          <w:sz w:val="28"/>
          <w:szCs w:val="28"/>
        </w:rPr>
        <w:t xml:space="preserve">86,72 </w:t>
      </w:r>
      <w:r w:rsidRPr="002F1CE7">
        <w:rPr>
          <w:color w:val="000000" w:themeColor="text1"/>
          <w:sz w:val="28"/>
          <w:szCs w:val="28"/>
        </w:rPr>
        <w:t xml:space="preserve">млн пасс., на 2023 г. – </w:t>
      </w:r>
      <w:r w:rsidRPr="00926764">
        <w:rPr>
          <w:color w:val="000000" w:themeColor="text1"/>
          <w:sz w:val="28"/>
          <w:szCs w:val="28"/>
        </w:rPr>
        <w:t xml:space="preserve">86,93 </w:t>
      </w:r>
      <w:r w:rsidRPr="002F1CE7">
        <w:rPr>
          <w:color w:val="000000" w:themeColor="text1"/>
          <w:sz w:val="28"/>
          <w:szCs w:val="28"/>
        </w:rPr>
        <w:t>млн пасс.,</w:t>
      </w:r>
      <w:r>
        <w:rPr>
          <w:color w:val="000000" w:themeColor="text1"/>
          <w:sz w:val="28"/>
          <w:szCs w:val="28"/>
        </w:rPr>
        <w:t xml:space="preserve"> </w:t>
      </w:r>
      <w:r w:rsidRPr="002F1CE7">
        <w:rPr>
          <w:color w:val="000000" w:themeColor="text1"/>
          <w:sz w:val="28"/>
          <w:szCs w:val="28"/>
        </w:rPr>
        <w:t>202</w:t>
      </w:r>
      <w:r>
        <w:rPr>
          <w:color w:val="000000" w:themeColor="text1"/>
          <w:sz w:val="28"/>
          <w:szCs w:val="28"/>
        </w:rPr>
        <w:t>4</w:t>
      </w:r>
      <w:r w:rsidRPr="002F1CE7">
        <w:rPr>
          <w:color w:val="000000" w:themeColor="text1"/>
          <w:sz w:val="28"/>
          <w:szCs w:val="28"/>
        </w:rPr>
        <w:t xml:space="preserve"> г. – </w:t>
      </w:r>
      <w:r w:rsidRPr="00926764">
        <w:rPr>
          <w:color w:val="000000" w:themeColor="text1"/>
          <w:sz w:val="28"/>
          <w:szCs w:val="28"/>
        </w:rPr>
        <w:t xml:space="preserve">86,93 </w:t>
      </w:r>
      <w:r w:rsidRPr="002F1CE7">
        <w:rPr>
          <w:color w:val="000000" w:themeColor="text1"/>
          <w:sz w:val="28"/>
          <w:szCs w:val="28"/>
        </w:rPr>
        <w:t xml:space="preserve">млн пасс., по межмуниципальным маршрутам Калининского района Тверской области </w:t>
      </w:r>
      <w:r w:rsidRPr="00A9195F">
        <w:rPr>
          <w:color w:val="000000"/>
          <w:sz w:val="28"/>
          <w:szCs w:val="28"/>
        </w:rPr>
        <w:t>на 2021 г. – 6,92 млн пасс. (92,40 - 85,48 = 6,92),</w:t>
      </w:r>
      <w:r>
        <w:rPr>
          <w:color w:val="000000"/>
          <w:sz w:val="28"/>
          <w:szCs w:val="28"/>
        </w:rPr>
        <w:t xml:space="preserve"> </w:t>
      </w:r>
      <w:r w:rsidRPr="002F1CE7">
        <w:rPr>
          <w:color w:val="000000" w:themeColor="text1"/>
          <w:sz w:val="28"/>
          <w:szCs w:val="28"/>
        </w:rPr>
        <w:t xml:space="preserve">на 2022 г. – </w:t>
      </w:r>
      <w:r w:rsidRPr="00926764">
        <w:rPr>
          <w:color w:val="000000" w:themeColor="text1"/>
          <w:sz w:val="28"/>
          <w:szCs w:val="28"/>
        </w:rPr>
        <w:t xml:space="preserve">86,72 </w:t>
      </w:r>
      <w:r w:rsidRPr="002F1CE7">
        <w:rPr>
          <w:color w:val="000000" w:themeColor="text1"/>
          <w:sz w:val="28"/>
          <w:szCs w:val="28"/>
        </w:rPr>
        <w:t>млн пасс. (</w:t>
      </w:r>
      <w:r w:rsidRPr="00926764">
        <w:rPr>
          <w:color w:val="000000" w:themeColor="text1"/>
          <w:sz w:val="28"/>
          <w:szCs w:val="28"/>
        </w:rPr>
        <w:t>93,64 - 86,72 = 6,92</w:t>
      </w:r>
      <w:r w:rsidRPr="002F1CE7">
        <w:rPr>
          <w:color w:val="000000" w:themeColor="text1"/>
          <w:sz w:val="28"/>
          <w:szCs w:val="28"/>
        </w:rPr>
        <w:t xml:space="preserve">), на 2023 г. – </w:t>
      </w:r>
      <w:r w:rsidRPr="00926764">
        <w:rPr>
          <w:color w:val="000000" w:themeColor="text1"/>
          <w:sz w:val="28"/>
          <w:szCs w:val="28"/>
        </w:rPr>
        <w:t xml:space="preserve">86,93 </w:t>
      </w:r>
      <w:r w:rsidRPr="002F1CE7">
        <w:rPr>
          <w:color w:val="000000" w:themeColor="text1"/>
          <w:sz w:val="28"/>
          <w:szCs w:val="28"/>
        </w:rPr>
        <w:t>млн пасс. (</w:t>
      </w:r>
      <w:r w:rsidRPr="00926764">
        <w:rPr>
          <w:color w:val="000000" w:themeColor="text1"/>
          <w:sz w:val="28"/>
          <w:szCs w:val="28"/>
        </w:rPr>
        <w:t>93,85 – 86,93 = 6,92</w:t>
      </w:r>
      <w:r w:rsidRPr="002F1CE7">
        <w:rPr>
          <w:color w:val="000000" w:themeColor="text1"/>
          <w:sz w:val="28"/>
          <w:szCs w:val="28"/>
        </w:rPr>
        <w:t>), на 202</w:t>
      </w:r>
      <w:r>
        <w:rPr>
          <w:color w:val="000000" w:themeColor="text1"/>
          <w:sz w:val="28"/>
          <w:szCs w:val="28"/>
        </w:rPr>
        <w:t>4</w:t>
      </w:r>
      <w:r w:rsidRPr="002F1CE7">
        <w:rPr>
          <w:color w:val="000000" w:themeColor="text1"/>
          <w:sz w:val="28"/>
          <w:szCs w:val="28"/>
        </w:rPr>
        <w:t xml:space="preserve"> г. – </w:t>
      </w:r>
      <w:r w:rsidRPr="00926764">
        <w:rPr>
          <w:color w:val="000000" w:themeColor="text1"/>
          <w:sz w:val="28"/>
          <w:szCs w:val="28"/>
        </w:rPr>
        <w:t xml:space="preserve">86,93 </w:t>
      </w:r>
      <w:r w:rsidRPr="002F1CE7">
        <w:rPr>
          <w:color w:val="000000" w:themeColor="text1"/>
          <w:sz w:val="28"/>
          <w:szCs w:val="28"/>
        </w:rPr>
        <w:t>млн пасс. (</w:t>
      </w:r>
      <w:r w:rsidRPr="00926764">
        <w:rPr>
          <w:color w:val="000000" w:themeColor="text1"/>
          <w:sz w:val="28"/>
          <w:szCs w:val="28"/>
        </w:rPr>
        <w:t>93,85 – 86,93 = 6,92</w:t>
      </w:r>
      <w:r w:rsidRPr="002F1CE7">
        <w:rPr>
          <w:color w:val="000000" w:themeColor="text1"/>
          <w:sz w:val="28"/>
          <w:szCs w:val="28"/>
        </w:rPr>
        <w:t xml:space="preserve">). При этом количество льготных пассажиров в г. Тверь составляет </w:t>
      </w:r>
      <w:r w:rsidRPr="00926764">
        <w:rPr>
          <w:color w:val="000000" w:themeColor="text1"/>
          <w:sz w:val="28"/>
          <w:szCs w:val="28"/>
        </w:rPr>
        <w:t xml:space="preserve">3,07 </w:t>
      </w:r>
      <w:r w:rsidRPr="002F1CE7">
        <w:rPr>
          <w:color w:val="000000" w:themeColor="text1"/>
          <w:sz w:val="28"/>
          <w:szCs w:val="28"/>
        </w:rPr>
        <w:t xml:space="preserve">млн пасс., в Калининском </w:t>
      </w:r>
      <w:r w:rsidRPr="002F1CE7">
        <w:rPr>
          <w:color w:val="000000" w:themeColor="text1"/>
          <w:sz w:val="28"/>
          <w:szCs w:val="28"/>
        </w:rPr>
        <w:lastRenderedPageBreak/>
        <w:t xml:space="preserve">районе – </w:t>
      </w:r>
      <w:r w:rsidRPr="00926764">
        <w:rPr>
          <w:color w:val="000000" w:themeColor="text1"/>
          <w:sz w:val="28"/>
          <w:szCs w:val="28"/>
        </w:rPr>
        <w:t xml:space="preserve">0,26 </w:t>
      </w:r>
      <w:r w:rsidRPr="002F1CE7">
        <w:rPr>
          <w:color w:val="000000" w:themeColor="text1"/>
          <w:sz w:val="28"/>
          <w:szCs w:val="28"/>
        </w:rPr>
        <w:t>млн пасс. Таким образом пассажиропоток платных пассажиров</w:t>
      </w:r>
      <w:r>
        <w:rPr>
          <w:color w:val="000000" w:themeColor="text1"/>
          <w:sz w:val="28"/>
          <w:szCs w:val="28"/>
        </w:rPr>
        <w:t xml:space="preserve"> </w:t>
      </w:r>
      <w:r w:rsidRPr="00A9195F">
        <w:rPr>
          <w:color w:val="000000"/>
          <w:sz w:val="28"/>
          <w:szCs w:val="28"/>
        </w:rPr>
        <w:t xml:space="preserve">на 2021 г. в г. Тверь – 82,41 млн пасс., в Калининском районе – 6,66 млн пасс., </w:t>
      </w:r>
      <w:r>
        <w:rPr>
          <w:color w:val="000000" w:themeColor="text1"/>
          <w:sz w:val="28"/>
          <w:szCs w:val="28"/>
        </w:rPr>
        <w:t xml:space="preserve"> </w:t>
      </w:r>
      <w:r w:rsidRPr="002F1CE7">
        <w:rPr>
          <w:color w:val="000000" w:themeColor="text1"/>
          <w:sz w:val="28"/>
          <w:szCs w:val="28"/>
        </w:rPr>
        <w:t xml:space="preserve">на 2022 г. в г. Тверь – </w:t>
      </w:r>
      <w:r w:rsidRPr="00926764">
        <w:rPr>
          <w:color w:val="000000" w:themeColor="text1"/>
          <w:sz w:val="28"/>
          <w:szCs w:val="28"/>
        </w:rPr>
        <w:t xml:space="preserve">83,65 </w:t>
      </w:r>
      <w:r w:rsidRPr="002F1CE7">
        <w:rPr>
          <w:color w:val="000000" w:themeColor="text1"/>
          <w:sz w:val="28"/>
          <w:szCs w:val="28"/>
        </w:rPr>
        <w:t xml:space="preserve">млн пасс., в Калининском районе – </w:t>
      </w:r>
      <w:r w:rsidRPr="00926764">
        <w:rPr>
          <w:color w:val="000000" w:themeColor="text1"/>
          <w:sz w:val="28"/>
          <w:szCs w:val="28"/>
        </w:rPr>
        <w:t xml:space="preserve">6,66 </w:t>
      </w:r>
      <w:r w:rsidRPr="002F1CE7">
        <w:rPr>
          <w:color w:val="000000" w:themeColor="text1"/>
          <w:sz w:val="28"/>
          <w:szCs w:val="28"/>
        </w:rPr>
        <w:t xml:space="preserve">млн пасс., на 2023 г. в г. Тверь – </w:t>
      </w:r>
      <w:r w:rsidRPr="00926764">
        <w:rPr>
          <w:color w:val="000000" w:themeColor="text1"/>
          <w:sz w:val="28"/>
          <w:szCs w:val="28"/>
        </w:rPr>
        <w:t>83,86</w:t>
      </w:r>
      <w:r w:rsidRPr="002F1CE7">
        <w:rPr>
          <w:color w:val="000000" w:themeColor="text1"/>
          <w:sz w:val="28"/>
          <w:szCs w:val="28"/>
        </w:rPr>
        <w:t xml:space="preserve"> млн пасс., в Калининском районе – </w:t>
      </w:r>
      <w:r w:rsidRPr="00926764">
        <w:rPr>
          <w:color w:val="000000" w:themeColor="text1"/>
          <w:sz w:val="28"/>
          <w:szCs w:val="28"/>
        </w:rPr>
        <w:t xml:space="preserve">6,66 </w:t>
      </w:r>
      <w:r w:rsidRPr="002F1CE7">
        <w:rPr>
          <w:color w:val="000000" w:themeColor="text1"/>
          <w:sz w:val="28"/>
          <w:szCs w:val="28"/>
        </w:rPr>
        <w:t xml:space="preserve">млн </w:t>
      </w:r>
      <w:r w:rsidRPr="00A9195F">
        <w:rPr>
          <w:color w:val="000000"/>
          <w:sz w:val="28"/>
          <w:szCs w:val="28"/>
        </w:rPr>
        <w:t>пасс.</w:t>
      </w:r>
      <w:r>
        <w:rPr>
          <w:color w:val="000000"/>
          <w:sz w:val="28"/>
          <w:szCs w:val="28"/>
        </w:rPr>
        <w:t xml:space="preserve">, </w:t>
      </w:r>
      <w:r w:rsidRPr="002F1CE7">
        <w:rPr>
          <w:color w:val="000000" w:themeColor="text1"/>
          <w:sz w:val="28"/>
          <w:szCs w:val="28"/>
        </w:rPr>
        <w:t>на 202</w:t>
      </w:r>
      <w:r>
        <w:rPr>
          <w:color w:val="000000" w:themeColor="text1"/>
          <w:sz w:val="28"/>
          <w:szCs w:val="28"/>
        </w:rPr>
        <w:t>4</w:t>
      </w:r>
      <w:r w:rsidRPr="002F1CE7">
        <w:rPr>
          <w:color w:val="000000" w:themeColor="text1"/>
          <w:sz w:val="28"/>
          <w:szCs w:val="28"/>
        </w:rPr>
        <w:t xml:space="preserve"> г. в г. Тверь – </w:t>
      </w:r>
      <w:r w:rsidRPr="00926764">
        <w:rPr>
          <w:color w:val="000000" w:themeColor="text1"/>
          <w:sz w:val="28"/>
          <w:szCs w:val="28"/>
        </w:rPr>
        <w:t>83,86</w:t>
      </w:r>
      <w:r w:rsidRPr="002F1CE7">
        <w:rPr>
          <w:color w:val="000000" w:themeColor="text1"/>
          <w:sz w:val="28"/>
          <w:szCs w:val="28"/>
        </w:rPr>
        <w:t xml:space="preserve"> млн пасс., в Калининском районе – </w:t>
      </w:r>
      <w:r w:rsidRPr="00926764">
        <w:rPr>
          <w:color w:val="000000" w:themeColor="text1"/>
          <w:sz w:val="28"/>
          <w:szCs w:val="28"/>
        </w:rPr>
        <w:t xml:space="preserve">6,66 </w:t>
      </w:r>
      <w:r w:rsidRPr="002F1CE7">
        <w:rPr>
          <w:color w:val="000000" w:themeColor="text1"/>
          <w:sz w:val="28"/>
          <w:szCs w:val="28"/>
        </w:rPr>
        <w:t xml:space="preserve">млн </w:t>
      </w:r>
      <w:r w:rsidRPr="00A9195F">
        <w:rPr>
          <w:color w:val="000000"/>
          <w:sz w:val="28"/>
          <w:szCs w:val="28"/>
        </w:rPr>
        <w:t>пасс.</w:t>
      </w:r>
    </w:p>
    <w:p w:rsidR="00F07E05" w:rsidRDefault="00F07E05" w:rsidP="00F07E05">
      <w:pPr>
        <w:autoSpaceDE w:val="0"/>
        <w:autoSpaceDN w:val="0"/>
        <w:adjustRightInd w:val="0"/>
        <w:ind w:firstLine="720"/>
        <w:jc w:val="both"/>
        <w:rPr>
          <w:sz w:val="28"/>
          <w:szCs w:val="28"/>
        </w:rPr>
      </w:pPr>
      <w:r>
        <w:rPr>
          <w:sz w:val="28"/>
          <w:szCs w:val="28"/>
        </w:rPr>
        <w:t xml:space="preserve">Средняя дальность перевозки пассажира </w:t>
      </w:r>
      <w:r w:rsidRPr="00EE2646">
        <w:rPr>
          <w:sz w:val="28"/>
          <w:szCs w:val="28"/>
        </w:rPr>
        <w:t>автомобильным транспортом общего пользования</w:t>
      </w:r>
      <w:r>
        <w:rPr>
          <w:sz w:val="28"/>
          <w:szCs w:val="28"/>
        </w:rPr>
        <w:t xml:space="preserve"> </w:t>
      </w:r>
      <w:r w:rsidRPr="00EE2646">
        <w:rPr>
          <w:sz w:val="28"/>
          <w:szCs w:val="28"/>
        </w:rPr>
        <w:t>по маршрут</w:t>
      </w:r>
      <w:r>
        <w:rPr>
          <w:sz w:val="28"/>
          <w:szCs w:val="28"/>
        </w:rPr>
        <w:t>ам</w:t>
      </w:r>
      <w:r w:rsidRPr="00EE2646">
        <w:rPr>
          <w:sz w:val="28"/>
          <w:szCs w:val="28"/>
        </w:rPr>
        <w:t xml:space="preserve"> регулярных перевозок</w:t>
      </w:r>
      <w:r>
        <w:rPr>
          <w:sz w:val="28"/>
          <w:szCs w:val="28"/>
        </w:rPr>
        <w:t xml:space="preserve"> </w:t>
      </w:r>
      <w:r w:rsidRPr="00EE2646">
        <w:rPr>
          <w:sz w:val="28"/>
          <w:szCs w:val="28"/>
        </w:rPr>
        <w:t>в</w:t>
      </w:r>
      <w:r>
        <w:rPr>
          <w:sz w:val="28"/>
          <w:szCs w:val="28"/>
        </w:rPr>
        <w:t xml:space="preserve"> пригородном сообщении в муниципальном образовании Тверской области Калининский район в связи отсутствием информации у </w:t>
      </w:r>
      <w:r w:rsidRPr="00670A6F">
        <w:rPr>
          <w:sz w:val="28"/>
          <w:szCs w:val="28"/>
        </w:rPr>
        <w:t>территориальных органов Федеральной службы государственной статистики по Тверской области</w:t>
      </w:r>
      <w:r>
        <w:rPr>
          <w:sz w:val="28"/>
          <w:szCs w:val="28"/>
        </w:rPr>
        <w:t xml:space="preserve"> </w:t>
      </w:r>
      <w:r>
        <w:rPr>
          <w:color w:val="000000"/>
          <w:sz w:val="28"/>
          <w:szCs w:val="28"/>
        </w:rPr>
        <w:t>источником данной информации предлагается принимать статистические данные за 2020 г. данный показатель соответствует 7 км.</w:t>
      </w:r>
    </w:p>
    <w:p w:rsidR="00F07E05" w:rsidRDefault="00F07E05" w:rsidP="00F07E05">
      <w:pPr>
        <w:autoSpaceDE w:val="0"/>
        <w:autoSpaceDN w:val="0"/>
        <w:adjustRightInd w:val="0"/>
        <w:ind w:firstLine="720"/>
        <w:jc w:val="both"/>
        <w:rPr>
          <w:sz w:val="28"/>
          <w:szCs w:val="28"/>
        </w:rPr>
      </w:pPr>
      <w:r>
        <w:rPr>
          <w:sz w:val="28"/>
          <w:szCs w:val="28"/>
        </w:rPr>
        <w:t>Р</w:t>
      </w:r>
      <w:r w:rsidRPr="003F7F8F">
        <w:rPr>
          <w:sz w:val="28"/>
          <w:szCs w:val="28"/>
        </w:rPr>
        <w:t xml:space="preserve">азмер </w:t>
      </w:r>
      <w:r w:rsidRPr="0094565D">
        <w:rPr>
          <w:sz w:val="28"/>
          <w:szCs w:val="28"/>
        </w:rPr>
        <w:t xml:space="preserve">затрат на мониторинг транспортной работы и пассажирских потоков, организацию системы безналичной оплаты проезда и провоза багажа, осуществление контроля за полнотой сбора платы за проезд пассажиров и провоз багажа, а также затрат на информационно-техническое и технологическое обеспечение ее сбора </w:t>
      </w:r>
      <w:r>
        <w:rPr>
          <w:sz w:val="28"/>
          <w:szCs w:val="28"/>
        </w:rPr>
        <w:t xml:space="preserve">принят равным 6 % по итогам конкурса </w:t>
      </w:r>
      <w:r w:rsidRPr="003B3E7E">
        <w:rPr>
          <w:sz w:val="28"/>
          <w:szCs w:val="28"/>
        </w:rPr>
        <w:t>на право заключения договора по внедрению и обеспечению функционирования единой системы управления транспортом общего пользования на территории Тверской области</w:t>
      </w:r>
      <w:r>
        <w:rPr>
          <w:sz w:val="28"/>
          <w:szCs w:val="28"/>
        </w:rPr>
        <w:t>.</w:t>
      </w:r>
    </w:p>
    <w:p w:rsidR="00F07E05" w:rsidRPr="00B63E07" w:rsidRDefault="00F07E05" w:rsidP="00F07E05">
      <w:pPr>
        <w:pStyle w:val="af4"/>
        <w:ind w:left="0" w:firstLine="709"/>
        <w:jc w:val="both"/>
        <w:rPr>
          <w:sz w:val="28"/>
          <w:szCs w:val="28"/>
        </w:rPr>
      </w:pPr>
      <w:r w:rsidRPr="00B63E07">
        <w:rPr>
          <w:sz w:val="28"/>
          <w:szCs w:val="28"/>
        </w:rPr>
        <w:t xml:space="preserve">Информация о поступивших средствах от предоставления </w:t>
      </w:r>
      <w:r w:rsidRPr="00B63E07">
        <w:rPr>
          <w:b/>
          <w:bCs/>
          <w:sz w:val="28"/>
          <w:szCs w:val="28"/>
        </w:rPr>
        <w:t>льготного проезда</w:t>
      </w:r>
      <w:r w:rsidRPr="00B63E07">
        <w:rPr>
          <w:sz w:val="28"/>
          <w:szCs w:val="28"/>
        </w:rPr>
        <w:t xml:space="preserve"> в 2021 году представлена в таблице.</w:t>
      </w:r>
    </w:p>
    <w:tbl>
      <w:tblPr>
        <w:tblW w:w="924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5A0" w:firstRow="1" w:lastRow="0" w:firstColumn="1" w:lastColumn="1" w:noHBand="0" w:noVBand="1"/>
      </w:tblPr>
      <w:tblGrid>
        <w:gridCol w:w="1065"/>
        <w:gridCol w:w="2151"/>
        <w:gridCol w:w="2048"/>
        <w:gridCol w:w="1989"/>
        <w:gridCol w:w="1989"/>
      </w:tblGrid>
      <w:tr w:rsidR="00F07E05" w:rsidRPr="002C40AD" w:rsidTr="008A253E">
        <w:trPr>
          <w:trHeight w:val="295"/>
        </w:trPr>
        <w:tc>
          <w:tcPr>
            <w:tcW w:w="1065" w:type="dxa"/>
            <w:shd w:val="clear" w:color="auto" w:fill="auto"/>
            <w:noWrap/>
            <w:vAlign w:val="center"/>
            <w:hideMark/>
          </w:tcPr>
          <w:p w:rsidR="00F07E05" w:rsidRPr="00C06A80" w:rsidRDefault="00F07E05" w:rsidP="008A253E">
            <w:pPr>
              <w:jc w:val="center"/>
              <w:rPr>
                <w:b/>
                <w:bCs/>
              </w:rPr>
            </w:pPr>
            <w:r w:rsidRPr="00C06A80">
              <w:rPr>
                <w:b/>
                <w:bCs/>
                <w:sz w:val="22"/>
                <w:szCs w:val="22"/>
              </w:rPr>
              <w:t>№</w:t>
            </w:r>
          </w:p>
        </w:tc>
        <w:tc>
          <w:tcPr>
            <w:tcW w:w="2151" w:type="dxa"/>
            <w:shd w:val="clear" w:color="auto" w:fill="auto"/>
            <w:noWrap/>
            <w:vAlign w:val="center"/>
            <w:hideMark/>
          </w:tcPr>
          <w:p w:rsidR="00F07E05" w:rsidRPr="00C06A80" w:rsidRDefault="00F07E05" w:rsidP="008A253E">
            <w:pPr>
              <w:jc w:val="center"/>
              <w:rPr>
                <w:b/>
                <w:bCs/>
              </w:rPr>
            </w:pPr>
            <w:r w:rsidRPr="00C06A80">
              <w:rPr>
                <w:b/>
                <w:bCs/>
                <w:sz w:val="22"/>
                <w:szCs w:val="22"/>
              </w:rPr>
              <w:t>Месяц 2021 год</w:t>
            </w:r>
          </w:p>
        </w:tc>
        <w:tc>
          <w:tcPr>
            <w:tcW w:w="2048" w:type="dxa"/>
            <w:shd w:val="clear" w:color="auto" w:fill="auto"/>
            <w:noWrap/>
            <w:vAlign w:val="center"/>
            <w:hideMark/>
          </w:tcPr>
          <w:p w:rsidR="00F07E05" w:rsidRPr="00C06A80" w:rsidRDefault="00F07E05" w:rsidP="008A253E">
            <w:pPr>
              <w:jc w:val="center"/>
              <w:rPr>
                <w:b/>
                <w:bCs/>
              </w:rPr>
            </w:pPr>
            <w:r w:rsidRPr="00C06A80">
              <w:rPr>
                <w:b/>
                <w:bCs/>
                <w:sz w:val="22"/>
                <w:szCs w:val="22"/>
              </w:rPr>
              <w:t>Полученная плата за реализацию льготных проездных, руб.</w:t>
            </w:r>
          </w:p>
        </w:tc>
        <w:tc>
          <w:tcPr>
            <w:tcW w:w="1989" w:type="dxa"/>
            <w:shd w:val="clear" w:color="auto" w:fill="auto"/>
            <w:noWrap/>
            <w:vAlign w:val="center"/>
            <w:hideMark/>
          </w:tcPr>
          <w:p w:rsidR="00F07E05" w:rsidRDefault="00F07E05" w:rsidP="008A253E">
            <w:pPr>
              <w:jc w:val="center"/>
              <w:rPr>
                <w:b/>
                <w:bCs/>
              </w:rPr>
            </w:pPr>
            <w:r w:rsidRPr="00C06A80">
              <w:rPr>
                <w:b/>
                <w:bCs/>
                <w:sz w:val="22"/>
                <w:szCs w:val="22"/>
              </w:rPr>
              <w:t>Средства, подлежащие перечислению</w:t>
            </w:r>
            <w:r w:rsidRPr="00706BF0">
              <w:rPr>
                <w:b/>
                <w:bCs/>
                <w:sz w:val="22"/>
                <w:szCs w:val="22"/>
              </w:rPr>
              <w:t xml:space="preserve"> в ГКУ</w:t>
            </w:r>
          </w:p>
          <w:p w:rsidR="00F07E05" w:rsidRPr="00C06A80" w:rsidRDefault="00F07E05" w:rsidP="008A253E">
            <w:pPr>
              <w:jc w:val="center"/>
              <w:rPr>
                <w:b/>
                <w:bCs/>
              </w:rPr>
            </w:pPr>
            <w:r w:rsidRPr="00706BF0">
              <w:rPr>
                <w:b/>
                <w:bCs/>
                <w:sz w:val="22"/>
                <w:szCs w:val="22"/>
              </w:rPr>
              <w:t xml:space="preserve"> </w:t>
            </w:r>
            <w:r>
              <w:rPr>
                <w:b/>
                <w:bCs/>
                <w:sz w:val="22"/>
                <w:szCs w:val="22"/>
              </w:rPr>
              <w:t>за минусом 6%</w:t>
            </w:r>
            <w:r w:rsidRPr="00C06A80">
              <w:rPr>
                <w:b/>
                <w:bCs/>
                <w:sz w:val="22"/>
                <w:szCs w:val="22"/>
              </w:rPr>
              <w:t>, руб.</w:t>
            </w:r>
          </w:p>
        </w:tc>
        <w:tc>
          <w:tcPr>
            <w:tcW w:w="1989" w:type="dxa"/>
            <w:vAlign w:val="center"/>
          </w:tcPr>
          <w:p w:rsidR="00F07E05" w:rsidRPr="00C06A80" w:rsidRDefault="00F07E05" w:rsidP="008A253E">
            <w:pPr>
              <w:jc w:val="center"/>
              <w:rPr>
                <w:b/>
                <w:bCs/>
              </w:rPr>
            </w:pPr>
            <w:r w:rsidRPr="00C06A80">
              <w:rPr>
                <w:b/>
                <w:bCs/>
                <w:sz w:val="22"/>
                <w:szCs w:val="22"/>
              </w:rPr>
              <w:t>Фактически переведены средства в ГКУ</w:t>
            </w:r>
            <w:r>
              <w:rPr>
                <w:b/>
                <w:bCs/>
                <w:sz w:val="22"/>
                <w:szCs w:val="22"/>
              </w:rPr>
              <w:t xml:space="preserve"> (кассовый учёт)</w:t>
            </w:r>
            <w:r w:rsidRPr="00C06A80">
              <w:rPr>
                <w:b/>
                <w:bCs/>
                <w:sz w:val="22"/>
                <w:szCs w:val="22"/>
              </w:rPr>
              <w:t>, руб.</w:t>
            </w:r>
          </w:p>
        </w:tc>
      </w:tr>
      <w:tr w:rsidR="00F07E05" w:rsidRPr="002C40AD" w:rsidTr="008A253E">
        <w:trPr>
          <w:trHeight w:val="295"/>
        </w:trPr>
        <w:tc>
          <w:tcPr>
            <w:tcW w:w="1065" w:type="dxa"/>
            <w:shd w:val="clear" w:color="auto" w:fill="auto"/>
            <w:noWrap/>
            <w:vAlign w:val="center"/>
          </w:tcPr>
          <w:p w:rsidR="00F07E05" w:rsidRPr="00C06A80" w:rsidRDefault="00F07E05" w:rsidP="008A253E">
            <w:pPr>
              <w:jc w:val="center"/>
              <w:rPr>
                <w:b/>
                <w:bCs/>
              </w:rPr>
            </w:pPr>
            <w:r w:rsidRPr="00C06A80">
              <w:rPr>
                <w:b/>
                <w:bCs/>
                <w:sz w:val="22"/>
                <w:szCs w:val="22"/>
              </w:rPr>
              <w:t>1</w:t>
            </w:r>
          </w:p>
        </w:tc>
        <w:tc>
          <w:tcPr>
            <w:tcW w:w="2151" w:type="dxa"/>
            <w:shd w:val="clear" w:color="auto" w:fill="auto"/>
            <w:noWrap/>
            <w:vAlign w:val="center"/>
          </w:tcPr>
          <w:p w:rsidR="00F07E05" w:rsidRPr="00C06A80" w:rsidRDefault="00F07E05" w:rsidP="008A253E">
            <w:r w:rsidRPr="00C06A80">
              <w:rPr>
                <w:sz w:val="22"/>
                <w:szCs w:val="22"/>
              </w:rPr>
              <w:t xml:space="preserve">        Январь</w:t>
            </w:r>
          </w:p>
        </w:tc>
        <w:tc>
          <w:tcPr>
            <w:tcW w:w="2048" w:type="dxa"/>
            <w:shd w:val="clear" w:color="auto" w:fill="auto"/>
            <w:noWrap/>
            <w:vAlign w:val="center"/>
          </w:tcPr>
          <w:p w:rsidR="00F07E05" w:rsidRPr="00D637F9" w:rsidRDefault="00F07E05" w:rsidP="008A253E">
            <w:pPr>
              <w:jc w:val="center"/>
            </w:pPr>
            <w:r w:rsidRPr="00D637F9">
              <w:rPr>
                <w:sz w:val="22"/>
                <w:szCs w:val="22"/>
              </w:rPr>
              <w:t>7 246 792,0</w:t>
            </w:r>
          </w:p>
        </w:tc>
        <w:tc>
          <w:tcPr>
            <w:tcW w:w="1989" w:type="dxa"/>
            <w:shd w:val="clear" w:color="auto" w:fill="auto"/>
            <w:noWrap/>
            <w:vAlign w:val="center"/>
          </w:tcPr>
          <w:p w:rsidR="00F07E05" w:rsidRPr="00944F04" w:rsidRDefault="00F07E05" w:rsidP="008A253E">
            <w:pPr>
              <w:jc w:val="center"/>
            </w:pPr>
            <w:r w:rsidRPr="00944F04">
              <w:rPr>
                <w:sz w:val="22"/>
                <w:szCs w:val="22"/>
              </w:rPr>
              <w:t>6 811 984,5</w:t>
            </w:r>
          </w:p>
        </w:tc>
        <w:tc>
          <w:tcPr>
            <w:tcW w:w="1989" w:type="dxa"/>
            <w:vAlign w:val="center"/>
          </w:tcPr>
          <w:p w:rsidR="00F07E05" w:rsidRPr="00524713" w:rsidRDefault="00F07E05" w:rsidP="008A253E">
            <w:pPr>
              <w:jc w:val="center"/>
            </w:pPr>
            <w:r w:rsidRPr="00524713">
              <w:rPr>
                <w:sz w:val="22"/>
                <w:szCs w:val="22"/>
              </w:rPr>
              <w:t>6 226 623,9</w:t>
            </w:r>
          </w:p>
        </w:tc>
      </w:tr>
      <w:tr w:rsidR="00F07E05" w:rsidRPr="002C40AD" w:rsidTr="008A253E">
        <w:trPr>
          <w:trHeight w:val="295"/>
        </w:trPr>
        <w:tc>
          <w:tcPr>
            <w:tcW w:w="1065" w:type="dxa"/>
            <w:shd w:val="clear" w:color="auto" w:fill="F2F2F2"/>
            <w:noWrap/>
            <w:hideMark/>
          </w:tcPr>
          <w:p w:rsidR="00F07E05" w:rsidRPr="00524713" w:rsidRDefault="00F07E05" w:rsidP="008A253E">
            <w:pPr>
              <w:tabs>
                <w:tab w:val="left" w:pos="191"/>
              </w:tabs>
              <w:jc w:val="center"/>
              <w:rPr>
                <w:b/>
                <w:bCs/>
              </w:rPr>
            </w:pPr>
            <w:r w:rsidRPr="00524713">
              <w:rPr>
                <w:b/>
                <w:bCs/>
                <w:sz w:val="22"/>
                <w:szCs w:val="22"/>
              </w:rPr>
              <w:t>2</w:t>
            </w:r>
          </w:p>
        </w:tc>
        <w:tc>
          <w:tcPr>
            <w:tcW w:w="2151" w:type="dxa"/>
            <w:shd w:val="clear" w:color="auto" w:fill="F2F2F2"/>
            <w:noWrap/>
            <w:hideMark/>
          </w:tcPr>
          <w:p w:rsidR="00F07E05" w:rsidRPr="00524713" w:rsidRDefault="00F07E05" w:rsidP="008A253E">
            <w:pPr>
              <w:tabs>
                <w:tab w:val="left" w:pos="191"/>
              </w:tabs>
              <w:ind w:right="501"/>
              <w:jc w:val="center"/>
            </w:pPr>
            <w:r w:rsidRPr="00524713">
              <w:rPr>
                <w:sz w:val="22"/>
                <w:szCs w:val="22"/>
              </w:rPr>
              <w:t>Февраль</w:t>
            </w:r>
          </w:p>
        </w:tc>
        <w:tc>
          <w:tcPr>
            <w:tcW w:w="2048" w:type="dxa"/>
            <w:shd w:val="clear" w:color="auto" w:fill="F2F2F2"/>
            <w:noWrap/>
          </w:tcPr>
          <w:p w:rsidR="00F07E05" w:rsidRPr="00524713" w:rsidRDefault="00F07E05" w:rsidP="008A253E">
            <w:pPr>
              <w:jc w:val="center"/>
            </w:pPr>
            <w:r w:rsidRPr="00524713">
              <w:rPr>
                <w:sz w:val="22"/>
                <w:szCs w:val="22"/>
              </w:rPr>
              <w:t>7 659 626,0</w:t>
            </w:r>
          </w:p>
        </w:tc>
        <w:tc>
          <w:tcPr>
            <w:tcW w:w="1989" w:type="dxa"/>
            <w:shd w:val="clear" w:color="auto" w:fill="F2F2F2"/>
            <w:noWrap/>
          </w:tcPr>
          <w:p w:rsidR="00F07E05" w:rsidRPr="00524713" w:rsidRDefault="00F07E05" w:rsidP="008A253E">
            <w:pPr>
              <w:jc w:val="center"/>
            </w:pPr>
            <w:r w:rsidRPr="00524713">
              <w:rPr>
                <w:sz w:val="22"/>
                <w:szCs w:val="22"/>
              </w:rPr>
              <w:t>7 200 048,5</w:t>
            </w:r>
          </w:p>
        </w:tc>
        <w:tc>
          <w:tcPr>
            <w:tcW w:w="1989" w:type="dxa"/>
            <w:shd w:val="clear" w:color="auto" w:fill="auto"/>
            <w:vAlign w:val="center"/>
          </w:tcPr>
          <w:p w:rsidR="00F07E05" w:rsidRPr="00524713" w:rsidRDefault="00F07E05" w:rsidP="008A253E">
            <w:pPr>
              <w:jc w:val="center"/>
              <w:rPr>
                <w:color w:val="FF0000"/>
              </w:rPr>
            </w:pPr>
            <w:r w:rsidRPr="00524713">
              <w:rPr>
                <w:sz w:val="22"/>
                <w:szCs w:val="22"/>
              </w:rPr>
              <w:t>6 811 984,5</w:t>
            </w:r>
          </w:p>
        </w:tc>
      </w:tr>
      <w:tr w:rsidR="00F07E05" w:rsidRPr="002C40AD" w:rsidTr="008A253E">
        <w:trPr>
          <w:trHeight w:val="295"/>
        </w:trPr>
        <w:tc>
          <w:tcPr>
            <w:tcW w:w="1065" w:type="dxa"/>
            <w:shd w:val="clear" w:color="auto" w:fill="auto"/>
            <w:noWrap/>
            <w:hideMark/>
          </w:tcPr>
          <w:p w:rsidR="00F07E05" w:rsidRPr="00524713" w:rsidRDefault="00F07E05" w:rsidP="008A253E">
            <w:pPr>
              <w:tabs>
                <w:tab w:val="left" w:pos="191"/>
              </w:tabs>
              <w:jc w:val="center"/>
              <w:rPr>
                <w:b/>
                <w:bCs/>
              </w:rPr>
            </w:pPr>
            <w:r w:rsidRPr="00524713">
              <w:rPr>
                <w:b/>
                <w:bCs/>
                <w:sz w:val="22"/>
                <w:szCs w:val="22"/>
              </w:rPr>
              <w:t>3</w:t>
            </w:r>
          </w:p>
        </w:tc>
        <w:tc>
          <w:tcPr>
            <w:tcW w:w="2151" w:type="dxa"/>
            <w:shd w:val="clear" w:color="auto" w:fill="auto"/>
            <w:noWrap/>
            <w:hideMark/>
          </w:tcPr>
          <w:p w:rsidR="00F07E05" w:rsidRPr="00C06A80" w:rsidRDefault="00F07E05" w:rsidP="008A253E">
            <w:pPr>
              <w:tabs>
                <w:tab w:val="left" w:pos="191"/>
              </w:tabs>
              <w:ind w:right="501"/>
              <w:jc w:val="center"/>
            </w:pPr>
            <w:r w:rsidRPr="00C06A80">
              <w:rPr>
                <w:sz w:val="22"/>
                <w:szCs w:val="22"/>
              </w:rPr>
              <w:t>Март</w:t>
            </w:r>
          </w:p>
        </w:tc>
        <w:tc>
          <w:tcPr>
            <w:tcW w:w="2048" w:type="dxa"/>
            <w:shd w:val="clear" w:color="auto" w:fill="auto"/>
            <w:noWrap/>
          </w:tcPr>
          <w:p w:rsidR="00F07E05" w:rsidRPr="00C06A80" w:rsidRDefault="00F07E05" w:rsidP="008A253E">
            <w:pPr>
              <w:jc w:val="center"/>
            </w:pPr>
            <w:r>
              <w:rPr>
                <w:sz w:val="22"/>
                <w:szCs w:val="22"/>
              </w:rPr>
              <w:t>7 890 656,0</w:t>
            </w:r>
          </w:p>
        </w:tc>
        <w:tc>
          <w:tcPr>
            <w:tcW w:w="1989" w:type="dxa"/>
            <w:shd w:val="clear" w:color="auto" w:fill="auto"/>
            <w:noWrap/>
          </w:tcPr>
          <w:p w:rsidR="00F07E05" w:rsidRPr="00944F04" w:rsidRDefault="00F07E05" w:rsidP="008A253E">
            <w:pPr>
              <w:jc w:val="center"/>
            </w:pPr>
            <w:r w:rsidRPr="00944F04">
              <w:rPr>
                <w:sz w:val="22"/>
                <w:szCs w:val="22"/>
              </w:rPr>
              <w:t>7 417 216,6</w:t>
            </w:r>
          </w:p>
        </w:tc>
        <w:tc>
          <w:tcPr>
            <w:tcW w:w="1989" w:type="dxa"/>
            <w:shd w:val="clear" w:color="auto" w:fill="F2F2F2"/>
          </w:tcPr>
          <w:p w:rsidR="00F07E05" w:rsidRPr="002C40AD" w:rsidRDefault="00F07E05" w:rsidP="008A253E">
            <w:pPr>
              <w:jc w:val="center"/>
              <w:rPr>
                <w:color w:val="FF0000"/>
              </w:rPr>
            </w:pPr>
            <w:r w:rsidRPr="00944F04">
              <w:rPr>
                <w:sz w:val="22"/>
                <w:szCs w:val="22"/>
              </w:rPr>
              <w:t>7 200 048,</w:t>
            </w:r>
            <w:r>
              <w:rPr>
                <w:sz w:val="22"/>
                <w:szCs w:val="22"/>
              </w:rPr>
              <w:t>5</w:t>
            </w:r>
          </w:p>
        </w:tc>
      </w:tr>
      <w:tr w:rsidR="00F07E05" w:rsidRPr="002C40AD" w:rsidTr="008A253E">
        <w:trPr>
          <w:trHeight w:val="295"/>
        </w:trPr>
        <w:tc>
          <w:tcPr>
            <w:tcW w:w="1065" w:type="dxa"/>
            <w:shd w:val="clear" w:color="auto" w:fill="F2F2F2"/>
            <w:noWrap/>
            <w:hideMark/>
          </w:tcPr>
          <w:p w:rsidR="00F07E05" w:rsidRPr="00C06A80" w:rsidRDefault="00F07E05" w:rsidP="008A253E">
            <w:pPr>
              <w:tabs>
                <w:tab w:val="left" w:pos="191"/>
              </w:tabs>
              <w:jc w:val="center"/>
              <w:rPr>
                <w:b/>
                <w:bCs/>
              </w:rPr>
            </w:pPr>
            <w:r w:rsidRPr="00C06A80">
              <w:rPr>
                <w:b/>
                <w:bCs/>
                <w:sz w:val="22"/>
                <w:szCs w:val="22"/>
              </w:rPr>
              <w:t>4</w:t>
            </w:r>
          </w:p>
        </w:tc>
        <w:tc>
          <w:tcPr>
            <w:tcW w:w="2151" w:type="dxa"/>
            <w:shd w:val="clear" w:color="auto" w:fill="F2F2F2"/>
            <w:noWrap/>
            <w:hideMark/>
          </w:tcPr>
          <w:p w:rsidR="00F07E05" w:rsidRPr="00C06A80" w:rsidRDefault="00F07E05" w:rsidP="008A253E">
            <w:pPr>
              <w:tabs>
                <w:tab w:val="left" w:pos="191"/>
              </w:tabs>
              <w:ind w:right="501"/>
              <w:jc w:val="center"/>
            </w:pPr>
            <w:r w:rsidRPr="00C06A80">
              <w:rPr>
                <w:sz w:val="22"/>
                <w:szCs w:val="22"/>
              </w:rPr>
              <w:t>Апрель</w:t>
            </w:r>
          </w:p>
        </w:tc>
        <w:tc>
          <w:tcPr>
            <w:tcW w:w="2048" w:type="dxa"/>
            <w:shd w:val="clear" w:color="auto" w:fill="F2F2F2"/>
            <w:noWrap/>
          </w:tcPr>
          <w:p w:rsidR="00F07E05" w:rsidRPr="00D637F9" w:rsidRDefault="00F07E05" w:rsidP="008A253E">
            <w:pPr>
              <w:jc w:val="center"/>
            </w:pPr>
            <w:r w:rsidRPr="00D637F9">
              <w:rPr>
                <w:sz w:val="22"/>
                <w:szCs w:val="22"/>
              </w:rPr>
              <w:t>8 481 066,0</w:t>
            </w:r>
          </w:p>
        </w:tc>
        <w:tc>
          <w:tcPr>
            <w:tcW w:w="1989" w:type="dxa"/>
            <w:shd w:val="clear" w:color="auto" w:fill="F2F2F2"/>
            <w:noWrap/>
          </w:tcPr>
          <w:p w:rsidR="00F07E05" w:rsidRPr="00944F04" w:rsidRDefault="00F07E05" w:rsidP="008A253E">
            <w:pPr>
              <w:jc w:val="center"/>
            </w:pPr>
            <w:r w:rsidRPr="00944F04">
              <w:rPr>
                <w:sz w:val="22"/>
                <w:szCs w:val="22"/>
              </w:rPr>
              <w:t>7 972 202,0</w:t>
            </w:r>
          </w:p>
        </w:tc>
        <w:tc>
          <w:tcPr>
            <w:tcW w:w="1989" w:type="dxa"/>
            <w:shd w:val="clear" w:color="auto" w:fill="auto"/>
          </w:tcPr>
          <w:p w:rsidR="00F07E05" w:rsidRPr="002C40AD" w:rsidRDefault="00F07E05" w:rsidP="008A253E">
            <w:pPr>
              <w:jc w:val="center"/>
              <w:rPr>
                <w:color w:val="FF0000"/>
              </w:rPr>
            </w:pPr>
            <w:r w:rsidRPr="00944F04">
              <w:rPr>
                <w:sz w:val="22"/>
                <w:szCs w:val="22"/>
              </w:rPr>
              <w:t>7 417 216,6</w:t>
            </w:r>
          </w:p>
        </w:tc>
      </w:tr>
      <w:tr w:rsidR="00F07E05" w:rsidRPr="002C40AD" w:rsidTr="008A253E">
        <w:trPr>
          <w:trHeight w:val="295"/>
        </w:trPr>
        <w:tc>
          <w:tcPr>
            <w:tcW w:w="1065" w:type="dxa"/>
            <w:shd w:val="clear" w:color="auto" w:fill="auto"/>
            <w:noWrap/>
            <w:hideMark/>
          </w:tcPr>
          <w:p w:rsidR="00F07E05" w:rsidRPr="00C06A80" w:rsidRDefault="00F07E05" w:rsidP="008A253E">
            <w:pPr>
              <w:tabs>
                <w:tab w:val="left" w:pos="191"/>
              </w:tabs>
              <w:jc w:val="center"/>
              <w:rPr>
                <w:b/>
                <w:bCs/>
              </w:rPr>
            </w:pPr>
            <w:r w:rsidRPr="00C06A80">
              <w:rPr>
                <w:b/>
                <w:bCs/>
                <w:sz w:val="22"/>
                <w:szCs w:val="22"/>
              </w:rPr>
              <w:t>5</w:t>
            </w:r>
          </w:p>
        </w:tc>
        <w:tc>
          <w:tcPr>
            <w:tcW w:w="2151" w:type="dxa"/>
            <w:shd w:val="clear" w:color="auto" w:fill="auto"/>
            <w:noWrap/>
            <w:hideMark/>
          </w:tcPr>
          <w:p w:rsidR="00F07E05" w:rsidRPr="00C06A80" w:rsidRDefault="00F07E05" w:rsidP="008A253E">
            <w:pPr>
              <w:tabs>
                <w:tab w:val="left" w:pos="191"/>
              </w:tabs>
              <w:ind w:right="501"/>
              <w:jc w:val="center"/>
            </w:pPr>
            <w:r w:rsidRPr="00C06A80">
              <w:rPr>
                <w:sz w:val="22"/>
                <w:szCs w:val="22"/>
              </w:rPr>
              <w:t>Май</w:t>
            </w:r>
          </w:p>
        </w:tc>
        <w:tc>
          <w:tcPr>
            <w:tcW w:w="2048" w:type="dxa"/>
            <w:shd w:val="clear" w:color="auto" w:fill="auto"/>
            <w:noWrap/>
          </w:tcPr>
          <w:p w:rsidR="00F07E05" w:rsidRPr="00D637F9" w:rsidRDefault="00F07E05" w:rsidP="008A253E">
            <w:pPr>
              <w:jc w:val="center"/>
            </w:pPr>
            <w:r w:rsidRPr="00D637F9">
              <w:rPr>
                <w:sz w:val="22"/>
                <w:szCs w:val="22"/>
              </w:rPr>
              <w:t>8 118 666,0</w:t>
            </w:r>
          </w:p>
        </w:tc>
        <w:tc>
          <w:tcPr>
            <w:tcW w:w="1989" w:type="dxa"/>
            <w:shd w:val="clear" w:color="auto" w:fill="auto"/>
            <w:noWrap/>
          </w:tcPr>
          <w:p w:rsidR="00F07E05" w:rsidRPr="00944F04" w:rsidRDefault="00F07E05" w:rsidP="008A253E">
            <w:pPr>
              <w:jc w:val="center"/>
            </w:pPr>
            <w:r w:rsidRPr="00944F04">
              <w:rPr>
                <w:sz w:val="22"/>
                <w:szCs w:val="22"/>
              </w:rPr>
              <w:t>7 631 546,0</w:t>
            </w:r>
          </w:p>
        </w:tc>
        <w:tc>
          <w:tcPr>
            <w:tcW w:w="1989" w:type="dxa"/>
            <w:shd w:val="clear" w:color="auto" w:fill="F2F2F2"/>
          </w:tcPr>
          <w:p w:rsidR="00F07E05" w:rsidRPr="002C40AD" w:rsidRDefault="00F07E05" w:rsidP="008A253E">
            <w:pPr>
              <w:jc w:val="center"/>
              <w:rPr>
                <w:color w:val="FF0000"/>
              </w:rPr>
            </w:pPr>
            <w:r w:rsidRPr="00944F04">
              <w:rPr>
                <w:sz w:val="22"/>
                <w:szCs w:val="22"/>
              </w:rPr>
              <w:t>7 972 202,0</w:t>
            </w:r>
          </w:p>
        </w:tc>
      </w:tr>
      <w:tr w:rsidR="00F07E05" w:rsidRPr="002C40AD" w:rsidTr="008A253E">
        <w:trPr>
          <w:trHeight w:val="295"/>
        </w:trPr>
        <w:tc>
          <w:tcPr>
            <w:tcW w:w="1065" w:type="dxa"/>
            <w:shd w:val="clear" w:color="auto" w:fill="F2F2F2"/>
            <w:noWrap/>
            <w:hideMark/>
          </w:tcPr>
          <w:p w:rsidR="00F07E05" w:rsidRPr="00C06A80" w:rsidRDefault="00F07E05" w:rsidP="008A253E">
            <w:pPr>
              <w:tabs>
                <w:tab w:val="left" w:pos="191"/>
              </w:tabs>
              <w:jc w:val="center"/>
              <w:rPr>
                <w:b/>
                <w:bCs/>
              </w:rPr>
            </w:pPr>
            <w:r w:rsidRPr="00C06A80">
              <w:rPr>
                <w:b/>
                <w:bCs/>
                <w:sz w:val="22"/>
                <w:szCs w:val="22"/>
              </w:rPr>
              <w:t>6</w:t>
            </w:r>
          </w:p>
        </w:tc>
        <w:tc>
          <w:tcPr>
            <w:tcW w:w="2151" w:type="dxa"/>
            <w:shd w:val="clear" w:color="auto" w:fill="F2F2F2"/>
            <w:noWrap/>
            <w:hideMark/>
          </w:tcPr>
          <w:p w:rsidR="00F07E05" w:rsidRPr="00C06A80" w:rsidRDefault="00F07E05" w:rsidP="008A253E">
            <w:pPr>
              <w:tabs>
                <w:tab w:val="left" w:pos="191"/>
              </w:tabs>
              <w:ind w:right="501"/>
              <w:jc w:val="center"/>
            </w:pPr>
            <w:r w:rsidRPr="00C06A80">
              <w:rPr>
                <w:sz w:val="22"/>
                <w:szCs w:val="22"/>
              </w:rPr>
              <w:t>Июнь</w:t>
            </w:r>
          </w:p>
        </w:tc>
        <w:tc>
          <w:tcPr>
            <w:tcW w:w="2048" w:type="dxa"/>
            <w:shd w:val="clear" w:color="auto" w:fill="F2F2F2"/>
            <w:noWrap/>
          </w:tcPr>
          <w:p w:rsidR="00F07E05" w:rsidRPr="00D637F9" w:rsidRDefault="00F07E05" w:rsidP="008A253E">
            <w:pPr>
              <w:jc w:val="center"/>
            </w:pPr>
            <w:r w:rsidRPr="002C40AD">
              <w:rPr>
                <w:color w:val="FF0000"/>
                <w:sz w:val="22"/>
                <w:szCs w:val="22"/>
              </w:rPr>
              <w:t xml:space="preserve"> </w:t>
            </w:r>
            <w:r w:rsidRPr="00D637F9">
              <w:rPr>
                <w:sz w:val="22"/>
                <w:szCs w:val="22"/>
              </w:rPr>
              <w:t>8 335 804,0</w:t>
            </w:r>
          </w:p>
        </w:tc>
        <w:tc>
          <w:tcPr>
            <w:tcW w:w="1989" w:type="dxa"/>
            <w:shd w:val="clear" w:color="auto" w:fill="F2F2F2"/>
            <w:noWrap/>
          </w:tcPr>
          <w:p w:rsidR="00F07E05" w:rsidRPr="00944F04" w:rsidRDefault="00F07E05" w:rsidP="008A253E">
            <w:pPr>
              <w:jc w:val="center"/>
            </w:pPr>
            <w:r w:rsidRPr="00944F04">
              <w:rPr>
                <w:sz w:val="22"/>
                <w:szCs w:val="22"/>
              </w:rPr>
              <w:t>7 835 655,8</w:t>
            </w:r>
          </w:p>
        </w:tc>
        <w:tc>
          <w:tcPr>
            <w:tcW w:w="1989" w:type="dxa"/>
            <w:shd w:val="clear" w:color="auto" w:fill="auto"/>
          </w:tcPr>
          <w:p w:rsidR="00F07E05" w:rsidRPr="002C40AD" w:rsidRDefault="00F07E05" w:rsidP="008A253E">
            <w:pPr>
              <w:jc w:val="center"/>
              <w:rPr>
                <w:color w:val="FF0000"/>
              </w:rPr>
            </w:pPr>
            <w:r w:rsidRPr="00944F04">
              <w:rPr>
                <w:sz w:val="22"/>
                <w:szCs w:val="22"/>
              </w:rPr>
              <w:t>7 631 546,0</w:t>
            </w:r>
          </w:p>
        </w:tc>
      </w:tr>
      <w:tr w:rsidR="00F07E05" w:rsidRPr="002C40AD" w:rsidTr="008A253E">
        <w:trPr>
          <w:trHeight w:val="295"/>
        </w:trPr>
        <w:tc>
          <w:tcPr>
            <w:tcW w:w="1065" w:type="dxa"/>
            <w:shd w:val="clear" w:color="auto" w:fill="auto"/>
            <w:noWrap/>
          </w:tcPr>
          <w:p w:rsidR="00F07E05" w:rsidRPr="00C06A80" w:rsidRDefault="00F07E05" w:rsidP="008A253E">
            <w:pPr>
              <w:tabs>
                <w:tab w:val="left" w:pos="191"/>
              </w:tabs>
              <w:jc w:val="center"/>
              <w:rPr>
                <w:b/>
                <w:bCs/>
              </w:rPr>
            </w:pPr>
            <w:r w:rsidRPr="00C06A80">
              <w:rPr>
                <w:b/>
                <w:bCs/>
                <w:sz w:val="22"/>
                <w:szCs w:val="22"/>
              </w:rPr>
              <w:t>7</w:t>
            </w:r>
          </w:p>
        </w:tc>
        <w:tc>
          <w:tcPr>
            <w:tcW w:w="2151" w:type="dxa"/>
            <w:shd w:val="clear" w:color="auto" w:fill="auto"/>
            <w:noWrap/>
          </w:tcPr>
          <w:p w:rsidR="00F07E05" w:rsidRPr="00C06A80" w:rsidRDefault="00F07E05" w:rsidP="008A253E">
            <w:pPr>
              <w:tabs>
                <w:tab w:val="left" w:pos="191"/>
              </w:tabs>
              <w:ind w:right="501"/>
              <w:jc w:val="center"/>
            </w:pPr>
            <w:r w:rsidRPr="00C06A80">
              <w:rPr>
                <w:sz w:val="22"/>
                <w:szCs w:val="22"/>
              </w:rPr>
              <w:t>Июль</w:t>
            </w:r>
          </w:p>
        </w:tc>
        <w:tc>
          <w:tcPr>
            <w:tcW w:w="2048" w:type="dxa"/>
            <w:shd w:val="clear" w:color="auto" w:fill="auto"/>
            <w:noWrap/>
          </w:tcPr>
          <w:p w:rsidR="00F07E05" w:rsidRPr="00944F04" w:rsidRDefault="00F07E05" w:rsidP="008A253E">
            <w:pPr>
              <w:jc w:val="center"/>
            </w:pPr>
            <w:r w:rsidRPr="00944F04">
              <w:rPr>
                <w:sz w:val="22"/>
                <w:szCs w:val="22"/>
              </w:rPr>
              <w:t>8 088 466,0</w:t>
            </w:r>
          </w:p>
        </w:tc>
        <w:tc>
          <w:tcPr>
            <w:tcW w:w="1989" w:type="dxa"/>
            <w:shd w:val="clear" w:color="auto" w:fill="auto"/>
            <w:noWrap/>
          </w:tcPr>
          <w:p w:rsidR="00F07E05" w:rsidRPr="00944F04" w:rsidRDefault="00F07E05" w:rsidP="008A253E">
            <w:pPr>
              <w:jc w:val="center"/>
            </w:pPr>
            <w:r w:rsidRPr="00944F04">
              <w:rPr>
                <w:sz w:val="22"/>
                <w:szCs w:val="22"/>
              </w:rPr>
              <w:t>7 603 158,0</w:t>
            </w:r>
          </w:p>
        </w:tc>
        <w:tc>
          <w:tcPr>
            <w:tcW w:w="1989" w:type="dxa"/>
            <w:shd w:val="clear" w:color="auto" w:fill="F2F2F2"/>
          </w:tcPr>
          <w:p w:rsidR="00F07E05" w:rsidRPr="002C40AD" w:rsidRDefault="00F07E05" w:rsidP="008A253E">
            <w:pPr>
              <w:jc w:val="center"/>
              <w:rPr>
                <w:color w:val="FF0000"/>
              </w:rPr>
            </w:pPr>
            <w:r w:rsidRPr="00944F04">
              <w:rPr>
                <w:sz w:val="22"/>
                <w:szCs w:val="22"/>
              </w:rPr>
              <w:t>7 835 655,8</w:t>
            </w:r>
          </w:p>
        </w:tc>
      </w:tr>
      <w:tr w:rsidR="00F07E05" w:rsidRPr="002C40AD" w:rsidTr="008A253E">
        <w:trPr>
          <w:trHeight w:val="295"/>
        </w:trPr>
        <w:tc>
          <w:tcPr>
            <w:tcW w:w="1065" w:type="dxa"/>
            <w:shd w:val="clear" w:color="auto" w:fill="auto"/>
            <w:noWrap/>
          </w:tcPr>
          <w:p w:rsidR="00F07E05" w:rsidRPr="00C06A80" w:rsidRDefault="00F07E05" w:rsidP="008A253E">
            <w:pPr>
              <w:tabs>
                <w:tab w:val="left" w:pos="191"/>
              </w:tabs>
              <w:jc w:val="center"/>
              <w:rPr>
                <w:b/>
                <w:bCs/>
              </w:rPr>
            </w:pPr>
            <w:r w:rsidRPr="00C06A80">
              <w:rPr>
                <w:b/>
                <w:bCs/>
                <w:sz w:val="22"/>
                <w:szCs w:val="22"/>
              </w:rPr>
              <w:t>8</w:t>
            </w:r>
          </w:p>
        </w:tc>
        <w:tc>
          <w:tcPr>
            <w:tcW w:w="2151" w:type="dxa"/>
            <w:shd w:val="clear" w:color="auto" w:fill="auto"/>
            <w:noWrap/>
          </w:tcPr>
          <w:p w:rsidR="00F07E05" w:rsidRPr="00C06A80" w:rsidRDefault="00F07E05" w:rsidP="008A253E">
            <w:pPr>
              <w:tabs>
                <w:tab w:val="left" w:pos="191"/>
              </w:tabs>
              <w:ind w:right="501"/>
              <w:jc w:val="center"/>
            </w:pPr>
            <w:r w:rsidRPr="00C06A80">
              <w:rPr>
                <w:sz w:val="22"/>
                <w:szCs w:val="22"/>
              </w:rPr>
              <w:t>Август</w:t>
            </w:r>
          </w:p>
        </w:tc>
        <w:tc>
          <w:tcPr>
            <w:tcW w:w="2048" w:type="dxa"/>
            <w:shd w:val="clear" w:color="auto" w:fill="auto"/>
            <w:noWrap/>
          </w:tcPr>
          <w:p w:rsidR="00F07E05" w:rsidRPr="002C40AD" w:rsidRDefault="00F07E05" w:rsidP="008A253E">
            <w:pPr>
              <w:jc w:val="center"/>
              <w:rPr>
                <w:color w:val="FF0000"/>
              </w:rPr>
            </w:pPr>
          </w:p>
        </w:tc>
        <w:tc>
          <w:tcPr>
            <w:tcW w:w="1989" w:type="dxa"/>
            <w:shd w:val="clear" w:color="auto" w:fill="auto"/>
            <w:noWrap/>
          </w:tcPr>
          <w:p w:rsidR="00F07E05" w:rsidRPr="002C40AD" w:rsidRDefault="00F07E05" w:rsidP="008A253E">
            <w:pPr>
              <w:jc w:val="center"/>
              <w:rPr>
                <w:color w:val="FF0000"/>
              </w:rPr>
            </w:pPr>
          </w:p>
        </w:tc>
        <w:tc>
          <w:tcPr>
            <w:tcW w:w="1989" w:type="dxa"/>
            <w:shd w:val="clear" w:color="auto" w:fill="auto"/>
          </w:tcPr>
          <w:p w:rsidR="00F07E05" w:rsidRPr="002C40AD" w:rsidRDefault="00F07E05" w:rsidP="008A253E">
            <w:pPr>
              <w:jc w:val="center"/>
              <w:rPr>
                <w:color w:val="FF0000"/>
              </w:rPr>
            </w:pPr>
            <w:r w:rsidRPr="001D0522">
              <w:rPr>
                <w:sz w:val="22"/>
                <w:szCs w:val="22"/>
              </w:rPr>
              <w:t>6 542 155,1</w:t>
            </w:r>
          </w:p>
        </w:tc>
      </w:tr>
      <w:tr w:rsidR="00F07E05" w:rsidRPr="002C40AD" w:rsidTr="008A253E">
        <w:trPr>
          <w:trHeight w:val="295"/>
        </w:trPr>
        <w:tc>
          <w:tcPr>
            <w:tcW w:w="1065" w:type="dxa"/>
            <w:shd w:val="clear" w:color="auto" w:fill="F2F2F2"/>
            <w:noWrap/>
            <w:hideMark/>
          </w:tcPr>
          <w:p w:rsidR="00F07E05" w:rsidRPr="002C40AD" w:rsidRDefault="00F07E05" w:rsidP="008A253E">
            <w:pPr>
              <w:tabs>
                <w:tab w:val="left" w:pos="191"/>
              </w:tabs>
              <w:jc w:val="center"/>
              <w:rPr>
                <w:b/>
                <w:bCs/>
                <w:color w:val="FF0000"/>
              </w:rPr>
            </w:pPr>
          </w:p>
        </w:tc>
        <w:tc>
          <w:tcPr>
            <w:tcW w:w="2151" w:type="dxa"/>
            <w:shd w:val="clear" w:color="auto" w:fill="F2F2F2"/>
            <w:noWrap/>
            <w:hideMark/>
          </w:tcPr>
          <w:p w:rsidR="00F07E05" w:rsidRPr="00944F04" w:rsidRDefault="00F07E05" w:rsidP="008A253E">
            <w:pPr>
              <w:tabs>
                <w:tab w:val="left" w:pos="191"/>
              </w:tabs>
              <w:ind w:right="501"/>
              <w:jc w:val="center"/>
              <w:rPr>
                <w:b/>
                <w:bCs/>
              </w:rPr>
            </w:pPr>
            <w:r w:rsidRPr="00944F04">
              <w:rPr>
                <w:b/>
                <w:bCs/>
                <w:sz w:val="22"/>
                <w:szCs w:val="22"/>
              </w:rPr>
              <w:t>Итого</w:t>
            </w:r>
          </w:p>
        </w:tc>
        <w:tc>
          <w:tcPr>
            <w:tcW w:w="2048" w:type="dxa"/>
            <w:shd w:val="clear" w:color="auto" w:fill="F2F2F2"/>
            <w:noWrap/>
            <w:hideMark/>
          </w:tcPr>
          <w:p w:rsidR="00F07E05" w:rsidRPr="00944F04" w:rsidRDefault="00F07E05" w:rsidP="008A253E">
            <w:pPr>
              <w:jc w:val="center"/>
              <w:rPr>
                <w:b/>
                <w:bCs/>
              </w:rPr>
            </w:pPr>
            <w:r w:rsidRPr="00944F04">
              <w:rPr>
                <w:b/>
                <w:bCs/>
                <w:sz w:val="22"/>
                <w:szCs w:val="22"/>
              </w:rPr>
              <w:t>55 821 076,0</w:t>
            </w:r>
          </w:p>
        </w:tc>
        <w:tc>
          <w:tcPr>
            <w:tcW w:w="1989" w:type="dxa"/>
            <w:shd w:val="clear" w:color="auto" w:fill="F2F2F2"/>
            <w:noWrap/>
            <w:hideMark/>
          </w:tcPr>
          <w:p w:rsidR="00F07E05" w:rsidRPr="00944F04" w:rsidRDefault="00F07E05" w:rsidP="008A253E">
            <w:pPr>
              <w:jc w:val="center"/>
              <w:rPr>
                <w:b/>
                <w:bCs/>
              </w:rPr>
            </w:pPr>
            <w:r w:rsidRPr="00944F04">
              <w:rPr>
                <w:b/>
                <w:bCs/>
                <w:sz w:val="22"/>
                <w:szCs w:val="22"/>
              </w:rPr>
              <w:t>52 471 811,4</w:t>
            </w:r>
          </w:p>
        </w:tc>
        <w:tc>
          <w:tcPr>
            <w:tcW w:w="1989" w:type="dxa"/>
            <w:shd w:val="clear" w:color="auto" w:fill="F2F2F2"/>
          </w:tcPr>
          <w:p w:rsidR="00F07E05" w:rsidRPr="00524713" w:rsidRDefault="00F07E05" w:rsidP="008A253E">
            <w:pPr>
              <w:jc w:val="center"/>
              <w:rPr>
                <w:b/>
                <w:bCs/>
              </w:rPr>
            </w:pPr>
            <w:r w:rsidRPr="00524713">
              <w:rPr>
                <w:b/>
                <w:bCs/>
                <w:sz w:val="22"/>
                <w:szCs w:val="22"/>
              </w:rPr>
              <w:t>5</w:t>
            </w:r>
            <w:r>
              <w:rPr>
                <w:b/>
                <w:bCs/>
                <w:sz w:val="22"/>
                <w:szCs w:val="22"/>
              </w:rPr>
              <w:t>7</w:t>
            </w:r>
            <w:r w:rsidRPr="00524713">
              <w:rPr>
                <w:b/>
                <w:bCs/>
                <w:sz w:val="22"/>
                <w:szCs w:val="22"/>
              </w:rPr>
              <w:t> 6</w:t>
            </w:r>
            <w:r>
              <w:rPr>
                <w:b/>
                <w:bCs/>
                <w:sz w:val="22"/>
                <w:szCs w:val="22"/>
              </w:rPr>
              <w:t>37</w:t>
            </w:r>
            <w:r w:rsidRPr="00524713">
              <w:rPr>
                <w:b/>
                <w:bCs/>
                <w:sz w:val="22"/>
                <w:szCs w:val="22"/>
              </w:rPr>
              <w:t> 43</w:t>
            </w:r>
            <w:r>
              <w:rPr>
                <w:b/>
                <w:bCs/>
                <w:sz w:val="22"/>
                <w:szCs w:val="22"/>
              </w:rPr>
              <w:t>2</w:t>
            </w:r>
            <w:r w:rsidRPr="00524713">
              <w:rPr>
                <w:b/>
                <w:bCs/>
                <w:sz w:val="22"/>
                <w:szCs w:val="22"/>
              </w:rPr>
              <w:t>,</w:t>
            </w:r>
            <w:r>
              <w:rPr>
                <w:b/>
                <w:bCs/>
                <w:sz w:val="22"/>
                <w:szCs w:val="22"/>
              </w:rPr>
              <w:t>4</w:t>
            </w:r>
          </w:p>
        </w:tc>
      </w:tr>
    </w:tbl>
    <w:p w:rsidR="00F07E05" w:rsidRPr="002C40AD" w:rsidRDefault="00F07E05" w:rsidP="00F07E05">
      <w:pPr>
        <w:pStyle w:val="paragraph"/>
        <w:ind w:firstLine="705"/>
        <w:jc w:val="both"/>
        <w:textAlignment w:val="baseline"/>
        <w:rPr>
          <w:color w:val="FF0000"/>
        </w:rPr>
      </w:pPr>
    </w:p>
    <w:p w:rsidR="00F07E05" w:rsidRPr="009E6DC9" w:rsidRDefault="00F07E05" w:rsidP="00F07E05">
      <w:pPr>
        <w:pStyle w:val="paragraph"/>
        <w:ind w:firstLine="705"/>
        <w:jc w:val="both"/>
        <w:textAlignment w:val="baseline"/>
        <w:rPr>
          <w:sz w:val="28"/>
          <w:szCs w:val="28"/>
        </w:rPr>
      </w:pPr>
      <w:bookmarkStart w:id="10" w:name="_Hlk81407488"/>
      <w:bookmarkStart w:id="11" w:name="_Hlk82078835"/>
      <w:r w:rsidRPr="009E6DC9">
        <w:rPr>
          <w:sz w:val="28"/>
          <w:szCs w:val="28"/>
        </w:rPr>
        <w:t>Таким образом, среднемесячный доход от льготного проезда в 2021 году составил: (</w:t>
      </w:r>
      <w:r>
        <w:rPr>
          <w:sz w:val="28"/>
          <w:szCs w:val="28"/>
        </w:rPr>
        <w:t>57 637,4</w:t>
      </w:r>
      <w:r w:rsidRPr="009E6DC9">
        <w:rPr>
          <w:sz w:val="28"/>
          <w:szCs w:val="28"/>
        </w:rPr>
        <w:t xml:space="preserve"> </w:t>
      </w:r>
      <w:r>
        <w:rPr>
          <w:sz w:val="28"/>
          <w:szCs w:val="28"/>
        </w:rPr>
        <w:t xml:space="preserve">тыс. </w:t>
      </w:r>
      <w:r w:rsidRPr="009E6DC9">
        <w:rPr>
          <w:sz w:val="28"/>
          <w:szCs w:val="28"/>
        </w:rPr>
        <w:t>руб. / 8 мес.</w:t>
      </w:r>
      <w:r>
        <w:rPr>
          <w:sz w:val="28"/>
          <w:szCs w:val="28"/>
        </w:rPr>
        <w:t>)</w:t>
      </w:r>
      <w:r w:rsidRPr="009E6DC9">
        <w:rPr>
          <w:sz w:val="28"/>
          <w:szCs w:val="28"/>
        </w:rPr>
        <w:t xml:space="preserve"> = 7 2</w:t>
      </w:r>
      <w:r>
        <w:rPr>
          <w:sz w:val="28"/>
          <w:szCs w:val="28"/>
        </w:rPr>
        <w:t>04</w:t>
      </w:r>
      <w:r w:rsidRPr="009E6DC9">
        <w:rPr>
          <w:sz w:val="28"/>
          <w:szCs w:val="28"/>
        </w:rPr>
        <w:t>,</w:t>
      </w:r>
      <w:r>
        <w:rPr>
          <w:sz w:val="28"/>
          <w:szCs w:val="28"/>
        </w:rPr>
        <w:t>7</w:t>
      </w:r>
      <w:r w:rsidRPr="009E6DC9">
        <w:rPr>
          <w:sz w:val="28"/>
          <w:szCs w:val="28"/>
        </w:rPr>
        <w:t xml:space="preserve"> </w:t>
      </w:r>
      <w:r>
        <w:rPr>
          <w:sz w:val="28"/>
          <w:szCs w:val="28"/>
        </w:rPr>
        <w:t xml:space="preserve">тыс. </w:t>
      </w:r>
      <w:r w:rsidRPr="009E6DC9">
        <w:rPr>
          <w:sz w:val="28"/>
          <w:szCs w:val="28"/>
        </w:rPr>
        <w:t xml:space="preserve">руб. </w:t>
      </w:r>
    </w:p>
    <w:bookmarkEnd w:id="10"/>
    <w:p w:rsidR="00F07E05" w:rsidRPr="006E5D80" w:rsidRDefault="00F07E05" w:rsidP="00F07E05">
      <w:pPr>
        <w:pStyle w:val="paragraph"/>
        <w:ind w:firstLine="705"/>
        <w:jc w:val="both"/>
        <w:textAlignment w:val="baseline"/>
        <w:rPr>
          <w:sz w:val="28"/>
          <w:szCs w:val="28"/>
        </w:rPr>
      </w:pPr>
      <w:r w:rsidRPr="006E5D80">
        <w:rPr>
          <w:sz w:val="28"/>
          <w:szCs w:val="28"/>
        </w:rPr>
        <w:t>Планируемый годовой объём поступлений в 202</w:t>
      </w:r>
      <w:r>
        <w:rPr>
          <w:sz w:val="28"/>
          <w:szCs w:val="28"/>
        </w:rPr>
        <w:t>1</w:t>
      </w:r>
      <w:r w:rsidRPr="006E5D80">
        <w:rPr>
          <w:sz w:val="28"/>
          <w:szCs w:val="28"/>
        </w:rPr>
        <w:t xml:space="preserve"> – 2024 гг. от предоставления льготного проезда гражданам с использованием электронной карты «Социальная карта жителя Тверской области», электронной банковской карты и электронной карты «Социальная транспортная карта» составит (</w:t>
      </w:r>
      <w:r w:rsidRPr="006E5D80">
        <w:rPr>
          <w:bCs/>
          <w:sz w:val="28"/>
          <w:szCs w:val="28"/>
        </w:rPr>
        <w:t>Дпр</w:t>
      </w:r>
      <w:r w:rsidRPr="006E5D80">
        <w:rPr>
          <w:sz w:val="28"/>
          <w:szCs w:val="28"/>
        </w:rPr>
        <w:t xml:space="preserve"> = 7</w:t>
      </w:r>
      <w:r>
        <w:rPr>
          <w:sz w:val="28"/>
          <w:szCs w:val="28"/>
        </w:rPr>
        <w:t> 204,7</w:t>
      </w:r>
      <w:r w:rsidRPr="006E5D80">
        <w:rPr>
          <w:sz w:val="28"/>
          <w:szCs w:val="28"/>
        </w:rPr>
        <w:t xml:space="preserve"> тыс. руб. * 12 мес. = </w:t>
      </w:r>
      <w:r w:rsidRPr="008A54F1">
        <w:rPr>
          <w:b/>
          <w:bCs/>
          <w:sz w:val="28"/>
          <w:szCs w:val="28"/>
        </w:rPr>
        <w:t>86 456,4</w:t>
      </w:r>
      <w:r w:rsidRPr="006E5D80">
        <w:rPr>
          <w:sz w:val="28"/>
          <w:szCs w:val="28"/>
        </w:rPr>
        <w:t xml:space="preserve"> тыс. руб.).</w:t>
      </w:r>
    </w:p>
    <w:bookmarkEnd w:id="11"/>
    <w:p w:rsidR="00F07E05" w:rsidRPr="00F5330D" w:rsidRDefault="00F07E05" w:rsidP="00F07E05">
      <w:pPr>
        <w:shd w:val="clear" w:color="auto" w:fill="FFFFFF"/>
        <w:spacing w:line="288" w:lineRule="atLeast"/>
        <w:ind w:firstLine="709"/>
        <w:jc w:val="both"/>
        <w:textAlignment w:val="baseline"/>
        <w:rPr>
          <w:sz w:val="28"/>
          <w:szCs w:val="28"/>
        </w:rPr>
      </w:pPr>
      <w:r w:rsidRPr="00F5330D">
        <w:rPr>
          <w:sz w:val="28"/>
          <w:szCs w:val="28"/>
        </w:rPr>
        <w:lastRenderedPageBreak/>
        <w:t>Прогноз поступлений прочих доходов от оказания платных услуг (работ) получателями средств бюджетов субъектов Российской Федерации составили:</w:t>
      </w:r>
    </w:p>
    <w:p w:rsidR="00F07E05" w:rsidRPr="001429B2" w:rsidRDefault="00F07E05" w:rsidP="00F07E05">
      <w:pPr>
        <w:pStyle w:val="af4"/>
        <w:numPr>
          <w:ilvl w:val="0"/>
          <w:numId w:val="20"/>
        </w:numPr>
        <w:spacing w:after="200" w:line="276" w:lineRule="auto"/>
        <w:jc w:val="both"/>
        <w:rPr>
          <w:sz w:val="28"/>
          <w:szCs w:val="28"/>
        </w:rPr>
      </w:pPr>
      <w:r w:rsidRPr="001429B2">
        <w:rPr>
          <w:sz w:val="28"/>
          <w:szCs w:val="28"/>
        </w:rPr>
        <w:t xml:space="preserve">на 2022 г.: </w:t>
      </w:r>
      <w:r>
        <w:rPr>
          <w:sz w:val="28"/>
          <w:szCs w:val="28"/>
        </w:rPr>
        <w:t>1 994,0</w:t>
      </w:r>
      <w:r w:rsidRPr="001429B2">
        <w:rPr>
          <w:sz w:val="28"/>
          <w:szCs w:val="28"/>
        </w:rPr>
        <w:t xml:space="preserve"> млн. руб.;</w:t>
      </w:r>
    </w:p>
    <w:p w:rsidR="00F07E05" w:rsidRPr="001429B2" w:rsidRDefault="00F07E05" w:rsidP="00F07E05">
      <w:pPr>
        <w:pStyle w:val="af4"/>
        <w:numPr>
          <w:ilvl w:val="0"/>
          <w:numId w:val="20"/>
        </w:numPr>
        <w:spacing w:after="200" w:line="276" w:lineRule="auto"/>
        <w:jc w:val="both"/>
        <w:rPr>
          <w:sz w:val="28"/>
          <w:szCs w:val="28"/>
        </w:rPr>
      </w:pPr>
      <w:r w:rsidRPr="001429B2">
        <w:rPr>
          <w:sz w:val="28"/>
          <w:szCs w:val="28"/>
        </w:rPr>
        <w:t xml:space="preserve">на 2023 г.: </w:t>
      </w:r>
      <w:r>
        <w:rPr>
          <w:sz w:val="28"/>
          <w:szCs w:val="28"/>
        </w:rPr>
        <w:t>1 833,9</w:t>
      </w:r>
      <w:r w:rsidRPr="001429B2">
        <w:rPr>
          <w:sz w:val="28"/>
          <w:szCs w:val="28"/>
        </w:rPr>
        <w:t xml:space="preserve"> млн. руб.;</w:t>
      </w:r>
    </w:p>
    <w:p w:rsidR="00F07E05" w:rsidRPr="001429B2" w:rsidRDefault="00F07E05" w:rsidP="00F07E05">
      <w:pPr>
        <w:pStyle w:val="af4"/>
        <w:numPr>
          <w:ilvl w:val="0"/>
          <w:numId w:val="20"/>
        </w:numPr>
        <w:spacing w:after="200" w:line="276" w:lineRule="auto"/>
        <w:jc w:val="both"/>
        <w:rPr>
          <w:sz w:val="28"/>
          <w:szCs w:val="28"/>
        </w:rPr>
      </w:pPr>
      <w:r w:rsidRPr="001429B2">
        <w:rPr>
          <w:sz w:val="28"/>
          <w:szCs w:val="28"/>
        </w:rPr>
        <w:t xml:space="preserve">на 2024 г.: </w:t>
      </w:r>
      <w:r>
        <w:rPr>
          <w:sz w:val="28"/>
          <w:szCs w:val="28"/>
        </w:rPr>
        <w:t>2 428,0</w:t>
      </w:r>
      <w:r w:rsidRPr="001429B2">
        <w:rPr>
          <w:sz w:val="28"/>
          <w:szCs w:val="28"/>
        </w:rPr>
        <w:t xml:space="preserve"> млн. руб.</w:t>
      </w:r>
    </w:p>
    <w:tbl>
      <w:tblPr>
        <w:tblW w:w="10203" w:type="dxa"/>
        <w:tblInd w:w="-714" w:type="dxa"/>
        <w:tblLook w:val="04A0" w:firstRow="1" w:lastRow="0" w:firstColumn="1" w:lastColumn="0" w:noHBand="0" w:noVBand="1"/>
      </w:tblPr>
      <w:tblGrid>
        <w:gridCol w:w="569"/>
        <w:gridCol w:w="3621"/>
        <w:gridCol w:w="1551"/>
        <w:gridCol w:w="1489"/>
        <w:gridCol w:w="1489"/>
        <w:gridCol w:w="1484"/>
      </w:tblGrid>
      <w:tr w:rsidR="00F07E05" w:rsidTr="008A253E">
        <w:trPr>
          <w:trHeight w:val="934"/>
        </w:trPr>
        <w:tc>
          <w:tcPr>
            <w:tcW w:w="569"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07E05" w:rsidRDefault="00F07E05" w:rsidP="008A253E">
            <w:pPr>
              <w:jc w:val="center"/>
              <w:rPr>
                <w:rFonts w:ascii="Calibri" w:hAnsi="Calibri" w:cs="Calibri"/>
                <w:b/>
                <w:bCs/>
                <w:color w:val="000000"/>
              </w:rPr>
            </w:pPr>
            <w:r>
              <w:rPr>
                <w:rFonts w:ascii="Calibri" w:hAnsi="Calibri" w:cs="Calibri"/>
                <w:b/>
                <w:bCs/>
                <w:color w:val="000000"/>
                <w:sz w:val="22"/>
                <w:szCs w:val="22"/>
              </w:rPr>
              <w:t> </w:t>
            </w:r>
          </w:p>
        </w:tc>
        <w:tc>
          <w:tcPr>
            <w:tcW w:w="3621"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07E05" w:rsidRDefault="00F07E05" w:rsidP="008A253E">
            <w:pPr>
              <w:jc w:val="center"/>
              <w:rPr>
                <w:b/>
                <w:bCs/>
                <w:color w:val="000000"/>
              </w:rPr>
            </w:pPr>
            <w:r>
              <w:rPr>
                <w:b/>
                <w:bCs/>
                <w:color w:val="000000"/>
                <w:sz w:val="22"/>
                <w:szCs w:val="22"/>
              </w:rPr>
              <w:t>Наименование показателя</w:t>
            </w:r>
          </w:p>
        </w:tc>
        <w:tc>
          <w:tcPr>
            <w:tcW w:w="1551"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07E05" w:rsidRDefault="00F07E05" w:rsidP="008A253E">
            <w:pPr>
              <w:jc w:val="center"/>
              <w:rPr>
                <w:b/>
                <w:bCs/>
                <w:color w:val="000000"/>
              </w:rPr>
            </w:pPr>
            <w:r>
              <w:rPr>
                <w:b/>
                <w:bCs/>
                <w:color w:val="000000"/>
                <w:sz w:val="22"/>
                <w:szCs w:val="22"/>
              </w:rPr>
              <w:t>ед. измерения</w:t>
            </w:r>
          </w:p>
        </w:tc>
        <w:tc>
          <w:tcPr>
            <w:tcW w:w="1489"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07E05" w:rsidRDefault="00F07E05" w:rsidP="008A253E">
            <w:pPr>
              <w:jc w:val="center"/>
              <w:rPr>
                <w:b/>
                <w:bCs/>
                <w:color w:val="000000"/>
              </w:rPr>
            </w:pPr>
            <w:r>
              <w:rPr>
                <w:b/>
                <w:bCs/>
                <w:color w:val="000000"/>
                <w:sz w:val="22"/>
                <w:szCs w:val="22"/>
              </w:rPr>
              <w:t>2022 год</w:t>
            </w:r>
          </w:p>
        </w:tc>
        <w:tc>
          <w:tcPr>
            <w:tcW w:w="1489"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07E05" w:rsidRDefault="00F07E05" w:rsidP="008A253E">
            <w:pPr>
              <w:jc w:val="center"/>
              <w:rPr>
                <w:b/>
                <w:bCs/>
                <w:color w:val="000000"/>
              </w:rPr>
            </w:pPr>
            <w:r>
              <w:rPr>
                <w:b/>
                <w:bCs/>
                <w:color w:val="000000"/>
                <w:sz w:val="22"/>
                <w:szCs w:val="22"/>
              </w:rPr>
              <w:t>2023 год</w:t>
            </w:r>
          </w:p>
        </w:tc>
        <w:tc>
          <w:tcPr>
            <w:tcW w:w="1484"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07E05" w:rsidRDefault="00F07E05" w:rsidP="008A253E">
            <w:pPr>
              <w:jc w:val="center"/>
              <w:rPr>
                <w:b/>
                <w:bCs/>
                <w:color w:val="000000"/>
              </w:rPr>
            </w:pPr>
            <w:r>
              <w:rPr>
                <w:b/>
                <w:bCs/>
                <w:color w:val="000000"/>
                <w:sz w:val="22"/>
                <w:szCs w:val="22"/>
              </w:rPr>
              <w:t>2024 год</w:t>
            </w:r>
          </w:p>
        </w:tc>
      </w:tr>
      <w:tr w:rsidR="00F07E05" w:rsidTr="008A253E">
        <w:trPr>
          <w:trHeight w:val="983"/>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F07E05" w:rsidRDefault="00F07E05" w:rsidP="008A253E">
            <w:pPr>
              <w:rPr>
                <w:color w:val="000000"/>
              </w:rPr>
            </w:pPr>
            <w:r>
              <w:rPr>
                <w:color w:val="000000"/>
                <w:sz w:val="22"/>
                <w:szCs w:val="22"/>
              </w:rPr>
              <w:t>1</w:t>
            </w:r>
          </w:p>
        </w:tc>
        <w:tc>
          <w:tcPr>
            <w:tcW w:w="3621" w:type="dxa"/>
            <w:tcBorders>
              <w:top w:val="nil"/>
              <w:left w:val="nil"/>
              <w:bottom w:val="single" w:sz="4" w:space="0" w:color="auto"/>
              <w:right w:val="single" w:sz="4" w:space="0" w:color="auto"/>
            </w:tcBorders>
            <w:shd w:val="clear" w:color="auto" w:fill="auto"/>
            <w:vAlign w:val="center"/>
            <w:hideMark/>
          </w:tcPr>
          <w:p w:rsidR="00F07E05" w:rsidRDefault="00F07E05" w:rsidP="008A253E">
            <w:pPr>
              <w:rPr>
                <w:color w:val="000000"/>
              </w:rPr>
            </w:pPr>
            <w:r>
              <w:rPr>
                <w:color w:val="000000"/>
                <w:sz w:val="22"/>
                <w:szCs w:val="22"/>
              </w:rPr>
              <w:t>Количество перевезенных пассажиров автомобильным транспортом общего пользования г. Тверь (без учета льготных пассажиров)</w:t>
            </w:r>
          </w:p>
        </w:tc>
        <w:tc>
          <w:tcPr>
            <w:tcW w:w="1551" w:type="dxa"/>
            <w:tcBorders>
              <w:top w:val="nil"/>
              <w:left w:val="nil"/>
              <w:bottom w:val="single" w:sz="4" w:space="0" w:color="auto"/>
              <w:right w:val="single" w:sz="4" w:space="0" w:color="auto"/>
            </w:tcBorders>
            <w:shd w:val="clear" w:color="auto" w:fill="auto"/>
            <w:vAlign w:val="center"/>
            <w:hideMark/>
          </w:tcPr>
          <w:p w:rsidR="00F07E05" w:rsidRDefault="00F07E05" w:rsidP="008A253E">
            <w:pPr>
              <w:jc w:val="center"/>
              <w:rPr>
                <w:color w:val="000000"/>
              </w:rPr>
            </w:pPr>
            <w:r>
              <w:rPr>
                <w:color w:val="000000"/>
                <w:sz w:val="22"/>
                <w:szCs w:val="22"/>
              </w:rPr>
              <w:t>тыс. пассажиров</w:t>
            </w:r>
          </w:p>
        </w:tc>
        <w:tc>
          <w:tcPr>
            <w:tcW w:w="1489" w:type="dxa"/>
            <w:tcBorders>
              <w:top w:val="nil"/>
              <w:left w:val="single" w:sz="4" w:space="0" w:color="auto"/>
              <w:bottom w:val="single" w:sz="4" w:space="0" w:color="auto"/>
              <w:right w:val="single" w:sz="4" w:space="0" w:color="auto"/>
            </w:tcBorders>
            <w:shd w:val="clear" w:color="auto" w:fill="auto"/>
            <w:noWrap/>
            <w:vAlign w:val="center"/>
            <w:hideMark/>
          </w:tcPr>
          <w:p w:rsidR="00F07E05" w:rsidRPr="00690FD4" w:rsidRDefault="00F07E05" w:rsidP="008A253E">
            <w:pPr>
              <w:jc w:val="center"/>
            </w:pPr>
            <w:r w:rsidRPr="00690FD4">
              <w:t>83 65</w:t>
            </w:r>
            <w:r>
              <w:t>2</w:t>
            </w:r>
            <w:r w:rsidRPr="00690FD4">
              <w:t>,</w:t>
            </w:r>
            <w:r>
              <w:t>3</w:t>
            </w:r>
          </w:p>
        </w:tc>
        <w:tc>
          <w:tcPr>
            <w:tcW w:w="1489" w:type="dxa"/>
            <w:tcBorders>
              <w:top w:val="nil"/>
              <w:left w:val="nil"/>
              <w:bottom w:val="single" w:sz="4" w:space="0" w:color="auto"/>
              <w:right w:val="single" w:sz="4" w:space="0" w:color="auto"/>
            </w:tcBorders>
            <w:shd w:val="clear" w:color="auto" w:fill="auto"/>
            <w:noWrap/>
            <w:vAlign w:val="center"/>
            <w:hideMark/>
          </w:tcPr>
          <w:p w:rsidR="00F07E05" w:rsidRPr="00690FD4" w:rsidRDefault="00F07E05" w:rsidP="008A253E">
            <w:pPr>
              <w:jc w:val="center"/>
            </w:pPr>
            <w:r w:rsidRPr="00690FD4">
              <w:t>83 86</w:t>
            </w:r>
            <w:r>
              <w:t>3</w:t>
            </w:r>
            <w:r w:rsidRPr="00690FD4">
              <w:t>,</w:t>
            </w:r>
            <w:r>
              <w:t>3</w:t>
            </w:r>
          </w:p>
        </w:tc>
        <w:tc>
          <w:tcPr>
            <w:tcW w:w="1484" w:type="dxa"/>
            <w:tcBorders>
              <w:top w:val="nil"/>
              <w:left w:val="nil"/>
              <w:bottom w:val="single" w:sz="4" w:space="0" w:color="auto"/>
              <w:right w:val="single" w:sz="4" w:space="0" w:color="auto"/>
            </w:tcBorders>
            <w:shd w:val="clear" w:color="auto" w:fill="auto"/>
            <w:noWrap/>
            <w:vAlign w:val="center"/>
          </w:tcPr>
          <w:p w:rsidR="00F07E05" w:rsidRPr="00690FD4" w:rsidRDefault="00F07E05" w:rsidP="008A253E">
            <w:pPr>
              <w:jc w:val="center"/>
            </w:pPr>
            <w:r w:rsidRPr="00690FD4">
              <w:t>83</w:t>
            </w:r>
            <w:r>
              <w:t> </w:t>
            </w:r>
            <w:r w:rsidRPr="00690FD4">
              <w:t>8</w:t>
            </w:r>
            <w:r>
              <w:t>59,0</w:t>
            </w:r>
          </w:p>
        </w:tc>
      </w:tr>
      <w:tr w:rsidR="00F07E05" w:rsidTr="008A253E">
        <w:trPr>
          <w:trHeight w:val="302"/>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F07E05" w:rsidRDefault="00F07E05" w:rsidP="008A253E">
            <w:pPr>
              <w:rPr>
                <w:color w:val="000000"/>
              </w:rPr>
            </w:pPr>
            <w:r>
              <w:rPr>
                <w:color w:val="000000"/>
                <w:sz w:val="22"/>
                <w:szCs w:val="22"/>
              </w:rPr>
              <w:t>2</w:t>
            </w:r>
          </w:p>
        </w:tc>
        <w:tc>
          <w:tcPr>
            <w:tcW w:w="3621" w:type="dxa"/>
            <w:tcBorders>
              <w:top w:val="nil"/>
              <w:left w:val="nil"/>
              <w:bottom w:val="single" w:sz="4" w:space="0" w:color="auto"/>
              <w:right w:val="single" w:sz="4" w:space="0" w:color="auto"/>
            </w:tcBorders>
            <w:shd w:val="clear" w:color="auto" w:fill="auto"/>
            <w:vAlign w:val="center"/>
            <w:hideMark/>
          </w:tcPr>
          <w:p w:rsidR="00F07E05" w:rsidRDefault="00F07E05" w:rsidP="008A253E">
            <w:pPr>
              <w:rPr>
                <w:color w:val="000000"/>
              </w:rPr>
            </w:pPr>
            <w:r>
              <w:rPr>
                <w:color w:val="000000"/>
                <w:sz w:val="22"/>
                <w:szCs w:val="22"/>
              </w:rPr>
              <w:t>Средневзвешенный тариф</w:t>
            </w:r>
          </w:p>
        </w:tc>
        <w:tc>
          <w:tcPr>
            <w:tcW w:w="1551" w:type="dxa"/>
            <w:tcBorders>
              <w:top w:val="nil"/>
              <w:left w:val="nil"/>
              <w:bottom w:val="single" w:sz="4" w:space="0" w:color="auto"/>
              <w:right w:val="single" w:sz="4" w:space="0" w:color="auto"/>
            </w:tcBorders>
            <w:shd w:val="clear" w:color="auto" w:fill="auto"/>
            <w:vAlign w:val="center"/>
            <w:hideMark/>
          </w:tcPr>
          <w:p w:rsidR="00F07E05" w:rsidRDefault="00F07E05" w:rsidP="008A253E">
            <w:pPr>
              <w:jc w:val="center"/>
              <w:rPr>
                <w:color w:val="000000"/>
              </w:rPr>
            </w:pPr>
            <w:r>
              <w:rPr>
                <w:color w:val="000000"/>
                <w:sz w:val="22"/>
                <w:szCs w:val="22"/>
              </w:rPr>
              <w:t>руб.</w:t>
            </w:r>
          </w:p>
        </w:tc>
        <w:tc>
          <w:tcPr>
            <w:tcW w:w="1489" w:type="dxa"/>
            <w:tcBorders>
              <w:top w:val="nil"/>
              <w:left w:val="single" w:sz="4" w:space="0" w:color="auto"/>
              <w:bottom w:val="single" w:sz="4" w:space="0" w:color="auto"/>
              <w:right w:val="single" w:sz="4" w:space="0" w:color="auto"/>
            </w:tcBorders>
            <w:shd w:val="clear" w:color="auto" w:fill="auto"/>
            <w:noWrap/>
            <w:vAlign w:val="center"/>
            <w:hideMark/>
          </w:tcPr>
          <w:p w:rsidR="00F07E05" w:rsidRPr="00690FD4" w:rsidRDefault="00F07E05" w:rsidP="008A253E">
            <w:pPr>
              <w:jc w:val="center"/>
            </w:pPr>
            <w:r w:rsidRPr="00690FD4">
              <w:t>24,39</w:t>
            </w:r>
          </w:p>
        </w:tc>
        <w:tc>
          <w:tcPr>
            <w:tcW w:w="1489" w:type="dxa"/>
            <w:tcBorders>
              <w:top w:val="nil"/>
              <w:left w:val="nil"/>
              <w:bottom w:val="single" w:sz="4" w:space="0" w:color="auto"/>
              <w:right w:val="single" w:sz="4" w:space="0" w:color="auto"/>
            </w:tcBorders>
            <w:shd w:val="clear" w:color="auto" w:fill="auto"/>
            <w:noWrap/>
            <w:vAlign w:val="center"/>
            <w:hideMark/>
          </w:tcPr>
          <w:p w:rsidR="00F07E05" w:rsidRPr="00690FD4" w:rsidRDefault="00F07E05" w:rsidP="008A253E">
            <w:pPr>
              <w:jc w:val="center"/>
            </w:pPr>
            <w:r w:rsidRPr="00690FD4">
              <w:t>25,22</w:t>
            </w:r>
          </w:p>
        </w:tc>
        <w:tc>
          <w:tcPr>
            <w:tcW w:w="1484" w:type="dxa"/>
            <w:tcBorders>
              <w:top w:val="nil"/>
              <w:left w:val="nil"/>
              <w:bottom w:val="single" w:sz="4" w:space="0" w:color="auto"/>
              <w:right w:val="single" w:sz="4" w:space="0" w:color="auto"/>
            </w:tcBorders>
            <w:shd w:val="clear" w:color="auto" w:fill="auto"/>
            <w:noWrap/>
            <w:vAlign w:val="center"/>
          </w:tcPr>
          <w:p w:rsidR="00F07E05" w:rsidRPr="00181E6E" w:rsidRDefault="00F07E05" w:rsidP="008A253E">
            <w:pPr>
              <w:jc w:val="center"/>
            </w:pPr>
            <w:r w:rsidRPr="00181E6E">
              <w:t>26,68</w:t>
            </w:r>
          </w:p>
        </w:tc>
      </w:tr>
      <w:tr w:rsidR="00F07E05" w:rsidTr="008A253E">
        <w:trPr>
          <w:trHeight w:val="302"/>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F07E05" w:rsidRDefault="00F07E05" w:rsidP="008A253E">
            <w:pPr>
              <w:rPr>
                <w:b/>
                <w:bCs/>
                <w:color w:val="000000"/>
              </w:rPr>
            </w:pPr>
            <w:r>
              <w:rPr>
                <w:b/>
                <w:bCs/>
                <w:color w:val="000000"/>
                <w:sz w:val="22"/>
                <w:szCs w:val="22"/>
              </w:rPr>
              <w:t>3</w:t>
            </w:r>
          </w:p>
        </w:tc>
        <w:tc>
          <w:tcPr>
            <w:tcW w:w="3621" w:type="dxa"/>
            <w:tcBorders>
              <w:top w:val="nil"/>
              <w:left w:val="nil"/>
              <w:bottom w:val="single" w:sz="4" w:space="0" w:color="auto"/>
              <w:right w:val="single" w:sz="4" w:space="0" w:color="auto"/>
            </w:tcBorders>
            <w:shd w:val="clear" w:color="auto" w:fill="auto"/>
            <w:vAlign w:val="center"/>
            <w:hideMark/>
          </w:tcPr>
          <w:p w:rsidR="00F07E05" w:rsidRDefault="00F07E05" w:rsidP="008A253E">
            <w:pPr>
              <w:rPr>
                <w:b/>
                <w:bCs/>
                <w:color w:val="000000"/>
              </w:rPr>
            </w:pPr>
            <w:r>
              <w:rPr>
                <w:b/>
                <w:bCs/>
                <w:color w:val="000000"/>
                <w:sz w:val="22"/>
                <w:szCs w:val="22"/>
              </w:rPr>
              <w:t>Итого по городу (стр.1*2)</w:t>
            </w:r>
          </w:p>
        </w:tc>
        <w:tc>
          <w:tcPr>
            <w:tcW w:w="1551" w:type="dxa"/>
            <w:tcBorders>
              <w:top w:val="nil"/>
              <w:left w:val="nil"/>
              <w:bottom w:val="single" w:sz="4" w:space="0" w:color="auto"/>
              <w:right w:val="single" w:sz="4" w:space="0" w:color="auto"/>
            </w:tcBorders>
            <w:shd w:val="clear" w:color="auto" w:fill="auto"/>
            <w:vAlign w:val="center"/>
            <w:hideMark/>
          </w:tcPr>
          <w:p w:rsidR="00F07E05" w:rsidRDefault="00F07E05" w:rsidP="008A253E">
            <w:pPr>
              <w:jc w:val="center"/>
              <w:rPr>
                <w:b/>
                <w:bCs/>
                <w:color w:val="000000"/>
              </w:rPr>
            </w:pPr>
            <w:r>
              <w:rPr>
                <w:b/>
                <w:bCs/>
                <w:color w:val="000000"/>
                <w:sz w:val="22"/>
                <w:szCs w:val="22"/>
              </w:rPr>
              <w:t>тыс. руб.</w:t>
            </w:r>
          </w:p>
        </w:tc>
        <w:tc>
          <w:tcPr>
            <w:tcW w:w="1489" w:type="dxa"/>
            <w:tcBorders>
              <w:top w:val="nil"/>
              <w:left w:val="single" w:sz="4" w:space="0" w:color="auto"/>
              <w:bottom w:val="single" w:sz="4" w:space="0" w:color="auto"/>
              <w:right w:val="single" w:sz="4" w:space="0" w:color="auto"/>
            </w:tcBorders>
            <w:shd w:val="clear" w:color="auto" w:fill="auto"/>
            <w:noWrap/>
            <w:vAlign w:val="center"/>
            <w:hideMark/>
          </w:tcPr>
          <w:p w:rsidR="00F07E05" w:rsidRPr="00282D57" w:rsidRDefault="00F07E05" w:rsidP="008A253E">
            <w:pPr>
              <w:jc w:val="center"/>
              <w:rPr>
                <w:b/>
                <w:bCs/>
              </w:rPr>
            </w:pPr>
            <w:r w:rsidRPr="00282D57">
              <w:t>2 040</w:t>
            </w:r>
            <w:r>
              <w:t> 279,6</w:t>
            </w:r>
          </w:p>
        </w:tc>
        <w:tc>
          <w:tcPr>
            <w:tcW w:w="1489" w:type="dxa"/>
            <w:tcBorders>
              <w:top w:val="nil"/>
              <w:left w:val="nil"/>
              <w:bottom w:val="single" w:sz="4" w:space="0" w:color="auto"/>
              <w:right w:val="single" w:sz="4" w:space="0" w:color="auto"/>
            </w:tcBorders>
            <w:shd w:val="clear" w:color="auto" w:fill="auto"/>
            <w:noWrap/>
            <w:vAlign w:val="center"/>
            <w:hideMark/>
          </w:tcPr>
          <w:p w:rsidR="00F07E05" w:rsidRPr="00282D57" w:rsidRDefault="00F07E05" w:rsidP="008A253E">
            <w:pPr>
              <w:jc w:val="center"/>
              <w:rPr>
                <w:b/>
                <w:bCs/>
              </w:rPr>
            </w:pPr>
            <w:r w:rsidRPr="00282D57">
              <w:t>2</w:t>
            </w:r>
            <w:r>
              <w:t> 115 032,4</w:t>
            </w:r>
          </w:p>
        </w:tc>
        <w:tc>
          <w:tcPr>
            <w:tcW w:w="1484" w:type="dxa"/>
            <w:tcBorders>
              <w:top w:val="nil"/>
              <w:left w:val="nil"/>
              <w:bottom w:val="single" w:sz="4" w:space="0" w:color="auto"/>
              <w:right w:val="single" w:sz="4" w:space="0" w:color="auto"/>
            </w:tcBorders>
            <w:shd w:val="clear" w:color="auto" w:fill="auto"/>
            <w:noWrap/>
            <w:vAlign w:val="center"/>
          </w:tcPr>
          <w:p w:rsidR="00F07E05" w:rsidRPr="00181E6E" w:rsidRDefault="00F07E05" w:rsidP="008A253E">
            <w:pPr>
              <w:jc w:val="center"/>
              <w:rPr>
                <w:b/>
                <w:bCs/>
              </w:rPr>
            </w:pPr>
            <w:r w:rsidRPr="00181E6E">
              <w:t>2 237 358,1</w:t>
            </w:r>
          </w:p>
        </w:tc>
      </w:tr>
      <w:tr w:rsidR="00F07E05" w:rsidTr="008A253E">
        <w:trPr>
          <w:trHeight w:val="1316"/>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F07E05" w:rsidRDefault="00F07E05" w:rsidP="008A253E">
            <w:pPr>
              <w:rPr>
                <w:color w:val="000000"/>
              </w:rPr>
            </w:pPr>
            <w:r>
              <w:rPr>
                <w:color w:val="000000"/>
                <w:sz w:val="22"/>
                <w:szCs w:val="22"/>
              </w:rPr>
              <w:t>4</w:t>
            </w:r>
          </w:p>
        </w:tc>
        <w:tc>
          <w:tcPr>
            <w:tcW w:w="3621" w:type="dxa"/>
            <w:tcBorders>
              <w:top w:val="nil"/>
              <w:left w:val="nil"/>
              <w:bottom w:val="single" w:sz="4" w:space="0" w:color="auto"/>
              <w:right w:val="single" w:sz="4" w:space="0" w:color="auto"/>
            </w:tcBorders>
            <w:shd w:val="clear" w:color="auto" w:fill="auto"/>
            <w:vAlign w:val="center"/>
            <w:hideMark/>
          </w:tcPr>
          <w:p w:rsidR="00F07E05" w:rsidRDefault="00F07E05" w:rsidP="008A253E">
            <w:pPr>
              <w:rPr>
                <w:color w:val="000000"/>
              </w:rPr>
            </w:pPr>
            <w:r>
              <w:rPr>
                <w:color w:val="000000"/>
                <w:sz w:val="22"/>
                <w:szCs w:val="22"/>
              </w:rPr>
              <w:t>Количество перевезенных пассажиров автомобильным транспортом общего пользования пригородного сообщения Калининский район (без учета льготных пассажиров)</w:t>
            </w:r>
          </w:p>
        </w:tc>
        <w:tc>
          <w:tcPr>
            <w:tcW w:w="1551" w:type="dxa"/>
            <w:tcBorders>
              <w:top w:val="nil"/>
              <w:left w:val="nil"/>
              <w:bottom w:val="single" w:sz="4" w:space="0" w:color="auto"/>
              <w:right w:val="single" w:sz="4" w:space="0" w:color="auto"/>
            </w:tcBorders>
            <w:shd w:val="clear" w:color="auto" w:fill="auto"/>
            <w:vAlign w:val="center"/>
            <w:hideMark/>
          </w:tcPr>
          <w:p w:rsidR="00F07E05" w:rsidRDefault="00F07E05" w:rsidP="008A253E">
            <w:pPr>
              <w:jc w:val="center"/>
              <w:rPr>
                <w:color w:val="000000"/>
              </w:rPr>
            </w:pPr>
            <w:r>
              <w:rPr>
                <w:color w:val="000000"/>
                <w:sz w:val="22"/>
                <w:szCs w:val="22"/>
              </w:rPr>
              <w:t>тыс. пассажиров</w:t>
            </w:r>
          </w:p>
        </w:tc>
        <w:tc>
          <w:tcPr>
            <w:tcW w:w="1489" w:type="dxa"/>
            <w:tcBorders>
              <w:top w:val="nil"/>
              <w:left w:val="single" w:sz="4" w:space="0" w:color="auto"/>
              <w:bottom w:val="single" w:sz="4" w:space="0" w:color="auto"/>
              <w:right w:val="single" w:sz="4" w:space="0" w:color="auto"/>
            </w:tcBorders>
            <w:shd w:val="clear" w:color="auto" w:fill="auto"/>
            <w:noWrap/>
            <w:vAlign w:val="center"/>
            <w:hideMark/>
          </w:tcPr>
          <w:p w:rsidR="00F07E05" w:rsidRPr="00962379" w:rsidRDefault="00F07E05" w:rsidP="008A253E">
            <w:pPr>
              <w:jc w:val="center"/>
            </w:pPr>
            <w:r w:rsidRPr="00962379">
              <w:t>6 660,0</w:t>
            </w:r>
          </w:p>
        </w:tc>
        <w:tc>
          <w:tcPr>
            <w:tcW w:w="1489" w:type="dxa"/>
            <w:tcBorders>
              <w:top w:val="nil"/>
              <w:left w:val="nil"/>
              <w:bottom w:val="single" w:sz="4" w:space="0" w:color="auto"/>
              <w:right w:val="single" w:sz="4" w:space="0" w:color="auto"/>
            </w:tcBorders>
            <w:shd w:val="clear" w:color="auto" w:fill="auto"/>
            <w:noWrap/>
            <w:vAlign w:val="center"/>
            <w:hideMark/>
          </w:tcPr>
          <w:p w:rsidR="00F07E05" w:rsidRPr="00962379" w:rsidRDefault="00F07E05" w:rsidP="008A253E">
            <w:pPr>
              <w:jc w:val="center"/>
            </w:pPr>
            <w:r w:rsidRPr="00962379">
              <w:t>6 660,0</w:t>
            </w:r>
          </w:p>
        </w:tc>
        <w:tc>
          <w:tcPr>
            <w:tcW w:w="1484" w:type="dxa"/>
            <w:tcBorders>
              <w:top w:val="nil"/>
              <w:left w:val="nil"/>
              <w:bottom w:val="single" w:sz="4" w:space="0" w:color="auto"/>
              <w:right w:val="single" w:sz="4" w:space="0" w:color="auto"/>
            </w:tcBorders>
            <w:shd w:val="clear" w:color="auto" w:fill="auto"/>
            <w:noWrap/>
            <w:vAlign w:val="center"/>
          </w:tcPr>
          <w:p w:rsidR="00F07E05" w:rsidRPr="00962379" w:rsidRDefault="00F07E05" w:rsidP="008A253E">
            <w:pPr>
              <w:jc w:val="center"/>
            </w:pPr>
            <w:r w:rsidRPr="00962379">
              <w:t>6 660,0</w:t>
            </w:r>
          </w:p>
        </w:tc>
      </w:tr>
      <w:tr w:rsidR="00F07E05" w:rsidTr="008A253E">
        <w:trPr>
          <w:trHeight w:val="302"/>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F07E05" w:rsidRDefault="00F07E05" w:rsidP="008A253E">
            <w:pPr>
              <w:rPr>
                <w:color w:val="000000"/>
              </w:rPr>
            </w:pPr>
            <w:r>
              <w:rPr>
                <w:color w:val="000000"/>
                <w:sz w:val="22"/>
                <w:szCs w:val="22"/>
              </w:rPr>
              <w:t>5</w:t>
            </w:r>
          </w:p>
        </w:tc>
        <w:tc>
          <w:tcPr>
            <w:tcW w:w="3621" w:type="dxa"/>
            <w:tcBorders>
              <w:top w:val="nil"/>
              <w:left w:val="nil"/>
              <w:bottom w:val="single" w:sz="4" w:space="0" w:color="auto"/>
              <w:right w:val="single" w:sz="4" w:space="0" w:color="auto"/>
            </w:tcBorders>
            <w:shd w:val="clear" w:color="auto" w:fill="auto"/>
            <w:vAlign w:val="center"/>
            <w:hideMark/>
          </w:tcPr>
          <w:p w:rsidR="00F07E05" w:rsidRDefault="00F07E05" w:rsidP="008A253E">
            <w:pPr>
              <w:rPr>
                <w:color w:val="000000"/>
              </w:rPr>
            </w:pPr>
            <w:r>
              <w:rPr>
                <w:color w:val="000000"/>
                <w:sz w:val="22"/>
                <w:szCs w:val="22"/>
              </w:rPr>
              <w:t>Средневзвешенный тариф</w:t>
            </w:r>
          </w:p>
        </w:tc>
        <w:tc>
          <w:tcPr>
            <w:tcW w:w="1551" w:type="dxa"/>
            <w:tcBorders>
              <w:top w:val="nil"/>
              <w:left w:val="nil"/>
              <w:bottom w:val="single" w:sz="4" w:space="0" w:color="auto"/>
              <w:right w:val="single" w:sz="4" w:space="0" w:color="auto"/>
            </w:tcBorders>
            <w:shd w:val="clear" w:color="auto" w:fill="auto"/>
            <w:vAlign w:val="center"/>
            <w:hideMark/>
          </w:tcPr>
          <w:p w:rsidR="00F07E05" w:rsidRDefault="00F07E05" w:rsidP="008A253E">
            <w:pPr>
              <w:jc w:val="center"/>
              <w:rPr>
                <w:color w:val="000000"/>
              </w:rPr>
            </w:pPr>
            <w:r>
              <w:rPr>
                <w:color w:val="000000"/>
                <w:sz w:val="22"/>
                <w:szCs w:val="22"/>
              </w:rPr>
              <w:t>руб. за 1 км.</w:t>
            </w:r>
          </w:p>
        </w:tc>
        <w:tc>
          <w:tcPr>
            <w:tcW w:w="1489" w:type="dxa"/>
            <w:tcBorders>
              <w:top w:val="nil"/>
              <w:left w:val="single" w:sz="4" w:space="0" w:color="auto"/>
              <w:bottom w:val="single" w:sz="4" w:space="0" w:color="auto"/>
              <w:right w:val="single" w:sz="4" w:space="0" w:color="auto"/>
            </w:tcBorders>
            <w:shd w:val="clear" w:color="auto" w:fill="auto"/>
            <w:noWrap/>
            <w:vAlign w:val="center"/>
            <w:hideMark/>
          </w:tcPr>
          <w:p w:rsidR="00F07E05" w:rsidRPr="00962379" w:rsidRDefault="00F07E05" w:rsidP="008A253E">
            <w:pPr>
              <w:jc w:val="center"/>
            </w:pPr>
            <w:r w:rsidRPr="00962379">
              <w:t>4,82</w:t>
            </w:r>
          </w:p>
        </w:tc>
        <w:tc>
          <w:tcPr>
            <w:tcW w:w="1489" w:type="dxa"/>
            <w:tcBorders>
              <w:top w:val="nil"/>
              <w:left w:val="nil"/>
              <w:bottom w:val="single" w:sz="4" w:space="0" w:color="auto"/>
              <w:right w:val="single" w:sz="4" w:space="0" w:color="auto"/>
            </w:tcBorders>
            <w:shd w:val="clear" w:color="auto" w:fill="auto"/>
            <w:noWrap/>
            <w:vAlign w:val="center"/>
            <w:hideMark/>
          </w:tcPr>
          <w:p w:rsidR="00F07E05" w:rsidRPr="00962379" w:rsidRDefault="00F07E05" w:rsidP="008A253E">
            <w:pPr>
              <w:jc w:val="center"/>
            </w:pPr>
            <w:r w:rsidRPr="00962379">
              <w:t>4,97</w:t>
            </w:r>
          </w:p>
        </w:tc>
        <w:tc>
          <w:tcPr>
            <w:tcW w:w="1484" w:type="dxa"/>
            <w:tcBorders>
              <w:top w:val="nil"/>
              <w:left w:val="nil"/>
              <w:bottom w:val="single" w:sz="4" w:space="0" w:color="auto"/>
              <w:right w:val="single" w:sz="4" w:space="0" w:color="auto"/>
            </w:tcBorders>
            <w:shd w:val="clear" w:color="auto" w:fill="auto"/>
            <w:noWrap/>
            <w:vAlign w:val="center"/>
          </w:tcPr>
          <w:p w:rsidR="00F07E05" w:rsidRPr="00181E6E" w:rsidRDefault="00F07E05" w:rsidP="008A253E">
            <w:pPr>
              <w:jc w:val="center"/>
            </w:pPr>
            <w:r w:rsidRPr="00181E6E">
              <w:t>5,44</w:t>
            </w:r>
          </w:p>
        </w:tc>
      </w:tr>
      <w:tr w:rsidR="00F07E05" w:rsidTr="008A253E">
        <w:trPr>
          <w:trHeight w:val="605"/>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F07E05" w:rsidRDefault="00F07E05" w:rsidP="008A253E">
            <w:pPr>
              <w:rPr>
                <w:color w:val="000000"/>
              </w:rPr>
            </w:pPr>
            <w:r>
              <w:rPr>
                <w:color w:val="000000"/>
                <w:sz w:val="22"/>
                <w:szCs w:val="22"/>
              </w:rPr>
              <w:t>6</w:t>
            </w:r>
          </w:p>
        </w:tc>
        <w:tc>
          <w:tcPr>
            <w:tcW w:w="3621" w:type="dxa"/>
            <w:tcBorders>
              <w:top w:val="nil"/>
              <w:left w:val="nil"/>
              <w:bottom w:val="single" w:sz="4" w:space="0" w:color="auto"/>
              <w:right w:val="single" w:sz="4" w:space="0" w:color="auto"/>
            </w:tcBorders>
            <w:shd w:val="clear" w:color="auto" w:fill="auto"/>
            <w:vAlign w:val="center"/>
            <w:hideMark/>
          </w:tcPr>
          <w:p w:rsidR="00F07E05" w:rsidRDefault="00F07E05" w:rsidP="008A253E">
            <w:pPr>
              <w:rPr>
                <w:color w:val="000000"/>
              </w:rPr>
            </w:pPr>
            <w:r>
              <w:rPr>
                <w:color w:val="000000"/>
                <w:sz w:val="22"/>
                <w:szCs w:val="22"/>
              </w:rPr>
              <w:t>Средняя дальность перевозки пассажиров на пригородном сообщении</w:t>
            </w:r>
          </w:p>
        </w:tc>
        <w:tc>
          <w:tcPr>
            <w:tcW w:w="1551" w:type="dxa"/>
            <w:tcBorders>
              <w:top w:val="nil"/>
              <w:left w:val="nil"/>
              <w:bottom w:val="single" w:sz="4" w:space="0" w:color="auto"/>
              <w:right w:val="single" w:sz="4" w:space="0" w:color="auto"/>
            </w:tcBorders>
            <w:shd w:val="clear" w:color="auto" w:fill="auto"/>
            <w:vAlign w:val="center"/>
            <w:hideMark/>
          </w:tcPr>
          <w:p w:rsidR="00F07E05" w:rsidRDefault="00F07E05" w:rsidP="008A253E">
            <w:pPr>
              <w:jc w:val="center"/>
              <w:rPr>
                <w:color w:val="000000"/>
              </w:rPr>
            </w:pPr>
            <w:r>
              <w:rPr>
                <w:color w:val="000000"/>
                <w:sz w:val="22"/>
                <w:szCs w:val="22"/>
              </w:rPr>
              <w:t>км.</w:t>
            </w:r>
          </w:p>
        </w:tc>
        <w:tc>
          <w:tcPr>
            <w:tcW w:w="1489" w:type="dxa"/>
            <w:tcBorders>
              <w:top w:val="nil"/>
              <w:left w:val="single" w:sz="4" w:space="0" w:color="auto"/>
              <w:bottom w:val="single" w:sz="4" w:space="0" w:color="auto"/>
              <w:right w:val="single" w:sz="4" w:space="0" w:color="auto"/>
            </w:tcBorders>
            <w:shd w:val="clear" w:color="auto" w:fill="auto"/>
            <w:noWrap/>
            <w:vAlign w:val="center"/>
            <w:hideMark/>
          </w:tcPr>
          <w:p w:rsidR="00F07E05" w:rsidRPr="00690FD4" w:rsidRDefault="00F07E05" w:rsidP="008A253E">
            <w:pPr>
              <w:jc w:val="center"/>
            </w:pPr>
            <w:r w:rsidRPr="00690FD4">
              <w:t>7</w:t>
            </w:r>
            <w:r>
              <w:t>,0</w:t>
            </w:r>
          </w:p>
        </w:tc>
        <w:tc>
          <w:tcPr>
            <w:tcW w:w="1489" w:type="dxa"/>
            <w:tcBorders>
              <w:top w:val="nil"/>
              <w:left w:val="nil"/>
              <w:bottom w:val="single" w:sz="4" w:space="0" w:color="auto"/>
              <w:right w:val="single" w:sz="4" w:space="0" w:color="auto"/>
            </w:tcBorders>
            <w:shd w:val="clear" w:color="auto" w:fill="auto"/>
            <w:noWrap/>
            <w:vAlign w:val="center"/>
            <w:hideMark/>
          </w:tcPr>
          <w:p w:rsidR="00F07E05" w:rsidRPr="00690FD4" w:rsidRDefault="00F07E05" w:rsidP="008A253E">
            <w:pPr>
              <w:jc w:val="center"/>
            </w:pPr>
            <w:r w:rsidRPr="00690FD4">
              <w:t>7</w:t>
            </w:r>
            <w:r>
              <w:t>,0</w:t>
            </w:r>
          </w:p>
        </w:tc>
        <w:tc>
          <w:tcPr>
            <w:tcW w:w="1484" w:type="dxa"/>
            <w:tcBorders>
              <w:top w:val="nil"/>
              <w:left w:val="nil"/>
              <w:bottom w:val="single" w:sz="4" w:space="0" w:color="auto"/>
              <w:right w:val="single" w:sz="4" w:space="0" w:color="auto"/>
            </w:tcBorders>
            <w:shd w:val="clear" w:color="auto" w:fill="auto"/>
            <w:noWrap/>
            <w:vAlign w:val="center"/>
          </w:tcPr>
          <w:p w:rsidR="00F07E05" w:rsidRPr="00181E6E" w:rsidRDefault="00F07E05" w:rsidP="008A253E">
            <w:pPr>
              <w:jc w:val="center"/>
            </w:pPr>
            <w:r w:rsidRPr="00181E6E">
              <w:t>7,0</w:t>
            </w:r>
          </w:p>
        </w:tc>
      </w:tr>
      <w:tr w:rsidR="00F07E05" w:rsidTr="008A253E">
        <w:trPr>
          <w:trHeight w:val="302"/>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F07E05" w:rsidRDefault="00F07E05" w:rsidP="008A253E">
            <w:pPr>
              <w:rPr>
                <w:b/>
                <w:bCs/>
                <w:color w:val="000000"/>
              </w:rPr>
            </w:pPr>
            <w:r>
              <w:rPr>
                <w:b/>
                <w:bCs/>
                <w:color w:val="000000"/>
                <w:sz w:val="22"/>
                <w:szCs w:val="22"/>
              </w:rPr>
              <w:t>7</w:t>
            </w:r>
          </w:p>
        </w:tc>
        <w:tc>
          <w:tcPr>
            <w:tcW w:w="3621" w:type="dxa"/>
            <w:tcBorders>
              <w:top w:val="nil"/>
              <w:left w:val="nil"/>
              <w:bottom w:val="single" w:sz="4" w:space="0" w:color="auto"/>
              <w:right w:val="single" w:sz="4" w:space="0" w:color="auto"/>
            </w:tcBorders>
            <w:shd w:val="clear" w:color="auto" w:fill="auto"/>
            <w:vAlign w:val="center"/>
            <w:hideMark/>
          </w:tcPr>
          <w:p w:rsidR="00F07E05" w:rsidRDefault="00F07E05" w:rsidP="008A253E">
            <w:pPr>
              <w:rPr>
                <w:b/>
                <w:bCs/>
                <w:color w:val="000000"/>
              </w:rPr>
            </w:pPr>
            <w:r>
              <w:rPr>
                <w:b/>
                <w:bCs/>
                <w:color w:val="000000"/>
                <w:sz w:val="22"/>
                <w:szCs w:val="22"/>
              </w:rPr>
              <w:t>Итого пригород (стр.4*5*6)</w:t>
            </w:r>
          </w:p>
        </w:tc>
        <w:tc>
          <w:tcPr>
            <w:tcW w:w="1551" w:type="dxa"/>
            <w:tcBorders>
              <w:top w:val="nil"/>
              <w:left w:val="nil"/>
              <w:bottom w:val="single" w:sz="4" w:space="0" w:color="auto"/>
              <w:right w:val="single" w:sz="4" w:space="0" w:color="auto"/>
            </w:tcBorders>
            <w:shd w:val="clear" w:color="auto" w:fill="auto"/>
            <w:vAlign w:val="center"/>
            <w:hideMark/>
          </w:tcPr>
          <w:p w:rsidR="00F07E05" w:rsidRDefault="00F07E05" w:rsidP="008A253E">
            <w:pPr>
              <w:jc w:val="center"/>
              <w:rPr>
                <w:b/>
                <w:bCs/>
                <w:color w:val="000000"/>
              </w:rPr>
            </w:pPr>
            <w:r>
              <w:rPr>
                <w:b/>
                <w:bCs/>
                <w:color w:val="000000"/>
                <w:sz w:val="22"/>
                <w:szCs w:val="22"/>
              </w:rPr>
              <w:t>тыс. руб.</w:t>
            </w:r>
          </w:p>
        </w:tc>
        <w:tc>
          <w:tcPr>
            <w:tcW w:w="1489" w:type="dxa"/>
            <w:tcBorders>
              <w:top w:val="nil"/>
              <w:left w:val="single" w:sz="4" w:space="0" w:color="auto"/>
              <w:bottom w:val="single" w:sz="4" w:space="0" w:color="auto"/>
              <w:right w:val="single" w:sz="4" w:space="0" w:color="auto"/>
            </w:tcBorders>
            <w:shd w:val="clear" w:color="auto" w:fill="auto"/>
            <w:noWrap/>
            <w:vAlign w:val="center"/>
            <w:hideMark/>
          </w:tcPr>
          <w:p w:rsidR="00F07E05" w:rsidRPr="00282D57" w:rsidRDefault="00F07E05" w:rsidP="008A253E">
            <w:pPr>
              <w:jc w:val="center"/>
              <w:rPr>
                <w:b/>
                <w:bCs/>
              </w:rPr>
            </w:pPr>
            <w:r w:rsidRPr="00282D57">
              <w:t>224 708,4</w:t>
            </w:r>
          </w:p>
        </w:tc>
        <w:tc>
          <w:tcPr>
            <w:tcW w:w="1489" w:type="dxa"/>
            <w:tcBorders>
              <w:top w:val="nil"/>
              <w:left w:val="nil"/>
              <w:bottom w:val="single" w:sz="4" w:space="0" w:color="auto"/>
              <w:right w:val="single" w:sz="4" w:space="0" w:color="auto"/>
            </w:tcBorders>
            <w:shd w:val="clear" w:color="auto" w:fill="auto"/>
            <w:noWrap/>
            <w:vAlign w:val="center"/>
            <w:hideMark/>
          </w:tcPr>
          <w:p w:rsidR="00F07E05" w:rsidRPr="00183C54" w:rsidRDefault="00F07E05" w:rsidP="008A253E">
            <w:pPr>
              <w:jc w:val="center"/>
              <w:rPr>
                <w:b/>
                <w:bCs/>
                <w:color w:val="FF0000"/>
              </w:rPr>
            </w:pPr>
            <w:r w:rsidRPr="00282D57">
              <w:t>231 701,4</w:t>
            </w:r>
          </w:p>
        </w:tc>
        <w:tc>
          <w:tcPr>
            <w:tcW w:w="1484" w:type="dxa"/>
            <w:tcBorders>
              <w:top w:val="nil"/>
              <w:left w:val="nil"/>
              <w:bottom w:val="single" w:sz="4" w:space="0" w:color="auto"/>
              <w:right w:val="single" w:sz="4" w:space="0" w:color="auto"/>
            </w:tcBorders>
            <w:shd w:val="clear" w:color="auto" w:fill="auto"/>
            <w:noWrap/>
            <w:vAlign w:val="center"/>
          </w:tcPr>
          <w:p w:rsidR="00F07E05" w:rsidRPr="00181E6E" w:rsidRDefault="00F07E05" w:rsidP="008A253E">
            <w:pPr>
              <w:jc w:val="center"/>
              <w:rPr>
                <w:b/>
                <w:bCs/>
              </w:rPr>
            </w:pPr>
            <w:r w:rsidRPr="00181E6E">
              <w:t>253 612,8</w:t>
            </w:r>
          </w:p>
        </w:tc>
      </w:tr>
      <w:tr w:rsidR="00F07E05" w:rsidTr="008A253E">
        <w:trPr>
          <w:trHeight w:val="302"/>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F07E05" w:rsidRDefault="00F07E05" w:rsidP="008A253E">
            <w:pPr>
              <w:rPr>
                <w:color w:val="000000"/>
              </w:rPr>
            </w:pPr>
            <w:r>
              <w:rPr>
                <w:color w:val="000000"/>
                <w:sz w:val="22"/>
                <w:szCs w:val="22"/>
              </w:rPr>
              <w:t>8</w:t>
            </w:r>
          </w:p>
        </w:tc>
        <w:tc>
          <w:tcPr>
            <w:tcW w:w="3621" w:type="dxa"/>
            <w:tcBorders>
              <w:top w:val="nil"/>
              <w:left w:val="nil"/>
              <w:bottom w:val="single" w:sz="4" w:space="0" w:color="auto"/>
              <w:right w:val="single" w:sz="4" w:space="0" w:color="auto"/>
            </w:tcBorders>
            <w:shd w:val="clear" w:color="auto" w:fill="auto"/>
            <w:vAlign w:val="center"/>
            <w:hideMark/>
          </w:tcPr>
          <w:p w:rsidR="00F07E05" w:rsidRDefault="00F07E05" w:rsidP="008A253E">
            <w:pPr>
              <w:rPr>
                <w:color w:val="000000"/>
              </w:rPr>
            </w:pPr>
            <w:r>
              <w:rPr>
                <w:color w:val="000000"/>
                <w:sz w:val="22"/>
                <w:szCs w:val="22"/>
              </w:rPr>
              <w:t>Комиссия компании оператора</w:t>
            </w:r>
          </w:p>
        </w:tc>
        <w:tc>
          <w:tcPr>
            <w:tcW w:w="1551" w:type="dxa"/>
            <w:tcBorders>
              <w:top w:val="nil"/>
              <w:left w:val="nil"/>
              <w:bottom w:val="single" w:sz="4" w:space="0" w:color="auto"/>
              <w:right w:val="single" w:sz="4" w:space="0" w:color="auto"/>
            </w:tcBorders>
            <w:shd w:val="clear" w:color="auto" w:fill="auto"/>
            <w:vAlign w:val="center"/>
            <w:hideMark/>
          </w:tcPr>
          <w:p w:rsidR="00F07E05" w:rsidRDefault="00F07E05" w:rsidP="008A253E">
            <w:pPr>
              <w:jc w:val="center"/>
              <w:rPr>
                <w:color w:val="000000"/>
              </w:rPr>
            </w:pPr>
            <w:r>
              <w:rPr>
                <w:color w:val="000000"/>
                <w:sz w:val="22"/>
                <w:szCs w:val="22"/>
              </w:rPr>
              <w:t>%</w:t>
            </w:r>
          </w:p>
        </w:tc>
        <w:tc>
          <w:tcPr>
            <w:tcW w:w="1489" w:type="dxa"/>
            <w:tcBorders>
              <w:top w:val="nil"/>
              <w:left w:val="single" w:sz="4" w:space="0" w:color="auto"/>
              <w:bottom w:val="single" w:sz="4" w:space="0" w:color="auto"/>
              <w:right w:val="single" w:sz="4" w:space="0" w:color="auto"/>
            </w:tcBorders>
            <w:shd w:val="clear" w:color="auto" w:fill="auto"/>
            <w:noWrap/>
            <w:vAlign w:val="center"/>
            <w:hideMark/>
          </w:tcPr>
          <w:p w:rsidR="00F07E05" w:rsidRPr="00690FD4" w:rsidRDefault="00F07E05" w:rsidP="008A253E">
            <w:pPr>
              <w:jc w:val="center"/>
            </w:pPr>
            <w:r w:rsidRPr="00690FD4">
              <w:t>6,0%</w:t>
            </w:r>
          </w:p>
        </w:tc>
        <w:tc>
          <w:tcPr>
            <w:tcW w:w="1489" w:type="dxa"/>
            <w:tcBorders>
              <w:top w:val="nil"/>
              <w:left w:val="nil"/>
              <w:bottom w:val="single" w:sz="4" w:space="0" w:color="auto"/>
              <w:right w:val="single" w:sz="4" w:space="0" w:color="auto"/>
            </w:tcBorders>
            <w:shd w:val="clear" w:color="auto" w:fill="auto"/>
            <w:noWrap/>
            <w:vAlign w:val="center"/>
            <w:hideMark/>
          </w:tcPr>
          <w:p w:rsidR="00F07E05" w:rsidRPr="00690FD4" w:rsidRDefault="00F07E05" w:rsidP="008A253E">
            <w:pPr>
              <w:jc w:val="center"/>
            </w:pPr>
            <w:r w:rsidRPr="00690FD4">
              <w:t>6,0%</w:t>
            </w:r>
          </w:p>
        </w:tc>
        <w:tc>
          <w:tcPr>
            <w:tcW w:w="1484" w:type="dxa"/>
            <w:tcBorders>
              <w:top w:val="nil"/>
              <w:left w:val="nil"/>
              <w:bottom w:val="single" w:sz="4" w:space="0" w:color="auto"/>
              <w:right w:val="single" w:sz="4" w:space="0" w:color="auto"/>
            </w:tcBorders>
            <w:shd w:val="clear" w:color="auto" w:fill="auto"/>
            <w:noWrap/>
            <w:vAlign w:val="center"/>
          </w:tcPr>
          <w:p w:rsidR="00F07E05" w:rsidRPr="00690FD4" w:rsidRDefault="00F07E05" w:rsidP="008A253E">
            <w:pPr>
              <w:jc w:val="center"/>
            </w:pPr>
            <w:r w:rsidRPr="00690FD4">
              <w:t>6,0%</w:t>
            </w:r>
          </w:p>
        </w:tc>
      </w:tr>
      <w:tr w:rsidR="00F07E05" w:rsidTr="008A253E">
        <w:trPr>
          <w:trHeight w:val="302"/>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F07E05" w:rsidRDefault="00F07E05" w:rsidP="008A253E">
            <w:pPr>
              <w:rPr>
                <w:color w:val="000000"/>
              </w:rPr>
            </w:pPr>
            <w:r>
              <w:rPr>
                <w:color w:val="000000"/>
                <w:sz w:val="22"/>
                <w:szCs w:val="22"/>
              </w:rPr>
              <w:t>9</w:t>
            </w:r>
          </w:p>
        </w:tc>
        <w:tc>
          <w:tcPr>
            <w:tcW w:w="3621" w:type="dxa"/>
            <w:tcBorders>
              <w:top w:val="nil"/>
              <w:left w:val="nil"/>
              <w:bottom w:val="single" w:sz="4" w:space="0" w:color="auto"/>
              <w:right w:val="single" w:sz="4" w:space="0" w:color="auto"/>
            </w:tcBorders>
            <w:shd w:val="clear" w:color="auto" w:fill="auto"/>
            <w:vAlign w:val="center"/>
            <w:hideMark/>
          </w:tcPr>
          <w:p w:rsidR="00F07E05" w:rsidRDefault="00F07E05" w:rsidP="008A253E">
            <w:pPr>
              <w:rPr>
                <w:color w:val="000000"/>
              </w:rPr>
            </w:pPr>
            <w:r>
              <w:rPr>
                <w:color w:val="000000"/>
                <w:sz w:val="22"/>
                <w:szCs w:val="22"/>
              </w:rPr>
              <w:t>Сумма комиссии оператора (стр 3 +7)*8)</w:t>
            </w:r>
          </w:p>
        </w:tc>
        <w:tc>
          <w:tcPr>
            <w:tcW w:w="1551" w:type="dxa"/>
            <w:tcBorders>
              <w:top w:val="nil"/>
              <w:left w:val="nil"/>
              <w:bottom w:val="single" w:sz="4" w:space="0" w:color="auto"/>
              <w:right w:val="single" w:sz="4" w:space="0" w:color="auto"/>
            </w:tcBorders>
            <w:shd w:val="clear" w:color="auto" w:fill="auto"/>
            <w:vAlign w:val="center"/>
            <w:hideMark/>
          </w:tcPr>
          <w:p w:rsidR="00F07E05" w:rsidRDefault="00F07E05" w:rsidP="008A253E">
            <w:pPr>
              <w:jc w:val="center"/>
              <w:rPr>
                <w:b/>
                <w:bCs/>
                <w:color w:val="000000"/>
              </w:rPr>
            </w:pPr>
            <w:r>
              <w:rPr>
                <w:b/>
                <w:bCs/>
                <w:color w:val="000000"/>
                <w:sz w:val="22"/>
                <w:szCs w:val="22"/>
              </w:rPr>
              <w:t>тыс. руб.</w:t>
            </w:r>
          </w:p>
        </w:tc>
        <w:tc>
          <w:tcPr>
            <w:tcW w:w="1489" w:type="dxa"/>
            <w:tcBorders>
              <w:top w:val="nil"/>
              <w:left w:val="single" w:sz="4" w:space="0" w:color="auto"/>
              <w:bottom w:val="single" w:sz="4" w:space="0" w:color="auto"/>
              <w:right w:val="single" w:sz="4" w:space="0" w:color="auto"/>
            </w:tcBorders>
            <w:shd w:val="clear" w:color="auto" w:fill="auto"/>
            <w:noWrap/>
            <w:vAlign w:val="center"/>
            <w:hideMark/>
          </w:tcPr>
          <w:p w:rsidR="00F07E05" w:rsidRPr="00D7352D" w:rsidRDefault="00F07E05" w:rsidP="008A253E">
            <w:pPr>
              <w:jc w:val="center"/>
            </w:pPr>
            <w:r w:rsidRPr="00D7352D">
              <w:t>135 899,3</w:t>
            </w:r>
          </w:p>
        </w:tc>
        <w:tc>
          <w:tcPr>
            <w:tcW w:w="1489" w:type="dxa"/>
            <w:tcBorders>
              <w:top w:val="nil"/>
              <w:left w:val="nil"/>
              <w:bottom w:val="single" w:sz="4" w:space="0" w:color="auto"/>
              <w:right w:val="single" w:sz="4" w:space="0" w:color="auto"/>
            </w:tcBorders>
            <w:shd w:val="clear" w:color="auto" w:fill="auto"/>
            <w:noWrap/>
            <w:vAlign w:val="center"/>
            <w:hideMark/>
          </w:tcPr>
          <w:p w:rsidR="00F07E05" w:rsidRPr="00812C8E" w:rsidRDefault="00F07E05" w:rsidP="008A253E">
            <w:pPr>
              <w:jc w:val="center"/>
              <w:rPr>
                <w:color w:val="FF0000"/>
              </w:rPr>
            </w:pPr>
            <w:r w:rsidRPr="00DD11D0">
              <w:t>140 804,</w:t>
            </w:r>
            <w:r>
              <w:t>1</w:t>
            </w:r>
          </w:p>
        </w:tc>
        <w:tc>
          <w:tcPr>
            <w:tcW w:w="1484" w:type="dxa"/>
            <w:tcBorders>
              <w:top w:val="nil"/>
              <w:left w:val="nil"/>
              <w:bottom w:val="single" w:sz="4" w:space="0" w:color="auto"/>
              <w:right w:val="single" w:sz="4" w:space="0" w:color="auto"/>
            </w:tcBorders>
            <w:shd w:val="clear" w:color="auto" w:fill="auto"/>
            <w:noWrap/>
            <w:vAlign w:val="center"/>
          </w:tcPr>
          <w:p w:rsidR="00F07E05" w:rsidRPr="00DD11D0" w:rsidRDefault="00F07E05" w:rsidP="008A253E">
            <w:pPr>
              <w:jc w:val="center"/>
            </w:pPr>
            <w:r w:rsidRPr="00DD11D0">
              <w:t>149 458,3</w:t>
            </w:r>
          </w:p>
        </w:tc>
      </w:tr>
      <w:tr w:rsidR="00F07E05" w:rsidTr="008A253E">
        <w:trPr>
          <w:trHeight w:val="302"/>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F07E05" w:rsidRDefault="00F07E05" w:rsidP="008A253E">
            <w:pPr>
              <w:rPr>
                <w:b/>
                <w:bCs/>
                <w:color w:val="000000"/>
              </w:rPr>
            </w:pPr>
            <w:r>
              <w:rPr>
                <w:b/>
                <w:bCs/>
                <w:color w:val="000000"/>
                <w:sz w:val="22"/>
                <w:szCs w:val="22"/>
              </w:rPr>
              <w:t>10</w:t>
            </w:r>
          </w:p>
        </w:tc>
        <w:tc>
          <w:tcPr>
            <w:tcW w:w="3621" w:type="dxa"/>
            <w:tcBorders>
              <w:top w:val="nil"/>
              <w:left w:val="nil"/>
              <w:bottom w:val="single" w:sz="4" w:space="0" w:color="auto"/>
              <w:right w:val="single" w:sz="4" w:space="0" w:color="auto"/>
            </w:tcBorders>
            <w:shd w:val="clear" w:color="auto" w:fill="auto"/>
            <w:vAlign w:val="center"/>
            <w:hideMark/>
          </w:tcPr>
          <w:p w:rsidR="00F07E05" w:rsidRDefault="00F07E05" w:rsidP="008A253E">
            <w:pPr>
              <w:rPr>
                <w:b/>
                <w:bCs/>
                <w:color w:val="000000"/>
              </w:rPr>
            </w:pPr>
            <w:r>
              <w:rPr>
                <w:b/>
                <w:bCs/>
                <w:color w:val="000000"/>
                <w:sz w:val="22"/>
                <w:szCs w:val="22"/>
              </w:rPr>
              <w:t>ИТОГО ПРОГНОЗ (стр.3+7-9)</w:t>
            </w:r>
          </w:p>
        </w:tc>
        <w:tc>
          <w:tcPr>
            <w:tcW w:w="1551" w:type="dxa"/>
            <w:tcBorders>
              <w:top w:val="nil"/>
              <w:left w:val="nil"/>
              <w:bottom w:val="single" w:sz="4" w:space="0" w:color="auto"/>
              <w:right w:val="single" w:sz="4" w:space="0" w:color="auto"/>
            </w:tcBorders>
            <w:shd w:val="clear" w:color="auto" w:fill="auto"/>
            <w:vAlign w:val="center"/>
            <w:hideMark/>
          </w:tcPr>
          <w:p w:rsidR="00F07E05" w:rsidRDefault="00F07E05" w:rsidP="008A253E">
            <w:pPr>
              <w:jc w:val="center"/>
              <w:rPr>
                <w:b/>
                <w:bCs/>
                <w:color w:val="000000"/>
              </w:rPr>
            </w:pPr>
            <w:r>
              <w:rPr>
                <w:b/>
                <w:bCs/>
                <w:color w:val="000000"/>
                <w:sz w:val="22"/>
                <w:szCs w:val="22"/>
              </w:rPr>
              <w:t>тыс. руб.</w:t>
            </w:r>
          </w:p>
        </w:tc>
        <w:tc>
          <w:tcPr>
            <w:tcW w:w="1489" w:type="dxa"/>
            <w:tcBorders>
              <w:top w:val="nil"/>
              <w:left w:val="single" w:sz="4" w:space="0" w:color="auto"/>
              <w:bottom w:val="single" w:sz="4" w:space="0" w:color="auto"/>
              <w:right w:val="single" w:sz="4" w:space="0" w:color="auto"/>
            </w:tcBorders>
            <w:shd w:val="clear" w:color="auto" w:fill="auto"/>
            <w:noWrap/>
            <w:vAlign w:val="center"/>
            <w:hideMark/>
          </w:tcPr>
          <w:p w:rsidR="00F07E05" w:rsidRPr="00D7352D" w:rsidRDefault="00F07E05" w:rsidP="008A253E">
            <w:pPr>
              <w:jc w:val="center"/>
              <w:rPr>
                <w:b/>
                <w:bCs/>
              </w:rPr>
            </w:pPr>
            <w:r w:rsidRPr="00D7352D">
              <w:t>2 129 088,7</w:t>
            </w:r>
          </w:p>
        </w:tc>
        <w:tc>
          <w:tcPr>
            <w:tcW w:w="1489" w:type="dxa"/>
            <w:tcBorders>
              <w:top w:val="nil"/>
              <w:left w:val="nil"/>
              <w:bottom w:val="single" w:sz="4" w:space="0" w:color="auto"/>
              <w:right w:val="single" w:sz="4" w:space="0" w:color="auto"/>
            </w:tcBorders>
            <w:shd w:val="clear" w:color="auto" w:fill="auto"/>
            <w:noWrap/>
            <w:vAlign w:val="center"/>
            <w:hideMark/>
          </w:tcPr>
          <w:p w:rsidR="00F07E05" w:rsidRPr="00DD11D0" w:rsidRDefault="00F07E05" w:rsidP="008A253E">
            <w:pPr>
              <w:jc w:val="center"/>
              <w:rPr>
                <w:b/>
                <w:bCs/>
              </w:rPr>
            </w:pPr>
            <w:r w:rsidRPr="00DD11D0">
              <w:t>2 205 929,</w:t>
            </w:r>
            <w:r>
              <w:t>7</w:t>
            </w:r>
          </w:p>
        </w:tc>
        <w:tc>
          <w:tcPr>
            <w:tcW w:w="1484" w:type="dxa"/>
            <w:tcBorders>
              <w:top w:val="nil"/>
              <w:left w:val="nil"/>
              <w:bottom w:val="single" w:sz="4" w:space="0" w:color="auto"/>
              <w:right w:val="single" w:sz="4" w:space="0" w:color="auto"/>
            </w:tcBorders>
            <w:shd w:val="clear" w:color="auto" w:fill="auto"/>
            <w:noWrap/>
            <w:vAlign w:val="center"/>
          </w:tcPr>
          <w:p w:rsidR="00F07E05" w:rsidRPr="00DD11D0" w:rsidRDefault="00F07E05" w:rsidP="008A253E">
            <w:pPr>
              <w:jc w:val="center"/>
              <w:rPr>
                <w:b/>
                <w:bCs/>
              </w:rPr>
            </w:pPr>
            <w:r w:rsidRPr="00DD11D0">
              <w:t>2 341 512,6</w:t>
            </w:r>
          </w:p>
        </w:tc>
      </w:tr>
      <w:tr w:rsidR="00F07E05" w:rsidTr="008A253E">
        <w:trPr>
          <w:trHeight w:val="590"/>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F07E05" w:rsidRDefault="00F07E05" w:rsidP="008A253E">
            <w:pPr>
              <w:rPr>
                <w:b/>
                <w:bCs/>
                <w:color w:val="000000"/>
              </w:rPr>
            </w:pPr>
            <w:r>
              <w:rPr>
                <w:b/>
                <w:bCs/>
                <w:color w:val="000000"/>
                <w:sz w:val="22"/>
                <w:szCs w:val="22"/>
              </w:rPr>
              <w:t>11</w:t>
            </w:r>
          </w:p>
        </w:tc>
        <w:tc>
          <w:tcPr>
            <w:tcW w:w="3621" w:type="dxa"/>
            <w:tcBorders>
              <w:top w:val="nil"/>
              <w:left w:val="nil"/>
              <w:bottom w:val="single" w:sz="4" w:space="0" w:color="auto"/>
              <w:right w:val="single" w:sz="4" w:space="0" w:color="auto"/>
            </w:tcBorders>
            <w:shd w:val="clear" w:color="auto" w:fill="auto"/>
            <w:vAlign w:val="center"/>
            <w:hideMark/>
          </w:tcPr>
          <w:p w:rsidR="00F07E05" w:rsidRDefault="00F07E05" w:rsidP="008A253E">
            <w:pPr>
              <w:rPr>
                <w:b/>
                <w:bCs/>
                <w:color w:val="000000"/>
              </w:rPr>
            </w:pPr>
            <w:r>
              <w:rPr>
                <w:b/>
                <w:bCs/>
                <w:color w:val="000000"/>
                <w:sz w:val="22"/>
                <w:szCs w:val="22"/>
              </w:rPr>
              <w:t>Доходы от предоставления льготного проезда</w:t>
            </w:r>
          </w:p>
        </w:tc>
        <w:tc>
          <w:tcPr>
            <w:tcW w:w="1551" w:type="dxa"/>
            <w:tcBorders>
              <w:top w:val="nil"/>
              <w:left w:val="nil"/>
              <w:bottom w:val="single" w:sz="4" w:space="0" w:color="auto"/>
              <w:right w:val="single" w:sz="4" w:space="0" w:color="auto"/>
            </w:tcBorders>
            <w:shd w:val="clear" w:color="auto" w:fill="auto"/>
            <w:vAlign w:val="center"/>
            <w:hideMark/>
          </w:tcPr>
          <w:p w:rsidR="00F07E05" w:rsidRDefault="00F07E05" w:rsidP="008A253E">
            <w:pPr>
              <w:jc w:val="center"/>
              <w:rPr>
                <w:b/>
                <w:bCs/>
                <w:color w:val="000000"/>
              </w:rPr>
            </w:pPr>
            <w:r>
              <w:rPr>
                <w:b/>
                <w:bCs/>
                <w:color w:val="000000"/>
                <w:sz w:val="22"/>
                <w:szCs w:val="22"/>
              </w:rPr>
              <w:t>тыс. руб.</w:t>
            </w:r>
          </w:p>
        </w:tc>
        <w:tc>
          <w:tcPr>
            <w:tcW w:w="1489" w:type="dxa"/>
            <w:tcBorders>
              <w:top w:val="nil"/>
              <w:left w:val="single" w:sz="4" w:space="0" w:color="auto"/>
              <w:bottom w:val="single" w:sz="4" w:space="0" w:color="auto"/>
              <w:right w:val="single" w:sz="4" w:space="0" w:color="auto"/>
            </w:tcBorders>
            <w:shd w:val="clear" w:color="auto" w:fill="auto"/>
            <w:noWrap/>
            <w:vAlign w:val="center"/>
            <w:hideMark/>
          </w:tcPr>
          <w:p w:rsidR="00F07E05" w:rsidRPr="00DD11D0" w:rsidRDefault="00F07E05" w:rsidP="008A253E">
            <w:pPr>
              <w:jc w:val="center"/>
            </w:pPr>
            <w:r w:rsidRPr="00DD11D0">
              <w:t>86 456,4</w:t>
            </w:r>
          </w:p>
        </w:tc>
        <w:tc>
          <w:tcPr>
            <w:tcW w:w="1489" w:type="dxa"/>
            <w:tcBorders>
              <w:top w:val="nil"/>
              <w:left w:val="nil"/>
              <w:bottom w:val="single" w:sz="4" w:space="0" w:color="auto"/>
              <w:right w:val="single" w:sz="4" w:space="0" w:color="auto"/>
            </w:tcBorders>
            <w:shd w:val="clear" w:color="auto" w:fill="auto"/>
            <w:noWrap/>
            <w:vAlign w:val="center"/>
            <w:hideMark/>
          </w:tcPr>
          <w:p w:rsidR="00F07E05" w:rsidRPr="00DD11D0" w:rsidRDefault="00F07E05" w:rsidP="008A253E">
            <w:pPr>
              <w:jc w:val="center"/>
            </w:pPr>
            <w:r w:rsidRPr="00DD11D0">
              <w:t>86 456,4</w:t>
            </w:r>
          </w:p>
        </w:tc>
        <w:tc>
          <w:tcPr>
            <w:tcW w:w="1484" w:type="dxa"/>
            <w:tcBorders>
              <w:top w:val="nil"/>
              <w:left w:val="nil"/>
              <w:bottom w:val="single" w:sz="4" w:space="0" w:color="auto"/>
              <w:right w:val="single" w:sz="4" w:space="0" w:color="auto"/>
            </w:tcBorders>
            <w:shd w:val="clear" w:color="auto" w:fill="auto"/>
            <w:noWrap/>
            <w:vAlign w:val="center"/>
          </w:tcPr>
          <w:p w:rsidR="00F07E05" w:rsidRPr="00DD11D0" w:rsidRDefault="00F07E05" w:rsidP="008A253E">
            <w:pPr>
              <w:jc w:val="center"/>
            </w:pPr>
            <w:r w:rsidRPr="00DD11D0">
              <w:t>86 456,4</w:t>
            </w:r>
          </w:p>
        </w:tc>
      </w:tr>
      <w:tr w:rsidR="00F07E05" w:rsidTr="008A253E">
        <w:trPr>
          <w:trHeight w:val="590"/>
        </w:trPr>
        <w:tc>
          <w:tcPr>
            <w:tcW w:w="569" w:type="dxa"/>
            <w:tcBorders>
              <w:top w:val="nil"/>
              <w:left w:val="single" w:sz="4" w:space="0" w:color="auto"/>
              <w:bottom w:val="single" w:sz="4" w:space="0" w:color="auto"/>
              <w:right w:val="single" w:sz="4" w:space="0" w:color="auto"/>
            </w:tcBorders>
            <w:shd w:val="clear" w:color="auto" w:fill="auto"/>
            <w:noWrap/>
            <w:vAlign w:val="center"/>
          </w:tcPr>
          <w:p w:rsidR="00F07E05" w:rsidRPr="00C209CD" w:rsidRDefault="00F07E05" w:rsidP="008A253E">
            <w:pPr>
              <w:rPr>
                <w:color w:val="000000"/>
              </w:rPr>
            </w:pPr>
            <w:r w:rsidRPr="00C209CD">
              <w:rPr>
                <w:color w:val="000000"/>
                <w:sz w:val="22"/>
                <w:szCs w:val="22"/>
              </w:rPr>
              <w:t>12</w:t>
            </w:r>
          </w:p>
        </w:tc>
        <w:tc>
          <w:tcPr>
            <w:tcW w:w="3621" w:type="dxa"/>
            <w:tcBorders>
              <w:top w:val="nil"/>
              <w:left w:val="nil"/>
              <w:bottom w:val="single" w:sz="4" w:space="0" w:color="auto"/>
              <w:right w:val="single" w:sz="4" w:space="0" w:color="auto"/>
            </w:tcBorders>
            <w:shd w:val="clear" w:color="auto" w:fill="auto"/>
            <w:vAlign w:val="center"/>
          </w:tcPr>
          <w:p w:rsidR="00F07E05" w:rsidRPr="00C209CD" w:rsidRDefault="00F07E05" w:rsidP="008A253E">
            <w:pPr>
              <w:rPr>
                <w:color w:val="000000"/>
              </w:rPr>
            </w:pPr>
            <w:r>
              <w:rPr>
                <w:color w:val="000000"/>
                <w:sz w:val="22"/>
                <w:szCs w:val="22"/>
              </w:rPr>
              <w:t>К</w:t>
            </w:r>
            <w:r w:rsidRPr="00C209CD">
              <w:rPr>
                <w:color w:val="000000"/>
                <w:sz w:val="22"/>
                <w:szCs w:val="22"/>
              </w:rPr>
              <w:t>оэффициент корректировки снижения пассажиропотока из-за профилактических мер в связи с новой коронавирусной инфекцией (COVID-19) и безбилетных пассажиров</w:t>
            </w:r>
          </w:p>
        </w:tc>
        <w:tc>
          <w:tcPr>
            <w:tcW w:w="1551" w:type="dxa"/>
            <w:tcBorders>
              <w:top w:val="nil"/>
              <w:left w:val="nil"/>
              <w:bottom w:val="single" w:sz="4" w:space="0" w:color="auto"/>
              <w:right w:val="single" w:sz="4" w:space="0" w:color="auto"/>
            </w:tcBorders>
            <w:shd w:val="clear" w:color="auto" w:fill="auto"/>
            <w:vAlign w:val="center"/>
          </w:tcPr>
          <w:p w:rsidR="00F07E05" w:rsidRPr="00C209CD" w:rsidRDefault="00F07E05" w:rsidP="008A253E">
            <w:pPr>
              <w:jc w:val="center"/>
              <w:rPr>
                <w:color w:val="000000"/>
              </w:rPr>
            </w:pPr>
            <w:r>
              <w:rPr>
                <w:color w:val="000000"/>
                <w:sz w:val="22"/>
                <w:szCs w:val="22"/>
              </w:rPr>
              <w:t>Коэфф.</w:t>
            </w:r>
          </w:p>
        </w:tc>
        <w:tc>
          <w:tcPr>
            <w:tcW w:w="1489" w:type="dxa"/>
            <w:tcBorders>
              <w:top w:val="nil"/>
              <w:left w:val="single" w:sz="4" w:space="0" w:color="auto"/>
              <w:bottom w:val="single" w:sz="4" w:space="0" w:color="auto"/>
              <w:right w:val="single" w:sz="4" w:space="0" w:color="auto"/>
            </w:tcBorders>
            <w:shd w:val="clear" w:color="auto" w:fill="auto"/>
            <w:noWrap/>
            <w:vAlign w:val="center"/>
          </w:tcPr>
          <w:p w:rsidR="00F07E05" w:rsidRPr="002A3B93" w:rsidRDefault="00F07E05" w:rsidP="008A253E">
            <w:pPr>
              <w:jc w:val="center"/>
            </w:pPr>
            <w:r>
              <w:t>0,9</w:t>
            </w:r>
          </w:p>
        </w:tc>
        <w:tc>
          <w:tcPr>
            <w:tcW w:w="1489" w:type="dxa"/>
            <w:tcBorders>
              <w:top w:val="nil"/>
              <w:left w:val="nil"/>
              <w:bottom w:val="single" w:sz="4" w:space="0" w:color="auto"/>
              <w:right w:val="single" w:sz="4" w:space="0" w:color="auto"/>
            </w:tcBorders>
            <w:shd w:val="clear" w:color="auto" w:fill="auto"/>
            <w:noWrap/>
            <w:vAlign w:val="center"/>
          </w:tcPr>
          <w:p w:rsidR="00F07E05" w:rsidRPr="00DD11D0" w:rsidRDefault="00F07E05" w:rsidP="008A253E">
            <w:pPr>
              <w:jc w:val="center"/>
            </w:pPr>
            <w:r>
              <w:t>0,8</w:t>
            </w:r>
          </w:p>
        </w:tc>
        <w:tc>
          <w:tcPr>
            <w:tcW w:w="1484" w:type="dxa"/>
            <w:tcBorders>
              <w:top w:val="nil"/>
              <w:left w:val="nil"/>
              <w:bottom w:val="single" w:sz="4" w:space="0" w:color="auto"/>
              <w:right w:val="single" w:sz="4" w:space="0" w:color="auto"/>
            </w:tcBorders>
            <w:shd w:val="clear" w:color="auto" w:fill="auto"/>
            <w:noWrap/>
            <w:vAlign w:val="center"/>
          </w:tcPr>
          <w:p w:rsidR="00F07E05" w:rsidRPr="002A3B93" w:rsidRDefault="00F07E05" w:rsidP="008A253E">
            <w:pPr>
              <w:jc w:val="center"/>
            </w:pPr>
            <w:r w:rsidRPr="002A3B93">
              <w:t>1,0</w:t>
            </w:r>
          </w:p>
        </w:tc>
      </w:tr>
      <w:tr w:rsidR="00F07E05" w:rsidTr="008A253E">
        <w:trPr>
          <w:trHeight w:val="302"/>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F07E05" w:rsidRDefault="00F07E05" w:rsidP="008A253E">
            <w:pPr>
              <w:rPr>
                <w:rFonts w:ascii="Calibri" w:hAnsi="Calibri" w:cs="Calibri"/>
                <w:color w:val="000000"/>
              </w:rPr>
            </w:pPr>
            <w:r>
              <w:rPr>
                <w:rFonts w:ascii="Calibri" w:hAnsi="Calibri" w:cs="Calibri"/>
                <w:color w:val="000000"/>
                <w:sz w:val="22"/>
                <w:szCs w:val="22"/>
              </w:rPr>
              <w:t>13</w:t>
            </w:r>
          </w:p>
        </w:tc>
        <w:tc>
          <w:tcPr>
            <w:tcW w:w="3621" w:type="dxa"/>
            <w:tcBorders>
              <w:top w:val="nil"/>
              <w:left w:val="nil"/>
              <w:bottom w:val="single" w:sz="4" w:space="0" w:color="auto"/>
              <w:right w:val="single" w:sz="4" w:space="0" w:color="auto"/>
            </w:tcBorders>
            <w:shd w:val="clear" w:color="auto" w:fill="auto"/>
            <w:vAlign w:val="center"/>
            <w:hideMark/>
          </w:tcPr>
          <w:p w:rsidR="00F07E05" w:rsidRDefault="00F07E05" w:rsidP="008A253E">
            <w:pPr>
              <w:rPr>
                <w:b/>
                <w:bCs/>
                <w:color w:val="000000"/>
              </w:rPr>
            </w:pPr>
            <w:r>
              <w:rPr>
                <w:b/>
                <w:bCs/>
                <w:color w:val="000000"/>
                <w:sz w:val="22"/>
                <w:szCs w:val="22"/>
              </w:rPr>
              <w:t>ВСЕГО ПРОГНОЗ (10+11)*12</w:t>
            </w:r>
          </w:p>
        </w:tc>
        <w:tc>
          <w:tcPr>
            <w:tcW w:w="1551" w:type="dxa"/>
            <w:tcBorders>
              <w:top w:val="nil"/>
              <w:left w:val="nil"/>
              <w:bottom w:val="single" w:sz="4" w:space="0" w:color="auto"/>
              <w:right w:val="single" w:sz="4" w:space="0" w:color="auto"/>
            </w:tcBorders>
            <w:shd w:val="clear" w:color="auto" w:fill="auto"/>
            <w:vAlign w:val="center"/>
            <w:hideMark/>
          </w:tcPr>
          <w:p w:rsidR="00F07E05" w:rsidRDefault="00F07E05" w:rsidP="008A253E">
            <w:pPr>
              <w:jc w:val="center"/>
              <w:rPr>
                <w:b/>
                <w:bCs/>
                <w:color w:val="000000"/>
              </w:rPr>
            </w:pPr>
            <w:r>
              <w:rPr>
                <w:b/>
                <w:bCs/>
                <w:color w:val="000000"/>
                <w:sz w:val="22"/>
                <w:szCs w:val="22"/>
              </w:rPr>
              <w:t>тыс. руб.</w:t>
            </w:r>
          </w:p>
        </w:tc>
        <w:tc>
          <w:tcPr>
            <w:tcW w:w="1489" w:type="dxa"/>
            <w:tcBorders>
              <w:top w:val="nil"/>
              <w:left w:val="single" w:sz="4" w:space="0" w:color="auto"/>
              <w:bottom w:val="single" w:sz="4" w:space="0" w:color="auto"/>
              <w:right w:val="single" w:sz="4" w:space="0" w:color="auto"/>
            </w:tcBorders>
            <w:shd w:val="clear" w:color="auto" w:fill="auto"/>
            <w:noWrap/>
            <w:vAlign w:val="center"/>
            <w:hideMark/>
          </w:tcPr>
          <w:p w:rsidR="00F07E05" w:rsidRPr="00D669BB" w:rsidRDefault="00F07E05" w:rsidP="008A253E">
            <w:pPr>
              <w:jc w:val="center"/>
              <w:rPr>
                <w:b/>
                <w:bCs/>
                <w:color w:val="FF0000"/>
              </w:rPr>
            </w:pPr>
            <w:r>
              <w:rPr>
                <w:b/>
                <w:bCs/>
              </w:rPr>
              <w:t>1 993 990,6</w:t>
            </w:r>
          </w:p>
        </w:tc>
        <w:tc>
          <w:tcPr>
            <w:tcW w:w="1489" w:type="dxa"/>
            <w:tcBorders>
              <w:top w:val="nil"/>
              <w:left w:val="nil"/>
              <w:bottom w:val="single" w:sz="4" w:space="0" w:color="auto"/>
              <w:right w:val="single" w:sz="4" w:space="0" w:color="auto"/>
            </w:tcBorders>
            <w:shd w:val="clear" w:color="auto" w:fill="auto"/>
            <w:noWrap/>
            <w:vAlign w:val="center"/>
            <w:hideMark/>
          </w:tcPr>
          <w:p w:rsidR="00F07E05" w:rsidRPr="00D669BB" w:rsidRDefault="00F07E05" w:rsidP="008A253E">
            <w:pPr>
              <w:jc w:val="center"/>
              <w:rPr>
                <w:b/>
                <w:bCs/>
              </w:rPr>
            </w:pPr>
            <w:r>
              <w:rPr>
                <w:b/>
                <w:bCs/>
              </w:rPr>
              <w:t>1 833 908,9</w:t>
            </w:r>
          </w:p>
        </w:tc>
        <w:tc>
          <w:tcPr>
            <w:tcW w:w="1484" w:type="dxa"/>
            <w:tcBorders>
              <w:top w:val="nil"/>
              <w:left w:val="nil"/>
              <w:bottom w:val="single" w:sz="4" w:space="0" w:color="auto"/>
              <w:right w:val="single" w:sz="4" w:space="0" w:color="auto"/>
            </w:tcBorders>
            <w:shd w:val="clear" w:color="auto" w:fill="auto"/>
            <w:noWrap/>
            <w:vAlign w:val="center"/>
          </w:tcPr>
          <w:p w:rsidR="00F07E05" w:rsidRPr="00D669BB" w:rsidRDefault="00F07E05" w:rsidP="008A253E">
            <w:pPr>
              <w:jc w:val="center"/>
              <w:rPr>
                <w:b/>
                <w:bCs/>
              </w:rPr>
            </w:pPr>
            <w:r w:rsidRPr="00D669BB">
              <w:rPr>
                <w:b/>
                <w:bCs/>
              </w:rPr>
              <w:t>2 427 969,0</w:t>
            </w:r>
          </w:p>
        </w:tc>
      </w:tr>
    </w:tbl>
    <w:p w:rsidR="00F07E05" w:rsidRDefault="00F07E05" w:rsidP="00F07E05">
      <w:pPr>
        <w:jc w:val="both"/>
        <w:rPr>
          <w:b/>
          <w:sz w:val="28"/>
          <w:szCs w:val="28"/>
        </w:rPr>
      </w:pPr>
    </w:p>
    <w:p w:rsidR="00F07E05" w:rsidRDefault="00F07E05" w:rsidP="00F07E05">
      <w:pPr>
        <w:ind w:right="282"/>
        <w:jc w:val="center"/>
        <w:rPr>
          <w:b/>
          <w:color w:val="000000"/>
          <w:sz w:val="28"/>
          <w:szCs w:val="28"/>
        </w:rPr>
      </w:pPr>
      <w:r w:rsidRPr="000D21D1">
        <w:rPr>
          <w:b/>
          <w:color w:val="000000"/>
          <w:sz w:val="28"/>
          <w:szCs w:val="28"/>
        </w:rPr>
        <w:t>Расчеты по маршрутам</w:t>
      </w:r>
    </w:p>
    <w:p w:rsidR="00F07E05" w:rsidRDefault="00F07E05" w:rsidP="00F07E05">
      <w:pPr>
        <w:ind w:right="282"/>
        <w:jc w:val="center"/>
        <w:rPr>
          <w:b/>
          <w:sz w:val="28"/>
          <w:szCs w:val="28"/>
        </w:rPr>
      </w:pPr>
      <w:r w:rsidRPr="000D21D1">
        <w:rPr>
          <w:b/>
          <w:sz w:val="28"/>
          <w:szCs w:val="28"/>
        </w:rPr>
        <w:t xml:space="preserve"> город</w:t>
      </w:r>
      <w:r>
        <w:rPr>
          <w:b/>
          <w:sz w:val="28"/>
          <w:szCs w:val="28"/>
        </w:rPr>
        <w:t>а</w:t>
      </w:r>
      <w:r w:rsidRPr="000D21D1">
        <w:rPr>
          <w:b/>
          <w:sz w:val="28"/>
          <w:szCs w:val="28"/>
        </w:rPr>
        <w:t xml:space="preserve"> Зубцов, Зубцовского района Тверской области</w:t>
      </w:r>
    </w:p>
    <w:p w:rsidR="00F07E05" w:rsidRPr="008D35B4" w:rsidRDefault="00F07E05" w:rsidP="00F07E05">
      <w:pPr>
        <w:autoSpaceDE w:val="0"/>
        <w:autoSpaceDN w:val="0"/>
        <w:adjustRightInd w:val="0"/>
        <w:ind w:firstLine="720"/>
        <w:jc w:val="both"/>
        <w:rPr>
          <w:sz w:val="28"/>
          <w:szCs w:val="28"/>
        </w:rPr>
      </w:pPr>
      <w:r w:rsidRPr="008D35B4">
        <w:rPr>
          <w:color w:val="000000"/>
          <w:sz w:val="28"/>
          <w:szCs w:val="28"/>
        </w:rPr>
        <w:t xml:space="preserve">В соответствии с НИР данный показатель по муниципальным маршрутам регулярных перевозок на территории городского поселения город Зубцов Зубцовского муниципального района Тверской области, Зубцовский муниципальный район Тверской области </w:t>
      </w:r>
      <w:r w:rsidRPr="008D35B4">
        <w:rPr>
          <w:color w:val="000000" w:themeColor="text1"/>
          <w:sz w:val="28"/>
          <w:szCs w:val="28"/>
        </w:rPr>
        <w:t xml:space="preserve">пассажиропоток платных пассажиров </w:t>
      </w:r>
      <w:r w:rsidRPr="008D35B4">
        <w:rPr>
          <w:color w:val="000000"/>
          <w:sz w:val="28"/>
          <w:szCs w:val="28"/>
        </w:rPr>
        <w:t xml:space="preserve">на 2021 г. в г. Зубцов – 0,03 млн пасс., в Зубцовский район – 0,2 млн пасс., </w:t>
      </w:r>
      <w:r w:rsidRPr="008D35B4">
        <w:rPr>
          <w:color w:val="000000" w:themeColor="text1"/>
          <w:sz w:val="28"/>
          <w:szCs w:val="28"/>
        </w:rPr>
        <w:t xml:space="preserve"> на 2022 г. в г. </w:t>
      </w:r>
      <w:r w:rsidRPr="008D35B4">
        <w:rPr>
          <w:color w:val="000000"/>
          <w:sz w:val="28"/>
          <w:szCs w:val="28"/>
        </w:rPr>
        <w:t>Зубцов</w:t>
      </w:r>
      <w:r w:rsidRPr="008D35B4">
        <w:rPr>
          <w:color w:val="000000" w:themeColor="text1"/>
          <w:sz w:val="28"/>
          <w:szCs w:val="28"/>
        </w:rPr>
        <w:t xml:space="preserve"> – 0,06 млн пасс., в </w:t>
      </w:r>
      <w:r w:rsidRPr="008D35B4">
        <w:rPr>
          <w:color w:val="000000"/>
          <w:sz w:val="28"/>
          <w:szCs w:val="28"/>
        </w:rPr>
        <w:t>Зубцовский</w:t>
      </w:r>
      <w:r w:rsidRPr="008D35B4">
        <w:rPr>
          <w:color w:val="000000" w:themeColor="text1"/>
          <w:sz w:val="28"/>
          <w:szCs w:val="28"/>
        </w:rPr>
        <w:t xml:space="preserve"> район – 0,03 млн пасс., на 2023 г. в г. </w:t>
      </w:r>
      <w:r w:rsidRPr="008D35B4">
        <w:rPr>
          <w:color w:val="000000"/>
          <w:sz w:val="28"/>
          <w:szCs w:val="28"/>
        </w:rPr>
        <w:t>Зубцов</w:t>
      </w:r>
      <w:r w:rsidRPr="008D35B4">
        <w:rPr>
          <w:color w:val="000000" w:themeColor="text1"/>
          <w:sz w:val="28"/>
          <w:szCs w:val="28"/>
        </w:rPr>
        <w:t xml:space="preserve"> – 0,06 млн пасс., в </w:t>
      </w:r>
      <w:r w:rsidRPr="008D35B4">
        <w:rPr>
          <w:color w:val="000000"/>
          <w:sz w:val="28"/>
          <w:szCs w:val="28"/>
        </w:rPr>
        <w:t>Зубцовский</w:t>
      </w:r>
      <w:r w:rsidRPr="008D35B4">
        <w:rPr>
          <w:color w:val="000000" w:themeColor="text1"/>
          <w:sz w:val="28"/>
          <w:szCs w:val="28"/>
        </w:rPr>
        <w:t xml:space="preserve"> район – 0,03 </w:t>
      </w:r>
      <w:r w:rsidRPr="008D35B4">
        <w:rPr>
          <w:color w:val="000000" w:themeColor="text1"/>
          <w:sz w:val="28"/>
          <w:szCs w:val="28"/>
        </w:rPr>
        <w:lastRenderedPageBreak/>
        <w:t xml:space="preserve">млн </w:t>
      </w:r>
      <w:r w:rsidRPr="008D35B4">
        <w:rPr>
          <w:color w:val="000000"/>
          <w:sz w:val="28"/>
          <w:szCs w:val="28"/>
        </w:rPr>
        <w:t xml:space="preserve">пасс., </w:t>
      </w:r>
      <w:r w:rsidRPr="008D35B4">
        <w:rPr>
          <w:color w:val="000000" w:themeColor="text1"/>
          <w:sz w:val="28"/>
          <w:szCs w:val="28"/>
        </w:rPr>
        <w:t xml:space="preserve">на 2024 г. в г. </w:t>
      </w:r>
      <w:r w:rsidRPr="008D35B4">
        <w:rPr>
          <w:color w:val="000000"/>
          <w:sz w:val="28"/>
          <w:szCs w:val="28"/>
        </w:rPr>
        <w:t>Зубцов</w:t>
      </w:r>
      <w:r w:rsidRPr="008D35B4">
        <w:rPr>
          <w:color w:val="000000" w:themeColor="text1"/>
          <w:sz w:val="28"/>
          <w:szCs w:val="28"/>
        </w:rPr>
        <w:t xml:space="preserve"> – 0,06 млн пасс., в </w:t>
      </w:r>
      <w:r w:rsidRPr="008D35B4">
        <w:rPr>
          <w:color w:val="000000"/>
          <w:sz w:val="28"/>
          <w:szCs w:val="28"/>
        </w:rPr>
        <w:t>Зубцовский</w:t>
      </w:r>
      <w:r w:rsidRPr="008D35B4">
        <w:rPr>
          <w:color w:val="000000" w:themeColor="text1"/>
          <w:sz w:val="28"/>
          <w:szCs w:val="28"/>
        </w:rPr>
        <w:t xml:space="preserve"> район – 0,03 млн </w:t>
      </w:r>
      <w:r w:rsidRPr="008D35B4">
        <w:rPr>
          <w:color w:val="000000"/>
          <w:sz w:val="28"/>
          <w:szCs w:val="28"/>
        </w:rPr>
        <w:t>пасс.</w:t>
      </w:r>
    </w:p>
    <w:p w:rsidR="00F07E05" w:rsidRPr="008D35B4" w:rsidRDefault="00F07E05" w:rsidP="00F07E05">
      <w:pPr>
        <w:autoSpaceDE w:val="0"/>
        <w:autoSpaceDN w:val="0"/>
        <w:adjustRightInd w:val="0"/>
        <w:ind w:firstLine="720"/>
        <w:jc w:val="both"/>
        <w:rPr>
          <w:sz w:val="28"/>
          <w:szCs w:val="28"/>
        </w:rPr>
      </w:pPr>
      <w:r w:rsidRPr="008D35B4">
        <w:rPr>
          <w:sz w:val="28"/>
          <w:szCs w:val="28"/>
        </w:rPr>
        <w:t xml:space="preserve">Средняя дальность перевозки пассажира автомобильным транспортом общего пользования по маршрутам регулярных перевозок в пригородном сообщении в муниципальном образовании Тверской области Зубцовского района в связи отсутствием информации у территориальных органов Федеральной службы государственной статистики по Тверской области </w:t>
      </w:r>
      <w:r w:rsidRPr="008D35B4">
        <w:rPr>
          <w:color w:val="000000"/>
          <w:sz w:val="28"/>
          <w:szCs w:val="28"/>
        </w:rPr>
        <w:t xml:space="preserve">источником данной информации предлагается принимать статистические данные </w:t>
      </w:r>
      <w:r>
        <w:rPr>
          <w:color w:val="000000"/>
          <w:sz w:val="28"/>
          <w:szCs w:val="28"/>
        </w:rPr>
        <w:t>из НИР</w:t>
      </w:r>
      <w:r w:rsidRPr="008D35B4">
        <w:rPr>
          <w:color w:val="000000"/>
          <w:sz w:val="28"/>
          <w:szCs w:val="28"/>
        </w:rPr>
        <w:t xml:space="preserve"> данный показатель соответствует 11,9 км.</w:t>
      </w:r>
    </w:p>
    <w:p w:rsidR="00F07E05" w:rsidRDefault="00F07E05" w:rsidP="00F07E05">
      <w:pPr>
        <w:autoSpaceDE w:val="0"/>
        <w:autoSpaceDN w:val="0"/>
        <w:adjustRightInd w:val="0"/>
        <w:ind w:firstLine="720"/>
        <w:jc w:val="both"/>
        <w:rPr>
          <w:sz w:val="28"/>
          <w:szCs w:val="28"/>
        </w:rPr>
      </w:pPr>
      <w:r w:rsidRPr="008D35B4">
        <w:rPr>
          <w:sz w:val="28"/>
          <w:szCs w:val="28"/>
        </w:rPr>
        <w:t>Размер затрат на мониторинг транспортной работы и пассажирских потоков, организацию системы безналичной оплаты проезда и провоза багажа, осуществление контроля за полнотой сбора платы за проезд пассажиров и провоз багажа, а также затрат на информационно-техническое и технологическое обеспечение ее сбора принят равным 6 % по итогам конкурса на право заключения договора по внедрению и обеспечению функционирования единой системы управления транспортом общего пользования на территории Тверской области.</w:t>
      </w:r>
    </w:p>
    <w:p w:rsidR="00F07E05" w:rsidRPr="00B26C78" w:rsidRDefault="00F07E05" w:rsidP="00F07E05">
      <w:pPr>
        <w:autoSpaceDE w:val="0"/>
        <w:autoSpaceDN w:val="0"/>
        <w:adjustRightInd w:val="0"/>
        <w:ind w:firstLine="720"/>
        <w:jc w:val="both"/>
        <w:rPr>
          <w:sz w:val="28"/>
          <w:szCs w:val="28"/>
        </w:rPr>
      </w:pPr>
      <w:r w:rsidRPr="00B26C78">
        <w:rPr>
          <w:sz w:val="28"/>
          <w:szCs w:val="28"/>
        </w:rPr>
        <w:t>Доля поступлений от льготного проезда, приходящаяся на город Зубцов и Зубцовский район Тверской области в 2021 году составила 22,9 тыс. руб. за 1 месяц. Соответственно, объём доходов от льготного проезда за 5 месяцев (июль-ноябрь) составит 114,5 тыс. руб.</w:t>
      </w:r>
    </w:p>
    <w:p w:rsidR="00F07E05" w:rsidRPr="008D35B4" w:rsidRDefault="00F07E05" w:rsidP="00F07E05">
      <w:pPr>
        <w:autoSpaceDE w:val="0"/>
        <w:autoSpaceDN w:val="0"/>
        <w:adjustRightInd w:val="0"/>
        <w:ind w:firstLine="720"/>
        <w:jc w:val="both"/>
        <w:rPr>
          <w:sz w:val="28"/>
          <w:szCs w:val="28"/>
        </w:rPr>
      </w:pPr>
      <w:r w:rsidRPr="00B26C78">
        <w:rPr>
          <w:sz w:val="28"/>
          <w:szCs w:val="28"/>
        </w:rPr>
        <w:t>Планируемый годовой объём поступлений в 202</w:t>
      </w:r>
      <w:r>
        <w:rPr>
          <w:sz w:val="28"/>
          <w:szCs w:val="28"/>
        </w:rPr>
        <w:t>1</w:t>
      </w:r>
      <w:r w:rsidRPr="00B26C78">
        <w:rPr>
          <w:sz w:val="28"/>
          <w:szCs w:val="28"/>
        </w:rPr>
        <w:t xml:space="preserve"> – 2024 гг. от предоставления льготного проезда гражданам с использованием электронной карты «Социальная карта жителя Тверской области», электронной банковской карты и электронной карты «Социальная транспортная карта» составит (Дпр = 22,9 тыс. руб. * 12 мес. = </w:t>
      </w:r>
      <w:r w:rsidRPr="00B26C78">
        <w:rPr>
          <w:b/>
          <w:bCs/>
          <w:sz w:val="28"/>
          <w:szCs w:val="28"/>
        </w:rPr>
        <w:t>274,8</w:t>
      </w:r>
      <w:r w:rsidRPr="00B26C78">
        <w:rPr>
          <w:sz w:val="28"/>
          <w:szCs w:val="28"/>
        </w:rPr>
        <w:t xml:space="preserve"> тыс. руб.).</w:t>
      </w:r>
    </w:p>
    <w:p w:rsidR="00F07E05" w:rsidRPr="008D35B4" w:rsidRDefault="00F07E05" w:rsidP="00F07E05">
      <w:pPr>
        <w:shd w:val="clear" w:color="auto" w:fill="FFFFFF"/>
        <w:spacing w:line="288" w:lineRule="atLeast"/>
        <w:ind w:firstLine="709"/>
        <w:jc w:val="both"/>
        <w:textAlignment w:val="baseline"/>
        <w:rPr>
          <w:sz w:val="28"/>
          <w:szCs w:val="28"/>
        </w:rPr>
      </w:pPr>
      <w:r w:rsidRPr="008D35B4">
        <w:rPr>
          <w:sz w:val="28"/>
          <w:szCs w:val="28"/>
        </w:rPr>
        <w:t>Прогноз поступлений прочих доходов от оказания платных услуг (работ) получателями средств бюджетов субъектов Российской Федерации составили:</w:t>
      </w:r>
    </w:p>
    <w:p w:rsidR="00F07E05" w:rsidRPr="001429B2" w:rsidRDefault="00F07E05" w:rsidP="00F07E05">
      <w:pPr>
        <w:pStyle w:val="af4"/>
        <w:numPr>
          <w:ilvl w:val="0"/>
          <w:numId w:val="20"/>
        </w:numPr>
        <w:spacing w:after="200" w:line="276" w:lineRule="auto"/>
        <w:jc w:val="both"/>
        <w:rPr>
          <w:sz w:val="28"/>
          <w:szCs w:val="28"/>
        </w:rPr>
      </w:pPr>
      <w:r w:rsidRPr="001429B2">
        <w:rPr>
          <w:sz w:val="28"/>
          <w:szCs w:val="28"/>
        </w:rPr>
        <w:t>на 2022 г.: 2,</w:t>
      </w:r>
      <w:r>
        <w:rPr>
          <w:sz w:val="28"/>
          <w:szCs w:val="28"/>
        </w:rPr>
        <w:t>3</w:t>
      </w:r>
      <w:r w:rsidRPr="001429B2">
        <w:rPr>
          <w:sz w:val="28"/>
          <w:szCs w:val="28"/>
        </w:rPr>
        <w:t xml:space="preserve"> млн. руб.;</w:t>
      </w:r>
    </w:p>
    <w:p w:rsidR="00F07E05" w:rsidRPr="001429B2" w:rsidRDefault="00F07E05" w:rsidP="00F07E05">
      <w:pPr>
        <w:pStyle w:val="af4"/>
        <w:numPr>
          <w:ilvl w:val="0"/>
          <w:numId w:val="20"/>
        </w:numPr>
        <w:spacing w:after="200" w:line="276" w:lineRule="auto"/>
        <w:jc w:val="both"/>
        <w:rPr>
          <w:sz w:val="28"/>
          <w:szCs w:val="28"/>
        </w:rPr>
      </w:pPr>
      <w:r w:rsidRPr="001429B2">
        <w:rPr>
          <w:sz w:val="28"/>
          <w:szCs w:val="28"/>
        </w:rPr>
        <w:t>на 2023 г.: 2,3 млн. руб.;</w:t>
      </w:r>
    </w:p>
    <w:p w:rsidR="00F07E05" w:rsidRPr="001429B2" w:rsidRDefault="00F07E05" w:rsidP="00F07E05">
      <w:pPr>
        <w:pStyle w:val="af4"/>
        <w:numPr>
          <w:ilvl w:val="0"/>
          <w:numId w:val="20"/>
        </w:numPr>
        <w:spacing w:after="200" w:line="276" w:lineRule="auto"/>
        <w:jc w:val="both"/>
        <w:rPr>
          <w:sz w:val="28"/>
          <w:szCs w:val="28"/>
        </w:rPr>
      </w:pPr>
      <w:r w:rsidRPr="001429B2">
        <w:rPr>
          <w:sz w:val="28"/>
          <w:szCs w:val="28"/>
        </w:rPr>
        <w:t>на 2024 г.: 2,</w:t>
      </w:r>
      <w:r>
        <w:rPr>
          <w:sz w:val="28"/>
          <w:szCs w:val="28"/>
        </w:rPr>
        <w:t>4</w:t>
      </w:r>
      <w:r w:rsidRPr="001429B2">
        <w:rPr>
          <w:sz w:val="28"/>
          <w:szCs w:val="28"/>
        </w:rPr>
        <w:t xml:space="preserve"> млн. руб.</w:t>
      </w:r>
    </w:p>
    <w:tbl>
      <w:tblPr>
        <w:tblW w:w="9835" w:type="dxa"/>
        <w:tblInd w:w="-714" w:type="dxa"/>
        <w:tblLook w:val="04A0" w:firstRow="1" w:lastRow="0" w:firstColumn="1" w:lastColumn="0" w:noHBand="0" w:noVBand="1"/>
      </w:tblPr>
      <w:tblGrid>
        <w:gridCol w:w="548"/>
        <w:gridCol w:w="3488"/>
        <w:gridCol w:w="1494"/>
        <w:gridCol w:w="1435"/>
        <w:gridCol w:w="1435"/>
        <w:gridCol w:w="1435"/>
      </w:tblGrid>
      <w:tr w:rsidR="00F07E05" w:rsidRPr="008D35B4" w:rsidTr="008A253E">
        <w:trPr>
          <w:trHeight w:val="926"/>
        </w:trPr>
        <w:tc>
          <w:tcPr>
            <w:tcW w:w="548"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07E05" w:rsidRPr="008D35B4" w:rsidRDefault="00F07E05" w:rsidP="008A253E">
            <w:pPr>
              <w:jc w:val="center"/>
              <w:rPr>
                <w:rFonts w:ascii="Calibri" w:hAnsi="Calibri" w:cs="Calibri"/>
                <w:b/>
                <w:bCs/>
                <w:color w:val="000000"/>
              </w:rPr>
            </w:pPr>
            <w:r w:rsidRPr="008D35B4">
              <w:rPr>
                <w:rFonts w:ascii="Calibri" w:hAnsi="Calibri" w:cs="Calibri"/>
                <w:b/>
                <w:bCs/>
                <w:color w:val="000000"/>
                <w:sz w:val="22"/>
                <w:szCs w:val="22"/>
              </w:rPr>
              <w:t> </w:t>
            </w:r>
          </w:p>
        </w:tc>
        <w:tc>
          <w:tcPr>
            <w:tcW w:w="3488"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07E05" w:rsidRPr="008D35B4" w:rsidRDefault="00F07E05" w:rsidP="008A253E">
            <w:pPr>
              <w:jc w:val="center"/>
              <w:rPr>
                <w:b/>
                <w:bCs/>
                <w:color w:val="000000"/>
              </w:rPr>
            </w:pPr>
            <w:r w:rsidRPr="008D35B4">
              <w:rPr>
                <w:b/>
                <w:bCs/>
                <w:color w:val="000000"/>
                <w:sz w:val="22"/>
                <w:szCs w:val="22"/>
              </w:rPr>
              <w:t>Наименование показателя</w:t>
            </w:r>
          </w:p>
        </w:tc>
        <w:tc>
          <w:tcPr>
            <w:tcW w:w="1494"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07E05" w:rsidRPr="008D35B4" w:rsidRDefault="00F07E05" w:rsidP="008A253E">
            <w:pPr>
              <w:jc w:val="center"/>
              <w:rPr>
                <w:b/>
                <w:bCs/>
                <w:color w:val="000000"/>
              </w:rPr>
            </w:pPr>
            <w:r w:rsidRPr="008D35B4">
              <w:rPr>
                <w:b/>
                <w:bCs/>
                <w:color w:val="000000"/>
                <w:sz w:val="22"/>
                <w:szCs w:val="22"/>
              </w:rPr>
              <w:t>ед. измерения</w:t>
            </w:r>
          </w:p>
        </w:tc>
        <w:tc>
          <w:tcPr>
            <w:tcW w:w="1435"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07E05" w:rsidRPr="008D35B4" w:rsidRDefault="00F07E05" w:rsidP="008A253E">
            <w:pPr>
              <w:jc w:val="center"/>
              <w:rPr>
                <w:b/>
                <w:bCs/>
                <w:color w:val="000000"/>
              </w:rPr>
            </w:pPr>
            <w:r w:rsidRPr="008D35B4">
              <w:rPr>
                <w:b/>
                <w:bCs/>
                <w:color w:val="000000"/>
                <w:sz w:val="22"/>
                <w:szCs w:val="22"/>
              </w:rPr>
              <w:t>2022 год</w:t>
            </w:r>
          </w:p>
        </w:tc>
        <w:tc>
          <w:tcPr>
            <w:tcW w:w="1435"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07E05" w:rsidRPr="008D35B4" w:rsidRDefault="00F07E05" w:rsidP="008A253E">
            <w:pPr>
              <w:jc w:val="center"/>
              <w:rPr>
                <w:b/>
                <w:bCs/>
                <w:color w:val="000000"/>
              </w:rPr>
            </w:pPr>
            <w:r w:rsidRPr="008D35B4">
              <w:rPr>
                <w:b/>
                <w:bCs/>
                <w:color w:val="000000"/>
                <w:sz w:val="22"/>
                <w:szCs w:val="22"/>
              </w:rPr>
              <w:t>2023 год</w:t>
            </w:r>
          </w:p>
        </w:tc>
        <w:tc>
          <w:tcPr>
            <w:tcW w:w="1435"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07E05" w:rsidRPr="008D35B4" w:rsidRDefault="00F07E05" w:rsidP="008A253E">
            <w:pPr>
              <w:jc w:val="center"/>
              <w:rPr>
                <w:b/>
                <w:bCs/>
                <w:color w:val="000000"/>
              </w:rPr>
            </w:pPr>
            <w:r w:rsidRPr="008D35B4">
              <w:rPr>
                <w:b/>
                <w:bCs/>
                <w:color w:val="000000"/>
                <w:sz w:val="22"/>
                <w:szCs w:val="22"/>
              </w:rPr>
              <w:t>2024 год</w:t>
            </w:r>
          </w:p>
        </w:tc>
      </w:tr>
      <w:tr w:rsidR="00F07E05" w:rsidRPr="008D35B4" w:rsidTr="008A253E">
        <w:trPr>
          <w:trHeight w:val="975"/>
        </w:trPr>
        <w:tc>
          <w:tcPr>
            <w:tcW w:w="548" w:type="dxa"/>
            <w:tcBorders>
              <w:top w:val="nil"/>
              <w:left w:val="single" w:sz="4" w:space="0" w:color="auto"/>
              <w:bottom w:val="single" w:sz="4" w:space="0" w:color="auto"/>
              <w:right w:val="single" w:sz="4" w:space="0" w:color="auto"/>
            </w:tcBorders>
            <w:shd w:val="clear" w:color="auto" w:fill="auto"/>
            <w:noWrap/>
            <w:vAlign w:val="center"/>
            <w:hideMark/>
          </w:tcPr>
          <w:p w:rsidR="00F07E05" w:rsidRPr="008D35B4" w:rsidRDefault="00F07E05" w:rsidP="008A253E">
            <w:pPr>
              <w:rPr>
                <w:color w:val="000000"/>
              </w:rPr>
            </w:pPr>
            <w:r w:rsidRPr="008D35B4">
              <w:rPr>
                <w:color w:val="000000"/>
                <w:sz w:val="22"/>
                <w:szCs w:val="22"/>
              </w:rPr>
              <w:t>1</w:t>
            </w:r>
          </w:p>
        </w:tc>
        <w:tc>
          <w:tcPr>
            <w:tcW w:w="3488" w:type="dxa"/>
            <w:tcBorders>
              <w:top w:val="nil"/>
              <w:left w:val="nil"/>
              <w:bottom w:val="single" w:sz="4" w:space="0" w:color="auto"/>
              <w:right w:val="single" w:sz="4" w:space="0" w:color="auto"/>
            </w:tcBorders>
            <w:shd w:val="clear" w:color="auto" w:fill="auto"/>
            <w:vAlign w:val="center"/>
            <w:hideMark/>
          </w:tcPr>
          <w:p w:rsidR="00F07E05" w:rsidRPr="008D35B4" w:rsidRDefault="00F07E05" w:rsidP="008A253E">
            <w:pPr>
              <w:rPr>
                <w:color w:val="000000"/>
              </w:rPr>
            </w:pPr>
            <w:r w:rsidRPr="008D35B4">
              <w:rPr>
                <w:color w:val="000000"/>
                <w:sz w:val="22"/>
                <w:szCs w:val="22"/>
              </w:rPr>
              <w:t>Количество перевезенных пассажиров автомобильным транспортом общего пользования г. Зубцов (без учета льготных пассажиров)</w:t>
            </w:r>
          </w:p>
        </w:tc>
        <w:tc>
          <w:tcPr>
            <w:tcW w:w="1494" w:type="dxa"/>
            <w:tcBorders>
              <w:top w:val="nil"/>
              <w:left w:val="nil"/>
              <w:bottom w:val="single" w:sz="4" w:space="0" w:color="auto"/>
              <w:right w:val="single" w:sz="4" w:space="0" w:color="auto"/>
            </w:tcBorders>
            <w:shd w:val="clear" w:color="auto" w:fill="auto"/>
            <w:vAlign w:val="center"/>
            <w:hideMark/>
          </w:tcPr>
          <w:p w:rsidR="00F07E05" w:rsidRPr="008D35B4" w:rsidRDefault="00F07E05" w:rsidP="008A253E">
            <w:pPr>
              <w:jc w:val="center"/>
              <w:rPr>
                <w:color w:val="000000"/>
              </w:rPr>
            </w:pPr>
            <w:r w:rsidRPr="008D35B4">
              <w:rPr>
                <w:color w:val="000000"/>
                <w:sz w:val="22"/>
                <w:szCs w:val="22"/>
              </w:rPr>
              <w:t>тыс. пассажиров</w:t>
            </w:r>
          </w:p>
        </w:tc>
        <w:tc>
          <w:tcPr>
            <w:tcW w:w="1435" w:type="dxa"/>
            <w:tcBorders>
              <w:top w:val="nil"/>
              <w:left w:val="single" w:sz="4" w:space="0" w:color="auto"/>
              <w:bottom w:val="single" w:sz="4" w:space="0" w:color="auto"/>
              <w:right w:val="single" w:sz="4" w:space="0" w:color="auto"/>
            </w:tcBorders>
            <w:shd w:val="clear" w:color="auto" w:fill="auto"/>
            <w:noWrap/>
            <w:vAlign w:val="center"/>
            <w:hideMark/>
          </w:tcPr>
          <w:p w:rsidR="00F07E05" w:rsidRPr="008D35B4" w:rsidRDefault="00F07E05" w:rsidP="008A253E">
            <w:pPr>
              <w:jc w:val="center"/>
              <w:rPr>
                <w:color w:val="000000" w:themeColor="text1"/>
              </w:rPr>
            </w:pPr>
            <w:r w:rsidRPr="008D35B4">
              <w:rPr>
                <w:color w:val="000000"/>
              </w:rPr>
              <w:t xml:space="preserve">61,5  </w:t>
            </w:r>
          </w:p>
        </w:tc>
        <w:tc>
          <w:tcPr>
            <w:tcW w:w="1435" w:type="dxa"/>
            <w:tcBorders>
              <w:top w:val="nil"/>
              <w:left w:val="nil"/>
              <w:bottom w:val="single" w:sz="4" w:space="0" w:color="auto"/>
              <w:right w:val="single" w:sz="4" w:space="0" w:color="auto"/>
            </w:tcBorders>
            <w:shd w:val="clear" w:color="auto" w:fill="auto"/>
            <w:noWrap/>
            <w:vAlign w:val="center"/>
            <w:hideMark/>
          </w:tcPr>
          <w:p w:rsidR="00F07E05" w:rsidRPr="008D35B4" w:rsidRDefault="00F07E05" w:rsidP="008A253E">
            <w:pPr>
              <w:jc w:val="center"/>
              <w:rPr>
                <w:color w:val="000000" w:themeColor="text1"/>
                <w:lang w:val="en-US"/>
              </w:rPr>
            </w:pPr>
            <w:r w:rsidRPr="008D35B4">
              <w:rPr>
                <w:color w:val="000000"/>
              </w:rPr>
              <w:t xml:space="preserve">60,5  </w:t>
            </w:r>
          </w:p>
        </w:tc>
        <w:tc>
          <w:tcPr>
            <w:tcW w:w="1435" w:type="dxa"/>
            <w:tcBorders>
              <w:top w:val="nil"/>
              <w:left w:val="nil"/>
              <w:bottom w:val="single" w:sz="4" w:space="0" w:color="auto"/>
              <w:right w:val="single" w:sz="4" w:space="0" w:color="auto"/>
            </w:tcBorders>
            <w:shd w:val="clear" w:color="auto" w:fill="auto"/>
            <w:noWrap/>
            <w:vAlign w:val="center"/>
          </w:tcPr>
          <w:p w:rsidR="00F07E05" w:rsidRPr="008D35B4" w:rsidRDefault="00F07E05" w:rsidP="008A253E">
            <w:pPr>
              <w:jc w:val="center"/>
              <w:rPr>
                <w:color w:val="000000" w:themeColor="text1"/>
                <w:lang w:val="en-US"/>
              </w:rPr>
            </w:pPr>
            <w:r w:rsidRPr="008D35B4">
              <w:rPr>
                <w:color w:val="000000"/>
              </w:rPr>
              <w:t xml:space="preserve">59,5  </w:t>
            </w:r>
          </w:p>
        </w:tc>
      </w:tr>
      <w:tr w:rsidR="00F07E05" w:rsidRPr="008D35B4" w:rsidTr="008A253E">
        <w:trPr>
          <w:trHeight w:val="300"/>
        </w:trPr>
        <w:tc>
          <w:tcPr>
            <w:tcW w:w="548" w:type="dxa"/>
            <w:tcBorders>
              <w:top w:val="nil"/>
              <w:left w:val="single" w:sz="4" w:space="0" w:color="auto"/>
              <w:bottom w:val="single" w:sz="4" w:space="0" w:color="auto"/>
              <w:right w:val="single" w:sz="4" w:space="0" w:color="auto"/>
            </w:tcBorders>
            <w:shd w:val="clear" w:color="auto" w:fill="auto"/>
            <w:noWrap/>
            <w:vAlign w:val="center"/>
            <w:hideMark/>
          </w:tcPr>
          <w:p w:rsidR="00F07E05" w:rsidRPr="008D35B4" w:rsidRDefault="00F07E05" w:rsidP="008A253E">
            <w:pPr>
              <w:rPr>
                <w:color w:val="000000"/>
              </w:rPr>
            </w:pPr>
            <w:r w:rsidRPr="008D35B4">
              <w:rPr>
                <w:color w:val="000000"/>
                <w:sz w:val="22"/>
                <w:szCs w:val="22"/>
              </w:rPr>
              <w:t>2</w:t>
            </w:r>
          </w:p>
        </w:tc>
        <w:tc>
          <w:tcPr>
            <w:tcW w:w="3488" w:type="dxa"/>
            <w:tcBorders>
              <w:top w:val="nil"/>
              <w:left w:val="nil"/>
              <w:bottom w:val="single" w:sz="4" w:space="0" w:color="auto"/>
              <w:right w:val="single" w:sz="4" w:space="0" w:color="auto"/>
            </w:tcBorders>
            <w:shd w:val="clear" w:color="auto" w:fill="auto"/>
            <w:vAlign w:val="center"/>
            <w:hideMark/>
          </w:tcPr>
          <w:p w:rsidR="00F07E05" w:rsidRPr="008D35B4" w:rsidRDefault="00F07E05" w:rsidP="008A253E">
            <w:pPr>
              <w:rPr>
                <w:color w:val="000000"/>
              </w:rPr>
            </w:pPr>
            <w:r w:rsidRPr="008D35B4">
              <w:rPr>
                <w:color w:val="000000"/>
                <w:sz w:val="22"/>
                <w:szCs w:val="22"/>
              </w:rPr>
              <w:t>Средневз</w:t>
            </w:r>
            <w:r>
              <w:rPr>
                <w:color w:val="000000"/>
                <w:sz w:val="22"/>
                <w:szCs w:val="22"/>
              </w:rPr>
              <w:t>в</w:t>
            </w:r>
            <w:r w:rsidRPr="008D35B4">
              <w:rPr>
                <w:color w:val="000000"/>
                <w:sz w:val="22"/>
                <w:szCs w:val="22"/>
              </w:rPr>
              <w:t>еш</w:t>
            </w:r>
            <w:r>
              <w:rPr>
                <w:color w:val="000000"/>
                <w:sz w:val="22"/>
                <w:szCs w:val="22"/>
              </w:rPr>
              <w:t>е</w:t>
            </w:r>
            <w:r w:rsidRPr="008D35B4">
              <w:rPr>
                <w:color w:val="000000"/>
                <w:sz w:val="22"/>
                <w:szCs w:val="22"/>
              </w:rPr>
              <w:t>нный тариф</w:t>
            </w:r>
          </w:p>
        </w:tc>
        <w:tc>
          <w:tcPr>
            <w:tcW w:w="1494" w:type="dxa"/>
            <w:tcBorders>
              <w:top w:val="nil"/>
              <w:left w:val="nil"/>
              <w:bottom w:val="single" w:sz="4" w:space="0" w:color="auto"/>
              <w:right w:val="single" w:sz="4" w:space="0" w:color="auto"/>
            </w:tcBorders>
            <w:shd w:val="clear" w:color="auto" w:fill="auto"/>
            <w:vAlign w:val="center"/>
            <w:hideMark/>
          </w:tcPr>
          <w:p w:rsidR="00F07E05" w:rsidRPr="008D35B4" w:rsidRDefault="00F07E05" w:rsidP="008A253E">
            <w:pPr>
              <w:jc w:val="center"/>
              <w:rPr>
                <w:color w:val="000000"/>
              </w:rPr>
            </w:pPr>
            <w:r w:rsidRPr="008D35B4">
              <w:rPr>
                <w:color w:val="000000"/>
                <w:sz w:val="22"/>
                <w:szCs w:val="22"/>
              </w:rPr>
              <w:t>руб.</w:t>
            </w:r>
          </w:p>
        </w:tc>
        <w:tc>
          <w:tcPr>
            <w:tcW w:w="1435" w:type="dxa"/>
            <w:tcBorders>
              <w:top w:val="nil"/>
              <w:left w:val="single" w:sz="4" w:space="0" w:color="auto"/>
              <w:bottom w:val="single" w:sz="4" w:space="0" w:color="auto"/>
              <w:right w:val="single" w:sz="4" w:space="0" w:color="auto"/>
            </w:tcBorders>
            <w:shd w:val="clear" w:color="auto" w:fill="auto"/>
            <w:noWrap/>
            <w:vAlign w:val="center"/>
            <w:hideMark/>
          </w:tcPr>
          <w:p w:rsidR="00F07E05" w:rsidRPr="008D35B4" w:rsidRDefault="00F07E05" w:rsidP="008A253E">
            <w:pPr>
              <w:jc w:val="center"/>
              <w:rPr>
                <w:color w:val="000000" w:themeColor="text1"/>
              </w:rPr>
            </w:pPr>
            <w:r w:rsidRPr="008D35B4">
              <w:rPr>
                <w:color w:val="000000"/>
              </w:rPr>
              <w:t>15,6</w:t>
            </w:r>
            <w:r>
              <w:rPr>
                <w:color w:val="000000"/>
              </w:rPr>
              <w:t>4</w:t>
            </w:r>
            <w:r w:rsidRPr="008D35B4">
              <w:rPr>
                <w:color w:val="000000"/>
              </w:rPr>
              <w:t xml:space="preserve"> </w:t>
            </w:r>
          </w:p>
        </w:tc>
        <w:tc>
          <w:tcPr>
            <w:tcW w:w="1435" w:type="dxa"/>
            <w:tcBorders>
              <w:top w:val="nil"/>
              <w:left w:val="nil"/>
              <w:bottom w:val="single" w:sz="4" w:space="0" w:color="auto"/>
              <w:right w:val="single" w:sz="4" w:space="0" w:color="auto"/>
            </w:tcBorders>
            <w:shd w:val="clear" w:color="auto" w:fill="auto"/>
            <w:noWrap/>
            <w:vAlign w:val="center"/>
            <w:hideMark/>
          </w:tcPr>
          <w:p w:rsidR="00F07E05" w:rsidRPr="008D35B4" w:rsidRDefault="00F07E05" w:rsidP="008A253E">
            <w:pPr>
              <w:jc w:val="center"/>
              <w:rPr>
                <w:color w:val="000000" w:themeColor="text1"/>
              </w:rPr>
            </w:pPr>
            <w:r w:rsidRPr="008D35B4">
              <w:rPr>
                <w:color w:val="000000"/>
              </w:rPr>
              <w:t>15,</w:t>
            </w:r>
            <w:r>
              <w:rPr>
                <w:color w:val="000000"/>
              </w:rPr>
              <w:t>86</w:t>
            </w:r>
            <w:r w:rsidRPr="008D35B4">
              <w:rPr>
                <w:color w:val="000000"/>
              </w:rPr>
              <w:t xml:space="preserve"> </w:t>
            </w:r>
          </w:p>
        </w:tc>
        <w:tc>
          <w:tcPr>
            <w:tcW w:w="1435" w:type="dxa"/>
            <w:tcBorders>
              <w:top w:val="nil"/>
              <w:left w:val="nil"/>
              <w:bottom w:val="single" w:sz="4" w:space="0" w:color="auto"/>
              <w:right w:val="single" w:sz="4" w:space="0" w:color="auto"/>
            </w:tcBorders>
            <w:shd w:val="clear" w:color="auto" w:fill="auto"/>
            <w:noWrap/>
            <w:vAlign w:val="center"/>
          </w:tcPr>
          <w:p w:rsidR="00F07E05" w:rsidRPr="008D35B4" w:rsidRDefault="00F07E05" w:rsidP="008A253E">
            <w:pPr>
              <w:jc w:val="center"/>
              <w:rPr>
                <w:color w:val="000000" w:themeColor="text1"/>
                <w:lang w:val="en-US"/>
              </w:rPr>
            </w:pPr>
            <w:r w:rsidRPr="008D35B4">
              <w:rPr>
                <w:color w:val="000000"/>
              </w:rPr>
              <w:t>16,</w:t>
            </w:r>
            <w:r>
              <w:rPr>
                <w:color w:val="000000"/>
              </w:rPr>
              <w:t>57</w:t>
            </w:r>
            <w:r w:rsidRPr="008D35B4">
              <w:rPr>
                <w:color w:val="000000"/>
              </w:rPr>
              <w:t xml:space="preserve">  </w:t>
            </w:r>
          </w:p>
        </w:tc>
      </w:tr>
      <w:tr w:rsidR="00F07E05" w:rsidRPr="008D35B4" w:rsidTr="008A253E">
        <w:trPr>
          <w:trHeight w:val="300"/>
        </w:trPr>
        <w:tc>
          <w:tcPr>
            <w:tcW w:w="548" w:type="dxa"/>
            <w:tcBorders>
              <w:top w:val="nil"/>
              <w:left w:val="single" w:sz="4" w:space="0" w:color="auto"/>
              <w:bottom w:val="single" w:sz="4" w:space="0" w:color="auto"/>
              <w:right w:val="single" w:sz="4" w:space="0" w:color="auto"/>
            </w:tcBorders>
            <w:shd w:val="clear" w:color="auto" w:fill="auto"/>
            <w:noWrap/>
            <w:vAlign w:val="center"/>
            <w:hideMark/>
          </w:tcPr>
          <w:p w:rsidR="00F07E05" w:rsidRPr="008D35B4" w:rsidRDefault="00F07E05" w:rsidP="008A253E">
            <w:pPr>
              <w:rPr>
                <w:b/>
                <w:bCs/>
                <w:color w:val="000000"/>
              </w:rPr>
            </w:pPr>
            <w:r w:rsidRPr="008D35B4">
              <w:rPr>
                <w:b/>
                <w:bCs/>
                <w:color w:val="000000"/>
                <w:sz w:val="22"/>
                <w:szCs w:val="22"/>
              </w:rPr>
              <w:t>3</w:t>
            </w:r>
          </w:p>
        </w:tc>
        <w:tc>
          <w:tcPr>
            <w:tcW w:w="3488" w:type="dxa"/>
            <w:tcBorders>
              <w:top w:val="nil"/>
              <w:left w:val="nil"/>
              <w:bottom w:val="single" w:sz="4" w:space="0" w:color="auto"/>
              <w:right w:val="single" w:sz="4" w:space="0" w:color="auto"/>
            </w:tcBorders>
            <w:shd w:val="clear" w:color="auto" w:fill="auto"/>
            <w:vAlign w:val="center"/>
            <w:hideMark/>
          </w:tcPr>
          <w:p w:rsidR="00F07E05" w:rsidRPr="008D35B4" w:rsidRDefault="00F07E05" w:rsidP="008A253E">
            <w:pPr>
              <w:rPr>
                <w:b/>
                <w:bCs/>
                <w:color w:val="000000"/>
              </w:rPr>
            </w:pPr>
            <w:r w:rsidRPr="008D35B4">
              <w:rPr>
                <w:b/>
                <w:bCs/>
                <w:color w:val="000000"/>
                <w:sz w:val="22"/>
                <w:szCs w:val="22"/>
              </w:rPr>
              <w:t>Итого по городу (стр.1*2)</w:t>
            </w:r>
          </w:p>
        </w:tc>
        <w:tc>
          <w:tcPr>
            <w:tcW w:w="1494" w:type="dxa"/>
            <w:tcBorders>
              <w:top w:val="nil"/>
              <w:left w:val="nil"/>
              <w:bottom w:val="single" w:sz="4" w:space="0" w:color="auto"/>
              <w:right w:val="single" w:sz="4" w:space="0" w:color="auto"/>
            </w:tcBorders>
            <w:shd w:val="clear" w:color="auto" w:fill="auto"/>
            <w:vAlign w:val="center"/>
            <w:hideMark/>
          </w:tcPr>
          <w:p w:rsidR="00F07E05" w:rsidRPr="008D35B4" w:rsidRDefault="00F07E05" w:rsidP="008A253E">
            <w:pPr>
              <w:jc w:val="center"/>
              <w:rPr>
                <w:b/>
                <w:bCs/>
                <w:color w:val="000000"/>
              </w:rPr>
            </w:pPr>
            <w:r w:rsidRPr="008D35B4">
              <w:rPr>
                <w:b/>
                <w:bCs/>
                <w:color w:val="000000"/>
                <w:sz w:val="22"/>
                <w:szCs w:val="22"/>
              </w:rPr>
              <w:t>тыс. руб.</w:t>
            </w:r>
          </w:p>
        </w:tc>
        <w:tc>
          <w:tcPr>
            <w:tcW w:w="1435" w:type="dxa"/>
            <w:tcBorders>
              <w:top w:val="nil"/>
              <w:left w:val="single" w:sz="4" w:space="0" w:color="auto"/>
              <w:bottom w:val="single" w:sz="4" w:space="0" w:color="auto"/>
              <w:right w:val="single" w:sz="4" w:space="0" w:color="auto"/>
            </w:tcBorders>
            <w:shd w:val="clear" w:color="auto" w:fill="auto"/>
            <w:noWrap/>
            <w:vAlign w:val="center"/>
            <w:hideMark/>
          </w:tcPr>
          <w:p w:rsidR="00F07E05" w:rsidRPr="008D35B4" w:rsidRDefault="00F07E05" w:rsidP="008A253E">
            <w:pPr>
              <w:jc w:val="center"/>
              <w:rPr>
                <w:b/>
                <w:bCs/>
                <w:color w:val="000000" w:themeColor="text1"/>
              </w:rPr>
            </w:pPr>
            <w:r w:rsidRPr="008D35B4">
              <w:rPr>
                <w:b/>
                <w:bCs/>
                <w:color w:val="000000"/>
              </w:rPr>
              <w:t>961,</w:t>
            </w:r>
            <w:r>
              <w:rPr>
                <w:b/>
                <w:bCs/>
                <w:color w:val="000000"/>
              </w:rPr>
              <w:t>9</w:t>
            </w:r>
            <w:r w:rsidRPr="008D35B4">
              <w:rPr>
                <w:b/>
                <w:bCs/>
                <w:color w:val="000000"/>
              </w:rPr>
              <w:t xml:space="preserve">  </w:t>
            </w:r>
          </w:p>
        </w:tc>
        <w:tc>
          <w:tcPr>
            <w:tcW w:w="1435" w:type="dxa"/>
            <w:tcBorders>
              <w:top w:val="nil"/>
              <w:left w:val="nil"/>
              <w:bottom w:val="single" w:sz="4" w:space="0" w:color="auto"/>
              <w:right w:val="single" w:sz="4" w:space="0" w:color="auto"/>
            </w:tcBorders>
            <w:shd w:val="clear" w:color="auto" w:fill="auto"/>
            <w:noWrap/>
            <w:vAlign w:val="center"/>
            <w:hideMark/>
          </w:tcPr>
          <w:p w:rsidR="00F07E05" w:rsidRPr="008D35B4" w:rsidRDefault="00F07E05" w:rsidP="008A253E">
            <w:pPr>
              <w:jc w:val="center"/>
              <w:rPr>
                <w:b/>
                <w:bCs/>
                <w:color w:val="000000" w:themeColor="text1"/>
              </w:rPr>
            </w:pPr>
            <w:r w:rsidRPr="008D35B4">
              <w:rPr>
                <w:b/>
                <w:bCs/>
                <w:color w:val="000000"/>
              </w:rPr>
              <w:t>959,</w:t>
            </w:r>
            <w:r>
              <w:rPr>
                <w:b/>
                <w:bCs/>
                <w:color w:val="000000"/>
              </w:rPr>
              <w:t>5</w:t>
            </w:r>
            <w:r w:rsidRPr="008D35B4">
              <w:rPr>
                <w:b/>
                <w:bCs/>
                <w:color w:val="000000"/>
              </w:rPr>
              <w:t xml:space="preserve">  </w:t>
            </w:r>
          </w:p>
        </w:tc>
        <w:tc>
          <w:tcPr>
            <w:tcW w:w="1435" w:type="dxa"/>
            <w:tcBorders>
              <w:top w:val="nil"/>
              <w:left w:val="nil"/>
              <w:bottom w:val="single" w:sz="4" w:space="0" w:color="auto"/>
              <w:right w:val="single" w:sz="4" w:space="0" w:color="auto"/>
            </w:tcBorders>
            <w:shd w:val="clear" w:color="auto" w:fill="auto"/>
            <w:noWrap/>
            <w:vAlign w:val="center"/>
          </w:tcPr>
          <w:p w:rsidR="00F07E05" w:rsidRPr="008D35B4" w:rsidRDefault="00F07E05" w:rsidP="008A253E">
            <w:pPr>
              <w:jc w:val="center"/>
              <w:rPr>
                <w:b/>
                <w:bCs/>
                <w:color w:val="000000" w:themeColor="text1"/>
              </w:rPr>
            </w:pPr>
            <w:r w:rsidRPr="008D35B4">
              <w:rPr>
                <w:b/>
                <w:bCs/>
                <w:color w:val="000000"/>
              </w:rPr>
              <w:t>985,</w:t>
            </w:r>
            <w:r>
              <w:rPr>
                <w:b/>
                <w:bCs/>
                <w:color w:val="000000"/>
              </w:rPr>
              <w:t>9</w:t>
            </w:r>
            <w:r w:rsidRPr="008D35B4">
              <w:rPr>
                <w:b/>
                <w:bCs/>
                <w:color w:val="000000"/>
              </w:rPr>
              <w:t xml:space="preserve">  </w:t>
            </w:r>
          </w:p>
        </w:tc>
      </w:tr>
      <w:tr w:rsidR="00F07E05" w:rsidRPr="008D35B4" w:rsidTr="008A253E">
        <w:trPr>
          <w:trHeight w:val="1305"/>
        </w:trPr>
        <w:tc>
          <w:tcPr>
            <w:tcW w:w="548" w:type="dxa"/>
            <w:tcBorders>
              <w:top w:val="nil"/>
              <w:left w:val="single" w:sz="4" w:space="0" w:color="auto"/>
              <w:bottom w:val="single" w:sz="4" w:space="0" w:color="auto"/>
              <w:right w:val="single" w:sz="4" w:space="0" w:color="auto"/>
            </w:tcBorders>
            <w:shd w:val="clear" w:color="auto" w:fill="auto"/>
            <w:noWrap/>
            <w:vAlign w:val="center"/>
            <w:hideMark/>
          </w:tcPr>
          <w:p w:rsidR="00F07E05" w:rsidRPr="008D35B4" w:rsidRDefault="00F07E05" w:rsidP="008A253E">
            <w:pPr>
              <w:rPr>
                <w:color w:val="000000"/>
              </w:rPr>
            </w:pPr>
            <w:r w:rsidRPr="008D35B4">
              <w:rPr>
                <w:color w:val="000000"/>
                <w:sz w:val="22"/>
                <w:szCs w:val="22"/>
              </w:rPr>
              <w:t>4</w:t>
            </w:r>
          </w:p>
        </w:tc>
        <w:tc>
          <w:tcPr>
            <w:tcW w:w="3488" w:type="dxa"/>
            <w:tcBorders>
              <w:top w:val="nil"/>
              <w:left w:val="nil"/>
              <w:bottom w:val="single" w:sz="4" w:space="0" w:color="auto"/>
              <w:right w:val="single" w:sz="4" w:space="0" w:color="auto"/>
            </w:tcBorders>
            <w:shd w:val="clear" w:color="auto" w:fill="auto"/>
            <w:vAlign w:val="center"/>
            <w:hideMark/>
          </w:tcPr>
          <w:p w:rsidR="00F07E05" w:rsidRPr="008D35B4" w:rsidRDefault="00F07E05" w:rsidP="008A253E">
            <w:pPr>
              <w:rPr>
                <w:color w:val="000000"/>
              </w:rPr>
            </w:pPr>
            <w:r w:rsidRPr="008D35B4">
              <w:rPr>
                <w:color w:val="000000"/>
                <w:sz w:val="22"/>
                <w:szCs w:val="22"/>
              </w:rPr>
              <w:t xml:space="preserve">Количество перевезенных пассажиров автомобильным транспортом общего пользования пригородного сообщения </w:t>
            </w:r>
            <w:r w:rsidRPr="008D35B4">
              <w:rPr>
                <w:color w:val="000000"/>
                <w:sz w:val="22"/>
                <w:szCs w:val="22"/>
              </w:rPr>
              <w:lastRenderedPageBreak/>
              <w:t>Зубцовского района (без учета льготных пассажиров)</w:t>
            </w:r>
          </w:p>
        </w:tc>
        <w:tc>
          <w:tcPr>
            <w:tcW w:w="1494" w:type="dxa"/>
            <w:tcBorders>
              <w:top w:val="nil"/>
              <w:left w:val="nil"/>
              <w:bottom w:val="single" w:sz="4" w:space="0" w:color="auto"/>
              <w:right w:val="single" w:sz="4" w:space="0" w:color="auto"/>
            </w:tcBorders>
            <w:shd w:val="clear" w:color="auto" w:fill="auto"/>
            <w:vAlign w:val="center"/>
            <w:hideMark/>
          </w:tcPr>
          <w:p w:rsidR="00F07E05" w:rsidRPr="008D35B4" w:rsidRDefault="00F07E05" w:rsidP="008A253E">
            <w:pPr>
              <w:jc w:val="center"/>
              <w:rPr>
                <w:color w:val="000000"/>
              </w:rPr>
            </w:pPr>
            <w:r w:rsidRPr="008D35B4">
              <w:rPr>
                <w:color w:val="000000"/>
                <w:sz w:val="22"/>
                <w:szCs w:val="22"/>
              </w:rPr>
              <w:lastRenderedPageBreak/>
              <w:t>тыс. пассажиров</w:t>
            </w:r>
          </w:p>
        </w:tc>
        <w:tc>
          <w:tcPr>
            <w:tcW w:w="1435" w:type="dxa"/>
            <w:tcBorders>
              <w:top w:val="nil"/>
              <w:left w:val="single" w:sz="4" w:space="0" w:color="auto"/>
              <w:bottom w:val="single" w:sz="4" w:space="0" w:color="auto"/>
              <w:right w:val="single" w:sz="4" w:space="0" w:color="auto"/>
            </w:tcBorders>
            <w:shd w:val="clear" w:color="auto" w:fill="auto"/>
            <w:noWrap/>
            <w:vAlign w:val="center"/>
            <w:hideMark/>
          </w:tcPr>
          <w:p w:rsidR="00F07E05" w:rsidRPr="008D35B4" w:rsidRDefault="00F07E05" w:rsidP="008A253E">
            <w:pPr>
              <w:jc w:val="center"/>
              <w:rPr>
                <w:color w:val="000000" w:themeColor="text1"/>
              </w:rPr>
            </w:pPr>
            <w:r w:rsidRPr="008D35B4">
              <w:rPr>
                <w:color w:val="000000"/>
              </w:rPr>
              <w:t>32,7</w:t>
            </w:r>
          </w:p>
        </w:tc>
        <w:tc>
          <w:tcPr>
            <w:tcW w:w="1435" w:type="dxa"/>
            <w:tcBorders>
              <w:top w:val="nil"/>
              <w:left w:val="nil"/>
              <w:bottom w:val="single" w:sz="4" w:space="0" w:color="auto"/>
              <w:right w:val="single" w:sz="4" w:space="0" w:color="auto"/>
            </w:tcBorders>
            <w:shd w:val="clear" w:color="auto" w:fill="auto"/>
            <w:noWrap/>
            <w:vAlign w:val="center"/>
            <w:hideMark/>
          </w:tcPr>
          <w:p w:rsidR="00F07E05" w:rsidRPr="008D35B4" w:rsidRDefault="00F07E05" w:rsidP="008A253E">
            <w:pPr>
              <w:jc w:val="center"/>
              <w:rPr>
                <w:color w:val="000000" w:themeColor="text1"/>
              </w:rPr>
            </w:pPr>
            <w:r w:rsidRPr="008D35B4">
              <w:rPr>
                <w:color w:val="000000"/>
              </w:rPr>
              <w:t>32,2</w:t>
            </w:r>
          </w:p>
        </w:tc>
        <w:tc>
          <w:tcPr>
            <w:tcW w:w="1435" w:type="dxa"/>
            <w:tcBorders>
              <w:top w:val="nil"/>
              <w:left w:val="nil"/>
              <w:bottom w:val="single" w:sz="4" w:space="0" w:color="auto"/>
              <w:right w:val="single" w:sz="4" w:space="0" w:color="auto"/>
            </w:tcBorders>
            <w:shd w:val="clear" w:color="auto" w:fill="auto"/>
            <w:noWrap/>
            <w:vAlign w:val="center"/>
          </w:tcPr>
          <w:p w:rsidR="00F07E05" w:rsidRPr="008D35B4" w:rsidRDefault="00F07E05" w:rsidP="008A253E">
            <w:pPr>
              <w:jc w:val="center"/>
              <w:rPr>
                <w:color w:val="000000" w:themeColor="text1"/>
              </w:rPr>
            </w:pPr>
            <w:r w:rsidRPr="008D35B4">
              <w:rPr>
                <w:color w:val="000000"/>
              </w:rPr>
              <w:t>31,6</w:t>
            </w:r>
          </w:p>
        </w:tc>
      </w:tr>
      <w:tr w:rsidR="00F07E05" w:rsidRPr="008D35B4" w:rsidTr="008A253E">
        <w:trPr>
          <w:trHeight w:val="300"/>
        </w:trPr>
        <w:tc>
          <w:tcPr>
            <w:tcW w:w="548" w:type="dxa"/>
            <w:tcBorders>
              <w:top w:val="nil"/>
              <w:left w:val="single" w:sz="4" w:space="0" w:color="auto"/>
              <w:bottom w:val="single" w:sz="4" w:space="0" w:color="auto"/>
              <w:right w:val="single" w:sz="4" w:space="0" w:color="auto"/>
            </w:tcBorders>
            <w:shd w:val="clear" w:color="auto" w:fill="auto"/>
            <w:noWrap/>
            <w:vAlign w:val="center"/>
            <w:hideMark/>
          </w:tcPr>
          <w:p w:rsidR="00F07E05" w:rsidRPr="008D35B4" w:rsidRDefault="00F07E05" w:rsidP="008A253E">
            <w:pPr>
              <w:rPr>
                <w:color w:val="000000"/>
              </w:rPr>
            </w:pPr>
            <w:r w:rsidRPr="008D35B4">
              <w:rPr>
                <w:color w:val="000000"/>
                <w:sz w:val="22"/>
                <w:szCs w:val="22"/>
              </w:rPr>
              <w:t>5</w:t>
            </w:r>
          </w:p>
        </w:tc>
        <w:tc>
          <w:tcPr>
            <w:tcW w:w="3488" w:type="dxa"/>
            <w:tcBorders>
              <w:top w:val="nil"/>
              <w:left w:val="nil"/>
              <w:bottom w:val="single" w:sz="4" w:space="0" w:color="auto"/>
              <w:right w:val="single" w:sz="4" w:space="0" w:color="auto"/>
            </w:tcBorders>
            <w:shd w:val="clear" w:color="auto" w:fill="auto"/>
            <w:vAlign w:val="center"/>
            <w:hideMark/>
          </w:tcPr>
          <w:p w:rsidR="00F07E05" w:rsidRPr="008D35B4" w:rsidRDefault="00F07E05" w:rsidP="008A253E">
            <w:pPr>
              <w:rPr>
                <w:color w:val="000000"/>
              </w:rPr>
            </w:pPr>
            <w:r w:rsidRPr="008D35B4">
              <w:rPr>
                <w:color w:val="000000"/>
                <w:sz w:val="22"/>
                <w:szCs w:val="22"/>
              </w:rPr>
              <w:t>Средневз</w:t>
            </w:r>
            <w:r>
              <w:rPr>
                <w:color w:val="000000"/>
                <w:sz w:val="22"/>
                <w:szCs w:val="22"/>
              </w:rPr>
              <w:t>в</w:t>
            </w:r>
            <w:r w:rsidRPr="008D35B4">
              <w:rPr>
                <w:color w:val="000000"/>
                <w:sz w:val="22"/>
                <w:szCs w:val="22"/>
              </w:rPr>
              <w:t>еш</w:t>
            </w:r>
            <w:r>
              <w:rPr>
                <w:color w:val="000000"/>
                <w:sz w:val="22"/>
                <w:szCs w:val="22"/>
              </w:rPr>
              <w:t>е</w:t>
            </w:r>
            <w:r w:rsidRPr="008D35B4">
              <w:rPr>
                <w:color w:val="000000"/>
                <w:sz w:val="22"/>
                <w:szCs w:val="22"/>
              </w:rPr>
              <w:t>нный тариф</w:t>
            </w:r>
          </w:p>
        </w:tc>
        <w:tc>
          <w:tcPr>
            <w:tcW w:w="1494" w:type="dxa"/>
            <w:tcBorders>
              <w:top w:val="nil"/>
              <w:left w:val="nil"/>
              <w:bottom w:val="single" w:sz="4" w:space="0" w:color="auto"/>
              <w:right w:val="single" w:sz="4" w:space="0" w:color="auto"/>
            </w:tcBorders>
            <w:shd w:val="clear" w:color="auto" w:fill="auto"/>
            <w:vAlign w:val="center"/>
            <w:hideMark/>
          </w:tcPr>
          <w:p w:rsidR="00F07E05" w:rsidRPr="008D35B4" w:rsidRDefault="00F07E05" w:rsidP="008A253E">
            <w:pPr>
              <w:jc w:val="center"/>
              <w:rPr>
                <w:color w:val="000000"/>
              </w:rPr>
            </w:pPr>
            <w:r w:rsidRPr="008D35B4">
              <w:rPr>
                <w:color w:val="000000"/>
                <w:sz w:val="22"/>
                <w:szCs w:val="22"/>
              </w:rPr>
              <w:t>руб. за 1 км.</w:t>
            </w:r>
          </w:p>
        </w:tc>
        <w:tc>
          <w:tcPr>
            <w:tcW w:w="1435" w:type="dxa"/>
            <w:tcBorders>
              <w:top w:val="nil"/>
              <w:left w:val="single" w:sz="4" w:space="0" w:color="auto"/>
              <w:bottom w:val="single" w:sz="4" w:space="0" w:color="auto"/>
              <w:right w:val="single" w:sz="4" w:space="0" w:color="auto"/>
            </w:tcBorders>
            <w:shd w:val="clear" w:color="auto" w:fill="auto"/>
            <w:noWrap/>
            <w:vAlign w:val="center"/>
            <w:hideMark/>
          </w:tcPr>
          <w:p w:rsidR="00F07E05" w:rsidRPr="008D35B4" w:rsidRDefault="00F07E05" w:rsidP="008A253E">
            <w:pPr>
              <w:jc w:val="center"/>
              <w:rPr>
                <w:color w:val="000000" w:themeColor="text1"/>
              </w:rPr>
            </w:pPr>
            <w:r w:rsidRPr="008D35B4">
              <w:rPr>
                <w:color w:val="000000"/>
              </w:rPr>
              <w:t>3,</w:t>
            </w:r>
            <w:r>
              <w:rPr>
                <w:color w:val="000000"/>
              </w:rPr>
              <w:t>08</w:t>
            </w:r>
            <w:r w:rsidRPr="008D35B4">
              <w:rPr>
                <w:color w:val="000000"/>
              </w:rPr>
              <w:t xml:space="preserve">  </w:t>
            </w:r>
          </w:p>
        </w:tc>
        <w:tc>
          <w:tcPr>
            <w:tcW w:w="1435" w:type="dxa"/>
            <w:tcBorders>
              <w:top w:val="nil"/>
              <w:left w:val="nil"/>
              <w:bottom w:val="single" w:sz="4" w:space="0" w:color="auto"/>
              <w:right w:val="single" w:sz="4" w:space="0" w:color="auto"/>
            </w:tcBorders>
            <w:shd w:val="clear" w:color="auto" w:fill="auto"/>
            <w:noWrap/>
            <w:vAlign w:val="center"/>
            <w:hideMark/>
          </w:tcPr>
          <w:p w:rsidR="00F07E05" w:rsidRPr="008D35B4" w:rsidRDefault="00F07E05" w:rsidP="008A253E">
            <w:pPr>
              <w:jc w:val="center"/>
              <w:rPr>
                <w:color w:val="000000" w:themeColor="text1"/>
              </w:rPr>
            </w:pPr>
            <w:r w:rsidRPr="008D35B4">
              <w:rPr>
                <w:color w:val="000000"/>
              </w:rPr>
              <w:t>3,</w:t>
            </w:r>
            <w:r>
              <w:rPr>
                <w:color w:val="000000"/>
              </w:rPr>
              <w:t>19</w:t>
            </w:r>
            <w:r w:rsidRPr="008D35B4">
              <w:rPr>
                <w:color w:val="000000"/>
              </w:rPr>
              <w:t xml:space="preserve">  </w:t>
            </w:r>
          </w:p>
        </w:tc>
        <w:tc>
          <w:tcPr>
            <w:tcW w:w="1435" w:type="dxa"/>
            <w:tcBorders>
              <w:top w:val="nil"/>
              <w:left w:val="nil"/>
              <w:bottom w:val="single" w:sz="4" w:space="0" w:color="auto"/>
              <w:right w:val="single" w:sz="4" w:space="0" w:color="auto"/>
            </w:tcBorders>
            <w:shd w:val="clear" w:color="auto" w:fill="auto"/>
            <w:noWrap/>
            <w:vAlign w:val="center"/>
          </w:tcPr>
          <w:p w:rsidR="00F07E05" w:rsidRPr="008D35B4" w:rsidRDefault="00F07E05" w:rsidP="008A253E">
            <w:pPr>
              <w:jc w:val="center"/>
              <w:rPr>
                <w:color w:val="000000" w:themeColor="text1"/>
              </w:rPr>
            </w:pPr>
            <w:r w:rsidRPr="008D35B4">
              <w:rPr>
                <w:color w:val="000000"/>
              </w:rPr>
              <w:t>3,3</w:t>
            </w:r>
            <w:r>
              <w:rPr>
                <w:color w:val="000000"/>
              </w:rPr>
              <w:t>1</w:t>
            </w:r>
            <w:r w:rsidRPr="008D35B4">
              <w:rPr>
                <w:color w:val="000000"/>
              </w:rPr>
              <w:t xml:space="preserve">  </w:t>
            </w:r>
          </w:p>
        </w:tc>
      </w:tr>
      <w:tr w:rsidR="00F07E05" w:rsidRPr="008D35B4" w:rsidTr="008A253E">
        <w:trPr>
          <w:trHeight w:val="600"/>
        </w:trPr>
        <w:tc>
          <w:tcPr>
            <w:tcW w:w="548" w:type="dxa"/>
            <w:tcBorders>
              <w:top w:val="nil"/>
              <w:left w:val="single" w:sz="4" w:space="0" w:color="auto"/>
              <w:bottom w:val="single" w:sz="4" w:space="0" w:color="auto"/>
              <w:right w:val="single" w:sz="4" w:space="0" w:color="auto"/>
            </w:tcBorders>
            <w:shd w:val="clear" w:color="auto" w:fill="auto"/>
            <w:noWrap/>
            <w:vAlign w:val="center"/>
            <w:hideMark/>
          </w:tcPr>
          <w:p w:rsidR="00F07E05" w:rsidRPr="008D35B4" w:rsidRDefault="00F07E05" w:rsidP="008A253E">
            <w:pPr>
              <w:rPr>
                <w:color w:val="000000"/>
              </w:rPr>
            </w:pPr>
            <w:r w:rsidRPr="008D35B4">
              <w:rPr>
                <w:color w:val="000000"/>
                <w:sz w:val="22"/>
                <w:szCs w:val="22"/>
              </w:rPr>
              <w:t>6</w:t>
            </w:r>
          </w:p>
        </w:tc>
        <w:tc>
          <w:tcPr>
            <w:tcW w:w="3488" w:type="dxa"/>
            <w:tcBorders>
              <w:top w:val="nil"/>
              <w:left w:val="nil"/>
              <w:bottom w:val="single" w:sz="4" w:space="0" w:color="auto"/>
              <w:right w:val="single" w:sz="4" w:space="0" w:color="auto"/>
            </w:tcBorders>
            <w:shd w:val="clear" w:color="auto" w:fill="auto"/>
            <w:vAlign w:val="center"/>
            <w:hideMark/>
          </w:tcPr>
          <w:p w:rsidR="00F07E05" w:rsidRPr="008D35B4" w:rsidRDefault="00F07E05" w:rsidP="008A253E">
            <w:pPr>
              <w:rPr>
                <w:color w:val="000000"/>
              </w:rPr>
            </w:pPr>
            <w:r w:rsidRPr="008D35B4">
              <w:rPr>
                <w:color w:val="000000"/>
                <w:sz w:val="22"/>
                <w:szCs w:val="22"/>
              </w:rPr>
              <w:t>Средняя дальность перевозки пассажиров на пригородном сообщении</w:t>
            </w:r>
          </w:p>
        </w:tc>
        <w:tc>
          <w:tcPr>
            <w:tcW w:w="1494" w:type="dxa"/>
            <w:tcBorders>
              <w:top w:val="nil"/>
              <w:left w:val="nil"/>
              <w:bottom w:val="single" w:sz="4" w:space="0" w:color="auto"/>
              <w:right w:val="single" w:sz="4" w:space="0" w:color="auto"/>
            </w:tcBorders>
            <w:shd w:val="clear" w:color="auto" w:fill="auto"/>
            <w:vAlign w:val="center"/>
            <w:hideMark/>
          </w:tcPr>
          <w:p w:rsidR="00F07E05" w:rsidRPr="008D35B4" w:rsidRDefault="00F07E05" w:rsidP="008A253E">
            <w:pPr>
              <w:jc w:val="center"/>
              <w:rPr>
                <w:color w:val="000000"/>
              </w:rPr>
            </w:pPr>
            <w:r w:rsidRPr="008D35B4">
              <w:rPr>
                <w:color w:val="000000"/>
                <w:sz w:val="22"/>
                <w:szCs w:val="22"/>
              </w:rPr>
              <w:t>км.</w:t>
            </w:r>
          </w:p>
        </w:tc>
        <w:tc>
          <w:tcPr>
            <w:tcW w:w="1435" w:type="dxa"/>
            <w:tcBorders>
              <w:top w:val="nil"/>
              <w:left w:val="single" w:sz="4" w:space="0" w:color="auto"/>
              <w:bottom w:val="single" w:sz="4" w:space="0" w:color="auto"/>
              <w:right w:val="single" w:sz="4" w:space="0" w:color="auto"/>
            </w:tcBorders>
            <w:shd w:val="clear" w:color="auto" w:fill="auto"/>
            <w:noWrap/>
            <w:vAlign w:val="center"/>
            <w:hideMark/>
          </w:tcPr>
          <w:p w:rsidR="00F07E05" w:rsidRPr="008D35B4" w:rsidRDefault="00F07E05" w:rsidP="008A253E">
            <w:pPr>
              <w:jc w:val="center"/>
              <w:rPr>
                <w:color w:val="000000" w:themeColor="text1"/>
              </w:rPr>
            </w:pPr>
            <w:r w:rsidRPr="008D35B4">
              <w:rPr>
                <w:color w:val="000000"/>
              </w:rPr>
              <w:t xml:space="preserve">11,9  </w:t>
            </w:r>
          </w:p>
        </w:tc>
        <w:tc>
          <w:tcPr>
            <w:tcW w:w="1435" w:type="dxa"/>
            <w:tcBorders>
              <w:top w:val="nil"/>
              <w:left w:val="nil"/>
              <w:bottom w:val="single" w:sz="4" w:space="0" w:color="auto"/>
              <w:right w:val="single" w:sz="4" w:space="0" w:color="auto"/>
            </w:tcBorders>
            <w:shd w:val="clear" w:color="auto" w:fill="auto"/>
            <w:noWrap/>
            <w:vAlign w:val="center"/>
            <w:hideMark/>
          </w:tcPr>
          <w:p w:rsidR="00F07E05" w:rsidRPr="008D35B4" w:rsidRDefault="00F07E05" w:rsidP="008A253E">
            <w:pPr>
              <w:jc w:val="center"/>
              <w:rPr>
                <w:color w:val="000000" w:themeColor="text1"/>
              </w:rPr>
            </w:pPr>
            <w:r w:rsidRPr="008D35B4">
              <w:rPr>
                <w:color w:val="000000"/>
              </w:rPr>
              <w:t xml:space="preserve">11,9  </w:t>
            </w:r>
          </w:p>
        </w:tc>
        <w:tc>
          <w:tcPr>
            <w:tcW w:w="1435" w:type="dxa"/>
            <w:tcBorders>
              <w:top w:val="nil"/>
              <w:left w:val="nil"/>
              <w:bottom w:val="single" w:sz="4" w:space="0" w:color="auto"/>
              <w:right w:val="single" w:sz="4" w:space="0" w:color="auto"/>
            </w:tcBorders>
            <w:shd w:val="clear" w:color="auto" w:fill="auto"/>
            <w:noWrap/>
            <w:vAlign w:val="center"/>
          </w:tcPr>
          <w:p w:rsidR="00F07E05" w:rsidRPr="008D35B4" w:rsidRDefault="00F07E05" w:rsidP="008A253E">
            <w:pPr>
              <w:jc w:val="center"/>
              <w:rPr>
                <w:color w:val="000000" w:themeColor="text1"/>
              </w:rPr>
            </w:pPr>
            <w:r w:rsidRPr="008D35B4">
              <w:rPr>
                <w:color w:val="000000"/>
              </w:rPr>
              <w:t xml:space="preserve">11,9  </w:t>
            </w:r>
          </w:p>
        </w:tc>
      </w:tr>
      <w:tr w:rsidR="00F07E05" w:rsidRPr="008D35B4" w:rsidTr="008A253E">
        <w:trPr>
          <w:trHeight w:val="300"/>
        </w:trPr>
        <w:tc>
          <w:tcPr>
            <w:tcW w:w="548" w:type="dxa"/>
            <w:tcBorders>
              <w:top w:val="nil"/>
              <w:left w:val="single" w:sz="4" w:space="0" w:color="auto"/>
              <w:bottom w:val="single" w:sz="4" w:space="0" w:color="auto"/>
              <w:right w:val="single" w:sz="4" w:space="0" w:color="auto"/>
            </w:tcBorders>
            <w:shd w:val="clear" w:color="auto" w:fill="auto"/>
            <w:noWrap/>
            <w:vAlign w:val="center"/>
            <w:hideMark/>
          </w:tcPr>
          <w:p w:rsidR="00F07E05" w:rsidRPr="008D35B4" w:rsidRDefault="00F07E05" w:rsidP="008A253E">
            <w:pPr>
              <w:rPr>
                <w:b/>
                <w:bCs/>
                <w:color w:val="000000"/>
              </w:rPr>
            </w:pPr>
            <w:r w:rsidRPr="008D35B4">
              <w:rPr>
                <w:b/>
                <w:bCs/>
                <w:color w:val="000000"/>
                <w:sz w:val="22"/>
                <w:szCs w:val="22"/>
              </w:rPr>
              <w:t>7</w:t>
            </w:r>
          </w:p>
        </w:tc>
        <w:tc>
          <w:tcPr>
            <w:tcW w:w="3488" w:type="dxa"/>
            <w:tcBorders>
              <w:top w:val="nil"/>
              <w:left w:val="nil"/>
              <w:bottom w:val="single" w:sz="4" w:space="0" w:color="auto"/>
              <w:right w:val="single" w:sz="4" w:space="0" w:color="auto"/>
            </w:tcBorders>
            <w:shd w:val="clear" w:color="auto" w:fill="auto"/>
            <w:vAlign w:val="center"/>
            <w:hideMark/>
          </w:tcPr>
          <w:p w:rsidR="00F07E05" w:rsidRPr="008D35B4" w:rsidRDefault="00F07E05" w:rsidP="008A253E">
            <w:pPr>
              <w:rPr>
                <w:b/>
                <w:bCs/>
                <w:color w:val="000000"/>
              </w:rPr>
            </w:pPr>
            <w:r w:rsidRPr="008D35B4">
              <w:rPr>
                <w:b/>
                <w:bCs/>
                <w:color w:val="000000"/>
                <w:sz w:val="22"/>
                <w:szCs w:val="22"/>
              </w:rPr>
              <w:t>Итого пригород (стр.4*5*6)</w:t>
            </w:r>
          </w:p>
        </w:tc>
        <w:tc>
          <w:tcPr>
            <w:tcW w:w="1494" w:type="dxa"/>
            <w:tcBorders>
              <w:top w:val="nil"/>
              <w:left w:val="nil"/>
              <w:bottom w:val="single" w:sz="4" w:space="0" w:color="auto"/>
              <w:right w:val="single" w:sz="4" w:space="0" w:color="auto"/>
            </w:tcBorders>
            <w:shd w:val="clear" w:color="auto" w:fill="auto"/>
            <w:vAlign w:val="center"/>
            <w:hideMark/>
          </w:tcPr>
          <w:p w:rsidR="00F07E05" w:rsidRPr="008D35B4" w:rsidRDefault="00F07E05" w:rsidP="008A253E">
            <w:pPr>
              <w:jc w:val="center"/>
              <w:rPr>
                <w:b/>
                <w:bCs/>
                <w:color w:val="000000"/>
              </w:rPr>
            </w:pPr>
            <w:r w:rsidRPr="008D35B4">
              <w:rPr>
                <w:b/>
                <w:bCs/>
                <w:color w:val="000000"/>
                <w:sz w:val="22"/>
                <w:szCs w:val="22"/>
              </w:rPr>
              <w:t>тыс. руб.</w:t>
            </w:r>
          </w:p>
        </w:tc>
        <w:tc>
          <w:tcPr>
            <w:tcW w:w="1435" w:type="dxa"/>
            <w:tcBorders>
              <w:top w:val="nil"/>
              <w:left w:val="single" w:sz="4" w:space="0" w:color="auto"/>
              <w:bottom w:val="single" w:sz="4" w:space="0" w:color="auto"/>
              <w:right w:val="single" w:sz="4" w:space="0" w:color="auto"/>
            </w:tcBorders>
            <w:shd w:val="clear" w:color="auto" w:fill="auto"/>
            <w:noWrap/>
            <w:vAlign w:val="center"/>
            <w:hideMark/>
          </w:tcPr>
          <w:p w:rsidR="00F07E05" w:rsidRPr="008D35B4" w:rsidRDefault="00F07E05" w:rsidP="008A253E">
            <w:pPr>
              <w:jc w:val="center"/>
              <w:rPr>
                <w:b/>
                <w:bCs/>
                <w:color w:val="000000" w:themeColor="text1"/>
              </w:rPr>
            </w:pPr>
            <w:r w:rsidRPr="008D35B4">
              <w:rPr>
                <w:b/>
                <w:bCs/>
                <w:color w:val="000000"/>
              </w:rPr>
              <w:t>1 19</w:t>
            </w:r>
            <w:r>
              <w:rPr>
                <w:b/>
                <w:bCs/>
                <w:color w:val="000000"/>
              </w:rPr>
              <w:t>8</w:t>
            </w:r>
            <w:r w:rsidRPr="008D35B4">
              <w:rPr>
                <w:b/>
                <w:bCs/>
                <w:color w:val="000000"/>
              </w:rPr>
              <w:t>,</w:t>
            </w:r>
            <w:r>
              <w:rPr>
                <w:b/>
                <w:bCs/>
                <w:color w:val="000000"/>
              </w:rPr>
              <w:t>5</w:t>
            </w:r>
            <w:r w:rsidRPr="008D35B4">
              <w:rPr>
                <w:b/>
                <w:bCs/>
                <w:color w:val="000000"/>
              </w:rPr>
              <w:t xml:space="preserve"> </w:t>
            </w:r>
          </w:p>
        </w:tc>
        <w:tc>
          <w:tcPr>
            <w:tcW w:w="1435" w:type="dxa"/>
            <w:tcBorders>
              <w:top w:val="nil"/>
              <w:left w:val="nil"/>
              <w:bottom w:val="single" w:sz="4" w:space="0" w:color="auto"/>
              <w:right w:val="single" w:sz="4" w:space="0" w:color="auto"/>
            </w:tcBorders>
            <w:shd w:val="clear" w:color="auto" w:fill="auto"/>
            <w:noWrap/>
            <w:vAlign w:val="center"/>
            <w:hideMark/>
          </w:tcPr>
          <w:p w:rsidR="00F07E05" w:rsidRPr="008D35B4" w:rsidRDefault="00F07E05" w:rsidP="008A253E">
            <w:pPr>
              <w:jc w:val="center"/>
              <w:rPr>
                <w:b/>
                <w:bCs/>
                <w:color w:val="000000" w:themeColor="text1"/>
              </w:rPr>
            </w:pPr>
            <w:r w:rsidRPr="008D35B4">
              <w:rPr>
                <w:b/>
                <w:bCs/>
                <w:color w:val="000000"/>
              </w:rPr>
              <w:t>1 222,</w:t>
            </w:r>
            <w:r>
              <w:rPr>
                <w:b/>
                <w:bCs/>
                <w:color w:val="000000"/>
              </w:rPr>
              <w:t>3</w:t>
            </w:r>
            <w:r w:rsidRPr="008D35B4">
              <w:rPr>
                <w:b/>
                <w:bCs/>
                <w:color w:val="000000"/>
              </w:rPr>
              <w:t xml:space="preserve">  </w:t>
            </w:r>
          </w:p>
        </w:tc>
        <w:tc>
          <w:tcPr>
            <w:tcW w:w="1435" w:type="dxa"/>
            <w:tcBorders>
              <w:top w:val="nil"/>
              <w:left w:val="nil"/>
              <w:bottom w:val="single" w:sz="4" w:space="0" w:color="auto"/>
              <w:right w:val="single" w:sz="4" w:space="0" w:color="auto"/>
            </w:tcBorders>
            <w:shd w:val="clear" w:color="auto" w:fill="auto"/>
            <w:noWrap/>
            <w:vAlign w:val="center"/>
          </w:tcPr>
          <w:p w:rsidR="00F07E05" w:rsidRPr="008D35B4" w:rsidRDefault="00F07E05" w:rsidP="008A253E">
            <w:pPr>
              <w:jc w:val="center"/>
              <w:rPr>
                <w:b/>
                <w:bCs/>
                <w:color w:val="000000" w:themeColor="text1"/>
              </w:rPr>
            </w:pPr>
            <w:r w:rsidRPr="008D35B4">
              <w:rPr>
                <w:b/>
                <w:bCs/>
                <w:color w:val="000000"/>
              </w:rPr>
              <w:t>1 24</w:t>
            </w:r>
            <w:r>
              <w:rPr>
                <w:b/>
                <w:bCs/>
                <w:color w:val="000000"/>
              </w:rPr>
              <w:t>4</w:t>
            </w:r>
            <w:r w:rsidRPr="008D35B4">
              <w:rPr>
                <w:b/>
                <w:bCs/>
                <w:color w:val="000000"/>
              </w:rPr>
              <w:t xml:space="preserve">,7  </w:t>
            </w:r>
          </w:p>
        </w:tc>
      </w:tr>
      <w:tr w:rsidR="00F07E05" w:rsidRPr="008D35B4" w:rsidTr="008A253E">
        <w:trPr>
          <w:trHeight w:val="300"/>
        </w:trPr>
        <w:tc>
          <w:tcPr>
            <w:tcW w:w="548" w:type="dxa"/>
            <w:tcBorders>
              <w:top w:val="nil"/>
              <w:left w:val="single" w:sz="4" w:space="0" w:color="auto"/>
              <w:bottom w:val="single" w:sz="4" w:space="0" w:color="auto"/>
              <w:right w:val="single" w:sz="4" w:space="0" w:color="auto"/>
            </w:tcBorders>
            <w:shd w:val="clear" w:color="auto" w:fill="auto"/>
            <w:noWrap/>
            <w:vAlign w:val="center"/>
            <w:hideMark/>
          </w:tcPr>
          <w:p w:rsidR="00F07E05" w:rsidRPr="008D35B4" w:rsidRDefault="00F07E05" w:rsidP="008A253E">
            <w:pPr>
              <w:rPr>
                <w:color w:val="000000"/>
              </w:rPr>
            </w:pPr>
            <w:r w:rsidRPr="008D35B4">
              <w:rPr>
                <w:color w:val="000000"/>
                <w:sz w:val="22"/>
                <w:szCs w:val="22"/>
              </w:rPr>
              <w:t>8</w:t>
            </w:r>
          </w:p>
        </w:tc>
        <w:tc>
          <w:tcPr>
            <w:tcW w:w="3488" w:type="dxa"/>
            <w:tcBorders>
              <w:top w:val="nil"/>
              <w:left w:val="nil"/>
              <w:bottom w:val="single" w:sz="4" w:space="0" w:color="auto"/>
              <w:right w:val="single" w:sz="4" w:space="0" w:color="auto"/>
            </w:tcBorders>
            <w:shd w:val="clear" w:color="auto" w:fill="auto"/>
            <w:vAlign w:val="center"/>
            <w:hideMark/>
          </w:tcPr>
          <w:p w:rsidR="00F07E05" w:rsidRPr="008D35B4" w:rsidRDefault="00F07E05" w:rsidP="008A253E">
            <w:pPr>
              <w:rPr>
                <w:color w:val="000000"/>
              </w:rPr>
            </w:pPr>
            <w:r w:rsidRPr="008D35B4">
              <w:rPr>
                <w:color w:val="000000"/>
                <w:sz w:val="22"/>
                <w:szCs w:val="22"/>
              </w:rPr>
              <w:t>Комиссия компании оператора</w:t>
            </w:r>
          </w:p>
        </w:tc>
        <w:tc>
          <w:tcPr>
            <w:tcW w:w="1494" w:type="dxa"/>
            <w:tcBorders>
              <w:top w:val="nil"/>
              <w:left w:val="nil"/>
              <w:bottom w:val="single" w:sz="4" w:space="0" w:color="auto"/>
              <w:right w:val="single" w:sz="4" w:space="0" w:color="auto"/>
            </w:tcBorders>
            <w:shd w:val="clear" w:color="auto" w:fill="auto"/>
            <w:vAlign w:val="center"/>
            <w:hideMark/>
          </w:tcPr>
          <w:p w:rsidR="00F07E05" w:rsidRPr="008D35B4" w:rsidRDefault="00F07E05" w:rsidP="008A253E">
            <w:pPr>
              <w:jc w:val="center"/>
              <w:rPr>
                <w:color w:val="000000"/>
              </w:rPr>
            </w:pPr>
            <w:r w:rsidRPr="008D35B4">
              <w:rPr>
                <w:color w:val="000000"/>
                <w:sz w:val="22"/>
                <w:szCs w:val="22"/>
              </w:rPr>
              <w:t>%</w:t>
            </w:r>
          </w:p>
        </w:tc>
        <w:tc>
          <w:tcPr>
            <w:tcW w:w="1435" w:type="dxa"/>
            <w:tcBorders>
              <w:top w:val="nil"/>
              <w:left w:val="single" w:sz="4" w:space="0" w:color="auto"/>
              <w:bottom w:val="single" w:sz="4" w:space="0" w:color="auto"/>
              <w:right w:val="single" w:sz="4" w:space="0" w:color="auto"/>
            </w:tcBorders>
            <w:shd w:val="clear" w:color="auto" w:fill="auto"/>
            <w:noWrap/>
            <w:vAlign w:val="center"/>
            <w:hideMark/>
          </w:tcPr>
          <w:p w:rsidR="00F07E05" w:rsidRPr="008D35B4" w:rsidRDefault="00F07E05" w:rsidP="008A253E">
            <w:pPr>
              <w:jc w:val="center"/>
              <w:rPr>
                <w:color w:val="000000" w:themeColor="text1"/>
              </w:rPr>
            </w:pPr>
            <w:r w:rsidRPr="008D35B4">
              <w:rPr>
                <w:color w:val="000000"/>
              </w:rPr>
              <w:t>6%</w:t>
            </w:r>
          </w:p>
        </w:tc>
        <w:tc>
          <w:tcPr>
            <w:tcW w:w="1435" w:type="dxa"/>
            <w:tcBorders>
              <w:top w:val="nil"/>
              <w:left w:val="nil"/>
              <w:bottom w:val="single" w:sz="4" w:space="0" w:color="auto"/>
              <w:right w:val="single" w:sz="4" w:space="0" w:color="auto"/>
            </w:tcBorders>
            <w:shd w:val="clear" w:color="auto" w:fill="auto"/>
            <w:noWrap/>
            <w:vAlign w:val="center"/>
            <w:hideMark/>
          </w:tcPr>
          <w:p w:rsidR="00F07E05" w:rsidRPr="008D35B4" w:rsidRDefault="00F07E05" w:rsidP="008A253E">
            <w:pPr>
              <w:jc w:val="center"/>
              <w:rPr>
                <w:color w:val="000000" w:themeColor="text1"/>
              </w:rPr>
            </w:pPr>
            <w:r w:rsidRPr="008D35B4">
              <w:rPr>
                <w:color w:val="000000"/>
              </w:rPr>
              <w:t>6%</w:t>
            </w:r>
          </w:p>
        </w:tc>
        <w:tc>
          <w:tcPr>
            <w:tcW w:w="1435" w:type="dxa"/>
            <w:tcBorders>
              <w:top w:val="nil"/>
              <w:left w:val="nil"/>
              <w:bottom w:val="single" w:sz="4" w:space="0" w:color="auto"/>
              <w:right w:val="single" w:sz="4" w:space="0" w:color="auto"/>
            </w:tcBorders>
            <w:shd w:val="clear" w:color="auto" w:fill="auto"/>
            <w:noWrap/>
            <w:vAlign w:val="center"/>
          </w:tcPr>
          <w:p w:rsidR="00F07E05" w:rsidRPr="008D35B4" w:rsidRDefault="00F07E05" w:rsidP="008A253E">
            <w:pPr>
              <w:jc w:val="center"/>
              <w:rPr>
                <w:color w:val="000000" w:themeColor="text1"/>
              </w:rPr>
            </w:pPr>
            <w:r w:rsidRPr="008D35B4">
              <w:rPr>
                <w:color w:val="000000"/>
              </w:rPr>
              <w:t>6%</w:t>
            </w:r>
          </w:p>
        </w:tc>
      </w:tr>
      <w:tr w:rsidR="00F07E05" w:rsidRPr="008D35B4" w:rsidTr="008A253E">
        <w:trPr>
          <w:trHeight w:val="300"/>
        </w:trPr>
        <w:tc>
          <w:tcPr>
            <w:tcW w:w="548" w:type="dxa"/>
            <w:tcBorders>
              <w:top w:val="nil"/>
              <w:left w:val="single" w:sz="4" w:space="0" w:color="auto"/>
              <w:bottom w:val="single" w:sz="4" w:space="0" w:color="auto"/>
              <w:right w:val="single" w:sz="4" w:space="0" w:color="auto"/>
            </w:tcBorders>
            <w:shd w:val="clear" w:color="auto" w:fill="auto"/>
            <w:noWrap/>
            <w:vAlign w:val="center"/>
            <w:hideMark/>
          </w:tcPr>
          <w:p w:rsidR="00F07E05" w:rsidRPr="008D35B4" w:rsidRDefault="00F07E05" w:rsidP="008A253E">
            <w:pPr>
              <w:rPr>
                <w:color w:val="000000"/>
              </w:rPr>
            </w:pPr>
            <w:r w:rsidRPr="008D35B4">
              <w:rPr>
                <w:color w:val="000000"/>
                <w:sz w:val="22"/>
                <w:szCs w:val="22"/>
              </w:rPr>
              <w:t>9</w:t>
            </w:r>
          </w:p>
        </w:tc>
        <w:tc>
          <w:tcPr>
            <w:tcW w:w="3488" w:type="dxa"/>
            <w:tcBorders>
              <w:top w:val="nil"/>
              <w:left w:val="nil"/>
              <w:bottom w:val="single" w:sz="4" w:space="0" w:color="auto"/>
              <w:right w:val="single" w:sz="4" w:space="0" w:color="auto"/>
            </w:tcBorders>
            <w:shd w:val="clear" w:color="auto" w:fill="auto"/>
            <w:vAlign w:val="center"/>
            <w:hideMark/>
          </w:tcPr>
          <w:p w:rsidR="00F07E05" w:rsidRPr="008D35B4" w:rsidRDefault="00F07E05" w:rsidP="008A253E">
            <w:pPr>
              <w:rPr>
                <w:color w:val="000000"/>
              </w:rPr>
            </w:pPr>
            <w:r w:rsidRPr="008D35B4">
              <w:rPr>
                <w:color w:val="000000"/>
                <w:sz w:val="22"/>
                <w:szCs w:val="22"/>
              </w:rPr>
              <w:t>Сумма комиссии оператора (стр. 3 +7)*8)</w:t>
            </w:r>
          </w:p>
        </w:tc>
        <w:tc>
          <w:tcPr>
            <w:tcW w:w="1494" w:type="dxa"/>
            <w:tcBorders>
              <w:top w:val="nil"/>
              <w:left w:val="nil"/>
              <w:bottom w:val="single" w:sz="4" w:space="0" w:color="auto"/>
              <w:right w:val="single" w:sz="4" w:space="0" w:color="auto"/>
            </w:tcBorders>
            <w:shd w:val="clear" w:color="auto" w:fill="auto"/>
            <w:vAlign w:val="center"/>
            <w:hideMark/>
          </w:tcPr>
          <w:p w:rsidR="00F07E05" w:rsidRPr="008D35B4" w:rsidRDefault="00F07E05" w:rsidP="008A253E">
            <w:pPr>
              <w:jc w:val="center"/>
              <w:rPr>
                <w:color w:val="000000"/>
              </w:rPr>
            </w:pPr>
            <w:r w:rsidRPr="008D35B4">
              <w:rPr>
                <w:color w:val="000000"/>
                <w:sz w:val="22"/>
                <w:szCs w:val="22"/>
              </w:rPr>
              <w:t>тыс. руб.</w:t>
            </w:r>
          </w:p>
        </w:tc>
        <w:tc>
          <w:tcPr>
            <w:tcW w:w="1435" w:type="dxa"/>
            <w:tcBorders>
              <w:top w:val="nil"/>
              <w:left w:val="single" w:sz="4" w:space="0" w:color="auto"/>
              <w:bottom w:val="single" w:sz="4" w:space="0" w:color="auto"/>
              <w:right w:val="single" w:sz="4" w:space="0" w:color="auto"/>
            </w:tcBorders>
            <w:shd w:val="clear" w:color="auto" w:fill="auto"/>
            <w:noWrap/>
            <w:vAlign w:val="center"/>
            <w:hideMark/>
          </w:tcPr>
          <w:p w:rsidR="00F07E05" w:rsidRPr="001429B2" w:rsidRDefault="00F07E05" w:rsidP="008A253E">
            <w:pPr>
              <w:jc w:val="center"/>
            </w:pPr>
            <w:r>
              <w:t>129,6</w:t>
            </w:r>
            <w:r w:rsidRPr="001429B2">
              <w:t xml:space="preserve">  </w:t>
            </w:r>
          </w:p>
        </w:tc>
        <w:tc>
          <w:tcPr>
            <w:tcW w:w="1435" w:type="dxa"/>
            <w:tcBorders>
              <w:top w:val="nil"/>
              <w:left w:val="nil"/>
              <w:bottom w:val="single" w:sz="4" w:space="0" w:color="auto"/>
              <w:right w:val="single" w:sz="4" w:space="0" w:color="auto"/>
            </w:tcBorders>
            <w:shd w:val="clear" w:color="auto" w:fill="auto"/>
            <w:noWrap/>
            <w:vAlign w:val="center"/>
            <w:hideMark/>
          </w:tcPr>
          <w:p w:rsidR="00F07E05" w:rsidRPr="001429B2" w:rsidRDefault="00F07E05" w:rsidP="008A253E">
            <w:pPr>
              <w:jc w:val="center"/>
            </w:pPr>
            <w:r>
              <w:t>130,9</w:t>
            </w:r>
            <w:r w:rsidRPr="001429B2">
              <w:t xml:space="preserve">  </w:t>
            </w:r>
          </w:p>
        </w:tc>
        <w:tc>
          <w:tcPr>
            <w:tcW w:w="1435" w:type="dxa"/>
            <w:tcBorders>
              <w:top w:val="nil"/>
              <w:left w:val="nil"/>
              <w:bottom w:val="single" w:sz="4" w:space="0" w:color="auto"/>
              <w:right w:val="single" w:sz="4" w:space="0" w:color="auto"/>
            </w:tcBorders>
            <w:shd w:val="clear" w:color="auto" w:fill="auto"/>
            <w:noWrap/>
            <w:vAlign w:val="center"/>
          </w:tcPr>
          <w:p w:rsidR="00F07E05" w:rsidRPr="001429B2" w:rsidRDefault="00F07E05" w:rsidP="008A253E">
            <w:pPr>
              <w:jc w:val="center"/>
            </w:pPr>
            <w:r>
              <w:t>133,9</w:t>
            </w:r>
            <w:r w:rsidRPr="001429B2">
              <w:t xml:space="preserve">  </w:t>
            </w:r>
          </w:p>
        </w:tc>
      </w:tr>
      <w:tr w:rsidR="00F07E05" w:rsidRPr="008D35B4" w:rsidTr="008A253E">
        <w:trPr>
          <w:trHeight w:val="300"/>
        </w:trPr>
        <w:tc>
          <w:tcPr>
            <w:tcW w:w="548" w:type="dxa"/>
            <w:tcBorders>
              <w:top w:val="nil"/>
              <w:left w:val="single" w:sz="4" w:space="0" w:color="auto"/>
              <w:bottom w:val="single" w:sz="4" w:space="0" w:color="auto"/>
              <w:right w:val="single" w:sz="4" w:space="0" w:color="auto"/>
            </w:tcBorders>
            <w:shd w:val="clear" w:color="auto" w:fill="auto"/>
            <w:noWrap/>
            <w:vAlign w:val="center"/>
            <w:hideMark/>
          </w:tcPr>
          <w:p w:rsidR="00F07E05" w:rsidRPr="008D35B4" w:rsidRDefault="00F07E05" w:rsidP="008A253E">
            <w:pPr>
              <w:rPr>
                <w:b/>
                <w:bCs/>
                <w:color w:val="000000"/>
              </w:rPr>
            </w:pPr>
            <w:r w:rsidRPr="008D35B4">
              <w:rPr>
                <w:b/>
                <w:bCs/>
                <w:color w:val="000000"/>
                <w:sz w:val="22"/>
                <w:szCs w:val="22"/>
              </w:rPr>
              <w:t>10</w:t>
            </w:r>
          </w:p>
        </w:tc>
        <w:tc>
          <w:tcPr>
            <w:tcW w:w="3488" w:type="dxa"/>
            <w:tcBorders>
              <w:top w:val="nil"/>
              <w:left w:val="nil"/>
              <w:bottom w:val="single" w:sz="4" w:space="0" w:color="auto"/>
              <w:right w:val="single" w:sz="4" w:space="0" w:color="auto"/>
            </w:tcBorders>
            <w:shd w:val="clear" w:color="auto" w:fill="auto"/>
            <w:vAlign w:val="center"/>
            <w:hideMark/>
          </w:tcPr>
          <w:p w:rsidR="00F07E05" w:rsidRPr="008D35B4" w:rsidRDefault="00F07E05" w:rsidP="008A253E">
            <w:pPr>
              <w:rPr>
                <w:b/>
                <w:bCs/>
                <w:color w:val="000000"/>
              </w:rPr>
            </w:pPr>
            <w:r w:rsidRPr="008D35B4">
              <w:rPr>
                <w:b/>
                <w:bCs/>
                <w:color w:val="000000"/>
                <w:sz w:val="22"/>
                <w:szCs w:val="22"/>
              </w:rPr>
              <w:t>ИТОГО ПРОГНОЗ (стр.3+7-9)</w:t>
            </w:r>
          </w:p>
        </w:tc>
        <w:tc>
          <w:tcPr>
            <w:tcW w:w="1494" w:type="dxa"/>
            <w:tcBorders>
              <w:top w:val="nil"/>
              <w:left w:val="nil"/>
              <w:bottom w:val="single" w:sz="4" w:space="0" w:color="auto"/>
              <w:right w:val="single" w:sz="4" w:space="0" w:color="auto"/>
            </w:tcBorders>
            <w:shd w:val="clear" w:color="auto" w:fill="auto"/>
            <w:vAlign w:val="center"/>
            <w:hideMark/>
          </w:tcPr>
          <w:p w:rsidR="00F07E05" w:rsidRPr="008D35B4" w:rsidRDefault="00F07E05" w:rsidP="008A253E">
            <w:pPr>
              <w:jc w:val="center"/>
              <w:rPr>
                <w:b/>
                <w:bCs/>
                <w:color w:val="000000"/>
              </w:rPr>
            </w:pPr>
            <w:r w:rsidRPr="008D35B4">
              <w:rPr>
                <w:b/>
                <w:bCs/>
                <w:color w:val="000000"/>
                <w:sz w:val="22"/>
                <w:szCs w:val="22"/>
              </w:rPr>
              <w:t>тыс. руб.</w:t>
            </w:r>
          </w:p>
        </w:tc>
        <w:tc>
          <w:tcPr>
            <w:tcW w:w="1435" w:type="dxa"/>
            <w:tcBorders>
              <w:top w:val="nil"/>
              <w:left w:val="single" w:sz="4" w:space="0" w:color="auto"/>
              <w:bottom w:val="single" w:sz="4" w:space="0" w:color="auto"/>
              <w:right w:val="single" w:sz="4" w:space="0" w:color="auto"/>
            </w:tcBorders>
            <w:shd w:val="clear" w:color="auto" w:fill="auto"/>
            <w:noWrap/>
            <w:vAlign w:val="center"/>
            <w:hideMark/>
          </w:tcPr>
          <w:p w:rsidR="00F07E05" w:rsidRPr="001429B2" w:rsidRDefault="00F07E05" w:rsidP="008A253E">
            <w:pPr>
              <w:jc w:val="center"/>
              <w:rPr>
                <w:b/>
                <w:bCs/>
              </w:rPr>
            </w:pPr>
            <w:r w:rsidRPr="001429B2">
              <w:rPr>
                <w:b/>
                <w:bCs/>
              </w:rPr>
              <w:t>2</w:t>
            </w:r>
            <w:r>
              <w:rPr>
                <w:b/>
                <w:bCs/>
              </w:rPr>
              <w:t> </w:t>
            </w:r>
            <w:r w:rsidRPr="001429B2">
              <w:rPr>
                <w:b/>
                <w:bCs/>
              </w:rPr>
              <w:t>0</w:t>
            </w:r>
            <w:r>
              <w:rPr>
                <w:b/>
                <w:bCs/>
              </w:rPr>
              <w:t>30,8</w:t>
            </w:r>
            <w:r w:rsidRPr="001429B2">
              <w:rPr>
                <w:b/>
                <w:bCs/>
              </w:rPr>
              <w:t xml:space="preserve">  </w:t>
            </w:r>
          </w:p>
        </w:tc>
        <w:tc>
          <w:tcPr>
            <w:tcW w:w="1435" w:type="dxa"/>
            <w:tcBorders>
              <w:top w:val="nil"/>
              <w:left w:val="nil"/>
              <w:bottom w:val="single" w:sz="4" w:space="0" w:color="auto"/>
              <w:right w:val="single" w:sz="4" w:space="0" w:color="auto"/>
            </w:tcBorders>
            <w:shd w:val="clear" w:color="auto" w:fill="auto"/>
            <w:noWrap/>
            <w:vAlign w:val="center"/>
            <w:hideMark/>
          </w:tcPr>
          <w:p w:rsidR="00F07E05" w:rsidRPr="001429B2" w:rsidRDefault="00F07E05" w:rsidP="008A253E">
            <w:pPr>
              <w:jc w:val="center"/>
              <w:rPr>
                <w:b/>
                <w:bCs/>
              </w:rPr>
            </w:pPr>
            <w:r>
              <w:rPr>
                <w:b/>
                <w:bCs/>
              </w:rPr>
              <w:t>2 050,8</w:t>
            </w:r>
            <w:r w:rsidRPr="001429B2">
              <w:rPr>
                <w:b/>
                <w:bCs/>
              </w:rPr>
              <w:t xml:space="preserve"> </w:t>
            </w:r>
          </w:p>
        </w:tc>
        <w:tc>
          <w:tcPr>
            <w:tcW w:w="1435" w:type="dxa"/>
            <w:tcBorders>
              <w:top w:val="nil"/>
              <w:left w:val="nil"/>
              <w:bottom w:val="single" w:sz="4" w:space="0" w:color="auto"/>
              <w:right w:val="single" w:sz="4" w:space="0" w:color="auto"/>
            </w:tcBorders>
            <w:shd w:val="clear" w:color="auto" w:fill="auto"/>
            <w:noWrap/>
            <w:vAlign w:val="center"/>
          </w:tcPr>
          <w:p w:rsidR="00F07E05" w:rsidRPr="001429B2" w:rsidRDefault="00F07E05" w:rsidP="008A253E">
            <w:pPr>
              <w:jc w:val="center"/>
              <w:rPr>
                <w:b/>
                <w:bCs/>
              </w:rPr>
            </w:pPr>
            <w:r>
              <w:rPr>
                <w:b/>
                <w:bCs/>
              </w:rPr>
              <w:t>2 096,7</w:t>
            </w:r>
            <w:r w:rsidRPr="001429B2">
              <w:rPr>
                <w:b/>
                <w:bCs/>
              </w:rPr>
              <w:t xml:space="preserve">  </w:t>
            </w:r>
          </w:p>
        </w:tc>
      </w:tr>
      <w:tr w:rsidR="00F07E05" w:rsidRPr="008D35B4" w:rsidTr="008A253E">
        <w:trPr>
          <w:trHeight w:val="585"/>
        </w:trPr>
        <w:tc>
          <w:tcPr>
            <w:tcW w:w="548" w:type="dxa"/>
            <w:tcBorders>
              <w:top w:val="nil"/>
              <w:left w:val="single" w:sz="4" w:space="0" w:color="auto"/>
              <w:bottom w:val="single" w:sz="4" w:space="0" w:color="auto"/>
              <w:right w:val="single" w:sz="4" w:space="0" w:color="auto"/>
            </w:tcBorders>
            <w:shd w:val="clear" w:color="auto" w:fill="auto"/>
            <w:noWrap/>
            <w:vAlign w:val="center"/>
            <w:hideMark/>
          </w:tcPr>
          <w:p w:rsidR="00F07E05" w:rsidRPr="008D35B4" w:rsidRDefault="00F07E05" w:rsidP="008A253E">
            <w:pPr>
              <w:rPr>
                <w:b/>
                <w:bCs/>
                <w:color w:val="000000"/>
              </w:rPr>
            </w:pPr>
            <w:r w:rsidRPr="008D35B4">
              <w:rPr>
                <w:b/>
                <w:bCs/>
                <w:color w:val="000000"/>
                <w:sz w:val="22"/>
                <w:szCs w:val="22"/>
              </w:rPr>
              <w:t>11</w:t>
            </w:r>
          </w:p>
        </w:tc>
        <w:tc>
          <w:tcPr>
            <w:tcW w:w="3488" w:type="dxa"/>
            <w:tcBorders>
              <w:top w:val="nil"/>
              <w:left w:val="nil"/>
              <w:bottom w:val="single" w:sz="4" w:space="0" w:color="auto"/>
              <w:right w:val="single" w:sz="4" w:space="0" w:color="auto"/>
            </w:tcBorders>
            <w:shd w:val="clear" w:color="auto" w:fill="auto"/>
            <w:vAlign w:val="center"/>
            <w:hideMark/>
          </w:tcPr>
          <w:p w:rsidR="00F07E05" w:rsidRPr="008D35B4" w:rsidRDefault="00F07E05" w:rsidP="008A253E">
            <w:pPr>
              <w:rPr>
                <w:b/>
                <w:bCs/>
                <w:color w:val="000000"/>
              </w:rPr>
            </w:pPr>
            <w:r w:rsidRPr="008D35B4">
              <w:rPr>
                <w:b/>
                <w:bCs/>
                <w:color w:val="000000"/>
                <w:sz w:val="22"/>
                <w:szCs w:val="22"/>
              </w:rPr>
              <w:t>Доходы от пред</w:t>
            </w:r>
            <w:r>
              <w:rPr>
                <w:b/>
                <w:bCs/>
                <w:color w:val="000000"/>
                <w:sz w:val="22"/>
                <w:szCs w:val="22"/>
              </w:rPr>
              <w:t>о</w:t>
            </w:r>
            <w:r w:rsidRPr="008D35B4">
              <w:rPr>
                <w:b/>
                <w:bCs/>
                <w:color w:val="000000"/>
                <w:sz w:val="22"/>
                <w:szCs w:val="22"/>
              </w:rPr>
              <w:t>ставления льготного проезда</w:t>
            </w:r>
          </w:p>
        </w:tc>
        <w:tc>
          <w:tcPr>
            <w:tcW w:w="1494" w:type="dxa"/>
            <w:tcBorders>
              <w:top w:val="nil"/>
              <w:left w:val="nil"/>
              <w:bottom w:val="single" w:sz="4" w:space="0" w:color="auto"/>
              <w:right w:val="single" w:sz="4" w:space="0" w:color="auto"/>
            </w:tcBorders>
            <w:shd w:val="clear" w:color="auto" w:fill="auto"/>
            <w:vAlign w:val="center"/>
            <w:hideMark/>
          </w:tcPr>
          <w:p w:rsidR="00F07E05" w:rsidRPr="008D35B4" w:rsidRDefault="00F07E05" w:rsidP="008A253E">
            <w:pPr>
              <w:jc w:val="center"/>
              <w:rPr>
                <w:b/>
                <w:bCs/>
                <w:color w:val="000000"/>
              </w:rPr>
            </w:pPr>
            <w:r w:rsidRPr="008D35B4">
              <w:rPr>
                <w:b/>
                <w:bCs/>
                <w:color w:val="000000"/>
                <w:sz w:val="22"/>
                <w:szCs w:val="22"/>
              </w:rPr>
              <w:t>тыс. руб.</w:t>
            </w:r>
          </w:p>
        </w:tc>
        <w:tc>
          <w:tcPr>
            <w:tcW w:w="1435" w:type="dxa"/>
            <w:tcBorders>
              <w:top w:val="nil"/>
              <w:left w:val="single" w:sz="4" w:space="0" w:color="auto"/>
              <w:bottom w:val="single" w:sz="4" w:space="0" w:color="auto"/>
              <w:right w:val="single" w:sz="4" w:space="0" w:color="auto"/>
            </w:tcBorders>
            <w:shd w:val="clear" w:color="auto" w:fill="auto"/>
            <w:noWrap/>
            <w:vAlign w:val="center"/>
            <w:hideMark/>
          </w:tcPr>
          <w:p w:rsidR="00F07E05" w:rsidRPr="001429B2" w:rsidRDefault="00F07E05" w:rsidP="008A253E">
            <w:pPr>
              <w:jc w:val="center"/>
              <w:rPr>
                <w:b/>
                <w:bCs/>
              </w:rPr>
            </w:pPr>
            <w:r>
              <w:rPr>
                <w:b/>
                <w:bCs/>
              </w:rPr>
              <w:t>274,8</w:t>
            </w:r>
            <w:r w:rsidRPr="001429B2">
              <w:rPr>
                <w:b/>
                <w:bCs/>
              </w:rPr>
              <w:t xml:space="preserve">  </w:t>
            </w:r>
          </w:p>
        </w:tc>
        <w:tc>
          <w:tcPr>
            <w:tcW w:w="1435" w:type="dxa"/>
            <w:tcBorders>
              <w:top w:val="nil"/>
              <w:left w:val="nil"/>
              <w:bottom w:val="single" w:sz="4" w:space="0" w:color="auto"/>
              <w:right w:val="single" w:sz="4" w:space="0" w:color="auto"/>
            </w:tcBorders>
            <w:shd w:val="clear" w:color="auto" w:fill="auto"/>
            <w:noWrap/>
            <w:vAlign w:val="center"/>
            <w:hideMark/>
          </w:tcPr>
          <w:p w:rsidR="00F07E05" w:rsidRPr="001429B2" w:rsidRDefault="00F07E05" w:rsidP="008A253E">
            <w:pPr>
              <w:jc w:val="center"/>
              <w:rPr>
                <w:b/>
                <w:bCs/>
              </w:rPr>
            </w:pPr>
            <w:r>
              <w:rPr>
                <w:b/>
                <w:bCs/>
              </w:rPr>
              <w:t>274,8</w:t>
            </w:r>
            <w:r w:rsidRPr="001429B2">
              <w:rPr>
                <w:b/>
                <w:bCs/>
              </w:rPr>
              <w:t xml:space="preserve">  </w:t>
            </w:r>
          </w:p>
        </w:tc>
        <w:tc>
          <w:tcPr>
            <w:tcW w:w="1435" w:type="dxa"/>
            <w:tcBorders>
              <w:top w:val="nil"/>
              <w:left w:val="nil"/>
              <w:bottom w:val="single" w:sz="4" w:space="0" w:color="auto"/>
              <w:right w:val="single" w:sz="4" w:space="0" w:color="auto"/>
            </w:tcBorders>
            <w:shd w:val="clear" w:color="auto" w:fill="auto"/>
            <w:noWrap/>
            <w:vAlign w:val="center"/>
          </w:tcPr>
          <w:p w:rsidR="00F07E05" w:rsidRPr="001429B2" w:rsidRDefault="00F07E05" w:rsidP="008A253E">
            <w:pPr>
              <w:jc w:val="center"/>
              <w:rPr>
                <w:b/>
                <w:bCs/>
              </w:rPr>
            </w:pPr>
            <w:r>
              <w:rPr>
                <w:b/>
                <w:bCs/>
              </w:rPr>
              <w:t>274,8</w:t>
            </w:r>
            <w:r w:rsidRPr="001429B2">
              <w:rPr>
                <w:b/>
                <w:bCs/>
              </w:rPr>
              <w:t xml:space="preserve">  </w:t>
            </w:r>
          </w:p>
        </w:tc>
      </w:tr>
      <w:tr w:rsidR="00F07E05" w:rsidRPr="008D35B4" w:rsidTr="008A253E">
        <w:trPr>
          <w:trHeight w:val="585"/>
        </w:trPr>
        <w:tc>
          <w:tcPr>
            <w:tcW w:w="548" w:type="dxa"/>
            <w:tcBorders>
              <w:top w:val="nil"/>
              <w:left w:val="single" w:sz="4" w:space="0" w:color="auto"/>
              <w:bottom w:val="single" w:sz="4" w:space="0" w:color="auto"/>
              <w:right w:val="single" w:sz="4" w:space="0" w:color="auto"/>
            </w:tcBorders>
            <w:shd w:val="clear" w:color="auto" w:fill="auto"/>
            <w:noWrap/>
            <w:vAlign w:val="center"/>
          </w:tcPr>
          <w:p w:rsidR="00F07E05" w:rsidRPr="008D35B4" w:rsidRDefault="00F07E05" w:rsidP="008A253E">
            <w:pPr>
              <w:rPr>
                <w:b/>
                <w:bCs/>
                <w:color w:val="000000"/>
              </w:rPr>
            </w:pPr>
            <w:r w:rsidRPr="009C62AA">
              <w:rPr>
                <w:color w:val="000000"/>
                <w:sz w:val="22"/>
                <w:szCs w:val="22"/>
                <w:lang w:val="en-US"/>
              </w:rPr>
              <w:t>12</w:t>
            </w:r>
          </w:p>
        </w:tc>
        <w:tc>
          <w:tcPr>
            <w:tcW w:w="3488" w:type="dxa"/>
            <w:tcBorders>
              <w:top w:val="nil"/>
              <w:left w:val="nil"/>
              <w:bottom w:val="single" w:sz="4" w:space="0" w:color="auto"/>
              <w:right w:val="single" w:sz="4" w:space="0" w:color="auto"/>
            </w:tcBorders>
            <w:shd w:val="clear" w:color="auto" w:fill="auto"/>
            <w:vAlign w:val="center"/>
          </w:tcPr>
          <w:p w:rsidR="00F07E05" w:rsidRPr="008D35B4" w:rsidRDefault="00F07E05" w:rsidP="008A253E">
            <w:pPr>
              <w:rPr>
                <w:b/>
                <w:bCs/>
                <w:color w:val="000000"/>
              </w:rPr>
            </w:pPr>
            <w:r>
              <w:rPr>
                <w:color w:val="000000"/>
                <w:sz w:val="22"/>
                <w:szCs w:val="22"/>
              </w:rPr>
              <w:t>К</w:t>
            </w:r>
            <w:r w:rsidRPr="00C209CD">
              <w:rPr>
                <w:color w:val="000000"/>
                <w:sz w:val="22"/>
                <w:szCs w:val="22"/>
              </w:rPr>
              <w:t>оэффициент корректировки снижения пассажиропотока из-за профилактических мер в связи с новой коронавирусной инфекцией (COVID-19) и безбилетных пассажиров</w:t>
            </w:r>
          </w:p>
        </w:tc>
        <w:tc>
          <w:tcPr>
            <w:tcW w:w="1494" w:type="dxa"/>
            <w:tcBorders>
              <w:top w:val="nil"/>
              <w:left w:val="nil"/>
              <w:bottom w:val="single" w:sz="4" w:space="0" w:color="auto"/>
              <w:right w:val="single" w:sz="4" w:space="0" w:color="auto"/>
            </w:tcBorders>
            <w:shd w:val="clear" w:color="auto" w:fill="auto"/>
            <w:vAlign w:val="center"/>
          </w:tcPr>
          <w:p w:rsidR="00F07E05" w:rsidRPr="008D35B4" w:rsidRDefault="00F07E05" w:rsidP="008A253E">
            <w:pPr>
              <w:jc w:val="center"/>
              <w:rPr>
                <w:b/>
                <w:bCs/>
                <w:color w:val="000000"/>
              </w:rPr>
            </w:pPr>
            <w:r>
              <w:rPr>
                <w:color w:val="000000"/>
                <w:sz w:val="22"/>
                <w:szCs w:val="22"/>
              </w:rPr>
              <w:t>Коэфф.</w:t>
            </w:r>
          </w:p>
        </w:tc>
        <w:tc>
          <w:tcPr>
            <w:tcW w:w="1435" w:type="dxa"/>
            <w:tcBorders>
              <w:top w:val="nil"/>
              <w:left w:val="single" w:sz="4" w:space="0" w:color="auto"/>
              <w:bottom w:val="single" w:sz="4" w:space="0" w:color="auto"/>
              <w:right w:val="single" w:sz="4" w:space="0" w:color="auto"/>
            </w:tcBorders>
            <w:shd w:val="clear" w:color="auto" w:fill="auto"/>
            <w:noWrap/>
            <w:vAlign w:val="center"/>
          </w:tcPr>
          <w:p w:rsidR="00F07E05" w:rsidRPr="008D35B4" w:rsidRDefault="00F07E05" w:rsidP="008A253E">
            <w:pPr>
              <w:jc w:val="center"/>
              <w:rPr>
                <w:b/>
                <w:bCs/>
                <w:color w:val="000000"/>
              </w:rPr>
            </w:pPr>
            <w:r>
              <w:t>1</w:t>
            </w:r>
            <w:r w:rsidRPr="00013D9D">
              <w:t>,</w:t>
            </w:r>
            <w:r>
              <w:t>0</w:t>
            </w:r>
          </w:p>
        </w:tc>
        <w:tc>
          <w:tcPr>
            <w:tcW w:w="1435" w:type="dxa"/>
            <w:tcBorders>
              <w:top w:val="nil"/>
              <w:left w:val="nil"/>
              <w:bottom w:val="single" w:sz="4" w:space="0" w:color="auto"/>
              <w:right w:val="single" w:sz="4" w:space="0" w:color="auto"/>
            </w:tcBorders>
            <w:shd w:val="clear" w:color="auto" w:fill="auto"/>
            <w:noWrap/>
            <w:vAlign w:val="center"/>
          </w:tcPr>
          <w:p w:rsidR="00F07E05" w:rsidRPr="008D35B4" w:rsidRDefault="00F07E05" w:rsidP="008A253E">
            <w:pPr>
              <w:jc w:val="center"/>
              <w:rPr>
                <w:b/>
                <w:bCs/>
                <w:color w:val="000000"/>
              </w:rPr>
            </w:pPr>
            <w:r>
              <w:t>1,0</w:t>
            </w:r>
          </w:p>
        </w:tc>
        <w:tc>
          <w:tcPr>
            <w:tcW w:w="1435" w:type="dxa"/>
            <w:tcBorders>
              <w:top w:val="nil"/>
              <w:left w:val="nil"/>
              <w:bottom w:val="single" w:sz="4" w:space="0" w:color="auto"/>
              <w:right w:val="single" w:sz="4" w:space="0" w:color="auto"/>
            </w:tcBorders>
            <w:shd w:val="clear" w:color="auto" w:fill="auto"/>
            <w:noWrap/>
            <w:vAlign w:val="center"/>
          </w:tcPr>
          <w:p w:rsidR="00F07E05" w:rsidRPr="008D35B4" w:rsidRDefault="00F07E05" w:rsidP="008A253E">
            <w:pPr>
              <w:jc w:val="center"/>
              <w:rPr>
                <w:b/>
                <w:bCs/>
                <w:color w:val="000000"/>
              </w:rPr>
            </w:pPr>
            <w:r w:rsidRPr="00013D9D">
              <w:t>1,0</w:t>
            </w:r>
          </w:p>
        </w:tc>
      </w:tr>
      <w:tr w:rsidR="00F07E05" w:rsidRPr="001429B2" w:rsidTr="008A253E">
        <w:trPr>
          <w:trHeight w:val="300"/>
        </w:trPr>
        <w:tc>
          <w:tcPr>
            <w:tcW w:w="548" w:type="dxa"/>
            <w:tcBorders>
              <w:top w:val="nil"/>
              <w:left w:val="single" w:sz="4" w:space="0" w:color="auto"/>
              <w:bottom w:val="single" w:sz="4" w:space="0" w:color="auto"/>
              <w:right w:val="single" w:sz="4" w:space="0" w:color="auto"/>
            </w:tcBorders>
            <w:shd w:val="clear" w:color="auto" w:fill="auto"/>
            <w:noWrap/>
            <w:vAlign w:val="center"/>
            <w:hideMark/>
          </w:tcPr>
          <w:p w:rsidR="00F07E05" w:rsidRPr="001429B2" w:rsidRDefault="00F07E05" w:rsidP="008A253E">
            <w:pPr>
              <w:rPr>
                <w:rFonts w:ascii="Calibri" w:hAnsi="Calibri" w:cs="Calibri"/>
              </w:rPr>
            </w:pPr>
            <w:r w:rsidRPr="001429B2">
              <w:rPr>
                <w:rFonts w:ascii="Calibri" w:hAnsi="Calibri" w:cs="Calibri"/>
                <w:sz w:val="22"/>
                <w:szCs w:val="22"/>
              </w:rPr>
              <w:t>13</w:t>
            </w:r>
          </w:p>
        </w:tc>
        <w:tc>
          <w:tcPr>
            <w:tcW w:w="3488" w:type="dxa"/>
            <w:tcBorders>
              <w:top w:val="nil"/>
              <w:left w:val="nil"/>
              <w:bottom w:val="single" w:sz="4" w:space="0" w:color="auto"/>
              <w:right w:val="single" w:sz="4" w:space="0" w:color="auto"/>
            </w:tcBorders>
            <w:shd w:val="clear" w:color="auto" w:fill="auto"/>
            <w:vAlign w:val="center"/>
            <w:hideMark/>
          </w:tcPr>
          <w:p w:rsidR="00F07E05" w:rsidRPr="001429B2" w:rsidRDefault="00F07E05" w:rsidP="008A253E">
            <w:pPr>
              <w:rPr>
                <w:b/>
                <w:bCs/>
              </w:rPr>
            </w:pPr>
            <w:r w:rsidRPr="001429B2">
              <w:rPr>
                <w:b/>
                <w:bCs/>
                <w:sz w:val="22"/>
                <w:szCs w:val="22"/>
              </w:rPr>
              <w:t>ВСЕГО ПРОГНОЗ (10+11)*12</w:t>
            </w:r>
          </w:p>
        </w:tc>
        <w:tc>
          <w:tcPr>
            <w:tcW w:w="1494" w:type="dxa"/>
            <w:tcBorders>
              <w:top w:val="nil"/>
              <w:left w:val="nil"/>
              <w:bottom w:val="single" w:sz="4" w:space="0" w:color="auto"/>
              <w:right w:val="single" w:sz="4" w:space="0" w:color="auto"/>
            </w:tcBorders>
            <w:shd w:val="clear" w:color="auto" w:fill="auto"/>
            <w:vAlign w:val="center"/>
            <w:hideMark/>
          </w:tcPr>
          <w:p w:rsidR="00F07E05" w:rsidRPr="001429B2" w:rsidRDefault="00F07E05" w:rsidP="008A253E">
            <w:pPr>
              <w:jc w:val="center"/>
              <w:rPr>
                <w:b/>
                <w:bCs/>
              </w:rPr>
            </w:pPr>
            <w:r w:rsidRPr="001429B2">
              <w:rPr>
                <w:b/>
                <w:bCs/>
                <w:sz w:val="22"/>
                <w:szCs w:val="22"/>
              </w:rPr>
              <w:t>тыс. руб.</w:t>
            </w:r>
          </w:p>
        </w:tc>
        <w:tc>
          <w:tcPr>
            <w:tcW w:w="1435" w:type="dxa"/>
            <w:tcBorders>
              <w:top w:val="nil"/>
              <w:left w:val="single" w:sz="4" w:space="0" w:color="auto"/>
              <w:bottom w:val="single" w:sz="4" w:space="0" w:color="auto"/>
              <w:right w:val="single" w:sz="4" w:space="0" w:color="auto"/>
            </w:tcBorders>
            <w:shd w:val="clear" w:color="auto" w:fill="auto"/>
            <w:noWrap/>
            <w:vAlign w:val="center"/>
            <w:hideMark/>
          </w:tcPr>
          <w:p w:rsidR="00F07E05" w:rsidRPr="001429B2" w:rsidRDefault="00F07E05" w:rsidP="008A253E">
            <w:pPr>
              <w:jc w:val="center"/>
              <w:rPr>
                <w:b/>
                <w:bCs/>
                <w:lang w:val="en-US"/>
              </w:rPr>
            </w:pPr>
            <w:r>
              <w:rPr>
                <w:b/>
                <w:bCs/>
              </w:rPr>
              <w:t>2 305,6</w:t>
            </w:r>
            <w:r w:rsidRPr="001429B2">
              <w:rPr>
                <w:b/>
                <w:bCs/>
              </w:rPr>
              <w:t xml:space="preserve">  </w:t>
            </w:r>
          </w:p>
        </w:tc>
        <w:tc>
          <w:tcPr>
            <w:tcW w:w="1435" w:type="dxa"/>
            <w:tcBorders>
              <w:top w:val="nil"/>
              <w:left w:val="nil"/>
              <w:bottom w:val="single" w:sz="4" w:space="0" w:color="auto"/>
              <w:right w:val="single" w:sz="4" w:space="0" w:color="auto"/>
            </w:tcBorders>
            <w:shd w:val="clear" w:color="auto" w:fill="auto"/>
            <w:noWrap/>
            <w:vAlign w:val="center"/>
            <w:hideMark/>
          </w:tcPr>
          <w:p w:rsidR="00F07E05" w:rsidRPr="001429B2" w:rsidRDefault="00F07E05" w:rsidP="008A253E">
            <w:pPr>
              <w:jc w:val="center"/>
              <w:rPr>
                <w:b/>
                <w:bCs/>
                <w:lang w:val="en-US"/>
              </w:rPr>
            </w:pPr>
            <w:r>
              <w:rPr>
                <w:b/>
                <w:bCs/>
              </w:rPr>
              <w:t>2 325,6</w:t>
            </w:r>
            <w:r w:rsidRPr="001429B2">
              <w:rPr>
                <w:b/>
                <w:bCs/>
              </w:rPr>
              <w:t xml:space="preserve"> </w:t>
            </w:r>
          </w:p>
        </w:tc>
        <w:tc>
          <w:tcPr>
            <w:tcW w:w="1435" w:type="dxa"/>
            <w:tcBorders>
              <w:top w:val="nil"/>
              <w:left w:val="nil"/>
              <w:bottom w:val="single" w:sz="4" w:space="0" w:color="auto"/>
              <w:right w:val="single" w:sz="4" w:space="0" w:color="auto"/>
            </w:tcBorders>
            <w:shd w:val="clear" w:color="auto" w:fill="auto"/>
            <w:noWrap/>
            <w:vAlign w:val="center"/>
          </w:tcPr>
          <w:p w:rsidR="00F07E05" w:rsidRPr="001429B2" w:rsidRDefault="00F07E05" w:rsidP="008A253E">
            <w:pPr>
              <w:jc w:val="center"/>
              <w:rPr>
                <w:b/>
                <w:bCs/>
              </w:rPr>
            </w:pPr>
            <w:r w:rsidRPr="001429B2">
              <w:rPr>
                <w:b/>
                <w:bCs/>
              </w:rPr>
              <w:t>2</w:t>
            </w:r>
            <w:r>
              <w:rPr>
                <w:b/>
                <w:bCs/>
              </w:rPr>
              <w:t> 371,5</w:t>
            </w:r>
            <w:r w:rsidRPr="001429B2">
              <w:rPr>
                <w:b/>
                <w:bCs/>
              </w:rPr>
              <w:t xml:space="preserve">  </w:t>
            </w:r>
          </w:p>
        </w:tc>
      </w:tr>
    </w:tbl>
    <w:p w:rsidR="00F07E05" w:rsidRDefault="00F07E05" w:rsidP="00F07E05">
      <w:pPr>
        <w:jc w:val="both"/>
        <w:rPr>
          <w:b/>
          <w:sz w:val="28"/>
          <w:szCs w:val="28"/>
        </w:rPr>
      </w:pPr>
    </w:p>
    <w:p w:rsidR="00F07E05" w:rsidRDefault="00F07E05" w:rsidP="00F07E05">
      <w:pPr>
        <w:ind w:right="282"/>
        <w:jc w:val="center"/>
        <w:rPr>
          <w:b/>
          <w:color w:val="000000"/>
          <w:sz w:val="28"/>
          <w:szCs w:val="28"/>
        </w:rPr>
      </w:pPr>
      <w:r w:rsidRPr="000D21D1">
        <w:rPr>
          <w:b/>
          <w:color w:val="000000"/>
          <w:sz w:val="28"/>
          <w:szCs w:val="28"/>
        </w:rPr>
        <w:t xml:space="preserve">Расчеты по маршрутам </w:t>
      </w:r>
    </w:p>
    <w:p w:rsidR="00F07E05" w:rsidRDefault="00F07E05" w:rsidP="00F07E05">
      <w:pPr>
        <w:ind w:right="282"/>
        <w:jc w:val="center"/>
        <w:rPr>
          <w:b/>
          <w:color w:val="000000"/>
          <w:sz w:val="28"/>
          <w:szCs w:val="28"/>
        </w:rPr>
      </w:pPr>
      <w:r w:rsidRPr="000D21D1">
        <w:rPr>
          <w:b/>
          <w:color w:val="000000"/>
          <w:sz w:val="28"/>
          <w:szCs w:val="28"/>
        </w:rPr>
        <w:t>город</w:t>
      </w:r>
      <w:r>
        <w:rPr>
          <w:b/>
          <w:color w:val="000000"/>
          <w:sz w:val="28"/>
          <w:szCs w:val="28"/>
        </w:rPr>
        <w:t>а</w:t>
      </w:r>
      <w:r w:rsidRPr="000D21D1">
        <w:rPr>
          <w:b/>
          <w:color w:val="000000"/>
          <w:sz w:val="28"/>
          <w:szCs w:val="28"/>
        </w:rPr>
        <w:t xml:space="preserve"> Старица, Старицкого района Тверской области</w:t>
      </w:r>
    </w:p>
    <w:p w:rsidR="00F07E05" w:rsidRPr="000D21D1" w:rsidRDefault="00F07E05" w:rsidP="00F07E05">
      <w:pPr>
        <w:ind w:right="282"/>
        <w:jc w:val="center"/>
        <w:rPr>
          <w:b/>
          <w:sz w:val="28"/>
          <w:szCs w:val="28"/>
        </w:rPr>
      </w:pPr>
    </w:p>
    <w:p w:rsidR="00F07E05" w:rsidRPr="00903B23" w:rsidRDefault="00F07E05" w:rsidP="00F07E05">
      <w:pPr>
        <w:autoSpaceDE w:val="0"/>
        <w:autoSpaceDN w:val="0"/>
        <w:adjustRightInd w:val="0"/>
        <w:ind w:firstLine="720"/>
        <w:jc w:val="both"/>
        <w:rPr>
          <w:sz w:val="28"/>
          <w:szCs w:val="28"/>
        </w:rPr>
      </w:pPr>
      <w:r w:rsidRPr="00903B23">
        <w:rPr>
          <w:color w:val="000000"/>
          <w:sz w:val="28"/>
          <w:szCs w:val="28"/>
        </w:rPr>
        <w:t>В соответствии с НИР данный показатель по муниципальным маршрутам регулярных перевозок на территории Тверской области,</w:t>
      </w:r>
      <w:r w:rsidRPr="00903B23">
        <w:rPr>
          <w:sz w:val="28"/>
          <w:szCs w:val="28"/>
        </w:rPr>
        <w:t xml:space="preserve"> </w:t>
      </w:r>
      <w:r w:rsidRPr="00903B23">
        <w:rPr>
          <w:color w:val="000000"/>
          <w:sz w:val="28"/>
          <w:szCs w:val="28"/>
        </w:rPr>
        <w:t>городское поселение город Старица Старицкого муниципального района, Старицкий муниципальный район Тверской области,</w:t>
      </w:r>
      <w:r w:rsidRPr="00903B23">
        <w:rPr>
          <w:color w:val="000000" w:themeColor="text1"/>
          <w:sz w:val="28"/>
          <w:szCs w:val="28"/>
        </w:rPr>
        <w:t xml:space="preserve"> пассажиропоток платных пассажиров </w:t>
      </w:r>
      <w:r w:rsidRPr="00903B23">
        <w:rPr>
          <w:color w:val="000000"/>
          <w:sz w:val="28"/>
          <w:szCs w:val="28"/>
        </w:rPr>
        <w:t xml:space="preserve">на 2021 г. в Старицком районе – 0,04 млн пасс., </w:t>
      </w:r>
      <w:r w:rsidRPr="00903B23">
        <w:rPr>
          <w:color w:val="000000" w:themeColor="text1"/>
          <w:sz w:val="28"/>
          <w:szCs w:val="28"/>
        </w:rPr>
        <w:t xml:space="preserve"> на 2022 г. в </w:t>
      </w:r>
      <w:r w:rsidRPr="00903B23">
        <w:rPr>
          <w:color w:val="000000"/>
          <w:sz w:val="28"/>
          <w:szCs w:val="28"/>
        </w:rPr>
        <w:t>Старицком</w:t>
      </w:r>
      <w:r w:rsidRPr="00903B23">
        <w:rPr>
          <w:color w:val="000000" w:themeColor="text1"/>
          <w:sz w:val="28"/>
          <w:szCs w:val="28"/>
        </w:rPr>
        <w:t xml:space="preserve"> районе – 0,13 млн пасс., на 2023 г., в </w:t>
      </w:r>
      <w:r w:rsidRPr="00903B23">
        <w:rPr>
          <w:color w:val="000000"/>
          <w:sz w:val="28"/>
          <w:szCs w:val="28"/>
        </w:rPr>
        <w:t>Старицком</w:t>
      </w:r>
      <w:r w:rsidRPr="00903B23">
        <w:rPr>
          <w:color w:val="000000" w:themeColor="text1"/>
          <w:sz w:val="28"/>
          <w:szCs w:val="28"/>
        </w:rPr>
        <w:t xml:space="preserve"> районе – 0,13 млн </w:t>
      </w:r>
      <w:r w:rsidRPr="00903B23">
        <w:rPr>
          <w:color w:val="000000"/>
          <w:sz w:val="28"/>
          <w:szCs w:val="28"/>
        </w:rPr>
        <w:t xml:space="preserve">пасс., </w:t>
      </w:r>
      <w:r w:rsidRPr="00903B23">
        <w:rPr>
          <w:color w:val="000000" w:themeColor="text1"/>
          <w:sz w:val="28"/>
          <w:szCs w:val="28"/>
        </w:rPr>
        <w:t xml:space="preserve">на 2024 г. в </w:t>
      </w:r>
      <w:r w:rsidRPr="00903B23">
        <w:rPr>
          <w:color w:val="000000"/>
          <w:sz w:val="28"/>
          <w:szCs w:val="28"/>
        </w:rPr>
        <w:t>Старицком</w:t>
      </w:r>
      <w:r w:rsidRPr="00903B23">
        <w:rPr>
          <w:color w:val="000000" w:themeColor="text1"/>
          <w:sz w:val="28"/>
          <w:szCs w:val="28"/>
        </w:rPr>
        <w:t xml:space="preserve"> районе – 0,13 млн </w:t>
      </w:r>
      <w:r w:rsidRPr="00903B23">
        <w:rPr>
          <w:color w:val="000000"/>
          <w:sz w:val="28"/>
          <w:szCs w:val="28"/>
        </w:rPr>
        <w:t>пасс.</w:t>
      </w:r>
    </w:p>
    <w:p w:rsidR="00F07E05" w:rsidRPr="00903B23" w:rsidRDefault="00F07E05" w:rsidP="00F07E05">
      <w:pPr>
        <w:autoSpaceDE w:val="0"/>
        <w:autoSpaceDN w:val="0"/>
        <w:adjustRightInd w:val="0"/>
        <w:ind w:firstLine="720"/>
        <w:jc w:val="both"/>
        <w:rPr>
          <w:sz w:val="28"/>
          <w:szCs w:val="28"/>
        </w:rPr>
      </w:pPr>
      <w:r w:rsidRPr="00903B23">
        <w:rPr>
          <w:sz w:val="28"/>
          <w:szCs w:val="28"/>
        </w:rPr>
        <w:t xml:space="preserve">Средняя дальность перевозки пассажира автомобильным транспортом общего пользования по маршрутам регулярных перевозок в пригородном сообщении в муниципальном образовании Тверской области Старицкого района в связи отсутствием информации у территориальных органов Федеральной службы государственной статистики по Тверской области </w:t>
      </w:r>
      <w:r w:rsidRPr="00903B23">
        <w:rPr>
          <w:color w:val="000000"/>
          <w:sz w:val="28"/>
          <w:szCs w:val="28"/>
        </w:rPr>
        <w:t>источником данной информации предлагается принимать статистические данные из НИР данный показатель соответствует 8,9 км.</w:t>
      </w:r>
    </w:p>
    <w:p w:rsidR="00F07E05" w:rsidRDefault="00F07E05" w:rsidP="00F07E05">
      <w:pPr>
        <w:autoSpaceDE w:val="0"/>
        <w:autoSpaceDN w:val="0"/>
        <w:adjustRightInd w:val="0"/>
        <w:ind w:firstLine="720"/>
        <w:jc w:val="both"/>
        <w:rPr>
          <w:sz w:val="28"/>
          <w:szCs w:val="28"/>
        </w:rPr>
      </w:pPr>
      <w:r w:rsidRPr="00903B23">
        <w:rPr>
          <w:sz w:val="28"/>
          <w:szCs w:val="28"/>
        </w:rPr>
        <w:t>Размер затрат на мониторинг транспортной работы и пассажирских потоков, организацию системы безналичной оплаты проезда и провоза багажа, осуществление контроля за полнотой сбора платы за проезд пассажиров и провоз багажа, а также затрат на информационно-техническое и технологическое обеспечение ее сбора принят равным 6 % по итогам конкурса на право заключения договора по внедрению и обеспечению функционирования единой системы управления транспортом общего пользования на территории Тверской области.</w:t>
      </w:r>
    </w:p>
    <w:p w:rsidR="00F07E05" w:rsidRPr="00B26C78" w:rsidRDefault="00F07E05" w:rsidP="00F07E05">
      <w:pPr>
        <w:autoSpaceDE w:val="0"/>
        <w:autoSpaceDN w:val="0"/>
        <w:adjustRightInd w:val="0"/>
        <w:ind w:firstLine="720"/>
        <w:jc w:val="both"/>
        <w:rPr>
          <w:sz w:val="28"/>
          <w:szCs w:val="28"/>
        </w:rPr>
      </w:pPr>
      <w:r w:rsidRPr="00B26C78">
        <w:rPr>
          <w:sz w:val="28"/>
          <w:szCs w:val="28"/>
        </w:rPr>
        <w:lastRenderedPageBreak/>
        <w:t>Доля поступлений от льготного проезда, приходящаяся на город Старица и Старицкий район Тверской области в 2021 году составила 44,6 тыс. руб. за 1 месяц. Соответственно, объём доходов от льготного проезда за 5 месяцев (июль-ноябрь) составит 223,0 тыс. руб.</w:t>
      </w:r>
    </w:p>
    <w:p w:rsidR="00F07E05" w:rsidRPr="00903B23" w:rsidRDefault="00F07E05" w:rsidP="00F07E05">
      <w:pPr>
        <w:autoSpaceDE w:val="0"/>
        <w:autoSpaceDN w:val="0"/>
        <w:adjustRightInd w:val="0"/>
        <w:ind w:firstLine="720"/>
        <w:jc w:val="both"/>
        <w:rPr>
          <w:sz w:val="28"/>
          <w:szCs w:val="28"/>
        </w:rPr>
      </w:pPr>
      <w:r w:rsidRPr="00B26C78">
        <w:rPr>
          <w:sz w:val="28"/>
          <w:szCs w:val="28"/>
        </w:rPr>
        <w:t>Планируемый годовой объём поступлений в 202</w:t>
      </w:r>
      <w:r>
        <w:rPr>
          <w:sz w:val="28"/>
          <w:szCs w:val="28"/>
        </w:rPr>
        <w:t>1</w:t>
      </w:r>
      <w:r w:rsidRPr="00B26C78">
        <w:rPr>
          <w:sz w:val="28"/>
          <w:szCs w:val="28"/>
        </w:rPr>
        <w:t xml:space="preserve"> – 2024 гг. от предоставления льготного проезда гражданам с использованием электронной карты «Социальная карта жителя Тверской области», электронной банковской карты и электронной карты «Социальная транспортная карта» составит (Дпр = 44,6 тыс. руб. * 12 мес. = </w:t>
      </w:r>
      <w:r w:rsidRPr="00B26C78">
        <w:rPr>
          <w:b/>
          <w:bCs/>
          <w:sz w:val="28"/>
          <w:szCs w:val="28"/>
        </w:rPr>
        <w:t>535,2</w:t>
      </w:r>
      <w:r w:rsidRPr="00B26C78">
        <w:rPr>
          <w:sz w:val="28"/>
          <w:szCs w:val="28"/>
        </w:rPr>
        <w:t xml:space="preserve"> тыс. руб.).</w:t>
      </w:r>
    </w:p>
    <w:p w:rsidR="00F07E05" w:rsidRPr="00903B23" w:rsidRDefault="00F07E05" w:rsidP="00F07E05">
      <w:pPr>
        <w:shd w:val="clear" w:color="auto" w:fill="FFFFFF"/>
        <w:spacing w:line="288" w:lineRule="atLeast"/>
        <w:ind w:firstLine="709"/>
        <w:jc w:val="both"/>
        <w:textAlignment w:val="baseline"/>
        <w:rPr>
          <w:sz w:val="28"/>
          <w:szCs w:val="28"/>
        </w:rPr>
      </w:pPr>
      <w:r w:rsidRPr="00903B23">
        <w:rPr>
          <w:sz w:val="28"/>
          <w:szCs w:val="28"/>
        </w:rPr>
        <w:t>Прогноз поступлений прочих доходов от оказания платных услуг (работ) получателями средств бюджетов субъектов Российской Федерации составили:</w:t>
      </w:r>
    </w:p>
    <w:p w:rsidR="00F07E05" w:rsidRPr="00153550" w:rsidRDefault="00F07E05" w:rsidP="00F07E05">
      <w:pPr>
        <w:pStyle w:val="af4"/>
        <w:numPr>
          <w:ilvl w:val="0"/>
          <w:numId w:val="20"/>
        </w:numPr>
        <w:spacing w:after="200" w:line="276" w:lineRule="auto"/>
        <w:jc w:val="both"/>
        <w:rPr>
          <w:sz w:val="28"/>
          <w:szCs w:val="28"/>
        </w:rPr>
      </w:pPr>
      <w:r w:rsidRPr="00153550">
        <w:rPr>
          <w:sz w:val="28"/>
          <w:szCs w:val="28"/>
        </w:rPr>
        <w:t>на 2022 г.: 3,</w:t>
      </w:r>
      <w:r>
        <w:rPr>
          <w:sz w:val="28"/>
          <w:szCs w:val="28"/>
        </w:rPr>
        <w:t>9</w:t>
      </w:r>
      <w:r w:rsidRPr="00153550">
        <w:rPr>
          <w:sz w:val="28"/>
          <w:szCs w:val="28"/>
        </w:rPr>
        <w:t xml:space="preserve"> млн. руб.;</w:t>
      </w:r>
    </w:p>
    <w:p w:rsidR="00F07E05" w:rsidRPr="00153550" w:rsidRDefault="00F07E05" w:rsidP="00F07E05">
      <w:pPr>
        <w:pStyle w:val="af4"/>
        <w:numPr>
          <w:ilvl w:val="0"/>
          <w:numId w:val="20"/>
        </w:numPr>
        <w:spacing w:after="200" w:line="276" w:lineRule="auto"/>
        <w:jc w:val="both"/>
        <w:rPr>
          <w:sz w:val="28"/>
          <w:szCs w:val="28"/>
        </w:rPr>
      </w:pPr>
      <w:r w:rsidRPr="00153550">
        <w:rPr>
          <w:sz w:val="28"/>
          <w:szCs w:val="28"/>
        </w:rPr>
        <w:t>на 2023 г.: 3,</w:t>
      </w:r>
      <w:r>
        <w:rPr>
          <w:sz w:val="28"/>
          <w:szCs w:val="28"/>
        </w:rPr>
        <w:t>9</w:t>
      </w:r>
      <w:r w:rsidRPr="00153550">
        <w:rPr>
          <w:sz w:val="28"/>
          <w:szCs w:val="28"/>
        </w:rPr>
        <w:t xml:space="preserve"> млн. руб.;</w:t>
      </w:r>
    </w:p>
    <w:p w:rsidR="00F07E05" w:rsidRPr="00153550" w:rsidRDefault="00F07E05" w:rsidP="00F07E05">
      <w:pPr>
        <w:pStyle w:val="af4"/>
        <w:numPr>
          <w:ilvl w:val="0"/>
          <w:numId w:val="20"/>
        </w:numPr>
        <w:spacing w:after="200" w:line="276" w:lineRule="auto"/>
        <w:jc w:val="both"/>
        <w:rPr>
          <w:sz w:val="28"/>
          <w:szCs w:val="28"/>
        </w:rPr>
      </w:pPr>
      <w:r w:rsidRPr="00153550">
        <w:rPr>
          <w:sz w:val="28"/>
          <w:szCs w:val="28"/>
        </w:rPr>
        <w:t xml:space="preserve">на 2024 г.: </w:t>
      </w:r>
      <w:r>
        <w:rPr>
          <w:sz w:val="28"/>
          <w:szCs w:val="28"/>
        </w:rPr>
        <w:t>4,0</w:t>
      </w:r>
      <w:r w:rsidRPr="00153550">
        <w:rPr>
          <w:sz w:val="28"/>
          <w:szCs w:val="28"/>
        </w:rPr>
        <w:t xml:space="preserve"> млн. руб.</w:t>
      </w:r>
    </w:p>
    <w:tbl>
      <w:tblPr>
        <w:tblW w:w="10000" w:type="dxa"/>
        <w:tblInd w:w="-714" w:type="dxa"/>
        <w:tblLook w:val="04A0" w:firstRow="1" w:lastRow="0" w:firstColumn="1" w:lastColumn="0" w:noHBand="0" w:noVBand="1"/>
      </w:tblPr>
      <w:tblGrid>
        <w:gridCol w:w="557"/>
        <w:gridCol w:w="3547"/>
        <w:gridCol w:w="1519"/>
        <w:gridCol w:w="1459"/>
        <w:gridCol w:w="1459"/>
        <w:gridCol w:w="1459"/>
      </w:tblGrid>
      <w:tr w:rsidR="00F07E05" w:rsidRPr="00903B23" w:rsidTr="008A253E">
        <w:trPr>
          <w:trHeight w:val="926"/>
        </w:trPr>
        <w:tc>
          <w:tcPr>
            <w:tcW w:w="557"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07E05" w:rsidRPr="00903B23" w:rsidRDefault="00F07E05" w:rsidP="008A253E">
            <w:pPr>
              <w:jc w:val="center"/>
              <w:rPr>
                <w:rFonts w:ascii="Calibri" w:hAnsi="Calibri" w:cs="Calibri"/>
                <w:b/>
                <w:bCs/>
                <w:color w:val="000000"/>
              </w:rPr>
            </w:pPr>
            <w:r w:rsidRPr="00903B23">
              <w:rPr>
                <w:rFonts w:ascii="Calibri" w:hAnsi="Calibri" w:cs="Calibri"/>
                <w:b/>
                <w:bCs/>
                <w:color w:val="000000"/>
                <w:sz w:val="22"/>
                <w:szCs w:val="22"/>
              </w:rPr>
              <w:t> </w:t>
            </w:r>
          </w:p>
        </w:tc>
        <w:tc>
          <w:tcPr>
            <w:tcW w:w="3547"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07E05" w:rsidRPr="00903B23" w:rsidRDefault="00F07E05" w:rsidP="008A253E">
            <w:pPr>
              <w:jc w:val="center"/>
              <w:rPr>
                <w:b/>
                <w:bCs/>
                <w:color w:val="000000"/>
              </w:rPr>
            </w:pPr>
            <w:r w:rsidRPr="00903B23">
              <w:rPr>
                <w:b/>
                <w:bCs/>
                <w:color w:val="000000"/>
                <w:sz w:val="22"/>
                <w:szCs w:val="22"/>
              </w:rPr>
              <w:t>Наименование показателя</w:t>
            </w:r>
          </w:p>
        </w:tc>
        <w:tc>
          <w:tcPr>
            <w:tcW w:w="1519"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07E05" w:rsidRPr="00903B23" w:rsidRDefault="00F07E05" w:rsidP="008A253E">
            <w:pPr>
              <w:jc w:val="center"/>
              <w:rPr>
                <w:b/>
                <w:bCs/>
                <w:color w:val="000000"/>
              </w:rPr>
            </w:pPr>
            <w:r w:rsidRPr="00903B23">
              <w:rPr>
                <w:b/>
                <w:bCs/>
                <w:color w:val="000000"/>
                <w:sz w:val="22"/>
                <w:szCs w:val="22"/>
              </w:rPr>
              <w:t>ед. измерения</w:t>
            </w:r>
          </w:p>
        </w:tc>
        <w:tc>
          <w:tcPr>
            <w:tcW w:w="1459"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07E05" w:rsidRPr="00903B23" w:rsidRDefault="00F07E05" w:rsidP="008A253E">
            <w:pPr>
              <w:jc w:val="center"/>
              <w:rPr>
                <w:b/>
                <w:bCs/>
                <w:color w:val="000000"/>
              </w:rPr>
            </w:pPr>
            <w:r w:rsidRPr="00903B23">
              <w:rPr>
                <w:b/>
                <w:bCs/>
                <w:color w:val="000000"/>
                <w:sz w:val="22"/>
                <w:szCs w:val="22"/>
              </w:rPr>
              <w:t>2022 год</w:t>
            </w:r>
          </w:p>
        </w:tc>
        <w:tc>
          <w:tcPr>
            <w:tcW w:w="1459"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07E05" w:rsidRPr="00903B23" w:rsidRDefault="00F07E05" w:rsidP="008A253E">
            <w:pPr>
              <w:jc w:val="center"/>
              <w:rPr>
                <w:b/>
                <w:bCs/>
                <w:color w:val="000000"/>
              </w:rPr>
            </w:pPr>
            <w:r w:rsidRPr="00903B23">
              <w:rPr>
                <w:b/>
                <w:bCs/>
                <w:color w:val="000000"/>
                <w:sz w:val="22"/>
                <w:szCs w:val="22"/>
              </w:rPr>
              <w:t>2023 год</w:t>
            </w:r>
          </w:p>
        </w:tc>
        <w:tc>
          <w:tcPr>
            <w:tcW w:w="1459"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07E05" w:rsidRPr="00903B23" w:rsidRDefault="00F07E05" w:rsidP="008A253E">
            <w:pPr>
              <w:jc w:val="center"/>
              <w:rPr>
                <w:b/>
                <w:bCs/>
                <w:color w:val="000000"/>
              </w:rPr>
            </w:pPr>
            <w:r w:rsidRPr="00903B23">
              <w:rPr>
                <w:b/>
                <w:bCs/>
                <w:color w:val="000000"/>
                <w:sz w:val="22"/>
                <w:szCs w:val="22"/>
              </w:rPr>
              <w:t>2024 год</w:t>
            </w:r>
          </w:p>
        </w:tc>
      </w:tr>
      <w:tr w:rsidR="00F07E05" w:rsidRPr="00903B23" w:rsidTr="008A253E">
        <w:trPr>
          <w:trHeight w:val="975"/>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F07E05" w:rsidRPr="00903B23" w:rsidRDefault="00F07E05" w:rsidP="008A253E">
            <w:pPr>
              <w:rPr>
                <w:color w:val="000000"/>
              </w:rPr>
            </w:pPr>
            <w:r w:rsidRPr="00903B23">
              <w:rPr>
                <w:color w:val="000000"/>
                <w:sz w:val="22"/>
                <w:szCs w:val="22"/>
              </w:rPr>
              <w:t>1</w:t>
            </w:r>
          </w:p>
        </w:tc>
        <w:tc>
          <w:tcPr>
            <w:tcW w:w="3547" w:type="dxa"/>
            <w:tcBorders>
              <w:top w:val="nil"/>
              <w:left w:val="nil"/>
              <w:bottom w:val="single" w:sz="4" w:space="0" w:color="auto"/>
              <w:right w:val="single" w:sz="4" w:space="0" w:color="auto"/>
            </w:tcBorders>
            <w:shd w:val="clear" w:color="auto" w:fill="auto"/>
            <w:vAlign w:val="center"/>
            <w:hideMark/>
          </w:tcPr>
          <w:p w:rsidR="00F07E05" w:rsidRPr="00903B23" w:rsidRDefault="00F07E05" w:rsidP="008A253E">
            <w:pPr>
              <w:rPr>
                <w:color w:val="000000"/>
              </w:rPr>
            </w:pPr>
            <w:r w:rsidRPr="00903B23">
              <w:rPr>
                <w:color w:val="000000"/>
                <w:sz w:val="22"/>
                <w:szCs w:val="22"/>
              </w:rPr>
              <w:t>Количество перевезенных пассажиров автомобильным транспортом общего пользования г. Старица (без учета льготных пассажиров)</w:t>
            </w:r>
          </w:p>
        </w:tc>
        <w:tc>
          <w:tcPr>
            <w:tcW w:w="1519" w:type="dxa"/>
            <w:tcBorders>
              <w:top w:val="nil"/>
              <w:left w:val="nil"/>
              <w:bottom w:val="single" w:sz="4" w:space="0" w:color="auto"/>
              <w:right w:val="single" w:sz="4" w:space="0" w:color="auto"/>
            </w:tcBorders>
            <w:shd w:val="clear" w:color="auto" w:fill="auto"/>
            <w:vAlign w:val="center"/>
            <w:hideMark/>
          </w:tcPr>
          <w:p w:rsidR="00F07E05" w:rsidRPr="00903B23" w:rsidRDefault="00F07E05" w:rsidP="008A253E">
            <w:pPr>
              <w:jc w:val="center"/>
              <w:rPr>
                <w:color w:val="000000"/>
              </w:rPr>
            </w:pPr>
            <w:r w:rsidRPr="00903B23">
              <w:rPr>
                <w:color w:val="000000"/>
                <w:sz w:val="22"/>
                <w:szCs w:val="22"/>
              </w:rPr>
              <w:t>тыс. пассажиров</w:t>
            </w:r>
          </w:p>
        </w:tc>
        <w:tc>
          <w:tcPr>
            <w:tcW w:w="1459" w:type="dxa"/>
            <w:tcBorders>
              <w:top w:val="nil"/>
              <w:left w:val="single" w:sz="4" w:space="0" w:color="auto"/>
              <w:bottom w:val="single" w:sz="4" w:space="0" w:color="auto"/>
              <w:right w:val="single" w:sz="4" w:space="0" w:color="auto"/>
            </w:tcBorders>
            <w:shd w:val="clear" w:color="auto" w:fill="auto"/>
            <w:noWrap/>
            <w:vAlign w:val="center"/>
            <w:hideMark/>
          </w:tcPr>
          <w:p w:rsidR="00F07E05" w:rsidRPr="00903B23" w:rsidRDefault="00F07E05" w:rsidP="008A253E">
            <w:pPr>
              <w:jc w:val="center"/>
              <w:rPr>
                <w:color w:val="000000" w:themeColor="text1"/>
              </w:rPr>
            </w:pPr>
            <w:r w:rsidRPr="00903B23">
              <w:rPr>
                <w:color w:val="000000" w:themeColor="text1"/>
              </w:rPr>
              <w:t>-</w:t>
            </w:r>
          </w:p>
        </w:tc>
        <w:tc>
          <w:tcPr>
            <w:tcW w:w="1459" w:type="dxa"/>
            <w:tcBorders>
              <w:top w:val="nil"/>
              <w:left w:val="nil"/>
              <w:bottom w:val="single" w:sz="4" w:space="0" w:color="auto"/>
              <w:right w:val="single" w:sz="4" w:space="0" w:color="auto"/>
            </w:tcBorders>
            <w:shd w:val="clear" w:color="auto" w:fill="auto"/>
            <w:noWrap/>
            <w:vAlign w:val="center"/>
            <w:hideMark/>
          </w:tcPr>
          <w:p w:rsidR="00F07E05" w:rsidRPr="00903B23" w:rsidRDefault="00F07E05" w:rsidP="008A253E">
            <w:pPr>
              <w:jc w:val="center"/>
              <w:rPr>
                <w:color w:val="000000" w:themeColor="text1"/>
              </w:rPr>
            </w:pPr>
            <w:r w:rsidRPr="00903B23">
              <w:rPr>
                <w:color w:val="000000" w:themeColor="text1"/>
              </w:rPr>
              <w:t>-</w:t>
            </w:r>
          </w:p>
        </w:tc>
        <w:tc>
          <w:tcPr>
            <w:tcW w:w="1459" w:type="dxa"/>
            <w:tcBorders>
              <w:top w:val="nil"/>
              <w:left w:val="nil"/>
              <w:bottom w:val="single" w:sz="4" w:space="0" w:color="auto"/>
              <w:right w:val="single" w:sz="4" w:space="0" w:color="auto"/>
            </w:tcBorders>
            <w:shd w:val="clear" w:color="auto" w:fill="auto"/>
            <w:noWrap/>
            <w:vAlign w:val="center"/>
          </w:tcPr>
          <w:p w:rsidR="00F07E05" w:rsidRPr="00903B23" w:rsidRDefault="00F07E05" w:rsidP="008A253E">
            <w:pPr>
              <w:jc w:val="center"/>
              <w:rPr>
                <w:color w:val="000000" w:themeColor="text1"/>
              </w:rPr>
            </w:pPr>
            <w:r w:rsidRPr="00903B23">
              <w:rPr>
                <w:color w:val="000000" w:themeColor="text1"/>
                <w:sz w:val="22"/>
                <w:szCs w:val="22"/>
              </w:rPr>
              <w:t>-</w:t>
            </w:r>
          </w:p>
        </w:tc>
      </w:tr>
      <w:tr w:rsidR="00F07E05" w:rsidRPr="00903B23" w:rsidTr="008A253E">
        <w:trPr>
          <w:trHeight w:val="300"/>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F07E05" w:rsidRPr="00903B23" w:rsidRDefault="00F07E05" w:rsidP="008A253E">
            <w:pPr>
              <w:rPr>
                <w:color w:val="000000"/>
              </w:rPr>
            </w:pPr>
            <w:r w:rsidRPr="00903B23">
              <w:rPr>
                <w:color w:val="000000"/>
                <w:sz w:val="22"/>
                <w:szCs w:val="22"/>
              </w:rPr>
              <w:t>2</w:t>
            </w:r>
          </w:p>
        </w:tc>
        <w:tc>
          <w:tcPr>
            <w:tcW w:w="3547" w:type="dxa"/>
            <w:tcBorders>
              <w:top w:val="nil"/>
              <w:left w:val="nil"/>
              <w:bottom w:val="single" w:sz="4" w:space="0" w:color="auto"/>
              <w:right w:val="single" w:sz="4" w:space="0" w:color="auto"/>
            </w:tcBorders>
            <w:shd w:val="clear" w:color="auto" w:fill="auto"/>
            <w:vAlign w:val="center"/>
            <w:hideMark/>
          </w:tcPr>
          <w:p w:rsidR="00F07E05" w:rsidRPr="00903B23" w:rsidRDefault="00F07E05" w:rsidP="008A253E">
            <w:pPr>
              <w:rPr>
                <w:color w:val="000000"/>
              </w:rPr>
            </w:pPr>
            <w:r w:rsidRPr="00903B23">
              <w:rPr>
                <w:color w:val="000000"/>
                <w:sz w:val="22"/>
                <w:szCs w:val="22"/>
              </w:rPr>
              <w:t>Средневз</w:t>
            </w:r>
            <w:r>
              <w:rPr>
                <w:color w:val="000000"/>
                <w:sz w:val="22"/>
                <w:szCs w:val="22"/>
              </w:rPr>
              <w:t>в</w:t>
            </w:r>
            <w:r w:rsidRPr="00903B23">
              <w:rPr>
                <w:color w:val="000000"/>
                <w:sz w:val="22"/>
                <w:szCs w:val="22"/>
              </w:rPr>
              <w:t>еш</w:t>
            </w:r>
            <w:r>
              <w:rPr>
                <w:color w:val="000000"/>
                <w:sz w:val="22"/>
                <w:szCs w:val="22"/>
              </w:rPr>
              <w:t>е</w:t>
            </w:r>
            <w:r w:rsidRPr="00903B23">
              <w:rPr>
                <w:color w:val="000000"/>
                <w:sz w:val="22"/>
                <w:szCs w:val="22"/>
              </w:rPr>
              <w:t>нный тариф</w:t>
            </w:r>
          </w:p>
        </w:tc>
        <w:tc>
          <w:tcPr>
            <w:tcW w:w="1519" w:type="dxa"/>
            <w:tcBorders>
              <w:top w:val="nil"/>
              <w:left w:val="nil"/>
              <w:bottom w:val="single" w:sz="4" w:space="0" w:color="auto"/>
              <w:right w:val="single" w:sz="4" w:space="0" w:color="auto"/>
            </w:tcBorders>
            <w:shd w:val="clear" w:color="auto" w:fill="auto"/>
            <w:vAlign w:val="center"/>
            <w:hideMark/>
          </w:tcPr>
          <w:p w:rsidR="00F07E05" w:rsidRPr="00903B23" w:rsidRDefault="00F07E05" w:rsidP="008A253E">
            <w:pPr>
              <w:jc w:val="center"/>
              <w:rPr>
                <w:color w:val="000000"/>
              </w:rPr>
            </w:pPr>
            <w:r w:rsidRPr="00903B23">
              <w:rPr>
                <w:color w:val="000000"/>
                <w:sz w:val="22"/>
                <w:szCs w:val="22"/>
              </w:rPr>
              <w:t>руб.</w:t>
            </w:r>
          </w:p>
        </w:tc>
        <w:tc>
          <w:tcPr>
            <w:tcW w:w="1459" w:type="dxa"/>
            <w:tcBorders>
              <w:top w:val="nil"/>
              <w:left w:val="single" w:sz="4" w:space="0" w:color="auto"/>
              <w:bottom w:val="single" w:sz="4" w:space="0" w:color="auto"/>
              <w:right w:val="single" w:sz="4" w:space="0" w:color="auto"/>
            </w:tcBorders>
            <w:shd w:val="clear" w:color="auto" w:fill="auto"/>
            <w:noWrap/>
            <w:vAlign w:val="center"/>
            <w:hideMark/>
          </w:tcPr>
          <w:p w:rsidR="00F07E05" w:rsidRPr="00903B23" w:rsidRDefault="00F07E05" w:rsidP="008A253E">
            <w:pPr>
              <w:jc w:val="center"/>
              <w:rPr>
                <w:color w:val="000000" w:themeColor="text1"/>
              </w:rPr>
            </w:pPr>
            <w:r w:rsidRPr="00903B23">
              <w:rPr>
                <w:color w:val="000000" w:themeColor="text1"/>
              </w:rPr>
              <w:t>-</w:t>
            </w:r>
          </w:p>
        </w:tc>
        <w:tc>
          <w:tcPr>
            <w:tcW w:w="1459" w:type="dxa"/>
            <w:tcBorders>
              <w:top w:val="nil"/>
              <w:left w:val="nil"/>
              <w:bottom w:val="single" w:sz="4" w:space="0" w:color="auto"/>
              <w:right w:val="single" w:sz="4" w:space="0" w:color="auto"/>
            </w:tcBorders>
            <w:shd w:val="clear" w:color="auto" w:fill="auto"/>
            <w:noWrap/>
            <w:vAlign w:val="center"/>
            <w:hideMark/>
          </w:tcPr>
          <w:p w:rsidR="00F07E05" w:rsidRPr="00903B23" w:rsidRDefault="00F07E05" w:rsidP="008A253E">
            <w:pPr>
              <w:jc w:val="center"/>
              <w:rPr>
                <w:color w:val="000000" w:themeColor="text1"/>
              </w:rPr>
            </w:pPr>
            <w:r w:rsidRPr="00903B23">
              <w:rPr>
                <w:color w:val="000000" w:themeColor="text1"/>
              </w:rPr>
              <w:t>-</w:t>
            </w:r>
          </w:p>
        </w:tc>
        <w:tc>
          <w:tcPr>
            <w:tcW w:w="1459" w:type="dxa"/>
            <w:tcBorders>
              <w:top w:val="nil"/>
              <w:left w:val="nil"/>
              <w:bottom w:val="single" w:sz="4" w:space="0" w:color="auto"/>
              <w:right w:val="single" w:sz="4" w:space="0" w:color="auto"/>
            </w:tcBorders>
            <w:shd w:val="clear" w:color="auto" w:fill="auto"/>
            <w:noWrap/>
            <w:vAlign w:val="center"/>
          </w:tcPr>
          <w:p w:rsidR="00F07E05" w:rsidRPr="00903B23" w:rsidRDefault="00F07E05" w:rsidP="008A253E">
            <w:pPr>
              <w:jc w:val="center"/>
              <w:rPr>
                <w:color w:val="000000" w:themeColor="text1"/>
              </w:rPr>
            </w:pPr>
            <w:r w:rsidRPr="00903B23">
              <w:rPr>
                <w:color w:val="000000" w:themeColor="text1"/>
              </w:rPr>
              <w:t>-</w:t>
            </w:r>
          </w:p>
        </w:tc>
      </w:tr>
      <w:tr w:rsidR="00F07E05" w:rsidRPr="00903B23" w:rsidTr="008A253E">
        <w:trPr>
          <w:trHeight w:val="300"/>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F07E05" w:rsidRPr="00903B23" w:rsidRDefault="00F07E05" w:rsidP="008A253E">
            <w:pPr>
              <w:rPr>
                <w:b/>
                <w:bCs/>
                <w:color w:val="000000"/>
              </w:rPr>
            </w:pPr>
            <w:r w:rsidRPr="00903B23">
              <w:rPr>
                <w:b/>
                <w:bCs/>
                <w:color w:val="000000"/>
                <w:sz w:val="22"/>
                <w:szCs w:val="22"/>
              </w:rPr>
              <w:t>3</w:t>
            </w:r>
          </w:p>
        </w:tc>
        <w:tc>
          <w:tcPr>
            <w:tcW w:w="3547" w:type="dxa"/>
            <w:tcBorders>
              <w:top w:val="nil"/>
              <w:left w:val="nil"/>
              <w:bottom w:val="single" w:sz="4" w:space="0" w:color="auto"/>
              <w:right w:val="single" w:sz="4" w:space="0" w:color="auto"/>
            </w:tcBorders>
            <w:shd w:val="clear" w:color="auto" w:fill="auto"/>
            <w:vAlign w:val="center"/>
            <w:hideMark/>
          </w:tcPr>
          <w:p w:rsidR="00F07E05" w:rsidRPr="00903B23" w:rsidRDefault="00F07E05" w:rsidP="008A253E">
            <w:pPr>
              <w:rPr>
                <w:b/>
                <w:bCs/>
                <w:color w:val="000000"/>
              </w:rPr>
            </w:pPr>
            <w:r w:rsidRPr="00903B23">
              <w:rPr>
                <w:b/>
                <w:bCs/>
                <w:color w:val="000000"/>
                <w:sz w:val="22"/>
                <w:szCs w:val="22"/>
              </w:rPr>
              <w:t>Итого по городу (стр.1*2)</w:t>
            </w:r>
          </w:p>
        </w:tc>
        <w:tc>
          <w:tcPr>
            <w:tcW w:w="1519" w:type="dxa"/>
            <w:tcBorders>
              <w:top w:val="nil"/>
              <w:left w:val="nil"/>
              <w:bottom w:val="single" w:sz="4" w:space="0" w:color="auto"/>
              <w:right w:val="single" w:sz="4" w:space="0" w:color="auto"/>
            </w:tcBorders>
            <w:shd w:val="clear" w:color="auto" w:fill="auto"/>
            <w:vAlign w:val="center"/>
            <w:hideMark/>
          </w:tcPr>
          <w:p w:rsidR="00F07E05" w:rsidRPr="00903B23" w:rsidRDefault="00F07E05" w:rsidP="008A253E">
            <w:pPr>
              <w:jc w:val="center"/>
              <w:rPr>
                <w:b/>
                <w:bCs/>
                <w:color w:val="000000"/>
              </w:rPr>
            </w:pPr>
            <w:r w:rsidRPr="00903B23">
              <w:rPr>
                <w:b/>
                <w:bCs/>
                <w:color w:val="000000"/>
                <w:sz w:val="22"/>
                <w:szCs w:val="22"/>
              </w:rPr>
              <w:t>тыс. руб.</w:t>
            </w:r>
          </w:p>
        </w:tc>
        <w:tc>
          <w:tcPr>
            <w:tcW w:w="1459" w:type="dxa"/>
            <w:tcBorders>
              <w:top w:val="nil"/>
              <w:left w:val="single" w:sz="4" w:space="0" w:color="auto"/>
              <w:bottom w:val="single" w:sz="4" w:space="0" w:color="auto"/>
              <w:right w:val="single" w:sz="4" w:space="0" w:color="auto"/>
            </w:tcBorders>
            <w:shd w:val="clear" w:color="auto" w:fill="auto"/>
            <w:noWrap/>
            <w:vAlign w:val="center"/>
            <w:hideMark/>
          </w:tcPr>
          <w:p w:rsidR="00F07E05" w:rsidRPr="00903B23" w:rsidRDefault="00F07E05" w:rsidP="008A253E">
            <w:pPr>
              <w:jc w:val="center"/>
              <w:rPr>
                <w:b/>
                <w:bCs/>
                <w:color w:val="000000" w:themeColor="text1"/>
              </w:rPr>
            </w:pPr>
            <w:r w:rsidRPr="00903B23">
              <w:rPr>
                <w:b/>
                <w:bCs/>
                <w:color w:val="000000" w:themeColor="text1"/>
              </w:rPr>
              <w:t>-</w:t>
            </w:r>
          </w:p>
        </w:tc>
        <w:tc>
          <w:tcPr>
            <w:tcW w:w="1459" w:type="dxa"/>
            <w:tcBorders>
              <w:top w:val="nil"/>
              <w:left w:val="nil"/>
              <w:bottom w:val="single" w:sz="4" w:space="0" w:color="auto"/>
              <w:right w:val="single" w:sz="4" w:space="0" w:color="auto"/>
            </w:tcBorders>
            <w:shd w:val="clear" w:color="auto" w:fill="auto"/>
            <w:noWrap/>
            <w:vAlign w:val="center"/>
            <w:hideMark/>
          </w:tcPr>
          <w:p w:rsidR="00F07E05" w:rsidRPr="00903B23" w:rsidRDefault="00F07E05" w:rsidP="008A253E">
            <w:pPr>
              <w:jc w:val="center"/>
              <w:rPr>
                <w:b/>
                <w:bCs/>
                <w:color w:val="000000" w:themeColor="text1"/>
              </w:rPr>
            </w:pPr>
            <w:r w:rsidRPr="00903B23">
              <w:rPr>
                <w:b/>
                <w:bCs/>
                <w:color w:val="000000" w:themeColor="text1"/>
              </w:rPr>
              <w:t>-</w:t>
            </w:r>
          </w:p>
        </w:tc>
        <w:tc>
          <w:tcPr>
            <w:tcW w:w="1459" w:type="dxa"/>
            <w:tcBorders>
              <w:top w:val="nil"/>
              <w:left w:val="nil"/>
              <w:bottom w:val="single" w:sz="4" w:space="0" w:color="auto"/>
              <w:right w:val="single" w:sz="4" w:space="0" w:color="auto"/>
            </w:tcBorders>
            <w:shd w:val="clear" w:color="auto" w:fill="auto"/>
            <w:noWrap/>
            <w:vAlign w:val="center"/>
          </w:tcPr>
          <w:p w:rsidR="00F07E05" w:rsidRPr="00903B23" w:rsidRDefault="00F07E05" w:rsidP="008A253E">
            <w:pPr>
              <w:jc w:val="center"/>
              <w:rPr>
                <w:b/>
                <w:bCs/>
                <w:color w:val="000000" w:themeColor="text1"/>
              </w:rPr>
            </w:pPr>
            <w:r w:rsidRPr="00903B23">
              <w:rPr>
                <w:b/>
                <w:bCs/>
                <w:color w:val="000000" w:themeColor="text1"/>
              </w:rPr>
              <w:t>-</w:t>
            </w:r>
          </w:p>
        </w:tc>
      </w:tr>
      <w:tr w:rsidR="00F07E05" w:rsidRPr="00903B23" w:rsidTr="008A253E">
        <w:trPr>
          <w:trHeight w:val="1305"/>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F07E05" w:rsidRPr="00903B23" w:rsidRDefault="00F07E05" w:rsidP="008A253E">
            <w:pPr>
              <w:rPr>
                <w:color w:val="000000"/>
              </w:rPr>
            </w:pPr>
            <w:r w:rsidRPr="00903B23">
              <w:rPr>
                <w:color w:val="000000"/>
                <w:sz w:val="22"/>
                <w:szCs w:val="22"/>
              </w:rPr>
              <w:t>4</w:t>
            </w:r>
          </w:p>
        </w:tc>
        <w:tc>
          <w:tcPr>
            <w:tcW w:w="3547" w:type="dxa"/>
            <w:tcBorders>
              <w:top w:val="nil"/>
              <w:left w:val="nil"/>
              <w:bottom w:val="single" w:sz="4" w:space="0" w:color="auto"/>
              <w:right w:val="single" w:sz="4" w:space="0" w:color="auto"/>
            </w:tcBorders>
            <w:shd w:val="clear" w:color="auto" w:fill="auto"/>
            <w:vAlign w:val="center"/>
            <w:hideMark/>
          </w:tcPr>
          <w:p w:rsidR="00F07E05" w:rsidRPr="00903B23" w:rsidRDefault="00F07E05" w:rsidP="008A253E">
            <w:pPr>
              <w:rPr>
                <w:color w:val="000000"/>
              </w:rPr>
            </w:pPr>
            <w:r w:rsidRPr="00903B23">
              <w:rPr>
                <w:color w:val="000000"/>
                <w:sz w:val="22"/>
                <w:szCs w:val="22"/>
              </w:rPr>
              <w:t>Количество перевезенных пассажиров автомобильным транспортом общего пользования пригородного сообщения Старицкого района (без учета льготных пассажиров)</w:t>
            </w:r>
          </w:p>
        </w:tc>
        <w:tc>
          <w:tcPr>
            <w:tcW w:w="1519" w:type="dxa"/>
            <w:tcBorders>
              <w:top w:val="nil"/>
              <w:left w:val="nil"/>
              <w:bottom w:val="single" w:sz="4" w:space="0" w:color="auto"/>
              <w:right w:val="single" w:sz="4" w:space="0" w:color="auto"/>
            </w:tcBorders>
            <w:shd w:val="clear" w:color="auto" w:fill="auto"/>
            <w:vAlign w:val="center"/>
            <w:hideMark/>
          </w:tcPr>
          <w:p w:rsidR="00F07E05" w:rsidRPr="00903B23" w:rsidRDefault="00F07E05" w:rsidP="008A253E">
            <w:pPr>
              <w:jc w:val="center"/>
              <w:rPr>
                <w:color w:val="000000"/>
              </w:rPr>
            </w:pPr>
            <w:r w:rsidRPr="00903B23">
              <w:rPr>
                <w:color w:val="000000"/>
                <w:sz w:val="22"/>
                <w:szCs w:val="22"/>
              </w:rPr>
              <w:t>тыс. пассажиров</w:t>
            </w:r>
          </w:p>
        </w:tc>
        <w:tc>
          <w:tcPr>
            <w:tcW w:w="1459" w:type="dxa"/>
            <w:tcBorders>
              <w:top w:val="nil"/>
              <w:left w:val="single" w:sz="4" w:space="0" w:color="auto"/>
              <w:bottom w:val="single" w:sz="4" w:space="0" w:color="auto"/>
              <w:right w:val="single" w:sz="4" w:space="0" w:color="auto"/>
            </w:tcBorders>
            <w:shd w:val="clear" w:color="auto" w:fill="auto"/>
            <w:noWrap/>
            <w:vAlign w:val="center"/>
            <w:hideMark/>
          </w:tcPr>
          <w:p w:rsidR="00F07E05" w:rsidRPr="00903B23" w:rsidRDefault="00F07E05" w:rsidP="008A253E">
            <w:pPr>
              <w:jc w:val="center"/>
              <w:rPr>
                <w:color w:val="000000" w:themeColor="text1"/>
              </w:rPr>
            </w:pPr>
            <w:r w:rsidRPr="00903B23">
              <w:rPr>
                <w:color w:val="000000"/>
                <w:sz w:val="22"/>
                <w:szCs w:val="22"/>
              </w:rPr>
              <w:t>132,6</w:t>
            </w:r>
          </w:p>
        </w:tc>
        <w:tc>
          <w:tcPr>
            <w:tcW w:w="1459" w:type="dxa"/>
            <w:tcBorders>
              <w:top w:val="nil"/>
              <w:left w:val="nil"/>
              <w:bottom w:val="single" w:sz="4" w:space="0" w:color="auto"/>
              <w:right w:val="single" w:sz="4" w:space="0" w:color="auto"/>
            </w:tcBorders>
            <w:shd w:val="clear" w:color="auto" w:fill="auto"/>
            <w:noWrap/>
            <w:vAlign w:val="center"/>
            <w:hideMark/>
          </w:tcPr>
          <w:p w:rsidR="00F07E05" w:rsidRPr="00903B23" w:rsidRDefault="00F07E05" w:rsidP="008A253E">
            <w:pPr>
              <w:jc w:val="center"/>
              <w:rPr>
                <w:color w:val="000000" w:themeColor="text1"/>
              </w:rPr>
            </w:pPr>
            <w:r w:rsidRPr="00903B23">
              <w:rPr>
                <w:color w:val="000000"/>
                <w:sz w:val="22"/>
                <w:szCs w:val="22"/>
              </w:rPr>
              <w:t>130,5</w:t>
            </w:r>
          </w:p>
        </w:tc>
        <w:tc>
          <w:tcPr>
            <w:tcW w:w="1459" w:type="dxa"/>
            <w:tcBorders>
              <w:top w:val="nil"/>
              <w:left w:val="nil"/>
              <w:bottom w:val="single" w:sz="4" w:space="0" w:color="auto"/>
              <w:right w:val="single" w:sz="4" w:space="0" w:color="auto"/>
            </w:tcBorders>
            <w:shd w:val="clear" w:color="auto" w:fill="auto"/>
            <w:noWrap/>
            <w:vAlign w:val="center"/>
          </w:tcPr>
          <w:p w:rsidR="00F07E05" w:rsidRPr="00903B23" w:rsidRDefault="00F07E05" w:rsidP="008A253E">
            <w:pPr>
              <w:jc w:val="center"/>
              <w:rPr>
                <w:color w:val="000000" w:themeColor="text1"/>
              </w:rPr>
            </w:pPr>
            <w:r w:rsidRPr="00903B23">
              <w:rPr>
                <w:color w:val="000000"/>
                <w:sz w:val="22"/>
                <w:szCs w:val="22"/>
              </w:rPr>
              <w:t>128,4</w:t>
            </w:r>
          </w:p>
        </w:tc>
      </w:tr>
      <w:tr w:rsidR="00F07E05" w:rsidRPr="00903B23" w:rsidTr="008A253E">
        <w:trPr>
          <w:trHeight w:val="300"/>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F07E05" w:rsidRPr="00903B23" w:rsidRDefault="00F07E05" w:rsidP="008A253E">
            <w:pPr>
              <w:rPr>
                <w:color w:val="000000"/>
              </w:rPr>
            </w:pPr>
            <w:r w:rsidRPr="00903B23">
              <w:rPr>
                <w:color w:val="000000"/>
                <w:sz w:val="22"/>
                <w:szCs w:val="22"/>
              </w:rPr>
              <w:t>5</w:t>
            </w:r>
          </w:p>
        </w:tc>
        <w:tc>
          <w:tcPr>
            <w:tcW w:w="3547" w:type="dxa"/>
            <w:tcBorders>
              <w:top w:val="nil"/>
              <w:left w:val="nil"/>
              <w:bottom w:val="single" w:sz="4" w:space="0" w:color="auto"/>
              <w:right w:val="single" w:sz="4" w:space="0" w:color="auto"/>
            </w:tcBorders>
            <w:shd w:val="clear" w:color="auto" w:fill="auto"/>
            <w:vAlign w:val="center"/>
            <w:hideMark/>
          </w:tcPr>
          <w:p w:rsidR="00F07E05" w:rsidRPr="00903B23" w:rsidRDefault="00F07E05" w:rsidP="008A253E">
            <w:pPr>
              <w:rPr>
                <w:color w:val="000000"/>
              </w:rPr>
            </w:pPr>
            <w:r w:rsidRPr="00903B23">
              <w:rPr>
                <w:color w:val="000000"/>
                <w:sz w:val="22"/>
                <w:szCs w:val="22"/>
              </w:rPr>
              <w:t>Средневз</w:t>
            </w:r>
            <w:r>
              <w:rPr>
                <w:color w:val="000000"/>
                <w:sz w:val="22"/>
                <w:szCs w:val="22"/>
              </w:rPr>
              <w:t>в</w:t>
            </w:r>
            <w:r w:rsidRPr="00903B23">
              <w:rPr>
                <w:color w:val="000000"/>
                <w:sz w:val="22"/>
                <w:szCs w:val="22"/>
              </w:rPr>
              <w:t>еш</w:t>
            </w:r>
            <w:r>
              <w:rPr>
                <w:color w:val="000000"/>
                <w:sz w:val="22"/>
                <w:szCs w:val="22"/>
              </w:rPr>
              <w:t>е</w:t>
            </w:r>
            <w:r w:rsidRPr="00903B23">
              <w:rPr>
                <w:color w:val="000000"/>
                <w:sz w:val="22"/>
                <w:szCs w:val="22"/>
              </w:rPr>
              <w:t>нный тариф</w:t>
            </w:r>
          </w:p>
        </w:tc>
        <w:tc>
          <w:tcPr>
            <w:tcW w:w="1519" w:type="dxa"/>
            <w:tcBorders>
              <w:top w:val="nil"/>
              <w:left w:val="nil"/>
              <w:bottom w:val="single" w:sz="4" w:space="0" w:color="auto"/>
              <w:right w:val="single" w:sz="4" w:space="0" w:color="auto"/>
            </w:tcBorders>
            <w:shd w:val="clear" w:color="auto" w:fill="auto"/>
            <w:vAlign w:val="center"/>
            <w:hideMark/>
          </w:tcPr>
          <w:p w:rsidR="00F07E05" w:rsidRPr="00903B23" w:rsidRDefault="00F07E05" w:rsidP="008A253E">
            <w:pPr>
              <w:jc w:val="center"/>
              <w:rPr>
                <w:color w:val="000000"/>
              </w:rPr>
            </w:pPr>
            <w:r w:rsidRPr="00903B23">
              <w:rPr>
                <w:color w:val="000000"/>
                <w:sz w:val="22"/>
                <w:szCs w:val="22"/>
              </w:rPr>
              <w:t>руб. за 1 км.</w:t>
            </w:r>
          </w:p>
        </w:tc>
        <w:tc>
          <w:tcPr>
            <w:tcW w:w="1459" w:type="dxa"/>
            <w:tcBorders>
              <w:top w:val="nil"/>
              <w:left w:val="single" w:sz="4" w:space="0" w:color="auto"/>
              <w:bottom w:val="single" w:sz="4" w:space="0" w:color="auto"/>
              <w:right w:val="single" w:sz="4" w:space="0" w:color="auto"/>
            </w:tcBorders>
            <w:shd w:val="clear" w:color="auto" w:fill="auto"/>
            <w:noWrap/>
            <w:vAlign w:val="center"/>
            <w:hideMark/>
          </w:tcPr>
          <w:p w:rsidR="00F07E05" w:rsidRPr="00903B23" w:rsidRDefault="00F07E05" w:rsidP="008A253E">
            <w:pPr>
              <w:jc w:val="center"/>
              <w:rPr>
                <w:color w:val="000000" w:themeColor="text1"/>
              </w:rPr>
            </w:pPr>
            <w:r w:rsidRPr="00903B23">
              <w:rPr>
                <w:color w:val="000000"/>
                <w:sz w:val="22"/>
                <w:szCs w:val="22"/>
              </w:rPr>
              <w:t>2,</w:t>
            </w:r>
            <w:r>
              <w:rPr>
                <w:color w:val="000000"/>
                <w:sz w:val="22"/>
                <w:szCs w:val="22"/>
              </w:rPr>
              <w:t>99</w:t>
            </w:r>
            <w:r w:rsidRPr="00903B23">
              <w:rPr>
                <w:color w:val="000000"/>
                <w:sz w:val="22"/>
                <w:szCs w:val="22"/>
              </w:rPr>
              <w:t xml:space="preserve"> </w:t>
            </w:r>
          </w:p>
        </w:tc>
        <w:tc>
          <w:tcPr>
            <w:tcW w:w="1459" w:type="dxa"/>
            <w:tcBorders>
              <w:top w:val="nil"/>
              <w:left w:val="nil"/>
              <w:bottom w:val="single" w:sz="4" w:space="0" w:color="auto"/>
              <w:right w:val="single" w:sz="4" w:space="0" w:color="auto"/>
            </w:tcBorders>
            <w:shd w:val="clear" w:color="auto" w:fill="auto"/>
            <w:noWrap/>
            <w:vAlign w:val="center"/>
            <w:hideMark/>
          </w:tcPr>
          <w:p w:rsidR="00F07E05" w:rsidRPr="00903B23" w:rsidRDefault="00F07E05" w:rsidP="008A253E">
            <w:pPr>
              <w:jc w:val="center"/>
              <w:rPr>
                <w:color w:val="000000" w:themeColor="text1"/>
              </w:rPr>
            </w:pPr>
            <w:r>
              <w:rPr>
                <w:color w:val="000000"/>
                <w:sz w:val="22"/>
                <w:szCs w:val="22"/>
              </w:rPr>
              <w:t>3,11</w:t>
            </w:r>
            <w:r w:rsidRPr="00903B23">
              <w:rPr>
                <w:color w:val="000000"/>
                <w:sz w:val="22"/>
                <w:szCs w:val="22"/>
              </w:rPr>
              <w:t xml:space="preserve">  </w:t>
            </w:r>
          </w:p>
        </w:tc>
        <w:tc>
          <w:tcPr>
            <w:tcW w:w="1459" w:type="dxa"/>
            <w:tcBorders>
              <w:top w:val="nil"/>
              <w:left w:val="nil"/>
              <w:bottom w:val="single" w:sz="4" w:space="0" w:color="auto"/>
              <w:right w:val="single" w:sz="4" w:space="0" w:color="auto"/>
            </w:tcBorders>
            <w:shd w:val="clear" w:color="auto" w:fill="auto"/>
            <w:noWrap/>
            <w:vAlign w:val="center"/>
          </w:tcPr>
          <w:p w:rsidR="00F07E05" w:rsidRPr="00903B23" w:rsidRDefault="00F07E05" w:rsidP="008A253E">
            <w:pPr>
              <w:jc w:val="center"/>
              <w:rPr>
                <w:color w:val="000000" w:themeColor="text1"/>
              </w:rPr>
            </w:pPr>
            <w:r>
              <w:rPr>
                <w:color w:val="000000"/>
                <w:sz w:val="22"/>
                <w:szCs w:val="22"/>
              </w:rPr>
              <w:t>3,21</w:t>
            </w:r>
            <w:r w:rsidRPr="00903B23">
              <w:rPr>
                <w:color w:val="000000"/>
                <w:sz w:val="22"/>
                <w:szCs w:val="22"/>
              </w:rPr>
              <w:t xml:space="preserve">  </w:t>
            </w:r>
          </w:p>
        </w:tc>
      </w:tr>
      <w:tr w:rsidR="00F07E05" w:rsidRPr="00903B23" w:rsidTr="008A253E">
        <w:trPr>
          <w:trHeight w:val="600"/>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F07E05" w:rsidRPr="00903B23" w:rsidRDefault="00F07E05" w:rsidP="008A253E">
            <w:pPr>
              <w:rPr>
                <w:color w:val="000000"/>
              </w:rPr>
            </w:pPr>
            <w:r w:rsidRPr="00903B23">
              <w:rPr>
                <w:color w:val="000000"/>
                <w:sz w:val="22"/>
                <w:szCs w:val="22"/>
              </w:rPr>
              <w:t>6</w:t>
            </w:r>
          </w:p>
        </w:tc>
        <w:tc>
          <w:tcPr>
            <w:tcW w:w="3547" w:type="dxa"/>
            <w:tcBorders>
              <w:top w:val="nil"/>
              <w:left w:val="nil"/>
              <w:bottom w:val="single" w:sz="4" w:space="0" w:color="auto"/>
              <w:right w:val="single" w:sz="4" w:space="0" w:color="auto"/>
            </w:tcBorders>
            <w:shd w:val="clear" w:color="auto" w:fill="auto"/>
            <w:vAlign w:val="center"/>
            <w:hideMark/>
          </w:tcPr>
          <w:p w:rsidR="00F07E05" w:rsidRPr="00903B23" w:rsidRDefault="00F07E05" w:rsidP="008A253E">
            <w:pPr>
              <w:rPr>
                <w:color w:val="000000"/>
              </w:rPr>
            </w:pPr>
            <w:r w:rsidRPr="00903B23">
              <w:rPr>
                <w:color w:val="000000"/>
                <w:sz w:val="22"/>
                <w:szCs w:val="22"/>
              </w:rPr>
              <w:t>Средняя дальность перевозки пассажиров на пригородном сообщении</w:t>
            </w:r>
          </w:p>
        </w:tc>
        <w:tc>
          <w:tcPr>
            <w:tcW w:w="1519" w:type="dxa"/>
            <w:tcBorders>
              <w:top w:val="nil"/>
              <w:left w:val="nil"/>
              <w:bottom w:val="single" w:sz="4" w:space="0" w:color="auto"/>
              <w:right w:val="single" w:sz="4" w:space="0" w:color="auto"/>
            </w:tcBorders>
            <w:shd w:val="clear" w:color="auto" w:fill="auto"/>
            <w:vAlign w:val="center"/>
            <w:hideMark/>
          </w:tcPr>
          <w:p w:rsidR="00F07E05" w:rsidRPr="00903B23" w:rsidRDefault="00F07E05" w:rsidP="008A253E">
            <w:pPr>
              <w:jc w:val="center"/>
              <w:rPr>
                <w:color w:val="000000"/>
              </w:rPr>
            </w:pPr>
            <w:r w:rsidRPr="00903B23">
              <w:rPr>
                <w:color w:val="000000"/>
                <w:sz w:val="22"/>
                <w:szCs w:val="22"/>
              </w:rPr>
              <w:t>км.</w:t>
            </w:r>
          </w:p>
        </w:tc>
        <w:tc>
          <w:tcPr>
            <w:tcW w:w="1459" w:type="dxa"/>
            <w:tcBorders>
              <w:top w:val="nil"/>
              <w:left w:val="single" w:sz="4" w:space="0" w:color="auto"/>
              <w:bottom w:val="single" w:sz="4" w:space="0" w:color="auto"/>
              <w:right w:val="single" w:sz="4" w:space="0" w:color="auto"/>
            </w:tcBorders>
            <w:shd w:val="clear" w:color="auto" w:fill="auto"/>
            <w:noWrap/>
            <w:vAlign w:val="center"/>
            <w:hideMark/>
          </w:tcPr>
          <w:p w:rsidR="00F07E05" w:rsidRPr="00903B23" w:rsidRDefault="00F07E05" w:rsidP="008A253E">
            <w:pPr>
              <w:jc w:val="center"/>
              <w:rPr>
                <w:color w:val="000000" w:themeColor="text1"/>
              </w:rPr>
            </w:pPr>
            <w:r>
              <w:rPr>
                <w:color w:val="000000"/>
                <w:sz w:val="22"/>
                <w:szCs w:val="22"/>
              </w:rPr>
              <w:t>8</w:t>
            </w:r>
            <w:r w:rsidRPr="00903B23">
              <w:rPr>
                <w:color w:val="000000"/>
                <w:sz w:val="22"/>
                <w:szCs w:val="22"/>
              </w:rPr>
              <w:t xml:space="preserve">,9  </w:t>
            </w:r>
          </w:p>
        </w:tc>
        <w:tc>
          <w:tcPr>
            <w:tcW w:w="1459" w:type="dxa"/>
            <w:tcBorders>
              <w:top w:val="nil"/>
              <w:left w:val="nil"/>
              <w:bottom w:val="single" w:sz="4" w:space="0" w:color="auto"/>
              <w:right w:val="single" w:sz="4" w:space="0" w:color="auto"/>
            </w:tcBorders>
            <w:shd w:val="clear" w:color="auto" w:fill="auto"/>
            <w:noWrap/>
            <w:vAlign w:val="center"/>
            <w:hideMark/>
          </w:tcPr>
          <w:p w:rsidR="00F07E05" w:rsidRPr="00903B23" w:rsidRDefault="00F07E05" w:rsidP="008A253E">
            <w:pPr>
              <w:jc w:val="center"/>
              <w:rPr>
                <w:color w:val="000000" w:themeColor="text1"/>
              </w:rPr>
            </w:pPr>
            <w:r>
              <w:rPr>
                <w:color w:val="000000"/>
                <w:sz w:val="22"/>
                <w:szCs w:val="22"/>
              </w:rPr>
              <w:t>8</w:t>
            </w:r>
            <w:r w:rsidRPr="00903B23">
              <w:rPr>
                <w:color w:val="000000"/>
                <w:sz w:val="22"/>
                <w:szCs w:val="22"/>
              </w:rPr>
              <w:t xml:space="preserve">,9  </w:t>
            </w:r>
          </w:p>
        </w:tc>
        <w:tc>
          <w:tcPr>
            <w:tcW w:w="1459" w:type="dxa"/>
            <w:tcBorders>
              <w:top w:val="nil"/>
              <w:left w:val="nil"/>
              <w:bottom w:val="single" w:sz="4" w:space="0" w:color="auto"/>
              <w:right w:val="single" w:sz="4" w:space="0" w:color="auto"/>
            </w:tcBorders>
            <w:shd w:val="clear" w:color="auto" w:fill="auto"/>
            <w:noWrap/>
            <w:vAlign w:val="center"/>
          </w:tcPr>
          <w:p w:rsidR="00F07E05" w:rsidRPr="00903B23" w:rsidRDefault="00F07E05" w:rsidP="008A253E">
            <w:pPr>
              <w:jc w:val="center"/>
              <w:rPr>
                <w:color w:val="000000" w:themeColor="text1"/>
              </w:rPr>
            </w:pPr>
            <w:r>
              <w:rPr>
                <w:color w:val="000000"/>
                <w:sz w:val="22"/>
                <w:szCs w:val="22"/>
              </w:rPr>
              <w:t>8</w:t>
            </w:r>
            <w:r w:rsidRPr="00903B23">
              <w:rPr>
                <w:color w:val="000000"/>
                <w:sz w:val="22"/>
                <w:szCs w:val="22"/>
              </w:rPr>
              <w:t xml:space="preserve">,9  </w:t>
            </w:r>
          </w:p>
        </w:tc>
      </w:tr>
      <w:tr w:rsidR="00F07E05" w:rsidRPr="00903B23" w:rsidTr="008A253E">
        <w:trPr>
          <w:trHeight w:val="300"/>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F07E05" w:rsidRPr="00903B23" w:rsidRDefault="00F07E05" w:rsidP="008A253E">
            <w:pPr>
              <w:rPr>
                <w:b/>
                <w:bCs/>
                <w:color w:val="000000"/>
              </w:rPr>
            </w:pPr>
            <w:r w:rsidRPr="00903B23">
              <w:rPr>
                <w:b/>
                <w:bCs/>
                <w:color w:val="000000"/>
                <w:sz w:val="22"/>
                <w:szCs w:val="22"/>
              </w:rPr>
              <w:t>7</w:t>
            </w:r>
          </w:p>
        </w:tc>
        <w:tc>
          <w:tcPr>
            <w:tcW w:w="3547" w:type="dxa"/>
            <w:tcBorders>
              <w:top w:val="nil"/>
              <w:left w:val="nil"/>
              <w:bottom w:val="single" w:sz="4" w:space="0" w:color="auto"/>
              <w:right w:val="single" w:sz="4" w:space="0" w:color="auto"/>
            </w:tcBorders>
            <w:shd w:val="clear" w:color="auto" w:fill="auto"/>
            <w:vAlign w:val="center"/>
            <w:hideMark/>
          </w:tcPr>
          <w:p w:rsidR="00F07E05" w:rsidRPr="00903B23" w:rsidRDefault="00F07E05" w:rsidP="008A253E">
            <w:pPr>
              <w:rPr>
                <w:b/>
                <w:bCs/>
                <w:color w:val="000000"/>
              </w:rPr>
            </w:pPr>
            <w:r w:rsidRPr="00903B23">
              <w:rPr>
                <w:b/>
                <w:bCs/>
                <w:color w:val="000000"/>
                <w:sz w:val="22"/>
                <w:szCs w:val="22"/>
              </w:rPr>
              <w:t>Итого пригород (стр.4*5*6)</w:t>
            </w:r>
          </w:p>
        </w:tc>
        <w:tc>
          <w:tcPr>
            <w:tcW w:w="1519" w:type="dxa"/>
            <w:tcBorders>
              <w:top w:val="nil"/>
              <w:left w:val="nil"/>
              <w:bottom w:val="single" w:sz="4" w:space="0" w:color="auto"/>
              <w:right w:val="single" w:sz="4" w:space="0" w:color="auto"/>
            </w:tcBorders>
            <w:shd w:val="clear" w:color="auto" w:fill="auto"/>
            <w:vAlign w:val="center"/>
            <w:hideMark/>
          </w:tcPr>
          <w:p w:rsidR="00F07E05" w:rsidRPr="00903B23" w:rsidRDefault="00F07E05" w:rsidP="008A253E">
            <w:pPr>
              <w:jc w:val="center"/>
              <w:rPr>
                <w:b/>
                <w:bCs/>
                <w:color w:val="000000"/>
              </w:rPr>
            </w:pPr>
            <w:r w:rsidRPr="00903B23">
              <w:rPr>
                <w:b/>
                <w:bCs/>
                <w:color w:val="000000"/>
                <w:sz w:val="22"/>
                <w:szCs w:val="22"/>
              </w:rPr>
              <w:t>тыс. руб.</w:t>
            </w:r>
          </w:p>
        </w:tc>
        <w:tc>
          <w:tcPr>
            <w:tcW w:w="1459" w:type="dxa"/>
            <w:tcBorders>
              <w:top w:val="nil"/>
              <w:left w:val="single" w:sz="4" w:space="0" w:color="auto"/>
              <w:bottom w:val="single" w:sz="4" w:space="0" w:color="auto"/>
              <w:right w:val="single" w:sz="4" w:space="0" w:color="auto"/>
            </w:tcBorders>
            <w:shd w:val="clear" w:color="auto" w:fill="auto"/>
            <w:noWrap/>
            <w:vAlign w:val="center"/>
            <w:hideMark/>
          </w:tcPr>
          <w:p w:rsidR="00F07E05" w:rsidRPr="00903B23" w:rsidRDefault="00F07E05" w:rsidP="008A253E">
            <w:pPr>
              <w:jc w:val="center"/>
              <w:rPr>
                <w:b/>
                <w:bCs/>
                <w:color w:val="000000" w:themeColor="text1"/>
              </w:rPr>
            </w:pPr>
            <w:r w:rsidRPr="00903B23">
              <w:rPr>
                <w:b/>
                <w:bCs/>
                <w:color w:val="000000"/>
                <w:sz w:val="22"/>
                <w:szCs w:val="22"/>
              </w:rPr>
              <w:t>3</w:t>
            </w:r>
            <w:r>
              <w:rPr>
                <w:b/>
                <w:bCs/>
                <w:color w:val="000000"/>
                <w:sz w:val="22"/>
                <w:szCs w:val="22"/>
              </w:rPr>
              <w:t> </w:t>
            </w:r>
            <w:r w:rsidRPr="00903B23">
              <w:rPr>
                <w:b/>
                <w:bCs/>
                <w:color w:val="000000"/>
                <w:sz w:val="22"/>
                <w:szCs w:val="22"/>
              </w:rPr>
              <w:t>5</w:t>
            </w:r>
            <w:r>
              <w:rPr>
                <w:b/>
                <w:bCs/>
                <w:color w:val="000000"/>
                <w:sz w:val="22"/>
                <w:szCs w:val="22"/>
              </w:rPr>
              <w:t>28</w:t>
            </w:r>
            <w:r w:rsidRPr="00903B23">
              <w:rPr>
                <w:b/>
                <w:bCs/>
                <w:color w:val="000000"/>
                <w:sz w:val="22"/>
                <w:szCs w:val="22"/>
              </w:rPr>
              <w:t>,</w:t>
            </w:r>
            <w:r>
              <w:rPr>
                <w:b/>
                <w:bCs/>
                <w:color w:val="000000"/>
                <w:sz w:val="22"/>
                <w:szCs w:val="22"/>
              </w:rPr>
              <w:t>6</w:t>
            </w:r>
            <w:r w:rsidRPr="00903B23">
              <w:rPr>
                <w:b/>
                <w:bCs/>
                <w:color w:val="000000"/>
                <w:sz w:val="22"/>
                <w:szCs w:val="22"/>
              </w:rPr>
              <w:t xml:space="preserve">  </w:t>
            </w:r>
          </w:p>
        </w:tc>
        <w:tc>
          <w:tcPr>
            <w:tcW w:w="1459" w:type="dxa"/>
            <w:tcBorders>
              <w:top w:val="nil"/>
              <w:left w:val="nil"/>
              <w:bottom w:val="single" w:sz="4" w:space="0" w:color="auto"/>
              <w:right w:val="single" w:sz="4" w:space="0" w:color="auto"/>
            </w:tcBorders>
            <w:shd w:val="clear" w:color="auto" w:fill="auto"/>
            <w:noWrap/>
            <w:vAlign w:val="center"/>
            <w:hideMark/>
          </w:tcPr>
          <w:p w:rsidR="00F07E05" w:rsidRPr="00903B23" w:rsidRDefault="00F07E05" w:rsidP="008A253E">
            <w:pPr>
              <w:jc w:val="center"/>
              <w:rPr>
                <w:b/>
                <w:bCs/>
                <w:color w:val="000000" w:themeColor="text1"/>
              </w:rPr>
            </w:pPr>
            <w:r w:rsidRPr="00903B23">
              <w:rPr>
                <w:b/>
                <w:bCs/>
                <w:color w:val="000000"/>
                <w:sz w:val="22"/>
                <w:szCs w:val="22"/>
              </w:rPr>
              <w:t>3 612,</w:t>
            </w:r>
            <w:r>
              <w:rPr>
                <w:b/>
                <w:bCs/>
                <w:color w:val="000000"/>
                <w:sz w:val="22"/>
                <w:szCs w:val="22"/>
              </w:rPr>
              <w:t>1</w:t>
            </w:r>
            <w:r w:rsidRPr="00903B23">
              <w:rPr>
                <w:b/>
                <w:bCs/>
                <w:color w:val="000000"/>
                <w:sz w:val="22"/>
                <w:szCs w:val="22"/>
              </w:rPr>
              <w:t xml:space="preserve">  </w:t>
            </w:r>
          </w:p>
        </w:tc>
        <w:tc>
          <w:tcPr>
            <w:tcW w:w="1459" w:type="dxa"/>
            <w:tcBorders>
              <w:top w:val="nil"/>
              <w:left w:val="nil"/>
              <w:bottom w:val="single" w:sz="4" w:space="0" w:color="auto"/>
              <w:right w:val="single" w:sz="4" w:space="0" w:color="auto"/>
            </w:tcBorders>
            <w:shd w:val="clear" w:color="auto" w:fill="auto"/>
            <w:noWrap/>
            <w:vAlign w:val="center"/>
          </w:tcPr>
          <w:p w:rsidR="00F07E05" w:rsidRPr="00903B23" w:rsidRDefault="00F07E05" w:rsidP="008A253E">
            <w:pPr>
              <w:jc w:val="center"/>
              <w:rPr>
                <w:b/>
                <w:bCs/>
                <w:color w:val="000000" w:themeColor="text1"/>
              </w:rPr>
            </w:pPr>
            <w:r w:rsidRPr="00903B23">
              <w:rPr>
                <w:b/>
                <w:bCs/>
                <w:color w:val="000000"/>
                <w:sz w:val="22"/>
                <w:szCs w:val="22"/>
              </w:rPr>
              <w:t>3 66</w:t>
            </w:r>
            <w:r>
              <w:rPr>
                <w:b/>
                <w:bCs/>
                <w:color w:val="000000"/>
                <w:sz w:val="22"/>
                <w:szCs w:val="22"/>
              </w:rPr>
              <w:t>8</w:t>
            </w:r>
            <w:r w:rsidRPr="00903B23">
              <w:rPr>
                <w:b/>
                <w:bCs/>
                <w:color w:val="000000"/>
                <w:sz w:val="22"/>
                <w:szCs w:val="22"/>
              </w:rPr>
              <w:t>,</w:t>
            </w:r>
            <w:r>
              <w:rPr>
                <w:b/>
                <w:bCs/>
                <w:color w:val="000000"/>
                <w:sz w:val="22"/>
                <w:szCs w:val="22"/>
              </w:rPr>
              <w:t>3</w:t>
            </w:r>
            <w:r w:rsidRPr="00903B23">
              <w:rPr>
                <w:b/>
                <w:bCs/>
                <w:color w:val="000000"/>
                <w:sz w:val="22"/>
                <w:szCs w:val="22"/>
              </w:rPr>
              <w:t xml:space="preserve">  </w:t>
            </w:r>
          </w:p>
        </w:tc>
      </w:tr>
      <w:tr w:rsidR="00F07E05" w:rsidRPr="00903B23" w:rsidTr="008A253E">
        <w:trPr>
          <w:trHeight w:val="300"/>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F07E05" w:rsidRPr="00903B23" w:rsidRDefault="00F07E05" w:rsidP="008A253E">
            <w:pPr>
              <w:rPr>
                <w:color w:val="000000"/>
              </w:rPr>
            </w:pPr>
            <w:r w:rsidRPr="00903B23">
              <w:rPr>
                <w:color w:val="000000"/>
                <w:sz w:val="22"/>
                <w:szCs w:val="22"/>
              </w:rPr>
              <w:t>8</w:t>
            </w:r>
          </w:p>
        </w:tc>
        <w:tc>
          <w:tcPr>
            <w:tcW w:w="3547" w:type="dxa"/>
            <w:tcBorders>
              <w:top w:val="nil"/>
              <w:left w:val="nil"/>
              <w:bottom w:val="single" w:sz="4" w:space="0" w:color="auto"/>
              <w:right w:val="single" w:sz="4" w:space="0" w:color="auto"/>
            </w:tcBorders>
            <w:shd w:val="clear" w:color="auto" w:fill="auto"/>
            <w:vAlign w:val="center"/>
            <w:hideMark/>
          </w:tcPr>
          <w:p w:rsidR="00F07E05" w:rsidRPr="00903B23" w:rsidRDefault="00F07E05" w:rsidP="008A253E">
            <w:pPr>
              <w:rPr>
                <w:color w:val="000000"/>
              </w:rPr>
            </w:pPr>
            <w:r w:rsidRPr="00903B23">
              <w:rPr>
                <w:color w:val="000000"/>
                <w:sz w:val="22"/>
                <w:szCs w:val="22"/>
              </w:rPr>
              <w:t>Комиссия компании оператора</w:t>
            </w:r>
          </w:p>
        </w:tc>
        <w:tc>
          <w:tcPr>
            <w:tcW w:w="1519" w:type="dxa"/>
            <w:tcBorders>
              <w:top w:val="nil"/>
              <w:left w:val="nil"/>
              <w:bottom w:val="single" w:sz="4" w:space="0" w:color="auto"/>
              <w:right w:val="single" w:sz="4" w:space="0" w:color="auto"/>
            </w:tcBorders>
            <w:shd w:val="clear" w:color="auto" w:fill="auto"/>
            <w:vAlign w:val="center"/>
            <w:hideMark/>
          </w:tcPr>
          <w:p w:rsidR="00F07E05" w:rsidRPr="00903B23" w:rsidRDefault="00F07E05" w:rsidP="008A253E">
            <w:pPr>
              <w:jc w:val="center"/>
              <w:rPr>
                <w:color w:val="000000"/>
              </w:rPr>
            </w:pPr>
            <w:r w:rsidRPr="00903B23">
              <w:rPr>
                <w:color w:val="000000"/>
                <w:sz w:val="22"/>
                <w:szCs w:val="22"/>
              </w:rPr>
              <w:t>%</w:t>
            </w:r>
          </w:p>
        </w:tc>
        <w:tc>
          <w:tcPr>
            <w:tcW w:w="1459" w:type="dxa"/>
            <w:tcBorders>
              <w:top w:val="nil"/>
              <w:left w:val="single" w:sz="4" w:space="0" w:color="auto"/>
              <w:bottom w:val="single" w:sz="4" w:space="0" w:color="auto"/>
              <w:right w:val="single" w:sz="4" w:space="0" w:color="auto"/>
            </w:tcBorders>
            <w:shd w:val="clear" w:color="auto" w:fill="auto"/>
            <w:noWrap/>
            <w:vAlign w:val="center"/>
            <w:hideMark/>
          </w:tcPr>
          <w:p w:rsidR="00F07E05" w:rsidRPr="00153550" w:rsidRDefault="00F07E05" w:rsidP="008A253E">
            <w:pPr>
              <w:jc w:val="center"/>
            </w:pPr>
            <w:r w:rsidRPr="00153550">
              <w:rPr>
                <w:sz w:val="22"/>
                <w:szCs w:val="22"/>
              </w:rPr>
              <w:t>6%</w:t>
            </w:r>
          </w:p>
        </w:tc>
        <w:tc>
          <w:tcPr>
            <w:tcW w:w="1459" w:type="dxa"/>
            <w:tcBorders>
              <w:top w:val="nil"/>
              <w:left w:val="nil"/>
              <w:bottom w:val="single" w:sz="4" w:space="0" w:color="auto"/>
              <w:right w:val="single" w:sz="4" w:space="0" w:color="auto"/>
            </w:tcBorders>
            <w:shd w:val="clear" w:color="auto" w:fill="auto"/>
            <w:noWrap/>
            <w:vAlign w:val="center"/>
            <w:hideMark/>
          </w:tcPr>
          <w:p w:rsidR="00F07E05" w:rsidRPr="00153550" w:rsidRDefault="00F07E05" w:rsidP="008A253E">
            <w:pPr>
              <w:jc w:val="center"/>
            </w:pPr>
            <w:r w:rsidRPr="00153550">
              <w:rPr>
                <w:sz w:val="22"/>
                <w:szCs w:val="22"/>
              </w:rPr>
              <w:t>6%</w:t>
            </w:r>
          </w:p>
        </w:tc>
        <w:tc>
          <w:tcPr>
            <w:tcW w:w="1459" w:type="dxa"/>
            <w:tcBorders>
              <w:top w:val="nil"/>
              <w:left w:val="nil"/>
              <w:bottom w:val="single" w:sz="4" w:space="0" w:color="auto"/>
              <w:right w:val="single" w:sz="4" w:space="0" w:color="auto"/>
            </w:tcBorders>
            <w:shd w:val="clear" w:color="auto" w:fill="auto"/>
            <w:noWrap/>
            <w:vAlign w:val="center"/>
          </w:tcPr>
          <w:p w:rsidR="00F07E05" w:rsidRPr="00153550" w:rsidRDefault="00F07E05" w:rsidP="008A253E">
            <w:pPr>
              <w:jc w:val="center"/>
            </w:pPr>
            <w:r w:rsidRPr="00153550">
              <w:rPr>
                <w:sz w:val="22"/>
                <w:szCs w:val="22"/>
              </w:rPr>
              <w:t>6%</w:t>
            </w:r>
          </w:p>
        </w:tc>
      </w:tr>
      <w:tr w:rsidR="00F07E05" w:rsidRPr="00903B23" w:rsidTr="008A253E">
        <w:trPr>
          <w:trHeight w:val="300"/>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F07E05" w:rsidRPr="00903B23" w:rsidRDefault="00F07E05" w:rsidP="008A253E">
            <w:pPr>
              <w:rPr>
                <w:color w:val="000000"/>
              </w:rPr>
            </w:pPr>
            <w:r w:rsidRPr="00903B23">
              <w:rPr>
                <w:color w:val="000000"/>
                <w:sz w:val="22"/>
                <w:szCs w:val="22"/>
              </w:rPr>
              <w:t>9</w:t>
            </w:r>
          </w:p>
        </w:tc>
        <w:tc>
          <w:tcPr>
            <w:tcW w:w="3547" w:type="dxa"/>
            <w:tcBorders>
              <w:top w:val="nil"/>
              <w:left w:val="nil"/>
              <w:bottom w:val="single" w:sz="4" w:space="0" w:color="auto"/>
              <w:right w:val="single" w:sz="4" w:space="0" w:color="auto"/>
            </w:tcBorders>
            <w:shd w:val="clear" w:color="auto" w:fill="auto"/>
            <w:vAlign w:val="center"/>
            <w:hideMark/>
          </w:tcPr>
          <w:p w:rsidR="00F07E05" w:rsidRPr="00903B23" w:rsidRDefault="00F07E05" w:rsidP="008A253E">
            <w:pPr>
              <w:rPr>
                <w:color w:val="000000"/>
              </w:rPr>
            </w:pPr>
            <w:r w:rsidRPr="00903B23">
              <w:rPr>
                <w:color w:val="000000"/>
                <w:sz w:val="22"/>
                <w:szCs w:val="22"/>
              </w:rPr>
              <w:t>Сумма комиссии оператора (стр. 3 +7)*8)</w:t>
            </w:r>
          </w:p>
        </w:tc>
        <w:tc>
          <w:tcPr>
            <w:tcW w:w="1519" w:type="dxa"/>
            <w:tcBorders>
              <w:top w:val="nil"/>
              <w:left w:val="nil"/>
              <w:bottom w:val="single" w:sz="4" w:space="0" w:color="auto"/>
              <w:right w:val="single" w:sz="4" w:space="0" w:color="auto"/>
            </w:tcBorders>
            <w:shd w:val="clear" w:color="auto" w:fill="auto"/>
            <w:vAlign w:val="center"/>
            <w:hideMark/>
          </w:tcPr>
          <w:p w:rsidR="00F07E05" w:rsidRPr="00903B23" w:rsidRDefault="00F07E05" w:rsidP="008A253E">
            <w:pPr>
              <w:jc w:val="center"/>
              <w:rPr>
                <w:color w:val="000000"/>
              </w:rPr>
            </w:pPr>
            <w:r w:rsidRPr="00903B23">
              <w:rPr>
                <w:color w:val="000000"/>
                <w:sz w:val="22"/>
                <w:szCs w:val="22"/>
              </w:rPr>
              <w:t>тыс. руб.</w:t>
            </w:r>
          </w:p>
        </w:tc>
        <w:tc>
          <w:tcPr>
            <w:tcW w:w="1459" w:type="dxa"/>
            <w:tcBorders>
              <w:top w:val="nil"/>
              <w:left w:val="single" w:sz="4" w:space="0" w:color="auto"/>
              <w:bottom w:val="single" w:sz="4" w:space="0" w:color="auto"/>
              <w:right w:val="single" w:sz="4" w:space="0" w:color="auto"/>
            </w:tcBorders>
            <w:shd w:val="clear" w:color="auto" w:fill="auto"/>
            <w:noWrap/>
            <w:vAlign w:val="center"/>
            <w:hideMark/>
          </w:tcPr>
          <w:p w:rsidR="00F07E05" w:rsidRPr="00153550" w:rsidRDefault="00F07E05" w:rsidP="008A253E">
            <w:pPr>
              <w:jc w:val="center"/>
            </w:pPr>
            <w:r>
              <w:rPr>
                <w:sz w:val="22"/>
                <w:szCs w:val="22"/>
              </w:rPr>
              <w:t>211,7</w:t>
            </w:r>
            <w:r w:rsidRPr="00153550">
              <w:rPr>
                <w:sz w:val="22"/>
                <w:szCs w:val="22"/>
              </w:rPr>
              <w:t xml:space="preserve">  </w:t>
            </w:r>
          </w:p>
        </w:tc>
        <w:tc>
          <w:tcPr>
            <w:tcW w:w="1459" w:type="dxa"/>
            <w:tcBorders>
              <w:top w:val="nil"/>
              <w:left w:val="nil"/>
              <w:bottom w:val="single" w:sz="4" w:space="0" w:color="auto"/>
              <w:right w:val="single" w:sz="4" w:space="0" w:color="auto"/>
            </w:tcBorders>
            <w:shd w:val="clear" w:color="auto" w:fill="auto"/>
            <w:noWrap/>
            <w:vAlign w:val="center"/>
            <w:hideMark/>
          </w:tcPr>
          <w:p w:rsidR="00F07E05" w:rsidRPr="00153550" w:rsidRDefault="00F07E05" w:rsidP="008A253E">
            <w:pPr>
              <w:jc w:val="center"/>
            </w:pPr>
            <w:r>
              <w:rPr>
                <w:sz w:val="22"/>
                <w:szCs w:val="22"/>
              </w:rPr>
              <w:t>216,8</w:t>
            </w:r>
            <w:r w:rsidRPr="00153550">
              <w:rPr>
                <w:sz w:val="22"/>
                <w:szCs w:val="22"/>
              </w:rPr>
              <w:t xml:space="preserve">  </w:t>
            </w:r>
          </w:p>
        </w:tc>
        <w:tc>
          <w:tcPr>
            <w:tcW w:w="1459" w:type="dxa"/>
            <w:tcBorders>
              <w:top w:val="nil"/>
              <w:left w:val="nil"/>
              <w:bottom w:val="single" w:sz="4" w:space="0" w:color="auto"/>
              <w:right w:val="single" w:sz="4" w:space="0" w:color="auto"/>
            </w:tcBorders>
            <w:shd w:val="clear" w:color="auto" w:fill="auto"/>
            <w:noWrap/>
            <w:vAlign w:val="center"/>
          </w:tcPr>
          <w:p w:rsidR="00F07E05" w:rsidRPr="00153550" w:rsidRDefault="00F07E05" w:rsidP="008A253E">
            <w:pPr>
              <w:jc w:val="center"/>
            </w:pPr>
            <w:r>
              <w:rPr>
                <w:sz w:val="22"/>
                <w:szCs w:val="22"/>
              </w:rPr>
              <w:t>220,1</w:t>
            </w:r>
            <w:r w:rsidRPr="00153550">
              <w:rPr>
                <w:sz w:val="22"/>
                <w:szCs w:val="22"/>
              </w:rPr>
              <w:t xml:space="preserve">  </w:t>
            </w:r>
          </w:p>
        </w:tc>
      </w:tr>
      <w:tr w:rsidR="00F07E05" w:rsidRPr="00903B23" w:rsidTr="008A253E">
        <w:trPr>
          <w:trHeight w:val="300"/>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F07E05" w:rsidRPr="00903B23" w:rsidRDefault="00F07E05" w:rsidP="008A253E">
            <w:pPr>
              <w:rPr>
                <w:b/>
                <w:bCs/>
                <w:color w:val="000000"/>
              </w:rPr>
            </w:pPr>
            <w:r w:rsidRPr="00903B23">
              <w:rPr>
                <w:b/>
                <w:bCs/>
                <w:color w:val="000000"/>
                <w:sz w:val="22"/>
                <w:szCs w:val="22"/>
              </w:rPr>
              <w:t>10</w:t>
            </w:r>
          </w:p>
        </w:tc>
        <w:tc>
          <w:tcPr>
            <w:tcW w:w="3547" w:type="dxa"/>
            <w:tcBorders>
              <w:top w:val="nil"/>
              <w:left w:val="nil"/>
              <w:bottom w:val="single" w:sz="4" w:space="0" w:color="auto"/>
              <w:right w:val="single" w:sz="4" w:space="0" w:color="auto"/>
            </w:tcBorders>
            <w:shd w:val="clear" w:color="auto" w:fill="auto"/>
            <w:vAlign w:val="center"/>
            <w:hideMark/>
          </w:tcPr>
          <w:p w:rsidR="00F07E05" w:rsidRPr="00903B23" w:rsidRDefault="00F07E05" w:rsidP="008A253E">
            <w:pPr>
              <w:rPr>
                <w:b/>
                <w:bCs/>
                <w:color w:val="000000"/>
              </w:rPr>
            </w:pPr>
            <w:r w:rsidRPr="00903B23">
              <w:rPr>
                <w:b/>
                <w:bCs/>
                <w:color w:val="000000"/>
                <w:sz w:val="22"/>
                <w:szCs w:val="22"/>
              </w:rPr>
              <w:t>ИТОГО ПРОГНОЗ (стр.3+7-9)</w:t>
            </w:r>
          </w:p>
        </w:tc>
        <w:tc>
          <w:tcPr>
            <w:tcW w:w="1519" w:type="dxa"/>
            <w:tcBorders>
              <w:top w:val="nil"/>
              <w:left w:val="nil"/>
              <w:bottom w:val="single" w:sz="4" w:space="0" w:color="auto"/>
              <w:right w:val="single" w:sz="4" w:space="0" w:color="auto"/>
            </w:tcBorders>
            <w:shd w:val="clear" w:color="auto" w:fill="auto"/>
            <w:vAlign w:val="center"/>
            <w:hideMark/>
          </w:tcPr>
          <w:p w:rsidR="00F07E05" w:rsidRPr="00903B23" w:rsidRDefault="00F07E05" w:rsidP="008A253E">
            <w:pPr>
              <w:jc w:val="center"/>
              <w:rPr>
                <w:b/>
                <w:bCs/>
                <w:color w:val="000000"/>
              </w:rPr>
            </w:pPr>
            <w:r w:rsidRPr="00903B23">
              <w:rPr>
                <w:b/>
                <w:bCs/>
                <w:color w:val="000000"/>
                <w:sz w:val="22"/>
                <w:szCs w:val="22"/>
              </w:rPr>
              <w:t>тыс. руб.</w:t>
            </w:r>
          </w:p>
        </w:tc>
        <w:tc>
          <w:tcPr>
            <w:tcW w:w="1459" w:type="dxa"/>
            <w:tcBorders>
              <w:top w:val="nil"/>
              <w:left w:val="single" w:sz="4" w:space="0" w:color="auto"/>
              <w:bottom w:val="single" w:sz="4" w:space="0" w:color="auto"/>
              <w:right w:val="single" w:sz="4" w:space="0" w:color="auto"/>
            </w:tcBorders>
            <w:shd w:val="clear" w:color="auto" w:fill="auto"/>
            <w:noWrap/>
            <w:vAlign w:val="center"/>
            <w:hideMark/>
          </w:tcPr>
          <w:p w:rsidR="00F07E05" w:rsidRPr="00153550" w:rsidRDefault="00F07E05" w:rsidP="008A253E">
            <w:pPr>
              <w:jc w:val="center"/>
              <w:rPr>
                <w:b/>
                <w:bCs/>
              </w:rPr>
            </w:pPr>
            <w:r>
              <w:rPr>
                <w:b/>
                <w:bCs/>
                <w:sz w:val="22"/>
                <w:szCs w:val="22"/>
              </w:rPr>
              <w:t>3 316,9</w:t>
            </w:r>
            <w:r w:rsidRPr="00153550">
              <w:rPr>
                <w:b/>
                <w:bCs/>
                <w:sz w:val="22"/>
                <w:szCs w:val="22"/>
              </w:rPr>
              <w:t xml:space="preserve">  </w:t>
            </w:r>
          </w:p>
        </w:tc>
        <w:tc>
          <w:tcPr>
            <w:tcW w:w="1459" w:type="dxa"/>
            <w:tcBorders>
              <w:top w:val="nil"/>
              <w:left w:val="nil"/>
              <w:bottom w:val="single" w:sz="4" w:space="0" w:color="auto"/>
              <w:right w:val="single" w:sz="4" w:space="0" w:color="auto"/>
            </w:tcBorders>
            <w:shd w:val="clear" w:color="auto" w:fill="auto"/>
            <w:noWrap/>
            <w:vAlign w:val="center"/>
            <w:hideMark/>
          </w:tcPr>
          <w:p w:rsidR="00F07E05" w:rsidRPr="00153550" w:rsidRDefault="00F07E05" w:rsidP="008A253E">
            <w:pPr>
              <w:jc w:val="center"/>
              <w:rPr>
                <w:b/>
                <w:bCs/>
              </w:rPr>
            </w:pPr>
            <w:r w:rsidRPr="00153550">
              <w:rPr>
                <w:b/>
                <w:bCs/>
                <w:sz w:val="22"/>
                <w:szCs w:val="22"/>
              </w:rPr>
              <w:t>3</w:t>
            </w:r>
            <w:r>
              <w:rPr>
                <w:b/>
                <w:bCs/>
                <w:sz w:val="22"/>
                <w:szCs w:val="22"/>
              </w:rPr>
              <w:t> 395,3</w:t>
            </w:r>
            <w:r w:rsidRPr="00153550">
              <w:rPr>
                <w:b/>
                <w:bCs/>
                <w:sz w:val="22"/>
                <w:szCs w:val="22"/>
              </w:rPr>
              <w:t xml:space="preserve"> </w:t>
            </w:r>
          </w:p>
        </w:tc>
        <w:tc>
          <w:tcPr>
            <w:tcW w:w="1459" w:type="dxa"/>
            <w:tcBorders>
              <w:top w:val="nil"/>
              <w:left w:val="nil"/>
              <w:bottom w:val="single" w:sz="4" w:space="0" w:color="auto"/>
              <w:right w:val="single" w:sz="4" w:space="0" w:color="auto"/>
            </w:tcBorders>
            <w:shd w:val="clear" w:color="auto" w:fill="auto"/>
            <w:noWrap/>
            <w:vAlign w:val="center"/>
          </w:tcPr>
          <w:p w:rsidR="00F07E05" w:rsidRPr="00153550" w:rsidRDefault="00F07E05" w:rsidP="008A253E">
            <w:pPr>
              <w:jc w:val="center"/>
              <w:rPr>
                <w:b/>
                <w:bCs/>
              </w:rPr>
            </w:pPr>
            <w:r>
              <w:rPr>
                <w:b/>
                <w:bCs/>
                <w:sz w:val="22"/>
                <w:szCs w:val="22"/>
              </w:rPr>
              <w:t>3 448,2</w:t>
            </w:r>
            <w:r w:rsidRPr="00153550">
              <w:rPr>
                <w:b/>
                <w:bCs/>
                <w:sz w:val="22"/>
                <w:szCs w:val="22"/>
              </w:rPr>
              <w:t xml:space="preserve">  </w:t>
            </w:r>
          </w:p>
        </w:tc>
      </w:tr>
      <w:tr w:rsidR="00F07E05" w:rsidRPr="00903B23" w:rsidTr="008A253E">
        <w:trPr>
          <w:trHeight w:val="585"/>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F07E05" w:rsidRPr="00903B23" w:rsidRDefault="00F07E05" w:rsidP="008A253E">
            <w:pPr>
              <w:rPr>
                <w:b/>
                <w:bCs/>
                <w:color w:val="000000"/>
              </w:rPr>
            </w:pPr>
            <w:r w:rsidRPr="00903B23">
              <w:rPr>
                <w:b/>
                <w:bCs/>
                <w:color w:val="000000"/>
                <w:sz w:val="22"/>
                <w:szCs w:val="22"/>
              </w:rPr>
              <w:t>11</w:t>
            </w:r>
          </w:p>
        </w:tc>
        <w:tc>
          <w:tcPr>
            <w:tcW w:w="3547" w:type="dxa"/>
            <w:tcBorders>
              <w:top w:val="nil"/>
              <w:left w:val="nil"/>
              <w:bottom w:val="single" w:sz="4" w:space="0" w:color="auto"/>
              <w:right w:val="single" w:sz="4" w:space="0" w:color="auto"/>
            </w:tcBorders>
            <w:shd w:val="clear" w:color="auto" w:fill="auto"/>
            <w:vAlign w:val="center"/>
            <w:hideMark/>
          </w:tcPr>
          <w:p w:rsidR="00F07E05" w:rsidRPr="00903B23" w:rsidRDefault="00F07E05" w:rsidP="008A253E">
            <w:pPr>
              <w:rPr>
                <w:b/>
                <w:bCs/>
                <w:color w:val="000000"/>
              </w:rPr>
            </w:pPr>
            <w:r w:rsidRPr="00903B23">
              <w:rPr>
                <w:b/>
                <w:bCs/>
                <w:color w:val="000000"/>
                <w:sz w:val="22"/>
                <w:szCs w:val="22"/>
              </w:rPr>
              <w:t>Доходы от пред</w:t>
            </w:r>
            <w:r>
              <w:rPr>
                <w:b/>
                <w:bCs/>
                <w:color w:val="000000"/>
                <w:sz w:val="22"/>
                <w:szCs w:val="22"/>
              </w:rPr>
              <w:t>о</w:t>
            </w:r>
            <w:r w:rsidRPr="00903B23">
              <w:rPr>
                <w:b/>
                <w:bCs/>
                <w:color w:val="000000"/>
                <w:sz w:val="22"/>
                <w:szCs w:val="22"/>
              </w:rPr>
              <w:t>ставления льготного проезда</w:t>
            </w:r>
          </w:p>
        </w:tc>
        <w:tc>
          <w:tcPr>
            <w:tcW w:w="1519" w:type="dxa"/>
            <w:tcBorders>
              <w:top w:val="nil"/>
              <w:left w:val="nil"/>
              <w:bottom w:val="single" w:sz="4" w:space="0" w:color="auto"/>
              <w:right w:val="single" w:sz="4" w:space="0" w:color="auto"/>
            </w:tcBorders>
            <w:shd w:val="clear" w:color="auto" w:fill="auto"/>
            <w:vAlign w:val="center"/>
            <w:hideMark/>
          </w:tcPr>
          <w:p w:rsidR="00F07E05" w:rsidRPr="00903B23" w:rsidRDefault="00F07E05" w:rsidP="008A253E">
            <w:pPr>
              <w:jc w:val="center"/>
              <w:rPr>
                <w:b/>
                <w:bCs/>
                <w:color w:val="000000"/>
              </w:rPr>
            </w:pPr>
            <w:r w:rsidRPr="00903B23">
              <w:rPr>
                <w:b/>
                <w:bCs/>
                <w:color w:val="000000"/>
                <w:sz w:val="22"/>
                <w:szCs w:val="22"/>
              </w:rPr>
              <w:t>тыс. руб.</w:t>
            </w:r>
          </w:p>
        </w:tc>
        <w:tc>
          <w:tcPr>
            <w:tcW w:w="1459" w:type="dxa"/>
            <w:tcBorders>
              <w:top w:val="nil"/>
              <w:left w:val="single" w:sz="4" w:space="0" w:color="auto"/>
              <w:bottom w:val="single" w:sz="4" w:space="0" w:color="auto"/>
              <w:right w:val="single" w:sz="4" w:space="0" w:color="auto"/>
            </w:tcBorders>
            <w:shd w:val="clear" w:color="auto" w:fill="auto"/>
            <w:noWrap/>
            <w:vAlign w:val="center"/>
            <w:hideMark/>
          </w:tcPr>
          <w:p w:rsidR="00F07E05" w:rsidRPr="00153550" w:rsidRDefault="00F07E05" w:rsidP="008A253E">
            <w:pPr>
              <w:jc w:val="center"/>
              <w:rPr>
                <w:b/>
                <w:bCs/>
              </w:rPr>
            </w:pPr>
            <w:r>
              <w:rPr>
                <w:b/>
                <w:bCs/>
                <w:sz w:val="22"/>
                <w:szCs w:val="22"/>
              </w:rPr>
              <w:t>535,2</w:t>
            </w:r>
            <w:r w:rsidRPr="00153550">
              <w:rPr>
                <w:b/>
                <w:bCs/>
                <w:sz w:val="22"/>
                <w:szCs w:val="22"/>
              </w:rPr>
              <w:t xml:space="preserve">  </w:t>
            </w:r>
          </w:p>
        </w:tc>
        <w:tc>
          <w:tcPr>
            <w:tcW w:w="1459" w:type="dxa"/>
            <w:tcBorders>
              <w:top w:val="nil"/>
              <w:left w:val="nil"/>
              <w:bottom w:val="single" w:sz="4" w:space="0" w:color="auto"/>
              <w:right w:val="single" w:sz="4" w:space="0" w:color="auto"/>
            </w:tcBorders>
            <w:shd w:val="clear" w:color="auto" w:fill="auto"/>
            <w:noWrap/>
            <w:vAlign w:val="center"/>
            <w:hideMark/>
          </w:tcPr>
          <w:p w:rsidR="00F07E05" w:rsidRPr="00153550" w:rsidRDefault="00F07E05" w:rsidP="008A253E">
            <w:pPr>
              <w:jc w:val="center"/>
              <w:rPr>
                <w:b/>
                <w:bCs/>
              </w:rPr>
            </w:pPr>
            <w:r>
              <w:rPr>
                <w:b/>
                <w:bCs/>
                <w:sz w:val="22"/>
                <w:szCs w:val="22"/>
              </w:rPr>
              <w:t>535,2</w:t>
            </w:r>
            <w:r w:rsidRPr="00153550">
              <w:rPr>
                <w:b/>
                <w:bCs/>
                <w:sz w:val="22"/>
                <w:szCs w:val="22"/>
              </w:rPr>
              <w:t xml:space="preserve">  </w:t>
            </w:r>
          </w:p>
        </w:tc>
        <w:tc>
          <w:tcPr>
            <w:tcW w:w="1459" w:type="dxa"/>
            <w:tcBorders>
              <w:top w:val="nil"/>
              <w:left w:val="nil"/>
              <w:bottom w:val="single" w:sz="4" w:space="0" w:color="auto"/>
              <w:right w:val="single" w:sz="4" w:space="0" w:color="auto"/>
            </w:tcBorders>
            <w:shd w:val="clear" w:color="auto" w:fill="auto"/>
            <w:noWrap/>
            <w:vAlign w:val="center"/>
          </w:tcPr>
          <w:p w:rsidR="00F07E05" w:rsidRPr="00153550" w:rsidRDefault="00F07E05" w:rsidP="008A253E">
            <w:pPr>
              <w:jc w:val="center"/>
              <w:rPr>
                <w:b/>
                <w:bCs/>
              </w:rPr>
            </w:pPr>
            <w:r>
              <w:rPr>
                <w:b/>
                <w:bCs/>
                <w:sz w:val="22"/>
                <w:szCs w:val="22"/>
              </w:rPr>
              <w:t>535,2</w:t>
            </w:r>
            <w:r w:rsidRPr="00153550">
              <w:rPr>
                <w:b/>
                <w:bCs/>
                <w:sz w:val="22"/>
                <w:szCs w:val="22"/>
              </w:rPr>
              <w:t xml:space="preserve">  </w:t>
            </w:r>
          </w:p>
        </w:tc>
      </w:tr>
      <w:tr w:rsidR="00F07E05" w:rsidRPr="00903B23" w:rsidTr="008A253E">
        <w:trPr>
          <w:trHeight w:val="585"/>
        </w:trPr>
        <w:tc>
          <w:tcPr>
            <w:tcW w:w="557" w:type="dxa"/>
            <w:tcBorders>
              <w:top w:val="nil"/>
              <w:left w:val="single" w:sz="4" w:space="0" w:color="auto"/>
              <w:bottom w:val="single" w:sz="4" w:space="0" w:color="auto"/>
              <w:right w:val="single" w:sz="4" w:space="0" w:color="auto"/>
            </w:tcBorders>
            <w:shd w:val="clear" w:color="auto" w:fill="auto"/>
            <w:noWrap/>
            <w:vAlign w:val="center"/>
          </w:tcPr>
          <w:p w:rsidR="00F07E05" w:rsidRPr="00903B23" w:rsidRDefault="00F07E05" w:rsidP="008A253E">
            <w:pPr>
              <w:rPr>
                <w:b/>
                <w:bCs/>
                <w:color w:val="000000"/>
              </w:rPr>
            </w:pPr>
            <w:r w:rsidRPr="009C62AA">
              <w:rPr>
                <w:color w:val="000000"/>
                <w:sz w:val="22"/>
                <w:szCs w:val="22"/>
                <w:lang w:val="en-US"/>
              </w:rPr>
              <w:t>12</w:t>
            </w:r>
          </w:p>
        </w:tc>
        <w:tc>
          <w:tcPr>
            <w:tcW w:w="3547" w:type="dxa"/>
            <w:tcBorders>
              <w:top w:val="nil"/>
              <w:left w:val="nil"/>
              <w:bottom w:val="single" w:sz="4" w:space="0" w:color="auto"/>
              <w:right w:val="single" w:sz="4" w:space="0" w:color="auto"/>
            </w:tcBorders>
            <w:shd w:val="clear" w:color="auto" w:fill="auto"/>
            <w:vAlign w:val="center"/>
          </w:tcPr>
          <w:p w:rsidR="00F07E05" w:rsidRPr="00903B23" w:rsidRDefault="00F07E05" w:rsidP="008A253E">
            <w:pPr>
              <w:rPr>
                <w:b/>
                <w:bCs/>
                <w:color w:val="000000"/>
              </w:rPr>
            </w:pPr>
            <w:r>
              <w:rPr>
                <w:color w:val="000000"/>
                <w:sz w:val="22"/>
                <w:szCs w:val="22"/>
              </w:rPr>
              <w:t>К</w:t>
            </w:r>
            <w:r w:rsidRPr="00C209CD">
              <w:rPr>
                <w:color w:val="000000"/>
                <w:sz w:val="22"/>
                <w:szCs w:val="22"/>
              </w:rPr>
              <w:t>оэффициент корректировки снижения пассажиропотока из-за профилактических мер в связи с новой коронавирусной инфекцией (COVID-19) и безбилетных пассажиров</w:t>
            </w:r>
          </w:p>
        </w:tc>
        <w:tc>
          <w:tcPr>
            <w:tcW w:w="1519" w:type="dxa"/>
            <w:tcBorders>
              <w:top w:val="nil"/>
              <w:left w:val="nil"/>
              <w:bottom w:val="single" w:sz="4" w:space="0" w:color="auto"/>
              <w:right w:val="single" w:sz="4" w:space="0" w:color="auto"/>
            </w:tcBorders>
            <w:shd w:val="clear" w:color="auto" w:fill="auto"/>
            <w:vAlign w:val="center"/>
          </w:tcPr>
          <w:p w:rsidR="00F07E05" w:rsidRPr="00903B23" w:rsidRDefault="00F07E05" w:rsidP="008A253E">
            <w:pPr>
              <w:jc w:val="center"/>
              <w:rPr>
                <w:b/>
                <w:bCs/>
                <w:color w:val="000000"/>
              </w:rPr>
            </w:pPr>
            <w:r>
              <w:rPr>
                <w:color w:val="000000"/>
                <w:sz w:val="22"/>
                <w:szCs w:val="22"/>
              </w:rPr>
              <w:t>Коэфф.</w:t>
            </w:r>
          </w:p>
        </w:tc>
        <w:tc>
          <w:tcPr>
            <w:tcW w:w="1459" w:type="dxa"/>
            <w:tcBorders>
              <w:top w:val="nil"/>
              <w:left w:val="single" w:sz="4" w:space="0" w:color="auto"/>
              <w:bottom w:val="single" w:sz="4" w:space="0" w:color="auto"/>
              <w:right w:val="single" w:sz="4" w:space="0" w:color="auto"/>
            </w:tcBorders>
            <w:shd w:val="clear" w:color="auto" w:fill="auto"/>
            <w:noWrap/>
            <w:vAlign w:val="center"/>
          </w:tcPr>
          <w:p w:rsidR="00F07E05" w:rsidRPr="00153550" w:rsidRDefault="00F07E05" w:rsidP="008A253E">
            <w:pPr>
              <w:jc w:val="center"/>
              <w:rPr>
                <w:b/>
                <w:bCs/>
              </w:rPr>
            </w:pPr>
            <w:r w:rsidRPr="00153550">
              <w:t>1,0</w:t>
            </w:r>
          </w:p>
        </w:tc>
        <w:tc>
          <w:tcPr>
            <w:tcW w:w="1459" w:type="dxa"/>
            <w:tcBorders>
              <w:top w:val="nil"/>
              <w:left w:val="nil"/>
              <w:bottom w:val="single" w:sz="4" w:space="0" w:color="auto"/>
              <w:right w:val="single" w:sz="4" w:space="0" w:color="auto"/>
            </w:tcBorders>
            <w:shd w:val="clear" w:color="auto" w:fill="auto"/>
            <w:noWrap/>
            <w:vAlign w:val="center"/>
          </w:tcPr>
          <w:p w:rsidR="00F07E05" w:rsidRPr="00153550" w:rsidRDefault="00F07E05" w:rsidP="008A253E">
            <w:pPr>
              <w:jc w:val="center"/>
              <w:rPr>
                <w:b/>
                <w:bCs/>
              </w:rPr>
            </w:pPr>
            <w:r w:rsidRPr="00153550">
              <w:t>1,0</w:t>
            </w:r>
          </w:p>
        </w:tc>
        <w:tc>
          <w:tcPr>
            <w:tcW w:w="1459" w:type="dxa"/>
            <w:tcBorders>
              <w:top w:val="nil"/>
              <w:left w:val="nil"/>
              <w:bottom w:val="single" w:sz="4" w:space="0" w:color="auto"/>
              <w:right w:val="single" w:sz="4" w:space="0" w:color="auto"/>
            </w:tcBorders>
            <w:shd w:val="clear" w:color="auto" w:fill="auto"/>
            <w:noWrap/>
            <w:vAlign w:val="center"/>
          </w:tcPr>
          <w:p w:rsidR="00F07E05" w:rsidRPr="00153550" w:rsidRDefault="00F07E05" w:rsidP="008A253E">
            <w:pPr>
              <w:jc w:val="center"/>
              <w:rPr>
                <w:b/>
                <w:bCs/>
              </w:rPr>
            </w:pPr>
            <w:r w:rsidRPr="00153550">
              <w:t>1,0</w:t>
            </w:r>
          </w:p>
        </w:tc>
      </w:tr>
      <w:tr w:rsidR="00F07E05" w:rsidRPr="00153550" w:rsidTr="008A253E">
        <w:trPr>
          <w:trHeight w:val="300"/>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F07E05" w:rsidRPr="00153550" w:rsidRDefault="00F07E05" w:rsidP="008A253E">
            <w:pPr>
              <w:rPr>
                <w:rFonts w:ascii="Calibri" w:hAnsi="Calibri" w:cs="Calibri"/>
                <w:b/>
                <w:bCs/>
              </w:rPr>
            </w:pPr>
            <w:r w:rsidRPr="00153550">
              <w:rPr>
                <w:rFonts w:ascii="Calibri" w:hAnsi="Calibri" w:cs="Calibri"/>
                <w:b/>
                <w:bCs/>
                <w:sz w:val="22"/>
                <w:szCs w:val="22"/>
              </w:rPr>
              <w:t>13</w:t>
            </w:r>
          </w:p>
        </w:tc>
        <w:tc>
          <w:tcPr>
            <w:tcW w:w="3547" w:type="dxa"/>
            <w:tcBorders>
              <w:top w:val="nil"/>
              <w:left w:val="nil"/>
              <w:bottom w:val="single" w:sz="4" w:space="0" w:color="auto"/>
              <w:right w:val="single" w:sz="4" w:space="0" w:color="auto"/>
            </w:tcBorders>
            <w:shd w:val="clear" w:color="auto" w:fill="auto"/>
            <w:vAlign w:val="center"/>
            <w:hideMark/>
          </w:tcPr>
          <w:p w:rsidR="00F07E05" w:rsidRPr="00153550" w:rsidRDefault="00F07E05" w:rsidP="008A253E">
            <w:pPr>
              <w:rPr>
                <w:b/>
                <w:bCs/>
              </w:rPr>
            </w:pPr>
            <w:r w:rsidRPr="00153550">
              <w:rPr>
                <w:b/>
                <w:bCs/>
                <w:sz w:val="22"/>
                <w:szCs w:val="22"/>
              </w:rPr>
              <w:t>ВСЕГО ПРОГНОЗ (10+11)</w:t>
            </w:r>
          </w:p>
        </w:tc>
        <w:tc>
          <w:tcPr>
            <w:tcW w:w="1519" w:type="dxa"/>
            <w:tcBorders>
              <w:top w:val="nil"/>
              <w:left w:val="nil"/>
              <w:bottom w:val="single" w:sz="4" w:space="0" w:color="auto"/>
              <w:right w:val="single" w:sz="4" w:space="0" w:color="auto"/>
            </w:tcBorders>
            <w:shd w:val="clear" w:color="auto" w:fill="auto"/>
            <w:vAlign w:val="center"/>
            <w:hideMark/>
          </w:tcPr>
          <w:p w:rsidR="00F07E05" w:rsidRPr="00153550" w:rsidRDefault="00F07E05" w:rsidP="008A253E">
            <w:pPr>
              <w:jc w:val="center"/>
              <w:rPr>
                <w:b/>
                <w:bCs/>
              </w:rPr>
            </w:pPr>
            <w:r w:rsidRPr="00153550">
              <w:rPr>
                <w:b/>
                <w:bCs/>
                <w:sz w:val="22"/>
                <w:szCs w:val="22"/>
              </w:rPr>
              <w:t>тыс. руб.</w:t>
            </w:r>
          </w:p>
        </w:tc>
        <w:tc>
          <w:tcPr>
            <w:tcW w:w="1459" w:type="dxa"/>
            <w:tcBorders>
              <w:top w:val="nil"/>
              <w:left w:val="single" w:sz="4" w:space="0" w:color="auto"/>
              <w:bottom w:val="single" w:sz="4" w:space="0" w:color="auto"/>
              <w:right w:val="single" w:sz="4" w:space="0" w:color="auto"/>
            </w:tcBorders>
            <w:shd w:val="clear" w:color="auto" w:fill="auto"/>
            <w:noWrap/>
            <w:vAlign w:val="center"/>
            <w:hideMark/>
          </w:tcPr>
          <w:p w:rsidR="00F07E05" w:rsidRPr="00153550" w:rsidRDefault="00F07E05" w:rsidP="008A253E">
            <w:pPr>
              <w:jc w:val="center"/>
              <w:rPr>
                <w:b/>
                <w:bCs/>
              </w:rPr>
            </w:pPr>
            <w:r w:rsidRPr="00153550">
              <w:rPr>
                <w:b/>
                <w:bCs/>
                <w:sz w:val="22"/>
                <w:szCs w:val="22"/>
              </w:rPr>
              <w:t>3</w:t>
            </w:r>
            <w:r>
              <w:rPr>
                <w:b/>
                <w:bCs/>
                <w:sz w:val="22"/>
                <w:szCs w:val="22"/>
              </w:rPr>
              <w:t> 852,1</w:t>
            </w:r>
            <w:r w:rsidRPr="00153550">
              <w:rPr>
                <w:b/>
                <w:bCs/>
                <w:sz w:val="22"/>
                <w:szCs w:val="22"/>
              </w:rPr>
              <w:t xml:space="preserve">  </w:t>
            </w:r>
          </w:p>
        </w:tc>
        <w:tc>
          <w:tcPr>
            <w:tcW w:w="1459" w:type="dxa"/>
            <w:tcBorders>
              <w:top w:val="nil"/>
              <w:left w:val="nil"/>
              <w:bottom w:val="single" w:sz="4" w:space="0" w:color="auto"/>
              <w:right w:val="single" w:sz="4" w:space="0" w:color="auto"/>
            </w:tcBorders>
            <w:shd w:val="clear" w:color="auto" w:fill="auto"/>
            <w:noWrap/>
            <w:vAlign w:val="center"/>
            <w:hideMark/>
          </w:tcPr>
          <w:p w:rsidR="00F07E05" w:rsidRPr="00153550" w:rsidRDefault="00F07E05" w:rsidP="008A253E">
            <w:pPr>
              <w:jc w:val="center"/>
              <w:rPr>
                <w:b/>
                <w:bCs/>
              </w:rPr>
            </w:pPr>
            <w:r w:rsidRPr="00153550">
              <w:rPr>
                <w:b/>
                <w:bCs/>
                <w:sz w:val="22"/>
                <w:szCs w:val="22"/>
              </w:rPr>
              <w:t>3</w:t>
            </w:r>
            <w:r>
              <w:rPr>
                <w:b/>
                <w:bCs/>
                <w:sz w:val="22"/>
                <w:szCs w:val="22"/>
              </w:rPr>
              <w:t> 930,5</w:t>
            </w:r>
            <w:r w:rsidRPr="00153550">
              <w:rPr>
                <w:b/>
                <w:bCs/>
                <w:sz w:val="22"/>
                <w:szCs w:val="22"/>
              </w:rPr>
              <w:t xml:space="preserve">  </w:t>
            </w:r>
          </w:p>
        </w:tc>
        <w:tc>
          <w:tcPr>
            <w:tcW w:w="1459" w:type="dxa"/>
            <w:tcBorders>
              <w:top w:val="nil"/>
              <w:left w:val="nil"/>
              <w:bottom w:val="single" w:sz="4" w:space="0" w:color="auto"/>
              <w:right w:val="single" w:sz="4" w:space="0" w:color="auto"/>
            </w:tcBorders>
            <w:shd w:val="clear" w:color="auto" w:fill="auto"/>
            <w:noWrap/>
            <w:vAlign w:val="center"/>
          </w:tcPr>
          <w:p w:rsidR="00F07E05" w:rsidRPr="00153550" w:rsidRDefault="00F07E05" w:rsidP="008A253E">
            <w:pPr>
              <w:jc w:val="center"/>
              <w:rPr>
                <w:b/>
                <w:bCs/>
              </w:rPr>
            </w:pPr>
            <w:r w:rsidRPr="00153550">
              <w:rPr>
                <w:b/>
                <w:bCs/>
                <w:sz w:val="22"/>
                <w:szCs w:val="22"/>
              </w:rPr>
              <w:t>3</w:t>
            </w:r>
            <w:r>
              <w:rPr>
                <w:b/>
                <w:bCs/>
                <w:sz w:val="22"/>
                <w:szCs w:val="22"/>
              </w:rPr>
              <w:t> 983,4</w:t>
            </w:r>
            <w:r w:rsidRPr="00153550">
              <w:rPr>
                <w:b/>
                <w:bCs/>
                <w:sz w:val="22"/>
                <w:szCs w:val="22"/>
              </w:rPr>
              <w:t xml:space="preserve">  </w:t>
            </w:r>
          </w:p>
        </w:tc>
      </w:tr>
    </w:tbl>
    <w:p w:rsidR="00F07E05" w:rsidRPr="00153550" w:rsidRDefault="00F07E05" w:rsidP="00F07E05"/>
    <w:p w:rsidR="00F07E05" w:rsidRDefault="00F07E05" w:rsidP="00F07E05">
      <w:pPr>
        <w:ind w:right="282"/>
        <w:jc w:val="center"/>
        <w:rPr>
          <w:b/>
          <w:color w:val="000000"/>
          <w:sz w:val="28"/>
          <w:szCs w:val="28"/>
        </w:rPr>
      </w:pPr>
    </w:p>
    <w:p w:rsidR="00F07E05" w:rsidRDefault="00F07E05" w:rsidP="00F07E05">
      <w:pPr>
        <w:ind w:right="282"/>
        <w:jc w:val="center"/>
        <w:rPr>
          <w:b/>
          <w:color w:val="000000"/>
          <w:sz w:val="28"/>
          <w:szCs w:val="28"/>
        </w:rPr>
      </w:pPr>
      <w:r w:rsidRPr="006D5248">
        <w:rPr>
          <w:b/>
          <w:color w:val="000000"/>
          <w:sz w:val="28"/>
          <w:szCs w:val="28"/>
        </w:rPr>
        <w:t>Расчеты по маршрутам</w:t>
      </w:r>
    </w:p>
    <w:p w:rsidR="00F07E05" w:rsidRPr="006D5248" w:rsidRDefault="00F07E05" w:rsidP="00F07E05">
      <w:pPr>
        <w:ind w:right="282"/>
        <w:jc w:val="center"/>
        <w:rPr>
          <w:b/>
          <w:sz w:val="28"/>
          <w:szCs w:val="28"/>
        </w:rPr>
      </w:pPr>
      <w:r w:rsidRPr="006D5248">
        <w:rPr>
          <w:b/>
          <w:color w:val="000000"/>
          <w:sz w:val="28"/>
          <w:szCs w:val="28"/>
        </w:rPr>
        <w:t xml:space="preserve"> </w:t>
      </w:r>
      <w:r w:rsidRPr="006D5248">
        <w:rPr>
          <w:b/>
          <w:sz w:val="28"/>
          <w:szCs w:val="28"/>
        </w:rPr>
        <w:t>города Ржева, Ржевского района Тверской области</w:t>
      </w:r>
    </w:p>
    <w:p w:rsidR="00F07E05" w:rsidRDefault="00F07E05" w:rsidP="00F07E05">
      <w:pPr>
        <w:ind w:right="282"/>
        <w:jc w:val="center"/>
        <w:rPr>
          <w:b/>
          <w:sz w:val="28"/>
          <w:szCs w:val="28"/>
        </w:rPr>
      </w:pPr>
    </w:p>
    <w:p w:rsidR="00F07E05" w:rsidRPr="00FB1818" w:rsidRDefault="00F07E05" w:rsidP="00F07E05">
      <w:pPr>
        <w:autoSpaceDE w:val="0"/>
        <w:autoSpaceDN w:val="0"/>
        <w:adjustRightInd w:val="0"/>
        <w:ind w:firstLine="720"/>
        <w:jc w:val="both"/>
        <w:rPr>
          <w:sz w:val="28"/>
          <w:szCs w:val="28"/>
        </w:rPr>
      </w:pPr>
      <w:r w:rsidRPr="00FB1818">
        <w:rPr>
          <w:color w:val="000000"/>
          <w:sz w:val="28"/>
          <w:szCs w:val="28"/>
        </w:rPr>
        <w:t>В соответствии с НИР данный показатель по муниципальным маршрутам регулярных перевозок на территории Тверской области</w:t>
      </w:r>
      <w:r w:rsidRPr="00FB1818">
        <w:rPr>
          <w:sz w:val="28"/>
          <w:szCs w:val="28"/>
        </w:rPr>
        <w:t xml:space="preserve"> городской округ город</w:t>
      </w:r>
      <w:r>
        <w:rPr>
          <w:sz w:val="28"/>
          <w:szCs w:val="28"/>
        </w:rPr>
        <w:t xml:space="preserve"> Ржев и  </w:t>
      </w:r>
      <w:r w:rsidRPr="00FB1818">
        <w:rPr>
          <w:color w:val="000000"/>
          <w:sz w:val="28"/>
          <w:szCs w:val="28"/>
        </w:rPr>
        <w:t>Ржевский муниципальный район Тверской области</w:t>
      </w:r>
      <w:r w:rsidRPr="00FB1818">
        <w:rPr>
          <w:sz w:val="28"/>
          <w:szCs w:val="28"/>
        </w:rPr>
        <w:t xml:space="preserve"> </w:t>
      </w:r>
      <w:r w:rsidRPr="00FB1818">
        <w:rPr>
          <w:color w:val="000000" w:themeColor="text1"/>
          <w:sz w:val="28"/>
          <w:szCs w:val="28"/>
        </w:rPr>
        <w:t xml:space="preserve">пассажиропоток платных пассажиров </w:t>
      </w:r>
      <w:r w:rsidRPr="00FB1818">
        <w:rPr>
          <w:color w:val="000000"/>
          <w:sz w:val="28"/>
          <w:szCs w:val="28"/>
        </w:rPr>
        <w:t xml:space="preserve">на 2021 г. в г. Ржев – 2,86 млн пасс., в Ржевском районе – 0,22 млн пасс., </w:t>
      </w:r>
      <w:r w:rsidRPr="00FB1818">
        <w:rPr>
          <w:color w:val="000000" w:themeColor="text1"/>
          <w:sz w:val="28"/>
          <w:szCs w:val="28"/>
        </w:rPr>
        <w:t xml:space="preserve"> на 2022 г. в г. Ржев – 6,55 млн пасс., в Ржевском районе – 0,42 млн пасс., на 2023 г. в г. Ржев – 6,45 млн пасс., в Ржевском районе – 0,41 млн </w:t>
      </w:r>
      <w:r w:rsidRPr="00FB1818">
        <w:rPr>
          <w:color w:val="000000"/>
          <w:sz w:val="28"/>
          <w:szCs w:val="28"/>
        </w:rPr>
        <w:t xml:space="preserve">пасс., </w:t>
      </w:r>
      <w:r w:rsidRPr="00FB1818">
        <w:rPr>
          <w:color w:val="000000" w:themeColor="text1"/>
          <w:sz w:val="28"/>
          <w:szCs w:val="28"/>
        </w:rPr>
        <w:t xml:space="preserve">на 2024 г. в г. Ржев – 6,35 млн пасс., в Ржевском районе – 0,40 млн </w:t>
      </w:r>
      <w:r w:rsidRPr="00FB1818">
        <w:rPr>
          <w:color w:val="000000"/>
          <w:sz w:val="28"/>
          <w:szCs w:val="28"/>
        </w:rPr>
        <w:t>пасс.</w:t>
      </w:r>
    </w:p>
    <w:p w:rsidR="00F07E05" w:rsidRPr="00FB1818" w:rsidRDefault="00F07E05" w:rsidP="00F07E05">
      <w:pPr>
        <w:autoSpaceDE w:val="0"/>
        <w:autoSpaceDN w:val="0"/>
        <w:adjustRightInd w:val="0"/>
        <w:ind w:firstLine="720"/>
        <w:jc w:val="both"/>
        <w:rPr>
          <w:sz w:val="28"/>
          <w:szCs w:val="28"/>
        </w:rPr>
      </w:pPr>
    </w:p>
    <w:p w:rsidR="00F07E05" w:rsidRPr="00FB1818" w:rsidRDefault="00F07E05" w:rsidP="00F07E05">
      <w:pPr>
        <w:autoSpaceDE w:val="0"/>
        <w:autoSpaceDN w:val="0"/>
        <w:adjustRightInd w:val="0"/>
        <w:ind w:firstLine="720"/>
        <w:jc w:val="both"/>
        <w:rPr>
          <w:sz w:val="28"/>
          <w:szCs w:val="28"/>
        </w:rPr>
      </w:pPr>
      <w:r w:rsidRPr="00FB1818">
        <w:rPr>
          <w:sz w:val="28"/>
          <w:szCs w:val="28"/>
        </w:rPr>
        <w:t xml:space="preserve">Средняя дальность перевозки пассажира автомобильным транспортом общего пользования по маршрутам регулярных перевозок в пригородном сообщении в муниципальном образовании Тверской области Ржевского района в связи отсутствием информации у территориальных органов Федеральной службы государственной статистики по Тверской области </w:t>
      </w:r>
      <w:r w:rsidRPr="00FB1818">
        <w:rPr>
          <w:color w:val="000000"/>
          <w:sz w:val="28"/>
          <w:szCs w:val="28"/>
        </w:rPr>
        <w:t xml:space="preserve">источником данной информации предлагается принимать </w:t>
      </w:r>
      <w:bookmarkStart w:id="12" w:name="_Hlk75946546"/>
      <w:r w:rsidRPr="00FB1818">
        <w:rPr>
          <w:color w:val="000000"/>
          <w:sz w:val="28"/>
          <w:szCs w:val="28"/>
        </w:rPr>
        <w:t xml:space="preserve">данные из НИР </w:t>
      </w:r>
      <w:bookmarkEnd w:id="12"/>
      <w:r w:rsidRPr="00FB1818">
        <w:rPr>
          <w:color w:val="000000"/>
          <w:sz w:val="28"/>
          <w:szCs w:val="28"/>
        </w:rPr>
        <w:t>данный показатель соответствует 6,7 км.</w:t>
      </w:r>
    </w:p>
    <w:p w:rsidR="00F07E05" w:rsidRDefault="00F07E05" w:rsidP="00F07E05">
      <w:pPr>
        <w:autoSpaceDE w:val="0"/>
        <w:autoSpaceDN w:val="0"/>
        <w:adjustRightInd w:val="0"/>
        <w:ind w:firstLine="720"/>
        <w:jc w:val="both"/>
        <w:rPr>
          <w:sz w:val="28"/>
          <w:szCs w:val="28"/>
        </w:rPr>
      </w:pPr>
      <w:r w:rsidRPr="00FB1818">
        <w:rPr>
          <w:sz w:val="28"/>
          <w:szCs w:val="28"/>
        </w:rPr>
        <w:t>Размер затрат на мониторинг транспортной работы и пассажирских потоков, организацию системы безналичной оплаты проезда и провоза багажа, осуществление контроля за полнотой сбора платы за проезд пассажиров и провоз багажа, а также затрат на информационно-техническое и технологическое обеспечение ее сбора принят равным 6 % по итогам конкурса на право заключения договора по внедрению и обеспечению функционирования единой системы управления транспортом общего пользования на территории Тверской области.</w:t>
      </w:r>
    </w:p>
    <w:p w:rsidR="00F07E05" w:rsidRPr="00B26C78" w:rsidRDefault="00F07E05" w:rsidP="00F07E05">
      <w:pPr>
        <w:autoSpaceDE w:val="0"/>
        <w:autoSpaceDN w:val="0"/>
        <w:adjustRightInd w:val="0"/>
        <w:ind w:firstLine="720"/>
        <w:jc w:val="both"/>
        <w:rPr>
          <w:sz w:val="28"/>
          <w:szCs w:val="28"/>
        </w:rPr>
      </w:pPr>
      <w:r w:rsidRPr="00B26C78">
        <w:rPr>
          <w:sz w:val="28"/>
          <w:szCs w:val="28"/>
        </w:rPr>
        <w:t>Доля поступлений от льготного проезда, приходящаяся на город Ржев и Ржевский район Тверской области в 2021году составила 544,9 тыс. руб. за 1 месяц. Соответственно, объём доходов от льготного проезда за 5 месяцев (июль-ноябрь) составит 2 724,5 тыс. руб.</w:t>
      </w:r>
    </w:p>
    <w:p w:rsidR="00F07E05" w:rsidRPr="00FB1818" w:rsidRDefault="00F07E05" w:rsidP="00F07E05">
      <w:pPr>
        <w:autoSpaceDE w:val="0"/>
        <w:autoSpaceDN w:val="0"/>
        <w:adjustRightInd w:val="0"/>
        <w:ind w:firstLine="720"/>
        <w:jc w:val="both"/>
        <w:rPr>
          <w:sz w:val="28"/>
          <w:szCs w:val="28"/>
        </w:rPr>
      </w:pPr>
      <w:r w:rsidRPr="00B26C78">
        <w:rPr>
          <w:sz w:val="28"/>
          <w:szCs w:val="28"/>
        </w:rPr>
        <w:t>Планируемый годовой объём поступлений в 202</w:t>
      </w:r>
      <w:r>
        <w:rPr>
          <w:sz w:val="28"/>
          <w:szCs w:val="28"/>
        </w:rPr>
        <w:t>1</w:t>
      </w:r>
      <w:r w:rsidRPr="00B26C78">
        <w:rPr>
          <w:sz w:val="28"/>
          <w:szCs w:val="28"/>
        </w:rPr>
        <w:t xml:space="preserve"> – 2024 гг. от предоставления льготного проезда гражданам с использованием электронной карты «Социальная карта жителя Тверской области», электронной банковской карты и электронной карты «Социальная транспортная карта» составит (Дпр = 544,9 тыс. руб. * 12 мес. = </w:t>
      </w:r>
      <w:r w:rsidRPr="00B26C78">
        <w:rPr>
          <w:b/>
          <w:bCs/>
          <w:sz w:val="28"/>
          <w:szCs w:val="28"/>
        </w:rPr>
        <w:t>6 538,8</w:t>
      </w:r>
      <w:r w:rsidRPr="00B26C78">
        <w:rPr>
          <w:sz w:val="28"/>
          <w:szCs w:val="28"/>
        </w:rPr>
        <w:t xml:space="preserve"> тыс. руб.).</w:t>
      </w:r>
    </w:p>
    <w:p w:rsidR="00F07E05" w:rsidRPr="00FB1818" w:rsidRDefault="00F07E05" w:rsidP="00F07E05">
      <w:pPr>
        <w:shd w:val="clear" w:color="auto" w:fill="FFFFFF"/>
        <w:spacing w:line="288" w:lineRule="atLeast"/>
        <w:ind w:firstLine="709"/>
        <w:jc w:val="both"/>
        <w:textAlignment w:val="baseline"/>
        <w:rPr>
          <w:sz w:val="28"/>
          <w:szCs w:val="28"/>
        </w:rPr>
      </w:pPr>
      <w:r w:rsidRPr="00FB1818">
        <w:rPr>
          <w:sz w:val="28"/>
          <w:szCs w:val="28"/>
        </w:rPr>
        <w:t>Прогноз поступлений прочих доходов от оказания платных услуг (работ) получателями средств бюджетов субъектов Российской Федерации составили:</w:t>
      </w:r>
    </w:p>
    <w:p w:rsidR="00F07E05" w:rsidRPr="00153550" w:rsidRDefault="00F07E05" w:rsidP="00F07E05">
      <w:pPr>
        <w:pStyle w:val="af4"/>
        <w:numPr>
          <w:ilvl w:val="0"/>
          <w:numId w:val="20"/>
        </w:numPr>
        <w:spacing w:after="200" w:line="276" w:lineRule="auto"/>
        <w:jc w:val="both"/>
        <w:rPr>
          <w:sz w:val="28"/>
          <w:szCs w:val="28"/>
        </w:rPr>
      </w:pPr>
      <w:r w:rsidRPr="00153550">
        <w:rPr>
          <w:sz w:val="28"/>
          <w:szCs w:val="28"/>
        </w:rPr>
        <w:t xml:space="preserve">на 2022 г.: </w:t>
      </w:r>
      <w:r>
        <w:rPr>
          <w:sz w:val="28"/>
          <w:szCs w:val="28"/>
        </w:rPr>
        <w:t>122,9</w:t>
      </w:r>
      <w:r w:rsidRPr="00153550">
        <w:rPr>
          <w:sz w:val="28"/>
          <w:szCs w:val="28"/>
        </w:rPr>
        <w:t xml:space="preserve"> млн. руб.;</w:t>
      </w:r>
    </w:p>
    <w:p w:rsidR="00F07E05" w:rsidRPr="00153550" w:rsidRDefault="00F07E05" w:rsidP="00F07E05">
      <w:pPr>
        <w:pStyle w:val="af4"/>
        <w:numPr>
          <w:ilvl w:val="0"/>
          <w:numId w:val="20"/>
        </w:numPr>
        <w:spacing w:after="200" w:line="276" w:lineRule="auto"/>
        <w:jc w:val="both"/>
        <w:rPr>
          <w:sz w:val="28"/>
          <w:szCs w:val="28"/>
        </w:rPr>
      </w:pPr>
      <w:r w:rsidRPr="00153550">
        <w:rPr>
          <w:sz w:val="28"/>
          <w:szCs w:val="28"/>
        </w:rPr>
        <w:t xml:space="preserve">на 2023 г.: </w:t>
      </w:r>
      <w:r>
        <w:rPr>
          <w:sz w:val="28"/>
          <w:szCs w:val="28"/>
        </w:rPr>
        <w:t>125,8</w:t>
      </w:r>
      <w:r w:rsidRPr="00153550">
        <w:rPr>
          <w:sz w:val="28"/>
          <w:szCs w:val="28"/>
        </w:rPr>
        <w:t xml:space="preserve"> млн. руб.;</w:t>
      </w:r>
    </w:p>
    <w:p w:rsidR="00F07E05" w:rsidRPr="00153550" w:rsidRDefault="00F07E05" w:rsidP="00F07E05">
      <w:pPr>
        <w:pStyle w:val="af4"/>
        <w:numPr>
          <w:ilvl w:val="0"/>
          <w:numId w:val="20"/>
        </w:numPr>
        <w:spacing w:after="200" w:line="276" w:lineRule="auto"/>
        <w:jc w:val="both"/>
        <w:rPr>
          <w:sz w:val="28"/>
          <w:szCs w:val="28"/>
        </w:rPr>
      </w:pPr>
      <w:r w:rsidRPr="00153550">
        <w:rPr>
          <w:sz w:val="28"/>
          <w:szCs w:val="28"/>
        </w:rPr>
        <w:t xml:space="preserve">на 2024 г.: </w:t>
      </w:r>
      <w:r>
        <w:rPr>
          <w:sz w:val="28"/>
          <w:szCs w:val="28"/>
        </w:rPr>
        <w:t>128,6</w:t>
      </w:r>
      <w:r w:rsidRPr="00153550">
        <w:rPr>
          <w:sz w:val="28"/>
          <w:szCs w:val="28"/>
        </w:rPr>
        <w:t xml:space="preserve"> млн. руб.</w:t>
      </w:r>
    </w:p>
    <w:tbl>
      <w:tblPr>
        <w:tblW w:w="10060" w:type="dxa"/>
        <w:tblInd w:w="-714" w:type="dxa"/>
        <w:tblLook w:val="04A0" w:firstRow="1" w:lastRow="0" w:firstColumn="1" w:lastColumn="0" w:noHBand="0" w:noVBand="1"/>
      </w:tblPr>
      <w:tblGrid>
        <w:gridCol w:w="560"/>
        <w:gridCol w:w="3568"/>
        <w:gridCol w:w="1528"/>
        <w:gridCol w:w="1468"/>
        <w:gridCol w:w="1468"/>
        <w:gridCol w:w="1468"/>
      </w:tblGrid>
      <w:tr w:rsidR="00F07E05" w:rsidRPr="00FB1818" w:rsidTr="008A253E">
        <w:trPr>
          <w:trHeight w:val="929"/>
        </w:trPr>
        <w:tc>
          <w:tcPr>
            <w:tcW w:w="560"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07E05" w:rsidRPr="00FB1818" w:rsidRDefault="00F07E05" w:rsidP="008A253E">
            <w:pPr>
              <w:jc w:val="center"/>
              <w:rPr>
                <w:rFonts w:ascii="Calibri" w:hAnsi="Calibri" w:cs="Calibri"/>
                <w:b/>
                <w:bCs/>
                <w:color w:val="000000"/>
              </w:rPr>
            </w:pPr>
            <w:r w:rsidRPr="00FB1818">
              <w:rPr>
                <w:rFonts w:ascii="Calibri" w:hAnsi="Calibri" w:cs="Calibri"/>
                <w:b/>
                <w:bCs/>
                <w:color w:val="000000"/>
                <w:sz w:val="22"/>
                <w:szCs w:val="22"/>
              </w:rPr>
              <w:lastRenderedPageBreak/>
              <w:t> </w:t>
            </w:r>
          </w:p>
        </w:tc>
        <w:tc>
          <w:tcPr>
            <w:tcW w:w="3568"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07E05" w:rsidRPr="00FB1818" w:rsidRDefault="00F07E05" w:rsidP="008A253E">
            <w:pPr>
              <w:jc w:val="center"/>
              <w:rPr>
                <w:b/>
                <w:bCs/>
                <w:color w:val="000000"/>
              </w:rPr>
            </w:pPr>
            <w:r w:rsidRPr="00FB1818">
              <w:rPr>
                <w:b/>
                <w:bCs/>
                <w:color w:val="000000"/>
                <w:sz w:val="22"/>
                <w:szCs w:val="22"/>
              </w:rPr>
              <w:t>Наименование показателя</w:t>
            </w:r>
          </w:p>
        </w:tc>
        <w:tc>
          <w:tcPr>
            <w:tcW w:w="1528"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07E05" w:rsidRPr="00FB1818" w:rsidRDefault="00F07E05" w:rsidP="008A253E">
            <w:pPr>
              <w:jc w:val="center"/>
              <w:rPr>
                <w:b/>
                <w:bCs/>
                <w:color w:val="000000"/>
              </w:rPr>
            </w:pPr>
            <w:r w:rsidRPr="00FB1818">
              <w:rPr>
                <w:b/>
                <w:bCs/>
                <w:color w:val="000000"/>
                <w:sz w:val="22"/>
                <w:szCs w:val="22"/>
              </w:rPr>
              <w:t>ед. измерения</w:t>
            </w:r>
          </w:p>
        </w:tc>
        <w:tc>
          <w:tcPr>
            <w:tcW w:w="1468"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07E05" w:rsidRPr="00FB1818" w:rsidRDefault="00F07E05" w:rsidP="008A253E">
            <w:pPr>
              <w:jc w:val="center"/>
              <w:rPr>
                <w:b/>
                <w:bCs/>
                <w:color w:val="000000"/>
              </w:rPr>
            </w:pPr>
            <w:r w:rsidRPr="00FB1818">
              <w:rPr>
                <w:b/>
                <w:bCs/>
                <w:color w:val="000000"/>
                <w:sz w:val="22"/>
                <w:szCs w:val="22"/>
              </w:rPr>
              <w:t>2022 год</w:t>
            </w:r>
          </w:p>
        </w:tc>
        <w:tc>
          <w:tcPr>
            <w:tcW w:w="1468"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07E05" w:rsidRPr="00FB1818" w:rsidRDefault="00F07E05" w:rsidP="008A253E">
            <w:pPr>
              <w:jc w:val="center"/>
              <w:rPr>
                <w:b/>
                <w:bCs/>
                <w:color w:val="000000"/>
              </w:rPr>
            </w:pPr>
            <w:r w:rsidRPr="00FB1818">
              <w:rPr>
                <w:b/>
                <w:bCs/>
                <w:color w:val="000000"/>
                <w:sz w:val="22"/>
                <w:szCs w:val="22"/>
              </w:rPr>
              <w:t>2023 год</w:t>
            </w:r>
          </w:p>
        </w:tc>
        <w:tc>
          <w:tcPr>
            <w:tcW w:w="1468"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07E05" w:rsidRPr="00FB1818" w:rsidRDefault="00F07E05" w:rsidP="008A253E">
            <w:pPr>
              <w:jc w:val="center"/>
              <w:rPr>
                <w:b/>
                <w:bCs/>
                <w:color w:val="000000"/>
              </w:rPr>
            </w:pPr>
            <w:r w:rsidRPr="00FB1818">
              <w:rPr>
                <w:b/>
                <w:bCs/>
                <w:color w:val="000000"/>
                <w:sz w:val="22"/>
                <w:szCs w:val="22"/>
              </w:rPr>
              <w:t>2024 год</w:t>
            </w:r>
          </w:p>
        </w:tc>
      </w:tr>
      <w:tr w:rsidR="00F07E05" w:rsidRPr="00FB1818" w:rsidTr="008A253E">
        <w:trPr>
          <w:trHeight w:val="97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07E05" w:rsidRPr="00FB1818" w:rsidRDefault="00F07E05" w:rsidP="008A253E">
            <w:pPr>
              <w:rPr>
                <w:color w:val="000000"/>
              </w:rPr>
            </w:pPr>
            <w:r w:rsidRPr="00FB1818">
              <w:rPr>
                <w:color w:val="000000"/>
                <w:sz w:val="22"/>
                <w:szCs w:val="22"/>
              </w:rPr>
              <w:t>1</w:t>
            </w:r>
          </w:p>
        </w:tc>
        <w:tc>
          <w:tcPr>
            <w:tcW w:w="3568" w:type="dxa"/>
            <w:tcBorders>
              <w:top w:val="nil"/>
              <w:left w:val="nil"/>
              <w:bottom w:val="single" w:sz="4" w:space="0" w:color="auto"/>
              <w:right w:val="single" w:sz="4" w:space="0" w:color="auto"/>
            </w:tcBorders>
            <w:shd w:val="clear" w:color="auto" w:fill="auto"/>
            <w:vAlign w:val="center"/>
            <w:hideMark/>
          </w:tcPr>
          <w:p w:rsidR="00F07E05" w:rsidRPr="00FB1818" w:rsidRDefault="00F07E05" w:rsidP="008A253E">
            <w:pPr>
              <w:rPr>
                <w:color w:val="000000"/>
              </w:rPr>
            </w:pPr>
            <w:r w:rsidRPr="00FB1818">
              <w:rPr>
                <w:color w:val="000000"/>
                <w:sz w:val="22"/>
                <w:szCs w:val="22"/>
              </w:rPr>
              <w:t>Количество перевезенных пассажиров автомобильным транспортом общего пользования г. Ржев (без учета льготных пассажиров)</w:t>
            </w:r>
          </w:p>
        </w:tc>
        <w:tc>
          <w:tcPr>
            <w:tcW w:w="1528" w:type="dxa"/>
            <w:tcBorders>
              <w:top w:val="nil"/>
              <w:left w:val="nil"/>
              <w:bottom w:val="single" w:sz="4" w:space="0" w:color="auto"/>
              <w:right w:val="single" w:sz="4" w:space="0" w:color="auto"/>
            </w:tcBorders>
            <w:shd w:val="clear" w:color="auto" w:fill="auto"/>
            <w:vAlign w:val="center"/>
            <w:hideMark/>
          </w:tcPr>
          <w:p w:rsidR="00F07E05" w:rsidRPr="00FB1818" w:rsidRDefault="00F07E05" w:rsidP="008A253E">
            <w:pPr>
              <w:jc w:val="center"/>
              <w:rPr>
                <w:color w:val="000000"/>
              </w:rPr>
            </w:pPr>
            <w:r w:rsidRPr="00FB1818">
              <w:rPr>
                <w:color w:val="000000"/>
                <w:sz w:val="22"/>
                <w:szCs w:val="22"/>
              </w:rPr>
              <w:t>тыс. пассажиров</w:t>
            </w:r>
          </w:p>
        </w:tc>
        <w:tc>
          <w:tcPr>
            <w:tcW w:w="1468" w:type="dxa"/>
            <w:tcBorders>
              <w:top w:val="nil"/>
              <w:left w:val="single" w:sz="4" w:space="0" w:color="auto"/>
              <w:bottom w:val="single" w:sz="4" w:space="0" w:color="auto"/>
              <w:right w:val="single" w:sz="4" w:space="0" w:color="auto"/>
            </w:tcBorders>
            <w:shd w:val="clear" w:color="auto" w:fill="auto"/>
            <w:noWrap/>
            <w:vAlign w:val="center"/>
            <w:hideMark/>
          </w:tcPr>
          <w:p w:rsidR="00F07E05" w:rsidRPr="00FB1818" w:rsidRDefault="00F07E05" w:rsidP="008A253E">
            <w:pPr>
              <w:jc w:val="center"/>
              <w:rPr>
                <w:color w:val="000000" w:themeColor="text1"/>
              </w:rPr>
            </w:pPr>
            <w:r w:rsidRPr="00FB1818">
              <w:rPr>
                <w:color w:val="000000" w:themeColor="text1"/>
              </w:rPr>
              <w:t xml:space="preserve">6 552,9  </w:t>
            </w:r>
          </w:p>
        </w:tc>
        <w:tc>
          <w:tcPr>
            <w:tcW w:w="1468" w:type="dxa"/>
            <w:tcBorders>
              <w:top w:val="nil"/>
              <w:left w:val="nil"/>
              <w:bottom w:val="single" w:sz="4" w:space="0" w:color="auto"/>
              <w:right w:val="single" w:sz="4" w:space="0" w:color="auto"/>
            </w:tcBorders>
            <w:shd w:val="clear" w:color="auto" w:fill="auto"/>
            <w:noWrap/>
            <w:vAlign w:val="center"/>
            <w:hideMark/>
          </w:tcPr>
          <w:p w:rsidR="00F07E05" w:rsidRPr="00FB1818" w:rsidRDefault="00F07E05" w:rsidP="008A253E">
            <w:pPr>
              <w:jc w:val="center"/>
              <w:rPr>
                <w:color w:val="000000" w:themeColor="text1"/>
              </w:rPr>
            </w:pPr>
            <w:r w:rsidRPr="00FB1818">
              <w:rPr>
                <w:color w:val="000000" w:themeColor="text1"/>
              </w:rPr>
              <w:t xml:space="preserve">6 449,9  </w:t>
            </w:r>
          </w:p>
        </w:tc>
        <w:tc>
          <w:tcPr>
            <w:tcW w:w="1468" w:type="dxa"/>
            <w:tcBorders>
              <w:top w:val="nil"/>
              <w:left w:val="nil"/>
              <w:bottom w:val="single" w:sz="4" w:space="0" w:color="auto"/>
              <w:right w:val="single" w:sz="4" w:space="0" w:color="auto"/>
            </w:tcBorders>
            <w:shd w:val="clear" w:color="auto" w:fill="auto"/>
            <w:noWrap/>
            <w:vAlign w:val="center"/>
          </w:tcPr>
          <w:p w:rsidR="00F07E05" w:rsidRPr="00FB1818" w:rsidRDefault="00F07E05" w:rsidP="008A253E">
            <w:pPr>
              <w:jc w:val="center"/>
              <w:rPr>
                <w:color w:val="000000" w:themeColor="text1"/>
              </w:rPr>
            </w:pPr>
            <w:r w:rsidRPr="00FB1818">
              <w:rPr>
                <w:color w:val="000000" w:themeColor="text1"/>
              </w:rPr>
              <w:t xml:space="preserve">6 348,2  </w:t>
            </w:r>
          </w:p>
        </w:tc>
      </w:tr>
      <w:tr w:rsidR="00F07E05" w:rsidRPr="00FB1818" w:rsidTr="008A253E">
        <w:trPr>
          <w:trHeight w:val="301"/>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07E05" w:rsidRPr="00FB1818" w:rsidRDefault="00F07E05" w:rsidP="008A253E">
            <w:pPr>
              <w:rPr>
                <w:color w:val="000000"/>
              </w:rPr>
            </w:pPr>
            <w:r w:rsidRPr="00FB1818">
              <w:rPr>
                <w:color w:val="000000"/>
                <w:sz w:val="22"/>
                <w:szCs w:val="22"/>
              </w:rPr>
              <w:t>2</w:t>
            </w:r>
          </w:p>
        </w:tc>
        <w:tc>
          <w:tcPr>
            <w:tcW w:w="3568" w:type="dxa"/>
            <w:tcBorders>
              <w:top w:val="nil"/>
              <w:left w:val="nil"/>
              <w:bottom w:val="single" w:sz="4" w:space="0" w:color="auto"/>
              <w:right w:val="single" w:sz="4" w:space="0" w:color="auto"/>
            </w:tcBorders>
            <w:shd w:val="clear" w:color="auto" w:fill="auto"/>
            <w:vAlign w:val="center"/>
            <w:hideMark/>
          </w:tcPr>
          <w:p w:rsidR="00F07E05" w:rsidRPr="00FB1818" w:rsidRDefault="00F07E05" w:rsidP="008A253E">
            <w:pPr>
              <w:rPr>
                <w:color w:val="000000"/>
              </w:rPr>
            </w:pPr>
            <w:r w:rsidRPr="00FB1818">
              <w:rPr>
                <w:color w:val="000000"/>
                <w:sz w:val="22"/>
                <w:szCs w:val="22"/>
              </w:rPr>
              <w:t>Средневз</w:t>
            </w:r>
            <w:r>
              <w:rPr>
                <w:color w:val="000000"/>
                <w:sz w:val="22"/>
                <w:szCs w:val="22"/>
              </w:rPr>
              <w:t>в</w:t>
            </w:r>
            <w:r w:rsidRPr="00FB1818">
              <w:rPr>
                <w:color w:val="000000"/>
                <w:sz w:val="22"/>
                <w:szCs w:val="22"/>
              </w:rPr>
              <w:t>еш</w:t>
            </w:r>
            <w:r>
              <w:rPr>
                <w:color w:val="000000"/>
                <w:sz w:val="22"/>
                <w:szCs w:val="22"/>
              </w:rPr>
              <w:t>е</w:t>
            </w:r>
            <w:r w:rsidRPr="00FB1818">
              <w:rPr>
                <w:color w:val="000000"/>
                <w:sz w:val="22"/>
                <w:szCs w:val="22"/>
              </w:rPr>
              <w:t>нный тариф</w:t>
            </w:r>
          </w:p>
        </w:tc>
        <w:tc>
          <w:tcPr>
            <w:tcW w:w="1528" w:type="dxa"/>
            <w:tcBorders>
              <w:top w:val="nil"/>
              <w:left w:val="nil"/>
              <w:bottom w:val="single" w:sz="4" w:space="0" w:color="auto"/>
              <w:right w:val="single" w:sz="4" w:space="0" w:color="auto"/>
            </w:tcBorders>
            <w:shd w:val="clear" w:color="auto" w:fill="auto"/>
            <w:vAlign w:val="center"/>
            <w:hideMark/>
          </w:tcPr>
          <w:p w:rsidR="00F07E05" w:rsidRPr="00FB1818" w:rsidRDefault="00F07E05" w:rsidP="008A253E">
            <w:pPr>
              <w:jc w:val="center"/>
              <w:rPr>
                <w:color w:val="000000"/>
              </w:rPr>
            </w:pPr>
            <w:r w:rsidRPr="00FB1818">
              <w:rPr>
                <w:color w:val="000000"/>
                <w:sz w:val="22"/>
                <w:szCs w:val="22"/>
              </w:rPr>
              <w:t>руб.</w:t>
            </w:r>
          </w:p>
        </w:tc>
        <w:tc>
          <w:tcPr>
            <w:tcW w:w="1468" w:type="dxa"/>
            <w:tcBorders>
              <w:top w:val="nil"/>
              <w:left w:val="single" w:sz="4" w:space="0" w:color="auto"/>
              <w:bottom w:val="single" w:sz="4" w:space="0" w:color="auto"/>
              <w:right w:val="single" w:sz="4" w:space="0" w:color="auto"/>
            </w:tcBorders>
            <w:shd w:val="clear" w:color="auto" w:fill="auto"/>
            <w:noWrap/>
            <w:vAlign w:val="center"/>
            <w:hideMark/>
          </w:tcPr>
          <w:p w:rsidR="00F07E05" w:rsidRPr="00E6405C" w:rsidRDefault="00F07E05" w:rsidP="008A253E">
            <w:pPr>
              <w:jc w:val="center"/>
              <w:rPr>
                <w:color w:val="000000" w:themeColor="text1"/>
              </w:rPr>
            </w:pPr>
            <w:r w:rsidRPr="00E6405C">
              <w:rPr>
                <w:color w:val="000000" w:themeColor="text1"/>
              </w:rPr>
              <w:t>17,</w:t>
            </w:r>
            <w:r>
              <w:rPr>
                <w:color w:val="000000" w:themeColor="text1"/>
              </w:rPr>
              <w:t>06</w:t>
            </w:r>
            <w:r w:rsidRPr="00E6405C">
              <w:rPr>
                <w:color w:val="000000" w:themeColor="text1"/>
              </w:rPr>
              <w:t xml:space="preserve">  </w:t>
            </w:r>
          </w:p>
        </w:tc>
        <w:tc>
          <w:tcPr>
            <w:tcW w:w="1468" w:type="dxa"/>
            <w:tcBorders>
              <w:top w:val="nil"/>
              <w:left w:val="nil"/>
              <w:bottom w:val="single" w:sz="4" w:space="0" w:color="auto"/>
              <w:right w:val="single" w:sz="4" w:space="0" w:color="auto"/>
            </w:tcBorders>
            <w:shd w:val="clear" w:color="auto" w:fill="auto"/>
            <w:noWrap/>
            <w:vAlign w:val="center"/>
            <w:hideMark/>
          </w:tcPr>
          <w:p w:rsidR="00F07E05" w:rsidRPr="00E6405C" w:rsidRDefault="00F07E05" w:rsidP="008A253E">
            <w:pPr>
              <w:jc w:val="center"/>
              <w:rPr>
                <w:color w:val="000000" w:themeColor="text1"/>
              </w:rPr>
            </w:pPr>
            <w:r w:rsidRPr="00E6405C">
              <w:rPr>
                <w:color w:val="000000" w:themeColor="text1"/>
              </w:rPr>
              <w:t>17,</w:t>
            </w:r>
            <w:r>
              <w:rPr>
                <w:color w:val="000000" w:themeColor="text1"/>
              </w:rPr>
              <w:t>77</w:t>
            </w:r>
            <w:r w:rsidRPr="00E6405C">
              <w:rPr>
                <w:color w:val="000000" w:themeColor="text1"/>
              </w:rPr>
              <w:t xml:space="preserve">  </w:t>
            </w:r>
          </w:p>
        </w:tc>
        <w:tc>
          <w:tcPr>
            <w:tcW w:w="1468" w:type="dxa"/>
            <w:tcBorders>
              <w:top w:val="nil"/>
              <w:left w:val="nil"/>
              <w:bottom w:val="single" w:sz="4" w:space="0" w:color="auto"/>
              <w:right w:val="single" w:sz="4" w:space="0" w:color="auto"/>
            </w:tcBorders>
            <w:shd w:val="clear" w:color="auto" w:fill="auto"/>
            <w:noWrap/>
            <w:vAlign w:val="center"/>
          </w:tcPr>
          <w:p w:rsidR="00F07E05" w:rsidRPr="00E6405C" w:rsidRDefault="00F07E05" w:rsidP="008A253E">
            <w:pPr>
              <w:jc w:val="center"/>
              <w:rPr>
                <w:color w:val="000000" w:themeColor="text1"/>
              </w:rPr>
            </w:pPr>
            <w:r w:rsidRPr="00E6405C">
              <w:rPr>
                <w:color w:val="000000" w:themeColor="text1"/>
              </w:rPr>
              <w:t>18,</w:t>
            </w:r>
            <w:r>
              <w:rPr>
                <w:color w:val="000000" w:themeColor="text1"/>
              </w:rPr>
              <w:t>47</w:t>
            </w:r>
            <w:r w:rsidRPr="00E6405C">
              <w:rPr>
                <w:color w:val="000000" w:themeColor="text1"/>
              </w:rPr>
              <w:t xml:space="preserve">  </w:t>
            </w:r>
          </w:p>
        </w:tc>
      </w:tr>
      <w:tr w:rsidR="00F07E05" w:rsidRPr="00FB1818" w:rsidTr="008A253E">
        <w:trPr>
          <w:trHeight w:val="301"/>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07E05" w:rsidRPr="00FB1818" w:rsidRDefault="00F07E05" w:rsidP="008A253E">
            <w:pPr>
              <w:rPr>
                <w:b/>
                <w:bCs/>
                <w:color w:val="000000"/>
              </w:rPr>
            </w:pPr>
            <w:r w:rsidRPr="00FB1818">
              <w:rPr>
                <w:b/>
                <w:bCs/>
                <w:color w:val="000000"/>
                <w:sz w:val="22"/>
                <w:szCs w:val="22"/>
              </w:rPr>
              <w:t>3</w:t>
            </w:r>
          </w:p>
        </w:tc>
        <w:tc>
          <w:tcPr>
            <w:tcW w:w="3568" w:type="dxa"/>
            <w:tcBorders>
              <w:top w:val="nil"/>
              <w:left w:val="nil"/>
              <w:bottom w:val="single" w:sz="4" w:space="0" w:color="auto"/>
              <w:right w:val="single" w:sz="4" w:space="0" w:color="auto"/>
            </w:tcBorders>
            <w:shd w:val="clear" w:color="auto" w:fill="auto"/>
            <w:vAlign w:val="center"/>
            <w:hideMark/>
          </w:tcPr>
          <w:p w:rsidR="00F07E05" w:rsidRPr="00FB1818" w:rsidRDefault="00F07E05" w:rsidP="008A253E">
            <w:pPr>
              <w:rPr>
                <w:b/>
                <w:bCs/>
                <w:color w:val="000000"/>
              </w:rPr>
            </w:pPr>
            <w:r w:rsidRPr="00FB1818">
              <w:rPr>
                <w:b/>
                <w:bCs/>
                <w:color w:val="000000"/>
                <w:sz w:val="22"/>
                <w:szCs w:val="22"/>
              </w:rPr>
              <w:t>Итого по городу (стр.1*2)</w:t>
            </w:r>
          </w:p>
        </w:tc>
        <w:tc>
          <w:tcPr>
            <w:tcW w:w="1528" w:type="dxa"/>
            <w:tcBorders>
              <w:top w:val="nil"/>
              <w:left w:val="nil"/>
              <w:bottom w:val="single" w:sz="4" w:space="0" w:color="auto"/>
              <w:right w:val="single" w:sz="4" w:space="0" w:color="auto"/>
            </w:tcBorders>
            <w:shd w:val="clear" w:color="auto" w:fill="auto"/>
            <w:vAlign w:val="center"/>
            <w:hideMark/>
          </w:tcPr>
          <w:p w:rsidR="00F07E05" w:rsidRPr="00FB1818" w:rsidRDefault="00F07E05" w:rsidP="008A253E">
            <w:pPr>
              <w:jc w:val="center"/>
              <w:rPr>
                <w:b/>
                <w:bCs/>
                <w:color w:val="000000"/>
              </w:rPr>
            </w:pPr>
            <w:r w:rsidRPr="00FB1818">
              <w:rPr>
                <w:b/>
                <w:bCs/>
                <w:color w:val="000000"/>
                <w:sz w:val="22"/>
                <w:szCs w:val="22"/>
              </w:rPr>
              <w:t>тыс. руб.</w:t>
            </w:r>
          </w:p>
        </w:tc>
        <w:tc>
          <w:tcPr>
            <w:tcW w:w="1468" w:type="dxa"/>
            <w:tcBorders>
              <w:top w:val="nil"/>
              <w:left w:val="single" w:sz="4" w:space="0" w:color="auto"/>
              <w:bottom w:val="single" w:sz="4" w:space="0" w:color="auto"/>
              <w:right w:val="single" w:sz="4" w:space="0" w:color="auto"/>
            </w:tcBorders>
            <w:shd w:val="clear" w:color="auto" w:fill="auto"/>
            <w:noWrap/>
            <w:vAlign w:val="center"/>
            <w:hideMark/>
          </w:tcPr>
          <w:p w:rsidR="00F07E05" w:rsidRPr="00FB1818" w:rsidRDefault="00F07E05" w:rsidP="008A253E">
            <w:pPr>
              <w:jc w:val="center"/>
              <w:rPr>
                <w:b/>
                <w:bCs/>
                <w:color w:val="000000" w:themeColor="text1"/>
              </w:rPr>
            </w:pPr>
            <w:r w:rsidRPr="00FB1818">
              <w:rPr>
                <w:b/>
                <w:bCs/>
                <w:color w:val="000000" w:themeColor="text1"/>
              </w:rPr>
              <w:t>111</w:t>
            </w:r>
            <w:r>
              <w:rPr>
                <w:b/>
                <w:bCs/>
                <w:color w:val="000000" w:themeColor="text1"/>
              </w:rPr>
              <w:t> 792,5</w:t>
            </w:r>
            <w:r w:rsidRPr="00FB1818">
              <w:rPr>
                <w:b/>
                <w:bCs/>
                <w:color w:val="000000" w:themeColor="text1"/>
              </w:rPr>
              <w:t xml:space="preserve">  </w:t>
            </w:r>
          </w:p>
        </w:tc>
        <w:tc>
          <w:tcPr>
            <w:tcW w:w="1468" w:type="dxa"/>
            <w:tcBorders>
              <w:top w:val="nil"/>
              <w:left w:val="nil"/>
              <w:bottom w:val="single" w:sz="4" w:space="0" w:color="auto"/>
              <w:right w:val="single" w:sz="4" w:space="0" w:color="auto"/>
            </w:tcBorders>
            <w:shd w:val="clear" w:color="auto" w:fill="auto"/>
            <w:noWrap/>
            <w:vAlign w:val="center"/>
            <w:hideMark/>
          </w:tcPr>
          <w:p w:rsidR="00F07E05" w:rsidRPr="00FB1818" w:rsidRDefault="00F07E05" w:rsidP="008A253E">
            <w:pPr>
              <w:jc w:val="center"/>
              <w:rPr>
                <w:b/>
                <w:bCs/>
                <w:color w:val="000000" w:themeColor="text1"/>
              </w:rPr>
            </w:pPr>
            <w:r w:rsidRPr="00FB1818">
              <w:rPr>
                <w:b/>
                <w:bCs/>
                <w:color w:val="000000" w:themeColor="text1"/>
              </w:rPr>
              <w:t>114 6</w:t>
            </w:r>
            <w:r>
              <w:rPr>
                <w:b/>
                <w:bCs/>
                <w:color w:val="000000" w:themeColor="text1"/>
              </w:rPr>
              <w:t>14</w:t>
            </w:r>
            <w:r w:rsidRPr="00FB1818">
              <w:rPr>
                <w:b/>
                <w:bCs/>
                <w:color w:val="000000" w:themeColor="text1"/>
              </w:rPr>
              <w:t>,</w:t>
            </w:r>
            <w:r>
              <w:rPr>
                <w:b/>
                <w:bCs/>
                <w:color w:val="000000" w:themeColor="text1"/>
              </w:rPr>
              <w:t>7</w:t>
            </w:r>
            <w:r w:rsidRPr="00FB1818">
              <w:rPr>
                <w:b/>
                <w:bCs/>
                <w:color w:val="000000" w:themeColor="text1"/>
              </w:rPr>
              <w:t xml:space="preserve">  </w:t>
            </w:r>
          </w:p>
        </w:tc>
        <w:tc>
          <w:tcPr>
            <w:tcW w:w="1468" w:type="dxa"/>
            <w:tcBorders>
              <w:top w:val="nil"/>
              <w:left w:val="nil"/>
              <w:bottom w:val="single" w:sz="4" w:space="0" w:color="auto"/>
              <w:right w:val="single" w:sz="4" w:space="0" w:color="auto"/>
            </w:tcBorders>
            <w:shd w:val="clear" w:color="auto" w:fill="auto"/>
            <w:noWrap/>
            <w:vAlign w:val="center"/>
          </w:tcPr>
          <w:p w:rsidR="00F07E05" w:rsidRPr="00FB1818" w:rsidRDefault="00F07E05" w:rsidP="008A253E">
            <w:pPr>
              <w:jc w:val="center"/>
              <w:rPr>
                <w:b/>
                <w:bCs/>
                <w:color w:val="000000" w:themeColor="text1"/>
              </w:rPr>
            </w:pPr>
            <w:r w:rsidRPr="00FB1818">
              <w:rPr>
                <w:b/>
                <w:bCs/>
                <w:color w:val="000000" w:themeColor="text1"/>
              </w:rPr>
              <w:t>117</w:t>
            </w:r>
            <w:r>
              <w:rPr>
                <w:b/>
                <w:bCs/>
                <w:color w:val="000000" w:themeColor="text1"/>
              </w:rPr>
              <w:t> 251,3</w:t>
            </w:r>
            <w:r w:rsidRPr="00FB1818">
              <w:rPr>
                <w:b/>
                <w:bCs/>
                <w:color w:val="000000" w:themeColor="text1"/>
              </w:rPr>
              <w:t xml:space="preserve">  </w:t>
            </w:r>
          </w:p>
        </w:tc>
      </w:tr>
      <w:tr w:rsidR="00F07E05" w:rsidRPr="00FB1818" w:rsidTr="008A253E">
        <w:trPr>
          <w:trHeight w:val="1309"/>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07E05" w:rsidRPr="00FB1818" w:rsidRDefault="00F07E05" w:rsidP="008A253E">
            <w:pPr>
              <w:rPr>
                <w:color w:val="000000"/>
              </w:rPr>
            </w:pPr>
            <w:r w:rsidRPr="00FB1818">
              <w:rPr>
                <w:color w:val="000000"/>
                <w:sz w:val="22"/>
                <w:szCs w:val="22"/>
              </w:rPr>
              <w:t>4</w:t>
            </w:r>
          </w:p>
        </w:tc>
        <w:tc>
          <w:tcPr>
            <w:tcW w:w="3568" w:type="dxa"/>
            <w:tcBorders>
              <w:top w:val="nil"/>
              <w:left w:val="nil"/>
              <w:bottom w:val="single" w:sz="4" w:space="0" w:color="auto"/>
              <w:right w:val="single" w:sz="4" w:space="0" w:color="auto"/>
            </w:tcBorders>
            <w:shd w:val="clear" w:color="auto" w:fill="auto"/>
            <w:vAlign w:val="center"/>
            <w:hideMark/>
          </w:tcPr>
          <w:p w:rsidR="00F07E05" w:rsidRPr="00FB1818" w:rsidRDefault="00F07E05" w:rsidP="008A253E">
            <w:pPr>
              <w:rPr>
                <w:color w:val="000000"/>
              </w:rPr>
            </w:pPr>
            <w:r w:rsidRPr="00FB1818">
              <w:rPr>
                <w:color w:val="000000"/>
                <w:sz w:val="22"/>
                <w:szCs w:val="22"/>
              </w:rPr>
              <w:t>Количество перевезенных пассажиров автомобильным транспортом общего пользования пригородного сообщения Ржевского район (без учета льготных пассажиров)</w:t>
            </w:r>
          </w:p>
        </w:tc>
        <w:tc>
          <w:tcPr>
            <w:tcW w:w="1528" w:type="dxa"/>
            <w:tcBorders>
              <w:top w:val="nil"/>
              <w:left w:val="nil"/>
              <w:bottom w:val="single" w:sz="4" w:space="0" w:color="auto"/>
              <w:right w:val="single" w:sz="4" w:space="0" w:color="auto"/>
            </w:tcBorders>
            <w:shd w:val="clear" w:color="auto" w:fill="auto"/>
            <w:vAlign w:val="center"/>
            <w:hideMark/>
          </w:tcPr>
          <w:p w:rsidR="00F07E05" w:rsidRPr="00FB1818" w:rsidRDefault="00F07E05" w:rsidP="008A253E">
            <w:pPr>
              <w:jc w:val="center"/>
              <w:rPr>
                <w:color w:val="000000"/>
              </w:rPr>
            </w:pPr>
            <w:r w:rsidRPr="00FB1818">
              <w:rPr>
                <w:color w:val="000000"/>
                <w:sz w:val="22"/>
                <w:szCs w:val="22"/>
              </w:rPr>
              <w:t>тыс. пассажиров</w:t>
            </w:r>
          </w:p>
        </w:tc>
        <w:tc>
          <w:tcPr>
            <w:tcW w:w="1468" w:type="dxa"/>
            <w:tcBorders>
              <w:top w:val="nil"/>
              <w:left w:val="single" w:sz="4" w:space="0" w:color="auto"/>
              <w:bottom w:val="single" w:sz="4" w:space="0" w:color="auto"/>
              <w:right w:val="single" w:sz="4" w:space="0" w:color="auto"/>
            </w:tcBorders>
            <w:shd w:val="clear" w:color="auto" w:fill="auto"/>
            <w:noWrap/>
            <w:vAlign w:val="center"/>
            <w:hideMark/>
          </w:tcPr>
          <w:p w:rsidR="00F07E05" w:rsidRPr="00FB1818" w:rsidRDefault="00F07E05" w:rsidP="008A253E">
            <w:pPr>
              <w:jc w:val="center"/>
              <w:rPr>
                <w:color w:val="000000" w:themeColor="text1"/>
              </w:rPr>
            </w:pPr>
            <w:r>
              <w:rPr>
                <w:color w:val="000000" w:themeColor="text1"/>
              </w:rPr>
              <w:t>416,2</w:t>
            </w:r>
          </w:p>
        </w:tc>
        <w:tc>
          <w:tcPr>
            <w:tcW w:w="1468" w:type="dxa"/>
            <w:tcBorders>
              <w:top w:val="nil"/>
              <w:left w:val="nil"/>
              <w:bottom w:val="single" w:sz="4" w:space="0" w:color="auto"/>
              <w:right w:val="single" w:sz="4" w:space="0" w:color="auto"/>
            </w:tcBorders>
            <w:shd w:val="clear" w:color="auto" w:fill="auto"/>
            <w:noWrap/>
            <w:vAlign w:val="center"/>
            <w:hideMark/>
          </w:tcPr>
          <w:p w:rsidR="00F07E05" w:rsidRPr="00FB1818" w:rsidRDefault="00F07E05" w:rsidP="008A253E">
            <w:pPr>
              <w:jc w:val="center"/>
              <w:rPr>
                <w:color w:val="000000" w:themeColor="text1"/>
              </w:rPr>
            </w:pPr>
            <w:r w:rsidRPr="00FB1818">
              <w:rPr>
                <w:color w:val="000000" w:themeColor="text1"/>
              </w:rPr>
              <w:t>409,</w:t>
            </w:r>
            <w:r>
              <w:rPr>
                <w:color w:val="000000" w:themeColor="text1"/>
              </w:rPr>
              <w:t>6</w:t>
            </w:r>
          </w:p>
        </w:tc>
        <w:tc>
          <w:tcPr>
            <w:tcW w:w="1468" w:type="dxa"/>
            <w:tcBorders>
              <w:top w:val="nil"/>
              <w:left w:val="nil"/>
              <w:bottom w:val="single" w:sz="4" w:space="0" w:color="auto"/>
              <w:right w:val="single" w:sz="4" w:space="0" w:color="auto"/>
            </w:tcBorders>
            <w:shd w:val="clear" w:color="auto" w:fill="auto"/>
            <w:noWrap/>
            <w:vAlign w:val="center"/>
          </w:tcPr>
          <w:p w:rsidR="00F07E05" w:rsidRPr="00FB1818" w:rsidRDefault="00F07E05" w:rsidP="008A253E">
            <w:pPr>
              <w:jc w:val="center"/>
              <w:rPr>
                <w:color w:val="000000" w:themeColor="text1"/>
              </w:rPr>
            </w:pPr>
            <w:r>
              <w:rPr>
                <w:color w:val="000000" w:themeColor="text1"/>
              </w:rPr>
              <w:t>403,0</w:t>
            </w:r>
          </w:p>
        </w:tc>
      </w:tr>
      <w:tr w:rsidR="00F07E05" w:rsidRPr="00FB1818" w:rsidTr="008A253E">
        <w:trPr>
          <w:trHeight w:val="301"/>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07E05" w:rsidRPr="00FB1818" w:rsidRDefault="00F07E05" w:rsidP="008A253E">
            <w:pPr>
              <w:rPr>
                <w:color w:val="000000"/>
              </w:rPr>
            </w:pPr>
            <w:r w:rsidRPr="00FB1818">
              <w:rPr>
                <w:color w:val="000000"/>
                <w:sz w:val="22"/>
                <w:szCs w:val="22"/>
              </w:rPr>
              <w:t>5</w:t>
            </w:r>
          </w:p>
        </w:tc>
        <w:tc>
          <w:tcPr>
            <w:tcW w:w="3568" w:type="dxa"/>
            <w:tcBorders>
              <w:top w:val="nil"/>
              <w:left w:val="nil"/>
              <w:bottom w:val="single" w:sz="4" w:space="0" w:color="auto"/>
              <w:right w:val="single" w:sz="4" w:space="0" w:color="auto"/>
            </w:tcBorders>
            <w:shd w:val="clear" w:color="auto" w:fill="auto"/>
            <w:vAlign w:val="center"/>
            <w:hideMark/>
          </w:tcPr>
          <w:p w:rsidR="00F07E05" w:rsidRPr="00FB1818" w:rsidRDefault="00F07E05" w:rsidP="008A253E">
            <w:pPr>
              <w:rPr>
                <w:color w:val="000000"/>
              </w:rPr>
            </w:pPr>
            <w:r w:rsidRPr="00FB1818">
              <w:rPr>
                <w:color w:val="000000"/>
                <w:sz w:val="22"/>
                <w:szCs w:val="22"/>
              </w:rPr>
              <w:t>Средневз</w:t>
            </w:r>
            <w:r>
              <w:rPr>
                <w:color w:val="000000"/>
                <w:sz w:val="22"/>
                <w:szCs w:val="22"/>
              </w:rPr>
              <w:t>в</w:t>
            </w:r>
            <w:r w:rsidRPr="00FB1818">
              <w:rPr>
                <w:color w:val="000000"/>
                <w:sz w:val="22"/>
                <w:szCs w:val="22"/>
              </w:rPr>
              <w:t>еш</w:t>
            </w:r>
            <w:r>
              <w:rPr>
                <w:color w:val="000000"/>
                <w:sz w:val="22"/>
                <w:szCs w:val="22"/>
              </w:rPr>
              <w:t>е</w:t>
            </w:r>
            <w:r w:rsidRPr="00FB1818">
              <w:rPr>
                <w:color w:val="000000"/>
                <w:sz w:val="22"/>
                <w:szCs w:val="22"/>
              </w:rPr>
              <w:t>нный тариф</w:t>
            </w:r>
          </w:p>
        </w:tc>
        <w:tc>
          <w:tcPr>
            <w:tcW w:w="1528" w:type="dxa"/>
            <w:tcBorders>
              <w:top w:val="nil"/>
              <w:left w:val="nil"/>
              <w:bottom w:val="single" w:sz="4" w:space="0" w:color="auto"/>
              <w:right w:val="single" w:sz="4" w:space="0" w:color="auto"/>
            </w:tcBorders>
            <w:shd w:val="clear" w:color="auto" w:fill="auto"/>
            <w:vAlign w:val="center"/>
            <w:hideMark/>
          </w:tcPr>
          <w:p w:rsidR="00F07E05" w:rsidRPr="00FB1818" w:rsidRDefault="00F07E05" w:rsidP="008A253E">
            <w:pPr>
              <w:jc w:val="center"/>
              <w:rPr>
                <w:color w:val="000000"/>
              </w:rPr>
            </w:pPr>
            <w:r w:rsidRPr="00FB1818">
              <w:rPr>
                <w:color w:val="000000"/>
                <w:sz w:val="22"/>
                <w:szCs w:val="22"/>
              </w:rPr>
              <w:t>руб. за 1 км.</w:t>
            </w:r>
          </w:p>
        </w:tc>
        <w:tc>
          <w:tcPr>
            <w:tcW w:w="1468" w:type="dxa"/>
            <w:tcBorders>
              <w:top w:val="nil"/>
              <w:left w:val="single" w:sz="4" w:space="0" w:color="auto"/>
              <w:bottom w:val="single" w:sz="4" w:space="0" w:color="auto"/>
              <w:right w:val="single" w:sz="4" w:space="0" w:color="auto"/>
            </w:tcBorders>
            <w:shd w:val="clear" w:color="auto" w:fill="auto"/>
            <w:noWrap/>
            <w:vAlign w:val="center"/>
            <w:hideMark/>
          </w:tcPr>
          <w:p w:rsidR="00F07E05" w:rsidRPr="00FB1818" w:rsidRDefault="00F07E05" w:rsidP="008A253E">
            <w:pPr>
              <w:jc w:val="center"/>
              <w:rPr>
                <w:color w:val="000000" w:themeColor="text1"/>
              </w:rPr>
            </w:pPr>
            <w:r w:rsidRPr="00FB1818">
              <w:rPr>
                <w:color w:val="000000" w:themeColor="text1"/>
              </w:rPr>
              <w:t>4,</w:t>
            </w:r>
            <w:r>
              <w:rPr>
                <w:color w:val="000000" w:themeColor="text1"/>
              </w:rPr>
              <w:t>29</w:t>
            </w:r>
            <w:r w:rsidRPr="00FB1818">
              <w:rPr>
                <w:color w:val="000000" w:themeColor="text1"/>
              </w:rPr>
              <w:t xml:space="preserve"> </w:t>
            </w:r>
          </w:p>
        </w:tc>
        <w:tc>
          <w:tcPr>
            <w:tcW w:w="1468" w:type="dxa"/>
            <w:tcBorders>
              <w:top w:val="nil"/>
              <w:left w:val="nil"/>
              <w:bottom w:val="single" w:sz="4" w:space="0" w:color="auto"/>
              <w:right w:val="single" w:sz="4" w:space="0" w:color="auto"/>
            </w:tcBorders>
            <w:shd w:val="clear" w:color="auto" w:fill="auto"/>
            <w:noWrap/>
            <w:vAlign w:val="center"/>
            <w:hideMark/>
          </w:tcPr>
          <w:p w:rsidR="00F07E05" w:rsidRPr="00FB1818" w:rsidRDefault="00F07E05" w:rsidP="008A253E">
            <w:pPr>
              <w:jc w:val="center"/>
              <w:rPr>
                <w:color w:val="000000" w:themeColor="text1"/>
              </w:rPr>
            </w:pPr>
            <w:r w:rsidRPr="00FB1818">
              <w:rPr>
                <w:color w:val="000000" w:themeColor="text1"/>
              </w:rPr>
              <w:t>4,</w:t>
            </w:r>
            <w:r>
              <w:rPr>
                <w:color w:val="000000" w:themeColor="text1"/>
              </w:rPr>
              <w:t>48</w:t>
            </w:r>
            <w:r w:rsidRPr="00FB1818">
              <w:rPr>
                <w:color w:val="000000" w:themeColor="text1"/>
              </w:rPr>
              <w:t xml:space="preserve">  </w:t>
            </w:r>
          </w:p>
        </w:tc>
        <w:tc>
          <w:tcPr>
            <w:tcW w:w="1468" w:type="dxa"/>
            <w:tcBorders>
              <w:top w:val="nil"/>
              <w:left w:val="nil"/>
              <w:bottom w:val="single" w:sz="4" w:space="0" w:color="auto"/>
              <w:right w:val="single" w:sz="4" w:space="0" w:color="auto"/>
            </w:tcBorders>
            <w:shd w:val="clear" w:color="auto" w:fill="auto"/>
            <w:noWrap/>
            <w:vAlign w:val="center"/>
          </w:tcPr>
          <w:p w:rsidR="00F07E05" w:rsidRPr="00FB1818" w:rsidRDefault="00F07E05" w:rsidP="008A253E">
            <w:pPr>
              <w:jc w:val="center"/>
              <w:rPr>
                <w:color w:val="000000" w:themeColor="text1"/>
              </w:rPr>
            </w:pPr>
            <w:r w:rsidRPr="00FB1818">
              <w:rPr>
                <w:color w:val="000000" w:themeColor="text1"/>
              </w:rPr>
              <w:t>4,</w:t>
            </w:r>
            <w:r>
              <w:rPr>
                <w:color w:val="000000" w:themeColor="text1"/>
              </w:rPr>
              <w:t>65</w:t>
            </w:r>
            <w:r w:rsidRPr="00FB1818">
              <w:rPr>
                <w:color w:val="000000" w:themeColor="text1"/>
              </w:rPr>
              <w:t xml:space="preserve"> </w:t>
            </w:r>
          </w:p>
        </w:tc>
      </w:tr>
      <w:tr w:rsidR="00F07E05" w:rsidRPr="00FB1818" w:rsidTr="008A253E">
        <w:trPr>
          <w:trHeight w:val="602"/>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07E05" w:rsidRPr="00FB1818" w:rsidRDefault="00F07E05" w:rsidP="008A253E">
            <w:pPr>
              <w:rPr>
                <w:color w:val="000000"/>
              </w:rPr>
            </w:pPr>
            <w:r w:rsidRPr="00FB1818">
              <w:rPr>
                <w:color w:val="000000"/>
                <w:sz w:val="22"/>
                <w:szCs w:val="22"/>
              </w:rPr>
              <w:t>6</w:t>
            </w:r>
          </w:p>
        </w:tc>
        <w:tc>
          <w:tcPr>
            <w:tcW w:w="3568" w:type="dxa"/>
            <w:tcBorders>
              <w:top w:val="nil"/>
              <w:left w:val="nil"/>
              <w:bottom w:val="single" w:sz="4" w:space="0" w:color="auto"/>
              <w:right w:val="single" w:sz="4" w:space="0" w:color="auto"/>
            </w:tcBorders>
            <w:shd w:val="clear" w:color="auto" w:fill="auto"/>
            <w:vAlign w:val="center"/>
            <w:hideMark/>
          </w:tcPr>
          <w:p w:rsidR="00F07E05" w:rsidRPr="00FB1818" w:rsidRDefault="00F07E05" w:rsidP="008A253E">
            <w:pPr>
              <w:rPr>
                <w:color w:val="000000"/>
              </w:rPr>
            </w:pPr>
            <w:r w:rsidRPr="00FB1818">
              <w:rPr>
                <w:color w:val="000000"/>
                <w:sz w:val="22"/>
                <w:szCs w:val="22"/>
              </w:rPr>
              <w:t>Средняя дальность перевозки пассажиров на пригородном сообщении</w:t>
            </w:r>
          </w:p>
        </w:tc>
        <w:tc>
          <w:tcPr>
            <w:tcW w:w="1528" w:type="dxa"/>
            <w:tcBorders>
              <w:top w:val="nil"/>
              <w:left w:val="nil"/>
              <w:bottom w:val="single" w:sz="4" w:space="0" w:color="auto"/>
              <w:right w:val="single" w:sz="4" w:space="0" w:color="auto"/>
            </w:tcBorders>
            <w:shd w:val="clear" w:color="auto" w:fill="auto"/>
            <w:vAlign w:val="center"/>
            <w:hideMark/>
          </w:tcPr>
          <w:p w:rsidR="00F07E05" w:rsidRPr="00FB1818" w:rsidRDefault="00F07E05" w:rsidP="008A253E">
            <w:pPr>
              <w:jc w:val="center"/>
              <w:rPr>
                <w:color w:val="000000"/>
              </w:rPr>
            </w:pPr>
            <w:r w:rsidRPr="00FB1818">
              <w:rPr>
                <w:color w:val="000000"/>
                <w:sz w:val="22"/>
                <w:szCs w:val="22"/>
              </w:rPr>
              <w:t>км.</w:t>
            </w:r>
          </w:p>
        </w:tc>
        <w:tc>
          <w:tcPr>
            <w:tcW w:w="1468" w:type="dxa"/>
            <w:tcBorders>
              <w:top w:val="nil"/>
              <w:left w:val="single" w:sz="4" w:space="0" w:color="auto"/>
              <w:bottom w:val="single" w:sz="4" w:space="0" w:color="auto"/>
              <w:right w:val="single" w:sz="4" w:space="0" w:color="auto"/>
            </w:tcBorders>
            <w:shd w:val="clear" w:color="auto" w:fill="auto"/>
            <w:noWrap/>
            <w:vAlign w:val="center"/>
            <w:hideMark/>
          </w:tcPr>
          <w:p w:rsidR="00F07E05" w:rsidRPr="00FB1818" w:rsidRDefault="00F07E05" w:rsidP="008A253E">
            <w:pPr>
              <w:jc w:val="center"/>
              <w:rPr>
                <w:color w:val="000000" w:themeColor="text1"/>
              </w:rPr>
            </w:pPr>
            <w:r w:rsidRPr="00FB1818">
              <w:rPr>
                <w:color w:val="000000" w:themeColor="text1"/>
              </w:rPr>
              <w:t xml:space="preserve">6,7  </w:t>
            </w:r>
          </w:p>
        </w:tc>
        <w:tc>
          <w:tcPr>
            <w:tcW w:w="1468" w:type="dxa"/>
            <w:tcBorders>
              <w:top w:val="nil"/>
              <w:left w:val="nil"/>
              <w:bottom w:val="single" w:sz="4" w:space="0" w:color="auto"/>
              <w:right w:val="single" w:sz="4" w:space="0" w:color="auto"/>
            </w:tcBorders>
            <w:shd w:val="clear" w:color="auto" w:fill="auto"/>
            <w:noWrap/>
            <w:vAlign w:val="center"/>
            <w:hideMark/>
          </w:tcPr>
          <w:p w:rsidR="00F07E05" w:rsidRPr="00FB1818" w:rsidRDefault="00F07E05" w:rsidP="008A253E">
            <w:pPr>
              <w:jc w:val="center"/>
              <w:rPr>
                <w:color w:val="000000" w:themeColor="text1"/>
              </w:rPr>
            </w:pPr>
            <w:r w:rsidRPr="00FB1818">
              <w:rPr>
                <w:color w:val="000000" w:themeColor="text1"/>
              </w:rPr>
              <w:t xml:space="preserve">6,7  </w:t>
            </w:r>
          </w:p>
        </w:tc>
        <w:tc>
          <w:tcPr>
            <w:tcW w:w="1468" w:type="dxa"/>
            <w:tcBorders>
              <w:top w:val="nil"/>
              <w:left w:val="nil"/>
              <w:bottom w:val="single" w:sz="4" w:space="0" w:color="auto"/>
              <w:right w:val="single" w:sz="4" w:space="0" w:color="auto"/>
            </w:tcBorders>
            <w:shd w:val="clear" w:color="auto" w:fill="auto"/>
            <w:noWrap/>
            <w:vAlign w:val="center"/>
          </w:tcPr>
          <w:p w:rsidR="00F07E05" w:rsidRPr="00FB1818" w:rsidRDefault="00F07E05" w:rsidP="008A253E">
            <w:pPr>
              <w:jc w:val="center"/>
              <w:rPr>
                <w:color w:val="000000" w:themeColor="text1"/>
              </w:rPr>
            </w:pPr>
            <w:r w:rsidRPr="00FB1818">
              <w:rPr>
                <w:color w:val="000000" w:themeColor="text1"/>
              </w:rPr>
              <w:t xml:space="preserve">6,7  </w:t>
            </w:r>
          </w:p>
        </w:tc>
      </w:tr>
      <w:tr w:rsidR="00F07E05" w:rsidRPr="00FB1818" w:rsidTr="008A253E">
        <w:trPr>
          <w:trHeight w:val="301"/>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07E05" w:rsidRPr="00FB1818" w:rsidRDefault="00F07E05" w:rsidP="008A253E">
            <w:pPr>
              <w:rPr>
                <w:b/>
                <w:bCs/>
                <w:color w:val="000000"/>
              </w:rPr>
            </w:pPr>
            <w:r w:rsidRPr="00FB1818">
              <w:rPr>
                <w:b/>
                <w:bCs/>
                <w:color w:val="000000"/>
                <w:sz w:val="22"/>
                <w:szCs w:val="22"/>
              </w:rPr>
              <w:t>7</w:t>
            </w:r>
          </w:p>
        </w:tc>
        <w:tc>
          <w:tcPr>
            <w:tcW w:w="3568" w:type="dxa"/>
            <w:tcBorders>
              <w:top w:val="nil"/>
              <w:left w:val="nil"/>
              <w:bottom w:val="single" w:sz="4" w:space="0" w:color="auto"/>
              <w:right w:val="single" w:sz="4" w:space="0" w:color="auto"/>
            </w:tcBorders>
            <w:shd w:val="clear" w:color="auto" w:fill="auto"/>
            <w:vAlign w:val="center"/>
            <w:hideMark/>
          </w:tcPr>
          <w:p w:rsidR="00F07E05" w:rsidRPr="00FB1818" w:rsidRDefault="00F07E05" w:rsidP="008A253E">
            <w:pPr>
              <w:rPr>
                <w:b/>
                <w:bCs/>
                <w:color w:val="000000"/>
              </w:rPr>
            </w:pPr>
            <w:r w:rsidRPr="00FB1818">
              <w:rPr>
                <w:b/>
                <w:bCs/>
                <w:color w:val="000000"/>
                <w:sz w:val="22"/>
                <w:szCs w:val="22"/>
              </w:rPr>
              <w:t>Итого пригород (стр.4*5*6)</w:t>
            </w:r>
          </w:p>
        </w:tc>
        <w:tc>
          <w:tcPr>
            <w:tcW w:w="1528" w:type="dxa"/>
            <w:tcBorders>
              <w:top w:val="nil"/>
              <w:left w:val="nil"/>
              <w:bottom w:val="single" w:sz="4" w:space="0" w:color="auto"/>
              <w:right w:val="single" w:sz="4" w:space="0" w:color="auto"/>
            </w:tcBorders>
            <w:shd w:val="clear" w:color="auto" w:fill="auto"/>
            <w:vAlign w:val="center"/>
            <w:hideMark/>
          </w:tcPr>
          <w:p w:rsidR="00F07E05" w:rsidRPr="00FB1818" w:rsidRDefault="00F07E05" w:rsidP="008A253E">
            <w:pPr>
              <w:jc w:val="center"/>
              <w:rPr>
                <w:b/>
                <w:bCs/>
                <w:color w:val="000000"/>
              </w:rPr>
            </w:pPr>
            <w:r w:rsidRPr="00FB1818">
              <w:rPr>
                <w:b/>
                <w:bCs/>
                <w:color w:val="000000"/>
                <w:sz w:val="22"/>
                <w:szCs w:val="22"/>
              </w:rPr>
              <w:t>тыс. руб.</w:t>
            </w:r>
          </w:p>
        </w:tc>
        <w:tc>
          <w:tcPr>
            <w:tcW w:w="1468" w:type="dxa"/>
            <w:tcBorders>
              <w:top w:val="nil"/>
              <w:left w:val="single" w:sz="4" w:space="0" w:color="auto"/>
              <w:bottom w:val="single" w:sz="4" w:space="0" w:color="auto"/>
              <w:right w:val="single" w:sz="4" w:space="0" w:color="auto"/>
            </w:tcBorders>
            <w:shd w:val="clear" w:color="auto" w:fill="auto"/>
            <w:noWrap/>
            <w:vAlign w:val="center"/>
            <w:hideMark/>
          </w:tcPr>
          <w:p w:rsidR="00F07E05" w:rsidRPr="00FB1818" w:rsidRDefault="00F07E05" w:rsidP="008A253E">
            <w:pPr>
              <w:jc w:val="center"/>
              <w:rPr>
                <w:b/>
                <w:bCs/>
                <w:color w:val="000000" w:themeColor="text1"/>
              </w:rPr>
            </w:pPr>
            <w:r w:rsidRPr="00FB1818">
              <w:rPr>
                <w:b/>
                <w:bCs/>
                <w:color w:val="000000" w:themeColor="text1"/>
              </w:rPr>
              <w:t>11 962,</w:t>
            </w:r>
            <w:r>
              <w:rPr>
                <w:b/>
                <w:bCs/>
                <w:color w:val="000000" w:themeColor="text1"/>
              </w:rPr>
              <w:t>8</w:t>
            </w:r>
            <w:r w:rsidRPr="00FB1818">
              <w:rPr>
                <w:b/>
                <w:bCs/>
                <w:color w:val="000000" w:themeColor="text1"/>
              </w:rPr>
              <w:t xml:space="preserve">  </w:t>
            </w:r>
          </w:p>
        </w:tc>
        <w:tc>
          <w:tcPr>
            <w:tcW w:w="1468" w:type="dxa"/>
            <w:tcBorders>
              <w:top w:val="nil"/>
              <w:left w:val="nil"/>
              <w:bottom w:val="single" w:sz="4" w:space="0" w:color="auto"/>
              <w:right w:val="single" w:sz="4" w:space="0" w:color="auto"/>
            </w:tcBorders>
            <w:shd w:val="clear" w:color="auto" w:fill="auto"/>
            <w:noWrap/>
            <w:vAlign w:val="center"/>
            <w:hideMark/>
          </w:tcPr>
          <w:p w:rsidR="00F07E05" w:rsidRPr="00FB1818" w:rsidRDefault="00F07E05" w:rsidP="008A253E">
            <w:pPr>
              <w:jc w:val="center"/>
              <w:rPr>
                <w:b/>
                <w:bCs/>
                <w:color w:val="000000" w:themeColor="text1"/>
              </w:rPr>
            </w:pPr>
            <w:r w:rsidRPr="00FB1818">
              <w:rPr>
                <w:b/>
                <w:bCs/>
                <w:color w:val="000000" w:themeColor="text1"/>
              </w:rPr>
              <w:t>12 29</w:t>
            </w:r>
            <w:r>
              <w:rPr>
                <w:b/>
                <w:bCs/>
                <w:color w:val="000000" w:themeColor="text1"/>
              </w:rPr>
              <w:t>4</w:t>
            </w:r>
            <w:r w:rsidRPr="00FB1818">
              <w:rPr>
                <w:b/>
                <w:bCs/>
                <w:color w:val="000000" w:themeColor="text1"/>
              </w:rPr>
              <w:t>,</w:t>
            </w:r>
            <w:r>
              <w:rPr>
                <w:b/>
                <w:bCs/>
                <w:color w:val="000000" w:themeColor="text1"/>
              </w:rPr>
              <w:t>6</w:t>
            </w:r>
            <w:r w:rsidRPr="00FB1818">
              <w:rPr>
                <w:b/>
                <w:bCs/>
                <w:color w:val="000000" w:themeColor="text1"/>
              </w:rPr>
              <w:t xml:space="preserve">  </w:t>
            </w:r>
          </w:p>
        </w:tc>
        <w:tc>
          <w:tcPr>
            <w:tcW w:w="1468" w:type="dxa"/>
            <w:tcBorders>
              <w:top w:val="nil"/>
              <w:left w:val="nil"/>
              <w:bottom w:val="single" w:sz="4" w:space="0" w:color="auto"/>
              <w:right w:val="single" w:sz="4" w:space="0" w:color="auto"/>
            </w:tcBorders>
            <w:shd w:val="clear" w:color="auto" w:fill="auto"/>
            <w:noWrap/>
            <w:vAlign w:val="center"/>
          </w:tcPr>
          <w:p w:rsidR="00F07E05" w:rsidRPr="00FB1818" w:rsidRDefault="00F07E05" w:rsidP="008A253E">
            <w:pPr>
              <w:jc w:val="center"/>
              <w:rPr>
                <w:b/>
                <w:bCs/>
                <w:color w:val="000000" w:themeColor="text1"/>
              </w:rPr>
            </w:pPr>
            <w:r w:rsidRPr="00FB1818">
              <w:rPr>
                <w:b/>
                <w:bCs/>
                <w:color w:val="000000" w:themeColor="text1"/>
              </w:rPr>
              <w:t>12 55</w:t>
            </w:r>
            <w:r>
              <w:rPr>
                <w:b/>
                <w:bCs/>
                <w:color w:val="000000" w:themeColor="text1"/>
              </w:rPr>
              <w:t>5</w:t>
            </w:r>
            <w:r w:rsidRPr="00FB1818">
              <w:rPr>
                <w:b/>
                <w:bCs/>
                <w:color w:val="000000" w:themeColor="text1"/>
              </w:rPr>
              <w:t>,</w:t>
            </w:r>
            <w:r>
              <w:rPr>
                <w:b/>
                <w:bCs/>
                <w:color w:val="000000" w:themeColor="text1"/>
              </w:rPr>
              <w:t>5</w:t>
            </w:r>
            <w:r w:rsidRPr="00FB1818">
              <w:rPr>
                <w:b/>
                <w:bCs/>
                <w:color w:val="000000" w:themeColor="text1"/>
              </w:rPr>
              <w:t xml:space="preserve">  </w:t>
            </w:r>
          </w:p>
        </w:tc>
      </w:tr>
      <w:tr w:rsidR="00F07E05" w:rsidRPr="00FB1818" w:rsidTr="008A253E">
        <w:trPr>
          <w:trHeight w:val="301"/>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07E05" w:rsidRPr="00FB1818" w:rsidRDefault="00F07E05" w:rsidP="008A253E">
            <w:pPr>
              <w:rPr>
                <w:color w:val="000000"/>
              </w:rPr>
            </w:pPr>
            <w:r w:rsidRPr="00FB1818">
              <w:rPr>
                <w:color w:val="000000"/>
                <w:sz w:val="22"/>
                <w:szCs w:val="22"/>
              </w:rPr>
              <w:t>8</w:t>
            </w:r>
          </w:p>
        </w:tc>
        <w:tc>
          <w:tcPr>
            <w:tcW w:w="3568" w:type="dxa"/>
            <w:tcBorders>
              <w:top w:val="nil"/>
              <w:left w:val="nil"/>
              <w:bottom w:val="single" w:sz="4" w:space="0" w:color="auto"/>
              <w:right w:val="single" w:sz="4" w:space="0" w:color="auto"/>
            </w:tcBorders>
            <w:shd w:val="clear" w:color="auto" w:fill="auto"/>
            <w:vAlign w:val="center"/>
            <w:hideMark/>
          </w:tcPr>
          <w:p w:rsidR="00F07E05" w:rsidRPr="00FB1818" w:rsidRDefault="00F07E05" w:rsidP="008A253E">
            <w:pPr>
              <w:rPr>
                <w:color w:val="000000"/>
              </w:rPr>
            </w:pPr>
            <w:r w:rsidRPr="00FB1818">
              <w:rPr>
                <w:color w:val="000000"/>
                <w:sz w:val="22"/>
                <w:szCs w:val="22"/>
              </w:rPr>
              <w:t>Комиссия компании оператора</w:t>
            </w:r>
          </w:p>
        </w:tc>
        <w:tc>
          <w:tcPr>
            <w:tcW w:w="1528" w:type="dxa"/>
            <w:tcBorders>
              <w:top w:val="nil"/>
              <w:left w:val="nil"/>
              <w:bottom w:val="single" w:sz="4" w:space="0" w:color="auto"/>
              <w:right w:val="single" w:sz="4" w:space="0" w:color="auto"/>
            </w:tcBorders>
            <w:shd w:val="clear" w:color="auto" w:fill="auto"/>
            <w:vAlign w:val="center"/>
            <w:hideMark/>
          </w:tcPr>
          <w:p w:rsidR="00F07E05" w:rsidRPr="00FB1818" w:rsidRDefault="00F07E05" w:rsidP="008A253E">
            <w:pPr>
              <w:jc w:val="center"/>
              <w:rPr>
                <w:color w:val="000000"/>
              </w:rPr>
            </w:pPr>
            <w:r w:rsidRPr="00FB1818">
              <w:rPr>
                <w:color w:val="000000"/>
                <w:sz w:val="22"/>
                <w:szCs w:val="22"/>
              </w:rPr>
              <w:t>%</w:t>
            </w:r>
          </w:p>
        </w:tc>
        <w:tc>
          <w:tcPr>
            <w:tcW w:w="1468" w:type="dxa"/>
            <w:tcBorders>
              <w:top w:val="nil"/>
              <w:left w:val="single" w:sz="4" w:space="0" w:color="auto"/>
              <w:bottom w:val="single" w:sz="4" w:space="0" w:color="auto"/>
              <w:right w:val="single" w:sz="4" w:space="0" w:color="auto"/>
            </w:tcBorders>
            <w:shd w:val="clear" w:color="auto" w:fill="auto"/>
            <w:noWrap/>
            <w:vAlign w:val="center"/>
            <w:hideMark/>
          </w:tcPr>
          <w:p w:rsidR="00F07E05" w:rsidRPr="004546C9" w:rsidRDefault="00F07E05" w:rsidP="008A253E">
            <w:pPr>
              <w:jc w:val="center"/>
            </w:pPr>
            <w:r w:rsidRPr="004546C9">
              <w:t>6%</w:t>
            </w:r>
          </w:p>
        </w:tc>
        <w:tc>
          <w:tcPr>
            <w:tcW w:w="1468" w:type="dxa"/>
            <w:tcBorders>
              <w:top w:val="nil"/>
              <w:left w:val="nil"/>
              <w:bottom w:val="single" w:sz="4" w:space="0" w:color="auto"/>
              <w:right w:val="single" w:sz="4" w:space="0" w:color="auto"/>
            </w:tcBorders>
            <w:shd w:val="clear" w:color="auto" w:fill="auto"/>
            <w:noWrap/>
            <w:vAlign w:val="center"/>
            <w:hideMark/>
          </w:tcPr>
          <w:p w:rsidR="00F07E05" w:rsidRPr="004546C9" w:rsidRDefault="00F07E05" w:rsidP="008A253E">
            <w:pPr>
              <w:jc w:val="center"/>
            </w:pPr>
            <w:r w:rsidRPr="004546C9">
              <w:t>6%</w:t>
            </w:r>
          </w:p>
        </w:tc>
        <w:tc>
          <w:tcPr>
            <w:tcW w:w="1468" w:type="dxa"/>
            <w:tcBorders>
              <w:top w:val="nil"/>
              <w:left w:val="nil"/>
              <w:bottom w:val="single" w:sz="4" w:space="0" w:color="auto"/>
              <w:right w:val="single" w:sz="4" w:space="0" w:color="auto"/>
            </w:tcBorders>
            <w:shd w:val="clear" w:color="auto" w:fill="auto"/>
            <w:noWrap/>
            <w:vAlign w:val="center"/>
          </w:tcPr>
          <w:p w:rsidR="00F07E05" w:rsidRPr="004546C9" w:rsidRDefault="00F07E05" w:rsidP="008A253E">
            <w:pPr>
              <w:jc w:val="center"/>
            </w:pPr>
            <w:r w:rsidRPr="004546C9">
              <w:t>6%</w:t>
            </w:r>
          </w:p>
        </w:tc>
      </w:tr>
      <w:tr w:rsidR="00F07E05" w:rsidRPr="00FB1818" w:rsidTr="008A253E">
        <w:trPr>
          <w:trHeight w:val="301"/>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07E05" w:rsidRPr="00FB1818" w:rsidRDefault="00F07E05" w:rsidP="008A253E">
            <w:pPr>
              <w:rPr>
                <w:color w:val="000000"/>
              </w:rPr>
            </w:pPr>
            <w:r w:rsidRPr="00FB1818">
              <w:rPr>
                <w:color w:val="000000"/>
                <w:sz w:val="22"/>
                <w:szCs w:val="22"/>
              </w:rPr>
              <w:t>9</w:t>
            </w:r>
          </w:p>
        </w:tc>
        <w:tc>
          <w:tcPr>
            <w:tcW w:w="3568" w:type="dxa"/>
            <w:tcBorders>
              <w:top w:val="nil"/>
              <w:left w:val="nil"/>
              <w:bottom w:val="single" w:sz="4" w:space="0" w:color="auto"/>
              <w:right w:val="single" w:sz="4" w:space="0" w:color="auto"/>
            </w:tcBorders>
            <w:shd w:val="clear" w:color="auto" w:fill="auto"/>
            <w:vAlign w:val="center"/>
            <w:hideMark/>
          </w:tcPr>
          <w:p w:rsidR="00F07E05" w:rsidRPr="00FB1818" w:rsidRDefault="00F07E05" w:rsidP="008A253E">
            <w:pPr>
              <w:rPr>
                <w:color w:val="000000"/>
              </w:rPr>
            </w:pPr>
            <w:r w:rsidRPr="00FB1818">
              <w:rPr>
                <w:color w:val="000000"/>
                <w:sz w:val="22"/>
                <w:szCs w:val="22"/>
              </w:rPr>
              <w:t>Сумма комиссии оператора (стр. 3 + 7 )*8)</w:t>
            </w:r>
          </w:p>
        </w:tc>
        <w:tc>
          <w:tcPr>
            <w:tcW w:w="1528" w:type="dxa"/>
            <w:tcBorders>
              <w:top w:val="nil"/>
              <w:left w:val="nil"/>
              <w:bottom w:val="single" w:sz="4" w:space="0" w:color="auto"/>
              <w:right w:val="single" w:sz="4" w:space="0" w:color="auto"/>
            </w:tcBorders>
            <w:shd w:val="clear" w:color="auto" w:fill="auto"/>
            <w:vAlign w:val="center"/>
            <w:hideMark/>
          </w:tcPr>
          <w:p w:rsidR="00F07E05" w:rsidRPr="00FB1818" w:rsidRDefault="00F07E05" w:rsidP="008A253E">
            <w:pPr>
              <w:jc w:val="center"/>
              <w:rPr>
                <w:b/>
                <w:bCs/>
                <w:color w:val="000000"/>
              </w:rPr>
            </w:pPr>
            <w:r w:rsidRPr="00FB1818">
              <w:rPr>
                <w:b/>
                <w:bCs/>
                <w:color w:val="000000"/>
                <w:sz w:val="22"/>
                <w:szCs w:val="22"/>
              </w:rPr>
              <w:t>тыс. руб.</w:t>
            </w:r>
          </w:p>
        </w:tc>
        <w:tc>
          <w:tcPr>
            <w:tcW w:w="1468" w:type="dxa"/>
            <w:tcBorders>
              <w:top w:val="nil"/>
              <w:left w:val="single" w:sz="4" w:space="0" w:color="auto"/>
              <w:bottom w:val="single" w:sz="4" w:space="0" w:color="auto"/>
              <w:right w:val="single" w:sz="4" w:space="0" w:color="auto"/>
            </w:tcBorders>
            <w:shd w:val="clear" w:color="auto" w:fill="auto"/>
            <w:noWrap/>
            <w:vAlign w:val="center"/>
            <w:hideMark/>
          </w:tcPr>
          <w:p w:rsidR="00F07E05" w:rsidRPr="00153550" w:rsidRDefault="00F07E05" w:rsidP="008A253E">
            <w:pPr>
              <w:jc w:val="center"/>
            </w:pPr>
            <w:r>
              <w:t>7 425,3</w:t>
            </w:r>
            <w:r w:rsidRPr="00153550">
              <w:t xml:space="preserve">  </w:t>
            </w:r>
          </w:p>
        </w:tc>
        <w:tc>
          <w:tcPr>
            <w:tcW w:w="1468" w:type="dxa"/>
            <w:tcBorders>
              <w:top w:val="nil"/>
              <w:left w:val="nil"/>
              <w:bottom w:val="single" w:sz="4" w:space="0" w:color="auto"/>
              <w:right w:val="single" w:sz="4" w:space="0" w:color="auto"/>
            </w:tcBorders>
            <w:shd w:val="clear" w:color="auto" w:fill="auto"/>
            <w:noWrap/>
            <w:vAlign w:val="center"/>
            <w:hideMark/>
          </w:tcPr>
          <w:p w:rsidR="00F07E05" w:rsidRPr="00153550" w:rsidRDefault="00F07E05" w:rsidP="008A253E">
            <w:pPr>
              <w:jc w:val="center"/>
            </w:pPr>
            <w:r>
              <w:t>7 614,6</w:t>
            </w:r>
            <w:r w:rsidRPr="00153550">
              <w:t xml:space="preserve">  </w:t>
            </w:r>
          </w:p>
        </w:tc>
        <w:tc>
          <w:tcPr>
            <w:tcW w:w="1468" w:type="dxa"/>
            <w:tcBorders>
              <w:top w:val="nil"/>
              <w:left w:val="nil"/>
              <w:bottom w:val="single" w:sz="4" w:space="0" w:color="auto"/>
              <w:right w:val="single" w:sz="4" w:space="0" w:color="auto"/>
            </w:tcBorders>
            <w:shd w:val="clear" w:color="auto" w:fill="auto"/>
            <w:noWrap/>
            <w:vAlign w:val="center"/>
          </w:tcPr>
          <w:p w:rsidR="00F07E05" w:rsidRPr="00153550" w:rsidRDefault="00F07E05" w:rsidP="008A253E">
            <w:pPr>
              <w:jc w:val="center"/>
            </w:pPr>
            <w:r>
              <w:t>7 788,5</w:t>
            </w:r>
            <w:r w:rsidRPr="00153550">
              <w:t xml:space="preserve">  </w:t>
            </w:r>
          </w:p>
        </w:tc>
      </w:tr>
      <w:tr w:rsidR="00F07E05" w:rsidRPr="00FB1818" w:rsidTr="008A253E">
        <w:trPr>
          <w:trHeight w:val="301"/>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07E05" w:rsidRPr="00FB1818" w:rsidRDefault="00F07E05" w:rsidP="008A253E">
            <w:pPr>
              <w:rPr>
                <w:b/>
                <w:bCs/>
                <w:color w:val="000000"/>
              </w:rPr>
            </w:pPr>
            <w:r w:rsidRPr="00FB1818">
              <w:rPr>
                <w:b/>
                <w:bCs/>
                <w:color w:val="000000"/>
                <w:sz w:val="22"/>
                <w:szCs w:val="22"/>
              </w:rPr>
              <w:t>10</w:t>
            </w:r>
          </w:p>
        </w:tc>
        <w:tc>
          <w:tcPr>
            <w:tcW w:w="3568" w:type="dxa"/>
            <w:tcBorders>
              <w:top w:val="nil"/>
              <w:left w:val="nil"/>
              <w:bottom w:val="single" w:sz="4" w:space="0" w:color="auto"/>
              <w:right w:val="single" w:sz="4" w:space="0" w:color="auto"/>
            </w:tcBorders>
            <w:shd w:val="clear" w:color="auto" w:fill="auto"/>
            <w:vAlign w:val="center"/>
            <w:hideMark/>
          </w:tcPr>
          <w:p w:rsidR="00F07E05" w:rsidRPr="00FB1818" w:rsidRDefault="00F07E05" w:rsidP="008A253E">
            <w:pPr>
              <w:rPr>
                <w:b/>
                <w:bCs/>
                <w:color w:val="000000"/>
              </w:rPr>
            </w:pPr>
            <w:r w:rsidRPr="00FB1818">
              <w:rPr>
                <w:b/>
                <w:bCs/>
                <w:color w:val="000000"/>
                <w:sz w:val="22"/>
                <w:szCs w:val="22"/>
              </w:rPr>
              <w:t>ИТОГО ПРОГНОЗ (стр.3+7-9)</w:t>
            </w:r>
          </w:p>
        </w:tc>
        <w:tc>
          <w:tcPr>
            <w:tcW w:w="1528" w:type="dxa"/>
            <w:tcBorders>
              <w:top w:val="nil"/>
              <w:left w:val="nil"/>
              <w:bottom w:val="single" w:sz="4" w:space="0" w:color="auto"/>
              <w:right w:val="single" w:sz="4" w:space="0" w:color="auto"/>
            </w:tcBorders>
            <w:shd w:val="clear" w:color="auto" w:fill="auto"/>
            <w:vAlign w:val="center"/>
            <w:hideMark/>
          </w:tcPr>
          <w:p w:rsidR="00F07E05" w:rsidRPr="00FB1818" w:rsidRDefault="00F07E05" w:rsidP="008A253E">
            <w:pPr>
              <w:jc w:val="center"/>
              <w:rPr>
                <w:b/>
                <w:bCs/>
                <w:color w:val="000000"/>
              </w:rPr>
            </w:pPr>
            <w:r w:rsidRPr="00FB1818">
              <w:rPr>
                <w:b/>
                <w:bCs/>
                <w:color w:val="000000"/>
                <w:sz w:val="22"/>
                <w:szCs w:val="22"/>
              </w:rPr>
              <w:t>тыс. руб.</w:t>
            </w:r>
          </w:p>
        </w:tc>
        <w:tc>
          <w:tcPr>
            <w:tcW w:w="1468" w:type="dxa"/>
            <w:tcBorders>
              <w:top w:val="nil"/>
              <w:left w:val="single" w:sz="4" w:space="0" w:color="auto"/>
              <w:bottom w:val="single" w:sz="4" w:space="0" w:color="auto"/>
              <w:right w:val="single" w:sz="4" w:space="0" w:color="auto"/>
            </w:tcBorders>
            <w:shd w:val="clear" w:color="auto" w:fill="auto"/>
            <w:noWrap/>
            <w:vAlign w:val="center"/>
            <w:hideMark/>
          </w:tcPr>
          <w:p w:rsidR="00F07E05" w:rsidRPr="00153550" w:rsidRDefault="00F07E05" w:rsidP="008A253E">
            <w:pPr>
              <w:jc w:val="center"/>
              <w:rPr>
                <w:b/>
                <w:bCs/>
              </w:rPr>
            </w:pPr>
            <w:r>
              <w:rPr>
                <w:b/>
                <w:bCs/>
              </w:rPr>
              <w:t>116 330,0</w:t>
            </w:r>
            <w:r w:rsidRPr="00153550">
              <w:rPr>
                <w:b/>
                <w:bCs/>
              </w:rPr>
              <w:t xml:space="preserve">  </w:t>
            </w:r>
          </w:p>
        </w:tc>
        <w:tc>
          <w:tcPr>
            <w:tcW w:w="1468" w:type="dxa"/>
            <w:tcBorders>
              <w:top w:val="nil"/>
              <w:left w:val="nil"/>
              <w:bottom w:val="single" w:sz="4" w:space="0" w:color="auto"/>
              <w:right w:val="single" w:sz="4" w:space="0" w:color="auto"/>
            </w:tcBorders>
            <w:shd w:val="clear" w:color="auto" w:fill="auto"/>
            <w:noWrap/>
            <w:vAlign w:val="center"/>
            <w:hideMark/>
          </w:tcPr>
          <w:p w:rsidR="00F07E05" w:rsidRPr="00153550" w:rsidRDefault="00F07E05" w:rsidP="008A253E">
            <w:pPr>
              <w:jc w:val="center"/>
              <w:rPr>
                <w:b/>
                <w:bCs/>
              </w:rPr>
            </w:pPr>
            <w:r>
              <w:rPr>
                <w:b/>
                <w:bCs/>
              </w:rPr>
              <w:t>119 294,7</w:t>
            </w:r>
            <w:r w:rsidRPr="00153550">
              <w:rPr>
                <w:b/>
                <w:bCs/>
              </w:rPr>
              <w:t xml:space="preserve"> </w:t>
            </w:r>
          </w:p>
        </w:tc>
        <w:tc>
          <w:tcPr>
            <w:tcW w:w="1468" w:type="dxa"/>
            <w:tcBorders>
              <w:top w:val="nil"/>
              <w:left w:val="nil"/>
              <w:bottom w:val="single" w:sz="4" w:space="0" w:color="auto"/>
              <w:right w:val="single" w:sz="4" w:space="0" w:color="auto"/>
            </w:tcBorders>
            <w:shd w:val="clear" w:color="auto" w:fill="auto"/>
            <w:noWrap/>
            <w:vAlign w:val="center"/>
          </w:tcPr>
          <w:p w:rsidR="00F07E05" w:rsidRPr="00153550" w:rsidRDefault="00F07E05" w:rsidP="008A253E">
            <w:pPr>
              <w:jc w:val="center"/>
              <w:rPr>
                <w:b/>
                <w:bCs/>
              </w:rPr>
            </w:pPr>
            <w:r>
              <w:rPr>
                <w:b/>
                <w:bCs/>
              </w:rPr>
              <w:t>122 018,3</w:t>
            </w:r>
            <w:r w:rsidRPr="00153550">
              <w:rPr>
                <w:b/>
                <w:bCs/>
              </w:rPr>
              <w:t xml:space="preserve">  </w:t>
            </w:r>
          </w:p>
        </w:tc>
      </w:tr>
      <w:tr w:rsidR="00F07E05" w:rsidRPr="00FB1818" w:rsidTr="008A253E">
        <w:trPr>
          <w:trHeight w:val="587"/>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07E05" w:rsidRPr="00FB1818" w:rsidRDefault="00F07E05" w:rsidP="008A253E">
            <w:pPr>
              <w:rPr>
                <w:b/>
                <w:bCs/>
                <w:color w:val="000000"/>
              </w:rPr>
            </w:pPr>
            <w:r w:rsidRPr="00FB1818">
              <w:rPr>
                <w:b/>
                <w:bCs/>
                <w:color w:val="000000"/>
                <w:sz w:val="22"/>
                <w:szCs w:val="22"/>
              </w:rPr>
              <w:t>11</w:t>
            </w:r>
          </w:p>
        </w:tc>
        <w:tc>
          <w:tcPr>
            <w:tcW w:w="3568" w:type="dxa"/>
            <w:tcBorders>
              <w:top w:val="nil"/>
              <w:left w:val="nil"/>
              <w:bottom w:val="single" w:sz="4" w:space="0" w:color="auto"/>
              <w:right w:val="single" w:sz="4" w:space="0" w:color="auto"/>
            </w:tcBorders>
            <w:shd w:val="clear" w:color="auto" w:fill="auto"/>
            <w:vAlign w:val="center"/>
            <w:hideMark/>
          </w:tcPr>
          <w:p w:rsidR="00F07E05" w:rsidRPr="00FB1818" w:rsidRDefault="00F07E05" w:rsidP="008A253E">
            <w:pPr>
              <w:rPr>
                <w:b/>
                <w:bCs/>
                <w:color w:val="000000"/>
              </w:rPr>
            </w:pPr>
            <w:r w:rsidRPr="00FB1818">
              <w:rPr>
                <w:b/>
                <w:bCs/>
                <w:color w:val="000000"/>
                <w:sz w:val="22"/>
                <w:szCs w:val="22"/>
              </w:rPr>
              <w:t>Доходы от представления льготного проезда</w:t>
            </w:r>
          </w:p>
        </w:tc>
        <w:tc>
          <w:tcPr>
            <w:tcW w:w="1528" w:type="dxa"/>
            <w:tcBorders>
              <w:top w:val="nil"/>
              <w:left w:val="nil"/>
              <w:bottom w:val="single" w:sz="4" w:space="0" w:color="auto"/>
              <w:right w:val="single" w:sz="4" w:space="0" w:color="auto"/>
            </w:tcBorders>
            <w:shd w:val="clear" w:color="auto" w:fill="auto"/>
            <w:vAlign w:val="center"/>
            <w:hideMark/>
          </w:tcPr>
          <w:p w:rsidR="00F07E05" w:rsidRPr="00FB1818" w:rsidRDefault="00F07E05" w:rsidP="008A253E">
            <w:pPr>
              <w:jc w:val="center"/>
              <w:rPr>
                <w:b/>
                <w:bCs/>
                <w:color w:val="000000"/>
              </w:rPr>
            </w:pPr>
            <w:r w:rsidRPr="00FB1818">
              <w:rPr>
                <w:b/>
                <w:bCs/>
                <w:color w:val="000000"/>
                <w:sz w:val="22"/>
                <w:szCs w:val="22"/>
              </w:rPr>
              <w:t>тыс. руб.</w:t>
            </w:r>
          </w:p>
        </w:tc>
        <w:tc>
          <w:tcPr>
            <w:tcW w:w="1468" w:type="dxa"/>
            <w:tcBorders>
              <w:top w:val="nil"/>
              <w:left w:val="single" w:sz="4" w:space="0" w:color="auto"/>
              <w:bottom w:val="single" w:sz="4" w:space="0" w:color="auto"/>
              <w:right w:val="single" w:sz="4" w:space="0" w:color="auto"/>
            </w:tcBorders>
            <w:shd w:val="clear" w:color="auto" w:fill="auto"/>
            <w:noWrap/>
            <w:vAlign w:val="center"/>
            <w:hideMark/>
          </w:tcPr>
          <w:p w:rsidR="00F07E05" w:rsidRPr="00153550" w:rsidRDefault="00F07E05" w:rsidP="008A253E">
            <w:pPr>
              <w:jc w:val="center"/>
              <w:rPr>
                <w:b/>
                <w:bCs/>
              </w:rPr>
            </w:pPr>
            <w:r>
              <w:rPr>
                <w:b/>
                <w:bCs/>
              </w:rPr>
              <w:t>6 538,8</w:t>
            </w:r>
            <w:r w:rsidRPr="00153550">
              <w:rPr>
                <w:b/>
                <w:bCs/>
              </w:rPr>
              <w:t xml:space="preserve">  </w:t>
            </w:r>
          </w:p>
        </w:tc>
        <w:tc>
          <w:tcPr>
            <w:tcW w:w="1468" w:type="dxa"/>
            <w:tcBorders>
              <w:top w:val="nil"/>
              <w:left w:val="nil"/>
              <w:bottom w:val="single" w:sz="4" w:space="0" w:color="auto"/>
              <w:right w:val="single" w:sz="4" w:space="0" w:color="auto"/>
            </w:tcBorders>
            <w:shd w:val="clear" w:color="auto" w:fill="auto"/>
            <w:noWrap/>
            <w:vAlign w:val="center"/>
            <w:hideMark/>
          </w:tcPr>
          <w:p w:rsidR="00F07E05" w:rsidRPr="00153550" w:rsidRDefault="00F07E05" w:rsidP="008A253E">
            <w:pPr>
              <w:jc w:val="center"/>
              <w:rPr>
                <w:b/>
                <w:bCs/>
              </w:rPr>
            </w:pPr>
            <w:r>
              <w:rPr>
                <w:b/>
                <w:bCs/>
              </w:rPr>
              <w:t>6 538,8</w:t>
            </w:r>
            <w:r w:rsidRPr="00153550">
              <w:rPr>
                <w:b/>
                <w:bCs/>
              </w:rPr>
              <w:t xml:space="preserve">  </w:t>
            </w:r>
          </w:p>
        </w:tc>
        <w:tc>
          <w:tcPr>
            <w:tcW w:w="1468" w:type="dxa"/>
            <w:tcBorders>
              <w:top w:val="nil"/>
              <w:left w:val="nil"/>
              <w:bottom w:val="single" w:sz="4" w:space="0" w:color="auto"/>
              <w:right w:val="single" w:sz="4" w:space="0" w:color="auto"/>
            </w:tcBorders>
            <w:shd w:val="clear" w:color="auto" w:fill="auto"/>
            <w:noWrap/>
            <w:vAlign w:val="center"/>
          </w:tcPr>
          <w:p w:rsidR="00F07E05" w:rsidRPr="00153550" w:rsidRDefault="00F07E05" w:rsidP="008A253E">
            <w:pPr>
              <w:jc w:val="center"/>
              <w:rPr>
                <w:b/>
                <w:bCs/>
              </w:rPr>
            </w:pPr>
            <w:r>
              <w:rPr>
                <w:b/>
                <w:bCs/>
              </w:rPr>
              <w:t>6 538,8</w:t>
            </w:r>
            <w:r w:rsidRPr="00153550">
              <w:rPr>
                <w:b/>
                <w:bCs/>
              </w:rPr>
              <w:t xml:space="preserve">  </w:t>
            </w:r>
          </w:p>
        </w:tc>
      </w:tr>
      <w:tr w:rsidR="00F07E05" w:rsidRPr="00FB1818" w:rsidTr="008A253E">
        <w:trPr>
          <w:trHeight w:val="587"/>
        </w:trPr>
        <w:tc>
          <w:tcPr>
            <w:tcW w:w="560" w:type="dxa"/>
            <w:tcBorders>
              <w:top w:val="nil"/>
              <w:left w:val="single" w:sz="4" w:space="0" w:color="auto"/>
              <w:bottom w:val="single" w:sz="4" w:space="0" w:color="auto"/>
              <w:right w:val="single" w:sz="4" w:space="0" w:color="auto"/>
            </w:tcBorders>
            <w:shd w:val="clear" w:color="auto" w:fill="auto"/>
            <w:noWrap/>
            <w:vAlign w:val="center"/>
          </w:tcPr>
          <w:p w:rsidR="00F07E05" w:rsidRPr="009C62AA" w:rsidRDefault="00F07E05" w:rsidP="008A253E">
            <w:pPr>
              <w:rPr>
                <w:color w:val="000000"/>
                <w:lang w:val="en-US"/>
              </w:rPr>
            </w:pPr>
            <w:r w:rsidRPr="009C62AA">
              <w:rPr>
                <w:color w:val="000000"/>
                <w:sz w:val="22"/>
                <w:szCs w:val="22"/>
                <w:lang w:val="en-US"/>
              </w:rPr>
              <w:t>12</w:t>
            </w:r>
          </w:p>
        </w:tc>
        <w:tc>
          <w:tcPr>
            <w:tcW w:w="3568" w:type="dxa"/>
            <w:tcBorders>
              <w:top w:val="nil"/>
              <w:left w:val="nil"/>
              <w:bottom w:val="single" w:sz="4" w:space="0" w:color="auto"/>
              <w:right w:val="single" w:sz="4" w:space="0" w:color="auto"/>
            </w:tcBorders>
            <w:shd w:val="clear" w:color="auto" w:fill="auto"/>
            <w:vAlign w:val="center"/>
          </w:tcPr>
          <w:p w:rsidR="00F07E05" w:rsidRPr="00FB1818" w:rsidRDefault="00F07E05" w:rsidP="008A253E">
            <w:pPr>
              <w:rPr>
                <w:b/>
                <w:bCs/>
                <w:color w:val="000000"/>
              </w:rPr>
            </w:pPr>
            <w:r>
              <w:rPr>
                <w:color w:val="000000"/>
                <w:sz w:val="22"/>
                <w:szCs w:val="22"/>
              </w:rPr>
              <w:t>К</w:t>
            </w:r>
            <w:r w:rsidRPr="00C209CD">
              <w:rPr>
                <w:color w:val="000000"/>
                <w:sz w:val="22"/>
                <w:szCs w:val="22"/>
              </w:rPr>
              <w:t>оэффициент корректировки снижения пассажиропотока из-за профилактических мер в связи с новой коронавирусной инфекцией (COVID-19) и безбилетных пассажиров</w:t>
            </w:r>
          </w:p>
        </w:tc>
        <w:tc>
          <w:tcPr>
            <w:tcW w:w="1528" w:type="dxa"/>
            <w:tcBorders>
              <w:top w:val="nil"/>
              <w:left w:val="nil"/>
              <w:bottom w:val="single" w:sz="4" w:space="0" w:color="auto"/>
              <w:right w:val="single" w:sz="4" w:space="0" w:color="auto"/>
            </w:tcBorders>
            <w:shd w:val="clear" w:color="auto" w:fill="auto"/>
            <w:vAlign w:val="center"/>
          </w:tcPr>
          <w:p w:rsidR="00F07E05" w:rsidRPr="00FB1818" w:rsidRDefault="00F07E05" w:rsidP="008A253E">
            <w:pPr>
              <w:jc w:val="center"/>
              <w:rPr>
                <w:b/>
                <w:bCs/>
                <w:color w:val="000000"/>
              </w:rPr>
            </w:pPr>
            <w:r>
              <w:rPr>
                <w:color w:val="000000"/>
                <w:sz w:val="22"/>
                <w:szCs w:val="22"/>
              </w:rPr>
              <w:t>Коэфф.</w:t>
            </w:r>
          </w:p>
        </w:tc>
        <w:tc>
          <w:tcPr>
            <w:tcW w:w="1468" w:type="dxa"/>
            <w:tcBorders>
              <w:top w:val="nil"/>
              <w:left w:val="single" w:sz="4" w:space="0" w:color="auto"/>
              <w:bottom w:val="single" w:sz="4" w:space="0" w:color="auto"/>
              <w:right w:val="single" w:sz="4" w:space="0" w:color="auto"/>
            </w:tcBorders>
            <w:shd w:val="clear" w:color="auto" w:fill="auto"/>
            <w:noWrap/>
            <w:vAlign w:val="center"/>
          </w:tcPr>
          <w:p w:rsidR="00F07E05" w:rsidRPr="00153550" w:rsidRDefault="00F07E05" w:rsidP="008A253E">
            <w:pPr>
              <w:jc w:val="center"/>
              <w:rPr>
                <w:b/>
                <w:bCs/>
              </w:rPr>
            </w:pPr>
            <w:r w:rsidRPr="00153550">
              <w:t>1,0</w:t>
            </w:r>
          </w:p>
        </w:tc>
        <w:tc>
          <w:tcPr>
            <w:tcW w:w="1468" w:type="dxa"/>
            <w:tcBorders>
              <w:top w:val="nil"/>
              <w:left w:val="nil"/>
              <w:bottom w:val="single" w:sz="4" w:space="0" w:color="auto"/>
              <w:right w:val="single" w:sz="4" w:space="0" w:color="auto"/>
            </w:tcBorders>
            <w:shd w:val="clear" w:color="auto" w:fill="auto"/>
            <w:noWrap/>
            <w:vAlign w:val="center"/>
          </w:tcPr>
          <w:p w:rsidR="00F07E05" w:rsidRPr="00153550" w:rsidRDefault="00F07E05" w:rsidP="008A253E">
            <w:pPr>
              <w:jc w:val="center"/>
              <w:rPr>
                <w:b/>
                <w:bCs/>
              </w:rPr>
            </w:pPr>
            <w:r w:rsidRPr="00153550">
              <w:t>1,0</w:t>
            </w:r>
          </w:p>
        </w:tc>
        <w:tc>
          <w:tcPr>
            <w:tcW w:w="1468" w:type="dxa"/>
            <w:tcBorders>
              <w:top w:val="nil"/>
              <w:left w:val="nil"/>
              <w:bottom w:val="single" w:sz="4" w:space="0" w:color="auto"/>
              <w:right w:val="single" w:sz="4" w:space="0" w:color="auto"/>
            </w:tcBorders>
            <w:shd w:val="clear" w:color="auto" w:fill="auto"/>
            <w:noWrap/>
            <w:vAlign w:val="center"/>
          </w:tcPr>
          <w:p w:rsidR="00F07E05" w:rsidRPr="00153550" w:rsidRDefault="00F07E05" w:rsidP="008A253E">
            <w:pPr>
              <w:jc w:val="center"/>
              <w:rPr>
                <w:b/>
                <w:bCs/>
              </w:rPr>
            </w:pPr>
            <w:r w:rsidRPr="00153550">
              <w:t>1,0</w:t>
            </w:r>
          </w:p>
        </w:tc>
      </w:tr>
      <w:tr w:rsidR="00F07E05" w:rsidTr="008A253E">
        <w:trPr>
          <w:trHeight w:val="301"/>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07E05" w:rsidRPr="009C62AA" w:rsidRDefault="00F07E05" w:rsidP="008A253E">
            <w:pPr>
              <w:rPr>
                <w:rFonts w:ascii="Calibri" w:hAnsi="Calibri" w:cs="Calibri"/>
                <w:color w:val="000000"/>
                <w:lang w:val="en-US"/>
              </w:rPr>
            </w:pPr>
            <w:r w:rsidRPr="00FB1818">
              <w:rPr>
                <w:rFonts w:ascii="Calibri" w:hAnsi="Calibri" w:cs="Calibri"/>
                <w:color w:val="000000"/>
                <w:sz w:val="22"/>
                <w:szCs w:val="22"/>
              </w:rPr>
              <w:t>1</w:t>
            </w:r>
            <w:r>
              <w:rPr>
                <w:rFonts w:ascii="Calibri" w:hAnsi="Calibri" w:cs="Calibri"/>
                <w:color w:val="000000"/>
                <w:sz w:val="22"/>
                <w:szCs w:val="22"/>
                <w:lang w:val="en-US"/>
              </w:rPr>
              <w:t>3</w:t>
            </w:r>
          </w:p>
        </w:tc>
        <w:tc>
          <w:tcPr>
            <w:tcW w:w="3568" w:type="dxa"/>
            <w:tcBorders>
              <w:top w:val="nil"/>
              <w:left w:val="nil"/>
              <w:bottom w:val="single" w:sz="4" w:space="0" w:color="auto"/>
              <w:right w:val="single" w:sz="4" w:space="0" w:color="auto"/>
            </w:tcBorders>
            <w:shd w:val="clear" w:color="auto" w:fill="auto"/>
            <w:vAlign w:val="center"/>
            <w:hideMark/>
          </w:tcPr>
          <w:p w:rsidR="00F07E05" w:rsidRPr="00FB1818" w:rsidRDefault="00F07E05" w:rsidP="008A253E">
            <w:pPr>
              <w:rPr>
                <w:b/>
                <w:bCs/>
                <w:color w:val="000000"/>
              </w:rPr>
            </w:pPr>
            <w:r w:rsidRPr="00FB1818">
              <w:rPr>
                <w:b/>
                <w:bCs/>
                <w:color w:val="000000"/>
                <w:sz w:val="22"/>
                <w:szCs w:val="22"/>
              </w:rPr>
              <w:t>ВСЕГО ПРОГНОЗ (10+11)</w:t>
            </w:r>
            <w:r>
              <w:rPr>
                <w:b/>
                <w:bCs/>
                <w:color w:val="000000"/>
                <w:sz w:val="22"/>
                <w:szCs w:val="22"/>
              </w:rPr>
              <w:t xml:space="preserve"> * 12</w:t>
            </w:r>
          </w:p>
        </w:tc>
        <w:tc>
          <w:tcPr>
            <w:tcW w:w="1528" w:type="dxa"/>
            <w:tcBorders>
              <w:top w:val="nil"/>
              <w:left w:val="nil"/>
              <w:bottom w:val="single" w:sz="4" w:space="0" w:color="auto"/>
              <w:right w:val="single" w:sz="4" w:space="0" w:color="auto"/>
            </w:tcBorders>
            <w:shd w:val="clear" w:color="auto" w:fill="auto"/>
            <w:vAlign w:val="center"/>
            <w:hideMark/>
          </w:tcPr>
          <w:p w:rsidR="00F07E05" w:rsidRPr="00FB1818" w:rsidRDefault="00F07E05" w:rsidP="008A253E">
            <w:pPr>
              <w:jc w:val="center"/>
              <w:rPr>
                <w:b/>
                <w:bCs/>
                <w:color w:val="000000"/>
              </w:rPr>
            </w:pPr>
            <w:r w:rsidRPr="00FB1818">
              <w:rPr>
                <w:b/>
                <w:bCs/>
                <w:color w:val="000000"/>
                <w:sz w:val="22"/>
                <w:szCs w:val="22"/>
              </w:rPr>
              <w:t>тыс. руб.</w:t>
            </w:r>
          </w:p>
        </w:tc>
        <w:tc>
          <w:tcPr>
            <w:tcW w:w="1468" w:type="dxa"/>
            <w:tcBorders>
              <w:top w:val="nil"/>
              <w:left w:val="single" w:sz="4" w:space="0" w:color="auto"/>
              <w:bottom w:val="single" w:sz="4" w:space="0" w:color="auto"/>
              <w:right w:val="single" w:sz="4" w:space="0" w:color="auto"/>
            </w:tcBorders>
            <w:shd w:val="clear" w:color="auto" w:fill="auto"/>
            <w:noWrap/>
            <w:vAlign w:val="center"/>
            <w:hideMark/>
          </w:tcPr>
          <w:p w:rsidR="00F07E05" w:rsidRPr="00153550" w:rsidRDefault="00F07E05" w:rsidP="008A253E">
            <w:pPr>
              <w:jc w:val="center"/>
              <w:rPr>
                <w:b/>
                <w:bCs/>
              </w:rPr>
            </w:pPr>
            <w:r>
              <w:rPr>
                <w:b/>
                <w:bCs/>
              </w:rPr>
              <w:t>122 868,8</w:t>
            </w:r>
            <w:r w:rsidRPr="00153550">
              <w:rPr>
                <w:b/>
                <w:bCs/>
              </w:rPr>
              <w:t xml:space="preserve">  </w:t>
            </w:r>
          </w:p>
        </w:tc>
        <w:tc>
          <w:tcPr>
            <w:tcW w:w="1468" w:type="dxa"/>
            <w:tcBorders>
              <w:top w:val="nil"/>
              <w:left w:val="nil"/>
              <w:bottom w:val="single" w:sz="4" w:space="0" w:color="auto"/>
              <w:right w:val="single" w:sz="4" w:space="0" w:color="auto"/>
            </w:tcBorders>
            <w:shd w:val="clear" w:color="auto" w:fill="auto"/>
            <w:noWrap/>
            <w:vAlign w:val="center"/>
            <w:hideMark/>
          </w:tcPr>
          <w:p w:rsidR="00F07E05" w:rsidRPr="00153550" w:rsidRDefault="00F07E05" w:rsidP="008A253E">
            <w:pPr>
              <w:jc w:val="center"/>
              <w:rPr>
                <w:b/>
                <w:bCs/>
              </w:rPr>
            </w:pPr>
            <w:r>
              <w:rPr>
                <w:b/>
                <w:bCs/>
              </w:rPr>
              <w:t>125 833,5</w:t>
            </w:r>
            <w:r w:rsidRPr="00153550">
              <w:rPr>
                <w:b/>
                <w:bCs/>
              </w:rPr>
              <w:t xml:space="preserve">  </w:t>
            </w:r>
          </w:p>
        </w:tc>
        <w:tc>
          <w:tcPr>
            <w:tcW w:w="1468" w:type="dxa"/>
            <w:tcBorders>
              <w:top w:val="nil"/>
              <w:left w:val="nil"/>
              <w:bottom w:val="single" w:sz="4" w:space="0" w:color="auto"/>
              <w:right w:val="single" w:sz="4" w:space="0" w:color="auto"/>
            </w:tcBorders>
            <w:shd w:val="clear" w:color="auto" w:fill="auto"/>
            <w:noWrap/>
            <w:vAlign w:val="center"/>
          </w:tcPr>
          <w:p w:rsidR="00F07E05" w:rsidRPr="00153550" w:rsidRDefault="00F07E05" w:rsidP="008A253E">
            <w:pPr>
              <w:jc w:val="center"/>
              <w:rPr>
                <w:b/>
                <w:bCs/>
              </w:rPr>
            </w:pPr>
            <w:r>
              <w:rPr>
                <w:b/>
                <w:bCs/>
              </w:rPr>
              <w:t>128 557,1</w:t>
            </w:r>
            <w:r w:rsidRPr="00153550">
              <w:rPr>
                <w:b/>
                <w:bCs/>
              </w:rPr>
              <w:t xml:space="preserve">  </w:t>
            </w:r>
          </w:p>
        </w:tc>
      </w:tr>
    </w:tbl>
    <w:p w:rsidR="00F07E05" w:rsidRPr="006D5248" w:rsidRDefault="00F07E05" w:rsidP="00F07E05">
      <w:pPr>
        <w:ind w:right="282"/>
        <w:jc w:val="center"/>
        <w:rPr>
          <w:b/>
          <w:sz w:val="28"/>
          <w:szCs w:val="28"/>
        </w:rPr>
      </w:pPr>
    </w:p>
    <w:p w:rsidR="00F07E05" w:rsidRDefault="00F07E05" w:rsidP="00F07E05">
      <w:pPr>
        <w:ind w:right="282"/>
        <w:jc w:val="center"/>
        <w:rPr>
          <w:b/>
          <w:color w:val="000000"/>
          <w:sz w:val="28"/>
          <w:szCs w:val="28"/>
        </w:rPr>
      </w:pPr>
      <w:r w:rsidRPr="006D5248">
        <w:rPr>
          <w:b/>
          <w:color w:val="000000"/>
          <w:sz w:val="28"/>
          <w:szCs w:val="28"/>
        </w:rPr>
        <w:t>Расчеты по маршрутам</w:t>
      </w:r>
    </w:p>
    <w:p w:rsidR="00F07E05" w:rsidRPr="006D5248" w:rsidRDefault="00F07E05" w:rsidP="00F07E05">
      <w:pPr>
        <w:ind w:right="282"/>
        <w:jc w:val="center"/>
        <w:rPr>
          <w:b/>
          <w:color w:val="000000"/>
          <w:sz w:val="28"/>
          <w:szCs w:val="28"/>
        </w:rPr>
      </w:pPr>
      <w:r w:rsidRPr="006D5248">
        <w:rPr>
          <w:b/>
          <w:color w:val="000000"/>
          <w:sz w:val="28"/>
          <w:szCs w:val="28"/>
        </w:rPr>
        <w:t xml:space="preserve"> города Кимры, Кимрский района Тверской области</w:t>
      </w:r>
    </w:p>
    <w:p w:rsidR="00F07E05" w:rsidRDefault="00F07E05" w:rsidP="00F07E05">
      <w:pPr>
        <w:ind w:right="282"/>
        <w:jc w:val="center"/>
        <w:rPr>
          <w:color w:val="000000"/>
          <w:sz w:val="28"/>
          <w:szCs w:val="28"/>
        </w:rPr>
      </w:pPr>
    </w:p>
    <w:p w:rsidR="00F07E05" w:rsidRPr="00C73169" w:rsidRDefault="00F07E05" w:rsidP="00F07E05">
      <w:pPr>
        <w:autoSpaceDE w:val="0"/>
        <w:autoSpaceDN w:val="0"/>
        <w:adjustRightInd w:val="0"/>
        <w:ind w:firstLine="720"/>
        <w:jc w:val="both"/>
        <w:rPr>
          <w:sz w:val="28"/>
          <w:szCs w:val="28"/>
        </w:rPr>
      </w:pPr>
      <w:r w:rsidRPr="00C73169">
        <w:rPr>
          <w:color w:val="000000"/>
          <w:sz w:val="28"/>
          <w:szCs w:val="28"/>
        </w:rPr>
        <w:t>В соответствии с НИР данный показатель по муниципальным маршрутам регулярных перевозок на территории Тверской области городской округ город Кимры Тверской области, Кимрский муниципальный район Тверской области</w:t>
      </w:r>
      <w:r w:rsidRPr="00C73169">
        <w:rPr>
          <w:color w:val="000000" w:themeColor="text1"/>
          <w:sz w:val="28"/>
          <w:szCs w:val="28"/>
        </w:rPr>
        <w:t xml:space="preserve"> пассажиропоток платных пассажиров </w:t>
      </w:r>
      <w:r w:rsidRPr="00C73169">
        <w:rPr>
          <w:color w:val="000000"/>
          <w:sz w:val="28"/>
          <w:szCs w:val="28"/>
        </w:rPr>
        <w:t xml:space="preserve">на 2021 г. в г. Кимры – 1,33 млн пасс., в Кимрском районе – 0,19 млн пасс., </w:t>
      </w:r>
      <w:r w:rsidRPr="00C73169">
        <w:rPr>
          <w:color w:val="000000" w:themeColor="text1"/>
          <w:sz w:val="28"/>
          <w:szCs w:val="28"/>
        </w:rPr>
        <w:t xml:space="preserve"> на 2022 г. в г. </w:t>
      </w:r>
      <w:r w:rsidRPr="00C73169">
        <w:rPr>
          <w:color w:val="000000"/>
          <w:sz w:val="28"/>
          <w:szCs w:val="28"/>
        </w:rPr>
        <w:t>Кимры</w:t>
      </w:r>
      <w:r w:rsidRPr="00C73169">
        <w:rPr>
          <w:color w:val="000000" w:themeColor="text1"/>
          <w:sz w:val="28"/>
          <w:szCs w:val="28"/>
        </w:rPr>
        <w:t xml:space="preserve"> – 3,02 млн пасс., в </w:t>
      </w:r>
      <w:r w:rsidRPr="00C73169">
        <w:rPr>
          <w:color w:val="000000"/>
          <w:sz w:val="28"/>
          <w:szCs w:val="28"/>
        </w:rPr>
        <w:t>Кимрском</w:t>
      </w:r>
      <w:r w:rsidRPr="00C73169">
        <w:rPr>
          <w:color w:val="000000" w:themeColor="text1"/>
          <w:sz w:val="28"/>
          <w:szCs w:val="28"/>
        </w:rPr>
        <w:t xml:space="preserve"> районе – 0,37 млн пасс., на 2023 г. в г. </w:t>
      </w:r>
      <w:r w:rsidRPr="00C73169">
        <w:rPr>
          <w:color w:val="000000"/>
          <w:sz w:val="28"/>
          <w:szCs w:val="28"/>
        </w:rPr>
        <w:t>Кимры</w:t>
      </w:r>
      <w:r w:rsidRPr="00C73169">
        <w:rPr>
          <w:color w:val="000000" w:themeColor="text1"/>
          <w:sz w:val="28"/>
          <w:szCs w:val="28"/>
        </w:rPr>
        <w:t xml:space="preserve"> – 2,97 млн пасс., в </w:t>
      </w:r>
      <w:r w:rsidRPr="00C73169">
        <w:rPr>
          <w:color w:val="000000"/>
          <w:sz w:val="28"/>
          <w:szCs w:val="28"/>
        </w:rPr>
        <w:t>Кимрском</w:t>
      </w:r>
      <w:r w:rsidRPr="00C73169">
        <w:rPr>
          <w:color w:val="000000" w:themeColor="text1"/>
          <w:sz w:val="28"/>
          <w:szCs w:val="28"/>
        </w:rPr>
        <w:t xml:space="preserve"> районе – 0,37 млн </w:t>
      </w:r>
      <w:r w:rsidRPr="00C73169">
        <w:rPr>
          <w:color w:val="000000"/>
          <w:sz w:val="28"/>
          <w:szCs w:val="28"/>
        </w:rPr>
        <w:t xml:space="preserve">пасс., </w:t>
      </w:r>
      <w:r w:rsidRPr="00C73169">
        <w:rPr>
          <w:color w:val="000000" w:themeColor="text1"/>
          <w:sz w:val="28"/>
          <w:szCs w:val="28"/>
        </w:rPr>
        <w:t xml:space="preserve">на 2024 г. в г. </w:t>
      </w:r>
      <w:r w:rsidRPr="00C73169">
        <w:rPr>
          <w:color w:val="000000"/>
          <w:sz w:val="28"/>
          <w:szCs w:val="28"/>
        </w:rPr>
        <w:t>Кимры</w:t>
      </w:r>
      <w:r w:rsidRPr="00C73169">
        <w:rPr>
          <w:color w:val="000000" w:themeColor="text1"/>
          <w:sz w:val="28"/>
          <w:szCs w:val="28"/>
        </w:rPr>
        <w:t xml:space="preserve"> – 2,92 млн пасс., в </w:t>
      </w:r>
      <w:r w:rsidRPr="00C73169">
        <w:rPr>
          <w:color w:val="000000"/>
          <w:sz w:val="28"/>
          <w:szCs w:val="28"/>
        </w:rPr>
        <w:t>Кимрском</w:t>
      </w:r>
      <w:r w:rsidRPr="00C73169">
        <w:rPr>
          <w:color w:val="000000" w:themeColor="text1"/>
          <w:sz w:val="28"/>
          <w:szCs w:val="28"/>
        </w:rPr>
        <w:t xml:space="preserve"> районе – 0,36 млн </w:t>
      </w:r>
      <w:r w:rsidRPr="00C73169">
        <w:rPr>
          <w:color w:val="000000"/>
          <w:sz w:val="28"/>
          <w:szCs w:val="28"/>
        </w:rPr>
        <w:t>пасс.</w:t>
      </w:r>
    </w:p>
    <w:p w:rsidR="00F07E05" w:rsidRPr="00C73169" w:rsidRDefault="00F07E05" w:rsidP="00F07E05">
      <w:pPr>
        <w:autoSpaceDE w:val="0"/>
        <w:autoSpaceDN w:val="0"/>
        <w:adjustRightInd w:val="0"/>
        <w:ind w:firstLine="720"/>
        <w:jc w:val="both"/>
        <w:rPr>
          <w:sz w:val="28"/>
          <w:szCs w:val="28"/>
        </w:rPr>
      </w:pPr>
      <w:r w:rsidRPr="00C73169">
        <w:rPr>
          <w:sz w:val="28"/>
          <w:szCs w:val="28"/>
        </w:rPr>
        <w:t xml:space="preserve">Средняя дальность перевозки пассажира автомобильным транспортом общего пользования по маршрутам регулярных перевозок в пригородном сообщении в муниципальном образовании Тверской области Кимрского района в связи отсутствием информации у территориальных органов Федеральной службы государственной статистики по Тверской области </w:t>
      </w:r>
      <w:r w:rsidRPr="00C73169">
        <w:rPr>
          <w:color w:val="000000"/>
          <w:sz w:val="28"/>
          <w:szCs w:val="28"/>
        </w:rPr>
        <w:lastRenderedPageBreak/>
        <w:t>источником данной информации предлагается принимать статистические данные из НИР. данный показатель соответствует 7,4 км.</w:t>
      </w:r>
    </w:p>
    <w:p w:rsidR="00F07E05" w:rsidRDefault="00F07E05" w:rsidP="00F07E05">
      <w:pPr>
        <w:autoSpaceDE w:val="0"/>
        <w:autoSpaceDN w:val="0"/>
        <w:adjustRightInd w:val="0"/>
        <w:ind w:firstLine="720"/>
        <w:jc w:val="both"/>
        <w:rPr>
          <w:sz w:val="28"/>
          <w:szCs w:val="28"/>
        </w:rPr>
      </w:pPr>
      <w:r w:rsidRPr="00C73169">
        <w:rPr>
          <w:sz w:val="28"/>
          <w:szCs w:val="28"/>
        </w:rPr>
        <w:t>Размер затрат на мониторинг транспортной работы и пассажирских потоков, организацию системы безналичной оплаты проезда и провоза багажа, осуществление контроля за полнотой сбора платы за проезд пассажиров и провоз багажа, а также затрат на информационно-техническое и технологическое обеспечение ее сбора принят равным 6 % по итогам конкурса на право заключения договора по внедрению и обеспечению функционирования единой системы управления транспортом общего пользования на территории Тверской области.</w:t>
      </w:r>
    </w:p>
    <w:p w:rsidR="00F07E05" w:rsidRPr="00B26C78" w:rsidRDefault="00F07E05" w:rsidP="00F07E05">
      <w:pPr>
        <w:autoSpaceDE w:val="0"/>
        <w:autoSpaceDN w:val="0"/>
        <w:adjustRightInd w:val="0"/>
        <w:ind w:firstLine="720"/>
        <w:jc w:val="both"/>
        <w:rPr>
          <w:sz w:val="28"/>
          <w:szCs w:val="28"/>
        </w:rPr>
      </w:pPr>
      <w:r w:rsidRPr="00B26C78">
        <w:rPr>
          <w:sz w:val="28"/>
          <w:szCs w:val="28"/>
        </w:rPr>
        <w:t>Доля поступлений от льготного проезда, приходящаяся на город Кимры и Кимрский район Тверской области в 2021году составила 448,5 тыс. руб. за 1 месяц. Соответственно, объём доходов от льготного проезда за 5 месяцев (июль-ноябрь) составит 2 242,5 тыс. руб.</w:t>
      </w:r>
    </w:p>
    <w:p w:rsidR="00F07E05" w:rsidRPr="00C73169" w:rsidRDefault="00F07E05" w:rsidP="00F07E05">
      <w:pPr>
        <w:autoSpaceDE w:val="0"/>
        <w:autoSpaceDN w:val="0"/>
        <w:adjustRightInd w:val="0"/>
        <w:ind w:firstLine="720"/>
        <w:jc w:val="both"/>
        <w:rPr>
          <w:sz w:val="28"/>
          <w:szCs w:val="28"/>
        </w:rPr>
      </w:pPr>
      <w:r w:rsidRPr="00B26C78">
        <w:rPr>
          <w:sz w:val="28"/>
          <w:szCs w:val="28"/>
        </w:rPr>
        <w:t>Планируемый годовой объём поступлений в 202</w:t>
      </w:r>
      <w:r>
        <w:rPr>
          <w:sz w:val="28"/>
          <w:szCs w:val="28"/>
        </w:rPr>
        <w:t>1</w:t>
      </w:r>
      <w:r w:rsidRPr="00B26C78">
        <w:rPr>
          <w:sz w:val="28"/>
          <w:szCs w:val="28"/>
        </w:rPr>
        <w:t xml:space="preserve"> – 2024 гг. от предоставления льготного проезда гражданам с использованием электронной карты «Социальная карта жителя Тверской области», электронной банковской карты и электронной карты «Социальная транспортная карта» составит (Дпр = 448,5 тыс. руб. * 12 мес. = </w:t>
      </w:r>
      <w:r w:rsidRPr="00B26C78">
        <w:rPr>
          <w:b/>
          <w:bCs/>
          <w:sz w:val="28"/>
          <w:szCs w:val="28"/>
        </w:rPr>
        <w:t>5 382,0</w:t>
      </w:r>
      <w:r w:rsidRPr="00B26C78">
        <w:rPr>
          <w:sz w:val="28"/>
          <w:szCs w:val="28"/>
        </w:rPr>
        <w:t xml:space="preserve"> тыс. руб.).</w:t>
      </w:r>
    </w:p>
    <w:p w:rsidR="00F07E05" w:rsidRPr="00C73169" w:rsidRDefault="00F07E05" w:rsidP="00F07E05">
      <w:pPr>
        <w:shd w:val="clear" w:color="auto" w:fill="FFFFFF"/>
        <w:spacing w:line="288" w:lineRule="atLeast"/>
        <w:ind w:firstLine="709"/>
        <w:jc w:val="both"/>
        <w:textAlignment w:val="baseline"/>
        <w:rPr>
          <w:sz w:val="28"/>
          <w:szCs w:val="28"/>
        </w:rPr>
      </w:pPr>
      <w:r w:rsidRPr="00C73169">
        <w:rPr>
          <w:sz w:val="28"/>
          <w:szCs w:val="28"/>
        </w:rPr>
        <w:t>Прогноз поступлений прочих доходов от оказания платных услуг (работ) получателями средств бюджетов субъектов Российской Федерации составили:</w:t>
      </w:r>
    </w:p>
    <w:p w:rsidR="00F07E05" w:rsidRPr="00A14918" w:rsidRDefault="00F07E05" w:rsidP="00F07E05">
      <w:pPr>
        <w:pStyle w:val="af4"/>
        <w:numPr>
          <w:ilvl w:val="0"/>
          <w:numId w:val="20"/>
        </w:numPr>
        <w:spacing w:after="200" w:line="276" w:lineRule="auto"/>
        <w:jc w:val="both"/>
        <w:rPr>
          <w:sz w:val="28"/>
          <w:szCs w:val="28"/>
        </w:rPr>
      </w:pPr>
      <w:r w:rsidRPr="00A14918">
        <w:rPr>
          <w:sz w:val="28"/>
          <w:szCs w:val="28"/>
        </w:rPr>
        <w:t>на 2022 г.: 7</w:t>
      </w:r>
      <w:r>
        <w:rPr>
          <w:sz w:val="28"/>
          <w:szCs w:val="28"/>
        </w:rPr>
        <w:t>3</w:t>
      </w:r>
      <w:r w:rsidRPr="00A14918">
        <w:rPr>
          <w:sz w:val="28"/>
          <w:szCs w:val="28"/>
        </w:rPr>
        <w:t>,</w:t>
      </w:r>
      <w:r>
        <w:rPr>
          <w:sz w:val="28"/>
          <w:szCs w:val="28"/>
        </w:rPr>
        <w:t>5</w:t>
      </w:r>
      <w:r w:rsidRPr="00A14918">
        <w:rPr>
          <w:sz w:val="28"/>
          <w:szCs w:val="28"/>
        </w:rPr>
        <w:t xml:space="preserve"> млн. руб.;</w:t>
      </w:r>
    </w:p>
    <w:p w:rsidR="00F07E05" w:rsidRPr="00A14918" w:rsidRDefault="00F07E05" w:rsidP="00F07E05">
      <w:pPr>
        <w:pStyle w:val="af4"/>
        <w:numPr>
          <w:ilvl w:val="0"/>
          <w:numId w:val="20"/>
        </w:numPr>
        <w:spacing w:after="200" w:line="276" w:lineRule="auto"/>
        <w:jc w:val="both"/>
        <w:rPr>
          <w:sz w:val="28"/>
          <w:szCs w:val="28"/>
        </w:rPr>
      </w:pPr>
      <w:r w:rsidRPr="00A14918">
        <w:rPr>
          <w:sz w:val="28"/>
          <w:szCs w:val="28"/>
        </w:rPr>
        <w:t>на 2023 г.: 7</w:t>
      </w:r>
      <w:r>
        <w:rPr>
          <w:sz w:val="28"/>
          <w:szCs w:val="28"/>
        </w:rPr>
        <w:t>4</w:t>
      </w:r>
      <w:r w:rsidRPr="00A14918">
        <w:rPr>
          <w:sz w:val="28"/>
          <w:szCs w:val="28"/>
        </w:rPr>
        <w:t>,</w:t>
      </w:r>
      <w:r>
        <w:rPr>
          <w:sz w:val="28"/>
          <w:szCs w:val="28"/>
        </w:rPr>
        <w:t>9</w:t>
      </w:r>
      <w:r w:rsidRPr="00A14918">
        <w:rPr>
          <w:sz w:val="28"/>
          <w:szCs w:val="28"/>
        </w:rPr>
        <w:t xml:space="preserve"> млн. руб.;</w:t>
      </w:r>
    </w:p>
    <w:p w:rsidR="00F07E05" w:rsidRPr="00A14918" w:rsidRDefault="00F07E05" w:rsidP="00F07E05">
      <w:pPr>
        <w:pStyle w:val="af4"/>
        <w:numPr>
          <w:ilvl w:val="0"/>
          <w:numId w:val="20"/>
        </w:numPr>
        <w:spacing w:after="200" w:line="276" w:lineRule="auto"/>
        <w:jc w:val="both"/>
        <w:rPr>
          <w:sz w:val="28"/>
          <w:szCs w:val="28"/>
        </w:rPr>
      </w:pPr>
      <w:r w:rsidRPr="00A14918">
        <w:rPr>
          <w:sz w:val="28"/>
          <w:szCs w:val="28"/>
        </w:rPr>
        <w:t>на 2024 г.: 7</w:t>
      </w:r>
      <w:r>
        <w:rPr>
          <w:sz w:val="28"/>
          <w:szCs w:val="28"/>
        </w:rPr>
        <w:t>6</w:t>
      </w:r>
      <w:r w:rsidRPr="00A14918">
        <w:rPr>
          <w:sz w:val="28"/>
          <w:szCs w:val="28"/>
        </w:rPr>
        <w:t>,</w:t>
      </w:r>
      <w:r>
        <w:rPr>
          <w:sz w:val="28"/>
          <w:szCs w:val="28"/>
        </w:rPr>
        <w:t>7</w:t>
      </w:r>
      <w:r w:rsidRPr="00A14918">
        <w:rPr>
          <w:sz w:val="28"/>
          <w:szCs w:val="28"/>
        </w:rPr>
        <w:t xml:space="preserve"> млн. руб.</w:t>
      </w:r>
    </w:p>
    <w:tbl>
      <w:tblPr>
        <w:tblW w:w="10466" w:type="dxa"/>
        <w:tblInd w:w="-714" w:type="dxa"/>
        <w:tblLook w:val="04A0" w:firstRow="1" w:lastRow="0" w:firstColumn="1" w:lastColumn="0" w:noHBand="0" w:noVBand="1"/>
      </w:tblPr>
      <w:tblGrid>
        <w:gridCol w:w="583"/>
        <w:gridCol w:w="3712"/>
        <w:gridCol w:w="1590"/>
        <w:gridCol w:w="1527"/>
        <w:gridCol w:w="1527"/>
        <w:gridCol w:w="1527"/>
      </w:tblGrid>
      <w:tr w:rsidR="00F07E05" w:rsidRPr="00C73169" w:rsidTr="008A253E">
        <w:trPr>
          <w:trHeight w:val="940"/>
        </w:trPr>
        <w:tc>
          <w:tcPr>
            <w:tcW w:w="583"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07E05" w:rsidRPr="00C73169" w:rsidRDefault="00F07E05" w:rsidP="008A253E">
            <w:pPr>
              <w:jc w:val="center"/>
              <w:rPr>
                <w:rFonts w:ascii="Calibri" w:hAnsi="Calibri" w:cs="Calibri"/>
                <w:b/>
                <w:bCs/>
                <w:color w:val="000000"/>
              </w:rPr>
            </w:pPr>
            <w:r w:rsidRPr="00C73169">
              <w:rPr>
                <w:rFonts w:ascii="Calibri" w:hAnsi="Calibri" w:cs="Calibri"/>
                <w:b/>
                <w:bCs/>
                <w:color w:val="000000"/>
                <w:sz w:val="22"/>
                <w:szCs w:val="22"/>
              </w:rPr>
              <w:t> </w:t>
            </w:r>
          </w:p>
        </w:tc>
        <w:tc>
          <w:tcPr>
            <w:tcW w:w="3712"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07E05" w:rsidRPr="00C73169" w:rsidRDefault="00F07E05" w:rsidP="008A253E">
            <w:pPr>
              <w:jc w:val="center"/>
              <w:rPr>
                <w:b/>
                <w:bCs/>
                <w:color w:val="000000"/>
              </w:rPr>
            </w:pPr>
            <w:r w:rsidRPr="00C73169">
              <w:rPr>
                <w:b/>
                <w:bCs/>
                <w:color w:val="000000"/>
                <w:sz w:val="22"/>
                <w:szCs w:val="22"/>
              </w:rPr>
              <w:t>Наименование показателя</w:t>
            </w:r>
          </w:p>
        </w:tc>
        <w:tc>
          <w:tcPr>
            <w:tcW w:w="1590"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07E05" w:rsidRPr="00C73169" w:rsidRDefault="00F07E05" w:rsidP="008A253E">
            <w:pPr>
              <w:jc w:val="center"/>
              <w:rPr>
                <w:b/>
                <w:bCs/>
                <w:color w:val="000000"/>
              </w:rPr>
            </w:pPr>
            <w:r w:rsidRPr="00C73169">
              <w:rPr>
                <w:b/>
                <w:bCs/>
                <w:color w:val="000000"/>
                <w:sz w:val="22"/>
                <w:szCs w:val="22"/>
              </w:rPr>
              <w:t>ед. измерения</w:t>
            </w:r>
          </w:p>
        </w:tc>
        <w:tc>
          <w:tcPr>
            <w:tcW w:w="1527"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07E05" w:rsidRPr="00C73169" w:rsidRDefault="00F07E05" w:rsidP="008A253E">
            <w:pPr>
              <w:jc w:val="center"/>
              <w:rPr>
                <w:b/>
                <w:bCs/>
                <w:color w:val="000000"/>
              </w:rPr>
            </w:pPr>
            <w:r w:rsidRPr="00C73169">
              <w:rPr>
                <w:b/>
                <w:bCs/>
                <w:color w:val="000000"/>
                <w:sz w:val="22"/>
                <w:szCs w:val="22"/>
              </w:rPr>
              <w:t>2022 год</w:t>
            </w:r>
          </w:p>
        </w:tc>
        <w:tc>
          <w:tcPr>
            <w:tcW w:w="1527"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07E05" w:rsidRPr="00C73169" w:rsidRDefault="00F07E05" w:rsidP="008A253E">
            <w:pPr>
              <w:jc w:val="center"/>
              <w:rPr>
                <w:b/>
                <w:bCs/>
                <w:color w:val="000000"/>
              </w:rPr>
            </w:pPr>
            <w:r w:rsidRPr="00C73169">
              <w:rPr>
                <w:b/>
                <w:bCs/>
                <w:color w:val="000000"/>
                <w:sz w:val="22"/>
                <w:szCs w:val="22"/>
              </w:rPr>
              <w:t>2023 год</w:t>
            </w:r>
          </w:p>
        </w:tc>
        <w:tc>
          <w:tcPr>
            <w:tcW w:w="1527"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07E05" w:rsidRPr="00C73169" w:rsidRDefault="00F07E05" w:rsidP="008A253E">
            <w:pPr>
              <w:jc w:val="center"/>
              <w:rPr>
                <w:b/>
                <w:bCs/>
                <w:color w:val="000000"/>
              </w:rPr>
            </w:pPr>
            <w:r w:rsidRPr="00C73169">
              <w:rPr>
                <w:b/>
                <w:bCs/>
                <w:color w:val="000000"/>
                <w:sz w:val="22"/>
                <w:szCs w:val="22"/>
              </w:rPr>
              <w:t>2024 год</w:t>
            </w:r>
          </w:p>
        </w:tc>
      </w:tr>
      <w:tr w:rsidR="00F07E05" w:rsidRPr="00C73169" w:rsidTr="008A253E">
        <w:trPr>
          <w:trHeight w:val="990"/>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F07E05" w:rsidRPr="00C73169" w:rsidRDefault="00F07E05" w:rsidP="008A253E">
            <w:pPr>
              <w:rPr>
                <w:color w:val="000000"/>
              </w:rPr>
            </w:pPr>
            <w:r w:rsidRPr="00C73169">
              <w:rPr>
                <w:color w:val="000000"/>
                <w:sz w:val="22"/>
                <w:szCs w:val="22"/>
              </w:rPr>
              <w:t>1</w:t>
            </w:r>
          </w:p>
        </w:tc>
        <w:tc>
          <w:tcPr>
            <w:tcW w:w="3712" w:type="dxa"/>
            <w:tcBorders>
              <w:top w:val="nil"/>
              <w:left w:val="nil"/>
              <w:bottom w:val="single" w:sz="4" w:space="0" w:color="auto"/>
              <w:right w:val="single" w:sz="4" w:space="0" w:color="auto"/>
            </w:tcBorders>
            <w:shd w:val="clear" w:color="auto" w:fill="auto"/>
            <w:vAlign w:val="center"/>
            <w:hideMark/>
          </w:tcPr>
          <w:p w:rsidR="00F07E05" w:rsidRPr="00C73169" w:rsidRDefault="00F07E05" w:rsidP="008A253E">
            <w:pPr>
              <w:rPr>
                <w:color w:val="000000"/>
              </w:rPr>
            </w:pPr>
            <w:r w:rsidRPr="00C73169">
              <w:rPr>
                <w:color w:val="000000"/>
                <w:sz w:val="22"/>
                <w:szCs w:val="22"/>
              </w:rPr>
              <w:t>Количество перевезенных пассажиров автомобильным транспортом общего пользования г. Кимры (без учета льготных пассажиров)</w:t>
            </w:r>
          </w:p>
        </w:tc>
        <w:tc>
          <w:tcPr>
            <w:tcW w:w="1590" w:type="dxa"/>
            <w:tcBorders>
              <w:top w:val="nil"/>
              <w:left w:val="nil"/>
              <w:bottom w:val="single" w:sz="4" w:space="0" w:color="auto"/>
              <w:right w:val="single" w:sz="4" w:space="0" w:color="auto"/>
            </w:tcBorders>
            <w:shd w:val="clear" w:color="auto" w:fill="auto"/>
            <w:vAlign w:val="center"/>
            <w:hideMark/>
          </w:tcPr>
          <w:p w:rsidR="00F07E05" w:rsidRPr="00C73169" w:rsidRDefault="00F07E05" w:rsidP="008A253E">
            <w:pPr>
              <w:jc w:val="center"/>
              <w:rPr>
                <w:color w:val="000000"/>
              </w:rPr>
            </w:pPr>
            <w:r w:rsidRPr="00C73169">
              <w:rPr>
                <w:color w:val="000000"/>
                <w:sz w:val="22"/>
                <w:szCs w:val="22"/>
              </w:rPr>
              <w:t>тыс. пассажиров</w:t>
            </w:r>
          </w:p>
        </w:tc>
        <w:tc>
          <w:tcPr>
            <w:tcW w:w="1527" w:type="dxa"/>
            <w:tcBorders>
              <w:top w:val="nil"/>
              <w:left w:val="single" w:sz="4" w:space="0" w:color="auto"/>
              <w:bottom w:val="single" w:sz="4" w:space="0" w:color="auto"/>
              <w:right w:val="single" w:sz="4" w:space="0" w:color="auto"/>
            </w:tcBorders>
            <w:shd w:val="clear" w:color="auto" w:fill="auto"/>
            <w:noWrap/>
            <w:vAlign w:val="center"/>
            <w:hideMark/>
          </w:tcPr>
          <w:p w:rsidR="00F07E05" w:rsidRPr="00C73169" w:rsidRDefault="00F07E05" w:rsidP="008A253E">
            <w:pPr>
              <w:jc w:val="center"/>
              <w:rPr>
                <w:color w:val="000000" w:themeColor="text1"/>
                <w:lang w:val="en-US"/>
              </w:rPr>
            </w:pPr>
            <w:r w:rsidRPr="00C73169">
              <w:rPr>
                <w:color w:val="000000" w:themeColor="text1"/>
                <w:sz w:val="22"/>
                <w:szCs w:val="22"/>
                <w:lang w:val="en-US"/>
              </w:rPr>
              <w:t xml:space="preserve">3 018,7  </w:t>
            </w:r>
          </w:p>
        </w:tc>
        <w:tc>
          <w:tcPr>
            <w:tcW w:w="1527" w:type="dxa"/>
            <w:tcBorders>
              <w:top w:val="nil"/>
              <w:left w:val="nil"/>
              <w:bottom w:val="single" w:sz="4" w:space="0" w:color="auto"/>
              <w:right w:val="single" w:sz="4" w:space="0" w:color="auto"/>
            </w:tcBorders>
            <w:shd w:val="clear" w:color="auto" w:fill="auto"/>
            <w:noWrap/>
            <w:vAlign w:val="center"/>
            <w:hideMark/>
          </w:tcPr>
          <w:p w:rsidR="00F07E05" w:rsidRPr="00C73169" w:rsidRDefault="00F07E05" w:rsidP="008A253E">
            <w:pPr>
              <w:jc w:val="center"/>
              <w:rPr>
                <w:color w:val="000000" w:themeColor="text1"/>
                <w:lang w:val="en-US"/>
              </w:rPr>
            </w:pPr>
            <w:r w:rsidRPr="00C73169">
              <w:rPr>
                <w:color w:val="000000" w:themeColor="text1"/>
                <w:sz w:val="22"/>
                <w:szCs w:val="22"/>
                <w:lang w:val="en-US"/>
              </w:rPr>
              <w:t>2 969,</w:t>
            </w:r>
            <w:r>
              <w:rPr>
                <w:color w:val="000000" w:themeColor="text1"/>
                <w:sz w:val="22"/>
                <w:szCs w:val="22"/>
              </w:rPr>
              <w:t>3</w:t>
            </w:r>
            <w:r w:rsidRPr="00C73169">
              <w:rPr>
                <w:color w:val="000000" w:themeColor="text1"/>
                <w:sz w:val="22"/>
                <w:szCs w:val="22"/>
                <w:lang w:val="en-US"/>
              </w:rPr>
              <w:t xml:space="preserve">  </w:t>
            </w:r>
          </w:p>
        </w:tc>
        <w:tc>
          <w:tcPr>
            <w:tcW w:w="1527" w:type="dxa"/>
            <w:tcBorders>
              <w:top w:val="nil"/>
              <w:left w:val="nil"/>
              <w:bottom w:val="single" w:sz="4" w:space="0" w:color="auto"/>
              <w:right w:val="single" w:sz="4" w:space="0" w:color="auto"/>
            </w:tcBorders>
            <w:shd w:val="clear" w:color="auto" w:fill="auto"/>
            <w:noWrap/>
            <w:vAlign w:val="center"/>
          </w:tcPr>
          <w:p w:rsidR="00F07E05" w:rsidRPr="00C73169" w:rsidRDefault="00F07E05" w:rsidP="008A253E">
            <w:pPr>
              <w:jc w:val="center"/>
              <w:rPr>
                <w:color w:val="000000" w:themeColor="text1"/>
                <w:lang w:val="en-US"/>
              </w:rPr>
            </w:pPr>
            <w:r w:rsidRPr="00C73169">
              <w:rPr>
                <w:color w:val="000000"/>
                <w:sz w:val="22"/>
                <w:szCs w:val="22"/>
              </w:rPr>
              <w:t xml:space="preserve">2 920,3  </w:t>
            </w:r>
          </w:p>
        </w:tc>
      </w:tr>
      <w:tr w:rsidR="00F07E05" w:rsidRPr="00C73169" w:rsidTr="008A253E">
        <w:trPr>
          <w:trHeight w:val="304"/>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F07E05" w:rsidRPr="00C73169" w:rsidRDefault="00F07E05" w:rsidP="008A253E">
            <w:pPr>
              <w:rPr>
                <w:color w:val="000000"/>
              </w:rPr>
            </w:pPr>
            <w:r w:rsidRPr="00C73169">
              <w:rPr>
                <w:color w:val="000000"/>
                <w:sz w:val="22"/>
                <w:szCs w:val="22"/>
              </w:rPr>
              <w:t>2</w:t>
            </w:r>
          </w:p>
        </w:tc>
        <w:tc>
          <w:tcPr>
            <w:tcW w:w="3712" w:type="dxa"/>
            <w:tcBorders>
              <w:top w:val="nil"/>
              <w:left w:val="nil"/>
              <w:bottom w:val="single" w:sz="4" w:space="0" w:color="auto"/>
              <w:right w:val="single" w:sz="4" w:space="0" w:color="auto"/>
            </w:tcBorders>
            <w:shd w:val="clear" w:color="auto" w:fill="auto"/>
            <w:vAlign w:val="center"/>
            <w:hideMark/>
          </w:tcPr>
          <w:p w:rsidR="00F07E05" w:rsidRPr="00C73169" w:rsidRDefault="00F07E05" w:rsidP="008A253E">
            <w:pPr>
              <w:rPr>
                <w:color w:val="000000"/>
              </w:rPr>
            </w:pPr>
            <w:r w:rsidRPr="00C73169">
              <w:rPr>
                <w:color w:val="000000"/>
                <w:sz w:val="22"/>
                <w:szCs w:val="22"/>
              </w:rPr>
              <w:t>Средневз</w:t>
            </w:r>
            <w:r>
              <w:rPr>
                <w:color w:val="000000"/>
                <w:sz w:val="22"/>
                <w:szCs w:val="22"/>
              </w:rPr>
              <w:t>в</w:t>
            </w:r>
            <w:r w:rsidRPr="00C73169">
              <w:rPr>
                <w:color w:val="000000"/>
                <w:sz w:val="22"/>
                <w:szCs w:val="22"/>
              </w:rPr>
              <w:t>еш</w:t>
            </w:r>
            <w:r>
              <w:rPr>
                <w:color w:val="000000"/>
                <w:sz w:val="22"/>
                <w:szCs w:val="22"/>
              </w:rPr>
              <w:t>е</w:t>
            </w:r>
            <w:r w:rsidRPr="00C73169">
              <w:rPr>
                <w:color w:val="000000"/>
                <w:sz w:val="22"/>
                <w:szCs w:val="22"/>
              </w:rPr>
              <w:t>нный тариф</w:t>
            </w:r>
          </w:p>
        </w:tc>
        <w:tc>
          <w:tcPr>
            <w:tcW w:w="1590" w:type="dxa"/>
            <w:tcBorders>
              <w:top w:val="nil"/>
              <w:left w:val="nil"/>
              <w:bottom w:val="single" w:sz="4" w:space="0" w:color="auto"/>
              <w:right w:val="single" w:sz="4" w:space="0" w:color="auto"/>
            </w:tcBorders>
            <w:shd w:val="clear" w:color="auto" w:fill="auto"/>
            <w:vAlign w:val="center"/>
            <w:hideMark/>
          </w:tcPr>
          <w:p w:rsidR="00F07E05" w:rsidRPr="00C73169" w:rsidRDefault="00F07E05" w:rsidP="008A253E">
            <w:pPr>
              <w:jc w:val="center"/>
              <w:rPr>
                <w:color w:val="000000"/>
              </w:rPr>
            </w:pPr>
            <w:r w:rsidRPr="00C73169">
              <w:rPr>
                <w:color w:val="000000"/>
                <w:sz w:val="22"/>
                <w:szCs w:val="22"/>
              </w:rPr>
              <w:t>руб.</w:t>
            </w:r>
          </w:p>
        </w:tc>
        <w:tc>
          <w:tcPr>
            <w:tcW w:w="1527" w:type="dxa"/>
            <w:tcBorders>
              <w:top w:val="nil"/>
              <w:left w:val="single" w:sz="4" w:space="0" w:color="auto"/>
              <w:bottom w:val="single" w:sz="4" w:space="0" w:color="auto"/>
              <w:right w:val="single" w:sz="4" w:space="0" w:color="auto"/>
            </w:tcBorders>
            <w:shd w:val="clear" w:color="auto" w:fill="auto"/>
            <w:noWrap/>
            <w:vAlign w:val="center"/>
            <w:hideMark/>
          </w:tcPr>
          <w:p w:rsidR="00F07E05" w:rsidRPr="00C73169" w:rsidRDefault="00F07E05" w:rsidP="008A253E">
            <w:pPr>
              <w:jc w:val="center"/>
              <w:rPr>
                <w:color w:val="000000" w:themeColor="text1"/>
                <w:lang w:val="en-US"/>
              </w:rPr>
            </w:pPr>
            <w:r w:rsidRPr="00C73169">
              <w:rPr>
                <w:color w:val="000000" w:themeColor="text1"/>
                <w:sz w:val="22"/>
                <w:szCs w:val="22"/>
                <w:lang w:val="en-US"/>
              </w:rPr>
              <w:t>19,</w:t>
            </w:r>
            <w:r>
              <w:rPr>
                <w:color w:val="000000" w:themeColor="text1"/>
                <w:sz w:val="22"/>
                <w:szCs w:val="22"/>
              </w:rPr>
              <w:t>18</w:t>
            </w:r>
            <w:r w:rsidRPr="00C73169">
              <w:rPr>
                <w:color w:val="000000" w:themeColor="text1"/>
                <w:sz w:val="22"/>
                <w:szCs w:val="22"/>
                <w:lang w:val="en-US"/>
              </w:rPr>
              <w:t xml:space="preserve">  </w:t>
            </w:r>
          </w:p>
        </w:tc>
        <w:tc>
          <w:tcPr>
            <w:tcW w:w="1527" w:type="dxa"/>
            <w:tcBorders>
              <w:top w:val="nil"/>
              <w:left w:val="nil"/>
              <w:bottom w:val="single" w:sz="4" w:space="0" w:color="auto"/>
              <w:right w:val="single" w:sz="4" w:space="0" w:color="auto"/>
            </w:tcBorders>
            <w:shd w:val="clear" w:color="auto" w:fill="auto"/>
            <w:noWrap/>
            <w:vAlign w:val="center"/>
            <w:hideMark/>
          </w:tcPr>
          <w:p w:rsidR="00F07E05" w:rsidRPr="00C73169" w:rsidRDefault="00F07E05" w:rsidP="008A253E">
            <w:pPr>
              <w:jc w:val="center"/>
              <w:rPr>
                <w:color w:val="000000" w:themeColor="text1"/>
                <w:lang w:val="en-US"/>
              </w:rPr>
            </w:pPr>
            <w:r w:rsidRPr="00C73169">
              <w:rPr>
                <w:color w:val="000000" w:themeColor="text1"/>
                <w:sz w:val="22"/>
                <w:szCs w:val="22"/>
                <w:lang w:val="en-US"/>
              </w:rPr>
              <w:t>19,</w:t>
            </w:r>
            <w:r>
              <w:rPr>
                <w:color w:val="000000" w:themeColor="text1"/>
                <w:sz w:val="22"/>
                <w:szCs w:val="22"/>
              </w:rPr>
              <w:t>8</w:t>
            </w:r>
            <w:r w:rsidRPr="00C73169">
              <w:rPr>
                <w:color w:val="000000" w:themeColor="text1"/>
                <w:sz w:val="22"/>
                <w:szCs w:val="22"/>
                <w:lang w:val="en-US"/>
              </w:rPr>
              <w:t xml:space="preserve">9  </w:t>
            </w:r>
          </w:p>
        </w:tc>
        <w:tc>
          <w:tcPr>
            <w:tcW w:w="1527" w:type="dxa"/>
            <w:tcBorders>
              <w:top w:val="nil"/>
              <w:left w:val="nil"/>
              <w:bottom w:val="single" w:sz="4" w:space="0" w:color="auto"/>
              <w:right w:val="single" w:sz="4" w:space="0" w:color="auto"/>
            </w:tcBorders>
            <w:shd w:val="clear" w:color="auto" w:fill="auto"/>
            <w:noWrap/>
            <w:vAlign w:val="center"/>
          </w:tcPr>
          <w:p w:rsidR="00F07E05" w:rsidRPr="00C73169" w:rsidRDefault="00F07E05" w:rsidP="008A253E">
            <w:pPr>
              <w:jc w:val="center"/>
              <w:rPr>
                <w:color w:val="000000" w:themeColor="text1"/>
                <w:lang w:val="en-US"/>
              </w:rPr>
            </w:pPr>
            <w:r w:rsidRPr="00C73169">
              <w:rPr>
                <w:color w:val="000000"/>
                <w:sz w:val="22"/>
                <w:szCs w:val="22"/>
              </w:rPr>
              <w:t>20,8</w:t>
            </w:r>
            <w:r>
              <w:rPr>
                <w:color w:val="000000"/>
                <w:sz w:val="22"/>
                <w:szCs w:val="22"/>
              </w:rPr>
              <w:t>0</w:t>
            </w:r>
            <w:r w:rsidRPr="00C73169">
              <w:rPr>
                <w:color w:val="000000"/>
                <w:sz w:val="22"/>
                <w:szCs w:val="22"/>
              </w:rPr>
              <w:t xml:space="preserve"> </w:t>
            </w:r>
          </w:p>
        </w:tc>
      </w:tr>
      <w:tr w:rsidR="00F07E05" w:rsidRPr="00C73169" w:rsidTr="008A253E">
        <w:trPr>
          <w:trHeight w:val="304"/>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F07E05" w:rsidRPr="00C73169" w:rsidRDefault="00F07E05" w:rsidP="008A253E">
            <w:pPr>
              <w:rPr>
                <w:b/>
                <w:bCs/>
                <w:color w:val="000000"/>
              </w:rPr>
            </w:pPr>
            <w:r w:rsidRPr="00C73169">
              <w:rPr>
                <w:b/>
                <w:bCs/>
                <w:color w:val="000000"/>
                <w:sz w:val="22"/>
                <w:szCs w:val="22"/>
              </w:rPr>
              <w:t>3</w:t>
            </w:r>
          </w:p>
        </w:tc>
        <w:tc>
          <w:tcPr>
            <w:tcW w:w="3712" w:type="dxa"/>
            <w:tcBorders>
              <w:top w:val="nil"/>
              <w:left w:val="nil"/>
              <w:bottom w:val="single" w:sz="4" w:space="0" w:color="auto"/>
              <w:right w:val="single" w:sz="4" w:space="0" w:color="auto"/>
            </w:tcBorders>
            <w:shd w:val="clear" w:color="auto" w:fill="auto"/>
            <w:vAlign w:val="center"/>
            <w:hideMark/>
          </w:tcPr>
          <w:p w:rsidR="00F07E05" w:rsidRPr="00C73169" w:rsidRDefault="00F07E05" w:rsidP="008A253E">
            <w:pPr>
              <w:rPr>
                <w:b/>
                <w:bCs/>
                <w:color w:val="000000"/>
              </w:rPr>
            </w:pPr>
            <w:r w:rsidRPr="00C73169">
              <w:rPr>
                <w:b/>
                <w:bCs/>
                <w:color w:val="000000"/>
                <w:sz w:val="22"/>
                <w:szCs w:val="22"/>
              </w:rPr>
              <w:t>Итого по городу (стр.1*2)</w:t>
            </w:r>
          </w:p>
        </w:tc>
        <w:tc>
          <w:tcPr>
            <w:tcW w:w="1590" w:type="dxa"/>
            <w:tcBorders>
              <w:top w:val="nil"/>
              <w:left w:val="nil"/>
              <w:bottom w:val="single" w:sz="4" w:space="0" w:color="auto"/>
              <w:right w:val="single" w:sz="4" w:space="0" w:color="auto"/>
            </w:tcBorders>
            <w:shd w:val="clear" w:color="auto" w:fill="auto"/>
            <w:vAlign w:val="center"/>
            <w:hideMark/>
          </w:tcPr>
          <w:p w:rsidR="00F07E05" w:rsidRPr="00C73169" w:rsidRDefault="00F07E05" w:rsidP="008A253E">
            <w:pPr>
              <w:jc w:val="center"/>
              <w:rPr>
                <w:b/>
                <w:bCs/>
                <w:color w:val="000000"/>
              </w:rPr>
            </w:pPr>
            <w:r w:rsidRPr="00C73169">
              <w:rPr>
                <w:b/>
                <w:bCs/>
                <w:color w:val="000000"/>
                <w:sz w:val="22"/>
                <w:szCs w:val="22"/>
              </w:rPr>
              <w:t>тыс. руб.</w:t>
            </w:r>
          </w:p>
        </w:tc>
        <w:tc>
          <w:tcPr>
            <w:tcW w:w="1527" w:type="dxa"/>
            <w:tcBorders>
              <w:top w:val="nil"/>
              <w:left w:val="single" w:sz="4" w:space="0" w:color="auto"/>
              <w:bottom w:val="single" w:sz="4" w:space="0" w:color="auto"/>
              <w:right w:val="single" w:sz="4" w:space="0" w:color="auto"/>
            </w:tcBorders>
            <w:shd w:val="clear" w:color="auto" w:fill="auto"/>
            <w:noWrap/>
            <w:vAlign w:val="center"/>
            <w:hideMark/>
          </w:tcPr>
          <w:p w:rsidR="00F07E05" w:rsidRPr="00C73169" w:rsidRDefault="00F07E05" w:rsidP="008A253E">
            <w:pPr>
              <w:jc w:val="center"/>
              <w:rPr>
                <w:b/>
                <w:bCs/>
                <w:color w:val="000000" w:themeColor="text1"/>
                <w:lang w:val="en-US"/>
              </w:rPr>
            </w:pPr>
            <w:r w:rsidRPr="00C73169">
              <w:rPr>
                <w:b/>
                <w:bCs/>
                <w:color w:val="000000" w:themeColor="text1"/>
                <w:sz w:val="22"/>
                <w:szCs w:val="22"/>
                <w:lang w:val="en-US"/>
              </w:rPr>
              <w:t>57</w:t>
            </w:r>
            <w:r>
              <w:rPr>
                <w:b/>
                <w:bCs/>
                <w:color w:val="000000" w:themeColor="text1"/>
                <w:sz w:val="22"/>
                <w:szCs w:val="22"/>
                <w:lang w:val="en-US"/>
              </w:rPr>
              <w:t> </w:t>
            </w:r>
            <w:r>
              <w:rPr>
                <w:b/>
                <w:bCs/>
                <w:color w:val="000000" w:themeColor="text1"/>
                <w:sz w:val="22"/>
                <w:szCs w:val="22"/>
              </w:rPr>
              <w:t>898,7</w:t>
            </w:r>
            <w:r w:rsidRPr="00C73169">
              <w:rPr>
                <w:b/>
                <w:bCs/>
                <w:color w:val="000000" w:themeColor="text1"/>
                <w:sz w:val="22"/>
                <w:szCs w:val="22"/>
                <w:lang w:val="en-US"/>
              </w:rPr>
              <w:t xml:space="preserve">  </w:t>
            </w:r>
          </w:p>
        </w:tc>
        <w:tc>
          <w:tcPr>
            <w:tcW w:w="1527" w:type="dxa"/>
            <w:tcBorders>
              <w:top w:val="nil"/>
              <w:left w:val="nil"/>
              <w:bottom w:val="single" w:sz="4" w:space="0" w:color="auto"/>
              <w:right w:val="single" w:sz="4" w:space="0" w:color="auto"/>
            </w:tcBorders>
            <w:shd w:val="clear" w:color="auto" w:fill="auto"/>
            <w:noWrap/>
            <w:vAlign w:val="center"/>
            <w:hideMark/>
          </w:tcPr>
          <w:p w:rsidR="00F07E05" w:rsidRPr="00C73169" w:rsidRDefault="00F07E05" w:rsidP="008A253E">
            <w:pPr>
              <w:jc w:val="center"/>
              <w:rPr>
                <w:b/>
                <w:bCs/>
                <w:color w:val="000000" w:themeColor="text1"/>
                <w:lang w:val="en-US"/>
              </w:rPr>
            </w:pPr>
            <w:r w:rsidRPr="00C73169">
              <w:rPr>
                <w:b/>
                <w:bCs/>
                <w:color w:val="000000" w:themeColor="text1"/>
                <w:sz w:val="22"/>
                <w:szCs w:val="22"/>
                <w:lang w:val="en-US"/>
              </w:rPr>
              <w:t>59</w:t>
            </w:r>
            <w:r>
              <w:rPr>
                <w:b/>
                <w:bCs/>
                <w:color w:val="000000" w:themeColor="text1"/>
                <w:sz w:val="22"/>
                <w:szCs w:val="22"/>
                <w:lang w:val="en-US"/>
              </w:rPr>
              <w:t> </w:t>
            </w:r>
            <w:r>
              <w:rPr>
                <w:b/>
                <w:bCs/>
                <w:color w:val="000000" w:themeColor="text1"/>
                <w:sz w:val="22"/>
                <w:szCs w:val="22"/>
              </w:rPr>
              <w:t>059,4</w:t>
            </w:r>
            <w:r w:rsidRPr="00C73169">
              <w:rPr>
                <w:b/>
                <w:bCs/>
                <w:color w:val="000000" w:themeColor="text1"/>
                <w:sz w:val="22"/>
                <w:szCs w:val="22"/>
                <w:lang w:val="en-US"/>
              </w:rPr>
              <w:t xml:space="preserve">  </w:t>
            </w:r>
          </w:p>
        </w:tc>
        <w:tc>
          <w:tcPr>
            <w:tcW w:w="1527" w:type="dxa"/>
            <w:tcBorders>
              <w:top w:val="nil"/>
              <w:left w:val="nil"/>
              <w:bottom w:val="single" w:sz="4" w:space="0" w:color="auto"/>
              <w:right w:val="single" w:sz="4" w:space="0" w:color="auto"/>
            </w:tcBorders>
            <w:shd w:val="clear" w:color="auto" w:fill="auto"/>
            <w:noWrap/>
            <w:vAlign w:val="center"/>
          </w:tcPr>
          <w:p w:rsidR="00F07E05" w:rsidRPr="00C73169" w:rsidRDefault="00F07E05" w:rsidP="008A253E">
            <w:pPr>
              <w:jc w:val="center"/>
              <w:rPr>
                <w:b/>
                <w:bCs/>
                <w:color w:val="000000" w:themeColor="text1"/>
              </w:rPr>
            </w:pPr>
            <w:r w:rsidRPr="00C73169">
              <w:rPr>
                <w:b/>
                <w:bCs/>
                <w:color w:val="000000"/>
                <w:sz w:val="22"/>
                <w:szCs w:val="22"/>
              </w:rPr>
              <w:t>60 74</w:t>
            </w:r>
            <w:r>
              <w:rPr>
                <w:b/>
                <w:bCs/>
                <w:color w:val="000000"/>
                <w:sz w:val="22"/>
                <w:szCs w:val="22"/>
              </w:rPr>
              <w:t>2</w:t>
            </w:r>
            <w:r w:rsidRPr="00C73169">
              <w:rPr>
                <w:b/>
                <w:bCs/>
                <w:color w:val="000000"/>
                <w:sz w:val="22"/>
                <w:szCs w:val="22"/>
              </w:rPr>
              <w:t xml:space="preserve">,2  </w:t>
            </w:r>
          </w:p>
        </w:tc>
      </w:tr>
      <w:tr w:rsidR="00F07E05" w:rsidRPr="00C73169" w:rsidTr="008A253E">
        <w:trPr>
          <w:trHeight w:val="1325"/>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F07E05" w:rsidRPr="00C73169" w:rsidRDefault="00F07E05" w:rsidP="008A253E">
            <w:pPr>
              <w:rPr>
                <w:color w:val="000000"/>
              </w:rPr>
            </w:pPr>
            <w:r w:rsidRPr="00C73169">
              <w:rPr>
                <w:color w:val="000000"/>
                <w:sz w:val="22"/>
                <w:szCs w:val="22"/>
              </w:rPr>
              <w:t>4</w:t>
            </w:r>
          </w:p>
        </w:tc>
        <w:tc>
          <w:tcPr>
            <w:tcW w:w="3712" w:type="dxa"/>
            <w:tcBorders>
              <w:top w:val="nil"/>
              <w:left w:val="nil"/>
              <w:bottom w:val="single" w:sz="4" w:space="0" w:color="auto"/>
              <w:right w:val="single" w:sz="4" w:space="0" w:color="auto"/>
            </w:tcBorders>
            <w:shd w:val="clear" w:color="auto" w:fill="auto"/>
            <w:vAlign w:val="center"/>
            <w:hideMark/>
          </w:tcPr>
          <w:p w:rsidR="00F07E05" w:rsidRPr="00C73169" w:rsidRDefault="00F07E05" w:rsidP="008A253E">
            <w:pPr>
              <w:rPr>
                <w:color w:val="000000"/>
              </w:rPr>
            </w:pPr>
            <w:r w:rsidRPr="00C73169">
              <w:rPr>
                <w:color w:val="000000"/>
                <w:sz w:val="22"/>
                <w:szCs w:val="22"/>
              </w:rPr>
              <w:t>Количество перевезенных пассажиров автомобильным транспортом общего пользования пригородного сообщения Кимрского района (без учета льготных пассажиров)</w:t>
            </w:r>
          </w:p>
        </w:tc>
        <w:tc>
          <w:tcPr>
            <w:tcW w:w="1590" w:type="dxa"/>
            <w:tcBorders>
              <w:top w:val="nil"/>
              <w:left w:val="nil"/>
              <w:bottom w:val="single" w:sz="4" w:space="0" w:color="auto"/>
              <w:right w:val="single" w:sz="4" w:space="0" w:color="auto"/>
            </w:tcBorders>
            <w:shd w:val="clear" w:color="auto" w:fill="auto"/>
            <w:vAlign w:val="center"/>
            <w:hideMark/>
          </w:tcPr>
          <w:p w:rsidR="00F07E05" w:rsidRPr="00C73169" w:rsidRDefault="00F07E05" w:rsidP="008A253E">
            <w:pPr>
              <w:jc w:val="center"/>
              <w:rPr>
                <w:color w:val="000000"/>
              </w:rPr>
            </w:pPr>
            <w:r w:rsidRPr="00C73169">
              <w:rPr>
                <w:color w:val="000000"/>
                <w:sz w:val="22"/>
                <w:szCs w:val="22"/>
              </w:rPr>
              <w:t>тыс. пассажиров</w:t>
            </w:r>
          </w:p>
        </w:tc>
        <w:tc>
          <w:tcPr>
            <w:tcW w:w="1527" w:type="dxa"/>
            <w:tcBorders>
              <w:top w:val="nil"/>
              <w:left w:val="single" w:sz="4" w:space="0" w:color="auto"/>
              <w:bottom w:val="single" w:sz="4" w:space="0" w:color="auto"/>
              <w:right w:val="single" w:sz="4" w:space="0" w:color="auto"/>
            </w:tcBorders>
            <w:shd w:val="clear" w:color="auto" w:fill="auto"/>
            <w:noWrap/>
            <w:vAlign w:val="center"/>
            <w:hideMark/>
          </w:tcPr>
          <w:p w:rsidR="00F07E05" w:rsidRPr="00C73169" w:rsidRDefault="00F07E05" w:rsidP="008A253E">
            <w:pPr>
              <w:jc w:val="center"/>
              <w:rPr>
                <w:color w:val="000000" w:themeColor="text1"/>
                <w:lang w:val="en-US"/>
              </w:rPr>
            </w:pPr>
            <w:r w:rsidRPr="00C73169">
              <w:rPr>
                <w:color w:val="000000" w:themeColor="text1"/>
                <w:sz w:val="22"/>
                <w:szCs w:val="22"/>
                <w:lang w:val="en-US"/>
              </w:rPr>
              <w:t>374,6</w:t>
            </w:r>
          </w:p>
        </w:tc>
        <w:tc>
          <w:tcPr>
            <w:tcW w:w="1527" w:type="dxa"/>
            <w:tcBorders>
              <w:top w:val="nil"/>
              <w:left w:val="nil"/>
              <w:bottom w:val="single" w:sz="4" w:space="0" w:color="auto"/>
              <w:right w:val="single" w:sz="4" w:space="0" w:color="auto"/>
            </w:tcBorders>
            <w:shd w:val="clear" w:color="auto" w:fill="auto"/>
            <w:noWrap/>
            <w:vAlign w:val="center"/>
            <w:hideMark/>
          </w:tcPr>
          <w:p w:rsidR="00F07E05" w:rsidRPr="00C73169" w:rsidRDefault="00F07E05" w:rsidP="008A253E">
            <w:pPr>
              <w:jc w:val="center"/>
              <w:rPr>
                <w:color w:val="000000" w:themeColor="text1"/>
                <w:lang w:val="en-US"/>
              </w:rPr>
            </w:pPr>
            <w:r w:rsidRPr="00C73169">
              <w:rPr>
                <w:color w:val="000000" w:themeColor="text1"/>
                <w:sz w:val="22"/>
                <w:szCs w:val="22"/>
                <w:lang w:val="en-US"/>
              </w:rPr>
              <w:t>369,0</w:t>
            </w:r>
          </w:p>
        </w:tc>
        <w:tc>
          <w:tcPr>
            <w:tcW w:w="1527" w:type="dxa"/>
            <w:tcBorders>
              <w:top w:val="nil"/>
              <w:left w:val="nil"/>
              <w:bottom w:val="single" w:sz="4" w:space="0" w:color="auto"/>
              <w:right w:val="single" w:sz="4" w:space="0" w:color="auto"/>
            </w:tcBorders>
            <w:shd w:val="clear" w:color="auto" w:fill="auto"/>
            <w:noWrap/>
            <w:vAlign w:val="center"/>
          </w:tcPr>
          <w:p w:rsidR="00F07E05" w:rsidRPr="00C73169" w:rsidRDefault="00F07E05" w:rsidP="008A253E">
            <w:pPr>
              <w:jc w:val="center"/>
              <w:rPr>
                <w:color w:val="000000" w:themeColor="text1"/>
              </w:rPr>
            </w:pPr>
            <w:r w:rsidRPr="00C73169">
              <w:rPr>
                <w:color w:val="000000"/>
                <w:sz w:val="22"/>
                <w:szCs w:val="22"/>
              </w:rPr>
              <w:t>363,5</w:t>
            </w:r>
          </w:p>
        </w:tc>
      </w:tr>
      <w:tr w:rsidR="00F07E05" w:rsidRPr="00C73169" w:rsidTr="008A253E">
        <w:trPr>
          <w:trHeight w:val="304"/>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F07E05" w:rsidRPr="00C73169" w:rsidRDefault="00F07E05" w:rsidP="008A253E">
            <w:pPr>
              <w:rPr>
                <w:color w:val="000000"/>
              </w:rPr>
            </w:pPr>
            <w:r w:rsidRPr="00C73169">
              <w:rPr>
                <w:color w:val="000000"/>
                <w:sz w:val="22"/>
                <w:szCs w:val="22"/>
              </w:rPr>
              <w:t>5</w:t>
            </w:r>
          </w:p>
        </w:tc>
        <w:tc>
          <w:tcPr>
            <w:tcW w:w="3712" w:type="dxa"/>
            <w:tcBorders>
              <w:top w:val="nil"/>
              <w:left w:val="nil"/>
              <w:bottom w:val="single" w:sz="4" w:space="0" w:color="auto"/>
              <w:right w:val="single" w:sz="4" w:space="0" w:color="auto"/>
            </w:tcBorders>
            <w:shd w:val="clear" w:color="auto" w:fill="auto"/>
            <w:vAlign w:val="center"/>
            <w:hideMark/>
          </w:tcPr>
          <w:p w:rsidR="00F07E05" w:rsidRPr="00C73169" w:rsidRDefault="00F07E05" w:rsidP="008A253E">
            <w:pPr>
              <w:rPr>
                <w:color w:val="000000"/>
              </w:rPr>
            </w:pPr>
            <w:r w:rsidRPr="00C73169">
              <w:rPr>
                <w:color w:val="000000"/>
                <w:sz w:val="22"/>
                <w:szCs w:val="22"/>
              </w:rPr>
              <w:t>Средневз</w:t>
            </w:r>
            <w:r>
              <w:rPr>
                <w:color w:val="000000"/>
                <w:sz w:val="22"/>
                <w:szCs w:val="22"/>
              </w:rPr>
              <w:t>в</w:t>
            </w:r>
            <w:r w:rsidRPr="00C73169">
              <w:rPr>
                <w:color w:val="000000"/>
                <w:sz w:val="22"/>
                <w:szCs w:val="22"/>
              </w:rPr>
              <w:t>еш</w:t>
            </w:r>
            <w:r>
              <w:rPr>
                <w:color w:val="000000"/>
                <w:sz w:val="22"/>
                <w:szCs w:val="22"/>
              </w:rPr>
              <w:t>е</w:t>
            </w:r>
            <w:r w:rsidRPr="00C73169">
              <w:rPr>
                <w:color w:val="000000"/>
                <w:sz w:val="22"/>
                <w:szCs w:val="22"/>
              </w:rPr>
              <w:t>нный тариф</w:t>
            </w:r>
          </w:p>
        </w:tc>
        <w:tc>
          <w:tcPr>
            <w:tcW w:w="1590" w:type="dxa"/>
            <w:tcBorders>
              <w:top w:val="nil"/>
              <w:left w:val="nil"/>
              <w:bottom w:val="single" w:sz="4" w:space="0" w:color="auto"/>
              <w:right w:val="single" w:sz="4" w:space="0" w:color="auto"/>
            </w:tcBorders>
            <w:shd w:val="clear" w:color="auto" w:fill="auto"/>
            <w:vAlign w:val="center"/>
            <w:hideMark/>
          </w:tcPr>
          <w:p w:rsidR="00F07E05" w:rsidRPr="00C73169" w:rsidRDefault="00F07E05" w:rsidP="008A253E">
            <w:pPr>
              <w:jc w:val="center"/>
              <w:rPr>
                <w:color w:val="000000"/>
              </w:rPr>
            </w:pPr>
            <w:r w:rsidRPr="00C73169">
              <w:rPr>
                <w:color w:val="000000"/>
                <w:sz w:val="22"/>
                <w:szCs w:val="22"/>
              </w:rPr>
              <w:t>руб. за 1 км.</w:t>
            </w:r>
          </w:p>
        </w:tc>
        <w:tc>
          <w:tcPr>
            <w:tcW w:w="1527" w:type="dxa"/>
            <w:tcBorders>
              <w:top w:val="nil"/>
              <w:left w:val="single" w:sz="4" w:space="0" w:color="auto"/>
              <w:bottom w:val="single" w:sz="4" w:space="0" w:color="auto"/>
              <w:right w:val="single" w:sz="4" w:space="0" w:color="auto"/>
            </w:tcBorders>
            <w:shd w:val="clear" w:color="auto" w:fill="auto"/>
            <w:noWrap/>
            <w:vAlign w:val="center"/>
            <w:hideMark/>
          </w:tcPr>
          <w:p w:rsidR="00F07E05" w:rsidRPr="004546C9" w:rsidRDefault="00F07E05" w:rsidP="008A253E">
            <w:pPr>
              <w:jc w:val="center"/>
              <w:rPr>
                <w:color w:val="000000" w:themeColor="text1"/>
              </w:rPr>
            </w:pPr>
            <w:r w:rsidRPr="00C73169">
              <w:rPr>
                <w:color w:val="000000" w:themeColor="text1"/>
                <w:sz w:val="22"/>
                <w:szCs w:val="22"/>
                <w:lang w:val="en-US"/>
              </w:rPr>
              <w:t>5,</w:t>
            </w:r>
            <w:r>
              <w:rPr>
                <w:color w:val="000000" w:themeColor="text1"/>
                <w:sz w:val="22"/>
                <w:szCs w:val="22"/>
              </w:rPr>
              <w:t>24</w:t>
            </w:r>
          </w:p>
        </w:tc>
        <w:tc>
          <w:tcPr>
            <w:tcW w:w="1527" w:type="dxa"/>
            <w:tcBorders>
              <w:top w:val="nil"/>
              <w:left w:val="nil"/>
              <w:bottom w:val="single" w:sz="4" w:space="0" w:color="auto"/>
              <w:right w:val="single" w:sz="4" w:space="0" w:color="auto"/>
            </w:tcBorders>
            <w:shd w:val="clear" w:color="auto" w:fill="auto"/>
            <w:noWrap/>
            <w:vAlign w:val="center"/>
            <w:hideMark/>
          </w:tcPr>
          <w:p w:rsidR="00F07E05" w:rsidRPr="00C73169" w:rsidRDefault="00F07E05" w:rsidP="008A253E">
            <w:pPr>
              <w:jc w:val="center"/>
              <w:rPr>
                <w:color w:val="000000" w:themeColor="text1"/>
                <w:lang w:val="en-US"/>
              </w:rPr>
            </w:pPr>
            <w:r w:rsidRPr="00C73169">
              <w:rPr>
                <w:color w:val="000000" w:themeColor="text1"/>
                <w:sz w:val="22"/>
                <w:szCs w:val="22"/>
                <w:lang w:val="en-US"/>
              </w:rPr>
              <w:t>5,</w:t>
            </w:r>
            <w:r>
              <w:rPr>
                <w:color w:val="000000" w:themeColor="text1"/>
                <w:sz w:val="22"/>
                <w:szCs w:val="22"/>
              </w:rPr>
              <w:t>44</w:t>
            </w:r>
            <w:r w:rsidRPr="00C73169">
              <w:rPr>
                <w:color w:val="000000" w:themeColor="text1"/>
                <w:sz w:val="22"/>
                <w:szCs w:val="22"/>
                <w:lang w:val="en-US"/>
              </w:rPr>
              <w:t xml:space="preserve"> </w:t>
            </w:r>
          </w:p>
        </w:tc>
        <w:tc>
          <w:tcPr>
            <w:tcW w:w="1527" w:type="dxa"/>
            <w:tcBorders>
              <w:top w:val="nil"/>
              <w:left w:val="nil"/>
              <w:bottom w:val="single" w:sz="4" w:space="0" w:color="auto"/>
              <w:right w:val="single" w:sz="4" w:space="0" w:color="auto"/>
            </w:tcBorders>
            <w:shd w:val="clear" w:color="auto" w:fill="auto"/>
            <w:noWrap/>
            <w:vAlign w:val="center"/>
          </w:tcPr>
          <w:p w:rsidR="00F07E05" w:rsidRPr="00C73169" w:rsidRDefault="00F07E05" w:rsidP="008A253E">
            <w:pPr>
              <w:jc w:val="center"/>
              <w:rPr>
                <w:color w:val="000000" w:themeColor="text1"/>
              </w:rPr>
            </w:pPr>
            <w:r w:rsidRPr="00C73169">
              <w:rPr>
                <w:color w:val="000000"/>
                <w:sz w:val="22"/>
                <w:szCs w:val="22"/>
              </w:rPr>
              <w:t>5,</w:t>
            </w:r>
            <w:r>
              <w:rPr>
                <w:color w:val="000000"/>
                <w:sz w:val="22"/>
                <w:szCs w:val="22"/>
              </w:rPr>
              <w:t>63</w:t>
            </w:r>
            <w:r w:rsidRPr="00C73169">
              <w:rPr>
                <w:color w:val="000000"/>
                <w:sz w:val="22"/>
                <w:szCs w:val="22"/>
              </w:rPr>
              <w:t xml:space="preserve"> </w:t>
            </w:r>
          </w:p>
        </w:tc>
      </w:tr>
      <w:tr w:rsidR="00F07E05" w:rsidRPr="00C73169" w:rsidTr="008A253E">
        <w:trPr>
          <w:trHeight w:val="609"/>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F07E05" w:rsidRPr="00C73169" w:rsidRDefault="00F07E05" w:rsidP="008A253E">
            <w:pPr>
              <w:rPr>
                <w:color w:val="000000"/>
              </w:rPr>
            </w:pPr>
            <w:r w:rsidRPr="00C73169">
              <w:rPr>
                <w:color w:val="000000"/>
                <w:sz w:val="22"/>
                <w:szCs w:val="22"/>
              </w:rPr>
              <w:t>6</w:t>
            </w:r>
          </w:p>
        </w:tc>
        <w:tc>
          <w:tcPr>
            <w:tcW w:w="3712" w:type="dxa"/>
            <w:tcBorders>
              <w:top w:val="nil"/>
              <w:left w:val="nil"/>
              <w:bottom w:val="single" w:sz="4" w:space="0" w:color="auto"/>
              <w:right w:val="single" w:sz="4" w:space="0" w:color="auto"/>
            </w:tcBorders>
            <w:shd w:val="clear" w:color="auto" w:fill="auto"/>
            <w:vAlign w:val="center"/>
            <w:hideMark/>
          </w:tcPr>
          <w:p w:rsidR="00F07E05" w:rsidRPr="00C73169" w:rsidRDefault="00F07E05" w:rsidP="008A253E">
            <w:pPr>
              <w:rPr>
                <w:color w:val="000000"/>
              </w:rPr>
            </w:pPr>
            <w:r w:rsidRPr="00C73169">
              <w:rPr>
                <w:color w:val="000000"/>
                <w:sz w:val="22"/>
                <w:szCs w:val="22"/>
              </w:rPr>
              <w:t>Средняя дальность перевозки пассажиров на пригородном сообщении</w:t>
            </w:r>
          </w:p>
        </w:tc>
        <w:tc>
          <w:tcPr>
            <w:tcW w:w="1590" w:type="dxa"/>
            <w:tcBorders>
              <w:top w:val="nil"/>
              <w:left w:val="nil"/>
              <w:bottom w:val="single" w:sz="4" w:space="0" w:color="auto"/>
              <w:right w:val="single" w:sz="4" w:space="0" w:color="auto"/>
            </w:tcBorders>
            <w:shd w:val="clear" w:color="auto" w:fill="auto"/>
            <w:vAlign w:val="center"/>
            <w:hideMark/>
          </w:tcPr>
          <w:p w:rsidR="00F07E05" w:rsidRPr="00C73169" w:rsidRDefault="00F07E05" w:rsidP="008A253E">
            <w:pPr>
              <w:jc w:val="center"/>
              <w:rPr>
                <w:color w:val="000000"/>
              </w:rPr>
            </w:pPr>
            <w:r w:rsidRPr="00C73169">
              <w:rPr>
                <w:color w:val="000000"/>
                <w:sz w:val="22"/>
                <w:szCs w:val="22"/>
              </w:rPr>
              <w:t>км.</w:t>
            </w:r>
          </w:p>
        </w:tc>
        <w:tc>
          <w:tcPr>
            <w:tcW w:w="1527" w:type="dxa"/>
            <w:tcBorders>
              <w:top w:val="nil"/>
              <w:left w:val="single" w:sz="4" w:space="0" w:color="auto"/>
              <w:bottom w:val="single" w:sz="4" w:space="0" w:color="auto"/>
              <w:right w:val="single" w:sz="4" w:space="0" w:color="auto"/>
            </w:tcBorders>
            <w:shd w:val="clear" w:color="auto" w:fill="auto"/>
            <w:noWrap/>
            <w:vAlign w:val="center"/>
            <w:hideMark/>
          </w:tcPr>
          <w:p w:rsidR="00F07E05" w:rsidRPr="00C73169" w:rsidRDefault="00F07E05" w:rsidP="008A253E">
            <w:pPr>
              <w:jc w:val="center"/>
              <w:rPr>
                <w:color w:val="000000" w:themeColor="text1"/>
                <w:lang w:val="en-US"/>
              </w:rPr>
            </w:pPr>
            <w:r w:rsidRPr="00C73169">
              <w:rPr>
                <w:color w:val="000000" w:themeColor="text1"/>
                <w:sz w:val="22"/>
                <w:szCs w:val="22"/>
                <w:lang w:val="en-US"/>
              </w:rPr>
              <w:t xml:space="preserve">7,4  </w:t>
            </w:r>
          </w:p>
        </w:tc>
        <w:tc>
          <w:tcPr>
            <w:tcW w:w="1527" w:type="dxa"/>
            <w:tcBorders>
              <w:top w:val="nil"/>
              <w:left w:val="nil"/>
              <w:bottom w:val="single" w:sz="4" w:space="0" w:color="auto"/>
              <w:right w:val="single" w:sz="4" w:space="0" w:color="auto"/>
            </w:tcBorders>
            <w:shd w:val="clear" w:color="auto" w:fill="auto"/>
            <w:noWrap/>
            <w:vAlign w:val="center"/>
            <w:hideMark/>
          </w:tcPr>
          <w:p w:rsidR="00F07E05" w:rsidRPr="00C73169" w:rsidRDefault="00F07E05" w:rsidP="008A253E">
            <w:pPr>
              <w:jc w:val="center"/>
              <w:rPr>
                <w:color w:val="000000" w:themeColor="text1"/>
                <w:lang w:val="en-US"/>
              </w:rPr>
            </w:pPr>
            <w:r w:rsidRPr="00C73169">
              <w:rPr>
                <w:color w:val="000000" w:themeColor="text1"/>
                <w:sz w:val="22"/>
                <w:szCs w:val="22"/>
                <w:lang w:val="en-US"/>
              </w:rPr>
              <w:t xml:space="preserve">7,4  </w:t>
            </w:r>
          </w:p>
        </w:tc>
        <w:tc>
          <w:tcPr>
            <w:tcW w:w="1527" w:type="dxa"/>
            <w:tcBorders>
              <w:top w:val="nil"/>
              <w:left w:val="nil"/>
              <w:bottom w:val="single" w:sz="4" w:space="0" w:color="auto"/>
              <w:right w:val="single" w:sz="4" w:space="0" w:color="auto"/>
            </w:tcBorders>
            <w:shd w:val="clear" w:color="auto" w:fill="auto"/>
            <w:noWrap/>
            <w:vAlign w:val="center"/>
          </w:tcPr>
          <w:p w:rsidR="00F07E05" w:rsidRPr="00C73169" w:rsidRDefault="00F07E05" w:rsidP="008A253E">
            <w:pPr>
              <w:jc w:val="center"/>
              <w:rPr>
                <w:color w:val="000000" w:themeColor="text1"/>
              </w:rPr>
            </w:pPr>
            <w:r w:rsidRPr="00C73169">
              <w:rPr>
                <w:color w:val="000000"/>
                <w:sz w:val="22"/>
                <w:szCs w:val="22"/>
              </w:rPr>
              <w:t xml:space="preserve">7,4  </w:t>
            </w:r>
          </w:p>
        </w:tc>
      </w:tr>
      <w:tr w:rsidR="00F07E05" w:rsidRPr="00C73169" w:rsidTr="008A253E">
        <w:trPr>
          <w:trHeight w:val="304"/>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F07E05" w:rsidRPr="00C73169" w:rsidRDefault="00F07E05" w:rsidP="008A253E">
            <w:pPr>
              <w:rPr>
                <w:b/>
                <w:bCs/>
                <w:color w:val="000000"/>
              </w:rPr>
            </w:pPr>
            <w:r w:rsidRPr="00C73169">
              <w:rPr>
                <w:b/>
                <w:bCs/>
                <w:color w:val="000000"/>
                <w:sz w:val="22"/>
                <w:szCs w:val="22"/>
              </w:rPr>
              <w:t>7</w:t>
            </w:r>
          </w:p>
        </w:tc>
        <w:tc>
          <w:tcPr>
            <w:tcW w:w="3712" w:type="dxa"/>
            <w:tcBorders>
              <w:top w:val="nil"/>
              <w:left w:val="nil"/>
              <w:bottom w:val="single" w:sz="4" w:space="0" w:color="auto"/>
              <w:right w:val="single" w:sz="4" w:space="0" w:color="auto"/>
            </w:tcBorders>
            <w:shd w:val="clear" w:color="auto" w:fill="auto"/>
            <w:vAlign w:val="center"/>
            <w:hideMark/>
          </w:tcPr>
          <w:p w:rsidR="00F07E05" w:rsidRPr="00C73169" w:rsidRDefault="00F07E05" w:rsidP="008A253E">
            <w:pPr>
              <w:rPr>
                <w:b/>
                <w:bCs/>
                <w:color w:val="000000"/>
              </w:rPr>
            </w:pPr>
            <w:r w:rsidRPr="00C73169">
              <w:rPr>
                <w:b/>
                <w:bCs/>
                <w:color w:val="000000"/>
                <w:sz w:val="22"/>
                <w:szCs w:val="22"/>
              </w:rPr>
              <w:t>Итого пригород (стр.4*5*6)</w:t>
            </w:r>
          </w:p>
        </w:tc>
        <w:tc>
          <w:tcPr>
            <w:tcW w:w="1590" w:type="dxa"/>
            <w:tcBorders>
              <w:top w:val="nil"/>
              <w:left w:val="nil"/>
              <w:bottom w:val="single" w:sz="4" w:space="0" w:color="auto"/>
              <w:right w:val="single" w:sz="4" w:space="0" w:color="auto"/>
            </w:tcBorders>
            <w:shd w:val="clear" w:color="auto" w:fill="auto"/>
            <w:vAlign w:val="center"/>
            <w:hideMark/>
          </w:tcPr>
          <w:p w:rsidR="00F07E05" w:rsidRPr="00C73169" w:rsidRDefault="00F07E05" w:rsidP="008A253E">
            <w:pPr>
              <w:jc w:val="center"/>
              <w:rPr>
                <w:b/>
                <w:bCs/>
                <w:color w:val="000000"/>
              </w:rPr>
            </w:pPr>
            <w:r w:rsidRPr="00C73169">
              <w:rPr>
                <w:b/>
                <w:bCs/>
                <w:color w:val="000000"/>
                <w:sz w:val="22"/>
                <w:szCs w:val="22"/>
              </w:rPr>
              <w:t>тыс. руб.</w:t>
            </w:r>
          </w:p>
        </w:tc>
        <w:tc>
          <w:tcPr>
            <w:tcW w:w="1527" w:type="dxa"/>
            <w:tcBorders>
              <w:top w:val="nil"/>
              <w:left w:val="single" w:sz="4" w:space="0" w:color="auto"/>
              <w:bottom w:val="single" w:sz="4" w:space="0" w:color="auto"/>
              <w:right w:val="single" w:sz="4" w:space="0" w:color="auto"/>
            </w:tcBorders>
            <w:shd w:val="clear" w:color="auto" w:fill="auto"/>
            <w:noWrap/>
            <w:vAlign w:val="center"/>
            <w:hideMark/>
          </w:tcPr>
          <w:p w:rsidR="00F07E05" w:rsidRPr="00C73169" w:rsidRDefault="00F07E05" w:rsidP="008A253E">
            <w:pPr>
              <w:jc w:val="center"/>
              <w:rPr>
                <w:b/>
                <w:bCs/>
                <w:color w:val="000000" w:themeColor="text1"/>
                <w:lang w:val="en-US"/>
              </w:rPr>
            </w:pPr>
            <w:r w:rsidRPr="00C73169">
              <w:rPr>
                <w:b/>
                <w:bCs/>
                <w:color w:val="000000" w:themeColor="text1"/>
                <w:sz w:val="22"/>
                <w:szCs w:val="22"/>
                <w:lang w:val="en-US"/>
              </w:rPr>
              <w:t>14 52</w:t>
            </w:r>
            <w:r>
              <w:rPr>
                <w:b/>
                <w:bCs/>
                <w:color w:val="000000" w:themeColor="text1"/>
                <w:sz w:val="22"/>
                <w:szCs w:val="22"/>
              </w:rPr>
              <w:t>5</w:t>
            </w:r>
            <w:r w:rsidRPr="00C73169">
              <w:rPr>
                <w:b/>
                <w:bCs/>
                <w:color w:val="000000" w:themeColor="text1"/>
                <w:sz w:val="22"/>
                <w:szCs w:val="22"/>
                <w:lang w:val="en-US"/>
              </w:rPr>
              <w:t>,</w:t>
            </w:r>
            <w:r>
              <w:rPr>
                <w:b/>
                <w:bCs/>
                <w:color w:val="000000" w:themeColor="text1"/>
                <w:sz w:val="22"/>
                <w:szCs w:val="22"/>
              </w:rPr>
              <w:t>5</w:t>
            </w:r>
            <w:r w:rsidRPr="00C73169">
              <w:rPr>
                <w:b/>
                <w:bCs/>
                <w:color w:val="000000" w:themeColor="text1"/>
                <w:sz w:val="22"/>
                <w:szCs w:val="22"/>
                <w:lang w:val="en-US"/>
              </w:rPr>
              <w:t xml:space="preserve">  </w:t>
            </w:r>
          </w:p>
        </w:tc>
        <w:tc>
          <w:tcPr>
            <w:tcW w:w="1527" w:type="dxa"/>
            <w:tcBorders>
              <w:top w:val="nil"/>
              <w:left w:val="nil"/>
              <w:bottom w:val="single" w:sz="4" w:space="0" w:color="auto"/>
              <w:right w:val="single" w:sz="4" w:space="0" w:color="auto"/>
            </w:tcBorders>
            <w:shd w:val="clear" w:color="auto" w:fill="auto"/>
            <w:noWrap/>
            <w:vAlign w:val="center"/>
            <w:hideMark/>
          </w:tcPr>
          <w:p w:rsidR="00F07E05" w:rsidRPr="00C73169" w:rsidRDefault="00F07E05" w:rsidP="008A253E">
            <w:pPr>
              <w:jc w:val="center"/>
              <w:rPr>
                <w:b/>
                <w:bCs/>
                <w:color w:val="000000" w:themeColor="text1"/>
                <w:lang w:val="en-US"/>
              </w:rPr>
            </w:pPr>
            <w:r w:rsidRPr="00C73169">
              <w:rPr>
                <w:b/>
                <w:bCs/>
                <w:color w:val="000000" w:themeColor="text1"/>
                <w:sz w:val="22"/>
                <w:szCs w:val="22"/>
                <w:lang w:val="en-US"/>
              </w:rPr>
              <w:t>14</w:t>
            </w:r>
            <w:r>
              <w:rPr>
                <w:b/>
                <w:bCs/>
                <w:color w:val="000000" w:themeColor="text1"/>
                <w:sz w:val="22"/>
                <w:szCs w:val="22"/>
                <w:lang w:val="en-US"/>
              </w:rPr>
              <w:t> </w:t>
            </w:r>
            <w:r w:rsidRPr="00C73169">
              <w:rPr>
                <w:b/>
                <w:bCs/>
                <w:color w:val="000000" w:themeColor="text1"/>
                <w:sz w:val="22"/>
                <w:szCs w:val="22"/>
                <w:lang w:val="en-US"/>
              </w:rPr>
              <w:t>8</w:t>
            </w:r>
            <w:r>
              <w:rPr>
                <w:b/>
                <w:bCs/>
                <w:color w:val="000000" w:themeColor="text1"/>
                <w:sz w:val="22"/>
                <w:szCs w:val="22"/>
              </w:rPr>
              <w:t>54</w:t>
            </w:r>
            <w:r w:rsidRPr="00C73169">
              <w:rPr>
                <w:b/>
                <w:bCs/>
                <w:color w:val="000000" w:themeColor="text1"/>
                <w:sz w:val="22"/>
                <w:szCs w:val="22"/>
                <w:lang w:val="en-US"/>
              </w:rPr>
              <w:t>,</w:t>
            </w:r>
            <w:r>
              <w:rPr>
                <w:b/>
                <w:bCs/>
                <w:color w:val="000000" w:themeColor="text1"/>
                <w:sz w:val="22"/>
                <w:szCs w:val="22"/>
              </w:rPr>
              <w:t>5</w:t>
            </w:r>
            <w:r w:rsidRPr="00C73169">
              <w:rPr>
                <w:b/>
                <w:bCs/>
                <w:color w:val="000000" w:themeColor="text1"/>
                <w:sz w:val="22"/>
                <w:szCs w:val="22"/>
                <w:lang w:val="en-US"/>
              </w:rPr>
              <w:t xml:space="preserve">  </w:t>
            </w:r>
          </w:p>
        </w:tc>
        <w:tc>
          <w:tcPr>
            <w:tcW w:w="1527" w:type="dxa"/>
            <w:tcBorders>
              <w:top w:val="nil"/>
              <w:left w:val="nil"/>
              <w:bottom w:val="single" w:sz="4" w:space="0" w:color="auto"/>
              <w:right w:val="single" w:sz="4" w:space="0" w:color="auto"/>
            </w:tcBorders>
            <w:shd w:val="clear" w:color="auto" w:fill="auto"/>
            <w:noWrap/>
            <w:vAlign w:val="center"/>
          </w:tcPr>
          <w:p w:rsidR="00F07E05" w:rsidRPr="00C73169" w:rsidRDefault="00F07E05" w:rsidP="008A253E">
            <w:pPr>
              <w:jc w:val="center"/>
              <w:rPr>
                <w:b/>
                <w:bCs/>
                <w:color w:val="000000" w:themeColor="text1"/>
              </w:rPr>
            </w:pPr>
            <w:r w:rsidRPr="00C73169">
              <w:rPr>
                <w:b/>
                <w:bCs/>
                <w:color w:val="000000"/>
                <w:sz w:val="22"/>
                <w:szCs w:val="22"/>
              </w:rPr>
              <w:t>15 14</w:t>
            </w:r>
            <w:r>
              <w:rPr>
                <w:b/>
                <w:bCs/>
                <w:color w:val="000000"/>
                <w:sz w:val="22"/>
                <w:szCs w:val="22"/>
              </w:rPr>
              <w:t>4</w:t>
            </w:r>
            <w:r w:rsidRPr="00C73169">
              <w:rPr>
                <w:b/>
                <w:bCs/>
                <w:color w:val="000000"/>
                <w:sz w:val="22"/>
                <w:szCs w:val="22"/>
              </w:rPr>
              <w:t>,</w:t>
            </w:r>
            <w:r>
              <w:rPr>
                <w:b/>
                <w:bCs/>
                <w:color w:val="000000"/>
                <w:sz w:val="22"/>
                <w:szCs w:val="22"/>
              </w:rPr>
              <w:t>1</w:t>
            </w:r>
            <w:r w:rsidRPr="00C73169">
              <w:rPr>
                <w:b/>
                <w:bCs/>
                <w:color w:val="000000"/>
                <w:sz w:val="22"/>
                <w:szCs w:val="22"/>
              </w:rPr>
              <w:t xml:space="preserve">  </w:t>
            </w:r>
          </w:p>
        </w:tc>
      </w:tr>
      <w:tr w:rsidR="00F07E05" w:rsidRPr="00C73169" w:rsidTr="008A253E">
        <w:trPr>
          <w:trHeight w:val="304"/>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F07E05" w:rsidRPr="00C73169" w:rsidRDefault="00F07E05" w:rsidP="008A253E">
            <w:pPr>
              <w:rPr>
                <w:color w:val="000000"/>
              </w:rPr>
            </w:pPr>
            <w:r w:rsidRPr="00C73169">
              <w:rPr>
                <w:color w:val="000000"/>
                <w:sz w:val="22"/>
                <w:szCs w:val="22"/>
              </w:rPr>
              <w:t>8</w:t>
            </w:r>
          </w:p>
        </w:tc>
        <w:tc>
          <w:tcPr>
            <w:tcW w:w="3712" w:type="dxa"/>
            <w:tcBorders>
              <w:top w:val="nil"/>
              <w:left w:val="nil"/>
              <w:bottom w:val="single" w:sz="4" w:space="0" w:color="auto"/>
              <w:right w:val="single" w:sz="4" w:space="0" w:color="auto"/>
            </w:tcBorders>
            <w:shd w:val="clear" w:color="auto" w:fill="auto"/>
            <w:vAlign w:val="center"/>
            <w:hideMark/>
          </w:tcPr>
          <w:p w:rsidR="00F07E05" w:rsidRPr="00C73169" w:rsidRDefault="00F07E05" w:rsidP="008A253E">
            <w:pPr>
              <w:rPr>
                <w:color w:val="000000"/>
              </w:rPr>
            </w:pPr>
            <w:r w:rsidRPr="00C73169">
              <w:rPr>
                <w:color w:val="000000"/>
                <w:sz w:val="22"/>
                <w:szCs w:val="22"/>
              </w:rPr>
              <w:t>Комиссия компании оператора</w:t>
            </w:r>
          </w:p>
        </w:tc>
        <w:tc>
          <w:tcPr>
            <w:tcW w:w="1590" w:type="dxa"/>
            <w:tcBorders>
              <w:top w:val="nil"/>
              <w:left w:val="nil"/>
              <w:bottom w:val="single" w:sz="4" w:space="0" w:color="auto"/>
              <w:right w:val="single" w:sz="4" w:space="0" w:color="auto"/>
            </w:tcBorders>
            <w:shd w:val="clear" w:color="auto" w:fill="auto"/>
            <w:vAlign w:val="center"/>
            <w:hideMark/>
          </w:tcPr>
          <w:p w:rsidR="00F07E05" w:rsidRPr="00C73169" w:rsidRDefault="00F07E05" w:rsidP="008A253E">
            <w:pPr>
              <w:jc w:val="center"/>
              <w:rPr>
                <w:color w:val="000000"/>
              </w:rPr>
            </w:pPr>
            <w:r w:rsidRPr="00C73169">
              <w:rPr>
                <w:color w:val="000000"/>
                <w:sz w:val="22"/>
                <w:szCs w:val="22"/>
              </w:rPr>
              <w:t>%</w:t>
            </w:r>
          </w:p>
        </w:tc>
        <w:tc>
          <w:tcPr>
            <w:tcW w:w="1527" w:type="dxa"/>
            <w:tcBorders>
              <w:top w:val="nil"/>
              <w:left w:val="single" w:sz="4" w:space="0" w:color="auto"/>
              <w:bottom w:val="single" w:sz="4" w:space="0" w:color="auto"/>
              <w:right w:val="single" w:sz="4" w:space="0" w:color="auto"/>
            </w:tcBorders>
            <w:shd w:val="clear" w:color="auto" w:fill="auto"/>
            <w:noWrap/>
            <w:vAlign w:val="center"/>
            <w:hideMark/>
          </w:tcPr>
          <w:p w:rsidR="00F07E05" w:rsidRPr="00C73169" w:rsidRDefault="00F07E05" w:rsidP="008A253E">
            <w:pPr>
              <w:jc w:val="center"/>
              <w:rPr>
                <w:color w:val="000000" w:themeColor="text1"/>
                <w:lang w:val="en-US"/>
              </w:rPr>
            </w:pPr>
            <w:r w:rsidRPr="00C73169">
              <w:rPr>
                <w:color w:val="000000" w:themeColor="text1"/>
                <w:sz w:val="22"/>
                <w:szCs w:val="22"/>
                <w:lang w:val="en-US"/>
              </w:rPr>
              <w:t>6%</w:t>
            </w:r>
          </w:p>
        </w:tc>
        <w:tc>
          <w:tcPr>
            <w:tcW w:w="1527" w:type="dxa"/>
            <w:tcBorders>
              <w:top w:val="nil"/>
              <w:left w:val="nil"/>
              <w:bottom w:val="single" w:sz="4" w:space="0" w:color="auto"/>
              <w:right w:val="single" w:sz="4" w:space="0" w:color="auto"/>
            </w:tcBorders>
            <w:shd w:val="clear" w:color="auto" w:fill="auto"/>
            <w:noWrap/>
            <w:vAlign w:val="center"/>
            <w:hideMark/>
          </w:tcPr>
          <w:p w:rsidR="00F07E05" w:rsidRPr="00C73169" w:rsidRDefault="00F07E05" w:rsidP="008A253E">
            <w:pPr>
              <w:jc w:val="center"/>
              <w:rPr>
                <w:color w:val="000000" w:themeColor="text1"/>
                <w:lang w:val="en-US"/>
              </w:rPr>
            </w:pPr>
            <w:r w:rsidRPr="00C73169">
              <w:rPr>
                <w:color w:val="000000" w:themeColor="text1"/>
                <w:sz w:val="22"/>
                <w:szCs w:val="22"/>
                <w:lang w:val="en-US"/>
              </w:rPr>
              <w:t>6%</w:t>
            </w:r>
          </w:p>
        </w:tc>
        <w:tc>
          <w:tcPr>
            <w:tcW w:w="1527" w:type="dxa"/>
            <w:tcBorders>
              <w:top w:val="nil"/>
              <w:left w:val="nil"/>
              <w:bottom w:val="single" w:sz="4" w:space="0" w:color="auto"/>
              <w:right w:val="single" w:sz="4" w:space="0" w:color="auto"/>
            </w:tcBorders>
            <w:shd w:val="clear" w:color="auto" w:fill="auto"/>
            <w:noWrap/>
            <w:vAlign w:val="center"/>
          </w:tcPr>
          <w:p w:rsidR="00F07E05" w:rsidRPr="00C73169" w:rsidRDefault="00F07E05" w:rsidP="008A253E">
            <w:pPr>
              <w:jc w:val="center"/>
              <w:rPr>
                <w:color w:val="000000" w:themeColor="text1"/>
              </w:rPr>
            </w:pPr>
            <w:r w:rsidRPr="00C73169">
              <w:rPr>
                <w:color w:val="000000"/>
                <w:sz w:val="22"/>
                <w:szCs w:val="22"/>
              </w:rPr>
              <w:t>6%</w:t>
            </w:r>
          </w:p>
        </w:tc>
      </w:tr>
      <w:tr w:rsidR="00F07E05" w:rsidRPr="00C73169" w:rsidTr="008A253E">
        <w:trPr>
          <w:trHeight w:val="304"/>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F07E05" w:rsidRPr="00C73169" w:rsidRDefault="00F07E05" w:rsidP="008A253E">
            <w:pPr>
              <w:rPr>
                <w:color w:val="000000"/>
              </w:rPr>
            </w:pPr>
            <w:r w:rsidRPr="00C73169">
              <w:rPr>
                <w:color w:val="000000"/>
                <w:sz w:val="22"/>
                <w:szCs w:val="22"/>
              </w:rPr>
              <w:lastRenderedPageBreak/>
              <w:t>9</w:t>
            </w:r>
          </w:p>
        </w:tc>
        <w:tc>
          <w:tcPr>
            <w:tcW w:w="3712" w:type="dxa"/>
            <w:tcBorders>
              <w:top w:val="nil"/>
              <w:left w:val="nil"/>
              <w:bottom w:val="single" w:sz="4" w:space="0" w:color="auto"/>
              <w:right w:val="single" w:sz="4" w:space="0" w:color="auto"/>
            </w:tcBorders>
            <w:shd w:val="clear" w:color="auto" w:fill="auto"/>
            <w:vAlign w:val="center"/>
            <w:hideMark/>
          </w:tcPr>
          <w:p w:rsidR="00F07E05" w:rsidRPr="00C73169" w:rsidRDefault="00F07E05" w:rsidP="008A253E">
            <w:pPr>
              <w:rPr>
                <w:color w:val="000000"/>
              </w:rPr>
            </w:pPr>
            <w:r w:rsidRPr="00C73169">
              <w:rPr>
                <w:color w:val="000000"/>
                <w:sz w:val="22"/>
                <w:szCs w:val="22"/>
              </w:rPr>
              <w:t>Сумма комиссии оператора (стр. 3 +7 )*8)</w:t>
            </w:r>
          </w:p>
        </w:tc>
        <w:tc>
          <w:tcPr>
            <w:tcW w:w="1590" w:type="dxa"/>
            <w:tcBorders>
              <w:top w:val="nil"/>
              <w:left w:val="nil"/>
              <w:bottom w:val="single" w:sz="4" w:space="0" w:color="auto"/>
              <w:right w:val="single" w:sz="4" w:space="0" w:color="auto"/>
            </w:tcBorders>
            <w:shd w:val="clear" w:color="auto" w:fill="auto"/>
            <w:vAlign w:val="center"/>
            <w:hideMark/>
          </w:tcPr>
          <w:p w:rsidR="00F07E05" w:rsidRPr="00C73169" w:rsidRDefault="00F07E05" w:rsidP="008A253E">
            <w:pPr>
              <w:jc w:val="center"/>
              <w:rPr>
                <w:b/>
                <w:bCs/>
                <w:color w:val="000000"/>
              </w:rPr>
            </w:pPr>
            <w:r w:rsidRPr="00C73169">
              <w:rPr>
                <w:b/>
                <w:bCs/>
                <w:color w:val="000000"/>
                <w:sz w:val="22"/>
                <w:szCs w:val="22"/>
              </w:rPr>
              <w:t>тыс. руб.</w:t>
            </w:r>
          </w:p>
        </w:tc>
        <w:tc>
          <w:tcPr>
            <w:tcW w:w="1527" w:type="dxa"/>
            <w:tcBorders>
              <w:top w:val="nil"/>
              <w:left w:val="single" w:sz="4" w:space="0" w:color="auto"/>
              <w:bottom w:val="single" w:sz="4" w:space="0" w:color="auto"/>
              <w:right w:val="single" w:sz="4" w:space="0" w:color="auto"/>
            </w:tcBorders>
            <w:shd w:val="clear" w:color="auto" w:fill="auto"/>
            <w:noWrap/>
            <w:vAlign w:val="center"/>
            <w:hideMark/>
          </w:tcPr>
          <w:p w:rsidR="00F07E05" w:rsidRPr="00D669BB" w:rsidRDefault="00F07E05" w:rsidP="008A253E">
            <w:pPr>
              <w:jc w:val="center"/>
              <w:rPr>
                <w:lang w:val="en-US"/>
              </w:rPr>
            </w:pPr>
            <w:r>
              <w:rPr>
                <w:sz w:val="22"/>
                <w:szCs w:val="22"/>
              </w:rPr>
              <w:t>4 345,5</w:t>
            </w:r>
            <w:r w:rsidRPr="00D669BB">
              <w:rPr>
                <w:sz w:val="22"/>
                <w:szCs w:val="22"/>
                <w:lang w:val="en-US"/>
              </w:rPr>
              <w:t xml:space="preserve">  </w:t>
            </w:r>
          </w:p>
        </w:tc>
        <w:tc>
          <w:tcPr>
            <w:tcW w:w="1527" w:type="dxa"/>
            <w:tcBorders>
              <w:top w:val="nil"/>
              <w:left w:val="nil"/>
              <w:bottom w:val="single" w:sz="4" w:space="0" w:color="auto"/>
              <w:right w:val="single" w:sz="4" w:space="0" w:color="auto"/>
            </w:tcBorders>
            <w:shd w:val="clear" w:color="auto" w:fill="auto"/>
            <w:noWrap/>
            <w:vAlign w:val="center"/>
            <w:hideMark/>
          </w:tcPr>
          <w:p w:rsidR="00F07E05" w:rsidRPr="00D669BB" w:rsidRDefault="00F07E05" w:rsidP="008A253E">
            <w:pPr>
              <w:jc w:val="center"/>
              <w:rPr>
                <w:lang w:val="en-US"/>
              </w:rPr>
            </w:pPr>
            <w:r>
              <w:rPr>
                <w:sz w:val="22"/>
                <w:szCs w:val="22"/>
              </w:rPr>
              <w:t>4 434,8</w:t>
            </w:r>
            <w:r w:rsidRPr="00D669BB">
              <w:rPr>
                <w:sz w:val="22"/>
                <w:szCs w:val="22"/>
                <w:lang w:val="en-US"/>
              </w:rPr>
              <w:t xml:space="preserve">  </w:t>
            </w:r>
          </w:p>
        </w:tc>
        <w:tc>
          <w:tcPr>
            <w:tcW w:w="1527" w:type="dxa"/>
            <w:tcBorders>
              <w:top w:val="nil"/>
              <w:left w:val="nil"/>
              <w:bottom w:val="single" w:sz="4" w:space="0" w:color="auto"/>
              <w:right w:val="single" w:sz="4" w:space="0" w:color="auto"/>
            </w:tcBorders>
            <w:shd w:val="clear" w:color="auto" w:fill="auto"/>
            <w:noWrap/>
            <w:vAlign w:val="center"/>
          </w:tcPr>
          <w:p w:rsidR="00F07E05" w:rsidRPr="00D669BB" w:rsidRDefault="00F07E05" w:rsidP="008A253E">
            <w:pPr>
              <w:jc w:val="center"/>
            </w:pPr>
            <w:r>
              <w:rPr>
                <w:sz w:val="22"/>
                <w:szCs w:val="22"/>
              </w:rPr>
              <w:t>4 553,2</w:t>
            </w:r>
            <w:r w:rsidRPr="00D669BB">
              <w:rPr>
                <w:sz w:val="22"/>
                <w:szCs w:val="22"/>
              </w:rPr>
              <w:t xml:space="preserve"> </w:t>
            </w:r>
          </w:p>
        </w:tc>
      </w:tr>
      <w:tr w:rsidR="00F07E05" w:rsidRPr="00C73169" w:rsidTr="008A253E">
        <w:trPr>
          <w:trHeight w:val="304"/>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F07E05" w:rsidRPr="00C73169" w:rsidRDefault="00F07E05" w:rsidP="008A253E">
            <w:pPr>
              <w:rPr>
                <w:b/>
                <w:bCs/>
                <w:color w:val="000000"/>
              </w:rPr>
            </w:pPr>
            <w:r w:rsidRPr="00C73169">
              <w:rPr>
                <w:b/>
                <w:bCs/>
                <w:color w:val="000000"/>
                <w:sz w:val="22"/>
                <w:szCs w:val="22"/>
              </w:rPr>
              <w:t>10</w:t>
            </w:r>
          </w:p>
        </w:tc>
        <w:tc>
          <w:tcPr>
            <w:tcW w:w="3712" w:type="dxa"/>
            <w:tcBorders>
              <w:top w:val="nil"/>
              <w:left w:val="nil"/>
              <w:bottom w:val="single" w:sz="4" w:space="0" w:color="auto"/>
              <w:right w:val="single" w:sz="4" w:space="0" w:color="auto"/>
            </w:tcBorders>
            <w:shd w:val="clear" w:color="auto" w:fill="auto"/>
            <w:vAlign w:val="center"/>
            <w:hideMark/>
          </w:tcPr>
          <w:p w:rsidR="00F07E05" w:rsidRPr="00C73169" w:rsidRDefault="00F07E05" w:rsidP="008A253E">
            <w:pPr>
              <w:rPr>
                <w:b/>
                <w:bCs/>
                <w:color w:val="000000"/>
              </w:rPr>
            </w:pPr>
            <w:r w:rsidRPr="00C73169">
              <w:rPr>
                <w:b/>
                <w:bCs/>
                <w:color w:val="000000"/>
                <w:sz w:val="22"/>
                <w:szCs w:val="22"/>
              </w:rPr>
              <w:t>ИТОГО ПРОГНОЗ (стр.3+7-9)</w:t>
            </w:r>
          </w:p>
        </w:tc>
        <w:tc>
          <w:tcPr>
            <w:tcW w:w="1590" w:type="dxa"/>
            <w:tcBorders>
              <w:top w:val="nil"/>
              <w:left w:val="nil"/>
              <w:bottom w:val="single" w:sz="4" w:space="0" w:color="auto"/>
              <w:right w:val="single" w:sz="4" w:space="0" w:color="auto"/>
            </w:tcBorders>
            <w:shd w:val="clear" w:color="auto" w:fill="auto"/>
            <w:vAlign w:val="center"/>
            <w:hideMark/>
          </w:tcPr>
          <w:p w:rsidR="00F07E05" w:rsidRPr="00C73169" w:rsidRDefault="00F07E05" w:rsidP="008A253E">
            <w:pPr>
              <w:jc w:val="center"/>
              <w:rPr>
                <w:b/>
                <w:bCs/>
                <w:color w:val="000000"/>
              </w:rPr>
            </w:pPr>
            <w:r w:rsidRPr="00C73169">
              <w:rPr>
                <w:b/>
                <w:bCs/>
                <w:color w:val="000000"/>
                <w:sz w:val="22"/>
                <w:szCs w:val="22"/>
              </w:rPr>
              <w:t>тыс. руб.</w:t>
            </w:r>
          </w:p>
        </w:tc>
        <w:tc>
          <w:tcPr>
            <w:tcW w:w="1527" w:type="dxa"/>
            <w:tcBorders>
              <w:top w:val="nil"/>
              <w:left w:val="single" w:sz="4" w:space="0" w:color="auto"/>
              <w:bottom w:val="single" w:sz="4" w:space="0" w:color="auto"/>
              <w:right w:val="single" w:sz="4" w:space="0" w:color="auto"/>
            </w:tcBorders>
            <w:shd w:val="clear" w:color="auto" w:fill="auto"/>
            <w:noWrap/>
            <w:vAlign w:val="center"/>
            <w:hideMark/>
          </w:tcPr>
          <w:p w:rsidR="00F07E05" w:rsidRPr="00A14918" w:rsidRDefault="00F07E05" w:rsidP="008A253E">
            <w:pPr>
              <w:jc w:val="center"/>
              <w:rPr>
                <w:b/>
                <w:bCs/>
                <w:lang w:val="en-US"/>
              </w:rPr>
            </w:pPr>
            <w:r>
              <w:rPr>
                <w:b/>
                <w:bCs/>
                <w:sz w:val="22"/>
                <w:szCs w:val="22"/>
              </w:rPr>
              <w:t>68 078,8</w:t>
            </w:r>
            <w:r w:rsidRPr="00A14918">
              <w:rPr>
                <w:b/>
                <w:bCs/>
                <w:sz w:val="22"/>
                <w:szCs w:val="22"/>
                <w:lang w:val="en-US"/>
              </w:rPr>
              <w:t xml:space="preserve">  </w:t>
            </w:r>
          </w:p>
        </w:tc>
        <w:tc>
          <w:tcPr>
            <w:tcW w:w="1527" w:type="dxa"/>
            <w:tcBorders>
              <w:top w:val="nil"/>
              <w:left w:val="nil"/>
              <w:bottom w:val="single" w:sz="4" w:space="0" w:color="auto"/>
              <w:right w:val="single" w:sz="4" w:space="0" w:color="auto"/>
            </w:tcBorders>
            <w:shd w:val="clear" w:color="auto" w:fill="auto"/>
            <w:noWrap/>
            <w:vAlign w:val="center"/>
            <w:hideMark/>
          </w:tcPr>
          <w:p w:rsidR="00F07E05" w:rsidRPr="00A14918" w:rsidRDefault="00F07E05" w:rsidP="008A253E">
            <w:pPr>
              <w:jc w:val="center"/>
              <w:rPr>
                <w:b/>
                <w:bCs/>
                <w:lang w:val="en-US"/>
              </w:rPr>
            </w:pPr>
            <w:r w:rsidRPr="00A14918">
              <w:rPr>
                <w:b/>
                <w:bCs/>
                <w:sz w:val="22"/>
                <w:szCs w:val="22"/>
                <w:lang w:val="en-US"/>
              </w:rPr>
              <w:t>69</w:t>
            </w:r>
            <w:r>
              <w:rPr>
                <w:b/>
                <w:bCs/>
                <w:sz w:val="22"/>
                <w:szCs w:val="22"/>
                <w:lang w:val="en-US"/>
              </w:rPr>
              <w:t> </w:t>
            </w:r>
            <w:r>
              <w:rPr>
                <w:b/>
                <w:bCs/>
                <w:sz w:val="22"/>
                <w:szCs w:val="22"/>
              </w:rPr>
              <w:t>477,1</w:t>
            </w:r>
            <w:r w:rsidRPr="00A14918">
              <w:rPr>
                <w:b/>
                <w:bCs/>
                <w:sz w:val="22"/>
                <w:szCs w:val="22"/>
                <w:lang w:val="en-US"/>
              </w:rPr>
              <w:t xml:space="preserve">  </w:t>
            </w:r>
          </w:p>
        </w:tc>
        <w:tc>
          <w:tcPr>
            <w:tcW w:w="1527" w:type="dxa"/>
            <w:tcBorders>
              <w:top w:val="nil"/>
              <w:left w:val="nil"/>
              <w:bottom w:val="single" w:sz="4" w:space="0" w:color="auto"/>
              <w:right w:val="single" w:sz="4" w:space="0" w:color="auto"/>
            </w:tcBorders>
            <w:shd w:val="clear" w:color="auto" w:fill="auto"/>
            <w:noWrap/>
            <w:vAlign w:val="center"/>
          </w:tcPr>
          <w:p w:rsidR="00F07E05" w:rsidRPr="00A14918" w:rsidRDefault="00F07E05" w:rsidP="008A253E">
            <w:pPr>
              <w:jc w:val="center"/>
              <w:rPr>
                <w:b/>
                <w:bCs/>
              </w:rPr>
            </w:pPr>
            <w:r>
              <w:rPr>
                <w:b/>
                <w:bCs/>
                <w:sz w:val="22"/>
                <w:szCs w:val="22"/>
              </w:rPr>
              <w:t>71 333,1</w:t>
            </w:r>
            <w:r w:rsidRPr="00A14918">
              <w:rPr>
                <w:b/>
                <w:bCs/>
                <w:sz w:val="22"/>
                <w:szCs w:val="22"/>
              </w:rPr>
              <w:t xml:space="preserve">  </w:t>
            </w:r>
          </w:p>
        </w:tc>
      </w:tr>
      <w:tr w:rsidR="00F07E05" w:rsidRPr="00C73169" w:rsidTr="008A253E">
        <w:trPr>
          <w:trHeight w:val="594"/>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F07E05" w:rsidRPr="00C73169" w:rsidRDefault="00F07E05" w:rsidP="008A253E">
            <w:pPr>
              <w:rPr>
                <w:b/>
                <w:bCs/>
                <w:color w:val="000000"/>
              </w:rPr>
            </w:pPr>
            <w:r w:rsidRPr="00C73169">
              <w:rPr>
                <w:b/>
                <w:bCs/>
                <w:color w:val="000000"/>
                <w:sz w:val="22"/>
                <w:szCs w:val="22"/>
              </w:rPr>
              <w:t>11</w:t>
            </w:r>
          </w:p>
        </w:tc>
        <w:tc>
          <w:tcPr>
            <w:tcW w:w="3712" w:type="dxa"/>
            <w:tcBorders>
              <w:top w:val="nil"/>
              <w:left w:val="nil"/>
              <w:bottom w:val="single" w:sz="4" w:space="0" w:color="auto"/>
              <w:right w:val="single" w:sz="4" w:space="0" w:color="auto"/>
            </w:tcBorders>
            <w:shd w:val="clear" w:color="auto" w:fill="auto"/>
            <w:vAlign w:val="center"/>
            <w:hideMark/>
          </w:tcPr>
          <w:p w:rsidR="00F07E05" w:rsidRPr="00C73169" w:rsidRDefault="00F07E05" w:rsidP="008A253E">
            <w:pPr>
              <w:rPr>
                <w:b/>
                <w:bCs/>
                <w:color w:val="000000"/>
              </w:rPr>
            </w:pPr>
            <w:r w:rsidRPr="00C73169">
              <w:rPr>
                <w:b/>
                <w:bCs/>
                <w:color w:val="000000"/>
                <w:sz w:val="22"/>
                <w:szCs w:val="22"/>
              </w:rPr>
              <w:t>Доходы от представления льготного проезда</w:t>
            </w:r>
          </w:p>
        </w:tc>
        <w:tc>
          <w:tcPr>
            <w:tcW w:w="1590" w:type="dxa"/>
            <w:tcBorders>
              <w:top w:val="nil"/>
              <w:left w:val="nil"/>
              <w:bottom w:val="single" w:sz="4" w:space="0" w:color="auto"/>
              <w:right w:val="single" w:sz="4" w:space="0" w:color="auto"/>
            </w:tcBorders>
            <w:shd w:val="clear" w:color="auto" w:fill="auto"/>
            <w:vAlign w:val="center"/>
            <w:hideMark/>
          </w:tcPr>
          <w:p w:rsidR="00F07E05" w:rsidRPr="00C73169" w:rsidRDefault="00F07E05" w:rsidP="008A253E">
            <w:pPr>
              <w:jc w:val="center"/>
              <w:rPr>
                <w:b/>
                <w:bCs/>
                <w:color w:val="000000"/>
              </w:rPr>
            </w:pPr>
            <w:r w:rsidRPr="00C73169">
              <w:rPr>
                <w:b/>
                <w:bCs/>
                <w:color w:val="000000"/>
                <w:sz w:val="22"/>
                <w:szCs w:val="22"/>
              </w:rPr>
              <w:t>тыс. руб.</w:t>
            </w:r>
          </w:p>
        </w:tc>
        <w:tc>
          <w:tcPr>
            <w:tcW w:w="1527" w:type="dxa"/>
            <w:tcBorders>
              <w:top w:val="nil"/>
              <w:left w:val="single" w:sz="4" w:space="0" w:color="auto"/>
              <w:bottom w:val="single" w:sz="4" w:space="0" w:color="auto"/>
              <w:right w:val="single" w:sz="4" w:space="0" w:color="auto"/>
            </w:tcBorders>
            <w:shd w:val="clear" w:color="auto" w:fill="auto"/>
            <w:noWrap/>
            <w:vAlign w:val="center"/>
            <w:hideMark/>
          </w:tcPr>
          <w:p w:rsidR="00F07E05" w:rsidRPr="00A14918" w:rsidRDefault="00F07E05" w:rsidP="008A253E">
            <w:pPr>
              <w:jc w:val="center"/>
              <w:rPr>
                <w:b/>
                <w:bCs/>
                <w:lang w:val="en-US"/>
              </w:rPr>
            </w:pPr>
            <w:r>
              <w:rPr>
                <w:b/>
                <w:bCs/>
                <w:sz w:val="22"/>
                <w:szCs w:val="22"/>
              </w:rPr>
              <w:t>5 382,0</w:t>
            </w:r>
            <w:r w:rsidRPr="00A14918">
              <w:rPr>
                <w:b/>
                <w:bCs/>
                <w:sz w:val="22"/>
                <w:szCs w:val="22"/>
                <w:lang w:val="en-US"/>
              </w:rPr>
              <w:t xml:space="preserve">  </w:t>
            </w:r>
          </w:p>
        </w:tc>
        <w:tc>
          <w:tcPr>
            <w:tcW w:w="1527" w:type="dxa"/>
            <w:tcBorders>
              <w:top w:val="nil"/>
              <w:left w:val="nil"/>
              <w:bottom w:val="single" w:sz="4" w:space="0" w:color="auto"/>
              <w:right w:val="single" w:sz="4" w:space="0" w:color="auto"/>
            </w:tcBorders>
            <w:shd w:val="clear" w:color="auto" w:fill="auto"/>
            <w:noWrap/>
            <w:vAlign w:val="center"/>
            <w:hideMark/>
          </w:tcPr>
          <w:p w:rsidR="00F07E05" w:rsidRPr="00A14918" w:rsidRDefault="00F07E05" w:rsidP="008A253E">
            <w:pPr>
              <w:jc w:val="center"/>
              <w:rPr>
                <w:b/>
                <w:bCs/>
                <w:lang w:val="en-US"/>
              </w:rPr>
            </w:pPr>
            <w:r>
              <w:rPr>
                <w:b/>
                <w:bCs/>
                <w:sz w:val="22"/>
                <w:szCs w:val="22"/>
              </w:rPr>
              <w:t>5 382,0</w:t>
            </w:r>
            <w:r w:rsidRPr="00A14918">
              <w:rPr>
                <w:b/>
                <w:bCs/>
                <w:sz w:val="22"/>
                <w:szCs w:val="22"/>
                <w:lang w:val="en-US"/>
              </w:rPr>
              <w:t xml:space="preserve">  </w:t>
            </w:r>
          </w:p>
        </w:tc>
        <w:tc>
          <w:tcPr>
            <w:tcW w:w="1527" w:type="dxa"/>
            <w:tcBorders>
              <w:top w:val="nil"/>
              <w:left w:val="nil"/>
              <w:bottom w:val="single" w:sz="4" w:space="0" w:color="auto"/>
              <w:right w:val="single" w:sz="4" w:space="0" w:color="auto"/>
            </w:tcBorders>
            <w:shd w:val="clear" w:color="auto" w:fill="auto"/>
            <w:noWrap/>
            <w:vAlign w:val="center"/>
          </w:tcPr>
          <w:p w:rsidR="00F07E05" w:rsidRPr="00A14918" w:rsidRDefault="00F07E05" w:rsidP="008A253E">
            <w:pPr>
              <w:jc w:val="center"/>
              <w:rPr>
                <w:b/>
                <w:bCs/>
              </w:rPr>
            </w:pPr>
            <w:r>
              <w:rPr>
                <w:b/>
                <w:bCs/>
                <w:sz w:val="22"/>
                <w:szCs w:val="22"/>
              </w:rPr>
              <w:t>5 382,0</w:t>
            </w:r>
            <w:r w:rsidRPr="00A14918">
              <w:rPr>
                <w:b/>
                <w:bCs/>
                <w:sz w:val="22"/>
                <w:szCs w:val="22"/>
              </w:rPr>
              <w:t xml:space="preserve">  </w:t>
            </w:r>
          </w:p>
        </w:tc>
      </w:tr>
      <w:tr w:rsidR="00F07E05" w:rsidRPr="00C73169" w:rsidTr="008A253E">
        <w:trPr>
          <w:trHeight w:val="594"/>
        </w:trPr>
        <w:tc>
          <w:tcPr>
            <w:tcW w:w="583" w:type="dxa"/>
            <w:tcBorders>
              <w:top w:val="nil"/>
              <w:left w:val="single" w:sz="4" w:space="0" w:color="auto"/>
              <w:bottom w:val="single" w:sz="4" w:space="0" w:color="auto"/>
              <w:right w:val="single" w:sz="4" w:space="0" w:color="auto"/>
            </w:tcBorders>
            <w:shd w:val="clear" w:color="auto" w:fill="auto"/>
            <w:noWrap/>
            <w:vAlign w:val="center"/>
          </w:tcPr>
          <w:p w:rsidR="00F07E05" w:rsidRPr="00C73169" w:rsidRDefault="00F07E05" w:rsidP="008A253E">
            <w:pPr>
              <w:rPr>
                <w:b/>
                <w:bCs/>
                <w:color w:val="000000"/>
              </w:rPr>
            </w:pPr>
            <w:r w:rsidRPr="009C62AA">
              <w:rPr>
                <w:color w:val="000000"/>
                <w:sz w:val="22"/>
                <w:szCs w:val="22"/>
                <w:lang w:val="en-US"/>
              </w:rPr>
              <w:t>12</w:t>
            </w:r>
          </w:p>
        </w:tc>
        <w:tc>
          <w:tcPr>
            <w:tcW w:w="3712" w:type="dxa"/>
            <w:tcBorders>
              <w:top w:val="nil"/>
              <w:left w:val="nil"/>
              <w:bottom w:val="single" w:sz="4" w:space="0" w:color="auto"/>
              <w:right w:val="single" w:sz="4" w:space="0" w:color="auto"/>
            </w:tcBorders>
            <w:shd w:val="clear" w:color="auto" w:fill="auto"/>
            <w:vAlign w:val="center"/>
          </w:tcPr>
          <w:p w:rsidR="00F07E05" w:rsidRPr="00C73169" w:rsidRDefault="00F07E05" w:rsidP="008A253E">
            <w:pPr>
              <w:rPr>
                <w:b/>
                <w:bCs/>
                <w:color w:val="000000"/>
              </w:rPr>
            </w:pPr>
            <w:r>
              <w:rPr>
                <w:color w:val="000000"/>
                <w:sz w:val="22"/>
                <w:szCs w:val="22"/>
              </w:rPr>
              <w:t>К</w:t>
            </w:r>
            <w:r w:rsidRPr="00C209CD">
              <w:rPr>
                <w:color w:val="000000"/>
                <w:sz w:val="22"/>
                <w:szCs w:val="22"/>
              </w:rPr>
              <w:t>оэффициент корректировки снижения пассажиропотока из-за профилактических мер в связи с новой коронавирусной инфекцией (COVID-19) и безбилетных пассажиров</w:t>
            </w:r>
          </w:p>
        </w:tc>
        <w:tc>
          <w:tcPr>
            <w:tcW w:w="1590" w:type="dxa"/>
            <w:tcBorders>
              <w:top w:val="nil"/>
              <w:left w:val="nil"/>
              <w:bottom w:val="single" w:sz="4" w:space="0" w:color="auto"/>
              <w:right w:val="single" w:sz="4" w:space="0" w:color="auto"/>
            </w:tcBorders>
            <w:shd w:val="clear" w:color="auto" w:fill="auto"/>
            <w:vAlign w:val="center"/>
          </w:tcPr>
          <w:p w:rsidR="00F07E05" w:rsidRPr="00C73169" w:rsidRDefault="00F07E05" w:rsidP="008A253E">
            <w:pPr>
              <w:jc w:val="center"/>
              <w:rPr>
                <w:b/>
                <w:bCs/>
                <w:color w:val="000000"/>
              </w:rPr>
            </w:pPr>
            <w:r>
              <w:rPr>
                <w:color w:val="000000"/>
                <w:sz w:val="22"/>
                <w:szCs w:val="22"/>
              </w:rPr>
              <w:t>Коэфф.</w:t>
            </w:r>
          </w:p>
        </w:tc>
        <w:tc>
          <w:tcPr>
            <w:tcW w:w="1527" w:type="dxa"/>
            <w:tcBorders>
              <w:top w:val="nil"/>
              <w:left w:val="single" w:sz="4" w:space="0" w:color="auto"/>
              <w:bottom w:val="single" w:sz="4" w:space="0" w:color="auto"/>
              <w:right w:val="single" w:sz="4" w:space="0" w:color="auto"/>
            </w:tcBorders>
            <w:shd w:val="clear" w:color="auto" w:fill="auto"/>
            <w:noWrap/>
            <w:vAlign w:val="center"/>
          </w:tcPr>
          <w:p w:rsidR="00F07E05" w:rsidRPr="00A14918" w:rsidRDefault="00F07E05" w:rsidP="008A253E">
            <w:pPr>
              <w:jc w:val="center"/>
              <w:rPr>
                <w:b/>
                <w:bCs/>
                <w:lang w:val="en-US"/>
              </w:rPr>
            </w:pPr>
            <w:r w:rsidRPr="00A14918">
              <w:t>1,0</w:t>
            </w:r>
          </w:p>
        </w:tc>
        <w:tc>
          <w:tcPr>
            <w:tcW w:w="1527" w:type="dxa"/>
            <w:tcBorders>
              <w:top w:val="nil"/>
              <w:left w:val="nil"/>
              <w:bottom w:val="single" w:sz="4" w:space="0" w:color="auto"/>
              <w:right w:val="single" w:sz="4" w:space="0" w:color="auto"/>
            </w:tcBorders>
            <w:shd w:val="clear" w:color="auto" w:fill="auto"/>
            <w:noWrap/>
            <w:vAlign w:val="center"/>
          </w:tcPr>
          <w:p w:rsidR="00F07E05" w:rsidRPr="00A14918" w:rsidRDefault="00F07E05" w:rsidP="008A253E">
            <w:pPr>
              <w:jc w:val="center"/>
              <w:rPr>
                <w:b/>
                <w:bCs/>
                <w:lang w:val="en-US"/>
              </w:rPr>
            </w:pPr>
            <w:r w:rsidRPr="00A14918">
              <w:t>1,0</w:t>
            </w:r>
          </w:p>
        </w:tc>
        <w:tc>
          <w:tcPr>
            <w:tcW w:w="1527" w:type="dxa"/>
            <w:tcBorders>
              <w:top w:val="nil"/>
              <w:left w:val="nil"/>
              <w:bottom w:val="single" w:sz="4" w:space="0" w:color="auto"/>
              <w:right w:val="single" w:sz="4" w:space="0" w:color="auto"/>
            </w:tcBorders>
            <w:shd w:val="clear" w:color="auto" w:fill="auto"/>
            <w:noWrap/>
            <w:vAlign w:val="center"/>
          </w:tcPr>
          <w:p w:rsidR="00F07E05" w:rsidRPr="00A14918" w:rsidRDefault="00F07E05" w:rsidP="008A253E">
            <w:pPr>
              <w:jc w:val="center"/>
              <w:rPr>
                <w:b/>
                <w:bCs/>
              </w:rPr>
            </w:pPr>
            <w:r w:rsidRPr="00A14918">
              <w:t>1,0</w:t>
            </w:r>
          </w:p>
        </w:tc>
      </w:tr>
      <w:tr w:rsidR="00F07E05" w:rsidTr="008A253E">
        <w:trPr>
          <w:trHeight w:val="304"/>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F07E05" w:rsidRPr="00C73169" w:rsidRDefault="00F07E05" w:rsidP="008A253E">
            <w:pPr>
              <w:rPr>
                <w:rFonts w:ascii="Calibri" w:hAnsi="Calibri" w:cs="Calibri"/>
                <w:color w:val="000000"/>
              </w:rPr>
            </w:pPr>
            <w:r w:rsidRPr="00C73169">
              <w:rPr>
                <w:rFonts w:ascii="Calibri" w:hAnsi="Calibri" w:cs="Calibri"/>
                <w:color w:val="000000"/>
                <w:sz w:val="22"/>
                <w:szCs w:val="22"/>
              </w:rPr>
              <w:t>1</w:t>
            </w:r>
            <w:r>
              <w:rPr>
                <w:rFonts w:ascii="Calibri" w:hAnsi="Calibri" w:cs="Calibri"/>
                <w:color w:val="000000"/>
                <w:sz w:val="22"/>
                <w:szCs w:val="22"/>
              </w:rPr>
              <w:t>3</w:t>
            </w:r>
          </w:p>
        </w:tc>
        <w:tc>
          <w:tcPr>
            <w:tcW w:w="3712" w:type="dxa"/>
            <w:tcBorders>
              <w:top w:val="nil"/>
              <w:left w:val="nil"/>
              <w:bottom w:val="single" w:sz="4" w:space="0" w:color="auto"/>
              <w:right w:val="single" w:sz="4" w:space="0" w:color="auto"/>
            </w:tcBorders>
            <w:shd w:val="clear" w:color="auto" w:fill="auto"/>
            <w:vAlign w:val="center"/>
            <w:hideMark/>
          </w:tcPr>
          <w:p w:rsidR="00F07E05" w:rsidRPr="00C73169" w:rsidRDefault="00F07E05" w:rsidP="008A253E">
            <w:pPr>
              <w:rPr>
                <w:b/>
                <w:bCs/>
                <w:color w:val="000000"/>
              </w:rPr>
            </w:pPr>
            <w:r w:rsidRPr="00C73169">
              <w:rPr>
                <w:b/>
                <w:bCs/>
                <w:color w:val="000000"/>
                <w:sz w:val="22"/>
                <w:szCs w:val="22"/>
              </w:rPr>
              <w:t>ВСЕГО ПРОГНОЗ (10+11)</w:t>
            </w:r>
            <w:r>
              <w:rPr>
                <w:b/>
                <w:bCs/>
                <w:color w:val="000000"/>
                <w:sz w:val="22"/>
                <w:szCs w:val="22"/>
              </w:rPr>
              <w:t>*12</w:t>
            </w:r>
          </w:p>
        </w:tc>
        <w:tc>
          <w:tcPr>
            <w:tcW w:w="1590" w:type="dxa"/>
            <w:tcBorders>
              <w:top w:val="nil"/>
              <w:left w:val="nil"/>
              <w:bottom w:val="single" w:sz="4" w:space="0" w:color="auto"/>
              <w:right w:val="single" w:sz="4" w:space="0" w:color="auto"/>
            </w:tcBorders>
            <w:shd w:val="clear" w:color="auto" w:fill="auto"/>
            <w:vAlign w:val="center"/>
            <w:hideMark/>
          </w:tcPr>
          <w:p w:rsidR="00F07E05" w:rsidRPr="00C73169" w:rsidRDefault="00F07E05" w:rsidP="008A253E">
            <w:pPr>
              <w:jc w:val="center"/>
              <w:rPr>
                <w:b/>
                <w:bCs/>
                <w:color w:val="000000"/>
              </w:rPr>
            </w:pPr>
            <w:r w:rsidRPr="00C73169">
              <w:rPr>
                <w:b/>
                <w:bCs/>
                <w:color w:val="000000"/>
                <w:sz w:val="22"/>
                <w:szCs w:val="22"/>
              </w:rPr>
              <w:t>тыс. руб.</w:t>
            </w:r>
          </w:p>
        </w:tc>
        <w:tc>
          <w:tcPr>
            <w:tcW w:w="1527" w:type="dxa"/>
            <w:tcBorders>
              <w:top w:val="nil"/>
              <w:left w:val="single" w:sz="4" w:space="0" w:color="auto"/>
              <w:bottom w:val="single" w:sz="4" w:space="0" w:color="auto"/>
              <w:right w:val="single" w:sz="4" w:space="0" w:color="auto"/>
            </w:tcBorders>
            <w:shd w:val="clear" w:color="auto" w:fill="auto"/>
            <w:noWrap/>
            <w:vAlign w:val="center"/>
            <w:hideMark/>
          </w:tcPr>
          <w:p w:rsidR="00F07E05" w:rsidRPr="00A14918" w:rsidRDefault="00F07E05" w:rsidP="008A253E">
            <w:pPr>
              <w:jc w:val="center"/>
              <w:rPr>
                <w:b/>
                <w:bCs/>
                <w:lang w:val="en-US"/>
              </w:rPr>
            </w:pPr>
            <w:r>
              <w:rPr>
                <w:b/>
                <w:bCs/>
                <w:sz w:val="22"/>
                <w:szCs w:val="22"/>
              </w:rPr>
              <w:t>73 460,8</w:t>
            </w:r>
            <w:r w:rsidRPr="00A14918">
              <w:rPr>
                <w:b/>
                <w:bCs/>
                <w:sz w:val="22"/>
                <w:szCs w:val="22"/>
                <w:lang w:val="en-US"/>
              </w:rPr>
              <w:t xml:space="preserve">  </w:t>
            </w:r>
          </w:p>
        </w:tc>
        <w:tc>
          <w:tcPr>
            <w:tcW w:w="1527" w:type="dxa"/>
            <w:tcBorders>
              <w:top w:val="nil"/>
              <w:left w:val="nil"/>
              <w:bottom w:val="single" w:sz="4" w:space="0" w:color="auto"/>
              <w:right w:val="single" w:sz="4" w:space="0" w:color="auto"/>
            </w:tcBorders>
            <w:shd w:val="clear" w:color="auto" w:fill="auto"/>
            <w:noWrap/>
            <w:vAlign w:val="center"/>
            <w:hideMark/>
          </w:tcPr>
          <w:p w:rsidR="00F07E05" w:rsidRPr="00A14918" w:rsidRDefault="00F07E05" w:rsidP="008A253E">
            <w:pPr>
              <w:jc w:val="center"/>
              <w:rPr>
                <w:b/>
                <w:bCs/>
                <w:lang w:val="en-US"/>
              </w:rPr>
            </w:pPr>
            <w:r>
              <w:rPr>
                <w:b/>
                <w:bCs/>
                <w:sz w:val="22"/>
                <w:szCs w:val="22"/>
              </w:rPr>
              <w:t>74 859,1</w:t>
            </w:r>
            <w:r w:rsidRPr="00A14918">
              <w:rPr>
                <w:b/>
                <w:bCs/>
                <w:sz w:val="22"/>
                <w:szCs w:val="22"/>
                <w:lang w:val="en-US"/>
              </w:rPr>
              <w:t xml:space="preserve">  </w:t>
            </w:r>
          </w:p>
        </w:tc>
        <w:tc>
          <w:tcPr>
            <w:tcW w:w="1527" w:type="dxa"/>
            <w:tcBorders>
              <w:top w:val="nil"/>
              <w:left w:val="nil"/>
              <w:bottom w:val="single" w:sz="4" w:space="0" w:color="auto"/>
              <w:right w:val="single" w:sz="4" w:space="0" w:color="auto"/>
            </w:tcBorders>
            <w:shd w:val="clear" w:color="auto" w:fill="auto"/>
            <w:noWrap/>
            <w:vAlign w:val="center"/>
          </w:tcPr>
          <w:p w:rsidR="00F07E05" w:rsidRPr="00A14918" w:rsidRDefault="00F07E05" w:rsidP="008A253E">
            <w:pPr>
              <w:jc w:val="center"/>
              <w:rPr>
                <w:b/>
                <w:bCs/>
              </w:rPr>
            </w:pPr>
            <w:r>
              <w:rPr>
                <w:b/>
                <w:bCs/>
                <w:sz w:val="22"/>
                <w:szCs w:val="22"/>
              </w:rPr>
              <w:t>76 715,1</w:t>
            </w:r>
            <w:r w:rsidRPr="00A14918">
              <w:rPr>
                <w:b/>
                <w:bCs/>
                <w:sz w:val="22"/>
                <w:szCs w:val="22"/>
              </w:rPr>
              <w:t xml:space="preserve">  </w:t>
            </w:r>
          </w:p>
        </w:tc>
      </w:tr>
    </w:tbl>
    <w:p w:rsidR="00F07E05" w:rsidRDefault="00F07E05" w:rsidP="00F07E05"/>
    <w:p w:rsidR="00F07E05" w:rsidRPr="000C1702" w:rsidRDefault="00F07E05" w:rsidP="00F07E05">
      <w:pPr>
        <w:rPr>
          <w:b/>
          <w:sz w:val="28"/>
          <w:szCs w:val="28"/>
        </w:rPr>
      </w:pPr>
      <w:r w:rsidRPr="000C1702">
        <w:rPr>
          <w:b/>
          <w:sz w:val="28"/>
          <w:szCs w:val="28"/>
        </w:rPr>
        <w:t>Итого по всем маршрутам:</w:t>
      </w:r>
    </w:p>
    <w:p w:rsidR="00F07E05" w:rsidRPr="000C1702" w:rsidRDefault="00F07E05" w:rsidP="00F07E05">
      <w:pPr>
        <w:pStyle w:val="af4"/>
        <w:numPr>
          <w:ilvl w:val="0"/>
          <w:numId w:val="20"/>
        </w:numPr>
        <w:spacing w:after="200" w:line="276" w:lineRule="auto"/>
        <w:jc w:val="both"/>
        <w:rPr>
          <w:b/>
          <w:color w:val="000000" w:themeColor="text1"/>
          <w:sz w:val="28"/>
          <w:szCs w:val="28"/>
        </w:rPr>
      </w:pPr>
      <w:r w:rsidRPr="000C1702">
        <w:rPr>
          <w:b/>
          <w:color w:val="000000" w:themeColor="text1"/>
          <w:sz w:val="28"/>
          <w:szCs w:val="28"/>
        </w:rPr>
        <w:t xml:space="preserve">на 2022 г.: </w:t>
      </w:r>
      <w:r>
        <w:rPr>
          <w:b/>
          <w:color w:val="000000" w:themeColor="text1"/>
          <w:sz w:val="28"/>
          <w:szCs w:val="28"/>
        </w:rPr>
        <w:t>2 196 477,8</w:t>
      </w:r>
      <w:r w:rsidRPr="000C1702">
        <w:rPr>
          <w:b/>
          <w:color w:val="000000" w:themeColor="text1"/>
          <w:sz w:val="28"/>
          <w:szCs w:val="28"/>
        </w:rPr>
        <w:t xml:space="preserve"> тыс. руб.;</w:t>
      </w:r>
    </w:p>
    <w:p w:rsidR="00F07E05" w:rsidRPr="000C1702" w:rsidRDefault="00F07E05" w:rsidP="00F07E05">
      <w:pPr>
        <w:pStyle w:val="af4"/>
        <w:numPr>
          <w:ilvl w:val="0"/>
          <w:numId w:val="20"/>
        </w:numPr>
        <w:spacing w:after="200" w:line="276" w:lineRule="auto"/>
        <w:jc w:val="both"/>
        <w:rPr>
          <w:b/>
          <w:color w:val="000000" w:themeColor="text1"/>
          <w:sz w:val="28"/>
          <w:szCs w:val="28"/>
        </w:rPr>
      </w:pPr>
      <w:r w:rsidRPr="000C1702">
        <w:rPr>
          <w:b/>
          <w:color w:val="000000" w:themeColor="text1"/>
          <w:sz w:val="28"/>
          <w:szCs w:val="28"/>
        </w:rPr>
        <w:t xml:space="preserve">на 2023 г.: </w:t>
      </w:r>
      <w:r>
        <w:rPr>
          <w:b/>
          <w:color w:val="000000" w:themeColor="text1"/>
          <w:sz w:val="28"/>
          <w:szCs w:val="28"/>
        </w:rPr>
        <w:t>2 040 857,6</w:t>
      </w:r>
      <w:r w:rsidRPr="000C1702">
        <w:rPr>
          <w:b/>
          <w:color w:val="000000" w:themeColor="text1"/>
          <w:sz w:val="28"/>
          <w:szCs w:val="28"/>
        </w:rPr>
        <w:t xml:space="preserve"> тыс. руб.;</w:t>
      </w:r>
    </w:p>
    <w:p w:rsidR="00F07E05" w:rsidRDefault="00F07E05" w:rsidP="00F07E05">
      <w:pPr>
        <w:pStyle w:val="af4"/>
        <w:numPr>
          <w:ilvl w:val="0"/>
          <w:numId w:val="20"/>
        </w:numPr>
        <w:spacing w:after="200" w:line="276" w:lineRule="auto"/>
        <w:jc w:val="both"/>
      </w:pPr>
      <w:r w:rsidRPr="000C1702">
        <w:rPr>
          <w:b/>
          <w:color w:val="000000" w:themeColor="text1"/>
          <w:sz w:val="28"/>
          <w:szCs w:val="28"/>
        </w:rPr>
        <w:t xml:space="preserve">на 2024 г.: </w:t>
      </w:r>
      <w:r>
        <w:rPr>
          <w:b/>
          <w:color w:val="000000" w:themeColor="text1"/>
          <w:sz w:val="28"/>
          <w:szCs w:val="28"/>
        </w:rPr>
        <w:t>2 639 596,1</w:t>
      </w:r>
      <w:r w:rsidRPr="000C1702">
        <w:rPr>
          <w:b/>
          <w:color w:val="000000" w:themeColor="text1"/>
          <w:sz w:val="28"/>
          <w:szCs w:val="28"/>
        </w:rPr>
        <w:t xml:space="preserve"> тыс. руб.</w:t>
      </w:r>
    </w:p>
    <w:p w:rsidR="00F07E05" w:rsidRDefault="00F07E05" w:rsidP="00F07E05">
      <w:pPr>
        <w:spacing w:line="276" w:lineRule="auto"/>
        <w:jc w:val="center"/>
        <w:rPr>
          <w:b/>
          <w:color w:val="FF0000"/>
          <w:sz w:val="28"/>
          <w:szCs w:val="28"/>
        </w:rPr>
      </w:pPr>
    </w:p>
    <w:p w:rsidR="00F07E05" w:rsidRDefault="00F07E05" w:rsidP="00F07E05">
      <w:pPr>
        <w:spacing w:line="276" w:lineRule="auto"/>
        <w:jc w:val="center"/>
        <w:rPr>
          <w:b/>
          <w:color w:val="FF0000"/>
          <w:sz w:val="28"/>
          <w:szCs w:val="28"/>
        </w:rPr>
      </w:pPr>
    </w:p>
    <w:p w:rsidR="00F07E05" w:rsidRPr="00FE6BC6" w:rsidRDefault="00F07E05" w:rsidP="00F07E05">
      <w:pPr>
        <w:spacing w:line="276" w:lineRule="auto"/>
        <w:jc w:val="center"/>
        <w:rPr>
          <w:b/>
          <w:sz w:val="28"/>
          <w:szCs w:val="28"/>
        </w:rPr>
      </w:pPr>
      <w:r w:rsidRPr="00FE6BC6">
        <w:rPr>
          <w:b/>
          <w:sz w:val="28"/>
          <w:szCs w:val="28"/>
        </w:rPr>
        <w:t>Министерство промышленности и торговли Тверской области</w:t>
      </w:r>
    </w:p>
    <w:p w:rsidR="00F07E05" w:rsidRPr="00C93A58" w:rsidRDefault="00F07E05" w:rsidP="00F07E05">
      <w:pPr>
        <w:pStyle w:val="a7"/>
        <w:ind w:left="0" w:firstLine="360"/>
        <w:jc w:val="right"/>
        <w:rPr>
          <w:b/>
          <w:sz w:val="28"/>
          <w:szCs w:val="28"/>
        </w:rPr>
      </w:pPr>
      <w:r w:rsidRPr="00C93A58">
        <w:rPr>
          <w:b/>
          <w:sz w:val="28"/>
          <w:szCs w:val="28"/>
        </w:rPr>
        <w:t>тыс. руб.</w:t>
      </w:r>
    </w:p>
    <w:tbl>
      <w:tblPr>
        <w:tblW w:w="9468" w:type="dxa"/>
        <w:tblLayout w:type="fixed"/>
        <w:tblLook w:val="0000" w:firstRow="0" w:lastRow="0" w:firstColumn="0" w:lastColumn="0" w:noHBand="0" w:noVBand="0"/>
      </w:tblPr>
      <w:tblGrid>
        <w:gridCol w:w="2520"/>
        <w:gridCol w:w="2520"/>
        <w:gridCol w:w="1368"/>
        <w:gridCol w:w="1440"/>
        <w:gridCol w:w="1620"/>
      </w:tblGrid>
      <w:tr w:rsidR="00F07E05" w:rsidRPr="00C93A58" w:rsidTr="008A253E">
        <w:trPr>
          <w:trHeight w:val="510"/>
        </w:trPr>
        <w:tc>
          <w:tcPr>
            <w:tcW w:w="2520" w:type="dxa"/>
            <w:tcBorders>
              <w:top w:val="single" w:sz="4" w:space="0" w:color="auto"/>
              <w:left w:val="single" w:sz="4" w:space="0" w:color="auto"/>
              <w:bottom w:val="single" w:sz="4" w:space="0" w:color="auto"/>
              <w:right w:val="single" w:sz="4" w:space="0" w:color="auto"/>
            </w:tcBorders>
            <w:noWrap/>
          </w:tcPr>
          <w:p w:rsidR="00F07E05" w:rsidRPr="00C93A58" w:rsidRDefault="00F07E05" w:rsidP="008A253E">
            <w:pPr>
              <w:rPr>
                <w:b/>
                <w:sz w:val="20"/>
                <w:szCs w:val="20"/>
              </w:rPr>
            </w:pPr>
            <w:r w:rsidRPr="00C93A58">
              <w:rPr>
                <w:b/>
                <w:sz w:val="20"/>
                <w:szCs w:val="20"/>
              </w:rPr>
              <w:t>Код БК</w:t>
            </w:r>
          </w:p>
        </w:tc>
        <w:tc>
          <w:tcPr>
            <w:tcW w:w="2520" w:type="dxa"/>
            <w:tcBorders>
              <w:top w:val="single" w:sz="4" w:space="0" w:color="auto"/>
              <w:left w:val="single" w:sz="4" w:space="0" w:color="auto"/>
              <w:bottom w:val="single" w:sz="4" w:space="0" w:color="auto"/>
              <w:right w:val="single" w:sz="4" w:space="0" w:color="auto"/>
            </w:tcBorders>
            <w:noWrap/>
          </w:tcPr>
          <w:p w:rsidR="00F07E05" w:rsidRPr="00C93A58" w:rsidRDefault="00F07E05" w:rsidP="008A253E">
            <w:pPr>
              <w:rPr>
                <w:b/>
                <w:sz w:val="20"/>
                <w:szCs w:val="20"/>
              </w:rPr>
            </w:pPr>
            <w:r w:rsidRPr="00C93A58">
              <w:rPr>
                <w:b/>
                <w:sz w:val="20"/>
                <w:szCs w:val="20"/>
              </w:rPr>
              <w:t>Наименование</w:t>
            </w:r>
          </w:p>
        </w:tc>
        <w:tc>
          <w:tcPr>
            <w:tcW w:w="1368" w:type="dxa"/>
            <w:tcBorders>
              <w:top w:val="single" w:sz="4" w:space="0" w:color="auto"/>
              <w:left w:val="single" w:sz="4" w:space="0" w:color="auto"/>
              <w:bottom w:val="single" w:sz="4" w:space="0" w:color="auto"/>
              <w:right w:val="single" w:sz="4" w:space="0" w:color="auto"/>
            </w:tcBorders>
          </w:tcPr>
          <w:p w:rsidR="00F07E05" w:rsidRPr="00C93A58" w:rsidRDefault="00F07E05" w:rsidP="008A253E">
            <w:pPr>
              <w:jc w:val="center"/>
              <w:rPr>
                <w:b/>
                <w:sz w:val="20"/>
                <w:szCs w:val="20"/>
              </w:rPr>
            </w:pPr>
            <w:r w:rsidRPr="00C93A58">
              <w:rPr>
                <w:b/>
                <w:sz w:val="20"/>
                <w:szCs w:val="20"/>
              </w:rPr>
              <w:t>Прогноз на</w:t>
            </w:r>
          </w:p>
          <w:p w:rsidR="00F07E05" w:rsidRPr="00C93A58" w:rsidRDefault="00F07E05" w:rsidP="008A253E">
            <w:pPr>
              <w:jc w:val="center"/>
              <w:rPr>
                <w:b/>
                <w:sz w:val="20"/>
                <w:szCs w:val="20"/>
              </w:rPr>
            </w:pPr>
            <w:r w:rsidRPr="00C93A58">
              <w:rPr>
                <w:b/>
                <w:sz w:val="20"/>
                <w:szCs w:val="20"/>
              </w:rPr>
              <w:t>20</w:t>
            </w:r>
            <w:r>
              <w:rPr>
                <w:b/>
                <w:sz w:val="20"/>
                <w:szCs w:val="20"/>
              </w:rPr>
              <w:t>22</w:t>
            </w:r>
            <w:r w:rsidRPr="00C93A58">
              <w:rPr>
                <w:b/>
                <w:sz w:val="20"/>
                <w:szCs w:val="20"/>
              </w:rPr>
              <w:t xml:space="preserve"> год </w:t>
            </w:r>
          </w:p>
          <w:p w:rsidR="00F07E05" w:rsidRPr="00C93A58" w:rsidRDefault="00F07E05" w:rsidP="008A253E">
            <w:pPr>
              <w:jc w:val="center"/>
              <w:rPr>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F07E05" w:rsidRPr="00C93A58" w:rsidRDefault="00F07E05" w:rsidP="008A253E">
            <w:pPr>
              <w:jc w:val="center"/>
              <w:rPr>
                <w:b/>
                <w:sz w:val="20"/>
                <w:szCs w:val="20"/>
              </w:rPr>
            </w:pPr>
            <w:r w:rsidRPr="00C93A58">
              <w:rPr>
                <w:b/>
                <w:sz w:val="20"/>
                <w:szCs w:val="20"/>
              </w:rPr>
              <w:t>Прогноз на</w:t>
            </w:r>
          </w:p>
          <w:p w:rsidR="00F07E05" w:rsidRPr="00C93A58" w:rsidRDefault="00F07E05" w:rsidP="008A253E">
            <w:pPr>
              <w:jc w:val="center"/>
              <w:rPr>
                <w:b/>
                <w:sz w:val="20"/>
                <w:szCs w:val="20"/>
              </w:rPr>
            </w:pPr>
            <w:r w:rsidRPr="00C93A58">
              <w:rPr>
                <w:b/>
                <w:sz w:val="20"/>
                <w:szCs w:val="20"/>
              </w:rPr>
              <w:t>20</w:t>
            </w:r>
            <w:r>
              <w:rPr>
                <w:b/>
                <w:sz w:val="20"/>
                <w:szCs w:val="20"/>
              </w:rPr>
              <w:t>23</w:t>
            </w:r>
            <w:r w:rsidRPr="00C93A58">
              <w:rPr>
                <w:b/>
                <w:sz w:val="20"/>
                <w:szCs w:val="20"/>
              </w:rPr>
              <w:t xml:space="preserve"> год</w:t>
            </w:r>
          </w:p>
          <w:p w:rsidR="00F07E05" w:rsidRPr="00C93A58" w:rsidRDefault="00F07E05" w:rsidP="008A253E">
            <w:pPr>
              <w:jc w:val="center"/>
              <w:rPr>
                <w:b/>
                <w:sz w:val="20"/>
                <w:szCs w:val="20"/>
              </w:rPr>
            </w:pPr>
          </w:p>
        </w:tc>
        <w:tc>
          <w:tcPr>
            <w:tcW w:w="1620" w:type="dxa"/>
            <w:tcBorders>
              <w:top w:val="single" w:sz="4" w:space="0" w:color="auto"/>
              <w:left w:val="single" w:sz="4" w:space="0" w:color="auto"/>
              <w:bottom w:val="single" w:sz="4" w:space="0" w:color="auto"/>
              <w:right w:val="single" w:sz="4" w:space="0" w:color="auto"/>
            </w:tcBorders>
          </w:tcPr>
          <w:p w:rsidR="00F07E05" w:rsidRPr="00C93A58" w:rsidRDefault="00F07E05" w:rsidP="008A253E">
            <w:pPr>
              <w:jc w:val="center"/>
              <w:rPr>
                <w:b/>
                <w:sz w:val="20"/>
                <w:szCs w:val="20"/>
              </w:rPr>
            </w:pPr>
            <w:r w:rsidRPr="00C93A58">
              <w:rPr>
                <w:b/>
                <w:sz w:val="20"/>
                <w:szCs w:val="20"/>
              </w:rPr>
              <w:t>Прогноз на</w:t>
            </w:r>
          </w:p>
          <w:p w:rsidR="00F07E05" w:rsidRPr="00C93A58" w:rsidRDefault="00F07E05" w:rsidP="008A253E">
            <w:pPr>
              <w:jc w:val="center"/>
              <w:rPr>
                <w:b/>
                <w:sz w:val="20"/>
                <w:szCs w:val="20"/>
              </w:rPr>
            </w:pPr>
            <w:r w:rsidRPr="00C93A58">
              <w:rPr>
                <w:b/>
                <w:sz w:val="20"/>
                <w:szCs w:val="20"/>
              </w:rPr>
              <w:t>202</w:t>
            </w:r>
            <w:r>
              <w:rPr>
                <w:b/>
                <w:sz w:val="20"/>
                <w:szCs w:val="20"/>
              </w:rPr>
              <w:t xml:space="preserve">4 </w:t>
            </w:r>
            <w:r w:rsidRPr="00C93A58">
              <w:rPr>
                <w:b/>
                <w:sz w:val="20"/>
                <w:szCs w:val="20"/>
              </w:rPr>
              <w:t>год</w:t>
            </w:r>
          </w:p>
          <w:p w:rsidR="00F07E05" w:rsidRPr="00C93A58" w:rsidRDefault="00F07E05" w:rsidP="008A253E">
            <w:pPr>
              <w:jc w:val="center"/>
              <w:rPr>
                <w:b/>
                <w:sz w:val="20"/>
                <w:szCs w:val="20"/>
              </w:rPr>
            </w:pPr>
          </w:p>
          <w:p w:rsidR="00F07E05" w:rsidRPr="00C93A58" w:rsidRDefault="00F07E05" w:rsidP="008A253E">
            <w:pPr>
              <w:jc w:val="center"/>
              <w:rPr>
                <w:b/>
                <w:sz w:val="20"/>
                <w:szCs w:val="20"/>
              </w:rPr>
            </w:pPr>
          </w:p>
        </w:tc>
      </w:tr>
      <w:tr w:rsidR="00F07E05" w:rsidRPr="00C93A58" w:rsidTr="008A253E">
        <w:trPr>
          <w:trHeight w:val="1275"/>
        </w:trPr>
        <w:tc>
          <w:tcPr>
            <w:tcW w:w="2520" w:type="dxa"/>
            <w:tcBorders>
              <w:top w:val="single" w:sz="4" w:space="0" w:color="auto"/>
              <w:left w:val="single" w:sz="4" w:space="0" w:color="auto"/>
              <w:bottom w:val="single" w:sz="4" w:space="0" w:color="auto"/>
              <w:right w:val="single" w:sz="4" w:space="0" w:color="auto"/>
            </w:tcBorders>
            <w:noWrap/>
          </w:tcPr>
          <w:p w:rsidR="00F07E05" w:rsidRPr="00C93A58" w:rsidRDefault="00F07E05" w:rsidP="008A253E">
            <w:pPr>
              <w:jc w:val="center"/>
              <w:rPr>
                <w:b/>
                <w:sz w:val="16"/>
                <w:szCs w:val="16"/>
              </w:rPr>
            </w:pPr>
          </w:p>
          <w:p w:rsidR="00F07E05" w:rsidRPr="00C93A58" w:rsidRDefault="00F07E05" w:rsidP="008A253E">
            <w:pPr>
              <w:jc w:val="center"/>
              <w:rPr>
                <w:b/>
                <w:sz w:val="16"/>
                <w:szCs w:val="16"/>
              </w:rPr>
            </w:pPr>
          </w:p>
          <w:p w:rsidR="00F07E05" w:rsidRPr="00C93A58" w:rsidRDefault="00F07E05" w:rsidP="008A253E">
            <w:pPr>
              <w:jc w:val="center"/>
              <w:rPr>
                <w:b/>
                <w:sz w:val="16"/>
                <w:szCs w:val="16"/>
              </w:rPr>
            </w:pPr>
            <w:r w:rsidRPr="00C93A58">
              <w:rPr>
                <w:b/>
                <w:sz w:val="16"/>
                <w:szCs w:val="16"/>
              </w:rPr>
              <w:t>000</w:t>
            </w:r>
            <w:r w:rsidRPr="00C93A58">
              <w:rPr>
                <w:b/>
                <w:sz w:val="16"/>
                <w:szCs w:val="16"/>
                <w:lang w:val="en-US"/>
              </w:rPr>
              <w:t xml:space="preserve"> 1 13 0</w:t>
            </w:r>
            <w:r w:rsidRPr="00C93A58">
              <w:rPr>
                <w:b/>
                <w:sz w:val="16"/>
                <w:szCs w:val="16"/>
              </w:rPr>
              <w:t>2990</w:t>
            </w:r>
            <w:r w:rsidRPr="00C93A58">
              <w:rPr>
                <w:b/>
                <w:sz w:val="16"/>
                <w:szCs w:val="16"/>
                <w:lang w:val="en-US"/>
              </w:rPr>
              <w:t xml:space="preserve"> 0</w:t>
            </w:r>
            <w:r w:rsidRPr="00C93A58">
              <w:rPr>
                <w:b/>
                <w:sz w:val="16"/>
                <w:szCs w:val="16"/>
              </w:rPr>
              <w:t>0</w:t>
            </w:r>
            <w:r w:rsidRPr="00C93A58">
              <w:rPr>
                <w:b/>
                <w:sz w:val="16"/>
                <w:szCs w:val="16"/>
                <w:lang w:val="en-US"/>
              </w:rPr>
              <w:t xml:space="preserve"> 0</w:t>
            </w:r>
            <w:r w:rsidRPr="00C93A58">
              <w:rPr>
                <w:b/>
                <w:sz w:val="16"/>
                <w:szCs w:val="16"/>
              </w:rPr>
              <w:t>000 130</w:t>
            </w:r>
          </w:p>
        </w:tc>
        <w:tc>
          <w:tcPr>
            <w:tcW w:w="2520" w:type="dxa"/>
            <w:tcBorders>
              <w:top w:val="single" w:sz="4" w:space="0" w:color="auto"/>
              <w:left w:val="single" w:sz="4" w:space="0" w:color="auto"/>
              <w:bottom w:val="single" w:sz="4" w:space="0" w:color="auto"/>
              <w:right w:val="single" w:sz="4" w:space="0" w:color="auto"/>
            </w:tcBorders>
          </w:tcPr>
          <w:p w:rsidR="00F07E05" w:rsidRPr="00C93A58" w:rsidRDefault="00F07E05" w:rsidP="008A253E">
            <w:pPr>
              <w:rPr>
                <w:sz w:val="20"/>
                <w:szCs w:val="20"/>
              </w:rPr>
            </w:pPr>
          </w:p>
          <w:p w:rsidR="00F07E05" w:rsidRPr="00C93A58" w:rsidRDefault="00F07E05" w:rsidP="008A253E">
            <w:pPr>
              <w:rPr>
                <w:sz w:val="20"/>
                <w:szCs w:val="20"/>
              </w:rPr>
            </w:pPr>
            <w:r w:rsidRPr="00C93A58">
              <w:rPr>
                <w:sz w:val="20"/>
                <w:szCs w:val="20"/>
              </w:rPr>
              <w:t xml:space="preserve">Прочие доходы от компенсации затрат государства </w:t>
            </w:r>
          </w:p>
        </w:tc>
        <w:tc>
          <w:tcPr>
            <w:tcW w:w="1368" w:type="dxa"/>
            <w:tcBorders>
              <w:top w:val="single" w:sz="4" w:space="0" w:color="auto"/>
              <w:left w:val="single" w:sz="4" w:space="0" w:color="auto"/>
              <w:bottom w:val="single" w:sz="4" w:space="0" w:color="auto"/>
              <w:right w:val="single" w:sz="4" w:space="0" w:color="auto"/>
            </w:tcBorders>
            <w:noWrap/>
          </w:tcPr>
          <w:p w:rsidR="00F07E05" w:rsidRDefault="00F07E05" w:rsidP="008A253E">
            <w:pPr>
              <w:ind w:hanging="108"/>
              <w:jc w:val="center"/>
              <w:rPr>
                <w:sz w:val="20"/>
                <w:szCs w:val="20"/>
              </w:rPr>
            </w:pPr>
          </w:p>
          <w:p w:rsidR="00F07E05" w:rsidRDefault="00F07E05" w:rsidP="008A253E">
            <w:pPr>
              <w:ind w:hanging="108"/>
              <w:jc w:val="center"/>
              <w:rPr>
                <w:sz w:val="20"/>
                <w:szCs w:val="20"/>
              </w:rPr>
            </w:pPr>
          </w:p>
          <w:p w:rsidR="00F07E05" w:rsidRPr="00C93A58" w:rsidRDefault="00F07E05" w:rsidP="008A253E">
            <w:pPr>
              <w:ind w:hanging="108"/>
              <w:jc w:val="center"/>
              <w:rPr>
                <w:sz w:val="20"/>
                <w:szCs w:val="20"/>
              </w:rPr>
            </w:pPr>
            <w:r>
              <w:rPr>
                <w:sz w:val="20"/>
                <w:szCs w:val="20"/>
              </w:rPr>
              <w:t>17,1</w:t>
            </w:r>
          </w:p>
        </w:tc>
        <w:tc>
          <w:tcPr>
            <w:tcW w:w="1440" w:type="dxa"/>
            <w:tcBorders>
              <w:top w:val="single" w:sz="4" w:space="0" w:color="auto"/>
              <w:left w:val="single" w:sz="4" w:space="0" w:color="auto"/>
              <w:bottom w:val="single" w:sz="4" w:space="0" w:color="auto"/>
              <w:right w:val="single" w:sz="4" w:space="0" w:color="auto"/>
            </w:tcBorders>
            <w:noWrap/>
          </w:tcPr>
          <w:p w:rsidR="00F07E05" w:rsidRDefault="00F07E05" w:rsidP="008A253E">
            <w:pPr>
              <w:ind w:left="-136" w:right="-108" w:hanging="28"/>
              <w:jc w:val="center"/>
              <w:rPr>
                <w:sz w:val="20"/>
                <w:szCs w:val="20"/>
              </w:rPr>
            </w:pPr>
          </w:p>
          <w:p w:rsidR="00F07E05" w:rsidRDefault="00F07E05" w:rsidP="008A253E">
            <w:pPr>
              <w:ind w:left="-136" w:right="-108" w:hanging="28"/>
              <w:jc w:val="center"/>
              <w:rPr>
                <w:sz w:val="20"/>
                <w:szCs w:val="20"/>
              </w:rPr>
            </w:pPr>
          </w:p>
          <w:p w:rsidR="00F07E05" w:rsidRPr="00C93A58" w:rsidRDefault="00F07E05" w:rsidP="008A253E">
            <w:pPr>
              <w:ind w:left="-136" w:right="-108" w:hanging="28"/>
              <w:jc w:val="center"/>
              <w:rPr>
                <w:sz w:val="20"/>
                <w:szCs w:val="20"/>
              </w:rPr>
            </w:pPr>
            <w:r>
              <w:rPr>
                <w:sz w:val="20"/>
                <w:szCs w:val="20"/>
              </w:rPr>
              <w:t>17,1</w:t>
            </w:r>
          </w:p>
        </w:tc>
        <w:tc>
          <w:tcPr>
            <w:tcW w:w="1620" w:type="dxa"/>
            <w:tcBorders>
              <w:top w:val="single" w:sz="4" w:space="0" w:color="auto"/>
              <w:left w:val="single" w:sz="4" w:space="0" w:color="auto"/>
              <w:bottom w:val="single" w:sz="4" w:space="0" w:color="auto"/>
              <w:right w:val="single" w:sz="4" w:space="0" w:color="auto"/>
            </w:tcBorders>
            <w:noWrap/>
          </w:tcPr>
          <w:p w:rsidR="00F07E05" w:rsidRDefault="00F07E05" w:rsidP="008A253E">
            <w:pPr>
              <w:ind w:left="-108" w:right="-3" w:hanging="108"/>
              <w:jc w:val="center"/>
              <w:rPr>
                <w:sz w:val="20"/>
                <w:szCs w:val="20"/>
              </w:rPr>
            </w:pPr>
          </w:p>
          <w:p w:rsidR="00F07E05" w:rsidRDefault="00F07E05" w:rsidP="008A253E">
            <w:pPr>
              <w:ind w:left="-108" w:right="-3" w:hanging="108"/>
              <w:jc w:val="center"/>
              <w:rPr>
                <w:sz w:val="20"/>
                <w:szCs w:val="20"/>
              </w:rPr>
            </w:pPr>
          </w:p>
          <w:p w:rsidR="00F07E05" w:rsidRPr="00C93A58" w:rsidRDefault="00F07E05" w:rsidP="008A253E">
            <w:pPr>
              <w:ind w:left="-108" w:right="-3" w:hanging="108"/>
              <w:jc w:val="center"/>
              <w:rPr>
                <w:sz w:val="20"/>
                <w:szCs w:val="20"/>
              </w:rPr>
            </w:pPr>
            <w:r>
              <w:rPr>
                <w:sz w:val="20"/>
                <w:szCs w:val="20"/>
              </w:rPr>
              <w:t>17,1</w:t>
            </w:r>
          </w:p>
        </w:tc>
      </w:tr>
    </w:tbl>
    <w:p w:rsidR="00F07E05" w:rsidRPr="00C93A58" w:rsidRDefault="00F07E05" w:rsidP="00F07E05">
      <w:pPr>
        <w:ind w:firstLine="720"/>
        <w:jc w:val="both"/>
        <w:rPr>
          <w:b/>
          <w:sz w:val="28"/>
          <w:szCs w:val="28"/>
        </w:rPr>
      </w:pPr>
    </w:p>
    <w:p w:rsidR="00F07E05" w:rsidRDefault="00F07E05" w:rsidP="00F07E05">
      <w:pPr>
        <w:pStyle w:val="ConsPlusNormal"/>
        <w:jc w:val="both"/>
        <w:rPr>
          <w:rFonts w:ascii="Times New Roman" w:hAnsi="Times New Roman" w:cs="Times New Roman"/>
          <w:sz w:val="28"/>
          <w:szCs w:val="28"/>
        </w:rPr>
      </w:pPr>
      <w:r w:rsidRPr="00C93A58">
        <w:rPr>
          <w:rFonts w:ascii="Times New Roman" w:hAnsi="Times New Roman" w:cs="Times New Roman"/>
          <w:sz w:val="28"/>
          <w:szCs w:val="28"/>
        </w:rPr>
        <w:t xml:space="preserve">В соответствии с Методикой прогнозирования утвержденной приказом Министерства промышленности и информационных технологий Тверской области от </w:t>
      </w:r>
      <w:r>
        <w:rPr>
          <w:rFonts w:ascii="Times New Roman" w:hAnsi="Times New Roman" w:cs="Times New Roman"/>
          <w:sz w:val="28"/>
          <w:szCs w:val="28"/>
        </w:rPr>
        <w:t>07.10.2019</w:t>
      </w:r>
      <w:r w:rsidRPr="00C93A58">
        <w:rPr>
          <w:rFonts w:ascii="Times New Roman" w:hAnsi="Times New Roman" w:cs="Times New Roman"/>
          <w:sz w:val="28"/>
          <w:szCs w:val="28"/>
        </w:rPr>
        <w:t xml:space="preserve"> № </w:t>
      </w:r>
      <w:r>
        <w:rPr>
          <w:rFonts w:ascii="Times New Roman" w:hAnsi="Times New Roman" w:cs="Times New Roman"/>
          <w:sz w:val="28"/>
          <w:szCs w:val="28"/>
        </w:rPr>
        <w:t>226</w:t>
      </w:r>
      <w:r w:rsidRPr="00C93A58">
        <w:rPr>
          <w:rFonts w:ascii="Times New Roman" w:hAnsi="Times New Roman" w:cs="Times New Roman"/>
          <w:sz w:val="28"/>
          <w:szCs w:val="28"/>
        </w:rPr>
        <w:t xml:space="preserve"> «Об утверждении Методики прогнозирования поступлений доходов в областной бюджет Тверской области, администрируемых Министерством промышленности и информационных технологий Тверской области»</w:t>
      </w:r>
      <w:r>
        <w:rPr>
          <w:rFonts w:ascii="Times New Roman" w:hAnsi="Times New Roman" w:cs="Times New Roman"/>
          <w:sz w:val="28"/>
          <w:szCs w:val="28"/>
        </w:rPr>
        <w:t xml:space="preserve"> ( с изменениями и дополнениями)</w:t>
      </w:r>
      <w:r w:rsidRPr="00C93A58">
        <w:rPr>
          <w:rFonts w:ascii="Times New Roman" w:hAnsi="Times New Roman" w:cs="Times New Roman"/>
          <w:sz w:val="28"/>
          <w:szCs w:val="28"/>
        </w:rPr>
        <w:t xml:space="preserve"> расчет прогноза на очередной финансовый год и плановый период рассчитывается с применением метода усреднения годовых объемов дохода за 3 года, предшествующих текущему финансовому году</w:t>
      </w:r>
      <w:r>
        <w:rPr>
          <w:rFonts w:ascii="Times New Roman" w:hAnsi="Times New Roman" w:cs="Times New Roman"/>
          <w:sz w:val="28"/>
          <w:szCs w:val="28"/>
        </w:rPr>
        <w:t>.</w:t>
      </w:r>
    </w:p>
    <w:p w:rsidR="00F07E05" w:rsidRPr="000E579A" w:rsidRDefault="00F07E05" w:rsidP="00F07E05">
      <w:pPr>
        <w:ind w:firstLine="567"/>
        <w:jc w:val="center"/>
        <w:rPr>
          <w:sz w:val="28"/>
          <w:szCs w:val="28"/>
        </w:rPr>
      </w:pPr>
      <w:r w:rsidRPr="000E579A">
        <w:rPr>
          <w:sz w:val="28"/>
          <w:szCs w:val="28"/>
        </w:rPr>
        <w:t>Расчет прогноза поступлений доходов на 202</w:t>
      </w:r>
      <w:r>
        <w:rPr>
          <w:sz w:val="28"/>
          <w:szCs w:val="28"/>
        </w:rPr>
        <w:t>2</w:t>
      </w:r>
      <w:r w:rsidRPr="000E579A">
        <w:rPr>
          <w:sz w:val="28"/>
          <w:szCs w:val="28"/>
        </w:rPr>
        <w:t>-202</w:t>
      </w:r>
      <w:r>
        <w:rPr>
          <w:sz w:val="28"/>
          <w:szCs w:val="28"/>
        </w:rPr>
        <w:t>4</w:t>
      </w:r>
      <w:r w:rsidRPr="000E579A">
        <w:rPr>
          <w:sz w:val="28"/>
          <w:szCs w:val="28"/>
        </w:rPr>
        <w:t xml:space="preserve"> годы</w:t>
      </w:r>
      <w:r>
        <w:rPr>
          <w:sz w:val="28"/>
          <w:szCs w:val="28"/>
        </w:rPr>
        <w:t>:</w:t>
      </w:r>
    </w:p>
    <w:tbl>
      <w:tblPr>
        <w:tblW w:w="9620" w:type="dxa"/>
        <w:tblInd w:w="-10" w:type="dxa"/>
        <w:tblLayout w:type="fixed"/>
        <w:tblLook w:val="0000" w:firstRow="0" w:lastRow="0" w:firstColumn="0" w:lastColumn="0" w:noHBand="0" w:noVBand="0"/>
      </w:tblPr>
      <w:tblGrid>
        <w:gridCol w:w="4032"/>
        <w:gridCol w:w="5588"/>
      </w:tblGrid>
      <w:tr w:rsidR="00F07E05" w:rsidRPr="00134AC5" w:rsidTr="008A253E">
        <w:trPr>
          <w:trHeight w:val="276"/>
        </w:trPr>
        <w:tc>
          <w:tcPr>
            <w:tcW w:w="4032" w:type="dxa"/>
            <w:vMerge w:val="restart"/>
            <w:tcBorders>
              <w:top w:val="single" w:sz="4" w:space="0" w:color="000000"/>
              <w:left w:val="single" w:sz="4" w:space="0" w:color="000000"/>
              <w:bottom w:val="single" w:sz="4" w:space="0" w:color="000000"/>
            </w:tcBorders>
            <w:shd w:val="clear" w:color="auto" w:fill="auto"/>
            <w:vAlign w:val="center"/>
          </w:tcPr>
          <w:p w:rsidR="00F07E05" w:rsidRPr="00073FD0" w:rsidRDefault="00F07E05" w:rsidP="008A253E">
            <w:pPr>
              <w:jc w:val="center"/>
            </w:pPr>
            <w:r w:rsidRPr="00073FD0">
              <w:t>Наименование</w:t>
            </w:r>
          </w:p>
        </w:tc>
        <w:tc>
          <w:tcPr>
            <w:tcW w:w="558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07E05" w:rsidRPr="00073FD0" w:rsidRDefault="00F07E05" w:rsidP="008A253E">
            <w:pPr>
              <w:jc w:val="center"/>
            </w:pPr>
            <w:r w:rsidRPr="00073FD0">
              <w:t xml:space="preserve">Расчет прогноза </w:t>
            </w:r>
          </w:p>
        </w:tc>
      </w:tr>
      <w:tr w:rsidR="00F07E05" w:rsidRPr="00134AC5" w:rsidTr="008A253E">
        <w:trPr>
          <w:trHeight w:val="276"/>
        </w:trPr>
        <w:tc>
          <w:tcPr>
            <w:tcW w:w="4032" w:type="dxa"/>
            <w:vMerge/>
            <w:tcBorders>
              <w:top w:val="single" w:sz="4" w:space="0" w:color="000000"/>
              <w:left w:val="single" w:sz="4" w:space="0" w:color="000000"/>
              <w:bottom w:val="single" w:sz="4" w:space="0" w:color="000000"/>
            </w:tcBorders>
            <w:shd w:val="clear" w:color="auto" w:fill="auto"/>
            <w:vAlign w:val="center"/>
          </w:tcPr>
          <w:p w:rsidR="00F07E05" w:rsidRPr="00073FD0" w:rsidRDefault="00F07E05" w:rsidP="008A253E">
            <w:pPr>
              <w:snapToGrid w:val="0"/>
              <w:jc w:val="center"/>
            </w:pPr>
          </w:p>
        </w:tc>
        <w:tc>
          <w:tcPr>
            <w:tcW w:w="55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07E05" w:rsidRPr="00073FD0" w:rsidRDefault="00F07E05" w:rsidP="008A253E">
            <w:pPr>
              <w:snapToGrid w:val="0"/>
              <w:jc w:val="center"/>
            </w:pPr>
          </w:p>
        </w:tc>
      </w:tr>
      <w:tr w:rsidR="00F07E05" w:rsidRPr="00134AC5" w:rsidTr="008A253E">
        <w:trPr>
          <w:trHeight w:val="1990"/>
        </w:trPr>
        <w:tc>
          <w:tcPr>
            <w:tcW w:w="4032" w:type="dxa"/>
            <w:tcBorders>
              <w:top w:val="single" w:sz="4" w:space="0" w:color="000000"/>
              <w:left w:val="single" w:sz="4" w:space="0" w:color="000000"/>
              <w:bottom w:val="single" w:sz="4" w:space="0" w:color="000000"/>
            </w:tcBorders>
            <w:shd w:val="clear" w:color="auto" w:fill="auto"/>
            <w:vAlign w:val="center"/>
          </w:tcPr>
          <w:p w:rsidR="00F07E05" w:rsidRPr="00073FD0" w:rsidRDefault="00F07E05" w:rsidP="008A253E">
            <w:r w:rsidRPr="00073FD0">
              <w:rPr>
                <w:color w:val="000000"/>
              </w:rPr>
              <w:lastRenderedPageBreak/>
              <w:t>Прочие доходы от компенсации затрат бюджетов субъектов Российской Федерации (средства от возврата дебиторской задолженности прошлых лет)</w:t>
            </w:r>
          </w:p>
          <w:p w:rsidR="00F07E05" w:rsidRPr="00073FD0" w:rsidRDefault="00F07E05" w:rsidP="008A253E">
            <w:pPr>
              <w:rPr>
                <w:color w:val="000000"/>
              </w:rPr>
            </w:pPr>
          </w:p>
        </w:tc>
        <w:tc>
          <w:tcPr>
            <w:tcW w:w="5588" w:type="dxa"/>
            <w:tcBorders>
              <w:top w:val="single" w:sz="4" w:space="0" w:color="000000"/>
              <w:left w:val="single" w:sz="4" w:space="0" w:color="000000"/>
              <w:bottom w:val="single" w:sz="4" w:space="0" w:color="000000"/>
              <w:right w:val="single" w:sz="4" w:space="0" w:color="000000"/>
            </w:tcBorders>
            <w:shd w:val="clear" w:color="auto" w:fill="auto"/>
          </w:tcPr>
          <w:p w:rsidR="00F07E05" w:rsidRPr="00073FD0" w:rsidRDefault="00F07E05" w:rsidP="008A253E">
            <w:r w:rsidRPr="00073FD0">
              <w:t xml:space="preserve">На очередной финансовый год и плановый период применяется метод усреднения годовых объемов указанного дохода за 3 года, предшествующих текущему финансовому году. Факт в 2018 году = 23,1 т.р., факт в 2019 году = 0,6 т.р., факт в 2020 году = 6,5 т.р.  Тогда, План на 2022 г. = План на 2023 г. = План на 2023 г. = (23,1+0,6+6,5)/3 = </w:t>
            </w:r>
            <w:r w:rsidRPr="00073FD0">
              <w:rPr>
                <w:b/>
              </w:rPr>
              <w:t>10,1 т.р.</w:t>
            </w:r>
            <w:r w:rsidRPr="00073FD0">
              <w:t xml:space="preserve">                                       </w:t>
            </w:r>
          </w:p>
        </w:tc>
      </w:tr>
      <w:tr w:rsidR="00F07E05" w:rsidRPr="00134AC5" w:rsidTr="008A253E">
        <w:trPr>
          <w:trHeight w:val="1975"/>
        </w:trPr>
        <w:tc>
          <w:tcPr>
            <w:tcW w:w="4032" w:type="dxa"/>
            <w:tcBorders>
              <w:top w:val="single" w:sz="4" w:space="0" w:color="000000"/>
              <w:left w:val="single" w:sz="4" w:space="0" w:color="000000"/>
              <w:bottom w:val="single" w:sz="4" w:space="0" w:color="000000"/>
            </w:tcBorders>
            <w:shd w:val="clear" w:color="auto" w:fill="auto"/>
            <w:vAlign w:val="center"/>
          </w:tcPr>
          <w:p w:rsidR="00F07E05" w:rsidRPr="00073FD0" w:rsidRDefault="00F07E05" w:rsidP="008A253E">
            <w:r w:rsidRPr="00073FD0">
              <w:t>Прочие доходы от компенсации затрат бюджетов субъектов Российской Федерации (иные прочие доходы от компенсации затрат бюджетов субъектов Российской Федерации)</w:t>
            </w:r>
          </w:p>
          <w:p w:rsidR="00F07E05" w:rsidRPr="00073FD0" w:rsidRDefault="00F07E05" w:rsidP="008A253E"/>
        </w:tc>
        <w:tc>
          <w:tcPr>
            <w:tcW w:w="5588" w:type="dxa"/>
            <w:tcBorders>
              <w:top w:val="single" w:sz="4" w:space="0" w:color="000000"/>
              <w:left w:val="single" w:sz="4" w:space="0" w:color="000000"/>
              <w:bottom w:val="single" w:sz="4" w:space="0" w:color="000000"/>
              <w:right w:val="single" w:sz="4" w:space="0" w:color="000000"/>
            </w:tcBorders>
            <w:shd w:val="clear" w:color="auto" w:fill="auto"/>
          </w:tcPr>
          <w:p w:rsidR="00F07E05" w:rsidRPr="00073FD0" w:rsidRDefault="00F07E05" w:rsidP="008A253E">
            <w:r w:rsidRPr="00073FD0">
              <w:t xml:space="preserve">На очередной финансовый год и плановый период применяется метод усреднения годовых объемов указанного дохода за 3 года, предшествующих текущему финансовому году. Факт в 2018 году = 0 т.р., факт в 2019 году = 0 т.р., факт в 2020 году = 21,1 т.р.  Тогда, План на 2022 г. = План на 2023 г. = План на 2024 г. = (0+0+21,1)/3 = </w:t>
            </w:r>
            <w:r w:rsidRPr="00073FD0">
              <w:rPr>
                <w:b/>
              </w:rPr>
              <w:t>7,0 т.р.</w:t>
            </w:r>
            <w:r w:rsidRPr="00073FD0">
              <w:t xml:space="preserve">                                       </w:t>
            </w:r>
          </w:p>
        </w:tc>
      </w:tr>
    </w:tbl>
    <w:p w:rsidR="00F07E05" w:rsidRPr="00C93A58" w:rsidRDefault="00F07E05" w:rsidP="00F07E05">
      <w:pPr>
        <w:spacing w:line="276" w:lineRule="auto"/>
        <w:ind w:firstLine="720"/>
        <w:jc w:val="both"/>
        <w:rPr>
          <w:sz w:val="28"/>
          <w:szCs w:val="28"/>
        </w:rPr>
      </w:pPr>
      <w:r w:rsidRPr="00C93A58">
        <w:rPr>
          <w:sz w:val="28"/>
          <w:szCs w:val="28"/>
        </w:rPr>
        <w:t>Прогноз на плановый период принимается равным прогнозу на очередной финансовый год.</w:t>
      </w:r>
    </w:p>
    <w:p w:rsidR="00F07E05" w:rsidRDefault="00F07E05" w:rsidP="00F07E05">
      <w:pPr>
        <w:spacing w:line="276" w:lineRule="auto"/>
        <w:ind w:firstLine="720"/>
        <w:jc w:val="both"/>
        <w:rPr>
          <w:color w:val="00B0F0"/>
          <w:sz w:val="28"/>
          <w:szCs w:val="28"/>
        </w:rPr>
      </w:pPr>
      <w:r w:rsidRPr="00C93A58">
        <w:rPr>
          <w:sz w:val="28"/>
          <w:szCs w:val="28"/>
        </w:rPr>
        <w:t xml:space="preserve"> </w:t>
      </w:r>
      <w:r>
        <w:rPr>
          <w:sz w:val="28"/>
          <w:szCs w:val="28"/>
        </w:rPr>
        <w:t xml:space="preserve"> </w:t>
      </w:r>
      <w:r w:rsidRPr="008E5BEC">
        <w:rPr>
          <w:color w:val="00B0F0"/>
          <w:sz w:val="28"/>
          <w:szCs w:val="28"/>
        </w:rPr>
        <w:t xml:space="preserve">  </w:t>
      </w:r>
    </w:p>
    <w:p w:rsidR="00F07E05" w:rsidRDefault="00F07E05" w:rsidP="00F07E05">
      <w:pPr>
        <w:spacing w:line="276" w:lineRule="auto"/>
        <w:ind w:firstLine="720"/>
        <w:jc w:val="both"/>
        <w:rPr>
          <w:color w:val="00B0F0"/>
          <w:sz w:val="28"/>
          <w:szCs w:val="28"/>
        </w:rPr>
      </w:pPr>
    </w:p>
    <w:p w:rsidR="00F07E05" w:rsidRDefault="00F07E05" w:rsidP="00F07E05">
      <w:pPr>
        <w:spacing w:line="276" w:lineRule="auto"/>
        <w:ind w:firstLine="720"/>
        <w:jc w:val="both"/>
        <w:rPr>
          <w:b/>
          <w:color w:val="FF0000"/>
          <w:sz w:val="28"/>
          <w:szCs w:val="28"/>
        </w:rPr>
      </w:pPr>
    </w:p>
    <w:p w:rsidR="00F07E05" w:rsidRPr="00FE6BC6" w:rsidRDefault="00F07E05" w:rsidP="00F07E05">
      <w:pPr>
        <w:spacing w:line="276" w:lineRule="auto"/>
        <w:jc w:val="center"/>
        <w:rPr>
          <w:b/>
          <w:sz w:val="28"/>
          <w:szCs w:val="28"/>
        </w:rPr>
      </w:pPr>
      <w:r w:rsidRPr="00FE6BC6">
        <w:rPr>
          <w:b/>
          <w:sz w:val="28"/>
          <w:szCs w:val="28"/>
        </w:rPr>
        <w:t>Министерство строительства Тверской области</w:t>
      </w:r>
    </w:p>
    <w:p w:rsidR="00F07E05" w:rsidRPr="00C93A58" w:rsidRDefault="00F07E05" w:rsidP="00F07E05">
      <w:pPr>
        <w:pStyle w:val="a7"/>
        <w:ind w:left="0" w:firstLine="360"/>
        <w:jc w:val="right"/>
      </w:pPr>
      <w:r w:rsidRPr="00C93A58">
        <w:t>в тыс. руб.</w:t>
      </w:r>
    </w:p>
    <w:tbl>
      <w:tblPr>
        <w:tblW w:w="9468" w:type="dxa"/>
        <w:tblLayout w:type="fixed"/>
        <w:tblLook w:val="0000" w:firstRow="0" w:lastRow="0" w:firstColumn="0" w:lastColumn="0" w:noHBand="0" w:noVBand="0"/>
      </w:tblPr>
      <w:tblGrid>
        <w:gridCol w:w="2520"/>
        <w:gridCol w:w="2520"/>
        <w:gridCol w:w="1368"/>
        <w:gridCol w:w="1440"/>
        <w:gridCol w:w="1620"/>
      </w:tblGrid>
      <w:tr w:rsidR="00F07E05" w:rsidRPr="00C93A58" w:rsidTr="008A253E">
        <w:trPr>
          <w:trHeight w:val="510"/>
        </w:trPr>
        <w:tc>
          <w:tcPr>
            <w:tcW w:w="2520" w:type="dxa"/>
            <w:tcBorders>
              <w:top w:val="single" w:sz="4" w:space="0" w:color="auto"/>
              <w:left w:val="single" w:sz="4" w:space="0" w:color="auto"/>
              <w:bottom w:val="single" w:sz="4" w:space="0" w:color="auto"/>
              <w:right w:val="single" w:sz="4" w:space="0" w:color="auto"/>
            </w:tcBorders>
            <w:noWrap/>
          </w:tcPr>
          <w:p w:rsidR="00F07E05" w:rsidRPr="00C93A58" w:rsidRDefault="00F07E05" w:rsidP="008A253E">
            <w:pPr>
              <w:rPr>
                <w:b/>
                <w:sz w:val="20"/>
                <w:szCs w:val="20"/>
              </w:rPr>
            </w:pPr>
            <w:r w:rsidRPr="00C93A58">
              <w:rPr>
                <w:b/>
                <w:sz w:val="20"/>
                <w:szCs w:val="20"/>
              </w:rPr>
              <w:t>Код БК</w:t>
            </w:r>
          </w:p>
        </w:tc>
        <w:tc>
          <w:tcPr>
            <w:tcW w:w="2520" w:type="dxa"/>
            <w:tcBorders>
              <w:top w:val="single" w:sz="4" w:space="0" w:color="auto"/>
              <w:left w:val="single" w:sz="4" w:space="0" w:color="auto"/>
              <w:bottom w:val="single" w:sz="4" w:space="0" w:color="auto"/>
              <w:right w:val="single" w:sz="4" w:space="0" w:color="auto"/>
            </w:tcBorders>
            <w:noWrap/>
          </w:tcPr>
          <w:p w:rsidR="00F07E05" w:rsidRPr="00C93A58" w:rsidRDefault="00F07E05" w:rsidP="008A253E">
            <w:pPr>
              <w:rPr>
                <w:b/>
                <w:sz w:val="20"/>
                <w:szCs w:val="20"/>
              </w:rPr>
            </w:pPr>
            <w:r w:rsidRPr="00C93A58">
              <w:rPr>
                <w:b/>
                <w:sz w:val="20"/>
                <w:szCs w:val="20"/>
              </w:rPr>
              <w:t>Наименование</w:t>
            </w:r>
          </w:p>
        </w:tc>
        <w:tc>
          <w:tcPr>
            <w:tcW w:w="1368" w:type="dxa"/>
            <w:tcBorders>
              <w:top w:val="single" w:sz="4" w:space="0" w:color="auto"/>
              <w:left w:val="single" w:sz="4" w:space="0" w:color="auto"/>
              <w:bottom w:val="single" w:sz="4" w:space="0" w:color="auto"/>
              <w:right w:val="single" w:sz="4" w:space="0" w:color="auto"/>
            </w:tcBorders>
          </w:tcPr>
          <w:p w:rsidR="00F07E05" w:rsidRPr="00C93A58" w:rsidRDefault="00F07E05" w:rsidP="008A253E">
            <w:pPr>
              <w:jc w:val="center"/>
              <w:rPr>
                <w:b/>
                <w:sz w:val="20"/>
                <w:szCs w:val="20"/>
              </w:rPr>
            </w:pPr>
            <w:r w:rsidRPr="00C93A58">
              <w:rPr>
                <w:b/>
                <w:sz w:val="20"/>
                <w:szCs w:val="20"/>
              </w:rPr>
              <w:t>Прогноз на</w:t>
            </w:r>
          </w:p>
          <w:p w:rsidR="00F07E05" w:rsidRPr="00C93A58" w:rsidRDefault="00F07E05" w:rsidP="008A253E">
            <w:pPr>
              <w:jc w:val="center"/>
              <w:rPr>
                <w:b/>
                <w:sz w:val="20"/>
                <w:szCs w:val="20"/>
              </w:rPr>
            </w:pPr>
            <w:r w:rsidRPr="00C93A58">
              <w:rPr>
                <w:b/>
                <w:sz w:val="20"/>
                <w:szCs w:val="20"/>
              </w:rPr>
              <w:t>20</w:t>
            </w:r>
            <w:r>
              <w:rPr>
                <w:b/>
                <w:sz w:val="20"/>
                <w:szCs w:val="20"/>
              </w:rPr>
              <w:t xml:space="preserve">22 </w:t>
            </w:r>
            <w:r w:rsidRPr="00C93A58">
              <w:rPr>
                <w:b/>
                <w:sz w:val="20"/>
                <w:szCs w:val="20"/>
              </w:rPr>
              <w:t xml:space="preserve">год </w:t>
            </w:r>
          </w:p>
          <w:p w:rsidR="00F07E05" w:rsidRPr="00C93A58" w:rsidRDefault="00F07E05" w:rsidP="008A253E">
            <w:pPr>
              <w:jc w:val="center"/>
              <w:rPr>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F07E05" w:rsidRPr="00C93A58" w:rsidRDefault="00F07E05" w:rsidP="008A253E">
            <w:pPr>
              <w:jc w:val="center"/>
              <w:rPr>
                <w:b/>
                <w:sz w:val="20"/>
                <w:szCs w:val="20"/>
              </w:rPr>
            </w:pPr>
            <w:r w:rsidRPr="00C93A58">
              <w:rPr>
                <w:b/>
                <w:sz w:val="20"/>
                <w:szCs w:val="20"/>
              </w:rPr>
              <w:t>Прогноз на</w:t>
            </w:r>
          </w:p>
          <w:p w:rsidR="00F07E05" w:rsidRPr="00C93A58" w:rsidRDefault="00F07E05" w:rsidP="008A253E">
            <w:pPr>
              <w:jc w:val="center"/>
              <w:rPr>
                <w:b/>
                <w:sz w:val="20"/>
                <w:szCs w:val="20"/>
              </w:rPr>
            </w:pPr>
            <w:r w:rsidRPr="00C93A58">
              <w:rPr>
                <w:b/>
                <w:sz w:val="20"/>
                <w:szCs w:val="20"/>
              </w:rPr>
              <w:t>20</w:t>
            </w:r>
            <w:r>
              <w:rPr>
                <w:b/>
                <w:sz w:val="20"/>
                <w:szCs w:val="20"/>
              </w:rPr>
              <w:t xml:space="preserve">23 </w:t>
            </w:r>
            <w:r w:rsidRPr="00C93A58">
              <w:rPr>
                <w:b/>
                <w:sz w:val="20"/>
                <w:szCs w:val="20"/>
              </w:rPr>
              <w:t>год</w:t>
            </w:r>
          </w:p>
          <w:p w:rsidR="00F07E05" w:rsidRPr="00C93A58" w:rsidRDefault="00F07E05" w:rsidP="008A253E">
            <w:pPr>
              <w:jc w:val="center"/>
              <w:rPr>
                <w:b/>
                <w:sz w:val="20"/>
                <w:szCs w:val="20"/>
              </w:rPr>
            </w:pPr>
          </w:p>
          <w:p w:rsidR="00F07E05" w:rsidRPr="00C93A58" w:rsidRDefault="00F07E05" w:rsidP="008A253E">
            <w:pPr>
              <w:jc w:val="center"/>
              <w:rPr>
                <w:b/>
                <w:sz w:val="20"/>
                <w:szCs w:val="20"/>
              </w:rPr>
            </w:pPr>
            <w:r w:rsidRPr="00C93A58">
              <w:rPr>
                <w:b/>
                <w:sz w:val="20"/>
                <w:szCs w:val="20"/>
              </w:rPr>
              <w:t xml:space="preserve"> </w:t>
            </w:r>
          </w:p>
        </w:tc>
        <w:tc>
          <w:tcPr>
            <w:tcW w:w="1620" w:type="dxa"/>
            <w:tcBorders>
              <w:top w:val="single" w:sz="4" w:space="0" w:color="auto"/>
              <w:left w:val="single" w:sz="4" w:space="0" w:color="auto"/>
              <w:bottom w:val="single" w:sz="4" w:space="0" w:color="auto"/>
              <w:right w:val="single" w:sz="4" w:space="0" w:color="auto"/>
            </w:tcBorders>
          </w:tcPr>
          <w:p w:rsidR="00F07E05" w:rsidRPr="00C93A58" w:rsidRDefault="00F07E05" w:rsidP="008A253E">
            <w:pPr>
              <w:jc w:val="center"/>
              <w:rPr>
                <w:b/>
                <w:sz w:val="20"/>
                <w:szCs w:val="20"/>
              </w:rPr>
            </w:pPr>
            <w:r w:rsidRPr="00C93A58">
              <w:rPr>
                <w:b/>
                <w:sz w:val="20"/>
                <w:szCs w:val="20"/>
              </w:rPr>
              <w:t>Прогноз на</w:t>
            </w:r>
          </w:p>
          <w:p w:rsidR="00F07E05" w:rsidRPr="00C93A58" w:rsidRDefault="00F07E05" w:rsidP="008A253E">
            <w:pPr>
              <w:jc w:val="center"/>
              <w:rPr>
                <w:b/>
                <w:sz w:val="20"/>
                <w:szCs w:val="20"/>
              </w:rPr>
            </w:pPr>
            <w:r>
              <w:rPr>
                <w:b/>
                <w:sz w:val="20"/>
                <w:szCs w:val="20"/>
              </w:rPr>
              <w:t>2024 г</w:t>
            </w:r>
            <w:r w:rsidRPr="00C93A58">
              <w:rPr>
                <w:b/>
                <w:sz w:val="20"/>
                <w:szCs w:val="20"/>
              </w:rPr>
              <w:t>од</w:t>
            </w:r>
          </w:p>
          <w:p w:rsidR="00F07E05" w:rsidRPr="00C93A58" w:rsidRDefault="00F07E05" w:rsidP="008A253E">
            <w:pPr>
              <w:jc w:val="center"/>
              <w:rPr>
                <w:b/>
                <w:sz w:val="20"/>
                <w:szCs w:val="20"/>
              </w:rPr>
            </w:pPr>
          </w:p>
          <w:p w:rsidR="00F07E05" w:rsidRPr="00C93A58" w:rsidRDefault="00F07E05" w:rsidP="008A253E">
            <w:pPr>
              <w:jc w:val="center"/>
              <w:rPr>
                <w:b/>
                <w:sz w:val="20"/>
                <w:szCs w:val="20"/>
              </w:rPr>
            </w:pPr>
          </w:p>
        </w:tc>
      </w:tr>
      <w:tr w:rsidR="00F07E05" w:rsidRPr="00C93A58" w:rsidTr="008A253E">
        <w:trPr>
          <w:trHeight w:val="1275"/>
        </w:trPr>
        <w:tc>
          <w:tcPr>
            <w:tcW w:w="2520" w:type="dxa"/>
            <w:tcBorders>
              <w:top w:val="single" w:sz="4" w:space="0" w:color="auto"/>
              <w:left w:val="single" w:sz="4" w:space="0" w:color="auto"/>
              <w:bottom w:val="single" w:sz="4" w:space="0" w:color="auto"/>
              <w:right w:val="single" w:sz="4" w:space="0" w:color="auto"/>
            </w:tcBorders>
            <w:noWrap/>
          </w:tcPr>
          <w:p w:rsidR="00F07E05" w:rsidRPr="00C93A58" w:rsidRDefault="00F07E05" w:rsidP="008A253E">
            <w:pPr>
              <w:jc w:val="center"/>
              <w:rPr>
                <w:b/>
                <w:sz w:val="16"/>
                <w:szCs w:val="16"/>
              </w:rPr>
            </w:pPr>
          </w:p>
          <w:p w:rsidR="00F07E05" w:rsidRPr="00C93A58" w:rsidRDefault="00F07E05" w:rsidP="008A253E">
            <w:pPr>
              <w:jc w:val="center"/>
              <w:rPr>
                <w:b/>
                <w:sz w:val="16"/>
                <w:szCs w:val="16"/>
              </w:rPr>
            </w:pPr>
          </w:p>
          <w:p w:rsidR="00F07E05" w:rsidRPr="00C93A58" w:rsidRDefault="00F07E05" w:rsidP="008A253E">
            <w:pPr>
              <w:jc w:val="center"/>
              <w:rPr>
                <w:b/>
                <w:sz w:val="16"/>
                <w:szCs w:val="16"/>
              </w:rPr>
            </w:pPr>
            <w:r w:rsidRPr="00C93A58">
              <w:rPr>
                <w:b/>
                <w:sz w:val="16"/>
                <w:szCs w:val="16"/>
              </w:rPr>
              <w:t>000</w:t>
            </w:r>
            <w:r w:rsidRPr="00C93A58">
              <w:rPr>
                <w:b/>
                <w:sz w:val="16"/>
                <w:szCs w:val="16"/>
                <w:lang w:val="en-US"/>
              </w:rPr>
              <w:t xml:space="preserve"> 1 13 0</w:t>
            </w:r>
            <w:r w:rsidRPr="00C93A58">
              <w:rPr>
                <w:b/>
                <w:sz w:val="16"/>
                <w:szCs w:val="16"/>
              </w:rPr>
              <w:t>2990</w:t>
            </w:r>
            <w:r w:rsidRPr="00C93A58">
              <w:rPr>
                <w:b/>
                <w:sz w:val="16"/>
                <w:szCs w:val="16"/>
                <w:lang w:val="en-US"/>
              </w:rPr>
              <w:t xml:space="preserve"> 0</w:t>
            </w:r>
            <w:r w:rsidRPr="00C93A58">
              <w:rPr>
                <w:b/>
                <w:sz w:val="16"/>
                <w:szCs w:val="16"/>
              </w:rPr>
              <w:t>0</w:t>
            </w:r>
            <w:r w:rsidRPr="00C93A58">
              <w:rPr>
                <w:b/>
                <w:sz w:val="16"/>
                <w:szCs w:val="16"/>
                <w:lang w:val="en-US"/>
              </w:rPr>
              <w:t xml:space="preserve"> 0</w:t>
            </w:r>
            <w:r w:rsidRPr="00C93A58">
              <w:rPr>
                <w:b/>
                <w:sz w:val="16"/>
                <w:szCs w:val="16"/>
              </w:rPr>
              <w:t>000 130</w:t>
            </w:r>
          </w:p>
        </w:tc>
        <w:tc>
          <w:tcPr>
            <w:tcW w:w="2520" w:type="dxa"/>
            <w:tcBorders>
              <w:top w:val="single" w:sz="4" w:space="0" w:color="auto"/>
              <w:left w:val="single" w:sz="4" w:space="0" w:color="auto"/>
              <w:bottom w:val="single" w:sz="4" w:space="0" w:color="auto"/>
              <w:right w:val="single" w:sz="4" w:space="0" w:color="auto"/>
            </w:tcBorders>
          </w:tcPr>
          <w:p w:rsidR="00F07E05" w:rsidRPr="00C93A58" w:rsidRDefault="00F07E05" w:rsidP="008A253E">
            <w:pPr>
              <w:rPr>
                <w:sz w:val="20"/>
                <w:szCs w:val="20"/>
              </w:rPr>
            </w:pPr>
          </w:p>
          <w:p w:rsidR="00F07E05" w:rsidRPr="00C93A58" w:rsidRDefault="00F07E05" w:rsidP="008A253E">
            <w:pPr>
              <w:rPr>
                <w:sz w:val="20"/>
                <w:szCs w:val="20"/>
              </w:rPr>
            </w:pPr>
            <w:r w:rsidRPr="00C93A58">
              <w:rPr>
                <w:sz w:val="20"/>
                <w:szCs w:val="20"/>
              </w:rPr>
              <w:t xml:space="preserve">Прочие доходы от компенсации затрат государства </w:t>
            </w:r>
          </w:p>
        </w:tc>
        <w:tc>
          <w:tcPr>
            <w:tcW w:w="1368" w:type="dxa"/>
            <w:tcBorders>
              <w:top w:val="single" w:sz="4" w:space="0" w:color="auto"/>
              <w:left w:val="single" w:sz="4" w:space="0" w:color="auto"/>
              <w:bottom w:val="single" w:sz="4" w:space="0" w:color="auto"/>
              <w:right w:val="single" w:sz="4" w:space="0" w:color="auto"/>
            </w:tcBorders>
            <w:noWrap/>
          </w:tcPr>
          <w:p w:rsidR="00F07E05" w:rsidRDefault="00F07E05" w:rsidP="008A253E">
            <w:pPr>
              <w:ind w:hanging="108"/>
              <w:jc w:val="center"/>
              <w:rPr>
                <w:sz w:val="20"/>
                <w:szCs w:val="20"/>
              </w:rPr>
            </w:pPr>
          </w:p>
          <w:p w:rsidR="00F07E05" w:rsidRDefault="00F07E05" w:rsidP="008A253E">
            <w:pPr>
              <w:ind w:hanging="108"/>
              <w:jc w:val="center"/>
              <w:rPr>
                <w:sz w:val="20"/>
                <w:szCs w:val="20"/>
              </w:rPr>
            </w:pPr>
          </w:p>
          <w:p w:rsidR="00F07E05" w:rsidRPr="0010635D" w:rsidRDefault="00F07E05" w:rsidP="008A253E">
            <w:pPr>
              <w:ind w:hanging="108"/>
              <w:jc w:val="center"/>
              <w:rPr>
                <w:sz w:val="20"/>
                <w:szCs w:val="20"/>
              </w:rPr>
            </w:pPr>
            <w:r>
              <w:rPr>
                <w:sz w:val="20"/>
                <w:szCs w:val="20"/>
              </w:rPr>
              <w:t>575,9</w:t>
            </w:r>
          </w:p>
        </w:tc>
        <w:tc>
          <w:tcPr>
            <w:tcW w:w="1440" w:type="dxa"/>
            <w:tcBorders>
              <w:top w:val="single" w:sz="4" w:space="0" w:color="auto"/>
              <w:left w:val="single" w:sz="4" w:space="0" w:color="auto"/>
              <w:bottom w:val="single" w:sz="4" w:space="0" w:color="auto"/>
              <w:right w:val="single" w:sz="4" w:space="0" w:color="auto"/>
            </w:tcBorders>
            <w:noWrap/>
          </w:tcPr>
          <w:p w:rsidR="00F07E05" w:rsidRDefault="00F07E05" w:rsidP="008A253E">
            <w:pPr>
              <w:ind w:left="-136" w:right="-108" w:hanging="28"/>
              <w:jc w:val="center"/>
              <w:rPr>
                <w:sz w:val="20"/>
                <w:szCs w:val="20"/>
              </w:rPr>
            </w:pPr>
          </w:p>
          <w:p w:rsidR="00F07E05" w:rsidRDefault="00F07E05" w:rsidP="008A253E">
            <w:pPr>
              <w:ind w:left="-136" w:right="-108" w:hanging="28"/>
              <w:jc w:val="center"/>
              <w:rPr>
                <w:sz w:val="20"/>
                <w:szCs w:val="20"/>
              </w:rPr>
            </w:pPr>
          </w:p>
          <w:p w:rsidR="00F07E05" w:rsidRPr="0010635D" w:rsidRDefault="00F07E05" w:rsidP="008A253E">
            <w:pPr>
              <w:ind w:left="-136" w:right="-108" w:hanging="28"/>
              <w:jc w:val="center"/>
              <w:rPr>
                <w:sz w:val="20"/>
                <w:szCs w:val="20"/>
              </w:rPr>
            </w:pPr>
            <w:r>
              <w:rPr>
                <w:sz w:val="20"/>
                <w:szCs w:val="20"/>
              </w:rPr>
              <w:t>575,9</w:t>
            </w:r>
          </w:p>
        </w:tc>
        <w:tc>
          <w:tcPr>
            <w:tcW w:w="1620" w:type="dxa"/>
            <w:tcBorders>
              <w:top w:val="single" w:sz="4" w:space="0" w:color="auto"/>
              <w:left w:val="single" w:sz="4" w:space="0" w:color="auto"/>
              <w:bottom w:val="single" w:sz="4" w:space="0" w:color="auto"/>
              <w:right w:val="single" w:sz="4" w:space="0" w:color="auto"/>
            </w:tcBorders>
            <w:noWrap/>
          </w:tcPr>
          <w:p w:rsidR="00F07E05" w:rsidRDefault="00F07E05" w:rsidP="008A253E">
            <w:pPr>
              <w:ind w:left="-108" w:right="-3" w:hanging="108"/>
              <w:jc w:val="center"/>
              <w:rPr>
                <w:sz w:val="20"/>
                <w:szCs w:val="20"/>
              </w:rPr>
            </w:pPr>
          </w:p>
          <w:p w:rsidR="00F07E05" w:rsidRDefault="00F07E05" w:rsidP="008A253E">
            <w:pPr>
              <w:ind w:left="-108" w:right="-3" w:hanging="108"/>
              <w:jc w:val="center"/>
              <w:rPr>
                <w:sz w:val="20"/>
                <w:szCs w:val="20"/>
              </w:rPr>
            </w:pPr>
          </w:p>
          <w:p w:rsidR="00F07E05" w:rsidRPr="0010635D" w:rsidRDefault="00F07E05" w:rsidP="008A253E">
            <w:pPr>
              <w:ind w:left="-108" w:right="-3" w:hanging="108"/>
              <w:jc w:val="center"/>
              <w:rPr>
                <w:sz w:val="20"/>
                <w:szCs w:val="20"/>
              </w:rPr>
            </w:pPr>
            <w:r>
              <w:rPr>
                <w:sz w:val="20"/>
                <w:szCs w:val="20"/>
              </w:rPr>
              <w:t>575,9</w:t>
            </w:r>
          </w:p>
        </w:tc>
      </w:tr>
    </w:tbl>
    <w:p w:rsidR="00F07E05" w:rsidRPr="00C93A58" w:rsidRDefault="00F07E05" w:rsidP="00F07E05">
      <w:pPr>
        <w:ind w:firstLine="720"/>
        <w:jc w:val="both"/>
        <w:rPr>
          <w:b/>
          <w:sz w:val="28"/>
          <w:szCs w:val="28"/>
        </w:rPr>
      </w:pPr>
    </w:p>
    <w:p w:rsidR="00F07E05" w:rsidRDefault="00F07E05" w:rsidP="00F07E05">
      <w:pPr>
        <w:autoSpaceDE w:val="0"/>
        <w:autoSpaceDN w:val="0"/>
        <w:adjustRightInd w:val="0"/>
        <w:ind w:firstLine="720"/>
        <w:jc w:val="both"/>
        <w:rPr>
          <w:sz w:val="28"/>
          <w:szCs w:val="28"/>
        </w:rPr>
      </w:pPr>
      <w:r w:rsidRPr="00C93A58">
        <w:rPr>
          <w:sz w:val="28"/>
          <w:szCs w:val="28"/>
        </w:rPr>
        <w:t xml:space="preserve">В соответствии с Методикой прогнозирования прогнозирование поступлений прочих доходов от компенсации затрат бюджета осуществляется методом </w:t>
      </w:r>
      <w:r>
        <w:rPr>
          <w:sz w:val="28"/>
          <w:szCs w:val="28"/>
        </w:rPr>
        <w:t>экстраполяции.</w:t>
      </w:r>
    </w:p>
    <w:p w:rsidR="00F07E05" w:rsidRDefault="00F07E05" w:rsidP="00F07E05">
      <w:pPr>
        <w:autoSpaceDE w:val="0"/>
        <w:autoSpaceDN w:val="0"/>
        <w:adjustRightInd w:val="0"/>
        <w:ind w:firstLine="720"/>
        <w:jc w:val="both"/>
        <w:rPr>
          <w:sz w:val="28"/>
          <w:szCs w:val="28"/>
        </w:rPr>
      </w:pPr>
      <w:r>
        <w:rPr>
          <w:sz w:val="28"/>
          <w:szCs w:val="28"/>
        </w:rPr>
        <w:t>Прогнозирование на очередной финансовый год, первый и второй год планового периода осуществляется в равной сумме по результатам анализа объема фактических поступлений по минимальному значению за три года. В случае наличия отрицательного значения по годам прогноз равен нулю.</w:t>
      </w:r>
    </w:p>
    <w:p w:rsidR="00F07E05" w:rsidRDefault="00F07E05" w:rsidP="00F07E05">
      <w:pPr>
        <w:autoSpaceDE w:val="0"/>
        <w:autoSpaceDN w:val="0"/>
        <w:adjustRightInd w:val="0"/>
        <w:ind w:firstLine="720"/>
        <w:jc w:val="both"/>
        <w:rPr>
          <w:sz w:val="28"/>
          <w:szCs w:val="28"/>
        </w:rPr>
      </w:pPr>
      <w:r>
        <w:rPr>
          <w:sz w:val="28"/>
          <w:szCs w:val="28"/>
        </w:rPr>
        <w:t xml:space="preserve">Прочие доходы от компенсации затрат бюджетов субъектов Российской Федерации (средства от возврата дебиторской задолженности) </w:t>
      </w:r>
    </w:p>
    <w:p w:rsidR="00F07E05" w:rsidRPr="00E40722" w:rsidRDefault="00F07E05" w:rsidP="00F07E05">
      <w:pPr>
        <w:autoSpaceDE w:val="0"/>
        <w:autoSpaceDN w:val="0"/>
        <w:adjustRightInd w:val="0"/>
        <w:ind w:firstLine="720"/>
        <w:jc w:val="both"/>
        <w:rPr>
          <w:sz w:val="28"/>
          <w:szCs w:val="28"/>
        </w:rPr>
      </w:pPr>
      <w:r w:rsidRPr="00E40722">
        <w:rPr>
          <w:sz w:val="28"/>
          <w:szCs w:val="28"/>
        </w:rPr>
        <w:t>201</w:t>
      </w:r>
      <w:r>
        <w:rPr>
          <w:sz w:val="28"/>
          <w:szCs w:val="28"/>
        </w:rPr>
        <w:t>9</w:t>
      </w:r>
      <w:r w:rsidRPr="00E40722">
        <w:rPr>
          <w:sz w:val="28"/>
          <w:szCs w:val="28"/>
        </w:rPr>
        <w:t xml:space="preserve"> год факт –</w:t>
      </w:r>
      <w:r>
        <w:rPr>
          <w:sz w:val="28"/>
          <w:szCs w:val="28"/>
        </w:rPr>
        <w:t xml:space="preserve"> 15,8 </w:t>
      </w:r>
      <w:r w:rsidRPr="00E40722">
        <w:rPr>
          <w:sz w:val="28"/>
          <w:szCs w:val="28"/>
        </w:rPr>
        <w:t>тыс. руб.;</w:t>
      </w:r>
    </w:p>
    <w:p w:rsidR="00F07E05" w:rsidRPr="00E40722" w:rsidRDefault="00F07E05" w:rsidP="00F07E05">
      <w:pPr>
        <w:autoSpaceDE w:val="0"/>
        <w:autoSpaceDN w:val="0"/>
        <w:adjustRightInd w:val="0"/>
        <w:ind w:firstLine="720"/>
        <w:jc w:val="both"/>
        <w:rPr>
          <w:sz w:val="28"/>
          <w:szCs w:val="28"/>
        </w:rPr>
      </w:pPr>
      <w:r w:rsidRPr="00E40722">
        <w:rPr>
          <w:sz w:val="28"/>
          <w:szCs w:val="28"/>
        </w:rPr>
        <w:t>20</w:t>
      </w:r>
      <w:r>
        <w:rPr>
          <w:sz w:val="28"/>
          <w:szCs w:val="28"/>
        </w:rPr>
        <w:t>20</w:t>
      </w:r>
      <w:r w:rsidRPr="00E40722">
        <w:rPr>
          <w:sz w:val="28"/>
          <w:szCs w:val="28"/>
        </w:rPr>
        <w:t xml:space="preserve"> год факт – </w:t>
      </w:r>
      <w:r>
        <w:rPr>
          <w:sz w:val="28"/>
          <w:szCs w:val="28"/>
        </w:rPr>
        <w:t>91,1</w:t>
      </w:r>
      <w:r w:rsidRPr="00E40722">
        <w:rPr>
          <w:sz w:val="28"/>
          <w:szCs w:val="28"/>
        </w:rPr>
        <w:t xml:space="preserve"> тыс. руб.;</w:t>
      </w:r>
    </w:p>
    <w:p w:rsidR="00F07E05" w:rsidRDefault="00F07E05" w:rsidP="00F07E05">
      <w:pPr>
        <w:autoSpaceDE w:val="0"/>
        <w:autoSpaceDN w:val="0"/>
        <w:adjustRightInd w:val="0"/>
        <w:ind w:firstLine="720"/>
        <w:jc w:val="both"/>
        <w:rPr>
          <w:sz w:val="28"/>
          <w:szCs w:val="28"/>
        </w:rPr>
      </w:pPr>
      <w:r w:rsidRPr="00E40722">
        <w:rPr>
          <w:sz w:val="28"/>
          <w:szCs w:val="28"/>
        </w:rPr>
        <w:t>20</w:t>
      </w:r>
      <w:r>
        <w:rPr>
          <w:sz w:val="28"/>
          <w:szCs w:val="28"/>
        </w:rPr>
        <w:t>21</w:t>
      </w:r>
      <w:r w:rsidRPr="00E40722">
        <w:rPr>
          <w:sz w:val="28"/>
          <w:szCs w:val="28"/>
        </w:rPr>
        <w:t xml:space="preserve"> год факт – </w:t>
      </w:r>
      <w:r>
        <w:rPr>
          <w:sz w:val="28"/>
          <w:szCs w:val="28"/>
        </w:rPr>
        <w:t xml:space="preserve">6,0 </w:t>
      </w:r>
      <w:r w:rsidRPr="00E40722">
        <w:rPr>
          <w:sz w:val="28"/>
          <w:szCs w:val="28"/>
        </w:rPr>
        <w:t xml:space="preserve"> тыс. руб.</w:t>
      </w:r>
    </w:p>
    <w:p w:rsidR="00F07E05" w:rsidRDefault="00F07E05" w:rsidP="00F07E05">
      <w:pPr>
        <w:autoSpaceDE w:val="0"/>
        <w:autoSpaceDN w:val="0"/>
        <w:adjustRightInd w:val="0"/>
        <w:ind w:firstLine="720"/>
        <w:jc w:val="both"/>
        <w:rPr>
          <w:b/>
          <w:sz w:val="28"/>
          <w:szCs w:val="28"/>
        </w:rPr>
      </w:pPr>
      <w:r w:rsidRPr="00A00929">
        <w:rPr>
          <w:b/>
          <w:sz w:val="28"/>
          <w:szCs w:val="28"/>
        </w:rPr>
        <w:t>Прогноз 202</w:t>
      </w:r>
      <w:r>
        <w:rPr>
          <w:b/>
          <w:sz w:val="28"/>
          <w:szCs w:val="28"/>
        </w:rPr>
        <w:t>2</w:t>
      </w:r>
      <w:r w:rsidRPr="00A00929">
        <w:rPr>
          <w:b/>
          <w:sz w:val="28"/>
          <w:szCs w:val="28"/>
        </w:rPr>
        <w:t>-202</w:t>
      </w:r>
      <w:r>
        <w:rPr>
          <w:b/>
          <w:sz w:val="28"/>
          <w:szCs w:val="28"/>
        </w:rPr>
        <w:t>4</w:t>
      </w:r>
      <w:r w:rsidRPr="00A00929">
        <w:rPr>
          <w:b/>
          <w:sz w:val="28"/>
          <w:szCs w:val="28"/>
        </w:rPr>
        <w:t xml:space="preserve"> год</w:t>
      </w:r>
      <w:r>
        <w:rPr>
          <w:b/>
          <w:sz w:val="28"/>
          <w:szCs w:val="28"/>
        </w:rPr>
        <w:t>ы</w:t>
      </w:r>
      <w:r w:rsidRPr="00A00929">
        <w:rPr>
          <w:b/>
          <w:sz w:val="28"/>
          <w:szCs w:val="28"/>
        </w:rPr>
        <w:t xml:space="preserve"> – </w:t>
      </w:r>
      <w:r>
        <w:rPr>
          <w:b/>
          <w:sz w:val="28"/>
          <w:szCs w:val="28"/>
        </w:rPr>
        <w:t xml:space="preserve">6,0 </w:t>
      </w:r>
      <w:r w:rsidRPr="00A00929">
        <w:rPr>
          <w:b/>
          <w:sz w:val="28"/>
          <w:szCs w:val="28"/>
        </w:rPr>
        <w:t>тыс. руб.</w:t>
      </w:r>
    </w:p>
    <w:p w:rsidR="00F07E05" w:rsidRDefault="00F07E05" w:rsidP="00F07E05">
      <w:pPr>
        <w:autoSpaceDE w:val="0"/>
        <w:autoSpaceDN w:val="0"/>
        <w:adjustRightInd w:val="0"/>
        <w:ind w:firstLine="720"/>
        <w:jc w:val="both"/>
        <w:rPr>
          <w:sz w:val="28"/>
          <w:szCs w:val="28"/>
        </w:rPr>
      </w:pPr>
      <w:r>
        <w:rPr>
          <w:sz w:val="28"/>
          <w:szCs w:val="28"/>
        </w:rPr>
        <w:t xml:space="preserve">Прочие доходы от компенсации затрат бюджетов субъектов Российской Федерации (иные прочие доходы от компенсации затрат средств субъектов) </w:t>
      </w:r>
    </w:p>
    <w:p w:rsidR="00F07E05" w:rsidRPr="00E40722" w:rsidRDefault="00F07E05" w:rsidP="00F07E05">
      <w:pPr>
        <w:autoSpaceDE w:val="0"/>
        <w:autoSpaceDN w:val="0"/>
        <w:adjustRightInd w:val="0"/>
        <w:ind w:firstLine="720"/>
        <w:jc w:val="both"/>
        <w:rPr>
          <w:sz w:val="28"/>
          <w:szCs w:val="28"/>
        </w:rPr>
      </w:pPr>
      <w:r w:rsidRPr="00E40722">
        <w:rPr>
          <w:sz w:val="28"/>
          <w:szCs w:val="28"/>
        </w:rPr>
        <w:t>201</w:t>
      </w:r>
      <w:r>
        <w:rPr>
          <w:sz w:val="28"/>
          <w:szCs w:val="28"/>
        </w:rPr>
        <w:t>8</w:t>
      </w:r>
      <w:r w:rsidRPr="00E40722">
        <w:rPr>
          <w:sz w:val="28"/>
          <w:szCs w:val="28"/>
        </w:rPr>
        <w:t xml:space="preserve"> год факт –</w:t>
      </w:r>
      <w:r>
        <w:rPr>
          <w:sz w:val="28"/>
          <w:szCs w:val="28"/>
        </w:rPr>
        <w:t xml:space="preserve">569,9 </w:t>
      </w:r>
      <w:r w:rsidRPr="00E40722">
        <w:rPr>
          <w:sz w:val="28"/>
          <w:szCs w:val="28"/>
        </w:rPr>
        <w:t>тыс. руб.;</w:t>
      </w:r>
    </w:p>
    <w:p w:rsidR="00F07E05" w:rsidRPr="00E40722" w:rsidRDefault="00F07E05" w:rsidP="00F07E05">
      <w:pPr>
        <w:autoSpaceDE w:val="0"/>
        <w:autoSpaceDN w:val="0"/>
        <w:adjustRightInd w:val="0"/>
        <w:ind w:firstLine="720"/>
        <w:jc w:val="both"/>
        <w:rPr>
          <w:sz w:val="28"/>
          <w:szCs w:val="28"/>
        </w:rPr>
      </w:pPr>
      <w:r w:rsidRPr="00E40722">
        <w:rPr>
          <w:sz w:val="28"/>
          <w:szCs w:val="28"/>
        </w:rPr>
        <w:t>20</w:t>
      </w:r>
      <w:r>
        <w:rPr>
          <w:sz w:val="28"/>
          <w:szCs w:val="28"/>
        </w:rPr>
        <w:t xml:space="preserve">19 </w:t>
      </w:r>
      <w:r w:rsidRPr="00E40722">
        <w:rPr>
          <w:sz w:val="28"/>
          <w:szCs w:val="28"/>
        </w:rPr>
        <w:t xml:space="preserve">год факт – </w:t>
      </w:r>
      <w:r>
        <w:rPr>
          <w:sz w:val="28"/>
          <w:szCs w:val="28"/>
        </w:rPr>
        <w:t>5890,4</w:t>
      </w:r>
      <w:r w:rsidRPr="00E40722">
        <w:rPr>
          <w:sz w:val="28"/>
          <w:szCs w:val="28"/>
        </w:rPr>
        <w:t xml:space="preserve"> тыс. руб.;</w:t>
      </w:r>
    </w:p>
    <w:p w:rsidR="00F07E05" w:rsidRDefault="00F07E05" w:rsidP="00F07E05">
      <w:pPr>
        <w:autoSpaceDE w:val="0"/>
        <w:autoSpaceDN w:val="0"/>
        <w:adjustRightInd w:val="0"/>
        <w:ind w:firstLine="720"/>
        <w:jc w:val="both"/>
        <w:rPr>
          <w:sz w:val="28"/>
          <w:szCs w:val="28"/>
        </w:rPr>
      </w:pPr>
      <w:r w:rsidRPr="00E40722">
        <w:rPr>
          <w:sz w:val="28"/>
          <w:szCs w:val="28"/>
        </w:rPr>
        <w:lastRenderedPageBreak/>
        <w:t>20</w:t>
      </w:r>
      <w:r>
        <w:rPr>
          <w:sz w:val="28"/>
          <w:szCs w:val="28"/>
        </w:rPr>
        <w:t xml:space="preserve">20 </w:t>
      </w:r>
      <w:r w:rsidRPr="00E40722">
        <w:rPr>
          <w:sz w:val="28"/>
          <w:szCs w:val="28"/>
        </w:rPr>
        <w:t xml:space="preserve"> год факт – </w:t>
      </w:r>
      <w:r>
        <w:rPr>
          <w:sz w:val="28"/>
          <w:szCs w:val="28"/>
        </w:rPr>
        <w:t xml:space="preserve">2 979,4 </w:t>
      </w:r>
      <w:r w:rsidRPr="00E40722">
        <w:rPr>
          <w:sz w:val="28"/>
          <w:szCs w:val="28"/>
        </w:rPr>
        <w:t>тыс. руб.</w:t>
      </w:r>
    </w:p>
    <w:p w:rsidR="00F07E05" w:rsidRPr="00A00929" w:rsidRDefault="00F07E05" w:rsidP="00F07E05">
      <w:pPr>
        <w:autoSpaceDE w:val="0"/>
        <w:autoSpaceDN w:val="0"/>
        <w:adjustRightInd w:val="0"/>
        <w:ind w:firstLine="720"/>
        <w:jc w:val="both"/>
        <w:rPr>
          <w:b/>
          <w:sz w:val="28"/>
          <w:szCs w:val="28"/>
        </w:rPr>
      </w:pPr>
      <w:r w:rsidRPr="00A00929">
        <w:rPr>
          <w:b/>
          <w:sz w:val="28"/>
          <w:szCs w:val="28"/>
        </w:rPr>
        <w:t>Прогноз 202</w:t>
      </w:r>
      <w:r>
        <w:rPr>
          <w:b/>
          <w:sz w:val="28"/>
          <w:szCs w:val="28"/>
        </w:rPr>
        <w:t>2</w:t>
      </w:r>
      <w:r w:rsidRPr="00A00929">
        <w:rPr>
          <w:b/>
          <w:sz w:val="28"/>
          <w:szCs w:val="28"/>
        </w:rPr>
        <w:t>-202</w:t>
      </w:r>
      <w:r>
        <w:rPr>
          <w:b/>
          <w:sz w:val="28"/>
          <w:szCs w:val="28"/>
        </w:rPr>
        <w:t>4</w:t>
      </w:r>
      <w:r w:rsidRPr="00A00929">
        <w:rPr>
          <w:b/>
          <w:sz w:val="28"/>
          <w:szCs w:val="28"/>
        </w:rPr>
        <w:t xml:space="preserve"> год</w:t>
      </w:r>
      <w:r>
        <w:rPr>
          <w:b/>
          <w:sz w:val="28"/>
          <w:szCs w:val="28"/>
        </w:rPr>
        <w:t>ы</w:t>
      </w:r>
      <w:r w:rsidRPr="00A00929">
        <w:rPr>
          <w:b/>
          <w:sz w:val="28"/>
          <w:szCs w:val="28"/>
        </w:rPr>
        <w:t xml:space="preserve"> – </w:t>
      </w:r>
      <w:r>
        <w:rPr>
          <w:b/>
          <w:sz w:val="28"/>
          <w:szCs w:val="28"/>
        </w:rPr>
        <w:t>569,9</w:t>
      </w:r>
      <w:r w:rsidRPr="00A00929">
        <w:rPr>
          <w:b/>
          <w:sz w:val="28"/>
          <w:szCs w:val="28"/>
        </w:rPr>
        <w:t xml:space="preserve"> тыс. руб</w:t>
      </w:r>
    </w:p>
    <w:p w:rsidR="00F07E05" w:rsidRDefault="00F07E05" w:rsidP="00F07E05">
      <w:pPr>
        <w:pStyle w:val="ConsPlusNormal"/>
        <w:ind w:firstLine="709"/>
        <w:jc w:val="both"/>
        <w:rPr>
          <w:rFonts w:ascii="Times New Roman" w:hAnsi="Times New Roman" w:cs="Times New Roman"/>
          <w:sz w:val="28"/>
          <w:szCs w:val="28"/>
        </w:rPr>
      </w:pPr>
    </w:p>
    <w:p w:rsidR="00F07E05" w:rsidRPr="00FE6BC6" w:rsidRDefault="00F07E05" w:rsidP="00F07E05">
      <w:pPr>
        <w:spacing w:line="276" w:lineRule="auto"/>
        <w:jc w:val="center"/>
        <w:rPr>
          <w:b/>
          <w:sz w:val="28"/>
          <w:szCs w:val="28"/>
        </w:rPr>
      </w:pPr>
      <w:r w:rsidRPr="00FE6BC6">
        <w:rPr>
          <w:b/>
          <w:sz w:val="28"/>
          <w:szCs w:val="28"/>
        </w:rPr>
        <w:t>Главное управление по труду и занятости населения Тверской области</w:t>
      </w:r>
    </w:p>
    <w:p w:rsidR="00F07E05" w:rsidRDefault="00F07E05" w:rsidP="00F07E05">
      <w:pPr>
        <w:pStyle w:val="21"/>
        <w:jc w:val="right"/>
        <w:rPr>
          <w:b/>
        </w:rPr>
      </w:pPr>
    </w:p>
    <w:p w:rsidR="00F07E05" w:rsidRPr="00C93A58" w:rsidRDefault="00F07E05" w:rsidP="00F07E05">
      <w:pPr>
        <w:pStyle w:val="21"/>
        <w:jc w:val="right"/>
        <w:rPr>
          <w:b/>
        </w:rPr>
      </w:pPr>
      <w:r w:rsidRPr="00C93A58">
        <w:rPr>
          <w:b/>
        </w:rPr>
        <w:t>тыс.руб.</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1368"/>
        <w:gridCol w:w="1440"/>
        <w:gridCol w:w="1620"/>
      </w:tblGrid>
      <w:tr w:rsidR="00F07E05" w:rsidRPr="00C93A58" w:rsidTr="008A253E">
        <w:trPr>
          <w:trHeight w:val="510"/>
        </w:trPr>
        <w:tc>
          <w:tcPr>
            <w:tcW w:w="2520" w:type="dxa"/>
            <w:noWrap/>
          </w:tcPr>
          <w:p w:rsidR="00F07E05" w:rsidRPr="00C93A58" w:rsidRDefault="00F07E05" w:rsidP="008A253E">
            <w:pPr>
              <w:rPr>
                <w:b/>
                <w:sz w:val="20"/>
                <w:szCs w:val="20"/>
              </w:rPr>
            </w:pPr>
            <w:r w:rsidRPr="00C93A58">
              <w:rPr>
                <w:b/>
                <w:sz w:val="20"/>
                <w:szCs w:val="20"/>
              </w:rPr>
              <w:t>Код БК</w:t>
            </w:r>
          </w:p>
        </w:tc>
        <w:tc>
          <w:tcPr>
            <w:tcW w:w="2520" w:type="dxa"/>
            <w:noWrap/>
          </w:tcPr>
          <w:p w:rsidR="00F07E05" w:rsidRPr="00C93A58" w:rsidRDefault="00F07E05" w:rsidP="008A253E">
            <w:pPr>
              <w:rPr>
                <w:b/>
                <w:sz w:val="20"/>
                <w:szCs w:val="20"/>
              </w:rPr>
            </w:pPr>
            <w:r w:rsidRPr="00C93A58">
              <w:rPr>
                <w:b/>
                <w:sz w:val="20"/>
                <w:szCs w:val="20"/>
              </w:rPr>
              <w:t>Наименование</w:t>
            </w:r>
          </w:p>
        </w:tc>
        <w:tc>
          <w:tcPr>
            <w:tcW w:w="1368" w:type="dxa"/>
          </w:tcPr>
          <w:p w:rsidR="00F07E05" w:rsidRPr="00C93A58" w:rsidRDefault="00F07E05" w:rsidP="008A253E">
            <w:pPr>
              <w:jc w:val="center"/>
              <w:rPr>
                <w:b/>
                <w:sz w:val="20"/>
                <w:szCs w:val="20"/>
              </w:rPr>
            </w:pPr>
            <w:r w:rsidRPr="00C93A58">
              <w:rPr>
                <w:b/>
                <w:sz w:val="20"/>
                <w:szCs w:val="20"/>
              </w:rPr>
              <w:t>Прогноз на</w:t>
            </w:r>
          </w:p>
          <w:p w:rsidR="00F07E05" w:rsidRPr="00C93A58" w:rsidRDefault="00F07E05" w:rsidP="008A253E">
            <w:pPr>
              <w:jc w:val="center"/>
              <w:rPr>
                <w:b/>
                <w:sz w:val="20"/>
                <w:szCs w:val="20"/>
              </w:rPr>
            </w:pPr>
            <w:r w:rsidRPr="00C93A58">
              <w:rPr>
                <w:b/>
                <w:sz w:val="20"/>
                <w:szCs w:val="20"/>
              </w:rPr>
              <w:t>20</w:t>
            </w:r>
            <w:r>
              <w:rPr>
                <w:b/>
                <w:sz w:val="20"/>
                <w:szCs w:val="20"/>
              </w:rPr>
              <w:t xml:space="preserve">22 </w:t>
            </w:r>
            <w:r w:rsidRPr="00C93A58">
              <w:rPr>
                <w:b/>
                <w:sz w:val="20"/>
                <w:szCs w:val="20"/>
              </w:rPr>
              <w:t xml:space="preserve"> год </w:t>
            </w:r>
          </w:p>
          <w:p w:rsidR="00F07E05" w:rsidRPr="00C93A58" w:rsidRDefault="00F07E05" w:rsidP="008A253E">
            <w:pPr>
              <w:jc w:val="center"/>
              <w:rPr>
                <w:b/>
                <w:sz w:val="20"/>
                <w:szCs w:val="20"/>
              </w:rPr>
            </w:pPr>
          </w:p>
        </w:tc>
        <w:tc>
          <w:tcPr>
            <w:tcW w:w="1440" w:type="dxa"/>
          </w:tcPr>
          <w:p w:rsidR="00F07E05" w:rsidRPr="00C93A58" w:rsidRDefault="00F07E05" w:rsidP="008A253E">
            <w:pPr>
              <w:jc w:val="center"/>
              <w:rPr>
                <w:b/>
                <w:sz w:val="20"/>
                <w:szCs w:val="20"/>
              </w:rPr>
            </w:pPr>
            <w:r w:rsidRPr="00C93A58">
              <w:rPr>
                <w:b/>
                <w:sz w:val="20"/>
                <w:szCs w:val="20"/>
              </w:rPr>
              <w:t>Прогноз на</w:t>
            </w:r>
          </w:p>
          <w:p w:rsidR="00F07E05" w:rsidRPr="00C93A58" w:rsidRDefault="00F07E05" w:rsidP="008A253E">
            <w:pPr>
              <w:jc w:val="center"/>
              <w:rPr>
                <w:b/>
                <w:sz w:val="20"/>
                <w:szCs w:val="20"/>
              </w:rPr>
            </w:pPr>
            <w:r w:rsidRPr="00C93A58">
              <w:rPr>
                <w:b/>
                <w:sz w:val="20"/>
                <w:szCs w:val="20"/>
              </w:rPr>
              <w:t>20</w:t>
            </w:r>
            <w:r>
              <w:rPr>
                <w:b/>
                <w:sz w:val="20"/>
                <w:szCs w:val="20"/>
              </w:rPr>
              <w:t xml:space="preserve">23 </w:t>
            </w:r>
            <w:r w:rsidRPr="00C93A58">
              <w:rPr>
                <w:b/>
                <w:sz w:val="20"/>
                <w:szCs w:val="20"/>
              </w:rPr>
              <w:t>год</w:t>
            </w:r>
          </w:p>
          <w:p w:rsidR="00F07E05" w:rsidRPr="00C93A58" w:rsidRDefault="00F07E05" w:rsidP="008A253E">
            <w:pPr>
              <w:jc w:val="center"/>
              <w:rPr>
                <w:b/>
                <w:sz w:val="20"/>
                <w:szCs w:val="20"/>
              </w:rPr>
            </w:pPr>
          </w:p>
        </w:tc>
        <w:tc>
          <w:tcPr>
            <w:tcW w:w="1620" w:type="dxa"/>
          </w:tcPr>
          <w:p w:rsidR="00F07E05" w:rsidRPr="00C93A58" w:rsidRDefault="00F07E05" w:rsidP="008A253E">
            <w:pPr>
              <w:jc w:val="center"/>
              <w:rPr>
                <w:b/>
                <w:sz w:val="20"/>
                <w:szCs w:val="20"/>
              </w:rPr>
            </w:pPr>
            <w:r w:rsidRPr="00C93A58">
              <w:rPr>
                <w:b/>
                <w:sz w:val="20"/>
                <w:szCs w:val="20"/>
              </w:rPr>
              <w:t>Прогноз на</w:t>
            </w:r>
          </w:p>
          <w:p w:rsidR="00F07E05" w:rsidRPr="00C93A58" w:rsidRDefault="00F07E05" w:rsidP="008A253E">
            <w:pPr>
              <w:jc w:val="center"/>
              <w:rPr>
                <w:b/>
                <w:sz w:val="20"/>
                <w:szCs w:val="20"/>
              </w:rPr>
            </w:pPr>
            <w:r w:rsidRPr="00C93A58">
              <w:rPr>
                <w:b/>
                <w:sz w:val="20"/>
                <w:szCs w:val="20"/>
              </w:rPr>
              <w:t>20</w:t>
            </w:r>
            <w:r>
              <w:rPr>
                <w:b/>
                <w:sz w:val="20"/>
                <w:szCs w:val="20"/>
              </w:rPr>
              <w:t>24</w:t>
            </w:r>
            <w:r w:rsidRPr="00C93A58">
              <w:rPr>
                <w:b/>
                <w:sz w:val="20"/>
                <w:szCs w:val="20"/>
              </w:rPr>
              <w:t xml:space="preserve"> год</w:t>
            </w:r>
          </w:p>
          <w:p w:rsidR="00F07E05" w:rsidRPr="00C93A58" w:rsidRDefault="00F07E05" w:rsidP="008A253E">
            <w:pPr>
              <w:jc w:val="center"/>
              <w:rPr>
                <w:b/>
                <w:sz w:val="20"/>
                <w:szCs w:val="20"/>
              </w:rPr>
            </w:pPr>
          </w:p>
        </w:tc>
      </w:tr>
      <w:tr w:rsidR="00F07E05" w:rsidRPr="00C93A58" w:rsidTr="008A253E">
        <w:trPr>
          <w:trHeight w:val="1275"/>
        </w:trPr>
        <w:tc>
          <w:tcPr>
            <w:tcW w:w="2520" w:type="dxa"/>
            <w:noWrap/>
          </w:tcPr>
          <w:p w:rsidR="00F07E05" w:rsidRPr="00C93A58" w:rsidRDefault="00F07E05" w:rsidP="008A253E">
            <w:pPr>
              <w:jc w:val="center"/>
              <w:rPr>
                <w:b/>
                <w:sz w:val="16"/>
                <w:szCs w:val="16"/>
              </w:rPr>
            </w:pPr>
          </w:p>
          <w:p w:rsidR="00F07E05" w:rsidRPr="00C93A58" w:rsidRDefault="00F07E05" w:rsidP="008A253E">
            <w:pPr>
              <w:jc w:val="center"/>
              <w:rPr>
                <w:b/>
                <w:sz w:val="16"/>
                <w:szCs w:val="16"/>
              </w:rPr>
            </w:pPr>
          </w:p>
          <w:p w:rsidR="00F07E05" w:rsidRPr="00C93A58" w:rsidRDefault="00F07E05" w:rsidP="008A253E">
            <w:pPr>
              <w:jc w:val="center"/>
              <w:rPr>
                <w:b/>
                <w:sz w:val="16"/>
                <w:szCs w:val="16"/>
              </w:rPr>
            </w:pPr>
            <w:r w:rsidRPr="00C93A58">
              <w:rPr>
                <w:b/>
                <w:sz w:val="16"/>
                <w:szCs w:val="16"/>
              </w:rPr>
              <w:t>000</w:t>
            </w:r>
            <w:r w:rsidRPr="00C93A58">
              <w:rPr>
                <w:b/>
                <w:sz w:val="16"/>
                <w:szCs w:val="16"/>
                <w:lang w:val="en-US"/>
              </w:rPr>
              <w:t xml:space="preserve"> 1 13 0</w:t>
            </w:r>
            <w:r w:rsidRPr="00C93A58">
              <w:rPr>
                <w:b/>
                <w:sz w:val="16"/>
                <w:szCs w:val="16"/>
              </w:rPr>
              <w:t>2990</w:t>
            </w:r>
            <w:r w:rsidRPr="00C93A58">
              <w:rPr>
                <w:b/>
                <w:sz w:val="16"/>
                <w:szCs w:val="16"/>
                <w:lang w:val="en-US"/>
              </w:rPr>
              <w:t xml:space="preserve"> 0</w:t>
            </w:r>
            <w:r w:rsidRPr="00C93A58">
              <w:rPr>
                <w:b/>
                <w:sz w:val="16"/>
                <w:szCs w:val="16"/>
              </w:rPr>
              <w:t>0</w:t>
            </w:r>
            <w:r w:rsidRPr="00C93A58">
              <w:rPr>
                <w:b/>
                <w:sz w:val="16"/>
                <w:szCs w:val="16"/>
                <w:lang w:val="en-US"/>
              </w:rPr>
              <w:t xml:space="preserve"> 0</w:t>
            </w:r>
            <w:r w:rsidRPr="00C93A58">
              <w:rPr>
                <w:b/>
                <w:sz w:val="16"/>
                <w:szCs w:val="16"/>
              </w:rPr>
              <w:t>000 130</w:t>
            </w:r>
          </w:p>
        </w:tc>
        <w:tc>
          <w:tcPr>
            <w:tcW w:w="2520" w:type="dxa"/>
          </w:tcPr>
          <w:p w:rsidR="00F07E05" w:rsidRPr="00C93A58" w:rsidRDefault="00F07E05" w:rsidP="008A253E">
            <w:pPr>
              <w:rPr>
                <w:sz w:val="20"/>
                <w:szCs w:val="20"/>
              </w:rPr>
            </w:pPr>
          </w:p>
          <w:p w:rsidR="00F07E05" w:rsidRPr="00C93A58" w:rsidRDefault="00F07E05" w:rsidP="008A253E">
            <w:pPr>
              <w:rPr>
                <w:sz w:val="20"/>
                <w:szCs w:val="20"/>
              </w:rPr>
            </w:pPr>
            <w:r w:rsidRPr="00C93A58">
              <w:rPr>
                <w:sz w:val="20"/>
                <w:szCs w:val="20"/>
              </w:rPr>
              <w:t xml:space="preserve">Прочие доходы от компенсации затрат государства </w:t>
            </w:r>
          </w:p>
        </w:tc>
        <w:tc>
          <w:tcPr>
            <w:tcW w:w="1368" w:type="dxa"/>
            <w:noWrap/>
          </w:tcPr>
          <w:p w:rsidR="00F07E05" w:rsidRDefault="00F07E05" w:rsidP="008A253E">
            <w:pPr>
              <w:ind w:hanging="108"/>
              <w:jc w:val="center"/>
              <w:rPr>
                <w:sz w:val="20"/>
                <w:szCs w:val="20"/>
              </w:rPr>
            </w:pPr>
          </w:p>
          <w:p w:rsidR="00F07E05" w:rsidRPr="00C93A58" w:rsidRDefault="00F07E05" w:rsidP="008A253E">
            <w:pPr>
              <w:ind w:hanging="108"/>
              <w:jc w:val="center"/>
              <w:rPr>
                <w:sz w:val="20"/>
                <w:szCs w:val="20"/>
              </w:rPr>
            </w:pPr>
            <w:r>
              <w:rPr>
                <w:sz w:val="20"/>
                <w:szCs w:val="20"/>
              </w:rPr>
              <w:t>1 571,7</w:t>
            </w:r>
          </w:p>
        </w:tc>
        <w:tc>
          <w:tcPr>
            <w:tcW w:w="1440" w:type="dxa"/>
            <w:noWrap/>
          </w:tcPr>
          <w:p w:rsidR="00F07E05" w:rsidRDefault="00F07E05" w:rsidP="008A253E">
            <w:pPr>
              <w:ind w:left="-136" w:right="-108" w:hanging="28"/>
              <w:jc w:val="center"/>
              <w:rPr>
                <w:sz w:val="20"/>
                <w:szCs w:val="20"/>
              </w:rPr>
            </w:pPr>
          </w:p>
          <w:p w:rsidR="00F07E05" w:rsidRPr="00C93A58" w:rsidRDefault="00F07E05" w:rsidP="008A253E">
            <w:pPr>
              <w:ind w:left="-136" w:right="-108" w:hanging="28"/>
              <w:jc w:val="center"/>
              <w:rPr>
                <w:sz w:val="20"/>
                <w:szCs w:val="20"/>
              </w:rPr>
            </w:pPr>
            <w:r>
              <w:rPr>
                <w:sz w:val="20"/>
                <w:szCs w:val="20"/>
              </w:rPr>
              <w:t>1 571,7</w:t>
            </w:r>
          </w:p>
        </w:tc>
        <w:tc>
          <w:tcPr>
            <w:tcW w:w="1620" w:type="dxa"/>
            <w:noWrap/>
          </w:tcPr>
          <w:p w:rsidR="00F07E05" w:rsidRDefault="00F07E05" w:rsidP="008A253E">
            <w:pPr>
              <w:ind w:left="-108" w:right="-3" w:hanging="108"/>
              <w:jc w:val="center"/>
              <w:rPr>
                <w:sz w:val="20"/>
                <w:szCs w:val="20"/>
              </w:rPr>
            </w:pPr>
          </w:p>
          <w:p w:rsidR="00F07E05" w:rsidRDefault="00F07E05" w:rsidP="008A253E">
            <w:pPr>
              <w:ind w:left="-108" w:right="-3" w:hanging="108"/>
              <w:jc w:val="center"/>
              <w:rPr>
                <w:sz w:val="20"/>
                <w:szCs w:val="20"/>
              </w:rPr>
            </w:pPr>
            <w:r>
              <w:rPr>
                <w:sz w:val="20"/>
                <w:szCs w:val="20"/>
              </w:rPr>
              <w:t>1 571,7</w:t>
            </w:r>
          </w:p>
          <w:p w:rsidR="00F07E05" w:rsidRPr="00C93A58" w:rsidRDefault="00F07E05" w:rsidP="008A253E">
            <w:pPr>
              <w:ind w:left="-108" w:right="-3" w:hanging="108"/>
              <w:jc w:val="center"/>
              <w:rPr>
                <w:sz w:val="20"/>
                <w:szCs w:val="20"/>
              </w:rPr>
            </w:pPr>
          </w:p>
        </w:tc>
      </w:tr>
    </w:tbl>
    <w:p w:rsidR="00F07E05" w:rsidRPr="00C93A58" w:rsidRDefault="00F07E05" w:rsidP="00F07E05">
      <w:pPr>
        <w:ind w:firstLine="720"/>
        <w:jc w:val="both"/>
        <w:rPr>
          <w:b/>
          <w:sz w:val="28"/>
          <w:szCs w:val="28"/>
        </w:rPr>
      </w:pPr>
    </w:p>
    <w:p w:rsidR="00F07E05" w:rsidRPr="00C93A58" w:rsidRDefault="00F07E05" w:rsidP="00F07E05">
      <w:pPr>
        <w:ind w:firstLine="708"/>
        <w:jc w:val="both"/>
        <w:rPr>
          <w:sz w:val="28"/>
          <w:szCs w:val="28"/>
        </w:rPr>
      </w:pPr>
      <w:r w:rsidRPr="00C93A58">
        <w:rPr>
          <w:sz w:val="28"/>
          <w:szCs w:val="28"/>
        </w:rPr>
        <w:t xml:space="preserve">В соответствии с Методикой прогнозирования утвержденной приказом Главного управления по труду и занятости населения Тверской области от </w:t>
      </w:r>
      <w:r>
        <w:rPr>
          <w:sz w:val="28"/>
          <w:szCs w:val="28"/>
        </w:rPr>
        <w:t xml:space="preserve">11.09.2019 </w:t>
      </w:r>
      <w:r w:rsidRPr="00C93A58">
        <w:rPr>
          <w:sz w:val="28"/>
          <w:szCs w:val="28"/>
        </w:rPr>
        <w:t xml:space="preserve">№ </w:t>
      </w:r>
      <w:r>
        <w:rPr>
          <w:sz w:val="28"/>
          <w:szCs w:val="28"/>
        </w:rPr>
        <w:t>149 (с изменениями и дополнениями)</w:t>
      </w:r>
      <w:r w:rsidRPr="00C93A58">
        <w:rPr>
          <w:sz w:val="28"/>
          <w:szCs w:val="28"/>
        </w:rPr>
        <w:t xml:space="preserve"> расчет прогнозного объема поступлений на первый год прогнозного</w:t>
      </w:r>
      <w:r>
        <w:rPr>
          <w:sz w:val="28"/>
          <w:szCs w:val="28"/>
        </w:rPr>
        <w:t xml:space="preserve"> периода</w:t>
      </w:r>
      <w:r w:rsidRPr="00C93A58">
        <w:rPr>
          <w:sz w:val="28"/>
          <w:szCs w:val="28"/>
        </w:rPr>
        <w:t xml:space="preserve"> рассчитывается методом усреднения годовых объемов дохода полученных за 3 года, предшествующих текущему году. </w:t>
      </w:r>
    </w:p>
    <w:p w:rsidR="00F07E05" w:rsidRDefault="00F07E05" w:rsidP="00F07E05">
      <w:pPr>
        <w:spacing w:line="276" w:lineRule="auto"/>
        <w:ind w:firstLine="720"/>
        <w:jc w:val="both"/>
        <w:rPr>
          <w:sz w:val="28"/>
          <w:szCs w:val="28"/>
        </w:rPr>
      </w:pPr>
      <w:r w:rsidRPr="00C93A58">
        <w:rPr>
          <w:sz w:val="28"/>
          <w:szCs w:val="28"/>
        </w:rPr>
        <w:t xml:space="preserve">  201</w:t>
      </w:r>
      <w:r>
        <w:rPr>
          <w:sz w:val="28"/>
          <w:szCs w:val="28"/>
        </w:rPr>
        <w:t>8</w:t>
      </w:r>
      <w:r w:rsidRPr="00C93A58">
        <w:rPr>
          <w:sz w:val="28"/>
          <w:szCs w:val="28"/>
        </w:rPr>
        <w:t xml:space="preserve"> год</w:t>
      </w:r>
      <w:r>
        <w:rPr>
          <w:sz w:val="28"/>
          <w:szCs w:val="28"/>
        </w:rPr>
        <w:t xml:space="preserve"> – 2 124,2 тыс.руб.;</w:t>
      </w:r>
    </w:p>
    <w:p w:rsidR="00F07E05" w:rsidRDefault="00F07E05" w:rsidP="00F07E05">
      <w:pPr>
        <w:spacing w:line="276" w:lineRule="auto"/>
        <w:ind w:firstLine="720"/>
        <w:jc w:val="both"/>
        <w:rPr>
          <w:sz w:val="28"/>
          <w:szCs w:val="28"/>
        </w:rPr>
      </w:pPr>
      <w:r w:rsidRPr="00C93A58">
        <w:rPr>
          <w:sz w:val="28"/>
          <w:szCs w:val="28"/>
        </w:rPr>
        <w:t xml:space="preserve"> 201</w:t>
      </w:r>
      <w:r>
        <w:rPr>
          <w:sz w:val="28"/>
          <w:szCs w:val="28"/>
        </w:rPr>
        <w:t xml:space="preserve">9 </w:t>
      </w:r>
      <w:r w:rsidRPr="00C93A58">
        <w:rPr>
          <w:sz w:val="28"/>
          <w:szCs w:val="28"/>
        </w:rPr>
        <w:t xml:space="preserve">год </w:t>
      </w:r>
      <w:r>
        <w:rPr>
          <w:sz w:val="28"/>
          <w:szCs w:val="28"/>
        </w:rPr>
        <w:t xml:space="preserve"> - 1 618,9 тыс.руб.;</w:t>
      </w:r>
    </w:p>
    <w:p w:rsidR="00F07E05" w:rsidRPr="00C93A58" w:rsidRDefault="00F07E05" w:rsidP="00F07E05">
      <w:pPr>
        <w:spacing w:line="276" w:lineRule="auto"/>
        <w:ind w:firstLine="720"/>
        <w:jc w:val="both"/>
        <w:rPr>
          <w:sz w:val="28"/>
          <w:szCs w:val="28"/>
        </w:rPr>
      </w:pPr>
      <w:r w:rsidRPr="00C93A58">
        <w:rPr>
          <w:sz w:val="28"/>
          <w:szCs w:val="28"/>
        </w:rPr>
        <w:t xml:space="preserve"> 20</w:t>
      </w:r>
      <w:r>
        <w:rPr>
          <w:sz w:val="28"/>
          <w:szCs w:val="28"/>
        </w:rPr>
        <w:t>20</w:t>
      </w:r>
      <w:r w:rsidRPr="00C93A58">
        <w:rPr>
          <w:sz w:val="28"/>
          <w:szCs w:val="28"/>
        </w:rPr>
        <w:t xml:space="preserve"> год</w:t>
      </w:r>
      <w:r>
        <w:rPr>
          <w:sz w:val="28"/>
          <w:szCs w:val="28"/>
        </w:rPr>
        <w:t xml:space="preserve"> -  972,0 тыс. руб.</w:t>
      </w:r>
    </w:p>
    <w:p w:rsidR="00F07E05" w:rsidRPr="00C93A58" w:rsidRDefault="00F07E05" w:rsidP="00F07E05">
      <w:pPr>
        <w:autoSpaceDE w:val="0"/>
        <w:autoSpaceDN w:val="0"/>
        <w:adjustRightInd w:val="0"/>
        <w:ind w:firstLine="720"/>
        <w:jc w:val="both"/>
        <w:rPr>
          <w:sz w:val="28"/>
          <w:szCs w:val="28"/>
        </w:rPr>
      </w:pPr>
      <w:r w:rsidRPr="00C93A58">
        <w:rPr>
          <w:b/>
          <w:sz w:val="28"/>
          <w:szCs w:val="28"/>
        </w:rPr>
        <w:t>Прогноз на 20</w:t>
      </w:r>
      <w:r>
        <w:rPr>
          <w:b/>
          <w:sz w:val="28"/>
          <w:szCs w:val="28"/>
        </w:rPr>
        <w:t>22</w:t>
      </w:r>
      <w:r w:rsidRPr="00C93A58">
        <w:rPr>
          <w:b/>
          <w:sz w:val="28"/>
          <w:szCs w:val="28"/>
        </w:rPr>
        <w:t xml:space="preserve"> год рассчитан в сумме </w:t>
      </w:r>
      <w:r>
        <w:rPr>
          <w:b/>
          <w:sz w:val="28"/>
          <w:szCs w:val="28"/>
        </w:rPr>
        <w:t xml:space="preserve">1 571,7 </w:t>
      </w:r>
      <w:r w:rsidRPr="00C93A58">
        <w:rPr>
          <w:b/>
          <w:sz w:val="28"/>
          <w:szCs w:val="28"/>
        </w:rPr>
        <w:t xml:space="preserve"> тыс. руб</w:t>
      </w:r>
      <w:r w:rsidRPr="00C93A58">
        <w:rPr>
          <w:sz w:val="28"/>
          <w:szCs w:val="28"/>
        </w:rPr>
        <w:t xml:space="preserve">. </w:t>
      </w:r>
      <w:r>
        <w:rPr>
          <w:sz w:val="28"/>
          <w:szCs w:val="28"/>
        </w:rPr>
        <w:t>(</w:t>
      </w:r>
      <w:r w:rsidRPr="00C93A58">
        <w:rPr>
          <w:sz w:val="28"/>
          <w:szCs w:val="28"/>
        </w:rPr>
        <w:t xml:space="preserve"> </w:t>
      </w:r>
      <w:r>
        <w:rPr>
          <w:sz w:val="28"/>
          <w:szCs w:val="28"/>
        </w:rPr>
        <w:t>2 124,2</w:t>
      </w:r>
      <w:r w:rsidRPr="00C93A58">
        <w:rPr>
          <w:sz w:val="28"/>
          <w:szCs w:val="28"/>
        </w:rPr>
        <w:t xml:space="preserve"> тыс. руб. </w:t>
      </w:r>
      <w:r>
        <w:rPr>
          <w:sz w:val="28"/>
          <w:szCs w:val="28"/>
        </w:rPr>
        <w:t xml:space="preserve"> + 1 618,9  тыс. руб.+ 972</w:t>
      </w:r>
      <w:r w:rsidRPr="00C93A58">
        <w:rPr>
          <w:sz w:val="28"/>
          <w:szCs w:val="28"/>
        </w:rPr>
        <w:t xml:space="preserve">) / 3 = </w:t>
      </w:r>
      <w:r>
        <w:rPr>
          <w:sz w:val="28"/>
          <w:szCs w:val="28"/>
        </w:rPr>
        <w:t xml:space="preserve">1 571,7 </w:t>
      </w:r>
      <w:r w:rsidRPr="00C93A58">
        <w:rPr>
          <w:sz w:val="28"/>
          <w:szCs w:val="28"/>
        </w:rPr>
        <w:t xml:space="preserve"> тыс. руб.</w:t>
      </w:r>
    </w:p>
    <w:p w:rsidR="00F07E05" w:rsidRDefault="00F07E05" w:rsidP="00F07E05">
      <w:pPr>
        <w:autoSpaceDE w:val="0"/>
        <w:autoSpaceDN w:val="0"/>
        <w:adjustRightInd w:val="0"/>
        <w:ind w:firstLine="720"/>
        <w:jc w:val="both"/>
        <w:rPr>
          <w:sz w:val="28"/>
          <w:szCs w:val="28"/>
        </w:rPr>
      </w:pPr>
      <w:r w:rsidRPr="00C93A58">
        <w:rPr>
          <w:b/>
          <w:sz w:val="28"/>
          <w:szCs w:val="28"/>
        </w:rPr>
        <w:t>Прогноз на 20</w:t>
      </w:r>
      <w:r>
        <w:rPr>
          <w:b/>
          <w:sz w:val="28"/>
          <w:szCs w:val="28"/>
        </w:rPr>
        <w:t>23</w:t>
      </w:r>
      <w:r w:rsidRPr="00C93A58">
        <w:rPr>
          <w:b/>
          <w:sz w:val="28"/>
          <w:szCs w:val="28"/>
        </w:rPr>
        <w:t xml:space="preserve"> и 202</w:t>
      </w:r>
      <w:r>
        <w:rPr>
          <w:b/>
          <w:sz w:val="28"/>
          <w:szCs w:val="28"/>
        </w:rPr>
        <w:t xml:space="preserve">4 </w:t>
      </w:r>
      <w:r w:rsidRPr="00C93A58">
        <w:rPr>
          <w:b/>
          <w:sz w:val="28"/>
          <w:szCs w:val="28"/>
        </w:rPr>
        <w:t xml:space="preserve">годы </w:t>
      </w:r>
      <w:r w:rsidRPr="00C93A58">
        <w:rPr>
          <w:sz w:val="28"/>
          <w:szCs w:val="28"/>
        </w:rPr>
        <w:t xml:space="preserve">в соответствии с методикой принимается равным прогнозу </w:t>
      </w:r>
      <w:r w:rsidRPr="00C93A58">
        <w:rPr>
          <w:b/>
          <w:sz w:val="28"/>
          <w:szCs w:val="28"/>
        </w:rPr>
        <w:t>на 20</w:t>
      </w:r>
      <w:r>
        <w:rPr>
          <w:b/>
          <w:sz w:val="28"/>
          <w:szCs w:val="28"/>
        </w:rPr>
        <w:t xml:space="preserve">22 </w:t>
      </w:r>
      <w:r w:rsidRPr="00C93A58">
        <w:rPr>
          <w:b/>
          <w:sz w:val="28"/>
          <w:szCs w:val="28"/>
        </w:rPr>
        <w:t>год.</w:t>
      </w:r>
      <w:r w:rsidRPr="00C93A58">
        <w:rPr>
          <w:sz w:val="28"/>
          <w:szCs w:val="28"/>
        </w:rPr>
        <w:t xml:space="preserve"> </w:t>
      </w:r>
    </w:p>
    <w:p w:rsidR="00F07E05" w:rsidRDefault="00F07E05" w:rsidP="00F07E05">
      <w:pPr>
        <w:autoSpaceDE w:val="0"/>
        <w:autoSpaceDN w:val="0"/>
        <w:adjustRightInd w:val="0"/>
        <w:ind w:firstLine="720"/>
        <w:jc w:val="both"/>
        <w:rPr>
          <w:sz w:val="28"/>
          <w:szCs w:val="28"/>
        </w:rPr>
      </w:pPr>
    </w:p>
    <w:p w:rsidR="00F07E05" w:rsidRDefault="00F07E05" w:rsidP="00F07E05">
      <w:pPr>
        <w:spacing w:line="276" w:lineRule="auto"/>
        <w:jc w:val="center"/>
        <w:rPr>
          <w:b/>
          <w:sz w:val="28"/>
          <w:szCs w:val="28"/>
        </w:rPr>
      </w:pPr>
      <w:r w:rsidRPr="00FE6BC6">
        <w:rPr>
          <w:b/>
          <w:sz w:val="28"/>
          <w:szCs w:val="28"/>
        </w:rPr>
        <w:t xml:space="preserve">Главное управление </w:t>
      </w:r>
      <w:r>
        <w:rPr>
          <w:b/>
          <w:sz w:val="28"/>
          <w:szCs w:val="28"/>
        </w:rPr>
        <w:t>архитектуры и градостроительства Тверской области</w:t>
      </w:r>
    </w:p>
    <w:p w:rsidR="00F07E05" w:rsidRDefault="00F07E05" w:rsidP="00F07E05">
      <w:pPr>
        <w:spacing w:line="276" w:lineRule="auto"/>
        <w:jc w:val="right"/>
        <w:rPr>
          <w:b/>
        </w:rPr>
      </w:pPr>
      <w:r>
        <w:rPr>
          <w:b/>
        </w:rPr>
        <w:t>тыс. руб.</w:t>
      </w:r>
    </w:p>
    <w:tbl>
      <w:tblPr>
        <w:tblW w:w="9772" w:type="dxa"/>
        <w:tblLayout w:type="fixed"/>
        <w:tblLook w:val="0000" w:firstRow="0" w:lastRow="0" w:firstColumn="0" w:lastColumn="0" w:noHBand="0" w:noVBand="0"/>
      </w:tblPr>
      <w:tblGrid>
        <w:gridCol w:w="2263"/>
        <w:gridCol w:w="4111"/>
        <w:gridCol w:w="1107"/>
        <w:gridCol w:w="1157"/>
        <w:gridCol w:w="1134"/>
      </w:tblGrid>
      <w:tr w:rsidR="00F07E05" w:rsidRPr="00C93A58" w:rsidTr="008A253E">
        <w:trPr>
          <w:trHeight w:val="510"/>
        </w:trPr>
        <w:tc>
          <w:tcPr>
            <w:tcW w:w="2263" w:type="dxa"/>
            <w:tcBorders>
              <w:top w:val="single" w:sz="4" w:space="0" w:color="auto"/>
              <w:left w:val="single" w:sz="4" w:space="0" w:color="auto"/>
              <w:bottom w:val="single" w:sz="4" w:space="0" w:color="auto"/>
              <w:right w:val="single" w:sz="4" w:space="0" w:color="auto"/>
            </w:tcBorders>
            <w:noWrap/>
          </w:tcPr>
          <w:p w:rsidR="00F07E05" w:rsidRPr="00C93A58" w:rsidRDefault="00F07E05" w:rsidP="008A253E">
            <w:pPr>
              <w:rPr>
                <w:b/>
                <w:sz w:val="20"/>
                <w:szCs w:val="20"/>
              </w:rPr>
            </w:pPr>
            <w:r w:rsidRPr="00C93A58">
              <w:rPr>
                <w:b/>
                <w:sz w:val="20"/>
                <w:szCs w:val="20"/>
              </w:rPr>
              <w:t>Код БК</w:t>
            </w:r>
          </w:p>
        </w:tc>
        <w:tc>
          <w:tcPr>
            <w:tcW w:w="4111" w:type="dxa"/>
            <w:tcBorders>
              <w:top w:val="single" w:sz="4" w:space="0" w:color="auto"/>
              <w:left w:val="single" w:sz="4" w:space="0" w:color="auto"/>
              <w:bottom w:val="single" w:sz="4" w:space="0" w:color="auto"/>
              <w:right w:val="single" w:sz="4" w:space="0" w:color="auto"/>
            </w:tcBorders>
            <w:noWrap/>
          </w:tcPr>
          <w:p w:rsidR="00F07E05" w:rsidRPr="00C93A58" w:rsidRDefault="00F07E05" w:rsidP="008A253E">
            <w:pPr>
              <w:rPr>
                <w:b/>
                <w:sz w:val="20"/>
                <w:szCs w:val="20"/>
              </w:rPr>
            </w:pPr>
            <w:r w:rsidRPr="00C93A58">
              <w:rPr>
                <w:b/>
                <w:sz w:val="20"/>
                <w:szCs w:val="20"/>
              </w:rPr>
              <w:t>Наименование</w:t>
            </w:r>
          </w:p>
        </w:tc>
        <w:tc>
          <w:tcPr>
            <w:tcW w:w="1107" w:type="dxa"/>
            <w:tcBorders>
              <w:top w:val="single" w:sz="4" w:space="0" w:color="auto"/>
              <w:left w:val="single" w:sz="4" w:space="0" w:color="auto"/>
              <w:bottom w:val="single" w:sz="4" w:space="0" w:color="auto"/>
              <w:right w:val="single" w:sz="4" w:space="0" w:color="auto"/>
            </w:tcBorders>
          </w:tcPr>
          <w:p w:rsidR="00F07E05" w:rsidRDefault="00F07E05" w:rsidP="008A253E">
            <w:pPr>
              <w:jc w:val="center"/>
              <w:rPr>
                <w:b/>
                <w:sz w:val="20"/>
                <w:szCs w:val="20"/>
              </w:rPr>
            </w:pPr>
            <w:r w:rsidRPr="00C93A58">
              <w:rPr>
                <w:b/>
                <w:sz w:val="20"/>
                <w:szCs w:val="20"/>
              </w:rPr>
              <w:t>Прогноз</w:t>
            </w:r>
          </w:p>
          <w:p w:rsidR="00F07E05" w:rsidRPr="00C93A58" w:rsidRDefault="00F07E05" w:rsidP="008A253E">
            <w:pPr>
              <w:jc w:val="center"/>
              <w:rPr>
                <w:b/>
                <w:sz w:val="20"/>
                <w:szCs w:val="20"/>
              </w:rPr>
            </w:pPr>
            <w:r w:rsidRPr="00C93A58">
              <w:rPr>
                <w:b/>
                <w:sz w:val="20"/>
                <w:szCs w:val="20"/>
              </w:rPr>
              <w:t xml:space="preserve"> на</w:t>
            </w:r>
          </w:p>
          <w:p w:rsidR="00F07E05" w:rsidRPr="00C93A58" w:rsidRDefault="00F07E05" w:rsidP="008A253E">
            <w:pPr>
              <w:jc w:val="center"/>
              <w:rPr>
                <w:b/>
                <w:sz w:val="20"/>
                <w:szCs w:val="20"/>
              </w:rPr>
            </w:pPr>
            <w:r w:rsidRPr="00C93A58">
              <w:rPr>
                <w:b/>
                <w:sz w:val="20"/>
                <w:szCs w:val="20"/>
              </w:rPr>
              <w:t>20</w:t>
            </w:r>
            <w:r>
              <w:rPr>
                <w:b/>
                <w:sz w:val="20"/>
                <w:szCs w:val="20"/>
              </w:rPr>
              <w:t xml:space="preserve">22 </w:t>
            </w:r>
            <w:r w:rsidRPr="00C93A58">
              <w:rPr>
                <w:b/>
                <w:sz w:val="20"/>
                <w:szCs w:val="20"/>
              </w:rPr>
              <w:t xml:space="preserve">год </w:t>
            </w:r>
          </w:p>
          <w:p w:rsidR="00F07E05" w:rsidRPr="00C93A58" w:rsidRDefault="00F07E05" w:rsidP="008A253E">
            <w:pPr>
              <w:jc w:val="center"/>
              <w:rPr>
                <w:b/>
                <w:sz w:val="20"/>
                <w:szCs w:val="20"/>
              </w:rPr>
            </w:pPr>
          </w:p>
        </w:tc>
        <w:tc>
          <w:tcPr>
            <w:tcW w:w="1157" w:type="dxa"/>
            <w:tcBorders>
              <w:top w:val="single" w:sz="4" w:space="0" w:color="auto"/>
              <w:left w:val="single" w:sz="4" w:space="0" w:color="auto"/>
              <w:bottom w:val="single" w:sz="4" w:space="0" w:color="auto"/>
              <w:right w:val="single" w:sz="4" w:space="0" w:color="auto"/>
            </w:tcBorders>
          </w:tcPr>
          <w:p w:rsidR="00F07E05" w:rsidRDefault="00F07E05" w:rsidP="008A253E">
            <w:pPr>
              <w:jc w:val="center"/>
              <w:rPr>
                <w:b/>
                <w:sz w:val="20"/>
                <w:szCs w:val="20"/>
              </w:rPr>
            </w:pPr>
            <w:r w:rsidRPr="00C93A58">
              <w:rPr>
                <w:b/>
                <w:sz w:val="20"/>
                <w:szCs w:val="20"/>
              </w:rPr>
              <w:t xml:space="preserve">Прогноз </w:t>
            </w:r>
            <w:r>
              <w:rPr>
                <w:b/>
                <w:sz w:val="20"/>
                <w:szCs w:val="20"/>
              </w:rPr>
              <w:t xml:space="preserve"> </w:t>
            </w:r>
          </w:p>
          <w:p w:rsidR="00F07E05" w:rsidRPr="00C93A58" w:rsidRDefault="00F07E05" w:rsidP="008A253E">
            <w:pPr>
              <w:jc w:val="center"/>
              <w:rPr>
                <w:b/>
                <w:sz w:val="20"/>
                <w:szCs w:val="20"/>
              </w:rPr>
            </w:pPr>
            <w:r w:rsidRPr="00C93A58">
              <w:rPr>
                <w:b/>
                <w:sz w:val="20"/>
                <w:szCs w:val="20"/>
              </w:rPr>
              <w:t>на</w:t>
            </w:r>
          </w:p>
          <w:p w:rsidR="00F07E05" w:rsidRPr="00C93A58" w:rsidRDefault="00F07E05" w:rsidP="008A253E">
            <w:pPr>
              <w:jc w:val="center"/>
              <w:rPr>
                <w:b/>
                <w:sz w:val="20"/>
                <w:szCs w:val="20"/>
              </w:rPr>
            </w:pPr>
            <w:r w:rsidRPr="00C93A58">
              <w:rPr>
                <w:b/>
                <w:sz w:val="20"/>
                <w:szCs w:val="20"/>
              </w:rPr>
              <w:t>20</w:t>
            </w:r>
            <w:r>
              <w:rPr>
                <w:b/>
                <w:sz w:val="20"/>
                <w:szCs w:val="20"/>
              </w:rPr>
              <w:t xml:space="preserve">23 </w:t>
            </w:r>
            <w:r w:rsidRPr="00C93A58">
              <w:rPr>
                <w:b/>
                <w:sz w:val="20"/>
                <w:szCs w:val="20"/>
              </w:rPr>
              <w:t>год</w:t>
            </w:r>
          </w:p>
          <w:p w:rsidR="00F07E05" w:rsidRPr="00C93A58" w:rsidRDefault="00F07E05" w:rsidP="008A253E">
            <w:pPr>
              <w:jc w:val="center"/>
              <w:rPr>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F07E05" w:rsidRDefault="00F07E05" w:rsidP="008A253E">
            <w:pPr>
              <w:jc w:val="center"/>
              <w:rPr>
                <w:b/>
                <w:sz w:val="20"/>
                <w:szCs w:val="20"/>
              </w:rPr>
            </w:pPr>
            <w:r w:rsidRPr="00C93A58">
              <w:rPr>
                <w:b/>
                <w:sz w:val="20"/>
                <w:szCs w:val="20"/>
              </w:rPr>
              <w:t>Прогноз</w:t>
            </w:r>
          </w:p>
          <w:p w:rsidR="00F07E05" w:rsidRPr="00C93A58" w:rsidRDefault="00F07E05" w:rsidP="008A253E">
            <w:pPr>
              <w:jc w:val="center"/>
              <w:rPr>
                <w:b/>
                <w:sz w:val="20"/>
                <w:szCs w:val="20"/>
              </w:rPr>
            </w:pPr>
            <w:r w:rsidRPr="00C93A58">
              <w:rPr>
                <w:b/>
                <w:sz w:val="20"/>
                <w:szCs w:val="20"/>
              </w:rPr>
              <w:t xml:space="preserve"> на</w:t>
            </w:r>
          </w:p>
          <w:p w:rsidR="00F07E05" w:rsidRPr="00C93A58" w:rsidRDefault="00F07E05" w:rsidP="008A253E">
            <w:pPr>
              <w:jc w:val="center"/>
              <w:rPr>
                <w:b/>
                <w:sz w:val="20"/>
                <w:szCs w:val="20"/>
              </w:rPr>
            </w:pPr>
            <w:r w:rsidRPr="00C93A58">
              <w:rPr>
                <w:b/>
                <w:sz w:val="20"/>
                <w:szCs w:val="20"/>
              </w:rPr>
              <w:t>202</w:t>
            </w:r>
            <w:r>
              <w:rPr>
                <w:b/>
                <w:sz w:val="20"/>
                <w:szCs w:val="20"/>
              </w:rPr>
              <w:t>4</w:t>
            </w:r>
            <w:r w:rsidRPr="00C93A58">
              <w:rPr>
                <w:b/>
                <w:sz w:val="20"/>
                <w:szCs w:val="20"/>
              </w:rPr>
              <w:t xml:space="preserve"> год</w:t>
            </w:r>
          </w:p>
          <w:p w:rsidR="00F07E05" w:rsidRPr="00C93A58" w:rsidRDefault="00F07E05" w:rsidP="008A253E">
            <w:pPr>
              <w:jc w:val="center"/>
              <w:rPr>
                <w:b/>
                <w:sz w:val="20"/>
                <w:szCs w:val="20"/>
              </w:rPr>
            </w:pPr>
          </w:p>
          <w:p w:rsidR="00F07E05" w:rsidRPr="00C93A58" w:rsidRDefault="00F07E05" w:rsidP="008A253E">
            <w:pPr>
              <w:jc w:val="center"/>
              <w:rPr>
                <w:b/>
                <w:sz w:val="20"/>
                <w:szCs w:val="20"/>
              </w:rPr>
            </w:pPr>
          </w:p>
        </w:tc>
      </w:tr>
      <w:tr w:rsidR="00F07E05" w:rsidRPr="00C93A58" w:rsidTr="008A253E">
        <w:trPr>
          <w:trHeight w:val="730"/>
        </w:trPr>
        <w:tc>
          <w:tcPr>
            <w:tcW w:w="2263" w:type="dxa"/>
            <w:tcBorders>
              <w:top w:val="single" w:sz="4" w:space="0" w:color="auto"/>
              <w:left w:val="single" w:sz="4" w:space="0" w:color="auto"/>
              <w:bottom w:val="single" w:sz="4" w:space="0" w:color="auto"/>
              <w:right w:val="single" w:sz="4" w:space="0" w:color="auto"/>
            </w:tcBorders>
            <w:noWrap/>
          </w:tcPr>
          <w:p w:rsidR="00F07E05" w:rsidRPr="00924938" w:rsidRDefault="00F07E05" w:rsidP="008A253E">
            <w:pPr>
              <w:jc w:val="center"/>
              <w:rPr>
                <w:sz w:val="16"/>
                <w:szCs w:val="16"/>
              </w:rPr>
            </w:pPr>
          </w:p>
          <w:p w:rsidR="00F07E05" w:rsidRPr="00924938" w:rsidRDefault="00F07E05" w:rsidP="008A253E">
            <w:pPr>
              <w:jc w:val="center"/>
              <w:rPr>
                <w:sz w:val="16"/>
                <w:szCs w:val="16"/>
              </w:rPr>
            </w:pPr>
          </w:p>
          <w:p w:rsidR="00F07E05" w:rsidRPr="00924938" w:rsidRDefault="00F07E05" w:rsidP="008A253E">
            <w:pPr>
              <w:jc w:val="center"/>
              <w:rPr>
                <w:sz w:val="16"/>
                <w:szCs w:val="16"/>
              </w:rPr>
            </w:pPr>
            <w:r w:rsidRPr="00924938">
              <w:rPr>
                <w:sz w:val="16"/>
                <w:szCs w:val="16"/>
              </w:rPr>
              <w:t>000</w:t>
            </w:r>
            <w:r w:rsidRPr="00924938">
              <w:rPr>
                <w:sz w:val="16"/>
                <w:szCs w:val="16"/>
                <w:lang w:val="en-US"/>
              </w:rPr>
              <w:t xml:space="preserve"> 1 13 0</w:t>
            </w:r>
            <w:r w:rsidRPr="00924938">
              <w:rPr>
                <w:sz w:val="16"/>
                <w:szCs w:val="16"/>
              </w:rPr>
              <w:t>2990</w:t>
            </w:r>
            <w:r w:rsidRPr="00924938">
              <w:rPr>
                <w:sz w:val="16"/>
                <w:szCs w:val="16"/>
                <w:lang w:val="en-US"/>
              </w:rPr>
              <w:t xml:space="preserve"> 0</w:t>
            </w:r>
            <w:r w:rsidRPr="00924938">
              <w:rPr>
                <w:sz w:val="16"/>
                <w:szCs w:val="16"/>
              </w:rPr>
              <w:t>0</w:t>
            </w:r>
            <w:r w:rsidRPr="00924938">
              <w:rPr>
                <w:sz w:val="16"/>
                <w:szCs w:val="16"/>
                <w:lang w:val="en-US"/>
              </w:rPr>
              <w:t xml:space="preserve"> 0</w:t>
            </w:r>
            <w:r w:rsidRPr="00924938">
              <w:rPr>
                <w:sz w:val="16"/>
                <w:szCs w:val="16"/>
              </w:rPr>
              <w:t>000 130</w:t>
            </w:r>
          </w:p>
        </w:tc>
        <w:tc>
          <w:tcPr>
            <w:tcW w:w="4111" w:type="dxa"/>
            <w:tcBorders>
              <w:top w:val="single" w:sz="4" w:space="0" w:color="auto"/>
              <w:left w:val="single" w:sz="4" w:space="0" w:color="auto"/>
              <w:bottom w:val="single" w:sz="4" w:space="0" w:color="auto"/>
              <w:right w:val="single" w:sz="4" w:space="0" w:color="auto"/>
            </w:tcBorders>
          </w:tcPr>
          <w:p w:rsidR="00F07E05" w:rsidRPr="00C93A58" w:rsidRDefault="00F07E05" w:rsidP="008A253E">
            <w:pPr>
              <w:rPr>
                <w:sz w:val="20"/>
                <w:szCs w:val="20"/>
              </w:rPr>
            </w:pPr>
          </w:p>
          <w:p w:rsidR="00F07E05" w:rsidRPr="00C93A58" w:rsidRDefault="00F07E05" w:rsidP="008A253E">
            <w:pPr>
              <w:rPr>
                <w:sz w:val="20"/>
                <w:szCs w:val="20"/>
              </w:rPr>
            </w:pPr>
            <w:r w:rsidRPr="00C93A58">
              <w:rPr>
                <w:sz w:val="20"/>
                <w:szCs w:val="20"/>
              </w:rPr>
              <w:t xml:space="preserve">Прочие доходы от компенсации затрат государства </w:t>
            </w:r>
          </w:p>
        </w:tc>
        <w:tc>
          <w:tcPr>
            <w:tcW w:w="1107" w:type="dxa"/>
            <w:tcBorders>
              <w:top w:val="single" w:sz="4" w:space="0" w:color="auto"/>
              <w:left w:val="single" w:sz="4" w:space="0" w:color="auto"/>
              <w:bottom w:val="single" w:sz="4" w:space="0" w:color="auto"/>
              <w:right w:val="single" w:sz="4" w:space="0" w:color="auto"/>
            </w:tcBorders>
            <w:noWrap/>
          </w:tcPr>
          <w:p w:rsidR="00F07E05" w:rsidRPr="00106390" w:rsidRDefault="00F07E05" w:rsidP="008A253E">
            <w:pPr>
              <w:ind w:hanging="108"/>
              <w:jc w:val="center"/>
              <w:rPr>
                <w:sz w:val="20"/>
                <w:szCs w:val="20"/>
              </w:rPr>
            </w:pPr>
          </w:p>
          <w:p w:rsidR="00F07E05" w:rsidRPr="00106390" w:rsidRDefault="00F07E05" w:rsidP="008A253E">
            <w:pPr>
              <w:ind w:hanging="108"/>
              <w:jc w:val="center"/>
              <w:rPr>
                <w:sz w:val="20"/>
                <w:szCs w:val="20"/>
              </w:rPr>
            </w:pPr>
            <w:r w:rsidRPr="00106390">
              <w:rPr>
                <w:sz w:val="20"/>
                <w:szCs w:val="20"/>
              </w:rPr>
              <w:t>11,6</w:t>
            </w:r>
          </w:p>
        </w:tc>
        <w:tc>
          <w:tcPr>
            <w:tcW w:w="1157" w:type="dxa"/>
            <w:tcBorders>
              <w:top w:val="single" w:sz="4" w:space="0" w:color="auto"/>
              <w:left w:val="single" w:sz="4" w:space="0" w:color="auto"/>
              <w:bottom w:val="single" w:sz="4" w:space="0" w:color="auto"/>
              <w:right w:val="single" w:sz="4" w:space="0" w:color="auto"/>
            </w:tcBorders>
            <w:noWrap/>
          </w:tcPr>
          <w:p w:rsidR="00F07E05" w:rsidRPr="00106390" w:rsidRDefault="00F07E05" w:rsidP="008A253E">
            <w:pPr>
              <w:ind w:left="-136" w:right="-108" w:hanging="28"/>
              <w:jc w:val="center"/>
              <w:rPr>
                <w:sz w:val="20"/>
                <w:szCs w:val="20"/>
              </w:rPr>
            </w:pPr>
          </w:p>
          <w:p w:rsidR="00F07E05" w:rsidRPr="00106390" w:rsidRDefault="00F07E05" w:rsidP="008A253E">
            <w:pPr>
              <w:ind w:left="-136" w:right="-108" w:hanging="28"/>
              <w:jc w:val="center"/>
              <w:rPr>
                <w:sz w:val="20"/>
                <w:szCs w:val="20"/>
              </w:rPr>
            </w:pPr>
            <w:r w:rsidRPr="00106390">
              <w:rPr>
                <w:sz w:val="20"/>
                <w:szCs w:val="20"/>
              </w:rPr>
              <w:t>11,6</w:t>
            </w:r>
          </w:p>
        </w:tc>
        <w:tc>
          <w:tcPr>
            <w:tcW w:w="1134" w:type="dxa"/>
            <w:tcBorders>
              <w:top w:val="single" w:sz="4" w:space="0" w:color="auto"/>
              <w:left w:val="single" w:sz="4" w:space="0" w:color="auto"/>
              <w:bottom w:val="single" w:sz="4" w:space="0" w:color="auto"/>
              <w:right w:val="single" w:sz="4" w:space="0" w:color="auto"/>
            </w:tcBorders>
            <w:noWrap/>
          </w:tcPr>
          <w:p w:rsidR="00F07E05" w:rsidRPr="00106390" w:rsidRDefault="00F07E05" w:rsidP="008A253E">
            <w:pPr>
              <w:ind w:left="-108" w:right="-3" w:hanging="108"/>
              <w:jc w:val="center"/>
              <w:rPr>
                <w:sz w:val="20"/>
                <w:szCs w:val="20"/>
              </w:rPr>
            </w:pPr>
          </w:p>
          <w:p w:rsidR="00F07E05" w:rsidRPr="00106390" w:rsidRDefault="00F07E05" w:rsidP="008A253E">
            <w:pPr>
              <w:ind w:left="-108" w:right="-3" w:hanging="108"/>
              <w:jc w:val="center"/>
              <w:rPr>
                <w:sz w:val="20"/>
                <w:szCs w:val="20"/>
              </w:rPr>
            </w:pPr>
            <w:r w:rsidRPr="00106390">
              <w:rPr>
                <w:sz w:val="20"/>
                <w:szCs w:val="20"/>
              </w:rPr>
              <w:t>11,6</w:t>
            </w:r>
          </w:p>
        </w:tc>
      </w:tr>
    </w:tbl>
    <w:p w:rsidR="00F07E05" w:rsidRDefault="00F07E05" w:rsidP="00F07E05">
      <w:pPr>
        <w:ind w:left="33" w:right="23" w:firstLine="691"/>
        <w:jc w:val="both"/>
        <w:rPr>
          <w:sz w:val="28"/>
          <w:szCs w:val="28"/>
        </w:rPr>
      </w:pPr>
      <w:r w:rsidRPr="00106390">
        <w:rPr>
          <w:sz w:val="28"/>
          <w:szCs w:val="28"/>
        </w:rPr>
        <w:t xml:space="preserve">Расчет составлен в соответствии с приказом Главного управления архитектуры и градостроительной деятельности Тверской области от 27,10,2020 № 54-од «Об утверждении методики прогнозирования поступлений доходов в бюджеты Тверской области, главным администратором которых является Главное управление архитектуры и градостроительной </w:t>
      </w:r>
      <w:r>
        <w:rPr>
          <w:sz w:val="28"/>
          <w:szCs w:val="28"/>
        </w:rPr>
        <w:t>деятельности тверской области».</w:t>
      </w:r>
    </w:p>
    <w:p w:rsidR="00F07E05" w:rsidRDefault="00F07E05" w:rsidP="00F07E05">
      <w:pPr>
        <w:ind w:left="33" w:right="23" w:firstLine="691"/>
        <w:jc w:val="both"/>
        <w:rPr>
          <w:sz w:val="28"/>
          <w:szCs w:val="28"/>
        </w:rPr>
      </w:pPr>
      <w:r>
        <w:rPr>
          <w:sz w:val="28"/>
          <w:szCs w:val="28"/>
        </w:rPr>
        <w:t>Расчет составлен методом экстраполяции по минимальному значению за 3 года, предшествующих текущему.</w:t>
      </w:r>
    </w:p>
    <w:p w:rsidR="00F07E05" w:rsidRDefault="00F07E05" w:rsidP="00F07E05">
      <w:pPr>
        <w:ind w:left="33" w:right="23" w:firstLine="691"/>
        <w:jc w:val="both"/>
        <w:rPr>
          <w:sz w:val="28"/>
          <w:szCs w:val="28"/>
        </w:rPr>
      </w:pPr>
      <w:r>
        <w:rPr>
          <w:sz w:val="28"/>
          <w:szCs w:val="28"/>
        </w:rPr>
        <w:t>2018 год (факт) – 0,0 тыс. руб.;</w:t>
      </w:r>
    </w:p>
    <w:p w:rsidR="00F07E05" w:rsidRDefault="00F07E05" w:rsidP="00F07E05">
      <w:pPr>
        <w:ind w:left="33" w:right="23" w:firstLine="691"/>
        <w:jc w:val="both"/>
        <w:rPr>
          <w:sz w:val="28"/>
          <w:szCs w:val="28"/>
        </w:rPr>
      </w:pPr>
      <w:r>
        <w:rPr>
          <w:sz w:val="28"/>
          <w:szCs w:val="28"/>
        </w:rPr>
        <w:lastRenderedPageBreak/>
        <w:t>2019 год (факт) – 125,1 тыс. руб.;</w:t>
      </w:r>
    </w:p>
    <w:p w:rsidR="00F07E05" w:rsidRDefault="00F07E05" w:rsidP="00F07E05">
      <w:pPr>
        <w:ind w:left="33" w:right="23" w:firstLine="691"/>
        <w:jc w:val="both"/>
        <w:rPr>
          <w:sz w:val="28"/>
          <w:szCs w:val="28"/>
        </w:rPr>
      </w:pPr>
      <w:r>
        <w:rPr>
          <w:sz w:val="28"/>
          <w:szCs w:val="28"/>
        </w:rPr>
        <w:t>2020 год (факт) – 11,6 тыс. руб.</w:t>
      </w:r>
    </w:p>
    <w:p w:rsidR="00F07E05" w:rsidRPr="00106390" w:rsidRDefault="00F07E05" w:rsidP="00F07E05">
      <w:pPr>
        <w:ind w:left="33" w:right="23" w:firstLine="691"/>
        <w:jc w:val="both"/>
        <w:rPr>
          <w:sz w:val="28"/>
          <w:szCs w:val="28"/>
        </w:rPr>
      </w:pPr>
      <w:r w:rsidRPr="00786EAD">
        <w:rPr>
          <w:b/>
          <w:sz w:val="28"/>
          <w:szCs w:val="28"/>
        </w:rPr>
        <w:t>Прогноз 2022 год – 11,6 тыс. руб.</w:t>
      </w:r>
      <w:r>
        <w:rPr>
          <w:sz w:val="28"/>
          <w:szCs w:val="28"/>
        </w:rPr>
        <w:t xml:space="preserve"> Прогноз на плановый период равен прогнозу на очередной финансовый год. </w:t>
      </w:r>
    </w:p>
    <w:p w:rsidR="00F07E05" w:rsidRPr="00106390" w:rsidRDefault="00F07E05" w:rsidP="00F07E05">
      <w:pPr>
        <w:pStyle w:val="21"/>
        <w:rPr>
          <w:b/>
        </w:rPr>
      </w:pPr>
    </w:p>
    <w:p w:rsidR="00F07E05" w:rsidRPr="00FE6BC6" w:rsidRDefault="00F07E05" w:rsidP="00F07E05">
      <w:pPr>
        <w:pStyle w:val="21"/>
        <w:jc w:val="center"/>
        <w:rPr>
          <w:b/>
        </w:rPr>
      </w:pPr>
      <w:r w:rsidRPr="00DA14E3">
        <w:rPr>
          <w:b/>
        </w:rPr>
        <w:t>Министерство социальной защиты населения Тверской области</w:t>
      </w:r>
    </w:p>
    <w:p w:rsidR="00F07E05" w:rsidRPr="00C93A58" w:rsidRDefault="00F07E05" w:rsidP="00F07E05">
      <w:pPr>
        <w:pStyle w:val="21"/>
      </w:pPr>
    </w:p>
    <w:p w:rsidR="00F07E05" w:rsidRPr="00C93A58" w:rsidRDefault="00F07E05" w:rsidP="00F07E05">
      <w:pPr>
        <w:pStyle w:val="21"/>
        <w:jc w:val="right"/>
        <w:rPr>
          <w:b/>
        </w:rPr>
      </w:pPr>
      <w:r w:rsidRPr="00C93A58">
        <w:t xml:space="preserve"> </w:t>
      </w:r>
      <w:r w:rsidRPr="00C93A58">
        <w:rPr>
          <w:b/>
        </w:rPr>
        <w:t>тыс.</w:t>
      </w:r>
      <w:r>
        <w:rPr>
          <w:b/>
        </w:rPr>
        <w:t xml:space="preserve"> </w:t>
      </w:r>
      <w:r w:rsidRPr="00C93A58">
        <w:rPr>
          <w:b/>
        </w:rPr>
        <w:t>руб.</w:t>
      </w:r>
    </w:p>
    <w:tbl>
      <w:tblPr>
        <w:tblW w:w="9772" w:type="dxa"/>
        <w:tblLayout w:type="fixed"/>
        <w:tblLook w:val="0000" w:firstRow="0" w:lastRow="0" w:firstColumn="0" w:lastColumn="0" w:noHBand="0" w:noVBand="0"/>
      </w:tblPr>
      <w:tblGrid>
        <w:gridCol w:w="2263"/>
        <w:gridCol w:w="4111"/>
        <w:gridCol w:w="1107"/>
        <w:gridCol w:w="1157"/>
        <w:gridCol w:w="1134"/>
      </w:tblGrid>
      <w:tr w:rsidR="00F07E05" w:rsidRPr="00C93A58" w:rsidTr="008A253E">
        <w:trPr>
          <w:trHeight w:val="510"/>
        </w:trPr>
        <w:tc>
          <w:tcPr>
            <w:tcW w:w="2263" w:type="dxa"/>
            <w:tcBorders>
              <w:top w:val="single" w:sz="4" w:space="0" w:color="auto"/>
              <w:left w:val="single" w:sz="4" w:space="0" w:color="auto"/>
              <w:bottom w:val="single" w:sz="4" w:space="0" w:color="auto"/>
              <w:right w:val="single" w:sz="4" w:space="0" w:color="auto"/>
            </w:tcBorders>
            <w:noWrap/>
          </w:tcPr>
          <w:p w:rsidR="00F07E05" w:rsidRPr="00C93A58" w:rsidRDefault="00F07E05" w:rsidP="008A253E">
            <w:pPr>
              <w:rPr>
                <w:b/>
                <w:sz w:val="20"/>
                <w:szCs w:val="20"/>
              </w:rPr>
            </w:pPr>
            <w:r w:rsidRPr="00C93A58">
              <w:rPr>
                <w:b/>
                <w:sz w:val="20"/>
                <w:szCs w:val="20"/>
              </w:rPr>
              <w:t>Код БК</w:t>
            </w:r>
          </w:p>
        </w:tc>
        <w:tc>
          <w:tcPr>
            <w:tcW w:w="4111" w:type="dxa"/>
            <w:tcBorders>
              <w:top w:val="single" w:sz="4" w:space="0" w:color="auto"/>
              <w:left w:val="single" w:sz="4" w:space="0" w:color="auto"/>
              <w:bottom w:val="single" w:sz="4" w:space="0" w:color="auto"/>
              <w:right w:val="single" w:sz="4" w:space="0" w:color="auto"/>
            </w:tcBorders>
            <w:noWrap/>
          </w:tcPr>
          <w:p w:rsidR="00F07E05" w:rsidRPr="00C93A58" w:rsidRDefault="00F07E05" w:rsidP="008A253E">
            <w:pPr>
              <w:rPr>
                <w:b/>
                <w:sz w:val="20"/>
                <w:szCs w:val="20"/>
              </w:rPr>
            </w:pPr>
            <w:r w:rsidRPr="00C93A58">
              <w:rPr>
                <w:b/>
                <w:sz w:val="20"/>
                <w:szCs w:val="20"/>
              </w:rPr>
              <w:t>Наименование</w:t>
            </w:r>
          </w:p>
        </w:tc>
        <w:tc>
          <w:tcPr>
            <w:tcW w:w="1107" w:type="dxa"/>
            <w:tcBorders>
              <w:top w:val="single" w:sz="4" w:space="0" w:color="auto"/>
              <w:left w:val="single" w:sz="4" w:space="0" w:color="auto"/>
              <w:bottom w:val="single" w:sz="4" w:space="0" w:color="auto"/>
              <w:right w:val="single" w:sz="4" w:space="0" w:color="auto"/>
            </w:tcBorders>
          </w:tcPr>
          <w:p w:rsidR="00F07E05" w:rsidRDefault="00F07E05" w:rsidP="008A253E">
            <w:pPr>
              <w:jc w:val="center"/>
              <w:rPr>
                <w:b/>
                <w:sz w:val="20"/>
                <w:szCs w:val="20"/>
              </w:rPr>
            </w:pPr>
            <w:r w:rsidRPr="00C93A58">
              <w:rPr>
                <w:b/>
                <w:sz w:val="20"/>
                <w:szCs w:val="20"/>
              </w:rPr>
              <w:t>Прогноз</w:t>
            </w:r>
          </w:p>
          <w:p w:rsidR="00F07E05" w:rsidRPr="00C93A58" w:rsidRDefault="00F07E05" w:rsidP="008A253E">
            <w:pPr>
              <w:jc w:val="center"/>
              <w:rPr>
                <w:b/>
                <w:sz w:val="20"/>
                <w:szCs w:val="20"/>
              </w:rPr>
            </w:pPr>
            <w:r w:rsidRPr="00C93A58">
              <w:rPr>
                <w:b/>
                <w:sz w:val="20"/>
                <w:szCs w:val="20"/>
              </w:rPr>
              <w:t xml:space="preserve"> на</w:t>
            </w:r>
          </w:p>
          <w:p w:rsidR="00F07E05" w:rsidRPr="00C93A58" w:rsidRDefault="00F07E05" w:rsidP="008A253E">
            <w:pPr>
              <w:jc w:val="center"/>
              <w:rPr>
                <w:b/>
                <w:sz w:val="20"/>
                <w:szCs w:val="20"/>
              </w:rPr>
            </w:pPr>
            <w:r w:rsidRPr="00C93A58">
              <w:rPr>
                <w:b/>
                <w:sz w:val="20"/>
                <w:szCs w:val="20"/>
              </w:rPr>
              <w:t>20</w:t>
            </w:r>
            <w:r>
              <w:rPr>
                <w:b/>
                <w:sz w:val="20"/>
                <w:szCs w:val="20"/>
              </w:rPr>
              <w:t xml:space="preserve">22 </w:t>
            </w:r>
            <w:r w:rsidRPr="00C93A58">
              <w:rPr>
                <w:b/>
                <w:sz w:val="20"/>
                <w:szCs w:val="20"/>
              </w:rPr>
              <w:t xml:space="preserve">год </w:t>
            </w:r>
          </w:p>
          <w:p w:rsidR="00F07E05" w:rsidRPr="00C93A58" w:rsidRDefault="00F07E05" w:rsidP="008A253E">
            <w:pPr>
              <w:jc w:val="center"/>
              <w:rPr>
                <w:b/>
                <w:sz w:val="20"/>
                <w:szCs w:val="20"/>
              </w:rPr>
            </w:pPr>
          </w:p>
        </w:tc>
        <w:tc>
          <w:tcPr>
            <w:tcW w:w="1157" w:type="dxa"/>
            <w:tcBorders>
              <w:top w:val="single" w:sz="4" w:space="0" w:color="auto"/>
              <w:left w:val="single" w:sz="4" w:space="0" w:color="auto"/>
              <w:bottom w:val="single" w:sz="4" w:space="0" w:color="auto"/>
              <w:right w:val="single" w:sz="4" w:space="0" w:color="auto"/>
            </w:tcBorders>
          </w:tcPr>
          <w:p w:rsidR="00F07E05" w:rsidRDefault="00F07E05" w:rsidP="008A253E">
            <w:pPr>
              <w:jc w:val="center"/>
              <w:rPr>
                <w:b/>
                <w:sz w:val="20"/>
                <w:szCs w:val="20"/>
              </w:rPr>
            </w:pPr>
            <w:r w:rsidRPr="00C93A58">
              <w:rPr>
                <w:b/>
                <w:sz w:val="20"/>
                <w:szCs w:val="20"/>
              </w:rPr>
              <w:t xml:space="preserve">Прогноз </w:t>
            </w:r>
            <w:r>
              <w:rPr>
                <w:b/>
                <w:sz w:val="20"/>
                <w:szCs w:val="20"/>
              </w:rPr>
              <w:t xml:space="preserve"> </w:t>
            </w:r>
          </w:p>
          <w:p w:rsidR="00F07E05" w:rsidRPr="00C93A58" w:rsidRDefault="00F07E05" w:rsidP="008A253E">
            <w:pPr>
              <w:jc w:val="center"/>
              <w:rPr>
                <w:b/>
                <w:sz w:val="20"/>
                <w:szCs w:val="20"/>
              </w:rPr>
            </w:pPr>
            <w:r w:rsidRPr="00C93A58">
              <w:rPr>
                <w:b/>
                <w:sz w:val="20"/>
                <w:szCs w:val="20"/>
              </w:rPr>
              <w:t>на</w:t>
            </w:r>
          </w:p>
          <w:p w:rsidR="00F07E05" w:rsidRPr="00C93A58" w:rsidRDefault="00F07E05" w:rsidP="008A253E">
            <w:pPr>
              <w:jc w:val="center"/>
              <w:rPr>
                <w:b/>
                <w:sz w:val="20"/>
                <w:szCs w:val="20"/>
              </w:rPr>
            </w:pPr>
            <w:r w:rsidRPr="00C93A58">
              <w:rPr>
                <w:b/>
                <w:sz w:val="20"/>
                <w:szCs w:val="20"/>
              </w:rPr>
              <w:t>20</w:t>
            </w:r>
            <w:r>
              <w:rPr>
                <w:b/>
                <w:sz w:val="20"/>
                <w:szCs w:val="20"/>
              </w:rPr>
              <w:t xml:space="preserve">23 </w:t>
            </w:r>
            <w:r w:rsidRPr="00C93A58">
              <w:rPr>
                <w:b/>
                <w:sz w:val="20"/>
                <w:szCs w:val="20"/>
              </w:rPr>
              <w:t>год</w:t>
            </w:r>
          </w:p>
          <w:p w:rsidR="00F07E05" w:rsidRPr="00C93A58" w:rsidRDefault="00F07E05" w:rsidP="008A253E">
            <w:pPr>
              <w:jc w:val="center"/>
              <w:rPr>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F07E05" w:rsidRDefault="00F07E05" w:rsidP="008A253E">
            <w:pPr>
              <w:jc w:val="center"/>
              <w:rPr>
                <w:b/>
                <w:sz w:val="20"/>
                <w:szCs w:val="20"/>
              </w:rPr>
            </w:pPr>
            <w:r w:rsidRPr="00C93A58">
              <w:rPr>
                <w:b/>
                <w:sz w:val="20"/>
                <w:szCs w:val="20"/>
              </w:rPr>
              <w:t>Прогноз</w:t>
            </w:r>
          </w:p>
          <w:p w:rsidR="00F07E05" w:rsidRPr="00C93A58" w:rsidRDefault="00F07E05" w:rsidP="008A253E">
            <w:pPr>
              <w:jc w:val="center"/>
              <w:rPr>
                <w:b/>
                <w:sz w:val="20"/>
                <w:szCs w:val="20"/>
              </w:rPr>
            </w:pPr>
            <w:r w:rsidRPr="00C93A58">
              <w:rPr>
                <w:b/>
                <w:sz w:val="20"/>
                <w:szCs w:val="20"/>
              </w:rPr>
              <w:t xml:space="preserve"> на</w:t>
            </w:r>
          </w:p>
          <w:p w:rsidR="00F07E05" w:rsidRPr="00C93A58" w:rsidRDefault="00F07E05" w:rsidP="008A253E">
            <w:pPr>
              <w:jc w:val="center"/>
              <w:rPr>
                <w:b/>
                <w:sz w:val="20"/>
                <w:szCs w:val="20"/>
              </w:rPr>
            </w:pPr>
            <w:r w:rsidRPr="00C93A58">
              <w:rPr>
                <w:b/>
                <w:sz w:val="20"/>
                <w:szCs w:val="20"/>
              </w:rPr>
              <w:t>202</w:t>
            </w:r>
            <w:r>
              <w:rPr>
                <w:b/>
                <w:sz w:val="20"/>
                <w:szCs w:val="20"/>
              </w:rPr>
              <w:t>4</w:t>
            </w:r>
            <w:r w:rsidRPr="00C93A58">
              <w:rPr>
                <w:b/>
                <w:sz w:val="20"/>
                <w:szCs w:val="20"/>
              </w:rPr>
              <w:t xml:space="preserve"> год</w:t>
            </w:r>
          </w:p>
          <w:p w:rsidR="00F07E05" w:rsidRPr="00C93A58" w:rsidRDefault="00F07E05" w:rsidP="008A253E">
            <w:pPr>
              <w:jc w:val="center"/>
              <w:rPr>
                <w:b/>
                <w:sz w:val="20"/>
                <w:szCs w:val="20"/>
              </w:rPr>
            </w:pPr>
          </w:p>
          <w:p w:rsidR="00F07E05" w:rsidRPr="00C93A58" w:rsidRDefault="00F07E05" w:rsidP="008A253E">
            <w:pPr>
              <w:jc w:val="center"/>
              <w:rPr>
                <w:b/>
                <w:sz w:val="20"/>
                <w:szCs w:val="20"/>
              </w:rPr>
            </w:pPr>
          </w:p>
        </w:tc>
      </w:tr>
      <w:tr w:rsidR="00F07E05" w:rsidRPr="00C93A58" w:rsidTr="008A253E">
        <w:trPr>
          <w:trHeight w:val="730"/>
        </w:trPr>
        <w:tc>
          <w:tcPr>
            <w:tcW w:w="2263" w:type="dxa"/>
            <w:tcBorders>
              <w:top w:val="single" w:sz="4" w:space="0" w:color="auto"/>
              <w:left w:val="single" w:sz="4" w:space="0" w:color="auto"/>
              <w:bottom w:val="single" w:sz="4" w:space="0" w:color="auto"/>
              <w:right w:val="single" w:sz="4" w:space="0" w:color="auto"/>
            </w:tcBorders>
            <w:noWrap/>
          </w:tcPr>
          <w:p w:rsidR="00F07E05" w:rsidRPr="00924938" w:rsidRDefault="00F07E05" w:rsidP="008A253E">
            <w:pPr>
              <w:jc w:val="center"/>
              <w:rPr>
                <w:sz w:val="16"/>
                <w:szCs w:val="16"/>
              </w:rPr>
            </w:pPr>
          </w:p>
          <w:p w:rsidR="00F07E05" w:rsidRPr="00924938" w:rsidRDefault="00F07E05" w:rsidP="008A253E">
            <w:pPr>
              <w:jc w:val="center"/>
              <w:rPr>
                <w:sz w:val="16"/>
                <w:szCs w:val="16"/>
              </w:rPr>
            </w:pPr>
          </w:p>
          <w:p w:rsidR="00F07E05" w:rsidRPr="00924938" w:rsidRDefault="00F07E05" w:rsidP="008A253E">
            <w:pPr>
              <w:jc w:val="center"/>
              <w:rPr>
                <w:sz w:val="16"/>
                <w:szCs w:val="16"/>
              </w:rPr>
            </w:pPr>
            <w:r w:rsidRPr="00924938">
              <w:rPr>
                <w:sz w:val="16"/>
                <w:szCs w:val="16"/>
              </w:rPr>
              <w:t>000</w:t>
            </w:r>
            <w:r w:rsidRPr="00924938">
              <w:rPr>
                <w:sz w:val="16"/>
                <w:szCs w:val="16"/>
                <w:lang w:val="en-US"/>
              </w:rPr>
              <w:t xml:space="preserve"> 1 13 0</w:t>
            </w:r>
            <w:r w:rsidRPr="00924938">
              <w:rPr>
                <w:sz w:val="16"/>
                <w:szCs w:val="16"/>
              </w:rPr>
              <w:t>2990</w:t>
            </w:r>
            <w:r w:rsidRPr="00924938">
              <w:rPr>
                <w:sz w:val="16"/>
                <w:szCs w:val="16"/>
                <w:lang w:val="en-US"/>
              </w:rPr>
              <w:t xml:space="preserve"> 0</w:t>
            </w:r>
            <w:r w:rsidRPr="00924938">
              <w:rPr>
                <w:sz w:val="16"/>
                <w:szCs w:val="16"/>
              </w:rPr>
              <w:t>0</w:t>
            </w:r>
            <w:r w:rsidRPr="00924938">
              <w:rPr>
                <w:sz w:val="16"/>
                <w:szCs w:val="16"/>
                <w:lang w:val="en-US"/>
              </w:rPr>
              <w:t xml:space="preserve"> 0</w:t>
            </w:r>
            <w:r w:rsidRPr="00924938">
              <w:rPr>
                <w:sz w:val="16"/>
                <w:szCs w:val="16"/>
              </w:rPr>
              <w:t>000 130</w:t>
            </w:r>
          </w:p>
        </w:tc>
        <w:tc>
          <w:tcPr>
            <w:tcW w:w="4111" w:type="dxa"/>
            <w:tcBorders>
              <w:top w:val="single" w:sz="4" w:space="0" w:color="auto"/>
              <w:left w:val="single" w:sz="4" w:space="0" w:color="auto"/>
              <w:bottom w:val="single" w:sz="4" w:space="0" w:color="auto"/>
              <w:right w:val="single" w:sz="4" w:space="0" w:color="auto"/>
            </w:tcBorders>
          </w:tcPr>
          <w:p w:rsidR="00F07E05" w:rsidRPr="00C93A58" w:rsidRDefault="00F07E05" w:rsidP="008A253E">
            <w:pPr>
              <w:rPr>
                <w:sz w:val="20"/>
                <w:szCs w:val="20"/>
              </w:rPr>
            </w:pPr>
          </w:p>
          <w:p w:rsidR="00F07E05" w:rsidRPr="00C93A58" w:rsidRDefault="00F07E05" w:rsidP="008A253E">
            <w:pPr>
              <w:rPr>
                <w:sz w:val="20"/>
                <w:szCs w:val="20"/>
              </w:rPr>
            </w:pPr>
            <w:r w:rsidRPr="00C93A58">
              <w:rPr>
                <w:sz w:val="20"/>
                <w:szCs w:val="20"/>
              </w:rPr>
              <w:t xml:space="preserve">Прочие доходы от компенсации затрат государства </w:t>
            </w:r>
          </w:p>
        </w:tc>
        <w:tc>
          <w:tcPr>
            <w:tcW w:w="1107" w:type="dxa"/>
            <w:tcBorders>
              <w:top w:val="single" w:sz="4" w:space="0" w:color="auto"/>
              <w:left w:val="single" w:sz="4" w:space="0" w:color="auto"/>
              <w:bottom w:val="single" w:sz="4" w:space="0" w:color="auto"/>
              <w:right w:val="single" w:sz="4" w:space="0" w:color="auto"/>
            </w:tcBorders>
            <w:noWrap/>
          </w:tcPr>
          <w:p w:rsidR="00F07E05" w:rsidRPr="00DA14E3" w:rsidRDefault="00F07E05" w:rsidP="008A253E">
            <w:pPr>
              <w:ind w:hanging="108"/>
              <w:jc w:val="center"/>
              <w:rPr>
                <w:sz w:val="20"/>
                <w:szCs w:val="20"/>
              </w:rPr>
            </w:pPr>
          </w:p>
          <w:p w:rsidR="00F07E05" w:rsidRPr="00DA14E3" w:rsidRDefault="00F07E05" w:rsidP="008A253E">
            <w:pPr>
              <w:ind w:hanging="108"/>
              <w:jc w:val="center"/>
              <w:rPr>
                <w:sz w:val="20"/>
                <w:szCs w:val="20"/>
              </w:rPr>
            </w:pPr>
            <w:r w:rsidRPr="00DA14E3">
              <w:rPr>
                <w:sz w:val="20"/>
                <w:szCs w:val="20"/>
              </w:rPr>
              <w:t>52 376,0</w:t>
            </w:r>
          </w:p>
        </w:tc>
        <w:tc>
          <w:tcPr>
            <w:tcW w:w="1157" w:type="dxa"/>
            <w:tcBorders>
              <w:top w:val="single" w:sz="4" w:space="0" w:color="auto"/>
              <w:left w:val="single" w:sz="4" w:space="0" w:color="auto"/>
              <w:bottom w:val="single" w:sz="4" w:space="0" w:color="auto"/>
              <w:right w:val="single" w:sz="4" w:space="0" w:color="auto"/>
            </w:tcBorders>
            <w:noWrap/>
          </w:tcPr>
          <w:p w:rsidR="00F07E05" w:rsidRPr="00DA14E3" w:rsidRDefault="00F07E05" w:rsidP="008A253E">
            <w:pPr>
              <w:ind w:left="-136" w:right="-108" w:hanging="28"/>
              <w:jc w:val="center"/>
              <w:rPr>
                <w:sz w:val="20"/>
                <w:szCs w:val="20"/>
              </w:rPr>
            </w:pPr>
          </w:p>
          <w:p w:rsidR="00F07E05" w:rsidRPr="00DA14E3" w:rsidRDefault="00F07E05" w:rsidP="008A253E">
            <w:pPr>
              <w:ind w:left="-136" w:right="-108" w:hanging="28"/>
              <w:jc w:val="center"/>
              <w:rPr>
                <w:sz w:val="20"/>
                <w:szCs w:val="20"/>
              </w:rPr>
            </w:pPr>
            <w:r w:rsidRPr="00DA14E3">
              <w:rPr>
                <w:sz w:val="20"/>
                <w:szCs w:val="20"/>
              </w:rPr>
              <w:t>52 376,0</w:t>
            </w:r>
          </w:p>
        </w:tc>
        <w:tc>
          <w:tcPr>
            <w:tcW w:w="1134" w:type="dxa"/>
            <w:tcBorders>
              <w:top w:val="single" w:sz="4" w:space="0" w:color="auto"/>
              <w:left w:val="single" w:sz="4" w:space="0" w:color="auto"/>
              <w:bottom w:val="single" w:sz="4" w:space="0" w:color="auto"/>
              <w:right w:val="single" w:sz="4" w:space="0" w:color="auto"/>
            </w:tcBorders>
            <w:noWrap/>
          </w:tcPr>
          <w:p w:rsidR="00F07E05" w:rsidRPr="00DA14E3" w:rsidRDefault="00F07E05" w:rsidP="008A253E">
            <w:pPr>
              <w:ind w:left="-108" w:right="-3" w:hanging="108"/>
              <w:jc w:val="center"/>
              <w:rPr>
                <w:sz w:val="20"/>
                <w:szCs w:val="20"/>
              </w:rPr>
            </w:pPr>
          </w:p>
          <w:p w:rsidR="00F07E05" w:rsidRPr="00DA14E3" w:rsidRDefault="00F07E05" w:rsidP="008A253E">
            <w:pPr>
              <w:ind w:left="-108" w:right="-3" w:hanging="108"/>
              <w:jc w:val="center"/>
              <w:rPr>
                <w:sz w:val="20"/>
                <w:szCs w:val="20"/>
              </w:rPr>
            </w:pPr>
            <w:r w:rsidRPr="00DA14E3">
              <w:rPr>
                <w:sz w:val="20"/>
                <w:szCs w:val="20"/>
              </w:rPr>
              <w:t>52 376,0</w:t>
            </w:r>
          </w:p>
        </w:tc>
      </w:tr>
    </w:tbl>
    <w:p w:rsidR="00F07E05" w:rsidRPr="00C93A58" w:rsidRDefault="00F07E05" w:rsidP="00F07E05">
      <w:pPr>
        <w:ind w:firstLine="720"/>
        <w:jc w:val="both"/>
        <w:rPr>
          <w:b/>
          <w:sz w:val="28"/>
          <w:szCs w:val="28"/>
        </w:rPr>
      </w:pPr>
    </w:p>
    <w:p w:rsidR="00F07E05" w:rsidRPr="00C93A58" w:rsidRDefault="00F07E05" w:rsidP="00F07E05">
      <w:pPr>
        <w:ind w:firstLine="720"/>
        <w:jc w:val="both"/>
        <w:rPr>
          <w:sz w:val="28"/>
          <w:szCs w:val="28"/>
        </w:rPr>
      </w:pPr>
      <w:r w:rsidRPr="00C93A58">
        <w:rPr>
          <w:sz w:val="28"/>
          <w:szCs w:val="28"/>
        </w:rPr>
        <w:t>В соответствии с Методикой прогнозирования утвержденной приказом Министерства социальной защиты населения Тверской области от 31.08.2016 № 137</w:t>
      </w:r>
      <w:r>
        <w:rPr>
          <w:sz w:val="28"/>
          <w:szCs w:val="28"/>
        </w:rPr>
        <w:t xml:space="preserve"> ( с изменениями и дополнениями)</w:t>
      </w:r>
      <w:r w:rsidRPr="00C93A58">
        <w:rPr>
          <w:sz w:val="28"/>
          <w:szCs w:val="28"/>
        </w:rPr>
        <w:t xml:space="preserve"> при прогнозировании поступлений в областной бюджет прочих доходов  от компенсации затрат бюджетов  субъектов Российской Федерации на первый плановый период используется метод усреднения.</w:t>
      </w:r>
    </w:p>
    <w:p w:rsidR="00F07E05" w:rsidRPr="00C93A58" w:rsidRDefault="00F07E05" w:rsidP="00F07E05">
      <w:pPr>
        <w:ind w:firstLine="720"/>
        <w:jc w:val="both"/>
        <w:rPr>
          <w:sz w:val="28"/>
          <w:szCs w:val="28"/>
        </w:rPr>
      </w:pPr>
      <w:r w:rsidRPr="00C93A58">
        <w:rPr>
          <w:sz w:val="28"/>
          <w:szCs w:val="28"/>
        </w:rPr>
        <w:t>Расчет производится по следующей формуле:</w:t>
      </w:r>
    </w:p>
    <w:p w:rsidR="00F07E05" w:rsidRPr="00C93A58" w:rsidRDefault="00F07E05" w:rsidP="00F07E05">
      <w:pPr>
        <w:ind w:firstLine="720"/>
        <w:jc w:val="both"/>
        <w:rPr>
          <w:sz w:val="28"/>
          <w:szCs w:val="28"/>
        </w:rPr>
      </w:pPr>
      <w:r w:rsidRPr="00C93A58">
        <w:rPr>
          <w:sz w:val="28"/>
          <w:szCs w:val="28"/>
        </w:rPr>
        <w:t>∑С /Т,   где:</w:t>
      </w:r>
    </w:p>
    <w:p w:rsidR="00F07E05" w:rsidRPr="00C93A58" w:rsidRDefault="00F07E05" w:rsidP="00F07E05">
      <w:pPr>
        <w:ind w:firstLine="720"/>
        <w:jc w:val="both"/>
        <w:rPr>
          <w:sz w:val="28"/>
          <w:szCs w:val="28"/>
        </w:rPr>
      </w:pPr>
      <w:r w:rsidRPr="00C93A58">
        <w:rPr>
          <w:sz w:val="28"/>
          <w:szCs w:val="28"/>
        </w:rPr>
        <w:t>∑С – сумма поступлений по виду доходов за количество лет, предшествующих текущему году, руб., за исключением поступлений, которые носят единовременный характер.</w:t>
      </w:r>
    </w:p>
    <w:p w:rsidR="00F07E05" w:rsidRPr="00C93A58" w:rsidRDefault="00F07E05" w:rsidP="00F07E05">
      <w:pPr>
        <w:ind w:firstLine="720"/>
        <w:jc w:val="both"/>
        <w:rPr>
          <w:sz w:val="28"/>
          <w:szCs w:val="28"/>
        </w:rPr>
      </w:pPr>
      <w:r w:rsidRPr="00C93A58">
        <w:rPr>
          <w:sz w:val="28"/>
          <w:szCs w:val="28"/>
        </w:rPr>
        <w:t>Т – количество лет.</w:t>
      </w:r>
    </w:p>
    <w:p w:rsidR="00F07E05" w:rsidRPr="00C93A58" w:rsidRDefault="00F07E05" w:rsidP="00F07E05">
      <w:pPr>
        <w:ind w:firstLine="720"/>
        <w:jc w:val="both"/>
        <w:rPr>
          <w:sz w:val="28"/>
          <w:szCs w:val="28"/>
        </w:rPr>
      </w:pPr>
      <w:r w:rsidRPr="00C93A58">
        <w:rPr>
          <w:sz w:val="28"/>
          <w:szCs w:val="28"/>
        </w:rPr>
        <w:t xml:space="preserve">При прогнозировании дохода на второй и третий плановый период, доход определяются на уровне первого планового периода. </w:t>
      </w:r>
    </w:p>
    <w:p w:rsidR="00F07E05" w:rsidRDefault="00F07E05" w:rsidP="00F07E05">
      <w:pPr>
        <w:ind w:firstLine="720"/>
        <w:jc w:val="both"/>
        <w:rPr>
          <w:sz w:val="28"/>
          <w:szCs w:val="28"/>
        </w:rPr>
      </w:pPr>
      <w:r w:rsidRPr="00C93A58">
        <w:rPr>
          <w:sz w:val="28"/>
          <w:szCs w:val="28"/>
        </w:rPr>
        <w:t>Прогноз на 20</w:t>
      </w:r>
      <w:r>
        <w:rPr>
          <w:sz w:val="28"/>
          <w:szCs w:val="28"/>
        </w:rPr>
        <w:t>22</w:t>
      </w:r>
      <w:r w:rsidRPr="00C93A58">
        <w:rPr>
          <w:sz w:val="28"/>
          <w:szCs w:val="28"/>
        </w:rPr>
        <w:t xml:space="preserve"> год рассчитан методом усреднения, исходя из фактических поступлений за предыдущие годы за исключением поступлений, носящих единовременный характер. </w:t>
      </w:r>
    </w:p>
    <w:p w:rsidR="00F07E05" w:rsidRDefault="00F07E05" w:rsidP="00F07E05">
      <w:pPr>
        <w:ind w:firstLine="720"/>
        <w:jc w:val="both"/>
        <w:rPr>
          <w:sz w:val="28"/>
          <w:szCs w:val="28"/>
        </w:rPr>
      </w:pPr>
      <w:r>
        <w:rPr>
          <w:sz w:val="28"/>
          <w:szCs w:val="28"/>
        </w:rPr>
        <w:t>Прогноз на 2022 – 2023 годы определен на уровне очередного финансового года.</w:t>
      </w:r>
    </w:p>
    <w:p w:rsidR="00F07E05" w:rsidRDefault="00F07E05" w:rsidP="00F07E05">
      <w:pPr>
        <w:ind w:firstLine="720"/>
        <w:jc w:val="both"/>
        <w:rPr>
          <w:sz w:val="28"/>
          <w:szCs w:val="28"/>
        </w:rPr>
      </w:pPr>
      <w:r w:rsidRPr="00C93A58">
        <w:rPr>
          <w:sz w:val="28"/>
          <w:szCs w:val="28"/>
        </w:rPr>
        <w:t>Фактическое поступление за 201</w:t>
      </w:r>
      <w:r>
        <w:rPr>
          <w:sz w:val="28"/>
          <w:szCs w:val="28"/>
        </w:rPr>
        <w:t>9</w:t>
      </w:r>
      <w:r w:rsidRPr="00C93A58">
        <w:rPr>
          <w:sz w:val="28"/>
          <w:szCs w:val="28"/>
        </w:rPr>
        <w:t xml:space="preserve"> год – </w:t>
      </w:r>
      <w:r>
        <w:rPr>
          <w:sz w:val="28"/>
          <w:szCs w:val="28"/>
        </w:rPr>
        <w:t>12 138,57</w:t>
      </w:r>
      <w:r w:rsidRPr="00C93A58">
        <w:rPr>
          <w:sz w:val="28"/>
          <w:szCs w:val="28"/>
        </w:rPr>
        <w:t xml:space="preserve"> тыс. руб.</w:t>
      </w:r>
    </w:p>
    <w:p w:rsidR="00F07E05" w:rsidRDefault="00F07E05" w:rsidP="00F07E05">
      <w:pPr>
        <w:ind w:firstLine="720"/>
        <w:jc w:val="both"/>
        <w:rPr>
          <w:sz w:val="28"/>
          <w:szCs w:val="28"/>
        </w:rPr>
      </w:pPr>
      <w:r>
        <w:rPr>
          <w:sz w:val="28"/>
          <w:szCs w:val="28"/>
        </w:rPr>
        <w:t>Фактическое поступление за 2020 год – 11 822,32 тыс. руб.</w:t>
      </w:r>
    </w:p>
    <w:p w:rsidR="00F07E05" w:rsidRPr="00C93A58" w:rsidRDefault="00F07E05" w:rsidP="00F07E05">
      <w:pPr>
        <w:ind w:firstLine="720"/>
        <w:jc w:val="both"/>
        <w:rPr>
          <w:sz w:val="28"/>
          <w:szCs w:val="28"/>
        </w:rPr>
      </w:pPr>
      <w:r>
        <w:rPr>
          <w:sz w:val="28"/>
          <w:szCs w:val="28"/>
        </w:rPr>
        <w:t>Ожидаемое поступление за 2021 год –    14 066,08 тыс. руб.</w:t>
      </w:r>
    </w:p>
    <w:p w:rsidR="00F07E05" w:rsidRPr="00C93A58" w:rsidRDefault="00F07E05" w:rsidP="00F07E05">
      <w:pPr>
        <w:ind w:firstLine="720"/>
        <w:jc w:val="both"/>
        <w:rPr>
          <w:sz w:val="28"/>
          <w:szCs w:val="28"/>
        </w:rPr>
      </w:pPr>
      <w:r w:rsidRPr="00C93A58">
        <w:rPr>
          <w:b/>
          <w:sz w:val="28"/>
          <w:szCs w:val="28"/>
        </w:rPr>
        <w:t>Прогноз на 20</w:t>
      </w:r>
      <w:r>
        <w:rPr>
          <w:b/>
          <w:sz w:val="28"/>
          <w:szCs w:val="28"/>
        </w:rPr>
        <w:t>22</w:t>
      </w:r>
      <w:r w:rsidRPr="00C93A58">
        <w:rPr>
          <w:b/>
          <w:sz w:val="28"/>
          <w:szCs w:val="28"/>
        </w:rPr>
        <w:t xml:space="preserve">год </w:t>
      </w:r>
      <w:r w:rsidRPr="00C93A58">
        <w:rPr>
          <w:sz w:val="28"/>
          <w:szCs w:val="28"/>
        </w:rPr>
        <w:t>рассчитан в сумме</w:t>
      </w:r>
      <w:r w:rsidRPr="00C93A58">
        <w:rPr>
          <w:b/>
          <w:sz w:val="28"/>
          <w:szCs w:val="28"/>
        </w:rPr>
        <w:t xml:space="preserve"> </w:t>
      </w:r>
      <w:r>
        <w:rPr>
          <w:b/>
          <w:sz w:val="28"/>
          <w:szCs w:val="28"/>
        </w:rPr>
        <w:t>12 657,7</w:t>
      </w:r>
      <w:r w:rsidRPr="00C93A58">
        <w:rPr>
          <w:b/>
          <w:sz w:val="28"/>
          <w:szCs w:val="28"/>
        </w:rPr>
        <w:t xml:space="preserve"> тыс. руб.</w:t>
      </w:r>
      <w:r w:rsidRPr="00C93A58">
        <w:rPr>
          <w:sz w:val="28"/>
          <w:szCs w:val="28"/>
        </w:rPr>
        <w:t xml:space="preserve"> (</w:t>
      </w:r>
      <w:r>
        <w:rPr>
          <w:sz w:val="28"/>
          <w:szCs w:val="28"/>
        </w:rPr>
        <w:t>12 138,57</w:t>
      </w:r>
      <w:r w:rsidRPr="00C93A58">
        <w:rPr>
          <w:sz w:val="28"/>
          <w:szCs w:val="28"/>
        </w:rPr>
        <w:t xml:space="preserve"> тыс. руб.</w:t>
      </w:r>
      <w:r>
        <w:rPr>
          <w:sz w:val="28"/>
          <w:szCs w:val="28"/>
        </w:rPr>
        <w:t xml:space="preserve"> + 11 822,32 тыс. руб. + 14 066,08</w:t>
      </w:r>
      <w:r w:rsidRPr="00C93A58">
        <w:rPr>
          <w:sz w:val="28"/>
          <w:szCs w:val="28"/>
        </w:rPr>
        <w:t>)/3 = тыс. руб.)).</w:t>
      </w:r>
    </w:p>
    <w:p w:rsidR="00F07E05" w:rsidRPr="00CC3D1D" w:rsidRDefault="00F07E05" w:rsidP="00F07E05">
      <w:pPr>
        <w:ind w:left="-15" w:right="16" w:firstLine="724"/>
        <w:jc w:val="both"/>
        <w:rPr>
          <w:sz w:val="28"/>
          <w:szCs w:val="28"/>
        </w:rPr>
      </w:pPr>
      <w:r w:rsidRPr="00CC3D1D">
        <w:rPr>
          <w:sz w:val="28"/>
          <w:szCs w:val="28"/>
        </w:rPr>
        <w:t xml:space="preserve">По коду классификации </w:t>
      </w:r>
      <w:r w:rsidRPr="00CC3D1D">
        <w:rPr>
          <w:b/>
          <w:sz w:val="28"/>
          <w:szCs w:val="28"/>
        </w:rPr>
        <w:t>148 1 13 02992 02 0425 130</w:t>
      </w:r>
      <w:r w:rsidRPr="00CC3D1D">
        <w:rPr>
          <w:rFonts w:ascii="Calibri" w:eastAsia="Calibri" w:hAnsi="Calibri" w:cs="Calibri"/>
          <w:sz w:val="28"/>
          <w:szCs w:val="28"/>
        </w:rPr>
        <w:t xml:space="preserve"> </w:t>
      </w:r>
      <w:r w:rsidRPr="00CC3D1D">
        <w:rPr>
          <w:sz w:val="28"/>
          <w:szCs w:val="28"/>
        </w:rPr>
        <w:t xml:space="preserve">Прочие доходы от компенсации затрат бюджетов субъектов Российской Федерации (средства от реализации единого социального проездного билета) ожидаемая оценка на 2021 год прогнозируется на основании количества единых социальных проездных билетов, реализованных за 12 истекших месяцев, предшествующих прогнозируемому периоду (с июля 2020 года по июнь 2021 года).  </w:t>
      </w:r>
    </w:p>
    <w:p w:rsidR="00F07E05" w:rsidRPr="00CC3D1D" w:rsidRDefault="00F07E05" w:rsidP="00F07E05">
      <w:pPr>
        <w:ind w:left="-15" w:right="16"/>
        <w:jc w:val="both"/>
        <w:rPr>
          <w:sz w:val="28"/>
          <w:szCs w:val="28"/>
        </w:rPr>
      </w:pPr>
      <w:r w:rsidRPr="00CC3D1D">
        <w:rPr>
          <w:sz w:val="28"/>
          <w:szCs w:val="28"/>
        </w:rPr>
        <w:lastRenderedPageBreak/>
        <w:t>При прогнозировании доходов</w:t>
      </w:r>
      <w:r w:rsidRPr="00CC3D1D">
        <w:rPr>
          <w:rFonts w:ascii="Calibri" w:eastAsia="Calibri" w:hAnsi="Calibri" w:cs="Calibri"/>
          <w:sz w:val="28"/>
          <w:szCs w:val="28"/>
        </w:rPr>
        <w:t xml:space="preserve"> </w:t>
      </w:r>
      <w:r w:rsidRPr="00CC3D1D">
        <w:rPr>
          <w:sz w:val="28"/>
          <w:szCs w:val="28"/>
        </w:rPr>
        <w:t xml:space="preserve">поступлений на текущий финансовый год, очередной финансовый год (первый плановый период) осуществляется методом прямого счета по формуле:  Д = K*C*(100%-П), где </w:t>
      </w:r>
    </w:p>
    <w:p w:rsidR="00F07E05" w:rsidRPr="00CC3D1D" w:rsidRDefault="00F07E05" w:rsidP="00F07E05">
      <w:pPr>
        <w:ind w:left="-15" w:right="16"/>
        <w:jc w:val="both"/>
        <w:rPr>
          <w:sz w:val="28"/>
          <w:szCs w:val="28"/>
        </w:rPr>
      </w:pPr>
      <w:r w:rsidRPr="00CC3D1D">
        <w:rPr>
          <w:sz w:val="28"/>
          <w:szCs w:val="28"/>
        </w:rPr>
        <w:t xml:space="preserve">Д – прогноз доходов от реализации единых социальных проездных билетов (далее – ЕСПБ); </w:t>
      </w:r>
    </w:p>
    <w:p w:rsidR="00F07E05" w:rsidRPr="00CC3D1D" w:rsidRDefault="00F07E05" w:rsidP="00F07E05">
      <w:pPr>
        <w:ind w:left="-15" w:right="16"/>
        <w:jc w:val="both"/>
        <w:rPr>
          <w:sz w:val="28"/>
          <w:szCs w:val="28"/>
        </w:rPr>
      </w:pPr>
      <w:r w:rsidRPr="00CC3D1D">
        <w:rPr>
          <w:sz w:val="28"/>
          <w:szCs w:val="28"/>
        </w:rPr>
        <w:t xml:space="preserve">К - количество ЕСПБ, реализованных за 12 истекщих месяцев, предшествующих прогнозируемому периоду; </w:t>
      </w:r>
    </w:p>
    <w:p w:rsidR="00F07E05" w:rsidRPr="00CC3D1D" w:rsidRDefault="00F07E05" w:rsidP="00F07E05">
      <w:pPr>
        <w:spacing w:after="29"/>
        <w:ind w:right="16"/>
        <w:jc w:val="both"/>
        <w:rPr>
          <w:sz w:val="28"/>
          <w:szCs w:val="28"/>
        </w:rPr>
      </w:pPr>
      <w:r w:rsidRPr="00CC3D1D">
        <w:rPr>
          <w:sz w:val="28"/>
          <w:szCs w:val="28"/>
        </w:rPr>
        <w:t xml:space="preserve">С - стоимость ЕСПБ; </w:t>
      </w:r>
    </w:p>
    <w:p w:rsidR="00F07E05" w:rsidRPr="00CC3D1D" w:rsidRDefault="00F07E05" w:rsidP="00F07E05">
      <w:pPr>
        <w:ind w:left="-15" w:right="16"/>
        <w:jc w:val="both"/>
        <w:rPr>
          <w:sz w:val="28"/>
          <w:szCs w:val="28"/>
        </w:rPr>
      </w:pPr>
      <w:r w:rsidRPr="00CC3D1D">
        <w:rPr>
          <w:sz w:val="28"/>
          <w:szCs w:val="28"/>
        </w:rPr>
        <w:t xml:space="preserve">П - процент, взимаемый предприятиями почтовой связи, за оказанные услуги по реализации ЕСПБ.  </w:t>
      </w:r>
    </w:p>
    <w:p w:rsidR="00F07E05" w:rsidRPr="00CC3D1D" w:rsidRDefault="00F07E05" w:rsidP="00F07E05">
      <w:pPr>
        <w:ind w:left="-15" w:right="16" w:firstLine="866"/>
        <w:jc w:val="both"/>
        <w:rPr>
          <w:sz w:val="28"/>
          <w:szCs w:val="28"/>
        </w:rPr>
      </w:pPr>
      <w:r>
        <w:rPr>
          <w:sz w:val="28"/>
          <w:szCs w:val="28"/>
        </w:rPr>
        <w:t>Прогноз</w:t>
      </w:r>
      <w:r w:rsidRPr="00CC3D1D">
        <w:rPr>
          <w:sz w:val="28"/>
          <w:szCs w:val="28"/>
        </w:rPr>
        <w:t xml:space="preserve"> 2022 год и плановый период 2023-2024 годов доход рассчитан на основании количества единых социальных проездных билетов, реализованных за 12 истекших месяцев, предшествующих прогнозируемому периоду (с июля 2020 года по июнь 2021 года</w:t>
      </w:r>
      <w:r>
        <w:rPr>
          <w:sz w:val="28"/>
          <w:szCs w:val="28"/>
        </w:rPr>
        <w:t>)</w:t>
      </w:r>
      <w:r w:rsidRPr="00CC3D1D">
        <w:rPr>
          <w:sz w:val="28"/>
          <w:szCs w:val="28"/>
        </w:rPr>
        <w:t xml:space="preserve"> с учетом полного отсутствия в прогнозируемом периоде реализации ЕСПБ в указанных 4 агломерациях, перешедших на новую транспортную модель в 2021 году. </w:t>
      </w:r>
    </w:p>
    <w:p w:rsidR="00F07E05" w:rsidRPr="00CC3D1D" w:rsidRDefault="00F07E05" w:rsidP="00F07E05">
      <w:pPr>
        <w:spacing w:after="3" w:line="250" w:lineRule="auto"/>
        <w:ind w:left="-15"/>
        <w:jc w:val="both"/>
        <w:rPr>
          <w:sz w:val="28"/>
          <w:szCs w:val="28"/>
        </w:rPr>
      </w:pPr>
      <w:r w:rsidRPr="00CC3D1D">
        <w:rPr>
          <w:b/>
          <w:sz w:val="28"/>
          <w:szCs w:val="28"/>
        </w:rPr>
        <w:t xml:space="preserve">Д = 134 691 (шт.) * 302 (руб.) * (100% - 2,4 %) = 39 700 442 руб. = 39 700,44 тыс. руб. </w:t>
      </w:r>
    </w:p>
    <w:p w:rsidR="00F07E05" w:rsidRPr="00CC3D1D" w:rsidRDefault="00F07E05" w:rsidP="00F07E05">
      <w:pPr>
        <w:ind w:left="-15" w:right="16" w:firstLine="441"/>
        <w:jc w:val="both"/>
        <w:rPr>
          <w:sz w:val="28"/>
          <w:szCs w:val="28"/>
        </w:rPr>
      </w:pPr>
      <w:r w:rsidRPr="00CC3D1D">
        <w:rPr>
          <w:sz w:val="28"/>
          <w:szCs w:val="28"/>
        </w:rPr>
        <w:t xml:space="preserve">На плановый период 2023-2024 доходы от реализации ЕСПБ запланированы на уровне 2022 года. </w:t>
      </w:r>
    </w:p>
    <w:p w:rsidR="00F07E05" w:rsidRDefault="00F07E05" w:rsidP="00F07E05">
      <w:pPr>
        <w:ind w:firstLine="709"/>
        <w:jc w:val="both"/>
        <w:rPr>
          <w:sz w:val="28"/>
          <w:szCs w:val="28"/>
        </w:rPr>
      </w:pPr>
    </w:p>
    <w:p w:rsidR="00F07E05" w:rsidRPr="002314FE" w:rsidRDefault="00F07E05" w:rsidP="00F07E05">
      <w:pPr>
        <w:autoSpaceDE w:val="0"/>
        <w:autoSpaceDN w:val="0"/>
        <w:adjustRightInd w:val="0"/>
        <w:ind w:firstLine="720"/>
        <w:jc w:val="both"/>
        <w:rPr>
          <w:b/>
          <w:sz w:val="28"/>
          <w:szCs w:val="28"/>
        </w:rPr>
      </w:pPr>
      <w:r w:rsidRPr="002314FE">
        <w:rPr>
          <w:b/>
          <w:sz w:val="28"/>
          <w:szCs w:val="28"/>
        </w:rPr>
        <w:t>Комитет по физической культуре и спорту Тверской области</w:t>
      </w:r>
    </w:p>
    <w:p w:rsidR="00F07E05" w:rsidRDefault="00F07E05" w:rsidP="00F07E05">
      <w:pPr>
        <w:autoSpaceDE w:val="0"/>
        <w:autoSpaceDN w:val="0"/>
        <w:adjustRightInd w:val="0"/>
        <w:ind w:firstLine="720"/>
        <w:jc w:val="both"/>
        <w:rPr>
          <w:b/>
          <w:sz w:val="28"/>
          <w:szCs w:val="28"/>
        </w:rPr>
      </w:pPr>
    </w:p>
    <w:p w:rsidR="00F07E05" w:rsidRDefault="00F07E05" w:rsidP="00F07E05">
      <w:pPr>
        <w:autoSpaceDE w:val="0"/>
        <w:autoSpaceDN w:val="0"/>
        <w:adjustRightInd w:val="0"/>
        <w:ind w:firstLine="720"/>
        <w:jc w:val="right"/>
        <w:rPr>
          <w:b/>
          <w:sz w:val="28"/>
          <w:szCs w:val="28"/>
        </w:rPr>
      </w:pPr>
      <w:r>
        <w:rPr>
          <w:b/>
          <w:sz w:val="28"/>
          <w:szCs w:val="28"/>
        </w:rPr>
        <w:t>тыс. руб.</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1368"/>
        <w:gridCol w:w="1440"/>
        <w:gridCol w:w="1620"/>
      </w:tblGrid>
      <w:tr w:rsidR="00F07E05" w:rsidRPr="00C93A58" w:rsidTr="008A253E">
        <w:trPr>
          <w:trHeight w:val="510"/>
        </w:trPr>
        <w:tc>
          <w:tcPr>
            <w:tcW w:w="2520" w:type="dxa"/>
            <w:noWrap/>
          </w:tcPr>
          <w:p w:rsidR="00F07E05" w:rsidRPr="00C93A58" w:rsidRDefault="00F07E05" w:rsidP="008A253E">
            <w:pPr>
              <w:rPr>
                <w:b/>
                <w:sz w:val="20"/>
                <w:szCs w:val="20"/>
              </w:rPr>
            </w:pPr>
            <w:r w:rsidRPr="00C93A58">
              <w:rPr>
                <w:b/>
                <w:sz w:val="20"/>
                <w:szCs w:val="20"/>
              </w:rPr>
              <w:t>Код БК</w:t>
            </w:r>
          </w:p>
        </w:tc>
        <w:tc>
          <w:tcPr>
            <w:tcW w:w="2520" w:type="dxa"/>
            <w:noWrap/>
          </w:tcPr>
          <w:p w:rsidR="00F07E05" w:rsidRPr="00C93A58" w:rsidRDefault="00F07E05" w:rsidP="008A253E">
            <w:pPr>
              <w:rPr>
                <w:b/>
                <w:sz w:val="20"/>
                <w:szCs w:val="20"/>
              </w:rPr>
            </w:pPr>
            <w:r w:rsidRPr="00C93A58">
              <w:rPr>
                <w:b/>
                <w:sz w:val="20"/>
                <w:szCs w:val="20"/>
              </w:rPr>
              <w:t>Наименование</w:t>
            </w:r>
          </w:p>
        </w:tc>
        <w:tc>
          <w:tcPr>
            <w:tcW w:w="1368" w:type="dxa"/>
          </w:tcPr>
          <w:p w:rsidR="00F07E05" w:rsidRPr="00C93A58" w:rsidRDefault="00F07E05" w:rsidP="008A253E">
            <w:pPr>
              <w:jc w:val="center"/>
              <w:rPr>
                <w:b/>
                <w:sz w:val="20"/>
                <w:szCs w:val="20"/>
              </w:rPr>
            </w:pPr>
            <w:r w:rsidRPr="00C93A58">
              <w:rPr>
                <w:b/>
                <w:sz w:val="20"/>
                <w:szCs w:val="20"/>
              </w:rPr>
              <w:t>Прогноз на</w:t>
            </w:r>
          </w:p>
          <w:p w:rsidR="00F07E05" w:rsidRPr="00C93A58" w:rsidRDefault="00F07E05" w:rsidP="008A253E">
            <w:pPr>
              <w:jc w:val="center"/>
              <w:rPr>
                <w:b/>
                <w:sz w:val="20"/>
                <w:szCs w:val="20"/>
              </w:rPr>
            </w:pPr>
            <w:r w:rsidRPr="00C93A58">
              <w:rPr>
                <w:b/>
                <w:sz w:val="20"/>
                <w:szCs w:val="20"/>
              </w:rPr>
              <w:t>20</w:t>
            </w:r>
            <w:r>
              <w:rPr>
                <w:b/>
                <w:sz w:val="20"/>
                <w:szCs w:val="20"/>
              </w:rPr>
              <w:t xml:space="preserve">22 </w:t>
            </w:r>
            <w:r w:rsidRPr="00C93A58">
              <w:rPr>
                <w:b/>
                <w:sz w:val="20"/>
                <w:szCs w:val="20"/>
              </w:rPr>
              <w:t xml:space="preserve">год </w:t>
            </w:r>
          </w:p>
          <w:p w:rsidR="00F07E05" w:rsidRPr="00C93A58" w:rsidRDefault="00F07E05" w:rsidP="008A253E">
            <w:pPr>
              <w:jc w:val="center"/>
              <w:rPr>
                <w:b/>
                <w:sz w:val="20"/>
                <w:szCs w:val="20"/>
              </w:rPr>
            </w:pPr>
          </w:p>
        </w:tc>
        <w:tc>
          <w:tcPr>
            <w:tcW w:w="1440" w:type="dxa"/>
          </w:tcPr>
          <w:p w:rsidR="00F07E05" w:rsidRPr="00C93A58" w:rsidRDefault="00F07E05" w:rsidP="008A253E">
            <w:pPr>
              <w:jc w:val="center"/>
              <w:rPr>
                <w:b/>
                <w:sz w:val="20"/>
                <w:szCs w:val="20"/>
              </w:rPr>
            </w:pPr>
            <w:r w:rsidRPr="00C93A58">
              <w:rPr>
                <w:b/>
                <w:sz w:val="20"/>
                <w:szCs w:val="20"/>
              </w:rPr>
              <w:t>Прогноз на</w:t>
            </w:r>
          </w:p>
          <w:p w:rsidR="00F07E05" w:rsidRPr="00C93A58" w:rsidRDefault="00F07E05" w:rsidP="008A253E">
            <w:pPr>
              <w:jc w:val="center"/>
              <w:rPr>
                <w:b/>
                <w:sz w:val="20"/>
                <w:szCs w:val="20"/>
              </w:rPr>
            </w:pPr>
            <w:r w:rsidRPr="00C93A58">
              <w:rPr>
                <w:b/>
                <w:sz w:val="20"/>
                <w:szCs w:val="20"/>
              </w:rPr>
              <w:t>20</w:t>
            </w:r>
            <w:r>
              <w:rPr>
                <w:b/>
                <w:sz w:val="20"/>
                <w:szCs w:val="20"/>
              </w:rPr>
              <w:t xml:space="preserve">23 </w:t>
            </w:r>
            <w:r w:rsidRPr="00C93A58">
              <w:rPr>
                <w:b/>
                <w:sz w:val="20"/>
                <w:szCs w:val="20"/>
              </w:rPr>
              <w:t>год</w:t>
            </w:r>
          </w:p>
          <w:p w:rsidR="00F07E05" w:rsidRPr="00C93A58" w:rsidRDefault="00F07E05" w:rsidP="008A253E">
            <w:pPr>
              <w:jc w:val="center"/>
              <w:rPr>
                <w:b/>
                <w:sz w:val="20"/>
                <w:szCs w:val="20"/>
              </w:rPr>
            </w:pPr>
          </w:p>
        </w:tc>
        <w:tc>
          <w:tcPr>
            <w:tcW w:w="1620" w:type="dxa"/>
          </w:tcPr>
          <w:p w:rsidR="00F07E05" w:rsidRPr="00C93A58" w:rsidRDefault="00F07E05" w:rsidP="008A253E">
            <w:pPr>
              <w:jc w:val="center"/>
              <w:rPr>
                <w:b/>
                <w:sz w:val="20"/>
                <w:szCs w:val="20"/>
              </w:rPr>
            </w:pPr>
            <w:r w:rsidRPr="00C93A58">
              <w:rPr>
                <w:b/>
                <w:sz w:val="20"/>
                <w:szCs w:val="20"/>
              </w:rPr>
              <w:t>Прогноз на</w:t>
            </w:r>
          </w:p>
          <w:p w:rsidR="00F07E05" w:rsidRPr="00C93A58" w:rsidRDefault="00F07E05" w:rsidP="008A253E">
            <w:pPr>
              <w:jc w:val="center"/>
              <w:rPr>
                <w:b/>
                <w:sz w:val="20"/>
                <w:szCs w:val="20"/>
              </w:rPr>
            </w:pPr>
            <w:r w:rsidRPr="00C93A58">
              <w:rPr>
                <w:b/>
                <w:sz w:val="20"/>
                <w:szCs w:val="20"/>
              </w:rPr>
              <w:t>20</w:t>
            </w:r>
            <w:r>
              <w:rPr>
                <w:b/>
                <w:sz w:val="20"/>
                <w:szCs w:val="20"/>
              </w:rPr>
              <w:t xml:space="preserve">24 </w:t>
            </w:r>
            <w:r w:rsidRPr="00C93A58">
              <w:rPr>
                <w:b/>
                <w:sz w:val="20"/>
                <w:szCs w:val="20"/>
              </w:rPr>
              <w:t xml:space="preserve"> год</w:t>
            </w:r>
          </w:p>
          <w:p w:rsidR="00F07E05" w:rsidRPr="00C93A58" w:rsidRDefault="00F07E05" w:rsidP="008A253E">
            <w:pPr>
              <w:jc w:val="center"/>
              <w:rPr>
                <w:b/>
                <w:sz w:val="20"/>
                <w:szCs w:val="20"/>
              </w:rPr>
            </w:pPr>
          </w:p>
        </w:tc>
      </w:tr>
      <w:tr w:rsidR="00F07E05" w:rsidRPr="00C93A58" w:rsidTr="008A253E">
        <w:trPr>
          <w:trHeight w:val="930"/>
        </w:trPr>
        <w:tc>
          <w:tcPr>
            <w:tcW w:w="2520" w:type="dxa"/>
            <w:noWrap/>
          </w:tcPr>
          <w:p w:rsidR="00F07E05" w:rsidRPr="00C93A58" w:rsidRDefault="00F07E05" w:rsidP="008A253E">
            <w:pPr>
              <w:jc w:val="center"/>
              <w:rPr>
                <w:b/>
                <w:sz w:val="16"/>
                <w:szCs w:val="16"/>
              </w:rPr>
            </w:pPr>
          </w:p>
          <w:p w:rsidR="00F07E05" w:rsidRPr="00C93A58" w:rsidRDefault="00F07E05" w:rsidP="008A253E">
            <w:pPr>
              <w:jc w:val="center"/>
              <w:rPr>
                <w:b/>
                <w:sz w:val="16"/>
                <w:szCs w:val="16"/>
              </w:rPr>
            </w:pPr>
          </w:p>
          <w:p w:rsidR="00F07E05" w:rsidRPr="00C93A58" w:rsidRDefault="00F07E05" w:rsidP="008A253E">
            <w:pPr>
              <w:jc w:val="center"/>
              <w:rPr>
                <w:b/>
                <w:sz w:val="16"/>
                <w:szCs w:val="16"/>
              </w:rPr>
            </w:pPr>
            <w:r w:rsidRPr="00C93A58">
              <w:rPr>
                <w:b/>
                <w:sz w:val="16"/>
                <w:szCs w:val="16"/>
              </w:rPr>
              <w:t>000</w:t>
            </w:r>
            <w:r w:rsidRPr="00C93A58">
              <w:rPr>
                <w:b/>
                <w:sz w:val="16"/>
                <w:szCs w:val="16"/>
                <w:lang w:val="en-US"/>
              </w:rPr>
              <w:t xml:space="preserve"> 1 13 0</w:t>
            </w:r>
            <w:r w:rsidRPr="00C93A58">
              <w:rPr>
                <w:b/>
                <w:sz w:val="16"/>
                <w:szCs w:val="16"/>
              </w:rPr>
              <w:t>2990</w:t>
            </w:r>
            <w:r w:rsidRPr="00C93A58">
              <w:rPr>
                <w:b/>
                <w:sz w:val="16"/>
                <w:szCs w:val="16"/>
                <w:lang w:val="en-US"/>
              </w:rPr>
              <w:t xml:space="preserve"> 0</w:t>
            </w:r>
            <w:r w:rsidRPr="00C93A58">
              <w:rPr>
                <w:b/>
                <w:sz w:val="16"/>
                <w:szCs w:val="16"/>
              </w:rPr>
              <w:t>0</w:t>
            </w:r>
            <w:r w:rsidRPr="00C93A58">
              <w:rPr>
                <w:b/>
                <w:sz w:val="16"/>
                <w:szCs w:val="16"/>
                <w:lang w:val="en-US"/>
              </w:rPr>
              <w:t xml:space="preserve"> 0</w:t>
            </w:r>
            <w:r w:rsidRPr="00C93A58">
              <w:rPr>
                <w:b/>
                <w:sz w:val="16"/>
                <w:szCs w:val="16"/>
              </w:rPr>
              <w:t>000 130</w:t>
            </w:r>
          </w:p>
        </w:tc>
        <w:tc>
          <w:tcPr>
            <w:tcW w:w="2520" w:type="dxa"/>
          </w:tcPr>
          <w:p w:rsidR="00F07E05" w:rsidRPr="00C93A58" w:rsidRDefault="00F07E05" w:rsidP="008A253E">
            <w:pPr>
              <w:rPr>
                <w:sz w:val="20"/>
                <w:szCs w:val="20"/>
              </w:rPr>
            </w:pPr>
          </w:p>
          <w:p w:rsidR="00F07E05" w:rsidRPr="00C93A58" w:rsidRDefault="00F07E05" w:rsidP="008A253E">
            <w:pPr>
              <w:rPr>
                <w:sz w:val="20"/>
                <w:szCs w:val="20"/>
              </w:rPr>
            </w:pPr>
            <w:r w:rsidRPr="00C93A58">
              <w:rPr>
                <w:sz w:val="20"/>
                <w:szCs w:val="20"/>
              </w:rPr>
              <w:t xml:space="preserve">Прочие доходы от компенсации затрат государства </w:t>
            </w:r>
          </w:p>
        </w:tc>
        <w:tc>
          <w:tcPr>
            <w:tcW w:w="1368" w:type="dxa"/>
            <w:noWrap/>
          </w:tcPr>
          <w:p w:rsidR="00F07E05" w:rsidRDefault="00F07E05" w:rsidP="008A253E">
            <w:pPr>
              <w:ind w:hanging="108"/>
              <w:jc w:val="center"/>
              <w:rPr>
                <w:sz w:val="20"/>
                <w:szCs w:val="20"/>
              </w:rPr>
            </w:pPr>
          </w:p>
          <w:p w:rsidR="00F07E05" w:rsidRPr="00C93A58" w:rsidRDefault="00F07E05" w:rsidP="008A253E">
            <w:pPr>
              <w:ind w:hanging="108"/>
              <w:jc w:val="center"/>
              <w:rPr>
                <w:sz w:val="20"/>
                <w:szCs w:val="20"/>
              </w:rPr>
            </w:pPr>
            <w:r>
              <w:rPr>
                <w:sz w:val="20"/>
                <w:szCs w:val="20"/>
              </w:rPr>
              <w:t>47,6</w:t>
            </w:r>
          </w:p>
        </w:tc>
        <w:tc>
          <w:tcPr>
            <w:tcW w:w="1440" w:type="dxa"/>
            <w:noWrap/>
          </w:tcPr>
          <w:p w:rsidR="00F07E05" w:rsidRDefault="00F07E05" w:rsidP="008A253E">
            <w:pPr>
              <w:ind w:left="-136" w:right="-108" w:hanging="28"/>
              <w:jc w:val="center"/>
              <w:rPr>
                <w:sz w:val="20"/>
                <w:szCs w:val="20"/>
              </w:rPr>
            </w:pPr>
          </w:p>
          <w:p w:rsidR="00F07E05" w:rsidRPr="00C93A58" w:rsidRDefault="00F07E05" w:rsidP="008A253E">
            <w:pPr>
              <w:ind w:left="-136" w:right="-108" w:hanging="28"/>
              <w:jc w:val="center"/>
              <w:rPr>
                <w:sz w:val="20"/>
                <w:szCs w:val="20"/>
              </w:rPr>
            </w:pPr>
            <w:r>
              <w:rPr>
                <w:sz w:val="20"/>
                <w:szCs w:val="20"/>
              </w:rPr>
              <w:t>43,2</w:t>
            </w:r>
          </w:p>
        </w:tc>
        <w:tc>
          <w:tcPr>
            <w:tcW w:w="1620" w:type="dxa"/>
            <w:noWrap/>
          </w:tcPr>
          <w:p w:rsidR="00F07E05" w:rsidRDefault="00F07E05" w:rsidP="008A253E">
            <w:pPr>
              <w:ind w:left="-108" w:right="-3" w:hanging="108"/>
              <w:jc w:val="center"/>
              <w:rPr>
                <w:sz w:val="20"/>
                <w:szCs w:val="20"/>
              </w:rPr>
            </w:pPr>
          </w:p>
          <w:p w:rsidR="00F07E05" w:rsidRPr="00C93A58" w:rsidRDefault="00F07E05" w:rsidP="008A253E">
            <w:pPr>
              <w:ind w:left="-108" w:right="-3" w:hanging="108"/>
              <w:jc w:val="center"/>
              <w:rPr>
                <w:sz w:val="20"/>
                <w:szCs w:val="20"/>
              </w:rPr>
            </w:pPr>
            <w:r>
              <w:rPr>
                <w:sz w:val="20"/>
                <w:szCs w:val="20"/>
              </w:rPr>
              <w:t>43,8</w:t>
            </w:r>
          </w:p>
        </w:tc>
      </w:tr>
    </w:tbl>
    <w:p w:rsidR="00F07E05" w:rsidRPr="00E86806" w:rsidRDefault="00F07E05" w:rsidP="00F07E05">
      <w:pPr>
        <w:autoSpaceDE w:val="0"/>
        <w:autoSpaceDN w:val="0"/>
        <w:adjustRightInd w:val="0"/>
        <w:ind w:firstLine="720"/>
        <w:jc w:val="both"/>
        <w:rPr>
          <w:b/>
          <w:sz w:val="28"/>
          <w:szCs w:val="28"/>
        </w:rPr>
      </w:pPr>
    </w:p>
    <w:p w:rsidR="00F07E05" w:rsidRDefault="00F07E05" w:rsidP="00F07E05">
      <w:pPr>
        <w:ind w:firstLine="708"/>
        <w:jc w:val="both"/>
        <w:rPr>
          <w:sz w:val="28"/>
          <w:szCs w:val="28"/>
        </w:rPr>
      </w:pPr>
      <w:r w:rsidRPr="00C93A58">
        <w:rPr>
          <w:sz w:val="28"/>
          <w:szCs w:val="28"/>
        </w:rPr>
        <w:t xml:space="preserve">В соответствии с Методикой прогнозирования утвержденной приказом </w:t>
      </w:r>
      <w:r>
        <w:rPr>
          <w:sz w:val="28"/>
          <w:szCs w:val="28"/>
        </w:rPr>
        <w:t>Комитета по физической культуре и спорту Тверской области от 17.12.2019 № 431-од</w:t>
      </w:r>
      <w:r w:rsidRPr="00C93A58">
        <w:rPr>
          <w:sz w:val="28"/>
          <w:szCs w:val="28"/>
        </w:rPr>
        <w:t xml:space="preserve"> расчет прогнозного объема поступлений рассчитывается методом усреднения годовых объемов дохода полученных за 3 года</w:t>
      </w:r>
      <w:r>
        <w:rPr>
          <w:sz w:val="28"/>
          <w:szCs w:val="28"/>
        </w:rPr>
        <w:t xml:space="preserve"> за вычетом доходов, носящих несистемный (разовый) характер</w:t>
      </w:r>
      <w:r w:rsidRPr="00C93A58">
        <w:rPr>
          <w:sz w:val="28"/>
          <w:szCs w:val="28"/>
        </w:rPr>
        <w:t xml:space="preserve">. </w:t>
      </w:r>
    </w:p>
    <w:p w:rsidR="00F07E05" w:rsidRDefault="00F07E05" w:rsidP="00F07E05">
      <w:pPr>
        <w:autoSpaceDE w:val="0"/>
        <w:autoSpaceDN w:val="0"/>
        <w:adjustRightInd w:val="0"/>
        <w:ind w:firstLine="720"/>
        <w:jc w:val="both"/>
        <w:rPr>
          <w:sz w:val="28"/>
          <w:szCs w:val="28"/>
        </w:rPr>
      </w:pPr>
      <w:r>
        <w:rPr>
          <w:sz w:val="28"/>
          <w:szCs w:val="28"/>
        </w:rPr>
        <w:t xml:space="preserve">Прочие доходы от компенсации затрат бюджетов субъектов Российской Федерации (средства от возврата дебиторской задолженности) </w:t>
      </w:r>
    </w:p>
    <w:p w:rsidR="00F07E05" w:rsidRPr="00E40722" w:rsidRDefault="00F07E05" w:rsidP="00F07E05">
      <w:pPr>
        <w:autoSpaceDE w:val="0"/>
        <w:autoSpaceDN w:val="0"/>
        <w:adjustRightInd w:val="0"/>
        <w:ind w:firstLine="720"/>
        <w:jc w:val="both"/>
        <w:rPr>
          <w:sz w:val="28"/>
          <w:szCs w:val="28"/>
        </w:rPr>
      </w:pPr>
      <w:r w:rsidRPr="00E40722">
        <w:rPr>
          <w:sz w:val="28"/>
          <w:szCs w:val="28"/>
        </w:rPr>
        <w:t>20</w:t>
      </w:r>
      <w:r>
        <w:rPr>
          <w:sz w:val="28"/>
          <w:szCs w:val="28"/>
        </w:rPr>
        <w:t>19</w:t>
      </w:r>
      <w:r w:rsidRPr="00E40722">
        <w:rPr>
          <w:sz w:val="28"/>
          <w:szCs w:val="28"/>
        </w:rPr>
        <w:t xml:space="preserve"> год факт –</w:t>
      </w:r>
      <w:r>
        <w:rPr>
          <w:sz w:val="28"/>
          <w:szCs w:val="28"/>
        </w:rPr>
        <w:t xml:space="preserve"> 61,0 </w:t>
      </w:r>
      <w:r w:rsidRPr="00E40722">
        <w:rPr>
          <w:sz w:val="28"/>
          <w:szCs w:val="28"/>
        </w:rPr>
        <w:t>тыс. руб.;</w:t>
      </w:r>
    </w:p>
    <w:p w:rsidR="00F07E05" w:rsidRPr="00E40722" w:rsidRDefault="00F07E05" w:rsidP="00F07E05">
      <w:pPr>
        <w:autoSpaceDE w:val="0"/>
        <w:autoSpaceDN w:val="0"/>
        <w:adjustRightInd w:val="0"/>
        <w:ind w:firstLine="720"/>
        <w:jc w:val="both"/>
        <w:rPr>
          <w:sz w:val="28"/>
          <w:szCs w:val="28"/>
        </w:rPr>
      </w:pPr>
      <w:r w:rsidRPr="00E40722">
        <w:rPr>
          <w:sz w:val="28"/>
          <w:szCs w:val="28"/>
        </w:rPr>
        <w:t>20</w:t>
      </w:r>
      <w:r>
        <w:rPr>
          <w:sz w:val="28"/>
          <w:szCs w:val="28"/>
        </w:rPr>
        <w:t>20</w:t>
      </w:r>
      <w:r w:rsidRPr="00E40722">
        <w:rPr>
          <w:sz w:val="28"/>
          <w:szCs w:val="28"/>
        </w:rPr>
        <w:t xml:space="preserve"> год факт – </w:t>
      </w:r>
      <w:r>
        <w:rPr>
          <w:sz w:val="28"/>
          <w:szCs w:val="28"/>
        </w:rPr>
        <w:t>41,2</w:t>
      </w:r>
      <w:r w:rsidRPr="00E40722">
        <w:rPr>
          <w:sz w:val="28"/>
          <w:szCs w:val="28"/>
        </w:rPr>
        <w:t xml:space="preserve"> тыс. руб.;</w:t>
      </w:r>
    </w:p>
    <w:p w:rsidR="00F07E05" w:rsidRDefault="00F07E05" w:rsidP="00F07E05">
      <w:pPr>
        <w:autoSpaceDE w:val="0"/>
        <w:autoSpaceDN w:val="0"/>
        <w:adjustRightInd w:val="0"/>
        <w:ind w:firstLine="720"/>
        <w:jc w:val="both"/>
        <w:rPr>
          <w:sz w:val="28"/>
          <w:szCs w:val="28"/>
        </w:rPr>
      </w:pPr>
      <w:r w:rsidRPr="00E40722">
        <w:rPr>
          <w:sz w:val="28"/>
          <w:szCs w:val="28"/>
        </w:rPr>
        <w:t>20</w:t>
      </w:r>
      <w:r>
        <w:rPr>
          <w:sz w:val="28"/>
          <w:szCs w:val="28"/>
        </w:rPr>
        <w:t xml:space="preserve">21 </w:t>
      </w:r>
      <w:r w:rsidRPr="00E40722">
        <w:rPr>
          <w:sz w:val="28"/>
          <w:szCs w:val="28"/>
        </w:rPr>
        <w:t xml:space="preserve">год </w:t>
      </w:r>
      <w:r>
        <w:rPr>
          <w:sz w:val="28"/>
          <w:szCs w:val="28"/>
        </w:rPr>
        <w:t>оценка</w:t>
      </w:r>
      <w:r w:rsidRPr="00E40722">
        <w:rPr>
          <w:sz w:val="28"/>
          <w:szCs w:val="28"/>
        </w:rPr>
        <w:t xml:space="preserve"> – </w:t>
      </w:r>
      <w:r>
        <w:rPr>
          <w:sz w:val="28"/>
          <w:szCs w:val="28"/>
        </w:rPr>
        <w:t xml:space="preserve">40,7 </w:t>
      </w:r>
      <w:r w:rsidRPr="00E40722">
        <w:rPr>
          <w:sz w:val="28"/>
          <w:szCs w:val="28"/>
        </w:rPr>
        <w:t xml:space="preserve"> тыс. руб.</w:t>
      </w:r>
      <w:r>
        <w:rPr>
          <w:sz w:val="28"/>
          <w:szCs w:val="28"/>
        </w:rPr>
        <w:t xml:space="preserve"> </w:t>
      </w:r>
    </w:p>
    <w:p w:rsidR="00F07E05" w:rsidRDefault="00F07E05" w:rsidP="00F07E05">
      <w:pPr>
        <w:autoSpaceDE w:val="0"/>
        <w:autoSpaceDN w:val="0"/>
        <w:adjustRightInd w:val="0"/>
        <w:ind w:firstLine="720"/>
        <w:jc w:val="both"/>
        <w:rPr>
          <w:sz w:val="28"/>
          <w:szCs w:val="28"/>
        </w:rPr>
      </w:pPr>
      <w:r w:rsidRPr="00A00929">
        <w:rPr>
          <w:b/>
          <w:sz w:val="28"/>
          <w:szCs w:val="28"/>
        </w:rPr>
        <w:t>Прогноз 202</w:t>
      </w:r>
      <w:r>
        <w:rPr>
          <w:b/>
          <w:sz w:val="28"/>
          <w:szCs w:val="28"/>
        </w:rPr>
        <w:t xml:space="preserve">2 – 47,6 тыс. руб. </w:t>
      </w:r>
      <w:r w:rsidRPr="000D2D88">
        <w:rPr>
          <w:sz w:val="28"/>
          <w:szCs w:val="28"/>
        </w:rPr>
        <w:t>(</w:t>
      </w:r>
      <w:r>
        <w:rPr>
          <w:sz w:val="28"/>
          <w:szCs w:val="28"/>
        </w:rPr>
        <w:t>61,0 тыс. руб.+ 41,2 тыс. руб.+40,6 тыс. руб.)/3=47,6 тыс. руб..</w:t>
      </w:r>
    </w:p>
    <w:p w:rsidR="00F07E05" w:rsidRPr="000D2D88" w:rsidRDefault="00F07E05" w:rsidP="00F07E05">
      <w:pPr>
        <w:autoSpaceDE w:val="0"/>
        <w:autoSpaceDN w:val="0"/>
        <w:adjustRightInd w:val="0"/>
        <w:ind w:firstLine="720"/>
        <w:jc w:val="both"/>
        <w:rPr>
          <w:sz w:val="28"/>
          <w:szCs w:val="28"/>
        </w:rPr>
      </w:pPr>
      <w:r w:rsidRPr="000D2D88">
        <w:rPr>
          <w:b/>
          <w:sz w:val="28"/>
          <w:szCs w:val="28"/>
        </w:rPr>
        <w:t>Прогноз 202</w:t>
      </w:r>
      <w:r>
        <w:rPr>
          <w:b/>
          <w:sz w:val="28"/>
          <w:szCs w:val="28"/>
        </w:rPr>
        <w:t>3</w:t>
      </w:r>
      <w:r w:rsidRPr="000D2D88">
        <w:rPr>
          <w:b/>
          <w:sz w:val="28"/>
          <w:szCs w:val="28"/>
        </w:rPr>
        <w:t xml:space="preserve"> год </w:t>
      </w:r>
      <w:r>
        <w:rPr>
          <w:b/>
          <w:sz w:val="28"/>
          <w:szCs w:val="28"/>
        </w:rPr>
        <w:t>–</w:t>
      </w:r>
      <w:r w:rsidRPr="000D2D88">
        <w:rPr>
          <w:b/>
          <w:sz w:val="28"/>
          <w:szCs w:val="28"/>
        </w:rPr>
        <w:t xml:space="preserve"> </w:t>
      </w:r>
      <w:r>
        <w:rPr>
          <w:b/>
          <w:sz w:val="28"/>
          <w:szCs w:val="28"/>
        </w:rPr>
        <w:t xml:space="preserve">43,2 тыс. руб. </w:t>
      </w:r>
      <w:r>
        <w:rPr>
          <w:sz w:val="28"/>
          <w:szCs w:val="28"/>
        </w:rPr>
        <w:t>(41,2 тыс. руб.</w:t>
      </w:r>
      <w:r w:rsidRPr="000D2D88">
        <w:rPr>
          <w:sz w:val="28"/>
          <w:szCs w:val="28"/>
        </w:rPr>
        <w:t xml:space="preserve"> </w:t>
      </w:r>
      <w:r>
        <w:rPr>
          <w:sz w:val="28"/>
          <w:szCs w:val="28"/>
        </w:rPr>
        <w:t>.+ 40,7 тыс. руб.+47,6 тыс. руб.)/3=43,2 тыс. руб.</w:t>
      </w:r>
    </w:p>
    <w:p w:rsidR="00F07E05" w:rsidRPr="000D2D88" w:rsidRDefault="00F07E05" w:rsidP="00F07E05">
      <w:pPr>
        <w:autoSpaceDE w:val="0"/>
        <w:autoSpaceDN w:val="0"/>
        <w:adjustRightInd w:val="0"/>
        <w:ind w:firstLine="720"/>
        <w:jc w:val="both"/>
        <w:rPr>
          <w:sz w:val="28"/>
          <w:szCs w:val="28"/>
        </w:rPr>
      </w:pPr>
      <w:r>
        <w:rPr>
          <w:b/>
          <w:sz w:val="28"/>
          <w:szCs w:val="28"/>
        </w:rPr>
        <w:lastRenderedPageBreak/>
        <w:t xml:space="preserve"> Прогноз </w:t>
      </w:r>
      <w:r w:rsidRPr="00A00929">
        <w:rPr>
          <w:b/>
          <w:sz w:val="28"/>
          <w:szCs w:val="28"/>
        </w:rPr>
        <w:t>202</w:t>
      </w:r>
      <w:r>
        <w:rPr>
          <w:b/>
          <w:sz w:val="28"/>
          <w:szCs w:val="28"/>
        </w:rPr>
        <w:t>4</w:t>
      </w:r>
      <w:r w:rsidRPr="00A00929">
        <w:rPr>
          <w:b/>
          <w:sz w:val="28"/>
          <w:szCs w:val="28"/>
        </w:rPr>
        <w:t xml:space="preserve"> год – </w:t>
      </w:r>
      <w:r>
        <w:rPr>
          <w:b/>
          <w:sz w:val="28"/>
          <w:szCs w:val="28"/>
        </w:rPr>
        <w:t xml:space="preserve">43,8 </w:t>
      </w:r>
      <w:r w:rsidRPr="00A00929">
        <w:rPr>
          <w:b/>
          <w:sz w:val="28"/>
          <w:szCs w:val="28"/>
        </w:rPr>
        <w:t>тыс. руб.</w:t>
      </w:r>
      <w:r>
        <w:rPr>
          <w:b/>
          <w:sz w:val="28"/>
          <w:szCs w:val="28"/>
        </w:rPr>
        <w:t xml:space="preserve"> </w:t>
      </w:r>
      <w:r>
        <w:rPr>
          <w:sz w:val="28"/>
          <w:szCs w:val="28"/>
        </w:rPr>
        <w:t>(40,7 тыс. руб. +47,7 тыс. руб.+43,2 тыс. руб.)/3=43,8 тыс. руб.</w:t>
      </w:r>
    </w:p>
    <w:p w:rsidR="00F07E05" w:rsidRDefault="00F07E05" w:rsidP="00F07E05">
      <w:pPr>
        <w:autoSpaceDE w:val="0"/>
        <w:autoSpaceDN w:val="0"/>
        <w:adjustRightInd w:val="0"/>
        <w:ind w:firstLine="720"/>
        <w:jc w:val="center"/>
        <w:rPr>
          <w:b/>
          <w:sz w:val="28"/>
          <w:szCs w:val="28"/>
        </w:rPr>
      </w:pPr>
    </w:p>
    <w:p w:rsidR="00F07E05" w:rsidRDefault="00F07E05" w:rsidP="00F07E05">
      <w:pPr>
        <w:autoSpaceDE w:val="0"/>
        <w:autoSpaceDN w:val="0"/>
        <w:adjustRightInd w:val="0"/>
        <w:ind w:firstLine="720"/>
        <w:jc w:val="center"/>
        <w:rPr>
          <w:b/>
          <w:sz w:val="28"/>
          <w:szCs w:val="28"/>
        </w:rPr>
      </w:pPr>
    </w:p>
    <w:p w:rsidR="00F07E05" w:rsidRPr="002314FE" w:rsidRDefault="00F07E05" w:rsidP="00F07E05">
      <w:pPr>
        <w:autoSpaceDE w:val="0"/>
        <w:autoSpaceDN w:val="0"/>
        <w:adjustRightInd w:val="0"/>
        <w:ind w:firstLine="720"/>
        <w:jc w:val="center"/>
        <w:rPr>
          <w:b/>
          <w:sz w:val="28"/>
          <w:szCs w:val="28"/>
        </w:rPr>
      </w:pPr>
      <w:r w:rsidRPr="002314FE">
        <w:rPr>
          <w:b/>
          <w:sz w:val="28"/>
          <w:szCs w:val="28"/>
        </w:rPr>
        <w:t>Отдел записи актов гражданского состояния Тверской области</w:t>
      </w:r>
    </w:p>
    <w:p w:rsidR="00F07E05" w:rsidRPr="0006397D" w:rsidRDefault="00F07E05" w:rsidP="00F07E05">
      <w:pPr>
        <w:autoSpaceDE w:val="0"/>
        <w:autoSpaceDN w:val="0"/>
        <w:adjustRightInd w:val="0"/>
        <w:ind w:firstLine="720"/>
        <w:jc w:val="center"/>
        <w:rPr>
          <w:b/>
          <w:color w:val="FF0000"/>
          <w:sz w:val="28"/>
          <w:szCs w:val="28"/>
        </w:rPr>
      </w:pPr>
    </w:p>
    <w:p w:rsidR="00F07E05" w:rsidRPr="00C93A58" w:rsidRDefault="00F07E05" w:rsidP="00F07E05">
      <w:pPr>
        <w:pStyle w:val="21"/>
        <w:jc w:val="right"/>
        <w:rPr>
          <w:b/>
        </w:rPr>
      </w:pPr>
      <w:r w:rsidRPr="00C93A58">
        <w:rPr>
          <w:b/>
        </w:rPr>
        <w:t>тыс.руб.</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1368"/>
        <w:gridCol w:w="1440"/>
        <w:gridCol w:w="1620"/>
      </w:tblGrid>
      <w:tr w:rsidR="00F07E05" w:rsidRPr="00C93A58" w:rsidTr="008A253E">
        <w:trPr>
          <w:trHeight w:val="510"/>
        </w:trPr>
        <w:tc>
          <w:tcPr>
            <w:tcW w:w="2520" w:type="dxa"/>
            <w:noWrap/>
          </w:tcPr>
          <w:p w:rsidR="00F07E05" w:rsidRPr="00C93A58" w:rsidRDefault="00F07E05" w:rsidP="008A253E">
            <w:pPr>
              <w:rPr>
                <w:b/>
                <w:sz w:val="20"/>
                <w:szCs w:val="20"/>
              </w:rPr>
            </w:pPr>
            <w:r w:rsidRPr="00C93A58">
              <w:rPr>
                <w:b/>
                <w:sz w:val="20"/>
                <w:szCs w:val="20"/>
              </w:rPr>
              <w:t>Код БК</w:t>
            </w:r>
          </w:p>
        </w:tc>
        <w:tc>
          <w:tcPr>
            <w:tcW w:w="2520" w:type="dxa"/>
            <w:noWrap/>
          </w:tcPr>
          <w:p w:rsidR="00F07E05" w:rsidRPr="00C93A58" w:rsidRDefault="00F07E05" w:rsidP="008A253E">
            <w:pPr>
              <w:rPr>
                <w:b/>
                <w:sz w:val="20"/>
                <w:szCs w:val="20"/>
              </w:rPr>
            </w:pPr>
            <w:r w:rsidRPr="00C93A58">
              <w:rPr>
                <w:b/>
                <w:sz w:val="20"/>
                <w:szCs w:val="20"/>
              </w:rPr>
              <w:t>Наименование</w:t>
            </w:r>
          </w:p>
        </w:tc>
        <w:tc>
          <w:tcPr>
            <w:tcW w:w="1368" w:type="dxa"/>
          </w:tcPr>
          <w:p w:rsidR="00F07E05" w:rsidRPr="00C93A58" w:rsidRDefault="00F07E05" w:rsidP="008A253E">
            <w:pPr>
              <w:jc w:val="center"/>
              <w:rPr>
                <w:b/>
                <w:sz w:val="20"/>
                <w:szCs w:val="20"/>
              </w:rPr>
            </w:pPr>
            <w:r w:rsidRPr="00C93A58">
              <w:rPr>
                <w:b/>
                <w:sz w:val="20"/>
                <w:szCs w:val="20"/>
              </w:rPr>
              <w:t>Прогноз на</w:t>
            </w:r>
          </w:p>
          <w:p w:rsidR="00F07E05" w:rsidRPr="00C93A58" w:rsidRDefault="00F07E05" w:rsidP="008A253E">
            <w:pPr>
              <w:jc w:val="center"/>
              <w:rPr>
                <w:b/>
                <w:sz w:val="20"/>
                <w:szCs w:val="20"/>
              </w:rPr>
            </w:pPr>
            <w:r w:rsidRPr="00C93A58">
              <w:rPr>
                <w:b/>
                <w:sz w:val="20"/>
                <w:szCs w:val="20"/>
              </w:rPr>
              <w:t>20</w:t>
            </w:r>
            <w:r>
              <w:rPr>
                <w:b/>
                <w:sz w:val="20"/>
                <w:szCs w:val="20"/>
              </w:rPr>
              <w:t>22</w:t>
            </w:r>
            <w:r w:rsidRPr="00C93A58">
              <w:rPr>
                <w:b/>
                <w:sz w:val="20"/>
                <w:szCs w:val="20"/>
              </w:rPr>
              <w:t xml:space="preserve"> год </w:t>
            </w:r>
          </w:p>
          <w:p w:rsidR="00F07E05" w:rsidRPr="00C93A58" w:rsidRDefault="00F07E05" w:rsidP="008A253E">
            <w:pPr>
              <w:jc w:val="center"/>
              <w:rPr>
                <w:b/>
                <w:sz w:val="20"/>
                <w:szCs w:val="20"/>
              </w:rPr>
            </w:pPr>
          </w:p>
        </w:tc>
        <w:tc>
          <w:tcPr>
            <w:tcW w:w="1440" w:type="dxa"/>
          </w:tcPr>
          <w:p w:rsidR="00F07E05" w:rsidRPr="00C93A58" w:rsidRDefault="00F07E05" w:rsidP="008A253E">
            <w:pPr>
              <w:jc w:val="center"/>
              <w:rPr>
                <w:b/>
                <w:sz w:val="20"/>
                <w:szCs w:val="20"/>
              </w:rPr>
            </w:pPr>
            <w:r w:rsidRPr="00C93A58">
              <w:rPr>
                <w:b/>
                <w:sz w:val="20"/>
                <w:szCs w:val="20"/>
              </w:rPr>
              <w:t>Прогноз на</w:t>
            </w:r>
          </w:p>
          <w:p w:rsidR="00F07E05" w:rsidRPr="00C93A58" w:rsidRDefault="00F07E05" w:rsidP="008A253E">
            <w:pPr>
              <w:jc w:val="center"/>
              <w:rPr>
                <w:b/>
                <w:sz w:val="20"/>
                <w:szCs w:val="20"/>
              </w:rPr>
            </w:pPr>
            <w:r w:rsidRPr="00C93A58">
              <w:rPr>
                <w:b/>
                <w:sz w:val="20"/>
                <w:szCs w:val="20"/>
              </w:rPr>
              <w:t>20</w:t>
            </w:r>
            <w:r>
              <w:rPr>
                <w:b/>
                <w:sz w:val="20"/>
                <w:szCs w:val="20"/>
              </w:rPr>
              <w:t xml:space="preserve">23 </w:t>
            </w:r>
            <w:r w:rsidRPr="00C93A58">
              <w:rPr>
                <w:b/>
                <w:sz w:val="20"/>
                <w:szCs w:val="20"/>
              </w:rPr>
              <w:t>год</w:t>
            </w:r>
          </w:p>
          <w:p w:rsidR="00F07E05" w:rsidRPr="00C93A58" w:rsidRDefault="00F07E05" w:rsidP="008A253E">
            <w:pPr>
              <w:jc w:val="center"/>
              <w:rPr>
                <w:b/>
                <w:sz w:val="20"/>
                <w:szCs w:val="20"/>
              </w:rPr>
            </w:pPr>
          </w:p>
        </w:tc>
        <w:tc>
          <w:tcPr>
            <w:tcW w:w="1620" w:type="dxa"/>
          </w:tcPr>
          <w:p w:rsidR="00F07E05" w:rsidRPr="00C93A58" w:rsidRDefault="00F07E05" w:rsidP="008A253E">
            <w:pPr>
              <w:jc w:val="center"/>
              <w:rPr>
                <w:b/>
                <w:sz w:val="20"/>
                <w:szCs w:val="20"/>
              </w:rPr>
            </w:pPr>
            <w:r w:rsidRPr="00C93A58">
              <w:rPr>
                <w:b/>
                <w:sz w:val="20"/>
                <w:szCs w:val="20"/>
              </w:rPr>
              <w:t>Прогноз на</w:t>
            </w:r>
          </w:p>
          <w:p w:rsidR="00F07E05" w:rsidRPr="00C93A58" w:rsidRDefault="00F07E05" w:rsidP="008A253E">
            <w:pPr>
              <w:jc w:val="center"/>
              <w:rPr>
                <w:b/>
                <w:sz w:val="20"/>
                <w:szCs w:val="20"/>
              </w:rPr>
            </w:pPr>
            <w:r w:rsidRPr="00C93A58">
              <w:rPr>
                <w:b/>
                <w:sz w:val="20"/>
                <w:szCs w:val="20"/>
              </w:rPr>
              <w:t>20</w:t>
            </w:r>
            <w:r>
              <w:rPr>
                <w:b/>
                <w:sz w:val="20"/>
                <w:szCs w:val="20"/>
              </w:rPr>
              <w:t xml:space="preserve">24 </w:t>
            </w:r>
            <w:r w:rsidRPr="00C93A58">
              <w:rPr>
                <w:b/>
                <w:sz w:val="20"/>
                <w:szCs w:val="20"/>
              </w:rPr>
              <w:t xml:space="preserve"> год</w:t>
            </w:r>
          </w:p>
          <w:p w:rsidR="00F07E05" w:rsidRPr="00C93A58" w:rsidRDefault="00F07E05" w:rsidP="008A253E">
            <w:pPr>
              <w:jc w:val="center"/>
              <w:rPr>
                <w:b/>
                <w:sz w:val="20"/>
                <w:szCs w:val="20"/>
              </w:rPr>
            </w:pPr>
          </w:p>
        </w:tc>
      </w:tr>
      <w:tr w:rsidR="00F07E05" w:rsidRPr="00C93A58" w:rsidTr="008A253E">
        <w:trPr>
          <w:trHeight w:val="770"/>
        </w:trPr>
        <w:tc>
          <w:tcPr>
            <w:tcW w:w="2520" w:type="dxa"/>
            <w:noWrap/>
          </w:tcPr>
          <w:p w:rsidR="00F07E05" w:rsidRPr="00C93A58" w:rsidRDefault="00F07E05" w:rsidP="008A253E">
            <w:pPr>
              <w:jc w:val="center"/>
              <w:rPr>
                <w:b/>
                <w:sz w:val="16"/>
                <w:szCs w:val="16"/>
              </w:rPr>
            </w:pPr>
          </w:p>
          <w:p w:rsidR="00F07E05" w:rsidRPr="00C93A58" w:rsidRDefault="00F07E05" w:rsidP="008A253E">
            <w:pPr>
              <w:jc w:val="center"/>
              <w:rPr>
                <w:b/>
                <w:sz w:val="16"/>
                <w:szCs w:val="16"/>
              </w:rPr>
            </w:pPr>
          </w:p>
          <w:p w:rsidR="00F07E05" w:rsidRPr="00C93A58" w:rsidRDefault="00F07E05" w:rsidP="008A253E">
            <w:pPr>
              <w:jc w:val="center"/>
              <w:rPr>
                <w:b/>
                <w:sz w:val="16"/>
                <w:szCs w:val="16"/>
              </w:rPr>
            </w:pPr>
            <w:r w:rsidRPr="00C93A58">
              <w:rPr>
                <w:b/>
                <w:sz w:val="16"/>
                <w:szCs w:val="16"/>
              </w:rPr>
              <w:t>000</w:t>
            </w:r>
            <w:r w:rsidRPr="00C93A58">
              <w:rPr>
                <w:b/>
                <w:sz w:val="16"/>
                <w:szCs w:val="16"/>
                <w:lang w:val="en-US"/>
              </w:rPr>
              <w:t xml:space="preserve"> 1 13 0</w:t>
            </w:r>
            <w:r w:rsidRPr="00C93A58">
              <w:rPr>
                <w:b/>
                <w:sz w:val="16"/>
                <w:szCs w:val="16"/>
              </w:rPr>
              <w:t>2990</w:t>
            </w:r>
            <w:r w:rsidRPr="00C93A58">
              <w:rPr>
                <w:b/>
                <w:sz w:val="16"/>
                <w:szCs w:val="16"/>
                <w:lang w:val="en-US"/>
              </w:rPr>
              <w:t xml:space="preserve"> 0</w:t>
            </w:r>
            <w:r w:rsidRPr="00C93A58">
              <w:rPr>
                <w:b/>
                <w:sz w:val="16"/>
                <w:szCs w:val="16"/>
              </w:rPr>
              <w:t>0</w:t>
            </w:r>
            <w:r w:rsidRPr="00C93A58">
              <w:rPr>
                <w:b/>
                <w:sz w:val="16"/>
                <w:szCs w:val="16"/>
                <w:lang w:val="en-US"/>
              </w:rPr>
              <w:t xml:space="preserve"> 0</w:t>
            </w:r>
            <w:r w:rsidRPr="00C93A58">
              <w:rPr>
                <w:b/>
                <w:sz w:val="16"/>
                <w:szCs w:val="16"/>
              </w:rPr>
              <w:t>000 130</w:t>
            </w:r>
          </w:p>
        </w:tc>
        <w:tc>
          <w:tcPr>
            <w:tcW w:w="2520" w:type="dxa"/>
          </w:tcPr>
          <w:p w:rsidR="00F07E05" w:rsidRPr="00C93A58" w:rsidRDefault="00F07E05" w:rsidP="008A253E">
            <w:pPr>
              <w:rPr>
                <w:sz w:val="20"/>
                <w:szCs w:val="20"/>
              </w:rPr>
            </w:pPr>
          </w:p>
          <w:p w:rsidR="00F07E05" w:rsidRPr="00C93A58" w:rsidRDefault="00F07E05" w:rsidP="008A253E">
            <w:pPr>
              <w:rPr>
                <w:sz w:val="20"/>
                <w:szCs w:val="20"/>
              </w:rPr>
            </w:pPr>
            <w:r w:rsidRPr="00C93A58">
              <w:rPr>
                <w:sz w:val="20"/>
                <w:szCs w:val="20"/>
              </w:rPr>
              <w:t xml:space="preserve">Прочие доходы от компенсации затрат государства </w:t>
            </w:r>
          </w:p>
        </w:tc>
        <w:tc>
          <w:tcPr>
            <w:tcW w:w="1368" w:type="dxa"/>
            <w:noWrap/>
          </w:tcPr>
          <w:p w:rsidR="00F07E05" w:rsidRDefault="00F07E05" w:rsidP="008A253E">
            <w:pPr>
              <w:ind w:hanging="108"/>
              <w:jc w:val="center"/>
              <w:rPr>
                <w:sz w:val="20"/>
                <w:szCs w:val="20"/>
              </w:rPr>
            </w:pPr>
          </w:p>
          <w:p w:rsidR="00F07E05" w:rsidRDefault="00F07E05" w:rsidP="008A253E">
            <w:pPr>
              <w:ind w:hanging="108"/>
              <w:jc w:val="center"/>
              <w:rPr>
                <w:sz w:val="20"/>
                <w:szCs w:val="20"/>
              </w:rPr>
            </w:pPr>
          </w:p>
          <w:p w:rsidR="00F07E05" w:rsidRPr="00C93A58" w:rsidRDefault="00F07E05" w:rsidP="008A253E">
            <w:pPr>
              <w:ind w:hanging="108"/>
              <w:jc w:val="center"/>
              <w:rPr>
                <w:sz w:val="20"/>
                <w:szCs w:val="20"/>
              </w:rPr>
            </w:pPr>
            <w:r>
              <w:rPr>
                <w:sz w:val="20"/>
                <w:szCs w:val="20"/>
              </w:rPr>
              <w:t>2,2</w:t>
            </w:r>
          </w:p>
        </w:tc>
        <w:tc>
          <w:tcPr>
            <w:tcW w:w="1440" w:type="dxa"/>
            <w:noWrap/>
          </w:tcPr>
          <w:p w:rsidR="00F07E05" w:rsidRDefault="00F07E05" w:rsidP="008A253E">
            <w:pPr>
              <w:ind w:left="-136" w:right="-108" w:hanging="28"/>
              <w:jc w:val="center"/>
              <w:rPr>
                <w:sz w:val="20"/>
                <w:szCs w:val="20"/>
              </w:rPr>
            </w:pPr>
          </w:p>
          <w:p w:rsidR="00F07E05" w:rsidRDefault="00F07E05" w:rsidP="008A253E">
            <w:pPr>
              <w:ind w:left="-136" w:right="-108" w:hanging="28"/>
              <w:jc w:val="center"/>
              <w:rPr>
                <w:sz w:val="20"/>
                <w:szCs w:val="20"/>
              </w:rPr>
            </w:pPr>
          </w:p>
          <w:p w:rsidR="00F07E05" w:rsidRPr="00C93A58" w:rsidRDefault="00F07E05" w:rsidP="008A253E">
            <w:pPr>
              <w:ind w:left="-136" w:right="-108" w:hanging="28"/>
              <w:jc w:val="center"/>
              <w:rPr>
                <w:sz w:val="20"/>
                <w:szCs w:val="20"/>
              </w:rPr>
            </w:pPr>
            <w:r>
              <w:rPr>
                <w:sz w:val="20"/>
                <w:szCs w:val="20"/>
              </w:rPr>
              <w:t>2,2</w:t>
            </w:r>
          </w:p>
        </w:tc>
        <w:tc>
          <w:tcPr>
            <w:tcW w:w="1620" w:type="dxa"/>
            <w:noWrap/>
          </w:tcPr>
          <w:p w:rsidR="00F07E05" w:rsidRDefault="00F07E05" w:rsidP="008A253E">
            <w:pPr>
              <w:ind w:left="-108" w:right="-3" w:hanging="108"/>
              <w:jc w:val="center"/>
              <w:rPr>
                <w:sz w:val="20"/>
                <w:szCs w:val="20"/>
              </w:rPr>
            </w:pPr>
          </w:p>
          <w:p w:rsidR="00F07E05" w:rsidRDefault="00F07E05" w:rsidP="008A253E">
            <w:pPr>
              <w:ind w:left="-108" w:right="-3" w:hanging="108"/>
              <w:jc w:val="center"/>
              <w:rPr>
                <w:sz w:val="20"/>
                <w:szCs w:val="20"/>
              </w:rPr>
            </w:pPr>
          </w:p>
          <w:p w:rsidR="00F07E05" w:rsidRPr="00C93A58" w:rsidRDefault="00F07E05" w:rsidP="008A253E">
            <w:pPr>
              <w:ind w:left="-108" w:right="-3" w:hanging="108"/>
              <w:jc w:val="center"/>
              <w:rPr>
                <w:sz w:val="20"/>
                <w:szCs w:val="20"/>
              </w:rPr>
            </w:pPr>
            <w:r>
              <w:rPr>
                <w:sz w:val="20"/>
                <w:szCs w:val="20"/>
              </w:rPr>
              <w:t>2,2</w:t>
            </w:r>
          </w:p>
        </w:tc>
      </w:tr>
    </w:tbl>
    <w:p w:rsidR="00F07E05" w:rsidRPr="00C93A58" w:rsidRDefault="00F07E05" w:rsidP="00F07E05">
      <w:pPr>
        <w:ind w:firstLine="720"/>
        <w:jc w:val="both"/>
        <w:rPr>
          <w:b/>
          <w:sz w:val="28"/>
          <w:szCs w:val="28"/>
        </w:rPr>
      </w:pPr>
    </w:p>
    <w:p w:rsidR="00F07E05" w:rsidRPr="00C93A58" w:rsidRDefault="00F07E05" w:rsidP="00F07E05">
      <w:pPr>
        <w:ind w:firstLine="708"/>
        <w:jc w:val="both"/>
        <w:rPr>
          <w:sz w:val="28"/>
          <w:szCs w:val="28"/>
        </w:rPr>
      </w:pPr>
      <w:r w:rsidRPr="00C93A58">
        <w:rPr>
          <w:sz w:val="28"/>
          <w:szCs w:val="28"/>
        </w:rPr>
        <w:t xml:space="preserve">В соответствии с Методикой прогнозирования утвержденной приказом </w:t>
      </w:r>
      <w:r>
        <w:rPr>
          <w:sz w:val="28"/>
          <w:szCs w:val="28"/>
        </w:rPr>
        <w:t>Отдела записи актов гражданского состояния от 22.05.2017 № 11 (с изменениями и дополнениями)</w:t>
      </w:r>
      <w:r w:rsidRPr="00C93A58">
        <w:rPr>
          <w:sz w:val="28"/>
          <w:szCs w:val="28"/>
        </w:rPr>
        <w:t xml:space="preserve"> расчет прогнозного объема поступлений рассчитывается методом усреднения годовых объемов дохода полученных за 3 года, предшествующих </w:t>
      </w:r>
      <w:r>
        <w:rPr>
          <w:sz w:val="28"/>
          <w:szCs w:val="28"/>
        </w:rPr>
        <w:t>расчетному</w:t>
      </w:r>
      <w:r w:rsidRPr="00C93A58">
        <w:rPr>
          <w:sz w:val="28"/>
          <w:szCs w:val="28"/>
        </w:rPr>
        <w:t xml:space="preserve">. </w:t>
      </w:r>
    </w:p>
    <w:p w:rsidR="00F07E05" w:rsidRDefault="00F07E05" w:rsidP="00F07E05">
      <w:pPr>
        <w:spacing w:line="276" w:lineRule="auto"/>
        <w:ind w:firstLine="720"/>
        <w:jc w:val="both"/>
        <w:rPr>
          <w:sz w:val="28"/>
          <w:szCs w:val="28"/>
        </w:rPr>
      </w:pPr>
      <w:r w:rsidRPr="00C93A58">
        <w:rPr>
          <w:sz w:val="28"/>
          <w:szCs w:val="28"/>
        </w:rPr>
        <w:t xml:space="preserve">  20</w:t>
      </w:r>
      <w:r>
        <w:rPr>
          <w:sz w:val="28"/>
          <w:szCs w:val="28"/>
        </w:rPr>
        <w:t xml:space="preserve">19 </w:t>
      </w:r>
      <w:r w:rsidRPr="00C93A58">
        <w:rPr>
          <w:sz w:val="28"/>
          <w:szCs w:val="28"/>
        </w:rPr>
        <w:t>год</w:t>
      </w:r>
      <w:r>
        <w:rPr>
          <w:sz w:val="28"/>
          <w:szCs w:val="28"/>
        </w:rPr>
        <w:t xml:space="preserve"> – 5,0 тыс.руб.;</w:t>
      </w:r>
    </w:p>
    <w:p w:rsidR="00F07E05" w:rsidRDefault="00F07E05" w:rsidP="00F07E05">
      <w:pPr>
        <w:spacing w:line="276" w:lineRule="auto"/>
        <w:ind w:firstLine="720"/>
        <w:jc w:val="both"/>
        <w:rPr>
          <w:sz w:val="28"/>
          <w:szCs w:val="28"/>
        </w:rPr>
      </w:pPr>
      <w:r w:rsidRPr="00C93A58">
        <w:rPr>
          <w:sz w:val="28"/>
          <w:szCs w:val="28"/>
        </w:rPr>
        <w:t xml:space="preserve"> 20</w:t>
      </w:r>
      <w:r>
        <w:rPr>
          <w:sz w:val="28"/>
          <w:szCs w:val="28"/>
        </w:rPr>
        <w:t>20</w:t>
      </w:r>
      <w:r w:rsidRPr="00C93A58">
        <w:rPr>
          <w:sz w:val="28"/>
          <w:szCs w:val="28"/>
        </w:rPr>
        <w:t xml:space="preserve"> год </w:t>
      </w:r>
      <w:r>
        <w:rPr>
          <w:sz w:val="28"/>
          <w:szCs w:val="28"/>
        </w:rPr>
        <w:t xml:space="preserve"> - 0,0 тыс.руб.;</w:t>
      </w:r>
    </w:p>
    <w:p w:rsidR="00F07E05" w:rsidRPr="00C93A58" w:rsidRDefault="00F07E05" w:rsidP="00F07E05">
      <w:pPr>
        <w:spacing w:line="276" w:lineRule="auto"/>
        <w:ind w:firstLine="720"/>
        <w:jc w:val="both"/>
        <w:rPr>
          <w:sz w:val="28"/>
          <w:szCs w:val="28"/>
        </w:rPr>
      </w:pPr>
      <w:r w:rsidRPr="00C93A58">
        <w:rPr>
          <w:sz w:val="28"/>
          <w:szCs w:val="28"/>
        </w:rPr>
        <w:t xml:space="preserve"> 20</w:t>
      </w:r>
      <w:r>
        <w:rPr>
          <w:sz w:val="28"/>
          <w:szCs w:val="28"/>
        </w:rPr>
        <w:t xml:space="preserve">21 </w:t>
      </w:r>
      <w:r w:rsidRPr="00C93A58">
        <w:rPr>
          <w:sz w:val="28"/>
          <w:szCs w:val="28"/>
        </w:rPr>
        <w:t>год</w:t>
      </w:r>
      <w:r>
        <w:rPr>
          <w:sz w:val="28"/>
          <w:szCs w:val="28"/>
        </w:rPr>
        <w:t xml:space="preserve"> (оценка) -  1,7 тыс. руб.</w:t>
      </w:r>
    </w:p>
    <w:p w:rsidR="00F07E05" w:rsidRPr="00C93A58" w:rsidRDefault="00F07E05" w:rsidP="00F07E05">
      <w:pPr>
        <w:autoSpaceDE w:val="0"/>
        <w:autoSpaceDN w:val="0"/>
        <w:adjustRightInd w:val="0"/>
        <w:ind w:firstLine="720"/>
        <w:jc w:val="both"/>
        <w:rPr>
          <w:sz w:val="28"/>
          <w:szCs w:val="28"/>
        </w:rPr>
      </w:pPr>
      <w:r w:rsidRPr="00C93A58">
        <w:rPr>
          <w:b/>
          <w:sz w:val="28"/>
          <w:szCs w:val="28"/>
        </w:rPr>
        <w:t>Прогноз на 20</w:t>
      </w:r>
      <w:r>
        <w:rPr>
          <w:b/>
          <w:sz w:val="28"/>
          <w:szCs w:val="28"/>
        </w:rPr>
        <w:t>22</w:t>
      </w:r>
      <w:r w:rsidRPr="00C93A58">
        <w:rPr>
          <w:b/>
          <w:sz w:val="28"/>
          <w:szCs w:val="28"/>
        </w:rPr>
        <w:t xml:space="preserve"> год рассчитан в сумме </w:t>
      </w:r>
      <w:r>
        <w:rPr>
          <w:b/>
          <w:sz w:val="28"/>
          <w:szCs w:val="28"/>
        </w:rPr>
        <w:t xml:space="preserve">2,2 </w:t>
      </w:r>
      <w:r w:rsidRPr="00C93A58">
        <w:rPr>
          <w:b/>
          <w:sz w:val="28"/>
          <w:szCs w:val="28"/>
        </w:rPr>
        <w:t>тыс. руб</w:t>
      </w:r>
      <w:r w:rsidRPr="00C93A58">
        <w:rPr>
          <w:sz w:val="28"/>
          <w:szCs w:val="28"/>
        </w:rPr>
        <w:t xml:space="preserve">. </w:t>
      </w:r>
      <w:r>
        <w:rPr>
          <w:sz w:val="28"/>
          <w:szCs w:val="28"/>
        </w:rPr>
        <w:t>(5,0</w:t>
      </w:r>
      <w:r w:rsidRPr="00C93A58">
        <w:rPr>
          <w:sz w:val="28"/>
          <w:szCs w:val="28"/>
        </w:rPr>
        <w:t xml:space="preserve"> тыс. руб. + </w:t>
      </w:r>
      <w:r>
        <w:rPr>
          <w:sz w:val="28"/>
          <w:szCs w:val="28"/>
        </w:rPr>
        <w:t xml:space="preserve">0,0 </w:t>
      </w:r>
      <w:r w:rsidRPr="00C93A58">
        <w:rPr>
          <w:sz w:val="28"/>
          <w:szCs w:val="28"/>
        </w:rPr>
        <w:t xml:space="preserve">тыс. руб. </w:t>
      </w:r>
      <w:r>
        <w:rPr>
          <w:sz w:val="28"/>
          <w:szCs w:val="28"/>
        </w:rPr>
        <w:t xml:space="preserve"> + 1,7 тыс. руб.</w:t>
      </w:r>
      <w:r w:rsidRPr="00C93A58">
        <w:rPr>
          <w:sz w:val="28"/>
          <w:szCs w:val="28"/>
        </w:rPr>
        <w:t xml:space="preserve">) / 3 = </w:t>
      </w:r>
      <w:r>
        <w:rPr>
          <w:sz w:val="28"/>
          <w:szCs w:val="28"/>
        </w:rPr>
        <w:t xml:space="preserve">2,2 </w:t>
      </w:r>
      <w:r w:rsidRPr="00C93A58">
        <w:rPr>
          <w:sz w:val="28"/>
          <w:szCs w:val="28"/>
        </w:rPr>
        <w:t>тыс. руб.</w:t>
      </w:r>
    </w:p>
    <w:p w:rsidR="00F07E05" w:rsidRDefault="00F07E05" w:rsidP="00F07E05">
      <w:pPr>
        <w:autoSpaceDE w:val="0"/>
        <w:autoSpaceDN w:val="0"/>
        <w:adjustRightInd w:val="0"/>
        <w:ind w:firstLine="720"/>
        <w:jc w:val="both"/>
        <w:rPr>
          <w:sz w:val="28"/>
          <w:szCs w:val="28"/>
        </w:rPr>
      </w:pPr>
      <w:r w:rsidRPr="00C93A58">
        <w:rPr>
          <w:b/>
          <w:sz w:val="28"/>
          <w:szCs w:val="28"/>
        </w:rPr>
        <w:t>Прогноз на 20</w:t>
      </w:r>
      <w:r>
        <w:rPr>
          <w:b/>
          <w:sz w:val="28"/>
          <w:szCs w:val="28"/>
        </w:rPr>
        <w:t>23-202 годы  на уровне прогноза на 2022 год.</w:t>
      </w:r>
    </w:p>
    <w:p w:rsidR="00F07E05" w:rsidRDefault="00F07E05" w:rsidP="00F07E05">
      <w:pPr>
        <w:spacing w:line="276" w:lineRule="auto"/>
        <w:jc w:val="center"/>
        <w:rPr>
          <w:b/>
          <w:sz w:val="28"/>
          <w:szCs w:val="28"/>
        </w:rPr>
      </w:pPr>
    </w:p>
    <w:p w:rsidR="00F07E05" w:rsidRPr="002314FE" w:rsidRDefault="00F07E05" w:rsidP="00F07E05">
      <w:pPr>
        <w:spacing w:line="276" w:lineRule="auto"/>
        <w:jc w:val="center"/>
        <w:rPr>
          <w:b/>
          <w:sz w:val="28"/>
          <w:szCs w:val="28"/>
        </w:rPr>
      </w:pPr>
      <w:r w:rsidRPr="002314FE">
        <w:rPr>
          <w:b/>
          <w:sz w:val="28"/>
          <w:szCs w:val="28"/>
        </w:rPr>
        <w:t>Министерство региональной политики Тверской области</w:t>
      </w:r>
    </w:p>
    <w:p w:rsidR="00F07E05" w:rsidRPr="00C93A58" w:rsidRDefault="00F07E05" w:rsidP="00F07E05">
      <w:pPr>
        <w:pStyle w:val="21"/>
        <w:jc w:val="right"/>
      </w:pPr>
      <w:r w:rsidRPr="00C93A58">
        <w:t>тыс. руб.</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1368"/>
        <w:gridCol w:w="1440"/>
        <w:gridCol w:w="1620"/>
      </w:tblGrid>
      <w:tr w:rsidR="00F07E05" w:rsidRPr="00C93A58" w:rsidTr="008A253E">
        <w:trPr>
          <w:trHeight w:val="510"/>
        </w:trPr>
        <w:tc>
          <w:tcPr>
            <w:tcW w:w="2520" w:type="dxa"/>
            <w:noWrap/>
          </w:tcPr>
          <w:p w:rsidR="00F07E05" w:rsidRPr="00C93A58" w:rsidRDefault="00F07E05" w:rsidP="008A253E">
            <w:pPr>
              <w:rPr>
                <w:b/>
                <w:sz w:val="20"/>
                <w:szCs w:val="20"/>
              </w:rPr>
            </w:pPr>
            <w:r w:rsidRPr="00C93A58">
              <w:rPr>
                <w:b/>
                <w:sz w:val="20"/>
                <w:szCs w:val="20"/>
              </w:rPr>
              <w:t>Код БК</w:t>
            </w:r>
          </w:p>
        </w:tc>
        <w:tc>
          <w:tcPr>
            <w:tcW w:w="2520" w:type="dxa"/>
            <w:noWrap/>
          </w:tcPr>
          <w:p w:rsidR="00F07E05" w:rsidRPr="00C93A58" w:rsidRDefault="00F07E05" w:rsidP="008A253E">
            <w:pPr>
              <w:rPr>
                <w:b/>
                <w:sz w:val="20"/>
                <w:szCs w:val="20"/>
              </w:rPr>
            </w:pPr>
            <w:r w:rsidRPr="00C93A58">
              <w:rPr>
                <w:b/>
                <w:sz w:val="20"/>
                <w:szCs w:val="20"/>
              </w:rPr>
              <w:t>Наименование</w:t>
            </w:r>
          </w:p>
        </w:tc>
        <w:tc>
          <w:tcPr>
            <w:tcW w:w="1368" w:type="dxa"/>
          </w:tcPr>
          <w:p w:rsidR="00F07E05" w:rsidRPr="00C93A58" w:rsidRDefault="00F07E05" w:rsidP="008A253E">
            <w:pPr>
              <w:jc w:val="center"/>
              <w:rPr>
                <w:b/>
                <w:sz w:val="20"/>
                <w:szCs w:val="20"/>
              </w:rPr>
            </w:pPr>
            <w:r w:rsidRPr="00C93A58">
              <w:rPr>
                <w:b/>
                <w:sz w:val="20"/>
                <w:szCs w:val="20"/>
              </w:rPr>
              <w:t>Прогноз на</w:t>
            </w:r>
          </w:p>
          <w:p w:rsidR="00F07E05" w:rsidRPr="00C93A58" w:rsidRDefault="00F07E05" w:rsidP="008A253E">
            <w:pPr>
              <w:jc w:val="center"/>
              <w:rPr>
                <w:b/>
                <w:sz w:val="20"/>
                <w:szCs w:val="20"/>
              </w:rPr>
            </w:pPr>
            <w:r w:rsidRPr="00C93A58">
              <w:rPr>
                <w:b/>
                <w:sz w:val="20"/>
                <w:szCs w:val="20"/>
              </w:rPr>
              <w:t>20</w:t>
            </w:r>
            <w:r>
              <w:rPr>
                <w:b/>
                <w:sz w:val="20"/>
                <w:szCs w:val="20"/>
              </w:rPr>
              <w:t xml:space="preserve">22 </w:t>
            </w:r>
            <w:r w:rsidRPr="00C93A58">
              <w:rPr>
                <w:b/>
                <w:sz w:val="20"/>
                <w:szCs w:val="20"/>
              </w:rPr>
              <w:t xml:space="preserve">год </w:t>
            </w:r>
          </w:p>
          <w:p w:rsidR="00F07E05" w:rsidRPr="00C93A58" w:rsidRDefault="00F07E05" w:rsidP="008A253E">
            <w:pPr>
              <w:jc w:val="center"/>
              <w:rPr>
                <w:b/>
                <w:sz w:val="20"/>
                <w:szCs w:val="20"/>
              </w:rPr>
            </w:pPr>
          </w:p>
        </w:tc>
        <w:tc>
          <w:tcPr>
            <w:tcW w:w="1440" w:type="dxa"/>
          </w:tcPr>
          <w:p w:rsidR="00F07E05" w:rsidRPr="00C93A58" w:rsidRDefault="00F07E05" w:rsidP="008A253E">
            <w:pPr>
              <w:jc w:val="center"/>
              <w:rPr>
                <w:b/>
                <w:sz w:val="20"/>
                <w:szCs w:val="20"/>
              </w:rPr>
            </w:pPr>
            <w:r w:rsidRPr="00C93A58">
              <w:rPr>
                <w:b/>
                <w:sz w:val="20"/>
                <w:szCs w:val="20"/>
              </w:rPr>
              <w:t>Прогноз на</w:t>
            </w:r>
          </w:p>
          <w:p w:rsidR="00F07E05" w:rsidRPr="00C93A58" w:rsidRDefault="00F07E05" w:rsidP="008A253E">
            <w:pPr>
              <w:jc w:val="center"/>
              <w:rPr>
                <w:b/>
                <w:sz w:val="20"/>
                <w:szCs w:val="20"/>
              </w:rPr>
            </w:pPr>
            <w:r w:rsidRPr="00C93A58">
              <w:rPr>
                <w:b/>
                <w:sz w:val="20"/>
                <w:szCs w:val="20"/>
              </w:rPr>
              <w:t>20</w:t>
            </w:r>
            <w:r>
              <w:rPr>
                <w:b/>
                <w:sz w:val="20"/>
                <w:szCs w:val="20"/>
              </w:rPr>
              <w:t xml:space="preserve">23 </w:t>
            </w:r>
            <w:r w:rsidRPr="00C93A58">
              <w:rPr>
                <w:b/>
                <w:sz w:val="20"/>
                <w:szCs w:val="20"/>
              </w:rPr>
              <w:t>год</w:t>
            </w:r>
          </w:p>
          <w:p w:rsidR="00F07E05" w:rsidRPr="00C93A58" w:rsidRDefault="00F07E05" w:rsidP="008A253E">
            <w:pPr>
              <w:jc w:val="center"/>
              <w:rPr>
                <w:b/>
                <w:sz w:val="20"/>
                <w:szCs w:val="20"/>
              </w:rPr>
            </w:pPr>
          </w:p>
        </w:tc>
        <w:tc>
          <w:tcPr>
            <w:tcW w:w="1620" w:type="dxa"/>
          </w:tcPr>
          <w:p w:rsidR="00F07E05" w:rsidRPr="00C93A58" w:rsidRDefault="00F07E05" w:rsidP="008A253E">
            <w:pPr>
              <w:jc w:val="center"/>
              <w:rPr>
                <w:b/>
                <w:sz w:val="20"/>
                <w:szCs w:val="20"/>
              </w:rPr>
            </w:pPr>
            <w:r w:rsidRPr="00C93A58">
              <w:rPr>
                <w:b/>
                <w:sz w:val="20"/>
                <w:szCs w:val="20"/>
              </w:rPr>
              <w:t>Прогноз на</w:t>
            </w:r>
          </w:p>
          <w:p w:rsidR="00F07E05" w:rsidRPr="00C93A58" w:rsidRDefault="00F07E05" w:rsidP="008A253E">
            <w:pPr>
              <w:jc w:val="center"/>
              <w:rPr>
                <w:b/>
                <w:sz w:val="20"/>
                <w:szCs w:val="20"/>
              </w:rPr>
            </w:pPr>
            <w:r w:rsidRPr="00C93A58">
              <w:rPr>
                <w:b/>
                <w:sz w:val="20"/>
                <w:szCs w:val="20"/>
              </w:rPr>
              <w:t>20</w:t>
            </w:r>
            <w:r>
              <w:rPr>
                <w:b/>
                <w:sz w:val="20"/>
                <w:szCs w:val="20"/>
              </w:rPr>
              <w:t>24</w:t>
            </w:r>
            <w:r w:rsidRPr="00C93A58">
              <w:rPr>
                <w:b/>
                <w:sz w:val="20"/>
                <w:szCs w:val="20"/>
              </w:rPr>
              <w:t xml:space="preserve"> год</w:t>
            </w:r>
          </w:p>
          <w:p w:rsidR="00F07E05" w:rsidRPr="00C93A58" w:rsidRDefault="00F07E05" w:rsidP="008A253E">
            <w:pPr>
              <w:jc w:val="center"/>
              <w:rPr>
                <w:b/>
                <w:sz w:val="20"/>
                <w:szCs w:val="20"/>
              </w:rPr>
            </w:pPr>
          </w:p>
        </w:tc>
      </w:tr>
      <w:tr w:rsidR="00F07E05" w:rsidRPr="00C93A58" w:rsidTr="008A253E">
        <w:trPr>
          <w:trHeight w:val="752"/>
        </w:trPr>
        <w:tc>
          <w:tcPr>
            <w:tcW w:w="2520" w:type="dxa"/>
            <w:noWrap/>
          </w:tcPr>
          <w:p w:rsidR="00F07E05" w:rsidRPr="00C93A58" w:rsidRDefault="00F07E05" w:rsidP="008A253E">
            <w:pPr>
              <w:jc w:val="center"/>
              <w:rPr>
                <w:b/>
                <w:sz w:val="16"/>
                <w:szCs w:val="16"/>
              </w:rPr>
            </w:pPr>
          </w:p>
          <w:p w:rsidR="00F07E05" w:rsidRPr="00C93A58" w:rsidRDefault="00F07E05" w:rsidP="008A253E">
            <w:pPr>
              <w:jc w:val="center"/>
              <w:rPr>
                <w:b/>
                <w:sz w:val="16"/>
                <w:szCs w:val="16"/>
              </w:rPr>
            </w:pPr>
          </w:p>
          <w:p w:rsidR="00F07E05" w:rsidRPr="00C93A58" w:rsidRDefault="00F07E05" w:rsidP="008A253E">
            <w:pPr>
              <w:jc w:val="center"/>
              <w:rPr>
                <w:b/>
                <w:sz w:val="16"/>
                <w:szCs w:val="16"/>
              </w:rPr>
            </w:pPr>
            <w:r w:rsidRPr="00C93A58">
              <w:rPr>
                <w:b/>
                <w:sz w:val="16"/>
                <w:szCs w:val="16"/>
              </w:rPr>
              <w:t>000</w:t>
            </w:r>
            <w:r w:rsidRPr="00C93A58">
              <w:rPr>
                <w:b/>
                <w:sz w:val="16"/>
                <w:szCs w:val="16"/>
                <w:lang w:val="en-US"/>
              </w:rPr>
              <w:t xml:space="preserve"> 1 13 0</w:t>
            </w:r>
            <w:r w:rsidRPr="00C93A58">
              <w:rPr>
                <w:b/>
                <w:sz w:val="16"/>
                <w:szCs w:val="16"/>
              </w:rPr>
              <w:t>2990</w:t>
            </w:r>
            <w:r w:rsidRPr="00C93A58">
              <w:rPr>
                <w:b/>
                <w:sz w:val="16"/>
                <w:szCs w:val="16"/>
                <w:lang w:val="en-US"/>
              </w:rPr>
              <w:t xml:space="preserve"> 0</w:t>
            </w:r>
            <w:r w:rsidRPr="00C93A58">
              <w:rPr>
                <w:b/>
                <w:sz w:val="16"/>
                <w:szCs w:val="16"/>
              </w:rPr>
              <w:t>0</w:t>
            </w:r>
            <w:r w:rsidRPr="00C93A58">
              <w:rPr>
                <w:b/>
                <w:sz w:val="16"/>
                <w:szCs w:val="16"/>
                <w:lang w:val="en-US"/>
              </w:rPr>
              <w:t xml:space="preserve"> 0</w:t>
            </w:r>
            <w:r w:rsidRPr="00C93A58">
              <w:rPr>
                <w:b/>
                <w:sz w:val="16"/>
                <w:szCs w:val="16"/>
              </w:rPr>
              <w:t>000 130</w:t>
            </w:r>
          </w:p>
        </w:tc>
        <w:tc>
          <w:tcPr>
            <w:tcW w:w="2520" w:type="dxa"/>
          </w:tcPr>
          <w:p w:rsidR="00F07E05" w:rsidRPr="00C93A58" w:rsidRDefault="00F07E05" w:rsidP="008A253E">
            <w:pPr>
              <w:rPr>
                <w:sz w:val="20"/>
                <w:szCs w:val="20"/>
              </w:rPr>
            </w:pPr>
          </w:p>
          <w:p w:rsidR="00F07E05" w:rsidRPr="00C93A58" w:rsidRDefault="00F07E05" w:rsidP="008A253E">
            <w:pPr>
              <w:rPr>
                <w:sz w:val="20"/>
                <w:szCs w:val="20"/>
              </w:rPr>
            </w:pPr>
            <w:r w:rsidRPr="00C93A58">
              <w:rPr>
                <w:sz w:val="20"/>
                <w:szCs w:val="20"/>
              </w:rPr>
              <w:t xml:space="preserve">Прочие доходы от компенсации затрат государства </w:t>
            </w:r>
          </w:p>
        </w:tc>
        <w:tc>
          <w:tcPr>
            <w:tcW w:w="1368" w:type="dxa"/>
            <w:noWrap/>
          </w:tcPr>
          <w:p w:rsidR="00F07E05" w:rsidRDefault="00F07E05" w:rsidP="008A253E">
            <w:pPr>
              <w:ind w:hanging="108"/>
              <w:jc w:val="center"/>
              <w:rPr>
                <w:sz w:val="20"/>
                <w:szCs w:val="20"/>
              </w:rPr>
            </w:pPr>
          </w:p>
          <w:p w:rsidR="00F07E05" w:rsidRPr="00C93A58" w:rsidRDefault="00F07E05" w:rsidP="008A253E">
            <w:pPr>
              <w:ind w:hanging="108"/>
              <w:jc w:val="center"/>
              <w:rPr>
                <w:sz w:val="20"/>
                <w:szCs w:val="20"/>
              </w:rPr>
            </w:pPr>
            <w:r>
              <w:rPr>
                <w:sz w:val="20"/>
                <w:szCs w:val="20"/>
              </w:rPr>
              <w:t>220,0</w:t>
            </w:r>
          </w:p>
        </w:tc>
        <w:tc>
          <w:tcPr>
            <w:tcW w:w="1440" w:type="dxa"/>
            <w:noWrap/>
          </w:tcPr>
          <w:p w:rsidR="00F07E05" w:rsidRDefault="00F07E05" w:rsidP="008A253E">
            <w:pPr>
              <w:ind w:left="-136" w:right="-108" w:hanging="28"/>
              <w:jc w:val="center"/>
              <w:rPr>
                <w:sz w:val="20"/>
                <w:szCs w:val="20"/>
              </w:rPr>
            </w:pPr>
          </w:p>
          <w:p w:rsidR="00F07E05" w:rsidRPr="00C93A58" w:rsidRDefault="00F07E05" w:rsidP="008A253E">
            <w:pPr>
              <w:ind w:left="-136" w:right="-108" w:hanging="28"/>
              <w:jc w:val="center"/>
              <w:rPr>
                <w:sz w:val="20"/>
                <w:szCs w:val="20"/>
              </w:rPr>
            </w:pPr>
            <w:r>
              <w:rPr>
                <w:sz w:val="20"/>
                <w:szCs w:val="20"/>
              </w:rPr>
              <w:t>220,0</w:t>
            </w:r>
          </w:p>
        </w:tc>
        <w:tc>
          <w:tcPr>
            <w:tcW w:w="1620" w:type="dxa"/>
            <w:noWrap/>
          </w:tcPr>
          <w:p w:rsidR="00F07E05" w:rsidRDefault="00F07E05" w:rsidP="008A253E">
            <w:pPr>
              <w:ind w:left="-108" w:right="-3" w:hanging="108"/>
              <w:jc w:val="center"/>
              <w:rPr>
                <w:sz w:val="20"/>
                <w:szCs w:val="20"/>
              </w:rPr>
            </w:pPr>
          </w:p>
          <w:p w:rsidR="00F07E05" w:rsidRPr="00C93A58" w:rsidRDefault="00F07E05" w:rsidP="008A253E">
            <w:pPr>
              <w:ind w:left="-108" w:right="-3" w:hanging="108"/>
              <w:jc w:val="center"/>
              <w:rPr>
                <w:sz w:val="20"/>
                <w:szCs w:val="20"/>
              </w:rPr>
            </w:pPr>
            <w:r>
              <w:rPr>
                <w:sz w:val="20"/>
                <w:szCs w:val="20"/>
              </w:rPr>
              <w:t>220,0</w:t>
            </w:r>
          </w:p>
        </w:tc>
      </w:tr>
    </w:tbl>
    <w:p w:rsidR="00F07E05" w:rsidRPr="00C93A58" w:rsidRDefault="00F07E05" w:rsidP="00F07E05">
      <w:pPr>
        <w:ind w:firstLine="720"/>
        <w:jc w:val="both"/>
        <w:rPr>
          <w:b/>
          <w:sz w:val="28"/>
          <w:szCs w:val="28"/>
        </w:rPr>
      </w:pPr>
    </w:p>
    <w:p w:rsidR="00F07E05" w:rsidRDefault="00F07E05" w:rsidP="00F07E05">
      <w:pPr>
        <w:spacing w:line="276" w:lineRule="auto"/>
        <w:ind w:firstLine="720"/>
        <w:jc w:val="both"/>
        <w:rPr>
          <w:sz w:val="28"/>
          <w:szCs w:val="28"/>
        </w:rPr>
      </w:pPr>
      <w:r w:rsidRPr="00C93A58">
        <w:rPr>
          <w:sz w:val="28"/>
          <w:szCs w:val="28"/>
        </w:rPr>
        <w:t xml:space="preserve">В соответствии с Методикой прогнозирования утвержденной приказом Министерства по делам территориальных образований Тверской области от </w:t>
      </w:r>
      <w:r>
        <w:rPr>
          <w:sz w:val="28"/>
          <w:szCs w:val="28"/>
        </w:rPr>
        <w:t xml:space="preserve">31.07.2019 </w:t>
      </w:r>
      <w:r w:rsidRPr="00C93A58">
        <w:rPr>
          <w:sz w:val="28"/>
          <w:szCs w:val="28"/>
        </w:rPr>
        <w:t xml:space="preserve">№ </w:t>
      </w:r>
      <w:r>
        <w:rPr>
          <w:sz w:val="28"/>
          <w:szCs w:val="28"/>
        </w:rPr>
        <w:t>93</w:t>
      </w:r>
      <w:r w:rsidRPr="00C93A58">
        <w:rPr>
          <w:sz w:val="28"/>
          <w:szCs w:val="28"/>
        </w:rPr>
        <w:t xml:space="preserve">-р «Об утверждении методики прогнозирования поступлений доходов в областной бюджет Тверской области, администрируемых Министерством по делам территориальных образований Тверской области» </w:t>
      </w:r>
      <w:r>
        <w:rPr>
          <w:sz w:val="28"/>
          <w:szCs w:val="28"/>
        </w:rPr>
        <w:t xml:space="preserve"> (с изменениями и дополнениями) </w:t>
      </w:r>
      <w:r w:rsidRPr="00C93A58">
        <w:rPr>
          <w:sz w:val="28"/>
          <w:szCs w:val="28"/>
        </w:rPr>
        <w:t xml:space="preserve">прогнозирование поступлений  прочих доходов от компенсации затрат бюджета осуществляется методом усреднения годовых объемов доходов  за 3 года, предшествующих текущему году. </w:t>
      </w:r>
    </w:p>
    <w:p w:rsidR="00AA55E8" w:rsidRDefault="00AA55E8" w:rsidP="00F07E05">
      <w:pPr>
        <w:spacing w:line="276" w:lineRule="auto"/>
        <w:ind w:firstLine="720"/>
        <w:jc w:val="both"/>
        <w:rPr>
          <w:sz w:val="28"/>
          <w:szCs w:val="28"/>
        </w:rPr>
      </w:pPr>
    </w:p>
    <w:p w:rsidR="00AA55E8" w:rsidRPr="00C93A58" w:rsidRDefault="00AA55E8" w:rsidP="00F07E05">
      <w:pPr>
        <w:spacing w:line="276" w:lineRule="auto"/>
        <w:ind w:firstLine="720"/>
        <w:jc w:val="both"/>
        <w:rPr>
          <w:sz w:val="28"/>
          <w:szCs w:val="28"/>
        </w:rPr>
      </w:pPr>
    </w:p>
    <w:tbl>
      <w:tblPr>
        <w:tblW w:w="9517" w:type="dxa"/>
        <w:tblInd w:w="-10" w:type="dxa"/>
        <w:tblLayout w:type="fixed"/>
        <w:tblLook w:val="0000" w:firstRow="0" w:lastRow="0" w:firstColumn="0" w:lastColumn="0" w:noHBand="0" w:noVBand="0"/>
      </w:tblPr>
      <w:tblGrid>
        <w:gridCol w:w="3927"/>
        <w:gridCol w:w="5590"/>
      </w:tblGrid>
      <w:tr w:rsidR="00F07E05" w:rsidRPr="00134AC5" w:rsidTr="008A253E">
        <w:trPr>
          <w:trHeight w:val="276"/>
        </w:trPr>
        <w:tc>
          <w:tcPr>
            <w:tcW w:w="3927" w:type="dxa"/>
            <w:vMerge w:val="restart"/>
            <w:tcBorders>
              <w:top w:val="single" w:sz="4" w:space="0" w:color="000000"/>
              <w:left w:val="single" w:sz="4" w:space="0" w:color="000000"/>
              <w:bottom w:val="single" w:sz="4" w:space="0" w:color="000000"/>
            </w:tcBorders>
            <w:shd w:val="clear" w:color="auto" w:fill="auto"/>
            <w:vAlign w:val="center"/>
          </w:tcPr>
          <w:p w:rsidR="00F07E05" w:rsidRPr="000D702B" w:rsidRDefault="00F07E05" w:rsidP="008A253E">
            <w:pPr>
              <w:jc w:val="center"/>
            </w:pPr>
            <w:r w:rsidRPr="000D702B">
              <w:lastRenderedPageBreak/>
              <w:t>Наименование</w:t>
            </w:r>
          </w:p>
        </w:tc>
        <w:tc>
          <w:tcPr>
            <w:tcW w:w="55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07E05" w:rsidRPr="000D702B" w:rsidRDefault="00F07E05" w:rsidP="008A253E">
            <w:pPr>
              <w:jc w:val="center"/>
            </w:pPr>
            <w:r w:rsidRPr="000D702B">
              <w:t xml:space="preserve">Расчет прогноза </w:t>
            </w:r>
          </w:p>
        </w:tc>
      </w:tr>
      <w:tr w:rsidR="00F07E05" w:rsidRPr="00134AC5" w:rsidTr="008A253E">
        <w:trPr>
          <w:trHeight w:val="276"/>
        </w:trPr>
        <w:tc>
          <w:tcPr>
            <w:tcW w:w="3927" w:type="dxa"/>
            <w:vMerge/>
            <w:tcBorders>
              <w:top w:val="single" w:sz="4" w:space="0" w:color="000000"/>
              <w:left w:val="single" w:sz="4" w:space="0" w:color="000000"/>
              <w:bottom w:val="single" w:sz="4" w:space="0" w:color="000000"/>
            </w:tcBorders>
            <w:shd w:val="clear" w:color="auto" w:fill="auto"/>
            <w:vAlign w:val="center"/>
          </w:tcPr>
          <w:p w:rsidR="00F07E05" w:rsidRPr="000D702B" w:rsidRDefault="00F07E05" w:rsidP="008A253E">
            <w:pPr>
              <w:snapToGrid w:val="0"/>
              <w:jc w:val="center"/>
            </w:pPr>
          </w:p>
        </w:tc>
        <w:tc>
          <w:tcPr>
            <w:tcW w:w="55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07E05" w:rsidRPr="000D702B" w:rsidRDefault="00F07E05" w:rsidP="008A253E">
            <w:pPr>
              <w:snapToGrid w:val="0"/>
              <w:jc w:val="center"/>
            </w:pPr>
          </w:p>
        </w:tc>
      </w:tr>
      <w:tr w:rsidR="00F07E05" w:rsidRPr="00134AC5" w:rsidTr="008A253E">
        <w:trPr>
          <w:trHeight w:val="2147"/>
        </w:trPr>
        <w:tc>
          <w:tcPr>
            <w:tcW w:w="3927" w:type="dxa"/>
            <w:tcBorders>
              <w:top w:val="single" w:sz="4" w:space="0" w:color="000000"/>
              <w:left w:val="single" w:sz="4" w:space="0" w:color="000000"/>
              <w:bottom w:val="single" w:sz="4" w:space="0" w:color="000000"/>
            </w:tcBorders>
            <w:shd w:val="clear" w:color="auto" w:fill="auto"/>
            <w:vAlign w:val="center"/>
          </w:tcPr>
          <w:p w:rsidR="00F07E05" w:rsidRPr="000D702B" w:rsidRDefault="00F07E05" w:rsidP="008A253E">
            <w:r w:rsidRPr="000D702B">
              <w:rPr>
                <w:color w:val="000000"/>
              </w:rPr>
              <w:t>Прочие доходы от компенсации затрат бюджетов субъектов Российской Федерации (средства от возврата дебиторской задолженности прошлых лет)</w:t>
            </w:r>
          </w:p>
          <w:p w:rsidR="00F07E05" w:rsidRPr="000D702B" w:rsidRDefault="00F07E05" w:rsidP="008A253E">
            <w:pPr>
              <w:rPr>
                <w:color w:val="000000"/>
              </w:rPr>
            </w:pPr>
          </w:p>
        </w:tc>
        <w:tc>
          <w:tcPr>
            <w:tcW w:w="5590" w:type="dxa"/>
            <w:tcBorders>
              <w:top w:val="single" w:sz="4" w:space="0" w:color="000000"/>
              <w:left w:val="single" w:sz="4" w:space="0" w:color="000000"/>
              <w:bottom w:val="single" w:sz="4" w:space="0" w:color="000000"/>
              <w:right w:val="single" w:sz="4" w:space="0" w:color="000000"/>
            </w:tcBorders>
            <w:shd w:val="clear" w:color="auto" w:fill="auto"/>
          </w:tcPr>
          <w:p w:rsidR="00F07E05" w:rsidRPr="000D702B" w:rsidRDefault="00F07E05" w:rsidP="008A253E">
            <w:pPr>
              <w:jc w:val="both"/>
            </w:pPr>
            <w:r w:rsidRPr="000D702B">
              <w:t xml:space="preserve">На очередной финансовый год и плановый период применяется метод усреднения годовых объемов указанного дохода за 3 года, предшествующих текущему финансовому году. Факт в 2018 году = 0,0 т.р., факт в 2019 году = 654,9 т.р., факт в 2020 году = 5,1  т.р.  тогда, План на 2022 г. = План на 2023 г. = План на 2024 г. = (0,0+654,9+5,1)/3 = </w:t>
            </w:r>
            <w:r w:rsidRPr="000D702B">
              <w:rPr>
                <w:b/>
              </w:rPr>
              <w:t>220,0</w:t>
            </w:r>
            <w:r w:rsidRPr="000D702B">
              <w:rPr>
                <w:b/>
                <w:bCs/>
              </w:rPr>
              <w:t xml:space="preserve"> т.р. </w:t>
            </w:r>
            <w:r w:rsidRPr="000D702B">
              <w:t xml:space="preserve">                                     </w:t>
            </w:r>
          </w:p>
        </w:tc>
      </w:tr>
    </w:tbl>
    <w:p w:rsidR="00F07E05" w:rsidRDefault="00F07E05" w:rsidP="00F07E05">
      <w:pPr>
        <w:autoSpaceDE w:val="0"/>
        <w:autoSpaceDN w:val="0"/>
        <w:adjustRightInd w:val="0"/>
        <w:ind w:firstLine="720"/>
        <w:jc w:val="both"/>
        <w:rPr>
          <w:sz w:val="28"/>
          <w:szCs w:val="28"/>
        </w:rPr>
      </w:pPr>
    </w:p>
    <w:p w:rsidR="00F07E05" w:rsidRDefault="00F07E05" w:rsidP="00F07E05">
      <w:pPr>
        <w:autoSpaceDE w:val="0"/>
        <w:autoSpaceDN w:val="0"/>
        <w:adjustRightInd w:val="0"/>
        <w:ind w:firstLine="720"/>
        <w:jc w:val="both"/>
        <w:rPr>
          <w:sz w:val="28"/>
          <w:szCs w:val="28"/>
        </w:rPr>
      </w:pPr>
    </w:p>
    <w:p w:rsidR="00F07E05" w:rsidRPr="00927333" w:rsidRDefault="00F07E05" w:rsidP="00F07E05">
      <w:pPr>
        <w:spacing w:line="276" w:lineRule="auto"/>
        <w:ind w:firstLine="720"/>
        <w:jc w:val="center"/>
        <w:rPr>
          <w:b/>
          <w:sz w:val="28"/>
          <w:szCs w:val="28"/>
        </w:rPr>
      </w:pPr>
      <w:r w:rsidRPr="00927333">
        <w:rPr>
          <w:b/>
          <w:sz w:val="28"/>
          <w:szCs w:val="28"/>
        </w:rPr>
        <w:t>Министерство природных ресурсов Тверской области</w:t>
      </w:r>
    </w:p>
    <w:p w:rsidR="00F07E05" w:rsidRDefault="00F07E05" w:rsidP="00F07E05">
      <w:pPr>
        <w:spacing w:line="276" w:lineRule="auto"/>
        <w:ind w:firstLine="720"/>
        <w:jc w:val="right"/>
        <w:rPr>
          <w:b/>
          <w:sz w:val="28"/>
          <w:szCs w:val="28"/>
        </w:rPr>
      </w:pPr>
      <w:r>
        <w:rPr>
          <w:b/>
          <w:sz w:val="28"/>
          <w:szCs w:val="28"/>
        </w:rPr>
        <w:t>тыс. руб.</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1368"/>
        <w:gridCol w:w="1440"/>
        <w:gridCol w:w="1620"/>
      </w:tblGrid>
      <w:tr w:rsidR="00F07E05" w:rsidRPr="00C93A58" w:rsidTr="008A253E">
        <w:trPr>
          <w:trHeight w:val="510"/>
        </w:trPr>
        <w:tc>
          <w:tcPr>
            <w:tcW w:w="2520" w:type="dxa"/>
            <w:noWrap/>
          </w:tcPr>
          <w:p w:rsidR="00F07E05" w:rsidRPr="00C93A58" w:rsidRDefault="00F07E05" w:rsidP="008A253E">
            <w:pPr>
              <w:rPr>
                <w:b/>
                <w:sz w:val="20"/>
                <w:szCs w:val="20"/>
              </w:rPr>
            </w:pPr>
            <w:r w:rsidRPr="00C93A58">
              <w:rPr>
                <w:b/>
                <w:sz w:val="20"/>
                <w:szCs w:val="20"/>
              </w:rPr>
              <w:t>Код БК</w:t>
            </w:r>
          </w:p>
        </w:tc>
        <w:tc>
          <w:tcPr>
            <w:tcW w:w="2520" w:type="dxa"/>
            <w:noWrap/>
          </w:tcPr>
          <w:p w:rsidR="00F07E05" w:rsidRPr="00C93A58" w:rsidRDefault="00F07E05" w:rsidP="008A253E">
            <w:pPr>
              <w:rPr>
                <w:b/>
                <w:sz w:val="20"/>
                <w:szCs w:val="20"/>
              </w:rPr>
            </w:pPr>
            <w:r w:rsidRPr="00C93A58">
              <w:rPr>
                <w:b/>
                <w:sz w:val="20"/>
                <w:szCs w:val="20"/>
              </w:rPr>
              <w:t>Наименование</w:t>
            </w:r>
          </w:p>
        </w:tc>
        <w:tc>
          <w:tcPr>
            <w:tcW w:w="1368" w:type="dxa"/>
          </w:tcPr>
          <w:p w:rsidR="00F07E05" w:rsidRPr="00C93A58" w:rsidRDefault="00F07E05" w:rsidP="008A253E">
            <w:pPr>
              <w:jc w:val="center"/>
              <w:rPr>
                <w:b/>
                <w:sz w:val="20"/>
                <w:szCs w:val="20"/>
              </w:rPr>
            </w:pPr>
            <w:r w:rsidRPr="00C93A58">
              <w:rPr>
                <w:b/>
                <w:sz w:val="20"/>
                <w:szCs w:val="20"/>
              </w:rPr>
              <w:t>Прогноз на</w:t>
            </w:r>
          </w:p>
          <w:p w:rsidR="00F07E05" w:rsidRPr="00C93A58" w:rsidRDefault="00F07E05" w:rsidP="008A253E">
            <w:pPr>
              <w:jc w:val="center"/>
              <w:rPr>
                <w:b/>
                <w:sz w:val="20"/>
                <w:szCs w:val="20"/>
              </w:rPr>
            </w:pPr>
            <w:r w:rsidRPr="00C93A58">
              <w:rPr>
                <w:b/>
                <w:sz w:val="20"/>
                <w:szCs w:val="20"/>
              </w:rPr>
              <w:t>20</w:t>
            </w:r>
            <w:r>
              <w:rPr>
                <w:b/>
                <w:sz w:val="20"/>
                <w:szCs w:val="20"/>
              </w:rPr>
              <w:t xml:space="preserve">22 </w:t>
            </w:r>
            <w:r w:rsidRPr="00C93A58">
              <w:rPr>
                <w:b/>
                <w:sz w:val="20"/>
                <w:szCs w:val="20"/>
              </w:rPr>
              <w:t xml:space="preserve">год </w:t>
            </w:r>
          </w:p>
          <w:p w:rsidR="00F07E05" w:rsidRPr="00C93A58" w:rsidRDefault="00F07E05" w:rsidP="008A253E">
            <w:pPr>
              <w:jc w:val="center"/>
              <w:rPr>
                <w:b/>
                <w:sz w:val="20"/>
                <w:szCs w:val="20"/>
              </w:rPr>
            </w:pPr>
          </w:p>
        </w:tc>
        <w:tc>
          <w:tcPr>
            <w:tcW w:w="1440" w:type="dxa"/>
          </w:tcPr>
          <w:p w:rsidR="00F07E05" w:rsidRPr="00C93A58" w:rsidRDefault="00F07E05" w:rsidP="008A253E">
            <w:pPr>
              <w:jc w:val="center"/>
              <w:rPr>
                <w:b/>
                <w:sz w:val="20"/>
                <w:szCs w:val="20"/>
              </w:rPr>
            </w:pPr>
            <w:r w:rsidRPr="00C93A58">
              <w:rPr>
                <w:b/>
                <w:sz w:val="20"/>
                <w:szCs w:val="20"/>
              </w:rPr>
              <w:t>Прогноз на</w:t>
            </w:r>
          </w:p>
          <w:p w:rsidR="00F07E05" w:rsidRPr="00C93A58" w:rsidRDefault="00F07E05" w:rsidP="008A253E">
            <w:pPr>
              <w:jc w:val="center"/>
              <w:rPr>
                <w:b/>
                <w:sz w:val="20"/>
                <w:szCs w:val="20"/>
              </w:rPr>
            </w:pPr>
            <w:r w:rsidRPr="00C93A58">
              <w:rPr>
                <w:b/>
                <w:sz w:val="20"/>
                <w:szCs w:val="20"/>
              </w:rPr>
              <w:t>20</w:t>
            </w:r>
            <w:r>
              <w:rPr>
                <w:b/>
                <w:sz w:val="20"/>
                <w:szCs w:val="20"/>
              </w:rPr>
              <w:t xml:space="preserve">23 </w:t>
            </w:r>
            <w:r w:rsidRPr="00C93A58">
              <w:rPr>
                <w:b/>
                <w:sz w:val="20"/>
                <w:szCs w:val="20"/>
              </w:rPr>
              <w:t>год</w:t>
            </w:r>
          </w:p>
          <w:p w:rsidR="00F07E05" w:rsidRPr="00C93A58" w:rsidRDefault="00F07E05" w:rsidP="008A253E">
            <w:pPr>
              <w:jc w:val="center"/>
              <w:rPr>
                <w:b/>
                <w:sz w:val="20"/>
                <w:szCs w:val="20"/>
              </w:rPr>
            </w:pPr>
          </w:p>
        </w:tc>
        <w:tc>
          <w:tcPr>
            <w:tcW w:w="1620" w:type="dxa"/>
          </w:tcPr>
          <w:p w:rsidR="00F07E05" w:rsidRPr="00C93A58" w:rsidRDefault="00F07E05" w:rsidP="008A253E">
            <w:pPr>
              <w:jc w:val="center"/>
              <w:rPr>
                <w:b/>
                <w:sz w:val="20"/>
                <w:szCs w:val="20"/>
              </w:rPr>
            </w:pPr>
            <w:r w:rsidRPr="00C93A58">
              <w:rPr>
                <w:b/>
                <w:sz w:val="20"/>
                <w:szCs w:val="20"/>
              </w:rPr>
              <w:t>Прогноз на</w:t>
            </w:r>
          </w:p>
          <w:p w:rsidR="00F07E05" w:rsidRPr="00C93A58" w:rsidRDefault="00F07E05" w:rsidP="008A253E">
            <w:pPr>
              <w:jc w:val="center"/>
              <w:rPr>
                <w:b/>
                <w:sz w:val="20"/>
                <w:szCs w:val="20"/>
              </w:rPr>
            </w:pPr>
            <w:r w:rsidRPr="00C93A58">
              <w:rPr>
                <w:b/>
                <w:sz w:val="20"/>
                <w:szCs w:val="20"/>
              </w:rPr>
              <w:t>20</w:t>
            </w:r>
            <w:r>
              <w:rPr>
                <w:b/>
                <w:sz w:val="20"/>
                <w:szCs w:val="20"/>
              </w:rPr>
              <w:t>24</w:t>
            </w:r>
            <w:r w:rsidRPr="00C93A58">
              <w:rPr>
                <w:b/>
                <w:sz w:val="20"/>
                <w:szCs w:val="20"/>
              </w:rPr>
              <w:t xml:space="preserve"> год</w:t>
            </w:r>
          </w:p>
          <w:p w:rsidR="00F07E05" w:rsidRPr="00C93A58" w:rsidRDefault="00F07E05" w:rsidP="008A253E">
            <w:pPr>
              <w:jc w:val="center"/>
              <w:rPr>
                <w:b/>
                <w:sz w:val="20"/>
                <w:szCs w:val="20"/>
              </w:rPr>
            </w:pPr>
          </w:p>
        </w:tc>
      </w:tr>
      <w:tr w:rsidR="00F07E05" w:rsidRPr="00C93A58" w:rsidTr="008A253E">
        <w:trPr>
          <w:trHeight w:val="1275"/>
        </w:trPr>
        <w:tc>
          <w:tcPr>
            <w:tcW w:w="2520" w:type="dxa"/>
            <w:noWrap/>
          </w:tcPr>
          <w:p w:rsidR="00F07E05" w:rsidRPr="00C93A58" w:rsidRDefault="00F07E05" w:rsidP="008A253E">
            <w:pPr>
              <w:jc w:val="center"/>
              <w:rPr>
                <w:b/>
                <w:sz w:val="16"/>
                <w:szCs w:val="16"/>
              </w:rPr>
            </w:pPr>
          </w:p>
          <w:p w:rsidR="00F07E05" w:rsidRPr="00C93A58" w:rsidRDefault="00F07E05" w:rsidP="008A253E">
            <w:pPr>
              <w:jc w:val="center"/>
              <w:rPr>
                <w:b/>
                <w:sz w:val="16"/>
                <w:szCs w:val="16"/>
              </w:rPr>
            </w:pPr>
          </w:p>
          <w:p w:rsidR="00F07E05" w:rsidRPr="00C93A58" w:rsidRDefault="00F07E05" w:rsidP="008A253E">
            <w:pPr>
              <w:jc w:val="center"/>
              <w:rPr>
                <w:b/>
                <w:sz w:val="16"/>
                <w:szCs w:val="16"/>
              </w:rPr>
            </w:pPr>
            <w:r w:rsidRPr="00C93A58">
              <w:rPr>
                <w:b/>
                <w:sz w:val="16"/>
                <w:szCs w:val="16"/>
              </w:rPr>
              <w:t>000</w:t>
            </w:r>
            <w:r w:rsidRPr="00C93A58">
              <w:rPr>
                <w:b/>
                <w:sz w:val="16"/>
                <w:szCs w:val="16"/>
                <w:lang w:val="en-US"/>
              </w:rPr>
              <w:t xml:space="preserve"> 1 13 0</w:t>
            </w:r>
            <w:r w:rsidRPr="00C93A58">
              <w:rPr>
                <w:b/>
                <w:sz w:val="16"/>
                <w:szCs w:val="16"/>
              </w:rPr>
              <w:t>2990</w:t>
            </w:r>
            <w:r w:rsidRPr="00C93A58">
              <w:rPr>
                <w:b/>
                <w:sz w:val="16"/>
                <w:szCs w:val="16"/>
                <w:lang w:val="en-US"/>
              </w:rPr>
              <w:t xml:space="preserve"> 0</w:t>
            </w:r>
            <w:r w:rsidRPr="00C93A58">
              <w:rPr>
                <w:b/>
                <w:sz w:val="16"/>
                <w:szCs w:val="16"/>
              </w:rPr>
              <w:t>0</w:t>
            </w:r>
            <w:r w:rsidRPr="00C93A58">
              <w:rPr>
                <w:b/>
                <w:sz w:val="16"/>
                <w:szCs w:val="16"/>
                <w:lang w:val="en-US"/>
              </w:rPr>
              <w:t xml:space="preserve"> 0</w:t>
            </w:r>
            <w:r w:rsidRPr="00C93A58">
              <w:rPr>
                <w:b/>
                <w:sz w:val="16"/>
                <w:szCs w:val="16"/>
              </w:rPr>
              <w:t>000 130</w:t>
            </w:r>
          </w:p>
        </w:tc>
        <w:tc>
          <w:tcPr>
            <w:tcW w:w="2520" w:type="dxa"/>
          </w:tcPr>
          <w:p w:rsidR="00F07E05" w:rsidRPr="00C93A58" w:rsidRDefault="00F07E05" w:rsidP="008A253E">
            <w:pPr>
              <w:rPr>
                <w:sz w:val="20"/>
                <w:szCs w:val="20"/>
              </w:rPr>
            </w:pPr>
          </w:p>
          <w:p w:rsidR="00F07E05" w:rsidRPr="00C93A58" w:rsidRDefault="00F07E05" w:rsidP="008A253E">
            <w:pPr>
              <w:rPr>
                <w:sz w:val="20"/>
                <w:szCs w:val="20"/>
              </w:rPr>
            </w:pPr>
            <w:r w:rsidRPr="00C93A58">
              <w:rPr>
                <w:sz w:val="20"/>
                <w:szCs w:val="20"/>
              </w:rPr>
              <w:t xml:space="preserve">Прочие доходы от компенсации затрат государства </w:t>
            </w:r>
          </w:p>
        </w:tc>
        <w:tc>
          <w:tcPr>
            <w:tcW w:w="1368" w:type="dxa"/>
            <w:noWrap/>
          </w:tcPr>
          <w:p w:rsidR="00F07E05" w:rsidRDefault="00F07E05" w:rsidP="008A253E">
            <w:pPr>
              <w:ind w:hanging="108"/>
              <w:jc w:val="center"/>
              <w:rPr>
                <w:sz w:val="20"/>
                <w:szCs w:val="20"/>
              </w:rPr>
            </w:pPr>
          </w:p>
          <w:p w:rsidR="00F07E05" w:rsidRDefault="00F07E05" w:rsidP="008A253E">
            <w:pPr>
              <w:ind w:hanging="108"/>
              <w:jc w:val="center"/>
              <w:rPr>
                <w:sz w:val="20"/>
                <w:szCs w:val="20"/>
              </w:rPr>
            </w:pPr>
          </w:p>
          <w:p w:rsidR="00F07E05" w:rsidRPr="00C93A58" w:rsidRDefault="00F07E05" w:rsidP="008A253E">
            <w:pPr>
              <w:ind w:hanging="108"/>
              <w:jc w:val="center"/>
              <w:rPr>
                <w:sz w:val="20"/>
                <w:szCs w:val="20"/>
              </w:rPr>
            </w:pPr>
            <w:r>
              <w:rPr>
                <w:sz w:val="20"/>
                <w:szCs w:val="20"/>
              </w:rPr>
              <w:t>334,5</w:t>
            </w:r>
          </w:p>
        </w:tc>
        <w:tc>
          <w:tcPr>
            <w:tcW w:w="1440" w:type="dxa"/>
            <w:noWrap/>
          </w:tcPr>
          <w:p w:rsidR="00F07E05" w:rsidRDefault="00F07E05" w:rsidP="008A253E">
            <w:pPr>
              <w:ind w:left="-136" w:right="-108" w:hanging="28"/>
              <w:jc w:val="center"/>
              <w:rPr>
                <w:sz w:val="20"/>
                <w:szCs w:val="20"/>
              </w:rPr>
            </w:pPr>
          </w:p>
          <w:p w:rsidR="00F07E05" w:rsidRDefault="00F07E05" w:rsidP="008A253E">
            <w:pPr>
              <w:ind w:left="-136" w:right="-108" w:hanging="28"/>
              <w:jc w:val="center"/>
              <w:rPr>
                <w:sz w:val="20"/>
                <w:szCs w:val="20"/>
              </w:rPr>
            </w:pPr>
          </w:p>
          <w:p w:rsidR="00F07E05" w:rsidRPr="00C93A58" w:rsidRDefault="00F07E05" w:rsidP="008A253E">
            <w:pPr>
              <w:ind w:left="-136" w:right="-108" w:hanging="28"/>
              <w:jc w:val="center"/>
              <w:rPr>
                <w:sz w:val="20"/>
                <w:szCs w:val="20"/>
              </w:rPr>
            </w:pPr>
            <w:r>
              <w:rPr>
                <w:sz w:val="20"/>
                <w:szCs w:val="20"/>
              </w:rPr>
              <w:t>334,5</w:t>
            </w:r>
          </w:p>
        </w:tc>
        <w:tc>
          <w:tcPr>
            <w:tcW w:w="1620" w:type="dxa"/>
            <w:noWrap/>
          </w:tcPr>
          <w:p w:rsidR="00F07E05" w:rsidRDefault="00F07E05" w:rsidP="008A253E">
            <w:pPr>
              <w:ind w:left="-108" w:right="-3" w:hanging="108"/>
              <w:jc w:val="center"/>
              <w:rPr>
                <w:sz w:val="20"/>
                <w:szCs w:val="20"/>
              </w:rPr>
            </w:pPr>
          </w:p>
          <w:p w:rsidR="00F07E05" w:rsidRDefault="00F07E05" w:rsidP="008A253E">
            <w:pPr>
              <w:ind w:left="-108" w:right="-3" w:hanging="108"/>
              <w:jc w:val="center"/>
              <w:rPr>
                <w:sz w:val="20"/>
                <w:szCs w:val="20"/>
              </w:rPr>
            </w:pPr>
          </w:p>
          <w:p w:rsidR="00F07E05" w:rsidRPr="00C93A58" w:rsidRDefault="00F07E05" w:rsidP="008A253E">
            <w:pPr>
              <w:ind w:left="-108" w:right="-3" w:hanging="108"/>
              <w:jc w:val="center"/>
              <w:rPr>
                <w:sz w:val="20"/>
                <w:szCs w:val="20"/>
              </w:rPr>
            </w:pPr>
            <w:r>
              <w:rPr>
                <w:sz w:val="20"/>
                <w:szCs w:val="20"/>
              </w:rPr>
              <w:t>334,5</w:t>
            </w:r>
          </w:p>
        </w:tc>
      </w:tr>
    </w:tbl>
    <w:p w:rsidR="00F07E05" w:rsidRDefault="00F07E05" w:rsidP="00F07E05">
      <w:pPr>
        <w:spacing w:line="276" w:lineRule="auto"/>
        <w:ind w:firstLine="720"/>
        <w:jc w:val="both"/>
        <w:rPr>
          <w:b/>
          <w:sz w:val="28"/>
          <w:szCs w:val="28"/>
        </w:rPr>
      </w:pPr>
    </w:p>
    <w:p w:rsidR="00F07E05" w:rsidRDefault="00F07E05" w:rsidP="00F07E05">
      <w:pPr>
        <w:ind w:firstLine="567"/>
        <w:jc w:val="both"/>
        <w:rPr>
          <w:sz w:val="28"/>
          <w:szCs w:val="28"/>
        </w:rPr>
      </w:pPr>
      <w:r w:rsidRPr="004D5336">
        <w:rPr>
          <w:sz w:val="28"/>
          <w:szCs w:val="28"/>
        </w:rPr>
        <w:t>Расчет прогнозного объема поступления доходов в 202</w:t>
      </w:r>
      <w:r>
        <w:rPr>
          <w:sz w:val="28"/>
          <w:szCs w:val="28"/>
        </w:rPr>
        <w:t>2</w:t>
      </w:r>
      <w:r w:rsidRPr="004D5336">
        <w:rPr>
          <w:sz w:val="28"/>
          <w:szCs w:val="28"/>
        </w:rPr>
        <w:t xml:space="preserve"> – 202</w:t>
      </w:r>
      <w:r>
        <w:rPr>
          <w:sz w:val="28"/>
          <w:szCs w:val="28"/>
        </w:rPr>
        <w:t>4</w:t>
      </w:r>
      <w:r w:rsidRPr="004D5336">
        <w:rPr>
          <w:sz w:val="28"/>
          <w:szCs w:val="28"/>
        </w:rPr>
        <w:t xml:space="preserve"> годах проведен в соответствии с методикой прогнозирования поступлений доходов областного бюджета и местных бюджетов Тверской области, утвержденной приказом Министерства природных ресурсов и экологии Тверской области от 31.08.2016 № 187-кв в редакции приказа от 21.02.2019 № 30-кв</w:t>
      </w:r>
      <w:r>
        <w:rPr>
          <w:sz w:val="28"/>
          <w:szCs w:val="28"/>
        </w:rPr>
        <w:t xml:space="preserve"> (с изменениями и дополнениями)</w:t>
      </w:r>
      <w:r w:rsidRPr="004D5336">
        <w:rPr>
          <w:sz w:val="28"/>
          <w:szCs w:val="28"/>
        </w:rPr>
        <w:t>.</w:t>
      </w:r>
    </w:p>
    <w:p w:rsidR="00F07E05" w:rsidRPr="00CB42E9" w:rsidRDefault="00F07E05" w:rsidP="00F07E05">
      <w:pPr>
        <w:numPr>
          <w:ilvl w:val="0"/>
          <w:numId w:val="26"/>
        </w:numPr>
        <w:ind w:left="0" w:firstLine="709"/>
        <w:jc w:val="both"/>
        <w:rPr>
          <w:sz w:val="28"/>
          <w:szCs w:val="28"/>
        </w:rPr>
      </w:pPr>
      <w:r w:rsidRPr="00CB42E9">
        <w:rPr>
          <w:sz w:val="28"/>
          <w:szCs w:val="28"/>
        </w:rPr>
        <w:t xml:space="preserve">По КБК </w:t>
      </w:r>
      <w:r w:rsidRPr="00CB42E9">
        <w:rPr>
          <w:b/>
          <w:sz w:val="28"/>
          <w:szCs w:val="28"/>
        </w:rPr>
        <w:t>327 1 13 02992 02 0430 130</w:t>
      </w:r>
      <w:r w:rsidRPr="00CB42E9">
        <w:rPr>
          <w:sz w:val="28"/>
          <w:szCs w:val="28"/>
        </w:rPr>
        <w:t xml:space="preserve"> – прочие доходы от компенсации затрат бюджетов субъектов Российской Федерации (иные прочие доходы от компенсации затрат бюджетов субъектов Российской Федерации)</w:t>
      </w:r>
      <w:r>
        <w:rPr>
          <w:sz w:val="28"/>
          <w:szCs w:val="28"/>
        </w:rPr>
        <w:t>.</w:t>
      </w:r>
    </w:p>
    <w:p w:rsidR="00F07E05" w:rsidRDefault="00F07E05" w:rsidP="00F07E05">
      <w:pPr>
        <w:ind w:firstLine="709"/>
        <w:jc w:val="both"/>
        <w:rPr>
          <w:sz w:val="28"/>
          <w:szCs w:val="28"/>
        </w:rPr>
      </w:pPr>
      <w:r w:rsidRPr="00244414">
        <w:rPr>
          <w:sz w:val="28"/>
          <w:szCs w:val="28"/>
        </w:rPr>
        <w:t>Издержки по делам об административных правонарушениях</w:t>
      </w:r>
      <w:r>
        <w:rPr>
          <w:sz w:val="28"/>
          <w:szCs w:val="28"/>
        </w:rPr>
        <w:t xml:space="preserve"> рассчитываются методом экстраполяции по минимальному значению за 3 года, предшествующих текущему финансовому году.</w:t>
      </w:r>
    </w:p>
    <w:p w:rsidR="00F07E05" w:rsidRDefault="00F07E05" w:rsidP="00F07E05">
      <w:pPr>
        <w:ind w:firstLine="709"/>
        <w:jc w:val="both"/>
        <w:rPr>
          <w:sz w:val="28"/>
          <w:szCs w:val="28"/>
        </w:rPr>
      </w:pPr>
      <w:r>
        <w:rPr>
          <w:sz w:val="28"/>
          <w:szCs w:val="28"/>
        </w:rPr>
        <w:t xml:space="preserve">За основу взяты поступления издержек за 2018 - 2020 годы.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3"/>
        <w:gridCol w:w="2516"/>
        <w:gridCol w:w="2099"/>
        <w:gridCol w:w="2246"/>
      </w:tblGrid>
      <w:tr w:rsidR="00F07E05" w:rsidRPr="003372B0" w:rsidTr="008A253E">
        <w:trPr>
          <w:trHeight w:val="493"/>
        </w:trPr>
        <w:tc>
          <w:tcPr>
            <w:tcW w:w="7196" w:type="dxa"/>
            <w:gridSpan w:val="3"/>
            <w:shd w:val="clear" w:color="auto" w:fill="auto"/>
            <w:vAlign w:val="center"/>
          </w:tcPr>
          <w:p w:rsidR="00F07E05" w:rsidRPr="003372B0" w:rsidRDefault="00F07E05" w:rsidP="008A253E">
            <w:pPr>
              <w:jc w:val="center"/>
            </w:pPr>
            <w:r w:rsidRPr="003372B0">
              <w:t>Поступило, тыс. руб.</w:t>
            </w:r>
          </w:p>
        </w:tc>
        <w:tc>
          <w:tcPr>
            <w:tcW w:w="2268" w:type="dxa"/>
            <w:shd w:val="clear" w:color="auto" w:fill="auto"/>
            <w:vAlign w:val="center"/>
          </w:tcPr>
          <w:p w:rsidR="00F07E05" w:rsidRPr="003372B0" w:rsidRDefault="00F07E05" w:rsidP="008A253E">
            <w:pPr>
              <w:jc w:val="center"/>
            </w:pPr>
            <w:r w:rsidRPr="003372B0">
              <w:t>Прогноз,</w:t>
            </w:r>
            <w:r>
              <w:t xml:space="preserve"> </w:t>
            </w:r>
            <w:r w:rsidRPr="003372B0">
              <w:t>тыс. руб.</w:t>
            </w:r>
          </w:p>
        </w:tc>
      </w:tr>
      <w:tr w:rsidR="00F07E05" w:rsidRPr="003372B0" w:rsidTr="008A253E">
        <w:trPr>
          <w:trHeight w:val="350"/>
        </w:trPr>
        <w:tc>
          <w:tcPr>
            <w:tcW w:w="2518" w:type="dxa"/>
            <w:shd w:val="clear" w:color="auto" w:fill="auto"/>
            <w:vAlign w:val="center"/>
          </w:tcPr>
          <w:p w:rsidR="00F07E05" w:rsidRPr="003372B0" w:rsidRDefault="00F07E05" w:rsidP="008A253E">
            <w:pPr>
              <w:jc w:val="center"/>
            </w:pPr>
            <w:r w:rsidRPr="003372B0">
              <w:t>2018 год</w:t>
            </w:r>
          </w:p>
        </w:tc>
        <w:tc>
          <w:tcPr>
            <w:tcW w:w="2552" w:type="dxa"/>
            <w:shd w:val="clear" w:color="auto" w:fill="auto"/>
            <w:vAlign w:val="center"/>
          </w:tcPr>
          <w:p w:rsidR="00F07E05" w:rsidRPr="003372B0" w:rsidRDefault="00F07E05" w:rsidP="008A253E">
            <w:pPr>
              <w:jc w:val="center"/>
            </w:pPr>
            <w:r w:rsidRPr="003372B0">
              <w:t>2019 год</w:t>
            </w:r>
          </w:p>
        </w:tc>
        <w:tc>
          <w:tcPr>
            <w:tcW w:w="2126" w:type="dxa"/>
            <w:shd w:val="clear" w:color="auto" w:fill="auto"/>
            <w:vAlign w:val="center"/>
          </w:tcPr>
          <w:p w:rsidR="00F07E05" w:rsidRPr="003372B0" w:rsidRDefault="00F07E05" w:rsidP="008A253E">
            <w:pPr>
              <w:jc w:val="center"/>
            </w:pPr>
            <w:r w:rsidRPr="003372B0">
              <w:t>2020 год</w:t>
            </w:r>
          </w:p>
        </w:tc>
        <w:tc>
          <w:tcPr>
            <w:tcW w:w="2268" w:type="dxa"/>
            <w:shd w:val="clear" w:color="auto" w:fill="auto"/>
            <w:vAlign w:val="center"/>
          </w:tcPr>
          <w:p w:rsidR="00F07E05" w:rsidRPr="003372B0" w:rsidRDefault="00F07E05" w:rsidP="008A253E">
            <w:pPr>
              <w:jc w:val="center"/>
            </w:pPr>
            <w:r w:rsidRPr="003372B0">
              <w:t>202</w:t>
            </w:r>
            <w:r>
              <w:t>2</w:t>
            </w:r>
            <w:r w:rsidRPr="003372B0">
              <w:t xml:space="preserve"> год</w:t>
            </w:r>
          </w:p>
        </w:tc>
      </w:tr>
      <w:tr w:rsidR="00F07E05" w:rsidRPr="003372B0" w:rsidTr="008A253E">
        <w:trPr>
          <w:trHeight w:val="525"/>
        </w:trPr>
        <w:tc>
          <w:tcPr>
            <w:tcW w:w="2518" w:type="dxa"/>
            <w:shd w:val="clear" w:color="auto" w:fill="auto"/>
            <w:vAlign w:val="center"/>
          </w:tcPr>
          <w:p w:rsidR="00F07E05" w:rsidRPr="003372B0" w:rsidRDefault="00F07E05" w:rsidP="008A253E">
            <w:pPr>
              <w:jc w:val="center"/>
            </w:pPr>
            <w:r>
              <w:t>755,0</w:t>
            </w:r>
          </w:p>
        </w:tc>
        <w:tc>
          <w:tcPr>
            <w:tcW w:w="2552" w:type="dxa"/>
            <w:shd w:val="clear" w:color="auto" w:fill="auto"/>
            <w:vAlign w:val="center"/>
          </w:tcPr>
          <w:p w:rsidR="00F07E05" w:rsidRPr="003372B0" w:rsidRDefault="00F07E05" w:rsidP="008A253E">
            <w:pPr>
              <w:jc w:val="center"/>
            </w:pPr>
            <w:r>
              <w:t>871,1</w:t>
            </w:r>
          </w:p>
        </w:tc>
        <w:tc>
          <w:tcPr>
            <w:tcW w:w="2126" w:type="dxa"/>
            <w:shd w:val="clear" w:color="auto" w:fill="auto"/>
            <w:vAlign w:val="center"/>
          </w:tcPr>
          <w:p w:rsidR="00F07E05" w:rsidRPr="003372B0" w:rsidRDefault="00F07E05" w:rsidP="008A253E">
            <w:pPr>
              <w:jc w:val="center"/>
            </w:pPr>
            <w:r>
              <w:t>334,5</w:t>
            </w:r>
          </w:p>
        </w:tc>
        <w:tc>
          <w:tcPr>
            <w:tcW w:w="2268" w:type="dxa"/>
            <w:shd w:val="clear" w:color="auto" w:fill="auto"/>
            <w:vAlign w:val="center"/>
          </w:tcPr>
          <w:p w:rsidR="00F07E05" w:rsidRPr="003372B0" w:rsidRDefault="00F07E05" w:rsidP="008A253E">
            <w:pPr>
              <w:jc w:val="center"/>
              <w:rPr>
                <w:b/>
              </w:rPr>
            </w:pPr>
            <w:r>
              <w:rPr>
                <w:b/>
              </w:rPr>
              <w:t>334,5</w:t>
            </w:r>
          </w:p>
        </w:tc>
      </w:tr>
    </w:tbl>
    <w:p w:rsidR="00F07E05" w:rsidRDefault="00F07E05" w:rsidP="00F07E05">
      <w:pPr>
        <w:ind w:firstLine="567"/>
        <w:jc w:val="both"/>
        <w:rPr>
          <w:sz w:val="28"/>
          <w:szCs w:val="28"/>
        </w:rPr>
      </w:pPr>
      <w:r>
        <w:rPr>
          <w:sz w:val="28"/>
          <w:szCs w:val="28"/>
        </w:rPr>
        <w:t>Прогноз на плановый период равен прогнозу на очередной финансовый год.</w:t>
      </w:r>
    </w:p>
    <w:p w:rsidR="00F07E05" w:rsidRDefault="00F07E05" w:rsidP="00F07E05">
      <w:pPr>
        <w:ind w:firstLine="567"/>
        <w:jc w:val="both"/>
        <w:rPr>
          <w:sz w:val="28"/>
          <w:szCs w:val="28"/>
        </w:rPr>
      </w:pPr>
    </w:p>
    <w:p w:rsidR="00F07E05" w:rsidRDefault="00F07E05" w:rsidP="00F07E05">
      <w:pPr>
        <w:spacing w:line="276" w:lineRule="auto"/>
        <w:ind w:firstLine="720"/>
        <w:jc w:val="both"/>
        <w:rPr>
          <w:b/>
          <w:sz w:val="28"/>
          <w:szCs w:val="28"/>
        </w:rPr>
      </w:pPr>
    </w:p>
    <w:p w:rsidR="00F07E05" w:rsidRDefault="00F07E05" w:rsidP="00F07E05">
      <w:pPr>
        <w:spacing w:line="276" w:lineRule="auto"/>
        <w:ind w:firstLine="720"/>
        <w:jc w:val="both"/>
        <w:rPr>
          <w:b/>
          <w:sz w:val="28"/>
          <w:szCs w:val="28"/>
        </w:rPr>
      </w:pPr>
    </w:p>
    <w:p w:rsidR="00F07E05" w:rsidRPr="001F06E0" w:rsidRDefault="00F07E05" w:rsidP="00F07E05">
      <w:pPr>
        <w:spacing w:line="276" w:lineRule="auto"/>
        <w:ind w:firstLine="720"/>
        <w:jc w:val="both"/>
        <w:rPr>
          <w:b/>
          <w:sz w:val="28"/>
          <w:szCs w:val="28"/>
        </w:rPr>
      </w:pPr>
      <w:r w:rsidRPr="001F06E0">
        <w:rPr>
          <w:b/>
          <w:sz w:val="28"/>
          <w:szCs w:val="28"/>
        </w:rPr>
        <w:t>Министерство лесного хозяйства Тверской области</w:t>
      </w:r>
    </w:p>
    <w:p w:rsidR="00F07E05" w:rsidRPr="00C93A58" w:rsidRDefault="00F07E05" w:rsidP="00F07E05">
      <w:pPr>
        <w:spacing w:line="276" w:lineRule="auto"/>
        <w:ind w:firstLine="720"/>
        <w:jc w:val="both"/>
        <w:rPr>
          <w:b/>
          <w:sz w:val="28"/>
          <w:szCs w:val="28"/>
        </w:rPr>
      </w:pPr>
    </w:p>
    <w:p w:rsidR="00F07E05" w:rsidRPr="00C93A58" w:rsidRDefault="00F07E05" w:rsidP="00F07E05">
      <w:pPr>
        <w:pStyle w:val="21"/>
        <w:rPr>
          <w:b/>
        </w:rPr>
      </w:pPr>
      <w:r w:rsidRPr="00C93A58">
        <w:lastRenderedPageBreak/>
        <w:t>Министерство лесного хозяйства Тверской области прогнозирует получение   прочих доходов от компенсации затрат бюджетов   в суммах:</w:t>
      </w:r>
      <w:r w:rsidRPr="00C93A58">
        <w:rPr>
          <w:b/>
        </w:rPr>
        <w:t xml:space="preserve"> </w:t>
      </w:r>
    </w:p>
    <w:p w:rsidR="00F07E05" w:rsidRPr="00C93A58" w:rsidRDefault="00F07E05" w:rsidP="00F07E05">
      <w:pPr>
        <w:pStyle w:val="a7"/>
        <w:ind w:left="0" w:firstLine="360"/>
        <w:jc w:val="right"/>
      </w:pPr>
    </w:p>
    <w:p w:rsidR="00F07E05" w:rsidRDefault="00F07E05" w:rsidP="00F07E05">
      <w:pPr>
        <w:pStyle w:val="a7"/>
        <w:ind w:left="0" w:firstLine="360"/>
        <w:jc w:val="right"/>
        <w:rPr>
          <w:sz w:val="28"/>
          <w:szCs w:val="28"/>
        </w:rPr>
      </w:pPr>
      <w:r w:rsidRPr="00C93A58">
        <w:rPr>
          <w:sz w:val="28"/>
          <w:szCs w:val="28"/>
        </w:rPr>
        <w:t>тыс.</w:t>
      </w:r>
      <w:r>
        <w:rPr>
          <w:sz w:val="28"/>
          <w:szCs w:val="28"/>
        </w:rPr>
        <w:t xml:space="preserve"> </w:t>
      </w:r>
      <w:r w:rsidRPr="00C93A58">
        <w:rPr>
          <w:sz w:val="28"/>
          <w:szCs w:val="28"/>
        </w:rPr>
        <w:t>руб.</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9"/>
        <w:gridCol w:w="3348"/>
        <w:gridCol w:w="1275"/>
        <w:gridCol w:w="1276"/>
        <w:gridCol w:w="1276"/>
      </w:tblGrid>
      <w:tr w:rsidR="00F07E05" w:rsidRPr="00ED784D" w:rsidTr="008A253E">
        <w:trPr>
          <w:trHeight w:val="939"/>
        </w:trPr>
        <w:tc>
          <w:tcPr>
            <w:tcW w:w="2459" w:type="dxa"/>
            <w:noWrap/>
          </w:tcPr>
          <w:p w:rsidR="00F07E05" w:rsidRPr="00ED784D" w:rsidRDefault="00F07E05" w:rsidP="008A253E">
            <w:pPr>
              <w:jc w:val="center"/>
              <w:rPr>
                <w:b/>
                <w:sz w:val="20"/>
                <w:szCs w:val="20"/>
              </w:rPr>
            </w:pPr>
            <w:r w:rsidRPr="00ED784D">
              <w:rPr>
                <w:b/>
                <w:sz w:val="20"/>
                <w:szCs w:val="20"/>
              </w:rPr>
              <w:t>КБК</w:t>
            </w:r>
          </w:p>
        </w:tc>
        <w:tc>
          <w:tcPr>
            <w:tcW w:w="3348" w:type="dxa"/>
            <w:noWrap/>
          </w:tcPr>
          <w:p w:rsidR="00F07E05" w:rsidRPr="00ED784D" w:rsidRDefault="00F07E05" w:rsidP="008A253E">
            <w:pPr>
              <w:rPr>
                <w:b/>
                <w:sz w:val="20"/>
                <w:szCs w:val="20"/>
              </w:rPr>
            </w:pPr>
            <w:r w:rsidRPr="00ED784D">
              <w:rPr>
                <w:b/>
                <w:sz w:val="20"/>
                <w:szCs w:val="20"/>
              </w:rPr>
              <w:t>Наименование</w:t>
            </w:r>
          </w:p>
        </w:tc>
        <w:tc>
          <w:tcPr>
            <w:tcW w:w="1275" w:type="dxa"/>
          </w:tcPr>
          <w:p w:rsidR="00F07E05" w:rsidRPr="00ED784D" w:rsidRDefault="00F07E05" w:rsidP="008A253E">
            <w:pPr>
              <w:jc w:val="center"/>
              <w:rPr>
                <w:b/>
                <w:sz w:val="20"/>
                <w:szCs w:val="20"/>
              </w:rPr>
            </w:pPr>
            <w:r w:rsidRPr="00ED784D">
              <w:rPr>
                <w:b/>
                <w:sz w:val="20"/>
                <w:szCs w:val="20"/>
              </w:rPr>
              <w:t>Прогноз на</w:t>
            </w:r>
          </w:p>
          <w:p w:rsidR="00F07E05" w:rsidRPr="00ED784D" w:rsidRDefault="00F07E05" w:rsidP="008A253E">
            <w:pPr>
              <w:jc w:val="center"/>
              <w:rPr>
                <w:b/>
                <w:sz w:val="20"/>
                <w:szCs w:val="20"/>
              </w:rPr>
            </w:pPr>
            <w:r w:rsidRPr="00ED784D">
              <w:rPr>
                <w:b/>
                <w:sz w:val="20"/>
                <w:szCs w:val="20"/>
              </w:rPr>
              <w:t>20</w:t>
            </w:r>
            <w:r>
              <w:rPr>
                <w:b/>
                <w:sz w:val="20"/>
                <w:szCs w:val="20"/>
              </w:rPr>
              <w:t>22</w:t>
            </w:r>
            <w:r w:rsidRPr="00ED784D">
              <w:rPr>
                <w:b/>
                <w:sz w:val="20"/>
                <w:szCs w:val="20"/>
              </w:rPr>
              <w:t xml:space="preserve"> год</w:t>
            </w:r>
          </w:p>
          <w:p w:rsidR="00F07E05" w:rsidRPr="00ED784D" w:rsidRDefault="00F07E05" w:rsidP="008A253E">
            <w:pPr>
              <w:jc w:val="center"/>
              <w:rPr>
                <w:b/>
                <w:sz w:val="20"/>
                <w:szCs w:val="20"/>
              </w:rPr>
            </w:pPr>
          </w:p>
          <w:p w:rsidR="00F07E05" w:rsidRPr="00ED784D" w:rsidRDefault="00F07E05" w:rsidP="008A253E">
            <w:pPr>
              <w:jc w:val="center"/>
              <w:rPr>
                <w:b/>
                <w:sz w:val="20"/>
                <w:szCs w:val="20"/>
              </w:rPr>
            </w:pPr>
          </w:p>
        </w:tc>
        <w:tc>
          <w:tcPr>
            <w:tcW w:w="1276" w:type="dxa"/>
          </w:tcPr>
          <w:p w:rsidR="00F07E05" w:rsidRPr="00ED784D" w:rsidRDefault="00F07E05" w:rsidP="008A253E">
            <w:pPr>
              <w:jc w:val="center"/>
              <w:rPr>
                <w:b/>
                <w:sz w:val="20"/>
                <w:szCs w:val="20"/>
              </w:rPr>
            </w:pPr>
            <w:r w:rsidRPr="00ED784D">
              <w:rPr>
                <w:b/>
                <w:sz w:val="20"/>
                <w:szCs w:val="20"/>
              </w:rPr>
              <w:t>Прогноз на</w:t>
            </w:r>
          </w:p>
          <w:p w:rsidR="00F07E05" w:rsidRPr="00ED784D" w:rsidRDefault="00F07E05" w:rsidP="008A253E">
            <w:pPr>
              <w:jc w:val="center"/>
              <w:rPr>
                <w:b/>
                <w:sz w:val="20"/>
                <w:szCs w:val="20"/>
              </w:rPr>
            </w:pPr>
            <w:r w:rsidRPr="00ED784D">
              <w:rPr>
                <w:b/>
                <w:sz w:val="20"/>
                <w:szCs w:val="20"/>
              </w:rPr>
              <w:t>20</w:t>
            </w:r>
            <w:r>
              <w:rPr>
                <w:b/>
                <w:sz w:val="20"/>
                <w:szCs w:val="20"/>
              </w:rPr>
              <w:t xml:space="preserve">23 </w:t>
            </w:r>
            <w:r w:rsidRPr="00ED784D">
              <w:rPr>
                <w:b/>
                <w:sz w:val="20"/>
                <w:szCs w:val="20"/>
              </w:rPr>
              <w:t xml:space="preserve">год </w:t>
            </w:r>
          </w:p>
          <w:p w:rsidR="00F07E05" w:rsidRPr="00ED784D" w:rsidRDefault="00F07E05" w:rsidP="008A253E">
            <w:pPr>
              <w:jc w:val="center"/>
              <w:rPr>
                <w:b/>
                <w:sz w:val="20"/>
                <w:szCs w:val="20"/>
              </w:rPr>
            </w:pPr>
          </w:p>
        </w:tc>
        <w:tc>
          <w:tcPr>
            <w:tcW w:w="1276" w:type="dxa"/>
          </w:tcPr>
          <w:p w:rsidR="00F07E05" w:rsidRPr="00ED784D" w:rsidRDefault="00F07E05" w:rsidP="008A253E">
            <w:pPr>
              <w:jc w:val="center"/>
              <w:rPr>
                <w:b/>
                <w:sz w:val="20"/>
                <w:szCs w:val="20"/>
              </w:rPr>
            </w:pPr>
            <w:r w:rsidRPr="00ED784D">
              <w:rPr>
                <w:b/>
                <w:sz w:val="20"/>
                <w:szCs w:val="20"/>
              </w:rPr>
              <w:t>Прогноз на</w:t>
            </w:r>
          </w:p>
          <w:p w:rsidR="00F07E05" w:rsidRPr="00ED784D" w:rsidRDefault="00F07E05" w:rsidP="008A253E">
            <w:pPr>
              <w:jc w:val="center"/>
              <w:rPr>
                <w:b/>
                <w:sz w:val="20"/>
                <w:szCs w:val="20"/>
              </w:rPr>
            </w:pPr>
            <w:r w:rsidRPr="00ED784D">
              <w:rPr>
                <w:b/>
                <w:sz w:val="20"/>
                <w:szCs w:val="20"/>
              </w:rPr>
              <w:t>20</w:t>
            </w:r>
            <w:r>
              <w:rPr>
                <w:b/>
                <w:sz w:val="20"/>
                <w:szCs w:val="20"/>
              </w:rPr>
              <w:t xml:space="preserve">24 </w:t>
            </w:r>
            <w:r w:rsidRPr="00ED784D">
              <w:rPr>
                <w:b/>
                <w:sz w:val="20"/>
                <w:szCs w:val="20"/>
              </w:rPr>
              <w:t>год</w:t>
            </w:r>
          </w:p>
          <w:p w:rsidR="00F07E05" w:rsidRPr="00ED784D" w:rsidRDefault="00F07E05" w:rsidP="008A253E">
            <w:pPr>
              <w:jc w:val="center"/>
              <w:rPr>
                <w:b/>
                <w:sz w:val="20"/>
                <w:szCs w:val="20"/>
              </w:rPr>
            </w:pPr>
          </w:p>
        </w:tc>
      </w:tr>
      <w:tr w:rsidR="00F07E05" w:rsidRPr="00ED784D" w:rsidTr="008A253E">
        <w:trPr>
          <w:trHeight w:val="504"/>
        </w:trPr>
        <w:tc>
          <w:tcPr>
            <w:tcW w:w="2459" w:type="dxa"/>
            <w:noWrap/>
          </w:tcPr>
          <w:p w:rsidR="00F07E05" w:rsidRPr="00ED784D" w:rsidRDefault="00F07E05" w:rsidP="008A253E">
            <w:pPr>
              <w:jc w:val="center"/>
              <w:rPr>
                <w:b/>
                <w:sz w:val="16"/>
                <w:szCs w:val="16"/>
              </w:rPr>
            </w:pPr>
            <w:r w:rsidRPr="000727CC">
              <w:rPr>
                <w:b/>
                <w:sz w:val="16"/>
                <w:szCs w:val="16"/>
              </w:rPr>
              <w:t>000 1 13 02990 00 0000 130</w:t>
            </w:r>
          </w:p>
        </w:tc>
        <w:tc>
          <w:tcPr>
            <w:tcW w:w="3348" w:type="dxa"/>
          </w:tcPr>
          <w:p w:rsidR="00F07E05" w:rsidRPr="00C93A58" w:rsidRDefault="00F07E05" w:rsidP="008A253E">
            <w:pPr>
              <w:rPr>
                <w:sz w:val="20"/>
                <w:szCs w:val="20"/>
              </w:rPr>
            </w:pPr>
            <w:r w:rsidRPr="00C93A58">
              <w:rPr>
                <w:sz w:val="20"/>
                <w:szCs w:val="20"/>
              </w:rPr>
              <w:t xml:space="preserve">Прочие доходы от компенсации затрат государства </w:t>
            </w:r>
          </w:p>
        </w:tc>
        <w:tc>
          <w:tcPr>
            <w:tcW w:w="1275" w:type="dxa"/>
            <w:noWrap/>
          </w:tcPr>
          <w:p w:rsidR="00F07E05" w:rsidRPr="0028619A" w:rsidRDefault="00F07E05" w:rsidP="008A253E">
            <w:pPr>
              <w:ind w:hanging="108"/>
              <w:jc w:val="center"/>
              <w:rPr>
                <w:sz w:val="20"/>
                <w:szCs w:val="20"/>
              </w:rPr>
            </w:pPr>
            <w:r>
              <w:rPr>
                <w:sz w:val="20"/>
                <w:szCs w:val="20"/>
              </w:rPr>
              <w:t>295,3</w:t>
            </w:r>
          </w:p>
        </w:tc>
        <w:tc>
          <w:tcPr>
            <w:tcW w:w="1276" w:type="dxa"/>
            <w:noWrap/>
          </w:tcPr>
          <w:p w:rsidR="00F07E05" w:rsidRPr="0028619A" w:rsidRDefault="00F07E05" w:rsidP="008A253E">
            <w:pPr>
              <w:ind w:left="-136" w:right="-108" w:hanging="28"/>
              <w:jc w:val="center"/>
              <w:rPr>
                <w:sz w:val="20"/>
                <w:szCs w:val="20"/>
              </w:rPr>
            </w:pPr>
            <w:r>
              <w:rPr>
                <w:sz w:val="20"/>
                <w:szCs w:val="20"/>
              </w:rPr>
              <w:t>205,5</w:t>
            </w:r>
          </w:p>
        </w:tc>
        <w:tc>
          <w:tcPr>
            <w:tcW w:w="1276" w:type="dxa"/>
            <w:noWrap/>
          </w:tcPr>
          <w:p w:rsidR="00F07E05" w:rsidRPr="0028619A" w:rsidRDefault="00F07E05" w:rsidP="008A253E">
            <w:pPr>
              <w:ind w:left="-108" w:hanging="108"/>
              <w:jc w:val="center"/>
              <w:rPr>
                <w:sz w:val="20"/>
                <w:szCs w:val="20"/>
              </w:rPr>
            </w:pPr>
            <w:r>
              <w:rPr>
                <w:sz w:val="20"/>
                <w:szCs w:val="20"/>
              </w:rPr>
              <w:t>213,1</w:t>
            </w:r>
          </w:p>
        </w:tc>
      </w:tr>
    </w:tbl>
    <w:p w:rsidR="00F07E05" w:rsidRDefault="00F07E05" w:rsidP="00F07E05">
      <w:pPr>
        <w:ind w:firstLine="709"/>
        <w:jc w:val="both"/>
        <w:rPr>
          <w:sz w:val="28"/>
          <w:szCs w:val="28"/>
        </w:rPr>
      </w:pPr>
      <w:r w:rsidRPr="00C93A58">
        <w:rPr>
          <w:sz w:val="28"/>
          <w:szCs w:val="28"/>
        </w:rPr>
        <w:t>В соответствии с Методикой прогнозирования утвержденной приказом от 15.05.2017 № 48-п</w:t>
      </w:r>
      <w:r>
        <w:rPr>
          <w:sz w:val="28"/>
          <w:szCs w:val="28"/>
        </w:rPr>
        <w:t xml:space="preserve"> (с изменениями и дополнениями) рассчитываются  методом усреднения </w:t>
      </w:r>
      <w:r w:rsidRPr="0031548D">
        <w:rPr>
          <w:sz w:val="28"/>
          <w:szCs w:val="28"/>
        </w:rPr>
        <w:t>Д</w:t>
      </w:r>
      <w:r w:rsidRPr="00DF1E24">
        <w:rPr>
          <w:sz w:val="28"/>
          <w:szCs w:val="28"/>
        </w:rPr>
        <w:t xml:space="preserve"> = </w:t>
      </w:r>
      <w:r w:rsidRPr="0031548D">
        <w:rPr>
          <w:sz w:val="28"/>
          <w:szCs w:val="28"/>
        </w:rPr>
        <w:t>∑</w:t>
      </w:r>
      <w:r w:rsidRPr="00DF1E24">
        <w:rPr>
          <w:sz w:val="28"/>
          <w:szCs w:val="28"/>
          <w:vertAlign w:val="superscript"/>
        </w:rPr>
        <w:t>3</w:t>
      </w:r>
      <w:r w:rsidRPr="0031548D">
        <w:rPr>
          <w:sz w:val="28"/>
          <w:szCs w:val="28"/>
          <w:vertAlign w:val="subscript"/>
          <w:lang w:val="en-US"/>
        </w:rPr>
        <w:t>t</w:t>
      </w:r>
      <w:r w:rsidRPr="00DF1E24">
        <w:rPr>
          <w:sz w:val="28"/>
          <w:szCs w:val="28"/>
          <w:vertAlign w:val="subscript"/>
        </w:rPr>
        <w:t>=1</w:t>
      </w:r>
      <w:r w:rsidRPr="0031548D">
        <w:rPr>
          <w:sz w:val="28"/>
          <w:szCs w:val="28"/>
        </w:rPr>
        <w:t>П/3</w:t>
      </w:r>
      <w:r w:rsidRPr="00DF1E24">
        <w:rPr>
          <w:sz w:val="28"/>
          <w:szCs w:val="28"/>
        </w:rPr>
        <w:t xml:space="preserve"> </w:t>
      </w:r>
      <w:r w:rsidRPr="0031548D">
        <w:rPr>
          <w:sz w:val="28"/>
          <w:szCs w:val="28"/>
        </w:rPr>
        <w:t>±</w:t>
      </w:r>
      <w:r w:rsidRPr="00DF1E24">
        <w:rPr>
          <w:sz w:val="28"/>
          <w:szCs w:val="28"/>
        </w:rPr>
        <w:t xml:space="preserve"> </w:t>
      </w:r>
      <w:r w:rsidRPr="0031548D">
        <w:rPr>
          <w:sz w:val="28"/>
          <w:szCs w:val="28"/>
          <w:lang w:val="en-US"/>
        </w:rPr>
        <w:t>R</w:t>
      </w:r>
      <w:r>
        <w:rPr>
          <w:sz w:val="28"/>
          <w:szCs w:val="28"/>
        </w:rPr>
        <w:t>,</w:t>
      </w:r>
    </w:p>
    <w:p w:rsidR="00F07E05" w:rsidRDefault="00F07E05" w:rsidP="00F07E05">
      <w:pPr>
        <w:ind w:firstLine="709"/>
        <w:jc w:val="both"/>
        <w:rPr>
          <w:sz w:val="28"/>
          <w:szCs w:val="28"/>
        </w:rPr>
      </w:pPr>
      <w:r>
        <w:rPr>
          <w:sz w:val="28"/>
          <w:szCs w:val="28"/>
        </w:rPr>
        <w:t>где:</w:t>
      </w:r>
    </w:p>
    <w:p w:rsidR="00F07E05" w:rsidRDefault="00F07E05" w:rsidP="00F07E05">
      <w:pPr>
        <w:ind w:firstLine="709"/>
        <w:jc w:val="both"/>
        <w:rPr>
          <w:sz w:val="28"/>
          <w:szCs w:val="28"/>
        </w:rPr>
      </w:pPr>
      <w:r w:rsidRPr="0031548D">
        <w:rPr>
          <w:sz w:val="28"/>
          <w:szCs w:val="28"/>
        </w:rPr>
        <w:t>∑</w:t>
      </w:r>
      <w:r w:rsidRPr="0031548D">
        <w:rPr>
          <w:sz w:val="28"/>
          <w:szCs w:val="28"/>
          <w:vertAlign w:val="superscript"/>
        </w:rPr>
        <w:t>3</w:t>
      </w:r>
      <w:r w:rsidRPr="0031548D">
        <w:rPr>
          <w:sz w:val="28"/>
          <w:szCs w:val="28"/>
          <w:vertAlign w:val="subscript"/>
          <w:lang w:val="en-US"/>
        </w:rPr>
        <w:t>t</w:t>
      </w:r>
      <w:r w:rsidRPr="0031548D">
        <w:rPr>
          <w:sz w:val="28"/>
          <w:szCs w:val="28"/>
          <w:vertAlign w:val="subscript"/>
        </w:rPr>
        <w:t>=1</w:t>
      </w:r>
      <w:r w:rsidRPr="0031548D">
        <w:rPr>
          <w:sz w:val="28"/>
          <w:szCs w:val="28"/>
        </w:rPr>
        <w:t xml:space="preserve">П – сумма поступлений по виду доходов за три года, предшествующих </w:t>
      </w:r>
      <w:r>
        <w:rPr>
          <w:sz w:val="28"/>
          <w:szCs w:val="28"/>
        </w:rPr>
        <w:t xml:space="preserve">прогнозируемому </w:t>
      </w:r>
      <w:r w:rsidRPr="0031548D">
        <w:rPr>
          <w:sz w:val="28"/>
          <w:szCs w:val="28"/>
        </w:rPr>
        <w:t xml:space="preserve">году (при формировании прогноза на очередной финансовый год используются фактические данные за два отчетных года и </w:t>
      </w:r>
      <w:r>
        <w:rPr>
          <w:sz w:val="28"/>
          <w:szCs w:val="28"/>
        </w:rPr>
        <w:t>прогнозные значения (оценка) на текущий финансовый год, при формировании прогноза на первый год планового периода используются фактические данные за один отчетный год и прогнозные значения текущего финансового года и очередного финансового года; прогноз на второй год планового периода принимается на уровне прогноза первого планового периода), тыс. руб.;</w:t>
      </w:r>
    </w:p>
    <w:p w:rsidR="00F07E05" w:rsidRDefault="00F07E05" w:rsidP="00F07E05">
      <w:pPr>
        <w:ind w:firstLine="708"/>
        <w:jc w:val="both"/>
        <w:rPr>
          <w:sz w:val="28"/>
          <w:szCs w:val="28"/>
        </w:rPr>
      </w:pPr>
      <w:r w:rsidRPr="0031548D">
        <w:rPr>
          <w:rStyle w:val="27"/>
          <w:rFonts w:eastAsia="Constantia"/>
          <w:lang w:val="en-US" w:eastAsia="en-US" w:bidi="en-US"/>
        </w:rPr>
        <w:t>R</w:t>
      </w:r>
      <w:r w:rsidRPr="0031548D">
        <w:rPr>
          <w:rStyle w:val="27"/>
          <w:rFonts w:eastAsia="Constantia"/>
          <w:lang w:eastAsia="en-US" w:bidi="en-US"/>
        </w:rPr>
        <w:t xml:space="preserve"> </w:t>
      </w:r>
      <w:r w:rsidRPr="0031548D">
        <w:rPr>
          <w:rStyle w:val="27"/>
          <w:rFonts w:eastAsia="Constantia"/>
        </w:rPr>
        <w:t>-</w:t>
      </w:r>
      <w:r w:rsidRPr="0031548D">
        <w:rPr>
          <w:sz w:val="28"/>
          <w:szCs w:val="28"/>
          <w:lang w:bidi="ru-RU"/>
        </w:rPr>
        <w:t xml:space="preserve"> корректирующая сумма поступлений, учитывающая отдельные </w:t>
      </w:r>
      <w:r w:rsidRPr="0031548D">
        <w:rPr>
          <w:color w:val="000000"/>
          <w:sz w:val="28"/>
          <w:szCs w:val="28"/>
          <w:lang w:bidi="ru-RU"/>
        </w:rPr>
        <w:t>решения Президента Российской Федерации, Правительства Российской Федерации, а также проекты нормативных правовых актов Президента Российской Федерации, Правительства Российской Федерации  и другие факторы, влияющие на объем прогнозируемых доходов</w:t>
      </w:r>
      <w:r>
        <w:rPr>
          <w:color w:val="000000"/>
          <w:lang w:bidi="ru-RU"/>
        </w:rPr>
        <w:t xml:space="preserve">, </w:t>
      </w:r>
      <w:r w:rsidRPr="00D26F33">
        <w:rPr>
          <w:color w:val="000000"/>
          <w:sz w:val="28"/>
          <w:szCs w:val="28"/>
          <w:lang w:bidi="ru-RU"/>
        </w:rPr>
        <w:t>тыс. руб.</w:t>
      </w:r>
      <w:r>
        <w:rPr>
          <w:sz w:val="28"/>
          <w:szCs w:val="28"/>
        </w:rPr>
        <w:tab/>
      </w:r>
    </w:p>
    <w:p w:rsidR="00F07E05" w:rsidRDefault="00F07E05" w:rsidP="00F07E05">
      <w:pPr>
        <w:ind w:firstLine="709"/>
        <w:rPr>
          <w:sz w:val="28"/>
          <w:szCs w:val="28"/>
        </w:rPr>
      </w:pPr>
      <w:r>
        <w:rPr>
          <w:sz w:val="28"/>
          <w:szCs w:val="28"/>
        </w:rPr>
        <w:t xml:space="preserve"> 2019  год факт – 564,7 тыс. руб</w:t>
      </w:r>
    </w:p>
    <w:p w:rsidR="00F07E05" w:rsidRDefault="00F07E05" w:rsidP="00F07E05">
      <w:pPr>
        <w:ind w:firstLine="709"/>
        <w:rPr>
          <w:sz w:val="28"/>
          <w:szCs w:val="28"/>
        </w:rPr>
      </w:pPr>
      <w:r>
        <w:rPr>
          <w:sz w:val="28"/>
          <w:szCs w:val="28"/>
        </w:rPr>
        <w:t>2020 год факт – 182,5 тыс. руб.</w:t>
      </w:r>
    </w:p>
    <w:p w:rsidR="00F07E05" w:rsidRPr="000B4ABF" w:rsidRDefault="00F07E05" w:rsidP="00F07E05">
      <w:pPr>
        <w:ind w:firstLine="709"/>
        <w:rPr>
          <w:b/>
          <w:sz w:val="28"/>
          <w:szCs w:val="28"/>
        </w:rPr>
      </w:pPr>
      <w:r>
        <w:rPr>
          <w:sz w:val="28"/>
          <w:szCs w:val="28"/>
        </w:rPr>
        <w:t>2021 год оценка – 138,6 тыс. руб.</w:t>
      </w:r>
    </w:p>
    <w:p w:rsidR="00F07E05" w:rsidRDefault="00F07E05" w:rsidP="00F07E05">
      <w:pPr>
        <w:ind w:firstLine="709"/>
        <w:jc w:val="both"/>
        <w:rPr>
          <w:sz w:val="28"/>
          <w:szCs w:val="28"/>
        </w:rPr>
      </w:pPr>
      <w:r>
        <w:rPr>
          <w:sz w:val="28"/>
          <w:szCs w:val="28"/>
        </w:rPr>
        <w:t xml:space="preserve"> </w:t>
      </w:r>
      <w:r w:rsidRPr="000B4ABF">
        <w:rPr>
          <w:b/>
          <w:sz w:val="28"/>
          <w:szCs w:val="28"/>
        </w:rPr>
        <w:t>Прогноз 202</w:t>
      </w:r>
      <w:r>
        <w:rPr>
          <w:b/>
          <w:sz w:val="28"/>
          <w:szCs w:val="28"/>
        </w:rPr>
        <w:t>2</w:t>
      </w:r>
      <w:r w:rsidRPr="000B4ABF">
        <w:rPr>
          <w:b/>
          <w:sz w:val="28"/>
          <w:szCs w:val="28"/>
        </w:rPr>
        <w:t xml:space="preserve"> год – </w:t>
      </w:r>
      <w:r>
        <w:rPr>
          <w:b/>
          <w:sz w:val="28"/>
          <w:szCs w:val="28"/>
        </w:rPr>
        <w:t>295,3</w:t>
      </w:r>
      <w:r w:rsidRPr="000B4ABF">
        <w:rPr>
          <w:b/>
          <w:sz w:val="28"/>
          <w:szCs w:val="28"/>
        </w:rPr>
        <w:t xml:space="preserve"> тыс. руб.</w:t>
      </w:r>
      <w:r>
        <w:rPr>
          <w:sz w:val="28"/>
          <w:szCs w:val="28"/>
        </w:rPr>
        <w:t xml:space="preserve"> (564,7 тыс. руб. + 182,5 тыс. руб. + 138,6 тыс. руб.)/3= 295,3 тыс. руб.</w:t>
      </w:r>
    </w:p>
    <w:p w:rsidR="00F07E05" w:rsidRDefault="00F07E05" w:rsidP="00F07E05">
      <w:pPr>
        <w:ind w:firstLine="709"/>
        <w:jc w:val="both"/>
        <w:rPr>
          <w:sz w:val="28"/>
          <w:szCs w:val="28"/>
        </w:rPr>
      </w:pPr>
      <w:r w:rsidRPr="000B4ABF">
        <w:rPr>
          <w:b/>
          <w:sz w:val="28"/>
          <w:szCs w:val="28"/>
        </w:rPr>
        <w:t>Прогноз 202</w:t>
      </w:r>
      <w:r>
        <w:rPr>
          <w:b/>
          <w:sz w:val="28"/>
          <w:szCs w:val="28"/>
        </w:rPr>
        <w:t>3</w:t>
      </w:r>
      <w:r w:rsidRPr="000B4ABF">
        <w:rPr>
          <w:b/>
          <w:sz w:val="28"/>
          <w:szCs w:val="28"/>
        </w:rPr>
        <w:t xml:space="preserve"> год – </w:t>
      </w:r>
      <w:r>
        <w:rPr>
          <w:b/>
          <w:sz w:val="28"/>
          <w:szCs w:val="28"/>
        </w:rPr>
        <w:t>205,5</w:t>
      </w:r>
      <w:r w:rsidRPr="000B4ABF">
        <w:rPr>
          <w:b/>
          <w:sz w:val="28"/>
          <w:szCs w:val="28"/>
        </w:rPr>
        <w:t xml:space="preserve"> тыс. руб</w:t>
      </w:r>
      <w:r>
        <w:rPr>
          <w:sz w:val="28"/>
          <w:szCs w:val="28"/>
        </w:rPr>
        <w:t>. (182,5 тыс. руб+138,6 тыс. руб. + 295,3 тыс. руб.)/3=205,5 тыс. руб.</w:t>
      </w:r>
    </w:p>
    <w:p w:rsidR="00F07E05" w:rsidRDefault="00F07E05" w:rsidP="00F07E05">
      <w:pPr>
        <w:ind w:firstLine="709"/>
        <w:jc w:val="both"/>
        <w:rPr>
          <w:sz w:val="28"/>
          <w:szCs w:val="28"/>
        </w:rPr>
      </w:pPr>
      <w:r w:rsidRPr="005524D8">
        <w:rPr>
          <w:b/>
          <w:sz w:val="28"/>
          <w:szCs w:val="28"/>
        </w:rPr>
        <w:t>Прогноз 2024 год</w:t>
      </w:r>
      <w:r>
        <w:rPr>
          <w:sz w:val="28"/>
          <w:szCs w:val="28"/>
        </w:rPr>
        <w:t xml:space="preserve"> – </w:t>
      </w:r>
      <w:r w:rsidRPr="005524D8">
        <w:rPr>
          <w:b/>
          <w:sz w:val="28"/>
          <w:szCs w:val="28"/>
        </w:rPr>
        <w:t>213,1 тыс. руб.</w:t>
      </w:r>
      <w:r>
        <w:rPr>
          <w:sz w:val="28"/>
          <w:szCs w:val="28"/>
        </w:rPr>
        <w:t xml:space="preserve"> (138,6 тыс. руб.+295,3 тыс. руб.+205,5 тыс. руб.)/3=213,1 тыс. руб.</w:t>
      </w:r>
    </w:p>
    <w:p w:rsidR="00F07E05" w:rsidRDefault="00F07E05" w:rsidP="00F07E05">
      <w:pPr>
        <w:pStyle w:val="21"/>
        <w:jc w:val="center"/>
        <w:rPr>
          <w:b/>
        </w:rPr>
      </w:pPr>
    </w:p>
    <w:p w:rsidR="00F07E05" w:rsidRDefault="00F07E05" w:rsidP="00F07E05">
      <w:pPr>
        <w:pStyle w:val="21"/>
        <w:jc w:val="center"/>
        <w:rPr>
          <w:b/>
        </w:rPr>
      </w:pPr>
    </w:p>
    <w:p w:rsidR="00F07E05" w:rsidRDefault="00F07E05" w:rsidP="00F07E05">
      <w:pPr>
        <w:pStyle w:val="21"/>
        <w:jc w:val="center"/>
        <w:rPr>
          <w:b/>
        </w:rPr>
      </w:pPr>
    </w:p>
    <w:p w:rsidR="00F07E05" w:rsidRDefault="00F07E05" w:rsidP="00F07E05">
      <w:pPr>
        <w:pStyle w:val="21"/>
        <w:jc w:val="center"/>
        <w:rPr>
          <w:b/>
        </w:rPr>
      </w:pPr>
    </w:p>
    <w:p w:rsidR="00AA55E8" w:rsidRDefault="00AA55E8" w:rsidP="00F07E05">
      <w:pPr>
        <w:pStyle w:val="21"/>
        <w:jc w:val="center"/>
        <w:rPr>
          <w:b/>
        </w:rPr>
      </w:pPr>
    </w:p>
    <w:p w:rsidR="00AA55E8" w:rsidRDefault="00AA55E8" w:rsidP="00F07E05">
      <w:pPr>
        <w:pStyle w:val="21"/>
        <w:jc w:val="center"/>
        <w:rPr>
          <w:b/>
        </w:rPr>
      </w:pPr>
    </w:p>
    <w:p w:rsidR="00AA55E8" w:rsidRDefault="00AA55E8" w:rsidP="00F07E05">
      <w:pPr>
        <w:pStyle w:val="21"/>
        <w:jc w:val="center"/>
        <w:rPr>
          <w:b/>
        </w:rPr>
      </w:pPr>
    </w:p>
    <w:p w:rsidR="00F07E05" w:rsidRDefault="00F07E05" w:rsidP="00F07E05">
      <w:pPr>
        <w:pStyle w:val="21"/>
        <w:jc w:val="center"/>
        <w:rPr>
          <w:b/>
        </w:rPr>
      </w:pPr>
    </w:p>
    <w:p w:rsidR="00F07E05" w:rsidRDefault="00F07E05" w:rsidP="00F07E05">
      <w:pPr>
        <w:pStyle w:val="21"/>
        <w:jc w:val="center"/>
        <w:rPr>
          <w:b/>
        </w:rPr>
      </w:pPr>
    </w:p>
    <w:p w:rsidR="00F07E05" w:rsidRPr="00927333" w:rsidRDefault="00F07E05" w:rsidP="00F07E05">
      <w:pPr>
        <w:pStyle w:val="21"/>
        <w:jc w:val="center"/>
        <w:rPr>
          <w:b/>
        </w:rPr>
      </w:pPr>
      <w:r w:rsidRPr="00927333">
        <w:rPr>
          <w:b/>
        </w:rPr>
        <w:lastRenderedPageBreak/>
        <w:t>Министерство Тверской области по обеспечению контрольных функций</w:t>
      </w:r>
    </w:p>
    <w:p w:rsidR="00F07E05" w:rsidRPr="00C93A58" w:rsidRDefault="00F07E05" w:rsidP="00F07E05">
      <w:pPr>
        <w:pStyle w:val="21"/>
      </w:pPr>
    </w:p>
    <w:p w:rsidR="00F07E05" w:rsidRPr="00C93A58" w:rsidRDefault="00F07E05" w:rsidP="00F07E05">
      <w:pPr>
        <w:pStyle w:val="a7"/>
        <w:ind w:left="0" w:firstLine="360"/>
        <w:jc w:val="right"/>
      </w:pPr>
      <w:r w:rsidRPr="00C93A58">
        <w:rPr>
          <w:sz w:val="28"/>
          <w:szCs w:val="28"/>
        </w:rPr>
        <w:t>тыс.</w:t>
      </w:r>
      <w:r>
        <w:rPr>
          <w:sz w:val="28"/>
          <w:szCs w:val="28"/>
        </w:rPr>
        <w:t xml:space="preserve"> </w:t>
      </w:r>
      <w:r w:rsidRPr="00C93A58">
        <w:rPr>
          <w:sz w:val="28"/>
          <w:szCs w:val="28"/>
        </w:rPr>
        <w:t>руб</w:t>
      </w:r>
      <w:r w:rsidRPr="00C93A58">
        <w: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1368"/>
        <w:gridCol w:w="1440"/>
        <w:gridCol w:w="1620"/>
      </w:tblGrid>
      <w:tr w:rsidR="00F07E05" w:rsidRPr="00C93A58" w:rsidTr="008A253E">
        <w:trPr>
          <w:trHeight w:val="510"/>
        </w:trPr>
        <w:tc>
          <w:tcPr>
            <w:tcW w:w="2520" w:type="dxa"/>
            <w:noWrap/>
          </w:tcPr>
          <w:p w:rsidR="00F07E05" w:rsidRPr="00C93A58" w:rsidRDefault="00F07E05" w:rsidP="008A253E">
            <w:pPr>
              <w:rPr>
                <w:b/>
                <w:sz w:val="20"/>
                <w:szCs w:val="20"/>
              </w:rPr>
            </w:pPr>
            <w:r w:rsidRPr="00C93A58">
              <w:rPr>
                <w:b/>
                <w:sz w:val="20"/>
                <w:szCs w:val="20"/>
              </w:rPr>
              <w:t>Код БК</w:t>
            </w:r>
          </w:p>
        </w:tc>
        <w:tc>
          <w:tcPr>
            <w:tcW w:w="2520" w:type="dxa"/>
            <w:noWrap/>
          </w:tcPr>
          <w:p w:rsidR="00F07E05" w:rsidRPr="00C93A58" w:rsidRDefault="00F07E05" w:rsidP="008A253E">
            <w:pPr>
              <w:rPr>
                <w:b/>
                <w:sz w:val="20"/>
                <w:szCs w:val="20"/>
              </w:rPr>
            </w:pPr>
            <w:r w:rsidRPr="00C93A58">
              <w:rPr>
                <w:b/>
                <w:sz w:val="20"/>
                <w:szCs w:val="20"/>
              </w:rPr>
              <w:t>Наименование</w:t>
            </w:r>
          </w:p>
        </w:tc>
        <w:tc>
          <w:tcPr>
            <w:tcW w:w="1368" w:type="dxa"/>
          </w:tcPr>
          <w:p w:rsidR="00F07E05" w:rsidRPr="00C93A58" w:rsidRDefault="00F07E05" w:rsidP="008A253E">
            <w:pPr>
              <w:jc w:val="center"/>
              <w:rPr>
                <w:b/>
                <w:sz w:val="20"/>
                <w:szCs w:val="20"/>
              </w:rPr>
            </w:pPr>
            <w:r w:rsidRPr="00C93A58">
              <w:rPr>
                <w:b/>
                <w:sz w:val="20"/>
                <w:szCs w:val="20"/>
              </w:rPr>
              <w:t>Прогноз на</w:t>
            </w:r>
          </w:p>
          <w:p w:rsidR="00F07E05" w:rsidRPr="00C93A58" w:rsidRDefault="00F07E05" w:rsidP="008A253E">
            <w:pPr>
              <w:jc w:val="center"/>
              <w:rPr>
                <w:b/>
                <w:sz w:val="20"/>
                <w:szCs w:val="20"/>
              </w:rPr>
            </w:pPr>
            <w:r w:rsidRPr="00C93A58">
              <w:rPr>
                <w:b/>
                <w:sz w:val="20"/>
                <w:szCs w:val="20"/>
              </w:rPr>
              <w:t>20</w:t>
            </w:r>
            <w:r>
              <w:rPr>
                <w:b/>
                <w:sz w:val="20"/>
                <w:szCs w:val="20"/>
              </w:rPr>
              <w:t xml:space="preserve">22 </w:t>
            </w:r>
            <w:r w:rsidRPr="00C93A58">
              <w:rPr>
                <w:b/>
                <w:sz w:val="20"/>
                <w:szCs w:val="20"/>
              </w:rPr>
              <w:t xml:space="preserve">год </w:t>
            </w:r>
          </w:p>
          <w:p w:rsidR="00F07E05" w:rsidRPr="00C93A58" w:rsidRDefault="00F07E05" w:rsidP="008A253E">
            <w:pPr>
              <w:jc w:val="center"/>
              <w:rPr>
                <w:b/>
                <w:sz w:val="20"/>
                <w:szCs w:val="20"/>
              </w:rPr>
            </w:pPr>
          </w:p>
        </w:tc>
        <w:tc>
          <w:tcPr>
            <w:tcW w:w="1440" w:type="dxa"/>
          </w:tcPr>
          <w:p w:rsidR="00F07E05" w:rsidRPr="00C93A58" w:rsidRDefault="00F07E05" w:rsidP="008A253E">
            <w:pPr>
              <w:jc w:val="center"/>
              <w:rPr>
                <w:b/>
                <w:sz w:val="20"/>
                <w:szCs w:val="20"/>
              </w:rPr>
            </w:pPr>
            <w:r w:rsidRPr="00C93A58">
              <w:rPr>
                <w:b/>
                <w:sz w:val="20"/>
                <w:szCs w:val="20"/>
              </w:rPr>
              <w:t>Прогноз на</w:t>
            </w:r>
          </w:p>
          <w:p w:rsidR="00F07E05" w:rsidRPr="00C93A58" w:rsidRDefault="00F07E05" w:rsidP="008A253E">
            <w:pPr>
              <w:jc w:val="center"/>
              <w:rPr>
                <w:b/>
                <w:sz w:val="20"/>
                <w:szCs w:val="20"/>
              </w:rPr>
            </w:pPr>
            <w:r w:rsidRPr="00C93A58">
              <w:rPr>
                <w:b/>
                <w:sz w:val="20"/>
                <w:szCs w:val="20"/>
              </w:rPr>
              <w:t>20</w:t>
            </w:r>
            <w:r>
              <w:rPr>
                <w:b/>
                <w:sz w:val="20"/>
                <w:szCs w:val="20"/>
              </w:rPr>
              <w:t>23</w:t>
            </w:r>
            <w:r w:rsidRPr="00C93A58">
              <w:rPr>
                <w:b/>
                <w:sz w:val="20"/>
                <w:szCs w:val="20"/>
              </w:rPr>
              <w:t xml:space="preserve"> год</w:t>
            </w:r>
          </w:p>
          <w:p w:rsidR="00F07E05" w:rsidRPr="00C93A58" w:rsidRDefault="00F07E05" w:rsidP="008A253E">
            <w:pPr>
              <w:jc w:val="center"/>
              <w:rPr>
                <w:b/>
                <w:sz w:val="20"/>
                <w:szCs w:val="20"/>
              </w:rPr>
            </w:pPr>
          </w:p>
        </w:tc>
        <w:tc>
          <w:tcPr>
            <w:tcW w:w="1620" w:type="dxa"/>
          </w:tcPr>
          <w:p w:rsidR="00F07E05" w:rsidRPr="00C93A58" w:rsidRDefault="00F07E05" w:rsidP="008A253E">
            <w:pPr>
              <w:jc w:val="center"/>
              <w:rPr>
                <w:b/>
                <w:sz w:val="20"/>
                <w:szCs w:val="20"/>
              </w:rPr>
            </w:pPr>
            <w:r w:rsidRPr="00C93A58">
              <w:rPr>
                <w:b/>
                <w:sz w:val="20"/>
                <w:szCs w:val="20"/>
              </w:rPr>
              <w:t>Прогноз на</w:t>
            </w:r>
          </w:p>
          <w:p w:rsidR="00F07E05" w:rsidRPr="00C93A58" w:rsidRDefault="00F07E05" w:rsidP="008A253E">
            <w:pPr>
              <w:jc w:val="center"/>
              <w:rPr>
                <w:b/>
                <w:sz w:val="20"/>
                <w:szCs w:val="20"/>
              </w:rPr>
            </w:pPr>
            <w:r w:rsidRPr="00C93A58">
              <w:rPr>
                <w:b/>
                <w:sz w:val="20"/>
                <w:szCs w:val="20"/>
              </w:rPr>
              <w:t>202</w:t>
            </w:r>
            <w:r>
              <w:rPr>
                <w:b/>
                <w:sz w:val="20"/>
                <w:szCs w:val="20"/>
              </w:rPr>
              <w:t xml:space="preserve">4 </w:t>
            </w:r>
            <w:r w:rsidRPr="00C93A58">
              <w:rPr>
                <w:b/>
                <w:sz w:val="20"/>
                <w:szCs w:val="20"/>
              </w:rPr>
              <w:t>год</w:t>
            </w:r>
          </w:p>
          <w:p w:rsidR="00F07E05" w:rsidRPr="00C93A58" w:rsidRDefault="00F07E05" w:rsidP="008A253E">
            <w:pPr>
              <w:jc w:val="center"/>
              <w:rPr>
                <w:b/>
                <w:sz w:val="20"/>
                <w:szCs w:val="20"/>
              </w:rPr>
            </w:pPr>
          </w:p>
          <w:p w:rsidR="00F07E05" w:rsidRPr="00C93A58" w:rsidRDefault="00F07E05" w:rsidP="008A253E">
            <w:pPr>
              <w:jc w:val="center"/>
              <w:rPr>
                <w:b/>
                <w:sz w:val="20"/>
                <w:szCs w:val="20"/>
              </w:rPr>
            </w:pPr>
          </w:p>
        </w:tc>
      </w:tr>
      <w:tr w:rsidR="00F07E05" w:rsidRPr="00C93A58" w:rsidTr="008A253E">
        <w:trPr>
          <w:trHeight w:val="1275"/>
        </w:trPr>
        <w:tc>
          <w:tcPr>
            <w:tcW w:w="2520" w:type="dxa"/>
            <w:noWrap/>
          </w:tcPr>
          <w:p w:rsidR="00F07E05" w:rsidRPr="00C93A58" w:rsidRDefault="00F07E05" w:rsidP="008A253E">
            <w:pPr>
              <w:jc w:val="center"/>
              <w:rPr>
                <w:b/>
                <w:sz w:val="16"/>
                <w:szCs w:val="16"/>
              </w:rPr>
            </w:pPr>
          </w:p>
          <w:p w:rsidR="00F07E05" w:rsidRPr="00C93A58" w:rsidRDefault="00F07E05" w:rsidP="008A253E">
            <w:pPr>
              <w:jc w:val="center"/>
              <w:rPr>
                <w:b/>
                <w:sz w:val="16"/>
                <w:szCs w:val="16"/>
              </w:rPr>
            </w:pPr>
          </w:p>
          <w:p w:rsidR="00F07E05" w:rsidRPr="00C93A58" w:rsidRDefault="00F07E05" w:rsidP="008A253E">
            <w:pPr>
              <w:jc w:val="center"/>
              <w:rPr>
                <w:b/>
                <w:sz w:val="16"/>
                <w:szCs w:val="16"/>
              </w:rPr>
            </w:pPr>
            <w:r w:rsidRPr="00C93A58">
              <w:rPr>
                <w:b/>
                <w:sz w:val="16"/>
                <w:szCs w:val="16"/>
              </w:rPr>
              <w:t>000</w:t>
            </w:r>
            <w:r w:rsidRPr="00C93A58">
              <w:rPr>
                <w:b/>
                <w:sz w:val="16"/>
                <w:szCs w:val="16"/>
                <w:lang w:val="en-US"/>
              </w:rPr>
              <w:t xml:space="preserve"> 1 13 0</w:t>
            </w:r>
            <w:r w:rsidRPr="00C93A58">
              <w:rPr>
                <w:b/>
                <w:sz w:val="16"/>
                <w:szCs w:val="16"/>
              </w:rPr>
              <w:t>2990</w:t>
            </w:r>
            <w:r w:rsidRPr="00C93A58">
              <w:rPr>
                <w:b/>
                <w:sz w:val="16"/>
                <w:szCs w:val="16"/>
                <w:lang w:val="en-US"/>
              </w:rPr>
              <w:t xml:space="preserve"> 0</w:t>
            </w:r>
            <w:r w:rsidRPr="00C93A58">
              <w:rPr>
                <w:b/>
                <w:sz w:val="16"/>
                <w:szCs w:val="16"/>
              </w:rPr>
              <w:t>0</w:t>
            </w:r>
            <w:r w:rsidRPr="00C93A58">
              <w:rPr>
                <w:b/>
                <w:sz w:val="16"/>
                <w:szCs w:val="16"/>
                <w:lang w:val="en-US"/>
              </w:rPr>
              <w:t xml:space="preserve"> 0</w:t>
            </w:r>
            <w:r w:rsidRPr="00C93A58">
              <w:rPr>
                <w:b/>
                <w:sz w:val="16"/>
                <w:szCs w:val="16"/>
              </w:rPr>
              <w:t>000 130</w:t>
            </w:r>
          </w:p>
        </w:tc>
        <w:tc>
          <w:tcPr>
            <w:tcW w:w="2520" w:type="dxa"/>
          </w:tcPr>
          <w:p w:rsidR="00F07E05" w:rsidRPr="00C93A58" w:rsidRDefault="00F07E05" w:rsidP="008A253E">
            <w:pPr>
              <w:rPr>
                <w:sz w:val="20"/>
                <w:szCs w:val="20"/>
              </w:rPr>
            </w:pPr>
          </w:p>
          <w:p w:rsidR="00F07E05" w:rsidRPr="00C93A58" w:rsidRDefault="00F07E05" w:rsidP="008A253E">
            <w:pPr>
              <w:rPr>
                <w:sz w:val="20"/>
                <w:szCs w:val="20"/>
              </w:rPr>
            </w:pPr>
            <w:r w:rsidRPr="00C93A58">
              <w:rPr>
                <w:sz w:val="20"/>
                <w:szCs w:val="20"/>
              </w:rPr>
              <w:t xml:space="preserve">Прочие доходы от компенсации затрат государства </w:t>
            </w:r>
          </w:p>
        </w:tc>
        <w:tc>
          <w:tcPr>
            <w:tcW w:w="1368" w:type="dxa"/>
            <w:noWrap/>
          </w:tcPr>
          <w:p w:rsidR="00F07E05" w:rsidRDefault="00F07E05" w:rsidP="008A253E">
            <w:pPr>
              <w:ind w:hanging="108"/>
              <w:jc w:val="center"/>
              <w:rPr>
                <w:sz w:val="20"/>
                <w:szCs w:val="20"/>
              </w:rPr>
            </w:pPr>
          </w:p>
          <w:p w:rsidR="00F07E05" w:rsidRPr="00C93A58" w:rsidRDefault="00F07E05" w:rsidP="008A253E">
            <w:pPr>
              <w:ind w:hanging="108"/>
              <w:jc w:val="center"/>
              <w:rPr>
                <w:sz w:val="20"/>
                <w:szCs w:val="20"/>
              </w:rPr>
            </w:pPr>
            <w:r>
              <w:rPr>
                <w:sz w:val="20"/>
                <w:szCs w:val="20"/>
              </w:rPr>
              <w:t>381,6</w:t>
            </w:r>
          </w:p>
        </w:tc>
        <w:tc>
          <w:tcPr>
            <w:tcW w:w="1440" w:type="dxa"/>
            <w:noWrap/>
          </w:tcPr>
          <w:p w:rsidR="00F07E05" w:rsidRDefault="00F07E05" w:rsidP="008A253E">
            <w:pPr>
              <w:ind w:left="-136" w:right="-108" w:hanging="28"/>
              <w:jc w:val="center"/>
              <w:rPr>
                <w:sz w:val="20"/>
                <w:szCs w:val="20"/>
              </w:rPr>
            </w:pPr>
          </w:p>
          <w:p w:rsidR="00F07E05" w:rsidRPr="00C93A58" w:rsidRDefault="00F07E05" w:rsidP="008A253E">
            <w:pPr>
              <w:ind w:left="-136" w:right="-108" w:hanging="28"/>
              <w:jc w:val="center"/>
              <w:rPr>
                <w:sz w:val="20"/>
                <w:szCs w:val="20"/>
              </w:rPr>
            </w:pPr>
            <w:r>
              <w:rPr>
                <w:sz w:val="20"/>
                <w:szCs w:val="20"/>
              </w:rPr>
              <w:t>377,5</w:t>
            </w:r>
          </w:p>
        </w:tc>
        <w:tc>
          <w:tcPr>
            <w:tcW w:w="1620" w:type="dxa"/>
            <w:noWrap/>
          </w:tcPr>
          <w:p w:rsidR="00F07E05" w:rsidRDefault="00F07E05" w:rsidP="008A253E">
            <w:pPr>
              <w:ind w:left="-108" w:right="-3" w:hanging="108"/>
              <w:jc w:val="center"/>
              <w:rPr>
                <w:sz w:val="20"/>
                <w:szCs w:val="20"/>
              </w:rPr>
            </w:pPr>
          </w:p>
          <w:p w:rsidR="00F07E05" w:rsidRPr="00C93A58" w:rsidRDefault="00F07E05" w:rsidP="008A253E">
            <w:pPr>
              <w:ind w:left="-108" w:right="-3" w:hanging="108"/>
              <w:jc w:val="center"/>
              <w:rPr>
                <w:sz w:val="20"/>
                <w:szCs w:val="20"/>
              </w:rPr>
            </w:pPr>
            <w:r>
              <w:rPr>
                <w:sz w:val="20"/>
                <w:szCs w:val="20"/>
              </w:rPr>
              <w:t>415,0</w:t>
            </w:r>
          </w:p>
        </w:tc>
      </w:tr>
    </w:tbl>
    <w:p w:rsidR="00F07E05" w:rsidRPr="00C93A58" w:rsidRDefault="00F07E05" w:rsidP="00F07E05">
      <w:pPr>
        <w:ind w:firstLine="720"/>
        <w:jc w:val="both"/>
        <w:rPr>
          <w:b/>
          <w:sz w:val="28"/>
          <w:szCs w:val="28"/>
        </w:rPr>
      </w:pPr>
    </w:p>
    <w:p w:rsidR="00F07E05" w:rsidRDefault="00F07E05" w:rsidP="00F07E05">
      <w:pPr>
        <w:autoSpaceDE w:val="0"/>
        <w:autoSpaceDN w:val="0"/>
        <w:adjustRightInd w:val="0"/>
        <w:ind w:firstLine="900"/>
        <w:jc w:val="both"/>
        <w:rPr>
          <w:sz w:val="28"/>
          <w:szCs w:val="28"/>
        </w:rPr>
      </w:pPr>
      <w:r w:rsidRPr="00C93A58">
        <w:rPr>
          <w:sz w:val="28"/>
          <w:szCs w:val="28"/>
        </w:rPr>
        <w:t>В соответствии с Методикой прогнозирования утвержденной приказом Министерства Тверской области по обеспечению контроль</w:t>
      </w:r>
      <w:r>
        <w:rPr>
          <w:sz w:val="28"/>
          <w:szCs w:val="28"/>
        </w:rPr>
        <w:t>ных функций от 18.06.2020 № 714 «</w:t>
      </w:r>
      <w:r w:rsidRPr="00C93A58">
        <w:rPr>
          <w:sz w:val="28"/>
          <w:szCs w:val="28"/>
        </w:rPr>
        <w:t>Об утверждении методики прогнозирования поступлений доходов в областной бюджет Тверской области и местные бюджеты муниципальных образований Тверской области»</w:t>
      </w:r>
      <w:r>
        <w:rPr>
          <w:sz w:val="28"/>
          <w:szCs w:val="28"/>
        </w:rPr>
        <w:t xml:space="preserve"> (с изменениями и дополнениями)</w:t>
      </w:r>
      <w:r w:rsidRPr="00C93A58">
        <w:rPr>
          <w:sz w:val="28"/>
          <w:szCs w:val="28"/>
        </w:rPr>
        <w:t xml:space="preserve"> при прогнозировании поступлений в областной бюджет прочих доходов от компенсации затрат бюджетов субъектов Российской Федерации используется метод усреднения. </w:t>
      </w:r>
    </w:p>
    <w:p w:rsidR="00F07E05" w:rsidRDefault="00F07E05" w:rsidP="00F07E05">
      <w:pPr>
        <w:autoSpaceDE w:val="0"/>
        <w:autoSpaceDN w:val="0"/>
        <w:adjustRightInd w:val="0"/>
        <w:ind w:firstLine="900"/>
        <w:jc w:val="both"/>
        <w:rPr>
          <w:sz w:val="28"/>
          <w:szCs w:val="28"/>
        </w:rPr>
      </w:pPr>
      <w:r>
        <w:rPr>
          <w:sz w:val="28"/>
          <w:szCs w:val="28"/>
        </w:rPr>
        <w:t>2019 год факт – 394,0 тыс. руб.</w:t>
      </w:r>
    </w:p>
    <w:p w:rsidR="00F07E05" w:rsidRDefault="00F07E05" w:rsidP="00F07E05">
      <w:pPr>
        <w:autoSpaceDE w:val="0"/>
        <w:autoSpaceDN w:val="0"/>
        <w:adjustRightInd w:val="0"/>
        <w:ind w:firstLine="900"/>
        <w:jc w:val="both"/>
        <w:rPr>
          <w:sz w:val="28"/>
          <w:szCs w:val="28"/>
        </w:rPr>
      </w:pPr>
      <w:r>
        <w:rPr>
          <w:sz w:val="28"/>
          <w:szCs w:val="28"/>
        </w:rPr>
        <w:t>2020 год факт – 264,8 тыс. руб.</w:t>
      </w:r>
    </w:p>
    <w:p w:rsidR="00F07E05" w:rsidRPr="00C93A58" w:rsidRDefault="00F07E05" w:rsidP="00F07E05">
      <w:pPr>
        <w:autoSpaceDE w:val="0"/>
        <w:autoSpaceDN w:val="0"/>
        <w:adjustRightInd w:val="0"/>
        <w:ind w:firstLine="900"/>
        <w:jc w:val="both"/>
        <w:rPr>
          <w:sz w:val="28"/>
          <w:szCs w:val="28"/>
        </w:rPr>
      </w:pPr>
      <w:r>
        <w:rPr>
          <w:sz w:val="28"/>
          <w:szCs w:val="28"/>
        </w:rPr>
        <w:t>2021 год (оценка) – 486,1 тыс. руб.</w:t>
      </w:r>
    </w:p>
    <w:p w:rsidR="00F07E05" w:rsidRDefault="00F07E05" w:rsidP="00F07E05">
      <w:pPr>
        <w:pStyle w:val="pj"/>
        <w:shd w:val="clear" w:color="auto" w:fill="FFFFFF"/>
        <w:spacing w:before="0" w:beforeAutospacing="0" w:after="0" w:afterAutospacing="0"/>
        <w:ind w:firstLine="720"/>
        <w:jc w:val="both"/>
        <w:textAlignment w:val="baseline"/>
        <w:rPr>
          <w:sz w:val="28"/>
          <w:szCs w:val="28"/>
        </w:rPr>
      </w:pPr>
      <w:r w:rsidRPr="00C93A58">
        <w:rPr>
          <w:b/>
          <w:sz w:val="28"/>
          <w:szCs w:val="28"/>
        </w:rPr>
        <w:t>Прогноз</w:t>
      </w:r>
      <w:r>
        <w:rPr>
          <w:b/>
          <w:sz w:val="28"/>
          <w:szCs w:val="28"/>
        </w:rPr>
        <w:t xml:space="preserve"> 2022 год – 381,6 тыс. руб</w:t>
      </w:r>
      <w:r w:rsidRPr="00740F79">
        <w:rPr>
          <w:sz w:val="28"/>
          <w:szCs w:val="28"/>
        </w:rPr>
        <w:t>. (</w:t>
      </w:r>
      <w:r>
        <w:rPr>
          <w:sz w:val="28"/>
          <w:szCs w:val="28"/>
        </w:rPr>
        <w:t>394 +264,8+486,1</w:t>
      </w:r>
      <w:r w:rsidRPr="00740F79">
        <w:rPr>
          <w:sz w:val="28"/>
          <w:szCs w:val="28"/>
        </w:rPr>
        <w:t xml:space="preserve">)/3= </w:t>
      </w:r>
      <w:r>
        <w:rPr>
          <w:sz w:val="28"/>
          <w:szCs w:val="28"/>
        </w:rPr>
        <w:t>381,6</w:t>
      </w:r>
      <w:r w:rsidRPr="00740F79">
        <w:rPr>
          <w:sz w:val="28"/>
          <w:szCs w:val="28"/>
        </w:rPr>
        <w:t xml:space="preserve"> тыс. руб.</w:t>
      </w:r>
      <w:r w:rsidRPr="00C93A58">
        <w:rPr>
          <w:sz w:val="28"/>
          <w:szCs w:val="28"/>
        </w:rPr>
        <w:t xml:space="preserve"> </w:t>
      </w:r>
    </w:p>
    <w:p w:rsidR="00F07E05" w:rsidRPr="00C93A58" w:rsidRDefault="00F07E05" w:rsidP="00F07E05">
      <w:pPr>
        <w:pStyle w:val="pj"/>
        <w:shd w:val="clear" w:color="auto" w:fill="FFFFFF"/>
        <w:spacing w:before="0" w:beforeAutospacing="0" w:after="0" w:afterAutospacing="0"/>
        <w:ind w:firstLine="720"/>
        <w:jc w:val="both"/>
        <w:textAlignment w:val="baseline"/>
        <w:rPr>
          <w:sz w:val="28"/>
          <w:szCs w:val="28"/>
        </w:rPr>
      </w:pPr>
      <w:r w:rsidRPr="00740F79">
        <w:rPr>
          <w:b/>
          <w:sz w:val="28"/>
          <w:szCs w:val="28"/>
        </w:rPr>
        <w:t>Прогноз 202</w:t>
      </w:r>
      <w:r>
        <w:rPr>
          <w:b/>
          <w:sz w:val="28"/>
          <w:szCs w:val="28"/>
        </w:rPr>
        <w:t>3</w:t>
      </w:r>
      <w:r w:rsidRPr="00740F79">
        <w:rPr>
          <w:b/>
          <w:sz w:val="28"/>
          <w:szCs w:val="28"/>
        </w:rPr>
        <w:t xml:space="preserve">год </w:t>
      </w:r>
      <w:r>
        <w:rPr>
          <w:b/>
          <w:sz w:val="28"/>
          <w:szCs w:val="28"/>
        </w:rPr>
        <w:t xml:space="preserve">– 377,5 тыс. руб. </w:t>
      </w:r>
      <w:r w:rsidRPr="00C93A58">
        <w:rPr>
          <w:sz w:val="28"/>
          <w:szCs w:val="28"/>
        </w:rPr>
        <w:t xml:space="preserve"> </w:t>
      </w:r>
      <w:r w:rsidRPr="00740F79">
        <w:rPr>
          <w:sz w:val="28"/>
          <w:szCs w:val="28"/>
        </w:rPr>
        <w:t>(</w:t>
      </w:r>
      <w:r>
        <w:rPr>
          <w:sz w:val="28"/>
          <w:szCs w:val="28"/>
        </w:rPr>
        <w:t>264,8+486,1+381,6</w:t>
      </w:r>
      <w:r w:rsidRPr="00740F79">
        <w:rPr>
          <w:sz w:val="28"/>
          <w:szCs w:val="28"/>
        </w:rPr>
        <w:t xml:space="preserve">)/3= </w:t>
      </w:r>
      <w:r>
        <w:rPr>
          <w:sz w:val="28"/>
          <w:szCs w:val="28"/>
        </w:rPr>
        <w:t>377,5</w:t>
      </w:r>
      <w:r w:rsidRPr="00740F79">
        <w:rPr>
          <w:sz w:val="28"/>
          <w:szCs w:val="28"/>
        </w:rPr>
        <w:t xml:space="preserve"> тыс.</w:t>
      </w:r>
      <w:r>
        <w:rPr>
          <w:sz w:val="28"/>
          <w:szCs w:val="28"/>
        </w:rPr>
        <w:t xml:space="preserve"> руб.</w:t>
      </w:r>
      <w:r w:rsidRPr="00740F79">
        <w:rPr>
          <w:sz w:val="28"/>
          <w:szCs w:val="28"/>
        </w:rPr>
        <w:t xml:space="preserve"> </w:t>
      </w:r>
      <w:r w:rsidRPr="00C93A58">
        <w:rPr>
          <w:sz w:val="28"/>
          <w:szCs w:val="28"/>
        </w:rPr>
        <w:t xml:space="preserve"> </w:t>
      </w:r>
    </w:p>
    <w:p w:rsidR="00F07E05" w:rsidRPr="00C93A58" w:rsidRDefault="00F07E05" w:rsidP="00F07E05">
      <w:pPr>
        <w:pStyle w:val="pj"/>
        <w:shd w:val="clear" w:color="auto" w:fill="FFFFFF"/>
        <w:spacing w:before="0" w:beforeAutospacing="0" w:after="0" w:afterAutospacing="0"/>
        <w:ind w:firstLine="720"/>
        <w:jc w:val="both"/>
        <w:textAlignment w:val="baseline"/>
        <w:rPr>
          <w:sz w:val="28"/>
          <w:szCs w:val="28"/>
        </w:rPr>
      </w:pPr>
      <w:r w:rsidRPr="00C93A58">
        <w:rPr>
          <w:b/>
          <w:sz w:val="28"/>
          <w:szCs w:val="28"/>
        </w:rPr>
        <w:t>Прогноз</w:t>
      </w:r>
      <w:r w:rsidRPr="00C93A58">
        <w:rPr>
          <w:sz w:val="28"/>
          <w:szCs w:val="28"/>
        </w:rPr>
        <w:t xml:space="preserve"> </w:t>
      </w:r>
      <w:r w:rsidRPr="00C8643C">
        <w:rPr>
          <w:b/>
          <w:sz w:val="28"/>
          <w:szCs w:val="28"/>
        </w:rPr>
        <w:t>202</w:t>
      </w:r>
      <w:r>
        <w:rPr>
          <w:b/>
          <w:sz w:val="28"/>
          <w:szCs w:val="28"/>
        </w:rPr>
        <w:t>4</w:t>
      </w:r>
      <w:r w:rsidRPr="00C8643C">
        <w:rPr>
          <w:b/>
          <w:sz w:val="28"/>
          <w:szCs w:val="28"/>
        </w:rPr>
        <w:t xml:space="preserve"> год – </w:t>
      </w:r>
      <w:r>
        <w:rPr>
          <w:b/>
          <w:sz w:val="28"/>
          <w:szCs w:val="28"/>
        </w:rPr>
        <w:t>415,0</w:t>
      </w:r>
      <w:r w:rsidRPr="00C8643C">
        <w:rPr>
          <w:b/>
          <w:sz w:val="28"/>
          <w:szCs w:val="28"/>
        </w:rPr>
        <w:t xml:space="preserve"> тыс. руб.</w:t>
      </w:r>
      <w:r>
        <w:rPr>
          <w:sz w:val="28"/>
          <w:szCs w:val="28"/>
        </w:rPr>
        <w:t xml:space="preserve"> </w:t>
      </w:r>
      <w:r w:rsidRPr="00740F79">
        <w:rPr>
          <w:sz w:val="28"/>
          <w:szCs w:val="28"/>
        </w:rPr>
        <w:t>(</w:t>
      </w:r>
      <w:r>
        <w:rPr>
          <w:sz w:val="28"/>
          <w:szCs w:val="28"/>
        </w:rPr>
        <w:t>486,1+381,6+377,5</w:t>
      </w:r>
      <w:r w:rsidRPr="00740F79">
        <w:rPr>
          <w:sz w:val="28"/>
          <w:szCs w:val="28"/>
        </w:rPr>
        <w:t xml:space="preserve">)/3= </w:t>
      </w:r>
      <w:r>
        <w:rPr>
          <w:sz w:val="28"/>
          <w:szCs w:val="28"/>
        </w:rPr>
        <w:t>415,0</w:t>
      </w:r>
      <w:r w:rsidRPr="00740F79">
        <w:rPr>
          <w:sz w:val="28"/>
          <w:szCs w:val="28"/>
        </w:rPr>
        <w:t xml:space="preserve"> тыс.</w:t>
      </w:r>
      <w:r>
        <w:rPr>
          <w:sz w:val="28"/>
          <w:szCs w:val="28"/>
        </w:rPr>
        <w:t xml:space="preserve"> руб.</w:t>
      </w:r>
      <w:r w:rsidRPr="00740F79">
        <w:rPr>
          <w:sz w:val="28"/>
          <w:szCs w:val="28"/>
        </w:rPr>
        <w:t xml:space="preserve"> </w:t>
      </w:r>
      <w:r w:rsidRPr="00C93A58">
        <w:rPr>
          <w:sz w:val="28"/>
          <w:szCs w:val="28"/>
        </w:rPr>
        <w:t xml:space="preserve"> </w:t>
      </w:r>
    </w:p>
    <w:p w:rsidR="00F07E05" w:rsidRDefault="00F07E05" w:rsidP="00F07E05">
      <w:pPr>
        <w:autoSpaceDE w:val="0"/>
        <w:autoSpaceDN w:val="0"/>
        <w:adjustRightInd w:val="0"/>
        <w:ind w:firstLine="720"/>
        <w:jc w:val="both"/>
        <w:rPr>
          <w:b/>
          <w:sz w:val="28"/>
          <w:szCs w:val="28"/>
        </w:rPr>
      </w:pPr>
    </w:p>
    <w:p w:rsidR="00F07E05" w:rsidRPr="00927333" w:rsidRDefault="00F07E05" w:rsidP="00F07E05">
      <w:pPr>
        <w:autoSpaceDE w:val="0"/>
        <w:autoSpaceDN w:val="0"/>
        <w:adjustRightInd w:val="0"/>
        <w:ind w:firstLine="720"/>
        <w:jc w:val="both"/>
        <w:rPr>
          <w:b/>
          <w:sz w:val="28"/>
          <w:szCs w:val="28"/>
        </w:rPr>
      </w:pPr>
      <w:r w:rsidRPr="00927333">
        <w:rPr>
          <w:b/>
          <w:sz w:val="28"/>
          <w:szCs w:val="28"/>
        </w:rPr>
        <w:t>Главное управление региональной безопасности Тверской области</w:t>
      </w:r>
    </w:p>
    <w:p w:rsidR="00F07E05" w:rsidRDefault="00F07E05" w:rsidP="00F07E05">
      <w:pPr>
        <w:autoSpaceDE w:val="0"/>
        <w:autoSpaceDN w:val="0"/>
        <w:adjustRightInd w:val="0"/>
        <w:ind w:firstLine="720"/>
        <w:jc w:val="right"/>
        <w:rPr>
          <w:b/>
          <w:sz w:val="28"/>
          <w:szCs w:val="28"/>
        </w:rPr>
      </w:pPr>
    </w:p>
    <w:p w:rsidR="00F07E05" w:rsidRDefault="00F07E05" w:rsidP="00F07E05">
      <w:pPr>
        <w:autoSpaceDE w:val="0"/>
        <w:autoSpaceDN w:val="0"/>
        <w:adjustRightInd w:val="0"/>
        <w:ind w:firstLine="720"/>
        <w:jc w:val="right"/>
        <w:rPr>
          <w:b/>
          <w:sz w:val="28"/>
          <w:szCs w:val="28"/>
        </w:rPr>
      </w:pPr>
      <w:r>
        <w:rPr>
          <w:b/>
          <w:sz w:val="28"/>
          <w:szCs w:val="28"/>
        </w:rPr>
        <w:t>тыс. руб.</w:t>
      </w:r>
    </w:p>
    <w:p w:rsidR="00F07E05" w:rsidRDefault="00F07E05" w:rsidP="00F07E05">
      <w:pPr>
        <w:autoSpaceDE w:val="0"/>
        <w:autoSpaceDN w:val="0"/>
        <w:adjustRightInd w:val="0"/>
        <w:ind w:firstLine="720"/>
        <w:jc w:val="both"/>
        <w:rPr>
          <w:b/>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1368"/>
        <w:gridCol w:w="1440"/>
        <w:gridCol w:w="1620"/>
      </w:tblGrid>
      <w:tr w:rsidR="00F07E05" w:rsidRPr="00C93A58" w:rsidTr="008A253E">
        <w:trPr>
          <w:trHeight w:val="510"/>
        </w:trPr>
        <w:tc>
          <w:tcPr>
            <w:tcW w:w="2520" w:type="dxa"/>
            <w:noWrap/>
          </w:tcPr>
          <w:p w:rsidR="00F07E05" w:rsidRPr="00C93A58" w:rsidRDefault="00F07E05" w:rsidP="008A253E">
            <w:pPr>
              <w:rPr>
                <w:b/>
                <w:sz w:val="20"/>
                <w:szCs w:val="20"/>
              </w:rPr>
            </w:pPr>
            <w:r w:rsidRPr="00C93A58">
              <w:rPr>
                <w:b/>
                <w:sz w:val="20"/>
                <w:szCs w:val="20"/>
              </w:rPr>
              <w:t>Код БК</w:t>
            </w:r>
          </w:p>
        </w:tc>
        <w:tc>
          <w:tcPr>
            <w:tcW w:w="2520" w:type="dxa"/>
            <w:noWrap/>
          </w:tcPr>
          <w:p w:rsidR="00F07E05" w:rsidRPr="00C93A58" w:rsidRDefault="00F07E05" w:rsidP="008A253E">
            <w:pPr>
              <w:rPr>
                <w:b/>
                <w:sz w:val="20"/>
                <w:szCs w:val="20"/>
              </w:rPr>
            </w:pPr>
            <w:r w:rsidRPr="00C93A58">
              <w:rPr>
                <w:b/>
                <w:sz w:val="20"/>
                <w:szCs w:val="20"/>
              </w:rPr>
              <w:t>Наименование</w:t>
            </w:r>
          </w:p>
        </w:tc>
        <w:tc>
          <w:tcPr>
            <w:tcW w:w="1368" w:type="dxa"/>
          </w:tcPr>
          <w:p w:rsidR="00F07E05" w:rsidRPr="00C93A58" w:rsidRDefault="00F07E05" w:rsidP="008A253E">
            <w:pPr>
              <w:jc w:val="center"/>
              <w:rPr>
                <w:b/>
                <w:sz w:val="20"/>
                <w:szCs w:val="20"/>
              </w:rPr>
            </w:pPr>
            <w:r w:rsidRPr="00C93A58">
              <w:rPr>
                <w:b/>
                <w:sz w:val="20"/>
                <w:szCs w:val="20"/>
              </w:rPr>
              <w:t>Прогноз на</w:t>
            </w:r>
          </w:p>
          <w:p w:rsidR="00F07E05" w:rsidRPr="00C93A58" w:rsidRDefault="00F07E05" w:rsidP="008A253E">
            <w:pPr>
              <w:jc w:val="center"/>
              <w:rPr>
                <w:b/>
                <w:sz w:val="20"/>
                <w:szCs w:val="20"/>
              </w:rPr>
            </w:pPr>
            <w:r w:rsidRPr="00C93A58">
              <w:rPr>
                <w:b/>
                <w:sz w:val="20"/>
                <w:szCs w:val="20"/>
              </w:rPr>
              <w:t>20</w:t>
            </w:r>
            <w:r>
              <w:rPr>
                <w:b/>
                <w:sz w:val="20"/>
                <w:szCs w:val="20"/>
              </w:rPr>
              <w:t xml:space="preserve">22 </w:t>
            </w:r>
            <w:r w:rsidRPr="00C93A58">
              <w:rPr>
                <w:b/>
                <w:sz w:val="20"/>
                <w:szCs w:val="20"/>
              </w:rPr>
              <w:t xml:space="preserve">год </w:t>
            </w:r>
          </w:p>
          <w:p w:rsidR="00F07E05" w:rsidRPr="00C93A58" w:rsidRDefault="00F07E05" w:rsidP="008A253E">
            <w:pPr>
              <w:jc w:val="center"/>
              <w:rPr>
                <w:b/>
                <w:sz w:val="20"/>
                <w:szCs w:val="20"/>
              </w:rPr>
            </w:pPr>
          </w:p>
        </w:tc>
        <w:tc>
          <w:tcPr>
            <w:tcW w:w="1440" w:type="dxa"/>
          </w:tcPr>
          <w:p w:rsidR="00F07E05" w:rsidRPr="00C93A58" w:rsidRDefault="00F07E05" w:rsidP="008A253E">
            <w:pPr>
              <w:jc w:val="center"/>
              <w:rPr>
                <w:b/>
                <w:sz w:val="20"/>
                <w:szCs w:val="20"/>
              </w:rPr>
            </w:pPr>
            <w:r w:rsidRPr="00C93A58">
              <w:rPr>
                <w:b/>
                <w:sz w:val="20"/>
                <w:szCs w:val="20"/>
              </w:rPr>
              <w:t>Прогноз на</w:t>
            </w:r>
          </w:p>
          <w:p w:rsidR="00F07E05" w:rsidRPr="00C93A58" w:rsidRDefault="00F07E05" w:rsidP="008A253E">
            <w:pPr>
              <w:jc w:val="center"/>
              <w:rPr>
                <w:b/>
                <w:sz w:val="20"/>
                <w:szCs w:val="20"/>
              </w:rPr>
            </w:pPr>
            <w:r w:rsidRPr="00C93A58">
              <w:rPr>
                <w:b/>
                <w:sz w:val="20"/>
                <w:szCs w:val="20"/>
              </w:rPr>
              <w:t>20</w:t>
            </w:r>
            <w:r>
              <w:rPr>
                <w:b/>
                <w:sz w:val="20"/>
                <w:szCs w:val="20"/>
              </w:rPr>
              <w:t xml:space="preserve">23 </w:t>
            </w:r>
            <w:r w:rsidRPr="00C93A58">
              <w:rPr>
                <w:b/>
                <w:sz w:val="20"/>
                <w:szCs w:val="20"/>
              </w:rPr>
              <w:t>год</w:t>
            </w:r>
          </w:p>
          <w:p w:rsidR="00F07E05" w:rsidRPr="00C93A58" w:rsidRDefault="00F07E05" w:rsidP="008A253E">
            <w:pPr>
              <w:jc w:val="center"/>
              <w:rPr>
                <w:b/>
                <w:sz w:val="20"/>
                <w:szCs w:val="20"/>
              </w:rPr>
            </w:pPr>
          </w:p>
        </w:tc>
        <w:tc>
          <w:tcPr>
            <w:tcW w:w="1620" w:type="dxa"/>
          </w:tcPr>
          <w:p w:rsidR="00F07E05" w:rsidRPr="00C93A58" w:rsidRDefault="00F07E05" w:rsidP="008A253E">
            <w:pPr>
              <w:jc w:val="center"/>
              <w:rPr>
                <w:b/>
                <w:sz w:val="20"/>
                <w:szCs w:val="20"/>
              </w:rPr>
            </w:pPr>
            <w:r w:rsidRPr="00C93A58">
              <w:rPr>
                <w:b/>
                <w:sz w:val="20"/>
                <w:szCs w:val="20"/>
              </w:rPr>
              <w:t>Прогноз на</w:t>
            </w:r>
          </w:p>
          <w:p w:rsidR="00F07E05" w:rsidRPr="00C93A58" w:rsidRDefault="00F07E05" w:rsidP="008A253E">
            <w:pPr>
              <w:jc w:val="center"/>
              <w:rPr>
                <w:b/>
                <w:sz w:val="20"/>
                <w:szCs w:val="20"/>
              </w:rPr>
            </w:pPr>
            <w:r w:rsidRPr="00C93A58">
              <w:rPr>
                <w:b/>
                <w:sz w:val="20"/>
                <w:szCs w:val="20"/>
              </w:rPr>
              <w:t>20</w:t>
            </w:r>
            <w:r>
              <w:rPr>
                <w:b/>
                <w:sz w:val="20"/>
                <w:szCs w:val="20"/>
              </w:rPr>
              <w:t>24</w:t>
            </w:r>
            <w:r w:rsidRPr="00C93A58">
              <w:rPr>
                <w:b/>
                <w:sz w:val="20"/>
                <w:szCs w:val="20"/>
              </w:rPr>
              <w:t xml:space="preserve"> год</w:t>
            </w:r>
          </w:p>
          <w:p w:rsidR="00F07E05" w:rsidRPr="00C93A58" w:rsidRDefault="00F07E05" w:rsidP="008A253E">
            <w:pPr>
              <w:jc w:val="center"/>
              <w:rPr>
                <w:b/>
                <w:sz w:val="20"/>
                <w:szCs w:val="20"/>
              </w:rPr>
            </w:pPr>
          </w:p>
        </w:tc>
      </w:tr>
      <w:tr w:rsidR="00F07E05" w:rsidRPr="00C93A58" w:rsidTr="008A253E">
        <w:trPr>
          <w:trHeight w:val="846"/>
        </w:trPr>
        <w:tc>
          <w:tcPr>
            <w:tcW w:w="2520" w:type="dxa"/>
            <w:noWrap/>
          </w:tcPr>
          <w:p w:rsidR="00F07E05" w:rsidRPr="00C93A58" w:rsidRDefault="00F07E05" w:rsidP="008A253E">
            <w:pPr>
              <w:jc w:val="center"/>
              <w:rPr>
                <w:b/>
                <w:sz w:val="16"/>
                <w:szCs w:val="16"/>
              </w:rPr>
            </w:pPr>
          </w:p>
          <w:p w:rsidR="00F07E05" w:rsidRPr="00C93A58" w:rsidRDefault="00F07E05" w:rsidP="008A253E">
            <w:pPr>
              <w:jc w:val="center"/>
              <w:rPr>
                <w:b/>
                <w:sz w:val="16"/>
                <w:szCs w:val="16"/>
              </w:rPr>
            </w:pPr>
          </w:p>
          <w:p w:rsidR="00F07E05" w:rsidRPr="00C93A58" w:rsidRDefault="00F07E05" w:rsidP="008A253E">
            <w:pPr>
              <w:jc w:val="center"/>
              <w:rPr>
                <w:b/>
                <w:sz w:val="16"/>
                <w:szCs w:val="16"/>
              </w:rPr>
            </w:pPr>
            <w:r w:rsidRPr="00C93A58">
              <w:rPr>
                <w:b/>
                <w:sz w:val="16"/>
                <w:szCs w:val="16"/>
              </w:rPr>
              <w:t>000</w:t>
            </w:r>
            <w:r w:rsidRPr="00C93A58">
              <w:rPr>
                <w:b/>
                <w:sz w:val="16"/>
                <w:szCs w:val="16"/>
                <w:lang w:val="en-US"/>
              </w:rPr>
              <w:t xml:space="preserve"> 1 13 0</w:t>
            </w:r>
            <w:r w:rsidRPr="00C93A58">
              <w:rPr>
                <w:b/>
                <w:sz w:val="16"/>
                <w:szCs w:val="16"/>
              </w:rPr>
              <w:t>2990</w:t>
            </w:r>
            <w:r w:rsidRPr="00C93A58">
              <w:rPr>
                <w:b/>
                <w:sz w:val="16"/>
                <w:szCs w:val="16"/>
                <w:lang w:val="en-US"/>
              </w:rPr>
              <w:t xml:space="preserve"> 0</w:t>
            </w:r>
            <w:r w:rsidRPr="00C93A58">
              <w:rPr>
                <w:b/>
                <w:sz w:val="16"/>
                <w:szCs w:val="16"/>
              </w:rPr>
              <w:t>0</w:t>
            </w:r>
            <w:r w:rsidRPr="00C93A58">
              <w:rPr>
                <w:b/>
                <w:sz w:val="16"/>
                <w:szCs w:val="16"/>
                <w:lang w:val="en-US"/>
              </w:rPr>
              <w:t xml:space="preserve"> 0</w:t>
            </w:r>
            <w:r w:rsidRPr="00C93A58">
              <w:rPr>
                <w:b/>
                <w:sz w:val="16"/>
                <w:szCs w:val="16"/>
              </w:rPr>
              <w:t>000 130</w:t>
            </w:r>
          </w:p>
        </w:tc>
        <w:tc>
          <w:tcPr>
            <w:tcW w:w="2520" w:type="dxa"/>
          </w:tcPr>
          <w:p w:rsidR="00F07E05" w:rsidRPr="00C93A58" w:rsidRDefault="00F07E05" w:rsidP="008A253E">
            <w:pPr>
              <w:rPr>
                <w:sz w:val="20"/>
                <w:szCs w:val="20"/>
              </w:rPr>
            </w:pPr>
          </w:p>
          <w:p w:rsidR="00F07E05" w:rsidRPr="00C93A58" w:rsidRDefault="00F07E05" w:rsidP="008A253E">
            <w:pPr>
              <w:rPr>
                <w:sz w:val="20"/>
                <w:szCs w:val="20"/>
              </w:rPr>
            </w:pPr>
            <w:r w:rsidRPr="00C93A58">
              <w:rPr>
                <w:sz w:val="20"/>
                <w:szCs w:val="20"/>
              </w:rPr>
              <w:t xml:space="preserve">Прочие доходы от компенсации затрат государства </w:t>
            </w:r>
          </w:p>
        </w:tc>
        <w:tc>
          <w:tcPr>
            <w:tcW w:w="1368" w:type="dxa"/>
            <w:noWrap/>
          </w:tcPr>
          <w:p w:rsidR="00F07E05" w:rsidRDefault="00F07E05" w:rsidP="008A253E">
            <w:pPr>
              <w:ind w:hanging="108"/>
              <w:jc w:val="center"/>
              <w:rPr>
                <w:sz w:val="20"/>
                <w:szCs w:val="20"/>
              </w:rPr>
            </w:pPr>
          </w:p>
          <w:p w:rsidR="00F07E05" w:rsidRPr="00C93A58" w:rsidRDefault="00F07E05" w:rsidP="008A253E">
            <w:pPr>
              <w:ind w:hanging="108"/>
              <w:jc w:val="center"/>
              <w:rPr>
                <w:sz w:val="20"/>
                <w:szCs w:val="20"/>
              </w:rPr>
            </w:pPr>
            <w:r>
              <w:rPr>
                <w:sz w:val="20"/>
                <w:szCs w:val="20"/>
              </w:rPr>
              <w:t>3 115,2</w:t>
            </w:r>
          </w:p>
        </w:tc>
        <w:tc>
          <w:tcPr>
            <w:tcW w:w="1440" w:type="dxa"/>
            <w:noWrap/>
          </w:tcPr>
          <w:p w:rsidR="00F07E05" w:rsidRDefault="00F07E05" w:rsidP="008A253E">
            <w:pPr>
              <w:ind w:left="-136" w:right="-108" w:hanging="28"/>
              <w:jc w:val="center"/>
              <w:rPr>
                <w:sz w:val="20"/>
                <w:szCs w:val="20"/>
              </w:rPr>
            </w:pPr>
          </w:p>
          <w:p w:rsidR="00F07E05" w:rsidRPr="00C93A58" w:rsidRDefault="00F07E05" w:rsidP="008A253E">
            <w:pPr>
              <w:ind w:left="-136" w:right="-108" w:hanging="28"/>
              <w:jc w:val="center"/>
              <w:rPr>
                <w:sz w:val="20"/>
                <w:szCs w:val="20"/>
              </w:rPr>
            </w:pPr>
            <w:r>
              <w:rPr>
                <w:sz w:val="20"/>
                <w:szCs w:val="20"/>
              </w:rPr>
              <w:t>3 115,2</w:t>
            </w:r>
          </w:p>
        </w:tc>
        <w:tc>
          <w:tcPr>
            <w:tcW w:w="1620" w:type="dxa"/>
            <w:noWrap/>
          </w:tcPr>
          <w:p w:rsidR="00F07E05" w:rsidRDefault="00F07E05" w:rsidP="008A253E">
            <w:pPr>
              <w:ind w:left="-108" w:right="-3" w:hanging="108"/>
              <w:jc w:val="center"/>
              <w:rPr>
                <w:sz w:val="20"/>
                <w:szCs w:val="20"/>
              </w:rPr>
            </w:pPr>
          </w:p>
          <w:p w:rsidR="00F07E05" w:rsidRPr="00C93A58" w:rsidRDefault="00F07E05" w:rsidP="008A253E">
            <w:pPr>
              <w:ind w:left="-108" w:right="-3" w:hanging="108"/>
              <w:jc w:val="center"/>
              <w:rPr>
                <w:sz w:val="20"/>
                <w:szCs w:val="20"/>
              </w:rPr>
            </w:pPr>
            <w:r>
              <w:rPr>
                <w:sz w:val="20"/>
                <w:szCs w:val="20"/>
              </w:rPr>
              <w:t>3115,2</w:t>
            </w:r>
          </w:p>
        </w:tc>
      </w:tr>
    </w:tbl>
    <w:p w:rsidR="00F07E05" w:rsidRDefault="00F07E05" w:rsidP="00F07E05">
      <w:pPr>
        <w:autoSpaceDE w:val="0"/>
        <w:autoSpaceDN w:val="0"/>
        <w:adjustRightInd w:val="0"/>
        <w:ind w:firstLine="720"/>
        <w:jc w:val="center"/>
        <w:rPr>
          <w:b/>
          <w:sz w:val="28"/>
          <w:szCs w:val="28"/>
        </w:rPr>
      </w:pPr>
    </w:p>
    <w:p w:rsidR="00F07E05" w:rsidRDefault="00F07E05" w:rsidP="00F07E05">
      <w:pPr>
        <w:autoSpaceDE w:val="0"/>
        <w:autoSpaceDN w:val="0"/>
        <w:adjustRightInd w:val="0"/>
        <w:ind w:firstLine="900"/>
        <w:jc w:val="both"/>
        <w:rPr>
          <w:sz w:val="28"/>
          <w:szCs w:val="28"/>
        </w:rPr>
      </w:pPr>
      <w:r>
        <w:rPr>
          <w:sz w:val="28"/>
          <w:szCs w:val="28"/>
        </w:rPr>
        <w:t>П</w:t>
      </w:r>
      <w:r w:rsidRPr="00C93A58">
        <w:rPr>
          <w:sz w:val="28"/>
          <w:szCs w:val="28"/>
        </w:rPr>
        <w:t>ри прогнозировании поступлений в областной бюджет прочих доходов от компенсации затрат бюджетов субъектов Российской Федерации</w:t>
      </w:r>
      <w:r>
        <w:rPr>
          <w:sz w:val="28"/>
          <w:szCs w:val="28"/>
        </w:rPr>
        <w:t>, в соответствии с методикой, утвержденной приказом Главного управления регионального развития Тверской области от 24.07.2018 № 124 (с изменениями и дополнениями)</w:t>
      </w:r>
      <w:r w:rsidRPr="00C93A58">
        <w:rPr>
          <w:sz w:val="28"/>
          <w:szCs w:val="28"/>
        </w:rPr>
        <w:t xml:space="preserve"> используется метод усреднения. </w:t>
      </w:r>
    </w:p>
    <w:p w:rsidR="00F07E05" w:rsidRDefault="00F07E05" w:rsidP="00F07E05">
      <w:pPr>
        <w:autoSpaceDE w:val="0"/>
        <w:autoSpaceDN w:val="0"/>
        <w:adjustRightInd w:val="0"/>
        <w:ind w:firstLine="900"/>
        <w:jc w:val="both"/>
        <w:rPr>
          <w:sz w:val="28"/>
          <w:szCs w:val="28"/>
        </w:rPr>
      </w:pPr>
    </w:p>
    <w:tbl>
      <w:tblPr>
        <w:tblStyle w:val="TableGrid"/>
        <w:tblW w:w="9705" w:type="dxa"/>
        <w:tblInd w:w="0" w:type="dxa"/>
        <w:tblCellMar>
          <w:top w:w="54" w:type="dxa"/>
          <w:left w:w="108" w:type="dxa"/>
          <w:right w:w="18" w:type="dxa"/>
        </w:tblCellMar>
        <w:tblLook w:val="04A0" w:firstRow="1" w:lastRow="0" w:firstColumn="1" w:lastColumn="0" w:noHBand="0" w:noVBand="1"/>
      </w:tblPr>
      <w:tblGrid>
        <w:gridCol w:w="1283"/>
        <w:gridCol w:w="1441"/>
        <w:gridCol w:w="1607"/>
        <w:gridCol w:w="1925"/>
        <w:gridCol w:w="1767"/>
        <w:gridCol w:w="1682"/>
      </w:tblGrid>
      <w:tr w:rsidR="00F07E05" w:rsidTr="008A253E">
        <w:trPr>
          <w:trHeight w:val="1098"/>
        </w:trPr>
        <w:tc>
          <w:tcPr>
            <w:tcW w:w="4331" w:type="dxa"/>
            <w:gridSpan w:val="3"/>
            <w:tcBorders>
              <w:top w:val="single" w:sz="4" w:space="0" w:color="000000"/>
              <w:left w:val="single" w:sz="4" w:space="0" w:color="000000"/>
              <w:bottom w:val="single" w:sz="4" w:space="0" w:color="000000"/>
              <w:right w:val="single" w:sz="4" w:space="0" w:color="000000"/>
            </w:tcBorders>
          </w:tcPr>
          <w:p w:rsidR="00F07E05" w:rsidRPr="00343B43" w:rsidRDefault="00F07E05" w:rsidP="008A253E">
            <w:pPr>
              <w:spacing w:line="259" w:lineRule="auto"/>
              <w:jc w:val="center"/>
              <w:rPr>
                <w:rFonts w:ascii="Times New Roman" w:hAnsi="Times New Roman" w:cs="Times New Roman"/>
              </w:rPr>
            </w:pPr>
            <w:r w:rsidRPr="00343B43">
              <w:rPr>
                <w:rFonts w:ascii="Times New Roman" w:eastAsia="Times New Roman" w:hAnsi="Times New Roman" w:cs="Times New Roman"/>
                <w:b/>
              </w:rPr>
              <w:lastRenderedPageBreak/>
              <w:t xml:space="preserve">Фактические поступления предыдущих периодов, тыс. руб. </w:t>
            </w:r>
          </w:p>
        </w:tc>
        <w:tc>
          <w:tcPr>
            <w:tcW w:w="5374" w:type="dxa"/>
            <w:gridSpan w:val="3"/>
            <w:tcBorders>
              <w:top w:val="single" w:sz="4" w:space="0" w:color="000000"/>
              <w:left w:val="single" w:sz="4" w:space="0" w:color="000000"/>
              <w:bottom w:val="single" w:sz="4" w:space="0" w:color="000000"/>
              <w:right w:val="single" w:sz="4" w:space="0" w:color="000000"/>
            </w:tcBorders>
          </w:tcPr>
          <w:p w:rsidR="00F07E05" w:rsidRPr="00343B43" w:rsidRDefault="00F07E05" w:rsidP="008A253E">
            <w:pPr>
              <w:spacing w:line="259" w:lineRule="auto"/>
              <w:ind w:left="125" w:right="100"/>
              <w:jc w:val="center"/>
              <w:rPr>
                <w:rFonts w:ascii="Times New Roman" w:hAnsi="Times New Roman" w:cs="Times New Roman"/>
              </w:rPr>
            </w:pPr>
            <w:r w:rsidRPr="00343B43">
              <w:rPr>
                <w:rFonts w:ascii="Times New Roman" w:eastAsia="Times New Roman" w:hAnsi="Times New Roman" w:cs="Times New Roman"/>
                <w:b/>
              </w:rPr>
              <w:t xml:space="preserve">Прогноз поступлений, тыс. руб.  гр. </w:t>
            </w:r>
            <w:r>
              <w:rPr>
                <w:rFonts w:ascii="Times New Roman" w:eastAsia="Times New Roman" w:hAnsi="Times New Roman" w:cs="Times New Roman"/>
                <w:b/>
              </w:rPr>
              <w:t>(</w:t>
            </w:r>
            <w:r w:rsidRPr="00343B43">
              <w:rPr>
                <w:rFonts w:ascii="Times New Roman" w:eastAsia="Times New Roman" w:hAnsi="Times New Roman" w:cs="Times New Roman"/>
                <w:b/>
              </w:rPr>
              <w:t>2</w:t>
            </w:r>
            <w:r>
              <w:rPr>
                <w:rFonts w:ascii="Times New Roman" w:eastAsia="Times New Roman" w:hAnsi="Times New Roman" w:cs="Times New Roman"/>
                <w:b/>
              </w:rPr>
              <w:t>+</w:t>
            </w:r>
            <w:r w:rsidRPr="00343B43">
              <w:rPr>
                <w:rFonts w:ascii="Times New Roman" w:eastAsia="Times New Roman" w:hAnsi="Times New Roman" w:cs="Times New Roman"/>
                <w:b/>
              </w:rPr>
              <w:t>3</w:t>
            </w:r>
            <w:r>
              <w:rPr>
                <w:rFonts w:ascii="Times New Roman" w:eastAsia="Times New Roman" w:hAnsi="Times New Roman" w:cs="Times New Roman"/>
                <w:b/>
              </w:rPr>
              <w:t>+</w:t>
            </w:r>
            <w:r w:rsidRPr="00343B43">
              <w:rPr>
                <w:rFonts w:ascii="Times New Roman" w:eastAsia="Times New Roman" w:hAnsi="Times New Roman" w:cs="Times New Roman"/>
                <w:b/>
              </w:rPr>
              <w:t>4</w:t>
            </w:r>
            <w:r>
              <w:rPr>
                <w:rFonts w:ascii="Times New Roman" w:eastAsia="Times New Roman" w:hAnsi="Times New Roman" w:cs="Times New Roman"/>
                <w:b/>
              </w:rPr>
              <w:t>)</w:t>
            </w:r>
            <w:r w:rsidRPr="00343B43">
              <w:rPr>
                <w:rFonts w:ascii="Times New Roman" w:eastAsia="Times New Roman" w:hAnsi="Times New Roman" w:cs="Times New Roman"/>
                <w:b/>
              </w:rPr>
              <w:t xml:space="preserve">/3 </w:t>
            </w:r>
          </w:p>
        </w:tc>
      </w:tr>
      <w:tr w:rsidR="00F07E05" w:rsidTr="008A253E">
        <w:trPr>
          <w:trHeight w:val="281"/>
        </w:trPr>
        <w:tc>
          <w:tcPr>
            <w:tcW w:w="1283" w:type="dxa"/>
            <w:tcBorders>
              <w:top w:val="single" w:sz="4" w:space="0" w:color="000000"/>
              <w:left w:val="single" w:sz="4" w:space="0" w:color="000000"/>
              <w:bottom w:val="single" w:sz="4" w:space="0" w:color="000000"/>
              <w:right w:val="single" w:sz="4" w:space="0" w:color="000000"/>
            </w:tcBorders>
          </w:tcPr>
          <w:p w:rsidR="00F07E05" w:rsidRPr="00343B43" w:rsidRDefault="00F07E05" w:rsidP="008A253E">
            <w:pPr>
              <w:spacing w:line="259" w:lineRule="auto"/>
              <w:ind w:left="41"/>
              <w:rPr>
                <w:rFonts w:ascii="Times New Roman" w:hAnsi="Times New Roman" w:cs="Times New Roman"/>
              </w:rPr>
            </w:pPr>
            <w:r w:rsidRPr="00343B43">
              <w:rPr>
                <w:rFonts w:ascii="Times New Roman" w:eastAsia="Times New Roman" w:hAnsi="Times New Roman" w:cs="Times New Roman"/>
                <w:b/>
              </w:rPr>
              <w:t xml:space="preserve">2018 г. </w:t>
            </w:r>
          </w:p>
        </w:tc>
        <w:tc>
          <w:tcPr>
            <w:tcW w:w="1441" w:type="dxa"/>
            <w:tcBorders>
              <w:top w:val="single" w:sz="4" w:space="0" w:color="000000"/>
              <w:left w:val="single" w:sz="4" w:space="0" w:color="000000"/>
              <w:bottom w:val="single" w:sz="4" w:space="0" w:color="000000"/>
              <w:right w:val="single" w:sz="4" w:space="0" w:color="000000"/>
            </w:tcBorders>
          </w:tcPr>
          <w:p w:rsidR="00F07E05" w:rsidRPr="00343B43" w:rsidRDefault="00F07E05" w:rsidP="008A253E">
            <w:pPr>
              <w:spacing w:line="259" w:lineRule="auto"/>
              <w:ind w:right="93"/>
              <w:jc w:val="center"/>
              <w:rPr>
                <w:rFonts w:ascii="Times New Roman" w:hAnsi="Times New Roman" w:cs="Times New Roman"/>
              </w:rPr>
            </w:pPr>
            <w:r w:rsidRPr="00343B43">
              <w:rPr>
                <w:rFonts w:ascii="Times New Roman" w:eastAsia="Times New Roman" w:hAnsi="Times New Roman" w:cs="Times New Roman"/>
                <w:b/>
              </w:rPr>
              <w:t>2019</w:t>
            </w:r>
            <w:r>
              <w:rPr>
                <w:rFonts w:ascii="Times New Roman" w:eastAsia="Times New Roman" w:hAnsi="Times New Roman" w:cs="Times New Roman"/>
                <w:b/>
              </w:rPr>
              <w:t>г</w:t>
            </w:r>
            <w:r w:rsidRPr="00343B43">
              <w:rPr>
                <w:rFonts w:ascii="Times New Roman" w:eastAsia="Times New Roman" w:hAnsi="Times New Roman" w:cs="Times New Roman"/>
                <w:b/>
              </w:rPr>
              <w:t xml:space="preserve">. </w:t>
            </w:r>
          </w:p>
        </w:tc>
        <w:tc>
          <w:tcPr>
            <w:tcW w:w="1606" w:type="dxa"/>
            <w:tcBorders>
              <w:top w:val="single" w:sz="4" w:space="0" w:color="000000"/>
              <w:left w:val="single" w:sz="4" w:space="0" w:color="000000"/>
              <w:bottom w:val="single" w:sz="4" w:space="0" w:color="000000"/>
              <w:right w:val="single" w:sz="4" w:space="0" w:color="000000"/>
            </w:tcBorders>
          </w:tcPr>
          <w:p w:rsidR="00F07E05" w:rsidRPr="00343B43" w:rsidRDefault="00F07E05" w:rsidP="008A253E">
            <w:pPr>
              <w:spacing w:line="259" w:lineRule="auto"/>
              <w:ind w:right="90"/>
              <w:jc w:val="center"/>
              <w:rPr>
                <w:rFonts w:ascii="Times New Roman" w:hAnsi="Times New Roman" w:cs="Times New Roman"/>
              </w:rPr>
            </w:pPr>
            <w:r w:rsidRPr="00343B43">
              <w:rPr>
                <w:rFonts w:ascii="Times New Roman" w:eastAsia="Times New Roman" w:hAnsi="Times New Roman" w:cs="Times New Roman"/>
                <w:b/>
              </w:rPr>
              <w:t>2020</w:t>
            </w:r>
            <w:r>
              <w:rPr>
                <w:rFonts w:ascii="Times New Roman" w:eastAsia="Times New Roman" w:hAnsi="Times New Roman" w:cs="Times New Roman"/>
                <w:b/>
              </w:rPr>
              <w:t>г</w:t>
            </w:r>
            <w:r w:rsidRPr="00343B43">
              <w:rPr>
                <w:rFonts w:ascii="Times New Roman" w:eastAsia="Times New Roman" w:hAnsi="Times New Roman" w:cs="Times New Roman"/>
                <w:b/>
              </w:rPr>
              <w:t xml:space="preserve">. </w:t>
            </w:r>
          </w:p>
        </w:tc>
        <w:tc>
          <w:tcPr>
            <w:tcW w:w="1925" w:type="dxa"/>
            <w:tcBorders>
              <w:top w:val="single" w:sz="4" w:space="0" w:color="000000"/>
              <w:left w:val="single" w:sz="4" w:space="0" w:color="000000"/>
              <w:bottom w:val="single" w:sz="4" w:space="0" w:color="000000"/>
              <w:right w:val="single" w:sz="4" w:space="0" w:color="000000"/>
            </w:tcBorders>
          </w:tcPr>
          <w:p w:rsidR="00F07E05" w:rsidRPr="00343B43" w:rsidRDefault="00F07E05" w:rsidP="008A253E">
            <w:pPr>
              <w:spacing w:line="259" w:lineRule="auto"/>
              <w:ind w:right="92"/>
              <w:jc w:val="center"/>
              <w:rPr>
                <w:rFonts w:ascii="Times New Roman" w:hAnsi="Times New Roman" w:cs="Times New Roman"/>
              </w:rPr>
            </w:pPr>
            <w:r w:rsidRPr="00343B43">
              <w:rPr>
                <w:rFonts w:ascii="Times New Roman" w:eastAsia="Times New Roman" w:hAnsi="Times New Roman" w:cs="Times New Roman"/>
                <w:b/>
              </w:rPr>
              <w:t xml:space="preserve">2022 г. </w:t>
            </w:r>
          </w:p>
        </w:tc>
        <w:tc>
          <w:tcPr>
            <w:tcW w:w="1767" w:type="dxa"/>
            <w:tcBorders>
              <w:top w:val="single" w:sz="4" w:space="0" w:color="000000"/>
              <w:left w:val="single" w:sz="4" w:space="0" w:color="000000"/>
              <w:bottom w:val="single" w:sz="4" w:space="0" w:color="000000"/>
              <w:right w:val="single" w:sz="4" w:space="0" w:color="000000"/>
            </w:tcBorders>
          </w:tcPr>
          <w:p w:rsidR="00F07E05" w:rsidRPr="00343B43" w:rsidRDefault="00F07E05" w:rsidP="008A253E">
            <w:pPr>
              <w:spacing w:line="259" w:lineRule="auto"/>
              <w:ind w:right="93"/>
              <w:jc w:val="center"/>
              <w:rPr>
                <w:rFonts w:ascii="Times New Roman" w:hAnsi="Times New Roman" w:cs="Times New Roman"/>
              </w:rPr>
            </w:pPr>
            <w:r w:rsidRPr="00343B43">
              <w:rPr>
                <w:rFonts w:ascii="Times New Roman" w:eastAsia="Times New Roman" w:hAnsi="Times New Roman" w:cs="Times New Roman"/>
                <w:b/>
              </w:rPr>
              <w:t xml:space="preserve">2023 г. </w:t>
            </w:r>
          </w:p>
        </w:tc>
        <w:tc>
          <w:tcPr>
            <w:tcW w:w="1681" w:type="dxa"/>
            <w:tcBorders>
              <w:top w:val="single" w:sz="4" w:space="0" w:color="000000"/>
              <w:left w:val="single" w:sz="4" w:space="0" w:color="000000"/>
              <w:bottom w:val="single" w:sz="4" w:space="0" w:color="000000"/>
              <w:right w:val="single" w:sz="4" w:space="0" w:color="000000"/>
            </w:tcBorders>
          </w:tcPr>
          <w:p w:rsidR="00F07E05" w:rsidRPr="00343B43" w:rsidRDefault="00F07E05" w:rsidP="008A253E">
            <w:pPr>
              <w:spacing w:line="259" w:lineRule="auto"/>
              <w:ind w:right="97"/>
              <w:jc w:val="center"/>
              <w:rPr>
                <w:rFonts w:ascii="Times New Roman" w:hAnsi="Times New Roman" w:cs="Times New Roman"/>
              </w:rPr>
            </w:pPr>
            <w:r w:rsidRPr="00343B43">
              <w:rPr>
                <w:rFonts w:ascii="Times New Roman" w:eastAsia="Times New Roman" w:hAnsi="Times New Roman" w:cs="Times New Roman"/>
                <w:b/>
              </w:rPr>
              <w:t xml:space="preserve">2024 г. </w:t>
            </w:r>
          </w:p>
        </w:tc>
      </w:tr>
      <w:tr w:rsidR="00F07E05" w:rsidTr="008A253E">
        <w:trPr>
          <w:trHeight w:val="281"/>
        </w:trPr>
        <w:tc>
          <w:tcPr>
            <w:tcW w:w="1283" w:type="dxa"/>
            <w:tcBorders>
              <w:top w:val="single" w:sz="4" w:space="0" w:color="000000"/>
              <w:left w:val="single" w:sz="4" w:space="0" w:color="000000"/>
              <w:bottom w:val="single" w:sz="4" w:space="0" w:color="000000"/>
              <w:right w:val="single" w:sz="4" w:space="0" w:color="000000"/>
            </w:tcBorders>
          </w:tcPr>
          <w:p w:rsidR="00F07E05" w:rsidRPr="00343B43" w:rsidRDefault="00F07E05" w:rsidP="008A253E">
            <w:pPr>
              <w:spacing w:line="259" w:lineRule="auto"/>
              <w:ind w:right="90"/>
              <w:jc w:val="center"/>
              <w:rPr>
                <w:rFonts w:ascii="Times New Roman" w:hAnsi="Times New Roman" w:cs="Times New Roman"/>
              </w:rPr>
            </w:pPr>
            <w:r w:rsidRPr="00343B43">
              <w:rPr>
                <w:rFonts w:ascii="Times New Roman" w:hAnsi="Times New Roman" w:cs="Times New Roman"/>
              </w:rPr>
              <w:t xml:space="preserve">2 </w:t>
            </w:r>
          </w:p>
        </w:tc>
        <w:tc>
          <w:tcPr>
            <w:tcW w:w="1441" w:type="dxa"/>
            <w:tcBorders>
              <w:top w:val="single" w:sz="4" w:space="0" w:color="000000"/>
              <w:left w:val="single" w:sz="4" w:space="0" w:color="000000"/>
              <w:bottom w:val="single" w:sz="4" w:space="0" w:color="000000"/>
              <w:right w:val="single" w:sz="4" w:space="0" w:color="000000"/>
            </w:tcBorders>
          </w:tcPr>
          <w:p w:rsidR="00F07E05" w:rsidRPr="00343B43" w:rsidRDefault="00F07E05" w:rsidP="008A253E">
            <w:pPr>
              <w:spacing w:line="259" w:lineRule="auto"/>
              <w:ind w:right="91"/>
              <w:jc w:val="center"/>
              <w:rPr>
                <w:rFonts w:ascii="Times New Roman" w:hAnsi="Times New Roman" w:cs="Times New Roman"/>
              </w:rPr>
            </w:pPr>
            <w:r w:rsidRPr="00343B43">
              <w:rPr>
                <w:rFonts w:ascii="Times New Roman" w:hAnsi="Times New Roman" w:cs="Times New Roman"/>
              </w:rPr>
              <w:t xml:space="preserve">3 </w:t>
            </w:r>
          </w:p>
        </w:tc>
        <w:tc>
          <w:tcPr>
            <w:tcW w:w="1606" w:type="dxa"/>
            <w:tcBorders>
              <w:top w:val="single" w:sz="4" w:space="0" w:color="000000"/>
              <w:left w:val="single" w:sz="4" w:space="0" w:color="000000"/>
              <w:bottom w:val="single" w:sz="4" w:space="0" w:color="000000"/>
              <w:right w:val="single" w:sz="4" w:space="0" w:color="000000"/>
            </w:tcBorders>
          </w:tcPr>
          <w:p w:rsidR="00F07E05" w:rsidRPr="00343B43" w:rsidRDefault="00F07E05" w:rsidP="008A253E">
            <w:pPr>
              <w:spacing w:line="259" w:lineRule="auto"/>
              <w:ind w:right="92"/>
              <w:jc w:val="center"/>
              <w:rPr>
                <w:rFonts w:ascii="Times New Roman" w:hAnsi="Times New Roman" w:cs="Times New Roman"/>
              </w:rPr>
            </w:pPr>
            <w:r w:rsidRPr="00343B43">
              <w:rPr>
                <w:rFonts w:ascii="Times New Roman" w:hAnsi="Times New Roman" w:cs="Times New Roman"/>
              </w:rPr>
              <w:t xml:space="preserve">4 </w:t>
            </w:r>
          </w:p>
        </w:tc>
        <w:tc>
          <w:tcPr>
            <w:tcW w:w="1925" w:type="dxa"/>
            <w:tcBorders>
              <w:top w:val="single" w:sz="4" w:space="0" w:color="000000"/>
              <w:left w:val="single" w:sz="4" w:space="0" w:color="000000"/>
              <w:bottom w:val="single" w:sz="4" w:space="0" w:color="000000"/>
              <w:right w:val="single" w:sz="4" w:space="0" w:color="000000"/>
            </w:tcBorders>
          </w:tcPr>
          <w:p w:rsidR="00F07E05" w:rsidRPr="00343B43" w:rsidRDefault="00F07E05" w:rsidP="008A253E">
            <w:pPr>
              <w:spacing w:line="259" w:lineRule="auto"/>
              <w:ind w:right="90"/>
              <w:jc w:val="center"/>
              <w:rPr>
                <w:rFonts w:ascii="Times New Roman" w:hAnsi="Times New Roman" w:cs="Times New Roman"/>
              </w:rPr>
            </w:pPr>
            <w:r w:rsidRPr="00343B43">
              <w:rPr>
                <w:rFonts w:ascii="Times New Roman" w:hAnsi="Times New Roman" w:cs="Times New Roman"/>
              </w:rPr>
              <w:t xml:space="preserve">6 </w:t>
            </w:r>
          </w:p>
        </w:tc>
        <w:tc>
          <w:tcPr>
            <w:tcW w:w="1767" w:type="dxa"/>
            <w:tcBorders>
              <w:top w:val="single" w:sz="4" w:space="0" w:color="000000"/>
              <w:left w:val="single" w:sz="4" w:space="0" w:color="000000"/>
              <w:bottom w:val="single" w:sz="4" w:space="0" w:color="000000"/>
              <w:right w:val="single" w:sz="4" w:space="0" w:color="000000"/>
            </w:tcBorders>
          </w:tcPr>
          <w:p w:rsidR="00F07E05" w:rsidRPr="00343B43" w:rsidRDefault="00F07E05" w:rsidP="008A253E">
            <w:pPr>
              <w:spacing w:line="259" w:lineRule="auto"/>
              <w:ind w:right="91"/>
              <w:jc w:val="center"/>
              <w:rPr>
                <w:rFonts w:ascii="Times New Roman" w:hAnsi="Times New Roman" w:cs="Times New Roman"/>
              </w:rPr>
            </w:pPr>
            <w:r w:rsidRPr="00343B43">
              <w:rPr>
                <w:rFonts w:ascii="Times New Roman" w:hAnsi="Times New Roman" w:cs="Times New Roman"/>
              </w:rPr>
              <w:t xml:space="preserve">7 </w:t>
            </w:r>
          </w:p>
        </w:tc>
        <w:tc>
          <w:tcPr>
            <w:tcW w:w="1681" w:type="dxa"/>
            <w:tcBorders>
              <w:top w:val="single" w:sz="4" w:space="0" w:color="000000"/>
              <w:left w:val="single" w:sz="4" w:space="0" w:color="000000"/>
              <w:bottom w:val="single" w:sz="4" w:space="0" w:color="000000"/>
              <w:right w:val="single" w:sz="4" w:space="0" w:color="000000"/>
            </w:tcBorders>
          </w:tcPr>
          <w:p w:rsidR="00F07E05" w:rsidRPr="00343B43" w:rsidRDefault="00F07E05" w:rsidP="008A253E">
            <w:pPr>
              <w:spacing w:line="259" w:lineRule="auto"/>
              <w:ind w:right="95"/>
              <w:jc w:val="center"/>
              <w:rPr>
                <w:rFonts w:ascii="Times New Roman" w:hAnsi="Times New Roman" w:cs="Times New Roman"/>
              </w:rPr>
            </w:pPr>
            <w:r w:rsidRPr="00343B43">
              <w:rPr>
                <w:rFonts w:ascii="Times New Roman" w:hAnsi="Times New Roman" w:cs="Times New Roman"/>
              </w:rPr>
              <w:t xml:space="preserve">8 </w:t>
            </w:r>
          </w:p>
        </w:tc>
      </w:tr>
      <w:tr w:rsidR="00F07E05" w:rsidTr="008A253E">
        <w:trPr>
          <w:trHeight w:val="283"/>
        </w:trPr>
        <w:tc>
          <w:tcPr>
            <w:tcW w:w="1283" w:type="dxa"/>
            <w:tcBorders>
              <w:top w:val="single" w:sz="4" w:space="0" w:color="000000"/>
              <w:left w:val="single" w:sz="4" w:space="0" w:color="000000"/>
              <w:bottom w:val="single" w:sz="4" w:space="0" w:color="000000"/>
              <w:right w:val="single" w:sz="4" w:space="0" w:color="000000"/>
            </w:tcBorders>
          </w:tcPr>
          <w:p w:rsidR="00F07E05" w:rsidRPr="00343B43" w:rsidRDefault="00F07E05" w:rsidP="008A253E">
            <w:pPr>
              <w:spacing w:line="259" w:lineRule="auto"/>
              <w:ind w:left="65"/>
              <w:rPr>
                <w:rFonts w:ascii="Times New Roman" w:hAnsi="Times New Roman" w:cs="Times New Roman"/>
              </w:rPr>
            </w:pPr>
            <w:r w:rsidRPr="00343B43">
              <w:rPr>
                <w:rFonts w:ascii="Times New Roman" w:hAnsi="Times New Roman" w:cs="Times New Roman"/>
              </w:rPr>
              <w:t xml:space="preserve">2945,5 </w:t>
            </w:r>
          </w:p>
        </w:tc>
        <w:tc>
          <w:tcPr>
            <w:tcW w:w="1441" w:type="dxa"/>
            <w:tcBorders>
              <w:top w:val="single" w:sz="4" w:space="0" w:color="000000"/>
              <w:left w:val="single" w:sz="4" w:space="0" w:color="000000"/>
              <w:bottom w:val="single" w:sz="4" w:space="0" w:color="000000"/>
              <w:right w:val="single" w:sz="4" w:space="0" w:color="000000"/>
            </w:tcBorders>
          </w:tcPr>
          <w:p w:rsidR="00F07E05" w:rsidRPr="00343B43" w:rsidRDefault="00F07E05" w:rsidP="008A253E">
            <w:pPr>
              <w:spacing w:line="259" w:lineRule="auto"/>
              <w:ind w:right="93"/>
              <w:jc w:val="center"/>
              <w:rPr>
                <w:rFonts w:ascii="Times New Roman" w:hAnsi="Times New Roman" w:cs="Times New Roman"/>
              </w:rPr>
            </w:pPr>
            <w:r w:rsidRPr="00343B43">
              <w:rPr>
                <w:rFonts w:ascii="Times New Roman" w:hAnsi="Times New Roman" w:cs="Times New Roman"/>
              </w:rPr>
              <w:t xml:space="preserve">4783,6 </w:t>
            </w:r>
          </w:p>
        </w:tc>
        <w:tc>
          <w:tcPr>
            <w:tcW w:w="1606" w:type="dxa"/>
            <w:tcBorders>
              <w:top w:val="single" w:sz="4" w:space="0" w:color="000000"/>
              <w:left w:val="single" w:sz="4" w:space="0" w:color="000000"/>
              <w:bottom w:val="single" w:sz="4" w:space="0" w:color="000000"/>
              <w:right w:val="single" w:sz="4" w:space="0" w:color="000000"/>
            </w:tcBorders>
          </w:tcPr>
          <w:p w:rsidR="00F07E05" w:rsidRPr="00343B43" w:rsidRDefault="00F07E05" w:rsidP="008A253E">
            <w:pPr>
              <w:spacing w:line="259" w:lineRule="auto"/>
              <w:ind w:right="90"/>
              <w:jc w:val="center"/>
              <w:rPr>
                <w:rFonts w:ascii="Times New Roman" w:hAnsi="Times New Roman" w:cs="Times New Roman"/>
              </w:rPr>
            </w:pPr>
            <w:r w:rsidRPr="00343B43">
              <w:rPr>
                <w:rFonts w:ascii="Times New Roman" w:hAnsi="Times New Roman" w:cs="Times New Roman"/>
              </w:rPr>
              <w:t xml:space="preserve">1616,4 </w:t>
            </w:r>
          </w:p>
        </w:tc>
        <w:tc>
          <w:tcPr>
            <w:tcW w:w="1925" w:type="dxa"/>
            <w:tcBorders>
              <w:top w:val="single" w:sz="4" w:space="0" w:color="000000"/>
              <w:left w:val="single" w:sz="4" w:space="0" w:color="000000"/>
              <w:bottom w:val="single" w:sz="4" w:space="0" w:color="000000"/>
              <w:right w:val="single" w:sz="4" w:space="0" w:color="000000"/>
            </w:tcBorders>
          </w:tcPr>
          <w:p w:rsidR="00F07E05" w:rsidRPr="00343B43" w:rsidRDefault="00F07E05" w:rsidP="008A253E">
            <w:pPr>
              <w:spacing w:line="259" w:lineRule="auto"/>
              <w:ind w:right="92"/>
              <w:jc w:val="center"/>
              <w:rPr>
                <w:rFonts w:ascii="Times New Roman" w:hAnsi="Times New Roman" w:cs="Times New Roman"/>
              </w:rPr>
            </w:pPr>
            <w:r w:rsidRPr="00343B43">
              <w:rPr>
                <w:rFonts w:ascii="Times New Roman" w:hAnsi="Times New Roman" w:cs="Times New Roman"/>
              </w:rPr>
              <w:t xml:space="preserve">3115,2 </w:t>
            </w:r>
          </w:p>
        </w:tc>
        <w:tc>
          <w:tcPr>
            <w:tcW w:w="1767" w:type="dxa"/>
            <w:tcBorders>
              <w:top w:val="single" w:sz="4" w:space="0" w:color="000000"/>
              <w:left w:val="single" w:sz="4" w:space="0" w:color="000000"/>
              <w:bottom w:val="single" w:sz="4" w:space="0" w:color="000000"/>
              <w:right w:val="single" w:sz="4" w:space="0" w:color="000000"/>
            </w:tcBorders>
          </w:tcPr>
          <w:p w:rsidR="00F07E05" w:rsidRPr="00343B43" w:rsidRDefault="00F07E05" w:rsidP="008A253E">
            <w:pPr>
              <w:spacing w:line="259" w:lineRule="auto"/>
              <w:ind w:right="93"/>
              <w:jc w:val="center"/>
              <w:rPr>
                <w:rFonts w:ascii="Times New Roman" w:hAnsi="Times New Roman" w:cs="Times New Roman"/>
              </w:rPr>
            </w:pPr>
            <w:r w:rsidRPr="00343B43">
              <w:rPr>
                <w:rFonts w:ascii="Times New Roman" w:hAnsi="Times New Roman" w:cs="Times New Roman"/>
              </w:rPr>
              <w:t xml:space="preserve">3115,2 </w:t>
            </w:r>
          </w:p>
        </w:tc>
        <w:tc>
          <w:tcPr>
            <w:tcW w:w="1681" w:type="dxa"/>
            <w:tcBorders>
              <w:top w:val="single" w:sz="4" w:space="0" w:color="000000"/>
              <w:left w:val="single" w:sz="4" w:space="0" w:color="000000"/>
              <w:bottom w:val="single" w:sz="4" w:space="0" w:color="000000"/>
              <w:right w:val="single" w:sz="4" w:space="0" w:color="000000"/>
            </w:tcBorders>
          </w:tcPr>
          <w:p w:rsidR="00F07E05" w:rsidRPr="00343B43" w:rsidRDefault="00F07E05" w:rsidP="008A253E">
            <w:pPr>
              <w:spacing w:line="259" w:lineRule="auto"/>
              <w:ind w:right="97"/>
              <w:jc w:val="center"/>
              <w:rPr>
                <w:rFonts w:ascii="Times New Roman" w:hAnsi="Times New Roman" w:cs="Times New Roman"/>
              </w:rPr>
            </w:pPr>
            <w:r w:rsidRPr="00343B43">
              <w:rPr>
                <w:rFonts w:ascii="Times New Roman" w:hAnsi="Times New Roman" w:cs="Times New Roman"/>
              </w:rPr>
              <w:t xml:space="preserve">3115,2 </w:t>
            </w:r>
          </w:p>
        </w:tc>
      </w:tr>
    </w:tbl>
    <w:p w:rsidR="00F07E05" w:rsidRDefault="00F07E05" w:rsidP="00F07E05">
      <w:pPr>
        <w:autoSpaceDE w:val="0"/>
        <w:autoSpaceDN w:val="0"/>
        <w:adjustRightInd w:val="0"/>
        <w:ind w:firstLine="900"/>
        <w:jc w:val="both"/>
        <w:rPr>
          <w:sz w:val="28"/>
          <w:szCs w:val="28"/>
        </w:rPr>
      </w:pPr>
    </w:p>
    <w:p w:rsidR="00F07E05" w:rsidRDefault="00F07E05" w:rsidP="00F07E05">
      <w:pPr>
        <w:autoSpaceDE w:val="0"/>
        <w:autoSpaceDN w:val="0"/>
        <w:adjustRightInd w:val="0"/>
        <w:ind w:firstLine="720"/>
        <w:jc w:val="center"/>
        <w:rPr>
          <w:b/>
          <w:sz w:val="28"/>
          <w:szCs w:val="28"/>
        </w:rPr>
      </w:pPr>
    </w:p>
    <w:p w:rsidR="00F07E05" w:rsidRPr="00927333" w:rsidRDefault="00F07E05" w:rsidP="00F07E05">
      <w:pPr>
        <w:autoSpaceDE w:val="0"/>
        <w:autoSpaceDN w:val="0"/>
        <w:adjustRightInd w:val="0"/>
        <w:ind w:firstLine="720"/>
        <w:jc w:val="center"/>
        <w:rPr>
          <w:b/>
          <w:sz w:val="28"/>
          <w:szCs w:val="28"/>
        </w:rPr>
      </w:pPr>
      <w:r w:rsidRPr="00927333">
        <w:rPr>
          <w:b/>
          <w:sz w:val="28"/>
          <w:szCs w:val="28"/>
        </w:rPr>
        <w:t>Уполномоченный по правам человека в Тверской области и его аппарат</w:t>
      </w:r>
    </w:p>
    <w:p w:rsidR="00F07E05" w:rsidRDefault="00F07E05" w:rsidP="00F07E05">
      <w:pPr>
        <w:pStyle w:val="21"/>
        <w:jc w:val="right"/>
        <w:rPr>
          <w:b/>
        </w:rPr>
      </w:pPr>
    </w:p>
    <w:p w:rsidR="00F07E05" w:rsidRPr="00C93A58" w:rsidRDefault="00F07E05" w:rsidP="00F07E05">
      <w:pPr>
        <w:pStyle w:val="21"/>
        <w:jc w:val="right"/>
        <w:rPr>
          <w:b/>
        </w:rPr>
      </w:pPr>
      <w:r w:rsidRPr="00C93A58">
        <w:rPr>
          <w:b/>
        </w:rPr>
        <w:t>тыс.руб.</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1368"/>
        <w:gridCol w:w="1440"/>
        <w:gridCol w:w="1620"/>
      </w:tblGrid>
      <w:tr w:rsidR="00F07E05" w:rsidRPr="00C93A58" w:rsidTr="008A253E">
        <w:trPr>
          <w:trHeight w:val="510"/>
        </w:trPr>
        <w:tc>
          <w:tcPr>
            <w:tcW w:w="2520" w:type="dxa"/>
            <w:noWrap/>
          </w:tcPr>
          <w:p w:rsidR="00F07E05" w:rsidRPr="00C93A58" w:rsidRDefault="00F07E05" w:rsidP="008A253E">
            <w:pPr>
              <w:rPr>
                <w:b/>
                <w:sz w:val="20"/>
                <w:szCs w:val="20"/>
              </w:rPr>
            </w:pPr>
            <w:r w:rsidRPr="00C93A58">
              <w:rPr>
                <w:b/>
                <w:sz w:val="20"/>
                <w:szCs w:val="20"/>
              </w:rPr>
              <w:t>Код БК</w:t>
            </w:r>
          </w:p>
        </w:tc>
        <w:tc>
          <w:tcPr>
            <w:tcW w:w="2520" w:type="dxa"/>
            <w:noWrap/>
          </w:tcPr>
          <w:p w:rsidR="00F07E05" w:rsidRPr="00C93A58" w:rsidRDefault="00F07E05" w:rsidP="008A253E">
            <w:pPr>
              <w:rPr>
                <w:b/>
                <w:sz w:val="20"/>
                <w:szCs w:val="20"/>
              </w:rPr>
            </w:pPr>
            <w:r w:rsidRPr="00C93A58">
              <w:rPr>
                <w:b/>
                <w:sz w:val="20"/>
                <w:szCs w:val="20"/>
              </w:rPr>
              <w:t>Наименование</w:t>
            </w:r>
          </w:p>
        </w:tc>
        <w:tc>
          <w:tcPr>
            <w:tcW w:w="1368" w:type="dxa"/>
          </w:tcPr>
          <w:p w:rsidR="00F07E05" w:rsidRPr="00C93A58" w:rsidRDefault="00F07E05" w:rsidP="008A253E">
            <w:pPr>
              <w:jc w:val="center"/>
              <w:rPr>
                <w:b/>
                <w:sz w:val="20"/>
                <w:szCs w:val="20"/>
              </w:rPr>
            </w:pPr>
            <w:r w:rsidRPr="00C93A58">
              <w:rPr>
                <w:b/>
                <w:sz w:val="20"/>
                <w:szCs w:val="20"/>
              </w:rPr>
              <w:t>Прогноз на</w:t>
            </w:r>
          </w:p>
          <w:p w:rsidR="00F07E05" w:rsidRPr="00C93A58" w:rsidRDefault="00F07E05" w:rsidP="008A253E">
            <w:pPr>
              <w:jc w:val="center"/>
              <w:rPr>
                <w:b/>
                <w:sz w:val="20"/>
                <w:szCs w:val="20"/>
              </w:rPr>
            </w:pPr>
            <w:r w:rsidRPr="00C93A58">
              <w:rPr>
                <w:b/>
                <w:sz w:val="20"/>
                <w:szCs w:val="20"/>
              </w:rPr>
              <w:t>20</w:t>
            </w:r>
            <w:r>
              <w:rPr>
                <w:b/>
                <w:sz w:val="20"/>
                <w:szCs w:val="20"/>
              </w:rPr>
              <w:t xml:space="preserve">22 </w:t>
            </w:r>
            <w:r w:rsidRPr="00C93A58">
              <w:rPr>
                <w:b/>
                <w:sz w:val="20"/>
                <w:szCs w:val="20"/>
              </w:rPr>
              <w:t xml:space="preserve">год </w:t>
            </w:r>
          </w:p>
          <w:p w:rsidR="00F07E05" w:rsidRPr="00C93A58" w:rsidRDefault="00F07E05" w:rsidP="008A253E">
            <w:pPr>
              <w:jc w:val="center"/>
              <w:rPr>
                <w:b/>
                <w:sz w:val="20"/>
                <w:szCs w:val="20"/>
              </w:rPr>
            </w:pPr>
          </w:p>
        </w:tc>
        <w:tc>
          <w:tcPr>
            <w:tcW w:w="1440" w:type="dxa"/>
          </w:tcPr>
          <w:p w:rsidR="00F07E05" w:rsidRPr="00C93A58" w:rsidRDefault="00F07E05" w:rsidP="008A253E">
            <w:pPr>
              <w:jc w:val="center"/>
              <w:rPr>
                <w:b/>
                <w:sz w:val="20"/>
                <w:szCs w:val="20"/>
              </w:rPr>
            </w:pPr>
            <w:r w:rsidRPr="00C93A58">
              <w:rPr>
                <w:b/>
                <w:sz w:val="20"/>
                <w:szCs w:val="20"/>
              </w:rPr>
              <w:t>Прогноз на</w:t>
            </w:r>
          </w:p>
          <w:p w:rsidR="00F07E05" w:rsidRPr="00C93A58" w:rsidRDefault="00F07E05" w:rsidP="008A253E">
            <w:pPr>
              <w:jc w:val="center"/>
              <w:rPr>
                <w:b/>
                <w:sz w:val="20"/>
                <w:szCs w:val="20"/>
              </w:rPr>
            </w:pPr>
            <w:r w:rsidRPr="00C93A58">
              <w:rPr>
                <w:b/>
                <w:sz w:val="20"/>
                <w:szCs w:val="20"/>
              </w:rPr>
              <w:t>20</w:t>
            </w:r>
            <w:r>
              <w:rPr>
                <w:b/>
                <w:sz w:val="20"/>
                <w:szCs w:val="20"/>
              </w:rPr>
              <w:t xml:space="preserve">23 </w:t>
            </w:r>
            <w:r w:rsidRPr="00C93A58">
              <w:rPr>
                <w:b/>
                <w:sz w:val="20"/>
                <w:szCs w:val="20"/>
              </w:rPr>
              <w:t>год</w:t>
            </w:r>
          </w:p>
          <w:p w:rsidR="00F07E05" w:rsidRPr="00C93A58" w:rsidRDefault="00F07E05" w:rsidP="008A253E">
            <w:pPr>
              <w:jc w:val="center"/>
              <w:rPr>
                <w:b/>
                <w:sz w:val="20"/>
                <w:szCs w:val="20"/>
              </w:rPr>
            </w:pPr>
          </w:p>
        </w:tc>
        <w:tc>
          <w:tcPr>
            <w:tcW w:w="1620" w:type="dxa"/>
          </w:tcPr>
          <w:p w:rsidR="00F07E05" w:rsidRPr="00C93A58" w:rsidRDefault="00F07E05" w:rsidP="008A253E">
            <w:pPr>
              <w:jc w:val="center"/>
              <w:rPr>
                <w:b/>
                <w:sz w:val="20"/>
                <w:szCs w:val="20"/>
              </w:rPr>
            </w:pPr>
            <w:r w:rsidRPr="00C93A58">
              <w:rPr>
                <w:b/>
                <w:sz w:val="20"/>
                <w:szCs w:val="20"/>
              </w:rPr>
              <w:t>Прогноз на</w:t>
            </w:r>
          </w:p>
          <w:p w:rsidR="00F07E05" w:rsidRPr="00C93A58" w:rsidRDefault="00F07E05" w:rsidP="008A253E">
            <w:pPr>
              <w:jc w:val="center"/>
              <w:rPr>
                <w:b/>
                <w:sz w:val="20"/>
                <w:szCs w:val="20"/>
              </w:rPr>
            </w:pPr>
            <w:r w:rsidRPr="00C93A58">
              <w:rPr>
                <w:b/>
                <w:sz w:val="20"/>
                <w:szCs w:val="20"/>
              </w:rPr>
              <w:t>20</w:t>
            </w:r>
            <w:r>
              <w:rPr>
                <w:b/>
                <w:sz w:val="20"/>
                <w:szCs w:val="20"/>
              </w:rPr>
              <w:t xml:space="preserve">24 </w:t>
            </w:r>
            <w:r w:rsidRPr="00C93A58">
              <w:rPr>
                <w:b/>
                <w:sz w:val="20"/>
                <w:szCs w:val="20"/>
              </w:rPr>
              <w:t xml:space="preserve"> год</w:t>
            </w:r>
          </w:p>
          <w:p w:rsidR="00F07E05" w:rsidRPr="00C93A58" w:rsidRDefault="00F07E05" w:rsidP="008A253E">
            <w:pPr>
              <w:jc w:val="center"/>
              <w:rPr>
                <w:b/>
                <w:sz w:val="20"/>
                <w:szCs w:val="20"/>
              </w:rPr>
            </w:pPr>
          </w:p>
        </w:tc>
      </w:tr>
      <w:tr w:rsidR="00F07E05" w:rsidRPr="00C93A58" w:rsidTr="008A253E">
        <w:trPr>
          <w:trHeight w:val="834"/>
        </w:trPr>
        <w:tc>
          <w:tcPr>
            <w:tcW w:w="2520" w:type="dxa"/>
            <w:noWrap/>
          </w:tcPr>
          <w:p w:rsidR="00F07E05" w:rsidRPr="00C93A58" w:rsidRDefault="00F07E05" w:rsidP="008A253E">
            <w:pPr>
              <w:jc w:val="center"/>
              <w:rPr>
                <w:b/>
                <w:sz w:val="16"/>
                <w:szCs w:val="16"/>
              </w:rPr>
            </w:pPr>
          </w:p>
          <w:p w:rsidR="00F07E05" w:rsidRPr="00C93A58" w:rsidRDefault="00F07E05" w:rsidP="008A253E">
            <w:pPr>
              <w:jc w:val="center"/>
              <w:rPr>
                <w:b/>
                <w:sz w:val="16"/>
                <w:szCs w:val="16"/>
              </w:rPr>
            </w:pPr>
          </w:p>
          <w:p w:rsidR="00F07E05" w:rsidRPr="00C93A58" w:rsidRDefault="00F07E05" w:rsidP="008A253E">
            <w:pPr>
              <w:jc w:val="center"/>
              <w:rPr>
                <w:b/>
                <w:sz w:val="16"/>
                <w:szCs w:val="16"/>
              </w:rPr>
            </w:pPr>
            <w:r w:rsidRPr="00C93A58">
              <w:rPr>
                <w:b/>
                <w:sz w:val="16"/>
                <w:szCs w:val="16"/>
              </w:rPr>
              <w:t>000</w:t>
            </w:r>
            <w:r w:rsidRPr="00C93A58">
              <w:rPr>
                <w:b/>
                <w:sz w:val="16"/>
                <w:szCs w:val="16"/>
                <w:lang w:val="en-US"/>
              </w:rPr>
              <w:t xml:space="preserve"> 1 13 0</w:t>
            </w:r>
            <w:r w:rsidRPr="00C93A58">
              <w:rPr>
                <w:b/>
                <w:sz w:val="16"/>
                <w:szCs w:val="16"/>
              </w:rPr>
              <w:t>2990</w:t>
            </w:r>
            <w:r w:rsidRPr="00C93A58">
              <w:rPr>
                <w:b/>
                <w:sz w:val="16"/>
                <w:szCs w:val="16"/>
                <w:lang w:val="en-US"/>
              </w:rPr>
              <w:t xml:space="preserve"> 0</w:t>
            </w:r>
            <w:r w:rsidRPr="00C93A58">
              <w:rPr>
                <w:b/>
                <w:sz w:val="16"/>
                <w:szCs w:val="16"/>
              </w:rPr>
              <w:t>0</w:t>
            </w:r>
            <w:r w:rsidRPr="00C93A58">
              <w:rPr>
                <w:b/>
                <w:sz w:val="16"/>
                <w:szCs w:val="16"/>
                <w:lang w:val="en-US"/>
              </w:rPr>
              <w:t xml:space="preserve"> 0</w:t>
            </w:r>
            <w:r w:rsidRPr="00C93A58">
              <w:rPr>
                <w:b/>
                <w:sz w:val="16"/>
                <w:szCs w:val="16"/>
              </w:rPr>
              <w:t>000 130</w:t>
            </w:r>
          </w:p>
        </w:tc>
        <w:tc>
          <w:tcPr>
            <w:tcW w:w="2520" w:type="dxa"/>
          </w:tcPr>
          <w:p w:rsidR="00F07E05" w:rsidRPr="00C93A58" w:rsidRDefault="00F07E05" w:rsidP="008A253E">
            <w:pPr>
              <w:rPr>
                <w:sz w:val="20"/>
                <w:szCs w:val="20"/>
              </w:rPr>
            </w:pPr>
          </w:p>
          <w:p w:rsidR="00F07E05" w:rsidRPr="00C93A58" w:rsidRDefault="00F07E05" w:rsidP="008A253E">
            <w:pPr>
              <w:rPr>
                <w:sz w:val="20"/>
                <w:szCs w:val="20"/>
              </w:rPr>
            </w:pPr>
            <w:r w:rsidRPr="00C93A58">
              <w:rPr>
                <w:sz w:val="20"/>
                <w:szCs w:val="20"/>
              </w:rPr>
              <w:t xml:space="preserve">Прочие доходы от компенсации затрат государства </w:t>
            </w:r>
          </w:p>
        </w:tc>
        <w:tc>
          <w:tcPr>
            <w:tcW w:w="1368" w:type="dxa"/>
            <w:noWrap/>
          </w:tcPr>
          <w:p w:rsidR="00F07E05" w:rsidRDefault="00F07E05" w:rsidP="008A253E">
            <w:pPr>
              <w:ind w:hanging="108"/>
              <w:jc w:val="center"/>
              <w:rPr>
                <w:sz w:val="20"/>
                <w:szCs w:val="20"/>
              </w:rPr>
            </w:pPr>
          </w:p>
          <w:p w:rsidR="00F07E05" w:rsidRPr="00C93A58" w:rsidRDefault="00F07E05" w:rsidP="008A253E">
            <w:pPr>
              <w:ind w:hanging="108"/>
              <w:jc w:val="center"/>
              <w:rPr>
                <w:sz w:val="20"/>
                <w:szCs w:val="20"/>
              </w:rPr>
            </w:pPr>
            <w:r>
              <w:rPr>
                <w:sz w:val="20"/>
                <w:szCs w:val="20"/>
              </w:rPr>
              <w:t>54,8</w:t>
            </w:r>
          </w:p>
        </w:tc>
        <w:tc>
          <w:tcPr>
            <w:tcW w:w="1440" w:type="dxa"/>
            <w:noWrap/>
          </w:tcPr>
          <w:p w:rsidR="00F07E05" w:rsidRDefault="00F07E05" w:rsidP="008A253E">
            <w:pPr>
              <w:ind w:left="-136" w:right="-108" w:hanging="28"/>
              <w:jc w:val="center"/>
              <w:rPr>
                <w:sz w:val="20"/>
                <w:szCs w:val="20"/>
              </w:rPr>
            </w:pPr>
          </w:p>
          <w:p w:rsidR="00F07E05" w:rsidRPr="00C93A58" w:rsidRDefault="00F07E05" w:rsidP="008A253E">
            <w:pPr>
              <w:ind w:left="-136" w:right="-108" w:hanging="28"/>
              <w:jc w:val="center"/>
              <w:rPr>
                <w:sz w:val="20"/>
                <w:szCs w:val="20"/>
              </w:rPr>
            </w:pPr>
            <w:r>
              <w:rPr>
                <w:sz w:val="20"/>
                <w:szCs w:val="20"/>
              </w:rPr>
              <w:t>54,8</w:t>
            </w:r>
          </w:p>
        </w:tc>
        <w:tc>
          <w:tcPr>
            <w:tcW w:w="1620" w:type="dxa"/>
            <w:noWrap/>
          </w:tcPr>
          <w:p w:rsidR="00F07E05" w:rsidRDefault="00F07E05" w:rsidP="008A253E">
            <w:pPr>
              <w:ind w:left="-108" w:right="-3" w:hanging="108"/>
              <w:jc w:val="center"/>
              <w:rPr>
                <w:sz w:val="20"/>
                <w:szCs w:val="20"/>
              </w:rPr>
            </w:pPr>
          </w:p>
          <w:p w:rsidR="00F07E05" w:rsidRPr="00C93A58" w:rsidRDefault="00F07E05" w:rsidP="008A253E">
            <w:pPr>
              <w:ind w:left="-108" w:right="-3" w:hanging="108"/>
              <w:jc w:val="center"/>
              <w:rPr>
                <w:sz w:val="20"/>
                <w:szCs w:val="20"/>
              </w:rPr>
            </w:pPr>
            <w:r>
              <w:rPr>
                <w:sz w:val="20"/>
                <w:szCs w:val="20"/>
              </w:rPr>
              <w:t>54,8</w:t>
            </w:r>
          </w:p>
        </w:tc>
      </w:tr>
    </w:tbl>
    <w:p w:rsidR="00F07E05" w:rsidRPr="00C93A58" w:rsidRDefault="00F07E05" w:rsidP="00F07E05">
      <w:pPr>
        <w:ind w:firstLine="720"/>
        <w:jc w:val="both"/>
        <w:rPr>
          <w:b/>
          <w:sz w:val="28"/>
          <w:szCs w:val="28"/>
        </w:rPr>
      </w:pPr>
    </w:p>
    <w:p w:rsidR="00F07E05" w:rsidRDefault="00F07E05" w:rsidP="00F07E05">
      <w:pPr>
        <w:ind w:firstLine="708"/>
        <w:jc w:val="both"/>
        <w:rPr>
          <w:sz w:val="28"/>
          <w:szCs w:val="28"/>
        </w:rPr>
      </w:pPr>
      <w:r w:rsidRPr="00C93A58">
        <w:rPr>
          <w:sz w:val="28"/>
          <w:szCs w:val="28"/>
        </w:rPr>
        <w:t xml:space="preserve">В соответствии с Методикой прогнозирования утвержденной приказом </w:t>
      </w:r>
      <w:r>
        <w:rPr>
          <w:sz w:val="28"/>
          <w:szCs w:val="28"/>
        </w:rPr>
        <w:t>Уполномоченного по правам человека в Тверской области и его аппарата от 14.11.2019 № 37</w:t>
      </w:r>
      <w:r w:rsidRPr="00C93A58">
        <w:rPr>
          <w:sz w:val="28"/>
          <w:szCs w:val="28"/>
        </w:rPr>
        <w:t xml:space="preserve"> расчет прогнозного объема поступлений рассчитывается методом усреднения годовых объемов дохода полученных за 3 года, предшествующих </w:t>
      </w:r>
      <w:r>
        <w:rPr>
          <w:sz w:val="28"/>
          <w:szCs w:val="28"/>
        </w:rPr>
        <w:t>планируемому</w:t>
      </w:r>
      <w:r w:rsidRPr="00C93A58">
        <w:rPr>
          <w:sz w:val="28"/>
          <w:szCs w:val="28"/>
        </w:rPr>
        <w:t xml:space="preserve">. </w:t>
      </w:r>
    </w:p>
    <w:p w:rsidR="00F07E05" w:rsidRDefault="00F07E05" w:rsidP="00F07E05">
      <w:pPr>
        <w:ind w:firstLine="708"/>
        <w:jc w:val="both"/>
        <w:rPr>
          <w:sz w:val="28"/>
          <w:szCs w:val="28"/>
        </w:rPr>
      </w:pPr>
    </w:p>
    <w:p w:rsidR="00F07E05" w:rsidRDefault="00F07E05" w:rsidP="00F07E05">
      <w:pPr>
        <w:ind w:firstLine="708"/>
        <w:jc w:val="both"/>
        <w:rPr>
          <w:sz w:val="28"/>
          <w:szCs w:val="28"/>
        </w:rPr>
      </w:pPr>
    </w:p>
    <w:p w:rsidR="00F07E05" w:rsidRDefault="00F07E05" w:rsidP="00F07E05">
      <w:pPr>
        <w:ind w:firstLine="708"/>
        <w:jc w:val="both"/>
        <w:rPr>
          <w:sz w:val="28"/>
          <w:szCs w:val="28"/>
        </w:rPr>
      </w:pPr>
    </w:p>
    <w:tbl>
      <w:tblPr>
        <w:tblStyle w:val="TableGrid"/>
        <w:tblW w:w="9705" w:type="dxa"/>
        <w:tblInd w:w="0" w:type="dxa"/>
        <w:tblCellMar>
          <w:top w:w="54" w:type="dxa"/>
          <w:left w:w="108" w:type="dxa"/>
          <w:right w:w="18" w:type="dxa"/>
        </w:tblCellMar>
        <w:tblLook w:val="04A0" w:firstRow="1" w:lastRow="0" w:firstColumn="1" w:lastColumn="0" w:noHBand="0" w:noVBand="1"/>
      </w:tblPr>
      <w:tblGrid>
        <w:gridCol w:w="1260"/>
        <w:gridCol w:w="1418"/>
        <w:gridCol w:w="1787"/>
        <w:gridCol w:w="1875"/>
        <w:gridCol w:w="1723"/>
        <w:gridCol w:w="1642"/>
      </w:tblGrid>
      <w:tr w:rsidR="00F07E05" w:rsidTr="008A253E">
        <w:trPr>
          <w:trHeight w:val="1098"/>
        </w:trPr>
        <w:tc>
          <w:tcPr>
            <w:tcW w:w="4331" w:type="dxa"/>
            <w:gridSpan w:val="3"/>
            <w:tcBorders>
              <w:top w:val="single" w:sz="4" w:space="0" w:color="000000"/>
              <w:left w:val="single" w:sz="4" w:space="0" w:color="000000"/>
              <w:bottom w:val="single" w:sz="4" w:space="0" w:color="000000"/>
              <w:right w:val="single" w:sz="4" w:space="0" w:color="000000"/>
            </w:tcBorders>
          </w:tcPr>
          <w:p w:rsidR="00F07E05" w:rsidRPr="00343B43" w:rsidRDefault="00F07E05" w:rsidP="008A253E">
            <w:pPr>
              <w:spacing w:line="259" w:lineRule="auto"/>
              <w:jc w:val="center"/>
              <w:rPr>
                <w:rFonts w:ascii="Times New Roman" w:hAnsi="Times New Roman" w:cs="Times New Roman"/>
              </w:rPr>
            </w:pPr>
            <w:r w:rsidRPr="00343B43">
              <w:rPr>
                <w:rFonts w:ascii="Times New Roman" w:eastAsia="Times New Roman" w:hAnsi="Times New Roman" w:cs="Times New Roman"/>
                <w:b/>
              </w:rPr>
              <w:t xml:space="preserve">Фактические поступления предыдущих периодов, тыс. руб. </w:t>
            </w:r>
          </w:p>
        </w:tc>
        <w:tc>
          <w:tcPr>
            <w:tcW w:w="5374" w:type="dxa"/>
            <w:gridSpan w:val="3"/>
            <w:tcBorders>
              <w:top w:val="single" w:sz="4" w:space="0" w:color="000000"/>
              <w:left w:val="single" w:sz="4" w:space="0" w:color="000000"/>
              <w:bottom w:val="single" w:sz="4" w:space="0" w:color="000000"/>
              <w:right w:val="single" w:sz="4" w:space="0" w:color="000000"/>
            </w:tcBorders>
          </w:tcPr>
          <w:p w:rsidR="00F07E05" w:rsidRPr="00343B43" w:rsidRDefault="00F07E05" w:rsidP="008A253E">
            <w:pPr>
              <w:spacing w:line="259" w:lineRule="auto"/>
              <w:ind w:left="125" w:right="100"/>
              <w:jc w:val="center"/>
              <w:rPr>
                <w:rFonts w:ascii="Times New Roman" w:hAnsi="Times New Roman" w:cs="Times New Roman"/>
              </w:rPr>
            </w:pPr>
            <w:r w:rsidRPr="00343B43">
              <w:rPr>
                <w:rFonts w:ascii="Times New Roman" w:eastAsia="Times New Roman" w:hAnsi="Times New Roman" w:cs="Times New Roman"/>
                <w:b/>
              </w:rPr>
              <w:t xml:space="preserve">Прогноз поступлений, тыс. руб.  гр. </w:t>
            </w:r>
            <w:r>
              <w:rPr>
                <w:rFonts w:ascii="Times New Roman" w:eastAsia="Times New Roman" w:hAnsi="Times New Roman" w:cs="Times New Roman"/>
                <w:b/>
              </w:rPr>
              <w:t>(</w:t>
            </w:r>
            <w:r w:rsidRPr="00343B43">
              <w:rPr>
                <w:rFonts w:ascii="Times New Roman" w:eastAsia="Times New Roman" w:hAnsi="Times New Roman" w:cs="Times New Roman"/>
                <w:b/>
              </w:rPr>
              <w:t>2</w:t>
            </w:r>
            <w:r>
              <w:rPr>
                <w:rFonts w:ascii="Times New Roman" w:eastAsia="Times New Roman" w:hAnsi="Times New Roman" w:cs="Times New Roman"/>
                <w:b/>
              </w:rPr>
              <w:t>+</w:t>
            </w:r>
            <w:r w:rsidRPr="00343B43">
              <w:rPr>
                <w:rFonts w:ascii="Times New Roman" w:eastAsia="Times New Roman" w:hAnsi="Times New Roman" w:cs="Times New Roman"/>
                <w:b/>
              </w:rPr>
              <w:t>3</w:t>
            </w:r>
            <w:r>
              <w:rPr>
                <w:rFonts w:ascii="Times New Roman" w:eastAsia="Times New Roman" w:hAnsi="Times New Roman" w:cs="Times New Roman"/>
                <w:b/>
              </w:rPr>
              <w:t>+</w:t>
            </w:r>
            <w:r w:rsidRPr="00343B43">
              <w:rPr>
                <w:rFonts w:ascii="Times New Roman" w:eastAsia="Times New Roman" w:hAnsi="Times New Roman" w:cs="Times New Roman"/>
                <w:b/>
              </w:rPr>
              <w:t>4</w:t>
            </w:r>
            <w:r>
              <w:rPr>
                <w:rFonts w:ascii="Times New Roman" w:eastAsia="Times New Roman" w:hAnsi="Times New Roman" w:cs="Times New Roman"/>
                <w:b/>
              </w:rPr>
              <w:t>)</w:t>
            </w:r>
            <w:r w:rsidRPr="00343B43">
              <w:rPr>
                <w:rFonts w:ascii="Times New Roman" w:eastAsia="Times New Roman" w:hAnsi="Times New Roman" w:cs="Times New Roman"/>
                <w:b/>
              </w:rPr>
              <w:t xml:space="preserve">/3 </w:t>
            </w:r>
          </w:p>
        </w:tc>
      </w:tr>
      <w:tr w:rsidR="00F07E05" w:rsidTr="008A253E">
        <w:trPr>
          <w:trHeight w:val="281"/>
        </w:trPr>
        <w:tc>
          <w:tcPr>
            <w:tcW w:w="1283" w:type="dxa"/>
            <w:tcBorders>
              <w:top w:val="single" w:sz="4" w:space="0" w:color="000000"/>
              <w:left w:val="single" w:sz="4" w:space="0" w:color="000000"/>
              <w:bottom w:val="single" w:sz="4" w:space="0" w:color="000000"/>
              <w:right w:val="single" w:sz="4" w:space="0" w:color="000000"/>
            </w:tcBorders>
          </w:tcPr>
          <w:p w:rsidR="00F07E05" w:rsidRPr="00343B43" w:rsidRDefault="00F07E05" w:rsidP="008A253E">
            <w:pPr>
              <w:spacing w:line="259" w:lineRule="auto"/>
              <w:ind w:left="41"/>
              <w:rPr>
                <w:rFonts w:ascii="Times New Roman" w:hAnsi="Times New Roman" w:cs="Times New Roman"/>
              </w:rPr>
            </w:pPr>
            <w:r w:rsidRPr="00343B43">
              <w:rPr>
                <w:rFonts w:ascii="Times New Roman" w:eastAsia="Times New Roman" w:hAnsi="Times New Roman" w:cs="Times New Roman"/>
                <w:b/>
              </w:rPr>
              <w:t>201</w:t>
            </w:r>
            <w:r>
              <w:rPr>
                <w:rFonts w:ascii="Times New Roman" w:eastAsia="Times New Roman" w:hAnsi="Times New Roman" w:cs="Times New Roman"/>
                <w:b/>
              </w:rPr>
              <w:t>9</w:t>
            </w:r>
            <w:r w:rsidRPr="00343B43">
              <w:rPr>
                <w:rFonts w:ascii="Times New Roman" w:eastAsia="Times New Roman" w:hAnsi="Times New Roman" w:cs="Times New Roman"/>
                <w:b/>
              </w:rPr>
              <w:t xml:space="preserve"> г. </w:t>
            </w:r>
          </w:p>
        </w:tc>
        <w:tc>
          <w:tcPr>
            <w:tcW w:w="1441" w:type="dxa"/>
            <w:tcBorders>
              <w:top w:val="single" w:sz="4" w:space="0" w:color="000000"/>
              <w:left w:val="single" w:sz="4" w:space="0" w:color="000000"/>
              <w:bottom w:val="single" w:sz="4" w:space="0" w:color="000000"/>
              <w:right w:val="single" w:sz="4" w:space="0" w:color="000000"/>
            </w:tcBorders>
          </w:tcPr>
          <w:p w:rsidR="00F07E05" w:rsidRPr="00343B43" w:rsidRDefault="00F07E05" w:rsidP="008A253E">
            <w:pPr>
              <w:spacing w:line="259" w:lineRule="auto"/>
              <w:ind w:right="93"/>
              <w:jc w:val="center"/>
              <w:rPr>
                <w:rFonts w:ascii="Times New Roman" w:hAnsi="Times New Roman" w:cs="Times New Roman"/>
              </w:rPr>
            </w:pPr>
            <w:r>
              <w:rPr>
                <w:rFonts w:ascii="Times New Roman" w:eastAsia="Times New Roman" w:hAnsi="Times New Roman" w:cs="Times New Roman"/>
                <w:b/>
              </w:rPr>
              <w:t>2020г.</w:t>
            </w:r>
            <w:r w:rsidRPr="00343B43">
              <w:rPr>
                <w:rFonts w:ascii="Times New Roman" w:eastAsia="Times New Roman" w:hAnsi="Times New Roman" w:cs="Times New Roman"/>
                <w:b/>
              </w:rPr>
              <w:t xml:space="preserve"> </w:t>
            </w:r>
          </w:p>
        </w:tc>
        <w:tc>
          <w:tcPr>
            <w:tcW w:w="1606" w:type="dxa"/>
            <w:tcBorders>
              <w:top w:val="single" w:sz="4" w:space="0" w:color="000000"/>
              <w:left w:val="single" w:sz="4" w:space="0" w:color="000000"/>
              <w:bottom w:val="single" w:sz="4" w:space="0" w:color="000000"/>
              <w:right w:val="single" w:sz="4" w:space="0" w:color="000000"/>
            </w:tcBorders>
          </w:tcPr>
          <w:p w:rsidR="00F07E05" w:rsidRPr="00343B43" w:rsidRDefault="00F07E05" w:rsidP="008A253E">
            <w:pPr>
              <w:spacing w:line="259" w:lineRule="auto"/>
              <w:ind w:right="90"/>
              <w:jc w:val="center"/>
              <w:rPr>
                <w:rFonts w:ascii="Times New Roman" w:hAnsi="Times New Roman" w:cs="Times New Roman"/>
              </w:rPr>
            </w:pPr>
            <w:r w:rsidRPr="00343B43">
              <w:rPr>
                <w:rFonts w:ascii="Times New Roman" w:eastAsia="Times New Roman" w:hAnsi="Times New Roman" w:cs="Times New Roman"/>
                <w:b/>
              </w:rPr>
              <w:t>202</w:t>
            </w:r>
            <w:r>
              <w:rPr>
                <w:rFonts w:ascii="Times New Roman" w:eastAsia="Times New Roman" w:hAnsi="Times New Roman" w:cs="Times New Roman"/>
                <w:b/>
              </w:rPr>
              <w:t>1г.(оценка)</w:t>
            </w:r>
            <w:r w:rsidRPr="00343B43">
              <w:rPr>
                <w:rFonts w:ascii="Times New Roman" w:eastAsia="Times New Roman" w:hAnsi="Times New Roman" w:cs="Times New Roman"/>
                <w:b/>
              </w:rPr>
              <w:t xml:space="preserve"> </w:t>
            </w:r>
          </w:p>
        </w:tc>
        <w:tc>
          <w:tcPr>
            <w:tcW w:w="1925" w:type="dxa"/>
            <w:tcBorders>
              <w:top w:val="single" w:sz="4" w:space="0" w:color="000000"/>
              <w:left w:val="single" w:sz="4" w:space="0" w:color="000000"/>
              <w:bottom w:val="single" w:sz="4" w:space="0" w:color="000000"/>
              <w:right w:val="single" w:sz="4" w:space="0" w:color="000000"/>
            </w:tcBorders>
          </w:tcPr>
          <w:p w:rsidR="00F07E05" w:rsidRPr="00343B43" w:rsidRDefault="00F07E05" w:rsidP="008A253E">
            <w:pPr>
              <w:spacing w:line="259" w:lineRule="auto"/>
              <w:ind w:right="92"/>
              <w:jc w:val="center"/>
              <w:rPr>
                <w:rFonts w:ascii="Times New Roman" w:hAnsi="Times New Roman" w:cs="Times New Roman"/>
              </w:rPr>
            </w:pPr>
            <w:r w:rsidRPr="00343B43">
              <w:rPr>
                <w:rFonts w:ascii="Times New Roman" w:eastAsia="Times New Roman" w:hAnsi="Times New Roman" w:cs="Times New Roman"/>
                <w:b/>
              </w:rPr>
              <w:t xml:space="preserve">2022 г. </w:t>
            </w:r>
          </w:p>
        </w:tc>
        <w:tc>
          <w:tcPr>
            <w:tcW w:w="1767" w:type="dxa"/>
            <w:tcBorders>
              <w:top w:val="single" w:sz="4" w:space="0" w:color="000000"/>
              <w:left w:val="single" w:sz="4" w:space="0" w:color="000000"/>
              <w:bottom w:val="single" w:sz="4" w:space="0" w:color="000000"/>
              <w:right w:val="single" w:sz="4" w:space="0" w:color="000000"/>
            </w:tcBorders>
          </w:tcPr>
          <w:p w:rsidR="00F07E05" w:rsidRPr="00343B43" w:rsidRDefault="00F07E05" w:rsidP="008A253E">
            <w:pPr>
              <w:spacing w:line="259" w:lineRule="auto"/>
              <w:ind w:right="93"/>
              <w:jc w:val="center"/>
              <w:rPr>
                <w:rFonts w:ascii="Times New Roman" w:hAnsi="Times New Roman" w:cs="Times New Roman"/>
              </w:rPr>
            </w:pPr>
            <w:r w:rsidRPr="00343B43">
              <w:rPr>
                <w:rFonts w:ascii="Times New Roman" w:eastAsia="Times New Roman" w:hAnsi="Times New Roman" w:cs="Times New Roman"/>
                <w:b/>
              </w:rPr>
              <w:t xml:space="preserve">2023 г. </w:t>
            </w:r>
          </w:p>
        </w:tc>
        <w:tc>
          <w:tcPr>
            <w:tcW w:w="1681" w:type="dxa"/>
            <w:tcBorders>
              <w:top w:val="single" w:sz="4" w:space="0" w:color="000000"/>
              <w:left w:val="single" w:sz="4" w:space="0" w:color="000000"/>
              <w:bottom w:val="single" w:sz="4" w:space="0" w:color="000000"/>
              <w:right w:val="single" w:sz="4" w:space="0" w:color="000000"/>
            </w:tcBorders>
          </w:tcPr>
          <w:p w:rsidR="00F07E05" w:rsidRPr="00343B43" w:rsidRDefault="00F07E05" w:rsidP="008A253E">
            <w:pPr>
              <w:spacing w:line="259" w:lineRule="auto"/>
              <w:ind w:right="97"/>
              <w:jc w:val="center"/>
              <w:rPr>
                <w:rFonts w:ascii="Times New Roman" w:hAnsi="Times New Roman" w:cs="Times New Roman"/>
              </w:rPr>
            </w:pPr>
            <w:r w:rsidRPr="00343B43">
              <w:rPr>
                <w:rFonts w:ascii="Times New Roman" w:eastAsia="Times New Roman" w:hAnsi="Times New Roman" w:cs="Times New Roman"/>
                <w:b/>
              </w:rPr>
              <w:t xml:space="preserve">2024 г. </w:t>
            </w:r>
          </w:p>
        </w:tc>
      </w:tr>
      <w:tr w:rsidR="00F07E05" w:rsidTr="008A253E">
        <w:trPr>
          <w:trHeight w:val="281"/>
        </w:trPr>
        <w:tc>
          <w:tcPr>
            <w:tcW w:w="1283" w:type="dxa"/>
            <w:tcBorders>
              <w:top w:val="single" w:sz="4" w:space="0" w:color="000000"/>
              <w:left w:val="single" w:sz="4" w:space="0" w:color="000000"/>
              <w:bottom w:val="single" w:sz="4" w:space="0" w:color="000000"/>
              <w:right w:val="single" w:sz="4" w:space="0" w:color="000000"/>
            </w:tcBorders>
          </w:tcPr>
          <w:p w:rsidR="00F07E05" w:rsidRPr="00343B43" w:rsidRDefault="00F07E05" w:rsidP="008A253E">
            <w:pPr>
              <w:spacing w:line="259" w:lineRule="auto"/>
              <w:ind w:right="90"/>
              <w:jc w:val="center"/>
              <w:rPr>
                <w:rFonts w:ascii="Times New Roman" w:hAnsi="Times New Roman" w:cs="Times New Roman"/>
              </w:rPr>
            </w:pPr>
            <w:r w:rsidRPr="00343B43">
              <w:rPr>
                <w:rFonts w:ascii="Times New Roman" w:hAnsi="Times New Roman" w:cs="Times New Roman"/>
              </w:rPr>
              <w:t xml:space="preserve">2 </w:t>
            </w:r>
          </w:p>
        </w:tc>
        <w:tc>
          <w:tcPr>
            <w:tcW w:w="1441" w:type="dxa"/>
            <w:tcBorders>
              <w:top w:val="single" w:sz="4" w:space="0" w:color="000000"/>
              <w:left w:val="single" w:sz="4" w:space="0" w:color="000000"/>
              <w:bottom w:val="single" w:sz="4" w:space="0" w:color="000000"/>
              <w:right w:val="single" w:sz="4" w:space="0" w:color="000000"/>
            </w:tcBorders>
          </w:tcPr>
          <w:p w:rsidR="00F07E05" w:rsidRPr="00343B43" w:rsidRDefault="00F07E05" w:rsidP="008A253E">
            <w:pPr>
              <w:spacing w:line="259" w:lineRule="auto"/>
              <w:ind w:right="91"/>
              <w:jc w:val="center"/>
              <w:rPr>
                <w:rFonts w:ascii="Times New Roman" w:hAnsi="Times New Roman" w:cs="Times New Roman"/>
              </w:rPr>
            </w:pPr>
            <w:r w:rsidRPr="00343B43">
              <w:rPr>
                <w:rFonts w:ascii="Times New Roman" w:hAnsi="Times New Roman" w:cs="Times New Roman"/>
              </w:rPr>
              <w:t xml:space="preserve">3 </w:t>
            </w:r>
          </w:p>
        </w:tc>
        <w:tc>
          <w:tcPr>
            <w:tcW w:w="1606" w:type="dxa"/>
            <w:tcBorders>
              <w:top w:val="single" w:sz="4" w:space="0" w:color="000000"/>
              <w:left w:val="single" w:sz="4" w:space="0" w:color="000000"/>
              <w:bottom w:val="single" w:sz="4" w:space="0" w:color="000000"/>
              <w:right w:val="single" w:sz="4" w:space="0" w:color="000000"/>
            </w:tcBorders>
          </w:tcPr>
          <w:p w:rsidR="00F07E05" w:rsidRPr="00343B43" w:rsidRDefault="00F07E05" w:rsidP="008A253E">
            <w:pPr>
              <w:spacing w:line="259" w:lineRule="auto"/>
              <w:ind w:right="92"/>
              <w:jc w:val="center"/>
              <w:rPr>
                <w:rFonts w:ascii="Times New Roman" w:hAnsi="Times New Roman" w:cs="Times New Roman"/>
              </w:rPr>
            </w:pPr>
            <w:r w:rsidRPr="00343B43">
              <w:rPr>
                <w:rFonts w:ascii="Times New Roman" w:hAnsi="Times New Roman" w:cs="Times New Roman"/>
              </w:rPr>
              <w:t xml:space="preserve">4 </w:t>
            </w:r>
          </w:p>
        </w:tc>
        <w:tc>
          <w:tcPr>
            <w:tcW w:w="1925" w:type="dxa"/>
            <w:tcBorders>
              <w:top w:val="single" w:sz="4" w:space="0" w:color="000000"/>
              <w:left w:val="single" w:sz="4" w:space="0" w:color="000000"/>
              <w:bottom w:val="single" w:sz="4" w:space="0" w:color="000000"/>
              <w:right w:val="single" w:sz="4" w:space="0" w:color="000000"/>
            </w:tcBorders>
          </w:tcPr>
          <w:p w:rsidR="00F07E05" w:rsidRPr="00343B43" w:rsidRDefault="00F07E05" w:rsidP="008A253E">
            <w:pPr>
              <w:spacing w:line="259" w:lineRule="auto"/>
              <w:ind w:right="90"/>
              <w:jc w:val="center"/>
              <w:rPr>
                <w:rFonts w:ascii="Times New Roman" w:hAnsi="Times New Roman" w:cs="Times New Roman"/>
              </w:rPr>
            </w:pPr>
            <w:r w:rsidRPr="00343B43">
              <w:rPr>
                <w:rFonts w:ascii="Times New Roman" w:hAnsi="Times New Roman" w:cs="Times New Roman"/>
              </w:rPr>
              <w:t xml:space="preserve">6 </w:t>
            </w:r>
          </w:p>
        </w:tc>
        <w:tc>
          <w:tcPr>
            <w:tcW w:w="1767" w:type="dxa"/>
            <w:tcBorders>
              <w:top w:val="single" w:sz="4" w:space="0" w:color="000000"/>
              <w:left w:val="single" w:sz="4" w:space="0" w:color="000000"/>
              <w:bottom w:val="single" w:sz="4" w:space="0" w:color="000000"/>
              <w:right w:val="single" w:sz="4" w:space="0" w:color="000000"/>
            </w:tcBorders>
          </w:tcPr>
          <w:p w:rsidR="00F07E05" w:rsidRPr="00343B43" w:rsidRDefault="00F07E05" w:rsidP="008A253E">
            <w:pPr>
              <w:spacing w:line="259" w:lineRule="auto"/>
              <w:ind w:right="91"/>
              <w:jc w:val="center"/>
              <w:rPr>
                <w:rFonts w:ascii="Times New Roman" w:hAnsi="Times New Roman" w:cs="Times New Roman"/>
              </w:rPr>
            </w:pPr>
            <w:r w:rsidRPr="00343B43">
              <w:rPr>
                <w:rFonts w:ascii="Times New Roman" w:hAnsi="Times New Roman" w:cs="Times New Roman"/>
              </w:rPr>
              <w:t xml:space="preserve">7 </w:t>
            </w:r>
          </w:p>
        </w:tc>
        <w:tc>
          <w:tcPr>
            <w:tcW w:w="1681" w:type="dxa"/>
            <w:tcBorders>
              <w:top w:val="single" w:sz="4" w:space="0" w:color="000000"/>
              <w:left w:val="single" w:sz="4" w:space="0" w:color="000000"/>
              <w:bottom w:val="single" w:sz="4" w:space="0" w:color="000000"/>
              <w:right w:val="single" w:sz="4" w:space="0" w:color="000000"/>
            </w:tcBorders>
          </w:tcPr>
          <w:p w:rsidR="00F07E05" w:rsidRPr="00343B43" w:rsidRDefault="00F07E05" w:rsidP="008A253E">
            <w:pPr>
              <w:spacing w:line="259" w:lineRule="auto"/>
              <w:ind w:right="95"/>
              <w:jc w:val="center"/>
              <w:rPr>
                <w:rFonts w:ascii="Times New Roman" w:hAnsi="Times New Roman" w:cs="Times New Roman"/>
              </w:rPr>
            </w:pPr>
            <w:r w:rsidRPr="00343B43">
              <w:rPr>
                <w:rFonts w:ascii="Times New Roman" w:hAnsi="Times New Roman" w:cs="Times New Roman"/>
              </w:rPr>
              <w:t xml:space="preserve">8 </w:t>
            </w:r>
          </w:p>
        </w:tc>
      </w:tr>
      <w:tr w:rsidR="00F07E05" w:rsidTr="008A253E">
        <w:trPr>
          <w:trHeight w:val="283"/>
        </w:trPr>
        <w:tc>
          <w:tcPr>
            <w:tcW w:w="1283" w:type="dxa"/>
            <w:tcBorders>
              <w:top w:val="single" w:sz="4" w:space="0" w:color="000000"/>
              <w:left w:val="single" w:sz="4" w:space="0" w:color="000000"/>
              <w:bottom w:val="single" w:sz="4" w:space="0" w:color="000000"/>
              <w:right w:val="single" w:sz="4" w:space="0" w:color="000000"/>
            </w:tcBorders>
          </w:tcPr>
          <w:p w:rsidR="00F07E05" w:rsidRPr="00343B43" w:rsidRDefault="00F07E05" w:rsidP="008A253E">
            <w:pPr>
              <w:spacing w:line="259" w:lineRule="auto"/>
              <w:ind w:left="65"/>
              <w:rPr>
                <w:rFonts w:ascii="Times New Roman" w:hAnsi="Times New Roman" w:cs="Times New Roman"/>
              </w:rPr>
            </w:pPr>
            <w:r>
              <w:rPr>
                <w:rFonts w:ascii="Times New Roman" w:hAnsi="Times New Roman" w:cs="Times New Roman"/>
              </w:rPr>
              <w:t>150,2</w:t>
            </w:r>
            <w:r w:rsidRPr="00343B43">
              <w:rPr>
                <w:rFonts w:ascii="Times New Roman" w:hAnsi="Times New Roman" w:cs="Times New Roman"/>
              </w:rPr>
              <w:t xml:space="preserve"> </w:t>
            </w:r>
          </w:p>
        </w:tc>
        <w:tc>
          <w:tcPr>
            <w:tcW w:w="1441" w:type="dxa"/>
            <w:tcBorders>
              <w:top w:val="single" w:sz="4" w:space="0" w:color="000000"/>
              <w:left w:val="single" w:sz="4" w:space="0" w:color="000000"/>
              <w:bottom w:val="single" w:sz="4" w:space="0" w:color="000000"/>
              <w:right w:val="single" w:sz="4" w:space="0" w:color="000000"/>
            </w:tcBorders>
          </w:tcPr>
          <w:p w:rsidR="00F07E05" w:rsidRPr="00343B43" w:rsidRDefault="00F07E05" w:rsidP="008A253E">
            <w:pPr>
              <w:spacing w:line="259" w:lineRule="auto"/>
              <w:ind w:right="93"/>
              <w:jc w:val="center"/>
              <w:rPr>
                <w:rFonts w:ascii="Times New Roman" w:hAnsi="Times New Roman" w:cs="Times New Roman"/>
              </w:rPr>
            </w:pPr>
            <w:r>
              <w:rPr>
                <w:rFonts w:ascii="Times New Roman" w:hAnsi="Times New Roman" w:cs="Times New Roman"/>
              </w:rPr>
              <w:t>13,9</w:t>
            </w:r>
            <w:r w:rsidRPr="00343B43">
              <w:rPr>
                <w:rFonts w:ascii="Times New Roman" w:hAnsi="Times New Roman" w:cs="Times New Roman"/>
              </w:rPr>
              <w:t xml:space="preserve"> </w:t>
            </w:r>
          </w:p>
        </w:tc>
        <w:tc>
          <w:tcPr>
            <w:tcW w:w="1606" w:type="dxa"/>
            <w:tcBorders>
              <w:top w:val="single" w:sz="4" w:space="0" w:color="000000"/>
              <w:left w:val="single" w:sz="4" w:space="0" w:color="000000"/>
              <w:bottom w:val="single" w:sz="4" w:space="0" w:color="000000"/>
              <w:right w:val="single" w:sz="4" w:space="0" w:color="000000"/>
            </w:tcBorders>
          </w:tcPr>
          <w:p w:rsidR="00F07E05" w:rsidRPr="00343B43" w:rsidRDefault="00F07E05" w:rsidP="008A253E">
            <w:pPr>
              <w:spacing w:line="259" w:lineRule="auto"/>
              <w:ind w:right="90"/>
              <w:jc w:val="center"/>
              <w:rPr>
                <w:rFonts w:ascii="Times New Roman" w:hAnsi="Times New Roman" w:cs="Times New Roman"/>
              </w:rPr>
            </w:pPr>
            <w:r>
              <w:rPr>
                <w:rFonts w:ascii="Times New Roman" w:hAnsi="Times New Roman" w:cs="Times New Roman"/>
              </w:rPr>
              <w:t>0,2</w:t>
            </w:r>
            <w:r w:rsidRPr="00343B43">
              <w:rPr>
                <w:rFonts w:ascii="Times New Roman" w:hAnsi="Times New Roman" w:cs="Times New Roman"/>
              </w:rPr>
              <w:t xml:space="preserve"> </w:t>
            </w:r>
          </w:p>
        </w:tc>
        <w:tc>
          <w:tcPr>
            <w:tcW w:w="1925" w:type="dxa"/>
            <w:tcBorders>
              <w:top w:val="single" w:sz="4" w:space="0" w:color="000000"/>
              <w:left w:val="single" w:sz="4" w:space="0" w:color="000000"/>
              <w:bottom w:val="single" w:sz="4" w:space="0" w:color="000000"/>
              <w:right w:val="single" w:sz="4" w:space="0" w:color="000000"/>
            </w:tcBorders>
          </w:tcPr>
          <w:p w:rsidR="00F07E05" w:rsidRPr="00343B43" w:rsidRDefault="00F07E05" w:rsidP="008A253E">
            <w:pPr>
              <w:spacing w:line="259" w:lineRule="auto"/>
              <w:ind w:right="92"/>
              <w:jc w:val="center"/>
              <w:rPr>
                <w:rFonts w:ascii="Times New Roman" w:hAnsi="Times New Roman" w:cs="Times New Roman"/>
              </w:rPr>
            </w:pPr>
            <w:r>
              <w:rPr>
                <w:rFonts w:ascii="Times New Roman" w:hAnsi="Times New Roman" w:cs="Times New Roman"/>
              </w:rPr>
              <w:t>54,8</w:t>
            </w:r>
            <w:r w:rsidRPr="00343B43">
              <w:rPr>
                <w:rFonts w:ascii="Times New Roman" w:hAnsi="Times New Roman" w:cs="Times New Roman"/>
              </w:rPr>
              <w:t xml:space="preserve"> </w:t>
            </w:r>
          </w:p>
        </w:tc>
        <w:tc>
          <w:tcPr>
            <w:tcW w:w="1767" w:type="dxa"/>
            <w:tcBorders>
              <w:top w:val="single" w:sz="4" w:space="0" w:color="000000"/>
              <w:left w:val="single" w:sz="4" w:space="0" w:color="000000"/>
              <w:bottom w:val="single" w:sz="4" w:space="0" w:color="000000"/>
              <w:right w:val="single" w:sz="4" w:space="0" w:color="000000"/>
            </w:tcBorders>
          </w:tcPr>
          <w:p w:rsidR="00F07E05" w:rsidRPr="00343B43" w:rsidRDefault="00F07E05" w:rsidP="008A253E">
            <w:pPr>
              <w:spacing w:line="259" w:lineRule="auto"/>
              <w:ind w:right="93"/>
              <w:jc w:val="center"/>
              <w:rPr>
                <w:rFonts w:ascii="Times New Roman" w:hAnsi="Times New Roman" w:cs="Times New Roman"/>
              </w:rPr>
            </w:pPr>
            <w:r>
              <w:rPr>
                <w:rFonts w:ascii="Times New Roman" w:hAnsi="Times New Roman" w:cs="Times New Roman"/>
              </w:rPr>
              <w:t>54,8</w:t>
            </w:r>
            <w:r w:rsidRPr="00343B43">
              <w:rPr>
                <w:rFonts w:ascii="Times New Roman" w:hAnsi="Times New Roman" w:cs="Times New Roman"/>
              </w:rPr>
              <w:t xml:space="preserve"> </w:t>
            </w:r>
          </w:p>
        </w:tc>
        <w:tc>
          <w:tcPr>
            <w:tcW w:w="1681" w:type="dxa"/>
            <w:tcBorders>
              <w:top w:val="single" w:sz="4" w:space="0" w:color="000000"/>
              <w:left w:val="single" w:sz="4" w:space="0" w:color="000000"/>
              <w:bottom w:val="single" w:sz="4" w:space="0" w:color="000000"/>
              <w:right w:val="single" w:sz="4" w:space="0" w:color="000000"/>
            </w:tcBorders>
          </w:tcPr>
          <w:p w:rsidR="00F07E05" w:rsidRPr="00343B43" w:rsidRDefault="00F07E05" w:rsidP="008A253E">
            <w:pPr>
              <w:spacing w:line="259" w:lineRule="auto"/>
              <w:ind w:right="97"/>
              <w:jc w:val="center"/>
              <w:rPr>
                <w:rFonts w:ascii="Times New Roman" w:hAnsi="Times New Roman" w:cs="Times New Roman"/>
              </w:rPr>
            </w:pPr>
            <w:r>
              <w:rPr>
                <w:rFonts w:ascii="Times New Roman" w:hAnsi="Times New Roman" w:cs="Times New Roman"/>
              </w:rPr>
              <w:t>54,8</w:t>
            </w:r>
            <w:r w:rsidRPr="00343B43">
              <w:rPr>
                <w:rFonts w:ascii="Times New Roman" w:hAnsi="Times New Roman" w:cs="Times New Roman"/>
              </w:rPr>
              <w:t xml:space="preserve"> </w:t>
            </w:r>
          </w:p>
        </w:tc>
      </w:tr>
    </w:tbl>
    <w:p w:rsidR="00F07E05" w:rsidRDefault="00F07E05" w:rsidP="00F07E05">
      <w:pPr>
        <w:ind w:firstLine="708"/>
        <w:jc w:val="both"/>
        <w:rPr>
          <w:sz w:val="28"/>
          <w:szCs w:val="28"/>
        </w:rPr>
      </w:pPr>
    </w:p>
    <w:p w:rsidR="00F07E05" w:rsidRDefault="00F07E05" w:rsidP="00F07E05">
      <w:pPr>
        <w:autoSpaceDE w:val="0"/>
        <w:autoSpaceDN w:val="0"/>
        <w:adjustRightInd w:val="0"/>
        <w:ind w:firstLine="720"/>
        <w:jc w:val="center"/>
        <w:rPr>
          <w:b/>
          <w:sz w:val="28"/>
          <w:szCs w:val="28"/>
        </w:rPr>
      </w:pPr>
    </w:p>
    <w:p w:rsidR="00F07E05" w:rsidRDefault="00F07E05" w:rsidP="00F07E05">
      <w:pPr>
        <w:autoSpaceDE w:val="0"/>
        <w:autoSpaceDN w:val="0"/>
        <w:adjustRightInd w:val="0"/>
        <w:ind w:firstLine="720"/>
        <w:jc w:val="center"/>
        <w:rPr>
          <w:b/>
          <w:sz w:val="28"/>
          <w:szCs w:val="28"/>
        </w:rPr>
      </w:pPr>
    </w:p>
    <w:p w:rsidR="00F07E05" w:rsidRDefault="00F07E05" w:rsidP="00F07E05">
      <w:pPr>
        <w:autoSpaceDE w:val="0"/>
        <w:autoSpaceDN w:val="0"/>
        <w:adjustRightInd w:val="0"/>
        <w:ind w:firstLine="720"/>
        <w:jc w:val="center"/>
        <w:rPr>
          <w:b/>
          <w:sz w:val="28"/>
          <w:szCs w:val="28"/>
        </w:rPr>
      </w:pPr>
    </w:p>
    <w:p w:rsidR="00F07E05" w:rsidRDefault="00F07E05" w:rsidP="00F07E05">
      <w:pPr>
        <w:autoSpaceDE w:val="0"/>
        <w:autoSpaceDN w:val="0"/>
        <w:adjustRightInd w:val="0"/>
        <w:ind w:firstLine="720"/>
        <w:jc w:val="center"/>
        <w:rPr>
          <w:b/>
          <w:sz w:val="28"/>
          <w:szCs w:val="28"/>
        </w:rPr>
      </w:pPr>
    </w:p>
    <w:p w:rsidR="00F07E05" w:rsidRDefault="00F07E05" w:rsidP="00F07E05">
      <w:pPr>
        <w:autoSpaceDE w:val="0"/>
        <w:autoSpaceDN w:val="0"/>
        <w:adjustRightInd w:val="0"/>
        <w:ind w:firstLine="720"/>
        <w:jc w:val="center"/>
        <w:rPr>
          <w:b/>
          <w:sz w:val="28"/>
          <w:szCs w:val="28"/>
        </w:rPr>
      </w:pPr>
    </w:p>
    <w:p w:rsidR="00F07E05" w:rsidRDefault="00F07E05" w:rsidP="00F07E05">
      <w:pPr>
        <w:autoSpaceDE w:val="0"/>
        <w:autoSpaceDN w:val="0"/>
        <w:adjustRightInd w:val="0"/>
        <w:ind w:firstLine="720"/>
        <w:jc w:val="center"/>
        <w:rPr>
          <w:b/>
          <w:sz w:val="28"/>
          <w:szCs w:val="28"/>
        </w:rPr>
      </w:pPr>
    </w:p>
    <w:p w:rsidR="00F07E05" w:rsidRDefault="00F07E05" w:rsidP="00F07E05">
      <w:pPr>
        <w:autoSpaceDE w:val="0"/>
        <w:autoSpaceDN w:val="0"/>
        <w:adjustRightInd w:val="0"/>
        <w:ind w:firstLine="720"/>
        <w:jc w:val="center"/>
        <w:rPr>
          <w:b/>
          <w:sz w:val="28"/>
          <w:szCs w:val="28"/>
        </w:rPr>
      </w:pPr>
    </w:p>
    <w:p w:rsidR="00F07E05" w:rsidRDefault="00F07E05" w:rsidP="00F07E05">
      <w:pPr>
        <w:autoSpaceDE w:val="0"/>
        <w:autoSpaceDN w:val="0"/>
        <w:adjustRightInd w:val="0"/>
        <w:ind w:firstLine="720"/>
        <w:jc w:val="center"/>
        <w:rPr>
          <w:b/>
          <w:sz w:val="28"/>
          <w:szCs w:val="28"/>
        </w:rPr>
      </w:pPr>
    </w:p>
    <w:p w:rsidR="00F07E05" w:rsidRDefault="00F07E05" w:rsidP="00F07E05">
      <w:pPr>
        <w:autoSpaceDE w:val="0"/>
        <w:autoSpaceDN w:val="0"/>
        <w:adjustRightInd w:val="0"/>
        <w:ind w:firstLine="720"/>
        <w:jc w:val="center"/>
        <w:rPr>
          <w:b/>
          <w:sz w:val="28"/>
          <w:szCs w:val="28"/>
        </w:rPr>
      </w:pPr>
    </w:p>
    <w:p w:rsidR="00F07E05" w:rsidRDefault="00F07E05" w:rsidP="00F07E05">
      <w:pPr>
        <w:autoSpaceDE w:val="0"/>
        <w:autoSpaceDN w:val="0"/>
        <w:adjustRightInd w:val="0"/>
        <w:ind w:firstLine="720"/>
        <w:jc w:val="center"/>
        <w:rPr>
          <w:b/>
          <w:sz w:val="28"/>
          <w:szCs w:val="28"/>
        </w:rPr>
      </w:pPr>
    </w:p>
    <w:p w:rsidR="00F07E05" w:rsidRDefault="00F07E05" w:rsidP="00F07E05">
      <w:pPr>
        <w:autoSpaceDE w:val="0"/>
        <w:autoSpaceDN w:val="0"/>
        <w:adjustRightInd w:val="0"/>
        <w:ind w:firstLine="720"/>
        <w:jc w:val="center"/>
        <w:rPr>
          <w:b/>
          <w:sz w:val="28"/>
          <w:szCs w:val="28"/>
        </w:rPr>
      </w:pPr>
    </w:p>
    <w:p w:rsidR="00F07E05" w:rsidRPr="00AA55E8" w:rsidRDefault="00F07E05" w:rsidP="00F07E05">
      <w:pPr>
        <w:autoSpaceDE w:val="0"/>
        <w:autoSpaceDN w:val="0"/>
        <w:adjustRightInd w:val="0"/>
        <w:ind w:firstLine="720"/>
        <w:jc w:val="center"/>
        <w:rPr>
          <w:b/>
          <w:color w:val="000000" w:themeColor="text1"/>
          <w:sz w:val="28"/>
          <w:szCs w:val="28"/>
        </w:rPr>
      </w:pPr>
      <w:r w:rsidRPr="00AA55E8">
        <w:rPr>
          <w:b/>
          <w:color w:val="000000" w:themeColor="text1"/>
          <w:sz w:val="28"/>
          <w:szCs w:val="28"/>
        </w:rPr>
        <w:lastRenderedPageBreak/>
        <w:t>Доходы от продажи материальных и нематериальных активов</w:t>
      </w:r>
    </w:p>
    <w:p w:rsidR="00F07E05" w:rsidRDefault="00F07E05" w:rsidP="00F07E05">
      <w:pPr>
        <w:autoSpaceDE w:val="0"/>
        <w:autoSpaceDN w:val="0"/>
        <w:adjustRightInd w:val="0"/>
        <w:ind w:firstLine="720"/>
        <w:jc w:val="right"/>
        <w:rPr>
          <w:b/>
          <w:sz w:val="28"/>
          <w:szCs w:val="28"/>
        </w:rPr>
      </w:pPr>
      <w:r>
        <w:rPr>
          <w:b/>
          <w:sz w:val="28"/>
          <w:szCs w:val="28"/>
        </w:rPr>
        <w:t>тыс. руб.</w:t>
      </w:r>
    </w:p>
    <w:p w:rsidR="00F07E05" w:rsidRPr="00DB32A0" w:rsidRDefault="00F07E05" w:rsidP="00F07E05">
      <w:pPr>
        <w:autoSpaceDE w:val="0"/>
        <w:autoSpaceDN w:val="0"/>
        <w:adjustRightInd w:val="0"/>
        <w:ind w:firstLine="720"/>
        <w:jc w:val="center"/>
        <w:rPr>
          <w:b/>
          <w:sz w:val="28"/>
          <w:szCs w:val="28"/>
        </w:rPr>
      </w:pPr>
    </w:p>
    <w:tbl>
      <w:tblPr>
        <w:tblW w:w="10774" w:type="dxa"/>
        <w:tblInd w:w="-998" w:type="dxa"/>
        <w:tblLayout w:type="fixed"/>
        <w:tblLook w:val="04A0" w:firstRow="1" w:lastRow="0" w:firstColumn="1" w:lastColumn="0" w:noHBand="0" w:noVBand="1"/>
      </w:tblPr>
      <w:tblGrid>
        <w:gridCol w:w="2978"/>
        <w:gridCol w:w="4819"/>
        <w:gridCol w:w="992"/>
        <w:gridCol w:w="992"/>
        <w:gridCol w:w="993"/>
      </w:tblGrid>
      <w:tr w:rsidR="00F07E05" w:rsidTr="008A253E">
        <w:trPr>
          <w:trHeight w:val="330"/>
        </w:trPr>
        <w:tc>
          <w:tcPr>
            <w:tcW w:w="29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7E05" w:rsidRDefault="00F07E05" w:rsidP="008A253E">
            <w:pPr>
              <w:jc w:val="center"/>
              <w:rPr>
                <w:color w:val="000000"/>
              </w:rPr>
            </w:pPr>
            <w:r>
              <w:rPr>
                <w:color w:val="000000"/>
              </w:rPr>
              <w:t>Код бюджетной классификации Российской Федерации</w:t>
            </w:r>
          </w:p>
        </w:tc>
        <w:tc>
          <w:tcPr>
            <w:tcW w:w="481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7E05" w:rsidRDefault="00F07E05" w:rsidP="008A253E">
            <w:pPr>
              <w:jc w:val="center"/>
              <w:rPr>
                <w:color w:val="000000"/>
              </w:rPr>
            </w:pPr>
            <w:r>
              <w:rPr>
                <w:color w:val="000000"/>
              </w:rPr>
              <w:t>Наименование</w:t>
            </w:r>
            <w:r>
              <w:rPr>
                <w:color w:val="000000"/>
              </w:rPr>
              <w:br/>
              <w:t>дохода</w:t>
            </w:r>
          </w:p>
        </w:tc>
        <w:tc>
          <w:tcPr>
            <w:tcW w:w="2977" w:type="dxa"/>
            <w:gridSpan w:val="3"/>
            <w:tcBorders>
              <w:top w:val="single" w:sz="4" w:space="0" w:color="000000"/>
              <w:left w:val="nil"/>
              <w:bottom w:val="single" w:sz="4" w:space="0" w:color="000000"/>
              <w:right w:val="single" w:sz="4" w:space="0" w:color="000000"/>
            </w:tcBorders>
            <w:shd w:val="clear" w:color="auto" w:fill="auto"/>
            <w:vAlign w:val="center"/>
            <w:hideMark/>
          </w:tcPr>
          <w:p w:rsidR="00F07E05" w:rsidRDefault="00F07E05" w:rsidP="008A253E">
            <w:pPr>
              <w:jc w:val="center"/>
              <w:rPr>
                <w:color w:val="000000"/>
              </w:rPr>
            </w:pPr>
            <w:r>
              <w:rPr>
                <w:color w:val="000000"/>
              </w:rPr>
              <w:t>Сумма (тыс. рублей)</w:t>
            </w:r>
          </w:p>
        </w:tc>
      </w:tr>
      <w:tr w:rsidR="00F07E05" w:rsidTr="008A253E">
        <w:trPr>
          <w:trHeight w:val="394"/>
        </w:trPr>
        <w:tc>
          <w:tcPr>
            <w:tcW w:w="2978" w:type="dxa"/>
            <w:vMerge/>
            <w:tcBorders>
              <w:top w:val="single" w:sz="4" w:space="0" w:color="000000"/>
              <w:left w:val="single" w:sz="4" w:space="0" w:color="000000"/>
              <w:bottom w:val="single" w:sz="4" w:space="0" w:color="000000"/>
              <w:right w:val="single" w:sz="4" w:space="0" w:color="000000"/>
            </w:tcBorders>
            <w:vAlign w:val="center"/>
            <w:hideMark/>
          </w:tcPr>
          <w:p w:rsidR="00F07E05" w:rsidRDefault="00F07E05" w:rsidP="008A253E">
            <w:pPr>
              <w:rPr>
                <w:color w:val="000000"/>
              </w:rPr>
            </w:pPr>
          </w:p>
        </w:tc>
        <w:tc>
          <w:tcPr>
            <w:tcW w:w="4819" w:type="dxa"/>
            <w:vMerge/>
            <w:tcBorders>
              <w:top w:val="single" w:sz="4" w:space="0" w:color="000000"/>
              <w:left w:val="single" w:sz="4" w:space="0" w:color="000000"/>
              <w:bottom w:val="single" w:sz="4" w:space="0" w:color="000000"/>
              <w:right w:val="single" w:sz="4" w:space="0" w:color="000000"/>
            </w:tcBorders>
            <w:vAlign w:val="center"/>
            <w:hideMark/>
          </w:tcPr>
          <w:p w:rsidR="00F07E05" w:rsidRDefault="00F07E05" w:rsidP="008A253E">
            <w:pPr>
              <w:rPr>
                <w:color w:val="000000"/>
              </w:rPr>
            </w:pPr>
          </w:p>
        </w:tc>
        <w:tc>
          <w:tcPr>
            <w:tcW w:w="992" w:type="dxa"/>
            <w:tcBorders>
              <w:top w:val="nil"/>
              <w:left w:val="nil"/>
              <w:bottom w:val="single" w:sz="4" w:space="0" w:color="000000"/>
              <w:right w:val="single" w:sz="4" w:space="0" w:color="000000"/>
            </w:tcBorders>
            <w:shd w:val="clear" w:color="auto" w:fill="auto"/>
            <w:vAlign w:val="center"/>
            <w:hideMark/>
          </w:tcPr>
          <w:p w:rsidR="00F07E05" w:rsidRDefault="00F07E05" w:rsidP="008A253E">
            <w:pPr>
              <w:jc w:val="center"/>
              <w:rPr>
                <w:color w:val="000000"/>
              </w:rPr>
            </w:pPr>
            <w:r>
              <w:rPr>
                <w:color w:val="000000"/>
              </w:rPr>
              <w:t xml:space="preserve">2022 </w:t>
            </w:r>
          </w:p>
          <w:p w:rsidR="00F07E05" w:rsidRDefault="00F07E05" w:rsidP="008A253E">
            <w:pPr>
              <w:jc w:val="center"/>
              <w:rPr>
                <w:color w:val="000000"/>
              </w:rPr>
            </w:pPr>
            <w:r>
              <w:rPr>
                <w:color w:val="000000"/>
              </w:rPr>
              <w:t>год</w:t>
            </w:r>
          </w:p>
        </w:tc>
        <w:tc>
          <w:tcPr>
            <w:tcW w:w="992" w:type="dxa"/>
            <w:tcBorders>
              <w:top w:val="nil"/>
              <w:left w:val="nil"/>
              <w:bottom w:val="single" w:sz="4" w:space="0" w:color="000000"/>
              <w:right w:val="single" w:sz="4" w:space="0" w:color="000000"/>
            </w:tcBorders>
            <w:shd w:val="clear" w:color="auto" w:fill="auto"/>
            <w:vAlign w:val="center"/>
            <w:hideMark/>
          </w:tcPr>
          <w:p w:rsidR="00F07E05" w:rsidRDefault="00F07E05" w:rsidP="008A253E">
            <w:pPr>
              <w:jc w:val="center"/>
              <w:rPr>
                <w:color w:val="000000"/>
              </w:rPr>
            </w:pPr>
            <w:r>
              <w:rPr>
                <w:color w:val="000000"/>
              </w:rPr>
              <w:t>2023 год</w:t>
            </w:r>
          </w:p>
        </w:tc>
        <w:tc>
          <w:tcPr>
            <w:tcW w:w="993" w:type="dxa"/>
            <w:tcBorders>
              <w:top w:val="nil"/>
              <w:left w:val="nil"/>
              <w:bottom w:val="single" w:sz="4" w:space="0" w:color="000000"/>
              <w:right w:val="single" w:sz="4" w:space="0" w:color="000000"/>
            </w:tcBorders>
            <w:shd w:val="clear" w:color="auto" w:fill="auto"/>
            <w:vAlign w:val="center"/>
            <w:hideMark/>
          </w:tcPr>
          <w:p w:rsidR="00F07E05" w:rsidRDefault="00F07E05" w:rsidP="008A253E">
            <w:pPr>
              <w:jc w:val="center"/>
              <w:rPr>
                <w:color w:val="000000"/>
              </w:rPr>
            </w:pPr>
            <w:r>
              <w:rPr>
                <w:color w:val="000000"/>
              </w:rPr>
              <w:t>2024 год</w:t>
            </w:r>
          </w:p>
        </w:tc>
      </w:tr>
      <w:tr w:rsidR="00F07E05" w:rsidTr="008A253E">
        <w:trPr>
          <w:trHeight w:val="289"/>
        </w:trPr>
        <w:tc>
          <w:tcPr>
            <w:tcW w:w="2978" w:type="dxa"/>
            <w:tcBorders>
              <w:top w:val="nil"/>
              <w:left w:val="single" w:sz="4" w:space="0" w:color="000000"/>
              <w:bottom w:val="single" w:sz="4" w:space="0" w:color="000000"/>
              <w:right w:val="single" w:sz="4" w:space="0" w:color="000000"/>
            </w:tcBorders>
            <w:shd w:val="clear" w:color="auto" w:fill="auto"/>
            <w:vAlign w:val="center"/>
            <w:hideMark/>
          </w:tcPr>
          <w:p w:rsidR="00F07E05" w:rsidRDefault="00F07E05" w:rsidP="008A253E">
            <w:pPr>
              <w:jc w:val="center"/>
              <w:rPr>
                <w:color w:val="000000"/>
              </w:rPr>
            </w:pPr>
            <w:r>
              <w:rPr>
                <w:color w:val="000000"/>
              </w:rPr>
              <w:t>1</w:t>
            </w:r>
          </w:p>
        </w:tc>
        <w:tc>
          <w:tcPr>
            <w:tcW w:w="4819" w:type="dxa"/>
            <w:tcBorders>
              <w:top w:val="nil"/>
              <w:left w:val="nil"/>
              <w:bottom w:val="single" w:sz="4" w:space="0" w:color="000000"/>
              <w:right w:val="single" w:sz="4" w:space="0" w:color="000000"/>
            </w:tcBorders>
            <w:shd w:val="clear" w:color="auto" w:fill="auto"/>
            <w:vAlign w:val="center"/>
            <w:hideMark/>
          </w:tcPr>
          <w:p w:rsidR="00F07E05" w:rsidRDefault="00F07E05" w:rsidP="008A253E">
            <w:pPr>
              <w:jc w:val="center"/>
              <w:rPr>
                <w:color w:val="000000"/>
              </w:rPr>
            </w:pPr>
            <w:r>
              <w:rPr>
                <w:color w:val="000000"/>
              </w:rPr>
              <w:t>2</w:t>
            </w:r>
          </w:p>
        </w:tc>
        <w:tc>
          <w:tcPr>
            <w:tcW w:w="992" w:type="dxa"/>
            <w:tcBorders>
              <w:top w:val="nil"/>
              <w:left w:val="nil"/>
              <w:bottom w:val="single" w:sz="4" w:space="0" w:color="000000"/>
              <w:right w:val="single" w:sz="4" w:space="0" w:color="000000"/>
            </w:tcBorders>
            <w:shd w:val="clear" w:color="auto" w:fill="auto"/>
            <w:vAlign w:val="center"/>
            <w:hideMark/>
          </w:tcPr>
          <w:p w:rsidR="00F07E05" w:rsidRDefault="00F07E05" w:rsidP="008A253E">
            <w:pPr>
              <w:jc w:val="center"/>
              <w:rPr>
                <w:color w:val="000000"/>
              </w:rPr>
            </w:pPr>
            <w:r>
              <w:rPr>
                <w:color w:val="000000"/>
              </w:rPr>
              <w:t>3</w:t>
            </w:r>
          </w:p>
        </w:tc>
        <w:tc>
          <w:tcPr>
            <w:tcW w:w="992" w:type="dxa"/>
            <w:tcBorders>
              <w:top w:val="nil"/>
              <w:left w:val="nil"/>
              <w:bottom w:val="single" w:sz="4" w:space="0" w:color="000000"/>
              <w:right w:val="single" w:sz="4" w:space="0" w:color="000000"/>
            </w:tcBorders>
            <w:shd w:val="clear" w:color="auto" w:fill="auto"/>
            <w:vAlign w:val="center"/>
            <w:hideMark/>
          </w:tcPr>
          <w:p w:rsidR="00F07E05" w:rsidRDefault="00F07E05" w:rsidP="008A253E">
            <w:pPr>
              <w:jc w:val="center"/>
              <w:rPr>
                <w:color w:val="000000"/>
              </w:rPr>
            </w:pPr>
            <w:r>
              <w:rPr>
                <w:color w:val="000000"/>
              </w:rPr>
              <w:t>4</w:t>
            </w:r>
          </w:p>
        </w:tc>
        <w:tc>
          <w:tcPr>
            <w:tcW w:w="993" w:type="dxa"/>
            <w:tcBorders>
              <w:top w:val="nil"/>
              <w:left w:val="nil"/>
              <w:bottom w:val="single" w:sz="4" w:space="0" w:color="000000"/>
              <w:right w:val="single" w:sz="4" w:space="0" w:color="000000"/>
            </w:tcBorders>
            <w:shd w:val="clear" w:color="auto" w:fill="auto"/>
            <w:vAlign w:val="center"/>
            <w:hideMark/>
          </w:tcPr>
          <w:p w:rsidR="00F07E05" w:rsidRDefault="00F07E05" w:rsidP="008A253E">
            <w:pPr>
              <w:jc w:val="center"/>
              <w:rPr>
                <w:color w:val="000000"/>
              </w:rPr>
            </w:pPr>
            <w:r>
              <w:rPr>
                <w:color w:val="000000"/>
              </w:rPr>
              <w:t>5</w:t>
            </w:r>
          </w:p>
        </w:tc>
      </w:tr>
      <w:tr w:rsidR="00F07E05" w:rsidTr="008A253E">
        <w:trPr>
          <w:trHeight w:val="645"/>
        </w:trPr>
        <w:tc>
          <w:tcPr>
            <w:tcW w:w="2978" w:type="dxa"/>
            <w:tcBorders>
              <w:top w:val="nil"/>
              <w:left w:val="single" w:sz="4" w:space="0" w:color="000000"/>
              <w:bottom w:val="single" w:sz="4" w:space="0" w:color="000000"/>
              <w:right w:val="single" w:sz="4" w:space="0" w:color="000000"/>
            </w:tcBorders>
            <w:shd w:val="clear" w:color="auto" w:fill="auto"/>
            <w:vAlign w:val="center"/>
            <w:hideMark/>
          </w:tcPr>
          <w:p w:rsidR="00F07E05" w:rsidRDefault="00F07E05" w:rsidP="008A253E">
            <w:pPr>
              <w:jc w:val="center"/>
              <w:rPr>
                <w:b/>
                <w:bCs/>
                <w:color w:val="000000"/>
              </w:rPr>
            </w:pPr>
            <w:r>
              <w:rPr>
                <w:b/>
                <w:bCs/>
                <w:color w:val="000000"/>
              </w:rPr>
              <w:t>000 1 14 00000 00 0000 000</w:t>
            </w:r>
          </w:p>
        </w:tc>
        <w:tc>
          <w:tcPr>
            <w:tcW w:w="4819" w:type="dxa"/>
            <w:tcBorders>
              <w:top w:val="nil"/>
              <w:left w:val="nil"/>
              <w:bottom w:val="single" w:sz="4" w:space="0" w:color="000000"/>
              <w:right w:val="single" w:sz="4" w:space="0" w:color="000000"/>
            </w:tcBorders>
            <w:shd w:val="clear" w:color="auto" w:fill="auto"/>
            <w:hideMark/>
          </w:tcPr>
          <w:p w:rsidR="00F07E05" w:rsidRDefault="00F07E05" w:rsidP="008A253E">
            <w:pPr>
              <w:rPr>
                <w:b/>
                <w:bCs/>
                <w:color w:val="000000"/>
              </w:rPr>
            </w:pPr>
            <w:r>
              <w:rPr>
                <w:b/>
                <w:bCs/>
                <w:color w:val="000000"/>
              </w:rPr>
              <w:t>ДОХОДЫ ОТ ПРОДАЖИ МАТЕРИАЛЬНЫХ И НЕМАТЕРИАЛЬНЫХ АКТИВОВ</w:t>
            </w:r>
          </w:p>
        </w:tc>
        <w:tc>
          <w:tcPr>
            <w:tcW w:w="992" w:type="dxa"/>
            <w:tcBorders>
              <w:top w:val="nil"/>
              <w:left w:val="nil"/>
              <w:bottom w:val="single" w:sz="4" w:space="0" w:color="000000"/>
              <w:right w:val="single" w:sz="4" w:space="0" w:color="000000"/>
            </w:tcBorders>
            <w:shd w:val="clear" w:color="auto" w:fill="auto"/>
            <w:vAlign w:val="center"/>
          </w:tcPr>
          <w:p w:rsidR="00F07E05" w:rsidRDefault="00F07E05" w:rsidP="008A253E">
            <w:pPr>
              <w:jc w:val="right"/>
              <w:rPr>
                <w:b/>
                <w:bCs/>
                <w:color w:val="000000"/>
              </w:rPr>
            </w:pPr>
            <w:r>
              <w:rPr>
                <w:b/>
                <w:bCs/>
                <w:color w:val="000000"/>
              </w:rPr>
              <w:t>1 279,0</w:t>
            </w:r>
          </w:p>
        </w:tc>
        <w:tc>
          <w:tcPr>
            <w:tcW w:w="992" w:type="dxa"/>
            <w:tcBorders>
              <w:top w:val="nil"/>
              <w:left w:val="nil"/>
              <w:bottom w:val="single" w:sz="4" w:space="0" w:color="000000"/>
              <w:right w:val="single" w:sz="4" w:space="0" w:color="000000"/>
            </w:tcBorders>
            <w:shd w:val="clear" w:color="auto" w:fill="auto"/>
            <w:vAlign w:val="center"/>
          </w:tcPr>
          <w:p w:rsidR="00F07E05" w:rsidRDefault="00F07E05" w:rsidP="008A253E">
            <w:pPr>
              <w:jc w:val="right"/>
              <w:rPr>
                <w:b/>
                <w:bCs/>
                <w:color w:val="000000"/>
              </w:rPr>
            </w:pPr>
            <w:r>
              <w:rPr>
                <w:b/>
                <w:bCs/>
                <w:color w:val="000000"/>
              </w:rPr>
              <w:t>1 374,1</w:t>
            </w:r>
          </w:p>
        </w:tc>
        <w:tc>
          <w:tcPr>
            <w:tcW w:w="993" w:type="dxa"/>
            <w:tcBorders>
              <w:top w:val="nil"/>
              <w:left w:val="nil"/>
              <w:bottom w:val="single" w:sz="4" w:space="0" w:color="000000"/>
              <w:right w:val="single" w:sz="4" w:space="0" w:color="000000"/>
            </w:tcBorders>
            <w:shd w:val="clear" w:color="auto" w:fill="auto"/>
            <w:vAlign w:val="center"/>
          </w:tcPr>
          <w:p w:rsidR="00F07E05" w:rsidRDefault="00F07E05" w:rsidP="008A253E">
            <w:pPr>
              <w:jc w:val="right"/>
              <w:rPr>
                <w:b/>
                <w:bCs/>
                <w:color w:val="000000"/>
              </w:rPr>
            </w:pPr>
            <w:r>
              <w:rPr>
                <w:b/>
                <w:bCs/>
                <w:color w:val="000000"/>
              </w:rPr>
              <w:t>1 325,3</w:t>
            </w:r>
          </w:p>
        </w:tc>
      </w:tr>
      <w:tr w:rsidR="00F07E05" w:rsidTr="008A253E">
        <w:trPr>
          <w:trHeight w:val="530"/>
        </w:trPr>
        <w:tc>
          <w:tcPr>
            <w:tcW w:w="2978" w:type="dxa"/>
            <w:tcBorders>
              <w:top w:val="nil"/>
              <w:left w:val="single" w:sz="4" w:space="0" w:color="000000"/>
              <w:bottom w:val="single" w:sz="4" w:space="0" w:color="000000"/>
              <w:right w:val="single" w:sz="4" w:space="0" w:color="000000"/>
            </w:tcBorders>
            <w:shd w:val="clear" w:color="auto" w:fill="auto"/>
            <w:vAlign w:val="center"/>
          </w:tcPr>
          <w:p w:rsidR="00F07E05" w:rsidRDefault="00F07E05" w:rsidP="008A253E">
            <w:pPr>
              <w:jc w:val="center"/>
              <w:rPr>
                <w:b/>
                <w:bCs/>
                <w:color w:val="000000"/>
              </w:rPr>
            </w:pPr>
            <w:r>
              <w:rPr>
                <w:b/>
                <w:bCs/>
                <w:color w:val="000000"/>
              </w:rPr>
              <w:t>000 1 14 01000 00 0000 410</w:t>
            </w:r>
          </w:p>
        </w:tc>
        <w:tc>
          <w:tcPr>
            <w:tcW w:w="4819" w:type="dxa"/>
            <w:tcBorders>
              <w:top w:val="nil"/>
              <w:left w:val="nil"/>
              <w:bottom w:val="single" w:sz="4" w:space="0" w:color="000000"/>
              <w:right w:val="single" w:sz="4" w:space="0" w:color="000000"/>
            </w:tcBorders>
            <w:shd w:val="clear" w:color="auto" w:fill="auto"/>
          </w:tcPr>
          <w:p w:rsidR="00F07E05" w:rsidRDefault="00F07E05" w:rsidP="008A253E">
            <w:pPr>
              <w:rPr>
                <w:b/>
                <w:bCs/>
                <w:color w:val="000000"/>
              </w:rPr>
            </w:pPr>
            <w:r>
              <w:rPr>
                <w:b/>
                <w:bCs/>
                <w:color w:val="000000"/>
              </w:rPr>
              <w:t>Доходы от продажи квартир</w:t>
            </w:r>
          </w:p>
        </w:tc>
        <w:tc>
          <w:tcPr>
            <w:tcW w:w="992" w:type="dxa"/>
            <w:tcBorders>
              <w:top w:val="nil"/>
              <w:left w:val="nil"/>
              <w:bottom w:val="single" w:sz="4" w:space="0" w:color="000000"/>
              <w:right w:val="single" w:sz="4" w:space="0" w:color="000000"/>
            </w:tcBorders>
            <w:shd w:val="clear" w:color="auto" w:fill="auto"/>
            <w:vAlign w:val="center"/>
          </w:tcPr>
          <w:p w:rsidR="00F07E05" w:rsidRDefault="00F07E05" w:rsidP="008A253E">
            <w:pPr>
              <w:jc w:val="right"/>
              <w:rPr>
                <w:b/>
                <w:bCs/>
                <w:color w:val="000000"/>
              </w:rPr>
            </w:pPr>
            <w:r>
              <w:rPr>
                <w:b/>
                <w:bCs/>
                <w:color w:val="000000"/>
              </w:rPr>
              <w:t>339,6</w:t>
            </w:r>
          </w:p>
        </w:tc>
        <w:tc>
          <w:tcPr>
            <w:tcW w:w="992" w:type="dxa"/>
            <w:tcBorders>
              <w:top w:val="nil"/>
              <w:left w:val="nil"/>
              <w:bottom w:val="single" w:sz="4" w:space="0" w:color="000000"/>
              <w:right w:val="single" w:sz="4" w:space="0" w:color="000000"/>
            </w:tcBorders>
            <w:shd w:val="clear" w:color="auto" w:fill="auto"/>
            <w:vAlign w:val="center"/>
          </w:tcPr>
          <w:p w:rsidR="00F07E05" w:rsidRDefault="00F07E05" w:rsidP="008A253E">
            <w:pPr>
              <w:jc w:val="right"/>
              <w:rPr>
                <w:b/>
                <w:bCs/>
                <w:color w:val="000000"/>
              </w:rPr>
            </w:pPr>
            <w:r>
              <w:rPr>
                <w:b/>
                <w:bCs/>
                <w:color w:val="000000"/>
              </w:rPr>
              <w:t>339,6</w:t>
            </w:r>
          </w:p>
        </w:tc>
        <w:tc>
          <w:tcPr>
            <w:tcW w:w="993" w:type="dxa"/>
            <w:tcBorders>
              <w:top w:val="nil"/>
              <w:left w:val="nil"/>
              <w:bottom w:val="single" w:sz="4" w:space="0" w:color="000000"/>
              <w:right w:val="single" w:sz="4" w:space="0" w:color="000000"/>
            </w:tcBorders>
            <w:shd w:val="clear" w:color="auto" w:fill="auto"/>
            <w:vAlign w:val="center"/>
          </w:tcPr>
          <w:p w:rsidR="00F07E05" w:rsidRDefault="00F07E05" w:rsidP="008A253E">
            <w:pPr>
              <w:jc w:val="right"/>
              <w:rPr>
                <w:b/>
                <w:bCs/>
                <w:color w:val="000000"/>
              </w:rPr>
            </w:pPr>
            <w:r>
              <w:rPr>
                <w:b/>
                <w:bCs/>
                <w:color w:val="000000"/>
              </w:rPr>
              <w:t>339,6</w:t>
            </w:r>
          </w:p>
        </w:tc>
      </w:tr>
      <w:tr w:rsidR="00F07E05" w:rsidTr="008A253E">
        <w:trPr>
          <w:trHeight w:val="836"/>
        </w:trPr>
        <w:tc>
          <w:tcPr>
            <w:tcW w:w="2978" w:type="dxa"/>
            <w:tcBorders>
              <w:top w:val="nil"/>
              <w:left w:val="single" w:sz="4" w:space="0" w:color="000000"/>
              <w:bottom w:val="single" w:sz="4" w:space="0" w:color="000000"/>
              <w:right w:val="single" w:sz="4" w:space="0" w:color="000000"/>
            </w:tcBorders>
            <w:shd w:val="clear" w:color="auto" w:fill="auto"/>
            <w:vAlign w:val="center"/>
          </w:tcPr>
          <w:p w:rsidR="00F07E05" w:rsidRPr="00E3727C" w:rsidRDefault="00F07E05" w:rsidP="008A253E">
            <w:pPr>
              <w:jc w:val="center"/>
              <w:rPr>
                <w:bCs/>
                <w:color w:val="000000"/>
              </w:rPr>
            </w:pPr>
            <w:r w:rsidRPr="00E3727C">
              <w:rPr>
                <w:bCs/>
                <w:color w:val="000000"/>
              </w:rPr>
              <w:t>000 1 14 01020 02 0000 410</w:t>
            </w:r>
          </w:p>
        </w:tc>
        <w:tc>
          <w:tcPr>
            <w:tcW w:w="4819" w:type="dxa"/>
            <w:tcBorders>
              <w:top w:val="nil"/>
              <w:left w:val="nil"/>
              <w:bottom w:val="single" w:sz="4" w:space="0" w:color="000000"/>
              <w:right w:val="single" w:sz="4" w:space="0" w:color="000000"/>
            </w:tcBorders>
            <w:shd w:val="clear" w:color="auto" w:fill="auto"/>
          </w:tcPr>
          <w:p w:rsidR="00F07E05" w:rsidRPr="00E3727C" w:rsidRDefault="00F07E05" w:rsidP="008A253E">
            <w:pPr>
              <w:rPr>
                <w:bCs/>
                <w:color w:val="000000"/>
              </w:rPr>
            </w:pPr>
            <w:r w:rsidRPr="00E3727C">
              <w:rPr>
                <w:bCs/>
                <w:color w:val="000000"/>
              </w:rPr>
              <w:t>Доходы от продажи квартир, находящихся в собственности субъектов Российской Федерации</w:t>
            </w:r>
          </w:p>
        </w:tc>
        <w:tc>
          <w:tcPr>
            <w:tcW w:w="992" w:type="dxa"/>
            <w:tcBorders>
              <w:top w:val="nil"/>
              <w:left w:val="nil"/>
              <w:bottom w:val="single" w:sz="4" w:space="0" w:color="000000"/>
              <w:right w:val="single" w:sz="4" w:space="0" w:color="000000"/>
            </w:tcBorders>
            <w:shd w:val="clear" w:color="auto" w:fill="auto"/>
            <w:vAlign w:val="center"/>
          </w:tcPr>
          <w:p w:rsidR="00F07E05" w:rsidRPr="00E3727C" w:rsidRDefault="00F07E05" w:rsidP="008A253E">
            <w:pPr>
              <w:jc w:val="right"/>
              <w:rPr>
                <w:bCs/>
                <w:color w:val="000000"/>
              </w:rPr>
            </w:pPr>
            <w:r>
              <w:rPr>
                <w:bCs/>
                <w:color w:val="000000"/>
              </w:rPr>
              <w:t>339,6</w:t>
            </w:r>
          </w:p>
        </w:tc>
        <w:tc>
          <w:tcPr>
            <w:tcW w:w="992" w:type="dxa"/>
            <w:tcBorders>
              <w:top w:val="nil"/>
              <w:left w:val="nil"/>
              <w:bottom w:val="single" w:sz="4" w:space="0" w:color="000000"/>
              <w:right w:val="single" w:sz="4" w:space="0" w:color="000000"/>
            </w:tcBorders>
            <w:shd w:val="clear" w:color="auto" w:fill="auto"/>
            <w:vAlign w:val="center"/>
          </w:tcPr>
          <w:p w:rsidR="00F07E05" w:rsidRPr="00E3727C" w:rsidRDefault="00F07E05" w:rsidP="008A253E">
            <w:pPr>
              <w:jc w:val="right"/>
              <w:rPr>
                <w:bCs/>
                <w:color w:val="000000"/>
              </w:rPr>
            </w:pPr>
            <w:r>
              <w:rPr>
                <w:bCs/>
                <w:color w:val="000000"/>
              </w:rPr>
              <w:t>339,6</w:t>
            </w:r>
          </w:p>
        </w:tc>
        <w:tc>
          <w:tcPr>
            <w:tcW w:w="993" w:type="dxa"/>
            <w:tcBorders>
              <w:top w:val="nil"/>
              <w:left w:val="nil"/>
              <w:bottom w:val="single" w:sz="4" w:space="0" w:color="000000"/>
              <w:right w:val="single" w:sz="4" w:space="0" w:color="000000"/>
            </w:tcBorders>
            <w:shd w:val="clear" w:color="auto" w:fill="auto"/>
            <w:vAlign w:val="center"/>
          </w:tcPr>
          <w:p w:rsidR="00F07E05" w:rsidRPr="00E3727C" w:rsidRDefault="00F07E05" w:rsidP="008A253E">
            <w:pPr>
              <w:jc w:val="right"/>
              <w:rPr>
                <w:bCs/>
                <w:color w:val="000000"/>
              </w:rPr>
            </w:pPr>
            <w:r>
              <w:rPr>
                <w:bCs/>
                <w:color w:val="000000"/>
              </w:rPr>
              <w:t>339,6</w:t>
            </w:r>
          </w:p>
        </w:tc>
      </w:tr>
      <w:tr w:rsidR="00F07E05" w:rsidTr="008A253E">
        <w:trPr>
          <w:trHeight w:val="1932"/>
        </w:trPr>
        <w:tc>
          <w:tcPr>
            <w:tcW w:w="2978" w:type="dxa"/>
            <w:tcBorders>
              <w:top w:val="nil"/>
              <w:left w:val="single" w:sz="4" w:space="0" w:color="000000"/>
              <w:bottom w:val="single" w:sz="4" w:space="0" w:color="000000"/>
              <w:right w:val="single" w:sz="4" w:space="0" w:color="000000"/>
            </w:tcBorders>
            <w:shd w:val="clear" w:color="auto" w:fill="auto"/>
            <w:vAlign w:val="center"/>
            <w:hideMark/>
          </w:tcPr>
          <w:p w:rsidR="00F07E05" w:rsidRDefault="00F07E05" w:rsidP="008A253E">
            <w:pPr>
              <w:jc w:val="center"/>
              <w:rPr>
                <w:b/>
                <w:bCs/>
                <w:color w:val="000000"/>
              </w:rPr>
            </w:pPr>
            <w:r>
              <w:rPr>
                <w:b/>
                <w:bCs/>
                <w:color w:val="000000"/>
              </w:rPr>
              <w:t>000 1 14 02000 00 0000 000</w:t>
            </w:r>
          </w:p>
        </w:tc>
        <w:tc>
          <w:tcPr>
            <w:tcW w:w="4819" w:type="dxa"/>
            <w:tcBorders>
              <w:top w:val="nil"/>
              <w:left w:val="nil"/>
              <w:bottom w:val="single" w:sz="4" w:space="0" w:color="000000"/>
              <w:right w:val="single" w:sz="4" w:space="0" w:color="000000"/>
            </w:tcBorders>
            <w:shd w:val="clear" w:color="auto" w:fill="auto"/>
            <w:hideMark/>
          </w:tcPr>
          <w:p w:rsidR="00F07E05" w:rsidRDefault="00F07E05" w:rsidP="008A253E">
            <w:pPr>
              <w:rPr>
                <w:b/>
                <w:bCs/>
                <w:color w:val="000000"/>
              </w:rPr>
            </w:pPr>
            <w:r>
              <w:rPr>
                <w:b/>
                <w:bCs/>
                <w:color w:val="000000"/>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92" w:type="dxa"/>
            <w:tcBorders>
              <w:top w:val="nil"/>
              <w:left w:val="nil"/>
              <w:bottom w:val="single" w:sz="4" w:space="0" w:color="000000"/>
              <w:right w:val="single" w:sz="4" w:space="0" w:color="000000"/>
            </w:tcBorders>
            <w:shd w:val="clear" w:color="auto" w:fill="auto"/>
          </w:tcPr>
          <w:p w:rsidR="00F07E05" w:rsidRPr="00977E8B" w:rsidRDefault="00F07E05" w:rsidP="008A253E">
            <w:pPr>
              <w:jc w:val="center"/>
              <w:rPr>
                <w:b/>
              </w:rPr>
            </w:pPr>
          </w:p>
          <w:p w:rsidR="00F07E05" w:rsidRPr="00977E8B" w:rsidRDefault="00F07E05" w:rsidP="008A253E">
            <w:pPr>
              <w:jc w:val="center"/>
              <w:rPr>
                <w:b/>
              </w:rPr>
            </w:pPr>
          </w:p>
          <w:p w:rsidR="00F07E05" w:rsidRPr="00977E8B" w:rsidRDefault="00F07E05" w:rsidP="008A253E">
            <w:pPr>
              <w:jc w:val="center"/>
              <w:rPr>
                <w:b/>
              </w:rPr>
            </w:pPr>
          </w:p>
          <w:p w:rsidR="00F07E05" w:rsidRPr="00977E8B" w:rsidRDefault="00F07E05" w:rsidP="008A253E">
            <w:pPr>
              <w:jc w:val="center"/>
              <w:rPr>
                <w:b/>
              </w:rPr>
            </w:pPr>
          </w:p>
          <w:p w:rsidR="00F07E05" w:rsidRPr="00977E8B" w:rsidRDefault="00F07E05" w:rsidP="008A253E">
            <w:pPr>
              <w:jc w:val="center"/>
              <w:rPr>
                <w:b/>
              </w:rPr>
            </w:pPr>
            <w:r w:rsidRPr="00977E8B">
              <w:rPr>
                <w:b/>
              </w:rPr>
              <w:t>939,4</w:t>
            </w:r>
          </w:p>
        </w:tc>
        <w:tc>
          <w:tcPr>
            <w:tcW w:w="992" w:type="dxa"/>
            <w:tcBorders>
              <w:top w:val="nil"/>
              <w:left w:val="nil"/>
              <w:bottom w:val="single" w:sz="4" w:space="0" w:color="000000"/>
              <w:right w:val="single" w:sz="4" w:space="0" w:color="000000"/>
            </w:tcBorders>
            <w:shd w:val="clear" w:color="auto" w:fill="auto"/>
          </w:tcPr>
          <w:p w:rsidR="00F07E05" w:rsidRPr="00977E8B" w:rsidRDefault="00F07E05" w:rsidP="008A253E">
            <w:pPr>
              <w:jc w:val="center"/>
              <w:rPr>
                <w:b/>
              </w:rPr>
            </w:pPr>
          </w:p>
          <w:p w:rsidR="00F07E05" w:rsidRPr="00977E8B" w:rsidRDefault="00F07E05" w:rsidP="008A253E">
            <w:pPr>
              <w:jc w:val="center"/>
              <w:rPr>
                <w:b/>
              </w:rPr>
            </w:pPr>
          </w:p>
          <w:p w:rsidR="00F07E05" w:rsidRPr="00977E8B" w:rsidRDefault="00F07E05" w:rsidP="008A253E">
            <w:pPr>
              <w:jc w:val="center"/>
              <w:rPr>
                <w:b/>
              </w:rPr>
            </w:pPr>
          </w:p>
          <w:p w:rsidR="00F07E05" w:rsidRPr="00977E8B" w:rsidRDefault="00F07E05" w:rsidP="008A253E">
            <w:pPr>
              <w:jc w:val="center"/>
              <w:rPr>
                <w:b/>
              </w:rPr>
            </w:pPr>
          </w:p>
          <w:p w:rsidR="00F07E05" w:rsidRPr="00977E8B" w:rsidRDefault="00F07E05" w:rsidP="008A253E">
            <w:pPr>
              <w:jc w:val="center"/>
              <w:rPr>
                <w:b/>
              </w:rPr>
            </w:pPr>
            <w:r w:rsidRPr="00977E8B">
              <w:rPr>
                <w:b/>
              </w:rPr>
              <w:t>1 034,5</w:t>
            </w:r>
          </w:p>
        </w:tc>
        <w:tc>
          <w:tcPr>
            <w:tcW w:w="993" w:type="dxa"/>
            <w:tcBorders>
              <w:top w:val="nil"/>
              <w:left w:val="nil"/>
              <w:bottom w:val="single" w:sz="4" w:space="0" w:color="000000"/>
              <w:right w:val="single" w:sz="4" w:space="0" w:color="000000"/>
            </w:tcBorders>
            <w:shd w:val="clear" w:color="auto" w:fill="auto"/>
          </w:tcPr>
          <w:p w:rsidR="00F07E05" w:rsidRPr="00977E8B" w:rsidRDefault="00F07E05" w:rsidP="008A253E">
            <w:pPr>
              <w:jc w:val="center"/>
              <w:rPr>
                <w:b/>
              </w:rPr>
            </w:pPr>
          </w:p>
          <w:p w:rsidR="00F07E05" w:rsidRPr="00977E8B" w:rsidRDefault="00F07E05" w:rsidP="008A253E">
            <w:pPr>
              <w:jc w:val="center"/>
              <w:rPr>
                <w:b/>
              </w:rPr>
            </w:pPr>
          </w:p>
          <w:p w:rsidR="00F07E05" w:rsidRPr="00977E8B" w:rsidRDefault="00F07E05" w:rsidP="008A253E">
            <w:pPr>
              <w:jc w:val="center"/>
              <w:rPr>
                <w:b/>
              </w:rPr>
            </w:pPr>
          </w:p>
          <w:p w:rsidR="00F07E05" w:rsidRPr="00977E8B" w:rsidRDefault="00F07E05" w:rsidP="008A253E">
            <w:pPr>
              <w:jc w:val="center"/>
              <w:rPr>
                <w:b/>
              </w:rPr>
            </w:pPr>
          </w:p>
          <w:p w:rsidR="00F07E05" w:rsidRPr="00977E8B" w:rsidRDefault="00F07E05" w:rsidP="008A253E">
            <w:pPr>
              <w:jc w:val="center"/>
              <w:rPr>
                <w:b/>
              </w:rPr>
            </w:pPr>
            <w:r w:rsidRPr="00977E8B">
              <w:rPr>
                <w:b/>
              </w:rPr>
              <w:t>985,7</w:t>
            </w:r>
          </w:p>
        </w:tc>
      </w:tr>
      <w:tr w:rsidR="00F07E05" w:rsidTr="008A253E">
        <w:trPr>
          <w:trHeight w:val="2247"/>
        </w:trPr>
        <w:tc>
          <w:tcPr>
            <w:tcW w:w="2978" w:type="dxa"/>
            <w:tcBorders>
              <w:top w:val="nil"/>
              <w:left w:val="single" w:sz="4" w:space="0" w:color="000000"/>
              <w:bottom w:val="single" w:sz="4" w:space="0" w:color="000000"/>
              <w:right w:val="single" w:sz="4" w:space="0" w:color="000000"/>
            </w:tcBorders>
            <w:shd w:val="clear" w:color="auto" w:fill="auto"/>
            <w:vAlign w:val="center"/>
            <w:hideMark/>
          </w:tcPr>
          <w:p w:rsidR="00F07E05" w:rsidRDefault="00F07E05" w:rsidP="008A253E">
            <w:pPr>
              <w:jc w:val="center"/>
              <w:rPr>
                <w:color w:val="000000"/>
              </w:rPr>
            </w:pPr>
            <w:r>
              <w:rPr>
                <w:color w:val="000000"/>
              </w:rPr>
              <w:t>000 1 14 02022 02 0000 440</w:t>
            </w:r>
          </w:p>
        </w:tc>
        <w:tc>
          <w:tcPr>
            <w:tcW w:w="4819" w:type="dxa"/>
            <w:tcBorders>
              <w:top w:val="nil"/>
              <w:left w:val="nil"/>
              <w:bottom w:val="single" w:sz="4" w:space="0" w:color="000000"/>
              <w:right w:val="single" w:sz="4" w:space="0" w:color="000000"/>
            </w:tcBorders>
            <w:shd w:val="clear" w:color="auto" w:fill="auto"/>
            <w:hideMark/>
          </w:tcPr>
          <w:p w:rsidR="00F07E05" w:rsidRDefault="00F07E05" w:rsidP="008A253E">
            <w:pPr>
              <w:rPr>
                <w:color w:val="000000"/>
              </w:rPr>
            </w:pPr>
            <w:r>
              <w:rPr>
                <w:color w:val="000000"/>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c>
          <w:tcPr>
            <w:tcW w:w="992" w:type="dxa"/>
            <w:tcBorders>
              <w:top w:val="nil"/>
              <w:left w:val="nil"/>
              <w:bottom w:val="single" w:sz="4" w:space="0" w:color="000000"/>
              <w:right w:val="single" w:sz="4" w:space="0" w:color="000000"/>
            </w:tcBorders>
            <w:shd w:val="clear" w:color="auto" w:fill="auto"/>
            <w:vAlign w:val="center"/>
          </w:tcPr>
          <w:p w:rsidR="00F07E05" w:rsidRDefault="00F07E05" w:rsidP="008A253E">
            <w:pPr>
              <w:jc w:val="right"/>
              <w:rPr>
                <w:color w:val="000000"/>
              </w:rPr>
            </w:pPr>
            <w:r>
              <w:rPr>
                <w:color w:val="000000"/>
              </w:rPr>
              <w:t>939,4</w:t>
            </w:r>
          </w:p>
        </w:tc>
        <w:tc>
          <w:tcPr>
            <w:tcW w:w="992" w:type="dxa"/>
            <w:tcBorders>
              <w:top w:val="nil"/>
              <w:left w:val="nil"/>
              <w:bottom w:val="single" w:sz="4" w:space="0" w:color="000000"/>
              <w:right w:val="single" w:sz="4" w:space="0" w:color="000000"/>
            </w:tcBorders>
            <w:shd w:val="clear" w:color="auto" w:fill="auto"/>
            <w:vAlign w:val="center"/>
          </w:tcPr>
          <w:p w:rsidR="00F07E05" w:rsidRDefault="00F07E05" w:rsidP="008A253E">
            <w:pPr>
              <w:jc w:val="right"/>
              <w:rPr>
                <w:color w:val="000000"/>
              </w:rPr>
            </w:pPr>
            <w:r>
              <w:rPr>
                <w:color w:val="000000"/>
              </w:rPr>
              <w:t>1 034,5</w:t>
            </w:r>
          </w:p>
        </w:tc>
        <w:tc>
          <w:tcPr>
            <w:tcW w:w="993" w:type="dxa"/>
            <w:tcBorders>
              <w:top w:val="nil"/>
              <w:left w:val="nil"/>
              <w:bottom w:val="single" w:sz="4" w:space="0" w:color="000000"/>
              <w:right w:val="single" w:sz="4" w:space="0" w:color="000000"/>
            </w:tcBorders>
            <w:shd w:val="clear" w:color="auto" w:fill="auto"/>
            <w:vAlign w:val="center"/>
          </w:tcPr>
          <w:p w:rsidR="00F07E05" w:rsidRDefault="00F07E05" w:rsidP="008A253E">
            <w:pPr>
              <w:jc w:val="right"/>
              <w:rPr>
                <w:color w:val="000000"/>
              </w:rPr>
            </w:pPr>
            <w:r>
              <w:rPr>
                <w:color w:val="000000"/>
              </w:rPr>
              <w:t>985,7</w:t>
            </w:r>
          </w:p>
        </w:tc>
      </w:tr>
    </w:tbl>
    <w:p w:rsidR="00F07E05" w:rsidRDefault="00F07E05" w:rsidP="00F07E05">
      <w:pPr>
        <w:jc w:val="both"/>
        <w:rPr>
          <w:sz w:val="28"/>
          <w:szCs w:val="28"/>
        </w:rPr>
      </w:pPr>
    </w:p>
    <w:p w:rsidR="00F07E05" w:rsidRDefault="00F07E05" w:rsidP="00F07E05">
      <w:pPr>
        <w:jc w:val="both"/>
        <w:rPr>
          <w:b/>
          <w:sz w:val="28"/>
          <w:szCs w:val="28"/>
        </w:rPr>
      </w:pPr>
      <w:r w:rsidRPr="004668B3">
        <w:rPr>
          <w:b/>
          <w:sz w:val="28"/>
          <w:szCs w:val="28"/>
        </w:rPr>
        <w:t>Доходы от продажи квартир, находящихся в собственности субъектов Российской Федерации</w:t>
      </w:r>
    </w:p>
    <w:p w:rsidR="00F07E05" w:rsidRDefault="00F07E05" w:rsidP="00F07E05">
      <w:pPr>
        <w:jc w:val="both"/>
        <w:rPr>
          <w:b/>
          <w:sz w:val="28"/>
          <w:szCs w:val="28"/>
        </w:rPr>
      </w:pPr>
    </w:p>
    <w:p w:rsidR="00F07E05" w:rsidRDefault="00F07E05" w:rsidP="00F07E05">
      <w:pPr>
        <w:jc w:val="both"/>
        <w:rPr>
          <w:b/>
          <w:sz w:val="28"/>
          <w:szCs w:val="28"/>
        </w:rPr>
      </w:pPr>
    </w:p>
    <w:tbl>
      <w:tblPr>
        <w:tblW w:w="97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8"/>
        <w:gridCol w:w="1380"/>
        <w:gridCol w:w="1380"/>
        <w:gridCol w:w="1337"/>
      </w:tblGrid>
      <w:tr w:rsidR="00F07E05" w:rsidRPr="00CA367B" w:rsidTr="008A253E">
        <w:trPr>
          <w:trHeight w:val="311"/>
        </w:trPr>
        <w:tc>
          <w:tcPr>
            <w:tcW w:w="5698" w:type="dxa"/>
            <w:shd w:val="clear" w:color="auto" w:fill="auto"/>
            <w:vAlign w:val="center"/>
          </w:tcPr>
          <w:p w:rsidR="00F07E05" w:rsidRPr="00F6269A" w:rsidRDefault="00F07E05" w:rsidP="008A253E">
            <w:pPr>
              <w:jc w:val="center"/>
              <w:rPr>
                <w:sz w:val="28"/>
                <w:szCs w:val="28"/>
              </w:rPr>
            </w:pPr>
            <w:r w:rsidRPr="00F6269A">
              <w:rPr>
                <w:bCs/>
                <w:sz w:val="28"/>
                <w:szCs w:val="28"/>
              </w:rPr>
              <w:t>Наименование дохода</w:t>
            </w:r>
          </w:p>
        </w:tc>
        <w:tc>
          <w:tcPr>
            <w:tcW w:w="1380" w:type="dxa"/>
            <w:shd w:val="clear" w:color="auto" w:fill="auto"/>
            <w:vAlign w:val="center"/>
          </w:tcPr>
          <w:p w:rsidR="00F07E05" w:rsidRPr="00F6269A" w:rsidRDefault="00F07E05" w:rsidP="008A253E">
            <w:pPr>
              <w:tabs>
                <w:tab w:val="left" w:pos="851"/>
              </w:tabs>
              <w:jc w:val="center"/>
              <w:rPr>
                <w:sz w:val="28"/>
                <w:szCs w:val="28"/>
              </w:rPr>
            </w:pPr>
            <w:r w:rsidRPr="00F6269A">
              <w:rPr>
                <w:sz w:val="28"/>
                <w:szCs w:val="28"/>
              </w:rPr>
              <w:t>Прогноз на</w:t>
            </w:r>
          </w:p>
          <w:p w:rsidR="00F07E05" w:rsidRPr="00F6269A" w:rsidRDefault="00F07E05" w:rsidP="008A253E">
            <w:pPr>
              <w:tabs>
                <w:tab w:val="left" w:pos="851"/>
              </w:tabs>
              <w:jc w:val="center"/>
              <w:rPr>
                <w:sz w:val="28"/>
                <w:szCs w:val="28"/>
              </w:rPr>
            </w:pPr>
            <w:r w:rsidRPr="00F6269A">
              <w:rPr>
                <w:sz w:val="28"/>
                <w:szCs w:val="28"/>
              </w:rPr>
              <w:t>2022 год</w:t>
            </w:r>
          </w:p>
        </w:tc>
        <w:tc>
          <w:tcPr>
            <w:tcW w:w="1380" w:type="dxa"/>
            <w:shd w:val="clear" w:color="auto" w:fill="auto"/>
            <w:vAlign w:val="center"/>
          </w:tcPr>
          <w:p w:rsidR="00F07E05" w:rsidRPr="00F6269A" w:rsidRDefault="00F07E05" w:rsidP="008A253E">
            <w:pPr>
              <w:tabs>
                <w:tab w:val="left" w:pos="851"/>
              </w:tabs>
              <w:jc w:val="center"/>
              <w:rPr>
                <w:sz w:val="28"/>
                <w:szCs w:val="28"/>
              </w:rPr>
            </w:pPr>
            <w:r w:rsidRPr="00F6269A">
              <w:rPr>
                <w:sz w:val="28"/>
                <w:szCs w:val="28"/>
              </w:rPr>
              <w:t>Прогноз на</w:t>
            </w:r>
          </w:p>
          <w:p w:rsidR="00F07E05" w:rsidRPr="00F6269A" w:rsidRDefault="00F07E05" w:rsidP="008A253E">
            <w:pPr>
              <w:tabs>
                <w:tab w:val="left" w:pos="851"/>
              </w:tabs>
              <w:jc w:val="center"/>
              <w:rPr>
                <w:sz w:val="28"/>
                <w:szCs w:val="28"/>
              </w:rPr>
            </w:pPr>
            <w:r w:rsidRPr="00F6269A">
              <w:rPr>
                <w:sz w:val="28"/>
                <w:szCs w:val="28"/>
              </w:rPr>
              <w:t xml:space="preserve"> 2023 год</w:t>
            </w:r>
          </w:p>
        </w:tc>
        <w:tc>
          <w:tcPr>
            <w:tcW w:w="1337" w:type="dxa"/>
            <w:shd w:val="clear" w:color="auto" w:fill="auto"/>
            <w:vAlign w:val="center"/>
          </w:tcPr>
          <w:p w:rsidR="00F07E05" w:rsidRPr="00F6269A" w:rsidRDefault="00F07E05" w:rsidP="008A253E">
            <w:pPr>
              <w:tabs>
                <w:tab w:val="left" w:pos="851"/>
              </w:tabs>
              <w:jc w:val="center"/>
              <w:rPr>
                <w:sz w:val="28"/>
                <w:szCs w:val="28"/>
              </w:rPr>
            </w:pPr>
            <w:r w:rsidRPr="00F6269A">
              <w:rPr>
                <w:sz w:val="28"/>
                <w:szCs w:val="28"/>
              </w:rPr>
              <w:t>Прогноз на</w:t>
            </w:r>
          </w:p>
          <w:p w:rsidR="00F07E05" w:rsidRPr="00F6269A" w:rsidRDefault="00F07E05" w:rsidP="008A253E">
            <w:pPr>
              <w:tabs>
                <w:tab w:val="left" w:pos="851"/>
              </w:tabs>
              <w:jc w:val="center"/>
              <w:rPr>
                <w:sz w:val="28"/>
                <w:szCs w:val="28"/>
              </w:rPr>
            </w:pPr>
            <w:r w:rsidRPr="00F6269A">
              <w:rPr>
                <w:sz w:val="28"/>
                <w:szCs w:val="28"/>
              </w:rPr>
              <w:t xml:space="preserve"> 2024 год</w:t>
            </w:r>
          </w:p>
        </w:tc>
      </w:tr>
      <w:tr w:rsidR="00F07E05" w:rsidRPr="00CA367B" w:rsidTr="008A253E">
        <w:trPr>
          <w:trHeight w:val="332"/>
        </w:trPr>
        <w:tc>
          <w:tcPr>
            <w:tcW w:w="5698" w:type="dxa"/>
            <w:shd w:val="clear" w:color="auto" w:fill="auto"/>
          </w:tcPr>
          <w:p w:rsidR="00F07E05" w:rsidRPr="00F6269A" w:rsidRDefault="00F07E05" w:rsidP="008A253E">
            <w:pPr>
              <w:rPr>
                <w:sz w:val="28"/>
                <w:szCs w:val="28"/>
              </w:rPr>
            </w:pPr>
            <w:r w:rsidRPr="00F6269A">
              <w:rPr>
                <w:sz w:val="28"/>
                <w:szCs w:val="28"/>
              </w:rPr>
              <w:t>Доходы от продажи квартир, находящихся в собственности субъектов Российской Федерации</w:t>
            </w:r>
          </w:p>
        </w:tc>
        <w:tc>
          <w:tcPr>
            <w:tcW w:w="1380" w:type="dxa"/>
            <w:shd w:val="clear" w:color="auto" w:fill="auto"/>
            <w:vAlign w:val="center"/>
          </w:tcPr>
          <w:p w:rsidR="00F07E05" w:rsidRPr="00F6269A" w:rsidRDefault="00F07E05" w:rsidP="008A253E">
            <w:pPr>
              <w:autoSpaceDE w:val="0"/>
              <w:autoSpaceDN w:val="0"/>
              <w:adjustRightInd w:val="0"/>
              <w:jc w:val="center"/>
              <w:rPr>
                <w:bCs/>
                <w:sz w:val="28"/>
                <w:szCs w:val="28"/>
              </w:rPr>
            </w:pPr>
            <w:r w:rsidRPr="00F6269A">
              <w:rPr>
                <w:bCs/>
                <w:sz w:val="28"/>
                <w:szCs w:val="28"/>
              </w:rPr>
              <w:t>339,6</w:t>
            </w:r>
          </w:p>
        </w:tc>
        <w:tc>
          <w:tcPr>
            <w:tcW w:w="1380" w:type="dxa"/>
            <w:shd w:val="clear" w:color="auto" w:fill="auto"/>
            <w:vAlign w:val="center"/>
          </w:tcPr>
          <w:p w:rsidR="00F07E05" w:rsidRPr="00F6269A" w:rsidRDefault="00F07E05" w:rsidP="008A253E">
            <w:pPr>
              <w:autoSpaceDE w:val="0"/>
              <w:autoSpaceDN w:val="0"/>
              <w:adjustRightInd w:val="0"/>
              <w:jc w:val="center"/>
              <w:rPr>
                <w:bCs/>
                <w:sz w:val="28"/>
                <w:szCs w:val="28"/>
              </w:rPr>
            </w:pPr>
            <w:r w:rsidRPr="00F6269A">
              <w:rPr>
                <w:bCs/>
                <w:sz w:val="28"/>
                <w:szCs w:val="28"/>
              </w:rPr>
              <w:t>339,6</w:t>
            </w:r>
          </w:p>
        </w:tc>
        <w:tc>
          <w:tcPr>
            <w:tcW w:w="1337" w:type="dxa"/>
            <w:shd w:val="clear" w:color="auto" w:fill="auto"/>
            <w:vAlign w:val="center"/>
          </w:tcPr>
          <w:p w:rsidR="00F07E05" w:rsidRPr="00F6269A" w:rsidRDefault="00F07E05" w:rsidP="008A253E">
            <w:pPr>
              <w:autoSpaceDE w:val="0"/>
              <w:autoSpaceDN w:val="0"/>
              <w:adjustRightInd w:val="0"/>
              <w:jc w:val="center"/>
              <w:rPr>
                <w:bCs/>
                <w:sz w:val="28"/>
                <w:szCs w:val="28"/>
              </w:rPr>
            </w:pPr>
            <w:r w:rsidRPr="00F6269A">
              <w:rPr>
                <w:bCs/>
                <w:sz w:val="28"/>
                <w:szCs w:val="28"/>
              </w:rPr>
              <w:t>339,6</w:t>
            </w:r>
          </w:p>
        </w:tc>
      </w:tr>
    </w:tbl>
    <w:p w:rsidR="00F07E05" w:rsidRPr="00F6269A" w:rsidRDefault="00F07E05" w:rsidP="00F07E05">
      <w:pPr>
        <w:ind w:firstLine="709"/>
        <w:jc w:val="both"/>
        <w:rPr>
          <w:sz w:val="28"/>
          <w:szCs w:val="28"/>
        </w:rPr>
      </w:pPr>
      <w:r w:rsidRPr="00F6269A">
        <w:rPr>
          <w:sz w:val="28"/>
          <w:szCs w:val="28"/>
        </w:rPr>
        <w:t>Прогноз поступлений на 2022-2024 годы по данному доходному источнику рассчитывается с применением метода прямого расчета по следующей формуле:</w:t>
      </w:r>
    </w:p>
    <w:p w:rsidR="00F07E05" w:rsidRPr="00F6269A" w:rsidRDefault="00F07E05" w:rsidP="00F07E05">
      <w:pPr>
        <w:ind w:firstLine="709"/>
        <w:jc w:val="both"/>
        <w:rPr>
          <w:sz w:val="28"/>
          <w:szCs w:val="28"/>
        </w:rPr>
      </w:pPr>
    </w:p>
    <w:p w:rsidR="00F07E05" w:rsidRPr="00F6269A" w:rsidRDefault="00F07E05" w:rsidP="00F07E05">
      <w:pPr>
        <w:ind w:firstLine="709"/>
        <w:jc w:val="both"/>
        <w:rPr>
          <w:sz w:val="28"/>
          <w:szCs w:val="28"/>
        </w:rPr>
      </w:pPr>
      <w:r w:rsidRPr="00F6269A">
        <w:rPr>
          <w:sz w:val="28"/>
          <w:szCs w:val="28"/>
        </w:rPr>
        <w:t xml:space="preserve">                                                                                              к</w:t>
      </w:r>
    </w:p>
    <w:p w:rsidR="00F07E05" w:rsidRPr="00F6269A" w:rsidRDefault="00F07E05" w:rsidP="00F07E05">
      <w:pPr>
        <w:ind w:firstLine="709"/>
        <w:jc w:val="center"/>
        <w:rPr>
          <w:sz w:val="28"/>
          <w:szCs w:val="28"/>
        </w:rPr>
      </w:pPr>
      <w:r w:rsidRPr="00F6269A">
        <w:rPr>
          <w:b/>
          <w:sz w:val="28"/>
          <w:szCs w:val="28"/>
        </w:rPr>
        <w:lastRenderedPageBreak/>
        <w:t>Дпк = ∑ Рп</w:t>
      </w:r>
      <w:r w:rsidRPr="00F6269A">
        <w:rPr>
          <w:sz w:val="28"/>
          <w:szCs w:val="28"/>
        </w:rPr>
        <w:t>, где</w:t>
      </w:r>
    </w:p>
    <w:p w:rsidR="00F07E05" w:rsidRPr="00F6269A" w:rsidRDefault="00F07E05" w:rsidP="00F07E05">
      <w:pPr>
        <w:ind w:firstLine="709"/>
        <w:jc w:val="both"/>
        <w:rPr>
          <w:sz w:val="28"/>
          <w:szCs w:val="28"/>
        </w:rPr>
      </w:pPr>
      <w:r w:rsidRPr="00F6269A">
        <w:rPr>
          <w:sz w:val="28"/>
          <w:szCs w:val="28"/>
        </w:rPr>
        <w:t xml:space="preserve">                                                                                            </w:t>
      </w:r>
      <w:r w:rsidRPr="00F6269A">
        <w:rPr>
          <w:sz w:val="28"/>
          <w:szCs w:val="28"/>
          <w:lang w:val="en-US"/>
        </w:rPr>
        <w:t>i</w:t>
      </w:r>
      <w:r w:rsidRPr="00F6269A">
        <w:rPr>
          <w:sz w:val="28"/>
          <w:szCs w:val="28"/>
        </w:rPr>
        <w:t xml:space="preserve"> = 1</w:t>
      </w:r>
    </w:p>
    <w:p w:rsidR="00F07E05" w:rsidRPr="00F6269A" w:rsidRDefault="00F07E05" w:rsidP="00F07E05">
      <w:pPr>
        <w:ind w:firstLine="709"/>
        <w:jc w:val="center"/>
        <w:rPr>
          <w:sz w:val="28"/>
          <w:szCs w:val="28"/>
        </w:rPr>
      </w:pPr>
    </w:p>
    <w:p w:rsidR="00F07E05" w:rsidRPr="00F6269A" w:rsidRDefault="00F07E05" w:rsidP="00F07E05">
      <w:pPr>
        <w:ind w:firstLine="709"/>
        <w:jc w:val="both"/>
        <w:rPr>
          <w:sz w:val="28"/>
          <w:szCs w:val="28"/>
        </w:rPr>
      </w:pPr>
      <w:r w:rsidRPr="00F6269A">
        <w:rPr>
          <w:sz w:val="28"/>
          <w:szCs w:val="28"/>
        </w:rPr>
        <w:t>к – количество действующих договоров продажи квартир, находящихся в собственности субъектов Российской Федерации;</w:t>
      </w:r>
    </w:p>
    <w:p w:rsidR="00F07E05" w:rsidRPr="00F6269A" w:rsidRDefault="00F07E05" w:rsidP="00F07E05">
      <w:pPr>
        <w:ind w:firstLine="709"/>
        <w:jc w:val="both"/>
        <w:rPr>
          <w:sz w:val="28"/>
          <w:szCs w:val="28"/>
        </w:rPr>
      </w:pPr>
      <w:r w:rsidRPr="00F6269A">
        <w:rPr>
          <w:sz w:val="28"/>
          <w:szCs w:val="28"/>
        </w:rPr>
        <w:t>Рп – размер цены выкупа объекта недвижимости, установленного договором, в год.</w:t>
      </w:r>
    </w:p>
    <w:p w:rsidR="00F07E05" w:rsidRPr="00F6269A" w:rsidRDefault="00F07E05" w:rsidP="00F07E05">
      <w:pPr>
        <w:ind w:firstLine="709"/>
        <w:jc w:val="both"/>
        <w:rPr>
          <w:sz w:val="28"/>
          <w:szCs w:val="28"/>
        </w:rPr>
      </w:pPr>
      <w:r w:rsidRPr="00F6269A">
        <w:rPr>
          <w:sz w:val="28"/>
          <w:szCs w:val="28"/>
        </w:rPr>
        <w:t>На момент составления прогноза поступлений по данному доходному источнику  заключено 3 договора купли-продажи квартир, находящихся в собственности Тверской области.</w:t>
      </w:r>
    </w:p>
    <w:p w:rsidR="00F07E05" w:rsidRPr="00F6269A" w:rsidRDefault="00F07E05" w:rsidP="00F07E05">
      <w:pPr>
        <w:shd w:val="clear" w:color="auto" w:fill="FFFFFF"/>
        <w:ind w:firstLine="709"/>
        <w:jc w:val="both"/>
        <w:rPr>
          <w:sz w:val="28"/>
          <w:szCs w:val="28"/>
        </w:rPr>
      </w:pPr>
      <w:r w:rsidRPr="00F6269A">
        <w:rPr>
          <w:sz w:val="28"/>
          <w:szCs w:val="28"/>
        </w:rPr>
        <w:t>На основании распоряжения Правительства Тверской области от 06.12.2019 № 886</w:t>
      </w:r>
      <w:r w:rsidRPr="00F6269A">
        <w:rPr>
          <w:sz w:val="28"/>
          <w:szCs w:val="28"/>
        </w:rPr>
        <w:noBreakHyphen/>
        <w:t xml:space="preserve">рп «О продаже Соколову А.А. жилого помещения коммерческого использования без проведения торгов» 26.02.2020 между Министерством и Соколовым А.А. заключен договор купли-продажи жилого помещения коммерческого использования – двухкомнатной квартиры площадью 53,4 кв. м, расположенной по адресу: Тверская область, г. Тверь, ул. Веселова, д. 25, кв. 106. Цена продажи квартиры составляет 2 216,1 тыс. руб., оплата производится в рассрочку сроком на 20 лет (240 месяцев) без начисления процентов на сумму денежных средств, по уплате которой предоставляется рассрочка, посредством ежемесячных выплат в равных долях (по 9,2 тыс. руб. ежемесячно) не позднее 25 числа текущего месяца. В соответствии с графиком платежей по исполнению обязательств по договору купли-продажи жилого помещения коммерческого использования количество месяцев предоставления рассрочки в 2021 году – 12 месяцев, в 2022-2024 годах – 12 месяцев. </w:t>
      </w:r>
    </w:p>
    <w:p w:rsidR="00F07E05" w:rsidRPr="00F6269A" w:rsidRDefault="00F07E05" w:rsidP="00F07E05">
      <w:pPr>
        <w:shd w:val="clear" w:color="auto" w:fill="FFFFFF"/>
        <w:ind w:firstLine="709"/>
        <w:jc w:val="both"/>
        <w:rPr>
          <w:sz w:val="28"/>
          <w:szCs w:val="28"/>
        </w:rPr>
      </w:pPr>
      <w:r w:rsidRPr="00F6269A">
        <w:rPr>
          <w:sz w:val="28"/>
          <w:szCs w:val="28"/>
        </w:rPr>
        <w:t>На основании распоряжения Правительства Тверской области от 06.12.2019 № 887</w:t>
      </w:r>
      <w:r w:rsidRPr="00F6269A">
        <w:rPr>
          <w:sz w:val="28"/>
          <w:szCs w:val="28"/>
        </w:rPr>
        <w:noBreakHyphen/>
        <w:t>рп «О продаже Смирнову М.В. жилого помещения коммерческого использования без проведения торгов» 26.02.2020 между Министерством и Смирновым М.В. заключен договор купли-продажи жилого помещения коммерческого использования – однокомнатной квартиры площадью 41,7 кв. м, расположенной по адресу: Тверская область, г. Тверь, ул. Цветочная, д. 6, кв. 45. Цена продажи квартиры составляет 1 795,5 тыс. руб., оплата производится в рассрочку сроком на 20 лет  (240 месяцев) без начисления процентов на сумму денежных средств, по уплате которой предоставляется рассрочка, посредством ежемесячных выплат в равных долях (по 7,5 тыс. руб. ежемесячно) не позднее 25 числа текущего месяца. В соответствии с графиком платежей по исполнению обязательств по договору купли-продажи жилого помещения коммерческого использования количество месяцев предоставления рассрочки в 2021 году – 12 месяцев, в 2022-2024 годах – 12 месяцев.</w:t>
      </w:r>
    </w:p>
    <w:p w:rsidR="00F07E05" w:rsidRPr="00F6269A" w:rsidRDefault="00F07E05" w:rsidP="00F07E05">
      <w:pPr>
        <w:shd w:val="clear" w:color="auto" w:fill="FFFFFF"/>
        <w:ind w:firstLine="709"/>
        <w:jc w:val="both"/>
        <w:rPr>
          <w:sz w:val="28"/>
          <w:szCs w:val="28"/>
        </w:rPr>
      </w:pPr>
      <w:r w:rsidRPr="00F6269A">
        <w:rPr>
          <w:sz w:val="28"/>
          <w:szCs w:val="28"/>
        </w:rPr>
        <w:t>На основании распоряжения Правительства Тверской области от 06.12.2019 № 888</w:t>
      </w:r>
      <w:r w:rsidRPr="00F6269A">
        <w:rPr>
          <w:sz w:val="28"/>
          <w:szCs w:val="28"/>
        </w:rPr>
        <w:noBreakHyphen/>
        <w:t xml:space="preserve">рп «О продаже Юсуфову Ю.Д. жилого помещения коммерческого использования без проведения торгов» 02.03.2020 между Министерством и Юсуфовым Ю.Д. заключен договор купли-продажи жилого помещения коммерческого использования – двухкомнатной квартиры площадью 68,2 кв. м, расположенной по адресу: Тверская область, г. Тверь, ул. </w:t>
      </w:r>
      <w:r w:rsidRPr="00F6269A">
        <w:rPr>
          <w:sz w:val="28"/>
          <w:szCs w:val="28"/>
        </w:rPr>
        <w:lastRenderedPageBreak/>
        <w:t>Хромова, д.27, корп.1, кв. 90. Цена продажи квартиры составляет 2 780, тыс. руб., оплата производится в рассрочку сроком на 20 лет (240 месяцев) без начисления процентов на сумму денежных средств, по уплате которой предоставляется рассрочка, посредством ежемесячных выплат в равных долях (по 11,6 тыс. руб. ежемесячно) не позднее 25 числа текущего месяца. В соответствии с графиком платежей по исполнению обязательств по договору купли-продажи жилого помещения коммерческого использования количество месяцев предоставления рассрочки в 2021 году – 12 месяцев, в 2022-2024 годах – 12 месяцев.</w:t>
      </w:r>
    </w:p>
    <w:p w:rsidR="00F07E05" w:rsidRPr="00F6269A" w:rsidRDefault="00F07E05" w:rsidP="00F07E05">
      <w:pPr>
        <w:ind w:firstLine="709"/>
        <w:jc w:val="both"/>
        <w:rPr>
          <w:sz w:val="28"/>
          <w:szCs w:val="28"/>
        </w:rPr>
      </w:pPr>
      <w:r w:rsidRPr="00F6269A">
        <w:rPr>
          <w:sz w:val="28"/>
          <w:szCs w:val="28"/>
        </w:rPr>
        <w:t>Начисления по действующим договорам купли-продажи квартир, находящихся в собственности Тверской области, на 2021 год составляют 339,6 тыс. руб., на 2022 год – 339,6 тыс. руб., на 2023 год – 339,6 тыс. руб., на 2024 год – 339,6 тыс. руб.</w:t>
      </w:r>
    </w:p>
    <w:p w:rsidR="00F07E05" w:rsidRPr="00F6269A" w:rsidRDefault="00F07E05" w:rsidP="00F07E05">
      <w:pPr>
        <w:ind w:firstLine="720"/>
        <w:jc w:val="both"/>
        <w:rPr>
          <w:b/>
          <w:sz w:val="28"/>
          <w:szCs w:val="28"/>
        </w:rPr>
      </w:pPr>
      <w:r w:rsidRPr="00F6269A">
        <w:rPr>
          <w:sz w:val="28"/>
          <w:szCs w:val="28"/>
        </w:rPr>
        <w:t xml:space="preserve">Прогноз доходов на 2022 год составит  </w:t>
      </w:r>
      <w:r w:rsidRPr="00F6269A">
        <w:rPr>
          <w:b/>
          <w:sz w:val="28"/>
          <w:szCs w:val="28"/>
        </w:rPr>
        <w:t>339,6 тыс. руб.,</w:t>
      </w:r>
      <w:r w:rsidRPr="00F6269A">
        <w:rPr>
          <w:sz w:val="28"/>
          <w:szCs w:val="28"/>
        </w:rPr>
        <w:t xml:space="preserve"> на 2023 год – </w:t>
      </w:r>
      <w:r w:rsidRPr="00F6269A">
        <w:rPr>
          <w:b/>
          <w:sz w:val="28"/>
          <w:szCs w:val="28"/>
        </w:rPr>
        <w:t>339,6 тыс. руб.</w:t>
      </w:r>
      <w:r w:rsidRPr="00F6269A">
        <w:rPr>
          <w:sz w:val="28"/>
          <w:szCs w:val="28"/>
        </w:rPr>
        <w:t xml:space="preserve">, на 2024 год – </w:t>
      </w:r>
      <w:r w:rsidRPr="00F6269A">
        <w:rPr>
          <w:b/>
          <w:sz w:val="28"/>
          <w:szCs w:val="28"/>
        </w:rPr>
        <w:t>339,6 тыс. руб</w:t>
      </w:r>
      <w:r w:rsidRPr="00F6269A">
        <w:rPr>
          <w:sz w:val="28"/>
          <w:szCs w:val="28"/>
        </w:rPr>
        <w:t>.</w:t>
      </w:r>
    </w:p>
    <w:p w:rsidR="00F07E05" w:rsidRDefault="00F07E05" w:rsidP="00F07E05">
      <w:pPr>
        <w:pStyle w:val="a9"/>
        <w:rPr>
          <w:b/>
        </w:rPr>
      </w:pPr>
    </w:p>
    <w:p w:rsidR="00F07E05" w:rsidRPr="00101D22" w:rsidRDefault="00F07E05" w:rsidP="00F07E05">
      <w:pPr>
        <w:pStyle w:val="a9"/>
        <w:rPr>
          <w:b/>
        </w:rPr>
      </w:pPr>
      <w:r w:rsidRPr="00101D22">
        <w:rPr>
          <w:b/>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автономных учреждений субъектов Российской Федерации), в части реализации материальных запасов по указанному имуществу (0</w:t>
      </w:r>
      <w:r w:rsidR="009469CC">
        <w:rPr>
          <w:b/>
        </w:rPr>
        <w:t>00</w:t>
      </w:r>
      <w:r w:rsidRPr="00101D22">
        <w:rPr>
          <w:b/>
        </w:rPr>
        <w:t xml:space="preserve"> 1 14 02022 02 0000 440)</w:t>
      </w:r>
    </w:p>
    <w:p w:rsidR="00F07E05" w:rsidRPr="00977E8B" w:rsidRDefault="00F07E05" w:rsidP="00F07E05">
      <w:pPr>
        <w:pStyle w:val="a9"/>
        <w:jc w:val="right"/>
      </w:pPr>
      <w:r>
        <w:t>тыс. руб.</w:t>
      </w:r>
    </w:p>
    <w:tbl>
      <w:tblPr>
        <w:tblW w:w="96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3"/>
        <w:gridCol w:w="1585"/>
        <w:gridCol w:w="1420"/>
        <w:gridCol w:w="1439"/>
      </w:tblGrid>
      <w:tr w:rsidR="00F07E05" w:rsidRPr="00B35C2C" w:rsidTr="008A253E">
        <w:trPr>
          <w:trHeight w:val="366"/>
        </w:trPr>
        <w:tc>
          <w:tcPr>
            <w:tcW w:w="5183" w:type="dxa"/>
            <w:shd w:val="clear" w:color="auto" w:fill="auto"/>
            <w:vAlign w:val="center"/>
          </w:tcPr>
          <w:p w:rsidR="00F07E05" w:rsidRPr="00977E8B" w:rsidRDefault="00F07E05" w:rsidP="008A253E">
            <w:pPr>
              <w:jc w:val="center"/>
              <w:rPr>
                <w:b/>
              </w:rPr>
            </w:pPr>
            <w:r w:rsidRPr="00977E8B">
              <w:rPr>
                <w:b/>
                <w:bCs/>
              </w:rPr>
              <w:t>Наименование дохода</w:t>
            </w:r>
          </w:p>
        </w:tc>
        <w:tc>
          <w:tcPr>
            <w:tcW w:w="1585" w:type="dxa"/>
            <w:shd w:val="clear" w:color="auto" w:fill="auto"/>
            <w:vAlign w:val="center"/>
          </w:tcPr>
          <w:p w:rsidR="00F07E05" w:rsidRPr="00977E8B" w:rsidRDefault="00F07E05" w:rsidP="008A253E">
            <w:pPr>
              <w:tabs>
                <w:tab w:val="left" w:pos="851"/>
              </w:tabs>
              <w:jc w:val="center"/>
            </w:pPr>
            <w:r w:rsidRPr="00977E8B">
              <w:t>Прогноз на</w:t>
            </w:r>
          </w:p>
          <w:p w:rsidR="00F07E05" w:rsidRPr="00977E8B" w:rsidRDefault="00F07E05" w:rsidP="008A253E">
            <w:pPr>
              <w:tabs>
                <w:tab w:val="left" w:pos="851"/>
              </w:tabs>
              <w:jc w:val="center"/>
            </w:pPr>
            <w:r w:rsidRPr="00977E8B">
              <w:t>2022год</w:t>
            </w:r>
          </w:p>
        </w:tc>
        <w:tc>
          <w:tcPr>
            <w:tcW w:w="1420" w:type="dxa"/>
            <w:shd w:val="clear" w:color="auto" w:fill="auto"/>
            <w:vAlign w:val="center"/>
          </w:tcPr>
          <w:p w:rsidR="00F07E05" w:rsidRPr="00977E8B" w:rsidRDefault="00F07E05" w:rsidP="008A253E">
            <w:pPr>
              <w:tabs>
                <w:tab w:val="left" w:pos="851"/>
              </w:tabs>
              <w:jc w:val="center"/>
            </w:pPr>
            <w:r w:rsidRPr="00977E8B">
              <w:t>Прогноз на            2023 год</w:t>
            </w:r>
          </w:p>
        </w:tc>
        <w:tc>
          <w:tcPr>
            <w:tcW w:w="1439" w:type="dxa"/>
            <w:shd w:val="clear" w:color="auto" w:fill="auto"/>
            <w:vAlign w:val="center"/>
          </w:tcPr>
          <w:p w:rsidR="00F07E05" w:rsidRPr="00977E8B" w:rsidRDefault="00F07E05" w:rsidP="008A253E">
            <w:pPr>
              <w:tabs>
                <w:tab w:val="left" w:pos="851"/>
              </w:tabs>
              <w:jc w:val="center"/>
            </w:pPr>
            <w:r w:rsidRPr="00977E8B">
              <w:t>Прогноз на          2024 год</w:t>
            </w:r>
          </w:p>
        </w:tc>
      </w:tr>
      <w:tr w:rsidR="00F07E05" w:rsidRPr="00B35C2C" w:rsidTr="008A253E">
        <w:trPr>
          <w:trHeight w:val="390"/>
        </w:trPr>
        <w:tc>
          <w:tcPr>
            <w:tcW w:w="5183" w:type="dxa"/>
            <w:shd w:val="clear" w:color="auto" w:fill="auto"/>
          </w:tcPr>
          <w:p w:rsidR="00F07E05" w:rsidRPr="00977E8B" w:rsidRDefault="00F07E05" w:rsidP="008A253E">
            <w:r w:rsidRPr="00977E8B">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автономных учреждений субъектов Российской Федерации), в части реализации материальных запасов по указанному имуществу</w:t>
            </w:r>
          </w:p>
        </w:tc>
        <w:tc>
          <w:tcPr>
            <w:tcW w:w="1585" w:type="dxa"/>
            <w:shd w:val="clear" w:color="auto" w:fill="auto"/>
            <w:vAlign w:val="center"/>
          </w:tcPr>
          <w:p w:rsidR="00F07E05" w:rsidRPr="00977E8B" w:rsidRDefault="00F07E05" w:rsidP="00FA6A9F">
            <w:pPr>
              <w:jc w:val="center"/>
            </w:pPr>
            <w:r w:rsidRPr="00977E8B">
              <w:t>93</w:t>
            </w:r>
            <w:r w:rsidR="00FA6A9F">
              <w:t>9</w:t>
            </w:r>
            <w:r w:rsidRPr="00977E8B">
              <w:t>,4</w:t>
            </w:r>
          </w:p>
        </w:tc>
        <w:tc>
          <w:tcPr>
            <w:tcW w:w="1420" w:type="dxa"/>
            <w:shd w:val="clear" w:color="auto" w:fill="auto"/>
            <w:vAlign w:val="center"/>
          </w:tcPr>
          <w:p w:rsidR="00F07E05" w:rsidRPr="00977E8B" w:rsidRDefault="00F07E05" w:rsidP="00FA6A9F">
            <w:pPr>
              <w:jc w:val="center"/>
            </w:pPr>
            <w:r w:rsidRPr="00977E8B">
              <w:t>1 03</w:t>
            </w:r>
            <w:r w:rsidR="00FA6A9F">
              <w:t>4</w:t>
            </w:r>
            <w:r w:rsidRPr="00977E8B">
              <w:t>,5</w:t>
            </w:r>
          </w:p>
        </w:tc>
        <w:tc>
          <w:tcPr>
            <w:tcW w:w="1439" w:type="dxa"/>
            <w:shd w:val="clear" w:color="auto" w:fill="auto"/>
            <w:vAlign w:val="center"/>
          </w:tcPr>
          <w:p w:rsidR="00F07E05" w:rsidRPr="00977E8B" w:rsidRDefault="00F07E05" w:rsidP="00FA6A9F">
            <w:pPr>
              <w:jc w:val="center"/>
            </w:pPr>
            <w:r w:rsidRPr="00977E8B">
              <w:t>98</w:t>
            </w:r>
            <w:r w:rsidR="00FA6A9F">
              <w:t>5</w:t>
            </w:r>
            <w:r w:rsidRPr="00977E8B">
              <w:t>,7</w:t>
            </w:r>
          </w:p>
        </w:tc>
      </w:tr>
    </w:tbl>
    <w:p w:rsidR="00F07E05" w:rsidRDefault="00F07E05" w:rsidP="00F07E05">
      <w:pPr>
        <w:pStyle w:val="a9"/>
        <w:jc w:val="center"/>
        <w:rPr>
          <w:b/>
          <w:color w:val="FF0000"/>
        </w:rPr>
      </w:pPr>
    </w:p>
    <w:p w:rsidR="00F07E05" w:rsidRDefault="00F07E05" w:rsidP="00F07E05">
      <w:pPr>
        <w:pStyle w:val="a9"/>
        <w:jc w:val="center"/>
        <w:rPr>
          <w:b/>
        </w:rPr>
      </w:pPr>
    </w:p>
    <w:p w:rsidR="00F07E05" w:rsidRDefault="00F07E05" w:rsidP="00F07E05">
      <w:pPr>
        <w:pStyle w:val="a9"/>
        <w:jc w:val="center"/>
        <w:rPr>
          <w:b/>
        </w:rPr>
      </w:pPr>
    </w:p>
    <w:p w:rsidR="00F07E05" w:rsidRPr="00CE73BF" w:rsidRDefault="00F07E05" w:rsidP="00F07E05">
      <w:pPr>
        <w:pStyle w:val="a9"/>
        <w:jc w:val="center"/>
        <w:rPr>
          <w:b/>
        </w:rPr>
      </w:pPr>
      <w:r w:rsidRPr="00CE73BF">
        <w:rPr>
          <w:b/>
        </w:rPr>
        <w:t>Правительство Тверской области</w:t>
      </w:r>
    </w:p>
    <w:p w:rsidR="00F07E05" w:rsidRPr="00704F41" w:rsidRDefault="00F07E05" w:rsidP="00F07E05">
      <w:pPr>
        <w:pStyle w:val="a9"/>
        <w:jc w:val="center"/>
        <w:rPr>
          <w:b/>
          <w:color w:val="FF0000"/>
        </w:rPr>
      </w:pPr>
    </w:p>
    <w:p w:rsidR="00F07E05" w:rsidRDefault="00F07E05" w:rsidP="00F07E05">
      <w:pPr>
        <w:pStyle w:val="21"/>
        <w:rPr>
          <w:bCs/>
        </w:rPr>
      </w:pPr>
      <w:r>
        <w:rPr>
          <w:bCs/>
        </w:rPr>
        <w:t xml:space="preserve"> Расчет прогноза произведен в соответствии с методикой прогнозирования, утвержденной п</w:t>
      </w:r>
      <w:r w:rsidRPr="00C93A58">
        <w:rPr>
          <w:bCs/>
        </w:rPr>
        <w:t xml:space="preserve">риказом Правительства Тверской области от 01.09.2016 № 91 </w:t>
      </w:r>
      <w:r>
        <w:rPr>
          <w:bCs/>
        </w:rPr>
        <w:t>с применением метода усреднения.</w:t>
      </w:r>
    </w:p>
    <w:p w:rsidR="00F07E05" w:rsidRDefault="00F07E05" w:rsidP="00F07E05">
      <w:pPr>
        <w:pStyle w:val="21"/>
        <w:rPr>
          <w:bCs/>
        </w:rPr>
      </w:pPr>
      <w:r>
        <w:rPr>
          <w:bCs/>
        </w:rPr>
        <w:t>2019 год факт – 34,1 тыс. руб.;</w:t>
      </w:r>
    </w:p>
    <w:p w:rsidR="00F07E05" w:rsidRDefault="00F07E05" w:rsidP="00F07E05">
      <w:pPr>
        <w:pStyle w:val="21"/>
        <w:rPr>
          <w:bCs/>
        </w:rPr>
      </w:pPr>
      <w:r>
        <w:rPr>
          <w:bCs/>
        </w:rPr>
        <w:t>2020 год факт – 58,3 тыс. руб.;</w:t>
      </w:r>
    </w:p>
    <w:p w:rsidR="00F07E05" w:rsidRDefault="00F07E05" w:rsidP="00F07E05">
      <w:pPr>
        <w:pStyle w:val="21"/>
        <w:rPr>
          <w:bCs/>
        </w:rPr>
      </w:pPr>
      <w:r>
        <w:rPr>
          <w:bCs/>
        </w:rPr>
        <w:t>2021 год оценка – 50,8 тыс. руб.</w:t>
      </w:r>
    </w:p>
    <w:p w:rsidR="00F07E05" w:rsidRDefault="00F07E05" w:rsidP="00F07E05">
      <w:pPr>
        <w:pStyle w:val="21"/>
        <w:rPr>
          <w:bCs/>
        </w:rPr>
      </w:pPr>
    </w:p>
    <w:p w:rsidR="00F07E05" w:rsidRDefault="00F07E05" w:rsidP="00F07E05">
      <w:pPr>
        <w:pStyle w:val="21"/>
        <w:rPr>
          <w:bCs/>
        </w:rPr>
      </w:pPr>
      <w:r w:rsidRPr="004E7B14">
        <w:rPr>
          <w:b/>
          <w:bCs/>
        </w:rPr>
        <w:t>Прогноз 202</w:t>
      </w:r>
      <w:r>
        <w:rPr>
          <w:b/>
          <w:bCs/>
        </w:rPr>
        <w:t>2</w:t>
      </w:r>
      <w:r w:rsidRPr="004E7B14">
        <w:rPr>
          <w:b/>
          <w:bCs/>
        </w:rPr>
        <w:t xml:space="preserve"> год – </w:t>
      </w:r>
      <w:r>
        <w:rPr>
          <w:b/>
          <w:bCs/>
        </w:rPr>
        <w:t>47,7</w:t>
      </w:r>
      <w:r w:rsidRPr="004E7B14">
        <w:rPr>
          <w:b/>
          <w:bCs/>
        </w:rPr>
        <w:t xml:space="preserve"> тыс. руб.</w:t>
      </w:r>
      <w:r>
        <w:rPr>
          <w:bCs/>
        </w:rPr>
        <w:t xml:space="preserve"> (34,1 тыс. руб. + 58,3 тыс. руб.+50,8 тыс. руб)/3=47,7 тыс. руб.</w:t>
      </w:r>
    </w:p>
    <w:p w:rsidR="00F07E05" w:rsidRDefault="00F07E05" w:rsidP="00F07E05">
      <w:pPr>
        <w:pStyle w:val="21"/>
        <w:rPr>
          <w:bCs/>
        </w:rPr>
      </w:pPr>
      <w:r w:rsidRPr="004E7B14">
        <w:rPr>
          <w:b/>
          <w:bCs/>
        </w:rPr>
        <w:lastRenderedPageBreak/>
        <w:t>Прогноз 202</w:t>
      </w:r>
      <w:r>
        <w:rPr>
          <w:b/>
          <w:bCs/>
        </w:rPr>
        <w:t>3</w:t>
      </w:r>
      <w:r w:rsidRPr="004E7B14">
        <w:rPr>
          <w:b/>
          <w:bCs/>
        </w:rPr>
        <w:t xml:space="preserve"> год – </w:t>
      </w:r>
      <w:r>
        <w:rPr>
          <w:b/>
          <w:bCs/>
        </w:rPr>
        <w:t>52,3</w:t>
      </w:r>
      <w:r w:rsidRPr="004E7B14">
        <w:rPr>
          <w:b/>
          <w:bCs/>
        </w:rPr>
        <w:t xml:space="preserve"> тыс. руб.</w:t>
      </w:r>
      <w:r>
        <w:rPr>
          <w:bCs/>
        </w:rPr>
        <w:t xml:space="preserve"> (58,3 тыс. руб.+50,8тыс. руб + 47,7 тыс. руб.)/3= 52,3 тыс. руб.</w:t>
      </w:r>
    </w:p>
    <w:p w:rsidR="00F07E05" w:rsidRDefault="00F07E05" w:rsidP="00F07E05">
      <w:pPr>
        <w:pStyle w:val="21"/>
        <w:rPr>
          <w:bCs/>
        </w:rPr>
      </w:pPr>
      <w:r w:rsidRPr="004E7B14">
        <w:rPr>
          <w:b/>
          <w:bCs/>
        </w:rPr>
        <w:t>Прогноз 202</w:t>
      </w:r>
      <w:r>
        <w:rPr>
          <w:b/>
          <w:bCs/>
        </w:rPr>
        <w:t>4</w:t>
      </w:r>
      <w:r w:rsidRPr="004E7B14">
        <w:rPr>
          <w:b/>
          <w:bCs/>
        </w:rPr>
        <w:t xml:space="preserve"> год – </w:t>
      </w:r>
      <w:r>
        <w:rPr>
          <w:b/>
          <w:bCs/>
        </w:rPr>
        <w:t>50,2</w:t>
      </w:r>
      <w:r w:rsidRPr="004E7B14">
        <w:rPr>
          <w:b/>
          <w:bCs/>
        </w:rPr>
        <w:t xml:space="preserve"> тыс. руб.</w:t>
      </w:r>
      <w:r>
        <w:rPr>
          <w:bCs/>
        </w:rPr>
        <w:t xml:space="preserve"> (50,8 тыс. руб + 47,7 тыс. руб.+ 52,3 тыс. руб.)/3= 50,2 тыс. руб.</w:t>
      </w:r>
    </w:p>
    <w:p w:rsidR="00F07E05" w:rsidRPr="00C93A58" w:rsidRDefault="00F07E05" w:rsidP="00F07E05">
      <w:pPr>
        <w:pStyle w:val="21"/>
      </w:pPr>
    </w:p>
    <w:p w:rsidR="00F07E05" w:rsidRDefault="00F07E05" w:rsidP="00F07E05">
      <w:pPr>
        <w:autoSpaceDE w:val="0"/>
        <w:autoSpaceDN w:val="0"/>
        <w:adjustRightInd w:val="0"/>
        <w:rPr>
          <w:b/>
        </w:rPr>
      </w:pPr>
      <w:r w:rsidRPr="00B35C2C">
        <w:t xml:space="preserve">                                      </w:t>
      </w:r>
    </w:p>
    <w:p w:rsidR="00F07E05" w:rsidRPr="00CE73BF" w:rsidRDefault="00F07E05" w:rsidP="00F07E05">
      <w:pPr>
        <w:pStyle w:val="a9"/>
        <w:jc w:val="center"/>
        <w:rPr>
          <w:b/>
        </w:rPr>
      </w:pPr>
      <w:r w:rsidRPr="00CE73BF">
        <w:rPr>
          <w:b/>
        </w:rPr>
        <w:t>Министерство транспорта Тверской области</w:t>
      </w:r>
    </w:p>
    <w:p w:rsidR="00F07E05" w:rsidRPr="000D2841" w:rsidRDefault="00F07E05" w:rsidP="00F07E05">
      <w:pPr>
        <w:pStyle w:val="a9"/>
        <w:jc w:val="center"/>
        <w:rPr>
          <w:b/>
          <w:color w:val="FF0000"/>
        </w:rPr>
      </w:pPr>
    </w:p>
    <w:p w:rsidR="00F07E05" w:rsidRPr="002E6055" w:rsidRDefault="00F07E05" w:rsidP="00F07E05">
      <w:pPr>
        <w:ind w:firstLine="567"/>
        <w:jc w:val="both"/>
        <w:rPr>
          <w:color w:val="000000"/>
          <w:sz w:val="28"/>
          <w:szCs w:val="28"/>
        </w:rPr>
      </w:pPr>
      <w:r w:rsidRPr="002E6055">
        <w:rPr>
          <w:sz w:val="28"/>
          <w:szCs w:val="28"/>
        </w:rPr>
        <w:t>Расчет прогноза поступлений от реализации имущества, находящегося в оперативном управлении учреждения, в части реализации материальных запасов по указанному имуществу рассчитывается методом прямого счета исходя из количественных и стоимостных показателей с применением к стоимостному показателю индекса – дефлятора  инвестиций в основной капитал, рекомендованного Министерством экономического развития Российской Федерации на плановый период, и суммы дебиторской задолженности, образовавшейся на 01 января текущего года. Расчет осуществляется по формуле:</w:t>
      </w:r>
    </w:p>
    <w:p w:rsidR="00F07E05" w:rsidRPr="002E6055" w:rsidRDefault="00F07E05" w:rsidP="00F07E05">
      <w:pPr>
        <w:ind w:left="72" w:firstLine="567"/>
        <w:jc w:val="both"/>
        <w:rPr>
          <w:sz w:val="28"/>
          <w:szCs w:val="28"/>
        </w:rPr>
      </w:pPr>
      <w:r w:rsidRPr="002E6055">
        <w:rPr>
          <w:b/>
          <w:sz w:val="28"/>
          <w:szCs w:val="28"/>
        </w:rPr>
        <w:t xml:space="preserve">                 Д = </w:t>
      </w:r>
      <w:r w:rsidRPr="002E6055">
        <w:rPr>
          <w:b/>
          <w:color w:val="000000"/>
          <w:sz w:val="28"/>
          <w:szCs w:val="28"/>
        </w:rPr>
        <w:t>Д</w:t>
      </w:r>
      <w:r w:rsidRPr="002E6055">
        <w:rPr>
          <w:b/>
          <w:color w:val="000000"/>
          <w:sz w:val="28"/>
          <w:szCs w:val="28"/>
          <w:vertAlign w:val="subscript"/>
        </w:rPr>
        <w:t>з</w:t>
      </w:r>
      <w:r w:rsidRPr="002E6055">
        <w:rPr>
          <w:b/>
          <w:color w:val="000000"/>
          <w:sz w:val="28"/>
          <w:szCs w:val="28"/>
        </w:rPr>
        <w:t xml:space="preserve"> + К</w:t>
      </w:r>
      <w:r w:rsidRPr="002E6055">
        <w:rPr>
          <w:b/>
          <w:color w:val="000000"/>
          <w:sz w:val="28"/>
          <w:szCs w:val="28"/>
          <w:vertAlign w:val="subscript"/>
          <w:lang w:val="en-US"/>
        </w:rPr>
        <w:t>i</w:t>
      </w:r>
      <w:r w:rsidRPr="002E6055">
        <w:rPr>
          <w:b/>
          <w:sz w:val="28"/>
          <w:szCs w:val="28"/>
        </w:rPr>
        <w:t xml:space="preserve"> * </w:t>
      </w:r>
      <w:r w:rsidRPr="002E6055">
        <w:rPr>
          <w:b/>
          <w:sz w:val="28"/>
          <w:szCs w:val="28"/>
          <w:lang w:val="en-US"/>
        </w:rPr>
        <w:t>S</w:t>
      </w:r>
      <w:r w:rsidRPr="002E6055">
        <w:rPr>
          <w:b/>
          <w:sz w:val="28"/>
          <w:szCs w:val="28"/>
          <w:vertAlign w:val="subscript"/>
          <w:lang w:val="en-US"/>
        </w:rPr>
        <w:t>i</w:t>
      </w:r>
      <w:r w:rsidRPr="002E6055">
        <w:rPr>
          <w:b/>
          <w:sz w:val="28"/>
          <w:szCs w:val="28"/>
        </w:rPr>
        <w:t xml:space="preserve"> * Ид</w:t>
      </w:r>
      <w:r w:rsidRPr="002E6055">
        <w:rPr>
          <w:sz w:val="28"/>
          <w:szCs w:val="28"/>
        </w:rPr>
        <w:t xml:space="preserve">, </w:t>
      </w:r>
    </w:p>
    <w:p w:rsidR="00F07E05" w:rsidRPr="002E6055" w:rsidRDefault="00F07E05" w:rsidP="00F07E05">
      <w:pPr>
        <w:ind w:left="72" w:firstLine="567"/>
        <w:jc w:val="both"/>
        <w:rPr>
          <w:b/>
          <w:sz w:val="28"/>
          <w:szCs w:val="28"/>
        </w:rPr>
      </w:pPr>
      <w:r w:rsidRPr="002E6055">
        <w:rPr>
          <w:sz w:val="28"/>
          <w:szCs w:val="28"/>
        </w:rPr>
        <w:t>где :</w:t>
      </w:r>
    </w:p>
    <w:p w:rsidR="00F07E05" w:rsidRPr="002E6055" w:rsidRDefault="00F07E05" w:rsidP="00F07E05">
      <w:pPr>
        <w:ind w:left="72" w:firstLine="567"/>
        <w:jc w:val="both"/>
        <w:rPr>
          <w:sz w:val="28"/>
          <w:szCs w:val="28"/>
        </w:rPr>
      </w:pPr>
      <w:r w:rsidRPr="002E6055">
        <w:rPr>
          <w:b/>
          <w:sz w:val="28"/>
          <w:szCs w:val="28"/>
        </w:rPr>
        <w:t>Д-</w:t>
      </w:r>
      <w:r w:rsidRPr="002E6055">
        <w:rPr>
          <w:sz w:val="28"/>
          <w:szCs w:val="28"/>
        </w:rPr>
        <w:t xml:space="preserve"> доходов от реализации имущества, находящегося в оперативном управлении учреждения, в части реализации материальных запасов по указанному имуществу;</w:t>
      </w:r>
    </w:p>
    <w:p w:rsidR="00F07E05" w:rsidRPr="002E6055" w:rsidRDefault="00F07E05" w:rsidP="00F07E05">
      <w:pPr>
        <w:ind w:left="72" w:firstLine="567"/>
        <w:jc w:val="both"/>
        <w:rPr>
          <w:b/>
          <w:sz w:val="28"/>
          <w:szCs w:val="28"/>
        </w:rPr>
      </w:pPr>
      <w:r w:rsidRPr="002E6055">
        <w:rPr>
          <w:b/>
          <w:sz w:val="28"/>
          <w:szCs w:val="28"/>
        </w:rPr>
        <w:t>Д</w:t>
      </w:r>
      <w:r w:rsidRPr="002E6055">
        <w:rPr>
          <w:b/>
          <w:sz w:val="28"/>
          <w:szCs w:val="28"/>
          <w:vertAlign w:val="subscript"/>
        </w:rPr>
        <w:t>з</w:t>
      </w:r>
      <w:r w:rsidRPr="002E6055">
        <w:rPr>
          <w:sz w:val="28"/>
          <w:szCs w:val="28"/>
        </w:rPr>
        <w:t xml:space="preserve"> - сумма дебиторской задолженности, образовавшаяся на 01 января текущего финансового года;</w:t>
      </w:r>
      <w:r w:rsidRPr="002E6055">
        <w:rPr>
          <w:b/>
          <w:sz w:val="28"/>
          <w:szCs w:val="28"/>
        </w:rPr>
        <w:t xml:space="preserve"> </w:t>
      </w:r>
    </w:p>
    <w:p w:rsidR="00F07E05" w:rsidRPr="002E6055" w:rsidRDefault="00F07E05" w:rsidP="00F07E05">
      <w:pPr>
        <w:tabs>
          <w:tab w:val="left" w:pos="567"/>
        </w:tabs>
        <w:ind w:left="72" w:firstLine="567"/>
        <w:jc w:val="both"/>
        <w:rPr>
          <w:sz w:val="28"/>
          <w:szCs w:val="28"/>
        </w:rPr>
      </w:pPr>
      <w:r w:rsidRPr="002E6055">
        <w:rPr>
          <w:b/>
          <w:color w:val="000000"/>
          <w:sz w:val="28"/>
          <w:szCs w:val="28"/>
        </w:rPr>
        <w:t>К</w:t>
      </w:r>
      <w:r w:rsidRPr="002E6055">
        <w:rPr>
          <w:b/>
          <w:color w:val="000000"/>
          <w:sz w:val="28"/>
          <w:szCs w:val="28"/>
          <w:vertAlign w:val="subscript"/>
          <w:lang w:val="en-US"/>
        </w:rPr>
        <w:t>i</w:t>
      </w:r>
      <w:r w:rsidRPr="002E6055">
        <w:rPr>
          <w:color w:val="000000"/>
          <w:sz w:val="28"/>
          <w:szCs w:val="28"/>
        </w:rPr>
        <w:t>– среднее количество i-того вида материальных запасов за три года, предшествующих текущему финансовому году.</w:t>
      </w:r>
    </w:p>
    <w:p w:rsidR="00F07E05" w:rsidRPr="002E6055" w:rsidRDefault="00F07E05" w:rsidP="00F07E05">
      <w:pPr>
        <w:autoSpaceDE w:val="0"/>
        <w:autoSpaceDN w:val="0"/>
        <w:adjustRightInd w:val="0"/>
        <w:ind w:firstLine="567"/>
        <w:jc w:val="both"/>
        <w:rPr>
          <w:color w:val="000000"/>
          <w:sz w:val="28"/>
          <w:szCs w:val="28"/>
        </w:rPr>
      </w:pPr>
      <w:r w:rsidRPr="002E6055">
        <w:rPr>
          <w:b/>
          <w:sz w:val="28"/>
          <w:szCs w:val="28"/>
          <w:lang w:val="en-US"/>
        </w:rPr>
        <w:t>S</w:t>
      </w:r>
      <w:r w:rsidRPr="002E6055">
        <w:rPr>
          <w:b/>
          <w:sz w:val="28"/>
          <w:szCs w:val="28"/>
          <w:vertAlign w:val="subscript"/>
          <w:lang w:val="en-US"/>
        </w:rPr>
        <w:t>i</w:t>
      </w:r>
      <w:r w:rsidRPr="002E6055">
        <w:rPr>
          <w:b/>
          <w:sz w:val="28"/>
          <w:szCs w:val="28"/>
          <w:vertAlign w:val="subscript"/>
        </w:rPr>
        <w:t xml:space="preserve"> </w:t>
      </w:r>
      <w:r w:rsidRPr="002E6055">
        <w:rPr>
          <w:sz w:val="28"/>
          <w:szCs w:val="28"/>
          <w:vertAlign w:val="subscript"/>
        </w:rPr>
        <w:t xml:space="preserve">– </w:t>
      </w:r>
      <w:r w:rsidRPr="002E6055">
        <w:rPr>
          <w:color w:val="000000"/>
          <w:sz w:val="28"/>
          <w:szCs w:val="28"/>
        </w:rPr>
        <w:t xml:space="preserve">средний размер i-того вида  стоимости </w:t>
      </w:r>
      <w:r w:rsidRPr="002E6055">
        <w:rPr>
          <w:sz w:val="28"/>
          <w:szCs w:val="28"/>
        </w:rPr>
        <w:t xml:space="preserve">реализуемых материальных запасов </w:t>
      </w:r>
      <w:r w:rsidRPr="002E6055">
        <w:rPr>
          <w:color w:val="000000"/>
          <w:sz w:val="28"/>
          <w:szCs w:val="28"/>
        </w:rPr>
        <w:t>за три года, предшествующих текущему финансовому году.</w:t>
      </w:r>
    </w:p>
    <w:p w:rsidR="00F07E05" w:rsidRPr="002E6055" w:rsidRDefault="00F07E05" w:rsidP="00F07E05">
      <w:pPr>
        <w:autoSpaceDE w:val="0"/>
        <w:autoSpaceDN w:val="0"/>
        <w:adjustRightInd w:val="0"/>
        <w:ind w:firstLine="567"/>
        <w:jc w:val="both"/>
        <w:rPr>
          <w:color w:val="000000"/>
          <w:sz w:val="28"/>
          <w:szCs w:val="28"/>
        </w:rPr>
      </w:pPr>
      <w:r w:rsidRPr="002E6055">
        <w:rPr>
          <w:b/>
          <w:sz w:val="28"/>
          <w:szCs w:val="28"/>
        </w:rPr>
        <w:t>Ид</w:t>
      </w:r>
      <w:r w:rsidRPr="002E6055">
        <w:rPr>
          <w:sz w:val="28"/>
          <w:szCs w:val="28"/>
        </w:rPr>
        <w:t xml:space="preserve"> - индекса – дефлятор  инвестиций в основной капитал, рекомендованный Министерством экономического развития Российской Федерации на плановый период.</w:t>
      </w:r>
    </w:p>
    <w:p w:rsidR="00F07E05" w:rsidRPr="002E6055" w:rsidRDefault="00F07E05" w:rsidP="00F07E05">
      <w:pPr>
        <w:autoSpaceDE w:val="0"/>
        <w:autoSpaceDN w:val="0"/>
        <w:adjustRightInd w:val="0"/>
        <w:ind w:firstLine="567"/>
        <w:jc w:val="both"/>
        <w:rPr>
          <w:b/>
          <w:sz w:val="28"/>
          <w:szCs w:val="28"/>
        </w:rPr>
      </w:pPr>
      <w:r w:rsidRPr="002E6055">
        <w:rPr>
          <w:sz w:val="28"/>
          <w:szCs w:val="28"/>
        </w:rPr>
        <w:t>Прогноз на очередной финансовый год и каждый год планового периода рассчитывается на уровне прогноза на текущий финансовый год.</w:t>
      </w:r>
    </w:p>
    <w:p w:rsidR="00F07E05" w:rsidRPr="002E6055" w:rsidRDefault="00F07E05" w:rsidP="00F07E05">
      <w:pPr>
        <w:ind w:right="282" w:firstLine="709"/>
        <w:jc w:val="center"/>
        <w:rPr>
          <w:sz w:val="28"/>
          <w:szCs w:val="28"/>
          <w:vertAlign w:val="subscript"/>
        </w:rPr>
      </w:pPr>
      <w:r w:rsidRPr="002E6055">
        <w:rPr>
          <w:sz w:val="28"/>
          <w:szCs w:val="28"/>
        </w:rPr>
        <w:t>Расчет К</w:t>
      </w:r>
      <w:r w:rsidRPr="002E6055">
        <w:rPr>
          <w:sz w:val="28"/>
          <w:szCs w:val="28"/>
          <w:vertAlign w:val="subscript"/>
          <w:lang w:val="en-US"/>
        </w:rPr>
        <w:t>i</w:t>
      </w:r>
      <w:r w:rsidRPr="002E6055">
        <w:rPr>
          <w:sz w:val="28"/>
          <w:szCs w:val="28"/>
          <w:vertAlign w:val="subscript"/>
        </w:rPr>
        <w:t xml:space="preserve"> </w:t>
      </w:r>
      <w:r w:rsidRPr="002E6055">
        <w:rPr>
          <w:sz w:val="28"/>
          <w:szCs w:val="28"/>
        </w:rPr>
        <w:t>и</w:t>
      </w:r>
      <w:r w:rsidRPr="002E6055">
        <w:rPr>
          <w:sz w:val="28"/>
          <w:szCs w:val="28"/>
          <w:vertAlign w:val="subscript"/>
        </w:rPr>
        <w:t xml:space="preserve"> </w:t>
      </w:r>
      <w:r w:rsidRPr="002E6055">
        <w:rPr>
          <w:sz w:val="28"/>
          <w:szCs w:val="28"/>
          <w:lang w:val="en-US"/>
        </w:rPr>
        <w:t>S</w:t>
      </w:r>
      <w:r w:rsidRPr="002E6055">
        <w:rPr>
          <w:sz w:val="28"/>
          <w:szCs w:val="28"/>
          <w:vertAlign w:val="subscript"/>
          <w:lang w:val="en-US"/>
        </w:rPr>
        <w:t>i</w:t>
      </w:r>
      <w:r w:rsidRPr="002E6055">
        <w:rPr>
          <w:sz w:val="28"/>
          <w:szCs w:val="28"/>
          <w:vertAlign w:val="subscript"/>
        </w:rPr>
        <w:t>:</w:t>
      </w:r>
    </w:p>
    <w:p w:rsidR="00F07E05" w:rsidRPr="002E6055" w:rsidRDefault="00F07E05" w:rsidP="00F07E05">
      <w:pPr>
        <w:autoSpaceDE w:val="0"/>
        <w:autoSpaceDN w:val="0"/>
        <w:adjustRightInd w:val="0"/>
        <w:ind w:left="72" w:firstLine="709"/>
        <w:jc w:val="both"/>
        <w:rPr>
          <w:rFonts w:eastAsiaTheme="minorHAnsi"/>
          <w:sz w:val="28"/>
          <w:szCs w:val="28"/>
          <w:lang w:eastAsia="en-US"/>
        </w:rPr>
      </w:pPr>
      <w:r w:rsidRPr="002E6055">
        <w:rPr>
          <w:rFonts w:eastAsiaTheme="minorHAnsi"/>
          <w:sz w:val="28"/>
          <w:szCs w:val="28"/>
          <w:lang w:eastAsia="en-US"/>
        </w:rPr>
        <w:t>1. Среднее количество материалов:</w:t>
      </w:r>
    </w:p>
    <w:p w:rsidR="00F07E05" w:rsidRPr="002E6055" w:rsidRDefault="00F07E05" w:rsidP="00F07E05">
      <w:pPr>
        <w:autoSpaceDE w:val="0"/>
        <w:autoSpaceDN w:val="0"/>
        <w:adjustRightInd w:val="0"/>
        <w:ind w:left="72" w:firstLine="709"/>
        <w:jc w:val="both"/>
        <w:rPr>
          <w:rFonts w:eastAsiaTheme="minorHAnsi"/>
          <w:sz w:val="28"/>
          <w:szCs w:val="28"/>
          <w:lang w:eastAsia="en-US"/>
        </w:rPr>
      </w:pPr>
      <w:r w:rsidRPr="002E6055">
        <w:rPr>
          <w:rFonts w:eastAsiaTheme="minorHAnsi"/>
          <w:sz w:val="28"/>
          <w:szCs w:val="28"/>
          <w:lang w:eastAsia="en-US"/>
        </w:rPr>
        <w:t>К</w:t>
      </w:r>
      <w:r w:rsidRPr="002E6055">
        <w:rPr>
          <w:rFonts w:eastAsiaTheme="minorHAnsi"/>
          <w:sz w:val="28"/>
          <w:szCs w:val="28"/>
          <w:vertAlign w:val="subscript"/>
          <w:lang w:eastAsia="en-US"/>
        </w:rPr>
        <w:t>i</w:t>
      </w:r>
      <w:r w:rsidRPr="002E6055">
        <w:rPr>
          <w:rFonts w:eastAsiaTheme="minorHAnsi"/>
          <w:sz w:val="28"/>
          <w:szCs w:val="28"/>
          <w:lang w:eastAsia="en-US"/>
        </w:rPr>
        <w:t xml:space="preserve"> = (К</w:t>
      </w:r>
      <w:r w:rsidRPr="002E6055">
        <w:rPr>
          <w:rFonts w:eastAsiaTheme="minorHAnsi"/>
          <w:sz w:val="28"/>
          <w:szCs w:val="28"/>
          <w:vertAlign w:val="subscript"/>
          <w:lang w:eastAsia="en-US"/>
        </w:rPr>
        <w:t>i</w:t>
      </w:r>
      <w:r w:rsidRPr="002E6055">
        <w:rPr>
          <w:rFonts w:eastAsiaTheme="minorHAnsi"/>
          <w:sz w:val="28"/>
          <w:szCs w:val="28"/>
          <w:lang w:eastAsia="en-US"/>
        </w:rPr>
        <w:t xml:space="preserve"> 2018 + К</w:t>
      </w:r>
      <w:r w:rsidRPr="002E6055">
        <w:rPr>
          <w:rFonts w:eastAsiaTheme="minorHAnsi"/>
          <w:sz w:val="28"/>
          <w:szCs w:val="28"/>
          <w:vertAlign w:val="subscript"/>
          <w:lang w:eastAsia="en-US"/>
        </w:rPr>
        <w:t>i</w:t>
      </w:r>
      <w:r w:rsidRPr="002E6055">
        <w:rPr>
          <w:rFonts w:eastAsiaTheme="minorHAnsi"/>
          <w:sz w:val="28"/>
          <w:szCs w:val="28"/>
          <w:lang w:eastAsia="en-US"/>
        </w:rPr>
        <w:t xml:space="preserve"> 2019 + К</w:t>
      </w:r>
      <w:r w:rsidRPr="002E6055">
        <w:rPr>
          <w:rFonts w:eastAsiaTheme="minorHAnsi"/>
          <w:sz w:val="28"/>
          <w:szCs w:val="28"/>
          <w:vertAlign w:val="subscript"/>
          <w:lang w:eastAsia="en-US"/>
        </w:rPr>
        <w:t>i</w:t>
      </w:r>
      <w:r w:rsidRPr="002E6055">
        <w:rPr>
          <w:rFonts w:eastAsiaTheme="minorHAnsi"/>
          <w:sz w:val="28"/>
          <w:szCs w:val="28"/>
          <w:lang w:eastAsia="en-US"/>
        </w:rPr>
        <w:t xml:space="preserve"> 2020)/3 = (33 тн + 33 тн + 165)/3 = 77 (тн)</w:t>
      </w:r>
    </w:p>
    <w:p w:rsidR="00F07E05" w:rsidRPr="002E6055" w:rsidRDefault="00F07E05" w:rsidP="00F07E05">
      <w:pPr>
        <w:autoSpaceDE w:val="0"/>
        <w:autoSpaceDN w:val="0"/>
        <w:adjustRightInd w:val="0"/>
        <w:ind w:left="72" w:firstLine="709"/>
        <w:jc w:val="both"/>
        <w:rPr>
          <w:rFonts w:eastAsiaTheme="minorHAnsi"/>
          <w:sz w:val="28"/>
          <w:szCs w:val="28"/>
          <w:lang w:eastAsia="en-US"/>
        </w:rPr>
      </w:pPr>
      <w:r w:rsidRPr="002E6055">
        <w:rPr>
          <w:rFonts w:eastAsiaTheme="minorHAnsi"/>
          <w:sz w:val="28"/>
          <w:szCs w:val="28"/>
          <w:lang w:eastAsia="en-US"/>
        </w:rPr>
        <w:t xml:space="preserve">2. Средний размер стоимости материалов:   </w:t>
      </w:r>
    </w:p>
    <w:p w:rsidR="00F07E05" w:rsidRPr="002E6055" w:rsidRDefault="00F07E05" w:rsidP="00F07E05">
      <w:pPr>
        <w:autoSpaceDE w:val="0"/>
        <w:autoSpaceDN w:val="0"/>
        <w:adjustRightInd w:val="0"/>
        <w:ind w:left="72" w:firstLine="709"/>
        <w:jc w:val="both"/>
        <w:rPr>
          <w:rFonts w:eastAsiaTheme="minorHAnsi"/>
          <w:sz w:val="28"/>
          <w:szCs w:val="28"/>
          <w:lang w:eastAsia="en-US"/>
        </w:rPr>
      </w:pPr>
      <w:r w:rsidRPr="002E6055">
        <w:rPr>
          <w:rFonts w:eastAsiaTheme="minorHAnsi"/>
          <w:sz w:val="28"/>
          <w:szCs w:val="28"/>
          <w:lang w:eastAsia="en-US"/>
        </w:rPr>
        <w:t>S</w:t>
      </w:r>
      <w:r w:rsidRPr="002E6055">
        <w:rPr>
          <w:rFonts w:eastAsiaTheme="minorHAnsi"/>
          <w:sz w:val="28"/>
          <w:szCs w:val="28"/>
          <w:vertAlign w:val="subscript"/>
          <w:lang w:eastAsia="en-US"/>
        </w:rPr>
        <w:t xml:space="preserve">i = </w:t>
      </w:r>
      <w:r w:rsidRPr="002E6055">
        <w:rPr>
          <w:rFonts w:eastAsiaTheme="minorHAnsi"/>
          <w:sz w:val="28"/>
          <w:szCs w:val="28"/>
          <w:lang w:eastAsia="en-US"/>
        </w:rPr>
        <w:t>(S</w:t>
      </w:r>
      <w:r w:rsidRPr="002E6055">
        <w:rPr>
          <w:rFonts w:eastAsiaTheme="minorHAnsi"/>
          <w:sz w:val="28"/>
          <w:szCs w:val="28"/>
          <w:vertAlign w:val="subscript"/>
          <w:lang w:eastAsia="en-US"/>
        </w:rPr>
        <w:t xml:space="preserve">i  </w:t>
      </w:r>
      <w:r w:rsidRPr="002E6055">
        <w:rPr>
          <w:rFonts w:eastAsiaTheme="minorHAnsi"/>
          <w:sz w:val="28"/>
          <w:szCs w:val="28"/>
          <w:lang w:eastAsia="en-US"/>
        </w:rPr>
        <w:t>2018 + S</w:t>
      </w:r>
      <w:r w:rsidRPr="002E6055">
        <w:rPr>
          <w:rFonts w:eastAsiaTheme="minorHAnsi"/>
          <w:sz w:val="28"/>
          <w:szCs w:val="28"/>
          <w:vertAlign w:val="subscript"/>
          <w:lang w:eastAsia="en-US"/>
        </w:rPr>
        <w:t xml:space="preserve">i  </w:t>
      </w:r>
      <w:r w:rsidRPr="002E6055">
        <w:rPr>
          <w:rFonts w:eastAsiaTheme="minorHAnsi"/>
          <w:sz w:val="28"/>
          <w:szCs w:val="28"/>
          <w:lang w:eastAsia="en-US"/>
        </w:rPr>
        <w:t>2019 + S</w:t>
      </w:r>
      <w:r w:rsidRPr="002E6055">
        <w:rPr>
          <w:rFonts w:eastAsiaTheme="minorHAnsi"/>
          <w:sz w:val="28"/>
          <w:szCs w:val="28"/>
          <w:vertAlign w:val="subscript"/>
          <w:lang w:eastAsia="en-US"/>
        </w:rPr>
        <w:t>i</w:t>
      </w:r>
      <w:r w:rsidRPr="002E6055">
        <w:rPr>
          <w:rFonts w:eastAsiaTheme="minorHAnsi"/>
          <w:sz w:val="28"/>
          <w:szCs w:val="28"/>
          <w:lang w:eastAsia="en-US"/>
        </w:rPr>
        <w:t xml:space="preserve"> 2020)/3 = (11,35 тыс.руб. + 3,85 тыс.руб. + 5,50 тыс.руб.)/3 = 6,90 тыс.руб. </w:t>
      </w:r>
    </w:p>
    <w:p w:rsidR="00F07E05" w:rsidRPr="002E6055" w:rsidRDefault="00F07E05" w:rsidP="00F07E05">
      <w:pPr>
        <w:ind w:right="282" w:firstLine="709"/>
        <w:jc w:val="both"/>
        <w:rPr>
          <w:sz w:val="28"/>
          <w:szCs w:val="28"/>
        </w:rPr>
      </w:pPr>
    </w:p>
    <w:p w:rsidR="00F07E05" w:rsidRPr="002C4341" w:rsidRDefault="00F07E05" w:rsidP="00F07E05">
      <w:pPr>
        <w:autoSpaceDE w:val="0"/>
        <w:autoSpaceDN w:val="0"/>
        <w:adjustRightInd w:val="0"/>
        <w:ind w:firstLine="709"/>
        <w:jc w:val="both"/>
        <w:rPr>
          <w:b/>
          <w:sz w:val="28"/>
          <w:szCs w:val="28"/>
        </w:rPr>
      </w:pPr>
      <w:r w:rsidRPr="002C4341">
        <w:rPr>
          <w:sz w:val="28"/>
          <w:szCs w:val="28"/>
        </w:rPr>
        <w:t xml:space="preserve">Прогноз </w:t>
      </w:r>
      <w:r w:rsidRPr="002C4341">
        <w:rPr>
          <w:b/>
          <w:sz w:val="28"/>
          <w:szCs w:val="28"/>
        </w:rPr>
        <w:t>2022 год</w:t>
      </w:r>
      <w:r w:rsidRPr="002C4341">
        <w:rPr>
          <w:sz w:val="28"/>
          <w:szCs w:val="28"/>
        </w:rPr>
        <w:t xml:space="preserve"> среднее количество реализуемых материальных запасов (лом черного металла)  77 тн * средняя стоимость услуг 7,2 (6,9 тыс.руб.* 1,053</w:t>
      </w:r>
      <w:r w:rsidRPr="002C4341">
        <w:rPr>
          <w:strike/>
          <w:sz w:val="28"/>
          <w:szCs w:val="28"/>
        </w:rPr>
        <w:t>)</w:t>
      </w:r>
      <w:r w:rsidRPr="002C4341">
        <w:rPr>
          <w:sz w:val="28"/>
          <w:szCs w:val="28"/>
        </w:rPr>
        <w:t xml:space="preserve"> (1,053  - индекс –дефлятор инвестиций в основной капитал на 2022 год) = </w:t>
      </w:r>
      <w:r w:rsidRPr="002C4341">
        <w:rPr>
          <w:b/>
          <w:sz w:val="28"/>
          <w:szCs w:val="28"/>
        </w:rPr>
        <w:t>583,8 тыс. руб.</w:t>
      </w:r>
    </w:p>
    <w:p w:rsidR="00F07E05" w:rsidRPr="002C4341" w:rsidRDefault="00F07E05" w:rsidP="00F07E05">
      <w:pPr>
        <w:autoSpaceDE w:val="0"/>
        <w:autoSpaceDN w:val="0"/>
        <w:adjustRightInd w:val="0"/>
        <w:ind w:firstLine="709"/>
        <w:jc w:val="both"/>
        <w:rPr>
          <w:b/>
          <w:sz w:val="28"/>
          <w:szCs w:val="28"/>
        </w:rPr>
      </w:pPr>
      <w:r w:rsidRPr="002C4341">
        <w:rPr>
          <w:sz w:val="28"/>
          <w:szCs w:val="28"/>
        </w:rPr>
        <w:t xml:space="preserve">Прогноз </w:t>
      </w:r>
      <w:r w:rsidRPr="002C4341">
        <w:rPr>
          <w:b/>
          <w:sz w:val="28"/>
          <w:szCs w:val="28"/>
        </w:rPr>
        <w:t>2023</w:t>
      </w:r>
      <w:r w:rsidRPr="002C4341">
        <w:rPr>
          <w:sz w:val="28"/>
          <w:szCs w:val="28"/>
        </w:rPr>
        <w:t xml:space="preserve"> год среднее количество реализуемых материальных запасов (лом черного металла)  77 тн * средняя стоимость услуг 7,6 (7,2* 1,055) </w:t>
      </w:r>
      <w:r w:rsidRPr="002C4341">
        <w:rPr>
          <w:sz w:val="28"/>
          <w:szCs w:val="28"/>
        </w:rPr>
        <w:lastRenderedPageBreak/>
        <w:t xml:space="preserve">(1,055  -  индекс –дефлятор  инвестиций в основной капитал на 2022 год)  = </w:t>
      </w:r>
      <w:r w:rsidRPr="002C4341">
        <w:rPr>
          <w:b/>
          <w:sz w:val="28"/>
          <w:szCs w:val="28"/>
        </w:rPr>
        <w:t>585,2 тыс. руб.</w:t>
      </w:r>
    </w:p>
    <w:p w:rsidR="00F07E05" w:rsidRDefault="00F07E05" w:rsidP="00F07E05">
      <w:pPr>
        <w:autoSpaceDE w:val="0"/>
        <w:autoSpaceDN w:val="0"/>
        <w:adjustRightInd w:val="0"/>
        <w:ind w:firstLine="709"/>
        <w:jc w:val="both"/>
        <w:rPr>
          <w:b/>
          <w:sz w:val="28"/>
          <w:szCs w:val="28"/>
        </w:rPr>
      </w:pPr>
      <w:r w:rsidRPr="002C4341">
        <w:rPr>
          <w:sz w:val="28"/>
          <w:szCs w:val="28"/>
        </w:rPr>
        <w:t xml:space="preserve">Прогноз </w:t>
      </w:r>
      <w:r w:rsidRPr="002C4341">
        <w:rPr>
          <w:b/>
          <w:sz w:val="28"/>
          <w:szCs w:val="28"/>
        </w:rPr>
        <w:t>2024</w:t>
      </w:r>
      <w:r w:rsidRPr="002C4341">
        <w:rPr>
          <w:sz w:val="28"/>
          <w:szCs w:val="28"/>
        </w:rPr>
        <w:t xml:space="preserve"> год среднее количество реализуемых материальных запасов (лом черного металла)  77 тн * средняя стоимость услуг 8,0 (7,6*1,056) (1,056 -  индекс –дефлятор  инвестиций в основной капитал на 2023год)  = </w:t>
      </w:r>
      <w:r w:rsidRPr="002C4341">
        <w:rPr>
          <w:b/>
          <w:sz w:val="28"/>
          <w:szCs w:val="28"/>
        </w:rPr>
        <w:t>616,0 тыс. руб.</w:t>
      </w:r>
    </w:p>
    <w:p w:rsidR="00F07E05" w:rsidRPr="002C4341" w:rsidRDefault="00F07E05" w:rsidP="00F07E05">
      <w:pPr>
        <w:autoSpaceDE w:val="0"/>
        <w:autoSpaceDN w:val="0"/>
        <w:adjustRightInd w:val="0"/>
        <w:ind w:firstLine="709"/>
        <w:jc w:val="both"/>
        <w:rPr>
          <w:b/>
          <w:sz w:val="28"/>
          <w:szCs w:val="28"/>
        </w:rPr>
      </w:pPr>
    </w:p>
    <w:p w:rsidR="00F07E05" w:rsidRPr="00CE73BF" w:rsidRDefault="00F07E05" w:rsidP="00F07E05">
      <w:pPr>
        <w:autoSpaceDE w:val="0"/>
        <w:autoSpaceDN w:val="0"/>
        <w:adjustRightInd w:val="0"/>
        <w:jc w:val="center"/>
        <w:rPr>
          <w:b/>
          <w:sz w:val="28"/>
          <w:szCs w:val="28"/>
        </w:rPr>
      </w:pPr>
      <w:r w:rsidRPr="00CE73BF">
        <w:rPr>
          <w:b/>
          <w:sz w:val="28"/>
          <w:szCs w:val="28"/>
        </w:rPr>
        <w:t>Министерство лесного хозяйства Тверской области</w:t>
      </w:r>
    </w:p>
    <w:p w:rsidR="00F07E05" w:rsidRDefault="00F07E05" w:rsidP="00F07E05">
      <w:pPr>
        <w:autoSpaceDE w:val="0"/>
        <w:autoSpaceDN w:val="0"/>
        <w:adjustRightInd w:val="0"/>
        <w:jc w:val="center"/>
        <w:rPr>
          <w:b/>
          <w:sz w:val="28"/>
          <w:szCs w:val="28"/>
        </w:rPr>
      </w:pPr>
    </w:p>
    <w:p w:rsidR="00F07E05" w:rsidRDefault="00F07E05" w:rsidP="00F07E05">
      <w:pPr>
        <w:tabs>
          <w:tab w:val="left" w:pos="4395"/>
        </w:tabs>
        <w:ind w:firstLine="709"/>
        <w:jc w:val="both"/>
        <w:rPr>
          <w:sz w:val="28"/>
          <w:szCs w:val="28"/>
        </w:rPr>
      </w:pPr>
      <w:r w:rsidRPr="00045420">
        <w:rPr>
          <w:sz w:val="28"/>
          <w:szCs w:val="28"/>
        </w:rPr>
        <w:t>Прогноз дохода на очередной финансовый год осуществляется методом усреднения годовых объемов доходов</w:t>
      </w:r>
      <w:r>
        <w:rPr>
          <w:sz w:val="28"/>
          <w:szCs w:val="28"/>
        </w:rPr>
        <w:t>.</w:t>
      </w:r>
    </w:p>
    <w:p w:rsidR="00F07E05" w:rsidRDefault="00F07E05" w:rsidP="00F07E05">
      <w:pPr>
        <w:tabs>
          <w:tab w:val="left" w:pos="4395"/>
        </w:tabs>
        <w:ind w:firstLine="709"/>
        <w:jc w:val="both"/>
        <w:rPr>
          <w:sz w:val="28"/>
          <w:szCs w:val="28"/>
        </w:rPr>
      </w:pPr>
      <w:r>
        <w:rPr>
          <w:sz w:val="28"/>
          <w:szCs w:val="28"/>
        </w:rPr>
        <w:t xml:space="preserve">Согласно данным бухгалтерской отчетности фактическое поступление </w:t>
      </w:r>
      <w:r w:rsidRPr="009E0BDA">
        <w:rPr>
          <w:sz w:val="28"/>
          <w:szCs w:val="28"/>
        </w:rPr>
        <w:t>средств от реализации имущества, находящегося в оперативном управлении казенных учреждений, находящихся в ведении Министерства лесного хозяйства Тверской области, в части реализации материальных запасов по указанному имуществу</w:t>
      </w:r>
      <w:r>
        <w:rPr>
          <w:sz w:val="28"/>
          <w:szCs w:val="28"/>
        </w:rPr>
        <w:t>, составило:</w:t>
      </w:r>
    </w:p>
    <w:p w:rsidR="00F07E05" w:rsidRDefault="00F07E05" w:rsidP="00F07E05">
      <w:pPr>
        <w:tabs>
          <w:tab w:val="left" w:pos="4395"/>
        </w:tabs>
        <w:ind w:firstLine="709"/>
        <w:jc w:val="both"/>
        <w:rPr>
          <w:sz w:val="28"/>
          <w:szCs w:val="28"/>
        </w:rPr>
      </w:pPr>
      <w:r>
        <w:rPr>
          <w:sz w:val="28"/>
          <w:szCs w:val="28"/>
        </w:rPr>
        <w:t xml:space="preserve">2019 год – 28,8 тыс. руб., 2020 год – 617,4 тыс. руб., 2021 год  (оценка) – 241,6 тыс. руб., </w:t>
      </w:r>
    </w:p>
    <w:p w:rsidR="00F07E05" w:rsidRDefault="00F07E05" w:rsidP="00F07E05">
      <w:pPr>
        <w:tabs>
          <w:tab w:val="left" w:pos="4395"/>
        </w:tabs>
        <w:ind w:firstLine="709"/>
        <w:jc w:val="both"/>
        <w:rPr>
          <w:sz w:val="28"/>
          <w:szCs w:val="28"/>
        </w:rPr>
      </w:pPr>
      <w:r>
        <w:rPr>
          <w:sz w:val="28"/>
          <w:szCs w:val="28"/>
        </w:rPr>
        <w:t>Прогнозное поступление составит:</w:t>
      </w:r>
    </w:p>
    <w:p w:rsidR="00F07E05" w:rsidRDefault="00F07E05" w:rsidP="00F07E05">
      <w:pPr>
        <w:tabs>
          <w:tab w:val="left" w:pos="4395"/>
        </w:tabs>
        <w:ind w:firstLine="709"/>
        <w:jc w:val="both"/>
        <w:rPr>
          <w:sz w:val="28"/>
          <w:szCs w:val="28"/>
        </w:rPr>
      </w:pPr>
      <w:r w:rsidRPr="0031548D">
        <w:rPr>
          <w:sz w:val="28"/>
          <w:szCs w:val="28"/>
        </w:rPr>
        <w:t>Д</w:t>
      </w:r>
      <w:r>
        <w:rPr>
          <w:sz w:val="28"/>
          <w:szCs w:val="28"/>
          <w:vertAlign w:val="subscript"/>
        </w:rPr>
        <w:t>2022</w:t>
      </w:r>
      <w:r w:rsidRPr="00656FE1">
        <w:rPr>
          <w:sz w:val="28"/>
          <w:szCs w:val="28"/>
        </w:rPr>
        <w:t xml:space="preserve"> = </w:t>
      </w:r>
      <w:r>
        <w:rPr>
          <w:sz w:val="28"/>
          <w:szCs w:val="28"/>
        </w:rPr>
        <w:t xml:space="preserve">(28,8+617,4+241,6)/3 = 295,9 тыс. руб.; </w:t>
      </w:r>
    </w:p>
    <w:p w:rsidR="00F07E05" w:rsidRDefault="00F07E05" w:rsidP="00F07E05">
      <w:pPr>
        <w:tabs>
          <w:tab w:val="left" w:pos="4395"/>
        </w:tabs>
        <w:ind w:firstLine="709"/>
        <w:jc w:val="both"/>
        <w:rPr>
          <w:sz w:val="28"/>
          <w:szCs w:val="28"/>
        </w:rPr>
      </w:pPr>
      <w:r>
        <w:rPr>
          <w:sz w:val="28"/>
          <w:szCs w:val="28"/>
        </w:rPr>
        <w:t>Д</w:t>
      </w:r>
      <w:r>
        <w:rPr>
          <w:sz w:val="28"/>
          <w:szCs w:val="28"/>
          <w:vertAlign w:val="subscript"/>
        </w:rPr>
        <w:t>2023</w:t>
      </w:r>
      <w:r>
        <w:rPr>
          <w:sz w:val="28"/>
          <w:szCs w:val="28"/>
        </w:rPr>
        <w:t xml:space="preserve"> = (617,4+241,6+295,9)/3 = 385,0 тыс. руб.;</w:t>
      </w:r>
    </w:p>
    <w:p w:rsidR="00F07E05" w:rsidRDefault="00F07E05" w:rsidP="00F07E05">
      <w:pPr>
        <w:tabs>
          <w:tab w:val="left" w:pos="4395"/>
        </w:tabs>
        <w:ind w:firstLine="709"/>
        <w:jc w:val="both"/>
        <w:rPr>
          <w:sz w:val="28"/>
          <w:szCs w:val="28"/>
        </w:rPr>
      </w:pPr>
      <w:r>
        <w:rPr>
          <w:sz w:val="28"/>
          <w:szCs w:val="28"/>
        </w:rPr>
        <w:t>Д</w:t>
      </w:r>
      <w:r>
        <w:rPr>
          <w:sz w:val="28"/>
          <w:szCs w:val="28"/>
          <w:vertAlign w:val="subscript"/>
        </w:rPr>
        <w:t xml:space="preserve">2024 </w:t>
      </w:r>
      <w:r>
        <w:rPr>
          <w:sz w:val="28"/>
          <w:szCs w:val="28"/>
        </w:rPr>
        <w:t>= (241,6+295,9+385,0)/3 = 307,5 тыс. руб.</w:t>
      </w:r>
    </w:p>
    <w:p w:rsidR="00F07E05" w:rsidRDefault="00F07E05" w:rsidP="00F07E05">
      <w:pPr>
        <w:tabs>
          <w:tab w:val="left" w:pos="4395"/>
        </w:tabs>
        <w:ind w:firstLine="709"/>
        <w:jc w:val="both"/>
        <w:rPr>
          <w:sz w:val="28"/>
          <w:szCs w:val="28"/>
        </w:rPr>
      </w:pPr>
    </w:p>
    <w:p w:rsidR="00F07E05" w:rsidRPr="00CE73BF" w:rsidRDefault="00F07E05" w:rsidP="00F07E05">
      <w:pPr>
        <w:autoSpaceDE w:val="0"/>
        <w:autoSpaceDN w:val="0"/>
        <w:adjustRightInd w:val="0"/>
        <w:jc w:val="center"/>
        <w:rPr>
          <w:b/>
          <w:sz w:val="28"/>
          <w:szCs w:val="28"/>
        </w:rPr>
      </w:pPr>
      <w:r w:rsidRPr="00CE73BF">
        <w:rPr>
          <w:b/>
          <w:sz w:val="28"/>
          <w:szCs w:val="28"/>
        </w:rPr>
        <w:t>Министерство социальной защиты населения Тверской области</w:t>
      </w:r>
    </w:p>
    <w:p w:rsidR="00F07E05" w:rsidRPr="001E1900" w:rsidRDefault="00F07E05" w:rsidP="00F07E05">
      <w:pPr>
        <w:autoSpaceDE w:val="0"/>
        <w:autoSpaceDN w:val="0"/>
        <w:adjustRightInd w:val="0"/>
        <w:jc w:val="center"/>
        <w:rPr>
          <w:b/>
          <w:color w:val="FF0000"/>
          <w:sz w:val="28"/>
          <w:szCs w:val="28"/>
        </w:rPr>
      </w:pPr>
    </w:p>
    <w:p w:rsidR="00F07E05" w:rsidRDefault="00F07E05" w:rsidP="00F07E05">
      <w:pPr>
        <w:autoSpaceDE w:val="0"/>
        <w:autoSpaceDN w:val="0"/>
        <w:adjustRightInd w:val="0"/>
        <w:ind w:firstLine="709"/>
        <w:jc w:val="both"/>
        <w:rPr>
          <w:sz w:val="29"/>
          <w:szCs w:val="29"/>
        </w:rPr>
      </w:pPr>
      <w:r>
        <w:rPr>
          <w:sz w:val="29"/>
          <w:szCs w:val="29"/>
        </w:rPr>
        <w:t xml:space="preserve">При прогнозировании доходов на очередной финансовый год </w:t>
      </w:r>
    </w:p>
    <w:p w:rsidR="00F07E05" w:rsidRDefault="00F07E05" w:rsidP="00F07E05">
      <w:pPr>
        <w:autoSpaceDE w:val="0"/>
        <w:autoSpaceDN w:val="0"/>
        <w:adjustRightInd w:val="0"/>
        <w:jc w:val="both"/>
        <w:rPr>
          <w:sz w:val="29"/>
          <w:szCs w:val="29"/>
        </w:rPr>
      </w:pPr>
      <w:r>
        <w:rPr>
          <w:sz w:val="29"/>
          <w:szCs w:val="29"/>
        </w:rPr>
        <w:t>осуществляется методом усреднения годовых объемов доходов за 3 года по формуле: ДМЗ = (ДМЗ(ож) + ДМЗn-1+ ДМЗn-2)/3,</w:t>
      </w:r>
    </w:p>
    <w:p w:rsidR="00F07E05" w:rsidRDefault="00F07E05" w:rsidP="00F07E05">
      <w:pPr>
        <w:autoSpaceDE w:val="0"/>
        <w:autoSpaceDN w:val="0"/>
        <w:adjustRightInd w:val="0"/>
        <w:jc w:val="both"/>
        <w:rPr>
          <w:sz w:val="29"/>
          <w:szCs w:val="29"/>
        </w:rPr>
      </w:pPr>
      <w:r>
        <w:rPr>
          <w:sz w:val="29"/>
          <w:szCs w:val="29"/>
        </w:rPr>
        <w:t>где:</w:t>
      </w:r>
    </w:p>
    <w:p w:rsidR="00F07E05" w:rsidRDefault="00F07E05" w:rsidP="00F07E05">
      <w:pPr>
        <w:autoSpaceDE w:val="0"/>
        <w:autoSpaceDN w:val="0"/>
        <w:adjustRightInd w:val="0"/>
        <w:jc w:val="both"/>
        <w:rPr>
          <w:sz w:val="29"/>
          <w:szCs w:val="29"/>
        </w:rPr>
      </w:pPr>
      <w:r>
        <w:rPr>
          <w:sz w:val="29"/>
          <w:szCs w:val="29"/>
        </w:rPr>
        <w:t>ДМЗ(ож) – ожидаемая оценка в текущем году;</w:t>
      </w:r>
    </w:p>
    <w:p w:rsidR="00F07E05" w:rsidRDefault="00F07E05" w:rsidP="00F07E05">
      <w:pPr>
        <w:autoSpaceDE w:val="0"/>
        <w:autoSpaceDN w:val="0"/>
        <w:adjustRightInd w:val="0"/>
        <w:jc w:val="both"/>
        <w:rPr>
          <w:sz w:val="29"/>
          <w:szCs w:val="29"/>
        </w:rPr>
      </w:pPr>
      <w:r>
        <w:rPr>
          <w:sz w:val="29"/>
          <w:szCs w:val="29"/>
        </w:rPr>
        <w:t>ДМЗn-1 и ДМЗn-2 – факт доходов за 2 года предшествующих текущему</w:t>
      </w:r>
    </w:p>
    <w:p w:rsidR="00F07E05" w:rsidRDefault="00F07E05" w:rsidP="00F07E05">
      <w:pPr>
        <w:autoSpaceDE w:val="0"/>
        <w:autoSpaceDN w:val="0"/>
        <w:adjustRightInd w:val="0"/>
        <w:jc w:val="both"/>
        <w:rPr>
          <w:sz w:val="29"/>
          <w:szCs w:val="29"/>
        </w:rPr>
      </w:pPr>
      <w:r>
        <w:rPr>
          <w:sz w:val="29"/>
          <w:szCs w:val="29"/>
        </w:rPr>
        <w:t>году.</w:t>
      </w:r>
    </w:p>
    <w:p w:rsidR="00F07E05" w:rsidRDefault="00F07E05" w:rsidP="00F07E05">
      <w:pPr>
        <w:autoSpaceDE w:val="0"/>
        <w:autoSpaceDN w:val="0"/>
        <w:adjustRightInd w:val="0"/>
        <w:jc w:val="both"/>
        <w:rPr>
          <w:rFonts w:ascii="Times New Roman,Bold" w:hAnsi="Times New Roman,Bold" w:cs="Times New Roman,Bold"/>
          <w:b/>
          <w:bCs/>
          <w:sz w:val="29"/>
          <w:szCs w:val="29"/>
        </w:rPr>
      </w:pPr>
      <w:r>
        <w:rPr>
          <w:rFonts w:ascii="Times New Roman,Bold" w:hAnsi="Times New Roman,Bold" w:cs="Times New Roman,Bold"/>
          <w:b/>
          <w:bCs/>
          <w:sz w:val="29"/>
          <w:szCs w:val="29"/>
        </w:rPr>
        <w:t xml:space="preserve">ДМЗ = (0,00 тыс. руб., + 2,91 тыс. руб., + 0,00 тыс. руб.,)/3 года = 1,0 тыс. руб. (с округлением) </w:t>
      </w:r>
    </w:p>
    <w:p w:rsidR="00F07E05" w:rsidRDefault="00F07E05" w:rsidP="00F07E05">
      <w:pPr>
        <w:autoSpaceDE w:val="0"/>
        <w:autoSpaceDN w:val="0"/>
        <w:adjustRightInd w:val="0"/>
        <w:ind w:firstLine="709"/>
        <w:jc w:val="both"/>
        <w:rPr>
          <w:sz w:val="29"/>
          <w:szCs w:val="29"/>
        </w:rPr>
      </w:pPr>
      <w:r>
        <w:rPr>
          <w:sz w:val="29"/>
          <w:szCs w:val="29"/>
        </w:rPr>
        <w:t>Прогноз на плановый период принимается на уровне прогноза на очередной финансовый год.</w:t>
      </w:r>
    </w:p>
    <w:p w:rsidR="00F07E05" w:rsidRDefault="00F07E05" w:rsidP="00F07E05">
      <w:pPr>
        <w:autoSpaceDE w:val="0"/>
        <w:autoSpaceDN w:val="0"/>
        <w:adjustRightInd w:val="0"/>
        <w:ind w:firstLine="709"/>
        <w:jc w:val="both"/>
        <w:rPr>
          <w:b/>
          <w:sz w:val="28"/>
          <w:szCs w:val="28"/>
          <w:highlight w:val="yellow"/>
        </w:rPr>
      </w:pPr>
    </w:p>
    <w:p w:rsidR="00FA6A9F" w:rsidRDefault="00FA6A9F" w:rsidP="00F07E05">
      <w:pPr>
        <w:autoSpaceDE w:val="0"/>
        <w:autoSpaceDN w:val="0"/>
        <w:adjustRightInd w:val="0"/>
        <w:ind w:firstLine="709"/>
        <w:jc w:val="both"/>
        <w:rPr>
          <w:b/>
          <w:sz w:val="28"/>
          <w:szCs w:val="28"/>
        </w:rPr>
      </w:pPr>
      <w:r w:rsidRPr="00FA6A9F">
        <w:rPr>
          <w:b/>
          <w:sz w:val="28"/>
          <w:szCs w:val="28"/>
        </w:rPr>
        <w:t>Министерство здравоохранения Тверской области</w:t>
      </w:r>
    </w:p>
    <w:p w:rsidR="00BB58B8" w:rsidRDefault="00430677" w:rsidP="00BB58B8">
      <w:pPr>
        <w:ind w:firstLine="709"/>
        <w:jc w:val="both"/>
        <w:rPr>
          <w:sz w:val="28"/>
          <w:szCs w:val="28"/>
        </w:rPr>
      </w:pPr>
      <w:r w:rsidRPr="00430677">
        <w:rPr>
          <w:sz w:val="28"/>
          <w:szCs w:val="28"/>
        </w:rPr>
        <w:t>Прогнозирование доходов осуществляется  методом экстраполяции по результатам анализа объема поступлений доходов по минимальному значению за три года, предшествующих текущему финансовому году</w:t>
      </w:r>
      <w:r w:rsidR="00BB58B8">
        <w:rPr>
          <w:sz w:val="28"/>
          <w:szCs w:val="28"/>
        </w:rPr>
        <w:t>.</w:t>
      </w:r>
    </w:p>
    <w:p w:rsidR="00430677" w:rsidRPr="00430677" w:rsidRDefault="00430677" w:rsidP="00430677">
      <w:pPr>
        <w:ind w:firstLine="709"/>
        <w:jc w:val="both"/>
        <w:rPr>
          <w:sz w:val="28"/>
          <w:szCs w:val="28"/>
        </w:rPr>
      </w:pPr>
      <w:r w:rsidRPr="00430677">
        <w:rPr>
          <w:sz w:val="28"/>
          <w:szCs w:val="28"/>
        </w:rPr>
        <w:t>Минимальное значение за 2018- 2020 годы составило 11,0 тыс.</w:t>
      </w:r>
      <w:r w:rsidR="00BB58B8">
        <w:rPr>
          <w:sz w:val="28"/>
          <w:szCs w:val="28"/>
        </w:rPr>
        <w:t xml:space="preserve"> </w:t>
      </w:r>
      <w:r w:rsidRPr="00430677">
        <w:rPr>
          <w:sz w:val="28"/>
          <w:szCs w:val="28"/>
        </w:rPr>
        <w:t>руб.</w:t>
      </w:r>
    </w:p>
    <w:p w:rsidR="00FA6A9F" w:rsidRDefault="00430677" w:rsidP="00430677">
      <w:pPr>
        <w:autoSpaceDE w:val="0"/>
        <w:autoSpaceDN w:val="0"/>
        <w:adjustRightInd w:val="0"/>
        <w:ind w:firstLine="709"/>
        <w:jc w:val="both"/>
        <w:rPr>
          <w:sz w:val="28"/>
          <w:szCs w:val="28"/>
        </w:rPr>
      </w:pPr>
      <w:r w:rsidRPr="00430677">
        <w:rPr>
          <w:sz w:val="28"/>
          <w:szCs w:val="28"/>
        </w:rPr>
        <w:t xml:space="preserve">Источником данных для расчета является форма бюджетной отчетности Министерства финансов Тверской области «Отчет об исполнении бюджета главного распорядителя, распорядителя, получателя бюджетных средств, </w:t>
      </w:r>
      <w:r w:rsidRPr="00430677">
        <w:rPr>
          <w:sz w:val="28"/>
          <w:szCs w:val="28"/>
        </w:rPr>
        <w:lastRenderedPageBreak/>
        <w:t>главного администратора, администратора источников финансирования дефицита бюджета, главного администратора, администратора доходов бюджета» (ф.0503127).</w:t>
      </w:r>
    </w:p>
    <w:p w:rsidR="00F3640E" w:rsidRPr="00430677" w:rsidRDefault="00F3640E" w:rsidP="00430677">
      <w:pPr>
        <w:autoSpaceDE w:val="0"/>
        <w:autoSpaceDN w:val="0"/>
        <w:adjustRightInd w:val="0"/>
        <w:ind w:firstLine="709"/>
        <w:jc w:val="both"/>
        <w:rPr>
          <w:b/>
          <w:sz w:val="28"/>
          <w:szCs w:val="28"/>
        </w:rPr>
      </w:pPr>
      <w:r>
        <w:rPr>
          <w:sz w:val="28"/>
          <w:szCs w:val="28"/>
        </w:rPr>
        <w:t>Прогноз 2022-2024 =11 тыс. руб.</w:t>
      </w:r>
    </w:p>
    <w:p w:rsidR="00F07E05" w:rsidRPr="00430677" w:rsidRDefault="00F07E05" w:rsidP="00F07E05">
      <w:pPr>
        <w:autoSpaceDE w:val="0"/>
        <w:autoSpaceDN w:val="0"/>
        <w:adjustRightInd w:val="0"/>
        <w:ind w:firstLine="709"/>
        <w:jc w:val="both"/>
        <w:rPr>
          <w:b/>
          <w:sz w:val="28"/>
          <w:szCs w:val="28"/>
          <w:highlight w:val="yellow"/>
        </w:rPr>
      </w:pPr>
    </w:p>
    <w:p w:rsidR="00F07E05" w:rsidRPr="00CE73BF" w:rsidRDefault="00F07E05" w:rsidP="00F07E05">
      <w:pPr>
        <w:pStyle w:val="a7"/>
        <w:ind w:left="709"/>
        <w:jc w:val="center"/>
        <w:rPr>
          <w:b/>
          <w:sz w:val="28"/>
          <w:szCs w:val="28"/>
        </w:rPr>
      </w:pPr>
      <w:r w:rsidRPr="00CE73BF">
        <w:rPr>
          <w:b/>
          <w:sz w:val="28"/>
          <w:szCs w:val="28"/>
        </w:rPr>
        <w:t>Административные платежи и сборы</w:t>
      </w:r>
    </w:p>
    <w:p w:rsidR="00F07E05" w:rsidRPr="00725026" w:rsidRDefault="00F07E05" w:rsidP="00F07E05">
      <w:pPr>
        <w:pStyle w:val="a7"/>
        <w:ind w:left="-180"/>
        <w:jc w:val="both"/>
        <w:rPr>
          <w:sz w:val="28"/>
          <w:szCs w:val="28"/>
        </w:rPr>
      </w:pPr>
      <w:r w:rsidRPr="00DD3B51">
        <w:rPr>
          <w:sz w:val="28"/>
          <w:szCs w:val="28"/>
        </w:rPr>
        <w:t xml:space="preserve">Платежи, взимаемые государственными органами (организациями) субъектов Российской Федерации за выполнение определенных функций </w:t>
      </w:r>
      <w:r>
        <w:rPr>
          <w:sz w:val="28"/>
          <w:szCs w:val="28"/>
        </w:rPr>
        <w:t xml:space="preserve">                               </w:t>
      </w:r>
      <w:r w:rsidRPr="00DD3B51">
        <w:rPr>
          <w:sz w:val="28"/>
          <w:szCs w:val="28"/>
        </w:rPr>
        <w:t>КБК 000 1 15 02020 02 0000 140</w:t>
      </w:r>
      <w:r w:rsidRPr="00725026">
        <w:rPr>
          <w:sz w:val="28"/>
          <w:szCs w:val="28"/>
        </w:rPr>
        <w:t xml:space="preserve"> прогнозируются в суммах</w:t>
      </w:r>
    </w:p>
    <w:p w:rsidR="00F07E05" w:rsidRPr="00C93A58" w:rsidRDefault="00F07E05" w:rsidP="00F07E05">
      <w:pPr>
        <w:pStyle w:val="a7"/>
        <w:ind w:left="-180"/>
        <w:jc w:val="right"/>
        <w:rPr>
          <w:b/>
        </w:rPr>
      </w:pPr>
      <w:r w:rsidRPr="00C93A58">
        <w:rPr>
          <w:b/>
        </w:rPr>
        <w:t>тыс. руб.</w:t>
      </w: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6"/>
        <w:gridCol w:w="1901"/>
        <w:gridCol w:w="1862"/>
        <w:gridCol w:w="1962"/>
      </w:tblGrid>
      <w:tr w:rsidR="00F07E05" w:rsidRPr="00C93A58" w:rsidTr="008A253E">
        <w:trPr>
          <w:trHeight w:val="647"/>
          <w:jc w:val="center"/>
        </w:trPr>
        <w:tc>
          <w:tcPr>
            <w:tcW w:w="3806" w:type="dxa"/>
            <w:vAlign w:val="center"/>
          </w:tcPr>
          <w:p w:rsidR="00F07E05" w:rsidRPr="00C93A58" w:rsidRDefault="00F07E05" w:rsidP="008A253E">
            <w:pPr>
              <w:ind w:hanging="566"/>
              <w:jc w:val="center"/>
              <w:rPr>
                <w:b/>
                <w:sz w:val="20"/>
                <w:szCs w:val="20"/>
              </w:rPr>
            </w:pPr>
            <w:r w:rsidRPr="00C93A58">
              <w:rPr>
                <w:b/>
                <w:sz w:val="20"/>
                <w:szCs w:val="20"/>
              </w:rPr>
              <w:t xml:space="preserve">КБК </w:t>
            </w:r>
          </w:p>
        </w:tc>
        <w:tc>
          <w:tcPr>
            <w:tcW w:w="1901" w:type="dxa"/>
            <w:vAlign w:val="center"/>
          </w:tcPr>
          <w:p w:rsidR="00F07E05" w:rsidRPr="00C93A58" w:rsidRDefault="00F07E05" w:rsidP="008A253E">
            <w:pPr>
              <w:jc w:val="center"/>
              <w:rPr>
                <w:b/>
                <w:sz w:val="20"/>
                <w:szCs w:val="20"/>
              </w:rPr>
            </w:pPr>
            <w:r w:rsidRPr="00C93A58">
              <w:rPr>
                <w:b/>
                <w:sz w:val="20"/>
                <w:szCs w:val="20"/>
              </w:rPr>
              <w:t xml:space="preserve">Прогноз на </w:t>
            </w:r>
            <w:r>
              <w:rPr>
                <w:b/>
                <w:sz w:val="20"/>
                <w:szCs w:val="20"/>
              </w:rPr>
              <w:t xml:space="preserve">2022 </w:t>
            </w:r>
            <w:r w:rsidRPr="00C93A58">
              <w:rPr>
                <w:b/>
                <w:sz w:val="20"/>
                <w:szCs w:val="20"/>
              </w:rPr>
              <w:t>год</w:t>
            </w:r>
          </w:p>
          <w:p w:rsidR="00F07E05" w:rsidRPr="00C93A58" w:rsidRDefault="00F07E05" w:rsidP="008A253E">
            <w:pPr>
              <w:jc w:val="center"/>
              <w:rPr>
                <w:b/>
                <w:sz w:val="20"/>
                <w:szCs w:val="20"/>
              </w:rPr>
            </w:pPr>
          </w:p>
        </w:tc>
        <w:tc>
          <w:tcPr>
            <w:tcW w:w="1862" w:type="dxa"/>
            <w:vAlign w:val="center"/>
          </w:tcPr>
          <w:p w:rsidR="00F07E05" w:rsidRPr="00C93A58" w:rsidRDefault="00F07E05" w:rsidP="008A253E">
            <w:pPr>
              <w:jc w:val="center"/>
              <w:rPr>
                <w:b/>
                <w:sz w:val="20"/>
                <w:szCs w:val="20"/>
              </w:rPr>
            </w:pPr>
            <w:r w:rsidRPr="00C93A58">
              <w:rPr>
                <w:b/>
                <w:sz w:val="20"/>
                <w:szCs w:val="20"/>
              </w:rPr>
              <w:t>Прогноз на 20</w:t>
            </w:r>
            <w:r>
              <w:rPr>
                <w:b/>
                <w:sz w:val="20"/>
                <w:szCs w:val="20"/>
              </w:rPr>
              <w:t xml:space="preserve">23 </w:t>
            </w:r>
            <w:r w:rsidRPr="00C93A58">
              <w:rPr>
                <w:b/>
                <w:sz w:val="20"/>
                <w:szCs w:val="20"/>
              </w:rPr>
              <w:t>год</w:t>
            </w:r>
          </w:p>
          <w:p w:rsidR="00F07E05" w:rsidRPr="00C93A58" w:rsidRDefault="00F07E05" w:rsidP="008A253E">
            <w:pPr>
              <w:jc w:val="center"/>
              <w:rPr>
                <w:b/>
                <w:sz w:val="20"/>
                <w:szCs w:val="20"/>
              </w:rPr>
            </w:pPr>
          </w:p>
        </w:tc>
        <w:tc>
          <w:tcPr>
            <w:tcW w:w="1962" w:type="dxa"/>
            <w:vAlign w:val="center"/>
          </w:tcPr>
          <w:p w:rsidR="00F07E05" w:rsidRPr="00C93A58" w:rsidRDefault="00F07E05" w:rsidP="008A253E">
            <w:pPr>
              <w:jc w:val="center"/>
              <w:rPr>
                <w:b/>
                <w:sz w:val="20"/>
                <w:szCs w:val="20"/>
              </w:rPr>
            </w:pPr>
            <w:r w:rsidRPr="00C93A58">
              <w:rPr>
                <w:b/>
                <w:sz w:val="20"/>
                <w:szCs w:val="20"/>
              </w:rPr>
              <w:t>Прогноз на 20</w:t>
            </w:r>
            <w:r>
              <w:rPr>
                <w:b/>
                <w:sz w:val="20"/>
                <w:szCs w:val="20"/>
              </w:rPr>
              <w:t xml:space="preserve">24 </w:t>
            </w:r>
            <w:r w:rsidRPr="00C93A58">
              <w:rPr>
                <w:b/>
                <w:sz w:val="20"/>
                <w:szCs w:val="20"/>
              </w:rPr>
              <w:t>год</w:t>
            </w:r>
          </w:p>
          <w:p w:rsidR="00F07E05" w:rsidRPr="00C93A58" w:rsidRDefault="00F07E05" w:rsidP="008A253E">
            <w:pPr>
              <w:jc w:val="center"/>
              <w:rPr>
                <w:b/>
                <w:sz w:val="20"/>
                <w:szCs w:val="20"/>
              </w:rPr>
            </w:pPr>
          </w:p>
        </w:tc>
      </w:tr>
      <w:tr w:rsidR="00F07E05" w:rsidRPr="00C93A58" w:rsidTr="008A253E">
        <w:trPr>
          <w:trHeight w:val="239"/>
          <w:jc w:val="center"/>
        </w:trPr>
        <w:tc>
          <w:tcPr>
            <w:tcW w:w="3806" w:type="dxa"/>
            <w:vAlign w:val="center"/>
          </w:tcPr>
          <w:p w:rsidR="00F07E05" w:rsidRPr="00C93A58" w:rsidRDefault="00F07E05" w:rsidP="008A253E">
            <w:pPr>
              <w:jc w:val="center"/>
            </w:pPr>
            <w:r w:rsidRPr="00C93A58">
              <w:rPr>
                <w:b/>
              </w:rPr>
              <w:t xml:space="preserve">000 </w:t>
            </w:r>
            <w:r w:rsidRPr="00C93A58">
              <w:rPr>
                <w:b/>
                <w:snapToGrid w:val="0"/>
              </w:rPr>
              <w:t>1 15 02020 02 0000 140</w:t>
            </w:r>
          </w:p>
        </w:tc>
        <w:tc>
          <w:tcPr>
            <w:tcW w:w="1901" w:type="dxa"/>
            <w:vAlign w:val="center"/>
          </w:tcPr>
          <w:p w:rsidR="00F07E05" w:rsidRPr="00C93A58" w:rsidRDefault="00F07E05" w:rsidP="008A253E">
            <w:pPr>
              <w:jc w:val="center"/>
              <w:rPr>
                <w:b/>
              </w:rPr>
            </w:pPr>
            <w:r>
              <w:rPr>
                <w:b/>
              </w:rPr>
              <w:t>6 677,3</w:t>
            </w:r>
          </w:p>
        </w:tc>
        <w:tc>
          <w:tcPr>
            <w:tcW w:w="1862" w:type="dxa"/>
            <w:vAlign w:val="center"/>
          </w:tcPr>
          <w:p w:rsidR="00F07E05" w:rsidRPr="00C93A58" w:rsidRDefault="00F07E05" w:rsidP="008A253E">
            <w:pPr>
              <w:jc w:val="center"/>
              <w:rPr>
                <w:b/>
              </w:rPr>
            </w:pPr>
            <w:r>
              <w:rPr>
                <w:b/>
              </w:rPr>
              <w:t>6 746,5</w:t>
            </w:r>
          </w:p>
        </w:tc>
        <w:tc>
          <w:tcPr>
            <w:tcW w:w="1962" w:type="dxa"/>
            <w:vAlign w:val="center"/>
          </w:tcPr>
          <w:p w:rsidR="00F07E05" w:rsidRPr="00C93A58" w:rsidRDefault="00F07E05" w:rsidP="008A253E">
            <w:pPr>
              <w:jc w:val="center"/>
              <w:rPr>
                <w:b/>
              </w:rPr>
            </w:pPr>
            <w:r>
              <w:rPr>
                <w:b/>
              </w:rPr>
              <w:t>6 777,3</w:t>
            </w:r>
          </w:p>
        </w:tc>
      </w:tr>
    </w:tbl>
    <w:p w:rsidR="00F07E05" w:rsidRDefault="00F07E05" w:rsidP="00F07E05">
      <w:pPr>
        <w:ind w:firstLine="709"/>
        <w:jc w:val="both"/>
        <w:rPr>
          <w:sz w:val="28"/>
          <w:szCs w:val="28"/>
        </w:rPr>
      </w:pPr>
    </w:p>
    <w:p w:rsidR="00F07E05" w:rsidRPr="00CE73BF" w:rsidRDefault="00F07E05" w:rsidP="00F07E05">
      <w:pPr>
        <w:pStyle w:val="a7"/>
        <w:ind w:left="709"/>
        <w:jc w:val="center"/>
        <w:rPr>
          <w:b/>
          <w:sz w:val="28"/>
          <w:szCs w:val="28"/>
        </w:rPr>
      </w:pPr>
      <w:r w:rsidRPr="00CE73BF">
        <w:rPr>
          <w:b/>
          <w:sz w:val="28"/>
          <w:szCs w:val="28"/>
        </w:rPr>
        <w:t>Главное управлению «Государственная инспекция по надзору за техническим состоянием самоходных машин и других видов техники» Тверской области</w:t>
      </w:r>
    </w:p>
    <w:p w:rsidR="00F07E05" w:rsidRPr="000C3C50" w:rsidRDefault="00F07E05" w:rsidP="00F07E05">
      <w:pPr>
        <w:pStyle w:val="21"/>
        <w:rPr>
          <w:bCs/>
        </w:rPr>
      </w:pPr>
      <w:r w:rsidRPr="000C3C50">
        <w:rPr>
          <w:bCs/>
        </w:rPr>
        <w:t xml:space="preserve">Приказом </w:t>
      </w:r>
      <w:r w:rsidRPr="000C3C50">
        <w:t>Главного управления «Государственная инспекция по надзору за техническим состоянием самоходных машин и других видов техники» Тверской области от</w:t>
      </w:r>
      <w:r w:rsidRPr="000C3C50">
        <w:rPr>
          <w:bCs/>
        </w:rPr>
        <w:t xml:space="preserve"> 30.08.2016 № 52/ПК</w:t>
      </w:r>
      <w:r>
        <w:rPr>
          <w:bCs/>
        </w:rPr>
        <w:t xml:space="preserve"> (с изменениями и дополнениями) </w:t>
      </w:r>
      <w:r w:rsidRPr="000C3C50">
        <w:rPr>
          <w:bCs/>
        </w:rPr>
        <w:t xml:space="preserve">утверждена методика прогнозирования поступлений доходов в областной бюджет Тверской области, администрируемых </w:t>
      </w:r>
      <w:r w:rsidRPr="000C3C50">
        <w:t>Главным управлением «Государственная инспекция по надзору за техническим состоянием самоходных машин и других видов техники» Тверской области (</w:t>
      </w:r>
      <w:r w:rsidRPr="000C3C50">
        <w:rPr>
          <w:bCs/>
        </w:rPr>
        <w:t xml:space="preserve">далее – Методика). </w:t>
      </w:r>
    </w:p>
    <w:p w:rsidR="00F07E05" w:rsidRPr="00C81CCE" w:rsidRDefault="00F07E05" w:rsidP="00F07E05">
      <w:pPr>
        <w:ind w:firstLine="709"/>
        <w:jc w:val="both"/>
        <w:rPr>
          <w:sz w:val="28"/>
          <w:szCs w:val="28"/>
        </w:rPr>
      </w:pPr>
      <w:r>
        <w:rPr>
          <w:sz w:val="28"/>
          <w:szCs w:val="28"/>
        </w:rPr>
        <w:t>В соответствии с Методикой п</w:t>
      </w:r>
      <w:r w:rsidRPr="00C81CCE">
        <w:rPr>
          <w:sz w:val="28"/>
          <w:szCs w:val="28"/>
        </w:rPr>
        <w:t>ри прогнозировании суммы сборов используется метод прямого расчета. Для определения прогноза используются данные о фактическом количестве совершенных действий за предшествующий период и размером сбора, установленного постановлением Правительства Тверской области на дату осуществления расчета.</w:t>
      </w:r>
    </w:p>
    <w:p w:rsidR="00F07E05" w:rsidRPr="00C81CCE" w:rsidRDefault="00F07E05" w:rsidP="00F07E05">
      <w:pPr>
        <w:ind w:firstLine="709"/>
        <w:jc w:val="both"/>
        <w:rPr>
          <w:sz w:val="28"/>
          <w:szCs w:val="28"/>
        </w:rPr>
      </w:pPr>
      <w:r w:rsidRPr="00C81CCE">
        <w:rPr>
          <w:sz w:val="28"/>
          <w:szCs w:val="28"/>
        </w:rPr>
        <w:t>Прогноз количественных показателей рассчитывается методом экстраполяции и основывается на показателях государственной программы, сложившейся динамике совершенных действий по данным АИС ГТН, внесенных государственными инженерами-инспекторами гостехнадзора по соответствующему муниципальному образованию, на изменениях федерального, регионального законодательства и экономической ситуацией в регионе и стране целом.</w:t>
      </w:r>
    </w:p>
    <w:p w:rsidR="00F07E05" w:rsidRPr="00C81CCE" w:rsidRDefault="00F07E05" w:rsidP="00F07E05">
      <w:pPr>
        <w:ind w:firstLine="708"/>
        <w:jc w:val="both"/>
        <w:rPr>
          <w:sz w:val="28"/>
          <w:szCs w:val="28"/>
        </w:rPr>
      </w:pPr>
      <w:r w:rsidRPr="00C81CCE">
        <w:rPr>
          <w:sz w:val="28"/>
          <w:szCs w:val="28"/>
        </w:rPr>
        <w:t>Размер сбора за выполнение определенных мероприятий рассчитывается на каждый последующий плановый год в соответствии Методикой расчета размеров сборов, взимаемых Главным управлением с физических и юридических лиц в соответствии с приказом Минсельхозпрода России от 16.07.1999 № 543, утвержденной нормативным правовым актом Правительства Тверской области.</w:t>
      </w:r>
    </w:p>
    <w:p w:rsidR="00F07E05" w:rsidRDefault="00F07E05" w:rsidP="00F07E05">
      <w:pPr>
        <w:jc w:val="center"/>
        <w:rPr>
          <w:b/>
          <w:color w:val="FF0000"/>
          <w:sz w:val="28"/>
          <w:szCs w:val="28"/>
        </w:rPr>
      </w:pPr>
    </w:p>
    <w:p w:rsidR="00F07E05" w:rsidRPr="00361374" w:rsidRDefault="00F07E05" w:rsidP="00F07E05">
      <w:pPr>
        <w:pStyle w:val="a7"/>
        <w:ind w:left="709"/>
        <w:jc w:val="center"/>
        <w:rPr>
          <w:b/>
          <w:color w:val="FF0000"/>
        </w:rPr>
        <w:sectPr w:rsidR="00F07E05" w:rsidRPr="00361374" w:rsidSect="008A253E">
          <w:pgSz w:w="11906" w:h="16838"/>
          <w:pgMar w:top="851" w:right="851" w:bottom="1134" w:left="1701" w:header="709" w:footer="709" w:gutter="0"/>
          <w:cols w:space="708"/>
          <w:docGrid w:linePitch="360"/>
        </w:sectPr>
      </w:pPr>
    </w:p>
    <w:p w:rsidR="00F07E05" w:rsidRPr="00725026" w:rsidRDefault="00F07E05" w:rsidP="00F07E05">
      <w:pPr>
        <w:pStyle w:val="a7"/>
        <w:ind w:left="709"/>
        <w:jc w:val="center"/>
        <w:rPr>
          <w:b/>
        </w:rPr>
      </w:pPr>
      <w:r w:rsidRPr="00725026">
        <w:rPr>
          <w:b/>
        </w:rPr>
        <w:lastRenderedPageBreak/>
        <w:t>Прогноз на 20</w:t>
      </w:r>
      <w:r>
        <w:rPr>
          <w:b/>
        </w:rPr>
        <w:t>22</w:t>
      </w:r>
      <w:r w:rsidRPr="00725026">
        <w:rPr>
          <w:b/>
        </w:rPr>
        <w:t>-202</w:t>
      </w:r>
      <w:r>
        <w:rPr>
          <w:b/>
        </w:rPr>
        <w:t>4</w:t>
      </w:r>
      <w:r w:rsidRPr="00725026">
        <w:rPr>
          <w:b/>
        </w:rPr>
        <w:t xml:space="preserve"> г.г. по Главному управлению «Государственная инспекция по надзору за техническим состоянием самоходных машин и других видов техники» Тверской области</w:t>
      </w:r>
    </w:p>
    <w:p w:rsidR="00F07E05" w:rsidRDefault="00F07E05" w:rsidP="00F07E05">
      <w:pPr>
        <w:pStyle w:val="a7"/>
        <w:ind w:left="709"/>
        <w:jc w:val="center"/>
        <w:rPr>
          <w:b/>
        </w:rPr>
      </w:pPr>
      <w:r w:rsidRPr="00725026">
        <w:rPr>
          <w:b/>
        </w:rPr>
        <w:t>в рублях</w:t>
      </w:r>
    </w:p>
    <w:tbl>
      <w:tblPr>
        <w:tblW w:w="15735" w:type="dxa"/>
        <w:tblInd w:w="-431" w:type="dxa"/>
        <w:tblLook w:val="04A0" w:firstRow="1" w:lastRow="0" w:firstColumn="1" w:lastColumn="0" w:noHBand="0" w:noVBand="1"/>
      </w:tblPr>
      <w:tblGrid>
        <w:gridCol w:w="3119"/>
        <w:gridCol w:w="1323"/>
        <w:gridCol w:w="1371"/>
        <w:gridCol w:w="1536"/>
        <w:gridCol w:w="11"/>
        <w:gridCol w:w="1312"/>
        <w:gridCol w:w="1251"/>
        <w:gridCol w:w="1536"/>
        <w:gridCol w:w="17"/>
        <w:gridCol w:w="1306"/>
        <w:gridCol w:w="1394"/>
        <w:gridCol w:w="1536"/>
        <w:gridCol w:w="23"/>
      </w:tblGrid>
      <w:tr w:rsidR="00F07E05" w:rsidTr="008A253E">
        <w:trPr>
          <w:trHeight w:val="315"/>
        </w:trPr>
        <w:tc>
          <w:tcPr>
            <w:tcW w:w="31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07E05" w:rsidRPr="00892248" w:rsidRDefault="00F07E05" w:rsidP="008A253E">
            <w:pPr>
              <w:jc w:val="center"/>
              <w:rPr>
                <w:b/>
                <w:bCs/>
                <w:sz w:val="22"/>
                <w:szCs w:val="22"/>
              </w:rPr>
            </w:pPr>
            <w:r w:rsidRPr="00892248">
              <w:rPr>
                <w:b/>
                <w:bCs/>
                <w:sz w:val="22"/>
                <w:szCs w:val="22"/>
              </w:rPr>
              <w:t>Наименование услуги</w:t>
            </w:r>
          </w:p>
        </w:tc>
        <w:tc>
          <w:tcPr>
            <w:tcW w:w="4241" w:type="dxa"/>
            <w:gridSpan w:val="4"/>
            <w:tcBorders>
              <w:top w:val="single" w:sz="4" w:space="0" w:color="auto"/>
              <w:left w:val="nil"/>
              <w:bottom w:val="single" w:sz="4" w:space="0" w:color="auto"/>
              <w:right w:val="single" w:sz="4" w:space="0" w:color="auto"/>
            </w:tcBorders>
            <w:shd w:val="clear" w:color="auto" w:fill="auto"/>
            <w:noWrap/>
            <w:vAlign w:val="center"/>
            <w:hideMark/>
          </w:tcPr>
          <w:p w:rsidR="00F07E05" w:rsidRPr="00892248" w:rsidRDefault="00F07E05" w:rsidP="008A253E">
            <w:pPr>
              <w:jc w:val="center"/>
              <w:rPr>
                <w:b/>
                <w:bCs/>
                <w:sz w:val="22"/>
                <w:szCs w:val="22"/>
              </w:rPr>
            </w:pPr>
            <w:r w:rsidRPr="00892248">
              <w:rPr>
                <w:b/>
                <w:bCs/>
                <w:sz w:val="22"/>
                <w:szCs w:val="22"/>
              </w:rPr>
              <w:t>2022</w:t>
            </w:r>
          </w:p>
        </w:tc>
        <w:tc>
          <w:tcPr>
            <w:tcW w:w="4116" w:type="dxa"/>
            <w:gridSpan w:val="4"/>
            <w:tcBorders>
              <w:top w:val="single" w:sz="4" w:space="0" w:color="auto"/>
              <w:left w:val="nil"/>
              <w:bottom w:val="single" w:sz="4" w:space="0" w:color="auto"/>
              <w:right w:val="single" w:sz="4" w:space="0" w:color="auto"/>
            </w:tcBorders>
            <w:shd w:val="clear" w:color="auto" w:fill="auto"/>
            <w:noWrap/>
            <w:vAlign w:val="center"/>
            <w:hideMark/>
          </w:tcPr>
          <w:p w:rsidR="00F07E05" w:rsidRPr="00892248" w:rsidRDefault="00F07E05" w:rsidP="008A253E">
            <w:pPr>
              <w:jc w:val="center"/>
              <w:rPr>
                <w:b/>
                <w:bCs/>
                <w:sz w:val="22"/>
                <w:szCs w:val="22"/>
              </w:rPr>
            </w:pPr>
            <w:r w:rsidRPr="00892248">
              <w:rPr>
                <w:b/>
                <w:bCs/>
                <w:sz w:val="22"/>
                <w:szCs w:val="22"/>
              </w:rPr>
              <w:t>2023</w:t>
            </w:r>
          </w:p>
        </w:tc>
        <w:tc>
          <w:tcPr>
            <w:tcW w:w="4259" w:type="dxa"/>
            <w:gridSpan w:val="4"/>
            <w:tcBorders>
              <w:top w:val="single" w:sz="4" w:space="0" w:color="auto"/>
              <w:left w:val="nil"/>
              <w:bottom w:val="single" w:sz="4" w:space="0" w:color="auto"/>
              <w:right w:val="single" w:sz="4" w:space="0" w:color="auto"/>
            </w:tcBorders>
            <w:shd w:val="clear" w:color="auto" w:fill="auto"/>
            <w:noWrap/>
            <w:vAlign w:val="center"/>
            <w:hideMark/>
          </w:tcPr>
          <w:p w:rsidR="00F07E05" w:rsidRPr="00892248" w:rsidRDefault="00F07E05" w:rsidP="008A253E">
            <w:pPr>
              <w:jc w:val="center"/>
              <w:rPr>
                <w:b/>
                <w:bCs/>
                <w:sz w:val="22"/>
                <w:szCs w:val="22"/>
              </w:rPr>
            </w:pPr>
            <w:r w:rsidRPr="00892248">
              <w:rPr>
                <w:b/>
                <w:bCs/>
                <w:sz w:val="22"/>
                <w:szCs w:val="22"/>
              </w:rPr>
              <w:t>2024</w:t>
            </w:r>
          </w:p>
        </w:tc>
      </w:tr>
      <w:tr w:rsidR="00F07E05" w:rsidTr="008A253E">
        <w:trPr>
          <w:gridAfter w:val="1"/>
          <w:wAfter w:w="23" w:type="dxa"/>
          <w:trHeight w:val="945"/>
        </w:trPr>
        <w:tc>
          <w:tcPr>
            <w:tcW w:w="3119" w:type="dxa"/>
            <w:vMerge/>
            <w:tcBorders>
              <w:top w:val="nil"/>
              <w:left w:val="single" w:sz="4" w:space="0" w:color="auto"/>
              <w:bottom w:val="single" w:sz="4" w:space="0" w:color="auto"/>
              <w:right w:val="single" w:sz="4" w:space="0" w:color="auto"/>
            </w:tcBorders>
            <w:vAlign w:val="center"/>
            <w:hideMark/>
          </w:tcPr>
          <w:p w:rsidR="00F07E05" w:rsidRPr="00892248" w:rsidRDefault="00F07E05" w:rsidP="008A253E">
            <w:pPr>
              <w:rPr>
                <w:b/>
                <w:bCs/>
                <w:sz w:val="22"/>
                <w:szCs w:val="22"/>
              </w:rPr>
            </w:pPr>
          </w:p>
        </w:tc>
        <w:tc>
          <w:tcPr>
            <w:tcW w:w="1323" w:type="dxa"/>
            <w:tcBorders>
              <w:top w:val="nil"/>
              <w:left w:val="nil"/>
              <w:bottom w:val="single" w:sz="4" w:space="0" w:color="auto"/>
              <w:right w:val="single" w:sz="4" w:space="0" w:color="auto"/>
            </w:tcBorders>
            <w:shd w:val="clear" w:color="auto" w:fill="auto"/>
            <w:vAlign w:val="center"/>
            <w:hideMark/>
          </w:tcPr>
          <w:p w:rsidR="00F07E05" w:rsidRPr="00892248" w:rsidRDefault="00F07E05" w:rsidP="008A253E">
            <w:pPr>
              <w:jc w:val="center"/>
              <w:rPr>
                <w:sz w:val="22"/>
                <w:szCs w:val="22"/>
              </w:rPr>
            </w:pPr>
            <w:r w:rsidRPr="00892248">
              <w:rPr>
                <w:sz w:val="22"/>
                <w:szCs w:val="22"/>
              </w:rPr>
              <w:t>Стоимость услуги</w:t>
            </w:r>
          </w:p>
        </w:tc>
        <w:tc>
          <w:tcPr>
            <w:tcW w:w="1371" w:type="dxa"/>
            <w:tcBorders>
              <w:top w:val="nil"/>
              <w:left w:val="nil"/>
              <w:bottom w:val="single" w:sz="4" w:space="0" w:color="auto"/>
              <w:right w:val="single" w:sz="4" w:space="0" w:color="auto"/>
            </w:tcBorders>
            <w:shd w:val="clear" w:color="auto" w:fill="auto"/>
            <w:vAlign w:val="center"/>
            <w:hideMark/>
          </w:tcPr>
          <w:p w:rsidR="00F07E05" w:rsidRPr="00892248" w:rsidRDefault="00F07E05" w:rsidP="008A253E">
            <w:pPr>
              <w:jc w:val="center"/>
              <w:rPr>
                <w:sz w:val="22"/>
                <w:szCs w:val="22"/>
              </w:rPr>
            </w:pPr>
            <w:r w:rsidRPr="00892248">
              <w:rPr>
                <w:sz w:val="22"/>
                <w:szCs w:val="22"/>
              </w:rPr>
              <w:t>кол-во услуг за год</w:t>
            </w:r>
          </w:p>
        </w:tc>
        <w:tc>
          <w:tcPr>
            <w:tcW w:w="1536" w:type="dxa"/>
            <w:tcBorders>
              <w:top w:val="nil"/>
              <w:left w:val="nil"/>
              <w:bottom w:val="single" w:sz="4" w:space="0" w:color="auto"/>
              <w:right w:val="single" w:sz="4" w:space="0" w:color="auto"/>
            </w:tcBorders>
            <w:shd w:val="clear" w:color="auto" w:fill="auto"/>
            <w:vAlign w:val="center"/>
            <w:hideMark/>
          </w:tcPr>
          <w:p w:rsidR="00F07E05" w:rsidRPr="00892248" w:rsidRDefault="00F07E05" w:rsidP="008A253E">
            <w:pPr>
              <w:jc w:val="center"/>
              <w:rPr>
                <w:sz w:val="22"/>
                <w:szCs w:val="22"/>
              </w:rPr>
            </w:pPr>
            <w:r w:rsidRPr="00892248">
              <w:rPr>
                <w:sz w:val="22"/>
                <w:szCs w:val="22"/>
              </w:rPr>
              <w:t>сумма поступлений за год</w:t>
            </w:r>
          </w:p>
        </w:tc>
        <w:tc>
          <w:tcPr>
            <w:tcW w:w="1323" w:type="dxa"/>
            <w:gridSpan w:val="2"/>
            <w:tcBorders>
              <w:top w:val="nil"/>
              <w:left w:val="nil"/>
              <w:bottom w:val="single" w:sz="4" w:space="0" w:color="auto"/>
              <w:right w:val="single" w:sz="4" w:space="0" w:color="auto"/>
            </w:tcBorders>
            <w:shd w:val="clear" w:color="auto" w:fill="auto"/>
            <w:vAlign w:val="center"/>
            <w:hideMark/>
          </w:tcPr>
          <w:p w:rsidR="00F07E05" w:rsidRPr="00892248" w:rsidRDefault="00F07E05" w:rsidP="008A253E">
            <w:pPr>
              <w:jc w:val="center"/>
              <w:rPr>
                <w:sz w:val="22"/>
                <w:szCs w:val="22"/>
              </w:rPr>
            </w:pPr>
            <w:r w:rsidRPr="00892248">
              <w:rPr>
                <w:sz w:val="22"/>
                <w:szCs w:val="22"/>
              </w:rPr>
              <w:t>Стоимость услуги</w:t>
            </w:r>
          </w:p>
        </w:tc>
        <w:tc>
          <w:tcPr>
            <w:tcW w:w="1251" w:type="dxa"/>
            <w:tcBorders>
              <w:top w:val="nil"/>
              <w:left w:val="nil"/>
              <w:bottom w:val="single" w:sz="4" w:space="0" w:color="auto"/>
              <w:right w:val="single" w:sz="4" w:space="0" w:color="auto"/>
            </w:tcBorders>
            <w:shd w:val="clear" w:color="auto" w:fill="auto"/>
            <w:vAlign w:val="center"/>
            <w:hideMark/>
          </w:tcPr>
          <w:p w:rsidR="00F07E05" w:rsidRPr="00892248" w:rsidRDefault="00F07E05" w:rsidP="008A253E">
            <w:pPr>
              <w:jc w:val="center"/>
              <w:rPr>
                <w:sz w:val="22"/>
                <w:szCs w:val="22"/>
              </w:rPr>
            </w:pPr>
            <w:r w:rsidRPr="00892248">
              <w:rPr>
                <w:sz w:val="22"/>
                <w:szCs w:val="22"/>
              </w:rPr>
              <w:t>кол-во услуг за год</w:t>
            </w:r>
          </w:p>
        </w:tc>
        <w:tc>
          <w:tcPr>
            <w:tcW w:w="1536" w:type="dxa"/>
            <w:tcBorders>
              <w:top w:val="nil"/>
              <w:left w:val="nil"/>
              <w:bottom w:val="single" w:sz="4" w:space="0" w:color="auto"/>
              <w:right w:val="single" w:sz="4" w:space="0" w:color="auto"/>
            </w:tcBorders>
            <w:shd w:val="clear" w:color="auto" w:fill="auto"/>
            <w:vAlign w:val="center"/>
            <w:hideMark/>
          </w:tcPr>
          <w:p w:rsidR="00F07E05" w:rsidRPr="00892248" w:rsidRDefault="00F07E05" w:rsidP="008A253E">
            <w:pPr>
              <w:jc w:val="center"/>
              <w:rPr>
                <w:sz w:val="22"/>
                <w:szCs w:val="22"/>
              </w:rPr>
            </w:pPr>
            <w:r w:rsidRPr="00892248">
              <w:rPr>
                <w:sz w:val="22"/>
                <w:szCs w:val="22"/>
              </w:rPr>
              <w:t>сумма поступлений за год</w:t>
            </w:r>
          </w:p>
        </w:tc>
        <w:tc>
          <w:tcPr>
            <w:tcW w:w="1323" w:type="dxa"/>
            <w:gridSpan w:val="2"/>
            <w:tcBorders>
              <w:top w:val="nil"/>
              <w:left w:val="nil"/>
              <w:bottom w:val="single" w:sz="4" w:space="0" w:color="auto"/>
              <w:right w:val="single" w:sz="4" w:space="0" w:color="auto"/>
            </w:tcBorders>
            <w:shd w:val="clear" w:color="auto" w:fill="auto"/>
            <w:vAlign w:val="center"/>
            <w:hideMark/>
          </w:tcPr>
          <w:p w:rsidR="00F07E05" w:rsidRPr="00892248" w:rsidRDefault="00F07E05" w:rsidP="008A253E">
            <w:pPr>
              <w:jc w:val="center"/>
              <w:rPr>
                <w:sz w:val="22"/>
                <w:szCs w:val="22"/>
              </w:rPr>
            </w:pPr>
            <w:r w:rsidRPr="00892248">
              <w:rPr>
                <w:sz w:val="22"/>
                <w:szCs w:val="22"/>
              </w:rPr>
              <w:t>Стоимость услуги</w:t>
            </w:r>
          </w:p>
        </w:tc>
        <w:tc>
          <w:tcPr>
            <w:tcW w:w="1394" w:type="dxa"/>
            <w:tcBorders>
              <w:top w:val="nil"/>
              <w:left w:val="nil"/>
              <w:bottom w:val="single" w:sz="4" w:space="0" w:color="auto"/>
              <w:right w:val="single" w:sz="4" w:space="0" w:color="auto"/>
            </w:tcBorders>
            <w:shd w:val="clear" w:color="auto" w:fill="auto"/>
            <w:vAlign w:val="center"/>
            <w:hideMark/>
          </w:tcPr>
          <w:p w:rsidR="00F07E05" w:rsidRPr="00892248" w:rsidRDefault="00F07E05" w:rsidP="008A253E">
            <w:pPr>
              <w:jc w:val="center"/>
              <w:rPr>
                <w:sz w:val="22"/>
                <w:szCs w:val="22"/>
              </w:rPr>
            </w:pPr>
            <w:r w:rsidRPr="00892248">
              <w:rPr>
                <w:sz w:val="22"/>
                <w:szCs w:val="22"/>
              </w:rPr>
              <w:t>кол-во услуг за год</w:t>
            </w:r>
          </w:p>
        </w:tc>
        <w:tc>
          <w:tcPr>
            <w:tcW w:w="1536" w:type="dxa"/>
            <w:tcBorders>
              <w:top w:val="nil"/>
              <w:left w:val="nil"/>
              <w:bottom w:val="single" w:sz="4" w:space="0" w:color="auto"/>
              <w:right w:val="single" w:sz="4" w:space="0" w:color="auto"/>
            </w:tcBorders>
            <w:shd w:val="clear" w:color="auto" w:fill="auto"/>
            <w:vAlign w:val="center"/>
            <w:hideMark/>
          </w:tcPr>
          <w:p w:rsidR="00F07E05" w:rsidRPr="00892248" w:rsidRDefault="00F07E05" w:rsidP="008A253E">
            <w:pPr>
              <w:jc w:val="center"/>
              <w:rPr>
                <w:sz w:val="22"/>
                <w:szCs w:val="22"/>
              </w:rPr>
            </w:pPr>
            <w:r w:rsidRPr="00892248">
              <w:rPr>
                <w:sz w:val="22"/>
                <w:szCs w:val="22"/>
              </w:rPr>
              <w:t>сумма поступлений за год</w:t>
            </w:r>
          </w:p>
        </w:tc>
      </w:tr>
      <w:tr w:rsidR="00F07E05" w:rsidTr="008A253E">
        <w:trPr>
          <w:gridAfter w:val="1"/>
          <w:wAfter w:w="23" w:type="dxa"/>
          <w:trHeight w:val="63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F07E05" w:rsidRPr="00892248" w:rsidRDefault="00F07E05" w:rsidP="008A253E">
            <w:pPr>
              <w:rPr>
                <w:sz w:val="22"/>
                <w:szCs w:val="22"/>
              </w:rPr>
            </w:pPr>
            <w:r w:rsidRPr="00892248">
              <w:rPr>
                <w:sz w:val="22"/>
                <w:szCs w:val="22"/>
              </w:rPr>
              <w:t>Осмотр трактора, самоходной дорожно-строительной и иной машины при ТО</w:t>
            </w:r>
          </w:p>
        </w:tc>
        <w:tc>
          <w:tcPr>
            <w:tcW w:w="1323" w:type="dxa"/>
            <w:tcBorders>
              <w:top w:val="nil"/>
              <w:left w:val="nil"/>
              <w:bottom w:val="single" w:sz="4" w:space="0" w:color="auto"/>
              <w:right w:val="single" w:sz="4" w:space="0" w:color="auto"/>
            </w:tcBorders>
            <w:shd w:val="clear" w:color="auto" w:fill="auto"/>
            <w:vAlign w:val="center"/>
            <w:hideMark/>
          </w:tcPr>
          <w:p w:rsidR="00F07E05" w:rsidRPr="00892248" w:rsidRDefault="00F07E05" w:rsidP="008A253E">
            <w:pPr>
              <w:jc w:val="center"/>
              <w:rPr>
                <w:sz w:val="22"/>
                <w:szCs w:val="22"/>
              </w:rPr>
            </w:pPr>
            <w:r w:rsidRPr="00892248">
              <w:rPr>
                <w:sz w:val="22"/>
                <w:szCs w:val="22"/>
              </w:rPr>
              <w:t xml:space="preserve">         225 </w:t>
            </w:r>
          </w:p>
        </w:tc>
        <w:tc>
          <w:tcPr>
            <w:tcW w:w="1371" w:type="dxa"/>
            <w:tcBorders>
              <w:top w:val="nil"/>
              <w:left w:val="nil"/>
              <w:bottom w:val="single" w:sz="4" w:space="0" w:color="auto"/>
              <w:right w:val="single" w:sz="4" w:space="0" w:color="auto"/>
            </w:tcBorders>
            <w:shd w:val="clear" w:color="auto" w:fill="auto"/>
            <w:noWrap/>
            <w:vAlign w:val="bottom"/>
            <w:hideMark/>
          </w:tcPr>
          <w:p w:rsidR="00F07E05" w:rsidRPr="00892248" w:rsidRDefault="00F07E05" w:rsidP="008A253E">
            <w:pPr>
              <w:rPr>
                <w:sz w:val="22"/>
                <w:szCs w:val="22"/>
              </w:rPr>
            </w:pPr>
            <w:r w:rsidRPr="00892248">
              <w:rPr>
                <w:sz w:val="22"/>
                <w:szCs w:val="22"/>
              </w:rPr>
              <w:t xml:space="preserve">          20 341   </w:t>
            </w:r>
          </w:p>
        </w:tc>
        <w:tc>
          <w:tcPr>
            <w:tcW w:w="1536" w:type="dxa"/>
            <w:tcBorders>
              <w:top w:val="nil"/>
              <w:left w:val="nil"/>
              <w:bottom w:val="single" w:sz="4" w:space="0" w:color="auto"/>
              <w:right w:val="single" w:sz="4" w:space="0" w:color="auto"/>
            </w:tcBorders>
            <w:shd w:val="clear" w:color="auto" w:fill="auto"/>
            <w:vAlign w:val="center"/>
            <w:hideMark/>
          </w:tcPr>
          <w:p w:rsidR="00F07E05" w:rsidRPr="00892248" w:rsidRDefault="00F07E05" w:rsidP="008A253E">
            <w:pPr>
              <w:jc w:val="center"/>
              <w:rPr>
                <w:b/>
                <w:bCs/>
                <w:sz w:val="22"/>
                <w:szCs w:val="22"/>
              </w:rPr>
            </w:pPr>
            <w:r w:rsidRPr="00892248">
              <w:rPr>
                <w:b/>
                <w:bCs/>
                <w:sz w:val="22"/>
                <w:szCs w:val="22"/>
              </w:rPr>
              <w:t xml:space="preserve">   4 576 725 </w:t>
            </w:r>
          </w:p>
        </w:tc>
        <w:tc>
          <w:tcPr>
            <w:tcW w:w="1323" w:type="dxa"/>
            <w:gridSpan w:val="2"/>
            <w:tcBorders>
              <w:top w:val="nil"/>
              <w:left w:val="nil"/>
              <w:bottom w:val="single" w:sz="4" w:space="0" w:color="auto"/>
              <w:right w:val="single" w:sz="4" w:space="0" w:color="auto"/>
            </w:tcBorders>
            <w:shd w:val="clear" w:color="auto" w:fill="auto"/>
            <w:vAlign w:val="center"/>
            <w:hideMark/>
          </w:tcPr>
          <w:p w:rsidR="00F07E05" w:rsidRPr="00892248" w:rsidRDefault="00F07E05" w:rsidP="008A253E">
            <w:pPr>
              <w:jc w:val="center"/>
              <w:rPr>
                <w:sz w:val="22"/>
                <w:szCs w:val="22"/>
              </w:rPr>
            </w:pPr>
            <w:r w:rsidRPr="00892248">
              <w:rPr>
                <w:sz w:val="22"/>
                <w:szCs w:val="22"/>
              </w:rPr>
              <w:t xml:space="preserve">         225 </w:t>
            </w:r>
          </w:p>
        </w:tc>
        <w:tc>
          <w:tcPr>
            <w:tcW w:w="1251" w:type="dxa"/>
            <w:tcBorders>
              <w:top w:val="nil"/>
              <w:left w:val="nil"/>
              <w:bottom w:val="single" w:sz="4" w:space="0" w:color="auto"/>
              <w:right w:val="single" w:sz="4" w:space="0" w:color="auto"/>
            </w:tcBorders>
            <w:shd w:val="clear" w:color="auto" w:fill="auto"/>
            <w:vAlign w:val="center"/>
            <w:hideMark/>
          </w:tcPr>
          <w:p w:rsidR="00F07E05" w:rsidRPr="00892248" w:rsidRDefault="00F07E05" w:rsidP="008A253E">
            <w:pPr>
              <w:jc w:val="center"/>
              <w:rPr>
                <w:sz w:val="22"/>
                <w:szCs w:val="22"/>
              </w:rPr>
            </w:pPr>
            <w:r w:rsidRPr="00892248">
              <w:rPr>
                <w:sz w:val="22"/>
                <w:szCs w:val="22"/>
              </w:rPr>
              <w:t xml:space="preserve">   20 577 </w:t>
            </w:r>
          </w:p>
        </w:tc>
        <w:tc>
          <w:tcPr>
            <w:tcW w:w="1536" w:type="dxa"/>
            <w:tcBorders>
              <w:top w:val="nil"/>
              <w:left w:val="nil"/>
              <w:bottom w:val="single" w:sz="4" w:space="0" w:color="auto"/>
              <w:right w:val="single" w:sz="4" w:space="0" w:color="auto"/>
            </w:tcBorders>
            <w:shd w:val="clear" w:color="auto" w:fill="auto"/>
            <w:vAlign w:val="center"/>
            <w:hideMark/>
          </w:tcPr>
          <w:p w:rsidR="00F07E05" w:rsidRPr="00892248" w:rsidRDefault="00F07E05" w:rsidP="008A253E">
            <w:pPr>
              <w:jc w:val="center"/>
              <w:rPr>
                <w:b/>
                <w:bCs/>
                <w:sz w:val="22"/>
                <w:szCs w:val="22"/>
              </w:rPr>
            </w:pPr>
            <w:r w:rsidRPr="00892248">
              <w:rPr>
                <w:b/>
                <w:bCs/>
                <w:sz w:val="22"/>
                <w:szCs w:val="22"/>
              </w:rPr>
              <w:t xml:space="preserve">   4 629 825 </w:t>
            </w:r>
          </w:p>
        </w:tc>
        <w:tc>
          <w:tcPr>
            <w:tcW w:w="1323" w:type="dxa"/>
            <w:gridSpan w:val="2"/>
            <w:tcBorders>
              <w:top w:val="nil"/>
              <w:left w:val="nil"/>
              <w:bottom w:val="single" w:sz="4" w:space="0" w:color="auto"/>
              <w:right w:val="single" w:sz="4" w:space="0" w:color="auto"/>
            </w:tcBorders>
            <w:shd w:val="clear" w:color="auto" w:fill="auto"/>
            <w:vAlign w:val="center"/>
            <w:hideMark/>
          </w:tcPr>
          <w:p w:rsidR="00F07E05" w:rsidRPr="00892248" w:rsidRDefault="00F07E05" w:rsidP="008A253E">
            <w:pPr>
              <w:jc w:val="center"/>
              <w:rPr>
                <w:sz w:val="22"/>
                <w:szCs w:val="22"/>
              </w:rPr>
            </w:pPr>
            <w:r w:rsidRPr="00892248">
              <w:rPr>
                <w:sz w:val="22"/>
                <w:szCs w:val="22"/>
              </w:rPr>
              <w:t xml:space="preserve">         225 </w:t>
            </w:r>
          </w:p>
        </w:tc>
        <w:tc>
          <w:tcPr>
            <w:tcW w:w="1394" w:type="dxa"/>
            <w:tcBorders>
              <w:top w:val="nil"/>
              <w:left w:val="nil"/>
              <w:bottom w:val="single" w:sz="4" w:space="0" w:color="auto"/>
              <w:right w:val="single" w:sz="4" w:space="0" w:color="auto"/>
            </w:tcBorders>
            <w:shd w:val="clear" w:color="auto" w:fill="auto"/>
            <w:vAlign w:val="center"/>
            <w:hideMark/>
          </w:tcPr>
          <w:p w:rsidR="00F07E05" w:rsidRPr="00892248" w:rsidRDefault="00F07E05" w:rsidP="008A253E">
            <w:pPr>
              <w:jc w:val="center"/>
              <w:rPr>
                <w:sz w:val="22"/>
                <w:szCs w:val="22"/>
              </w:rPr>
            </w:pPr>
            <w:r w:rsidRPr="00892248">
              <w:rPr>
                <w:sz w:val="22"/>
                <w:szCs w:val="22"/>
              </w:rPr>
              <w:t xml:space="preserve">    20 651 </w:t>
            </w:r>
          </w:p>
        </w:tc>
        <w:tc>
          <w:tcPr>
            <w:tcW w:w="1536" w:type="dxa"/>
            <w:tcBorders>
              <w:top w:val="nil"/>
              <w:left w:val="nil"/>
              <w:bottom w:val="single" w:sz="4" w:space="0" w:color="auto"/>
              <w:right w:val="single" w:sz="4" w:space="0" w:color="auto"/>
            </w:tcBorders>
            <w:shd w:val="clear" w:color="auto" w:fill="auto"/>
            <w:vAlign w:val="center"/>
            <w:hideMark/>
          </w:tcPr>
          <w:p w:rsidR="00F07E05" w:rsidRPr="00892248" w:rsidRDefault="00F07E05" w:rsidP="008A253E">
            <w:pPr>
              <w:jc w:val="center"/>
              <w:rPr>
                <w:b/>
                <w:bCs/>
                <w:sz w:val="22"/>
                <w:szCs w:val="22"/>
              </w:rPr>
            </w:pPr>
            <w:r w:rsidRPr="00892248">
              <w:rPr>
                <w:b/>
                <w:bCs/>
                <w:sz w:val="22"/>
                <w:szCs w:val="22"/>
              </w:rPr>
              <w:t xml:space="preserve">   4 646 475 </w:t>
            </w:r>
          </w:p>
        </w:tc>
      </w:tr>
      <w:tr w:rsidR="00F07E05" w:rsidTr="008A253E">
        <w:trPr>
          <w:gridAfter w:val="1"/>
          <w:wAfter w:w="23" w:type="dxa"/>
          <w:trHeight w:val="31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F07E05" w:rsidRPr="00892248" w:rsidRDefault="00F07E05" w:rsidP="008A253E">
            <w:pPr>
              <w:rPr>
                <w:sz w:val="22"/>
                <w:szCs w:val="22"/>
              </w:rPr>
            </w:pPr>
            <w:r w:rsidRPr="00892248">
              <w:rPr>
                <w:sz w:val="22"/>
                <w:szCs w:val="22"/>
              </w:rPr>
              <w:t>Осмотр прицепа к самоходной машине при ТО</w:t>
            </w:r>
          </w:p>
        </w:tc>
        <w:tc>
          <w:tcPr>
            <w:tcW w:w="1323" w:type="dxa"/>
            <w:tcBorders>
              <w:top w:val="nil"/>
              <w:left w:val="nil"/>
              <w:bottom w:val="single" w:sz="4" w:space="0" w:color="auto"/>
              <w:right w:val="single" w:sz="4" w:space="0" w:color="auto"/>
            </w:tcBorders>
            <w:shd w:val="clear" w:color="auto" w:fill="auto"/>
            <w:vAlign w:val="center"/>
            <w:hideMark/>
          </w:tcPr>
          <w:p w:rsidR="00F07E05" w:rsidRPr="00892248" w:rsidRDefault="00F07E05" w:rsidP="008A253E">
            <w:pPr>
              <w:jc w:val="center"/>
              <w:rPr>
                <w:sz w:val="22"/>
                <w:szCs w:val="22"/>
              </w:rPr>
            </w:pPr>
            <w:r w:rsidRPr="00892248">
              <w:rPr>
                <w:sz w:val="22"/>
                <w:szCs w:val="22"/>
              </w:rPr>
              <w:t xml:space="preserve">         150 </w:t>
            </w:r>
          </w:p>
        </w:tc>
        <w:tc>
          <w:tcPr>
            <w:tcW w:w="1371" w:type="dxa"/>
            <w:tcBorders>
              <w:top w:val="nil"/>
              <w:left w:val="nil"/>
              <w:bottom w:val="single" w:sz="4" w:space="0" w:color="auto"/>
              <w:right w:val="single" w:sz="4" w:space="0" w:color="auto"/>
            </w:tcBorders>
            <w:shd w:val="clear" w:color="auto" w:fill="auto"/>
            <w:noWrap/>
            <w:vAlign w:val="bottom"/>
            <w:hideMark/>
          </w:tcPr>
          <w:p w:rsidR="00F07E05" w:rsidRPr="00892248" w:rsidRDefault="00F07E05" w:rsidP="008A253E">
            <w:pPr>
              <w:rPr>
                <w:sz w:val="22"/>
                <w:szCs w:val="22"/>
              </w:rPr>
            </w:pPr>
            <w:r w:rsidRPr="00892248">
              <w:rPr>
                <w:sz w:val="22"/>
                <w:szCs w:val="22"/>
              </w:rPr>
              <w:t xml:space="preserve">            5 629   </w:t>
            </w:r>
          </w:p>
        </w:tc>
        <w:tc>
          <w:tcPr>
            <w:tcW w:w="1536" w:type="dxa"/>
            <w:tcBorders>
              <w:top w:val="nil"/>
              <w:left w:val="nil"/>
              <w:bottom w:val="single" w:sz="4" w:space="0" w:color="auto"/>
              <w:right w:val="single" w:sz="4" w:space="0" w:color="auto"/>
            </w:tcBorders>
            <w:shd w:val="clear" w:color="auto" w:fill="auto"/>
            <w:vAlign w:val="center"/>
            <w:hideMark/>
          </w:tcPr>
          <w:p w:rsidR="00F07E05" w:rsidRPr="00892248" w:rsidRDefault="00F07E05" w:rsidP="008A253E">
            <w:pPr>
              <w:jc w:val="center"/>
              <w:rPr>
                <w:b/>
                <w:bCs/>
                <w:sz w:val="22"/>
                <w:szCs w:val="22"/>
              </w:rPr>
            </w:pPr>
            <w:r w:rsidRPr="00892248">
              <w:rPr>
                <w:b/>
                <w:bCs/>
                <w:sz w:val="22"/>
                <w:szCs w:val="22"/>
              </w:rPr>
              <w:t xml:space="preserve">      844 350 </w:t>
            </w:r>
          </w:p>
        </w:tc>
        <w:tc>
          <w:tcPr>
            <w:tcW w:w="1323" w:type="dxa"/>
            <w:gridSpan w:val="2"/>
            <w:tcBorders>
              <w:top w:val="nil"/>
              <w:left w:val="nil"/>
              <w:bottom w:val="single" w:sz="4" w:space="0" w:color="auto"/>
              <w:right w:val="single" w:sz="4" w:space="0" w:color="auto"/>
            </w:tcBorders>
            <w:shd w:val="clear" w:color="auto" w:fill="auto"/>
            <w:vAlign w:val="center"/>
            <w:hideMark/>
          </w:tcPr>
          <w:p w:rsidR="00F07E05" w:rsidRPr="00892248" w:rsidRDefault="00F07E05" w:rsidP="008A253E">
            <w:pPr>
              <w:jc w:val="center"/>
              <w:rPr>
                <w:sz w:val="22"/>
                <w:szCs w:val="22"/>
              </w:rPr>
            </w:pPr>
            <w:r w:rsidRPr="00892248">
              <w:rPr>
                <w:sz w:val="22"/>
                <w:szCs w:val="22"/>
              </w:rPr>
              <w:t xml:space="preserve">         150 </w:t>
            </w:r>
          </w:p>
        </w:tc>
        <w:tc>
          <w:tcPr>
            <w:tcW w:w="1251" w:type="dxa"/>
            <w:tcBorders>
              <w:top w:val="nil"/>
              <w:left w:val="nil"/>
              <w:bottom w:val="single" w:sz="4" w:space="0" w:color="auto"/>
              <w:right w:val="single" w:sz="4" w:space="0" w:color="auto"/>
            </w:tcBorders>
            <w:shd w:val="clear" w:color="auto" w:fill="auto"/>
            <w:vAlign w:val="center"/>
            <w:hideMark/>
          </w:tcPr>
          <w:p w:rsidR="00F07E05" w:rsidRPr="00892248" w:rsidRDefault="00F07E05" w:rsidP="008A253E">
            <w:pPr>
              <w:jc w:val="center"/>
              <w:rPr>
                <w:sz w:val="22"/>
                <w:szCs w:val="22"/>
              </w:rPr>
            </w:pPr>
            <w:r w:rsidRPr="00892248">
              <w:rPr>
                <w:sz w:val="22"/>
                <w:szCs w:val="22"/>
              </w:rPr>
              <w:t xml:space="preserve">     5 688 </w:t>
            </w:r>
          </w:p>
        </w:tc>
        <w:tc>
          <w:tcPr>
            <w:tcW w:w="1536" w:type="dxa"/>
            <w:tcBorders>
              <w:top w:val="nil"/>
              <w:left w:val="nil"/>
              <w:bottom w:val="single" w:sz="4" w:space="0" w:color="auto"/>
              <w:right w:val="single" w:sz="4" w:space="0" w:color="auto"/>
            </w:tcBorders>
            <w:shd w:val="clear" w:color="auto" w:fill="auto"/>
            <w:vAlign w:val="center"/>
            <w:hideMark/>
          </w:tcPr>
          <w:p w:rsidR="00F07E05" w:rsidRPr="00892248" w:rsidRDefault="00F07E05" w:rsidP="008A253E">
            <w:pPr>
              <w:jc w:val="center"/>
              <w:rPr>
                <w:b/>
                <w:bCs/>
                <w:sz w:val="22"/>
                <w:szCs w:val="22"/>
              </w:rPr>
            </w:pPr>
            <w:r w:rsidRPr="00892248">
              <w:rPr>
                <w:b/>
                <w:bCs/>
                <w:sz w:val="22"/>
                <w:szCs w:val="22"/>
              </w:rPr>
              <w:t xml:space="preserve">      853 200 </w:t>
            </w:r>
          </w:p>
        </w:tc>
        <w:tc>
          <w:tcPr>
            <w:tcW w:w="1323" w:type="dxa"/>
            <w:gridSpan w:val="2"/>
            <w:tcBorders>
              <w:top w:val="nil"/>
              <w:left w:val="nil"/>
              <w:bottom w:val="single" w:sz="4" w:space="0" w:color="auto"/>
              <w:right w:val="single" w:sz="4" w:space="0" w:color="auto"/>
            </w:tcBorders>
            <w:shd w:val="clear" w:color="auto" w:fill="auto"/>
            <w:vAlign w:val="center"/>
            <w:hideMark/>
          </w:tcPr>
          <w:p w:rsidR="00F07E05" w:rsidRPr="00892248" w:rsidRDefault="00F07E05" w:rsidP="008A253E">
            <w:pPr>
              <w:jc w:val="center"/>
              <w:rPr>
                <w:sz w:val="22"/>
                <w:szCs w:val="22"/>
              </w:rPr>
            </w:pPr>
            <w:r w:rsidRPr="00892248">
              <w:rPr>
                <w:sz w:val="22"/>
                <w:szCs w:val="22"/>
              </w:rPr>
              <w:t xml:space="preserve">         150 </w:t>
            </w:r>
          </w:p>
        </w:tc>
        <w:tc>
          <w:tcPr>
            <w:tcW w:w="1394" w:type="dxa"/>
            <w:tcBorders>
              <w:top w:val="nil"/>
              <w:left w:val="nil"/>
              <w:bottom w:val="single" w:sz="4" w:space="0" w:color="auto"/>
              <w:right w:val="single" w:sz="4" w:space="0" w:color="auto"/>
            </w:tcBorders>
            <w:shd w:val="clear" w:color="auto" w:fill="auto"/>
            <w:vAlign w:val="center"/>
            <w:hideMark/>
          </w:tcPr>
          <w:p w:rsidR="00F07E05" w:rsidRPr="00892248" w:rsidRDefault="00F07E05" w:rsidP="008A253E">
            <w:pPr>
              <w:jc w:val="center"/>
              <w:rPr>
                <w:sz w:val="22"/>
                <w:szCs w:val="22"/>
              </w:rPr>
            </w:pPr>
            <w:r w:rsidRPr="00892248">
              <w:rPr>
                <w:sz w:val="22"/>
                <w:szCs w:val="22"/>
              </w:rPr>
              <w:t xml:space="preserve">      5 704 </w:t>
            </w:r>
          </w:p>
        </w:tc>
        <w:tc>
          <w:tcPr>
            <w:tcW w:w="1536" w:type="dxa"/>
            <w:tcBorders>
              <w:top w:val="nil"/>
              <w:left w:val="nil"/>
              <w:bottom w:val="single" w:sz="4" w:space="0" w:color="auto"/>
              <w:right w:val="single" w:sz="4" w:space="0" w:color="auto"/>
            </w:tcBorders>
            <w:shd w:val="clear" w:color="auto" w:fill="auto"/>
            <w:vAlign w:val="center"/>
            <w:hideMark/>
          </w:tcPr>
          <w:p w:rsidR="00F07E05" w:rsidRPr="00892248" w:rsidRDefault="00F07E05" w:rsidP="008A253E">
            <w:pPr>
              <w:jc w:val="center"/>
              <w:rPr>
                <w:b/>
                <w:bCs/>
                <w:sz w:val="22"/>
                <w:szCs w:val="22"/>
              </w:rPr>
            </w:pPr>
            <w:r w:rsidRPr="00892248">
              <w:rPr>
                <w:b/>
                <w:bCs/>
                <w:sz w:val="22"/>
                <w:szCs w:val="22"/>
              </w:rPr>
              <w:t xml:space="preserve">      855 600 </w:t>
            </w:r>
          </w:p>
        </w:tc>
      </w:tr>
      <w:tr w:rsidR="00F07E05" w:rsidTr="008A253E">
        <w:trPr>
          <w:gridAfter w:val="1"/>
          <w:wAfter w:w="23" w:type="dxa"/>
          <w:trHeight w:val="630"/>
        </w:trPr>
        <w:tc>
          <w:tcPr>
            <w:tcW w:w="3119" w:type="dxa"/>
            <w:tcBorders>
              <w:top w:val="nil"/>
              <w:left w:val="single" w:sz="4" w:space="0" w:color="auto"/>
              <w:bottom w:val="single" w:sz="4" w:space="0" w:color="auto"/>
              <w:right w:val="single" w:sz="4" w:space="0" w:color="auto"/>
            </w:tcBorders>
            <w:shd w:val="clear" w:color="auto" w:fill="auto"/>
            <w:hideMark/>
          </w:tcPr>
          <w:p w:rsidR="00F07E05" w:rsidRPr="00892248" w:rsidRDefault="00F07E05" w:rsidP="008A253E">
            <w:pPr>
              <w:rPr>
                <w:sz w:val="22"/>
                <w:szCs w:val="22"/>
              </w:rPr>
            </w:pPr>
            <w:r w:rsidRPr="00892248">
              <w:rPr>
                <w:sz w:val="22"/>
                <w:szCs w:val="22"/>
              </w:rPr>
              <w:t>Выдача паспорта самоходной машины и других видов техники предприятию изготовителю</w:t>
            </w:r>
          </w:p>
        </w:tc>
        <w:tc>
          <w:tcPr>
            <w:tcW w:w="1323" w:type="dxa"/>
            <w:tcBorders>
              <w:top w:val="nil"/>
              <w:left w:val="nil"/>
              <w:bottom w:val="single" w:sz="4" w:space="0" w:color="auto"/>
              <w:right w:val="single" w:sz="4" w:space="0" w:color="auto"/>
            </w:tcBorders>
            <w:shd w:val="clear" w:color="auto" w:fill="auto"/>
            <w:noWrap/>
            <w:vAlign w:val="center"/>
            <w:hideMark/>
          </w:tcPr>
          <w:p w:rsidR="00F07E05" w:rsidRPr="00892248" w:rsidRDefault="00F07E05" w:rsidP="008A253E">
            <w:pPr>
              <w:jc w:val="center"/>
              <w:rPr>
                <w:sz w:val="22"/>
                <w:szCs w:val="22"/>
              </w:rPr>
            </w:pPr>
            <w:r w:rsidRPr="00892248">
              <w:rPr>
                <w:sz w:val="22"/>
                <w:szCs w:val="22"/>
              </w:rPr>
              <w:t xml:space="preserve">         150 </w:t>
            </w:r>
          </w:p>
        </w:tc>
        <w:tc>
          <w:tcPr>
            <w:tcW w:w="1371" w:type="dxa"/>
            <w:tcBorders>
              <w:top w:val="nil"/>
              <w:left w:val="nil"/>
              <w:bottom w:val="single" w:sz="4" w:space="0" w:color="auto"/>
              <w:right w:val="single" w:sz="4" w:space="0" w:color="auto"/>
            </w:tcBorders>
            <w:shd w:val="clear" w:color="auto" w:fill="auto"/>
            <w:vAlign w:val="center"/>
            <w:hideMark/>
          </w:tcPr>
          <w:p w:rsidR="00F07E05" w:rsidRPr="00892248" w:rsidRDefault="00F07E05" w:rsidP="008A253E">
            <w:pPr>
              <w:jc w:val="center"/>
              <w:rPr>
                <w:sz w:val="22"/>
                <w:szCs w:val="22"/>
              </w:rPr>
            </w:pPr>
            <w:r w:rsidRPr="00892248">
              <w:rPr>
                <w:sz w:val="22"/>
                <w:szCs w:val="22"/>
              </w:rPr>
              <w:t xml:space="preserve">             -   </w:t>
            </w:r>
          </w:p>
        </w:tc>
        <w:tc>
          <w:tcPr>
            <w:tcW w:w="1536" w:type="dxa"/>
            <w:tcBorders>
              <w:top w:val="nil"/>
              <w:left w:val="nil"/>
              <w:bottom w:val="single" w:sz="4" w:space="0" w:color="auto"/>
              <w:right w:val="single" w:sz="4" w:space="0" w:color="auto"/>
            </w:tcBorders>
            <w:shd w:val="clear" w:color="auto" w:fill="auto"/>
            <w:vAlign w:val="center"/>
            <w:hideMark/>
          </w:tcPr>
          <w:p w:rsidR="00F07E05" w:rsidRPr="00892248" w:rsidRDefault="00F07E05" w:rsidP="008A253E">
            <w:pPr>
              <w:jc w:val="center"/>
              <w:rPr>
                <w:b/>
                <w:bCs/>
                <w:sz w:val="22"/>
                <w:szCs w:val="22"/>
              </w:rPr>
            </w:pPr>
            <w:r w:rsidRPr="00892248">
              <w:rPr>
                <w:b/>
                <w:bCs/>
                <w:sz w:val="22"/>
                <w:szCs w:val="22"/>
              </w:rPr>
              <w:t xml:space="preserve">                -   </w:t>
            </w:r>
          </w:p>
        </w:tc>
        <w:tc>
          <w:tcPr>
            <w:tcW w:w="1323" w:type="dxa"/>
            <w:gridSpan w:val="2"/>
            <w:tcBorders>
              <w:top w:val="nil"/>
              <w:left w:val="nil"/>
              <w:bottom w:val="single" w:sz="4" w:space="0" w:color="auto"/>
              <w:right w:val="single" w:sz="4" w:space="0" w:color="auto"/>
            </w:tcBorders>
            <w:shd w:val="clear" w:color="auto" w:fill="auto"/>
            <w:noWrap/>
            <w:vAlign w:val="center"/>
            <w:hideMark/>
          </w:tcPr>
          <w:p w:rsidR="00F07E05" w:rsidRPr="00892248" w:rsidRDefault="00F07E05" w:rsidP="008A253E">
            <w:pPr>
              <w:jc w:val="center"/>
              <w:rPr>
                <w:sz w:val="22"/>
                <w:szCs w:val="22"/>
              </w:rPr>
            </w:pPr>
            <w:r w:rsidRPr="00892248">
              <w:rPr>
                <w:sz w:val="22"/>
                <w:szCs w:val="22"/>
              </w:rPr>
              <w:t xml:space="preserve">         150 </w:t>
            </w:r>
          </w:p>
        </w:tc>
        <w:tc>
          <w:tcPr>
            <w:tcW w:w="1251" w:type="dxa"/>
            <w:tcBorders>
              <w:top w:val="nil"/>
              <w:left w:val="nil"/>
              <w:bottom w:val="single" w:sz="4" w:space="0" w:color="auto"/>
              <w:right w:val="single" w:sz="4" w:space="0" w:color="auto"/>
            </w:tcBorders>
            <w:shd w:val="clear" w:color="auto" w:fill="auto"/>
            <w:vAlign w:val="center"/>
            <w:hideMark/>
          </w:tcPr>
          <w:p w:rsidR="00F07E05" w:rsidRPr="00892248" w:rsidRDefault="00F07E05" w:rsidP="008A253E">
            <w:pPr>
              <w:jc w:val="center"/>
              <w:rPr>
                <w:sz w:val="22"/>
                <w:szCs w:val="22"/>
              </w:rPr>
            </w:pPr>
            <w:r w:rsidRPr="00892248">
              <w:rPr>
                <w:sz w:val="22"/>
                <w:szCs w:val="22"/>
              </w:rPr>
              <w:t xml:space="preserve">          -   </w:t>
            </w:r>
          </w:p>
        </w:tc>
        <w:tc>
          <w:tcPr>
            <w:tcW w:w="1536" w:type="dxa"/>
            <w:tcBorders>
              <w:top w:val="nil"/>
              <w:left w:val="nil"/>
              <w:bottom w:val="single" w:sz="4" w:space="0" w:color="auto"/>
              <w:right w:val="single" w:sz="4" w:space="0" w:color="auto"/>
            </w:tcBorders>
            <w:shd w:val="clear" w:color="auto" w:fill="auto"/>
            <w:vAlign w:val="center"/>
            <w:hideMark/>
          </w:tcPr>
          <w:p w:rsidR="00F07E05" w:rsidRPr="00892248" w:rsidRDefault="00F07E05" w:rsidP="008A253E">
            <w:pPr>
              <w:jc w:val="center"/>
              <w:rPr>
                <w:b/>
                <w:bCs/>
                <w:sz w:val="22"/>
                <w:szCs w:val="22"/>
              </w:rPr>
            </w:pPr>
            <w:r w:rsidRPr="00892248">
              <w:rPr>
                <w:b/>
                <w:bCs/>
                <w:sz w:val="22"/>
                <w:szCs w:val="22"/>
              </w:rPr>
              <w:t xml:space="preserve">                -   </w:t>
            </w:r>
          </w:p>
        </w:tc>
        <w:tc>
          <w:tcPr>
            <w:tcW w:w="1323" w:type="dxa"/>
            <w:gridSpan w:val="2"/>
            <w:tcBorders>
              <w:top w:val="nil"/>
              <w:left w:val="nil"/>
              <w:bottom w:val="single" w:sz="4" w:space="0" w:color="auto"/>
              <w:right w:val="single" w:sz="4" w:space="0" w:color="auto"/>
            </w:tcBorders>
            <w:shd w:val="clear" w:color="auto" w:fill="auto"/>
            <w:noWrap/>
            <w:vAlign w:val="center"/>
            <w:hideMark/>
          </w:tcPr>
          <w:p w:rsidR="00F07E05" w:rsidRPr="00892248" w:rsidRDefault="00F07E05" w:rsidP="008A253E">
            <w:pPr>
              <w:jc w:val="center"/>
              <w:rPr>
                <w:sz w:val="22"/>
                <w:szCs w:val="22"/>
              </w:rPr>
            </w:pPr>
            <w:r w:rsidRPr="00892248">
              <w:rPr>
                <w:sz w:val="22"/>
                <w:szCs w:val="22"/>
              </w:rPr>
              <w:t xml:space="preserve">         150 </w:t>
            </w:r>
          </w:p>
        </w:tc>
        <w:tc>
          <w:tcPr>
            <w:tcW w:w="1394" w:type="dxa"/>
            <w:tcBorders>
              <w:top w:val="nil"/>
              <w:left w:val="nil"/>
              <w:bottom w:val="single" w:sz="4" w:space="0" w:color="auto"/>
              <w:right w:val="single" w:sz="4" w:space="0" w:color="auto"/>
            </w:tcBorders>
            <w:shd w:val="clear" w:color="auto" w:fill="auto"/>
            <w:vAlign w:val="center"/>
            <w:hideMark/>
          </w:tcPr>
          <w:p w:rsidR="00F07E05" w:rsidRPr="00892248" w:rsidRDefault="00F07E05" w:rsidP="008A253E">
            <w:pPr>
              <w:jc w:val="center"/>
              <w:rPr>
                <w:sz w:val="22"/>
                <w:szCs w:val="22"/>
              </w:rPr>
            </w:pPr>
            <w:r w:rsidRPr="00892248">
              <w:rPr>
                <w:sz w:val="22"/>
                <w:szCs w:val="22"/>
              </w:rPr>
              <w:t xml:space="preserve">           -   </w:t>
            </w:r>
          </w:p>
        </w:tc>
        <w:tc>
          <w:tcPr>
            <w:tcW w:w="1536" w:type="dxa"/>
            <w:tcBorders>
              <w:top w:val="nil"/>
              <w:left w:val="nil"/>
              <w:bottom w:val="single" w:sz="4" w:space="0" w:color="auto"/>
              <w:right w:val="single" w:sz="4" w:space="0" w:color="auto"/>
            </w:tcBorders>
            <w:shd w:val="clear" w:color="auto" w:fill="auto"/>
            <w:vAlign w:val="center"/>
            <w:hideMark/>
          </w:tcPr>
          <w:p w:rsidR="00F07E05" w:rsidRPr="00892248" w:rsidRDefault="00F07E05" w:rsidP="008A253E">
            <w:pPr>
              <w:jc w:val="center"/>
              <w:rPr>
                <w:b/>
                <w:bCs/>
                <w:sz w:val="22"/>
                <w:szCs w:val="22"/>
              </w:rPr>
            </w:pPr>
            <w:r w:rsidRPr="00892248">
              <w:rPr>
                <w:b/>
                <w:bCs/>
                <w:sz w:val="22"/>
                <w:szCs w:val="22"/>
              </w:rPr>
              <w:t xml:space="preserve">                -   </w:t>
            </w:r>
          </w:p>
        </w:tc>
      </w:tr>
      <w:tr w:rsidR="00F07E05" w:rsidTr="008A253E">
        <w:trPr>
          <w:gridAfter w:val="1"/>
          <w:wAfter w:w="23" w:type="dxa"/>
          <w:trHeight w:val="630"/>
        </w:trPr>
        <w:tc>
          <w:tcPr>
            <w:tcW w:w="3119" w:type="dxa"/>
            <w:tcBorders>
              <w:top w:val="nil"/>
              <w:left w:val="single" w:sz="4" w:space="0" w:color="auto"/>
              <w:bottom w:val="single" w:sz="4" w:space="0" w:color="auto"/>
              <w:right w:val="single" w:sz="4" w:space="0" w:color="auto"/>
            </w:tcBorders>
            <w:shd w:val="clear" w:color="auto" w:fill="auto"/>
            <w:hideMark/>
          </w:tcPr>
          <w:p w:rsidR="00F07E05" w:rsidRPr="00892248" w:rsidRDefault="00F07E05" w:rsidP="008A253E">
            <w:pPr>
              <w:rPr>
                <w:sz w:val="22"/>
                <w:szCs w:val="22"/>
              </w:rPr>
            </w:pPr>
            <w:r w:rsidRPr="00892248">
              <w:rPr>
                <w:sz w:val="22"/>
                <w:szCs w:val="22"/>
              </w:rPr>
              <w:t>Выдача справки владельцу машины о совершенных регистрационных действиях</w:t>
            </w:r>
          </w:p>
        </w:tc>
        <w:tc>
          <w:tcPr>
            <w:tcW w:w="1323" w:type="dxa"/>
            <w:tcBorders>
              <w:top w:val="nil"/>
              <w:left w:val="nil"/>
              <w:bottom w:val="single" w:sz="4" w:space="0" w:color="auto"/>
              <w:right w:val="single" w:sz="4" w:space="0" w:color="auto"/>
            </w:tcBorders>
            <w:shd w:val="clear" w:color="auto" w:fill="auto"/>
            <w:noWrap/>
            <w:vAlign w:val="center"/>
            <w:hideMark/>
          </w:tcPr>
          <w:p w:rsidR="00F07E05" w:rsidRPr="00892248" w:rsidRDefault="00F07E05" w:rsidP="008A253E">
            <w:pPr>
              <w:jc w:val="center"/>
              <w:rPr>
                <w:sz w:val="22"/>
                <w:szCs w:val="22"/>
              </w:rPr>
            </w:pPr>
            <w:r w:rsidRPr="00892248">
              <w:rPr>
                <w:sz w:val="22"/>
                <w:szCs w:val="22"/>
              </w:rPr>
              <w:t xml:space="preserve">           45 </w:t>
            </w:r>
          </w:p>
        </w:tc>
        <w:tc>
          <w:tcPr>
            <w:tcW w:w="1371" w:type="dxa"/>
            <w:tcBorders>
              <w:top w:val="nil"/>
              <w:left w:val="nil"/>
              <w:bottom w:val="single" w:sz="4" w:space="0" w:color="auto"/>
              <w:right w:val="single" w:sz="4" w:space="0" w:color="auto"/>
            </w:tcBorders>
            <w:shd w:val="clear" w:color="auto" w:fill="auto"/>
            <w:vAlign w:val="center"/>
            <w:hideMark/>
          </w:tcPr>
          <w:p w:rsidR="00F07E05" w:rsidRPr="00892248" w:rsidRDefault="00F07E05" w:rsidP="008A253E">
            <w:pPr>
              <w:jc w:val="center"/>
              <w:rPr>
                <w:sz w:val="22"/>
                <w:szCs w:val="22"/>
              </w:rPr>
            </w:pPr>
            <w:r w:rsidRPr="00892248">
              <w:rPr>
                <w:sz w:val="22"/>
                <w:szCs w:val="22"/>
              </w:rPr>
              <w:t xml:space="preserve">             74 </w:t>
            </w:r>
          </w:p>
        </w:tc>
        <w:tc>
          <w:tcPr>
            <w:tcW w:w="1536" w:type="dxa"/>
            <w:tcBorders>
              <w:top w:val="nil"/>
              <w:left w:val="nil"/>
              <w:bottom w:val="single" w:sz="4" w:space="0" w:color="auto"/>
              <w:right w:val="single" w:sz="4" w:space="0" w:color="auto"/>
            </w:tcBorders>
            <w:shd w:val="clear" w:color="auto" w:fill="auto"/>
            <w:vAlign w:val="center"/>
            <w:hideMark/>
          </w:tcPr>
          <w:p w:rsidR="00F07E05" w:rsidRPr="00892248" w:rsidRDefault="00F07E05" w:rsidP="008A253E">
            <w:pPr>
              <w:jc w:val="center"/>
              <w:rPr>
                <w:b/>
                <w:bCs/>
                <w:sz w:val="22"/>
                <w:szCs w:val="22"/>
              </w:rPr>
            </w:pPr>
            <w:r w:rsidRPr="00892248">
              <w:rPr>
                <w:b/>
                <w:bCs/>
                <w:sz w:val="22"/>
                <w:szCs w:val="22"/>
              </w:rPr>
              <w:t xml:space="preserve">          3 330 </w:t>
            </w:r>
          </w:p>
        </w:tc>
        <w:tc>
          <w:tcPr>
            <w:tcW w:w="1323" w:type="dxa"/>
            <w:gridSpan w:val="2"/>
            <w:tcBorders>
              <w:top w:val="nil"/>
              <w:left w:val="nil"/>
              <w:bottom w:val="single" w:sz="4" w:space="0" w:color="auto"/>
              <w:right w:val="single" w:sz="4" w:space="0" w:color="auto"/>
            </w:tcBorders>
            <w:shd w:val="clear" w:color="auto" w:fill="auto"/>
            <w:noWrap/>
            <w:vAlign w:val="center"/>
            <w:hideMark/>
          </w:tcPr>
          <w:p w:rsidR="00F07E05" w:rsidRPr="00892248" w:rsidRDefault="00F07E05" w:rsidP="008A253E">
            <w:pPr>
              <w:jc w:val="center"/>
              <w:rPr>
                <w:sz w:val="22"/>
                <w:szCs w:val="22"/>
              </w:rPr>
            </w:pPr>
            <w:r w:rsidRPr="00892248">
              <w:rPr>
                <w:sz w:val="22"/>
                <w:szCs w:val="22"/>
              </w:rPr>
              <w:t xml:space="preserve">           45 </w:t>
            </w:r>
          </w:p>
        </w:tc>
        <w:tc>
          <w:tcPr>
            <w:tcW w:w="1251" w:type="dxa"/>
            <w:tcBorders>
              <w:top w:val="nil"/>
              <w:left w:val="nil"/>
              <w:bottom w:val="single" w:sz="4" w:space="0" w:color="auto"/>
              <w:right w:val="single" w:sz="4" w:space="0" w:color="auto"/>
            </w:tcBorders>
            <w:shd w:val="clear" w:color="auto" w:fill="auto"/>
            <w:vAlign w:val="center"/>
            <w:hideMark/>
          </w:tcPr>
          <w:p w:rsidR="00F07E05" w:rsidRPr="00892248" w:rsidRDefault="00F07E05" w:rsidP="008A253E">
            <w:pPr>
              <w:jc w:val="center"/>
              <w:rPr>
                <w:sz w:val="22"/>
                <w:szCs w:val="22"/>
              </w:rPr>
            </w:pPr>
            <w:r w:rsidRPr="00892248">
              <w:rPr>
                <w:sz w:val="22"/>
                <w:szCs w:val="22"/>
              </w:rPr>
              <w:t xml:space="preserve">          74 </w:t>
            </w:r>
          </w:p>
        </w:tc>
        <w:tc>
          <w:tcPr>
            <w:tcW w:w="1536" w:type="dxa"/>
            <w:tcBorders>
              <w:top w:val="nil"/>
              <w:left w:val="nil"/>
              <w:bottom w:val="single" w:sz="4" w:space="0" w:color="auto"/>
              <w:right w:val="single" w:sz="4" w:space="0" w:color="auto"/>
            </w:tcBorders>
            <w:shd w:val="clear" w:color="auto" w:fill="auto"/>
            <w:vAlign w:val="center"/>
            <w:hideMark/>
          </w:tcPr>
          <w:p w:rsidR="00F07E05" w:rsidRPr="00892248" w:rsidRDefault="00F07E05" w:rsidP="008A253E">
            <w:pPr>
              <w:jc w:val="center"/>
              <w:rPr>
                <w:b/>
                <w:bCs/>
                <w:sz w:val="22"/>
                <w:szCs w:val="22"/>
              </w:rPr>
            </w:pPr>
            <w:r w:rsidRPr="00892248">
              <w:rPr>
                <w:b/>
                <w:bCs/>
                <w:sz w:val="22"/>
                <w:szCs w:val="22"/>
              </w:rPr>
              <w:t xml:space="preserve">          3 330 </w:t>
            </w:r>
          </w:p>
        </w:tc>
        <w:tc>
          <w:tcPr>
            <w:tcW w:w="1323" w:type="dxa"/>
            <w:gridSpan w:val="2"/>
            <w:tcBorders>
              <w:top w:val="nil"/>
              <w:left w:val="nil"/>
              <w:bottom w:val="single" w:sz="4" w:space="0" w:color="auto"/>
              <w:right w:val="single" w:sz="4" w:space="0" w:color="auto"/>
            </w:tcBorders>
            <w:shd w:val="clear" w:color="auto" w:fill="auto"/>
            <w:noWrap/>
            <w:vAlign w:val="center"/>
            <w:hideMark/>
          </w:tcPr>
          <w:p w:rsidR="00F07E05" w:rsidRPr="00892248" w:rsidRDefault="00F07E05" w:rsidP="008A253E">
            <w:pPr>
              <w:jc w:val="center"/>
              <w:rPr>
                <w:sz w:val="22"/>
                <w:szCs w:val="22"/>
              </w:rPr>
            </w:pPr>
            <w:r w:rsidRPr="00892248">
              <w:rPr>
                <w:sz w:val="22"/>
                <w:szCs w:val="22"/>
              </w:rPr>
              <w:t xml:space="preserve">           45 </w:t>
            </w:r>
          </w:p>
        </w:tc>
        <w:tc>
          <w:tcPr>
            <w:tcW w:w="1394" w:type="dxa"/>
            <w:tcBorders>
              <w:top w:val="nil"/>
              <w:left w:val="nil"/>
              <w:bottom w:val="single" w:sz="4" w:space="0" w:color="auto"/>
              <w:right w:val="single" w:sz="4" w:space="0" w:color="auto"/>
            </w:tcBorders>
            <w:shd w:val="clear" w:color="auto" w:fill="auto"/>
            <w:vAlign w:val="center"/>
            <w:hideMark/>
          </w:tcPr>
          <w:p w:rsidR="00F07E05" w:rsidRPr="00892248" w:rsidRDefault="00F07E05" w:rsidP="008A253E">
            <w:pPr>
              <w:jc w:val="center"/>
              <w:rPr>
                <w:sz w:val="22"/>
                <w:szCs w:val="22"/>
              </w:rPr>
            </w:pPr>
            <w:r w:rsidRPr="00892248">
              <w:rPr>
                <w:sz w:val="22"/>
                <w:szCs w:val="22"/>
              </w:rPr>
              <w:t xml:space="preserve">           74 </w:t>
            </w:r>
          </w:p>
        </w:tc>
        <w:tc>
          <w:tcPr>
            <w:tcW w:w="1536" w:type="dxa"/>
            <w:tcBorders>
              <w:top w:val="nil"/>
              <w:left w:val="nil"/>
              <w:bottom w:val="single" w:sz="4" w:space="0" w:color="auto"/>
              <w:right w:val="single" w:sz="4" w:space="0" w:color="auto"/>
            </w:tcBorders>
            <w:shd w:val="clear" w:color="auto" w:fill="auto"/>
            <w:vAlign w:val="center"/>
            <w:hideMark/>
          </w:tcPr>
          <w:p w:rsidR="00F07E05" w:rsidRPr="00892248" w:rsidRDefault="00F07E05" w:rsidP="008A253E">
            <w:pPr>
              <w:jc w:val="center"/>
              <w:rPr>
                <w:b/>
                <w:bCs/>
                <w:sz w:val="22"/>
                <w:szCs w:val="22"/>
              </w:rPr>
            </w:pPr>
            <w:r w:rsidRPr="00892248">
              <w:rPr>
                <w:b/>
                <w:bCs/>
                <w:sz w:val="22"/>
                <w:szCs w:val="22"/>
              </w:rPr>
              <w:t xml:space="preserve">          3 330 </w:t>
            </w:r>
          </w:p>
        </w:tc>
      </w:tr>
      <w:tr w:rsidR="00F07E05" w:rsidTr="008A253E">
        <w:trPr>
          <w:gridAfter w:val="1"/>
          <w:wAfter w:w="23" w:type="dxa"/>
          <w:trHeight w:val="630"/>
        </w:trPr>
        <w:tc>
          <w:tcPr>
            <w:tcW w:w="3119" w:type="dxa"/>
            <w:tcBorders>
              <w:top w:val="nil"/>
              <w:left w:val="single" w:sz="4" w:space="0" w:color="auto"/>
              <w:bottom w:val="single" w:sz="4" w:space="0" w:color="auto"/>
              <w:right w:val="single" w:sz="4" w:space="0" w:color="auto"/>
            </w:tcBorders>
            <w:shd w:val="clear" w:color="auto" w:fill="auto"/>
            <w:hideMark/>
          </w:tcPr>
          <w:p w:rsidR="00F07E05" w:rsidRPr="00892248" w:rsidRDefault="00F07E05" w:rsidP="008A253E">
            <w:pPr>
              <w:rPr>
                <w:sz w:val="22"/>
                <w:szCs w:val="22"/>
              </w:rPr>
            </w:pPr>
            <w:r w:rsidRPr="00892248">
              <w:rPr>
                <w:sz w:val="22"/>
                <w:szCs w:val="22"/>
              </w:rPr>
              <w:t>Прием экзаменов по безопасности эксплуатации самоходных машин - теория</w:t>
            </w:r>
          </w:p>
        </w:tc>
        <w:tc>
          <w:tcPr>
            <w:tcW w:w="1323" w:type="dxa"/>
            <w:tcBorders>
              <w:top w:val="nil"/>
              <w:left w:val="nil"/>
              <w:bottom w:val="single" w:sz="4" w:space="0" w:color="auto"/>
              <w:right w:val="single" w:sz="4" w:space="0" w:color="auto"/>
            </w:tcBorders>
            <w:shd w:val="clear" w:color="auto" w:fill="auto"/>
            <w:noWrap/>
            <w:vAlign w:val="center"/>
            <w:hideMark/>
          </w:tcPr>
          <w:p w:rsidR="00F07E05" w:rsidRPr="00892248" w:rsidRDefault="00F07E05" w:rsidP="008A253E">
            <w:pPr>
              <w:jc w:val="center"/>
              <w:rPr>
                <w:sz w:val="22"/>
                <w:szCs w:val="22"/>
              </w:rPr>
            </w:pPr>
            <w:r w:rsidRPr="00892248">
              <w:rPr>
                <w:sz w:val="22"/>
                <w:szCs w:val="22"/>
              </w:rPr>
              <w:t xml:space="preserve">           90 </w:t>
            </w:r>
          </w:p>
        </w:tc>
        <w:tc>
          <w:tcPr>
            <w:tcW w:w="1371" w:type="dxa"/>
            <w:tcBorders>
              <w:top w:val="nil"/>
              <w:left w:val="nil"/>
              <w:bottom w:val="single" w:sz="4" w:space="0" w:color="auto"/>
              <w:right w:val="single" w:sz="4" w:space="0" w:color="auto"/>
            </w:tcBorders>
            <w:shd w:val="clear" w:color="auto" w:fill="auto"/>
            <w:vAlign w:val="center"/>
            <w:hideMark/>
          </w:tcPr>
          <w:p w:rsidR="00F07E05" w:rsidRPr="00892248" w:rsidRDefault="00F07E05" w:rsidP="008A253E">
            <w:pPr>
              <w:jc w:val="center"/>
              <w:rPr>
                <w:sz w:val="22"/>
                <w:szCs w:val="22"/>
              </w:rPr>
            </w:pPr>
            <w:r w:rsidRPr="00892248">
              <w:rPr>
                <w:sz w:val="22"/>
                <w:szCs w:val="22"/>
              </w:rPr>
              <w:t xml:space="preserve">        2 688 </w:t>
            </w:r>
          </w:p>
        </w:tc>
        <w:tc>
          <w:tcPr>
            <w:tcW w:w="1536" w:type="dxa"/>
            <w:tcBorders>
              <w:top w:val="nil"/>
              <w:left w:val="nil"/>
              <w:bottom w:val="single" w:sz="4" w:space="0" w:color="auto"/>
              <w:right w:val="single" w:sz="4" w:space="0" w:color="auto"/>
            </w:tcBorders>
            <w:shd w:val="clear" w:color="auto" w:fill="auto"/>
            <w:vAlign w:val="center"/>
            <w:hideMark/>
          </w:tcPr>
          <w:p w:rsidR="00F07E05" w:rsidRPr="00892248" w:rsidRDefault="00F07E05" w:rsidP="008A253E">
            <w:pPr>
              <w:jc w:val="center"/>
              <w:rPr>
                <w:b/>
                <w:bCs/>
                <w:sz w:val="22"/>
                <w:szCs w:val="22"/>
              </w:rPr>
            </w:pPr>
            <w:r w:rsidRPr="00892248">
              <w:rPr>
                <w:b/>
                <w:bCs/>
                <w:sz w:val="22"/>
                <w:szCs w:val="22"/>
              </w:rPr>
              <w:t xml:space="preserve">      241 920 </w:t>
            </w:r>
          </w:p>
        </w:tc>
        <w:tc>
          <w:tcPr>
            <w:tcW w:w="1323" w:type="dxa"/>
            <w:gridSpan w:val="2"/>
            <w:tcBorders>
              <w:top w:val="nil"/>
              <w:left w:val="nil"/>
              <w:bottom w:val="single" w:sz="4" w:space="0" w:color="auto"/>
              <w:right w:val="single" w:sz="4" w:space="0" w:color="auto"/>
            </w:tcBorders>
            <w:shd w:val="clear" w:color="auto" w:fill="auto"/>
            <w:noWrap/>
            <w:vAlign w:val="center"/>
            <w:hideMark/>
          </w:tcPr>
          <w:p w:rsidR="00F07E05" w:rsidRPr="00892248" w:rsidRDefault="00F07E05" w:rsidP="008A253E">
            <w:pPr>
              <w:jc w:val="center"/>
              <w:rPr>
                <w:sz w:val="22"/>
                <w:szCs w:val="22"/>
              </w:rPr>
            </w:pPr>
            <w:r w:rsidRPr="00892248">
              <w:rPr>
                <w:sz w:val="22"/>
                <w:szCs w:val="22"/>
              </w:rPr>
              <w:t xml:space="preserve">           90 </w:t>
            </w:r>
          </w:p>
        </w:tc>
        <w:tc>
          <w:tcPr>
            <w:tcW w:w="1251" w:type="dxa"/>
            <w:tcBorders>
              <w:top w:val="nil"/>
              <w:left w:val="nil"/>
              <w:bottom w:val="single" w:sz="4" w:space="0" w:color="auto"/>
              <w:right w:val="single" w:sz="4" w:space="0" w:color="auto"/>
            </w:tcBorders>
            <w:shd w:val="clear" w:color="auto" w:fill="auto"/>
            <w:vAlign w:val="center"/>
            <w:hideMark/>
          </w:tcPr>
          <w:p w:rsidR="00F07E05" w:rsidRPr="00892248" w:rsidRDefault="00F07E05" w:rsidP="008A253E">
            <w:pPr>
              <w:jc w:val="center"/>
              <w:rPr>
                <w:sz w:val="22"/>
                <w:szCs w:val="22"/>
              </w:rPr>
            </w:pPr>
            <w:r w:rsidRPr="00892248">
              <w:rPr>
                <w:sz w:val="22"/>
                <w:szCs w:val="22"/>
              </w:rPr>
              <w:t xml:space="preserve">     2 716 </w:t>
            </w:r>
          </w:p>
        </w:tc>
        <w:tc>
          <w:tcPr>
            <w:tcW w:w="1536" w:type="dxa"/>
            <w:tcBorders>
              <w:top w:val="nil"/>
              <w:left w:val="nil"/>
              <w:bottom w:val="single" w:sz="4" w:space="0" w:color="auto"/>
              <w:right w:val="single" w:sz="4" w:space="0" w:color="auto"/>
            </w:tcBorders>
            <w:shd w:val="clear" w:color="auto" w:fill="auto"/>
            <w:vAlign w:val="center"/>
            <w:hideMark/>
          </w:tcPr>
          <w:p w:rsidR="00F07E05" w:rsidRPr="00892248" w:rsidRDefault="00F07E05" w:rsidP="008A253E">
            <w:pPr>
              <w:jc w:val="center"/>
              <w:rPr>
                <w:b/>
                <w:bCs/>
                <w:sz w:val="22"/>
                <w:szCs w:val="22"/>
              </w:rPr>
            </w:pPr>
            <w:r w:rsidRPr="00892248">
              <w:rPr>
                <w:b/>
                <w:bCs/>
                <w:sz w:val="22"/>
                <w:szCs w:val="22"/>
              </w:rPr>
              <w:t xml:space="preserve">      244 440 </w:t>
            </w:r>
          </w:p>
        </w:tc>
        <w:tc>
          <w:tcPr>
            <w:tcW w:w="1323" w:type="dxa"/>
            <w:gridSpan w:val="2"/>
            <w:tcBorders>
              <w:top w:val="nil"/>
              <w:left w:val="nil"/>
              <w:bottom w:val="single" w:sz="4" w:space="0" w:color="auto"/>
              <w:right w:val="single" w:sz="4" w:space="0" w:color="auto"/>
            </w:tcBorders>
            <w:shd w:val="clear" w:color="auto" w:fill="auto"/>
            <w:noWrap/>
            <w:vAlign w:val="center"/>
            <w:hideMark/>
          </w:tcPr>
          <w:p w:rsidR="00F07E05" w:rsidRPr="00892248" w:rsidRDefault="00F07E05" w:rsidP="008A253E">
            <w:pPr>
              <w:jc w:val="center"/>
              <w:rPr>
                <w:sz w:val="22"/>
                <w:szCs w:val="22"/>
              </w:rPr>
            </w:pPr>
            <w:r w:rsidRPr="00892248">
              <w:rPr>
                <w:sz w:val="22"/>
                <w:szCs w:val="22"/>
              </w:rPr>
              <w:t xml:space="preserve">           90 </w:t>
            </w:r>
          </w:p>
        </w:tc>
        <w:tc>
          <w:tcPr>
            <w:tcW w:w="1394" w:type="dxa"/>
            <w:tcBorders>
              <w:top w:val="nil"/>
              <w:left w:val="nil"/>
              <w:bottom w:val="single" w:sz="4" w:space="0" w:color="auto"/>
              <w:right w:val="single" w:sz="4" w:space="0" w:color="auto"/>
            </w:tcBorders>
            <w:shd w:val="clear" w:color="auto" w:fill="auto"/>
            <w:vAlign w:val="center"/>
            <w:hideMark/>
          </w:tcPr>
          <w:p w:rsidR="00F07E05" w:rsidRPr="00892248" w:rsidRDefault="00F07E05" w:rsidP="008A253E">
            <w:pPr>
              <w:jc w:val="center"/>
              <w:rPr>
                <w:sz w:val="22"/>
                <w:szCs w:val="22"/>
              </w:rPr>
            </w:pPr>
            <w:r w:rsidRPr="00892248">
              <w:rPr>
                <w:sz w:val="22"/>
                <w:szCs w:val="22"/>
              </w:rPr>
              <w:t xml:space="preserve">      2 743 </w:t>
            </w:r>
          </w:p>
        </w:tc>
        <w:tc>
          <w:tcPr>
            <w:tcW w:w="1536" w:type="dxa"/>
            <w:tcBorders>
              <w:top w:val="nil"/>
              <w:left w:val="nil"/>
              <w:bottom w:val="single" w:sz="4" w:space="0" w:color="auto"/>
              <w:right w:val="single" w:sz="4" w:space="0" w:color="auto"/>
            </w:tcBorders>
            <w:shd w:val="clear" w:color="auto" w:fill="auto"/>
            <w:vAlign w:val="center"/>
            <w:hideMark/>
          </w:tcPr>
          <w:p w:rsidR="00F07E05" w:rsidRPr="00892248" w:rsidRDefault="00F07E05" w:rsidP="008A253E">
            <w:pPr>
              <w:jc w:val="center"/>
              <w:rPr>
                <w:b/>
                <w:bCs/>
                <w:sz w:val="22"/>
                <w:szCs w:val="22"/>
              </w:rPr>
            </w:pPr>
            <w:r w:rsidRPr="00892248">
              <w:rPr>
                <w:b/>
                <w:bCs/>
                <w:sz w:val="22"/>
                <w:szCs w:val="22"/>
              </w:rPr>
              <w:t xml:space="preserve">      246 870 </w:t>
            </w:r>
          </w:p>
        </w:tc>
      </w:tr>
      <w:tr w:rsidR="00F07E05" w:rsidTr="008A253E">
        <w:trPr>
          <w:gridAfter w:val="1"/>
          <w:wAfter w:w="23" w:type="dxa"/>
          <w:trHeight w:val="945"/>
        </w:trPr>
        <w:tc>
          <w:tcPr>
            <w:tcW w:w="3119" w:type="dxa"/>
            <w:tcBorders>
              <w:top w:val="nil"/>
              <w:left w:val="single" w:sz="4" w:space="0" w:color="auto"/>
              <w:bottom w:val="single" w:sz="4" w:space="0" w:color="auto"/>
              <w:right w:val="single" w:sz="4" w:space="0" w:color="auto"/>
            </w:tcBorders>
            <w:shd w:val="clear" w:color="auto" w:fill="auto"/>
            <w:hideMark/>
          </w:tcPr>
          <w:p w:rsidR="00F07E05" w:rsidRPr="00892248" w:rsidRDefault="00F07E05" w:rsidP="008A253E">
            <w:pPr>
              <w:rPr>
                <w:sz w:val="22"/>
                <w:szCs w:val="22"/>
              </w:rPr>
            </w:pPr>
            <w:r w:rsidRPr="00892248">
              <w:rPr>
                <w:sz w:val="22"/>
                <w:szCs w:val="22"/>
              </w:rPr>
              <w:t>Прием экзаменов по эксплуатации машин и оборудования (для категории "F" и для получивших квалификацию тракториста-машиниста) - теория</w:t>
            </w:r>
          </w:p>
        </w:tc>
        <w:tc>
          <w:tcPr>
            <w:tcW w:w="1323" w:type="dxa"/>
            <w:tcBorders>
              <w:top w:val="nil"/>
              <w:left w:val="nil"/>
              <w:bottom w:val="single" w:sz="4" w:space="0" w:color="auto"/>
              <w:right w:val="single" w:sz="4" w:space="0" w:color="auto"/>
            </w:tcBorders>
            <w:shd w:val="clear" w:color="auto" w:fill="auto"/>
            <w:noWrap/>
            <w:vAlign w:val="center"/>
            <w:hideMark/>
          </w:tcPr>
          <w:p w:rsidR="00F07E05" w:rsidRPr="00892248" w:rsidRDefault="00F07E05" w:rsidP="008A253E">
            <w:pPr>
              <w:jc w:val="center"/>
              <w:rPr>
                <w:sz w:val="22"/>
                <w:szCs w:val="22"/>
              </w:rPr>
            </w:pPr>
            <w:r w:rsidRPr="00892248">
              <w:rPr>
                <w:sz w:val="22"/>
                <w:szCs w:val="22"/>
              </w:rPr>
              <w:t xml:space="preserve">           90 </w:t>
            </w:r>
          </w:p>
        </w:tc>
        <w:tc>
          <w:tcPr>
            <w:tcW w:w="1371" w:type="dxa"/>
            <w:tcBorders>
              <w:top w:val="nil"/>
              <w:left w:val="nil"/>
              <w:bottom w:val="single" w:sz="4" w:space="0" w:color="auto"/>
              <w:right w:val="single" w:sz="4" w:space="0" w:color="auto"/>
            </w:tcBorders>
            <w:shd w:val="clear" w:color="auto" w:fill="auto"/>
            <w:vAlign w:val="center"/>
            <w:hideMark/>
          </w:tcPr>
          <w:p w:rsidR="00F07E05" w:rsidRPr="00892248" w:rsidRDefault="00F07E05" w:rsidP="008A253E">
            <w:pPr>
              <w:jc w:val="center"/>
              <w:rPr>
                <w:sz w:val="22"/>
                <w:szCs w:val="22"/>
              </w:rPr>
            </w:pPr>
            <w:r w:rsidRPr="00892248">
              <w:rPr>
                <w:sz w:val="22"/>
                <w:szCs w:val="22"/>
              </w:rPr>
              <w:t xml:space="preserve">           526 </w:t>
            </w:r>
          </w:p>
        </w:tc>
        <w:tc>
          <w:tcPr>
            <w:tcW w:w="1536" w:type="dxa"/>
            <w:tcBorders>
              <w:top w:val="nil"/>
              <w:left w:val="nil"/>
              <w:bottom w:val="single" w:sz="4" w:space="0" w:color="auto"/>
              <w:right w:val="single" w:sz="4" w:space="0" w:color="auto"/>
            </w:tcBorders>
            <w:shd w:val="clear" w:color="auto" w:fill="auto"/>
            <w:vAlign w:val="center"/>
            <w:hideMark/>
          </w:tcPr>
          <w:p w:rsidR="00F07E05" w:rsidRPr="00892248" w:rsidRDefault="00F07E05" w:rsidP="008A253E">
            <w:pPr>
              <w:jc w:val="center"/>
              <w:rPr>
                <w:b/>
                <w:bCs/>
                <w:sz w:val="22"/>
                <w:szCs w:val="22"/>
              </w:rPr>
            </w:pPr>
            <w:r w:rsidRPr="00892248">
              <w:rPr>
                <w:b/>
                <w:bCs/>
                <w:sz w:val="22"/>
                <w:szCs w:val="22"/>
              </w:rPr>
              <w:t xml:space="preserve">        47 340 </w:t>
            </w:r>
          </w:p>
        </w:tc>
        <w:tc>
          <w:tcPr>
            <w:tcW w:w="1323" w:type="dxa"/>
            <w:gridSpan w:val="2"/>
            <w:tcBorders>
              <w:top w:val="nil"/>
              <w:left w:val="nil"/>
              <w:bottom w:val="single" w:sz="4" w:space="0" w:color="auto"/>
              <w:right w:val="single" w:sz="4" w:space="0" w:color="auto"/>
            </w:tcBorders>
            <w:shd w:val="clear" w:color="auto" w:fill="auto"/>
            <w:noWrap/>
            <w:vAlign w:val="center"/>
            <w:hideMark/>
          </w:tcPr>
          <w:p w:rsidR="00F07E05" w:rsidRPr="00892248" w:rsidRDefault="00F07E05" w:rsidP="008A253E">
            <w:pPr>
              <w:jc w:val="center"/>
              <w:rPr>
                <w:sz w:val="22"/>
                <w:szCs w:val="22"/>
              </w:rPr>
            </w:pPr>
            <w:r w:rsidRPr="00892248">
              <w:rPr>
                <w:sz w:val="22"/>
                <w:szCs w:val="22"/>
              </w:rPr>
              <w:t xml:space="preserve">           90 </w:t>
            </w:r>
          </w:p>
        </w:tc>
        <w:tc>
          <w:tcPr>
            <w:tcW w:w="1251" w:type="dxa"/>
            <w:tcBorders>
              <w:top w:val="nil"/>
              <w:left w:val="nil"/>
              <w:bottom w:val="single" w:sz="4" w:space="0" w:color="auto"/>
              <w:right w:val="single" w:sz="4" w:space="0" w:color="auto"/>
            </w:tcBorders>
            <w:shd w:val="clear" w:color="auto" w:fill="auto"/>
            <w:vAlign w:val="center"/>
            <w:hideMark/>
          </w:tcPr>
          <w:p w:rsidR="00F07E05" w:rsidRPr="00892248" w:rsidRDefault="00F07E05" w:rsidP="008A253E">
            <w:pPr>
              <w:jc w:val="center"/>
              <w:rPr>
                <w:sz w:val="22"/>
                <w:szCs w:val="22"/>
              </w:rPr>
            </w:pPr>
            <w:r w:rsidRPr="00892248">
              <w:rPr>
                <w:sz w:val="22"/>
                <w:szCs w:val="22"/>
              </w:rPr>
              <w:t xml:space="preserve">        529 </w:t>
            </w:r>
          </w:p>
        </w:tc>
        <w:tc>
          <w:tcPr>
            <w:tcW w:w="1536" w:type="dxa"/>
            <w:tcBorders>
              <w:top w:val="nil"/>
              <w:left w:val="nil"/>
              <w:bottom w:val="single" w:sz="4" w:space="0" w:color="auto"/>
              <w:right w:val="single" w:sz="4" w:space="0" w:color="auto"/>
            </w:tcBorders>
            <w:shd w:val="clear" w:color="auto" w:fill="auto"/>
            <w:vAlign w:val="center"/>
            <w:hideMark/>
          </w:tcPr>
          <w:p w:rsidR="00F07E05" w:rsidRPr="00892248" w:rsidRDefault="00F07E05" w:rsidP="008A253E">
            <w:pPr>
              <w:jc w:val="center"/>
              <w:rPr>
                <w:b/>
                <w:bCs/>
                <w:sz w:val="22"/>
                <w:szCs w:val="22"/>
              </w:rPr>
            </w:pPr>
            <w:r w:rsidRPr="00892248">
              <w:rPr>
                <w:b/>
                <w:bCs/>
                <w:sz w:val="22"/>
                <w:szCs w:val="22"/>
              </w:rPr>
              <w:t xml:space="preserve">        47 610 </w:t>
            </w:r>
          </w:p>
        </w:tc>
        <w:tc>
          <w:tcPr>
            <w:tcW w:w="1323" w:type="dxa"/>
            <w:gridSpan w:val="2"/>
            <w:tcBorders>
              <w:top w:val="nil"/>
              <w:left w:val="nil"/>
              <w:bottom w:val="single" w:sz="4" w:space="0" w:color="auto"/>
              <w:right w:val="single" w:sz="4" w:space="0" w:color="auto"/>
            </w:tcBorders>
            <w:shd w:val="clear" w:color="auto" w:fill="auto"/>
            <w:noWrap/>
            <w:vAlign w:val="center"/>
            <w:hideMark/>
          </w:tcPr>
          <w:p w:rsidR="00F07E05" w:rsidRPr="00892248" w:rsidRDefault="00F07E05" w:rsidP="008A253E">
            <w:pPr>
              <w:jc w:val="center"/>
              <w:rPr>
                <w:sz w:val="22"/>
                <w:szCs w:val="22"/>
              </w:rPr>
            </w:pPr>
            <w:r w:rsidRPr="00892248">
              <w:rPr>
                <w:sz w:val="22"/>
                <w:szCs w:val="22"/>
              </w:rPr>
              <w:t xml:space="preserve">           90 </w:t>
            </w:r>
          </w:p>
        </w:tc>
        <w:tc>
          <w:tcPr>
            <w:tcW w:w="1394" w:type="dxa"/>
            <w:tcBorders>
              <w:top w:val="nil"/>
              <w:left w:val="nil"/>
              <w:bottom w:val="single" w:sz="4" w:space="0" w:color="auto"/>
              <w:right w:val="single" w:sz="4" w:space="0" w:color="auto"/>
            </w:tcBorders>
            <w:shd w:val="clear" w:color="auto" w:fill="auto"/>
            <w:vAlign w:val="center"/>
            <w:hideMark/>
          </w:tcPr>
          <w:p w:rsidR="00F07E05" w:rsidRPr="00892248" w:rsidRDefault="00F07E05" w:rsidP="008A253E">
            <w:pPr>
              <w:jc w:val="center"/>
              <w:rPr>
                <w:sz w:val="22"/>
                <w:szCs w:val="22"/>
              </w:rPr>
            </w:pPr>
            <w:r w:rsidRPr="00892248">
              <w:rPr>
                <w:sz w:val="22"/>
                <w:szCs w:val="22"/>
              </w:rPr>
              <w:t xml:space="preserve">         534 </w:t>
            </w:r>
          </w:p>
        </w:tc>
        <w:tc>
          <w:tcPr>
            <w:tcW w:w="1536" w:type="dxa"/>
            <w:tcBorders>
              <w:top w:val="nil"/>
              <w:left w:val="nil"/>
              <w:bottom w:val="single" w:sz="4" w:space="0" w:color="auto"/>
              <w:right w:val="single" w:sz="4" w:space="0" w:color="auto"/>
            </w:tcBorders>
            <w:shd w:val="clear" w:color="auto" w:fill="auto"/>
            <w:vAlign w:val="center"/>
            <w:hideMark/>
          </w:tcPr>
          <w:p w:rsidR="00F07E05" w:rsidRPr="00892248" w:rsidRDefault="00F07E05" w:rsidP="008A253E">
            <w:pPr>
              <w:jc w:val="center"/>
              <w:rPr>
                <w:b/>
                <w:bCs/>
                <w:sz w:val="22"/>
                <w:szCs w:val="22"/>
              </w:rPr>
            </w:pPr>
            <w:r w:rsidRPr="00892248">
              <w:rPr>
                <w:b/>
                <w:bCs/>
                <w:sz w:val="22"/>
                <w:szCs w:val="22"/>
              </w:rPr>
              <w:t xml:space="preserve">        48 060 </w:t>
            </w:r>
          </w:p>
        </w:tc>
      </w:tr>
      <w:tr w:rsidR="00F07E05" w:rsidTr="008A253E">
        <w:trPr>
          <w:gridAfter w:val="1"/>
          <w:wAfter w:w="23" w:type="dxa"/>
          <w:trHeight w:val="630"/>
        </w:trPr>
        <w:tc>
          <w:tcPr>
            <w:tcW w:w="3119" w:type="dxa"/>
            <w:tcBorders>
              <w:top w:val="nil"/>
              <w:left w:val="single" w:sz="4" w:space="0" w:color="auto"/>
              <w:bottom w:val="single" w:sz="4" w:space="0" w:color="auto"/>
              <w:right w:val="single" w:sz="4" w:space="0" w:color="auto"/>
            </w:tcBorders>
            <w:shd w:val="clear" w:color="auto" w:fill="auto"/>
            <w:hideMark/>
          </w:tcPr>
          <w:p w:rsidR="00F07E05" w:rsidRPr="00892248" w:rsidRDefault="00F07E05" w:rsidP="008A253E">
            <w:pPr>
              <w:rPr>
                <w:sz w:val="22"/>
                <w:szCs w:val="22"/>
              </w:rPr>
            </w:pPr>
            <w:r w:rsidRPr="00892248">
              <w:rPr>
                <w:sz w:val="22"/>
                <w:szCs w:val="22"/>
              </w:rPr>
              <w:t>Прием экзаменов по правилам дорожного движения - теория</w:t>
            </w:r>
          </w:p>
        </w:tc>
        <w:tc>
          <w:tcPr>
            <w:tcW w:w="1323" w:type="dxa"/>
            <w:tcBorders>
              <w:top w:val="nil"/>
              <w:left w:val="nil"/>
              <w:bottom w:val="single" w:sz="4" w:space="0" w:color="auto"/>
              <w:right w:val="single" w:sz="4" w:space="0" w:color="auto"/>
            </w:tcBorders>
            <w:shd w:val="clear" w:color="auto" w:fill="auto"/>
            <w:noWrap/>
            <w:vAlign w:val="center"/>
            <w:hideMark/>
          </w:tcPr>
          <w:p w:rsidR="00F07E05" w:rsidRPr="00892248" w:rsidRDefault="00F07E05" w:rsidP="008A253E">
            <w:pPr>
              <w:jc w:val="center"/>
              <w:rPr>
                <w:sz w:val="22"/>
                <w:szCs w:val="22"/>
              </w:rPr>
            </w:pPr>
            <w:r w:rsidRPr="00892248">
              <w:rPr>
                <w:sz w:val="22"/>
                <w:szCs w:val="22"/>
              </w:rPr>
              <w:t xml:space="preserve">           90 </w:t>
            </w:r>
          </w:p>
        </w:tc>
        <w:tc>
          <w:tcPr>
            <w:tcW w:w="1371" w:type="dxa"/>
            <w:tcBorders>
              <w:top w:val="nil"/>
              <w:left w:val="nil"/>
              <w:bottom w:val="single" w:sz="4" w:space="0" w:color="auto"/>
              <w:right w:val="single" w:sz="4" w:space="0" w:color="auto"/>
            </w:tcBorders>
            <w:shd w:val="clear" w:color="auto" w:fill="auto"/>
            <w:vAlign w:val="center"/>
            <w:hideMark/>
          </w:tcPr>
          <w:p w:rsidR="00F07E05" w:rsidRPr="00892248" w:rsidRDefault="00F07E05" w:rsidP="008A253E">
            <w:pPr>
              <w:jc w:val="center"/>
              <w:rPr>
                <w:sz w:val="22"/>
                <w:szCs w:val="22"/>
              </w:rPr>
            </w:pPr>
            <w:r w:rsidRPr="00892248">
              <w:rPr>
                <w:sz w:val="22"/>
                <w:szCs w:val="22"/>
              </w:rPr>
              <w:t xml:space="preserve">           482 </w:t>
            </w:r>
          </w:p>
        </w:tc>
        <w:tc>
          <w:tcPr>
            <w:tcW w:w="1536" w:type="dxa"/>
            <w:tcBorders>
              <w:top w:val="nil"/>
              <w:left w:val="nil"/>
              <w:bottom w:val="single" w:sz="4" w:space="0" w:color="auto"/>
              <w:right w:val="single" w:sz="4" w:space="0" w:color="auto"/>
            </w:tcBorders>
            <w:shd w:val="clear" w:color="auto" w:fill="auto"/>
            <w:vAlign w:val="center"/>
            <w:hideMark/>
          </w:tcPr>
          <w:p w:rsidR="00F07E05" w:rsidRPr="00892248" w:rsidRDefault="00F07E05" w:rsidP="008A253E">
            <w:pPr>
              <w:jc w:val="center"/>
              <w:rPr>
                <w:b/>
                <w:bCs/>
                <w:sz w:val="22"/>
                <w:szCs w:val="22"/>
              </w:rPr>
            </w:pPr>
            <w:r w:rsidRPr="00892248">
              <w:rPr>
                <w:b/>
                <w:bCs/>
                <w:sz w:val="22"/>
                <w:szCs w:val="22"/>
              </w:rPr>
              <w:t xml:space="preserve">        43 380 </w:t>
            </w:r>
          </w:p>
        </w:tc>
        <w:tc>
          <w:tcPr>
            <w:tcW w:w="1323" w:type="dxa"/>
            <w:gridSpan w:val="2"/>
            <w:tcBorders>
              <w:top w:val="nil"/>
              <w:left w:val="nil"/>
              <w:bottom w:val="single" w:sz="4" w:space="0" w:color="auto"/>
              <w:right w:val="single" w:sz="4" w:space="0" w:color="auto"/>
            </w:tcBorders>
            <w:shd w:val="clear" w:color="auto" w:fill="auto"/>
            <w:noWrap/>
            <w:vAlign w:val="center"/>
            <w:hideMark/>
          </w:tcPr>
          <w:p w:rsidR="00F07E05" w:rsidRPr="00892248" w:rsidRDefault="00F07E05" w:rsidP="008A253E">
            <w:pPr>
              <w:jc w:val="center"/>
              <w:rPr>
                <w:sz w:val="22"/>
                <w:szCs w:val="22"/>
              </w:rPr>
            </w:pPr>
            <w:r w:rsidRPr="00892248">
              <w:rPr>
                <w:sz w:val="22"/>
                <w:szCs w:val="22"/>
              </w:rPr>
              <w:t xml:space="preserve">           90 </w:t>
            </w:r>
          </w:p>
        </w:tc>
        <w:tc>
          <w:tcPr>
            <w:tcW w:w="1251" w:type="dxa"/>
            <w:tcBorders>
              <w:top w:val="nil"/>
              <w:left w:val="nil"/>
              <w:bottom w:val="single" w:sz="4" w:space="0" w:color="auto"/>
              <w:right w:val="single" w:sz="4" w:space="0" w:color="auto"/>
            </w:tcBorders>
            <w:shd w:val="clear" w:color="auto" w:fill="auto"/>
            <w:vAlign w:val="center"/>
            <w:hideMark/>
          </w:tcPr>
          <w:p w:rsidR="00F07E05" w:rsidRPr="00892248" w:rsidRDefault="00F07E05" w:rsidP="008A253E">
            <w:pPr>
              <w:jc w:val="center"/>
              <w:rPr>
                <w:sz w:val="22"/>
                <w:szCs w:val="22"/>
              </w:rPr>
            </w:pPr>
            <w:r w:rsidRPr="00892248">
              <w:rPr>
                <w:sz w:val="22"/>
                <w:szCs w:val="22"/>
              </w:rPr>
              <w:t xml:space="preserve">        487 </w:t>
            </w:r>
          </w:p>
        </w:tc>
        <w:tc>
          <w:tcPr>
            <w:tcW w:w="1536" w:type="dxa"/>
            <w:tcBorders>
              <w:top w:val="nil"/>
              <w:left w:val="nil"/>
              <w:bottom w:val="single" w:sz="4" w:space="0" w:color="auto"/>
              <w:right w:val="single" w:sz="4" w:space="0" w:color="auto"/>
            </w:tcBorders>
            <w:shd w:val="clear" w:color="auto" w:fill="auto"/>
            <w:vAlign w:val="center"/>
            <w:hideMark/>
          </w:tcPr>
          <w:p w:rsidR="00F07E05" w:rsidRPr="00892248" w:rsidRDefault="00F07E05" w:rsidP="008A253E">
            <w:pPr>
              <w:jc w:val="center"/>
              <w:rPr>
                <w:b/>
                <w:bCs/>
                <w:sz w:val="22"/>
                <w:szCs w:val="22"/>
              </w:rPr>
            </w:pPr>
            <w:r w:rsidRPr="00892248">
              <w:rPr>
                <w:b/>
                <w:bCs/>
                <w:sz w:val="22"/>
                <w:szCs w:val="22"/>
              </w:rPr>
              <w:t xml:space="preserve">        43 830 </w:t>
            </w:r>
          </w:p>
        </w:tc>
        <w:tc>
          <w:tcPr>
            <w:tcW w:w="1323" w:type="dxa"/>
            <w:gridSpan w:val="2"/>
            <w:tcBorders>
              <w:top w:val="nil"/>
              <w:left w:val="nil"/>
              <w:bottom w:val="single" w:sz="4" w:space="0" w:color="auto"/>
              <w:right w:val="single" w:sz="4" w:space="0" w:color="auto"/>
            </w:tcBorders>
            <w:shd w:val="clear" w:color="auto" w:fill="auto"/>
            <w:noWrap/>
            <w:vAlign w:val="center"/>
            <w:hideMark/>
          </w:tcPr>
          <w:p w:rsidR="00F07E05" w:rsidRPr="00892248" w:rsidRDefault="00F07E05" w:rsidP="008A253E">
            <w:pPr>
              <w:jc w:val="center"/>
              <w:rPr>
                <w:sz w:val="22"/>
                <w:szCs w:val="22"/>
              </w:rPr>
            </w:pPr>
            <w:r w:rsidRPr="00892248">
              <w:rPr>
                <w:sz w:val="22"/>
                <w:szCs w:val="22"/>
              </w:rPr>
              <w:t xml:space="preserve">           90 </w:t>
            </w:r>
          </w:p>
        </w:tc>
        <w:tc>
          <w:tcPr>
            <w:tcW w:w="1394" w:type="dxa"/>
            <w:tcBorders>
              <w:top w:val="nil"/>
              <w:left w:val="nil"/>
              <w:bottom w:val="single" w:sz="4" w:space="0" w:color="auto"/>
              <w:right w:val="single" w:sz="4" w:space="0" w:color="auto"/>
            </w:tcBorders>
            <w:shd w:val="clear" w:color="auto" w:fill="auto"/>
            <w:vAlign w:val="center"/>
            <w:hideMark/>
          </w:tcPr>
          <w:p w:rsidR="00F07E05" w:rsidRPr="00892248" w:rsidRDefault="00F07E05" w:rsidP="008A253E">
            <w:pPr>
              <w:jc w:val="center"/>
              <w:rPr>
                <w:sz w:val="22"/>
                <w:szCs w:val="22"/>
              </w:rPr>
            </w:pPr>
            <w:r w:rsidRPr="00892248">
              <w:rPr>
                <w:sz w:val="22"/>
                <w:szCs w:val="22"/>
              </w:rPr>
              <w:t xml:space="preserve">         493 </w:t>
            </w:r>
          </w:p>
        </w:tc>
        <w:tc>
          <w:tcPr>
            <w:tcW w:w="1536" w:type="dxa"/>
            <w:tcBorders>
              <w:top w:val="nil"/>
              <w:left w:val="nil"/>
              <w:bottom w:val="single" w:sz="4" w:space="0" w:color="auto"/>
              <w:right w:val="single" w:sz="4" w:space="0" w:color="auto"/>
            </w:tcBorders>
            <w:shd w:val="clear" w:color="auto" w:fill="auto"/>
            <w:vAlign w:val="center"/>
            <w:hideMark/>
          </w:tcPr>
          <w:p w:rsidR="00F07E05" w:rsidRPr="00892248" w:rsidRDefault="00F07E05" w:rsidP="008A253E">
            <w:pPr>
              <w:jc w:val="center"/>
              <w:rPr>
                <w:b/>
                <w:bCs/>
                <w:sz w:val="22"/>
                <w:szCs w:val="22"/>
              </w:rPr>
            </w:pPr>
            <w:r w:rsidRPr="00892248">
              <w:rPr>
                <w:b/>
                <w:bCs/>
                <w:sz w:val="22"/>
                <w:szCs w:val="22"/>
              </w:rPr>
              <w:t xml:space="preserve">        44 370 </w:t>
            </w:r>
          </w:p>
        </w:tc>
      </w:tr>
      <w:tr w:rsidR="00F07E05" w:rsidTr="008A253E">
        <w:trPr>
          <w:gridAfter w:val="1"/>
          <w:wAfter w:w="23" w:type="dxa"/>
          <w:trHeight w:val="945"/>
        </w:trPr>
        <w:tc>
          <w:tcPr>
            <w:tcW w:w="3119" w:type="dxa"/>
            <w:tcBorders>
              <w:top w:val="nil"/>
              <w:left w:val="single" w:sz="4" w:space="0" w:color="auto"/>
              <w:bottom w:val="single" w:sz="4" w:space="0" w:color="auto"/>
              <w:right w:val="single" w:sz="4" w:space="0" w:color="auto"/>
            </w:tcBorders>
            <w:shd w:val="clear" w:color="auto" w:fill="auto"/>
            <w:hideMark/>
          </w:tcPr>
          <w:p w:rsidR="00F07E05" w:rsidRPr="00892248" w:rsidRDefault="00F07E05" w:rsidP="008A253E">
            <w:pPr>
              <w:rPr>
                <w:sz w:val="22"/>
                <w:szCs w:val="22"/>
              </w:rPr>
            </w:pPr>
            <w:r w:rsidRPr="00892248">
              <w:rPr>
                <w:sz w:val="22"/>
                <w:szCs w:val="22"/>
              </w:rPr>
              <w:t xml:space="preserve">Прием комплексного экзамена (по практическим навыкам вождения, безопасной эксплуатации машин и </w:t>
            </w:r>
            <w:r w:rsidRPr="00892248">
              <w:rPr>
                <w:sz w:val="22"/>
                <w:szCs w:val="22"/>
              </w:rPr>
              <w:lastRenderedPageBreak/>
              <w:t>правилам дорожного движения) - практика</w:t>
            </w:r>
          </w:p>
        </w:tc>
        <w:tc>
          <w:tcPr>
            <w:tcW w:w="1323" w:type="dxa"/>
            <w:tcBorders>
              <w:top w:val="nil"/>
              <w:left w:val="nil"/>
              <w:bottom w:val="single" w:sz="4" w:space="0" w:color="auto"/>
              <w:right w:val="single" w:sz="4" w:space="0" w:color="auto"/>
            </w:tcBorders>
            <w:shd w:val="clear" w:color="auto" w:fill="auto"/>
            <w:noWrap/>
            <w:vAlign w:val="center"/>
            <w:hideMark/>
          </w:tcPr>
          <w:p w:rsidR="00F07E05" w:rsidRPr="00892248" w:rsidRDefault="00F07E05" w:rsidP="008A253E">
            <w:pPr>
              <w:jc w:val="center"/>
              <w:rPr>
                <w:sz w:val="22"/>
                <w:szCs w:val="22"/>
              </w:rPr>
            </w:pPr>
            <w:r w:rsidRPr="00892248">
              <w:rPr>
                <w:sz w:val="22"/>
                <w:szCs w:val="22"/>
              </w:rPr>
              <w:lastRenderedPageBreak/>
              <w:t xml:space="preserve">         150 </w:t>
            </w:r>
          </w:p>
        </w:tc>
        <w:tc>
          <w:tcPr>
            <w:tcW w:w="1371" w:type="dxa"/>
            <w:tcBorders>
              <w:top w:val="nil"/>
              <w:left w:val="nil"/>
              <w:bottom w:val="single" w:sz="4" w:space="0" w:color="auto"/>
              <w:right w:val="single" w:sz="4" w:space="0" w:color="auto"/>
            </w:tcBorders>
            <w:shd w:val="clear" w:color="auto" w:fill="auto"/>
            <w:vAlign w:val="center"/>
            <w:hideMark/>
          </w:tcPr>
          <w:p w:rsidR="00F07E05" w:rsidRPr="00892248" w:rsidRDefault="00F07E05" w:rsidP="008A253E">
            <w:pPr>
              <w:jc w:val="center"/>
              <w:rPr>
                <w:sz w:val="22"/>
                <w:szCs w:val="22"/>
              </w:rPr>
            </w:pPr>
            <w:r w:rsidRPr="00892248">
              <w:rPr>
                <w:sz w:val="22"/>
                <w:szCs w:val="22"/>
              </w:rPr>
              <w:t xml:space="preserve">        2 796 </w:t>
            </w:r>
          </w:p>
        </w:tc>
        <w:tc>
          <w:tcPr>
            <w:tcW w:w="1536" w:type="dxa"/>
            <w:tcBorders>
              <w:top w:val="nil"/>
              <w:left w:val="nil"/>
              <w:bottom w:val="single" w:sz="4" w:space="0" w:color="auto"/>
              <w:right w:val="single" w:sz="4" w:space="0" w:color="auto"/>
            </w:tcBorders>
            <w:shd w:val="clear" w:color="auto" w:fill="auto"/>
            <w:vAlign w:val="center"/>
            <w:hideMark/>
          </w:tcPr>
          <w:p w:rsidR="00F07E05" w:rsidRPr="00892248" w:rsidRDefault="00F07E05" w:rsidP="008A253E">
            <w:pPr>
              <w:jc w:val="center"/>
              <w:rPr>
                <w:b/>
                <w:bCs/>
                <w:sz w:val="22"/>
                <w:szCs w:val="22"/>
              </w:rPr>
            </w:pPr>
            <w:r w:rsidRPr="00892248">
              <w:rPr>
                <w:b/>
                <w:bCs/>
                <w:sz w:val="22"/>
                <w:szCs w:val="22"/>
              </w:rPr>
              <w:t xml:space="preserve">      419 400 </w:t>
            </w:r>
          </w:p>
        </w:tc>
        <w:tc>
          <w:tcPr>
            <w:tcW w:w="1323" w:type="dxa"/>
            <w:gridSpan w:val="2"/>
            <w:tcBorders>
              <w:top w:val="nil"/>
              <w:left w:val="nil"/>
              <w:bottom w:val="single" w:sz="4" w:space="0" w:color="auto"/>
              <w:right w:val="single" w:sz="4" w:space="0" w:color="auto"/>
            </w:tcBorders>
            <w:shd w:val="clear" w:color="auto" w:fill="auto"/>
            <w:noWrap/>
            <w:vAlign w:val="center"/>
            <w:hideMark/>
          </w:tcPr>
          <w:p w:rsidR="00F07E05" w:rsidRPr="00892248" w:rsidRDefault="00F07E05" w:rsidP="008A253E">
            <w:pPr>
              <w:jc w:val="center"/>
              <w:rPr>
                <w:sz w:val="22"/>
                <w:szCs w:val="22"/>
              </w:rPr>
            </w:pPr>
            <w:r w:rsidRPr="00892248">
              <w:rPr>
                <w:sz w:val="22"/>
                <w:szCs w:val="22"/>
              </w:rPr>
              <w:t xml:space="preserve">         150 </w:t>
            </w:r>
          </w:p>
        </w:tc>
        <w:tc>
          <w:tcPr>
            <w:tcW w:w="1251" w:type="dxa"/>
            <w:tcBorders>
              <w:top w:val="nil"/>
              <w:left w:val="nil"/>
              <w:bottom w:val="single" w:sz="4" w:space="0" w:color="auto"/>
              <w:right w:val="single" w:sz="4" w:space="0" w:color="auto"/>
            </w:tcBorders>
            <w:shd w:val="clear" w:color="auto" w:fill="auto"/>
            <w:vAlign w:val="center"/>
            <w:hideMark/>
          </w:tcPr>
          <w:p w:rsidR="00F07E05" w:rsidRPr="00892248" w:rsidRDefault="00F07E05" w:rsidP="008A253E">
            <w:pPr>
              <w:jc w:val="center"/>
              <w:rPr>
                <w:sz w:val="22"/>
                <w:szCs w:val="22"/>
              </w:rPr>
            </w:pPr>
            <w:r w:rsidRPr="00892248">
              <w:rPr>
                <w:sz w:val="22"/>
                <w:szCs w:val="22"/>
              </w:rPr>
              <w:t xml:space="preserve">     2 823 </w:t>
            </w:r>
          </w:p>
        </w:tc>
        <w:tc>
          <w:tcPr>
            <w:tcW w:w="1536" w:type="dxa"/>
            <w:tcBorders>
              <w:top w:val="nil"/>
              <w:left w:val="nil"/>
              <w:bottom w:val="single" w:sz="4" w:space="0" w:color="auto"/>
              <w:right w:val="single" w:sz="4" w:space="0" w:color="auto"/>
            </w:tcBorders>
            <w:shd w:val="clear" w:color="auto" w:fill="auto"/>
            <w:vAlign w:val="center"/>
            <w:hideMark/>
          </w:tcPr>
          <w:p w:rsidR="00F07E05" w:rsidRPr="00892248" w:rsidRDefault="00F07E05" w:rsidP="008A253E">
            <w:pPr>
              <w:jc w:val="center"/>
              <w:rPr>
                <w:b/>
                <w:bCs/>
                <w:sz w:val="22"/>
                <w:szCs w:val="22"/>
              </w:rPr>
            </w:pPr>
            <w:r w:rsidRPr="00892248">
              <w:rPr>
                <w:b/>
                <w:bCs/>
                <w:sz w:val="22"/>
                <w:szCs w:val="22"/>
              </w:rPr>
              <w:t xml:space="preserve">      423 450 </w:t>
            </w:r>
          </w:p>
        </w:tc>
        <w:tc>
          <w:tcPr>
            <w:tcW w:w="1323" w:type="dxa"/>
            <w:gridSpan w:val="2"/>
            <w:tcBorders>
              <w:top w:val="nil"/>
              <w:left w:val="nil"/>
              <w:bottom w:val="single" w:sz="4" w:space="0" w:color="auto"/>
              <w:right w:val="single" w:sz="4" w:space="0" w:color="auto"/>
            </w:tcBorders>
            <w:shd w:val="clear" w:color="auto" w:fill="auto"/>
            <w:noWrap/>
            <w:vAlign w:val="center"/>
            <w:hideMark/>
          </w:tcPr>
          <w:p w:rsidR="00F07E05" w:rsidRPr="00892248" w:rsidRDefault="00F07E05" w:rsidP="008A253E">
            <w:pPr>
              <w:jc w:val="center"/>
              <w:rPr>
                <w:sz w:val="22"/>
                <w:szCs w:val="22"/>
              </w:rPr>
            </w:pPr>
            <w:r w:rsidRPr="00892248">
              <w:rPr>
                <w:sz w:val="22"/>
                <w:szCs w:val="22"/>
              </w:rPr>
              <w:t xml:space="preserve">         150 </w:t>
            </w:r>
          </w:p>
        </w:tc>
        <w:tc>
          <w:tcPr>
            <w:tcW w:w="1394" w:type="dxa"/>
            <w:tcBorders>
              <w:top w:val="nil"/>
              <w:left w:val="nil"/>
              <w:bottom w:val="single" w:sz="4" w:space="0" w:color="auto"/>
              <w:right w:val="single" w:sz="4" w:space="0" w:color="auto"/>
            </w:tcBorders>
            <w:shd w:val="clear" w:color="auto" w:fill="auto"/>
            <w:vAlign w:val="center"/>
            <w:hideMark/>
          </w:tcPr>
          <w:p w:rsidR="00F07E05" w:rsidRPr="00892248" w:rsidRDefault="00F07E05" w:rsidP="008A253E">
            <w:pPr>
              <w:jc w:val="center"/>
              <w:rPr>
                <w:sz w:val="22"/>
                <w:szCs w:val="22"/>
              </w:rPr>
            </w:pPr>
            <w:r w:rsidRPr="00892248">
              <w:rPr>
                <w:sz w:val="22"/>
                <w:szCs w:val="22"/>
              </w:rPr>
              <w:t xml:space="preserve">      2 852 </w:t>
            </w:r>
          </w:p>
        </w:tc>
        <w:tc>
          <w:tcPr>
            <w:tcW w:w="1536" w:type="dxa"/>
            <w:tcBorders>
              <w:top w:val="nil"/>
              <w:left w:val="nil"/>
              <w:bottom w:val="single" w:sz="4" w:space="0" w:color="auto"/>
              <w:right w:val="single" w:sz="4" w:space="0" w:color="auto"/>
            </w:tcBorders>
            <w:shd w:val="clear" w:color="auto" w:fill="auto"/>
            <w:vAlign w:val="center"/>
            <w:hideMark/>
          </w:tcPr>
          <w:p w:rsidR="00F07E05" w:rsidRPr="00892248" w:rsidRDefault="00F07E05" w:rsidP="008A253E">
            <w:pPr>
              <w:jc w:val="center"/>
              <w:rPr>
                <w:b/>
                <w:bCs/>
                <w:sz w:val="22"/>
                <w:szCs w:val="22"/>
              </w:rPr>
            </w:pPr>
            <w:r w:rsidRPr="00892248">
              <w:rPr>
                <w:b/>
                <w:bCs/>
                <w:sz w:val="22"/>
                <w:szCs w:val="22"/>
              </w:rPr>
              <w:t xml:space="preserve">      427 800 </w:t>
            </w:r>
          </w:p>
        </w:tc>
      </w:tr>
      <w:tr w:rsidR="00F07E05" w:rsidTr="008A253E">
        <w:trPr>
          <w:gridAfter w:val="1"/>
          <w:wAfter w:w="23" w:type="dxa"/>
          <w:trHeight w:val="945"/>
        </w:trPr>
        <w:tc>
          <w:tcPr>
            <w:tcW w:w="3119" w:type="dxa"/>
            <w:tcBorders>
              <w:top w:val="nil"/>
              <w:left w:val="single" w:sz="4" w:space="0" w:color="auto"/>
              <w:bottom w:val="single" w:sz="4" w:space="0" w:color="auto"/>
              <w:right w:val="single" w:sz="4" w:space="0" w:color="auto"/>
            </w:tcBorders>
            <w:shd w:val="clear" w:color="000000" w:fill="FFFFFF"/>
            <w:hideMark/>
          </w:tcPr>
          <w:p w:rsidR="00F07E05" w:rsidRPr="00892248" w:rsidRDefault="00F07E05" w:rsidP="008A253E">
            <w:pPr>
              <w:rPr>
                <w:sz w:val="22"/>
                <w:szCs w:val="22"/>
              </w:rPr>
            </w:pPr>
            <w:r w:rsidRPr="00892248">
              <w:rPr>
                <w:sz w:val="22"/>
                <w:szCs w:val="22"/>
              </w:rPr>
              <w:t>Оценка технического состояния и определение остаточного ресурса тракторов и смонтированного на них оборудования</w:t>
            </w:r>
          </w:p>
        </w:tc>
        <w:tc>
          <w:tcPr>
            <w:tcW w:w="1323" w:type="dxa"/>
            <w:tcBorders>
              <w:top w:val="nil"/>
              <w:left w:val="nil"/>
              <w:bottom w:val="single" w:sz="4" w:space="0" w:color="auto"/>
              <w:right w:val="single" w:sz="4" w:space="0" w:color="auto"/>
            </w:tcBorders>
            <w:shd w:val="clear" w:color="auto" w:fill="auto"/>
            <w:noWrap/>
            <w:vAlign w:val="center"/>
            <w:hideMark/>
          </w:tcPr>
          <w:p w:rsidR="00F07E05" w:rsidRPr="00892248" w:rsidRDefault="00F07E05" w:rsidP="008A253E">
            <w:pPr>
              <w:jc w:val="center"/>
              <w:rPr>
                <w:sz w:val="22"/>
                <w:szCs w:val="22"/>
              </w:rPr>
            </w:pPr>
            <w:r w:rsidRPr="00892248">
              <w:rPr>
                <w:sz w:val="22"/>
                <w:szCs w:val="22"/>
              </w:rPr>
              <w:t xml:space="preserve">         835 </w:t>
            </w:r>
          </w:p>
        </w:tc>
        <w:tc>
          <w:tcPr>
            <w:tcW w:w="1371" w:type="dxa"/>
            <w:tcBorders>
              <w:top w:val="nil"/>
              <w:left w:val="nil"/>
              <w:bottom w:val="single" w:sz="4" w:space="0" w:color="auto"/>
              <w:right w:val="single" w:sz="4" w:space="0" w:color="auto"/>
            </w:tcBorders>
            <w:shd w:val="clear" w:color="auto" w:fill="auto"/>
            <w:vAlign w:val="center"/>
            <w:hideMark/>
          </w:tcPr>
          <w:p w:rsidR="00F07E05" w:rsidRPr="00892248" w:rsidRDefault="00F07E05" w:rsidP="008A253E">
            <w:pPr>
              <w:jc w:val="center"/>
              <w:rPr>
                <w:sz w:val="22"/>
                <w:szCs w:val="22"/>
              </w:rPr>
            </w:pPr>
            <w:r w:rsidRPr="00892248">
              <w:rPr>
                <w:sz w:val="22"/>
                <w:szCs w:val="22"/>
              </w:rPr>
              <w:t xml:space="preserve">             12 </w:t>
            </w:r>
          </w:p>
        </w:tc>
        <w:tc>
          <w:tcPr>
            <w:tcW w:w="1536" w:type="dxa"/>
            <w:tcBorders>
              <w:top w:val="nil"/>
              <w:left w:val="nil"/>
              <w:bottom w:val="single" w:sz="4" w:space="0" w:color="auto"/>
              <w:right w:val="single" w:sz="4" w:space="0" w:color="auto"/>
            </w:tcBorders>
            <w:shd w:val="clear" w:color="auto" w:fill="auto"/>
            <w:vAlign w:val="center"/>
            <w:hideMark/>
          </w:tcPr>
          <w:p w:rsidR="00F07E05" w:rsidRPr="00892248" w:rsidRDefault="00F07E05" w:rsidP="008A253E">
            <w:pPr>
              <w:jc w:val="center"/>
              <w:rPr>
                <w:b/>
                <w:bCs/>
                <w:sz w:val="22"/>
                <w:szCs w:val="22"/>
              </w:rPr>
            </w:pPr>
            <w:r w:rsidRPr="00892248">
              <w:rPr>
                <w:b/>
                <w:bCs/>
                <w:sz w:val="22"/>
                <w:szCs w:val="22"/>
              </w:rPr>
              <w:t xml:space="preserve">        10 020 </w:t>
            </w:r>
          </w:p>
        </w:tc>
        <w:tc>
          <w:tcPr>
            <w:tcW w:w="1323" w:type="dxa"/>
            <w:gridSpan w:val="2"/>
            <w:tcBorders>
              <w:top w:val="nil"/>
              <w:left w:val="nil"/>
              <w:bottom w:val="single" w:sz="4" w:space="0" w:color="auto"/>
              <w:right w:val="single" w:sz="4" w:space="0" w:color="auto"/>
            </w:tcBorders>
            <w:shd w:val="clear" w:color="auto" w:fill="auto"/>
            <w:noWrap/>
            <w:vAlign w:val="center"/>
            <w:hideMark/>
          </w:tcPr>
          <w:p w:rsidR="00F07E05" w:rsidRPr="00892248" w:rsidRDefault="00F07E05" w:rsidP="008A253E">
            <w:pPr>
              <w:jc w:val="center"/>
              <w:rPr>
                <w:sz w:val="22"/>
                <w:szCs w:val="22"/>
              </w:rPr>
            </w:pPr>
            <w:r w:rsidRPr="00892248">
              <w:rPr>
                <w:sz w:val="22"/>
                <w:szCs w:val="22"/>
              </w:rPr>
              <w:t xml:space="preserve">         835 </w:t>
            </w:r>
          </w:p>
        </w:tc>
        <w:tc>
          <w:tcPr>
            <w:tcW w:w="1251" w:type="dxa"/>
            <w:tcBorders>
              <w:top w:val="nil"/>
              <w:left w:val="nil"/>
              <w:bottom w:val="single" w:sz="4" w:space="0" w:color="auto"/>
              <w:right w:val="single" w:sz="4" w:space="0" w:color="auto"/>
            </w:tcBorders>
            <w:shd w:val="clear" w:color="auto" w:fill="auto"/>
            <w:vAlign w:val="center"/>
            <w:hideMark/>
          </w:tcPr>
          <w:p w:rsidR="00F07E05" w:rsidRPr="00892248" w:rsidRDefault="00F07E05" w:rsidP="008A253E">
            <w:pPr>
              <w:jc w:val="center"/>
              <w:rPr>
                <w:sz w:val="22"/>
                <w:szCs w:val="22"/>
              </w:rPr>
            </w:pPr>
            <w:r w:rsidRPr="00892248">
              <w:rPr>
                <w:sz w:val="22"/>
                <w:szCs w:val="22"/>
              </w:rPr>
              <w:t xml:space="preserve">          12 </w:t>
            </w:r>
          </w:p>
        </w:tc>
        <w:tc>
          <w:tcPr>
            <w:tcW w:w="1536" w:type="dxa"/>
            <w:tcBorders>
              <w:top w:val="nil"/>
              <w:left w:val="nil"/>
              <w:bottom w:val="single" w:sz="4" w:space="0" w:color="auto"/>
              <w:right w:val="single" w:sz="4" w:space="0" w:color="auto"/>
            </w:tcBorders>
            <w:shd w:val="clear" w:color="auto" w:fill="auto"/>
            <w:vAlign w:val="center"/>
            <w:hideMark/>
          </w:tcPr>
          <w:p w:rsidR="00F07E05" w:rsidRPr="00892248" w:rsidRDefault="00F07E05" w:rsidP="008A253E">
            <w:pPr>
              <w:jc w:val="center"/>
              <w:rPr>
                <w:b/>
                <w:bCs/>
                <w:sz w:val="22"/>
                <w:szCs w:val="22"/>
              </w:rPr>
            </w:pPr>
            <w:r w:rsidRPr="00892248">
              <w:rPr>
                <w:b/>
                <w:bCs/>
                <w:sz w:val="22"/>
                <w:szCs w:val="22"/>
              </w:rPr>
              <w:t xml:space="preserve">        10 020 </w:t>
            </w:r>
          </w:p>
        </w:tc>
        <w:tc>
          <w:tcPr>
            <w:tcW w:w="1323" w:type="dxa"/>
            <w:gridSpan w:val="2"/>
            <w:tcBorders>
              <w:top w:val="nil"/>
              <w:left w:val="nil"/>
              <w:bottom w:val="single" w:sz="4" w:space="0" w:color="auto"/>
              <w:right w:val="single" w:sz="4" w:space="0" w:color="auto"/>
            </w:tcBorders>
            <w:shd w:val="clear" w:color="auto" w:fill="auto"/>
            <w:noWrap/>
            <w:vAlign w:val="center"/>
            <w:hideMark/>
          </w:tcPr>
          <w:p w:rsidR="00F07E05" w:rsidRPr="00892248" w:rsidRDefault="00F07E05" w:rsidP="008A253E">
            <w:pPr>
              <w:jc w:val="center"/>
              <w:rPr>
                <w:sz w:val="22"/>
                <w:szCs w:val="22"/>
              </w:rPr>
            </w:pPr>
            <w:r w:rsidRPr="00892248">
              <w:rPr>
                <w:sz w:val="22"/>
                <w:szCs w:val="22"/>
              </w:rPr>
              <w:t xml:space="preserve">         835 </w:t>
            </w:r>
          </w:p>
        </w:tc>
        <w:tc>
          <w:tcPr>
            <w:tcW w:w="1394" w:type="dxa"/>
            <w:tcBorders>
              <w:top w:val="nil"/>
              <w:left w:val="nil"/>
              <w:bottom w:val="single" w:sz="4" w:space="0" w:color="auto"/>
              <w:right w:val="single" w:sz="4" w:space="0" w:color="auto"/>
            </w:tcBorders>
            <w:shd w:val="clear" w:color="auto" w:fill="auto"/>
            <w:vAlign w:val="center"/>
            <w:hideMark/>
          </w:tcPr>
          <w:p w:rsidR="00F07E05" w:rsidRPr="00892248" w:rsidRDefault="00F07E05" w:rsidP="008A253E">
            <w:pPr>
              <w:jc w:val="center"/>
              <w:rPr>
                <w:sz w:val="22"/>
                <w:szCs w:val="22"/>
              </w:rPr>
            </w:pPr>
            <w:r w:rsidRPr="00892248">
              <w:rPr>
                <w:sz w:val="22"/>
                <w:szCs w:val="22"/>
              </w:rPr>
              <w:t xml:space="preserve">           12 </w:t>
            </w:r>
          </w:p>
        </w:tc>
        <w:tc>
          <w:tcPr>
            <w:tcW w:w="1536" w:type="dxa"/>
            <w:tcBorders>
              <w:top w:val="nil"/>
              <w:left w:val="nil"/>
              <w:bottom w:val="single" w:sz="4" w:space="0" w:color="auto"/>
              <w:right w:val="single" w:sz="4" w:space="0" w:color="auto"/>
            </w:tcBorders>
            <w:shd w:val="clear" w:color="auto" w:fill="auto"/>
            <w:vAlign w:val="center"/>
            <w:hideMark/>
          </w:tcPr>
          <w:p w:rsidR="00F07E05" w:rsidRPr="00892248" w:rsidRDefault="00F07E05" w:rsidP="008A253E">
            <w:pPr>
              <w:jc w:val="center"/>
              <w:rPr>
                <w:b/>
                <w:bCs/>
                <w:sz w:val="22"/>
                <w:szCs w:val="22"/>
              </w:rPr>
            </w:pPr>
            <w:r w:rsidRPr="00892248">
              <w:rPr>
                <w:b/>
                <w:bCs/>
                <w:sz w:val="22"/>
                <w:szCs w:val="22"/>
              </w:rPr>
              <w:t xml:space="preserve">        10 020 </w:t>
            </w:r>
          </w:p>
        </w:tc>
      </w:tr>
      <w:tr w:rsidR="00F07E05" w:rsidTr="008A253E">
        <w:trPr>
          <w:gridAfter w:val="1"/>
          <w:wAfter w:w="23" w:type="dxa"/>
          <w:trHeight w:val="945"/>
        </w:trPr>
        <w:tc>
          <w:tcPr>
            <w:tcW w:w="3119" w:type="dxa"/>
            <w:tcBorders>
              <w:top w:val="nil"/>
              <w:left w:val="single" w:sz="4" w:space="0" w:color="auto"/>
              <w:bottom w:val="single" w:sz="4" w:space="0" w:color="auto"/>
              <w:right w:val="single" w:sz="4" w:space="0" w:color="auto"/>
            </w:tcBorders>
            <w:shd w:val="clear" w:color="auto" w:fill="auto"/>
            <w:hideMark/>
          </w:tcPr>
          <w:p w:rsidR="00F07E05" w:rsidRPr="00892248" w:rsidRDefault="00F07E05" w:rsidP="008A253E">
            <w:pPr>
              <w:rPr>
                <w:sz w:val="22"/>
                <w:szCs w:val="22"/>
              </w:rPr>
            </w:pPr>
            <w:r w:rsidRPr="00892248">
              <w:rPr>
                <w:sz w:val="22"/>
                <w:szCs w:val="22"/>
              </w:rPr>
              <w:t>Оценка технического состояния и определение остаточного ресурса самоходных сельскохозяйственных машин</w:t>
            </w:r>
          </w:p>
        </w:tc>
        <w:tc>
          <w:tcPr>
            <w:tcW w:w="1323" w:type="dxa"/>
            <w:tcBorders>
              <w:top w:val="nil"/>
              <w:left w:val="nil"/>
              <w:bottom w:val="single" w:sz="4" w:space="0" w:color="auto"/>
              <w:right w:val="single" w:sz="4" w:space="0" w:color="auto"/>
            </w:tcBorders>
            <w:shd w:val="clear" w:color="auto" w:fill="auto"/>
            <w:noWrap/>
            <w:vAlign w:val="center"/>
            <w:hideMark/>
          </w:tcPr>
          <w:p w:rsidR="00F07E05" w:rsidRPr="00892248" w:rsidRDefault="00F07E05" w:rsidP="008A253E">
            <w:pPr>
              <w:jc w:val="center"/>
              <w:rPr>
                <w:sz w:val="22"/>
                <w:szCs w:val="22"/>
              </w:rPr>
            </w:pPr>
            <w:r w:rsidRPr="00892248">
              <w:rPr>
                <w:sz w:val="22"/>
                <w:szCs w:val="22"/>
              </w:rPr>
              <w:t xml:space="preserve">         635 </w:t>
            </w:r>
          </w:p>
        </w:tc>
        <w:tc>
          <w:tcPr>
            <w:tcW w:w="1371" w:type="dxa"/>
            <w:tcBorders>
              <w:top w:val="nil"/>
              <w:left w:val="nil"/>
              <w:bottom w:val="single" w:sz="4" w:space="0" w:color="auto"/>
              <w:right w:val="single" w:sz="4" w:space="0" w:color="auto"/>
            </w:tcBorders>
            <w:shd w:val="clear" w:color="auto" w:fill="auto"/>
            <w:vAlign w:val="center"/>
            <w:hideMark/>
          </w:tcPr>
          <w:p w:rsidR="00F07E05" w:rsidRPr="00892248" w:rsidRDefault="00F07E05" w:rsidP="008A253E">
            <w:pPr>
              <w:jc w:val="center"/>
              <w:rPr>
                <w:sz w:val="22"/>
                <w:szCs w:val="22"/>
              </w:rPr>
            </w:pPr>
            <w:r w:rsidRPr="00892248">
              <w:rPr>
                <w:sz w:val="22"/>
                <w:szCs w:val="22"/>
              </w:rPr>
              <w:t xml:space="preserve">             14 </w:t>
            </w:r>
          </w:p>
        </w:tc>
        <w:tc>
          <w:tcPr>
            <w:tcW w:w="1536" w:type="dxa"/>
            <w:tcBorders>
              <w:top w:val="nil"/>
              <w:left w:val="nil"/>
              <w:bottom w:val="single" w:sz="4" w:space="0" w:color="auto"/>
              <w:right w:val="single" w:sz="4" w:space="0" w:color="auto"/>
            </w:tcBorders>
            <w:shd w:val="clear" w:color="auto" w:fill="auto"/>
            <w:vAlign w:val="center"/>
            <w:hideMark/>
          </w:tcPr>
          <w:p w:rsidR="00F07E05" w:rsidRPr="00892248" w:rsidRDefault="00F07E05" w:rsidP="008A253E">
            <w:pPr>
              <w:jc w:val="center"/>
              <w:rPr>
                <w:b/>
                <w:bCs/>
                <w:sz w:val="22"/>
                <w:szCs w:val="22"/>
              </w:rPr>
            </w:pPr>
            <w:r w:rsidRPr="00892248">
              <w:rPr>
                <w:b/>
                <w:bCs/>
                <w:sz w:val="22"/>
                <w:szCs w:val="22"/>
              </w:rPr>
              <w:t xml:space="preserve">          8 890 </w:t>
            </w:r>
          </w:p>
        </w:tc>
        <w:tc>
          <w:tcPr>
            <w:tcW w:w="1323" w:type="dxa"/>
            <w:gridSpan w:val="2"/>
            <w:tcBorders>
              <w:top w:val="nil"/>
              <w:left w:val="nil"/>
              <w:bottom w:val="single" w:sz="4" w:space="0" w:color="auto"/>
              <w:right w:val="single" w:sz="4" w:space="0" w:color="auto"/>
            </w:tcBorders>
            <w:shd w:val="clear" w:color="auto" w:fill="auto"/>
            <w:noWrap/>
            <w:vAlign w:val="center"/>
            <w:hideMark/>
          </w:tcPr>
          <w:p w:rsidR="00F07E05" w:rsidRPr="00892248" w:rsidRDefault="00F07E05" w:rsidP="008A253E">
            <w:pPr>
              <w:jc w:val="center"/>
              <w:rPr>
                <w:sz w:val="22"/>
                <w:szCs w:val="22"/>
              </w:rPr>
            </w:pPr>
            <w:r w:rsidRPr="00892248">
              <w:rPr>
                <w:sz w:val="22"/>
                <w:szCs w:val="22"/>
              </w:rPr>
              <w:t xml:space="preserve">         635 </w:t>
            </w:r>
          </w:p>
        </w:tc>
        <w:tc>
          <w:tcPr>
            <w:tcW w:w="1251" w:type="dxa"/>
            <w:tcBorders>
              <w:top w:val="nil"/>
              <w:left w:val="nil"/>
              <w:bottom w:val="single" w:sz="4" w:space="0" w:color="auto"/>
              <w:right w:val="single" w:sz="4" w:space="0" w:color="auto"/>
            </w:tcBorders>
            <w:shd w:val="clear" w:color="auto" w:fill="auto"/>
            <w:vAlign w:val="center"/>
            <w:hideMark/>
          </w:tcPr>
          <w:p w:rsidR="00F07E05" w:rsidRPr="00892248" w:rsidRDefault="00F07E05" w:rsidP="008A253E">
            <w:pPr>
              <w:jc w:val="center"/>
              <w:rPr>
                <w:sz w:val="22"/>
                <w:szCs w:val="22"/>
              </w:rPr>
            </w:pPr>
            <w:r w:rsidRPr="00892248">
              <w:rPr>
                <w:sz w:val="22"/>
                <w:szCs w:val="22"/>
              </w:rPr>
              <w:t xml:space="preserve">          14 </w:t>
            </w:r>
          </w:p>
        </w:tc>
        <w:tc>
          <w:tcPr>
            <w:tcW w:w="1536" w:type="dxa"/>
            <w:tcBorders>
              <w:top w:val="nil"/>
              <w:left w:val="nil"/>
              <w:bottom w:val="single" w:sz="4" w:space="0" w:color="auto"/>
              <w:right w:val="single" w:sz="4" w:space="0" w:color="auto"/>
            </w:tcBorders>
            <w:shd w:val="clear" w:color="auto" w:fill="auto"/>
            <w:vAlign w:val="center"/>
            <w:hideMark/>
          </w:tcPr>
          <w:p w:rsidR="00F07E05" w:rsidRPr="00892248" w:rsidRDefault="00F07E05" w:rsidP="008A253E">
            <w:pPr>
              <w:jc w:val="center"/>
              <w:rPr>
                <w:b/>
                <w:bCs/>
                <w:sz w:val="22"/>
                <w:szCs w:val="22"/>
              </w:rPr>
            </w:pPr>
            <w:r w:rsidRPr="00892248">
              <w:rPr>
                <w:b/>
                <w:bCs/>
                <w:sz w:val="22"/>
                <w:szCs w:val="22"/>
              </w:rPr>
              <w:t xml:space="preserve">          8 890 </w:t>
            </w:r>
          </w:p>
        </w:tc>
        <w:tc>
          <w:tcPr>
            <w:tcW w:w="1323" w:type="dxa"/>
            <w:gridSpan w:val="2"/>
            <w:tcBorders>
              <w:top w:val="nil"/>
              <w:left w:val="nil"/>
              <w:bottom w:val="single" w:sz="4" w:space="0" w:color="auto"/>
              <w:right w:val="single" w:sz="4" w:space="0" w:color="auto"/>
            </w:tcBorders>
            <w:shd w:val="clear" w:color="auto" w:fill="auto"/>
            <w:noWrap/>
            <w:vAlign w:val="center"/>
            <w:hideMark/>
          </w:tcPr>
          <w:p w:rsidR="00F07E05" w:rsidRPr="00892248" w:rsidRDefault="00F07E05" w:rsidP="008A253E">
            <w:pPr>
              <w:jc w:val="center"/>
              <w:rPr>
                <w:sz w:val="22"/>
                <w:szCs w:val="22"/>
              </w:rPr>
            </w:pPr>
            <w:r w:rsidRPr="00892248">
              <w:rPr>
                <w:sz w:val="22"/>
                <w:szCs w:val="22"/>
              </w:rPr>
              <w:t xml:space="preserve">         635 </w:t>
            </w:r>
          </w:p>
        </w:tc>
        <w:tc>
          <w:tcPr>
            <w:tcW w:w="1394" w:type="dxa"/>
            <w:tcBorders>
              <w:top w:val="nil"/>
              <w:left w:val="nil"/>
              <w:bottom w:val="single" w:sz="4" w:space="0" w:color="auto"/>
              <w:right w:val="single" w:sz="4" w:space="0" w:color="auto"/>
            </w:tcBorders>
            <w:shd w:val="clear" w:color="auto" w:fill="auto"/>
            <w:vAlign w:val="center"/>
            <w:hideMark/>
          </w:tcPr>
          <w:p w:rsidR="00F07E05" w:rsidRPr="00892248" w:rsidRDefault="00F07E05" w:rsidP="008A253E">
            <w:pPr>
              <w:jc w:val="center"/>
              <w:rPr>
                <w:sz w:val="22"/>
                <w:szCs w:val="22"/>
              </w:rPr>
            </w:pPr>
            <w:r w:rsidRPr="00892248">
              <w:rPr>
                <w:sz w:val="22"/>
                <w:szCs w:val="22"/>
              </w:rPr>
              <w:t xml:space="preserve">           14 </w:t>
            </w:r>
          </w:p>
        </w:tc>
        <w:tc>
          <w:tcPr>
            <w:tcW w:w="1536" w:type="dxa"/>
            <w:tcBorders>
              <w:top w:val="nil"/>
              <w:left w:val="nil"/>
              <w:bottom w:val="single" w:sz="4" w:space="0" w:color="auto"/>
              <w:right w:val="single" w:sz="4" w:space="0" w:color="auto"/>
            </w:tcBorders>
            <w:shd w:val="clear" w:color="auto" w:fill="auto"/>
            <w:vAlign w:val="center"/>
            <w:hideMark/>
          </w:tcPr>
          <w:p w:rsidR="00F07E05" w:rsidRPr="00892248" w:rsidRDefault="00F07E05" w:rsidP="008A253E">
            <w:pPr>
              <w:jc w:val="center"/>
              <w:rPr>
                <w:b/>
                <w:bCs/>
                <w:sz w:val="22"/>
                <w:szCs w:val="22"/>
              </w:rPr>
            </w:pPr>
            <w:r w:rsidRPr="00892248">
              <w:rPr>
                <w:b/>
                <w:bCs/>
                <w:sz w:val="22"/>
                <w:szCs w:val="22"/>
              </w:rPr>
              <w:t xml:space="preserve">          8 890 </w:t>
            </w:r>
          </w:p>
        </w:tc>
      </w:tr>
      <w:tr w:rsidR="00F07E05" w:rsidTr="008A253E">
        <w:trPr>
          <w:gridAfter w:val="1"/>
          <w:wAfter w:w="23" w:type="dxa"/>
          <w:trHeight w:val="945"/>
        </w:trPr>
        <w:tc>
          <w:tcPr>
            <w:tcW w:w="3119" w:type="dxa"/>
            <w:tcBorders>
              <w:top w:val="nil"/>
              <w:left w:val="single" w:sz="4" w:space="0" w:color="auto"/>
              <w:bottom w:val="single" w:sz="4" w:space="0" w:color="auto"/>
              <w:right w:val="single" w:sz="4" w:space="0" w:color="auto"/>
            </w:tcBorders>
            <w:shd w:val="clear" w:color="auto" w:fill="auto"/>
            <w:hideMark/>
          </w:tcPr>
          <w:p w:rsidR="00F07E05" w:rsidRPr="00892248" w:rsidRDefault="00F07E05" w:rsidP="008A253E">
            <w:pPr>
              <w:rPr>
                <w:sz w:val="22"/>
                <w:szCs w:val="22"/>
              </w:rPr>
            </w:pPr>
            <w:r w:rsidRPr="00892248">
              <w:rPr>
                <w:sz w:val="22"/>
                <w:szCs w:val="22"/>
              </w:rPr>
              <w:t>Оценка технического состояния и определение остаточного ресурса самоходных дорожно-строительных и мелиоративных машин</w:t>
            </w:r>
          </w:p>
        </w:tc>
        <w:tc>
          <w:tcPr>
            <w:tcW w:w="1323" w:type="dxa"/>
            <w:tcBorders>
              <w:top w:val="nil"/>
              <w:left w:val="nil"/>
              <w:bottom w:val="single" w:sz="4" w:space="0" w:color="auto"/>
              <w:right w:val="single" w:sz="4" w:space="0" w:color="auto"/>
            </w:tcBorders>
            <w:shd w:val="clear" w:color="auto" w:fill="auto"/>
            <w:noWrap/>
            <w:vAlign w:val="center"/>
            <w:hideMark/>
          </w:tcPr>
          <w:p w:rsidR="00F07E05" w:rsidRPr="00892248" w:rsidRDefault="00F07E05" w:rsidP="008A253E">
            <w:pPr>
              <w:jc w:val="center"/>
              <w:rPr>
                <w:sz w:val="22"/>
                <w:szCs w:val="22"/>
              </w:rPr>
            </w:pPr>
            <w:r w:rsidRPr="00892248">
              <w:rPr>
                <w:sz w:val="22"/>
                <w:szCs w:val="22"/>
              </w:rPr>
              <w:t xml:space="preserve">         635 </w:t>
            </w:r>
          </w:p>
        </w:tc>
        <w:tc>
          <w:tcPr>
            <w:tcW w:w="1371" w:type="dxa"/>
            <w:tcBorders>
              <w:top w:val="nil"/>
              <w:left w:val="nil"/>
              <w:bottom w:val="single" w:sz="4" w:space="0" w:color="auto"/>
              <w:right w:val="single" w:sz="4" w:space="0" w:color="auto"/>
            </w:tcBorders>
            <w:shd w:val="clear" w:color="auto" w:fill="auto"/>
            <w:vAlign w:val="center"/>
            <w:hideMark/>
          </w:tcPr>
          <w:p w:rsidR="00F07E05" w:rsidRPr="00892248" w:rsidRDefault="00F07E05" w:rsidP="008A253E">
            <w:pPr>
              <w:jc w:val="center"/>
              <w:rPr>
                <w:sz w:val="22"/>
                <w:szCs w:val="22"/>
              </w:rPr>
            </w:pPr>
            <w:r w:rsidRPr="00892248">
              <w:rPr>
                <w:sz w:val="22"/>
                <w:szCs w:val="22"/>
              </w:rPr>
              <w:t xml:space="preserve">             26 </w:t>
            </w:r>
          </w:p>
        </w:tc>
        <w:tc>
          <w:tcPr>
            <w:tcW w:w="1536" w:type="dxa"/>
            <w:tcBorders>
              <w:top w:val="nil"/>
              <w:left w:val="nil"/>
              <w:bottom w:val="single" w:sz="4" w:space="0" w:color="auto"/>
              <w:right w:val="single" w:sz="4" w:space="0" w:color="auto"/>
            </w:tcBorders>
            <w:shd w:val="clear" w:color="auto" w:fill="auto"/>
            <w:vAlign w:val="center"/>
            <w:hideMark/>
          </w:tcPr>
          <w:p w:rsidR="00F07E05" w:rsidRPr="00892248" w:rsidRDefault="00F07E05" w:rsidP="008A253E">
            <w:pPr>
              <w:jc w:val="center"/>
              <w:rPr>
                <w:b/>
                <w:bCs/>
                <w:sz w:val="22"/>
                <w:szCs w:val="22"/>
              </w:rPr>
            </w:pPr>
            <w:r w:rsidRPr="00892248">
              <w:rPr>
                <w:b/>
                <w:bCs/>
                <w:sz w:val="22"/>
                <w:szCs w:val="22"/>
              </w:rPr>
              <w:t xml:space="preserve">        16 510 </w:t>
            </w:r>
          </w:p>
        </w:tc>
        <w:tc>
          <w:tcPr>
            <w:tcW w:w="1323" w:type="dxa"/>
            <w:gridSpan w:val="2"/>
            <w:tcBorders>
              <w:top w:val="nil"/>
              <w:left w:val="nil"/>
              <w:bottom w:val="single" w:sz="4" w:space="0" w:color="auto"/>
              <w:right w:val="single" w:sz="4" w:space="0" w:color="auto"/>
            </w:tcBorders>
            <w:shd w:val="clear" w:color="auto" w:fill="auto"/>
            <w:noWrap/>
            <w:vAlign w:val="center"/>
            <w:hideMark/>
          </w:tcPr>
          <w:p w:rsidR="00F07E05" w:rsidRPr="00892248" w:rsidRDefault="00F07E05" w:rsidP="008A253E">
            <w:pPr>
              <w:jc w:val="center"/>
              <w:rPr>
                <w:sz w:val="22"/>
                <w:szCs w:val="22"/>
              </w:rPr>
            </w:pPr>
            <w:r w:rsidRPr="00892248">
              <w:rPr>
                <w:sz w:val="22"/>
                <w:szCs w:val="22"/>
              </w:rPr>
              <w:t xml:space="preserve">         635 </w:t>
            </w:r>
          </w:p>
        </w:tc>
        <w:tc>
          <w:tcPr>
            <w:tcW w:w="1251" w:type="dxa"/>
            <w:tcBorders>
              <w:top w:val="nil"/>
              <w:left w:val="nil"/>
              <w:bottom w:val="single" w:sz="4" w:space="0" w:color="auto"/>
              <w:right w:val="single" w:sz="4" w:space="0" w:color="auto"/>
            </w:tcBorders>
            <w:shd w:val="clear" w:color="auto" w:fill="auto"/>
            <w:vAlign w:val="center"/>
            <w:hideMark/>
          </w:tcPr>
          <w:p w:rsidR="00F07E05" w:rsidRPr="00892248" w:rsidRDefault="00F07E05" w:rsidP="008A253E">
            <w:pPr>
              <w:jc w:val="center"/>
              <w:rPr>
                <w:sz w:val="22"/>
                <w:szCs w:val="22"/>
              </w:rPr>
            </w:pPr>
            <w:r w:rsidRPr="00892248">
              <w:rPr>
                <w:sz w:val="22"/>
                <w:szCs w:val="22"/>
              </w:rPr>
              <w:t xml:space="preserve">          26 </w:t>
            </w:r>
          </w:p>
        </w:tc>
        <w:tc>
          <w:tcPr>
            <w:tcW w:w="1536" w:type="dxa"/>
            <w:tcBorders>
              <w:top w:val="nil"/>
              <w:left w:val="nil"/>
              <w:bottom w:val="single" w:sz="4" w:space="0" w:color="auto"/>
              <w:right w:val="single" w:sz="4" w:space="0" w:color="auto"/>
            </w:tcBorders>
            <w:shd w:val="clear" w:color="auto" w:fill="auto"/>
            <w:vAlign w:val="center"/>
            <w:hideMark/>
          </w:tcPr>
          <w:p w:rsidR="00F07E05" w:rsidRPr="00892248" w:rsidRDefault="00F07E05" w:rsidP="008A253E">
            <w:pPr>
              <w:jc w:val="center"/>
              <w:rPr>
                <w:b/>
                <w:bCs/>
                <w:sz w:val="22"/>
                <w:szCs w:val="22"/>
              </w:rPr>
            </w:pPr>
            <w:r w:rsidRPr="00892248">
              <w:rPr>
                <w:b/>
                <w:bCs/>
                <w:sz w:val="22"/>
                <w:szCs w:val="22"/>
              </w:rPr>
              <w:t xml:space="preserve">        16 510 </w:t>
            </w:r>
          </w:p>
        </w:tc>
        <w:tc>
          <w:tcPr>
            <w:tcW w:w="1323" w:type="dxa"/>
            <w:gridSpan w:val="2"/>
            <w:tcBorders>
              <w:top w:val="nil"/>
              <w:left w:val="nil"/>
              <w:bottom w:val="single" w:sz="4" w:space="0" w:color="auto"/>
              <w:right w:val="single" w:sz="4" w:space="0" w:color="auto"/>
            </w:tcBorders>
            <w:shd w:val="clear" w:color="auto" w:fill="auto"/>
            <w:noWrap/>
            <w:vAlign w:val="center"/>
            <w:hideMark/>
          </w:tcPr>
          <w:p w:rsidR="00F07E05" w:rsidRPr="00892248" w:rsidRDefault="00F07E05" w:rsidP="008A253E">
            <w:pPr>
              <w:jc w:val="center"/>
              <w:rPr>
                <w:sz w:val="22"/>
                <w:szCs w:val="22"/>
              </w:rPr>
            </w:pPr>
            <w:r w:rsidRPr="00892248">
              <w:rPr>
                <w:sz w:val="22"/>
                <w:szCs w:val="22"/>
              </w:rPr>
              <w:t xml:space="preserve">         635 </w:t>
            </w:r>
          </w:p>
        </w:tc>
        <w:tc>
          <w:tcPr>
            <w:tcW w:w="1394" w:type="dxa"/>
            <w:tcBorders>
              <w:top w:val="nil"/>
              <w:left w:val="nil"/>
              <w:bottom w:val="single" w:sz="4" w:space="0" w:color="auto"/>
              <w:right w:val="single" w:sz="4" w:space="0" w:color="auto"/>
            </w:tcBorders>
            <w:shd w:val="clear" w:color="auto" w:fill="auto"/>
            <w:vAlign w:val="center"/>
            <w:hideMark/>
          </w:tcPr>
          <w:p w:rsidR="00F07E05" w:rsidRPr="00892248" w:rsidRDefault="00F07E05" w:rsidP="008A253E">
            <w:pPr>
              <w:jc w:val="center"/>
              <w:rPr>
                <w:sz w:val="22"/>
                <w:szCs w:val="22"/>
              </w:rPr>
            </w:pPr>
            <w:r w:rsidRPr="00892248">
              <w:rPr>
                <w:sz w:val="22"/>
                <w:szCs w:val="22"/>
              </w:rPr>
              <w:t xml:space="preserve">           26 </w:t>
            </w:r>
          </w:p>
        </w:tc>
        <w:tc>
          <w:tcPr>
            <w:tcW w:w="1536" w:type="dxa"/>
            <w:tcBorders>
              <w:top w:val="nil"/>
              <w:left w:val="nil"/>
              <w:bottom w:val="single" w:sz="4" w:space="0" w:color="auto"/>
              <w:right w:val="single" w:sz="4" w:space="0" w:color="auto"/>
            </w:tcBorders>
            <w:shd w:val="clear" w:color="auto" w:fill="auto"/>
            <w:vAlign w:val="center"/>
            <w:hideMark/>
          </w:tcPr>
          <w:p w:rsidR="00F07E05" w:rsidRPr="00892248" w:rsidRDefault="00F07E05" w:rsidP="008A253E">
            <w:pPr>
              <w:jc w:val="center"/>
              <w:rPr>
                <w:b/>
                <w:bCs/>
                <w:sz w:val="22"/>
                <w:szCs w:val="22"/>
              </w:rPr>
            </w:pPr>
            <w:r w:rsidRPr="00892248">
              <w:rPr>
                <w:b/>
                <w:bCs/>
                <w:sz w:val="22"/>
                <w:szCs w:val="22"/>
              </w:rPr>
              <w:t xml:space="preserve">        16 510 </w:t>
            </w:r>
          </w:p>
        </w:tc>
      </w:tr>
      <w:tr w:rsidR="00F07E05" w:rsidTr="008A253E">
        <w:trPr>
          <w:gridAfter w:val="1"/>
          <w:wAfter w:w="23" w:type="dxa"/>
          <w:trHeight w:val="2205"/>
        </w:trPr>
        <w:tc>
          <w:tcPr>
            <w:tcW w:w="3119" w:type="dxa"/>
            <w:tcBorders>
              <w:top w:val="nil"/>
              <w:left w:val="single" w:sz="4" w:space="0" w:color="auto"/>
              <w:bottom w:val="single" w:sz="4" w:space="0" w:color="auto"/>
              <w:right w:val="single" w:sz="4" w:space="0" w:color="auto"/>
            </w:tcBorders>
            <w:shd w:val="clear" w:color="auto" w:fill="auto"/>
            <w:hideMark/>
          </w:tcPr>
          <w:p w:rsidR="00F07E05" w:rsidRPr="00892248" w:rsidRDefault="00F07E05" w:rsidP="008A253E">
            <w:pPr>
              <w:rPr>
                <w:sz w:val="22"/>
                <w:szCs w:val="22"/>
              </w:rPr>
            </w:pPr>
            <w:r w:rsidRPr="00892248">
              <w:rPr>
                <w:sz w:val="22"/>
                <w:szCs w:val="22"/>
              </w:rPr>
              <w:t>Оценка технического состояния и определение остаточного ресурса используемых в агропромышленном комплексе машин и оборудования, имеющий рабочий привод (машин и оборудования животноводческих ферм, зернотоков, зерносушильных комплексов, кормоцехов, перерабатывающих предприятий и др.)</w:t>
            </w:r>
          </w:p>
        </w:tc>
        <w:tc>
          <w:tcPr>
            <w:tcW w:w="1323" w:type="dxa"/>
            <w:tcBorders>
              <w:top w:val="nil"/>
              <w:left w:val="nil"/>
              <w:bottom w:val="single" w:sz="4" w:space="0" w:color="auto"/>
              <w:right w:val="single" w:sz="4" w:space="0" w:color="auto"/>
            </w:tcBorders>
            <w:shd w:val="clear" w:color="auto" w:fill="auto"/>
            <w:noWrap/>
            <w:vAlign w:val="center"/>
            <w:hideMark/>
          </w:tcPr>
          <w:p w:rsidR="00F07E05" w:rsidRPr="00892248" w:rsidRDefault="00F07E05" w:rsidP="008A253E">
            <w:pPr>
              <w:jc w:val="center"/>
              <w:rPr>
                <w:sz w:val="22"/>
                <w:szCs w:val="22"/>
              </w:rPr>
            </w:pPr>
            <w:r w:rsidRPr="00892248">
              <w:rPr>
                <w:sz w:val="22"/>
                <w:szCs w:val="22"/>
              </w:rPr>
              <w:t xml:space="preserve">         635 </w:t>
            </w:r>
          </w:p>
        </w:tc>
        <w:tc>
          <w:tcPr>
            <w:tcW w:w="1371" w:type="dxa"/>
            <w:tcBorders>
              <w:top w:val="nil"/>
              <w:left w:val="nil"/>
              <w:bottom w:val="single" w:sz="4" w:space="0" w:color="auto"/>
              <w:right w:val="single" w:sz="4" w:space="0" w:color="auto"/>
            </w:tcBorders>
            <w:shd w:val="clear" w:color="auto" w:fill="auto"/>
            <w:vAlign w:val="center"/>
            <w:hideMark/>
          </w:tcPr>
          <w:p w:rsidR="00F07E05" w:rsidRPr="00892248" w:rsidRDefault="00F07E05" w:rsidP="008A253E">
            <w:pPr>
              <w:jc w:val="center"/>
              <w:rPr>
                <w:sz w:val="22"/>
                <w:szCs w:val="22"/>
              </w:rPr>
            </w:pPr>
            <w:r w:rsidRPr="00892248">
              <w:rPr>
                <w:sz w:val="22"/>
                <w:szCs w:val="22"/>
              </w:rPr>
              <w:t> </w:t>
            </w:r>
          </w:p>
        </w:tc>
        <w:tc>
          <w:tcPr>
            <w:tcW w:w="1536" w:type="dxa"/>
            <w:tcBorders>
              <w:top w:val="nil"/>
              <w:left w:val="nil"/>
              <w:bottom w:val="single" w:sz="4" w:space="0" w:color="auto"/>
              <w:right w:val="single" w:sz="4" w:space="0" w:color="auto"/>
            </w:tcBorders>
            <w:shd w:val="clear" w:color="auto" w:fill="auto"/>
            <w:vAlign w:val="center"/>
            <w:hideMark/>
          </w:tcPr>
          <w:p w:rsidR="00F07E05" w:rsidRPr="00892248" w:rsidRDefault="00F07E05" w:rsidP="008A253E">
            <w:pPr>
              <w:jc w:val="center"/>
              <w:rPr>
                <w:b/>
                <w:bCs/>
                <w:sz w:val="22"/>
                <w:szCs w:val="22"/>
              </w:rPr>
            </w:pPr>
            <w:r w:rsidRPr="00892248">
              <w:rPr>
                <w:b/>
                <w:bCs/>
                <w:sz w:val="22"/>
                <w:szCs w:val="22"/>
              </w:rPr>
              <w:t xml:space="preserve">                -   </w:t>
            </w:r>
          </w:p>
        </w:tc>
        <w:tc>
          <w:tcPr>
            <w:tcW w:w="1323" w:type="dxa"/>
            <w:gridSpan w:val="2"/>
            <w:tcBorders>
              <w:top w:val="nil"/>
              <w:left w:val="nil"/>
              <w:bottom w:val="single" w:sz="4" w:space="0" w:color="auto"/>
              <w:right w:val="single" w:sz="4" w:space="0" w:color="auto"/>
            </w:tcBorders>
            <w:shd w:val="clear" w:color="auto" w:fill="auto"/>
            <w:noWrap/>
            <w:vAlign w:val="center"/>
            <w:hideMark/>
          </w:tcPr>
          <w:p w:rsidR="00F07E05" w:rsidRPr="00892248" w:rsidRDefault="00F07E05" w:rsidP="008A253E">
            <w:pPr>
              <w:jc w:val="center"/>
              <w:rPr>
                <w:sz w:val="22"/>
                <w:szCs w:val="22"/>
              </w:rPr>
            </w:pPr>
            <w:r w:rsidRPr="00892248">
              <w:rPr>
                <w:sz w:val="22"/>
                <w:szCs w:val="22"/>
              </w:rPr>
              <w:t xml:space="preserve">         635 </w:t>
            </w:r>
          </w:p>
        </w:tc>
        <w:tc>
          <w:tcPr>
            <w:tcW w:w="1251" w:type="dxa"/>
            <w:tcBorders>
              <w:top w:val="nil"/>
              <w:left w:val="nil"/>
              <w:bottom w:val="single" w:sz="4" w:space="0" w:color="auto"/>
              <w:right w:val="single" w:sz="4" w:space="0" w:color="auto"/>
            </w:tcBorders>
            <w:shd w:val="clear" w:color="auto" w:fill="auto"/>
            <w:vAlign w:val="center"/>
            <w:hideMark/>
          </w:tcPr>
          <w:p w:rsidR="00F07E05" w:rsidRPr="00892248" w:rsidRDefault="00F07E05" w:rsidP="008A253E">
            <w:pPr>
              <w:jc w:val="center"/>
              <w:rPr>
                <w:sz w:val="22"/>
                <w:szCs w:val="22"/>
              </w:rPr>
            </w:pPr>
            <w:r w:rsidRPr="00892248">
              <w:rPr>
                <w:sz w:val="22"/>
                <w:szCs w:val="22"/>
              </w:rPr>
              <w:t> </w:t>
            </w:r>
          </w:p>
        </w:tc>
        <w:tc>
          <w:tcPr>
            <w:tcW w:w="1536" w:type="dxa"/>
            <w:tcBorders>
              <w:top w:val="nil"/>
              <w:left w:val="nil"/>
              <w:bottom w:val="single" w:sz="4" w:space="0" w:color="auto"/>
              <w:right w:val="single" w:sz="4" w:space="0" w:color="auto"/>
            </w:tcBorders>
            <w:shd w:val="clear" w:color="auto" w:fill="auto"/>
            <w:vAlign w:val="center"/>
            <w:hideMark/>
          </w:tcPr>
          <w:p w:rsidR="00F07E05" w:rsidRPr="00892248" w:rsidRDefault="00F07E05" w:rsidP="008A253E">
            <w:pPr>
              <w:jc w:val="center"/>
              <w:rPr>
                <w:b/>
                <w:bCs/>
                <w:sz w:val="22"/>
                <w:szCs w:val="22"/>
              </w:rPr>
            </w:pPr>
            <w:r w:rsidRPr="00892248">
              <w:rPr>
                <w:b/>
                <w:bCs/>
                <w:sz w:val="22"/>
                <w:szCs w:val="22"/>
              </w:rPr>
              <w:t xml:space="preserve">                -   </w:t>
            </w:r>
          </w:p>
        </w:tc>
        <w:tc>
          <w:tcPr>
            <w:tcW w:w="1323" w:type="dxa"/>
            <w:gridSpan w:val="2"/>
            <w:tcBorders>
              <w:top w:val="nil"/>
              <w:left w:val="nil"/>
              <w:bottom w:val="single" w:sz="4" w:space="0" w:color="auto"/>
              <w:right w:val="single" w:sz="4" w:space="0" w:color="auto"/>
            </w:tcBorders>
            <w:shd w:val="clear" w:color="auto" w:fill="auto"/>
            <w:noWrap/>
            <w:vAlign w:val="center"/>
            <w:hideMark/>
          </w:tcPr>
          <w:p w:rsidR="00F07E05" w:rsidRPr="00892248" w:rsidRDefault="00F07E05" w:rsidP="008A253E">
            <w:pPr>
              <w:jc w:val="center"/>
              <w:rPr>
                <w:sz w:val="22"/>
                <w:szCs w:val="22"/>
              </w:rPr>
            </w:pPr>
            <w:r w:rsidRPr="00892248">
              <w:rPr>
                <w:sz w:val="22"/>
                <w:szCs w:val="22"/>
              </w:rPr>
              <w:t xml:space="preserve">         635 </w:t>
            </w:r>
          </w:p>
        </w:tc>
        <w:tc>
          <w:tcPr>
            <w:tcW w:w="1394" w:type="dxa"/>
            <w:tcBorders>
              <w:top w:val="nil"/>
              <w:left w:val="nil"/>
              <w:bottom w:val="single" w:sz="4" w:space="0" w:color="auto"/>
              <w:right w:val="single" w:sz="4" w:space="0" w:color="auto"/>
            </w:tcBorders>
            <w:shd w:val="clear" w:color="auto" w:fill="auto"/>
            <w:vAlign w:val="center"/>
            <w:hideMark/>
          </w:tcPr>
          <w:p w:rsidR="00F07E05" w:rsidRPr="00892248" w:rsidRDefault="00F07E05" w:rsidP="008A253E">
            <w:pPr>
              <w:jc w:val="center"/>
              <w:rPr>
                <w:sz w:val="22"/>
                <w:szCs w:val="22"/>
              </w:rPr>
            </w:pPr>
            <w:r w:rsidRPr="00892248">
              <w:rPr>
                <w:sz w:val="22"/>
                <w:szCs w:val="22"/>
              </w:rPr>
              <w:t> </w:t>
            </w:r>
          </w:p>
        </w:tc>
        <w:tc>
          <w:tcPr>
            <w:tcW w:w="1536" w:type="dxa"/>
            <w:tcBorders>
              <w:top w:val="nil"/>
              <w:left w:val="nil"/>
              <w:bottom w:val="single" w:sz="4" w:space="0" w:color="auto"/>
              <w:right w:val="single" w:sz="4" w:space="0" w:color="auto"/>
            </w:tcBorders>
            <w:shd w:val="clear" w:color="auto" w:fill="auto"/>
            <w:vAlign w:val="center"/>
            <w:hideMark/>
          </w:tcPr>
          <w:p w:rsidR="00F07E05" w:rsidRPr="00892248" w:rsidRDefault="00F07E05" w:rsidP="008A253E">
            <w:pPr>
              <w:jc w:val="center"/>
              <w:rPr>
                <w:b/>
                <w:bCs/>
                <w:sz w:val="22"/>
                <w:szCs w:val="22"/>
              </w:rPr>
            </w:pPr>
            <w:r w:rsidRPr="00892248">
              <w:rPr>
                <w:b/>
                <w:bCs/>
                <w:sz w:val="22"/>
                <w:szCs w:val="22"/>
              </w:rPr>
              <w:t xml:space="preserve">                -   </w:t>
            </w:r>
          </w:p>
        </w:tc>
      </w:tr>
      <w:tr w:rsidR="00F07E05" w:rsidTr="008A253E">
        <w:trPr>
          <w:gridAfter w:val="1"/>
          <w:wAfter w:w="23" w:type="dxa"/>
          <w:trHeight w:val="945"/>
        </w:trPr>
        <w:tc>
          <w:tcPr>
            <w:tcW w:w="3119" w:type="dxa"/>
            <w:tcBorders>
              <w:top w:val="nil"/>
              <w:left w:val="single" w:sz="4" w:space="0" w:color="auto"/>
              <w:bottom w:val="single" w:sz="4" w:space="0" w:color="auto"/>
              <w:right w:val="single" w:sz="4" w:space="0" w:color="auto"/>
            </w:tcBorders>
            <w:shd w:val="clear" w:color="auto" w:fill="auto"/>
            <w:hideMark/>
          </w:tcPr>
          <w:p w:rsidR="00F07E05" w:rsidRPr="00892248" w:rsidRDefault="00F07E05" w:rsidP="008A253E">
            <w:pPr>
              <w:rPr>
                <w:sz w:val="22"/>
                <w:szCs w:val="22"/>
              </w:rPr>
            </w:pPr>
            <w:r w:rsidRPr="00892248">
              <w:rPr>
                <w:sz w:val="22"/>
                <w:szCs w:val="22"/>
              </w:rPr>
              <w:lastRenderedPageBreak/>
              <w:t>Оценка технического состояния и определение остаточного ресурса агрегатируемых поднадзорных машин</w:t>
            </w:r>
          </w:p>
        </w:tc>
        <w:tc>
          <w:tcPr>
            <w:tcW w:w="1323" w:type="dxa"/>
            <w:tcBorders>
              <w:top w:val="nil"/>
              <w:left w:val="nil"/>
              <w:bottom w:val="single" w:sz="4" w:space="0" w:color="auto"/>
              <w:right w:val="single" w:sz="4" w:space="0" w:color="auto"/>
            </w:tcBorders>
            <w:shd w:val="clear" w:color="auto" w:fill="auto"/>
            <w:noWrap/>
            <w:vAlign w:val="center"/>
            <w:hideMark/>
          </w:tcPr>
          <w:p w:rsidR="00F07E05" w:rsidRPr="00892248" w:rsidRDefault="00F07E05" w:rsidP="008A253E">
            <w:pPr>
              <w:jc w:val="center"/>
              <w:rPr>
                <w:sz w:val="22"/>
                <w:szCs w:val="22"/>
              </w:rPr>
            </w:pPr>
            <w:r w:rsidRPr="00892248">
              <w:rPr>
                <w:sz w:val="22"/>
                <w:szCs w:val="22"/>
              </w:rPr>
              <w:t xml:space="preserve">         835 </w:t>
            </w:r>
          </w:p>
        </w:tc>
        <w:tc>
          <w:tcPr>
            <w:tcW w:w="1371" w:type="dxa"/>
            <w:tcBorders>
              <w:top w:val="nil"/>
              <w:left w:val="nil"/>
              <w:bottom w:val="single" w:sz="4" w:space="0" w:color="auto"/>
              <w:right w:val="single" w:sz="4" w:space="0" w:color="auto"/>
            </w:tcBorders>
            <w:shd w:val="clear" w:color="auto" w:fill="auto"/>
            <w:vAlign w:val="center"/>
            <w:hideMark/>
          </w:tcPr>
          <w:p w:rsidR="00F07E05" w:rsidRPr="00892248" w:rsidRDefault="00F07E05" w:rsidP="008A253E">
            <w:pPr>
              <w:jc w:val="center"/>
              <w:rPr>
                <w:sz w:val="22"/>
                <w:szCs w:val="22"/>
              </w:rPr>
            </w:pPr>
            <w:r w:rsidRPr="00892248">
              <w:rPr>
                <w:sz w:val="22"/>
                <w:szCs w:val="22"/>
              </w:rPr>
              <w:t xml:space="preserve">               2 </w:t>
            </w:r>
          </w:p>
        </w:tc>
        <w:tc>
          <w:tcPr>
            <w:tcW w:w="1536" w:type="dxa"/>
            <w:tcBorders>
              <w:top w:val="nil"/>
              <w:left w:val="nil"/>
              <w:bottom w:val="single" w:sz="4" w:space="0" w:color="auto"/>
              <w:right w:val="single" w:sz="4" w:space="0" w:color="auto"/>
            </w:tcBorders>
            <w:shd w:val="clear" w:color="auto" w:fill="auto"/>
            <w:vAlign w:val="center"/>
            <w:hideMark/>
          </w:tcPr>
          <w:p w:rsidR="00F07E05" w:rsidRPr="00892248" w:rsidRDefault="00F07E05" w:rsidP="008A253E">
            <w:pPr>
              <w:jc w:val="center"/>
              <w:rPr>
                <w:b/>
                <w:bCs/>
                <w:sz w:val="22"/>
                <w:szCs w:val="22"/>
              </w:rPr>
            </w:pPr>
            <w:r w:rsidRPr="00892248">
              <w:rPr>
                <w:b/>
                <w:bCs/>
                <w:sz w:val="22"/>
                <w:szCs w:val="22"/>
              </w:rPr>
              <w:t xml:space="preserve">          1 670 </w:t>
            </w:r>
          </w:p>
        </w:tc>
        <w:tc>
          <w:tcPr>
            <w:tcW w:w="1323" w:type="dxa"/>
            <w:gridSpan w:val="2"/>
            <w:tcBorders>
              <w:top w:val="nil"/>
              <w:left w:val="nil"/>
              <w:bottom w:val="single" w:sz="4" w:space="0" w:color="auto"/>
              <w:right w:val="single" w:sz="4" w:space="0" w:color="auto"/>
            </w:tcBorders>
            <w:shd w:val="clear" w:color="auto" w:fill="auto"/>
            <w:noWrap/>
            <w:vAlign w:val="center"/>
            <w:hideMark/>
          </w:tcPr>
          <w:p w:rsidR="00F07E05" w:rsidRPr="00892248" w:rsidRDefault="00F07E05" w:rsidP="008A253E">
            <w:pPr>
              <w:jc w:val="center"/>
              <w:rPr>
                <w:sz w:val="22"/>
                <w:szCs w:val="22"/>
              </w:rPr>
            </w:pPr>
            <w:r w:rsidRPr="00892248">
              <w:rPr>
                <w:sz w:val="22"/>
                <w:szCs w:val="22"/>
              </w:rPr>
              <w:t xml:space="preserve">         835 </w:t>
            </w:r>
          </w:p>
        </w:tc>
        <w:tc>
          <w:tcPr>
            <w:tcW w:w="1251" w:type="dxa"/>
            <w:tcBorders>
              <w:top w:val="nil"/>
              <w:left w:val="nil"/>
              <w:bottom w:val="single" w:sz="4" w:space="0" w:color="auto"/>
              <w:right w:val="single" w:sz="4" w:space="0" w:color="auto"/>
            </w:tcBorders>
            <w:shd w:val="clear" w:color="auto" w:fill="auto"/>
            <w:vAlign w:val="center"/>
            <w:hideMark/>
          </w:tcPr>
          <w:p w:rsidR="00F07E05" w:rsidRPr="00892248" w:rsidRDefault="00F07E05" w:rsidP="008A253E">
            <w:pPr>
              <w:jc w:val="center"/>
              <w:rPr>
                <w:sz w:val="22"/>
                <w:szCs w:val="22"/>
              </w:rPr>
            </w:pPr>
            <w:r w:rsidRPr="00892248">
              <w:rPr>
                <w:sz w:val="22"/>
                <w:szCs w:val="22"/>
              </w:rPr>
              <w:t xml:space="preserve">            2 </w:t>
            </w:r>
          </w:p>
        </w:tc>
        <w:tc>
          <w:tcPr>
            <w:tcW w:w="1536" w:type="dxa"/>
            <w:tcBorders>
              <w:top w:val="nil"/>
              <w:left w:val="nil"/>
              <w:bottom w:val="single" w:sz="4" w:space="0" w:color="auto"/>
              <w:right w:val="single" w:sz="4" w:space="0" w:color="auto"/>
            </w:tcBorders>
            <w:shd w:val="clear" w:color="auto" w:fill="auto"/>
            <w:vAlign w:val="center"/>
            <w:hideMark/>
          </w:tcPr>
          <w:p w:rsidR="00F07E05" w:rsidRPr="00892248" w:rsidRDefault="00F07E05" w:rsidP="008A253E">
            <w:pPr>
              <w:jc w:val="center"/>
              <w:rPr>
                <w:b/>
                <w:bCs/>
                <w:sz w:val="22"/>
                <w:szCs w:val="22"/>
              </w:rPr>
            </w:pPr>
            <w:r w:rsidRPr="00892248">
              <w:rPr>
                <w:b/>
                <w:bCs/>
                <w:sz w:val="22"/>
                <w:szCs w:val="22"/>
              </w:rPr>
              <w:t xml:space="preserve">          1 670 </w:t>
            </w:r>
          </w:p>
        </w:tc>
        <w:tc>
          <w:tcPr>
            <w:tcW w:w="1323" w:type="dxa"/>
            <w:gridSpan w:val="2"/>
            <w:tcBorders>
              <w:top w:val="nil"/>
              <w:left w:val="nil"/>
              <w:bottom w:val="single" w:sz="4" w:space="0" w:color="auto"/>
              <w:right w:val="single" w:sz="4" w:space="0" w:color="auto"/>
            </w:tcBorders>
            <w:shd w:val="clear" w:color="auto" w:fill="auto"/>
            <w:noWrap/>
            <w:vAlign w:val="center"/>
            <w:hideMark/>
          </w:tcPr>
          <w:p w:rsidR="00F07E05" w:rsidRPr="00892248" w:rsidRDefault="00F07E05" w:rsidP="008A253E">
            <w:pPr>
              <w:jc w:val="center"/>
              <w:rPr>
                <w:sz w:val="22"/>
                <w:szCs w:val="22"/>
              </w:rPr>
            </w:pPr>
            <w:r w:rsidRPr="00892248">
              <w:rPr>
                <w:sz w:val="22"/>
                <w:szCs w:val="22"/>
              </w:rPr>
              <w:t xml:space="preserve">         835 </w:t>
            </w:r>
          </w:p>
        </w:tc>
        <w:tc>
          <w:tcPr>
            <w:tcW w:w="1394" w:type="dxa"/>
            <w:tcBorders>
              <w:top w:val="nil"/>
              <w:left w:val="nil"/>
              <w:bottom w:val="single" w:sz="4" w:space="0" w:color="auto"/>
              <w:right w:val="single" w:sz="4" w:space="0" w:color="auto"/>
            </w:tcBorders>
            <w:shd w:val="clear" w:color="auto" w:fill="auto"/>
            <w:vAlign w:val="center"/>
            <w:hideMark/>
          </w:tcPr>
          <w:p w:rsidR="00F07E05" w:rsidRPr="00892248" w:rsidRDefault="00F07E05" w:rsidP="008A253E">
            <w:pPr>
              <w:jc w:val="center"/>
              <w:rPr>
                <w:sz w:val="22"/>
                <w:szCs w:val="22"/>
              </w:rPr>
            </w:pPr>
            <w:r w:rsidRPr="00892248">
              <w:rPr>
                <w:sz w:val="22"/>
                <w:szCs w:val="22"/>
              </w:rPr>
              <w:t xml:space="preserve">             2 </w:t>
            </w:r>
          </w:p>
        </w:tc>
        <w:tc>
          <w:tcPr>
            <w:tcW w:w="1536" w:type="dxa"/>
            <w:tcBorders>
              <w:top w:val="nil"/>
              <w:left w:val="nil"/>
              <w:bottom w:val="single" w:sz="4" w:space="0" w:color="auto"/>
              <w:right w:val="single" w:sz="4" w:space="0" w:color="auto"/>
            </w:tcBorders>
            <w:shd w:val="clear" w:color="auto" w:fill="auto"/>
            <w:vAlign w:val="center"/>
            <w:hideMark/>
          </w:tcPr>
          <w:p w:rsidR="00F07E05" w:rsidRPr="00892248" w:rsidRDefault="00F07E05" w:rsidP="008A253E">
            <w:pPr>
              <w:jc w:val="center"/>
              <w:rPr>
                <w:b/>
                <w:bCs/>
                <w:sz w:val="22"/>
                <w:szCs w:val="22"/>
              </w:rPr>
            </w:pPr>
            <w:r w:rsidRPr="00892248">
              <w:rPr>
                <w:b/>
                <w:bCs/>
                <w:sz w:val="22"/>
                <w:szCs w:val="22"/>
              </w:rPr>
              <w:t xml:space="preserve">          1 670 </w:t>
            </w:r>
          </w:p>
        </w:tc>
      </w:tr>
      <w:tr w:rsidR="00F07E05" w:rsidTr="008A253E">
        <w:trPr>
          <w:gridAfter w:val="1"/>
          <w:wAfter w:w="23" w:type="dxa"/>
          <w:trHeight w:val="63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F07E05" w:rsidRPr="00892248" w:rsidRDefault="00F07E05" w:rsidP="008A253E">
            <w:pPr>
              <w:rPr>
                <w:sz w:val="22"/>
                <w:szCs w:val="22"/>
              </w:rPr>
            </w:pPr>
            <w:r w:rsidRPr="00892248">
              <w:rPr>
                <w:sz w:val="22"/>
                <w:szCs w:val="22"/>
              </w:rPr>
              <w:t xml:space="preserve">Участие в комиссиях по рассмотрению претензий владельцев поднадзорных машин и оборудования </w:t>
            </w:r>
          </w:p>
        </w:tc>
        <w:tc>
          <w:tcPr>
            <w:tcW w:w="1323" w:type="dxa"/>
            <w:tcBorders>
              <w:top w:val="nil"/>
              <w:left w:val="nil"/>
              <w:bottom w:val="single" w:sz="4" w:space="0" w:color="auto"/>
              <w:right w:val="single" w:sz="4" w:space="0" w:color="auto"/>
            </w:tcBorders>
            <w:shd w:val="clear" w:color="auto" w:fill="auto"/>
            <w:noWrap/>
            <w:vAlign w:val="center"/>
            <w:hideMark/>
          </w:tcPr>
          <w:p w:rsidR="00F07E05" w:rsidRPr="00892248" w:rsidRDefault="00F07E05" w:rsidP="008A253E">
            <w:pPr>
              <w:jc w:val="center"/>
              <w:rPr>
                <w:sz w:val="22"/>
                <w:szCs w:val="22"/>
              </w:rPr>
            </w:pPr>
            <w:r w:rsidRPr="00892248">
              <w:rPr>
                <w:sz w:val="22"/>
                <w:szCs w:val="22"/>
              </w:rPr>
              <w:t xml:space="preserve">         240 </w:t>
            </w:r>
          </w:p>
        </w:tc>
        <w:tc>
          <w:tcPr>
            <w:tcW w:w="1371" w:type="dxa"/>
            <w:tcBorders>
              <w:top w:val="nil"/>
              <w:left w:val="nil"/>
              <w:bottom w:val="single" w:sz="4" w:space="0" w:color="auto"/>
              <w:right w:val="single" w:sz="4" w:space="0" w:color="auto"/>
            </w:tcBorders>
            <w:shd w:val="clear" w:color="auto" w:fill="auto"/>
            <w:vAlign w:val="center"/>
            <w:hideMark/>
          </w:tcPr>
          <w:p w:rsidR="00F07E05" w:rsidRPr="00892248" w:rsidRDefault="00F07E05" w:rsidP="008A253E">
            <w:pPr>
              <w:jc w:val="center"/>
              <w:rPr>
                <w:sz w:val="22"/>
                <w:szCs w:val="22"/>
              </w:rPr>
            </w:pPr>
            <w:r w:rsidRPr="00892248">
              <w:rPr>
                <w:sz w:val="22"/>
                <w:szCs w:val="22"/>
              </w:rPr>
              <w:t xml:space="preserve">               6 </w:t>
            </w:r>
          </w:p>
        </w:tc>
        <w:tc>
          <w:tcPr>
            <w:tcW w:w="1536" w:type="dxa"/>
            <w:tcBorders>
              <w:top w:val="nil"/>
              <w:left w:val="nil"/>
              <w:bottom w:val="single" w:sz="4" w:space="0" w:color="auto"/>
              <w:right w:val="single" w:sz="4" w:space="0" w:color="auto"/>
            </w:tcBorders>
            <w:shd w:val="clear" w:color="auto" w:fill="auto"/>
            <w:vAlign w:val="center"/>
            <w:hideMark/>
          </w:tcPr>
          <w:p w:rsidR="00F07E05" w:rsidRPr="00892248" w:rsidRDefault="00F07E05" w:rsidP="008A253E">
            <w:pPr>
              <w:jc w:val="center"/>
              <w:rPr>
                <w:b/>
                <w:bCs/>
                <w:sz w:val="22"/>
                <w:szCs w:val="22"/>
              </w:rPr>
            </w:pPr>
            <w:r w:rsidRPr="00892248">
              <w:rPr>
                <w:b/>
                <w:bCs/>
                <w:sz w:val="22"/>
                <w:szCs w:val="22"/>
              </w:rPr>
              <w:t xml:space="preserve">          1 440 </w:t>
            </w:r>
          </w:p>
        </w:tc>
        <w:tc>
          <w:tcPr>
            <w:tcW w:w="1323" w:type="dxa"/>
            <w:gridSpan w:val="2"/>
            <w:tcBorders>
              <w:top w:val="nil"/>
              <w:left w:val="nil"/>
              <w:bottom w:val="single" w:sz="4" w:space="0" w:color="auto"/>
              <w:right w:val="single" w:sz="4" w:space="0" w:color="auto"/>
            </w:tcBorders>
            <w:shd w:val="clear" w:color="auto" w:fill="auto"/>
            <w:noWrap/>
            <w:vAlign w:val="center"/>
            <w:hideMark/>
          </w:tcPr>
          <w:p w:rsidR="00F07E05" w:rsidRPr="00892248" w:rsidRDefault="00F07E05" w:rsidP="008A253E">
            <w:pPr>
              <w:jc w:val="center"/>
              <w:rPr>
                <w:sz w:val="22"/>
                <w:szCs w:val="22"/>
              </w:rPr>
            </w:pPr>
            <w:r w:rsidRPr="00892248">
              <w:rPr>
                <w:sz w:val="22"/>
                <w:szCs w:val="22"/>
              </w:rPr>
              <w:t xml:space="preserve">         240 </w:t>
            </w:r>
          </w:p>
        </w:tc>
        <w:tc>
          <w:tcPr>
            <w:tcW w:w="1251" w:type="dxa"/>
            <w:tcBorders>
              <w:top w:val="nil"/>
              <w:left w:val="nil"/>
              <w:bottom w:val="single" w:sz="4" w:space="0" w:color="auto"/>
              <w:right w:val="single" w:sz="4" w:space="0" w:color="auto"/>
            </w:tcBorders>
            <w:shd w:val="clear" w:color="auto" w:fill="auto"/>
            <w:vAlign w:val="center"/>
            <w:hideMark/>
          </w:tcPr>
          <w:p w:rsidR="00F07E05" w:rsidRPr="00892248" w:rsidRDefault="00F07E05" w:rsidP="008A253E">
            <w:pPr>
              <w:jc w:val="center"/>
              <w:rPr>
                <w:sz w:val="22"/>
                <w:szCs w:val="22"/>
              </w:rPr>
            </w:pPr>
            <w:r w:rsidRPr="00892248">
              <w:rPr>
                <w:sz w:val="22"/>
                <w:szCs w:val="22"/>
              </w:rPr>
              <w:t xml:space="preserve">            6 </w:t>
            </w:r>
          </w:p>
        </w:tc>
        <w:tc>
          <w:tcPr>
            <w:tcW w:w="1536" w:type="dxa"/>
            <w:tcBorders>
              <w:top w:val="nil"/>
              <w:left w:val="nil"/>
              <w:bottom w:val="single" w:sz="4" w:space="0" w:color="auto"/>
              <w:right w:val="single" w:sz="4" w:space="0" w:color="auto"/>
            </w:tcBorders>
            <w:shd w:val="clear" w:color="auto" w:fill="auto"/>
            <w:vAlign w:val="center"/>
            <w:hideMark/>
          </w:tcPr>
          <w:p w:rsidR="00F07E05" w:rsidRPr="00892248" w:rsidRDefault="00F07E05" w:rsidP="008A253E">
            <w:pPr>
              <w:jc w:val="center"/>
              <w:rPr>
                <w:b/>
                <w:bCs/>
                <w:sz w:val="22"/>
                <w:szCs w:val="22"/>
              </w:rPr>
            </w:pPr>
            <w:r w:rsidRPr="00892248">
              <w:rPr>
                <w:b/>
                <w:bCs/>
                <w:sz w:val="22"/>
                <w:szCs w:val="22"/>
              </w:rPr>
              <w:t xml:space="preserve">          1 440 </w:t>
            </w:r>
          </w:p>
        </w:tc>
        <w:tc>
          <w:tcPr>
            <w:tcW w:w="1323" w:type="dxa"/>
            <w:gridSpan w:val="2"/>
            <w:tcBorders>
              <w:top w:val="nil"/>
              <w:left w:val="nil"/>
              <w:bottom w:val="single" w:sz="4" w:space="0" w:color="auto"/>
              <w:right w:val="single" w:sz="4" w:space="0" w:color="auto"/>
            </w:tcBorders>
            <w:shd w:val="clear" w:color="auto" w:fill="auto"/>
            <w:noWrap/>
            <w:vAlign w:val="center"/>
            <w:hideMark/>
          </w:tcPr>
          <w:p w:rsidR="00F07E05" w:rsidRPr="00892248" w:rsidRDefault="00F07E05" w:rsidP="008A253E">
            <w:pPr>
              <w:jc w:val="center"/>
              <w:rPr>
                <w:sz w:val="22"/>
                <w:szCs w:val="22"/>
              </w:rPr>
            </w:pPr>
            <w:r w:rsidRPr="00892248">
              <w:rPr>
                <w:sz w:val="22"/>
                <w:szCs w:val="22"/>
              </w:rPr>
              <w:t xml:space="preserve">         240 </w:t>
            </w:r>
          </w:p>
        </w:tc>
        <w:tc>
          <w:tcPr>
            <w:tcW w:w="1394" w:type="dxa"/>
            <w:tcBorders>
              <w:top w:val="nil"/>
              <w:left w:val="nil"/>
              <w:bottom w:val="single" w:sz="4" w:space="0" w:color="auto"/>
              <w:right w:val="single" w:sz="4" w:space="0" w:color="auto"/>
            </w:tcBorders>
            <w:shd w:val="clear" w:color="auto" w:fill="auto"/>
            <w:vAlign w:val="center"/>
            <w:hideMark/>
          </w:tcPr>
          <w:p w:rsidR="00F07E05" w:rsidRPr="00892248" w:rsidRDefault="00F07E05" w:rsidP="008A253E">
            <w:pPr>
              <w:jc w:val="center"/>
              <w:rPr>
                <w:sz w:val="22"/>
                <w:szCs w:val="22"/>
              </w:rPr>
            </w:pPr>
            <w:r w:rsidRPr="00892248">
              <w:rPr>
                <w:sz w:val="22"/>
                <w:szCs w:val="22"/>
              </w:rPr>
              <w:t xml:space="preserve">             6 </w:t>
            </w:r>
          </w:p>
        </w:tc>
        <w:tc>
          <w:tcPr>
            <w:tcW w:w="1536" w:type="dxa"/>
            <w:tcBorders>
              <w:top w:val="nil"/>
              <w:left w:val="nil"/>
              <w:bottom w:val="single" w:sz="4" w:space="0" w:color="auto"/>
              <w:right w:val="single" w:sz="4" w:space="0" w:color="auto"/>
            </w:tcBorders>
            <w:shd w:val="clear" w:color="auto" w:fill="auto"/>
            <w:vAlign w:val="center"/>
            <w:hideMark/>
          </w:tcPr>
          <w:p w:rsidR="00F07E05" w:rsidRPr="00892248" w:rsidRDefault="00F07E05" w:rsidP="008A253E">
            <w:pPr>
              <w:jc w:val="center"/>
              <w:rPr>
                <w:b/>
                <w:bCs/>
                <w:sz w:val="22"/>
                <w:szCs w:val="22"/>
              </w:rPr>
            </w:pPr>
            <w:r w:rsidRPr="00892248">
              <w:rPr>
                <w:b/>
                <w:bCs/>
                <w:sz w:val="22"/>
                <w:szCs w:val="22"/>
              </w:rPr>
              <w:t xml:space="preserve">          1 440 </w:t>
            </w:r>
          </w:p>
        </w:tc>
      </w:tr>
      <w:tr w:rsidR="00F07E05" w:rsidTr="008A253E">
        <w:trPr>
          <w:gridAfter w:val="1"/>
          <w:wAfter w:w="23" w:type="dxa"/>
          <w:trHeight w:val="315"/>
        </w:trPr>
        <w:tc>
          <w:tcPr>
            <w:tcW w:w="3119" w:type="dxa"/>
            <w:tcBorders>
              <w:top w:val="nil"/>
              <w:left w:val="single" w:sz="4" w:space="0" w:color="auto"/>
              <w:bottom w:val="single" w:sz="4" w:space="0" w:color="auto"/>
              <w:right w:val="single" w:sz="4" w:space="0" w:color="auto"/>
            </w:tcBorders>
            <w:shd w:val="clear" w:color="auto" w:fill="auto"/>
            <w:hideMark/>
          </w:tcPr>
          <w:p w:rsidR="00F07E05" w:rsidRPr="00892248" w:rsidRDefault="00F07E05" w:rsidP="008A253E">
            <w:pPr>
              <w:rPr>
                <w:b/>
                <w:bCs/>
                <w:i/>
                <w:iCs/>
                <w:sz w:val="22"/>
                <w:szCs w:val="22"/>
              </w:rPr>
            </w:pPr>
            <w:r w:rsidRPr="00892248">
              <w:rPr>
                <w:b/>
                <w:bCs/>
                <w:i/>
                <w:iCs/>
                <w:sz w:val="22"/>
                <w:szCs w:val="22"/>
              </w:rPr>
              <w:t>ИТОГО поступлений от выполнения услуг</w:t>
            </w:r>
          </w:p>
        </w:tc>
        <w:tc>
          <w:tcPr>
            <w:tcW w:w="1323" w:type="dxa"/>
            <w:tcBorders>
              <w:top w:val="nil"/>
              <w:left w:val="nil"/>
              <w:bottom w:val="single" w:sz="4" w:space="0" w:color="auto"/>
              <w:right w:val="single" w:sz="4" w:space="0" w:color="auto"/>
            </w:tcBorders>
            <w:shd w:val="clear" w:color="auto" w:fill="auto"/>
            <w:noWrap/>
            <w:vAlign w:val="center"/>
            <w:hideMark/>
          </w:tcPr>
          <w:p w:rsidR="00F07E05" w:rsidRPr="00892248" w:rsidRDefault="00F07E05" w:rsidP="008A253E">
            <w:pPr>
              <w:jc w:val="center"/>
              <w:rPr>
                <w:b/>
                <w:bCs/>
                <w:sz w:val="22"/>
                <w:szCs w:val="22"/>
              </w:rPr>
            </w:pPr>
            <w:r w:rsidRPr="00892248">
              <w:rPr>
                <w:b/>
                <w:bCs/>
                <w:sz w:val="22"/>
                <w:szCs w:val="22"/>
              </w:rPr>
              <w:t> </w:t>
            </w:r>
          </w:p>
        </w:tc>
        <w:tc>
          <w:tcPr>
            <w:tcW w:w="1371" w:type="dxa"/>
            <w:tcBorders>
              <w:top w:val="nil"/>
              <w:left w:val="nil"/>
              <w:bottom w:val="single" w:sz="4" w:space="0" w:color="auto"/>
              <w:right w:val="single" w:sz="4" w:space="0" w:color="auto"/>
            </w:tcBorders>
            <w:shd w:val="clear" w:color="auto" w:fill="auto"/>
            <w:noWrap/>
            <w:vAlign w:val="center"/>
            <w:hideMark/>
          </w:tcPr>
          <w:p w:rsidR="00F07E05" w:rsidRPr="00892248" w:rsidRDefault="00F07E05" w:rsidP="008A253E">
            <w:pPr>
              <w:jc w:val="center"/>
              <w:rPr>
                <w:b/>
                <w:bCs/>
                <w:sz w:val="22"/>
                <w:szCs w:val="22"/>
              </w:rPr>
            </w:pPr>
            <w:r w:rsidRPr="00892248">
              <w:rPr>
                <w:b/>
                <w:bCs/>
                <w:sz w:val="22"/>
                <w:szCs w:val="22"/>
              </w:rPr>
              <w:t xml:space="preserve">      32 596 </w:t>
            </w:r>
          </w:p>
        </w:tc>
        <w:tc>
          <w:tcPr>
            <w:tcW w:w="1536" w:type="dxa"/>
            <w:tcBorders>
              <w:top w:val="nil"/>
              <w:left w:val="nil"/>
              <w:bottom w:val="single" w:sz="4" w:space="0" w:color="auto"/>
              <w:right w:val="single" w:sz="4" w:space="0" w:color="auto"/>
            </w:tcBorders>
            <w:shd w:val="clear" w:color="auto" w:fill="auto"/>
            <w:noWrap/>
            <w:vAlign w:val="center"/>
            <w:hideMark/>
          </w:tcPr>
          <w:p w:rsidR="00F07E05" w:rsidRPr="00892248" w:rsidRDefault="00F07E05" w:rsidP="008A253E">
            <w:pPr>
              <w:jc w:val="center"/>
              <w:rPr>
                <w:b/>
                <w:bCs/>
                <w:sz w:val="22"/>
                <w:szCs w:val="22"/>
              </w:rPr>
            </w:pPr>
            <w:r w:rsidRPr="00892248">
              <w:rPr>
                <w:b/>
                <w:bCs/>
                <w:sz w:val="22"/>
                <w:szCs w:val="22"/>
              </w:rPr>
              <w:t xml:space="preserve">   6 214 975 </w:t>
            </w:r>
          </w:p>
        </w:tc>
        <w:tc>
          <w:tcPr>
            <w:tcW w:w="1323" w:type="dxa"/>
            <w:gridSpan w:val="2"/>
            <w:tcBorders>
              <w:top w:val="nil"/>
              <w:left w:val="nil"/>
              <w:bottom w:val="single" w:sz="4" w:space="0" w:color="auto"/>
              <w:right w:val="single" w:sz="4" w:space="0" w:color="auto"/>
            </w:tcBorders>
            <w:shd w:val="clear" w:color="auto" w:fill="auto"/>
            <w:noWrap/>
            <w:vAlign w:val="center"/>
            <w:hideMark/>
          </w:tcPr>
          <w:p w:rsidR="00F07E05" w:rsidRPr="00892248" w:rsidRDefault="00F07E05" w:rsidP="008A253E">
            <w:pPr>
              <w:jc w:val="center"/>
              <w:rPr>
                <w:b/>
                <w:bCs/>
                <w:sz w:val="22"/>
                <w:szCs w:val="22"/>
              </w:rPr>
            </w:pPr>
            <w:r w:rsidRPr="00892248">
              <w:rPr>
                <w:b/>
                <w:bCs/>
                <w:sz w:val="22"/>
                <w:szCs w:val="22"/>
              </w:rPr>
              <w:t> </w:t>
            </w:r>
          </w:p>
        </w:tc>
        <w:tc>
          <w:tcPr>
            <w:tcW w:w="1251" w:type="dxa"/>
            <w:tcBorders>
              <w:top w:val="nil"/>
              <w:left w:val="nil"/>
              <w:bottom w:val="single" w:sz="4" w:space="0" w:color="auto"/>
              <w:right w:val="single" w:sz="4" w:space="0" w:color="auto"/>
            </w:tcBorders>
            <w:shd w:val="clear" w:color="auto" w:fill="auto"/>
            <w:noWrap/>
            <w:vAlign w:val="center"/>
            <w:hideMark/>
          </w:tcPr>
          <w:p w:rsidR="00F07E05" w:rsidRPr="00892248" w:rsidRDefault="00F07E05" w:rsidP="008A253E">
            <w:pPr>
              <w:jc w:val="center"/>
              <w:rPr>
                <w:b/>
                <w:bCs/>
                <w:sz w:val="22"/>
                <w:szCs w:val="22"/>
              </w:rPr>
            </w:pPr>
            <w:r w:rsidRPr="00892248">
              <w:rPr>
                <w:b/>
                <w:bCs/>
                <w:sz w:val="22"/>
                <w:szCs w:val="22"/>
              </w:rPr>
              <w:t xml:space="preserve">   32 954 </w:t>
            </w:r>
          </w:p>
        </w:tc>
        <w:tc>
          <w:tcPr>
            <w:tcW w:w="1536" w:type="dxa"/>
            <w:tcBorders>
              <w:top w:val="nil"/>
              <w:left w:val="nil"/>
              <w:bottom w:val="single" w:sz="4" w:space="0" w:color="auto"/>
              <w:right w:val="single" w:sz="4" w:space="0" w:color="auto"/>
            </w:tcBorders>
            <w:shd w:val="clear" w:color="auto" w:fill="auto"/>
            <w:noWrap/>
            <w:vAlign w:val="center"/>
            <w:hideMark/>
          </w:tcPr>
          <w:p w:rsidR="00F07E05" w:rsidRPr="00892248" w:rsidRDefault="00F07E05" w:rsidP="008A253E">
            <w:pPr>
              <w:jc w:val="center"/>
              <w:rPr>
                <w:b/>
                <w:bCs/>
                <w:sz w:val="22"/>
                <w:szCs w:val="22"/>
              </w:rPr>
            </w:pPr>
            <w:r w:rsidRPr="00892248">
              <w:rPr>
                <w:b/>
                <w:bCs/>
                <w:sz w:val="22"/>
                <w:szCs w:val="22"/>
              </w:rPr>
              <w:t xml:space="preserve">   6 284 215 </w:t>
            </w:r>
          </w:p>
        </w:tc>
        <w:tc>
          <w:tcPr>
            <w:tcW w:w="1323" w:type="dxa"/>
            <w:gridSpan w:val="2"/>
            <w:tcBorders>
              <w:top w:val="nil"/>
              <w:left w:val="nil"/>
              <w:bottom w:val="single" w:sz="4" w:space="0" w:color="auto"/>
              <w:right w:val="single" w:sz="4" w:space="0" w:color="auto"/>
            </w:tcBorders>
            <w:shd w:val="clear" w:color="auto" w:fill="auto"/>
            <w:noWrap/>
            <w:vAlign w:val="center"/>
            <w:hideMark/>
          </w:tcPr>
          <w:p w:rsidR="00F07E05" w:rsidRPr="00892248" w:rsidRDefault="00F07E05" w:rsidP="008A253E">
            <w:pPr>
              <w:jc w:val="center"/>
              <w:rPr>
                <w:b/>
                <w:bCs/>
                <w:sz w:val="22"/>
                <w:szCs w:val="22"/>
              </w:rPr>
            </w:pPr>
            <w:r w:rsidRPr="00892248">
              <w:rPr>
                <w:b/>
                <w:bCs/>
                <w:sz w:val="22"/>
                <w:szCs w:val="22"/>
              </w:rPr>
              <w:t> </w:t>
            </w:r>
          </w:p>
        </w:tc>
        <w:tc>
          <w:tcPr>
            <w:tcW w:w="1394" w:type="dxa"/>
            <w:tcBorders>
              <w:top w:val="nil"/>
              <w:left w:val="nil"/>
              <w:bottom w:val="single" w:sz="4" w:space="0" w:color="auto"/>
              <w:right w:val="single" w:sz="4" w:space="0" w:color="auto"/>
            </w:tcBorders>
            <w:shd w:val="clear" w:color="auto" w:fill="auto"/>
            <w:noWrap/>
            <w:vAlign w:val="center"/>
            <w:hideMark/>
          </w:tcPr>
          <w:p w:rsidR="00F07E05" w:rsidRPr="00892248" w:rsidRDefault="00F07E05" w:rsidP="008A253E">
            <w:pPr>
              <w:jc w:val="center"/>
              <w:rPr>
                <w:b/>
                <w:bCs/>
                <w:sz w:val="22"/>
                <w:szCs w:val="22"/>
              </w:rPr>
            </w:pPr>
            <w:r w:rsidRPr="00892248">
              <w:rPr>
                <w:b/>
                <w:bCs/>
                <w:sz w:val="22"/>
                <w:szCs w:val="22"/>
              </w:rPr>
              <w:t xml:space="preserve">    33 111 </w:t>
            </w:r>
          </w:p>
        </w:tc>
        <w:tc>
          <w:tcPr>
            <w:tcW w:w="1536" w:type="dxa"/>
            <w:tcBorders>
              <w:top w:val="nil"/>
              <w:left w:val="nil"/>
              <w:bottom w:val="single" w:sz="4" w:space="0" w:color="auto"/>
              <w:right w:val="single" w:sz="4" w:space="0" w:color="auto"/>
            </w:tcBorders>
            <w:shd w:val="clear" w:color="auto" w:fill="auto"/>
            <w:noWrap/>
            <w:vAlign w:val="center"/>
            <w:hideMark/>
          </w:tcPr>
          <w:p w:rsidR="00F07E05" w:rsidRPr="00892248" w:rsidRDefault="00F07E05" w:rsidP="008A253E">
            <w:pPr>
              <w:jc w:val="center"/>
              <w:rPr>
                <w:b/>
                <w:bCs/>
                <w:sz w:val="22"/>
                <w:szCs w:val="22"/>
              </w:rPr>
            </w:pPr>
            <w:r w:rsidRPr="00892248">
              <w:rPr>
                <w:b/>
                <w:bCs/>
                <w:sz w:val="22"/>
                <w:szCs w:val="22"/>
              </w:rPr>
              <w:t xml:space="preserve">   6 311 035 </w:t>
            </w:r>
          </w:p>
        </w:tc>
      </w:tr>
    </w:tbl>
    <w:p w:rsidR="00F07E05" w:rsidRDefault="00F07E05" w:rsidP="00F07E05">
      <w:pPr>
        <w:pStyle w:val="a7"/>
        <w:ind w:left="709"/>
        <w:jc w:val="center"/>
        <w:rPr>
          <w:b/>
        </w:rPr>
      </w:pPr>
    </w:p>
    <w:p w:rsidR="00F07E05" w:rsidRDefault="00F07E05" w:rsidP="00F07E05">
      <w:pPr>
        <w:pStyle w:val="a7"/>
        <w:ind w:left="709"/>
        <w:jc w:val="center"/>
        <w:rPr>
          <w:b/>
        </w:rPr>
      </w:pPr>
    </w:p>
    <w:p w:rsidR="00F07E05" w:rsidRDefault="00F07E05" w:rsidP="00F07E05">
      <w:pPr>
        <w:pStyle w:val="a7"/>
        <w:ind w:left="709"/>
        <w:jc w:val="center"/>
        <w:rPr>
          <w:b/>
        </w:rPr>
      </w:pPr>
    </w:p>
    <w:p w:rsidR="00F07E05" w:rsidRPr="000C3C50" w:rsidRDefault="00F07E05" w:rsidP="00F07E05">
      <w:pPr>
        <w:pStyle w:val="a7"/>
        <w:ind w:left="709"/>
        <w:jc w:val="center"/>
        <w:rPr>
          <w:b/>
          <w:sz w:val="22"/>
          <w:szCs w:val="22"/>
        </w:rPr>
        <w:sectPr w:rsidR="00F07E05" w:rsidRPr="000C3C50" w:rsidSect="008A253E">
          <w:pgSz w:w="16838" w:h="11906" w:orient="landscape"/>
          <w:pgMar w:top="1560" w:right="1077" w:bottom="851" w:left="1134" w:header="709" w:footer="709" w:gutter="0"/>
          <w:cols w:space="708"/>
          <w:docGrid w:linePitch="360"/>
        </w:sectPr>
      </w:pPr>
    </w:p>
    <w:p w:rsidR="00F07E05" w:rsidRPr="00CE73BF" w:rsidRDefault="00F07E05" w:rsidP="00F07E05">
      <w:pPr>
        <w:jc w:val="center"/>
        <w:rPr>
          <w:b/>
          <w:sz w:val="28"/>
          <w:szCs w:val="28"/>
        </w:rPr>
      </w:pPr>
      <w:r w:rsidRPr="00CE73BF">
        <w:rPr>
          <w:b/>
          <w:sz w:val="28"/>
          <w:szCs w:val="28"/>
        </w:rPr>
        <w:lastRenderedPageBreak/>
        <w:t>Министерство транспорта Тверской области</w:t>
      </w:r>
    </w:p>
    <w:p w:rsidR="00F07E05" w:rsidRPr="000C3C50" w:rsidRDefault="00F07E05" w:rsidP="00F07E05">
      <w:pPr>
        <w:jc w:val="right"/>
        <w:rPr>
          <w:b/>
        </w:rPr>
      </w:pPr>
      <w:r w:rsidRPr="000C3C50">
        <w:rPr>
          <w:b/>
        </w:rPr>
        <w:t>тыс. руб.</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3328"/>
        <w:gridCol w:w="3193"/>
      </w:tblGrid>
      <w:tr w:rsidR="00F07E05" w:rsidRPr="000C3C50" w:rsidTr="008A253E">
        <w:trPr>
          <w:trHeight w:val="948"/>
        </w:trPr>
        <w:tc>
          <w:tcPr>
            <w:tcW w:w="2830" w:type="dxa"/>
          </w:tcPr>
          <w:p w:rsidR="00F07E05" w:rsidRPr="000C3C50" w:rsidRDefault="00F07E05" w:rsidP="008A253E">
            <w:pPr>
              <w:jc w:val="center"/>
              <w:rPr>
                <w:b/>
                <w:sz w:val="28"/>
                <w:szCs w:val="28"/>
              </w:rPr>
            </w:pPr>
            <w:r w:rsidRPr="000C3C50">
              <w:rPr>
                <w:b/>
                <w:sz w:val="28"/>
                <w:szCs w:val="28"/>
              </w:rPr>
              <w:t>Прогноз на 20</w:t>
            </w:r>
            <w:r>
              <w:rPr>
                <w:b/>
                <w:sz w:val="28"/>
                <w:szCs w:val="28"/>
              </w:rPr>
              <w:t>22</w:t>
            </w:r>
            <w:r w:rsidRPr="000C3C50">
              <w:rPr>
                <w:b/>
                <w:sz w:val="28"/>
                <w:szCs w:val="28"/>
              </w:rPr>
              <w:t xml:space="preserve"> год</w:t>
            </w:r>
          </w:p>
          <w:p w:rsidR="00F07E05" w:rsidRPr="000C3C50" w:rsidRDefault="00F07E05" w:rsidP="008A253E">
            <w:pPr>
              <w:jc w:val="center"/>
              <w:rPr>
                <w:b/>
                <w:sz w:val="28"/>
                <w:szCs w:val="28"/>
              </w:rPr>
            </w:pPr>
          </w:p>
        </w:tc>
        <w:tc>
          <w:tcPr>
            <w:tcW w:w="3328" w:type="dxa"/>
          </w:tcPr>
          <w:p w:rsidR="00F07E05" w:rsidRPr="000C3C50" w:rsidRDefault="00F07E05" w:rsidP="008A253E">
            <w:pPr>
              <w:jc w:val="center"/>
              <w:rPr>
                <w:b/>
                <w:sz w:val="28"/>
                <w:szCs w:val="28"/>
              </w:rPr>
            </w:pPr>
            <w:r w:rsidRPr="000C3C50">
              <w:rPr>
                <w:b/>
                <w:sz w:val="28"/>
                <w:szCs w:val="28"/>
              </w:rPr>
              <w:t>Прогноз на 20</w:t>
            </w:r>
            <w:r>
              <w:rPr>
                <w:b/>
                <w:sz w:val="28"/>
                <w:szCs w:val="28"/>
              </w:rPr>
              <w:t>23</w:t>
            </w:r>
            <w:r w:rsidRPr="000C3C50">
              <w:rPr>
                <w:b/>
                <w:sz w:val="28"/>
                <w:szCs w:val="28"/>
              </w:rPr>
              <w:t>год</w:t>
            </w:r>
          </w:p>
          <w:p w:rsidR="00F07E05" w:rsidRPr="000C3C50" w:rsidRDefault="00F07E05" w:rsidP="008A253E">
            <w:pPr>
              <w:jc w:val="center"/>
              <w:rPr>
                <w:b/>
                <w:sz w:val="28"/>
                <w:szCs w:val="28"/>
              </w:rPr>
            </w:pPr>
          </w:p>
        </w:tc>
        <w:tc>
          <w:tcPr>
            <w:tcW w:w="3193" w:type="dxa"/>
          </w:tcPr>
          <w:p w:rsidR="00F07E05" w:rsidRDefault="00F07E05" w:rsidP="008A253E">
            <w:pPr>
              <w:jc w:val="center"/>
              <w:rPr>
                <w:b/>
                <w:sz w:val="28"/>
                <w:szCs w:val="28"/>
              </w:rPr>
            </w:pPr>
            <w:r w:rsidRPr="000C3C50">
              <w:rPr>
                <w:b/>
                <w:sz w:val="28"/>
                <w:szCs w:val="28"/>
              </w:rPr>
              <w:t>Прогноз на 202</w:t>
            </w:r>
            <w:r>
              <w:rPr>
                <w:b/>
                <w:sz w:val="28"/>
                <w:szCs w:val="28"/>
              </w:rPr>
              <w:t>4</w:t>
            </w:r>
          </w:p>
          <w:p w:rsidR="00F07E05" w:rsidRPr="000C3C50" w:rsidRDefault="00F07E05" w:rsidP="008A253E">
            <w:pPr>
              <w:jc w:val="center"/>
              <w:rPr>
                <w:b/>
                <w:sz w:val="28"/>
                <w:szCs w:val="28"/>
              </w:rPr>
            </w:pPr>
            <w:r w:rsidRPr="000C3C50">
              <w:rPr>
                <w:b/>
                <w:sz w:val="28"/>
                <w:szCs w:val="28"/>
              </w:rPr>
              <w:t>год</w:t>
            </w:r>
          </w:p>
          <w:p w:rsidR="00F07E05" w:rsidRPr="000C3C50" w:rsidRDefault="00F07E05" w:rsidP="008A253E">
            <w:pPr>
              <w:jc w:val="center"/>
              <w:rPr>
                <w:b/>
                <w:sz w:val="28"/>
                <w:szCs w:val="28"/>
              </w:rPr>
            </w:pPr>
          </w:p>
        </w:tc>
      </w:tr>
      <w:tr w:rsidR="00F07E05" w:rsidRPr="000C3C50" w:rsidTr="008A253E">
        <w:trPr>
          <w:trHeight w:val="311"/>
        </w:trPr>
        <w:tc>
          <w:tcPr>
            <w:tcW w:w="2830" w:type="dxa"/>
          </w:tcPr>
          <w:p w:rsidR="00F07E05" w:rsidRPr="000C3C50" w:rsidRDefault="00F07E05" w:rsidP="008A253E">
            <w:pPr>
              <w:jc w:val="center"/>
              <w:rPr>
                <w:b/>
                <w:sz w:val="28"/>
                <w:szCs w:val="28"/>
              </w:rPr>
            </w:pPr>
            <w:r>
              <w:rPr>
                <w:b/>
                <w:sz w:val="28"/>
                <w:szCs w:val="28"/>
              </w:rPr>
              <w:t>462,3</w:t>
            </w:r>
          </w:p>
        </w:tc>
        <w:tc>
          <w:tcPr>
            <w:tcW w:w="3328" w:type="dxa"/>
          </w:tcPr>
          <w:p w:rsidR="00F07E05" w:rsidRPr="000C3C50" w:rsidRDefault="00F07E05" w:rsidP="008A253E">
            <w:pPr>
              <w:jc w:val="center"/>
              <w:rPr>
                <w:b/>
                <w:sz w:val="28"/>
                <w:szCs w:val="28"/>
              </w:rPr>
            </w:pPr>
            <w:r>
              <w:rPr>
                <w:b/>
                <w:sz w:val="28"/>
                <w:szCs w:val="28"/>
              </w:rPr>
              <w:t>462,3</w:t>
            </w:r>
          </w:p>
        </w:tc>
        <w:tc>
          <w:tcPr>
            <w:tcW w:w="3193" w:type="dxa"/>
          </w:tcPr>
          <w:p w:rsidR="00F07E05" w:rsidRPr="000C3C50" w:rsidRDefault="00F07E05" w:rsidP="008A253E">
            <w:pPr>
              <w:jc w:val="center"/>
              <w:rPr>
                <w:b/>
                <w:sz w:val="28"/>
                <w:szCs w:val="28"/>
              </w:rPr>
            </w:pPr>
            <w:r>
              <w:rPr>
                <w:b/>
                <w:sz w:val="28"/>
                <w:szCs w:val="28"/>
              </w:rPr>
              <w:t>462,3</w:t>
            </w:r>
          </w:p>
        </w:tc>
      </w:tr>
    </w:tbl>
    <w:p w:rsidR="00F07E05" w:rsidRPr="00FE0004" w:rsidRDefault="00F07E05" w:rsidP="00F07E05">
      <w:pPr>
        <w:pStyle w:val="a4"/>
      </w:pPr>
      <w:r w:rsidRPr="00FE0004">
        <w:t>В соответствии с постановлением Правительства Тверской области от 10.11.2011 № 183-пп «О мерах по государственному регулированию деятельности по перевозке пассажиров и багажа легковым такси на территории Тверской области» в 2021 году (по состоянию на 01.06.2021) выдано 385 разрешения на осуществление деятельности по перевозке пассажиров и багажа легковым такси по 500 рублей, 1 дубликат разрешения на осуществление деятельности по перевозке пассажиров и багажа легковым такси. По состоянию на 01.06.2021 поступило 192,75 тыс. руб.</w:t>
      </w:r>
    </w:p>
    <w:p w:rsidR="00F07E05" w:rsidRPr="00FE0004" w:rsidRDefault="00F07E05" w:rsidP="00F07E05">
      <w:pPr>
        <w:pStyle w:val="a4"/>
      </w:pPr>
      <w:r w:rsidRPr="00FE0004">
        <w:t xml:space="preserve">Среднемесячное количество разрешений, выданных в 2021 году сложилось в размере 77 штук (192,5 тыс. руб.: 0,5 тыс. руб./5 месяцев) </w:t>
      </w:r>
    </w:p>
    <w:p w:rsidR="00F07E05" w:rsidRPr="00FE0004" w:rsidRDefault="00F07E05" w:rsidP="00F07E05">
      <w:pPr>
        <w:pStyle w:val="a4"/>
      </w:pPr>
      <w:r w:rsidRPr="00FE0004">
        <w:t>Ожидаемое поступление денежных средств за 2021 год планируется из расчета фактически полученных средств на 01.06.2021 (192,75 тыс. руб.) и ожидаемого поступления средств за июнь – декабрь 2021 года</w:t>
      </w:r>
      <w:r w:rsidRPr="00FE0004">
        <w:br/>
        <w:t>(77 штук х 0,5 тыс. руб. х 7 мес. = 269,5 тыс. руб.</w:t>
      </w:r>
    </w:p>
    <w:p w:rsidR="00F07E05" w:rsidRPr="00FE0004" w:rsidRDefault="00F07E05" w:rsidP="00F07E05">
      <w:pPr>
        <w:pStyle w:val="a4"/>
      </w:pPr>
    </w:p>
    <w:p w:rsidR="00F07E05" w:rsidRPr="00FE0004" w:rsidRDefault="00F07E05" w:rsidP="00F07E05">
      <w:pPr>
        <w:pStyle w:val="a4"/>
        <w:jc w:val="center"/>
      </w:pPr>
      <w:r w:rsidRPr="00FE0004">
        <w:rPr>
          <w:b/>
        </w:rPr>
        <w:t>ПР</w:t>
      </w:r>
      <w:r w:rsidRPr="00FE0004">
        <w:rPr>
          <w:b/>
          <w:vertAlign w:val="subscript"/>
        </w:rPr>
        <w:t>дох</w:t>
      </w:r>
      <w:r w:rsidRPr="00FE0004">
        <w:rPr>
          <w:b/>
        </w:rPr>
        <w:t>=Ф+(К</w:t>
      </w:r>
      <w:r w:rsidRPr="00FE0004">
        <w:rPr>
          <w:b/>
          <w:vertAlign w:val="subscript"/>
        </w:rPr>
        <w:t>об</w:t>
      </w:r>
      <w:r w:rsidRPr="00FE0004">
        <w:rPr>
          <w:b/>
        </w:rPr>
        <w:t>+СТ</w:t>
      </w:r>
      <w:r w:rsidRPr="00FE0004">
        <w:rPr>
          <w:b/>
          <w:vertAlign w:val="subscript"/>
        </w:rPr>
        <w:t>разр.</w:t>
      </w:r>
      <w:r w:rsidRPr="00FE0004">
        <w:rPr>
          <w:b/>
        </w:rPr>
        <w:t>),</w:t>
      </w:r>
      <w:r w:rsidRPr="00FE0004">
        <w:t xml:space="preserve"> где</w:t>
      </w:r>
    </w:p>
    <w:p w:rsidR="00F07E05" w:rsidRPr="00FE0004" w:rsidRDefault="00F07E05" w:rsidP="00F07E05">
      <w:pPr>
        <w:pStyle w:val="a4"/>
        <w:jc w:val="center"/>
      </w:pPr>
    </w:p>
    <w:p w:rsidR="00F07E05" w:rsidRPr="00FE0004" w:rsidRDefault="00F07E05" w:rsidP="00F07E05">
      <w:pPr>
        <w:pStyle w:val="a4"/>
      </w:pPr>
      <w:r w:rsidRPr="00FE0004">
        <w:rPr>
          <w:b/>
        </w:rPr>
        <w:t>ПР</w:t>
      </w:r>
      <w:r w:rsidRPr="00FE0004">
        <w:rPr>
          <w:b/>
          <w:vertAlign w:val="subscript"/>
        </w:rPr>
        <w:t>дох</w:t>
      </w:r>
      <w:r w:rsidRPr="00FE0004">
        <w:rPr>
          <w:b/>
        </w:rPr>
        <w:t xml:space="preserve"> – </w:t>
      </w:r>
      <w:r w:rsidRPr="00FE0004">
        <w:t>платежи за выдачу разрешений на осуществление деятельности по перевозке пассажиров и багажа легковым такси.</w:t>
      </w:r>
    </w:p>
    <w:p w:rsidR="00F07E05" w:rsidRPr="00FE0004" w:rsidRDefault="00F07E05" w:rsidP="00F07E05">
      <w:pPr>
        <w:pStyle w:val="a4"/>
      </w:pPr>
      <w:r w:rsidRPr="00FE0004">
        <w:rPr>
          <w:b/>
        </w:rPr>
        <w:t>Ф</w:t>
      </w:r>
      <w:r w:rsidRPr="00FE0004">
        <w:t xml:space="preserve"> – фактическое поступление средств на 01.06.2020.</w:t>
      </w:r>
    </w:p>
    <w:p w:rsidR="00F07E05" w:rsidRPr="00FE0004" w:rsidRDefault="00F07E05" w:rsidP="00F07E05">
      <w:pPr>
        <w:pStyle w:val="a4"/>
      </w:pPr>
      <w:r w:rsidRPr="00FE0004">
        <w:rPr>
          <w:b/>
        </w:rPr>
        <w:t>К</w:t>
      </w:r>
      <w:r w:rsidRPr="00FE0004">
        <w:rPr>
          <w:b/>
          <w:vertAlign w:val="subscript"/>
        </w:rPr>
        <w:t>об</w:t>
      </w:r>
      <w:r w:rsidRPr="00FE0004">
        <w:t xml:space="preserve"> – планируемое количество выданных разрешений за июнь - декабрь 2021 года (77 разр. х 7 мес. = 539 разр.).</w:t>
      </w:r>
    </w:p>
    <w:p w:rsidR="00F07E05" w:rsidRPr="00FE0004" w:rsidRDefault="00F07E05" w:rsidP="00F07E05">
      <w:pPr>
        <w:pStyle w:val="a4"/>
      </w:pPr>
      <w:r w:rsidRPr="00FE0004">
        <w:rPr>
          <w:b/>
        </w:rPr>
        <w:t>СТ</w:t>
      </w:r>
      <w:r w:rsidRPr="00FE0004">
        <w:rPr>
          <w:b/>
          <w:vertAlign w:val="subscript"/>
        </w:rPr>
        <w:t>разр.</w:t>
      </w:r>
      <w:r w:rsidRPr="00FE0004">
        <w:t xml:space="preserve"> – размер платы за выдачу разрешений на осуществление деятельности по перевозке пассажиров и багажа легковым такси (0,5 тыс. руб.).</w:t>
      </w:r>
    </w:p>
    <w:p w:rsidR="00F07E05" w:rsidRPr="00FE0004" w:rsidRDefault="00F07E05" w:rsidP="00F07E05">
      <w:pPr>
        <w:pStyle w:val="a4"/>
        <w:ind w:firstLine="720"/>
      </w:pPr>
    </w:p>
    <w:p w:rsidR="00F07E05" w:rsidRPr="00FE0004" w:rsidRDefault="00F07E05" w:rsidP="00F07E05">
      <w:pPr>
        <w:pStyle w:val="a4"/>
        <w:ind w:firstLine="720"/>
        <w:jc w:val="center"/>
        <w:rPr>
          <w:b/>
        </w:rPr>
      </w:pPr>
      <w:r w:rsidRPr="00FE0004">
        <w:rPr>
          <w:b/>
        </w:rPr>
        <w:t>192,750 тыс. руб. + (539 разр. х 0,5 тыс. руб.) = 462,25 тыс.руб.</w:t>
      </w:r>
    </w:p>
    <w:p w:rsidR="00F07E05" w:rsidRPr="00FE0004" w:rsidRDefault="00F07E05" w:rsidP="00F07E05">
      <w:pPr>
        <w:pStyle w:val="a4"/>
        <w:ind w:firstLine="720"/>
        <w:jc w:val="center"/>
      </w:pPr>
    </w:p>
    <w:p w:rsidR="00F07E05" w:rsidRPr="00FE0004" w:rsidRDefault="00F07E05" w:rsidP="00F07E05">
      <w:pPr>
        <w:pStyle w:val="a4"/>
      </w:pPr>
      <w:r w:rsidRPr="00FE0004">
        <w:t xml:space="preserve">Прогнозируемое поступление средств на 2022 год и плановый период 2023 - 2024 годов рассчитывалось с учетом, что размер платы за выдачу разрешений разрешения на осуществление деятельности по перевозке пассажиров и багажа легковым такси составляет 0,5 тыс. руб., а количество перевозчиков, нуждающихся в данном виде разрешений, дубликатов </w:t>
      </w:r>
      <w:r w:rsidRPr="00FE0004">
        <w:lastRenderedPageBreak/>
        <w:t>разрешений на осуществление деятельности по перевозке пассажиров и багажа легковым такси, может оставаться на прежнем уровне.</w:t>
      </w:r>
    </w:p>
    <w:p w:rsidR="00F07E05" w:rsidRPr="00FE0004" w:rsidRDefault="00F07E05" w:rsidP="00F07E05">
      <w:pPr>
        <w:pStyle w:val="a4"/>
        <w:jc w:val="center"/>
        <w:rPr>
          <w:b/>
        </w:rPr>
      </w:pPr>
      <w:r w:rsidRPr="00FE0004">
        <w:rPr>
          <w:b/>
        </w:rPr>
        <w:t>924 разр. х 0,5 тыс. руб. + 1 дубликат разр. х 0,25 = 462,25 тыс. руб.</w:t>
      </w:r>
    </w:p>
    <w:p w:rsidR="00F07E05" w:rsidRPr="000C3C50" w:rsidRDefault="00F07E05" w:rsidP="00F07E05">
      <w:pPr>
        <w:pStyle w:val="a4"/>
        <w:jc w:val="center"/>
        <w:rPr>
          <w:b/>
        </w:rPr>
      </w:pPr>
    </w:p>
    <w:p w:rsidR="00F07E05" w:rsidRPr="004E7B14" w:rsidRDefault="00F07E05" w:rsidP="00F07E05">
      <w:pPr>
        <w:pStyle w:val="a7"/>
        <w:ind w:left="709"/>
        <w:jc w:val="center"/>
        <w:rPr>
          <w:b/>
          <w:sz w:val="28"/>
          <w:szCs w:val="28"/>
        </w:rPr>
      </w:pPr>
      <w:r w:rsidRPr="004E7B14">
        <w:rPr>
          <w:b/>
          <w:sz w:val="28"/>
          <w:szCs w:val="28"/>
        </w:rPr>
        <w:t>Прочие неналоговые доходы КБК 000 1 1705000 00 0000 180</w:t>
      </w:r>
    </w:p>
    <w:p w:rsidR="00F07E05" w:rsidRPr="00712F34" w:rsidRDefault="00F07E05" w:rsidP="00F07E05">
      <w:pPr>
        <w:pStyle w:val="a7"/>
        <w:ind w:left="709"/>
        <w:jc w:val="right"/>
        <w:rPr>
          <w:sz w:val="28"/>
          <w:szCs w:val="28"/>
        </w:rPr>
      </w:pPr>
      <w:r w:rsidRPr="00712F34">
        <w:rPr>
          <w:sz w:val="28"/>
          <w:szCs w:val="28"/>
        </w:rPr>
        <w:t>тыс. руб.</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3338"/>
        <w:gridCol w:w="3041"/>
      </w:tblGrid>
      <w:tr w:rsidR="00F07E05" w:rsidRPr="000C3C50" w:rsidTr="008A253E">
        <w:trPr>
          <w:trHeight w:val="293"/>
        </w:trPr>
        <w:tc>
          <w:tcPr>
            <w:tcW w:w="2972" w:type="dxa"/>
          </w:tcPr>
          <w:p w:rsidR="00F07E05" w:rsidRPr="000C3C50" w:rsidRDefault="00F07E05" w:rsidP="008A253E">
            <w:pPr>
              <w:jc w:val="center"/>
              <w:rPr>
                <w:b/>
                <w:sz w:val="28"/>
                <w:szCs w:val="28"/>
              </w:rPr>
            </w:pPr>
            <w:r w:rsidRPr="000C3C50">
              <w:rPr>
                <w:b/>
                <w:sz w:val="28"/>
                <w:szCs w:val="28"/>
              </w:rPr>
              <w:t>Прогноз на 20</w:t>
            </w:r>
            <w:r>
              <w:rPr>
                <w:b/>
                <w:sz w:val="28"/>
                <w:szCs w:val="28"/>
              </w:rPr>
              <w:t>22</w:t>
            </w:r>
            <w:r w:rsidRPr="000C3C50">
              <w:rPr>
                <w:b/>
                <w:sz w:val="28"/>
                <w:szCs w:val="28"/>
              </w:rPr>
              <w:t xml:space="preserve"> год</w:t>
            </w:r>
          </w:p>
          <w:p w:rsidR="00F07E05" w:rsidRPr="000C3C50" w:rsidRDefault="00F07E05" w:rsidP="008A253E">
            <w:pPr>
              <w:jc w:val="center"/>
              <w:rPr>
                <w:b/>
                <w:sz w:val="28"/>
                <w:szCs w:val="28"/>
              </w:rPr>
            </w:pPr>
          </w:p>
        </w:tc>
        <w:tc>
          <w:tcPr>
            <w:tcW w:w="3338" w:type="dxa"/>
          </w:tcPr>
          <w:p w:rsidR="00F07E05" w:rsidRPr="000C3C50" w:rsidRDefault="00F07E05" w:rsidP="008A253E">
            <w:pPr>
              <w:jc w:val="center"/>
              <w:rPr>
                <w:b/>
                <w:sz w:val="28"/>
                <w:szCs w:val="28"/>
              </w:rPr>
            </w:pPr>
            <w:r w:rsidRPr="000C3C50">
              <w:rPr>
                <w:b/>
                <w:sz w:val="28"/>
                <w:szCs w:val="28"/>
              </w:rPr>
              <w:t>Прогноз на 20</w:t>
            </w:r>
            <w:r>
              <w:rPr>
                <w:b/>
                <w:sz w:val="28"/>
                <w:szCs w:val="28"/>
              </w:rPr>
              <w:t xml:space="preserve">23 </w:t>
            </w:r>
            <w:r w:rsidRPr="000C3C50">
              <w:rPr>
                <w:b/>
                <w:sz w:val="28"/>
                <w:szCs w:val="28"/>
              </w:rPr>
              <w:t>год</w:t>
            </w:r>
          </w:p>
          <w:p w:rsidR="00F07E05" w:rsidRPr="000C3C50" w:rsidRDefault="00F07E05" w:rsidP="008A253E">
            <w:pPr>
              <w:jc w:val="center"/>
              <w:rPr>
                <w:b/>
                <w:sz w:val="28"/>
                <w:szCs w:val="28"/>
              </w:rPr>
            </w:pPr>
          </w:p>
        </w:tc>
        <w:tc>
          <w:tcPr>
            <w:tcW w:w="3041" w:type="dxa"/>
          </w:tcPr>
          <w:p w:rsidR="00F07E05" w:rsidRPr="000C3C50" w:rsidRDefault="00F07E05" w:rsidP="008A253E">
            <w:pPr>
              <w:jc w:val="center"/>
              <w:rPr>
                <w:b/>
                <w:sz w:val="28"/>
                <w:szCs w:val="28"/>
              </w:rPr>
            </w:pPr>
            <w:r w:rsidRPr="000C3C50">
              <w:rPr>
                <w:b/>
                <w:sz w:val="28"/>
                <w:szCs w:val="28"/>
              </w:rPr>
              <w:t>Прогноз на 202</w:t>
            </w:r>
            <w:r>
              <w:rPr>
                <w:b/>
                <w:sz w:val="28"/>
                <w:szCs w:val="28"/>
              </w:rPr>
              <w:t xml:space="preserve">4 </w:t>
            </w:r>
            <w:r w:rsidRPr="000C3C50">
              <w:rPr>
                <w:b/>
                <w:sz w:val="28"/>
                <w:szCs w:val="28"/>
              </w:rPr>
              <w:t>год</w:t>
            </w:r>
          </w:p>
          <w:p w:rsidR="00F07E05" w:rsidRPr="000C3C50" w:rsidRDefault="00F07E05" w:rsidP="008A253E">
            <w:pPr>
              <w:jc w:val="center"/>
              <w:rPr>
                <w:b/>
                <w:sz w:val="28"/>
                <w:szCs w:val="28"/>
              </w:rPr>
            </w:pPr>
          </w:p>
        </w:tc>
      </w:tr>
      <w:tr w:rsidR="00F07E05" w:rsidRPr="000C3C50" w:rsidTr="008A253E">
        <w:trPr>
          <w:trHeight w:val="347"/>
        </w:trPr>
        <w:tc>
          <w:tcPr>
            <w:tcW w:w="2972" w:type="dxa"/>
          </w:tcPr>
          <w:p w:rsidR="00F07E05" w:rsidRPr="000C3C50" w:rsidRDefault="00F07E05" w:rsidP="008A253E">
            <w:pPr>
              <w:jc w:val="center"/>
              <w:rPr>
                <w:b/>
                <w:sz w:val="28"/>
                <w:szCs w:val="28"/>
              </w:rPr>
            </w:pPr>
            <w:r>
              <w:rPr>
                <w:b/>
                <w:sz w:val="28"/>
                <w:szCs w:val="28"/>
              </w:rPr>
              <w:t>62,7</w:t>
            </w:r>
          </w:p>
        </w:tc>
        <w:tc>
          <w:tcPr>
            <w:tcW w:w="3338" w:type="dxa"/>
          </w:tcPr>
          <w:p w:rsidR="00F07E05" w:rsidRPr="000C3C50" w:rsidRDefault="00F07E05" w:rsidP="008A253E">
            <w:pPr>
              <w:jc w:val="center"/>
              <w:rPr>
                <w:b/>
                <w:sz w:val="28"/>
                <w:szCs w:val="28"/>
              </w:rPr>
            </w:pPr>
            <w:r>
              <w:rPr>
                <w:b/>
                <w:sz w:val="28"/>
                <w:szCs w:val="28"/>
              </w:rPr>
              <w:t>63,3</w:t>
            </w:r>
          </w:p>
        </w:tc>
        <w:tc>
          <w:tcPr>
            <w:tcW w:w="3041" w:type="dxa"/>
          </w:tcPr>
          <w:p w:rsidR="00F07E05" w:rsidRPr="000C3C50" w:rsidRDefault="00F07E05" w:rsidP="008A253E">
            <w:pPr>
              <w:jc w:val="center"/>
              <w:rPr>
                <w:b/>
                <w:sz w:val="28"/>
                <w:szCs w:val="28"/>
              </w:rPr>
            </w:pPr>
            <w:r>
              <w:rPr>
                <w:b/>
                <w:sz w:val="28"/>
                <w:szCs w:val="28"/>
              </w:rPr>
              <w:t>64,0</w:t>
            </w:r>
          </w:p>
        </w:tc>
      </w:tr>
    </w:tbl>
    <w:p w:rsidR="00F07E05" w:rsidRDefault="00F07E05" w:rsidP="00F07E05">
      <w:pPr>
        <w:pStyle w:val="a7"/>
        <w:ind w:left="0" w:firstLine="709"/>
        <w:jc w:val="center"/>
        <w:rPr>
          <w:b/>
          <w:color w:val="FF0000"/>
          <w:sz w:val="28"/>
          <w:szCs w:val="28"/>
        </w:rPr>
      </w:pPr>
    </w:p>
    <w:p w:rsidR="00F07E05" w:rsidRPr="003613B2" w:rsidRDefault="00F07E05" w:rsidP="00F07E05">
      <w:pPr>
        <w:pStyle w:val="a7"/>
        <w:ind w:left="0" w:firstLine="709"/>
        <w:jc w:val="center"/>
        <w:rPr>
          <w:b/>
          <w:color w:val="FF0000"/>
          <w:sz w:val="28"/>
          <w:szCs w:val="28"/>
        </w:rPr>
      </w:pPr>
      <w:r w:rsidRPr="00B35193">
        <w:rPr>
          <w:b/>
          <w:sz w:val="28"/>
          <w:szCs w:val="28"/>
        </w:rPr>
        <w:t>Правительство Тверской области</w:t>
      </w:r>
    </w:p>
    <w:p w:rsidR="00F07E05" w:rsidRDefault="00F07E05" w:rsidP="00F07E05">
      <w:pPr>
        <w:pStyle w:val="a7"/>
        <w:ind w:left="0" w:firstLine="709"/>
        <w:jc w:val="both"/>
        <w:rPr>
          <w:sz w:val="28"/>
          <w:szCs w:val="28"/>
        </w:rPr>
      </w:pPr>
      <w:r w:rsidRPr="000E696C">
        <w:rPr>
          <w:sz w:val="28"/>
          <w:szCs w:val="28"/>
        </w:rPr>
        <w:t>При прогнозировании доходов в соответствии с методикой утвержденной приказом Правительства Тверской области от 01.09.2016 № 91 применялся метод усреднения.</w:t>
      </w:r>
    </w:p>
    <w:p w:rsidR="00F07E05" w:rsidRDefault="00F07E05" w:rsidP="00F07E05">
      <w:pPr>
        <w:pStyle w:val="a7"/>
        <w:ind w:left="0" w:firstLine="709"/>
        <w:jc w:val="both"/>
        <w:rPr>
          <w:sz w:val="28"/>
          <w:szCs w:val="28"/>
        </w:rPr>
      </w:pPr>
      <w:r>
        <w:rPr>
          <w:sz w:val="28"/>
          <w:szCs w:val="28"/>
        </w:rPr>
        <w:t>2019 год (факт) – 0,0 тыс. руб.</w:t>
      </w:r>
    </w:p>
    <w:p w:rsidR="00F07E05" w:rsidRDefault="00F07E05" w:rsidP="00F07E05">
      <w:pPr>
        <w:pStyle w:val="a7"/>
        <w:ind w:left="0" w:firstLine="709"/>
        <w:jc w:val="both"/>
        <w:rPr>
          <w:sz w:val="28"/>
          <w:szCs w:val="28"/>
        </w:rPr>
      </w:pPr>
      <w:r>
        <w:rPr>
          <w:sz w:val="28"/>
          <w:szCs w:val="28"/>
        </w:rPr>
        <w:t>2020 год (факт) – 0,3 тыс. руб.</w:t>
      </w:r>
    </w:p>
    <w:p w:rsidR="00F07E05" w:rsidRPr="000E696C" w:rsidRDefault="00F07E05" w:rsidP="00F07E05">
      <w:pPr>
        <w:pStyle w:val="a7"/>
        <w:ind w:left="0" w:firstLine="709"/>
        <w:jc w:val="both"/>
        <w:rPr>
          <w:sz w:val="28"/>
          <w:szCs w:val="28"/>
        </w:rPr>
      </w:pPr>
      <w:r>
        <w:rPr>
          <w:sz w:val="28"/>
          <w:szCs w:val="28"/>
        </w:rPr>
        <w:t>2021 год (оценка) – 4,9 тыс. руб.</w:t>
      </w:r>
    </w:p>
    <w:p w:rsidR="00F07E05" w:rsidRDefault="00F07E05" w:rsidP="00F07E05">
      <w:pPr>
        <w:pStyle w:val="a7"/>
        <w:ind w:left="0" w:firstLine="709"/>
        <w:jc w:val="both"/>
        <w:rPr>
          <w:b/>
          <w:sz w:val="28"/>
          <w:szCs w:val="28"/>
        </w:rPr>
      </w:pPr>
      <w:r>
        <w:rPr>
          <w:b/>
          <w:sz w:val="28"/>
          <w:szCs w:val="28"/>
        </w:rPr>
        <w:t xml:space="preserve">Прогноз 2022 год= 1,7 тыс. руб. </w:t>
      </w:r>
      <w:r w:rsidRPr="000E696C">
        <w:rPr>
          <w:sz w:val="28"/>
          <w:szCs w:val="28"/>
        </w:rPr>
        <w:t>(</w:t>
      </w:r>
      <w:r>
        <w:rPr>
          <w:sz w:val="28"/>
          <w:szCs w:val="28"/>
        </w:rPr>
        <w:t>0,0 тыс. руб. +0,3 тыс. руб. + 4,9 тыс. руб)</w:t>
      </w:r>
      <w:r w:rsidRPr="000E696C">
        <w:rPr>
          <w:sz w:val="28"/>
          <w:szCs w:val="28"/>
        </w:rPr>
        <w:t>/3</w:t>
      </w:r>
      <w:r>
        <w:rPr>
          <w:b/>
          <w:sz w:val="28"/>
          <w:szCs w:val="28"/>
        </w:rPr>
        <w:t xml:space="preserve">= </w:t>
      </w:r>
      <w:r>
        <w:rPr>
          <w:sz w:val="28"/>
          <w:szCs w:val="28"/>
        </w:rPr>
        <w:t>1,7</w:t>
      </w:r>
      <w:r w:rsidRPr="004E7B14">
        <w:rPr>
          <w:sz w:val="28"/>
          <w:szCs w:val="28"/>
        </w:rPr>
        <w:t xml:space="preserve"> тыс. руб.</w:t>
      </w:r>
    </w:p>
    <w:p w:rsidR="00F07E05" w:rsidRPr="004E7B14" w:rsidRDefault="00F07E05" w:rsidP="00F07E05">
      <w:pPr>
        <w:pStyle w:val="a7"/>
        <w:ind w:left="0" w:firstLine="709"/>
        <w:jc w:val="both"/>
        <w:rPr>
          <w:sz w:val="28"/>
          <w:szCs w:val="28"/>
        </w:rPr>
      </w:pPr>
      <w:r>
        <w:rPr>
          <w:b/>
          <w:sz w:val="28"/>
          <w:szCs w:val="28"/>
        </w:rPr>
        <w:t>Прогноз 2023 год =  2,3 тыс. руб. (</w:t>
      </w:r>
      <w:r>
        <w:rPr>
          <w:sz w:val="28"/>
          <w:szCs w:val="28"/>
        </w:rPr>
        <w:t>0,3 тыс. руб.+4,9 тыс. руб.+1,7 тыс. руб</w:t>
      </w:r>
      <w:r w:rsidRPr="000E696C">
        <w:rPr>
          <w:sz w:val="28"/>
          <w:szCs w:val="28"/>
        </w:rPr>
        <w:t>)/3</w:t>
      </w:r>
      <w:r>
        <w:rPr>
          <w:b/>
          <w:sz w:val="28"/>
          <w:szCs w:val="28"/>
        </w:rPr>
        <w:t xml:space="preserve">= </w:t>
      </w:r>
      <w:r>
        <w:rPr>
          <w:sz w:val="28"/>
          <w:szCs w:val="28"/>
        </w:rPr>
        <w:t>2,3</w:t>
      </w:r>
      <w:r w:rsidRPr="004E7B14">
        <w:rPr>
          <w:sz w:val="28"/>
          <w:szCs w:val="28"/>
        </w:rPr>
        <w:t xml:space="preserve"> тыс. руб.</w:t>
      </w:r>
    </w:p>
    <w:p w:rsidR="00F07E05" w:rsidRPr="004E7B14" w:rsidRDefault="00F07E05" w:rsidP="00F07E05">
      <w:pPr>
        <w:pStyle w:val="a7"/>
        <w:ind w:left="0" w:firstLine="709"/>
        <w:jc w:val="both"/>
        <w:rPr>
          <w:sz w:val="28"/>
          <w:szCs w:val="28"/>
        </w:rPr>
      </w:pPr>
      <w:r>
        <w:rPr>
          <w:b/>
          <w:sz w:val="28"/>
          <w:szCs w:val="28"/>
        </w:rPr>
        <w:t>Прогноз 2024 год = 3,0 тыс. руб. (</w:t>
      </w:r>
      <w:r>
        <w:rPr>
          <w:sz w:val="28"/>
          <w:szCs w:val="28"/>
        </w:rPr>
        <w:t>4,9 тыс. руб. + 1,7 тыс. руб + 2,3 тыс. руб.</w:t>
      </w:r>
      <w:r w:rsidRPr="000E696C">
        <w:rPr>
          <w:sz w:val="28"/>
          <w:szCs w:val="28"/>
        </w:rPr>
        <w:t>)/3</w:t>
      </w:r>
      <w:r>
        <w:rPr>
          <w:b/>
          <w:sz w:val="28"/>
          <w:szCs w:val="28"/>
        </w:rPr>
        <w:t xml:space="preserve">= </w:t>
      </w:r>
      <w:r>
        <w:rPr>
          <w:sz w:val="28"/>
          <w:szCs w:val="28"/>
        </w:rPr>
        <w:t>3,0</w:t>
      </w:r>
      <w:r w:rsidRPr="004E7B14">
        <w:rPr>
          <w:sz w:val="28"/>
          <w:szCs w:val="28"/>
        </w:rPr>
        <w:t xml:space="preserve">  тыс. руб.</w:t>
      </w:r>
    </w:p>
    <w:p w:rsidR="00F07E05" w:rsidRDefault="00F07E05" w:rsidP="00F07E05">
      <w:pPr>
        <w:pStyle w:val="a7"/>
        <w:ind w:left="0" w:firstLine="709"/>
        <w:jc w:val="center"/>
        <w:rPr>
          <w:b/>
          <w:color w:val="FF0000"/>
          <w:sz w:val="28"/>
          <w:szCs w:val="28"/>
        </w:rPr>
      </w:pPr>
    </w:p>
    <w:p w:rsidR="00F07E05" w:rsidRPr="00B35193" w:rsidRDefault="00F07E05" w:rsidP="00F07E05">
      <w:pPr>
        <w:pStyle w:val="a7"/>
        <w:ind w:left="0" w:firstLine="709"/>
        <w:jc w:val="center"/>
        <w:rPr>
          <w:b/>
          <w:sz w:val="28"/>
          <w:szCs w:val="28"/>
        </w:rPr>
      </w:pPr>
      <w:r w:rsidRPr="00B35193">
        <w:rPr>
          <w:b/>
          <w:sz w:val="28"/>
          <w:szCs w:val="28"/>
        </w:rPr>
        <w:t>Министерство образования Тверской области</w:t>
      </w:r>
    </w:p>
    <w:p w:rsidR="00F07E05" w:rsidRPr="00781A96" w:rsidRDefault="00F07E05" w:rsidP="00F07E05">
      <w:pPr>
        <w:tabs>
          <w:tab w:val="left" w:pos="1276"/>
        </w:tabs>
        <w:ind w:firstLine="851"/>
        <w:jc w:val="both"/>
        <w:rPr>
          <w:sz w:val="28"/>
          <w:szCs w:val="28"/>
        </w:rPr>
      </w:pPr>
      <w:r w:rsidRPr="000A4B83">
        <w:rPr>
          <w:sz w:val="28"/>
          <w:szCs w:val="28"/>
        </w:rPr>
        <w:t>Для расчета прогнозируемого объема доходов применяется метод экстраполяции</w:t>
      </w:r>
      <w:r>
        <w:rPr>
          <w:sz w:val="28"/>
          <w:szCs w:val="28"/>
        </w:rPr>
        <w:t xml:space="preserve"> по минимальному значению </w:t>
      </w:r>
      <w:r w:rsidRPr="00781A96">
        <w:rPr>
          <w:sz w:val="28"/>
          <w:szCs w:val="28"/>
        </w:rPr>
        <w:t>по результатам анализа годовых объемов поступлений за три предшествующих текущему год</w:t>
      </w:r>
      <w:r>
        <w:rPr>
          <w:sz w:val="28"/>
          <w:szCs w:val="28"/>
        </w:rPr>
        <w:t>у.</w:t>
      </w:r>
      <w:r w:rsidRPr="00781A96">
        <w:rPr>
          <w:sz w:val="28"/>
          <w:szCs w:val="28"/>
        </w:rPr>
        <w:t xml:space="preserve"> </w:t>
      </w:r>
    </w:p>
    <w:p w:rsidR="00F07E05" w:rsidRPr="000256CC" w:rsidRDefault="00F07E05" w:rsidP="00F07E05">
      <w:pPr>
        <w:pStyle w:val="ConsPlusNormal"/>
        <w:tabs>
          <w:tab w:val="left" w:pos="1276"/>
        </w:tabs>
        <w:ind w:firstLine="709"/>
        <w:jc w:val="both"/>
        <w:rPr>
          <w:rFonts w:ascii="Times New Roman" w:hAnsi="Times New Roman"/>
          <w:sz w:val="28"/>
          <w:szCs w:val="28"/>
        </w:rPr>
      </w:pPr>
      <w:r w:rsidRPr="000A4B83">
        <w:rPr>
          <w:sz w:val="28"/>
          <w:szCs w:val="28"/>
        </w:rPr>
        <w:t xml:space="preserve"> </w:t>
      </w:r>
      <w:r w:rsidRPr="000256CC">
        <w:rPr>
          <w:rFonts w:ascii="Times New Roman" w:hAnsi="Times New Roman"/>
          <w:sz w:val="28"/>
          <w:szCs w:val="28"/>
        </w:rPr>
        <w:t xml:space="preserve">Поступления </w:t>
      </w:r>
      <w:r>
        <w:rPr>
          <w:rFonts w:ascii="Times New Roman" w:hAnsi="Times New Roman"/>
          <w:color w:val="000000"/>
          <w:sz w:val="28"/>
          <w:szCs w:val="28"/>
        </w:rPr>
        <w:t>д</w:t>
      </w:r>
      <w:r w:rsidRPr="00C444C0">
        <w:rPr>
          <w:rFonts w:ascii="Times New Roman" w:hAnsi="Times New Roman"/>
          <w:color w:val="000000"/>
          <w:sz w:val="28"/>
          <w:szCs w:val="28"/>
        </w:rPr>
        <w:t>оход</w:t>
      </w:r>
      <w:r>
        <w:rPr>
          <w:rFonts w:ascii="Times New Roman" w:hAnsi="Times New Roman"/>
          <w:color w:val="000000"/>
          <w:sz w:val="28"/>
          <w:szCs w:val="28"/>
        </w:rPr>
        <w:t>ов</w:t>
      </w:r>
      <w:r w:rsidRPr="00C444C0">
        <w:rPr>
          <w:rFonts w:ascii="Times New Roman" w:hAnsi="Times New Roman"/>
          <w:color w:val="000000"/>
          <w:sz w:val="28"/>
          <w:szCs w:val="28"/>
        </w:rPr>
        <w:t xml:space="preserve"> </w:t>
      </w:r>
      <w:r w:rsidRPr="000256CC">
        <w:rPr>
          <w:rFonts w:ascii="Times New Roman" w:hAnsi="Times New Roman"/>
          <w:sz w:val="28"/>
          <w:szCs w:val="28"/>
        </w:rPr>
        <w:t>за три предшествующих текущему года составили:</w:t>
      </w:r>
    </w:p>
    <w:p w:rsidR="00F07E05" w:rsidRPr="00C444C0" w:rsidRDefault="00F07E05" w:rsidP="00F07E05">
      <w:pPr>
        <w:ind w:firstLine="709"/>
        <w:jc w:val="both"/>
        <w:rPr>
          <w:sz w:val="28"/>
          <w:szCs w:val="28"/>
        </w:rPr>
      </w:pPr>
      <w:r w:rsidRPr="00C444C0">
        <w:rPr>
          <w:sz w:val="28"/>
          <w:szCs w:val="28"/>
        </w:rPr>
        <w:t>в 201</w:t>
      </w:r>
      <w:r>
        <w:rPr>
          <w:sz w:val="28"/>
          <w:szCs w:val="28"/>
        </w:rPr>
        <w:t>8</w:t>
      </w:r>
      <w:r w:rsidRPr="00C444C0">
        <w:rPr>
          <w:sz w:val="28"/>
          <w:szCs w:val="28"/>
        </w:rPr>
        <w:t xml:space="preserve"> году – </w:t>
      </w:r>
      <w:r>
        <w:rPr>
          <w:sz w:val="28"/>
          <w:szCs w:val="28"/>
        </w:rPr>
        <w:t>61,0</w:t>
      </w:r>
      <w:r w:rsidRPr="00C444C0">
        <w:rPr>
          <w:sz w:val="28"/>
          <w:szCs w:val="28"/>
        </w:rPr>
        <w:t xml:space="preserve"> тыс. руб.;</w:t>
      </w:r>
    </w:p>
    <w:p w:rsidR="00F07E05" w:rsidRDefault="00F07E05" w:rsidP="00F07E05">
      <w:pPr>
        <w:ind w:firstLine="709"/>
        <w:jc w:val="both"/>
        <w:rPr>
          <w:sz w:val="28"/>
          <w:szCs w:val="28"/>
        </w:rPr>
      </w:pPr>
      <w:r w:rsidRPr="00C444C0">
        <w:rPr>
          <w:sz w:val="28"/>
          <w:szCs w:val="28"/>
        </w:rPr>
        <w:t>в 201</w:t>
      </w:r>
      <w:r>
        <w:rPr>
          <w:sz w:val="28"/>
          <w:szCs w:val="28"/>
        </w:rPr>
        <w:t>9</w:t>
      </w:r>
      <w:r w:rsidRPr="00C444C0">
        <w:rPr>
          <w:sz w:val="28"/>
          <w:szCs w:val="28"/>
        </w:rPr>
        <w:t xml:space="preserve"> году – </w:t>
      </w:r>
      <w:r>
        <w:rPr>
          <w:sz w:val="28"/>
          <w:szCs w:val="28"/>
        </w:rPr>
        <w:t xml:space="preserve">50,0 </w:t>
      </w:r>
      <w:r w:rsidRPr="00C444C0">
        <w:rPr>
          <w:sz w:val="28"/>
          <w:szCs w:val="28"/>
        </w:rPr>
        <w:t>тыс. руб.</w:t>
      </w:r>
      <w:r>
        <w:rPr>
          <w:sz w:val="28"/>
          <w:szCs w:val="28"/>
        </w:rPr>
        <w:t>;</w:t>
      </w:r>
    </w:p>
    <w:p w:rsidR="00F07E05" w:rsidRPr="00C444C0" w:rsidRDefault="00F07E05" w:rsidP="00F07E05">
      <w:pPr>
        <w:ind w:firstLine="709"/>
        <w:jc w:val="both"/>
        <w:rPr>
          <w:sz w:val="28"/>
          <w:szCs w:val="28"/>
        </w:rPr>
      </w:pPr>
      <w:r>
        <w:rPr>
          <w:sz w:val="28"/>
          <w:szCs w:val="28"/>
        </w:rPr>
        <w:t>в 2020 году – 1 191,5 тыс. руб.</w:t>
      </w:r>
    </w:p>
    <w:p w:rsidR="00F07E05" w:rsidRDefault="00F07E05" w:rsidP="00F07E05">
      <w:pPr>
        <w:tabs>
          <w:tab w:val="left" w:pos="1276"/>
        </w:tabs>
        <w:ind w:firstLine="709"/>
        <w:jc w:val="both"/>
        <w:rPr>
          <w:b/>
          <w:color w:val="000000"/>
          <w:sz w:val="28"/>
          <w:szCs w:val="28"/>
        </w:rPr>
      </w:pPr>
      <w:r w:rsidRPr="00A76034">
        <w:rPr>
          <w:b/>
          <w:color w:val="000000"/>
          <w:sz w:val="28"/>
          <w:szCs w:val="28"/>
        </w:rPr>
        <w:t>Прогноз поступлений</w:t>
      </w:r>
      <w:r>
        <w:rPr>
          <w:b/>
          <w:color w:val="000000"/>
          <w:sz w:val="28"/>
          <w:szCs w:val="28"/>
        </w:rPr>
        <w:t>:</w:t>
      </w:r>
    </w:p>
    <w:p w:rsidR="00F07E05" w:rsidRDefault="00F07E05" w:rsidP="00F07E05">
      <w:pPr>
        <w:tabs>
          <w:tab w:val="left" w:pos="1276"/>
        </w:tabs>
        <w:ind w:firstLine="709"/>
        <w:jc w:val="both"/>
        <w:rPr>
          <w:b/>
          <w:color w:val="000000"/>
          <w:sz w:val="28"/>
          <w:szCs w:val="28"/>
        </w:rPr>
      </w:pPr>
      <w:r w:rsidRPr="00A76034">
        <w:rPr>
          <w:b/>
          <w:color w:val="000000"/>
          <w:sz w:val="28"/>
          <w:szCs w:val="28"/>
        </w:rPr>
        <w:t xml:space="preserve"> 202</w:t>
      </w:r>
      <w:r>
        <w:rPr>
          <w:b/>
          <w:color w:val="000000"/>
          <w:sz w:val="28"/>
          <w:szCs w:val="28"/>
        </w:rPr>
        <w:t>2</w:t>
      </w:r>
      <w:r w:rsidRPr="00A76034">
        <w:rPr>
          <w:b/>
          <w:color w:val="000000"/>
          <w:sz w:val="28"/>
          <w:szCs w:val="28"/>
        </w:rPr>
        <w:t xml:space="preserve"> </w:t>
      </w:r>
      <w:r>
        <w:rPr>
          <w:b/>
          <w:color w:val="000000"/>
          <w:sz w:val="28"/>
          <w:szCs w:val="28"/>
        </w:rPr>
        <w:t xml:space="preserve"> год </w:t>
      </w:r>
      <w:r w:rsidRPr="00A76034">
        <w:rPr>
          <w:b/>
          <w:color w:val="000000"/>
          <w:sz w:val="28"/>
          <w:szCs w:val="28"/>
        </w:rPr>
        <w:t>–</w:t>
      </w:r>
      <w:r>
        <w:rPr>
          <w:b/>
          <w:color w:val="000000"/>
          <w:sz w:val="28"/>
          <w:szCs w:val="28"/>
        </w:rPr>
        <w:t xml:space="preserve"> 61,0 тыс. руб</w:t>
      </w:r>
    </w:p>
    <w:p w:rsidR="00F07E05" w:rsidRDefault="00F07E05" w:rsidP="00F07E05">
      <w:pPr>
        <w:tabs>
          <w:tab w:val="left" w:pos="1276"/>
        </w:tabs>
        <w:ind w:firstLine="709"/>
        <w:jc w:val="both"/>
        <w:rPr>
          <w:b/>
          <w:color w:val="000000"/>
          <w:sz w:val="28"/>
          <w:szCs w:val="28"/>
        </w:rPr>
      </w:pPr>
      <w:r w:rsidRPr="00A76034">
        <w:rPr>
          <w:b/>
          <w:color w:val="000000"/>
          <w:sz w:val="28"/>
          <w:szCs w:val="28"/>
        </w:rPr>
        <w:t>202</w:t>
      </w:r>
      <w:r>
        <w:rPr>
          <w:b/>
          <w:color w:val="000000"/>
          <w:sz w:val="28"/>
          <w:szCs w:val="28"/>
        </w:rPr>
        <w:t>3</w:t>
      </w:r>
      <w:r w:rsidRPr="00A76034">
        <w:rPr>
          <w:b/>
          <w:color w:val="000000"/>
          <w:sz w:val="28"/>
          <w:szCs w:val="28"/>
        </w:rPr>
        <w:t xml:space="preserve"> </w:t>
      </w:r>
      <w:r>
        <w:rPr>
          <w:b/>
          <w:color w:val="000000"/>
          <w:sz w:val="28"/>
          <w:szCs w:val="28"/>
        </w:rPr>
        <w:t xml:space="preserve"> год </w:t>
      </w:r>
      <w:r w:rsidRPr="00A76034">
        <w:rPr>
          <w:b/>
          <w:color w:val="000000"/>
          <w:sz w:val="28"/>
          <w:szCs w:val="28"/>
        </w:rPr>
        <w:t>–</w:t>
      </w:r>
      <w:r>
        <w:rPr>
          <w:b/>
          <w:color w:val="000000"/>
          <w:sz w:val="28"/>
          <w:szCs w:val="28"/>
        </w:rPr>
        <w:t xml:space="preserve"> 61,0 тыс. руб</w:t>
      </w:r>
    </w:p>
    <w:p w:rsidR="00F07E05" w:rsidRDefault="00F07E05" w:rsidP="00F07E05">
      <w:pPr>
        <w:tabs>
          <w:tab w:val="left" w:pos="1276"/>
        </w:tabs>
        <w:ind w:firstLine="709"/>
        <w:jc w:val="both"/>
        <w:rPr>
          <w:b/>
          <w:color w:val="000000"/>
          <w:sz w:val="28"/>
          <w:szCs w:val="28"/>
        </w:rPr>
      </w:pPr>
      <w:r w:rsidRPr="00A76034">
        <w:rPr>
          <w:b/>
          <w:color w:val="000000"/>
          <w:sz w:val="28"/>
          <w:szCs w:val="28"/>
        </w:rPr>
        <w:t>202</w:t>
      </w:r>
      <w:r>
        <w:rPr>
          <w:b/>
          <w:color w:val="000000"/>
          <w:sz w:val="28"/>
          <w:szCs w:val="28"/>
        </w:rPr>
        <w:t>4</w:t>
      </w:r>
      <w:r w:rsidRPr="00A76034">
        <w:rPr>
          <w:b/>
          <w:color w:val="000000"/>
          <w:sz w:val="28"/>
          <w:szCs w:val="28"/>
        </w:rPr>
        <w:t xml:space="preserve"> </w:t>
      </w:r>
      <w:r>
        <w:rPr>
          <w:b/>
          <w:color w:val="000000"/>
          <w:sz w:val="28"/>
          <w:szCs w:val="28"/>
        </w:rPr>
        <w:t xml:space="preserve"> год </w:t>
      </w:r>
      <w:r w:rsidRPr="00A76034">
        <w:rPr>
          <w:b/>
          <w:color w:val="000000"/>
          <w:sz w:val="28"/>
          <w:szCs w:val="28"/>
        </w:rPr>
        <w:t>–</w:t>
      </w:r>
      <w:r>
        <w:rPr>
          <w:b/>
          <w:color w:val="000000"/>
          <w:sz w:val="28"/>
          <w:szCs w:val="28"/>
        </w:rPr>
        <w:t xml:space="preserve"> 61,0 тыс. руб</w:t>
      </w:r>
    </w:p>
    <w:p w:rsidR="00F07E05" w:rsidRDefault="00F07E05" w:rsidP="00F07E05">
      <w:pPr>
        <w:pStyle w:val="ConsPlusNormal"/>
        <w:tabs>
          <w:tab w:val="left" w:pos="1276"/>
        </w:tabs>
        <w:ind w:firstLine="709"/>
        <w:jc w:val="center"/>
        <w:rPr>
          <w:rFonts w:ascii="Times New Roman" w:hAnsi="Times New Roman" w:cs="Times New Roman"/>
          <w:color w:val="FF0000"/>
          <w:sz w:val="28"/>
          <w:szCs w:val="28"/>
        </w:rPr>
      </w:pPr>
    </w:p>
    <w:p w:rsidR="0055491A" w:rsidRDefault="0055491A" w:rsidP="00F07E05">
      <w:pPr>
        <w:pStyle w:val="ConsPlusNormal"/>
        <w:tabs>
          <w:tab w:val="left" w:pos="1276"/>
        </w:tabs>
        <w:ind w:firstLine="709"/>
        <w:jc w:val="center"/>
        <w:rPr>
          <w:rFonts w:ascii="Times New Roman" w:hAnsi="Times New Roman" w:cs="Times New Roman"/>
          <w:color w:val="FF0000"/>
          <w:sz w:val="28"/>
          <w:szCs w:val="28"/>
        </w:rPr>
      </w:pPr>
    </w:p>
    <w:p w:rsidR="0055491A" w:rsidRPr="000B0625" w:rsidRDefault="0055491A" w:rsidP="0055491A">
      <w:pPr>
        <w:pStyle w:val="a7"/>
        <w:ind w:left="709"/>
        <w:jc w:val="center"/>
        <w:rPr>
          <w:b/>
          <w:sz w:val="28"/>
          <w:szCs w:val="28"/>
        </w:rPr>
      </w:pPr>
      <w:r w:rsidRPr="000A18FB">
        <w:rPr>
          <w:b/>
          <w:sz w:val="28"/>
          <w:szCs w:val="28"/>
        </w:rPr>
        <w:lastRenderedPageBreak/>
        <w:t>Штрафы, санкции, возмещение ущерба</w:t>
      </w:r>
    </w:p>
    <w:p w:rsidR="0055491A" w:rsidRPr="000B0625" w:rsidRDefault="0055491A" w:rsidP="0055491A">
      <w:pPr>
        <w:pStyle w:val="a7"/>
        <w:ind w:left="709"/>
        <w:jc w:val="center"/>
        <w:rPr>
          <w:b/>
          <w:sz w:val="28"/>
          <w:szCs w:val="28"/>
        </w:rPr>
      </w:pPr>
      <w:r w:rsidRPr="000B0625">
        <w:rPr>
          <w:b/>
          <w:snapToGrid w:val="0"/>
          <w:sz w:val="28"/>
          <w:szCs w:val="28"/>
        </w:rPr>
        <w:t>(000 1 16 00000 00 0000 000)</w:t>
      </w:r>
    </w:p>
    <w:p w:rsidR="0055491A" w:rsidRDefault="0055491A" w:rsidP="0055491A">
      <w:pPr>
        <w:pStyle w:val="a7"/>
        <w:ind w:left="0" w:firstLine="709"/>
        <w:jc w:val="both"/>
        <w:rPr>
          <w:sz w:val="28"/>
          <w:szCs w:val="28"/>
        </w:rPr>
      </w:pPr>
      <w:r w:rsidRPr="000B0625">
        <w:rPr>
          <w:sz w:val="28"/>
          <w:szCs w:val="28"/>
        </w:rPr>
        <w:t>Прогноз поступлений по данному доходному источнику на 20</w:t>
      </w:r>
      <w:r>
        <w:rPr>
          <w:sz w:val="28"/>
          <w:szCs w:val="28"/>
        </w:rPr>
        <w:t>22</w:t>
      </w:r>
      <w:r w:rsidRPr="000B0625">
        <w:rPr>
          <w:sz w:val="28"/>
          <w:szCs w:val="28"/>
        </w:rPr>
        <w:t>-202</w:t>
      </w:r>
      <w:r>
        <w:rPr>
          <w:sz w:val="28"/>
          <w:szCs w:val="28"/>
        </w:rPr>
        <w:t>4</w:t>
      </w:r>
      <w:r w:rsidRPr="000B0625">
        <w:rPr>
          <w:sz w:val="28"/>
          <w:szCs w:val="28"/>
        </w:rPr>
        <w:t xml:space="preserve"> годы определен по сведениям, представленным главными администраторами доходов</w:t>
      </w:r>
      <w:r>
        <w:rPr>
          <w:sz w:val="28"/>
          <w:szCs w:val="28"/>
        </w:rPr>
        <w:t>,</w:t>
      </w:r>
      <w:r w:rsidRPr="000B0625">
        <w:rPr>
          <w:sz w:val="28"/>
          <w:szCs w:val="28"/>
        </w:rPr>
        <w:t xml:space="preserve"> в разрезе кодов бюджетной классификации</w:t>
      </w:r>
      <w:r>
        <w:rPr>
          <w:sz w:val="28"/>
          <w:szCs w:val="28"/>
        </w:rPr>
        <w:t xml:space="preserve"> в соответствии со статьей 46 Бюджетного кодекса Российской Федерации. </w:t>
      </w:r>
    </w:p>
    <w:p w:rsidR="0055491A" w:rsidRDefault="0055491A" w:rsidP="0055491A">
      <w:pPr>
        <w:autoSpaceDE w:val="0"/>
        <w:autoSpaceDN w:val="0"/>
        <w:adjustRightInd w:val="0"/>
        <w:ind w:firstLine="709"/>
        <w:jc w:val="both"/>
        <w:rPr>
          <w:sz w:val="28"/>
          <w:szCs w:val="28"/>
        </w:rPr>
      </w:pPr>
      <w:r>
        <w:rPr>
          <w:sz w:val="28"/>
          <w:szCs w:val="28"/>
        </w:rPr>
        <w:t>С</w:t>
      </w:r>
      <w:r w:rsidRPr="00474F40">
        <w:rPr>
          <w:sz w:val="28"/>
          <w:szCs w:val="28"/>
        </w:rPr>
        <w:t xml:space="preserve">уммы штрафов, установленных </w:t>
      </w:r>
      <w:hyperlink r:id="rId31" w:history="1">
        <w:r w:rsidRPr="00474F40">
          <w:rPr>
            <w:sz w:val="28"/>
            <w:szCs w:val="28"/>
          </w:rPr>
          <w:t>Кодексом</w:t>
        </w:r>
      </w:hyperlink>
      <w:r w:rsidRPr="00474F40">
        <w:rPr>
          <w:sz w:val="28"/>
          <w:szCs w:val="28"/>
        </w:rPr>
        <w:t xml:space="preserve"> Российской Федерации об административных правонарушениях</w:t>
      </w:r>
      <w:r>
        <w:rPr>
          <w:sz w:val="28"/>
          <w:szCs w:val="28"/>
        </w:rPr>
        <w:t xml:space="preserve"> (далее – КоАП)</w:t>
      </w:r>
      <w:r w:rsidRPr="00474F40">
        <w:rPr>
          <w:sz w:val="28"/>
          <w:szCs w:val="28"/>
        </w:rPr>
        <w:t xml:space="preserve">, в случае, если постановления о наложении административных штрафов вынесены </w:t>
      </w:r>
      <w:r>
        <w:rPr>
          <w:sz w:val="28"/>
          <w:szCs w:val="28"/>
        </w:rPr>
        <w:t xml:space="preserve">мировыми судьями, </w:t>
      </w:r>
      <w:r w:rsidRPr="00474F40">
        <w:rPr>
          <w:sz w:val="28"/>
          <w:szCs w:val="28"/>
        </w:rPr>
        <w:t>комиссиями по делам несовершеннолетних и защите их прав, подлежат зачислению в бюджет субъекта Российской Федерации</w:t>
      </w:r>
      <w:r>
        <w:rPr>
          <w:sz w:val="28"/>
          <w:szCs w:val="28"/>
        </w:rPr>
        <w:t>,</w:t>
      </w:r>
      <w:r w:rsidRPr="00474F40">
        <w:rPr>
          <w:sz w:val="28"/>
          <w:szCs w:val="28"/>
        </w:rPr>
        <w:t xml:space="preserve"> в бюджет муниципального района,</w:t>
      </w:r>
      <w:r>
        <w:rPr>
          <w:sz w:val="28"/>
          <w:szCs w:val="28"/>
        </w:rPr>
        <w:t xml:space="preserve"> муниципального округа,</w:t>
      </w:r>
      <w:r w:rsidRPr="00474F40">
        <w:rPr>
          <w:sz w:val="28"/>
          <w:szCs w:val="28"/>
        </w:rPr>
        <w:t xml:space="preserve"> городского округа</w:t>
      </w:r>
      <w:r w:rsidRPr="007670A6">
        <w:rPr>
          <w:sz w:val="28"/>
          <w:szCs w:val="28"/>
        </w:rPr>
        <w:t xml:space="preserve"> </w:t>
      </w:r>
      <w:r w:rsidRPr="00474F40">
        <w:rPr>
          <w:sz w:val="28"/>
          <w:szCs w:val="28"/>
        </w:rPr>
        <w:t>(по месту нахождения органа или должностного лица, принявших решение о наложении административного штрафа) по нормативу 50 процентов</w:t>
      </w:r>
      <w:r>
        <w:rPr>
          <w:sz w:val="28"/>
          <w:szCs w:val="28"/>
        </w:rPr>
        <w:t>.</w:t>
      </w:r>
    </w:p>
    <w:p w:rsidR="0055491A" w:rsidRDefault="0055491A" w:rsidP="0055491A">
      <w:pPr>
        <w:autoSpaceDE w:val="0"/>
        <w:autoSpaceDN w:val="0"/>
        <w:adjustRightInd w:val="0"/>
        <w:ind w:firstLine="709"/>
        <w:jc w:val="both"/>
        <w:rPr>
          <w:sz w:val="28"/>
          <w:szCs w:val="28"/>
        </w:rPr>
      </w:pPr>
      <w:r>
        <w:rPr>
          <w:sz w:val="28"/>
          <w:szCs w:val="28"/>
        </w:rPr>
        <w:t>Суммы штрафов за нарушение Правил дорожного движения, правил эксплуатации транспортного средства, подлежат зачислению в бюджет субъекта Российской Федерации по нормативу 100 процентов.</w:t>
      </w:r>
    </w:p>
    <w:p w:rsidR="0055491A" w:rsidRDefault="0055491A" w:rsidP="0055491A">
      <w:pPr>
        <w:ind w:firstLine="709"/>
        <w:jc w:val="both"/>
        <w:rPr>
          <w:sz w:val="28"/>
          <w:szCs w:val="28"/>
        </w:rPr>
      </w:pPr>
      <w:r>
        <w:rPr>
          <w:sz w:val="28"/>
          <w:szCs w:val="28"/>
        </w:rPr>
        <w:t xml:space="preserve">При прогнозировании административных </w:t>
      </w:r>
      <w:r>
        <w:rPr>
          <w:color w:val="000000"/>
          <w:sz w:val="28"/>
          <w:szCs w:val="28"/>
        </w:rPr>
        <w:t>штрафов</w:t>
      </w:r>
      <w:r w:rsidRPr="00C6515F">
        <w:rPr>
          <w:color w:val="000000"/>
          <w:sz w:val="28"/>
          <w:szCs w:val="28"/>
        </w:rPr>
        <w:t>, установленны</w:t>
      </w:r>
      <w:r>
        <w:rPr>
          <w:color w:val="000000"/>
          <w:sz w:val="28"/>
          <w:szCs w:val="28"/>
        </w:rPr>
        <w:t>х</w:t>
      </w:r>
      <w:r w:rsidRPr="00C6515F">
        <w:rPr>
          <w:color w:val="000000"/>
          <w:sz w:val="28"/>
          <w:szCs w:val="28"/>
        </w:rPr>
        <w:t xml:space="preserve"> Главами 5 </w:t>
      </w:r>
      <w:r>
        <w:rPr>
          <w:color w:val="000000"/>
          <w:sz w:val="28"/>
          <w:szCs w:val="28"/>
        </w:rPr>
        <w:t>–</w:t>
      </w:r>
      <w:r w:rsidRPr="00C6515F">
        <w:rPr>
          <w:color w:val="000000"/>
          <w:sz w:val="28"/>
          <w:szCs w:val="28"/>
        </w:rPr>
        <w:t xml:space="preserve"> 2</w:t>
      </w:r>
      <w:r>
        <w:rPr>
          <w:color w:val="000000"/>
          <w:sz w:val="28"/>
          <w:szCs w:val="28"/>
        </w:rPr>
        <w:t>1 КоАП</w:t>
      </w:r>
      <w:r w:rsidRPr="00C6515F">
        <w:rPr>
          <w:color w:val="000000"/>
          <w:sz w:val="28"/>
          <w:szCs w:val="28"/>
        </w:rPr>
        <w:t xml:space="preserve"> об адми</w:t>
      </w:r>
      <w:r>
        <w:rPr>
          <w:color w:val="000000"/>
          <w:sz w:val="28"/>
          <w:szCs w:val="28"/>
        </w:rPr>
        <w:t>нистративных правонарушениях налагаемых комиссиями</w:t>
      </w:r>
      <w:r w:rsidRPr="00C6515F">
        <w:rPr>
          <w:color w:val="000000"/>
          <w:sz w:val="28"/>
          <w:szCs w:val="28"/>
        </w:rPr>
        <w:t xml:space="preserve"> по делам несовершеннолетних и защите их прав</w:t>
      </w:r>
      <w:r>
        <w:rPr>
          <w:color w:val="000000"/>
          <w:sz w:val="28"/>
          <w:szCs w:val="28"/>
        </w:rPr>
        <w:t xml:space="preserve">                                                      (КБК </w:t>
      </w:r>
      <w:r w:rsidRPr="001E6C4C">
        <w:rPr>
          <w:color w:val="000000"/>
          <w:sz w:val="28"/>
          <w:szCs w:val="28"/>
        </w:rPr>
        <w:t>075 1 16 01053 01 0000 140</w:t>
      </w:r>
      <w:r>
        <w:rPr>
          <w:color w:val="000000"/>
          <w:sz w:val="28"/>
          <w:szCs w:val="28"/>
        </w:rPr>
        <w:t xml:space="preserve">, КБК </w:t>
      </w:r>
      <w:r w:rsidRPr="001E6C4C">
        <w:rPr>
          <w:color w:val="000000"/>
          <w:sz w:val="28"/>
          <w:szCs w:val="28"/>
        </w:rPr>
        <w:t>075 1 16 01063 01 0000 140</w:t>
      </w:r>
      <w:r>
        <w:rPr>
          <w:color w:val="000000"/>
          <w:sz w:val="28"/>
          <w:szCs w:val="28"/>
        </w:rPr>
        <w:t xml:space="preserve">,                                      КБК </w:t>
      </w:r>
      <w:r w:rsidRPr="001E6C4C">
        <w:rPr>
          <w:color w:val="000000"/>
          <w:sz w:val="28"/>
          <w:szCs w:val="28"/>
        </w:rPr>
        <w:t>075 1 16 01073 01 0000 140</w:t>
      </w:r>
      <w:r>
        <w:rPr>
          <w:color w:val="000000"/>
          <w:sz w:val="28"/>
          <w:szCs w:val="28"/>
        </w:rPr>
        <w:t>, КБК</w:t>
      </w:r>
      <w:r w:rsidRPr="007670A6">
        <w:rPr>
          <w:color w:val="000000"/>
          <w:sz w:val="28"/>
          <w:szCs w:val="28"/>
        </w:rPr>
        <w:t xml:space="preserve"> </w:t>
      </w:r>
      <w:r w:rsidRPr="001E6C4C">
        <w:rPr>
          <w:color w:val="000000"/>
          <w:sz w:val="28"/>
          <w:szCs w:val="28"/>
        </w:rPr>
        <w:t>075 1 16 01083 01 0000 140</w:t>
      </w:r>
      <w:r>
        <w:rPr>
          <w:color w:val="000000"/>
          <w:sz w:val="28"/>
          <w:szCs w:val="28"/>
        </w:rPr>
        <w:t xml:space="preserve">,                                        КБК </w:t>
      </w:r>
      <w:r w:rsidRPr="001E6C4C">
        <w:rPr>
          <w:color w:val="000000"/>
          <w:sz w:val="28"/>
          <w:szCs w:val="28"/>
        </w:rPr>
        <w:t>075 1 16 01093 01 0000 140</w:t>
      </w:r>
      <w:r>
        <w:rPr>
          <w:color w:val="000000"/>
          <w:sz w:val="28"/>
          <w:szCs w:val="28"/>
        </w:rPr>
        <w:t xml:space="preserve">, КБК </w:t>
      </w:r>
      <w:r w:rsidRPr="001E6C4C">
        <w:rPr>
          <w:color w:val="000000"/>
          <w:sz w:val="28"/>
          <w:szCs w:val="28"/>
        </w:rPr>
        <w:t>075 1 16 01103 01 0000 140</w:t>
      </w:r>
      <w:r>
        <w:rPr>
          <w:color w:val="000000"/>
          <w:sz w:val="28"/>
          <w:szCs w:val="28"/>
        </w:rPr>
        <w:t xml:space="preserve">,                                   КБК </w:t>
      </w:r>
      <w:r w:rsidRPr="001E6C4C">
        <w:rPr>
          <w:color w:val="000000"/>
          <w:sz w:val="28"/>
          <w:szCs w:val="28"/>
        </w:rPr>
        <w:t>075 1 16 011</w:t>
      </w:r>
      <w:r>
        <w:rPr>
          <w:color w:val="000000"/>
          <w:sz w:val="28"/>
          <w:szCs w:val="28"/>
        </w:rPr>
        <w:t>1</w:t>
      </w:r>
      <w:r w:rsidRPr="001E6C4C">
        <w:rPr>
          <w:color w:val="000000"/>
          <w:sz w:val="28"/>
          <w:szCs w:val="28"/>
        </w:rPr>
        <w:t>3 01 0000 140</w:t>
      </w:r>
      <w:r>
        <w:rPr>
          <w:color w:val="000000"/>
          <w:sz w:val="28"/>
          <w:szCs w:val="28"/>
        </w:rPr>
        <w:t xml:space="preserve">, КБК </w:t>
      </w:r>
      <w:r w:rsidRPr="001E6C4C">
        <w:rPr>
          <w:color w:val="000000"/>
          <w:sz w:val="28"/>
          <w:szCs w:val="28"/>
        </w:rPr>
        <w:t>075 1 16 011</w:t>
      </w:r>
      <w:r>
        <w:rPr>
          <w:color w:val="000000"/>
          <w:sz w:val="28"/>
          <w:szCs w:val="28"/>
        </w:rPr>
        <w:t>2</w:t>
      </w:r>
      <w:r w:rsidRPr="001E6C4C">
        <w:rPr>
          <w:color w:val="000000"/>
          <w:sz w:val="28"/>
          <w:szCs w:val="28"/>
        </w:rPr>
        <w:t>3 01 0000 140</w:t>
      </w:r>
      <w:r>
        <w:rPr>
          <w:color w:val="000000"/>
          <w:sz w:val="28"/>
          <w:szCs w:val="28"/>
        </w:rPr>
        <w:t>,</w:t>
      </w:r>
      <w:r w:rsidRPr="00D50A44">
        <w:rPr>
          <w:color w:val="000000"/>
          <w:sz w:val="28"/>
          <w:szCs w:val="28"/>
        </w:rPr>
        <w:t xml:space="preserve"> </w:t>
      </w:r>
      <w:r>
        <w:rPr>
          <w:color w:val="000000"/>
          <w:sz w:val="28"/>
          <w:szCs w:val="28"/>
        </w:rPr>
        <w:t xml:space="preserve">                                  КБК </w:t>
      </w:r>
      <w:r w:rsidRPr="001E6C4C">
        <w:rPr>
          <w:color w:val="000000"/>
          <w:sz w:val="28"/>
          <w:szCs w:val="28"/>
        </w:rPr>
        <w:t>075 1 16 011</w:t>
      </w:r>
      <w:r>
        <w:rPr>
          <w:color w:val="000000"/>
          <w:sz w:val="28"/>
          <w:szCs w:val="28"/>
        </w:rPr>
        <w:t>3</w:t>
      </w:r>
      <w:r w:rsidRPr="001E6C4C">
        <w:rPr>
          <w:color w:val="000000"/>
          <w:sz w:val="28"/>
          <w:szCs w:val="28"/>
        </w:rPr>
        <w:t>3 01 0000 140</w:t>
      </w:r>
      <w:r>
        <w:rPr>
          <w:color w:val="000000"/>
          <w:sz w:val="28"/>
          <w:szCs w:val="28"/>
        </w:rPr>
        <w:t>, КБК 075 1 16 0114</w:t>
      </w:r>
      <w:r w:rsidRPr="001E6C4C">
        <w:rPr>
          <w:color w:val="000000"/>
          <w:sz w:val="28"/>
          <w:szCs w:val="28"/>
        </w:rPr>
        <w:t>3 01 0000 140</w:t>
      </w:r>
      <w:r>
        <w:rPr>
          <w:color w:val="000000"/>
          <w:sz w:val="28"/>
          <w:szCs w:val="28"/>
        </w:rPr>
        <w:t xml:space="preserve">,                                     КБК </w:t>
      </w:r>
      <w:r w:rsidRPr="001E6C4C">
        <w:rPr>
          <w:color w:val="000000"/>
          <w:sz w:val="28"/>
          <w:szCs w:val="28"/>
        </w:rPr>
        <w:t>075 1 16 011</w:t>
      </w:r>
      <w:r>
        <w:rPr>
          <w:color w:val="000000"/>
          <w:sz w:val="28"/>
          <w:szCs w:val="28"/>
        </w:rPr>
        <w:t>5</w:t>
      </w:r>
      <w:r w:rsidRPr="001E6C4C">
        <w:rPr>
          <w:color w:val="000000"/>
          <w:sz w:val="28"/>
          <w:szCs w:val="28"/>
        </w:rPr>
        <w:t>3 01 0000 140</w:t>
      </w:r>
      <w:r>
        <w:rPr>
          <w:color w:val="000000"/>
          <w:sz w:val="28"/>
          <w:szCs w:val="28"/>
        </w:rPr>
        <w:t xml:space="preserve">, КБК </w:t>
      </w:r>
      <w:r w:rsidRPr="001E6C4C">
        <w:rPr>
          <w:color w:val="000000"/>
          <w:sz w:val="28"/>
          <w:szCs w:val="28"/>
        </w:rPr>
        <w:t>075 1 16 011</w:t>
      </w:r>
      <w:r>
        <w:rPr>
          <w:color w:val="000000"/>
          <w:sz w:val="28"/>
          <w:szCs w:val="28"/>
        </w:rPr>
        <w:t>6</w:t>
      </w:r>
      <w:r w:rsidRPr="001E6C4C">
        <w:rPr>
          <w:color w:val="000000"/>
          <w:sz w:val="28"/>
          <w:szCs w:val="28"/>
        </w:rPr>
        <w:t>3 01 0000 140</w:t>
      </w:r>
      <w:r>
        <w:rPr>
          <w:color w:val="000000"/>
          <w:sz w:val="28"/>
          <w:szCs w:val="28"/>
        </w:rPr>
        <w:t xml:space="preserve">,                                    КБК </w:t>
      </w:r>
      <w:r w:rsidRPr="001E6C4C">
        <w:rPr>
          <w:color w:val="000000"/>
          <w:sz w:val="28"/>
          <w:szCs w:val="28"/>
        </w:rPr>
        <w:t>075 1 16 011</w:t>
      </w:r>
      <w:r>
        <w:rPr>
          <w:color w:val="000000"/>
          <w:sz w:val="28"/>
          <w:szCs w:val="28"/>
        </w:rPr>
        <w:t>7</w:t>
      </w:r>
      <w:r w:rsidRPr="001E6C4C">
        <w:rPr>
          <w:color w:val="000000"/>
          <w:sz w:val="28"/>
          <w:szCs w:val="28"/>
        </w:rPr>
        <w:t>3 01 0000 140</w:t>
      </w:r>
      <w:r>
        <w:rPr>
          <w:color w:val="000000"/>
          <w:sz w:val="28"/>
          <w:szCs w:val="28"/>
        </w:rPr>
        <w:t>, КБК 075 1 16 01183 01 0000 140,                                     КБК 075 1 16 01193 01 0000 140, КБК 075 1 16 01203 01 0000 140)                                             (Главный администратор -</w:t>
      </w:r>
      <w:r w:rsidRPr="00D50A44">
        <w:rPr>
          <w:sz w:val="28"/>
          <w:szCs w:val="28"/>
        </w:rPr>
        <w:t xml:space="preserve"> </w:t>
      </w:r>
      <w:r>
        <w:rPr>
          <w:sz w:val="28"/>
          <w:szCs w:val="28"/>
        </w:rPr>
        <w:t>Министерство образования</w:t>
      </w:r>
      <w:r w:rsidRPr="000B0625">
        <w:rPr>
          <w:sz w:val="28"/>
          <w:szCs w:val="28"/>
        </w:rPr>
        <w:t xml:space="preserve"> Тверской области</w:t>
      </w:r>
      <w:r>
        <w:rPr>
          <w:sz w:val="28"/>
          <w:szCs w:val="28"/>
        </w:rPr>
        <w:t xml:space="preserve"> (код ГАДБ – 075) используется единый подход к расчету прогнозируемых поступлений доходов </w:t>
      </w:r>
      <w:r w:rsidRPr="000B0625">
        <w:rPr>
          <w:sz w:val="28"/>
          <w:szCs w:val="28"/>
        </w:rPr>
        <w:t xml:space="preserve">в соответствии с методикой, утвержденной приказом </w:t>
      </w:r>
      <w:r>
        <w:rPr>
          <w:sz w:val="28"/>
          <w:szCs w:val="28"/>
        </w:rPr>
        <w:t xml:space="preserve">Министерства образования </w:t>
      </w:r>
      <w:r w:rsidRPr="000B0625">
        <w:rPr>
          <w:sz w:val="28"/>
          <w:szCs w:val="28"/>
        </w:rPr>
        <w:t xml:space="preserve">Тверской области от </w:t>
      </w:r>
      <w:r>
        <w:rPr>
          <w:sz w:val="28"/>
          <w:szCs w:val="28"/>
        </w:rPr>
        <w:t>12</w:t>
      </w:r>
      <w:r w:rsidRPr="005E4DE4">
        <w:rPr>
          <w:sz w:val="28"/>
          <w:szCs w:val="28"/>
        </w:rPr>
        <w:t>.07.20</w:t>
      </w:r>
      <w:r>
        <w:rPr>
          <w:sz w:val="28"/>
          <w:szCs w:val="28"/>
        </w:rPr>
        <w:t>21</w:t>
      </w:r>
      <w:r w:rsidRPr="005E4DE4">
        <w:rPr>
          <w:sz w:val="28"/>
          <w:szCs w:val="28"/>
        </w:rPr>
        <w:t xml:space="preserve"> № </w:t>
      </w:r>
      <w:r>
        <w:rPr>
          <w:sz w:val="28"/>
          <w:szCs w:val="28"/>
        </w:rPr>
        <w:t>733</w:t>
      </w:r>
      <w:r w:rsidRPr="005E4DE4">
        <w:rPr>
          <w:sz w:val="28"/>
          <w:szCs w:val="28"/>
        </w:rPr>
        <w:t>/ПК</w:t>
      </w:r>
      <w:r w:rsidRPr="000B0625">
        <w:rPr>
          <w:sz w:val="28"/>
          <w:szCs w:val="28"/>
        </w:rPr>
        <w:t xml:space="preserve"> </w:t>
      </w:r>
      <w:r w:rsidRPr="005E4DE4">
        <w:rPr>
          <w:sz w:val="28"/>
          <w:szCs w:val="28"/>
        </w:rPr>
        <w:t xml:space="preserve">«Об утверждении Методики прогнозирования поступлений в областной </w:t>
      </w:r>
      <w:r>
        <w:rPr>
          <w:sz w:val="28"/>
          <w:szCs w:val="28"/>
        </w:rPr>
        <w:t xml:space="preserve">и местные </w:t>
      </w:r>
      <w:r w:rsidRPr="00CD4611">
        <w:rPr>
          <w:sz w:val="28"/>
          <w:szCs w:val="28"/>
        </w:rPr>
        <w:t>бюджет</w:t>
      </w:r>
      <w:r>
        <w:rPr>
          <w:sz w:val="28"/>
          <w:szCs w:val="28"/>
        </w:rPr>
        <w:t>ы</w:t>
      </w:r>
      <w:r w:rsidRPr="00CD4611">
        <w:rPr>
          <w:sz w:val="28"/>
          <w:szCs w:val="28"/>
        </w:rPr>
        <w:t xml:space="preserve"> Тверской области доходов, главным администратором которых является Министерств</w:t>
      </w:r>
      <w:r>
        <w:rPr>
          <w:sz w:val="28"/>
          <w:szCs w:val="28"/>
        </w:rPr>
        <w:t xml:space="preserve">о образования Тверской области». </w:t>
      </w:r>
    </w:p>
    <w:p w:rsidR="0055491A" w:rsidRDefault="0055491A" w:rsidP="0055491A">
      <w:pPr>
        <w:ind w:firstLine="709"/>
        <w:jc w:val="both"/>
        <w:rPr>
          <w:sz w:val="28"/>
          <w:szCs w:val="28"/>
        </w:rPr>
      </w:pPr>
      <w:r w:rsidRPr="00C422E0">
        <w:rPr>
          <w:sz w:val="28"/>
          <w:szCs w:val="28"/>
        </w:rPr>
        <w:t>Прогноз поступлений денежных взысканий (штрафов) на 2022 год и плановый период 2023-2024 годов в доход областного бюджета Тверской области определен методом прямого расчета с учетом среднего количества правонарушений за три года, предшествующих прогнозируемому периоду</w:t>
      </w:r>
      <w:r>
        <w:rPr>
          <w:sz w:val="28"/>
          <w:szCs w:val="28"/>
        </w:rPr>
        <w:t xml:space="preserve"> и </w:t>
      </w:r>
      <w:r w:rsidRPr="00C422E0">
        <w:rPr>
          <w:sz w:val="28"/>
          <w:szCs w:val="28"/>
        </w:rPr>
        <w:t>размера платежа за каждый вид правонарушений.</w:t>
      </w:r>
    </w:p>
    <w:p w:rsidR="0055491A" w:rsidRDefault="0055491A" w:rsidP="0055491A">
      <w:pPr>
        <w:pStyle w:val="a7"/>
        <w:spacing w:after="0"/>
        <w:ind w:left="0" w:firstLine="709"/>
        <w:jc w:val="both"/>
        <w:rPr>
          <w:sz w:val="28"/>
          <w:szCs w:val="28"/>
        </w:rPr>
      </w:pPr>
      <w:r>
        <w:rPr>
          <w:sz w:val="28"/>
          <w:szCs w:val="28"/>
        </w:rPr>
        <w:t xml:space="preserve">Прогноз административных </w:t>
      </w:r>
      <w:r>
        <w:rPr>
          <w:color w:val="000000"/>
          <w:sz w:val="28"/>
          <w:szCs w:val="28"/>
        </w:rPr>
        <w:t>штрафов</w:t>
      </w:r>
      <w:r w:rsidRPr="00C6515F">
        <w:rPr>
          <w:color w:val="000000"/>
          <w:sz w:val="28"/>
          <w:szCs w:val="28"/>
        </w:rPr>
        <w:t>, установленны</w:t>
      </w:r>
      <w:r>
        <w:rPr>
          <w:color w:val="000000"/>
          <w:sz w:val="28"/>
          <w:szCs w:val="28"/>
        </w:rPr>
        <w:t>х</w:t>
      </w:r>
      <w:r w:rsidRPr="00C6515F">
        <w:rPr>
          <w:color w:val="000000"/>
          <w:sz w:val="28"/>
          <w:szCs w:val="28"/>
        </w:rPr>
        <w:t xml:space="preserve"> Главами 5 </w:t>
      </w:r>
      <w:r>
        <w:rPr>
          <w:color w:val="000000"/>
          <w:sz w:val="28"/>
          <w:szCs w:val="28"/>
        </w:rPr>
        <w:t>–</w:t>
      </w:r>
      <w:r w:rsidRPr="00C6515F">
        <w:rPr>
          <w:color w:val="000000"/>
          <w:sz w:val="28"/>
          <w:szCs w:val="28"/>
        </w:rPr>
        <w:t xml:space="preserve"> 2</w:t>
      </w:r>
      <w:r>
        <w:rPr>
          <w:color w:val="000000"/>
          <w:sz w:val="28"/>
          <w:szCs w:val="28"/>
        </w:rPr>
        <w:t>0 КоАП</w:t>
      </w:r>
      <w:r w:rsidRPr="00C6515F">
        <w:rPr>
          <w:color w:val="000000"/>
          <w:sz w:val="28"/>
          <w:szCs w:val="28"/>
        </w:rPr>
        <w:t xml:space="preserve"> об адми</w:t>
      </w:r>
      <w:r>
        <w:rPr>
          <w:color w:val="000000"/>
          <w:sz w:val="28"/>
          <w:szCs w:val="28"/>
        </w:rPr>
        <w:t>нистративных правонарушениях, налагаемых мировыми судьями (КБК 33</w:t>
      </w:r>
      <w:r w:rsidRPr="001E6C4C">
        <w:rPr>
          <w:color w:val="000000"/>
          <w:sz w:val="28"/>
          <w:szCs w:val="28"/>
        </w:rPr>
        <w:t>5 1 16 01053 01 0000 140</w:t>
      </w:r>
      <w:r>
        <w:rPr>
          <w:color w:val="000000"/>
          <w:sz w:val="28"/>
          <w:szCs w:val="28"/>
        </w:rPr>
        <w:t>,  КБК 33</w:t>
      </w:r>
      <w:r w:rsidRPr="001E6C4C">
        <w:rPr>
          <w:color w:val="000000"/>
          <w:sz w:val="28"/>
          <w:szCs w:val="28"/>
        </w:rPr>
        <w:t>5 1 16 01063 01 0000 140</w:t>
      </w:r>
      <w:r>
        <w:rPr>
          <w:color w:val="000000"/>
          <w:sz w:val="28"/>
          <w:szCs w:val="28"/>
        </w:rPr>
        <w:t>, КБК 33</w:t>
      </w:r>
      <w:r w:rsidRPr="001E6C4C">
        <w:rPr>
          <w:color w:val="000000"/>
          <w:sz w:val="28"/>
          <w:szCs w:val="28"/>
        </w:rPr>
        <w:t>5 1 16 01073 01 0000 140</w:t>
      </w:r>
      <w:r>
        <w:rPr>
          <w:color w:val="000000"/>
          <w:sz w:val="28"/>
          <w:szCs w:val="28"/>
        </w:rPr>
        <w:t>, КБК 335 1 16 0108</w:t>
      </w:r>
      <w:r w:rsidRPr="001E6C4C">
        <w:rPr>
          <w:color w:val="000000"/>
          <w:sz w:val="28"/>
          <w:szCs w:val="28"/>
        </w:rPr>
        <w:t>3 01 0000 140</w:t>
      </w:r>
      <w:r>
        <w:rPr>
          <w:color w:val="000000"/>
          <w:sz w:val="28"/>
          <w:szCs w:val="28"/>
        </w:rPr>
        <w:t xml:space="preserve">,                                   </w:t>
      </w:r>
      <w:r>
        <w:rPr>
          <w:color w:val="000000"/>
          <w:sz w:val="28"/>
          <w:szCs w:val="28"/>
        </w:rPr>
        <w:lastRenderedPageBreak/>
        <w:t>КБК 33</w:t>
      </w:r>
      <w:r w:rsidRPr="001E6C4C">
        <w:rPr>
          <w:color w:val="000000"/>
          <w:sz w:val="28"/>
          <w:szCs w:val="28"/>
        </w:rPr>
        <w:t>5 1 16 01093 01 0000 140</w:t>
      </w:r>
      <w:r>
        <w:rPr>
          <w:color w:val="000000"/>
          <w:sz w:val="28"/>
          <w:szCs w:val="28"/>
        </w:rPr>
        <w:t>, КБК 33</w:t>
      </w:r>
      <w:r w:rsidRPr="001E6C4C">
        <w:rPr>
          <w:color w:val="000000"/>
          <w:sz w:val="28"/>
          <w:szCs w:val="28"/>
        </w:rPr>
        <w:t>5 1 16 01103 01 0000 140</w:t>
      </w:r>
      <w:r>
        <w:rPr>
          <w:color w:val="000000"/>
          <w:sz w:val="28"/>
          <w:szCs w:val="28"/>
        </w:rPr>
        <w:t>,                                 КБК 33</w:t>
      </w:r>
      <w:r w:rsidRPr="001E6C4C">
        <w:rPr>
          <w:color w:val="000000"/>
          <w:sz w:val="28"/>
          <w:szCs w:val="28"/>
        </w:rPr>
        <w:t>5 1 16 011</w:t>
      </w:r>
      <w:r>
        <w:rPr>
          <w:color w:val="000000"/>
          <w:sz w:val="28"/>
          <w:szCs w:val="28"/>
        </w:rPr>
        <w:t>1</w:t>
      </w:r>
      <w:r w:rsidRPr="001E6C4C">
        <w:rPr>
          <w:color w:val="000000"/>
          <w:sz w:val="28"/>
          <w:szCs w:val="28"/>
        </w:rPr>
        <w:t>3 01 0000 140</w:t>
      </w:r>
      <w:r>
        <w:rPr>
          <w:color w:val="000000"/>
          <w:sz w:val="28"/>
          <w:szCs w:val="28"/>
        </w:rPr>
        <w:t>, КБК 33</w:t>
      </w:r>
      <w:r w:rsidRPr="001E6C4C">
        <w:rPr>
          <w:color w:val="000000"/>
          <w:sz w:val="28"/>
          <w:szCs w:val="28"/>
        </w:rPr>
        <w:t>5 1 16 011</w:t>
      </w:r>
      <w:r>
        <w:rPr>
          <w:color w:val="000000"/>
          <w:sz w:val="28"/>
          <w:szCs w:val="28"/>
        </w:rPr>
        <w:t>2</w:t>
      </w:r>
      <w:r w:rsidRPr="001E6C4C">
        <w:rPr>
          <w:color w:val="000000"/>
          <w:sz w:val="28"/>
          <w:szCs w:val="28"/>
        </w:rPr>
        <w:t>3 01 0000 140</w:t>
      </w:r>
      <w:r>
        <w:rPr>
          <w:color w:val="000000"/>
          <w:sz w:val="28"/>
          <w:szCs w:val="28"/>
        </w:rPr>
        <w:t>,</w:t>
      </w:r>
      <w:r w:rsidRPr="00D50A44">
        <w:rPr>
          <w:color w:val="000000"/>
          <w:sz w:val="28"/>
          <w:szCs w:val="28"/>
        </w:rPr>
        <w:t xml:space="preserve"> </w:t>
      </w:r>
      <w:r>
        <w:rPr>
          <w:color w:val="000000"/>
          <w:sz w:val="28"/>
          <w:szCs w:val="28"/>
        </w:rPr>
        <w:t xml:space="preserve">                                КБК 33</w:t>
      </w:r>
      <w:r w:rsidRPr="001E6C4C">
        <w:rPr>
          <w:color w:val="000000"/>
          <w:sz w:val="28"/>
          <w:szCs w:val="28"/>
        </w:rPr>
        <w:t>5 1 16 011</w:t>
      </w:r>
      <w:r>
        <w:rPr>
          <w:color w:val="000000"/>
          <w:sz w:val="28"/>
          <w:szCs w:val="28"/>
        </w:rPr>
        <w:t>3</w:t>
      </w:r>
      <w:r w:rsidRPr="001E6C4C">
        <w:rPr>
          <w:color w:val="000000"/>
          <w:sz w:val="28"/>
          <w:szCs w:val="28"/>
        </w:rPr>
        <w:t>3 01 0000 140</w:t>
      </w:r>
      <w:r>
        <w:rPr>
          <w:color w:val="000000"/>
          <w:sz w:val="28"/>
          <w:szCs w:val="28"/>
        </w:rPr>
        <w:t>, КБК 335 1 16 0114</w:t>
      </w:r>
      <w:r w:rsidRPr="001E6C4C">
        <w:rPr>
          <w:color w:val="000000"/>
          <w:sz w:val="28"/>
          <w:szCs w:val="28"/>
        </w:rPr>
        <w:t>3 01 0000 140</w:t>
      </w:r>
      <w:r>
        <w:rPr>
          <w:color w:val="000000"/>
          <w:sz w:val="28"/>
          <w:szCs w:val="28"/>
        </w:rPr>
        <w:t>,                                КБК 33</w:t>
      </w:r>
      <w:r w:rsidRPr="001E6C4C">
        <w:rPr>
          <w:color w:val="000000"/>
          <w:sz w:val="28"/>
          <w:szCs w:val="28"/>
        </w:rPr>
        <w:t>5 1 16 011</w:t>
      </w:r>
      <w:r>
        <w:rPr>
          <w:color w:val="000000"/>
          <w:sz w:val="28"/>
          <w:szCs w:val="28"/>
        </w:rPr>
        <w:t>5</w:t>
      </w:r>
      <w:r w:rsidRPr="001E6C4C">
        <w:rPr>
          <w:color w:val="000000"/>
          <w:sz w:val="28"/>
          <w:szCs w:val="28"/>
        </w:rPr>
        <w:t>3 01 0000 140</w:t>
      </w:r>
      <w:r>
        <w:rPr>
          <w:color w:val="000000"/>
          <w:sz w:val="28"/>
          <w:szCs w:val="28"/>
        </w:rPr>
        <w:t>, КБК 33</w:t>
      </w:r>
      <w:r w:rsidRPr="001E6C4C">
        <w:rPr>
          <w:color w:val="000000"/>
          <w:sz w:val="28"/>
          <w:szCs w:val="28"/>
        </w:rPr>
        <w:t>5 1 16 011</w:t>
      </w:r>
      <w:r>
        <w:rPr>
          <w:color w:val="000000"/>
          <w:sz w:val="28"/>
          <w:szCs w:val="28"/>
        </w:rPr>
        <w:t>6</w:t>
      </w:r>
      <w:r w:rsidRPr="001E6C4C">
        <w:rPr>
          <w:color w:val="000000"/>
          <w:sz w:val="28"/>
          <w:szCs w:val="28"/>
        </w:rPr>
        <w:t>3 01 0000 140</w:t>
      </w:r>
      <w:r>
        <w:rPr>
          <w:color w:val="000000"/>
          <w:sz w:val="28"/>
          <w:szCs w:val="28"/>
        </w:rPr>
        <w:t>,                                   КБК 33</w:t>
      </w:r>
      <w:r w:rsidRPr="001E6C4C">
        <w:rPr>
          <w:color w:val="000000"/>
          <w:sz w:val="28"/>
          <w:szCs w:val="28"/>
        </w:rPr>
        <w:t>5 1 16 011</w:t>
      </w:r>
      <w:r>
        <w:rPr>
          <w:color w:val="000000"/>
          <w:sz w:val="28"/>
          <w:szCs w:val="28"/>
        </w:rPr>
        <w:t>7</w:t>
      </w:r>
      <w:r w:rsidRPr="001E6C4C">
        <w:rPr>
          <w:color w:val="000000"/>
          <w:sz w:val="28"/>
          <w:szCs w:val="28"/>
        </w:rPr>
        <w:t>3 01 0000 140</w:t>
      </w:r>
      <w:r>
        <w:rPr>
          <w:color w:val="000000"/>
          <w:sz w:val="28"/>
          <w:szCs w:val="28"/>
        </w:rPr>
        <w:t>,  КБК 335 1 16 01183 01 0000 140,                                  КБК 335 1 16 01193 01 0000 140, КБК 335 1 16 01203 01 0000 140,                                        КБК 335 1 16 01213 01 0000 140</w:t>
      </w:r>
      <w:r w:rsidRPr="001E6C4C">
        <w:rPr>
          <w:color w:val="000000"/>
          <w:sz w:val="28"/>
          <w:szCs w:val="28"/>
        </w:rPr>
        <w:t>)</w:t>
      </w:r>
      <w:r>
        <w:rPr>
          <w:color w:val="000000"/>
          <w:sz w:val="28"/>
          <w:szCs w:val="28"/>
        </w:rPr>
        <w:t xml:space="preserve"> </w:t>
      </w:r>
      <w:r w:rsidRPr="000F2180">
        <w:rPr>
          <w:sz w:val="28"/>
          <w:szCs w:val="28"/>
        </w:rPr>
        <w:t>(Главный администратор доходов -</w:t>
      </w:r>
      <w:r w:rsidRPr="00D50A44">
        <w:rPr>
          <w:sz w:val="28"/>
          <w:szCs w:val="28"/>
        </w:rPr>
        <w:t xml:space="preserve"> </w:t>
      </w:r>
      <w:r>
        <w:rPr>
          <w:sz w:val="28"/>
          <w:szCs w:val="28"/>
        </w:rPr>
        <w:t xml:space="preserve">Главное управление региональной безопасности </w:t>
      </w:r>
      <w:r w:rsidRPr="000B0625">
        <w:rPr>
          <w:sz w:val="28"/>
          <w:szCs w:val="28"/>
        </w:rPr>
        <w:t>Тверской области</w:t>
      </w:r>
      <w:r>
        <w:rPr>
          <w:sz w:val="28"/>
          <w:szCs w:val="28"/>
        </w:rPr>
        <w:t xml:space="preserve"> (код ГАДБ - 335) </w:t>
      </w:r>
      <w:r w:rsidRPr="00D4062A">
        <w:rPr>
          <w:sz w:val="28"/>
          <w:szCs w:val="28"/>
        </w:rPr>
        <w:t xml:space="preserve">определен </w:t>
      </w:r>
      <w:r>
        <w:rPr>
          <w:sz w:val="28"/>
          <w:szCs w:val="28"/>
        </w:rPr>
        <w:t xml:space="preserve">единым </w:t>
      </w:r>
      <w:r w:rsidRPr="00D4062A">
        <w:rPr>
          <w:sz w:val="28"/>
          <w:szCs w:val="28"/>
        </w:rPr>
        <w:t>методом расчета на основании данных о количестве постановлений, вынесенных мировыми судьями, среднем размере административного штрафа с применением коэффициента собираемости</w:t>
      </w:r>
      <w:r>
        <w:rPr>
          <w:sz w:val="28"/>
          <w:szCs w:val="28"/>
        </w:rPr>
        <w:t xml:space="preserve"> в разрезе муниципальных образований Тверской области.  </w:t>
      </w:r>
    </w:p>
    <w:p w:rsidR="0055491A" w:rsidRDefault="0055491A" w:rsidP="0055491A">
      <w:pPr>
        <w:pStyle w:val="a7"/>
        <w:spacing w:after="0"/>
        <w:ind w:left="0" w:firstLine="709"/>
        <w:jc w:val="both"/>
        <w:rPr>
          <w:sz w:val="28"/>
          <w:szCs w:val="28"/>
        </w:rPr>
      </w:pPr>
      <w:r>
        <w:rPr>
          <w:sz w:val="28"/>
          <w:szCs w:val="28"/>
        </w:rPr>
        <w:t xml:space="preserve">Расчет произведен согласно методике прогнозирования поступлений доходов, утвержденной </w:t>
      </w:r>
      <w:r w:rsidRPr="00C80633">
        <w:rPr>
          <w:sz w:val="28"/>
          <w:szCs w:val="28"/>
        </w:rPr>
        <w:t>приказом Главного управления региональной безопасности Тверской области от 24.07</w:t>
      </w:r>
      <w:r>
        <w:rPr>
          <w:sz w:val="28"/>
          <w:szCs w:val="28"/>
        </w:rPr>
        <w:t xml:space="preserve">.2018 № 124 «Об утверждении методики прогнозирования поступлений доходов Главного управления региональной безопасности Тверской области в областной бюджет Тверской области» (с учетом изменений).  </w:t>
      </w:r>
    </w:p>
    <w:p w:rsidR="0055491A" w:rsidRPr="000B0625" w:rsidRDefault="0055491A" w:rsidP="0055491A">
      <w:pPr>
        <w:pStyle w:val="a7"/>
        <w:spacing w:after="0"/>
        <w:ind w:left="0" w:firstLine="709"/>
        <w:jc w:val="both"/>
        <w:rPr>
          <w:sz w:val="28"/>
          <w:szCs w:val="28"/>
        </w:rPr>
      </w:pPr>
      <w:r w:rsidRPr="000B0625">
        <w:rPr>
          <w:sz w:val="28"/>
          <w:szCs w:val="28"/>
        </w:rPr>
        <w:t>Прогноз поступлений на 20</w:t>
      </w:r>
      <w:r>
        <w:rPr>
          <w:sz w:val="28"/>
          <w:szCs w:val="28"/>
        </w:rPr>
        <w:t>22</w:t>
      </w:r>
      <w:r w:rsidRPr="000B0625">
        <w:rPr>
          <w:sz w:val="28"/>
          <w:szCs w:val="28"/>
        </w:rPr>
        <w:t>-202</w:t>
      </w:r>
      <w:r>
        <w:rPr>
          <w:sz w:val="28"/>
          <w:szCs w:val="28"/>
        </w:rPr>
        <w:t>4</w:t>
      </w:r>
      <w:r w:rsidRPr="000B0625">
        <w:rPr>
          <w:sz w:val="28"/>
          <w:szCs w:val="28"/>
        </w:rPr>
        <w:t xml:space="preserve"> годы</w:t>
      </w:r>
      <w:r>
        <w:rPr>
          <w:sz w:val="28"/>
          <w:szCs w:val="28"/>
        </w:rPr>
        <w:t xml:space="preserve"> </w:t>
      </w:r>
      <w:r w:rsidRPr="000B0625">
        <w:rPr>
          <w:sz w:val="28"/>
          <w:szCs w:val="28"/>
        </w:rPr>
        <w:t>составляет:</w:t>
      </w:r>
    </w:p>
    <w:p w:rsidR="0055491A" w:rsidRPr="000B0625" w:rsidRDefault="0055491A" w:rsidP="0055491A">
      <w:pPr>
        <w:pStyle w:val="a7"/>
        <w:spacing w:after="0"/>
        <w:ind w:left="0" w:firstLine="709"/>
        <w:jc w:val="both"/>
        <w:rPr>
          <w:sz w:val="28"/>
          <w:szCs w:val="28"/>
        </w:rPr>
      </w:pPr>
      <w:r w:rsidRPr="000B0625">
        <w:rPr>
          <w:sz w:val="28"/>
          <w:szCs w:val="28"/>
        </w:rPr>
        <w:t xml:space="preserve">1. </w:t>
      </w:r>
      <w:r w:rsidRPr="0046227F">
        <w:rPr>
          <w:sz w:val="28"/>
          <w:szCs w:val="28"/>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r w:rsidRPr="0046227F">
        <w:rPr>
          <w:sz w:val="28"/>
          <w:szCs w:val="28"/>
          <w:highlight w:val="yellow"/>
        </w:rPr>
        <w:t xml:space="preserve"> </w:t>
      </w:r>
      <w:r>
        <w:rPr>
          <w:sz w:val="28"/>
          <w:szCs w:val="28"/>
          <w:highlight w:val="yellow"/>
        </w:rPr>
        <w:t xml:space="preserve">                            </w:t>
      </w:r>
      <w:r w:rsidRPr="006510C1">
        <w:rPr>
          <w:b/>
          <w:sz w:val="28"/>
          <w:szCs w:val="28"/>
        </w:rPr>
        <w:t>(КБК 000 1 16 01050 01 0000 140).</w:t>
      </w:r>
      <w:r>
        <w:rPr>
          <w:sz w:val="28"/>
          <w:szCs w:val="28"/>
        </w:rPr>
        <w:t xml:space="preserve"> Прогноз по данному КБК всего                                              на </w:t>
      </w:r>
      <w:r w:rsidRPr="006510C1">
        <w:rPr>
          <w:b/>
          <w:sz w:val="28"/>
          <w:szCs w:val="28"/>
        </w:rPr>
        <w:t>2022 год – 871,1 тыс. руб., 2023 год – 890,3 тыс. руб., 2024 год – 872,5 тыс. руб.</w:t>
      </w:r>
    </w:p>
    <w:p w:rsidR="0055491A" w:rsidRDefault="0055491A" w:rsidP="0055491A">
      <w:pPr>
        <w:pStyle w:val="a7"/>
        <w:spacing w:after="0"/>
        <w:ind w:left="0" w:firstLine="709"/>
        <w:jc w:val="both"/>
        <w:rPr>
          <w:sz w:val="28"/>
          <w:szCs w:val="28"/>
        </w:rPr>
      </w:pPr>
      <w:r>
        <w:rPr>
          <w:sz w:val="28"/>
          <w:szCs w:val="28"/>
        </w:rPr>
        <w:t xml:space="preserve">1.1 </w:t>
      </w:r>
      <w:r w:rsidRPr="006510C1">
        <w:rPr>
          <w:b/>
          <w:sz w:val="28"/>
          <w:szCs w:val="28"/>
        </w:rPr>
        <w:t>КБК 075 1 16 01053 01 0000 140</w:t>
      </w:r>
      <w:r>
        <w:rPr>
          <w:sz w:val="28"/>
          <w:szCs w:val="28"/>
        </w:rPr>
        <w:t xml:space="preserve"> </w:t>
      </w:r>
      <w:r w:rsidRPr="0046227F">
        <w:rPr>
          <w:sz w:val="28"/>
          <w:szCs w:val="28"/>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r>
        <w:rPr>
          <w:sz w:val="28"/>
          <w:szCs w:val="28"/>
        </w:rPr>
        <w:t>.</w:t>
      </w:r>
    </w:p>
    <w:p w:rsidR="0055491A" w:rsidRDefault="0055491A" w:rsidP="0055491A">
      <w:pPr>
        <w:pStyle w:val="a7"/>
        <w:spacing w:after="0"/>
        <w:ind w:left="0" w:firstLine="709"/>
        <w:jc w:val="both"/>
        <w:rPr>
          <w:sz w:val="28"/>
          <w:szCs w:val="28"/>
        </w:rPr>
      </w:pPr>
      <w:r w:rsidRPr="006510C1">
        <w:rPr>
          <w:b/>
          <w:sz w:val="28"/>
          <w:szCs w:val="28"/>
        </w:rPr>
        <w:t>Главный администратор доходов – Министерство образования Тверской области.</w:t>
      </w:r>
      <w:r>
        <w:rPr>
          <w:sz w:val="28"/>
          <w:szCs w:val="28"/>
        </w:rPr>
        <w:t xml:space="preserve"> Расчет представлен в таблице: </w:t>
      </w:r>
    </w:p>
    <w:tbl>
      <w:tblPr>
        <w:tblW w:w="8835" w:type="dxa"/>
        <w:tblInd w:w="-5" w:type="dxa"/>
        <w:tblLayout w:type="fixed"/>
        <w:tblLook w:val="04A0" w:firstRow="1" w:lastRow="0" w:firstColumn="1" w:lastColumn="0" w:noHBand="0" w:noVBand="1"/>
      </w:tblPr>
      <w:tblGrid>
        <w:gridCol w:w="1276"/>
        <w:gridCol w:w="1259"/>
        <w:gridCol w:w="1260"/>
        <w:gridCol w:w="1251"/>
        <w:gridCol w:w="9"/>
        <w:gridCol w:w="1260"/>
        <w:gridCol w:w="1260"/>
        <w:gridCol w:w="1242"/>
        <w:gridCol w:w="18"/>
      </w:tblGrid>
      <w:tr w:rsidR="0055491A" w:rsidTr="00210BF6">
        <w:trPr>
          <w:gridAfter w:val="1"/>
          <w:wAfter w:w="18" w:type="dxa"/>
          <w:trHeight w:val="300"/>
        </w:trPr>
        <w:tc>
          <w:tcPr>
            <w:tcW w:w="8817"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5491A" w:rsidRDefault="0055491A" w:rsidP="00210BF6">
            <w:pPr>
              <w:jc w:val="center"/>
              <w:rPr>
                <w:b/>
                <w:bCs/>
                <w:color w:val="000000"/>
                <w:sz w:val="22"/>
                <w:szCs w:val="22"/>
              </w:rPr>
            </w:pPr>
            <w:r>
              <w:rPr>
                <w:b/>
                <w:bCs/>
                <w:color w:val="000000"/>
                <w:sz w:val="22"/>
                <w:szCs w:val="22"/>
              </w:rPr>
              <w:t>Глава 5 КоАП РФ</w:t>
            </w:r>
          </w:p>
        </w:tc>
      </w:tr>
      <w:tr w:rsidR="0055491A" w:rsidTr="00210BF6">
        <w:trPr>
          <w:gridAfter w:val="1"/>
          <w:wAfter w:w="18" w:type="dxa"/>
          <w:trHeight w:val="669"/>
        </w:trPr>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55491A" w:rsidRDefault="0055491A" w:rsidP="00210BF6">
            <w:pPr>
              <w:jc w:val="center"/>
              <w:rPr>
                <w:b/>
                <w:bCs/>
                <w:color w:val="000000"/>
                <w:sz w:val="22"/>
                <w:szCs w:val="22"/>
              </w:rPr>
            </w:pPr>
            <w:r>
              <w:rPr>
                <w:b/>
                <w:bCs/>
                <w:color w:val="000000"/>
                <w:sz w:val="22"/>
                <w:szCs w:val="22"/>
              </w:rPr>
              <w:t>Размер платежа (тыс.руб.)</w:t>
            </w:r>
          </w:p>
        </w:tc>
        <w:tc>
          <w:tcPr>
            <w:tcW w:w="3770" w:type="dxa"/>
            <w:gridSpan w:val="3"/>
            <w:tcBorders>
              <w:top w:val="single" w:sz="4" w:space="0" w:color="auto"/>
              <w:left w:val="nil"/>
              <w:bottom w:val="single" w:sz="4" w:space="0" w:color="auto"/>
              <w:right w:val="single" w:sz="4" w:space="0" w:color="auto"/>
            </w:tcBorders>
            <w:shd w:val="clear" w:color="auto" w:fill="auto"/>
            <w:vAlign w:val="center"/>
            <w:hideMark/>
          </w:tcPr>
          <w:p w:rsidR="0055491A" w:rsidRDefault="0055491A" w:rsidP="00210BF6">
            <w:pPr>
              <w:jc w:val="center"/>
              <w:rPr>
                <w:b/>
                <w:bCs/>
                <w:color w:val="000000"/>
                <w:sz w:val="22"/>
                <w:szCs w:val="22"/>
              </w:rPr>
            </w:pPr>
            <w:r>
              <w:rPr>
                <w:b/>
                <w:bCs/>
                <w:color w:val="000000"/>
                <w:sz w:val="22"/>
                <w:szCs w:val="22"/>
              </w:rPr>
              <w:t>Количество правонарушений (с учетом округления)</w:t>
            </w:r>
          </w:p>
        </w:tc>
        <w:tc>
          <w:tcPr>
            <w:tcW w:w="3771" w:type="dxa"/>
            <w:gridSpan w:val="4"/>
            <w:tcBorders>
              <w:top w:val="single" w:sz="4" w:space="0" w:color="auto"/>
              <w:left w:val="nil"/>
              <w:bottom w:val="single" w:sz="4" w:space="0" w:color="auto"/>
              <w:right w:val="single" w:sz="4" w:space="0" w:color="auto"/>
            </w:tcBorders>
            <w:shd w:val="clear" w:color="auto" w:fill="auto"/>
            <w:noWrap/>
            <w:vAlign w:val="center"/>
            <w:hideMark/>
          </w:tcPr>
          <w:p w:rsidR="0055491A" w:rsidRDefault="0055491A" w:rsidP="00210BF6">
            <w:pPr>
              <w:jc w:val="center"/>
              <w:rPr>
                <w:b/>
                <w:bCs/>
                <w:color w:val="000000"/>
                <w:sz w:val="22"/>
                <w:szCs w:val="22"/>
              </w:rPr>
            </w:pPr>
            <w:r>
              <w:rPr>
                <w:b/>
                <w:bCs/>
                <w:color w:val="000000"/>
                <w:sz w:val="22"/>
                <w:szCs w:val="22"/>
              </w:rPr>
              <w:t>Прогноз, тыс. руб.</w:t>
            </w:r>
          </w:p>
        </w:tc>
      </w:tr>
      <w:tr w:rsidR="0055491A" w:rsidTr="00210BF6">
        <w:trPr>
          <w:trHeight w:val="315"/>
        </w:trPr>
        <w:tc>
          <w:tcPr>
            <w:tcW w:w="1276" w:type="dxa"/>
            <w:vMerge/>
            <w:tcBorders>
              <w:top w:val="nil"/>
              <w:left w:val="single" w:sz="4" w:space="0" w:color="auto"/>
              <w:bottom w:val="single" w:sz="4" w:space="0" w:color="auto"/>
              <w:right w:val="single" w:sz="4" w:space="0" w:color="auto"/>
            </w:tcBorders>
            <w:vAlign w:val="center"/>
            <w:hideMark/>
          </w:tcPr>
          <w:p w:rsidR="0055491A" w:rsidRDefault="0055491A" w:rsidP="00210BF6">
            <w:pPr>
              <w:jc w:val="center"/>
              <w:rPr>
                <w:b/>
                <w:bCs/>
                <w:color w:val="000000"/>
                <w:sz w:val="22"/>
                <w:szCs w:val="22"/>
              </w:rPr>
            </w:pPr>
          </w:p>
        </w:tc>
        <w:tc>
          <w:tcPr>
            <w:tcW w:w="1259" w:type="dxa"/>
            <w:tcBorders>
              <w:top w:val="nil"/>
              <w:left w:val="nil"/>
              <w:bottom w:val="single" w:sz="4" w:space="0" w:color="auto"/>
              <w:right w:val="single" w:sz="4" w:space="0" w:color="auto"/>
            </w:tcBorders>
            <w:shd w:val="clear" w:color="auto" w:fill="auto"/>
            <w:noWrap/>
            <w:vAlign w:val="center"/>
            <w:hideMark/>
          </w:tcPr>
          <w:p w:rsidR="0055491A" w:rsidRDefault="0055491A" w:rsidP="00210BF6">
            <w:pPr>
              <w:jc w:val="center"/>
              <w:rPr>
                <w:b/>
                <w:bCs/>
                <w:color w:val="000000"/>
                <w:sz w:val="22"/>
                <w:szCs w:val="22"/>
              </w:rPr>
            </w:pPr>
            <w:r>
              <w:rPr>
                <w:b/>
                <w:bCs/>
                <w:color w:val="000000"/>
                <w:sz w:val="22"/>
                <w:szCs w:val="22"/>
              </w:rPr>
              <w:t>2022 год</w:t>
            </w:r>
          </w:p>
        </w:tc>
        <w:tc>
          <w:tcPr>
            <w:tcW w:w="1260" w:type="dxa"/>
            <w:tcBorders>
              <w:top w:val="nil"/>
              <w:left w:val="nil"/>
              <w:bottom w:val="single" w:sz="4" w:space="0" w:color="auto"/>
              <w:right w:val="single" w:sz="4" w:space="0" w:color="auto"/>
            </w:tcBorders>
            <w:shd w:val="clear" w:color="auto" w:fill="auto"/>
            <w:noWrap/>
            <w:vAlign w:val="center"/>
            <w:hideMark/>
          </w:tcPr>
          <w:p w:rsidR="0055491A" w:rsidRDefault="0055491A" w:rsidP="00210BF6">
            <w:pPr>
              <w:jc w:val="center"/>
              <w:rPr>
                <w:b/>
                <w:bCs/>
                <w:color w:val="000000"/>
                <w:sz w:val="22"/>
                <w:szCs w:val="22"/>
              </w:rPr>
            </w:pPr>
            <w:r>
              <w:rPr>
                <w:b/>
                <w:bCs/>
                <w:color w:val="000000"/>
                <w:sz w:val="22"/>
                <w:szCs w:val="22"/>
              </w:rPr>
              <w:t>2023 год</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55491A" w:rsidRDefault="0055491A" w:rsidP="00210BF6">
            <w:pPr>
              <w:jc w:val="center"/>
              <w:rPr>
                <w:b/>
                <w:bCs/>
                <w:color w:val="000000"/>
                <w:sz w:val="22"/>
                <w:szCs w:val="22"/>
              </w:rPr>
            </w:pPr>
            <w:r>
              <w:rPr>
                <w:b/>
                <w:bCs/>
                <w:color w:val="000000"/>
                <w:sz w:val="22"/>
                <w:szCs w:val="22"/>
              </w:rPr>
              <w:t>2024 год</w:t>
            </w:r>
          </w:p>
        </w:tc>
        <w:tc>
          <w:tcPr>
            <w:tcW w:w="1260" w:type="dxa"/>
            <w:tcBorders>
              <w:top w:val="nil"/>
              <w:left w:val="nil"/>
              <w:bottom w:val="single" w:sz="4" w:space="0" w:color="auto"/>
              <w:right w:val="single" w:sz="4" w:space="0" w:color="auto"/>
            </w:tcBorders>
            <w:shd w:val="clear" w:color="auto" w:fill="auto"/>
            <w:noWrap/>
            <w:vAlign w:val="center"/>
            <w:hideMark/>
          </w:tcPr>
          <w:p w:rsidR="0055491A" w:rsidRDefault="0055491A" w:rsidP="00210BF6">
            <w:pPr>
              <w:jc w:val="center"/>
              <w:rPr>
                <w:b/>
                <w:bCs/>
                <w:color w:val="000000"/>
                <w:sz w:val="22"/>
                <w:szCs w:val="22"/>
              </w:rPr>
            </w:pPr>
            <w:r>
              <w:rPr>
                <w:b/>
                <w:bCs/>
                <w:color w:val="000000"/>
                <w:sz w:val="22"/>
                <w:szCs w:val="22"/>
              </w:rPr>
              <w:t>2022 год</w:t>
            </w:r>
          </w:p>
        </w:tc>
        <w:tc>
          <w:tcPr>
            <w:tcW w:w="1260" w:type="dxa"/>
            <w:tcBorders>
              <w:top w:val="nil"/>
              <w:left w:val="nil"/>
              <w:bottom w:val="single" w:sz="4" w:space="0" w:color="auto"/>
              <w:right w:val="single" w:sz="4" w:space="0" w:color="auto"/>
            </w:tcBorders>
            <w:shd w:val="clear" w:color="auto" w:fill="auto"/>
            <w:noWrap/>
            <w:vAlign w:val="center"/>
            <w:hideMark/>
          </w:tcPr>
          <w:p w:rsidR="0055491A" w:rsidRDefault="0055491A" w:rsidP="00210BF6">
            <w:pPr>
              <w:jc w:val="center"/>
              <w:rPr>
                <w:b/>
                <w:bCs/>
                <w:color w:val="000000"/>
                <w:sz w:val="22"/>
                <w:szCs w:val="22"/>
              </w:rPr>
            </w:pPr>
            <w:r>
              <w:rPr>
                <w:b/>
                <w:bCs/>
                <w:color w:val="000000"/>
                <w:sz w:val="22"/>
                <w:szCs w:val="22"/>
              </w:rPr>
              <w:t>2023 год</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55491A" w:rsidRDefault="0055491A" w:rsidP="00210BF6">
            <w:pPr>
              <w:jc w:val="center"/>
              <w:rPr>
                <w:b/>
                <w:bCs/>
                <w:color w:val="000000"/>
                <w:sz w:val="22"/>
                <w:szCs w:val="22"/>
              </w:rPr>
            </w:pPr>
            <w:r>
              <w:rPr>
                <w:b/>
                <w:bCs/>
                <w:color w:val="000000"/>
                <w:sz w:val="22"/>
                <w:szCs w:val="22"/>
              </w:rPr>
              <w:t>2024 год</w:t>
            </w:r>
          </w:p>
        </w:tc>
      </w:tr>
      <w:tr w:rsidR="0055491A" w:rsidTr="00210BF6">
        <w:trPr>
          <w:trHeight w:val="30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5491A" w:rsidRDefault="0055491A" w:rsidP="00210BF6">
            <w:pPr>
              <w:jc w:val="center"/>
              <w:rPr>
                <w:color w:val="000000"/>
                <w:sz w:val="22"/>
                <w:szCs w:val="22"/>
              </w:rPr>
            </w:pPr>
            <w:r>
              <w:rPr>
                <w:color w:val="000000"/>
                <w:sz w:val="22"/>
                <w:szCs w:val="22"/>
              </w:rPr>
              <w:t>0,1</w:t>
            </w:r>
          </w:p>
        </w:tc>
        <w:tc>
          <w:tcPr>
            <w:tcW w:w="1259" w:type="dxa"/>
            <w:tcBorders>
              <w:top w:val="nil"/>
              <w:left w:val="nil"/>
              <w:bottom w:val="single" w:sz="4" w:space="0" w:color="auto"/>
              <w:right w:val="single" w:sz="4" w:space="0" w:color="auto"/>
            </w:tcBorders>
            <w:shd w:val="clear" w:color="auto" w:fill="auto"/>
            <w:noWrap/>
            <w:vAlign w:val="center"/>
            <w:hideMark/>
          </w:tcPr>
          <w:p w:rsidR="0055491A" w:rsidRDefault="0055491A" w:rsidP="00210BF6">
            <w:pPr>
              <w:jc w:val="center"/>
              <w:rPr>
                <w:color w:val="000000"/>
                <w:sz w:val="22"/>
                <w:szCs w:val="22"/>
              </w:rPr>
            </w:pPr>
            <w:r>
              <w:rPr>
                <w:color w:val="000000"/>
                <w:sz w:val="22"/>
                <w:szCs w:val="22"/>
              </w:rPr>
              <w:t>8</w:t>
            </w:r>
          </w:p>
        </w:tc>
        <w:tc>
          <w:tcPr>
            <w:tcW w:w="1260" w:type="dxa"/>
            <w:tcBorders>
              <w:top w:val="nil"/>
              <w:left w:val="nil"/>
              <w:bottom w:val="single" w:sz="4" w:space="0" w:color="auto"/>
              <w:right w:val="single" w:sz="4" w:space="0" w:color="auto"/>
            </w:tcBorders>
            <w:shd w:val="clear" w:color="auto" w:fill="auto"/>
            <w:noWrap/>
            <w:vAlign w:val="center"/>
            <w:hideMark/>
          </w:tcPr>
          <w:p w:rsidR="0055491A" w:rsidRDefault="0055491A" w:rsidP="00210BF6">
            <w:pPr>
              <w:jc w:val="center"/>
              <w:rPr>
                <w:color w:val="000000"/>
                <w:sz w:val="22"/>
                <w:szCs w:val="22"/>
              </w:rPr>
            </w:pPr>
            <w:r>
              <w:rPr>
                <w:color w:val="000000"/>
                <w:sz w:val="22"/>
                <w:szCs w:val="22"/>
              </w:rPr>
              <w:t>8</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55491A" w:rsidRDefault="0055491A" w:rsidP="00210BF6">
            <w:pPr>
              <w:jc w:val="center"/>
              <w:rPr>
                <w:color w:val="000000"/>
                <w:sz w:val="22"/>
                <w:szCs w:val="22"/>
              </w:rPr>
            </w:pPr>
            <w:r>
              <w:rPr>
                <w:color w:val="000000"/>
                <w:sz w:val="22"/>
                <w:szCs w:val="22"/>
              </w:rPr>
              <w:t>11</w:t>
            </w:r>
          </w:p>
        </w:tc>
        <w:tc>
          <w:tcPr>
            <w:tcW w:w="1260" w:type="dxa"/>
            <w:tcBorders>
              <w:top w:val="nil"/>
              <w:left w:val="nil"/>
              <w:bottom w:val="single" w:sz="4" w:space="0" w:color="auto"/>
              <w:right w:val="single" w:sz="4" w:space="0" w:color="auto"/>
            </w:tcBorders>
            <w:shd w:val="clear" w:color="auto" w:fill="auto"/>
            <w:noWrap/>
            <w:vAlign w:val="center"/>
            <w:hideMark/>
          </w:tcPr>
          <w:p w:rsidR="0055491A" w:rsidRDefault="0055491A" w:rsidP="00210BF6">
            <w:pPr>
              <w:jc w:val="center"/>
              <w:rPr>
                <w:color w:val="000000"/>
                <w:sz w:val="22"/>
                <w:szCs w:val="22"/>
              </w:rPr>
            </w:pPr>
            <w:r>
              <w:rPr>
                <w:color w:val="000000"/>
                <w:sz w:val="22"/>
                <w:szCs w:val="22"/>
              </w:rPr>
              <w:t>0,8</w:t>
            </w:r>
          </w:p>
        </w:tc>
        <w:tc>
          <w:tcPr>
            <w:tcW w:w="1260" w:type="dxa"/>
            <w:tcBorders>
              <w:top w:val="nil"/>
              <w:left w:val="nil"/>
              <w:bottom w:val="single" w:sz="4" w:space="0" w:color="auto"/>
              <w:right w:val="single" w:sz="4" w:space="0" w:color="auto"/>
            </w:tcBorders>
            <w:shd w:val="clear" w:color="auto" w:fill="auto"/>
            <w:noWrap/>
            <w:vAlign w:val="center"/>
            <w:hideMark/>
          </w:tcPr>
          <w:p w:rsidR="0055491A" w:rsidRDefault="0055491A" w:rsidP="00210BF6">
            <w:pPr>
              <w:jc w:val="center"/>
              <w:rPr>
                <w:color w:val="000000"/>
                <w:sz w:val="22"/>
                <w:szCs w:val="22"/>
              </w:rPr>
            </w:pPr>
            <w:r>
              <w:rPr>
                <w:color w:val="000000"/>
                <w:sz w:val="22"/>
                <w:szCs w:val="22"/>
              </w:rPr>
              <w:t>0,8</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55491A" w:rsidRDefault="0055491A" w:rsidP="00210BF6">
            <w:pPr>
              <w:jc w:val="center"/>
              <w:rPr>
                <w:color w:val="000000"/>
                <w:sz w:val="22"/>
                <w:szCs w:val="22"/>
              </w:rPr>
            </w:pPr>
            <w:r>
              <w:rPr>
                <w:color w:val="000000"/>
                <w:sz w:val="22"/>
                <w:szCs w:val="22"/>
              </w:rPr>
              <w:t>1,1</w:t>
            </w:r>
          </w:p>
        </w:tc>
      </w:tr>
      <w:tr w:rsidR="0055491A" w:rsidTr="00210BF6">
        <w:trPr>
          <w:trHeight w:val="30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5491A" w:rsidRDefault="0055491A" w:rsidP="00210BF6">
            <w:pPr>
              <w:jc w:val="center"/>
              <w:rPr>
                <w:color w:val="000000"/>
                <w:sz w:val="22"/>
                <w:szCs w:val="22"/>
              </w:rPr>
            </w:pPr>
            <w:r>
              <w:rPr>
                <w:color w:val="000000"/>
                <w:sz w:val="22"/>
                <w:szCs w:val="22"/>
              </w:rPr>
              <w:t>0,2</w:t>
            </w:r>
          </w:p>
        </w:tc>
        <w:tc>
          <w:tcPr>
            <w:tcW w:w="1259" w:type="dxa"/>
            <w:tcBorders>
              <w:top w:val="nil"/>
              <w:left w:val="nil"/>
              <w:bottom w:val="single" w:sz="4" w:space="0" w:color="auto"/>
              <w:right w:val="single" w:sz="4" w:space="0" w:color="auto"/>
            </w:tcBorders>
            <w:shd w:val="clear" w:color="auto" w:fill="auto"/>
            <w:noWrap/>
            <w:vAlign w:val="center"/>
            <w:hideMark/>
          </w:tcPr>
          <w:p w:rsidR="0055491A" w:rsidRDefault="0055491A" w:rsidP="00210BF6">
            <w:pPr>
              <w:jc w:val="center"/>
              <w:rPr>
                <w:color w:val="000000"/>
                <w:sz w:val="22"/>
                <w:szCs w:val="22"/>
              </w:rPr>
            </w:pPr>
            <w:r>
              <w:rPr>
                <w:color w:val="000000"/>
                <w:sz w:val="22"/>
                <w:szCs w:val="22"/>
              </w:rPr>
              <w:t>13</w:t>
            </w:r>
          </w:p>
        </w:tc>
        <w:tc>
          <w:tcPr>
            <w:tcW w:w="1260" w:type="dxa"/>
            <w:tcBorders>
              <w:top w:val="nil"/>
              <w:left w:val="nil"/>
              <w:bottom w:val="single" w:sz="4" w:space="0" w:color="auto"/>
              <w:right w:val="single" w:sz="4" w:space="0" w:color="auto"/>
            </w:tcBorders>
            <w:shd w:val="clear" w:color="auto" w:fill="auto"/>
            <w:noWrap/>
            <w:vAlign w:val="center"/>
            <w:hideMark/>
          </w:tcPr>
          <w:p w:rsidR="0055491A" w:rsidRDefault="0055491A" w:rsidP="00210BF6">
            <w:pPr>
              <w:jc w:val="center"/>
              <w:rPr>
                <w:color w:val="000000"/>
                <w:sz w:val="22"/>
                <w:szCs w:val="22"/>
              </w:rPr>
            </w:pPr>
            <w:r>
              <w:rPr>
                <w:color w:val="000000"/>
                <w:sz w:val="22"/>
                <w:szCs w:val="22"/>
              </w:rPr>
              <w:t>13</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55491A" w:rsidRDefault="0055491A" w:rsidP="00210BF6">
            <w:pPr>
              <w:jc w:val="center"/>
              <w:rPr>
                <w:color w:val="000000"/>
                <w:sz w:val="22"/>
                <w:szCs w:val="22"/>
              </w:rPr>
            </w:pPr>
            <w:r>
              <w:rPr>
                <w:color w:val="000000"/>
                <w:sz w:val="22"/>
                <w:szCs w:val="22"/>
              </w:rPr>
              <w:t>13</w:t>
            </w:r>
          </w:p>
        </w:tc>
        <w:tc>
          <w:tcPr>
            <w:tcW w:w="1260" w:type="dxa"/>
            <w:tcBorders>
              <w:top w:val="nil"/>
              <w:left w:val="nil"/>
              <w:bottom w:val="single" w:sz="4" w:space="0" w:color="auto"/>
              <w:right w:val="single" w:sz="4" w:space="0" w:color="auto"/>
            </w:tcBorders>
            <w:shd w:val="clear" w:color="auto" w:fill="auto"/>
            <w:noWrap/>
            <w:vAlign w:val="center"/>
            <w:hideMark/>
          </w:tcPr>
          <w:p w:rsidR="0055491A" w:rsidRDefault="0055491A" w:rsidP="00210BF6">
            <w:pPr>
              <w:jc w:val="center"/>
              <w:rPr>
                <w:color w:val="000000"/>
                <w:sz w:val="22"/>
                <w:szCs w:val="22"/>
              </w:rPr>
            </w:pPr>
            <w:r>
              <w:rPr>
                <w:color w:val="000000"/>
                <w:sz w:val="22"/>
                <w:szCs w:val="22"/>
              </w:rPr>
              <w:t>2,6</w:t>
            </w:r>
          </w:p>
        </w:tc>
        <w:tc>
          <w:tcPr>
            <w:tcW w:w="1260" w:type="dxa"/>
            <w:tcBorders>
              <w:top w:val="nil"/>
              <w:left w:val="nil"/>
              <w:bottom w:val="single" w:sz="4" w:space="0" w:color="auto"/>
              <w:right w:val="single" w:sz="4" w:space="0" w:color="auto"/>
            </w:tcBorders>
            <w:shd w:val="clear" w:color="auto" w:fill="auto"/>
            <w:noWrap/>
            <w:vAlign w:val="center"/>
            <w:hideMark/>
          </w:tcPr>
          <w:p w:rsidR="0055491A" w:rsidRDefault="0055491A" w:rsidP="00210BF6">
            <w:pPr>
              <w:jc w:val="center"/>
              <w:rPr>
                <w:color w:val="000000"/>
                <w:sz w:val="22"/>
                <w:szCs w:val="22"/>
              </w:rPr>
            </w:pPr>
            <w:r>
              <w:rPr>
                <w:color w:val="000000"/>
                <w:sz w:val="22"/>
                <w:szCs w:val="22"/>
              </w:rPr>
              <w:t>2,6</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55491A" w:rsidRDefault="0055491A" w:rsidP="00210BF6">
            <w:pPr>
              <w:jc w:val="center"/>
              <w:rPr>
                <w:color w:val="000000"/>
                <w:sz w:val="22"/>
                <w:szCs w:val="22"/>
              </w:rPr>
            </w:pPr>
            <w:r>
              <w:rPr>
                <w:color w:val="000000"/>
                <w:sz w:val="22"/>
                <w:szCs w:val="22"/>
              </w:rPr>
              <w:t>2,6</w:t>
            </w:r>
          </w:p>
        </w:tc>
      </w:tr>
      <w:tr w:rsidR="0055491A" w:rsidTr="00210BF6">
        <w:trPr>
          <w:trHeight w:val="30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5491A" w:rsidRDefault="0055491A" w:rsidP="00210BF6">
            <w:pPr>
              <w:jc w:val="center"/>
              <w:rPr>
                <w:color w:val="000000"/>
                <w:sz w:val="22"/>
                <w:szCs w:val="22"/>
              </w:rPr>
            </w:pPr>
            <w:r>
              <w:rPr>
                <w:color w:val="000000"/>
                <w:sz w:val="22"/>
                <w:szCs w:val="22"/>
              </w:rPr>
              <w:t>0,3</w:t>
            </w:r>
          </w:p>
        </w:tc>
        <w:tc>
          <w:tcPr>
            <w:tcW w:w="1259" w:type="dxa"/>
            <w:tcBorders>
              <w:top w:val="nil"/>
              <w:left w:val="nil"/>
              <w:bottom w:val="single" w:sz="4" w:space="0" w:color="auto"/>
              <w:right w:val="single" w:sz="4" w:space="0" w:color="auto"/>
            </w:tcBorders>
            <w:shd w:val="clear" w:color="auto" w:fill="auto"/>
            <w:noWrap/>
            <w:vAlign w:val="center"/>
            <w:hideMark/>
          </w:tcPr>
          <w:p w:rsidR="0055491A" w:rsidRDefault="0055491A" w:rsidP="00210BF6">
            <w:pPr>
              <w:jc w:val="center"/>
              <w:rPr>
                <w:color w:val="000000"/>
                <w:sz w:val="22"/>
                <w:szCs w:val="22"/>
              </w:rPr>
            </w:pPr>
            <w:r>
              <w:rPr>
                <w:color w:val="000000"/>
                <w:sz w:val="22"/>
                <w:szCs w:val="22"/>
              </w:rPr>
              <w:t>637</w:t>
            </w:r>
          </w:p>
        </w:tc>
        <w:tc>
          <w:tcPr>
            <w:tcW w:w="1260" w:type="dxa"/>
            <w:tcBorders>
              <w:top w:val="nil"/>
              <w:left w:val="nil"/>
              <w:bottom w:val="single" w:sz="4" w:space="0" w:color="auto"/>
              <w:right w:val="single" w:sz="4" w:space="0" w:color="auto"/>
            </w:tcBorders>
            <w:shd w:val="clear" w:color="auto" w:fill="auto"/>
            <w:noWrap/>
            <w:vAlign w:val="center"/>
            <w:hideMark/>
          </w:tcPr>
          <w:p w:rsidR="0055491A" w:rsidRDefault="0055491A" w:rsidP="00210BF6">
            <w:pPr>
              <w:jc w:val="center"/>
              <w:rPr>
                <w:color w:val="000000"/>
                <w:sz w:val="22"/>
                <w:szCs w:val="22"/>
              </w:rPr>
            </w:pPr>
            <w:r>
              <w:rPr>
                <w:color w:val="000000"/>
                <w:sz w:val="22"/>
                <w:szCs w:val="22"/>
              </w:rPr>
              <w:t>595</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55491A" w:rsidRDefault="0055491A" w:rsidP="00210BF6">
            <w:pPr>
              <w:jc w:val="center"/>
              <w:rPr>
                <w:color w:val="000000"/>
                <w:sz w:val="22"/>
                <w:szCs w:val="22"/>
              </w:rPr>
            </w:pPr>
            <w:r>
              <w:rPr>
                <w:color w:val="000000"/>
                <w:sz w:val="22"/>
                <w:szCs w:val="22"/>
              </w:rPr>
              <w:t>697</w:t>
            </w:r>
          </w:p>
        </w:tc>
        <w:tc>
          <w:tcPr>
            <w:tcW w:w="1260" w:type="dxa"/>
            <w:tcBorders>
              <w:top w:val="nil"/>
              <w:left w:val="nil"/>
              <w:bottom w:val="single" w:sz="4" w:space="0" w:color="auto"/>
              <w:right w:val="single" w:sz="4" w:space="0" w:color="auto"/>
            </w:tcBorders>
            <w:shd w:val="clear" w:color="auto" w:fill="auto"/>
            <w:noWrap/>
            <w:vAlign w:val="center"/>
            <w:hideMark/>
          </w:tcPr>
          <w:p w:rsidR="0055491A" w:rsidRDefault="0055491A" w:rsidP="00210BF6">
            <w:pPr>
              <w:jc w:val="center"/>
              <w:rPr>
                <w:color w:val="000000"/>
                <w:sz w:val="22"/>
                <w:szCs w:val="22"/>
              </w:rPr>
            </w:pPr>
            <w:r>
              <w:rPr>
                <w:color w:val="000000"/>
                <w:sz w:val="22"/>
                <w:szCs w:val="22"/>
              </w:rPr>
              <w:t>191,1</w:t>
            </w:r>
          </w:p>
        </w:tc>
        <w:tc>
          <w:tcPr>
            <w:tcW w:w="1260" w:type="dxa"/>
            <w:tcBorders>
              <w:top w:val="nil"/>
              <w:left w:val="nil"/>
              <w:bottom w:val="single" w:sz="4" w:space="0" w:color="auto"/>
              <w:right w:val="single" w:sz="4" w:space="0" w:color="auto"/>
            </w:tcBorders>
            <w:shd w:val="clear" w:color="auto" w:fill="auto"/>
            <w:noWrap/>
            <w:vAlign w:val="center"/>
            <w:hideMark/>
          </w:tcPr>
          <w:p w:rsidR="0055491A" w:rsidRDefault="0055491A" w:rsidP="00210BF6">
            <w:pPr>
              <w:jc w:val="center"/>
              <w:rPr>
                <w:color w:val="000000"/>
                <w:sz w:val="22"/>
                <w:szCs w:val="22"/>
              </w:rPr>
            </w:pPr>
            <w:r>
              <w:rPr>
                <w:color w:val="000000"/>
                <w:sz w:val="22"/>
                <w:szCs w:val="22"/>
              </w:rPr>
              <w:t>178,5</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55491A" w:rsidRDefault="0055491A" w:rsidP="00210BF6">
            <w:pPr>
              <w:jc w:val="center"/>
              <w:rPr>
                <w:color w:val="000000"/>
                <w:sz w:val="22"/>
                <w:szCs w:val="22"/>
              </w:rPr>
            </w:pPr>
            <w:r>
              <w:rPr>
                <w:color w:val="000000"/>
                <w:sz w:val="22"/>
                <w:szCs w:val="22"/>
              </w:rPr>
              <w:t>209,1</w:t>
            </w:r>
          </w:p>
        </w:tc>
      </w:tr>
      <w:tr w:rsidR="0055491A" w:rsidTr="00210BF6">
        <w:trPr>
          <w:trHeight w:val="30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5491A" w:rsidRDefault="0055491A" w:rsidP="00210BF6">
            <w:pPr>
              <w:jc w:val="center"/>
              <w:rPr>
                <w:color w:val="000000"/>
                <w:sz w:val="22"/>
                <w:szCs w:val="22"/>
              </w:rPr>
            </w:pPr>
            <w:r>
              <w:rPr>
                <w:color w:val="000000"/>
                <w:sz w:val="22"/>
                <w:szCs w:val="22"/>
              </w:rPr>
              <w:t>0,5</w:t>
            </w:r>
          </w:p>
        </w:tc>
        <w:tc>
          <w:tcPr>
            <w:tcW w:w="1259" w:type="dxa"/>
            <w:tcBorders>
              <w:top w:val="nil"/>
              <w:left w:val="nil"/>
              <w:bottom w:val="single" w:sz="4" w:space="0" w:color="auto"/>
              <w:right w:val="single" w:sz="4" w:space="0" w:color="auto"/>
            </w:tcBorders>
            <w:shd w:val="clear" w:color="auto" w:fill="auto"/>
            <w:noWrap/>
            <w:vAlign w:val="center"/>
            <w:hideMark/>
          </w:tcPr>
          <w:p w:rsidR="0055491A" w:rsidRDefault="0055491A" w:rsidP="00210BF6">
            <w:pPr>
              <w:jc w:val="center"/>
              <w:rPr>
                <w:color w:val="000000"/>
                <w:sz w:val="22"/>
                <w:szCs w:val="22"/>
              </w:rPr>
            </w:pPr>
            <w:r>
              <w:rPr>
                <w:color w:val="000000"/>
                <w:sz w:val="22"/>
                <w:szCs w:val="22"/>
              </w:rPr>
              <w:t>838</w:t>
            </w:r>
          </w:p>
        </w:tc>
        <w:tc>
          <w:tcPr>
            <w:tcW w:w="1260" w:type="dxa"/>
            <w:tcBorders>
              <w:top w:val="nil"/>
              <w:left w:val="nil"/>
              <w:bottom w:val="single" w:sz="4" w:space="0" w:color="auto"/>
              <w:right w:val="single" w:sz="4" w:space="0" w:color="auto"/>
            </w:tcBorders>
            <w:shd w:val="clear" w:color="auto" w:fill="auto"/>
            <w:noWrap/>
            <w:vAlign w:val="center"/>
            <w:hideMark/>
          </w:tcPr>
          <w:p w:rsidR="0055491A" w:rsidRDefault="0055491A" w:rsidP="00210BF6">
            <w:pPr>
              <w:jc w:val="center"/>
              <w:rPr>
                <w:color w:val="000000"/>
                <w:sz w:val="22"/>
                <w:szCs w:val="22"/>
              </w:rPr>
            </w:pPr>
            <w:r>
              <w:rPr>
                <w:color w:val="000000"/>
                <w:sz w:val="22"/>
                <w:szCs w:val="22"/>
              </w:rPr>
              <w:t>911</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55491A" w:rsidRDefault="0055491A" w:rsidP="00210BF6">
            <w:pPr>
              <w:jc w:val="center"/>
              <w:rPr>
                <w:color w:val="000000"/>
                <w:sz w:val="22"/>
                <w:szCs w:val="22"/>
              </w:rPr>
            </w:pPr>
            <w:r>
              <w:rPr>
                <w:color w:val="000000"/>
                <w:sz w:val="22"/>
                <w:szCs w:val="22"/>
              </w:rPr>
              <w:t>846</w:t>
            </w:r>
          </w:p>
        </w:tc>
        <w:tc>
          <w:tcPr>
            <w:tcW w:w="1260" w:type="dxa"/>
            <w:tcBorders>
              <w:top w:val="nil"/>
              <w:left w:val="nil"/>
              <w:bottom w:val="single" w:sz="4" w:space="0" w:color="auto"/>
              <w:right w:val="single" w:sz="4" w:space="0" w:color="auto"/>
            </w:tcBorders>
            <w:shd w:val="clear" w:color="auto" w:fill="auto"/>
            <w:noWrap/>
            <w:vAlign w:val="center"/>
            <w:hideMark/>
          </w:tcPr>
          <w:p w:rsidR="0055491A" w:rsidRDefault="0055491A" w:rsidP="00210BF6">
            <w:pPr>
              <w:jc w:val="center"/>
              <w:rPr>
                <w:color w:val="000000"/>
                <w:sz w:val="22"/>
                <w:szCs w:val="22"/>
              </w:rPr>
            </w:pPr>
            <w:r>
              <w:rPr>
                <w:color w:val="000000"/>
                <w:sz w:val="22"/>
                <w:szCs w:val="22"/>
              </w:rPr>
              <w:t>419</w:t>
            </w:r>
          </w:p>
        </w:tc>
        <w:tc>
          <w:tcPr>
            <w:tcW w:w="1260" w:type="dxa"/>
            <w:tcBorders>
              <w:top w:val="nil"/>
              <w:left w:val="nil"/>
              <w:bottom w:val="single" w:sz="4" w:space="0" w:color="auto"/>
              <w:right w:val="single" w:sz="4" w:space="0" w:color="auto"/>
            </w:tcBorders>
            <w:shd w:val="clear" w:color="auto" w:fill="auto"/>
            <w:noWrap/>
            <w:vAlign w:val="center"/>
            <w:hideMark/>
          </w:tcPr>
          <w:p w:rsidR="0055491A" w:rsidRDefault="0055491A" w:rsidP="00210BF6">
            <w:pPr>
              <w:jc w:val="center"/>
              <w:rPr>
                <w:color w:val="000000"/>
                <w:sz w:val="22"/>
                <w:szCs w:val="22"/>
              </w:rPr>
            </w:pPr>
            <w:r>
              <w:rPr>
                <w:color w:val="000000"/>
                <w:sz w:val="22"/>
                <w:szCs w:val="22"/>
              </w:rPr>
              <w:t>455,5</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55491A" w:rsidRDefault="0055491A" w:rsidP="00210BF6">
            <w:pPr>
              <w:jc w:val="center"/>
              <w:rPr>
                <w:color w:val="000000"/>
                <w:sz w:val="22"/>
                <w:szCs w:val="22"/>
              </w:rPr>
            </w:pPr>
            <w:r>
              <w:rPr>
                <w:color w:val="000000"/>
                <w:sz w:val="22"/>
                <w:szCs w:val="22"/>
              </w:rPr>
              <w:t>423</w:t>
            </w:r>
          </w:p>
        </w:tc>
      </w:tr>
      <w:tr w:rsidR="0055491A" w:rsidTr="00210BF6">
        <w:trPr>
          <w:trHeight w:val="30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5491A" w:rsidRDefault="0055491A" w:rsidP="00210BF6">
            <w:pPr>
              <w:jc w:val="center"/>
              <w:rPr>
                <w:color w:val="000000"/>
                <w:sz w:val="22"/>
                <w:szCs w:val="22"/>
              </w:rPr>
            </w:pPr>
            <w:r>
              <w:rPr>
                <w:color w:val="000000"/>
                <w:sz w:val="22"/>
                <w:szCs w:val="22"/>
              </w:rPr>
              <w:t>1</w:t>
            </w:r>
          </w:p>
        </w:tc>
        <w:tc>
          <w:tcPr>
            <w:tcW w:w="1259" w:type="dxa"/>
            <w:tcBorders>
              <w:top w:val="nil"/>
              <w:left w:val="nil"/>
              <w:bottom w:val="single" w:sz="4" w:space="0" w:color="auto"/>
              <w:right w:val="single" w:sz="4" w:space="0" w:color="auto"/>
            </w:tcBorders>
            <w:shd w:val="clear" w:color="auto" w:fill="auto"/>
            <w:noWrap/>
            <w:vAlign w:val="center"/>
            <w:hideMark/>
          </w:tcPr>
          <w:p w:rsidR="0055491A" w:rsidRDefault="0055491A" w:rsidP="00210BF6">
            <w:pPr>
              <w:jc w:val="center"/>
              <w:rPr>
                <w:color w:val="000000"/>
                <w:sz w:val="22"/>
                <w:szCs w:val="22"/>
              </w:rPr>
            </w:pPr>
            <w:r>
              <w:rPr>
                <w:color w:val="000000"/>
                <w:sz w:val="22"/>
                <w:szCs w:val="22"/>
              </w:rPr>
              <w:t>63</w:t>
            </w:r>
          </w:p>
        </w:tc>
        <w:tc>
          <w:tcPr>
            <w:tcW w:w="1260" w:type="dxa"/>
            <w:tcBorders>
              <w:top w:val="nil"/>
              <w:left w:val="nil"/>
              <w:bottom w:val="single" w:sz="4" w:space="0" w:color="auto"/>
              <w:right w:val="single" w:sz="4" w:space="0" w:color="auto"/>
            </w:tcBorders>
            <w:shd w:val="clear" w:color="auto" w:fill="auto"/>
            <w:noWrap/>
            <w:vAlign w:val="center"/>
            <w:hideMark/>
          </w:tcPr>
          <w:p w:rsidR="0055491A" w:rsidRDefault="0055491A" w:rsidP="00210BF6">
            <w:pPr>
              <w:jc w:val="center"/>
              <w:rPr>
                <w:color w:val="000000"/>
                <w:sz w:val="22"/>
                <w:szCs w:val="22"/>
              </w:rPr>
            </w:pPr>
            <w:r>
              <w:rPr>
                <w:color w:val="000000"/>
                <w:sz w:val="22"/>
                <w:szCs w:val="22"/>
              </w:rPr>
              <w:t>58</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55491A" w:rsidRDefault="0055491A" w:rsidP="00210BF6">
            <w:pPr>
              <w:jc w:val="center"/>
              <w:rPr>
                <w:color w:val="000000"/>
                <w:sz w:val="22"/>
                <w:szCs w:val="22"/>
              </w:rPr>
            </w:pPr>
            <w:r>
              <w:rPr>
                <w:color w:val="000000"/>
                <w:sz w:val="22"/>
                <w:szCs w:val="22"/>
              </w:rPr>
              <w:t>57</w:t>
            </w:r>
          </w:p>
        </w:tc>
        <w:tc>
          <w:tcPr>
            <w:tcW w:w="1260" w:type="dxa"/>
            <w:tcBorders>
              <w:top w:val="nil"/>
              <w:left w:val="nil"/>
              <w:bottom w:val="single" w:sz="4" w:space="0" w:color="auto"/>
              <w:right w:val="single" w:sz="4" w:space="0" w:color="auto"/>
            </w:tcBorders>
            <w:shd w:val="clear" w:color="auto" w:fill="auto"/>
            <w:noWrap/>
            <w:vAlign w:val="center"/>
            <w:hideMark/>
          </w:tcPr>
          <w:p w:rsidR="0055491A" w:rsidRDefault="0055491A" w:rsidP="00210BF6">
            <w:pPr>
              <w:jc w:val="center"/>
              <w:rPr>
                <w:color w:val="000000"/>
                <w:sz w:val="22"/>
                <w:szCs w:val="22"/>
              </w:rPr>
            </w:pPr>
            <w:r>
              <w:rPr>
                <w:color w:val="000000"/>
                <w:sz w:val="22"/>
                <w:szCs w:val="22"/>
              </w:rPr>
              <w:t>63</w:t>
            </w:r>
          </w:p>
        </w:tc>
        <w:tc>
          <w:tcPr>
            <w:tcW w:w="1260" w:type="dxa"/>
            <w:tcBorders>
              <w:top w:val="nil"/>
              <w:left w:val="nil"/>
              <w:bottom w:val="single" w:sz="4" w:space="0" w:color="auto"/>
              <w:right w:val="single" w:sz="4" w:space="0" w:color="auto"/>
            </w:tcBorders>
            <w:shd w:val="clear" w:color="auto" w:fill="auto"/>
            <w:noWrap/>
            <w:vAlign w:val="center"/>
            <w:hideMark/>
          </w:tcPr>
          <w:p w:rsidR="0055491A" w:rsidRDefault="0055491A" w:rsidP="00210BF6">
            <w:pPr>
              <w:jc w:val="center"/>
              <w:rPr>
                <w:color w:val="000000"/>
                <w:sz w:val="22"/>
                <w:szCs w:val="22"/>
              </w:rPr>
            </w:pPr>
            <w:r>
              <w:rPr>
                <w:color w:val="000000"/>
                <w:sz w:val="22"/>
                <w:szCs w:val="22"/>
              </w:rPr>
              <w:t>58</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55491A" w:rsidRDefault="0055491A" w:rsidP="00210BF6">
            <w:pPr>
              <w:jc w:val="center"/>
              <w:rPr>
                <w:color w:val="000000"/>
                <w:sz w:val="22"/>
                <w:szCs w:val="22"/>
              </w:rPr>
            </w:pPr>
            <w:r>
              <w:rPr>
                <w:color w:val="000000"/>
                <w:sz w:val="22"/>
                <w:szCs w:val="22"/>
              </w:rPr>
              <w:t>57</w:t>
            </w:r>
          </w:p>
        </w:tc>
      </w:tr>
      <w:tr w:rsidR="0055491A" w:rsidTr="00210BF6">
        <w:trPr>
          <w:trHeight w:val="30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5491A" w:rsidRDefault="0055491A" w:rsidP="00210BF6">
            <w:pPr>
              <w:jc w:val="center"/>
              <w:rPr>
                <w:color w:val="000000"/>
                <w:sz w:val="22"/>
                <w:szCs w:val="22"/>
              </w:rPr>
            </w:pPr>
            <w:r>
              <w:rPr>
                <w:color w:val="000000"/>
                <w:sz w:val="22"/>
                <w:szCs w:val="22"/>
              </w:rPr>
              <w:t>1,5</w:t>
            </w:r>
          </w:p>
        </w:tc>
        <w:tc>
          <w:tcPr>
            <w:tcW w:w="1259" w:type="dxa"/>
            <w:tcBorders>
              <w:top w:val="nil"/>
              <w:left w:val="nil"/>
              <w:bottom w:val="single" w:sz="4" w:space="0" w:color="auto"/>
              <w:right w:val="single" w:sz="4" w:space="0" w:color="auto"/>
            </w:tcBorders>
            <w:shd w:val="clear" w:color="auto" w:fill="auto"/>
            <w:noWrap/>
            <w:vAlign w:val="center"/>
            <w:hideMark/>
          </w:tcPr>
          <w:p w:rsidR="0055491A" w:rsidRDefault="0055491A" w:rsidP="00210BF6">
            <w:pPr>
              <w:jc w:val="center"/>
              <w:rPr>
                <w:color w:val="000000"/>
                <w:sz w:val="22"/>
                <w:szCs w:val="22"/>
              </w:rPr>
            </w:pPr>
            <w:r>
              <w:rPr>
                <w:color w:val="000000"/>
                <w:sz w:val="22"/>
                <w:szCs w:val="22"/>
              </w:rPr>
              <w:t>31</w:t>
            </w:r>
          </w:p>
        </w:tc>
        <w:tc>
          <w:tcPr>
            <w:tcW w:w="1260" w:type="dxa"/>
            <w:tcBorders>
              <w:top w:val="nil"/>
              <w:left w:val="nil"/>
              <w:bottom w:val="single" w:sz="4" w:space="0" w:color="auto"/>
              <w:right w:val="single" w:sz="4" w:space="0" w:color="auto"/>
            </w:tcBorders>
            <w:shd w:val="clear" w:color="auto" w:fill="auto"/>
            <w:noWrap/>
            <w:vAlign w:val="center"/>
            <w:hideMark/>
          </w:tcPr>
          <w:p w:rsidR="0055491A" w:rsidRDefault="0055491A" w:rsidP="00210BF6">
            <w:pPr>
              <w:jc w:val="center"/>
              <w:rPr>
                <w:color w:val="000000"/>
                <w:sz w:val="22"/>
                <w:szCs w:val="22"/>
              </w:rPr>
            </w:pPr>
            <w:r>
              <w:rPr>
                <w:color w:val="000000"/>
                <w:sz w:val="22"/>
                <w:szCs w:val="22"/>
              </w:rPr>
              <w:t>44</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55491A" w:rsidRDefault="0055491A" w:rsidP="00210BF6">
            <w:pPr>
              <w:jc w:val="center"/>
              <w:rPr>
                <w:color w:val="000000"/>
                <w:sz w:val="22"/>
                <w:szCs w:val="22"/>
              </w:rPr>
            </w:pPr>
            <w:r>
              <w:rPr>
                <w:color w:val="000000"/>
                <w:sz w:val="22"/>
                <w:szCs w:val="22"/>
              </w:rPr>
              <w:t>22</w:t>
            </w:r>
          </w:p>
        </w:tc>
        <w:tc>
          <w:tcPr>
            <w:tcW w:w="1260" w:type="dxa"/>
            <w:tcBorders>
              <w:top w:val="nil"/>
              <w:left w:val="nil"/>
              <w:bottom w:val="single" w:sz="4" w:space="0" w:color="auto"/>
              <w:right w:val="single" w:sz="4" w:space="0" w:color="auto"/>
            </w:tcBorders>
            <w:shd w:val="clear" w:color="auto" w:fill="auto"/>
            <w:noWrap/>
            <w:vAlign w:val="center"/>
            <w:hideMark/>
          </w:tcPr>
          <w:p w:rsidR="0055491A" w:rsidRDefault="0055491A" w:rsidP="00210BF6">
            <w:pPr>
              <w:jc w:val="center"/>
              <w:rPr>
                <w:color w:val="000000"/>
                <w:sz w:val="22"/>
                <w:szCs w:val="22"/>
              </w:rPr>
            </w:pPr>
            <w:r>
              <w:rPr>
                <w:color w:val="000000"/>
                <w:sz w:val="22"/>
                <w:szCs w:val="22"/>
              </w:rPr>
              <w:t>46,5</w:t>
            </w:r>
          </w:p>
        </w:tc>
        <w:tc>
          <w:tcPr>
            <w:tcW w:w="1260" w:type="dxa"/>
            <w:tcBorders>
              <w:top w:val="nil"/>
              <w:left w:val="nil"/>
              <w:bottom w:val="single" w:sz="4" w:space="0" w:color="auto"/>
              <w:right w:val="single" w:sz="4" w:space="0" w:color="auto"/>
            </w:tcBorders>
            <w:shd w:val="clear" w:color="auto" w:fill="auto"/>
            <w:noWrap/>
            <w:vAlign w:val="center"/>
            <w:hideMark/>
          </w:tcPr>
          <w:p w:rsidR="0055491A" w:rsidRDefault="0055491A" w:rsidP="00210BF6">
            <w:pPr>
              <w:jc w:val="center"/>
              <w:rPr>
                <w:color w:val="000000"/>
                <w:sz w:val="22"/>
                <w:szCs w:val="22"/>
              </w:rPr>
            </w:pPr>
            <w:r>
              <w:rPr>
                <w:color w:val="000000"/>
                <w:sz w:val="22"/>
                <w:szCs w:val="22"/>
              </w:rPr>
              <w:t>66</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55491A" w:rsidRDefault="0055491A" w:rsidP="00210BF6">
            <w:pPr>
              <w:jc w:val="center"/>
              <w:rPr>
                <w:color w:val="000000"/>
                <w:sz w:val="22"/>
                <w:szCs w:val="22"/>
              </w:rPr>
            </w:pPr>
            <w:r>
              <w:rPr>
                <w:color w:val="000000"/>
                <w:sz w:val="22"/>
                <w:szCs w:val="22"/>
              </w:rPr>
              <w:t>33</w:t>
            </w:r>
          </w:p>
        </w:tc>
      </w:tr>
      <w:tr w:rsidR="0055491A" w:rsidTr="00210BF6">
        <w:trPr>
          <w:trHeight w:val="30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5491A" w:rsidRDefault="0055491A" w:rsidP="00210BF6">
            <w:pPr>
              <w:jc w:val="center"/>
              <w:rPr>
                <w:color w:val="000000"/>
                <w:sz w:val="22"/>
                <w:szCs w:val="22"/>
              </w:rPr>
            </w:pPr>
            <w:r>
              <w:rPr>
                <w:color w:val="000000"/>
                <w:sz w:val="22"/>
                <w:szCs w:val="22"/>
              </w:rPr>
              <w:t>10</w:t>
            </w:r>
          </w:p>
        </w:tc>
        <w:tc>
          <w:tcPr>
            <w:tcW w:w="1259" w:type="dxa"/>
            <w:tcBorders>
              <w:top w:val="nil"/>
              <w:left w:val="nil"/>
              <w:bottom w:val="single" w:sz="4" w:space="0" w:color="auto"/>
              <w:right w:val="single" w:sz="4" w:space="0" w:color="auto"/>
            </w:tcBorders>
            <w:shd w:val="clear" w:color="auto" w:fill="auto"/>
            <w:noWrap/>
            <w:vAlign w:val="center"/>
            <w:hideMark/>
          </w:tcPr>
          <w:p w:rsidR="0055491A" w:rsidRDefault="0055491A" w:rsidP="00210BF6">
            <w:pPr>
              <w:jc w:val="center"/>
              <w:rPr>
                <w:color w:val="000000"/>
                <w:sz w:val="22"/>
                <w:szCs w:val="22"/>
              </w:rPr>
            </w:pPr>
            <w:r>
              <w:rPr>
                <w:color w:val="000000"/>
                <w:sz w:val="22"/>
                <w:szCs w:val="22"/>
              </w:rPr>
              <w:t>1</w:t>
            </w:r>
          </w:p>
        </w:tc>
        <w:tc>
          <w:tcPr>
            <w:tcW w:w="1260" w:type="dxa"/>
            <w:tcBorders>
              <w:top w:val="nil"/>
              <w:left w:val="nil"/>
              <w:bottom w:val="single" w:sz="4" w:space="0" w:color="auto"/>
              <w:right w:val="single" w:sz="4" w:space="0" w:color="auto"/>
            </w:tcBorders>
            <w:shd w:val="clear" w:color="auto" w:fill="auto"/>
            <w:noWrap/>
            <w:vAlign w:val="center"/>
            <w:hideMark/>
          </w:tcPr>
          <w:p w:rsidR="0055491A" w:rsidRDefault="0055491A" w:rsidP="00210BF6">
            <w:pPr>
              <w:jc w:val="center"/>
              <w:rPr>
                <w:color w:val="000000"/>
                <w:sz w:val="22"/>
                <w:szCs w:val="22"/>
              </w:rPr>
            </w:pPr>
            <w:r>
              <w:rPr>
                <w:color w:val="000000"/>
                <w:sz w:val="22"/>
                <w:szCs w:val="22"/>
              </w:rPr>
              <w:t>1</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55491A" w:rsidRDefault="0055491A" w:rsidP="00210BF6">
            <w:pPr>
              <w:jc w:val="center"/>
              <w:rPr>
                <w:color w:val="000000"/>
                <w:sz w:val="22"/>
                <w:szCs w:val="22"/>
              </w:rPr>
            </w:pPr>
            <w:r>
              <w:rPr>
                <w:color w:val="000000"/>
                <w:sz w:val="22"/>
                <w:szCs w:val="22"/>
              </w:rPr>
              <w:t>1</w:t>
            </w:r>
          </w:p>
        </w:tc>
        <w:tc>
          <w:tcPr>
            <w:tcW w:w="1260" w:type="dxa"/>
            <w:tcBorders>
              <w:top w:val="nil"/>
              <w:left w:val="nil"/>
              <w:bottom w:val="single" w:sz="4" w:space="0" w:color="auto"/>
              <w:right w:val="single" w:sz="4" w:space="0" w:color="auto"/>
            </w:tcBorders>
            <w:shd w:val="clear" w:color="auto" w:fill="auto"/>
            <w:noWrap/>
            <w:vAlign w:val="center"/>
            <w:hideMark/>
          </w:tcPr>
          <w:p w:rsidR="0055491A" w:rsidRDefault="0055491A" w:rsidP="00210BF6">
            <w:pPr>
              <w:jc w:val="center"/>
              <w:rPr>
                <w:color w:val="000000"/>
                <w:sz w:val="22"/>
                <w:szCs w:val="22"/>
              </w:rPr>
            </w:pPr>
            <w:r>
              <w:rPr>
                <w:color w:val="000000"/>
                <w:sz w:val="22"/>
                <w:szCs w:val="22"/>
              </w:rPr>
              <w:t>10</w:t>
            </w:r>
          </w:p>
        </w:tc>
        <w:tc>
          <w:tcPr>
            <w:tcW w:w="1260" w:type="dxa"/>
            <w:tcBorders>
              <w:top w:val="nil"/>
              <w:left w:val="nil"/>
              <w:bottom w:val="single" w:sz="4" w:space="0" w:color="auto"/>
              <w:right w:val="single" w:sz="4" w:space="0" w:color="auto"/>
            </w:tcBorders>
            <w:shd w:val="clear" w:color="auto" w:fill="auto"/>
            <w:noWrap/>
            <w:vAlign w:val="center"/>
            <w:hideMark/>
          </w:tcPr>
          <w:p w:rsidR="0055491A" w:rsidRDefault="0055491A" w:rsidP="00210BF6">
            <w:pPr>
              <w:jc w:val="center"/>
              <w:rPr>
                <w:color w:val="000000"/>
                <w:sz w:val="22"/>
                <w:szCs w:val="22"/>
              </w:rPr>
            </w:pPr>
            <w:r>
              <w:rPr>
                <w:color w:val="000000"/>
                <w:sz w:val="22"/>
                <w:szCs w:val="22"/>
              </w:rPr>
              <w:t>10</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55491A" w:rsidRDefault="0055491A" w:rsidP="00210BF6">
            <w:pPr>
              <w:jc w:val="center"/>
              <w:rPr>
                <w:color w:val="000000"/>
                <w:sz w:val="22"/>
                <w:szCs w:val="22"/>
              </w:rPr>
            </w:pPr>
            <w:r>
              <w:rPr>
                <w:color w:val="000000"/>
                <w:sz w:val="22"/>
                <w:szCs w:val="22"/>
              </w:rPr>
              <w:t>10</w:t>
            </w:r>
          </w:p>
        </w:tc>
      </w:tr>
      <w:tr w:rsidR="0055491A" w:rsidTr="00210BF6">
        <w:trPr>
          <w:trHeight w:val="300"/>
        </w:trPr>
        <w:tc>
          <w:tcPr>
            <w:tcW w:w="5055" w:type="dxa"/>
            <w:gridSpan w:val="5"/>
            <w:tcBorders>
              <w:top w:val="nil"/>
              <w:left w:val="single" w:sz="4" w:space="0" w:color="auto"/>
              <w:bottom w:val="single" w:sz="4" w:space="0" w:color="auto"/>
              <w:right w:val="nil"/>
            </w:tcBorders>
            <w:shd w:val="clear" w:color="auto" w:fill="auto"/>
            <w:noWrap/>
            <w:vAlign w:val="center"/>
            <w:hideMark/>
          </w:tcPr>
          <w:p w:rsidR="0055491A" w:rsidRPr="006D676B" w:rsidRDefault="0055491A" w:rsidP="00210BF6">
            <w:pPr>
              <w:jc w:val="center"/>
              <w:rPr>
                <w:b/>
                <w:color w:val="000000"/>
                <w:sz w:val="22"/>
                <w:szCs w:val="22"/>
              </w:rPr>
            </w:pPr>
            <w:r w:rsidRPr="006D676B">
              <w:rPr>
                <w:b/>
                <w:color w:val="000000"/>
                <w:sz w:val="22"/>
                <w:szCs w:val="22"/>
              </w:rPr>
              <w:t>ИТОГО</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55491A" w:rsidRPr="00CC213F" w:rsidRDefault="0055491A" w:rsidP="00210BF6">
            <w:pPr>
              <w:jc w:val="center"/>
              <w:rPr>
                <w:b/>
                <w:color w:val="000000"/>
                <w:sz w:val="22"/>
                <w:szCs w:val="22"/>
              </w:rPr>
            </w:pPr>
            <w:r w:rsidRPr="00CC213F">
              <w:rPr>
                <w:b/>
                <w:color w:val="000000"/>
                <w:sz w:val="22"/>
                <w:szCs w:val="22"/>
              </w:rPr>
              <w:t>733</w:t>
            </w:r>
          </w:p>
        </w:tc>
        <w:tc>
          <w:tcPr>
            <w:tcW w:w="1260" w:type="dxa"/>
            <w:tcBorders>
              <w:top w:val="nil"/>
              <w:left w:val="nil"/>
              <w:bottom w:val="single" w:sz="4" w:space="0" w:color="auto"/>
              <w:right w:val="single" w:sz="4" w:space="0" w:color="auto"/>
            </w:tcBorders>
            <w:shd w:val="clear" w:color="auto" w:fill="auto"/>
            <w:noWrap/>
            <w:vAlign w:val="center"/>
            <w:hideMark/>
          </w:tcPr>
          <w:p w:rsidR="0055491A" w:rsidRPr="00CC213F" w:rsidRDefault="0055491A" w:rsidP="00210BF6">
            <w:pPr>
              <w:jc w:val="center"/>
              <w:rPr>
                <w:b/>
                <w:color w:val="000000"/>
                <w:sz w:val="22"/>
                <w:szCs w:val="22"/>
              </w:rPr>
            </w:pPr>
            <w:r w:rsidRPr="00CC213F">
              <w:rPr>
                <w:b/>
                <w:color w:val="000000"/>
                <w:sz w:val="22"/>
                <w:szCs w:val="22"/>
              </w:rPr>
              <w:t>771,4</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55491A" w:rsidRPr="00CC213F" w:rsidRDefault="0055491A" w:rsidP="00210BF6">
            <w:pPr>
              <w:jc w:val="center"/>
              <w:rPr>
                <w:b/>
                <w:color w:val="000000"/>
                <w:sz w:val="22"/>
                <w:szCs w:val="22"/>
              </w:rPr>
            </w:pPr>
            <w:r w:rsidRPr="00CC213F">
              <w:rPr>
                <w:b/>
                <w:color w:val="000000"/>
                <w:sz w:val="22"/>
                <w:szCs w:val="22"/>
              </w:rPr>
              <w:t>735,8</w:t>
            </w:r>
          </w:p>
        </w:tc>
      </w:tr>
    </w:tbl>
    <w:p w:rsidR="0055491A" w:rsidRPr="00EC6D16" w:rsidRDefault="0055491A" w:rsidP="0055491A">
      <w:pPr>
        <w:widowControl w:val="0"/>
        <w:tabs>
          <w:tab w:val="left" w:pos="1134"/>
        </w:tabs>
        <w:autoSpaceDE w:val="0"/>
        <w:autoSpaceDN w:val="0"/>
        <w:ind w:firstLine="709"/>
        <w:jc w:val="both"/>
        <w:rPr>
          <w:bCs/>
          <w:sz w:val="28"/>
          <w:szCs w:val="28"/>
        </w:rPr>
      </w:pPr>
      <w:r>
        <w:rPr>
          <w:bCs/>
          <w:sz w:val="28"/>
          <w:szCs w:val="28"/>
        </w:rPr>
        <w:t xml:space="preserve">С учетом норматива зачисления в областной бюджет Тверской области  </w:t>
      </w:r>
      <w:r>
        <w:rPr>
          <w:bCs/>
          <w:sz w:val="28"/>
          <w:szCs w:val="28"/>
        </w:rPr>
        <w:lastRenderedPageBreak/>
        <w:t xml:space="preserve">50% </w:t>
      </w:r>
      <w:r w:rsidRPr="00CC213F">
        <w:rPr>
          <w:b/>
          <w:bCs/>
          <w:sz w:val="28"/>
          <w:szCs w:val="28"/>
        </w:rPr>
        <w:t>прогноз поступлений</w:t>
      </w:r>
      <w:r>
        <w:rPr>
          <w:bCs/>
          <w:sz w:val="28"/>
          <w:szCs w:val="28"/>
        </w:rPr>
        <w:t xml:space="preserve"> </w:t>
      </w:r>
      <w:r w:rsidRPr="00CC213F">
        <w:rPr>
          <w:b/>
          <w:bCs/>
          <w:sz w:val="28"/>
          <w:szCs w:val="28"/>
        </w:rPr>
        <w:t xml:space="preserve">2022 год – 366,5 тыс. руб., </w:t>
      </w:r>
      <w:r>
        <w:rPr>
          <w:b/>
          <w:bCs/>
          <w:sz w:val="28"/>
          <w:szCs w:val="28"/>
        </w:rPr>
        <w:t xml:space="preserve">                                                      </w:t>
      </w:r>
      <w:r w:rsidRPr="00CC213F">
        <w:rPr>
          <w:b/>
          <w:bCs/>
          <w:sz w:val="28"/>
          <w:szCs w:val="28"/>
        </w:rPr>
        <w:t>2023 год – 385,7 тыс. руб., 2024 год – 367,9 тыс. руб</w:t>
      </w:r>
      <w:r w:rsidRPr="00095B4E">
        <w:rPr>
          <w:bCs/>
          <w:sz w:val="28"/>
          <w:szCs w:val="28"/>
        </w:rPr>
        <w:t>.</w:t>
      </w:r>
    </w:p>
    <w:p w:rsidR="0055491A" w:rsidRDefault="0055491A" w:rsidP="0055491A">
      <w:pPr>
        <w:pStyle w:val="a7"/>
        <w:spacing w:after="0"/>
        <w:ind w:left="0" w:firstLine="709"/>
        <w:jc w:val="both"/>
        <w:rPr>
          <w:sz w:val="28"/>
          <w:szCs w:val="28"/>
        </w:rPr>
      </w:pPr>
    </w:p>
    <w:p w:rsidR="0055491A" w:rsidRDefault="0055491A" w:rsidP="0055491A">
      <w:pPr>
        <w:pStyle w:val="a7"/>
        <w:spacing w:after="0"/>
        <w:ind w:left="0" w:firstLine="709"/>
        <w:jc w:val="both"/>
        <w:rPr>
          <w:sz w:val="28"/>
          <w:szCs w:val="28"/>
        </w:rPr>
      </w:pPr>
      <w:r>
        <w:rPr>
          <w:sz w:val="28"/>
          <w:szCs w:val="28"/>
        </w:rPr>
        <w:t xml:space="preserve">1.2 </w:t>
      </w:r>
      <w:r w:rsidRPr="006510C1">
        <w:rPr>
          <w:b/>
          <w:sz w:val="28"/>
          <w:szCs w:val="28"/>
        </w:rPr>
        <w:t>КБК 335 1 16 01053 01 0000 140</w:t>
      </w:r>
      <w:r>
        <w:rPr>
          <w:sz w:val="28"/>
          <w:szCs w:val="28"/>
        </w:rPr>
        <w:t xml:space="preserve"> </w:t>
      </w:r>
      <w:r w:rsidRPr="0046227F">
        <w:rPr>
          <w:sz w:val="28"/>
          <w:szCs w:val="28"/>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r>
        <w:rPr>
          <w:sz w:val="28"/>
          <w:szCs w:val="28"/>
        </w:rPr>
        <w:t>.</w:t>
      </w:r>
    </w:p>
    <w:p w:rsidR="0055491A" w:rsidRPr="006510C1" w:rsidRDefault="0055491A" w:rsidP="0055491A">
      <w:pPr>
        <w:pStyle w:val="a7"/>
        <w:spacing w:after="0"/>
        <w:ind w:left="0" w:firstLine="709"/>
        <w:jc w:val="both"/>
        <w:rPr>
          <w:b/>
          <w:sz w:val="28"/>
          <w:szCs w:val="28"/>
        </w:rPr>
      </w:pPr>
      <w:r w:rsidRPr="006510C1">
        <w:rPr>
          <w:b/>
          <w:sz w:val="28"/>
          <w:szCs w:val="28"/>
        </w:rPr>
        <w:t>Главный администратор доходов – Главное управление региональной безопасности Тверской области.</w:t>
      </w:r>
    </w:p>
    <w:p w:rsidR="0055491A" w:rsidRDefault="0055491A" w:rsidP="0055491A">
      <w:pPr>
        <w:pStyle w:val="ConsPlusNormal"/>
        <w:tabs>
          <w:tab w:val="left" w:pos="1276"/>
          <w:tab w:val="left" w:pos="1418"/>
        </w:tabs>
        <w:ind w:firstLine="709"/>
        <w:jc w:val="both"/>
        <w:rPr>
          <w:rFonts w:ascii="Times New Roman" w:hAnsi="Times New Roman" w:cs="Times New Roman"/>
          <w:sz w:val="28"/>
          <w:szCs w:val="28"/>
        </w:rPr>
      </w:pPr>
      <w:r w:rsidRPr="00D4062A">
        <w:rPr>
          <w:rFonts w:ascii="Times New Roman" w:hAnsi="Times New Roman" w:cs="Times New Roman"/>
          <w:sz w:val="28"/>
          <w:szCs w:val="28"/>
        </w:rPr>
        <w:t>Прогноз поступлений определен методом прямого расчета</w:t>
      </w:r>
      <w:r>
        <w:rPr>
          <w:rFonts w:ascii="Times New Roman" w:hAnsi="Times New Roman" w:cs="Times New Roman"/>
          <w:sz w:val="28"/>
          <w:szCs w:val="28"/>
        </w:rPr>
        <w:t xml:space="preserve"> по соответствующим статьям Кодекса Российской Федерации об административных правонарушениях (далее – КоАП).</w:t>
      </w:r>
    </w:p>
    <w:p w:rsidR="0055491A" w:rsidRDefault="0055491A" w:rsidP="0055491A">
      <w:pPr>
        <w:pStyle w:val="a7"/>
        <w:spacing w:after="0"/>
        <w:ind w:left="0" w:firstLine="709"/>
        <w:jc w:val="both"/>
        <w:rPr>
          <w:sz w:val="28"/>
          <w:szCs w:val="28"/>
        </w:rPr>
      </w:pPr>
      <w:r>
        <w:rPr>
          <w:sz w:val="28"/>
          <w:szCs w:val="28"/>
        </w:rPr>
        <w:t>Р</w:t>
      </w:r>
      <w:r w:rsidRPr="000B0625">
        <w:rPr>
          <w:sz w:val="28"/>
          <w:szCs w:val="28"/>
        </w:rPr>
        <w:t>асчета прогноза на 20</w:t>
      </w:r>
      <w:r>
        <w:rPr>
          <w:sz w:val="28"/>
          <w:szCs w:val="28"/>
        </w:rPr>
        <w:t>22</w:t>
      </w:r>
      <w:r w:rsidRPr="000B0625">
        <w:rPr>
          <w:sz w:val="28"/>
          <w:szCs w:val="28"/>
        </w:rPr>
        <w:t xml:space="preserve"> год представлен в таблице</w:t>
      </w:r>
      <w:r>
        <w:rPr>
          <w:sz w:val="28"/>
          <w:szCs w:val="28"/>
        </w:rPr>
        <w:t xml:space="preserve"> (с учетом норматива зачисления в областной бюджет Тверской области 50%)</w:t>
      </w:r>
      <w:r w:rsidRPr="000B0625">
        <w:rPr>
          <w:sz w:val="28"/>
          <w:szCs w:val="28"/>
        </w:rPr>
        <w:t>:</w:t>
      </w:r>
    </w:p>
    <w:p w:rsidR="0055491A" w:rsidRDefault="0055491A" w:rsidP="0055491A">
      <w:pPr>
        <w:pStyle w:val="a7"/>
        <w:spacing w:after="0"/>
        <w:ind w:left="0" w:firstLine="709"/>
        <w:jc w:val="both"/>
        <w:rPr>
          <w:sz w:val="28"/>
          <w:szCs w:val="28"/>
        </w:rPr>
      </w:pPr>
    </w:p>
    <w:tbl>
      <w:tblPr>
        <w:tblW w:w="9282" w:type="dxa"/>
        <w:tblInd w:w="-5" w:type="dxa"/>
        <w:tblLook w:val="04A0" w:firstRow="1" w:lastRow="0" w:firstColumn="1" w:lastColumn="0" w:noHBand="0" w:noVBand="1"/>
      </w:tblPr>
      <w:tblGrid>
        <w:gridCol w:w="513"/>
        <w:gridCol w:w="2651"/>
        <w:gridCol w:w="1335"/>
        <w:gridCol w:w="1782"/>
        <w:gridCol w:w="1520"/>
        <w:gridCol w:w="1481"/>
      </w:tblGrid>
      <w:tr w:rsidR="0055491A" w:rsidTr="00210BF6">
        <w:trPr>
          <w:trHeight w:val="1292"/>
        </w:trPr>
        <w:tc>
          <w:tcPr>
            <w:tcW w:w="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1A" w:rsidRPr="00927E55" w:rsidRDefault="0055491A" w:rsidP="00210BF6">
            <w:pPr>
              <w:jc w:val="center"/>
              <w:rPr>
                <w:sz w:val="22"/>
                <w:szCs w:val="22"/>
              </w:rPr>
            </w:pPr>
            <w:r w:rsidRPr="00927E55">
              <w:rPr>
                <w:sz w:val="22"/>
                <w:szCs w:val="22"/>
              </w:rPr>
              <w:t>№ п/п</w:t>
            </w:r>
          </w:p>
        </w:tc>
        <w:tc>
          <w:tcPr>
            <w:tcW w:w="2839" w:type="dxa"/>
            <w:tcBorders>
              <w:top w:val="single" w:sz="4" w:space="0" w:color="auto"/>
              <w:left w:val="nil"/>
              <w:bottom w:val="single" w:sz="4" w:space="0" w:color="auto"/>
              <w:right w:val="single" w:sz="4" w:space="0" w:color="auto"/>
            </w:tcBorders>
            <w:shd w:val="clear" w:color="auto" w:fill="auto"/>
            <w:vAlign w:val="center"/>
            <w:hideMark/>
          </w:tcPr>
          <w:p w:rsidR="0055491A" w:rsidRPr="00927E55" w:rsidRDefault="0055491A" w:rsidP="00210BF6">
            <w:pPr>
              <w:jc w:val="center"/>
              <w:rPr>
                <w:sz w:val="22"/>
                <w:szCs w:val="22"/>
              </w:rPr>
            </w:pPr>
            <w:r w:rsidRPr="00927E55">
              <w:rPr>
                <w:sz w:val="22"/>
                <w:szCs w:val="22"/>
              </w:rPr>
              <w:t>Вид правонарушений</w:t>
            </w:r>
          </w:p>
        </w:tc>
        <w:tc>
          <w:tcPr>
            <w:tcW w:w="1341" w:type="dxa"/>
            <w:tcBorders>
              <w:top w:val="single" w:sz="4" w:space="0" w:color="auto"/>
              <w:left w:val="nil"/>
              <w:bottom w:val="single" w:sz="4" w:space="0" w:color="auto"/>
              <w:right w:val="single" w:sz="4" w:space="0" w:color="auto"/>
            </w:tcBorders>
            <w:shd w:val="clear" w:color="auto" w:fill="auto"/>
            <w:vAlign w:val="center"/>
            <w:hideMark/>
          </w:tcPr>
          <w:p w:rsidR="0055491A" w:rsidRPr="00927E55" w:rsidRDefault="0055491A" w:rsidP="00210BF6">
            <w:pPr>
              <w:jc w:val="center"/>
              <w:rPr>
                <w:sz w:val="22"/>
                <w:szCs w:val="22"/>
              </w:rPr>
            </w:pPr>
            <w:r w:rsidRPr="00927E55">
              <w:rPr>
                <w:sz w:val="22"/>
                <w:szCs w:val="22"/>
              </w:rPr>
              <w:t>Средний размер штрафа (средний областной), тыс. руб.</w:t>
            </w:r>
          </w:p>
        </w:tc>
        <w:tc>
          <w:tcPr>
            <w:tcW w:w="1691" w:type="dxa"/>
            <w:tcBorders>
              <w:top w:val="single" w:sz="4" w:space="0" w:color="auto"/>
              <w:left w:val="nil"/>
              <w:bottom w:val="single" w:sz="4" w:space="0" w:color="auto"/>
              <w:right w:val="single" w:sz="4" w:space="0" w:color="auto"/>
            </w:tcBorders>
            <w:shd w:val="clear" w:color="auto" w:fill="auto"/>
            <w:vAlign w:val="center"/>
            <w:hideMark/>
          </w:tcPr>
          <w:p w:rsidR="0055491A" w:rsidRPr="00927E55" w:rsidRDefault="0055491A" w:rsidP="00210BF6">
            <w:pPr>
              <w:jc w:val="center"/>
              <w:rPr>
                <w:sz w:val="22"/>
                <w:szCs w:val="22"/>
              </w:rPr>
            </w:pPr>
            <w:r w:rsidRPr="00927E55">
              <w:rPr>
                <w:sz w:val="22"/>
                <w:szCs w:val="22"/>
              </w:rPr>
              <w:t>Прогнозируемое количество постановлений штук</w:t>
            </w:r>
          </w:p>
        </w:tc>
        <w:tc>
          <w:tcPr>
            <w:tcW w:w="1461" w:type="dxa"/>
            <w:tcBorders>
              <w:top w:val="single" w:sz="4" w:space="0" w:color="auto"/>
              <w:left w:val="nil"/>
              <w:bottom w:val="single" w:sz="4" w:space="0" w:color="auto"/>
              <w:right w:val="single" w:sz="4" w:space="0" w:color="auto"/>
            </w:tcBorders>
            <w:shd w:val="clear" w:color="auto" w:fill="auto"/>
            <w:vAlign w:val="center"/>
            <w:hideMark/>
          </w:tcPr>
          <w:p w:rsidR="0055491A" w:rsidRPr="00927E55" w:rsidRDefault="0055491A" w:rsidP="00210BF6">
            <w:pPr>
              <w:jc w:val="center"/>
              <w:rPr>
                <w:sz w:val="22"/>
                <w:szCs w:val="22"/>
              </w:rPr>
            </w:pPr>
            <w:r w:rsidRPr="00927E55">
              <w:rPr>
                <w:sz w:val="22"/>
                <w:szCs w:val="22"/>
              </w:rPr>
              <w:t>Коэффициент собираемости (средний областной), %</w:t>
            </w:r>
          </w:p>
        </w:tc>
        <w:tc>
          <w:tcPr>
            <w:tcW w:w="1458" w:type="dxa"/>
            <w:tcBorders>
              <w:top w:val="single" w:sz="4" w:space="0" w:color="auto"/>
              <w:left w:val="nil"/>
              <w:bottom w:val="single" w:sz="4" w:space="0" w:color="auto"/>
              <w:right w:val="single" w:sz="4" w:space="0" w:color="auto"/>
            </w:tcBorders>
            <w:shd w:val="clear" w:color="auto" w:fill="auto"/>
            <w:vAlign w:val="center"/>
            <w:hideMark/>
          </w:tcPr>
          <w:p w:rsidR="0055491A" w:rsidRPr="00927E55" w:rsidRDefault="0055491A" w:rsidP="00210BF6">
            <w:pPr>
              <w:jc w:val="center"/>
              <w:rPr>
                <w:sz w:val="22"/>
                <w:szCs w:val="22"/>
              </w:rPr>
            </w:pPr>
            <w:r w:rsidRPr="00927E55">
              <w:rPr>
                <w:sz w:val="22"/>
                <w:szCs w:val="22"/>
              </w:rPr>
              <w:t>Прогноз поступлений, тыс. руб. (ст.3*4*5/2)</w:t>
            </w:r>
          </w:p>
        </w:tc>
      </w:tr>
      <w:tr w:rsidR="0055491A" w:rsidTr="00210BF6">
        <w:trPr>
          <w:trHeight w:val="202"/>
        </w:trPr>
        <w:tc>
          <w:tcPr>
            <w:tcW w:w="492" w:type="dxa"/>
            <w:tcBorders>
              <w:top w:val="nil"/>
              <w:left w:val="single" w:sz="4" w:space="0" w:color="auto"/>
              <w:bottom w:val="single" w:sz="4" w:space="0" w:color="auto"/>
              <w:right w:val="single" w:sz="4" w:space="0" w:color="auto"/>
            </w:tcBorders>
            <w:shd w:val="clear" w:color="auto" w:fill="auto"/>
            <w:vAlign w:val="center"/>
            <w:hideMark/>
          </w:tcPr>
          <w:p w:rsidR="0055491A" w:rsidRPr="005F5862" w:rsidRDefault="0055491A" w:rsidP="00210BF6">
            <w:pPr>
              <w:jc w:val="center"/>
              <w:rPr>
                <w:sz w:val="18"/>
                <w:szCs w:val="18"/>
              </w:rPr>
            </w:pPr>
            <w:r w:rsidRPr="005F5862">
              <w:rPr>
                <w:sz w:val="18"/>
                <w:szCs w:val="18"/>
              </w:rPr>
              <w:t>1</w:t>
            </w:r>
          </w:p>
        </w:tc>
        <w:tc>
          <w:tcPr>
            <w:tcW w:w="2839" w:type="dxa"/>
            <w:tcBorders>
              <w:top w:val="nil"/>
              <w:left w:val="nil"/>
              <w:bottom w:val="single" w:sz="4" w:space="0" w:color="auto"/>
              <w:right w:val="single" w:sz="4" w:space="0" w:color="auto"/>
            </w:tcBorders>
            <w:shd w:val="clear" w:color="auto" w:fill="auto"/>
            <w:vAlign w:val="center"/>
            <w:hideMark/>
          </w:tcPr>
          <w:p w:rsidR="0055491A" w:rsidRPr="005F5862" w:rsidRDefault="0055491A" w:rsidP="00210BF6">
            <w:pPr>
              <w:jc w:val="center"/>
              <w:rPr>
                <w:sz w:val="18"/>
                <w:szCs w:val="18"/>
              </w:rPr>
            </w:pPr>
            <w:r w:rsidRPr="005F5862">
              <w:rPr>
                <w:sz w:val="18"/>
                <w:szCs w:val="18"/>
              </w:rPr>
              <w:t>2</w:t>
            </w:r>
          </w:p>
        </w:tc>
        <w:tc>
          <w:tcPr>
            <w:tcW w:w="1341" w:type="dxa"/>
            <w:tcBorders>
              <w:top w:val="nil"/>
              <w:left w:val="nil"/>
              <w:bottom w:val="single" w:sz="4" w:space="0" w:color="auto"/>
              <w:right w:val="single" w:sz="4" w:space="0" w:color="auto"/>
            </w:tcBorders>
            <w:shd w:val="clear" w:color="auto" w:fill="auto"/>
            <w:vAlign w:val="center"/>
            <w:hideMark/>
          </w:tcPr>
          <w:p w:rsidR="0055491A" w:rsidRPr="005F5862" w:rsidRDefault="0055491A" w:rsidP="00210BF6">
            <w:pPr>
              <w:jc w:val="center"/>
              <w:rPr>
                <w:sz w:val="18"/>
                <w:szCs w:val="18"/>
              </w:rPr>
            </w:pPr>
            <w:r w:rsidRPr="005F5862">
              <w:rPr>
                <w:sz w:val="18"/>
                <w:szCs w:val="18"/>
              </w:rPr>
              <w:t>3</w:t>
            </w:r>
          </w:p>
        </w:tc>
        <w:tc>
          <w:tcPr>
            <w:tcW w:w="1691" w:type="dxa"/>
            <w:tcBorders>
              <w:top w:val="nil"/>
              <w:left w:val="nil"/>
              <w:bottom w:val="single" w:sz="4" w:space="0" w:color="auto"/>
              <w:right w:val="single" w:sz="4" w:space="0" w:color="auto"/>
            </w:tcBorders>
            <w:shd w:val="clear" w:color="auto" w:fill="auto"/>
            <w:vAlign w:val="center"/>
            <w:hideMark/>
          </w:tcPr>
          <w:p w:rsidR="0055491A" w:rsidRPr="005F5862" w:rsidRDefault="0055491A" w:rsidP="00210BF6">
            <w:pPr>
              <w:jc w:val="center"/>
              <w:rPr>
                <w:sz w:val="18"/>
                <w:szCs w:val="18"/>
              </w:rPr>
            </w:pPr>
            <w:r w:rsidRPr="005F5862">
              <w:rPr>
                <w:sz w:val="18"/>
                <w:szCs w:val="18"/>
              </w:rPr>
              <w:t>4</w:t>
            </w:r>
          </w:p>
        </w:tc>
        <w:tc>
          <w:tcPr>
            <w:tcW w:w="1461" w:type="dxa"/>
            <w:tcBorders>
              <w:top w:val="nil"/>
              <w:left w:val="nil"/>
              <w:bottom w:val="single" w:sz="4" w:space="0" w:color="auto"/>
              <w:right w:val="single" w:sz="4" w:space="0" w:color="auto"/>
            </w:tcBorders>
            <w:shd w:val="clear" w:color="auto" w:fill="auto"/>
            <w:vAlign w:val="center"/>
            <w:hideMark/>
          </w:tcPr>
          <w:p w:rsidR="0055491A" w:rsidRPr="005F5862" w:rsidRDefault="0055491A" w:rsidP="00210BF6">
            <w:pPr>
              <w:jc w:val="center"/>
              <w:rPr>
                <w:sz w:val="18"/>
                <w:szCs w:val="18"/>
              </w:rPr>
            </w:pPr>
            <w:r w:rsidRPr="005F5862">
              <w:rPr>
                <w:sz w:val="18"/>
                <w:szCs w:val="18"/>
              </w:rPr>
              <w:t>5</w:t>
            </w:r>
          </w:p>
        </w:tc>
        <w:tc>
          <w:tcPr>
            <w:tcW w:w="1458" w:type="dxa"/>
            <w:tcBorders>
              <w:top w:val="nil"/>
              <w:left w:val="nil"/>
              <w:bottom w:val="single" w:sz="4" w:space="0" w:color="auto"/>
              <w:right w:val="single" w:sz="4" w:space="0" w:color="auto"/>
            </w:tcBorders>
            <w:shd w:val="clear" w:color="auto" w:fill="auto"/>
            <w:vAlign w:val="center"/>
            <w:hideMark/>
          </w:tcPr>
          <w:p w:rsidR="0055491A" w:rsidRPr="005F5862" w:rsidRDefault="0055491A" w:rsidP="00210BF6">
            <w:pPr>
              <w:jc w:val="center"/>
              <w:rPr>
                <w:sz w:val="18"/>
                <w:szCs w:val="18"/>
              </w:rPr>
            </w:pPr>
            <w:r w:rsidRPr="005F5862">
              <w:rPr>
                <w:sz w:val="18"/>
                <w:szCs w:val="18"/>
              </w:rPr>
              <w:t>6</w:t>
            </w:r>
          </w:p>
        </w:tc>
      </w:tr>
      <w:tr w:rsidR="0055491A" w:rsidTr="00210BF6">
        <w:trPr>
          <w:trHeight w:val="1292"/>
        </w:trPr>
        <w:tc>
          <w:tcPr>
            <w:tcW w:w="492" w:type="dxa"/>
            <w:tcBorders>
              <w:top w:val="nil"/>
              <w:left w:val="single" w:sz="4" w:space="0" w:color="auto"/>
              <w:bottom w:val="single" w:sz="4" w:space="0" w:color="auto"/>
              <w:right w:val="single" w:sz="4" w:space="0" w:color="auto"/>
            </w:tcBorders>
            <w:shd w:val="clear" w:color="auto" w:fill="auto"/>
            <w:vAlign w:val="center"/>
            <w:hideMark/>
          </w:tcPr>
          <w:p w:rsidR="0055491A" w:rsidRPr="00927E55" w:rsidRDefault="0055491A" w:rsidP="00210BF6">
            <w:pPr>
              <w:jc w:val="center"/>
              <w:rPr>
                <w:sz w:val="22"/>
                <w:szCs w:val="22"/>
              </w:rPr>
            </w:pPr>
            <w:r w:rsidRPr="00927E55">
              <w:rPr>
                <w:sz w:val="22"/>
                <w:szCs w:val="22"/>
              </w:rPr>
              <w:t>1</w:t>
            </w:r>
          </w:p>
        </w:tc>
        <w:tc>
          <w:tcPr>
            <w:tcW w:w="2839" w:type="dxa"/>
            <w:tcBorders>
              <w:top w:val="nil"/>
              <w:left w:val="nil"/>
              <w:bottom w:val="single" w:sz="4" w:space="0" w:color="auto"/>
              <w:right w:val="single" w:sz="4" w:space="0" w:color="auto"/>
            </w:tcBorders>
            <w:shd w:val="clear" w:color="auto" w:fill="auto"/>
            <w:vAlign w:val="center"/>
            <w:hideMark/>
          </w:tcPr>
          <w:p w:rsidR="0055491A" w:rsidRPr="00927E55" w:rsidRDefault="0055491A" w:rsidP="00210BF6">
            <w:pPr>
              <w:jc w:val="both"/>
              <w:rPr>
                <w:sz w:val="22"/>
                <w:szCs w:val="22"/>
              </w:rPr>
            </w:pPr>
            <w:r w:rsidRPr="00927E55">
              <w:rPr>
                <w:sz w:val="22"/>
                <w:szCs w:val="22"/>
              </w:rPr>
              <w:t>Штрафы за нарушение трудового законодательства и иных нормативных правовых актов, содержащих нормы трудового права</w:t>
            </w:r>
          </w:p>
        </w:tc>
        <w:tc>
          <w:tcPr>
            <w:tcW w:w="1341" w:type="dxa"/>
            <w:tcBorders>
              <w:top w:val="nil"/>
              <w:left w:val="nil"/>
              <w:bottom w:val="single" w:sz="4" w:space="0" w:color="auto"/>
              <w:right w:val="single" w:sz="4" w:space="0" w:color="auto"/>
            </w:tcBorders>
            <w:shd w:val="clear" w:color="auto" w:fill="auto"/>
            <w:vAlign w:val="center"/>
            <w:hideMark/>
          </w:tcPr>
          <w:p w:rsidR="0055491A" w:rsidRPr="00927E55" w:rsidRDefault="0055491A" w:rsidP="00210BF6">
            <w:pPr>
              <w:jc w:val="center"/>
              <w:rPr>
                <w:sz w:val="22"/>
                <w:szCs w:val="22"/>
              </w:rPr>
            </w:pPr>
            <w:r w:rsidRPr="00927E55">
              <w:rPr>
                <w:sz w:val="22"/>
                <w:szCs w:val="22"/>
              </w:rPr>
              <w:t>37,5</w:t>
            </w:r>
          </w:p>
        </w:tc>
        <w:tc>
          <w:tcPr>
            <w:tcW w:w="1691" w:type="dxa"/>
            <w:tcBorders>
              <w:top w:val="nil"/>
              <w:left w:val="nil"/>
              <w:bottom w:val="single" w:sz="4" w:space="0" w:color="auto"/>
              <w:right w:val="single" w:sz="4" w:space="0" w:color="auto"/>
            </w:tcBorders>
            <w:shd w:val="clear" w:color="auto" w:fill="auto"/>
            <w:vAlign w:val="center"/>
            <w:hideMark/>
          </w:tcPr>
          <w:p w:rsidR="0055491A" w:rsidRPr="00927E55" w:rsidRDefault="0055491A" w:rsidP="00210BF6">
            <w:pPr>
              <w:jc w:val="center"/>
              <w:rPr>
                <w:sz w:val="22"/>
                <w:szCs w:val="22"/>
              </w:rPr>
            </w:pPr>
            <w:r w:rsidRPr="00927E55">
              <w:rPr>
                <w:sz w:val="22"/>
                <w:szCs w:val="22"/>
              </w:rPr>
              <w:t>29</w:t>
            </w:r>
          </w:p>
        </w:tc>
        <w:tc>
          <w:tcPr>
            <w:tcW w:w="1461" w:type="dxa"/>
            <w:tcBorders>
              <w:top w:val="nil"/>
              <w:left w:val="nil"/>
              <w:bottom w:val="single" w:sz="4" w:space="0" w:color="auto"/>
              <w:right w:val="single" w:sz="4" w:space="0" w:color="auto"/>
            </w:tcBorders>
            <w:shd w:val="clear" w:color="auto" w:fill="auto"/>
            <w:vAlign w:val="center"/>
            <w:hideMark/>
          </w:tcPr>
          <w:p w:rsidR="0055491A" w:rsidRPr="00927E55" w:rsidRDefault="0055491A" w:rsidP="00210BF6">
            <w:pPr>
              <w:jc w:val="center"/>
              <w:rPr>
                <w:sz w:val="22"/>
                <w:szCs w:val="22"/>
              </w:rPr>
            </w:pPr>
            <w:r w:rsidRPr="00927E55">
              <w:rPr>
                <w:sz w:val="22"/>
                <w:szCs w:val="22"/>
              </w:rPr>
              <w:t>51,7%</w:t>
            </w:r>
          </w:p>
        </w:tc>
        <w:tc>
          <w:tcPr>
            <w:tcW w:w="1458" w:type="dxa"/>
            <w:tcBorders>
              <w:top w:val="nil"/>
              <w:left w:val="nil"/>
              <w:bottom w:val="single" w:sz="4" w:space="0" w:color="auto"/>
              <w:right w:val="single" w:sz="4" w:space="0" w:color="auto"/>
            </w:tcBorders>
            <w:shd w:val="clear" w:color="auto" w:fill="auto"/>
            <w:vAlign w:val="center"/>
            <w:hideMark/>
          </w:tcPr>
          <w:p w:rsidR="0055491A" w:rsidRPr="00927E55" w:rsidRDefault="0055491A" w:rsidP="00210BF6">
            <w:pPr>
              <w:jc w:val="center"/>
              <w:rPr>
                <w:sz w:val="22"/>
                <w:szCs w:val="22"/>
              </w:rPr>
            </w:pPr>
            <w:r w:rsidRPr="00927E55">
              <w:rPr>
                <w:sz w:val="22"/>
                <w:szCs w:val="22"/>
              </w:rPr>
              <w:t>281,1</w:t>
            </w:r>
          </w:p>
        </w:tc>
      </w:tr>
      <w:tr w:rsidR="0055491A" w:rsidTr="00210BF6">
        <w:trPr>
          <w:trHeight w:val="775"/>
        </w:trPr>
        <w:tc>
          <w:tcPr>
            <w:tcW w:w="492" w:type="dxa"/>
            <w:tcBorders>
              <w:top w:val="nil"/>
              <w:left w:val="single" w:sz="4" w:space="0" w:color="auto"/>
              <w:bottom w:val="single" w:sz="4" w:space="0" w:color="auto"/>
              <w:right w:val="single" w:sz="4" w:space="0" w:color="auto"/>
            </w:tcBorders>
            <w:shd w:val="clear" w:color="auto" w:fill="auto"/>
            <w:vAlign w:val="center"/>
            <w:hideMark/>
          </w:tcPr>
          <w:p w:rsidR="0055491A" w:rsidRPr="00927E55" w:rsidRDefault="0055491A" w:rsidP="00210BF6">
            <w:pPr>
              <w:jc w:val="center"/>
              <w:rPr>
                <w:sz w:val="22"/>
                <w:szCs w:val="22"/>
              </w:rPr>
            </w:pPr>
            <w:r w:rsidRPr="00927E55">
              <w:rPr>
                <w:sz w:val="22"/>
                <w:szCs w:val="22"/>
              </w:rPr>
              <w:t>2</w:t>
            </w:r>
          </w:p>
        </w:tc>
        <w:tc>
          <w:tcPr>
            <w:tcW w:w="2839" w:type="dxa"/>
            <w:tcBorders>
              <w:top w:val="nil"/>
              <w:left w:val="nil"/>
              <w:bottom w:val="single" w:sz="4" w:space="0" w:color="auto"/>
              <w:right w:val="single" w:sz="4" w:space="0" w:color="auto"/>
            </w:tcBorders>
            <w:shd w:val="clear" w:color="auto" w:fill="auto"/>
            <w:vAlign w:val="center"/>
            <w:hideMark/>
          </w:tcPr>
          <w:p w:rsidR="0055491A" w:rsidRPr="00927E55" w:rsidRDefault="0055491A" w:rsidP="00210BF6">
            <w:pPr>
              <w:rPr>
                <w:sz w:val="22"/>
                <w:szCs w:val="22"/>
              </w:rPr>
            </w:pPr>
            <w:r w:rsidRPr="00927E55">
              <w:rPr>
                <w:sz w:val="22"/>
                <w:szCs w:val="22"/>
              </w:rPr>
              <w:t xml:space="preserve"> Штрафы за нарушение порядка рассмотрения обращений граждан</w:t>
            </w:r>
          </w:p>
        </w:tc>
        <w:tc>
          <w:tcPr>
            <w:tcW w:w="1341" w:type="dxa"/>
            <w:tcBorders>
              <w:top w:val="nil"/>
              <w:left w:val="nil"/>
              <w:bottom w:val="single" w:sz="4" w:space="0" w:color="auto"/>
              <w:right w:val="single" w:sz="4" w:space="0" w:color="auto"/>
            </w:tcBorders>
            <w:shd w:val="clear" w:color="auto" w:fill="auto"/>
            <w:vAlign w:val="center"/>
            <w:hideMark/>
          </w:tcPr>
          <w:p w:rsidR="0055491A" w:rsidRPr="00927E55" w:rsidRDefault="0055491A" w:rsidP="00210BF6">
            <w:pPr>
              <w:jc w:val="center"/>
              <w:rPr>
                <w:sz w:val="22"/>
                <w:szCs w:val="22"/>
              </w:rPr>
            </w:pPr>
            <w:r w:rsidRPr="00927E55">
              <w:rPr>
                <w:sz w:val="22"/>
                <w:szCs w:val="22"/>
              </w:rPr>
              <w:t>3,6</w:t>
            </w:r>
          </w:p>
        </w:tc>
        <w:tc>
          <w:tcPr>
            <w:tcW w:w="1691" w:type="dxa"/>
            <w:tcBorders>
              <w:top w:val="nil"/>
              <w:left w:val="nil"/>
              <w:bottom w:val="single" w:sz="4" w:space="0" w:color="auto"/>
              <w:right w:val="single" w:sz="4" w:space="0" w:color="auto"/>
            </w:tcBorders>
            <w:shd w:val="clear" w:color="auto" w:fill="auto"/>
            <w:vAlign w:val="center"/>
            <w:hideMark/>
          </w:tcPr>
          <w:p w:rsidR="0055491A" w:rsidRPr="00927E55" w:rsidRDefault="0055491A" w:rsidP="00210BF6">
            <w:pPr>
              <w:jc w:val="center"/>
              <w:rPr>
                <w:sz w:val="22"/>
                <w:szCs w:val="22"/>
              </w:rPr>
            </w:pPr>
            <w:r w:rsidRPr="00927E55">
              <w:rPr>
                <w:sz w:val="22"/>
                <w:szCs w:val="22"/>
              </w:rPr>
              <w:t>47</w:t>
            </w:r>
          </w:p>
        </w:tc>
        <w:tc>
          <w:tcPr>
            <w:tcW w:w="1461" w:type="dxa"/>
            <w:tcBorders>
              <w:top w:val="nil"/>
              <w:left w:val="nil"/>
              <w:bottom w:val="single" w:sz="4" w:space="0" w:color="auto"/>
              <w:right w:val="single" w:sz="4" w:space="0" w:color="auto"/>
            </w:tcBorders>
            <w:shd w:val="clear" w:color="auto" w:fill="auto"/>
            <w:vAlign w:val="center"/>
            <w:hideMark/>
          </w:tcPr>
          <w:p w:rsidR="0055491A" w:rsidRPr="00927E55" w:rsidRDefault="0055491A" w:rsidP="00210BF6">
            <w:pPr>
              <w:jc w:val="center"/>
              <w:rPr>
                <w:sz w:val="22"/>
                <w:szCs w:val="22"/>
              </w:rPr>
            </w:pPr>
            <w:r w:rsidRPr="00927E55">
              <w:rPr>
                <w:sz w:val="22"/>
                <w:szCs w:val="22"/>
              </w:rPr>
              <w:t>84,4%</w:t>
            </w:r>
          </w:p>
        </w:tc>
        <w:tc>
          <w:tcPr>
            <w:tcW w:w="1458" w:type="dxa"/>
            <w:tcBorders>
              <w:top w:val="nil"/>
              <w:left w:val="nil"/>
              <w:bottom w:val="single" w:sz="4" w:space="0" w:color="auto"/>
              <w:right w:val="single" w:sz="4" w:space="0" w:color="auto"/>
            </w:tcBorders>
            <w:shd w:val="clear" w:color="auto" w:fill="auto"/>
            <w:vAlign w:val="center"/>
            <w:hideMark/>
          </w:tcPr>
          <w:p w:rsidR="0055491A" w:rsidRPr="00927E55" w:rsidRDefault="0055491A" w:rsidP="00210BF6">
            <w:pPr>
              <w:jc w:val="center"/>
              <w:rPr>
                <w:sz w:val="22"/>
                <w:szCs w:val="22"/>
              </w:rPr>
            </w:pPr>
            <w:r w:rsidRPr="00927E55">
              <w:rPr>
                <w:sz w:val="22"/>
                <w:szCs w:val="22"/>
              </w:rPr>
              <w:t>71,4</w:t>
            </w:r>
          </w:p>
        </w:tc>
      </w:tr>
      <w:tr w:rsidR="0055491A" w:rsidTr="00210BF6">
        <w:trPr>
          <w:trHeight w:val="1033"/>
        </w:trPr>
        <w:tc>
          <w:tcPr>
            <w:tcW w:w="492" w:type="dxa"/>
            <w:tcBorders>
              <w:top w:val="nil"/>
              <w:left w:val="single" w:sz="4" w:space="0" w:color="auto"/>
              <w:bottom w:val="single" w:sz="4" w:space="0" w:color="auto"/>
              <w:right w:val="single" w:sz="4" w:space="0" w:color="auto"/>
            </w:tcBorders>
            <w:shd w:val="clear" w:color="auto" w:fill="auto"/>
            <w:vAlign w:val="center"/>
            <w:hideMark/>
          </w:tcPr>
          <w:p w:rsidR="0055491A" w:rsidRPr="00927E55" w:rsidRDefault="0055491A" w:rsidP="00210BF6">
            <w:pPr>
              <w:jc w:val="center"/>
              <w:rPr>
                <w:sz w:val="22"/>
                <w:szCs w:val="22"/>
              </w:rPr>
            </w:pPr>
            <w:r w:rsidRPr="00927E55">
              <w:rPr>
                <w:sz w:val="22"/>
                <w:szCs w:val="22"/>
              </w:rPr>
              <w:t>3</w:t>
            </w:r>
          </w:p>
        </w:tc>
        <w:tc>
          <w:tcPr>
            <w:tcW w:w="2839" w:type="dxa"/>
            <w:tcBorders>
              <w:top w:val="nil"/>
              <w:left w:val="nil"/>
              <w:bottom w:val="single" w:sz="4" w:space="0" w:color="auto"/>
              <w:right w:val="single" w:sz="4" w:space="0" w:color="auto"/>
            </w:tcBorders>
            <w:shd w:val="clear" w:color="auto" w:fill="auto"/>
            <w:vAlign w:val="center"/>
            <w:hideMark/>
          </w:tcPr>
          <w:p w:rsidR="0055491A" w:rsidRPr="00927E55" w:rsidRDefault="0055491A" w:rsidP="00210BF6">
            <w:pPr>
              <w:jc w:val="both"/>
              <w:rPr>
                <w:sz w:val="22"/>
                <w:szCs w:val="22"/>
              </w:rPr>
            </w:pPr>
            <w:r w:rsidRPr="00927E55">
              <w:rPr>
                <w:sz w:val="22"/>
                <w:szCs w:val="22"/>
              </w:rPr>
              <w:t>Штрафы за нарушение законодательства об организации предоставления государственных и муниципальных услуг</w:t>
            </w:r>
          </w:p>
        </w:tc>
        <w:tc>
          <w:tcPr>
            <w:tcW w:w="1341" w:type="dxa"/>
            <w:tcBorders>
              <w:top w:val="nil"/>
              <w:left w:val="nil"/>
              <w:bottom w:val="single" w:sz="4" w:space="0" w:color="auto"/>
              <w:right w:val="single" w:sz="4" w:space="0" w:color="auto"/>
            </w:tcBorders>
            <w:shd w:val="clear" w:color="auto" w:fill="auto"/>
            <w:vAlign w:val="center"/>
            <w:hideMark/>
          </w:tcPr>
          <w:p w:rsidR="0055491A" w:rsidRPr="00927E55" w:rsidRDefault="0055491A" w:rsidP="00210BF6">
            <w:pPr>
              <w:jc w:val="center"/>
              <w:rPr>
                <w:sz w:val="22"/>
                <w:szCs w:val="22"/>
              </w:rPr>
            </w:pPr>
            <w:r w:rsidRPr="00927E55">
              <w:rPr>
                <w:sz w:val="22"/>
                <w:szCs w:val="22"/>
              </w:rPr>
              <w:t>6,5</w:t>
            </w:r>
          </w:p>
        </w:tc>
        <w:tc>
          <w:tcPr>
            <w:tcW w:w="1691" w:type="dxa"/>
            <w:tcBorders>
              <w:top w:val="nil"/>
              <w:left w:val="nil"/>
              <w:bottom w:val="single" w:sz="4" w:space="0" w:color="auto"/>
              <w:right w:val="single" w:sz="4" w:space="0" w:color="auto"/>
            </w:tcBorders>
            <w:shd w:val="clear" w:color="auto" w:fill="auto"/>
            <w:vAlign w:val="center"/>
            <w:hideMark/>
          </w:tcPr>
          <w:p w:rsidR="0055491A" w:rsidRPr="00927E55" w:rsidRDefault="0055491A" w:rsidP="00210BF6">
            <w:pPr>
              <w:jc w:val="center"/>
              <w:rPr>
                <w:sz w:val="22"/>
                <w:szCs w:val="22"/>
              </w:rPr>
            </w:pPr>
            <w:r w:rsidRPr="00927E55">
              <w:rPr>
                <w:sz w:val="22"/>
                <w:szCs w:val="22"/>
              </w:rPr>
              <w:t>2</w:t>
            </w:r>
          </w:p>
        </w:tc>
        <w:tc>
          <w:tcPr>
            <w:tcW w:w="1461" w:type="dxa"/>
            <w:tcBorders>
              <w:top w:val="nil"/>
              <w:left w:val="nil"/>
              <w:bottom w:val="single" w:sz="4" w:space="0" w:color="auto"/>
              <w:right w:val="single" w:sz="4" w:space="0" w:color="auto"/>
            </w:tcBorders>
            <w:shd w:val="clear" w:color="auto" w:fill="auto"/>
            <w:vAlign w:val="center"/>
            <w:hideMark/>
          </w:tcPr>
          <w:p w:rsidR="0055491A" w:rsidRPr="00927E55" w:rsidRDefault="0055491A" w:rsidP="00210BF6">
            <w:pPr>
              <w:jc w:val="center"/>
              <w:rPr>
                <w:sz w:val="22"/>
                <w:szCs w:val="22"/>
              </w:rPr>
            </w:pPr>
            <w:r w:rsidRPr="00927E55">
              <w:rPr>
                <w:sz w:val="22"/>
                <w:szCs w:val="22"/>
              </w:rPr>
              <w:t>76,9%</w:t>
            </w:r>
          </w:p>
        </w:tc>
        <w:tc>
          <w:tcPr>
            <w:tcW w:w="1458" w:type="dxa"/>
            <w:tcBorders>
              <w:top w:val="nil"/>
              <w:left w:val="nil"/>
              <w:bottom w:val="single" w:sz="4" w:space="0" w:color="auto"/>
              <w:right w:val="single" w:sz="4" w:space="0" w:color="auto"/>
            </w:tcBorders>
            <w:shd w:val="clear" w:color="auto" w:fill="auto"/>
            <w:vAlign w:val="center"/>
            <w:hideMark/>
          </w:tcPr>
          <w:p w:rsidR="0055491A" w:rsidRPr="00927E55" w:rsidRDefault="0055491A" w:rsidP="00210BF6">
            <w:pPr>
              <w:jc w:val="center"/>
              <w:rPr>
                <w:sz w:val="22"/>
                <w:szCs w:val="22"/>
              </w:rPr>
            </w:pPr>
            <w:r w:rsidRPr="00927E55">
              <w:rPr>
                <w:sz w:val="22"/>
                <w:szCs w:val="22"/>
              </w:rPr>
              <w:t>5</w:t>
            </w:r>
          </w:p>
        </w:tc>
      </w:tr>
      <w:tr w:rsidR="0055491A" w:rsidTr="00210BF6">
        <w:trPr>
          <w:trHeight w:val="775"/>
        </w:trPr>
        <w:tc>
          <w:tcPr>
            <w:tcW w:w="492" w:type="dxa"/>
            <w:tcBorders>
              <w:top w:val="nil"/>
              <w:left w:val="single" w:sz="4" w:space="0" w:color="auto"/>
              <w:bottom w:val="single" w:sz="4" w:space="0" w:color="auto"/>
              <w:right w:val="single" w:sz="4" w:space="0" w:color="auto"/>
            </w:tcBorders>
            <w:shd w:val="clear" w:color="auto" w:fill="auto"/>
            <w:vAlign w:val="center"/>
            <w:hideMark/>
          </w:tcPr>
          <w:p w:rsidR="0055491A" w:rsidRPr="00927E55" w:rsidRDefault="0055491A" w:rsidP="00210BF6">
            <w:pPr>
              <w:jc w:val="center"/>
              <w:rPr>
                <w:sz w:val="22"/>
                <w:szCs w:val="22"/>
              </w:rPr>
            </w:pPr>
            <w:r w:rsidRPr="00927E55">
              <w:rPr>
                <w:sz w:val="22"/>
                <w:szCs w:val="22"/>
              </w:rPr>
              <w:t>4</w:t>
            </w:r>
          </w:p>
        </w:tc>
        <w:tc>
          <w:tcPr>
            <w:tcW w:w="2839" w:type="dxa"/>
            <w:tcBorders>
              <w:top w:val="nil"/>
              <w:left w:val="nil"/>
              <w:bottom w:val="single" w:sz="4" w:space="0" w:color="auto"/>
              <w:right w:val="single" w:sz="4" w:space="0" w:color="auto"/>
            </w:tcBorders>
            <w:shd w:val="clear" w:color="auto" w:fill="auto"/>
            <w:vAlign w:val="center"/>
            <w:hideMark/>
          </w:tcPr>
          <w:p w:rsidR="0055491A" w:rsidRPr="00927E55" w:rsidRDefault="0055491A" w:rsidP="00210BF6">
            <w:pPr>
              <w:jc w:val="both"/>
              <w:rPr>
                <w:sz w:val="22"/>
                <w:szCs w:val="22"/>
              </w:rPr>
            </w:pPr>
            <w:r w:rsidRPr="00927E55">
              <w:rPr>
                <w:sz w:val="22"/>
                <w:szCs w:val="22"/>
              </w:rPr>
              <w:t>Штрафы за неуплату средств на содержание детей или нетрудоспособных родителей</w:t>
            </w:r>
          </w:p>
        </w:tc>
        <w:tc>
          <w:tcPr>
            <w:tcW w:w="1341" w:type="dxa"/>
            <w:tcBorders>
              <w:top w:val="nil"/>
              <w:left w:val="nil"/>
              <w:bottom w:val="single" w:sz="4" w:space="0" w:color="auto"/>
              <w:right w:val="single" w:sz="4" w:space="0" w:color="auto"/>
            </w:tcBorders>
            <w:shd w:val="clear" w:color="auto" w:fill="auto"/>
            <w:vAlign w:val="center"/>
            <w:hideMark/>
          </w:tcPr>
          <w:p w:rsidR="0055491A" w:rsidRPr="00927E55" w:rsidRDefault="0055491A" w:rsidP="00210BF6">
            <w:pPr>
              <w:jc w:val="center"/>
              <w:rPr>
                <w:sz w:val="22"/>
                <w:szCs w:val="22"/>
              </w:rPr>
            </w:pPr>
            <w:r w:rsidRPr="00927E55">
              <w:rPr>
                <w:sz w:val="22"/>
                <w:szCs w:val="22"/>
              </w:rPr>
              <w:t>15</w:t>
            </w:r>
          </w:p>
        </w:tc>
        <w:tc>
          <w:tcPr>
            <w:tcW w:w="1691" w:type="dxa"/>
            <w:tcBorders>
              <w:top w:val="nil"/>
              <w:left w:val="nil"/>
              <w:bottom w:val="single" w:sz="4" w:space="0" w:color="auto"/>
              <w:right w:val="single" w:sz="4" w:space="0" w:color="auto"/>
            </w:tcBorders>
            <w:shd w:val="clear" w:color="auto" w:fill="auto"/>
            <w:vAlign w:val="center"/>
            <w:hideMark/>
          </w:tcPr>
          <w:p w:rsidR="0055491A" w:rsidRPr="00927E55" w:rsidRDefault="0055491A" w:rsidP="00210BF6">
            <w:pPr>
              <w:jc w:val="center"/>
              <w:rPr>
                <w:sz w:val="22"/>
                <w:szCs w:val="22"/>
              </w:rPr>
            </w:pPr>
            <w:r w:rsidRPr="00927E55">
              <w:rPr>
                <w:sz w:val="22"/>
                <w:szCs w:val="22"/>
              </w:rPr>
              <w:t>4</w:t>
            </w:r>
          </w:p>
        </w:tc>
        <w:tc>
          <w:tcPr>
            <w:tcW w:w="1461" w:type="dxa"/>
            <w:tcBorders>
              <w:top w:val="nil"/>
              <w:left w:val="nil"/>
              <w:bottom w:val="single" w:sz="4" w:space="0" w:color="auto"/>
              <w:right w:val="single" w:sz="4" w:space="0" w:color="auto"/>
            </w:tcBorders>
            <w:shd w:val="clear" w:color="auto" w:fill="auto"/>
            <w:vAlign w:val="center"/>
            <w:hideMark/>
          </w:tcPr>
          <w:p w:rsidR="0055491A" w:rsidRPr="00927E55" w:rsidRDefault="0055491A" w:rsidP="00210BF6">
            <w:pPr>
              <w:jc w:val="center"/>
              <w:rPr>
                <w:sz w:val="22"/>
                <w:szCs w:val="22"/>
              </w:rPr>
            </w:pPr>
            <w:r w:rsidRPr="00927E55">
              <w:rPr>
                <w:sz w:val="22"/>
                <w:szCs w:val="22"/>
              </w:rPr>
              <w:t>36,7%</w:t>
            </w:r>
          </w:p>
        </w:tc>
        <w:tc>
          <w:tcPr>
            <w:tcW w:w="1458" w:type="dxa"/>
            <w:tcBorders>
              <w:top w:val="nil"/>
              <w:left w:val="nil"/>
              <w:bottom w:val="single" w:sz="4" w:space="0" w:color="auto"/>
              <w:right w:val="single" w:sz="4" w:space="0" w:color="auto"/>
            </w:tcBorders>
            <w:shd w:val="clear" w:color="auto" w:fill="auto"/>
            <w:vAlign w:val="center"/>
            <w:hideMark/>
          </w:tcPr>
          <w:p w:rsidR="0055491A" w:rsidRPr="00927E55" w:rsidRDefault="0055491A" w:rsidP="00210BF6">
            <w:pPr>
              <w:jc w:val="center"/>
              <w:rPr>
                <w:sz w:val="22"/>
                <w:szCs w:val="22"/>
              </w:rPr>
            </w:pPr>
            <w:r w:rsidRPr="00927E55">
              <w:rPr>
                <w:sz w:val="22"/>
                <w:szCs w:val="22"/>
              </w:rPr>
              <w:t>11</w:t>
            </w:r>
          </w:p>
        </w:tc>
      </w:tr>
      <w:tr w:rsidR="0055491A" w:rsidTr="00210BF6">
        <w:trPr>
          <w:trHeight w:val="258"/>
        </w:trPr>
        <w:tc>
          <w:tcPr>
            <w:tcW w:w="492" w:type="dxa"/>
            <w:tcBorders>
              <w:top w:val="nil"/>
              <w:left w:val="single" w:sz="4" w:space="0" w:color="auto"/>
              <w:bottom w:val="single" w:sz="4" w:space="0" w:color="auto"/>
              <w:right w:val="single" w:sz="4" w:space="0" w:color="auto"/>
            </w:tcBorders>
            <w:shd w:val="clear" w:color="auto" w:fill="auto"/>
            <w:vAlign w:val="center"/>
            <w:hideMark/>
          </w:tcPr>
          <w:p w:rsidR="0055491A" w:rsidRPr="00927E55" w:rsidRDefault="0055491A" w:rsidP="00210BF6">
            <w:pPr>
              <w:jc w:val="center"/>
              <w:rPr>
                <w:sz w:val="22"/>
                <w:szCs w:val="22"/>
              </w:rPr>
            </w:pPr>
            <w:r w:rsidRPr="00927E55">
              <w:rPr>
                <w:sz w:val="22"/>
                <w:szCs w:val="22"/>
              </w:rPr>
              <w:t>5</w:t>
            </w:r>
          </w:p>
        </w:tc>
        <w:tc>
          <w:tcPr>
            <w:tcW w:w="2839" w:type="dxa"/>
            <w:tcBorders>
              <w:top w:val="nil"/>
              <w:left w:val="nil"/>
              <w:bottom w:val="single" w:sz="4" w:space="0" w:color="auto"/>
              <w:right w:val="single" w:sz="4" w:space="0" w:color="auto"/>
            </w:tcBorders>
            <w:shd w:val="clear" w:color="auto" w:fill="auto"/>
            <w:vAlign w:val="center"/>
            <w:hideMark/>
          </w:tcPr>
          <w:p w:rsidR="0055491A" w:rsidRPr="00927E55" w:rsidRDefault="0055491A" w:rsidP="00210BF6">
            <w:pPr>
              <w:jc w:val="both"/>
              <w:rPr>
                <w:sz w:val="22"/>
                <w:szCs w:val="22"/>
              </w:rPr>
            </w:pPr>
            <w:r w:rsidRPr="00927E55">
              <w:rPr>
                <w:sz w:val="22"/>
                <w:szCs w:val="22"/>
              </w:rPr>
              <w:t>Иные штрафы</w:t>
            </w:r>
          </w:p>
        </w:tc>
        <w:tc>
          <w:tcPr>
            <w:tcW w:w="1341" w:type="dxa"/>
            <w:tcBorders>
              <w:top w:val="nil"/>
              <w:left w:val="nil"/>
              <w:bottom w:val="single" w:sz="4" w:space="0" w:color="auto"/>
              <w:right w:val="single" w:sz="4" w:space="0" w:color="auto"/>
            </w:tcBorders>
            <w:shd w:val="clear" w:color="auto" w:fill="auto"/>
            <w:vAlign w:val="center"/>
            <w:hideMark/>
          </w:tcPr>
          <w:p w:rsidR="0055491A" w:rsidRPr="00927E55" w:rsidRDefault="0055491A" w:rsidP="00210BF6">
            <w:pPr>
              <w:jc w:val="center"/>
              <w:rPr>
                <w:sz w:val="22"/>
                <w:szCs w:val="22"/>
              </w:rPr>
            </w:pPr>
            <w:r w:rsidRPr="00927E55">
              <w:rPr>
                <w:sz w:val="22"/>
                <w:szCs w:val="22"/>
              </w:rPr>
              <w:t>3,7</w:t>
            </w:r>
          </w:p>
        </w:tc>
        <w:tc>
          <w:tcPr>
            <w:tcW w:w="1691" w:type="dxa"/>
            <w:tcBorders>
              <w:top w:val="nil"/>
              <w:left w:val="nil"/>
              <w:bottom w:val="single" w:sz="4" w:space="0" w:color="auto"/>
              <w:right w:val="single" w:sz="4" w:space="0" w:color="auto"/>
            </w:tcBorders>
            <w:shd w:val="clear" w:color="auto" w:fill="auto"/>
            <w:vAlign w:val="center"/>
            <w:hideMark/>
          </w:tcPr>
          <w:p w:rsidR="0055491A" w:rsidRPr="00927E55" w:rsidRDefault="0055491A" w:rsidP="00210BF6">
            <w:pPr>
              <w:jc w:val="center"/>
              <w:rPr>
                <w:sz w:val="22"/>
                <w:szCs w:val="22"/>
              </w:rPr>
            </w:pPr>
            <w:r w:rsidRPr="00927E55">
              <w:rPr>
                <w:sz w:val="22"/>
                <w:szCs w:val="22"/>
              </w:rPr>
              <w:t>113</w:t>
            </w:r>
          </w:p>
        </w:tc>
        <w:tc>
          <w:tcPr>
            <w:tcW w:w="1461" w:type="dxa"/>
            <w:tcBorders>
              <w:top w:val="nil"/>
              <w:left w:val="nil"/>
              <w:bottom w:val="single" w:sz="4" w:space="0" w:color="auto"/>
              <w:right w:val="single" w:sz="4" w:space="0" w:color="auto"/>
            </w:tcBorders>
            <w:shd w:val="clear" w:color="auto" w:fill="auto"/>
            <w:vAlign w:val="center"/>
            <w:hideMark/>
          </w:tcPr>
          <w:p w:rsidR="0055491A" w:rsidRPr="00927E55" w:rsidRDefault="0055491A" w:rsidP="00210BF6">
            <w:pPr>
              <w:jc w:val="center"/>
              <w:rPr>
                <w:sz w:val="22"/>
                <w:szCs w:val="22"/>
              </w:rPr>
            </w:pPr>
            <w:r w:rsidRPr="00927E55">
              <w:rPr>
                <w:sz w:val="22"/>
                <w:szCs w:val="22"/>
              </w:rPr>
              <w:t>65,1%</w:t>
            </w:r>
          </w:p>
        </w:tc>
        <w:tc>
          <w:tcPr>
            <w:tcW w:w="1458" w:type="dxa"/>
            <w:tcBorders>
              <w:top w:val="nil"/>
              <w:left w:val="nil"/>
              <w:bottom w:val="single" w:sz="4" w:space="0" w:color="auto"/>
              <w:right w:val="single" w:sz="4" w:space="0" w:color="auto"/>
            </w:tcBorders>
            <w:shd w:val="clear" w:color="auto" w:fill="auto"/>
            <w:vAlign w:val="center"/>
            <w:hideMark/>
          </w:tcPr>
          <w:p w:rsidR="0055491A" w:rsidRPr="00927E55" w:rsidRDefault="0055491A" w:rsidP="00210BF6">
            <w:pPr>
              <w:jc w:val="center"/>
              <w:rPr>
                <w:sz w:val="22"/>
                <w:szCs w:val="22"/>
              </w:rPr>
            </w:pPr>
            <w:r w:rsidRPr="00927E55">
              <w:rPr>
                <w:sz w:val="22"/>
                <w:szCs w:val="22"/>
              </w:rPr>
              <w:t>136,1</w:t>
            </w:r>
          </w:p>
        </w:tc>
      </w:tr>
      <w:tr w:rsidR="0055491A" w:rsidTr="00210BF6">
        <w:trPr>
          <w:trHeight w:val="258"/>
        </w:trPr>
        <w:tc>
          <w:tcPr>
            <w:tcW w:w="492" w:type="dxa"/>
            <w:tcBorders>
              <w:top w:val="nil"/>
              <w:left w:val="single" w:sz="4" w:space="0" w:color="auto"/>
              <w:bottom w:val="single" w:sz="4" w:space="0" w:color="auto"/>
              <w:right w:val="single" w:sz="4" w:space="0" w:color="auto"/>
            </w:tcBorders>
            <w:shd w:val="clear" w:color="auto" w:fill="auto"/>
            <w:vAlign w:val="center"/>
            <w:hideMark/>
          </w:tcPr>
          <w:p w:rsidR="0055491A" w:rsidRPr="00927E55" w:rsidRDefault="0055491A" w:rsidP="00210BF6">
            <w:pPr>
              <w:jc w:val="center"/>
              <w:rPr>
                <w:sz w:val="22"/>
                <w:szCs w:val="22"/>
              </w:rPr>
            </w:pPr>
            <w:r w:rsidRPr="00927E55">
              <w:rPr>
                <w:sz w:val="22"/>
                <w:szCs w:val="22"/>
              </w:rPr>
              <w:t>6</w:t>
            </w:r>
          </w:p>
        </w:tc>
        <w:tc>
          <w:tcPr>
            <w:tcW w:w="2839" w:type="dxa"/>
            <w:tcBorders>
              <w:top w:val="nil"/>
              <w:left w:val="nil"/>
              <w:bottom w:val="single" w:sz="4" w:space="0" w:color="auto"/>
              <w:right w:val="nil"/>
            </w:tcBorders>
            <w:shd w:val="clear" w:color="auto" w:fill="auto"/>
            <w:vAlign w:val="center"/>
            <w:hideMark/>
          </w:tcPr>
          <w:p w:rsidR="0055491A" w:rsidRPr="00927E55" w:rsidRDefault="0055491A" w:rsidP="00210BF6">
            <w:pPr>
              <w:rPr>
                <w:b/>
                <w:bCs/>
                <w:sz w:val="22"/>
                <w:szCs w:val="22"/>
              </w:rPr>
            </w:pPr>
            <w:r w:rsidRPr="00927E55">
              <w:rPr>
                <w:b/>
                <w:bCs/>
                <w:sz w:val="22"/>
                <w:szCs w:val="22"/>
              </w:rPr>
              <w:t>ИТОГО</w:t>
            </w:r>
          </w:p>
        </w:tc>
        <w:tc>
          <w:tcPr>
            <w:tcW w:w="1341" w:type="dxa"/>
            <w:tcBorders>
              <w:top w:val="nil"/>
              <w:left w:val="nil"/>
              <w:bottom w:val="single" w:sz="4" w:space="0" w:color="auto"/>
              <w:right w:val="nil"/>
            </w:tcBorders>
            <w:shd w:val="clear" w:color="auto" w:fill="auto"/>
            <w:vAlign w:val="center"/>
            <w:hideMark/>
          </w:tcPr>
          <w:p w:rsidR="0055491A" w:rsidRPr="00927E55" w:rsidRDefault="0055491A" w:rsidP="00210BF6">
            <w:pPr>
              <w:rPr>
                <w:b/>
                <w:bCs/>
                <w:sz w:val="22"/>
                <w:szCs w:val="22"/>
              </w:rPr>
            </w:pPr>
            <w:r w:rsidRPr="00927E55">
              <w:rPr>
                <w:b/>
                <w:bCs/>
                <w:sz w:val="22"/>
                <w:szCs w:val="22"/>
              </w:rPr>
              <w:t> </w:t>
            </w:r>
          </w:p>
        </w:tc>
        <w:tc>
          <w:tcPr>
            <w:tcW w:w="1691" w:type="dxa"/>
            <w:tcBorders>
              <w:top w:val="nil"/>
              <w:left w:val="nil"/>
              <w:bottom w:val="single" w:sz="4" w:space="0" w:color="auto"/>
              <w:right w:val="nil"/>
            </w:tcBorders>
            <w:shd w:val="clear" w:color="auto" w:fill="auto"/>
            <w:vAlign w:val="center"/>
            <w:hideMark/>
          </w:tcPr>
          <w:p w:rsidR="0055491A" w:rsidRPr="00927E55" w:rsidRDefault="0055491A" w:rsidP="00210BF6">
            <w:pPr>
              <w:rPr>
                <w:b/>
                <w:bCs/>
                <w:sz w:val="22"/>
                <w:szCs w:val="22"/>
              </w:rPr>
            </w:pPr>
            <w:r w:rsidRPr="00927E55">
              <w:rPr>
                <w:b/>
                <w:bCs/>
                <w:sz w:val="22"/>
                <w:szCs w:val="22"/>
              </w:rPr>
              <w:t> </w:t>
            </w:r>
          </w:p>
        </w:tc>
        <w:tc>
          <w:tcPr>
            <w:tcW w:w="1461" w:type="dxa"/>
            <w:tcBorders>
              <w:top w:val="nil"/>
              <w:left w:val="nil"/>
              <w:bottom w:val="single" w:sz="4" w:space="0" w:color="auto"/>
              <w:right w:val="single" w:sz="4" w:space="0" w:color="auto"/>
            </w:tcBorders>
            <w:shd w:val="clear" w:color="auto" w:fill="auto"/>
            <w:vAlign w:val="center"/>
            <w:hideMark/>
          </w:tcPr>
          <w:p w:rsidR="0055491A" w:rsidRPr="00927E55" w:rsidRDefault="0055491A" w:rsidP="00210BF6">
            <w:pPr>
              <w:rPr>
                <w:b/>
                <w:bCs/>
                <w:sz w:val="22"/>
                <w:szCs w:val="22"/>
              </w:rPr>
            </w:pPr>
            <w:r w:rsidRPr="00927E55">
              <w:rPr>
                <w:b/>
                <w:bCs/>
                <w:sz w:val="22"/>
                <w:szCs w:val="22"/>
              </w:rPr>
              <w:t> </w:t>
            </w:r>
          </w:p>
        </w:tc>
        <w:tc>
          <w:tcPr>
            <w:tcW w:w="1458" w:type="dxa"/>
            <w:tcBorders>
              <w:top w:val="nil"/>
              <w:left w:val="nil"/>
              <w:bottom w:val="single" w:sz="4" w:space="0" w:color="auto"/>
              <w:right w:val="single" w:sz="4" w:space="0" w:color="auto"/>
            </w:tcBorders>
            <w:shd w:val="clear" w:color="auto" w:fill="auto"/>
            <w:vAlign w:val="center"/>
            <w:hideMark/>
          </w:tcPr>
          <w:p w:rsidR="0055491A" w:rsidRPr="00927E55" w:rsidRDefault="0055491A" w:rsidP="00210BF6">
            <w:pPr>
              <w:jc w:val="center"/>
              <w:rPr>
                <w:b/>
                <w:bCs/>
                <w:sz w:val="22"/>
                <w:szCs w:val="22"/>
              </w:rPr>
            </w:pPr>
            <w:r w:rsidRPr="00927E55">
              <w:rPr>
                <w:b/>
                <w:bCs/>
                <w:sz w:val="22"/>
                <w:szCs w:val="22"/>
              </w:rPr>
              <w:t>504,6</w:t>
            </w:r>
          </w:p>
        </w:tc>
      </w:tr>
    </w:tbl>
    <w:p w:rsidR="0055491A" w:rsidRDefault="0055491A" w:rsidP="0055491A">
      <w:pPr>
        <w:pStyle w:val="a7"/>
        <w:spacing w:after="0"/>
        <w:ind w:left="0" w:firstLine="709"/>
        <w:jc w:val="both"/>
        <w:rPr>
          <w:sz w:val="28"/>
          <w:szCs w:val="28"/>
        </w:rPr>
      </w:pPr>
    </w:p>
    <w:p w:rsidR="0055491A" w:rsidRPr="00927E55" w:rsidRDefault="0055491A" w:rsidP="0055491A">
      <w:pPr>
        <w:pStyle w:val="a7"/>
        <w:spacing w:after="0"/>
        <w:ind w:left="0" w:firstLine="709"/>
        <w:jc w:val="both"/>
        <w:rPr>
          <w:sz w:val="28"/>
          <w:szCs w:val="28"/>
        </w:rPr>
      </w:pPr>
      <w:r w:rsidRPr="00927E55">
        <w:rPr>
          <w:b/>
          <w:sz w:val="28"/>
          <w:szCs w:val="28"/>
        </w:rPr>
        <w:t>Прогноз поступлений 2022 год – 504,6 тыс. руб., 2023-2024 гг.</w:t>
      </w:r>
      <w:r w:rsidRPr="001D09DD">
        <w:rPr>
          <w:sz w:val="28"/>
          <w:szCs w:val="28"/>
        </w:rPr>
        <w:t xml:space="preserve"> принят на уровне прогноза на 20</w:t>
      </w:r>
      <w:r>
        <w:rPr>
          <w:sz w:val="28"/>
          <w:szCs w:val="28"/>
        </w:rPr>
        <w:t>22</w:t>
      </w:r>
      <w:r w:rsidRPr="001D09DD">
        <w:rPr>
          <w:sz w:val="28"/>
          <w:szCs w:val="28"/>
        </w:rPr>
        <w:t xml:space="preserve"> год и составляет </w:t>
      </w:r>
      <w:r w:rsidRPr="00927E55">
        <w:rPr>
          <w:b/>
          <w:sz w:val="28"/>
          <w:szCs w:val="28"/>
        </w:rPr>
        <w:t>504,6 тыс. руб.</w:t>
      </w:r>
      <w:r>
        <w:rPr>
          <w:b/>
          <w:sz w:val="28"/>
          <w:szCs w:val="28"/>
        </w:rPr>
        <w:t xml:space="preserve"> </w:t>
      </w:r>
      <w:r w:rsidRPr="00927E55">
        <w:rPr>
          <w:sz w:val="28"/>
          <w:szCs w:val="28"/>
        </w:rPr>
        <w:t>ежегодно.</w:t>
      </w:r>
    </w:p>
    <w:p w:rsidR="0055491A" w:rsidRPr="000D187A" w:rsidRDefault="0055491A" w:rsidP="0055491A">
      <w:pPr>
        <w:pStyle w:val="a7"/>
        <w:spacing w:after="0"/>
        <w:ind w:left="0" w:firstLine="709"/>
        <w:jc w:val="both"/>
        <w:rPr>
          <w:sz w:val="28"/>
          <w:szCs w:val="28"/>
          <w:highlight w:val="yellow"/>
        </w:rPr>
      </w:pPr>
    </w:p>
    <w:p w:rsidR="0055491A" w:rsidRPr="000B0625" w:rsidRDefault="0055491A" w:rsidP="0055491A">
      <w:pPr>
        <w:pStyle w:val="a7"/>
        <w:spacing w:after="0"/>
        <w:ind w:left="0" w:firstLine="709"/>
        <w:jc w:val="both"/>
        <w:rPr>
          <w:sz w:val="28"/>
          <w:szCs w:val="28"/>
        </w:rPr>
      </w:pPr>
      <w:r w:rsidRPr="001D09DD">
        <w:rPr>
          <w:sz w:val="28"/>
          <w:szCs w:val="28"/>
        </w:rPr>
        <w:t xml:space="preserve">2. </w:t>
      </w:r>
      <w:r w:rsidRPr="00B03A5B">
        <w:rPr>
          <w:sz w:val="28"/>
          <w:szCs w:val="28"/>
        </w:rPr>
        <w:t xml:space="preserve">Административные штрафы, установленные Главой 6 Кодекса Российской Федерации об административных правонарушениях, за </w:t>
      </w:r>
      <w:r w:rsidRPr="00B03A5B">
        <w:rPr>
          <w:sz w:val="28"/>
          <w:szCs w:val="28"/>
        </w:rPr>
        <w:lastRenderedPageBreak/>
        <w:t xml:space="preserve">административные правонарушения, посягающие на здоровье, санитарно-эпидемиологическое благополучие населения и общественную нравственность </w:t>
      </w:r>
      <w:r w:rsidRPr="0046227F">
        <w:rPr>
          <w:sz w:val="28"/>
          <w:szCs w:val="28"/>
        </w:rPr>
        <w:t>(</w:t>
      </w:r>
      <w:r w:rsidRPr="006510C1">
        <w:rPr>
          <w:b/>
          <w:sz w:val="28"/>
          <w:szCs w:val="28"/>
        </w:rPr>
        <w:t>КБК 000 1 16 01060 01 0000 140</w:t>
      </w:r>
      <w:r w:rsidRPr="0046227F">
        <w:rPr>
          <w:sz w:val="28"/>
          <w:szCs w:val="28"/>
        </w:rPr>
        <w:t>).</w:t>
      </w:r>
      <w:r>
        <w:rPr>
          <w:sz w:val="28"/>
          <w:szCs w:val="28"/>
        </w:rPr>
        <w:t xml:space="preserve"> Прогноз по данному КБК всего на </w:t>
      </w:r>
      <w:r w:rsidRPr="006510C1">
        <w:rPr>
          <w:b/>
          <w:sz w:val="28"/>
          <w:szCs w:val="28"/>
        </w:rPr>
        <w:t>2022 год – 1 791,4 тыс. руб., 2022 год – 1 837,4 тыс. руб.,                                                        2024 год –  1 821,2 тыс. руб.</w:t>
      </w:r>
    </w:p>
    <w:p w:rsidR="0055491A" w:rsidRDefault="0055491A" w:rsidP="0055491A">
      <w:pPr>
        <w:pStyle w:val="a7"/>
        <w:spacing w:after="0"/>
        <w:ind w:left="0" w:firstLine="709"/>
        <w:jc w:val="both"/>
        <w:rPr>
          <w:sz w:val="28"/>
          <w:szCs w:val="28"/>
        </w:rPr>
      </w:pPr>
      <w:r>
        <w:rPr>
          <w:sz w:val="28"/>
          <w:szCs w:val="28"/>
        </w:rPr>
        <w:t xml:space="preserve">2.1 </w:t>
      </w:r>
      <w:r w:rsidRPr="006510C1">
        <w:rPr>
          <w:b/>
          <w:sz w:val="28"/>
          <w:szCs w:val="28"/>
        </w:rPr>
        <w:t>КБК 075 1 16 01063 01 0000 140</w:t>
      </w:r>
      <w:r>
        <w:rPr>
          <w:sz w:val="28"/>
          <w:szCs w:val="28"/>
        </w:rPr>
        <w:t xml:space="preserve"> </w:t>
      </w:r>
      <w:r w:rsidRPr="00B03A5B">
        <w:rPr>
          <w:sz w:val="28"/>
          <w:szCs w:val="28"/>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r>
        <w:rPr>
          <w:sz w:val="28"/>
          <w:szCs w:val="28"/>
        </w:rPr>
        <w:t>.</w:t>
      </w:r>
    </w:p>
    <w:p w:rsidR="0055491A" w:rsidRDefault="0055491A" w:rsidP="0055491A">
      <w:pPr>
        <w:pStyle w:val="a7"/>
        <w:spacing w:after="0"/>
        <w:ind w:left="0" w:firstLine="709"/>
        <w:jc w:val="both"/>
        <w:rPr>
          <w:sz w:val="28"/>
          <w:szCs w:val="28"/>
        </w:rPr>
      </w:pPr>
      <w:r w:rsidRPr="006510C1">
        <w:rPr>
          <w:b/>
          <w:sz w:val="28"/>
          <w:szCs w:val="28"/>
        </w:rPr>
        <w:t>Главный администратор доходов – Министерство образования Тверской области.</w:t>
      </w:r>
      <w:r w:rsidRPr="00FA5C19">
        <w:rPr>
          <w:sz w:val="28"/>
          <w:szCs w:val="28"/>
        </w:rPr>
        <w:t xml:space="preserve"> </w:t>
      </w:r>
      <w:r>
        <w:rPr>
          <w:sz w:val="28"/>
          <w:szCs w:val="28"/>
        </w:rPr>
        <w:t xml:space="preserve">Расчет представлен в таблице: </w:t>
      </w:r>
    </w:p>
    <w:p w:rsidR="0055491A" w:rsidRDefault="0055491A" w:rsidP="0055491A">
      <w:pPr>
        <w:pStyle w:val="a7"/>
        <w:spacing w:after="0"/>
        <w:ind w:left="0" w:firstLine="709"/>
        <w:jc w:val="right"/>
        <w:rPr>
          <w:sz w:val="28"/>
          <w:szCs w:val="28"/>
        </w:rPr>
      </w:pPr>
      <w:r w:rsidRPr="00AD0448">
        <w:t>тыс. руб</w:t>
      </w:r>
      <w:r>
        <w:rPr>
          <w:sz w:val="28"/>
          <w:szCs w:val="28"/>
        </w:rPr>
        <w:t>.</w:t>
      </w:r>
    </w:p>
    <w:tbl>
      <w:tblPr>
        <w:tblW w:w="9275" w:type="dxa"/>
        <w:tblInd w:w="-5" w:type="dxa"/>
        <w:tblLayout w:type="fixed"/>
        <w:tblLook w:val="04A0" w:firstRow="1" w:lastRow="0" w:firstColumn="1" w:lastColumn="0" w:noHBand="0" w:noVBand="1"/>
      </w:tblPr>
      <w:tblGrid>
        <w:gridCol w:w="1418"/>
        <w:gridCol w:w="1306"/>
        <w:gridCol w:w="1306"/>
        <w:gridCol w:w="1307"/>
        <w:gridCol w:w="9"/>
        <w:gridCol w:w="1297"/>
        <w:gridCol w:w="1306"/>
        <w:gridCol w:w="1307"/>
        <w:gridCol w:w="19"/>
      </w:tblGrid>
      <w:tr w:rsidR="0055491A" w:rsidRPr="006D676B" w:rsidTr="00210BF6">
        <w:trPr>
          <w:trHeight w:val="309"/>
        </w:trPr>
        <w:tc>
          <w:tcPr>
            <w:tcW w:w="9275"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5491A" w:rsidRPr="006D676B" w:rsidRDefault="0055491A" w:rsidP="00210BF6">
            <w:pPr>
              <w:jc w:val="center"/>
              <w:rPr>
                <w:b/>
                <w:bCs/>
                <w:color w:val="000000"/>
                <w:sz w:val="22"/>
                <w:szCs w:val="22"/>
              </w:rPr>
            </w:pPr>
            <w:r w:rsidRPr="006D676B">
              <w:rPr>
                <w:b/>
                <w:bCs/>
                <w:color w:val="000000"/>
                <w:sz w:val="22"/>
                <w:szCs w:val="22"/>
              </w:rPr>
              <w:t>Глава 6 КоАП РФ</w:t>
            </w:r>
          </w:p>
        </w:tc>
      </w:tr>
      <w:tr w:rsidR="0055491A" w:rsidRPr="006D676B" w:rsidTr="00210BF6">
        <w:trPr>
          <w:trHeight w:val="510"/>
        </w:trPr>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55491A" w:rsidRPr="006D676B" w:rsidRDefault="0055491A" w:rsidP="00210BF6">
            <w:pPr>
              <w:jc w:val="center"/>
              <w:rPr>
                <w:b/>
                <w:bCs/>
                <w:color w:val="000000"/>
                <w:sz w:val="22"/>
                <w:szCs w:val="22"/>
              </w:rPr>
            </w:pPr>
            <w:r w:rsidRPr="006D676B">
              <w:rPr>
                <w:b/>
                <w:bCs/>
                <w:color w:val="000000"/>
                <w:sz w:val="22"/>
                <w:szCs w:val="22"/>
              </w:rPr>
              <w:t>Размер платежа (тыс.руб.)</w:t>
            </w:r>
          </w:p>
        </w:tc>
        <w:tc>
          <w:tcPr>
            <w:tcW w:w="3928" w:type="dxa"/>
            <w:gridSpan w:val="4"/>
            <w:tcBorders>
              <w:top w:val="single" w:sz="4" w:space="0" w:color="auto"/>
              <w:left w:val="nil"/>
              <w:bottom w:val="single" w:sz="4" w:space="0" w:color="auto"/>
              <w:right w:val="single" w:sz="4" w:space="0" w:color="auto"/>
            </w:tcBorders>
            <w:shd w:val="clear" w:color="auto" w:fill="auto"/>
            <w:vAlign w:val="center"/>
            <w:hideMark/>
          </w:tcPr>
          <w:p w:rsidR="0055491A" w:rsidRPr="006D676B" w:rsidRDefault="0055491A" w:rsidP="00210BF6">
            <w:pPr>
              <w:jc w:val="center"/>
              <w:rPr>
                <w:b/>
                <w:bCs/>
                <w:color w:val="000000"/>
                <w:sz w:val="22"/>
                <w:szCs w:val="22"/>
              </w:rPr>
            </w:pPr>
            <w:r w:rsidRPr="006D676B">
              <w:rPr>
                <w:b/>
                <w:bCs/>
                <w:color w:val="000000"/>
                <w:sz w:val="22"/>
                <w:szCs w:val="22"/>
              </w:rPr>
              <w:t>Количество правонарушений                   (с учетом округления)</w:t>
            </w:r>
          </w:p>
        </w:tc>
        <w:tc>
          <w:tcPr>
            <w:tcW w:w="3929" w:type="dxa"/>
            <w:gridSpan w:val="4"/>
            <w:tcBorders>
              <w:top w:val="single" w:sz="4" w:space="0" w:color="auto"/>
              <w:left w:val="nil"/>
              <w:bottom w:val="single" w:sz="4" w:space="0" w:color="auto"/>
              <w:right w:val="single" w:sz="4" w:space="0" w:color="auto"/>
            </w:tcBorders>
            <w:shd w:val="clear" w:color="auto" w:fill="auto"/>
            <w:noWrap/>
            <w:vAlign w:val="center"/>
            <w:hideMark/>
          </w:tcPr>
          <w:p w:rsidR="0055491A" w:rsidRPr="006D676B" w:rsidRDefault="0055491A" w:rsidP="00210BF6">
            <w:pPr>
              <w:jc w:val="center"/>
              <w:rPr>
                <w:b/>
                <w:bCs/>
                <w:color w:val="000000"/>
                <w:sz w:val="22"/>
                <w:szCs w:val="22"/>
              </w:rPr>
            </w:pPr>
            <w:r w:rsidRPr="006D676B">
              <w:rPr>
                <w:b/>
                <w:bCs/>
                <w:color w:val="000000"/>
                <w:sz w:val="22"/>
                <w:szCs w:val="22"/>
              </w:rPr>
              <w:t>Прогноз</w:t>
            </w:r>
          </w:p>
        </w:tc>
      </w:tr>
      <w:tr w:rsidR="0055491A" w:rsidRPr="006D676B" w:rsidTr="00210BF6">
        <w:trPr>
          <w:gridAfter w:val="1"/>
          <w:wAfter w:w="19" w:type="dxa"/>
          <w:trHeight w:val="510"/>
        </w:trPr>
        <w:tc>
          <w:tcPr>
            <w:tcW w:w="1418" w:type="dxa"/>
            <w:vMerge/>
            <w:tcBorders>
              <w:top w:val="nil"/>
              <w:left w:val="single" w:sz="4" w:space="0" w:color="auto"/>
              <w:bottom w:val="single" w:sz="4" w:space="0" w:color="auto"/>
              <w:right w:val="single" w:sz="4" w:space="0" w:color="auto"/>
            </w:tcBorders>
            <w:vAlign w:val="center"/>
            <w:hideMark/>
          </w:tcPr>
          <w:p w:rsidR="0055491A" w:rsidRPr="006D676B" w:rsidRDefault="0055491A" w:rsidP="00210BF6">
            <w:pPr>
              <w:jc w:val="center"/>
              <w:rPr>
                <w:b/>
                <w:bCs/>
                <w:color w:val="000000"/>
                <w:sz w:val="22"/>
                <w:szCs w:val="22"/>
              </w:rPr>
            </w:pPr>
          </w:p>
        </w:tc>
        <w:tc>
          <w:tcPr>
            <w:tcW w:w="1306" w:type="dxa"/>
            <w:tcBorders>
              <w:top w:val="nil"/>
              <w:left w:val="nil"/>
              <w:bottom w:val="single" w:sz="4" w:space="0" w:color="auto"/>
              <w:right w:val="single" w:sz="4" w:space="0" w:color="auto"/>
            </w:tcBorders>
            <w:shd w:val="clear" w:color="auto" w:fill="auto"/>
            <w:noWrap/>
            <w:vAlign w:val="center"/>
            <w:hideMark/>
          </w:tcPr>
          <w:p w:rsidR="0055491A" w:rsidRPr="006D676B" w:rsidRDefault="0055491A" w:rsidP="00210BF6">
            <w:pPr>
              <w:jc w:val="center"/>
              <w:rPr>
                <w:b/>
                <w:bCs/>
                <w:color w:val="000000"/>
                <w:sz w:val="22"/>
                <w:szCs w:val="22"/>
              </w:rPr>
            </w:pPr>
            <w:r w:rsidRPr="006D676B">
              <w:rPr>
                <w:b/>
                <w:bCs/>
                <w:color w:val="000000"/>
                <w:sz w:val="22"/>
                <w:szCs w:val="22"/>
              </w:rPr>
              <w:t>2022 год</w:t>
            </w:r>
          </w:p>
        </w:tc>
        <w:tc>
          <w:tcPr>
            <w:tcW w:w="1306" w:type="dxa"/>
            <w:tcBorders>
              <w:top w:val="nil"/>
              <w:left w:val="nil"/>
              <w:bottom w:val="single" w:sz="4" w:space="0" w:color="auto"/>
              <w:right w:val="single" w:sz="4" w:space="0" w:color="auto"/>
            </w:tcBorders>
            <w:shd w:val="clear" w:color="auto" w:fill="auto"/>
            <w:noWrap/>
            <w:vAlign w:val="center"/>
            <w:hideMark/>
          </w:tcPr>
          <w:p w:rsidR="0055491A" w:rsidRPr="006D676B" w:rsidRDefault="0055491A" w:rsidP="00210BF6">
            <w:pPr>
              <w:jc w:val="center"/>
              <w:rPr>
                <w:b/>
                <w:bCs/>
                <w:color w:val="000000"/>
                <w:sz w:val="22"/>
                <w:szCs w:val="22"/>
              </w:rPr>
            </w:pPr>
            <w:r w:rsidRPr="006D676B">
              <w:rPr>
                <w:b/>
                <w:bCs/>
                <w:color w:val="000000"/>
                <w:sz w:val="22"/>
                <w:szCs w:val="22"/>
              </w:rPr>
              <w:t>2023 год</w:t>
            </w:r>
          </w:p>
        </w:tc>
        <w:tc>
          <w:tcPr>
            <w:tcW w:w="1307" w:type="dxa"/>
            <w:tcBorders>
              <w:top w:val="nil"/>
              <w:left w:val="nil"/>
              <w:bottom w:val="single" w:sz="4" w:space="0" w:color="auto"/>
              <w:right w:val="single" w:sz="4" w:space="0" w:color="auto"/>
            </w:tcBorders>
            <w:shd w:val="clear" w:color="auto" w:fill="auto"/>
            <w:noWrap/>
            <w:vAlign w:val="center"/>
            <w:hideMark/>
          </w:tcPr>
          <w:p w:rsidR="0055491A" w:rsidRPr="006D676B" w:rsidRDefault="0055491A" w:rsidP="00210BF6">
            <w:pPr>
              <w:jc w:val="center"/>
              <w:rPr>
                <w:b/>
                <w:bCs/>
                <w:color w:val="000000"/>
                <w:sz w:val="22"/>
                <w:szCs w:val="22"/>
              </w:rPr>
            </w:pPr>
            <w:r w:rsidRPr="006D676B">
              <w:rPr>
                <w:b/>
                <w:bCs/>
                <w:color w:val="000000"/>
                <w:sz w:val="22"/>
                <w:szCs w:val="22"/>
              </w:rPr>
              <w:t>2024 год</w:t>
            </w:r>
          </w:p>
        </w:tc>
        <w:tc>
          <w:tcPr>
            <w:tcW w:w="1306" w:type="dxa"/>
            <w:gridSpan w:val="2"/>
            <w:tcBorders>
              <w:top w:val="nil"/>
              <w:left w:val="nil"/>
              <w:bottom w:val="single" w:sz="4" w:space="0" w:color="auto"/>
              <w:right w:val="single" w:sz="4" w:space="0" w:color="auto"/>
            </w:tcBorders>
            <w:shd w:val="clear" w:color="auto" w:fill="auto"/>
            <w:noWrap/>
            <w:vAlign w:val="center"/>
            <w:hideMark/>
          </w:tcPr>
          <w:p w:rsidR="0055491A" w:rsidRPr="006D676B" w:rsidRDefault="0055491A" w:rsidP="00210BF6">
            <w:pPr>
              <w:jc w:val="center"/>
              <w:rPr>
                <w:b/>
                <w:bCs/>
                <w:color w:val="000000"/>
                <w:sz w:val="22"/>
                <w:szCs w:val="22"/>
              </w:rPr>
            </w:pPr>
            <w:r w:rsidRPr="006D676B">
              <w:rPr>
                <w:b/>
                <w:bCs/>
                <w:color w:val="000000"/>
                <w:sz w:val="22"/>
                <w:szCs w:val="22"/>
              </w:rPr>
              <w:t>2022 год</w:t>
            </w:r>
          </w:p>
        </w:tc>
        <w:tc>
          <w:tcPr>
            <w:tcW w:w="1306" w:type="dxa"/>
            <w:tcBorders>
              <w:top w:val="nil"/>
              <w:left w:val="nil"/>
              <w:bottom w:val="single" w:sz="4" w:space="0" w:color="auto"/>
              <w:right w:val="single" w:sz="4" w:space="0" w:color="auto"/>
            </w:tcBorders>
            <w:shd w:val="clear" w:color="auto" w:fill="auto"/>
            <w:noWrap/>
            <w:vAlign w:val="center"/>
            <w:hideMark/>
          </w:tcPr>
          <w:p w:rsidR="0055491A" w:rsidRPr="006D676B" w:rsidRDefault="0055491A" w:rsidP="00210BF6">
            <w:pPr>
              <w:jc w:val="center"/>
              <w:rPr>
                <w:b/>
                <w:bCs/>
                <w:color w:val="000000"/>
                <w:sz w:val="22"/>
                <w:szCs w:val="22"/>
              </w:rPr>
            </w:pPr>
            <w:r w:rsidRPr="006D676B">
              <w:rPr>
                <w:b/>
                <w:bCs/>
                <w:color w:val="000000"/>
                <w:sz w:val="22"/>
                <w:szCs w:val="22"/>
              </w:rPr>
              <w:t>2023 год</w:t>
            </w:r>
          </w:p>
        </w:tc>
        <w:tc>
          <w:tcPr>
            <w:tcW w:w="1307" w:type="dxa"/>
            <w:tcBorders>
              <w:top w:val="nil"/>
              <w:left w:val="nil"/>
              <w:bottom w:val="single" w:sz="4" w:space="0" w:color="auto"/>
              <w:right w:val="single" w:sz="4" w:space="0" w:color="auto"/>
            </w:tcBorders>
            <w:shd w:val="clear" w:color="auto" w:fill="auto"/>
            <w:noWrap/>
            <w:vAlign w:val="center"/>
            <w:hideMark/>
          </w:tcPr>
          <w:p w:rsidR="0055491A" w:rsidRPr="006D676B" w:rsidRDefault="0055491A" w:rsidP="00210BF6">
            <w:pPr>
              <w:jc w:val="center"/>
              <w:rPr>
                <w:b/>
                <w:bCs/>
                <w:color w:val="000000"/>
                <w:sz w:val="22"/>
                <w:szCs w:val="22"/>
              </w:rPr>
            </w:pPr>
            <w:r w:rsidRPr="006D676B">
              <w:rPr>
                <w:b/>
                <w:bCs/>
                <w:color w:val="000000"/>
                <w:sz w:val="22"/>
                <w:szCs w:val="22"/>
              </w:rPr>
              <w:t>2024 год</w:t>
            </w:r>
          </w:p>
        </w:tc>
      </w:tr>
      <w:tr w:rsidR="0055491A" w:rsidRPr="006D676B" w:rsidTr="00210BF6">
        <w:trPr>
          <w:gridAfter w:val="1"/>
          <w:wAfter w:w="19" w:type="dxa"/>
          <w:trHeight w:val="309"/>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55491A" w:rsidRPr="006D676B" w:rsidRDefault="0055491A" w:rsidP="00210BF6">
            <w:pPr>
              <w:jc w:val="center"/>
              <w:rPr>
                <w:color w:val="000000"/>
                <w:sz w:val="22"/>
                <w:szCs w:val="22"/>
              </w:rPr>
            </w:pPr>
            <w:r w:rsidRPr="006D676B">
              <w:rPr>
                <w:color w:val="000000"/>
                <w:sz w:val="22"/>
                <w:szCs w:val="22"/>
              </w:rPr>
              <w:t>0,2</w:t>
            </w:r>
          </w:p>
        </w:tc>
        <w:tc>
          <w:tcPr>
            <w:tcW w:w="1306" w:type="dxa"/>
            <w:tcBorders>
              <w:top w:val="nil"/>
              <w:left w:val="nil"/>
              <w:bottom w:val="single" w:sz="4" w:space="0" w:color="auto"/>
              <w:right w:val="single" w:sz="4" w:space="0" w:color="auto"/>
            </w:tcBorders>
            <w:shd w:val="clear" w:color="auto" w:fill="auto"/>
            <w:noWrap/>
            <w:vAlign w:val="bottom"/>
            <w:hideMark/>
          </w:tcPr>
          <w:p w:rsidR="0055491A" w:rsidRPr="006D676B" w:rsidRDefault="0055491A" w:rsidP="00210BF6">
            <w:pPr>
              <w:jc w:val="center"/>
              <w:rPr>
                <w:color w:val="000000"/>
                <w:sz w:val="22"/>
                <w:szCs w:val="22"/>
              </w:rPr>
            </w:pPr>
            <w:r w:rsidRPr="006D676B">
              <w:rPr>
                <w:color w:val="000000"/>
                <w:sz w:val="22"/>
                <w:szCs w:val="22"/>
              </w:rPr>
              <w:t>1</w:t>
            </w:r>
          </w:p>
        </w:tc>
        <w:tc>
          <w:tcPr>
            <w:tcW w:w="1306" w:type="dxa"/>
            <w:tcBorders>
              <w:top w:val="nil"/>
              <w:left w:val="nil"/>
              <w:bottom w:val="single" w:sz="4" w:space="0" w:color="auto"/>
              <w:right w:val="single" w:sz="4" w:space="0" w:color="auto"/>
            </w:tcBorders>
            <w:shd w:val="clear" w:color="auto" w:fill="auto"/>
            <w:noWrap/>
            <w:vAlign w:val="bottom"/>
            <w:hideMark/>
          </w:tcPr>
          <w:p w:rsidR="0055491A" w:rsidRPr="006D676B" w:rsidRDefault="0055491A" w:rsidP="00210BF6">
            <w:pPr>
              <w:jc w:val="center"/>
              <w:rPr>
                <w:color w:val="000000"/>
                <w:sz w:val="22"/>
                <w:szCs w:val="22"/>
              </w:rPr>
            </w:pPr>
            <w:r w:rsidRPr="006D676B">
              <w:rPr>
                <w:color w:val="000000"/>
                <w:sz w:val="22"/>
                <w:szCs w:val="22"/>
              </w:rPr>
              <w:t> 0</w:t>
            </w:r>
          </w:p>
        </w:tc>
        <w:tc>
          <w:tcPr>
            <w:tcW w:w="1307" w:type="dxa"/>
            <w:tcBorders>
              <w:top w:val="nil"/>
              <w:left w:val="nil"/>
              <w:bottom w:val="single" w:sz="4" w:space="0" w:color="auto"/>
              <w:right w:val="single" w:sz="4" w:space="0" w:color="auto"/>
            </w:tcBorders>
            <w:shd w:val="clear" w:color="auto" w:fill="auto"/>
            <w:noWrap/>
            <w:vAlign w:val="bottom"/>
            <w:hideMark/>
          </w:tcPr>
          <w:p w:rsidR="0055491A" w:rsidRPr="006D676B" w:rsidRDefault="0055491A" w:rsidP="00210BF6">
            <w:pPr>
              <w:jc w:val="center"/>
              <w:rPr>
                <w:color w:val="000000"/>
                <w:sz w:val="22"/>
                <w:szCs w:val="22"/>
              </w:rPr>
            </w:pPr>
            <w:r w:rsidRPr="006D676B">
              <w:rPr>
                <w:color w:val="000000"/>
                <w:sz w:val="22"/>
                <w:szCs w:val="22"/>
              </w:rPr>
              <w:t>2</w:t>
            </w:r>
          </w:p>
        </w:tc>
        <w:tc>
          <w:tcPr>
            <w:tcW w:w="1306" w:type="dxa"/>
            <w:gridSpan w:val="2"/>
            <w:tcBorders>
              <w:top w:val="nil"/>
              <w:left w:val="nil"/>
              <w:bottom w:val="single" w:sz="4" w:space="0" w:color="auto"/>
              <w:right w:val="single" w:sz="4" w:space="0" w:color="auto"/>
            </w:tcBorders>
            <w:shd w:val="clear" w:color="auto" w:fill="auto"/>
            <w:noWrap/>
            <w:vAlign w:val="bottom"/>
            <w:hideMark/>
          </w:tcPr>
          <w:p w:rsidR="0055491A" w:rsidRPr="006D676B" w:rsidRDefault="0055491A" w:rsidP="00210BF6">
            <w:pPr>
              <w:jc w:val="center"/>
              <w:rPr>
                <w:color w:val="000000"/>
                <w:sz w:val="22"/>
                <w:szCs w:val="22"/>
              </w:rPr>
            </w:pPr>
            <w:r w:rsidRPr="006D676B">
              <w:rPr>
                <w:color w:val="000000"/>
                <w:sz w:val="22"/>
                <w:szCs w:val="22"/>
              </w:rPr>
              <w:t>0,2</w:t>
            </w:r>
          </w:p>
        </w:tc>
        <w:tc>
          <w:tcPr>
            <w:tcW w:w="1306" w:type="dxa"/>
            <w:tcBorders>
              <w:top w:val="nil"/>
              <w:left w:val="nil"/>
              <w:bottom w:val="single" w:sz="4" w:space="0" w:color="auto"/>
              <w:right w:val="single" w:sz="4" w:space="0" w:color="auto"/>
            </w:tcBorders>
            <w:shd w:val="clear" w:color="auto" w:fill="auto"/>
            <w:noWrap/>
            <w:vAlign w:val="bottom"/>
            <w:hideMark/>
          </w:tcPr>
          <w:p w:rsidR="0055491A" w:rsidRPr="006D676B" w:rsidRDefault="0055491A" w:rsidP="00210BF6">
            <w:pPr>
              <w:jc w:val="center"/>
              <w:rPr>
                <w:color w:val="000000"/>
                <w:sz w:val="22"/>
                <w:szCs w:val="22"/>
              </w:rPr>
            </w:pPr>
            <w:r w:rsidRPr="006D676B">
              <w:rPr>
                <w:color w:val="000000"/>
                <w:sz w:val="22"/>
                <w:szCs w:val="22"/>
              </w:rPr>
              <w:t>0</w:t>
            </w:r>
          </w:p>
        </w:tc>
        <w:tc>
          <w:tcPr>
            <w:tcW w:w="1307" w:type="dxa"/>
            <w:tcBorders>
              <w:top w:val="nil"/>
              <w:left w:val="nil"/>
              <w:bottom w:val="single" w:sz="4" w:space="0" w:color="auto"/>
              <w:right w:val="single" w:sz="4" w:space="0" w:color="auto"/>
            </w:tcBorders>
            <w:shd w:val="clear" w:color="auto" w:fill="auto"/>
            <w:noWrap/>
            <w:vAlign w:val="bottom"/>
            <w:hideMark/>
          </w:tcPr>
          <w:p w:rsidR="0055491A" w:rsidRPr="006D676B" w:rsidRDefault="0055491A" w:rsidP="00210BF6">
            <w:pPr>
              <w:jc w:val="center"/>
              <w:rPr>
                <w:color w:val="000000"/>
                <w:sz w:val="22"/>
                <w:szCs w:val="22"/>
              </w:rPr>
            </w:pPr>
            <w:r w:rsidRPr="006D676B">
              <w:rPr>
                <w:color w:val="000000"/>
                <w:sz w:val="22"/>
                <w:szCs w:val="22"/>
              </w:rPr>
              <w:t>0,4</w:t>
            </w:r>
          </w:p>
        </w:tc>
      </w:tr>
      <w:tr w:rsidR="0055491A" w:rsidRPr="006D676B" w:rsidTr="00210BF6">
        <w:trPr>
          <w:gridAfter w:val="1"/>
          <w:wAfter w:w="19" w:type="dxa"/>
          <w:trHeight w:val="309"/>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55491A" w:rsidRPr="006D676B" w:rsidRDefault="0055491A" w:rsidP="00210BF6">
            <w:pPr>
              <w:jc w:val="center"/>
              <w:rPr>
                <w:color w:val="000000"/>
                <w:sz w:val="22"/>
                <w:szCs w:val="22"/>
              </w:rPr>
            </w:pPr>
            <w:r w:rsidRPr="006D676B">
              <w:rPr>
                <w:color w:val="000000"/>
                <w:sz w:val="22"/>
                <w:szCs w:val="22"/>
              </w:rPr>
              <w:t>0,3</w:t>
            </w:r>
          </w:p>
        </w:tc>
        <w:tc>
          <w:tcPr>
            <w:tcW w:w="1306" w:type="dxa"/>
            <w:tcBorders>
              <w:top w:val="nil"/>
              <w:left w:val="nil"/>
              <w:bottom w:val="single" w:sz="4" w:space="0" w:color="auto"/>
              <w:right w:val="single" w:sz="4" w:space="0" w:color="auto"/>
            </w:tcBorders>
            <w:shd w:val="clear" w:color="auto" w:fill="auto"/>
            <w:noWrap/>
            <w:vAlign w:val="bottom"/>
            <w:hideMark/>
          </w:tcPr>
          <w:p w:rsidR="0055491A" w:rsidRPr="006D676B" w:rsidRDefault="0055491A" w:rsidP="00210BF6">
            <w:pPr>
              <w:jc w:val="center"/>
              <w:rPr>
                <w:color w:val="000000"/>
                <w:sz w:val="22"/>
                <w:szCs w:val="22"/>
              </w:rPr>
            </w:pPr>
            <w:r w:rsidRPr="006D676B">
              <w:rPr>
                <w:color w:val="000000"/>
                <w:sz w:val="22"/>
                <w:szCs w:val="22"/>
              </w:rPr>
              <w:t>2</w:t>
            </w:r>
          </w:p>
        </w:tc>
        <w:tc>
          <w:tcPr>
            <w:tcW w:w="1306" w:type="dxa"/>
            <w:tcBorders>
              <w:top w:val="nil"/>
              <w:left w:val="nil"/>
              <w:bottom w:val="single" w:sz="4" w:space="0" w:color="auto"/>
              <w:right w:val="single" w:sz="4" w:space="0" w:color="auto"/>
            </w:tcBorders>
            <w:shd w:val="clear" w:color="auto" w:fill="auto"/>
            <w:noWrap/>
            <w:vAlign w:val="bottom"/>
            <w:hideMark/>
          </w:tcPr>
          <w:p w:rsidR="0055491A" w:rsidRPr="006D676B" w:rsidRDefault="0055491A" w:rsidP="00210BF6">
            <w:pPr>
              <w:jc w:val="center"/>
              <w:rPr>
                <w:color w:val="000000"/>
                <w:sz w:val="22"/>
                <w:szCs w:val="22"/>
              </w:rPr>
            </w:pPr>
            <w:r w:rsidRPr="006D676B">
              <w:rPr>
                <w:color w:val="000000"/>
                <w:sz w:val="22"/>
                <w:szCs w:val="22"/>
              </w:rPr>
              <w:t>1</w:t>
            </w:r>
          </w:p>
        </w:tc>
        <w:tc>
          <w:tcPr>
            <w:tcW w:w="1307" w:type="dxa"/>
            <w:tcBorders>
              <w:top w:val="nil"/>
              <w:left w:val="nil"/>
              <w:bottom w:val="single" w:sz="4" w:space="0" w:color="auto"/>
              <w:right w:val="single" w:sz="4" w:space="0" w:color="auto"/>
            </w:tcBorders>
            <w:shd w:val="clear" w:color="auto" w:fill="auto"/>
            <w:noWrap/>
            <w:vAlign w:val="bottom"/>
            <w:hideMark/>
          </w:tcPr>
          <w:p w:rsidR="0055491A" w:rsidRPr="006D676B" w:rsidRDefault="0055491A" w:rsidP="00210BF6">
            <w:pPr>
              <w:jc w:val="center"/>
              <w:rPr>
                <w:color w:val="000000"/>
                <w:sz w:val="22"/>
                <w:szCs w:val="22"/>
              </w:rPr>
            </w:pPr>
            <w:r w:rsidRPr="006D676B">
              <w:rPr>
                <w:color w:val="000000"/>
                <w:sz w:val="22"/>
                <w:szCs w:val="22"/>
              </w:rPr>
              <w:t>0 </w:t>
            </w:r>
          </w:p>
        </w:tc>
        <w:tc>
          <w:tcPr>
            <w:tcW w:w="1306" w:type="dxa"/>
            <w:gridSpan w:val="2"/>
            <w:tcBorders>
              <w:top w:val="nil"/>
              <w:left w:val="nil"/>
              <w:bottom w:val="single" w:sz="4" w:space="0" w:color="auto"/>
              <w:right w:val="single" w:sz="4" w:space="0" w:color="auto"/>
            </w:tcBorders>
            <w:shd w:val="clear" w:color="auto" w:fill="auto"/>
            <w:noWrap/>
            <w:vAlign w:val="bottom"/>
            <w:hideMark/>
          </w:tcPr>
          <w:p w:rsidR="0055491A" w:rsidRPr="006D676B" w:rsidRDefault="0055491A" w:rsidP="00210BF6">
            <w:pPr>
              <w:jc w:val="center"/>
              <w:rPr>
                <w:color w:val="000000"/>
                <w:sz w:val="22"/>
                <w:szCs w:val="22"/>
              </w:rPr>
            </w:pPr>
            <w:r w:rsidRPr="006D676B">
              <w:rPr>
                <w:color w:val="000000"/>
                <w:sz w:val="22"/>
                <w:szCs w:val="22"/>
              </w:rPr>
              <w:t>0,6</w:t>
            </w:r>
          </w:p>
        </w:tc>
        <w:tc>
          <w:tcPr>
            <w:tcW w:w="1306" w:type="dxa"/>
            <w:tcBorders>
              <w:top w:val="nil"/>
              <w:left w:val="nil"/>
              <w:bottom w:val="single" w:sz="4" w:space="0" w:color="auto"/>
              <w:right w:val="single" w:sz="4" w:space="0" w:color="auto"/>
            </w:tcBorders>
            <w:shd w:val="clear" w:color="auto" w:fill="auto"/>
            <w:noWrap/>
            <w:vAlign w:val="bottom"/>
            <w:hideMark/>
          </w:tcPr>
          <w:p w:rsidR="0055491A" w:rsidRPr="006D676B" w:rsidRDefault="0055491A" w:rsidP="00210BF6">
            <w:pPr>
              <w:jc w:val="center"/>
              <w:rPr>
                <w:color w:val="000000"/>
                <w:sz w:val="22"/>
                <w:szCs w:val="22"/>
              </w:rPr>
            </w:pPr>
            <w:r w:rsidRPr="006D676B">
              <w:rPr>
                <w:color w:val="000000"/>
                <w:sz w:val="22"/>
                <w:szCs w:val="22"/>
              </w:rPr>
              <w:t>0,3</w:t>
            </w:r>
          </w:p>
        </w:tc>
        <w:tc>
          <w:tcPr>
            <w:tcW w:w="1307" w:type="dxa"/>
            <w:tcBorders>
              <w:top w:val="nil"/>
              <w:left w:val="nil"/>
              <w:bottom w:val="single" w:sz="4" w:space="0" w:color="auto"/>
              <w:right w:val="single" w:sz="4" w:space="0" w:color="auto"/>
            </w:tcBorders>
            <w:shd w:val="clear" w:color="auto" w:fill="auto"/>
            <w:noWrap/>
            <w:vAlign w:val="bottom"/>
            <w:hideMark/>
          </w:tcPr>
          <w:p w:rsidR="0055491A" w:rsidRPr="006D676B" w:rsidRDefault="0055491A" w:rsidP="00210BF6">
            <w:pPr>
              <w:jc w:val="center"/>
              <w:rPr>
                <w:color w:val="000000"/>
                <w:sz w:val="22"/>
                <w:szCs w:val="22"/>
              </w:rPr>
            </w:pPr>
            <w:r w:rsidRPr="006D676B">
              <w:rPr>
                <w:color w:val="000000"/>
                <w:sz w:val="22"/>
                <w:szCs w:val="22"/>
              </w:rPr>
              <w:t>0</w:t>
            </w:r>
          </w:p>
        </w:tc>
      </w:tr>
      <w:tr w:rsidR="0055491A" w:rsidRPr="006D676B" w:rsidTr="00210BF6">
        <w:trPr>
          <w:gridAfter w:val="1"/>
          <w:wAfter w:w="19" w:type="dxa"/>
          <w:trHeight w:val="309"/>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55491A" w:rsidRPr="006D676B" w:rsidRDefault="0055491A" w:rsidP="00210BF6">
            <w:pPr>
              <w:jc w:val="center"/>
              <w:rPr>
                <w:color w:val="000000"/>
                <w:sz w:val="22"/>
                <w:szCs w:val="22"/>
              </w:rPr>
            </w:pPr>
            <w:r w:rsidRPr="006D676B">
              <w:rPr>
                <w:color w:val="000000"/>
                <w:sz w:val="22"/>
                <w:szCs w:val="22"/>
              </w:rPr>
              <w:t>0,5</w:t>
            </w:r>
          </w:p>
        </w:tc>
        <w:tc>
          <w:tcPr>
            <w:tcW w:w="1306" w:type="dxa"/>
            <w:tcBorders>
              <w:top w:val="nil"/>
              <w:left w:val="nil"/>
              <w:bottom w:val="single" w:sz="4" w:space="0" w:color="auto"/>
              <w:right w:val="single" w:sz="4" w:space="0" w:color="auto"/>
            </w:tcBorders>
            <w:shd w:val="clear" w:color="auto" w:fill="auto"/>
            <w:noWrap/>
            <w:vAlign w:val="bottom"/>
            <w:hideMark/>
          </w:tcPr>
          <w:p w:rsidR="0055491A" w:rsidRPr="006D676B" w:rsidRDefault="0055491A" w:rsidP="00210BF6">
            <w:pPr>
              <w:jc w:val="center"/>
              <w:rPr>
                <w:color w:val="000000"/>
                <w:sz w:val="22"/>
                <w:szCs w:val="22"/>
              </w:rPr>
            </w:pPr>
            <w:r w:rsidRPr="006D676B">
              <w:rPr>
                <w:color w:val="000000"/>
                <w:sz w:val="22"/>
                <w:szCs w:val="22"/>
              </w:rPr>
              <w:t>121</w:t>
            </w:r>
          </w:p>
        </w:tc>
        <w:tc>
          <w:tcPr>
            <w:tcW w:w="1306" w:type="dxa"/>
            <w:tcBorders>
              <w:top w:val="nil"/>
              <w:left w:val="nil"/>
              <w:bottom w:val="single" w:sz="4" w:space="0" w:color="auto"/>
              <w:right w:val="single" w:sz="4" w:space="0" w:color="auto"/>
            </w:tcBorders>
            <w:shd w:val="clear" w:color="auto" w:fill="auto"/>
            <w:noWrap/>
            <w:vAlign w:val="bottom"/>
            <w:hideMark/>
          </w:tcPr>
          <w:p w:rsidR="0055491A" w:rsidRPr="006D676B" w:rsidRDefault="0055491A" w:rsidP="00210BF6">
            <w:pPr>
              <w:jc w:val="center"/>
              <w:rPr>
                <w:color w:val="000000"/>
                <w:sz w:val="22"/>
                <w:szCs w:val="22"/>
              </w:rPr>
            </w:pPr>
            <w:r w:rsidRPr="006D676B">
              <w:rPr>
                <w:color w:val="000000"/>
                <w:sz w:val="22"/>
                <w:szCs w:val="22"/>
              </w:rPr>
              <w:t>113</w:t>
            </w:r>
          </w:p>
        </w:tc>
        <w:tc>
          <w:tcPr>
            <w:tcW w:w="1307" w:type="dxa"/>
            <w:tcBorders>
              <w:top w:val="nil"/>
              <w:left w:val="nil"/>
              <w:bottom w:val="single" w:sz="4" w:space="0" w:color="auto"/>
              <w:right w:val="single" w:sz="4" w:space="0" w:color="auto"/>
            </w:tcBorders>
            <w:shd w:val="clear" w:color="auto" w:fill="auto"/>
            <w:noWrap/>
            <w:vAlign w:val="bottom"/>
            <w:hideMark/>
          </w:tcPr>
          <w:p w:rsidR="0055491A" w:rsidRPr="006D676B" w:rsidRDefault="0055491A" w:rsidP="00210BF6">
            <w:pPr>
              <w:jc w:val="center"/>
              <w:rPr>
                <w:color w:val="000000"/>
                <w:sz w:val="22"/>
                <w:szCs w:val="22"/>
              </w:rPr>
            </w:pPr>
            <w:r w:rsidRPr="006D676B">
              <w:rPr>
                <w:color w:val="000000"/>
                <w:sz w:val="22"/>
                <w:szCs w:val="22"/>
              </w:rPr>
              <w:t>116</w:t>
            </w:r>
          </w:p>
        </w:tc>
        <w:tc>
          <w:tcPr>
            <w:tcW w:w="1306" w:type="dxa"/>
            <w:gridSpan w:val="2"/>
            <w:tcBorders>
              <w:top w:val="nil"/>
              <w:left w:val="nil"/>
              <w:bottom w:val="single" w:sz="4" w:space="0" w:color="auto"/>
              <w:right w:val="single" w:sz="4" w:space="0" w:color="auto"/>
            </w:tcBorders>
            <w:shd w:val="clear" w:color="auto" w:fill="auto"/>
            <w:noWrap/>
            <w:vAlign w:val="bottom"/>
            <w:hideMark/>
          </w:tcPr>
          <w:p w:rsidR="0055491A" w:rsidRPr="006D676B" w:rsidRDefault="0055491A" w:rsidP="00210BF6">
            <w:pPr>
              <w:jc w:val="center"/>
              <w:rPr>
                <w:color w:val="000000"/>
                <w:sz w:val="22"/>
                <w:szCs w:val="22"/>
              </w:rPr>
            </w:pPr>
            <w:r w:rsidRPr="006D676B">
              <w:rPr>
                <w:color w:val="000000"/>
                <w:sz w:val="22"/>
                <w:szCs w:val="22"/>
              </w:rPr>
              <w:t>60,5</w:t>
            </w:r>
          </w:p>
        </w:tc>
        <w:tc>
          <w:tcPr>
            <w:tcW w:w="1306" w:type="dxa"/>
            <w:tcBorders>
              <w:top w:val="nil"/>
              <w:left w:val="nil"/>
              <w:bottom w:val="single" w:sz="4" w:space="0" w:color="auto"/>
              <w:right w:val="single" w:sz="4" w:space="0" w:color="auto"/>
            </w:tcBorders>
            <w:shd w:val="clear" w:color="auto" w:fill="auto"/>
            <w:noWrap/>
            <w:vAlign w:val="bottom"/>
            <w:hideMark/>
          </w:tcPr>
          <w:p w:rsidR="0055491A" w:rsidRPr="006D676B" w:rsidRDefault="0055491A" w:rsidP="00210BF6">
            <w:pPr>
              <w:jc w:val="center"/>
              <w:rPr>
                <w:color w:val="000000"/>
                <w:sz w:val="22"/>
                <w:szCs w:val="22"/>
              </w:rPr>
            </w:pPr>
            <w:r w:rsidRPr="006D676B">
              <w:rPr>
                <w:color w:val="000000"/>
                <w:sz w:val="22"/>
                <w:szCs w:val="22"/>
              </w:rPr>
              <w:t>56,5</w:t>
            </w:r>
          </w:p>
        </w:tc>
        <w:tc>
          <w:tcPr>
            <w:tcW w:w="1307" w:type="dxa"/>
            <w:tcBorders>
              <w:top w:val="nil"/>
              <w:left w:val="nil"/>
              <w:bottom w:val="single" w:sz="4" w:space="0" w:color="auto"/>
              <w:right w:val="single" w:sz="4" w:space="0" w:color="auto"/>
            </w:tcBorders>
            <w:shd w:val="clear" w:color="auto" w:fill="auto"/>
            <w:noWrap/>
            <w:vAlign w:val="bottom"/>
            <w:hideMark/>
          </w:tcPr>
          <w:p w:rsidR="0055491A" w:rsidRPr="006D676B" w:rsidRDefault="0055491A" w:rsidP="00210BF6">
            <w:pPr>
              <w:jc w:val="center"/>
              <w:rPr>
                <w:color w:val="000000"/>
                <w:sz w:val="22"/>
                <w:szCs w:val="22"/>
              </w:rPr>
            </w:pPr>
            <w:r w:rsidRPr="006D676B">
              <w:rPr>
                <w:color w:val="000000"/>
                <w:sz w:val="22"/>
                <w:szCs w:val="22"/>
              </w:rPr>
              <w:t>58</w:t>
            </w:r>
          </w:p>
        </w:tc>
      </w:tr>
      <w:tr w:rsidR="0055491A" w:rsidRPr="006D676B" w:rsidTr="00210BF6">
        <w:trPr>
          <w:gridAfter w:val="1"/>
          <w:wAfter w:w="19" w:type="dxa"/>
          <w:trHeight w:val="309"/>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55491A" w:rsidRPr="006D676B" w:rsidRDefault="0055491A" w:rsidP="00210BF6">
            <w:pPr>
              <w:jc w:val="center"/>
              <w:rPr>
                <w:color w:val="000000"/>
                <w:sz w:val="22"/>
                <w:szCs w:val="22"/>
              </w:rPr>
            </w:pPr>
            <w:r w:rsidRPr="006D676B">
              <w:rPr>
                <w:color w:val="000000"/>
                <w:sz w:val="22"/>
                <w:szCs w:val="22"/>
              </w:rPr>
              <w:t>1</w:t>
            </w:r>
          </w:p>
        </w:tc>
        <w:tc>
          <w:tcPr>
            <w:tcW w:w="1306" w:type="dxa"/>
            <w:tcBorders>
              <w:top w:val="nil"/>
              <w:left w:val="nil"/>
              <w:bottom w:val="single" w:sz="4" w:space="0" w:color="auto"/>
              <w:right w:val="single" w:sz="4" w:space="0" w:color="auto"/>
            </w:tcBorders>
            <w:shd w:val="clear" w:color="auto" w:fill="auto"/>
            <w:noWrap/>
            <w:vAlign w:val="bottom"/>
            <w:hideMark/>
          </w:tcPr>
          <w:p w:rsidR="0055491A" w:rsidRPr="006D676B" w:rsidRDefault="0055491A" w:rsidP="00210BF6">
            <w:pPr>
              <w:jc w:val="center"/>
              <w:rPr>
                <w:color w:val="000000"/>
                <w:sz w:val="22"/>
                <w:szCs w:val="22"/>
              </w:rPr>
            </w:pPr>
            <w:r w:rsidRPr="006D676B">
              <w:rPr>
                <w:color w:val="000000"/>
                <w:sz w:val="22"/>
                <w:szCs w:val="22"/>
              </w:rPr>
              <w:t>77</w:t>
            </w:r>
          </w:p>
        </w:tc>
        <w:tc>
          <w:tcPr>
            <w:tcW w:w="1306" w:type="dxa"/>
            <w:tcBorders>
              <w:top w:val="nil"/>
              <w:left w:val="nil"/>
              <w:bottom w:val="single" w:sz="4" w:space="0" w:color="auto"/>
              <w:right w:val="single" w:sz="4" w:space="0" w:color="auto"/>
            </w:tcBorders>
            <w:shd w:val="clear" w:color="auto" w:fill="auto"/>
            <w:noWrap/>
            <w:vAlign w:val="bottom"/>
            <w:hideMark/>
          </w:tcPr>
          <w:p w:rsidR="0055491A" w:rsidRPr="006D676B" w:rsidRDefault="0055491A" w:rsidP="00210BF6">
            <w:pPr>
              <w:jc w:val="center"/>
              <w:rPr>
                <w:color w:val="000000"/>
                <w:sz w:val="22"/>
                <w:szCs w:val="22"/>
              </w:rPr>
            </w:pPr>
            <w:r w:rsidRPr="006D676B">
              <w:rPr>
                <w:color w:val="000000"/>
                <w:sz w:val="22"/>
                <w:szCs w:val="22"/>
              </w:rPr>
              <w:t>75</w:t>
            </w:r>
          </w:p>
        </w:tc>
        <w:tc>
          <w:tcPr>
            <w:tcW w:w="1307" w:type="dxa"/>
            <w:tcBorders>
              <w:top w:val="nil"/>
              <w:left w:val="nil"/>
              <w:bottom w:val="single" w:sz="4" w:space="0" w:color="auto"/>
              <w:right w:val="single" w:sz="4" w:space="0" w:color="auto"/>
            </w:tcBorders>
            <w:shd w:val="clear" w:color="auto" w:fill="auto"/>
            <w:noWrap/>
            <w:vAlign w:val="bottom"/>
            <w:hideMark/>
          </w:tcPr>
          <w:p w:rsidR="0055491A" w:rsidRPr="006D676B" w:rsidRDefault="0055491A" w:rsidP="00210BF6">
            <w:pPr>
              <w:jc w:val="center"/>
              <w:rPr>
                <w:color w:val="000000"/>
                <w:sz w:val="22"/>
                <w:szCs w:val="22"/>
              </w:rPr>
            </w:pPr>
            <w:r w:rsidRPr="006D676B">
              <w:rPr>
                <w:color w:val="000000"/>
                <w:sz w:val="22"/>
                <w:szCs w:val="22"/>
              </w:rPr>
              <w:t>62</w:t>
            </w:r>
          </w:p>
        </w:tc>
        <w:tc>
          <w:tcPr>
            <w:tcW w:w="1306" w:type="dxa"/>
            <w:gridSpan w:val="2"/>
            <w:tcBorders>
              <w:top w:val="nil"/>
              <w:left w:val="nil"/>
              <w:bottom w:val="single" w:sz="4" w:space="0" w:color="auto"/>
              <w:right w:val="single" w:sz="4" w:space="0" w:color="auto"/>
            </w:tcBorders>
            <w:shd w:val="clear" w:color="auto" w:fill="auto"/>
            <w:noWrap/>
            <w:vAlign w:val="bottom"/>
            <w:hideMark/>
          </w:tcPr>
          <w:p w:rsidR="0055491A" w:rsidRPr="006D676B" w:rsidRDefault="0055491A" w:rsidP="00210BF6">
            <w:pPr>
              <w:jc w:val="center"/>
              <w:rPr>
                <w:color w:val="000000"/>
                <w:sz w:val="22"/>
                <w:szCs w:val="22"/>
              </w:rPr>
            </w:pPr>
            <w:r w:rsidRPr="006D676B">
              <w:rPr>
                <w:color w:val="000000"/>
                <w:sz w:val="22"/>
                <w:szCs w:val="22"/>
              </w:rPr>
              <w:t>77</w:t>
            </w:r>
          </w:p>
        </w:tc>
        <w:tc>
          <w:tcPr>
            <w:tcW w:w="1306" w:type="dxa"/>
            <w:tcBorders>
              <w:top w:val="nil"/>
              <w:left w:val="nil"/>
              <w:bottom w:val="single" w:sz="4" w:space="0" w:color="auto"/>
              <w:right w:val="single" w:sz="4" w:space="0" w:color="auto"/>
            </w:tcBorders>
            <w:shd w:val="clear" w:color="auto" w:fill="auto"/>
            <w:noWrap/>
            <w:vAlign w:val="bottom"/>
            <w:hideMark/>
          </w:tcPr>
          <w:p w:rsidR="0055491A" w:rsidRPr="006D676B" w:rsidRDefault="0055491A" w:rsidP="00210BF6">
            <w:pPr>
              <w:jc w:val="center"/>
              <w:rPr>
                <w:color w:val="000000"/>
                <w:sz w:val="22"/>
                <w:szCs w:val="22"/>
              </w:rPr>
            </w:pPr>
            <w:r w:rsidRPr="006D676B">
              <w:rPr>
                <w:color w:val="000000"/>
                <w:sz w:val="22"/>
                <w:szCs w:val="22"/>
              </w:rPr>
              <w:t>75</w:t>
            </w:r>
          </w:p>
        </w:tc>
        <w:tc>
          <w:tcPr>
            <w:tcW w:w="1307" w:type="dxa"/>
            <w:tcBorders>
              <w:top w:val="nil"/>
              <w:left w:val="nil"/>
              <w:bottom w:val="single" w:sz="4" w:space="0" w:color="auto"/>
              <w:right w:val="single" w:sz="4" w:space="0" w:color="auto"/>
            </w:tcBorders>
            <w:shd w:val="clear" w:color="auto" w:fill="auto"/>
            <w:noWrap/>
            <w:vAlign w:val="bottom"/>
            <w:hideMark/>
          </w:tcPr>
          <w:p w:rsidR="0055491A" w:rsidRPr="006D676B" w:rsidRDefault="0055491A" w:rsidP="00210BF6">
            <w:pPr>
              <w:jc w:val="center"/>
              <w:rPr>
                <w:color w:val="000000"/>
                <w:sz w:val="22"/>
                <w:szCs w:val="22"/>
              </w:rPr>
            </w:pPr>
            <w:r w:rsidRPr="006D676B">
              <w:rPr>
                <w:color w:val="000000"/>
                <w:sz w:val="22"/>
                <w:szCs w:val="22"/>
              </w:rPr>
              <w:t>62</w:t>
            </w:r>
          </w:p>
        </w:tc>
      </w:tr>
      <w:tr w:rsidR="0055491A" w:rsidRPr="006D676B" w:rsidTr="00210BF6">
        <w:trPr>
          <w:gridAfter w:val="1"/>
          <w:wAfter w:w="19" w:type="dxa"/>
          <w:trHeight w:val="309"/>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55491A" w:rsidRPr="006D676B" w:rsidRDefault="0055491A" w:rsidP="00210BF6">
            <w:pPr>
              <w:jc w:val="center"/>
              <w:rPr>
                <w:color w:val="000000"/>
                <w:sz w:val="22"/>
                <w:szCs w:val="22"/>
              </w:rPr>
            </w:pPr>
            <w:r w:rsidRPr="006D676B">
              <w:rPr>
                <w:color w:val="000000"/>
                <w:sz w:val="22"/>
                <w:szCs w:val="22"/>
              </w:rPr>
              <w:t>1,5</w:t>
            </w:r>
          </w:p>
        </w:tc>
        <w:tc>
          <w:tcPr>
            <w:tcW w:w="1306" w:type="dxa"/>
            <w:tcBorders>
              <w:top w:val="nil"/>
              <w:left w:val="nil"/>
              <w:bottom w:val="single" w:sz="4" w:space="0" w:color="auto"/>
              <w:right w:val="single" w:sz="4" w:space="0" w:color="auto"/>
            </w:tcBorders>
            <w:shd w:val="clear" w:color="auto" w:fill="auto"/>
            <w:noWrap/>
            <w:vAlign w:val="bottom"/>
            <w:hideMark/>
          </w:tcPr>
          <w:p w:rsidR="0055491A" w:rsidRPr="006D676B" w:rsidRDefault="0055491A" w:rsidP="00210BF6">
            <w:pPr>
              <w:jc w:val="center"/>
              <w:rPr>
                <w:color w:val="000000"/>
                <w:sz w:val="22"/>
                <w:szCs w:val="22"/>
              </w:rPr>
            </w:pPr>
            <w:r w:rsidRPr="006D676B">
              <w:rPr>
                <w:color w:val="000000"/>
                <w:sz w:val="22"/>
                <w:szCs w:val="22"/>
              </w:rPr>
              <w:t>122</w:t>
            </w:r>
          </w:p>
        </w:tc>
        <w:tc>
          <w:tcPr>
            <w:tcW w:w="1306" w:type="dxa"/>
            <w:tcBorders>
              <w:top w:val="nil"/>
              <w:left w:val="nil"/>
              <w:bottom w:val="single" w:sz="4" w:space="0" w:color="auto"/>
              <w:right w:val="single" w:sz="4" w:space="0" w:color="auto"/>
            </w:tcBorders>
            <w:shd w:val="clear" w:color="auto" w:fill="auto"/>
            <w:noWrap/>
            <w:vAlign w:val="bottom"/>
            <w:hideMark/>
          </w:tcPr>
          <w:p w:rsidR="0055491A" w:rsidRPr="006D676B" w:rsidRDefault="0055491A" w:rsidP="00210BF6">
            <w:pPr>
              <w:jc w:val="center"/>
              <w:rPr>
                <w:color w:val="000000"/>
                <w:sz w:val="22"/>
                <w:szCs w:val="22"/>
              </w:rPr>
            </w:pPr>
            <w:r w:rsidRPr="006D676B">
              <w:rPr>
                <w:color w:val="000000"/>
                <w:sz w:val="22"/>
                <w:szCs w:val="22"/>
              </w:rPr>
              <w:t>123</w:t>
            </w:r>
          </w:p>
        </w:tc>
        <w:tc>
          <w:tcPr>
            <w:tcW w:w="1307" w:type="dxa"/>
            <w:tcBorders>
              <w:top w:val="nil"/>
              <w:left w:val="nil"/>
              <w:bottom w:val="single" w:sz="4" w:space="0" w:color="auto"/>
              <w:right w:val="single" w:sz="4" w:space="0" w:color="auto"/>
            </w:tcBorders>
            <w:shd w:val="clear" w:color="auto" w:fill="auto"/>
            <w:noWrap/>
            <w:vAlign w:val="bottom"/>
            <w:hideMark/>
          </w:tcPr>
          <w:p w:rsidR="0055491A" w:rsidRPr="006D676B" w:rsidRDefault="0055491A" w:rsidP="00210BF6">
            <w:pPr>
              <w:jc w:val="center"/>
              <w:rPr>
                <w:color w:val="000000"/>
                <w:sz w:val="22"/>
                <w:szCs w:val="22"/>
              </w:rPr>
            </w:pPr>
            <w:r w:rsidRPr="006D676B">
              <w:rPr>
                <w:color w:val="000000"/>
                <w:sz w:val="22"/>
                <w:szCs w:val="22"/>
              </w:rPr>
              <w:t>135</w:t>
            </w:r>
          </w:p>
        </w:tc>
        <w:tc>
          <w:tcPr>
            <w:tcW w:w="1306" w:type="dxa"/>
            <w:gridSpan w:val="2"/>
            <w:tcBorders>
              <w:top w:val="nil"/>
              <w:left w:val="nil"/>
              <w:bottom w:val="single" w:sz="4" w:space="0" w:color="auto"/>
              <w:right w:val="single" w:sz="4" w:space="0" w:color="auto"/>
            </w:tcBorders>
            <w:shd w:val="clear" w:color="auto" w:fill="auto"/>
            <w:noWrap/>
            <w:vAlign w:val="bottom"/>
            <w:hideMark/>
          </w:tcPr>
          <w:p w:rsidR="0055491A" w:rsidRPr="006D676B" w:rsidRDefault="0055491A" w:rsidP="00210BF6">
            <w:pPr>
              <w:jc w:val="center"/>
              <w:rPr>
                <w:color w:val="000000"/>
                <w:sz w:val="22"/>
                <w:szCs w:val="22"/>
              </w:rPr>
            </w:pPr>
            <w:r w:rsidRPr="006D676B">
              <w:rPr>
                <w:color w:val="000000"/>
                <w:sz w:val="22"/>
                <w:szCs w:val="22"/>
              </w:rPr>
              <w:t>183</w:t>
            </w:r>
          </w:p>
        </w:tc>
        <w:tc>
          <w:tcPr>
            <w:tcW w:w="1306" w:type="dxa"/>
            <w:tcBorders>
              <w:top w:val="nil"/>
              <w:left w:val="nil"/>
              <w:bottom w:val="single" w:sz="4" w:space="0" w:color="auto"/>
              <w:right w:val="single" w:sz="4" w:space="0" w:color="auto"/>
            </w:tcBorders>
            <w:shd w:val="clear" w:color="auto" w:fill="auto"/>
            <w:noWrap/>
            <w:vAlign w:val="bottom"/>
            <w:hideMark/>
          </w:tcPr>
          <w:p w:rsidR="0055491A" w:rsidRPr="006D676B" w:rsidRDefault="0055491A" w:rsidP="00210BF6">
            <w:pPr>
              <w:jc w:val="center"/>
              <w:rPr>
                <w:color w:val="000000"/>
                <w:sz w:val="22"/>
                <w:szCs w:val="22"/>
              </w:rPr>
            </w:pPr>
            <w:r w:rsidRPr="006D676B">
              <w:rPr>
                <w:color w:val="000000"/>
                <w:sz w:val="22"/>
                <w:szCs w:val="22"/>
              </w:rPr>
              <w:t>184,5</w:t>
            </w:r>
          </w:p>
        </w:tc>
        <w:tc>
          <w:tcPr>
            <w:tcW w:w="1307" w:type="dxa"/>
            <w:tcBorders>
              <w:top w:val="nil"/>
              <w:left w:val="nil"/>
              <w:bottom w:val="single" w:sz="4" w:space="0" w:color="auto"/>
              <w:right w:val="single" w:sz="4" w:space="0" w:color="auto"/>
            </w:tcBorders>
            <w:shd w:val="clear" w:color="auto" w:fill="auto"/>
            <w:noWrap/>
            <w:vAlign w:val="bottom"/>
            <w:hideMark/>
          </w:tcPr>
          <w:p w:rsidR="0055491A" w:rsidRPr="006D676B" w:rsidRDefault="0055491A" w:rsidP="00210BF6">
            <w:pPr>
              <w:jc w:val="center"/>
              <w:rPr>
                <w:color w:val="000000"/>
                <w:sz w:val="22"/>
                <w:szCs w:val="22"/>
              </w:rPr>
            </w:pPr>
            <w:r w:rsidRPr="006D676B">
              <w:rPr>
                <w:color w:val="000000"/>
                <w:sz w:val="22"/>
                <w:szCs w:val="22"/>
              </w:rPr>
              <w:t>202,5</w:t>
            </w:r>
          </w:p>
        </w:tc>
      </w:tr>
      <w:tr w:rsidR="0055491A" w:rsidRPr="006D676B" w:rsidTr="00210BF6">
        <w:trPr>
          <w:gridAfter w:val="1"/>
          <w:wAfter w:w="19" w:type="dxa"/>
          <w:trHeight w:val="309"/>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55491A" w:rsidRPr="006D676B" w:rsidRDefault="0055491A" w:rsidP="00210BF6">
            <w:pPr>
              <w:jc w:val="center"/>
              <w:rPr>
                <w:color w:val="000000"/>
                <w:sz w:val="22"/>
                <w:szCs w:val="22"/>
              </w:rPr>
            </w:pPr>
            <w:r w:rsidRPr="006D676B">
              <w:rPr>
                <w:color w:val="000000"/>
                <w:sz w:val="22"/>
                <w:szCs w:val="22"/>
              </w:rPr>
              <w:t>0,75</w:t>
            </w:r>
          </w:p>
        </w:tc>
        <w:tc>
          <w:tcPr>
            <w:tcW w:w="1306" w:type="dxa"/>
            <w:tcBorders>
              <w:top w:val="nil"/>
              <w:left w:val="nil"/>
              <w:bottom w:val="single" w:sz="4" w:space="0" w:color="auto"/>
              <w:right w:val="single" w:sz="4" w:space="0" w:color="auto"/>
            </w:tcBorders>
            <w:shd w:val="clear" w:color="auto" w:fill="auto"/>
            <w:noWrap/>
            <w:vAlign w:val="bottom"/>
            <w:hideMark/>
          </w:tcPr>
          <w:p w:rsidR="0055491A" w:rsidRPr="006D676B" w:rsidRDefault="0055491A" w:rsidP="00210BF6">
            <w:pPr>
              <w:jc w:val="center"/>
              <w:rPr>
                <w:color w:val="000000"/>
                <w:sz w:val="22"/>
                <w:szCs w:val="22"/>
              </w:rPr>
            </w:pPr>
            <w:r w:rsidRPr="006D676B">
              <w:rPr>
                <w:color w:val="000000"/>
                <w:sz w:val="22"/>
                <w:szCs w:val="22"/>
              </w:rPr>
              <w:t>8</w:t>
            </w:r>
          </w:p>
        </w:tc>
        <w:tc>
          <w:tcPr>
            <w:tcW w:w="1306" w:type="dxa"/>
            <w:tcBorders>
              <w:top w:val="nil"/>
              <w:left w:val="nil"/>
              <w:bottom w:val="single" w:sz="4" w:space="0" w:color="auto"/>
              <w:right w:val="single" w:sz="4" w:space="0" w:color="auto"/>
            </w:tcBorders>
            <w:shd w:val="clear" w:color="auto" w:fill="auto"/>
            <w:noWrap/>
            <w:vAlign w:val="bottom"/>
            <w:hideMark/>
          </w:tcPr>
          <w:p w:rsidR="0055491A" w:rsidRPr="006D676B" w:rsidRDefault="0055491A" w:rsidP="00210BF6">
            <w:pPr>
              <w:jc w:val="center"/>
              <w:rPr>
                <w:color w:val="000000"/>
                <w:sz w:val="22"/>
                <w:szCs w:val="22"/>
              </w:rPr>
            </w:pPr>
            <w:r w:rsidRPr="006D676B">
              <w:rPr>
                <w:color w:val="000000"/>
                <w:sz w:val="22"/>
                <w:szCs w:val="22"/>
              </w:rPr>
              <w:t>8</w:t>
            </w:r>
          </w:p>
        </w:tc>
        <w:tc>
          <w:tcPr>
            <w:tcW w:w="1307" w:type="dxa"/>
            <w:tcBorders>
              <w:top w:val="nil"/>
              <w:left w:val="nil"/>
              <w:bottom w:val="single" w:sz="4" w:space="0" w:color="auto"/>
              <w:right w:val="single" w:sz="4" w:space="0" w:color="auto"/>
            </w:tcBorders>
            <w:shd w:val="clear" w:color="auto" w:fill="auto"/>
            <w:noWrap/>
            <w:vAlign w:val="bottom"/>
            <w:hideMark/>
          </w:tcPr>
          <w:p w:rsidR="0055491A" w:rsidRPr="006D676B" w:rsidRDefault="0055491A" w:rsidP="00210BF6">
            <w:pPr>
              <w:jc w:val="center"/>
              <w:rPr>
                <w:color w:val="000000"/>
                <w:sz w:val="22"/>
                <w:szCs w:val="22"/>
              </w:rPr>
            </w:pPr>
            <w:r w:rsidRPr="006D676B">
              <w:rPr>
                <w:color w:val="000000"/>
                <w:sz w:val="22"/>
                <w:szCs w:val="22"/>
              </w:rPr>
              <w:t>6</w:t>
            </w:r>
          </w:p>
        </w:tc>
        <w:tc>
          <w:tcPr>
            <w:tcW w:w="1306" w:type="dxa"/>
            <w:gridSpan w:val="2"/>
            <w:tcBorders>
              <w:top w:val="nil"/>
              <w:left w:val="nil"/>
              <w:bottom w:val="single" w:sz="4" w:space="0" w:color="auto"/>
              <w:right w:val="single" w:sz="4" w:space="0" w:color="auto"/>
            </w:tcBorders>
            <w:shd w:val="clear" w:color="auto" w:fill="auto"/>
            <w:noWrap/>
            <w:vAlign w:val="bottom"/>
            <w:hideMark/>
          </w:tcPr>
          <w:p w:rsidR="0055491A" w:rsidRPr="006D676B" w:rsidRDefault="0055491A" w:rsidP="00210BF6">
            <w:pPr>
              <w:jc w:val="center"/>
              <w:rPr>
                <w:color w:val="000000"/>
                <w:sz w:val="22"/>
                <w:szCs w:val="22"/>
              </w:rPr>
            </w:pPr>
            <w:r w:rsidRPr="006D676B">
              <w:rPr>
                <w:color w:val="000000"/>
                <w:sz w:val="22"/>
                <w:szCs w:val="22"/>
              </w:rPr>
              <w:t>6</w:t>
            </w:r>
          </w:p>
        </w:tc>
        <w:tc>
          <w:tcPr>
            <w:tcW w:w="1306" w:type="dxa"/>
            <w:tcBorders>
              <w:top w:val="nil"/>
              <w:left w:val="nil"/>
              <w:bottom w:val="single" w:sz="4" w:space="0" w:color="auto"/>
              <w:right w:val="single" w:sz="4" w:space="0" w:color="auto"/>
            </w:tcBorders>
            <w:shd w:val="clear" w:color="auto" w:fill="auto"/>
            <w:noWrap/>
            <w:vAlign w:val="bottom"/>
            <w:hideMark/>
          </w:tcPr>
          <w:p w:rsidR="0055491A" w:rsidRPr="006D676B" w:rsidRDefault="0055491A" w:rsidP="00210BF6">
            <w:pPr>
              <w:jc w:val="center"/>
              <w:rPr>
                <w:color w:val="000000"/>
                <w:sz w:val="22"/>
                <w:szCs w:val="22"/>
              </w:rPr>
            </w:pPr>
            <w:r w:rsidRPr="006D676B">
              <w:rPr>
                <w:color w:val="000000"/>
                <w:sz w:val="22"/>
                <w:szCs w:val="22"/>
              </w:rPr>
              <w:t>6</w:t>
            </w:r>
          </w:p>
        </w:tc>
        <w:tc>
          <w:tcPr>
            <w:tcW w:w="1307" w:type="dxa"/>
            <w:tcBorders>
              <w:top w:val="nil"/>
              <w:left w:val="nil"/>
              <w:bottom w:val="single" w:sz="4" w:space="0" w:color="auto"/>
              <w:right w:val="single" w:sz="4" w:space="0" w:color="auto"/>
            </w:tcBorders>
            <w:shd w:val="clear" w:color="auto" w:fill="auto"/>
            <w:noWrap/>
            <w:vAlign w:val="bottom"/>
            <w:hideMark/>
          </w:tcPr>
          <w:p w:rsidR="0055491A" w:rsidRPr="006D676B" w:rsidRDefault="0055491A" w:rsidP="00210BF6">
            <w:pPr>
              <w:jc w:val="center"/>
              <w:rPr>
                <w:color w:val="000000"/>
                <w:sz w:val="22"/>
                <w:szCs w:val="22"/>
              </w:rPr>
            </w:pPr>
            <w:r w:rsidRPr="006D676B">
              <w:rPr>
                <w:color w:val="000000"/>
                <w:sz w:val="22"/>
                <w:szCs w:val="22"/>
              </w:rPr>
              <w:t>4,5</w:t>
            </w:r>
          </w:p>
        </w:tc>
      </w:tr>
      <w:tr w:rsidR="0055491A" w:rsidRPr="006D676B" w:rsidTr="00210BF6">
        <w:trPr>
          <w:gridAfter w:val="1"/>
          <w:wAfter w:w="19" w:type="dxa"/>
          <w:trHeight w:val="309"/>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55491A" w:rsidRPr="006D676B" w:rsidRDefault="0055491A" w:rsidP="00210BF6">
            <w:pPr>
              <w:jc w:val="center"/>
              <w:rPr>
                <w:color w:val="000000"/>
                <w:sz w:val="22"/>
                <w:szCs w:val="22"/>
              </w:rPr>
            </w:pPr>
            <w:r w:rsidRPr="006D676B">
              <w:rPr>
                <w:color w:val="000000"/>
                <w:sz w:val="22"/>
                <w:szCs w:val="22"/>
              </w:rPr>
              <w:t>2</w:t>
            </w:r>
          </w:p>
        </w:tc>
        <w:tc>
          <w:tcPr>
            <w:tcW w:w="1306" w:type="dxa"/>
            <w:tcBorders>
              <w:top w:val="nil"/>
              <w:left w:val="nil"/>
              <w:bottom w:val="single" w:sz="4" w:space="0" w:color="auto"/>
              <w:right w:val="single" w:sz="4" w:space="0" w:color="auto"/>
            </w:tcBorders>
            <w:shd w:val="clear" w:color="auto" w:fill="auto"/>
            <w:noWrap/>
            <w:vAlign w:val="bottom"/>
            <w:hideMark/>
          </w:tcPr>
          <w:p w:rsidR="0055491A" w:rsidRPr="006D676B" w:rsidRDefault="0055491A" w:rsidP="00210BF6">
            <w:pPr>
              <w:jc w:val="center"/>
              <w:rPr>
                <w:color w:val="000000"/>
                <w:sz w:val="22"/>
                <w:szCs w:val="22"/>
              </w:rPr>
            </w:pPr>
            <w:r w:rsidRPr="006D676B">
              <w:rPr>
                <w:color w:val="000000"/>
                <w:sz w:val="22"/>
                <w:szCs w:val="22"/>
              </w:rPr>
              <w:t>13</w:t>
            </w:r>
          </w:p>
        </w:tc>
        <w:tc>
          <w:tcPr>
            <w:tcW w:w="1306" w:type="dxa"/>
            <w:tcBorders>
              <w:top w:val="nil"/>
              <w:left w:val="nil"/>
              <w:bottom w:val="single" w:sz="4" w:space="0" w:color="auto"/>
              <w:right w:val="single" w:sz="4" w:space="0" w:color="auto"/>
            </w:tcBorders>
            <w:shd w:val="clear" w:color="auto" w:fill="auto"/>
            <w:noWrap/>
            <w:vAlign w:val="bottom"/>
            <w:hideMark/>
          </w:tcPr>
          <w:p w:rsidR="0055491A" w:rsidRPr="006D676B" w:rsidRDefault="0055491A" w:rsidP="00210BF6">
            <w:pPr>
              <w:jc w:val="center"/>
              <w:rPr>
                <w:color w:val="000000"/>
                <w:sz w:val="22"/>
                <w:szCs w:val="22"/>
              </w:rPr>
            </w:pPr>
            <w:r w:rsidRPr="006D676B">
              <w:rPr>
                <w:color w:val="000000"/>
                <w:sz w:val="22"/>
                <w:szCs w:val="22"/>
              </w:rPr>
              <w:t>18</w:t>
            </w:r>
          </w:p>
        </w:tc>
        <w:tc>
          <w:tcPr>
            <w:tcW w:w="1307" w:type="dxa"/>
            <w:tcBorders>
              <w:top w:val="nil"/>
              <w:left w:val="nil"/>
              <w:bottom w:val="single" w:sz="4" w:space="0" w:color="auto"/>
              <w:right w:val="single" w:sz="4" w:space="0" w:color="auto"/>
            </w:tcBorders>
            <w:shd w:val="clear" w:color="auto" w:fill="auto"/>
            <w:noWrap/>
            <w:vAlign w:val="bottom"/>
            <w:hideMark/>
          </w:tcPr>
          <w:p w:rsidR="0055491A" w:rsidRPr="006D676B" w:rsidRDefault="0055491A" w:rsidP="00210BF6">
            <w:pPr>
              <w:jc w:val="center"/>
              <w:rPr>
                <w:color w:val="000000"/>
                <w:sz w:val="22"/>
                <w:szCs w:val="22"/>
              </w:rPr>
            </w:pPr>
            <w:r w:rsidRPr="006D676B">
              <w:rPr>
                <w:color w:val="000000"/>
                <w:sz w:val="22"/>
                <w:szCs w:val="22"/>
              </w:rPr>
              <w:t>18</w:t>
            </w:r>
          </w:p>
        </w:tc>
        <w:tc>
          <w:tcPr>
            <w:tcW w:w="1306" w:type="dxa"/>
            <w:gridSpan w:val="2"/>
            <w:tcBorders>
              <w:top w:val="nil"/>
              <w:left w:val="nil"/>
              <w:bottom w:val="single" w:sz="4" w:space="0" w:color="auto"/>
              <w:right w:val="single" w:sz="4" w:space="0" w:color="auto"/>
            </w:tcBorders>
            <w:shd w:val="clear" w:color="auto" w:fill="auto"/>
            <w:noWrap/>
            <w:vAlign w:val="bottom"/>
            <w:hideMark/>
          </w:tcPr>
          <w:p w:rsidR="0055491A" w:rsidRPr="006D676B" w:rsidRDefault="0055491A" w:rsidP="00210BF6">
            <w:pPr>
              <w:jc w:val="center"/>
              <w:rPr>
                <w:color w:val="000000"/>
                <w:sz w:val="22"/>
                <w:szCs w:val="22"/>
              </w:rPr>
            </w:pPr>
            <w:r w:rsidRPr="006D676B">
              <w:rPr>
                <w:color w:val="000000"/>
                <w:sz w:val="22"/>
                <w:szCs w:val="22"/>
              </w:rPr>
              <w:t>26</w:t>
            </w:r>
          </w:p>
        </w:tc>
        <w:tc>
          <w:tcPr>
            <w:tcW w:w="1306" w:type="dxa"/>
            <w:tcBorders>
              <w:top w:val="nil"/>
              <w:left w:val="nil"/>
              <w:bottom w:val="single" w:sz="4" w:space="0" w:color="auto"/>
              <w:right w:val="single" w:sz="4" w:space="0" w:color="auto"/>
            </w:tcBorders>
            <w:shd w:val="clear" w:color="auto" w:fill="auto"/>
            <w:noWrap/>
            <w:vAlign w:val="bottom"/>
            <w:hideMark/>
          </w:tcPr>
          <w:p w:rsidR="0055491A" w:rsidRPr="006D676B" w:rsidRDefault="0055491A" w:rsidP="00210BF6">
            <w:pPr>
              <w:jc w:val="center"/>
              <w:rPr>
                <w:color w:val="000000"/>
                <w:sz w:val="22"/>
                <w:szCs w:val="22"/>
              </w:rPr>
            </w:pPr>
            <w:r w:rsidRPr="006D676B">
              <w:rPr>
                <w:color w:val="000000"/>
                <w:sz w:val="22"/>
                <w:szCs w:val="22"/>
              </w:rPr>
              <w:t>36</w:t>
            </w:r>
          </w:p>
        </w:tc>
        <w:tc>
          <w:tcPr>
            <w:tcW w:w="1307" w:type="dxa"/>
            <w:tcBorders>
              <w:top w:val="nil"/>
              <w:left w:val="nil"/>
              <w:bottom w:val="single" w:sz="4" w:space="0" w:color="auto"/>
              <w:right w:val="single" w:sz="4" w:space="0" w:color="auto"/>
            </w:tcBorders>
            <w:shd w:val="clear" w:color="auto" w:fill="auto"/>
            <w:noWrap/>
            <w:vAlign w:val="bottom"/>
            <w:hideMark/>
          </w:tcPr>
          <w:p w:rsidR="0055491A" w:rsidRPr="006D676B" w:rsidRDefault="0055491A" w:rsidP="00210BF6">
            <w:pPr>
              <w:jc w:val="center"/>
              <w:rPr>
                <w:color w:val="000000"/>
                <w:sz w:val="22"/>
                <w:szCs w:val="22"/>
              </w:rPr>
            </w:pPr>
            <w:r w:rsidRPr="006D676B">
              <w:rPr>
                <w:color w:val="000000"/>
                <w:sz w:val="22"/>
                <w:szCs w:val="22"/>
              </w:rPr>
              <w:t>36</w:t>
            </w:r>
          </w:p>
        </w:tc>
      </w:tr>
      <w:tr w:rsidR="0055491A" w:rsidRPr="006D676B" w:rsidTr="00210BF6">
        <w:trPr>
          <w:gridAfter w:val="1"/>
          <w:wAfter w:w="19" w:type="dxa"/>
          <w:trHeight w:val="309"/>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55491A" w:rsidRPr="006D676B" w:rsidRDefault="0055491A" w:rsidP="00210BF6">
            <w:pPr>
              <w:jc w:val="center"/>
              <w:rPr>
                <w:color w:val="000000"/>
                <w:sz w:val="22"/>
                <w:szCs w:val="22"/>
              </w:rPr>
            </w:pPr>
            <w:r w:rsidRPr="006D676B">
              <w:rPr>
                <w:color w:val="000000"/>
                <w:sz w:val="22"/>
                <w:szCs w:val="22"/>
              </w:rPr>
              <w:t>2,5</w:t>
            </w:r>
          </w:p>
        </w:tc>
        <w:tc>
          <w:tcPr>
            <w:tcW w:w="1306" w:type="dxa"/>
            <w:tcBorders>
              <w:top w:val="nil"/>
              <w:left w:val="nil"/>
              <w:bottom w:val="single" w:sz="4" w:space="0" w:color="auto"/>
              <w:right w:val="single" w:sz="4" w:space="0" w:color="auto"/>
            </w:tcBorders>
            <w:shd w:val="clear" w:color="auto" w:fill="auto"/>
            <w:noWrap/>
            <w:vAlign w:val="bottom"/>
            <w:hideMark/>
          </w:tcPr>
          <w:p w:rsidR="0055491A" w:rsidRPr="006D676B" w:rsidRDefault="0055491A" w:rsidP="00210BF6">
            <w:pPr>
              <w:jc w:val="center"/>
              <w:rPr>
                <w:color w:val="000000"/>
                <w:sz w:val="22"/>
                <w:szCs w:val="22"/>
              </w:rPr>
            </w:pPr>
            <w:r w:rsidRPr="006D676B">
              <w:rPr>
                <w:color w:val="000000"/>
                <w:sz w:val="22"/>
                <w:szCs w:val="22"/>
              </w:rPr>
              <w:t>1</w:t>
            </w:r>
          </w:p>
        </w:tc>
        <w:tc>
          <w:tcPr>
            <w:tcW w:w="1306" w:type="dxa"/>
            <w:tcBorders>
              <w:top w:val="nil"/>
              <w:left w:val="nil"/>
              <w:bottom w:val="single" w:sz="4" w:space="0" w:color="auto"/>
              <w:right w:val="single" w:sz="4" w:space="0" w:color="auto"/>
            </w:tcBorders>
            <w:shd w:val="clear" w:color="auto" w:fill="auto"/>
            <w:noWrap/>
            <w:vAlign w:val="bottom"/>
            <w:hideMark/>
          </w:tcPr>
          <w:p w:rsidR="0055491A" w:rsidRPr="006D676B" w:rsidRDefault="0055491A" w:rsidP="00210BF6">
            <w:pPr>
              <w:jc w:val="center"/>
              <w:rPr>
                <w:color w:val="000000"/>
                <w:sz w:val="22"/>
                <w:szCs w:val="22"/>
              </w:rPr>
            </w:pPr>
            <w:r w:rsidRPr="006D676B">
              <w:rPr>
                <w:color w:val="000000"/>
                <w:sz w:val="22"/>
                <w:szCs w:val="22"/>
              </w:rPr>
              <w:t>13</w:t>
            </w:r>
          </w:p>
        </w:tc>
        <w:tc>
          <w:tcPr>
            <w:tcW w:w="1307" w:type="dxa"/>
            <w:tcBorders>
              <w:top w:val="nil"/>
              <w:left w:val="nil"/>
              <w:bottom w:val="single" w:sz="4" w:space="0" w:color="auto"/>
              <w:right w:val="single" w:sz="4" w:space="0" w:color="auto"/>
            </w:tcBorders>
            <w:shd w:val="clear" w:color="auto" w:fill="auto"/>
            <w:noWrap/>
            <w:vAlign w:val="bottom"/>
            <w:hideMark/>
          </w:tcPr>
          <w:p w:rsidR="0055491A" w:rsidRPr="006D676B" w:rsidRDefault="0055491A" w:rsidP="00210BF6">
            <w:pPr>
              <w:jc w:val="center"/>
              <w:rPr>
                <w:color w:val="000000"/>
                <w:sz w:val="22"/>
                <w:szCs w:val="22"/>
              </w:rPr>
            </w:pPr>
            <w:r w:rsidRPr="006D676B">
              <w:rPr>
                <w:color w:val="000000"/>
                <w:sz w:val="22"/>
                <w:szCs w:val="22"/>
              </w:rPr>
              <w:t>6</w:t>
            </w:r>
          </w:p>
        </w:tc>
        <w:tc>
          <w:tcPr>
            <w:tcW w:w="1306" w:type="dxa"/>
            <w:gridSpan w:val="2"/>
            <w:tcBorders>
              <w:top w:val="nil"/>
              <w:left w:val="nil"/>
              <w:bottom w:val="single" w:sz="4" w:space="0" w:color="auto"/>
              <w:right w:val="single" w:sz="4" w:space="0" w:color="auto"/>
            </w:tcBorders>
            <w:shd w:val="clear" w:color="auto" w:fill="auto"/>
            <w:noWrap/>
            <w:vAlign w:val="bottom"/>
            <w:hideMark/>
          </w:tcPr>
          <w:p w:rsidR="0055491A" w:rsidRPr="006D676B" w:rsidRDefault="0055491A" w:rsidP="00210BF6">
            <w:pPr>
              <w:jc w:val="center"/>
              <w:rPr>
                <w:color w:val="000000"/>
                <w:sz w:val="22"/>
                <w:szCs w:val="22"/>
              </w:rPr>
            </w:pPr>
            <w:r w:rsidRPr="006D676B">
              <w:rPr>
                <w:color w:val="000000"/>
                <w:sz w:val="22"/>
                <w:szCs w:val="22"/>
              </w:rPr>
              <w:t>2,5</w:t>
            </w:r>
          </w:p>
        </w:tc>
        <w:tc>
          <w:tcPr>
            <w:tcW w:w="1306" w:type="dxa"/>
            <w:tcBorders>
              <w:top w:val="nil"/>
              <w:left w:val="nil"/>
              <w:bottom w:val="single" w:sz="4" w:space="0" w:color="auto"/>
              <w:right w:val="single" w:sz="4" w:space="0" w:color="auto"/>
            </w:tcBorders>
            <w:shd w:val="clear" w:color="auto" w:fill="auto"/>
            <w:noWrap/>
            <w:vAlign w:val="bottom"/>
            <w:hideMark/>
          </w:tcPr>
          <w:p w:rsidR="0055491A" w:rsidRPr="006D676B" w:rsidRDefault="0055491A" w:rsidP="00210BF6">
            <w:pPr>
              <w:jc w:val="center"/>
              <w:rPr>
                <w:color w:val="000000"/>
                <w:sz w:val="22"/>
                <w:szCs w:val="22"/>
              </w:rPr>
            </w:pPr>
            <w:r w:rsidRPr="006D676B">
              <w:rPr>
                <w:color w:val="000000"/>
                <w:sz w:val="22"/>
                <w:szCs w:val="22"/>
              </w:rPr>
              <w:t>32,5</w:t>
            </w:r>
          </w:p>
        </w:tc>
        <w:tc>
          <w:tcPr>
            <w:tcW w:w="1307" w:type="dxa"/>
            <w:tcBorders>
              <w:top w:val="nil"/>
              <w:left w:val="nil"/>
              <w:bottom w:val="single" w:sz="4" w:space="0" w:color="auto"/>
              <w:right w:val="single" w:sz="4" w:space="0" w:color="auto"/>
            </w:tcBorders>
            <w:shd w:val="clear" w:color="auto" w:fill="auto"/>
            <w:noWrap/>
            <w:vAlign w:val="bottom"/>
            <w:hideMark/>
          </w:tcPr>
          <w:p w:rsidR="0055491A" w:rsidRPr="006D676B" w:rsidRDefault="0055491A" w:rsidP="00210BF6">
            <w:pPr>
              <w:jc w:val="center"/>
              <w:rPr>
                <w:color w:val="000000"/>
                <w:sz w:val="22"/>
                <w:szCs w:val="22"/>
              </w:rPr>
            </w:pPr>
            <w:r w:rsidRPr="006D676B">
              <w:rPr>
                <w:color w:val="000000"/>
                <w:sz w:val="22"/>
                <w:szCs w:val="22"/>
              </w:rPr>
              <w:t>15</w:t>
            </w:r>
          </w:p>
        </w:tc>
      </w:tr>
      <w:tr w:rsidR="0055491A" w:rsidRPr="006D676B" w:rsidTr="00210BF6">
        <w:trPr>
          <w:gridAfter w:val="1"/>
          <w:wAfter w:w="19" w:type="dxa"/>
          <w:trHeight w:val="309"/>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55491A" w:rsidRPr="006D676B" w:rsidRDefault="0055491A" w:rsidP="00210BF6">
            <w:pPr>
              <w:jc w:val="center"/>
              <w:rPr>
                <w:color w:val="000000"/>
                <w:sz w:val="22"/>
                <w:szCs w:val="22"/>
              </w:rPr>
            </w:pPr>
            <w:r w:rsidRPr="006D676B">
              <w:rPr>
                <w:color w:val="000000"/>
                <w:sz w:val="22"/>
                <w:szCs w:val="22"/>
              </w:rPr>
              <w:t>3</w:t>
            </w:r>
          </w:p>
        </w:tc>
        <w:tc>
          <w:tcPr>
            <w:tcW w:w="1306" w:type="dxa"/>
            <w:tcBorders>
              <w:top w:val="nil"/>
              <w:left w:val="nil"/>
              <w:bottom w:val="single" w:sz="4" w:space="0" w:color="auto"/>
              <w:right w:val="single" w:sz="4" w:space="0" w:color="auto"/>
            </w:tcBorders>
            <w:shd w:val="clear" w:color="auto" w:fill="auto"/>
            <w:noWrap/>
            <w:vAlign w:val="bottom"/>
            <w:hideMark/>
          </w:tcPr>
          <w:p w:rsidR="0055491A" w:rsidRPr="006D676B" w:rsidRDefault="0055491A" w:rsidP="00210BF6">
            <w:pPr>
              <w:jc w:val="center"/>
              <w:rPr>
                <w:color w:val="000000"/>
                <w:sz w:val="22"/>
                <w:szCs w:val="22"/>
              </w:rPr>
            </w:pPr>
            <w:r w:rsidRPr="006D676B">
              <w:rPr>
                <w:color w:val="000000"/>
                <w:sz w:val="22"/>
                <w:szCs w:val="22"/>
              </w:rPr>
              <w:t>6</w:t>
            </w:r>
          </w:p>
        </w:tc>
        <w:tc>
          <w:tcPr>
            <w:tcW w:w="1306" w:type="dxa"/>
            <w:tcBorders>
              <w:top w:val="nil"/>
              <w:left w:val="nil"/>
              <w:bottom w:val="single" w:sz="4" w:space="0" w:color="auto"/>
              <w:right w:val="single" w:sz="4" w:space="0" w:color="auto"/>
            </w:tcBorders>
            <w:shd w:val="clear" w:color="auto" w:fill="auto"/>
            <w:noWrap/>
            <w:vAlign w:val="bottom"/>
            <w:hideMark/>
          </w:tcPr>
          <w:p w:rsidR="0055491A" w:rsidRPr="006D676B" w:rsidRDefault="0055491A" w:rsidP="00210BF6">
            <w:pPr>
              <w:jc w:val="center"/>
              <w:rPr>
                <w:color w:val="000000"/>
                <w:sz w:val="22"/>
                <w:szCs w:val="22"/>
              </w:rPr>
            </w:pPr>
            <w:r w:rsidRPr="006D676B">
              <w:rPr>
                <w:color w:val="000000"/>
                <w:sz w:val="22"/>
                <w:szCs w:val="22"/>
              </w:rPr>
              <w:t>11</w:t>
            </w:r>
          </w:p>
        </w:tc>
        <w:tc>
          <w:tcPr>
            <w:tcW w:w="1307" w:type="dxa"/>
            <w:tcBorders>
              <w:top w:val="nil"/>
              <w:left w:val="nil"/>
              <w:bottom w:val="single" w:sz="4" w:space="0" w:color="auto"/>
              <w:right w:val="single" w:sz="4" w:space="0" w:color="auto"/>
            </w:tcBorders>
            <w:shd w:val="clear" w:color="auto" w:fill="auto"/>
            <w:noWrap/>
            <w:vAlign w:val="bottom"/>
            <w:hideMark/>
          </w:tcPr>
          <w:p w:rsidR="0055491A" w:rsidRPr="006D676B" w:rsidRDefault="0055491A" w:rsidP="00210BF6">
            <w:pPr>
              <w:jc w:val="center"/>
              <w:rPr>
                <w:color w:val="000000"/>
                <w:sz w:val="22"/>
                <w:szCs w:val="22"/>
              </w:rPr>
            </w:pPr>
            <w:r w:rsidRPr="006D676B">
              <w:rPr>
                <w:color w:val="000000"/>
                <w:sz w:val="22"/>
                <w:szCs w:val="22"/>
              </w:rPr>
              <w:t>9</w:t>
            </w:r>
          </w:p>
        </w:tc>
        <w:tc>
          <w:tcPr>
            <w:tcW w:w="1306" w:type="dxa"/>
            <w:gridSpan w:val="2"/>
            <w:tcBorders>
              <w:top w:val="nil"/>
              <w:left w:val="nil"/>
              <w:bottom w:val="single" w:sz="4" w:space="0" w:color="auto"/>
              <w:right w:val="single" w:sz="4" w:space="0" w:color="auto"/>
            </w:tcBorders>
            <w:shd w:val="clear" w:color="auto" w:fill="auto"/>
            <w:noWrap/>
            <w:vAlign w:val="bottom"/>
            <w:hideMark/>
          </w:tcPr>
          <w:p w:rsidR="0055491A" w:rsidRPr="006D676B" w:rsidRDefault="0055491A" w:rsidP="00210BF6">
            <w:pPr>
              <w:jc w:val="center"/>
              <w:rPr>
                <w:color w:val="000000"/>
                <w:sz w:val="22"/>
                <w:szCs w:val="22"/>
              </w:rPr>
            </w:pPr>
            <w:r w:rsidRPr="006D676B">
              <w:rPr>
                <w:color w:val="000000"/>
                <w:sz w:val="22"/>
                <w:szCs w:val="22"/>
              </w:rPr>
              <w:t>18</w:t>
            </w:r>
          </w:p>
        </w:tc>
        <w:tc>
          <w:tcPr>
            <w:tcW w:w="1306" w:type="dxa"/>
            <w:tcBorders>
              <w:top w:val="nil"/>
              <w:left w:val="nil"/>
              <w:bottom w:val="single" w:sz="4" w:space="0" w:color="auto"/>
              <w:right w:val="single" w:sz="4" w:space="0" w:color="auto"/>
            </w:tcBorders>
            <w:shd w:val="clear" w:color="auto" w:fill="auto"/>
            <w:noWrap/>
            <w:vAlign w:val="bottom"/>
            <w:hideMark/>
          </w:tcPr>
          <w:p w:rsidR="0055491A" w:rsidRPr="006D676B" w:rsidRDefault="0055491A" w:rsidP="00210BF6">
            <w:pPr>
              <w:jc w:val="center"/>
              <w:rPr>
                <w:color w:val="000000"/>
                <w:sz w:val="22"/>
                <w:szCs w:val="22"/>
              </w:rPr>
            </w:pPr>
            <w:r w:rsidRPr="006D676B">
              <w:rPr>
                <w:color w:val="000000"/>
                <w:sz w:val="22"/>
                <w:szCs w:val="22"/>
              </w:rPr>
              <w:t>33</w:t>
            </w:r>
          </w:p>
        </w:tc>
        <w:tc>
          <w:tcPr>
            <w:tcW w:w="1307" w:type="dxa"/>
            <w:tcBorders>
              <w:top w:val="nil"/>
              <w:left w:val="nil"/>
              <w:bottom w:val="single" w:sz="4" w:space="0" w:color="auto"/>
              <w:right w:val="single" w:sz="4" w:space="0" w:color="auto"/>
            </w:tcBorders>
            <w:shd w:val="clear" w:color="auto" w:fill="auto"/>
            <w:noWrap/>
            <w:vAlign w:val="bottom"/>
            <w:hideMark/>
          </w:tcPr>
          <w:p w:rsidR="0055491A" w:rsidRPr="006D676B" w:rsidRDefault="0055491A" w:rsidP="00210BF6">
            <w:pPr>
              <w:jc w:val="center"/>
              <w:rPr>
                <w:color w:val="000000"/>
                <w:sz w:val="22"/>
                <w:szCs w:val="22"/>
              </w:rPr>
            </w:pPr>
            <w:r w:rsidRPr="006D676B">
              <w:rPr>
                <w:color w:val="000000"/>
                <w:sz w:val="22"/>
                <w:szCs w:val="22"/>
              </w:rPr>
              <w:t>27</w:t>
            </w:r>
          </w:p>
        </w:tc>
      </w:tr>
      <w:tr w:rsidR="0055491A" w:rsidRPr="006D676B" w:rsidTr="00210BF6">
        <w:trPr>
          <w:gridAfter w:val="1"/>
          <w:wAfter w:w="19" w:type="dxa"/>
          <w:trHeight w:val="309"/>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55491A" w:rsidRPr="006D676B" w:rsidRDefault="0055491A" w:rsidP="00210BF6">
            <w:pPr>
              <w:jc w:val="center"/>
              <w:rPr>
                <w:color w:val="000000"/>
                <w:sz w:val="22"/>
                <w:szCs w:val="22"/>
              </w:rPr>
            </w:pPr>
            <w:r w:rsidRPr="006D676B">
              <w:rPr>
                <w:color w:val="000000"/>
                <w:sz w:val="22"/>
                <w:szCs w:val="22"/>
              </w:rPr>
              <w:t>4</w:t>
            </w:r>
          </w:p>
        </w:tc>
        <w:tc>
          <w:tcPr>
            <w:tcW w:w="1306" w:type="dxa"/>
            <w:tcBorders>
              <w:top w:val="nil"/>
              <w:left w:val="nil"/>
              <w:bottom w:val="single" w:sz="4" w:space="0" w:color="auto"/>
              <w:right w:val="single" w:sz="4" w:space="0" w:color="auto"/>
            </w:tcBorders>
            <w:shd w:val="clear" w:color="auto" w:fill="auto"/>
            <w:noWrap/>
            <w:vAlign w:val="bottom"/>
            <w:hideMark/>
          </w:tcPr>
          <w:p w:rsidR="0055491A" w:rsidRPr="006D676B" w:rsidRDefault="0055491A" w:rsidP="00210BF6">
            <w:pPr>
              <w:jc w:val="center"/>
              <w:rPr>
                <w:color w:val="000000"/>
                <w:sz w:val="22"/>
                <w:szCs w:val="22"/>
              </w:rPr>
            </w:pPr>
            <w:r w:rsidRPr="006D676B">
              <w:rPr>
                <w:color w:val="000000"/>
                <w:sz w:val="22"/>
                <w:szCs w:val="22"/>
              </w:rPr>
              <w:t>17</w:t>
            </w:r>
          </w:p>
        </w:tc>
        <w:tc>
          <w:tcPr>
            <w:tcW w:w="1306" w:type="dxa"/>
            <w:tcBorders>
              <w:top w:val="nil"/>
              <w:left w:val="nil"/>
              <w:bottom w:val="single" w:sz="4" w:space="0" w:color="auto"/>
              <w:right w:val="single" w:sz="4" w:space="0" w:color="auto"/>
            </w:tcBorders>
            <w:shd w:val="clear" w:color="auto" w:fill="auto"/>
            <w:noWrap/>
            <w:vAlign w:val="bottom"/>
            <w:hideMark/>
          </w:tcPr>
          <w:p w:rsidR="0055491A" w:rsidRPr="006D676B" w:rsidRDefault="0055491A" w:rsidP="00210BF6">
            <w:pPr>
              <w:jc w:val="center"/>
              <w:rPr>
                <w:color w:val="000000"/>
                <w:sz w:val="22"/>
                <w:szCs w:val="22"/>
              </w:rPr>
            </w:pPr>
            <w:r w:rsidRPr="006D676B">
              <w:rPr>
                <w:color w:val="000000"/>
                <w:sz w:val="22"/>
                <w:szCs w:val="22"/>
              </w:rPr>
              <w:t>30</w:t>
            </w:r>
          </w:p>
        </w:tc>
        <w:tc>
          <w:tcPr>
            <w:tcW w:w="1307" w:type="dxa"/>
            <w:tcBorders>
              <w:top w:val="nil"/>
              <w:left w:val="nil"/>
              <w:bottom w:val="single" w:sz="4" w:space="0" w:color="auto"/>
              <w:right w:val="single" w:sz="4" w:space="0" w:color="auto"/>
            </w:tcBorders>
            <w:shd w:val="clear" w:color="auto" w:fill="auto"/>
            <w:noWrap/>
            <w:vAlign w:val="bottom"/>
            <w:hideMark/>
          </w:tcPr>
          <w:p w:rsidR="0055491A" w:rsidRPr="006D676B" w:rsidRDefault="0055491A" w:rsidP="00210BF6">
            <w:pPr>
              <w:jc w:val="center"/>
              <w:rPr>
                <w:color w:val="000000"/>
                <w:sz w:val="22"/>
                <w:szCs w:val="22"/>
              </w:rPr>
            </w:pPr>
            <w:r w:rsidRPr="006D676B">
              <w:rPr>
                <w:color w:val="000000"/>
                <w:sz w:val="22"/>
                <w:szCs w:val="22"/>
              </w:rPr>
              <w:t>29</w:t>
            </w:r>
          </w:p>
        </w:tc>
        <w:tc>
          <w:tcPr>
            <w:tcW w:w="1306" w:type="dxa"/>
            <w:gridSpan w:val="2"/>
            <w:tcBorders>
              <w:top w:val="nil"/>
              <w:left w:val="nil"/>
              <w:bottom w:val="single" w:sz="4" w:space="0" w:color="auto"/>
              <w:right w:val="single" w:sz="4" w:space="0" w:color="auto"/>
            </w:tcBorders>
            <w:shd w:val="clear" w:color="auto" w:fill="auto"/>
            <w:noWrap/>
            <w:vAlign w:val="bottom"/>
            <w:hideMark/>
          </w:tcPr>
          <w:p w:rsidR="0055491A" w:rsidRPr="006D676B" w:rsidRDefault="0055491A" w:rsidP="00210BF6">
            <w:pPr>
              <w:jc w:val="center"/>
              <w:rPr>
                <w:color w:val="000000"/>
                <w:sz w:val="22"/>
                <w:szCs w:val="22"/>
              </w:rPr>
            </w:pPr>
            <w:r w:rsidRPr="006D676B">
              <w:rPr>
                <w:color w:val="000000"/>
                <w:sz w:val="22"/>
                <w:szCs w:val="22"/>
              </w:rPr>
              <w:t>68</w:t>
            </w:r>
          </w:p>
        </w:tc>
        <w:tc>
          <w:tcPr>
            <w:tcW w:w="1306" w:type="dxa"/>
            <w:tcBorders>
              <w:top w:val="nil"/>
              <w:left w:val="nil"/>
              <w:bottom w:val="single" w:sz="4" w:space="0" w:color="auto"/>
              <w:right w:val="single" w:sz="4" w:space="0" w:color="auto"/>
            </w:tcBorders>
            <w:shd w:val="clear" w:color="auto" w:fill="auto"/>
            <w:noWrap/>
            <w:vAlign w:val="bottom"/>
            <w:hideMark/>
          </w:tcPr>
          <w:p w:rsidR="0055491A" w:rsidRPr="006D676B" w:rsidRDefault="0055491A" w:rsidP="00210BF6">
            <w:pPr>
              <w:jc w:val="center"/>
              <w:rPr>
                <w:color w:val="000000"/>
                <w:sz w:val="22"/>
                <w:szCs w:val="22"/>
              </w:rPr>
            </w:pPr>
            <w:r w:rsidRPr="006D676B">
              <w:rPr>
                <w:color w:val="000000"/>
                <w:sz w:val="22"/>
                <w:szCs w:val="22"/>
              </w:rPr>
              <w:t>120</w:t>
            </w:r>
          </w:p>
        </w:tc>
        <w:tc>
          <w:tcPr>
            <w:tcW w:w="1307" w:type="dxa"/>
            <w:tcBorders>
              <w:top w:val="nil"/>
              <w:left w:val="nil"/>
              <w:bottom w:val="single" w:sz="4" w:space="0" w:color="auto"/>
              <w:right w:val="single" w:sz="4" w:space="0" w:color="auto"/>
            </w:tcBorders>
            <w:shd w:val="clear" w:color="auto" w:fill="auto"/>
            <w:noWrap/>
            <w:vAlign w:val="bottom"/>
            <w:hideMark/>
          </w:tcPr>
          <w:p w:rsidR="0055491A" w:rsidRPr="006D676B" w:rsidRDefault="0055491A" w:rsidP="00210BF6">
            <w:pPr>
              <w:jc w:val="center"/>
              <w:rPr>
                <w:color w:val="000000"/>
                <w:sz w:val="22"/>
                <w:szCs w:val="22"/>
              </w:rPr>
            </w:pPr>
            <w:r w:rsidRPr="006D676B">
              <w:rPr>
                <w:color w:val="000000"/>
                <w:sz w:val="22"/>
                <w:szCs w:val="22"/>
              </w:rPr>
              <w:t>116</w:t>
            </w:r>
          </w:p>
        </w:tc>
      </w:tr>
      <w:tr w:rsidR="0055491A" w:rsidRPr="006D676B" w:rsidTr="00210BF6">
        <w:trPr>
          <w:gridAfter w:val="1"/>
          <w:wAfter w:w="19" w:type="dxa"/>
          <w:trHeight w:val="309"/>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55491A" w:rsidRPr="006D676B" w:rsidRDefault="0055491A" w:rsidP="00210BF6">
            <w:pPr>
              <w:jc w:val="center"/>
              <w:rPr>
                <w:color w:val="000000"/>
                <w:sz w:val="22"/>
                <w:szCs w:val="22"/>
              </w:rPr>
            </w:pPr>
            <w:r w:rsidRPr="006D676B">
              <w:rPr>
                <w:color w:val="000000"/>
                <w:sz w:val="22"/>
                <w:szCs w:val="22"/>
              </w:rPr>
              <w:t>5</w:t>
            </w:r>
          </w:p>
        </w:tc>
        <w:tc>
          <w:tcPr>
            <w:tcW w:w="1306" w:type="dxa"/>
            <w:tcBorders>
              <w:top w:val="nil"/>
              <w:left w:val="nil"/>
              <w:bottom w:val="single" w:sz="4" w:space="0" w:color="auto"/>
              <w:right w:val="single" w:sz="4" w:space="0" w:color="auto"/>
            </w:tcBorders>
            <w:shd w:val="clear" w:color="auto" w:fill="auto"/>
            <w:noWrap/>
            <w:vAlign w:val="bottom"/>
            <w:hideMark/>
          </w:tcPr>
          <w:p w:rsidR="0055491A" w:rsidRPr="006D676B" w:rsidRDefault="0055491A" w:rsidP="00210BF6">
            <w:pPr>
              <w:jc w:val="center"/>
              <w:rPr>
                <w:color w:val="000000"/>
                <w:sz w:val="22"/>
                <w:szCs w:val="22"/>
              </w:rPr>
            </w:pPr>
            <w:r w:rsidRPr="006D676B">
              <w:rPr>
                <w:color w:val="000000"/>
                <w:sz w:val="22"/>
                <w:szCs w:val="22"/>
              </w:rPr>
              <w:t>58</w:t>
            </w:r>
          </w:p>
        </w:tc>
        <w:tc>
          <w:tcPr>
            <w:tcW w:w="1306" w:type="dxa"/>
            <w:tcBorders>
              <w:top w:val="nil"/>
              <w:left w:val="nil"/>
              <w:bottom w:val="single" w:sz="4" w:space="0" w:color="auto"/>
              <w:right w:val="single" w:sz="4" w:space="0" w:color="auto"/>
            </w:tcBorders>
            <w:shd w:val="clear" w:color="auto" w:fill="auto"/>
            <w:noWrap/>
            <w:vAlign w:val="bottom"/>
            <w:hideMark/>
          </w:tcPr>
          <w:p w:rsidR="0055491A" w:rsidRPr="006D676B" w:rsidRDefault="0055491A" w:rsidP="00210BF6">
            <w:pPr>
              <w:jc w:val="center"/>
              <w:rPr>
                <w:color w:val="000000"/>
                <w:sz w:val="22"/>
                <w:szCs w:val="22"/>
              </w:rPr>
            </w:pPr>
            <w:r w:rsidRPr="006D676B">
              <w:rPr>
                <w:color w:val="000000"/>
                <w:sz w:val="22"/>
                <w:szCs w:val="22"/>
              </w:rPr>
              <w:t>56</w:t>
            </w:r>
          </w:p>
        </w:tc>
        <w:tc>
          <w:tcPr>
            <w:tcW w:w="1307" w:type="dxa"/>
            <w:tcBorders>
              <w:top w:val="nil"/>
              <w:left w:val="nil"/>
              <w:bottom w:val="single" w:sz="4" w:space="0" w:color="auto"/>
              <w:right w:val="single" w:sz="4" w:space="0" w:color="auto"/>
            </w:tcBorders>
            <w:shd w:val="clear" w:color="auto" w:fill="auto"/>
            <w:noWrap/>
            <w:vAlign w:val="bottom"/>
            <w:hideMark/>
          </w:tcPr>
          <w:p w:rsidR="0055491A" w:rsidRPr="006D676B" w:rsidRDefault="0055491A" w:rsidP="00210BF6">
            <w:pPr>
              <w:jc w:val="center"/>
              <w:rPr>
                <w:color w:val="000000"/>
                <w:sz w:val="22"/>
                <w:szCs w:val="22"/>
              </w:rPr>
            </w:pPr>
            <w:r w:rsidRPr="006D676B">
              <w:rPr>
                <w:color w:val="000000"/>
                <w:sz w:val="22"/>
                <w:szCs w:val="22"/>
              </w:rPr>
              <w:t>54</w:t>
            </w:r>
          </w:p>
        </w:tc>
        <w:tc>
          <w:tcPr>
            <w:tcW w:w="1306" w:type="dxa"/>
            <w:gridSpan w:val="2"/>
            <w:tcBorders>
              <w:top w:val="nil"/>
              <w:left w:val="nil"/>
              <w:bottom w:val="single" w:sz="4" w:space="0" w:color="auto"/>
              <w:right w:val="single" w:sz="4" w:space="0" w:color="auto"/>
            </w:tcBorders>
            <w:shd w:val="clear" w:color="auto" w:fill="auto"/>
            <w:noWrap/>
            <w:vAlign w:val="bottom"/>
            <w:hideMark/>
          </w:tcPr>
          <w:p w:rsidR="0055491A" w:rsidRPr="006D676B" w:rsidRDefault="0055491A" w:rsidP="00210BF6">
            <w:pPr>
              <w:jc w:val="center"/>
              <w:rPr>
                <w:color w:val="000000"/>
                <w:sz w:val="22"/>
                <w:szCs w:val="22"/>
              </w:rPr>
            </w:pPr>
            <w:r w:rsidRPr="006D676B">
              <w:rPr>
                <w:color w:val="000000"/>
                <w:sz w:val="22"/>
                <w:szCs w:val="22"/>
              </w:rPr>
              <w:t>290</w:t>
            </w:r>
          </w:p>
        </w:tc>
        <w:tc>
          <w:tcPr>
            <w:tcW w:w="1306" w:type="dxa"/>
            <w:tcBorders>
              <w:top w:val="nil"/>
              <w:left w:val="nil"/>
              <w:bottom w:val="single" w:sz="4" w:space="0" w:color="auto"/>
              <w:right w:val="single" w:sz="4" w:space="0" w:color="auto"/>
            </w:tcBorders>
            <w:shd w:val="clear" w:color="auto" w:fill="auto"/>
            <w:noWrap/>
            <w:vAlign w:val="bottom"/>
            <w:hideMark/>
          </w:tcPr>
          <w:p w:rsidR="0055491A" w:rsidRPr="006D676B" w:rsidRDefault="0055491A" w:rsidP="00210BF6">
            <w:pPr>
              <w:jc w:val="center"/>
              <w:rPr>
                <w:color w:val="000000"/>
                <w:sz w:val="22"/>
                <w:szCs w:val="22"/>
              </w:rPr>
            </w:pPr>
            <w:r w:rsidRPr="006D676B">
              <w:rPr>
                <w:color w:val="000000"/>
                <w:sz w:val="22"/>
                <w:szCs w:val="22"/>
              </w:rPr>
              <w:t>280</w:t>
            </w:r>
          </w:p>
        </w:tc>
        <w:tc>
          <w:tcPr>
            <w:tcW w:w="1307" w:type="dxa"/>
            <w:tcBorders>
              <w:top w:val="nil"/>
              <w:left w:val="nil"/>
              <w:bottom w:val="single" w:sz="4" w:space="0" w:color="auto"/>
              <w:right w:val="single" w:sz="4" w:space="0" w:color="auto"/>
            </w:tcBorders>
            <w:shd w:val="clear" w:color="auto" w:fill="auto"/>
            <w:noWrap/>
            <w:vAlign w:val="bottom"/>
            <w:hideMark/>
          </w:tcPr>
          <w:p w:rsidR="0055491A" w:rsidRPr="006D676B" w:rsidRDefault="0055491A" w:rsidP="00210BF6">
            <w:pPr>
              <w:jc w:val="center"/>
              <w:rPr>
                <w:color w:val="000000"/>
                <w:sz w:val="22"/>
                <w:szCs w:val="22"/>
              </w:rPr>
            </w:pPr>
            <w:r w:rsidRPr="006D676B">
              <w:rPr>
                <w:color w:val="000000"/>
                <w:sz w:val="22"/>
                <w:szCs w:val="22"/>
              </w:rPr>
              <w:t>270</w:t>
            </w:r>
          </w:p>
        </w:tc>
      </w:tr>
      <w:tr w:rsidR="0055491A" w:rsidRPr="006D676B" w:rsidTr="00210BF6">
        <w:trPr>
          <w:gridAfter w:val="1"/>
          <w:wAfter w:w="19" w:type="dxa"/>
          <w:trHeight w:val="315"/>
        </w:trPr>
        <w:tc>
          <w:tcPr>
            <w:tcW w:w="5337" w:type="dxa"/>
            <w:gridSpan w:val="4"/>
            <w:tcBorders>
              <w:top w:val="nil"/>
              <w:left w:val="single" w:sz="4" w:space="0" w:color="auto"/>
              <w:bottom w:val="single" w:sz="4" w:space="0" w:color="auto"/>
              <w:right w:val="single" w:sz="4" w:space="0" w:color="auto"/>
            </w:tcBorders>
            <w:shd w:val="clear" w:color="auto" w:fill="auto"/>
            <w:noWrap/>
            <w:vAlign w:val="center"/>
            <w:hideMark/>
          </w:tcPr>
          <w:p w:rsidR="0055491A" w:rsidRPr="006D676B" w:rsidRDefault="0055491A" w:rsidP="00210BF6">
            <w:pPr>
              <w:jc w:val="center"/>
              <w:rPr>
                <w:b/>
                <w:color w:val="000000"/>
                <w:sz w:val="22"/>
                <w:szCs w:val="22"/>
              </w:rPr>
            </w:pPr>
            <w:r>
              <w:rPr>
                <w:b/>
                <w:bCs/>
                <w:color w:val="000000"/>
                <w:sz w:val="22"/>
                <w:szCs w:val="22"/>
              </w:rPr>
              <w:t>ИТОГО</w:t>
            </w:r>
          </w:p>
        </w:tc>
        <w:tc>
          <w:tcPr>
            <w:tcW w:w="1306" w:type="dxa"/>
            <w:gridSpan w:val="2"/>
            <w:tcBorders>
              <w:top w:val="nil"/>
              <w:left w:val="nil"/>
              <w:bottom w:val="single" w:sz="4" w:space="0" w:color="auto"/>
              <w:right w:val="single" w:sz="4" w:space="0" w:color="auto"/>
            </w:tcBorders>
            <w:shd w:val="clear" w:color="auto" w:fill="auto"/>
            <w:noWrap/>
            <w:vAlign w:val="bottom"/>
            <w:hideMark/>
          </w:tcPr>
          <w:p w:rsidR="0055491A" w:rsidRPr="006D676B" w:rsidRDefault="0055491A" w:rsidP="00210BF6">
            <w:pPr>
              <w:jc w:val="center"/>
              <w:rPr>
                <w:b/>
                <w:color w:val="000000"/>
                <w:sz w:val="22"/>
                <w:szCs w:val="22"/>
              </w:rPr>
            </w:pPr>
            <w:r w:rsidRPr="006D676B">
              <w:rPr>
                <w:b/>
                <w:color w:val="000000"/>
                <w:sz w:val="22"/>
                <w:szCs w:val="22"/>
              </w:rPr>
              <w:t>731,8</w:t>
            </w:r>
          </w:p>
        </w:tc>
        <w:tc>
          <w:tcPr>
            <w:tcW w:w="1306" w:type="dxa"/>
            <w:tcBorders>
              <w:top w:val="nil"/>
              <w:left w:val="nil"/>
              <w:bottom w:val="single" w:sz="4" w:space="0" w:color="auto"/>
              <w:right w:val="single" w:sz="4" w:space="0" w:color="auto"/>
            </w:tcBorders>
            <w:shd w:val="clear" w:color="auto" w:fill="auto"/>
            <w:noWrap/>
            <w:vAlign w:val="bottom"/>
            <w:hideMark/>
          </w:tcPr>
          <w:p w:rsidR="0055491A" w:rsidRPr="006D676B" w:rsidRDefault="0055491A" w:rsidP="00210BF6">
            <w:pPr>
              <w:jc w:val="center"/>
              <w:rPr>
                <w:b/>
                <w:color w:val="000000"/>
                <w:sz w:val="22"/>
                <w:szCs w:val="22"/>
              </w:rPr>
            </w:pPr>
            <w:r w:rsidRPr="006D676B">
              <w:rPr>
                <w:b/>
                <w:color w:val="000000"/>
                <w:sz w:val="22"/>
                <w:szCs w:val="22"/>
              </w:rPr>
              <w:t>823,8</w:t>
            </w:r>
          </w:p>
        </w:tc>
        <w:tc>
          <w:tcPr>
            <w:tcW w:w="1307" w:type="dxa"/>
            <w:tcBorders>
              <w:top w:val="nil"/>
              <w:left w:val="nil"/>
              <w:bottom w:val="single" w:sz="4" w:space="0" w:color="auto"/>
              <w:right w:val="single" w:sz="4" w:space="0" w:color="auto"/>
            </w:tcBorders>
            <w:shd w:val="clear" w:color="auto" w:fill="auto"/>
            <w:noWrap/>
            <w:vAlign w:val="bottom"/>
            <w:hideMark/>
          </w:tcPr>
          <w:p w:rsidR="0055491A" w:rsidRPr="006D676B" w:rsidRDefault="0055491A" w:rsidP="00210BF6">
            <w:pPr>
              <w:jc w:val="center"/>
              <w:rPr>
                <w:b/>
                <w:color w:val="000000"/>
                <w:sz w:val="22"/>
                <w:szCs w:val="22"/>
              </w:rPr>
            </w:pPr>
            <w:r w:rsidRPr="006D676B">
              <w:rPr>
                <w:b/>
                <w:color w:val="000000"/>
                <w:sz w:val="22"/>
                <w:szCs w:val="22"/>
              </w:rPr>
              <w:t>791,4</w:t>
            </w:r>
          </w:p>
        </w:tc>
      </w:tr>
    </w:tbl>
    <w:p w:rsidR="0055491A" w:rsidRPr="00EC6D16" w:rsidRDefault="0055491A" w:rsidP="0055491A">
      <w:pPr>
        <w:widowControl w:val="0"/>
        <w:tabs>
          <w:tab w:val="left" w:pos="1134"/>
        </w:tabs>
        <w:autoSpaceDE w:val="0"/>
        <w:autoSpaceDN w:val="0"/>
        <w:ind w:firstLine="709"/>
        <w:jc w:val="both"/>
        <w:rPr>
          <w:bCs/>
          <w:sz w:val="28"/>
          <w:szCs w:val="28"/>
        </w:rPr>
      </w:pPr>
      <w:r>
        <w:rPr>
          <w:bCs/>
          <w:sz w:val="28"/>
          <w:szCs w:val="28"/>
        </w:rPr>
        <w:t xml:space="preserve">С учетом норматива зачисления в областной бюджет Тверской области  50% </w:t>
      </w:r>
      <w:r w:rsidRPr="00CC213F">
        <w:rPr>
          <w:b/>
          <w:bCs/>
          <w:sz w:val="28"/>
          <w:szCs w:val="28"/>
        </w:rPr>
        <w:t>прогноз поступлений</w:t>
      </w:r>
      <w:r>
        <w:rPr>
          <w:bCs/>
          <w:sz w:val="28"/>
          <w:szCs w:val="28"/>
        </w:rPr>
        <w:t xml:space="preserve"> </w:t>
      </w:r>
      <w:r w:rsidRPr="00CC213F">
        <w:rPr>
          <w:b/>
          <w:bCs/>
          <w:sz w:val="28"/>
          <w:szCs w:val="28"/>
        </w:rPr>
        <w:t xml:space="preserve">2022 год – </w:t>
      </w:r>
      <w:r>
        <w:rPr>
          <w:b/>
          <w:bCs/>
          <w:sz w:val="28"/>
          <w:szCs w:val="28"/>
        </w:rPr>
        <w:t>365,9</w:t>
      </w:r>
      <w:r w:rsidRPr="00CC213F">
        <w:rPr>
          <w:b/>
          <w:bCs/>
          <w:sz w:val="28"/>
          <w:szCs w:val="28"/>
        </w:rPr>
        <w:t xml:space="preserve"> тыс. руб., </w:t>
      </w:r>
      <w:r>
        <w:rPr>
          <w:b/>
          <w:bCs/>
          <w:sz w:val="28"/>
          <w:szCs w:val="28"/>
        </w:rPr>
        <w:t xml:space="preserve">                                                      </w:t>
      </w:r>
      <w:r w:rsidRPr="00CC213F">
        <w:rPr>
          <w:b/>
          <w:bCs/>
          <w:sz w:val="28"/>
          <w:szCs w:val="28"/>
        </w:rPr>
        <w:t xml:space="preserve">2023 год – </w:t>
      </w:r>
      <w:r>
        <w:rPr>
          <w:b/>
          <w:bCs/>
          <w:sz w:val="28"/>
          <w:szCs w:val="28"/>
        </w:rPr>
        <w:t>411,9</w:t>
      </w:r>
      <w:r w:rsidRPr="00CC213F">
        <w:rPr>
          <w:b/>
          <w:bCs/>
          <w:sz w:val="28"/>
          <w:szCs w:val="28"/>
        </w:rPr>
        <w:t xml:space="preserve"> тыс. руб., 2024 год – 3</w:t>
      </w:r>
      <w:r>
        <w:rPr>
          <w:b/>
          <w:bCs/>
          <w:sz w:val="28"/>
          <w:szCs w:val="28"/>
        </w:rPr>
        <w:t>95</w:t>
      </w:r>
      <w:r w:rsidRPr="00CC213F">
        <w:rPr>
          <w:b/>
          <w:bCs/>
          <w:sz w:val="28"/>
          <w:szCs w:val="28"/>
        </w:rPr>
        <w:t>,</w:t>
      </w:r>
      <w:r>
        <w:rPr>
          <w:b/>
          <w:bCs/>
          <w:sz w:val="28"/>
          <w:szCs w:val="28"/>
        </w:rPr>
        <w:t>7</w:t>
      </w:r>
      <w:r w:rsidRPr="00CC213F">
        <w:rPr>
          <w:b/>
          <w:bCs/>
          <w:sz w:val="28"/>
          <w:szCs w:val="28"/>
        </w:rPr>
        <w:t xml:space="preserve"> тыс. руб</w:t>
      </w:r>
      <w:r w:rsidRPr="00095B4E">
        <w:rPr>
          <w:bCs/>
          <w:sz w:val="28"/>
          <w:szCs w:val="28"/>
        </w:rPr>
        <w:t>.</w:t>
      </w:r>
    </w:p>
    <w:p w:rsidR="0055491A" w:rsidRDefault="0055491A" w:rsidP="0055491A">
      <w:pPr>
        <w:pStyle w:val="a7"/>
        <w:spacing w:after="0"/>
        <w:ind w:left="0" w:firstLine="709"/>
        <w:jc w:val="both"/>
        <w:rPr>
          <w:sz w:val="28"/>
          <w:szCs w:val="28"/>
        </w:rPr>
      </w:pPr>
      <w:r w:rsidRPr="00B827BC">
        <w:rPr>
          <w:sz w:val="28"/>
          <w:szCs w:val="28"/>
        </w:rPr>
        <w:t xml:space="preserve">2.2 </w:t>
      </w:r>
      <w:r w:rsidRPr="006510C1">
        <w:rPr>
          <w:b/>
          <w:sz w:val="28"/>
          <w:szCs w:val="28"/>
        </w:rPr>
        <w:t>КБК 335 1 16 01063 01 0000 140</w:t>
      </w:r>
      <w:r>
        <w:rPr>
          <w:sz w:val="28"/>
          <w:szCs w:val="28"/>
        </w:rPr>
        <w:t xml:space="preserve"> </w:t>
      </w:r>
      <w:r w:rsidRPr="00B03A5B">
        <w:rPr>
          <w:sz w:val="28"/>
          <w:szCs w:val="28"/>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r>
        <w:rPr>
          <w:sz w:val="28"/>
          <w:szCs w:val="28"/>
        </w:rPr>
        <w:t>.</w:t>
      </w:r>
    </w:p>
    <w:p w:rsidR="0055491A" w:rsidRPr="006510C1" w:rsidRDefault="0055491A" w:rsidP="0055491A">
      <w:pPr>
        <w:pStyle w:val="a7"/>
        <w:spacing w:after="0"/>
        <w:ind w:left="0" w:firstLine="709"/>
        <w:jc w:val="both"/>
        <w:rPr>
          <w:b/>
          <w:sz w:val="28"/>
          <w:szCs w:val="28"/>
        </w:rPr>
      </w:pPr>
      <w:r w:rsidRPr="006510C1">
        <w:rPr>
          <w:b/>
          <w:sz w:val="28"/>
          <w:szCs w:val="28"/>
        </w:rPr>
        <w:t>Главный администратор доходов – Главное управление региональной безопасности Тверской области.</w:t>
      </w:r>
    </w:p>
    <w:p w:rsidR="0055491A" w:rsidRDefault="0055491A" w:rsidP="0055491A">
      <w:pPr>
        <w:pStyle w:val="ConsPlusNormal"/>
        <w:tabs>
          <w:tab w:val="left" w:pos="1276"/>
          <w:tab w:val="left" w:pos="1418"/>
        </w:tabs>
        <w:ind w:firstLine="709"/>
        <w:jc w:val="both"/>
        <w:rPr>
          <w:rFonts w:ascii="Times New Roman" w:hAnsi="Times New Roman" w:cs="Times New Roman"/>
          <w:sz w:val="28"/>
          <w:szCs w:val="28"/>
        </w:rPr>
      </w:pPr>
      <w:r w:rsidRPr="00D4062A">
        <w:rPr>
          <w:rFonts w:ascii="Times New Roman" w:hAnsi="Times New Roman" w:cs="Times New Roman"/>
          <w:sz w:val="28"/>
          <w:szCs w:val="28"/>
        </w:rPr>
        <w:t>Прогноз поступлений определен методом прямого расчета</w:t>
      </w:r>
      <w:r>
        <w:rPr>
          <w:rFonts w:ascii="Times New Roman" w:hAnsi="Times New Roman" w:cs="Times New Roman"/>
          <w:sz w:val="28"/>
          <w:szCs w:val="28"/>
        </w:rPr>
        <w:t>, представлен в таблице.</w:t>
      </w:r>
      <w:r w:rsidRPr="00D4062A">
        <w:rPr>
          <w:rFonts w:ascii="Times New Roman" w:hAnsi="Times New Roman" w:cs="Times New Roman"/>
          <w:sz w:val="28"/>
          <w:szCs w:val="28"/>
        </w:rPr>
        <w:t xml:space="preserve"> </w:t>
      </w:r>
    </w:p>
    <w:tbl>
      <w:tblPr>
        <w:tblW w:w="9222" w:type="dxa"/>
        <w:tblInd w:w="-5" w:type="dxa"/>
        <w:tblLook w:val="04A0" w:firstRow="1" w:lastRow="0" w:firstColumn="1" w:lastColumn="0" w:noHBand="0" w:noVBand="1"/>
      </w:tblPr>
      <w:tblGrid>
        <w:gridCol w:w="513"/>
        <w:gridCol w:w="2747"/>
        <w:gridCol w:w="1333"/>
        <w:gridCol w:w="1628"/>
        <w:gridCol w:w="1520"/>
        <w:gridCol w:w="1481"/>
      </w:tblGrid>
      <w:tr w:rsidR="0055491A" w:rsidTr="00210BF6">
        <w:trPr>
          <w:trHeight w:val="1279"/>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1A" w:rsidRPr="00373949" w:rsidRDefault="0055491A" w:rsidP="00210BF6">
            <w:pPr>
              <w:jc w:val="center"/>
              <w:rPr>
                <w:sz w:val="22"/>
                <w:szCs w:val="22"/>
              </w:rPr>
            </w:pPr>
            <w:r w:rsidRPr="00373949">
              <w:rPr>
                <w:sz w:val="22"/>
                <w:szCs w:val="22"/>
              </w:rPr>
              <w:lastRenderedPageBreak/>
              <w:t>№ п/п</w:t>
            </w:r>
          </w:p>
        </w:tc>
        <w:tc>
          <w:tcPr>
            <w:tcW w:w="2886" w:type="dxa"/>
            <w:tcBorders>
              <w:top w:val="single" w:sz="4" w:space="0" w:color="auto"/>
              <w:left w:val="nil"/>
              <w:bottom w:val="single" w:sz="4" w:space="0" w:color="auto"/>
              <w:right w:val="single" w:sz="4" w:space="0" w:color="auto"/>
            </w:tcBorders>
            <w:shd w:val="clear" w:color="auto" w:fill="auto"/>
            <w:vAlign w:val="center"/>
            <w:hideMark/>
          </w:tcPr>
          <w:p w:rsidR="0055491A" w:rsidRPr="00373949" w:rsidRDefault="0055491A" w:rsidP="00210BF6">
            <w:pPr>
              <w:jc w:val="center"/>
              <w:rPr>
                <w:sz w:val="22"/>
                <w:szCs w:val="22"/>
              </w:rPr>
            </w:pPr>
            <w:r w:rsidRPr="00373949">
              <w:rPr>
                <w:sz w:val="22"/>
                <w:szCs w:val="22"/>
              </w:rPr>
              <w:t>Вид правонарушений</w:t>
            </w:r>
          </w:p>
        </w:tc>
        <w:tc>
          <w:tcPr>
            <w:tcW w:w="1339" w:type="dxa"/>
            <w:tcBorders>
              <w:top w:val="single" w:sz="4" w:space="0" w:color="auto"/>
              <w:left w:val="nil"/>
              <w:bottom w:val="single" w:sz="4" w:space="0" w:color="auto"/>
              <w:right w:val="single" w:sz="4" w:space="0" w:color="auto"/>
            </w:tcBorders>
            <w:shd w:val="clear" w:color="auto" w:fill="auto"/>
            <w:vAlign w:val="center"/>
            <w:hideMark/>
          </w:tcPr>
          <w:p w:rsidR="0055491A" w:rsidRPr="00373949" w:rsidRDefault="0055491A" w:rsidP="00210BF6">
            <w:pPr>
              <w:jc w:val="center"/>
              <w:rPr>
                <w:sz w:val="22"/>
                <w:szCs w:val="22"/>
              </w:rPr>
            </w:pPr>
            <w:r w:rsidRPr="00373949">
              <w:rPr>
                <w:sz w:val="22"/>
                <w:szCs w:val="22"/>
              </w:rPr>
              <w:t>Средний размер штрафа (средний областной), тыс. руб.</w:t>
            </w:r>
          </w:p>
        </w:tc>
        <w:tc>
          <w:tcPr>
            <w:tcW w:w="1603" w:type="dxa"/>
            <w:tcBorders>
              <w:top w:val="single" w:sz="4" w:space="0" w:color="auto"/>
              <w:left w:val="nil"/>
              <w:bottom w:val="single" w:sz="4" w:space="0" w:color="auto"/>
              <w:right w:val="single" w:sz="4" w:space="0" w:color="auto"/>
            </w:tcBorders>
            <w:shd w:val="clear" w:color="auto" w:fill="auto"/>
            <w:vAlign w:val="center"/>
            <w:hideMark/>
          </w:tcPr>
          <w:p w:rsidR="0055491A" w:rsidRPr="00373949" w:rsidRDefault="0055491A" w:rsidP="00210BF6">
            <w:pPr>
              <w:jc w:val="center"/>
              <w:rPr>
                <w:sz w:val="22"/>
                <w:szCs w:val="22"/>
              </w:rPr>
            </w:pPr>
            <w:r w:rsidRPr="00373949">
              <w:rPr>
                <w:sz w:val="22"/>
                <w:szCs w:val="22"/>
              </w:rPr>
              <w:t>Прогнозное количество постановлений штук</w:t>
            </w:r>
          </w:p>
        </w:tc>
        <w:tc>
          <w:tcPr>
            <w:tcW w:w="1452" w:type="dxa"/>
            <w:tcBorders>
              <w:top w:val="single" w:sz="4" w:space="0" w:color="auto"/>
              <w:left w:val="nil"/>
              <w:bottom w:val="single" w:sz="4" w:space="0" w:color="auto"/>
              <w:right w:val="single" w:sz="4" w:space="0" w:color="auto"/>
            </w:tcBorders>
            <w:shd w:val="clear" w:color="auto" w:fill="auto"/>
            <w:vAlign w:val="center"/>
            <w:hideMark/>
          </w:tcPr>
          <w:p w:rsidR="0055491A" w:rsidRPr="00373949" w:rsidRDefault="0055491A" w:rsidP="00210BF6">
            <w:pPr>
              <w:jc w:val="center"/>
              <w:rPr>
                <w:sz w:val="22"/>
                <w:szCs w:val="22"/>
              </w:rPr>
            </w:pPr>
            <w:r w:rsidRPr="00373949">
              <w:rPr>
                <w:sz w:val="22"/>
                <w:szCs w:val="22"/>
              </w:rPr>
              <w:t>Коэффициент собираемости (средний областной), %</w:t>
            </w:r>
          </w:p>
        </w:tc>
        <w:tc>
          <w:tcPr>
            <w:tcW w:w="1452" w:type="dxa"/>
            <w:tcBorders>
              <w:top w:val="single" w:sz="4" w:space="0" w:color="auto"/>
              <w:left w:val="nil"/>
              <w:bottom w:val="single" w:sz="4" w:space="0" w:color="auto"/>
              <w:right w:val="single" w:sz="4" w:space="0" w:color="auto"/>
            </w:tcBorders>
            <w:shd w:val="clear" w:color="auto" w:fill="auto"/>
            <w:vAlign w:val="center"/>
            <w:hideMark/>
          </w:tcPr>
          <w:p w:rsidR="0055491A" w:rsidRPr="00373949" w:rsidRDefault="0055491A" w:rsidP="00210BF6">
            <w:pPr>
              <w:jc w:val="center"/>
              <w:rPr>
                <w:sz w:val="22"/>
                <w:szCs w:val="22"/>
              </w:rPr>
            </w:pPr>
            <w:r w:rsidRPr="00373949">
              <w:rPr>
                <w:sz w:val="22"/>
                <w:szCs w:val="22"/>
              </w:rPr>
              <w:t>Прогноз поступлений, тыс. руб. (ст.3*4*5/2)</w:t>
            </w:r>
          </w:p>
        </w:tc>
      </w:tr>
      <w:tr w:rsidR="0055491A" w:rsidTr="00210BF6">
        <w:trPr>
          <w:trHeight w:val="301"/>
        </w:trPr>
        <w:tc>
          <w:tcPr>
            <w:tcW w:w="490" w:type="dxa"/>
            <w:tcBorders>
              <w:top w:val="nil"/>
              <w:left w:val="single" w:sz="4" w:space="0" w:color="auto"/>
              <w:bottom w:val="single" w:sz="4" w:space="0" w:color="auto"/>
              <w:right w:val="single" w:sz="4" w:space="0" w:color="auto"/>
            </w:tcBorders>
            <w:shd w:val="clear" w:color="auto" w:fill="auto"/>
            <w:vAlign w:val="center"/>
            <w:hideMark/>
          </w:tcPr>
          <w:p w:rsidR="0055491A" w:rsidRPr="00373949" w:rsidRDefault="0055491A" w:rsidP="00210BF6">
            <w:pPr>
              <w:jc w:val="center"/>
              <w:rPr>
                <w:sz w:val="22"/>
                <w:szCs w:val="22"/>
              </w:rPr>
            </w:pPr>
            <w:r w:rsidRPr="00373949">
              <w:rPr>
                <w:sz w:val="22"/>
                <w:szCs w:val="22"/>
              </w:rPr>
              <w:t>1</w:t>
            </w:r>
          </w:p>
        </w:tc>
        <w:tc>
          <w:tcPr>
            <w:tcW w:w="2886" w:type="dxa"/>
            <w:tcBorders>
              <w:top w:val="nil"/>
              <w:left w:val="nil"/>
              <w:bottom w:val="single" w:sz="4" w:space="0" w:color="auto"/>
              <w:right w:val="single" w:sz="4" w:space="0" w:color="auto"/>
            </w:tcBorders>
            <w:shd w:val="clear" w:color="auto" w:fill="auto"/>
            <w:vAlign w:val="center"/>
            <w:hideMark/>
          </w:tcPr>
          <w:p w:rsidR="0055491A" w:rsidRPr="00373949" w:rsidRDefault="0055491A" w:rsidP="00210BF6">
            <w:pPr>
              <w:jc w:val="center"/>
              <w:rPr>
                <w:sz w:val="22"/>
                <w:szCs w:val="22"/>
              </w:rPr>
            </w:pPr>
            <w:r w:rsidRPr="00373949">
              <w:rPr>
                <w:sz w:val="22"/>
                <w:szCs w:val="22"/>
              </w:rPr>
              <w:t>2</w:t>
            </w:r>
          </w:p>
        </w:tc>
        <w:tc>
          <w:tcPr>
            <w:tcW w:w="1339" w:type="dxa"/>
            <w:tcBorders>
              <w:top w:val="nil"/>
              <w:left w:val="nil"/>
              <w:bottom w:val="single" w:sz="4" w:space="0" w:color="auto"/>
              <w:right w:val="single" w:sz="4" w:space="0" w:color="auto"/>
            </w:tcBorders>
            <w:shd w:val="clear" w:color="auto" w:fill="auto"/>
            <w:vAlign w:val="center"/>
            <w:hideMark/>
          </w:tcPr>
          <w:p w:rsidR="0055491A" w:rsidRPr="00373949" w:rsidRDefault="0055491A" w:rsidP="00210BF6">
            <w:pPr>
              <w:jc w:val="center"/>
              <w:rPr>
                <w:sz w:val="22"/>
                <w:szCs w:val="22"/>
              </w:rPr>
            </w:pPr>
            <w:r w:rsidRPr="00373949">
              <w:rPr>
                <w:sz w:val="22"/>
                <w:szCs w:val="22"/>
              </w:rPr>
              <w:t>3</w:t>
            </w:r>
          </w:p>
        </w:tc>
        <w:tc>
          <w:tcPr>
            <w:tcW w:w="1603" w:type="dxa"/>
            <w:tcBorders>
              <w:top w:val="nil"/>
              <w:left w:val="nil"/>
              <w:bottom w:val="single" w:sz="4" w:space="0" w:color="auto"/>
              <w:right w:val="single" w:sz="4" w:space="0" w:color="auto"/>
            </w:tcBorders>
            <w:shd w:val="clear" w:color="auto" w:fill="auto"/>
            <w:vAlign w:val="center"/>
            <w:hideMark/>
          </w:tcPr>
          <w:p w:rsidR="0055491A" w:rsidRPr="00373949" w:rsidRDefault="0055491A" w:rsidP="00210BF6">
            <w:pPr>
              <w:jc w:val="center"/>
              <w:rPr>
                <w:sz w:val="22"/>
                <w:szCs w:val="22"/>
              </w:rPr>
            </w:pPr>
            <w:r w:rsidRPr="00373949">
              <w:rPr>
                <w:sz w:val="22"/>
                <w:szCs w:val="22"/>
              </w:rPr>
              <w:t>4</w:t>
            </w:r>
          </w:p>
        </w:tc>
        <w:tc>
          <w:tcPr>
            <w:tcW w:w="1452" w:type="dxa"/>
            <w:tcBorders>
              <w:top w:val="nil"/>
              <w:left w:val="nil"/>
              <w:bottom w:val="single" w:sz="4" w:space="0" w:color="auto"/>
              <w:right w:val="single" w:sz="4" w:space="0" w:color="auto"/>
            </w:tcBorders>
            <w:shd w:val="clear" w:color="auto" w:fill="auto"/>
            <w:vAlign w:val="center"/>
            <w:hideMark/>
          </w:tcPr>
          <w:p w:rsidR="0055491A" w:rsidRPr="00373949" w:rsidRDefault="0055491A" w:rsidP="00210BF6">
            <w:pPr>
              <w:jc w:val="center"/>
              <w:rPr>
                <w:sz w:val="22"/>
                <w:szCs w:val="22"/>
              </w:rPr>
            </w:pPr>
            <w:r w:rsidRPr="00373949">
              <w:rPr>
                <w:sz w:val="22"/>
                <w:szCs w:val="22"/>
              </w:rPr>
              <w:t>5</w:t>
            </w:r>
          </w:p>
        </w:tc>
        <w:tc>
          <w:tcPr>
            <w:tcW w:w="1452" w:type="dxa"/>
            <w:tcBorders>
              <w:top w:val="nil"/>
              <w:left w:val="nil"/>
              <w:bottom w:val="single" w:sz="4" w:space="0" w:color="auto"/>
              <w:right w:val="single" w:sz="4" w:space="0" w:color="auto"/>
            </w:tcBorders>
            <w:shd w:val="clear" w:color="auto" w:fill="auto"/>
            <w:vAlign w:val="center"/>
            <w:hideMark/>
          </w:tcPr>
          <w:p w:rsidR="0055491A" w:rsidRPr="00373949" w:rsidRDefault="0055491A" w:rsidP="00210BF6">
            <w:pPr>
              <w:jc w:val="center"/>
              <w:rPr>
                <w:sz w:val="22"/>
                <w:szCs w:val="22"/>
              </w:rPr>
            </w:pPr>
            <w:r w:rsidRPr="00373949">
              <w:rPr>
                <w:sz w:val="22"/>
                <w:szCs w:val="22"/>
              </w:rPr>
              <w:t>6</w:t>
            </w:r>
          </w:p>
        </w:tc>
      </w:tr>
      <w:tr w:rsidR="0055491A" w:rsidTr="00210BF6">
        <w:trPr>
          <w:trHeight w:val="1279"/>
        </w:trPr>
        <w:tc>
          <w:tcPr>
            <w:tcW w:w="490" w:type="dxa"/>
            <w:tcBorders>
              <w:top w:val="nil"/>
              <w:left w:val="single" w:sz="4" w:space="0" w:color="auto"/>
              <w:bottom w:val="single" w:sz="4" w:space="0" w:color="auto"/>
              <w:right w:val="single" w:sz="4" w:space="0" w:color="auto"/>
            </w:tcBorders>
            <w:shd w:val="clear" w:color="auto" w:fill="auto"/>
            <w:vAlign w:val="center"/>
            <w:hideMark/>
          </w:tcPr>
          <w:p w:rsidR="0055491A" w:rsidRPr="00373949" w:rsidRDefault="0055491A" w:rsidP="00210BF6">
            <w:pPr>
              <w:jc w:val="center"/>
              <w:rPr>
                <w:sz w:val="22"/>
                <w:szCs w:val="22"/>
              </w:rPr>
            </w:pPr>
            <w:r w:rsidRPr="00373949">
              <w:rPr>
                <w:sz w:val="22"/>
                <w:szCs w:val="22"/>
              </w:rPr>
              <w:t>1</w:t>
            </w:r>
          </w:p>
        </w:tc>
        <w:tc>
          <w:tcPr>
            <w:tcW w:w="2886" w:type="dxa"/>
            <w:tcBorders>
              <w:top w:val="nil"/>
              <w:left w:val="nil"/>
              <w:bottom w:val="single" w:sz="4" w:space="0" w:color="auto"/>
              <w:right w:val="single" w:sz="4" w:space="0" w:color="auto"/>
            </w:tcBorders>
            <w:shd w:val="clear" w:color="auto" w:fill="auto"/>
            <w:vAlign w:val="center"/>
            <w:hideMark/>
          </w:tcPr>
          <w:p w:rsidR="0055491A" w:rsidRPr="00373949" w:rsidRDefault="0055491A" w:rsidP="00210BF6">
            <w:pPr>
              <w:jc w:val="both"/>
              <w:rPr>
                <w:sz w:val="22"/>
                <w:szCs w:val="22"/>
              </w:rPr>
            </w:pPr>
            <w:r w:rsidRPr="00373949">
              <w:rPr>
                <w:sz w:val="22"/>
                <w:szCs w:val="22"/>
              </w:rPr>
              <w:t>Штрафы за нарушение законодательства в области обеспечения санитарно-эпидемиологического благополучия населения</w:t>
            </w:r>
          </w:p>
        </w:tc>
        <w:tc>
          <w:tcPr>
            <w:tcW w:w="1339" w:type="dxa"/>
            <w:tcBorders>
              <w:top w:val="nil"/>
              <w:left w:val="nil"/>
              <w:bottom w:val="single" w:sz="4" w:space="0" w:color="auto"/>
              <w:right w:val="single" w:sz="4" w:space="0" w:color="auto"/>
            </w:tcBorders>
            <w:shd w:val="clear" w:color="auto" w:fill="auto"/>
            <w:vAlign w:val="center"/>
            <w:hideMark/>
          </w:tcPr>
          <w:p w:rsidR="0055491A" w:rsidRPr="00373949" w:rsidRDefault="0055491A" w:rsidP="00210BF6">
            <w:pPr>
              <w:jc w:val="center"/>
              <w:rPr>
                <w:sz w:val="22"/>
                <w:szCs w:val="22"/>
              </w:rPr>
            </w:pPr>
            <w:r w:rsidRPr="00373949">
              <w:rPr>
                <w:sz w:val="22"/>
                <w:szCs w:val="22"/>
              </w:rPr>
              <w:t>71,7</w:t>
            </w:r>
          </w:p>
        </w:tc>
        <w:tc>
          <w:tcPr>
            <w:tcW w:w="1603" w:type="dxa"/>
            <w:tcBorders>
              <w:top w:val="nil"/>
              <w:left w:val="nil"/>
              <w:bottom w:val="single" w:sz="4" w:space="0" w:color="auto"/>
              <w:right w:val="single" w:sz="4" w:space="0" w:color="auto"/>
            </w:tcBorders>
            <w:shd w:val="clear" w:color="auto" w:fill="auto"/>
            <w:vAlign w:val="center"/>
            <w:hideMark/>
          </w:tcPr>
          <w:p w:rsidR="0055491A" w:rsidRPr="00373949" w:rsidRDefault="0055491A" w:rsidP="00210BF6">
            <w:pPr>
              <w:jc w:val="center"/>
              <w:rPr>
                <w:sz w:val="22"/>
                <w:szCs w:val="22"/>
              </w:rPr>
            </w:pPr>
            <w:r w:rsidRPr="00373949">
              <w:rPr>
                <w:sz w:val="22"/>
                <w:szCs w:val="22"/>
              </w:rPr>
              <w:t>3</w:t>
            </w:r>
          </w:p>
        </w:tc>
        <w:tc>
          <w:tcPr>
            <w:tcW w:w="1452" w:type="dxa"/>
            <w:tcBorders>
              <w:top w:val="nil"/>
              <w:left w:val="nil"/>
              <w:bottom w:val="single" w:sz="4" w:space="0" w:color="auto"/>
              <w:right w:val="single" w:sz="4" w:space="0" w:color="auto"/>
            </w:tcBorders>
            <w:shd w:val="clear" w:color="auto" w:fill="auto"/>
            <w:vAlign w:val="center"/>
            <w:hideMark/>
          </w:tcPr>
          <w:p w:rsidR="0055491A" w:rsidRPr="00373949" w:rsidRDefault="0055491A" w:rsidP="00210BF6">
            <w:pPr>
              <w:jc w:val="center"/>
              <w:rPr>
                <w:sz w:val="22"/>
                <w:szCs w:val="22"/>
              </w:rPr>
            </w:pPr>
            <w:r w:rsidRPr="00373949">
              <w:rPr>
                <w:sz w:val="22"/>
                <w:szCs w:val="22"/>
              </w:rPr>
              <w:t>100,0%</w:t>
            </w:r>
          </w:p>
        </w:tc>
        <w:tc>
          <w:tcPr>
            <w:tcW w:w="1452" w:type="dxa"/>
            <w:tcBorders>
              <w:top w:val="nil"/>
              <w:left w:val="nil"/>
              <w:bottom w:val="single" w:sz="4" w:space="0" w:color="auto"/>
              <w:right w:val="single" w:sz="4" w:space="0" w:color="auto"/>
            </w:tcBorders>
            <w:shd w:val="clear" w:color="auto" w:fill="auto"/>
            <w:vAlign w:val="center"/>
            <w:hideMark/>
          </w:tcPr>
          <w:p w:rsidR="0055491A" w:rsidRPr="00373949" w:rsidRDefault="0055491A" w:rsidP="00210BF6">
            <w:pPr>
              <w:jc w:val="center"/>
              <w:rPr>
                <w:sz w:val="22"/>
                <w:szCs w:val="22"/>
              </w:rPr>
            </w:pPr>
            <w:r w:rsidRPr="00373949">
              <w:rPr>
                <w:sz w:val="22"/>
                <w:szCs w:val="22"/>
              </w:rPr>
              <w:t>107,6</w:t>
            </w:r>
          </w:p>
        </w:tc>
      </w:tr>
      <w:tr w:rsidR="0055491A" w:rsidTr="00210BF6">
        <w:trPr>
          <w:trHeight w:val="2815"/>
        </w:trPr>
        <w:tc>
          <w:tcPr>
            <w:tcW w:w="490" w:type="dxa"/>
            <w:tcBorders>
              <w:top w:val="nil"/>
              <w:left w:val="single" w:sz="4" w:space="0" w:color="auto"/>
              <w:bottom w:val="single" w:sz="4" w:space="0" w:color="auto"/>
              <w:right w:val="single" w:sz="4" w:space="0" w:color="auto"/>
            </w:tcBorders>
            <w:shd w:val="clear" w:color="auto" w:fill="auto"/>
            <w:vAlign w:val="center"/>
            <w:hideMark/>
          </w:tcPr>
          <w:p w:rsidR="0055491A" w:rsidRPr="00373949" w:rsidRDefault="0055491A" w:rsidP="00210BF6">
            <w:pPr>
              <w:jc w:val="center"/>
              <w:rPr>
                <w:sz w:val="22"/>
                <w:szCs w:val="22"/>
              </w:rPr>
            </w:pPr>
            <w:r w:rsidRPr="00373949">
              <w:rPr>
                <w:sz w:val="22"/>
                <w:szCs w:val="22"/>
              </w:rPr>
              <w:t>2</w:t>
            </w:r>
          </w:p>
        </w:tc>
        <w:tc>
          <w:tcPr>
            <w:tcW w:w="2886" w:type="dxa"/>
            <w:tcBorders>
              <w:top w:val="nil"/>
              <w:left w:val="nil"/>
              <w:bottom w:val="single" w:sz="4" w:space="0" w:color="auto"/>
              <w:right w:val="single" w:sz="4" w:space="0" w:color="auto"/>
            </w:tcBorders>
            <w:shd w:val="clear" w:color="auto" w:fill="auto"/>
            <w:vAlign w:val="center"/>
            <w:hideMark/>
          </w:tcPr>
          <w:p w:rsidR="0055491A" w:rsidRPr="00373949" w:rsidRDefault="0055491A" w:rsidP="00210BF6">
            <w:pPr>
              <w:rPr>
                <w:sz w:val="22"/>
                <w:szCs w:val="22"/>
              </w:rPr>
            </w:pPr>
            <w:r w:rsidRPr="00373949">
              <w:rPr>
                <w:sz w:val="22"/>
                <w:szCs w:val="22"/>
              </w:rPr>
              <w:t>Штрафы за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c>
          <w:tcPr>
            <w:tcW w:w="1339" w:type="dxa"/>
            <w:tcBorders>
              <w:top w:val="nil"/>
              <w:left w:val="nil"/>
              <w:bottom w:val="single" w:sz="4" w:space="0" w:color="auto"/>
              <w:right w:val="single" w:sz="4" w:space="0" w:color="auto"/>
            </w:tcBorders>
            <w:shd w:val="clear" w:color="auto" w:fill="auto"/>
            <w:vAlign w:val="center"/>
            <w:hideMark/>
          </w:tcPr>
          <w:p w:rsidR="0055491A" w:rsidRPr="00373949" w:rsidRDefault="0055491A" w:rsidP="00210BF6">
            <w:pPr>
              <w:jc w:val="center"/>
              <w:rPr>
                <w:sz w:val="22"/>
                <w:szCs w:val="22"/>
              </w:rPr>
            </w:pPr>
            <w:r w:rsidRPr="00373949">
              <w:rPr>
                <w:sz w:val="22"/>
                <w:szCs w:val="22"/>
              </w:rPr>
              <w:t>5,5</w:t>
            </w:r>
          </w:p>
        </w:tc>
        <w:tc>
          <w:tcPr>
            <w:tcW w:w="1603" w:type="dxa"/>
            <w:tcBorders>
              <w:top w:val="nil"/>
              <w:left w:val="nil"/>
              <w:bottom w:val="single" w:sz="4" w:space="0" w:color="auto"/>
              <w:right w:val="single" w:sz="4" w:space="0" w:color="auto"/>
            </w:tcBorders>
            <w:shd w:val="clear" w:color="auto" w:fill="auto"/>
            <w:vAlign w:val="center"/>
            <w:hideMark/>
          </w:tcPr>
          <w:p w:rsidR="0055491A" w:rsidRPr="00373949" w:rsidRDefault="0055491A" w:rsidP="00210BF6">
            <w:pPr>
              <w:jc w:val="center"/>
              <w:rPr>
                <w:sz w:val="22"/>
                <w:szCs w:val="22"/>
              </w:rPr>
            </w:pPr>
            <w:r w:rsidRPr="00373949">
              <w:rPr>
                <w:sz w:val="22"/>
                <w:szCs w:val="22"/>
              </w:rPr>
              <w:t>32</w:t>
            </w:r>
          </w:p>
        </w:tc>
        <w:tc>
          <w:tcPr>
            <w:tcW w:w="1452" w:type="dxa"/>
            <w:tcBorders>
              <w:top w:val="nil"/>
              <w:left w:val="nil"/>
              <w:bottom w:val="single" w:sz="4" w:space="0" w:color="auto"/>
              <w:right w:val="single" w:sz="4" w:space="0" w:color="auto"/>
            </w:tcBorders>
            <w:shd w:val="clear" w:color="auto" w:fill="auto"/>
            <w:vAlign w:val="center"/>
            <w:hideMark/>
          </w:tcPr>
          <w:p w:rsidR="0055491A" w:rsidRPr="00373949" w:rsidRDefault="0055491A" w:rsidP="00210BF6">
            <w:pPr>
              <w:jc w:val="center"/>
              <w:rPr>
                <w:sz w:val="22"/>
                <w:szCs w:val="22"/>
              </w:rPr>
            </w:pPr>
            <w:r w:rsidRPr="00373949">
              <w:rPr>
                <w:sz w:val="22"/>
                <w:szCs w:val="22"/>
              </w:rPr>
              <w:t>63,3%</w:t>
            </w:r>
          </w:p>
        </w:tc>
        <w:tc>
          <w:tcPr>
            <w:tcW w:w="1452" w:type="dxa"/>
            <w:tcBorders>
              <w:top w:val="nil"/>
              <w:left w:val="nil"/>
              <w:bottom w:val="single" w:sz="4" w:space="0" w:color="auto"/>
              <w:right w:val="single" w:sz="4" w:space="0" w:color="auto"/>
            </w:tcBorders>
            <w:shd w:val="clear" w:color="auto" w:fill="auto"/>
            <w:vAlign w:val="center"/>
            <w:hideMark/>
          </w:tcPr>
          <w:p w:rsidR="0055491A" w:rsidRPr="00373949" w:rsidRDefault="0055491A" w:rsidP="00210BF6">
            <w:pPr>
              <w:jc w:val="center"/>
              <w:rPr>
                <w:sz w:val="22"/>
                <w:szCs w:val="22"/>
              </w:rPr>
            </w:pPr>
            <w:r w:rsidRPr="00373949">
              <w:rPr>
                <w:sz w:val="22"/>
                <w:szCs w:val="22"/>
              </w:rPr>
              <w:t>55,7</w:t>
            </w:r>
          </w:p>
        </w:tc>
      </w:tr>
      <w:tr w:rsidR="0055491A" w:rsidTr="00210BF6">
        <w:trPr>
          <w:trHeight w:val="1535"/>
        </w:trPr>
        <w:tc>
          <w:tcPr>
            <w:tcW w:w="490" w:type="dxa"/>
            <w:tcBorders>
              <w:top w:val="nil"/>
              <w:left w:val="single" w:sz="4" w:space="0" w:color="auto"/>
              <w:bottom w:val="single" w:sz="4" w:space="0" w:color="auto"/>
              <w:right w:val="single" w:sz="4" w:space="0" w:color="auto"/>
            </w:tcBorders>
            <w:shd w:val="clear" w:color="auto" w:fill="auto"/>
            <w:vAlign w:val="center"/>
            <w:hideMark/>
          </w:tcPr>
          <w:p w:rsidR="0055491A" w:rsidRPr="00373949" w:rsidRDefault="0055491A" w:rsidP="00210BF6">
            <w:pPr>
              <w:jc w:val="center"/>
              <w:rPr>
                <w:sz w:val="22"/>
                <w:szCs w:val="22"/>
              </w:rPr>
            </w:pPr>
            <w:r w:rsidRPr="00373949">
              <w:rPr>
                <w:sz w:val="22"/>
                <w:szCs w:val="22"/>
              </w:rPr>
              <w:t>3</w:t>
            </w:r>
          </w:p>
        </w:tc>
        <w:tc>
          <w:tcPr>
            <w:tcW w:w="2886" w:type="dxa"/>
            <w:tcBorders>
              <w:top w:val="nil"/>
              <w:left w:val="nil"/>
              <w:bottom w:val="single" w:sz="4" w:space="0" w:color="auto"/>
              <w:right w:val="single" w:sz="4" w:space="0" w:color="auto"/>
            </w:tcBorders>
            <w:shd w:val="clear" w:color="auto" w:fill="auto"/>
            <w:vAlign w:val="center"/>
            <w:hideMark/>
          </w:tcPr>
          <w:p w:rsidR="0055491A" w:rsidRPr="00373949" w:rsidRDefault="0055491A" w:rsidP="00210BF6">
            <w:pPr>
              <w:jc w:val="both"/>
              <w:rPr>
                <w:sz w:val="22"/>
                <w:szCs w:val="22"/>
              </w:rPr>
            </w:pPr>
            <w:r w:rsidRPr="00373949">
              <w:rPr>
                <w:sz w:val="22"/>
                <w:szCs w:val="22"/>
              </w:rPr>
              <w:t>Штрафы за потребление наркотических средств или психотропных веществ без назначения врача либо новых потенциально опасных психоактивных веществ</w:t>
            </w:r>
          </w:p>
        </w:tc>
        <w:tc>
          <w:tcPr>
            <w:tcW w:w="1339" w:type="dxa"/>
            <w:tcBorders>
              <w:top w:val="nil"/>
              <w:left w:val="nil"/>
              <w:bottom w:val="single" w:sz="4" w:space="0" w:color="auto"/>
              <w:right w:val="single" w:sz="4" w:space="0" w:color="auto"/>
            </w:tcBorders>
            <w:shd w:val="clear" w:color="auto" w:fill="auto"/>
            <w:vAlign w:val="center"/>
            <w:hideMark/>
          </w:tcPr>
          <w:p w:rsidR="0055491A" w:rsidRPr="00373949" w:rsidRDefault="0055491A" w:rsidP="00210BF6">
            <w:pPr>
              <w:jc w:val="center"/>
              <w:rPr>
                <w:sz w:val="22"/>
                <w:szCs w:val="22"/>
              </w:rPr>
            </w:pPr>
            <w:r w:rsidRPr="00373949">
              <w:rPr>
                <w:sz w:val="22"/>
                <w:szCs w:val="22"/>
              </w:rPr>
              <w:t>4,1</w:t>
            </w:r>
          </w:p>
        </w:tc>
        <w:tc>
          <w:tcPr>
            <w:tcW w:w="1603" w:type="dxa"/>
            <w:tcBorders>
              <w:top w:val="nil"/>
              <w:left w:val="nil"/>
              <w:bottom w:val="single" w:sz="4" w:space="0" w:color="auto"/>
              <w:right w:val="single" w:sz="4" w:space="0" w:color="auto"/>
            </w:tcBorders>
            <w:shd w:val="clear" w:color="auto" w:fill="auto"/>
            <w:vAlign w:val="center"/>
            <w:hideMark/>
          </w:tcPr>
          <w:p w:rsidR="0055491A" w:rsidRPr="00373949" w:rsidRDefault="0055491A" w:rsidP="00210BF6">
            <w:pPr>
              <w:jc w:val="center"/>
              <w:rPr>
                <w:sz w:val="22"/>
                <w:szCs w:val="22"/>
              </w:rPr>
            </w:pPr>
            <w:r w:rsidRPr="00373949">
              <w:rPr>
                <w:sz w:val="22"/>
                <w:szCs w:val="22"/>
              </w:rPr>
              <w:t>113</w:t>
            </w:r>
          </w:p>
        </w:tc>
        <w:tc>
          <w:tcPr>
            <w:tcW w:w="1452" w:type="dxa"/>
            <w:tcBorders>
              <w:top w:val="nil"/>
              <w:left w:val="nil"/>
              <w:bottom w:val="single" w:sz="4" w:space="0" w:color="auto"/>
              <w:right w:val="single" w:sz="4" w:space="0" w:color="auto"/>
            </w:tcBorders>
            <w:shd w:val="clear" w:color="auto" w:fill="auto"/>
            <w:vAlign w:val="center"/>
            <w:hideMark/>
          </w:tcPr>
          <w:p w:rsidR="0055491A" w:rsidRPr="00373949" w:rsidRDefault="0055491A" w:rsidP="00210BF6">
            <w:pPr>
              <w:jc w:val="center"/>
              <w:rPr>
                <w:sz w:val="22"/>
                <w:szCs w:val="22"/>
              </w:rPr>
            </w:pPr>
            <w:r w:rsidRPr="00373949">
              <w:rPr>
                <w:sz w:val="22"/>
                <w:szCs w:val="22"/>
              </w:rPr>
              <w:t>35,0%</w:t>
            </w:r>
          </w:p>
        </w:tc>
        <w:tc>
          <w:tcPr>
            <w:tcW w:w="1452" w:type="dxa"/>
            <w:tcBorders>
              <w:top w:val="nil"/>
              <w:left w:val="nil"/>
              <w:bottom w:val="single" w:sz="4" w:space="0" w:color="auto"/>
              <w:right w:val="single" w:sz="4" w:space="0" w:color="auto"/>
            </w:tcBorders>
            <w:shd w:val="clear" w:color="auto" w:fill="auto"/>
            <w:vAlign w:val="center"/>
            <w:hideMark/>
          </w:tcPr>
          <w:p w:rsidR="0055491A" w:rsidRPr="00373949" w:rsidRDefault="0055491A" w:rsidP="00210BF6">
            <w:pPr>
              <w:jc w:val="center"/>
              <w:rPr>
                <w:sz w:val="22"/>
                <w:szCs w:val="22"/>
              </w:rPr>
            </w:pPr>
            <w:r w:rsidRPr="00373949">
              <w:rPr>
                <w:sz w:val="22"/>
                <w:szCs w:val="22"/>
              </w:rPr>
              <w:t>81,1</w:t>
            </w:r>
          </w:p>
        </w:tc>
      </w:tr>
      <w:tr w:rsidR="0055491A" w:rsidTr="00210BF6">
        <w:trPr>
          <w:trHeight w:val="2815"/>
        </w:trPr>
        <w:tc>
          <w:tcPr>
            <w:tcW w:w="490" w:type="dxa"/>
            <w:tcBorders>
              <w:top w:val="nil"/>
              <w:left w:val="single" w:sz="4" w:space="0" w:color="auto"/>
              <w:bottom w:val="single" w:sz="4" w:space="0" w:color="auto"/>
              <w:right w:val="single" w:sz="4" w:space="0" w:color="auto"/>
            </w:tcBorders>
            <w:shd w:val="clear" w:color="auto" w:fill="auto"/>
            <w:vAlign w:val="center"/>
            <w:hideMark/>
          </w:tcPr>
          <w:p w:rsidR="0055491A" w:rsidRPr="00373949" w:rsidRDefault="0055491A" w:rsidP="00210BF6">
            <w:pPr>
              <w:jc w:val="center"/>
              <w:rPr>
                <w:sz w:val="22"/>
                <w:szCs w:val="22"/>
              </w:rPr>
            </w:pPr>
            <w:r w:rsidRPr="00373949">
              <w:rPr>
                <w:sz w:val="22"/>
                <w:szCs w:val="22"/>
              </w:rPr>
              <w:t>4</w:t>
            </w:r>
          </w:p>
        </w:tc>
        <w:tc>
          <w:tcPr>
            <w:tcW w:w="2886" w:type="dxa"/>
            <w:tcBorders>
              <w:top w:val="nil"/>
              <w:left w:val="nil"/>
              <w:bottom w:val="single" w:sz="4" w:space="0" w:color="auto"/>
              <w:right w:val="single" w:sz="4" w:space="0" w:color="auto"/>
            </w:tcBorders>
            <w:shd w:val="clear" w:color="auto" w:fill="auto"/>
            <w:vAlign w:val="center"/>
            <w:hideMark/>
          </w:tcPr>
          <w:p w:rsidR="0055491A" w:rsidRPr="00373949" w:rsidRDefault="0055491A" w:rsidP="00210BF6">
            <w:pPr>
              <w:jc w:val="both"/>
              <w:rPr>
                <w:sz w:val="22"/>
                <w:szCs w:val="22"/>
              </w:rPr>
            </w:pPr>
            <w:r w:rsidRPr="00373949">
              <w:rPr>
                <w:sz w:val="22"/>
                <w:szCs w:val="22"/>
              </w:rPr>
              <w:t>Штрафы за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w:t>
            </w:r>
          </w:p>
        </w:tc>
        <w:tc>
          <w:tcPr>
            <w:tcW w:w="1339" w:type="dxa"/>
            <w:tcBorders>
              <w:top w:val="nil"/>
              <w:left w:val="nil"/>
              <w:bottom w:val="single" w:sz="4" w:space="0" w:color="auto"/>
              <w:right w:val="single" w:sz="4" w:space="0" w:color="auto"/>
            </w:tcBorders>
            <w:shd w:val="clear" w:color="auto" w:fill="auto"/>
            <w:vAlign w:val="center"/>
            <w:hideMark/>
          </w:tcPr>
          <w:p w:rsidR="0055491A" w:rsidRPr="00373949" w:rsidRDefault="0055491A" w:rsidP="00210BF6">
            <w:pPr>
              <w:jc w:val="center"/>
              <w:rPr>
                <w:sz w:val="22"/>
                <w:szCs w:val="22"/>
              </w:rPr>
            </w:pPr>
            <w:r w:rsidRPr="00373949">
              <w:rPr>
                <w:sz w:val="22"/>
                <w:szCs w:val="22"/>
              </w:rPr>
              <w:t>4,6</w:t>
            </w:r>
          </w:p>
        </w:tc>
        <w:tc>
          <w:tcPr>
            <w:tcW w:w="1603" w:type="dxa"/>
            <w:tcBorders>
              <w:top w:val="nil"/>
              <w:left w:val="nil"/>
              <w:bottom w:val="single" w:sz="4" w:space="0" w:color="auto"/>
              <w:right w:val="single" w:sz="4" w:space="0" w:color="auto"/>
            </w:tcBorders>
            <w:shd w:val="clear" w:color="auto" w:fill="auto"/>
            <w:vAlign w:val="center"/>
            <w:hideMark/>
          </w:tcPr>
          <w:p w:rsidR="0055491A" w:rsidRPr="00373949" w:rsidRDefault="0055491A" w:rsidP="00210BF6">
            <w:pPr>
              <w:jc w:val="center"/>
              <w:rPr>
                <w:sz w:val="22"/>
                <w:szCs w:val="22"/>
              </w:rPr>
            </w:pPr>
            <w:r w:rsidRPr="00373949">
              <w:rPr>
                <w:sz w:val="22"/>
                <w:szCs w:val="22"/>
              </w:rPr>
              <w:t>29</w:t>
            </w:r>
          </w:p>
        </w:tc>
        <w:tc>
          <w:tcPr>
            <w:tcW w:w="1452" w:type="dxa"/>
            <w:tcBorders>
              <w:top w:val="nil"/>
              <w:left w:val="nil"/>
              <w:bottom w:val="single" w:sz="4" w:space="0" w:color="auto"/>
              <w:right w:val="single" w:sz="4" w:space="0" w:color="auto"/>
            </w:tcBorders>
            <w:shd w:val="clear" w:color="auto" w:fill="auto"/>
            <w:vAlign w:val="center"/>
            <w:hideMark/>
          </w:tcPr>
          <w:p w:rsidR="0055491A" w:rsidRPr="00373949" w:rsidRDefault="0055491A" w:rsidP="00210BF6">
            <w:pPr>
              <w:jc w:val="center"/>
              <w:rPr>
                <w:sz w:val="22"/>
                <w:szCs w:val="22"/>
              </w:rPr>
            </w:pPr>
            <w:r w:rsidRPr="00373949">
              <w:rPr>
                <w:sz w:val="22"/>
                <w:szCs w:val="22"/>
              </w:rPr>
              <w:t>34,0%</w:t>
            </w:r>
          </w:p>
        </w:tc>
        <w:tc>
          <w:tcPr>
            <w:tcW w:w="1452" w:type="dxa"/>
            <w:tcBorders>
              <w:top w:val="nil"/>
              <w:left w:val="nil"/>
              <w:bottom w:val="single" w:sz="4" w:space="0" w:color="auto"/>
              <w:right w:val="single" w:sz="4" w:space="0" w:color="auto"/>
            </w:tcBorders>
            <w:shd w:val="clear" w:color="auto" w:fill="auto"/>
            <w:vAlign w:val="center"/>
            <w:hideMark/>
          </w:tcPr>
          <w:p w:rsidR="0055491A" w:rsidRPr="00373949" w:rsidRDefault="0055491A" w:rsidP="00210BF6">
            <w:pPr>
              <w:jc w:val="center"/>
              <w:rPr>
                <w:sz w:val="22"/>
                <w:szCs w:val="22"/>
              </w:rPr>
            </w:pPr>
            <w:r w:rsidRPr="00373949">
              <w:rPr>
                <w:sz w:val="22"/>
                <w:szCs w:val="22"/>
              </w:rPr>
              <w:t>22,7</w:t>
            </w:r>
          </w:p>
        </w:tc>
      </w:tr>
      <w:tr w:rsidR="0055491A" w:rsidTr="00210BF6">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rsidR="0055491A" w:rsidRPr="00373949" w:rsidRDefault="0055491A" w:rsidP="00210BF6">
            <w:pPr>
              <w:jc w:val="center"/>
              <w:rPr>
                <w:sz w:val="22"/>
                <w:szCs w:val="22"/>
              </w:rPr>
            </w:pPr>
            <w:r w:rsidRPr="00373949">
              <w:rPr>
                <w:sz w:val="22"/>
                <w:szCs w:val="22"/>
              </w:rPr>
              <w:t>5</w:t>
            </w:r>
          </w:p>
        </w:tc>
        <w:tc>
          <w:tcPr>
            <w:tcW w:w="2886" w:type="dxa"/>
            <w:tcBorders>
              <w:top w:val="nil"/>
              <w:left w:val="nil"/>
              <w:bottom w:val="single" w:sz="4" w:space="0" w:color="auto"/>
              <w:right w:val="single" w:sz="4" w:space="0" w:color="auto"/>
            </w:tcBorders>
            <w:shd w:val="clear" w:color="auto" w:fill="auto"/>
            <w:vAlign w:val="center"/>
            <w:hideMark/>
          </w:tcPr>
          <w:p w:rsidR="0055491A" w:rsidRPr="00373949" w:rsidRDefault="0055491A" w:rsidP="00210BF6">
            <w:pPr>
              <w:jc w:val="both"/>
              <w:rPr>
                <w:sz w:val="22"/>
                <w:szCs w:val="22"/>
              </w:rPr>
            </w:pPr>
            <w:r w:rsidRPr="00373949">
              <w:rPr>
                <w:sz w:val="22"/>
                <w:szCs w:val="22"/>
              </w:rPr>
              <w:t>Штрафы за побои</w:t>
            </w:r>
          </w:p>
        </w:tc>
        <w:tc>
          <w:tcPr>
            <w:tcW w:w="1339" w:type="dxa"/>
            <w:tcBorders>
              <w:top w:val="nil"/>
              <w:left w:val="nil"/>
              <w:bottom w:val="single" w:sz="4" w:space="0" w:color="auto"/>
              <w:right w:val="single" w:sz="4" w:space="0" w:color="auto"/>
            </w:tcBorders>
            <w:shd w:val="clear" w:color="auto" w:fill="auto"/>
            <w:vAlign w:val="center"/>
            <w:hideMark/>
          </w:tcPr>
          <w:p w:rsidR="0055491A" w:rsidRPr="00373949" w:rsidRDefault="0055491A" w:rsidP="00210BF6">
            <w:pPr>
              <w:jc w:val="center"/>
              <w:rPr>
                <w:sz w:val="22"/>
                <w:szCs w:val="22"/>
              </w:rPr>
            </w:pPr>
            <w:r w:rsidRPr="00373949">
              <w:rPr>
                <w:sz w:val="22"/>
                <w:szCs w:val="22"/>
              </w:rPr>
              <w:t>5,1</w:t>
            </w:r>
          </w:p>
        </w:tc>
        <w:tc>
          <w:tcPr>
            <w:tcW w:w="1603" w:type="dxa"/>
            <w:tcBorders>
              <w:top w:val="nil"/>
              <w:left w:val="nil"/>
              <w:bottom w:val="single" w:sz="4" w:space="0" w:color="auto"/>
              <w:right w:val="single" w:sz="4" w:space="0" w:color="auto"/>
            </w:tcBorders>
            <w:shd w:val="clear" w:color="auto" w:fill="auto"/>
            <w:vAlign w:val="center"/>
            <w:hideMark/>
          </w:tcPr>
          <w:p w:rsidR="0055491A" w:rsidRPr="00373949" w:rsidRDefault="0055491A" w:rsidP="00210BF6">
            <w:pPr>
              <w:jc w:val="center"/>
              <w:rPr>
                <w:sz w:val="22"/>
                <w:szCs w:val="22"/>
              </w:rPr>
            </w:pPr>
            <w:r w:rsidRPr="00373949">
              <w:rPr>
                <w:sz w:val="22"/>
                <w:szCs w:val="22"/>
              </w:rPr>
              <w:t>581</w:t>
            </w:r>
          </w:p>
        </w:tc>
        <w:tc>
          <w:tcPr>
            <w:tcW w:w="1452" w:type="dxa"/>
            <w:tcBorders>
              <w:top w:val="nil"/>
              <w:left w:val="nil"/>
              <w:bottom w:val="single" w:sz="4" w:space="0" w:color="auto"/>
              <w:right w:val="single" w:sz="4" w:space="0" w:color="auto"/>
            </w:tcBorders>
            <w:shd w:val="clear" w:color="auto" w:fill="auto"/>
            <w:vAlign w:val="center"/>
            <w:hideMark/>
          </w:tcPr>
          <w:p w:rsidR="0055491A" w:rsidRPr="00373949" w:rsidRDefault="0055491A" w:rsidP="00210BF6">
            <w:pPr>
              <w:jc w:val="center"/>
              <w:rPr>
                <w:sz w:val="22"/>
                <w:szCs w:val="22"/>
              </w:rPr>
            </w:pPr>
            <w:r w:rsidRPr="00373949">
              <w:rPr>
                <w:sz w:val="22"/>
                <w:szCs w:val="22"/>
              </w:rPr>
              <w:t>76,5%</w:t>
            </w:r>
          </w:p>
        </w:tc>
        <w:tc>
          <w:tcPr>
            <w:tcW w:w="1452" w:type="dxa"/>
            <w:tcBorders>
              <w:top w:val="nil"/>
              <w:left w:val="nil"/>
              <w:bottom w:val="single" w:sz="4" w:space="0" w:color="auto"/>
              <w:right w:val="single" w:sz="4" w:space="0" w:color="auto"/>
            </w:tcBorders>
            <w:shd w:val="clear" w:color="auto" w:fill="auto"/>
            <w:vAlign w:val="center"/>
            <w:hideMark/>
          </w:tcPr>
          <w:p w:rsidR="0055491A" w:rsidRPr="00373949" w:rsidRDefault="0055491A" w:rsidP="00210BF6">
            <w:pPr>
              <w:jc w:val="center"/>
              <w:rPr>
                <w:sz w:val="22"/>
                <w:szCs w:val="22"/>
              </w:rPr>
            </w:pPr>
            <w:r w:rsidRPr="00373949">
              <w:rPr>
                <w:sz w:val="22"/>
                <w:szCs w:val="22"/>
              </w:rPr>
              <w:t>1 133,40</w:t>
            </w:r>
          </w:p>
        </w:tc>
      </w:tr>
      <w:tr w:rsidR="0055491A" w:rsidTr="00210BF6">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rsidR="0055491A" w:rsidRPr="00373949" w:rsidRDefault="0055491A" w:rsidP="00210BF6">
            <w:pPr>
              <w:jc w:val="center"/>
              <w:rPr>
                <w:sz w:val="22"/>
                <w:szCs w:val="22"/>
              </w:rPr>
            </w:pPr>
            <w:r w:rsidRPr="00373949">
              <w:rPr>
                <w:sz w:val="22"/>
                <w:szCs w:val="22"/>
              </w:rPr>
              <w:t>6</w:t>
            </w:r>
          </w:p>
        </w:tc>
        <w:tc>
          <w:tcPr>
            <w:tcW w:w="2886" w:type="dxa"/>
            <w:tcBorders>
              <w:top w:val="nil"/>
              <w:left w:val="nil"/>
              <w:bottom w:val="single" w:sz="4" w:space="0" w:color="auto"/>
              <w:right w:val="single" w:sz="4" w:space="0" w:color="auto"/>
            </w:tcBorders>
            <w:shd w:val="clear" w:color="auto" w:fill="auto"/>
            <w:vAlign w:val="center"/>
            <w:hideMark/>
          </w:tcPr>
          <w:p w:rsidR="0055491A" w:rsidRPr="00373949" w:rsidRDefault="0055491A" w:rsidP="00210BF6">
            <w:pPr>
              <w:jc w:val="both"/>
              <w:rPr>
                <w:sz w:val="22"/>
                <w:szCs w:val="22"/>
              </w:rPr>
            </w:pPr>
            <w:r w:rsidRPr="00373949">
              <w:rPr>
                <w:sz w:val="22"/>
                <w:szCs w:val="22"/>
              </w:rPr>
              <w:t>Иные штрафы</w:t>
            </w:r>
          </w:p>
        </w:tc>
        <w:tc>
          <w:tcPr>
            <w:tcW w:w="1339" w:type="dxa"/>
            <w:tcBorders>
              <w:top w:val="nil"/>
              <w:left w:val="nil"/>
              <w:bottom w:val="single" w:sz="4" w:space="0" w:color="auto"/>
              <w:right w:val="single" w:sz="4" w:space="0" w:color="auto"/>
            </w:tcBorders>
            <w:shd w:val="clear" w:color="auto" w:fill="auto"/>
            <w:vAlign w:val="center"/>
            <w:hideMark/>
          </w:tcPr>
          <w:p w:rsidR="0055491A" w:rsidRPr="00373949" w:rsidRDefault="0055491A" w:rsidP="00210BF6">
            <w:pPr>
              <w:jc w:val="center"/>
              <w:rPr>
                <w:sz w:val="22"/>
                <w:szCs w:val="22"/>
              </w:rPr>
            </w:pPr>
            <w:r w:rsidRPr="00373949">
              <w:rPr>
                <w:sz w:val="22"/>
                <w:szCs w:val="22"/>
              </w:rPr>
              <w:t>50</w:t>
            </w:r>
          </w:p>
        </w:tc>
        <w:tc>
          <w:tcPr>
            <w:tcW w:w="1603" w:type="dxa"/>
            <w:tcBorders>
              <w:top w:val="nil"/>
              <w:left w:val="nil"/>
              <w:bottom w:val="single" w:sz="4" w:space="0" w:color="auto"/>
              <w:right w:val="single" w:sz="4" w:space="0" w:color="auto"/>
            </w:tcBorders>
            <w:shd w:val="clear" w:color="auto" w:fill="auto"/>
            <w:vAlign w:val="center"/>
            <w:hideMark/>
          </w:tcPr>
          <w:p w:rsidR="0055491A" w:rsidRPr="00373949" w:rsidRDefault="0055491A" w:rsidP="00210BF6">
            <w:pPr>
              <w:jc w:val="center"/>
              <w:rPr>
                <w:sz w:val="22"/>
                <w:szCs w:val="22"/>
              </w:rPr>
            </w:pPr>
            <w:r w:rsidRPr="00373949">
              <w:rPr>
                <w:sz w:val="22"/>
                <w:szCs w:val="22"/>
              </w:rPr>
              <w:t>1</w:t>
            </w:r>
          </w:p>
        </w:tc>
        <w:tc>
          <w:tcPr>
            <w:tcW w:w="1452" w:type="dxa"/>
            <w:tcBorders>
              <w:top w:val="nil"/>
              <w:left w:val="nil"/>
              <w:bottom w:val="single" w:sz="4" w:space="0" w:color="auto"/>
              <w:right w:val="single" w:sz="4" w:space="0" w:color="auto"/>
            </w:tcBorders>
            <w:shd w:val="clear" w:color="auto" w:fill="auto"/>
            <w:vAlign w:val="center"/>
            <w:hideMark/>
          </w:tcPr>
          <w:p w:rsidR="0055491A" w:rsidRPr="00373949" w:rsidRDefault="0055491A" w:rsidP="00210BF6">
            <w:pPr>
              <w:jc w:val="center"/>
              <w:rPr>
                <w:sz w:val="22"/>
                <w:szCs w:val="22"/>
              </w:rPr>
            </w:pPr>
            <w:r w:rsidRPr="00373949">
              <w:rPr>
                <w:sz w:val="22"/>
                <w:szCs w:val="22"/>
              </w:rPr>
              <w:t>100,0%</w:t>
            </w:r>
          </w:p>
        </w:tc>
        <w:tc>
          <w:tcPr>
            <w:tcW w:w="1452" w:type="dxa"/>
            <w:tcBorders>
              <w:top w:val="nil"/>
              <w:left w:val="nil"/>
              <w:bottom w:val="single" w:sz="4" w:space="0" w:color="auto"/>
              <w:right w:val="single" w:sz="4" w:space="0" w:color="auto"/>
            </w:tcBorders>
            <w:shd w:val="clear" w:color="auto" w:fill="auto"/>
            <w:vAlign w:val="center"/>
            <w:hideMark/>
          </w:tcPr>
          <w:p w:rsidR="0055491A" w:rsidRPr="00373949" w:rsidRDefault="0055491A" w:rsidP="00210BF6">
            <w:pPr>
              <w:jc w:val="center"/>
              <w:rPr>
                <w:sz w:val="22"/>
                <w:szCs w:val="22"/>
              </w:rPr>
            </w:pPr>
            <w:r w:rsidRPr="00373949">
              <w:rPr>
                <w:sz w:val="22"/>
                <w:szCs w:val="22"/>
              </w:rPr>
              <w:t>25</w:t>
            </w:r>
          </w:p>
        </w:tc>
      </w:tr>
      <w:tr w:rsidR="0055491A" w:rsidTr="00210BF6">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rsidR="0055491A" w:rsidRPr="00373949" w:rsidRDefault="0055491A" w:rsidP="00210BF6">
            <w:pPr>
              <w:jc w:val="center"/>
              <w:rPr>
                <w:sz w:val="22"/>
                <w:szCs w:val="22"/>
              </w:rPr>
            </w:pPr>
            <w:r w:rsidRPr="00373949">
              <w:rPr>
                <w:sz w:val="22"/>
                <w:szCs w:val="22"/>
              </w:rPr>
              <w:t>7</w:t>
            </w:r>
          </w:p>
        </w:tc>
        <w:tc>
          <w:tcPr>
            <w:tcW w:w="2886" w:type="dxa"/>
            <w:tcBorders>
              <w:top w:val="nil"/>
              <w:left w:val="nil"/>
              <w:bottom w:val="single" w:sz="4" w:space="0" w:color="auto"/>
              <w:right w:val="nil"/>
            </w:tcBorders>
            <w:shd w:val="clear" w:color="auto" w:fill="auto"/>
            <w:vAlign w:val="center"/>
            <w:hideMark/>
          </w:tcPr>
          <w:p w:rsidR="0055491A" w:rsidRPr="00373949" w:rsidRDefault="0055491A" w:rsidP="00210BF6">
            <w:pPr>
              <w:rPr>
                <w:b/>
                <w:bCs/>
                <w:sz w:val="22"/>
                <w:szCs w:val="22"/>
              </w:rPr>
            </w:pPr>
            <w:r w:rsidRPr="00373949">
              <w:rPr>
                <w:b/>
                <w:bCs/>
                <w:sz w:val="22"/>
                <w:szCs w:val="22"/>
              </w:rPr>
              <w:t>ИТОГО</w:t>
            </w:r>
          </w:p>
        </w:tc>
        <w:tc>
          <w:tcPr>
            <w:tcW w:w="1339" w:type="dxa"/>
            <w:tcBorders>
              <w:top w:val="nil"/>
              <w:left w:val="nil"/>
              <w:bottom w:val="single" w:sz="4" w:space="0" w:color="auto"/>
              <w:right w:val="nil"/>
            </w:tcBorders>
            <w:shd w:val="clear" w:color="auto" w:fill="auto"/>
            <w:vAlign w:val="center"/>
            <w:hideMark/>
          </w:tcPr>
          <w:p w:rsidR="0055491A" w:rsidRPr="00373949" w:rsidRDefault="0055491A" w:rsidP="00210BF6">
            <w:pPr>
              <w:rPr>
                <w:b/>
                <w:bCs/>
                <w:sz w:val="22"/>
                <w:szCs w:val="22"/>
              </w:rPr>
            </w:pPr>
            <w:r w:rsidRPr="00373949">
              <w:rPr>
                <w:b/>
                <w:bCs/>
                <w:sz w:val="22"/>
                <w:szCs w:val="22"/>
              </w:rPr>
              <w:t> </w:t>
            </w:r>
          </w:p>
        </w:tc>
        <w:tc>
          <w:tcPr>
            <w:tcW w:w="1603" w:type="dxa"/>
            <w:tcBorders>
              <w:top w:val="nil"/>
              <w:left w:val="nil"/>
              <w:bottom w:val="single" w:sz="4" w:space="0" w:color="auto"/>
              <w:right w:val="nil"/>
            </w:tcBorders>
            <w:shd w:val="clear" w:color="auto" w:fill="auto"/>
            <w:vAlign w:val="center"/>
            <w:hideMark/>
          </w:tcPr>
          <w:p w:rsidR="0055491A" w:rsidRPr="00373949" w:rsidRDefault="0055491A" w:rsidP="00210BF6">
            <w:pPr>
              <w:rPr>
                <w:b/>
                <w:bCs/>
                <w:sz w:val="22"/>
                <w:szCs w:val="22"/>
              </w:rPr>
            </w:pPr>
            <w:r w:rsidRPr="00373949">
              <w:rPr>
                <w:b/>
                <w:bCs/>
                <w:sz w:val="22"/>
                <w:szCs w:val="22"/>
              </w:rPr>
              <w:t> </w:t>
            </w:r>
          </w:p>
        </w:tc>
        <w:tc>
          <w:tcPr>
            <w:tcW w:w="1452" w:type="dxa"/>
            <w:tcBorders>
              <w:top w:val="nil"/>
              <w:left w:val="nil"/>
              <w:bottom w:val="single" w:sz="4" w:space="0" w:color="auto"/>
              <w:right w:val="single" w:sz="4" w:space="0" w:color="auto"/>
            </w:tcBorders>
            <w:shd w:val="clear" w:color="auto" w:fill="auto"/>
            <w:vAlign w:val="center"/>
            <w:hideMark/>
          </w:tcPr>
          <w:p w:rsidR="0055491A" w:rsidRPr="00373949" w:rsidRDefault="0055491A" w:rsidP="00210BF6">
            <w:pPr>
              <w:rPr>
                <w:b/>
                <w:bCs/>
                <w:sz w:val="22"/>
                <w:szCs w:val="22"/>
              </w:rPr>
            </w:pPr>
            <w:r w:rsidRPr="00373949">
              <w:rPr>
                <w:b/>
                <w:bCs/>
                <w:sz w:val="22"/>
                <w:szCs w:val="22"/>
              </w:rPr>
              <w:t> </w:t>
            </w:r>
          </w:p>
        </w:tc>
        <w:tc>
          <w:tcPr>
            <w:tcW w:w="1452" w:type="dxa"/>
            <w:tcBorders>
              <w:top w:val="nil"/>
              <w:left w:val="nil"/>
              <w:bottom w:val="single" w:sz="4" w:space="0" w:color="auto"/>
              <w:right w:val="single" w:sz="4" w:space="0" w:color="auto"/>
            </w:tcBorders>
            <w:shd w:val="clear" w:color="auto" w:fill="auto"/>
            <w:vAlign w:val="center"/>
            <w:hideMark/>
          </w:tcPr>
          <w:p w:rsidR="0055491A" w:rsidRPr="00373949" w:rsidRDefault="0055491A" w:rsidP="00210BF6">
            <w:pPr>
              <w:jc w:val="center"/>
              <w:rPr>
                <w:b/>
                <w:bCs/>
                <w:sz w:val="22"/>
                <w:szCs w:val="22"/>
              </w:rPr>
            </w:pPr>
            <w:r w:rsidRPr="00373949">
              <w:rPr>
                <w:b/>
                <w:bCs/>
                <w:sz w:val="22"/>
                <w:szCs w:val="22"/>
              </w:rPr>
              <w:t>1</w:t>
            </w:r>
            <w:r>
              <w:rPr>
                <w:b/>
                <w:bCs/>
                <w:sz w:val="22"/>
                <w:szCs w:val="22"/>
              </w:rPr>
              <w:t xml:space="preserve"> 4</w:t>
            </w:r>
            <w:r w:rsidRPr="00373949">
              <w:rPr>
                <w:b/>
                <w:bCs/>
                <w:sz w:val="22"/>
                <w:szCs w:val="22"/>
              </w:rPr>
              <w:t>25,5</w:t>
            </w:r>
          </w:p>
        </w:tc>
      </w:tr>
    </w:tbl>
    <w:p w:rsidR="0055491A" w:rsidRDefault="0055491A" w:rsidP="0055491A">
      <w:pPr>
        <w:pStyle w:val="a7"/>
        <w:spacing w:after="0"/>
        <w:ind w:left="0" w:firstLine="709"/>
        <w:jc w:val="both"/>
        <w:rPr>
          <w:sz w:val="28"/>
          <w:szCs w:val="28"/>
        </w:rPr>
      </w:pPr>
    </w:p>
    <w:p w:rsidR="0055491A" w:rsidRDefault="0055491A" w:rsidP="0055491A">
      <w:pPr>
        <w:pStyle w:val="a7"/>
        <w:spacing w:after="0"/>
        <w:ind w:left="0" w:firstLine="709"/>
        <w:jc w:val="both"/>
        <w:rPr>
          <w:sz w:val="28"/>
          <w:szCs w:val="28"/>
        </w:rPr>
      </w:pPr>
      <w:r w:rsidRPr="006510C1">
        <w:rPr>
          <w:b/>
          <w:sz w:val="28"/>
          <w:szCs w:val="28"/>
        </w:rPr>
        <w:t>Прогноз поступлений 2022 год 1 425,5 тыс. руб</w:t>
      </w:r>
      <w:r>
        <w:rPr>
          <w:sz w:val="28"/>
          <w:szCs w:val="28"/>
        </w:rPr>
        <w:t xml:space="preserve">., </w:t>
      </w:r>
      <w:r w:rsidRPr="006510C1">
        <w:rPr>
          <w:b/>
          <w:sz w:val="28"/>
          <w:szCs w:val="28"/>
        </w:rPr>
        <w:t>2023-2024 г</w:t>
      </w:r>
      <w:r>
        <w:rPr>
          <w:b/>
          <w:sz w:val="28"/>
          <w:szCs w:val="28"/>
        </w:rPr>
        <w:t xml:space="preserve">г. </w:t>
      </w:r>
      <w:r w:rsidRPr="001D09DD">
        <w:rPr>
          <w:sz w:val="28"/>
          <w:szCs w:val="28"/>
        </w:rPr>
        <w:t>принят на уровне прогноза на 20</w:t>
      </w:r>
      <w:r>
        <w:rPr>
          <w:sz w:val="28"/>
          <w:szCs w:val="28"/>
        </w:rPr>
        <w:t>22</w:t>
      </w:r>
      <w:r w:rsidRPr="001D09DD">
        <w:rPr>
          <w:sz w:val="28"/>
          <w:szCs w:val="28"/>
        </w:rPr>
        <w:t xml:space="preserve"> год и составляет</w:t>
      </w:r>
      <w:r>
        <w:rPr>
          <w:sz w:val="28"/>
          <w:szCs w:val="28"/>
        </w:rPr>
        <w:t xml:space="preserve"> </w:t>
      </w:r>
      <w:r w:rsidRPr="006510C1">
        <w:rPr>
          <w:b/>
          <w:sz w:val="28"/>
          <w:szCs w:val="28"/>
        </w:rPr>
        <w:t>1 425,5 тыс. руб</w:t>
      </w:r>
      <w:r>
        <w:rPr>
          <w:sz w:val="28"/>
          <w:szCs w:val="28"/>
        </w:rPr>
        <w:t>. ежегодно.</w:t>
      </w:r>
    </w:p>
    <w:p w:rsidR="0055491A" w:rsidRDefault="0055491A" w:rsidP="0055491A">
      <w:pPr>
        <w:pStyle w:val="a7"/>
        <w:spacing w:after="0"/>
        <w:ind w:left="0" w:firstLine="709"/>
        <w:jc w:val="both"/>
        <w:rPr>
          <w:sz w:val="28"/>
          <w:szCs w:val="28"/>
          <w:highlight w:val="yellow"/>
        </w:rPr>
      </w:pPr>
    </w:p>
    <w:p w:rsidR="0055491A" w:rsidRPr="000B0625" w:rsidRDefault="0055491A" w:rsidP="0055491A">
      <w:pPr>
        <w:pStyle w:val="a7"/>
        <w:spacing w:after="0"/>
        <w:ind w:left="0" w:firstLine="709"/>
        <w:jc w:val="both"/>
        <w:rPr>
          <w:sz w:val="28"/>
          <w:szCs w:val="28"/>
        </w:rPr>
      </w:pPr>
      <w:r>
        <w:rPr>
          <w:sz w:val="28"/>
          <w:szCs w:val="28"/>
        </w:rPr>
        <w:t>3</w:t>
      </w:r>
      <w:r w:rsidRPr="001D09DD">
        <w:rPr>
          <w:sz w:val="28"/>
          <w:szCs w:val="28"/>
        </w:rPr>
        <w:t xml:space="preserve">. </w:t>
      </w:r>
      <w:r w:rsidRPr="00B03A5B">
        <w:rPr>
          <w:sz w:val="28"/>
          <w:szCs w:val="28"/>
        </w:rPr>
        <w:t xml:space="preserve">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w:t>
      </w:r>
      <w:r w:rsidRPr="0046227F">
        <w:rPr>
          <w:sz w:val="28"/>
          <w:szCs w:val="28"/>
        </w:rPr>
        <w:t>(</w:t>
      </w:r>
      <w:r w:rsidRPr="006510C1">
        <w:rPr>
          <w:b/>
          <w:sz w:val="28"/>
          <w:szCs w:val="28"/>
        </w:rPr>
        <w:t>КБК 000 1 16 01070 01 0000 140</w:t>
      </w:r>
      <w:r w:rsidRPr="0046227F">
        <w:rPr>
          <w:sz w:val="28"/>
          <w:szCs w:val="28"/>
        </w:rPr>
        <w:t>).</w:t>
      </w:r>
      <w:r>
        <w:rPr>
          <w:sz w:val="28"/>
          <w:szCs w:val="28"/>
        </w:rPr>
        <w:t xml:space="preserve"> Прогноз по данному КБК всего                                              на </w:t>
      </w:r>
      <w:r w:rsidRPr="0064605E">
        <w:rPr>
          <w:b/>
          <w:sz w:val="28"/>
          <w:szCs w:val="28"/>
        </w:rPr>
        <w:t>2022 год – 6 153,5 тыс. руб., 2023 год – 6 288,4 тыс. руб.,                                                        2024 год – 6 158,4 тыс. руб.</w:t>
      </w:r>
    </w:p>
    <w:p w:rsidR="0055491A" w:rsidRPr="00485D9D" w:rsidRDefault="0055491A" w:rsidP="0055491A">
      <w:pPr>
        <w:pStyle w:val="a7"/>
        <w:spacing w:after="0"/>
        <w:ind w:left="0" w:firstLine="709"/>
        <w:jc w:val="both"/>
        <w:rPr>
          <w:sz w:val="28"/>
          <w:szCs w:val="28"/>
        </w:rPr>
      </w:pPr>
      <w:r w:rsidRPr="00485D9D">
        <w:rPr>
          <w:sz w:val="28"/>
          <w:szCs w:val="28"/>
        </w:rPr>
        <w:t xml:space="preserve">3.1 </w:t>
      </w:r>
      <w:r w:rsidRPr="0064605E">
        <w:rPr>
          <w:b/>
          <w:sz w:val="28"/>
          <w:szCs w:val="28"/>
        </w:rPr>
        <w:t>КБК 017 1 16 01072 01 0000 140</w:t>
      </w:r>
      <w:r w:rsidRPr="00485D9D">
        <w:rPr>
          <w:sz w:val="28"/>
          <w:szCs w:val="28"/>
        </w:rPr>
        <w:t xml:space="preserve"> 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w:t>
      </w:r>
    </w:p>
    <w:p w:rsidR="0055491A" w:rsidRPr="0064605E" w:rsidRDefault="0055491A" w:rsidP="0055491A">
      <w:pPr>
        <w:pStyle w:val="a7"/>
        <w:spacing w:after="0"/>
        <w:ind w:left="0" w:firstLine="709"/>
        <w:jc w:val="both"/>
        <w:rPr>
          <w:b/>
          <w:sz w:val="28"/>
          <w:szCs w:val="28"/>
        </w:rPr>
      </w:pPr>
      <w:r w:rsidRPr="0064605E">
        <w:rPr>
          <w:b/>
          <w:sz w:val="28"/>
          <w:szCs w:val="28"/>
        </w:rPr>
        <w:t>Главный администратор доходов - Главное управление "Государственная жилищная инспекция" Тверской области.</w:t>
      </w:r>
    </w:p>
    <w:p w:rsidR="0055491A" w:rsidRDefault="0055491A" w:rsidP="0055491A">
      <w:pPr>
        <w:spacing w:line="252" w:lineRule="auto"/>
        <w:ind w:firstLine="709"/>
        <w:jc w:val="both"/>
        <w:rPr>
          <w:sz w:val="28"/>
        </w:rPr>
      </w:pPr>
      <w:r w:rsidRPr="000D4676">
        <w:rPr>
          <w:sz w:val="28"/>
          <w:szCs w:val="28"/>
        </w:rPr>
        <w:t xml:space="preserve">Расчет произведен в соответствии с методикой, утвержденной приказом </w:t>
      </w:r>
      <w:r w:rsidRPr="00B03A5B">
        <w:rPr>
          <w:sz w:val="28"/>
          <w:szCs w:val="28"/>
        </w:rPr>
        <w:t>Главно</w:t>
      </w:r>
      <w:r>
        <w:rPr>
          <w:sz w:val="28"/>
          <w:szCs w:val="28"/>
        </w:rPr>
        <w:t>го управления «</w:t>
      </w:r>
      <w:r w:rsidRPr="00B03A5B">
        <w:rPr>
          <w:sz w:val="28"/>
          <w:szCs w:val="28"/>
        </w:rPr>
        <w:t>Государственн</w:t>
      </w:r>
      <w:r>
        <w:rPr>
          <w:sz w:val="28"/>
          <w:szCs w:val="28"/>
        </w:rPr>
        <w:t>ой жилищной инспекции»</w:t>
      </w:r>
      <w:r w:rsidRPr="00B03A5B">
        <w:rPr>
          <w:sz w:val="28"/>
          <w:szCs w:val="28"/>
        </w:rPr>
        <w:t xml:space="preserve"> Тверской области</w:t>
      </w:r>
      <w:r>
        <w:rPr>
          <w:sz w:val="28"/>
          <w:szCs w:val="28"/>
        </w:rPr>
        <w:t xml:space="preserve"> от 25.06.2020 № 40-ОД (с учетом принятых изменений).</w:t>
      </w:r>
      <w:r w:rsidRPr="003434F3">
        <w:rPr>
          <w:sz w:val="28"/>
        </w:rPr>
        <w:t xml:space="preserve"> </w:t>
      </w:r>
    </w:p>
    <w:p w:rsidR="0055491A" w:rsidRDefault="0055491A" w:rsidP="0055491A">
      <w:pPr>
        <w:spacing w:line="252" w:lineRule="auto"/>
        <w:ind w:firstLine="709"/>
        <w:jc w:val="both"/>
        <w:rPr>
          <w:sz w:val="28"/>
        </w:rPr>
      </w:pPr>
      <w:r>
        <w:rPr>
          <w:sz w:val="28"/>
        </w:rPr>
        <w:t xml:space="preserve">Прогноз поступлений доходов рассчитан методом прямого расчета по количеству привлечений физических, </w:t>
      </w:r>
      <w:r>
        <w:rPr>
          <w:noProof/>
        </w:rPr>
        <w:drawing>
          <wp:inline distT="0" distB="0" distL="0" distR="0" wp14:anchorId="6F536125" wp14:editId="6CC2B8D5">
            <wp:extent cx="4572" cy="4572"/>
            <wp:effectExtent l="0" t="0" r="0" b="0"/>
            <wp:docPr id="24359" name="Picture 24359"/>
            <wp:cNvGraphicFramePr/>
            <a:graphic xmlns:a="http://schemas.openxmlformats.org/drawingml/2006/main">
              <a:graphicData uri="http://schemas.openxmlformats.org/drawingml/2006/picture">
                <pic:pic xmlns:pic="http://schemas.openxmlformats.org/drawingml/2006/picture">
                  <pic:nvPicPr>
                    <pic:cNvPr id="24359" name="Picture 24359"/>
                    <pic:cNvPicPr/>
                  </pic:nvPicPr>
                  <pic:blipFill>
                    <a:blip r:embed="rId32"/>
                    <a:stretch>
                      <a:fillRect/>
                    </a:stretch>
                  </pic:blipFill>
                  <pic:spPr>
                    <a:xfrm>
                      <a:off x="0" y="0"/>
                      <a:ext cx="4572" cy="4572"/>
                    </a:xfrm>
                    <a:prstGeom prst="rect">
                      <a:avLst/>
                    </a:prstGeom>
                  </pic:spPr>
                </pic:pic>
              </a:graphicData>
            </a:graphic>
          </wp:inline>
        </w:drawing>
      </w:r>
      <w:r>
        <w:rPr>
          <w:sz w:val="28"/>
        </w:rPr>
        <w:t>должностных и юридических лиц к административной ответственности  за н</w:t>
      </w:r>
      <w:r>
        <w:rPr>
          <w:sz w:val="30"/>
        </w:rPr>
        <w:t>арушение правил пользования жилыми помещениями,</w:t>
      </w:r>
      <w:r w:rsidRPr="00353571">
        <w:rPr>
          <w:sz w:val="30"/>
        </w:rPr>
        <w:t xml:space="preserve"> </w:t>
      </w:r>
      <w:r>
        <w:rPr>
          <w:sz w:val="30"/>
        </w:rPr>
        <w:t>нарушение правил содержания и ремонта жилых домов и (или) жилых помещений,</w:t>
      </w:r>
      <w:r w:rsidRPr="00353571">
        <w:rPr>
          <w:sz w:val="30"/>
        </w:rPr>
        <w:t xml:space="preserve"> </w:t>
      </w:r>
      <w:r>
        <w:rPr>
          <w:sz w:val="30"/>
        </w:rPr>
        <w:t>нарушение обеспечения населения  коммунальными услугами</w:t>
      </w:r>
      <w:r>
        <w:rPr>
          <w:sz w:val="28"/>
        </w:rPr>
        <w:t xml:space="preserve"> и размера штрафа в соответствии с КоАП РФ.</w:t>
      </w:r>
    </w:p>
    <w:p w:rsidR="0055491A" w:rsidRDefault="0055491A" w:rsidP="0055491A">
      <w:pPr>
        <w:spacing w:line="252" w:lineRule="auto"/>
        <w:ind w:firstLine="709"/>
        <w:jc w:val="both"/>
        <w:rPr>
          <w:sz w:val="28"/>
        </w:rPr>
      </w:pPr>
      <w:r>
        <w:rPr>
          <w:sz w:val="28"/>
        </w:rPr>
        <w:t>Расчет прогноза поступлений на 2021 – 2023 годы представлен в таблице в разрезе соответствующих статей КоАП РФ.</w:t>
      </w:r>
    </w:p>
    <w:p w:rsidR="0055491A" w:rsidRDefault="0055491A" w:rsidP="0055491A">
      <w:pPr>
        <w:spacing w:line="252" w:lineRule="auto"/>
        <w:ind w:firstLine="709"/>
        <w:jc w:val="both"/>
        <w:rPr>
          <w:sz w:val="28"/>
        </w:rPr>
      </w:pPr>
    </w:p>
    <w:tbl>
      <w:tblPr>
        <w:tblW w:w="9346" w:type="dxa"/>
        <w:tblLook w:val="04A0" w:firstRow="1" w:lastRow="0" w:firstColumn="1" w:lastColumn="0" w:noHBand="0" w:noVBand="1"/>
      </w:tblPr>
      <w:tblGrid>
        <w:gridCol w:w="976"/>
        <w:gridCol w:w="723"/>
        <w:gridCol w:w="701"/>
        <w:gridCol w:w="709"/>
        <w:gridCol w:w="709"/>
        <w:gridCol w:w="708"/>
        <w:gridCol w:w="709"/>
        <w:gridCol w:w="709"/>
        <w:gridCol w:w="1134"/>
        <w:gridCol w:w="1134"/>
        <w:gridCol w:w="1134"/>
      </w:tblGrid>
      <w:tr w:rsidR="0055491A" w:rsidRPr="00F80477" w:rsidTr="00210BF6">
        <w:trPr>
          <w:trHeight w:val="418"/>
        </w:trPr>
        <w:tc>
          <w:tcPr>
            <w:tcW w:w="976" w:type="dxa"/>
            <w:tcBorders>
              <w:top w:val="single" w:sz="8" w:space="0" w:color="auto"/>
              <w:left w:val="single" w:sz="8" w:space="0" w:color="auto"/>
              <w:bottom w:val="single" w:sz="8" w:space="0" w:color="auto"/>
              <w:right w:val="single" w:sz="8" w:space="0" w:color="000000"/>
            </w:tcBorders>
          </w:tcPr>
          <w:p w:rsidR="0055491A" w:rsidRPr="00F80477" w:rsidRDefault="0055491A" w:rsidP="00210BF6">
            <w:pPr>
              <w:jc w:val="center"/>
              <w:rPr>
                <w:b/>
                <w:bCs/>
              </w:rPr>
            </w:pPr>
          </w:p>
        </w:tc>
        <w:tc>
          <w:tcPr>
            <w:tcW w:w="8370" w:type="dxa"/>
            <w:gridSpan w:val="10"/>
            <w:tcBorders>
              <w:top w:val="single" w:sz="8" w:space="0" w:color="auto"/>
              <w:left w:val="single" w:sz="8" w:space="0" w:color="auto"/>
              <w:bottom w:val="single" w:sz="8" w:space="0" w:color="auto"/>
              <w:right w:val="single" w:sz="8" w:space="0" w:color="000000"/>
            </w:tcBorders>
            <w:shd w:val="clear" w:color="auto" w:fill="auto"/>
            <w:vAlign w:val="center"/>
            <w:hideMark/>
          </w:tcPr>
          <w:p w:rsidR="0055491A" w:rsidRPr="00F80477" w:rsidRDefault="0055491A" w:rsidP="00210BF6">
            <w:pPr>
              <w:jc w:val="center"/>
              <w:rPr>
                <w:b/>
                <w:bCs/>
              </w:rPr>
            </w:pPr>
            <w:r w:rsidRPr="00F80477">
              <w:rPr>
                <w:b/>
                <w:bCs/>
              </w:rPr>
              <w:t xml:space="preserve">Нарушение статьи </w:t>
            </w:r>
            <w:r>
              <w:rPr>
                <w:b/>
                <w:bCs/>
              </w:rPr>
              <w:t>7.21 ч.1.2</w:t>
            </w:r>
            <w:r w:rsidRPr="00F80477">
              <w:rPr>
                <w:b/>
                <w:bCs/>
              </w:rPr>
              <w:t xml:space="preserve"> </w:t>
            </w:r>
            <w:r>
              <w:rPr>
                <w:b/>
                <w:bCs/>
              </w:rPr>
              <w:t>КоАП РФ</w:t>
            </w:r>
          </w:p>
        </w:tc>
      </w:tr>
      <w:tr w:rsidR="0055491A" w:rsidRPr="00F80477" w:rsidTr="00210BF6">
        <w:trPr>
          <w:trHeight w:val="645"/>
        </w:trPr>
        <w:tc>
          <w:tcPr>
            <w:tcW w:w="976" w:type="dxa"/>
            <w:vMerge w:val="restart"/>
            <w:tcBorders>
              <w:top w:val="nil"/>
              <w:left w:val="single" w:sz="8" w:space="0" w:color="auto"/>
              <w:bottom w:val="single" w:sz="8" w:space="0" w:color="000000"/>
              <w:right w:val="single" w:sz="8" w:space="0" w:color="auto"/>
            </w:tcBorders>
            <w:shd w:val="clear" w:color="auto" w:fill="auto"/>
            <w:vAlign w:val="center"/>
            <w:hideMark/>
          </w:tcPr>
          <w:p w:rsidR="0055491A" w:rsidRDefault="0055491A" w:rsidP="00210BF6">
            <w:pPr>
              <w:jc w:val="center"/>
              <w:rPr>
                <w:b/>
                <w:bCs/>
                <w:sz w:val="20"/>
                <w:szCs w:val="20"/>
              </w:rPr>
            </w:pPr>
            <w:r>
              <w:rPr>
                <w:b/>
                <w:bCs/>
                <w:sz w:val="20"/>
                <w:szCs w:val="20"/>
              </w:rPr>
              <w:t>Размер платежа</w:t>
            </w:r>
          </w:p>
        </w:tc>
        <w:tc>
          <w:tcPr>
            <w:tcW w:w="723" w:type="dxa"/>
            <w:tcBorders>
              <w:top w:val="single" w:sz="8" w:space="0" w:color="auto"/>
              <w:left w:val="nil"/>
              <w:bottom w:val="single" w:sz="4" w:space="0" w:color="auto"/>
              <w:right w:val="nil"/>
            </w:tcBorders>
          </w:tcPr>
          <w:p w:rsidR="0055491A" w:rsidRPr="00F80477" w:rsidRDefault="0055491A" w:rsidP="00210BF6">
            <w:pPr>
              <w:jc w:val="center"/>
              <w:rPr>
                <w:b/>
                <w:bCs/>
              </w:rPr>
            </w:pPr>
          </w:p>
        </w:tc>
        <w:tc>
          <w:tcPr>
            <w:tcW w:w="4245" w:type="dxa"/>
            <w:gridSpan w:val="6"/>
            <w:tcBorders>
              <w:top w:val="single" w:sz="8" w:space="0" w:color="auto"/>
              <w:left w:val="nil"/>
              <w:bottom w:val="single" w:sz="4" w:space="0" w:color="auto"/>
              <w:right w:val="single" w:sz="4" w:space="0" w:color="auto"/>
            </w:tcBorders>
            <w:shd w:val="clear" w:color="auto" w:fill="auto"/>
            <w:vAlign w:val="center"/>
            <w:hideMark/>
          </w:tcPr>
          <w:p w:rsidR="0055491A" w:rsidRPr="00F80477" w:rsidRDefault="0055491A" w:rsidP="00210BF6">
            <w:pPr>
              <w:jc w:val="center"/>
              <w:rPr>
                <w:b/>
                <w:bCs/>
              </w:rPr>
            </w:pPr>
            <w:r w:rsidRPr="00F80477">
              <w:rPr>
                <w:b/>
                <w:bCs/>
              </w:rPr>
              <w:t>Количество правонарушений                                     (с учетом округления</w:t>
            </w:r>
            <w:r>
              <w:rPr>
                <w:b/>
                <w:bCs/>
              </w:rPr>
              <w:t xml:space="preserve"> </w:t>
            </w:r>
            <w:r w:rsidRPr="00F80477">
              <w:rPr>
                <w:b/>
                <w:bCs/>
              </w:rPr>
              <w:t>)</w:t>
            </w:r>
          </w:p>
        </w:tc>
        <w:tc>
          <w:tcPr>
            <w:tcW w:w="3402" w:type="dxa"/>
            <w:gridSpan w:val="3"/>
            <w:tcBorders>
              <w:top w:val="single" w:sz="8" w:space="0" w:color="auto"/>
              <w:left w:val="nil"/>
              <w:bottom w:val="single" w:sz="4" w:space="0" w:color="auto"/>
              <w:right w:val="single" w:sz="8" w:space="0" w:color="000000"/>
            </w:tcBorders>
            <w:shd w:val="clear" w:color="auto" w:fill="auto"/>
            <w:vAlign w:val="center"/>
            <w:hideMark/>
          </w:tcPr>
          <w:p w:rsidR="0055491A" w:rsidRPr="00F80477" w:rsidRDefault="0055491A" w:rsidP="00210BF6">
            <w:pPr>
              <w:jc w:val="center"/>
              <w:rPr>
                <w:b/>
                <w:bCs/>
              </w:rPr>
            </w:pPr>
            <w:r w:rsidRPr="00F80477">
              <w:rPr>
                <w:b/>
                <w:bCs/>
              </w:rPr>
              <w:t xml:space="preserve">Прогноз </w:t>
            </w:r>
          </w:p>
        </w:tc>
      </w:tr>
      <w:tr w:rsidR="0055491A" w:rsidTr="00210BF6">
        <w:trPr>
          <w:trHeight w:val="1005"/>
        </w:trPr>
        <w:tc>
          <w:tcPr>
            <w:tcW w:w="976" w:type="dxa"/>
            <w:vMerge/>
            <w:tcBorders>
              <w:top w:val="nil"/>
              <w:left w:val="single" w:sz="8" w:space="0" w:color="auto"/>
              <w:bottom w:val="single" w:sz="4" w:space="0" w:color="auto"/>
              <w:right w:val="single" w:sz="8" w:space="0" w:color="auto"/>
            </w:tcBorders>
            <w:vAlign w:val="center"/>
            <w:hideMark/>
          </w:tcPr>
          <w:p w:rsidR="0055491A" w:rsidRDefault="0055491A" w:rsidP="00210BF6">
            <w:pPr>
              <w:rPr>
                <w:b/>
                <w:bCs/>
                <w:sz w:val="20"/>
                <w:szCs w:val="20"/>
              </w:rPr>
            </w:pPr>
          </w:p>
        </w:tc>
        <w:tc>
          <w:tcPr>
            <w:tcW w:w="723" w:type="dxa"/>
            <w:tcBorders>
              <w:top w:val="nil"/>
              <w:left w:val="single" w:sz="4" w:space="0" w:color="auto"/>
              <w:bottom w:val="single" w:sz="4" w:space="0" w:color="auto"/>
              <w:right w:val="single" w:sz="4" w:space="0" w:color="auto"/>
            </w:tcBorders>
            <w:shd w:val="clear" w:color="auto" w:fill="auto"/>
            <w:vAlign w:val="center"/>
            <w:hideMark/>
          </w:tcPr>
          <w:p w:rsidR="0055491A" w:rsidRDefault="0055491A" w:rsidP="00210BF6">
            <w:pPr>
              <w:jc w:val="center"/>
              <w:rPr>
                <w:b/>
                <w:bCs/>
                <w:sz w:val="20"/>
                <w:szCs w:val="20"/>
              </w:rPr>
            </w:pPr>
            <w:r>
              <w:rPr>
                <w:b/>
                <w:bCs/>
                <w:sz w:val="20"/>
                <w:szCs w:val="20"/>
              </w:rPr>
              <w:t>2018 год</w:t>
            </w:r>
          </w:p>
        </w:tc>
        <w:tc>
          <w:tcPr>
            <w:tcW w:w="701" w:type="dxa"/>
            <w:tcBorders>
              <w:top w:val="nil"/>
              <w:left w:val="nil"/>
              <w:bottom w:val="single" w:sz="4" w:space="0" w:color="auto"/>
              <w:right w:val="single" w:sz="4" w:space="0" w:color="auto"/>
            </w:tcBorders>
            <w:shd w:val="clear" w:color="auto" w:fill="auto"/>
            <w:vAlign w:val="center"/>
            <w:hideMark/>
          </w:tcPr>
          <w:p w:rsidR="0055491A" w:rsidRDefault="0055491A" w:rsidP="00210BF6">
            <w:pPr>
              <w:jc w:val="center"/>
              <w:rPr>
                <w:b/>
                <w:bCs/>
                <w:sz w:val="20"/>
                <w:szCs w:val="20"/>
              </w:rPr>
            </w:pPr>
            <w:r>
              <w:rPr>
                <w:b/>
                <w:bCs/>
                <w:sz w:val="20"/>
                <w:szCs w:val="20"/>
              </w:rPr>
              <w:t>2019 год</w:t>
            </w:r>
          </w:p>
        </w:tc>
        <w:tc>
          <w:tcPr>
            <w:tcW w:w="709" w:type="dxa"/>
            <w:tcBorders>
              <w:top w:val="nil"/>
              <w:left w:val="nil"/>
              <w:bottom w:val="single" w:sz="4" w:space="0" w:color="auto"/>
              <w:right w:val="single" w:sz="4" w:space="0" w:color="auto"/>
            </w:tcBorders>
            <w:shd w:val="clear" w:color="auto" w:fill="auto"/>
            <w:vAlign w:val="center"/>
            <w:hideMark/>
          </w:tcPr>
          <w:p w:rsidR="0055491A" w:rsidRDefault="0055491A" w:rsidP="00210BF6">
            <w:pPr>
              <w:jc w:val="center"/>
              <w:rPr>
                <w:b/>
                <w:bCs/>
                <w:sz w:val="20"/>
                <w:szCs w:val="20"/>
              </w:rPr>
            </w:pPr>
            <w:r>
              <w:rPr>
                <w:b/>
                <w:bCs/>
                <w:sz w:val="20"/>
                <w:szCs w:val="20"/>
              </w:rPr>
              <w:t>2020 год</w:t>
            </w:r>
          </w:p>
        </w:tc>
        <w:tc>
          <w:tcPr>
            <w:tcW w:w="709" w:type="dxa"/>
            <w:tcBorders>
              <w:top w:val="nil"/>
              <w:left w:val="nil"/>
              <w:bottom w:val="single" w:sz="4" w:space="0" w:color="auto"/>
              <w:right w:val="nil"/>
            </w:tcBorders>
            <w:vAlign w:val="center"/>
          </w:tcPr>
          <w:p w:rsidR="0055491A" w:rsidRPr="00191EBF" w:rsidRDefault="0055491A" w:rsidP="00210BF6">
            <w:pPr>
              <w:jc w:val="center"/>
              <w:rPr>
                <w:bCs/>
                <w:sz w:val="20"/>
                <w:szCs w:val="20"/>
              </w:rPr>
            </w:pPr>
            <w:r w:rsidRPr="00191EBF">
              <w:rPr>
                <w:b/>
                <w:bCs/>
                <w:sz w:val="20"/>
                <w:szCs w:val="20"/>
              </w:rPr>
              <w:t>Ср. на 202</w:t>
            </w:r>
            <w:r>
              <w:rPr>
                <w:b/>
                <w:bCs/>
                <w:sz w:val="20"/>
                <w:szCs w:val="20"/>
              </w:rPr>
              <w:t>1</w:t>
            </w:r>
            <w:r w:rsidRPr="00191EBF">
              <w:rPr>
                <w:b/>
                <w:bCs/>
                <w:sz w:val="20"/>
                <w:szCs w:val="20"/>
              </w:rPr>
              <w:t xml:space="preserve"> год</w:t>
            </w:r>
          </w:p>
        </w:tc>
        <w:tc>
          <w:tcPr>
            <w:tcW w:w="708" w:type="dxa"/>
            <w:tcBorders>
              <w:top w:val="nil"/>
              <w:left w:val="nil"/>
              <w:bottom w:val="single" w:sz="4" w:space="0" w:color="auto"/>
              <w:right w:val="single" w:sz="4" w:space="0" w:color="auto"/>
            </w:tcBorders>
            <w:shd w:val="clear" w:color="auto" w:fill="auto"/>
            <w:vAlign w:val="center"/>
            <w:hideMark/>
          </w:tcPr>
          <w:p w:rsidR="0055491A" w:rsidRDefault="0055491A" w:rsidP="00210BF6">
            <w:pPr>
              <w:jc w:val="center"/>
              <w:rPr>
                <w:b/>
                <w:bCs/>
                <w:sz w:val="20"/>
                <w:szCs w:val="20"/>
              </w:rPr>
            </w:pPr>
            <w:r>
              <w:rPr>
                <w:b/>
                <w:bCs/>
                <w:sz w:val="20"/>
                <w:szCs w:val="20"/>
              </w:rPr>
              <w:t>Ср. на 2022 год</w:t>
            </w:r>
          </w:p>
        </w:tc>
        <w:tc>
          <w:tcPr>
            <w:tcW w:w="709" w:type="dxa"/>
            <w:tcBorders>
              <w:top w:val="nil"/>
              <w:left w:val="nil"/>
              <w:bottom w:val="single" w:sz="4" w:space="0" w:color="auto"/>
              <w:right w:val="single" w:sz="4" w:space="0" w:color="auto"/>
            </w:tcBorders>
            <w:shd w:val="clear" w:color="auto" w:fill="auto"/>
            <w:vAlign w:val="center"/>
            <w:hideMark/>
          </w:tcPr>
          <w:p w:rsidR="0055491A" w:rsidRDefault="0055491A" w:rsidP="00210BF6">
            <w:pPr>
              <w:jc w:val="center"/>
              <w:rPr>
                <w:b/>
                <w:bCs/>
                <w:sz w:val="20"/>
                <w:szCs w:val="20"/>
              </w:rPr>
            </w:pPr>
            <w:r>
              <w:rPr>
                <w:b/>
                <w:bCs/>
                <w:sz w:val="20"/>
                <w:szCs w:val="20"/>
              </w:rPr>
              <w:t>Ср.  на 2023 год</w:t>
            </w:r>
          </w:p>
        </w:tc>
        <w:tc>
          <w:tcPr>
            <w:tcW w:w="709" w:type="dxa"/>
            <w:tcBorders>
              <w:top w:val="nil"/>
              <w:left w:val="nil"/>
              <w:bottom w:val="single" w:sz="4" w:space="0" w:color="auto"/>
              <w:right w:val="nil"/>
            </w:tcBorders>
            <w:shd w:val="clear" w:color="auto" w:fill="auto"/>
            <w:vAlign w:val="center"/>
            <w:hideMark/>
          </w:tcPr>
          <w:p w:rsidR="0055491A" w:rsidRDefault="0055491A" w:rsidP="00210BF6">
            <w:pPr>
              <w:jc w:val="center"/>
              <w:rPr>
                <w:b/>
                <w:bCs/>
                <w:sz w:val="20"/>
                <w:szCs w:val="20"/>
              </w:rPr>
            </w:pPr>
            <w:r>
              <w:rPr>
                <w:b/>
                <w:bCs/>
                <w:sz w:val="20"/>
                <w:szCs w:val="20"/>
              </w:rPr>
              <w:t>Ср. на 2024 год</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55491A" w:rsidRDefault="0055491A" w:rsidP="00210BF6">
            <w:pPr>
              <w:jc w:val="center"/>
              <w:rPr>
                <w:b/>
                <w:bCs/>
                <w:sz w:val="20"/>
                <w:szCs w:val="20"/>
              </w:rPr>
            </w:pPr>
            <w:r>
              <w:rPr>
                <w:b/>
                <w:bCs/>
                <w:sz w:val="20"/>
                <w:szCs w:val="20"/>
              </w:rPr>
              <w:t>2022 год</w:t>
            </w:r>
          </w:p>
        </w:tc>
        <w:tc>
          <w:tcPr>
            <w:tcW w:w="1134" w:type="dxa"/>
            <w:tcBorders>
              <w:top w:val="nil"/>
              <w:left w:val="nil"/>
              <w:bottom w:val="single" w:sz="4" w:space="0" w:color="auto"/>
              <w:right w:val="single" w:sz="4" w:space="0" w:color="auto"/>
            </w:tcBorders>
            <w:shd w:val="clear" w:color="auto" w:fill="auto"/>
            <w:noWrap/>
            <w:vAlign w:val="center"/>
            <w:hideMark/>
          </w:tcPr>
          <w:p w:rsidR="0055491A" w:rsidRDefault="0055491A" w:rsidP="00210BF6">
            <w:pPr>
              <w:jc w:val="center"/>
              <w:rPr>
                <w:b/>
                <w:bCs/>
                <w:sz w:val="20"/>
                <w:szCs w:val="20"/>
              </w:rPr>
            </w:pPr>
            <w:r>
              <w:rPr>
                <w:b/>
                <w:bCs/>
                <w:sz w:val="20"/>
                <w:szCs w:val="20"/>
              </w:rPr>
              <w:t>2023 год</w:t>
            </w:r>
          </w:p>
        </w:tc>
        <w:tc>
          <w:tcPr>
            <w:tcW w:w="1134" w:type="dxa"/>
            <w:tcBorders>
              <w:top w:val="nil"/>
              <w:left w:val="nil"/>
              <w:bottom w:val="single" w:sz="4" w:space="0" w:color="auto"/>
              <w:right w:val="single" w:sz="8" w:space="0" w:color="auto"/>
            </w:tcBorders>
            <w:shd w:val="clear" w:color="auto" w:fill="auto"/>
            <w:noWrap/>
            <w:vAlign w:val="center"/>
            <w:hideMark/>
          </w:tcPr>
          <w:p w:rsidR="0055491A" w:rsidRDefault="0055491A" w:rsidP="00210BF6">
            <w:pPr>
              <w:jc w:val="center"/>
              <w:rPr>
                <w:b/>
                <w:bCs/>
                <w:sz w:val="20"/>
                <w:szCs w:val="20"/>
              </w:rPr>
            </w:pPr>
            <w:r>
              <w:rPr>
                <w:b/>
                <w:bCs/>
                <w:sz w:val="20"/>
                <w:szCs w:val="20"/>
              </w:rPr>
              <w:t>2024 год</w:t>
            </w:r>
          </w:p>
        </w:tc>
      </w:tr>
      <w:tr w:rsidR="0055491A" w:rsidRPr="00F80477" w:rsidTr="00210BF6">
        <w:trPr>
          <w:trHeight w:val="255"/>
        </w:trPr>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491A" w:rsidRPr="00F80477" w:rsidRDefault="0055491A" w:rsidP="00210BF6">
            <w:pPr>
              <w:jc w:val="center"/>
            </w:pPr>
            <w:r w:rsidRPr="00F80477">
              <w:t>1,0</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491A" w:rsidRPr="000074D0" w:rsidRDefault="0055491A" w:rsidP="00210BF6">
            <w:pPr>
              <w:jc w:val="center"/>
            </w:pPr>
            <w:r>
              <w:t>1</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491A" w:rsidRPr="000074D0" w:rsidRDefault="0055491A" w:rsidP="00210BF6">
            <w:pPr>
              <w:jc w:val="center"/>
            </w:pPr>
            <w:r>
              <w:t>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491A" w:rsidRPr="000074D0" w:rsidRDefault="0055491A" w:rsidP="00210BF6">
            <w:pPr>
              <w:jc w:val="center"/>
            </w:pPr>
            <w:r w:rsidRPr="000074D0">
              <w:t>3</w:t>
            </w:r>
          </w:p>
        </w:tc>
        <w:tc>
          <w:tcPr>
            <w:tcW w:w="709" w:type="dxa"/>
            <w:tcBorders>
              <w:top w:val="single" w:sz="4" w:space="0" w:color="auto"/>
              <w:left w:val="single" w:sz="4" w:space="0" w:color="auto"/>
              <w:bottom w:val="single" w:sz="4" w:space="0" w:color="auto"/>
              <w:right w:val="single" w:sz="4" w:space="0" w:color="auto"/>
            </w:tcBorders>
            <w:vAlign w:val="center"/>
          </w:tcPr>
          <w:p w:rsidR="0055491A" w:rsidRPr="00992F51" w:rsidRDefault="0055491A" w:rsidP="00210BF6">
            <w:pPr>
              <w:jc w:val="center"/>
            </w:pPr>
            <w:r>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55491A" w:rsidRPr="00992F51" w:rsidRDefault="0055491A" w:rsidP="00210BF6">
            <w:pPr>
              <w:jc w:val="center"/>
            </w:pPr>
            <w: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1A" w:rsidRPr="00992F51" w:rsidRDefault="0055491A" w:rsidP="00210BF6">
            <w:pPr>
              <w:jc w:val="center"/>
            </w:pPr>
            <w: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1A" w:rsidRPr="00992F51" w:rsidRDefault="0055491A" w:rsidP="00210BF6">
            <w:pPr>
              <w:jc w:val="center"/>
            </w:pPr>
            <w: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1A" w:rsidRPr="00992F51" w:rsidRDefault="0055491A" w:rsidP="00210BF6">
            <w:pPr>
              <w:jc w:val="center"/>
            </w:pPr>
            <w:r>
              <w:t>3</w:t>
            </w:r>
            <w:r w:rsidRPr="00992F51">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1A" w:rsidRPr="00992F51" w:rsidRDefault="0055491A" w:rsidP="00210BF6">
            <w:pPr>
              <w:jc w:val="center"/>
            </w:pPr>
            <w:r>
              <w:t>3,</w:t>
            </w:r>
            <w:r w:rsidRPr="00992F51">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1A" w:rsidRPr="00992F51" w:rsidRDefault="0055491A" w:rsidP="00210BF6">
            <w:pPr>
              <w:jc w:val="center"/>
            </w:pPr>
            <w:r>
              <w:t>3</w:t>
            </w:r>
            <w:r w:rsidRPr="00992F51">
              <w:t>,0</w:t>
            </w:r>
          </w:p>
        </w:tc>
      </w:tr>
      <w:tr w:rsidR="0055491A" w:rsidRPr="00F80477" w:rsidTr="00210BF6">
        <w:trPr>
          <w:trHeight w:val="255"/>
        </w:trPr>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491A" w:rsidRPr="00F80477" w:rsidRDefault="0055491A" w:rsidP="00210BF6">
            <w:pPr>
              <w:jc w:val="center"/>
            </w:pPr>
            <w:r>
              <w:t>1,5</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491A" w:rsidRPr="00F80477" w:rsidRDefault="0055491A" w:rsidP="00210BF6">
            <w:pPr>
              <w:jc w:val="center"/>
            </w:pPr>
            <w:r>
              <w:t>0</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491A" w:rsidRPr="00F80477" w:rsidRDefault="0055491A" w:rsidP="00210BF6">
            <w:pPr>
              <w:jc w:val="center"/>
            </w:pPr>
            <w:r>
              <w:t>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491A" w:rsidRPr="00F80477" w:rsidRDefault="0055491A" w:rsidP="00210BF6">
            <w:pPr>
              <w:jc w:val="center"/>
            </w:pPr>
            <w:r>
              <w:t>0</w:t>
            </w:r>
          </w:p>
        </w:tc>
        <w:tc>
          <w:tcPr>
            <w:tcW w:w="709" w:type="dxa"/>
            <w:tcBorders>
              <w:top w:val="single" w:sz="4" w:space="0" w:color="auto"/>
              <w:left w:val="single" w:sz="4" w:space="0" w:color="auto"/>
              <w:bottom w:val="single" w:sz="4" w:space="0" w:color="auto"/>
              <w:right w:val="single" w:sz="4" w:space="0" w:color="auto"/>
            </w:tcBorders>
            <w:vAlign w:val="center"/>
          </w:tcPr>
          <w:p w:rsidR="0055491A" w:rsidRPr="00992F51" w:rsidRDefault="0055491A" w:rsidP="00210BF6">
            <w:pPr>
              <w:jc w:val="center"/>
            </w:pPr>
            <w:r w:rsidRPr="00992F51">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55491A" w:rsidRPr="00992F51" w:rsidRDefault="0055491A" w:rsidP="00210BF6">
            <w:pPr>
              <w:jc w:val="center"/>
            </w:pPr>
            <w:r w:rsidRPr="00992F51">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1A" w:rsidRPr="00992F51" w:rsidRDefault="0055491A" w:rsidP="00210BF6">
            <w:pPr>
              <w:jc w:val="center"/>
            </w:pPr>
            <w:r w:rsidRPr="00992F51">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1A" w:rsidRPr="00992F51" w:rsidRDefault="0055491A" w:rsidP="00210BF6">
            <w:pPr>
              <w:jc w:val="center"/>
            </w:pPr>
            <w:r w:rsidRPr="00992F51">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1A" w:rsidRPr="00992F51" w:rsidRDefault="0055491A" w:rsidP="00210BF6">
            <w:pPr>
              <w:jc w:val="center"/>
            </w:pPr>
            <w:r>
              <w:t>1,5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1A" w:rsidRPr="00992F51" w:rsidRDefault="0055491A" w:rsidP="00210BF6">
            <w:pPr>
              <w:jc w:val="center"/>
            </w:pPr>
            <w:r>
              <w:t>1,5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1A" w:rsidRPr="00992F51" w:rsidRDefault="0055491A" w:rsidP="00210BF6">
            <w:pPr>
              <w:jc w:val="center"/>
            </w:pPr>
            <w:r>
              <w:t>1,5</w:t>
            </w:r>
          </w:p>
        </w:tc>
      </w:tr>
      <w:tr w:rsidR="0055491A" w:rsidRPr="00F80477" w:rsidTr="00210BF6">
        <w:trPr>
          <w:trHeight w:val="255"/>
        </w:trPr>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491A" w:rsidRPr="00F80477" w:rsidRDefault="0055491A" w:rsidP="00210BF6">
            <w:pPr>
              <w:jc w:val="center"/>
            </w:pPr>
            <w:r>
              <w:t>2,0</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491A" w:rsidRPr="00F80477" w:rsidRDefault="0055491A" w:rsidP="00210BF6">
            <w:pPr>
              <w:jc w:val="center"/>
            </w:pPr>
            <w:r>
              <w:t>0</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491A" w:rsidRPr="00F80477" w:rsidRDefault="0055491A" w:rsidP="00210BF6">
            <w:pPr>
              <w:jc w:val="center"/>
            </w:pPr>
            <w:r>
              <w:t>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491A" w:rsidRPr="00F80477" w:rsidRDefault="0055491A" w:rsidP="00210BF6">
            <w:pPr>
              <w:jc w:val="center"/>
            </w:pPr>
            <w:r>
              <w:t>11</w:t>
            </w:r>
          </w:p>
        </w:tc>
        <w:tc>
          <w:tcPr>
            <w:tcW w:w="709" w:type="dxa"/>
            <w:tcBorders>
              <w:top w:val="single" w:sz="4" w:space="0" w:color="auto"/>
              <w:left w:val="single" w:sz="4" w:space="0" w:color="auto"/>
              <w:bottom w:val="single" w:sz="4" w:space="0" w:color="auto"/>
              <w:right w:val="single" w:sz="4" w:space="0" w:color="auto"/>
            </w:tcBorders>
            <w:vAlign w:val="center"/>
          </w:tcPr>
          <w:p w:rsidR="0055491A" w:rsidRPr="00992F51" w:rsidRDefault="0055491A" w:rsidP="00210BF6">
            <w:pPr>
              <w:jc w:val="center"/>
            </w:pPr>
            <w:r>
              <w:t>5</w:t>
            </w:r>
          </w:p>
        </w:tc>
        <w:tc>
          <w:tcPr>
            <w:tcW w:w="708" w:type="dxa"/>
            <w:tcBorders>
              <w:top w:val="single" w:sz="4" w:space="0" w:color="auto"/>
              <w:left w:val="single" w:sz="4" w:space="0" w:color="auto"/>
              <w:bottom w:val="single" w:sz="4" w:space="0" w:color="auto"/>
              <w:right w:val="single" w:sz="4" w:space="0" w:color="auto"/>
            </w:tcBorders>
            <w:vAlign w:val="center"/>
            <w:hideMark/>
          </w:tcPr>
          <w:p w:rsidR="0055491A" w:rsidRPr="00992F51" w:rsidRDefault="0055491A" w:rsidP="00210BF6">
            <w:pPr>
              <w:jc w:val="center"/>
            </w:pPr>
            <w:r>
              <w:t>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1A" w:rsidRPr="00992F51" w:rsidRDefault="0055491A" w:rsidP="00210BF6">
            <w:pPr>
              <w:jc w:val="center"/>
            </w:pPr>
            <w:r>
              <w:t>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1A" w:rsidRPr="00992F51" w:rsidRDefault="0055491A" w:rsidP="00210BF6">
            <w:pPr>
              <w:jc w:val="center"/>
            </w:pPr>
            <w:r>
              <w:t>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1A" w:rsidRPr="00992F51" w:rsidRDefault="0055491A" w:rsidP="00210BF6">
            <w:pPr>
              <w:jc w:val="center"/>
            </w:pPr>
            <w:r>
              <w:t>14</w:t>
            </w:r>
            <w:r w:rsidRPr="00992F51">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1A" w:rsidRPr="00992F51" w:rsidRDefault="0055491A" w:rsidP="00210BF6">
            <w:pPr>
              <w:jc w:val="center"/>
            </w:pPr>
            <w:r>
              <w:t>1</w:t>
            </w:r>
            <w:r w:rsidRPr="00992F51">
              <w:t>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1A" w:rsidRPr="00992F51" w:rsidRDefault="0055491A" w:rsidP="00210BF6">
            <w:pPr>
              <w:jc w:val="center"/>
            </w:pPr>
            <w:r>
              <w:t>14</w:t>
            </w:r>
            <w:r w:rsidRPr="00992F51">
              <w:t>,0</w:t>
            </w:r>
          </w:p>
        </w:tc>
      </w:tr>
      <w:tr w:rsidR="0055491A" w:rsidRPr="00F80477" w:rsidTr="00210BF6">
        <w:trPr>
          <w:trHeight w:val="255"/>
        </w:trPr>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491A" w:rsidRPr="00F80477" w:rsidRDefault="0055491A" w:rsidP="00210BF6">
            <w:pPr>
              <w:jc w:val="center"/>
            </w:pPr>
            <w:r>
              <w:t>2,5</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491A" w:rsidRPr="00F80477" w:rsidRDefault="0055491A" w:rsidP="00210BF6">
            <w:pPr>
              <w:jc w:val="center"/>
            </w:pPr>
            <w:r>
              <w:t>3</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491A" w:rsidRPr="00F80477" w:rsidRDefault="0055491A" w:rsidP="00210BF6">
            <w:pPr>
              <w:jc w:val="center"/>
            </w:pPr>
            <w:r>
              <w:t>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491A" w:rsidRPr="00F80477" w:rsidRDefault="0055491A" w:rsidP="00210BF6">
            <w:pPr>
              <w:jc w:val="center"/>
            </w:pPr>
            <w:r>
              <w:t>4</w:t>
            </w:r>
          </w:p>
        </w:tc>
        <w:tc>
          <w:tcPr>
            <w:tcW w:w="709" w:type="dxa"/>
            <w:tcBorders>
              <w:top w:val="single" w:sz="4" w:space="0" w:color="auto"/>
              <w:left w:val="single" w:sz="4" w:space="0" w:color="auto"/>
              <w:bottom w:val="single" w:sz="4" w:space="0" w:color="auto"/>
              <w:right w:val="single" w:sz="4" w:space="0" w:color="auto"/>
            </w:tcBorders>
            <w:vAlign w:val="center"/>
          </w:tcPr>
          <w:p w:rsidR="0055491A" w:rsidRPr="00992F51" w:rsidRDefault="0055491A" w:rsidP="00210BF6">
            <w:pPr>
              <w:jc w:val="center"/>
            </w:pPr>
            <w:r>
              <w:t>3</w:t>
            </w:r>
          </w:p>
        </w:tc>
        <w:tc>
          <w:tcPr>
            <w:tcW w:w="708" w:type="dxa"/>
            <w:tcBorders>
              <w:top w:val="single" w:sz="4" w:space="0" w:color="auto"/>
              <w:left w:val="single" w:sz="4" w:space="0" w:color="auto"/>
              <w:bottom w:val="single" w:sz="4" w:space="0" w:color="auto"/>
              <w:right w:val="single" w:sz="4" w:space="0" w:color="auto"/>
            </w:tcBorders>
            <w:vAlign w:val="center"/>
            <w:hideMark/>
          </w:tcPr>
          <w:p w:rsidR="0055491A" w:rsidRPr="00992F51" w:rsidRDefault="0055491A" w:rsidP="00210BF6">
            <w:pPr>
              <w:jc w:val="center"/>
            </w:pPr>
            <w: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1A" w:rsidRPr="00992F51" w:rsidRDefault="0055491A" w:rsidP="00210BF6">
            <w:pPr>
              <w:jc w:val="center"/>
            </w:pPr>
            <w: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1A" w:rsidRPr="00992F51" w:rsidRDefault="0055491A" w:rsidP="00210BF6">
            <w:pPr>
              <w:jc w:val="center"/>
            </w:pPr>
            <w: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1A" w:rsidRPr="00992F51" w:rsidRDefault="0055491A" w:rsidP="00210BF6">
            <w:pPr>
              <w:jc w:val="center"/>
            </w:pPr>
            <w:r>
              <w:t>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1A" w:rsidRPr="00992F51" w:rsidRDefault="0055491A" w:rsidP="00210BF6">
            <w:pPr>
              <w:jc w:val="center"/>
            </w:pPr>
            <w:r>
              <w:t>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1A" w:rsidRPr="00992F51" w:rsidRDefault="0055491A" w:rsidP="00210BF6">
            <w:pPr>
              <w:jc w:val="center"/>
            </w:pPr>
            <w:r>
              <w:t>7,5</w:t>
            </w:r>
          </w:p>
        </w:tc>
      </w:tr>
      <w:tr w:rsidR="0055491A" w:rsidRPr="00F80477" w:rsidTr="00210BF6">
        <w:trPr>
          <w:trHeight w:val="439"/>
        </w:trPr>
        <w:tc>
          <w:tcPr>
            <w:tcW w:w="976" w:type="dxa"/>
            <w:tcBorders>
              <w:top w:val="single" w:sz="4" w:space="0" w:color="auto"/>
              <w:left w:val="single" w:sz="8" w:space="0" w:color="auto"/>
              <w:bottom w:val="single" w:sz="4" w:space="0" w:color="auto"/>
              <w:right w:val="single" w:sz="4" w:space="0" w:color="auto"/>
            </w:tcBorders>
          </w:tcPr>
          <w:p w:rsidR="0055491A" w:rsidRPr="00F80477" w:rsidRDefault="0055491A" w:rsidP="00210BF6">
            <w:pPr>
              <w:jc w:val="center"/>
              <w:rPr>
                <w:b/>
                <w:bCs/>
              </w:rPr>
            </w:pPr>
          </w:p>
        </w:tc>
        <w:tc>
          <w:tcPr>
            <w:tcW w:w="8370" w:type="dxa"/>
            <w:gridSpan w:val="10"/>
            <w:tcBorders>
              <w:top w:val="single" w:sz="4" w:space="0" w:color="auto"/>
              <w:left w:val="single" w:sz="8" w:space="0" w:color="auto"/>
              <w:bottom w:val="single" w:sz="4" w:space="0" w:color="auto"/>
              <w:right w:val="single" w:sz="4" w:space="0" w:color="auto"/>
            </w:tcBorders>
            <w:shd w:val="clear" w:color="auto" w:fill="auto"/>
            <w:noWrap/>
            <w:vAlign w:val="center"/>
          </w:tcPr>
          <w:p w:rsidR="0055491A" w:rsidRPr="00F80477" w:rsidRDefault="0055491A" w:rsidP="00210BF6">
            <w:pPr>
              <w:jc w:val="center"/>
              <w:rPr>
                <w:b/>
                <w:bCs/>
              </w:rPr>
            </w:pPr>
            <w:r w:rsidRPr="00F80477">
              <w:rPr>
                <w:b/>
                <w:bCs/>
              </w:rPr>
              <w:t xml:space="preserve">Нарушение статьи </w:t>
            </w:r>
            <w:r>
              <w:rPr>
                <w:b/>
                <w:bCs/>
              </w:rPr>
              <w:t>7.22 КоАП РФ</w:t>
            </w:r>
          </w:p>
        </w:tc>
      </w:tr>
      <w:tr w:rsidR="0055491A" w:rsidRPr="00F80477" w:rsidTr="00210BF6">
        <w:trPr>
          <w:trHeight w:val="255"/>
        </w:trPr>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491A" w:rsidRPr="00F80477" w:rsidRDefault="0055491A" w:rsidP="00210BF6">
            <w:pPr>
              <w:jc w:val="center"/>
            </w:pPr>
            <w:r>
              <w:t>4</w:t>
            </w:r>
            <w:r w:rsidRPr="00F80477">
              <w:t>,0</w:t>
            </w:r>
          </w:p>
        </w:tc>
        <w:tc>
          <w:tcPr>
            <w:tcW w:w="723" w:type="dxa"/>
            <w:tcBorders>
              <w:top w:val="single" w:sz="4" w:space="0" w:color="auto"/>
              <w:left w:val="single" w:sz="4" w:space="0" w:color="auto"/>
              <w:bottom w:val="single" w:sz="4" w:space="0" w:color="auto"/>
              <w:right w:val="single" w:sz="4" w:space="0" w:color="auto"/>
            </w:tcBorders>
            <w:shd w:val="clear" w:color="auto" w:fill="auto"/>
            <w:noWrap/>
            <w:hideMark/>
          </w:tcPr>
          <w:p w:rsidR="0055491A" w:rsidRPr="00576D7D" w:rsidRDefault="0055491A" w:rsidP="00210BF6">
            <w:pPr>
              <w:jc w:val="center"/>
            </w:pPr>
            <w:r w:rsidRPr="00576D7D">
              <w:t>16</w:t>
            </w:r>
          </w:p>
        </w:tc>
        <w:tc>
          <w:tcPr>
            <w:tcW w:w="701" w:type="dxa"/>
            <w:tcBorders>
              <w:top w:val="single" w:sz="4" w:space="0" w:color="auto"/>
              <w:left w:val="single" w:sz="4" w:space="0" w:color="auto"/>
              <w:bottom w:val="single" w:sz="4" w:space="0" w:color="auto"/>
              <w:right w:val="single" w:sz="4" w:space="0" w:color="auto"/>
            </w:tcBorders>
            <w:shd w:val="clear" w:color="auto" w:fill="auto"/>
            <w:noWrap/>
            <w:hideMark/>
          </w:tcPr>
          <w:p w:rsidR="0055491A" w:rsidRPr="00576D7D" w:rsidRDefault="0055491A" w:rsidP="00210BF6">
            <w:pPr>
              <w:jc w:val="center"/>
            </w:pPr>
            <w:r w:rsidRPr="00576D7D">
              <w:t>6</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55491A" w:rsidRPr="00576D7D" w:rsidRDefault="0055491A" w:rsidP="00210BF6">
            <w:pPr>
              <w:jc w:val="center"/>
            </w:pPr>
            <w:r w:rsidRPr="00576D7D">
              <w:t>9</w:t>
            </w:r>
          </w:p>
        </w:tc>
        <w:tc>
          <w:tcPr>
            <w:tcW w:w="709" w:type="dxa"/>
            <w:tcBorders>
              <w:top w:val="single" w:sz="4" w:space="0" w:color="auto"/>
              <w:left w:val="single" w:sz="4" w:space="0" w:color="auto"/>
              <w:bottom w:val="single" w:sz="4" w:space="0" w:color="auto"/>
              <w:right w:val="single" w:sz="4" w:space="0" w:color="auto"/>
            </w:tcBorders>
            <w:vAlign w:val="center"/>
          </w:tcPr>
          <w:p w:rsidR="0055491A" w:rsidRPr="00992F51" w:rsidRDefault="0055491A" w:rsidP="00210BF6">
            <w:pPr>
              <w:jc w:val="center"/>
            </w:pPr>
            <w:r w:rsidRPr="00992F51">
              <w:t>1</w:t>
            </w:r>
            <w: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1A" w:rsidRPr="00992F51" w:rsidRDefault="0055491A" w:rsidP="00210BF6">
            <w:pPr>
              <w:jc w:val="center"/>
            </w:pPr>
            <w:r>
              <w:t>8</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55491A" w:rsidRPr="00576D7D" w:rsidRDefault="0055491A" w:rsidP="00210BF6">
            <w:pPr>
              <w:jc w:val="center"/>
            </w:pPr>
            <w:r w:rsidRPr="00576D7D">
              <w:t>9</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55491A" w:rsidRPr="00576D7D" w:rsidRDefault="0055491A" w:rsidP="00210BF6">
            <w:pPr>
              <w:jc w:val="center"/>
            </w:pPr>
            <w:r w:rsidRPr="00576D7D">
              <w:t>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1A" w:rsidRPr="00992F51" w:rsidRDefault="0055491A" w:rsidP="00210BF6">
            <w:pPr>
              <w:jc w:val="center"/>
            </w:pPr>
            <w:r>
              <w:t>32</w:t>
            </w:r>
            <w:r w:rsidRPr="00992F51">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1A" w:rsidRPr="00992F51" w:rsidRDefault="0055491A" w:rsidP="00210BF6">
            <w:pPr>
              <w:jc w:val="center"/>
            </w:pPr>
            <w:r>
              <w:t>36</w:t>
            </w:r>
            <w:r w:rsidRPr="00992F51">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1A" w:rsidRPr="00992F51" w:rsidRDefault="0055491A" w:rsidP="00210BF6">
            <w:pPr>
              <w:jc w:val="center"/>
            </w:pPr>
            <w:r>
              <w:t>3</w:t>
            </w:r>
            <w:r w:rsidRPr="00992F51">
              <w:t>6,0</w:t>
            </w:r>
          </w:p>
        </w:tc>
      </w:tr>
      <w:tr w:rsidR="0055491A" w:rsidRPr="00F80477" w:rsidTr="00210BF6">
        <w:trPr>
          <w:trHeight w:val="255"/>
        </w:trPr>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1A" w:rsidRPr="00F80477" w:rsidRDefault="0055491A" w:rsidP="00210BF6">
            <w:pPr>
              <w:jc w:val="center"/>
            </w:pPr>
            <w:r>
              <w:t>4</w:t>
            </w:r>
            <w:r w:rsidRPr="00F80477">
              <w:t>0,0</w:t>
            </w:r>
          </w:p>
        </w:tc>
        <w:tc>
          <w:tcPr>
            <w:tcW w:w="723" w:type="dxa"/>
            <w:tcBorders>
              <w:top w:val="single" w:sz="4" w:space="0" w:color="auto"/>
              <w:left w:val="single" w:sz="4" w:space="0" w:color="auto"/>
              <w:bottom w:val="single" w:sz="4" w:space="0" w:color="auto"/>
              <w:right w:val="single" w:sz="4" w:space="0" w:color="auto"/>
            </w:tcBorders>
            <w:shd w:val="clear" w:color="auto" w:fill="auto"/>
            <w:noWrap/>
            <w:hideMark/>
          </w:tcPr>
          <w:p w:rsidR="0055491A" w:rsidRPr="00576D7D" w:rsidRDefault="0055491A" w:rsidP="00210BF6">
            <w:pPr>
              <w:jc w:val="center"/>
            </w:pPr>
            <w:r w:rsidRPr="00576D7D">
              <w:t>7</w:t>
            </w:r>
          </w:p>
        </w:tc>
        <w:tc>
          <w:tcPr>
            <w:tcW w:w="701" w:type="dxa"/>
            <w:tcBorders>
              <w:top w:val="single" w:sz="4" w:space="0" w:color="auto"/>
              <w:left w:val="single" w:sz="4" w:space="0" w:color="auto"/>
              <w:bottom w:val="single" w:sz="4" w:space="0" w:color="auto"/>
              <w:right w:val="single" w:sz="4" w:space="0" w:color="auto"/>
            </w:tcBorders>
            <w:shd w:val="clear" w:color="auto" w:fill="auto"/>
            <w:noWrap/>
            <w:hideMark/>
          </w:tcPr>
          <w:p w:rsidR="0055491A" w:rsidRPr="00576D7D" w:rsidRDefault="0055491A" w:rsidP="00210BF6">
            <w:pPr>
              <w:jc w:val="center"/>
            </w:pPr>
            <w:r w:rsidRPr="00576D7D">
              <w:t>7</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55491A" w:rsidRPr="00576D7D" w:rsidRDefault="0055491A" w:rsidP="00210BF6">
            <w:pPr>
              <w:jc w:val="center"/>
            </w:pPr>
            <w:r w:rsidRPr="00576D7D">
              <w:t>12</w:t>
            </w:r>
          </w:p>
        </w:tc>
        <w:tc>
          <w:tcPr>
            <w:tcW w:w="709" w:type="dxa"/>
            <w:tcBorders>
              <w:top w:val="single" w:sz="4" w:space="0" w:color="auto"/>
              <w:left w:val="single" w:sz="4" w:space="0" w:color="auto"/>
              <w:bottom w:val="single" w:sz="4" w:space="0" w:color="auto"/>
              <w:right w:val="single" w:sz="4" w:space="0" w:color="auto"/>
            </w:tcBorders>
            <w:vAlign w:val="center"/>
          </w:tcPr>
          <w:p w:rsidR="0055491A" w:rsidRPr="00992F51" w:rsidRDefault="0055491A" w:rsidP="00210BF6">
            <w:pPr>
              <w:jc w:val="center"/>
            </w:pPr>
            <w:r w:rsidRPr="00992F51">
              <w:t>9</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1A" w:rsidRPr="00992F51" w:rsidRDefault="0055491A" w:rsidP="00210BF6">
            <w:pPr>
              <w:jc w:val="center"/>
            </w:pPr>
            <w:r>
              <w:t>9</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55491A" w:rsidRPr="00576D7D" w:rsidRDefault="0055491A" w:rsidP="00210BF6">
            <w:pPr>
              <w:jc w:val="center"/>
            </w:pPr>
            <w:r w:rsidRPr="00576D7D">
              <w:t>10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55491A" w:rsidRPr="00576D7D" w:rsidRDefault="0055491A" w:rsidP="00210BF6">
            <w:pPr>
              <w:jc w:val="center"/>
            </w:pPr>
            <w:r w:rsidRPr="00576D7D">
              <w:t>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1A" w:rsidRPr="00992F51" w:rsidRDefault="0055491A" w:rsidP="00210BF6">
            <w:pPr>
              <w:jc w:val="center"/>
            </w:pPr>
            <w:r w:rsidRPr="00992F51">
              <w:t>3</w:t>
            </w:r>
            <w:r>
              <w:t>6</w:t>
            </w:r>
            <w:r w:rsidRPr="00992F51">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1A" w:rsidRPr="00992F51" w:rsidRDefault="0055491A" w:rsidP="00210BF6">
            <w:pPr>
              <w:jc w:val="center"/>
            </w:pPr>
            <w:r>
              <w:t>40</w:t>
            </w:r>
            <w:r w:rsidRPr="00992F51">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1A" w:rsidRPr="00992F51" w:rsidRDefault="0055491A" w:rsidP="00210BF6">
            <w:pPr>
              <w:jc w:val="center"/>
            </w:pPr>
            <w:r w:rsidRPr="00992F51">
              <w:t>3</w:t>
            </w:r>
            <w:r>
              <w:t>6</w:t>
            </w:r>
            <w:r w:rsidRPr="00992F51">
              <w:t>0,0</w:t>
            </w:r>
          </w:p>
        </w:tc>
      </w:tr>
      <w:tr w:rsidR="0055491A" w:rsidRPr="00F80477" w:rsidTr="00210BF6">
        <w:trPr>
          <w:trHeight w:val="475"/>
        </w:trPr>
        <w:tc>
          <w:tcPr>
            <w:tcW w:w="976" w:type="dxa"/>
            <w:tcBorders>
              <w:top w:val="nil"/>
              <w:left w:val="single" w:sz="8" w:space="0" w:color="auto"/>
              <w:bottom w:val="single" w:sz="4" w:space="0" w:color="auto"/>
              <w:right w:val="single" w:sz="4" w:space="0" w:color="auto"/>
            </w:tcBorders>
          </w:tcPr>
          <w:p w:rsidR="0055491A" w:rsidRPr="00F80477" w:rsidRDefault="0055491A" w:rsidP="00210BF6">
            <w:pPr>
              <w:jc w:val="center"/>
              <w:rPr>
                <w:b/>
                <w:bCs/>
              </w:rPr>
            </w:pPr>
          </w:p>
        </w:tc>
        <w:tc>
          <w:tcPr>
            <w:tcW w:w="8370" w:type="dxa"/>
            <w:gridSpan w:val="10"/>
            <w:tcBorders>
              <w:top w:val="nil"/>
              <w:left w:val="single" w:sz="8" w:space="0" w:color="auto"/>
              <w:bottom w:val="single" w:sz="4" w:space="0" w:color="auto"/>
              <w:right w:val="single" w:sz="4" w:space="0" w:color="auto"/>
            </w:tcBorders>
            <w:shd w:val="clear" w:color="auto" w:fill="auto"/>
            <w:vAlign w:val="center"/>
          </w:tcPr>
          <w:p w:rsidR="0055491A" w:rsidRPr="00F80477" w:rsidRDefault="0055491A" w:rsidP="00210BF6">
            <w:pPr>
              <w:jc w:val="center"/>
              <w:rPr>
                <w:b/>
                <w:bCs/>
              </w:rPr>
            </w:pPr>
            <w:r w:rsidRPr="00F80477">
              <w:rPr>
                <w:b/>
                <w:bCs/>
              </w:rPr>
              <w:t xml:space="preserve">Нарушение статьи </w:t>
            </w:r>
            <w:r>
              <w:rPr>
                <w:b/>
                <w:bCs/>
              </w:rPr>
              <w:t>7.23 КоАП РФ</w:t>
            </w:r>
          </w:p>
        </w:tc>
      </w:tr>
      <w:tr w:rsidR="0055491A" w:rsidRPr="00F80477" w:rsidTr="00210BF6">
        <w:trPr>
          <w:trHeight w:val="255"/>
        </w:trPr>
        <w:tc>
          <w:tcPr>
            <w:tcW w:w="976" w:type="dxa"/>
            <w:tcBorders>
              <w:top w:val="nil"/>
              <w:left w:val="single" w:sz="8" w:space="0" w:color="auto"/>
              <w:bottom w:val="single" w:sz="4" w:space="0" w:color="auto"/>
              <w:right w:val="single" w:sz="4" w:space="0" w:color="auto"/>
            </w:tcBorders>
            <w:shd w:val="clear" w:color="auto" w:fill="auto"/>
            <w:noWrap/>
            <w:vAlign w:val="center"/>
            <w:hideMark/>
          </w:tcPr>
          <w:p w:rsidR="0055491A" w:rsidRPr="00F80477" w:rsidRDefault="0055491A" w:rsidP="00210BF6">
            <w:pPr>
              <w:jc w:val="center"/>
            </w:pPr>
            <w:r>
              <w:t>0,5</w:t>
            </w:r>
          </w:p>
        </w:tc>
        <w:tc>
          <w:tcPr>
            <w:tcW w:w="723" w:type="dxa"/>
            <w:tcBorders>
              <w:top w:val="single" w:sz="4" w:space="0" w:color="auto"/>
              <w:left w:val="single" w:sz="4" w:space="0" w:color="auto"/>
              <w:bottom w:val="single" w:sz="4" w:space="0" w:color="auto"/>
              <w:right w:val="single" w:sz="4" w:space="0" w:color="auto"/>
            </w:tcBorders>
            <w:shd w:val="clear" w:color="auto" w:fill="auto"/>
            <w:noWrap/>
            <w:hideMark/>
          </w:tcPr>
          <w:p w:rsidR="0055491A" w:rsidRPr="00923897" w:rsidRDefault="0055491A" w:rsidP="00210BF6">
            <w:pPr>
              <w:jc w:val="center"/>
            </w:pPr>
            <w:r w:rsidRPr="00923897">
              <w:t>51</w:t>
            </w:r>
          </w:p>
        </w:tc>
        <w:tc>
          <w:tcPr>
            <w:tcW w:w="701" w:type="dxa"/>
            <w:tcBorders>
              <w:top w:val="single" w:sz="4" w:space="0" w:color="auto"/>
              <w:left w:val="single" w:sz="4" w:space="0" w:color="auto"/>
              <w:bottom w:val="single" w:sz="4" w:space="0" w:color="auto"/>
              <w:right w:val="single" w:sz="4" w:space="0" w:color="auto"/>
            </w:tcBorders>
            <w:shd w:val="clear" w:color="auto" w:fill="auto"/>
            <w:noWrap/>
            <w:hideMark/>
          </w:tcPr>
          <w:p w:rsidR="0055491A" w:rsidRPr="00923897" w:rsidRDefault="0055491A" w:rsidP="00210BF6">
            <w:pPr>
              <w:jc w:val="center"/>
            </w:pPr>
            <w:r w:rsidRPr="00923897">
              <w:t>180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55491A" w:rsidRPr="00923897" w:rsidRDefault="0055491A" w:rsidP="00210BF6">
            <w:pPr>
              <w:jc w:val="center"/>
            </w:pPr>
            <w:r w:rsidRPr="00923897">
              <w:t>232</w:t>
            </w:r>
          </w:p>
        </w:tc>
        <w:tc>
          <w:tcPr>
            <w:tcW w:w="709" w:type="dxa"/>
            <w:tcBorders>
              <w:top w:val="single" w:sz="4" w:space="0" w:color="auto"/>
              <w:left w:val="single" w:sz="4" w:space="0" w:color="auto"/>
              <w:bottom w:val="single" w:sz="4" w:space="0" w:color="auto"/>
              <w:right w:val="single" w:sz="4" w:space="0" w:color="auto"/>
            </w:tcBorders>
          </w:tcPr>
          <w:p w:rsidR="0055491A" w:rsidRPr="00923897" w:rsidRDefault="0055491A" w:rsidP="00210BF6">
            <w:pPr>
              <w:jc w:val="center"/>
            </w:pPr>
            <w:r w:rsidRPr="00923897">
              <w:t>154</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55491A" w:rsidRPr="00923897" w:rsidRDefault="0055491A" w:rsidP="00210BF6">
            <w:pPr>
              <w:jc w:val="center"/>
            </w:pPr>
            <w:r w:rsidRPr="00923897">
              <w:t>189</w:t>
            </w:r>
          </w:p>
        </w:tc>
        <w:tc>
          <w:tcPr>
            <w:tcW w:w="709" w:type="dxa"/>
            <w:tcBorders>
              <w:top w:val="nil"/>
              <w:left w:val="nil"/>
              <w:bottom w:val="single" w:sz="4" w:space="0" w:color="auto"/>
              <w:right w:val="single" w:sz="4" w:space="0" w:color="auto"/>
            </w:tcBorders>
            <w:shd w:val="clear" w:color="auto" w:fill="auto"/>
            <w:hideMark/>
          </w:tcPr>
          <w:p w:rsidR="0055491A" w:rsidRPr="00923897" w:rsidRDefault="0055491A" w:rsidP="00210BF6">
            <w:pPr>
              <w:jc w:val="center"/>
            </w:pPr>
            <w:r w:rsidRPr="00923897">
              <w:t>192</w:t>
            </w:r>
          </w:p>
        </w:tc>
        <w:tc>
          <w:tcPr>
            <w:tcW w:w="709" w:type="dxa"/>
            <w:tcBorders>
              <w:top w:val="nil"/>
              <w:left w:val="nil"/>
              <w:bottom w:val="single" w:sz="4" w:space="0" w:color="auto"/>
              <w:right w:val="nil"/>
            </w:tcBorders>
            <w:shd w:val="clear" w:color="auto" w:fill="auto"/>
            <w:hideMark/>
          </w:tcPr>
          <w:p w:rsidR="0055491A" w:rsidRPr="00923897" w:rsidRDefault="0055491A" w:rsidP="00210BF6">
            <w:pPr>
              <w:jc w:val="center"/>
            </w:pPr>
            <w:r w:rsidRPr="00923897">
              <w:t>178</w:t>
            </w:r>
          </w:p>
        </w:tc>
        <w:tc>
          <w:tcPr>
            <w:tcW w:w="1134" w:type="dxa"/>
            <w:tcBorders>
              <w:top w:val="nil"/>
              <w:left w:val="single" w:sz="4" w:space="0" w:color="auto"/>
              <w:bottom w:val="single" w:sz="4" w:space="0" w:color="auto"/>
              <w:right w:val="single" w:sz="4" w:space="0" w:color="auto"/>
            </w:tcBorders>
            <w:shd w:val="clear" w:color="auto" w:fill="auto"/>
            <w:hideMark/>
          </w:tcPr>
          <w:p w:rsidR="0055491A" w:rsidRPr="00923897" w:rsidRDefault="0055491A" w:rsidP="00210BF6">
            <w:pPr>
              <w:jc w:val="center"/>
            </w:pPr>
            <w:r w:rsidRPr="00923897">
              <w:t>94,5</w:t>
            </w:r>
          </w:p>
        </w:tc>
        <w:tc>
          <w:tcPr>
            <w:tcW w:w="1134" w:type="dxa"/>
            <w:tcBorders>
              <w:top w:val="nil"/>
              <w:left w:val="nil"/>
              <w:bottom w:val="single" w:sz="4" w:space="0" w:color="auto"/>
              <w:right w:val="single" w:sz="4" w:space="0" w:color="auto"/>
            </w:tcBorders>
            <w:shd w:val="clear" w:color="auto" w:fill="auto"/>
            <w:hideMark/>
          </w:tcPr>
          <w:p w:rsidR="0055491A" w:rsidRPr="00923897" w:rsidRDefault="0055491A" w:rsidP="00210BF6">
            <w:pPr>
              <w:jc w:val="center"/>
            </w:pPr>
            <w:r w:rsidRPr="00923897">
              <w:t>96,0</w:t>
            </w:r>
          </w:p>
        </w:tc>
        <w:tc>
          <w:tcPr>
            <w:tcW w:w="1134" w:type="dxa"/>
            <w:tcBorders>
              <w:top w:val="nil"/>
              <w:left w:val="nil"/>
              <w:bottom w:val="single" w:sz="4" w:space="0" w:color="auto"/>
              <w:right w:val="single" w:sz="4" w:space="0" w:color="auto"/>
            </w:tcBorders>
            <w:shd w:val="clear" w:color="auto" w:fill="auto"/>
            <w:hideMark/>
          </w:tcPr>
          <w:p w:rsidR="0055491A" w:rsidRPr="00923897" w:rsidRDefault="0055491A" w:rsidP="00210BF6">
            <w:pPr>
              <w:jc w:val="center"/>
            </w:pPr>
            <w:r w:rsidRPr="00923897">
              <w:t>89,0</w:t>
            </w:r>
          </w:p>
        </w:tc>
      </w:tr>
      <w:tr w:rsidR="0055491A" w:rsidRPr="00F80477" w:rsidTr="00210BF6">
        <w:trPr>
          <w:trHeight w:val="255"/>
        </w:trPr>
        <w:tc>
          <w:tcPr>
            <w:tcW w:w="976" w:type="dxa"/>
            <w:tcBorders>
              <w:top w:val="nil"/>
              <w:left w:val="single" w:sz="8" w:space="0" w:color="auto"/>
              <w:bottom w:val="single" w:sz="4" w:space="0" w:color="auto"/>
              <w:right w:val="single" w:sz="4" w:space="0" w:color="auto"/>
            </w:tcBorders>
            <w:shd w:val="clear" w:color="auto" w:fill="auto"/>
            <w:noWrap/>
            <w:vAlign w:val="center"/>
          </w:tcPr>
          <w:p w:rsidR="0055491A" w:rsidRDefault="0055491A" w:rsidP="00210BF6">
            <w:pPr>
              <w:jc w:val="center"/>
            </w:pPr>
            <w:r>
              <w:t>0,6</w:t>
            </w:r>
          </w:p>
        </w:tc>
        <w:tc>
          <w:tcPr>
            <w:tcW w:w="723" w:type="dxa"/>
            <w:tcBorders>
              <w:top w:val="single" w:sz="4" w:space="0" w:color="auto"/>
              <w:left w:val="single" w:sz="4" w:space="0" w:color="auto"/>
              <w:bottom w:val="single" w:sz="4" w:space="0" w:color="auto"/>
              <w:right w:val="single" w:sz="4" w:space="0" w:color="auto"/>
            </w:tcBorders>
            <w:shd w:val="clear" w:color="auto" w:fill="auto"/>
            <w:noWrap/>
          </w:tcPr>
          <w:p w:rsidR="0055491A" w:rsidRPr="00923897" w:rsidRDefault="0055491A" w:rsidP="00210BF6">
            <w:pPr>
              <w:jc w:val="center"/>
            </w:pPr>
            <w:r w:rsidRPr="00923897">
              <w:t>0</w:t>
            </w:r>
          </w:p>
        </w:tc>
        <w:tc>
          <w:tcPr>
            <w:tcW w:w="701" w:type="dxa"/>
            <w:tcBorders>
              <w:top w:val="single" w:sz="4" w:space="0" w:color="auto"/>
              <w:left w:val="single" w:sz="4" w:space="0" w:color="auto"/>
              <w:bottom w:val="single" w:sz="4" w:space="0" w:color="auto"/>
              <w:right w:val="single" w:sz="4" w:space="0" w:color="auto"/>
            </w:tcBorders>
            <w:shd w:val="clear" w:color="auto" w:fill="auto"/>
            <w:noWrap/>
          </w:tcPr>
          <w:p w:rsidR="0055491A" w:rsidRPr="00923897" w:rsidRDefault="0055491A" w:rsidP="00210BF6">
            <w:pPr>
              <w:jc w:val="center"/>
            </w:pPr>
            <w:r w:rsidRPr="00923897">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55491A" w:rsidRPr="00923897" w:rsidRDefault="0055491A" w:rsidP="00210BF6">
            <w:pPr>
              <w:jc w:val="center"/>
            </w:pPr>
            <w:r w:rsidRPr="00923897">
              <w:t>208</w:t>
            </w:r>
          </w:p>
        </w:tc>
        <w:tc>
          <w:tcPr>
            <w:tcW w:w="709" w:type="dxa"/>
            <w:tcBorders>
              <w:top w:val="single" w:sz="4" w:space="0" w:color="auto"/>
              <w:left w:val="single" w:sz="4" w:space="0" w:color="auto"/>
              <w:bottom w:val="single" w:sz="4" w:space="0" w:color="auto"/>
              <w:right w:val="single" w:sz="4" w:space="0" w:color="auto"/>
            </w:tcBorders>
          </w:tcPr>
          <w:p w:rsidR="0055491A" w:rsidRPr="00923897" w:rsidRDefault="0055491A" w:rsidP="00210BF6">
            <w:pPr>
              <w:jc w:val="center"/>
            </w:pPr>
            <w:r w:rsidRPr="00923897">
              <w:t>69</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5491A" w:rsidRPr="00923897" w:rsidRDefault="0055491A" w:rsidP="00210BF6">
            <w:pPr>
              <w:jc w:val="center"/>
            </w:pPr>
            <w:r w:rsidRPr="00923897">
              <w:t>92</w:t>
            </w:r>
          </w:p>
        </w:tc>
        <w:tc>
          <w:tcPr>
            <w:tcW w:w="709" w:type="dxa"/>
            <w:tcBorders>
              <w:top w:val="nil"/>
              <w:left w:val="nil"/>
              <w:bottom w:val="single" w:sz="4" w:space="0" w:color="auto"/>
              <w:right w:val="single" w:sz="4" w:space="0" w:color="auto"/>
            </w:tcBorders>
            <w:shd w:val="clear" w:color="auto" w:fill="auto"/>
          </w:tcPr>
          <w:p w:rsidR="0055491A" w:rsidRPr="00923897" w:rsidRDefault="0055491A" w:rsidP="00210BF6">
            <w:pPr>
              <w:jc w:val="center"/>
            </w:pPr>
            <w:r w:rsidRPr="00923897">
              <w:t>123</w:t>
            </w:r>
          </w:p>
        </w:tc>
        <w:tc>
          <w:tcPr>
            <w:tcW w:w="709" w:type="dxa"/>
            <w:tcBorders>
              <w:top w:val="nil"/>
              <w:left w:val="nil"/>
              <w:bottom w:val="single" w:sz="4" w:space="0" w:color="auto"/>
              <w:right w:val="nil"/>
            </w:tcBorders>
            <w:shd w:val="clear" w:color="auto" w:fill="auto"/>
          </w:tcPr>
          <w:p w:rsidR="0055491A" w:rsidRPr="00923897" w:rsidRDefault="0055491A" w:rsidP="00210BF6">
            <w:pPr>
              <w:jc w:val="center"/>
            </w:pPr>
            <w:r w:rsidRPr="00923897">
              <w:t>95</w:t>
            </w:r>
          </w:p>
        </w:tc>
        <w:tc>
          <w:tcPr>
            <w:tcW w:w="1134" w:type="dxa"/>
            <w:tcBorders>
              <w:top w:val="nil"/>
              <w:left w:val="single" w:sz="4" w:space="0" w:color="auto"/>
              <w:bottom w:val="single" w:sz="4" w:space="0" w:color="auto"/>
              <w:right w:val="single" w:sz="4" w:space="0" w:color="auto"/>
            </w:tcBorders>
            <w:shd w:val="clear" w:color="auto" w:fill="auto"/>
          </w:tcPr>
          <w:p w:rsidR="0055491A" w:rsidRPr="00923897" w:rsidRDefault="0055491A" w:rsidP="00210BF6">
            <w:pPr>
              <w:jc w:val="center"/>
            </w:pPr>
            <w:r w:rsidRPr="00923897">
              <w:t>55,2</w:t>
            </w:r>
          </w:p>
        </w:tc>
        <w:tc>
          <w:tcPr>
            <w:tcW w:w="1134" w:type="dxa"/>
            <w:tcBorders>
              <w:top w:val="nil"/>
              <w:left w:val="nil"/>
              <w:bottom w:val="single" w:sz="4" w:space="0" w:color="auto"/>
              <w:right w:val="single" w:sz="4" w:space="0" w:color="auto"/>
            </w:tcBorders>
            <w:shd w:val="clear" w:color="auto" w:fill="auto"/>
          </w:tcPr>
          <w:p w:rsidR="0055491A" w:rsidRPr="00923897" w:rsidRDefault="0055491A" w:rsidP="00210BF6">
            <w:pPr>
              <w:jc w:val="center"/>
            </w:pPr>
            <w:r w:rsidRPr="00923897">
              <w:t>73,8</w:t>
            </w:r>
          </w:p>
        </w:tc>
        <w:tc>
          <w:tcPr>
            <w:tcW w:w="1134" w:type="dxa"/>
            <w:tcBorders>
              <w:top w:val="nil"/>
              <w:left w:val="nil"/>
              <w:bottom w:val="single" w:sz="4" w:space="0" w:color="auto"/>
              <w:right w:val="single" w:sz="4" w:space="0" w:color="auto"/>
            </w:tcBorders>
            <w:shd w:val="clear" w:color="auto" w:fill="auto"/>
          </w:tcPr>
          <w:p w:rsidR="0055491A" w:rsidRPr="00923897" w:rsidRDefault="0055491A" w:rsidP="00210BF6">
            <w:pPr>
              <w:jc w:val="center"/>
            </w:pPr>
            <w:r w:rsidRPr="00923897">
              <w:t>57,0</w:t>
            </w:r>
          </w:p>
        </w:tc>
      </w:tr>
      <w:tr w:rsidR="0055491A" w:rsidRPr="00F80477" w:rsidTr="00210BF6">
        <w:trPr>
          <w:trHeight w:val="255"/>
        </w:trPr>
        <w:tc>
          <w:tcPr>
            <w:tcW w:w="976" w:type="dxa"/>
            <w:tcBorders>
              <w:top w:val="nil"/>
              <w:left w:val="single" w:sz="8" w:space="0" w:color="auto"/>
              <w:bottom w:val="single" w:sz="4" w:space="0" w:color="auto"/>
              <w:right w:val="single" w:sz="4" w:space="0" w:color="auto"/>
            </w:tcBorders>
            <w:shd w:val="clear" w:color="auto" w:fill="auto"/>
            <w:noWrap/>
            <w:vAlign w:val="center"/>
            <w:hideMark/>
          </w:tcPr>
          <w:p w:rsidR="0055491A" w:rsidRPr="00F80477" w:rsidRDefault="0055491A" w:rsidP="00210BF6">
            <w:pPr>
              <w:jc w:val="center"/>
            </w:pPr>
            <w:r w:rsidRPr="00F80477">
              <w:lastRenderedPageBreak/>
              <w:t>1,0</w:t>
            </w:r>
          </w:p>
        </w:tc>
        <w:tc>
          <w:tcPr>
            <w:tcW w:w="723" w:type="dxa"/>
            <w:tcBorders>
              <w:top w:val="single" w:sz="4" w:space="0" w:color="auto"/>
              <w:left w:val="single" w:sz="4" w:space="0" w:color="auto"/>
              <w:bottom w:val="single" w:sz="4" w:space="0" w:color="auto"/>
              <w:right w:val="single" w:sz="4" w:space="0" w:color="auto"/>
            </w:tcBorders>
            <w:shd w:val="clear" w:color="auto" w:fill="auto"/>
            <w:noWrap/>
            <w:hideMark/>
          </w:tcPr>
          <w:p w:rsidR="0055491A" w:rsidRPr="00923897" w:rsidRDefault="0055491A" w:rsidP="00210BF6">
            <w:pPr>
              <w:jc w:val="center"/>
            </w:pPr>
            <w:r w:rsidRPr="00923897">
              <w:t xml:space="preserve">  2</w:t>
            </w:r>
          </w:p>
        </w:tc>
        <w:tc>
          <w:tcPr>
            <w:tcW w:w="701" w:type="dxa"/>
            <w:tcBorders>
              <w:top w:val="single" w:sz="4" w:space="0" w:color="auto"/>
              <w:left w:val="single" w:sz="4" w:space="0" w:color="auto"/>
              <w:bottom w:val="single" w:sz="4" w:space="0" w:color="auto"/>
              <w:right w:val="single" w:sz="4" w:space="0" w:color="auto"/>
            </w:tcBorders>
            <w:shd w:val="clear" w:color="auto" w:fill="auto"/>
            <w:noWrap/>
            <w:hideMark/>
          </w:tcPr>
          <w:p w:rsidR="0055491A" w:rsidRPr="00923897" w:rsidRDefault="0055491A" w:rsidP="00210BF6">
            <w:pPr>
              <w:jc w:val="center"/>
            </w:pPr>
            <w:r w:rsidRPr="00923897">
              <w:t>3</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55491A" w:rsidRPr="00923897" w:rsidRDefault="0055491A" w:rsidP="00210BF6">
            <w:pPr>
              <w:jc w:val="center"/>
            </w:pPr>
            <w:r w:rsidRPr="00923897">
              <w:t>0</w:t>
            </w:r>
          </w:p>
        </w:tc>
        <w:tc>
          <w:tcPr>
            <w:tcW w:w="709" w:type="dxa"/>
            <w:tcBorders>
              <w:top w:val="single" w:sz="4" w:space="0" w:color="auto"/>
              <w:left w:val="single" w:sz="4" w:space="0" w:color="auto"/>
              <w:bottom w:val="single" w:sz="4" w:space="0" w:color="auto"/>
              <w:right w:val="single" w:sz="4" w:space="0" w:color="auto"/>
            </w:tcBorders>
          </w:tcPr>
          <w:p w:rsidR="0055491A" w:rsidRPr="00923897" w:rsidRDefault="0055491A" w:rsidP="00210BF6">
            <w:pPr>
              <w:jc w:val="center"/>
            </w:pPr>
            <w:r w:rsidRPr="00923897">
              <w:t>2</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55491A" w:rsidRPr="00923897" w:rsidRDefault="0055491A" w:rsidP="00210BF6">
            <w:pPr>
              <w:jc w:val="center"/>
            </w:pPr>
            <w:r w:rsidRPr="00923897">
              <w:t>2</w:t>
            </w:r>
          </w:p>
        </w:tc>
        <w:tc>
          <w:tcPr>
            <w:tcW w:w="709" w:type="dxa"/>
            <w:tcBorders>
              <w:top w:val="single" w:sz="4" w:space="0" w:color="auto"/>
              <w:left w:val="nil"/>
              <w:bottom w:val="single" w:sz="4" w:space="0" w:color="auto"/>
              <w:right w:val="single" w:sz="4" w:space="0" w:color="auto"/>
            </w:tcBorders>
            <w:shd w:val="clear" w:color="auto" w:fill="auto"/>
            <w:hideMark/>
          </w:tcPr>
          <w:p w:rsidR="0055491A" w:rsidRPr="00923897" w:rsidRDefault="0055491A" w:rsidP="00210BF6">
            <w:pPr>
              <w:jc w:val="center"/>
            </w:pPr>
            <w:r w:rsidRPr="00923897">
              <w:t>1</w:t>
            </w:r>
          </w:p>
        </w:tc>
        <w:tc>
          <w:tcPr>
            <w:tcW w:w="709" w:type="dxa"/>
            <w:tcBorders>
              <w:top w:val="single" w:sz="4" w:space="0" w:color="auto"/>
              <w:left w:val="nil"/>
              <w:bottom w:val="single" w:sz="4" w:space="0" w:color="auto"/>
              <w:right w:val="nil"/>
            </w:tcBorders>
            <w:shd w:val="clear" w:color="auto" w:fill="auto"/>
            <w:hideMark/>
          </w:tcPr>
          <w:p w:rsidR="0055491A" w:rsidRPr="00923897" w:rsidRDefault="0055491A" w:rsidP="00210BF6">
            <w:pPr>
              <w:jc w:val="center"/>
            </w:pPr>
            <w:r w:rsidRPr="00923897">
              <w:t>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5491A" w:rsidRPr="00923897" w:rsidRDefault="0055491A" w:rsidP="00210BF6">
            <w:pPr>
              <w:jc w:val="center"/>
            </w:pPr>
            <w:r w:rsidRPr="00923897">
              <w:t>2,0</w:t>
            </w:r>
          </w:p>
        </w:tc>
        <w:tc>
          <w:tcPr>
            <w:tcW w:w="1134" w:type="dxa"/>
            <w:tcBorders>
              <w:top w:val="single" w:sz="4" w:space="0" w:color="auto"/>
              <w:left w:val="nil"/>
              <w:bottom w:val="single" w:sz="4" w:space="0" w:color="auto"/>
              <w:right w:val="single" w:sz="4" w:space="0" w:color="auto"/>
            </w:tcBorders>
            <w:shd w:val="clear" w:color="auto" w:fill="auto"/>
            <w:hideMark/>
          </w:tcPr>
          <w:p w:rsidR="0055491A" w:rsidRPr="00923897" w:rsidRDefault="0055491A" w:rsidP="00210BF6">
            <w:pPr>
              <w:jc w:val="center"/>
            </w:pPr>
            <w:r w:rsidRPr="00923897">
              <w:t>1,0</w:t>
            </w:r>
          </w:p>
        </w:tc>
        <w:tc>
          <w:tcPr>
            <w:tcW w:w="1134" w:type="dxa"/>
            <w:tcBorders>
              <w:top w:val="single" w:sz="4" w:space="0" w:color="auto"/>
              <w:left w:val="nil"/>
              <w:bottom w:val="single" w:sz="4" w:space="0" w:color="auto"/>
              <w:right w:val="single" w:sz="4" w:space="0" w:color="auto"/>
            </w:tcBorders>
            <w:shd w:val="clear" w:color="auto" w:fill="auto"/>
            <w:hideMark/>
          </w:tcPr>
          <w:p w:rsidR="0055491A" w:rsidRPr="00923897" w:rsidRDefault="0055491A" w:rsidP="00210BF6">
            <w:pPr>
              <w:jc w:val="center"/>
            </w:pPr>
            <w:r w:rsidRPr="00923897">
              <w:t>2,0</w:t>
            </w:r>
          </w:p>
        </w:tc>
      </w:tr>
      <w:tr w:rsidR="0055491A" w:rsidRPr="00F80477" w:rsidTr="00210BF6">
        <w:trPr>
          <w:trHeight w:val="255"/>
        </w:trPr>
        <w:tc>
          <w:tcPr>
            <w:tcW w:w="976" w:type="dxa"/>
            <w:tcBorders>
              <w:top w:val="nil"/>
              <w:left w:val="single" w:sz="8" w:space="0" w:color="auto"/>
              <w:bottom w:val="single" w:sz="4" w:space="0" w:color="auto"/>
              <w:right w:val="single" w:sz="4" w:space="0" w:color="auto"/>
            </w:tcBorders>
            <w:shd w:val="clear" w:color="auto" w:fill="auto"/>
            <w:vAlign w:val="center"/>
            <w:hideMark/>
          </w:tcPr>
          <w:p w:rsidR="0055491A" w:rsidRPr="00F80477" w:rsidRDefault="0055491A" w:rsidP="00210BF6">
            <w:pPr>
              <w:jc w:val="center"/>
            </w:pPr>
            <w:r>
              <w:t>5</w:t>
            </w:r>
            <w:r w:rsidRPr="00F80477">
              <w:t>,0</w:t>
            </w:r>
          </w:p>
        </w:tc>
        <w:tc>
          <w:tcPr>
            <w:tcW w:w="723" w:type="dxa"/>
            <w:tcBorders>
              <w:top w:val="single" w:sz="4" w:space="0" w:color="auto"/>
              <w:left w:val="single" w:sz="4" w:space="0" w:color="auto"/>
              <w:bottom w:val="single" w:sz="4" w:space="0" w:color="auto"/>
              <w:right w:val="single" w:sz="4" w:space="0" w:color="auto"/>
            </w:tcBorders>
            <w:shd w:val="clear" w:color="auto" w:fill="auto"/>
            <w:noWrap/>
            <w:hideMark/>
          </w:tcPr>
          <w:p w:rsidR="0055491A" w:rsidRPr="00923897" w:rsidRDefault="0055491A" w:rsidP="00210BF6">
            <w:pPr>
              <w:jc w:val="center"/>
            </w:pPr>
            <w:r w:rsidRPr="00923897">
              <w:t>234</w:t>
            </w:r>
          </w:p>
        </w:tc>
        <w:tc>
          <w:tcPr>
            <w:tcW w:w="701" w:type="dxa"/>
            <w:tcBorders>
              <w:top w:val="single" w:sz="4" w:space="0" w:color="auto"/>
              <w:left w:val="single" w:sz="4" w:space="0" w:color="auto"/>
              <w:bottom w:val="single" w:sz="4" w:space="0" w:color="auto"/>
              <w:right w:val="single" w:sz="4" w:space="0" w:color="auto"/>
            </w:tcBorders>
            <w:shd w:val="clear" w:color="auto" w:fill="auto"/>
            <w:noWrap/>
            <w:hideMark/>
          </w:tcPr>
          <w:p w:rsidR="0055491A" w:rsidRPr="00923897" w:rsidRDefault="0055491A" w:rsidP="00210BF6">
            <w:pPr>
              <w:jc w:val="center"/>
            </w:pPr>
            <w:r w:rsidRPr="00923897">
              <w:t>353</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55491A" w:rsidRPr="00923897" w:rsidRDefault="0055491A" w:rsidP="00210BF6">
            <w:pPr>
              <w:jc w:val="center"/>
            </w:pPr>
            <w:r w:rsidRPr="00923897">
              <w:t>86</w:t>
            </w:r>
          </w:p>
        </w:tc>
        <w:tc>
          <w:tcPr>
            <w:tcW w:w="709" w:type="dxa"/>
            <w:tcBorders>
              <w:top w:val="single" w:sz="4" w:space="0" w:color="auto"/>
              <w:left w:val="single" w:sz="4" w:space="0" w:color="auto"/>
              <w:bottom w:val="single" w:sz="4" w:space="0" w:color="auto"/>
              <w:right w:val="single" w:sz="4" w:space="0" w:color="auto"/>
            </w:tcBorders>
          </w:tcPr>
          <w:p w:rsidR="0055491A" w:rsidRPr="00923897" w:rsidRDefault="0055491A" w:rsidP="00210BF6">
            <w:pPr>
              <w:jc w:val="center"/>
            </w:pPr>
            <w:r w:rsidRPr="00923897">
              <w:t>224</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55491A" w:rsidRPr="00923897" w:rsidRDefault="0055491A" w:rsidP="00210BF6">
            <w:pPr>
              <w:jc w:val="center"/>
            </w:pPr>
            <w:r w:rsidRPr="00923897">
              <w:t>221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55491A" w:rsidRPr="00923897" w:rsidRDefault="0055491A" w:rsidP="00210BF6">
            <w:pPr>
              <w:jc w:val="center"/>
            </w:pPr>
            <w:r w:rsidRPr="00923897">
              <w:t>177</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55491A" w:rsidRPr="00923897" w:rsidRDefault="0055491A" w:rsidP="00210BF6">
            <w:pPr>
              <w:jc w:val="center"/>
            </w:pPr>
            <w:r w:rsidRPr="00923897">
              <w:t>207</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5491A" w:rsidRPr="00923897" w:rsidRDefault="0055491A" w:rsidP="00210BF6">
            <w:pPr>
              <w:jc w:val="center"/>
            </w:pPr>
            <w:r w:rsidRPr="00923897">
              <w:t>1105,0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5491A" w:rsidRPr="00923897" w:rsidRDefault="0055491A" w:rsidP="00210BF6">
            <w:pPr>
              <w:jc w:val="center"/>
            </w:pPr>
            <w:r w:rsidRPr="00923897">
              <w:t>885,0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5491A" w:rsidRPr="00923897" w:rsidRDefault="0055491A" w:rsidP="00210BF6">
            <w:pPr>
              <w:jc w:val="center"/>
            </w:pPr>
            <w:r w:rsidRPr="00923897">
              <w:t>1035,0</w:t>
            </w:r>
          </w:p>
        </w:tc>
      </w:tr>
      <w:tr w:rsidR="0055491A" w:rsidRPr="00F80477" w:rsidTr="00210BF6">
        <w:trPr>
          <w:trHeight w:val="255"/>
        </w:trPr>
        <w:tc>
          <w:tcPr>
            <w:tcW w:w="976" w:type="dxa"/>
            <w:tcBorders>
              <w:top w:val="nil"/>
              <w:left w:val="single" w:sz="8" w:space="0" w:color="auto"/>
              <w:bottom w:val="single" w:sz="4" w:space="0" w:color="auto"/>
              <w:right w:val="single" w:sz="4" w:space="0" w:color="auto"/>
            </w:tcBorders>
            <w:shd w:val="clear" w:color="auto" w:fill="auto"/>
            <w:vAlign w:val="center"/>
          </w:tcPr>
          <w:p w:rsidR="0055491A" w:rsidRPr="00F80477" w:rsidRDefault="0055491A" w:rsidP="00210BF6">
            <w:pPr>
              <w:jc w:val="center"/>
            </w:pPr>
            <w:r>
              <w:t>7</w:t>
            </w:r>
            <w:r w:rsidRPr="00F80477">
              <w:t>,0</w:t>
            </w:r>
          </w:p>
        </w:tc>
        <w:tc>
          <w:tcPr>
            <w:tcW w:w="723" w:type="dxa"/>
            <w:tcBorders>
              <w:top w:val="single" w:sz="4" w:space="0" w:color="auto"/>
              <w:left w:val="single" w:sz="4" w:space="0" w:color="auto"/>
              <w:bottom w:val="single" w:sz="4" w:space="0" w:color="auto"/>
              <w:right w:val="single" w:sz="4" w:space="0" w:color="auto"/>
            </w:tcBorders>
            <w:shd w:val="clear" w:color="auto" w:fill="auto"/>
            <w:noWrap/>
          </w:tcPr>
          <w:p w:rsidR="0055491A" w:rsidRPr="00923897" w:rsidRDefault="0055491A" w:rsidP="00210BF6">
            <w:pPr>
              <w:jc w:val="center"/>
            </w:pPr>
            <w:r w:rsidRPr="00923897">
              <w:t>159</w:t>
            </w:r>
          </w:p>
        </w:tc>
        <w:tc>
          <w:tcPr>
            <w:tcW w:w="701" w:type="dxa"/>
            <w:tcBorders>
              <w:top w:val="single" w:sz="4" w:space="0" w:color="auto"/>
              <w:left w:val="single" w:sz="4" w:space="0" w:color="auto"/>
              <w:bottom w:val="single" w:sz="4" w:space="0" w:color="auto"/>
              <w:right w:val="single" w:sz="4" w:space="0" w:color="auto"/>
            </w:tcBorders>
            <w:shd w:val="clear" w:color="auto" w:fill="auto"/>
            <w:noWrap/>
          </w:tcPr>
          <w:p w:rsidR="0055491A" w:rsidRPr="00923897" w:rsidRDefault="0055491A" w:rsidP="00210BF6">
            <w:pPr>
              <w:jc w:val="center"/>
            </w:pPr>
            <w:r w:rsidRPr="00923897">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55491A" w:rsidRPr="00923897" w:rsidRDefault="0055491A" w:rsidP="00210BF6">
            <w:pPr>
              <w:jc w:val="center"/>
            </w:pPr>
            <w:r w:rsidRPr="00923897">
              <w:t>0</w:t>
            </w:r>
          </w:p>
        </w:tc>
        <w:tc>
          <w:tcPr>
            <w:tcW w:w="709" w:type="dxa"/>
            <w:tcBorders>
              <w:top w:val="single" w:sz="4" w:space="0" w:color="auto"/>
              <w:left w:val="single" w:sz="4" w:space="0" w:color="auto"/>
              <w:bottom w:val="single" w:sz="4" w:space="0" w:color="auto"/>
              <w:right w:val="single" w:sz="4" w:space="0" w:color="auto"/>
            </w:tcBorders>
          </w:tcPr>
          <w:p w:rsidR="0055491A" w:rsidRPr="00923897" w:rsidRDefault="0055491A" w:rsidP="00210BF6">
            <w:pPr>
              <w:jc w:val="center"/>
            </w:pPr>
            <w:r w:rsidRPr="00923897">
              <w:t>53</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5491A" w:rsidRPr="00923897" w:rsidRDefault="0055491A" w:rsidP="00210BF6">
            <w:pPr>
              <w:jc w:val="center"/>
            </w:pPr>
            <w:r w:rsidRPr="00923897">
              <w:t>18</w:t>
            </w:r>
          </w:p>
        </w:tc>
        <w:tc>
          <w:tcPr>
            <w:tcW w:w="709" w:type="dxa"/>
            <w:tcBorders>
              <w:top w:val="single" w:sz="4" w:space="0" w:color="auto"/>
              <w:left w:val="nil"/>
              <w:bottom w:val="single" w:sz="4" w:space="0" w:color="auto"/>
              <w:right w:val="single" w:sz="4" w:space="0" w:color="auto"/>
            </w:tcBorders>
            <w:shd w:val="clear" w:color="auto" w:fill="auto"/>
          </w:tcPr>
          <w:p w:rsidR="0055491A" w:rsidRPr="00923897" w:rsidRDefault="0055491A" w:rsidP="00210BF6">
            <w:pPr>
              <w:jc w:val="center"/>
            </w:pPr>
            <w:r w:rsidRPr="00923897">
              <w:t>24</w:t>
            </w:r>
          </w:p>
        </w:tc>
        <w:tc>
          <w:tcPr>
            <w:tcW w:w="709" w:type="dxa"/>
            <w:tcBorders>
              <w:top w:val="single" w:sz="4" w:space="0" w:color="auto"/>
              <w:left w:val="nil"/>
              <w:bottom w:val="single" w:sz="4" w:space="0" w:color="auto"/>
              <w:right w:val="nil"/>
            </w:tcBorders>
            <w:shd w:val="clear" w:color="auto" w:fill="auto"/>
          </w:tcPr>
          <w:p w:rsidR="0055491A" w:rsidRPr="00923897" w:rsidRDefault="0055491A" w:rsidP="00210BF6">
            <w:pPr>
              <w:jc w:val="center"/>
            </w:pPr>
            <w:r w:rsidRPr="00923897">
              <w:t>32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5491A" w:rsidRPr="00923897" w:rsidRDefault="0055491A" w:rsidP="00210BF6">
            <w:pPr>
              <w:jc w:val="center"/>
            </w:pPr>
            <w:r w:rsidRPr="00923897">
              <w:t>126,0</w:t>
            </w:r>
          </w:p>
        </w:tc>
        <w:tc>
          <w:tcPr>
            <w:tcW w:w="1134" w:type="dxa"/>
            <w:tcBorders>
              <w:top w:val="single" w:sz="4" w:space="0" w:color="auto"/>
              <w:left w:val="nil"/>
              <w:bottom w:val="single" w:sz="4" w:space="0" w:color="auto"/>
              <w:right w:val="single" w:sz="4" w:space="0" w:color="auto"/>
            </w:tcBorders>
            <w:shd w:val="clear" w:color="auto" w:fill="auto"/>
          </w:tcPr>
          <w:p w:rsidR="0055491A" w:rsidRPr="00923897" w:rsidRDefault="0055491A" w:rsidP="00210BF6">
            <w:pPr>
              <w:jc w:val="center"/>
            </w:pPr>
            <w:r w:rsidRPr="00923897">
              <w:t>168,0</w:t>
            </w:r>
          </w:p>
        </w:tc>
        <w:tc>
          <w:tcPr>
            <w:tcW w:w="1134" w:type="dxa"/>
            <w:tcBorders>
              <w:top w:val="single" w:sz="4" w:space="0" w:color="auto"/>
              <w:left w:val="nil"/>
              <w:bottom w:val="single" w:sz="4" w:space="0" w:color="auto"/>
              <w:right w:val="single" w:sz="4" w:space="0" w:color="auto"/>
            </w:tcBorders>
            <w:shd w:val="clear" w:color="auto" w:fill="auto"/>
          </w:tcPr>
          <w:p w:rsidR="0055491A" w:rsidRPr="00923897" w:rsidRDefault="0055491A" w:rsidP="00210BF6">
            <w:pPr>
              <w:jc w:val="center"/>
            </w:pPr>
            <w:r w:rsidRPr="00923897">
              <w:t>224,0</w:t>
            </w:r>
          </w:p>
        </w:tc>
      </w:tr>
      <w:tr w:rsidR="0055491A" w:rsidRPr="00F80477" w:rsidTr="00210BF6">
        <w:trPr>
          <w:trHeight w:val="255"/>
        </w:trPr>
        <w:tc>
          <w:tcPr>
            <w:tcW w:w="976" w:type="dxa"/>
            <w:tcBorders>
              <w:top w:val="nil"/>
              <w:left w:val="single" w:sz="8" w:space="0" w:color="auto"/>
              <w:bottom w:val="single" w:sz="4" w:space="0" w:color="auto"/>
              <w:right w:val="single" w:sz="4" w:space="0" w:color="auto"/>
            </w:tcBorders>
            <w:shd w:val="clear" w:color="auto" w:fill="auto"/>
            <w:vAlign w:val="center"/>
            <w:hideMark/>
          </w:tcPr>
          <w:p w:rsidR="0055491A" w:rsidRPr="00F80477" w:rsidRDefault="0055491A" w:rsidP="00210BF6">
            <w:pPr>
              <w:jc w:val="center"/>
            </w:pPr>
            <w:r>
              <w:t>1</w:t>
            </w:r>
            <w:r w:rsidRPr="00F80477">
              <w:t>0,0</w:t>
            </w:r>
          </w:p>
        </w:tc>
        <w:tc>
          <w:tcPr>
            <w:tcW w:w="723" w:type="dxa"/>
            <w:tcBorders>
              <w:top w:val="single" w:sz="4" w:space="0" w:color="auto"/>
              <w:left w:val="single" w:sz="4" w:space="0" w:color="auto"/>
              <w:bottom w:val="single" w:sz="4" w:space="0" w:color="auto"/>
              <w:right w:val="single" w:sz="4" w:space="0" w:color="auto"/>
            </w:tcBorders>
            <w:shd w:val="clear" w:color="auto" w:fill="auto"/>
            <w:noWrap/>
            <w:hideMark/>
          </w:tcPr>
          <w:p w:rsidR="0055491A" w:rsidRPr="00923897" w:rsidRDefault="0055491A" w:rsidP="00210BF6">
            <w:pPr>
              <w:jc w:val="center"/>
            </w:pPr>
            <w:r w:rsidRPr="00923897">
              <w:t>0</w:t>
            </w:r>
          </w:p>
        </w:tc>
        <w:tc>
          <w:tcPr>
            <w:tcW w:w="701" w:type="dxa"/>
            <w:tcBorders>
              <w:top w:val="single" w:sz="4" w:space="0" w:color="auto"/>
              <w:left w:val="single" w:sz="4" w:space="0" w:color="auto"/>
              <w:bottom w:val="single" w:sz="4" w:space="0" w:color="auto"/>
              <w:right w:val="single" w:sz="4" w:space="0" w:color="auto"/>
            </w:tcBorders>
            <w:shd w:val="clear" w:color="auto" w:fill="auto"/>
            <w:noWrap/>
            <w:hideMark/>
          </w:tcPr>
          <w:p w:rsidR="0055491A" w:rsidRPr="00923897" w:rsidRDefault="0055491A" w:rsidP="00210BF6">
            <w:pPr>
              <w:jc w:val="center"/>
            </w:pPr>
            <w:r w:rsidRPr="00923897">
              <w:t>2</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55491A" w:rsidRPr="00923897" w:rsidRDefault="0055491A" w:rsidP="00210BF6">
            <w:pPr>
              <w:jc w:val="center"/>
            </w:pPr>
            <w:r w:rsidRPr="00923897">
              <w:t>0</w:t>
            </w:r>
          </w:p>
        </w:tc>
        <w:tc>
          <w:tcPr>
            <w:tcW w:w="709" w:type="dxa"/>
            <w:tcBorders>
              <w:top w:val="single" w:sz="4" w:space="0" w:color="auto"/>
              <w:left w:val="single" w:sz="4" w:space="0" w:color="auto"/>
              <w:bottom w:val="single" w:sz="4" w:space="0" w:color="auto"/>
              <w:right w:val="single" w:sz="4" w:space="0" w:color="auto"/>
            </w:tcBorders>
          </w:tcPr>
          <w:p w:rsidR="0055491A" w:rsidRPr="00923897" w:rsidRDefault="0055491A" w:rsidP="00210BF6">
            <w:pPr>
              <w:jc w:val="center"/>
            </w:pPr>
            <w:r w:rsidRPr="00923897">
              <w:t>1</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55491A" w:rsidRPr="00923897" w:rsidRDefault="0055491A" w:rsidP="00210BF6">
            <w:pPr>
              <w:jc w:val="center"/>
            </w:pPr>
            <w:r w:rsidRPr="00923897">
              <w:t>1</w:t>
            </w:r>
          </w:p>
        </w:tc>
        <w:tc>
          <w:tcPr>
            <w:tcW w:w="709" w:type="dxa"/>
            <w:tcBorders>
              <w:top w:val="nil"/>
              <w:left w:val="nil"/>
              <w:bottom w:val="single" w:sz="4" w:space="0" w:color="auto"/>
              <w:right w:val="single" w:sz="4" w:space="0" w:color="auto"/>
            </w:tcBorders>
            <w:shd w:val="clear" w:color="auto" w:fill="auto"/>
            <w:hideMark/>
          </w:tcPr>
          <w:p w:rsidR="0055491A" w:rsidRPr="00923897" w:rsidRDefault="0055491A" w:rsidP="00210BF6">
            <w:pPr>
              <w:jc w:val="center"/>
            </w:pPr>
            <w:r w:rsidRPr="00923897">
              <w:t>1</w:t>
            </w:r>
          </w:p>
        </w:tc>
        <w:tc>
          <w:tcPr>
            <w:tcW w:w="709" w:type="dxa"/>
            <w:tcBorders>
              <w:top w:val="nil"/>
              <w:left w:val="nil"/>
              <w:bottom w:val="single" w:sz="4" w:space="0" w:color="auto"/>
              <w:right w:val="nil"/>
            </w:tcBorders>
            <w:shd w:val="clear" w:color="auto" w:fill="auto"/>
            <w:hideMark/>
          </w:tcPr>
          <w:p w:rsidR="0055491A" w:rsidRPr="00923897" w:rsidRDefault="0055491A" w:rsidP="00210BF6">
            <w:pPr>
              <w:jc w:val="center"/>
            </w:pPr>
            <w:r w:rsidRPr="00923897">
              <w:t>1</w:t>
            </w:r>
          </w:p>
        </w:tc>
        <w:tc>
          <w:tcPr>
            <w:tcW w:w="1134" w:type="dxa"/>
            <w:tcBorders>
              <w:top w:val="nil"/>
              <w:left w:val="single" w:sz="4" w:space="0" w:color="auto"/>
              <w:bottom w:val="single" w:sz="4" w:space="0" w:color="auto"/>
              <w:right w:val="single" w:sz="4" w:space="0" w:color="auto"/>
            </w:tcBorders>
            <w:shd w:val="clear" w:color="auto" w:fill="auto"/>
            <w:hideMark/>
          </w:tcPr>
          <w:p w:rsidR="0055491A" w:rsidRPr="00923897" w:rsidRDefault="0055491A" w:rsidP="00210BF6">
            <w:pPr>
              <w:jc w:val="center"/>
            </w:pPr>
            <w:r w:rsidRPr="00923897">
              <w:t>10,0</w:t>
            </w:r>
          </w:p>
        </w:tc>
        <w:tc>
          <w:tcPr>
            <w:tcW w:w="1134" w:type="dxa"/>
            <w:tcBorders>
              <w:top w:val="nil"/>
              <w:left w:val="nil"/>
              <w:bottom w:val="single" w:sz="4" w:space="0" w:color="auto"/>
              <w:right w:val="single" w:sz="4" w:space="0" w:color="auto"/>
            </w:tcBorders>
            <w:shd w:val="clear" w:color="auto" w:fill="auto"/>
            <w:hideMark/>
          </w:tcPr>
          <w:p w:rsidR="0055491A" w:rsidRPr="00923897" w:rsidRDefault="0055491A" w:rsidP="00210BF6">
            <w:pPr>
              <w:jc w:val="center"/>
            </w:pPr>
            <w:r w:rsidRPr="00923897">
              <w:t>10,0</w:t>
            </w:r>
          </w:p>
        </w:tc>
        <w:tc>
          <w:tcPr>
            <w:tcW w:w="1134" w:type="dxa"/>
            <w:tcBorders>
              <w:top w:val="nil"/>
              <w:left w:val="nil"/>
              <w:bottom w:val="single" w:sz="4" w:space="0" w:color="auto"/>
              <w:right w:val="single" w:sz="4" w:space="0" w:color="auto"/>
            </w:tcBorders>
            <w:shd w:val="clear" w:color="auto" w:fill="auto"/>
            <w:hideMark/>
          </w:tcPr>
          <w:p w:rsidR="0055491A" w:rsidRPr="00923897" w:rsidRDefault="0055491A" w:rsidP="00210BF6">
            <w:pPr>
              <w:jc w:val="center"/>
            </w:pPr>
            <w:r w:rsidRPr="00923897">
              <w:t>10,0</w:t>
            </w:r>
          </w:p>
        </w:tc>
      </w:tr>
      <w:tr w:rsidR="0055491A" w:rsidRPr="00F80477" w:rsidTr="00210BF6">
        <w:trPr>
          <w:trHeight w:val="358"/>
        </w:trPr>
        <w:tc>
          <w:tcPr>
            <w:tcW w:w="9346" w:type="dxa"/>
            <w:gridSpan w:val="11"/>
            <w:tcBorders>
              <w:top w:val="nil"/>
              <w:left w:val="single" w:sz="8" w:space="0" w:color="auto"/>
              <w:bottom w:val="single" w:sz="4" w:space="0" w:color="auto"/>
              <w:right w:val="single" w:sz="4" w:space="0" w:color="auto"/>
            </w:tcBorders>
            <w:shd w:val="clear" w:color="auto" w:fill="auto"/>
            <w:vAlign w:val="center"/>
          </w:tcPr>
          <w:p w:rsidR="0055491A" w:rsidRPr="00923897" w:rsidRDefault="0055491A" w:rsidP="00210BF6">
            <w:pPr>
              <w:jc w:val="center"/>
            </w:pPr>
            <w:r w:rsidRPr="00F80477">
              <w:rPr>
                <w:b/>
                <w:bCs/>
              </w:rPr>
              <w:t xml:space="preserve">Нарушение статьи </w:t>
            </w:r>
            <w:r>
              <w:rPr>
                <w:b/>
                <w:bCs/>
              </w:rPr>
              <w:t>7.23.3 КоАП РФ</w:t>
            </w:r>
          </w:p>
        </w:tc>
      </w:tr>
      <w:tr w:rsidR="0055491A" w:rsidRPr="00F80477" w:rsidTr="00210BF6">
        <w:trPr>
          <w:trHeight w:val="255"/>
        </w:trPr>
        <w:tc>
          <w:tcPr>
            <w:tcW w:w="976" w:type="dxa"/>
            <w:tcBorders>
              <w:top w:val="nil"/>
              <w:left w:val="single" w:sz="8" w:space="0" w:color="auto"/>
              <w:bottom w:val="single" w:sz="4" w:space="0" w:color="auto"/>
              <w:right w:val="single" w:sz="8" w:space="0" w:color="auto"/>
            </w:tcBorders>
            <w:shd w:val="clear" w:color="auto" w:fill="auto"/>
            <w:vAlign w:val="center"/>
          </w:tcPr>
          <w:p w:rsidR="0055491A" w:rsidRDefault="0055491A" w:rsidP="00210BF6">
            <w:pPr>
              <w:jc w:val="center"/>
            </w:pPr>
            <w:r>
              <w:t>25,0</w:t>
            </w:r>
          </w:p>
        </w:tc>
        <w:tc>
          <w:tcPr>
            <w:tcW w:w="723" w:type="dxa"/>
            <w:tcBorders>
              <w:top w:val="nil"/>
              <w:left w:val="single" w:sz="4" w:space="0" w:color="auto"/>
              <w:bottom w:val="single" w:sz="4" w:space="0" w:color="auto"/>
              <w:right w:val="single" w:sz="4" w:space="0" w:color="auto"/>
            </w:tcBorders>
            <w:shd w:val="clear" w:color="auto" w:fill="auto"/>
            <w:noWrap/>
          </w:tcPr>
          <w:p w:rsidR="0055491A" w:rsidRPr="00923897" w:rsidRDefault="0055491A" w:rsidP="00210BF6">
            <w:pPr>
              <w:jc w:val="center"/>
            </w:pPr>
            <w:r>
              <w:t>0</w:t>
            </w:r>
          </w:p>
        </w:tc>
        <w:tc>
          <w:tcPr>
            <w:tcW w:w="701" w:type="dxa"/>
            <w:tcBorders>
              <w:top w:val="nil"/>
              <w:left w:val="nil"/>
              <w:bottom w:val="single" w:sz="4" w:space="0" w:color="auto"/>
              <w:right w:val="single" w:sz="4" w:space="0" w:color="auto"/>
            </w:tcBorders>
            <w:shd w:val="clear" w:color="auto" w:fill="auto"/>
            <w:noWrap/>
          </w:tcPr>
          <w:p w:rsidR="0055491A" w:rsidRPr="00923897" w:rsidRDefault="0055491A" w:rsidP="00210BF6">
            <w:pPr>
              <w:jc w:val="center"/>
            </w:pPr>
            <w:r>
              <w:t>0</w:t>
            </w:r>
          </w:p>
        </w:tc>
        <w:tc>
          <w:tcPr>
            <w:tcW w:w="709" w:type="dxa"/>
            <w:tcBorders>
              <w:top w:val="nil"/>
              <w:left w:val="nil"/>
              <w:bottom w:val="single" w:sz="4" w:space="0" w:color="auto"/>
              <w:right w:val="single" w:sz="4" w:space="0" w:color="auto"/>
            </w:tcBorders>
            <w:shd w:val="clear" w:color="auto" w:fill="auto"/>
            <w:noWrap/>
          </w:tcPr>
          <w:p w:rsidR="0055491A" w:rsidRPr="00923897" w:rsidRDefault="0055491A" w:rsidP="00210BF6">
            <w:pPr>
              <w:jc w:val="center"/>
            </w:pPr>
            <w:r>
              <w:t>5</w:t>
            </w:r>
          </w:p>
        </w:tc>
        <w:tc>
          <w:tcPr>
            <w:tcW w:w="709" w:type="dxa"/>
            <w:tcBorders>
              <w:top w:val="single" w:sz="4" w:space="0" w:color="auto"/>
              <w:left w:val="nil"/>
              <w:bottom w:val="single" w:sz="4" w:space="0" w:color="auto"/>
              <w:right w:val="single" w:sz="4" w:space="0" w:color="auto"/>
            </w:tcBorders>
          </w:tcPr>
          <w:p w:rsidR="0055491A" w:rsidRPr="00923897" w:rsidRDefault="0055491A" w:rsidP="00210BF6">
            <w:pPr>
              <w:jc w:val="center"/>
            </w:pPr>
            <w:r>
              <w:t>2</w:t>
            </w:r>
          </w:p>
        </w:tc>
        <w:tc>
          <w:tcPr>
            <w:tcW w:w="708" w:type="dxa"/>
            <w:tcBorders>
              <w:top w:val="nil"/>
              <w:left w:val="single" w:sz="4" w:space="0" w:color="auto"/>
              <w:bottom w:val="single" w:sz="4" w:space="0" w:color="auto"/>
              <w:right w:val="single" w:sz="4" w:space="0" w:color="auto"/>
            </w:tcBorders>
            <w:shd w:val="clear" w:color="auto" w:fill="auto"/>
          </w:tcPr>
          <w:p w:rsidR="0055491A" w:rsidRPr="00923897" w:rsidRDefault="0055491A" w:rsidP="00210BF6">
            <w:pPr>
              <w:jc w:val="center"/>
            </w:pPr>
            <w:r>
              <w:t>2</w:t>
            </w:r>
          </w:p>
        </w:tc>
        <w:tc>
          <w:tcPr>
            <w:tcW w:w="709" w:type="dxa"/>
            <w:tcBorders>
              <w:top w:val="nil"/>
              <w:left w:val="nil"/>
              <w:bottom w:val="single" w:sz="4" w:space="0" w:color="auto"/>
              <w:right w:val="single" w:sz="4" w:space="0" w:color="auto"/>
            </w:tcBorders>
            <w:shd w:val="clear" w:color="auto" w:fill="auto"/>
          </w:tcPr>
          <w:p w:rsidR="0055491A" w:rsidRPr="00923897" w:rsidRDefault="0055491A" w:rsidP="00210BF6">
            <w:pPr>
              <w:jc w:val="center"/>
            </w:pPr>
            <w:r>
              <w:t>3</w:t>
            </w:r>
          </w:p>
        </w:tc>
        <w:tc>
          <w:tcPr>
            <w:tcW w:w="709" w:type="dxa"/>
            <w:tcBorders>
              <w:top w:val="nil"/>
              <w:left w:val="nil"/>
              <w:bottom w:val="single" w:sz="4" w:space="0" w:color="auto"/>
              <w:right w:val="nil"/>
            </w:tcBorders>
            <w:shd w:val="clear" w:color="auto" w:fill="auto"/>
          </w:tcPr>
          <w:p w:rsidR="0055491A" w:rsidRPr="00923897" w:rsidRDefault="0055491A" w:rsidP="00210BF6">
            <w:pPr>
              <w:jc w:val="center"/>
            </w:pPr>
            <w:r>
              <w:t>2</w:t>
            </w:r>
          </w:p>
        </w:tc>
        <w:tc>
          <w:tcPr>
            <w:tcW w:w="1134" w:type="dxa"/>
            <w:tcBorders>
              <w:top w:val="nil"/>
              <w:left w:val="single" w:sz="4" w:space="0" w:color="auto"/>
              <w:bottom w:val="single" w:sz="4" w:space="0" w:color="auto"/>
              <w:right w:val="single" w:sz="4" w:space="0" w:color="auto"/>
            </w:tcBorders>
            <w:shd w:val="clear" w:color="auto" w:fill="auto"/>
          </w:tcPr>
          <w:p w:rsidR="0055491A" w:rsidRPr="00923897" w:rsidRDefault="0055491A" w:rsidP="00210BF6">
            <w:pPr>
              <w:jc w:val="center"/>
            </w:pPr>
            <w:r>
              <w:t>50,0</w:t>
            </w:r>
          </w:p>
        </w:tc>
        <w:tc>
          <w:tcPr>
            <w:tcW w:w="1134" w:type="dxa"/>
            <w:tcBorders>
              <w:top w:val="nil"/>
              <w:left w:val="nil"/>
              <w:bottom w:val="single" w:sz="4" w:space="0" w:color="auto"/>
              <w:right w:val="single" w:sz="4" w:space="0" w:color="auto"/>
            </w:tcBorders>
            <w:shd w:val="clear" w:color="auto" w:fill="auto"/>
          </w:tcPr>
          <w:p w:rsidR="0055491A" w:rsidRPr="00923897" w:rsidRDefault="0055491A" w:rsidP="00210BF6">
            <w:pPr>
              <w:jc w:val="center"/>
            </w:pPr>
            <w:r>
              <w:t>75,0</w:t>
            </w:r>
          </w:p>
        </w:tc>
        <w:tc>
          <w:tcPr>
            <w:tcW w:w="1134" w:type="dxa"/>
            <w:tcBorders>
              <w:top w:val="nil"/>
              <w:left w:val="nil"/>
              <w:bottom w:val="single" w:sz="4" w:space="0" w:color="auto"/>
              <w:right w:val="single" w:sz="4" w:space="0" w:color="auto"/>
            </w:tcBorders>
            <w:shd w:val="clear" w:color="auto" w:fill="auto"/>
          </w:tcPr>
          <w:p w:rsidR="0055491A" w:rsidRPr="00923897" w:rsidRDefault="0055491A" w:rsidP="00210BF6">
            <w:pPr>
              <w:jc w:val="center"/>
            </w:pPr>
            <w:r>
              <w:t>50,0</w:t>
            </w:r>
          </w:p>
        </w:tc>
      </w:tr>
      <w:tr w:rsidR="0055491A" w:rsidRPr="00F80477" w:rsidTr="00210BF6">
        <w:trPr>
          <w:trHeight w:val="255"/>
        </w:trPr>
        <w:tc>
          <w:tcPr>
            <w:tcW w:w="976" w:type="dxa"/>
            <w:tcBorders>
              <w:top w:val="nil"/>
              <w:left w:val="single" w:sz="8" w:space="0" w:color="auto"/>
              <w:bottom w:val="single" w:sz="4" w:space="0" w:color="auto"/>
              <w:right w:val="single" w:sz="8" w:space="0" w:color="auto"/>
            </w:tcBorders>
          </w:tcPr>
          <w:p w:rsidR="0055491A" w:rsidRPr="00EF0881" w:rsidRDefault="0055491A" w:rsidP="00210BF6">
            <w:pPr>
              <w:jc w:val="center"/>
              <w:rPr>
                <w:b/>
              </w:rPr>
            </w:pPr>
          </w:p>
        </w:tc>
        <w:tc>
          <w:tcPr>
            <w:tcW w:w="4968" w:type="dxa"/>
            <w:gridSpan w:val="7"/>
            <w:tcBorders>
              <w:top w:val="nil"/>
              <w:left w:val="single" w:sz="8" w:space="0" w:color="auto"/>
              <w:bottom w:val="single" w:sz="4" w:space="0" w:color="auto"/>
              <w:right w:val="single" w:sz="8" w:space="0" w:color="auto"/>
            </w:tcBorders>
            <w:shd w:val="clear" w:color="auto" w:fill="auto"/>
            <w:vAlign w:val="center"/>
          </w:tcPr>
          <w:p w:rsidR="0055491A" w:rsidRPr="00F80477" w:rsidRDefault="0055491A" w:rsidP="00210BF6">
            <w:pPr>
              <w:jc w:val="center"/>
            </w:pPr>
            <w:r w:rsidRPr="00EF0881">
              <w:rPr>
                <w:b/>
              </w:rPr>
              <w:t>ИТОГО</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55491A" w:rsidRPr="0064605E" w:rsidRDefault="0055491A" w:rsidP="00210BF6">
            <w:pPr>
              <w:jc w:val="center"/>
              <w:rPr>
                <w:b/>
              </w:rPr>
            </w:pPr>
            <w:r w:rsidRPr="0064605E">
              <w:rPr>
                <w:b/>
              </w:rPr>
              <w:t>1 860,7</w:t>
            </w:r>
          </w:p>
        </w:tc>
        <w:tc>
          <w:tcPr>
            <w:tcW w:w="1134" w:type="dxa"/>
            <w:tcBorders>
              <w:top w:val="nil"/>
              <w:left w:val="nil"/>
              <w:bottom w:val="single" w:sz="4" w:space="0" w:color="auto"/>
              <w:right w:val="single" w:sz="4" w:space="0" w:color="auto"/>
            </w:tcBorders>
            <w:shd w:val="clear" w:color="auto" w:fill="auto"/>
            <w:vAlign w:val="center"/>
            <w:hideMark/>
          </w:tcPr>
          <w:p w:rsidR="0055491A" w:rsidRPr="0064605E" w:rsidRDefault="0055491A" w:rsidP="00210BF6">
            <w:pPr>
              <w:jc w:val="center"/>
              <w:rPr>
                <w:b/>
              </w:rPr>
            </w:pPr>
            <w:r w:rsidRPr="0064605E">
              <w:rPr>
                <w:b/>
              </w:rPr>
              <w:t>1 772,8</w:t>
            </w:r>
          </w:p>
        </w:tc>
        <w:tc>
          <w:tcPr>
            <w:tcW w:w="1134" w:type="dxa"/>
            <w:tcBorders>
              <w:top w:val="nil"/>
              <w:left w:val="nil"/>
              <w:bottom w:val="single" w:sz="4" w:space="0" w:color="auto"/>
              <w:right w:val="single" w:sz="4" w:space="0" w:color="auto"/>
            </w:tcBorders>
            <w:shd w:val="clear" w:color="auto" w:fill="auto"/>
            <w:vAlign w:val="center"/>
            <w:hideMark/>
          </w:tcPr>
          <w:p w:rsidR="0055491A" w:rsidRPr="0064605E" w:rsidRDefault="0055491A" w:rsidP="00210BF6">
            <w:pPr>
              <w:jc w:val="center"/>
              <w:rPr>
                <w:b/>
              </w:rPr>
            </w:pPr>
            <w:r w:rsidRPr="0064605E">
              <w:rPr>
                <w:b/>
              </w:rPr>
              <w:t>1 889,0</w:t>
            </w:r>
          </w:p>
        </w:tc>
      </w:tr>
    </w:tbl>
    <w:p w:rsidR="0055491A" w:rsidRDefault="0055491A" w:rsidP="0055491A">
      <w:pPr>
        <w:spacing w:line="252" w:lineRule="auto"/>
        <w:ind w:firstLine="709"/>
        <w:jc w:val="both"/>
      </w:pPr>
    </w:p>
    <w:p w:rsidR="0055491A" w:rsidRDefault="0055491A" w:rsidP="0055491A">
      <w:pPr>
        <w:pStyle w:val="a7"/>
        <w:spacing w:after="0"/>
        <w:ind w:left="0" w:firstLine="709"/>
        <w:jc w:val="both"/>
        <w:rPr>
          <w:sz w:val="28"/>
          <w:szCs w:val="28"/>
        </w:rPr>
      </w:pPr>
      <w:r>
        <w:rPr>
          <w:sz w:val="28"/>
          <w:szCs w:val="28"/>
        </w:rPr>
        <w:t xml:space="preserve">3.2 </w:t>
      </w:r>
      <w:r w:rsidRPr="0064605E">
        <w:rPr>
          <w:b/>
          <w:sz w:val="28"/>
          <w:szCs w:val="28"/>
        </w:rPr>
        <w:t>КБК 327 1 16 01072 01 0000 140</w:t>
      </w:r>
      <w:r>
        <w:rPr>
          <w:sz w:val="28"/>
          <w:szCs w:val="28"/>
        </w:rPr>
        <w:t xml:space="preserve"> </w:t>
      </w:r>
      <w:r w:rsidRPr="00B03A5B">
        <w:rPr>
          <w:sz w:val="28"/>
          <w:szCs w:val="28"/>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w:t>
      </w:r>
      <w:r>
        <w:rPr>
          <w:sz w:val="28"/>
          <w:szCs w:val="28"/>
        </w:rPr>
        <w:t>.</w:t>
      </w:r>
    </w:p>
    <w:p w:rsidR="0055491A" w:rsidRPr="0064605E" w:rsidRDefault="0055491A" w:rsidP="0055491A">
      <w:pPr>
        <w:pStyle w:val="a7"/>
        <w:spacing w:after="0"/>
        <w:ind w:left="0" w:firstLine="709"/>
        <w:jc w:val="both"/>
        <w:rPr>
          <w:b/>
          <w:sz w:val="28"/>
          <w:szCs w:val="28"/>
        </w:rPr>
      </w:pPr>
      <w:r w:rsidRPr="0064605E">
        <w:rPr>
          <w:b/>
          <w:sz w:val="28"/>
          <w:szCs w:val="28"/>
        </w:rPr>
        <w:t>Главный администратор доходов - Министерство природных ресурсов и экологии Тверской области.</w:t>
      </w:r>
    </w:p>
    <w:p w:rsidR="0055491A" w:rsidRPr="002B61ED" w:rsidRDefault="0055491A" w:rsidP="0055491A">
      <w:pPr>
        <w:pStyle w:val="a7"/>
        <w:spacing w:after="0"/>
        <w:ind w:left="0" w:firstLine="709"/>
        <w:jc w:val="both"/>
        <w:rPr>
          <w:sz w:val="28"/>
          <w:szCs w:val="28"/>
        </w:rPr>
      </w:pPr>
      <w:r w:rsidRPr="002B61ED">
        <w:rPr>
          <w:sz w:val="28"/>
          <w:szCs w:val="28"/>
        </w:rPr>
        <w:t xml:space="preserve">При осуществлении регионального экологического надзора Министерством возбуждаются  и рассматриваются административные дела по ст. ст. 7.3, 7.6 </w:t>
      </w:r>
      <w:r>
        <w:rPr>
          <w:sz w:val="28"/>
          <w:szCs w:val="28"/>
        </w:rPr>
        <w:t>КоАП</w:t>
      </w:r>
      <w:r w:rsidRPr="002B61ED">
        <w:rPr>
          <w:sz w:val="28"/>
          <w:szCs w:val="28"/>
        </w:rPr>
        <w:t>. По результатам рассмотрения выносятся административные штрафы в размере от 3 тыс. рублей до 1 млн. рублей.</w:t>
      </w:r>
    </w:p>
    <w:p w:rsidR="0055491A" w:rsidRDefault="0055491A" w:rsidP="0055491A">
      <w:pPr>
        <w:pStyle w:val="a7"/>
        <w:spacing w:after="0"/>
        <w:ind w:left="0" w:firstLine="709"/>
        <w:jc w:val="both"/>
        <w:rPr>
          <w:sz w:val="28"/>
          <w:szCs w:val="28"/>
        </w:rPr>
      </w:pPr>
      <w:r w:rsidRPr="000D4676">
        <w:rPr>
          <w:sz w:val="28"/>
          <w:szCs w:val="28"/>
        </w:rPr>
        <w:t>Прогноз поступлений денежных взысканий (штрафов) на 20</w:t>
      </w:r>
      <w:r>
        <w:rPr>
          <w:sz w:val="28"/>
          <w:szCs w:val="28"/>
        </w:rPr>
        <w:t>22</w:t>
      </w:r>
      <w:r w:rsidRPr="000D4676">
        <w:rPr>
          <w:sz w:val="28"/>
          <w:szCs w:val="28"/>
        </w:rPr>
        <w:t xml:space="preserve"> год и плановый период 20</w:t>
      </w:r>
      <w:r>
        <w:rPr>
          <w:sz w:val="28"/>
          <w:szCs w:val="28"/>
        </w:rPr>
        <w:t>23</w:t>
      </w:r>
      <w:r w:rsidRPr="000D4676">
        <w:rPr>
          <w:sz w:val="28"/>
          <w:szCs w:val="28"/>
        </w:rPr>
        <w:t>-202</w:t>
      </w:r>
      <w:r>
        <w:rPr>
          <w:sz w:val="28"/>
          <w:szCs w:val="28"/>
        </w:rPr>
        <w:t>4</w:t>
      </w:r>
      <w:r w:rsidRPr="000D4676">
        <w:rPr>
          <w:sz w:val="28"/>
          <w:szCs w:val="28"/>
        </w:rPr>
        <w:t xml:space="preserve"> годов в доход областного бюджета Тверской области</w:t>
      </w:r>
      <w:r w:rsidRPr="002B61ED">
        <w:rPr>
          <w:sz w:val="28"/>
          <w:szCs w:val="28"/>
        </w:rPr>
        <w:t xml:space="preserve"> </w:t>
      </w:r>
      <w:r>
        <w:rPr>
          <w:sz w:val="28"/>
          <w:szCs w:val="28"/>
        </w:rPr>
        <w:t xml:space="preserve">определен методом прямого расчета с учетом среднего количества правонарушений за три года, предшествующих прогнозируемому периоду и  </w:t>
      </w:r>
      <w:r w:rsidRPr="00AE2A16">
        <w:rPr>
          <w:sz w:val="28"/>
          <w:szCs w:val="28"/>
        </w:rPr>
        <w:t>размера платежа за каждый вид правонарушений</w:t>
      </w:r>
      <w:r>
        <w:rPr>
          <w:sz w:val="28"/>
          <w:szCs w:val="28"/>
        </w:rPr>
        <w:t>.</w:t>
      </w:r>
    </w:p>
    <w:p w:rsidR="0055491A" w:rsidRDefault="0055491A" w:rsidP="0055491A">
      <w:pPr>
        <w:pStyle w:val="a7"/>
        <w:spacing w:after="0"/>
        <w:ind w:left="0" w:firstLine="709"/>
        <w:jc w:val="both"/>
        <w:rPr>
          <w:sz w:val="28"/>
          <w:szCs w:val="28"/>
        </w:rPr>
      </w:pPr>
      <w:r w:rsidRPr="00E72C99">
        <w:rPr>
          <w:sz w:val="28"/>
          <w:szCs w:val="28"/>
        </w:rPr>
        <w:t>Расчет прогнозного объема поступления доходов по данному КБК</w:t>
      </w:r>
      <w:r>
        <w:rPr>
          <w:sz w:val="28"/>
          <w:szCs w:val="28"/>
        </w:rPr>
        <w:t xml:space="preserve"> представлен в таблице</w:t>
      </w:r>
    </w:p>
    <w:p w:rsidR="0055491A" w:rsidRDefault="0055491A" w:rsidP="0055491A">
      <w:pPr>
        <w:pStyle w:val="a7"/>
        <w:spacing w:after="0"/>
        <w:ind w:left="0" w:firstLine="709"/>
        <w:jc w:val="both"/>
        <w:rPr>
          <w:sz w:val="28"/>
          <w:szCs w:val="28"/>
        </w:rPr>
      </w:pPr>
    </w:p>
    <w:tbl>
      <w:tblPr>
        <w:tblW w:w="9356" w:type="dxa"/>
        <w:tblLayout w:type="fixed"/>
        <w:tblLook w:val="04A0" w:firstRow="1" w:lastRow="0" w:firstColumn="1" w:lastColumn="0" w:noHBand="0" w:noVBand="1"/>
      </w:tblPr>
      <w:tblGrid>
        <w:gridCol w:w="976"/>
        <w:gridCol w:w="1467"/>
        <w:gridCol w:w="1467"/>
        <w:gridCol w:w="1467"/>
        <w:gridCol w:w="10"/>
        <w:gridCol w:w="1266"/>
        <w:gridCol w:w="10"/>
        <w:gridCol w:w="1265"/>
        <w:gridCol w:w="10"/>
        <w:gridCol w:w="1408"/>
        <w:gridCol w:w="10"/>
      </w:tblGrid>
      <w:tr w:rsidR="0055491A" w:rsidTr="00210BF6">
        <w:trPr>
          <w:trHeight w:val="418"/>
        </w:trPr>
        <w:tc>
          <w:tcPr>
            <w:tcW w:w="9356" w:type="dxa"/>
            <w:gridSpan w:val="11"/>
            <w:tcBorders>
              <w:top w:val="single" w:sz="8" w:space="0" w:color="auto"/>
              <w:left w:val="single" w:sz="8" w:space="0" w:color="auto"/>
              <w:bottom w:val="single" w:sz="8" w:space="0" w:color="auto"/>
              <w:right w:val="single" w:sz="8" w:space="0" w:color="000000"/>
            </w:tcBorders>
            <w:shd w:val="clear" w:color="auto" w:fill="auto"/>
            <w:vAlign w:val="center"/>
            <w:hideMark/>
          </w:tcPr>
          <w:p w:rsidR="0055491A" w:rsidRPr="00F80477" w:rsidRDefault="0055491A" w:rsidP="00210BF6">
            <w:pPr>
              <w:jc w:val="center"/>
              <w:rPr>
                <w:b/>
                <w:bCs/>
              </w:rPr>
            </w:pPr>
            <w:r w:rsidRPr="00F80477">
              <w:rPr>
                <w:b/>
                <w:bCs/>
              </w:rPr>
              <w:t xml:space="preserve">Нарушение статьи 7.3, 7.6 </w:t>
            </w:r>
            <w:r>
              <w:rPr>
                <w:b/>
                <w:bCs/>
              </w:rPr>
              <w:t>КоАП РФ</w:t>
            </w:r>
          </w:p>
        </w:tc>
      </w:tr>
      <w:tr w:rsidR="0055491A" w:rsidTr="00210BF6">
        <w:trPr>
          <w:trHeight w:val="645"/>
        </w:trPr>
        <w:tc>
          <w:tcPr>
            <w:tcW w:w="976" w:type="dxa"/>
            <w:vMerge w:val="restart"/>
            <w:tcBorders>
              <w:top w:val="nil"/>
              <w:left w:val="single" w:sz="8" w:space="0" w:color="auto"/>
              <w:bottom w:val="single" w:sz="8" w:space="0" w:color="000000"/>
              <w:right w:val="single" w:sz="8" w:space="0" w:color="auto"/>
            </w:tcBorders>
            <w:shd w:val="clear" w:color="auto" w:fill="auto"/>
            <w:vAlign w:val="center"/>
            <w:hideMark/>
          </w:tcPr>
          <w:p w:rsidR="0055491A" w:rsidRDefault="0055491A" w:rsidP="00210BF6">
            <w:pPr>
              <w:jc w:val="center"/>
              <w:rPr>
                <w:b/>
                <w:bCs/>
                <w:sz w:val="20"/>
                <w:szCs w:val="20"/>
              </w:rPr>
            </w:pPr>
            <w:r>
              <w:rPr>
                <w:b/>
                <w:bCs/>
                <w:sz w:val="20"/>
                <w:szCs w:val="20"/>
              </w:rPr>
              <w:t>Размер платежа</w:t>
            </w:r>
          </w:p>
        </w:tc>
        <w:tc>
          <w:tcPr>
            <w:tcW w:w="4411" w:type="dxa"/>
            <w:gridSpan w:val="4"/>
            <w:tcBorders>
              <w:top w:val="single" w:sz="8" w:space="0" w:color="auto"/>
              <w:left w:val="nil"/>
              <w:bottom w:val="single" w:sz="4" w:space="0" w:color="auto"/>
              <w:right w:val="single" w:sz="4" w:space="0" w:color="auto"/>
            </w:tcBorders>
            <w:shd w:val="clear" w:color="auto" w:fill="auto"/>
            <w:vAlign w:val="center"/>
            <w:hideMark/>
          </w:tcPr>
          <w:p w:rsidR="0055491A" w:rsidRPr="00F80477" w:rsidRDefault="0055491A" w:rsidP="00210BF6">
            <w:pPr>
              <w:jc w:val="center"/>
              <w:rPr>
                <w:b/>
                <w:bCs/>
              </w:rPr>
            </w:pPr>
            <w:r w:rsidRPr="00F80477">
              <w:rPr>
                <w:b/>
                <w:bCs/>
              </w:rPr>
              <w:t>Количество правонарушений                                     (с учетом округления)</w:t>
            </w:r>
          </w:p>
        </w:tc>
        <w:tc>
          <w:tcPr>
            <w:tcW w:w="3969" w:type="dxa"/>
            <w:gridSpan w:val="6"/>
            <w:tcBorders>
              <w:top w:val="single" w:sz="8" w:space="0" w:color="auto"/>
              <w:left w:val="nil"/>
              <w:bottom w:val="single" w:sz="4" w:space="0" w:color="auto"/>
              <w:right w:val="single" w:sz="8" w:space="0" w:color="000000"/>
            </w:tcBorders>
            <w:shd w:val="clear" w:color="auto" w:fill="auto"/>
            <w:vAlign w:val="center"/>
            <w:hideMark/>
          </w:tcPr>
          <w:p w:rsidR="0055491A" w:rsidRPr="00F80477" w:rsidRDefault="0055491A" w:rsidP="00210BF6">
            <w:pPr>
              <w:jc w:val="center"/>
              <w:rPr>
                <w:b/>
                <w:bCs/>
              </w:rPr>
            </w:pPr>
            <w:r w:rsidRPr="00F80477">
              <w:rPr>
                <w:b/>
                <w:bCs/>
              </w:rPr>
              <w:t xml:space="preserve">Прогноз </w:t>
            </w:r>
          </w:p>
        </w:tc>
      </w:tr>
      <w:tr w:rsidR="0055491A" w:rsidTr="00210BF6">
        <w:trPr>
          <w:gridAfter w:val="1"/>
          <w:wAfter w:w="10" w:type="dxa"/>
          <w:trHeight w:val="448"/>
        </w:trPr>
        <w:tc>
          <w:tcPr>
            <w:tcW w:w="976" w:type="dxa"/>
            <w:vMerge/>
            <w:tcBorders>
              <w:top w:val="nil"/>
              <w:left w:val="single" w:sz="8" w:space="0" w:color="auto"/>
              <w:bottom w:val="single" w:sz="8" w:space="0" w:color="000000"/>
              <w:right w:val="single" w:sz="8" w:space="0" w:color="auto"/>
            </w:tcBorders>
            <w:vAlign w:val="center"/>
            <w:hideMark/>
          </w:tcPr>
          <w:p w:rsidR="0055491A" w:rsidRDefault="0055491A" w:rsidP="00210BF6">
            <w:pPr>
              <w:rPr>
                <w:b/>
                <w:bCs/>
                <w:sz w:val="20"/>
                <w:szCs w:val="20"/>
              </w:rPr>
            </w:pPr>
          </w:p>
        </w:tc>
        <w:tc>
          <w:tcPr>
            <w:tcW w:w="1467" w:type="dxa"/>
            <w:tcBorders>
              <w:top w:val="nil"/>
              <w:left w:val="single" w:sz="4" w:space="0" w:color="auto"/>
              <w:bottom w:val="single" w:sz="8" w:space="0" w:color="auto"/>
              <w:right w:val="single" w:sz="4" w:space="0" w:color="auto"/>
            </w:tcBorders>
            <w:shd w:val="clear" w:color="auto" w:fill="auto"/>
            <w:vAlign w:val="center"/>
          </w:tcPr>
          <w:p w:rsidR="0055491A" w:rsidRDefault="0055491A" w:rsidP="00210BF6">
            <w:pPr>
              <w:jc w:val="center"/>
              <w:rPr>
                <w:b/>
                <w:bCs/>
                <w:sz w:val="20"/>
                <w:szCs w:val="20"/>
              </w:rPr>
            </w:pPr>
            <w:r>
              <w:rPr>
                <w:b/>
                <w:bCs/>
                <w:sz w:val="20"/>
                <w:szCs w:val="20"/>
              </w:rPr>
              <w:t>2022 год</w:t>
            </w:r>
          </w:p>
        </w:tc>
        <w:tc>
          <w:tcPr>
            <w:tcW w:w="1467" w:type="dxa"/>
            <w:tcBorders>
              <w:top w:val="nil"/>
              <w:left w:val="nil"/>
              <w:bottom w:val="single" w:sz="8" w:space="0" w:color="auto"/>
              <w:right w:val="single" w:sz="4" w:space="0" w:color="auto"/>
            </w:tcBorders>
            <w:shd w:val="clear" w:color="auto" w:fill="auto"/>
            <w:vAlign w:val="center"/>
          </w:tcPr>
          <w:p w:rsidR="0055491A" w:rsidRDefault="0055491A" w:rsidP="00210BF6">
            <w:pPr>
              <w:jc w:val="center"/>
              <w:rPr>
                <w:b/>
                <w:bCs/>
                <w:sz w:val="20"/>
                <w:szCs w:val="20"/>
              </w:rPr>
            </w:pPr>
            <w:r>
              <w:rPr>
                <w:b/>
                <w:bCs/>
                <w:sz w:val="20"/>
                <w:szCs w:val="20"/>
              </w:rPr>
              <w:t>2023 год</w:t>
            </w:r>
          </w:p>
        </w:tc>
        <w:tc>
          <w:tcPr>
            <w:tcW w:w="1467" w:type="dxa"/>
            <w:tcBorders>
              <w:top w:val="nil"/>
              <w:left w:val="nil"/>
              <w:bottom w:val="single" w:sz="8" w:space="0" w:color="auto"/>
              <w:right w:val="single" w:sz="4" w:space="0" w:color="auto"/>
            </w:tcBorders>
            <w:shd w:val="clear" w:color="auto" w:fill="auto"/>
            <w:vAlign w:val="center"/>
          </w:tcPr>
          <w:p w:rsidR="0055491A" w:rsidRDefault="0055491A" w:rsidP="00210BF6">
            <w:pPr>
              <w:jc w:val="center"/>
              <w:rPr>
                <w:b/>
                <w:bCs/>
                <w:sz w:val="20"/>
                <w:szCs w:val="20"/>
              </w:rPr>
            </w:pPr>
            <w:r>
              <w:rPr>
                <w:b/>
                <w:bCs/>
                <w:sz w:val="20"/>
                <w:szCs w:val="20"/>
              </w:rPr>
              <w:t>2024 год</w:t>
            </w:r>
          </w:p>
        </w:tc>
        <w:tc>
          <w:tcPr>
            <w:tcW w:w="1276" w:type="dxa"/>
            <w:gridSpan w:val="2"/>
            <w:tcBorders>
              <w:top w:val="nil"/>
              <w:left w:val="single" w:sz="4" w:space="0" w:color="auto"/>
              <w:bottom w:val="single" w:sz="8" w:space="0" w:color="auto"/>
              <w:right w:val="single" w:sz="4" w:space="0" w:color="auto"/>
            </w:tcBorders>
            <w:shd w:val="clear" w:color="auto" w:fill="auto"/>
            <w:noWrap/>
            <w:vAlign w:val="center"/>
            <w:hideMark/>
          </w:tcPr>
          <w:p w:rsidR="0055491A" w:rsidRDefault="0055491A" w:rsidP="00210BF6">
            <w:pPr>
              <w:jc w:val="center"/>
              <w:rPr>
                <w:b/>
                <w:bCs/>
                <w:sz w:val="20"/>
                <w:szCs w:val="20"/>
              </w:rPr>
            </w:pPr>
            <w:r>
              <w:rPr>
                <w:b/>
                <w:bCs/>
                <w:sz w:val="20"/>
                <w:szCs w:val="20"/>
              </w:rPr>
              <w:t>2022год</w:t>
            </w:r>
          </w:p>
        </w:tc>
        <w:tc>
          <w:tcPr>
            <w:tcW w:w="1275" w:type="dxa"/>
            <w:gridSpan w:val="2"/>
            <w:tcBorders>
              <w:top w:val="nil"/>
              <w:left w:val="nil"/>
              <w:bottom w:val="single" w:sz="8" w:space="0" w:color="auto"/>
              <w:right w:val="single" w:sz="4" w:space="0" w:color="auto"/>
            </w:tcBorders>
            <w:shd w:val="clear" w:color="auto" w:fill="auto"/>
            <w:noWrap/>
            <w:vAlign w:val="center"/>
            <w:hideMark/>
          </w:tcPr>
          <w:p w:rsidR="0055491A" w:rsidRDefault="0055491A" w:rsidP="00210BF6">
            <w:pPr>
              <w:jc w:val="center"/>
              <w:rPr>
                <w:b/>
                <w:bCs/>
                <w:sz w:val="20"/>
                <w:szCs w:val="20"/>
              </w:rPr>
            </w:pPr>
            <w:r>
              <w:rPr>
                <w:b/>
                <w:bCs/>
                <w:sz w:val="20"/>
                <w:szCs w:val="20"/>
              </w:rPr>
              <w:t>2023 год</w:t>
            </w:r>
          </w:p>
        </w:tc>
        <w:tc>
          <w:tcPr>
            <w:tcW w:w="1418" w:type="dxa"/>
            <w:gridSpan w:val="2"/>
            <w:tcBorders>
              <w:top w:val="nil"/>
              <w:left w:val="nil"/>
              <w:bottom w:val="single" w:sz="8" w:space="0" w:color="auto"/>
              <w:right w:val="single" w:sz="8" w:space="0" w:color="auto"/>
            </w:tcBorders>
            <w:shd w:val="clear" w:color="auto" w:fill="auto"/>
            <w:noWrap/>
            <w:vAlign w:val="center"/>
            <w:hideMark/>
          </w:tcPr>
          <w:p w:rsidR="0055491A" w:rsidRDefault="0055491A" w:rsidP="00210BF6">
            <w:pPr>
              <w:jc w:val="center"/>
              <w:rPr>
                <w:b/>
                <w:bCs/>
                <w:sz w:val="20"/>
                <w:szCs w:val="20"/>
              </w:rPr>
            </w:pPr>
            <w:r>
              <w:rPr>
                <w:b/>
                <w:bCs/>
                <w:sz w:val="20"/>
                <w:szCs w:val="20"/>
              </w:rPr>
              <w:t>2024 год</w:t>
            </w:r>
          </w:p>
        </w:tc>
      </w:tr>
      <w:tr w:rsidR="0055491A" w:rsidTr="00210BF6">
        <w:trPr>
          <w:gridAfter w:val="1"/>
          <w:wAfter w:w="10" w:type="dxa"/>
          <w:trHeight w:val="255"/>
        </w:trPr>
        <w:tc>
          <w:tcPr>
            <w:tcW w:w="976" w:type="dxa"/>
            <w:tcBorders>
              <w:top w:val="single" w:sz="4" w:space="0" w:color="auto"/>
              <w:left w:val="single" w:sz="8" w:space="0" w:color="auto"/>
              <w:bottom w:val="single" w:sz="4" w:space="0" w:color="auto"/>
              <w:right w:val="single" w:sz="8" w:space="0" w:color="auto"/>
            </w:tcBorders>
            <w:shd w:val="clear" w:color="auto" w:fill="auto"/>
            <w:noWrap/>
            <w:vAlign w:val="center"/>
          </w:tcPr>
          <w:p w:rsidR="0055491A" w:rsidRPr="00F80477" w:rsidRDefault="0055491A" w:rsidP="00210BF6">
            <w:pPr>
              <w:jc w:val="right"/>
            </w:pPr>
            <w:r>
              <w:t>1,0</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491A" w:rsidRPr="00E84CA3" w:rsidRDefault="0055491A" w:rsidP="00210BF6">
            <w:pPr>
              <w:jc w:val="center"/>
            </w:pPr>
            <w:r w:rsidRPr="00E84CA3">
              <w:t>6</w:t>
            </w:r>
          </w:p>
        </w:tc>
        <w:tc>
          <w:tcPr>
            <w:tcW w:w="1467" w:type="dxa"/>
            <w:tcBorders>
              <w:top w:val="single" w:sz="4" w:space="0" w:color="auto"/>
              <w:left w:val="nil"/>
              <w:bottom w:val="single" w:sz="4" w:space="0" w:color="auto"/>
              <w:right w:val="single" w:sz="4" w:space="0" w:color="auto"/>
            </w:tcBorders>
            <w:shd w:val="clear" w:color="auto" w:fill="auto"/>
            <w:noWrap/>
            <w:vAlign w:val="center"/>
          </w:tcPr>
          <w:p w:rsidR="0055491A" w:rsidRPr="00E84CA3" w:rsidRDefault="0055491A" w:rsidP="00210BF6">
            <w:pPr>
              <w:jc w:val="center"/>
            </w:pPr>
            <w:r w:rsidRPr="00E84CA3">
              <w:t>6</w:t>
            </w:r>
          </w:p>
        </w:tc>
        <w:tc>
          <w:tcPr>
            <w:tcW w:w="1467" w:type="dxa"/>
            <w:tcBorders>
              <w:top w:val="single" w:sz="4" w:space="0" w:color="auto"/>
              <w:left w:val="nil"/>
              <w:bottom w:val="single" w:sz="4" w:space="0" w:color="auto"/>
              <w:right w:val="single" w:sz="4" w:space="0" w:color="auto"/>
            </w:tcBorders>
            <w:shd w:val="clear" w:color="auto" w:fill="auto"/>
            <w:vAlign w:val="center"/>
          </w:tcPr>
          <w:p w:rsidR="0055491A" w:rsidRPr="00E84CA3" w:rsidRDefault="0055491A" w:rsidP="00210BF6">
            <w:pPr>
              <w:jc w:val="center"/>
            </w:pPr>
            <w:r w:rsidRPr="00E84CA3">
              <w:t>6</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491A" w:rsidRPr="00F80477" w:rsidRDefault="0055491A" w:rsidP="00210BF6">
            <w:pPr>
              <w:jc w:val="right"/>
            </w:pPr>
            <w:r>
              <w:t>6,0</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55491A" w:rsidRPr="00F80477" w:rsidRDefault="0055491A" w:rsidP="00210BF6">
            <w:pPr>
              <w:jc w:val="right"/>
            </w:pPr>
            <w:r>
              <w:t>6,0</w:t>
            </w: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rsidR="0055491A" w:rsidRPr="00F80477" w:rsidRDefault="0055491A" w:rsidP="00210BF6">
            <w:pPr>
              <w:jc w:val="right"/>
            </w:pPr>
            <w:r>
              <w:t>6,0</w:t>
            </w:r>
          </w:p>
        </w:tc>
      </w:tr>
      <w:tr w:rsidR="0055491A" w:rsidTr="00210BF6">
        <w:trPr>
          <w:gridAfter w:val="1"/>
          <w:wAfter w:w="10" w:type="dxa"/>
          <w:trHeight w:val="255"/>
        </w:trPr>
        <w:tc>
          <w:tcPr>
            <w:tcW w:w="976" w:type="dxa"/>
            <w:tcBorders>
              <w:top w:val="single" w:sz="4" w:space="0" w:color="auto"/>
              <w:left w:val="single" w:sz="8" w:space="0" w:color="auto"/>
              <w:bottom w:val="single" w:sz="4" w:space="0" w:color="auto"/>
              <w:right w:val="single" w:sz="8" w:space="0" w:color="auto"/>
            </w:tcBorders>
            <w:shd w:val="clear" w:color="auto" w:fill="auto"/>
            <w:noWrap/>
            <w:vAlign w:val="center"/>
          </w:tcPr>
          <w:p w:rsidR="0055491A" w:rsidRPr="00F80477" w:rsidRDefault="0055491A" w:rsidP="00210BF6">
            <w:pPr>
              <w:jc w:val="right"/>
            </w:pPr>
            <w:r>
              <w:t>20,0</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491A" w:rsidRPr="002823ED" w:rsidRDefault="0055491A" w:rsidP="00210BF6">
            <w:pPr>
              <w:jc w:val="center"/>
            </w:pPr>
            <w:r>
              <w:t>1</w:t>
            </w:r>
          </w:p>
        </w:tc>
        <w:tc>
          <w:tcPr>
            <w:tcW w:w="1467" w:type="dxa"/>
            <w:tcBorders>
              <w:top w:val="single" w:sz="4" w:space="0" w:color="auto"/>
              <w:left w:val="nil"/>
              <w:bottom w:val="single" w:sz="4" w:space="0" w:color="auto"/>
              <w:right w:val="single" w:sz="4" w:space="0" w:color="auto"/>
            </w:tcBorders>
            <w:shd w:val="clear" w:color="auto" w:fill="auto"/>
            <w:noWrap/>
            <w:vAlign w:val="center"/>
          </w:tcPr>
          <w:p w:rsidR="0055491A" w:rsidRPr="002823ED" w:rsidRDefault="0055491A" w:rsidP="00210BF6">
            <w:pPr>
              <w:jc w:val="center"/>
            </w:pPr>
            <w:r>
              <w:t>1</w:t>
            </w:r>
          </w:p>
        </w:tc>
        <w:tc>
          <w:tcPr>
            <w:tcW w:w="1467" w:type="dxa"/>
            <w:tcBorders>
              <w:top w:val="single" w:sz="4" w:space="0" w:color="auto"/>
              <w:left w:val="nil"/>
              <w:bottom w:val="single" w:sz="4" w:space="0" w:color="auto"/>
              <w:right w:val="single" w:sz="4" w:space="0" w:color="auto"/>
            </w:tcBorders>
            <w:shd w:val="clear" w:color="auto" w:fill="auto"/>
            <w:vAlign w:val="center"/>
          </w:tcPr>
          <w:p w:rsidR="0055491A" w:rsidRPr="002823ED" w:rsidRDefault="0055491A" w:rsidP="00210BF6">
            <w:pPr>
              <w:jc w:val="center"/>
            </w:pPr>
            <w: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491A" w:rsidRPr="00F80477" w:rsidRDefault="0055491A" w:rsidP="00210BF6">
            <w:pPr>
              <w:jc w:val="right"/>
            </w:pPr>
            <w:r>
              <w:t>20,0</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55491A" w:rsidRPr="00F80477" w:rsidRDefault="0055491A" w:rsidP="00210BF6">
            <w:pPr>
              <w:jc w:val="right"/>
            </w:pPr>
            <w:r>
              <w:t>20,0</w:t>
            </w: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rsidR="0055491A" w:rsidRPr="00F80477" w:rsidRDefault="0055491A" w:rsidP="00210BF6">
            <w:pPr>
              <w:jc w:val="right"/>
            </w:pPr>
            <w:r>
              <w:t>40,0</w:t>
            </w:r>
          </w:p>
        </w:tc>
      </w:tr>
      <w:tr w:rsidR="0055491A" w:rsidTr="00210BF6">
        <w:trPr>
          <w:gridAfter w:val="1"/>
          <w:wAfter w:w="10" w:type="dxa"/>
          <w:trHeight w:val="255"/>
        </w:trPr>
        <w:tc>
          <w:tcPr>
            <w:tcW w:w="976"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55491A" w:rsidRPr="00F80477" w:rsidRDefault="0055491A" w:rsidP="00210BF6">
            <w:pPr>
              <w:jc w:val="right"/>
            </w:pPr>
            <w:r>
              <w:t>30,0</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491A" w:rsidRPr="002823ED" w:rsidRDefault="0055491A" w:rsidP="00210BF6">
            <w:pPr>
              <w:jc w:val="center"/>
            </w:pPr>
            <w:r>
              <w:t>2</w:t>
            </w:r>
          </w:p>
        </w:tc>
        <w:tc>
          <w:tcPr>
            <w:tcW w:w="1467" w:type="dxa"/>
            <w:tcBorders>
              <w:top w:val="single" w:sz="4" w:space="0" w:color="auto"/>
              <w:left w:val="nil"/>
              <w:bottom w:val="single" w:sz="4" w:space="0" w:color="auto"/>
              <w:right w:val="single" w:sz="4" w:space="0" w:color="auto"/>
            </w:tcBorders>
            <w:shd w:val="clear" w:color="auto" w:fill="auto"/>
            <w:noWrap/>
            <w:vAlign w:val="center"/>
          </w:tcPr>
          <w:p w:rsidR="0055491A" w:rsidRPr="002823ED" w:rsidRDefault="0055491A" w:rsidP="00210BF6">
            <w:pPr>
              <w:jc w:val="center"/>
            </w:pPr>
            <w:r>
              <w:t>2</w:t>
            </w:r>
          </w:p>
        </w:tc>
        <w:tc>
          <w:tcPr>
            <w:tcW w:w="1467" w:type="dxa"/>
            <w:tcBorders>
              <w:top w:val="single" w:sz="4" w:space="0" w:color="auto"/>
              <w:left w:val="nil"/>
              <w:bottom w:val="single" w:sz="4" w:space="0" w:color="auto"/>
              <w:right w:val="single" w:sz="4" w:space="0" w:color="auto"/>
            </w:tcBorders>
            <w:shd w:val="clear" w:color="auto" w:fill="auto"/>
            <w:vAlign w:val="center"/>
          </w:tcPr>
          <w:p w:rsidR="0055491A" w:rsidRPr="002823ED" w:rsidRDefault="0055491A" w:rsidP="00210BF6">
            <w:pPr>
              <w:jc w:val="center"/>
            </w:pPr>
            <w: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5491A" w:rsidRPr="00F80477" w:rsidRDefault="0055491A" w:rsidP="00210BF6">
            <w:pPr>
              <w:jc w:val="right"/>
            </w:pPr>
            <w:r>
              <w:t>60,0</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55491A" w:rsidRPr="00F80477" w:rsidRDefault="0055491A" w:rsidP="00210BF6">
            <w:pPr>
              <w:jc w:val="right"/>
            </w:pPr>
            <w:r>
              <w:t>60</w:t>
            </w:r>
            <w:r w:rsidRPr="00F80477">
              <w:t>,</w:t>
            </w:r>
            <w:r>
              <w:t>0</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55491A" w:rsidRPr="00F80477" w:rsidRDefault="0055491A" w:rsidP="00210BF6">
            <w:pPr>
              <w:jc w:val="right"/>
            </w:pPr>
            <w:r>
              <w:t>60</w:t>
            </w:r>
            <w:r w:rsidRPr="00F80477">
              <w:t>,</w:t>
            </w:r>
            <w:r>
              <w:t>0</w:t>
            </w:r>
          </w:p>
        </w:tc>
      </w:tr>
      <w:tr w:rsidR="0055491A" w:rsidTr="00210BF6">
        <w:trPr>
          <w:gridAfter w:val="1"/>
          <w:wAfter w:w="10" w:type="dxa"/>
          <w:trHeight w:val="255"/>
        </w:trPr>
        <w:tc>
          <w:tcPr>
            <w:tcW w:w="976" w:type="dxa"/>
            <w:tcBorders>
              <w:top w:val="nil"/>
              <w:left w:val="single" w:sz="8" w:space="0" w:color="auto"/>
              <w:bottom w:val="single" w:sz="4" w:space="0" w:color="auto"/>
              <w:right w:val="single" w:sz="8" w:space="0" w:color="auto"/>
            </w:tcBorders>
            <w:shd w:val="clear" w:color="auto" w:fill="auto"/>
            <w:noWrap/>
            <w:vAlign w:val="center"/>
            <w:hideMark/>
          </w:tcPr>
          <w:p w:rsidR="0055491A" w:rsidRPr="00F80477" w:rsidRDefault="0055491A" w:rsidP="00210BF6">
            <w:pPr>
              <w:jc w:val="right"/>
            </w:pPr>
            <w:r>
              <w:t>50,0</w:t>
            </w:r>
          </w:p>
        </w:tc>
        <w:tc>
          <w:tcPr>
            <w:tcW w:w="1467" w:type="dxa"/>
            <w:tcBorders>
              <w:top w:val="nil"/>
              <w:left w:val="single" w:sz="4" w:space="0" w:color="auto"/>
              <w:bottom w:val="single" w:sz="4" w:space="0" w:color="auto"/>
              <w:right w:val="single" w:sz="4" w:space="0" w:color="auto"/>
            </w:tcBorders>
            <w:shd w:val="clear" w:color="auto" w:fill="auto"/>
            <w:noWrap/>
            <w:vAlign w:val="center"/>
          </w:tcPr>
          <w:p w:rsidR="0055491A" w:rsidRPr="002823ED" w:rsidRDefault="0055491A" w:rsidP="00210BF6">
            <w:pPr>
              <w:jc w:val="center"/>
            </w:pPr>
            <w:r>
              <w:t>2</w:t>
            </w:r>
          </w:p>
        </w:tc>
        <w:tc>
          <w:tcPr>
            <w:tcW w:w="1467" w:type="dxa"/>
            <w:tcBorders>
              <w:top w:val="nil"/>
              <w:left w:val="nil"/>
              <w:bottom w:val="single" w:sz="4" w:space="0" w:color="auto"/>
              <w:right w:val="single" w:sz="4" w:space="0" w:color="auto"/>
            </w:tcBorders>
            <w:shd w:val="clear" w:color="auto" w:fill="auto"/>
            <w:noWrap/>
            <w:vAlign w:val="center"/>
          </w:tcPr>
          <w:p w:rsidR="0055491A" w:rsidRPr="002823ED" w:rsidRDefault="0055491A" w:rsidP="00210BF6">
            <w:pPr>
              <w:jc w:val="center"/>
            </w:pPr>
            <w:r>
              <w:t>2</w:t>
            </w:r>
          </w:p>
        </w:tc>
        <w:tc>
          <w:tcPr>
            <w:tcW w:w="1467" w:type="dxa"/>
            <w:tcBorders>
              <w:top w:val="nil"/>
              <w:left w:val="nil"/>
              <w:bottom w:val="single" w:sz="4" w:space="0" w:color="auto"/>
              <w:right w:val="single" w:sz="4" w:space="0" w:color="auto"/>
            </w:tcBorders>
            <w:shd w:val="clear" w:color="auto" w:fill="auto"/>
            <w:vAlign w:val="center"/>
          </w:tcPr>
          <w:p w:rsidR="0055491A" w:rsidRPr="002823ED" w:rsidRDefault="0055491A" w:rsidP="00210BF6">
            <w:pPr>
              <w:jc w:val="center"/>
            </w:pPr>
            <w:r>
              <w:t>2</w:t>
            </w:r>
          </w:p>
        </w:tc>
        <w:tc>
          <w:tcPr>
            <w:tcW w:w="1276" w:type="dxa"/>
            <w:gridSpan w:val="2"/>
            <w:tcBorders>
              <w:top w:val="nil"/>
              <w:left w:val="single" w:sz="4" w:space="0" w:color="auto"/>
              <w:bottom w:val="single" w:sz="4" w:space="0" w:color="auto"/>
              <w:right w:val="single" w:sz="4" w:space="0" w:color="auto"/>
            </w:tcBorders>
            <w:shd w:val="clear" w:color="auto" w:fill="auto"/>
            <w:vAlign w:val="center"/>
            <w:hideMark/>
          </w:tcPr>
          <w:p w:rsidR="0055491A" w:rsidRPr="00F80477" w:rsidRDefault="0055491A" w:rsidP="00210BF6">
            <w:pPr>
              <w:jc w:val="right"/>
            </w:pPr>
            <w:r>
              <w:t>100,0</w:t>
            </w:r>
          </w:p>
        </w:tc>
        <w:tc>
          <w:tcPr>
            <w:tcW w:w="1275" w:type="dxa"/>
            <w:gridSpan w:val="2"/>
            <w:tcBorders>
              <w:top w:val="nil"/>
              <w:left w:val="nil"/>
              <w:bottom w:val="single" w:sz="4" w:space="0" w:color="auto"/>
              <w:right w:val="single" w:sz="4" w:space="0" w:color="auto"/>
            </w:tcBorders>
            <w:shd w:val="clear" w:color="auto" w:fill="auto"/>
            <w:vAlign w:val="center"/>
            <w:hideMark/>
          </w:tcPr>
          <w:p w:rsidR="0055491A" w:rsidRPr="00F80477" w:rsidRDefault="0055491A" w:rsidP="00210BF6">
            <w:pPr>
              <w:jc w:val="right"/>
            </w:pPr>
            <w:r>
              <w:t>100</w:t>
            </w:r>
            <w:r w:rsidRPr="00F80477">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55491A" w:rsidRPr="00F80477" w:rsidRDefault="0055491A" w:rsidP="00210BF6">
            <w:pPr>
              <w:jc w:val="right"/>
            </w:pPr>
            <w:r>
              <w:t>100</w:t>
            </w:r>
            <w:r w:rsidRPr="00F80477">
              <w:t>,0</w:t>
            </w:r>
          </w:p>
        </w:tc>
      </w:tr>
      <w:tr w:rsidR="0055491A" w:rsidTr="00210BF6">
        <w:trPr>
          <w:gridAfter w:val="1"/>
          <w:wAfter w:w="10" w:type="dxa"/>
          <w:trHeight w:val="255"/>
        </w:trPr>
        <w:tc>
          <w:tcPr>
            <w:tcW w:w="976" w:type="dxa"/>
            <w:tcBorders>
              <w:top w:val="nil"/>
              <w:left w:val="single" w:sz="8" w:space="0" w:color="auto"/>
              <w:bottom w:val="single" w:sz="4" w:space="0" w:color="auto"/>
              <w:right w:val="single" w:sz="8" w:space="0" w:color="auto"/>
            </w:tcBorders>
            <w:shd w:val="clear" w:color="auto" w:fill="auto"/>
            <w:noWrap/>
            <w:vAlign w:val="center"/>
          </w:tcPr>
          <w:p w:rsidR="0055491A" w:rsidRPr="00F80477" w:rsidRDefault="0055491A" w:rsidP="00210BF6">
            <w:pPr>
              <w:jc w:val="right"/>
            </w:pPr>
            <w:r>
              <w:t>100,0</w:t>
            </w:r>
          </w:p>
        </w:tc>
        <w:tc>
          <w:tcPr>
            <w:tcW w:w="1467" w:type="dxa"/>
            <w:tcBorders>
              <w:top w:val="nil"/>
              <w:left w:val="single" w:sz="4" w:space="0" w:color="auto"/>
              <w:bottom w:val="single" w:sz="4" w:space="0" w:color="auto"/>
              <w:right w:val="single" w:sz="4" w:space="0" w:color="auto"/>
            </w:tcBorders>
            <w:shd w:val="clear" w:color="auto" w:fill="auto"/>
            <w:noWrap/>
            <w:vAlign w:val="center"/>
          </w:tcPr>
          <w:p w:rsidR="0055491A" w:rsidRPr="002823ED" w:rsidRDefault="0055491A" w:rsidP="00210BF6">
            <w:pPr>
              <w:jc w:val="center"/>
            </w:pPr>
            <w:r>
              <w:t>1</w:t>
            </w:r>
          </w:p>
        </w:tc>
        <w:tc>
          <w:tcPr>
            <w:tcW w:w="1467" w:type="dxa"/>
            <w:tcBorders>
              <w:top w:val="nil"/>
              <w:left w:val="nil"/>
              <w:bottom w:val="single" w:sz="4" w:space="0" w:color="auto"/>
              <w:right w:val="single" w:sz="4" w:space="0" w:color="auto"/>
            </w:tcBorders>
            <w:shd w:val="clear" w:color="auto" w:fill="auto"/>
            <w:noWrap/>
            <w:vAlign w:val="center"/>
          </w:tcPr>
          <w:p w:rsidR="0055491A" w:rsidRPr="002823ED" w:rsidRDefault="0055491A" w:rsidP="00210BF6">
            <w:pPr>
              <w:jc w:val="center"/>
            </w:pPr>
            <w:r>
              <w:t>1</w:t>
            </w:r>
          </w:p>
        </w:tc>
        <w:tc>
          <w:tcPr>
            <w:tcW w:w="1467" w:type="dxa"/>
            <w:tcBorders>
              <w:top w:val="nil"/>
              <w:left w:val="nil"/>
              <w:bottom w:val="single" w:sz="4" w:space="0" w:color="auto"/>
              <w:right w:val="single" w:sz="4" w:space="0" w:color="auto"/>
            </w:tcBorders>
            <w:shd w:val="clear" w:color="auto" w:fill="auto"/>
            <w:vAlign w:val="center"/>
          </w:tcPr>
          <w:p w:rsidR="0055491A" w:rsidRPr="002823ED" w:rsidRDefault="0055491A" w:rsidP="00210BF6">
            <w:pPr>
              <w:jc w:val="center"/>
            </w:pPr>
            <w:r>
              <w:t>1</w:t>
            </w:r>
          </w:p>
        </w:tc>
        <w:tc>
          <w:tcPr>
            <w:tcW w:w="1276" w:type="dxa"/>
            <w:gridSpan w:val="2"/>
            <w:tcBorders>
              <w:top w:val="nil"/>
              <w:left w:val="single" w:sz="4" w:space="0" w:color="auto"/>
              <w:bottom w:val="single" w:sz="4" w:space="0" w:color="auto"/>
              <w:right w:val="single" w:sz="4" w:space="0" w:color="auto"/>
            </w:tcBorders>
            <w:shd w:val="clear" w:color="auto" w:fill="auto"/>
            <w:vAlign w:val="center"/>
          </w:tcPr>
          <w:p w:rsidR="0055491A" w:rsidRPr="00F80477" w:rsidRDefault="0055491A" w:rsidP="00210BF6">
            <w:pPr>
              <w:jc w:val="right"/>
            </w:pPr>
            <w:r>
              <w:t>100,0</w:t>
            </w:r>
          </w:p>
        </w:tc>
        <w:tc>
          <w:tcPr>
            <w:tcW w:w="1275" w:type="dxa"/>
            <w:gridSpan w:val="2"/>
            <w:tcBorders>
              <w:top w:val="nil"/>
              <w:left w:val="nil"/>
              <w:bottom w:val="single" w:sz="4" w:space="0" w:color="auto"/>
              <w:right w:val="single" w:sz="4" w:space="0" w:color="auto"/>
            </w:tcBorders>
            <w:shd w:val="clear" w:color="auto" w:fill="auto"/>
            <w:vAlign w:val="center"/>
          </w:tcPr>
          <w:p w:rsidR="0055491A" w:rsidRPr="00F80477" w:rsidRDefault="0055491A" w:rsidP="00210BF6">
            <w:pPr>
              <w:jc w:val="right"/>
            </w:pPr>
            <w:r>
              <w:t>100</w:t>
            </w:r>
            <w:r w:rsidRPr="00F80477">
              <w:t>,0</w:t>
            </w:r>
          </w:p>
        </w:tc>
        <w:tc>
          <w:tcPr>
            <w:tcW w:w="1418" w:type="dxa"/>
            <w:gridSpan w:val="2"/>
            <w:tcBorders>
              <w:top w:val="nil"/>
              <w:left w:val="nil"/>
              <w:bottom w:val="single" w:sz="4" w:space="0" w:color="auto"/>
              <w:right w:val="single" w:sz="4" w:space="0" w:color="auto"/>
            </w:tcBorders>
            <w:shd w:val="clear" w:color="auto" w:fill="auto"/>
            <w:vAlign w:val="center"/>
          </w:tcPr>
          <w:p w:rsidR="0055491A" w:rsidRPr="00F80477" w:rsidRDefault="0055491A" w:rsidP="00210BF6">
            <w:pPr>
              <w:jc w:val="right"/>
            </w:pPr>
            <w:r>
              <w:t>100</w:t>
            </w:r>
            <w:r w:rsidRPr="00F80477">
              <w:t>,0</w:t>
            </w:r>
          </w:p>
        </w:tc>
      </w:tr>
      <w:tr w:rsidR="0055491A" w:rsidTr="00210BF6">
        <w:trPr>
          <w:gridAfter w:val="1"/>
          <w:wAfter w:w="10" w:type="dxa"/>
          <w:trHeight w:val="255"/>
        </w:trPr>
        <w:tc>
          <w:tcPr>
            <w:tcW w:w="976" w:type="dxa"/>
            <w:tcBorders>
              <w:top w:val="nil"/>
              <w:left w:val="single" w:sz="8" w:space="0" w:color="auto"/>
              <w:bottom w:val="single" w:sz="4" w:space="0" w:color="auto"/>
              <w:right w:val="single" w:sz="8" w:space="0" w:color="auto"/>
            </w:tcBorders>
            <w:shd w:val="clear" w:color="auto" w:fill="auto"/>
            <w:noWrap/>
            <w:vAlign w:val="center"/>
            <w:hideMark/>
          </w:tcPr>
          <w:p w:rsidR="0055491A" w:rsidRPr="00F80477" w:rsidRDefault="0055491A" w:rsidP="00210BF6">
            <w:pPr>
              <w:jc w:val="right"/>
            </w:pPr>
            <w:r>
              <w:t>300,0</w:t>
            </w:r>
          </w:p>
        </w:tc>
        <w:tc>
          <w:tcPr>
            <w:tcW w:w="1467" w:type="dxa"/>
            <w:tcBorders>
              <w:top w:val="nil"/>
              <w:left w:val="single" w:sz="4" w:space="0" w:color="auto"/>
              <w:bottom w:val="single" w:sz="4" w:space="0" w:color="auto"/>
              <w:right w:val="single" w:sz="4" w:space="0" w:color="auto"/>
            </w:tcBorders>
            <w:shd w:val="clear" w:color="auto" w:fill="auto"/>
            <w:noWrap/>
            <w:vAlign w:val="center"/>
          </w:tcPr>
          <w:p w:rsidR="0055491A" w:rsidRPr="002823ED" w:rsidRDefault="0055491A" w:rsidP="00210BF6">
            <w:pPr>
              <w:jc w:val="center"/>
            </w:pPr>
            <w:r>
              <w:t>4</w:t>
            </w:r>
          </w:p>
        </w:tc>
        <w:tc>
          <w:tcPr>
            <w:tcW w:w="1467" w:type="dxa"/>
            <w:tcBorders>
              <w:top w:val="nil"/>
              <w:left w:val="nil"/>
              <w:bottom w:val="single" w:sz="4" w:space="0" w:color="auto"/>
              <w:right w:val="single" w:sz="4" w:space="0" w:color="auto"/>
            </w:tcBorders>
            <w:shd w:val="clear" w:color="auto" w:fill="auto"/>
            <w:noWrap/>
            <w:vAlign w:val="center"/>
          </w:tcPr>
          <w:p w:rsidR="0055491A" w:rsidRPr="002823ED" w:rsidRDefault="0055491A" w:rsidP="00210BF6">
            <w:pPr>
              <w:jc w:val="center"/>
            </w:pPr>
            <w:r>
              <w:t>5</w:t>
            </w:r>
          </w:p>
        </w:tc>
        <w:tc>
          <w:tcPr>
            <w:tcW w:w="1467" w:type="dxa"/>
            <w:tcBorders>
              <w:top w:val="nil"/>
              <w:left w:val="nil"/>
              <w:bottom w:val="single" w:sz="4" w:space="0" w:color="auto"/>
              <w:right w:val="single" w:sz="4" w:space="0" w:color="auto"/>
            </w:tcBorders>
            <w:shd w:val="clear" w:color="auto" w:fill="auto"/>
            <w:vAlign w:val="center"/>
          </w:tcPr>
          <w:p w:rsidR="0055491A" w:rsidRPr="002823ED" w:rsidRDefault="0055491A" w:rsidP="00210BF6">
            <w:pPr>
              <w:jc w:val="center"/>
            </w:pPr>
            <w:r>
              <w:t>4</w:t>
            </w:r>
          </w:p>
        </w:tc>
        <w:tc>
          <w:tcPr>
            <w:tcW w:w="1276" w:type="dxa"/>
            <w:gridSpan w:val="2"/>
            <w:tcBorders>
              <w:top w:val="nil"/>
              <w:left w:val="single" w:sz="4" w:space="0" w:color="auto"/>
              <w:bottom w:val="single" w:sz="4" w:space="0" w:color="auto"/>
              <w:right w:val="single" w:sz="4" w:space="0" w:color="auto"/>
            </w:tcBorders>
            <w:shd w:val="clear" w:color="auto" w:fill="auto"/>
            <w:vAlign w:val="center"/>
            <w:hideMark/>
          </w:tcPr>
          <w:p w:rsidR="0055491A" w:rsidRPr="00F80477" w:rsidRDefault="0055491A" w:rsidP="00210BF6">
            <w:pPr>
              <w:jc w:val="right"/>
            </w:pPr>
            <w:r>
              <w:t>1 2</w:t>
            </w:r>
            <w:r w:rsidRPr="00E431CB">
              <w:t>00</w:t>
            </w:r>
            <w:r w:rsidRPr="00F80477">
              <w:t>,0</w:t>
            </w:r>
          </w:p>
        </w:tc>
        <w:tc>
          <w:tcPr>
            <w:tcW w:w="1275" w:type="dxa"/>
            <w:gridSpan w:val="2"/>
            <w:tcBorders>
              <w:top w:val="nil"/>
              <w:left w:val="nil"/>
              <w:bottom w:val="single" w:sz="4" w:space="0" w:color="auto"/>
              <w:right w:val="single" w:sz="4" w:space="0" w:color="auto"/>
            </w:tcBorders>
            <w:shd w:val="clear" w:color="auto" w:fill="auto"/>
            <w:vAlign w:val="center"/>
            <w:hideMark/>
          </w:tcPr>
          <w:p w:rsidR="0055491A" w:rsidRPr="00F80477" w:rsidRDefault="0055491A" w:rsidP="00210BF6">
            <w:pPr>
              <w:jc w:val="right"/>
            </w:pPr>
            <w:r>
              <w:t>1 5</w:t>
            </w:r>
            <w:r w:rsidRPr="00E431CB">
              <w:t>00</w:t>
            </w:r>
            <w:r w:rsidRPr="00F80477">
              <w:t>,</w:t>
            </w:r>
            <w: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55491A" w:rsidRPr="00F80477" w:rsidRDefault="0055491A" w:rsidP="00210BF6">
            <w:pPr>
              <w:jc w:val="right"/>
            </w:pPr>
            <w:r>
              <w:t>1 2</w:t>
            </w:r>
            <w:r w:rsidRPr="00E431CB">
              <w:t>00</w:t>
            </w:r>
            <w:r>
              <w:t>,0</w:t>
            </w:r>
          </w:p>
        </w:tc>
      </w:tr>
      <w:tr w:rsidR="0055491A" w:rsidTr="00210BF6">
        <w:trPr>
          <w:gridAfter w:val="1"/>
          <w:wAfter w:w="10" w:type="dxa"/>
          <w:trHeight w:val="255"/>
        </w:trPr>
        <w:tc>
          <w:tcPr>
            <w:tcW w:w="976" w:type="dxa"/>
            <w:tcBorders>
              <w:top w:val="nil"/>
              <w:left w:val="single" w:sz="8" w:space="0" w:color="auto"/>
              <w:bottom w:val="single" w:sz="4" w:space="0" w:color="auto"/>
              <w:right w:val="single" w:sz="8" w:space="0" w:color="auto"/>
            </w:tcBorders>
            <w:shd w:val="clear" w:color="auto" w:fill="auto"/>
            <w:noWrap/>
            <w:vAlign w:val="center"/>
            <w:hideMark/>
          </w:tcPr>
          <w:p w:rsidR="0055491A" w:rsidRPr="00F80477" w:rsidRDefault="0055491A" w:rsidP="00210BF6">
            <w:pPr>
              <w:jc w:val="right"/>
            </w:pPr>
            <w:r>
              <w:t>800,0</w:t>
            </w:r>
          </w:p>
        </w:tc>
        <w:tc>
          <w:tcPr>
            <w:tcW w:w="1467" w:type="dxa"/>
            <w:tcBorders>
              <w:top w:val="nil"/>
              <w:left w:val="single" w:sz="4" w:space="0" w:color="auto"/>
              <w:bottom w:val="single" w:sz="4" w:space="0" w:color="auto"/>
              <w:right w:val="single" w:sz="4" w:space="0" w:color="auto"/>
            </w:tcBorders>
            <w:shd w:val="clear" w:color="auto" w:fill="auto"/>
            <w:noWrap/>
            <w:vAlign w:val="center"/>
          </w:tcPr>
          <w:p w:rsidR="0055491A" w:rsidRPr="002823ED" w:rsidRDefault="0055491A" w:rsidP="00210BF6">
            <w:pPr>
              <w:jc w:val="center"/>
            </w:pPr>
            <w:r>
              <w:t>1</w:t>
            </w:r>
          </w:p>
        </w:tc>
        <w:tc>
          <w:tcPr>
            <w:tcW w:w="1467" w:type="dxa"/>
            <w:tcBorders>
              <w:top w:val="nil"/>
              <w:left w:val="nil"/>
              <w:bottom w:val="single" w:sz="4" w:space="0" w:color="auto"/>
              <w:right w:val="single" w:sz="4" w:space="0" w:color="auto"/>
            </w:tcBorders>
            <w:shd w:val="clear" w:color="auto" w:fill="auto"/>
            <w:noWrap/>
            <w:vAlign w:val="center"/>
          </w:tcPr>
          <w:p w:rsidR="0055491A" w:rsidRPr="002823ED" w:rsidRDefault="0055491A" w:rsidP="00210BF6">
            <w:pPr>
              <w:jc w:val="center"/>
            </w:pPr>
            <w:r>
              <w:t>1</w:t>
            </w:r>
          </w:p>
        </w:tc>
        <w:tc>
          <w:tcPr>
            <w:tcW w:w="1467" w:type="dxa"/>
            <w:tcBorders>
              <w:top w:val="nil"/>
              <w:left w:val="nil"/>
              <w:bottom w:val="single" w:sz="4" w:space="0" w:color="auto"/>
              <w:right w:val="single" w:sz="4" w:space="0" w:color="auto"/>
            </w:tcBorders>
            <w:shd w:val="clear" w:color="auto" w:fill="auto"/>
            <w:vAlign w:val="center"/>
          </w:tcPr>
          <w:p w:rsidR="0055491A" w:rsidRPr="002823ED" w:rsidRDefault="0055491A" w:rsidP="00210BF6">
            <w:pPr>
              <w:jc w:val="center"/>
            </w:pPr>
            <w:r>
              <w:t>1</w:t>
            </w:r>
          </w:p>
        </w:tc>
        <w:tc>
          <w:tcPr>
            <w:tcW w:w="1276" w:type="dxa"/>
            <w:gridSpan w:val="2"/>
            <w:tcBorders>
              <w:top w:val="nil"/>
              <w:left w:val="single" w:sz="4" w:space="0" w:color="auto"/>
              <w:bottom w:val="single" w:sz="4" w:space="0" w:color="auto"/>
              <w:right w:val="single" w:sz="4" w:space="0" w:color="auto"/>
            </w:tcBorders>
            <w:shd w:val="clear" w:color="auto" w:fill="auto"/>
            <w:vAlign w:val="center"/>
            <w:hideMark/>
          </w:tcPr>
          <w:p w:rsidR="0055491A" w:rsidRPr="00F80477" w:rsidRDefault="0055491A" w:rsidP="00210BF6">
            <w:pPr>
              <w:jc w:val="right"/>
            </w:pPr>
            <w:r w:rsidRPr="00E431CB">
              <w:t>800</w:t>
            </w:r>
            <w:r>
              <w:t>,0</w:t>
            </w:r>
          </w:p>
        </w:tc>
        <w:tc>
          <w:tcPr>
            <w:tcW w:w="1275" w:type="dxa"/>
            <w:gridSpan w:val="2"/>
            <w:tcBorders>
              <w:top w:val="nil"/>
              <w:left w:val="nil"/>
              <w:bottom w:val="single" w:sz="4" w:space="0" w:color="auto"/>
              <w:right w:val="single" w:sz="4" w:space="0" w:color="auto"/>
            </w:tcBorders>
            <w:shd w:val="clear" w:color="auto" w:fill="auto"/>
            <w:vAlign w:val="center"/>
            <w:hideMark/>
          </w:tcPr>
          <w:p w:rsidR="0055491A" w:rsidRPr="00F80477" w:rsidRDefault="0055491A" w:rsidP="00210BF6">
            <w:pPr>
              <w:jc w:val="right"/>
            </w:pPr>
            <w:r w:rsidRPr="00E431CB">
              <w:t>800</w:t>
            </w:r>
            <w: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55491A" w:rsidRPr="00F80477" w:rsidRDefault="0055491A" w:rsidP="00210BF6">
            <w:pPr>
              <w:jc w:val="right"/>
            </w:pPr>
            <w:r w:rsidRPr="00E431CB">
              <w:t>800</w:t>
            </w:r>
            <w:r w:rsidRPr="00F80477">
              <w:t>,</w:t>
            </w:r>
            <w:r>
              <w:t>0</w:t>
            </w:r>
          </w:p>
        </w:tc>
      </w:tr>
      <w:tr w:rsidR="0055491A" w:rsidTr="00210BF6">
        <w:trPr>
          <w:trHeight w:val="420"/>
        </w:trPr>
        <w:tc>
          <w:tcPr>
            <w:tcW w:w="5387" w:type="dxa"/>
            <w:gridSpan w:val="5"/>
            <w:tcBorders>
              <w:top w:val="single" w:sz="8" w:space="0" w:color="auto"/>
              <w:left w:val="single" w:sz="8" w:space="0" w:color="auto"/>
              <w:bottom w:val="single" w:sz="8" w:space="0" w:color="auto"/>
              <w:right w:val="nil"/>
            </w:tcBorders>
            <w:shd w:val="clear" w:color="auto" w:fill="auto"/>
            <w:noWrap/>
            <w:vAlign w:val="center"/>
            <w:hideMark/>
          </w:tcPr>
          <w:p w:rsidR="0055491A" w:rsidRPr="00F80477" w:rsidRDefault="0055491A" w:rsidP="00210BF6">
            <w:pPr>
              <w:jc w:val="center"/>
              <w:rPr>
                <w:b/>
                <w:bCs/>
              </w:rPr>
            </w:pPr>
            <w:r w:rsidRPr="00F80477">
              <w:rPr>
                <w:b/>
                <w:bCs/>
              </w:rPr>
              <w:t xml:space="preserve">ИТОГО: </w:t>
            </w:r>
          </w:p>
        </w:tc>
        <w:tc>
          <w:tcPr>
            <w:tcW w:w="1276" w:type="dxa"/>
            <w:gridSpan w:val="2"/>
            <w:tcBorders>
              <w:top w:val="single" w:sz="8" w:space="0" w:color="auto"/>
              <w:left w:val="single" w:sz="4" w:space="0" w:color="auto"/>
              <w:bottom w:val="single" w:sz="8" w:space="0" w:color="auto"/>
              <w:right w:val="single" w:sz="4" w:space="0" w:color="auto"/>
            </w:tcBorders>
            <w:shd w:val="clear" w:color="auto" w:fill="auto"/>
            <w:noWrap/>
            <w:vAlign w:val="center"/>
            <w:hideMark/>
          </w:tcPr>
          <w:p w:rsidR="0055491A" w:rsidRPr="00F80477" w:rsidRDefault="0055491A" w:rsidP="00210BF6">
            <w:pPr>
              <w:jc w:val="right"/>
              <w:rPr>
                <w:b/>
                <w:bCs/>
              </w:rPr>
            </w:pPr>
            <w:r>
              <w:rPr>
                <w:b/>
                <w:bCs/>
              </w:rPr>
              <w:t>2 286</w:t>
            </w:r>
            <w:r w:rsidRPr="00F80477">
              <w:rPr>
                <w:b/>
                <w:bCs/>
              </w:rPr>
              <w:t>,</w:t>
            </w:r>
            <w:r>
              <w:rPr>
                <w:b/>
                <w:bCs/>
              </w:rPr>
              <w:t>0</w:t>
            </w:r>
          </w:p>
        </w:tc>
        <w:tc>
          <w:tcPr>
            <w:tcW w:w="1275" w:type="dxa"/>
            <w:gridSpan w:val="2"/>
            <w:tcBorders>
              <w:top w:val="single" w:sz="8" w:space="0" w:color="auto"/>
              <w:left w:val="nil"/>
              <w:bottom w:val="single" w:sz="8" w:space="0" w:color="auto"/>
              <w:right w:val="single" w:sz="4" w:space="0" w:color="auto"/>
            </w:tcBorders>
            <w:shd w:val="clear" w:color="auto" w:fill="auto"/>
            <w:noWrap/>
            <w:vAlign w:val="center"/>
            <w:hideMark/>
          </w:tcPr>
          <w:p w:rsidR="0055491A" w:rsidRPr="00F80477" w:rsidRDefault="0055491A" w:rsidP="00210BF6">
            <w:pPr>
              <w:jc w:val="right"/>
              <w:rPr>
                <w:b/>
                <w:bCs/>
              </w:rPr>
            </w:pPr>
            <w:r>
              <w:rPr>
                <w:b/>
                <w:bCs/>
              </w:rPr>
              <w:t>2</w:t>
            </w:r>
            <w:r w:rsidRPr="00F80477">
              <w:rPr>
                <w:b/>
                <w:bCs/>
              </w:rPr>
              <w:t xml:space="preserve"> </w:t>
            </w:r>
            <w:r>
              <w:rPr>
                <w:b/>
                <w:bCs/>
              </w:rPr>
              <w:t>586</w:t>
            </w:r>
            <w:r w:rsidRPr="00F80477">
              <w:rPr>
                <w:b/>
                <w:bCs/>
              </w:rPr>
              <w:t>,</w:t>
            </w:r>
            <w:r>
              <w:rPr>
                <w:b/>
                <w:bCs/>
              </w:rPr>
              <w:t>0</w:t>
            </w:r>
          </w:p>
        </w:tc>
        <w:tc>
          <w:tcPr>
            <w:tcW w:w="1418" w:type="dxa"/>
            <w:gridSpan w:val="2"/>
            <w:tcBorders>
              <w:top w:val="single" w:sz="8" w:space="0" w:color="auto"/>
              <w:left w:val="nil"/>
              <w:bottom w:val="single" w:sz="8" w:space="0" w:color="auto"/>
              <w:right w:val="single" w:sz="8" w:space="0" w:color="auto"/>
            </w:tcBorders>
            <w:shd w:val="clear" w:color="auto" w:fill="auto"/>
            <w:noWrap/>
            <w:vAlign w:val="center"/>
            <w:hideMark/>
          </w:tcPr>
          <w:p w:rsidR="0055491A" w:rsidRPr="00F80477" w:rsidRDefault="0055491A" w:rsidP="00210BF6">
            <w:pPr>
              <w:jc w:val="right"/>
              <w:rPr>
                <w:b/>
                <w:bCs/>
              </w:rPr>
            </w:pPr>
            <w:r>
              <w:rPr>
                <w:b/>
                <w:bCs/>
              </w:rPr>
              <w:t>2</w:t>
            </w:r>
            <w:r w:rsidRPr="00F80477">
              <w:rPr>
                <w:b/>
                <w:bCs/>
              </w:rPr>
              <w:t xml:space="preserve"> </w:t>
            </w:r>
            <w:r>
              <w:rPr>
                <w:b/>
                <w:bCs/>
              </w:rPr>
              <w:t>306</w:t>
            </w:r>
            <w:r w:rsidRPr="00F80477">
              <w:rPr>
                <w:b/>
                <w:bCs/>
              </w:rPr>
              <w:t>,</w:t>
            </w:r>
            <w:r>
              <w:rPr>
                <w:b/>
                <w:bCs/>
              </w:rPr>
              <w:t>0</w:t>
            </w:r>
          </w:p>
        </w:tc>
      </w:tr>
    </w:tbl>
    <w:p w:rsidR="0055491A" w:rsidRDefault="0055491A" w:rsidP="0055491A">
      <w:pPr>
        <w:pStyle w:val="a7"/>
        <w:spacing w:after="0"/>
        <w:ind w:left="0" w:firstLine="709"/>
        <w:jc w:val="both"/>
        <w:rPr>
          <w:sz w:val="28"/>
          <w:szCs w:val="28"/>
        </w:rPr>
      </w:pPr>
    </w:p>
    <w:p w:rsidR="0055491A" w:rsidRDefault="0055491A" w:rsidP="0055491A">
      <w:pPr>
        <w:pStyle w:val="a7"/>
        <w:spacing w:after="0"/>
        <w:ind w:left="0" w:firstLine="709"/>
        <w:jc w:val="both"/>
        <w:rPr>
          <w:rFonts w:eastAsia="Calibri"/>
          <w:sz w:val="28"/>
          <w:szCs w:val="28"/>
          <w:lang w:eastAsia="en-US"/>
        </w:rPr>
      </w:pPr>
      <w:r>
        <w:rPr>
          <w:rFonts w:eastAsia="Calibri"/>
          <w:sz w:val="28"/>
          <w:szCs w:val="28"/>
          <w:lang w:eastAsia="en-US"/>
        </w:rPr>
        <w:t xml:space="preserve">3.3 </w:t>
      </w:r>
      <w:r w:rsidRPr="0064605E">
        <w:rPr>
          <w:rFonts w:eastAsia="Calibri"/>
          <w:b/>
          <w:sz w:val="28"/>
          <w:szCs w:val="28"/>
          <w:lang w:eastAsia="en-US"/>
        </w:rPr>
        <w:t>КБК 328 1 16 01072 01 0000 140</w:t>
      </w:r>
      <w:r w:rsidRPr="005F6BFA">
        <w:rPr>
          <w:rFonts w:eastAsia="Calibri"/>
          <w:sz w:val="28"/>
          <w:szCs w:val="28"/>
          <w:lang w:eastAsia="en-US"/>
        </w:rPr>
        <w:t xml:space="preserve"> 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w:t>
      </w:r>
      <w:r w:rsidRPr="005F6BFA">
        <w:rPr>
          <w:rFonts w:eastAsia="Calibri"/>
          <w:sz w:val="28"/>
          <w:szCs w:val="28"/>
          <w:lang w:eastAsia="en-US"/>
        </w:rPr>
        <w:lastRenderedPageBreak/>
        <w:t>исполнительной власти субъектов Российской Федерации, учреждениями субъектов Российской Федерации</w:t>
      </w:r>
      <w:r>
        <w:rPr>
          <w:rFonts w:eastAsia="Calibri"/>
          <w:sz w:val="28"/>
          <w:szCs w:val="28"/>
          <w:lang w:eastAsia="en-US"/>
        </w:rPr>
        <w:t xml:space="preserve">. </w:t>
      </w:r>
    </w:p>
    <w:p w:rsidR="0055491A" w:rsidRPr="0064605E" w:rsidRDefault="0055491A" w:rsidP="0055491A">
      <w:pPr>
        <w:pStyle w:val="a7"/>
        <w:spacing w:after="0"/>
        <w:ind w:left="0" w:firstLine="709"/>
        <w:jc w:val="both"/>
        <w:rPr>
          <w:b/>
          <w:sz w:val="28"/>
          <w:szCs w:val="28"/>
        </w:rPr>
      </w:pPr>
      <w:r w:rsidRPr="0064605E">
        <w:rPr>
          <w:b/>
          <w:sz w:val="28"/>
          <w:szCs w:val="28"/>
        </w:rPr>
        <w:t>Главный администратор доходов - Министерство лесного хозяйства Тверской области.</w:t>
      </w:r>
    </w:p>
    <w:p w:rsidR="0055491A" w:rsidRPr="00EA1FFC" w:rsidRDefault="0055491A" w:rsidP="0055491A">
      <w:pPr>
        <w:shd w:val="clear" w:color="auto" w:fill="FFFFFF"/>
        <w:ind w:firstLine="708"/>
        <w:jc w:val="both"/>
        <w:rPr>
          <w:rFonts w:eastAsia="Calibri"/>
          <w:b/>
          <w:sz w:val="28"/>
          <w:szCs w:val="28"/>
          <w:lang w:eastAsia="en-US"/>
        </w:rPr>
      </w:pPr>
      <w:r w:rsidRPr="005F6BFA">
        <w:rPr>
          <w:sz w:val="28"/>
          <w:szCs w:val="28"/>
        </w:rPr>
        <w:t xml:space="preserve">Прогнозирование данного вида доходов осуществляется </w:t>
      </w:r>
      <w:r>
        <w:rPr>
          <w:sz w:val="28"/>
          <w:szCs w:val="28"/>
        </w:rPr>
        <w:t xml:space="preserve">по административным штрафам, налагаемым в соответствии со </w:t>
      </w:r>
      <w:r w:rsidRPr="005F6BFA">
        <w:rPr>
          <w:sz w:val="28"/>
          <w:szCs w:val="28"/>
        </w:rPr>
        <w:t xml:space="preserve"> </w:t>
      </w:r>
      <w:hyperlink r:id="rId33" w:history="1">
        <w:r w:rsidRPr="005F6BFA">
          <w:rPr>
            <w:sz w:val="28"/>
            <w:szCs w:val="28"/>
          </w:rPr>
          <w:t>статьей 7.9</w:t>
        </w:r>
      </w:hyperlink>
      <w:r w:rsidRPr="005F6BFA">
        <w:rPr>
          <w:sz w:val="28"/>
          <w:szCs w:val="28"/>
        </w:rPr>
        <w:t xml:space="preserve"> КоАП</w:t>
      </w:r>
      <w:r>
        <w:rPr>
          <w:sz w:val="28"/>
          <w:szCs w:val="28"/>
        </w:rPr>
        <w:t xml:space="preserve"> РФ,</w:t>
      </w:r>
      <w:r w:rsidRPr="005F6BFA">
        <w:rPr>
          <w:sz w:val="28"/>
          <w:szCs w:val="28"/>
        </w:rPr>
        <w:t>определяется по формуле:</w:t>
      </w:r>
    </w:p>
    <w:p w:rsidR="0055491A" w:rsidRPr="005F6BFA" w:rsidRDefault="0055491A" w:rsidP="0055491A">
      <w:pPr>
        <w:widowControl w:val="0"/>
        <w:autoSpaceDE w:val="0"/>
        <w:autoSpaceDN w:val="0"/>
        <w:jc w:val="center"/>
        <w:rPr>
          <w:sz w:val="28"/>
          <w:szCs w:val="28"/>
        </w:rPr>
      </w:pPr>
      <w:r w:rsidRPr="005F6BFA">
        <w:rPr>
          <w:sz w:val="28"/>
          <w:szCs w:val="28"/>
        </w:rPr>
        <w:t>П</w:t>
      </w:r>
      <w:r w:rsidRPr="005F6BFA">
        <w:rPr>
          <w:sz w:val="28"/>
          <w:szCs w:val="28"/>
          <w:vertAlign w:val="subscript"/>
        </w:rPr>
        <w:t>занятие лесн. уч.</w:t>
      </w:r>
      <w:r w:rsidRPr="005F6BFA">
        <w:rPr>
          <w:sz w:val="28"/>
          <w:szCs w:val="28"/>
        </w:rPr>
        <w:t xml:space="preserve"> = К</w:t>
      </w:r>
      <w:r w:rsidRPr="005F6BFA">
        <w:rPr>
          <w:sz w:val="28"/>
          <w:szCs w:val="28"/>
          <w:vertAlign w:val="superscript"/>
        </w:rPr>
        <w:t>ср</w:t>
      </w:r>
      <w:r w:rsidRPr="005F6BFA">
        <w:rPr>
          <w:sz w:val="28"/>
          <w:szCs w:val="28"/>
          <w:vertAlign w:val="subscript"/>
        </w:rPr>
        <w:t>занятие лесн. уч.</w:t>
      </w:r>
      <w:r>
        <w:rPr>
          <w:sz w:val="28"/>
          <w:szCs w:val="28"/>
        </w:rPr>
        <w:t xml:space="preserve"> </w:t>
      </w:r>
      <w:r w:rsidRPr="005F6BFA">
        <w:rPr>
          <w:sz w:val="28"/>
          <w:szCs w:val="28"/>
        </w:rPr>
        <w:t>* P</w:t>
      </w:r>
      <w:r w:rsidRPr="005F6BFA">
        <w:rPr>
          <w:sz w:val="28"/>
          <w:szCs w:val="28"/>
          <w:vertAlign w:val="superscript"/>
        </w:rPr>
        <w:t>ср</w:t>
      </w:r>
      <w:r w:rsidRPr="005F6BFA">
        <w:rPr>
          <w:sz w:val="28"/>
          <w:szCs w:val="28"/>
          <w:vertAlign w:val="subscript"/>
        </w:rPr>
        <w:t>занятие лесн. уч.</w:t>
      </w:r>
      <w:r w:rsidRPr="005F6BFA">
        <w:rPr>
          <w:sz w:val="28"/>
          <w:szCs w:val="28"/>
        </w:rPr>
        <w:t xml:space="preserve"> + Z</w:t>
      </w:r>
      <w:r w:rsidRPr="005F6BFA">
        <w:rPr>
          <w:sz w:val="28"/>
          <w:szCs w:val="28"/>
          <w:vertAlign w:val="superscript"/>
        </w:rPr>
        <w:t>ср</w:t>
      </w:r>
      <w:r w:rsidRPr="005F6BFA">
        <w:rPr>
          <w:sz w:val="28"/>
          <w:szCs w:val="28"/>
        </w:rPr>
        <w:t xml:space="preserve"> +/- R,</w:t>
      </w:r>
    </w:p>
    <w:p w:rsidR="0055491A" w:rsidRPr="005F6BFA" w:rsidRDefault="0055491A" w:rsidP="0055491A">
      <w:pPr>
        <w:widowControl w:val="0"/>
        <w:autoSpaceDE w:val="0"/>
        <w:autoSpaceDN w:val="0"/>
        <w:ind w:firstLine="540"/>
        <w:jc w:val="both"/>
        <w:rPr>
          <w:sz w:val="28"/>
          <w:szCs w:val="28"/>
        </w:rPr>
      </w:pPr>
      <w:r w:rsidRPr="005F6BFA">
        <w:rPr>
          <w:sz w:val="28"/>
          <w:szCs w:val="28"/>
        </w:rPr>
        <w:t>где:</w:t>
      </w:r>
    </w:p>
    <w:p w:rsidR="0055491A" w:rsidRPr="005F6BFA" w:rsidRDefault="0055491A" w:rsidP="0055491A">
      <w:pPr>
        <w:widowControl w:val="0"/>
        <w:autoSpaceDE w:val="0"/>
        <w:autoSpaceDN w:val="0"/>
        <w:ind w:firstLine="540"/>
        <w:jc w:val="both"/>
        <w:rPr>
          <w:sz w:val="28"/>
          <w:szCs w:val="28"/>
        </w:rPr>
      </w:pPr>
      <w:r w:rsidRPr="005F6BFA">
        <w:rPr>
          <w:sz w:val="28"/>
          <w:szCs w:val="28"/>
        </w:rPr>
        <w:t>К</w:t>
      </w:r>
      <w:r w:rsidRPr="005F6BFA">
        <w:rPr>
          <w:sz w:val="28"/>
          <w:szCs w:val="28"/>
          <w:vertAlign w:val="superscript"/>
        </w:rPr>
        <w:t>ср</w:t>
      </w:r>
      <w:r w:rsidRPr="005F6BFA">
        <w:rPr>
          <w:sz w:val="28"/>
          <w:szCs w:val="28"/>
          <w:vertAlign w:val="subscript"/>
        </w:rPr>
        <w:t>занятие лесн. уч.</w:t>
      </w:r>
      <w:r w:rsidRPr="005F6BFA">
        <w:rPr>
          <w:sz w:val="28"/>
          <w:szCs w:val="28"/>
        </w:rPr>
        <w:t xml:space="preserve"> - среднее количество случаев самовольного занятия лесных участков (рассчитывается на основе количества случаев самовольного занятия лесных участков за три года, предшествующих прогнозируемому году) (ед.) рассчитывается с применением метода скользящей средней по формуле:</w:t>
      </w:r>
    </w:p>
    <w:p w:rsidR="0055491A" w:rsidRPr="005F6BFA" w:rsidRDefault="0055491A" w:rsidP="0055491A">
      <w:pPr>
        <w:widowControl w:val="0"/>
        <w:autoSpaceDE w:val="0"/>
        <w:autoSpaceDN w:val="0"/>
        <w:jc w:val="center"/>
        <w:rPr>
          <w:sz w:val="28"/>
          <w:szCs w:val="28"/>
        </w:rPr>
      </w:pPr>
      <w:r w:rsidRPr="005F6BFA">
        <w:rPr>
          <w:noProof/>
          <w:position w:val="-41"/>
          <w:sz w:val="28"/>
          <w:szCs w:val="28"/>
        </w:rPr>
        <w:drawing>
          <wp:inline distT="0" distB="0" distL="0" distR="0" wp14:anchorId="0539AEE8" wp14:editId="10F7A093">
            <wp:extent cx="2275205" cy="669925"/>
            <wp:effectExtent l="0" t="0" r="0" b="0"/>
            <wp:docPr id="10" name="Рисунок 10" descr="base_50_590968_328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50_590968_32803"/>
                    <pic:cNvPicPr preferRelativeResize="0">
                      <a:picLocks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275205" cy="669925"/>
                    </a:xfrm>
                    <a:prstGeom prst="rect">
                      <a:avLst/>
                    </a:prstGeom>
                    <a:noFill/>
                    <a:ln>
                      <a:noFill/>
                    </a:ln>
                  </pic:spPr>
                </pic:pic>
              </a:graphicData>
            </a:graphic>
          </wp:inline>
        </w:drawing>
      </w:r>
    </w:p>
    <w:p w:rsidR="0055491A" w:rsidRPr="005F6BFA" w:rsidRDefault="0055491A" w:rsidP="0055491A">
      <w:pPr>
        <w:widowControl w:val="0"/>
        <w:autoSpaceDE w:val="0"/>
        <w:autoSpaceDN w:val="0"/>
        <w:ind w:firstLine="540"/>
        <w:jc w:val="both"/>
        <w:rPr>
          <w:sz w:val="28"/>
          <w:szCs w:val="28"/>
        </w:rPr>
      </w:pPr>
      <w:r w:rsidRPr="005F6BFA">
        <w:rPr>
          <w:sz w:val="28"/>
          <w:szCs w:val="28"/>
        </w:rPr>
        <w:t>где:</w:t>
      </w:r>
    </w:p>
    <w:p w:rsidR="0055491A" w:rsidRPr="005F6BFA" w:rsidRDefault="0055491A" w:rsidP="0055491A">
      <w:pPr>
        <w:widowControl w:val="0"/>
        <w:autoSpaceDE w:val="0"/>
        <w:autoSpaceDN w:val="0"/>
        <w:ind w:firstLine="540"/>
        <w:jc w:val="both"/>
        <w:rPr>
          <w:sz w:val="28"/>
          <w:szCs w:val="28"/>
        </w:rPr>
      </w:pPr>
      <w:r w:rsidRPr="005F6BFA">
        <w:rPr>
          <w:noProof/>
          <w:position w:val="-26"/>
          <w:sz w:val="28"/>
          <w:szCs w:val="28"/>
        </w:rPr>
        <w:drawing>
          <wp:inline distT="0" distB="0" distL="0" distR="0" wp14:anchorId="06D7D3EA" wp14:editId="20E96771">
            <wp:extent cx="1084580" cy="467995"/>
            <wp:effectExtent l="0" t="0" r="0" b="8255"/>
            <wp:docPr id="9" name="Рисунок 9" descr="base_50_590968_328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50_590968_32804"/>
                    <pic:cNvPicPr preferRelativeResize="0">
                      <a:picLocks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084580" cy="467995"/>
                    </a:xfrm>
                    <a:prstGeom prst="rect">
                      <a:avLst/>
                    </a:prstGeom>
                    <a:noFill/>
                    <a:ln>
                      <a:noFill/>
                    </a:ln>
                  </pic:spPr>
                </pic:pic>
              </a:graphicData>
            </a:graphic>
          </wp:inline>
        </w:drawing>
      </w:r>
      <w:r w:rsidRPr="005F6BFA">
        <w:rPr>
          <w:sz w:val="28"/>
          <w:szCs w:val="28"/>
        </w:rPr>
        <w:t xml:space="preserve"> - сумма количества случаев самовольного занятия лесных участков за три года, предшествующих прогнозируемому году (ед.), при формировании прогноза на очередной финансовый год используются фактические данные за два отчетных года и прогнозные значения на текущий финансовый год, при формировании прогноза на первый год планового периода используются фактические данные за один отчетный год и прогнозные значения текущего финансового года и очередного финансового года; прогноз на второй год планового периода принимается на уровне прогноза первого года планового периода;</w:t>
      </w:r>
    </w:p>
    <w:p w:rsidR="0055491A" w:rsidRPr="005F6BFA" w:rsidRDefault="0055491A" w:rsidP="0055491A">
      <w:pPr>
        <w:widowControl w:val="0"/>
        <w:autoSpaceDE w:val="0"/>
        <w:autoSpaceDN w:val="0"/>
        <w:ind w:firstLine="540"/>
        <w:jc w:val="both"/>
        <w:rPr>
          <w:sz w:val="28"/>
          <w:szCs w:val="28"/>
        </w:rPr>
      </w:pPr>
      <w:r w:rsidRPr="005F6BFA">
        <w:rPr>
          <w:sz w:val="28"/>
          <w:szCs w:val="28"/>
        </w:rPr>
        <w:t>P</w:t>
      </w:r>
      <w:r w:rsidRPr="005F6BFA">
        <w:rPr>
          <w:sz w:val="28"/>
          <w:szCs w:val="28"/>
          <w:vertAlign w:val="superscript"/>
        </w:rPr>
        <w:t>ср</w:t>
      </w:r>
      <w:r w:rsidRPr="005F6BFA">
        <w:rPr>
          <w:sz w:val="28"/>
          <w:szCs w:val="28"/>
          <w:vertAlign w:val="subscript"/>
        </w:rPr>
        <w:t>занятие лесн. уч.</w:t>
      </w:r>
      <w:r w:rsidRPr="005F6BFA">
        <w:rPr>
          <w:sz w:val="28"/>
          <w:szCs w:val="28"/>
        </w:rPr>
        <w:t xml:space="preserve"> - средний размер штрафа за самовольное занятие лесных участков за отчетный год (руб.) определяется по формуле:</w:t>
      </w:r>
    </w:p>
    <w:p w:rsidR="0055491A" w:rsidRPr="005F6BFA" w:rsidRDefault="0055491A" w:rsidP="0055491A">
      <w:pPr>
        <w:widowControl w:val="0"/>
        <w:autoSpaceDE w:val="0"/>
        <w:autoSpaceDN w:val="0"/>
        <w:jc w:val="center"/>
        <w:rPr>
          <w:sz w:val="28"/>
          <w:szCs w:val="28"/>
        </w:rPr>
      </w:pPr>
      <w:r w:rsidRPr="005F6BFA">
        <w:rPr>
          <w:noProof/>
          <w:position w:val="-31"/>
          <w:sz w:val="28"/>
          <w:szCs w:val="28"/>
        </w:rPr>
        <w:drawing>
          <wp:inline distT="0" distB="0" distL="0" distR="0" wp14:anchorId="35320CB4" wp14:editId="5C1E2723">
            <wp:extent cx="2265045" cy="542290"/>
            <wp:effectExtent l="0" t="0" r="1905" b="0"/>
            <wp:docPr id="8" name="Рисунок 8" descr="base_50_590968_328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50_590968_32805"/>
                    <pic:cNvPicPr preferRelativeResize="0">
                      <a:picLocks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265045" cy="542290"/>
                    </a:xfrm>
                    <a:prstGeom prst="rect">
                      <a:avLst/>
                    </a:prstGeom>
                    <a:noFill/>
                    <a:ln>
                      <a:noFill/>
                    </a:ln>
                  </pic:spPr>
                </pic:pic>
              </a:graphicData>
            </a:graphic>
          </wp:inline>
        </w:drawing>
      </w:r>
    </w:p>
    <w:p w:rsidR="0055491A" w:rsidRPr="005F6BFA" w:rsidRDefault="0055491A" w:rsidP="0055491A">
      <w:pPr>
        <w:widowControl w:val="0"/>
        <w:autoSpaceDE w:val="0"/>
        <w:autoSpaceDN w:val="0"/>
        <w:ind w:firstLine="540"/>
        <w:jc w:val="both"/>
        <w:rPr>
          <w:sz w:val="28"/>
          <w:szCs w:val="28"/>
        </w:rPr>
      </w:pPr>
      <w:r w:rsidRPr="005F6BFA">
        <w:rPr>
          <w:sz w:val="28"/>
          <w:szCs w:val="28"/>
        </w:rPr>
        <w:t>где:</w:t>
      </w:r>
    </w:p>
    <w:p w:rsidR="0055491A" w:rsidRPr="005F6BFA" w:rsidRDefault="0055491A" w:rsidP="0055491A">
      <w:pPr>
        <w:widowControl w:val="0"/>
        <w:autoSpaceDE w:val="0"/>
        <w:autoSpaceDN w:val="0"/>
        <w:ind w:firstLine="540"/>
        <w:jc w:val="both"/>
        <w:rPr>
          <w:sz w:val="28"/>
          <w:szCs w:val="28"/>
        </w:rPr>
      </w:pPr>
      <w:r w:rsidRPr="005F6BFA">
        <w:rPr>
          <w:noProof/>
          <w:position w:val="-11"/>
          <w:sz w:val="28"/>
          <w:szCs w:val="28"/>
        </w:rPr>
        <w:drawing>
          <wp:inline distT="0" distB="0" distL="0" distR="0" wp14:anchorId="0BD04A13" wp14:editId="50B68501">
            <wp:extent cx="1084580" cy="287020"/>
            <wp:effectExtent l="0" t="0" r="0" b="0"/>
            <wp:docPr id="7" name="Рисунок 7" descr="base_50_590968_328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50_590968_32806"/>
                    <pic:cNvPicPr preferRelativeResize="0">
                      <a:picLocks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84580" cy="287020"/>
                    </a:xfrm>
                    <a:prstGeom prst="rect">
                      <a:avLst/>
                    </a:prstGeom>
                    <a:noFill/>
                    <a:ln>
                      <a:noFill/>
                    </a:ln>
                  </pic:spPr>
                </pic:pic>
              </a:graphicData>
            </a:graphic>
          </wp:inline>
        </w:drawing>
      </w:r>
      <w:r w:rsidRPr="005F6BFA">
        <w:rPr>
          <w:sz w:val="28"/>
          <w:szCs w:val="28"/>
        </w:rPr>
        <w:t xml:space="preserve"> - сумма платежей за самовольное занятие лесных участков за отчетный год (тыс. руб.);</w:t>
      </w:r>
    </w:p>
    <w:p w:rsidR="0055491A" w:rsidRPr="005F6BFA" w:rsidRDefault="0055491A" w:rsidP="0055491A">
      <w:pPr>
        <w:widowControl w:val="0"/>
        <w:autoSpaceDE w:val="0"/>
        <w:autoSpaceDN w:val="0"/>
        <w:ind w:firstLine="540"/>
        <w:jc w:val="both"/>
        <w:rPr>
          <w:sz w:val="28"/>
          <w:szCs w:val="28"/>
        </w:rPr>
      </w:pPr>
      <w:r w:rsidRPr="005F6BFA">
        <w:rPr>
          <w:noProof/>
          <w:position w:val="-11"/>
          <w:sz w:val="28"/>
          <w:szCs w:val="28"/>
        </w:rPr>
        <w:drawing>
          <wp:inline distT="0" distB="0" distL="0" distR="0" wp14:anchorId="051969DC" wp14:editId="3AFEBF04">
            <wp:extent cx="871855" cy="287020"/>
            <wp:effectExtent l="0" t="0" r="4445" b="0"/>
            <wp:docPr id="6" name="Рисунок 6" descr="base_50_590968_328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50_590968_32807"/>
                    <pic:cNvPicPr preferRelativeResize="0">
                      <a:picLocks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871855" cy="287020"/>
                    </a:xfrm>
                    <a:prstGeom prst="rect">
                      <a:avLst/>
                    </a:prstGeom>
                    <a:noFill/>
                    <a:ln>
                      <a:noFill/>
                    </a:ln>
                  </pic:spPr>
                </pic:pic>
              </a:graphicData>
            </a:graphic>
          </wp:inline>
        </w:drawing>
      </w:r>
      <w:r w:rsidRPr="005F6BFA">
        <w:rPr>
          <w:sz w:val="28"/>
          <w:szCs w:val="28"/>
        </w:rPr>
        <w:t xml:space="preserve"> - количество случаев самовольного занятия лесных участков за отчетный год (ед.);</w:t>
      </w:r>
    </w:p>
    <w:p w:rsidR="0055491A" w:rsidRPr="005F6BFA" w:rsidRDefault="0055491A" w:rsidP="0055491A">
      <w:pPr>
        <w:widowControl w:val="0"/>
        <w:autoSpaceDE w:val="0"/>
        <w:autoSpaceDN w:val="0"/>
        <w:ind w:firstLine="540"/>
        <w:jc w:val="both"/>
        <w:rPr>
          <w:sz w:val="28"/>
          <w:szCs w:val="28"/>
        </w:rPr>
      </w:pPr>
      <w:r w:rsidRPr="005F6BFA">
        <w:rPr>
          <w:sz w:val="28"/>
          <w:szCs w:val="28"/>
        </w:rPr>
        <w:t>Z</w:t>
      </w:r>
      <w:r w:rsidRPr="005F6BFA">
        <w:rPr>
          <w:sz w:val="28"/>
          <w:szCs w:val="28"/>
          <w:vertAlign w:val="superscript"/>
        </w:rPr>
        <w:t>ср</w:t>
      </w:r>
      <w:r w:rsidRPr="005F6BFA">
        <w:rPr>
          <w:sz w:val="28"/>
          <w:szCs w:val="28"/>
        </w:rPr>
        <w:t xml:space="preserve"> - средний объем дебиторской задолженности (недоимки), возможный к поступлению (тыс. руб.). Определяется по формуле:</w:t>
      </w:r>
    </w:p>
    <w:p w:rsidR="0055491A" w:rsidRPr="005F6BFA" w:rsidRDefault="0055491A" w:rsidP="0055491A">
      <w:pPr>
        <w:widowControl w:val="0"/>
        <w:autoSpaceDE w:val="0"/>
        <w:autoSpaceDN w:val="0"/>
        <w:jc w:val="center"/>
        <w:rPr>
          <w:sz w:val="28"/>
          <w:szCs w:val="28"/>
        </w:rPr>
      </w:pPr>
      <w:r w:rsidRPr="005F6BFA">
        <w:rPr>
          <w:noProof/>
          <w:position w:val="-15"/>
          <w:sz w:val="28"/>
          <w:szCs w:val="28"/>
        </w:rPr>
        <w:drawing>
          <wp:inline distT="0" distB="0" distL="0" distR="0" wp14:anchorId="59F2C8BB" wp14:editId="520B8453">
            <wp:extent cx="2179955" cy="340360"/>
            <wp:effectExtent l="0" t="0" r="0" b="0"/>
            <wp:docPr id="5" name="Рисунок 5" descr="base_50_590968_328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50_590968_32808"/>
                    <pic:cNvPicPr preferRelativeResize="0">
                      <a:picLocks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179955" cy="340360"/>
                    </a:xfrm>
                    <a:prstGeom prst="rect">
                      <a:avLst/>
                    </a:prstGeom>
                    <a:noFill/>
                    <a:ln>
                      <a:noFill/>
                    </a:ln>
                  </pic:spPr>
                </pic:pic>
              </a:graphicData>
            </a:graphic>
          </wp:inline>
        </w:drawing>
      </w:r>
    </w:p>
    <w:p w:rsidR="0055491A" w:rsidRPr="005F6BFA" w:rsidRDefault="0055491A" w:rsidP="0055491A">
      <w:pPr>
        <w:widowControl w:val="0"/>
        <w:autoSpaceDE w:val="0"/>
        <w:autoSpaceDN w:val="0"/>
        <w:ind w:firstLine="540"/>
        <w:jc w:val="both"/>
        <w:rPr>
          <w:sz w:val="28"/>
          <w:szCs w:val="28"/>
        </w:rPr>
      </w:pPr>
      <w:r w:rsidRPr="005F6BFA">
        <w:rPr>
          <w:sz w:val="28"/>
          <w:szCs w:val="28"/>
        </w:rPr>
        <w:t>где:</w:t>
      </w:r>
    </w:p>
    <w:p w:rsidR="0055491A" w:rsidRPr="005F6BFA" w:rsidRDefault="0055491A" w:rsidP="0055491A">
      <w:pPr>
        <w:widowControl w:val="0"/>
        <w:autoSpaceDE w:val="0"/>
        <w:autoSpaceDN w:val="0"/>
        <w:ind w:firstLine="540"/>
        <w:jc w:val="both"/>
        <w:rPr>
          <w:sz w:val="28"/>
          <w:szCs w:val="28"/>
        </w:rPr>
      </w:pPr>
      <w:r w:rsidRPr="005F6BFA">
        <w:rPr>
          <w:noProof/>
          <w:position w:val="-15"/>
          <w:sz w:val="28"/>
          <w:szCs w:val="28"/>
        </w:rPr>
        <w:drawing>
          <wp:inline distT="0" distB="0" distL="0" distR="0" wp14:anchorId="1EE04E8E" wp14:editId="1E324E5E">
            <wp:extent cx="553085" cy="340360"/>
            <wp:effectExtent l="0" t="0" r="0" b="0"/>
            <wp:docPr id="4" name="Рисунок 4" descr="base_50_590968_328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50_590968_32809"/>
                    <pic:cNvPicPr preferRelativeResize="0">
                      <a:picLocks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53085" cy="340360"/>
                    </a:xfrm>
                    <a:prstGeom prst="rect">
                      <a:avLst/>
                    </a:prstGeom>
                    <a:noFill/>
                    <a:ln>
                      <a:noFill/>
                    </a:ln>
                  </pic:spPr>
                </pic:pic>
              </a:graphicData>
            </a:graphic>
          </wp:inline>
        </w:drawing>
      </w:r>
      <w:r w:rsidRPr="005F6BFA">
        <w:rPr>
          <w:sz w:val="28"/>
          <w:szCs w:val="28"/>
        </w:rPr>
        <w:t xml:space="preserve"> - сумма годовых величин задолженности (недоимки), возможной </w:t>
      </w:r>
      <w:r w:rsidRPr="005F6BFA">
        <w:rPr>
          <w:sz w:val="28"/>
          <w:szCs w:val="28"/>
        </w:rPr>
        <w:lastRenderedPageBreak/>
        <w:t>к взысканию (общая сумма недоимки, включая долги прошлых периодов, за минусом безнадежной), за три отчетных года, предшествующих прогнозируемому году (тыс. руб.);</w:t>
      </w:r>
    </w:p>
    <w:p w:rsidR="0055491A" w:rsidRPr="005F6BFA" w:rsidRDefault="0055491A" w:rsidP="0055491A">
      <w:pPr>
        <w:widowControl w:val="0"/>
        <w:autoSpaceDE w:val="0"/>
        <w:autoSpaceDN w:val="0"/>
        <w:ind w:firstLine="540"/>
        <w:jc w:val="both"/>
        <w:rPr>
          <w:sz w:val="28"/>
          <w:szCs w:val="28"/>
        </w:rPr>
      </w:pPr>
      <w:r w:rsidRPr="005F6BFA">
        <w:rPr>
          <w:noProof/>
          <w:position w:val="-15"/>
          <w:sz w:val="28"/>
          <w:szCs w:val="28"/>
        </w:rPr>
        <w:drawing>
          <wp:inline distT="0" distB="0" distL="0" distR="0" wp14:anchorId="0AF52925" wp14:editId="7A381E5F">
            <wp:extent cx="531495" cy="340360"/>
            <wp:effectExtent l="0" t="0" r="1905" b="0"/>
            <wp:docPr id="3" name="Рисунок 3" descr="base_50_590968_328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50_590968_32810"/>
                    <pic:cNvPicPr preferRelativeResize="0">
                      <a:picLocks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31495" cy="340360"/>
                    </a:xfrm>
                    <a:prstGeom prst="rect">
                      <a:avLst/>
                    </a:prstGeom>
                    <a:noFill/>
                    <a:ln>
                      <a:noFill/>
                    </a:ln>
                  </pic:spPr>
                </pic:pic>
              </a:graphicData>
            </a:graphic>
          </wp:inline>
        </w:drawing>
      </w:r>
      <w:r w:rsidRPr="005F6BFA">
        <w:rPr>
          <w:sz w:val="28"/>
          <w:szCs w:val="28"/>
        </w:rPr>
        <w:t xml:space="preserve"> - сумма долей взыскания Федеральной службой судебных приставов задолженности (недоимки) от задолженности, находящейся у нее на рассмотрении, за три отчетных года, предшествующих прогнозируемому году (единицы);</w:t>
      </w:r>
    </w:p>
    <w:p w:rsidR="0055491A" w:rsidRPr="005F6BFA" w:rsidRDefault="0055491A" w:rsidP="0055491A">
      <w:pPr>
        <w:widowControl w:val="0"/>
        <w:autoSpaceDE w:val="0"/>
        <w:autoSpaceDN w:val="0"/>
        <w:ind w:firstLine="540"/>
        <w:jc w:val="both"/>
        <w:rPr>
          <w:sz w:val="28"/>
          <w:szCs w:val="28"/>
        </w:rPr>
      </w:pPr>
      <w:r w:rsidRPr="005F6BFA">
        <w:rPr>
          <w:sz w:val="28"/>
          <w:szCs w:val="28"/>
        </w:rPr>
        <w:t>k - доля взыскания Федеральной службой судебных приставов задолженности (недоимки) от задолженности, находящейся у нее на рассмотрении, по итогам отчетного года (единицы), определяется по формуле:</w:t>
      </w:r>
    </w:p>
    <w:p w:rsidR="0055491A" w:rsidRPr="005F6BFA" w:rsidRDefault="0055491A" w:rsidP="0055491A">
      <w:pPr>
        <w:widowControl w:val="0"/>
        <w:autoSpaceDE w:val="0"/>
        <w:autoSpaceDN w:val="0"/>
        <w:jc w:val="center"/>
        <w:rPr>
          <w:sz w:val="28"/>
          <w:szCs w:val="28"/>
        </w:rPr>
      </w:pPr>
      <w:r w:rsidRPr="005F6BFA">
        <w:rPr>
          <w:sz w:val="28"/>
          <w:szCs w:val="28"/>
        </w:rPr>
        <w:t>k = Z</w:t>
      </w:r>
      <w:r w:rsidRPr="005F6BFA">
        <w:rPr>
          <w:sz w:val="28"/>
          <w:szCs w:val="28"/>
          <w:vertAlign w:val="superscript"/>
        </w:rPr>
        <w:t>взыск</w:t>
      </w:r>
      <w:r w:rsidRPr="005F6BFA">
        <w:rPr>
          <w:sz w:val="28"/>
          <w:szCs w:val="28"/>
        </w:rPr>
        <w:t xml:space="preserve"> / Z</w:t>
      </w:r>
      <w:r w:rsidRPr="005F6BFA">
        <w:rPr>
          <w:sz w:val="28"/>
          <w:szCs w:val="28"/>
          <w:vertAlign w:val="superscript"/>
        </w:rPr>
        <w:t>ФССП</w:t>
      </w:r>
      <w:r w:rsidRPr="005F6BFA">
        <w:rPr>
          <w:sz w:val="28"/>
          <w:szCs w:val="28"/>
        </w:rPr>
        <w:t>,</w:t>
      </w:r>
    </w:p>
    <w:p w:rsidR="0055491A" w:rsidRPr="005F6BFA" w:rsidRDefault="0055491A" w:rsidP="0055491A">
      <w:pPr>
        <w:widowControl w:val="0"/>
        <w:autoSpaceDE w:val="0"/>
        <w:autoSpaceDN w:val="0"/>
        <w:ind w:firstLine="540"/>
        <w:jc w:val="both"/>
        <w:rPr>
          <w:sz w:val="28"/>
          <w:szCs w:val="28"/>
        </w:rPr>
      </w:pPr>
      <w:r w:rsidRPr="005F6BFA">
        <w:rPr>
          <w:sz w:val="28"/>
          <w:szCs w:val="28"/>
        </w:rPr>
        <w:t>где:</w:t>
      </w:r>
    </w:p>
    <w:p w:rsidR="0055491A" w:rsidRPr="005F6BFA" w:rsidRDefault="0055491A" w:rsidP="0055491A">
      <w:pPr>
        <w:widowControl w:val="0"/>
        <w:autoSpaceDE w:val="0"/>
        <w:autoSpaceDN w:val="0"/>
        <w:ind w:firstLine="540"/>
        <w:jc w:val="both"/>
        <w:rPr>
          <w:sz w:val="28"/>
          <w:szCs w:val="28"/>
        </w:rPr>
      </w:pPr>
      <w:r w:rsidRPr="005F6BFA">
        <w:rPr>
          <w:sz w:val="28"/>
          <w:szCs w:val="28"/>
        </w:rPr>
        <w:t>Z</w:t>
      </w:r>
      <w:r w:rsidRPr="005F6BFA">
        <w:rPr>
          <w:sz w:val="28"/>
          <w:szCs w:val="28"/>
          <w:vertAlign w:val="superscript"/>
        </w:rPr>
        <w:t>взыск</w:t>
      </w:r>
      <w:r w:rsidRPr="005F6BFA">
        <w:rPr>
          <w:sz w:val="28"/>
          <w:szCs w:val="28"/>
        </w:rPr>
        <w:t xml:space="preserve"> - всего взыскано платежей Федеральной службой судебных приставов в отчетном году (тыс. руб.);</w:t>
      </w:r>
    </w:p>
    <w:p w:rsidR="0055491A" w:rsidRPr="005F6BFA" w:rsidRDefault="0055491A" w:rsidP="0055491A">
      <w:pPr>
        <w:widowControl w:val="0"/>
        <w:autoSpaceDE w:val="0"/>
        <w:autoSpaceDN w:val="0"/>
        <w:ind w:firstLine="540"/>
        <w:jc w:val="both"/>
        <w:rPr>
          <w:sz w:val="28"/>
          <w:szCs w:val="28"/>
        </w:rPr>
      </w:pPr>
      <w:r w:rsidRPr="005F6BFA">
        <w:rPr>
          <w:sz w:val="28"/>
          <w:szCs w:val="28"/>
        </w:rPr>
        <w:t>Z</w:t>
      </w:r>
      <w:r w:rsidRPr="005F6BFA">
        <w:rPr>
          <w:sz w:val="28"/>
          <w:szCs w:val="28"/>
          <w:vertAlign w:val="superscript"/>
        </w:rPr>
        <w:t>ФССП</w:t>
      </w:r>
      <w:r w:rsidRPr="005F6BFA">
        <w:rPr>
          <w:sz w:val="28"/>
          <w:szCs w:val="28"/>
        </w:rPr>
        <w:t xml:space="preserve"> - сумма задолженности (недоимки), находящейся на принудительном взыскании в Федеральной службе судебных приставов (ведется исполнительное производство, возбужденное до 1 января отчетного года, и возбужденное исполнительное производство в отчетном году) (тыс. руб.);</w:t>
      </w:r>
    </w:p>
    <w:p w:rsidR="0055491A" w:rsidRPr="005F6BFA" w:rsidRDefault="0055491A" w:rsidP="0055491A">
      <w:pPr>
        <w:widowControl w:val="0"/>
        <w:autoSpaceDE w:val="0"/>
        <w:autoSpaceDN w:val="0"/>
        <w:ind w:firstLine="540"/>
        <w:jc w:val="both"/>
        <w:rPr>
          <w:sz w:val="28"/>
          <w:szCs w:val="28"/>
        </w:rPr>
      </w:pPr>
      <w:r w:rsidRPr="005F6BFA">
        <w:rPr>
          <w:sz w:val="28"/>
          <w:szCs w:val="28"/>
        </w:rPr>
        <w:t>R - корректирующая сумма поступлений, учитывающая отдельные решения Президента Российской Федерации, Правительства Российской Федерации, а также проекты нормативных правовых актов Президента Российской Федерации, Правительства Российской Федерации и другие факторы, влияющие на объем прогнозируемых доходов (тыс. руб.).</w:t>
      </w:r>
    </w:p>
    <w:p w:rsidR="0055491A" w:rsidRDefault="0055491A" w:rsidP="0055491A">
      <w:pPr>
        <w:tabs>
          <w:tab w:val="left" w:pos="3195"/>
        </w:tabs>
        <w:autoSpaceDE w:val="0"/>
        <w:autoSpaceDN w:val="0"/>
        <w:adjustRightInd w:val="0"/>
        <w:ind w:firstLine="709"/>
        <w:jc w:val="both"/>
        <w:rPr>
          <w:rFonts w:eastAsia="Calibri"/>
          <w:sz w:val="28"/>
          <w:szCs w:val="28"/>
          <w:lang w:eastAsia="en-US"/>
        </w:rPr>
      </w:pPr>
      <w:r w:rsidRPr="00BF0C19">
        <w:rPr>
          <w:rFonts w:eastAsia="Calibri"/>
          <w:sz w:val="28"/>
          <w:szCs w:val="28"/>
          <w:lang w:eastAsia="en-US"/>
        </w:rPr>
        <w:t xml:space="preserve">Согласно данным отраслевой отчетности за 2017 – 2019 годы по форме 8-ОИП, утвержденной приказом Минприроды России от 28.12.2015 № 565, количество </w:t>
      </w:r>
      <w:r w:rsidRPr="00BF0C19">
        <w:rPr>
          <w:sz w:val="28"/>
          <w:szCs w:val="28"/>
        </w:rPr>
        <w:t xml:space="preserve">административных правонарушений, предусмотренных </w:t>
      </w:r>
      <w:hyperlink r:id="rId42" w:history="1">
        <w:r w:rsidRPr="00BF0C19">
          <w:rPr>
            <w:sz w:val="28"/>
            <w:szCs w:val="28"/>
          </w:rPr>
          <w:t>статьей 7.9</w:t>
        </w:r>
      </w:hyperlink>
      <w:r w:rsidRPr="00BF0C19">
        <w:rPr>
          <w:sz w:val="28"/>
          <w:szCs w:val="28"/>
        </w:rPr>
        <w:t xml:space="preserve"> КоАП РФ,</w:t>
      </w:r>
      <w:r w:rsidRPr="00BF0C19">
        <w:rPr>
          <w:rFonts w:eastAsia="Calibri"/>
          <w:sz w:val="28"/>
          <w:szCs w:val="28"/>
          <w:lang w:eastAsia="en-US"/>
        </w:rPr>
        <w:t xml:space="preserve"> составляет: </w:t>
      </w:r>
      <w:r w:rsidRPr="00B22E8F">
        <w:rPr>
          <w:rFonts w:eastAsia="Calibri"/>
          <w:sz w:val="28"/>
          <w:szCs w:val="28"/>
          <w:lang w:eastAsia="en-US"/>
        </w:rPr>
        <w:t>в 2018 г. – 12 ед.; в 2019 г. – 10 ед.</w:t>
      </w:r>
      <w:r>
        <w:rPr>
          <w:rFonts w:eastAsia="Calibri"/>
          <w:sz w:val="28"/>
          <w:szCs w:val="28"/>
          <w:lang w:eastAsia="en-US"/>
        </w:rPr>
        <w:t>,</w:t>
      </w:r>
      <w:r w:rsidRPr="00B22E8F">
        <w:rPr>
          <w:rFonts w:eastAsia="Calibri"/>
          <w:sz w:val="28"/>
          <w:szCs w:val="28"/>
          <w:lang w:eastAsia="en-US"/>
        </w:rPr>
        <w:t xml:space="preserve"> в 20</w:t>
      </w:r>
      <w:r>
        <w:rPr>
          <w:rFonts w:eastAsia="Calibri"/>
          <w:sz w:val="28"/>
          <w:szCs w:val="28"/>
          <w:lang w:eastAsia="en-US"/>
        </w:rPr>
        <w:t>20 г. – 3 ед.</w:t>
      </w:r>
      <w:r w:rsidRPr="00B22E8F">
        <w:rPr>
          <w:rFonts w:eastAsia="Calibri"/>
          <w:sz w:val="28"/>
          <w:szCs w:val="28"/>
          <w:lang w:eastAsia="en-US"/>
        </w:rPr>
        <w:t xml:space="preserve"> Таким образом, К</w:t>
      </w:r>
      <w:r w:rsidRPr="00B22E8F">
        <w:rPr>
          <w:rFonts w:eastAsia="Calibri"/>
          <w:sz w:val="28"/>
          <w:szCs w:val="28"/>
          <w:vertAlign w:val="superscript"/>
          <w:lang w:eastAsia="en-US"/>
        </w:rPr>
        <w:t>ср</w:t>
      </w:r>
      <w:r w:rsidRPr="00B22E8F">
        <w:rPr>
          <w:rFonts w:eastAsia="Calibri"/>
          <w:sz w:val="28"/>
          <w:szCs w:val="28"/>
          <w:vertAlign w:val="subscript"/>
          <w:lang w:eastAsia="en-US"/>
        </w:rPr>
        <w:t xml:space="preserve">7.9 </w:t>
      </w:r>
      <w:r w:rsidRPr="00B22E8F">
        <w:rPr>
          <w:rFonts w:eastAsia="Calibri"/>
          <w:sz w:val="28"/>
          <w:szCs w:val="28"/>
          <w:lang w:eastAsia="en-US"/>
        </w:rPr>
        <w:t>= (1</w:t>
      </w:r>
      <w:r>
        <w:rPr>
          <w:rFonts w:eastAsia="Calibri"/>
          <w:sz w:val="28"/>
          <w:szCs w:val="28"/>
          <w:lang w:eastAsia="en-US"/>
        </w:rPr>
        <w:t>2</w:t>
      </w:r>
      <w:r w:rsidRPr="00B22E8F">
        <w:rPr>
          <w:rFonts w:eastAsia="Calibri"/>
          <w:sz w:val="28"/>
          <w:szCs w:val="28"/>
          <w:lang w:eastAsia="en-US"/>
        </w:rPr>
        <w:t>+1</w:t>
      </w:r>
      <w:r>
        <w:rPr>
          <w:rFonts w:eastAsia="Calibri"/>
          <w:sz w:val="28"/>
          <w:szCs w:val="28"/>
          <w:lang w:eastAsia="en-US"/>
        </w:rPr>
        <w:t>0</w:t>
      </w:r>
      <w:r w:rsidRPr="00B22E8F">
        <w:rPr>
          <w:rFonts w:eastAsia="Calibri"/>
          <w:sz w:val="28"/>
          <w:szCs w:val="28"/>
          <w:lang w:eastAsia="en-US"/>
        </w:rPr>
        <w:t>+</w:t>
      </w:r>
      <w:r>
        <w:rPr>
          <w:rFonts w:eastAsia="Calibri"/>
          <w:sz w:val="28"/>
          <w:szCs w:val="28"/>
          <w:lang w:eastAsia="en-US"/>
        </w:rPr>
        <w:t>3</w:t>
      </w:r>
      <w:r w:rsidRPr="00B22E8F">
        <w:rPr>
          <w:rFonts w:eastAsia="Calibri"/>
          <w:sz w:val="28"/>
          <w:szCs w:val="28"/>
          <w:lang w:eastAsia="en-US"/>
        </w:rPr>
        <w:t xml:space="preserve">) / 3 = </w:t>
      </w:r>
      <w:r>
        <w:rPr>
          <w:rFonts w:eastAsia="Calibri"/>
          <w:sz w:val="28"/>
          <w:szCs w:val="28"/>
          <w:lang w:eastAsia="en-US"/>
        </w:rPr>
        <w:t>8</w:t>
      </w:r>
      <w:r w:rsidRPr="00B22E8F">
        <w:rPr>
          <w:rFonts w:eastAsia="Calibri"/>
          <w:sz w:val="28"/>
          <w:szCs w:val="28"/>
          <w:lang w:eastAsia="en-US"/>
        </w:rPr>
        <w:t xml:space="preserve"> ед.</w:t>
      </w:r>
    </w:p>
    <w:p w:rsidR="0055491A" w:rsidRPr="00BF0C19" w:rsidRDefault="0055491A" w:rsidP="0055491A">
      <w:pPr>
        <w:tabs>
          <w:tab w:val="left" w:pos="3195"/>
        </w:tabs>
        <w:autoSpaceDE w:val="0"/>
        <w:autoSpaceDN w:val="0"/>
        <w:adjustRightInd w:val="0"/>
        <w:ind w:firstLine="709"/>
        <w:jc w:val="both"/>
        <w:rPr>
          <w:sz w:val="28"/>
          <w:szCs w:val="28"/>
        </w:rPr>
      </w:pPr>
      <w:r w:rsidRPr="00BF0C19">
        <w:rPr>
          <w:rFonts w:eastAsia="Calibri"/>
          <w:sz w:val="28"/>
          <w:szCs w:val="28"/>
          <w:lang w:eastAsia="en-US"/>
        </w:rPr>
        <w:t xml:space="preserve">Согласно данным о фактическом поступлении платежей за </w:t>
      </w:r>
      <w:r w:rsidRPr="00BF0C19">
        <w:rPr>
          <w:sz w:val="28"/>
          <w:szCs w:val="28"/>
        </w:rPr>
        <w:t xml:space="preserve">административные правонарушения, предусмотренные </w:t>
      </w:r>
      <w:hyperlink r:id="rId43" w:history="1">
        <w:r w:rsidRPr="00BF0C19">
          <w:rPr>
            <w:sz w:val="28"/>
            <w:szCs w:val="28"/>
          </w:rPr>
          <w:t xml:space="preserve">статьей 7.9 </w:t>
        </w:r>
      </w:hyperlink>
      <w:r w:rsidRPr="00BF0C19">
        <w:rPr>
          <w:sz w:val="28"/>
          <w:szCs w:val="28"/>
        </w:rPr>
        <w:t xml:space="preserve">КоАП РФ, </w:t>
      </w:r>
      <w:r w:rsidRPr="00BF0C19">
        <w:rPr>
          <w:rFonts w:eastAsia="Calibri"/>
          <w:sz w:val="28"/>
          <w:szCs w:val="28"/>
          <w:lang w:eastAsia="en-US"/>
        </w:rPr>
        <w:t>сумма платежей в 20</w:t>
      </w:r>
      <w:r>
        <w:rPr>
          <w:rFonts w:eastAsia="Calibri"/>
          <w:sz w:val="28"/>
          <w:szCs w:val="28"/>
          <w:lang w:eastAsia="en-US"/>
        </w:rPr>
        <w:t>20</w:t>
      </w:r>
      <w:r w:rsidRPr="00BF0C19">
        <w:rPr>
          <w:rFonts w:eastAsia="Calibri"/>
          <w:sz w:val="28"/>
          <w:szCs w:val="28"/>
          <w:lang w:eastAsia="en-US"/>
        </w:rPr>
        <w:t xml:space="preserve"> г. </w:t>
      </w:r>
      <w:r w:rsidRPr="00BF0C19">
        <w:rPr>
          <w:sz w:val="28"/>
          <w:szCs w:val="28"/>
        </w:rPr>
        <w:t xml:space="preserve">составила </w:t>
      </w:r>
      <w:r>
        <w:rPr>
          <w:sz w:val="28"/>
          <w:szCs w:val="28"/>
        </w:rPr>
        <w:t>5</w:t>
      </w:r>
      <w:r w:rsidRPr="00BF0C19">
        <w:rPr>
          <w:sz w:val="28"/>
          <w:szCs w:val="28"/>
        </w:rPr>
        <w:t xml:space="preserve">0,0 тыс. руб., количество случаев административных правонарушений </w:t>
      </w:r>
      <w:r w:rsidRPr="00BF0C19">
        <w:rPr>
          <w:rFonts w:eastAsia="Calibri"/>
          <w:sz w:val="28"/>
          <w:szCs w:val="28"/>
          <w:lang w:eastAsia="en-US"/>
        </w:rPr>
        <w:t xml:space="preserve">составило </w:t>
      </w:r>
      <w:r>
        <w:rPr>
          <w:rFonts w:eastAsia="Calibri"/>
          <w:sz w:val="28"/>
          <w:szCs w:val="28"/>
          <w:lang w:eastAsia="en-US"/>
        </w:rPr>
        <w:t>3</w:t>
      </w:r>
      <w:r w:rsidRPr="00BF0C19">
        <w:rPr>
          <w:rFonts w:eastAsia="Calibri"/>
          <w:sz w:val="28"/>
          <w:szCs w:val="28"/>
          <w:lang w:eastAsia="en-US"/>
        </w:rPr>
        <w:t xml:space="preserve"> ед.</w:t>
      </w:r>
    </w:p>
    <w:p w:rsidR="0055491A" w:rsidRDefault="0055491A" w:rsidP="0055491A">
      <w:pPr>
        <w:tabs>
          <w:tab w:val="left" w:pos="3195"/>
        </w:tabs>
        <w:autoSpaceDE w:val="0"/>
        <w:autoSpaceDN w:val="0"/>
        <w:adjustRightInd w:val="0"/>
        <w:ind w:firstLine="709"/>
        <w:jc w:val="both"/>
        <w:rPr>
          <w:rFonts w:eastAsia="Calibri"/>
          <w:sz w:val="28"/>
          <w:szCs w:val="28"/>
          <w:lang w:eastAsia="en-US"/>
        </w:rPr>
      </w:pPr>
      <w:r w:rsidRPr="00BF0C19">
        <w:rPr>
          <w:rFonts w:eastAsia="Calibri"/>
          <w:sz w:val="28"/>
          <w:szCs w:val="28"/>
          <w:lang w:eastAsia="en-US"/>
        </w:rPr>
        <w:t xml:space="preserve">Таким образом, </w:t>
      </w:r>
      <w:r w:rsidRPr="00BF0C19">
        <w:rPr>
          <w:sz w:val="28"/>
          <w:szCs w:val="28"/>
        </w:rPr>
        <w:t xml:space="preserve">средний размер штрафа по </w:t>
      </w:r>
      <w:hyperlink r:id="rId44" w:history="1">
        <w:r w:rsidRPr="00BF0C19">
          <w:rPr>
            <w:sz w:val="28"/>
            <w:szCs w:val="28"/>
          </w:rPr>
          <w:t>статье 7.9</w:t>
        </w:r>
      </w:hyperlink>
      <w:r w:rsidRPr="00BF0C19">
        <w:rPr>
          <w:sz w:val="28"/>
          <w:szCs w:val="28"/>
        </w:rPr>
        <w:t xml:space="preserve"> КоАП РФ за отчетный год (руб.): </w:t>
      </w:r>
      <w:r w:rsidRPr="00BF0C19">
        <w:rPr>
          <w:rFonts w:eastAsia="Calibri"/>
          <w:sz w:val="28"/>
          <w:szCs w:val="28"/>
          <w:lang w:eastAsia="en-US"/>
        </w:rPr>
        <w:t>Р</w:t>
      </w:r>
      <w:r w:rsidRPr="00BF0C19">
        <w:rPr>
          <w:rFonts w:eastAsia="Calibri"/>
          <w:sz w:val="28"/>
          <w:szCs w:val="28"/>
          <w:vertAlign w:val="superscript"/>
          <w:lang w:eastAsia="en-US"/>
        </w:rPr>
        <w:t xml:space="preserve">ср </w:t>
      </w:r>
      <w:r w:rsidRPr="00BF0C19">
        <w:rPr>
          <w:rFonts w:eastAsia="Calibri"/>
          <w:sz w:val="28"/>
          <w:szCs w:val="28"/>
          <w:vertAlign w:val="subscript"/>
          <w:lang w:eastAsia="en-US"/>
        </w:rPr>
        <w:t xml:space="preserve">7.9 </w:t>
      </w:r>
      <w:r w:rsidRPr="00BF0C19">
        <w:rPr>
          <w:rFonts w:eastAsia="Calibri"/>
          <w:sz w:val="28"/>
          <w:szCs w:val="28"/>
          <w:lang w:eastAsia="en-US"/>
        </w:rPr>
        <w:t xml:space="preserve">= </w:t>
      </w:r>
      <w:r>
        <w:rPr>
          <w:rFonts w:eastAsia="Calibri"/>
          <w:sz w:val="28"/>
          <w:szCs w:val="28"/>
          <w:lang w:eastAsia="en-US"/>
        </w:rPr>
        <w:t>5</w:t>
      </w:r>
      <w:r w:rsidRPr="00BF0C19">
        <w:rPr>
          <w:rFonts w:eastAsia="Calibri"/>
          <w:sz w:val="28"/>
          <w:szCs w:val="28"/>
          <w:lang w:eastAsia="en-US"/>
        </w:rPr>
        <w:t xml:space="preserve">0,0 / </w:t>
      </w:r>
      <w:r>
        <w:rPr>
          <w:rFonts w:eastAsia="Calibri"/>
          <w:sz w:val="28"/>
          <w:szCs w:val="28"/>
          <w:lang w:eastAsia="en-US"/>
        </w:rPr>
        <w:t>3 = 16,7</w:t>
      </w:r>
      <w:r w:rsidRPr="00BF0C19">
        <w:rPr>
          <w:rFonts w:eastAsia="Calibri"/>
          <w:sz w:val="28"/>
          <w:szCs w:val="28"/>
          <w:lang w:eastAsia="en-US"/>
        </w:rPr>
        <w:t xml:space="preserve"> тыс. руб.</w:t>
      </w:r>
    </w:p>
    <w:p w:rsidR="0055491A" w:rsidRDefault="0055491A" w:rsidP="0055491A">
      <w:pPr>
        <w:tabs>
          <w:tab w:val="left" w:pos="3195"/>
        </w:tabs>
        <w:autoSpaceDE w:val="0"/>
        <w:autoSpaceDN w:val="0"/>
        <w:adjustRightInd w:val="0"/>
        <w:ind w:firstLine="709"/>
        <w:jc w:val="both"/>
        <w:rPr>
          <w:sz w:val="28"/>
          <w:szCs w:val="28"/>
        </w:rPr>
      </w:pPr>
      <w:r>
        <w:rPr>
          <w:sz w:val="28"/>
          <w:szCs w:val="28"/>
        </w:rPr>
        <w:t>Взыскано платежей ФССП в 2020 году – 0,0 тыс. руб., сумма задолженности, находящейся на принудительном взыскании в ФССП – 40,0 тыс. руб. Таким образом, с</w:t>
      </w:r>
      <w:r w:rsidRPr="005F6BFA">
        <w:rPr>
          <w:sz w:val="28"/>
          <w:szCs w:val="28"/>
        </w:rPr>
        <w:t>редний объем дебиторской задолженности (недоимки), возможный к поступлению</w:t>
      </w:r>
      <w:r>
        <w:rPr>
          <w:sz w:val="28"/>
          <w:szCs w:val="28"/>
        </w:rPr>
        <w:t xml:space="preserve">: </w:t>
      </w:r>
    </w:p>
    <w:p w:rsidR="0055491A" w:rsidRDefault="0055491A" w:rsidP="0055491A">
      <w:pPr>
        <w:tabs>
          <w:tab w:val="left" w:pos="3195"/>
        </w:tabs>
        <w:autoSpaceDE w:val="0"/>
        <w:autoSpaceDN w:val="0"/>
        <w:adjustRightInd w:val="0"/>
        <w:ind w:firstLine="709"/>
        <w:jc w:val="both"/>
        <w:rPr>
          <w:sz w:val="28"/>
          <w:szCs w:val="28"/>
        </w:rPr>
      </w:pPr>
      <w:r w:rsidRPr="00C77AD1">
        <w:rPr>
          <w:sz w:val="28"/>
          <w:szCs w:val="28"/>
        </w:rPr>
        <w:t>Z</w:t>
      </w:r>
      <w:r w:rsidRPr="00C77AD1">
        <w:rPr>
          <w:sz w:val="28"/>
          <w:szCs w:val="28"/>
          <w:vertAlign w:val="superscript"/>
        </w:rPr>
        <w:t xml:space="preserve">ср </w:t>
      </w:r>
      <w:r w:rsidRPr="00C77AD1">
        <w:rPr>
          <w:sz w:val="28"/>
          <w:szCs w:val="28"/>
        </w:rPr>
        <w:t>= (40,0 / 3) * (0,0 / 40,0 / 3) = 0,0 тыс. руб.</w:t>
      </w:r>
    </w:p>
    <w:p w:rsidR="0055491A" w:rsidRPr="00864399" w:rsidRDefault="0055491A" w:rsidP="0055491A">
      <w:pPr>
        <w:tabs>
          <w:tab w:val="left" w:pos="3195"/>
        </w:tabs>
        <w:autoSpaceDE w:val="0"/>
        <w:autoSpaceDN w:val="0"/>
        <w:adjustRightInd w:val="0"/>
        <w:ind w:firstLine="709"/>
        <w:jc w:val="both"/>
        <w:rPr>
          <w:sz w:val="28"/>
          <w:szCs w:val="28"/>
        </w:rPr>
      </w:pPr>
      <w:r>
        <w:rPr>
          <w:sz w:val="28"/>
          <w:szCs w:val="28"/>
        </w:rPr>
        <w:t>К</w:t>
      </w:r>
      <w:r w:rsidRPr="00846837">
        <w:rPr>
          <w:sz w:val="28"/>
          <w:szCs w:val="28"/>
        </w:rPr>
        <w:t xml:space="preserve">орректирующая сумма поступлений, учитывающая отдельные решения Президента Российской Федерации, Правительства Российской Федерации, а также проекты нормативных правовых актов Президента Российской Федерации, Правительства Российской Федерации и другие </w:t>
      </w:r>
      <w:r w:rsidRPr="00846837">
        <w:rPr>
          <w:sz w:val="28"/>
          <w:szCs w:val="28"/>
        </w:rPr>
        <w:lastRenderedPageBreak/>
        <w:t>факторы, влияющие на объем прогнозируемых доходов, в том числе фактические поступления платежей (тыс. руб.).</w:t>
      </w:r>
      <w:r w:rsidRPr="00C77AD1">
        <w:rPr>
          <w:sz w:val="28"/>
          <w:szCs w:val="28"/>
        </w:rPr>
        <w:t xml:space="preserve"> </w:t>
      </w:r>
      <w:r>
        <w:rPr>
          <w:sz w:val="28"/>
          <w:szCs w:val="28"/>
        </w:rPr>
        <w:t>R - равна нулю.</w:t>
      </w:r>
    </w:p>
    <w:p w:rsidR="0055491A" w:rsidRPr="00BF0C19" w:rsidRDefault="0055491A" w:rsidP="0055491A">
      <w:pPr>
        <w:tabs>
          <w:tab w:val="left" w:pos="3195"/>
        </w:tabs>
        <w:autoSpaceDE w:val="0"/>
        <w:autoSpaceDN w:val="0"/>
        <w:adjustRightInd w:val="0"/>
        <w:ind w:firstLine="709"/>
        <w:jc w:val="both"/>
        <w:rPr>
          <w:rFonts w:eastAsia="Calibri"/>
          <w:sz w:val="28"/>
          <w:szCs w:val="28"/>
          <w:lang w:eastAsia="en-US"/>
        </w:rPr>
      </w:pPr>
      <w:r w:rsidRPr="00BF0C19">
        <w:rPr>
          <w:rFonts w:eastAsia="Calibri"/>
          <w:b/>
          <w:sz w:val="28"/>
          <w:szCs w:val="28"/>
          <w:lang w:eastAsia="en-US"/>
        </w:rPr>
        <w:t>Ожидаемая оценка на</w:t>
      </w:r>
      <w:r w:rsidRPr="00BF0C19">
        <w:rPr>
          <w:rFonts w:eastAsia="Calibri"/>
          <w:sz w:val="28"/>
          <w:szCs w:val="28"/>
          <w:lang w:eastAsia="en-US"/>
        </w:rPr>
        <w:t xml:space="preserve"> </w:t>
      </w:r>
      <w:r w:rsidRPr="00BF0C19">
        <w:rPr>
          <w:rFonts w:eastAsia="Calibri"/>
          <w:b/>
          <w:sz w:val="28"/>
          <w:szCs w:val="28"/>
          <w:lang w:eastAsia="en-US"/>
        </w:rPr>
        <w:t>202</w:t>
      </w:r>
      <w:r>
        <w:rPr>
          <w:rFonts w:eastAsia="Calibri"/>
          <w:b/>
          <w:sz w:val="28"/>
          <w:szCs w:val="28"/>
          <w:lang w:eastAsia="en-US"/>
        </w:rPr>
        <w:t>1</w:t>
      </w:r>
      <w:r w:rsidRPr="00BF0C19">
        <w:rPr>
          <w:rFonts w:eastAsia="Calibri"/>
          <w:b/>
          <w:sz w:val="28"/>
          <w:szCs w:val="28"/>
          <w:lang w:eastAsia="en-US"/>
        </w:rPr>
        <w:t xml:space="preserve"> год</w:t>
      </w:r>
      <w:r w:rsidRPr="00BF0C19">
        <w:rPr>
          <w:rFonts w:eastAsia="Calibri"/>
          <w:sz w:val="28"/>
          <w:szCs w:val="28"/>
          <w:lang w:eastAsia="en-US"/>
        </w:rPr>
        <w:t xml:space="preserve"> составит: П </w:t>
      </w:r>
      <w:r w:rsidRPr="00BF0C19">
        <w:rPr>
          <w:rFonts w:eastAsia="Calibri"/>
          <w:sz w:val="28"/>
          <w:szCs w:val="28"/>
          <w:vertAlign w:val="subscript"/>
          <w:lang w:eastAsia="en-US"/>
        </w:rPr>
        <w:t xml:space="preserve">7.9 </w:t>
      </w:r>
      <w:r w:rsidRPr="00BF0C19">
        <w:rPr>
          <w:rFonts w:eastAsia="Calibri"/>
          <w:sz w:val="28"/>
          <w:szCs w:val="28"/>
          <w:lang w:eastAsia="en-US"/>
        </w:rPr>
        <w:t xml:space="preserve">= </w:t>
      </w:r>
      <w:r>
        <w:rPr>
          <w:rFonts w:eastAsia="Calibri"/>
          <w:sz w:val="28"/>
          <w:szCs w:val="28"/>
          <w:lang w:eastAsia="en-US"/>
        </w:rPr>
        <w:t>8 * 16,7+0</w:t>
      </w:r>
      <w:r w:rsidRPr="00BF0C19">
        <w:rPr>
          <w:rFonts w:eastAsia="Calibri"/>
          <w:sz w:val="28"/>
          <w:szCs w:val="28"/>
          <w:lang w:eastAsia="en-US"/>
        </w:rPr>
        <w:t xml:space="preserve"> = </w:t>
      </w:r>
      <w:r>
        <w:rPr>
          <w:rFonts w:eastAsia="Calibri"/>
          <w:b/>
          <w:sz w:val="28"/>
          <w:szCs w:val="28"/>
          <w:lang w:eastAsia="en-US"/>
        </w:rPr>
        <w:t>133,6</w:t>
      </w:r>
      <w:r w:rsidRPr="00BF0C19">
        <w:rPr>
          <w:rFonts w:eastAsia="Calibri"/>
          <w:b/>
          <w:sz w:val="28"/>
          <w:szCs w:val="28"/>
          <w:lang w:eastAsia="en-US"/>
        </w:rPr>
        <w:t xml:space="preserve"> </w:t>
      </w:r>
      <w:r w:rsidRPr="00BF0C19">
        <w:rPr>
          <w:rFonts w:eastAsia="Calibri"/>
          <w:sz w:val="28"/>
          <w:szCs w:val="28"/>
          <w:lang w:eastAsia="en-US"/>
        </w:rPr>
        <w:t>тыс. руб.</w:t>
      </w:r>
    </w:p>
    <w:p w:rsidR="0055491A" w:rsidRPr="00BF0C19" w:rsidRDefault="0055491A" w:rsidP="0055491A">
      <w:pPr>
        <w:tabs>
          <w:tab w:val="left" w:pos="3195"/>
        </w:tabs>
        <w:autoSpaceDE w:val="0"/>
        <w:autoSpaceDN w:val="0"/>
        <w:adjustRightInd w:val="0"/>
        <w:ind w:firstLine="709"/>
        <w:jc w:val="both"/>
        <w:rPr>
          <w:rFonts w:eastAsia="Calibri"/>
          <w:b/>
          <w:sz w:val="28"/>
          <w:szCs w:val="28"/>
          <w:lang w:eastAsia="en-US"/>
        </w:rPr>
      </w:pPr>
      <w:r w:rsidRPr="00BF0C19">
        <w:rPr>
          <w:rFonts w:eastAsia="Calibri"/>
          <w:b/>
          <w:sz w:val="28"/>
          <w:szCs w:val="28"/>
          <w:lang w:eastAsia="en-US"/>
        </w:rPr>
        <w:t>Определение прогноза на 202</w:t>
      </w:r>
      <w:r>
        <w:rPr>
          <w:rFonts w:eastAsia="Calibri"/>
          <w:b/>
          <w:sz w:val="28"/>
          <w:szCs w:val="28"/>
          <w:lang w:eastAsia="en-US"/>
        </w:rPr>
        <w:t>2</w:t>
      </w:r>
      <w:r w:rsidRPr="00BF0C19">
        <w:rPr>
          <w:rFonts w:eastAsia="Calibri"/>
          <w:b/>
          <w:sz w:val="28"/>
          <w:szCs w:val="28"/>
          <w:lang w:eastAsia="en-US"/>
        </w:rPr>
        <w:t xml:space="preserve"> год:</w:t>
      </w:r>
    </w:p>
    <w:p w:rsidR="0055491A" w:rsidRPr="00BF0C19" w:rsidRDefault="0055491A" w:rsidP="0055491A">
      <w:pPr>
        <w:tabs>
          <w:tab w:val="left" w:pos="3195"/>
        </w:tabs>
        <w:autoSpaceDE w:val="0"/>
        <w:autoSpaceDN w:val="0"/>
        <w:adjustRightInd w:val="0"/>
        <w:ind w:firstLine="709"/>
        <w:jc w:val="both"/>
        <w:rPr>
          <w:rFonts w:eastAsia="Calibri"/>
          <w:sz w:val="28"/>
          <w:szCs w:val="28"/>
          <w:lang w:eastAsia="en-US"/>
        </w:rPr>
      </w:pPr>
      <w:r w:rsidRPr="00BF0C19">
        <w:rPr>
          <w:rFonts w:eastAsia="Calibri"/>
          <w:sz w:val="28"/>
          <w:szCs w:val="28"/>
          <w:lang w:eastAsia="en-US"/>
        </w:rPr>
        <w:t>Согласно данным отраслевой отчетности за 201</w:t>
      </w:r>
      <w:r>
        <w:rPr>
          <w:rFonts w:eastAsia="Calibri"/>
          <w:sz w:val="28"/>
          <w:szCs w:val="28"/>
          <w:lang w:eastAsia="en-US"/>
        </w:rPr>
        <w:t>9</w:t>
      </w:r>
      <w:r w:rsidRPr="00BF0C19">
        <w:rPr>
          <w:rFonts w:eastAsia="Calibri"/>
          <w:sz w:val="28"/>
          <w:szCs w:val="28"/>
          <w:lang w:eastAsia="en-US"/>
        </w:rPr>
        <w:t xml:space="preserve"> – 20</w:t>
      </w:r>
      <w:r>
        <w:rPr>
          <w:rFonts w:eastAsia="Calibri"/>
          <w:sz w:val="28"/>
          <w:szCs w:val="28"/>
          <w:lang w:eastAsia="en-US"/>
        </w:rPr>
        <w:t>20</w:t>
      </w:r>
      <w:r w:rsidRPr="00BF0C19">
        <w:rPr>
          <w:rFonts w:eastAsia="Calibri"/>
          <w:sz w:val="28"/>
          <w:szCs w:val="28"/>
          <w:lang w:eastAsia="en-US"/>
        </w:rPr>
        <w:t xml:space="preserve"> годы по форме 8-ОИП, утвержденной приказом Минприроды России от 28.12.2015 № 565, количество случаев </w:t>
      </w:r>
      <w:r w:rsidRPr="00BF0C19">
        <w:rPr>
          <w:sz w:val="28"/>
          <w:szCs w:val="28"/>
        </w:rPr>
        <w:t xml:space="preserve">административных правонарушений, предусмотренных </w:t>
      </w:r>
      <w:hyperlink r:id="rId45" w:history="1">
        <w:r w:rsidRPr="00BF0C19">
          <w:rPr>
            <w:sz w:val="28"/>
            <w:szCs w:val="28"/>
          </w:rPr>
          <w:t>статье 7.9</w:t>
        </w:r>
      </w:hyperlink>
      <w:r w:rsidRPr="00BF0C19">
        <w:rPr>
          <w:sz w:val="28"/>
          <w:szCs w:val="28"/>
        </w:rPr>
        <w:t xml:space="preserve"> КоАП РФ,</w:t>
      </w:r>
      <w:r w:rsidRPr="00BF0C19">
        <w:rPr>
          <w:rFonts w:eastAsia="Calibri"/>
          <w:sz w:val="28"/>
          <w:szCs w:val="28"/>
          <w:lang w:eastAsia="en-US"/>
        </w:rPr>
        <w:t xml:space="preserve"> составляет: в 201</w:t>
      </w:r>
      <w:r>
        <w:rPr>
          <w:rFonts w:eastAsia="Calibri"/>
          <w:sz w:val="28"/>
          <w:szCs w:val="28"/>
          <w:lang w:eastAsia="en-US"/>
        </w:rPr>
        <w:t>9</w:t>
      </w:r>
      <w:r w:rsidRPr="00BF0C19">
        <w:rPr>
          <w:rFonts w:eastAsia="Calibri"/>
          <w:sz w:val="28"/>
          <w:szCs w:val="28"/>
          <w:lang w:eastAsia="en-US"/>
        </w:rPr>
        <w:t xml:space="preserve"> г. – 1</w:t>
      </w:r>
      <w:r>
        <w:rPr>
          <w:rFonts w:eastAsia="Calibri"/>
          <w:sz w:val="28"/>
          <w:szCs w:val="28"/>
          <w:lang w:eastAsia="en-US"/>
        </w:rPr>
        <w:t>0</w:t>
      </w:r>
      <w:r w:rsidRPr="00BF0C19">
        <w:rPr>
          <w:rFonts w:eastAsia="Calibri"/>
          <w:sz w:val="28"/>
          <w:szCs w:val="28"/>
          <w:lang w:eastAsia="en-US"/>
        </w:rPr>
        <w:t xml:space="preserve"> ед.; в 20</w:t>
      </w:r>
      <w:r>
        <w:rPr>
          <w:rFonts w:eastAsia="Calibri"/>
          <w:sz w:val="28"/>
          <w:szCs w:val="28"/>
          <w:lang w:eastAsia="en-US"/>
        </w:rPr>
        <w:t>20</w:t>
      </w:r>
      <w:r w:rsidRPr="00BF0C19">
        <w:rPr>
          <w:rFonts w:eastAsia="Calibri"/>
          <w:sz w:val="28"/>
          <w:szCs w:val="28"/>
          <w:lang w:eastAsia="en-US"/>
        </w:rPr>
        <w:t xml:space="preserve"> г. – </w:t>
      </w:r>
      <w:r>
        <w:rPr>
          <w:rFonts w:eastAsia="Calibri"/>
          <w:sz w:val="28"/>
          <w:szCs w:val="28"/>
          <w:lang w:eastAsia="en-US"/>
        </w:rPr>
        <w:t>3</w:t>
      </w:r>
      <w:r w:rsidRPr="00BF0C19">
        <w:rPr>
          <w:rFonts w:eastAsia="Calibri"/>
          <w:sz w:val="28"/>
          <w:szCs w:val="28"/>
          <w:lang w:eastAsia="en-US"/>
        </w:rPr>
        <w:t xml:space="preserve"> ед. </w:t>
      </w:r>
    </w:p>
    <w:p w:rsidR="0055491A" w:rsidRPr="00BF0C19" w:rsidRDefault="0055491A" w:rsidP="0055491A">
      <w:pPr>
        <w:tabs>
          <w:tab w:val="left" w:pos="3195"/>
        </w:tabs>
        <w:autoSpaceDE w:val="0"/>
        <w:autoSpaceDN w:val="0"/>
        <w:adjustRightInd w:val="0"/>
        <w:ind w:firstLine="709"/>
        <w:jc w:val="both"/>
        <w:rPr>
          <w:rFonts w:eastAsia="Calibri"/>
          <w:sz w:val="28"/>
          <w:szCs w:val="28"/>
          <w:lang w:eastAsia="en-US"/>
        </w:rPr>
      </w:pPr>
      <w:r>
        <w:rPr>
          <w:rFonts w:eastAsia="Calibri"/>
          <w:sz w:val="28"/>
          <w:szCs w:val="28"/>
          <w:lang w:eastAsia="en-US"/>
        </w:rPr>
        <w:t>К</w:t>
      </w:r>
      <w:r w:rsidRPr="00BF0C19">
        <w:rPr>
          <w:rFonts w:eastAsia="Calibri"/>
          <w:sz w:val="28"/>
          <w:szCs w:val="28"/>
          <w:lang w:eastAsia="en-US"/>
        </w:rPr>
        <w:t xml:space="preserve">оличество случаев </w:t>
      </w:r>
      <w:r w:rsidRPr="00BF0C19">
        <w:rPr>
          <w:sz w:val="28"/>
          <w:szCs w:val="28"/>
        </w:rPr>
        <w:t xml:space="preserve">административных правонарушений, предусмотренных </w:t>
      </w:r>
      <w:hyperlink r:id="rId46" w:history="1">
        <w:r w:rsidRPr="00BF0C19">
          <w:rPr>
            <w:sz w:val="28"/>
            <w:szCs w:val="28"/>
          </w:rPr>
          <w:t>статьей 7.9</w:t>
        </w:r>
      </w:hyperlink>
      <w:r w:rsidRPr="00BF0C19">
        <w:rPr>
          <w:sz w:val="28"/>
          <w:szCs w:val="28"/>
        </w:rPr>
        <w:t xml:space="preserve"> КоАП РФ, в 202</w:t>
      </w:r>
      <w:r>
        <w:rPr>
          <w:sz w:val="28"/>
          <w:szCs w:val="28"/>
        </w:rPr>
        <w:t>1</w:t>
      </w:r>
      <w:r w:rsidRPr="00BF0C19">
        <w:rPr>
          <w:sz w:val="28"/>
          <w:szCs w:val="28"/>
        </w:rPr>
        <w:t xml:space="preserve"> г. принимаем равное </w:t>
      </w:r>
      <w:r w:rsidRPr="00BF0C19">
        <w:rPr>
          <w:rFonts w:eastAsia="Calibri"/>
          <w:sz w:val="28"/>
          <w:szCs w:val="28"/>
          <w:lang w:eastAsia="en-US"/>
        </w:rPr>
        <w:t>К</w:t>
      </w:r>
      <w:r>
        <w:rPr>
          <w:rFonts w:eastAsia="Calibri"/>
          <w:sz w:val="28"/>
          <w:szCs w:val="28"/>
          <w:vertAlign w:val="superscript"/>
          <w:lang w:eastAsia="en-US"/>
        </w:rPr>
        <w:t>ср</w:t>
      </w:r>
      <w:r w:rsidRPr="00BF0C19">
        <w:rPr>
          <w:rFonts w:eastAsia="Calibri"/>
          <w:sz w:val="28"/>
          <w:szCs w:val="28"/>
          <w:vertAlign w:val="superscript"/>
          <w:lang w:eastAsia="en-US"/>
        </w:rPr>
        <w:t xml:space="preserve"> </w:t>
      </w:r>
      <w:r w:rsidRPr="00BF0C19">
        <w:rPr>
          <w:rFonts w:eastAsia="Calibri"/>
          <w:sz w:val="28"/>
          <w:szCs w:val="28"/>
          <w:vertAlign w:val="subscript"/>
          <w:lang w:eastAsia="en-US"/>
        </w:rPr>
        <w:t xml:space="preserve">7.9 </w:t>
      </w:r>
      <w:r w:rsidRPr="00BF0C19">
        <w:rPr>
          <w:rFonts w:eastAsia="Calibri"/>
          <w:sz w:val="28"/>
          <w:szCs w:val="28"/>
          <w:lang w:eastAsia="en-US"/>
        </w:rPr>
        <w:t xml:space="preserve">= </w:t>
      </w:r>
      <w:r>
        <w:rPr>
          <w:rFonts w:eastAsia="Calibri"/>
          <w:sz w:val="28"/>
          <w:szCs w:val="28"/>
          <w:lang w:eastAsia="en-US"/>
        </w:rPr>
        <w:t>8</w:t>
      </w:r>
      <w:r w:rsidRPr="00BF0C19">
        <w:rPr>
          <w:rFonts w:eastAsia="Calibri"/>
          <w:sz w:val="28"/>
          <w:szCs w:val="28"/>
          <w:lang w:eastAsia="en-US"/>
        </w:rPr>
        <w:t xml:space="preserve"> ед.</w:t>
      </w:r>
    </w:p>
    <w:p w:rsidR="0055491A" w:rsidRPr="00BF0C19" w:rsidRDefault="0055491A" w:rsidP="0055491A">
      <w:pPr>
        <w:tabs>
          <w:tab w:val="left" w:pos="3195"/>
        </w:tabs>
        <w:autoSpaceDE w:val="0"/>
        <w:autoSpaceDN w:val="0"/>
        <w:adjustRightInd w:val="0"/>
        <w:ind w:firstLine="709"/>
        <w:jc w:val="both"/>
        <w:rPr>
          <w:rFonts w:eastAsia="Calibri"/>
          <w:sz w:val="28"/>
          <w:szCs w:val="28"/>
          <w:lang w:eastAsia="en-US"/>
        </w:rPr>
      </w:pPr>
      <w:r w:rsidRPr="00BF0C19">
        <w:rPr>
          <w:rFonts w:eastAsia="Calibri"/>
          <w:sz w:val="28"/>
          <w:szCs w:val="28"/>
          <w:lang w:eastAsia="en-US"/>
        </w:rPr>
        <w:t>Таким образом, К</w:t>
      </w:r>
      <w:r w:rsidRPr="00BF0C19">
        <w:rPr>
          <w:rFonts w:eastAsia="Calibri"/>
          <w:sz w:val="28"/>
          <w:szCs w:val="28"/>
          <w:vertAlign w:val="superscript"/>
          <w:lang w:eastAsia="en-US"/>
        </w:rPr>
        <w:t>ср202</w:t>
      </w:r>
      <w:r>
        <w:rPr>
          <w:rFonts w:eastAsia="Calibri"/>
          <w:sz w:val="28"/>
          <w:szCs w:val="28"/>
          <w:vertAlign w:val="superscript"/>
          <w:lang w:eastAsia="en-US"/>
        </w:rPr>
        <w:t>2</w:t>
      </w:r>
      <w:r w:rsidRPr="00BF0C19">
        <w:rPr>
          <w:rFonts w:eastAsia="Calibri"/>
          <w:sz w:val="28"/>
          <w:szCs w:val="28"/>
          <w:vertAlign w:val="superscript"/>
          <w:lang w:eastAsia="en-US"/>
        </w:rPr>
        <w:t xml:space="preserve"> </w:t>
      </w:r>
      <w:r w:rsidRPr="00BF0C19">
        <w:rPr>
          <w:rFonts w:eastAsia="Calibri"/>
          <w:sz w:val="28"/>
          <w:szCs w:val="28"/>
          <w:vertAlign w:val="subscript"/>
          <w:lang w:eastAsia="en-US"/>
        </w:rPr>
        <w:t xml:space="preserve">7.2 </w:t>
      </w:r>
      <w:r w:rsidRPr="00BF0C19">
        <w:rPr>
          <w:rFonts w:eastAsia="Calibri"/>
          <w:sz w:val="28"/>
          <w:szCs w:val="28"/>
          <w:lang w:eastAsia="en-US"/>
        </w:rPr>
        <w:t>= (10+</w:t>
      </w:r>
      <w:r>
        <w:rPr>
          <w:rFonts w:eastAsia="Calibri"/>
          <w:sz w:val="28"/>
          <w:szCs w:val="28"/>
          <w:lang w:eastAsia="en-US"/>
        </w:rPr>
        <w:t>3+8</w:t>
      </w:r>
      <w:r w:rsidRPr="00BF0C19">
        <w:rPr>
          <w:rFonts w:eastAsia="Calibri"/>
          <w:sz w:val="28"/>
          <w:szCs w:val="28"/>
          <w:lang w:eastAsia="en-US"/>
        </w:rPr>
        <w:t xml:space="preserve">) / 3 = </w:t>
      </w:r>
      <w:r>
        <w:rPr>
          <w:rFonts w:eastAsia="Calibri"/>
          <w:sz w:val="28"/>
          <w:szCs w:val="28"/>
          <w:lang w:eastAsia="en-US"/>
        </w:rPr>
        <w:t>7</w:t>
      </w:r>
      <w:r w:rsidRPr="00BF0C19">
        <w:rPr>
          <w:rFonts w:eastAsia="Calibri"/>
          <w:sz w:val="28"/>
          <w:szCs w:val="28"/>
          <w:lang w:eastAsia="en-US"/>
        </w:rPr>
        <w:t xml:space="preserve"> (ед.)</w:t>
      </w:r>
    </w:p>
    <w:p w:rsidR="0055491A" w:rsidRPr="00BF0C19" w:rsidRDefault="0055491A" w:rsidP="0055491A">
      <w:pPr>
        <w:tabs>
          <w:tab w:val="left" w:pos="3195"/>
        </w:tabs>
        <w:autoSpaceDE w:val="0"/>
        <w:autoSpaceDN w:val="0"/>
        <w:adjustRightInd w:val="0"/>
        <w:ind w:firstLine="709"/>
        <w:jc w:val="both"/>
        <w:rPr>
          <w:rFonts w:eastAsia="Calibri"/>
          <w:sz w:val="28"/>
          <w:szCs w:val="28"/>
          <w:lang w:eastAsia="en-US"/>
        </w:rPr>
      </w:pPr>
      <w:r w:rsidRPr="00BF0C19">
        <w:rPr>
          <w:rFonts w:eastAsia="Calibri"/>
          <w:sz w:val="28"/>
          <w:szCs w:val="28"/>
          <w:lang w:eastAsia="en-US"/>
        </w:rPr>
        <w:t>Р</w:t>
      </w:r>
      <w:r w:rsidRPr="00BF0C19">
        <w:rPr>
          <w:rFonts w:eastAsia="Calibri"/>
          <w:sz w:val="28"/>
          <w:szCs w:val="28"/>
          <w:vertAlign w:val="superscript"/>
          <w:lang w:eastAsia="en-US"/>
        </w:rPr>
        <w:t xml:space="preserve">ср </w:t>
      </w:r>
      <w:r w:rsidRPr="00BF0C19">
        <w:rPr>
          <w:rFonts w:eastAsia="Calibri"/>
          <w:sz w:val="28"/>
          <w:szCs w:val="28"/>
          <w:vertAlign w:val="subscript"/>
          <w:lang w:eastAsia="en-US"/>
        </w:rPr>
        <w:t xml:space="preserve">7.9  </w:t>
      </w:r>
      <w:r w:rsidRPr="00BF0C19">
        <w:rPr>
          <w:rFonts w:eastAsia="Calibri"/>
          <w:sz w:val="28"/>
          <w:szCs w:val="28"/>
          <w:lang w:eastAsia="en-US"/>
        </w:rPr>
        <w:t xml:space="preserve">= </w:t>
      </w:r>
      <w:r>
        <w:rPr>
          <w:rFonts w:eastAsia="Calibri"/>
          <w:sz w:val="28"/>
          <w:szCs w:val="28"/>
          <w:lang w:eastAsia="en-US"/>
        </w:rPr>
        <w:t>16,7</w:t>
      </w:r>
      <w:r w:rsidRPr="00BF0C19">
        <w:rPr>
          <w:rFonts w:eastAsia="Calibri"/>
          <w:sz w:val="28"/>
          <w:szCs w:val="28"/>
          <w:lang w:eastAsia="en-US"/>
        </w:rPr>
        <w:t xml:space="preserve"> тыс. руб.</w:t>
      </w:r>
    </w:p>
    <w:p w:rsidR="0055491A" w:rsidRPr="00FA0BE5" w:rsidRDefault="0055491A" w:rsidP="0055491A">
      <w:pPr>
        <w:tabs>
          <w:tab w:val="left" w:pos="3195"/>
        </w:tabs>
        <w:autoSpaceDE w:val="0"/>
        <w:autoSpaceDN w:val="0"/>
        <w:adjustRightInd w:val="0"/>
        <w:ind w:firstLine="709"/>
        <w:jc w:val="both"/>
        <w:rPr>
          <w:rFonts w:eastAsia="Calibri"/>
          <w:b/>
          <w:sz w:val="28"/>
          <w:szCs w:val="28"/>
          <w:lang w:eastAsia="en-US"/>
        </w:rPr>
      </w:pPr>
      <w:r>
        <w:rPr>
          <w:rFonts w:eastAsia="Calibri"/>
          <w:sz w:val="28"/>
          <w:szCs w:val="28"/>
          <w:lang w:eastAsia="en-US"/>
        </w:rPr>
        <w:t>П</w:t>
      </w:r>
      <w:r w:rsidRPr="00BF0C19">
        <w:rPr>
          <w:rFonts w:eastAsia="Calibri"/>
          <w:sz w:val="28"/>
          <w:szCs w:val="28"/>
          <w:lang w:eastAsia="en-US"/>
        </w:rPr>
        <w:t xml:space="preserve">рогноз </w:t>
      </w:r>
      <w:r w:rsidRPr="00BF0C19">
        <w:rPr>
          <w:rFonts w:eastAsia="Calibri"/>
          <w:b/>
          <w:sz w:val="28"/>
          <w:szCs w:val="28"/>
          <w:lang w:eastAsia="en-US"/>
        </w:rPr>
        <w:t>на 202</w:t>
      </w:r>
      <w:r>
        <w:rPr>
          <w:rFonts w:eastAsia="Calibri"/>
          <w:b/>
          <w:sz w:val="28"/>
          <w:szCs w:val="28"/>
          <w:lang w:eastAsia="en-US"/>
        </w:rPr>
        <w:t>2</w:t>
      </w:r>
      <w:r w:rsidRPr="00BF0C19">
        <w:rPr>
          <w:rFonts w:eastAsia="Calibri"/>
          <w:b/>
          <w:sz w:val="28"/>
          <w:szCs w:val="28"/>
          <w:lang w:eastAsia="en-US"/>
        </w:rPr>
        <w:t xml:space="preserve"> год</w:t>
      </w:r>
      <w:r w:rsidRPr="00BF0C19">
        <w:rPr>
          <w:rFonts w:eastAsia="Calibri"/>
          <w:sz w:val="28"/>
          <w:szCs w:val="28"/>
          <w:lang w:eastAsia="en-US"/>
        </w:rPr>
        <w:t xml:space="preserve"> составит: П</w:t>
      </w:r>
      <w:r w:rsidRPr="00BF0C19">
        <w:rPr>
          <w:rFonts w:eastAsia="Calibri"/>
          <w:sz w:val="28"/>
          <w:szCs w:val="28"/>
          <w:vertAlign w:val="subscript"/>
          <w:lang w:eastAsia="en-US"/>
        </w:rPr>
        <w:t xml:space="preserve">7.9 </w:t>
      </w:r>
      <w:r w:rsidRPr="00BF0C19">
        <w:rPr>
          <w:rFonts w:eastAsia="Calibri"/>
          <w:sz w:val="28"/>
          <w:szCs w:val="28"/>
          <w:lang w:eastAsia="en-US"/>
        </w:rPr>
        <w:t>= 1</w:t>
      </w:r>
      <w:r>
        <w:rPr>
          <w:rFonts w:eastAsia="Calibri"/>
          <w:sz w:val="28"/>
          <w:szCs w:val="28"/>
          <w:lang w:eastAsia="en-US"/>
        </w:rPr>
        <w:t>6,7</w:t>
      </w:r>
      <w:r w:rsidRPr="00BF0C19">
        <w:rPr>
          <w:rFonts w:eastAsia="Calibri"/>
          <w:sz w:val="28"/>
          <w:szCs w:val="28"/>
          <w:lang w:eastAsia="en-US"/>
        </w:rPr>
        <w:t xml:space="preserve"> * </w:t>
      </w:r>
      <w:r>
        <w:rPr>
          <w:rFonts w:eastAsia="Calibri"/>
          <w:sz w:val="28"/>
          <w:szCs w:val="28"/>
          <w:lang w:eastAsia="en-US"/>
        </w:rPr>
        <w:t>7</w:t>
      </w:r>
      <w:r w:rsidRPr="00BF0C19">
        <w:rPr>
          <w:rFonts w:eastAsia="Calibri"/>
          <w:sz w:val="28"/>
          <w:szCs w:val="28"/>
          <w:lang w:eastAsia="en-US"/>
        </w:rPr>
        <w:t xml:space="preserve"> = </w:t>
      </w:r>
      <w:r w:rsidRPr="00FA0BE5">
        <w:rPr>
          <w:rFonts w:eastAsia="Calibri"/>
          <w:b/>
          <w:sz w:val="28"/>
          <w:szCs w:val="28"/>
          <w:lang w:eastAsia="en-US"/>
        </w:rPr>
        <w:t>116,9 тыс. руб.</w:t>
      </w:r>
    </w:p>
    <w:p w:rsidR="0055491A" w:rsidRPr="00BF0C19" w:rsidRDefault="0055491A" w:rsidP="0055491A">
      <w:pPr>
        <w:tabs>
          <w:tab w:val="left" w:pos="3195"/>
        </w:tabs>
        <w:autoSpaceDE w:val="0"/>
        <w:autoSpaceDN w:val="0"/>
        <w:adjustRightInd w:val="0"/>
        <w:ind w:firstLine="709"/>
        <w:jc w:val="both"/>
        <w:rPr>
          <w:rFonts w:eastAsia="Calibri"/>
          <w:b/>
          <w:sz w:val="28"/>
          <w:szCs w:val="28"/>
          <w:lang w:eastAsia="en-US"/>
        </w:rPr>
      </w:pPr>
      <w:r w:rsidRPr="00BF0C19">
        <w:rPr>
          <w:rFonts w:eastAsia="Calibri"/>
          <w:b/>
          <w:sz w:val="28"/>
          <w:szCs w:val="28"/>
          <w:lang w:eastAsia="en-US"/>
        </w:rPr>
        <w:t>Определение прогноза на 202</w:t>
      </w:r>
      <w:r>
        <w:rPr>
          <w:rFonts w:eastAsia="Calibri"/>
          <w:b/>
          <w:sz w:val="28"/>
          <w:szCs w:val="28"/>
          <w:lang w:eastAsia="en-US"/>
        </w:rPr>
        <w:t>3</w:t>
      </w:r>
      <w:r w:rsidRPr="00BF0C19">
        <w:rPr>
          <w:rFonts w:eastAsia="Calibri"/>
          <w:b/>
          <w:sz w:val="28"/>
          <w:szCs w:val="28"/>
          <w:lang w:eastAsia="en-US"/>
        </w:rPr>
        <w:t xml:space="preserve"> год:</w:t>
      </w:r>
    </w:p>
    <w:p w:rsidR="0055491A" w:rsidRPr="00BF0C19" w:rsidRDefault="0055491A" w:rsidP="0055491A">
      <w:pPr>
        <w:tabs>
          <w:tab w:val="left" w:pos="3195"/>
        </w:tabs>
        <w:autoSpaceDE w:val="0"/>
        <w:autoSpaceDN w:val="0"/>
        <w:adjustRightInd w:val="0"/>
        <w:ind w:firstLine="709"/>
        <w:jc w:val="both"/>
        <w:rPr>
          <w:rFonts w:eastAsia="Calibri"/>
          <w:sz w:val="28"/>
          <w:szCs w:val="28"/>
          <w:lang w:eastAsia="en-US"/>
        </w:rPr>
      </w:pPr>
      <w:r w:rsidRPr="00BF0C19">
        <w:rPr>
          <w:rFonts w:eastAsia="Calibri"/>
          <w:sz w:val="28"/>
          <w:szCs w:val="28"/>
          <w:lang w:eastAsia="en-US"/>
        </w:rPr>
        <w:t>Согласно данным отраслевой отчетности за 20</w:t>
      </w:r>
      <w:r>
        <w:rPr>
          <w:rFonts w:eastAsia="Calibri"/>
          <w:sz w:val="28"/>
          <w:szCs w:val="28"/>
          <w:lang w:eastAsia="en-US"/>
        </w:rPr>
        <w:t>20</w:t>
      </w:r>
      <w:r w:rsidRPr="00BF0C19">
        <w:rPr>
          <w:rFonts w:eastAsia="Calibri"/>
          <w:sz w:val="28"/>
          <w:szCs w:val="28"/>
          <w:lang w:eastAsia="en-US"/>
        </w:rPr>
        <w:t xml:space="preserve"> год по форме 8-ОИП, утвержденной приказом Минприроды России от 28.12.2015 № 565, количество случаев </w:t>
      </w:r>
      <w:r w:rsidRPr="00BF0C19">
        <w:rPr>
          <w:sz w:val="28"/>
          <w:szCs w:val="28"/>
        </w:rPr>
        <w:t xml:space="preserve">административных правонарушений, предусмотренных </w:t>
      </w:r>
      <w:hyperlink r:id="rId47" w:history="1">
        <w:r w:rsidRPr="00BF0C19">
          <w:rPr>
            <w:sz w:val="28"/>
            <w:szCs w:val="28"/>
          </w:rPr>
          <w:t>статьей 7.9</w:t>
        </w:r>
      </w:hyperlink>
      <w:r w:rsidRPr="00BF0C19">
        <w:rPr>
          <w:sz w:val="28"/>
          <w:szCs w:val="28"/>
        </w:rPr>
        <w:t xml:space="preserve"> КоАП РФ,</w:t>
      </w:r>
      <w:r w:rsidRPr="00BF0C19">
        <w:rPr>
          <w:rFonts w:eastAsia="Calibri"/>
          <w:sz w:val="28"/>
          <w:szCs w:val="28"/>
          <w:lang w:eastAsia="en-US"/>
        </w:rPr>
        <w:t xml:space="preserve"> составляет: в 20</w:t>
      </w:r>
      <w:r>
        <w:rPr>
          <w:rFonts w:eastAsia="Calibri"/>
          <w:sz w:val="28"/>
          <w:szCs w:val="28"/>
          <w:lang w:eastAsia="en-US"/>
        </w:rPr>
        <w:t>20</w:t>
      </w:r>
      <w:r w:rsidRPr="00BF0C19">
        <w:rPr>
          <w:rFonts w:eastAsia="Calibri"/>
          <w:sz w:val="28"/>
          <w:szCs w:val="28"/>
          <w:lang w:eastAsia="en-US"/>
        </w:rPr>
        <w:t xml:space="preserve"> году – </w:t>
      </w:r>
      <w:r>
        <w:rPr>
          <w:rFonts w:eastAsia="Calibri"/>
          <w:sz w:val="28"/>
          <w:szCs w:val="28"/>
          <w:lang w:eastAsia="en-US"/>
        </w:rPr>
        <w:t>3</w:t>
      </w:r>
      <w:r w:rsidRPr="00BF0C19">
        <w:rPr>
          <w:rFonts w:eastAsia="Calibri"/>
          <w:sz w:val="28"/>
          <w:szCs w:val="28"/>
          <w:lang w:eastAsia="en-US"/>
        </w:rPr>
        <w:t xml:space="preserve"> ед.</w:t>
      </w:r>
    </w:p>
    <w:p w:rsidR="0055491A" w:rsidRPr="00BF0C19" w:rsidRDefault="0055491A" w:rsidP="0055491A">
      <w:pPr>
        <w:tabs>
          <w:tab w:val="left" w:pos="3195"/>
        </w:tabs>
        <w:autoSpaceDE w:val="0"/>
        <w:autoSpaceDN w:val="0"/>
        <w:adjustRightInd w:val="0"/>
        <w:ind w:firstLine="709"/>
        <w:jc w:val="both"/>
        <w:rPr>
          <w:rFonts w:eastAsia="Calibri"/>
          <w:sz w:val="28"/>
          <w:szCs w:val="28"/>
          <w:lang w:eastAsia="en-US"/>
        </w:rPr>
      </w:pPr>
      <w:r w:rsidRPr="00BF0C19">
        <w:rPr>
          <w:rFonts w:eastAsia="Calibri"/>
          <w:sz w:val="28"/>
          <w:szCs w:val="28"/>
          <w:lang w:eastAsia="en-US"/>
        </w:rPr>
        <w:t xml:space="preserve">Количество случаев </w:t>
      </w:r>
      <w:r w:rsidRPr="00BF0C19">
        <w:rPr>
          <w:sz w:val="28"/>
          <w:szCs w:val="28"/>
        </w:rPr>
        <w:t xml:space="preserve">административных правонарушений, предусмотренных </w:t>
      </w:r>
      <w:hyperlink r:id="rId48" w:history="1">
        <w:r w:rsidRPr="00BF0C19">
          <w:rPr>
            <w:sz w:val="28"/>
            <w:szCs w:val="28"/>
          </w:rPr>
          <w:t>статьей 7.9</w:t>
        </w:r>
      </w:hyperlink>
      <w:r w:rsidRPr="00BF0C19">
        <w:rPr>
          <w:sz w:val="28"/>
          <w:szCs w:val="28"/>
        </w:rPr>
        <w:t xml:space="preserve"> КоАП РФ, в 202</w:t>
      </w:r>
      <w:r>
        <w:rPr>
          <w:sz w:val="28"/>
          <w:szCs w:val="28"/>
        </w:rPr>
        <w:t>1</w:t>
      </w:r>
      <w:r w:rsidRPr="00BF0C19">
        <w:rPr>
          <w:sz w:val="28"/>
          <w:szCs w:val="28"/>
        </w:rPr>
        <w:t xml:space="preserve"> г. принимаем равное </w:t>
      </w:r>
      <w:r w:rsidRPr="00BF0C19">
        <w:rPr>
          <w:rFonts w:eastAsia="Calibri"/>
          <w:sz w:val="28"/>
          <w:szCs w:val="28"/>
          <w:lang w:eastAsia="en-US"/>
        </w:rPr>
        <w:t>К</w:t>
      </w:r>
      <w:r w:rsidRPr="00BF0C19">
        <w:rPr>
          <w:rFonts w:eastAsia="Calibri"/>
          <w:sz w:val="28"/>
          <w:szCs w:val="28"/>
          <w:vertAlign w:val="superscript"/>
          <w:lang w:eastAsia="en-US"/>
        </w:rPr>
        <w:t>ср202</w:t>
      </w:r>
      <w:r>
        <w:rPr>
          <w:rFonts w:eastAsia="Calibri"/>
          <w:sz w:val="28"/>
          <w:szCs w:val="28"/>
          <w:vertAlign w:val="superscript"/>
          <w:lang w:eastAsia="en-US"/>
        </w:rPr>
        <w:t>1</w:t>
      </w:r>
      <w:r w:rsidRPr="00BF0C19">
        <w:rPr>
          <w:rFonts w:eastAsia="Calibri"/>
          <w:sz w:val="28"/>
          <w:szCs w:val="28"/>
          <w:vertAlign w:val="superscript"/>
          <w:lang w:eastAsia="en-US"/>
        </w:rPr>
        <w:t xml:space="preserve"> </w:t>
      </w:r>
      <w:r w:rsidRPr="00BF0C19">
        <w:rPr>
          <w:rFonts w:eastAsia="Calibri"/>
          <w:sz w:val="28"/>
          <w:szCs w:val="28"/>
          <w:vertAlign w:val="subscript"/>
          <w:lang w:eastAsia="en-US"/>
        </w:rPr>
        <w:t xml:space="preserve">7.9 </w:t>
      </w:r>
      <w:r w:rsidRPr="00BF0C19">
        <w:rPr>
          <w:rFonts w:eastAsia="Calibri"/>
          <w:sz w:val="28"/>
          <w:szCs w:val="28"/>
          <w:lang w:eastAsia="en-US"/>
        </w:rPr>
        <w:t xml:space="preserve">= </w:t>
      </w:r>
      <w:r>
        <w:rPr>
          <w:rFonts w:eastAsia="Calibri"/>
          <w:sz w:val="28"/>
          <w:szCs w:val="28"/>
          <w:lang w:eastAsia="en-US"/>
        </w:rPr>
        <w:t>8</w:t>
      </w:r>
      <w:r w:rsidRPr="00BF0C19">
        <w:rPr>
          <w:rFonts w:eastAsia="Calibri"/>
          <w:sz w:val="28"/>
          <w:szCs w:val="28"/>
          <w:lang w:eastAsia="en-US"/>
        </w:rPr>
        <w:t xml:space="preserve"> ед.</w:t>
      </w:r>
    </w:p>
    <w:p w:rsidR="0055491A" w:rsidRPr="00BF0C19" w:rsidRDefault="0055491A" w:rsidP="0055491A">
      <w:pPr>
        <w:tabs>
          <w:tab w:val="left" w:pos="3195"/>
        </w:tabs>
        <w:autoSpaceDE w:val="0"/>
        <w:autoSpaceDN w:val="0"/>
        <w:adjustRightInd w:val="0"/>
        <w:ind w:firstLine="709"/>
        <w:jc w:val="both"/>
        <w:rPr>
          <w:rFonts w:eastAsia="Calibri"/>
          <w:sz w:val="28"/>
          <w:szCs w:val="28"/>
          <w:lang w:eastAsia="en-US"/>
        </w:rPr>
      </w:pPr>
      <w:r w:rsidRPr="00BF0C19">
        <w:rPr>
          <w:rFonts w:eastAsia="Calibri"/>
          <w:sz w:val="28"/>
          <w:szCs w:val="28"/>
          <w:lang w:eastAsia="en-US"/>
        </w:rPr>
        <w:t xml:space="preserve">Количество случаев </w:t>
      </w:r>
      <w:r w:rsidRPr="00BF0C19">
        <w:rPr>
          <w:sz w:val="28"/>
          <w:szCs w:val="28"/>
        </w:rPr>
        <w:t xml:space="preserve">административных правонарушений, предусмотренных </w:t>
      </w:r>
      <w:hyperlink r:id="rId49" w:history="1">
        <w:r w:rsidRPr="00BF0C19">
          <w:rPr>
            <w:sz w:val="28"/>
            <w:szCs w:val="28"/>
          </w:rPr>
          <w:t>статьей 7.9</w:t>
        </w:r>
      </w:hyperlink>
      <w:r w:rsidRPr="00BF0C19">
        <w:rPr>
          <w:sz w:val="28"/>
          <w:szCs w:val="28"/>
        </w:rPr>
        <w:t xml:space="preserve"> КоАП РФ, в 202</w:t>
      </w:r>
      <w:r>
        <w:rPr>
          <w:sz w:val="28"/>
          <w:szCs w:val="28"/>
        </w:rPr>
        <w:t>2</w:t>
      </w:r>
      <w:r w:rsidRPr="00BF0C19">
        <w:rPr>
          <w:sz w:val="28"/>
          <w:szCs w:val="28"/>
        </w:rPr>
        <w:t xml:space="preserve"> г. принимаем равное </w:t>
      </w:r>
      <w:r w:rsidRPr="00BF0C19">
        <w:rPr>
          <w:rFonts w:eastAsia="Calibri"/>
          <w:sz w:val="28"/>
          <w:szCs w:val="28"/>
          <w:lang w:eastAsia="en-US"/>
        </w:rPr>
        <w:t>К</w:t>
      </w:r>
      <w:r w:rsidRPr="00BF0C19">
        <w:rPr>
          <w:rFonts w:eastAsia="Calibri"/>
          <w:sz w:val="28"/>
          <w:szCs w:val="28"/>
          <w:vertAlign w:val="superscript"/>
          <w:lang w:eastAsia="en-US"/>
        </w:rPr>
        <w:t>ср202</w:t>
      </w:r>
      <w:r>
        <w:rPr>
          <w:rFonts w:eastAsia="Calibri"/>
          <w:sz w:val="28"/>
          <w:szCs w:val="28"/>
          <w:vertAlign w:val="superscript"/>
          <w:lang w:eastAsia="en-US"/>
        </w:rPr>
        <w:t>2</w:t>
      </w:r>
      <w:r w:rsidRPr="00BF0C19">
        <w:rPr>
          <w:rFonts w:eastAsia="Calibri"/>
          <w:sz w:val="28"/>
          <w:szCs w:val="28"/>
          <w:vertAlign w:val="superscript"/>
          <w:lang w:eastAsia="en-US"/>
        </w:rPr>
        <w:t xml:space="preserve"> </w:t>
      </w:r>
      <w:r w:rsidRPr="00BF0C19">
        <w:rPr>
          <w:rFonts w:eastAsia="Calibri"/>
          <w:sz w:val="28"/>
          <w:szCs w:val="28"/>
          <w:vertAlign w:val="subscript"/>
          <w:lang w:eastAsia="en-US"/>
        </w:rPr>
        <w:t xml:space="preserve">7.9 </w:t>
      </w:r>
      <w:r w:rsidRPr="00BF0C19">
        <w:rPr>
          <w:rFonts w:eastAsia="Calibri"/>
          <w:sz w:val="28"/>
          <w:szCs w:val="28"/>
          <w:lang w:eastAsia="en-US"/>
        </w:rPr>
        <w:t xml:space="preserve">= </w:t>
      </w:r>
      <w:r>
        <w:rPr>
          <w:rFonts w:eastAsia="Calibri"/>
          <w:sz w:val="28"/>
          <w:szCs w:val="28"/>
          <w:lang w:eastAsia="en-US"/>
        </w:rPr>
        <w:t>7</w:t>
      </w:r>
      <w:r w:rsidRPr="00BF0C19">
        <w:rPr>
          <w:rFonts w:eastAsia="Calibri"/>
          <w:sz w:val="28"/>
          <w:szCs w:val="28"/>
          <w:lang w:eastAsia="en-US"/>
        </w:rPr>
        <w:t xml:space="preserve"> ед.</w:t>
      </w:r>
    </w:p>
    <w:p w:rsidR="0055491A" w:rsidRPr="00BF0C19" w:rsidRDefault="0055491A" w:rsidP="0055491A">
      <w:pPr>
        <w:tabs>
          <w:tab w:val="left" w:pos="3195"/>
        </w:tabs>
        <w:autoSpaceDE w:val="0"/>
        <w:autoSpaceDN w:val="0"/>
        <w:adjustRightInd w:val="0"/>
        <w:ind w:firstLine="709"/>
        <w:jc w:val="both"/>
        <w:rPr>
          <w:rFonts w:eastAsia="Calibri"/>
          <w:sz w:val="28"/>
          <w:szCs w:val="28"/>
          <w:lang w:eastAsia="en-US"/>
        </w:rPr>
      </w:pPr>
      <w:r w:rsidRPr="00BF0C19">
        <w:rPr>
          <w:rFonts w:eastAsia="Calibri"/>
          <w:sz w:val="28"/>
          <w:szCs w:val="28"/>
          <w:lang w:eastAsia="en-US"/>
        </w:rPr>
        <w:t>Таким образом, К</w:t>
      </w:r>
      <w:r w:rsidRPr="00BF0C19">
        <w:rPr>
          <w:rFonts w:eastAsia="Calibri"/>
          <w:sz w:val="28"/>
          <w:szCs w:val="28"/>
          <w:vertAlign w:val="superscript"/>
          <w:lang w:eastAsia="en-US"/>
        </w:rPr>
        <w:t>ср202</w:t>
      </w:r>
      <w:r>
        <w:rPr>
          <w:rFonts w:eastAsia="Calibri"/>
          <w:sz w:val="28"/>
          <w:szCs w:val="28"/>
          <w:vertAlign w:val="superscript"/>
          <w:lang w:eastAsia="en-US"/>
        </w:rPr>
        <w:t>3</w:t>
      </w:r>
      <w:r w:rsidRPr="00BF0C19">
        <w:rPr>
          <w:rFonts w:eastAsia="Calibri"/>
          <w:sz w:val="28"/>
          <w:szCs w:val="28"/>
          <w:vertAlign w:val="superscript"/>
          <w:lang w:eastAsia="en-US"/>
        </w:rPr>
        <w:t xml:space="preserve"> </w:t>
      </w:r>
      <w:r w:rsidRPr="00BF0C19">
        <w:rPr>
          <w:rFonts w:eastAsia="Calibri"/>
          <w:sz w:val="28"/>
          <w:szCs w:val="28"/>
          <w:vertAlign w:val="subscript"/>
          <w:lang w:eastAsia="en-US"/>
        </w:rPr>
        <w:t xml:space="preserve">7.9. </w:t>
      </w:r>
      <w:r w:rsidRPr="00BF0C19">
        <w:rPr>
          <w:rFonts w:eastAsia="Calibri"/>
          <w:sz w:val="28"/>
          <w:szCs w:val="28"/>
          <w:lang w:eastAsia="en-US"/>
        </w:rPr>
        <w:t>= (</w:t>
      </w:r>
      <w:r>
        <w:rPr>
          <w:rFonts w:eastAsia="Calibri"/>
          <w:sz w:val="28"/>
          <w:szCs w:val="28"/>
          <w:lang w:eastAsia="en-US"/>
        </w:rPr>
        <w:t>3</w:t>
      </w:r>
      <w:r w:rsidRPr="00BF0C19">
        <w:rPr>
          <w:rFonts w:eastAsia="Calibri"/>
          <w:sz w:val="28"/>
          <w:szCs w:val="28"/>
          <w:lang w:eastAsia="en-US"/>
        </w:rPr>
        <w:t>+</w:t>
      </w:r>
      <w:r>
        <w:rPr>
          <w:rFonts w:eastAsia="Calibri"/>
          <w:sz w:val="28"/>
          <w:szCs w:val="28"/>
          <w:lang w:eastAsia="en-US"/>
        </w:rPr>
        <w:t>8</w:t>
      </w:r>
      <w:r w:rsidRPr="00BF0C19">
        <w:rPr>
          <w:rFonts w:eastAsia="Calibri"/>
          <w:sz w:val="28"/>
          <w:szCs w:val="28"/>
          <w:lang w:eastAsia="en-US"/>
        </w:rPr>
        <w:t>+</w:t>
      </w:r>
      <w:r>
        <w:rPr>
          <w:rFonts w:eastAsia="Calibri"/>
          <w:sz w:val="28"/>
          <w:szCs w:val="28"/>
          <w:lang w:eastAsia="en-US"/>
        </w:rPr>
        <w:t>7</w:t>
      </w:r>
      <w:r w:rsidRPr="00BF0C19">
        <w:rPr>
          <w:rFonts w:eastAsia="Calibri"/>
          <w:sz w:val="28"/>
          <w:szCs w:val="28"/>
          <w:lang w:eastAsia="en-US"/>
        </w:rPr>
        <w:t xml:space="preserve">) / 3 = </w:t>
      </w:r>
      <w:r>
        <w:rPr>
          <w:rFonts w:eastAsia="Calibri"/>
          <w:sz w:val="28"/>
          <w:szCs w:val="28"/>
          <w:lang w:eastAsia="en-US"/>
        </w:rPr>
        <w:t>6</w:t>
      </w:r>
      <w:r w:rsidRPr="00BF0C19">
        <w:rPr>
          <w:rFonts w:eastAsia="Calibri"/>
          <w:sz w:val="28"/>
          <w:szCs w:val="28"/>
          <w:lang w:eastAsia="en-US"/>
        </w:rPr>
        <w:t xml:space="preserve"> (ед.)</w:t>
      </w:r>
    </w:p>
    <w:p w:rsidR="0055491A" w:rsidRPr="00BF0C19" w:rsidRDefault="0055491A" w:rsidP="0055491A">
      <w:pPr>
        <w:tabs>
          <w:tab w:val="left" w:pos="3195"/>
        </w:tabs>
        <w:autoSpaceDE w:val="0"/>
        <w:autoSpaceDN w:val="0"/>
        <w:adjustRightInd w:val="0"/>
        <w:ind w:firstLine="709"/>
        <w:jc w:val="both"/>
        <w:rPr>
          <w:rFonts w:eastAsia="Calibri"/>
          <w:sz w:val="28"/>
          <w:szCs w:val="28"/>
          <w:lang w:eastAsia="en-US"/>
        </w:rPr>
      </w:pPr>
      <w:r w:rsidRPr="00BF0C19">
        <w:rPr>
          <w:rFonts w:eastAsia="Calibri"/>
          <w:sz w:val="28"/>
          <w:szCs w:val="28"/>
          <w:lang w:eastAsia="en-US"/>
        </w:rPr>
        <w:t>Р</w:t>
      </w:r>
      <w:r w:rsidRPr="00BF0C19">
        <w:rPr>
          <w:rFonts w:eastAsia="Calibri"/>
          <w:sz w:val="28"/>
          <w:szCs w:val="28"/>
          <w:vertAlign w:val="superscript"/>
          <w:lang w:eastAsia="en-US"/>
        </w:rPr>
        <w:t xml:space="preserve">ср </w:t>
      </w:r>
      <w:r w:rsidRPr="00BF0C19">
        <w:rPr>
          <w:rFonts w:eastAsia="Calibri"/>
          <w:sz w:val="28"/>
          <w:szCs w:val="28"/>
          <w:vertAlign w:val="subscript"/>
          <w:lang w:eastAsia="en-US"/>
        </w:rPr>
        <w:t xml:space="preserve">7.9 </w:t>
      </w:r>
      <w:r w:rsidRPr="00BF0C19">
        <w:rPr>
          <w:rFonts w:eastAsia="Calibri"/>
          <w:sz w:val="28"/>
          <w:szCs w:val="28"/>
          <w:lang w:eastAsia="en-US"/>
        </w:rPr>
        <w:t xml:space="preserve">= </w:t>
      </w:r>
      <w:r>
        <w:rPr>
          <w:rFonts w:eastAsia="Calibri"/>
          <w:sz w:val="28"/>
          <w:szCs w:val="28"/>
          <w:lang w:eastAsia="en-US"/>
        </w:rPr>
        <w:t>16,7</w:t>
      </w:r>
      <w:r w:rsidRPr="00BF0C19">
        <w:rPr>
          <w:rFonts w:eastAsia="Calibri"/>
          <w:sz w:val="28"/>
          <w:szCs w:val="28"/>
          <w:lang w:eastAsia="en-US"/>
        </w:rPr>
        <w:t xml:space="preserve"> тыс. руб.</w:t>
      </w:r>
    </w:p>
    <w:p w:rsidR="0055491A" w:rsidRPr="00BF0C19" w:rsidRDefault="0055491A" w:rsidP="0055491A">
      <w:pPr>
        <w:tabs>
          <w:tab w:val="left" w:pos="3195"/>
        </w:tabs>
        <w:autoSpaceDE w:val="0"/>
        <w:autoSpaceDN w:val="0"/>
        <w:adjustRightInd w:val="0"/>
        <w:ind w:firstLine="709"/>
        <w:jc w:val="both"/>
        <w:rPr>
          <w:rFonts w:eastAsia="Calibri"/>
          <w:sz w:val="28"/>
          <w:szCs w:val="28"/>
          <w:lang w:eastAsia="en-US"/>
        </w:rPr>
      </w:pPr>
      <w:r>
        <w:rPr>
          <w:rFonts w:eastAsia="Calibri"/>
          <w:sz w:val="28"/>
          <w:szCs w:val="28"/>
          <w:lang w:eastAsia="en-US"/>
        </w:rPr>
        <w:t>П</w:t>
      </w:r>
      <w:r w:rsidRPr="00BF0C19">
        <w:rPr>
          <w:rFonts w:eastAsia="Calibri"/>
          <w:sz w:val="28"/>
          <w:szCs w:val="28"/>
          <w:lang w:eastAsia="en-US"/>
        </w:rPr>
        <w:t xml:space="preserve">рогноз </w:t>
      </w:r>
      <w:r w:rsidRPr="00BF0C19">
        <w:rPr>
          <w:rFonts w:eastAsia="Calibri"/>
          <w:b/>
          <w:sz w:val="28"/>
          <w:szCs w:val="28"/>
          <w:lang w:eastAsia="en-US"/>
        </w:rPr>
        <w:t>на 202</w:t>
      </w:r>
      <w:r>
        <w:rPr>
          <w:rFonts w:eastAsia="Calibri"/>
          <w:b/>
          <w:sz w:val="28"/>
          <w:szCs w:val="28"/>
          <w:lang w:eastAsia="en-US"/>
        </w:rPr>
        <w:t>3</w:t>
      </w:r>
      <w:r w:rsidRPr="00BF0C19">
        <w:rPr>
          <w:rFonts w:eastAsia="Calibri"/>
          <w:b/>
          <w:sz w:val="28"/>
          <w:szCs w:val="28"/>
          <w:lang w:eastAsia="en-US"/>
        </w:rPr>
        <w:t xml:space="preserve"> год</w:t>
      </w:r>
      <w:r w:rsidRPr="00BF0C19">
        <w:rPr>
          <w:rFonts w:eastAsia="Calibri"/>
          <w:sz w:val="28"/>
          <w:szCs w:val="28"/>
          <w:lang w:eastAsia="en-US"/>
        </w:rPr>
        <w:t xml:space="preserve"> составит: П</w:t>
      </w:r>
      <w:r w:rsidRPr="00BF0C19">
        <w:rPr>
          <w:rFonts w:eastAsia="Calibri"/>
          <w:sz w:val="28"/>
          <w:szCs w:val="28"/>
          <w:vertAlign w:val="subscript"/>
          <w:lang w:eastAsia="en-US"/>
        </w:rPr>
        <w:t xml:space="preserve">7.9 </w:t>
      </w:r>
      <w:r w:rsidRPr="00BF0C19">
        <w:rPr>
          <w:rFonts w:eastAsia="Calibri"/>
          <w:sz w:val="28"/>
          <w:szCs w:val="28"/>
          <w:lang w:eastAsia="en-US"/>
        </w:rPr>
        <w:t xml:space="preserve">= </w:t>
      </w:r>
      <w:r>
        <w:rPr>
          <w:rFonts w:eastAsia="Calibri"/>
          <w:sz w:val="28"/>
          <w:szCs w:val="28"/>
          <w:lang w:eastAsia="en-US"/>
        </w:rPr>
        <w:t>6</w:t>
      </w:r>
      <w:r w:rsidRPr="00BF0C19">
        <w:rPr>
          <w:rFonts w:eastAsia="Calibri"/>
          <w:sz w:val="28"/>
          <w:szCs w:val="28"/>
          <w:lang w:eastAsia="en-US"/>
        </w:rPr>
        <w:t xml:space="preserve"> * </w:t>
      </w:r>
      <w:r>
        <w:rPr>
          <w:rFonts w:eastAsia="Calibri"/>
          <w:sz w:val="28"/>
          <w:szCs w:val="28"/>
          <w:lang w:eastAsia="en-US"/>
        </w:rPr>
        <w:t>16,7</w:t>
      </w:r>
      <w:r w:rsidRPr="00BF0C19">
        <w:rPr>
          <w:rFonts w:eastAsia="Calibri"/>
          <w:sz w:val="28"/>
          <w:szCs w:val="28"/>
          <w:lang w:eastAsia="en-US"/>
        </w:rPr>
        <w:t xml:space="preserve"> = </w:t>
      </w:r>
      <w:r>
        <w:rPr>
          <w:rFonts w:eastAsia="Calibri"/>
          <w:b/>
          <w:sz w:val="28"/>
          <w:szCs w:val="28"/>
          <w:lang w:eastAsia="en-US"/>
        </w:rPr>
        <w:t>100,2</w:t>
      </w:r>
      <w:r w:rsidRPr="00BF0C19">
        <w:rPr>
          <w:rFonts w:eastAsia="Calibri"/>
          <w:b/>
          <w:sz w:val="28"/>
          <w:szCs w:val="28"/>
          <w:lang w:eastAsia="en-US"/>
        </w:rPr>
        <w:t xml:space="preserve"> </w:t>
      </w:r>
      <w:r w:rsidRPr="00BF0C19">
        <w:rPr>
          <w:rFonts w:eastAsia="Calibri"/>
          <w:sz w:val="28"/>
          <w:szCs w:val="28"/>
          <w:lang w:eastAsia="en-US"/>
        </w:rPr>
        <w:t>тыс.</w:t>
      </w:r>
      <w:r w:rsidRPr="00BF0C19">
        <w:rPr>
          <w:rFonts w:eastAsia="Calibri"/>
          <w:b/>
          <w:sz w:val="28"/>
          <w:szCs w:val="28"/>
          <w:lang w:eastAsia="en-US"/>
        </w:rPr>
        <w:t xml:space="preserve"> </w:t>
      </w:r>
      <w:r w:rsidRPr="00BF0C19">
        <w:rPr>
          <w:rFonts w:eastAsia="Calibri"/>
          <w:sz w:val="28"/>
          <w:szCs w:val="28"/>
          <w:lang w:eastAsia="en-US"/>
        </w:rPr>
        <w:t xml:space="preserve">руб. </w:t>
      </w:r>
    </w:p>
    <w:p w:rsidR="0055491A" w:rsidRPr="00BF0C19" w:rsidRDefault="0055491A" w:rsidP="0055491A">
      <w:pPr>
        <w:tabs>
          <w:tab w:val="left" w:pos="3195"/>
        </w:tabs>
        <w:autoSpaceDE w:val="0"/>
        <w:autoSpaceDN w:val="0"/>
        <w:adjustRightInd w:val="0"/>
        <w:ind w:firstLine="709"/>
        <w:jc w:val="both"/>
        <w:rPr>
          <w:rFonts w:eastAsia="Calibri"/>
          <w:b/>
          <w:sz w:val="28"/>
          <w:szCs w:val="28"/>
          <w:lang w:eastAsia="en-US"/>
        </w:rPr>
      </w:pPr>
      <w:r w:rsidRPr="00BF0C19">
        <w:rPr>
          <w:rFonts w:eastAsia="Calibri"/>
          <w:b/>
          <w:sz w:val="28"/>
          <w:szCs w:val="28"/>
          <w:lang w:eastAsia="en-US"/>
        </w:rPr>
        <w:t>Определение прогноза на 202</w:t>
      </w:r>
      <w:r>
        <w:rPr>
          <w:rFonts w:eastAsia="Calibri"/>
          <w:b/>
          <w:sz w:val="28"/>
          <w:szCs w:val="28"/>
          <w:lang w:eastAsia="en-US"/>
        </w:rPr>
        <w:t>4</w:t>
      </w:r>
      <w:r w:rsidRPr="00BF0C19">
        <w:rPr>
          <w:rFonts w:eastAsia="Calibri"/>
          <w:b/>
          <w:sz w:val="28"/>
          <w:szCs w:val="28"/>
          <w:lang w:eastAsia="en-US"/>
        </w:rPr>
        <w:t xml:space="preserve"> год:</w:t>
      </w:r>
    </w:p>
    <w:p w:rsidR="0055491A" w:rsidRPr="00BF0C19" w:rsidRDefault="0055491A" w:rsidP="0055491A">
      <w:pPr>
        <w:tabs>
          <w:tab w:val="left" w:pos="3195"/>
        </w:tabs>
        <w:autoSpaceDE w:val="0"/>
        <w:autoSpaceDN w:val="0"/>
        <w:adjustRightInd w:val="0"/>
        <w:ind w:firstLine="709"/>
        <w:jc w:val="both"/>
        <w:rPr>
          <w:sz w:val="28"/>
          <w:szCs w:val="28"/>
        </w:rPr>
      </w:pPr>
      <w:r w:rsidRPr="00BF0C19">
        <w:rPr>
          <w:rFonts w:eastAsia="Calibri"/>
          <w:sz w:val="28"/>
          <w:szCs w:val="28"/>
          <w:lang w:eastAsia="en-US"/>
        </w:rPr>
        <w:t>Согласно методике</w:t>
      </w:r>
      <w:r w:rsidRPr="00BF0C19">
        <w:rPr>
          <w:sz w:val="28"/>
          <w:szCs w:val="28"/>
        </w:rPr>
        <w:t xml:space="preserve"> прогнозирования поступлений доходов</w:t>
      </w:r>
      <w:r w:rsidRPr="00BF0C19">
        <w:rPr>
          <w:rFonts w:eastAsia="Calibri"/>
          <w:sz w:val="28"/>
          <w:szCs w:val="28"/>
          <w:lang w:eastAsia="en-US"/>
        </w:rPr>
        <w:t>, п</w:t>
      </w:r>
      <w:r w:rsidRPr="00BF0C19">
        <w:rPr>
          <w:sz w:val="28"/>
          <w:szCs w:val="28"/>
        </w:rPr>
        <w:t xml:space="preserve">рогноз на второй год планового периода принимается на уровне прогноза первого года планового периода. </w:t>
      </w:r>
    </w:p>
    <w:p w:rsidR="0055491A" w:rsidRPr="00BF0C19" w:rsidRDefault="0055491A" w:rsidP="0055491A">
      <w:pPr>
        <w:tabs>
          <w:tab w:val="left" w:pos="3195"/>
        </w:tabs>
        <w:autoSpaceDE w:val="0"/>
        <w:autoSpaceDN w:val="0"/>
        <w:adjustRightInd w:val="0"/>
        <w:ind w:firstLine="709"/>
        <w:jc w:val="both"/>
        <w:rPr>
          <w:rFonts w:eastAsia="Calibri"/>
          <w:sz w:val="28"/>
          <w:szCs w:val="28"/>
          <w:lang w:eastAsia="en-US"/>
        </w:rPr>
      </w:pPr>
      <w:r w:rsidRPr="00BF0C19">
        <w:rPr>
          <w:sz w:val="28"/>
          <w:szCs w:val="28"/>
        </w:rPr>
        <w:t xml:space="preserve">Таким образом, </w:t>
      </w:r>
      <w:r w:rsidRPr="00BF0C19">
        <w:rPr>
          <w:rFonts w:eastAsia="Calibri"/>
          <w:sz w:val="28"/>
          <w:szCs w:val="28"/>
          <w:lang w:eastAsia="en-US"/>
        </w:rPr>
        <w:t xml:space="preserve">прогноз на </w:t>
      </w:r>
      <w:r w:rsidRPr="00BF0C19">
        <w:rPr>
          <w:rFonts w:eastAsia="Calibri"/>
          <w:b/>
          <w:sz w:val="28"/>
          <w:szCs w:val="28"/>
          <w:lang w:eastAsia="en-US"/>
        </w:rPr>
        <w:t>202</w:t>
      </w:r>
      <w:r>
        <w:rPr>
          <w:rFonts w:eastAsia="Calibri"/>
          <w:b/>
          <w:sz w:val="28"/>
          <w:szCs w:val="28"/>
          <w:lang w:eastAsia="en-US"/>
        </w:rPr>
        <w:t>4</w:t>
      </w:r>
      <w:r w:rsidRPr="00BF0C19">
        <w:rPr>
          <w:rFonts w:eastAsia="Calibri"/>
          <w:b/>
          <w:sz w:val="28"/>
          <w:szCs w:val="28"/>
          <w:lang w:eastAsia="en-US"/>
        </w:rPr>
        <w:t xml:space="preserve"> год</w:t>
      </w:r>
      <w:r w:rsidRPr="00BF0C19">
        <w:rPr>
          <w:rFonts w:eastAsia="Calibri"/>
          <w:sz w:val="28"/>
          <w:szCs w:val="28"/>
          <w:lang w:eastAsia="en-US"/>
        </w:rPr>
        <w:t xml:space="preserve"> составляет </w:t>
      </w:r>
      <w:r>
        <w:rPr>
          <w:rFonts w:eastAsia="Calibri"/>
          <w:b/>
          <w:sz w:val="28"/>
          <w:szCs w:val="28"/>
          <w:lang w:eastAsia="en-US"/>
        </w:rPr>
        <w:t>100,2</w:t>
      </w:r>
      <w:r w:rsidRPr="00BF0C19">
        <w:rPr>
          <w:rFonts w:eastAsia="Calibri"/>
          <w:b/>
          <w:sz w:val="28"/>
          <w:szCs w:val="28"/>
          <w:lang w:eastAsia="en-US"/>
        </w:rPr>
        <w:t xml:space="preserve"> </w:t>
      </w:r>
      <w:r w:rsidRPr="00BF0C19">
        <w:rPr>
          <w:rFonts w:eastAsia="Calibri"/>
          <w:sz w:val="28"/>
          <w:szCs w:val="28"/>
          <w:lang w:eastAsia="en-US"/>
        </w:rPr>
        <w:t>тыс. руб.</w:t>
      </w:r>
    </w:p>
    <w:p w:rsidR="0055491A" w:rsidRPr="000A3FF5" w:rsidRDefault="0055491A" w:rsidP="0055491A">
      <w:pPr>
        <w:tabs>
          <w:tab w:val="left" w:pos="3195"/>
        </w:tabs>
        <w:autoSpaceDE w:val="0"/>
        <w:autoSpaceDN w:val="0"/>
        <w:adjustRightInd w:val="0"/>
        <w:ind w:firstLine="709"/>
        <w:jc w:val="both"/>
        <w:rPr>
          <w:rFonts w:eastAsia="Calibri"/>
          <w:b/>
          <w:sz w:val="28"/>
          <w:szCs w:val="28"/>
          <w:lang w:eastAsia="en-US"/>
        </w:rPr>
      </w:pPr>
      <w:r w:rsidRPr="00BF0C19">
        <w:rPr>
          <w:sz w:val="28"/>
          <w:szCs w:val="28"/>
        </w:rPr>
        <w:t>Средний объем дебиторской задолженности (недоимки), возможный к поступлению, равен нулю.</w:t>
      </w:r>
    </w:p>
    <w:p w:rsidR="0055491A" w:rsidRPr="00BF0C19" w:rsidRDefault="0055491A" w:rsidP="0055491A">
      <w:pPr>
        <w:tabs>
          <w:tab w:val="left" w:pos="3195"/>
        </w:tabs>
        <w:autoSpaceDE w:val="0"/>
        <w:autoSpaceDN w:val="0"/>
        <w:adjustRightInd w:val="0"/>
        <w:ind w:firstLine="709"/>
        <w:jc w:val="both"/>
        <w:rPr>
          <w:rFonts w:eastAsia="Calibri"/>
          <w:sz w:val="28"/>
          <w:szCs w:val="28"/>
          <w:lang w:eastAsia="en-US"/>
        </w:rPr>
      </w:pPr>
    </w:p>
    <w:p w:rsidR="0055491A" w:rsidRDefault="0055491A" w:rsidP="0055491A">
      <w:pPr>
        <w:pStyle w:val="a7"/>
        <w:spacing w:after="0"/>
        <w:ind w:left="0" w:firstLine="709"/>
        <w:jc w:val="both"/>
        <w:rPr>
          <w:sz w:val="28"/>
          <w:szCs w:val="28"/>
        </w:rPr>
      </w:pPr>
      <w:r w:rsidRPr="00B827BC">
        <w:rPr>
          <w:sz w:val="28"/>
          <w:szCs w:val="28"/>
        </w:rPr>
        <w:t>3.</w:t>
      </w:r>
      <w:r>
        <w:rPr>
          <w:sz w:val="28"/>
          <w:szCs w:val="28"/>
        </w:rPr>
        <w:t>4</w:t>
      </w:r>
      <w:r w:rsidRPr="00B827BC">
        <w:rPr>
          <w:sz w:val="28"/>
          <w:szCs w:val="28"/>
        </w:rPr>
        <w:t xml:space="preserve"> </w:t>
      </w:r>
      <w:r w:rsidRPr="0064605E">
        <w:rPr>
          <w:b/>
          <w:sz w:val="28"/>
          <w:szCs w:val="28"/>
        </w:rPr>
        <w:t>КБК 332 1 16 01072 01 0000 140</w:t>
      </w:r>
      <w:r>
        <w:rPr>
          <w:sz w:val="28"/>
          <w:szCs w:val="28"/>
        </w:rPr>
        <w:t xml:space="preserve"> </w:t>
      </w:r>
      <w:r w:rsidRPr="00B03A5B">
        <w:rPr>
          <w:sz w:val="28"/>
          <w:szCs w:val="28"/>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w:t>
      </w:r>
      <w:r>
        <w:rPr>
          <w:sz w:val="28"/>
          <w:szCs w:val="28"/>
        </w:rPr>
        <w:t>.</w:t>
      </w:r>
    </w:p>
    <w:p w:rsidR="0055491A" w:rsidRPr="0064605E" w:rsidRDefault="0055491A" w:rsidP="0055491A">
      <w:pPr>
        <w:pStyle w:val="a7"/>
        <w:spacing w:after="0"/>
        <w:ind w:left="0" w:firstLine="709"/>
        <w:jc w:val="both"/>
        <w:rPr>
          <w:b/>
          <w:sz w:val="28"/>
          <w:szCs w:val="28"/>
        </w:rPr>
      </w:pPr>
      <w:r w:rsidRPr="0064605E">
        <w:rPr>
          <w:b/>
          <w:sz w:val="28"/>
          <w:szCs w:val="28"/>
        </w:rPr>
        <w:t>Главный администратор доходов - Министерство Тверской области по обеспечению контрольных функций.</w:t>
      </w:r>
    </w:p>
    <w:p w:rsidR="0055491A" w:rsidRPr="000D4676" w:rsidRDefault="0055491A" w:rsidP="0055491A">
      <w:pPr>
        <w:pStyle w:val="a7"/>
        <w:spacing w:after="0"/>
        <w:ind w:left="0" w:firstLine="709"/>
        <w:jc w:val="both"/>
        <w:rPr>
          <w:sz w:val="28"/>
          <w:szCs w:val="28"/>
        </w:rPr>
      </w:pPr>
      <w:r w:rsidRPr="000D4676">
        <w:rPr>
          <w:sz w:val="28"/>
          <w:szCs w:val="28"/>
        </w:rPr>
        <w:lastRenderedPageBreak/>
        <w:t>Расчет произведен в соответствии с методикой, утвержденной приказом Министерства Тверской области по обес</w:t>
      </w:r>
      <w:r>
        <w:rPr>
          <w:sz w:val="28"/>
          <w:szCs w:val="28"/>
        </w:rPr>
        <w:t>печению контрольных функций от 18</w:t>
      </w:r>
      <w:r w:rsidRPr="000D4676">
        <w:rPr>
          <w:sz w:val="28"/>
          <w:szCs w:val="28"/>
        </w:rPr>
        <w:t>.0</w:t>
      </w:r>
      <w:r>
        <w:rPr>
          <w:sz w:val="28"/>
          <w:szCs w:val="28"/>
        </w:rPr>
        <w:t>6</w:t>
      </w:r>
      <w:r w:rsidRPr="000D4676">
        <w:rPr>
          <w:sz w:val="28"/>
          <w:szCs w:val="28"/>
        </w:rPr>
        <w:t>.20</w:t>
      </w:r>
      <w:r>
        <w:rPr>
          <w:sz w:val="28"/>
          <w:szCs w:val="28"/>
        </w:rPr>
        <w:t>20</w:t>
      </w:r>
      <w:r w:rsidRPr="000D4676">
        <w:rPr>
          <w:sz w:val="28"/>
          <w:szCs w:val="28"/>
        </w:rPr>
        <w:t xml:space="preserve"> № </w:t>
      </w:r>
      <w:r>
        <w:rPr>
          <w:sz w:val="28"/>
          <w:szCs w:val="28"/>
        </w:rPr>
        <w:t>714</w:t>
      </w:r>
      <w:r w:rsidRPr="000D4676">
        <w:rPr>
          <w:sz w:val="28"/>
          <w:szCs w:val="28"/>
        </w:rPr>
        <w:t xml:space="preserve"> «Об утверждении методики прогнозирования поступлений доходов в областной бюджет Тверской области и местные бюджеты муниципальных образований Тверской области»</w:t>
      </w:r>
      <w:r>
        <w:rPr>
          <w:sz w:val="28"/>
          <w:szCs w:val="28"/>
        </w:rPr>
        <w:t xml:space="preserve"> (с учетом изменений)</w:t>
      </w:r>
      <w:r w:rsidRPr="000D4676">
        <w:rPr>
          <w:sz w:val="28"/>
          <w:szCs w:val="28"/>
        </w:rPr>
        <w:t>.</w:t>
      </w:r>
    </w:p>
    <w:p w:rsidR="0055491A" w:rsidRPr="00E428FB" w:rsidRDefault="0055491A" w:rsidP="0055491A">
      <w:pPr>
        <w:pStyle w:val="a7"/>
        <w:spacing w:after="0"/>
        <w:ind w:left="0" w:firstLine="709"/>
        <w:jc w:val="both"/>
        <w:rPr>
          <w:sz w:val="28"/>
          <w:szCs w:val="28"/>
        </w:rPr>
      </w:pPr>
      <w:r w:rsidRPr="00E428FB">
        <w:rPr>
          <w:sz w:val="28"/>
          <w:szCs w:val="28"/>
        </w:rPr>
        <w:t xml:space="preserve">Прогноз поступлений денежных взысканий (штрафов) </w:t>
      </w:r>
      <w:r>
        <w:rPr>
          <w:sz w:val="28"/>
          <w:szCs w:val="28"/>
        </w:rPr>
        <w:t xml:space="preserve">на 2022 год и на </w:t>
      </w:r>
      <w:r w:rsidRPr="00E428FB">
        <w:rPr>
          <w:sz w:val="28"/>
          <w:szCs w:val="28"/>
        </w:rPr>
        <w:t>плановый период 20</w:t>
      </w:r>
      <w:r>
        <w:rPr>
          <w:sz w:val="28"/>
          <w:szCs w:val="28"/>
        </w:rPr>
        <w:t>23</w:t>
      </w:r>
      <w:r w:rsidRPr="00E428FB">
        <w:rPr>
          <w:sz w:val="28"/>
          <w:szCs w:val="28"/>
        </w:rPr>
        <w:t>-20</w:t>
      </w:r>
      <w:r>
        <w:rPr>
          <w:sz w:val="28"/>
          <w:szCs w:val="28"/>
        </w:rPr>
        <w:t>24</w:t>
      </w:r>
      <w:r w:rsidRPr="00E428FB">
        <w:rPr>
          <w:sz w:val="28"/>
          <w:szCs w:val="28"/>
        </w:rPr>
        <w:t xml:space="preserve"> годов в доход областного бюджета Тверской области определены методом прямого расчета, основанного на  использовании количества запланированных проверок, среднего количества нарушений, выявленных в ходе проверок и размера штрафов за конкретные виды нарушений.</w:t>
      </w:r>
    </w:p>
    <w:p w:rsidR="0055491A" w:rsidRPr="00E428FB" w:rsidRDefault="0055491A" w:rsidP="0055491A">
      <w:pPr>
        <w:ind w:firstLine="360"/>
        <w:jc w:val="both"/>
        <w:rPr>
          <w:sz w:val="28"/>
          <w:szCs w:val="28"/>
        </w:rPr>
      </w:pPr>
    </w:p>
    <w:p w:rsidR="0055491A" w:rsidRDefault="0055491A" w:rsidP="0055491A">
      <w:pPr>
        <w:ind w:firstLine="360"/>
        <w:jc w:val="both"/>
        <w:rPr>
          <w:sz w:val="28"/>
          <w:szCs w:val="28"/>
        </w:rPr>
      </w:pPr>
      <w:r w:rsidRPr="00E428FB">
        <w:rPr>
          <w:sz w:val="28"/>
          <w:szCs w:val="28"/>
        </w:rPr>
        <w:t>Расчет прогноза на 20</w:t>
      </w:r>
      <w:r>
        <w:rPr>
          <w:sz w:val="28"/>
          <w:szCs w:val="28"/>
        </w:rPr>
        <w:t>22</w:t>
      </w:r>
      <w:r w:rsidRPr="00E428FB">
        <w:rPr>
          <w:sz w:val="28"/>
          <w:szCs w:val="28"/>
        </w:rPr>
        <w:t>-20</w:t>
      </w:r>
      <w:r>
        <w:rPr>
          <w:sz w:val="28"/>
          <w:szCs w:val="28"/>
        </w:rPr>
        <w:t>24</w:t>
      </w:r>
      <w:r w:rsidRPr="00E428FB">
        <w:rPr>
          <w:sz w:val="28"/>
          <w:szCs w:val="28"/>
        </w:rPr>
        <w:t xml:space="preserve"> годы представлен в таблице:</w:t>
      </w:r>
    </w:p>
    <w:p w:rsidR="0055491A" w:rsidRPr="00E428FB" w:rsidRDefault="0055491A" w:rsidP="0055491A">
      <w:pPr>
        <w:ind w:firstLine="360"/>
        <w:jc w:val="both"/>
        <w:rPr>
          <w:sz w:val="28"/>
          <w:szCs w:val="28"/>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88"/>
        <w:gridCol w:w="964"/>
        <w:gridCol w:w="850"/>
        <w:gridCol w:w="1163"/>
        <w:gridCol w:w="851"/>
        <w:gridCol w:w="1275"/>
        <w:gridCol w:w="993"/>
        <w:gridCol w:w="1417"/>
      </w:tblGrid>
      <w:tr w:rsidR="0055491A" w:rsidRPr="00E428FB" w:rsidTr="00210BF6">
        <w:tc>
          <w:tcPr>
            <w:tcW w:w="1588" w:type="dxa"/>
            <w:vMerge w:val="restart"/>
          </w:tcPr>
          <w:p w:rsidR="0055491A" w:rsidRPr="00FF7E6C" w:rsidRDefault="0055491A" w:rsidP="00210BF6">
            <w:pPr>
              <w:jc w:val="center"/>
              <w:rPr>
                <w:b/>
                <w:sz w:val="18"/>
                <w:szCs w:val="18"/>
              </w:rPr>
            </w:pPr>
            <w:r w:rsidRPr="00FF7E6C">
              <w:rPr>
                <w:b/>
                <w:sz w:val="18"/>
                <w:szCs w:val="18"/>
              </w:rPr>
              <w:t>Вид нарушения,</w:t>
            </w:r>
          </w:p>
          <w:p w:rsidR="0055491A" w:rsidRPr="00FF7E6C" w:rsidRDefault="0055491A" w:rsidP="00210BF6">
            <w:pPr>
              <w:jc w:val="center"/>
              <w:rPr>
                <w:b/>
                <w:sz w:val="18"/>
                <w:szCs w:val="18"/>
              </w:rPr>
            </w:pPr>
            <w:r w:rsidRPr="00FF7E6C">
              <w:rPr>
                <w:b/>
                <w:sz w:val="18"/>
                <w:szCs w:val="18"/>
              </w:rPr>
              <w:t>КОАП РФ</w:t>
            </w:r>
          </w:p>
        </w:tc>
        <w:tc>
          <w:tcPr>
            <w:tcW w:w="964" w:type="dxa"/>
            <w:vMerge w:val="restart"/>
          </w:tcPr>
          <w:p w:rsidR="0055491A" w:rsidRPr="00FF7E6C" w:rsidRDefault="0055491A" w:rsidP="00210BF6">
            <w:pPr>
              <w:jc w:val="center"/>
              <w:rPr>
                <w:b/>
                <w:sz w:val="28"/>
                <w:szCs w:val="28"/>
              </w:rPr>
            </w:pPr>
            <w:r w:rsidRPr="00FF7E6C">
              <w:rPr>
                <w:b/>
                <w:bCs/>
                <w:color w:val="000000"/>
                <w:sz w:val="18"/>
                <w:szCs w:val="18"/>
              </w:rPr>
              <w:t>Размер штрафа, тыс. руб.</w:t>
            </w:r>
          </w:p>
        </w:tc>
        <w:tc>
          <w:tcPr>
            <w:tcW w:w="2013" w:type="dxa"/>
            <w:gridSpan w:val="2"/>
          </w:tcPr>
          <w:p w:rsidR="0055491A" w:rsidRPr="00FF7E6C" w:rsidRDefault="0055491A" w:rsidP="00210BF6">
            <w:pPr>
              <w:jc w:val="center"/>
              <w:rPr>
                <w:b/>
                <w:sz w:val="28"/>
                <w:szCs w:val="28"/>
              </w:rPr>
            </w:pPr>
            <w:r w:rsidRPr="00FF7E6C">
              <w:rPr>
                <w:b/>
                <w:sz w:val="28"/>
                <w:szCs w:val="28"/>
              </w:rPr>
              <w:t>202</w:t>
            </w:r>
            <w:r>
              <w:rPr>
                <w:b/>
                <w:sz w:val="28"/>
                <w:szCs w:val="28"/>
              </w:rPr>
              <w:t>2</w:t>
            </w:r>
          </w:p>
        </w:tc>
        <w:tc>
          <w:tcPr>
            <w:tcW w:w="2126" w:type="dxa"/>
            <w:gridSpan w:val="2"/>
          </w:tcPr>
          <w:p w:rsidR="0055491A" w:rsidRPr="00FF7E6C" w:rsidRDefault="0055491A" w:rsidP="00210BF6">
            <w:pPr>
              <w:jc w:val="center"/>
              <w:rPr>
                <w:b/>
                <w:sz w:val="28"/>
                <w:szCs w:val="28"/>
              </w:rPr>
            </w:pPr>
            <w:r w:rsidRPr="00FF7E6C">
              <w:rPr>
                <w:b/>
                <w:sz w:val="28"/>
                <w:szCs w:val="28"/>
              </w:rPr>
              <w:t>202</w:t>
            </w:r>
            <w:r>
              <w:rPr>
                <w:b/>
                <w:sz w:val="28"/>
                <w:szCs w:val="28"/>
              </w:rPr>
              <w:t>3</w:t>
            </w:r>
          </w:p>
        </w:tc>
        <w:tc>
          <w:tcPr>
            <w:tcW w:w="2410" w:type="dxa"/>
            <w:gridSpan w:val="2"/>
          </w:tcPr>
          <w:p w:rsidR="0055491A" w:rsidRPr="00FF7E6C" w:rsidRDefault="0055491A" w:rsidP="00210BF6">
            <w:pPr>
              <w:jc w:val="center"/>
              <w:rPr>
                <w:b/>
                <w:sz w:val="28"/>
                <w:szCs w:val="28"/>
              </w:rPr>
            </w:pPr>
            <w:r w:rsidRPr="00FF7E6C">
              <w:rPr>
                <w:b/>
                <w:sz w:val="28"/>
                <w:szCs w:val="28"/>
              </w:rPr>
              <w:t>202</w:t>
            </w:r>
            <w:r>
              <w:rPr>
                <w:b/>
                <w:sz w:val="28"/>
                <w:szCs w:val="28"/>
              </w:rPr>
              <w:t>4</w:t>
            </w:r>
          </w:p>
        </w:tc>
      </w:tr>
      <w:tr w:rsidR="0055491A" w:rsidRPr="00E428FB" w:rsidTr="00210BF6">
        <w:tc>
          <w:tcPr>
            <w:tcW w:w="1588" w:type="dxa"/>
            <w:vMerge/>
          </w:tcPr>
          <w:p w:rsidR="0055491A" w:rsidRPr="00FF7E6C" w:rsidRDefault="0055491A" w:rsidP="00210BF6">
            <w:pPr>
              <w:jc w:val="both"/>
              <w:rPr>
                <w:b/>
                <w:sz w:val="28"/>
                <w:szCs w:val="28"/>
              </w:rPr>
            </w:pPr>
          </w:p>
        </w:tc>
        <w:tc>
          <w:tcPr>
            <w:tcW w:w="964" w:type="dxa"/>
            <w:vMerge/>
          </w:tcPr>
          <w:p w:rsidR="0055491A" w:rsidRPr="00FF7E6C" w:rsidRDefault="0055491A" w:rsidP="00210BF6">
            <w:pPr>
              <w:jc w:val="center"/>
              <w:rPr>
                <w:b/>
                <w:bCs/>
                <w:color w:val="000000"/>
                <w:sz w:val="18"/>
                <w:szCs w:val="18"/>
              </w:rPr>
            </w:pPr>
          </w:p>
        </w:tc>
        <w:tc>
          <w:tcPr>
            <w:tcW w:w="850" w:type="dxa"/>
            <w:vAlign w:val="center"/>
          </w:tcPr>
          <w:p w:rsidR="0055491A" w:rsidRPr="00FF7E6C" w:rsidRDefault="0055491A" w:rsidP="00210BF6">
            <w:pPr>
              <w:jc w:val="center"/>
              <w:rPr>
                <w:b/>
                <w:bCs/>
                <w:color w:val="000000"/>
                <w:sz w:val="18"/>
                <w:szCs w:val="18"/>
              </w:rPr>
            </w:pPr>
            <w:r w:rsidRPr="00FF7E6C">
              <w:rPr>
                <w:b/>
                <w:bCs/>
                <w:color w:val="000000"/>
                <w:sz w:val="18"/>
                <w:szCs w:val="18"/>
              </w:rPr>
              <w:t>Коли-чество, шт.</w:t>
            </w:r>
          </w:p>
        </w:tc>
        <w:tc>
          <w:tcPr>
            <w:tcW w:w="1163" w:type="dxa"/>
            <w:vAlign w:val="center"/>
          </w:tcPr>
          <w:p w:rsidR="0055491A" w:rsidRPr="00FF7E6C" w:rsidRDefault="0055491A" w:rsidP="00210BF6">
            <w:pPr>
              <w:jc w:val="center"/>
              <w:rPr>
                <w:b/>
                <w:bCs/>
                <w:color w:val="000000"/>
                <w:sz w:val="18"/>
                <w:szCs w:val="18"/>
              </w:rPr>
            </w:pPr>
            <w:r w:rsidRPr="00FF7E6C">
              <w:rPr>
                <w:b/>
                <w:bCs/>
                <w:color w:val="000000"/>
                <w:sz w:val="18"/>
                <w:szCs w:val="18"/>
              </w:rPr>
              <w:t>Сумма,</w:t>
            </w:r>
          </w:p>
          <w:p w:rsidR="0055491A" w:rsidRPr="00FF7E6C" w:rsidRDefault="0055491A" w:rsidP="00210BF6">
            <w:pPr>
              <w:jc w:val="center"/>
              <w:rPr>
                <w:b/>
                <w:bCs/>
                <w:color w:val="000000"/>
                <w:sz w:val="18"/>
                <w:szCs w:val="18"/>
              </w:rPr>
            </w:pPr>
            <w:r w:rsidRPr="00FF7E6C">
              <w:rPr>
                <w:b/>
                <w:bCs/>
                <w:color w:val="000000"/>
                <w:sz w:val="18"/>
                <w:szCs w:val="18"/>
              </w:rPr>
              <w:t>тыс. руб.</w:t>
            </w:r>
          </w:p>
        </w:tc>
        <w:tc>
          <w:tcPr>
            <w:tcW w:w="851" w:type="dxa"/>
            <w:vAlign w:val="center"/>
          </w:tcPr>
          <w:p w:rsidR="0055491A" w:rsidRPr="00FF7E6C" w:rsidRDefault="0055491A" w:rsidP="00210BF6">
            <w:pPr>
              <w:jc w:val="center"/>
              <w:rPr>
                <w:b/>
                <w:bCs/>
                <w:color w:val="000000"/>
                <w:sz w:val="18"/>
                <w:szCs w:val="18"/>
              </w:rPr>
            </w:pPr>
            <w:r w:rsidRPr="00FF7E6C">
              <w:rPr>
                <w:b/>
                <w:bCs/>
                <w:color w:val="000000"/>
                <w:sz w:val="18"/>
                <w:szCs w:val="18"/>
              </w:rPr>
              <w:t>Коли-чество, шт.</w:t>
            </w:r>
          </w:p>
        </w:tc>
        <w:tc>
          <w:tcPr>
            <w:tcW w:w="1275" w:type="dxa"/>
            <w:vAlign w:val="center"/>
          </w:tcPr>
          <w:p w:rsidR="0055491A" w:rsidRPr="00FF7E6C" w:rsidRDefault="0055491A" w:rsidP="00210BF6">
            <w:pPr>
              <w:jc w:val="center"/>
              <w:rPr>
                <w:b/>
                <w:bCs/>
                <w:color w:val="000000"/>
                <w:sz w:val="18"/>
                <w:szCs w:val="18"/>
              </w:rPr>
            </w:pPr>
            <w:r w:rsidRPr="00FF7E6C">
              <w:rPr>
                <w:b/>
                <w:bCs/>
                <w:color w:val="000000"/>
                <w:sz w:val="18"/>
                <w:szCs w:val="18"/>
              </w:rPr>
              <w:t>Сумма,</w:t>
            </w:r>
          </w:p>
          <w:p w:rsidR="0055491A" w:rsidRPr="00FF7E6C" w:rsidRDefault="0055491A" w:rsidP="00210BF6">
            <w:pPr>
              <w:jc w:val="center"/>
              <w:rPr>
                <w:b/>
                <w:bCs/>
                <w:color w:val="000000"/>
                <w:sz w:val="18"/>
                <w:szCs w:val="18"/>
              </w:rPr>
            </w:pPr>
            <w:r w:rsidRPr="00FF7E6C">
              <w:rPr>
                <w:b/>
                <w:bCs/>
                <w:color w:val="000000"/>
                <w:sz w:val="18"/>
                <w:szCs w:val="18"/>
              </w:rPr>
              <w:t>тыс. руб.</w:t>
            </w:r>
          </w:p>
        </w:tc>
        <w:tc>
          <w:tcPr>
            <w:tcW w:w="993" w:type="dxa"/>
            <w:vAlign w:val="center"/>
          </w:tcPr>
          <w:p w:rsidR="0055491A" w:rsidRPr="00FF7E6C" w:rsidRDefault="0055491A" w:rsidP="00210BF6">
            <w:pPr>
              <w:jc w:val="center"/>
              <w:rPr>
                <w:b/>
                <w:bCs/>
                <w:color w:val="000000"/>
                <w:sz w:val="18"/>
                <w:szCs w:val="18"/>
              </w:rPr>
            </w:pPr>
            <w:r w:rsidRPr="00FF7E6C">
              <w:rPr>
                <w:b/>
                <w:bCs/>
                <w:color w:val="000000"/>
                <w:sz w:val="18"/>
                <w:szCs w:val="18"/>
              </w:rPr>
              <w:t>Коли-чество, шт.</w:t>
            </w:r>
          </w:p>
        </w:tc>
        <w:tc>
          <w:tcPr>
            <w:tcW w:w="1417" w:type="dxa"/>
            <w:vAlign w:val="center"/>
          </w:tcPr>
          <w:p w:rsidR="0055491A" w:rsidRPr="00FF7E6C" w:rsidRDefault="0055491A" w:rsidP="00210BF6">
            <w:pPr>
              <w:jc w:val="center"/>
              <w:rPr>
                <w:b/>
                <w:bCs/>
                <w:color w:val="000000"/>
                <w:sz w:val="18"/>
                <w:szCs w:val="18"/>
              </w:rPr>
            </w:pPr>
            <w:r w:rsidRPr="00FF7E6C">
              <w:rPr>
                <w:b/>
                <w:bCs/>
                <w:color w:val="000000"/>
                <w:sz w:val="18"/>
                <w:szCs w:val="18"/>
              </w:rPr>
              <w:t>Сумма, тыс. руб.</w:t>
            </w:r>
          </w:p>
        </w:tc>
      </w:tr>
      <w:tr w:rsidR="0055491A" w:rsidRPr="00E428FB" w:rsidTr="00210BF6">
        <w:tc>
          <w:tcPr>
            <w:tcW w:w="1588" w:type="dxa"/>
            <w:vAlign w:val="center"/>
          </w:tcPr>
          <w:p w:rsidR="0055491A" w:rsidRPr="00566150" w:rsidRDefault="0055491A" w:rsidP="00210BF6">
            <w:pPr>
              <w:rPr>
                <w:bCs/>
                <w:sz w:val="20"/>
                <w:szCs w:val="20"/>
              </w:rPr>
            </w:pPr>
            <w:r w:rsidRPr="00566150">
              <w:rPr>
                <w:bCs/>
                <w:sz w:val="20"/>
                <w:szCs w:val="20"/>
              </w:rPr>
              <w:t>ст.7.31 ч.2</w:t>
            </w:r>
          </w:p>
        </w:tc>
        <w:tc>
          <w:tcPr>
            <w:tcW w:w="964" w:type="dxa"/>
            <w:vAlign w:val="center"/>
          </w:tcPr>
          <w:p w:rsidR="0055491A" w:rsidRPr="00566150" w:rsidRDefault="0055491A" w:rsidP="00210BF6">
            <w:pPr>
              <w:jc w:val="center"/>
              <w:rPr>
                <w:bCs/>
              </w:rPr>
            </w:pPr>
            <w:r w:rsidRPr="00566150">
              <w:rPr>
                <w:bCs/>
              </w:rPr>
              <w:t>20</w:t>
            </w:r>
          </w:p>
        </w:tc>
        <w:tc>
          <w:tcPr>
            <w:tcW w:w="850" w:type="dxa"/>
            <w:vAlign w:val="center"/>
          </w:tcPr>
          <w:p w:rsidR="0055491A" w:rsidRPr="00566150" w:rsidRDefault="0055491A" w:rsidP="00210BF6">
            <w:pPr>
              <w:jc w:val="center"/>
              <w:rPr>
                <w:bCs/>
              </w:rPr>
            </w:pPr>
            <w:r w:rsidRPr="00566150">
              <w:rPr>
                <w:bCs/>
              </w:rPr>
              <w:t>11</w:t>
            </w:r>
          </w:p>
        </w:tc>
        <w:tc>
          <w:tcPr>
            <w:tcW w:w="1163" w:type="dxa"/>
            <w:vAlign w:val="center"/>
          </w:tcPr>
          <w:p w:rsidR="0055491A" w:rsidRPr="00566150" w:rsidRDefault="0055491A" w:rsidP="00210BF6">
            <w:pPr>
              <w:jc w:val="center"/>
              <w:rPr>
                <w:bCs/>
              </w:rPr>
            </w:pPr>
            <w:r w:rsidRPr="00566150">
              <w:rPr>
                <w:bCs/>
              </w:rPr>
              <w:t>220</w:t>
            </w:r>
          </w:p>
        </w:tc>
        <w:tc>
          <w:tcPr>
            <w:tcW w:w="851" w:type="dxa"/>
            <w:vAlign w:val="center"/>
          </w:tcPr>
          <w:p w:rsidR="0055491A" w:rsidRPr="00457B7B" w:rsidRDefault="0055491A" w:rsidP="00210BF6">
            <w:pPr>
              <w:jc w:val="center"/>
              <w:rPr>
                <w:bCs/>
              </w:rPr>
            </w:pPr>
            <w:r>
              <w:rPr>
                <w:bCs/>
              </w:rPr>
              <w:t>12</w:t>
            </w:r>
          </w:p>
        </w:tc>
        <w:tc>
          <w:tcPr>
            <w:tcW w:w="1275" w:type="dxa"/>
            <w:vAlign w:val="center"/>
          </w:tcPr>
          <w:p w:rsidR="0055491A" w:rsidRPr="00457B7B" w:rsidRDefault="0055491A" w:rsidP="00210BF6">
            <w:pPr>
              <w:jc w:val="center"/>
              <w:rPr>
                <w:bCs/>
              </w:rPr>
            </w:pPr>
            <w:r>
              <w:rPr>
                <w:bCs/>
              </w:rPr>
              <w:t>240</w:t>
            </w:r>
          </w:p>
        </w:tc>
        <w:tc>
          <w:tcPr>
            <w:tcW w:w="993" w:type="dxa"/>
            <w:vAlign w:val="center"/>
          </w:tcPr>
          <w:p w:rsidR="0055491A" w:rsidRPr="00457B7B" w:rsidRDefault="0055491A" w:rsidP="00210BF6">
            <w:pPr>
              <w:jc w:val="center"/>
              <w:rPr>
                <w:bCs/>
              </w:rPr>
            </w:pPr>
            <w:r>
              <w:rPr>
                <w:bCs/>
              </w:rPr>
              <w:t>11</w:t>
            </w:r>
          </w:p>
        </w:tc>
        <w:tc>
          <w:tcPr>
            <w:tcW w:w="1417" w:type="dxa"/>
            <w:vAlign w:val="center"/>
          </w:tcPr>
          <w:p w:rsidR="0055491A" w:rsidRPr="00457B7B" w:rsidRDefault="0055491A" w:rsidP="00210BF6">
            <w:pPr>
              <w:jc w:val="center"/>
              <w:rPr>
                <w:bCs/>
              </w:rPr>
            </w:pPr>
            <w:r>
              <w:rPr>
                <w:bCs/>
              </w:rPr>
              <w:t>220</w:t>
            </w:r>
          </w:p>
        </w:tc>
      </w:tr>
      <w:tr w:rsidR="0055491A" w:rsidRPr="00E428FB" w:rsidTr="00210BF6">
        <w:tc>
          <w:tcPr>
            <w:tcW w:w="1588" w:type="dxa"/>
            <w:vAlign w:val="center"/>
          </w:tcPr>
          <w:p w:rsidR="0055491A" w:rsidRPr="00566150" w:rsidRDefault="0055491A" w:rsidP="00210BF6">
            <w:pPr>
              <w:rPr>
                <w:bCs/>
                <w:sz w:val="20"/>
                <w:szCs w:val="20"/>
              </w:rPr>
            </w:pPr>
            <w:r w:rsidRPr="00566150">
              <w:rPr>
                <w:bCs/>
                <w:sz w:val="20"/>
                <w:szCs w:val="20"/>
              </w:rPr>
              <w:t>ст. 7 32.5 ч. 1</w:t>
            </w:r>
          </w:p>
        </w:tc>
        <w:tc>
          <w:tcPr>
            <w:tcW w:w="964" w:type="dxa"/>
            <w:vAlign w:val="center"/>
          </w:tcPr>
          <w:p w:rsidR="0055491A" w:rsidRPr="00566150" w:rsidRDefault="0055491A" w:rsidP="00210BF6">
            <w:pPr>
              <w:jc w:val="center"/>
              <w:rPr>
                <w:bCs/>
              </w:rPr>
            </w:pPr>
            <w:r w:rsidRPr="00566150">
              <w:rPr>
                <w:bCs/>
              </w:rPr>
              <w:t>30</w:t>
            </w:r>
          </w:p>
        </w:tc>
        <w:tc>
          <w:tcPr>
            <w:tcW w:w="850" w:type="dxa"/>
            <w:vAlign w:val="center"/>
          </w:tcPr>
          <w:p w:rsidR="0055491A" w:rsidRPr="00566150" w:rsidRDefault="0055491A" w:rsidP="00210BF6">
            <w:pPr>
              <w:jc w:val="center"/>
              <w:rPr>
                <w:bCs/>
              </w:rPr>
            </w:pPr>
            <w:r w:rsidRPr="00566150">
              <w:rPr>
                <w:bCs/>
              </w:rPr>
              <w:t>14</w:t>
            </w:r>
          </w:p>
        </w:tc>
        <w:tc>
          <w:tcPr>
            <w:tcW w:w="1163" w:type="dxa"/>
            <w:vAlign w:val="center"/>
          </w:tcPr>
          <w:p w:rsidR="0055491A" w:rsidRPr="00566150" w:rsidRDefault="0055491A" w:rsidP="00210BF6">
            <w:pPr>
              <w:jc w:val="center"/>
              <w:rPr>
                <w:bCs/>
              </w:rPr>
            </w:pPr>
            <w:r w:rsidRPr="00566150">
              <w:rPr>
                <w:bCs/>
              </w:rPr>
              <w:t>420</w:t>
            </w:r>
          </w:p>
        </w:tc>
        <w:tc>
          <w:tcPr>
            <w:tcW w:w="851" w:type="dxa"/>
            <w:vAlign w:val="center"/>
          </w:tcPr>
          <w:p w:rsidR="0055491A" w:rsidRPr="00457B7B" w:rsidRDefault="0055491A" w:rsidP="00210BF6">
            <w:pPr>
              <w:jc w:val="center"/>
              <w:rPr>
                <w:bCs/>
              </w:rPr>
            </w:pPr>
            <w:r>
              <w:rPr>
                <w:bCs/>
              </w:rPr>
              <w:t>11</w:t>
            </w:r>
          </w:p>
        </w:tc>
        <w:tc>
          <w:tcPr>
            <w:tcW w:w="1275" w:type="dxa"/>
            <w:vAlign w:val="center"/>
          </w:tcPr>
          <w:p w:rsidR="0055491A" w:rsidRPr="00457B7B" w:rsidRDefault="0055491A" w:rsidP="00210BF6">
            <w:pPr>
              <w:jc w:val="center"/>
              <w:rPr>
                <w:bCs/>
              </w:rPr>
            </w:pPr>
            <w:r>
              <w:rPr>
                <w:bCs/>
              </w:rPr>
              <w:t>33</w:t>
            </w:r>
            <w:r w:rsidRPr="00457B7B">
              <w:rPr>
                <w:bCs/>
              </w:rPr>
              <w:t>0</w:t>
            </w:r>
          </w:p>
        </w:tc>
        <w:tc>
          <w:tcPr>
            <w:tcW w:w="993" w:type="dxa"/>
            <w:vAlign w:val="center"/>
          </w:tcPr>
          <w:p w:rsidR="0055491A" w:rsidRPr="00457B7B" w:rsidRDefault="0055491A" w:rsidP="00210BF6">
            <w:pPr>
              <w:jc w:val="center"/>
              <w:rPr>
                <w:bCs/>
              </w:rPr>
            </w:pPr>
            <w:r>
              <w:rPr>
                <w:bCs/>
              </w:rPr>
              <w:t>13</w:t>
            </w:r>
          </w:p>
        </w:tc>
        <w:tc>
          <w:tcPr>
            <w:tcW w:w="1417" w:type="dxa"/>
            <w:vAlign w:val="center"/>
          </w:tcPr>
          <w:p w:rsidR="0055491A" w:rsidRPr="00457B7B" w:rsidRDefault="0055491A" w:rsidP="00210BF6">
            <w:pPr>
              <w:jc w:val="center"/>
              <w:rPr>
                <w:bCs/>
              </w:rPr>
            </w:pPr>
            <w:r>
              <w:rPr>
                <w:bCs/>
              </w:rPr>
              <w:t>39</w:t>
            </w:r>
            <w:r w:rsidRPr="00457B7B">
              <w:rPr>
                <w:bCs/>
              </w:rPr>
              <w:t>0</w:t>
            </w:r>
          </w:p>
        </w:tc>
      </w:tr>
      <w:tr w:rsidR="0055491A" w:rsidRPr="00E428FB" w:rsidTr="00210BF6">
        <w:tc>
          <w:tcPr>
            <w:tcW w:w="1588" w:type="dxa"/>
            <w:vAlign w:val="center"/>
          </w:tcPr>
          <w:p w:rsidR="0055491A" w:rsidRPr="00566150" w:rsidRDefault="0055491A" w:rsidP="00210BF6">
            <w:pPr>
              <w:rPr>
                <w:bCs/>
                <w:sz w:val="20"/>
                <w:szCs w:val="20"/>
              </w:rPr>
            </w:pPr>
            <w:r w:rsidRPr="00566150">
              <w:rPr>
                <w:bCs/>
                <w:sz w:val="20"/>
                <w:szCs w:val="20"/>
              </w:rPr>
              <w:t>ст.7.32 ч.1</w:t>
            </w:r>
          </w:p>
        </w:tc>
        <w:tc>
          <w:tcPr>
            <w:tcW w:w="964" w:type="dxa"/>
            <w:vAlign w:val="center"/>
          </w:tcPr>
          <w:p w:rsidR="0055491A" w:rsidRPr="00566150" w:rsidRDefault="0055491A" w:rsidP="00210BF6">
            <w:pPr>
              <w:jc w:val="center"/>
              <w:rPr>
                <w:bCs/>
              </w:rPr>
            </w:pPr>
            <w:r w:rsidRPr="00566150">
              <w:rPr>
                <w:bCs/>
              </w:rPr>
              <w:t>5</w:t>
            </w:r>
          </w:p>
        </w:tc>
        <w:tc>
          <w:tcPr>
            <w:tcW w:w="850" w:type="dxa"/>
            <w:vAlign w:val="center"/>
          </w:tcPr>
          <w:p w:rsidR="0055491A" w:rsidRPr="00566150" w:rsidRDefault="0055491A" w:rsidP="00210BF6">
            <w:pPr>
              <w:jc w:val="center"/>
              <w:rPr>
                <w:bCs/>
              </w:rPr>
            </w:pPr>
            <w:r w:rsidRPr="00566150">
              <w:rPr>
                <w:bCs/>
              </w:rPr>
              <w:t>7</w:t>
            </w:r>
          </w:p>
        </w:tc>
        <w:tc>
          <w:tcPr>
            <w:tcW w:w="1163" w:type="dxa"/>
            <w:vAlign w:val="center"/>
          </w:tcPr>
          <w:p w:rsidR="0055491A" w:rsidRPr="00566150" w:rsidRDefault="0055491A" w:rsidP="00210BF6">
            <w:pPr>
              <w:jc w:val="center"/>
              <w:rPr>
                <w:bCs/>
              </w:rPr>
            </w:pPr>
            <w:r w:rsidRPr="00566150">
              <w:rPr>
                <w:bCs/>
              </w:rPr>
              <w:t>35</w:t>
            </w:r>
          </w:p>
        </w:tc>
        <w:tc>
          <w:tcPr>
            <w:tcW w:w="851" w:type="dxa"/>
            <w:vAlign w:val="center"/>
          </w:tcPr>
          <w:p w:rsidR="0055491A" w:rsidRPr="000E580B" w:rsidRDefault="0055491A" w:rsidP="00210BF6">
            <w:pPr>
              <w:jc w:val="center"/>
              <w:rPr>
                <w:bCs/>
              </w:rPr>
            </w:pPr>
            <w:r>
              <w:rPr>
                <w:bCs/>
              </w:rPr>
              <w:t>8</w:t>
            </w:r>
          </w:p>
        </w:tc>
        <w:tc>
          <w:tcPr>
            <w:tcW w:w="1275" w:type="dxa"/>
            <w:vAlign w:val="center"/>
          </w:tcPr>
          <w:p w:rsidR="0055491A" w:rsidRPr="000E580B" w:rsidRDefault="0055491A" w:rsidP="00210BF6">
            <w:pPr>
              <w:jc w:val="center"/>
              <w:rPr>
                <w:bCs/>
              </w:rPr>
            </w:pPr>
            <w:r>
              <w:rPr>
                <w:bCs/>
              </w:rPr>
              <w:t>40</w:t>
            </w:r>
          </w:p>
        </w:tc>
        <w:tc>
          <w:tcPr>
            <w:tcW w:w="993" w:type="dxa"/>
            <w:vAlign w:val="center"/>
          </w:tcPr>
          <w:p w:rsidR="0055491A" w:rsidRPr="000E580B" w:rsidRDefault="0055491A" w:rsidP="00210BF6">
            <w:pPr>
              <w:jc w:val="center"/>
              <w:rPr>
                <w:bCs/>
              </w:rPr>
            </w:pPr>
            <w:r>
              <w:rPr>
                <w:bCs/>
              </w:rPr>
              <w:t>9</w:t>
            </w:r>
          </w:p>
        </w:tc>
        <w:tc>
          <w:tcPr>
            <w:tcW w:w="1417" w:type="dxa"/>
            <w:vAlign w:val="center"/>
          </w:tcPr>
          <w:p w:rsidR="0055491A" w:rsidRPr="000E580B" w:rsidRDefault="0055491A" w:rsidP="00210BF6">
            <w:pPr>
              <w:jc w:val="center"/>
              <w:rPr>
                <w:bCs/>
              </w:rPr>
            </w:pPr>
            <w:r>
              <w:rPr>
                <w:bCs/>
              </w:rPr>
              <w:t>45</w:t>
            </w:r>
          </w:p>
        </w:tc>
      </w:tr>
      <w:tr w:rsidR="0055491A" w:rsidRPr="00E428FB" w:rsidTr="00210BF6">
        <w:tc>
          <w:tcPr>
            <w:tcW w:w="1588" w:type="dxa"/>
            <w:vAlign w:val="center"/>
          </w:tcPr>
          <w:p w:rsidR="0055491A" w:rsidRPr="00566150" w:rsidRDefault="0055491A" w:rsidP="00210BF6">
            <w:pPr>
              <w:rPr>
                <w:bCs/>
                <w:sz w:val="20"/>
                <w:szCs w:val="20"/>
              </w:rPr>
            </w:pPr>
            <w:r w:rsidRPr="00566150">
              <w:rPr>
                <w:bCs/>
                <w:sz w:val="20"/>
                <w:szCs w:val="20"/>
              </w:rPr>
              <w:t>ст.7.32 ч.3</w:t>
            </w:r>
          </w:p>
        </w:tc>
        <w:tc>
          <w:tcPr>
            <w:tcW w:w="964" w:type="dxa"/>
            <w:vAlign w:val="center"/>
          </w:tcPr>
          <w:p w:rsidR="0055491A" w:rsidRPr="00566150" w:rsidRDefault="0055491A" w:rsidP="00210BF6">
            <w:pPr>
              <w:jc w:val="center"/>
              <w:rPr>
                <w:bCs/>
              </w:rPr>
            </w:pPr>
            <w:r w:rsidRPr="00566150">
              <w:rPr>
                <w:bCs/>
              </w:rPr>
              <w:t>50</w:t>
            </w:r>
          </w:p>
        </w:tc>
        <w:tc>
          <w:tcPr>
            <w:tcW w:w="850" w:type="dxa"/>
            <w:vAlign w:val="center"/>
          </w:tcPr>
          <w:p w:rsidR="0055491A" w:rsidRPr="00566150" w:rsidRDefault="0055491A" w:rsidP="00210BF6">
            <w:pPr>
              <w:jc w:val="center"/>
              <w:rPr>
                <w:bCs/>
              </w:rPr>
            </w:pPr>
            <w:r w:rsidRPr="00566150">
              <w:rPr>
                <w:bCs/>
              </w:rPr>
              <w:t>1</w:t>
            </w:r>
          </w:p>
        </w:tc>
        <w:tc>
          <w:tcPr>
            <w:tcW w:w="1163" w:type="dxa"/>
            <w:vAlign w:val="center"/>
          </w:tcPr>
          <w:p w:rsidR="0055491A" w:rsidRPr="00566150" w:rsidRDefault="0055491A" w:rsidP="00210BF6">
            <w:pPr>
              <w:jc w:val="center"/>
              <w:rPr>
                <w:bCs/>
              </w:rPr>
            </w:pPr>
            <w:r w:rsidRPr="00566150">
              <w:rPr>
                <w:bCs/>
              </w:rPr>
              <w:t>50</w:t>
            </w:r>
          </w:p>
        </w:tc>
        <w:tc>
          <w:tcPr>
            <w:tcW w:w="851" w:type="dxa"/>
            <w:vAlign w:val="center"/>
          </w:tcPr>
          <w:p w:rsidR="0055491A" w:rsidRDefault="0055491A" w:rsidP="00210BF6">
            <w:pPr>
              <w:jc w:val="center"/>
              <w:rPr>
                <w:bCs/>
              </w:rPr>
            </w:pPr>
            <w:r>
              <w:rPr>
                <w:bCs/>
              </w:rPr>
              <w:t>1</w:t>
            </w:r>
          </w:p>
        </w:tc>
        <w:tc>
          <w:tcPr>
            <w:tcW w:w="1275" w:type="dxa"/>
            <w:vAlign w:val="center"/>
          </w:tcPr>
          <w:p w:rsidR="0055491A" w:rsidRDefault="0055491A" w:rsidP="00210BF6">
            <w:pPr>
              <w:jc w:val="center"/>
              <w:rPr>
                <w:bCs/>
              </w:rPr>
            </w:pPr>
            <w:r>
              <w:rPr>
                <w:bCs/>
              </w:rPr>
              <w:t>50</w:t>
            </w:r>
          </w:p>
        </w:tc>
        <w:tc>
          <w:tcPr>
            <w:tcW w:w="993" w:type="dxa"/>
            <w:vAlign w:val="center"/>
          </w:tcPr>
          <w:p w:rsidR="0055491A" w:rsidRDefault="0055491A" w:rsidP="00210BF6">
            <w:pPr>
              <w:jc w:val="center"/>
              <w:rPr>
                <w:bCs/>
              </w:rPr>
            </w:pPr>
            <w:r>
              <w:rPr>
                <w:bCs/>
              </w:rPr>
              <w:t>1</w:t>
            </w:r>
          </w:p>
        </w:tc>
        <w:tc>
          <w:tcPr>
            <w:tcW w:w="1417" w:type="dxa"/>
            <w:vAlign w:val="center"/>
          </w:tcPr>
          <w:p w:rsidR="0055491A" w:rsidRDefault="0055491A" w:rsidP="00210BF6">
            <w:pPr>
              <w:jc w:val="center"/>
              <w:rPr>
                <w:bCs/>
              </w:rPr>
            </w:pPr>
            <w:r>
              <w:rPr>
                <w:bCs/>
              </w:rPr>
              <w:t>50</w:t>
            </w:r>
          </w:p>
        </w:tc>
      </w:tr>
      <w:tr w:rsidR="0055491A" w:rsidRPr="00E428FB" w:rsidTr="00210BF6">
        <w:tc>
          <w:tcPr>
            <w:tcW w:w="1588" w:type="dxa"/>
            <w:vAlign w:val="center"/>
          </w:tcPr>
          <w:p w:rsidR="0055491A" w:rsidRPr="00566150" w:rsidRDefault="0055491A" w:rsidP="00210BF6">
            <w:pPr>
              <w:rPr>
                <w:bCs/>
                <w:sz w:val="20"/>
                <w:szCs w:val="20"/>
              </w:rPr>
            </w:pPr>
            <w:r w:rsidRPr="00566150">
              <w:rPr>
                <w:bCs/>
                <w:sz w:val="20"/>
                <w:szCs w:val="20"/>
              </w:rPr>
              <w:t>ст. 7.32 ч.10</w:t>
            </w:r>
          </w:p>
        </w:tc>
        <w:tc>
          <w:tcPr>
            <w:tcW w:w="964" w:type="dxa"/>
            <w:vAlign w:val="center"/>
          </w:tcPr>
          <w:p w:rsidR="0055491A" w:rsidRPr="00566150" w:rsidRDefault="0055491A" w:rsidP="00210BF6">
            <w:pPr>
              <w:jc w:val="center"/>
              <w:rPr>
                <w:bCs/>
              </w:rPr>
            </w:pPr>
            <w:r w:rsidRPr="00566150">
              <w:rPr>
                <w:bCs/>
              </w:rPr>
              <w:t>20</w:t>
            </w:r>
          </w:p>
        </w:tc>
        <w:tc>
          <w:tcPr>
            <w:tcW w:w="850" w:type="dxa"/>
            <w:vAlign w:val="center"/>
          </w:tcPr>
          <w:p w:rsidR="0055491A" w:rsidRPr="00566150" w:rsidRDefault="0055491A" w:rsidP="00210BF6">
            <w:pPr>
              <w:jc w:val="center"/>
              <w:rPr>
                <w:bCs/>
              </w:rPr>
            </w:pPr>
            <w:r w:rsidRPr="00566150">
              <w:rPr>
                <w:bCs/>
              </w:rPr>
              <w:t>6</w:t>
            </w:r>
          </w:p>
        </w:tc>
        <w:tc>
          <w:tcPr>
            <w:tcW w:w="1163" w:type="dxa"/>
            <w:vAlign w:val="center"/>
          </w:tcPr>
          <w:p w:rsidR="0055491A" w:rsidRPr="00566150" w:rsidRDefault="0055491A" w:rsidP="00210BF6">
            <w:pPr>
              <w:jc w:val="center"/>
              <w:rPr>
                <w:bCs/>
              </w:rPr>
            </w:pPr>
            <w:r w:rsidRPr="00566150">
              <w:rPr>
                <w:bCs/>
              </w:rPr>
              <w:t>120</w:t>
            </w:r>
          </w:p>
        </w:tc>
        <w:tc>
          <w:tcPr>
            <w:tcW w:w="851" w:type="dxa"/>
            <w:vAlign w:val="center"/>
          </w:tcPr>
          <w:p w:rsidR="0055491A" w:rsidRPr="000E580B" w:rsidRDefault="0055491A" w:rsidP="00210BF6">
            <w:pPr>
              <w:jc w:val="center"/>
              <w:rPr>
                <w:bCs/>
              </w:rPr>
            </w:pPr>
            <w:r>
              <w:rPr>
                <w:bCs/>
              </w:rPr>
              <w:t>5</w:t>
            </w:r>
          </w:p>
        </w:tc>
        <w:tc>
          <w:tcPr>
            <w:tcW w:w="1275" w:type="dxa"/>
            <w:vAlign w:val="center"/>
          </w:tcPr>
          <w:p w:rsidR="0055491A" w:rsidRPr="000E580B" w:rsidRDefault="0055491A" w:rsidP="00210BF6">
            <w:pPr>
              <w:jc w:val="center"/>
              <w:rPr>
                <w:bCs/>
              </w:rPr>
            </w:pPr>
            <w:r>
              <w:rPr>
                <w:bCs/>
              </w:rPr>
              <w:t>100</w:t>
            </w:r>
          </w:p>
        </w:tc>
        <w:tc>
          <w:tcPr>
            <w:tcW w:w="993" w:type="dxa"/>
            <w:vAlign w:val="center"/>
          </w:tcPr>
          <w:p w:rsidR="0055491A" w:rsidRPr="000E580B" w:rsidRDefault="0055491A" w:rsidP="00210BF6">
            <w:pPr>
              <w:jc w:val="center"/>
              <w:rPr>
                <w:bCs/>
              </w:rPr>
            </w:pPr>
            <w:r>
              <w:rPr>
                <w:bCs/>
              </w:rPr>
              <w:t>6</w:t>
            </w:r>
          </w:p>
        </w:tc>
        <w:tc>
          <w:tcPr>
            <w:tcW w:w="1417" w:type="dxa"/>
            <w:vAlign w:val="center"/>
          </w:tcPr>
          <w:p w:rsidR="0055491A" w:rsidRPr="000E580B" w:rsidRDefault="0055491A" w:rsidP="00210BF6">
            <w:pPr>
              <w:jc w:val="center"/>
              <w:rPr>
                <w:bCs/>
              </w:rPr>
            </w:pPr>
            <w:r>
              <w:rPr>
                <w:bCs/>
              </w:rPr>
              <w:t>120</w:t>
            </w:r>
          </w:p>
        </w:tc>
      </w:tr>
      <w:tr w:rsidR="0055491A" w:rsidRPr="00E428FB" w:rsidTr="00210BF6">
        <w:tc>
          <w:tcPr>
            <w:tcW w:w="1588" w:type="dxa"/>
            <w:vAlign w:val="center"/>
          </w:tcPr>
          <w:p w:rsidR="0055491A" w:rsidRPr="00566150" w:rsidRDefault="0055491A" w:rsidP="00210BF6">
            <w:pPr>
              <w:rPr>
                <w:bCs/>
                <w:sz w:val="20"/>
                <w:szCs w:val="20"/>
              </w:rPr>
            </w:pPr>
            <w:r w:rsidRPr="00566150">
              <w:rPr>
                <w:bCs/>
                <w:sz w:val="20"/>
                <w:szCs w:val="20"/>
              </w:rPr>
              <w:t>ст. 7.32 ч.4</w:t>
            </w:r>
          </w:p>
        </w:tc>
        <w:tc>
          <w:tcPr>
            <w:tcW w:w="964" w:type="dxa"/>
            <w:vAlign w:val="center"/>
          </w:tcPr>
          <w:p w:rsidR="0055491A" w:rsidRPr="00566150" w:rsidRDefault="0055491A" w:rsidP="00210BF6">
            <w:pPr>
              <w:jc w:val="center"/>
              <w:rPr>
                <w:bCs/>
              </w:rPr>
            </w:pPr>
            <w:r w:rsidRPr="00566150">
              <w:rPr>
                <w:bCs/>
              </w:rPr>
              <w:t>20</w:t>
            </w:r>
          </w:p>
        </w:tc>
        <w:tc>
          <w:tcPr>
            <w:tcW w:w="850" w:type="dxa"/>
            <w:vAlign w:val="center"/>
          </w:tcPr>
          <w:p w:rsidR="0055491A" w:rsidRPr="00566150" w:rsidRDefault="0055491A" w:rsidP="00210BF6">
            <w:pPr>
              <w:jc w:val="center"/>
              <w:rPr>
                <w:bCs/>
              </w:rPr>
            </w:pPr>
            <w:r w:rsidRPr="00566150">
              <w:rPr>
                <w:bCs/>
              </w:rPr>
              <w:t>2</w:t>
            </w:r>
          </w:p>
        </w:tc>
        <w:tc>
          <w:tcPr>
            <w:tcW w:w="1163" w:type="dxa"/>
            <w:vAlign w:val="center"/>
          </w:tcPr>
          <w:p w:rsidR="0055491A" w:rsidRPr="00566150" w:rsidRDefault="0055491A" w:rsidP="00210BF6">
            <w:pPr>
              <w:jc w:val="center"/>
              <w:rPr>
                <w:bCs/>
              </w:rPr>
            </w:pPr>
            <w:r w:rsidRPr="00566150">
              <w:rPr>
                <w:bCs/>
              </w:rPr>
              <w:t>40</w:t>
            </w:r>
          </w:p>
        </w:tc>
        <w:tc>
          <w:tcPr>
            <w:tcW w:w="851" w:type="dxa"/>
            <w:vAlign w:val="center"/>
          </w:tcPr>
          <w:p w:rsidR="0055491A" w:rsidRDefault="0055491A" w:rsidP="00210BF6">
            <w:pPr>
              <w:jc w:val="center"/>
              <w:rPr>
                <w:bCs/>
              </w:rPr>
            </w:pPr>
            <w:r>
              <w:rPr>
                <w:bCs/>
              </w:rPr>
              <w:t>3</w:t>
            </w:r>
          </w:p>
        </w:tc>
        <w:tc>
          <w:tcPr>
            <w:tcW w:w="1275" w:type="dxa"/>
            <w:vAlign w:val="center"/>
          </w:tcPr>
          <w:p w:rsidR="0055491A" w:rsidRDefault="0055491A" w:rsidP="00210BF6">
            <w:pPr>
              <w:jc w:val="center"/>
              <w:rPr>
                <w:bCs/>
              </w:rPr>
            </w:pPr>
            <w:r>
              <w:rPr>
                <w:bCs/>
              </w:rPr>
              <w:t>60</w:t>
            </w:r>
          </w:p>
        </w:tc>
        <w:tc>
          <w:tcPr>
            <w:tcW w:w="993" w:type="dxa"/>
            <w:vAlign w:val="center"/>
          </w:tcPr>
          <w:p w:rsidR="0055491A" w:rsidRDefault="0055491A" w:rsidP="00210BF6">
            <w:pPr>
              <w:jc w:val="center"/>
              <w:rPr>
                <w:bCs/>
              </w:rPr>
            </w:pPr>
            <w:r>
              <w:rPr>
                <w:bCs/>
              </w:rPr>
              <w:t>2</w:t>
            </w:r>
          </w:p>
        </w:tc>
        <w:tc>
          <w:tcPr>
            <w:tcW w:w="1417" w:type="dxa"/>
            <w:vAlign w:val="center"/>
          </w:tcPr>
          <w:p w:rsidR="0055491A" w:rsidRDefault="0055491A" w:rsidP="00210BF6">
            <w:pPr>
              <w:jc w:val="center"/>
              <w:rPr>
                <w:bCs/>
              </w:rPr>
            </w:pPr>
            <w:r>
              <w:rPr>
                <w:bCs/>
              </w:rPr>
              <w:t>40</w:t>
            </w:r>
          </w:p>
        </w:tc>
      </w:tr>
      <w:tr w:rsidR="0055491A" w:rsidRPr="00E428FB" w:rsidTr="00210BF6">
        <w:trPr>
          <w:trHeight w:val="279"/>
        </w:trPr>
        <w:tc>
          <w:tcPr>
            <w:tcW w:w="1588" w:type="dxa"/>
            <w:vAlign w:val="center"/>
          </w:tcPr>
          <w:p w:rsidR="0055491A" w:rsidRPr="00566150" w:rsidRDefault="0055491A" w:rsidP="00210BF6">
            <w:pPr>
              <w:rPr>
                <w:bCs/>
                <w:sz w:val="20"/>
                <w:szCs w:val="20"/>
              </w:rPr>
            </w:pPr>
            <w:r w:rsidRPr="00566150">
              <w:rPr>
                <w:bCs/>
                <w:sz w:val="20"/>
                <w:szCs w:val="20"/>
              </w:rPr>
              <w:t>ст. 7.29 ч. 1</w:t>
            </w:r>
          </w:p>
        </w:tc>
        <w:tc>
          <w:tcPr>
            <w:tcW w:w="964" w:type="dxa"/>
          </w:tcPr>
          <w:p w:rsidR="0055491A" w:rsidRPr="00566150" w:rsidRDefault="0055491A" w:rsidP="00210BF6">
            <w:pPr>
              <w:jc w:val="center"/>
              <w:rPr>
                <w:bCs/>
              </w:rPr>
            </w:pPr>
            <w:r w:rsidRPr="00566150">
              <w:rPr>
                <w:bCs/>
              </w:rPr>
              <w:t>30</w:t>
            </w:r>
          </w:p>
        </w:tc>
        <w:tc>
          <w:tcPr>
            <w:tcW w:w="850" w:type="dxa"/>
          </w:tcPr>
          <w:p w:rsidR="0055491A" w:rsidRPr="00566150" w:rsidRDefault="0055491A" w:rsidP="00210BF6">
            <w:pPr>
              <w:jc w:val="center"/>
              <w:rPr>
                <w:bCs/>
              </w:rPr>
            </w:pPr>
            <w:r w:rsidRPr="00566150">
              <w:rPr>
                <w:bCs/>
              </w:rPr>
              <w:t>2</w:t>
            </w:r>
          </w:p>
        </w:tc>
        <w:tc>
          <w:tcPr>
            <w:tcW w:w="1163" w:type="dxa"/>
          </w:tcPr>
          <w:p w:rsidR="0055491A" w:rsidRPr="00566150" w:rsidRDefault="0055491A" w:rsidP="00210BF6">
            <w:pPr>
              <w:jc w:val="center"/>
              <w:rPr>
                <w:bCs/>
              </w:rPr>
            </w:pPr>
            <w:r w:rsidRPr="00566150">
              <w:rPr>
                <w:bCs/>
              </w:rPr>
              <w:t>60</w:t>
            </w:r>
          </w:p>
        </w:tc>
        <w:tc>
          <w:tcPr>
            <w:tcW w:w="851" w:type="dxa"/>
          </w:tcPr>
          <w:p w:rsidR="0055491A" w:rsidRPr="001E6589" w:rsidRDefault="0055491A" w:rsidP="00210BF6">
            <w:pPr>
              <w:jc w:val="center"/>
              <w:rPr>
                <w:bCs/>
              </w:rPr>
            </w:pPr>
            <w:r>
              <w:rPr>
                <w:bCs/>
              </w:rPr>
              <w:t>2</w:t>
            </w:r>
          </w:p>
        </w:tc>
        <w:tc>
          <w:tcPr>
            <w:tcW w:w="1275" w:type="dxa"/>
          </w:tcPr>
          <w:p w:rsidR="0055491A" w:rsidRPr="001E6589" w:rsidRDefault="0055491A" w:rsidP="00210BF6">
            <w:pPr>
              <w:jc w:val="center"/>
              <w:rPr>
                <w:bCs/>
              </w:rPr>
            </w:pPr>
            <w:r>
              <w:rPr>
                <w:bCs/>
              </w:rPr>
              <w:t>60</w:t>
            </w:r>
          </w:p>
        </w:tc>
        <w:tc>
          <w:tcPr>
            <w:tcW w:w="993" w:type="dxa"/>
          </w:tcPr>
          <w:p w:rsidR="0055491A" w:rsidRPr="001E6589" w:rsidRDefault="0055491A" w:rsidP="00210BF6">
            <w:pPr>
              <w:jc w:val="center"/>
              <w:rPr>
                <w:bCs/>
              </w:rPr>
            </w:pPr>
            <w:r>
              <w:rPr>
                <w:bCs/>
              </w:rPr>
              <w:t>2</w:t>
            </w:r>
          </w:p>
        </w:tc>
        <w:tc>
          <w:tcPr>
            <w:tcW w:w="1417" w:type="dxa"/>
          </w:tcPr>
          <w:p w:rsidR="0055491A" w:rsidRPr="001E6589" w:rsidRDefault="0055491A" w:rsidP="00210BF6">
            <w:pPr>
              <w:jc w:val="center"/>
              <w:rPr>
                <w:bCs/>
              </w:rPr>
            </w:pPr>
            <w:r>
              <w:rPr>
                <w:bCs/>
              </w:rPr>
              <w:t>60</w:t>
            </w:r>
          </w:p>
        </w:tc>
      </w:tr>
      <w:tr w:rsidR="0055491A" w:rsidRPr="00E428FB" w:rsidTr="00210BF6">
        <w:trPr>
          <w:trHeight w:val="279"/>
        </w:trPr>
        <w:tc>
          <w:tcPr>
            <w:tcW w:w="1588" w:type="dxa"/>
            <w:vAlign w:val="center"/>
          </w:tcPr>
          <w:p w:rsidR="0055491A" w:rsidRPr="00566150" w:rsidRDefault="0055491A" w:rsidP="00210BF6">
            <w:pPr>
              <w:rPr>
                <w:bCs/>
                <w:sz w:val="20"/>
                <w:szCs w:val="20"/>
              </w:rPr>
            </w:pPr>
            <w:r w:rsidRPr="00566150">
              <w:rPr>
                <w:bCs/>
                <w:sz w:val="20"/>
                <w:szCs w:val="20"/>
              </w:rPr>
              <w:t>ст. 7.29 ч. 2</w:t>
            </w:r>
          </w:p>
        </w:tc>
        <w:tc>
          <w:tcPr>
            <w:tcW w:w="964" w:type="dxa"/>
          </w:tcPr>
          <w:p w:rsidR="0055491A" w:rsidRPr="00566150" w:rsidRDefault="0055491A" w:rsidP="00210BF6">
            <w:pPr>
              <w:jc w:val="center"/>
              <w:rPr>
                <w:bCs/>
              </w:rPr>
            </w:pPr>
            <w:r w:rsidRPr="00566150">
              <w:rPr>
                <w:bCs/>
              </w:rPr>
              <w:t>25</w:t>
            </w:r>
          </w:p>
        </w:tc>
        <w:tc>
          <w:tcPr>
            <w:tcW w:w="850" w:type="dxa"/>
          </w:tcPr>
          <w:p w:rsidR="0055491A" w:rsidRPr="00566150" w:rsidRDefault="0055491A" w:rsidP="00210BF6">
            <w:pPr>
              <w:jc w:val="center"/>
              <w:rPr>
                <w:bCs/>
              </w:rPr>
            </w:pPr>
            <w:r w:rsidRPr="00566150">
              <w:rPr>
                <w:bCs/>
              </w:rPr>
              <w:t>1</w:t>
            </w:r>
          </w:p>
        </w:tc>
        <w:tc>
          <w:tcPr>
            <w:tcW w:w="1163" w:type="dxa"/>
          </w:tcPr>
          <w:p w:rsidR="0055491A" w:rsidRPr="00566150" w:rsidRDefault="0055491A" w:rsidP="00210BF6">
            <w:pPr>
              <w:jc w:val="center"/>
              <w:rPr>
                <w:bCs/>
              </w:rPr>
            </w:pPr>
            <w:r w:rsidRPr="00566150">
              <w:rPr>
                <w:bCs/>
              </w:rPr>
              <w:t>25</w:t>
            </w:r>
          </w:p>
        </w:tc>
        <w:tc>
          <w:tcPr>
            <w:tcW w:w="851" w:type="dxa"/>
          </w:tcPr>
          <w:p w:rsidR="0055491A" w:rsidRDefault="0055491A" w:rsidP="00210BF6">
            <w:pPr>
              <w:jc w:val="center"/>
              <w:rPr>
                <w:bCs/>
              </w:rPr>
            </w:pPr>
            <w:r>
              <w:rPr>
                <w:bCs/>
              </w:rPr>
              <w:t>1</w:t>
            </w:r>
          </w:p>
        </w:tc>
        <w:tc>
          <w:tcPr>
            <w:tcW w:w="1275" w:type="dxa"/>
          </w:tcPr>
          <w:p w:rsidR="0055491A" w:rsidRDefault="0055491A" w:rsidP="00210BF6">
            <w:pPr>
              <w:jc w:val="center"/>
              <w:rPr>
                <w:bCs/>
              </w:rPr>
            </w:pPr>
            <w:r>
              <w:rPr>
                <w:bCs/>
              </w:rPr>
              <w:t>25</w:t>
            </w:r>
          </w:p>
        </w:tc>
        <w:tc>
          <w:tcPr>
            <w:tcW w:w="993" w:type="dxa"/>
          </w:tcPr>
          <w:p w:rsidR="0055491A" w:rsidRDefault="0055491A" w:rsidP="00210BF6">
            <w:pPr>
              <w:jc w:val="center"/>
              <w:rPr>
                <w:bCs/>
              </w:rPr>
            </w:pPr>
            <w:r>
              <w:rPr>
                <w:bCs/>
              </w:rPr>
              <w:t>1</w:t>
            </w:r>
          </w:p>
        </w:tc>
        <w:tc>
          <w:tcPr>
            <w:tcW w:w="1417" w:type="dxa"/>
          </w:tcPr>
          <w:p w:rsidR="0055491A" w:rsidRDefault="0055491A" w:rsidP="00210BF6">
            <w:pPr>
              <w:jc w:val="center"/>
              <w:rPr>
                <w:bCs/>
              </w:rPr>
            </w:pPr>
            <w:r>
              <w:rPr>
                <w:bCs/>
              </w:rPr>
              <w:t>25</w:t>
            </w:r>
          </w:p>
        </w:tc>
      </w:tr>
      <w:tr w:rsidR="0055491A" w:rsidRPr="00E428FB" w:rsidTr="00210BF6">
        <w:trPr>
          <w:trHeight w:val="269"/>
        </w:trPr>
        <w:tc>
          <w:tcPr>
            <w:tcW w:w="1588" w:type="dxa"/>
          </w:tcPr>
          <w:p w:rsidR="0055491A" w:rsidRPr="00566150" w:rsidRDefault="0055491A" w:rsidP="00210BF6">
            <w:r w:rsidRPr="00566150">
              <w:rPr>
                <w:sz w:val="16"/>
                <w:szCs w:val="16"/>
              </w:rPr>
              <w:t xml:space="preserve">ст. 7.30 ч. 1.2 </w:t>
            </w:r>
          </w:p>
        </w:tc>
        <w:tc>
          <w:tcPr>
            <w:tcW w:w="964" w:type="dxa"/>
          </w:tcPr>
          <w:p w:rsidR="0055491A" w:rsidRPr="00566150" w:rsidRDefault="0055491A" w:rsidP="00210BF6">
            <w:pPr>
              <w:jc w:val="center"/>
              <w:rPr>
                <w:bCs/>
              </w:rPr>
            </w:pPr>
            <w:r w:rsidRPr="00566150">
              <w:rPr>
                <w:bCs/>
              </w:rPr>
              <w:t>3</w:t>
            </w:r>
          </w:p>
        </w:tc>
        <w:tc>
          <w:tcPr>
            <w:tcW w:w="850" w:type="dxa"/>
          </w:tcPr>
          <w:p w:rsidR="0055491A" w:rsidRPr="00566150" w:rsidRDefault="0055491A" w:rsidP="00210BF6">
            <w:pPr>
              <w:jc w:val="center"/>
              <w:rPr>
                <w:bCs/>
              </w:rPr>
            </w:pPr>
            <w:r w:rsidRPr="00566150">
              <w:rPr>
                <w:bCs/>
              </w:rPr>
              <w:t>1</w:t>
            </w:r>
          </w:p>
        </w:tc>
        <w:tc>
          <w:tcPr>
            <w:tcW w:w="1163" w:type="dxa"/>
          </w:tcPr>
          <w:p w:rsidR="0055491A" w:rsidRPr="00566150" w:rsidRDefault="0055491A" w:rsidP="00210BF6">
            <w:pPr>
              <w:jc w:val="center"/>
              <w:rPr>
                <w:bCs/>
              </w:rPr>
            </w:pPr>
            <w:r w:rsidRPr="00566150">
              <w:rPr>
                <w:bCs/>
              </w:rPr>
              <w:t>3</w:t>
            </w:r>
          </w:p>
        </w:tc>
        <w:tc>
          <w:tcPr>
            <w:tcW w:w="851" w:type="dxa"/>
          </w:tcPr>
          <w:p w:rsidR="0055491A" w:rsidRPr="001E6589" w:rsidRDefault="0055491A" w:rsidP="00210BF6">
            <w:pPr>
              <w:jc w:val="center"/>
              <w:rPr>
                <w:bCs/>
              </w:rPr>
            </w:pPr>
            <w:r w:rsidRPr="001E6589">
              <w:rPr>
                <w:bCs/>
              </w:rPr>
              <w:t>1</w:t>
            </w:r>
          </w:p>
        </w:tc>
        <w:tc>
          <w:tcPr>
            <w:tcW w:w="1275" w:type="dxa"/>
          </w:tcPr>
          <w:p w:rsidR="0055491A" w:rsidRPr="001E6589" w:rsidRDefault="0055491A" w:rsidP="00210BF6">
            <w:pPr>
              <w:jc w:val="center"/>
              <w:rPr>
                <w:bCs/>
              </w:rPr>
            </w:pPr>
            <w:r w:rsidRPr="001E6589">
              <w:rPr>
                <w:bCs/>
              </w:rPr>
              <w:t>3</w:t>
            </w:r>
          </w:p>
        </w:tc>
        <w:tc>
          <w:tcPr>
            <w:tcW w:w="993" w:type="dxa"/>
          </w:tcPr>
          <w:p w:rsidR="0055491A" w:rsidRPr="001E6589" w:rsidRDefault="0055491A" w:rsidP="00210BF6">
            <w:pPr>
              <w:jc w:val="center"/>
              <w:rPr>
                <w:bCs/>
              </w:rPr>
            </w:pPr>
            <w:r>
              <w:rPr>
                <w:bCs/>
              </w:rPr>
              <w:t>1</w:t>
            </w:r>
          </w:p>
        </w:tc>
        <w:tc>
          <w:tcPr>
            <w:tcW w:w="1417" w:type="dxa"/>
          </w:tcPr>
          <w:p w:rsidR="0055491A" w:rsidRPr="001E6589" w:rsidRDefault="0055491A" w:rsidP="00210BF6">
            <w:pPr>
              <w:jc w:val="center"/>
              <w:rPr>
                <w:bCs/>
              </w:rPr>
            </w:pPr>
            <w:r>
              <w:rPr>
                <w:bCs/>
              </w:rPr>
              <w:t>3</w:t>
            </w:r>
          </w:p>
        </w:tc>
      </w:tr>
      <w:tr w:rsidR="0055491A" w:rsidRPr="00E428FB" w:rsidTr="00210BF6">
        <w:trPr>
          <w:trHeight w:val="273"/>
        </w:trPr>
        <w:tc>
          <w:tcPr>
            <w:tcW w:w="1588" w:type="dxa"/>
          </w:tcPr>
          <w:p w:rsidR="0055491A" w:rsidRPr="00566150" w:rsidRDefault="0055491A" w:rsidP="00210BF6">
            <w:pPr>
              <w:jc w:val="center"/>
              <w:rPr>
                <w:b/>
                <w:bCs/>
              </w:rPr>
            </w:pPr>
            <w:r w:rsidRPr="00566150">
              <w:rPr>
                <w:sz w:val="16"/>
                <w:szCs w:val="16"/>
              </w:rPr>
              <w:t>ст. 7.30 ч. 4.2 КоАП</w:t>
            </w:r>
          </w:p>
        </w:tc>
        <w:tc>
          <w:tcPr>
            <w:tcW w:w="964" w:type="dxa"/>
          </w:tcPr>
          <w:p w:rsidR="0055491A" w:rsidRPr="00566150" w:rsidRDefault="0055491A" w:rsidP="00210BF6">
            <w:pPr>
              <w:jc w:val="center"/>
              <w:rPr>
                <w:bCs/>
              </w:rPr>
            </w:pPr>
            <w:r w:rsidRPr="00566150">
              <w:rPr>
                <w:bCs/>
              </w:rPr>
              <w:t>3</w:t>
            </w:r>
          </w:p>
        </w:tc>
        <w:tc>
          <w:tcPr>
            <w:tcW w:w="850" w:type="dxa"/>
          </w:tcPr>
          <w:p w:rsidR="0055491A" w:rsidRPr="00566150" w:rsidRDefault="0055491A" w:rsidP="00210BF6">
            <w:pPr>
              <w:jc w:val="center"/>
              <w:rPr>
                <w:bCs/>
              </w:rPr>
            </w:pPr>
            <w:r w:rsidRPr="00566150">
              <w:rPr>
                <w:bCs/>
              </w:rPr>
              <w:t>1</w:t>
            </w:r>
          </w:p>
        </w:tc>
        <w:tc>
          <w:tcPr>
            <w:tcW w:w="1163" w:type="dxa"/>
          </w:tcPr>
          <w:p w:rsidR="0055491A" w:rsidRPr="00566150" w:rsidRDefault="0055491A" w:rsidP="00210BF6">
            <w:pPr>
              <w:jc w:val="center"/>
              <w:rPr>
                <w:bCs/>
              </w:rPr>
            </w:pPr>
            <w:r w:rsidRPr="00566150">
              <w:rPr>
                <w:bCs/>
              </w:rPr>
              <w:t>3</w:t>
            </w:r>
          </w:p>
        </w:tc>
        <w:tc>
          <w:tcPr>
            <w:tcW w:w="851" w:type="dxa"/>
          </w:tcPr>
          <w:p w:rsidR="0055491A" w:rsidRPr="001E6589" w:rsidRDefault="0055491A" w:rsidP="00210BF6">
            <w:pPr>
              <w:jc w:val="center"/>
              <w:rPr>
                <w:bCs/>
              </w:rPr>
            </w:pPr>
            <w:r w:rsidRPr="001E6589">
              <w:rPr>
                <w:bCs/>
              </w:rPr>
              <w:t>1</w:t>
            </w:r>
          </w:p>
        </w:tc>
        <w:tc>
          <w:tcPr>
            <w:tcW w:w="1275" w:type="dxa"/>
          </w:tcPr>
          <w:p w:rsidR="0055491A" w:rsidRPr="001E6589" w:rsidRDefault="0055491A" w:rsidP="00210BF6">
            <w:pPr>
              <w:jc w:val="center"/>
              <w:rPr>
                <w:bCs/>
              </w:rPr>
            </w:pPr>
            <w:r w:rsidRPr="001E6589">
              <w:rPr>
                <w:bCs/>
              </w:rPr>
              <w:t>3</w:t>
            </w:r>
          </w:p>
        </w:tc>
        <w:tc>
          <w:tcPr>
            <w:tcW w:w="993" w:type="dxa"/>
          </w:tcPr>
          <w:p w:rsidR="0055491A" w:rsidRPr="001E6589" w:rsidRDefault="0055491A" w:rsidP="00210BF6">
            <w:pPr>
              <w:jc w:val="center"/>
              <w:rPr>
                <w:bCs/>
              </w:rPr>
            </w:pPr>
            <w:r w:rsidRPr="001E6589">
              <w:rPr>
                <w:bCs/>
              </w:rPr>
              <w:t>1</w:t>
            </w:r>
          </w:p>
        </w:tc>
        <w:tc>
          <w:tcPr>
            <w:tcW w:w="1417" w:type="dxa"/>
          </w:tcPr>
          <w:p w:rsidR="0055491A" w:rsidRPr="001E6589" w:rsidRDefault="0055491A" w:rsidP="00210BF6">
            <w:pPr>
              <w:jc w:val="center"/>
              <w:rPr>
                <w:bCs/>
              </w:rPr>
            </w:pPr>
            <w:r w:rsidRPr="001E6589">
              <w:rPr>
                <w:bCs/>
              </w:rPr>
              <w:t>3</w:t>
            </w:r>
          </w:p>
        </w:tc>
      </w:tr>
      <w:tr w:rsidR="0055491A" w:rsidRPr="00E428FB" w:rsidTr="00210BF6">
        <w:trPr>
          <w:trHeight w:val="273"/>
        </w:trPr>
        <w:tc>
          <w:tcPr>
            <w:tcW w:w="1588" w:type="dxa"/>
          </w:tcPr>
          <w:p w:rsidR="0055491A" w:rsidRPr="00566150" w:rsidRDefault="0055491A" w:rsidP="00210BF6">
            <w:pPr>
              <w:rPr>
                <w:sz w:val="16"/>
                <w:szCs w:val="16"/>
              </w:rPr>
            </w:pPr>
            <w:r w:rsidRPr="00566150">
              <w:rPr>
                <w:sz w:val="16"/>
                <w:szCs w:val="16"/>
              </w:rPr>
              <w:t>ст. 7.30 ч. 3</w:t>
            </w:r>
          </w:p>
        </w:tc>
        <w:tc>
          <w:tcPr>
            <w:tcW w:w="964" w:type="dxa"/>
          </w:tcPr>
          <w:p w:rsidR="0055491A" w:rsidRPr="00566150" w:rsidRDefault="0055491A" w:rsidP="00210BF6">
            <w:pPr>
              <w:jc w:val="center"/>
              <w:rPr>
                <w:bCs/>
              </w:rPr>
            </w:pPr>
            <w:r w:rsidRPr="00566150">
              <w:rPr>
                <w:bCs/>
              </w:rPr>
              <w:t>25</w:t>
            </w:r>
          </w:p>
        </w:tc>
        <w:tc>
          <w:tcPr>
            <w:tcW w:w="850" w:type="dxa"/>
          </w:tcPr>
          <w:p w:rsidR="0055491A" w:rsidRPr="00566150" w:rsidRDefault="0055491A" w:rsidP="00210BF6">
            <w:pPr>
              <w:jc w:val="center"/>
              <w:rPr>
                <w:bCs/>
              </w:rPr>
            </w:pPr>
            <w:r w:rsidRPr="00566150">
              <w:rPr>
                <w:bCs/>
              </w:rPr>
              <w:t>1</w:t>
            </w:r>
          </w:p>
        </w:tc>
        <w:tc>
          <w:tcPr>
            <w:tcW w:w="1163" w:type="dxa"/>
          </w:tcPr>
          <w:p w:rsidR="0055491A" w:rsidRPr="00566150" w:rsidRDefault="0055491A" w:rsidP="00210BF6">
            <w:pPr>
              <w:jc w:val="center"/>
              <w:rPr>
                <w:bCs/>
              </w:rPr>
            </w:pPr>
            <w:r w:rsidRPr="00566150">
              <w:rPr>
                <w:bCs/>
              </w:rPr>
              <w:t>25</w:t>
            </w:r>
          </w:p>
        </w:tc>
        <w:tc>
          <w:tcPr>
            <w:tcW w:w="851" w:type="dxa"/>
          </w:tcPr>
          <w:p w:rsidR="0055491A" w:rsidRPr="001E6589" w:rsidRDefault="0055491A" w:rsidP="00210BF6">
            <w:pPr>
              <w:jc w:val="center"/>
              <w:rPr>
                <w:bCs/>
              </w:rPr>
            </w:pPr>
            <w:r>
              <w:rPr>
                <w:bCs/>
              </w:rPr>
              <w:t>1</w:t>
            </w:r>
          </w:p>
        </w:tc>
        <w:tc>
          <w:tcPr>
            <w:tcW w:w="1275" w:type="dxa"/>
          </w:tcPr>
          <w:p w:rsidR="0055491A" w:rsidRPr="001E6589" w:rsidRDefault="0055491A" w:rsidP="00210BF6">
            <w:pPr>
              <w:jc w:val="center"/>
              <w:rPr>
                <w:bCs/>
              </w:rPr>
            </w:pPr>
            <w:r>
              <w:rPr>
                <w:bCs/>
              </w:rPr>
              <w:t>25</w:t>
            </w:r>
          </w:p>
        </w:tc>
        <w:tc>
          <w:tcPr>
            <w:tcW w:w="993" w:type="dxa"/>
          </w:tcPr>
          <w:p w:rsidR="0055491A" w:rsidRPr="001E6589" w:rsidRDefault="0055491A" w:rsidP="00210BF6">
            <w:pPr>
              <w:jc w:val="center"/>
              <w:rPr>
                <w:bCs/>
              </w:rPr>
            </w:pPr>
            <w:r>
              <w:rPr>
                <w:bCs/>
              </w:rPr>
              <w:t>1</w:t>
            </w:r>
          </w:p>
        </w:tc>
        <w:tc>
          <w:tcPr>
            <w:tcW w:w="1417" w:type="dxa"/>
          </w:tcPr>
          <w:p w:rsidR="0055491A" w:rsidRPr="001E6589" w:rsidRDefault="0055491A" w:rsidP="00210BF6">
            <w:pPr>
              <w:jc w:val="center"/>
              <w:rPr>
                <w:bCs/>
              </w:rPr>
            </w:pPr>
            <w:r>
              <w:rPr>
                <w:bCs/>
              </w:rPr>
              <w:t>25</w:t>
            </w:r>
          </w:p>
        </w:tc>
      </w:tr>
      <w:tr w:rsidR="0055491A" w:rsidRPr="00E428FB" w:rsidTr="00210BF6">
        <w:trPr>
          <w:trHeight w:val="273"/>
        </w:trPr>
        <w:tc>
          <w:tcPr>
            <w:tcW w:w="1588" w:type="dxa"/>
          </w:tcPr>
          <w:p w:rsidR="0055491A" w:rsidRPr="00566150" w:rsidRDefault="0055491A" w:rsidP="00210BF6">
            <w:pPr>
              <w:rPr>
                <w:sz w:val="16"/>
                <w:szCs w:val="16"/>
              </w:rPr>
            </w:pPr>
            <w:r w:rsidRPr="00566150">
              <w:rPr>
                <w:sz w:val="16"/>
                <w:szCs w:val="16"/>
              </w:rPr>
              <w:t>ст. 7.30 ч. 1.4</w:t>
            </w:r>
          </w:p>
        </w:tc>
        <w:tc>
          <w:tcPr>
            <w:tcW w:w="964" w:type="dxa"/>
          </w:tcPr>
          <w:p w:rsidR="0055491A" w:rsidRPr="00566150" w:rsidRDefault="0055491A" w:rsidP="00210BF6">
            <w:pPr>
              <w:jc w:val="center"/>
              <w:rPr>
                <w:bCs/>
              </w:rPr>
            </w:pPr>
            <w:r w:rsidRPr="00566150">
              <w:rPr>
                <w:bCs/>
              </w:rPr>
              <w:t>15</w:t>
            </w:r>
          </w:p>
        </w:tc>
        <w:tc>
          <w:tcPr>
            <w:tcW w:w="850" w:type="dxa"/>
          </w:tcPr>
          <w:p w:rsidR="0055491A" w:rsidRPr="00566150" w:rsidRDefault="0055491A" w:rsidP="00210BF6">
            <w:pPr>
              <w:jc w:val="center"/>
              <w:rPr>
                <w:bCs/>
              </w:rPr>
            </w:pPr>
            <w:r w:rsidRPr="00566150">
              <w:rPr>
                <w:bCs/>
              </w:rPr>
              <w:t>1</w:t>
            </w:r>
          </w:p>
        </w:tc>
        <w:tc>
          <w:tcPr>
            <w:tcW w:w="1163" w:type="dxa"/>
          </w:tcPr>
          <w:p w:rsidR="0055491A" w:rsidRPr="00566150" w:rsidRDefault="0055491A" w:rsidP="00210BF6">
            <w:pPr>
              <w:jc w:val="center"/>
              <w:rPr>
                <w:bCs/>
              </w:rPr>
            </w:pPr>
            <w:r w:rsidRPr="00566150">
              <w:rPr>
                <w:bCs/>
              </w:rPr>
              <w:t>15</w:t>
            </w:r>
          </w:p>
        </w:tc>
        <w:tc>
          <w:tcPr>
            <w:tcW w:w="851" w:type="dxa"/>
          </w:tcPr>
          <w:p w:rsidR="0055491A" w:rsidRPr="001E6589" w:rsidRDefault="0055491A" w:rsidP="00210BF6">
            <w:pPr>
              <w:jc w:val="center"/>
              <w:rPr>
                <w:bCs/>
              </w:rPr>
            </w:pPr>
            <w:r>
              <w:rPr>
                <w:bCs/>
              </w:rPr>
              <w:t>1</w:t>
            </w:r>
          </w:p>
        </w:tc>
        <w:tc>
          <w:tcPr>
            <w:tcW w:w="1275" w:type="dxa"/>
          </w:tcPr>
          <w:p w:rsidR="0055491A" w:rsidRPr="001E6589" w:rsidRDefault="0055491A" w:rsidP="00210BF6">
            <w:pPr>
              <w:jc w:val="center"/>
              <w:rPr>
                <w:bCs/>
              </w:rPr>
            </w:pPr>
            <w:r>
              <w:rPr>
                <w:bCs/>
              </w:rPr>
              <w:t>15</w:t>
            </w:r>
          </w:p>
        </w:tc>
        <w:tc>
          <w:tcPr>
            <w:tcW w:w="993" w:type="dxa"/>
          </w:tcPr>
          <w:p w:rsidR="0055491A" w:rsidRPr="001E6589" w:rsidRDefault="0055491A" w:rsidP="00210BF6">
            <w:pPr>
              <w:jc w:val="center"/>
              <w:rPr>
                <w:bCs/>
              </w:rPr>
            </w:pPr>
            <w:r>
              <w:rPr>
                <w:bCs/>
              </w:rPr>
              <w:t>1</w:t>
            </w:r>
          </w:p>
        </w:tc>
        <w:tc>
          <w:tcPr>
            <w:tcW w:w="1417" w:type="dxa"/>
          </w:tcPr>
          <w:p w:rsidR="0055491A" w:rsidRPr="001E6589" w:rsidRDefault="0055491A" w:rsidP="00210BF6">
            <w:pPr>
              <w:jc w:val="center"/>
              <w:rPr>
                <w:bCs/>
              </w:rPr>
            </w:pPr>
            <w:r>
              <w:rPr>
                <w:bCs/>
              </w:rPr>
              <w:t>15</w:t>
            </w:r>
          </w:p>
        </w:tc>
      </w:tr>
      <w:tr w:rsidR="0055491A" w:rsidRPr="00E428FB" w:rsidTr="00210BF6">
        <w:trPr>
          <w:trHeight w:val="575"/>
        </w:trPr>
        <w:tc>
          <w:tcPr>
            <w:tcW w:w="1588" w:type="dxa"/>
            <w:vAlign w:val="center"/>
          </w:tcPr>
          <w:p w:rsidR="0055491A" w:rsidRPr="00F80477" w:rsidRDefault="0055491A" w:rsidP="00210BF6">
            <w:pPr>
              <w:jc w:val="center"/>
              <w:rPr>
                <w:b/>
                <w:bCs/>
              </w:rPr>
            </w:pPr>
            <w:r w:rsidRPr="00F80477">
              <w:rPr>
                <w:b/>
                <w:bCs/>
              </w:rPr>
              <w:t>ИТОГО</w:t>
            </w:r>
          </w:p>
        </w:tc>
        <w:tc>
          <w:tcPr>
            <w:tcW w:w="964" w:type="dxa"/>
            <w:vAlign w:val="center"/>
          </w:tcPr>
          <w:p w:rsidR="0055491A" w:rsidRPr="00F80477" w:rsidRDefault="0055491A" w:rsidP="00210BF6">
            <w:pPr>
              <w:jc w:val="center"/>
              <w:rPr>
                <w:b/>
                <w:bCs/>
              </w:rPr>
            </w:pPr>
          </w:p>
        </w:tc>
        <w:tc>
          <w:tcPr>
            <w:tcW w:w="850" w:type="dxa"/>
            <w:vAlign w:val="center"/>
          </w:tcPr>
          <w:p w:rsidR="0055491A" w:rsidRPr="00F80477" w:rsidRDefault="0055491A" w:rsidP="00210BF6">
            <w:pPr>
              <w:jc w:val="center"/>
              <w:rPr>
                <w:b/>
                <w:bCs/>
              </w:rPr>
            </w:pPr>
          </w:p>
        </w:tc>
        <w:tc>
          <w:tcPr>
            <w:tcW w:w="1163" w:type="dxa"/>
            <w:vAlign w:val="center"/>
          </w:tcPr>
          <w:p w:rsidR="0055491A" w:rsidRPr="00F80477" w:rsidRDefault="0055491A" w:rsidP="00210BF6">
            <w:pPr>
              <w:jc w:val="center"/>
              <w:rPr>
                <w:b/>
                <w:bCs/>
              </w:rPr>
            </w:pPr>
            <w:r>
              <w:rPr>
                <w:b/>
                <w:bCs/>
              </w:rPr>
              <w:t>1 016</w:t>
            </w:r>
          </w:p>
        </w:tc>
        <w:tc>
          <w:tcPr>
            <w:tcW w:w="851" w:type="dxa"/>
            <w:vAlign w:val="center"/>
          </w:tcPr>
          <w:p w:rsidR="0055491A" w:rsidRPr="00F80477" w:rsidRDefault="0055491A" w:rsidP="00210BF6">
            <w:pPr>
              <w:jc w:val="center"/>
              <w:rPr>
                <w:b/>
                <w:bCs/>
              </w:rPr>
            </w:pPr>
          </w:p>
        </w:tc>
        <w:tc>
          <w:tcPr>
            <w:tcW w:w="1275" w:type="dxa"/>
            <w:vAlign w:val="center"/>
          </w:tcPr>
          <w:p w:rsidR="0055491A" w:rsidRPr="00F80477" w:rsidRDefault="0055491A" w:rsidP="00210BF6">
            <w:pPr>
              <w:jc w:val="center"/>
              <w:rPr>
                <w:b/>
                <w:bCs/>
              </w:rPr>
            </w:pPr>
            <w:r>
              <w:rPr>
                <w:b/>
                <w:bCs/>
              </w:rPr>
              <w:t>951</w:t>
            </w:r>
          </w:p>
        </w:tc>
        <w:tc>
          <w:tcPr>
            <w:tcW w:w="993" w:type="dxa"/>
            <w:vAlign w:val="center"/>
          </w:tcPr>
          <w:p w:rsidR="0055491A" w:rsidRPr="00F80477" w:rsidRDefault="0055491A" w:rsidP="00210BF6">
            <w:pPr>
              <w:jc w:val="center"/>
              <w:rPr>
                <w:b/>
                <w:bCs/>
              </w:rPr>
            </w:pPr>
          </w:p>
        </w:tc>
        <w:tc>
          <w:tcPr>
            <w:tcW w:w="1417" w:type="dxa"/>
            <w:vAlign w:val="center"/>
          </w:tcPr>
          <w:p w:rsidR="0055491A" w:rsidRPr="00F80477" w:rsidRDefault="0055491A" w:rsidP="00210BF6">
            <w:pPr>
              <w:jc w:val="center"/>
              <w:rPr>
                <w:b/>
                <w:bCs/>
              </w:rPr>
            </w:pPr>
            <w:r>
              <w:rPr>
                <w:b/>
                <w:bCs/>
              </w:rPr>
              <w:t>996</w:t>
            </w:r>
          </w:p>
        </w:tc>
      </w:tr>
    </w:tbl>
    <w:p w:rsidR="0055491A" w:rsidRDefault="0055491A" w:rsidP="0055491A">
      <w:pPr>
        <w:pStyle w:val="a7"/>
        <w:spacing w:after="0"/>
        <w:ind w:left="0" w:firstLine="709"/>
        <w:jc w:val="both"/>
        <w:rPr>
          <w:sz w:val="28"/>
          <w:szCs w:val="28"/>
        </w:rPr>
      </w:pPr>
    </w:p>
    <w:p w:rsidR="0055491A" w:rsidRDefault="0055491A" w:rsidP="0055491A">
      <w:pPr>
        <w:pStyle w:val="a7"/>
        <w:spacing w:after="0"/>
        <w:ind w:left="0" w:firstLine="709"/>
        <w:jc w:val="both"/>
        <w:rPr>
          <w:sz w:val="28"/>
          <w:szCs w:val="28"/>
        </w:rPr>
      </w:pPr>
      <w:r>
        <w:rPr>
          <w:sz w:val="28"/>
          <w:szCs w:val="28"/>
        </w:rPr>
        <w:t xml:space="preserve">3.5 </w:t>
      </w:r>
      <w:r w:rsidRPr="0064605E">
        <w:rPr>
          <w:b/>
          <w:sz w:val="28"/>
          <w:szCs w:val="28"/>
        </w:rPr>
        <w:t>КБК 075 1 16 01073 01 0000 140</w:t>
      </w:r>
      <w:r>
        <w:rPr>
          <w:b/>
          <w:sz w:val="28"/>
          <w:szCs w:val="28"/>
        </w:rPr>
        <w:t xml:space="preserve"> </w:t>
      </w:r>
      <w:r w:rsidRPr="0064605E">
        <w:rPr>
          <w:sz w:val="28"/>
          <w:szCs w:val="28"/>
        </w:rPr>
        <w:t>А</w:t>
      </w:r>
      <w:r w:rsidRPr="00F80477">
        <w:rPr>
          <w:sz w:val="28"/>
          <w:szCs w:val="28"/>
        </w:rPr>
        <w:t>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r>
        <w:rPr>
          <w:sz w:val="28"/>
          <w:szCs w:val="28"/>
        </w:rPr>
        <w:t>.</w:t>
      </w:r>
    </w:p>
    <w:p w:rsidR="0055491A" w:rsidRPr="0064605E" w:rsidRDefault="0055491A" w:rsidP="0055491A">
      <w:pPr>
        <w:pStyle w:val="a7"/>
        <w:spacing w:after="0"/>
        <w:ind w:left="0" w:firstLine="709"/>
        <w:jc w:val="both"/>
        <w:rPr>
          <w:b/>
          <w:sz w:val="28"/>
          <w:szCs w:val="28"/>
        </w:rPr>
      </w:pPr>
      <w:r w:rsidRPr="0064605E">
        <w:rPr>
          <w:b/>
          <w:sz w:val="28"/>
          <w:szCs w:val="28"/>
        </w:rPr>
        <w:t>Главный администратор доходов – Министерство образования Тверской области.</w:t>
      </w:r>
    </w:p>
    <w:p w:rsidR="0055491A" w:rsidRDefault="0055491A" w:rsidP="0055491A">
      <w:pPr>
        <w:pStyle w:val="a7"/>
        <w:spacing w:after="0"/>
        <w:ind w:left="0" w:firstLine="709"/>
        <w:jc w:val="right"/>
        <w:rPr>
          <w:sz w:val="28"/>
          <w:szCs w:val="28"/>
        </w:rPr>
      </w:pPr>
      <w:r w:rsidRPr="00AD0448">
        <w:t>тыс. руб</w:t>
      </w:r>
      <w:r>
        <w:rPr>
          <w:sz w:val="28"/>
          <w:szCs w:val="28"/>
        </w:rPr>
        <w:t>.</w:t>
      </w:r>
    </w:p>
    <w:tbl>
      <w:tblPr>
        <w:tblW w:w="9303" w:type="dxa"/>
        <w:tblInd w:w="-5" w:type="dxa"/>
        <w:tblLayout w:type="fixed"/>
        <w:tblLook w:val="04A0" w:firstRow="1" w:lastRow="0" w:firstColumn="1" w:lastColumn="0" w:noHBand="0" w:noVBand="1"/>
      </w:tblPr>
      <w:tblGrid>
        <w:gridCol w:w="1276"/>
        <w:gridCol w:w="1335"/>
        <w:gridCol w:w="1335"/>
        <w:gridCol w:w="1335"/>
        <w:gridCol w:w="1335"/>
        <w:gridCol w:w="1335"/>
        <w:gridCol w:w="1336"/>
        <w:gridCol w:w="16"/>
      </w:tblGrid>
      <w:tr w:rsidR="0055491A" w:rsidRPr="0064605E" w:rsidTr="00210BF6">
        <w:trPr>
          <w:trHeight w:val="300"/>
        </w:trPr>
        <w:tc>
          <w:tcPr>
            <w:tcW w:w="9303"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5491A" w:rsidRPr="0064605E" w:rsidRDefault="0055491A" w:rsidP="00210BF6">
            <w:pPr>
              <w:jc w:val="center"/>
              <w:rPr>
                <w:b/>
                <w:bCs/>
                <w:color w:val="000000"/>
                <w:sz w:val="22"/>
                <w:szCs w:val="22"/>
              </w:rPr>
            </w:pPr>
            <w:r w:rsidRPr="0064605E">
              <w:rPr>
                <w:b/>
                <w:bCs/>
                <w:color w:val="000000"/>
                <w:sz w:val="22"/>
                <w:szCs w:val="22"/>
              </w:rPr>
              <w:t>Глава 7 КоАП РФ</w:t>
            </w:r>
          </w:p>
        </w:tc>
      </w:tr>
      <w:tr w:rsidR="0055491A" w:rsidRPr="0064605E" w:rsidTr="00210BF6">
        <w:trPr>
          <w:gridAfter w:val="1"/>
          <w:wAfter w:w="16" w:type="dxa"/>
          <w:trHeight w:val="609"/>
        </w:trPr>
        <w:tc>
          <w:tcPr>
            <w:tcW w:w="1276" w:type="dxa"/>
            <w:vMerge w:val="restart"/>
            <w:tcBorders>
              <w:top w:val="nil"/>
              <w:left w:val="single" w:sz="4" w:space="0" w:color="auto"/>
              <w:bottom w:val="single" w:sz="4" w:space="0" w:color="auto"/>
              <w:right w:val="single" w:sz="4" w:space="0" w:color="auto"/>
            </w:tcBorders>
            <w:shd w:val="clear" w:color="auto" w:fill="auto"/>
            <w:vAlign w:val="bottom"/>
            <w:hideMark/>
          </w:tcPr>
          <w:p w:rsidR="0055491A" w:rsidRPr="0064605E" w:rsidRDefault="0055491A" w:rsidP="00210BF6">
            <w:pPr>
              <w:jc w:val="center"/>
              <w:rPr>
                <w:b/>
                <w:bCs/>
                <w:color w:val="000000"/>
                <w:sz w:val="22"/>
                <w:szCs w:val="22"/>
              </w:rPr>
            </w:pPr>
            <w:r w:rsidRPr="0064605E">
              <w:rPr>
                <w:b/>
                <w:bCs/>
                <w:color w:val="000000"/>
                <w:sz w:val="22"/>
                <w:szCs w:val="22"/>
              </w:rPr>
              <w:t>Размер платежа (тыс.руб.)</w:t>
            </w:r>
          </w:p>
        </w:tc>
        <w:tc>
          <w:tcPr>
            <w:tcW w:w="4005" w:type="dxa"/>
            <w:gridSpan w:val="3"/>
            <w:tcBorders>
              <w:top w:val="single" w:sz="4" w:space="0" w:color="auto"/>
              <w:left w:val="nil"/>
              <w:bottom w:val="single" w:sz="4" w:space="0" w:color="auto"/>
              <w:right w:val="single" w:sz="4" w:space="0" w:color="auto"/>
            </w:tcBorders>
            <w:shd w:val="clear" w:color="auto" w:fill="auto"/>
            <w:vAlign w:val="bottom"/>
            <w:hideMark/>
          </w:tcPr>
          <w:p w:rsidR="0055491A" w:rsidRPr="0064605E" w:rsidRDefault="0055491A" w:rsidP="00210BF6">
            <w:pPr>
              <w:jc w:val="center"/>
              <w:rPr>
                <w:b/>
                <w:bCs/>
                <w:color w:val="000000"/>
                <w:sz w:val="22"/>
                <w:szCs w:val="22"/>
              </w:rPr>
            </w:pPr>
            <w:r w:rsidRPr="0064605E">
              <w:rPr>
                <w:b/>
                <w:bCs/>
                <w:color w:val="000000"/>
                <w:sz w:val="22"/>
                <w:szCs w:val="22"/>
              </w:rPr>
              <w:t>Количество правонарушений (с учетом округления)</w:t>
            </w:r>
          </w:p>
        </w:tc>
        <w:tc>
          <w:tcPr>
            <w:tcW w:w="4006" w:type="dxa"/>
            <w:gridSpan w:val="3"/>
            <w:tcBorders>
              <w:top w:val="single" w:sz="4" w:space="0" w:color="auto"/>
              <w:left w:val="nil"/>
              <w:bottom w:val="single" w:sz="4" w:space="0" w:color="auto"/>
              <w:right w:val="single" w:sz="4" w:space="0" w:color="auto"/>
            </w:tcBorders>
            <w:shd w:val="clear" w:color="auto" w:fill="auto"/>
            <w:noWrap/>
            <w:vAlign w:val="bottom"/>
            <w:hideMark/>
          </w:tcPr>
          <w:p w:rsidR="0055491A" w:rsidRPr="0064605E" w:rsidRDefault="0055491A" w:rsidP="00210BF6">
            <w:pPr>
              <w:jc w:val="center"/>
              <w:rPr>
                <w:b/>
                <w:bCs/>
                <w:color w:val="000000"/>
                <w:sz w:val="22"/>
                <w:szCs w:val="22"/>
              </w:rPr>
            </w:pPr>
            <w:r w:rsidRPr="0064605E">
              <w:rPr>
                <w:b/>
                <w:bCs/>
                <w:color w:val="000000"/>
                <w:sz w:val="22"/>
                <w:szCs w:val="22"/>
              </w:rPr>
              <w:t>Прогноз</w:t>
            </w:r>
          </w:p>
        </w:tc>
      </w:tr>
      <w:tr w:rsidR="0055491A" w:rsidRPr="0064605E" w:rsidTr="00210BF6">
        <w:trPr>
          <w:gridAfter w:val="1"/>
          <w:wAfter w:w="16" w:type="dxa"/>
          <w:trHeight w:val="300"/>
        </w:trPr>
        <w:tc>
          <w:tcPr>
            <w:tcW w:w="1276" w:type="dxa"/>
            <w:vMerge/>
            <w:tcBorders>
              <w:top w:val="nil"/>
              <w:left w:val="single" w:sz="4" w:space="0" w:color="auto"/>
              <w:bottom w:val="single" w:sz="4" w:space="0" w:color="auto"/>
              <w:right w:val="single" w:sz="4" w:space="0" w:color="auto"/>
            </w:tcBorders>
            <w:vAlign w:val="center"/>
            <w:hideMark/>
          </w:tcPr>
          <w:p w:rsidR="0055491A" w:rsidRPr="0064605E" w:rsidRDefault="0055491A" w:rsidP="00210BF6">
            <w:pPr>
              <w:rPr>
                <w:b/>
                <w:bCs/>
                <w:color w:val="000000"/>
                <w:sz w:val="22"/>
                <w:szCs w:val="22"/>
              </w:rPr>
            </w:pPr>
          </w:p>
        </w:tc>
        <w:tc>
          <w:tcPr>
            <w:tcW w:w="1335" w:type="dxa"/>
            <w:tcBorders>
              <w:top w:val="nil"/>
              <w:left w:val="nil"/>
              <w:bottom w:val="single" w:sz="4" w:space="0" w:color="auto"/>
              <w:right w:val="single" w:sz="4" w:space="0" w:color="auto"/>
            </w:tcBorders>
            <w:shd w:val="clear" w:color="auto" w:fill="auto"/>
            <w:noWrap/>
            <w:vAlign w:val="bottom"/>
            <w:hideMark/>
          </w:tcPr>
          <w:p w:rsidR="0055491A" w:rsidRPr="0064605E" w:rsidRDefault="0055491A" w:rsidP="00210BF6">
            <w:pPr>
              <w:jc w:val="center"/>
              <w:rPr>
                <w:b/>
                <w:bCs/>
                <w:color w:val="000000"/>
                <w:sz w:val="22"/>
                <w:szCs w:val="22"/>
              </w:rPr>
            </w:pPr>
            <w:r w:rsidRPr="0064605E">
              <w:rPr>
                <w:b/>
                <w:bCs/>
                <w:color w:val="000000"/>
                <w:sz w:val="22"/>
                <w:szCs w:val="22"/>
              </w:rPr>
              <w:t>2022 год</w:t>
            </w:r>
          </w:p>
        </w:tc>
        <w:tc>
          <w:tcPr>
            <w:tcW w:w="1335" w:type="dxa"/>
            <w:tcBorders>
              <w:top w:val="nil"/>
              <w:left w:val="nil"/>
              <w:bottom w:val="single" w:sz="4" w:space="0" w:color="auto"/>
              <w:right w:val="single" w:sz="4" w:space="0" w:color="auto"/>
            </w:tcBorders>
            <w:shd w:val="clear" w:color="auto" w:fill="auto"/>
            <w:noWrap/>
            <w:vAlign w:val="bottom"/>
            <w:hideMark/>
          </w:tcPr>
          <w:p w:rsidR="0055491A" w:rsidRPr="0064605E" w:rsidRDefault="0055491A" w:rsidP="00210BF6">
            <w:pPr>
              <w:jc w:val="center"/>
              <w:rPr>
                <w:b/>
                <w:bCs/>
                <w:color w:val="000000"/>
                <w:sz w:val="22"/>
                <w:szCs w:val="22"/>
              </w:rPr>
            </w:pPr>
            <w:r w:rsidRPr="0064605E">
              <w:rPr>
                <w:b/>
                <w:bCs/>
                <w:color w:val="000000"/>
                <w:sz w:val="22"/>
                <w:szCs w:val="22"/>
              </w:rPr>
              <w:t>2023 год</w:t>
            </w:r>
          </w:p>
        </w:tc>
        <w:tc>
          <w:tcPr>
            <w:tcW w:w="1335" w:type="dxa"/>
            <w:tcBorders>
              <w:top w:val="nil"/>
              <w:left w:val="nil"/>
              <w:bottom w:val="single" w:sz="4" w:space="0" w:color="auto"/>
              <w:right w:val="single" w:sz="4" w:space="0" w:color="auto"/>
            </w:tcBorders>
            <w:shd w:val="clear" w:color="auto" w:fill="auto"/>
            <w:noWrap/>
            <w:vAlign w:val="bottom"/>
            <w:hideMark/>
          </w:tcPr>
          <w:p w:rsidR="0055491A" w:rsidRPr="0064605E" w:rsidRDefault="0055491A" w:rsidP="00210BF6">
            <w:pPr>
              <w:jc w:val="center"/>
              <w:rPr>
                <w:b/>
                <w:bCs/>
                <w:color w:val="000000"/>
                <w:sz w:val="22"/>
                <w:szCs w:val="22"/>
              </w:rPr>
            </w:pPr>
            <w:r w:rsidRPr="0064605E">
              <w:rPr>
                <w:b/>
                <w:bCs/>
                <w:color w:val="000000"/>
                <w:sz w:val="22"/>
                <w:szCs w:val="22"/>
              </w:rPr>
              <w:t>2024 год</w:t>
            </w:r>
          </w:p>
        </w:tc>
        <w:tc>
          <w:tcPr>
            <w:tcW w:w="1335" w:type="dxa"/>
            <w:tcBorders>
              <w:top w:val="nil"/>
              <w:left w:val="nil"/>
              <w:bottom w:val="single" w:sz="4" w:space="0" w:color="auto"/>
              <w:right w:val="single" w:sz="4" w:space="0" w:color="auto"/>
            </w:tcBorders>
            <w:shd w:val="clear" w:color="auto" w:fill="auto"/>
            <w:noWrap/>
            <w:vAlign w:val="bottom"/>
            <w:hideMark/>
          </w:tcPr>
          <w:p w:rsidR="0055491A" w:rsidRPr="0064605E" w:rsidRDefault="0055491A" w:rsidP="00210BF6">
            <w:pPr>
              <w:jc w:val="center"/>
              <w:rPr>
                <w:b/>
                <w:bCs/>
                <w:color w:val="000000"/>
                <w:sz w:val="22"/>
                <w:szCs w:val="22"/>
              </w:rPr>
            </w:pPr>
            <w:r w:rsidRPr="0064605E">
              <w:rPr>
                <w:b/>
                <w:bCs/>
                <w:color w:val="000000"/>
                <w:sz w:val="22"/>
                <w:szCs w:val="22"/>
              </w:rPr>
              <w:t>2022 год</w:t>
            </w:r>
          </w:p>
        </w:tc>
        <w:tc>
          <w:tcPr>
            <w:tcW w:w="1335" w:type="dxa"/>
            <w:tcBorders>
              <w:top w:val="nil"/>
              <w:left w:val="nil"/>
              <w:bottom w:val="single" w:sz="4" w:space="0" w:color="auto"/>
              <w:right w:val="single" w:sz="4" w:space="0" w:color="auto"/>
            </w:tcBorders>
            <w:shd w:val="clear" w:color="auto" w:fill="auto"/>
            <w:noWrap/>
            <w:vAlign w:val="bottom"/>
            <w:hideMark/>
          </w:tcPr>
          <w:p w:rsidR="0055491A" w:rsidRPr="0064605E" w:rsidRDefault="0055491A" w:rsidP="00210BF6">
            <w:pPr>
              <w:jc w:val="center"/>
              <w:rPr>
                <w:b/>
                <w:bCs/>
                <w:color w:val="000000"/>
                <w:sz w:val="22"/>
                <w:szCs w:val="22"/>
              </w:rPr>
            </w:pPr>
            <w:r w:rsidRPr="0064605E">
              <w:rPr>
                <w:b/>
                <w:bCs/>
                <w:color w:val="000000"/>
                <w:sz w:val="22"/>
                <w:szCs w:val="22"/>
              </w:rPr>
              <w:t>2023 год</w:t>
            </w:r>
          </w:p>
        </w:tc>
        <w:tc>
          <w:tcPr>
            <w:tcW w:w="1336" w:type="dxa"/>
            <w:tcBorders>
              <w:top w:val="nil"/>
              <w:left w:val="nil"/>
              <w:bottom w:val="single" w:sz="4" w:space="0" w:color="auto"/>
              <w:right w:val="single" w:sz="4" w:space="0" w:color="auto"/>
            </w:tcBorders>
            <w:shd w:val="clear" w:color="auto" w:fill="auto"/>
            <w:noWrap/>
            <w:vAlign w:val="bottom"/>
            <w:hideMark/>
          </w:tcPr>
          <w:p w:rsidR="0055491A" w:rsidRPr="0064605E" w:rsidRDefault="0055491A" w:rsidP="00210BF6">
            <w:pPr>
              <w:jc w:val="center"/>
              <w:rPr>
                <w:b/>
                <w:bCs/>
                <w:color w:val="000000"/>
                <w:sz w:val="22"/>
                <w:szCs w:val="22"/>
              </w:rPr>
            </w:pPr>
            <w:r w:rsidRPr="0064605E">
              <w:rPr>
                <w:b/>
                <w:bCs/>
                <w:color w:val="000000"/>
                <w:sz w:val="22"/>
                <w:szCs w:val="22"/>
              </w:rPr>
              <w:t>2024 год</w:t>
            </w:r>
          </w:p>
        </w:tc>
      </w:tr>
      <w:tr w:rsidR="0055491A" w:rsidRPr="0064605E" w:rsidTr="00210BF6">
        <w:trPr>
          <w:gridAfter w:val="1"/>
          <w:wAfter w:w="16" w:type="dxa"/>
          <w:trHeight w:val="30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55491A" w:rsidRPr="0064605E" w:rsidRDefault="0055491A" w:rsidP="00210BF6">
            <w:pPr>
              <w:jc w:val="center"/>
              <w:rPr>
                <w:color w:val="000000"/>
                <w:sz w:val="22"/>
                <w:szCs w:val="22"/>
              </w:rPr>
            </w:pPr>
            <w:r w:rsidRPr="0064605E">
              <w:rPr>
                <w:color w:val="000000"/>
                <w:sz w:val="22"/>
                <w:szCs w:val="22"/>
              </w:rPr>
              <w:t>0,3</w:t>
            </w:r>
          </w:p>
        </w:tc>
        <w:tc>
          <w:tcPr>
            <w:tcW w:w="1335" w:type="dxa"/>
            <w:tcBorders>
              <w:top w:val="nil"/>
              <w:left w:val="nil"/>
              <w:bottom w:val="single" w:sz="4" w:space="0" w:color="auto"/>
              <w:right w:val="single" w:sz="4" w:space="0" w:color="auto"/>
            </w:tcBorders>
            <w:shd w:val="clear" w:color="auto" w:fill="auto"/>
            <w:noWrap/>
            <w:vAlign w:val="bottom"/>
            <w:hideMark/>
          </w:tcPr>
          <w:p w:rsidR="0055491A" w:rsidRPr="0064605E" w:rsidRDefault="0055491A" w:rsidP="00210BF6">
            <w:pPr>
              <w:jc w:val="center"/>
              <w:rPr>
                <w:color w:val="000000"/>
                <w:sz w:val="22"/>
                <w:szCs w:val="22"/>
              </w:rPr>
            </w:pPr>
            <w:r w:rsidRPr="0064605E">
              <w:rPr>
                <w:color w:val="000000"/>
                <w:sz w:val="22"/>
                <w:szCs w:val="22"/>
              </w:rPr>
              <w:t>26</w:t>
            </w:r>
          </w:p>
        </w:tc>
        <w:tc>
          <w:tcPr>
            <w:tcW w:w="1335" w:type="dxa"/>
            <w:tcBorders>
              <w:top w:val="nil"/>
              <w:left w:val="nil"/>
              <w:bottom w:val="single" w:sz="4" w:space="0" w:color="auto"/>
              <w:right w:val="single" w:sz="4" w:space="0" w:color="auto"/>
            </w:tcBorders>
            <w:shd w:val="clear" w:color="auto" w:fill="auto"/>
            <w:noWrap/>
            <w:vAlign w:val="bottom"/>
            <w:hideMark/>
          </w:tcPr>
          <w:p w:rsidR="0055491A" w:rsidRPr="0064605E" w:rsidRDefault="0055491A" w:rsidP="00210BF6">
            <w:pPr>
              <w:jc w:val="center"/>
              <w:rPr>
                <w:color w:val="000000"/>
                <w:sz w:val="22"/>
                <w:szCs w:val="22"/>
              </w:rPr>
            </w:pPr>
            <w:r w:rsidRPr="0064605E">
              <w:rPr>
                <w:color w:val="000000"/>
                <w:sz w:val="22"/>
                <w:szCs w:val="22"/>
              </w:rPr>
              <w:t>26</w:t>
            </w:r>
          </w:p>
        </w:tc>
        <w:tc>
          <w:tcPr>
            <w:tcW w:w="1335" w:type="dxa"/>
            <w:tcBorders>
              <w:top w:val="nil"/>
              <w:left w:val="nil"/>
              <w:bottom w:val="single" w:sz="4" w:space="0" w:color="auto"/>
              <w:right w:val="single" w:sz="4" w:space="0" w:color="auto"/>
            </w:tcBorders>
            <w:shd w:val="clear" w:color="auto" w:fill="auto"/>
            <w:noWrap/>
            <w:vAlign w:val="bottom"/>
            <w:hideMark/>
          </w:tcPr>
          <w:p w:rsidR="0055491A" w:rsidRPr="0064605E" w:rsidRDefault="0055491A" w:rsidP="00210BF6">
            <w:pPr>
              <w:jc w:val="center"/>
              <w:rPr>
                <w:color w:val="000000"/>
                <w:sz w:val="22"/>
                <w:szCs w:val="22"/>
              </w:rPr>
            </w:pPr>
            <w:r w:rsidRPr="0064605E">
              <w:rPr>
                <w:color w:val="000000"/>
                <w:sz w:val="22"/>
                <w:szCs w:val="22"/>
              </w:rPr>
              <w:t>23</w:t>
            </w:r>
          </w:p>
        </w:tc>
        <w:tc>
          <w:tcPr>
            <w:tcW w:w="1335" w:type="dxa"/>
            <w:tcBorders>
              <w:top w:val="nil"/>
              <w:left w:val="nil"/>
              <w:bottom w:val="single" w:sz="4" w:space="0" w:color="auto"/>
              <w:right w:val="single" w:sz="4" w:space="0" w:color="auto"/>
            </w:tcBorders>
            <w:shd w:val="clear" w:color="auto" w:fill="auto"/>
            <w:noWrap/>
            <w:vAlign w:val="bottom"/>
            <w:hideMark/>
          </w:tcPr>
          <w:p w:rsidR="0055491A" w:rsidRPr="0064605E" w:rsidRDefault="0055491A" w:rsidP="00210BF6">
            <w:pPr>
              <w:jc w:val="center"/>
              <w:rPr>
                <w:color w:val="000000"/>
                <w:sz w:val="22"/>
                <w:szCs w:val="22"/>
              </w:rPr>
            </w:pPr>
            <w:r w:rsidRPr="0064605E">
              <w:rPr>
                <w:color w:val="000000"/>
                <w:sz w:val="22"/>
                <w:szCs w:val="22"/>
              </w:rPr>
              <w:t>7,8</w:t>
            </w:r>
          </w:p>
        </w:tc>
        <w:tc>
          <w:tcPr>
            <w:tcW w:w="1335" w:type="dxa"/>
            <w:tcBorders>
              <w:top w:val="nil"/>
              <w:left w:val="nil"/>
              <w:bottom w:val="single" w:sz="4" w:space="0" w:color="auto"/>
              <w:right w:val="single" w:sz="4" w:space="0" w:color="auto"/>
            </w:tcBorders>
            <w:shd w:val="clear" w:color="auto" w:fill="auto"/>
            <w:noWrap/>
            <w:vAlign w:val="bottom"/>
            <w:hideMark/>
          </w:tcPr>
          <w:p w:rsidR="0055491A" w:rsidRPr="0064605E" w:rsidRDefault="0055491A" w:rsidP="00210BF6">
            <w:pPr>
              <w:jc w:val="center"/>
              <w:rPr>
                <w:color w:val="000000"/>
                <w:sz w:val="22"/>
                <w:szCs w:val="22"/>
              </w:rPr>
            </w:pPr>
            <w:r w:rsidRPr="0064605E">
              <w:rPr>
                <w:color w:val="000000"/>
                <w:sz w:val="22"/>
                <w:szCs w:val="22"/>
              </w:rPr>
              <w:t>7,8</w:t>
            </w:r>
          </w:p>
        </w:tc>
        <w:tc>
          <w:tcPr>
            <w:tcW w:w="1336" w:type="dxa"/>
            <w:tcBorders>
              <w:top w:val="nil"/>
              <w:left w:val="nil"/>
              <w:bottom w:val="single" w:sz="4" w:space="0" w:color="auto"/>
              <w:right w:val="single" w:sz="4" w:space="0" w:color="auto"/>
            </w:tcBorders>
            <w:shd w:val="clear" w:color="auto" w:fill="auto"/>
            <w:noWrap/>
            <w:vAlign w:val="bottom"/>
            <w:hideMark/>
          </w:tcPr>
          <w:p w:rsidR="0055491A" w:rsidRPr="0064605E" w:rsidRDefault="0055491A" w:rsidP="00210BF6">
            <w:pPr>
              <w:jc w:val="center"/>
              <w:rPr>
                <w:color w:val="000000"/>
                <w:sz w:val="22"/>
                <w:szCs w:val="22"/>
              </w:rPr>
            </w:pPr>
            <w:r w:rsidRPr="0064605E">
              <w:rPr>
                <w:color w:val="000000"/>
                <w:sz w:val="22"/>
                <w:szCs w:val="22"/>
              </w:rPr>
              <w:t>6,9</w:t>
            </w:r>
          </w:p>
        </w:tc>
      </w:tr>
      <w:tr w:rsidR="0055491A" w:rsidRPr="0064605E" w:rsidTr="00210BF6">
        <w:trPr>
          <w:gridAfter w:val="1"/>
          <w:wAfter w:w="16" w:type="dxa"/>
          <w:trHeight w:val="30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55491A" w:rsidRPr="0064605E" w:rsidRDefault="0055491A" w:rsidP="00210BF6">
            <w:pPr>
              <w:jc w:val="center"/>
              <w:rPr>
                <w:color w:val="000000"/>
                <w:sz w:val="22"/>
                <w:szCs w:val="22"/>
              </w:rPr>
            </w:pPr>
            <w:r w:rsidRPr="0064605E">
              <w:rPr>
                <w:color w:val="000000"/>
                <w:sz w:val="22"/>
                <w:szCs w:val="22"/>
              </w:rPr>
              <w:t>0,5</w:t>
            </w:r>
          </w:p>
        </w:tc>
        <w:tc>
          <w:tcPr>
            <w:tcW w:w="1335" w:type="dxa"/>
            <w:tcBorders>
              <w:top w:val="nil"/>
              <w:left w:val="nil"/>
              <w:bottom w:val="single" w:sz="4" w:space="0" w:color="auto"/>
              <w:right w:val="single" w:sz="4" w:space="0" w:color="auto"/>
            </w:tcBorders>
            <w:shd w:val="clear" w:color="auto" w:fill="auto"/>
            <w:noWrap/>
            <w:vAlign w:val="bottom"/>
            <w:hideMark/>
          </w:tcPr>
          <w:p w:rsidR="0055491A" w:rsidRPr="0064605E" w:rsidRDefault="0055491A" w:rsidP="00210BF6">
            <w:pPr>
              <w:jc w:val="center"/>
              <w:rPr>
                <w:color w:val="000000"/>
                <w:sz w:val="22"/>
                <w:szCs w:val="22"/>
              </w:rPr>
            </w:pPr>
            <w:r w:rsidRPr="0064605E">
              <w:rPr>
                <w:color w:val="000000"/>
                <w:sz w:val="22"/>
                <w:szCs w:val="22"/>
              </w:rPr>
              <w:t>8</w:t>
            </w:r>
          </w:p>
        </w:tc>
        <w:tc>
          <w:tcPr>
            <w:tcW w:w="1335" w:type="dxa"/>
            <w:tcBorders>
              <w:top w:val="nil"/>
              <w:left w:val="nil"/>
              <w:bottom w:val="single" w:sz="4" w:space="0" w:color="auto"/>
              <w:right w:val="single" w:sz="4" w:space="0" w:color="auto"/>
            </w:tcBorders>
            <w:shd w:val="clear" w:color="auto" w:fill="auto"/>
            <w:noWrap/>
            <w:vAlign w:val="bottom"/>
            <w:hideMark/>
          </w:tcPr>
          <w:p w:rsidR="0055491A" w:rsidRPr="0064605E" w:rsidRDefault="0055491A" w:rsidP="00210BF6">
            <w:pPr>
              <w:jc w:val="center"/>
              <w:rPr>
                <w:color w:val="000000"/>
                <w:sz w:val="22"/>
                <w:szCs w:val="22"/>
              </w:rPr>
            </w:pPr>
            <w:r w:rsidRPr="0064605E">
              <w:rPr>
                <w:color w:val="000000"/>
                <w:sz w:val="22"/>
                <w:szCs w:val="22"/>
              </w:rPr>
              <w:t>8</w:t>
            </w:r>
          </w:p>
        </w:tc>
        <w:tc>
          <w:tcPr>
            <w:tcW w:w="1335" w:type="dxa"/>
            <w:tcBorders>
              <w:top w:val="nil"/>
              <w:left w:val="nil"/>
              <w:bottom w:val="single" w:sz="4" w:space="0" w:color="auto"/>
              <w:right w:val="single" w:sz="4" w:space="0" w:color="auto"/>
            </w:tcBorders>
            <w:shd w:val="clear" w:color="auto" w:fill="auto"/>
            <w:noWrap/>
            <w:vAlign w:val="bottom"/>
            <w:hideMark/>
          </w:tcPr>
          <w:p w:rsidR="0055491A" w:rsidRPr="0064605E" w:rsidRDefault="0055491A" w:rsidP="00210BF6">
            <w:pPr>
              <w:jc w:val="center"/>
              <w:rPr>
                <w:color w:val="000000"/>
                <w:sz w:val="22"/>
                <w:szCs w:val="22"/>
              </w:rPr>
            </w:pPr>
            <w:r w:rsidRPr="0064605E">
              <w:rPr>
                <w:color w:val="000000"/>
                <w:sz w:val="22"/>
                <w:szCs w:val="22"/>
              </w:rPr>
              <w:t>5</w:t>
            </w:r>
          </w:p>
        </w:tc>
        <w:tc>
          <w:tcPr>
            <w:tcW w:w="1335" w:type="dxa"/>
            <w:tcBorders>
              <w:top w:val="nil"/>
              <w:left w:val="nil"/>
              <w:bottom w:val="single" w:sz="4" w:space="0" w:color="auto"/>
              <w:right w:val="single" w:sz="4" w:space="0" w:color="auto"/>
            </w:tcBorders>
            <w:shd w:val="clear" w:color="auto" w:fill="auto"/>
            <w:noWrap/>
            <w:vAlign w:val="bottom"/>
            <w:hideMark/>
          </w:tcPr>
          <w:p w:rsidR="0055491A" w:rsidRPr="0064605E" w:rsidRDefault="0055491A" w:rsidP="00210BF6">
            <w:pPr>
              <w:jc w:val="center"/>
              <w:rPr>
                <w:color w:val="000000"/>
                <w:sz w:val="22"/>
                <w:szCs w:val="22"/>
              </w:rPr>
            </w:pPr>
            <w:r w:rsidRPr="0064605E">
              <w:rPr>
                <w:color w:val="000000"/>
                <w:sz w:val="22"/>
                <w:szCs w:val="22"/>
              </w:rPr>
              <w:t>4</w:t>
            </w:r>
          </w:p>
        </w:tc>
        <w:tc>
          <w:tcPr>
            <w:tcW w:w="1335" w:type="dxa"/>
            <w:tcBorders>
              <w:top w:val="nil"/>
              <w:left w:val="nil"/>
              <w:bottom w:val="single" w:sz="4" w:space="0" w:color="auto"/>
              <w:right w:val="single" w:sz="4" w:space="0" w:color="auto"/>
            </w:tcBorders>
            <w:shd w:val="clear" w:color="auto" w:fill="auto"/>
            <w:noWrap/>
            <w:vAlign w:val="bottom"/>
            <w:hideMark/>
          </w:tcPr>
          <w:p w:rsidR="0055491A" w:rsidRPr="0064605E" w:rsidRDefault="0055491A" w:rsidP="00210BF6">
            <w:pPr>
              <w:jc w:val="center"/>
              <w:rPr>
                <w:color w:val="000000"/>
                <w:sz w:val="22"/>
                <w:szCs w:val="22"/>
              </w:rPr>
            </w:pPr>
            <w:r w:rsidRPr="0064605E">
              <w:rPr>
                <w:color w:val="000000"/>
                <w:sz w:val="22"/>
                <w:szCs w:val="22"/>
              </w:rPr>
              <w:t>4</w:t>
            </w:r>
          </w:p>
        </w:tc>
        <w:tc>
          <w:tcPr>
            <w:tcW w:w="1336" w:type="dxa"/>
            <w:tcBorders>
              <w:top w:val="nil"/>
              <w:left w:val="nil"/>
              <w:bottom w:val="single" w:sz="4" w:space="0" w:color="auto"/>
              <w:right w:val="single" w:sz="4" w:space="0" w:color="auto"/>
            </w:tcBorders>
            <w:shd w:val="clear" w:color="auto" w:fill="auto"/>
            <w:noWrap/>
            <w:vAlign w:val="bottom"/>
            <w:hideMark/>
          </w:tcPr>
          <w:p w:rsidR="0055491A" w:rsidRPr="0064605E" w:rsidRDefault="0055491A" w:rsidP="00210BF6">
            <w:pPr>
              <w:jc w:val="center"/>
              <w:rPr>
                <w:color w:val="000000"/>
                <w:sz w:val="22"/>
                <w:szCs w:val="22"/>
              </w:rPr>
            </w:pPr>
            <w:r w:rsidRPr="0064605E">
              <w:rPr>
                <w:color w:val="000000"/>
                <w:sz w:val="22"/>
                <w:szCs w:val="22"/>
              </w:rPr>
              <w:t>2,5</w:t>
            </w:r>
          </w:p>
        </w:tc>
      </w:tr>
      <w:tr w:rsidR="0055491A" w:rsidRPr="0064605E" w:rsidTr="00210BF6">
        <w:trPr>
          <w:gridAfter w:val="1"/>
          <w:wAfter w:w="16" w:type="dxa"/>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491A" w:rsidRPr="0064605E" w:rsidRDefault="0055491A" w:rsidP="00210BF6">
            <w:pPr>
              <w:jc w:val="center"/>
              <w:rPr>
                <w:color w:val="000000"/>
                <w:sz w:val="22"/>
                <w:szCs w:val="22"/>
              </w:rPr>
            </w:pPr>
            <w:r w:rsidRPr="0064605E">
              <w:rPr>
                <w:color w:val="000000"/>
                <w:sz w:val="22"/>
                <w:szCs w:val="22"/>
              </w:rPr>
              <w:lastRenderedPageBreak/>
              <w:t>1</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491A" w:rsidRPr="0064605E" w:rsidRDefault="0055491A" w:rsidP="00210BF6">
            <w:pPr>
              <w:jc w:val="center"/>
              <w:rPr>
                <w:color w:val="000000"/>
                <w:sz w:val="22"/>
                <w:szCs w:val="22"/>
              </w:rPr>
            </w:pPr>
            <w:r w:rsidRPr="0064605E">
              <w:rPr>
                <w:color w:val="000000"/>
                <w:sz w:val="22"/>
                <w:szCs w:val="22"/>
              </w:rPr>
              <w:t>41</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491A" w:rsidRPr="0064605E" w:rsidRDefault="0055491A" w:rsidP="00210BF6">
            <w:pPr>
              <w:jc w:val="center"/>
              <w:rPr>
                <w:color w:val="000000"/>
                <w:sz w:val="22"/>
                <w:szCs w:val="22"/>
              </w:rPr>
            </w:pPr>
            <w:r w:rsidRPr="0064605E">
              <w:rPr>
                <w:color w:val="000000"/>
                <w:sz w:val="22"/>
                <w:szCs w:val="22"/>
              </w:rPr>
              <w:t>46</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491A" w:rsidRPr="0064605E" w:rsidRDefault="0055491A" w:rsidP="00210BF6">
            <w:pPr>
              <w:jc w:val="center"/>
              <w:rPr>
                <w:color w:val="000000"/>
                <w:sz w:val="22"/>
                <w:szCs w:val="22"/>
              </w:rPr>
            </w:pPr>
            <w:r w:rsidRPr="0064605E">
              <w:rPr>
                <w:color w:val="000000"/>
                <w:sz w:val="22"/>
                <w:szCs w:val="22"/>
              </w:rPr>
              <w:t>35</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491A" w:rsidRPr="0064605E" w:rsidRDefault="0055491A" w:rsidP="00210BF6">
            <w:pPr>
              <w:jc w:val="center"/>
              <w:rPr>
                <w:color w:val="000000"/>
                <w:sz w:val="22"/>
                <w:szCs w:val="22"/>
              </w:rPr>
            </w:pPr>
            <w:r w:rsidRPr="0064605E">
              <w:rPr>
                <w:color w:val="000000"/>
                <w:sz w:val="22"/>
                <w:szCs w:val="22"/>
              </w:rPr>
              <w:t>41</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491A" w:rsidRPr="0064605E" w:rsidRDefault="0055491A" w:rsidP="00210BF6">
            <w:pPr>
              <w:jc w:val="center"/>
              <w:rPr>
                <w:color w:val="000000"/>
                <w:sz w:val="22"/>
                <w:szCs w:val="22"/>
              </w:rPr>
            </w:pPr>
            <w:r w:rsidRPr="0064605E">
              <w:rPr>
                <w:color w:val="000000"/>
                <w:sz w:val="22"/>
                <w:szCs w:val="22"/>
              </w:rPr>
              <w:t>46</w:t>
            </w:r>
          </w:p>
        </w:tc>
        <w:tc>
          <w:tcPr>
            <w:tcW w:w="13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491A" w:rsidRPr="0064605E" w:rsidRDefault="0055491A" w:rsidP="00210BF6">
            <w:pPr>
              <w:jc w:val="center"/>
              <w:rPr>
                <w:color w:val="000000"/>
                <w:sz w:val="22"/>
                <w:szCs w:val="22"/>
              </w:rPr>
            </w:pPr>
            <w:r w:rsidRPr="0064605E">
              <w:rPr>
                <w:color w:val="000000"/>
                <w:sz w:val="22"/>
                <w:szCs w:val="22"/>
              </w:rPr>
              <w:t>35</w:t>
            </w:r>
          </w:p>
        </w:tc>
      </w:tr>
      <w:tr w:rsidR="0055491A" w:rsidRPr="0064605E" w:rsidTr="00210BF6">
        <w:trPr>
          <w:gridAfter w:val="1"/>
          <w:wAfter w:w="16" w:type="dxa"/>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491A" w:rsidRPr="0064605E" w:rsidRDefault="0055491A" w:rsidP="00210BF6">
            <w:pPr>
              <w:jc w:val="center"/>
              <w:rPr>
                <w:color w:val="000000"/>
                <w:sz w:val="22"/>
                <w:szCs w:val="22"/>
              </w:rPr>
            </w:pPr>
            <w:r w:rsidRPr="0064605E">
              <w:rPr>
                <w:color w:val="000000"/>
                <w:sz w:val="22"/>
                <w:szCs w:val="22"/>
              </w:rPr>
              <w:t>1,5</w:t>
            </w:r>
          </w:p>
        </w:tc>
        <w:tc>
          <w:tcPr>
            <w:tcW w:w="1335" w:type="dxa"/>
            <w:tcBorders>
              <w:top w:val="single" w:sz="4" w:space="0" w:color="auto"/>
              <w:left w:val="nil"/>
              <w:bottom w:val="single" w:sz="4" w:space="0" w:color="auto"/>
              <w:right w:val="single" w:sz="4" w:space="0" w:color="auto"/>
            </w:tcBorders>
            <w:shd w:val="clear" w:color="auto" w:fill="auto"/>
            <w:noWrap/>
            <w:vAlign w:val="bottom"/>
            <w:hideMark/>
          </w:tcPr>
          <w:p w:rsidR="0055491A" w:rsidRPr="0064605E" w:rsidRDefault="0055491A" w:rsidP="00210BF6">
            <w:pPr>
              <w:jc w:val="center"/>
              <w:rPr>
                <w:color w:val="000000"/>
                <w:sz w:val="22"/>
                <w:szCs w:val="22"/>
              </w:rPr>
            </w:pPr>
            <w:r w:rsidRPr="0064605E">
              <w:rPr>
                <w:color w:val="000000"/>
                <w:sz w:val="22"/>
                <w:szCs w:val="22"/>
              </w:rPr>
              <w:t>8</w:t>
            </w:r>
          </w:p>
        </w:tc>
        <w:tc>
          <w:tcPr>
            <w:tcW w:w="1335" w:type="dxa"/>
            <w:tcBorders>
              <w:top w:val="single" w:sz="4" w:space="0" w:color="auto"/>
              <w:left w:val="nil"/>
              <w:bottom w:val="single" w:sz="4" w:space="0" w:color="auto"/>
              <w:right w:val="single" w:sz="4" w:space="0" w:color="auto"/>
            </w:tcBorders>
            <w:shd w:val="clear" w:color="auto" w:fill="auto"/>
            <w:noWrap/>
            <w:vAlign w:val="bottom"/>
            <w:hideMark/>
          </w:tcPr>
          <w:p w:rsidR="0055491A" w:rsidRPr="0064605E" w:rsidRDefault="0055491A" w:rsidP="00210BF6">
            <w:pPr>
              <w:jc w:val="center"/>
              <w:rPr>
                <w:color w:val="000000"/>
                <w:sz w:val="22"/>
                <w:szCs w:val="22"/>
              </w:rPr>
            </w:pPr>
            <w:r w:rsidRPr="0064605E">
              <w:rPr>
                <w:color w:val="000000"/>
                <w:sz w:val="22"/>
                <w:szCs w:val="22"/>
              </w:rPr>
              <w:t>8</w:t>
            </w:r>
          </w:p>
        </w:tc>
        <w:tc>
          <w:tcPr>
            <w:tcW w:w="1335" w:type="dxa"/>
            <w:tcBorders>
              <w:top w:val="single" w:sz="4" w:space="0" w:color="auto"/>
              <w:left w:val="nil"/>
              <w:bottom w:val="single" w:sz="4" w:space="0" w:color="auto"/>
              <w:right w:val="single" w:sz="4" w:space="0" w:color="auto"/>
            </w:tcBorders>
            <w:shd w:val="clear" w:color="auto" w:fill="auto"/>
            <w:noWrap/>
            <w:vAlign w:val="bottom"/>
            <w:hideMark/>
          </w:tcPr>
          <w:p w:rsidR="0055491A" w:rsidRPr="0064605E" w:rsidRDefault="0055491A" w:rsidP="00210BF6">
            <w:pPr>
              <w:jc w:val="center"/>
              <w:rPr>
                <w:color w:val="000000"/>
                <w:sz w:val="22"/>
                <w:szCs w:val="22"/>
              </w:rPr>
            </w:pPr>
            <w:r w:rsidRPr="0064605E">
              <w:rPr>
                <w:color w:val="000000"/>
                <w:sz w:val="22"/>
                <w:szCs w:val="22"/>
              </w:rPr>
              <w:t>10</w:t>
            </w:r>
          </w:p>
        </w:tc>
        <w:tc>
          <w:tcPr>
            <w:tcW w:w="1335" w:type="dxa"/>
            <w:tcBorders>
              <w:top w:val="single" w:sz="4" w:space="0" w:color="auto"/>
              <w:left w:val="nil"/>
              <w:bottom w:val="single" w:sz="4" w:space="0" w:color="auto"/>
              <w:right w:val="single" w:sz="4" w:space="0" w:color="auto"/>
            </w:tcBorders>
            <w:shd w:val="clear" w:color="auto" w:fill="auto"/>
            <w:noWrap/>
            <w:vAlign w:val="bottom"/>
            <w:hideMark/>
          </w:tcPr>
          <w:p w:rsidR="0055491A" w:rsidRPr="0064605E" w:rsidRDefault="0055491A" w:rsidP="00210BF6">
            <w:pPr>
              <w:jc w:val="center"/>
              <w:rPr>
                <w:color w:val="000000"/>
                <w:sz w:val="22"/>
                <w:szCs w:val="22"/>
              </w:rPr>
            </w:pPr>
            <w:r w:rsidRPr="0064605E">
              <w:rPr>
                <w:color w:val="000000"/>
                <w:sz w:val="22"/>
                <w:szCs w:val="22"/>
              </w:rPr>
              <w:t>12</w:t>
            </w:r>
          </w:p>
        </w:tc>
        <w:tc>
          <w:tcPr>
            <w:tcW w:w="1335" w:type="dxa"/>
            <w:tcBorders>
              <w:top w:val="single" w:sz="4" w:space="0" w:color="auto"/>
              <w:left w:val="nil"/>
              <w:bottom w:val="single" w:sz="4" w:space="0" w:color="auto"/>
              <w:right w:val="single" w:sz="4" w:space="0" w:color="auto"/>
            </w:tcBorders>
            <w:shd w:val="clear" w:color="auto" w:fill="auto"/>
            <w:noWrap/>
            <w:vAlign w:val="bottom"/>
            <w:hideMark/>
          </w:tcPr>
          <w:p w:rsidR="0055491A" w:rsidRPr="0064605E" w:rsidRDefault="0055491A" w:rsidP="00210BF6">
            <w:pPr>
              <w:jc w:val="center"/>
              <w:rPr>
                <w:color w:val="000000"/>
                <w:sz w:val="22"/>
                <w:szCs w:val="22"/>
              </w:rPr>
            </w:pPr>
            <w:r w:rsidRPr="0064605E">
              <w:rPr>
                <w:color w:val="000000"/>
                <w:sz w:val="22"/>
                <w:szCs w:val="22"/>
              </w:rPr>
              <w:t>12</w:t>
            </w:r>
          </w:p>
        </w:tc>
        <w:tc>
          <w:tcPr>
            <w:tcW w:w="1336" w:type="dxa"/>
            <w:tcBorders>
              <w:top w:val="single" w:sz="4" w:space="0" w:color="auto"/>
              <w:left w:val="nil"/>
              <w:bottom w:val="single" w:sz="4" w:space="0" w:color="auto"/>
              <w:right w:val="single" w:sz="4" w:space="0" w:color="auto"/>
            </w:tcBorders>
            <w:shd w:val="clear" w:color="auto" w:fill="auto"/>
            <w:noWrap/>
            <w:vAlign w:val="bottom"/>
            <w:hideMark/>
          </w:tcPr>
          <w:p w:rsidR="0055491A" w:rsidRPr="0064605E" w:rsidRDefault="0055491A" w:rsidP="00210BF6">
            <w:pPr>
              <w:jc w:val="center"/>
              <w:rPr>
                <w:color w:val="000000"/>
                <w:sz w:val="22"/>
                <w:szCs w:val="22"/>
              </w:rPr>
            </w:pPr>
            <w:r w:rsidRPr="0064605E">
              <w:rPr>
                <w:color w:val="000000"/>
                <w:sz w:val="22"/>
                <w:szCs w:val="22"/>
              </w:rPr>
              <w:t>15</w:t>
            </w:r>
          </w:p>
        </w:tc>
      </w:tr>
      <w:tr w:rsidR="0055491A" w:rsidRPr="0064605E" w:rsidTr="00210BF6">
        <w:trPr>
          <w:gridAfter w:val="1"/>
          <w:wAfter w:w="16" w:type="dxa"/>
          <w:trHeight w:val="30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55491A" w:rsidRPr="0064605E" w:rsidRDefault="0055491A" w:rsidP="00210BF6">
            <w:pPr>
              <w:jc w:val="center"/>
              <w:rPr>
                <w:color w:val="000000"/>
                <w:sz w:val="22"/>
                <w:szCs w:val="22"/>
              </w:rPr>
            </w:pPr>
            <w:r w:rsidRPr="0064605E">
              <w:rPr>
                <w:color w:val="000000"/>
                <w:sz w:val="22"/>
                <w:szCs w:val="22"/>
              </w:rPr>
              <w:t>2</w:t>
            </w:r>
          </w:p>
        </w:tc>
        <w:tc>
          <w:tcPr>
            <w:tcW w:w="1335" w:type="dxa"/>
            <w:tcBorders>
              <w:top w:val="nil"/>
              <w:left w:val="nil"/>
              <w:bottom w:val="single" w:sz="4" w:space="0" w:color="auto"/>
              <w:right w:val="single" w:sz="4" w:space="0" w:color="auto"/>
            </w:tcBorders>
            <w:shd w:val="clear" w:color="auto" w:fill="auto"/>
            <w:noWrap/>
            <w:vAlign w:val="bottom"/>
            <w:hideMark/>
          </w:tcPr>
          <w:p w:rsidR="0055491A" w:rsidRPr="0064605E" w:rsidRDefault="0055491A" w:rsidP="00210BF6">
            <w:pPr>
              <w:jc w:val="center"/>
              <w:rPr>
                <w:color w:val="000000"/>
                <w:sz w:val="22"/>
                <w:szCs w:val="22"/>
              </w:rPr>
            </w:pPr>
            <w:r w:rsidRPr="0064605E">
              <w:rPr>
                <w:color w:val="000000"/>
                <w:sz w:val="22"/>
                <w:szCs w:val="22"/>
              </w:rPr>
              <w:t>7</w:t>
            </w:r>
          </w:p>
        </w:tc>
        <w:tc>
          <w:tcPr>
            <w:tcW w:w="1335" w:type="dxa"/>
            <w:tcBorders>
              <w:top w:val="nil"/>
              <w:left w:val="nil"/>
              <w:bottom w:val="single" w:sz="4" w:space="0" w:color="auto"/>
              <w:right w:val="single" w:sz="4" w:space="0" w:color="auto"/>
            </w:tcBorders>
            <w:shd w:val="clear" w:color="auto" w:fill="auto"/>
            <w:noWrap/>
            <w:vAlign w:val="bottom"/>
            <w:hideMark/>
          </w:tcPr>
          <w:p w:rsidR="0055491A" w:rsidRPr="0064605E" w:rsidRDefault="0055491A" w:rsidP="00210BF6">
            <w:pPr>
              <w:jc w:val="center"/>
              <w:rPr>
                <w:color w:val="000000"/>
                <w:sz w:val="22"/>
                <w:szCs w:val="22"/>
              </w:rPr>
            </w:pPr>
            <w:r w:rsidRPr="0064605E">
              <w:rPr>
                <w:color w:val="000000"/>
                <w:sz w:val="22"/>
                <w:szCs w:val="22"/>
              </w:rPr>
              <w:t>9</w:t>
            </w:r>
          </w:p>
        </w:tc>
        <w:tc>
          <w:tcPr>
            <w:tcW w:w="1335" w:type="dxa"/>
            <w:tcBorders>
              <w:top w:val="nil"/>
              <w:left w:val="nil"/>
              <w:bottom w:val="single" w:sz="4" w:space="0" w:color="auto"/>
              <w:right w:val="single" w:sz="4" w:space="0" w:color="auto"/>
            </w:tcBorders>
            <w:shd w:val="clear" w:color="auto" w:fill="auto"/>
            <w:noWrap/>
            <w:vAlign w:val="bottom"/>
            <w:hideMark/>
          </w:tcPr>
          <w:p w:rsidR="0055491A" w:rsidRPr="0064605E" w:rsidRDefault="0055491A" w:rsidP="00210BF6">
            <w:pPr>
              <w:jc w:val="center"/>
              <w:rPr>
                <w:color w:val="000000"/>
                <w:sz w:val="22"/>
                <w:szCs w:val="22"/>
              </w:rPr>
            </w:pPr>
            <w:r w:rsidRPr="0064605E">
              <w:rPr>
                <w:color w:val="000000"/>
                <w:sz w:val="22"/>
                <w:szCs w:val="22"/>
              </w:rPr>
              <w:t>6</w:t>
            </w:r>
          </w:p>
        </w:tc>
        <w:tc>
          <w:tcPr>
            <w:tcW w:w="1335" w:type="dxa"/>
            <w:tcBorders>
              <w:top w:val="nil"/>
              <w:left w:val="nil"/>
              <w:bottom w:val="single" w:sz="4" w:space="0" w:color="auto"/>
              <w:right w:val="single" w:sz="4" w:space="0" w:color="auto"/>
            </w:tcBorders>
            <w:shd w:val="clear" w:color="auto" w:fill="auto"/>
            <w:noWrap/>
            <w:vAlign w:val="bottom"/>
            <w:hideMark/>
          </w:tcPr>
          <w:p w:rsidR="0055491A" w:rsidRPr="0064605E" w:rsidRDefault="0055491A" w:rsidP="00210BF6">
            <w:pPr>
              <w:jc w:val="center"/>
              <w:rPr>
                <w:color w:val="000000"/>
                <w:sz w:val="22"/>
                <w:szCs w:val="22"/>
              </w:rPr>
            </w:pPr>
            <w:r w:rsidRPr="0064605E">
              <w:rPr>
                <w:color w:val="000000"/>
                <w:sz w:val="22"/>
                <w:szCs w:val="22"/>
              </w:rPr>
              <w:t>14</w:t>
            </w:r>
          </w:p>
        </w:tc>
        <w:tc>
          <w:tcPr>
            <w:tcW w:w="1335" w:type="dxa"/>
            <w:tcBorders>
              <w:top w:val="nil"/>
              <w:left w:val="nil"/>
              <w:bottom w:val="single" w:sz="4" w:space="0" w:color="auto"/>
              <w:right w:val="single" w:sz="4" w:space="0" w:color="auto"/>
            </w:tcBorders>
            <w:shd w:val="clear" w:color="auto" w:fill="auto"/>
            <w:noWrap/>
            <w:vAlign w:val="bottom"/>
            <w:hideMark/>
          </w:tcPr>
          <w:p w:rsidR="0055491A" w:rsidRPr="0064605E" w:rsidRDefault="0055491A" w:rsidP="00210BF6">
            <w:pPr>
              <w:jc w:val="center"/>
              <w:rPr>
                <w:color w:val="000000"/>
                <w:sz w:val="22"/>
                <w:szCs w:val="22"/>
              </w:rPr>
            </w:pPr>
            <w:r w:rsidRPr="0064605E">
              <w:rPr>
                <w:color w:val="000000"/>
                <w:sz w:val="22"/>
                <w:szCs w:val="22"/>
              </w:rPr>
              <w:t>18</w:t>
            </w:r>
          </w:p>
        </w:tc>
        <w:tc>
          <w:tcPr>
            <w:tcW w:w="1336" w:type="dxa"/>
            <w:tcBorders>
              <w:top w:val="nil"/>
              <w:left w:val="nil"/>
              <w:bottom w:val="single" w:sz="4" w:space="0" w:color="auto"/>
              <w:right w:val="single" w:sz="4" w:space="0" w:color="auto"/>
            </w:tcBorders>
            <w:shd w:val="clear" w:color="auto" w:fill="auto"/>
            <w:noWrap/>
            <w:vAlign w:val="bottom"/>
            <w:hideMark/>
          </w:tcPr>
          <w:p w:rsidR="0055491A" w:rsidRPr="0064605E" w:rsidRDefault="0055491A" w:rsidP="00210BF6">
            <w:pPr>
              <w:jc w:val="center"/>
              <w:rPr>
                <w:color w:val="000000"/>
                <w:sz w:val="22"/>
                <w:szCs w:val="22"/>
              </w:rPr>
            </w:pPr>
            <w:r w:rsidRPr="0064605E">
              <w:rPr>
                <w:color w:val="000000"/>
                <w:sz w:val="22"/>
                <w:szCs w:val="22"/>
              </w:rPr>
              <w:t>12</w:t>
            </w:r>
          </w:p>
        </w:tc>
      </w:tr>
      <w:tr w:rsidR="0055491A" w:rsidRPr="0064605E" w:rsidTr="00210BF6">
        <w:trPr>
          <w:gridAfter w:val="1"/>
          <w:wAfter w:w="16" w:type="dxa"/>
          <w:trHeight w:val="300"/>
        </w:trPr>
        <w:tc>
          <w:tcPr>
            <w:tcW w:w="1276" w:type="dxa"/>
            <w:tcBorders>
              <w:top w:val="nil"/>
              <w:left w:val="single" w:sz="4" w:space="0" w:color="auto"/>
              <w:bottom w:val="nil"/>
              <w:right w:val="single" w:sz="4" w:space="0" w:color="auto"/>
            </w:tcBorders>
            <w:shd w:val="clear" w:color="auto" w:fill="auto"/>
            <w:noWrap/>
            <w:vAlign w:val="bottom"/>
            <w:hideMark/>
          </w:tcPr>
          <w:p w:rsidR="0055491A" w:rsidRPr="0064605E" w:rsidRDefault="0055491A" w:rsidP="00210BF6">
            <w:pPr>
              <w:jc w:val="center"/>
              <w:rPr>
                <w:color w:val="000000"/>
                <w:sz w:val="22"/>
                <w:szCs w:val="22"/>
              </w:rPr>
            </w:pPr>
            <w:r w:rsidRPr="0064605E">
              <w:rPr>
                <w:color w:val="000000"/>
                <w:sz w:val="22"/>
                <w:szCs w:val="22"/>
              </w:rPr>
              <w:t>3</w:t>
            </w:r>
          </w:p>
        </w:tc>
        <w:tc>
          <w:tcPr>
            <w:tcW w:w="1335" w:type="dxa"/>
            <w:tcBorders>
              <w:top w:val="nil"/>
              <w:left w:val="nil"/>
              <w:bottom w:val="nil"/>
              <w:right w:val="single" w:sz="4" w:space="0" w:color="auto"/>
            </w:tcBorders>
            <w:shd w:val="clear" w:color="auto" w:fill="auto"/>
            <w:noWrap/>
            <w:vAlign w:val="bottom"/>
            <w:hideMark/>
          </w:tcPr>
          <w:p w:rsidR="0055491A" w:rsidRPr="0064605E" w:rsidRDefault="0055491A" w:rsidP="00210BF6">
            <w:pPr>
              <w:jc w:val="center"/>
              <w:rPr>
                <w:color w:val="000000"/>
                <w:sz w:val="22"/>
                <w:szCs w:val="22"/>
              </w:rPr>
            </w:pPr>
            <w:r w:rsidRPr="0064605E">
              <w:rPr>
                <w:color w:val="000000"/>
                <w:sz w:val="22"/>
                <w:szCs w:val="22"/>
              </w:rPr>
              <w:t>7</w:t>
            </w:r>
          </w:p>
        </w:tc>
        <w:tc>
          <w:tcPr>
            <w:tcW w:w="1335" w:type="dxa"/>
            <w:tcBorders>
              <w:top w:val="nil"/>
              <w:left w:val="nil"/>
              <w:bottom w:val="nil"/>
              <w:right w:val="single" w:sz="4" w:space="0" w:color="auto"/>
            </w:tcBorders>
            <w:shd w:val="clear" w:color="auto" w:fill="auto"/>
            <w:noWrap/>
            <w:vAlign w:val="bottom"/>
            <w:hideMark/>
          </w:tcPr>
          <w:p w:rsidR="0055491A" w:rsidRPr="0064605E" w:rsidRDefault="0055491A" w:rsidP="00210BF6">
            <w:pPr>
              <w:jc w:val="center"/>
              <w:rPr>
                <w:color w:val="000000"/>
                <w:sz w:val="22"/>
                <w:szCs w:val="22"/>
              </w:rPr>
            </w:pPr>
            <w:r w:rsidRPr="0064605E">
              <w:rPr>
                <w:color w:val="000000"/>
                <w:sz w:val="22"/>
                <w:szCs w:val="22"/>
              </w:rPr>
              <w:t>7</w:t>
            </w:r>
          </w:p>
        </w:tc>
        <w:tc>
          <w:tcPr>
            <w:tcW w:w="1335" w:type="dxa"/>
            <w:tcBorders>
              <w:top w:val="nil"/>
              <w:left w:val="nil"/>
              <w:bottom w:val="nil"/>
              <w:right w:val="single" w:sz="4" w:space="0" w:color="auto"/>
            </w:tcBorders>
            <w:shd w:val="clear" w:color="auto" w:fill="auto"/>
            <w:noWrap/>
            <w:vAlign w:val="bottom"/>
            <w:hideMark/>
          </w:tcPr>
          <w:p w:rsidR="0055491A" w:rsidRPr="0064605E" w:rsidRDefault="0055491A" w:rsidP="00210BF6">
            <w:pPr>
              <w:jc w:val="center"/>
              <w:rPr>
                <w:color w:val="000000"/>
                <w:sz w:val="22"/>
                <w:szCs w:val="22"/>
              </w:rPr>
            </w:pPr>
            <w:r w:rsidRPr="0064605E">
              <w:rPr>
                <w:color w:val="000000"/>
                <w:sz w:val="22"/>
                <w:szCs w:val="22"/>
              </w:rPr>
              <w:t>5</w:t>
            </w:r>
          </w:p>
        </w:tc>
        <w:tc>
          <w:tcPr>
            <w:tcW w:w="1335" w:type="dxa"/>
            <w:tcBorders>
              <w:top w:val="nil"/>
              <w:left w:val="nil"/>
              <w:bottom w:val="nil"/>
              <w:right w:val="single" w:sz="4" w:space="0" w:color="auto"/>
            </w:tcBorders>
            <w:shd w:val="clear" w:color="auto" w:fill="auto"/>
            <w:noWrap/>
            <w:vAlign w:val="bottom"/>
            <w:hideMark/>
          </w:tcPr>
          <w:p w:rsidR="0055491A" w:rsidRPr="0064605E" w:rsidRDefault="0055491A" w:rsidP="00210BF6">
            <w:pPr>
              <w:jc w:val="center"/>
              <w:rPr>
                <w:color w:val="000000"/>
                <w:sz w:val="22"/>
                <w:szCs w:val="22"/>
              </w:rPr>
            </w:pPr>
            <w:r w:rsidRPr="0064605E">
              <w:rPr>
                <w:color w:val="000000"/>
                <w:sz w:val="22"/>
                <w:szCs w:val="22"/>
              </w:rPr>
              <w:t>21</w:t>
            </w:r>
          </w:p>
        </w:tc>
        <w:tc>
          <w:tcPr>
            <w:tcW w:w="1335" w:type="dxa"/>
            <w:tcBorders>
              <w:top w:val="nil"/>
              <w:left w:val="nil"/>
              <w:bottom w:val="nil"/>
              <w:right w:val="single" w:sz="4" w:space="0" w:color="auto"/>
            </w:tcBorders>
            <w:shd w:val="clear" w:color="auto" w:fill="auto"/>
            <w:noWrap/>
            <w:vAlign w:val="bottom"/>
            <w:hideMark/>
          </w:tcPr>
          <w:p w:rsidR="0055491A" w:rsidRPr="0064605E" w:rsidRDefault="0055491A" w:rsidP="00210BF6">
            <w:pPr>
              <w:jc w:val="center"/>
              <w:rPr>
                <w:color w:val="000000"/>
                <w:sz w:val="22"/>
                <w:szCs w:val="22"/>
              </w:rPr>
            </w:pPr>
            <w:r w:rsidRPr="0064605E">
              <w:rPr>
                <w:color w:val="000000"/>
                <w:sz w:val="22"/>
                <w:szCs w:val="22"/>
              </w:rPr>
              <w:t>21</w:t>
            </w:r>
          </w:p>
        </w:tc>
        <w:tc>
          <w:tcPr>
            <w:tcW w:w="1336" w:type="dxa"/>
            <w:tcBorders>
              <w:top w:val="nil"/>
              <w:left w:val="nil"/>
              <w:bottom w:val="nil"/>
              <w:right w:val="single" w:sz="4" w:space="0" w:color="auto"/>
            </w:tcBorders>
            <w:shd w:val="clear" w:color="auto" w:fill="auto"/>
            <w:noWrap/>
            <w:vAlign w:val="bottom"/>
            <w:hideMark/>
          </w:tcPr>
          <w:p w:rsidR="0055491A" w:rsidRPr="0064605E" w:rsidRDefault="0055491A" w:rsidP="00210BF6">
            <w:pPr>
              <w:jc w:val="center"/>
              <w:rPr>
                <w:color w:val="000000"/>
                <w:sz w:val="22"/>
                <w:szCs w:val="22"/>
              </w:rPr>
            </w:pPr>
            <w:r w:rsidRPr="0064605E">
              <w:rPr>
                <w:color w:val="000000"/>
                <w:sz w:val="22"/>
                <w:szCs w:val="22"/>
              </w:rPr>
              <w:t>15</w:t>
            </w:r>
          </w:p>
        </w:tc>
      </w:tr>
      <w:tr w:rsidR="0055491A" w:rsidRPr="0064605E" w:rsidTr="00210BF6">
        <w:trPr>
          <w:gridAfter w:val="1"/>
          <w:wAfter w:w="16" w:type="dxa"/>
          <w:trHeight w:val="300"/>
        </w:trPr>
        <w:tc>
          <w:tcPr>
            <w:tcW w:w="5281" w:type="dxa"/>
            <w:gridSpan w:val="4"/>
            <w:tcBorders>
              <w:top w:val="single" w:sz="4" w:space="0" w:color="auto"/>
              <w:left w:val="single" w:sz="4" w:space="0" w:color="auto"/>
              <w:bottom w:val="single" w:sz="4" w:space="0" w:color="auto"/>
              <w:right w:val="nil"/>
            </w:tcBorders>
            <w:shd w:val="clear" w:color="auto" w:fill="auto"/>
            <w:noWrap/>
            <w:vAlign w:val="bottom"/>
            <w:hideMark/>
          </w:tcPr>
          <w:p w:rsidR="0055491A" w:rsidRPr="0064605E" w:rsidRDefault="0055491A" w:rsidP="00210BF6">
            <w:pPr>
              <w:jc w:val="center"/>
              <w:rPr>
                <w:color w:val="000000"/>
                <w:sz w:val="22"/>
                <w:szCs w:val="22"/>
              </w:rPr>
            </w:pPr>
            <w:r w:rsidRPr="0064605E">
              <w:rPr>
                <w:b/>
                <w:bCs/>
                <w:color w:val="000000"/>
                <w:sz w:val="22"/>
                <w:szCs w:val="22"/>
              </w:rPr>
              <w:t>И</w:t>
            </w:r>
            <w:r>
              <w:rPr>
                <w:b/>
                <w:bCs/>
                <w:color w:val="000000"/>
                <w:sz w:val="22"/>
                <w:szCs w:val="22"/>
              </w:rPr>
              <w:t>ТОГО</w:t>
            </w:r>
          </w:p>
        </w:tc>
        <w:tc>
          <w:tcPr>
            <w:tcW w:w="1335" w:type="dxa"/>
            <w:tcBorders>
              <w:top w:val="single" w:sz="4" w:space="0" w:color="auto"/>
              <w:left w:val="nil"/>
              <w:bottom w:val="single" w:sz="4" w:space="0" w:color="auto"/>
              <w:right w:val="nil"/>
            </w:tcBorders>
            <w:shd w:val="clear" w:color="auto" w:fill="auto"/>
            <w:noWrap/>
            <w:vAlign w:val="bottom"/>
            <w:hideMark/>
          </w:tcPr>
          <w:p w:rsidR="0055491A" w:rsidRPr="006E2E07" w:rsidRDefault="0055491A" w:rsidP="00210BF6">
            <w:pPr>
              <w:jc w:val="center"/>
              <w:rPr>
                <w:b/>
                <w:color w:val="000000"/>
                <w:sz w:val="22"/>
                <w:szCs w:val="22"/>
              </w:rPr>
            </w:pPr>
            <w:r w:rsidRPr="006E2E07">
              <w:rPr>
                <w:b/>
                <w:color w:val="000000"/>
                <w:sz w:val="22"/>
                <w:szCs w:val="22"/>
              </w:rPr>
              <w:t>99,8</w:t>
            </w:r>
          </w:p>
        </w:tc>
        <w:tc>
          <w:tcPr>
            <w:tcW w:w="1335" w:type="dxa"/>
            <w:tcBorders>
              <w:top w:val="single" w:sz="4" w:space="0" w:color="auto"/>
              <w:left w:val="nil"/>
              <w:bottom w:val="single" w:sz="4" w:space="0" w:color="auto"/>
              <w:right w:val="nil"/>
            </w:tcBorders>
            <w:shd w:val="clear" w:color="auto" w:fill="auto"/>
            <w:noWrap/>
            <w:vAlign w:val="bottom"/>
            <w:hideMark/>
          </w:tcPr>
          <w:p w:rsidR="0055491A" w:rsidRPr="006E2E07" w:rsidRDefault="0055491A" w:rsidP="00210BF6">
            <w:pPr>
              <w:jc w:val="center"/>
              <w:rPr>
                <w:b/>
                <w:color w:val="000000"/>
                <w:sz w:val="22"/>
                <w:szCs w:val="22"/>
              </w:rPr>
            </w:pPr>
            <w:r w:rsidRPr="006E2E07">
              <w:rPr>
                <w:b/>
                <w:color w:val="000000"/>
                <w:sz w:val="22"/>
                <w:szCs w:val="22"/>
              </w:rPr>
              <w:t>108,8</w:t>
            </w:r>
          </w:p>
        </w:tc>
        <w:tc>
          <w:tcPr>
            <w:tcW w:w="1336" w:type="dxa"/>
            <w:tcBorders>
              <w:top w:val="single" w:sz="4" w:space="0" w:color="auto"/>
              <w:left w:val="nil"/>
              <w:bottom w:val="single" w:sz="4" w:space="0" w:color="auto"/>
              <w:right w:val="single" w:sz="4" w:space="0" w:color="auto"/>
            </w:tcBorders>
            <w:shd w:val="clear" w:color="auto" w:fill="auto"/>
            <w:noWrap/>
            <w:vAlign w:val="bottom"/>
            <w:hideMark/>
          </w:tcPr>
          <w:p w:rsidR="0055491A" w:rsidRPr="006E2E07" w:rsidRDefault="0055491A" w:rsidP="00210BF6">
            <w:pPr>
              <w:jc w:val="center"/>
              <w:rPr>
                <w:b/>
                <w:color w:val="000000"/>
                <w:sz w:val="22"/>
                <w:szCs w:val="22"/>
              </w:rPr>
            </w:pPr>
            <w:r w:rsidRPr="006E2E07">
              <w:rPr>
                <w:b/>
                <w:color w:val="000000"/>
                <w:sz w:val="22"/>
                <w:szCs w:val="22"/>
              </w:rPr>
              <w:t>86,4</w:t>
            </w:r>
          </w:p>
        </w:tc>
      </w:tr>
      <w:tr w:rsidR="0055491A" w:rsidRPr="0064605E" w:rsidTr="00210BF6">
        <w:trPr>
          <w:gridAfter w:val="1"/>
          <w:wAfter w:w="16" w:type="dxa"/>
          <w:trHeight w:val="300"/>
        </w:trPr>
        <w:tc>
          <w:tcPr>
            <w:tcW w:w="5281" w:type="dxa"/>
            <w:gridSpan w:val="4"/>
            <w:tcBorders>
              <w:top w:val="single" w:sz="4" w:space="0" w:color="auto"/>
              <w:left w:val="single" w:sz="4" w:space="0" w:color="auto"/>
              <w:bottom w:val="single" w:sz="4" w:space="0" w:color="auto"/>
              <w:right w:val="nil"/>
            </w:tcBorders>
            <w:shd w:val="clear" w:color="auto" w:fill="auto"/>
            <w:noWrap/>
            <w:vAlign w:val="bottom"/>
          </w:tcPr>
          <w:p w:rsidR="0055491A" w:rsidRPr="0064605E" w:rsidRDefault="0055491A" w:rsidP="00210BF6">
            <w:pPr>
              <w:jc w:val="center"/>
              <w:rPr>
                <w:b/>
                <w:bCs/>
                <w:color w:val="000000"/>
                <w:sz w:val="22"/>
                <w:szCs w:val="22"/>
              </w:rPr>
            </w:pPr>
            <w:r>
              <w:rPr>
                <w:b/>
                <w:bCs/>
                <w:color w:val="000000"/>
                <w:sz w:val="22"/>
                <w:szCs w:val="22"/>
              </w:rPr>
              <w:t>Областной бюджет Тверской области                    (норматив зачисления 50%)</w:t>
            </w:r>
          </w:p>
        </w:tc>
        <w:tc>
          <w:tcPr>
            <w:tcW w:w="1335" w:type="dxa"/>
            <w:tcBorders>
              <w:top w:val="single" w:sz="4" w:space="0" w:color="auto"/>
              <w:left w:val="nil"/>
              <w:bottom w:val="single" w:sz="4" w:space="0" w:color="auto"/>
              <w:right w:val="nil"/>
            </w:tcBorders>
            <w:shd w:val="clear" w:color="auto" w:fill="auto"/>
            <w:noWrap/>
            <w:vAlign w:val="center"/>
          </w:tcPr>
          <w:p w:rsidR="0055491A" w:rsidRPr="006E2E07" w:rsidRDefault="0055491A" w:rsidP="00210BF6">
            <w:pPr>
              <w:jc w:val="center"/>
              <w:rPr>
                <w:b/>
                <w:color w:val="000000"/>
                <w:sz w:val="22"/>
                <w:szCs w:val="22"/>
              </w:rPr>
            </w:pPr>
            <w:r>
              <w:rPr>
                <w:b/>
                <w:color w:val="000000"/>
                <w:sz w:val="22"/>
                <w:szCs w:val="22"/>
              </w:rPr>
              <w:t>49,9</w:t>
            </w:r>
          </w:p>
        </w:tc>
        <w:tc>
          <w:tcPr>
            <w:tcW w:w="1335" w:type="dxa"/>
            <w:tcBorders>
              <w:top w:val="single" w:sz="4" w:space="0" w:color="auto"/>
              <w:left w:val="nil"/>
              <w:bottom w:val="single" w:sz="4" w:space="0" w:color="auto"/>
              <w:right w:val="nil"/>
            </w:tcBorders>
            <w:shd w:val="clear" w:color="auto" w:fill="auto"/>
            <w:noWrap/>
            <w:vAlign w:val="center"/>
          </w:tcPr>
          <w:p w:rsidR="0055491A" w:rsidRPr="006E2E07" w:rsidRDefault="0055491A" w:rsidP="00210BF6">
            <w:pPr>
              <w:jc w:val="center"/>
              <w:rPr>
                <w:b/>
                <w:color w:val="000000"/>
                <w:sz w:val="22"/>
                <w:szCs w:val="22"/>
              </w:rPr>
            </w:pPr>
            <w:r>
              <w:rPr>
                <w:b/>
                <w:color w:val="000000"/>
                <w:sz w:val="22"/>
                <w:szCs w:val="22"/>
              </w:rPr>
              <w:t>54,4</w:t>
            </w:r>
          </w:p>
        </w:tc>
        <w:tc>
          <w:tcPr>
            <w:tcW w:w="1336" w:type="dxa"/>
            <w:tcBorders>
              <w:top w:val="single" w:sz="4" w:space="0" w:color="auto"/>
              <w:left w:val="nil"/>
              <w:bottom w:val="single" w:sz="4" w:space="0" w:color="auto"/>
              <w:right w:val="single" w:sz="4" w:space="0" w:color="auto"/>
            </w:tcBorders>
            <w:shd w:val="clear" w:color="auto" w:fill="auto"/>
            <w:noWrap/>
            <w:vAlign w:val="center"/>
          </w:tcPr>
          <w:p w:rsidR="0055491A" w:rsidRPr="006E2E07" w:rsidRDefault="0055491A" w:rsidP="00210BF6">
            <w:pPr>
              <w:jc w:val="center"/>
              <w:rPr>
                <w:b/>
                <w:color w:val="000000"/>
                <w:sz w:val="22"/>
                <w:szCs w:val="22"/>
              </w:rPr>
            </w:pPr>
            <w:r>
              <w:rPr>
                <w:b/>
                <w:color w:val="000000"/>
                <w:sz w:val="22"/>
                <w:szCs w:val="22"/>
              </w:rPr>
              <w:t>43,2</w:t>
            </w:r>
          </w:p>
        </w:tc>
      </w:tr>
    </w:tbl>
    <w:p w:rsidR="0055491A" w:rsidRDefault="0055491A" w:rsidP="0055491A">
      <w:pPr>
        <w:autoSpaceDE w:val="0"/>
        <w:autoSpaceDN w:val="0"/>
        <w:adjustRightInd w:val="0"/>
        <w:jc w:val="both"/>
        <w:rPr>
          <w:sz w:val="28"/>
          <w:szCs w:val="28"/>
        </w:rPr>
      </w:pPr>
    </w:p>
    <w:p w:rsidR="0055491A" w:rsidRDefault="0055491A" w:rsidP="0055491A">
      <w:pPr>
        <w:pStyle w:val="a7"/>
        <w:spacing w:after="0"/>
        <w:ind w:left="0" w:firstLine="709"/>
        <w:jc w:val="both"/>
        <w:rPr>
          <w:sz w:val="28"/>
          <w:szCs w:val="28"/>
        </w:rPr>
      </w:pPr>
      <w:r>
        <w:rPr>
          <w:sz w:val="28"/>
          <w:szCs w:val="28"/>
        </w:rPr>
        <w:t>3.6</w:t>
      </w:r>
      <w:r w:rsidRPr="0051259E">
        <w:rPr>
          <w:sz w:val="28"/>
          <w:szCs w:val="28"/>
        </w:rPr>
        <w:t xml:space="preserve"> </w:t>
      </w:r>
      <w:r w:rsidRPr="00381322">
        <w:rPr>
          <w:b/>
          <w:sz w:val="28"/>
          <w:szCs w:val="28"/>
        </w:rPr>
        <w:t>КБК 335 1 16 01073 01 0000 140</w:t>
      </w:r>
      <w:r>
        <w:rPr>
          <w:sz w:val="28"/>
          <w:szCs w:val="28"/>
        </w:rPr>
        <w:t xml:space="preserve"> </w:t>
      </w:r>
      <w:r w:rsidRPr="0051259E">
        <w:rPr>
          <w:sz w:val="28"/>
          <w:szCs w:val="28"/>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w:t>
      </w:r>
      <w:r>
        <w:rPr>
          <w:sz w:val="28"/>
          <w:szCs w:val="28"/>
        </w:rPr>
        <w:t>рав.</w:t>
      </w:r>
    </w:p>
    <w:p w:rsidR="0055491A" w:rsidRPr="00381322" w:rsidRDefault="0055491A" w:rsidP="0055491A">
      <w:pPr>
        <w:pStyle w:val="a7"/>
        <w:spacing w:after="0"/>
        <w:ind w:left="0" w:firstLine="709"/>
        <w:jc w:val="both"/>
        <w:rPr>
          <w:b/>
          <w:sz w:val="28"/>
          <w:szCs w:val="28"/>
        </w:rPr>
      </w:pPr>
      <w:r w:rsidRPr="00381322">
        <w:rPr>
          <w:b/>
          <w:sz w:val="28"/>
          <w:szCs w:val="28"/>
        </w:rPr>
        <w:t>Главный администратор доходов – Главное управление региональной безопасности Тверской области.</w:t>
      </w:r>
    </w:p>
    <w:p w:rsidR="0055491A" w:rsidRDefault="0055491A" w:rsidP="0055491A">
      <w:pPr>
        <w:pStyle w:val="ConsPlusNormal"/>
        <w:tabs>
          <w:tab w:val="left" w:pos="1276"/>
          <w:tab w:val="left" w:pos="1418"/>
        </w:tabs>
        <w:ind w:firstLine="709"/>
        <w:jc w:val="both"/>
        <w:rPr>
          <w:rFonts w:ascii="Times New Roman" w:hAnsi="Times New Roman" w:cs="Times New Roman"/>
          <w:sz w:val="28"/>
          <w:szCs w:val="28"/>
        </w:rPr>
      </w:pPr>
      <w:r w:rsidRPr="00D4062A">
        <w:rPr>
          <w:rFonts w:ascii="Times New Roman" w:hAnsi="Times New Roman" w:cs="Times New Roman"/>
          <w:sz w:val="28"/>
          <w:szCs w:val="28"/>
        </w:rPr>
        <w:t>Прогноз поступлений определен методом прямого расчета</w:t>
      </w:r>
      <w:r>
        <w:rPr>
          <w:rFonts w:ascii="Times New Roman" w:hAnsi="Times New Roman" w:cs="Times New Roman"/>
          <w:sz w:val="28"/>
          <w:szCs w:val="28"/>
        </w:rPr>
        <w:t>.</w:t>
      </w:r>
    </w:p>
    <w:p w:rsidR="0055491A" w:rsidRDefault="0055491A" w:rsidP="0055491A">
      <w:pPr>
        <w:pStyle w:val="a7"/>
        <w:spacing w:after="0"/>
        <w:ind w:left="0" w:firstLine="709"/>
        <w:jc w:val="both"/>
        <w:rPr>
          <w:sz w:val="28"/>
          <w:szCs w:val="28"/>
        </w:rPr>
      </w:pPr>
      <w:r>
        <w:rPr>
          <w:sz w:val="28"/>
          <w:szCs w:val="28"/>
        </w:rPr>
        <w:t>Р</w:t>
      </w:r>
      <w:r w:rsidRPr="000B0625">
        <w:rPr>
          <w:sz w:val="28"/>
          <w:szCs w:val="28"/>
        </w:rPr>
        <w:t>асчета прогноза на 20</w:t>
      </w:r>
      <w:r>
        <w:rPr>
          <w:sz w:val="28"/>
          <w:szCs w:val="28"/>
        </w:rPr>
        <w:t>22</w:t>
      </w:r>
      <w:r w:rsidRPr="000B0625">
        <w:rPr>
          <w:sz w:val="28"/>
          <w:szCs w:val="28"/>
        </w:rPr>
        <w:t xml:space="preserve"> год представлен в таблице</w:t>
      </w:r>
    </w:p>
    <w:tbl>
      <w:tblPr>
        <w:tblW w:w="9297" w:type="dxa"/>
        <w:tblInd w:w="-5" w:type="dxa"/>
        <w:tblLook w:val="04A0" w:firstRow="1" w:lastRow="0" w:firstColumn="1" w:lastColumn="0" w:noHBand="0" w:noVBand="1"/>
      </w:tblPr>
      <w:tblGrid>
        <w:gridCol w:w="513"/>
        <w:gridCol w:w="2756"/>
        <w:gridCol w:w="1344"/>
        <w:gridCol w:w="1683"/>
        <w:gridCol w:w="1520"/>
        <w:gridCol w:w="1481"/>
      </w:tblGrid>
      <w:tr w:rsidR="0055491A" w:rsidTr="00210BF6">
        <w:trPr>
          <w:trHeight w:val="1309"/>
        </w:trPr>
        <w:tc>
          <w:tcPr>
            <w:tcW w:w="4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1A" w:rsidRPr="00381322" w:rsidRDefault="0055491A" w:rsidP="00210BF6">
            <w:pPr>
              <w:jc w:val="center"/>
              <w:rPr>
                <w:sz w:val="22"/>
                <w:szCs w:val="22"/>
              </w:rPr>
            </w:pPr>
            <w:r w:rsidRPr="00381322">
              <w:rPr>
                <w:sz w:val="22"/>
                <w:szCs w:val="22"/>
              </w:rPr>
              <w:t>№ п/п</w:t>
            </w:r>
          </w:p>
        </w:tc>
        <w:tc>
          <w:tcPr>
            <w:tcW w:w="2909" w:type="dxa"/>
            <w:tcBorders>
              <w:top w:val="single" w:sz="4" w:space="0" w:color="auto"/>
              <w:left w:val="nil"/>
              <w:bottom w:val="single" w:sz="4" w:space="0" w:color="auto"/>
              <w:right w:val="single" w:sz="4" w:space="0" w:color="auto"/>
            </w:tcBorders>
            <w:shd w:val="clear" w:color="auto" w:fill="auto"/>
            <w:vAlign w:val="center"/>
            <w:hideMark/>
          </w:tcPr>
          <w:p w:rsidR="0055491A" w:rsidRPr="00381322" w:rsidRDefault="0055491A" w:rsidP="00210BF6">
            <w:pPr>
              <w:jc w:val="center"/>
              <w:rPr>
                <w:sz w:val="22"/>
                <w:szCs w:val="22"/>
              </w:rPr>
            </w:pPr>
            <w:r w:rsidRPr="00381322">
              <w:rPr>
                <w:sz w:val="22"/>
                <w:szCs w:val="22"/>
              </w:rPr>
              <w:t>Вид правонарушений</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55491A" w:rsidRPr="00381322" w:rsidRDefault="0055491A" w:rsidP="00210BF6">
            <w:pPr>
              <w:jc w:val="center"/>
              <w:rPr>
                <w:sz w:val="22"/>
                <w:szCs w:val="22"/>
              </w:rPr>
            </w:pPr>
            <w:r w:rsidRPr="00381322">
              <w:rPr>
                <w:sz w:val="22"/>
                <w:szCs w:val="22"/>
              </w:rPr>
              <w:t>Средний размер штрафа (средний областной), тыс. руб.</w:t>
            </w:r>
          </w:p>
        </w:tc>
        <w:tc>
          <w:tcPr>
            <w:tcW w:w="1616" w:type="dxa"/>
            <w:tcBorders>
              <w:top w:val="single" w:sz="4" w:space="0" w:color="auto"/>
              <w:left w:val="nil"/>
              <w:bottom w:val="single" w:sz="4" w:space="0" w:color="auto"/>
              <w:right w:val="single" w:sz="4" w:space="0" w:color="auto"/>
            </w:tcBorders>
            <w:shd w:val="clear" w:color="auto" w:fill="auto"/>
            <w:vAlign w:val="center"/>
            <w:hideMark/>
          </w:tcPr>
          <w:p w:rsidR="0055491A" w:rsidRPr="00381322" w:rsidRDefault="0055491A" w:rsidP="00210BF6">
            <w:pPr>
              <w:jc w:val="center"/>
              <w:rPr>
                <w:sz w:val="22"/>
                <w:szCs w:val="22"/>
              </w:rPr>
            </w:pPr>
            <w:r>
              <w:rPr>
                <w:sz w:val="22"/>
                <w:szCs w:val="22"/>
              </w:rPr>
              <w:t>К</w:t>
            </w:r>
            <w:r w:rsidRPr="00381322">
              <w:rPr>
                <w:sz w:val="22"/>
                <w:szCs w:val="22"/>
              </w:rPr>
              <w:t>оличество постановлений</w:t>
            </w:r>
            <w:r>
              <w:rPr>
                <w:sz w:val="22"/>
                <w:szCs w:val="22"/>
              </w:rPr>
              <w:t>,</w:t>
            </w:r>
            <w:r w:rsidRPr="00381322">
              <w:rPr>
                <w:sz w:val="22"/>
                <w:szCs w:val="22"/>
              </w:rPr>
              <w:t xml:space="preserve"> </w:t>
            </w:r>
            <w:r>
              <w:rPr>
                <w:sz w:val="22"/>
                <w:szCs w:val="22"/>
              </w:rPr>
              <w:t>ед.</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rsidR="0055491A" w:rsidRPr="00381322" w:rsidRDefault="0055491A" w:rsidP="00210BF6">
            <w:pPr>
              <w:jc w:val="center"/>
              <w:rPr>
                <w:sz w:val="22"/>
                <w:szCs w:val="22"/>
              </w:rPr>
            </w:pPr>
            <w:r w:rsidRPr="00381322">
              <w:rPr>
                <w:sz w:val="22"/>
                <w:szCs w:val="22"/>
              </w:rPr>
              <w:t>Коэффициент собираемости (средний областной), %</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rsidR="0055491A" w:rsidRPr="00381322" w:rsidRDefault="0055491A" w:rsidP="00210BF6">
            <w:pPr>
              <w:jc w:val="center"/>
              <w:rPr>
                <w:sz w:val="22"/>
                <w:szCs w:val="22"/>
              </w:rPr>
            </w:pPr>
            <w:r w:rsidRPr="00381322">
              <w:rPr>
                <w:sz w:val="22"/>
                <w:szCs w:val="22"/>
              </w:rPr>
              <w:t>Прогноз поступлений, тыс. руб. (ст.3*4*5/2)</w:t>
            </w:r>
          </w:p>
        </w:tc>
      </w:tr>
      <w:tr w:rsidR="0055491A" w:rsidTr="00210BF6">
        <w:trPr>
          <w:trHeight w:val="242"/>
        </w:trPr>
        <w:tc>
          <w:tcPr>
            <w:tcW w:w="494" w:type="dxa"/>
            <w:tcBorders>
              <w:top w:val="nil"/>
              <w:left w:val="single" w:sz="4" w:space="0" w:color="auto"/>
              <w:bottom w:val="single" w:sz="4" w:space="0" w:color="auto"/>
              <w:right w:val="single" w:sz="4" w:space="0" w:color="auto"/>
            </w:tcBorders>
            <w:shd w:val="clear" w:color="auto" w:fill="auto"/>
            <w:vAlign w:val="center"/>
            <w:hideMark/>
          </w:tcPr>
          <w:p w:rsidR="0055491A" w:rsidRPr="00381322" w:rsidRDefault="0055491A" w:rsidP="00210BF6">
            <w:pPr>
              <w:jc w:val="center"/>
              <w:rPr>
                <w:sz w:val="18"/>
                <w:szCs w:val="18"/>
              </w:rPr>
            </w:pPr>
            <w:r w:rsidRPr="00381322">
              <w:rPr>
                <w:sz w:val="18"/>
                <w:szCs w:val="18"/>
              </w:rPr>
              <w:t>1</w:t>
            </w:r>
          </w:p>
        </w:tc>
        <w:tc>
          <w:tcPr>
            <w:tcW w:w="2909" w:type="dxa"/>
            <w:tcBorders>
              <w:top w:val="nil"/>
              <w:left w:val="nil"/>
              <w:bottom w:val="single" w:sz="4" w:space="0" w:color="auto"/>
              <w:right w:val="single" w:sz="4" w:space="0" w:color="auto"/>
            </w:tcBorders>
            <w:shd w:val="clear" w:color="auto" w:fill="auto"/>
            <w:vAlign w:val="center"/>
            <w:hideMark/>
          </w:tcPr>
          <w:p w:rsidR="0055491A" w:rsidRPr="00381322" w:rsidRDefault="0055491A" w:rsidP="00210BF6">
            <w:pPr>
              <w:jc w:val="center"/>
              <w:rPr>
                <w:sz w:val="18"/>
                <w:szCs w:val="18"/>
              </w:rPr>
            </w:pPr>
            <w:r w:rsidRPr="00381322">
              <w:rPr>
                <w:sz w:val="18"/>
                <w:szCs w:val="18"/>
              </w:rPr>
              <w:t>2</w:t>
            </w:r>
          </w:p>
        </w:tc>
        <w:tc>
          <w:tcPr>
            <w:tcW w:w="1350" w:type="dxa"/>
            <w:tcBorders>
              <w:top w:val="nil"/>
              <w:left w:val="nil"/>
              <w:bottom w:val="single" w:sz="4" w:space="0" w:color="auto"/>
              <w:right w:val="single" w:sz="4" w:space="0" w:color="auto"/>
            </w:tcBorders>
            <w:shd w:val="clear" w:color="auto" w:fill="auto"/>
            <w:vAlign w:val="center"/>
            <w:hideMark/>
          </w:tcPr>
          <w:p w:rsidR="0055491A" w:rsidRPr="00381322" w:rsidRDefault="0055491A" w:rsidP="00210BF6">
            <w:pPr>
              <w:jc w:val="center"/>
              <w:rPr>
                <w:sz w:val="18"/>
                <w:szCs w:val="18"/>
              </w:rPr>
            </w:pPr>
            <w:r w:rsidRPr="00381322">
              <w:rPr>
                <w:sz w:val="18"/>
                <w:szCs w:val="18"/>
              </w:rPr>
              <w:t>3</w:t>
            </w:r>
          </w:p>
        </w:tc>
        <w:tc>
          <w:tcPr>
            <w:tcW w:w="1616" w:type="dxa"/>
            <w:tcBorders>
              <w:top w:val="nil"/>
              <w:left w:val="nil"/>
              <w:bottom w:val="single" w:sz="4" w:space="0" w:color="auto"/>
              <w:right w:val="single" w:sz="4" w:space="0" w:color="auto"/>
            </w:tcBorders>
            <w:shd w:val="clear" w:color="auto" w:fill="auto"/>
            <w:vAlign w:val="center"/>
            <w:hideMark/>
          </w:tcPr>
          <w:p w:rsidR="0055491A" w:rsidRPr="00381322" w:rsidRDefault="0055491A" w:rsidP="00210BF6">
            <w:pPr>
              <w:jc w:val="center"/>
              <w:rPr>
                <w:sz w:val="18"/>
                <w:szCs w:val="18"/>
              </w:rPr>
            </w:pPr>
            <w:r w:rsidRPr="00381322">
              <w:rPr>
                <w:sz w:val="18"/>
                <w:szCs w:val="18"/>
              </w:rPr>
              <w:t>4</w:t>
            </w:r>
          </w:p>
        </w:tc>
        <w:tc>
          <w:tcPr>
            <w:tcW w:w="1464" w:type="dxa"/>
            <w:tcBorders>
              <w:top w:val="nil"/>
              <w:left w:val="nil"/>
              <w:bottom w:val="single" w:sz="4" w:space="0" w:color="auto"/>
              <w:right w:val="single" w:sz="4" w:space="0" w:color="auto"/>
            </w:tcBorders>
            <w:shd w:val="clear" w:color="auto" w:fill="auto"/>
            <w:vAlign w:val="center"/>
            <w:hideMark/>
          </w:tcPr>
          <w:p w:rsidR="0055491A" w:rsidRPr="00381322" w:rsidRDefault="0055491A" w:rsidP="00210BF6">
            <w:pPr>
              <w:jc w:val="center"/>
              <w:rPr>
                <w:sz w:val="18"/>
                <w:szCs w:val="18"/>
              </w:rPr>
            </w:pPr>
            <w:r w:rsidRPr="00381322">
              <w:rPr>
                <w:sz w:val="18"/>
                <w:szCs w:val="18"/>
              </w:rPr>
              <w:t>5</w:t>
            </w:r>
          </w:p>
        </w:tc>
        <w:tc>
          <w:tcPr>
            <w:tcW w:w="1464" w:type="dxa"/>
            <w:tcBorders>
              <w:top w:val="nil"/>
              <w:left w:val="nil"/>
              <w:bottom w:val="single" w:sz="4" w:space="0" w:color="auto"/>
              <w:right w:val="single" w:sz="4" w:space="0" w:color="auto"/>
            </w:tcBorders>
            <w:shd w:val="clear" w:color="auto" w:fill="auto"/>
            <w:vAlign w:val="center"/>
            <w:hideMark/>
          </w:tcPr>
          <w:p w:rsidR="0055491A" w:rsidRPr="00381322" w:rsidRDefault="0055491A" w:rsidP="00210BF6">
            <w:pPr>
              <w:jc w:val="center"/>
              <w:rPr>
                <w:sz w:val="18"/>
                <w:szCs w:val="18"/>
              </w:rPr>
            </w:pPr>
            <w:r w:rsidRPr="00381322">
              <w:rPr>
                <w:sz w:val="18"/>
                <w:szCs w:val="18"/>
              </w:rPr>
              <w:t>6</w:t>
            </w:r>
          </w:p>
        </w:tc>
      </w:tr>
      <w:tr w:rsidR="0055491A" w:rsidTr="00210BF6">
        <w:trPr>
          <w:trHeight w:val="785"/>
        </w:trPr>
        <w:tc>
          <w:tcPr>
            <w:tcW w:w="494" w:type="dxa"/>
            <w:tcBorders>
              <w:top w:val="nil"/>
              <w:left w:val="single" w:sz="4" w:space="0" w:color="auto"/>
              <w:bottom w:val="single" w:sz="4" w:space="0" w:color="auto"/>
              <w:right w:val="single" w:sz="4" w:space="0" w:color="auto"/>
            </w:tcBorders>
            <w:shd w:val="clear" w:color="auto" w:fill="auto"/>
            <w:vAlign w:val="center"/>
            <w:hideMark/>
          </w:tcPr>
          <w:p w:rsidR="0055491A" w:rsidRPr="00381322" w:rsidRDefault="0055491A" w:rsidP="00210BF6">
            <w:pPr>
              <w:jc w:val="center"/>
              <w:rPr>
                <w:sz w:val="22"/>
                <w:szCs w:val="22"/>
              </w:rPr>
            </w:pPr>
            <w:r w:rsidRPr="00381322">
              <w:rPr>
                <w:sz w:val="22"/>
                <w:szCs w:val="22"/>
              </w:rPr>
              <w:t>1</w:t>
            </w:r>
          </w:p>
        </w:tc>
        <w:tc>
          <w:tcPr>
            <w:tcW w:w="2909" w:type="dxa"/>
            <w:tcBorders>
              <w:top w:val="nil"/>
              <w:left w:val="nil"/>
              <w:bottom w:val="single" w:sz="4" w:space="0" w:color="auto"/>
              <w:right w:val="single" w:sz="4" w:space="0" w:color="auto"/>
            </w:tcBorders>
            <w:shd w:val="clear" w:color="auto" w:fill="auto"/>
            <w:vAlign w:val="center"/>
            <w:hideMark/>
          </w:tcPr>
          <w:p w:rsidR="0055491A" w:rsidRPr="00381322" w:rsidRDefault="0055491A" w:rsidP="00210BF6">
            <w:pPr>
              <w:jc w:val="both"/>
              <w:rPr>
                <w:sz w:val="22"/>
                <w:szCs w:val="22"/>
              </w:rPr>
            </w:pPr>
            <w:r w:rsidRPr="00381322">
              <w:rPr>
                <w:sz w:val="22"/>
                <w:szCs w:val="22"/>
              </w:rPr>
              <w:t>Штрафы за нарушение авторских и смежных прав, изобретательских и патентных прав</w:t>
            </w:r>
          </w:p>
        </w:tc>
        <w:tc>
          <w:tcPr>
            <w:tcW w:w="1350" w:type="dxa"/>
            <w:tcBorders>
              <w:top w:val="nil"/>
              <w:left w:val="nil"/>
              <w:bottom w:val="single" w:sz="4" w:space="0" w:color="auto"/>
              <w:right w:val="single" w:sz="4" w:space="0" w:color="auto"/>
            </w:tcBorders>
            <w:shd w:val="clear" w:color="auto" w:fill="auto"/>
            <w:vAlign w:val="center"/>
            <w:hideMark/>
          </w:tcPr>
          <w:p w:rsidR="0055491A" w:rsidRPr="00381322" w:rsidRDefault="0055491A" w:rsidP="00210BF6">
            <w:pPr>
              <w:jc w:val="center"/>
              <w:rPr>
                <w:sz w:val="22"/>
                <w:szCs w:val="22"/>
              </w:rPr>
            </w:pPr>
            <w:r w:rsidRPr="00381322">
              <w:rPr>
                <w:sz w:val="22"/>
                <w:szCs w:val="22"/>
              </w:rPr>
              <w:t>10</w:t>
            </w:r>
          </w:p>
        </w:tc>
        <w:tc>
          <w:tcPr>
            <w:tcW w:w="1616" w:type="dxa"/>
            <w:tcBorders>
              <w:top w:val="nil"/>
              <w:left w:val="nil"/>
              <w:bottom w:val="single" w:sz="4" w:space="0" w:color="auto"/>
              <w:right w:val="single" w:sz="4" w:space="0" w:color="auto"/>
            </w:tcBorders>
            <w:shd w:val="clear" w:color="auto" w:fill="auto"/>
            <w:vAlign w:val="center"/>
            <w:hideMark/>
          </w:tcPr>
          <w:p w:rsidR="0055491A" w:rsidRPr="00381322" w:rsidRDefault="0055491A" w:rsidP="00210BF6">
            <w:pPr>
              <w:jc w:val="center"/>
              <w:rPr>
                <w:sz w:val="22"/>
                <w:szCs w:val="22"/>
              </w:rPr>
            </w:pPr>
            <w:r w:rsidRPr="00381322">
              <w:rPr>
                <w:sz w:val="22"/>
                <w:szCs w:val="22"/>
              </w:rPr>
              <w:t>1</w:t>
            </w:r>
          </w:p>
        </w:tc>
        <w:tc>
          <w:tcPr>
            <w:tcW w:w="1464" w:type="dxa"/>
            <w:tcBorders>
              <w:top w:val="nil"/>
              <w:left w:val="nil"/>
              <w:bottom w:val="single" w:sz="4" w:space="0" w:color="auto"/>
              <w:right w:val="single" w:sz="4" w:space="0" w:color="auto"/>
            </w:tcBorders>
            <w:shd w:val="clear" w:color="auto" w:fill="auto"/>
            <w:vAlign w:val="center"/>
            <w:hideMark/>
          </w:tcPr>
          <w:p w:rsidR="0055491A" w:rsidRPr="00381322" w:rsidRDefault="0055491A" w:rsidP="00210BF6">
            <w:pPr>
              <w:jc w:val="center"/>
              <w:rPr>
                <w:sz w:val="22"/>
                <w:szCs w:val="22"/>
              </w:rPr>
            </w:pPr>
            <w:r w:rsidRPr="00381322">
              <w:rPr>
                <w:sz w:val="22"/>
                <w:szCs w:val="22"/>
              </w:rPr>
              <w:t>100,0%</w:t>
            </w:r>
          </w:p>
        </w:tc>
        <w:tc>
          <w:tcPr>
            <w:tcW w:w="1464" w:type="dxa"/>
            <w:tcBorders>
              <w:top w:val="nil"/>
              <w:left w:val="nil"/>
              <w:bottom w:val="single" w:sz="4" w:space="0" w:color="auto"/>
              <w:right w:val="single" w:sz="4" w:space="0" w:color="auto"/>
            </w:tcBorders>
            <w:shd w:val="clear" w:color="auto" w:fill="auto"/>
            <w:vAlign w:val="center"/>
            <w:hideMark/>
          </w:tcPr>
          <w:p w:rsidR="0055491A" w:rsidRPr="00381322" w:rsidRDefault="0055491A" w:rsidP="00210BF6">
            <w:pPr>
              <w:jc w:val="center"/>
              <w:rPr>
                <w:sz w:val="22"/>
                <w:szCs w:val="22"/>
              </w:rPr>
            </w:pPr>
            <w:r w:rsidRPr="00381322">
              <w:rPr>
                <w:sz w:val="22"/>
                <w:szCs w:val="22"/>
              </w:rPr>
              <w:t>5</w:t>
            </w:r>
          </w:p>
        </w:tc>
      </w:tr>
      <w:tr w:rsidR="0055491A" w:rsidTr="00210BF6">
        <w:trPr>
          <w:trHeight w:val="523"/>
        </w:trPr>
        <w:tc>
          <w:tcPr>
            <w:tcW w:w="494" w:type="dxa"/>
            <w:tcBorders>
              <w:top w:val="nil"/>
              <w:left w:val="single" w:sz="4" w:space="0" w:color="auto"/>
              <w:bottom w:val="single" w:sz="4" w:space="0" w:color="auto"/>
              <w:right w:val="single" w:sz="4" w:space="0" w:color="auto"/>
            </w:tcBorders>
            <w:shd w:val="clear" w:color="auto" w:fill="auto"/>
            <w:vAlign w:val="center"/>
            <w:hideMark/>
          </w:tcPr>
          <w:p w:rsidR="0055491A" w:rsidRPr="00381322" w:rsidRDefault="0055491A" w:rsidP="00210BF6">
            <w:pPr>
              <w:jc w:val="center"/>
              <w:rPr>
                <w:sz w:val="22"/>
                <w:szCs w:val="22"/>
              </w:rPr>
            </w:pPr>
            <w:r w:rsidRPr="00381322">
              <w:rPr>
                <w:sz w:val="22"/>
                <w:szCs w:val="22"/>
              </w:rPr>
              <w:t>2</w:t>
            </w:r>
          </w:p>
        </w:tc>
        <w:tc>
          <w:tcPr>
            <w:tcW w:w="2909" w:type="dxa"/>
            <w:tcBorders>
              <w:top w:val="nil"/>
              <w:left w:val="nil"/>
              <w:bottom w:val="single" w:sz="4" w:space="0" w:color="auto"/>
              <w:right w:val="single" w:sz="4" w:space="0" w:color="auto"/>
            </w:tcBorders>
            <w:shd w:val="clear" w:color="auto" w:fill="auto"/>
            <w:vAlign w:val="center"/>
            <w:hideMark/>
          </w:tcPr>
          <w:p w:rsidR="0055491A" w:rsidRPr="00381322" w:rsidRDefault="0055491A" w:rsidP="00210BF6">
            <w:pPr>
              <w:rPr>
                <w:sz w:val="22"/>
                <w:szCs w:val="22"/>
              </w:rPr>
            </w:pPr>
            <w:r w:rsidRPr="00381322">
              <w:rPr>
                <w:sz w:val="22"/>
                <w:szCs w:val="22"/>
              </w:rPr>
              <w:t>Штрафы за уничтожение или повреждение чужого имущества</w:t>
            </w:r>
          </w:p>
        </w:tc>
        <w:tc>
          <w:tcPr>
            <w:tcW w:w="1350" w:type="dxa"/>
            <w:tcBorders>
              <w:top w:val="nil"/>
              <w:left w:val="nil"/>
              <w:bottom w:val="single" w:sz="4" w:space="0" w:color="auto"/>
              <w:right w:val="single" w:sz="4" w:space="0" w:color="auto"/>
            </w:tcBorders>
            <w:shd w:val="clear" w:color="auto" w:fill="auto"/>
            <w:vAlign w:val="center"/>
            <w:hideMark/>
          </w:tcPr>
          <w:p w:rsidR="0055491A" w:rsidRPr="00381322" w:rsidRDefault="0055491A" w:rsidP="00210BF6">
            <w:pPr>
              <w:jc w:val="center"/>
              <w:rPr>
                <w:sz w:val="22"/>
                <w:szCs w:val="22"/>
              </w:rPr>
            </w:pPr>
            <w:r w:rsidRPr="00381322">
              <w:rPr>
                <w:sz w:val="22"/>
                <w:szCs w:val="22"/>
              </w:rPr>
              <w:t>0,4</w:t>
            </w:r>
          </w:p>
        </w:tc>
        <w:tc>
          <w:tcPr>
            <w:tcW w:w="1616" w:type="dxa"/>
            <w:tcBorders>
              <w:top w:val="nil"/>
              <w:left w:val="nil"/>
              <w:bottom w:val="single" w:sz="4" w:space="0" w:color="auto"/>
              <w:right w:val="single" w:sz="4" w:space="0" w:color="auto"/>
            </w:tcBorders>
            <w:shd w:val="clear" w:color="auto" w:fill="auto"/>
            <w:vAlign w:val="center"/>
            <w:hideMark/>
          </w:tcPr>
          <w:p w:rsidR="0055491A" w:rsidRPr="00381322" w:rsidRDefault="0055491A" w:rsidP="00210BF6">
            <w:pPr>
              <w:jc w:val="center"/>
              <w:rPr>
                <w:sz w:val="22"/>
                <w:szCs w:val="22"/>
              </w:rPr>
            </w:pPr>
            <w:r w:rsidRPr="00381322">
              <w:rPr>
                <w:sz w:val="22"/>
                <w:szCs w:val="22"/>
              </w:rPr>
              <w:t>160</w:t>
            </w:r>
          </w:p>
        </w:tc>
        <w:tc>
          <w:tcPr>
            <w:tcW w:w="1464" w:type="dxa"/>
            <w:tcBorders>
              <w:top w:val="nil"/>
              <w:left w:val="nil"/>
              <w:bottom w:val="single" w:sz="4" w:space="0" w:color="auto"/>
              <w:right w:val="single" w:sz="4" w:space="0" w:color="auto"/>
            </w:tcBorders>
            <w:shd w:val="clear" w:color="auto" w:fill="auto"/>
            <w:vAlign w:val="center"/>
            <w:hideMark/>
          </w:tcPr>
          <w:p w:rsidR="0055491A" w:rsidRPr="00381322" w:rsidRDefault="0055491A" w:rsidP="00210BF6">
            <w:pPr>
              <w:jc w:val="center"/>
              <w:rPr>
                <w:sz w:val="22"/>
                <w:szCs w:val="22"/>
              </w:rPr>
            </w:pPr>
            <w:r w:rsidRPr="00381322">
              <w:rPr>
                <w:sz w:val="22"/>
                <w:szCs w:val="22"/>
              </w:rPr>
              <w:t>32,8%</w:t>
            </w:r>
          </w:p>
        </w:tc>
        <w:tc>
          <w:tcPr>
            <w:tcW w:w="1464" w:type="dxa"/>
            <w:tcBorders>
              <w:top w:val="nil"/>
              <w:left w:val="nil"/>
              <w:bottom w:val="single" w:sz="4" w:space="0" w:color="auto"/>
              <w:right w:val="single" w:sz="4" w:space="0" w:color="auto"/>
            </w:tcBorders>
            <w:shd w:val="clear" w:color="auto" w:fill="auto"/>
            <w:vAlign w:val="center"/>
            <w:hideMark/>
          </w:tcPr>
          <w:p w:rsidR="0055491A" w:rsidRPr="00381322" w:rsidRDefault="0055491A" w:rsidP="00210BF6">
            <w:pPr>
              <w:jc w:val="center"/>
              <w:rPr>
                <w:sz w:val="22"/>
                <w:szCs w:val="22"/>
              </w:rPr>
            </w:pPr>
            <w:r w:rsidRPr="00381322">
              <w:rPr>
                <w:sz w:val="22"/>
                <w:szCs w:val="22"/>
              </w:rPr>
              <w:t>10,5</w:t>
            </w:r>
          </w:p>
        </w:tc>
      </w:tr>
      <w:tr w:rsidR="0055491A" w:rsidTr="00210BF6">
        <w:trPr>
          <w:trHeight w:val="1047"/>
        </w:trPr>
        <w:tc>
          <w:tcPr>
            <w:tcW w:w="494" w:type="dxa"/>
            <w:tcBorders>
              <w:top w:val="nil"/>
              <w:left w:val="single" w:sz="4" w:space="0" w:color="auto"/>
              <w:bottom w:val="single" w:sz="4" w:space="0" w:color="auto"/>
              <w:right w:val="single" w:sz="4" w:space="0" w:color="auto"/>
            </w:tcBorders>
            <w:shd w:val="clear" w:color="auto" w:fill="auto"/>
            <w:vAlign w:val="center"/>
            <w:hideMark/>
          </w:tcPr>
          <w:p w:rsidR="0055491A" w:rsidRPr="00381322" w:rsidRDefault="0055491A" w:rsidP="00210BF6">
            <w:pPr>
              <w:jc w:val="center"/>
              <w:rPr>
                <w:sz w:val="22"/>
                <w:szCs w:val="22"/>
              </w:rPr>
            </w:pPr>
            <w:r w:rsidRPr="00381322">
              <w:rPr>
                <w:sz w:val="22"/>
                <w:szCs w:val="22"/>
              </w:rPr>
              <w:t>3</w:t>
            </w:r>
          </w:p>
        </w:tc>
        <w:tc>
          <w:tcPr>
            <w:tcW w:w="2909" w:type="dxa"/>
            <w:tcBorders>
              <w:top w:val="nil"/>
              <w:left w:val="nil"/>
              <w:bottom w:val="single" w:sz="4" w:space="0" w:color="auto"/>
              <w:right w:val="single" w:sz="4" w:space="0" w:color="auto"/>
            </w:tcBorders>
            <w:shd w:val="clear" w:color="auto" w:fill="auto"/>
            <w:vAlign w:val="center"/>
            <w:hideMark/>
          </w:tcPr>
          <w:p w:rsidR="0055491A" w:rsidRPr="00381322" w:rsidRDefault="0055491A" w:rsidP="00210BF6">
            <w:pPr>
              <w:jc w:val="both"/>
              <w:rPr>
                <w:sz w:val="22"/>
                <w:szCs w:val="22"/>
              </w:rPr>
            </w:pPr>
            <w:r w:rsidRPr="00381322">
              <w:rPr>
                <w:sz w:val="22"/>
                <w:szCs w:val="22"/>
              </w:rPr>
              <w:t>Штрафы за самовольное подключение и использование электрической, тепловой энергии, нефти или газа</w:t>
            </w:r>
          </w:p>
        </w:tc>
        <w:tc>
          <w:tcPr>
            <w:tcW w:w="1350" w:type="dxa"/>
            <w:tcBorders>
              <w:top w:val="nil"/>
              <w:left w:val="nil"/>
              <w:bottom w:val="single" w:sz="4" w:space="0" w:color="auto"/>
              <w:right w:val="single" w:sz="4" w:space="0" w:color="auto"/>
            </w:tcBorders>
            <w:shd w:val="clear" w:color="auto" w:fill="auto"/>
            <w:vAlign w:val="center"/>
            <w:hideMark/>
          </w:tcPr>
          <w:p w:rsidR="0055491A" w:rsidRPr="00381322" w:rsidRDefault="0055491A" w:rsidP="00210BF6">
            <w:pPr>
              <w:jc w:val="center"/>
              <w:rPr>
                <w:sz w:val="22"/>
                <w:szCs w:val="22"/>
              </w:rPr>
            </w:pPr>
            <w:r w:rsidRPr="00381322">
              <w:rPr>
                <w:sz w:val="22"/>
                <w:szCs w:val="22"/>
              </w:rPr>
              <w:t>9,2</w:t>
            </w:r>
          </w:p>
        </w:tc>
        <w:tc>
          <w:tcPr>
            <w:tcW w:w="1616" w:type="dxa"/>
            <w:tcBorders>
              <w:top w:val="nil"/>
              <w:left w:val="nil"/>
              <w:bottom w:val="single" w:sz="4" w:space="0" w:color="auto"/>
              <w:right w:val="single" w:sz="4" w:space="0" w:color="auto"/>
            </w:tcBorders>
            <w:shd w:val="clear" w:color="auto" w:fill="auto"/>
            <w:vAlign w:val="center"/>
            <w:hideMark/>
          </w:tcPr>
          <w:p w:rsidR="0055491A" w:rsidRPr="00381322" w:rsidRDefault="0055491A" w:rsidP="00210BF6">
            <w:pPr>
              <w:jc w:val="center"/>
              <w:rPr>
                <w:sz w:val="22"/>
                <w:szCs w:val="22"/>
              </w:rPr>
            </w:pPr>
            <w:r w:rsidRPr="00381322">
              <w:rPr>
                <w:sz w:val="22"/>
                <w:szCs w:val="22"/>
              </w:rPr>
              <w:t>137</w:t>
            </w:r>
          </w:p>
        </w:tc>
        <w:tc>
          <w:tcPr>
            <w:tcW w:w="1464" w:type="dxa"/>
            <w:tcBorders>
              <w:top w:val="nil"/>
              <w:left w:val="nil"/>
              <w:bottom w:val="single" w:sz="4" w:space="0" w:color="auto"/>
              <w:right w:val="single" w:sz="4" w:space="0" w:color="auto"/>
            </w:tcBorders>
            <w:shd w:val="clear" w:color="auto" w:fill="auto"/>
            <w:vAlign w:val="center"/>
            <w:hideMark/>
          </w:tcPr>
          <w:p w:rsidR="0055491A" w:rsidRPr="00381322" w:rsidRDefault="0055491A" w:rsidP="00210BF6">
            <w:pPr>
              <w:jc w:val="center"/>
              <w:rPr>
                <w:sz w:val="22"/>
                <w:szCs w:val="22"/>
              </w:rPr>
            </w:pPr>
            <w:r w:rsidRPr="00381322">
              <w:rPr>
                <w:sz w:val="22"/>
                <w:szCs w:val="22"/>
              </w:rPr>
              <w:t>100,0%</w:t>
            </w:r>
          </w:p>
        </w:tc>
        <w:tc>
          <w:tcPr>
            <w:tcW w:w="1464" w:type="dxa"/>
            <w:tcBorders>
              <w:top w:val="nil"/>
              <w:left w:val="nil"/>
              <w:bottom w:val="single" w:sz="4" w:space="0" w:color="auto"/>
              <w:right w:val="single" w:sz="4" w:space="0" w:color="auto"/>
            </w:tcBorders>
            <w:shd w:val="clear" w:color="auto" w:fill="auto"/>
            <w:vAlign w:val="center"/>
            <w:hideMark/>
          </w:tcPr>
          <w:p w:rsidR="0055491A" w:rsidRPr="00381322" w:rsidRDefault="0055491A" w:rsidP="00210BF6">
            <w:pPr>
              <w:jc w:val="center"/>
              <w:rPr>
                <w:sz w:val="22"/>
                <w:szCs w:val="22"/>
              </w:rPr>
            </w:pPr>
            <w:r w:rsidRPr="00381322">
              <w:rPr>
                <w:sz w:val="22"/>
                <w:szCs w:val="22"/>
              </w:rPr>
              <w:t>630,2</w:t>
            </w:r>
          </w:p>
        </w:tc>
      </w:tr>
      <w:tr w:rsidR="0055491A" w:rsidTr="00210BF6">
        <w:trPr>
          <w:trHeight w:val="261"/>
        </w:trPr>
        <w:tc>
          <w:tcPr>
            <w:tcW w:w="494" w:type="dxa"/>
            <w:tcBorders>
              <w:top w:val="nil"/>
              <w:left w:val="single" w:sz="4" w:space="0" w:color="auto"/>
              <w:bottom w:val="single" w:sz="4" w:space="0" w:color="auto"/>
              <w:right w:val="single" w:sz="4" w:space="0" w:color="auto"/>
            </w:tcBorders>
            <w:shd w:val="clear" w:color="auto" w:fill="auto"/>
            <w:vAlign w:val="center"/>
            <w:hideMark/>
          </w:tcPr>
          <w:p w:rsidR="0055491A" w:rsidRPr="00381322" w:rsidRDefault="0055491A" w:rsidP="00210BF6">
            <w:pPr>
              <w:jc w:val="center"/>
              <w:rPr>
                <w:sz w:val="22"/>
                <w:szCs w:val="22"/>
              </w:rPr>
            </w:pPr>
            <w:r w:rsidRPr="00381322">
              <w:rPr>
                <w:sz w:val="22"/>
                <w:szCs w:val="22"/>
              </w:rPr>
              <w:t>4</w:t>
            </w:r>
          </w:p>
        </w:tc>
        <w:tc>
          <w:tcPr>
            <w:tcW w:w="2909" w:type="dxa"/>
            <w:tcBorders>
              <w:top w:val="nil"/>
              <w:left w:val="nil"/>
              <w:bottom w:val="single" w:sz="4" w:space="0" w:color="auto"/>
              <w:right w:val="single" w:sz="4" w:space="0" w:color="auto"/>
            </w:tcBorders>
            <w:shd w:val="clear" w:color="auto" w:fill="auto"/>
            <w:vAlign w:val="center"/>
            <w:hideMark/>
          </w:tcPr>
          <w:p w:rsidR="0055491A" w:rsidRPr="00381322" w:rsidRDefault="0055491A" w:rsidP="00210BF6">
            <w:pPr>
              <w:jc w:val="both"/>
              <w:rPr>
                <w:sz w:val="22"/>
                <w:szCs w:val="22"/>
              </w:rPr>
            </w:pPr>
            <w:r w:rsidRPr="00381322">
              <w:rPr>
                <w:sz w:val="22"/>
                <w:szCs w:val="22"/>
              </w:rPr>
              <w:t>Штрафы за мелкое хищение</w:t>
            </w:r>
          </w:p>
        </w:tc>
        <w:tc>
          <w:tcPr>
            <w:tcW w:w="1350" w:type="dxa"/>
            <w:tcBorders>
              <w:top w:val="nil"/>
              <w:left w:val="nil"/>
              <w:bottom w:val="single" w:sz="4" w:space="0" w:color="auto"/>
              <w:right w:val="single" w:sz="4" w:space="0" w:color="auto"/>
            </w:tcBorders>
            <w:shd w:val="clear" w:color="auto" w:fill="auto"/>
            <w:vAlign w:val="center"/>
            <w:hideMark/>
          </w:tcPr>
          <w:p w:rsidR="0055491A" w:rsidRPr="00381322" w:rsidRDefault="0055491A" w:rsidP="00210BF6">
            <w:pPr>
              <w:jc w:val="center"/>
              <w:rPr>
                <w:sz w:val="22"/>
                <w:szCs w:val="22"/>
              </w:rPr>
            </w:pPr>
            <w:r w:rsidRPr="00381322">
              <w:rPr>
                <w:sz w:val="22"/>
                <w:szCs w:val="22"/>
              </w:rPr>
              <w:t>1,3</w:t>
            </w:r>
          </w:p>
        </w:tc>
        <w:tc>
          <w:tcPr>
            <w:tcW w:w="1616" w:type="dxa"/>
            <w:tcBorders>
              <w:top w:val="nil"/>
              <w:left w:val="nil"/>
              <w:bottom w:val="single" w:sz="4" w:space="0" w:color="auto"/>
              <w:right w:val="single" w:sz="4" w:space="0" w:color="auto"/>
            </w:tcBorders>
            <w:shd w:val="clear" w:color="auto" w:fill="auto"/>
            <w:vAlign w:val="center"/>
            <w:hideMark/>
          </w:tcPr>
          <w:p w:rsidR="0055491A" w:rsidRPr="00381322" w:rsidRDefault="0055491A" w:rsidP="00210BF6">
            <w:pPr>
              <w:jc w:val="center"/>
              <w:rPr>
                <w:sz w:val="22"/>
                <w:szCs w:val="22"/>
              </w:rPr>
            </w:pPr>
            <w:r w:rsidRPr="00381322">
              <w:rPr>
                <w:sz w:val="22"/>
                <w:szCs w:val="22"/>
              </w:rPr>
              <w:t>271</w:t>
            </w:r>
          </w:p>
        </w:tc>
        <w:tc>
          <w:tcPr>
            <w:tcW w:w="1464" w:type="dxa"/>
            <w:tcBorders>
              <w:top w:val="nil"/>
              <w:left w:val="nil"/>
              <w:bottom w:val="single" w:sz="4" w:space="0" w:color="auto"/>
              <w:right w:val="single" w:sz="4" w:space="0" w:color="auto"/>
            </w:tcBorders>
            <w:shd w:val="clear" w:color="auto" w:fill="auto"/>
            <w:vAlign w:val="center"/>
            <w:hideMark/>
          </w:tcPr>
          <w:p w:rsidR="0055491A" w:rsidRPr="00381322" w:rsidRDefault="0055491A" w:rsidP="00210BF6">
            <w:pPr>
              <w:jc w:val="center"/>
              <w:rPr>
                <w:sz w:val="22"/>
                <w:szCs w:val="22"/>
              </w:rPr>
            </w:pPr>
            <w:r w:rsidRPr="00381322">
              <w:rPr>
                <w:sz w:val="22"/>
                <w:szCs w:val="22"/>
              </w:rPr>
              <w:t>53,7%</w:t>
            </w:r>
          </w:p>
        </w:tc>
        <w:tc>
          <w:tcPr>
            <w:tcW w:w="1464" w:type="dxa"/>
            <w:tcBorders>
              <w:top w:val="nil"/>
              <w:left w:val="nil"/>
              <w:bottom w:val="single" w:sz="4" w:space="0" w:color="auto"/>
              <w:right w:val="single" w:sz="4" w:space="0" w:color="auto"/>
            </w:tcBorders>
            <w:shd w:val="clear" w:color="auto" w:fill="auto"/>
            <w:vAlign w:val="center"/>
            <w:hideMark/>
          </w:tcPr>
          <w:p w:rsidR="0055491A" w:rsidRPr="00381322" w:rsidRDefault="0055491A" w:rsidP="00210BF6">
            <w:pPr>
              <w:jc w:val="center"/>
              <w:rPr>
                <w:sz w:val="22"/>
                <w:szCs w:val="22"/>
              </w:rPr>
            </w:pPr>
            <w:r w:rsidRPr="00381322">
              <w:rPr>
                <w:sz w:val="22"/>
                <w:szCs w:val="22"/>
              </w:rPr>
              <w:t>94,6</w:t>
            </w:r>
          </w:p>
        </w:tc>
      </w:tr>
      <w:tr w:rsidR="0055491A" w:rsidTr="00210BF6">
        <w:trPr>
          <w:trHeight w:val="261"/>
        </w:trPr>
        <w:tc>
          <w:tcPr>
            <w:tcW w:w="494" w:type="dxa"/>
            <w:tcBorders>
              <w:top w:val="nil"/>
              <w:left w:val="single" w:sz="4" w:space="0" w:color="auto"/>
              <w:bottom w:val="single" w:sz="4" w:space="0" w:color="auto"/>
              <w:right w:val="single" w:sz="4" w:space="0" w:color="auto"/>
            </w:tcBorders>
            <w:shd w:val="clear" w:color="auto" w:fill="auto"/>
            <w:vAlign w:val="center"/>
            <w:hideMark/>
          </w:tcPr>
          <w:p w:rsidR="0055491A" w:rsidRPr="00381322" w:rsidRDefault="0055491A" w:rsidP="00210BF6">
            <w:pPr>
              <w:jc w:val="center"/>
              <w:rPr>
                <w:sz w:val="22"/>
                <w:szCs w:val="22"/>
              </w:rPr>
            </w:pPr>
            <w:r w:rsidRPr="00381322">
              <w:rPr>
                <w:sz w:val="22"/>
                <w:szCs w:val="22"/>
              </w:rPr>
              <w:t>5</w:t>
            </w:r>
          </w:p>
        </w:tc>
        <w:tc>
          <w:tcPr>
            <w:tcW w:w="2909" w:type="dxa"/>
            <w:tcBorders>
              <w:top w:val="nil"/>
              <w:left w:val="nil"/>
              <w:bottom w:val="single" w:sz="4" w:space="0" w:color="auto"/>
              <w:right w:val="single" w:sz="4" w:space="0" w:color="auto"/>
            </w:tcBorders>
            <w:shd w:val="clear" w:color="auto" w:fill="auto"/>
            <w:vAlign w:val="center"/>
            <w:hideMark/>
          </w:tcPr>
          <w:p w:rsidR="0055491A" w:rsidRPr="00381322" w:rsidRDefault="0055491A" w:rsidP="00210BF6">
            <w:pPr>
              <w:jc w:val="both"/>
              <w:rPr>
                <w:sz w:val="22"/>
                <w:szCs w:val="22"/>
              </w:rPr>
            </w:pPr>
            <w:r w:rsidRPr="00381322">
              <w:rPr>
                <w:sz w:val="22"/>
                <w:szCs w:val="22"/>
              </w:rPr>
              <w:t>Иные штрафы</w:t>
            </w:r>
          </w:p>
        </w:tc>
        <w:tc>
          <w:tcPr>
            <w:tcW w:w="1350" w:type="dxa"/>
            <w:tcBorders>
              <w:top w:val="nil"/>
              <w:left w:val="nil"/>
              <w:bottom w:val="single" w:sz="4" w:space="0" w:color="auto"/>
              <w:right w:val="single" w:sz="4" w:space="0" w:color="auto"/>
            </w:tcBorders>
            <w:shd w:val="clear" w:color="auto" w:fill="auto"/>
            <w:vAlign w:val="center"/>
            <w:hideMark/>
          </w:tcPr>
          <w:p w:rsidR="0055491A" w:rsidRPr="00381322" w:rsidRDefault="0055491A" w:rsidP="00210BF6">
            <w:pPr>
              <w:jc w:val="center"/>
              <w:rPr>
                <w:sz w:val="22"/>
                <w:szCs w:val="22"/>
              </w:rPr>
            </w:pPr>
            <w:r w:rsidRPr="00381322">
              <w:rPr>
                <w:sz w:val="22"/>
                <w:szCs w:val="22"/>
              </w:rPr>
              <w:t>338,1</w:t>
            </w:r>
          </w:p>
        </w:tc>
        <w:tc>
          <w:tcPr>
            <w:tcW w:w="1616" w:type="dxa"/>
            <w:tcBorders>
              <w:top w:val="nil"/>
              <w:left w:val="nil"/>
              <w:bottom w:val="single" w:sz="4" w:space="0" w:color="auto"/>
              <w:right w:val="single" w:sz="4" w:space="0" w:color="auto"/>
            </w:tcBorders>
            <w:shd w:val="clear" w:color="auto" w:fill="auto"/>
            <w:vAlign w:val="center"/>
            <w:hideMark/>
          </w:tcPr>
          <w:p w:rsidR="0055491A" w:rsidRPr="00381322" w:rsidRDefault="0055491A" w:rsidP="00210BF6">
            <w:pPr>
              <w:jc w:val="center"/>
              <w:rPr>
                <w:sz w:val="22"/>
                <w:szCs w:val="22"/>
              </w:rPr>
            </w:pPr>
            <w:r w:rsidRPr="00381322">
              <w:rPr>
                <w:sz w:val="22"/>
                <w:szCs w:val="22"/>
              </w:rPr>
              <w:t>11</w:t>
            </w:r>
          </w:p>
        </w:tc>
        <w:tc>
          <w:tcPr>
            <w:tcW w:w="1464" w:type="dxa"/>
            <w:tcBorders>
              <w:top w:val="nil"/>
              <w:left w:val="nil"/>
              <w:bottom w:val="single" w:sz="4" w:space="0" w:color="auto"/>
              <w:right w:val="single" w:sz="4" w:space="0" w:color="auto"/>
            </w:tcBorders>
            <w:shd w:val="clear" w:color="auto" w:fill="auto"/>
            <w:vAlign w:val="center"/>
            <w:hideMark/>
          </w:tcPr>
          <w:p w:rsidR="0055491A" w:rsidRPr="00381322" w:rsidRDefault="0055491A" w:rsidP="00210BF6">
            <w:pPr>
              <w:jc w:val="center"/>
              <w:rPr>
                <w:sz w:val="22"/>
                <w:szCs w:val="22"/>
              </w:rPr>
            </w:pPr>
            <w:r w:rsidRPr="00381322">
              <w:rPr>
                <w:sz w:val="22"/>
                <w:szCs w:val="22"/>
              </w:rPr>
              <w:t>4,5%</w:t>
            </w:r>
          </w:p>
        </w:tc>
        <w:tc>
          <w:tcPr>
            <w:tcW w:w="1464" w:type="dxa"/>
            <w:tcBorders>
              <w:top w:val="nil"/>
              <w:left w:val="nil"/>
              <w:bottom w:val="single" w:sz="4" w:space="0" w:color="auto"/>
              <w:right w:val="single" w:sz="4" w:space="0" w:color="auto"/>
            </w:tcBorders>
            <w:shd w:val="clear" w:color="auto" w:fill="auto"/>
            <w:vAlign w:val="center"/>
            <w:hideMark/>
          </w:tcPr>
          <w:p w:rsidR="0055491A" w:rsidRPr="00381322" w:rsidRDefault="0055491A" w:rsidP="00210BF6">
            <w:pPr>
              <w:jc w:val="center"/>
              <w:rPr>
                <w:sz w:val="22"/>
                <w:szCs w:val="22"/>
              </w:rPr>
            </w:pPr>
            <w:r w:rsidRPr="00381322">
              <w:rPr>
                <w:sz w:val="22"/>
                <w:szCs w:val="22"/>
              </w:rPr>
              <w:t>83,7</w:t>
            </w:r>
          </w:p>
        </w:tc>
      </w:tr>
      <w:tr w:rsidR="0055491A" w:rsidTr="00210BF6">
        <w:trPr>
          <w:trHeight w:val="261"/>
        </w:trPr>
        <w:tc>
          <w:tcPr>
            <w:tcW w:w="494" w:type="dxa"/>
            <w:tcBorders>
              <w:top w:val="nil"/>
              <w:left w:val="single" w:sz="4" w:space="0" w:color="auto"/>
              <w:bottom w:val="single" w:sz="4" w:space="0" w:color="auto"/>
              <w:right w:val="single" w:sz="4" w:space="0" w:color="auto"/>
            </w:tcBorders>
            <w:shd w:val="clear" w:color="auto" w:fill="auto"/>
            <w:vAlign w:val="center"/>
            <w:hideMark/>
          </w:tcPr>
          <w:p w:rsidR="0055491A" w:rsidRPr="00381322" w:rsidRDefault="0055491A" w:rsidP="00210BF6">
            <w:pPr>
              <w:jc w:val="center"/>
              <w:rPr>
                <w:sz w:val="22"/>
                <w:szCs w:val="22"/>
              </w:rPr>
            </w:pPr>
            <w:r w:rsidRPr="00381322">
              <w:rPr>
                <w:sz w:val="22"/>
                <w:szCs w:val="22"/>
              </w:rPr>
              <w:t>6</w:t>
            </w:r>
          </w:p>
        </w:tc>
        <w:tc>
          <w:tcPr>
            <w:tcW w:w="2909" w:type="dxa"/>
            <w:tcBorders>
              <w:top w:val="nil"/>
              <w:left w:val="nil"/>
              <w:bottom w:val="single" w:sz="4" w:space="0" w:color="auto"/>
              <w:right w:val="nil"/>
            </w:tcBorders>
            <w:shd w:val="clear" w:color="auto" w:fill="auto"/>
            <w:vAlign w:val="center"/>
            <w:hideMark/>
          </w:tcPr>
          <w:p w:rsidR="0055491A" w:rsidRPr="00381322" w:rsidRDefault="0055491A" w:rsidP="00210BF6">
            <w:pPr>
              <w:rPr>
                <w:b/>
                <w:bCs/>
                <w:sz w:val="22"/>
                <w:szCs w:val="22"/>
              </w:rPr>
            </w:pPr>
            <w:r w:rsidRPr="00381322">
              <w:rPr>
                <w:b/>
                <w:bCs/>
                <w:sz w:val="22"/>
                <w:szCs w:val="22"/>
              </w:rPr>
              <w:t>ИТОГО</w:t>
            </w:r>
          </w:p>
        </w:tc>
        <w:tc>
          <w:tcPr>
            <w:tcW w:w="1350" w:type="dxa"/>
            <w:tcBorders>
              <w:top w:val="nil"/>
              <w:left w:val="nil"/>
              <w:bottom w:val="single" w:sz="4" w:space="0" w:color="auto"/>
              <w:right w:val="nil"/>
            </w:tcBorders>
            <w:shd w:val="clear" w:color="auto" w:fill="auto"/>
            <w:vAlign w:val="center"/>
            <w:hideMark/>
          </w:tcPr>
          <w:p w:rsidR="0055491A" w:rsidRPr="00381322" w:rsidRDefault="0055491A" w:rsidP="00210BF6">
            <w:pPr>
              <w:rPr>
                <w:b/>
                <w:bCs/>
                <w:sz w:val="22"/>
                <w:szCs w:val="22"/>
              </w:rPr>
            </w:pPr>
            <w:r w:rsidRPr="00381322">
              <w:rPr>
                <w:b/>
                <w:bCs/>
                <w:sz w:val="22"/>
                <w:szCs w:val="22"/>
              </w:rPr>
              <w:t> </w:t>
            </w:r>
          </w:p>
        </w:tc>
        <w:tc>
          <w:tcPr>
            <w:tcW w:w="1616" w:type="dxa"/>
            <w:tcBorders>
              <w:top w:val="nil"/>
              <w:left w:val="nil"/>
              <w:bottom w:val="single" w:sz="4" w:space="0" w:color="auto"/>
              <w:right w:val="nil"/>
            </w:tcBorders>
            <w:shd w:val="clear" w:color="auto" w:fill="auto"/>
            <w:vAlign w:val="center"/>
            <w:hideMark/>
          </w:tcPr>
          <w:p w:rsidR="0055491A" w:rsidRPr="00381322" w:rsidRDefault="0055491A" w:rsidP="00210BF6">
            <w:pPr>
              <w:rPr>
                <w:b/>
                <w:bCs/>
                <w:sz w:val="22"/>
                <w:szCs w:val="22"/>
              </w:rPr>
            </w:pPr>
            <w:r w:rsidRPr="00381322">
              <w:rPr>
                <w:b/>
                <w:bCs/>
                <w:sz w:val="22"/>
                <w:szCs w:val="22"/>
              </w:rPr>
              <w:t> </w:t>
            </w:r>
          </w:p>
        </w:tc>
        <w:tc>
          <w:tcPr>
            <w:tcW w:w="1464" w:type="dxa"/>
            <w:tcBorders>
              <w:top w:val="nil"/>
              <w:left w:val="nil"/>
              <w:bottom w:val="single" w:sz="4" w:space="0" w:color="auto"/>
              <w:right w:val="single" w:sz="4" w:space="0" w:color="auto"/>
            </w:tcBorders>
            <w:shd w:val="clear" w:color="auto" w:fill="auto"/>
            <w:vAlign w:val="center"/>
            <w:hideMark/>
          </w:tcPr>
          <w:p w:rsidR="0055491A" w:rsidRPr="00381322" w:rsidRDefault="0055491A" w:rsidP="00210BF6">
            <w:pPr>
              <w:rPr>
                <w:b/>
                <w:bCs/>
                <w:sz w:val="22"/>
                <w:szCs w:val="22"/>
              </w:rPr>
            </w:pPr>
            <w:r w:rsidRPr="00381322">
              <w:rPr>
                <w:b/>
                <w:bCs/>
                <w:sz w:val="22"/>
                <w:szCs w:val="22"/>
              </w:rPr>
              <w:t> </w:t>
            </w:r>
          </w:p>
        </w:tc>
        <w:tc>
          <w:tcPr>
            <w:tcW w:w="1464" w:type="dxa"/>
            <w:tcBorders>
              <w:top w:val="nil"/>
              <w:left w:val="nil"/>
              <w:bottom w:val="single" w:sz="4" w:space="0" w:color="auto"/>
              <w:right w:val="single" w:sz="4" w:space="0" w:color="auto"/>
            </w:tcBorders>
            <w:shd w:val="clear" w:color="auto" w:fill="auto"/>
            <w:vAlign w:val="center"/>
            <w:hideMark/>
          </w:tcPr>
          <w:p w:rsidR="0055491A" w:rsidRPr="00381322" w:rsidRDefault="0055491A" w:rsidP="00210BF6">
            <w:pPr>
              <w:jc w:val="center"/>
              <w:rPr>
                <w:b/>
                <w:bCs/>
                <w:sz w:val="22"/>
                <w:szCs w:val="22"/>
              </w:rPr>
            </w:pPr>
            <w:r w:rsidRPr="00381322">
              <w:rPr>
                <w:b/>
                <w:bCs/>
                <w:sz w:val="22"/>
                <w:szCs w:val="22"/>
              </w:rPr>
              <w:t>824</w:t>
            </w:r>
          </w:p>
        </w:tc>
      </w:tr>
    </w:tbl>
    <w:p w:rsidR="0055491A" w:rsidRDefault="0055491A" w:rsidP="0055491A">
      <w:pPr>
        <w:pStyle w:val="a7"/>
        <w:spacing w:after="0"/>
        <w:ind w:left="0" w:firstLine="709"/>
        <w:jc w:val="both"/>
        <w:rPr>
          <w:sz w:val="28"/>
          <w:szCs w:val="28"/>
        </w:rPr>
      </w:pPr>
      <w:r w:rsidRPr="00381322">
        <w:rPr>
          <w:b/>
          <w:sz w:val="28"/>
          <w:szCs w:val="28"/>
        </w:rPr>
        <w:t>Прогноз поступлений 2022 год – 824,0 тыс. руб., 2023-2024 гг.</w:t>
      </w:r>
      <w:r w:rsidRPr="001D09DD">
        <w:rPr>
          <w:sz w:val="28"/>
          <w:szCs w:val="28"/>
        </w:rPr>
        <w:t xml:space="preserve"> принят на уровне прогноза на 20</w:t>
      </w:r>
      <w:r>
        <w:rPr>
          <w:sz w:val="28"/>
          <w:szCs w:val="28"/>
        </w:rPr>
        <w:t>22</w:t>
      </w:r>
      <w:r w:rsidRPr="001D09DD">
        <w:rPr>
          <w:sz w:val="28"/>
          <w:szCs w:val="28"/>
        </w:rPr>
        <w:t xml:space="preserve"> год и составляет </w:t>
      </w:r>
      <w:r w:rsidRPr="00381322">
        <w:rPr>
          <w:b/>
          <w:sz w:val="28"/>
          <w:szCs w:val="28"/>
        </w:rPr>
        <w:t>824,0 тыс. руб.</w:t>
      </w:r>
    </w:p>
    <w:p w:rsidR="0055491A" w:rsidRDefault="0055491A" w:rsidP="0055491A">
      <w:pPr>
        <w:ind w:firstLine="709"/>
        <w:jc w:val="both"/>
        <w:rPr>
          <w:sz w:val="28"/>
          <w:szCs w:val="28"/>
        </w:rPr>
      </w:pPr>
    </w:p>
    <w:p w:rsidR="0055491A" w:rsidRDefault="0055491A" w:rsidP="0055491A">
      <w:pPr>
        <w:ind w:firstLine="709"/>
        <w:jc w:val="both"/>
        <w:rPr>
          <w:sz w:val="28"/>
          <w:szCs w:val="28"/>
        </w:rPr>
      </w:pPr>
      <w:r>
        <w:rPr>
          <w:sz w:val="28"/>
          <w:szCs w:val="28"/>
        </w:rPr>
        <w:t xml:space="preserve">4. </w:t>
      </w:r>
      <w:r w:rsidRPr="00E86C4A">
        <w:rPr>
          <w:sz w:val="28"/>
          <w:szCs w:val="28"/>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r>
        <w:rPr>
          <w:sz w:val="28"/>
          <w:szCs w:val="28"/>
        </w:rPr>
        <w:t xml:space="preserve"> </w:t>
      </w:r>
      <w:r w:rsidRPr="0046227F">
        <w:rPr>
          <w:sz w:val="28"/>
          <w:szCs w:val="28"/>
        </w:rPr>
        <w:t>(</w:t>
      </w:r>
      <w:r w:rsidRPr="00FE1768">
        <w:rPr>
          <w:b/>
          <w:sz w:val="28"/>
          <w:szCs w:val="28"/>
        </w:rPr>
        <w:t>КБК 000 1 16 01080 01 0000 140</w:t>
      </w:r>
      <w:r w:rsidRPr="0046227F">
        <w:rPr>
          <w:sz w:val="28"/>
          <w:szCs w:val="28"/>
        </w:rPr>
        <w:t>)</w:t>
      </w:r>
      <w:r>
        <w:rPr>
          <w:sz w:val="28"/>
          <w:szCs w:val="28"/>
        </w:rPr>
        <w:t>.</w:t>
      </w:r>
    </w:p>
    <w:p w:rsidR="0055491A" w:rsidRPr="00226C3A" w:rsidRDefault="0055491A" w:rsidP="0055491A">
      <w:pPr>
        <w:pStyle w:val="a7"/>
        <w:spacing w:after="0"/>
        <w:ind w:left="0" w:firstLine="709"/>
        <w:jc w:val="both"/>
        <w:rPr>
          <w:b/>
          <w:sz w:val="28"/>
          <w:szCs w:val="28"/>
        </w:rPr>
      </w:pPr>
      <w:r w:rsidRPr="00226C3A">
        <w:rPr>
          <w:b/>
          <w:sz w:val="28"/>
          <w:szCs w:val="28"/>
        </w:rPr>
        <w:t>Прогноз по данному КБК всего на 2022 год – 9 844,2 тыс. руб., 2023 год – 10 034,6 тыс. руб., 2024 год – 9 882,6 тыс. руб.</w:t>
      </w:r>
    </w:p>
    <w:p w:rsidR="0055491A" w:rsidRDefault="0055491A" w:rsidP="0055491A">
      <w:pPr>
        <w:pStyle w:val="a7"/>
        <w:spacing w:after="0"/>
        <w:ind w:left="0" w:firstLine="709"/>
        <w:jc w:val="both"/>
        <w:rPr>
          <w:sz w:val="28"/>
          <w:szCs w:val="28"/>
        </w:rPr>
      </w:pPr>
    </w:p>
    <w:p w:rsidR="0055491A" w:rsidRDefault="0055491A" w:rsidP="0055491A">
      <w:pPr>
        <w:pStyle w:val="a7"/>
        <w:spacing w:after="0"/>
        <w:ind w:left="0" w:firstLine="709"/>
        <w:jc w:val="both"/>
        <w:rPr>
          <w:sz w:val="28"/>
          <w:szCs w:val="28"/>
        </w:rPr>
      </w:pPr>
      <w:r>
        <w:rPr>
          <w:sz w:val="28"/>
          <w:szCs w:val="28"/>
        </w:rPr>
        <w:lastRenderedPageBreak/>
        <w:t xml:space="preserve">4.1 </w:t>
      </w:r>
      <w:r w:rsidRPr="00226C3A">
        <w:rPr>
          <w:b/>
          <w:sz w:val="28"/>
          <w:szCs w:val="28"/>
        </w:rPr>
        <w:t xml:space="preserve">КБК 245 1 16 01082 01 0000 140 </w:t>
      </w:r>
      <w:r w:rsidRPr="00226C3A">
        <w:rPr>
          <w:sz w:val="28"/>
          <w:szCs w:val="28"/>
        </w:rPr>
        <w:t>Административные</w:t>
      </w:r>
      <w:r w:rsidRPr="00485D9D">
        <w:rPr>
          <w:sz w:val="28"/>
          <w:szCs w:val="28"/>
        </w:rPr>
        <w:t xml:space="preserve">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w:t>
      </w:r>
      <w:r>
        <w:rPr>
          <w:sz w:val="28"/>
          <w:szCs w:val="28"/>
        </w:rPr>
        <w:t>.</w:t>
      </w:r>
      <w:r w:rsidRPr="00485D9D">
        <w:rPr>
          <w:sz w:val="28"/>
          <w:szCs w:val="28"/>
        </w:rPr>
        <w:t xml:space="preserve"> </w:t>
      </w:r>
    </w:p>
    <w:p w:rsidR="0055491A" w:rsidRPr="00226C3A" w:rsidRDefault="0055491A" w:rsidP="0055491A">
      <w:pPr>
        <w:pStyle w:val="a7"/>
        <w:spacing w:after="0"/>
        <w:ind w:left="0" w:firstLine="709"/>
        <w:jc w:val="both"/>
        <w:rPr>
          <w:b/>
          <w:sz w:val="28"/>
          <w:szCs w:val="28"/>
        </w:rPr>
      </w:pPr>
      <w:r w:rsidRPr="00226C3A">
        <w:rPr>
          <w:b/>
          <w:sz w:val="28"/>
          <w:szCs w:val="28"/>
        </w:rPr>
        <w:t>Главный администратор доходов - Главное управление «Государственная инспекция по надзору за техническим состоянием самоходных машин и других видов техники» Тверской области.</w:t>
      </w:r>
    </w:p>
    <w:p w:rsidR="0055491A" w:rsidRDefault="0055491A" w:rsidP="0055491A">
      <w:pPr>
        <w:ind w:firstLine="709"/>
        <w:jc w:val="both"/>
        <w:rPr>
          <w:color w:val="000000"/>
          <w:sz w:val="28"/>
          <w:szCs w:val="28"/>
        </w:rPr>
      </w:pPr>
      <w:r w:rsidRPr="00B56F6E">
        <w:rPr>
          <w:color w:val="000000"/>
          <w:sz w:val="28"/>
          <w:szCs w:val="28"/>
        </w:rPr>
        <w:t xml:space="preserve">Прогнозирование поступлений доходов в областной бюджет </w:t>
      </w:r>
      <w:r>
        <w:rPr>
          <w:color w:val="000000"/>
          <w:sz w:val="28"/>
          <w:szCs w:val="28"/>
        </w:rPr>
        <w:t xml:space="preserve">Тверской области </w:t>
      </w:r>
      <w:r w:rsidRPr="00B56F6E">
        <w:rPr>
          <w:color w:val="000000"/>
          <w:sz w:val="28"/>
          <w:szCs w:val="28"/>
        </w:rPr>
        <w:t xml:space="preserve">осуществляется в соответствии с положениями Методики прогнозирования поступлений доходов в областной бюджет и местные бюджеты Тверской области, утвержденной приказом Главного управления </w:t>
      </w:r>
      <w:r>
        <w:rPr>
          <w:sz w:val="28"/>
          <w:szCs w:val="28"/>
        </w:rPr>
        <w:t>«Государственной инспекции</w:t>
      </w:r>
      <w:r w:rsidRPr="00E86C4A">
        <w:rPr>
          <w:sz w:val="28"/>
          <w:szCs w:val="28"/>
        </w:rPr>
        <w:t xml:space="preserve"> по надзору за техническим состоянием самоходны</w:t>
      </w:r>
      <w:r>
        <w:rPr>
          <w:sz w:val="28"/>
          <w:szCs w:val="28"/>
        </w:rPr>
        <w:t xml:space="preserve">х машин и других видов техники» </w:t>
      </w:r>
      <w:r w:rsidRPr="00E86C4A">
        <w:rPr>
          <w:sz w:val="28"/>
          <w:szCs w:val="28"/>
        </w:rPr>
        <w:t>Тверской области</w:t>
      </w:r>
      <w:r w:rsidRPr="00B56F6E">
        <w:rPr>
          <w:color w:val="000000"/>
          <w:sz w:val="28"/>
          <w:szCs w:val="28"/>
        </w:rPr>
        <w:t xml:space="preserve"> от  30.08.2016 № 52/ПК</w:t>
      </w:r>
      <w:r>
        <w:rPr>
          <w:color w:val="000000"/>
          <w:sz w:val="28"/>
          <w:szCs w:val="28"/>
        </w:rPr>
        <w:t xml:space="preserve"> (с учетом изменений в редакции приказа от 30.06.2020)</w:t>
      </w:r>
      <w:r w:rsidRPr="00B56F6E">
        <w:rPr>
          <w:color w:val="000000"/>
          <w:sz w:val="28"/>
          <w:szCs w:val="28"/>
        </w:rPr>
        <w:t>.</w:t>
      </w:r>
    </w:p>
    <w:p w:rsidR="0055491A" w:rsidRPr="00C81CCE" w:rsidRDefault="0055491A" w:rsidP="0055491A">
      <w:pPr>
        <w:ind w:firstLine="709"/>
        <w:jc w:val="both"/>
        <w:rPr>
          <w:sz w:val="28"/>
          <w:szCs w:val="28"/>
        </w:rPr>
      </w:pPr>
      <w:r w:rsidRPr="00C81CCE">
        <w:rPr>
          <w:sz w:val="28"/>
          <w:szCs w:val="28"/>
        </w:rPr>
        <w:t>При прогнозировании суммы по административным штрафам используется метод прямого расчета. Для определения прогноза используются данные о фактическом количестве вынесенных постановлений за предшествующий период и минимальном (среднем) размер</w:t>
      </w:r>
      <w:r>
        <w:rPr>
          <w:sz w:val="28"/>
          <w:szCs w:val="28"/>
        </w:rPr>
        <w:t xml:space="preserve">е </w:t>
      </w:r>
      <w:r w:rsidRPr="00C81CCE">
        <w:rPr>
          <w:sz w:val="28"/>
          <w:szCs w:val="28"/>
        </w:rPr>
        <w:t>дминистративного штрафа, установ</w:t>
      </w:r>
      <w:r>
        <w:rPr>
          <w:sz w:val="28"/>
          <w:szCs w:val="28"/>
        </w:rPr>
        <w:t xml:space="preserve">ленного кодексом Российской Федерации об административных правонарушениях. </w:t>
      </w:r>
      <w:r w:rsidRPr="00C81CCE">
        <w:rPr>
          <w:sz w:val="28"/>
          <w:szCs w:val="28"/>
        </w:rPr>
        <w:t xml:space="preserve">Прогноз количественных показателей рассчитывается методом экстраполяции и основывается на показателях государственной программы, данных о фактическом количестве вынесенных постановлений за предшествующий период, по данным АИС ГТН, внесенных государственными инженерами-инспекторами по соответствующему муниципальному образованию, сложившейся динамикой вынесенных постановлений по делам об административных правонарушениях, а также исходя из целей и задач Главного управления, а именно </w:t>
      </w:r>
      <w:r w:rsidRPr="00315423">
        <w:rPr>
          <w:sz w:val="28"/>
          <w:szCs w:val="28"/>
        </w:rPr>
        <w:t>снижения нарушений в области эксплуатации</w:t>
      </w:r>
      <w:r>
        <w:rPr>
          <w:sz w:val="28"/>
          <w:szCs w:val="28"/>
        </w:rPr>
        <w:t xml:space="preserve"> техники(  2021го</w:t>
      </w:r>
      <w:r w:rsidRPr="00315423">
        <w:rPr>
          <w:sz w:val="28"/>
          <w:szCs w:val="28"/>
        </w:rPr>
        <w:t>д – 5,0%, 2022 год– 6,5%, 2023 год – 6,0 %, 2024 год - 5,5 %).</w:t>
      </w:r>
    </w:p>
    <w:p w:rsidR="0055491A" w:rsidRPr="00F92864" w:rsidRDefault="0055491A" w:rsidP="0055491A">
      <w:pPr>
        <w:ind w:firstLine="709"/>
        <w:jc w:val="both"/>
        <w:rPr>
          <w:sz w:val="28"/>
          <w:szCs w:val="28"/>
        </w:rPr>
      </w:pPr>
      <w:r w:rsidRPr="00F92864">
        <w:rPr>
          <w:sz w:val="28"/>
          <w:szCs w:val="28"/>
        </w:rPr>
        <w:t xml:space="preserve">Прогноз </w:t>
      </w:r>
      <w:r w:rsidRPr="00B56F6E">
        <w:rPr>
          <w:sz w:val="28"/>
          <w:szCs w:val="28"/>
        </w:rPr>
        <w:t>на 20</w:t>
      </w:r>
      <w:r>
        <w:rPr>
          <w:sz w:val="28"/>
          <w:szCs w:val="28"/>
        </w:rPr>
        <w:t>22</w:t>
      </w:r>
      <w:r w:rsidRPr="00B56F6E">
        <w:rPr>
          <w:sz w:val="28"/>
          <w:szCs w:val="28"/>
        </w:rPr>
        <w:t>-202</w:t>
      </w:r>
      <w:r>
        <w:rPr>
          <w:sz w:val="28"/>
          <w:szCs w:val="28"/>
        </w:rPr>
        <w:t>4</w:t>
      </w:r>
      <w:r w:rsidRPr="00B56F6E">
        <w:rPr>
          <w:sz w:val="28"/>
          <w:szCs w:val="28"/>
        </w:rPr>
        <w:t xml:space="preserve"> годы </w:t>
      </w:r>
      <w:r w:rsidRPr="00F92864">
        <w:rPr>
          <w:sz w:val="28"/>
          <w:szCs w:val="28"/>
        </w:rPr>
        <w:t>по административным штрафам рассчитывается методом прямого расчета по следующей формуле:</w:t>
      </w:r>
    </w:p>
    <w:p w:rsidR="0055491A" w:rsidRPr="00F92864" w:rsidRDefault="0055491A" w:rsidP="0055491A">
      <w:pPr>
        <w:jc w:val="center"/>
        <w:rPr>
          <w:sz w:val="28"/>
          <w:szCs w:val="28"/>
        </w:rPr>
      </w:pPr>
    </w:p>
    <w:p w:rsidR="0055491A" w:rsidRPr="00F92864" w:rsidRDefault="0055491A" w:rsidP="0055491A">
      <w:pPr>
        <w:jc w:val="center"/>
        <w:rPr>
          <w:sz w:val="28"/>
          <w:szCs w:val="28"/>
        </w:rPr>
      </w:pPr>
      <w:r w:rsidRPr="00F92864">
        <w:rPr>
          <w:sz w:val="28"/>
          <w:szCs w:val="28"/>
          <w:lang w:val="en-US"/>
        </w:rPr>
        <w:t>S</w:t>
      </w:r>
      <w:r w:rsidRPr="00F92864">
        <w:rPr>
          <w:sz w:val="28"/>
          <w:szCs w:val="28"/>
          <w:vertAlign w:val="subscript"/>
        </w:rPr>
        <w:t xml:space="preserve">адм </w:t>
      </w:r>
      <w:r w:rsidRPr="00F92864">
        <w:rPr>
          <w:sz w:val="28"/>
          <w:szCs w:val="28"/>
          <w:vertAlign w:val="subscript"/>
          <w:lang w:val="en-US"/>
        </w:rPr>
        <w:t>j</w:t>
      </w:r>
      <w:r w:rsidRPr="00F92864">
        <w:rPr>
          <w:sz w:val="28"/>
          <w:szCs w:val="28"/>
          <w:vertAlign w:val="subscript"/>
        </w:rPr>
        <w:t xml:space="preserve"> </w:t>
      </w:r>
      <w:r w:rsidRPr="00F92864">
        <w:rPr>
          <w:sz w:val="28"/>
          <w:szCs w:val="28"/>
          <w:vertAlign w:val="subscript"/>
          <w:lang w:val="en-US"/>
        </w:rPr>
        <w:t>n</w:t>
      </w:r>
      <w:r w:rsidRPr="00F92864">
        <w:rPr>
          <w:sz w:val="28"/>
          <w:szCs w:val="28"/>
          <w:vertAlign w:val="subscript"/>
        </w:rPr>
        <w:t xml:space="preserve"> </w:t>
      </w:r>
      <w:r w:rsidRPr="00F92864">
        <w:rPr>
          <w:sz w:val="28"/>
          <w:szCs w:val="28"/>
        </w:rPr>
        <w:t>= К</w:t>
      </w:r>
      <w:r w:rsidRPr="00F92864">
        <w:rPr>
          <w:sz w:val="28"/>
          <w:szCs w:val="28"/>
          <w:vertAlign w:val="subscript"/>
        </w:rPr>
        <w:t xml:space="preserve">адм </w:t>
      </w:r>
      <w:r w:rsidRPr="00F92864">
        <w:rPr>
          <w:sz w:val="28"/>
          <w:szCs w:val="28"/>
          <w:vertAlign w:val="subscript"/>
          <w:lang w:val="en-US"/>
        </w:rPr>
        <w:t>j</w:t>
      </w:r>
      <w:r w:rsidRPr="00F92864">
        <w:rPr>
          <w:sz w:val="28"/>
          <w:szCs w:val="28"/>
          <w:vertAlign w:val="subscript"/>
        </w:rPr>
        <w:t xml:space="preserve"> </w:t>
      </w:r>
      <w:r w:rsidRPr="00F92864">
        <w:rPr>
          <w:sz w:val="28"/>
          <w:szCs w:val="28"/>
          <w:vertAlign w:val="subscript"/>
          <w:lang w:val="en-US"/>
        </w:rPr>
        <w:t>n</w:t>
      </w:r>
      <w:r w:rsidRPr="00F92864">
        <w:rPr>
          <w:sz w:val="28"/>
          <w:szCs w:val="28"/>
          <w:vertAlign w:val="subscript"/>
        </w:rPr>
        <w:t xml:space="preserve"> </w:t>
      </w:r>
      <w:r w:rsidRPr="00F92864">
        <w:rPr>
          <w:sz w:val="28"/>
          <w:szCs w:val="28"/>
        </w:rPr>
        <w:t>х</w:t>
      </w:r>
      <w:r w:rsidRPr="00F92864">
        <w:rPr>
          <w:sz w:val="28"/>
          <w:szCs w:val="28"/>
          <w:vertAlign w:val="subscript"/>
        </w:rPr>
        <w:t xml:space="preserve"> </w:t>
      </w:r>
      <w:r w:rsidRPr="00F92864">
        <w:rPr>
          <w:sz w:val="28"/>
          <w:szCs w:val="28"/>
        </w:rPr>
        <w:t>С</w:t>
      </w:r>
      <w:r w:rsidRPr="00F92864">
        <w:rPr>
          <w:sz w:val="28"/>
          <w:szCs w:val="28"/>
          <w:vertAlign w:val="subscript"/>
        </w:rPr>
        <w:t>адм</w:t>
      </w:r>
      <w:r w:rsidRPr="00F92864">
        <w:rPr>
          <w:sz w:val="28"/>
          <w:szCs w:val="28"/>
        </w:rPr>
        <w:t>, где:</w:t>
      </w:r>
    </w:p>
    <w:p w:rsidR="0055491A" w:rsidRPr="00F92864" w:rsidRDefault="0055491A" w:rsidP="0055491A">
      <w:pPr>
        <w:jc w:val="both"/>
        <w:rPr>
          <w:sz w:val="28"/>
          <w:szCs w:val="28"/>
        </w:rPr>
      </w:pPr>
    </w:p>
    <w:p w:rsidR="0055491A" w:rsidRPr="00F92864" w:rsidRDefault="0055491A" w:rsidP="0055491A">
      <w:pPr>
        <w:ind w:firstLine="708"/>
        <w:jc w:val="both"/>
        <w:rPr>
          <w:sz w:val="28"/>
          <w:szCs w:val="28"/>
        </w:rPr>
      </w:pPr>
      <w:r w:rsidRPr="00F92864">
        <w:rPr>
          <w:sz w:val="28"/>
          <w:szCs w:val="28"/>
          <w:lang w:val="en-US"/>
        </w:rPr>
        <w:t>S</w:t>
      </w:r>
      <w:r w:rsidRPr="00F92864">
        <w:rPr>
          <w:sz w:val="28"/>
          <w:szCs w:val="28"/>
          <w:vertAlign w:val="subscript"/>
        </w:rPr>
        <w:t xml:space="preserve">адм </w:t>
      </w:r>
      <w:r w:rsidRPr="00F92864">
        <w:rPr>
          <w:sz w:val="28"/>
          <w:szCs w:val="28"/>
          <w:vertAlign w:val="subscript"/>
          <w:lang w:val="en-US"/>
        </w:rPr>
        <w:t>j</w:t>
      </w:r>
      <w:r w:rsidRPr="00F92864">
        <w:rPr>
          <w:sz w:val="28"/>
          <w:szCs w:val="28"/>
          <w:vertAlign w:val="subscript"/>
        </w:rPr>
        <w:t xml:space="preserve"> </w:t>
      </w:r>
      <w:r w:rsidRPr="00F92864">
        <w:rPr>
          <w:sz w:val="28"/>
          <w:szCs w:val="28"/>
          <w:vertAlign w:val="subscript"/>
          <w:lang w:val="en-US"/>
        </w:rPr>
        <w:t>n</w:t>
      </w:r>
      <w:r w:rsidRPr="00F92864">
        <w:rPr>
          <w:sz w:val="28"/>
          <w:szCs w:val="28"/>
        </w:rPr>
        <w:t xml:space="preserve"> – прогноз суммы поступления по административным штрафам в </w:t>
      </w:r>
      <w:r w:rsidRPr="00F92864">
        <w:rPr>
          <w:sz w:val="28"/>
          <w:szCs w:val="28"/>
          <w:lang w:val="en-US"/>
        </w:rPr>
        <w:t>n</w:t>
      </w:r>
      <w:r w:rsidRPr="00F92864">
        <w:rPr>
          <w:sz w:val="28"/>
          <w:szCs w:val="28"/>
        </w:rPr>
        <w:t xml:space="preserve"> году;</w:t>
      </w:r>
    </w:p>
    <w:p w:rsidR="0055491A" w:rsidRPr="00F92864" w:rsidRDefault="0055491A" w:rsidP="0055491A">
      <w:pPr>
        <w:ind w:firstLine="709"/>
        <w:jc w:val="both"/>
        <w:rPr>
          <w:sz w:val="28"/>
          <w:szCs w:val="28"/>
        </w:rPr>
      </w:pPr>
      <w:r w:rsidRPr="00F92864">
        <w:rPr>
          <w:sz w:val="28"/>
          <w:szCs w:val="28"/>
        </w:rPr>
        <w:t>К</w:t>
      </w:r>
      <w:r w:rsidRPr="00F92864">
        <w:rPr>
          <w:sz w:val="28"/>
          <w:szCs w:val="28"/>
          <w:vertAlign w:val="subscript"/>
        </w:rPr>
        <w:t xml:space="preserve">адм </w:t>
      </w:r>
      <w:r w:rsidRPr="00F92864">
        <w:rPr>
          <w:sz w:val="28"/>
          <w:szCs w:val="28"/>
          <w:vertAlign w:val="subscript"/>
          <w:lang w:val="en-US"/>
        </w:rPr>
        <w:t>j</w:t>
      </w:r>
      <w:r w:rsidRPr="00F92864">
        <w:rPr>
          <w:sz w:val="28"/>
          <w:szCs w:val="28"/>
          <w:vertAlign w:val="subscript"/>
        </w:rPr>
        <w:t xml:space="preserve"> </w:t>
      </w:r>
      <w:r w:rsidRPr="00F92864">
        <w:rPr>
          <w:sz w:val="28"/>
          <w:szCs w:val="28"/>
          <w:vertAlign w:val="subscript"/>
          <w:lang w:val="en-US"/>
        </w:rPr>
        <w:t>n</w:t>
      </w:r>
      <w:r w:rsidRPr="00F92864">
        <w:rPr>
          <w:sz w:val="28"/>
          <w:szCs w:val="28"/>
          <w:vertAlign w:val="subscript"/>
        </w:rPr>
        <w:t xml:space="preserve">  </w:t>
      </w:r>
      <w:r w:rsidRPr="00F92864">
        <w:rPr>
          <w:sz w:val="28"/>
          <w:szCs w:val="28"/>
        </w:rPr>
        <w:t xml:space="preserve">– </w:t>
      </w:r>
      <w:r>
        <w:rPr>
          <w:sz w:val="28"/>
          <w:szCs w:val="28"/>
        </w:rPr>
        <w:t xml:space="preserve"> прогнозируемое </w:t>
      </w:r>
      <w:r w:rsidRPr="00F92864">
        <w:rPr>
          <w:sz w:val="28"/>
          <w:szCs w:val="28"/>
        </w:rPr>
        <w:t xml:space="preserve">количество постановлений по делам об  административных правонарушениях в </w:t>
      </w:r>
      <w:r w:rsidRPr="00F92864">
        <w:rPr>
          <w:sz w:val="28"/>
          <w:szCs w:val="28"/>
          <w:lang w:val="en-US"/>
        </w:rPr>
        <w:t>n</w:t>
      </w:r>
      <w:r w:rsidRPr="00F92864">
        <w:rPr>
          <w:sz w:val="28"/>
          <w:szCs w:val="28"/>
        </w:rPr>
        <w:t xml:space="preserve"> году;</w:t>
      </w:r>
    </w:p>
    <w:p w:rsidR="0055491A" w:rsidRPr="00F92864" w:rsidRDefault="0055491A" w:rsidP="0055491A">
      <w:pPr>
        <w:ind w:firstLine="709"/>
        <w:jc w:val="both"/>
        <w:rPr>
          <w:sz w:val="28"/>
          <w:szCs w:val="28"/>
        </w:rPr>
      </w:pPr>
      <w:r w:rsidRPr="00F92864">
        <w:rPr>
          <w:sz w:val="28"/>
          <w:szCs w:val="28"/>
        </w:rPr>
        <w:t>С</w:t>
      </w:r>
      <w:r w:rsidRPr="00F92864">
        <w:rPr>
          <w:sz w:val="28"/>
          <w:szCs w:val="28"/>
          <w:vertAlign w:val="subscript"/>
        </w:rPr>
        <w:t>гп</w:t>
      </w:r>
      <w:r w:rsidRPr="00F92864">
        <w:rPr>
          <w:sz w:val="28"/>
          <w:szCs w:val="28"/>
        </w:rPr>
        <w:t xml:space="preserve"> </w:t>
      </w:r>
      <w:r w:rsidRPr="00F92864">
        <w:rPr>
          <w:sz w:val="28"/>
          <w:szCs w:val="28"/>
          <w:vertAlign w:val="subscript"/>
          <w:lang w:val="en-US"/>
        </w:rPr>
        <w:t>j</w:t>
      </w:r>
      <w:r w:rsidRPr="00F92864">
        <w:rPr>
          <w:sz w:val="28"/>
          <w:szCs w:val="28"/>
        </w:rPr>
        <w:t xml:space="preserve"> – размер административного штрафа.</w:t>
      </w:r>
    </w:p>
    <w:p w:rsidR="0055491A" w:rsidRDefault="0055491A" w:rsidP="0055491A">
      <w:pPr>
        <w:ind w:firstLine="709"/>
        <w:jc w:val="both"/>
        <w:rPr>
          <w:sz w:val="28"/>
          <w:szCs w:val="28"/>
        </w:rPr>
      </w:pPr>
      <w:r>
        <w:rPr>
          <w:sz w:val="28"/>
          <w:szCs w:val="28"/>
        </w:rPr>
        <w:t>Размер административного штрафа:</w:t>
      </w:r>
    </w:p>
    <w:p w:rsidR="0055491A" w:rsidRDefault="0055491A" w:rsidP="0055491A">
      <w:pPr>
        <w:ind w:firstLine="709"/>
        <w:jc w:val="both"/>
        <w:rPr>
          <w:sz w:val="28"/>
          <w:szCs w:val="28"/>
        </w:rPr>
      </w:pPr>
      <w:r>
        <w:rPr>
          <w:sz w:val="28"/>
          <w:szCs w:val="28"/>
        </w:rPr>
        <w:t xml:space="preserve">статья 8.22 КоАП РФ </w:t>
      </w:r>
      <w:r w:rsidRPr="0066001D">
        <w:rPr>
          <w:i/>
          <w:sz w:val="28"/>
          <w:szCs w:val="28"/>
        </w:rPr>
        <w:t>(должностные лица)</w:t>
      </w:r>
      <w:r>
        <w:rPr>
          <w:sz w:val="28"/>
          <w:szCs w:val="28"/>
        </w:rPr>
        <w:t xml:space="preserve"> – 0,5 тыс. руб.;</w:t>
      </w:r>
    </w:p>
    <w:p w:rsidR="0055491A" w:rsidRDefault="0055491A" w:rsidP="0055491A">
      <w:pPr>
        <w:ind w:firstLine="709"/>
        <w:jc w:val="both"/>
        <w:rPr>
          <w:sz w:val="28"/>
          <w:szCs w:val="28"/>
        </w:rPr>
      </w:pPr>
      <w:r>
        <w:rPr>
          <w:sz w:val="28"/>
          <w:szCs w:val="28"/>
        </w:rPr>
        <w:t xml:space="preserve">статья 8.23 КоАП РФ </w:t>
      </w:r>
      <w:r w:rsidRPr="0066001D">
        <w:rPr>
          <w:i/>
          <w:sz w:val="28"/>
          <w:szCs w:val="28"/>
        </w:rPr>
        <w:t>(физические лица)</w:t>
      </w:r>
      <w:r>
        <w:rPr>
          <w:sz w:val="28"/>
          <w:szCs w:val="28"/>
        </w:rPr>
        <w:t xml:space="preserve"> – 0,5 тыс. руб.</w:t>
      </w:r>
    </w:p>
    <w:p w:rsidR="0055491A" w:rsidRPr="00F92864" w:rsidRDefault="0055491A" w:rsidP="0055491A">
      <w:pPr>
        <w:ind w:firstLine="709"/>
        <w:jc w:val="both"/>
        <w:rPr>
          <w:sz w:val="28"/>
          <w:szCs w:val="28"/>
        </w:rPr>
      </w:pPr>
      <w:r w:rsidRPr="00F92864">
        <w:rPr>
          <w:sz w:val="28"/>
          <w:szCs w:val="28"/>
        </w:rPr>
        <w:lastRenderedPageBreak/>
        <w:t xml:space="preserve">Расчет </w:t>
      </w:r>
      <w:r>
        <w:rPr>
          <w:sz w:val="28"/>
          <w:szCs w:val="28"/>
        </w:rPr>
        <w:t>прогнозируемого количества постановлений</w:t>
      </w:r>
      <w:r w:rsidRPr="00F92864">
        <w:rPr>
          <w:sz w:val="28"/>
          <w:szCs w:val="28"/>
        </w:rPr>
        <w:t xml:space="preserve"> производится по формуле: </w:t>
      </w:r>
    </w:p>
    <w:p w:rsidR="0055491A" w:rsidRPr="00F92864" w:rsidRDefault="0055491A" w:rsidP="0055491A">
      <w:pPr>
        <w:ind w:firstLine="709"/>
        <w:jc w:val="both"/>
        <w:rPr>
          <w:sz w:val="28"/>
          <w:szCs w:val="28"/>
        </w:rPr>
      </w:pPr>
      <w:r w:rsidRPr="00F92864">
        <w:rPr>
          <w:sz w:val="28"/>
          <w:szCs w:val="28"/>
        </w:rPr>
        <w:t>К</w:t>
      </w:r>
      <w:r w:rsidRPr="00F92864">
        <w:rPr>
          <w:sz w:val="28"/>
          <w:szCs w:val="28"/>
          <w:vertAlign w:val="subscript"/>
        </w:rPr>
        <w:t xml:space="preserve">адм </w:t>
      </w:r>
      <w:r w:rsidRPr="00F92864">
        <w:rPr>
          <w:sz w:val="28"/>
          <w:szCs w:val="28"/>
          <w:vertAlign w:val="subscript"/>
          <w:lang w:val="en-US"/>
        </w:rPr>
        <w:t>j</w:t>
      </w:r>
      <w:r w:rsidRPr="00F92864">
        <w:rPr>
          <w:sz w:val="28"/>
          <w:szCs w:val="28"/>
          <w:vertAlign w:val="subscript"/>
        </w:rPr>
        <w:t xml:space="preserve"> </w:t>
      </w:r>
      <w:r w:rsidRPr="00F92864">
        <w:rPr>
          <w:sz w:val="28"/>
          <w:szCs w:val="28"/>
          <w:vertAlign w:val="subscript"/>
          <w:lang w:val="en-US"/>
        </w:rPr>
        <w:t>n</w:t>
      </w:r>
      <w:r w:rsidRPr="00F92864">
        <w:rPr>
          <w:sz w:val="28"/>
          <w:szCs w:val="28"/>
          <w:vertAlign w:val="subscript"/>
        </w:rPr>
        <w:t xml:space="preserve"> </w:t>
      </w:r>
      <w:r w:rsidRPr="00F92864">
        <w:rPr>
          <w:sz w:val="28"/>
          <w:szCs w:val="28"/>
        </w:rPr>
        <w:t>= К</w:t>
      </w:r>
      <w:r w:rsidRPr="00F92864">
        <w:rPr>
          <w:sz w:val="28"/>
          <w:szCs w:val="28"/>
          <w:vertAlign w:val="subscript"/>
        </w:rPr>
        <w:t xml:space="preserve">адм </w:t>
      </w:r>
      <w:r w:rsidRPr="00F92864">
        <w:rPr>
          <w:sz w:val="28"/>
          <w:szCs w:val="28"/>
          <w:vertAlign w:val="subscript"/>
          <w:lang w:val="en-US"/>
        </w:rPr>
        <w:t>j</w:t>
      </w:r>
      <w:r w:rsidRPr="00F92864">
        <w:rPr>
          <w:sz w:val="28"/>
          <w:szCs w:val="28"/>
          <w:vertAlign w:val="subscript"/>
        </w:rPr>
        <w:t xml:space="preserve"> </w:t>
      </w:r>
      <w:r w:rsidRPr="00F92864">
        <w:rPr>
          <w:sz w:val="28"/>
          <w:szCs w:val="28"/>
          <w:vertAlign w:val="subscript"/>
          <w:lang w:val="en-US"/>
        </w:rPr>
        <w:t>n</w:t>
      </w:r>
      <w:r w:rsidRPr="00F92864">
        <w:rPr>
          <w:sz w:val="28"/>
          <w:szCs w:val="28"/>
          <w:vertAlign w:val="subscript"/>
        </w:rPr>
        <w:t xml:space="preserve">-1 </w:t>
      </w:r>
      <w:r w:rsidRPr="00F92864">
        <w:rPr>
          <w:sz w:val="28"/>
          <w:szCs w:val="28"/>
        </w:rPr>
        <w:t>х (1-К</w:t>
      </w:r>
      <w:r w:rsidRPr="00F92864">
        <w:rPr>
          <w:sz w:val="28"/>
          <w:szCs w:val="28"/>
          <w:vertAlign w:val="subscript"/>
        </w:rPr>
        <w:t>сн</w:t>
      </w:r>
      <w:r w:rsidRPr="00F92864">
        <w:rPr>
          <w:sz w:val="28"/>
          <w:szCs w:val="28"/>
        </w:rPr>
        <w:t>/100), где</w:t>
      </w:r>
    </w:p>
    <w:p w:rsidR="0055491A" w:rsidRPr="00F92864" w:rsidRDefault="0055491A" w:rsidP="0055491A">
      <w:pPr>
        <w:ind w:firstLine="709"/>
        <w:jc w:val="both"/>
        <w:rPr>
          <w:sz w:val="28"/>
          <w:szCs w:val="28"/>
        </w:rPr>
      </w:pPr>
      <w:r w:rsidRPr="00F92864">
        <w:rPr>
          <w:sz w:val="28"/>
          <w:szCs w:val="28"/>
        </w:rPr>
        <w:t xml:space="preserve"> К</w:t>
      </w:r>
      <w:r w:rsidRPr="00F92864">
        <w:rPr>
          <w:sz w:val="28"/>
          <w:szCs w:val="28"/>
          <w:vertAlign w:val="subscript"/>
        </w:rPr>
        <w:t xml:space="preserve">адм </w:t>
      </w:r>
      <w:r w:rsidRPr="00F92864">
        <w:rPr>
          <w:sz w:val="28"/>
          <w:szCs w:val="28"/>
          <w:vertAlign w:val="subscript"/>
          <w:lang w:val="en-US"/>
        </w:rPr>
        <w:t>j</w:t>
      </w:r>
      <w:r w:rsidRPr="00F92864">
        <w:rPr>
          <w:sz w:val="28"/>
          <w:szCs w:val="28"/>
          <w:vertAlign w:val="subscript"/>
        </w:rPr>
        <w:t xml:space="preserve"> </w:t>
      </w:r>
      <w:r w:rsidRPr="00F92864">
        <w:rPr>
          <w:sz w:val="28"/>
          <w:szCs w:val="28"/>
          <w:vertAlign w:val="subscript"/>
          <w:lang w:val="en-US"/>
        </w:rPr>
        <w:t>n</w:t>
      </w:r>
      <w:r w:rsidRPr="00F92864">
        <w:rPr>
          <w:sz w:val="28"/>
          <w:szCs w:val="28"/>
          <w:vertAlign w:val="subscript"/>
        </w:rPr>
        <w:t xml:space="preserve">  </w:t>
      </w:r>
      <w:r w:rsidRPr="00F92864">
        <w:rPr>
          <w:sz w:val="28"/>
          <w:szCs w:val="28"/>
        </w:rPr>
        <w:t xml:space="preserve">– количество вынесенных постановлений по делам об  административных правонарушениях в </w:t>
      </w:r>
      <w:r w:rsidRPr="00F92864">
        <w:rPr>
          <w:sz w:val="28"/>
          <w:szCs w:val="28"/>
          <w:lang w:val="en-US"/>
        </w:rPr>
        <w:t>n</w:t>
      </w:r>
      <w:r w:rsidRPr="00F92864">
        <w:rPr>
          <w:sz w:val="28"/>
          <w:szCs w:val="28"/>
        </w:rPr>
        <w:t xml:space="preserve"> году;</w:t>
      </w:r>
    </w:p>
    <w:p w:rsidR="0055491A" w:rsidRPr="00F92864" w:rsidRDefault="0055491A" w:rsidP="0055491A">
      <w:pPr>
        <w:ind w:firstLine="709"/>
        <w:jc w:val="both"/>
        <w:rPr>
          <w:sz w:val="28"/>
          <w:szCs w:val="28"/>
        </w:rPr>
      </w:pPr>
      <w:r w:rsidRPr="00F92864">
        <w:rPr>
          <w:sz w:val="28"/>
          <w:szCs w:val="28"/>
        </w:rPr>
        <w:t>К</w:t>
      </w:r>
      <w:r w:rsidRPr="00F92864">
        <w:rPr>
          <w:sz w:val="28"/>
          <w:szCs w:val="28"/>
          <w:vertAlign w:val="subscript"/>
        </w:rPr>
        <w:t xml:space="preserve">адм </w:t>
      </w:r>
      <w:r w:rsidRPr="00F92864">
        <w:rPr>
          <w:sz w:val="28"/>
          <w:szCs w:val="28"/>
          <w:vertAlign w:val="subscript"/>
          <w:lang w:val="en-US"/>
        </w:rPr>
        <w:t>j</w:t>
      </w:r>
      <w:r w:rsidRPr="00F92864">
        <w:rPr>
          <w:sz w:val="28"/>
          <w:szCs w:val="28"/>
          <w:vertAlign w:val="subscript"/>
        </w:rPr>
        <w:t xml:space="preserve"> </w:t>
      </w:r>
      <w:r w:rsidRPr="00F92864">
        <w:rPr>
          <w:sz w:val="28"/>
          <w:szCs w:val="28"/>
          <w:vertAlign w:val="subscript"/>
          <w:lang w:val="en-US"/>
        </w:rPr>
        <w:t>n</w:t>
      </w:r>
      <w:r w:rsidRPr="00F92864">
        <w:rPr>
          <w:sz w:val="28"/>
          <w:szCs w:val="28"/>
          <w:vertAlign w:val="subscript"/>
        </w:rPr>
        <w:t xml:space="preserve">-1  </w:t>
      </w:r>
      <w:r w:rsidRPr="00F92864">
        <w:rPr>
          <w:sz w:val="28"/>
          <w:szCs w:val="28"/>
        </w:rPr>
        <w:t xml:space="preserve">– количество вынесенных постановлений по делам об  административных правонарушениях в </w:t>
      </w:r>
      <w:r w:rsidRPr="00F92864">
        <w:rPr>
          <w:sz w:val="28"/>
          <w:szCs w:val="28"/>
          <w:lang w:val="en-US"/>
        </w:rPr>
        <w:t>n</w:t>
      </w:r>
      <w:r w:rsidRPr="00F92864">
        <w:rPr>
          <w:sz w:val="28"/>
          <w:szCs w:val="28"/>
        </w:rPr>
        <w:t>-1 году;</w:t>
      </w:r>
    </w:p>
    <w:p w:rsidR="0055491A" w:rsidRPr="00F92864" w:rsidRDefault="0055491A" w:rsidP="0055491A">
      <w:pPr>
        <w:ind w:firstLine="709"/>
        <w:jc w:val="both"/>
        <w:rPr>
          <w:sz w:val="28"/>
          <w:szCs w:val="28"/>
        </w:rPr>
      </w:pPr>
      <w:r w:rsidRPr="00F92864">
        <w:rPr>
          <w:sz w:val="28"/>
          <w:szCs w:val="28"/>
        </w:rPr>
        <w:t>К</w:t>
      </w:r>
      <w:r w:rsidRPr="00F92864">
        <w:rPr>
          <w:sz w:val="28"/>
          <w:szCs w:val="28"/>
          <w:vertAlign w:val="subscript"/>
        </w:rPr>
        <w:t>сн</w:t>
      </w:r>
      <w:r w:rsidRPr="00F92864">
        <w:rPr>
          <w:sz w:val="28"/>
          <w:szCs w:val="28"/>
        </w:rPr>
        <w:t xml:space="preserve"> – коэффициент снижения нарушений.</w:t>
      </w:r>
    </w:p>
    <w:p w:rsidR="0055491A" w:rsidRDefault="0055491A" w:rsidP="0055491A">
      <w:pPr>
        <w:ind w:firstLine="709"/>
        <w:jc w:val="both"/>
        <w:rPr>
          <w:sz w:val="28"/>
          <w:szCs w:val="28"/>
        </w:rPr>
      </w:pPr>
      <w:r>
        <w:rPr>
          <w:sz w:val="28"/>
          <w:szCs w:val="28"/>
        </w:rPr>
        <w:t xml:space="preserve">Прогнозируемое количество постановлений в 2022 – 2024 годах составляет: </w:t>
      </w:r>
    </w:p>
    <w:p w:rsidR="0055491A" w:rsidRDefault="0055491A" w:rsidP="0055491A">
      <w:pPr>
        <w:ind w:firstLine="709"/>
        <w:jc w:val="both"/>
        <w:rPr>
          <w:sz w:val="28"/>
          <w:szCs w:val="28"/>
        </w:rPr>
      </w:pPr>
      <w:r>
        <w:rPr>
          <w:sz w:val="28"/>
          <w:szCs w:val="28"/>
        </w:rPr>
        <w:t xml:space="preserve">статья 8.22 КоАП РФ </w:t>
      </w:r>
      <w:r w:rsidRPr="0066001D">
        <w:rPr>
          <w:i/>
          <w:sz w:val="28"/>
          <w:szCs w:val="28"/>
        </w:rPr>
        <w:t>(должностные лица)</w:t>
      </w:r>
      <w:r>
        <w:rPr>
          <w:sz w:val="28"/>
          <w:szCs w:val="28"/>
        </w:rPr>
        <w:t>:</w:t>
      </w:r>
    </w:p>
    <w:p w:rsidR="0055491A" w:rsidRDefault="0055491A" w:rsidP="0055491A">
      <w:pPr>
        <w:ind w:firstLine="709"/>
        <w:jc w:val="both"/>
        <w:rPr>
          <w:sz w:val="28"/>
          <w:szCs w:val="28"/>
        </w:rPr>
      </w:pPr>
      <w:r>
        <w:rPr>
          <w:sz w:val="28"/>
          <w:szCs w:val="28"/>
        </w:rPr>
        <w:t>2022 год – 7 шт., 2023 год – 7 шт., 2024 год – 7 шт.</w:t>
      </w:r>
    </w:p>
    <w:p w:rsidR="0055491A" w:rsidRDefault="0055491A" w:rsidP="0055491A">
      <w:pPr>
        <w:ind w:firstLine="709"/>
        <w:jc w:val="both"/>
        <w:rPr>
          <w:sz w:val="28"/>
          <w:szCs w:val="28"/>
        </w:rPr>
      </w:pPr>
      <w:r>
        <w:rPr>
          <w:sz w:val="28"/>
          <w:szCs w:val="28"/>
        </w:rPr>
        <w:t xml:space="preserve">статья 8.23 КоАП РФ </w:t>
      </w:r>
      <w:r w:rsidRPr="0066001D">
        <w:rPr>
          <w:i/>
          <w:sz w:val="28"/>
          <w:szCs w:val="28"/>
        </w:rPr>
        <w:t>(физические лица)</w:t>
      </w:r>
      <w:r>
        <w:rPr>
          <w:sz w:val="28"/>
          <w:szCs w:val="28"/>
        </w:rPr>
        <w:t>:</w:t>
      </w:r>
    </w:p>
    <w:p w:rsidR="0055491A" w:rsidRDefault="0055491A" w:rsidP="0055491A">
      <w:pPr>
        <w:ind w:firstLine="709"/>
        <w:jc w:val="both"/>
        <w:rPr>
          <w:sz w:val="28"/>
          <w:szCs w:val="28"/>
        </w:rPr>
      </w:pPr>
      <w:r>
        <w:rPr>
          <w:sz w:val="28"/>
          <w:szCs w:val="28"/>
        </w:rPr>
        <w:t>2022 год – 103 шт., 2023 год – 102 шт., 2024 год – 102 шт.</w:t>
      </w:r>
    </w:p>
    <w:p w:rsidR="0055491A" w:rsidRDefault="0055491A" w:rsidP="0055491A">
      <w:pPr>
        <w:ind w:firstLine="709"/>
        <w:jc w:val="both"/>
        <w:rPr>
          <w:sz w:val="28"/>
          <w:szCs w:val="28"/>
        </w:rPr>
      </w:pPr>
    </w:p>
    <w:p w:rsidR="0055491A" w:rsidRDefault="0055491A" w:rsidP="0055491A">
      <w:pPr>
        <w:ind w:firstLine="708"/>
        <w:jc w:val="both"/>
        <w:rPr>
          <w:sz w:val="28"/>
          <w:szCs w:val="28"/>
        </w:rPr>
      </w:pPr>
      <w:r>
        <w:rPr>
          <w:sz w:val="28"/>
          <w:szCs w:val="28"/>
        </w:rPr>
        <w:t>П</w:t>
      </w:r>
      <w:r w:rsidRPr="00F92864">
        <w:rPr>
          <w:sz w:val="28"/>
          <w:szCs w:val="28"/>
        </w:rPr>
        <w:t>рогноз суммы поступления по административным штрафам</w:t>
      </w:r>
      <w:r>
        <w:rPr>
          <w:sz w:val="28"/>
          <w:szCs w:val="28"/>
        </w:rPr>
        <w:t xml:space="preserve">                                       статья 8.22 </w:t>
      </w:r>
      <w:r w:rsidRPr="00F92864">
        <w:rPr>
          <w:sz w:val="28"/>
          <w:szCs w:val="28"/>
        </w:rPr>
        <w:t xml:space="preserve"> </w:t>
      </w:r>
      <w:r>
        <w:rPr>
          <w:sz w:val="28"/>
          <w:szCs w:val="28"/>
        </w:rPr>
        <w:t xml:space="preserve">КоАП РФ </w:t>
      </w:r>
    </w:p>
    <w:p w:rsidR="0055491A" w:rsidRPr="00F92864" w:rsidRDefault="0055491A" w:rsidP="0055491A">
      <w:pPr>
        <w:ind w:firstLine="708"/>
        <w:jc w:val="both"/>
        <w:rPr>
          <w:sz w:val="28"/>
          <w:szCs w:val="28"/>
        </w:rPr>
      </w:pPr>
      <w:r w:rsidRPr="00F92864">
        <w:rPr>
          <w:sz w:val="28"/>
          <w:szCs w:val="28"/>
        </w:rPr>
        <w:t xml:space="preserve">в </w:t>
      </w:r>
      <w:r>
        <w:rPr>
          <w:sz w:val="28"/>
          <w:szCs w:val="28"/>
        </w:rPr>
        <w:t>2022</w:t>
      </w:r>
      <w:r w:rsidRPr="00F92864">
        <w:rPr>
          <w:sz w:val="28"/>
          <w:szCs w:val="28"/>
        </w:rPr>
        <w:t xml:space="preserve"> году</w:t>
      </w:r>
      <w:r>
        <w:rPr>
          <w:sz w:val="28"/>
          <w:szCs w:val="28"/>
        </w:rPr>
        <w:t xml:space="preserve"> = 7 </w:t>
      </w:r>
      <w:r w:rsidRPr="00F92864">
        <w:rPr>
          <w:sz w:val="28"/>
          <w:szCs w:val="28"/>
        </w:rPr>
        <w:t>х</w:t>
      </w:r>
      <w:r>
        <w:rPr>
          <w:sz w:val="28"/>
          <w:szCs w:val="28"/>
        </w:rPr>
        <w:t xml:space="preserve"> 0,5 тыс. руб.  = 3,5 тыс. руб.;</w:t>
      </w:r>
    </w:p>
    <w:p w:rsidR="0055491A" w:rsidRDefault="0055491A" w:rsidP="0055491A">
      <w:pPr>
        <w:ind w:firstLine="708"/>
        <w:jc w:val="both"/>
        <w:rPr>
          <w:sz w:val="28"/>
          <w:szCs w:val="28"/>
        </w:rPr>
      </w:pPr>
      <w:r w:rsidRPr="00F92864">
        <w:rPr>
          <w:sz w:val="28"/>
          <w:szCs w:val="28"/>
        </w:rPr>
        <w:t xml:space="preserve">в </w:t>
      </w:r>
      <w:r>
        <w:rPr>
          <w:sz w:val="28"/>
          <w:szCs w:val="28"/>
        </w:rPr>
        <w:t>2023</w:t>
      </w:r>
      <w:r w:rsidRPr="00F92864">
        <w:rPr>
          <w:sz w:val="28"/>
          <w:szCs w:val="28"/>
        </w:rPr>
        <w:t xml:space="preserve"> году</w:t>
      </w:r>
      <w:r>
        <w:rPr>
          <w:sz w:val="28"/>
          <w:szCs w:val="28"/>
        </w:rPr>
        <w:t xml:space="preserve"> = 7 </w:t>
      </w:r>
      <w:r w:rsidRPr="00F92864">
        <w:rPr>
          <w:sz w:val="28"/>
          <w:szCs w:val="28"/>
        </w:rPr>
        <w:t>х</w:t>
      </w:r>
      <w:r>
        <w:rPr>
          <w:sz w:val="28"/>
          <w:szCs w:val="28"/>
        </w:rPr>
        <w:t xml:space="preserve"> 0,5 тыс. руб.  = 3,5 тыс. руб.;</w:t>
      </w:r>
    </w:p>
    <w:p w:rsidR="0055491A" w:rsidRDefault="0055491A" w:rsidP="0055491A">
      <w:pPr>
        <w:ind w:firstLine="708"/>
        <w:jc w:val="both"/>
        <w:rPr>
          <w:sz w:val="28"/>
          <w:szCs w:val="28"/>
        </w:rPr>
      </w:pPr>
      <w:r w:rsidRPr="00F92864">
        <w:rPr>
          <w:sz w:val="28"/>
          <w:szCs w:val="28"/>
        </w:rPr>
        <w:t xml:space="preserve">в </w:t>
      </w:r>
      <w:r>
        <w:rPr>
          <w:sz w:val="28"/>
          <w:szCs w:val="28"/>
        </w:rPr>
        <w:t>2024</w:t>
      </w:r>
      <w:r w:rsidRPr="00F92864">
        <w:rPr>
          <w:sz w:val="28"/>
          <w:szCs w:val="28"/>
        </w:rPr>
        <w:t xml:space="preserve"> году</w:t>
      </w:r>
      <w:r>
        <w:rPr>
          <w:sz w:val="28"/>
          <w:szCs w:val="28"/>
        </w:rPr>
        <w:t xml:space="preserve"> = 7 </w:t>
      </w:r>
      <w:r w:rsidRPr="00F92864">
        <w:rPr>
          <w:sz w:val="28"/>
          <w:szCs w:val="28"/>
        </w:rPr>
        <w:t>х</w:t>
      </w:r>
      <w:r>
        <w:rPr>
          <w:sz w:val="28"/>
          <w:szCs w:val="28"/>
        </w:rPr>
        <w:t xml:space="preserve"> 0,5 тыс. руб.  = 3,5 тыс. руб.</w:t>
      </w:r>
    </w:p>
    <w:p w:rsidR="0055491A" w:rsidRDefault="0055491A" w:rsidP="0055491A">
      <w:pPr>
        <w:ind w:firstLine="708"/>
        <w:jc w:val="both"/>
        <w:rPr>
          <w:sz w:val="28"/>
          <w:szCs w:val="28"/>
        </w:rPr>
      </w:pPr>
      <w:r>
        <w:rPr>
          <w:sz w:val="28"/>
          <w:szCs w:val="28"/>
        </w:rPr>
        <w:t>П</w:t>
      </w:r>
      <w:r w:rsidRPr="00F92864">
        <w:rPr>
          <w:sz w:val="28"/>
          <w:szCs w:val="28"/>
        </w:rPr>
        <w:t xml:space="preserve">рогноз суммы поступления по административным штрафам </w:t>
      </w:r>
      <w:r>
        <w:rPr>
          <w:sz w:val="28"/>
          <w:szCs w:val="28"/>
        </w:rPr>
        <w:t xml:space="preserve">                                      статья 8.23 КоАП РФ </w:t>
      </w:r>
    </w:p>
    <w:p w:rsidR="0055491A" w:rsidRPr="00F92864" w:rsidRDefault="0055491A" w:rsidP="0055491A">
      <w:pPr>
        <w:ind w:firstLine="708"/>
        <w:jc w:val="both"/>
        <w:rPr>
          <w:sz w:val="28"/>
          <w:szCs w:val="28"/>
        </w:rPr>
      </w:pPr>
      <w:r w:rsidRPr="00F92864">
        <w:rPr>
          <w:sz w:val="28"/>
          <w:szCs w:val="28"/>
        </w:rPr>
        <w:t xml:space="preserve">в </w:t>
      </w:r>
      <w:r>
        <w:rPr>
          <w:sz w:val="28"/>
          <w:szCs w:val="28"/>
        </w:rPr>
        <w:t>2022</w:t>
      </w:r>
      <w:r w:rsidRPr="00F92864">
        <w:rPr>
          <w:sz w:val="28"/>
          <w:szCs w:val="28"/>
        </w:rPr>
        <w:t xml:space="preserve"> году</w:t>
      </w:r>
      <w:r>
        <w:rPr>
          <w:sz w:val="28"/>
          <w:szCs w:val="28"/>
        </w:rPr>
        <w:t xml:space="preserve"> = 103 </w:t>
      </w:r>
      <w:r w:rsidRPr="00F92864">
        <w:rPr>
          <w:sz w:val="28"/>
          <w:szCs w:val="28"/>
        </w:rPr>
        <w:t>х</w:t>
      </w:r>
      <w:r>
        <w:rPr>
          <w:sz w:val="28"/>
          <w:szCs w:val="28"/>
        </w:rPr>
        <w:t xml:space="preserve"> 0,5 тыс. руб.  = 51,5 тыс. руб.;</w:t>
      </w:r>
    </w:p>
    <w:p w:rsidR="0055491A" w:rsidRDefault="0055491A" w:rsidP="0055491A">
      <w:pPr>
        <w:ind w:firstLine="708"/>
        <w:jc w:val="both"/>
        <w:rPr>
          <w:sz w:val="28"/>
          <w:szCs w:val="28"/>
        </w:rPr>
      </w:pPr>
      <w:r w:rsidRPr="00F92864">
        <w:rPr>
          <w:sz w:val="28"/>
          <w:szCs w:val="28"/>
        </w:rPr>
        <w:t xml:space="preserve">в </w:t>
      </w:r>
      <w:r>
        <w:rPr>
          <w:sz w:val="28"/>
          <w:szCs w:val="28"/>
        </w:rPr>
        <w:t>2023</w:t>
      </w:r>
      <w:r w:rsidRPr="00F92864">
        <w:rPr>
          <w:sz w:val="28"/>
          <w:szCs w:val="28"/>
        </w:rPr>
        <w:t xml:space="preserve"> году</w:t>
      </w:r>
      <w:r>
        <w:rPr>
          <w:sz w:val="28"/>
          <w:szCs w:val="28"/>
        </w:rPr>
        <w:t xml:space="preserve"> = 102 </w:t>
      </w:r>
      <w:r w:rsidRPr="00F92864">
        <w:rPr>
          <w:sz w:val="28"/>
          <w:szCs w:val="28"/>
        </w:rPr>
        <w:t>х</w:t>
      </w:r>
      <w:r>
        <w:rPr>
          <w:sz w:val="28"/>
          <w:szCs w:val="28"/>
        </w:rPr>
        <w:t xml:space="preserve"> 0,5 тыс. руб.  = 51,0 тыс. руб.;</w:t>
      </w:r>
    </w:p>
    <w:p w:rsidR="0055491A" w:rsidRDefault="0055491A" w:rsidP="0055491A">
      <w:pPr>
        <w:ind w:firstLine="708"/>
        <w:jc w:val="both"/>
        <w:rPr>
          <w:sz w:val="28"/>
          <w:szCs w:val="28"/>
        </w:rPr>
      </w:pPr>
      <w:r w:rsidRPr="00F92864">
        <w:rPr>
          <w:sz w:val="28"/>
          <w:szCs w:val="28"/>
        </w:rPr>
        <w:t xml:space="preserve">в </w:t>
      </w:r>
      <w:r>
        <w:rPr>
          <w:sz w:val="28"/>
          <w:szCs w:val="28"/>
        </w:rPr>
        <w:t>2024</w:t>
      </w:r>
      <w:r w:rsidRPr="00F92864">
        <w:rPr>
          <w:sz w:val="28"/>
          <w:szCs w:val="28"/>
        </w:rPr>
        <w:t xml:space="preserve"> году</w:t>
      </w:r>
      <w:r>
        <w:rPr>
          <w:sz w:val="28"/>
          <w:szCs w:val="28"/>
        </w:rPr>
        <w:t xml:space="preserve"> = 102 </w:t>
      </w:r>
      <w:r w:rsidRPr="00F92864">
        <w:rPr>
          <w:sz w:val="28"/>
          <w:szCs w:val="28"/>
        </w:rPr>
        <w:t>х</w:t>
      </w:r>
      <w:r>
        <w:rPr>
          <w:sz w:val="28"/>
          <w:szCs w:val="28"/>
        </w:rPr>
        <w:t xml:space="preserve"> 0,5 тыс. руб.  = 51,0 тыс. руб.;</w:t>
      </w:r>
    </w:p>
    <w:p w:rsidR="0055491A" w:rsidRDefault="0055491A" w:rsidP="0055491A">
      <w:pPr>
        <w:ind w:firstLine="708"/>
        <w:jc w:val="both"/>
        <w:rPr>
          <w:sz w:val="28"/>
          <w:szCs w:val="28"/>
        </w:rPr>
      </w:pPr>
    </w:p>
    <w:p w:rsidR="0055491A" w:rsidRPr="00226C3A" w:rsidRDefault="0055491A" w:rsidP="0055491A">
      <w:pPr>
        <w:pStyle w:val="a7"/>
        <w:spacing w:after="0"/>
        <w:ind w:left="0" w:firstLine="709"/>
        <w:jc w:val="both"/>
        <w:rPr>
          <w:b/>
          <w:sz w:val="28"/>
          <w:szCs w:val="28"/>
        </w:rPr>
      </w:pPr>
      <w:r>
        <w:rPr>
          <w:sz w:val="28"/>
          <w:szCs w:val="28"/>
        </w:rPr>
        <w:t xml:space="preserve">Таким образом, </w:t>
      </w:r>
      <w:r w:rsidRPr="00226C3A">
        <w:rPr>
          <w:b/>
          <w:sz w:val="28"/>
          <w:szCs w:val="28"/>
        </w:rPr>
        <w:t>прогноз поступления</w:t>
      </w:r>
      <w:r>
        <w:rPr>
          <w:sz w:val="28"/>
          <w:szCs w:val="28"/>
        </w:rPr>
        <w:t xml:space="preserve"> доходов в областной бюджет Тверской области </w:t>
      </w:r>
      <w:r w:rsidRPr="00226C3A">
        <w:rPr>
          <w:b/>
          <w:sz w:val="28"/>
          <w:szCs w:val="28"/>
        </w:rPr>
        <w:t>на 2022 год – 55,0 тыс. руб., на 2023 год –  54,5 тыс. руб., на 2024 год – 54,5 тыс. руб.</w:t>
      </w:r>
    </w:p>
    <w:p w:rsidR="0055491A" w:rsidRDefault="0055491A" w:rsidP="0055491A">
      <w:pPr>
        <w:ind w:firstLine="709"/>
        <w:jc w:val="both"/>
        <w:rPr>
          <w:color w:val="000000"/>
          <w:sz w:val="28"/>
          <w:szCs w:val="28"/>
        </w:rPr>
      </w:pPr>
    </w:p>
    <w:p w:rsidR="0055491A" w:rsidRDefault="0055491A" w:rsidP="0055491A">
      <w:pPr>
        <w:ind w:firstLine="709"/>
        <w:jc w:val="both"/>
        <w:rPr>
          <w:sz w:val="28"/>
          <w:szCs w:val="28"/>
        </w:rPr>
      </w:pPr>
      <w:r>
        <w:rPr>
          <w:color w:val="000000"/>
          <w:sz w:val="28"/>
          <w:szCs w:val="28"/>
        </w:rPr>
        <w:t xml:space="preserve">4.2 </w:t>
      </w:r>
      <w:r w:rsidRPr="00226C3A">
        <w:rPr>
          <w:b/>
          <w:sz w:val="28"/>
          <w:szCs w:val="28"/>
        </w:rPr>
        <w:t>КБК 327 1 16 01082 01 0000 140</w:t>
      </w:r>
      <w:r>
        <w:rPr>
          <w:b/>
          <w:sz w:val="28"/>
          <w:szCs w:val="28"/>
        </w:rPr>
        <w:t xml:space="preserve"> </w:t>
      </w:r>
      <w:r w:rsidRPr="004D2275">
        <w:rPr>
          <w:color w:val="000000"/>
          <w:sz w:val="28"/>
          <w:szCs w:val="28"/>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w:t>
      </w:r>
      <w:r>
        <w:rPr>
          <w:color w:val="000000"/>
          <w:sz w:val="28"/>
          <w:szCs w:val="28"/>
        </w:rPr>
        <w:t xml:space="preserve">. </w:t>
      </w:r>
    </w:p>
    <w:p w:rsidR="0055491A" w:rsidRPr="00226C3A" w:rsidRDefault="0055491A" w:rsidP="0055491A">
      <w:pPr>
        <w:autoSpaceDE w:val="0"/>
        <w:autoSpaceDN w:val="0"/>
        <w:adjustRightInd w:val="0"/>
        <w:ind w:firstLine="709"/>
        <w:jc w:val="both"/>
        <w:rPr>
          <w:b/>
          <w:sz w:val="28"/>
          <w:szCs w:val="28"/>
        </w:rPr>
      </w:pPr>
      <w:r w:rsidRPr="00226C3A">
        <w:rPr>
          <w:b/>
          <w:sz w:val="28"/>
          <w:szCs w:val="28"/>
        </w:rPr>
        <w:t>Главный администратор доходов – Министерство природных ресурсов и экологии Тверской области.</w:t>
      </w:r>
    </w:p>
    <w:p w:rsidR="0055491A" w:rsidRDefault="0055491A" w:rsidP="0055491A">
      <w:pPr>
        <w:autoSpaceDE w:val="0"/>
        <w:autoSpaceDN w:val="0"/>
        <w:adjustRightInd w:val="0"/>
        <w:ind w:firstLine="709"/>
        <w:jc w:val="both"/>
        <w:rPr>
          <w:sz w:val="28"/>
          <w:szCs w:val="28"/>
        </w:rPr>
      </w:pPr>
      <w:r w:rsidRPr="00524F9B">
        <w:rPr>
          <w:sz w:val="28"/>
          <w:szCs w:val="28"/>
        </w:rPr>
        <w:t>Расчет осуществля</w:t>
      </w:r>
      <w:r>
        <w:rPr>
          <w:sz w:val="28"/>
          <w:szCs w:val="28"/>
        </w:rPr>
        <w:t>ется</w:t>
      </w:r>
      <w:r w:rsidRPr="00524F9B">
        <w:rPr>
          <w:sz w:val="28"/>
          <w:szCs w:val="28"/>
        </w:rPr>
        <w:t xml:space="preserve"> методом прямого расчета на основании количества правонарушений по видам и размерам платежа за каждый вид правонарушений. Прогнозное количество правонарушений каждого вида, закрепленного в законодательстве Российской Федерации, определя</w:t>
      </w:r>
      <w:r>
        <w:rPr>
          <w:sz w:val="28"/>
          <w:szCs w:val="28"/>
        </w:rPr>
        <w:t>ется</w:t>
      </w:r>
      <w:r w:rsidRPr="00524F9B">
        <w:rPr>
          <w:sz w:val="28"/>
          <w:szCs w:val="28"/>
        </w:rPr>
        <w:t xml:space="preserve"> путем вычисления среднего арифметического за последние три года. </w:t>
      </w:r>
    </w:p>
    <w:p w:rsidR="0055491A" w:rsidRDefault="0055491A" w:rsidP="0055491A">
      <w:pPr>
        <w:autoSpaceDE w:val="0"/>
        <w:autoSpaceDN w:val="0"/>
        <w:adjustRightInd w:val="0"/>
        <w:ind w:firstLine="709"/>
        <w:jc w:val="both"/>
        <w:rPr>
          <w:sz w:val="28"/>
          <w:szCs w:val="28"/>
        </w:rPr>
      </w:pPr>
      <w:r w:rsidRPr="00524F9B">
        <w:rPr>
          <w:sz w:val="28"/>
          <w:szCs w:val="28"/>
        </w:rPr>
        <w:t xml:space="preserve">При осуществлении регионального экологического надзора Министерством возбуждаются  и рассматриваются административные дела по </w:t>
      </w:r>
      <w:r w:rsidRPr="00524F9B">
        <w:rPr>
          <w:sz w:val="28"/>
          <w:szCs w:val="28"/>
        </w:rPr>
        <w:lastRenderedPageBreak/>
        <w:t xml:space="preserve">ст. </w:t>
      </w:r>
      <w:r w:rsidRPr="00524F9B">
        <w:t xml:space="preserve"> </w:t>
      </w:r>
      <w:r w:rsidRPr="00524F9B">
        <w:rPr>
          <w:sz w:val="28"/>
          <w:szCs w:val="28"/>
        </w:rPr>
        <w:t xml:space="preserve">8.1, 8.2, 8.4, 8.5, 8.12.1, 8.13, 8.14, 8.21, 8.39, 8.41, 8.42, 8.46 </w:t>
      </w:r>
      <w:r>
        <w:rPr>
          <w:sz w:val="28"/>
          <w:szCs w:val="28"/>
        </w:rPr>
        <w:t>КоАП РФ</w:t>
      </w:r>
      <w:r w:rsidRPr="00524F9B">
        <w:rPr>
          <w:sz w:val="28"/>
          <w:szCs w:val="28"/>
        </w:rPr>
        <w:t>. По результатам рассмотрения выносятся административные штрафы в размере от 3 тыс. рублей до 700 тыс. рублей.</w:t>
      </w:r>
    </w:p>
    <w:p w:rsidR="0055491A" w:rsidRDefault="0055491A" w:rsidP="0055491A">
      <w:pPr>
        <w:ind w:firstLine="709"/>
        <w:jc w:val="both"/>
        <w:rPr>
          <w:sz w:val="28"/>
          <w:szCs w:val="28"/>
        </w:rPr>
      </w:pPr>
      <w:r w:rsidRPr="00F55CA7">
        <w:rPr>
          <w:sz w:val="28"/>
          <w:szCs w:val="28"/>
        </w:rPr>
        <w:t>Прогноз поступления доходов в части штрафов, установленных главой 8 КоАП РФ при осуществлении регионального экологического надзора составит 4</w:t>
      </w:r>
      <w:r>
        <w:rPr>
          <w:sz w:val="28"/>
          <w:szCs w:val="28"/>
        </w:rPr>
        <w:t xml:space="preserve"> 628</w:t>
      </w:r>
      <w:r w:rsidRPr="00F55CA7">
        <w:rPr>
          <w:sz w:val="28"/>
          <w:szCs w:val="28"/>
        </w:rPr>
        <w:t>,</w:t>
      </w:r>
      <w:r>
        <w:rPr>
          <w:sz w:val="28"/>
          <w:szCs w:val="28"/>
        </w:rPr>
        <w:t>0</w:t>
      </w:r>
      <w:r w:rsidRPr="00F55CA7">
        <w:rPr>
          <w:sz w:val="28"/>
          <w:szCs w:val="28"/>
        </w:rPr>
        <w:t xml:space="preserve"> тыс. рублей </w:t>
      </w:r>
      <w:r>
        <w:rPr>
          <w:sz w:val="28"/>
          <w:szCs w:val="28"/>
        </w:rPr>
        <w:t>на</w:t>
      </w:r>
      <w:r w:rsidRPr="00F55CA7">
        <w:rPr>
          <w:sz w:val="28"/>
          <w:szCs w:val="28"/>
        </w:rPr>
        <w:t xml:space="preserve"> 202</w:t>
      </w:r>
      <w:r>
        <w:rPr>
          <w:sz w:val="28"/>
          <w:szCs w:val="28"/>
        </w:rPr>
        <w:t>2</w:t>
      </w:r>
      <w:r w:rsidRPr="00F55CA7">
        <w:rPr>
          <w:sz w:val="28"/>
          <w:szCs w:val="28"/>
        </w:rPr>
        <w:t xml:space="preserve"> год, </w:t>
      </w:r>
      <w:r>
        <w:rPr>
          <w:sz w:val="28"/>
          <w:szCs w:val="28"/>
        </w:rPr>
        <w:t>4 847,5 т</w:t>
      </w:r>
      <w:r w:rsidRPr="00F55CA7">
        <w:rPr>
          <w:sz w:val="28"/>
          <w:szCs w:val="28"/>
        </w:rPr>
        <w:t xml:space="preserve">ыс. рублей </w:t>
      </w:r>
      <w:r>
        <w:rPr>
          <w:sz w:val="28"/>
          <w:szCs w:val="28"/>
        </w:rPr>
        <w:t>на</w:t>
      </w:r>
      <w:r w:rsidRPr="00F55CA7">
        <w:rPr>
          <w:sz w:val="28"/>
          <w:szCs w:val="28"/>
        </w:rPr>
        <w:t xml:space="preserve"> 202</w:t>
      </w:r>
      <w:r>
        <w:rPr>
          <w:sz w:val="28"/>
          <w:szCs w:val="28"/>
        </w:rPr>
        <w:t>3</w:t>
      </w:r>
      <w:r w:rsidRPr="00F55CA7">
        <w:rPr>
          <w:sz w:val="28"/>
          <w:szCs w:val="28"/>
        </w:rPr>
        <w:t xml:space="preserve"> год, </w:t>
      </w:r>
      <w:r>
        <w:rPr>
          <w:sz w:val="28"/>
          <w:szCs w:val="28"/>
        </w:rPr>
        <w:t xml:space="preserve">                    </w:t>
      </w:r>
      <w:r w:rsidRPr="00F55CA7">
        <w:rPr>
          <w:sz w:val="28"/>
          <w:szCs w:val="28"/>
        </w:rPr>
        <w:t>4</w:t>
      </w:r>
      <w:r>
        <w:rPr>
          <w:sz w:val="28"/>
          <w:szCs w:val="28"/>
        </w:rPr>
        <w:t xml:space="preserve"> 695,5</w:t>
      </w:r>
      <w:r w:rsidRPr="00F55CA7">
        <w:rPr>
          <w:sz w:val="28"/>
          <w:szCs w:val="28"/>
        </w:rPr>
        <w:t xml:space="preserve"> тыс. рублей </w:t>
      </w:r>
      <w:r>
        <w:rPr>
          <w:sz w:val="28"/>
          <w:szCs w:val="28"/>
        </w:rPr>
        <w:t>на</w:t>
      </w:r>
      <w:r w:rsidRPr="00F55CA7">
        <w:rPr>
          <w:sz w:val="28"/>
          <w:szCs w:val="28"/>
        </w:rPr>
        <w:t xml:space="preserve"> 202</w:t>
      </w:r>
      <w:r>
        <w:rPr>
          <w:sz w:val="28"/>
          <w:szCs w:val="28"/>
        </w:rPr>
        <w:t>4</w:t>
      </w:r>
      <w:r w:rsidRPr="00F55CA7">
        <w:rPr>
          <w:sz w:val="28"/>
          <w:szCs w:val="28"/>
        </w:rPr>
        <w:t xml:space="preserve"> год. </w:t>
      </w:r>
    </w:p>
    <w:p w:rsidR="0055491A" w:rsidRPr="00524F9B" w:rsidRDefault="0055491A" w:rsidP="0055491A">
      <w:pPr>
        <w:autoSpaceDE w:val="0"/>
        <w:autoSpaceDN w:val="0"/>
        <w:adjustRightInd w:val="0"/>
        <w:ind w:firstLine="709"/>
        <w:jc w:val="both"/>
        <w:rPr>
          <w:sz w:val="28"/>
          <w:szCs w:val="28"/>
        </w:rPr>
      </w:pPr>
      <w:r w:rsidRPr="00524F9B">
        <w:rPr>
          <w:sz w:val="28"/>
          <w:szCs w:val="28"/>
        </w:rPr>
        <w:t>При осуществлении государственного охотничьего надзора Министерством возбуждаются  и рассматриваются административные дела по ст.</w:t>
      </w:r>
      <w:r>
        <w:rPr>
          <w:sz w:val="28"/>
          <w:szCs w:val="28"/>
        </w:rPr>
        <w:t xml:space="preserve"> </w:t>
      </w:r>
      <w:r w:rsidRPr="00524F9B">
        <w:rPr>
          <w:sz w:val="28"/>
          <w:szCs w:val="28"/>
        </w:rPr>
        <w:t xml:space="preserve">8.37 </w:t>
      </w:r>
      <w:r>
        <w:rPr>
          <w:sz w:val="28"/>
          <w:szCs w:val="28"/>
        </w:rPr>
        <w:t>КоАП РФ</w:t>
      </w:r>
      <w:r w:rsidRPr="00524F9B">
        <w:rPr>
          <w:sz w:val="28"/>
          <w:szCs w:val="28"/>
        </w:rPr>
        <w:t>. По результатам рассмотрения выносятся административные штрафы в размере от 0,5 тыс. рублей до 100 тыс. рублей.</w:t>
      </w:r>
    </w:p>
    <w:p w:rsidR="0055491A" w:rsidRDefault="0055491A" w:rsidP="0055491A">
      <w:pPr>
        <w:ind w:firstLine="709"/>
        <w:jc w:val="both"/>
        <w:rPr>
          <w:sz w:val="28"/>
          <w:szCs w:val="28"/>
        </w:rPr>
      </w:pPr>
      <w:r w:rsidRPr="00F55CA7">
        <w:rPr>
          <w:sz w:val="28"/>
          <w:szCs w:val="28"/>
        </w:rPr>
        <w:t xml:space="preserve">Прогноз поступления доходов в части штрафов, установленных главой 8 КоАП РФ, при осуществлении государственного охотничьего надзора составит </w:t>
      </w:r>
      <w:r>
        <w:rPr>
          <w:sz w:val="28"/>
          <w:szCs w:val="28"/>
        </w:rPr>
        <w:t>1 50</w:t>
      </w:r>
      <w:r w:rsidRPr="00F55CA7">
        <w:rPr>
          <w:sz w:val="28"/>
          <w:szCs w:val="28"/>
        </w:rPr>
        <w:t xml:space="preserve">0,0 тыс. рублей </w:t>
      </w:r>
      <w:r>
        <w:rPr>
          <w:sz w:val="28"/>
          <w:szCs w:val="28"/>
        </w:rPr>
        <w:t>на</w:t>
      </w:r>
      <w:r w:rsidRPr="00F55CA7">
        <w:rPr>
          <w:sz w:val="28"/>
          <w:szCs w:val="28"/>
        </w:rPr>
        <w:t xml:space="preserve"> 202</w:t>
      </w:r>
      <w:r>
        <w:rPr>
          <w:sz w:val="28"/>
          <w:szCs w:val="28"/>
        </w:rPr>
        <w:t>2</w:t>
      </w:r>
      <w:r w:rsidRPr="00F55CA7">
        <w:rPr>
          <w:sz w:val="28"/>
          <w:szCs w:val="28"/>
        </w:rPr>
        <w:t xml:space="preserve"> год, </w:t>
      </w:r>
      <w:r>
        <w:rPr>
          <w:sz w:val="28"/>
          <w:szCs w:val="28"/>
        </w:rPr>
        <w:t>1 50</w:t>
      </w:r>
      <w:r w:rsidRPr="00F55CA7">
        <w:rPr>
          <w:sz w:val="28"/>
          <w:szCs w:val="28"/>
        </w:rPr>
        <w:t xml:space="preserve">0,0 тыс. рублей </w:t>
      </w:r>
      <w:r>
        <w:rPr>
          <w:sz w:val="28"/>
          <w:szCs w:val="28"/>
        </w:rPr>
        <w:t>на</w:t>
      </w:r>
      <w:r w:rsidRPr="00F55CA7">
        <w:rPr>
          <w:sz w:val="28"/>
          <w:szCs w:val="28"/>
        </w:rPr>
        <w:t xml:space="preserve"> 202</w:t>
      </w:r>
      <w:r>
        <w:rPr>
          <w:sz w:val="28"/>
          <w:szCs w:val="28"/>
        </w:rPr>
        <w:t>3</w:t>
      </w:r>
      <w:r w:rsidRPr="00F55CA7">
        <w:rPr>
          <w:sz w:val="28"/>
          <w:szCs w:val="28"/>
        </w:rPr>
        <w:t xml:space="preserve"> год, </w:t>
      </w:r>
      <w:r>
        <w:rPr>
          <w:sz w:val="28"/>
          <w:szCs w:val="28"/>
        </w:rPr>
        <w:t xml:space="preserve">                                1 50</w:t>
      </w:r>
      <w:r w:rsidRPr="00F55CA7">
        <w:rPr>
          <w:sz w:val="28"/>
          <w:szCs w:val="28"/>
        </w:rPr>
        <w:t xml:space="preserve">0,0 тыс. рублей </w:t>
      </w:r>
      <w:r>
        <w:rPr>
          <w:sz w:val="28"/>
          <w:szCs w:val="28"/>
        </w:rPr>
        <w:t>на</w:t>
      </w:r>
      <w:r w:rsidRPr="00F55CA7">
        <w:rPr>
          <w:sz w:val="28"/>
          <w:szCs w:val="28"/>
        </w:rPr>
        <w:t xml:space="preserve"> 202</w:t>
      </w:r>
      <w:r>
        <w:rPr>
          <w:sz w:val="28"/>
          <w:szCs w:val="28"/>
        </w:rPr>
        <w:t>4</w:t>
      </w:r>
      <w:r w:rsidRPr="00F55CA7">
        <w:rPr>
          <w:sz w:val="28"/>
          <w:szCs w:val="28"/>
        </w:rPr>
        <w:t xml:space="preserve"> год.</w:t>
      </w:r>
    </w:p>
    <w:p w:rsidR="0055491A" w:rsidRDefault="0055491A" w:rsidP="0055491A">
      <w:pPr>
        <w:ind w:firstLine="709"/>
        <w:jc w:val="both"/>
        <w:rPr>
          <w:sz w:val="28"/>
          <w:szCs w:val="28"/>
        </w:rPr>
      </w:pPr>
      <w:r>
        <w:rPr>
          <w:sz w:val="28"/>
          <w:szCs w:val="28"/>
        </w:rPr>
        <w:t>Расчет прогноза поступлений представлен в таблице.</w:t>
      </w:r>
    </w:p>
    <w:tbl>
      <w:tblPr>
        <w:tblW w:w="9356" w:type="dxa"/>
        <w:tblLayout w:type="fixed"/>
        <w:tblLook w:val="04A0" w:firstRow="1" w:lastRow="0" w:firstColumn="1" w:lastColumn="0" w:noHBand="0" w:noVBand="1"/>
      </w:tblPr>
      <w:tblGrid>
        <w:gridCol w:w="1124"/>
        <w:gridCol w:w="1319"/>
        <w:gridCol w:w="1467"/>
        <w:gridCol w:w="1467"/>
        <w:gridCol w:w="10"/>
        <w:gridCol w:w="1266"/>
        <w:gridCol w:w="1275"/>
        <w:gridCol w:w="1418"/>
        <w:gridCol w:w="10"/>
      </w:tblGrid>
      <w:tr w:rsidR="0055491A" w:rsidTr="00210BF6">
        <w:trPr>
          <w:trHeight w:val="418"/>
        </w:trPr>
        <w:tc>
          <w:tcPr>
            <w:tcW w:w="9356" w:type="dxa"/>
            <w:gridSpan w:val="9"/>
            <w:tcBorders>
              <w:top w:val="single" w:sz="8" w:space="0" w:color="auto"/>
              <w:left w:val="single" w:sz="8" w:space="0" w:color="auto"/>
              <w:bottom w:val="single" w:sz="8" w:space="0" w:color="auto"/>
              <w:right w:val="single" w:sz="8" w:space="0" w:color="000000"/>
            </w:tcBorders>
            <w:shd w:val="clear" w:color="auto" w:fill="auto"/>
            <w:hideMark/>
          </w:tcPr>
          <w:p w:rsidR="0055491A" w:rsidRPr="001C4642" w:rsidRDefault="0055491A" w:rsidP="00210BF6">
            <w:pPr>
              <w:jc w:val="center"/>
            </w:pPr>
            <w:r w:rsidRPr="001C4642">
              <w:t>Нарушение статьей 8.1, 8.2, 8.4, 8.5, 8.12.1, 8.13, 8.14, 8.21, 8.39, 8.41, 8.42, 8.46                 КоАП РФ</w:t>
            </w:r>
          </w:p>
        </w:tc>
      </w:tr>
      <w:tr w:rsidR="0055491A" w:rsidTr="00210BF6">
        <w:trPr>
          <w:trHeight w:val="645"/>
        </w:trPr>
        <w:tc>
          <w:tcPr>
            <w:tcW w:w="1124" w:type="dxa"/>
            <w:vMerge w:val="restart"/>
            <w:tcBorders>
              <w:top w:val="nil"/>
              <w:left w:val="single" w:sz="8" w:space="0" w:color="auto"/>
              <w:bottom w:val="single" w:sz="8" w:space="0" w:color="000000"/>
              <w:right w:val="single" w:sz="8" w:space="0" w:color="auto"/>
            </w:tcBorders>
            <w:shd w:val="clear" w:color="auto" w:fill="auto"/>
            <w:hideMark/>
          </w:tcPr>
          <w:p w:rsidR="0055491A" w:rsidRPr="001C4642" w:rsidRDefault="0055491A" w:rsidP="00210BF6">
            <w:r w:rsidRPr="001C4642">
              <w:t>Размер платежа</w:t>
            </w:r>
            <w:r>
              <w:t>, тыс. руб.</w:t>
            </w:r>
          </w:p>
        </w:tc>
        <w:tc>
          <w:tcPr>
            <w:tcW w:w="4263" w:type="dxa"/>
            <w:gridSpan w:val="4"/>
            <w:tcBorders>
              <w:top w:val="single" w:sz="8" w:space="0" w:color="auto"/>
              <w:left w:val="nil"/>
              <w:bottom w:val="single" w:sz="4" w:space="0" w:color="auto"/>
              <w:right w:val="single" w:sz="4" w:space="0" w:color="auto"/>
            </w:tcBorders>
            <w:shd w:val="clear" w:color="auto" w:fill="auto"/>
            <w:vAlign w:val="center"/>
            <w:hideMark/>
          </w:tcPr>
          <w:p w:rsidR="0055491A" w:rsidRPr="00F80477" w:rsidRDefault="0055491A" w:rsidP="00210BF6">
            <w:pPr>
              <w:jc w:val="center"/>
              <w:rPr>
                <w:b/>
                <w:bCs/>
              </w:rPr>
            </w:pPr>
            <w:r w:rsidRPr="00F80477">
              <w:rPr>
                <w:b/>
                <w:bCs/>
              </w:rPr>
              <w:t>Количество правонарушений                                     (с учетом округления)</w:t>
            </w:r>
          </w:p>
        </w:tc>
        <w:tc>
          <w:tcPr>
            <w:tcW w:w="3969" w:type="dxa"/>
            <w:gridSpan w:val="4"/>
            <w:tcBorders>
              <w:top w:val="single" w:sz="8" w:space="0" w:color="auto"/>
              <w:left w:val="nil"/>
              <w:bottom w:val="single" w:sz="4" w:space="0" w:color="auto"/>
              <w:right w:val="single" w:sz="8" w:space="0" w:color="000000"/>
            </w:tcBorders>
            <w:shd w:val="clear" w:color="auto" w:fill="auto"/>
            <w:vAlign w:val="center"/>
            <w:hideMark/>
          </w:tcPr>
          <w:p w:rsidR="0055491A" w:rsidRPr="00F80477" w:rsidRDefault="0055491A" w:rsidP="00210BF6">
            <w:pPr>
              <w:jc w:val="center"/>
              <w:rPr>
                <w:b/>
                <w:bCs/>
              </w:rPr>
            </w:pPr>
            <w:r w:rsidRPr="00F80477">
              <w:rPr>
                <w:b/>
                <w:bCs/>
              </w:rPr>
              <w:t xml:space="preserve">Прогноз </w:t>
            </w:r>
          </w:p>
        </w:tc>
      </w:tr>
      <w:tr w:rsidR="0055491A" w:rsidTr="00210BF6">
        <w:trPr>
          <w:gridAfter w:val="1"/>
          <w:wAfter w:w="10" w:type="dxa"/>
          <w:trHeight w:val="397"/>
        </w:trPr>
        <w:tc>
          <w:tcPr>
            <w:tcW w:w="1124" w:type="dxa"/>
            <w:vMerge/>
            <w:tcBorders>
              <w:top w:val="nil"/>
              <w:left w:val="single" w:sz="8" w:space="0" w:color="auto"/>
              <w:bottom w:val="single" w:sz="8" w:space="0" w:color="000000"/>
              <w:right w:val="single" w:sz="8" w:space="0" w:color="auto"/>
            </w:tcBorders>
            <w:hideMark/>
          </w:tcPr>
          <w:p w:rsidR="0055491A" w:rsidRDefault="0055491A" w:rsidP="00210BF6">
            <w:pPr>
              <w:rPr>
                <w:b/>
                <w:bCs/>
                <w:sz w:val="20"/>
                <w:szCs w:val="20"/>
              </w:rPr>
            </w:pPr>
          </w:p>
        </w:tc>
        <w:tc>
          <w:tcPr>
            <w:tcW w:w="1319" w:type="dxa"/>
            <w:tcBorders>
              <w:top w:val="nil"/>
              <w:left w:val="single" w:sz="4" w:space="0" w:color="auto"/>
              <w:bottom w:val="single" w:sz="8" w:space="0" w:color="auto"/>
              <w:right w:val="single" w:sz="4" w:space="0" w:color="auto"/>
            </w:tcBorders>
            <w:shd w:val="clear" w:color="auto" w:fill="auto"/>
            <w:vAlign w:val="center"/>
          </w:tcPr>
          <w:p w:rsidR="0055491A" w:rsidRDefault="0055491A" w:rsidP="00210BF6">
            <w:pPr>
              <w:jc w:val="center"/>
              <w:rPr>
                <w:b/>
                <w:bCs/>
                <w:sz w:val="20"/>
                <w:szCs w:val="20"/>
              </w:rPr>
            </w:pPr>
            <w:r>
              <w:rPr>
                <w:b/>
                <w:bCs/>
                <w:sz w:val="20"/>
                <w:szCs w:val="20"/>
              </w:rPr>
              <w:t>2022 год</w:t>
            </w:r>
          </w:p>
        </w:tc>
        <w:tc>
          <w:tcPr>
            <w:tcW w:w="1467" w:type="dxa"/>
            <w:tcBorders>
              <w:top w:val="nil"/>
              <w:left w:val="nil"/>
              <w:bottom w:val="single" w:sz="8" w:space="0" w:color="auto"/>
              <w:right w:val="single" w:sz="4" w:space="0" w:color="auto"/>
            </w:tcBorders>
            <w:shd w:val="clear" w:color="auto" w:fill="auto"/>
            <w:vAlign w:val="center"/>
          </w:tcPr>
          <w:p w:rsidR="0055491A" w:rsidRDefault="0055491A" w:rsidP="00210BF6">
            <w:pPr>
              <w:jc w:val="center"/>
              <w:rPr>
                <w:b/>
                <w:bCs/>
                <w:sz w:val="20"/>
                <w:szCs w:val="20"/>
              </w:rPr>
            </w:pPr>
            <w:r>
              <w:rPr>
                <w:b/>
                <w:bCs/>
                <w:sz w:val="20"/>
                <w:szCs w:val="20"/>
              </w:rPr>
              <w:t>2023 год</w:t>
            </w:r>
          </w:p>
        </w:tc>
        <w:tc>
          <w:tcPr>
            <w:tcW w:w="1467" w:type="dxa"/>
            <w:tcBorders>
              <w:top w:val="nil"/>
              <w:left w:val="nil"/>
              <w:bottom w:val="single" w:sz="8" w:space="0" w:color="auto"/>
              <w:right w:val="single" w:sz="4" w:space="0" w:color="auto"/>
            </w:tcBorders>
            <w:shd w:val="clear" w:color="auto" w:fill="auto"/>
            <w:vAlign w:val="center"/>
          </w:tcPr>
          <w:p w:rsidR="0055491A" w:rsidRDefault="0055491A" w:rsidP="00210BF6">
            <w:pPr>
              <w:jc w:val="center"/>
              <w:rPr>
                <w:b/>
                <w:bCs/>
                <w:sz w:val="20"/>
                <w:szCs w:val="20"/>
              </w:rPr>
            </w:pPr>
            <w:r>
              <w:rPr>
                <w:b/>
                <w:bCs/>
                <w:sz w:val="20"/>
                <w:szCs w:val="20"/>
              </w:rPr>
              <w:t>2024 год</w:t>
            </w:r>
          </w:p>
        </w:tc>
        <w:tc>
          <w:tcPr>
            <w:tcW w:w="1276" w:type="dxa"/>
            <w:gridSpan w:val="2"/>
            <w:tcBorders>
              <w:top w:val="nil"/>
              <w:left w:val="single" w:sz="4" w:space="0" w:color="auto"/>
              <w:bottom w:val="single" w:sz="8" w:space="0" w:color="auto"/>
              <w:right w:val="single" w:sz="4" w:space="0" w:color="auto"/>
            </w:tcBorders>
            <w:shd w:val="clear" w:color="auto" w:fill="auto"/>
            <w:noWrap/>
            <w:vAlign w:val="center"/>
            <w:hideMark/>
          </w:tcPr>
          <w:p w:rsidR="0055491A" w:rsidRDefault="0055491A" w:rsidP="00210BF6">
            <w:pPr>
              <w:jc w:val="center"/>
              <w:rPr>
                <w:b/>
                <w:bCs/>
                <w:sz w:val="20"/>
                <w:szCs w:val="20"/>
              </w:rPr>
            </w:pPr>
            <w:r>
              <w:rPr>
                <w:b/>
                <w:bCs/>
                <w:sz w:val="20"/>
                <w:szCs w:val="20"/>
              </w:rPr>
              <w:t>2022 год</w:t>
            </w:r>
          </w:p>
        </w:tc>
        <w:tc>
          <w:tcPr>
            <w:tcW w:w="1275" w:type="dxa"/>
            <w:tcBorders>
              <w:top w:val="nil"/>
              <w:left w:val="nil"/>
              <w:bottom w:val="single" w:sz="8" w:space="0" w:color="auto"/>
              <w:right w:val="single" w:sz="4" w:space="0" w:color="auto"/>
            </w:tcBorders>
            <w:shd w:val="clear" w:color="auto" w:fill="auto"/>
            <w:noWrap/>
            <w:vAlign w:val="center"/>
            <w:hideMark/>
          </w:tcPr>
          <w:p w:rsidR="0055491A" w:rsidRDefault="0055491A" w:rsidP="00210BF6">
            <w:pPr>
              <w:jc w:val="center"/>
              <w:rPr>
                <w:b/>
                <w:bCs/>
                <w:sz w:val="20"/>
                <w:szCs w:val="20"/>
              </w:rPr>
            </w:pPr>
            <w:r>
              <w:rPr>
                <w:b/>
                <w:bCs/>
                <w:sz w:val="20"/>
                <w:szCs w:val="20"/>
              </w:rPr>
              <w:t>2023 год</w:t>
            </w:r>
          </w:p>
        </w:tc>
        <w:tc>
          <w:tcPr>
            <w:tcW w:w="1418" w:type="dxa"/>
            <w:tcBorders>
              <w:top w:val="nil"/>
              <w:left w:val="nil"/>
              <w:bottom w:val="single" w:sz="8" w:space="0" w:color="auto"/>
              <w:right w:val="single" w:sz="8" w:space="0" w:color="auto"/>
            </w:tcBorders>
            <w:shd w:val="clear" w:color="auto" w:fill="auto"/>
            <w:noWrap/>
            <w:vAlign w:val="center"/>
            <w:hideMark/>
          </w:tcPr>
          <w:p w:rsidR="0055491A" w:rsidRDefault="0055491A" w:rsidP="00210BF6">
            <w:pPr>
              <w:jc w:val="center"/>
              <w:rPr>
                <w:b/>
                <w:bCs/>
                <w:sz w:val="20"/>
                <w:szCs w:val="20"/>
              </w:rPr>
            </w:pPr>
            <w:r>
              <w:rPr>
                <w:b/>
                <w:bCs/>
                <w:sz w:val="20"/>
                <w:szCs w:val="20"/>
              </w:rPr>
              <w:t>2024 год</w:t>
            </w:r>
          </w:p>
        </w:tc>
      </w:tr>
      <w:tr w:rsidR="0055491A" w:rsidTr="00210BF6">
        <w:trPr>
          <w:gridAfter w:val="1"/>
          <w:wAfter w:w="10" w:type="dxa"/>
          <w:trHeight w:val="255"/>
        </w:trPr>
        <w:tc>
          <w:tcPr>
            <w:tcW w:w="1124" w:type="dxa"/>
            <w:tcBorders>
              <w:top w:val="nil"/>
              <w:left w:val="single" w:sz="8" w:space="0" w:color="auto"/>
              <w:bottom w:val="single" w:sz="4" w:space="0" w:color="auto"/>
              <w:right w:val="single" w:sz="8" w:space="0" w:color="auto"/>
            </w:tcBorders>
            <w:shd w:val="clear" w:color="auto" w:fill="auto"/>
            <w:noWrap/>
            <w:hideMark/>
          </w:tcPr>
          <w:p w:rsidR="0055491A" w:rsidRPr="001C4642" w:rsidRDefault="0055491A" w:rsidP="00210BF6">
            <w:pPr>
              <w:jc w:val="center"/>
            </w:pPr>
            <w:r w:rsidRPr="001C4642">
              <w:t>0,5</w:t>
            </w:r>
          </w:p>
        </w:tc>
        <w:tc>
          <w:tcPr>
            <w:tcW w:w="1319" w:type="dxa"/>
            <w:tcBorders>
              <w:top w:val="nil"/>
              <w:left w:val="nil"/>
              <w:bottom w:val="single" w:sz="8" w:space="0" w:color="auto"/>
              <w:right w:val="single" w:sz="8" w:space="0" w:color="auto"/>
            </w:tcBorders>
            <w:shd w:val="clear" w:color="auto" w:fill="auto"/>
            <w:noWrap/>
            <w:vAlign w:val="center"/>
          </w:tcPr>
          <w:p w:rsidR="0055491A" w:rsidRPr="003E00CA" w:rsidRDefault="0055491A" w:rsidP="00210BF6">
            <w:pPr>
              <w:jc w:val="center"/>
            </w:pPr>
            <w:r w:rsidRPr="003E00CA">
              <w:t>1</w:t>
            </w:r>
          </w:p>
        </w:tc>
        <w:tc>
          <w:tcPr>
            <w:tcW w:w="1467" w:type="dxa"/>
            <w:tcBorders>
              <w:top w:val="nil"/>
              <w:left w:val="nil"/>
              <w:bottom w:val="single" w:sz="8" w:space="0" w:color="auto"/>
              <w:right w:val="single" w:sz="8" w:space="0" w:color="auto"/>
            </w:tcBorders>
            <w:shd w:val="clear" w:color="auto" w:fill="auto"/>
            <w:noWrap/>
            <w:vAlign w:val="center"/>
          </w:tcPr>
          <w:p w:rsidR="0055491A" w:rsidRPr="003E00CA" w:rsidRDefault="0055491A" w:rsidP="00210BF6">
            <w:pPr>
              <w:jc w:val="center"/>
            </w:pPr>
            <w:r w:rsidRPr="003E00CA">
              <w:t>1</w:t>
            </w:r>
          </w:p>
        </w:tc>
        <w:tc>
          <w:tcPr>
            <w:tcW w:w="1467" w:type="dxa"/>
            <w:tcBorders>
              <w:top w:val="nil"/>
              <w:left w:val="nil"/>
              <w:bottom w:val="single" w:sz="4" w:space="0" w:color="auto"/>
              <w:right w:val="single" w:sz="4" w:space="0" w:color="auto"/>
            </w:tcBorders>
            <w:shd w:val="clear" w:color="auto" w:fill="auto"/>
            <w:vAlign w:val="center"/>
          </w:tcPr>
          <w:p w:rsidR="0055491A" w:rsidRPr="003E00CA" w:rsidRDefault="0055491A" w:rsidP="00210BF6">
            <w:pPr>
              <w:jc w:val="center"/>
            </w:pPr>
            <w:r w:rsidRPr="003E00CA">
              <w:t>1</w:t>
            </w:r>
          </w:p>
        </w:tc>
        <w:tc>
          <w:tcPr>
            <w:tcW w:w="1276" w:type="dxa"/>
            <w:gridSpan w:val="2"/>
            <w:tcBorders>
              <w:top w:val="nil"/>
              <w:left w:val="single" w:sz="4" w:space="0" w:color="auto"/>
              <w:bottom w:val="single" w:sz="4" w:space="0" w:color="auto"/>
              <w:right w:val="single" w:sz="4" w:space="0" w:color="auto"/>
            </w:tcBorders>
            <w:shd w:val="clear" w:color="auto" w:fill="auto"/>
            <w:vAlign w:val="center"/>
            <w:hideMark/>
          </w:tcPr>
          <w:p w:rsidR="0055491A" w:rsidRPr="003E00CA" w:rsidRDefault="0055491A" w:rsidP="00210BF6">
            <w:pPr>
              <w:jc w:val="center"/>
            </w:pPr>
            <w:r w:rsidRPr="003E00CA">
              <w:t>0,5</w:t>
            </w:r>
          </w:p>
        </w:tc>
        <w:tc>
          <w:tcPr>
            <w:tcW w:w="1275" w:type="dxa"/>
            <w:tcBorders>
              <w:top w:val="nil"/>
              <w:left w:val="nil"/>
              <w:bottom w:val="single" w:sz="4" w:space="0" w:color="auto"/>
              <w:right w:val="single" w:sz="4" w:space="0" w:color="auto"/>
            </w:tcBorders>
            <w:shd w:val="clear" w:color="auto" w:fill="auto"/>
            <w:vAlign w:val="center"/>
            <w:hideMark/>
          </w:tcPr>
          <w:p w:rsidR="0055491A" w:rsidRPr="003E00CA" w:rsidRDefault="0055491A" w:rsidP="00210BF6">
            <w:pPr>
              <w:jc w:val="center"/>
            </w:pPr>
            <w:r w:rsidRPr="003E00CA">
              <w:t>0,5</w:t>
            </w:r>
          </w:p>
        </w:tc>
        <w:tc>
          <w:tcPr>
            <w:tcW w:w="1418" w:type="dxa"/>
            <w:tcBorders>
              <w:top w:val="nil"/>
              <w:left w:val="nil"/>
              <w:bottom w:val="single" w:sz="4" w:space="0" w:color="auto"/>
              <w:right w:val="single" w:sz="4" w:space="0" w:color="auto"/>
            </w:tcBorders>
            <w:shd w:val="clear" w:color="auto" w:fill="auto"/>
            <w:vAlign w:val="center"/>
            <w:hideMark/>
          </w:tcPr>
          <w:p w:rsidR="0055491A" w:rsidRPr="003E00CA" w:rsidRDefault="0055491A" w:rsidP="00210BF6">
            <w:pPr>
              <w:jc w:val="center"/>
            </w:pPr>
            <w:r w:rsidRPr="003E00CA">
              <w:t>0,5</w:t>
            </w:r>
          </w:p>
        </w:tc>
      </w:tr>
      <w:tr w:rsidR="0055491A" w:rsidTr="00210BF6">
        <w:trPr>
          <w:gridAfter w:val="1"/>
          <w:wAfter w:w="10" w:type="dxa"/>
          <w:trHeight w:val="255"/>
        </w:trPr>
        <w:tc>
          <w:tcPr>
            <w:tcW w:w="1124" w:type="dxa"/>
            <w:tcBorders>
              <w:top w:val="nil"/>
              <w:left w:val="single" w:sz="8" w:space="0" w:color="auto"/>
              <w:bottom w:val="single" w:sz="4" w:space="0" w:color="auto"/>
              <w:right w:val="single" w:sz="8" w:space="0" w:color="auto"/>
            </w:tcBorders>
            <w:shd w:val="clear" w:color="auto" w:fill="auto"/>
            <w:noWrap/>
            <w:hideMark/>
          </w:tcPr>
          <w:p w:rsidR="0055491A" w:rsidRPr="001C4642" w:rsidRDefault="0055491A" w:rsidP="00210BF6">
            <w:pPr>
              <w:jc w:val="center"/>
            </w:pPr>
            <w:r w:rsidRPr="001C4642">
              <w:t>1</w:t>
            </w:r>
          </w:p>
        </w:tc>
        <w:tc>
          <w:tcPr>
            <w:tcW w:w="1319" w:type="dxa"/>
            <w:tcBorders>
              <w:top w:val="nil"/>
              <w:left w:val="nil"/>
              <w:bottom w:val="single" w:sz="8" w:space="0" w:color="auto"/>
              <w:right w:val="single" w:sz="8" w:space="0" w:color="auto"/>
            </w:tcBorders>
            <w:shd w:val="clear" w:color="auto" w:fill="auto"/>
            <w:noWrap/>
            <w:vAlign w:val="center"/>
          </w:tcPr>
          <w:p w:rsidR="0055491A" w:rsidRPr="00E67239" w:rsidRDefault="0055491A" w:rsidP="00210BF6">
            <w:pPr>
              <w:jc w:val="center"/>
            </w:pPr>
            <w:r w:rsidRPr="00E67239">
              <w:t>17</w:t>
            </w:r>
          </w:p>
        </w:tc>
        <w:tc>
          <w:tcPr>
            <w:tcW w:w="1467" w:type="dxa"/>
            <w:tcBorders>
              <w:top w:val="nil"/>
              <w:left w:val="nil"/>
              <w:bottom w:val="single" w:sz="8" w:space="0" w:color="auto"/>
              <w:right w:val="single" w:sz="8" w:space="0" w:color="auto"/>
            </w:tcBorders>
            <w:shd w:val="clear" w:color="auto" w:fill="auto"/>
            <w:noWrap/>
            <w:vAlign w:val="center"/>
          </w:tcPr>
          <w:p w:rsidR="0055491A" w:rsidRPr="00E67239" w:rsidRDefault="0055491A" w:rsidP="00210BF6">
            <w:pPr>
              <w:jc w:val="center"/>
            </w:pPr>
            <w:r w:rsidRPr="00E67239">
              <w:t>17</w:t>
            </w:r>
          </w:p>
        </w:tc>
        <w:tc>
          <w:tcPr>
            <w:tcW w:w="1467" w:type="dxa"/>
            <w:tcBorders>
              <w:top w:val="nil"/>
              <w:left w:val="nil"/>
              <w:bottom w:val="single" w:sz="4" w:space="0" w:color="auto"/>
              <w:right w:val="single" w:sz="4" w:space="0" w:color="auto"/>
            </w:tcBorders>
            <w:shd w:val="clear" w:color="auto" w:fill="auto"/>
            <w:vAlign w:val="center"/>
          </w:tcPr>
          <w:p w:rsidR="0055491A" w:rsidRPr="00E67239" w:rsidRDefault="0055491A" w:rsidP="00210BF6">
            <w:pPr>
              <w:jc w:val="center"/>
            </w:pPr>
            <w:r w:rsidRPr="00E67239">
              <w:t>16</w:t>
            </w:r>
          </w:p>
        </w:tc>
        <w:tc>
          <w:tcPr>
            <w:tcW w:w="1276" w:type="dxa"/>
            <w:gridSpan w:val="2"/>
            <w:tcBorders>
              <w:top w:val="nil"/>
              <w:left w:val="single" w:sz="4" w:space="0" w:color="auto"/>
              <w:bottom w:val="single" w:sz="4" w:space="0" w:color="auto"/>
              <w:right w:val="single" w:sz="4" w:space="0" w:color="auto"/>
            </w:tcBorders>
            <w:shd w:val="clear" w:color="auto" w:fill="auto"/>
            <w:vAlign w:val="center"/>
            <w:hideMark/>
          </w:tcPr>
          <w:p w:rsidR="0055491A" w:rsidRPr="00E67239" w:rsidRDefault="0055491A" w:rsidP="00210BF6">
            <w:pPr>
              <w:jc w:val="center"/>
            </w:pPr>
            <w:r w:rsidRPr="00E67239">
              <w:t>17,0</w:t>
            </w:r>
          </w:p>
        </w:tc>
        <w:tc>
          <w:tcPr>
            <w:tcW w:w="1275" w:type="dxa"/>
            <w:tcBorders>
              <w:top w:val="nil"/>
              <w:left w:val="nil"/>
              <w:bottom w:val="single" w:sz="4" w:space="0" w:color="auto"/>
              <w:right w:val="single" w:sz="4" w:space="0" w:color="auto"/>
            </w:tcBorders>
            <w:shd w:val="clear" w:color="auto" w:fill="auto"/>
            <w:vAlign w:val="center"/>
            <w:hideMark/>
          </w:tcPr>
          <w:p w:rsidR="0055491A" w:rsidRPr="00E67239" w:rsidRDefault="0055491A" w:rsidP="00210BF6">
            <w:pPr>
              <w:jc w:val="center"/>
            </w:pPr>
            <w:r w:rsidRPr="00E67239">
              <w:t>17,0</w:t>
            </w:r>
          </w:p>
        </w:tc>
        <w:tc>
          <w:tcPr>
            <w:tcW w:w="1418" w:type="dxa"/>
            <w:tcBorders>
              <w:top w:val="nil"/>
              <w:left w:val="nil"/>
              <w:bottom w:val="single" w:sz="4" w:space="0" w:color="auto"/>
              <w:right w:val="single" w:sz="4" w:space="0" w:color="auto"/>
            </w:tcBorders>
            <w:shd w:val="clear" w:color="auto" w:fill="auto"/>
            <w:vAlign w:val="center"/>
            <w:hideMark/>
          </w:tcPr>
          <w:p w:rsidR="0055491A" w:rsidRPr="00E67239" w:rsidRDefault="0055491A" w:rsidP="00210BF6">
            <w:pPr>
              <w:jc w:val="center"/>
            </w:pPr>
            <w:r w:rsidRPr="00E67239">
              <w:t>16,0</w:t>
            </w:r>
          </w:p>
        </w:tc>
      </w:tr>
      <w:tr w:rsidR="0055491A" w:rsidTr="00210BF6">
        <w:trPr>
          <w:gridAfter w:val="1"/>
          <w:wAfter w:w="10" w:type="dxa"/>
          <w:trHeight w:val="255"/>
        </w:trPr>
        <w:tc>
          <w:tcPr>
            <w:tcW w:w="1124" w:type="dxa"/>
            <w:tcBorders>
              <w:top w:val="nil"/>
              <w:left w:val="single" w:sz="8" w:space="0" w:color="auto"/>
              <w:bottom w:val="single" w:sz="4" w:space="0" w:color="auto"/>
              <w:right w:val="single" w:sz="8" w:space="0" w:color="auto"/>
            </w:tcBorders>
            <w:shd w:val="clear" w:color="auto" w:fill="auto"/>
            <w:noWrap/>
            <w:hideMark/>
          </w:tcPr>
          <w:p w:rsidR="0055491A" w:rsidRPr="001C4642" w:rsidRDefault="0055491A" w:rsidP="00210BF6">
            <w:pPr>
              <w:jc w:val="center"/>
            </w:pPr>
            <w:r w:rsidRPr="001C4642">
              <w:t>1,5</w:t>
            </w:r>
          </w:p>
        </w:tc>
        <w:tc>
          <w:tcPr>
            <w:tcW w:w="1319" w:type="dxa"/>
            <w:tcBorders>
              <w:top w:val="nil"/>
              <w:left w:val="nil"/>
              <w:bottom w:val="single" w:sz="8" w:space="0" w:color="auto"/>
              <w:right w:val="single" w:sz="8" w:space="0" w:color="auto"/>
            </w:tcBorders>
            <w:shd w:val="clear" w:color="auto" w:fill="auto"/>
            <w:noWrap/>
            <w:vAlign w:val="center"/>
          </w:tcPr>
          <w:p w:rsidR="0055491A" w:rsidRPr="00E67239" w:rsidRDefault="0055491A" w:rsidP="00210BF6">
            <w:pPr>
              <w:jc w:val="center"/>
            </w:pPr>
            <w:r w:rsidRPr="00E67239">
              <w:t>3</w:t>
            </w:r>
          </w:p>
        </w:tc>
        <w:tc>
          <w:tcPr>
            <w:tcW w:w="1467" w:type="dxa"/>
            <w:tcBorders>
              <w:top w:val="nil"/>
              <w:left w:val="nil"/>
              <w:bottom w:val="single" w:sz="8" w:space="0" w:color="auto"/>
              <w:right w:val="single" w:sz="8" w:space="0" w:color="auto"/>
            </w:tcBorders>
            <w:shd w:val="clear" w:color="auto" w:fill="auto"/>
            <w:noWrap/>
            <w:vAlign w:val="center"/>
          </w:tcPr>
          <w:p w:rsidR="0055491A" w:rsidRPr="00E67239" w:rsidRDefault="0055491A" w:rsidP="00210BF6">
            <w:pPr>
              <w:jc w:val="center"/>
            </w:pPr>
            <w:r w:rsidRPr="00E67239">
              <w:t>2</w:t>
            </w:r>
          </w:p>
        </w:tc>
        <w:tc>
          <w:tcPr>
            <w:tcW w:w="1467" w:type="dxa"/>
            <w:tcBorders>
              <w:top w:val="nil"/>
              <w:left w:val="nil"/>
              <w:bottom w:val="single" w:sz="4" w:space="0" w:color="auto"/>
              <w:right w:val="single" w:sz="4" w:space="0" w:color="auto"/>
            </w:tcBorders>
            <w:shd w:val="clear" w:color="auto" w:fill="auto"/>
            <w:vAlign w:val="center"/>
          </w:tcPr>
          <w:p w:rsidR="0055491A" w:rsidRPr="00E67239" w:rsidRDefault="0055491A" w:rsidP="00210BF6">
            <w:pPr>
              <w:jc w:val="center"/>
            </w:pPr>
            <w:r w:rsidRPr="00E67239">
              <w:t>2</w:t>
            </w:r>
          </w:p>
        </w:tc>
        <w:tc>
          <w:tcPr>
            <w:tcW w:w="1276" w:type="dxa"/>
            <w:gridSpan w:val="2"/>
            <w:tcBorders>
              <w:top w:val="nil"/>
              <w:left w:val="single" w:sz="4" w:space="0" w:color="auto"/>
              <w:bottom w:val="single" w:sz="4" w:space="0" w:color="auto"/>
              <w:right w:val="single" w:sz="4" w:space="0" w:color="auto"/>
            </w:tcBorders>
            <w:shd w:val="clear" w:color="auto" w:fill="auto"/>
            <w:vAlign w:val="center"/>
            <w:hideMark/>
          </w:tcPr>
          <w:p w:rsidR="0055491A" w:rsidRPr="00E67239" w:rsidRDefault="0055491A" w:rsidP="00210BF6">
            <w:pPr>
              <w:jc w:val="center"/>
            </w:pPr>
            <w:r w:rsidRPr="00E67239">
              <w:t>4,5</w:t>
            </w:r>
          </w:p>
        </w:tc>
        <w:tc>
          <w:tcPr>
            <w:tcW w:w="1275" w:type="dxa"/>
            <w:tcBorders>
              <w:top w:val="nil"/>
              <w:left w:val="nil"/>
              <w:bottom w:val="single" w:sz="4" w:space="0" w:color="auto"/>
              <w:right w:val="single" w:sz="4" w:space="0" w:color="auto"/>
            </w:tcBorders>
            <w:shd w:val="clear" w:color="auto" w:fill="auto"/>
            <w:vAlign w:val="center"/>
            <w:hideMark/>
          </w:tcPr>
          <w:p w:rsidR="0055491A" w:rsidRPr="00E67239" w:rsidRDefault="0055491A" w:rsidP="00210BF6">
            <w:pPr>
              <w:jc w:val="center"/>
            </w:pPr>
            <w:r w:rsidRPr="00E67239">
              <w:t>3,0</w:t>
            </w:r>
          </w:p>
        </w:tc>
        <w:tc>
          <w:tcPr>
            <w:tcW w:w="1418" w:type="dxa"/>
            <w:tcBorders>
              <w:top w:val="nil"/>
              <w:left w:val="nil"/>
              <w:bottom w:val="single" w:sz="4" w:space="0" w:color="auto"/>
              <w:right w:val="single" w:sz="4" w:space="0" w:color="auto"/>
            </w:tcBorders>
            <w:shd w:val="clear" w:color="auto" w:fill="auto"/>
            <w:vAlign w:val="center"/>
            <w:hideMark/>
          </w:tcPr>
          <w:p w:rsidR="0055491A" w:rsidRPr="00E67239" w:rsidRDefault="0055491A" w:rsidP="00210BF6">
            <w:pPr>
              <w:jc w:val="center"/>
            </w:pPr>
            <w:r w:rsidRPr="00E67239">
              <w:t>3,0</w:t>
            </w:r>
          </w:p>
        </w:tc>
      </w:tr>
      <w:tr w:rsidR="0055491A" w:rsidTr="00210BF6">
        <w:trPr>
          <w:gridAfter w:val="1"/>
          <w:wAfter w:w="10" w:type="dxa"/>
          <w:trHeight w:val="255"/>
        </w:trPr>
        <w:tc>
          <w:tcPr>
            <w:tcW w:w="1124" w:type="dxa"/>
            <w:tcBorders>
              <w:top w:val="nil"/>
              <w:left w:val="single" w:sz="8" w:space="0" w:color="auto"/>
              <w:bottom w:val="single" w:sz="4" w:space="0" w:color="auto"/>
              <w:right w:val="single" w:sz="8" w:space="0" w:color="auto"/>
            </w:tcBorders>
            <w:shd w:val="clear" w:color="auto" w:fill="auto"/>
            <w:noWrap/>
            <w:hideMark/>
          </w:tcPr>
          <w:p w:rsidR="0055491A" w:rsidRPr="001C4642" w:rsidRDefault="0055491A" w:rsidP="00210BF6">
            <w:pPr>
              <w:jc w:val="center"/>
            </w:pPr>
            <w:r w:rsidRPr="001C4642">
              <w:t>2</w:t>
            </w:r>
          </w:p>
        </w:tc>
        <w:tc>
          <w:tcPr>
            <w:tcW w:w="1319" w:type="dxa"/>
            <w:tcBorders>
              <w:top w:val="nil"/>
              <w:left w:val="nil"/>
              <w:bottom w:val="single" w:sz="8" w:space="0" w:color="auto"/>
              <w:right w:val="single" w:sz="8" w:space="0" w:color="auto"/>
            </w:tcBorders>
            <w:shd w:val="clear" w:color="auto" w:fill="auto"/>
            <w:noWrap/>
            <w:vAlign w:val="center"/>
          </w:tcPr>
          <w:p w:rsidR="0055491A" w:rsidRPr="00E67239" w:rsidRDefault="0055491A" w:rsidP="00210BF6">
            <w:pPr>
              <w:jc w:val="center"/>
            </w:pPr>
            <w:r w:rsidRPr="00E67239">
              <w:t>17</w:t>
            </w:r>
          </w:p>
        </w:tc>
        <w:tc>
          <w:tcPr>
            <w:tcW w:w="1467" w:type="dxa"/>
            <w:tcBorders>
              <w:top w:val="nil"/>
              <w:left w:val="nil"/>
              <w:bottom w:val="single" w:sz="8" w:space="0" w:color="auto"/>
              <w:right w:val="single" w:sz="8" w:space="0" w:color="auto"/>
            </w:tcBorders>
            <w:shd w:val="clear" w:color="auto" w:fill="auto"/>
            <w:noWrap/>
            <w:vAlign w:val="center"/>
          </w:tcPr>
          <w:p w:rsidR="0055491A" w:rsidRPr="00E67239" w:rsidRDefault="0055491A" w:rsidP="00210BF6">
            <w:pPr>
              <w:jc w:val="center"/>
            </w:pPr>
            <w:r w:rsidRPr="00E67239">
              <w:t>17</w:t>
            </w:r>
          </w:p>
        </w:tc>
        <w:tc>
          <w:tcPr>
            <w:tcW w:w="1467" w:type="dxa"/>
            <w:tcBorders>
              <w:top w:val="nil"/>
              <w:left w:val="nil"/>
              <w:bottom w:val="single" w:sz="4" w:space="0" w:color="auto"/>
              <w:right w:val="single" w:sz="4" w:space="0" w:color="auto"/>
            </w:tcBorders>
            <w:shd w:val="clear" w:color="auto" w:fill="auto"/>
            <w:vAlign w:val="center"/>
          </w:tcPr>
          <w:p w:rsidR="0055491A" w:rsidRPr="00E67239" w:rsidRDefault="0055491A" w:rsidP="00210BF6">
            <w:pPr>
              <w:jc w:val="center"/>
            </w:pPr>
            <w:r w:rsidRPr="00E67239">
              <w:t>19</w:t>
            </w:r>
          </w:p>
        </w:tc>
        <w:tc>
          <w:tcPr>
            <w:tcW w:w="1276" w:type="dxa"/>
            <w:gridSpan w:val="2"/>
            <w:tcBorders>
              <w:top w:val="nil"/>
              <w:left w:val="single" w:sz="4" w:space="0" w:color="auto"/>
              <w:bottom w:val="single" w:sz="4" w:space="0" w:color="auto"/>
              <w:right w:val="single" w:sz="4" w:space="0" w:color="auto"/>
            </w:tcBorders>
            <w:shd w:val="clear" w:color="auto" w:fill="auto"/>
            <w:vAlign w:val="center"/>
            <w:hideMark/>
          </w:tcPr>
          <w:p w:rsidR="0055491A" w:rsidRPr="00E67239" w:rsidRDefault="0055491A" w:rsidP="00210BF6">
            <w:pPr>
              <w:jc w:val="center"/>
            </w:pPr>
            <w:r w:rsidRPr="00E67239">
              <w:t>34,0</w:t>
            </w:r>
          </w:p>
        </w:tc>
        <w:tc>
          <w:tcPr>
            <w:tcW w:w="1275" w:type="dxa"/>
            <w:tcBorders>
              <w:top w:val="nil"/>
              <w:left w:val="nil"/>
              <w:bottom w:val="single" w:sz="4" w:space="0" w:color="auto"/>
              <w:right w:val="single" w:sz="4" w:space="0" w:color="auto"/>
            </w:tcBorders>
            <w:shd w:val="clear" w:color="auto" w:fill="auto"/>
            <w:vAlign w:val="center"/>
            <w:hideMark/>
          </w:tcPr>
          <w:p w:rsidR="0055491A" w:rsidRPr="00E67239" w:rsidRDefault="0055491A" w:rsidP="00210BF6">
            <w:pPr>
              <w:jc w:val="center"/>
            </w:pPr>
            <w:r w:rsidRPr="00E67239">
              <w:t>34,0</w:t>
            </w:r>
          </w:p>
        </w:tc>
        <w:tc>
          <w:tcPr>
            <w:tcW w:w="1418" w:type="dxa"/>
            <w:tcBorders>
              <w:top w:val="nil"/>
              <w:left w:val="nil"/>
              <w:bottom w:val="single" w:sz="4" w:space="0" w:color="auto"/>
              <w:right w:val="single" w:sz="4" w:space="0" w:color="auto"/>
            </w:tcBorders>
            <w:shd w:val="clear" w:color="auto" w:fill="auto"/>
            <w:vAlign w:val="center"/>
            <w:hideMark/>
          </w:tcPr>
          <w:p w:rsidR="0055491A" w:rsidRPr="00E67239" w:rsidRDefault="0055491A" w:rsidP="00210BF6">
            <w:pPr>
              <w:jc w:val="center"/>
            </w:pPr>
            <w:r w:rsidRPr="00E67239">
              <w:t>38,0</w:t>
            </w:r>
          </w:p>
        </w:tc>
      </w:tr>
      <w:tr w:rsidR="0055491A" w:rsidTr="00210BF6">
        <w:trPr>
          <w:gridAfter w:val="1"/>
          <w:wAfter w:w="10" w:type="dxa"/>
          <w:trHeight w:val="255"/>
        </w:trPr>
        <w:tc>
          <w:tcPr>
            <w:tcW w:w="1124" w:type="dxa"/>
            <w:tcBorders>
              <w:top w:val="nil"/>
              <w:left w:val="single" w:sz="8" w:space="0" w:color="auto"/>
              <w:bottom w:val="single" w:sz="4" w:space="0" w:color="auto"/>
              <w:right w:val="single" w:sz="8" w:space="0" w:color="auto"/>
            </w:tcBorders>
            <w:shd w:val="clear" w:color="auto" w:fill="auto"/>
            <w:noWrap/>
            <w:hideMark/>
          </w:tcPr>
          <w:p w:rsidR="0055491A" w:rsidRPr="001C4642" w:rsidRDefault="0055491A" w:rsidP="00210BF6">
            <w:pPr>
              <w:jc w:val="center"/>
            </w:pPr>
            <w:r w:rsidRPr="001C4642">
              <w:t>2,5</w:t>
            </w:r>
          </w:p>
        </w:tc>
        <w:tc>
          <w:tcPr>
            <w:tcW w:w="1319" w:type="dxa"/>
            <w:tcBorders>
              <w:top w:val="nil"/>
              <w:left w:val="nil"/>
              <w:bottom w:val="single" w:sz="8" w:space="0" w:color="auto"/>
              <w:right w:val="single" w:sz="8" w:space="0" w:color="auto"/>
            </w:tcBorders>
            <w:shd w:val="clear" w:color="auto" w:fill="auto"/>
            <w:noWrap/>
            <w:vAlign w:val="center"/>
          </w:tcPr>
          <w:p w:rsidR="0055491A" w:rsidRPr="00E67239" w:rsidRDefault="0055491A" w:rsidP="00210BF6">
            <w:pPr>
              <w:jc w:val="center"/>
            </w:pPr>
            <w:r w:rsidRPr="00E67239">
              <w:t>1</w:t>
            </w:r>
          </w:p>
        </w:tc>
        <w:tc>
          <w:tcPr>
            <w:tcW w:w="1467" w:type="dxa"/>
            <w:tcBorders>
              <w:top w:val="nil"/>
              <w:left w:val="nil"/>
              <w:bottom w:val="single" w:sz="8" w:space="0" w:color="auto"/>
              <w:right w:val="single" w:sz="8" w:space="0" w:color="auto"/>
            </w:tcBorders>
            <w:shd w:val="clear" w:color="auto" w:fill="auto"/>
            <w:noWrap/>
            <w:vAlign w:val="center"/>
          </w:tcPr>
          <w:p w:rsidR="0055491A" w:rsidRPr="00E67239" w:rsidRDefault="0055491A" w:rsidP="00210BF6">
            <w:pPr>
              <w:jc w:val="center"/>
            </w:pPr>
            <w:r w:rsidRPr="00E67239">
              <w:t>1</w:t>
            </w:r>
          </w:p>
        </w:tc>
        <w:tc>
          <w:tcPr>
            <w:tcW w:w="1467" w:type="dxa"/>
            <w:tcBorders>
              <w:top w:val="nil"/>
              <w:left w:val="nil"/>
              <w:bottom w:val="single" w:sz="4" w:space="0" w:color="auto"/>
              <w:right w:val="single" w:sz="4" w:space="0" w:color="auto"/>
            </w:tcBorders>
            <w:shd w:val="clear" w:color="auto" w:fill="auto"/>
            <w:vAlign w:val="center"/>
          </w:tcPr>
          <w:p w:rsidR="0055491A" w:rsidRPr="00E67239" w:rsidRDefault="0055491A" w:rsidP="00210BF6">
            <w:pPr>
              <w:jc w:val="center"/>
            </w:pPr>
            <w:r w:rsidRPr="00E67239">
              <w:t>1</w:t>
            </w:r>
          </w:p>
        </w:tc>
        <w:tc>
          <w:tcPr>
            <w:tcW w:w="1276" w:type="dxa"/>
            <w:gridSpan w:val="2"/>
            <w:tcBorders>
              <w:top w:val="nil"/>
              <w:left w:val="single" w:sz="4" w:space="0" w:color="auto"/>
              <w:bottom w:val="single" w:sz="4" w:space="0" w:color="auto"/>
              <w:right w:val="single" w:sz="4" w:space="0" w:color="auto"/>
            </w:tcBorders>
            <w:shd w:val="clear" w:color="auto" w:fill="auto"/>
            <w:vAlign w:val="center"/>
            <w:hideMark/>
          </w:tcPr>
          <w:p w:rsidR="0055491A" w:rsidRPr="00E67239" w:rsidRDefault="0055491A" w:rsidP="00210BF6">
            <w:pPr>
              <w:jc w:val="center"/>
            </w:pPr>
            <w:r w:rsidRPr="00E67239">
              <w:t>2,5</w:t>
            </w:r>
          </w:p>
        </w:tc>
        <w:tc>
          <w:tcPr>
            <w:tcW w:w="1275" w:type="dxa"/>
            <w:tcBorders>
              <w:top w:val="nil"/>
              <w:left w:val="nil"/>
              <w:bottom w:val="single" w:sz="4" w:space="0" w:color="auto"/>
              <w:right w:val="single" w:sz="4" w:space="0" w:color="auto"/>
            </w:tcBorders>
            <w:shd w:val="clear" w:color="auto" w:fill="auto"/>
            <w:vAlign w:val="center"/>
            <w:hideMark/>
          </w:tcPr>
          <w:p w:rsidR="0055491A" w:rsidRPr="00E67239" w:rsidRDefault="0055491A" w:rsidP="00210BF6">
            <w:pPr>
              <w:jc w:val="center"/>
            </w:pPr>
            <w:r w:rsidRPr="00E67239">
              <w:t>2,5</w:t>
            </w:r>
          </w:p>
        </w:tc>
        <w:tc>
          <w:tcPr>
            <w:tcW w:w="1418" w:type="dxa"/>
            <w:tcBorders>
              <w:top w:val="nil"/>
              <w:left w:val="nil"/>
              <w:bottom w:val="single" w:sz="4" w:space="0" w:color="auto"/>
              <w:right w:val="single" w:sz="4" w:space="0" w:color="auto"/>
            </w:tcBorders>
            <w:shd w:val="clear" w:color="auto" w:fill="auto"/>
            <w:vAlign w:val="center"/>
            <w:hideMark/>
          </w:tcPr>
          <w:p w:rsidR="0055491A" w:rsidRPr="00E67239" w:rsidRDefault="0055491A" w:rsidP="00210BF6">
            <w:pPr>
              <w:jc w:val="center"/>
            </w:pPr>
            <w:r w:rsidRPr="00E67239">
              <w:t>2,5</w:t>
            </w:r>
          </w:p>
        </w:tc>
      </w:tr>
      <w:tr w:rsidR="0055491A" w:rsidTr="00210BF6">
        <w:trPr>
          <w:gridAfter w:val="1"/>
          <w:wAfter w:w="10" w:type="dxa"/>
          <w:trHeight w:val="255"/>
        </w:trPr>
        <w:tc>
          <w:tcPr>
            <w:tcW w:w="1124" w:type="dxa"/>
            <w:tcBorders>
              <w:top w:val="nil"/>
              <w:left w:val="single" w:sz="8" w:space="0" w:color="auto"/>
              <w:bottom w:val="single" w:sz="4" w:space="0" w:color="auto"/>
              <w:right w:val="single" w:sz="8" w:space="0" w:color="auto"/>
            </w:tcBorders>
            <w:shd w:val="clear" w:color="auto" w:fill="auto"/>
            <w:noWrap/>
          </w:tcPr>
          <w:p w:rsidR="0055491A" w:rsidRPr="001C4642" w:rsidRDefault="0055491A" w:rsidP="00210BF6">
            <w:pPr>
              <w:jc w:val="center"/>
            </w:pPr>
            <w:r w:rsidRPr="001C4642">
              <w:t>3</w:t>
            </w:r>
          </w:p>
        </w:tc>
        <w:tc>
          <w:tcPr>
            <w:tcW w:w="1319" w:type="dxa"/>
            <w:tcBorders>
              <w:top w:val="nil"/>
              <w:left w:val="nil"/>
              <w:bottom w:val="single" w:sz="8" w:space="0" w:color="auto"/>
              <w:right w:val="single" w:sz="8" w:space="0" w:color="auto"/>
            </w:tcBorders>
            <w:shd w:val="clear" w:color="auto" w:fill="auto"/>
            <w:noWrap/>
            <w:vAlign w:val="center"/>
          </w:tcPr>
          <w:p w:rsidR="0055491A" w:rsidRPr="00E67239" w:rsidRDefault="0055491A" w:rsidP="00210BF6">
            <w:pPr>
              <w:jc w:val="center"/>
            </w:pPr>
            <w:r w:rsidRPr="00E67239">
              <w:t>71</w:t>
            </w:r>
          </w:p>
        </w:tc>
        <w:tc>
          <w:tcPr>
            <w:tcW w:w="1467" w:type="dxa"/>
            <w:tcBorders>
              <w:top w:val="nil"/>
              <w:left w:val="nil"/>
              <w:bottom w:val="single" w:sz="8" w:space="0" w:color="auto"/>
              <w:right w:val="single" w:sz="8" w:space="0" w:color="auto"/>
            </w:tcBorders>
            <w:shd w:val="clear" w:color="auto" w:fill="auto"/>
            <w:noWrap/>
            <w:vAlign w:val="center"/>
          </w:tcPr>
          <w:p w:rsidR="0055491A" w:rsidRPr="00E67239" w:rsidRDefault="0055491A" w:rsidP="00210BF6">
            <w:pPr>
              <w:jc w:val="center"/>
            </w:pPr>
            <w:r w:rsidRPr="00E67239">
              <w:t>75</w:t>
            </w:r>
          </w:p>
        </w:tc>
        <w:tc>
          <w:tcPr>
            <w:tcW w:w="1467" w:type="dxa"/>
            <w:tcBorders>
              <w:top w:val="nil"/>
              <w:left w:val="nil"/>
              <w:bottom w:val="single" w:sz="4" w:space="0" w:color="auto"/>
              <w:right w:val="single" w:sz="4" w:space="0" w:color="auto"/>
            </w:tcBorders>
            <w:shd w:val="clear" w:color="auto" w:fill="auto"/>
            <w:vAlign w:val="center"/>
          </w:tcPr>
          <w:p w:rsidR="0055491A" w:rsidRPr="00E67239" w:rsidRDefault="0055491A" w:rsidP="00210BF6">
            <w:pPr>
              <w:jc w:val="center"/>
            </w:pPr>
            <w:r w:rsidRPr="00E67239">
              <w:t>71</w:t>
            </w:r>
          </w:p>
        </w:tc>
        <w:tc>
          <w:tcPr>
            <w:tcW w:w="1276" w:type="dxa"/>
            <w:gridSpan w:val="2"/>
            <w:tcBorders>
              <w:top w:val="nil"/>
              <w:left w:val="single" w:sz="4" w:space="0" w:color="auto"/>
              <w:bottom w:val="single" w:sz="4" w:space="0" w:color="auto"/>
              <w:right w:val="single" w:sz="4" w:space="0" w:color="auto"/>
            </w:tcBorders>
            <w:shd w:val="clear" w:color="auto" w:fill="auto"/>
            <w:vAlign w:val="center"/>
          </w:tcPr>
          <w:p w:rsidR="0055491A" w:rsidRPr="00E67239" w:rsidRDefault="0055491A" w:rsidP="00210BF6">
            <w:pPr>
              <w:jc w:val="center"/>
            </w:pPr>
            <w:r w:rsidRPr="00E67239">
              <w:t>213,0</w:t>
            </w:r>
          </w:p>
        </w:tc>
        <w:tc>
          <w:tcPr>
            <w:tcW w:w="1275" w:type="dxa"/>
            <w:tcBorders>
              <w:top w:val="nil"/>
              <w:left w:val="nil"/>
              <w:bottom w:val="single" w:sz="4" w:space="0" w:color="auto"/>
              <w:right w:val="single" w:sz="4" w:space="0" w:color="auto"/>
            </w:tcBorders>
            <w:shd w:val="clear" w:color="auto" w:fill="auto"/>
            <w:vAlign w:val="center"/>
          </w:tcPr>
          <w:p w:rsidR="0055491A" w:rsidRPr="00E67239" w:rsidRDefault="0055491A" w:rsidP="00210BF6">
            <w:pPr>
              <w:jc w:val="center"/>
            </w:pPr>
            <w:r w:rsidRPr="00E67239">
              <w:t>225,0</w:t>
            </w:r>
          </w:p>
        </w:tc>
        <w:tc>
          <w:tcPr>
            <w:tcW w:w="1418" w:type="dxa"/>
            <w:tcBorders>
              <w:top w:val="nil"/>
              <w:left w:val="nil"/>
              <w:bottom w:val="single" w:sz="4" w:space="0" w:color="auto"/>
              <w:right w:val="single" w:sz="4" w:space="0" w:color="auto"/>
            </w:tcBorders>
            <w:shd w:val="clear" w:color="auto" w:fill="auto"/>
            <w:vAlign w:val="center"/>
          </w:tcPr>
          <w:p w:rsidR="0055491A" w:rsidRPr="00E67239" w:rsidRDefault="0055491A" w:rsidP="00210BF6">
            <w:pPr>
              <w:jc w:val="center"/>
            </w:pPr>
            <w:r w:rsidRPr="00E67239">
              <w:t>213,0</w:t>
            </w:r>
          </w:p>
        </w:tc>
      </w:tr>
      <w:tr w:rsidR="0055491A" w:rsidTr="00210BF6">
        <w:trPr>
          <w:gridAfter w:val="1"/>
          <w:wAfter w:w="10" w:type="dxa"/>
          <w:trHeight w:val="255"/>
        </w:trPr>
        <w:tc>
          <w:tcPr>
            <w:tcW w:w="1124" w:type="dxa"/>
            <w:tcBorders>
              <w:top w:val="nil"/>
              <w:left w:val="single" w:sz="8" w:space="0" w:color="auto"/>
              <w:bottom w:val="single" w:sz="4" w:space="0" w:color="auto"/>
              <w:right w:val="single" w:sz="8" w:space="0" w:color="auto"/>
            </w:tcBorders>
            <w:shd w:val="clear" w:color="auto" w:fill="auto"/>
            <w:hideMark/>
          </w:tcPr>
          <w:p w:rsidR="0055491A" w:rsidRPr="001C4642" w:rsidRDefault="0055491A" w:rsidP="00210BF6">
            <w:pPr>
              <w:jc w:val="center"/>
            </w:pPr>
            <w:r w:rsidRPr="001C4642">
              <w:t>4</w:t>
            </w:r>
          </w:p>
        </w:tc>
        <w:tc>
          <w:tcPr>
            <w:tcW w:w="1319" w:type="dxa"/>
            <w:tcBorders>
              <w:top w:val="nil"/>
              <w:left w:val="nil"/>
              <w:bottom w:val="single" w:sz="8" w:space="0" w:color="auto"/>
              <w:right w:val="single" w:sz="8" w:space="0" w:color="auto"/>
            </w:tcBorders>
            <w:shd w:val="clear" w:color="auto" w:fill="auto"/>
            <w:noWrap/>
            <w:vAlign w:val="center"/>
          </w:tcPr>
          <w:p w:rsidR="0055491A" w:rsidRPr="00E67239" w:rsidRDefault="0055491A" w:rsidP="00210BF6">
            <w:pPr>
              <w:jc w:val="center"/>
            </w:pPr>
            <w:r w:rsidRPr="00E67239">
              <w:t>9</w:t>
            </w:r>
          </w:p>
        </w:tc>
        <w:tc>
          <w:tcPr>
            <w:tcW w:w="1467" w:type="dxa"/>
            <w:tcBorders>
              <w:top w:val="nil"/>
              <w:left w:val="nil"/>
              <w:bottom w:val="single" w:sz="8" w:space="0" w:color="auto"/>
              <w:right w:val="single" w:sz="8" w:space="0" w:color="auto"/>
            </w:tcBorders>
            <w:shd w:val="clear" w:color="auto" w:fill="auto"/>
            <w:noWrap/>
            <w:vAlign w:val="center"/>
          </w:tcPr>
          <w:p w:rsidR="0055491A" w:rsidRPr="00E67239" w:rsidRDefault="0055491A" w:rsidP="00210BF6">
            <w:pPr>
              <w:jc w:val="center"/>
            </w:pPr>
            <w:r w:rsidRPr="00E67239">
              <w:t>10</w:t>
            </w:r>
          </w:p>
        </w:tc>
        <w:tc>
          <w:tcPr>
            <w:tcW w:w="1467" w:type="dxa"/>
            <w:tcBorders>
              <w:top w:val="nil"/>
              <w:left w:val="nil"/>
              <w:bottom w:val="single" w:sz="4" w:space="0" w:color="auto"/>
              <w:right w:val="single" w:sz="4" w:space="0" w:color="auto"/>
            </w:tcBorders>
            <w:shd w:val="clear" w:color="auto" w:fill="auto"/>
            <w:vAlign w:val="center"/>
          </w:tcPr>
          <w:p w:rsidR="0055491A" w:rsidRPr="00E67239" w:rsidRDefault="0055491A" w:rsidP="00210BF6">
            <w:pPr>
              <w:jc w:val="center"/>
            </w:pPr>
            <w:r w:rsidRPr="00E67239">
              <w:t>13</w:t>
            </w:r>
          </w:p>
        </w:tc>
        <w:tc>
          <w:tcPr>
            <w:tcW w:w="1276" w:type="dxa"/>
            <w:gridSpan w:val="2"/>
            <w:tcBorders>
              <w:top w:val="nil"/>
              <w:left w:val="single" w:sz="4" w:space="0" w:color="auto"/>
              <w:bottom w:val="single" w:sz="4" w:space="0" w:color="auto"/>
              <w:right w:val="single" w:sz="4" w:space="0" w:color="auto"/>
            </w:tcBorders>
            <w:shd w:val="clear" w:color="auto" w:fill="auto"/>
            <w:vAlign w:val="center"/>
            <w:hideMark/>
          </w:tcPr>
          <w:p w:rsidR="0055491A" w:rsidRPr="00E67239" w:rsidRDefault="0055491A" w:rsidP="00210BF6">
            <w:pPr>
              <w:jc w:val="center"/>
            </w:pPr>
            <w:r w:rsidRPr="00E67239">
              <w:t>36,0</w:t>
            </w:r>
          </w:p>
        </w:tc>
        <w:tc>
          <w:tcPr>
            <w:tcW w:w="1275" w:type="dxa"/>
            <w:tcBorders>
              <w:top w:val="nil"/>
              <w:left w:val="nil"/>
              <w:bottom w:val="single" w:sz="4" w:space="0" w:color="auto"/>
              <w:right w:val="single" w:sz="4" w:space="0" w:color="auto"/>
            </w:tcBorders>
            <w:shd w:val="clear" w:color="auto" w:fill="auto"/>
            <w:vAlign w:val="center"/>
            <w:hideMark/>
          </w:tcPr>
          <w:p w:rsidR="0055491A" w:rsidRPr="00E67239" w:rsidRDefault="0055491A" w:rsidP="00210BF6">
            <w:pPr>
              <w:jc w:val="center"/>
            </w:pPr>
            <w:r w:rsidRPr="00E67239">
              <w:t>40,0</w:t>
            </w:r>
          </w:p>
        </w:tc>
        <w:tc>
          <w:tcPr>
            <w:tcW w:w="1418" w:type="dxa"/>
            <w:tcBorders>
              <w:top w:val="nil"/>
              <w:left w:val="nil"/>
              <w:bottom w:val="single" w:sz="4" w:space="0" w:color="auto"/>
              <w:right w:val="single" w:sz="4" w:space="0" w:color="auto"/>
            </w:tcBorders>
            <w:shd w:val="clear" w:color="auto" w:fill="auto"/>
            <w:vAlign w:val="center"/>
            <w:hideMark/>
          </w:tcPr>
          <w:p w:rsidR="0055491A" w:rsidRPr="00E67239" w:rsidRDefault="0055491A" w:rsidP="00210BF6">
            <w:pPr>
              <w:jc w:val="center"/>
            </w:pPr>
            <w:r w:rsidRPr="00E67239">
              <w:t>52,0</w:t>
            </w:r>
          </w:p>
        </w:tc>
      </w:tr>
      <w:tr w:rsidR="0055491A" w:rsidTr="00210BF6">
        <w:trPr>
          <w:gridAfter w:val="1"/>
          <w:wAfter w:w="10" w:type="dxa"/>
          <w:trHeight w:val="255"/>
        </w:trPr>
        <w:tc>
          <w:tcPr>
            <w:tcW w:w="1124" w:type="dxa"/>
            <w:tcBorders>
              <w:top w:val="nil"/>
              <w:left w:val="single" w:sz="8" w:space="0" w:color="auto"/>
              <w:bottom w:val="single" w:sz="4" w:space="0" w:color="auto"/>
              <w:right w:val="single" w:sz="8" w:space="0" w:color="auto"/>
            </w:tcBorders>
            <w:shd w:val="clear" w:color="auto" w:fill="auto"/>
            <w:hideMark/>
          </w:tcPr>
          <w:p w:rsidR="0055491A" w:rsidRPr="001C4642" w:rsidRDefault="0055491A" w:rsidP="00210BF6">
            <w:pPr>
              <w:jc w:val="center"/>
            </w:pPr>
            <w:r w:rsidRPr="001C4642">
              <w:t>5</w:t>
            </w:r>
          </w:p>
        </w:tc>
        <w:tc>
          <w:tcPr>
            <w:tcW w:w="1319" w:type="dxa"/>
            <w:tcBorders>
              <w:top w:val="nil"/>
              <w:left w:val="nil"/>
              <w:bottom w:val="single" w:sz="8" w:space="0" w:color="auto"/>
              <w:right w:val="single" w:sz="8" w:space="0" w:color="auto"/>
            </w:tcBorders>
            <w:shd w:val="clear" w:color="auto" w:fill="auto"/>
            <w:noWrap/>
            <w:vAlign w:val="center"/>
          </w:tcPr>
          <w:p w:rsidR="0055491A" w:rsidRPr="00E67239" w:rsidRDefault="0055491A" w:rsidP="00210BF6">
            <w:pPr>
              <w:jc w:val="center"/>
            </w:pPr>
            <w:r w:rsidRPr="00E67239">
              <w:t>7</w:t>
            </w:r>
          </w:p>
        </w:tc>
        <w:tc>
          <w:tcPr>
            <w:tcW w:w="1467" w:type="dxa"/>
            <w:tcBorders>
              <w:top w:val="nil"/>
              <w:left w:val="nil"/>
              <w:bottom w:val="single" w:sz="8" w:space="0" w:color="auto"/>
              <w:right w:val="single" w:sz="8" w:space="0" w:color="auto"/>
            </w:tcBorders>
            <w:shd w:val="clear" w:color="auto" w:fill="auto"/>
            <w:noWrap/>
            <w:vAlign w:val="center"/>
          </w:tcPr>
          <w:p w:rsidR="0055491A" w:rsidRPr="00E67239" w:rsidRDefault="0055491A" w:rsidP="00210BF6">
            <w:pPr>
              <w:jc w:val="center"/>
            </w:pPr>
            <w:r w:rsidRPr="00E67239">
              <w:t>6</w:t>
            </w:r>
          </w:p>
        </w:tc>
        <w:tc>
          <w:tcPr>
            <w:tcW w:w="1467" w:type="dxa"/>
            <w:tcBorders>
              <w:top w:val="nil"/>
              <w:left w:val="nil"/>
              <w:bottom w:val="single" w:sz="4" w:space="0" w:color="auto"/>
              <w:right w:val="single" w:sz="4" w:space="0" w:color="auto"/>
            </w:tcBorders>
            <w:shd w:val="clear" w:color="auto" w:fill="auto"/>
            <w:vAlign w:val="center"/>
          </w:tcPr>
          <w:p w:rsidR="0055491A" w:rsidRPr="00E67239" w:rsidRDefault="0055491A" w:rsidP="00210BF6">
            <w:pPr>
              <w:jc w:val="center"/>
            </w:pPr>
            <w:r w:rsidRPr="00E67239">
              <w:t>7</w:t>
            </w:r>
          </w:p>
        </w:tc>
        <w:tc>
          <w:tcPr>
            <w:tcW w:w="1276" w:type="dxa"/>
            <w:gridSpan w:val="2"/>
            <w:tcBorders>
              <w:top w:val="nil"/>
              <w:left w:val="single" w:sz="4" w:space="0" w:color="auto"/>
              <w:bottom w:val="single" w:sz="4" w:space="0" w:color="auto"/>
              <w:right w:val="single" w:sz="4" w:space="0" w:color="auto"/>
            </w:tcBorders>
            <w:shd w:val="clear" w:color="auto" w:fill="auto"/>
            <w:vAlign w:val="center"/>
            <w:hideMark/>
          </w:tcPr>
          <w:p w:rsidR="0055491A" w:rsidRPr="00E67239" w:rsidRDefault="0055491A" w:rsidP="00210BF6">
            <w:pPr>
              <w:jc w:val="center"/>
            </w:pPr>
            <w:r w:rsidRPr="00E67239">
              <w:t>35,0</w:t>
            </w:r>
          </w:p>
        </w:tc>
        <w:tc>
          <w:tcPr>
            <w:tcW w:w="1275" w:type="dxa"/>
            <w:tcBorders>
              <w:top w:val="nil"/>
              <w:left w:val="nil"/>
              <w:bottom w:val="single" w:sz="4" w:space="0" w:color="auto"/>
              <w:right w:val="single" w:sz="4" w:space="0" w:color="auto"/>
            </w:tcBorders>
            <w:shd w:val="clear" w:color="auto" w:fill="auto"/>
            <w:vAlign w:val="center"/>
            <w:hideMark/>
          </w:tcPr>
          <w:p w:rsidR="0055491A" w:rsidRPr="00E67239" w:rsidRDefault="0055491A" w:rsidP="00210BF6">
            <w:pPr>
              <w:jc w:val="center"/>
            </w:pPr>
            <w:r w:rsidRPr="00E67239">
              <w:t>30,0</w:t>
            </w:r>
          </w:p>
        </w:tc>
        <w:tc>
          <w:tcPr>
            <w:tcW w:w="1418" w:type="dxa"/>
            <w:tcBorders>
              <w:top w:val="nil"/>
              <w:left w:val="nil"/>
              <w:bottom w:val="single" w:sz="4" w:space="0" w:color="auto"/>
              <w:right w:val="single" w:sz="4" w:space="0" w:color="auto"/>
            </w:tcBorders>
            <w:shd w:val="clear" w:color="auto" w:fill="auto"/>
            <w:vAlign w:val="center"/>
            <w:hideMark/>
          </w:tcPr>
          <w:p w:rsidR="0055491A" w:rsidRPr="00E67239" w:rsidRDefault="0055491A" w:rsidP="00210BF6">
            <w:pPr>
              <w:jc w:val="center"/>
            </w:pPr>
            <w:r w:rsidRPr="00E67239">
              <w:t>35,0</w:t>
            </w:r>
          </w:p>
        </w:tc>
      </w:tr>
      <w:tr w:rsidR="0055491A" w:rsidTr="00210BF6">
        <w:trPr>
          <w:gridAfter w:val="1"/>
          <w:wAfter w:w="10" w:type="dxa"/>
          <w:trHeight w:val="255"/>
        </w:trPr>
        <w:tc>
          <w:tcPr>
            <w:tcW w:w="1124" w:type="dxa"/>
            <w:tcBorders>
              <w:top w:val="nil"/>
              <w:left w:val="single" w:sz="8" w:space="0" w:color="auto"/>
              <w:bottom w:val="single" w:sz="4" w:space="0" w:color="auto"/>
              <w:right w:val="single" w:sz="8" w:space="0" w:color="auto"/>
            </w:tcBorders>
            <w:shd w:val="clear" w:color="auto" w:fill="auto"/>
          </w:tcPr>
          <w:p w:rsidR="0055491A" w:rsidRPr="001C4642" w:rsidRDefault="0055491A" w:rsidP="00210BF6">
            <w:pPr>
              <w:jc w:val="center"/>
            </w:pPr>
            <w:r w:rsidRPr="001C4642">
              <w:t>10</w:t>
            </w:r>
          </w:p>
        </w:tc>
        <w:tc>
          <w:tcPr>
            <w:tcW w:w="1319" w:type="dxa"/>
            <w:tcBorders>
              <w:top w:val="nil"/>
              <w:left w:val="nil"/>
              <w:bottom w:val="single" w:sz="8" w:space="0" w:color="auto"/>
              <w:right w:val="single" w:sz="8" w:space="0" w:color="auto"/>
            </w:tcBorders>
            <w:shd w:val="clear" w:color="auto" w:fill="auto"/>
            <w:noWrap/>
            <w:vAlign w:val="center"/>
          </w:tcPr>
          <w:p w:rsidR="0055491A" w:rsidRPr="00E67239" w:rsidRDefault="0055491A" w:rsidP="00210BF6">
            <w:pPr>
              <w:jc w:val="center"/>
            </w:pPr>
            <w:r w:rsidRPr="00E67239">
              <w:t>29</w:t>
            </w:r>
          </w:p>
        </w:tc>
        <w:tc>
          <w:tcPr>
            <w:tcW w:w="1467" w:type="dxa"/>
            <w:tcBorders>
              <w:top w:val="nil"/>
              <w:left w:val="nil"/>
              <w:bottom w:val="single" w:sz="8" w:space="0" w:color="auto"/>
              <w:right w:val="single" w:sz="8" w:space="0" w:color="auto"/>
            </w:tcBorders>
            <w:shd w:val="clear" w:color="auto" w:fill="auto"/>
            <w:noWrap/>
            <w:vAlign w:val="center"/>
          </w:tcPr>
          <w:p w:rsidR="0055491A" w:rsidRPr="00E67239" w:rsidRDefault="0055491A" w:rsidP="00210BF6">
            <w:pPr>
              <w:jc w:val="center"/>
            </w:pPr>
            <w:r w:rsidRPr="00E67239">
              <w:t>25</w:t>
            </w:r>
          </w:p>
        </w:tc>
        <w:tc>
          <w:tcPr>
            <w:tcW w:w="1467" w:type="dxa"/>
            <w:tcBorders>
              <w:top w:val="nil"/>
              <w:left w:val="nil"/>
              <w:bottom w:val="single" w:sz="4" w:space="0" w:color="auto"/>
              <w:right w:val="single" w:sz="4" w:space="0" w:color="auto"/>
            </w:tcBorders>
            <w:shd w:val="clear" w:color="auto" w:fill="auto"/>
            <w:vAlign w:val="center"/>
          </w:tcPr>
          <w:p w:rsidR="0055491A" w:rsidRPr="00E67239" w:rsidRDefault="0055491A" w:rsidP="00210BF6">
            <w:pPr>
              <w:jc w:val="center"/>
            </w:pPr>
            <w:r w:rsidRPr="00E67239">
              <w:t>28</w:t>
            </w:r>
          </w:p>
        </w:tc>
        <w:tc>
          <w:tcPr>
            <w:tcW w:w="1276" w:type="dxa"/>
            <w:gridSpan w:val="2"/>
            <w:tcBorders>
              <w:top w:val="nil"/>
              <w:left w:val="single" w:sz="4" w:space="0" w:color="auto"/>
              <w:bottom w:val="single" w:sz="4" w:space="0" w:color="auto"/>
              <w:right w:val="single" w:sz="4" w:space="0" w:color="auto"/>
            </w:tcBorders>
            <w:shd w:val="clear" w:color="auto" w:fill="auto"/>
            <w:vAlign w:val="center"/>
          </w:tcPr>
          <w:p w:rsidR="0055491A" w:rsidRPr="00E67239" w:rsidRDefault="0055491A" w:rsidP="00210BF6">
            <w:pPr>
              <w:jc w:val="center"/>
            </w:pPr>
            <w:r w:rsidRPr="00E67239">
              <w:t>290,0</w:t>
            </w:r>
          </w:p>
        </w:tc>
        <w:tc>
          <w:tcPr>
            <w:tcW w:w="1275" w:type="dxa"/>
            <w:tcBorders>
              <w:top w:val="nil"/>
              <w:left w:val="nil"/>
              <w:bottom w:val="single" w:sz="4" w:space="0" w:color="auto"/>
              <w:right w:val="single" w:sz="4" w:space="0" w:color="auto"/>
            </w:tcBorders>
            <w:shd w:val="clear" w:color="auto" w:fill="auto"/>
            <w:vAlign w:val="center"/>
          </w:tcPr>
          <w:p w:rsidR="0055491A" w:rsidRPr="00E67239" w:rsidRDefault="0055491A" w:rsidP="00210BF6">
            <w:pPr>
              <w:jc w:val="center"/>
            </w:pPr>
            <w:r w:rsidRPr="00E67239">
              <w:t>250,0</w:t>
            </w:r>
          </w:p>
        </w:tc>
        <w:tc>
          <w:tcPr>
            <w:tcW w:w="1418" w:type="dxa"/>
            <w:tcBorders>
              <w:top w:val="nil"/>
              <w:left w:val="nil"/>
              <w:bottom w:val="single" w:sz="4" w:space="0" w:color="auto"/>
              <w:right w:val="single" w:sz="4" w:space="0" w:color="auto"/>
            </w:tcBorders>
            <w:shd w:val="clear" w:color="auto" w:fill="auto"/>
            <w:vAlign w:val="center"/>
          </w:tcPr>
          <w:p w:rsidR="0055491A" w:rsidRPr="00E67239" w:rsidRDefault="0055491A" w:rsidP="00210BF6">
            <w:pPr>
              <w:jc w:val="center"/>
            </w:pPr>
            <w:r w:rsidRPr="00E67239">
              <w:t>280,0</w:t>
            </w:r>
          </w:p>
        </w:tc>
      </w:tr>
      <w:tr w:rsidR="0055491A" w:rsidTr="00210BF6">
        <w:trPr>
          <w:gridAfter w:val="1"/>
          <w:wAfter w:w="10" w:type="dxa"/>
          <w:trHeight w:val="255"/>
        </w:trPr>
        <w:tc>
          <w:tcPr>
            <w:tcW w:w="1124" w:type="dxa"/>
            <w:tcBorders>
              <w:top w:val="nil"/>
              <w:left w:val="single" w:sz="8" w:space="0" w:color="auto"/>
              <w:bottom w:val="single" w:sz="4" w:space="0" w:color="auto"/>
              <w:right w:val="single" w:sz="8" w:space="0" w:color="auto"/>
            </w:tcBorders>
            <w:shd w:val="clear" w:color="auto" w:fill="auto"/>
          </w:tcPr>
          <w:p w:rsidR="0055491A" w:rsidRPr="001C4642" w:rsidRDefault="0055491A" w:rsidP="00210BF6">
            <w:pPr>
              <w:jc w:val="center"/>
            </w:pPr>
            <w:r w:rsidRPr="001C4642">
              <w:t>10,5</w:t>
            </w:r>
          </w:p>
        </w:tc>
        <w:tc>
          <w:tcPr>
            <w:tcW w:w="1319" w:type="dxa"/>
            <w:tcBorders>
              <w:top w:val="nil"/>
              <w:left w:val="nil"/>
              <w:bottom w:val="single" w:sz="8" w:space="0" w:color="auto"/>
              <w:right w:val="single" w:sz="8" w:space="0" w:color="auto"/>
            </w:tcBorders>
            <w:shd w:val="clear" w:color="auto" w:fill="auto"/>
            <w:noWrap/>
          </w:tcPr>
          <w:p w:rsidR="0055491A" w:rsidRPr="000439AD" w:rsidRDefault="0055491A" w:rsidP="00210BF6">
            <w:pPr>
              <w:jc w:val="center"/>
            </w:pPr>
            <w:r w:rsidRPr="000439AD">
              <w:t>1</w:t>
            </w:r>
          </w:p>
        </w:tc>
        <w:tc>
          <w:tcPr>
            <w:tcW w:w="1467" w:type="dxa"/>
            <w:tcBorders>
              <w:top w:val="nil"/>
              <w:left w:val="nil"/>
              <w:bottom w:val="single" w:sz="8" w:space="0" w:color="auto"/>
              <w:right w:val="single" w:sz="8" w:space="0" w:color="auto"/>
            </w:tcBorders>
            <w:shd w:val="clear" w:color="auto" w:fill="auto"/>
            <w:noWrap/>
          </w:tcPr>
          <w:p w:rsidR="0055491A" w:rsidRPr="000439AD" w:rsidRDefault="0055491A" w:rsidP="00210BF6">
            <w:pPr>
              <w:jc w:val="center"/>
            </w:pPr>
            <w:r>
              <w:t>1</w:t>
            </w:r>
          </w:p>
        </w:tc>
        <w:tc>
          <w:tcPr>
            <w:tcW w:w="1467" w:type="dxa"/>
            <w:tcBorders>
              <w:top w:val="nil"/>
              <w:left w:val="nil"/>
              <w:bottom w:val="single" w:sz="4" w:space="0" w:color="auto"/>
              <w:right w:val="single" w:sz="4" w:space="0" w:color="auto"/>
            </w:tcBorders>
            <w:shd w:val="clear" w:color="auto" w:fill="auto"/>
          </w:tcPr>
          <w:p w:rsidR="0055491A" w:rsidRPr="000439AD" w:rsidRDefault="0055491A" w:rsidP="00210BF6">
            <w:pPr>
              <w:jc w:val="center"/>
            </w:pPr>
            <w:r>
              <w:t>1</w:t>
            </w:r>
          </w:p>
        </w:tc>
        <w:tc>
          <w:tcPr>
            <w:tcW w:w="1276" w:type="dxa"/>
            <w:gridSpan w:val="2"/>
            <w:tcBorders>
              <w:top w:val="nil"/>
              <w:left w:val="single" w:sz="4" w:space="0" w:color="auto"/>
              <w:bottom w:val="single" w:sz="4" w:space="0" w:color="auto"/>
              <w:right w:val="single" w:sz="4" w:space="0" w:color="auto"/>
            </w:tcBorders>
            <w:shd w:val="clear" w:color="auto" w:fill="auto"/>
          </w:tcPr>
          <w:p w:rsidR="0055491A" w:rsidRPr="008D3622" w:rsidRDefault="0055491A" w:rsidP="00210BF6">
            <w:pPr>
              <w:jc w:val="center"/>
            </w:pPr>
            <w:r w:rsidRPr="008D3622">
              <w:t>10,5</w:t>
            </w:r>
          </w:p>
        </w:tc>
        <w:tc>
          <w:tcPr>
            <w:tcW w:w="1275" w:type="dxa"/>
            <w:tcBorders>
              <w:top w:val="nil"/>
              <w:left w:val="nil"/>
              <w:bottom w:val="single" w:sz="4" w:space="0" w:color="auto"/>
              <w:right w:val="single" w:sz="4" w:space="0" w:color="auto"/>
            </w:tcBorders>
            <w:shd w:val="clear" w:color="auto" w:fill="auto"/>
          </w:tcPr>
          <w:p w:rsidR="0055491A" w:rsidRPr="00844A61" w:rsidRDefault="0055491A" w:rsidP="00210BF6">
            <w:pPr>
              <w:jc w:val="center"/>
            </w:pPr>
            <w:r>
              <w:t>10,5</w:t>
            </w:r>
          </w:p>
        </w:tc>
        <w:tc>
          <w:tcPr>
            <w:tcW w:w="1418" w:type="dxa"/>
            <w:tcBorders>
              <w:top w:val="nil"/>
              <w:left w:val="nil"/>
              <w:bottom w:val="single" w:sz="4" w:space="0" w:color="auto"/>
              <w:right w:val="single" w:sz="4" w:space="0" w:color="auto"/>
            </w:tcBorders>
            <w:shd w:val="clear" w:color="auto" w:fill="auto"/>
          </w:tcPr>
          <w:p w:rsidR="0055491A" w:rsidRPr="00717FC7" w:rsidRDefault="0055491A" w:rsidP="00210BF6">
            <w:pPr>
              <w:jc w:val="center"/>
            </w:pPr>
            <w:r>
              <w:t>10,5</w:t>
            </w:r>
          </w:p>
        </w:tc>
      </w:tr>
      <w:tr w:rsidR="0055491A" w:rsidTr="00210BF6">
        <w:trPr>
          <w:gridAfter w:val="1"/>
          <w:wAfter w:w="10" w:type="dxa"/>
          <w:trHeight w:val="255"/>
        </w:trPr>
        <w:tc>
          <w:tcPr>
            <w:tcW w:w="1124" w:type="dxa"/>
            <w:tcBorders>
              <w:top w:val="nil"/>
              <w:left w:val="single" w:sz="8" w:space="0" w:color="auto"/>
              <w:bottom w:val="single" w:sz="4" w:space="0" w:color="auto"/>
              <w:right w:val="single" w:sz="8" w:space="0" w:color="auto"/>
            </w:tcBorders>
            <w:shd w:val="clear" w:color="auto" w:fill="auto"/>
          </w:tcPr>
          <w:p w:rsidR="0055491A" w:rsidRPr="001C4642" w:rsidRDefault="0055491A" w:rsidP="00210BF6">
            <w:pPr>
              <w:jc w:val="center"/>
            </w:pPr>
            <w:r w:rsidRPr="001C4642">
              <w:t>15</w:t>
            </w:r>
          </w:p>
        </w:tc>
        <w:tc>
          <w:tcPr>
            <w:tcW w:w="1319" w:type="dxa"/>
            <w:tcBorders>
              <w:top w:val="nil"/>
              <w:left w:val="nil"/>
              <w:bottom w:val="single" w:sz="8" w:space="0" w:color="auto"/>
              <w:right w:val="single" w:sz="8" w:space="0" w:color="auto"/>
            </w:tcBorders>
            <w:shd w:val="clear" w:color="auto" w:fill="auto"/>
            <w:noWrap/>
          </w:tcPr>
          <w:p w:rsidR="0055491A" w:rsidRPr="000439AD" w:rsidRDefault="0055491A" w:rsidP="00210BF6">
            <w:pPr>
              <w:jc w:val="center"/>
            </w:pPr>
            <w:r>
              <w:t>1</w:t>
            </w:r>
          </w:p>
        </w:tc>
        <w:tc>
          <w:tcPr>
            <w:tcW w:w="1467" w:type="dxa"/>
            <w:tcBorders>
              <w:top w:val="nil"/>
              <w:left w:val="nil"/>
              <w:bottom w:val="single" w:sz="8" w:space="0" w:color="auto"/>
              <w:right w:val="single" w:sz="8" w:space="0" w:color="auto"/>
            </w:tcBorders>
            <w:shd w:val="clear" w:color="auto" w:fill="auto"/>
            <w:noWrap/>
          </w:tcPr>
          <w:p w:rsidR="0055491A" w:rsidRPr="000439AD" w:rsidRDefault="0055491A" w:rsidP="00210BF6">
            <w:pPr>
              <w:jc w:val="center"/>
            </w:pPr>
            <w:r>
              <w:t>1</w:t>
            </w:r>
          </w:p>
        </w:tc>
        <w:tc>
          <w:tcPr>
            <w:tcW w:w="1467" w:type="dxa"/>
            <w:tcBorders>
              <w:top w:val="nil"/>
              <w:left w:val="nil"/>
              <w:bottom w:val="single" w:sz="4" w:space="0" w:color="auto"/>
              <w:right w:val="single" w:sz="4" w:space="0" w:color="auto"/>
            </w:tcBorders>
            <w:shd w:val="clear" w:color="auto" w:fill="auto"/>
          </w:tcPr>
          <w:p w:rsidR="0055491A" w:rsidRPr="000439AD" w:rsidRDefault="0055491A" w:rsidP="00210BF6">
            <w:pPr>
              <w:jc w:val="center"/>
            </w:pPr>
            <w:r>
              <w:t>1</w:t>
            </w:r>
          </w:p>
        </w:tc>
        <w:tc>
          <w:tcPr>
            <w:tcW w:w="1276" w:type="dxa"/>
            <w:gridSpan w:val="2"/>
            <w:tcBorders>
              <w:top w:val="nil"/>
              <w:left w:val="single" w:sz="4" w:space="0" w:color="auto"/>
              <w:bottom w:val="single" w:sz="4" w:space="0" w:color="auto"/>
              <w:right w:val="single" w:sz="4" w:space="0" w:color="auto"/>
            </w:tcBorders>
            <w:shd w:val="clear" w:color="auto" w:fill="auto"/>
          </w:tcPr>
          <w:p w:rsidR="0055491A" w:rsidRPr="008D3622" w:rsidRDefault="0055491A" w:rsidP="00210BF6">
            <w:pPr>
              <w:jc w:val="center"/>
            </w:pPr>
            <w:r>
              <w:t>15</w:t>
            </w:r>
          </w:p>
        </w:tc>
        <w:tc>
          <w:tcPr>
            <w:tcW w:w="1275" w:type="dxa"/>
            <w:tcBorders>
              <w:top w:val="nil"/>
              <w:left w:val="nil"/>
              <w:bottom w:val="single" w:sz="4" w:space="0" w:color="auto"/>
              <w:right w:val="single" w:sz="4" w:space="0" w:color="auto"/>
            </w:tcBorders>
            <w:shd w:val="clear" w:color="auto" w:fill="auto"/>
          </w:tcPr>
          <w:p w:rsidR="0055491A" w:rsidRPr="00844A61" w:rsidRDefault="0055491A" w:rsidP="00210BF6">
            <w:pPr>
              <w:jc w:val="center"/>
            </w:pPr>
            <w:r>
              <w:t>15</w:t>
            </w:r>
          </w:p>
        </w:tc>
        <w:tc>
          <w:tcPr>
            <w:tcW w:w="1418" w:type="dxa"/>
            <w:tcBorders>
              <w:top w:val="nil"/>
              <w:left w:val="nil"/>
              <w:bottom w:val="single" w:sz="4" w:space="0" w:color="auto"/>
              <w:right w:val="single" w:sz="4" w:space="0" w:color="auto"/>
            </w:tcBorders>
            <w:shd w:val="clear" w:color="auto" w:fill="auto"/>
          </w:tcPr>
          <w:p w:rsidR="0055491A" w:rsidRPr="00717FC7" w:rsidRDefault="0055491A" w:rsidP="00210BF6">
            <w:pPr>
              <w:jc w:val="center"/>
            </w:pPr>
            <w:r>
              <w:t>15</w:t>
            </w:r>
          </w:p>
        </w:tc>
      </w:tr>
      <w:tr w:rsidR="0055491A" w:rsidTr="00210BF6">
        <w:trPr>
          <w:gridAfter w:val="1"/>
          <w:wAfter w:w="10" w:type="dxa"/>
          <w:trHeight w:val="255"/>
        </w:trPr>
        <w:tc>
          <w:tcPr>
            <w:tcW w:w="1124" w:type="dxa"/>
            <w:tcBorders>
              <w:top w:val="nil"/>
              <w:left w:val="single" w:sz="8" w:space="0" w:color="auto"/>
              <w:bottom w:val="single" w:sz="4" w:space="0" w:color="auto"/>
              <w:right w:val="single" w:sz="8" w:space="0" w:color="auto"/>
            </w:tcBorders>
            <w:shd w:val="clear" w:color="auto" w:fill="auto"/>
          </w:tcPr>
          <w:p w:rsidR="0055491A" w:rsidRPr="001C4642" w:rsidRDefault="0055491A" w:rsidP="00210BF6">
            <w:pPr>
              <w:jc w:val="center"/>
            </w:pPr>
            <w:r w:rsidRPr="001C4642">
              <w:t>20</w:t>
            </w:r>
          </w:p>
        </w:tc>
        <w:tc>
          <w:tcPr>
            <w:tcW w:w="1319" w:type="dxa"/>
            <w:tcBorders>
              <w:top w:val="nil"/>
              <w:left w:val="nil"/>
              <w:bottom w:val="single" w:sz="8" w:space="0" w:color="auto"/>
              <w:right w:val="single" w:sz="8" w:space="0" w:color="auto"/>
            </w:tcBorders>
            <w:shd w:val="clear" w:color="auto" w:fill="auto"/>
            <w:noWrap/>
            <w:vAlign w:val="center"/>
          </w:tcPr>
          <w:p w:rsidR="0055491A" w:rsidRPr="00E051B1" w:rsidRDefault="0055491A" w:rsidP="00210BF6">
            <w:pPr>
              <w:jc w:val="center"/>
            </w:pPr>
            <w:r w:rsidRPr="00E051B1">
              <w:t>23</w:t>
            </w:r>
          </w:p>
        </w:tc>
        <w:tc>
          <w:tcPr>
            <w:tcW w:w="1467" w:type="dxa"/>
            <w:tcBorders>
              <w:top w:val="nil"/>
              <w:left w:val="nil"/>
              <w:bottom w:val="single" w:sz="8" w:space="0" w:color="auto"/>
              <w:right w:val="single" w:sz="8" w:space="0" w:color="auto"/>
            </w:tcBorders>
            <w:shd w:val="clear" w:color="auto" w:fill="auto"/>
            <w:noWrap/>
            <w:vAlign w:val="center"/>
          </w:tcPr>
          <w:p w:rsidR="0055491A" w:rsidRPr="00E051B1" w:rsidRDefault="0055491A" w:rsidP="00210BF6">
            <w:pPr>
              <w:jc w:val="center"/>
            </w:pPr>
            <w:r w:rsidRPr="00E051B1">
              <w:t>24</w:t>
            </w:r>
          </w:p>
        </w:tc>
        <w:tc>
          <w:tcPr>
            <w:tcW w:w="1467" w:type="dxa"/>
            <w:tcBorders>
              <w:top w:val="nil"/>
              <w:left w:val="nil"/>
              <w:bottom w:val="single" w:sz="4" w:space="0" w:color="auto"/>
              <w:right w:val="single" w:sz="4" w:space="0" w:color="auto"/>
            </w:tcBorders>
            <w:shd w:val="clear" w:color="auto" w:fill="auto"/>
            <w:vAlign w:val="center"/>
          </w:tcPr>
          <w:p w:rsidR="0055491A" w:rsidRPr="00E051B1" w:rsidRDefault="0055491A" w:rsidP="00210BF6">
            <w:pPr>
              <w:jc w:val="center"/>
            </w:pPr>
            <w:r w:rsidRPr="00E051B1">
              <w:t>26</w:t>
            </w:r>
          </w:p>
        </w:tc>
        <w:tc>
          <w:tcPr>
            <w:tcW w:w="1276" w:type="dxa"/>
            <w:gridSpan w:val="2"/>
            <w:tcBorders>
              <w:top w:val="nil"/>
              <w:left w:val="single" w:sz="4" w:space="0" w:color="auto"/>
              <w:bottom w:val="single" w:sz="4" w:space="0" w:color="auto"/>
              <w:right w:val="single" w:sz="4" w:space="0" w:color="auto"/>
            </w:tcBorders>
            <w:shd w:val="clear" w:color="auto" w:fill="auto"/>
            <w:vAlign w:val="center"/>
          </w:tcPr>
          <w:p w:rsidR="0055491A" w:rsidRPr="00E051B1" w:rsidRDefault="0055491A" w:rsidP="00210BF6">
            <w:pPr>
              <w:jc w:val="center"/>
            </w:pPr>
            <w:r w:rsidRPr="00E051B1">
              <w:t>460,0</w:t>
            </w:r>
          </w:p>
        </w:tc>
        <w:tc>
          <w:tcPr>
            <w:tcW w:w="1275" w:type="dxa"/>
            <w:tcBorders>
              <w:top w:val="nil"/>
              <w:left w:val="nil"/>
              <w:bottom w:val="single" w:sz="4" w:space="0" w:color="auto"/>
              <w:right w:val="single" w:sz="4" w:space="0" w:color="auto"/>
            </w:tcBorders>
            <w:shd w:val="clear" w:color="auto" w:fill="auto"/>
            <w:vAlign w:val="center"/>
          </w:tcPr>
          <w:p w:rsidR="0055491A" w:rsidRPr="00E051B1" w:rsidRDefault="0055491A" w:rsidP="00210BF6">
            <w:pPr>
              <w:jc w:val="center"/>
            </w:pPr>
            <w:r w:rsidRPr="00E051B1">
              <w:t>480,0</w:t>
            </w:r>
          </w:p>
        </w:tc>
        <w:tc>
          <w:tcPr>
            <w:tcW w:w="1418" w:type="dxa"/>
            <w:tcBorders>
              <w:top w:val="nil"/>
              <w:left w:val="nil"/>
              <w:bottom w:val="single" w:sz="4" w:space="0" w:color="auto"/>
              <w:right w:val="single" w:sz="4" w:space="0" w:color="auto"/>
            </w:tcBorders>
            <w:shd w:val="clear" w:color="auto" w:fill="auto"/>
            <w:vAlign w:val="center"/>
          </w:tcPr>
          <w:p w:rsidR="0055491A" w:rsidRPr="00E051B1" w:rsidRDefault="0055491A" w:rsidP="00210BF6">
            <w:pPr>
              <w:jc w:val="center"/>
            </w:pPr>
            <w:r w:rsidRPr="00E051B1">
              <w:t>520,0</w:t>
            </w:r>
          </w:p>
        </w:tc>
      </w:tr>
      <w:tr w:rsidR="0055491A" w:rsidTr="00210BF6">
        <w:trPr>
          <w:gridAfter w:val="1"/>
          <w:wAfter w:w="10" w:type="dxa"/>
          <w:trHeight w:val="255"/>
        </w:trPr>
        <w:tc>
          <w:tcPr>
            <w:tcW w:w="1124" w:type="dxa"/>
            <w:tcBorders>
              <w:top w:val="nil"/>
              <w:left w:val="single" w:sz="8" w:space="0" w:color="auto"/>
              <w:bottom w:val="single" w:sz="4" w:space="0" w:color="auto"/>
              <w:right w:val="single" w:sz="8" w:space="0" w:color="auto"/>
            </w:tcBorders>
            <w:shd w:val="clear" w:color="auto" w:fill="auto"/>
          </w:tcPr>
          <w:p w:rsidR="0055491A" w:rsidRPr="001C4642" w:rsidRDefault="0055491A" w:rsidP="00210BF6">
            <w:pPr>
              <w:jc w:val="center"/>
            </w:pPr>
            <w:r w:rsidRPr="001C4642">
              <w:t>2</w:t>
            </w:r>
            <w:r>
              <w:t>5</w:t>
            </w:r>
          </w:p>
        </w:tc>
        <w:tc>
          <w:tcPr>
            <w:tcW w:w="1319" w:type="dxa"/>
            <w:tcBorders>
              <w:top w:val="nil"/>
              <w:left w:val="nil"/>
              <w:bottom w:val="single" w:sz="8" w:space="0" w:color="auto"/>
              <w:right w:val="single" w:sz="8" w:space="0" w:color="auto"/>
            </w:tcBorders>
            <w:shd w:val="clear" w:color="auto" w:fill="auto"/>
            <w:noWrap/>
            <w:vAlign w:val="center"/>
          </w:tcPr>
          <w:p w:rsidR="0055491A" w:rsidRPr="00E051B1" w:rsidRDefault="0055491A" w:rsidP="00210BF6">
            <w:pPr>
              <w:jc w:val="center"/>
            </w:pPr>
            <w:r w:rsidRPr="00E051B1">
              <w:t>1</w:t>
            </w:r>
          </w:p>
        </w:tc>
        <w:tc>
          <w:tcPr>
            <w:tcW w:w="1467" w:type="dxa"/>
            <w:tcBorders>
              <w:top w:val="nil"/>
              <w:left w:val="nil"/>
              <w:bottom w:val="single" w:sz="8" w:space="0" w:color="auto"/>
              <w:right w:val="single" w:sz="8" w:space="0" w:color="auto"/>
            </w:tcBorders>
            <w:shd w:val="clear" w:color="auto" w:fill="auto"/>
            <w:noWrap/>
            <w:vAlign w:val="center"/>
          </w:tcPr>
          <w:p w:rsidR="0055491A" w:rsidRPr="00E051B1" w:rsidRDefault="0055491A" w:rsidP="00210BF6">
            <w:pPr>
              <w:jc w:val="center"/>
            </w:pPr>
            <w:r w:rsidRPr="00E051B1">
              <w:t>1</w:t>
            </w:r>
          </w:p>
        </w:tc>
        <w:tc>
          <w:tcPr>
            <w:tcW w:w="1467" w:type="dxa"/>
            <w:tcBorders>
              <w:top w:val="nil"/>
              <w:left w:val="nil"/>
              <w:bottom w:val="single" w:sz="4" w:space="0" w:color="auto"/>
              <w:right w:val="single" w:sz="4" w:space="0" w:color="auto"/>
            </w:tcBorders>
            <w:shd w:val="clear" w:color="auto" w:fill="auto"/>
            <w:vAlign w:val="center"/>
          </w:tcPr>
          <w:p w:rsidR="0055491A" w:rsidRPr="00E051B1" w:rsidRDefault="0055491A" w:rsidP="00210BF6">
            <w:pPr>
              <w:jc w:val="center"/>
            </w:pPr>
            <w:r w:rsidRPr="00E051B1">
              <w:t>1</w:t>
            </w:r>
          </w:p>
        </w:tc>
        <w:tc>
          <w:tcPr>
            <w:tcW w:w="1276" w:type="dxa"/>
            <w:gridSpan w:val="2"/>
            <w:tcBorders>
              <w:top w:val="nil"/>
              <w:left w:val="single" w:sz="4" w:space="0" w:color="auto"/>
              <w:bottom w:val="single" w:sz="4" w:space="0" w:color="auto"/>
              <w:right w:val="single" w:sz="4" w:space="0" w:color="auto"/>
            </w:tcBorders>
            <w:shd w:val="clear" w:color="auto" w:fill="auto"/>
            <w:vAlign w:val="center"/>
          </w:tcPr>
          <w:p w:rsidR="0055491A" w:rsidRPr="00E051B1" w:rsidRDefault="0055491A" w:rsidP="00210BF6">
            <w:pPr>
              <w:jc w:val="center"/>
            </w:pPr>
            <w:r w:rsidRPr="00E051B1">
              <w:t>25,0</w:t>
            </w:r>
          </w:p>
        </w:tc>
        <w:tc>
          <w:tcPr>
            <w:tcW w:w="1275" w:type="dxa"/>
            <w:tcBorders>
              <w:top w:val="nil"/>
              <w:left w:val="nil"/>
              <w:bottom w:val="single" w:sz="4" w:space="0" w:color="auto"/>
              <w:right w:val="single" w:sz="4" w:space="0" w:color="auto"/>
            </w:tcBorders>
            <w:shd w:val="clear" w:color="auto" w:fill="auto"/>
            <w:vAlign w:val="center"/>
          </w:tcPr>
          <w:p w:rsidR="0055491A" w:rsidRPr="00E051B1" w:rsidRDefault="0055491A" w:rsidP="00210BF6">
            <w:pPr>
              <w:jc w:val="center"/>
            </w:pPr>
            <w:r w:rsidRPr="00E051B1">
              <w:t>25,0</w:t>
            </w:r>
          </w:p>
        </w:tc>
        <w:tc>
          <w:tcPr>
            <w:tcW w:w="1418" w:type="dxa"/>
            <w:tcBorders>
              <w:top w:val="nil"/>
              <w:left w:val="nil"/>
              <w:bottom w:val="single" w:sz="4" w:space="0" w:color="auto"/>
              <w:right w:val="single" w:sz="4" w:space="0" w:color="auto"/>
            </w:tcBorders>
            <w:shd w:val="clear" w:color="auto" w:fill="auto"/>
            <w:vAlign w:val="center"/>
          </w:tcPr>
          <w:p w:rsidR="0055491A" w:rsidRPr="00E051B1" w:rsidRDefault="0055491A" w:rsidP="00210BF6">
            <w:pPr>
              <w:jc w:val="center"/>
            </w:pPr>
            <w:r w:rsidRPr="00E051B1">
              <w:t>25,0</w:t>
            </w:r>
          </w:p>
        </w:tc>
      </w:tr>
      <w:tr w:rsidR="0055491A" w:rsidTr="00210BF6">
        <w:trPr>
          <w:gridAfter w:val="1"/>
          <w:wAfter w:w="10" w:type="dxa"/>
          <w:trHeight w:val="255"/>
        </w:trPr>
        <w:tc>
          <w:tcPr>
            <w:tcW w:w="1124" w:type="dxa"/>
            <w:tcBorders>
              <w:top w:val="nil"/>
              <w:left w:val="single" w:sz="8" w:space="0" w:color="auto"/>
              <w:bottom w:val="single" w:sz="4" w:space="0" w:color="auto"/>
              <w:right w:val="single" w:sz="8" w:space="0" w:color="auto"/>
            </w:tcBorders>
            <w:shd w:val="clear" w:color="auto" w:fill="auto"/>
          </w:tcPr>
          <w:p w:rsidR="0055491A" w:rsidRPr="001C4642" w:rsidRDefault="0055491A" w:rsidP="00210BF6">
            <w:pPr>
              <w:jc w:val="center"/>
            </w:pPr>
            <w:r w:rsidRPr="001C4642">
              <w:t>30</w:t>
            </w:r>
          </w:p>
        </w:tc>
        <w:tc>
          <w:tcPr>
            <w:tcW w:w="1319" w:type="dxa"/>
            <w:tcBorders>
              <w:top w:val="nil"/>
              <w:left w:val="nil"/>
              <w:bottom w:val="single" w:sz="8" w:space="0" w:color="auto"/>
              <w:right w:val="single" w:sz="8" w:space="0" w:color="auto"/>
            </w:tcBorders>
            <w:shd w:val="clear" w:color="auto" w:fill="auto"/>
            <w:noWrap/>
            <w:vAlign w:val="center"/>
          </w:tcPr>
          <w:p w:rsidR="0055491A" w:rsidRPr="00E051B1" w:rsidRDefault="0055491A" w:rsidP="00210BF6">
            <w:pPr>
              <w:jc w:val="center"/>
            </w:pPr>
            <w:r w:rsidRPr="00E051B1">
              <w:t>20</w:t>
            </w:r>
          </w:p>
        </w:tc>
        <w:tc>
          <w:tcPr>
            <w:tcW w:w="1467" w:type="dxa"/>
            <w:tcBorders>
              <w:top w:val="nil"/>
              <w:left w:val="nil"/>
              <w:bottom w:val="single" w:sz="8" w:space="0" w:color="auto"/>
              <w:right w:val="single" w:sz="8" w:space="0" w:color="auto"/>
            </w:tcBorders>
            <w:shd w:val="clear" w:color="auto" w:fill="auto"/>
            <w:noWrap/>
            <w:vAlign w:val="center"/>
          </w:tcPr>
          <w:p w:rsidR="0055491A" w:rsidRPr="00E051B1" w:rsidRDefault="0055491A" w:rsidP="00210BF6">
            <w:pPr>
              <w:jc w:val="center"/>
            </w:pPr>
            <w:r w:rsidRPr="00E051B1">
              <w:t>17</w:t>
            </w:r>
          </w:p>
        </w:tc>
        <w:tc>
          <w:tcPr>
            <w:tcW w:w="1467" w:type="dxa"/>
            <w:tcBorders>
              <w:top w:val="nil"/>
              <w:left w:val="nil"/>
              <w:bottom w:val="single" w:sz="4" w:space="0" w:color="auto"/>
              <w:right w:val="single" w:sz="4" w:space="0" w:color="auto"/>
            </w:tcBorders>
            <w:shd w:val="clear" w:color="auto" w:fill="auto"/>
            <w:vAlign w:val="center"/>
          </w:tcPr>
          <w:p w:rsidR="0055491A" w:rsidRPr="00E051B1" w:rsidRDefault="0055491A" w:rsidP="00210BF6">
            <w:pPr>
              <w:jc w:val="center"/>
            </w:pPr>
            <w:r w:rsidRPr="00E051B1">
              <w:t>18</w:t>
            </w:r>
          </w:p>
        </w:tc>
        <w:tc>
          <w:tcPr>
            <w:tcW w:w="1276" w:type="dxa"/>
            <w:gridSpan w:val="2"/>
            <w:tcBorders>
              <w:top w:val="nil"/>
              <w:left w:val="single" w:sz="4" w:space="0" w:color="auto"/>
              <w:bottom w:val="single" w:sz="4" w:space="0" w:color="auto"/>
              <w:right w:val="single" w:sz="4" w:space="0" w:color="auto"/>
            </w:tcBorders>
            <w:shd w:val="clear" w:color="auto" w:fill="auto"/>
            <w:vAlign w:val="center"/>
          </w:tcPr>
          <w:p w:rsidR="0055491A" w:rsidRPr="00E051B1" w:rsidRDefault="0055491A" w:rsidP="00210BF6">
            <w:pPr>
              <w:jc w:val="center"/>
            </w:pPr>
            <w:r w:rsidRPr="00E051B1">
              <w:t>600,0</w:t>
            </w:r>
          </w:p>
        </w:tc>
        <w:tc>
          <w:tcPr>
            <w:tcW w:w="1275" w:type="dxa"/>
            <w:tcBorders>
              <w:top w:val="nil"/>
              <w:left w:val="nil"/>
              <w:bottom w:val="single" w:sz="4" w:space="0" w:color="auto"/>
              <w:right w:val="single" w:sz="4" w:space="0" w:color="auto"/>
            </w:tcBorders>
            <w:shd w:val="clear" w:color="auto" w:fill="auto"/>
            <w:vAlign w:val="center"/>
          </w:tcPr>
          <w:p w:rsidR="0055491A" w:rsidRPr="00E051B1" w:rsidRDefault="0055491A" w:rsidP="00210BF6">
            <w:pPr>
              <w:jc w:val="center"/>
            </w:pPr>
            <w:r w:rsidRPr="00E051B1">
              <w:t>510,0</w:t>
            </w:r>
          </w:p>
        </w:tc>
        <w:tc>
          <w:tcPr>
            <w:tcW w:w="1418" w:type="dxa"/>
            <w:tcBorders>
              <w:top w:val="nil"/>
              <w:left w:val="nil"/>
              <w:bottom w:val="single" w:sz="4" w:space="0" w:color="auto"/>
              <w:right w:val="single" w:sz="4" w:space="0" w:color="auto"/>
            </w:tcBorders>
            <w:shd w:val="clear" w:color="auto" w:fill="auto"/>
            <w:vAlign w:val="center"/>
          </w:tcPr>
          <w:p w:rsidR="0055491A" w:rsidRPr="00E051B1" w:rsidRDefault="0055491A" w:rsidP="00210BF6">
            <w:pPr>
              <w:jc w:val="center"/>
            </w:pPr>
            <w:r w:rsidRPr="00E051B1">
              <w:t>540,0</w:t>
            </w:r>
          </w:p>
        </w:tc>
      </w:tr>
      <w:tr w:rsidR="0055491A" w:rsidTr="00210BF6">
        <w:trPr>
          <w:gridAfter w:val="1"/>
          <w:wAfter w:w="10" w:type="dxa"/>
          <w:trHeight w:val="255"/>
        </w:trPr>
        <w:tc>
          <w:tcPr>
            <w:tcW w:w="1124" w:type="dxa"/>
            <w:tcBorders>
              <w:top w:val="nil"/>
              <w:left w:val="single" w:sz="8" w:space="0" w:color="auto"/>
              <w:bottom w:val="single" w:sz="4" w:space="0" w:color="auto"/>
              <w:right w:val="single" w:sz="8" w:space="0" w:color="auto"/>
            </w:tcBorders>
            <w:shd w:val="clear" w:color="auto" w:fill="auto"/>
          </w:tcPr>
          <w:p w:rsidR="0055491A" w:rsidRPr="001C4642" w:rsidRDefault="0055491A" w:rsidP="00210BF6">
            <w:pPr>
              <w:jc w:val="center"/>
            </w:pPr>
            <w:r w:rsidRPr="001C4642">
              <w:t>35</w:t>
            </w:r>
          </w:p>
        </w:tc>
        <w:tc>
          <w:tcPr>
            <w:tcW w:w="1319" w:type="dxa"/>
            <w:tcBorders>
              <w:top w:val="nil"/>
              <w:left w:val="nil"/>
              <w:bottom w:val="single" w:sz="8" w:space="0" w:color="auto"/>
              <w:right w:val="single" w:sz="8" w:space="0" w:color="auto"/>
            </w:tcBorders>
            <w:shd w:val="clear" w:color="auto" w:fill="auto"/>
            <w:noWrap/>
          </w:tcPr>
          <w:p w:rsidR="0055491A" w:rsidRPr="000439AD" w:rsidRDefault="0055491A" w:rsidP="00210BF6">
            <w:pPr>
              <w:jc w:val="center"/>
            </w:pPr>
            <w:r w:rsidRPr="000439AD">
              <w:t>1</w:t>
            </w:r>
          </w:p>
        </w:tc>
        <w:tc>
          <w:tcPr>
            <w:tcW w:w="1467" w:type="dxa"/>
            <w:tcBorders>
              <w:top w:val="nil"/>
              <w:left w:val="nil"/>
              <w:bottom w:val="single" w:sz="8" w:space="0" w:color="auto"/>
              <w:right w:val="single" w:sz="8" w:space="0" w:color="auto"/>
            </w:tcBorders>
            <w:shd w:val="clear" w:color="auto" w:fill="auto"/>
            <w:noWrap/>
          </w:tcPr>
          <w:p w:rsidR="0055491A" w:rsidRPr="000439AD" w:rsidRDefault="0055491A" w:rsidP="00210BF6">
            <w:pPr>
              <w:jc w:val="center"/>
            </w:pPr>
            <w:r w:rsidRPr="000439AD">
              <w:t>1</w:t>
            </w:r>
          </w:p>
        </w:tc>
        <w:tc>
          <w:tcPr>
            <w:tcW w:w="1467" w:type="dxa"/>
            <w:tcBorders>
              <w:top w:val="nil"/>
              <w:left w:val="nil"/>
              <w:bottom w:val="single" w:sz="4" w:space="0" w:color="auto"/>
              <w:right w:val="single" w:sz="4" w:space="0" w:color="auto"/>
            </w:tcBorders>
            <w:shd w:val="clear" w:color="auto" w:fill="auto"/>
          </w:tcPr>
          <w:p w:rsidR="0055491A" w:rsidRPr="000439AD" w:rsidRDefault="0055491A" w:rsidP="00210BF6">
            <w:pPr>
              <w:jc w:val="center"/>
            </w:pPr>
            <w:r w:rsidRPr="000439AD">
              <w:t>1</w:t>
            </w:r>
          </w:p>
        </w:tc>
        <w:tc>
          <w:tcPr>
            <w:tcW w:w="1276" w:type="dxa"/>
            <w:gridSpan w:val="2"/>
            <w:tcBorders>
              <w:top w:val="nil"/>
              <w:left w:val="single" w:sz="4" w:space="0" w:color="auto"/>
              <w:bottom w:val="single" w:sz="4" w:space="0" w:color="auto"/>
              <w:right w:val="single" w:sz="4" w:space="0" w:color="auto"/>
            </w:tcBorders>
            <w:shd w:val="clear" w:color="auto" w:fill="auto"/>
            <w:vAlign w:val="center"/>
          </w:tcPr>
          <w:p w:rsidR="0055491A" w:rsidRPr="00E051B1" w:rsidRDefault="0055491A" w:rsidP="00210BF6">
            <w:pPr>
              <w:jc w:val="center"/>
            </w:pPr>
            <w:r w:rsidRPr="00E051B1">
              <w:t>35,0</w:t>
            </w:r>
          </w:p>
        </w:tc>
        <w:tc>
          <w:tcPr>
            <w:tcW w:w="1275" w:type="dxa"/>
            <w:tcBorders>
              <w:top w:val="nil"/>
              <w:left w:val="nil"/>
              <w:bottom w:val="single" w:sz="4" w:space="0" w:color="auto"/>
              <w:right w:val="single" w:sz="4" w:space="0" w:color="auto"/>
            </w:tcBorders>
            <w:shd w:val="clear" w:color="auto" w:fill="auto"/>
            <w:vAlign w:val="center"/>
          </w:tcPr>
          <w:p w:rsidR="0055491A" w:rsidRPr="00E051B1" w:rsidRDefault="0055491A" w:rsidP="00210BF6">
            <w:pPr>
              <w:jc w:val="center"/>
            </w:pPr>
            <w:r w:rsidRPr="00E051B1">
              <w:t>35,0</w:t>
            </w:r>
          </w:p>
        </w:tc>
        <w:tc>
          <w:tcPr>
            <w:tcW w:w="1418" w:type="dxa"/>
            <w:tcBorders>
              <w:top w:val="nil"/>
              <w:left w:val="nil"/>
              <w:bottom w:val="single" w:sz="4" w:space="0" w:color="auto"/>
              <w:right w:val="single" w:sz="4" w:space="0" w:color="auto"/>
            </w:tcBorders>
            <w:shd w:val="clear" w:color="auto" w:fill="auto"/>
            <w:vAlign w:val="center"/>
          </w:tcPr>
          <w:p w:rsidR="0055491A" w:rsidRPr="00E051B1" w:rsidRDefault="0055491A" w:rsidP="00210BF6">
            <w:pPr>
              <w:jc w:val="center"/>
            </w:pPr>
            <w:r w:rsidRPr="00E051B1">
              <w:t>35,0</w:t>
            </w:r>
          </w:p>
        </w:tc>
      </w:tr>
      <w:tr w:rsidR="0055491A" w:rsidTr="00210BF6">
        <w:trPr>
          <w:gridAfter w:val="1"/>
          <w:wAfter w:w="10" w:type="dxa"/>
          <w:trHeight w:val="255"/>
        </w:trPr>
        <w:tc>
          <w:tcPr>
            <w:tcW w:w="1124" w:type="dxa"/>
            <w:tcBorders>
              <w:top w:val="nil"/>
              <w:left w:val="single" w:sz="8" w:space="0" w:color="auto"/>
              <w:bottom w:val="single" w:sz="4" w:space="0" w:color="auto"/>
              <w:right w:val="single" w:sz="8" w:space="0" w:color="auto"/>
            </w:tcBorders>
            <w:shd w:val="clear" w:color="auto" w:fill="auto"/>
          </w:tcPr>
          <w:p w:rsidR="0055491A" w:rsidRPr="001C4642" w:rsidRDefault="0055491A" w:rsidP="00210BF6">
            <w:pPr>
              <w:jc w:val="center"/>
            </w:pPr>
            <w:r w:rsidRPr="001C4642">
              <w:t>40</w:t>
            </w:r>
          </w:p>
        </w:tc>
        <w:tc>
          <w:tcPr>
            <w:tcW w:w="1319" w:type="dxa"/>
            <w:tcBorders>
              <w:top w:val="nil"/>
              <w:left w:val="nil"/>
              <w:bottom w:val="single" w:sz="8" w:space="0" w:color="auto"/>
              <w:right w:val="single" w:sz="8" w:space="0" w:color="auto"/>
            </w:tcBorders>
            <w:shd w:val="clear" w:color="auto" w:fill="auto"/>
            <w:noWrap/>
            <w:vAlign w:val="center"/>
          </w:tcPr>
          <w:p w:rsidR="0055491A" w:rsidRPr="00E051B1" w:rsidRDefault="0055491A" w:rsidP="00210BF6">
            <w:pPr>
              <w:jc w:val="center"/>
            </w:pPr>
            <w:r w:rsidRPr="00E051B1">
              <w:t>6</w:t>
            </w:r>
          </w:p>
        </w:tc>
        <w:tc>
          <w:tcPr>
            <w:tcW w:w="1467" w:type="dxa"/>
            <w:tcBorders>
              <w:top w:val="nil"/>
              <w:left w:val="nil"/>
              <w:bottom w:val="single" w:sz="8" w:space="0" w:color="auto"/>
              <w:right w:val="single" w:sz="8" w:space="0" w:color="auto"/>
            </w:tcBorders>
            <w:shd w:val="clear" w:color="auto" w:fill="auto"/>
            <w:noWrap/>
            <w:vAlign w:val="center"/>
          </w:tcPr>
          <w:p w:rsidR="0055491A" w:rsidRPr="00E051B1" w:rsidRDefault="0055491A" w:rsidP="00210BF6">
            <w:pPr>
              <w:jc w:val="center"/>
            </w:pPr>
            <w:r w:rsidRPr="00E051B1">
              <w:t>6</w:t>
            </w:r>
          </w:p>
        </w:tc>
        <w:tc>
          <w:tcPr>
            <w:tcW w:w="1467" w:type="dxa"/>
            <w:tcBorders>
              <w:top w:val="nil"/>
              <w:left w:val="nil"/>
              <w:bottom w:val="single" w:sz="4" w:space="0" w:color="auto"/>
              <w:right w:val="single" w:sz="4" w:space="0" w:color="auto"/>
            </w:tcBorders>
            <w:shd w:val="clear" w:color="auto" w:fill="auto"/>
            <w:vAlign w:val="center"/>
          </w:tcPr>
          <w:p w:rsidR="0055491A" w:rsidRPr="00E051B1" w:rsidRDefault="0055491A" w:rsidP="00210BF6">
            <w:pPr>
              <w:jc w:val="center"/>
            </w:pPr>
            <w:r w:rsidRPr="00E051B1">
              <w:t>5</w:t>
            </w:r>
          </w:p>
        </w:tc>
        <w:tc>
          <w:tcPr>
            <w:tcW w:w="1276" w:type="dxa"/>
            <w:gridSpan w:val="2"/>
            <w:tcBorders>
              <w:top w:val="nil"/>
              <w:left w:val="single" w:sz="4" w:space="0" w:color="auto"/>
              <w:bottom w:val="single" w:sz="4" w:space="0" w:color="auto"/>
              <w:right w:val="single" w:sz="4" w:space="0" w:color="auto"/>
            </w:tcBorders>
            <w:shd w:val="clear" w:color="auto" w:fill="auto"/>
            <w:vAlign w:val="center"/>
          </w:tcPr>
          <w:p w:rsidR="0055491A" w:rsidRPr="00E051B1" w:rsidRDefault="0055491A" w:rsidP="00210BF6">
            <w:pPr>
              <w:jc w:val="center"/>
            </w:pPr>
            <w:r w:rsidRPr="00E051B1">
              <w:t>240,0</w:t>
            </w:r>
          </w:p>
        </w:tc>
        <w:tc>
          <w:tcPr>
            <w:tcW w:w="1275" w:type="dxa"/>
            <w:tcBorders>
              <w:top w:val="nil"/>
              <w:left w:val="nil"/>
              <w:bottom w:val="single" w:sz="4" w:space="0" w:color="auto"/>
              <w:right w:val="single" w:sz="4" w:space="0" w:color="auto"/>
            </w:tcBorders>
            <w:shd w:val="clear" w:color="auto" w:fill="auto"/>
            <w:vAlign w:val="center"/>
          </w:tcPr>
          <w:p w:rsidR="0055491A" w:rsidRPr="00E051B1" w:rsidRDefault="0055491A" w:rsidP="00210BF6">
            <w:pPr>
              <w:jc w:val="center"/>
            </w:pPr>
            <w:r w:rsidRPr="00E051B1">
              <w:t>240,0</w:t>
            </w:r>
          </w:p>
        </w:tc>
        <w:tc>
          <w:tcPr>
            <w:tcW w:w="1418" w:type="dxa"/>
            <w:tcBorders>
              <w:top w:val="nil"/>
              <w:left w:val="nil"/>
              <w:bottom w:val="single" w:sz="4" w:space="0" w:color="auto"/>
              <w:right w:val="single" w:sz="4" w:space="0" w:color="auto"/>
            </w:tcBorders>
            <w:shd w:val="clear" w:color="auto" w:fill="auto"/>
            <w:vAlign w:val="center"/>
          </w:tcPr>
          <w:p w:rsidR="0055491A" w:rsidRPr="00E051B1" w:rsidRDefault="0055491A" w:rsidP="00210BF6">
            <w:pPr>
              <w:jc w:val="center"/>
            </w:pPr>
            <w:r w:rsidRPr="00E051B1">
              <w:t>200,0</w:t>
            </w:r>
          </w:p>
        </w:tc>
      </w:tr>
      <w:tr w:rsidR="0055491A" w:rsidTr="00210BF6">
        <w:trPr>
          <w:gridAfter w:val="1"/>
          <w:wAfter w:w="10" w:type="dxa"/>
          <w:trHeight w:val="255"/>
        </w:trPr>
        <w:tc>
          <w:tcPr>
            <w:tcW w:w="1124" w:type="dxa"/>
            <w:tcBorders>
              <w:top w:val="nil"/>
              <w:left w:val="single" w:sz="8" w:space="0" w:color="auto"/>
              <w:bottom w:val="single" w:sz="4" w:space="0" w:color="auto"/>
              <w:right w:val="single" w:sz="8" w:space="0" w:color="auto"/>
            </w:tcBorders>
            <w:shd w:val="clear" w:color="auto" w:fill="auto"/>
          </w:tcPr>
          <w:p w:rsidR="0055491A" w:rsidRPr="001C4642" w:rsidRDefault="0055491A" w:rsidP="00210BF6">
            <w:pPr>
              <w:jc w:val="center"/>
            </w:pPr>
            <w:r w:rsidRPr="001C4642">
              <w:t>50</w:t>
            </w:r>
          </w:p>
        </w:tc>
        <w:tc>
          <w:tcPr>
            <w:tcW w:w="1319" w:type="dxa"/>
            <w:tcBorders>
              <w:top w:val="nil"/>
              <w:left w:val="nil"/>
              <w:bottom w:val="single" w:sz="8" w:space="0" w:color="auto"/>
              <w:right w:val="single" w:sz="8" w:space="0" w:color="auto"/>
            </w:tcBorders>
            <w:shd w:val="clear" w:color="auto" w:fill="auto"/>
            <w:noWrap/>
            <w:vAlign w:val="center"/>
          </w:tcPr>
          <w:p w:rsidR="0055491A" w:rsidRPr="00E67239" w:rsidRDefault="0055491A" w:rsidP="00210BF6">
            <w:pPr>
              <w:jc w:val="center"/>
            </w:pPr>
            <w:r w:rsidRPr="00E67239">
              <w:t>14</w:t>
            </w:r>
          </w:p>
        </w:tc>
        <w:tc>
          <w:tcPr>
            <w:tcW w:w="1467" w:type="dxa"/>
            <w:tcBorders>
              <w:top w:val="nil"/>
              <w:left w:val="nil"/>
              <w:bottom w:val="single" w:sz="8" w:space="0" w:color="auto"/>
              <w:right w:val="single" w:sz="8" w:space="0" w:color="auto"/>
            </w:tcBorders>
            <w:shd w:val="clear" w:color="auto" w:fill="auto"/>
            <w:noWrap/>
            <w:vAlign w:val="center"/>
          </w:tcPr>
          <w:p w:rsidR="0055491A" w:rsidRPr="00E67239" w:rsidRDefault="0055491A" w:rsidP="00210BF6">
            <w:pPr>
              <w:jc w:val="center"/>
            </w:pPr>
            <w:r w:rsidRPr="00E67239">
              <w:t>13</w:t>
            </w:r>
          </w:p>
        </w:tc>
        <w:tc>
          <w:tcPr>
            <w:tcW w:w="1467" w:type="dxa"/>
            <w:tcBorders>
              <w:top w:val="nil"/>
              <w:left w:val="nil"/>
              <w:bottom w:val="single" w:sz="4" w:space="0" w:color="auto"/>
              <w:right w:val="single" w:sz="4" w:space="0" w:color="auto"/>
            </w:tcBorders>
            <w:shd w:val="clear" w:color="auto" w:fill="auto"/>
            <w:vAlign w:val="center"/>
          </w:tcPr>
          <w:p w:rsidR="0055491A" w:rsidRPr="00E67239" w:rsidRDefault="0055491A" w:rsidP="00210BF6">
            <w:pPr>
              <w:jc w:val="center"/>
            </w:pPr>
            <w:r w:rsidRPr="00E67239">
              <w:t>14</w:t>
            </w:r>
          </w:p>
        </w:tc>
        <w:tc>
          <w:tcPr>
            <w:tcW w:w="1276" w:type="dxa"/>
            <w:gridSpan w:val="2"/>
            <w:tcBorders>
              <w:top w:val="nil"/>
              <w:left w:val="single" w:sz="4" w:space="0" w:color="auto"/>
              <w:bottom w:val="single" w:sz="4" w:space="0" w:color="auto"/>
              <w:right w:val="single" w:sz="4" w:space="0" w:color="auto"/>
            </w:tcBorders>
            <w:shd w:val="clear" w:color="auto" w:fill="auto"/>
            <w:vAlign w:val="center"/>
          </w:tcPr>
          <w:p w:rsidR="0055491A" w:rsidRPr="00E67239" w:rsidRDefault="0055491A" w:rsidP="00210BF6">
            <w:pPr>
              <w:jc w:val="center"/>
            </w:pPr>
            <w:r w:rsidRPr="00E67239">
              <w:t>700,0</w:t>
            </w:r>
          </w:p>
        </w:tc>
        <w:tc>
          <w:tcPr>
            <w:tcW w:w="1275" w:type="dxa"/>
            <w:tcBorders>
              <w:top w:val="nil"/>
              <w:left w:val="nil"/>
              <w:bottom w:val="single" w:sz="4" w:space="0" w:color="auto"/>
              <w:right w:val="single" w:sz="4" w:space="0" w:color="auto"/>
            </w:tcBorders>
            <w:shd w:val="clear" w:color="auto" w:fill="auto"/>
            <w:vAlign w:val="center"/>
          </w:tcPr>
          <w:p w:rsidR="0055491A" w:rsidRPr="00E67239" w:rsidRDefault="0055491A" w:rsidP="00210BF6">
            <w:pPr>
              <w:jc w:val="center"/>
            </w:pPr>
            <w:r w:rsidRPr="00E67239">
              <w:t>650,0</w:t>
            </w:r>
          </w:p>
        </w:tc>
        <w:tc>
          <w:tcPr>
            <w:tcW w:w="1418" w:type="dxa"/>
            <w:tcBorders>
              <w:top w:val="nil"/>
              <w:left w:val="nil"/>
              <w:bottom w:val="single" w:sz="4" w:space="0" w:color="auto"/>
              <w:right w:val="single" w:sz="4" w:space="0" w:color="auto"/>
            </w:tcBorders>
            <w:shd w:val="clear" w:color="auto" w:fill="auto"/>
            <w:vAlign w:val="center"/>
          </w:tcPr>
          <w:p w:rsidR="0055491A" w:rsidRPr="00E67239" w:rsidRDefault="0055491A" w:rsidP="00210BF6">
            <w:pPr>
              <w:jc w:val="center"/>
            </w:pPr>
            <w:r w:rsidRPr="00E67239">
              <w:t>700,0</w:t>
            </w:r>
          </w:p>
        </w:tc>
      </w:tr>
      <w:tr w:rsidR="0055491A" w:rsidTr="00210BF6">
        <w:trPr>
          <w:gridAfter w:val="1"/>
          <w:wAfter w:w="10" w:type="dxa"/>
          <w:trHeight w:val="255"/>
        </w:trPr>
        <w:tc>
          <w:tcPr>
            <w:tcW w:w="1124" w:type="dxa"/>
            <w:tcBorders>
              <w:top w:val="nil"/>
              <w:left w:val="single" w:sz="8" w:space="0" w:color="auto"/>
              <w:bottom w:val="single" w:sz="4" w:space="0" w:color="auto"/>
              <w:right w:val="single" w:sz="8" w:space="0" w:color="auto"/>
            </w:tcBorders>
            <w:shd w:val="clear" w:color="auto" w:fill="auto"/>
          </w:tcPr>
          <w:p w:rsidR="0055491A" w:rsidRPr="001C4642" w:rsidRDefault="0055491A" w:rsidP="00210BF6">
            <w:pPr>
              <w:jc w:val="center"/>
            </w:pPr>
            <w:r w:rsidRPr="001C4642">
              <w:t>55</w:t>
            </w:r>
          </w:p>
        </w:tc>
        <w:tc>
          <w:tcPr>
            <w:tcW w:w="1319" w:type="dxa"/>
            <w:tcBorders>
              <w:top w:val="nil"/>
              <w:left w:val="nil"/>
              <w:bottom w:val="single" w:sz="8" w:space="0" w:color="auto"/>
              <w:right w:val="single" w:sz="8" w:space="0" w:color="auto"/>
            </w:tcBorders>
            <w:shd w:val="clear" w:color="auto" w:fill="auto"/>
            <w:noWrap/>
          </w:tcPr>
          <w:p w:rsidR="0055491A" w:rsidRPr="000439AD" w:rsidRDefault="0055491A" w:rsidP="00210BF6">
            <w:pPr>
              <w:jc w:val="center"/>
            </w:pPr>
            <w:r w:rsidRPr="000439AD">
              <w:t>1</w:t>
            </w:r>
          </w:p>
        </w:tc>
        <w:tc>
          <w:tcPr>
            <w:tcW w:w="1467" w:type="dxa"/>
            <w:tcBorders>
              <w:top w:val="nil"/>
              <w:left w:val="nil"/>
              <w:bottom w:val="single" w:sz="8" w:space="0" w:color="auto"/>
              <w:right w:val="single" w:sz="8" w:space="0" w:color="auto"/>
            </w:tcBorders>
            <w:shd w:val="clear" w:color="auto" w:fill="auto"/>
            <w:noWrap/>
          </w:tcPr>
          <w:p w:rsidR="0055491A" w:rsidRPr="000439AD" w:rsidRDefault="0055491A" w:rsidP="00210BF6">
            <w:pPr>
              <w:jc w:val="center"/>
            </w:pPr>
            <w:r w:rsidRPr="000439AD">
              <w:t>1</w:t>
            </w:r>
          </w:p>
        </w:tc>
        <w:tc>
          <w:tcPr>
            <w:tcW w:w="1467" w:type="dxa"/>
            <w:tcBorders>
              <w:top w:val="nil"/>
              <w:left w:val="nil"/>
              <w:bottom w:val="single" w:sz="4" w:space="0" w:color="auto"/>
              <w:right w:val="single" w:sz="4" w:space="0" w:color="auto"/>
            </w:tcBorders>
            <w:shd w:val="clear" w:color="auto" w:fill="auto"/>
          </w:tcPr>
          <w:p w:rsidR="0055491A" w:rsidRPr="000439AD" w:rsidRDefault="0055491A" w:rsidP="00210BF6">
            <w:pPr>
              <w:jc w:val="center"/>
            </w:pPr>
            <w:r w:rsidRPr="000439AD">
              <w:t>1</w:t>
            </w:r>
          </w:p>
        </w:tc>
        <w:tc>
          <w:tcPr>
            <w:tcW w:w="1276" w:type="dxa"/>
            <w:gridSpan w:val="2"/>
            <w:tcBorders>
              <w:top w:val="nil"/>
              <w:left w:val="single" w:sz="4" w:space="0" w:color="auto"/>
              <w:bottom w:val="single" w:sz="4" w:space="0" w:color="auto"/>
              <w:right w:val="single" w:sz="4" w:space="0" w:color="auto"/>
            </w:tcBorders>
            <w:shd w:val="clear" w:color="auto" w:fill="auto"/>
            <w:vAlign w:val="center"/>
          </w:tcPr>
          <w:p w:rsidR="0055491A" w:rsidRPr="00E051B1" w:rsidRDefault="0055491A" w:rsidP="00210BF6">
            <w:pPr>
              <w:jc w:val="center"/>
            </w:pPr>
            <w:r w:rsidRPr="00E051B1">
              <w:t>55,0</w:t>
            </w:r>
          </w:p>
        </w:tc>
        <w:tc>
          <w:tcPr>
            <w:tcW w:w="1275" w:type="dxa"/>
            <w:tcBorders>
              <w:top w:val="nil"/>
              <w:left w:val="nil"/>
              <w:bottom w:val="single" w:sz="4" w:space="0" w:color="auto"/>
              <w:right w:val="single" w:sz="4" w:space="0" w:color="auto"/>
            </w:tcBorders>
            <w:shd w:val="clear" w:color="auto" w:fill="auto"/>
            <w:vAlign w:val="center"/>
          </w:tcPr>
          <w:p w:rsidR="0055491A" w:rsidRPr="00E051B1" w:rsidRDefault="0055491A" w:rsidP="00210BF6">
            <w:pPr>
              <w:jc w:val="center"/>
            </w:pPr>
            <w:r w:rsidRPr="00E051B1">
              <w:t>55,0</w:t>
            </w:r>
          </w:p>
        </w:tc>
        <w:tc>
          <w:tcPr>
            <w:tcW w:w="1418" w:type="dxa"/>
            <w:tcBorders>
              <w:top w:val="nil"/>
              <w:left w:val="nil"/>
              <w:bottom w:val="single" w:sz="4" w:space="0" w:color="auto"/>
              <w:right w:val="single" w:sz="4" w:space="0" w:color="auto"/>
            </w:tcBorders>
            <w:shd w:val="clear" w:color="auto" w:fill="auto"/>
            <w:vAlign w:val="center"/>
          </w:tcPr>
          <w:p w:rsidR="0055491A" w:rsidRPr="00E051B1" w:rsidRDefault="0055491A" w:rsidP="00210BF6">
            <w:pPr>
              <w:jc w:val="center"/>
            </w:pPr>
            <w:r w:rsidRPr="00E051B1">
              <w:t>55,0</w:t>
            </w:r>
          </w:p>
        </w:tc>
      </w:tr>
      <w:tr w:rsidR="0055491A" w:rsidTr="00210BF6">
        <w:trPr>
          <w:gridAfter w:val="1"/>
          <w:wAfter w:w="10" w:type="dxa"/>
          <w:trHeight w:val="255"/>
        </w:trPr>
        <w:tc>
          <w:tcPr>
            <w:tcW w:w="1124" w:type="dxa"/>
            <w:tcBorders>
              <w:top w:val="nil"/>
              <w:left w:val="single" w:sz="8" w:space="0" w:color="auto"/>
              <w:bottom w:val="single" w:sz="4" w:space="0" w:color="auto"/>
              <w:right w:val="single" w:sz="8" w:space="0" w:color="auto"/>
            </w:tcBorders>
            <w:shd w:val="clear" w:color="auto" w:fill="auto"/>
          </w:tcPr>
          <w:p w:rsidR="0055491A" w:rsidRPr="001C4642" w:rsidRDefault="0055491A" w:rsidP="00210BF6">
            <w:pPr>
              <w:jc w:val="center"/>
            </w:pPr>
            <w:r>
              <w:t>70</w:t>
            </w:r>
          </w:p>
        </w:tc>
        <w:tc>
          <w:tcPr>
            <w:tcW w:w="1319" w:type="dxa"/>
            <w:tcBorders>
              <w:top w:val="nil"/>
              <w:left w:val="nil"/>
              <w:bottom w:val="single" w:sz="8" w:space="0" w:color="auto"/>
              <w:right w:val="single" w:sz="8" w:space="0" w:color="auto"/>
            </w:tcBorders>
            <w:shd w:val="clear" w:color="auto" w:fill="auto"/>
            <w:noWrap/>
            <w:vAlign w:val="center"/>
          </w:tcPr>
          <w:p w:rsidR="0055491A" w:rsidRPr="00E67239" w:rsidRDefault="0055491A" w:rsidP="00210BF6">
            <w:pPr>
              <w:jc w:val="center"/>
            </w:pPr>
            <w:r w:rsidRPr="00E67239">
              <w:t>3</w:t>
            </w:r>
          </w:p>
        </w:tc>
        <w:tc>
          <w:tcPr>
            <w:tcW w:w="1467" w:type="dxa"/>
            <w:tcBorders>
              <w:top w:val="nil"/>
              <w:left w:val="nil"/>
              <w:bottom w:val="single" w:sz="8" w:space="0" w:color="auto"/>
              <w:right w:val="single" w:sz="8" w:space="0" w:color="auto"/>
            </w:tcBorders>
            <w:shd w:val="clear" w:color="auto" w:fill="auto"/>
            <w:noWrap/>
            <w:vAlign w:val="center"/>
          </w:tcPr>
          <w:p w:rsidR="0055491A" w:rsidRPr="00E67239" w:rsidRDefault="0055491A" w:rsidP="00210BF6">
            <w:pPr>
              <w:jc w:val="center"/>
            </w:pPr>
            <w:r w:rsidRPr="00E67239">
              <w:t>4</w:t>
            </w:r>
          </w:p>
        </w:tc>
        <w:tc>
          <w:tcPr>
            <w:tcW w:w="1467" w:type="dxa"/>
            <w:tcBorders>
              <w:top w:val="nil"/>
              <w:left w:val="nil"/>
              <w:bottom w:val="single" w:sz="4" w:space="0" w:color="auto"/>
              <w:right w:val="single" w:sz="4" w:space="0" w:color="auto"/>
            </w:tcBorders>
            <w:shd w:val="clear" w:color="auto" w:fill="auto"/>
            <w:vAlign w:val="center"/>
          </w:tcPr>
          <w:p w:rsidR="0055491A" w:rsidRPr="00E67239" w:rsidRDefault="0055491A" w:rsidP="00210BF6">
            <w:pPr>
              <w:jc w:val="center"/>
            </w:pPr>
            <w:r w:rsidRPr="00E67239">
              <w:t>3</w:t>
            </w:r>
          </w:p>
        </w:tc>
        <w:tc>
          <w:tcPr>
            <w:tcW w:w="1276" w:type="dxa"/>
            <w:gridSpan w:val="2"/>
            <w:tcBorders>
              <w:top w:val="nil"/>
              <w:left w:val="single" w:sz="4" w:space="0" w:color="auto"/>
              <w:bottom w:val="single" w:sz="4" w:space="0" w:color="auto"/>
              <w:right w:val="single" w:sz="4" w:space="0" w:color="auto"/>
            </w:tcBorders>
            <w:shd w:val="clear" w:color="auto" w:fill="auto"/>
            <w:vAlign w:val="center"/>
          </w:tcPr>
          <w:p w:rsidR="0055491A" w:rsidRPr="00E67239" w:rsidRDefault="0055491A" w:rsidP="00210BF6">
            <w:pPr>
              <w:jc w:val="center"/>
            </w:pPr>
            <w:r w:rsidRPr="00E67239">
              <w:t>210,0</w:t>
            </w:r>
          </w:p>
        </w:tc>
        <w:tc>
          <w:tcPr>
            <w:tcW w:w="1275" w:type="dxa"/>
            <w:tcBorders>
              <w:top w:val="nil"/>
              <w:left w:val="nil"/>
              <w:bottom w:val="single" w:sz="4" w:space="0" w:color="auto"/>
              <w:right w:val="single" w:sz="4" w:space="0" w:color="auto"/>
            </w:tcBorders>
            <w:shd w:val="clear" w:color="auto" w:fill="auto"/>
            <w:vAlign w:val="center"/>
          </w:tcPr>
          <w:p w:rsidR="0055491A" w:rsidRPr="00E67239" w:rsidRDefault="0055491A" w:rsidP="00210BF6">
            <w:pPr>
              <w:jc w:val="center"/>
            </w:pPr>
            <w:r w:rsidRPr="00E67239">
              <w:t>280,0</w:t>
            </w:r>
          </w:p>
        </w:tc>
        <w:tc>
          <w:tcPr>
            <w:tcW w:w="1418" w:type="dxa"/>
            <w:tcBorders>
              <w:top w:val="nil"/>
              <w:left w:val="nil"/>
              <w:bottom w:val="single" w:sz="4" w:space="0" w:color="auto"/>
              <w:right w:val="single" w:sz="4" w:space="0" w:color="auto"/>
            </w:tcBorders>
            <w:shd w:val="clear" w:color="auto" w:fill="auto"/>
            <w:vAlign w:val="center"/>
          </w:tcPr>
          <w:p w:rsidR="0055491A" w:rsidRPr="00E67239" w:rsidRDefault="0055491A" w:rsidP="00210BF6">
            <w:pPr>
              <w:jc w:val="center"/>
            </w:pPr>
            <w:r w:rsidRPr="00E67239">
              <w:t>210,0</w:t>
            </w:r>
          </w:p>
        </w:tc>
      </w:tr>
      <w:tr w:rsidR="0055491A" w:rsidTr="00210BF6">
        <w:trPr>
          <w:gridAfter w:val="1"/>
          <w:wAfter w:w="10" w:type="dxa"/>
          <w:trHeight w:val="255"/>
        </w:trPr>
        <w:tc>
          <w:tcPr>
            <w:tcW w:w="1124" w:type="dxa"/>
            <w:tcBorders>
              <w:top w:val="nil"/>
              <w:left w:val="single" w:sz="8" w:space="0" w:color="auto"/>
              <w:bottom w:val="single" w:sz="4" w:space="0" w:color="auto"/>
              <w:right w:val="single" w:sz="8" w:space="0" w:color="auto"/>
            </w:tcBorders>
            <w:shd w:val="clear" w:color="auto" w:fill="auto"/>
          </w:tcPr>
          <w:p w:rsidR="0055491A" w:rsidRPr="001C4642" w:rsidRDefault="0055491A" w:rsidP="00210BF6">
            <w:pPr>
              <w:jc w:val="center"/>
            </w:pPr>
            <w:r>
              <w:t>75</w:t>
            </w:r>
          </w:p>
        </w:tc>
        <w:tc>
          <w:tcPr>
            <w:tcW w:w="1319" w:type="dxa"/>
            <w:tcBorders>
              <w:top w:val="nil"/>
              <w:left w:val="nil"/>
              <w:bottom w:val="single" w:sz="8" w:space="0" w:color="auto"/>
              <w:right w:val="single" w:sz="8" w:space="0" w:color="auto"/>
            </w:tcBorders>
            <w:shd w:val="clear" w:color="auto" w:fill="auto"/>
            <w:noWrap/>
            <w:vAlign w:val="center"/>
          </w:tcPr>
          <w:p w:rsidR="0055491A" w:rsidRPr="00E051B1" w:rsidRDefault="0055491A" w:rsidP="00210BF6">
            <w:pPr>
              <w:jc w:val="center"/>
            </w:pPr>
            <w:r>
              <w:t>1</w:t>
            </w:r>
          </w:p>
        </w:tc>
        <w:tc>
          <w:tcPr>
            <w:tcW w:w="1467" w:type="dxa"/>
            <w:tcBorders>
              <w:top w:val="nil"/>
              <w:left w:val="nil"/>
              <w:bottom w:val="single" w:sz="8" w:space="0" w:color="auto"/>
              <w:right w:val="single" w:sz="8" w:space="0" w:color="auto"/>
            </w:tcBorders>
            <w:shd w:val="clear" w:color="auto" w:fill="auto"/>
            <w:noWrap/>
            <w:vAlign w:val="center"/>
          </w:tcPr>
          <w:p w:rsidR="0055491A" w:rsidRPr="00E051B1" w:rsidRDefault="0055491A" w:rsidP="00210BF6">
            <w:pPr>
              <w:jc w:val="center"/>
            </w:pPr>
            <w:r>
              <w:t>1</w:t>
            </w:r>
          </w:p>
        </w:tc>
        <w:tc>
          <w:tcPr>
            <w:tcW w:w="1467" w:type="dxa"/>
            <w:tcBorders>
              <w:top w:val="nil"/>
              <w:left w:val="nil"/>
              <w:bottom w:val="single" w:sz="4" w:space="0" w:color="auto"/>
              <w:right w:val="single" w:sz="4" w:space="0" w:color="auto"/>
            </w:tcBorders>
            <w:shd w:val="clear" w:color="auto" w:fill="auto"/>
            <w:vAlign w:val="center"/>
          </w:tcPr>
          <w:p w:rsidR="0055491A" w:rsidRPr="00E051B1" w:rsidRDefault="0055491A" w:rsidP="00210BF6">
            <w:pPr>
              <w:jc w:val="center"/>
            </w:pPr>
            <w:r>
              <w:t>1</w:t>
            </w:r>
          </w:p>
        </w:tc>
        <w:tc>
          <w:tcPr>
            <w:tcW w:w="1276" w:type="dxa"/>
            <w:gridSpan w:val="2"/>
            <w:tcBorders>
              <w:top w:val="nil"/>
              <w:left w:val="single" w:sz="4" w:space="0" w:color="auto"/>
              <w:bottom w:val="single" w:sz="4" w:space="0" w:color="auto"/>
              <w:right w:val="single" w:sz="4" w:space="0" w:color="auto"/>
            </w:tcBorders>
            <w:shd w:val="clear" w:color="auto" w:fill="auto"/>
            <w:vAlign w:val="center"/>
          </w:tcPr>
          <w:p w:rsidR="0055491A" w:rsidRPr="00E051B1" w:rsidRDefault="0055491A" w:rsidP="00210BF6">
            <w:pPr>
              <w:jc w:val="center"/>
            </w:pPr>
            <w:r>
              <w:t>75,0</w:t>
            </w:r>
          </w:p>
        </w:tc>
        <w:tc>
          <w:tcPr>
            <w:tcW w:w="1275" w:type="dxa"/>
            <w:tcBorders>
              <w:top w:val="nil"/>
              <w:left w:val="nil"/>
              <w:bottom w:val="single" w:sz="4" w:space="0" w:color="auto"/>
              <w:right w:val="single" w:sz="4" w:space="0" w:color="auto"/>
            </w:tcBorders>
            <w:shd w:val="clear" w:color="auto" w:fill="auto"/>
            <w:vAlign w:val="center"/>
          </w:tcPr>
          <w:p w:rsidR="0055491A" w:rsidRPr="00E051B1" w:rsidRDefault="0055491A" w:rsidP="00210BF6">
            <w:pPr>
              <w:jc w:val="center"/>
            </w:pPr>
            <w:r>
              <w:t>75</w:t>
            </w:r>
            <w:r w:rsidRPr="00E051B1">
              <w:t>,0</w:t>
            </w:r>
          </w:p>
        </w:tc>
        <w:tc>
          <w:tcPr>
            <w:tcW w:w="1418" w:type="dxa"/>
            <w:tcBorders>
              <w:top w:val="nil"/>
              <w:left w:val="nil"/>
              <w:bottom w:val="single" w:sz="4" w:space="0" w:color="auto"/>
              <w:right w:val="single" w:sz="4" w:space="0" w:color="auto"/>
            </w:tcBorders>
            <w:shd w:val="clear" w:color="auto" w:fill="auto"/>
            <w:vAlign w:val="center"/>
          </w:tcPr>
          <w:p w:rsidR="0055491A" w:rsidRPr="00E051B1" w:rsidRDefault="0055491A" w:rsidP="00210BF6">
            <w:pPr>
              <w:jc w:val="center"/>
            </w:pPr>
            <w:r>
              <w:t>75</w:t>
            </w:r>
          </w:p>
        </w:tc>
      </w:tr>
      <w:tr w:rsidR="0055491A" w:rsidTr="00210BF6">
        <w:trPr>
          <w:gridAfter w:val="1"/>
          <w:wAfter w:w="10" w:type="dxa"/>
          <w:trHeight w:val="255"/>
        </w:trPr>
        <w:tc>
          <w:tcPr>
            <w:tcW w:w="1124" w:type="dxa"/>
            <w:tcBorders>
              <w:top w:val="nil"/>
              <w:left w:val="single" w:sz="8" w:space="0" w:color="auto"/>
              <w:bottom w:val="single" w:sz="4" w:space="0" w:color="auto"/>
              <w:right w:val="single" w:sz="8" w:space="0" w:color="auto"/>
            </w:tcBorders>
            <w:shd w:val="clear" w:color="auto" w:fill="auto"/>
          </w:tcPr>
          <w:p w:rsidR="0055491A" w:rsidRPr="001C4642" w:rsidRDefault="0055491A" w:rsidP="00210BF6">
            <w:pPr>
              <w:jc w:val="center"/>
            </w:pPr>
            <w:r w:rsidRPr="001C4642">
              <w:t>80</w:t>
            </w:r>
          </w:p>
        </w:tc>
        <w:tc>
          <w:tcPr>
            <w:tcW w:w="1319" w:type="dxa"/>
            <w:tcBorders>
              <w:top w:val="nil"/>
              <w:left w:val="nil"/>
              <w:bottom w:val="single" w:sz="8" w:space="0" w:color="auto"/>
              <w:right w:val="single" w:sz="8" w:space="0" w:color="auto"/>
            </w:tcBorders>
            <w:shd w:val="clear" w:color="auto" w:fill="auto"/>
            <w:noWrap/>
          </w:tcPr>
          <w:p w:rsidR="0055491A" w:rsidRPr="000439AD" w:rsidRDefault="0055491A" w:rsidP="00210BF6">
            <w:pPr>
              <w:jc w:val="center"/>
            </w:pPr>
            <w:r w:rsidRPr="000439AD">
              <w:t>1</w:t>
            </w:r>
          </w:p>
        </w:tc>
        <w:tc>
          <w:tcPr>
            <w:tcW w:w="1467" w:type="dxa"/>
            <w:tcBorders>
              <w:top w:val="nil"/>
              <w:left w:val="nil"/>
              <w:bottom w:val="single" w:sz="8" w:space="0" w:color="auto"/>
              <w:right w:val="single" w:sz="8" w:space="0" w:color="auto"/>
            </w:tcBorders>
            <w:shd w:val="clear" w:color="auto" w:fill="auto"/>
            <w:noWrap/>
          </w:tcPr>
          <w:p w:rsidR="0055491A" w:rsidRPr="000439AD" w:rsidRDefault="0055491A" w:rsidP="00210BF6">
            <w:pPr>
              <w:jc w:val="center"/>
            </w:pPr>
            <w:r w:rsidRPr="000439AD">
              <w:t>1</w:t>
            </w:r>
          </w:p>
        </w:tc>
        <w:tc>
          <w:tcPr>
            <w:tcW w:w="1467" w:type="dxa"/>
            <w:tcBorders>
              <w:top w:val="nil"/>
              <w:left w:val="nil"/>
              <w:bottom w:val="single" w:sz="4" w:space="0" w:color="auto"/>
              <w:right w:val="single" w:sz="4" w:space="0" w:color="auto"/>
            </w:tcBorders>
            <w:shd w:val="clear" w:color="auto" w:fill="auto"/>
          </w:tcPr>
          <w:p w:rsidR="0055491A" w:rsidRPr="000439AD" w:rsidRDefault="0055491A" w:rsidP="00210BF6">
            <w:pPr>
              <w:jc w:val="center"/>
            </w:pPr>
            <w:r w:rsidRPr="000439AD">
              <w:t>1</w:t>
            </w:r>
          </w:p>
        </w:tc>
        <w:tc>
          <w:tcPr>
            <w:tcW w:w="1276" w:type="dxa"/>
            <w:gridSpan w:val="2"/>
            <w:tcBorders>
              <w:top w:val="nil"/>
              <w:left w:val="single" w:sz="4" w:space="0" w:color="auto"/>
              <w:bottom w:val="single" w:sz="4" w:space="0" w:color="auto"/>
              <w:right w:val="single" w:sz="4" w:space="0" w:color="auto"/>
            </w:tcBorders>
            <w:shd w:val="clear" w:color="auto" w:fill="auto"/>
          </w:tcPr>
          <w:p w:rsidR="0055491A" w:rsidRPr="008D3622" w:rsidRDefault="0055491A" w:rsidP="00210BF6">
            <w:pPr>
              <w:jc w:val="center"/>
            </w:pPr>
            <w:r w:rsidRPr="008D3622">
              <w:t>80</w:t>
            </w:r>
          </w:p>
        </w:tc>
        <w:tc>
          <w:tcPr>
            <w:tcW w:w="1275" w:type="dxa"/>
            <w:tcBorders>
              <w:top w:val="nil"/>
              <w:left w:val="nil"/>
              <w:bottom w:val="single" w:sz="4" w:space="0" w:color="auto"/>
              <w:right w:val="single" w:sz="4" w:space="0" w:color="auto"/>
            </w:tcBorders>
            <w:shd w:val="clear" w:color="auto" w:fill="auto"/>
          </w:tcPr>
          <w:p w:rsidR="0055491A" w:rsidRPr="00844A61" w:rsidRDefault="0055491A" w:rsidP="00210BF6">
            <w:pPr>
              <w:jc w:val="center"/>
            </w:pPr>
            <w:r w:rsidRPr="00844A61">
              <w:t>80</w:t>
            </w:r>
          </w:p>
        </w:tc>
        <w:tc>
          <w:tcPr>
            <w:tcW w:w="1418" w:type="dxa"/>
            <w:tcBorders>
              <w:top w:val="nil"/>
              <w:left w:val="nil"/>
              <w:bottom w:val="single" w:sz="4" w:space="0" w:color="auto"/>
              <w:right w:val="single" w:sz="4" w:space="0" w:color="auto"/>
            </w:tcBorders>
            <w:shd w:val="clear" w:color="auto" w:fill="auto"/>
          </w:tcPr>
          <w:p w:rsidR="0055491A" w:rsidRPr="00717FC7" w:rsidRDefault="0055491A" w:rsidP="00210BF6">
            <w:pPr>
              <w:jc w:val="center"/>
            </w:pPr>
            <w:r w:rsidRPr="00717FC7">
              <w:t>80</w:t>
            </w:r>
          </w:p>
        </w:tc>
      </w:tr>
      <w:tr w:rsidR="0055491A" w:rsidTr="00210BF6">
        <w:trPr>
          <w:gridAfter w:val="1"/>
          <w:wAfter w:w="10" w:type="dxa"/>
          <w:trHeight w:val="255"/>
        </w:trPr>
        <w:tc>
          <w:tcPr>
            <w:tcW w:w="1124" w:type="dxa"/>
            <w:tcBorders>
              <w:top w:val="nil"/>
              <w:left w:val="single" w:sz="8" w:space="0" w:color="auto"/>
              <w:bottom w:val="single" w:sz="4" w:space="0" w:color="auto"/>
              <w:right w:val="single" w:sz="8" w:space="0" w:color="auto"/>
            </w:tcBorders>
            <w:shd w:val="clear" w:color="auto" w:fill="auto"/>
          </w:tcPr>
          <w:p w:rsidR="0055491A" w:rsidRPr="001C4642" w:rsidRDefault="0055491A" w:rsidP="00210BF6">
            <w:pPr>
              <w:jc w:val="center"/>
            </w:pPr>
            <w:r w:rsidRPr="001C4642">
              <w:t>100</w:t>
            </w:r>
          </w:p>
        </w:tc>
        <w:tc>
          <w:tcPr>
            <w:tcW w:w="1319" w:type="dxa"/>
            <w:tcBorders>
              <w:top w:val="nil"/>
              <w:left w:val="nil"/>
              <w:bottom w:val="single" w:sz="8" w:space="0" w:color="auto"/>
              <w:right w:val="single" w:sz="8" w:space="0" w:color="auto"/>
            </w:tcBorders>
            <w:shd w:val="clear" w:color="auto" w:fill="auto"/>
            <w:noWrap/>
            <w:vAlign w:val="center"/>
          </w:tcPr>
          <w:p w:rsidR="0055491A" w:rsidRPr="00E051B1" w:rsidRDefault="0055491A" w:rsidP="00210BF6">
            <w:pPr>
              <w:jc w:val="center"/>
            </w:pPr>
            <w:r w:rsidRPr="00E051B1">
              <w:t>6</w:t>
            </w:r>
          </w:p>
        </w:tc>
        <w:tc>
          <w:tcPr>
            <w:tcW w:w="1467" w:type="dxa"/>
            <w:tcBorders>
              <w:top w:val="nil"/>
              <w:left w:val="nil"/>
              <w:bottom w:val="single" w:sz="8" w:space="0" w:color="auto"/>
              <w:right w:val="single" w:sz="8" w:space="0" w:color="auto"/>
            </w:tcBorders>
            <w:shd w:val="clear" w:color="auto" w:fill="auto"/>
            <w:noWrap/>
            <w:vAlign w:val="center"/>
          </w:tcPr>
          <w:p w:rsidR="0055491A" w:rsidRPr="00E051B1" w:rsidRDefault="0055491A" w:rsidP="00210BF6">
            <w:pPr>
              <w:jc w:val="center"/>
            </w:pPr>
            <w:r w:rsidRPr="00E051B1">
              <w:t>7</w:t>
            </w:r>
          </w:p>
        </w:tc>
        <w:tc>
          <w:tcPr>
            <w:tcW w:w="1467" w:type="dxa"/>
            <w:tcBorders>
              <w:top w:val="nil"/>
              <w:left w:val="nil"/>
              <w:bottom w:val="single" w:sz="4" w:space="0" w:color="auto"/>
              <w:right w:val="single" w:sz="4" w:space="0" w:color="auto"/>
            </w:tcBorders>
            <w:shd w:val="clear" w:color="auto" w:fill="auto"/>
            <w:vAlign w:val="center"/>
          </w:tcPr>
          <w:p w:rsidR="0055491A" w:rsidRPr="00E051B1" w:rsidRDefault="0055491A" w:rsidP="00210BF6">
            <w:pPr>
              <w:jc w:val="center"/>
            </w:pPr>
            <w:r w:rsidRPr="00E051B1">
              <w:t>7</w:t>
            </w:r>
          </w:p>
        </w:tc>
        <w:tc>
          <w:tcPr>
            <w:tcW w:w="1276" w:type="dxa"/>
            <w:gridSpan w:val="2"/>
            <w:tcBorders>
              <w:top w:val="nil"/>
              <w:left w:val="single" w:sz="4" w:space="0" w:color="auto"/>
              <w:bottom w:val="single" w:sz="4" w:space="0" w:color="auto"/>
              <w:right w:val="single" w:sz="4" w:space="0" w:color="auto"/>
            </w:tcBorders>
            <w:shd w:val="clear" w:color="auto" w:fill="auto"/>
          </w:tcPr>
          <w:p w:rsidR="0055491A" w:rsidRPr="008D3622" w:rsidRDefault="0055491A" w:rsidP="00210BF6">
            <w:pPr>
              <w:jc w:val="center"/>
            </w:pPr>
            <w:r>
              <w:t>6</w:t>
            </w:r>
            <w:r w:rsidRPr="008D3622">
              <w:t>0</w:t>
            </w:r>
            <w:r>
              <w:t>0</w:t>
            </w:r>
          </w:p>
        </w:tc>
        <w:tc>
          <w:tcPr>
            <w:tcW w:w="1275" w:type="dxa"/>
            <w:tcBorders>
              <w:top w:val="nil"/>
              <w:left w:val="nil"/>
              <w:bottom w:val="single" w:sz="4" w:space="0" w:color="auto"/>
              <w:right w:val="single" w:sz="4" w:space="0" w:color="auto"/>
            </w:tcBorders>
            <w:shd w:val="clear" w:color="auto" w:fill="auto"/>
          </w:tcPr>
          <w:p w:rsidR="0055491A" w:rsidRPr="00844A61" w:rsidRDefault="0055491A" w:rsidP="00210BF6">
            <w:pPr>
              <w:jc w:val="center"/>
            </w:pPr>
            <w:r>
              <w:t>700</w:t>
            </w:r>
          </w:p>
        </w:tc>
        <w:tc>
          <w:tcPr>
            <w:tcW w:w="1418" w:type="dxa"/>
            <w:tcBorders>
              <w:top w:val="nil"/>
              <w:left w:val="nil"/>
              <w:bottom w:val="single" w:sz="4" w:space="0" w:color="auto"/>
              <w:right w:val="single" w:sz="4" w:space="0" w:color="auto"/>
            </w:tcBorders>
            <w:shd w:val="clear" w:color="auto" w:fill="auto"/>
          </w:tcPr>
          <w:p w:rsidR="0055491A" w:rsidRPr="00717FC7" w:rsidRDefault="0055491A" w:rsidP="00210BF6">
            <w:pPr>
              <w:jc w:val="center"/>
            </w:pPr>
            <w:r w:rsidRPr="00717FC7">
              <w:t>700</w:t>
            </w:r>
          </w:p>
        </w:tc>
      </w:tr>
      <w:tr w:rsidR="0055491A" w:rsidTr="00210BF6">
        <w:trPr>
          <w:gridAfter w:val="1"/>
          <w:wAfter w:w="10" w:type="dxa"/>
          <w:trHeight w:val="255"/>
        </w:trPr>
        <w:tc>
          <w:tcPr>
            <w:tcW w:w="1124" w:type="dxa"/>
            <w:tcBorders>
              <w:top w:val="nil"/>
              <w:left w:val="single" w:sz="8" w:space="0" w:color="auto"/>
              <w:bottom w:val="single" w:sz="4" w:space="0" w:color="auto"/>
              <w:right w:val="single" w:sz="8" w:space="0" w:color="auto"/>
            </w:tcBorders>
            <w:shd w:val="clear" w:color="auto" w:fill="auto"/>
          </w:tcPr>
          <w:p w:rsidR="0055491A" w:rsidRPr="001C4642" w:rsidRDefault="0055491A" w:rsidP="00210BF6">
            <w:pPr>
              <w:jc w:val="center"/>
            </w:pPr>
            <w:r w:rsidRPr="001C4642">
              <w:t>110</w:t>
            </w:r>
          </w:p>
        </w:tc>
        <w:tc>
          <w:tcPr>
            <w:tcW w:w="1319" w:type="dxa"/>
            <w:tcBorders>
              <w:top w:val="nil"/>
              <w:left w:val="nil"/>
              <w:bottom w:val="single" w:sz="8" w:space="0" w:color="auto"/>
              <w:right w:val="single" w:sz="8" w:space="0" w:color="auto"/>
            </w:tcBorders>
            <w:shd w:val="clear" w:color="auto" w:fill="auto"/>
            <w:noWrap/>
          </w:tcPr>
          <w:p w:rsidR="0055491A" w:rsidRPr="000439AD" w:rsidRDefault="0055491A" w:rsidP="00210BF6">
            <w:pPr>
              <w:jc w:val="center"/>
            </w:pPr>
            <w:r w:rsidRPr="000439AD">
              <w:t>1</w:t>
            </w:r>
          </w:p>
        </w:tc>
        <w:tc>
          <w:tcPr>
            <w:tcW w:w="1467" w:type="dxa"/>
            <w:tcBorders>
              <w:top w:val="nil"/>
              <w:left w:val="nil"/>
              <w:bottom w:val="single" w:sz="8" w:space="0" w:color="auto"/>
              <w:right w:val="single" w:sz="8" w:space="0" w:color="auto"/>
            </w:tcBorders>
            <w:shd w:val="clear" w:color="auto" w:fill="auto"/>
            <w:noWrap/>
          </w:tcPr>
          <w:p w:rsidR="0055491A" w:rsidRPr="000439AD" w:rsidRDefault="0055491A" w:rsidP="00210BF6">
            <w:pPr>
              <w:jc w:val="center"/>
            </w:pPr>
            <w:r w:rsidRPr="000439AD">
              <w:t>1</w:t>
            </w:r>
          </w:p>
        </w:tc>
        <w:tc>
          <w:tcPr>
            <w:tcW w:w="1467" w:type="dxa"/>
            <w:tcBorders>
              <w:top w:val="nil"/>
              <w:left w:val="nil"/>
              <w:bottom w:val="single" w:sz="4" w:space="0" w:color="auto"/>
              <w:right w:val="single" w:sz="4" w:space="0" w:color="auto"/>
            </w:tcBorders>
            <w:shd w:val="clear" w:color="auto" w:fill="auto"/>
          </w:tcPr>
          <w:p w:rsidR="0055491A" w:rsidRPr="000439AD" w:rsidRDefault="0055491A" w:rsidP="00210BF6">
            <w:pPr>
              <w:jc w:val="center"/>
            </w:pPr>
            <w:r w:rsidRPr="000439AD">
              <w:t>1</w:t>
            </w:r>
          </w:p>
        </w:tc>
        <w:tc>
          <w:tcPr>
            <w:tcW w:w="1276" w:type="dxa"/>
            <w:gridSpan w:val="2"/>
            <w:tcBorders>
              <w:top w:val="nil"/>
              <w:left w:val="single" w:sz="4" w:space="0" w:color="auto"/>
              <w:bottom w:val="single" w:sz="4" w:space="0" w:color="auto"/>
              <w:right w:val="single" w:sz="4" w:space="0" w:color="auto"/>
            </w:tcBorders>
            <w:shd w:val="clear" w:color="auto" w:fill="auto"/>
          </w:tcPr>
          <w:p w:rsidR="0055491A" w:rsidRPr="008D3622" w:rsidRDefault="0055491A" w:rsidP="00210BF6">
            <w:pPr>
              <w:jc w:val="center"/>
            </w:pPr>
            <w:r w:rsidRPr="008D3622">
              <w:t>110</w:t>
            </w:r>
          </w:p>
        </w:tc>
        <w:tc>
          <w:tcPr>
            <w:tcW w:w="1275" w:type="dxa"/>
            <w:tcBorders>
              <w:top w:val="nil"/>
              <w:left w:val="nil"/>
              <w:bottom w:val="single" w:sz="4" w:space="0" w:color="auto"/>
              <w:right w:val="single" w:sz="4" w:space="0" w:color="auto"/>
            </w:tcBorders>
            <w:shd w:val="clear" w:color="auto" w:fill="auto"/>
          </w:tcPr>
          <w:p w:rsidR="0055491A" w:rsidRPr="00844A61" w:rsidRDefault="0055491A" w:rsidP="00210BF6">
            <w:pPr>
              <w:jc w:val="center"/>
            </w:pPr>
            <w:r w:rsidRPr="00844A61">
              <w:t>110</w:t>
            </w:r>
          </w:p>
        </w:tc>
        <w:tc>
          <w:tcPr>
            <w:tcW w:w="1418" w:type="dxa"/>
            <w:tcBorders>
              <w:top w:val="nil"/>
              <w:left w:val="nil"/>
              <w:bottom w:val="single" w:sz="4" w:space="0" w:color="auto"/>
              <w:right w:val="single" w:sz="4" w:space="0" w:color="auto"/>
            </w:tcBorders>
            <w:shd w:val="clear" w:color="auto" w:fill="auto"/>
          </w:tcPr>
          <w:p w:rsidR="0055491A" w:rsidRPr="00717FC7" w:rsidRDefault="0055491A" w:rsidP="00210BF6">
            <w:pPr>
              <w:jc w:val="center"/>
            </w:pPr>
            <w:r w:rsidRPr="00717FC7">
              <w:t>110</w:t>
            </w:r>
          </w:p>
        </w:tc>
      </w:tr>
      <w:tr w:rsidR="0055491A" w:rsidTr="00210BF6">
        <w:trPr>
          <w:gridAfter w:val="1"/>
          <w:wAfter w:w="10" w:type="dxa"/>
          <w:trHeight w:val="255"/>
        </w:trPr>
        <w:tc>
          <w:tcPr>
            <w:tcW w:w="1124" w:type="dxa"/>
            <w:tcBorders>
              <w:top w:val="nil"/>
              <w:left w:val="single" w:sz="8" w:space="0" w:color="auto"/>
              <w:bottom w:val="nil"/>
              <w:right w:val="single" w:sz="8" w:space="0" w:color="auto"/>
            </w:tcBorders>
            <w:shd w:val="clear" w:color="auto" w:fill="auto"/>
          </w:tcPr>
          <w:p w:rsidR="0055491A" w:rsidRPr="001C4642" w:rsidRDefault="0055491A" w:rsidP="00210BF6">
            <w:pPr>
              <w:jc w:val="center"/>
            </w:pPr>
            <w:r w:rsidRPr="001C4642">
              <w:t>180</w:t>
            </w:r>
          </w:p>
        </w:tc>
        <w:tc>
          <w:tcPr>
            <w:tcW w:w="1319" w:type="dxa"/>
            <w:tcBorders>
              <w:top w:val="nil"/>
              <w:left w:val="nil"/>
              <w:bottom w:val="nil"/>
              <w:right w:val="single" w:sz="8" w:space="0" w:color="auto"/>
            </w:tcBorders>
            <w:shd w:val="clear" w:color="auto" w:fill="auto"/>
            <w:noWrap/>
          </w:tcPr>
          <w:p w:rsidR="0055491A" w:rsidRPr="000439AD" w:rsidRDefault="0055491A" w:rsidP="00210BF6">
            <w:pPr>
              <w:jc w:val="center"/>
            </w:pPr>
            <w:r w:rsidRPr="000439AD">
              <w:t>1</w:t>
            </w:r>
          </w:p>
        </w:tc>
        <w:tc>
          <w:tcPr>
            <w:tcW w:w="1467" w:type="dxa"/>
            <w:tcBorders>
              <w:top w:val="nil"/>
              <w:left w:val="nil"/>
              <w:bottom w:val="nil"/>
              <w:right w:val="single" w:sz="8" w:space="0" w:color="auto"/>
            </w:tcBorders>
            <w:shd w:val="clear" w:color="auto" w:fill="auto"/>
            <w:noWrap/>
          </w:tcPr>
          <w:p w:rsidR="0055491A" w:rsidRPr="000439AD" w:rsidRDefault="0055491A" w:rsidP="00210BF6">
            <w:pPr>
              <w:jc w:val="center"/>
            </w:pPr>
            <w:r w:rsidRPr="000439AD">
              <w:t>1</w:t>
            </w:r>
          </w:p>
        </w:tc>
        <w:tc>
          <w:tcPr>
            <w:tcW w:w="1467" w:type="dxa"/>
            <w:tcBorders>
              <w:top w:val="nil"/>
              <w:left w:val="nil"/>
              <w:bottom w:val="nil"/>
              <w:right w:val="single" w:sz="4" w:space="0" w:color="auto"/>
            </w:tcBorders>
            <w:shd w:val="clear" w:color="auto" w:fill="auto"/>
          </w:tcPr>
          <w:p w:rsidR="0055491A" w:rsidRPr="000439AD" w:rsidRDefault="0055491A" w:rsidP="00210BF6">
            <w:pPr>
              <w:jc w:val="center"/>
            </w:pPr>
            <w:r w:rsidRPr="000439AD">
              <w:t>1</w:t>
            </w:r>
          </w:p>
        </w:tc>
        <w:tc>
          <w:tcPr>
            <w:tcW w:w="1276" w:type="dxa"/>
            <w:gridSpan w:val="2"/>
            <w:tcBorders>
              <w:top w:val="nil"/>
              <w:left w:val="single" w:sz="4" w:space="0" w:color="auto"/>
              <w:bottom w:val="nil"/>
              <w:right w:val="single" w:sz="4" w:space="0" w:color="auto"/>
            </w:tcBorders>
            <w:shd w:val="clear" w:color="auto" w:fill="auto"/>
          </w:tcPr>
          <w:p w:rsidR="0055491A" w:rsidRPr="008D3622" w:rsidRDefault="0055491A" w:rsidP="00210BF6">
            <w:pPr>
              <w:jc w:val="center"/>
            </w:pPr>
            <w:r w:rsidRPr="008D3622">
              <w:t>180</w:t>
            </w:r>
          </w:p>
        </w:tc>
        <w:tc>
          <w:tcPr>
            <w:tcW w:w="1275" w:type="dxa"/>
            <w:tcBorders>
              <w:top w:val="nil"/>
              <w:left w:val="nil"/>
              <w:bottom w:val="nil"/>
              <w:right w:val="single" w:sz="4" w:space="0" w:color="auto"/>
            </w:tcBorders>
            <w:shd w:val="clear" w:color="auto" w:fill="auto"/>
          </w:tcPr>
          <w:p w:rsidR="0055491A" w:rsidRPr="00844A61" w:rsidRDefault="0055491A" w:rsidP="00210BF6">
            <w:pPr>
              <w:jc w:val="center"/>
            </w:pPr>
            <w:r w:rsidRPr="00844A61">
              <w:t>180</w:t>
            </w:r>
          </w:p>
        </w:tc>
        <w:tc>
          <w:tcPr>
            <w:tcW w:w="1418" w:type="dxa"/>
            <w:tcBorders>
              <w:top w:val="nil"/>
              <w:left w:val="nil"/>
              <w:bottom w:val="nil"/>
              <w:right w:val="single" w:sz="4" w:space="0" w:color="auto"/>
            </w:tcBorders>
            <w:shd w:val="clear" w:color="auto" w:fill="auto"/>
          </w:tcPr>
          <w:p w:rsidR="0055491A" w:rsidRPr="00717FC7" w:rsidRDefault="0055491A" w:rsidP="00210BF6">
            <w:pPr>
              <w:jc w:val="center"/>
            </w:pPr>
            <w:r w:rsidRPr="00717FC7">
              <w:t>180</w:t>
            </w:r>
          </w:p>
        </w:tc>
      </w:tr>
      <w:tr w:rsidR="0055491A" w:rsidTr="00210BF6">
        <w:trPr>
          <w:gridAfter w:val="1"/>
          <w:wAfter w:w="10" w:type="dxa"/>
          <w:trHeight w:val="255"/>
        </w:trPr>
        <w:tc>
          <w:tcPr>
            <w:tcW w:w="1124" w:type="dxa"/>
            <w:tcBorders>
              <w:top w:val="nil"/>
              <w:left w:val="single" w:sz="8" w:space="0" w:color="auto"/>
              <w:bottom w:val="nil"/>
              <w:right w:val="single" w:sz="8" w:space="0" w:color="auto"/>
            </w:tcBorders>
            <w:shd w:val="clear" w:color="auto" w:fill="auto"/>
          </w:tcPr>
          <w:p w:rsidR="0055491A" w:rsidRPr="001C4642" w:rsidRDefault="0055491A" w:rsidP="00210BF6">
            <w:pPr>
              <w:jc w:val="center"/>
            </w:pPr>
            <w:r>
              <w:t>200</w:t>
            </w:r>
          </w:p>
        </w:tc>
        <w:tc>
          <w:tcPr>
            <w:tcW w:w="1319" w:type="dxa"/>
            <w:tcBorders>
              <w:top w:val="nil"/>
              <w:left w:val="nil"/>
              <w:bottom w:val="nil"/>
              <w:right w:val="single" w:sz="8" w:space="0" w:color="auto"/>
            </w:tcBorders>
            <w:shd w:val="clear" w:color="auto" w:fill="auto"/>
            <w:noWrap/>
            <w:vAlign w:val="center"/>
          </w:tcPr>
          <w:p w:rsidR="0055491A" w:rsidRPr="00E051B1" w:rsidRDefault="0055491A" w:rsidP="00210BF6">
            <w:pPr>
              <w:jc w:val="center"/>
            </w:pPr>
            <w:r w:rsidRPr="00E051B1">
              <w:t>3</w:t>
            </w:r>
          </w:p>
        </w:tc>
        <w:tc>
          <w:tcPr>
            <w:tcW w:w="1467" w:type="dxa"/>
            <w:tcBorders>
              <w:top w:val="nil"/>
              <w:left w:val="nil"/>
              <w:bottom w:val="nil"/>
              <w:right w:val="single" w:sz="8" w:space="0" w:color="auto"/>
            </w:tcBorders>
            <w:shd w:val="clear" w:color="auto" w:fill="auto"/>
            <w:noWrap/>
            <w:vAlign w:val="center"/>
          </w:tcPr>
          <w:p w:rsidR="0055491A" w:rsidRPr="00E051B1" w:rsidRDefault="0055491A" w:rsidP="00210BF6">
            <w:pPr>
              <w:jc w:val="center"/>
            </w:pPr>
            <w:r w:rsidRPr="00E051B1">
              <w:t>4</w:t>
            </w:r>
          </w:p>
        </w:tc>
        <w:tc>
          <w:tcPr>
            <w:tcW w:w="1467" w:type="dxa"/>
            <w:tcBorders>
              <w:top w:val="nil"/>
              <w:left w:val="nil"/>
              <w:bottom w:val="nil"/>
              <w:right w:val="single" w:sz="4" w:space="0" w:color="auto"/>
            </w:tcBorders>
            <w:shd w:val="clear" w:color="auto" w:fill="auto"/>
            <w:vAlign w:val="center"/>
          </w:tcPr>
          <w:p w:rsidR="0055491A" w:rsidRPr="00E051B1" w:rsidRDefault="0055491A" w:rsidP="00210BF6">
            <w:pPr>
              <w:jc w:val="center"/>
            </w:pPr>
            <w:r w:rsidRPr="00E051B1">
              <w:t>3</w:t>
            </w:r>
          </w:p>
        </w:tc>
        <w:tc>
          <w:tcPr>
            <w:tcW w:w="1276" w:type="dxa"/>
            <w:gridSpan w:val="2"/>
            <w:tcBorders>
              <w:top w:val="nil"/>
              <w:left w:val="single" w:sz="4" w:space="0" w:color="auto"/>
              <w:bottom w:val="nil"/>
              <w:right w:val="single" w:sz="4" w:space="0" w:color="auto"/>
            </w:tcBorders>
            <w:shd w:val="clear" w:color="auto" w:fill="auto"/>
            <w:vAlign w:val="center"/>
          </w:tcPr>
          <w:p w:rsidR="0055491A" w:rsidRPr="00E051B1" w:rsidRDefault="0055491A" w:rsidP="00210BF6">
            <w:pPr>
              <w:jc w:val="center"/>
            </w:pPr>
            <w:r w:rsidRPr="00E051B1">
              <w:t>600,0</w:t>
            </w:r>
          </w:p>
        </w:tc>
        <w:tc>
          <w:tcPr>
            <w:tcW w:w="1275" w:type="dxa"/>
            <w:tcBorders>
              <w:top w:val="nil"/>
              <w:left w:val="nil"/>
              <w:bottom w:val="nil"/>
              <w:right w:val="single" w:sz="4" w:space="0" w:color="auto"/>
            </w:tcBorders>
            <w:shd w:val="clear" w:color="auto" w:fill="auto"/>
            <w:vAlign w:val="center"/>
          </w:tcPr>
          <w:p w:rsidR="0055491A" w:rsidRPr="00E051B1" w:rsidRDefault="0055491A" w:rsidP="00210BF6">
            <w:pPr>
              <w:jc w:val="center"/>
            </w:pPr>
            <w:r w:rsidRPr="00E051B1">
              <w:t>800,0</w:t>
            </w:r>
          </w:p>
        </w:tc>
        <w:tc>
          <w:tcPr>
            <w:tcW w:w="1418" w:type="dxa"/>
            <w:tcBorders>
              <w:top w:val="nil"/>
              <w:left w:val="nil"/>
              <w:bottom w:val="nil"/>
              <w:right w:val="single" w:sz="4" w:space="0" w:color="auto"/>
            </w:tcBorders>
            <w:shd w:val="clear" w:color="auto" w:fill="auto"/>
            <w:vAlign w:val="center"/>
          </w:tcPr>
          <w:p w:rsidR="0055491A" w:rsidRPr="00E051B1" w:rsidRDefault="0055491A" w:rsidP="00210BF6">
            <w:pPr>
              <w:jc w:val="center"/>
            </w:pPr>
            <w:r w:rsidRPr="00E051B1">
              <w:t>600,0</w:t>
            </w:r>
          </w:p>
        </w:tc>
      </w:tr>
      <w:tr w:rsidR="0055491A" w:rsidTr="00210BF6">
        <w:trPr>
          <w:gridAfter w:val="1"/>
          <w:wAfter w:w="10" w:type="dxa"/>
          <w:trHeight w:val="255"/>
        </w:trPr>
        <w:tc>
          <w:tcPr>
            <w:tcW w:w="5377" w:type="dxa"/>
            <w:gridSpan w:val="4"/>
            <w:tcBorders>
              <w:top w:val="nil"/>
              <w:left w:val="single" w:sz="8" w:space="0" w:color="auto"/>
              <w:bottom w:val="single" w:sz="4" w:space="0" w:color="auto"/>
              <w:right w:val="single" w:sz="4" w:space="0" w:color="auto"/>
            </w:tcBorders>
            <w:shd w:val="clear" w:color="auto" w:fill="auto"/>
          </w:tcPr>
          <w:p w:rsidR="0055491A" w:rsidRPr="00D348AF" w:rsidRDefault="0055491A" w:rsidP="00210BF6">
            <w:pPr>
              <w:jc w:val="center"/>
              <w:rPr>
                <w:b/>
              </w:rPr>
            </w:pPr>
            <w:r w:rsidRPr="00D348AF">
              <w:rPr>
                <w:b/>
              </w:rPr>
              <w:t>ИТОГО</w:t>
            </w:r>
          </w:p>
        </w:tc>
        <w:tc>
          <w:tcPr>
            <w:tcW w:w="1276" w:type="dxa"/>
            <w:gridSpan w:val="2"/>
            <w:tcBorders>
              <w:top w:val="nil"/>
              <w:left w:val="single" w:sz="4" w:space="0" w:color="auto"/>
              <w:bottom w:val="single" w:sz="4" w:space="0" w:color="auto"/>
              <w:right w:val="single" w:sz="4" w:space="0" w:color="auto"/>
            </w:tcBorders>
            <w:shd w:val="clear" w:color="auto" w:fill="auto"/>
          </w:tcPr>
          <w:p w:rsidR="0055491A" w:rsidRPr="00D348AF" w:rsidRDefault="0055491A" w:rsidP="00210BF6">
            <w:pPr>
              <w:jc w:val="center"/>
              <w:rPr>
                <w:b/>
              </w:rPr>
            </w:pPr>
            <w:r>
              <w:rPr>
                <w:b/>
              </w:rPr>
              <w:t>4 628,0</w:t>
            </w:r>
          </w:p>
        </w:tc>
        <w:tc>
          <w:tcPr>
            <w:tcW w:w="1275" w:type="dxa"/>
            <w:tcBorders>
              <w:top w:val="nil"/>
              <w:left w:val="nil"/>
              <w:bottom w:val="single" w:sz="4" w:space="0" w:color="auto"/>
              <w:right w:val="single" w:sz="4" w:space="0" w:color="auto"/>
            </w:tcBorders>
            <w:shd w:val="clear" w:color="auto" w:fill="auto"/>
          </w:tcPr>
          <w:p w:rsidR="0055491A" w:rsidRPr="00D348AF" w:rsidRDefault="0055491A" w:rsidP="00210BF6">
            <w:pPr>
              <w:jc w:val="center"/>
              <w:rPr>
                <w:b/>
              </w:rPr>
            </w:pPr>
            <w:r>
              <w:rPr>
                <w:b/>
              </w:rPr>
              <w:t>4 847,5</w:t>
            </w:r>
          </w:p>
        </w:tc>
        <w:tc>
          <w:tcPr>
            <w:tcW w:w="1418" w:type="dxa"/>
            <w:tcBorders>
              <w:top w:val="nil"/>
              <w:left w:val="nil"/>
              <w:bottom w:val="single" w:sz="4" w:space="0" w:color="auto"/>
              <w:right w:val="single" w:sz="4" w:space="0" w:color="auto"/>
            </w:tcBorders>
            <w:shd w:val="clear" w:color="auto" w:fill="auto"/>
          </w:tcPr>
          <w:p w:rsidR="0055491A" w:rsidRPr="00D348AF" w:rsidRDefault="0055491A" w:rsidP="00210BF6">
            <w:pPr>
              <w:jc w:val="center"/>
              <w:rPr>
                <w:b/>
              </w:rPr>
            </w:pPr>
            <w:r>
              <w:rPr>
                <w:b/>
              </w:rPr>
              <w:t>4 695,5</w:t>
            </w:r>
          </w:p>
        </w:tc>
      </w:tr>
    </w:tbl>
    <w:p w:rsidR="0055491A" w:rsidRDefault="0055491A" w:rsidP="0055491A">
      <w:pPr>
        <w:ind w:firstLine="709"/>
        <w:jc w:val="both"/>
        <w:rPr>
          <w:sz w:val="28"/>
          <w:szCs w:val="28"/>
        </w:rPr>
      </w:pPr>
    </w:p>
    <w:p w:rsidR="0055491A" w:rsidRDefault="0055491A" w:rsidP="0055491A">
      <w:pPr>
        <w:ind w:firstLine="709"/>
        <w:jc w:val="both"/>
        <w:rPr>
          <w:sz w:val="28"/>
          <w:szCs w:val="28"/>
        </w:rPr>
      </w:pPr>
    </w:p>
    <w:tbl>
      <w:tblPr>
        <w:tblW w:w="9356" w:type="dxa"/>
        <w:tblLayout w:type="fixed"/>
        <w:tblLook w:val="04A0" w:firstRow="1" w:lastRow="0" w:firstColumn="1" w:lastColumn="0" w:noHBand="0" w:noVBand="1"/>
      </w:tblPr>
      <w:tblGrid>
        <w:gridCol w:w="976"/>
        <w:gridCol w:w="1467"/>
        <w:gridCol w:w="1467"/>
        <w:gridCol w:w="1467"/>
        <w:gridCol w:w="10"/>
        <w:gridCol w:w="1266"/>
        <w:gridCol w:w="10"/>
        <w:gridCol w:w="1265"/>
        <w:gridCol w:w="10"/>
        <w:gridCol w:w="1408"/>
        <w:gridCol w:w="10"/>
      </w:tblGrid>
      <w:tr w:rsidR="0055491A" w:rsidTr="00210BF6">
        <w:trPr>
          <w:trHeight w:val="418"/>
        </w:trPr>
        <w:tc>
          <w:tcPr>
            <w:tcW w:w="9356" w:type="dxa"/>
            <w:gridSpan w:val="11"/>
            <w:tcBorders>
              <w:top w:val="single" w:sz="8" w:space="0" w:color="auto"/>
              <w:left w:val="single" w:sz="8" w:space="0" w:color="auto"/>
              <w:bottom w:val="single" w:sz="8" w:space="0" w:color="auto"/>
              <w:right w:val="single" w:sz="8" w:space="0" w:color="000000"/>
            </w:tcBorders>
            <w:shd w:val="clear" w:color="auto" w:fill="auto"/>
            <w:vAlign w:val="center"/>
            <w:hideMark/>
          </w:tcPr>
          <w:p w:rsidR="0055491A" w:rsidRPr="00F80477" w:rsidRDefault="0055491A" w:rsidP="00210BF6">
            <w:pPr>
              <w:jc w:val="center"/>
              <w:rPr>
                <w:b/>
                <w:bCs/>
              </w:rPr>
            </w:pPr>
            <w:r>
              <w:rPr>
                <w:b/>
                <w:bCs/>
              </w:rPr>
              <w:t>Нарушение статьи</w:t>
            </w:r>
            <w:r w:rsidRPr="00F80477">
              <w:rPr>
                <w:b/>
                <w:bCs/>
              </w:rPr>
              <w:t xml:space="preserve"> </w:t>
            </w:r>
            <w:r w:rsidRPr="0091538C">
              <w:rPr>
                <w:b/>
                <w:bCs/>
              </w:rPr>
              <w:t>8.37</w:t>
            </w:r>
            <w:r>
              <w:rPr>
                <w:b/>
                <w:bCs/>
              </w:rPr>
              <w:t xml:space="preserve"> КоАП РФ</w:t>
            </w:r>
          </w:p>
        </w:tc>
      </w:tr>
      <w:tr w:rsidR="0055491A" w:rsidTr="00210BF6">
        <w:trPr>
          <w:trHeight w:val="645"/>
        </w:trPr>
        <w:tc>
          <w:tcPr>
            <w:tcW w:w="976" w:type="dxa"/>
            <w:vMerge w:val="restart"/>
            <w:tcBorders>
              <w:top w:val="nil"/>
              <w:left w:val="single" w:sz="8" w:space="0" w:color="auto"/>
              <w:bottom w:val="single" w:sz="8" w:space="0" w:color="000000"/>
              <w:right w:val="single" w:sz="8" w:space="0" w:color="auto"/>
            </w:tcBorders>
            <w:shd w:val="clear" w:color="auto" w:fill="auto"/>
            <w:vAlign w:val="center"/>
            <w:hideMark/>
          </w:tcPr>
          <w:p w:rsidR="0055491A" w:rsidRDefault="0055491A" w:rsidP="00210BF6">
            <w:pPr>
              <w:jc w:val="center"/>
              <w:rPr>
                <w:b/>
                <w:bCs/>
                <w:sz w:val="20"/>
                <w:szCs w:val="20"/>
              </w:rPr>
            </w:pPr>
            <w:r>
              <w:rPr>
                <w:b/>
                <w:bCs/>
                <w:sz w:val="20"/>
                <w:szCs w:val="20"/>
              </w:rPr>
              <w:t>Размер платежа</w:t>
            </w:r>
          </w:p>
        </w:tc>
        <w:tc>
          <w:tcPr>
            <w:tcW w:w="4411" w:type="dxa"/>
            <w:gridSpan w:val="4"/>
            <w:tcBorders>
              <w:top w:val="single" w:sz="8" w:space="0" w:color="auto"/>
              <w:left w:val="nil"/>
              <w:bottom w:val="single" w:sz="4" w:space="0" w:color="auto"/>
              <w:right w:val="single" w:sz="4" w:space="0" w:color="auto"/>
            </w:tcBorders>
            <w:shd w:val="clear" w:color="auto" w:fill="auto"/>
            <w:vAlign w:val="center"/>
            <w:hideMark/>
          </w:tcPr>
          <w:p w:rsidR="0055491A" w:rsidRPr="00F80477" w:rsidRDefault="0055491A" w:rsidP="00210BF6">
            <w:pPr>
              <w:jc w:val="center"/>
              <w:rPr>
                <w:b/>
                <w:bCs/>
              </w:rPr>
            </w:pPr>
            <w:r w:rsidRPr="00F80477">
              <w:rPr>
                <w:b/>
                <w:bCs/>
              </w:rPr>
              <w:t>Количество правонарушений                                     (с учетом округления)</w:t>
            </w:r>
          </w:p>
        </w:tc>
        <w:tc>
          <w:tcPr>
            <w:tcW w:w="3969" w:type="dxa"/>
            <w:gridSpan w:val="6"/>
            <w:tcBorders>
              <w:top w:val="single" w:sz="8" w:space="0" w:color="auto"/>
              <w:left w:val="nil"/>
              <w:bottom w:val="single" w:sz="4" w:space="0" w:color="auto"/>
              <w:right w:val="single" w:sz="8" w:space="0" w:color="000000"/>
            </w:tcBorders>
            <w:shd w:val="clear" w:color="auto" w:fill="auto"/>
            <w:vAlign w:val="center"/>
            <w:hideMark/>
          </w:tcPr>
          <w:p w:rsidR="0055491A" w:rsidRPr="00F80477" w:rsidRDefault="0055491A" w:rsidP="00210BF6">
            <w:pPr>
              <w:jc w:val="center"/>
              <w:rPr>
                <w:b/>
                <w:bCs/>
              </w:rPr>
            </w:pPr>
            <w:r w:rsidRPr="00F80477">
              <w:rPr>
                <w:b/>
                <w:bCs/>
              </w:rPr>
              <w:t xml:space="preserve">Прогноз </w:t>
            </w:r>
          </w:p>
        </w:tc>
      </w:tr>
      <w:tr w:rsidR="0055491A" w:rsidTr="00210BF6">
        <w:trPr>
          <w:gridAfter w:val="1"/>
          <w:wAfter w:w="10" w:type="dxa"/>
          <w:trHeight w:val="448"/>
        </w:trPr>
        <w:tc>
          <w:tcPr>
            <w:tcW w:w="976" w:type="dxa"/>
            <w:vMerge/>
            <w:tcBorders>
              <w:top w:val="nil"/>
              <w:left w:val="single" w:sz="8" w:space="0" w:color="auto"/>
              <w:bottom w:val="single" w:sz="8" w:space="0" w:color="000000"/>
              <w:right w:val="single" w:sz="8" w:space="0" w:color="auto"/>
            </w:tcBorders>
            <w:vAlign w:val="center"/>
            <w:hideMark/>
          </w:tcPr>
          <w:p w:rsidR="0055491A" w:rsidRDefault="0055491A" w:rsidP="00210BF6">
            <w:pPr>
              <w:rPr>
                <w:b/>
                <w:bCs/>
                <w:sz w:val="20"/>
                <w:szCs w:val="20"/>
              </w:rPr>
            </w:pPr>
          </w:p>
        </w:tc>
        <w:tc>
          <w:tcPr>
            <w:tcW w:w="1467" w:type="dxa"/>
            <w:tcBorders>
              <w:top w:val="nil"/>
              <w:left w:val="single" w:sz="4" w:space="0" w:color="auto"/>
              <w:bottom w:val="single" w:sz="8" w:space="0" w:color="auto"/>
              <w:right w:val="single" w:sz="4" w:space="0" w:color="auto"/>
            </w:tcBorders>
            <w:shd w:val="clear" w:color="auto" w:fill="auto"/>
            <w:vAlign w:val="center"/>
          </w:tcPr>
          <w:p w:rsidR="0055491A" w:rsidRDefault="0055491A" w:rsidP="00210BF6">
            <w:pPr>
              <w:jc w:val="center"/>
              <w:rPr>
                <w:b/>
                <w:bCs/>
                <w:sz w:val="20"/>
                <w:szCs w:val="20"/>
              </w:rPr>
            </w:pPr>
            <w:r>
              <w:rPr>
                <w:b/>
                <w:bCs/>
                <w:sz w:val="20"/>
                <w:szCs w:val="20"/>
              </w:rPr>
              <w:t>2022год</w:t>
            </w:r>
          </w:p>
        </w:tc>
        <w:tc>
          <w:tcPr>
            <w:tcW w:w="1467" w:type="dxa"/>
            <w:tcBorders>
              <w:top w:val="nil"/>
              <w:left w:val="nil"/>
              <w:bottom w:val="single" w:sz="8" w:space="0" w:color="auto"/>
              <w:right w:val="single" w:sz="4" w:space="0" w:color="auto"/>
            </w:tcBorders>
            <w:shd w:val="clear" w:color="auto" w:fill="auto"/>
            <w:vAlign w:val="center"/>
          </w:tcPr>
          <w:p w:rsidR="0055491A" w:rsidRDefault="0055491A" w:rsidP="00210BF6">
            <w:pPr>
              <w:jc w:val="center"/>
              <w:rPr>
                <w:b/>
                <w:bCs/>
                <w:sz w:val="20"/>
                <w:szCs w:val="20"/>
              </w:rPr>
            </w:pPr>
            <w:r>
              <w:rPr>
                <w:b/>
                <w:bCs/>
                <w:sz w:val="20"/>
                <w:szCs w:val="20"/>
              </w:rPr>
              <w:t>2023год</w:t>
            </w:r>
          </w:p>
        </w:tc>
        <w:tc>
          <w:tcPr>
            <w:tcW w:w="1467" w:type="dxa"/>
            <w:tcBorders>
              <w:top w:val="nil"/>
              <w:left w:val="nil"/>
              <w:bottom w:val="single" w:sz="8" w:space="0" w:color="auto"/>
              <w:right w:val="single" w:sz="4" w:space="0" w:color="auto"/>
            </w:tcBorders>
            <w:shd w:val="clear" w:color="auto" w:fill="auto"/>
            <w:vAlign w:val="center"/>
          </w:tcPr>
          <w:p w:rsidR="0055491A" w:rsidRDefault="0055491A" w:rsidP="00210BF6">
            <w:pPr>
              <w:jc w:val="center"/>
              <w:rPr>
                <w:b/>
                <w:bCs/>
                <w:sz w:val="20"/>
                <w:szCs w:val="20"/>
              </w:rPr>
            </w:pPr>
            <w:r>
              <w:rPr>
                <w:b/>
                <w:bCs/>
                <w:sz w:val="20"/>
                <w:szCs w:val="20"/>
              </w:rPr>
              <w:t>2024год</w:t>
            </w:r>
          </w:p>
        </w:tc>
        <w:tc>
          <w:tcPr>
            <w:tcW w:w="1276" w:type="dxa"/>
            <w:gridSpan w:val="2"/>
            <w:tcBorders>
              <w:top w:val="nil"/>
              <w:left w:val="single" w:sz="4" w:space="0" w:color="auto"/>
              <w:bottom w:val="single" w:sz="8" w:space="0" w:color="auto"/>
              <w:right w:val="single" w:sz="4" w:space="0" w:color="auto"/>
            </w:tcBorders>
            <w:shd w:val="clear" w:color="auto" w:fill="auto"/>
            <w:noWrap/>
            <w:vAlign w:val="center"/>
            <w:hideMark/>
          </w:tcPr>
          <w:p w:rsidR="0055491A" w:rsidRDefault="0055491A" w:rsidP="00210BF6">
            <w:pPr>
              <w:jc w:val="center"/>
              <w:rPr>
                <w:b/>
                <w:bCs/>
                <w:sz w:val="20"/>
                <w:szCs w:val="20"/>
              </w:rPr>
            </w:pPr>
            <w:r>
              <w:rPr>
                <w:b/>
                <w:bCs/>
                <w:sz w:val="20"/>
                <w:szCs w:val="20"/>
              </w:rPr>
              <w:t>2022од</w:t>
            </w:r>
          </w:p>
        </w:tc>
        <w:tc>
          <w:tcPr>
            <w:tcW w:w="1275" w:type="dxa"/>
            <w:gridSpan w:val="2"/>
            <w:tcBorders>
              <w:top w:val="nil"/>
              <w:left w:val="nil"/>
              <w:bottom w:val="single" w:sz="8" w:space="0" w:color="auto"/>
              <w:right w:val="single" w:sz="4" w:space="0" w:color="auto"/>
            </w:tcBorders>
            <w:shd w:val="clear" w:color="auto" w:fill="auto"/>
            <w:noWrap/>
            <w:vAlign w:val="center"/>
            <w:hideMark/>
          </w:tcPr>
          <w:p w:rsidR="0055491A" w:rsidRDefault="0055491A" w:rsidP="00210BF6">
            <w:pPr>
              <w:jc w:val="center"/>
              <w:rPr>
                <w:b/>
                <w:bCs/>
                <w:sz w:val="20"/>
                <w:szCs w:val="20"/>
              </w:rPr>
            </w:pPr>
            <w:r>
              <w:rPr>
                <w:b/>
                <w:bCs/>
                <w:sz w:val="20"/>
                <w:szCs w:val="20"/>
              </w:rPr>
              <w:t>2023год</w:t>
            </w:r>
          </w:p>
        </w:tc>
        <w:tc>
          <w:tcPr>
            <w:tcW w:w="1418" w:type="dxa"/>
            <w:gridSpan w:val="2"/>
            <w:tcBorders>
              <w:top w:val="nil"/>
              <w:left w:val="nil"/>
              <w:bottom w:val="single" w:sz="8" w:space="0" w:color="auto"/>
              <w:right w:val="single" w:sz="8" w:space="0" w:color="auto"/>
            </w:tcBorders>
            <w:shd w:val="clear" w:color="auto" w:fill="auto"/>
            <w:noWrap/>
            <w:vAlign w:val="center"/>
            <w:hideMark/>
          </w:tcPr>
          <w:p w:rsidR="0055491A" w:rsidRDefault="0055491A" w:rsidP="00210BF6">
            <w:pPr>
              <w:jc w:val="center"/>
              <w:rPr>
                <w:b/>
                <w:bCs/>
                <w:sz w:val="20"/>
                <w:szCs w:val="20"/>
              </w:rPr>
            </w:pPr>
            <w:r>
              <w:rPr>
                <w:b/>
                <w:bCs/>
                <w:sz w:val="20"/>
                <w:szCs w:val="20"/>
              </w:rPr>
              <w:t>2024год</w:t>
            </w:r>
          </w:p>
        </w:tc>
      </w:tr>
      <w:tr w:rsidR="0055491A" w:rsidTr="00210BF6">
        <w:trPr>
          <w:gridAfter w:val="1"/>
          <w:wAfter w:w="10" w:type="dxa"/>
          <w:trHeight w:val="255"/>
        </w:trPr>
        <w:tc>
          <w:tcPr>
            <w:tcW w:w="976" w:type="dxa"/>
            <w:tcBorders>
              <w:top w:val="single" w:sz="4" w:space="0" w:color="auto"/>
              <w:left w:val="single" w:sz="8" w:space="0" w:color="auto"/>
              <w:bottom w:val="single" w:sz="4" w:space="0" w:color="auto"/>
              <w:right w:val="single" w:sz="8" w:space="0" w:color="auto"/>
            </w:tcBorders>
            <w:shd w:val="clear" w:color="auto" w:fill="auto"/>
            <w:noWrap/>
            <w:hideMark/>
          </w:tcPr>
          <w:p w:rsidR="0055491A" w:rsidRPr="001F1B20" w:rsidRDefault="0055491A" w:rsidP="00210BF6">
            <w:r w:rsidRPr="001F1B20">
              <w:t>0,5</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491A" w:rsidRPr="00240C85" w:rsidRDefault="0055491A" w:rsidP="00210BF6">
            <w:pPr>
              <w:jc w:val="center"/>
            </w:pPr>
            <w:r w:rsidRPr="00240C85">
              <w:t>300</w:t>
            </w:r>
          </w:p>
        </w:tc>
        <w:tc>
          <w:tcPr>
            <w:tcW w:w="1467" w:type="dxa"/>
            <w:tcBorders>
              <w:top w:val="single" w:sz="4" w:space="0" w:color="auto"/>
              <w:left w:val="nil"/>
              <w:bottom w:val="single" w:sz="4" w:space="0" w:color="auto"/>
              <w:right w:val="single" w:sz="4" w:space="0" w:color="auto"/>
            </w:tcBorders>
            <w:shd w:val="clear" w:color="auto" w:fill="auto"/>
            <w:noWrap/>
            <w:vAlign w:val="center"/>
          </w:tcPr>
          <w:p w:rsidR="0055491A" w:rsidRPr="00240C85" w:rsidRDefault="0055491A" w:rsidP="00210BF6">
            <w:pPr>
              <w:jc w:val="center"/>
            </w:pPr>
            <w:r w:rsidRPr="00240C85">
              <w:t>300</w:t>
            </w:r>
          </w:p>
        </w:tc>
        <w:tc>
          <w:tcPr>
            <w:tcW w:w="1467" w:type="dxa"/>
            <w:tcBorders>
              <w:top w:val="single" w:sz="4" w:space="0" w:color="auto"/>
              <w:left w:val="nil"/>
              <w:bottom w:val="single" w:sz="4" w:space="0" w:color="auto"/>
              <w:right w:val="single" w:sz="4" w:space="0" w:color="auto"/>
            </w:tcBorders>
            <w:shd w:val="clear" w:color="auto" w:fill="auto"/>
            <w:vAlign w:val="center"/>
          </w:tcPr>
          <w:p w:rsidR="0055491A" w:rsidRPr="00240C85" w:rsidRDefault="0055491A" w:rsidP="00210BF6">
            <w:pPr>
              <w:jc w:val="center"/>
            </w:pPr>
            <w:r w:rsidRPr="00240C85">
              <w:t>300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5491A" w:rsidRPr="00240C85" w:rsidRDefault="0055491A" w:rsidP="00210BF6">
            <w:pPr>
              <w:jc w:val="center"/>
            </w:pPr>
            <w:r w:rsidRPr="00240C85">
              <w:t>150,0</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55491A" w:rsidRPr="00240C85" w:rsidRDefault="0055491A" w:rsidP="00210BF6">
            <w:pPr>
              <w:jc w:val="center"/>
            </w:pPr>
            <w:r w:rsidRPr="00240C85">
              <w:t>150,0</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55491A" w:rsidRPr="00240C85" w:rsidRDefault="0055491A" w:rsidP="00210BF6">
            <w:pPr>
              <w:jc w:val="center"/>
            </w:pPr>
            <w:r w:rsidRPr="00240C85">
              <w:t>150,0</w:t>
            </w:r>
          </w:p>
        </w:tc>
      </w:tr>
      <w:tr w:rsidR="0055491A" w:rsidTr="00210BF6">
        <w:trPr>
          <w:gridAfter w:val="1"/>
          <w:wAfter w:w="10" w:type="dxa"/>
          <w:trHeight w:val="255"/>
        </w:trPr>
        <w:tc>
          <w:tcPr>
            <w:tcW w:w="976" w:type="dxa"/>
            <w:tcBorders>
              <w:top w:val="nil"/>
              <w:left w:val="single" w:sz="8" w:space="0" w:color="auto"/>
              <w:bottom w:val="single" w:sz="4" w:space="0" w:color="auto"/>
              <w:right w:val="single" w:sz="8" w:space="0" w:color="auto"/>
            </w:tcBorders>
            <w:shd w:val="clear" w:color="auto" w:fill="auto"/>
            <w:noWrap/>
            <w:hideMark/>
          </w:tcPr>
          <w:p w:rsidR="0055491A" w:rsidRPr="001F1B20" w:rsidRDefault="0055491A" w:rsidP="00210BF6">
            <w:r w:rsidRPr="001F1B20">
              <w:t>1,0</w:t>
            </w:r>
          </w:p>
        </w:tc>
        <w:tc>
          <w:tcPr>
            <w:tcW w:w="1467" w:type="dxa"/>
            <w:tcBorders>
              <w:top w:val="nil"/>
              <w:left w:val="single" w:sz="4" w:space="0" w:color="auto"/>
              <w:bottom w:val="single" w:sz="4" w:space="0" w:color="auto"/>
              <w:right w:val="single" w:sz="4" w:space="0" w:color="auto"/>
            </w:tcBorders>
            <w:shd w:val="clear" w:color="auto" w:fill="auto"/>
            <w:noWrap/>
            <w:vAlign w:val="center"/>
          </w:tcPr>
          <w:p w:rsidR="0055491A" w:rsidRPr="00240C85" w:rsidRDefault="0055491A" w:rsidP="00210BF6">
            <w:pPr>
              <w:jc w:val="center"/>
            </w:pPr>
            <w:r w:rsidRPr="00240C85">
              <w:t>150</w:t>
            </w:r>
          </w:p>
        </w:tc>
        <w:tc>
          <w:tcPr>
            <w:tcW w:w="1467" w:type="dxa"/>
            <w:tcBorders>
              <w:top w:val="nil"/>
              <w:left w:val="nil"/>
              <w:bottom w:val="single" w:sz="4" w:space="0" w:color="auto"/>
              <w:right w:val="single" w:sz="4" w:space="0" w:color="auto"/>
            </w:tcBorders>
            <w:shd w:val="clear" w:color="auto" w:fill="auto"/>
            <w:noWrap/>
            <w:vAlign w:val="center"/>
          </w:tcPr>
          <w:p w:rsidR="0055491A" w:rsidRPr="00240C85" w:rsidRDefault="0055491A" w:rsidP="00210BF6">
            <w:pPr>
              <w:jc w:val="center"/>
            </w:pPr>
            <w:r w:rsidRPr="00240C85">
              <w:t>150</w:t>
            </w:r>
          </w:p>
        </w:tc>
        <w:tc>
          <w:tcPr>
            <w:tcW w:w="1467" w:type="dxa"/>
            <w:tcBorders>
              <w:top w:val="nil"/>
              <w:left w:val="nil"/>
              <w:bottom w:val="single" w:sz="4" w:space="0" w:color="auto"/>
              <w:right w:val="single" w:sz="4" w:space="0" w:color="auto"/>
            </w:tcBorders>
            <w:shd w:val="clear" w:color="auto" w:fill="auto"/>
            <w:vAlign w:val="center"/>
          </w:tcPr>
          <w:p w:rsidR="0055491A" w:rsidRPr="00240C85" w:rsidRDefault="0055491A" w:rsidP="00210BF6">
            <w:pPr>
              <w:jc w:val="center"/>
            </w:pPr>
            <w:r w:rsidRPr="00240C85">
              <w:t>150</w:t>
            </w:r>
          </w:p>
        </w:tc>
        <w:tc>
          <w:tcPr>
            <w:tcW w:w="1276" w:type="dxa"/>
            <w:gridSpan w:val="2"/>
            <w:tcBorders>
              <w:top w:val="nil"/>
              <w:left w:val="single" w:sz="4" w:space="0" w:color="auto"/>
              <w:bottom w:val="single" w:sz="4" w:space="0" w:color="auto"/>
              <w:right w:val="single" w:sz="4" w:space="0" w:color="auto"/>
            </w:tcBorders>
            <w:shd w:val="clear" w:color="auto" w:fill="auto"/>
            <w:vAlign w:val="center"/>
            <w:hideMark/>
          </w:tcPr>
          <w:p w:rsidR="0055491A" w:rsidRPr="00240C85" w:rsidRDefault="0055491A" w:rsidP="00210BF6">
            <w:pPr>
              <w:jc w:val="center"/>
            </w:pPr>
            <w:r w:rsidRPr="00240C85">
              <w:t>150,0</w:t>
            </w:r>
          </w:p>
        </w:tc>
        <w:tc>
          <w:tcPr>
            <w:tcW w:w="1275" w:type="dxa"/>
            <w:gridSpan w:val="2"/>
            <w:tcBorders>
              <w:top w:val="nil"/>
              <w:left w:val="nil"/>
              <w:bottom w:val="single" w:sz="4" w:space="0" w:color="auto"/>
              <w:right w:val="single" w:sz="4" w:space="0" w:color="auto"/>
            </w:tcBorders>
            <w:shd w:val="clear" w:color="auto" w:fill="auto"/>
            <w:vAlign w:val="center"/>
            <w:hideMark/>
          </w:tcPr>
          <w:p w:rsidR="0055491A" w:rsidRPr="00240C85" w:rsidRDefault="0055491A" w:rsidP="00210BF6">
            <w:pPr>
              <w:jc w:val="center"/>
            </w:pPr>
            <w:r w:rsidRPr="00240C85">
              <w:t>150,0</w:t>
            </w:r>
          </w:p>
        </w:tc>
        <w:tc>
          <w:tcPr>
            <w:tcW w:w="1418" w:type="dxa"/>
            <w:gridSpan w:val="2"/>
            <w:tcBorders>
              <w:top w:val="nil"/>
              <w:left w:val="nil"/>
              <w:bottom w:val="single" w:sz="4" w:space="0" w:color="auto"/>
              <w:right w:val="single" w:sz="4" w:space="0" w:color="auto"/>
            </w:tcBorders>
            <w:shd w:val="clear" w:color="auto" w:fill="auto"/>
            <w:vAlign w:val="center"/>
            <w:hideMark/>
          </w:tcPr>
          <w:p w:rsidR="0055491A" w:rsidRPr="00240C85" w:rsidRDefault="0055491A" w:rsidP="00210BF6">
            <w:pPr>
              <w:jc w:val="center"/>
            </w:pPr>
            <w:r w:rsidRPr="00240C85">
              <w:t>150,0</w:t>
            </w:r>
          </w:p>
        </w:tc>
      </w:tr>
      <w:tr w:rsidR="0055491A" w:rsidTr="00210BF6">
        <w:trPr>
          <w:gridAfter w:val="1"/>
          <w:wAfter w:w="10" w:type="dxa"/>
          <w:trHeight w:val="255"/>
        </w:trPr>
        <w:tc>
          <w:tcPr>
            <w:tcW w:w="976" w:type="dxa"/>
            <w:tcBorders>
              <w:top w:val="nil"/>
              <w:left w:val="single" w:sz="8" w:space="0" w:color="auto"/>
              <w:bottom w:val="single" w:sz="4" w:space="0" w:color="auto"/>
              <w:right w:val="single" w:sz="8" w:space="0" w:color="auto"/>
            </w:tcBorders>
            <w:shd w:val="clear" w:color="auto" w:fill="auto"/>
            <w:noWrap/>
            <w:hideMark/>
          </w:tcPr>
          <w:p w:rsidR="0055491A" w:rsidRPr="001F1B20" w:rsidRDefault="0055491A" w:rsidP="00210BF6">
            <w:r w:rsidRPr="001F1B20">
              <w:t>1,5</w:t>
            </w:r>
          </w:p>
        </w:tc>
        <w:tc>
          <w:tcPr>
            <w:tcW w:w="1467" w:type="dxa"/>
            <w:tcBorders>
              <w:top w:val="nil"/>
              <w:left w:val="single" w:sz="4" w:space="0" w:color="auto"/>
              <w:bottom w:val="single" w:sz="4" w:space="0" w:color="auto"/>
              <w:right w:val="single" w:sz="4" w:space="0" w:color="auto"/>
            </w:tcBorders>
            <w:shd w:val="clear" w:color="auto" w:fill="auto"/>
            <w:noWrap/>
            <w:vAlign w:val="center"/>
          </w:tcPr>
          <w:p w:rsidR="0055491A" w:rsidRPr="00240C85" w:rsidRDefault="0055491A" w:rsidP="00210BF6">
            <w:pPr>
              <w:jc w:val="center"/>
            </w:pPr>
            <w:r w:rsidRPr="00240C85">
              <w:t>100</w:t>
            </w:r>
          </w:p>
        </w:tc>
        <w:tc>
          <w:tcPr>
            <w:tcW w:w="1467" w:type="dxa"/>
            <w:tcBorders>
              <w:top w:val="nil"/>
              <w:left w:val="nil"/>
              <w:bottom w:val="single" w:sz="4" w:space="0" w:color="auto"/>
              <w:right w:val="single" w:sz="4" w:space="0" w:color="auto"/>
            </w:tcBorders>
            <w:shd w:val="clear" w:color="auto" w:fill="auto"/>
            <w:noWrap/>
            <w:vAlign w:val="center"/>
          </w:tcPr>
          <w:p w:rsidR="0055491A" w:rsidRPr="00240C85" w:rsidRDefault="0055491A" w:rsidP="00210BF6">
            <w:pPr>
              <w:jc w:val="center"/>
            </w:pPr>
            <w:r w:rsidRPr="00240C85">
              <w:t>100</w:t>
            </w:r>
          </w:p>
        </w:tc>
        <w:tc>
          <w:tcPr>
            <w:tcW w:w="1467" w:type="dxa"/>
            <w:tcBorders>
              <w:top w:val="nil"/>
              <w:left w:val="nil"/>
              <w:bottom w:val="single" w:sz="4" w:space="0" w:color="auto"/>
              <w:right w:val="single" w:sz="4" w:space="0" w:color="auto"/>
            </w:tcBorders>
            <w:shd w:val="clear" w:color="auto" w:fill="auto"/>
            <w:vAlign w:val="center"/>
          </w:tcPr>
          <w:p w:rsidR="0055491A" w:rsidRPr="00240C85" w:rsidRDefault="0055491A" w:rsidP="00210BF6">
            <w:pPr>
              <w:jc w:val="center"/>
            </w:pPr>
            <w:r w:rsidRPr="00240C85">
              <w:t>100</w:t>
            </w:r>
          </w:p>
        </w:tc>
        <w:tc>
          <w:tcPr>
            <w:tcW w:w="1276" w:type="dxa"/>
            <w:gridSpan w:val="2"/>
            <w:tcBorders>
              <w:top w:val="nil"/>
              <w:left w:val="single" w:sz="4" w:space="0" w:color="auto"/>
              <w:bottom w:val="single" w:sz="4" w:space="0" w:color="auto"/>
              <w:right w:val="single" w:sz="4" w:space="0" w:color="auto"/>
            </w:tcBorders>
            <w:shd w:val="clear" w:color="auto" w:fill="auto"/>
            <w:vAlign w:val="center"/>
            <w:hideMark/>
          </w:tcPr>
          <w:p w:rsidR="0055491A" w:rsidRPr="00240C85" w:rsidRDefault="0055491A" w:rsidP="00210BF6">
            <w:pPr>
              <w:jc w:val="center"/>
            </w:pPr>
            <w:r w:rsidRPr="00240C85">
              <w:t>150,0</w:t>
            </w:r>
          </w:p>
        </w:tc>
        <w:tc>
          <w:tcPr>
            <w:tcW w:w="1275" w:type="dxa"/>
            <w:gridSpan w:val="2"/>
            <w:tcBorders>
              <w:top w:val="nil"/>
              <w:left w:val="nil"/>
              <w:bottom w:val="single" w:sz="4" w:space="0" w:color="auto"/>
              <w:right w:val="single" w:sz="4" w:space="0" w:color="auto"/>
            </w:tcBorders>
            <w:shd w:val="clear" w:color="auto" w:fill="auto"/>
            <w:vAlign w:val="center"/>
            <w:hideMark/>
          </w:tcPr>
          <w:p w:rsidR="0055491A" w:rsidRPr="00240C85" w:rsidRDefault="0055491A" w:rsidP="00210BF6">
            <w:pPr>
              <w:jc w:val="center"/>
            </w:pPr>
            <w:r w:rsidRPr="00240C85">
              <w:t>150,0</w:t>
            </w:r>
          </w:p>
        </w:tc>
        <w:tc>
          <w:tcPr>
            <w:tcW w:w="1418" w:type="dxa"/>
            <w:gridSpan w:val="2"/>
            <w:tcBorders>
              <w:top w:val="nil"/>
              <w:left w:val="nil"/>
              <w:bottom w:val="single" w:sz="4" w:space="0" w:color="auto"/>
              <w:right w:val="single" w:sz="4" w:space="0" w:color="auto"/>
            </w:tcBorders>
            <w:shd w:val="clear" w:color="auto" w:fill="auto"/>
            <w:vAlign w:val="center"/>
            <w:hideMark/>
          </w:tcPr>
          <w:p w:rsidR="0055491A" w:rsidRPr="00240C85" w:rsidRDefault="0055491A" w:rsidP="00210BF6">
            <w:pPr>
              <w:jc w:val="center"/>
            </w:pPr>
            <w:r w:rsidRPr="00240C85">
              <w:t>150,0</w:t>
            </w:r>
          </w:p>
        </w:tc>
      </w:tr>
      <w:tr w:rsidR="0055491A" w:rsidTr="00210BF6">
        <w:trPr>
          <w:gridAfter w:val="1"/>
          <w:wAfter w:w="10" w:type="dxa"/>
          <w:trHeight w:val="255"/>
        </w:trPr>
        <w:tc>
          <w:tcPr>
            <w:tcW w:w="976" w:type="dxa"/>
            <w:tcBorders>
              <w:top w:val="nil"/>
              <w:left w:val="single" w:sz="8" w:space="0" w:color="auto"/>
              <w:bottom w:val="single" w:sz="4" w:space="0" w:color="auto"/>
              <w:right w:val="single" w:sz="8" w:space="0" w:color="auto"/>
            </w:tcBorders>
            <w:shd w:val="clear" w:color="auto" w:fill="auto"/>
            <w:noWrap/>
            <w:hideMark/>
          </w:tcPr>
          <w:p w:rsidR="0055491A" w:rsidRPr="001F1B20" w:rsidRDefault="0055491A" w:rsidP="00210BF6">
            <w:r w:rsidRPr="001F1B20">
              <w:t>2,0</w:t>
            </w:r>
          </w:p>
        </w:tc>
        <w:tc>
          <w:tcPr>
            <w:tcW w:w="1467" w:type="dxa"/>
            <w:tcBorders>
              <w:top w:val="nil"/>
              <w:left w:val="single" w:sz="4" w:space="0" w:color="auto"/>
              <w:bottom w:val="single" w:sz="4" w:space="0" w:color="auto"/>
              <w:right w:val="single" w:sz="4" w:space="0" w:color="auto"/>
            </w:tcBorders>
            <w:shd w:val="clear" w:color="auto" w:fill="auto"/>
            <w:noWrap/>
            <w:vAlign w:val="center"/>
          </w:tcPr>
          <w:p w:rsidR="0055491A" w:rsidRPr="00240C85" w:rsidRDefault="0055491A" w:rsidP="00210BF6">
            <w:pPr>
              <w:jc w:val="center"/>
            </w:pPr>
            <w:r w:rsidRPr="00240C85">
              <w:t>46</w:t>
            </w:r>
          </w:p>
        </w:tc>
        <w:tc>
          <w:tcPr>
            <w:tcW w:w="1467" w:type="dxa"/>
            <w:tcBorders>
              <w:top w:val="nil"/>
              <w:left w:val="nil"/>
              <w:bottom w:val="single" w:sz="4" w:space="0" w:color="auto"/>
              <w:right w:val="single" w:sz="4" w:space="0" w:color="auto"/>
            </w:tcBorders>
            <w:shd w:val="clear" w:color="auto" w:fill="auto"/>
            <w:noWrap/>
            <w:vAlign w:val="center"/>
          </w:tcPr>
          <w:p w:rsidR="0055491A" w:rsidRPr="00240C85" w:rsidRDefault="0055491A" w:rsidP="00210BF6">
            <w:pPr>
              <w:jc w:val="center"/>
            </w:pPr>
            <w:r w:rsidRPr="00240C85">
              <w:t>46</w:t>
            </w:r>
          </w:p>
        </w:tc>
        <w:tc>
          <w:tcPr>
            <w:tcW w:w="1467" w:type="dxa"/>
            <w:tcBorders>
              <w:top w:val="nil"/>
              <w:left w:val="nil"/>
              <w:bottom w:val="single" w:sz="4" w:space="0" w:color="auto"/>
              <w:right w:val="single" w:sz="4" w:space="0" w:color="auto"/>
            </w:tcBorders>
            <w:shd w:val="clear" w:color="auto" w:fill="auto"/>
            <w:vAlign w:val="center"/>
          </w:tcPr>
          <w:p w:rsidR="0055491A" w:rsidRPr="00240C85" w:rsidRDefault="0055491A" w:rsidP="00210BF6">
            <w:pPr>
              <w:jc w:val="center"/>
            </w:pPr>
            <w:r w:rsidRPr="00240C85">
              <w:t>46</w:t>
            </w:r>
          </w:p>
        </w:tc>
        <w:tc>
          <w:tcPr>
            <w:tcW w:w="1276" w:type="dxa"/>
            <w:gridSpan w:val="2"/>
            <w:tcBorders>
              <w:top w:val="nil"/>
              <w:left w:val="single" w:sz="4" w:space="0" w:color="auto"/>
              <w:bottom w:val="single" w:sz="4" w:space="0" w:color="auto"/>
              <w:right w:val="single" w:sz="4" w:space="0" w:color="auto"/>
            </w:tcBorders>
            <w:shd w:val="clear" w:color="auto" w:fill="auto"/>
            <w:vAlign w:val="center"/>
            <w:hideMark/>
          </w:tcPr>
          <w:p w:rsidR="0055491A" w:rsidRPr="00240C85" w:rsidRDefault="0055491A" w:rsidP="00210BF6">
            <w:pPr>
              <w:jc w:val="center"/>
            </w:pPr>
            <w:r w:rsidRPr="00240C85">
              <w:t>92,0</w:t>
            </w:r>
          </w:p>
        </w:tc>
        <w:tc>
          <w:tcPr>
            <w:tcW w:w="1275" w:type="dxa"/>
            <w:gridSpan w:val="2"/>
            <w:tcBorders>
              <w:top w:val="nil"/>
              <w:left w:val="nil"/>
              <w:bottom w:val="single" w:sz="4" w:space="0" w:color="auto"/>
              <w:right w:val="single" w:sz="4" w:space="0" w:color="auto"/>
            </w:tcBorders>
            <w:shd w:val="clear" w:color="auto" w:fill="auto"/>
            <w:vAlign w:val="center"/>
            <w:hideMark/>
          </w:tcPr>
          <w:p w:rsidR="0055491A" w:rsidRPr="00240C85" w:rsidRDefault="0055491A" w:rsidP="00210BF6">
            <w:pPr>
              <w:jc w:val="center"/>
            </w:pPr>
            <w:r w:rsidRPr="00240C85">
              <w:t>92,0</w:t>
            </w:r>
          </w:p>
        </w:tc>
        <w:tc>
          <w:tcPr>
            <w:tcW w:w="1418" w:type="dxa"/>
            <w:gridSpan w:val="2"/>
            <w:tcBorders>
              <w:top w:val="nil"/>
              <w:left w:val="nil"/>
              <w:bottom w:val="single" w:sz="4" w:space="0" w:color="auto"/>
              <w:right w:val="single" w:sz="4" w:space="0" w:color="auto"/>
            </w:tcBorders>
            <w:shd w:val="clear" w:color="auto" w:fill="auto"/>
            <w:vAlign w:val="center"/>
            <w:hideMark/>
          </w:tcPr>
          <w:p w:rsidR="0055491A" w:rsidRPr="00240C85" w:rsidRDefault="0055491A" w:rsidP="00210BF6">
            <w:pPr>
              <w:jc w:val="center"/>
            </w:pPr>
            <w:r w:rsidRPr="00240C85">
              <w:t>92,0</w:t>
            </w:r>
          </w:p>
        </w:tc>
      </w:tr>
      <w:tr w:rsidR="0055491A" w:rsidTr="00210BF6">
        <w:trPr>
          <w:gridAfter w:val="1"/>
          <w:wAfter w:w="10" w:type="dxa"/>
          <w:trHeight w:val="255"/>
        </w:trPr>
        <w:tc>
          <w:tcPr>
            <w:tcW w:w="976" w:type="dxa"/>
            <w:tcBorders>
              <w:top w:val="nil"/>
              <w:left w:val="single" w:sz="8" w:space="0" w:color="auto"/>
              <w:bottom w:val="single" w:sz="4" w:space="0" w:color="auto"/>
              <w:right w:val="single" w:sz="8" w:space="0" w:color="auto"/>
            </w:tcBorders>
            <w:shd w:val="clear" w:color="auto" w:fill="auto"/>
            <w:noWrap/>
          </w:tcPr>
          <w:p w:rsidR="0055491A" w:rsidRPr="001F1B20" w:rsidRDefault="0055491A" w:rsidP="00210BF6">
            <w:r w:rsidRPr="001F1B20">
              <w:t>2,5</w:t>
            </w:r>
          </w:p>
        </w:tc>
        <w:tc>
          <w:tcPr>
            <w:tcW w:w="1467" w:type="dxa"/>
            <w:tcBorders>
              <w:top w:val="nil"/>
              <w:left w:val="single" w:sz="4" w:space="0" w:color="auto"/>
              <w:bottom w:val="single" w:sz="4" w:space="0" w:color="auto"/>
              <w:right w:val="single" w:sz="4" w:space="0" w:color="auto"/>
            </w:tcBorders>
            <w:shd w:val="clear" w:color="auto" w:fill="auto"/>
            <w:noWrap/>
            <w:vAlign w:val="center"/>
          </w:tcPr>
          <w:p w:rsidR="0055491A" w:rsidRPr="00240C85" w:rsidRDefault="0055491A" w:rsidP="00210BF6">
            <w:pPr>
              <w:jc w:val="center"/>
            </w:pPr>
            <w:r w:rsidRPr="00240C85">
              <w:t>38</w:t>
            </w:r>
          </w:p>
        </w:tc>
        <w:tc>
          <w:tcPr>
            <w:tcW w:w="1467" w:type="dxa"/>
            <w:tcBorders>
              <w:top w:val="nil"/>
              <w:left w:val="nil"/>
              <w:bottom w:val="single" w:sz="4" w:space="0" w:color="auto"/>
              <w:right w:val="single" w:sz="4" w:space="0" w:color="auto"/>
            </w:tcBorders>
            <w:shd w:val="clear" w:color="auto" w:fill="auto"/>
            <w:noWrap/>
            <w:vAlign w:val="center"/>
          </w:tcPr>
          <w:p w:rsidR="0055491A" w:rsidRPr="00240C85" w:rsidRDefault="0055491A" w:rsidP="00210BF6">
            <w:pPr>
              <w:jc w:val="center"/>
            </w:pPr>
            <w:r w:rsidRPr="00240C85">
              <w:t>38</w:t>
            </w:r>
          </w:p>
        </w:tc>
        <w:tc>
          <w:tcPr>
            <w:tcW w:w="1467" w:type="dxa"/>
            <w:tcBorders>
              <w:top w:val="nil"/>
              <w:left w:val="nil"/>
              <w:bottom w:val="single" w:sz="4" w:space="0" w:color="auto"/>
              <w:right w:val="single" w:sz="4" w:space="0" w:color="auto"/>
            </w:tcBorders>
            <w:shd w:val="clear" w:color="auto" w:fill="auto"/>
            <w:vAlign w:val="center"/>
          </w:tcPr>
          <w:p w:rsidR="0055491A" w:rsidRPr="00240C85" w:rsidRDefault="0055491A" w:rsidP="00210BF6">
            <w:pPr>
              <w:jc w:val="center"/>
            </w:pPr>
            <w:r w:rsidRPr="00240C85">
              <w:t>38</w:t>
            </w:r>
          </w:p>
        </w:tc>
        <w:tc>
          <w:tcPr>
            <w:tcW w:w="1276" w:type="dxa"/>
            <w:gridSpan w:val="2"/>
            <w:tcBorders>
              <w:top w:val="nil"/>
              <w:left w:val="single" w:sz="4" w:space="0" w:color="auto"/>
              <w:bottom w:val="single" w:sz="4" w:space="0" w:color="auto"/>
              <w:right w:val="single" w:sz="4" w:space="0" w:color="auto"/>
            </w:tcBorders>
            <w:shd w:val="clear" w:color="auto" w:fill="auto"/>
            <w:vAlign w:val="center"/>
          </w:tcPr>
          <w:p w:rsidR="0055491A" w:rsidRPr="00240C85" w:rsidRDefault="0055491A" w:rsidP="00210BF6">
            <w:pPr>
              <w:jc w:val="center"/>
            </w:pPr>
            <w:r w:rsidRPr="00240C85">
              <w:t>95,0</w:t>
            </w:r>
          </w:p>
        </w:tc>
        <w:tc>
          <w:tcPr>
            <w:tcW w:w="1275" w:type="dxa"/>
            <w:gridSpan w:val="2"/>
            <w:tcBorders>
              <w:top w:val="nil"/>
              <w:left w:val="nil"/>
              <w:bottom w:val="single" w:sz="4" w:space="0" w:color="auto"/>
              <w:right w:val="single" w:sz="4" w:space="0" w:color="auto"/>
            </w:tcBorders>
            <w:shd w:val="clear" w:color="auto" w:fill="auto"/>
            <w:vAlign w:val="center"/>
          </w:tcPr>
          <w:p w:rsidR="0055491A" w:rsidRPr="00240C85" w:rsidRDefault="0055491A" w:rsidP="00210BF6">
            <w:pPr>
              <w:jc w:val="center"/>
            </w:pPr>
            <w:r w:rsidRPr="00240C85">
              <w:t>95,0</w:t>
            </w:r>
          </w:p>
        </w:tc>
        <w:tc>
          <w:tcPr>
            <w:tcW w:w="1418" w:type="dxa"/>
            <w:gridSpan w:val="2"/>
            <w:tcBorders>
              <w:top w:val="nil"/>
              <w:left w:val="nil"/>
              <w:bottom w:val="single" w:sz="4" w:space="0" w:color="auto"/>
              <w:right w:val="single" w:sz="4" w:space="0" w:color="auto"/>
            </w:tcBorders>
            <w:shd w:val="clear" w:color="auto" w:fill="auto"/>
            <w:vAlign w:val="center"/>
          </w:tcPr>
          <w:p w:rsidR="0055491A" w:rsidRPr="00240C85" w:rsidRDefault="0055491A" w:rsidP="00210BF6">
            <w:pPr>
              <w:jc w:val="center"/>
            </w:pPr>
            <w:r w:rsidRPr="00240C85">
              <w:t>95,0</w:t>
            </w:r>
          </w:p>
        </w:tc>
      </w:tr>
      <w:tr w:rsidR="0055491A" w:rsidTr="00210BF6">
        <w:trPr>
          <w:gridAfter w:val="1"/>
          <w:wAfter w:w="10" w:type="dxa"/>
          <w:trHeight w:val="255"/>
        </w:trPr>
        <w:tc>
          <w:tcPr>
            <w:tcW w:w="976" w:type="dxa"/>
            <w:tcBorders>
              <w:top w:val="nil"/>
              <w:left w:val="single" w:sz="8" w:space="0" w:color="auto"/>
              <w:bottom w:val="single" w:sz="4" w:space="0" w:color="auto"/>
              <w:right w:val="single" w:sz="8" w:space="0" w:color="auto"/>
            </w:tcBorders>
            <w:shd w:val="clear" w:color="auto" w:fill="auto"/>
            <w:noWrap/>
            <w:hideMark/>
          </w:tcPr>
          <w:p w:rsidR="0055491A" w:rsidRPr="001F1B20" w:rsidRDefault="0055491A" w:rsidP="00210BF6">
            <w:r w:rsidRPr="001F1B20">
              <w:t>3,0</w:t>
            </w:r>
          </w:p>
        </w:tc>
        <w:tc>
          <w:tcPr>
            <w:tcW w:w="1467" w:type="dxa"/>
            <w:tcBorders>
              <w:top w:val="nil"/>
              <w:left w:val="single" w:sz="4" w:space="0" w:color="auto"/>
              <w:bottom w:val="single" w:sz="4" w:space="0" w:color="auto"/>
              <w:right w:val="single" w:sz="4" w:space="0" w:color="auto"/>
            </w:tcBorders>
            <w:shd w:val="clear" w:color="auto" w:fill="auto"/>
            <w:noWrap/>
            <w:vAlign w:val="center"/>
          </w:tcPr>
          <w:p w:rsidR="0055491A" w:rsidRPr="00240C85" w:rsidRDefault="0055491A" w:rsidP="00210BF6">
            <w:pPr>
              <w:jc w:val="center"/>
            </w:pPr>
            <w:r w:rsidRPr="00240C85">
              <w:t>18</w:t>
            </w:r>
          </w:p>
        </w:tc>
        <w:tc>
          <w:tcPr>
            <w:tcW w:w="1467" w:type="dxa"/>
            <w:tcBorders>
              <w:top w:val="nil"/>
              <w:left w:val="nil"/>
              <w:bottom w:val="single" w:sz="4" w:space="0" w:color="auto"/>
              <w:right w:val="single" w:sz="4" w:space="0" w:color="auto"/>
            </w:tcBorders>
            <w:shd w:val="clear" w:color="auto" w:fill="auto"/>
            <w:noWrap/>
            <w:vAlign w:val="center"/>
          </w:tcPr>
          <w:p w:rsidR="0055491A" w:rsidRPr="00240C85" w:rsidRDefault="0055491A" w:rsidP="00210BF6">
            <w:pPr>
              <w:jc w:val="center"/>
            </w:pPr>
            <w:r w:rsidRPr="00240C85">
              <w:t>18</w:t>
            </w:r>
          </w:p>
        </w:tc>
        <w:tc>
          <w:tcPr>
            <w:tcW w:w="1467" w:type="dxa"/>
            <w:tcBorders>
              <w:top w:val="nil"/>
              <w:left w:val="nil"/>
              <w:bottom w:val="single" w:sz="4" w:space="0" w:color="auto"/>
              <w:right w:val="single" w:sz="4" w:space="0" w:color="auto"/>
            </w:tcBorders>
            <w:shd w:val="clear" w:color="auto" w:fill="auto"/>
            <w:vAlign w:val="center"/>
          </w:tcPr>
          <w:p w:rsidR="0055491A" w:rsidRPr="00240C85" w:rsidRDefault="0055491A" w:rsidP="00210BF6">
            <w:pPr>
              <w:jc w:val="center"/>
            </w:pPr>
            <w:r w:rsidRPr="00240C85">
              <w:t>18</w:t>
            </w:r>
          </w:p>
        </w:tc>
        <w:tc>
          <w:tcPr>
            <w:tcW w:w="1276" w:type="dxa"/>
            <w:gridSpan w:val="2"/>
            <w:tcBorders>
              <w:top w:val="nil"/>
              <w:left w:val="single" w:sz="4" w:space="0" w:color="auto"/>
              <w:bottom w:val="single" w:sz="4" w:space="0" w:color="auto"/>
              <w:right w:val="single" w:sz="4" w:space="0" w:color="auto"/>
            </w:tcBorders>
            <w:shd w:val="clear" w:color="auto" w:fill="auto"/>
            <w:vAlign w:val="center"/>
            <w:hideMark/>
          </w:tcPr>
          <w:p w:rsidR="0055491A" w:rsidRPr="00240C85" w:rsidRDefault="0055491A" w:rsidP="00210BF6">
            <w:pPr>
              <w:jc w:val="center"/>
            </w:pPr>
            <w:r w:rsidRPr="00240C85">
              <w:t>54,0</w:t>
            </w:r>
          </w:p>
        </w:tc>
        <w:tc>
          <w:tcPr>
            <w:tcW w:w="1275" w:type="dxa"/>
            <w:gridSpan w:val="2"/>
            <w:tcBorders>
              <w:top w:val="nil"/>
              <w:left w:val="nil"/>
              <w:bottom w:val="single" w:sz="4" w:space="0" w:color="auto"/>
              <w:right w:val="single" w:sz="4" w:space="0" w:color="auto"/>
            </w:tcBorders>
            <w:shd w:val="clear" w:color="auto" w:fill="auto"/>
            <w:vAlign w:val="center"/>
            <w:hideMark/>
          </w:tcPr>
          <w:p w:rsidR="0055491A" w:rsidRPr="00240C85" w:rsidRDefault="0055491A" w:rsidP="00210BF6">
            <w:pPr>
              <w:jc w:val="center"/>
            </w:pPr>
            <w:r w:rsidRPr="00240C85">
              <w:t>54,0</w:t>
            </w:r>
          </w:p>
        </w:tc>
        <w:tc>
          <w:tcPr>
            <w:tcW w:w="1418" w:type="dxa"/>
            <w:gridSpan w:val="2"/>
            <w:tcBorders>
              <w:top w:val="nil"/>
              <w:left w:val="nil"/>
              <w:bottom w:val="single" w:sz="4" w:space="0" w:color="auto"/>
              <w:right w:val="single" w:sz="4" w:space="0" w:color="auto"/>
            </w:tcBorders>
            <w:shd w:val="clear" w:color="auto" w:fill="auto"/>
            <w:vAlign w:val="center"/>
            <w:hideMark/>
          </w:tcPr>
          <w:p w:rsidR="0055491A" w:rsidRPr="00240C85" w:rsidRDefault="0055491A" w:rsidP="00210BF6">
            <w:pPr>
              <w:jc w:val="center"/>
            </w:pPr>
            <w:r w:rsidRPr="00240C85">
              <w:t>54,0</w:t>
            </w:r>
          </w:p>
        </w:tc>
      </w:tr>
      <w:tr w:rsidR="0055491A" w:rsidTr="00210BF6">
        <w:trPr>
          <w:gridAfter w:val="1"/>
          <w:wAfter w:w="10" w:type="dxa"/>
          <w:trHeight w:val="255"/>
        </w:trPr>
        <w:tc>
          <w:tcPr>
            <w:tcW w:w="976" w:type="dxa"/>
            <w:tcBorders>
              <w:top w:val="nil"/>
              <w:left w:val="single" w:sz="8" w:space="0" w:color="auto"/>
              <w:bottom w:val="single" w:sz="4" w:space="0" w:color="auto"/>
              <w:right w:val="single" w:sz="8" w:space="0" w:color="auto"/>
            </w:tcBorders>
            <w:shd w:val="clear" w:color="auto" w:fill="auto"/>
            <w:noWrap/>
            <w:hideMark/>
          </w:tcPr>
          <w:p w:rsidR="0055491A" w:rsidRPr="001F1B20" w:rsidRDefault="0055491A" w:rsidP="00210BF6">
            <w:r w:rsidRPr="001F1B20">
              <w:t>3,5</w:t>
            </w:r>
          </w:p>
        </w:tc>
        <w:tc>
          <w:tcPr>
            <w:tcW w:w="1467" w:type="dxa"/>
            <w:tcBorders>
              <w:top w:val="nil"/>
              <w:left w:val="single" w:sz="4" w:space="0" w:color="auto"/>
              <w:bottom w:val="single" w:sz="4" w:space="0" w:color="auto"/>
              <w:right w:val="single" w:sz="4" w:space="0" w:color="auto"/>
            </w:tcBorders>
            <w:shd w:val="clear" w:color="auto" w:fill="auto"/>
            <w:noWrap/>
            <w:vAlign w:val="center"/>
          </w:tcPr>
          <w:p w:rsidR="0055491A" w:rsidRPr="00240C85" w:rsidRDefault="0055491A" w:rsidP="00210BF6">
            <w:pPr>
              <w:jc w:val="center"/>
            </w:pPr>
            <w:r w:rsidRPr="00240C85">
              <w:t>18</w:t>
            </w:r>
          </w:p>
        </w:tc>
        <w:tc>
          <w:tcPr>
            <w:tcW w:w="1467" w:type="dxa"/>
            <w:tcBorders>
              <w:top w:val="nil"/>
              <w:left w:val="nil"/>
              <w:bottom w:val="single" w:sz="4" w:space="0" w:color="auto"/>
              <w:right w:val="single" w:sz="4" w:space="0" w:color="auto"/>
            </w:tcBorders>
            <w:shd w:val="clear" w:color="auto" w:fill="auto"/>
            <w:noWrap/>
            <w:vAlign w:val="center"/>
          </w:tcPr>
          <w:p w:rsidR="0055491A" w:rsidRPr="00240C85" w:rsidRDefault="0055491A" w:rsidP="00210BF6">
            <w:pPr>
              <w:jc w:val="center"/>
            </w:pPr>
            <w:r w:rsidRPr="00240C85">
              <w:t>18</w:t>
            </w:r>
          </w:p>
        </w:tc>
        <w:tc>
          <w:tcPr>
            <w:tcW w:w="1467" w:type="dxa"/>
            <w:tcBorders>
              <w:top w:val="nil"/>
              <w:left w:val="nil"/>
              <w:bottom w:val="single" w:sz="4" w:space="0" w:color="auto"/>
              <w:right w:val="single" w:sz="4" w:space="0" w:color="auto"/>
            </w:tcBorders>
            <w:shd w:val="clear" w:color="auto" w:fill="auto"/>
            <w:vAlign w:val="center"/>
          </w:tcPr>
          <w:p w:rsidR="0055491A" w:rsidRPr="00240C85" w:rsidRDefault="0055491A" w:rsidP="00210BF6">
            <w:pPr>
              <w:jc w:val="center"/>
            </w:pPr>
            <w:r w:rsidRPr="00240C85">
              <w:t>18</w:t>
            </w:r>
          </w:p>
        </w:tc>
        <w:tc>
          <w:tcPr>
            <w:tcW w:w="1276" w:type="dxa"/>
            <w:gridSpan w:val="2"/>
            <w:tcBorders>
              <w:top w:val="nil"/>
              <w:left w:val="single" w:sz="4" w:space="0" w:color="auto"/>
              <w:bottom w:val="single" w:sz="4" w:space="0" w:color="auto"/>
              <w:right w:val="single" w:sz="4" w:space="0" w:color="auto"/>
            </w:tcBorders>
            <w:shd w:val="clear" w:color="auto" w:fill="auto"/>
            <w:vAlign w:val="center"/>
            <w:hideMark/>
          </w:tcPr>
          <w:p w:rsidR="0055491A" w:rsidRPr="00240C85" w:rsidRDefault="0055491A" w:rsidP="00210BF6">
            <w:pPr>
              <w:jc w:val="center"/>
            </w:pPr>
            <w:r w:rsidRPr="00240C85">
              <w:t>63,0</w:t>
            </w:r>
          </w:p>
        </w:tc>
        <w:tc>
          <w:tcPr>
            <w:tcW w:w="1275" w:type="dxa"/>
            <w:gridSpan w:val="2"/>
            <w:tcBorders>
              <w:top w:val="nil"/>
              <w:left w:val="nil"/>
              <w:bottom w:val="single" w:sz="4" w:space="0" w:color="auto"/>
              <w:right w:val="single" w:sz="4" w:space="0" w:color="auto"/>
            </w:tcBorders>
            <w:shd w:val="clear" w:color="auto" w:fill="auto"/>
            <w:vAlign w:val="center"/>
            <w:hideMark/>
          </w:tcPr>
          <w:p w:rsidR="0055491A" w:rsidRPr="00240C85" w:rsidRDefault="0055491A" w:rsidP="00210BF6">
            <w:pPr>
              <w:jc w:val="center"/>
            </w:pPr>
            <w:r w:rsidRPr="00240C85">
              <w:t>63,0</w:t>
            </w:r>
          </w:p>
        </w:tc>
        <w:tc>
          <w:tcPr>
            <w:tcW w:w="1418" w:type="dxa"/>
            <w:gridSpan w:val="2"/>
            <w:tcBorders>
              <w:top w:val="nil"/>
              <w:left w:val="nil"/>
              <w:bottom w:val="single" w:sz="4" w:space="0" w:color="auto"/>
              <w:right w:val="single" w:sz="4" w:space="0" w:color="auto"/>
            </w:tcBorders>
            <w:shd w:val="clear" w:color="auto" w:fill="auto"/>
            <w:vAlign w:val="center"/>
            <w:hideMark/>
          </w:tcPr>
          <w:p w:rsidR="0055491A" w:rsidRPr="00240C85" w:rsidRDefault="0055491A" w:rsidP="00210BF6">
            <w:pPr>
              <w:jc w:val="center"/>
            </w:pPr>
            <w:r w:rsidRPr="00240C85">
              <w:t>63,0</w:t>
            </w:r>
          </w:p>
        </w:tc>
      </w:tr>
      <w:tr w:rsidR="0055491A" w:rsidTr="00210BF6">
        <w:trPr>
          <w:gridAfter w:val="1"/>
          <w:wAfter w:w="10" w:type="dxa"/>
          <w:trHeight w:val="255"/>
        </w:trPr>
        <w:tc>
          <w:tcPr>
            <w:tcW w:w="976" w:type="dxa"/>
            <w:tcBorders>
              <w:top w:val="nil"/>
              <w:left w:val="single" w:sz="8" w:space="0" w:color="auto"/>
              <w:bottom w:val="single" w:sz="4" w:space="0" w:color="auto"/>
              <w:right w:val="single" w:sz="8" w:space="0" w:color="auto"/>
            </w:tcBorders>
            <w:shd w:val="clear" w:color="auto" w:fill="auto"/>
            <w:noWrap/>
            <w:hideMark/>
          </w:tcPr>
          <w:p w:rsidR="0055491A" w:rsidRPr="001F1B20" w:rsidRDefault="0055491A" w:rsidP="00210BF6">
            <w:r w:rsidRPr="001F1B20">
              <w:t>4,0</w:t>
            </w:r>
          </w:p>
        </w:tc>
        <w:tc>
          <w:tcPr>
            <w:tcW w:w="1467" w:type="dxa"/>
            <w:tcBorders>
              <w:top w:val="nil"/>
              <w:left w:val="single" w:sz="4" w:space="0" w:color="auto"/>
              <w:bottom w:val="single" w:sz="4" w:space="0" w:color="auto"/>
              <w:right w:val="single" w:sz="4" w:space="0" w:color="auto"/>
            </w:tcBorders>
            <w:shd w:val="clear" w:color="auto" w:fill="auto"/>
            <w:noWrap/>
            <w:vAlign w:val="center"/>
          </w:tcPr>
          <w:p w:rsidR="0055491A" w:rsidRPr="00240C85" w:rsidRDefault="0055491A" w:rsidP="00210BF6">
            <w:pPr>
              <w:jc w:val="center"/>
            </w:pPr>
            <w:r w:rsidRPr="00240C85">
              <w:t>14</w:t>
            </w:r>
          </w:p>
        </w:tc>
        <w:tc>
          <w:tcPr>
            <w:tcW w:w="1467" w:type="dxa"/>
            <w:tcBorders>
              <w:top w:val="nil"/>
              <w:left w:val="nil"/>
              <w:bottom w:val="single" w:sz="4" w:space="0" w:color="auto"/>
              <w:right w:val="single" w:sz="4" w:space="0" w:color="auto"/>
            </w:tcBorders>
            <w:shd w:val="clear" w:color="auto" w:fill="auto"/>
            <w:noWrap/>
            <w:vAlign w:val="center"/>
          </w:tcPr>
          <w:p w:rsidR="0055491A" w:rsidRPr="00240C85" w:rsidRDefault="0055491A" w:rsidP="00210BF6">
            <w:pPr>
              <w:jc w:val="center"/>
            </w:pPr>
            <w:r w:rsidRPr="00240C85">
              <w:t>14</w:t>
            </w:r>
          </w:p>
        </w:tc>
        <w:tc>
          <w:tcPr>
            <w:tcW w:w="1467" w:type="dxa"/>
            <w:tcBorders>
              <w:top w:val="nil"/>
              <w:left w:val="nil"/>
              <w:bottom w:val="single" w:sz="4" w:space="0" w:color="auto"/>
              <w:right w:val="single" w:sz="4" w:space="0" w:color="auto"/>
            </w:tcBorders>
            <w:shd w:val="clear" w:color="auto" w:fill="auto"/>
            <w:vAlign w:val="center"/>
          </w:tcPr>
          <w:p w:rsidR="0055491A" w:rsidRPr="00240C85" w:rsidRDefault="0055491A" w:rsidP="00210BF6">
            <w:pPr>
              <w:jc w:val="center"/>
            </w:pPr>
            <w:r w:rsidRPr="00240C85">
              <w:t>14</w:t>
            </w:r>
          </w:p>
        </w:tc>
        <w:tc>
          <w:tcPr>
            <w:tcW w:w="1276" w:type="dxa"/>
            <w:gridSpan w:val="2"/>
            <w:tcBorders>
              <w:top w:val="nil"/>
              <w:left w:val="single" w:sz="4" w:space="0" w:color="auto"/>
              <w:bottom w:val="single" w:sz="4" w:space="0" w:color="auto"/>
              <w:right w:val="single" w:sz="4" w:space="0" w:color="auto"/>
            </w:tcBorders>
            <w:shd w:val="clear" w:color="auto" w:fill="auto"/>
            <w:vAlign w:val="center"/>
            <w:hideMark/>
          </w:tcPr>
          <w:p w:rsidR="0055491A" w:rsidRPr="00240C85" w:rsidRDefault="0055491A" w:rsidP="00210BF6">
            <w:pPr>
              <w:jc w:val="center"/>
            </w:pPr>
            <w:r w:rsidRPr="00240C85">
              <w:t>56,0</w:t>
            </w:r>
          </w:p>
        </w:tc>
        <w:tc>
          <w:tcPr>
            <w:tcW w:w="1275" w:type="dxa"/>
            <w:gridSpan w:val="2"/>
            <w:tcBorders>
              <w:top w:val="nil"/>
              <w:left w:val="nil"/>
              <w:bottom w:val="single" w:sz="4" w:space="0" w:color="auto"/>
              <w:right w:val="single" w:sz="4" w:space="0" w:color="auto"/>
            </w:tcBorders>
            <w:shd w:val="clear" w:color="auto" w:fill="auto"/>
            <w:vAlign w:val="center"/>
            <w:hideMark/>
          </w:tcPr>
          <w:p w:rsidR="0055491A" w:rsidRPr="00240C85" w:rsidRDefault="0055491A" w:rsidP="00210BF6">
            <w:pPr>
              <w:jc w:val="center"/>
            </w:pPr>
            <w:r w:rsidRPr="00240C85">
              <w:t>56,0</w:t>
            </w:r>
          </w:p>
        </w:tc>
        <w:tc>
          <w:tcPr>
            <w:tcW w:w="1418" w:type="dxa"/>
            <w:gridSpan w:val="2"/>
            <w:tcBorders>
              <w:top w:val="nil"/>
              <w:left w:val="nil"/>
              <w:bottom w:val="single" w:sz="4" w:space="0" w:color="auto"/>
              <w:right w:val="single" w:sz="4" w:space="0" w:color="auto"/>
            </w:tcBorders>
            <w:shd w:val="clear" w:color="auto" w:fill="auto"/>
            <w:vAlign w:val="center"/>
            <w:hideMark/>
          </w:tcPr>
          <w:p w:rsidR="0055491A" w:rsidRPr="00240C85" w:rsidRDefault="0055491A" w:rsidP="00210BF6">
            <w:pPr>
              <w:jc w:val="center"/>
            </w:pPr>
            <w:r w:rsidRPr="00240C85">
              <w:t>56,0</w:t>
            </w:r>
          </w:p>
        </w:tc>
      </w:tr>
      <w:tr w:rsidR="0055491A" w:rsidTr="00210BF6">
        <w:trPr>
          <w:gridAfter w:val="1"/>
          <w:wAfter w:w="10" w:type="dxa"/>
          <w:trHeight w:val="255"/>
        </w:trPr>
        <w:tc>
          <w:tcPr>
            <w:tcW w:w="976" w:type="dxa"/>
            <w:tcBorders>
              <w:top w:val="nil"/>
              <w:left w:val="single" w:sz="8" w:space="0" w:color="auto"/>
              <w:bottom w:val="single" w:sz="4" w:space="0" w:color="auto"/>
              <w:right w:val="single" w:sz="8" w:space="0" w:color="auto"/>
            </w:tcBorders>
            <w:shd w:val="clear" w:color="auto" w:fill="auto"/>
            <w:noWrap/>
          </w:tcPr>
          <w:p w:rsidR="0055491A" w:rsidRPr="001F1B20" w:rsidRDefault="0055491A" w:rsidP="00210BF6">
            <w:r w:rsidRPr="001F1B20">
              <w:t>5,0</w:t>
            </w:r>
          </w:p>
        </w:tc>
        <w:tc>
          <w:tcPr>
            <w:tcW w:w="1467" w:type="dxa"/>
            <w:tcBorders>
              <w:top w:val="nil"/>
              <w:left w:val="single" w:sz="4" w:space="0" w:color="auto"/>
              <w:bottom w:val="single" w:sz="4" w:space="0" w:color="auto"/>
              <w:right w:val="single" w:sz="4" w:space="0" w:color="auto"/>
            </w:tcBorders>
            <w:shd w:val="clear" w:color="auto" w:fill="auto"/>
            <w:noWrap/>
            <w:vAlign w:val="center"/>
          </w:tcPr>
          <w:p w:rsidR="0055491A" w:rsidRPr="00240C85" w:rsidRDefault="0055491A" w:rsidP="00210BF6">
            <w:pPr>
              <w:jc w:val="center"/>
            </w:pPr>
            <w:r w:rsidRPr="00240C85">
              <w:t>4</w:t>
            </w:r>
          </w:p>
        </w:tc>
        <w:tc>
          <w:tcPr>
            <w:tcW w:w="1467" w:type="dxa"/>
            <w:tcBorders>
              <w:top w:val="nil"/>
              <w:left w:val="nil"/>
              <w:bottom w:val="single" w:sz="4" w:space="0" w:color="auto"/>
              <w:right w:val="single" w:sz="4" w:space="0" w:color="auto"/>
            </w:tcBorders>
            <w:shd w:val="clear" w:color="auto" w:fill="auto"/>
            <w:noWrap/>
            <w:vAlign w:val="center"/>
          </w:tcPr>
          <w:p w:rsidR="0055491A" w:rsidRPr="00240C85" w:rsidRDefault="0055491A" w:rsidP="00210BF6">
            <w:pPr>
              <w:jc w:val="center"/>
            </w:pPr>
            <w:r w:rsidRPr="00240C85">
              <w:t>4</w:t>
            </w:r>
          </w:p>
        </w:tc>
        <w:tc>
          <w:tcPr>
            <w:tcW w:w="1467" w:type="dxa"/>
            <w:tcBorders>
              <w:top w:val="nil"/>
              <w:left w:val="nil"/>
              <w:bottom w:val="single" w:sz="4" w:space="0" w:color="auto"/>
              <w:right w:val="single" w:sz="4" w:space="0" w:color="auto"/>
            </w:tcBorders>
            <w:shd w:val="clear" w:color="auto" w:fill="auto"/>
            <w:vAlign w:val="center"/>
          </w:tcPr>
          <w:p w:rsidR="0055491A" w:rsidRPr="00240C85" w:rsidRDefault="0055491A" w:rsidP="00210BF6">
            <w:pPr>
              <w:jc w:val="center"/>
            </w:pPr>
            <w:r w:rsidRPr="00240C85">
              <w:t>4</w:t>
            </w:r>
          </w:p>
        </w:tc>
        <w:tc>
          <w:tcPr>
            <w:tcW w:w="1276" w:type="dxa"/>
            <w:gridSpan w:val="2"/>
            <w:tcBorders>
              <w:top w:val="nil"/>
              <w:left w:val="single" w:sz="4" w:space="0" w:color="auto"/>
              <w:bottom w:val="single" w:sz="4" w:space="0" w:color="auto"/>
              <w:right w:val="single" w:sz="4" w:space="0" w:color="auto"/>
            </w:tcBorders>
            <w:shd w:val="clear" w:color="auto" w:fill="auto"/>
            <w:vAlign w:val="center"/>
          </w:tcPr>
          <w:p w:rsidR="0055491A" w:rsidRPr="00240C85" w:rsidRDefault="0055491A" w:rsidP="00210BF6">
            <w:pPr>
              <w:jc w:val="center"/>
            </w:pPr>
            <w:r w:rsidRPr="00240C85">
              <w:t>20,0</w:t>
            </w:r>
          </w:p>
        </w:tc>
        <w:tc>
          <w:tcPr>
            <w:tcW w:w="1275" w:type="dxa"/>
            <w:gridSpan w:val="2"/>
            <w:tcBorders>
              <w:top w:val="nil"/>
              <w:left w:val="nil"/>
              <w:bottom w:val="single" w:sz="4" w:space="0" w:color="auto"/>
              <w:right w:val="single" w:sz="4" w:space="0" w:color="auto"/>
            </w:tcBorders>
            <w:shd w:val="clear" w:color="auto" w:fill="auto"/>
            <w:vAlign w:val="center"/>
          </w:tcPr>
          <w:p w:rsidR="0055491A" w:rsidRPr="00240C85" w:rsidRDefault="0055491A" w:rsidP="00210BF6">
            <w:pPr>
              <w:jc w:val="center"/>
            </w:pPr>
            <w:r w:rsidRPr="00240C85">
              <w:t>20,0</w:t>
            </w:r>
          </w:p>
        </w:tc>
        <w:tc>
          <w:tcPr>
            <w:tcW w:w="1418" w:type="dxa"/>
            <w:gridSpan w:val="2"/>
            <w:tcBorders>
              <w:top w:val="nil"/>
              <w:left w:val="nil"/>
              <w:bottom w:val="single" w:sz="4" w:space="0" w:color="auto"/>
              <w:right w:val="single" w:sz="4" w:space="0" w:color="auto"/>
            </w:tcBorders>
            <w:shd w:val="clear" w:color="auto" w:fill="auto"/>
            <w:vAlign w:val="center"/>
          </w:tcPr>
          <w:p w:rsidR="0055491A" w:rsidRPr="00240C85" w:rsidRDefault="0055491A" w:rsidP="00210BF6">
            <w:pPr>
              <w:jc w:val="center"/>
            </w:pPr>
            <w:r w:rsidRPr="00240C85">
              <w:t>20,0</w:t>
            </w:r>
          </w:p>
        </w:tc>
      </w:tr>
      <w:tr w:rsidR="0055491A" w:rsidTr="00210BF6">
        <w:trPr>
          <w:gridAfter w:val="1"/>
          <w:wAfter w:w="10" w:type="dxa"/>
          <w:trHeight w:val="255"/>
        </w:trPr>
        <w:tc>
          <w:tcPr>
            <w:tcW w:w="976" w:type="dxa"/>
            <w:tcBorders>
              <w:top w:val="nil"/>
              <w:left w:val="single" w:sz="8" w:space="0" w:color="auto"/>
              <w:bottom w:val="single" w:sz="4" w:space="0" w:color="auto"/>
              <w:right w:val="single" w:sz="8" w:space="0" w:color="auto"/>
            </w:tcBorders>
            <w:shd w:val="clear" w:color="auto" w:fill="auto"/>
          </w:tcPr>
          <w:p w:rsidR="0055491A" w:rsidRPr="001F1B20" w:rsidRDefault="0055491A" w:rsidP="00210BF6">
            <w:r w:rsidRPr="001F1B20">
              <w:t>50,0</w:t>
            </w:r>
          </w:p>
        </w:tc>
        <w:tc>
          <w:tcPr>
            <w:tcW w:w="1467" w:type="dxa"/>
            <w:tcBorders>
              <w:top w:val="nil"/>
              <w:left w:val="single" w:sz="4" w:space="0" w:color="auto"/>
              <w:bottom w:val="single" w:sz="4" w:space="0" w:color="auto"/>
              <w:right w:val="single" w:sz="4" w:space="0" w:color="auto"/>
            </w:tcBorders>
            <w:shd w:val="clear" w:color="auto" w:fill="auto"/>
            <w:noWrap/>
            <w:vAlign w:val="center"/>
          </w:tcPr>
          <w:p w:rsidR="0055491A" w:rsidRPr="00240C85" w:rsidRDefault="0055491A" w:rsidP="00210BF6">
            <w:pPr>
              <w:jc w:val="center"/>
            </w:pPr>
            <w:r w:rsidRPr="00240C85">
              <w:t>12</w:t>
            </w:r>
          </w:p>
        </w:tc>
        <w:tc>
          <w:tcPr>
            <w:tcW w:w="1467" w:type="dxa"/>
            <w:tcBorders>
              <w:top w:val="nil"/>
              <w:left w:val="nil"/>
              <w:bottom w:val="single" w:sz="4" w:space="0" w:color="auto"/>
              <w:right w:val="single" w:sz="4" w:space="0" w:color="auto"/>
            </w:tcBorders>
            <w:shd w:val="clear" w:color="auto" w:fill="auto"/>
            <w:noWrap/>
            <w:vAlign w:val="center"/>
          </w:tcPr>
          <w:p w:rsidR="0055491A" w:rsidRPr="00240C85" w:rsidRDefault="0055491A" w:rsidP="00210BF6">
            <w:pPr>
              <w:jc w:val="center"/>
            </w:pPr>
            <w:r w:rsidRPr="00240C85">
              <w:t>12</w:t>
            </w:r>
          </w:p>
        </w:tc>
        <w:tc>
          <w:tcPr>
            <w:tcW w:w="1467" w:type="dxa"/>
            <w:tcBorders>
              <w:top w:val="nil"/>
              <w:left w:val="nil"/>
              <w:bottom w:val="single" w:sz="4" w:space="0" w:color="auto"/>
              <w:right w:val="single" w:sz="4" w:space="0" w:color="auto"/>
            </w:tcBorders>
            <w:shd w:val="clear" w:color="auto" w:fill="auto"/>
            <w:vAlign w:val="center"/>
          </w:tcPr>
          <w:p w:rsidR="0055491A" w:rsidRPr="00240C85" w:rsidRDefault="0055491A" w:rsidP="00210BF6">
            <w:pPr>
              <w:jc w:val="center"/>
            </w:pPr>
            <w:r w:rsidRPr="00240C85">
              <w:t>12</w:t>
            </w:r>
          </w:p>
        </w:tc>
        <w:tc>
          <w:tcPr>
            <w:tcW w:w="1276" w:type="dxa"/>
            <w:gridSpan w:val="2"/>
            <w:tcBorders>
              <w:top w:val="nil"/>
              <w:left w:val="single" w:sz="4" w:space="0" w:color="auto"/>
              <w:bottom w:val="single" w:sz="4" w:space="0" w:color="auto"/>
              <w:right w:val="single" w:sz="4" w:space="0" w:color="auto"/>
            </w:tcBorders>
            <w:shd w:val="clear" w:color="auto" w:fill="auto"/>
            <w:vAlign w:val="center"/>
          </w:tcPr>
          <w:p w:rsidR="0055491A" w:rsidRPr="00240C85" w:rsidRDefault="0055491A" w:rsidP="00210BF6">
            <w:pPr>
              <w:jc w:val="center"/>
            </w:pPr>
            <w:r w:rsidRPr="00240C85">
              <w:t>600,0</w:t>
            </w:r>
          </w:p>
        </w:tc>
        <w:tc>
          <w:tcPr>
            <w:tcW w:w="1275" w:type="dxa"/>
            <w:gridSpan w:val="2"/>
            <w:tcBorders>
              <w:top w:val="nil"/>
              <w:left w:val="nil"/>
              <w:bottom w:val="single" w:sz="4" w:space="0" w:color="auto"/>
              <w:right w:val="single" w:sz="4" w:space="0" w:color="auto"/>
            </w:tcBorders>
            <w:shd w:val="clear" w:color="auto" w:fill="auto"/>
            <w:vAlign w:val="center"/>
          </w:tcPr>
          <w:p w:rsidR="0055491A" w:rsidRPr="00240C85" w:rsidRDefault="0055491A" w:rsidP="00210BF6">
            <w:pPr>
              <w:jc w:val="center"/>
            </w:pPr>
            <w:r w:rsidRPr="00240C85">
              <w:t>600,0</w:t>
            </w:r>
          </w:p>
        </w:tc>
        <w:tc>
          <w:tcPr>
            <w:tcW w:w="1418" w:type="dxa"/>
            <w:gridSpan w:val="2"/>
            <w:tcBorders>
              <w:top w:val="nil"/>
              <w:left w:val="nil"/>
              <w:bottom w:val="single" w:sz="4" w:space="0" w:color="auto"/>
              <w:right w:val="single" w:sz="4" w:space="0" w:color="auto"/>
            </w:tcBorders>
            <w:shd w:val="clear" w:color="auto" w:fill="auto"/>
            <w:vAlign w:val="center"/>
          </w:tcPr>
          <w:p w:rsidR="0055491A" w:rsidRPr="00240C85" w:rsidRDefault="0055491A" w:rsidP="00210BF6">
            <w:pPr>
              <w:jc w:val="center"/>
            </w:pPr>
            <w:r w:rsidRPr="00240C85">
              <w:t>600,0</w:t>
            </w:r>
          </w:p>
        </w:tc>
      </w:tr>
      <w:tr w:rsidR="0055491A" w:rsidTr="00210BF6">
        <w:trPr>
          <w:gridAfter w:val="1"/>
          <w:wAfter w:w="10" w:type="dxa"/>
          <w:trHeight w:val="255"/>
        </w:trPr>
        <w:tc>
          <w:tcPr>
            <w:tcW w:w="976" w:type="dxa"/>
            <w:tcBorders>
              <w:top w:val="nil"/>
              <w:left w:val="single" w:sz="8" w:space="0" w:color="auto"/>
              <w:bottom w:val="single" w:sz="4" w:space="0" w:color="auto"/>
              <w:right w:val="single" w:sz="8" w:space="0" w:color="auto"/>
            </w:tcBorders>
            <w:shd w:val="clear" w:color="auto" w:fill="auto"/>
          </w:tcPr>
          <w:p w:rsidR="0055491A" w:rsidRPr="001F1B20" w:rsidRDefault="0055491A" w:rsidP="00210BF6">
            <w:r w:rsidRPr="001F1B20">
              <w:t>70,0</w:t>
            </w:r>
          </w:p>
        </w:tc>
        <w:tc>
          <w:tcPr>
            <w:tcW w:w="1467" w:type="dxa"/>
            <w:tcBorders>
              <w:top w:val="nil"/>
              <w:left w:val="single" w:sz="4" w:space="0" w:color="auto"/>
              <w:bottom w:val="single" w:sz="4" w:space="0" w:color="auto"/>
              <w:right w:val="single" w:sz="4" w:space="0" w:color="auto"/>
            </w:tcBorders>
            <w:shd w:val="clear" w:color="auto" w:fill="auto"/>
            <w:noWrap/>
          </w:tcPr>
          <w:p w:rsidR="0055491A" w:rsidRPr="00F06299" w:rsidRDefault="0055491A" w:rsidP="00210BF6">
            <w:pPr>
              <w:jc w:val="center"/>
            </w:pPr>
            <w:r w:rsidRPr="00F06299">
              <w:t>1</w:t>
            </w:r>
          </w:p>
        </w:tc>
        <w:tc>
          <w:tcPr>
            <w:tcW w:w="1467" w:type="dxa"/>
            <w:tcBorders>
              <w:top w:val="nil"/>
              <w:left w:val="nil"/>
              <w:bottom w:val="single" w:sz="4" w:space="0" w:color="auto"/>
              <w:right w:val="single" w:sz="4" w:space="0" w:color="auto"/>
            </w:tcBorders>
            <w:shd w:val="clear" w:color="auto" w:fill="auto"/>
            <w:noWrap/>
          </w:tcPr>
          <w:p w:rsidR="0055491A" w:rsidRPr="00435D5D" w:rsidRDefault="0055491A" w:rsidP="00210BF6">
            <w:pPr>
              <w:jc w:val="center"/>
            </w:pPr>
            <w:r w:rsidRPr="00435D5D">
              <w:t>1</w:t>
            </w:r>
          </w:p>
        </w:tc>
        <w:tc>
          <w:tcPr>
            <w:tcW w:w="1467" w:type="dxa"/>
            <w:tcBorders>
              <w:top w:val="nil"/>
              <w:left w:val="nil"/>
              <w:bottom w:val="single" w:sz="4" w:space="0" w:color="auto"/>
              <w:right w:val="single" w:sz="4" w:space="0" w:color="auto"/>
            </w:tcBorders>
            <w:shd w:val="clear" w:color="auto" w:fill="auto"/>
          </w:tcPr>
          <w:p w:rsidR="0055491A" w:rsidRPr="00EE04D9" w:rsidRDefault="0055491A" w:rsidP="00210BF6">
            <w:pPr>
              <w:jc w:val="center"/>
            </w:pPr>
            <w:r w:rsidRPr="00EE04D9">
              <w:t>1</w:t>
            </w:r>
          </w:p>
        </w:tc>
        <w:tc>
          <w:tcPr>
            <w:tcW w:w="1276" w:type="dxa"/>
            <w:gridSpan w:val="2"/>
            <w:tcBorders>
              <w:top w:val="nil"/>
              <w:left w:val="single" w:sz="4" w:space="0" w:color="auto"/>
              <w:bottom w:val="single" w:sz="4" w:space="0" w:color="auto"/>
              <w:right w:val="single" w:sz="4" w:space="0" w:color="auto"/>
            </w:tcBorders>
            <w:shd w:val="clear" w:color="auto" w:fill="auto"/>
          </w:tcPr>
          <w:p w:rsidR="0055491A" w:rsidRDefault="0055491A" w:rsidP="00210BF6">
            <w:pPr>
              <w:jc w:val="center"/>
            </w:pPr>
            <w:r w:rsidRPr="00C24F34">
              <w:t>70,0</w:t>
            </w:r>
          </w:p>
        </w:tc>
        <w:tc>
          <w:tcPr>
            <w:tcW w:w="1275" w:type="dxa"/>
            <w:gridSpan w:val="2"/>
            <w:tcBorders>
              <w:top w:val="nil"/>
              <w:left w:val="nil"/>
              <w:bottom w:val="single" w:sz="4" w:space="0" w:color="auto"/>
              <w:right w:val="single" w:sz="4" w:space="0" w:color="auto"/>
            </w:tcBorders>
            <w:shd w:val="clear" w:color="auto" w:fill="auto"/>
          </w:tcPr>
          <w:p w:rsidR="0055491A" w:rsidRDefault="0055491A" w:rsidP="00210BF6">
            <w:pPr>
              <w:jc w:val="center"/>
            </w:pPr>
            <w:r w:rsidRPr="009856CC">
              <w:t>70,0</w:t>
            </w:r>
          </w:p>
        </w:tc>
        <w:tc>
          <w:tcPr>
            <w:tcW w:w="1418" w:type="dxa"/>
            <w:gridSpan w:val="2"/>
            <w:tcBorders>
              <w:top w:val="nil"/>
              <w:left w:val="nil"/>
              <w:bottom w:val="single" w:sz="4" w:space="0" w:color="auto"/>
              <w:right w:val="single" w:sz="4" w:space="0" w:color="auto"/>
            </w:tcBorders>
            <w:shd w:val="clear" w:color="auto" w:fill="auto"/>
          </w:tcPr>
          <w:p w:rsidR="0055491A" w:rsidRDefault="0055491A" w:rsidP="00210BF6">
            <w:pPr>
              <w:jc w:val="center"/>
            </w:pPr>
            <w:r w:rsidRPr="00BD7B8F">
              <w:t>70,0</w:t>
            </w:r>
          </w:p>
        </w:tc>
      </w:tr>
      <w:tr w:rsidR="0055491A" w:rsidTr="00210BF6">
        <w:trPr>
          <w:trHeight w:val="420"/>
        </w:trPr>
        <w:tc>
          <w:tcPr>
            <w:tcW w:w="5387" w:type="dxa"/>
            <w:gridSpan w:val="5"/>
            <w:tcBorders>
              <w:top w:val="single" w:sz="8" w:space="0" w:color="auto"/>
              <w:left w:val="single" w:sz="8" w:space="0" w:color="auto"/>
              <w:bottom w:val="single" w:sz="8" w:space="0" w:color="auto"/>
              <w:right w:val="nil"/>
            </w:tcBorders>
            <w:shd w:val="clear" w:color="auto" w:fill="auto"/>
            <w:noWrap/>
            <w:vAlign w:val="center"/>
            <w:hideMark/>
          </w:tcPr>
          <w:p w:rsidR="0055491A" w:rsidRPr="00F80477" w:rsidRDefault="0055491A" w:rsidP="00210BF6">
            <w:pPr>
              <w:jc w:val="center"/>
              <w:rPr>
                <w:b/>
                <w:bCs/>
              </w:rPr>
            </w:pPr>
            <w:r w:rsidRPr="00F80477">
              <w:rPr>
                <w:b/>
                <w:bCs/>
              </w:rPr>
              <w:t xml:space="preserve">ИТОГО: </w:t>
            </w:r>
          </w:p>
        </w:tc>
        <w:tc>
          <w:tcPr>
            <w:tcW w:w="1276" w:type="dxa"/>
            <w:gridSpan w:val="2"/>
            <w:tcBorders>
              <w:top w:val="single" w:sz="8" w:space="0" w:color="auto"/>
              <w:left w:val="single" w:sz="4" w:space="0" w:color="auto"/>
              <w:bottom w:val="single" w:sz="8" w:space="0" w:color="auto"/>
              <w:right w:val="single" w:sz="4" w:space="0" w:color="auto"/>
            </w:tcBorders>
            <w:shd w:val="clear" w:color="auto" w:fill="auto"/>
            <w:noWrap/>
            <w:vAlign w:val="center"/>
            <w:hideMark/>
          </w:tcPr>
          <w:p w:rsidR="0055491A" w:rsidRPr="00F80477" w:rsidRDefault="0055491A" w:rsidP="00210BF6">
            <w:pPr>
              <w:jc w:val="center"/>
              <w:rPr>
                <w:b/>
                <w:bCs/>
              </w:rPr>
            </w:pPr>
            <w:r>
              <w:rPr>
                <w:b/>
                <w:bCs/>
              </w:rPr>
              <w:t xml:space="preserve">1 500,0 </w:t>
            </w:r>
          </w:p>
        </w:tc>
        <w:tc>
          <w:tcPr>
            <w:tcW w:w="1275" w:type="dxa"/>
            <w:gridSpan w:val="2"/>
            <w:tcBorders>
              <w:top w:val="single" w:sz="8" w:space="0" w:color="auto"/>
              <w:left w:val="nil"/>
              <w:bottom w:val="single" w:sz="8" w:space="0" w:color="auto"/>
              <w:right w:val="single" w:sz="4" w:space="0" w:color="auto"/>
            </w:tcBorders>
            <w:shd w:val="clear" w:color="auto" w:fill="auto"/>
            <w:noWrap/>
            <w:vAlign w:val="center"/>
            <w:hideMark/>
          </w:tcPr>
          <w:p w:rsidR="0055491A" w:rsidRPr="00F80477" w:rsidRDefault="0055491A" w:rsidP="00210BF6">
            <w:pPr>
              <w:jc w:val="center"/>
              <w:rPr>
                <w:b/>
                <w:bCs/>
              </w:rPr>
            </w:pPr>
            <w:r>
              <w:rPr>
                <w:b/>
                <w:bCs/>
              </w:rPr>
              <w:t>1 500,0</w:t>
            </w:r>
          </w:p>
        </w:tc>
        <w:tc>
          <w:tcPr>
            <w:tcW w:w="1418" w:type="dxa"/>
            <w:gridSpan w:val="2"/>
            <w:tcBorders>
              <w:top w:val="single" w:sz="8" w:space="0" w:color="auto"/>
              <w:left w:val="nil"/>
              <w:bottom w:val="single" w:sz="8" w:space="0" w:color="auto"/>
              <w:right w:val="single" w:sz="8" w:space="0" w:color="auto"/>
            </w:tcBorders>
            <w:shd w:val="clear" w:color="auto" w:fill="auto"/>
            <w:noWrap/>
            <w:vAlign w:val="center"/>
            <w:hideMark/>
          </w:tcPr>
          <w:p w:rsidR="0055491A" w:rsidRPr="00F80477" w:rsidRDefault="0055491A" w:rsidP="00210BF6">
            <w:pPr>
              <w:jc w:val="center"/>
              <w:rPr>
                <w:b/>
                <w:bCs/>
              </w:rPr>
            </w:pPr>
            <w:r>
              <w:rPr>
                <w:b/>
                <w:bCs/>
              </w:rPr>
              <w:t>1 500,0</w:t>
            </w:r>
          </w:p>
        </w:tc>
      </w:tr>
    </w:tbl>
    <w:p w:rsidR="0055491A" w:rsidRDefault="0055491A" w:rsidP="0055491A">
      <w:pPr>
        <w:ind w:firstLine="709"/>
        <w:jc w:val="both"/>
        <w:rPr>
          <w:sz w:val="28"/>
          <w:szCs w:val="28"/>
        </w:rPr>
      </w:pPr>
    </w:p>
    <w:p w:rsidR="0055491A" w:rsidRPr="00226C3A" w:rsidRDefault="0055491A" w:rsidP="0055491A">
      <w:pPr>
        <w:ind w:firstLine="709"/>
        <w:jc w:val="both"/>
        <w:rPr>
          <w:b/>
          <w:sz w:val="28"/>
          <w:szCs w:val="28"/>
        </w:rPr>
      </w:pPr>
      <w:r>
        <w:rPr>
          <w:sz w:val="28"/>
          <w:szCs w:val="28"/>
        </w:rPr>
        <w:t xml:space="preserve">Таким образом, </w:t>
      </w:r>
      <w:r w:rsidRPr="00226C3A">
        <w:rPr>
          <w:b/>
          <w:sz w:val="28"/>
          <w:szCs w:val="28"/>
        </w:rPr>
        <w:t>прогноз доходов</w:t>
      </w:r>
      <w:r>
        <w:rPr>
          <w:sz w:val="28"/>
          <w:szCs w:val="28"/>
        </w:rPr>
        <w:t xml:space="preserve"> в целом </w:t>
      </w:r>
      <w:r w:rsidRPr="00226C3A">
        <w:rPr>
          <w:b/>
          <w:sz w:val="28"/>
          <w:szCs w:val="28"/>
        </w:rPr>
        <w:t>2022 год – 6 128,0 тыс. руб.,</w:t>
      </w:r>
      <w:r>
        <w:rPr>
          <w:sz w:val="28"/>
          <w:szCs w:val="28"/>
        </w:rPr>
        <w:t xml:space="preserve"> </w:t>
      </w:r>
      <w:r w:rsidRPr="00226C3A">
        <w:rPr>
          <w:b/>
          <w:sz w:val="28"/>
          <w:szCs w:val="28"/>
        </w:rPr>
        <w:t>2023 год – 6 347,5 тыс. руб., 2024 год – 6 195,5 тыс. руб.</w:t>
      </w:r>
    </w:p>
    <w:p w:rsidR="0055491A" w:rsidRPr="00226C3A" w:rsidRDefault="0055491A" w:rsidP="0055491A">
      <w:pPr>
        <w:ind w:firstLine="709"/>
        <w:jc w:val="both"/>
        <w:rPr>
          <w:b/>
          <w:sz w:val="28"/>
          <w:szCs w:val="28"/>
        </w:rPr>
      </w:pPr>
    </w:p>
    <w:p w:rsidR="0055491A" w:rsidRDefault="0055491A" w:rsidP="0055491A">
      <w:pPr>
        <w:pStyle w:val="a7"/>
        <w:spacing w:after="0"/>
        <w:ind w:left="0" w:firstLine="709"/>
        <w:jc w:val="both"/>
        <w:rPr>
          <w:sz w:val="28"/>
          <w:szCs w:val="28"/>
        </w:rPr>
      </w:pPr>
      <w:r>
        <w:rPr>
          <w:sz w:val="28"/>
          <w:szCs w:val="28"/>
        </w:rPr>
        <w:t xml:space="preserve">4.3  </w:t>
      </w:r>
      <w:r w:rsidRPr="00226C3A">
        <w:rPr>
          <w:b/>
          <w:sz w:val="28"/>
          <w:szCs w:val="28"/>
        </w:rPr>
        <w:t>КБК</w:t>
      </w:r>
      <w:r>
        <w:rPr>
          <w:sz w:val="28"/>
          <w:szCs w:val="28"/>
        </w:rPr>
        <w:t xml:space="preserve"> </w:t>
      </w:r>
      <w:r w:rsidRPr="00226C3A">
        <w:rPr>
          <w:b/>
          <w:sz w:val="28"/>
          <w:szCs w:val="28"/>
        </w:rPr>
        <w:t>328 1 16 01082 01 0000 140</w:t>
      </w:r>
      <w:r>
        <w:rPr>
          <w:sz w:val="28"/>
          <w:szCs w:val="28"/>
        </w:rPr>
        <w:t xml:space="preserve"> </w:t>
      </w:r>
      <w:r w:rsidRPr="00AB4870">
        <w:rPr>
          <w:sz w:val="28"/>
          <w:szCs w:val="28"/>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w:t>
      </w:r>
      <w:r>
        <w:rPr>
          <w:sz w:val="28"/>
          <w:szCs w:val="28"/>
        </w:rPr>
        <w:t>.</w:t>
      </w:r>
    </w:p>
    <w:p w:rsidR="0055491A" w:rsidRPr="004F4E41" w:rsidRDefault="0055491A" w:rsidP="0055491A">
      <w:pPr>
        <w:pStyle w:val="a7"/>
        <w:spacing w:after="0"/>
        <w:ind w:left="0" w:firstLine="709"/>
        <w:jc w:val="both"/>
        <w:rPr>
          <w:b/>
          <w:sz w:val="28"/>
          <w:szCs w:val="28"/>
        </w:rPr>
      </w:pPr>
      <w:r w:rsidRPr="004F4E41">
        <w:rPr>
          <w:b/>
          <w:sz w:val="28"/>
          <w:szCs w:val="28"/>
        </w:rPr>
        <w:t>Главный администратор доходов – Министерство лесного хозяйства Тверской области.</w:t>
      </w:r>
    </w:p>
    <w:p w:rsidR="0055491A" w:rsidRDefault="0055491A" w:rsidP="0055491A">
      <w:pPr>
        <w:pStyle w:val="a7"/>
        <w:spacing w:after="0"/>
        <w:ind w:left="0" w:firstLine="709"/>
        <w:jc w:val="both"/>
        <w:rPr>
          <w:b/>
          <w:sz w:val="28"/>
          <w:szCs w:val="28"/>
        </w:rPr>
      </w:pPr>
      <w:r w:rsidRPr="004F4E41">
        <w:rPr>
          <w:b/>
          <w:sz w:val="28"/>
          <w:szCs w:val="28"/>
        </w:rPr>
        <w:t>Прогноз на 2022 год – 2 689,2тыс. руб., на 2023 год – 2 660,6 тыс. руб., на 2024 год – 2 660,6 тыс. руб.</w:t>
      </w:r>
    </w:p>
    <w:p w:rsidR="0055491A" w:rsidRDefault="0055491A" w:rsidP="0055491A">
      <w:pPr>
        <w:pStyle w:val="a7"/>
        <w:spacing w:after="0"/>
        <w:ind w:left="0" w:firstLine="709"/>
        <w:jc w:val="both"/>
        <w:rPr>
          <w:b/>
          <w:sz w:val="28"/>
          <w:szCs w:val="28"/>
        </w:rPr>
      </w:pPr>
    </w:p>
    <w:tbl>
      <w:tblPr>
        <w:tblStyle w:val="a6"/>
        <w:tblW w:w="0" w:type="auto"/>
        <w:tblLook w:val="04A0" w:firstRow="1" w:lastRow="0" w:firstColumn="1" w:lastColumn="0" w:noHBand="0" w:noVBand="1"/>
      </w:tblPr>
      <w:tblGrid>
        <w:gridCol w:w="704"/>
        <w:gridCol w:w="3291"/>
        <w:gridCol w:w="1825"/>
        <w:gridCol w:w="1762"/>
        <w:gridCol w:w="1762"/>
      </w:tblGrid>
      <w:tr w:rsidR="0055491A" w:rsidRPr="00B105B2" w:rsidTr="00210BF6">
        <w:tc>
          <w:tcPr>
            <w:tcW w:w="704" w:type="dxa"/>
            <w:vMerge w:val="restart"/>
          </w:tcPr>
          <w:p w:rsidR="0055491A" w:rsidRPr="00B105B2" w:rsidRDefault="0055491A" w:rsidP="00210BF6">
            <w:pPr>
              <w:pStyle w:val="a7"/>
              <w:spacing w:after="0"/>
              <w:ind w:left="0" w:firstLine="0"/>
            </w:pPr>
            <w:r w:rsidRPr="00B105B2">
              <w:t>№ п/п</w:t>
            </w:r>
          </w:p>
        </w:tc>
        <w:tc>
          <w:tcPr>
            <w:tcW w:w="3291" w:type="dxa"/>
            <w:vMerge w:val="restart"/>
          </w:tcPr>
          <w:p w:rsidR="0055491A" w:rsidRPr="00B105B2" w:rsidRDefault="0055491A" w:rsidP="00210BF6">
            <w:pPr>
              <w:pStyle w:val="a7"/>
              <w:spacing w:after="0"/>
              <w:ind w:left="0" w:firstLine="0"/>
              <w:jc w:val="left"/>
              <w:rPr>
                <w:b/>
              </w:rPr>
            </w:pPr>
            <w:r w:rsidRPr="00B105B2">
              <w:rPr>
                <w:b/>
              </w:rPr>
              <w:t>Вид правонарушения, статья КоАП РФ</w:t>
            </w:r>
          </w:p>
        </w:tc>
        <w:tc>
          <w:tcPr>
            <w:tcW w:w="5349" w:type="dxa"/>
            <w:gridSpan w:val="3"/>
          </w:tcPr>
          <w:p w:rsidR="0055491A" w:rsidRPr="00B105B2" w:rsidRDefault="0055491A" w:rsidP="00210BF6">
            <w:pPr>
              <w:pStyle w:val="a7"/>
              <w:spacing w:after="0"/>
              <w:ind w:left="0" w:firstLine="0"/>
              <w:jc w:val="center"/>
              <w:rPr>
                <w:b/>
              </w:rPr>
            </w:pPr>
            <w:r w:rsidRPr="00B105B2">
              <w:rPr>
                <w:b/>
              </w:rPr>
              <w:t>Прогноз, тыс. руб.</w:t>
            </w:r>
          </w:p>
        </w:tc>
      </w:tr>
      <w:tr w:rsidR="0055491A" w:rsidRPr="00B105B2" w:rsidTr="00210BF6">
        <w:tc>
          <w:tcPr>
            <w:tcW w:w="704" w:type="dxa"/>
            <w:vMerge/>
          </w:tcPr>
          <w:p w:rsidR="0055491A" w:rsidRPr="00B105B2" w:rsidRDefault="0055491A" w:rsidP="00210BF6">
            <w:pPr>
              <w:pStyle w:val="a7"/>
              <w:spacing w:after="0"/>
              <w:ind w:left="0" w:firstLine="0"/>
              <w:jc w:val="center"/>
            </w:pPr>
          </w:p>
        </w:tc>
        <w:tc>
          <w:tcPr>
            <w:tcW w:w="3291" w:type="dxa"/>
            <w:vMerge/>
          </w:tcPr>
          <w:p w:rsidR="0055491A" w:rsidRPr="00B105B2" w:rsidRDefault="0055491A" w:rsidP="00210BF6">
            <w:pPr>
              <w:pStyle w:val="a7"/>
              <w:spacing w:after="0"/>
              <w:ind w:left="0" w:firstLine="0"/>
              <w:jc w:val="center"/>
              <w:rPr>
                <w:b/>
              </w:rPr>
            </w:pPr>
          </w:p>
        </w:tc>
        <w:tc>
          <w:tcPr>
            <w:tcW w:w="1825" w:type="dxa"/>
          </w:tcPr>
          <w:p w:rsidR="0055491A" w:rsidRPr="00B105B2" w:rsidRDefault="0055491A" w:rsidP="00210BF6">
            <w:pPr>
              <w:pStyle w:val="a7"/>
              <w:spacing w:after="0"/>
              <w:ind w:left="0" w:firstLine="0"/>
              <w:jc w:val="center"/>
              <w:rPr>
                <w:b/>
              </w:rPr>
            </w:pPr>
            <w:r w:rsidRPr="00B105B2">
              <w:rPr>
                <w:b/>
              </w:rPr>
              <w:t>2022 год</w:t>
            </w:r>
          </w:p>
        </w:tc>
        <w:tc>
          <w:tcPr>
            <w:tcW w:w="1762" w:type="dxa"/>
          </w:tcPr>
          <w:p w:rsidR="0055491A" w:rsidRPr="00B105B2" w:rsidRDefault="0055491A" w:rsidP="00210BF6">
            <w:pPr>
              <w:pStyle w:val="a7"/>
              <w:spacing w:after="0"/>
              <w:ind w:left="0" w:firstLine="0"/>
              <w:jc w:val="center"/>
              <w:rPr>
                <w:b/>
              </w:rPr>
            </w:pPr>
            <w:r w:rsidRPr="00B105B2">
              <w:rPr>
                <w:b/>
              </w:rPr>
              <w:t>2023 год</w:t>
            </w:r>
          </w:p>
        </w:tc>
        <w:tc>
          <w:tcPr>
            <w:tcW w:w="1762" w:type="dxa"/>
          </w:tcPr>
          <w:p w:rsidR="0055491A" w:rsidRPr="00B105B2" w:rsidRDefault="0055491A" w:rsidP="00210BF6">
            <w:pPr>
              <w:pStyle w:val="a7"/>
              <w:spacing w:after="0"/>
              <w:ind w:left="0" w:firstLine="0"/>
              <w:jc w:val="center"/>
              <w:rPr>
                <w:b/>
              </w:rPr>
            </w:pPr>
            <w:r w:rsidRPr="00B105B2">
              <w:rPr>
                <w:b/>
              </w:rPr>
              <w:t>2024 год</w:t>
            </w:r>
          </w:p>
        </w:tc>
      </w:tr>
      <w:tr w:rsidR="0055491A" w:rsidRPr="00B105B2" w:rsidTr="00210BF6">
        <w:tc>
          <w:tcPr>
            <w:tcW w:w="704" w:type="dxa"/>
            <w:vAlign w:val="center"/>
          </w:tcPr>
          <w:p w:rsidR="0055491A" w:rsidRPr="00B105B2" w:rsidRDefault="0055491A" w:rsidP="00210BF6">
            <w:pPr>
              <w:pStyle w:val="a7"/>
              <w:spacing w:after="0"/>
              <w:ind w:left="0" w:firstLine="0"/>
              <w:jc w:val="center"/>
              <w:rPr>
                <w:rFonts w:eastAsia="Calibri"/>
                <w:sz w:val="28"/>
                <w:szCs w:val="28"/>
                <w:lang w:eastAsia="en-US"/>
              </w:rPr>
            </w:pPr>
            <w:r w:rsidRPr="00B105B2">
              <w:rPr>
                <w:rFonts w:eastAsia="Calibri"/>
                <w:sz w:val="28"/>
                <w:szCs w:val="28"/>
                <w:lang w:eastAsia="en-US"/>
              </w:rPr>
              <w:t>1.</w:t>
            </w:r>
          </w:p>
        </w:tc>
        <w:tc>
          <w:tcPr>
            <w:tcW w:w="3291" w:type="dxa"/>
          </w:tcPr>
          <w:p w:rsidR="0055491A" w:rsidRPr="00B105B2" w:rsidRDefault="0055491A" w:rsidP="00210BF6">
            <w:pPr>
              <w:pStyle w:val="a7"/>
              <w:spacing w:after="0"/>
              <w:ind w:left="0" w:firstLine="0"/>
              <w:jc w:val="left"/>
            </w:pPr>
            <w:r w:rsidRPr="00B105B2">
              <w:rPr>
                <w:rFonts w:eastAsia="Calibri"/>
                <w:lang w:eastAsia="en-US"/>
              </w:rPr>
              <w:t xml:space="preserve">нарушение правил использования лесов </w:t>
            </w:r>
            <w:hyperlink r:id="rId50" w:history="1">
              <w:r w:rsidRPr="00B105B2">
                <w:t>ст. 8.25</w:t>
              </w:r>
            </w:hyperlink>
            <w:r w:rsidRPr="00B105B2">
              <w:t xml:space="preserve"> </w:t>
            </w:r>
          </w:p>
        </w:tc>
        <w:tc>
          <w:tcPr>
            <w:tcW w:w="1825" w:type="dxa"/>
            <w:vAlign w:val="center"/>
          </w:tcPr>
          <w:p w:rsidR="0055491A" w:rsidRPr="00B105B2" w:rsidRDefault="0055491A" w:rsidP="00210BF6">
            <w:pPr>
              <w:pStyle w:val="a7"/>
              <w:spacing w:after="0"/>
              <w:ind w:left="0" w:firstLine="0"/>
              <w:jc w:val="center"/>
            </w:pPr>
            <w:r w:rsidRPr="00B105B2">
              <w:t>1</w:t>
            </w:r>
            <w:r>
              <w:t xml:space="preserve"> 0</w:t>
            </w:r>
            <w:r w:rsidRPr="00B105B2">
              <w:t>16,4</w:t>
            </w:r>
          </w:p>
        </w:tc>
        <w:tc>
          <w:tcPr>
            <w:tcW w:w="1762" w:type="dxa"/>
            <w:vAlign w:val="center"/>
          </w:tcPr>
          <w:p w:rsidR="0055491A" w:rsidRPr="00B105B2" w:rsidRDefault="0055491A" w:rsidP="00210BF6">
            <w:pPr>
              <w:pStyle w:val="a7"/>
              <w:spacing w:after="0"/>
              <w:ind w:left="0" w:firstLine="0"/>
              <w:jc w:val="center"/>
            </w:pPr>
            <w:r w:rsidRPr="00B105B2">
              <w:t>970,2</w:t>
            </w:r>
          </w:p>
        </w:tc>
        <w:tc>
          <w:tcPr>
            <w:tcW w:w="1762" w:type="dxa"/>
            <w:vAlign w:val="center"/>
          </w:tcPr>
          <w:p w:rsidR="0055491A" w:rsidRPr="00B105B2" w:rsidRDefault="0055491A" w:rsidP="00210BF6">
            <w:pPr>
              <w:pStyle w:val="a7"/>
              <w:spacing w:after="0"/>
              <w:ind w:left="0" w:firstLine="0"/>
              <w:jc w:val="center"/>
            </w:pPr>
            <w:r w:rsidRPr="00B105B2">
              <w:t>970,2</w:t>
            </w:r>
          </w:p>
        </w:tc>
      </w:tr>
      <w:tr w:rsidR="0055491A" w:rsidRPr="00B105B2" w:rsidTr="00210BF6">
        <w:tc>
          <w:tcPr>
            <w:tcW w:w="704" w:type="dxa"/>
            <w:vAlign w:val="center"/>
          </w:tcPr>
          <w:p w:rsidR="0055491A" w:rsidRPr="00B105B2" w:rsidRDefault="0055491A" w:rsidP="00210BF6">
            <w:pPr>
              <w:pStyle w:val="a7"/>
              <w:spacing w:after="0"/>
              <w:ind w:left="0" w:firstLine="0"/>
              <w:jc w:val="center"/>
            </w:pPr>
            <w:r>
              <w:t>2.</w:t>
            </w:r>
          </w:p>
        </w:tc>
        <w:tc>
          <w:tcPr>
            <w:tcW w:w="3291" w:type="dxa"/>
          </w:tcPr>
          <w:p w:rsidR="0055491A" w:rsidRPr="00B105B2" w:rsidRDefault="0055491A" w:rsidP="00210BF6">
            <w:pPr>
              <w:pStyle w:val="a7"/>
              <w:spacing w:after="0"/>
              <w:ind w:left="0" w:firstLine="0"/>
              <w:jc w:val="left"/>
              <w:rPr>
                <w:rFonts w:eastAsia="Calibri"/>
                <w:lang w:eastAsia="en-US"/>
              </w:rPr>
            </w:pPr>
            <w:r w:rsidRPr="00B105B2">
              <w:rPr>
                <w:rFonts w:eastAsia="Calibri"/>
                <w:lang w:eastAsia="en-US"/>
              </w:rPr>
              <w:t xml:space="preserve">нарушение правил санитарной безопасности в лесах </w:t>
            </w:r>
            <w:hyperlink r:id="rId51" w:history="1">
              <w:r w:rsidRPr="00B105B2">
                <w:rPr>
                  <w:rFonts w:eastAsia="Calibri"/>
                  <w:lang w:eastAsia="en-US"/>
                </w:rPr>
                <w:t>ст</w:t>
              </w:r>
              <w:r>
                <w:rPr>
                  <w:rFonts w:eastAsia="Calibri"/>
                  <w:lang w:eastAsia="en-US"/>
                </w:rPr>
                <w:t>.</w:t>
              </w:r>
              <w:r w:rsidRPr="00B105B2">
                <w:rPr>
                  <w:rFonts w:eastAsia="Calibri"/>
                  <w:lang w:eastAsia="en-US"/>
                </w:rPr>
                <w:t xml:space="preserve"> 8.31</w:t>
              </w:r>
            </w:hyperlink>
            <w:r w:rsidRPr="00B105B2">
              <w:rPr>
                <w:rFonts w:eastAsia="Calibri"/>
                <w:lang w:eastAsia="en-US"/>
              </w:rPr>
              <w:t xml:space="preserve"> </w:t>
            </w:r>
          </w:p>
        </w:tc>
        <w:tc>
          <w:tcPr>
            <w:tcW w:w="1825" w:type="dxa"/>
            <w:vAlign w:val="center"/>
          </w:tcPr>
          <w:p w:rsidR="0055491A" w:rsidRPr="00B105B2" w:rsidRDefault="0055491A" w:rsidP="00210BF6">
            <w:pPr>
              <w:pStyle w:val="a7"/>
              <w:spacing w:after="0"/>
              <w:ind w:left="0" w:firstLine="0"/>
              <w:jc w:val="center"/>
              <w:rPr>
                <w:rFonts w:eastAsia="Calibri"/>
                <w:lang w:eastAsia="en-US"/>
              </w:rPr>
            </w:pPr>
            <w:r w:rsidRPr="00B105B2">
              <w:rPr>
                <w:rFonts w:eastAsia="Calibri"/>
                <w:lang w:eastAsia="en-US"/>
              </w:rPr>
              <w:t>281,6</w:t>
            </w:r>
          </w:p>
        </w:tc>
        <w:tc>
          <w:tcPr>
            <w:tcW w:w="1762" w:type="dxa"/>
            <w:vAlign w:val="center"/>
          </w:tcPr>
          <w:p w:rsidR="0055491A" w:rsidRPr="00B105B2" w:rsidRDefault="0055491A" w:rsidP="00210BF6">
            <w:pPr>
              <w:pStyle w:val="a7"/>
              <w:spacing w:after="0"/>
              <w:ind w:left="0" w:firstLine="0"/>
              <w:jc w:val="center"/>
              <w:rPr>
                <w:rFonts w:eastAsia="Calibri"/>
                <w:lang w:eastAsia="en-US"/>
              </w:rPr>
            </w:pPr>
            <w:r w:rsidRPr="00B105B2">
              <w:rPr>
                <w:rFonts w:eastAsia="Calibri"/>
                <w:lang w:eastAsia="en-US"/>
              </w:rPr>
              <w:t>299,2</w:t>
            </w:r>
          </w:p>
        </w:tc>
        <w:tc>
          <w:tcPr>
            <w:tcW w:w="1762" w:type="dxa"/>
            <w:vAlign w:val="center"/>
          </w:tcPr>
          <w:p w:rsidR="0055491A" w:rsidRPr="00B105B2" w:rsidRDefault="0055491A" w:rsidP="00210BF6">
            <w:pPr>
              <w:pStyle w:val="a7"/>
              <w:spacing w:after="0"/>
              <w:ind w:left="0" w:firstLine="0"/>
              <w:jc w:val="center"/>
              <w:rPr>
                <w:rFonts w:eastAsia="Calibri"/>
                <w:lang w:eastAsia="en-US"/>
              </w:rPr>
            </w:pPr>
            <w:r w:rsidRPr="00B105B2">
              <w:rPr>
                <w:rFonts w:eastAsia="Calibri"/>
                <w:lang w:eastAsia="en-US"/>
              </w:rPr>
              <w:t>299,2</w:t>
            </w:r>
          </w:p>
        </w:tc>
      </w:tr>
      <w:tr w:rsidR="0055491A" w:rsidRPr="00B105B2" w:rsidTr="00210BF6">
        <w:tc>
          <w:tcPr>
            <w:tcW w:w="704" w:type="dxa"/>
          </w:tcPr>
          <w:p w:rsidR="0055491A" w:rsidRPr="00B105B2" w:rsidRDefault="0055491A" w:rsidP="00210BF6">
            <w:pPr>
              <w:pStyle w:val="a7"/>
              <w:spacing w:after="0"/>
              <w:ind w:left="0" w:firstLine="0"/>
              <w:jc w:val="center"/>
            </w:pPr>
            <w:r>
              <w:t>3.</w:t>
            </w:r>
          </w:p>
        </w:tc>
        <w:tc>
          <w:tcPr>
            <w:tcW w:w="3291" w:type="dxa"/>
          </w:tcPr>
          <w:p w:rsidR="0055491A" w:rsidRPr="00E329C2" w:rsidRDefault="0055491A" w:rsidP="00210BF6">
            <w:pPr>
              <w:pStyle w:val="a7"/>
              <w:spacing w:after="0"/>
              <w:ind w:left="0" w:firstLine="0"/>
              <w:jc w:val="left"/>
              <w:rPr>
                <w:rFonts w:eastAsia="Calibri"/>
                <w:lang w:eastAsia="en-US"/>
              </w:rPr>
            </w:pPr>
            <w:r w:rsidRPr="00E329C2">
              <w:rPr>
                <w:rFonts w:eastAsia="Calibri"/>
                <w:lang w:eastAsia="en-US"/>
              </w:rPr>
              <w:t xml:space="preserve">нарушение правил пожарной безопасности в лесах  ст. 8.32 </w:t>
            </w:r>
          </w:p>
        </w:tc>
        <w:tc>
          <w:tcPr>
            <w:tcW w:w="1825" w:type="dxa"/>
          </w:tcPr>
          <w:p w:rsidR="0055491A" w:rsidRPr="00295E22" w:rsidRDefault="0055491A" w:rsidP="00210BF6">
            <w:pPr>
              <w:pStyle w:val="a7"/>
              <w:spacing w:after="0"/>
              <w:ind w:left="0" w:firstLine="0"/>
              <w:jc w:val="center"/>
            </w:pPr>
            <w:r w:rsidRPr="00295E22">
              <w:t>1 391,2</w:t>
            </w:r>
          </w:p>
        </w:tc>
        <w:tc>
          <w:tcPr>
            <w:tcW w:w="1762" w:type="dxa"/>
          </w:tcPr>
          <w:p w:rsidR="0055491A" w:rsidRPr="00295E22" w:rsidRDefault="0055491A" w:rsidP="00210BF6">
            <w:pPr>
              <w:pStyle w:val="a7"/>
              <w:spacing w:after="0"/>
              <w:ind w:left="0" w:firstLine="0"/>
              <w:jc w:val="center"/>
            </w:pPr>
            <w:r w:rsidRPr="00295E22">
              <w:t>1 391,2</w:t>
            </w:r>
          </w:p>
        </w:tc>
        <w:tc>
          <w:tcPr>
            <w:tcW w:w="1762" w:type="dxa"/>
          </w:tcPr>
          <w:p w:rsidR="0055491A" w:rsidRPr="00295E22" w:rsidRDefault="0055491A" w:rsidP="00210BF6">
            <w:pPr>
              <w:pStyle w:val="a7"/>
              <w:spacing w:after="0"/>
              <w:ind w:left="0" w:firstLine="0"/>
              <w:jc w:val="center"/>
            </w:pPr>
            <w:r w:rsidRPr="00295E22">
              <w:t>1 391,2</w:t>
            </w:r>
          </w:p>
        </w:tc>
      </w:tr>
      <w:tr w:rsidR="0055491A" w:rsidRPr="00B105B2" w:rsidTr="00210BF6">
        <w:tc>
          <w:tcPr>
            <w:tcW w:w="3995" w:type="dxa"/>
            <w:gridSpan w:val="2"/>
          </w:tcPr>
          <w:p w:rsidR="0055491A" w:rsidRPr="00295E22" w:rsidRDefault="0055491A" w:rsidP="00210BF6">
            <w:pPr>
              <w:pStyle w:val="a7"/>
              <w:spacing w:after="0"/>
              <w:ind w:left="0"/>
              <w:jc w:val="center"/>
              <w:rPr>
                <w:b/>
              </w:rPr>
            </w:pPr>
            <w:r w:rsidRPr="00295E22">
              <w:rPr>
                <w:b/>
              </w:rPr>
              <w:t>ИТОГО</w:t>
            </w:r>
          </w:p>
        </w:tc>
        <w:tc>
          <w:tcPr>
            <w:tcW w:w="1825" w:type="dxa"/>
          </w:tcPr>
          <w:p w:rsidR="0055491A" w:rsidRPr="00295E22" w:rsidRDefault="0055491A" w:rsidP="00210BF6">
            <w:pPr>
              <w:pStyle w:val="a7"/>
              <w:spacing w:after="0"/>
              <w:ind w:left="0" w:firstLine="0"/>
              <w:jc w:val="center"/>
              <w:rPr>
                <w:b/>
              </w:rPr>
            </w:pPr>
            <w:r w:rsidRPr="00295E22">
              <w:rPr>
                <w:b/>
              </w:rPr>
              <w:t>2 689,2</w:t>
            </w:r>
          </w:p>
        </w:tc>
        <w:tc>
          <w:tcPr>
            <w:tcW w:w="1762" w:type="dxa"/>
          </w:tcPr>
          <w:p w:rsidR="0055491A" w:rsidRPr="00295E22" w:rsidRDefault="0055491A" w:rsidP="00210BF6">
            <w:pPr>
              <w:pStyle w:val="a7"/>
              <w:spacing w:after="0"/>
              <w:ind w:left="0" w:firstLine="0"/>
              <w:jc w:val="center"/>
              <w:rPr>
                <w:b/>
              </w:rPr>
            </w:pPr>
            <w:r w:rsidRPr="00295E22">
              <w:rPr>
                <w:b/>
              </w:rPr>
              <w:t>2 660,6</w:t>
            </w:r>
          </w:p>
        </w:tc>
        <w:tc>
          <w:tcPr>
            <w:tcW w:w="1762" w:type="dxa"/>
          </w:tcPr>
          <w:p w:rsidR="0055491A" w:rsidRPr="00295E22" w:rsidRDefault="0055491A" w:rsidP="00210BF6">
            <w:pPr>
              <w:pStyle w:val="a7"/>
              <w:spacing w:after="0"/>
              <w:ind w:left="0" w:firstLine="0"/>
              <w:jc w:val="center"/>
              <w:rPr>
                <w:b/>
              </w:rPr>
            </w:pPr>
            <w:r w:rsidRPr="00295E22">
              <w:rPr>
                <w:b/>
              </w:rPr>
              <w:t>2 660,6</w:t>
            </w:r>
          </w:p>
        </w:tc>
      </w:tr>
    </w:tbl>
    <w:p w:rsidR="0055491A" w:rsidRPr="004F4E41" w:rsidRDefault="0055491A" w:rsidP="0055491A">
      <w:pPr>
        <w:pStyle w:val="a7"/>
        <w:spacing w:after="0"/>
        <w:ind w:left="0" w:firstLine="709"/>
        <w:jc w:val="both"/>
        <w:rPr>
          <w:b/>
          <w:sz w:val="28"/>
          <w:szCs w:val="28"/>
        </w:rPr>
      </w:pPr>
    </w:p>
    <w:p w:rsidR="0055491A" w:rsidRPr="00630FC0" w:rsidRDefault="0055491A" w:rsidP="0055491A">
      <w:pPr>
        <w:shd w:val="clear" w:color="auto" w:fill="FFFFFF"/>
        <w:ind w:firstLine="708"/>
        <w:jc w:val="both"/>
        <w:rPr>
          <w:rFonts w:eastAsia="Calibri"/>
          <w:i/>
          <w:sz w:val="28"/>
          <w:szCs w:val="28"/>
          <w:lang w:eastAsia="en-US"/>
        </w:rPr>
      </w:pPr>
      <w:r w:rsidRPr="00630FC0">
        <w:rPr>
          <w:rFonts w:eastAsia="Calibri"/>
          <w:sz w:val="28"/>
          <w:szCs w:val="28"/>
          <w:lang w:eastAsia="en-US"/>
        </w:rPr>
        <w:t>4.3.1</w:t>
      </w:r>
      <w:r>
        <w:rPr>
          <w:rFonts w:eastAsia="Calibri"/>
          <w:b/>
          <w:sz w:val="28"/>
          <w:szCs w:val="28"/>
          <w:lang w:eastAsia="en-US"/>
        </w:rPr>
        <w:t xml:space="preserve"> </w:t>
      </w:r>
      <w:r w:rsidRPr="00630FC0">
        <w:rPr>
          <w:rFonts w:eastAsia="Calibri"/>
          <w:i/>
          <w:sz w:val="28"/>
          <w:szCs w:val="28"/>
          <w:lang w:eastAsia="en-US"/>
        </w:rPr>
        <w:t>Штрафы за нарушение правил использования лесов в соответствии со</w:t>
      </w:r>
      <w:r w:rsidRPr="00630FC0">
        <w:rPr>
          <w:i/>
          <w:sz w:val="28"/>
          <w:szCs w:val="28"/>
        </w:rPr>
        <w:t xml:space="preserve"> </w:t>
      </w:r>
      <w:hyperlink r:id="rId52" w:history="1">
        <w:r w:rsidRPr="00630FC0">
          <w:rPr>
            <w:i/>
            <w:sz w:val="28"/>
            <w:szCs w:val="28"/>
          </w:rPr>
          <w:t>статьей 8.25</w:t>
        </w:r>
      </w:hyperlink>
      <w:r w:rsidRPr="00630FC0">
        <w:rPr>
          <w:i/>
          <w:sz w:val="28"/>
          <w:szCs w:val="28"/>
        </w:rPr>
        <w:t xml:space="preserve"> КоАП РФ.</w:t>
      </w:r>
    </w:p>
    <w:p w:rsidR="0055491A" w:rsidRPr="00EA1FFC" w:rsidRDefault="0055491A" w:rsidP="0055491A">
      <w:pPr>
        <w:shd w:val="clear" w:color="auto" w:fill="FFFFFF"/>
        <w:ind w:firstLine="708"/>
        <w:jc w:val="both"/>
        <w:rPr>
          <w:rFonts w:eastAsia="Calibri"/>
          <w:b/>
          <w:sz w:val="28"/>
          <w:szCs w:val="28"/>
          <w:lang w:eastAsia="en-US"/>
        </w:rPr>
      </w:pPr>
      <w:r w:rsidRPr="005F6BFA">
        <w:rPr>
          <w:sz w:val="28"/>
          <w:szCs w:val="28"/>
        </w:rPr>
        <w:lastRenderedPageBreak/>
        <w:t>Прогноз данного вида доходов определяется по формуле:</w:t>
      </w:r>
    </w:p>
    <w:p w:rsidR="0055491A" w:rsidRPr="005F6BFA" w:rsidRDefault="0055491A" w:rsidP="0055491A">
      <w:pPr>
        <w:widowControl w:val="0"/>
        <w:autoSpaceDE w:val="0"/>
        <w:autoSpaceDN w:val="0"/>
        <w:jc w:val="center"/>
        <w:rPr>
          <w:sz w:val="28"/>
          <w:szCs w:val="28"/>
        </w:rPr>
      </w:pPr>
      <w:r w:rsidRPr="005F6BFA">
        <w:rPr>
          <w:sz w:val="28"/>
          <w:szCs w:val="28"/>
        </w:rPr>
        <w:t>П</w:t>
      </w:r>
      <w:r w:rsidRPr="005F6BFA">
        <w:rPr>
          <w:sz w:val="28"/>
          <w:szCs w:val="28"/>
          <w:vertAlign w:val="subscript"/>
        </w:rPr>
        <w:t>наруш. правил исп. лесов</w:t>
      </w:r>
      <w:r w:rsidRPr="005F6BFA">
        <w:rPr>
          <w:sz w:val="28"/>
          <w:szCs w:val="28"/>
        </w:rPr>
        <w:t xml:space="preserve"> = К</w:t>
      </w:r>
      <w:r w:rsidRPr="005F6BFA">
        <w:rPr>
          <w:sz w:val="28"/>
          <w:szCs w:val="28"/>
          <w:vertAlign w:val="superscript"/>
        </w:rPr>
        <w:t>ср</w:t>
      </w:r>
      <w:r w:rsidRPr="005F6BFA">
        <w:rPr>
          <w:sz w:val="28"/>
          <w:szCs w:val="28"/>
          <w:vertAlign w:val="subscript"/>
        </w:rPr>
        <w:t>наруш. правил исп. лесов</w:t>
      </w:r>
      <w:r>
        <w:rPr>
          <w:sz w:val="28"/>
          <w:szCs w:val="28"/>
        </w:rPr>
        <w:t xml:space="preserve"> </w:t>
      </w:r>
      <w:r w:rsidRPr="005F6BFA">
        <w:rPr>
          <w:sz w:val="28"/>
          <w:szCs w:val="28"/>
        </w:rPr>
        <w:t>* P</w:t>
      </w:r>
      <w:r w:rsidRPr="005F6BFA">
        <w:rPr>
          <w:sz w:val="28"/>
          <w:szCs w:val="28"/>
          <w:vertAlign w:val="superscript"/>
        </w:rPr>
        <w:t>ср</w:t>
      </w:r>
      <w:r w:rsidRPr="005F6BFA">
        <w:rPr>
          <w:sz w:val="28"/>
          <w:szCs w:val="28"/>
          <w:vertAlign w:val="subscript"/>
        </w:rPr>
        <w:t>наруш. правил исп. лесов</w:t>
      </w:r>
      <w:r w:rsidRPr="005F6BFA">
        <w:rPr>
          <w:sz w:val="28"/>
          <w:szCs w:val="28"/>
        </w:rPr>
        <w:t xml:space="preserve"> + Z</w:t>
      </w:r>
      <w:r w:rsidRPr="005F6BFA">
        <w:rPr>
          <w:sz w:val="28"/>
          <w:szCs w:val="28"/>
          <w:vertAlign w:val="superscript"/>
        </w:rPr>
        <w:t>ср</w:t>
      </w:r>
      <w:r w:rsidRPr="005F6BFA">
        <w:rPr>
          <w:sz w:val="28"/>
          <w:szCs w:val="28"/>
        </w:rPr>
        <w:t xml:space="preserve"> +/- R,</w:t>
      </w:r>
    </w:p>
    <w:p w:rsidR="0055491A" w:rsidRPr="005F6BFA" w:rsidRDefault="0055491A" w:rsidP="0055491A">
      <w:pPr>
        <w:widowControl w:val="0"/>
        <w:autoSpaceDE w:val="0"/>
        <w:autoSpaceDN w:val="0"/>
        <w:ind w:firstLine="540"/>
        <w:jc w:val="both"/>
        <w:rPr>
          <w:sz w:val="28"/>
          <w:szCs w:val="28"/>
        </w:rPr>
      </w:pPr>
      <w:r w:rsidRPr="005F6BFA">
        <w:rPr>
          <w:sz w:val="28"/>
          <w:szCs w:val="28"/>
        </w:rPr>
        <w:t>где:</w:t>
      </w:r>
    </w:p>
    <w:p w:rsidR="0055491A" w:rsidRPr="005F6BFA" w:rsidRDefault="0055491A" w:rsidP="0055491A">
      <w:pPr>
        <w:widowControl w:val="0"/>
        <w:autoSpaceDE w:val="0"/>
        <w:autoSpaceDN w:val="0"/>
        <w:ind w:firstLine="540"/>
        <w:jc w:val="both"/>
        <w:rPr>
          <w:sz w:val="28"/>
          <w:szCs w:val="28"/>
        </w:rPr>
      </w:pPr>
      <w:r w:rsidRPr="005F6BFA">
        <w:rPr>
          <w:sz w:val="28"/>
          <w:szCs w:val="28"/>
        </w:rPr>
        <w:t>К</w:t>
      </w:r>
      <w:r w:rsidRPr="005F6BFA">
        <w:rPr>
          <w:sz w:val="28"/>
          <w:szCs w:val="28"/>
          <w:vertAlign w:val="superscript"/>
        </w:rPr>
        <w:t>ср</w:t>
      </w:r>
      <w:r w:rsidRPr="005F6BFA">
        <w:rPr>
          <w:sz w:val="28"/>
          <w:szCs w:val="28"/>
          <w:vertAlign w:val="subscript"/>
        </w:rPr>
        <w:t>наруш. правил исп. лесов</w:t>
      </w:r>
      <w:r w:rsidRPr="005F6BFA">
        <w:rPr>
          <w:sz w:val="28"/>
          <w:szCs w:val="28"/>
        </w:rPr>
        <w:t xml:space="preserve"> - среднее количество случаев нарушения правил использования лесов (рассчитывается на основе количества случаев нарушения правил использования лесов за три года, предшествующих прогнозируемому году) (ед.) рассчитывается с применением метода скользящей средней по формуле:</w:t>
      </w:r>
    </w:p>
    <w:p w:rsidR="0055491A" w:rsidRPr="005F6BFA" w:rsidRDefault="0055491A" w:rsidP="0055491A">
      <w:pPr>
        <w:widowControl w:val="0"/>
        <w:autoSpaceDE w:val="0"/>
        <w:autoSpaceDN w:val="0"/>
        <w:jc w:val="center"/>
        <w:rPr>
          <w:sz w:val="28"/>
          <w:szCs w:val="28"/>
        </w:rPr>
      </w:pPr>
      <w:r w:rsidRPr="005F6BFA">
        <w:rPr>
          <w:noProof/>
          <w:position w:val="-41"/>
          <w:sz w:val="28"/>
          <w:szCs w:val="28"/>
        </w:rPr>
        <w:drawing>
          <wp:inline distT="0" distB="0" distL="0" distR="0" wp14:anchorId="55F2099D" wp14:editId="4167A37A">
            <wp:extent cx="2881630" cy="669925"/>
            <wp:effectExtent l="0" t="0" r="0" b="0"/>
            <wp:docPr id="18" name="Рисунок 18" descr="base_50_590968_328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base_50_590968_32819"/>
                    <pic:cNvPicPr preferRelativeResize="0">
                      <a:picLocks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881630" cy="669925"/>
                    </a:xfrm>
                    <a:prstGeom prst="rect">
                      <a:avLst/>
                    </a:prstGeom>
                    <a:noFill/>
                    <a:ln>
                      <a:noFill/>
                    </a:ln>
                  </pic:spPr>
                </pic:pic>
              </a:graphicData>
            </a:graphic>
          </wp:inline>
        </w:drawing>
      </w:r>
    </w:p>
    <w:p w:rsidR="0055491A" w:rsidRPr="005F6BFA" w:rsidRDefault="0055491A" w:rsidP="0055491A">
      <w:pPr>
        <w:widowControl w:val="0"/>
        <w:autoSpaceDE w:val="0"/>
        <w:autoSpaceDN w:val="0"/>
        <w:ind w:firstLine="540"/>
        <w:jc w:val="both"/>
        <w:rPr>
          <w:sz w:val="28"/>
          <w:szCs w:val="28"/>
        </w:rPr>
      </w:pPr>
      <w:r w:rsidRPr="005F6BFA">
        <w:rPr>
          <w:sz w:val="28"/>
          <w:szCs w:val="28"/>
        </w:rPr>
        <w:t>где:</w:t>
      </w:r>
    </w:p>
    <w:p w:rsidR="0055491A" w:rsidRPr="005F6BFA" w:rsidRDefault="0055491A" w:rsidP="0055491A">
      <w:pPr>
        <w:widowControl w:val="0"/>
        <w:autoSpaceDE w:val="0"/>
        <w:autoSpaceDN w:val="0"/>
        <w:ind w:firstLine="540"/>
        <w:jc w:val="both"/>
        <w:rPr>
          <w:sz w:val="28"/>
          <w:szCs w:val="28"/>
        </w:rPr>
      </w:pPr>
      <w:r w:rsidRPr="005F6BFA">
        <w:rPr>
          <w:noProof/>
          <w:position w:val="-26"/>
          <w:sz w:val="28"/>
          <w:szCs w:val="28"/>
        </w:rPr>
        <w:drawing>
          <wp:inline distT="0" distB="0" distL="0" distR="0" wp14:anchorId="3FF75830" wp14:editId="0EFEED40">
            <wp:extent cx="1392555" cy="467995"/>
            <wp:effectExtent l="0" t="0" r="0" b="8255"/>
            <wp:docPr id="17" name="Рисунок 17" descr="base_50_590968_328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base_50_590968_32820"/>
                    <pic:cNvPicPr preferRelativeResize="0">
                      <a:picLocks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392555" cy="467995"/>
                    </a:xfrm>
                    <a:prstGeom prst="rect">
                      <a:avLst/>
                    </a:prstGeom>
                    <a:noFill/>
                    <a:ln>
                      <a:noFill/>
                    </a:ln>
                  </pic:spPr>
                </pic:pic>
              </a:graphicData>
            </a:graphic>
          </wp:inline>
        </w:drawing>
      </w:r>
      <w:r w:rsidRPr="005F6BFA">
        <w:rPr>
          <w:sz w:val="28"/>
          <w:szCs w:val="28"/>
        </w:rPr>
        <w:t xml:space="preserve"> - сумма количества случаев нарушения правил использования лесов за три года, предшествующих прогнозируемому году (ед.), при формировании прогноза на очередной финансовый год используются фактические данные за два отчетных года и прогнозные значения на текущий финансовый год, при формировании прогноза на первый год планового периода используются фактические данные за один отчетный год и прогнозные значения текущего финансового года и очередного финансового года; прогноз на второй год планового периода принимается на уровне прогноза первого года планового периода.</w:t>
      </w:r>
    </w:p>
    <w:p w:rsidR="0055491A" w:rsidRPr="005F6BFA" w:rsidRDefault="0055491A" w:rsidP="0055491A">
      <w:pPr>
        <w:widowControl w:val="0"/>
        <w:autoSpaceDE w:val="0"/>
        <w:autoSpaceDN w:val="0"/>
        <w:ind w:firstLine="540"/>
        <w:jc w:val="both"/>
        <w:rPr>
          <w:sz w:val="28"/>
          <w:szCs w:val="28"/>
        </w:rPr>
      </w:pPr>
      <w:r w:rsidRPr="005F6BFA">
        <w:rPr>
          <w:sz w:val="28"/>
          <w:szCs w:val="28"/>
        </w:rPr>
        <w:t>Р</w:t>
      </w:r>
      <w:r w:rsidRPr="005F6BFA">
        <w:rPr>
          <w:sz w:val="28"/>
          <w:szCs w:val="28"/>
          <w:vertAlign w:val="superscript"/>
        </w:rPr>
        <w:t>ср</w:t>
      </w:r>
      <w:r w:rsidRPr="005F6BFA">
        <w:rPr>
          <w:sz w:val="28"/>
          <w:szCs w:val="28"/>
          <w:vertAlign w:val="subscript"/>
        </w:rPr>
        <w:t>наруш. правил исп. лесов</w:t>
      </w:r>
      <w:r w:rsidRPr="005F6BFA">
        <w:rPr>
          <w:sz w:val="28"/>
          <w:szCs w:val="28"/>
        </w:rPr>
        <w:t xml:space="preserve"> - средний размер штрафа за нарушение правил использования лесов за отчетный год (руб.) определяется по формуле:</w:t>
      </w:r>
    </w:p>
    <w:p w:rsidR="0055491A" w:rsidRPr="005F6BFA" w:rsidRDefault="0055491A" w:rsidP="0055491A">
      <w:pPr>
        <w:widowControl w:val="0"/>
        <w:autoSpaceDE w:val="0"/>
        <w:autoSpaceDN w:val="0"/>
        <w:jc w:val="both"/>
        <w:rPr>
          <w:sz w:val="28"/>
          <w:szCs w:val="28"/>
        </w:rPr>
      </w:pPr>
    </w:p>
    <w:p w:rsidR="0055491A" w:rsidRPr="005F6BFA" w:rsidRDefault="0055491A" w:rsidP="0055491A">
      <w:pPr>
        <w:widowControl w:val="0"/>
        <w:autoSpaceDE w:val="0"/>
        <w:autoSpaceDN w:val="0"/>
        <w:jc w:val="center"/>
        <w:rPr>
          <w:sz w:val="28"/>
          <w:szCs w:val="28"/>
        </w:rPr>
      </w:pPr>
      <w:r w:rsidRPr="005F6BFA">
        <w:rPr>
          <w:noProof/>
          <w:position w:val="-31"/>
          <w:sz w:val="28"/>
          <w:szCs w:val="28"/>
        </w:rPr>
        <w:drawing>
          <wp:inline distT="0" distB="0" distL="0" distR="0" wp14:anchorId="64E0727C" wp14:editId="1194EEC5">
            <wp:extent cx="2860040" cy="542290"/>
            <wp:effectExtent l="0" t="0" r="0" b="0"/>
            <wp:docPr id="16" name="Рисунок 16" descr="base_50_590968_328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base_50_590968_32821"/>
                    <pic:cNvPicPr preferRelativeResize="0">
                      <a:picLocks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860040" cy="542290"/>
                    </a:xfrm>
                    <a:prstGeom prst="rect">
                      <a:avLst/>
                    </a:prstGeom>
                    <a:noFill/>
                    <a:ln>
                      <a:noFill/>
                    </a:ln>
                  </pic:spPr>
                </pic:pic>
              </a:graphicData>
            </a:graphic>
          </wp:inline>
        </w:drawing>
      </w:r>
    </w:p>
    <w:p w:rsidR="0055491A" w:rsidRPr="005F6BFA" w:rsidRDefault="0055491A" w:rsidP="0055491A">
      <w:pPr>
        <w:widowControl w:val="0"/>
        <w:autoSpaceDE w:val="0"/>
        <w:autoSpaceDN w:val="0"/>
        <w:ind w:firstLine="540"/>
        <w:jc w:val="both"/>
        <w:rPr>
          <w:sz w:val="28"/>
          <w:szCs w:val="28"/>
        </w:rPr>
      </w:pPr>
      <w:r w:rsidRPr="005F6BFA">
        <w:rPr>
          <w:sz w:val="28"/>
          <w:szCs w:val="28"/>
        </w:rPr>
        <w:t>где:</w:t>
      </w:r>
    </w:p>
    <w:p w:rsidR="0055491A" w:rsidRPr="005F6BFA" w:rsidRDefault="0055491A" w:rsidP="0055491A">
      <w:pPr>
        <w:widowControl w:val="0"/>
        <w:autoSpaceDE w:val="0"/>
        <w:autoSpaceDN w:val="0"/>
        <w:ind w:firstLine="540"/>
        <w:jc w:val="both"/>
        <w:rPr>
          <w:sz w:val="28"/>
          <w:szCs w:val="28"/>
        </w:rPr>
      </w:pPr>
      <w:r w:rsidRPr="005F6BFA">
        <w:rPr>
          <w:noProof/>
          <w:position w:val="-11"/>
          <w:sz w:val="28"/>
          <w:szCs w:val="28"/>
        </w:rPr>
        <w:drawing>
          <wp:inline distT="0" distB="0" distL="0" distR="0" wp14:anchorId="1998A860" wp14:editId="1080362E">
            <wp:extent cx="1382395" cy="287020"/>
            <wp:effectExtent l="0" t="0" r="0" b="0"/>
            <wp:docPr id="15" name="Рисунок 15" descr="base_50_590968_328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base_50_590968_32822"/>
                    <pic:cNvPicPr preferRelativeResize="0">
                      <a:picLocks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382395" cy="287020"/>
                    </a:xfrm>
                    <a:prstGeom prst="rect">
                      <a:avLst/>
                    </a:prstGeom>
                    <a:noFill/>
                    <a:ln>
                      <a:noFill/>
                    </a:ln>
                  </pic:spPr>
                </pic:pic>
              </a:graphicData>
            </a:graphic>
          </wp:inline>
        </w:drawing>
      </w:r>
      <w:r w:rsidRPr="005F6BFA">
        <w:rPr>
          <w:sz w:val="28"/>
          <w:szCs w:val="28"/>
        </w:rPr>
        <w:t xml:space="preserve"> - сумма платежей за нарушение правил использования лесов за отчетный год (тыс. руб.);</w:t>
      </w:r>
    </w:p>
    <w:p w:rsidR="0055491A" w:rsidRPr="005F6BFA" w:rsidRDefault="0055491A" w:rsidP="0055491A">
      <w:pPr>
        <w:widowControl w:val="0"/>
        <w:autoSpaceDE w:val="0"/>
        <w:autoSpaceDN w:val="0"/>
        <w:ind w:firstLine="540"/>
        <w:jc w:val="both"/>
        <w:rPr>
          <w:sz w:val="28"/>
          <w:szCs w:val="28"/>
        </w:rPr>
      </w:pPr>
      <w:r w:rsidRPr="005F6BFA">
        <w:rPr>
          <w:noProof/>
          <w:position w:val="-11"/>
          <w:sz w:val="28"/>
          <w:szCs w:val="28"/>
        </w:rPr>
        <w:drawing>
          <wp:inline distT="0" distB="0" distL="0" distR="0" wp14:anchorId="21AB4B3E" wp14:editId="43725CC5">
            <wp:extent cx="1158875" cy="287020"/>
            <wp:effectExtent l="0" t="0" r="3175" b="0"/>
            <wp:docPr id="14" name="Рисунок 14" descr="base_50_590968_328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descr="base_50_590968_32823"/>
                    <pic:cNvPicPr preferRelativeResize="0">
                      <a:picLocks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158875" cy="287020"/>
                    </a:xfrm>
                    <a:prstGeom prst="rect">
                      <a:avLst/>
                    </a:prstGeom>
                    <a:noFill/>
                    <a:ln>
                      <a:noFill/>
                    </a:ln>
                  </pic:spPr>
                </pic:pic>
              </a:graphicData>
            </a:graphic>
          </wp:inline>
        </w:drawing>
      </w:r>
      <w:r w:rsidRPr="005F6BFA">
        <w:rPr>
          <w:sz w:val="28"/>
          <w:szCs w:val="28"/>
        </w:rPr>
        <w:t xml:space="preserve"> - количество случаев нарушения правил использования лесов за отчетный год (ед.);</w:t>
      </w:r>
    </w:p>
    <w:p w:rsidR="0055491A" w:rsidRPr="005F6BFA" w:rsidRDefault="0055491A" w:rsidP="0055491A">
      <w:pPr>
        <w:widowControl w:val="0"/>
        <w:autoSpaceDE w:val="0"/>
        <w:autoSpaceDN w:val="0"/>
        <w:ind w:firstLine="540"/>
        <w:jc w:val="both"/>
        <w:rPr>
          <w:sz w:val="28"/>
          <w:szCs w:val="28"/>
        </w:rPr>
      </w:pPr>
      <w:r w:rsidRPr="005F6BFA">
        <w:rPr>
          <w:sz w:val="28"/>
          <w:szCs w:val="28"/>
        </w:rPr>
        <w:t>Z</w:t>
      </w:r>
      <w:r w:rsidRPr="005F6BFA">
        <w:rPr>
          <w:sz w:val="28"/>
          <w:szCs w:val="28"/>
          <w:vertAlign w:val="superscript"/>
        </w:rPr>
        <w:t>ср</w:t>
      </w:r>
      <w:r w:rsidRPr="005F6BFA">
        <w:rPr>
          <w:sz w:val="28"/>
          <w:szCs w:val="28"/>
        </w:rPr>
        <w:t xml:space="preserve"> - средний объем дебиторской задолженности (недоимки), возможный к поступлению (тыс. руб.). Определяется по формуле:</w:t>
      </w:r>
    </w:p>
    <w:p w:rsidR="0055491A" w:rsidRPr="005F6BFA" w:rsidRDefault="0055491A" w:rsidP="0055491A">
      <w:pPr>
        <w:widowControl w:val="0"/>
        <w:autoSpaceDE w:val="0"/>
        <w:autoSpaceDN w:val="0"/>
        <w:jc w:val="center"/>
        <w:rPr>
          <w:sz w:val="28"/>
          <w:szCs w:val="28"/>
        </w:rPr>
      </w:pPr>
      <w:r w:rsidRPr="005F6BFA">
        <w:rPr>
          <w:noProof/>
          <w:position w:val="-11"/>
          <w:sz w:val="28"/>
          <w:szCs w:val="28"/>
        </w:rPr>
        <w:drawing>
          <wp:inline distT="0" distB="0" distL="0" distR="0" wp14:anchorId="155DC3D7" wp14:editId="492ED384">
            <wp:extent cx="2190115" cy="287020"/>
            <wp:effectExtent l="0" t="0" r="635" b="0"/>
            <wp:docPr id="13" name="Рисунок 13" descr="base_50_590968_328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descr="base_50_590968_32824"/>
                    <pic:cNvPicPr preferRelativeResize="0">
                      <a:picLocks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190115" cy="287020"/>
                    </a:xfrm>
                    <a:prstGeom prst="rect">
                      <a:avLst/>
                    </a:prstGeom>
                    <a:noFill/>
                    <a:ln>
                      <a:noFill/>
                    </a:ln>
                  </pic:spPr>
                </pic:pic>
              </a:graphicData>
            </a:graphic>
          </wp:inline>
        </w:drawing>
      </w:r>
    </w:p>
    <w:p w:rsidR="0055491A" w:rsidRPr="005F6BFA" w:rsidRDefault="0055491A" w:rsidP="0055491A">
      <w:pPr>
        <w:widowControl w:val="0"/>
        <w:autoSpaceDE w:val="0"/>
        <w:autoSpaceDN w:val="0"/>
        <w:ind w:firstLine="540"/>
        <w:jc w:val="both"/>
        <w:rPr>
          <w:sz w:val="28"/>
          <w:szCs w:val="28"/>
        </w:rPr>
      </w:pPr>
      <w:r w:rsidRPr="005F6BFA">
        <w:rPr>
          <w:sz w:val="28"/>
          <w:szCs w:val="28"/>
        </w:rPr>
        <w:t>где:</w:t>
      </w:r>
    </w:p>
    <w:p w:rsidR="0055491A" w:rsidRPr="005F6BFA" w:rsidRDefault="0055491A" w:rsidP="0055491A">
      <w:pPr>
        <w:widowControl w:val="0"/>
        <w:autoSpaceDE w:val="0"/>
        <w:autoSpaceDN w:val="0"/>
        <w:ind w:firstLine="540"/>
        <w:jc w:val="both"/>
        <w:rPr>
          <w:sz w:val="28"/>
          <w:szCs w:val="28"/>
        </w:rPr>
      </w:pPr>
      <w:r w:rsidRPr="005F6BFA">
        <w:rPr>
          <w:noProof/>
          <w:position w:val="-11"/>
          <w:sz w:val="28"/>
          <w:szCs w:val="28"/>
        </w:rPr>
        <w:drawing>
          <wp:inline distT="0" distB="0" distL="0" distR="0" wp14:anchorId="24754293" wp14:editId="4187D027">
            <wp:extent cx="574040" cy="287020"/>
            <wp:effectExtent l="0" t="0" r="0" b="0"/>
            <wp:docPr id="12" name="Рисунок 12" descr="base_50_590968_328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descr="base_50_590968_32825"/>
                    <pic:cNvPicPr preferRelativeResize="0">
                      <a:picLocks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74040" cy="287020"/>
                    </a:xfrm>
                    <a:prstGeom prst="rect">
                      <a:avLst/>
                    </a:prstGeom>
                    <a:noFill/>
                    <a:ln>
                      <a:noFill/>
                    </a:ln>
                  </pic:spPr>
                </pic:pic>
              </a:graphicData>
            </a:graphic>
          </wp:inline>
        </w:drawing>
      </w:r>
      <w:r w:rsidRPr="005F6BFA">
        <w:rPr>
          <w:sz w:val="28"/>
          <w:szCs w:val="28"/>
        </w:rPr>
        <w:t xml:space="preserve"> - сумма годовых величин задолженности (недоимки), возможной к взысканию (общая сумма недоимки, включая долги прошлых периодов, за минусом безнадежной), за три отчетных года, предшествующих прогнозируемому году (тыс. руб.);</w:t>
      </w:r>
    </w:p>
    <w:p w:rsidR="0055491A" w:rsidRPr="005F6BFA" w:rsidRDefault="0055491A" w:rsidP="0055491A">
      <w:pPr>
        <w:widowControl w:val="0"/>
        <w:autoSpaceDE w:val="0"/>
        <w:autoSpaceDN w:val="0"/>
        <w:ind w:firstLine="540"/>
        <w:jc w:val="both"/>
        <w:rPr>
          <w:sz w:val="28"/>
          <w:szCs w:val="28"/>
        </w:rPr>
      </w:pPr>
      <w:r w:rsidRPr="005F6BFA">
        <w:rPr>
          <w:noProof/>
          <w:position w:val="-11"/>
          <w:sz w:val="28"/>
          <w:szCs w:val="28"/>
        </w:rPr>
        <w:drawing>
          <wp:inline distT="0" distB="0" distL="0" distR="0" wp14:anchorId="12493E57" wp14:editId="1EE93EBD">
            <wp:extent cx="553085" cy="287020"/>
            <wp:effectExtent l="0" t="0" r="0" b="0"/>
            <wp:docPr id="11" name="Рисунок 11" descr="base_50_590968_328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base_50_590968_32826"/>
                    <pic:cNvPicPr preferRelativeResize="0">
                      <a:picLocks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553085" cy="287020"/>
                    </a:xfrm>
                    <a:prstGeom prst="rect">
                      <a:avLst/>
                    </a:prstGeom>
                    <a:noFill/>
                    <a:ln>
                      <a:noFill/>
                    </a:ln>
                  </pic:spPr>
                </pic:pic>
              </a:graphicData>
            </a:graphic>
          </wp:inline>
        </w:drawing>
      </w:r>
      <w:r w:rsidRPr="005F6BFA">
        <w:rPr>
          <w:sz w:val="28"/>
          <w:szCs w:val="28"/>
        </w:rPr>
        <w:t xml:space="preserve"> - сумма долей взыскания Федеральной службой судебных </w:t>
      </w:r>
      <w:r w:rsidRPr="005F6BFA">
        <w:rPr>
          <w:sz w:val="28"/>
          <w:szCs w:val="28"/>
        </w:rPr>
        <w:lastRenderedPageBreak/>
        <w:t>приставов задолженности (недоимки) от задолженности, находящейся у нее на рассмотрении, за три отчетных года, предшествующих прогнозируемому году (единицы);</w:t>
      </w:r>
    </w:p>
    <w:p w:rsidR="0055491A" w:rsidRPr="005F6BFA" w:rsidRDefault="0055491A" w:rsidP="0055491A">
      <w:pPr>
        <w:widowControl w:val="0"/>
        <w:autoSpaceDE w:val="0"/>
        <w:autoSpaceDN w:val="0"/>
        <w:ind w:firstLine="540"/>
        <w:jc w:val="both"/>
        <w:rPr>
          <w:sz w:val="28"/>
          <w:szCs w:val="28"/>
        </w:rPr>
      </w:pPr>
      <w:r w:rsidRPr="005F6BFA">
        <w:rPr>
          <w:sz w:val="28"/>
          <w:szCs w:val="28"/>
        </w:rPr>
        <w:t>k - доля взыскания Федеральной службой судебных приставов задолженности (недоимки) от задолженности, находящейся у нее на рассмотрении, по итогам отчетного года (единицы), определяется по формуле:</w:t>
      </w:r>
    </w:p>
    <w:p w:rsidR="0055491A" w:rsidRPr="005F6BFA" w:rsidRDefault="0055491A" w:rsidP="0055491A">
      <w:pPr>
        <w:widowControl w:val="0"/>
        <w:autoSpaceDE w:val="0"/>
        <w:autoSpaceDN w:val="0"/>
        <w:jc w:val="center"/>
        <w:rPr>
          <w:sz w:val="28"/>
          <w:szCs w:val="28"/>
        </w:rPr>
      </w:pPr>
      <w:r w:rsidRPr="005F6BFA">
        <w:rPr>
          <w:sz w:val="28"/>
          <w:szCs w:val="28"/>
        </w:rPr>
        <w:t>k = Z</w:t>
      </w:r>
      <w:r w:rsidRPr="005F6BFA">
        <w:rPr>
          <w:sz w:val="28"/>
          <w:szCs w:val="28"/>
          <w:vertAlign w:val="superscript"/>
        </w:rPr>
        <w:t>взыск</w:t>
      </w:r>
      <w:r w:rsidRPr="005F6BFA">
        <w:rPr>
          <w:sz w:val="28"/>
          <w:szCs w:val="28"/>
        </w:rPr>
        <w:t xml:space="preserve"> / Z</w:t>
      </w:r>
      <w:r w:rsidRPr="005F6BFA">
        <w:rPr>
          <w:sz w:val="28"/>
          <w:szCs w:val="28"/>
          <w:vertAlign w:val="superscript"/>
        </w:rPr>
        <w:t>ФССП</w:t>
      </w:r>
      <w:r w:rsidRPr="005F6BFA">
        <w:rPr>
          <w:sz w:val="28"/>
          <w:szCs w:val="28"/>
        </w:rPr>
        <w:t>,</w:t>
      </w:r>
    </w:p>
    <w:p w:rsidR="0055491A" w:rsidRPr="005F6BFA" w:rsidRDefault="0055491A" w:rsidP="0055491A">
      <w:pPr>
        <w:widowControl w:val="0"/>
        <w:autoSpaceDE w:val="0"/>
        <w:autoSpaceDN w:val="0"/>
        <w:ind w:firstLine="540"/>
        <w:jc w:val="both"/>
        <w:rPr>
          <w:sz w:val="28"/>
          <w:szCs w:val="28"/>
        </w:rPr>
      </w:pPr>
      <w:r w:rsidRPr="005F6BFA">
        <w:rPr>
          <w:sz w:val="28"/>
          <w:szCs w:val="28"/>
        </w:rPr>
        <w:t>где:</w:t>
      </w:r>
    </w:p>
    <w:p w:rsidR="0055491A" w:rsidRPr="005F6BFA" w:rsidRDefault="0055491A" w:rsidP="0055491A">
      <w:pPr>
        <w:widowControl w:val="0"/>
        <w:autoSpaceDE w:val="0"/>
        <w:autoSpaceDN w:val="0"/>
        <w:ind w:firstLine="540"/>
        <w:jc w:val="both"/>
        <w:rPr>
          <w:sz w:val="28"/>
          <w:szCs w:val="28"/>
        </w:rPr>
      </w:pPr>
      <w:r w:rsidRPr="005F6BFA">
        <w:rPr>
          <w:sz w:val="28"/>
          <w:szCs w:val="28"/>
        </w:rPr>
        <w:t>Z</w:t>
      </w:r>
      <w:r w:rsidRPr="005F6BFA">
        <w:rPr>
          <w:sz w:val="28"/>
          <w:szCs w:val="28"/>
          <w:vertAlign w:val="superscript"/>
        </w:rPr>
        <w:t>взыск</w:t>
      </w:r>
      <w:r w:rsidRPr="005F6BFA">
        <w:rPr>
          <w:sz w:val="28"/>
          <w:szCs w:val="28"/>
        </w:rPr>
        <w:t xml:space="preserve"> - всего взыскано платежей Федеральной службой судебных приставов в отчетном году (тыс. руб.);</w:t>
      </w:r>
    </w:p>
    <w:p w:rsidR="0055491A" w:rsidRPr="005F6BFA" w:rsidRDefault="0055491A" w:rsidP="0055491A">
      <w:pPr>
        <w:widowControl w:val="0"/>
        <w:autoSpaceDE w:val="0"/>
        <w:autoSpaceDN w:val="0"/>
        <w:ind w:firstLine="540"/>
        <w:jc w:val="both"/>
        <w:rPr>
          <w:sz w:val="28"/>
          <w:szCs w:val="28"/>
        </w:rPr>
      </w:pPr>
      <w:r w:rsidRPr="005F6BFA">
        <w:rPr>
          <w:sz w:val="28"/>
          <w:szCs w:val="28"/>
        </w:rPr>
        <w:t>Z</w:t>
      </w:r>
      <w:r w:rsidRPr="005F6BFA">
        <w:rPr>
          <w:sz w:val="28"/>
          <w:szCs w:val="28"/>
          <w:vertAlign w:val="superscript"/>
        </w:rPr>
        <w:t>ФССП</w:t>
      </w:r>
      <w:r w:rsidRPr="005F6BFA">
        <w:rPr>
          <w:sz w:val="28"/>
          <w:szCs w:val="28"/>
        </w:rPr>
        <w:t xml:space="preserve"> - сумма задолженности (недоимки), находящейся на принудительном взыскании в Федеральной службе судебных приставов (ведется исполнительное производство, возбужденное до 1 января отчетного года, и возбужденное исполнительное производство в отчетном году) (тыс. руб.);</w:t>
      </w:r>
    </w:p>
    <w:p w:rsidR="0055491A" w:rsidRDefault="0055491A" w:rsidP="0055491A">
      <w:pPr>
        <w:pStyle w:val="a7"/>
        <w:spacing w:after="0"/>
        <w:ind w:left="0" w:firstLine="709"/>
        <w:jc w:val="both"/>
        <w:rPr>
          <w:sz w:val="28"/>
          <w:szCs w:val="28"/>
        </w:rPr>
      </w:pPr>
      <w:r w:rsidRPr="005F6BFA">
        <w:rPr>
          <w:sz w:val="28"/>
          <w:szCs w:val="28"/>
        </w:rPr>
        <w:t>R - корректирующая сумма поступлений, учитывающая отдельные решения Президента Российской Федерации, Правительства Российской Федерации, а также проекты нормативных правовых актов Президента Российской Федерации, Правительства Российской Федерации и другие факторы, влияющие на объем прогнозируемых доходов (тыс. руб.).</w:t>
      </w:r>
    </w:p>
    <w:p w:rsidR="0055491A" w:rsidRPr="002768E9" w:rsidRDefault="0055491A" w:rsidP="0055491A">
      <w:pPr>
        <w:shd w:val="clear" w:color="auto" w:fill="FFFFFF"/>
        <w:ind w:firstLine="709"/>
        <w:jc w:val="both"/>
        <w:rPr>
          <w:rFonts w:eastAsia="Calibri"/>
          <w:b/>
          <w:sz w:val="28"/>
          <w:szCs w:val="28"/>
          <w:lang w:eastAsia="en-US"/>
        </w:rPr>
      </w:pPr>
      <w:r w:rsidRPr="002768E9">
        <w:rPr>
          <w:b/>
          <w:sz w:val="28"/>
          <w:szCs w:val="28"/>
        </w:rPr>
        <w:t>Расчет прогноза поступлений</w:t>
      </w:r>
    </w:p>
    <w:p w:rsidR="0055491A" w:rsidRPr="00007F9D" w:rsidRDefault="0055491A" w:rsidP="0055491A">
      <w:pPr>
        <w:tabs>
          <w:tab w:val="left" w:pos="3195"/>
        </w:tabs>
        <w:autoSpaceDE w:val="0"/>
        <w:autoSpaceDN w:val="0"/>
        <w:adjustRightInd w:val="0"/>
        <w:ind w:firstLine="709"/>
        <w:jc w:val="both"/>
        <w:rPr>
          <w:rFonts w:eastAsia="Calibri"/>
          <w:sz w:val="28"/>
          <w:szCs w:val="28"/>
          <w:lang w:eastAsia="en-US"/>
        </w:rPr>
      </w:pPr>
      <w:r w:rsidRPr="00007F9D">
        <w:rPr>
          <w:rFonts w:eastAsia="Calibri"/>
          <w:sz w:val="28"/>
          <w:szCs w:val="28"/>
          <w:lang w:eastAsia="en-US"/>
        </w:rPr>
        <w:t>Согласно данным отраслевой отчетности за 201</w:t>
      </w:r>
      <w:r>
        <w:rPr>
          <w:rFonts w:eastAsia="Calibri"/>
          <w:sz w:val="28"/>
          <w:szCs w:val="28"/>
          <w:lang w:eastAsia="en-US"/>
        </w:rPr>
        <w:t>8</w:t>
      </w:r>
      <w:r w:rsidRPr="00007F9D">
        <w:rPr>
          <w:rFonts w:eastAsia="Calibri"/>
          <w:sz w:val="28"/>
          <w:szCs w:val="28"/>
          <w:lang w:eastAsia="en-US"/>
        </w:rPr>
        <w:t xml:space="preserve"> – 20</w:t>
      </w:r>
      <w:r>
        <w:rPr>
          <w:rFonts w:eastAsia="Calibri"/>
          <w:sz w:val="28"/>
          <w:szCs w:val="28"/>
          <w:lang w:eastAsia="en-US"/>
        </w:rPr>
        <w:t>20</w:t>
      </w:r>
      <w:r w:rsidRPr="00007F9D">
        <w:rPr>
          <w:rFonts w:eastAsia="Calibri"/>
          <w:sz w:val="28"/>
          <w:szCs w:val="28"/>
          <w:lang w:eastAsia="en-US"/>
        </w:rPr>
        <w:t xml:space="preserve"> годы по форме 8-ОИП, утвержденной приказом Минприроды России от 28.12.2015 № 565, количество </w:t>
      </w:r>
      <w:r w:rsidRPr="00007F9D">
        <w:rPr>
          <w:sz w:val="28"/>
          <w:szCs w:val="28"/>
        </w:rPr>
        <w:t xml:space="preserve">административных правонарушений, предусмотренных </w:t>
      </w:r>
      <w:hyperlink r:id="rId61" w:history="1">
        <w:r w:rsidRPr="00007F9D">
          <w:rPr>
            <w:sz w:val="28"/>
            <w:szCs w:val="28"/>
          </w:rPr>
          <w:t>статьей 8.25</w:t>
        </w:r>
      </w:hyperlink>
      <w:r w:rsidRPr="00007F9D">
        <w:rPr>
          <w:sz w:val="28"/>
          <w:szCs w:val="28"/>
        </w:rPr>
        <w:t xml:space="preserve"> КоАП РФ,</w:t>
      </w:r>
      <w:r w:rsidRPr="00007F9D">
        <w:rPr>
          <w:rFonts w:eastAsia="Calibri"/>
          <w:sz w:val="28"/>
          <w:szCs w:val="28"/>
          <w:lang w:eastAsia="en-US"/>
        </w:rPr>
        <w:t xml:space="preserve"> составляет: в 2018 г. – 107 ед.; в 2019 г. – 150 ед.</w:t>
      </w:r>
      <w:r>
        <w:rPr>
          <w:rFonts w:eastAsia="Calibri"/>
          <w:sz w:val="28"/>
          <w:szCs w:val="28"/>
          <w:lang w:eastAsia="en-US"/>
        </w:rPr>
        <w:t>,</w:t>
      </w:r>
      <w:r w:rsidRPr="00007F9D">
        <w:rPr>
          <w:rFonts w:eastAsia="Calibri"/>
          <w:sz w:val="28"/>
          <w:szCs w:val="28"/>
          <w:lang w:eastAsia="en-US"/>
        </w:rPr>
        <w:t xml:space="preserve"> в 20</w:t>
      </w:r>
      <w:r>
        <w:rPr>
          <w:rFonts w:eastAsia="Calibri"/>
          <w:sz w:val="28"/>
          <w:szCs w:val="28"/>
          <w:lang w:eastAsia="en-US"/>
        </w:rPr>
        <w:t>20</w:t>
      </w:r>
      <w:r w:rsidRPr="00007F9D">
        <w:rPr>
          <w:rFonts w:eastAsia="Calibri"/>
          <w:sz w:val="28"/>
          <w:szCs w:val="28"/>
          <w:lang w:eastAsia="en-US"/>
        </w:rPr>
        <w:t xml:space="preserve"> г. – 1</w:t>
      </w:r>
      <w:r>
        <w:rPr>
          <w:rFonts w:eastAsia="Calibri"/>
          <w:sz w:val="28"/>
          <w:szCs w:val="28"/>
          <w:lang w:eastAsia="en-US"/>
        </w:rPr>
        <w:t>20 ед.</w:t>
      </w:r>
      <w:r w:rsidRPr="00007F9D">
        <w:rPr>
          <w:rFonts w:eastAsia="Calibri"/>
          <w:sz w:val="28"/>
          <w:szCs w:val="28"/>
          <w:lang w:eastAsia="en-US"/>
        </w:rPr>
        <w:t xml:space="preserve"> Таким образом, К</w:t>
      </w:r>
      <w:r w:rsidRPr="00007F9D">
        <w:rPr>
          <w:rFonts w:eastAsia="Calibri"/>
          <w:sz w:val="28"/>
          <w:szCs w:val="28"/>
          <w:vertAlign w:val="superscript"/>
          <w:lang w:eastAsia="en-US"/>
        </w:rPr>
        <w:t>ср</w:t>
      </w:r>
      <w:r w:rsidRPr="00007F9D">
        <w:rPr>
          <w:rFonts w:eastAsia="Calibri"/>
          <w:sz w:val="28"/>
          <w:szCs w:val="28"/>
          <w:vertAlign w:val="subscript"/>
          <w:lang w:eastAsia="en-US"/>
        </w:rPr>
        <w:t xml:space="preserve">8.25 </w:t>
      </w:r>
      <w:r w:rsidRPr="00007F9D">
        <w:rPr>
          <w:rFonts w:eastAsia="Calibri"/>
          <w:sz w:val="28"/>
          <w:szCs w:val="28"/>
          <w:lang w:eastAsia="en-US"/>
        </w:rPr>
        <w:t>= (107+1</w:t>
      </w:r>
      <w:r>
        <w:rPr>
          <w:rFonts w:eastAsia="Calibri"/>
          <w:sz w:val="28"/>
          <w:szCs w:val="28"/>
          <w:lang w:eastAsia="en-US"/>
        </w:rPr>
        <w:t>50</w:t>
      </w:r>
      <w:r w:rsidRPr="00007F9D">
        <w:rPr>
          <w:rFonts w:eastAsia="Calibri"/>
          <w:sz w:val="28"/>
          <w:szCs w:val="28"/>
          <w:lang w:eastAsia="en-US"/>
        </w:rPr>
        <w:t>+1</w:t>
      </w:r>
      <w:r>
        <w:rPr>
          <w:rFonts w:eastAsia="Calibri"/>
          <w:sz w:val="28"/>
          <w:szCs w:val="28"/>
          <w:lang w:eastAsia="en-US"/>
        </w:rPr>
        <w:t>2</w:t>
      </w:r>
      <w:r w:rsidRPr="00007F9D">
        <w:rPr>
          <w:rFonts w:eastAsia="Calibri"/>
          <w:sz w:val="28"/>
          <w:szCs w:val="28"/>
          <w:lang w:eastAsia="en-US"/>
        </w:rPr>
        <w:t>0) / 3 = 12</w:t>
      </w:r>
      <w:r>
        <w:rPr>
          <w:rFonts w:eastAsia="Calibri"/>
          <w:sz w:val="28"/>
          <w:szCs w:val="28"/>
          <w:lang w:eastAsia="en-US"/>
        </w:rPr>
        <w:t>6</w:t>
      </w:r>
      <w:r w:rsidRPr="00007F9D">
        <w:rPr>
          <w:rFonts w:eastAsia="Calibri"/>
          <w:sz w:val="28"/>
          <w:szCs w:val="28"/>
          <w:lang w:eastAsia="en-US"/>
        </w:rPr>
        <w:t xml:space="preserve"> ед.</w:t>
      </w:r>
    </w:p>
    <w:p w:rsidR="0055491A" w:rsidRPr="00007F9D" w:rsidRDefault="0055491A" w:rsidP="0055491A">
      <w:pPr>
        <w:tabs>
          <w:tab w:val="left" w:pos="3195"/>
        </w:tabs>
        <w:autoSpaceDE w:val="0"/>
        <w:autoSpaceDN w:val="0"/>
        <w:adjustRightInd w:val="0"/>
        <w:ind w:firstLine="709"/>
        <w:jc w:val="both"/>
        <w:rPr>
          <w:sz w:val="28"/>
          <w:szCs w:val="28"/>
        </w:rPr>
      </w:pPr>
      <w:r w:rsidRPr="00007F9D">
        <w:rPr>
          <w:rFonts w:eastAsia="Calibri"/>
          <w:sz w:val="28"/>
          <w:szCs w:val="28"/>
          <w:lang w:eastAsia="en-US"/>
        </w:rPr>
        <w:t xml:space="preserve">Согласно данным о фактическом поступлении платежей за </w:t>
      </w:r>
      <w:r w:rsidRPr="00007F9D">
        <w:rPr>
          <w:sz w:val="28"/>
          <w:szCs w:val="28"/>
        </w:rPr>
        <w:t xml:space="preserve">административные правонарушения, предусмотренные </w:t>
      </w:r>
      <w:hyperlink r:id="rId62" w:history="1">
        <w:r w:rsidRPr="00007F9D">
          <w:rPr>
            <w:sz w:val="28"/>
            <w:szCs w:val="28"/>
          </w:rPr>
          <w:t xml:space="preserve">статьей 8.25 </w:t>
        </w:r>
      </w:hyperlink>
      <w:r w:rsidRPr="00007F9D">
        <w:rPr>
          <w:sz w:val="28"/>
          <w:szCs w:val="28"/>
        </w:rPr>
        <w:t xml:space="preserve">КоАП РФ, </w:t>
      </w:r>
      <w:r w:rsidRPr="00007F9D">
        <w:rPr>
          <w:rFonts w:eastAsia="Calibri"/>
          <w:sz w:val="28"/>
          <w:szCs w:val="28"/>
          <w:lang w:eastAsia="en-US"/>
        </w:rPr>
        <w:t>сумма платежей в 20</w:t>
      </w:r>
      <w:r>
        <w:rPr>
          <w:rFonts w:eastAsia="Calibri"/>
          <w:sz w:val="28"/>
          <w:szCs w:val="28"/>
          <w:lang w:eastAsia="en-US"/>
        </w:rPr>
        <w:t>20</w:t>
      </w:r>
      <w:r w:rsidRPr="00007F9D">
        <w:rPr>
          <w:rFonts w:eastAsia="Calibri"/>
          <w:sz w:val="28"/>
          <w:szCs w:val="28"/>
          <w:lang w:eastAsia="en-US"/>
        </w:rPr>
        <w:t xml:space="preserve"> г. </w:t>
      </w:r>
      <w:r w:rsidRPr="00007F9D">
        <w:rPr>
          <w:sz w:val="28"/>
          <w:szCs w:val="28"/>
        </w:rPr>
        <w:t xml:space="preserve">составила </w:t>
      </w:r>
      <w:r>
        <w:rPr>
          <w:sz w:val="28"/>
          <w:szCs w:val="28"/>
        </w:rPr>
        <w:t>928,730</w:t>
      </w:r>
      <w:r w:rsidRPr="00007F9D">
        <w:rPr>
          <w:sz w:val="28"/>
          <w:szCs w:val="28"/>
        </w:rPr>
        <w:t xml:space="preserve"> тыс. руб., количество случаев административных правонарушений </w:t>
      </w:r>
      <w:r w:rsidRPr="00007F9D">
        <w:rPr>
          <w:rFonts w:eastAsia="Calibri"/>
          <w:sz w:val="28"/>
          <w:szCs w:val="28"/>
          <w:lang w:eastAsia="en-US"/>
        </w:rPr>
        <w:t>составило 1</w:t>
      </w:r>
      <w:r>
        <w:rPr>
          <w:rFonts w:eastAsia="Calibri"/>
          <w:sz w:val="28"/>
          <w:szCs w:val="28"/>
          <w:lang w:eastAsia="en-US"/>
        </w:rPr>
        <w:t>2</w:t>
      </w:r>
      <w:r w:rsidRPr="00007F9D">
        <w:rPr>
          <w:rFonts w:eastAsia="Calibri"/>
          <w:sz w:val="28"/>
          <w:szCs w:val="28"/>
          <w:lang w:eastAsia="en-US"/>
        </w:rPr>
        <w:t>0 ед.</w:t>
      </w:r>
    </w:p>
    <w:p w:rsidR="0055491A" w:rsidRPr="00007F9D" w:rsidRDefault="0055491A" w:rsidP="0055491A">
      <w:pPr>
        <w:tabs>
          <w:tab w:val="left" w:pos="3195"/>
        </w:tabs>
        <w:autoSpaceDE w:val="0"/>
        <w:autoSpaceDN w:val="0"/>
        <w:adjustRightInd w:val="0"/>
        <w:ind w:firstLine="709"/>
        <w:jc w:val="both"/>
        <w:rPr>
          <w:sz w:val="28"/>
          <w:szCs w:val="28"/>
        </w:rPr>
      </w:pPr>
      <w:r w:rsidRPr="00007F9D">
        <w:rPr>
          <w:rFonts w:eastAsia="Calibri"/>
          <w:sz w:val="28"/>
          <w:szCs w:val="28"/>
          <w:lang w:eastAsia="en-US"/>
        </w:rPr>
        <w:t xml:space="preserve">Таким образом, </w:t>
      </w:r>
      <w:r w:rsidRPr="00007F9D">
        <w:rPr>
          <w:sz w:val="28"/>
          <w:szCs w:val="28"/>
        </w:rPr>
        <w:t xml:space="preserve">средний размер штрафа по </w:t>
      </w:r>
      <w:hyperlink r:id="rId63" w:history="1">
        <w:r w:rsidRPr="00007F9D">
          <w:rPr>
            <w:sz w:val="28"/>
            <w:szCs w:val="28"/>
          </w:rPr>
          <w:t>статье 8.25</w:t>
        </w:r>
      </w:hyperlink>
      <w:r w:rsidRPr="00007F9D">
        <w:rPr>
          <w:sz w:val="28"/>
          <w:szCs w:val="28"/>
        </w:rPr>
        <w:t xml:space="preserve"> КоАП РФ за отчетный год (руб.): </w:t>
      </w:r>
      <w:r w:rsidRPr="00007F9D">
        <w:rPr>
          <w:rFonts w:eastAsia="Calibri"/>
          <w:sz w:val="28"/>
          <w:szCs w:val="28"/>
          <w:lang w:eastAsia="en-US"/>
        </w:rPr>
        <w:t>Р</w:t>
      </w:r>
      <w:r w:rsidRPr="00007F9D">
        <w:rPr>
          <w:rFonts w:eastAsia="Calibri"/>
          <w:sz w:val="28"/>
          <w:szCs w:val="28"/>
          <w:vertAlign w:val="superscript"/>
          <w:lang w:eastAsia="en-US"/>
        </w:rPr>
        <w:t>ср</w:t>
      </w:r>
      <w:r w:rsidRPr="00007F9D">
        <w:rPr>
          <w:rFonts w:eastAsia="Calibri"/>
          <w:sz w:val="28"/>
          <w:szCs w:val="28"/>
          <w:vertAlign w:val="subscript"/>
          <w:lang w:eastAsia="en-US"/>
        </w:rPr>
        <w:t xml:space="preserve">8.25 </w:t>
      </w:r>
      <w:r w:rsidRPr="00007F9D">
        <w:rPr>
          <w:rFonts w:eastAsia="Calibri"/>
          <w:sz w:val="28"/>
          <w:szCs w:val="28"/>
          <w:lang w:eastAsia="en-US"/>
        </w:rPr>
        <w:t xml:space="preserve">= </w:t>
      </w:r>
      <w:r>
        <w:rPr>
          <w:rFonts w:eastAsia="Calibri"/>
          <w:sz w:val="28"/>
          <w:szCs w:val="28"/>
          <w:lang w:eastAsia="en-US"/>
        </w:rPr>
        <w:t>928,730</w:t>
      </w:r>
      <w:r w:rsidRPr="00007F9D">
        <w:rPr>
          <w:rFonts w:eastAsia="Calibri"/>
          <w:sz w:val="28"/>
          <w:szCs w:val="28"/>
          <w:lang w:eastAsia="en-US"/>
        </w:rPr>
        <w:t xml:space="preserve"> / 1</w:t>
      </w:r>
      <w:r>
        <w:rPr>
          <w:rFonts w:eastAsia="Calibri"/>
          <w:sz w:val="28"/>
          <w:szCs w:val="28"/>
          <w:lang w:eastAsia="en-US"/>
        </w:rPr>
        <w:t>2</w:t>
      </w:r>
      <w:r w:rsidRPr="00007F9D">
        <w:rPr>
          <w:rFonts w:eastAsia="Calibri"/>
          <w:sz w:val="28"/>
          <w:szCs w:val="28"/>
          <w:lang w:eastAsia="en-US"/>
        </w:rPr>
        <w:t>0 = 7,</w:t>
      </w:r>
      <w:r>
        <w:rPr>
          <w:rFonts w:eastAsia="Calibri"/>
          <w:sz w:val="28"/>
          <w:szCs w:val="28"/>
          <w:lang w:eastAsia="en-US"/>
        </w:rPr>
        <w:t>7</w:t>
      </w:r>
      <w:r w:rsidRPr="00007F9D">
        <w:rPr>
          <w:rFonts w:eastAsia="Calibri"/>
          <w:sz w:val="28"/>
          <w:szCs w:val="28"/>
          <w:lang w:eastAsia="en-US"/>
        </w:rPr>
        <w:t xml:space="preserve"> тыс. руб.</w:t>
      </w:r>
    </w:p>
    <w:p w:rsidR="0055491A" w:rsidRPr="00D01037" w:rsidRDefault="0055491A" w:rsidP="0055491A">
      <w:pPr>
        <w:tabs>
          <w:tab w:val="left" w:pos="3195"/>
        </w:tabs>
        <w:autoSpaceDE w:val="0"/>
        <w:autoSpaceDN w:val="0"/>
        <w:adjustRightInd w:val="0"/>
        <w:ind w:firstLine="709"/>
        <w:jc w:val="both"/>
        <w:rPr>
          <w:sz w:val="28"/>
          <w:szCs w:val="28"/>
        </w:rPr>
      </w:pPr>
      <w:r w:rsidRPr="00D01037">
        <w:rPr>
          <w:sz w:val="28"/>
          <w:szCs w:val="28"/>
        </w:rPr>
        <w:t xml:space="preserve">Взыскано платежей ФССП в 2020 году – 0,0 тыс. руб., сумма задолженности, находящейся на принудительном взыскании в ФССП – 50,0 тыс. руб. Таким образом, средний объем дебиторской задолженности (недоимки), возможный к поступлению: </w:t>
      </w:r>
    </w:p>
    <w:p w:rsidR="0055491A" w:rsidRPr="00F82B9D" w:rsidRDefault="0055491A" w:rsidP="0055491A">
      <w:pPr>
        <w:tabs>
          <w:tab w:val="left" w:pos="3195"/>
        </w:tabs>
        <w:autoSpaceDE w:val="0"/>
        <w:autoSpaceDN w:val="0"/>
        <w:adjustRightInd w:val="0"/>
        <w:ind w:firstLine="709"/>
        <w:jc w:val="both"/>
        <w:rPr>
          <w:sz w:val="28"/>
          <w:szCs w:val="28"/>
        </w:rPr>
      </w:pPr>
      <w:r w:rsidRPr="00D01037">
        <w:rPr>
          <w:sz w:val="28"/>
          <w:szCs w:val="28"/>
        </w:rPr>
        <w:t>Z</w:t>
      </w:r>
      <w:r w:rsidRPr="00D01037">
        <w:rPr>
          <w:sz w:val="28"/>
          <w:szCs w:val="28"/>
          <w:vertAlign w:val="superscript"/>
        </w:rPr>
        <w:t xml:space="preserve">ср </w:t>
      </w:r>
      <w:r w:rsidRPr="00D01037">
        <w:rPr>
          <w:sz w:val="28"/>
          <w:szCs w:val="28"/>
        </w:rPr>
        <w:t>= (50,0 / 3) * (0,0 / 50,0 / 3) = 0,0 тыс. руб.</w:t>
      </w:r>
    </w:p>
    <w:p w:rsidR="0055491A" w:rsidRPr="00D01037" w:rsidRDefault="0055491A" w:rsidP="0055491A">
      <w:pPr>
        <w:tabs>
          <w:tab w:val="left" w:pos="3195"/>
        </w:tabs>
        <w:autoSpaceDE w:val="0"/>
        <w:autoSpaceDN w:val="0"/>
        <w:adjustRightInd w:val="0"/>
        <w:ind w:firstLine="709"/>
        <w:jc w:val="both"/>
        <w:rPr>
          <w:sz w:val="28"/>
          <w:szCs w:val="28"/>
        </w:rPr>
      </w:pPr>
      <w:r>
        <w:rPr>
          <w:sz w:val="28"/>
          <w:szCs w:val="28"/>
        </w:rPr>
        <w:t>К</w:t>
      </w:r>
      <w:r w:rsidRPr="00846837">
        <w:rPr>
          <w:sz w:val="28"/>
          <w:szCs w:val="28"/>
        </w:rPr>
        <w:t>орректирующая сумма поступлений, учитывающая отдельные решения Президента Российской Федерации, Правительства Российской Федерации, а также проекты нормативных правовых актов Президента Российской Федерации, Правительства Российской Федерации и другие факторы, влияющие на объем прогнозируемых доходов, в том числе фактические поступления платежей (тыс. руб.).</w:t>
      </w:r>
      <w:r w:rsidRPr="00C77AD1">
        <w:rPr>
          <w:sz w:val="28"/>
          <w:szCs w:val="28"/>
        </w:rPr>
        <w:t xml:space="preserve"> </w:t>
      </w:r>
      <w:r>
        <w:rPr>
          <w:sz w:val="28"/>
          <w:szCs w:val="28"/>
        </w:rPr>
        <w:t>R - равна нулю.</w:t>
      </w:r>
    </w:p>
    <w:p w:rsidR="0055491A" w:rsidRPr="00007F9D" w:rsidRDefault="0055491A" w:rsidP="0055491A">
      <w:pPr>
        <w:tabs>
          <w:tab w:val="left" w:pos="3195"/>
        </w:tabs>
        <w:autoSpaceDE w:val="0"/>
        <w:autoSpaceDN w:val="0"/>
        <w:adjustRightInd w:val="0"/>
        <w:ind w:firstLine="709"/>
        <w:jc w:val="both"/>
        <w:rPr>
          <w:rFonts w:eastAsia="Calibri"/>
          <w:sz w:val="28"/>
          <w:szCs w:val="28"/>
          <w:lang w:eastAsia="en-US"/>
        </w:rPr>
      </w:pPr>
      <w:r w:rsidRPr="00007F9D">
        <w:rPr>
          <w:rFonts w:eastAsia="Calibri"/>
          <w:b/>
          <w:sz w:val="28"/>
          <w:szCs w:val="28"/>
          <w:lang w:eastAsia="en-US"/>
        </w:rPr>
        <w:t>Ожидаемая оценка на</w:t>
      </w:r>
      <w:r w:rsidRPr="00007F9D">
        <w:rPr>
          <w:rFonts w:eastAsia="Calibri"/>
          <w:sz w:val="28"/>
          <w:szCs w:val="28"/>
          <w:lang w:eastAsia="en-US"/>
        </w:rPr>
        <w:t xml:space="preserve"> </w:t>
      </w:r>
      <w:r w:rsidRPr="00007F9D">
        <w:rPr>
          <w:rFonts w:eastAsia="Calibri"/>
          <w:b/>
          <w:sz w:val="28"/>
          <w:szCs w:val="28"/>
          <w:lang w:eastAsia="en-US"/>
        </w:rPr>
        <w:t>202</w:t>
      </w:r>
      <w:r>
        <w:rPr>
          <w:rFonts w:eastAsia="Calibri"/>
          <w:b/>
          <w:sz w:val="28"/>
          <w:szCs w:val="28"/>
          <w:lang w:eastAsia="en-US"/>
        </w:rPr>
        <w:t>1</w:t>
      </w:r>
      <w:r w:rsidRPr="00007F9D">
        <w:rPr>
          <w:rFonts w:eastAsia="Calibri"/>
          <w:b/>
          <w:sz w:val="28"/>
          <w:szCs w:val="28"/>
          <w:lang w:eastAsia="en-US"/>
        </w:rPr>
        <w:t xml:space="preserve"> год</w:t>
      </w:r>
      <w:r w:rsidRPr="00007F9D">
        <w:rPr>
          <w:rFonts w:eastAsia="Calibri"/>
          <w:sz w:val="28"/>
          <w:szCs w:val="28"/>
          <w:lang w:eastAsia="en-US"/>
        </w:rPr>
        <w:t xml:space="preserve"> составит: П</w:t>
      </w:r>
      <w:r w:rsidRPr="00007F9D">
        <w:rPr>
          <w:rFonts w:eastAsia="Calibri"/>
          <w:sz w:val="28"/>
          <w:szCs w:val="28"/>
          <w:vertAlign w:val="subscript"/>
          <w:lang w:eastAsia="en-US"/>
        </w:rPr>
        <w:t xml:space="preserve">8.25 </w:t>
      </w:r>
      <w:r w:rsidRPr="00007F9D">
        <w:rPr>
          <w:rFonts w:eastAsia="Calibri"/>
          <w:sz w:val="28"/>
          <w:szCs w:val="28"/>
          <w:lang w:eastAsia="en-US"/>
        </w:rPr>
        <w:t>= 12</w:t>
      </w:r>
      <w:r>
        <w:rPr>
          <w:rFonts w:eastAsia="Calibri"/>
          <w:sz w:val="28"/>
          <w:szCs w:val="28"/>
          <w:lang w:eastAsia="en-US"/>
        </w:rPr>
        <w:t>6</w:t>
      </w:r>
      <w:r w:rsidRPr="00007F9D">
        <w:rPr>
          <w:rFonts w:eastAsia="Calibri"/>
          <w:sz w:val="28"/>
          <w:szCs w:val="28"/>
          <w:lang w:eastAsia="en-US"/>
        </w:rPr>
        <w:t xml:space="preserve"> * 7,</w:t>
      </w:r>
      <w:r>
        <w:rPr>
          <w:rFonts w:eastAsia="Calibri"/>
          <w:sz w:val="28"/>
          <w:szCs w:val="28"/>
          <w:lang w:eastAsia="en-US"/>
        </w:rPr>
        <w:t>7 +0,0</w:t>
      </w:r>
      <w:r w:rsidRPr="00007F9D">
        <w:rPr>
          <w:rFonts w:eastAsia="Calibri"/>
          <w:sz w:val="28"/>
          <w:szCs w:val="28"/>
          <w:lang w:eastAsia="en-US"/>
        </w:rPr>
        <w:t xml:space="preserve"> = </w:t>
      </w:r>
      <w:r w:rsidRPr="00007F9D">
        <w:rPr>
          <w:rFonts w:eastAsia="Calibri"/>
          <w:b/>
          <w:sz w:val="28"/>
          <w:szCs w:val="28"/>
          <w:lang w:eastAsia="en-US"/>
        </w:rPr>
        <w:t>9</w:t>
      </w:r>
      <w:r>
        <w:rPr>
          <w:rFonts w:eastAsia="Calibri"/>
          <w:b/>
          <w:sz w:val="28"/>
          <w:szCs w:val="28"/>
          <w:lang w:eastAsia="en-US"/>
        </w:rPr>
        <w:t>70</w:t>
      </w:r>
      <w:r w:rsidRPr="00007F9D">
        <w:rPr>
          <w:rFonts w:eastAsia="Calibri"/>
          <w:b/>
          <w:sz w:val="28"/>
          <w:szCs w:val="28"/>
          <w:lang w:eastAsia="en-US"/>
        </w:rPr>
        <w:t>,</w:t>
      </w:r>
      <w:r>
        <w:rPr>
          <w:rFonts w:eastAsia="Calibri"/>
          <w:b/>
          <w:sz w:val="28"/>
          <w:szCs w:val="28"/>
          <w:lang w:eastAsia="en-US"/>
        </w:rPr>
        <w:t>2</w:t>
      </w:r>
      <w:r w:rsidRPr="00007F9D">
        <w:rPr>
          <w:rFonts w:eastAsia="Calibri"/>
          <w:sz w:val="28"/>
          <w:szCs w:val="28"/>
          <w:lang w:eastAsia="en-US"/>
        </w:rPr>
        <w:t xml:space="preserve"> тыс. руб.</w:t>
      </w:r>
    </w:p>
    <w:p w:rsidR="0055491A" w:rsidRPr="00007F9D" w:rsidRDefault="0055491A" w:rsidP="0055491A">
      <w:pPr>
        <w:tabs>
          <w:tab w:val="left" w:pos="3195"/>
        </w:tabs>
        <w:autoSpaceDE w:val="0"/>
        <w:autoSpaceDN w:val="0"/>
        <w:adjustRightInd w:val="0"/>
        <w:ind w:firstLine="709"/>
        <w:jc w:val="both"/>
        <w:rPr>
          <w:rFonts w:eastAsia="Calibri"/>
          <w:b/>
          <w:sz w:val="28"/>
          <w:szCs w:val="28"/>
          <w:lang w:eastAsia="en-US"/>
        </w:rPr>
      </w:pPr>
      <w:r w:rsidRPr="00007F9D">
        <w:rPr>
          <w:rFonts w:eastAsia="Calibri"/>
          <w:b/>
          <w:sz w:val="28"/>
          <w:szCs w:val="28"/>
          <w:lang w:eastAsia="en-US"/>
        </w:rPr>
        <w:lastRenderedPageBreak/>
        <w:t>Определение прогноза на 202</w:t>
      </w:r>
      <w:r>
        <w:rPr>
          <w:rFonts w:eastAsia="Calibri"/>
          <w:b/>
          <w:sz w:val="28"/>
          <w:szCs w:val="28"/>
          <w:lang w:eastAsia="en-US"/>
        </w:rPr>
        <w:t>2</w:t>
      </w:r>
      <w:r w:rsidRPr="00007F9D">
        <w:rPr>
          <w:rFonts w:eastAsia="Calibri"/>
          <w:b/>
          <w:sz w:val="28"/>
          <w:szCs w:val="28"/>
          <w:lang w:eastAsia="en-US"/>
        </w:rPr>
        <w:t xml:space="preserve"> год:</w:t>
      </w:r>
    </w:p>
    <w:p w:rsidR="0055491A" w:rsidRPr="00007F9D" w:rsidRDefault="0055491A" w:rsidP="0055491A">
      <w:pPr>
        <w:tabs>
          <w:tab w:val="left" w:pos="3195"/>
        </w:tabs>
        <w:autoSpaceDE w:val="0"/>
        <w:autoSpaceDN w:val="0"/>
        <w:adjustRightInd w:val="0"/>
        <w:ind w:firstLine="709"/>
        <w:jc w:val="both"/>
        <w:rPr>
          <w:rFonts w:eastAsia="Calibri"/>
          <w:sz w:val="28"/>
          <w:szCs w:val="28"/>
          <w:lang w:eastAsia="en-US"/>
        </w:rPr>
      </w:pPr>
      <w:r w:rsidRPr="00007F9D">
        <w:rPr>
          <w:rFonts w:eastAsia="Calibri"/>
          <w:sz w:val="28"/>
          <w:szCs w:val="28"/>
          <w:lang w:eastAsia="en-US"/>
        </w:rPr>
        <w:t>Согласно данным отраслевой отчетности за 201</w:t>
      </w:r>
      <w:r>
        <w:rPr>
          <w:rFonts w:eastAsia="Calibri"/>
          <w:sz w:val="28"/>
          <w:szCs w:val="28"/>
          <w:lang w:eastAsia="en-US"/>
        </w:rPr>
        <w:t>9</w:t>
      </w:r>
      <w:r w:rsidRPr="00007F9D">
        <w:rPr>
          <w:rFonts w:eastAsia="Calibri"/>
          <w:sz w:val="28"/>
          <w:szCs w:val="28"/>
          <w:lang w:eastAsia="en-US"/>
        </w:rPr>
        <w:t xml:space="preserve"> – 20</w:t>
      </w:r>
      <w:r>
        <w:rPr>
          <w:rFonts w:eastAsia="Calibri"/>
          <w:sz w:val="28"/>
          <w:szCs w:val="28"/>
          <w:lang w:eastAsia="en-US"/>
        </w:rPr>
        <w:t>20</w:t>
      </w:r>
      <w:r w:rsidRPr="00007F9D">
        <w:rPr>
          <w:rFonts w:eastAsia="Calibri"/>
          <w:sz w:val="28"/>
          <w:szCs w:val="28"/>
          <w:lang w:eastAsia="en-US"/>
        </w:rPr>
        <w:t xml:space="preserve"> годы по форме 8-ОИП, утвержденной приказом Минприроды России от 28.12.2015 № 565, количество случаев </w:t>
      </w:r>
      <w:r w:rsidRPr="00007F9D">
        <w:rPr>
          <w:sz w:val="28"/>
          <w:szCs w:val="28"/>
        </w:rPr>
        <w:t xml:space="preserve">административных правонарушений, предусмотренных </w:t>
      </w:r>
      <w:hyperlink r:id="rId64" w:history="1">
        <w:r w:rsidRPr="00007F9D">
          <w:rPr>
            <w:sz w:val="28"/>
            <w:szCs w:val="28"/>
          </w:rPr>
          <w:t>статьей 8.25</w:t>
        </w:r>
      </w:hyperlink>
      <w:r w:rsidRPr="00007F9D">
        <w:rPr>
          <w:sz w:val="28"/>
          <w:szCs w:val="28"/>
        </w:rPr>
        <w:t xml:space="preserve"> КоАП РФ,</w:t>
      </w:r>
      <w:r w:rsidRPr="00007F9D">
        <w:rPr>
          <w:rFonts w:eastAsia="Calibri"/>
          <w:sz w:val="28"/>
          <w:szCs w:val="28"/>
          <w:lang w:eastAsia="en-US"/>
        </w:rPr>
        <w:t xml:space="preserve"> составляет: в 2019 г. – 150 ед.</w:t>
      </w:r>
      <w:r>
        <w:rPr>
          <w:rFonts w:eastAsia="Calibri"/>
          <w:sz w:val="28"/>
          <w:szCs w:val="28"/>
          <w:lang w:eastAsia="en-US"/>
        </w:rPr>
        <w:t>,</w:t>
      </w:r>
      <w:r w:rsidRPr="00211AD6">
        <w:rPr>
          <w:rFonts w:eastAsia="Calibri"/>
          <w:sz w:val="28"/>
          <w:szCs w:val="28"/>
          <w:lang w:eastAsia="en-US"/>
        </w:rPr>
        <w:t xml:space="preserve"> </w:t>
      </w:r>
      <w:r w:rsidRPr="00007F9D">
        <w:rPr>
          <w:rFonts w:eastAsia="Calibri"/>
          <w:sz w:val="28"/>
          <w:szCs w:val="28"/>
          <w:lang w:eastAsia="en-US"/>
        </w:rPr>
        <w:t>в 20</w:t>
      </w:r>
      <w:r>
        <w:rPr>
          <w:rFonts w:eastAsia="Calibri"/>
          <w:sz w:val="28"/>
          <w:szCs w:val="28"/>
          <w:lang w:eastAsia="en-US"/>
        </w:rPr>
        <w:t>20</w:t>
      </w:r>
      <w:r w:rsidRPr="00007F9D">
        <w:rPr>
          <w:rFonts w:eastAsia="Calibri"/>
          <w:sz w:val="28"/>
          <w:szCs w:val="28"/>
          <w:lang w:eastAsia="en-US"/>
        </w:rPr>
        <w:t xml:space="preserve"> г. – 1</w:t>
      </w:r>
      <w:r>
        <w:rPr>
          <w:rFonts w:eastAsia="Calibri"/>
          <w:sz w:val="28"/>
          <w:szCs w:val="28"/>
          <w:lang w:eastAsia="en-US"/>
        </w:rPr>
        <w:t>20 ед.</w:t>
      </w:r>
    </w:p>
    <w:p w:rsidR="0055491A" w:rsidRPr="00007F9D" w:rsidRDefault="0055491A" w:rsidP="0055491A">
      <w:pPr>
        <w:tabs>
          <w:tab w:val="left" w:pos="3195"/>
        </w:tabs>
        <w:autoSpaceDE w:val="0"/>
        <w:autoSpaceDN w:val="0"/>
        <w:adjustRightInd w:val="0"/>
        <w:ind w:firstLine="709"/>
        <w:jc w:val="both"/>
        <w:rPr>
          <w:rFonts w:eastAsia="Calibri"/>
          <w:sz w:val="28"/>
          <w:szCs w:val="28"/>
          <w:lang w:eastAsia="en-US"/>
        </w:rPr>
      </w:pPr>
      <w:r w:rsidRPr="00007F9D">
        <w:rPr>
          <w:rFonts w:eastAsia="Calibri"/>
          <w:sz w:val="28"/>
          <w:szCs w:val="28"/>
          <w:lang w:eastAsia="en-US"/>
        </w:rPr>
        <w:t>При отсутствии</w:t>
      </w:r>
      <w:r w:rsidRPr="00007F9D">
        <w:rPr>
          <w:sz w:val="28"/>
          <w:szCs w:val="28"/>
        </w:rPr>
        <w:t xml:space="preserve"> прогноза на очередной финансовый год</w:t>
      </w:r>
      <w:r w:rsidRPr="00007F9D">
        <w:rPr>
          <w:rFonts w:eastAsia="Calibri"/>
          <w:sz w:val="28"/>
          <w:szCs w:val="28"/>
          <w:lang w:eastAsia="en-US"/>
        </w:rPr>
        <w:t xml:space="preserve"> количество случаев </w:t>
      </w:r>
      <w:r w:rsidRPr="00007F9D">
        <w:rPr>
          <w:sz w:val="28"/>
          <w:szCs w:val="28"/>
        </w:rPr>
        <w:t xml:space="preserve">административных правонарушений, предусмотренных </w:t>
      </w:r>
      <w:hyperlink r:id="rId65" w:history="1">
        <w:r w:rsidRPr="00007F9D">
          <w:rPr>
            <w:sz w:val="28"/>
            <w:szCs w:val="28"/>
          </w:rPr>
          <w:t>статьей 8.25</w:t>
        </w:r>
      </w:hyperlink>
      <w:r w:rsidRPr="00007F9D">
        <w:rPr>
          <w:sz w:val="28"/>
          <w:szCs w:val="28"/>
        </w:rPr>
        <w:t xml:space="preserve"> КоАП РФ, в 202</w:t>
      </w:r>
      <w:r>
        <w:rPr>
          <w:sz w:val="28"/>
          <w:szCs w:val="28"/>
        </w:rPr>
        <w:t>1</w:t>
      </w:r>
      <w:r w:rsidRPr="00007F9D">
        <w:rPr>
          <w:sz w:val="28"/>
          <w:szCs w:val="28"/>
        </w:rPr>
        <w:t xml:space="preserve"> г. принимаем равное </w:t>
      </w:r>
      <w:r w:rsidRPr="00007F9D">
        <w:rPr>
          <w:rFonts w:eastAsia="Calibri"/>
          <w:sz w:val="28"/>
          <w:szCs w:val="28"/>
          <w:lang w:eastAsia="en-US"/>
        </w:rPr>
        <w:t>К</w:t>
      </w:r>
      <w:r>
        <w:rPr>
          <w:rFonts w:eastAsia="Calibri"/>
          <w:sz w:val="28"/>
          <w:szCs w:val="28"/>
          <w:vertAlign w:val="superscript"/>
          <w:lang w:eastAsia="en-US"/>
        </w:rPr>
        <w:t>ср</w:t>
      </w:r>
      <w:r>
        <w:rPr>
          <w:rFonts w:eastAsia="Calibri"/>
          <w:sz w:val="28"/>
          <w:szCs w:val="28"/>
          <w:vertAlign w:val="subscript"/>
          <w:lang w:eastAsia="en-US"/>
        </w:rPr>
        <w:t>8.25</w:t>
      </w:r>
      <w:r w:rsidRPr="00007F9D">
        <w:rPr>
          <w:rFonts w:eastAsia="Calibri"/>
          <w:sz w:val="28"/>
          <w:szCs w:val="28"/>
          <w:vertAlign w:val="subscript"/>
          <w:lang w:eastAsia="en-US"/>
        </w:rPr>
        <w:t xml:space="preserve"> </w:t>
      </w:r>
      <w:r w:rsidRPr="00007F9D">
        <w:rPr>
          <w:rFonts w:eastAsia="Calibri"/>
          <w:sz w:val="28"/>
          <w:szCs w:val="28"/>
          <w:lang w:eastAsia="en-US"/>
        </w:rPr>
        <w:t>= 12</w:t>
      </w:r>
      <w:r>
        <w:rPr>
          <w:rFonts w:eastAsia="Calibri"/>
          <w:sz w:val="28"/>
          <w:szCs w:val="28"/>
          <w:lang w:eastAsia="en-US"/>
        </w:rPr>
        <w:t>6</w:t>
      </w:r>
      <w:r w:rsidRPr="00007F9D">
        <w:rPr>
          <w:rFonts w:eastAsia="Calibri"/>
          <w:sz w:val="28"/>
          <w:szCs w:val="28"/>
          <w:lang w:eastAsia="en-US"/>
        </w:rPr>
        <w:t xml:space="preserve"> ед.</w:t>
      </w:r>
    </w:p>
    <w:p w:rsidR="0055491A" w:rsidRPr="00007F9D" w:rsidRDefault="0055491A" w:rsidP="0055491A">
      <w:pPr>
        <w:tabs>
          <w:tab w:val="left" w:pos="3195"/>
        </w:tabs>
        <w:autoSpaceDE w:val="0"/>
        <w:autoSpaceDN w:val="0"/>
        <w:adjustRightInd w:val="0"/>
        <w:ind w:firstLine="709"/>
        <w:jc w:val="both"/>
        <w:rPr>
          <w:rFonts w:eastAsia="Calibri"/>
          <w:sz w:val="28"/>
          <w:szCs w:val="28"/>
          <w:lang w:eastAsia="en-US"/>
        </w:rPr>
      </w:pPr>
      <w:r w:rsidRPr="00007F9D">
        <w:rPr>
          <w:rFonts w:eastAsia="Calibri"/>
          <w:sz w:val="28"/>
          <w:szCs w:val="28"/>
          <w:lang w:eastAsia="en-US"/>
        </w:rPr>
        <w:t>Таким образом, К</w:t>
      </w:r>
      <w:r w:rsidRPr="00007F9D">
        <w:rPr>
          <w:rFonts w:eastAsia="Calibri"/>
          <w:sz w:val="28"/>
          <w:szCs w:val="28"/>
          <w:vertAlign w:val="superscript"/>
          <w:lang w:eastAsia="en-US"/>
        </w:rPr>
        <w:t>ср202</w:t>
      </w:r>
      <w:r>
        <w:rPr>
          <w:rFonts w:eastAsia="Calibri"/>
          <w:sz w:val="28"/>
          <w:szCs w:val="28"/>
          <w:vertAlign w:val="superscript"/>
          <w:lang w:eastAsia="en-US"/>
        </w:rPr>
        <w:t>2</w:t>
      </w:r>
      <w:r w:rsidRPr="00007F9D">
        <w:rPr>
          <w:rFonts w:eastAsia="Calibri"/>
          <w:sz w:val="28"/>
          <w:szCs w:val="28"/>
          <w:vertAlign w:val="subscript"/>
          <w:lang w:eastAsia="en-US"/>
        </w:rPr>
        <w:t xml:space="preserve">8.25 </w:t>
      </w:r>
      <w:r w:rsidRPr="00007F9D">
        <w:rPr>
          <w:rFonts w:eastAsia="Calibri"/>
          <w:sz w:val="28"/>
          <w:szCs w:val="28"/>
          <w:lang w:eastAsia="en-US"/>
        </w:rPr>
        <w:t>= (1</w:t>
      </w:r>
      <w:r>
        <w:rPr>
          <w:rFonts w:eastAsia="Calibri"/>
          <w:sz w:val="28"/>
          <w:szCs w:val="28"/>
          <w:lang w:eastAsia="en-US"/>
        </w:rPr>
        <w:t>50</w:t>
      </w:r>
      <w:r w:rsidRPr="00007F9D">
        <w:rPr>
          <w:rFonts w:eastAsia="Calibri"/>
          <w:sz w:val="28"/>
          <w:szCs w:val="28"/>
          <w:lang w:eastAsia="en-US"/>
        </w:rPr>
        <w:t>+1</w:t>
      </w:r>
      <w:r>
        <w:rPr>
          <w:rFonts w:eastAsia="Calibri"/>
          <w:sz w:val="28"/>
          <w:szCs w:val="28"/>
          <w:lang w:eastAsia="en-US"/>
        </w:rPr>
        <w:t>2</w:t>
      </w:r>
      <w:r w:rsidRPr="00007F9D">
        <w:rPr>
          <w:rFonts w:eastAsia="Calibri"/>
          <w:sz w:val="28"/>
          <w:szCs w:val="28"/>
          <w:lang w:eastAsia="en-US"/>
        </w:rPr>
        <w:t>0+12</w:t>
      </w:r>
      <w:r>
        <w:rPr>
          <w:rFonts w:eastAsia="Calibri"/>
          <w:sz w:val="28"/>
          <w:szCs w:val="28"/>
          <w:lang w:eastAsia="en-US"/>
        </w:rPr>
        <w:t>6</w:t>
      </w:r>
      <w:r w:rsidRPr="00007F9D">
        <w:rPr>
          <w:rFonts w:eastAsia="Calibri"/>
          <w:sz w:val="28"/>
          <w:szCs w:val="28"/>
          <w:lang w:eastAsia="en-US"/>
        </w:rPr>
        <w:t>) / 3 = 1</w:t>
      </w:r>
      <w:r>
        <w:rPr>
          <w:rFonts w:eastAsia="Calibri"/>
          <w:sz w:val="28"/>
          <w:szCs w:val="28"/>
          <w:lang w:eastAsia="en-US"/>
        </w:rPr>
        <w:t>32</w:t>
      </w:r>
      <w:r w:rsidRPr="00007F9D">
        <w:rPr>
          <w:rFonts w:eastAsia="Calibri"/>
          <w:sz w:val="28"/>
          <w:szCs w:val="28"/>
          <w:lang w:eastAsia="en-US"/>
        </w:rPr>
        <w:t xml:space="preserve"> (ед.)</w:t>
      </w:r>
    </w:p>
    <w:p w:rsidR="0055491A" w:rsidRPr="00007F9D" w:rsidRDefault="0055491A" w:rsidP="0055491A">
      <w:pPr>
        <w:tabs>
          <w:tab w:val="left" w:pos="3195"/>
        </w:tabs>
        <w:autoSpaceDE w:val="0"/>
        <w:autoSpaceDN w:val="0"/>
        <w:adjustRightInd w:val="0"/>
        <w:ind w:firstLine="709"/>
        <w:jc w:val="both"/>
        <w:rPr>
          <w:rFonts w:eastAsia="Calibri"/>
          <w:sz w:val="28"/>
          <w:szCs w:val="28"/>
          <w:lang w:eastAsia="en-US"/>
        </w:rPr>
      </w:pPr>
      <w:r w:rsidRPr="00007F9D">
        <w:rPr>
          <w:rFonts w:eastAsia="Calibri"/>
          <w:sz w:val="28"/>
          <w:szCs w:val="28"/>
          <w:lang w:eastAsia="en-US"/>
        </w:rPr>
        <w:t>Р</w:t>
      </w:r>
      <w:r w:rsidRPr="00007F9D">
        <w:rPr>
          <w:rFonts w:eastAsia="Calibri"/>
          <w:sz w:val="28"/>
          <w:szCs w:val="28"/>
          <w:vertAlign w:val="superscript"/>
          <w:lang w:eastAsia="en-US"/>
        </w:rPr>
        <w:t>ср</w:t>
      </w:r>
      <w:r w:rsidRPr="00007F9D">
        <w:rPr>
          <w:rFonts w:eastAsia="Calibri"/>
          <w:sz w:val="28"/>
          <w:szCs w:val="28"/>
          <w:vertAlign w:val="subscript"/>
          <w:lang w:eastAsia="en-US"/>
        </w:rPr>
        <w:t xml:space="preserve">8.25  </w:t>
      </w:r>
      <w:r w:rsidRPr="00007F9D">
        <w:rPr>
          <w:rFonts w:eastAsia="Calibri"/>
          <w:sz w:val="28"/>
          <w:szCs w:val="28"/>
          <w:lang w:eastAsia="en-US"/>
        </w:rPr>
        <w:t>= 7,</w:t>
      </w:r>
      <w:r>
        <w:rPr>
          <w:rFonts w:eastAsia="Calibri"/>
          <w:sz w:val="28"/>
          <w:szCs w:val="28"/>
          <w:lang w:eastAsia="en-US"/>
        </w:rPr>
        <w:t>7</w:t>
      </w:r>
      <w:r w:rsidRPr="00007F9D">
        <w:rPr>
          <w:rFonts w:eastAsia="Calibri"/>
          <w:sz w:val="28"/>
          <w:szCs w:val="28"/>
          <w:lang w:eastAsia="en-US"/>
        </w:rPr>
        <w:t xml:space="preserve"> тыс. руб.</w:t>
      </w:r>
    </w:p>
    <w:p w:rsidR="0055491A" w:rsidRPr="00007F9D" w:rsidRDefault="0055491A" w:rsidP="0055491A">
      <w:pPr>
        <w:tabs>
          <w:tab w:val="left" w:pos="3195"/>
        </w:tabs>
        <w:autoSpaceDE w:val="0"/>
        <w:autoSpaceDN w:val="0"/>
        <w:adjustRightInd w:val="0"/>
        <w:ind w:firstLine="709"/>
        <w:jc w:val="both"/>
        <w:rPr>
          <w:rFonts w:eastAsia="Calibri"/>
          <w:sz w:val="28"/>
          <w:szCs w:val="28"/>
          <w:lang w:eastAsia="en-US"/>
        </w:rPr>
      </w:pPr>
      <w:r w:rsidRPr="00007F9D">
        <w:rPr>
          <w:rFonts w:eastAsia="Calibri"/>
          <w:sz w:val="28"/>
          <w:szCs w:val="28"/>
          <w:lang w:eastAsia="en-US"/>
        </w:rPr>
        <w:t xml:space="preserve">Ожидаемый прогноз </w:t>
      </w:r>
      <w:r w:rsidRPr="00007F9D">
        <w:rPr>
          <w:rFonts w:eastAsia="Calibri"/>
          <w:b/>
          <w:sz w:val="28"/>
          <w:szCs w:val="28"/>
          <w:lang w:eastAsia="en-US"/>
        </w:rPr>
        <w:t>на 202</w:t>
      </w:r>
      <w:r>
        <w:rPr>
          <w:rFonts w:eastAsia="Calibri"/>
          <w:b/>
          <w:sz w:val="28"/>
          <w:szCs w:val="28"/>
          <w:lang w:eastAsia="en-US"/>
        </w:rPr>
        <w:t>2</w:t>
      </w:r>
      <w:r w:rsidRPr="00007F9D">
        <w:rPr>
          <w:rFonts w:eastAsia="Calibri"/>
          <w:b/>
          <w:sz w:val="28"/>
          <w:szCs w:val="28"/>
          <w:lang w:eastAsia="en-US"/>
        </w:rPr>
        <w:t xml:space="preserve"> год</w:t>
      </w:r>
      <w:r w:rsidRPr="00007F9D">
        <w:rPr>
          <w:rFonts w:eastAsia="Calibri"/>
          <w:sz w:val="28"/>
          <w:szCs w:val="28"/>
          <w:lang w:eastAsia="en-US"/>
        </w:rPr>
        <w:t xml:space="preserve"> составит: П</w:t>
      </w:r>
      <w:r w:rsidRPr="00007F9D">
        <w:rPr>
          <w:rFonts w:eastAsia="Calibri"/>
          <w:sz w:val="28"/>
          <w:szCs w:val="28"/>
          <w:vertAlign w:val="subscript"/>
          <w:lang w:eastAsia="en-US"/>
        </w:rPr>
        <w:t xml:space="preserve">8.25 </w:t>
      </w:r>
      <w:r w:rsidRPr="00007F9D">
        <w:rPr>
          <w:rFonts w:eastAsia="Calibri"/>
          <w:sz w:val="28"/>
          <w:szCs w:val="28"/>
          <w:lang w:eastAsia="en-US"/>
        </w:rPr>
        <w:t>= 1</w:t>
      </w:r>
      <w:r>
        <w:rPr>
          <w:rFonts w:eastAsia="Calibri"/>
          <w:sz w:val="28"/>
          <w:szCs w:val="28"/>
          <w:lang w:eastAsia="en-US"/>
        </w:rPr>
        <w:t>32</w:t>
      </w:r>
      <w:r w:rsidRPr="00007F9D">
        <w:rPr>
          <w:rFonts w:eastAsia="Calibri"/>
          <w:sz w:val="28"/>
          <w:szCs w:val="28"/>
          <w:lang w:eastAsia="en-US"/>
        </w:rPr>
        <w:t xml:space="preserve"> * 7,</w:t>
      </w:r>
      <w:r>
        <w:rPr>
          <w:rFonts w:eastAsia="Calibri"/>
          <w:sz w:val="28"/>
          <w:szCs w:val="28"/>
          <w:lang w:eastAsia="en-US"/>
        </w:rPr>
        <w:t>7</w:t>
      </w:r>
      <w:r w:rsidRPr="00007F9D">
        <w:rPr>
          <w:rFonts w:eastAsia="Calibri"/>
          <w:sz w:val="28"/>
          <w:szCs w:val="28"/>
          <w:lang w:eastAsia="en-US"/>
        </w:rPr>
        <w:t xml:space="preserve"> = </w:t>
      </w:r>
      <w:r>
        <w:rPr>
          <w:rFonts w:eastAsia="Calibri"/>
          <w:b/>
          <w:sz w:val="28"/>
          <w:szCs w:val="28"/>
          <w:lang w:eastAsia="en-US"/>
        </w:rPr>
        <w:t>1016</w:t>
      </w:r>
      <w:r w:rsidRPr="00007F9D">
        <w:rPr>
          <w:rFonts w:eastAsia="Calibri"/>
          <w:b/>
          <w:sz w:val="28"/>
          <w:szCs w:val="28"/>
          <w:lang w:eastAsia="en-US"/>
        </w:rPr>
        <w:t>,4</w:t>
      </w:r>
      <w:r w:rsidRPr="00007F9D">
        <w:rPr>
          <w:rFonts w:eastAsia="Calibri"/>
          <w:sz w:val="28"/>
          <w:szCs w:val="28"/>
          <w:lang w:eastAsia="en-US"/>
        </w:rPr>
        <w:t xml:space="preserve"> тыс. руб. </w:t>
      </w:r>
    </w:p>
    <w:p w:rsidR="0055491A" w:rsidRPr="00007F9D" w:rsidRDefault="0055491A" w:rsidP="0055491A">
      <w:pPr>
        <w:tabs>
          <w:tab w:val="left" w:pos="3195"/>
        </w:tabs>
        <w:autoSpaceDE w:val="0"/>
        <w:autoSpaceDN w:val="0"/>
        <w:adjustRightInd w:val="0"/>
        <w:ind w:firstLine="709"/>
        <w:jc w:val="both"/>
        <w:rPr>
          <w:rFonts w:eastAsia="Calibri"/>
          <w:b/>
          <w:sz w:val="28"/>
          <w:szCs w:val="28"/>
          <w:lang w:eastAsia="en-US"/>
        </w:rPr>
      </w:pPr>
      <w:r w:rsidRPr="00007F9D">
        <w:rPr>
          <w:rFonts w:eastAsia="Calibri"/>
          <w:b/>
          <w:sz w:val="28"/>
          <w:szCs w:val="28"/>
          <w:lang w:eastAsia="en-US"/>
        </w:rPr>
        <w:t>Определение прогноза на 202</w:t>
      </w:r>
      <w:r>
        <w:rPr>
          <w:rFonts w:eastAsia="Calibri"/>
          <w:b/>
          <w:sz w:val="28"/>
          <w:szCs w:val="28"/>
          <w:lang w:eastAsia="en-US"/>
        </w:rPr>
        <w:t>3</w:t>
      </w:r>
      <w:r w:rsidRPr="00007F9D">
        <w:rPr>
          <w:rFonts w:eastAsia="Calibri"/>
          <w:b/>
          <w:sz w:val="28"/>
          <w:szCs w:val="28"/>
          <w:lang w:eastAsia="en-US"/>
        </w:rPr>
        <w:t xml:space="preserve"> год:</w:t>
      </w:r>
    </w:p>
    <w:p w:rsidR="0055491A" w:rsidRPr="00007F9D" w:rsidRDefault="0055491A" w:rsidP="0055491A">
      <w:pPr>
        <w:tabs>
          <w:tab w:val="left" w:pos="3195"/>
        </w:tabs>
        <w:autoSpaceDE w:val="0"/>
        <w:autoSpaceDN w:val="0"/>
        <w:adjustRightInd w:val="0"/>
        <w:ind w:firstLine="709"/>
        <w:jc w:val="both"/>
        <w:rPr>
          <w:rFonts w:eastAsia="Calibri"/>
          <w:sz w:val="28"/>
          <w:szCs w:val="28"/>
          <w:lang w:eastAsia="en-US"/>
        </w:rPr>
      </w:pPr>
      <w:r w:rsidRPr="00007F9D">
        <w:rPr>
          <w:rFonts w:eastAsia="Calibri"/>
          <w:sz w:val="28"/>
          <w:szCs w:val="28"/>
          <w:lang w:eastAsia="en-US"/>
        </w:rPr>
        <w:t>Согласно данным отраслевой отчетности за 20</w:t>
      </w:r>
      <w:r>
        <w:rPr>
          <w:rFonts w:eastAsia="Calibri"/>
          <w:sz w:val="28"/>
          <w:szCs w:val="28"/>
          <w:lang w:eastAsia="en-US"/>
        </w:rPr>
        <w:t>20</w:t>
      </w:r>
      <w:r w:rsidRPr="00007F9D">
        <w:rPr>
          <w:rFonts w:eastAsia="Calibri"/>
          <w:sz w:val="28"/>
          <w:szCs w:val="28"/>
          <w:lang w:eastAsia="en-US"/>
        </w:rPr>
        <w:t xml:space="preserve"> год по форме 8-ОИП, утвержденной приказом Минприроды России от 28.12.2015 № 565, количество случаев </w:t>
      </w:r>
      <w:r w:rsidRPr="00007F9D">
        <w:rPr>
          <w:sz w:val="28"/>
          <w:szCs w:val="28"/>
        </w:rPr>
        <w:t xml:space="preserve">административных правонарушений, предусмотренных </w:t>
      </w:r>
      <w:hyperlink r:id="rId66" w:history="1">
        <w:r w:rsidRPr="00007F9D">
          <w:rPr>
            <w:sz w:val="28"/>
            <w:szCs w:val="28"/>
          </w:rPr>
          <w:t>статьей 8.25</w:t>
        </w:r>
      </w:hyperlink>
      <w:r w:rsidRPr="00007F9D">
        <w:rPr>
          <w:sz w:val="28"/>
          <w:szCs w:val="28"/>
        </w:rPr>
        <w:t xml:space="preserve"> КоАП РФ,</w:t>
      </w:r>
      <w:r w:rsidRPr="00007F9D">
        <w:rPr>
          <w:rFonts w:eastAsia="Calibri"/>
          <w:sz w:val="28"/>
          <w:szCs w:val="28"/>
          <w:lang w:eastAsia="en-US"/>
        </w:rPr>
        <w:t xml:space="preserve"> составляет: в 20</w:t>
      </w:r>
      <w:r>
        <w:rPr>
          <w:rFonts w:eastAsia="Calibri"/>
          <w:sz w:val="28"/>
          <w:szCs w:val="28"/>
          <w:lang w:eastAsia="en-US"/>
        </w:rPr>
        <w:t>20</w:t>
      </w:r>
      <w:r w:rsidRPr="00007F9D">
        <w:rPr>
          <w:rFonts w:eastAsia="Calibri"/>
          <w:sz w:val="28"/>
          <w:szCs w:val="28"/>
          <w:lang w:eastAsia="en-US"/>
        </w:rPr>
        <w:t xml:space="preserve"> г. – 1</w:t>
      </w:r>
      <w:r>
        <w:rPr>
          <w:rFonts w:eastAsia="Calibri"/>
          <w:sz w:val="28"/>
          <w:szCs w:val="28"/>
          <w:lang w:eastAsia="en-US"/>
        </w:rPr>
        <w:t>2</w:t>
      </w:r>
      <w:r w:rsidRPr="00007F9D">
        <w:rPr>
          <w:rFonts w:eastAsia="Calibri"/>
          <w:sz w:val="28"/>
          <w:szCs w:val="28"/>
          <w:lang w:eastAsia="en-US"/>
        </w:rPr>
        <w:t>0 ед.</w:t>
      </w:r>
    </w:p>
    <w:p w:rsidR="0055491A" w:rsidRDefault="0055491A" w:rsidP="0055491A">
      <w:pPr>
        <w:tabs>
          <w:tab w:val="left" w:pos="3195"/>
        </w:tabs>
        <w:autoSpaceDE w:val="0"/>
        <w:autoSpaceDN w:val="0"/>
        <w:adjustRightInd w:val="0"/>
        <w:ind w:firstLine="709"/>
        <w:jc w:val="both"/>
        <w:rPr>
          <w:sz w:val="28"/>
          <w:szCs w:val="28"/>
        </w:rPr>
      </w:pPr>
      <w:r w:rsidRPr="00007F9D">
        <w:rPr>
          <w:rFonts w:eastAsia="Calibri"/>
          <w:sz w:val="28"/>
          <w:szCs w:val="28"/>
          <w:lang w:eastAsia="en-US"/>
        </w:rPr>
        <w:t xml:space="preserve">Количество случаев </w:t>
      </w:r>
      <w:r w:rsidRPr="00007F9D">
        <w:rPr>
          <w:sz w:val="28"/>
          <w:szCs w:val="28"/>
        </w:rPr>
        <w:t xml:space="preserve">административных правонарушений, предусмотренных </w:t>
      </w:r>
      <w:hyperlink r:id="rId67" w:history="1">
        <w:r w:rsidRPr="00007F9D">
          <w:rPr>
            <w:sz w:val="28"/>
            <w:szCs w:val="28"/>
          </w:rPr>
          <w:t>статьей 8.25</w:t>
        </w:r>
      </w:hyperlink>
      <w:r w:rsidRPr="00007F9D">
        <w:rPr>
          <w:sz w:val="28"/>
          <w:szCs w:val="28"/>
        </w:rPr>
        <w:t xml:space="preserve"> КоАП РФ, в 2020 г. принимаем равное </w:t>
      </w:r>
    </w:p>
    <w:p w:rsidR="0055491A" w:rsidRPr="00007F9D" w:rsidRDefault="0055491A" w:rsidP="0055491A">
      <w:pPr>
        <w:tabs>
          <w:tab w:val="left" w:pos="3195"/>
        </w:tabs>
        <w:autoSpaceDE w:val="0"/>
        <w:autoSpaceDN w:val="0"/>
        <w:adjustRightInd w:val="0"/>
        <w:ind w:firstLine="709"/>
        <w:jc w:val="both"/>
        <w:rPr>
          <w:rFonts w:eastAsia="Calibri"/>
          <w:sz w:val="28"/>
          <w:szCs w:val="28"/>
          <w:lang w:eastAsia="en-US"/>
        </w:rPr>
      </w:pPr>
      <w:r w:rsidRPr="00007F9D">
        <w:rPr>
          <w:rFonts w:eastAsia="Calibri"/>
          <w:sz w:val="28"/>
          <w:szCs w:val="28"/>
          <w:lang w:eastAsia="en-US"/>
        </w:rPr>
        <w:t>К</w:t>
      </w:r>
      <w:r>
        <w:rPr>
          <w:rFonts w:eastAsia="Calibri"/>
          <w:sz w:val="28"/>
          <w:szCs w:val="28"/>
          <w:vertAlign w:val="superscript"/>
          <w:lang w:eastAsia="en-US"/>
        </w:rPr>
        <w:t>ср2022</w:t>
      </w:r>
      <w:r>
        <w:rPr>
          <w:rFonts w:eastAsia="Calibri"/>
          <w:sz w:val="28"/>
          <w:szCs w:val="28"/>
          <w:vertAlign w:val="subscript"/>
          <w:lang w:eastAsia="en-US"/>
        </w:rPr>
        <w:t>8.25</w:t>
      </w:r>
      <w:r w:rsidRPr="00007F9D">
        <w:rPr>
          <w:rFonts w:eastAsia="Calibri"/>
          <w:sz w:val="28"/>
          <w:szCs w:val="28"/>
          <w:vertAlign w:val="subscript"/>
          <w:lang w:eastAsia="en-US"/>
        </w:rPr>
        <w:t xml:space="preserve"> </w:t>
      </w:r>
      <w:r w:rsidRPr="00007F9D">
        <w:rPr>
          <w:rFonts w:eastAsia="Calibri"/>
          <w:sz w:val="28"/>
          <w:szCs w:val="28"/>
          <w:lang w:eastAsia="en-US"/>
        </w:rPr>
        <w:t>= 1</w:t>
      </w:r>
      <w:r>
        <w:rPr>
          <w:rFonts w:eastAsia="Calibri"/>
          <w:sz w:val="28"/>
          <w:szCs w:val="28"/>
          <w:lang w:eastAsia="en-US"/>
        </w:rPr>
        <w:t>32</w:t>
      </w:r>
      <w:r w:rsidRPr="00007F9D">
        <w:rPr>
          <w:rFonts w:eastAsia="Calibri"/>
          <w:sz w:val="28"/>
          <w:szCs w:val="28"/>
          <w:lang w:eastAsia="en-US"/>
        </w:rPr>
        <w:t xml:space="preserve"> ед.</w:t>
      </w:r>
    </w:p>
    <w:p w:rsidR="0055491A" w:rsidRDefault="0055491A" w:rsidP="0055491A">
      <w:pPr>
        <w:tabs>
          <w:tab w:val="left" w:pos="3195"/>
        </w:tabs>
        <w:autoSpaceDE w:val="0"/>
        <w:autoSpaceDN w:val="0"/>
        <w:adjustRightInd w:val="0"/>
        <w:ind w:firstLine="709"/>
        <w:jc w:val="both"/>
        <w:rPr>
          <w:sz w:val="28"/>
          <w:szCs w:val="28"/>
        </w:rPr>
      </w:pPr>
      <w:r w:rsidRPr="00007F9D">
        <w:rPr>
          <w:rFonts w:eastAsia="Calibri"/>
          <w:sz w:val="28"/>
          <w:szCs w:val="28"/>
          <w:lang w:eastAsia="en-US"/>
        </w:rPr>
        <w:t xml:space="preserve">Количество случаев </w:t>
      </w:r>
      <w:r w:rsidRPr="00007F9D">
        <w:rPr>
          <w:sz w:val="28"/>
          <w:szCs w:val="28"/>
        </w:rPr>
        <w:t xml:space="preserve">административных правонарушений, предусмотренных </w:t>
      </w:r>
      <w:hyperlink r:id="rId68" w:history="1">
        <w:r w:rsidRPr="00007F9D">
          <w:rPr>
            <w:sz w:val="28"/>
            <w:szCs w:val="28"/>
          </w:rPr>
          <w:t>статьей 8.25</w:t>
        </w:r>
      </w:hyperlink>
      <w:r w:rsidRPr="00007F9D">
        <w:rPr>
          <w:sz w:val="28"/>
          <w:szCs w:val="28"/>
        </w:rPr>
        <w:t xml:space="preserve"> КоАП РФ, в 202</w:t>
      </w:r>
      <w:r>
        <w:rPr>
          <w:sz w:val="28"/>
          <w:szCs w:val="28"/>
        </w:rPr>
        <w:t>3</w:t>
      </w:r>
      <w:r w:rsidRPr="00007F9D">
        <w:rPr>
          <w:sz w:val="28"/>
          <w:szCs w:val="28"/>
        </w:rPr>
        <w:t xml:space="preserve"> г. принимаем равное </w:t>
      </w:r>
    </w:p>
    <w:p w:rsidR="0055491A" w:rsidRPr="00007F9D" w:rsidRDefault="0055491A" w:rsidP="0055491A">
      <w:pPr>
        <w:tabs>
          <w:tab w:val="left" w:pos="3195"/>
        </w:tabs>
        <w:autoSpaceDE w:val="0"/>
        <w:autoSpaceDN w:val="0"/>
        <w:adjustRightInd w:val="0"/>
        <w:ind w:firstLine="709"/>
        <w:jc w:val="both"/>
        <w:rPr>
          <w:rFonts w:eastAsia="Calibri"/>
          <w:sz w:val="28"/>
          <w:szCs w:val="28"/>
          <w:lang w:eastAsia="en-US"/>
        </w:rPr>
      </w:pPr>
      <w:r w:rsidRPr="00007F9D">
        <w:rPr>
          <w:rFonts w:eastAsia="Calibri"/>
          <w:sz w:val="28"/>
          <w:szCs w:val="28"/>
          <w:lang w:eastAsia="en-US"/>
        </w:rPr>
        <w:t>К</w:t>
      </w:r>
      <w:r w:rsidRPr="00007F9D">
        <w:rPr>
          <w:rFonts w:eastAsia="Calibri"/>
          <w:sz w:val="28"/>
          <w:szCs w:val="28"/>
          <w:vertAlign w:val="superscript"/>
          <w:lang w:eastAsia="en-US"/>
        </w:rPr>
        <w:t>ср</w:t>
      </w:r>
      <w:r>
        <w:rPr>
          <w:rFonts w:eastAsia="Calibri"/>
          <w:sz w:val="28"/>
          <w:szCs w:val="28"/>
          <w:vertAlign w:val="subscript"/>
          <w:lang w:eastAsia="en-US"/>
        </w:rPr>
        <w:t>8.25</w:t>
      </w:r>
      <w:r w:rsidRPr="00007F9D">
        <w:rPr>
          <w:rFonts w:eastAsia="Calibri"/>
          <w:sz w:val="28"/>
          <w:szCs w:val="28"/>
          <w:vertAlign w:val="subscript"/>
          <w:lang w:eastAsia="en-US"/>
        </w:rPr>
        <w:t xml:space="preserve"> </w:t>
      </w:r>
      <w:r w:rsidRPr="00007F9D">
        <w:rPr>
          <w:rFonts w:eastAsia="Calibri"/>
          <w:sz w:val="28"/>
          <w:szCs w:val="28"/>
          <w:lang w:eastAsia="en-US"/>
        </w:rPr>
        <w:t>= 126 ед.</w:t>
      </w:r>
    </w:p>
    <w:p w:rsidR="0055491A" w:rsidRPr="00007F9D" w:rsidRDefault="0055491A" w:rsidP="0055491A">
      <w:pPr>
        <w:tabs>
          <w:tab w:val="left" w:pos="3195"/>
        </w:tabs>
        <w:autoSpaceDE w:val="0"/>
        <w:autoSpaceDN w:val="0"/>
        <w:adjustRightInd w:val="0"/>
        <w:ind w:firstLine="709"/>
        <w:jc w:val="both"/>
        <w:rPr>
          <w:rFonts w:eastAsia="Calibri"/>
          <w:sz w:val="28"/>
          <w:szCs w:val="28"/>
          <w:lang w:eastAsia="en-US"/>
        </w:rPr>
      </w:pPr>
      <w:r w:rsidRPr="00007F9D">
        <w:rPr>
          <w:rFonts w:eastAsia="Calibri"/>
          <w:sz w:val="28"/>
          <w:szCs w:val="28"/>
          <w:lang w:eastAsia="en-US"/>
        </w:rPr>
        <w:t>Таким образом, К</w:t>
      </w:r>
      <w:r w:rsidRPr="00007F9D">
        <w:rPr>
          <w:rFonts w:eastAsia="Calibri"/>
          <w:sz w:val="28"/>
          <w:szCs w:val="28"/>
          <w:vertAlign w:val="superscript"/>
          <w:lang w:eastAsia="en-US"/>
        </w:rPr>
        <w:t>ср2022</w:t>
      </w:r>
      <w:r w:rsidRPr="00007F9D">
        <w:rPr>
          <w:rFonts w:eastAsia="Calibri"/>
          <w:sz w:val="28"/>
          <w:szCs w:val="28"/>
          <w:vertAlign w:val="subscript"/>
          <w:lang w:eastAsia="en-US"/>
        </w:rPr>
        <w:t xml:space="preserve">8.25 </w:t>
      </w:r>
      <w:r w:rsidRPr="00007F9D">
        <w:rPr>
          <w:rFonts w:eastAsia="Calibri"/>
          <w:sz w:val="28"/>
          <w:szCs w:val="28"/>
          <w:lang w:eastAsia="en-US"/>
        </w:rPr>
        <w:t>= (1</w:t>
      </w:r>
      <w:r>
        <w:rPr>
          <w:rFonts w:eastAsia="Calibri"/>
          <w:sz w:val="28"/>
          <w:szCs w:val="28"/>
          <w:lang w:eastAsia="en-US"/>
        </w:rPr>
        <w:t>2</w:t>
      </w:r>
      <w:r w:rsidRPr="00007F9D">
        <w:rPr>
          <w:rFonts w:eastAsia="Calibri"/>
          <w:sz w:val="28"/>
          <w:szCs w:val="28"/>
          <w:lang w:eastAsia="en-US"/>
        </w:rPr>
        <w:t>0+1</w:t>
      </w:r>
      <w:r>
        <w:rPr>
          <w:rFonts w:eastAsia="Calibri"/>
          <w:sz w:val="28"/>
          <w:szCs w:val="28"/>
          <w:lang w:eastAsia="en-US"/>
        </w:rPr>
        <w:t>32</w:t>
      </w:r>
      <w:r w:rsidRPr="00007F9D">
        <w:rPr>
          <w:rFonts w:eastAsia="Calibri"/>
          <w:sz w:val="28"/>
          <w:szCs w:val="28"/>
          <w:lang w:eastAsia="en-US"/>
        </w:rPr>
        <w:t>+126) / 3 = 1</w:t>
      </w:r>
      <w:r>
        <w:rPr>
          <w:rFonts w:eastAsia="Calibri"/>
          <w:sz w:val="28"/>
          <w:szCs w:val="28"/>
          <w:lang w:eastAsia="en-US"/>
        </w:rPr>
        <w:t>26</w:t>
      </w:r>
      <w:r w:rsidRPr="00007F9D">
        <w:rPr>
          <w:rFonts w:eastAsia="Calibri"/>
          <w:sz w:val="28"/>
          <w:szCs w:val="28"/>
          <w:lang w:eastAsia="en-US"/>
        </w:rPr>
        <w:t xml:space="preserve"> (ед.)</w:t>
      </w:r>
    </w:p>
    <w:p w:rsidR="0055491A" w:rsidRPr="00007F9D" w:rsidRDefault="0055491A" w:rsidP="0055491A">
      <w:pPr>
        <w:tabs>
          <w:tab w:val="left" w:pos="3195"/>
        </w:tabs>
        <w:autoSpaceDE w:val="0"/>
        <w:autoSpaceDN w:val="0"/>
        <w:adjustRightInd w:val="0"/>
        <w:ind w:firstLine="709"/>
        <w:jc w:val="both"/>
        <w:rPr>
          <w:rFonts w:eastAsia="Calibri"/>
          <w:sz w:val="28"/>
          <w:szCs w:val="28"/>
          <w:lang w:eastAsia="en-US"/>
        </w:rPr>
      </w:pPr>
      <w:r w:rsidRPr="00007F9D">
        <w:rPr>
          <w:rFonts w:eastAsia="Calibri"/>
          <w:sz w:val="28"/>
          <w:szCs w:val="28"/>
          <w:lang w:eastAsia="en-US"/>
        </w:rPr>
        <w:t>Р</w:t>
      </w:r>
      <w:r w:rsidRPr="00007F9D">
        <w:rPr>
          <w:rFonts w:eastAsia="Calibri"/>
          <w:sz w:val="28"/>
          <w:szCs w:val="28"/>
          <w:vertAlign w:val="superscript"/>
          <w:lang w:eastAsia="en-US"/>
        </w:rPr>
        <w:t>ср</w:t>
      </w:r>
      <w:r w:rsidRPr="00007F9D">
        <w:rPr>
          <w:rFonts w:eastAsia="Calibri"/>
          <w:sz w:val="28"/>
          <w:szCs w:val="28"/>
          <w:vertAlign w:val="subscript"/>
          <w:lang w:eastAsia="en-US"/>
        </w:rPr>
        <w:t xml:space="preserve">8.25  </w:t>
      </w:r>
      <w:r w:rsidRPr="00007F9D">
        <w:rPr>
          <w:rFonts w:eastAsia="Calibri"/>
          <w:sz w:val="28"/>
          <w:szCs w:val="28"/>
          <w:lang w:eastAsia="en-US"/>
        </w:rPr>
        <w:t>= 7,</w:t>
      </w:r>
      <w:r>
        <w:rPr>
          <w:rFonts w:eastAsia="Calibri"/>
          <w:sz w:val="28"/>
          <w:szCs w:val="28"/>
          <w:lang w:eastAsia="en-US"/>
        </w:rPr>
        <w:t>7</w:t>
      </w:r>
      <w:r w:rsidRPr="00007F9D">
        <w:rPr>
          <w:rFonts w:eastAsia="Calibri"/>
          <w:sz w:val="28"/>
          <w:szCs w:val="28"/>
          <w:lang w:eastAsia="en-US"/>
        </w:rPr>
        <w:t xml:space="preserve"> тыс. руб.</w:t>
      </w:r>
    </w:p>
    <w:p w:rsidR="0055491A" w:rsidRPr="00007F9D" w:rsidRDefault="0055491A" w:rsidP="0055491A">
      <w:pPr>
        <w:tabs>
          <w:tab w:val="left" w:pos="3195"/>
        </w:tabs>
        <w:autoSpaceDE w:val="0"/>
        <w:autoSpaceDN w:val="0"/>
        <w:adjustRightInd w:val="0"/>
        <w:ind w:firstLine="709"/>
        <w:jc w:val="both"/>
        <w:rPr>
          <w:rFonts w:eastAsia="Calibri"/>
          <w:sz w:val="28"/>
          <w:szCs w:val="28"/>
          <w:lang w:eastAsia="en-US"/>
        </w:rPr>
      </w:pPr>
      <w:r>
        <w:rPr>
          <w:rFonts w:eastAsia="Calibri"/>
          <w:sz w:val="28"/>
          <w:szCs w:val="28"/>
          <w:lang w:eastAsia="en-US"/>
        </w:rPr>
        <w:t>П</w:t>
      </w:r>
      <w:r w:rsidRPr="00007F9D">
        <w:rPr>
          <w:rFonts w:eastAsia="Calibri"/>
          <w:sz w:val="28"/>
          <w:szCs w:val="28"/>
          <w:lang w:eastAsia="en-US"/>
        </w:rPr>
        <w:t xml:space="preserve">рогноз </w:t>
      </w:r>
      <w:r w:rsidRPr="00007F9D">
        <w:rPr>
          <w:rFonts w:eastAsia="Calibri"/>
          <w:b/>
          <w:sz w:val="28"/>
          <w:szCs w:val="28"/>
          <w:lang w:eastAsia="en-US"/>
        </w:rPr>
        <w:t>на 202</w:t>
      </w:r>
      <w:r>
        <w:rPr>
          <w:rFonts w:eastAsia="Calibri"/>
          <w:b/>
          <w:sz w:val="28"/>
          <w:szCs w:val="28"/>
          <w:lang w:eastAsia="en-US"/>
        </w:rPr>
        <w:t>3</w:t>
      </w:r>
      <w:r w:rsidRPr="00007F9D">
        <w:rPr>
          <w:rFonts w:eastAsia="Calibri"/>
          <w:b/>
          <w:sz w:val="28"/>
          <w:szCs w:val="28"/>
          <w:lang w:eastAsia="en-US"/>
        </w:rPr>
        <w:t xml:space="preserve"> год</w:t>
      </w:r>
      <w:r w:rsidRPr="00007F9D">
        <w:rPr>
          <w:rFonts w:eastAsia="Calibri"/>
          <w:sz w:val="28"/>
          <w:szCs w:val="28"/>
          <w:lang w:eastAsia="en-US"/>
        </w:rPr>
        <w:t xml:space="preserve"> составит: П</w:t>
      </w:r>
      <w:r w:rsidRPr="00007F9D">
        <w:rPr>
          <w:rFonts w:eastAsia="Calibri"/>
          <w:sz w:val="28"/>
          <w:szCs w:val="28"/>
          <w:vertAlign w:val="subscript"/>
          <w:lang w:eastAsia="en-US"/>
        </w:rPr>
        <w:t xml:space="preserve">7.9 </w:t>
      </w:r>
      <w:r w:rsidRPr="00007F9D">
        <w:rPr>
          <w:rFonts w:eastAsia="Calibri"/>
          <w:sz w:val="28"/>
          <w:szCs w:val="28"/>
          <w:lang w:eastAsia="en-US"/>
        </w:rPr>
        <w:t>= 1</w:t>
      </w:r>
      <w:r>
        <w:rPr>
          <w:rFonts w:eastAsia="Calibri"/>
          <w:sz w:val="28"/>
          <w:szCs w:val="28"/>
          <w:lang w:eastAsia="en-US"/>
        </w:rPr>
        <w:t>26</w:t>
      </w:r>
      <w:r w:rsidRPr="00007F9D">
        <w:rPr>
          <w:rFonts w:eastAsia="Calibri"/>
          <w:sz w:val="28"/>
          <w:szCs w:val="28"/>
          <w:lang w:eastAsia="en-US"/>
        </w:rPr>
        <w:t xml:space="preserve"> * 7,</w:t>
      </w:r>
      <w:r>
        <w:rPr>
          <w:rFonts w:eastAsia="Calibri"/>
          <w:sz w:val="28"/>
          <w:szCs w:val="28"/>
          <w:lang w:eastAsia="en-US"/>
        </w:rPr>
        <w:t>7</w:t>
      </w:r>
      <w:r w:rsidRPr="00007F9D">
        <w:rPr>
          <w:rFonts w:eastAsia="Calibri"/>
          <w:sz w:val="28"/>
          <w:szCs w:val="28"/>
          <w:lang w:eastAsia="en-US"/>
        </w:rPr>
        <w:t xml:space="preserve"> = </w:t>
      </w:r>
      <w:r>
        <w:rPr>
          <w:rFonts w:eastAsia="Calibri"/>
          <w:b/>
          <w:sz w:val="28"/>
          <w:szCs w:val="28"/>
          <w:lang w:eastAsia="en-US"/>
        </w:rPr>
        <w:t>970,2</w:t>
      </w:r>
      <w:r w:rsidRPr="00007F9D">
        <w:rPr>
          <w:rFonts w:eastAsia="Calibri"/>
          <w:b/>
          <w:sz w:val="28"/>
          <w:szCs w:val="28"/>
          <w:lang w:eastAsia="en-US"/>
        </w:rPr>
        <w:t xml:space="preserve"> </w:t>
      </w:r>
      <w:r w:rsidRPr="00007F9D">
        <w:rPr>
          <w:rFonts w:eastAsia="Calibri"/>
          <w:sz w:val="28"/>
          <w:szCs w:val="28"/>
          <w:lang w:eastAsia="en-US"/>
        </w:rPr>
        <w:t>тыс.</w:t>
      </w:r>
      <w:r w:rsidRPr="00007F9D">
        <w:rPr>
          <w:rFonts w:eastAsia="Calibri"/>
          <w:b/>
          <w:sz w:val="28"/>
          <w:szCs w:val="28"/>
          <w:lang w:eastAsia="en-US"/>
        </w:rPr>
        <w:t xml:space="preserve"> </w:t>
      </w:r>
      <w:r w:rsidRPr="00007F9D">
        <w:rPr>
          <w:rFonts w:eastAsia="Calibri"/>
          <w:sz w:val="28"/>
          <w:szCs w:val="28"/>
          <w:lang w:eastAsia="en-US"/>
        </w:rPr>
        <w:t xml:space="preserve">руб. </w:t>
      </w:r>
    </w:p>
    <w:p w:rsidR="0055491A" w:rsidRPr="00007F9D" w:rsidRDefault="0055491A" w:rsidP="0055491A">
      <w:pPr>
        <w:tabs>
          <w:tab w:val="left" w:pos="3195"/>
        </w:tabs>
        <w:autoSpaceDE w:val="0"/>
        <w:autoSpaceDN w:val="0"/>
        <w:adjustRightInd w:val="0"/>
        <w:ind w:firstLine="709"/>
        <w:jc w:val="both"/>
        <w:rPr>
          <w:rFonts w:eastAsia="Calibri"/>
          <w:b/>
          <w:sz w:val="28"/>
          <w:szCs w:val="28"/>
          <w:lang w:eastAsia="en-US"/>
        </w:rPr>
      </w:pPr>
      <w:r w:rsidRPr="00007F9D">
        <w:rPr>
          <w:rFonts w:eastAsia="Calibri"/>
          <w:b/>
          <w:sz w:val="28"/>
          <w:szCs w:val="28"/>
          <w:lang w:eastAsia="en-US"/>
        </w:rPr>
        <w:t>Определение прогноза на 202</w:t>
      </w:r>
      <w:r>
        <w:rPr>
          <w:rFonts w:eastAsia="Calibri"/>
          <w:b/>
          <w:sz w:val="28"/>
          <w:szCs w:val="28"/>
          <w:lang w:eastAsia="en-US"/>
        </w:rPr>
        <w:t>4</w:t>
      </w:r>
      <w:r w:rsidRPr="00007F9D">
        <w:rPr>
          <w:rFonts w:eastAsia="Calibri"/>
          <w:b/>
          <w:sz w:val="28"/>
          <w:szCs w:val="28"/>
          <w:lang w:eastAsia="en-US"/>
        </w:rPr>
        <w:t xml:space="preserve"> год:</w:t>
      </w:r>
    </w:p>
    <w:p w:rsidR="0055491A" w:rsidRPr="00007F9D" w:rsidRDefault="0055491A" w:rsidP="0055491A">
      <w:pPr>
        <w:tabs>
          <w:tab w:val="left" w:pos="3195"/>
        </w:tabs>
        <w:autoSpaceDE w:val="0"/>
        <w:autoSpaceDN w:val="0"/>
        <w:adjustRightInd w:val="0"/>
        <w:ind w:firstLine="709"/>
        <w:jc w:val="both"/>
        <w:rPr>
          <w:rFonts w:eastAsia="Calibri"/>
          <w:sz w:val="28"/>
          <w:szCs w:val="28"/>
          <w:lang w:eastAsia="en-US"/>
        </w:rPr>
      </w:pPr>
      <w:r w:rsidRPr="00007F9D">
        <w:rPr>
          <w:rFonts w:eastAsia="Calibri"/>
          <w:sz w:val="28"/>
          <w:szCs w:val="28"/>
          <w:lang w:eastAsia="en-US"/>
        </w:rPr>
        <w:t>Согласно методике</w:t>
      </w:r>
      <w:r w:rsidRPr="00007F9D">
        <w:rPr>
          <w:sz w:val="28"/>
          <w:szCs w:val="28"/>
        </w:rPr>
        <w:t xml:space="preserve"> прогнозирования поступлений доходов</w:t>
      </w:r>
      <w:r w:rsidRPr="00007F9D">
        <w:rPr>
          <w:rFonts w:eastAsia="Calibri"/>
          <w:sz w:val="28"/>
          <w:szCs w:val="28"/>
          <w:lang w:eastAsia="en-US"/>
        </w:rPr>
        <w:t>, п</w:t>
      </w:r>
      <w:r w:rsidRPr="00007F9D">
        <w:rPr>
          <w:sz w:val="28"/>
          <w:szCs w:val="28"/>
        </w:rPr>
        <w:t xml:space="preserve">рогноз на второй год планового периода принимается на уровне прогноза первого года планового периода. </w:t>
      </w:r>
      <w:r w:rsidRPr="00007F9D">
        <w:rPr>
          <w:rFonts w:eastAsia="Calibri"/>
          <w:sz w:val="28"/>
          <w:szCs w:val="28"/>
          <w:lang w:eastAsia="en-US"/>
        </w:rPr>
        <w:t>Прогноз на 202</w:t>
      </w:r>
      <w:r>
        <w:rPr>
          <w:rFonts w:eastAsia="Calibri"/>
          <w:sz w:val="28"/>
          <w:szCs w:val="28"/>
          <w:lang w:eastAsia="en-US"/>
        </w:rPr>
        <w:t>3</w:t>
      </w:r>
      <w:r w:rsidRPr="00007F9D">
        <w:rPr>
          <w:rFonts w:eastAsia="Calibri"/>
          <w:sz w:val="28"/>
          <w:szCs w:val="28"/>
          <w:lang w:eastAsia="en-US"/>
        </w:rPr>
        <w:t xml:space="preserve"> год составляет </w:t>
      </w:r>
      <w:r>
        <w:rPr>
          <w:rFonts w:eastAsia="Calibri"/>
          <w:b/>
          <w:sz w:val="28"/>
          <w:szCs w:val="28"/>
          <w:lang w:eastAsia="en-US"/>
        </w:rPr>
        <w:t>970,2</w:t>
      </w:r>
      <w:r w:rsidRPr="00007F9D">
        <w:rPr>
          <w:rFonts w:eastAsia="Calibri"/>
          <w:sz w:val="28"/>
          <w:szCs w:val="28"/>
          <w:lang w:eastAsia="en-US"/>
        </w:rPr>
        <w:t xml:space="preserve"> тыс. руб. </w:t>
      </w:r>
    </w:p>
    <w:p w:rsidR="0055491A" w:rsidRPr="00007F9D" w:rsidRDefault="0055491A" w:rsidP="0055491A">
      <w:pPr>
        <w:tabs>
          <w:tab w:val="left" w:pos="3195"/>
        </w:tabs>
        <w:autoSpaceDE w:val="0"/>
        <w:autoSpaceDN w:val="0"/>
        <w:adjustRightInd w:val="0"/>
        <w:ind w:firstLine="709"/>
        <w:jc w:val="both"/>
        <w:rPr>
          <w:rFonts w:eastAsia="Calibri"/>
          <w:sz w:val="28"/>
          <w:szCs w:val="28"/>
          <w:lang w:eastAsia="en-US"/>
        </w:rPr>
      </w:pPr>
      <w:r w:rsidRPr="00007F9D">
        <w:rPr>
          <w:sz w:val="28"/>
          <w:szCs w:val="28"/>
        </w:rPr>
        <w:t xml:space="preserve">Таким образом, </w:t>
      </w:r>
      <w:r w:rsidRPr="00007F9D">
        <w:rPr>
          <w:rFonts w:eastAsia="Calibri"/>
          <w:sz w:val="28"/>
          <w:szCs w:val="28"/>
          <w:lang w:eastAsia="en-US"/>
        </w:rPr>
        <w:t xml:space="preserve">прогноз на </w:t>
      </w:r>
      <w:r w:rsidRPr="00007F9D">
        <w:rPr>
          <w:rFonts w:eastAsia="Calibri"/>
          <w:b/>
          <w:sz w:val="28"/>
          <w:szCs w:val="28"/>
          <w:lang w:eastAsia="en-US"/>
        </w:rPr>
        <w:t>202</w:t>
      </w:r>
      <w:r>
        <w:rPr>
          <w:rFonts w:eastAsia="Calibri"/>
          <w:b/>
          <w:sz w:val="28"/>
          <w:szCs w:val="28"/>
          <w:lang w:eastAsia="en-US"/>
        </w:rPr>
        <w:t>4</w:t>
      </w:r>
      <w:r w:rsidRPr="00007F9D">
        <w:rPr>
          <w:rFonts w:eastAsia="Calibri"/>
          <w:b/>
          <w:sz w:val="28"/>
          <w:szCs w:val="28"/>
          <w:lang w:eastAsia="en-US"/>
        </w:rPr>
        <w:t xml:space="preserve"> год</w:t>
      </w:r>
      <w:r w:rsidRPr="00007F9D">
        <w:rPr>
          <w:rFonts w:eastAsia="Calibri"/>
          <w:sz w:val="28"/>
          <w:szCs w:val="28"/>
          <w:lang w:eastAsia="en-US"/>
        </w:rPr>
        <w:t xml:space="preserve"> составляет </w:t>
      </w:r>
      <w:r>
        <w:rPr>
          <w:rFonts w:eastAsia="Calibri"/>
          <w:b/>
          <w:sz w:val="28"/>
          <w:szCs w:val="28"/>
          <w:lang w:eastAsia="en-US"/>
        </w:rPr>
        <w:t>970,2</w:t>
      </w:r>
      <w:r w:rsidRPr="00007F9D">
        <w:rPr>
          <w:rFonts w:eastAsia="Calibri"/>
          <w:sz w:val="28"/>
          <w:szCs w:val="28"/>
          <w:lang w:eastAsia="en-US"/>
        </w:rPr>
        <w:t xml:space="preserve"> тыс. руб.</w:t>
      </w:r>
    </w:p>
    <w:p w:rsidR="0055491A" w:rsidRPr="009637DA" w:rsidRDefault="0055491A" w:rsidP="0055491A">
      <w:pPr>
        <w:tabs>
          <w:tab w:val="left" w:pos="3195"/>
        </w:tabs>
        <w:autoSpaceDE w:val="0"/>
        <w:autoSpaceDN w:val="0"/>
        <w:adjustRightInd w:val="0"/>
        <w:ind w:firstLine="709"/>
        <w:jc w:val="both"/>
        <w:rPr>
          <w:rFonts w:eastAsia="Calibri"/>
          <w:b/>
          <w:sz w:val="28"/>
          <w:szCs w:val="28"/>
          <w:lang w:eastAsia="en-US"/>
        </w:rPr>
      </w:pPr>
      <w:r w:rsidRPr="001D0B93">
        <w:rPr>
          <w:sz w:val="28"/>
          <w:szCs w:val="28"/>
        </w:rPr>
        <w:t>Средний объем дебиторской задолженности (недоимки), возможный к поступлению, равен нулю.</w:t>
      </w:r>
    </w:p>
    <w:p w:rsidR="0055491A" w:rsidRPr="00630FC0" w:rsidRDefault="0055491A" w:rsidP="0055491A">
      <w:pPr>
        <w:shd w:val="clear" w:color="auto" w:fill="FFFFFF"/>
        <w:ind w:firstLine="708"/>
        <w:jc w:val="both"/>
        <w:rPr>
          <w:rFonts w:eastAsia="Calibri"/>
          <w:i/>
          <w:sz w:val="28"/>
          <w:szCs w:val="28"/>
          <w:lang w:eastAsia="en-US"/>
        </w:rPr>
      </w:pPr>
      <w:r w:rsidRPr="00630FC0">
        <w:rPr>
          <w:rFonts w:eastAsia="Calibri"/>
          <w:i/>
          <w:sz w:val="28"/>
          <w:szCs w:val="28"/>
          <w:lang w:eastAsia="en-US"/>
        </w:rPr>
        <w:t>4.3.</w:t>
      </w:r>
      <w:r>
        <w:rPr>
          <w:rFonts w:eastAsia="Calibri"/>
          <w:i/>
          <w:sz w:val="28"/>
          <w:szCs w:val="28"/>
          <w:lang w:eastAsia="en-US"/>
        </w:rPr>
        <w:t>2</w:t>
      </w:r>
      <w:r w:rsidRPr="00630FC0">
        <w:rPr>
          <w:rFonts w:eastAsia="Calibri"/>
          <w:i/>
          <w:sz w:val="28"/>
          <w:szCs w:val="28"/>
          <w:lang w:eastAsia="en-US"/>
        </w:rPr>
        <w:t xml:space="preserve"> </w:t>
      </w:r>
      <w:r>
        <w:rPr>
          <w:rFonts w:eastAsia="Calibri"/>
          <w:i/>
          <w:sz w:val="28"/>
          <w:szCs w:val="28"/>
          <w:lang w:eastAsia="en-US"/>
        </w:rPr>
        <w:t>Ш</w:t>
      </w:r>
      <w:r w:rsidRPr="00630FC0">
        <w:rPr>
          <w:rFonts w:eastAsia="Calibri"/>
          <w:i/>
          <w:sz w:val="28"/>
          <w:szCs w:val="28"/>
          <w:lang w:eastAsia="en-US"/>
        </w:rPr>
        <w:t xml:space="preserve">трафы за нарушение правил санитарной безопасности в лесах согласно </w:t>
      </w:r>
      <w:hyperlink r:id="rId69" w:history="1">
        <w:r w:rsidRPr="00630FC0">
          <w:rPr>
            <w:i/>
            <w:sz w:val="28"/>
            <w:szCs w:val="28"/>
          </w:rPr>
          <w:t>статье 8.31</w:t>
        </w:r>
      </w:hyperlink>
      <w:r w:rsidRPr="00630FC0">
        <w:rPr>
          <w:i/>
          <w:sz w:val="28"/>
          <w:szCs w:val="28"/>
        </w:rPr>
        <w:t xml:space="preserve"> КоАП РФ.</w:t>
      </w:r>
    </w:p>
    <w:p w:rsidR="0055491A" w:rsidRPr="00EA1FFC" w:rsidRDefault="0055491A" w:rsidP="0055491A">
      <w:pPr>
        <w:shd w:val="clear" w:color="auto" w:fill="FFFFFF"/>
        <w:ind w:firstLine="708"/>
        <w:jc w:val="both"/>
        <w:rPr>
          <w:rFonts w:eastAsia="Calibri"/>
          <w:b/>
          <w:sz w:val="28"/>
          <w:szCs w:val="28"/>
          <w:lang w:eastAsia="en-US"/>
        </w:rPr>
      </w:pPr>
      <w:r w:rsidRPr="005F6BFA">
        <w:rPr>
          <w:sz w:val="28"/>
          <w:szCs w:val="28"/>
        </w:rPr>
        <w:t>Прогноз данного вида доходов определяется по формуле:</w:t>
      </w:r>
    </w:p>
    <w:p w:rsidR="0055491A" w:rsidRPr="005F6BFA" w:rsidRDefault="0055491A" w:rsidP="0055491A">
      <w:pPr>
        <w:widowControl w:val="0"/>
        <w:autoSpaceDE w:val="0"/>
        <w:autoSpaceDN w:val="0"/>
        <w:jc w:val="center"/>
        <w:rPr>
          <w:sz w:val="28"/>
          <w:szCs w:val="28"/>
        </w:rPr>
      </w:pPr>
      <w:r w:rsidRPr="005F6BFA">
        <w:rPr>
          <w:sz w:val="28"/>
          <w:szCs w:val="28"/>
        </w:rPr>
        <w:t>П</w:t>
      </w:r>
      <w:r w:rsidRPr="005F6BFA">
        <w:rPr>
          <w:sz w:val="28"/>
          <w:szCs w:val="28"/>
          <w:vertAlign w:val="subscript"/>
        </w:rPr>
        <w:t>наруш. санит. безоп.</w:t>
      </w:r>
      <w:r w:rsidRPr="005F6BFA">
        <w:rPr>
          <w:sz w:val="28"/>
          <w:szCs w:val="28"/>
        </w:rPr>
        <w:t xml:space="preserve"> = К</w:t>
      </w:r>
      <w:r w:rsidRPr="005F6BFA">
        <w:rPr>
          <w:sz w:val="28"/>
          <w:szCs w:val="28"/>
          <w:vertAlign w:val="superscript"/>
        </w:rPr>
        <w:t>ср</w:t>
      </w:r>
      <w:r w:rsidRPr="005F6BFA">
        <w:rPr>
          <w:sz w:val="28"/>
          <w:szCs w:val="28"/>
          <w:vertAlign w:val="subscript"/>
        </w:rPr>
        <w:t>наруш. санит. безоп.</w:t>
      </w:r>
      <w:r>
        <w:rPr>
          <w:sz w:val="28"/>
          <w:szCs w:val="28"/>
        </w:rPr>
        <w:t xml:space="preserve"> </w:t>
      </w:r>
      <w:r w:rsidRPr="005F6BFA">
        <w:rPr>
          <w:sz w:val="28"/>
          <w:szCs w:val="28"/>
        </w:rPr>
        <w:t>* P</w:t>
      </w:r>
      <w:r w:rsidRPr="005F6BFA">
        <w:rPr>
          <w:sz w:val="28"/>
          <w:szCs w:val="28"/>
          <w:vertAlign w:val="superscript"/>
        </w:rPr>
        <w:t>ср</w:t>
      </w:r>
      <w:r w:rsidRPr="005F6BFA">
        <w:rPr>
          <w:sz w:val="28"/>
          <w:szCs w:val="28"/>
          <w:vertAlign w:val="subscript"/>
        </w:rPr>
        <w:t>наруш. санит. безоп.</w:t>
      </w:r>
      <w:r w:rsidRPr="005F6BFA">
        <w:rPr>
          <w:sz w:val="28"/>
          <w:szCs w:val="28"/>
        </w:rPr>
        <w:t xml:space="preserve"> + Z</w:t>
      </w:r>
      <w:r w:rsidRPr="005F6BFA">
        <w:rPr>
          <w:sz w:val="28"/>
          <w:szCs w:val="28"/>
          <w:vertAlign w:val="superscript"/>
        </w:rPr>
        <w:t>ср</w:t>
      </w:r>
      <w:r w:rsidRPr="005F6BFA">
        <w:rPr>
          <w:sz w:val="28"/>
          <w:szCs w:val="28"/>
        </w:rPr>
        <w:t xml:space="preserve"> +/- R,</w:t>
      </w:r>
    </w:p>
    <w:p w:rsidR="0055491A" w:rsidRPr="005F6BFA" w:rsidRDefault="0055491A" w:rsidP="0055491A">
      <w:pPr>
        <w:widowControl w:val="0"/>
        <w:autoSpaceDE w:val="0"/>
        <w:autoSpaceDN w:val="0"/>
        <w:ind w:firstLine="540"/>
        <w:jc w:val="both"/>
        <w:rPr>
          <w:sz w:val="28"/>
          <w:szCs w:val="28"/>
        </w:rPr>
      </w:pPr>
      <w:r w:rsidRPr="005F6BFA">
        <w:rPr>
          <w:sz w:val="28"/>
          <w:szCs w:val="28"/>
        </w:rPr>
        <w:t>где:</w:t>
      </w:r>
    </w:p>
    <w:p w:rsidR="0055491A" w:rsidRPr="005F6BFA" w:rsidRDefault="0055491A" w:rsidP="0055491A">
      <w:pPr>
        <w:widowControl w:val="0"/>
        <w:autoSpaceDE w:val="0"/>
        <w:autoSpaceDN w:val="0"/>
        <w:ind w:firstLine="540"/>
        <w:jc w:val="both"/>
        <w:rPr>
          <w:sz w:val="28"/>
          <w:szCs w:val="28"/>
        </w:rPr>
      </w:pPr>
      <w:r w:rsidRPr="005F6BFA">
        <w:rPr>
          <w:sz w:val="28"/>
          <w:szCs w:val="28"/>
        </w:rPr>
        <w:t>К</w:t>
      </w:r>
      <w:r w:rsidRPr="005F6BFA">
        <w:rPr>
          <w:sz w:val="28"/>
          <w:szCs w:val="28"/>
          <w:vertAlign w:val="superscript"/>
        </w:rPr>
        <w:t>ср</w:t>
      </w:r>
      <w:r w:rsidRPr="005F6BFA">
        <w:rPr>
          <w:sz w:val="28"/>
          <w:szCs w:val="28"/>
          <w:vertAlign w:val="subscript"/>
        </w:rPr>
        <w:t>наруш. санит. безоп.</w:t>
      </w:r>
      <w:r w:rsidRPr="005F6BFA">
        <w:rPr>
          <w:sz w:val="28"/>
          <w:szCs w:val="28"/>
        </w:rPr>
        <w:t xml:space="preserve"> - среднее количество случаев нарушения правил санитарной безопасности в лесах (рассчитывается на основе количества случаев нарушения правил санитарной безопасности в лесах за три года, предшествующих прогнозируемому году) (ед.) рассчитывается с применением метода скользящей средней по формуле:</w:t>
      </w:r>
    </w:p>
    <w:p w:rsidR="0055491A" w:rsidRPr="005F6BFA" w:rsidRDefault="0055491A" w:rsidP="0055491A">
      <w:pPr>
        <w:widowControl w:val="0"/>
        <w:autoSpaceDE w:val="0"/>
        <w:autoSpaceDN w:val="0"/>
        <w:jc w:val="center"/>
        <w:rPr>
          <w:sz w:val="28"/>
          <w:szCs w:val="28"/>
        </w:rPr>
      </w:pPr>
      <w:r w:rsidRPr="005F6BFA">
        <w:rPr>
          <w:noProof/>
          <w:position w:val="-41"/>
          <w:sz w:val="28"/>
          <w:szCs w:val="28"/>
        </w:rPr>
        <w:lastRenderedPageBreak/>
        <w:drawing>
          <wp:inline distT="0" distB="0" distL="0" distR="0" wp14:anchorId="751895CC" wp14:editId="4B37BBB4">
            <wp:extent cx="2552065" cy="669925"/>
            <wp:effectExtent l="0" t="0" r="635" b="0"/>
            <wp:docPr id="24371" name="Рисунок 24371" descr="base_50_590968_328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5" descr="base_50_590968_32851"/>
                    <pic:cNvPicPr preferRelativeResize="0">
                      <a:picLocks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552065" cy="669925"/>
                    </a:xfrm>
                    <a:prstGeom prst="rect">
                      <a:avLst/>
                    </a:prstGeom>
                    <a:noFill/>
                    <a:ln>
                      <a:noFill/>
                    </a:ln>
                  </pic:spPr>
                </pic:pic>
              </a:graphicData>
            </a:graphic>
          </wp:inline>
        </w:drawing>
      </w:r>
    </w:p>
    <w:p w:rsidR="0055491A" w:rsidRPr="005F6BFA" w:rsidRDefault="0055491A" w:rsidP="0055491A">
      <w:pPr>
        <w:widowControl w:val="0"/>
        <w:autoSpaceDE w:val="0"/>
        <w:autoSpaceDN w:val="0"/>
        <w:ind w:firstLine="540"/>
        <w:jc w:val="both"/>
        <w:rPr>
          <w:sz w:val="28"/>
          <w:szCs w:val="28"/>
        </w:rPr>
      </w:pPr>
      <w:r w:rsidRPr="005F6BFA">
        <w:rPr>
          <w:sz w:val="28"/>
          <w:szCs w:val="28"/>
        </w:rPr>
        <w:t>где:</w:t>
      </w:r>
    </w:p>
    <w:p w:rsidR="0055491A" w:rsidRPr="005F6BFA" w:rsidRDefault="0055491A" w:rsidP="0055491A">
      <w:pPr>
        <w:widowControl w:val="0"/>
        <w:autoSpaceDE w:val="0"/>
        <w:autoSpaceDN w:val="0"/>
        <w:ind w:firstLine="540"/>
        <w:jc w:val="both"/>
        <w:rPr>
          <w:sz w:val="28"/>
          <w:szCs w:val="28"/>
        </w:rPr>
      </w:pPr>
      <w:r w:rsidRPr="005F6BFA">
        <w:rPr>
          <w:noProof/>
          <w:position w:val="-26"/>
          <w:sz w:val="28"/>
          <w:szCs w:val="28"/>
        </w:rPr>
        <w:drawing>
          <wp:inline distT="0" distB="0" distL="0" distR="0" wp14:anchorId="3428C753" wp14:editId="1B739A50">
            <wp:extent cx="1223010" cy="467995"/>
            <wp:effectExtent l="0" t="0" r="0" b="8255"/>
            <wp:docPr id="24370" name="Рисунок 24370" descr="base_50_590968_328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6" descr="base_50_590968_32852"/>
                    <pic:cNvPicPr preferRelativeResize="0">
                      <a:picLocks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223010" cy="467995"/>
                    </a:xfrm>
                    <a:prstGeom prst="rect">
                      <a:avLst/>
                    </a:prstGeom>
                    <a:noFill/>
                    <a:ln>
                      <a:noFill/>
                    </a:ln>
                  </pic:spPr>
                </pic:pic>
              </a:graphicData>
            </a:graphic>
          </wp:inline>
        </w:drawing>
      </w:r>
      <w:r w:rsidRPr="005F6BFA">
        <w:rPr>
          <w:sz w:val="28"/>
          <w:szCs w:val="28"/>
        </w:rPr>
        <w:t xml:space="preserve"> - сумма количества случаев нарушения правил санитарной безопасности в лесах за три года, предшествующих прогнозируемому году (ед.), при формировании прогноза на очередной финансовый год используются фактические данные за два отчетных года и прогнозные значения на текущий финансовый год, при формировании прогноза на первый год планового периода используются фактические данные за один отчетный год и прогнозные значения текущего финансового года и очередного финансового года; прогноз на второй год планового периода принимается на уровне прогноза первого года планового периода;</w:t>
      </w:r>
    </w:p>
    <w:p w:rsidR="0055491A" w:rsidRPr="005F6BFA" w:rsidRDefault="0055491A" w:rsidP="0055491A">
      <w:pPr>
        <w:widowControl w:val="0"/>
        <w:autoSpaceDE w:val="0"/>
        <w:autoSpaceDN w:val="0"/>
        <w:ind w:firstLine="540"/>
        <w:jc w:val="both"/>
        <w:rPr>
          <w:sz w:val="28"/>
          <w:szCs w:val="28"/>
        </w:rPr>
      </w:pPr>
      <w:r w:rsidRPr="005F6BFA">
        <w:rPr>
          <w:sz w:val="28"/>
          <w:szCs w:val="28"/>
        </w:rPr>
        <w:t>P</w:t>
      </w:r>
      <w:r w:rsidRPr="005F6BFA">
        <w:rPr>
          <w:sz w:val="28"/>
          <w:szCs w:val="28"/>
          <w:vertAlign w:val="superscript"/>
        </w:rPr>
        <w:t>ср</w:t>
      </w:r>
      <w:r w:rsidRPr="005F6BFA">
        <w:rPr>
          <w:sz w:val="28"/>
          <w:szCs w:val="28"/>
          <w:vertAlign w:val="subscript"/>
        </w:rPr>
        <w:t>наруш. санит. безоп.</w:t>
      </w:r>
      <w:r w:rsidRPr="005F6BFA">
        <w:rPr>
          <w:sz w:val="28"/>
          <w:szCs w:val="28"/>
        </w:rPr>
        <w:t xml:space="preserve"> - средний размер штрафа за нарушение правил санитарной безопасности в лесах за отчетный год (руб.) определяется по формуле:</w:t>
      </w:r>
    </w:p>
    <w:p w:rsidR="0055491A" w:rsidRPr="005F6BFA" w:rsidRDefault="0055491A" w:rsidP="0055491A">
      <w:pPr>
        <w:widowControl w:val="0"/>
        <w:autoSpaceDE w:val="0"/>
        <w:autoSpaceDN w:val="0"/>
        <w:jc w:val="center"/>
        <w:rPr>
          <w:sz w:val="28"/>
          <w:szCs w:val="28"/>
        </w:rPr>
      </w:pPr>
      <w:r w:rsidRPr="005F6BFA">
        <w:rPr>
          <w:noProof/>
          <w:position w:val="-31"/>
          <w:sz w:val="28"/>
          <w:szCs w:val="28"/>
        </w:rPr>
        <w:drawing>
          <wp:inline distT="0" distB="0" distL="0" distR="0" wp14:anchorId="3CF3BCC3" wp14:editId="6D9D6C8A">
            <wp:extent cx="2541270" cy="542290"/>
            <wp:effectExtent l="0" t="0" r="0" b="0"/>
            <wp:docPr id="24369" name="Рисунок 24369" descr="base_50_590968_328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7" descr="base_50_590968_32853"/>
                    <pic:cNvPicPr preferRelativeResize="0">
                      <a:picLocks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2541270" cy="542290"/>
                    </a:xfrm>
                    <a:prstGeom prst="rect">
                      <a:avLst/>
                    </a:prstGeom>
                    <a:noFill/>
                    <a:ln>
                      <a:noFill/>
                    </a:ln>
                  </pic:spPr>
                </pic:pic>
              </a:graphicData>
            </a:graphic>
          </wp:inline>
        </w:drawing>
      </w:r>
    </w:p>
    <w:p w:rsidR="0055491A" w:rsidRPr="005F6BFA" w:rsidRDefault="0055491A" w:rsidP="0055491A">
      <w:pPr>
        <w:widowControl w:val="0"/>
        <w:autoSpaceDE w:val="0"/>
        <w:autoSpaceDN w:val="0"/>
        <w:ind w:firstLine="540"/>
        <w:jc w:val="both"/>
        <w:rPr>
          <w:sz w:val="28"/>
          <w:szCs w:val="28"/>
        </w:rPr>
      </w:pPr>
      <w:r w:rsidRPr="005F6BFA">
        <w:rPr>
          <w:sz w:val="28"/>
          <w:szCs w:val="28"/>
        </w:rPr>
        <w:t>где:</w:t>
      </w:r>
    </w:p>
    <w:p w:rsidR="0055491A" w:rsidRPr="005F6BFA" w:rsidRDefault="0055491A" w:rsidP="0055491A">
      <w:pPr>
        <w:widowControl w:val="0"/>
        <w:autoSpaceDE w:val="0"/>
        <w:autoSpaceDN w:val="0"/>
        <w:ind w:firstLine="540"/>
        <w:jc w:val="both"/>
        <w:rPr>
          <w:sz w:val="28"/>
          <w:szCs w:val="28"/>
        </w:rPr>
      </w:pPr>
      <w:r w:rsidRPr="005F6BFA">
        <w:rPr>
          <w:noProof/>
          <w:position w:val="-11"/>
          <w:sz w:val="28"/>
          <w:szCs w:val="28"/>
        </w:rPr>
        <w:drawing>
          <wp:inline distT="0" distB="0" distL="0" distR="0" wp14:anchorId="4B59D2F5" wp14:editId="4FFEDF57">
            <wp:extent cx="1223010" cy="287020"/>
            <wp:effectExtent l="0" t="0" r="0" b="0"/>
            <wp:docPr id="24368" name="Рисунок 24368" descr="base_50_590968_328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8" descr="base_50_590968_32854"/>
                    <pic:cNvPicPr preferRelativeResize="0">
                      <a:picLocks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223010" cy="287020"/>
                    </a:xfrm>
                    <a:prstGeom prst="rect">
                      <a:avLst/>
                    </a:prstGeom>
                    <a:noFill/>
                    <a:ln>
                      <a:noFill/>
                    </a:ln>
                  </pic:spPr>
                </pic:pic>
              </a:graphicData>
            </a:graphic>
          </wp:inline>
        </w:drawing>
      </w:r>
      <w:r w:rsidRPr="005F6BFA">
        <w:rPr>
          <w:sz w:val="28"/>
          <w:szCs w:val="28"/>
        </w:rPr>
        <w:t xml:space="preserve"> - сумма платежей за нарушения правил санитарной безопасности в лесах за отчетный год (тыс. руб.);</w:t>
      </w:r>
    </w:p>
    <w:p w:rsidR="0055491A" w:rsidRPr="005F6BFA" w:rsidRDefault="0055491A" w:rsidP="0055491A">
      <w:pPr>
        <w:widowControl w:val="0"/>
        <w:autoSpaceDE w:val="0"/>
        <w:autoSpaceDN w:val="0"/>
        <w:ind w:firstLine="540"/>
        <w:jc w:val="both"/>
        <w:rPr>
          <w:sz w:val="28"/>
          <w:szCs w:val="28"/>
        </w:rPr>
      </w:pPr>
      <w:r w:rsidRPr="005F6BFA">
        <w:rPr>
          <w:noProof/>
          <w:position w:val="-11"/>
          <w:sz w:val="28"/>
          <w:szCs w:val="28"/>
        </w:rPr>
        <w:drawing>
          <wp:inline distT="0" distB="0" distL="0" distR="0" wp14:anchorId="7FCADA61" wp14:editId="2428A9E9">
            <wp:extent cx="1010285" cy="287020"/>
            <wp:effectExtent l="0" t="0" r="0" b="0"/>
            <wp:docPr id="24367" name="Рисунок 24367" descr="base_50_590968_328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9" descr="base_50_590968_32855"/>
                    <pic:cNvPicPr preferRelativeResize="0">
                      <a:picLocks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010285" cy="287020"/>
                    </a:xfrm>
                    <a:prstGeom prst="rect">
                      <a:avLst/>
                    </a:prstGeom>
                    <a:noFill/>
                    <a:ln>
                      <a:noFill/>
                    </a:ln>
                  </pic:spPr>
                </pic:pic>
              </a:graphicData>
            </a:graphic>
          </wp:inline>
        </w:drawing>
      </w:r>
      <w:r w:rsidRPr="005F6BFA">
        <w:rPr>
          <w:sz w:val="28"/>
          <w:szCs w:val="28"/>
        </w:rPr>
        <w:t xml:space="preserve"> - количество нарушений правил санитарной безопасности в лесах за отчетный год (ед.);</w:t>
      </w:r>
    </w:p>
    <w:p w:rsidR="0055491A" w:rsidRPr="005F6BFA" w:rsidRDefault="0055491A" w:rsidP="0055491A">
      <w:pPr>
        <w:widowControl w:val="0"/>
        <w:autoSpaceDE w:val="0"/>
        <w:autoSpaceDN w:val="0"/>
        <w:ind w:firstLine="540"/>
        <w:jc w:val="both"/>
        <w:rPr>
          <w:sz w:val="28"/>
          <w:szCs w:val="28"/>
        </w:rPr>
      </w:pPr>
      <w:r w:rsidRPr="005F6BFA">
        <w:rPr>
          <w:sz w:val="28"/>
          <w:szCs w:val="28"/>
        </w:rPr>
        <w:t>Z</w:t>
      </w:r>
      <w:r w:rsidRPr="005F6BFA">
        <w:rPr>
          <w:sz w:val="28"/>
          <w:szCs w:val="28"/>
          <w:vertAlign w:val="superscript"/>
        </w:rPr>
        <w:t>ср</w:t>
      </w:r>
      <w:r w:rsidRPr="005F6BFA">
        <w:rPr>
          <w:sz w:val="28"/>
          <w:szCs w:val="28"/>
        </w:rPr>
        <w:t xml:space="preserve"> - средний объем дебиторской задолженности (недоимки), возможный к поступлению (тыс. руб.). Определяется по формуле:</w:t>
      </w:r>
    </w:p>
    <w:p w:rsidR="0055491A" w:rsidRPr="005F6BFA" w:rsidRDefault="0055491A" w:rsidP="0055491A">
      <w:pPr>
        <w:widowControl w:val="0"/>
        <w:autoSpaceDE w:val="0"/>
        <w:autoSpaceDN w:val="0"/>
        <w:jc w:val="center"/>
        <w:rPr>
          <w:sz w:val="28"/>
          <w:szCs w:val="28"/>
        </w:rPr>
      </w:pPr>
      <w:r w:rsidRPr="005F6BFA">
        <w:rPr>
          <w:noProof/>
          <w:position w:val="-11"/>
          <w:sz w:val="28"/>
          <w:szCs w:val="28"/>
        </w:rPr>
        <w:drawing>
          <wp:inline distT="0" distB="0" distL="0" distR="0" wp14:anchorId="470B0E0F" wp14:editId="0E273B0E">
            <wp:extent cx="2190115" cy="287020"/>
            <wp:effectExtent l="0" t="0" r="635" b="0"/>
            <wp:docPr id="24366" name="Рисунок 24366" descr="base_50_590968_328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0" descr="base_50_590968_32856"/>
                    <pic:cNvPicPr preferRelativeResize="0">
                      <a:picLocks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2190115" cy="287020"/>
                    </a:xfrm>
                    <a:prstGeom prst="rect">
                      <a:avLst/>
                    </a:prstGeom>
                    <a:noFill/>
                    <a:ln>
                      <a:noFill/>
                    </a:ln>
                  </pic:spPr>
                </pic:pic>
              </a:graphicData>
            </a:graphic>
          </wp:inline>
        </w:drawing>
      </w:r>
    </w:p>
    <w:p w:rsidR="0055491A" w:rsidRPr="005F6BFA" w:rsidRDefault="0055491A" w:rsidP="0055491A">
      <w:pPr>
        <w:widowControl w:val="0"/>
        <w:autoSpaceDE w:val="0"/>
        <w:autoSpaceDN w:val="0"/>
        <w:ind w:firstLine="540"/>
        <w:jc w:val="both"/>
        <w:rPr>
          <w:sz w:val="28"/>
          <w:szCs w:val="28"/>
        </w:rPr>
      </w:pPr>
      <w:r w:rsidRPr="005F6BFA">
        <w:rPr>
          <w:sz w:val="28"/>
          <w:szCs w:val="28"/>
        </w:rPr>
        <w:t>где:</w:t>
      </w:r>
    </w:p>
    <w:p w:rsidR="0055491A" w:rsidRPr="005F6BFA" w:rsidRDefault="0055491A" w:rsidP="0055491A">
      <w:pPr>
        <w:widowControl w:val="0"/>
        <w:autoSpaceDE w:val="0"/>
        <w:autoSpaceDN w:val="0"/>
        <w:ind w:firstLine="540"/>
        <w:jc w:val="both"/>
        <w:rPr>
          <w:sz w:val="28"/>
          <w:szCs w:val="28"/>
        </w:rPr>
      </w:pPr>
      <w:r w:rsidRPr="005F6BFA">
        <w:rPr>
          <w:noProof/>
          <w:position w:val="-11"/>
          <w:sz w:val="28"/>
          <w:szCs w:val="28"/>
        </w:rPr>
        <w:drawing>
          <wp:inline distT="0" distB="0" distL="0" distR="0" wp14:anchorId="12114741" wp14:editId="3BE740CF">
            <wp:extent cx="574040" cy="287020"/>
            <wp:effectExtent l="0" t="0" r="0" b="0"/>
            <wp:docPr id="24365" name="Рисунок 24365" descr="base_50_590968_328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1" descr="base_50_590968_32857"/>
                    <pic:cNvPicPr preferRelativeResize="0">
                      <a:picLocks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74040" cy="287020"/>
                    </a:xfrm>
                    <a:prstGeom prst="rect">
                      <a:avLst/>
                    </a:prstGeom>
                    <a:noFill/>
                    <a:ln>
                      <a:noFill/>
                    </a:ln>
                  </pic:spPr>
                </pic:pic>
              </a:graphicData>
            </a:graphic>
          </wp:inline>
        </w:drawing>
      </w:r>
      <w:r w:rsidRPr="005F6BFA">
        <w:rPr>
          <w:sz w:val="28"/>
          <w:szCs w:val="28"/>
        </w:rPr>
        <w:t xml:space="preserve"> - сумма годовых величин задолженности (недоимки), возможной к взысканию (общая сумма недоимки, включая долги прошлых периодов, за минусом безнадежной), за три отчетных года, предшествующих прогнозируемому году (тыс. руб.);</w:t>
      </w:r>
    </w:p>
    <w:p w:rsidR="0055491A" w:rsidRPr="005F6BFA" w:rsidRDefault="0055491A" w:rsidP="0055491A">
      <w:pPr>
        <w:widowControl w:val="0"/>
        <w:autoSpaceDE w:val="0"/>
        <w:autoSpaceDN w:val="0"/>
        <w:ind w:firstLine="540"/>
        <w:jc w:val="both"/>
        <w:rPr>
          <w:sz w:val="28"/>
          <w:szCs w:val="28"/>
        </w:rPr>
      </w:pPr>
      <w:r w:rsidRPr="005F6BFA">
        <w:rPr>
          <w:noProof/>
          <w:position w:val="-11"/>
          <w:sz w:val="28"/>
          <w:szCs w:val="28"/>
        </w:rPr>
        <w:drawing>
          <wp:inline distT="0" distB="0" distL="0" distR="0" wp14:anchorId="31AE27E2" wp14:editId="013CC50C">
            <wp:extent cx="553085" cy="287020"/>
            <wp:effectExtent l="0" t="0" r="0" b="0"/>
            <wp:docPr id="24364" name="Рисунок 24364" descr="base_50_590968_328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2" descr="base_50_590968_32858"/>
                    <pic:cNvPicPr preferRelativeResize="0">
                      <a:picLocks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553085" cy="287020"/>
                    </a:xfrm>
                    <a:prstGeom prst="rect">
                      <a:avLst/>
                    </a:prstGeom>
                    <a:noFill/>
                    <a:ln>
                      <a:noFill/>
                    </a:ln>
                  </pic:spPr>
                </pic:pic>
              </a:graphicData>
            </a:graphic>
          </wp:inline>
        </w:drawing>
      </w:r>
      <w:r w:rsidRPr="005F6BFA">
        <w:rPr>
          <w:sz w:val="28"/>
          <w:szCs w:val="28"/>
        </w:rPr>
        <w:t xml:space="preserve"> - сумма долей взыскания Федеральной службой судебных приставов задолженности (недоимки) от задолженности, находящейся у нее на рассмотрении, за три отчетных года, предшествующих прогнозируемому году (единицы);</w:t>
      </w:r>
    </w:p>
    <w:p w:rsidR="0055491A" w:rsidRPr="005F6BFA" w:rsidRDefault="0055491A" w:rsidP="0055491A">
      <w:pPr>
        <w:widowControl w:val="0"/>
        <w:autoSpaceDE w:val="0"/>
        <w:autoSpaceDN w:val="0"/>
        <w:ind w:firstLine="540"/>
        <w:jc w:val="both"/>
        <w:rPr>
          <w:sz w:val="28"/>
          <w:szCs w:val="28"/>
        </w:rPr>
      </w:pPr>
      <w:r w:rsidRPr="005F6BFA">
        <w:rPr>
          <w:sz w:val="28"/>
          <w:szCs w:val="28"/>
        </w:rPr>
        <w:t>k - доля взыскания Федеральной службой судебных приставов задолженности (недоимки) от задолженности, находящейся у нее на рассмотрении, по итогам отчетного года (единицы), определяется по формуле:</w:t>
      </w:r>
    </w:p>
    <w:p w:rsidR="0055491A" w:rsidRPr="005F6BFA" w:rsidRDefault="0055491A" w:rsidP="0055491A">
      <w:pPr>
        <w:widowControl w:val="0"/>
        <w:autoSpaceDE w:val="0"/>
        <w:autoSpaceDN w:val="0"/>
        <w:jc w:val="center"/>
        <w:rPr>
          <w:sz w:val="28"/>
          <w:szCs w:val="28"/>
        </w:rPr>
      </w:pPr>
      <w:r w:rsidRPr="005F6BFA">
        <w:rPr>
          <w:sz w:val="28"/>
          <w:szCs w:val="28"/>
        </w:rPr>
        <w:t>k = Z</w:t>
      </w:r>
      <w:r w:rsidRPr="005F6BFA">
        <w:rPr>
          <w:sz w:val="28"/>
          <w:szCs w:val="28"/>
          <w:vertAlign w:val="superscript"/>
        </w:rPr>
        <w:t>взыск</w:t>
      </w:r>
      <w:r w:rsidRPr="005F6BFA">
        <w:rPr>
          <w:sz w:val="28"/>
          <w:szCs w:val="28"/>
        </w:rPr>
        <w:t xml:space="preserve"> / Z</w:t>
      </w:r>
      <w:r w:rsidRPr="005F6BFA">
        <w:rPr>
          <w:sz w:val="28"/>
          <w:szCs w:val="28"/>
          <w:vertAlign w:val="superscript"/>
        </w:rPr>
        <w:t>ФССП</w:t>
      </w:r>
      <w:r w:rsidRPr="005F6BFA">
        <w:rPr>
          <w:sz w:val="28"/>
          <w:szCs w:val="28"/>
        </w:rPr>
        <w:t>,</w:t>
      </w:r>
    </w:p>
    <w:p w:rsidR="0055491A" w:rsidRPr="005F6BFA" w:rsidRDefault="0055491A" w:rsidP="0055491A">
      <w:pPr>
        <w:widowControl w:val="0"/>
        <w:autoSpaceDE w:val="0"/>
        <w:autoSpaceDN w:val="0"/>
        <w:ind w:firstLine="540"/>
        <w:jc w:val="both"/>
        <w:rPr>
          <w:sz w:val="28"/>
          <w:szCs w:val="28"/>
        </w:rPr>
      </w:pPr>
      <w:r w:rsidRPr="005F6BFA">
        <w:rPr>
          <w:sz w:val="28"/>
          <w:szCs w:val="28"/>
        </w:rPr>
        <w:t>где:</w:t>
      </w:r>
    </w:p>
    <w:p w:rsidR="0055491A" w:rsidRPr="005F6BFA" w:rsidRDefault="0055491A" w:rsidP="0055491A">
      <w:pPr>
        <w:widowControl w:val="0"/>
        <w:autoSpaceDE w:val="0"/>
        <w:autoSpaceDN w:val="0"/>
        <w:ind w:firstLine="540"/>
        <w:jc w:val="both"/>
        <w:rPr>
          <w:sz w:val="28"/>
          <w:szCs w:val="28"/>
        </w:rPr>
      </w:pPr>
      <w:r w:rsidRPr="005F6BFA">
        <w:rPr>
          <w:sz w:val="28"/>
          <w:szCs w:val="28"/>
        </w:rPr>
        <w:lastRenderedPageBreak/>
        <w:t>Z</w:t>
      </w:r>
      <w:r w:rsidRPr="005F6BFA">
        <w:rPr>
          <w:sz w:val="28"/>
          <w:szCs w:val="28"/>
          <w:vertAlign w:val="superscript"/>
        </w:rPr>
        <w:t>взыск</w:t>
      </w:r>
      <w:r w:rsidRPr="005F6BFA">
        <w:rPr>
          <w:sz w:val="28"/>
          <w:szCs w:val="28"/>
        </w:rPr>
        <w:t xml:space="preserve"> - всего взыскано платежей Федеральной службой судебных приставов в отчетном году (тыс. руб.);</w:t>
      </w:r>
    </w:p>
    <w:p w:rsidR="0055491A" w:rsidRPr="005F6BFA" w:rsidRDefault="0055491A" w:rsidP="0055491A">
      <w:pPr>
        <w:widowControl w:val="0"/>
        <w:autoSpaceDE w:val="0"/>
        <w:autoSpaceDN w:val="0"/>
        <w:ind w:firstLine="540"/>
        <w:jc w:val="both"/>
        <w:rPr>
          <w:sz w:val="28"/>
          <w:szCs w:val="28"/>
        </w:rPr>
      </w:pPr>
      <w:r w:rsidRPr="005F6BFA">
        <w:rPr>
          <w:sz w:val="28"/>
          <w:szCs w:val="28"/>
        </w:rPr>
        <w:t>Z</w:t>
      </w:r>
      <w:r w:rsidRPr="005F6BFA">
        <w:rPr>
          <w:sz w:val="28"/>
          <w:szCs w:val="28"/>
          <w:vertAlign w:val="superscript"/>
        </w:rPr>
        <w:t>ФССП</w:t>
      </w:r>
      <w:r w:rsidRPr="005F6BFA">
        <w:rPr>
          <w:sz w:val="28"/>
          <w:szCs w:val="28"/>
        </w:rPr>
        <w:t xml:space="preserve"> - сумма задолженности (недоимки), находящейся на принудительном взыскании в Федеральной службе судебных приставов (ведется исполнительное производство, возбужденное до 1 января отчетного года, и возбужденное исполнительное производство в отчетном году) (тыс. руб.);</w:t>
      </w:r>
    </w:p>
    <w:p w:rsidR="0055491A" w:rsidRDefault="0055491A" w:rsidP="0055491A">
      <w:pPr>
        <w:widowControl w:val="0"/>
        <w:autoSpaceDE w:val="0"/>
        <w:autoSpaceDN w:val="0"/>
        <w:ind w:firstLine="540"/>
        <w:jc w:val="both"/>
        <w:rPr>
          <w:sz w:val="28"/>
          <w:szCs w:val="28"/>
        </w:rPr>
      </w:pPr>
      <w:r w:rsidRPr="005F6BFA">
        <w:rPr>
          <w:sz w:val="28"/>
          <w:szCs w:val="28"/>
        </w:rPr>
        <w:t>R - корректирующая сумма поступлений, учитывающая отдельные решения Президента Российской Федерации, Правительства Российской Федерации, а также проекты нормативных правовых актов Президента Российской Федерации, Правительства Российской Федерации и другие факторы, влияющие на объем прогнозируемых доходов (тыс. руб.).</w:t>
      </w:r>
    </w:p>
    <w:p w:rsidR="0055491A" w:rsidRDefault="0055491A" w:rsidP="0055491A">
      <w:pPr>
        <w:tabs>
          <w:tab w:val="left" w:pos="3195"/>
        </w:tabs>
        <w:autoSpaceDE w:val="0"/>
        <w:autoSpaceDN w:val="0"/>
        <w:adjustRightInd w:val="0"/>
        <w:ind w:firstLine="709"/>
        <w:jc w:val="both"/>
        <w:rPr>
          <w:rFonts w:eastAsia="Calibri"/>
          <w:sz w:val="28"/>
          <w:szCs w:val="28"/>
          <w:lang w:eastAsia="en-US"/>
        </w:rPr>
      </w:pPr>
      <w:r>
        <w:rPr>
          <w:rFonts w:eastAsia="Calibri"/>
          <w:sz w:val="28"/>
          <w:szCs w:val="28"/>
          <w:lang w:eastAsia="en-US"/>
        </w:rPr>
        <w:t>Расчет поступлений</w:t>
      </w:r>
    </w:p>
    <w:p w:rsidR="0055491A" w:rsidRPr="006F294A" w:rsidRDefault="0055491A" w:rsidP="0055491A">
      <w:pPr>
        <w:tabs>
          <w:tab w:val="left" w:pos="3195"/>
        </w:tabs>
        <w:autoSpaceDE w:val="0"/>
        <w:autoSpaceDN w:val="0"/>
        <w:adjustRightInd w:val="0"/>
        <w:ind w:firstLine="709"/>
        <w:jc w:val="both"/>
        <w:rPr>
          <w:sz w:val="28"/>
          <w:szCs w:val="28"/>
        </w:rPr>
      </w:pPr>
      <w:r w:rsidRPr="006F294A">
        <w:rPr>
          <w:rFonts w:eastAsia="Calibri"/>
          <w:sz w:val="28"/>
          <w:szCs w:val="28"/>
          <w:lang w:eastAsia="en-US"/>
        </w:rPr>
        <w:t xml:space="preserve">Согласно данным о фактическом поступлении платежей за </w:t>
      </w:r>
      <w:r w:rsidRPr="006F294A">
        <w:rPr>
          <w:sz w:val="28"/>
          <w:szCs w:val="28"/>
        </w:rPr>
        <w:t xml:space="preserve">административные правонарушения, предусмотренные </w:t>
      </w:r>
      <w:hyperlink r:id="rId76" w:history="1">
        <w:r w:rsidRPr="006F294A">
          <w:rPr>
            <w:sz w:val="28"/>
            <w:szCs w:val="28"/>
          </w:rPr>
          <w:t xml:space="preserve">статьей 8.31 </w:t>
        </w:r>
      </w:hyperlink>
      <w:r w:rsidRPr="006F294A">
        <w:rPr>
          <w:sz w:val="28"/>
          <w:szCs w:val="28"/>
        </w:rPr>
        <w:t xml:space="preserve">КоАП РФ, </w:t>
      </w:r>
      <w:r w:rsidRPr="006F294A">
        <w:rPr>
          <w:rFonts w:eastAsia="Calibri"/>
          <w:sz w:val="28"/>
          <w:szCs w:val="28"/>
          <w:lang w:eastAsia="en-US"/>
        </w:rPr>
        <w:t xml:space="preserve">сумма платежей в 2021 г. </w:t>
      </w:r>
      <w:r w:rsidRPr="006F294A">
        <w:rPr>
          <w:sz w:val="28"/>
          <w:szCs w:val="28"/>
        </w:rPr>
        <w:t xml:space="preserve">(01.07.2021) составила 294,0 тыс. руб., количество случаев административных правонарушений </w:t>
      </w:r>
      <w:r w:rsidRPr="006F294A">
        <w:rPr>
          <w:rFonts w:eastAsia="Calibri"/>
          <w:sz w:val="28"/>
          <w:szCs w:val="28"/>
          <w:lang w:eastAsia="en-US"/>
        </w:rPr>
        <w:t>составило 16 ед.</w:t>
      </w:r>
    </w:p>
    <w:p w:rsidR="0055491A" w:rsidRPr="006F294A" w:rsidRDefault="0055491A" w:rsidP="0055491A">
      <w:pPr>
        <w:tabs>
          <w:tab w:val="left" w:pos="3195"/>
        </w:tabs>
        <w:autoSpaceDE w:val="0"/>
        <w:autoSpaceDN w:val="0"/>
        <w:adjustRightInd w:val="0"/>
        <w:ind w:firstLine="709"/>
        <w:jc w:val="both"/>
        <w:rPr>
          <w:rFonts w:eastAsia="Calibri"/>
          <w:sz w:val="28"/>
          <w:szCs w:val="28"/>
          <w:lang w:eastAsia="en-US"/>
        </w:rPr>
      </w:pPr>
      <w:r w:rsidRPr="006F294A">
        <w:rPr>
          <w:rFonts w:eastAsia="Calibri"/>
          <w:sz w:val="28"/>
          <w:szCs w:val="28"/>
          <w:lang w:eastAsia="en-US"/>
        </w:rPr>
        <w:t xml:space="preserve">Согласно данным отраслевой отчетности за 2018 – 2020 годы по форме 8-ОИП, утвержденной приказом Минприроды России от 28.12.2015 № 565, количество </w:t>
      </w:r>
      <w:r w:rsidRPr="006F294A">
        <w:rPr>
          <w:sz w:val="28"/>
          <w:szCs w:val="28"/>
        </w:rPr>
        <w:t xml:space="preserve">административных правонарушений, предусмотренных </w:t>
      </w:r>
      <w:hyperlink r:id="rId77" w:history="1">
        <w:r w:rsidRPr="006F294A">
          <w:rPr>
            <w:sz w:val="28"/>
            <w:szCs w:val="28"/>
          </w:rPr>
          <w:t>статьей 8.31</w:t>
        </w:r>
      </w:hyperlink>
      <w:r w:rsidRPr="006F294A">
        <w:rPr>
          <w:sz w:val="28"/>
          <w:szCs w:val="28"/>
        </w:rPr>
        <w:t xml:space="preserve"> КоАП РФ,</w:t>
      </w:r>
      <w:r w:rsidRPr="006F294A">
        <w:rPr>
          <w:rFonts w:eastAsia="Calibri"/>
          <w:sz w:val="28"/>
          <w:szCs w:val="28"/>
          <w:lang w:eastAsia="en-US"/>
        </w:rPr>
        <w:t xml:space="preserve"> составляет: в 2018 г. – 35 ед.; в 2019 г. – 26 ед., в 2020 г. – 38 ед.</w:t>
      </w:r>
    </w:p>
    <w:p w:rsidR="0055491A" w:rsidRPr="006F294A" w:rsidRDefault="0055491A" w:rsidP="0055491A">
      <w:pPr>
        <w:tabs>
          <w:tab w:val="left" w:pos="3195"/>
        </w:tabs>
        <w:autoSpaceDE w:val="0"/>
        <w:autoSpaceDN w:val="0"/>
        <w:adjustRightInd w:val="0"/>
        <w:ind w:firstLine="709"/>
        <w:jc w:val="both"/>
        <w:rPr>
          <w:rFonts w:eastAsia="Calibri"/>
          <w:sz w:val="28"/>
          <w:szCs w:val="28"/>
          <w:lang w:eastAsia="en-US"/>
        </w:rPr>
      </w:pPr>
      <w:r w:rsidRPr="006F294A">
        <w:rPr>
          <w:rFonts w:eastAsia="Calibri"/>
          <w:sz w:val="28"/>
          <w:szCs w:val="28"/>
          <w:lang w:eastAsia="en-US"/>
        </w:rPr>
        <w:t>Таким образом, К</w:t>
      </w:r>
      <w:r w:rsidRPr="006F294A">
        <w:rPr>
          <w:rFonts w:eastAsia="Calibri"/>
          <w:sz w:val="28"/>
          <w:szCs w:val="28"/>
          <w:vertAlign w:val="superscript"/>
          <w:lang w:eastAsia="en-US"/>
        </w:rPr>
        <w:t>ср</w:t>
      </w:r>
      <w:r w:rsidRPr="006F294A">
        <w:rPr>
          <w:rFonts w:eastAsia="Calibri"/>
          <w:sz w:val="28"/>
          <w:szCs w:val="28"/>
          <w:vertAlign w:val="subscript"/>
          <w:lang w:eastAsia="en-US"/>
        </w:rPr>
        <w:t xml:space="preserve">8.31 </w:t>
      </w:r>
      <w:r w:rsidRPr="006F294A">
        <w:rPr>
          <w:rFonts w:eastAsia="Calibri"/>
          <w:sz w:val="28"/>
          <w:szCs w:val="28"/>
          <w:lang w:eastAsia="en-US"/>
        </w:rPr>
        <w:t>= (35+26+38) / 3 = 33 ед.</w:t>
      </w:r>
    </w:p>
    <w:p w:rsidR="0055491A" w:rsidRPr="006F294A" w:rsidRDefault="0055491A" w:rsidP="0055491A">
      <w:pPr>
        <w:tabs>
          <w:tab w:val="left" w:pos="3195"/>
        </w:tabs>
        <w:autoSpaceDE w:val="0"/>
        <w:autoSpaceDN w:val="0"/>
        <w:adjustRightInd w:val="0"/>
        <w:ind w:firstLine="709"/>
        <w:jc w:val="both"/>
        <w:rPr>
          <w:sz w:val="28"/>
          <w:szCs w:val="28"/>
        </w:rPr>
      </w:pPr>
      <w:r>
        <w:rPr>
          <w:sz w:val="28"/>
          <w:szCs w:val="28"/>
        </w:rPr>
        <w:t>С</w:t>
      </w:r>
      <w:r w:rsidRPr="005F6BFA">
        <w:rPr>
          <w:sz w:val="28"/>
          <w:szCs w:val="28"/>
        </w:rPr>
        <w:t xml:space="preserve">умма платежей за нарушение правил пожарной безопасности в лесах за отчетный год </w:t>
      </w:r>
      <w:r>
        <w:rPr>
          <w:sz w:val="28"/>
          <w:szCs w:val="28"/>
        </w:rPr>
        <w:t>(</w:t>
      </w:r>
      <w:r w:rsidRPr="006F294A">
        <w:rPr>
          <w:rFonts w:eastAsia="Calibri"/>
          <w:sz w:val="28"/>
          <w:szCs w:val="28"/>
          <w:lang w:eastAsia="en-US"/>
        </w:rPr>
        <w:t>2020 г.</w:t>
      </w:r>
      <w:r>
        <w:rPr>
          <w:rFonts w:eastAsia="Calibri"/>
          <w:sz w:val="28"/>
          <w:szCs w:val="28"/>
          <w:lang w:eastAsia="en-US"/>
        </w:rPr>
        <w:t>)</w:t>
      </w:r>
      <w:r w:rsidRPr="006F294A">
        <w:rPr>
          <w:rFonts w:eastAsia="Calibri"/>
          <w:sz w:val="28"/>
          <w:szCs w:val="28"/>
          <w:lang w:eastAsia="en-US"/>
        </w:rPr>
        <w:t xml:space="preserve"> </w:t>
      </w:r>
      <w:r w:rsidRPr="006F294A">
        <w:rPr>
          <w:sz w:val="28"/>
          <w:szCs w:val="28"/>
        </w:rPr>
        <w:t xml:space="preserve">составила 335,5 тыс. руб., количество случаев административных правонарушений </w:t>
      </w:r>
      <w:r w:rsidRPr="006F294A">
        <w:rPr>
          <w:rFonts w:eastAsia="Calibri"/>
          <w:sz w:val="28"/>
          <w:szCs w:val="28"/>
          <w:lang w:eastAsia="en-US"/>
        </w:rPr>
        <w:t>составило 38 ед.</w:t>
      </w:r>
    </w:p>
    <w:p w:rsidR="0055491A" w:rsidRPr="006F294A" w:rsidRDefault="0055491A" w:rsidP="0055491A">
      <w:pPr>
        <w:tabs>
          <w:tab w:val="left" w:pos="3195"/>
        </w:tabs>
        <w:autoSpaceDE w:val="0"/>
        <w:autoSpaceDN w:val="0"/>
        <w:adjustRightInd w:val="0"/>
        <w:ind w:firstLine="709"/>
        <w:jc w:val="both"/>
        <w:rPr>
          <w:sz w:val="28"/>
          <w:szCs w:val="28"/>
        </w:rPr>
      </w:pPr>
      <w:r w:rsidRPr="006F294A">
        <w:rPr>
          <w:rFonts w:eastAsia="Calibri"/>
          <w:sz w:val="28"/>
          <w:szCs w:val="28"/>
          <w:lang w:eastAsia="en-US"/>
        </w:rPr>
        <w:t xml:space="preserve">Таким образом, </w:t>
      </w:r>
      <w:r w:rsidRPr="006F294A">
        <w:rPr>
          <w:sz w:val="28"/>
          <w:szCs w:val="28"/>
        </w:rPr>
        <w:t xml:space="preserve">средний размер штрафа по </w:t>
      </w:r>
      <w:hyperlink r:id="rId78" w:history="1">
        <w:r w:rsidRPr="006F294A">
          <w:rPr>
            <w:sz w:val="28"/>
            <w:szCs w:val="28"/>
          </w:rPr>
          <w:t>статье 8.31</w:t>
        </w:r>
      </w:hyperlink>
      <w:r w:rsidRPr="006F294A">
        <w:rPr>
          <w:sz w:val="28"/>
          <w:szCs w:val="28"/>
        </w:rPr>
        <w:t xml:space="preserve"> КоАП РФ за отчетный год (руб.): </w:t>
      </w:r>
    </w:p>
    <w:p w:rsidR="0055491A" w:rsidRPr="006F294A" w:rsidRDefault="0055491A" w:rsidP="0055491A">
      <w:pPr>
        <w:tabs>
          <w:tab w:val="left" w:pos="3195"/>
        </w:tabs>
        <w:autoSpaceDE w:val="0"/>
        <w:autoSpaceDN w:val="0"/>
        <w:adjustRightInd w:val="0"/>
        <w:ind w:firstLine="709"/>
        <w:jc w:val="both"/>
        <w:rPr>
          <w:sz w:val="28"/>
          <w:szCs w:val="28"/>
        </w:rPr>
      </w:pPr>
      <w:r w:rsidRPr="006F294A">
        <w:rPr>
          <w:rFonts w:eastAsia="Calibri"/>
          <w:sz w:val="28"/>
          <w:szCs w:val="28"/>
          <w:lang w:eastAsia="en-US"/>
        </w:rPr>
        <w:t>Р</w:t>
      </w:r>
      <w:r w:rsidRPr="006F294A">
        <w:rPr>
          <w:rFonts w:eastAsia="Calibri"/>
          <w:sz w:val="28"/>
          <w:szCs w:val="28"/>
          <w:vertAlign w:val="superscript"/>
          <w:lang w:eastAsia="en-US"/>
        </w:rPr>
        <w:t>ср</w:t>
      </w:r>
      <w:r w:rsidRPr="006F294A">
        <w:rPr>
          <w:rFonts w:eastAsia="Calibri"/>
          <w:sz w:val="28"/>
          <w:szCs w:val="28"/>
          <w:vertAlign w:val="subscript"/>
          <w:lang w:eastAsia="en-US"/>
        </w:rPr>
        <w:t xml:space="preserve">8.31 </w:t>
      </w:r>
      <w:r w:rsidRPr="006F294A">
        <w:rPr>
          <w:rFonts w:eastAsia="Calibri"/>
          <w:sz w:val="28"/>
          <w:szCs w:val="28"/>
          <w:lang w:eastAsia="en-US"/>
        </w:rPr>
        <w:t>= 335,5 / 38 = 8,8 тыс. руб.</w:t>
      </w:r>
    </w:p>
    <w:p w:rsidR="0055491A" w:rsidRPr="006F294A" w:rsidRDefault="0055491A" w:rsidP="0055491A">
      <w:pPr>
        <w:tabs>
          <w:tab w:val="left" w:pos="3195"/>
        </w:tabs>
        <w:autoSpaceDE w:val="0"/>
        <w:autoSpaceDN w:val="0"/>
        <w:adjustRightInd w:val="0"/>
        <w:ind w:firstLine="709"/>
        <w:jc w:val="both"/>
        <w:rPr>
          <w:sz w:val="28"/>
          <w:szCs w:val="28"/>
        </w:rPr>
      </w:pPr>
      <w:r w:rsidRPr="006F294A">
        <w:rPr>
          <w:sz w:val="28"/>
          <w:szCs w:val="28"/>
        </w:rPr>
        <w:t>Корректирующая сумма поступлений, учитывающая отдельные решения Президента Российской Федерации, Правительства Российской Федерации, а также проекты нормативных правовых актов Президента Российской Федерации, Правительства Российской Федерации и другие факторы, влияющие на объем прогнозируемых доходов равна нулю.</w:t>
      </w:r>
    </w:p>
    <w:p w:rsidR="0055491A" w:rsidRPr="006F294A" w:rsidRDefault="0055491A" w:rsidP="0055491A">
      <w:pPr>
        <w:tabs>
          <w:tab w:val="left" w:pos="3195"/>
        </w:tabs>
        <w:autoSpaceDE w:val="0"/>
        <w:autoSpaceDN w:val="0"/>
        <w:adjustRightInd w:val="0"/>
        <w:ind w:firstLine="709"/>
        <w:jc w:val="both"/>
        <w:rPr>
          <w:sz w:val="28"/>
          <w:szCs w:val="28"/>
        </w:rPr>
      </w:pPr>
      <w:r w:rsidRPr="006F294A">
        <w:rPr>
          <w:sz w:val="28"/>
          <w:szCs w:val="28"/>
        </w:rPr>
        <w:t>Средний объем дебиторской задолженности (недоимки), возможный к поступлению, равен нулю.</w:t>
      </w:r>
    </w:p>
    <w:p w:rsidR="0055491A" w:rsidRPr="006F294A" w:rsidRDefault="0055491A" w:rsidP="0055491A">
      <w:pPr>
        <w:tabs>
          <w:tab w:val="left" w:pos="3195"/>
        </w:tabs>
        <w:autoSpaceDE w:val="0"/>
        <w:autoSpaceDN w:val="0"/>
        <w:adjustRightInd w:val="0"/>
        <w:ind w:firstLine="709"/>
        <w:jc w:val="both"/>
        <w:rPr>
          <w:rFonts w:eastAsia="Calibri"/>
          <w:b/>
          <w:sz w:val="28"/>
          <w:szCs w:val="28"/>
          <w:lang w:eastAsia="en-US"/>
        </w:rPr>
      </w:pPr>
      <w:r w:rsidRPr="006F294A">
        <w:rPr>
          <w:rFonts w:eastAsia="Calibri"/>
          <w:b/>
          <w:sz w:val="28"/>
          <w:szCs w:val="28"/>
          <w:lang w:eastAsia="en-US"/>
        </w:rPr>
        <w:t>Определение прогноза на 2022 год:</w:t>
      </w:r>
    </w:p>
    <w:p w:rsidR="0055491A" w:rsidRPr="006F294A" w:rsidRDefault="0055491A" w:rsidP="0055491A">
      <w:pPr>
        <w:tabs>
          <w:tab w:val="left" w:pos="3195"/>
        </w:tabs>
        <w:autoSpaceDE w:val="0"/>
        <w:autoSpaceDN w:val="0"/>
        <w:adjustRightInd w:val="0"/>
        <w:ind w:firstLine="709"/>
        <w:jc w:val="both"/>
        <w:rPr>
          <w:rFonts w:eastAsia="Calibri"/>
          <w:sz w:val="28"/>
          <w:szCs w:val="28"/>
          <w:lang w:eastAsia="en-US"/>
        </w:rPr>
      </w:pPr>
      <w:r w:rsidRPr="006F294A">
        <w:rPr>
          <w:rFonts w:eastAsia="Calibri"/>
          <w:sz w:val="28"/>
          <w:szCs w:val="28"/>
          <w:lang w:eastAsia="en-US"/>
        </w:rPr>
        <w:t xml:space="preserve">Согласно данным отраслевой отчетности за 2019 – 2020 годы по форме 8-ОИП, утвержденной приказом Минприроды России от 28.12.2015 № 565, количество случаев </w:t>
      </w:r>
      <w:r w:rsidRPr="006F294A">
        <w:rPr>
          <w:sz w:val="28"/>
          <w:szCs w:val="28"/>
        </w:rPr>
        <w:t xml:space="preserve">административных правонарушений, предусмотренных </w:t>
      </w:r>
      <w:hyperlink r:id="rId79" w:history="1">
        <w:r w:rsidRPr="006F294A">
          <w:rPr>
            <w:sz w:val="28"/>
            <w:szCs w:val="28"/>
          </w:rPr>
          <w:t>статьей 8.31</w:t>
        </w:r>
      </w:hyperlink>
      <w:r w:rsidRPr="006F294A">
        <w:rPr>
          <w:sz w:val="28"/>
          <w:szCs w:val="28"/>
        </w:rPr>
        <w:t xml:space="preserve"> КоАП РФ,</w:t>
      </w:r>
      <w:r w:rsidRPr="006F294A">
        <w:rPr>
          <w:rFonts w:eastAsia="Calibri"/>
          <w:sz w:val="28"/>
          <w:szCs w:val="28"/>
          <w:lang w:eastAsia="en-US"/>
        </w:rPr>
        <w:t xml:space="preserve"> составляет: в 2019 г. – 26 ед.; в 2020 г. – 38 ед.</w:t>
      </w:r>
    </w:p>
    <w:p w:rsidR="0055491A" w:rsidRPr="006F294A" w:rsidRDefault="0055491A" w:rsidP="0055491A">
      <w:pPr>
        <w:tabs>
          <w:tab w:val="left" w:pos="3195"/>
        </w:tabs>
        <w:autoSpaceDE w:val="0"/>
        <w:autoSpaceDN w:val="0"/>
        <w:adjustRightInd w:val="0"/>
        <w:ind w:firstLine="709"/>
        <w:jc w:val="both"/>
        <w:rPr>
          <w:sz w:val="28"/>
          <w:szCs w:val="28"/>
        </w:rPr>
      </w:pPr>
      <w:r w:rsidRPr="006F294A">
        <w:rPr>
          <w:rFonts w:eastAsia="Calibri"/>
          <w:sz w:val="28"/>
          <w:szCs w:val="28"/>
          <w:lang w:eastAsia="en-US"/>
        </w:rPr>
        <w:t>При отсутствии</w:t>
      </w:r>
      <w:r w:rsidRPr="006F294A">
        <w:rPr>
          <w:sz w:val="28"/>
          <w:szCs w:val="28"/>
        </w:rPr>
        <w:t xml:space="preserve"> прогноза на очередной финансовый год</w:t>
      </w:r>
      <w:r w:rsidRPr="006F294A">
        <w:rPr>
          <w:rFonts w:eastAsia="Calibri"/>
          <w:sz w:val="28"/>
          <w:szCs w:val="28"/>
          <w:lang w:eastAsia="en-US"/>
        </w:rPr>
        <w:t xml:space="preserve"> количество случаев </w:t>
      </w:r>
      <w:r w:rsidRPr="006F294A">
        <w:rPr>
          <w:sz w:val="28"/>
          <w:szCs w:val="28"/>
        </w:rPr>
        <w:t xml:space="preserve">административных правонарушений, предусмотренных </w:t>
      </w:r>
      <w:hyperlink r:id="rId80" w:history="1">
        <w:r w:rsidRPr="006F294A">
          <w:rPr>
            <w:b/>
            <w:sz w:val="28"/>
            <w:szCs w:val="28"/>
          </w:rPr>
          <w:t>статьей 8.31</w:t>
        </w:r>
      </w:hyperlink>
      <w:r w:rsidRPr="006F294A">
        <w:rPr>
          <w:b/>
          <w:sz w:val="28"/>
          <w:szCs w:val="28"/>
        </w:rPr>
        <w:t xml:space="preserve"> КоАП РФ</w:t>
      </w:r>
      <w:r w:rsidRPr="006F294A">
        <w:rPr>
          <w:sz w:val="28"/>
          <w:szCs w:val="28"/>
        </w:rPr>
        <w:t xml:space="preserve">, в 2021 г. принимаем равное </w:t>
      </w:r>
      <w:r w:rsidRPr="006F294A">
        <w:rPr>
          <w:rFonts w:eastAsia="Calibri"/>
          <w:sz w:val="28"/>
          <w:szCs w:val="28"/>
          <w:lang w:eastAsia="en-US"/>
        </w:rPr>
        <w:t>К</w:t>
      </w:r>
      <w:r w:rsidRPr="006F294A">
        <w:rPr>
          <w:rFonts w:eastAsia="Calibri"/>
          <w:sz w:val="28"/>
          <w:szCs w:val="28"/>
          <w:vertAlign w:val="superscript"/>
          <w:lang w:eastAsia="en-US"/>
        </w:rPr>
        <w:t>ср</w:t>
      </w:r>
      <w:r w:rsidRPr="006F294A">
        <w:rPr>
          <w:rFonts w:eastAsia="Calibri"/>
          <w:sz w:val="28"/>
          <w:szCs w:val="28"/>
          <w:vertAlign w:val="subscript"/>
          <w:lang w:eastAsia="en-US"/>
        </w:rPr>
        <w:t xml:space="preserve">8.31 </w:t>
      </w:r>
      <w:r w:rsidRPr="006F294A">
        <w:rPr>
          <w:rFonts w:eastAsia="Calibri"/>
          <w:sz w:val="28"/>
          <w:szCs w:val="28"/>
          <w:lang w:eastAsia="en-US"/>
        </w:rPr>
        <w:t>= 33 ед.</w:t>
      </w:r>
    </w:p>
    <w:p w:rsidR="0055491A" w:rsidRPr="006F294A" w:rsidRDefault="0055491A" w:rsidP="0055491A">
      <w:pPr>
        <w:tabs>
          <w:tab w:val="left" w:pos="3195"/>
        </w:tabs>
        <w:autoSpaceDE w:val="0"/>
        <w:autoSpaceDN w:val="0"/>
        <w:adjustRightInd w:val="0"/>
        <w:ind w:firstLine="709"/>
        <w:jc w:val="both"/>
        <w:rPr>
          <w:rFonts w:eastAsia="Calibri"/>
          <w:sz w:val="28"/>
          <w:szCs w:val="28"/>
          <w:lang w:eastAsia="en-US"/>
        </w:rPr>
      </w:pPr>
      <w:r w:rsidRPr="006F294A">
        <w:rPr>
          <w:rFonts w:eastAsia="Calibri"/>
          <w:sz w:val="28"/>
          <w:szCs w:val="28"/>
          <w:lang w:eastAsia="en-US"/>
        </w:rPr>
        <w:t>Таким образом, К</w:t>
      </w:r>
      <w:r w:rsidRPr="006F294A">
        <w:rPr>
          <w:rFonts w:eastAsia="Calibri"/>
          <w:sz w:val="28"/>
          <w:szCs w:val="28"/>
          <w:vertAlign w:val="superscript"/>
          <w:lang w:eastAsia="en-US"/>
        </w:rPr>
        <w:t>ср2022</w:t>
      </w:r>
      <w:r w:rsidRPr="006F294A">
        <w:rPr>
          <w:rFonts w:eastAsia="Calibri"/>
          <w:sz w:val="28"/>
          <w:szCs w:val="28"/>
          <w:vertAlign w:val="subscript"/>
          <w:lang w:eastAsia="en-US"/>
        </w:rPr>
        <w:t xml:space="preserve">8.31 </w:t>
      </w:r>
      <w:r w:rsidRPr="006F294A">
        <w:rPr>
          <w:rFonts w:eastAsia="Calibri"/>
          <w:sz w:val="28"/>
          <w:szCs w:val="28"/>
          <w:lang w:eastAsia="en-US"/>
        </w:rPr>
        <w:t>= (26+38+33) / 3 = 32 (ед.)</w:t>
      </w:r>
    </w:p>
    <w:p w:rsidR="0055491A" w:rsidRPr="006F294A" w:rsidRDefault="0055491A" w:rsidP="0055491A">
      <w:pPr>
        <w:tabs>
          <w:tab w:val="left" w:pos="3195"/>
        </w:tabs>
        <w:autoSpaceDE w:val="0"/>
        <w:autoSpaceDN w:val="0"/>
        <w:adjustRightInd w:val="0"/>
        <w:ind w:firstLine="709"/>
        <w:jc w:val="both"/>
        <w:rPr>
          <w:rFonts w:eastAsia="Calibri"/>
          <w:sz w:val="28"/>
          <w:szCs w:val="28"/>
          <w:lang w:eastAsia="en-US"/>
        </w:rPr>
      </w:pPr>
      <w:r w:rsidRPr="006F294A">
        <w:rPr>
          <w:rFonts w:eastAsia="Calibri"/>
          <w:sz w:val="28"/>
          <w:szCs w:val="28"/>
          <w:lang w:eastAsia="en-US"/>
        </w:rPr>
        <w:lastRenderedPageBreak/>
        <w:t>Р</w:t>
      </w:r>
      <w:r w:rsidRPr="006F294A">
        <w:rPr>
          <w:rFonts w:eastAsia="Calibri"/>
          <w:sz w:val="28"/>
          <w:szCs w:val="28"/>
          <w:vertAlign w:val="superscript"/>
          <w:lang w:eastAsia="en-US"/>
        </w:rPr>
        <w:t>ср</w:t>
      </w:r>
      <w:r w:rsidRPr="006F294A">
        <w:rPr>
          <w:rFonts w:eastAsia="Calibri"/>
          <w:sz w:val="28"/>
          <w:szCs w:val="28"/>
          <w:vertAlign w:val="subscript"/>
          <w:lang w:eastAsia="en-US"/>
        </w:rPr>
        <w:t xml:space="preserve">8.31  </w:t>
      </w:r>
      <w:r w:rsidRPr="006F294A">
        <w:rPr>
          <w:rFonts w:eastAsia="Calibri"/>
          <w:sz w:val="28"/>
          <w:szCs w:val="28"/>
          <w:lang w:eastAsia="en-US"/>
        </w:rPr>
        <w:t>= 8,8 тыс. руб.</w:t>
      </w:r>
    </w:p>
    <w:p w:rsidR="0055491A" w:rsidRPr="006F294A" w:rsidRDefault="0055491A" w:rsidP="0055491A">
      <w:pPr>
        <w:tabs>
          <w:tab w:val="left" w:pos="3195"/>
        </w:tabs>
        <w:autoSpaceDE w:val="0"/>
        <w:autoSpaceDN w:val="0"/>
        <w:adjustRightInd w:val="0"/>
        <w:ind w:firstLine="709"/>
        <w:jc w:val="both"/>
        <w:rPr>
          <w:rFonts w:eastAsia="Calibri"/>
          <w:sz w:val="28"/>
          <w:szCs w:val="28"/>
          <w:lang w:eastAsia="en-US"/>
        </w:rPr>
      </w:pPr>
      <w:r>
        <w:rPr>
          <w:rFonts w:eastAsia="Calibri"/>
          <w:sz w:val="28"/>
          <w:szCs w:val="28"/>
          <w:lang w:eastAsia="en-US"/>
        </w:rPr>
        <w:t>П</w:t>
      </w:r>
      <w:r w:rsidRPr="006F294A">
        <w:rPr>
          <w:rFonts w:eastAsia="Calibri"/>
          <w:sz w:val="28"/>
          <w:szCs w:val="28"/>
          <w:lang w:eastAsia="en-US"/>
        </w:rPr>
        <w:t xml:space="preserve">рогноз </w:t>
      </w:r>
      <w:r w:rsidRPr="006F294A">
        <w:rPr>
          <w:rFonts w:eastAsia="Calibri"/>
          <w:b/>
          <w:sz w:val="28"/>
          <w:szCs w:val="28"/>
          <w:lang w:eastAsia="en-US"/>
        </w:rPr>
        <w:t>на 2022 год</w:t>
      </w:r>
      <w:r w:rsidRPr="006F294A">
        <w:rPr>
          <w:rFonts w:eastAsia="Calibri"/>
          <w:sz w:val="28"/>
          <w:szCs w:val="28"/>
          <w:lang w:eastAsia="en-US"/>
        </w:rPr>
        <w:t xml:space="preserve"> составит: П</w:t>
      </w:r>
      <w:r w:rsidRPr="006F294A">
        <w:rPr>
          <w:rFonts w:eastAsia="Calibri"/>
          <w:sz w:val="28"/>
          <w:szCs w:val="28"/>
          <w:vertAlign w:val="subscript"/>
          <w:lang w:eastAsia="en-US"/>
        </w:rPr>
        <w:t xml:space="preserve">8.31 </w:t>
      </w:r>
      <w:r w:rsidRPr="006F294A">
        <w:rPr>
          <w:rFonts w:eastAsia="Calibri"/>
          <w:sz w:val="28"/>
          <w:szCs w:val="28"/>
          <w:lang w:eastAsia="en-US"/>
        </w:rPr>
        <w:t xml:space="preserve">= 32 * 8,8 = </w:t>
      </w:r>
      <w:r w:rsidRPr="006F294A">
        <w:rPr>
          <w:rFonts w:eastAsia="Calibri"/>
          <w:b/>
          <w:sz w:val="28"/>
          <w:szCs w:val="28"/>
          <w:lang w:eastAsia="en-US"/>
        </w:rPr>
        <w:t>281,6</w:t>
      </w:r>
      <w:r w:rsidRPr="006F294A">
        <w:rPr>
          <w:rFonts w:eastAsia="Calibri"/>
          <w:sz w:val="28"/>
          <w:szCs w:val="28"/>
          <w:lang w:eastAsia="en-US"/>
        </w:rPr>
        <w:t xml:space="preserve"> тыс. руб. </w:t>
      </w:r>
    </w:p>
    <w:p w:rsidR="0055491A" w:rsidRPr="006F294A" w:rsidRDefault="0055491A" w:rsidP="0055491A">
      <w:pPr>
        <w:tabs>
          <w:tab w:val="left" w:pos="3195"/>
        </w:tabs>
        <w:autoSpaceDE w:val="0"/>
        <w:autoSpaceDN w:val="0"/>
        <w:adjustRightInd w:val="0"/>
        <w:ind w:firstLine="709"/>
        <w:jc w:val="both"/>
        <w:rPr>
          <w:rFonts w:eastAsia="Calibri"/>
          <w:b/>
          <w:sz w:val="28"/>
          <w:szCs w:val="28"/>
          <w:lang w:eastAsia="en-US"/>
        </w:rPr>
      </w:pPr>
      <w:r w:rsidRPr="006F294A">
        <w:rPr>
          <w:rFonts w:eastAsia="Calibri"/>
          <w:b/>
          <w:sz w:val="28"/>
          <w:szCs w:val="28"/>
          <w:lang w:eastAsia="en-US"/>
        </w:rPr>
        <w:t>Определение прогноза на 2023 год:</w:t>
      </w:r>
    </w:p>
    <w:p w:rsidR="0055491A" w:rsidRPr="006F294A" w:rsidRDefault="0055491A" w:rsidP="0055491A">
      <w:pPr>
        <w:tabs>
          <w:tab w:val="left" w:pos="3195"/>
        </w:tabs>
        <w:autoSpaceDE w:val="0"/>
        <w:autoSpaceDN w:val="0"/>
        <w:adjustRightInd w:val="0"/>
        <w:ind w:firstLine="709"/>
        <w:jc w:val="both"/>
        <w:rPr>
          <w:rFonts w:eastAsia="Calibri"/>
          <w:sz w:val="28"/>
          <w:szCs w:val="28"/>
          <w:lang w:eastAsia="en-US"/>
        </w:rPr>
      </w:pPr>
      <w:r w:rsidRPr="006F294A">
        <w:rPr>
          <w:rFonts w:eastAsia="Calibri"/>
          <w:sz w:val="28"/>
          <w:szCs w:val="28"/>
          <w:lang w:eastAsia="en-US"/>
        </w:rPr>
        <w:t xml:space="preserve">Согласно данным отраслевой отчетности за 2020 год по форме 8-ОИП, утвержденной приказом Минприроды России от 28.12.2015 № 565, количество случаев </w:t>
      </w:r>
      <w:r w:rsidRPr="006F294A">
        <w:rPr>
          <w:sz w:val="28"/>
          <w:szCs w:val="28"/>
        </w:rPr>
        <w:t xml:space="preserve">административных правонарушений, предусмотренных </w:t>
      </w:r>
      <w:hyperlink r:id="rId81" w:history="1">
        <w:r w:rsidRPr="006F294A">
          <w:rPr>
            <w:sz w:val="28"/>
            <w:szCs w:val="28"/>
          </w:rPr>
          <w:t>статьей 8.31</w:t>
        </w:r>
      </w:hyperlink>
      <w:r w:rsidRPr="006F294A">
        <w:rPr>
          <w:sz w:val="28"/>
          <w:szCs w:val="28"/>
        </w:rPr>
        <w:t xml:space="preserve"> КоАП РФ,</w:t>
      </w:r>
      <w:r w:rsidRPr="006F294A">
        <w:rPr>
          <w:rFonts w:eastAsia="Calibri"/>
          <w:sz w:val="28"/>
          <w:szCs w:val="28"/>
          <w:lang w:eastAsia="en-US"/>
        </w:rPr>
        <w:t xml:space="preserve"> составляет: в 2020 г. – 38 ед.</w:t>
      </w:r>
    </w:p>
    <w:p w:rsidR="0055491A" w:rsidRPr="006F294A" w:rsidRDefault="0055491A" w:rsidP="0055491A">
      <w:pPr>
        <w:tabs>
          <w:tab w:val="left" w:pos="3195"/>
        </w:tabs>
        <w:autoSpaceDE w:val="0"/>
        <w:autoSpaceDN w:val="0"/>
        <w:adjustRightInd w:val="0"/>
        <w:ind w:firstLine="709"/>
        <w:jc w:val="both"/>
        <w:rPr>
          <w:sz w:val="28"/>
          <w:szCs w:val="28"/>
        </w:rPr>
      </w:pPr>
      <w:r w:rsidRPr="006F294A">
        <w:rPr>
          <w:rFonts w:eastAsia="Calibri"/>
          <w:sz w:val="28"/>
          <w:szCs w:val="28"/>
          <w:lang w:eastAsia="en-US"/>
        </w:rPr>
        <w:t xml:space="preserve">Количество случаев </w:t>
      </w:r>
      <w:r w:rsidRPr="006F294A">
        <w:rPr>
          <w:sz w:val="28"/>
          <w:szCs w:val="28"/>
        </w:rPr>
        <w:t xml:space="preserve">административных правонарушений, предусмотренных </w:t>
      </w:r>
      <w:hyperlink r:id="rId82" w:history="1">
        <w:r w:rsidRPr="006F294A">
          <w:rPr>
            <w:b/>
            <w:sz w:val="28"/>
            <w:szCs w:val="28"/>
          </w:rPr>
          <w:t>статьей 8.31</w:t>
        </w:r>
      </w:hyperlink>
      <w:r w:rsidRPr="006F294A">
        <w:rPr>
          <w:b/>
          <w:sz w:val="28"/>
          <w:szCs w:val="28"/>
        </w:rPr>
        <w:t xml:space="preserve"> КоАП РФ</w:t>
      </w:r>
      <w:r w:rsidRPr="006F294A">
        <w:rPr>
          <w:sz w:val="28"/>
          <w:szCs w:val="28"/>
        </w:rPr>
        <w:t xml:space="preserve">, в 2021 г. принимаем равное </w:t>
      </w:r>
    </w:p>
    <w:p w:rsidR="0055491A" w:rsidRPr="006F294A" w:rsidRDefault="0055491A" w:rsidP="0055491A">
      <w:pPr>
        <w:tabs>
          <w:tab w:val="left" w:pos="3195"/>
        </w:tabs>
        <w:autoSpaceDE w:val="0"/>
        <w:autoSpaceDN w:val="0"/>
        <w:adjustRightInd w:val="0"/>
        <w:ind w:firstLine="709"/>
        <w:jc w:val="both"/>
        <w:rPr>
          <w:rFonts w:eastAsia="Calibri"/>
          <w:sz w:val="28"/>
          <w:szCs w:val="28"/>
          <w:lang w:eastAsia="en-US"/>
        </w:rPr>
      </w:pPr>
      <w:r w:rsidRPr="006F294A">
        <w:rPr>
          <w:rFonts w:eastAsia="Calibri"/>
          <w:sz w:val="28"/>
          <w:szCs w:val="28"/>
          <w:lang w:eastAsia="en-US"/>
        </w:rPr>
        <w:t>К</w:t>
      </w:r>
      <w:r w:rsidRPr="006F294A">
        <w:rPr>
          <w:rFonts w:eastAsia="Calibri"/>
          <w:sz w:val="28"/>
          <w:szCs w:val="28"/>
          <w:vertAlign w:val="superscript"/>
          <w:lang w:eastAsia="en-US"/>
        </w:rPr>
        <w:t>ср2021</w:t>
      </w:r>
      <w:r w:rsidRPr="006F294A">
        <w:rPr>
          <w:rFonts w:eastAsia="Calibri"/>
          <w:sz w:val="28"/>
          <w:szCs w:val="28"/>
          <w:vertAlign w:val="subscript"/>
          <w:lang w:eastAsia="en-US"/>
        </w:rPr>
        <w:t xml:space="preserve">8.31 </w:t>
      </w:r>
      <w:r w:rsidRPr="006F294A">
        <w:rPr>
          <w:rFonts w:eastAsia="Calibri"/>
          <w:sz w:val="28"/>
          <w:szCs w:val="28"/>
          <w:lang w:eastAsia="en-US"/>
        </w:rPr>
        <w:t>= 33 ед.</w:t>
      </w:r>
    </w:p>
    <w:p w:rsidR="0055491A" w:rsidRPr="006F294A" w:rsidRDefault="0055491A" w:rsidP="0055491A">
      <w:pPr>
        <w:tabs>
          <w:tab w:val="left" w:pos="3195"/>
        </w:tabs>
        <w:autoSpaceDE w:val="0"/>
        <w:autoSpaceDN w:val="0"/>
        <w:adjustRightInd w:val="0"/>
        <w:ind w:firstLine="709"/>
        <w:jc w:val="both"/>
        <w:rPr>
          <w:sz w:val="28"/>
          <w:szCs w:val="28"/>
        </w:rPr>
      </w:pPr>
      <w:r w:rsidRPr="006F294A">
        <w:rPr>
          <w:rFonts w:eastAsia="Calibri"/>
          <w:sz w:val="28"/>
          <w:szCs w:val="28"/>
          <w:lang w:eastAsia="en-US"/>
        </w:rPr>
        <w:t xml:space="preserve">Количество случаев </w:t>
      </w:r>
      <w:r w:rsidRPr="006F294A">
        <w:rPr>
          <w:sz w:val="28"/>
          <w:szCs w:val="28"/>
        </w:rPr>
        <w:t xml:space="preserve">административных правонарушений, предусмотренных </w:t>
      </w:r>
      <w:hyperlink r:id="rId83" w:history="1">
        <w:r w:rsidRPr="006F294A">
          <w:rPr>
            <w:b/>
            <w:sz w:val="28"/>
            <w:szCs w:val="28"/>
          </w:rPr>
          <w:t>статьей 8.31</w:t>
        </w:r>
      </w:hyperlink>
      <w:r w:rsidRPr="006F294A">
        <w:rPr>
          <w:b/>
          <w:sz w:val="28"/>
          <w:szCs w:val="28"/>
        </w:rPr>
        <w:t xml:space="preserve"> КоАП РФ</w:t>
      </w:r>
      <w:r w:rsidRPr="006F294A">
        <w:rPr>
          <w:sz w:val="28"/>
          <w:szCs w:val="28"/>
        </w:rPr>
        <w:t xml:space="preserve">, в 2022 г. принимаем равное </w:t>
      </w:r>
    </w:p>
    <w:p w:rsidR="0055491A" w:rsidRPr="006F294A" w:rsidRDefault="0055491A" w:rsidP="0055491A">
      <w:pPr>
        <w:tabs>
          <w:tab w:val="left" w:pos="3195"/>
        </w:tabs>
        <w:autoSpaceDE w:val="0"/>
        <w:autoSpaceDN w:val="0"/>
        <w:adjustRightInd w:val="0"/>
        <w:ind w:firstLine="709"/>
        <w:jc w:val="both"/>
        <w:rPr>
          <w:rFonts w:eastAsia="Calibri"/>
          <w:sz w:val="28"/>
          <w:szCs w:val="28"/>
          <w:lang w:eastAsia="en-US"/>
        </w:rPr>
      </w:pPr>
      <w:r w:rsidRPr="006F294A">
        <w:rPr>
          <w:rFonts w:eastAsia="Calibri"/>
          <w:sz w:val="28"/>
          <w:szCs w:val="28"/>
          <w:lang w:eastAsia="en-US"/>
        </w:rPr>
        <w:t>К</w:t>
      </w:r>
      <w:r w:rsidRPr="006F294A">
        <w:rPr>
          <w:rFonts w:eastAsia="Calibri"/>
          <w:sz w:val="28"/>
          <w:szCs w:val="28"/>
          <w:vertAlign w:val="superscript"/>
          <w:lang w:eastAsia="en-US"/>
        </w:rPr>
        <w:t>ср2022</w:t>
      </w:r>
      <w:r w:rsidRPr="006F294A">
        <w:rPr>
          <w:rFonts w:eastAsia="Calibri"/>
          <w:sz w:val="28"/>
          <w:szCs w:val="28"/>
          <w:vertAlign w:val="subscript"/>
          <w:lang w:eastAsia="en-US"/>
        </w:rPr>
        <w:t xml:space="preserve">8.31 </w:t>
      </w:r>
      <w:r w:rsidRPr="006F294A">
        <w:rPr>
          <w:rFonts w:eastAsia="Calibri"/>
          <w:sz w:val="28"/>
          <w:szCs w:val="28"/>
          <w:lang w:eastAsia="en-US"/>
        </w:rPr>
        <w:t>= 32 ед.</w:t>
      </w:r>
    </w:p>
    <w:p w:rsidR="0055491A" w:rsidRPr="006F294A" w:rsidRDefault="0055491A" w:rsidP="0055491A">
      <w:pPr>
        <w:tabs>
          <w:tab w:val="left" w:pos="3195"/>
        </w:tabs>
        <w:autoSpaceDE w:val="0"/>
        <w:autoSpaceDN w:val="0"/>
        <w:adjustRightInd w:val="0"/>
        <w:ind w:firstLine="709"/>
        <w:jc w:val="both"/>
        <w:rPr>
          <w:rFonts w:eastAsia="Calibri"/>
          <w:sz w:val="28"/>
          <w:szCs w:val="28"/>
          <w:lang w:eastAsia="en-US"/>
        </w:rPr>
      </w:pPr>
      <w:r w:rsidRPr="006F294A">
        <w:rPr>
          <w:rFonts w:eastAsia="Calibri"/>
          <w:sz w:val="28"/>
          <w:szCs w:val="28"/>
          <w:lang w:eastAsia="en-US"/>
        </w:rPr>
        <w:t>Таким образом, К</w:t>
      </w:r>
      <w:r w:rsidRPr="006F294A">
        <w:rPr>
          <w:rFonts w:eastAsia="Calibri"/>
          <w:sz w:val="28"/>
          <w:szCs w:val="28"/>
          <w:vertAlign w:val="superscript"/>
          <w:lang w:eastAsia="en-US"/>
        </w:rPr>
        <w:t>ср2022</w:t>
      </w:r>
      <w:r w:rsidRPr="006F294A">
        <w:rPr>
          <w:rFonts w:eastAsia="Calibri"/>
          <w:sz w:val="28"/>
          <w:szCs w:val="28"/>
          <w:vertAlign w:val="subscript"/>
          <w:lang w:eastAsia="en-US"/>
        </w:rPr>
        <w:t xml:space="preserve">8.31 </w:t>
      </w:r>
      <w:r w:rsidRPr="006F294A">
        <w:rPr>
          <w:rFonts w:eastAsia="Calibri"/>
          <w:sz w:val="28"/>
          <w:szCs w:val="28"/>
          <w:lang w:eastAsia="en-US"/>
        </w:rPr>
        <w:t>= (38+33+32) / 3 = 34 (ед.)</w:t>
      </w:r>
    </w:p>
    <w:p w:rsidR="0055491A" w:rsidRPr="006F294A" w:rsidRDefault="0055491A" w:rsidP="0055491A">
      <w:pPr>
        <w:tabs>
          <w:tab w:val="left" w:pos="3195"/>
        </w:tabs>
        <w:autoSpaceDE w:val="0"/>
        <w:autoSpaceDN w:val="0"/>
        <w:adjustRightInd w:val="0"/>
        <w:ind w:firstLine="709"/>
        <w:jc w:val="both"/>
        <w:rPr>
          <w:rFonts w:eastAsia="Calibri"/>
          <w:sz w:val="28"/>
          <w:szCs w:val="28"/>
          <w:lang w:eastAsia="en-US"/>
        </w:rPr>
      </w:pPr>
      <w:r w:rsidRPr="006F294A">
        <w:rPr>
          <w:rFonts w:eastAsia="Calibri"/>
          <w:sz w:val="28"/>
          <w:szCs w:val="28"/>
          <w:lang w:eastAsia="en-US"/>
        </w:rPr>
        <w:t>Р</w:t>
      </w:r>
      <w:r w:rsidRPr="006F294A">
        <w:rPr>
          <w:rFonts w:eastAsia="Calibri"/>
          <w:sz w:val="28"/>
          <w:szCs w:val="28"/>
          <w:vertAlign w:val="superscript"/>
          <w:lang w:eastAsia="en-US"/>
        </w:rPr>
        <w:t>ср</w:t>
      </w:r>
      <w:r w:rsidRPr="006F294A">
        <w:rPr>
          <w:rFonts w:eastAsia="Calibri"/>
          <w:sz w:val="28"/>
          <w:szCs w:val="28"/>
          <w:vertAlign w:val="subscript"/>
          <w:lang w:eastAsia="en-US"/>
        </w:rPr>
        <w:t xml:space="preserve">8.31 </w:t>
      </w:r>
      <w:r w:rsidRPr="006F294A">
        <w:rPr>
          <w:rFonts w:eastAsia="Calibri"/>
          <w:sz w:val="28"/>
          <w:szCs w:val="28"/>
          <w:lang w:eastAsia="en-US"/>
        </w:rPr>
        <w:t>= 8,8 тыс. руб.</w:t>
      </w:r>
    </w:p>
    <w:p w:rsidR="0055491A" w:rsidRPr="006F294A" w:rsidRDefault="0055491A" w:rsidP="0055491A">
      <w:pPr>
        <w:tabs>
          <w:tab w:val="left" w:pos="3195"/>
        </w:tabs>
        <w:autoSpaceDE w:val="0"/>
        <w:autoSpaceDN w:val="0"/>
        <w:adjustRightInd w:val="0"/>
        <w:ind w:firstLine="709"/>
        <w:jc w:val="both"/>
        <w:rPr>
          <w:rFonts w:eastAsia="Calibri"/>
          <w:sz w:val="28"/>
          <w:szCs w:val="28"/>
          <w:lang w:eastAsia="en-US"/>
        </w:rPr>
      </w:pPr>
      <w:r w:rsidRPr="006F294A">
        <w:rPr>
          <w:rFonts w:eastAsia="Calibri"/>
          <w:sz w:val="28"/>
          <w:szCs w:val="28"/>
          <w:lang w:eastAsia="en-US"/>
        </w:rPr>
        <w:t xml:space="preserve">Ожидаемый прогноз </w:t>
      </w:r>
      <w:r w:rsidRPr="006F294A">
        <w:rPr>
          <w:rFonts w:eastAsia="Calibri"/>
          <w:b/>
          <w:sz w:val="28"/>
          <w:szCs w:val="28"/>
          <w:lang w:eastAsia="en-US"/>
        </w:rPr>
        <w:t>на 2023 год</w:t>
      </w:r>
      <w:r w:rsidRPr="006F294A">
        <w:rPr>
          <w:rFonts w:eastAsia="Calibri"/>
          <w:sz w:val="28"/>
          <w:szCs w:val="28"/>
          <w:lang w:eastAsia="en-US"/>
        </w:rPr>
        <w:t xml:space="preserve"> составит: </w:t>
      </w:r>
    </w:p>
    <w:p w:rsidR="0055491A" w:rsidRPr="006F294A" w:rsidRDefault="0055491A" w:rsidP="0055491A">
      <w:pPr>
        <w:tabs>
          <w:tab w:val="left" w:pos="3195"/>
        </w:tabs>
        <w:autoSpaceDE w:val="0"/>
        <w:autoSpaceDN w:val="0"/>
        <w:adjustRightInd w:val="0"/>
        <w:ind w:firstLine="709"/>
        <w:jc w:val="both"/>
        <w:rPr>
          <w:rFonts w:eastAsia="Calibri"/>
          <w:sz w:val="28"/>
          <w:szCs w:val="28"/>
          <w:lang w:eastAsia="en-US"/>
        </w:rPr>
      </w:pPr>
      <w:r w:rsidRPr="006F294A">
        <w:rPr>
          <w:rFonts w:eastAsia="Calibri"/>
          <w:sz w:val="28"/>
          <w:szCs w:val="28"/>
          <w:lang w:eastAsia="en-US"/>
        </w:rPr>
        <w:t>П</w:t>
      </w:r>
      <w:r w:rsidRPr="006F294A">
        <w:rPr>
          <w:rFonts w:eastAsia="Calibri"/>
          <w:sz w:val="28"/>
          <w:szCs w:val="28"/>
          <w:vertAlign w:val="subscript"/>
          <w:lang w:eastAsia="en-US"/>
        </w:rPr>
        <w:t xml:space="preserve">8.31 </w:t>
      </w:r>
      <w:r w:rsidRPr="006F294A">
        <w:rPr>
          <w:rFonts w:eastAsia="Calibri"/>
          <w:sz w:val="28"/>
          <w:szCs w:val="28"/>
          <w:lang w:eastAsia="en-US"/>
        </w:rPr>
        <w:t xml:space="preserve">= 34 * 8,8 = </w:t>
      </w:r>
      <w:r w:rsidRPr="006F294A">
        <w:rPr>
          <w:rFonts w:eastAsia="Calibri"/>
          <w:b/>
          <w:sz w:val="28"/>
          <w:szCs w:val="28"/>
          <w:lang w:eastAsia="en-US"/>
        </w:rPr>
        <w:t>299,2</w:t>
      </w:r>
      <w:r w:rsidRPr="006F294A">
        <w:rPr>
          <w:rFonts w:eastAsia="Calibri"/>
          <w:sz w:val="28"/>
          <w:szCs w:val="28"/>
          <w:lang w:eastAsia="en-US"/>
        </w:rPr>
        <w:t xml:space="preserve"> тыс. руб. </w:t>
      </w:r>
    </w:p>
    <w:p w:rsidR="0055491A" w:rsidRPr="006F294A" w:rsidRDefault="0055491A" w:rsidP="0055491A">
      <w:pPr>
        <w:tabs>
          <w:tab w:val="left" w:pos="3195"/>
        </w:tabs>
        <w:autoSpaceDE w:val="0"/>
        <w:autoSpaceDN w:val="0"/>
        <w:adjustRightInd w:val="0"/>
        <w:ind w:firstLine="709"/>
        <w:jc w:val="both"/>
        <w:rPr>
          <w:rFonts w:eastAsia="Calibri"/>
          <w:b/>
          <w:sz w:val="28"/>
          <w:szCs w:val="28"/>
          <w:lang w:eastAsia="en-US"/>
        </w:rPr>
      </w:pPr>
      <w:r w:rsidRPr="006F294A">
        <w:rPr>
          <w:rFonts w:eastAsia="Calibri"/>
          <w:b/>
          <w:sz w:val="28"/>
          <w:szCs w:val="28"/>
          <w:lang w:eastAsia="en-US"/>
        </w:rPr>
        <w:t>Определение прогноза на 2024 год:</w:t>
      </w:r>
    </w:p>
    <w:p w:rsidR="0055491A" w:rsidRPr="006F294A" w:rsidRDefault="0055491A" w:rsidP="0055491A">
      <w:pPr>
        <w:tabs>
          <w:tab w:val="left" w:pos="3195"/>
        </w:tabs>
        <w:autoSpaceDE w:val="0"/>
        <w:autoSpaceDN w:val="0"/>
        <w:adjustRightInd w:val="0"/>
        <w:ind w:firstLine="709"/>
        <w:jc w:val="both"/>
        <w:rPr>
          <w:rFonts w:eastAsia="Calibri"/>
          <w:sz w:val="28"/>
          <w:szCs w:val="28"/>
          <w:lang w:eastAsia="en-US"/>
        </w:rPr>
      </w:pPr>
      <w:r w:rsidRPr="006F294A">
        <w:rPr>
          <w:rFonts w:eastAsia="Calibri"/>
          <w:sz w:val="28"/>
          <w:szCs w:val="28"/>
          <w:lang w:eastAsia="en-US"/>
        </w:rPr>
        <w:t>Согласно методике</w:t>
      </w:r>
      <w:r w:rsidRPr="006F294A">
        <w:rPr>
          <w:sz w:val="28"/>
          <w:szCs w:val="28"/>
        </w:rPr>
        <w:t xml:space="preserve"> прогнозирования поступлений доходов</w:t>
      </w:r>
      <w:r w:rsidRPr="006F294A">
        <w:rPr>
          <w:rFonts w:eastAsia="Calibri"/>
          <w:sz w:val="28"/>
          <w:szCs w:val="28"/>
          <w:lang w:eastAsia="en-US"/>
        </w:rPr>
        <w:t>, п</w:t>
      </w:r>
      <w:r w:rsidRPr="006F294A">
        <w:rPr>
          <w:sz w:val="28"/>
          <w:szCs w:val="28"/>
        </w:rPr>
        <w:t xml:space="preserve">рогноз на второй год планового периода принимается на уровне прогноза первого года планового периода. </w:t>
      </w:r>
      <w:r w:rsidRPr="006F294A">
        <w:rPr>
          <w:rFonts w:eastAsia="Calibri"/>
          <w:sz w:val="28"/>
          <w:szCs w:val="28"/>
          <w:lang w:eastAsia="en-US"/>
        </w:rPr>
        <w:t>Прогноз на 2023 год составляет 299,2 тыс. руб.</w:t>
      </w:r>
    </w:p>
    <w:p w:rsidR="0055491A" w:rsidRPr="00EA1FFC" w:rsidRDefault="0055491A" w:rsidP="0055491A">
      <w:pPr>
        <w:widowControl w:val="0"/>
        <w:autoSpaceDE w:val="0"/>
        <w:autoSpaceDN w:val="0"/>
        <w:ind w:firstLine="540"/>
        <w:jc w:val="both"/>
        <w:rPr>
          <w:sz w:val="28"/>
          <w:szCs w:val="28"/>
        </w:rPr>
      </w:pPr>
      <w:r w:rsidRPr="006F294A">
        <w:rPr>
          <w:sz w:val="28"/>
          <w:szCs w:val="28"/>
        </w:rPr>
        <w:t xml:space="preserve">Таким образом, </w:t>
      </w:r>
      <w:r w:rsidRPr="006F294A">
        <w:rPr>
          <w:rFonts w:eastAsia="Calibri"/>
          <w:sz w:val="28"/>
          <w:szCs w:val="28"/>
          <w:lang w:eastAsia="en-US"/>
        </w:rPr>
        <w:t xml:space="preserve">прогноз на </w:t>
      </w:r>
      <w:r w:rsidRPr="006F294A">
        <w:rPr>
          <w:rFonts w:eastAsia="Calibri"/>
          <w:b/>
          <w:sz w:val="28"/>
          <w:szCs w:val="28"/>
          <w:lang w:eastAsia="en-US"/>
        </w:rPr>
        <w:t>2024 год</w:t>
      </w:r>
      <w:r w:rsidRPr="006F294A">
        <w:rPr>
          <w:rFonts w:eastAsia="Calibri"/>
          <w:sz w:val="28"/>
          <w:szCs w:val="28"/>
          <w:lang w:eastAsia="en-US"/>
        </w:rPr>
        <w:t xml:space="preserve"> составляет </w:t>
      </w:r>
      <w:r w:rsidRPr="006F294A">
        <w:rPr>
          <w:rFonts w:eastAsia="Calibri"/>
          <w:b/>
          <w:sz w:val="28"/>
          <w:szCs w:val="28"/>
          <w:lang w:eastAsia="en-US"/>
        </w:rPr>
        <w:t>299,2</w:t>
      </w:r>
      <w:r w:rsidRPr="006F294A">
        <w:rPr>
          <w:rFonts w:eastAsia="Calibri"/>
          <w:sz w:val="28"/>
          <w:szCs w:val="28"/>
          <w:lang w:eastAsia="en-US"/>
        </w:rPr>
        <w:t xml:space="preserve"> тыс.</w:t>
      </w:r>
    </w:p>
    <w:p w:rsidR="0055491A" w:rsidRDefault="0055491A" w:rsidP="0055491A">
      <w:pPr>
        <w:shd w:val="clear" w:color="auto" w:fill="FFFFFF"/>
        <w:ind w:firstLine="708"/>
        <w:jc w:val="both"/>
        <w:rPr>
          <w:rFonts w:eastAsia="Calibri"/>
          <w:b/>
          <w:sz w:val="28"/>
          <w:szCs w:val="28"/>
          <w:lang w:eastAsia="en-US"/>
        </w:rPr>
      </w:pPr>
      <w:r w:rsidRPr="00630FC0">
        <w:rPr>
          <w:rFonts w:eastAsia="Calibri"/>
          <w:i/>
          <w:sz w:val="28"/>
          <w:szCs w:val="28"/>
          <w:lang w:eastAsia="en-US"/>
        </w:rPr>
        <w:t>4.3.</w:t>
      </w:r>
      <w:r>
        <w:rPr>
          <w:rFonts w:eastAsia="Calibri"/>
          <w:i/>
          <w:sz w:val="28"/>
          <w:szCs w:val="28"/>
          <w:lang w:eastAsia="en-US"/>
        </w:rPr>
        <w:t>3</w:t>
      </w:r>
      <w:r w:rsidRPr="00630FC0">
        <w:rPr>
          <w:rFonts w:eastAsia="Calibri"/>
          <w:i/>
          <w:sz w:val="28"/>
          <w:szCs w:val="28"/>
          <w:lang w:eastAsia="en-US"/>
        </w:rPr>
        <w:t xml:space="preserve">. </w:t>
      </w:r>
      <w:r>
        <w:rPr>
          <w:rFonts w:eastAsia="Calibri"/>
          <w:i/>
          <w:sz w:val="28"/>
          <w:szCs w:val="28"/>
          <w:lang w:eastAsia="en-US"/>
        </w:rPr>
        <w:t>ш</w:t>
      </w:r>
      <w:r w:rsidRPr="00630FC0">
        <w:rPr>
          <w:rFonts w:eastAsia="Calibri"/>
          <w:i/>
          <w:sz w:val="28"/>
          <w:szCs w:val="28"/>
          <w:lang w:eastAsia="en-US"/>
        </w:rPr>
        <w:t xml:space="preserve">трафы за нарушение правил пожарной безопасности в лесах  </w:t>
      </w:r>
      <w:r w:rsidRPr="005F6BFA">
        <w:rPr>
          <w:sz w:val="28"/>
          <w:szCs w:val="28"/>
        </w:rPr>
        <w:t>Основаниями для прогнозирования данного вида доходов являются:</w:t>
      </w:r>
    </w:p>
    <w:p w:rsidR="0055491A" w:rsidRDefault="003502D8" w:rsidP="0055491A">
      <w:pPr>
        <w:shd w:val="clear" w:color="auto" w:fill="FFFFFF"/>
        <w:ind w:firstLine="708"/>
        <w:jc w:val="both"/>
        <w:rPr>
          <w:rFonts w:eastAsia="Calibri"/>
          <w:b/>
          <w:sz w:val="28"/>
          <w:szCs w:val="28"/>
          <w:lang w:eastAsia="en-US"/>
        </w:rPr>
      </w:pPr>
      <w:hyperlink r:id="rId84" w:history="1">
        <w:r w:rsidR="0055491A" w:rsidRPr="005F6BFA">
          <w:rPr>
            <w:sz w:val="28"/>
            <w:szCs w:val="28"/>
          </w:rPr>
          <w:t>статья 38</w:t>
        </w:r>
      </w:hyperlink>
      <w:r w:rsidR="0055491A" w:rsidRPr="005F6BFA">
        <w:rPr>
          <w:sz w:val="28"/>
          <w:szCs w:val="28"/>
        </w:rPr>
        <w:t xml:space="preserve"> Федерального закона от 21.12.1994 </w:t>
      </w:r>
      <w:r w:rsidR="0055491A">
        <w:rPr>
          <w:sz w:val="28"/>
          <w:szCs w:val="28"/>
        </w:rPr>
        <w:t>№ 69-ФЗ «О пожарной безопасности»</w:t>
      </w:r>
      <w:r w:rsidR="0055491A" w:rsidRPr="005F6BFA">
        <w:rPr>
          <w:sz w:val="28"/>
          <w:szCs w:val="28"/>
        </w:rPr>
        <w:t>;</w:t>
      </w:r>
    </w:p>
    <w:p w:rsidR="0055491A" w:rsidRDefault="003502D8" w:rsidP="0055491A">
      <w:pPr>
        <w:shd w:val="clear" w:color="auto" w:fill="FFFFFF"/>
        <w:ind w:firstLine="708"/>
        <w:jc w:val="both"/>
        <w:rPr>
          <w:rFonts w:eastAsia="Calibri"/>
          <w:b/>
          <w:sz w:val="28"/>
          <w:szCs w:val="28"/>
          <w:lang w:eastAsia="en-US"/>
        </w:rPr>
      </w:pPr>
      <w:hyperlink r:id="rId85" w:history="1">
        <w:r w:rsidR="0055491A" w:rsidRPr="005F6BFA">
          <w:rPr>
            <w:sz w:val="28"/>
            <w:szCs w:val="28"/>
          </w:rPr>
          <w:t>статья 46</w:t>
        </w:r>
      </w:hyperlink>
      <w:r w:rsidR="0055491A" w:rsidRPr="005F6BFA">
        <w:rPr>
          <w:sz w:val="28"/>
          <w:szCs w:val="28"/>
        </w:rPr>
        <w:t xml:space="preserve"> Бюджетного кодекса Российской Федерации, </w:t>
      </w:r>
      <w:hyperlink r:id="rId86" w:history="1">
        <w:r w:rsidR="0055491A" w:rsidRPr="005F6BFA">
          <w:rPr>
            <w:sz w:val="28"/>
            <w:szCs w:val="28"/>
          </w:rPr>
          <w:t>статья 8.32</w:t>
        </w:r>
      </w:hyperlink>
      <w:r w:rsidR="0055491A" w:rsidRPr="005F6BFA">
        <w:rPr>
          <w:sz w:val="28"/>
          <w:szCs w:val="28"/>
        </w:rPr>
        <w:t xml:space="preserve"> КоАП</w:t>
      </w:r>
      <w:r w:rsidR="0055491A">
        <w:rPr>
          <w:sz w:val="28"/>
          <w:szCs w:val="28"/>
        </w:rPr>
        <w:t xml:space="preserve"> РФ</w:t>
      </w:r>
      <w:r w:rsidR="0055491A" w:rsidRPr="005F6BFA">
        <w:rPr>
          <w:sz w:val="28"/>
          <w:szCs w:val="28"/>
        </w:rPr>
        <w:t>.</w:t>
      </w:r>
    </w:p>
    <w:p w:rsidR="0055491A" w:rsidRPr="00EA1FFC" w:rsidRDefault="0055491A" w:rsidP="0055491A">
      <w:pPr>
        <w:shd w:val="clear" w:color="auto" w:fill="FFFFFF"/>
        <w:ind w:firstLine="708"/>
        <w:jc w:val="both"/>
        <w:rPr>
          <w:rFonts w:eastAsia="Calibri"/>
          <w:b/>
          <w:sz w:val="28"/>
          <w:szCs w:val="28"/>
          <w:lang w:eastAsia="en-US"/>
        </w:rPr>
      </w:pPr>
      <w:r w:rsidRPr="005F6BFA">
        <w:rPr>
          <w:sz w:val="28"/>
          <w:szCs w:val="28"/>
        </w:rPr>
        <w:t>Прогноз данного вида доходов определяется по формуле:</w:t>
      </w:r>
    </w:p>
    <w:p w:rsidR="0055491A" w:rsidRPr="005F6BFA" w:rsidRDefault="0055491A" w:rsidP="0055491A">
      <w:pPr>
        <w:widowControl w:val="0"/>
        <w:autoSpaceDE w:val="0"/>
        <w:autoSpaceDN w:val="0"/>
        <w:jc w:val="center"/>
        <w:rPr>
          <w:sz w:val="28"/>
          <w:szCs w:val="28"/>
        </w:rPr>
      </w:pPr>
      <w:r w:rsidRPr="005F6BFA">
        <w:rPr>
          <w:sz w:val="28"/>
          <w:szCs w:val="28"/>
        </w:rPr>
        <w:t>П</w:t>
      </w:r>
      <w:r w:rsidRPr="005F6BFA">
        <w:rPr>
          <w:sz w:val="28"/>
          <w:szCs w:val="28"/>
          <w:vertAlign w:val="subscript"/>
        </w:rPr>
        <w:t>наруш. правил пож. без.</w:t>
      </w:r>
      <w:r w:rsidRPr="005F6BFA">
        <w:rPr>
          <w:sz w:val="28"/>
          <w:szCs w:val="28"/>
        </w:rPr>
        <w:t xml:space="preserve"> = К</w:t>
      </w:r>
      <w:r w:rsidRPr="005F6BFA">
        <w:rPr>
          <w:sz w:val="28"/>
          <w:szCs w:val="28"/>
          <w:vertAlign w:val="superscript"/>
        </w:rPr>
        <w:t>ср</w:t>
      </w:r>
      <w:r w:rsidRPr="005F6BFA">
        <w:rPr>
          <w:sz w:val="28"/>
          <w:szCs w:val="28"/>
          <w:vertAlign w:val="subscript"/>
        </w:rPr>
        <w:t>пож. без.</w:t>
      </w:r>
      <w:r>
        <w:rPr>
          <w:sz w:val="28"/>
          <w:szCs w:val="28"/>
        </w:rPr>
        <w:t xml:space="preserve"> </w:t>
      </w:r>
      <w:r w:rsidRPr="005F6BFA">
        <w:rPr>
          <w:sz w:val="28"/>
          <w:szCs w:val="28"/>
        </w:rPr>
        <w:t>* Р</w:t>
      </w:r>
      <w:r w:rsidRPr="005F6BFA">
        <w:rPr>
          <w:sz w:val="28"/>
          <w:szCs w:val="28"/>
          <w:vertAlign w:val="superscript"/>
        </w:rPr>
        <w:t>ср</w:t>
      </w:r>
      <w:r w:rsidRPr="005F6BFA">
        <w:rPr>
          <w:sz w:val="28"/>
          <w:szCs w:val="28"/>
          <w:vertAlign w:val="subscript"/>
        </w:rPr>
        <w:t>пож. без.</w:t>
      </w:r>
      <w:r w:rsidRPr="005F6BFA">
        <w:rPr>
          <w:sz w:val="28"/>
          <w:szCs w:val="28"/>
        </w:rPr>
        <w:t xml:space="preserve"> + Z</w:t>
      </w:r>
      <w:r w:rsidRPr="005F6BFA">
        <w:rPr>
          <w:sz w:val="28"/>
          <w:szCs w:val="28"/>
          <w:vertAlign w:val="superscript"/>
        </w:rPr>
        <w:t>ср</w:t>
      </w:r>
      <w:r w:rsidRPr="005F6BFA">
        <w:rPr>
          <w:sz w:val="28"/>
          <w:szCs w:val="28"/>
        </w:rPr>
        <w:t xml:space="preserve"> +/- R,</w:t>
      </w:r>
    </w:p>
    <w:p w:rsidR="0055491A" w:rsidRPr="005F6BFA" w:rsidRDefault="0055491A" w:rsidP="0055491A">
      <w:pPr>
        <w:widowControl w:val="0"/>
        <w:autoSpaceDE w:val="0"/>
        <w:autoSpaceDN w:val="0"/>
        <w:ind w:firstLine="540"/>
        <w:jc w:val="both"/>
        <w:rPr>
          <w:sz w:val="28"/>
          <w:szCs w:val="28"/>
        </w:rPr>
      </w:pPr>
      <w:r w:rsidRPr="005F6BFA">
        <w:rPr>
          <w:sz w:val="28"/>
          <w:szCs w:val="28"/>
        </w:rPr>
        <w:t>где:</w:t>
      </w:r>
    </w:p>
    <w:p w:rsidR="0055491A" w:rsidRPr="005F6BFA" w:rsidRDefault="0055491A" w:rsidP="0055491A">
      <w:pPr>
        <w:widowControl w:val="0"/>
        <w:autoSpaceDE w:val="0"/>
        <w:autoSpaceDN w:val="0"/>
        <w:ind w:firstLine="540"/>
        <w:jc w:val="both"/>
        <w:rPr>
          <w:sz w:val="28"/>
          <w:szCs w:val="28"/>
        </w:rPr>
      </w:pPr>
      <w:r w:rsidRPr="005F6BFA">
        <w:rPr>
          <w:sz w:val="28"/>
          <w:szCs w:val="28"/>
        </w:rPr>
        <w:t>К</w:t>
      </w:r>
      <w:r w:rsidRPr="005F6BFA">
        <w:rPr>
          <w:sz w:val="28"/>
          <w:szCs w:val="28"/>
          <w:vertAlign w:val="superscript"/>
        </w:rPr>
        <w:t>ср</w:t>
      </w:r>
      <w:r w:rsidRPr="005F6BFA">
        <w:rPr>
          <w:sz w:val="28"/>
          <w:szCs w:val="28"/>
          <w:vertAlign w:val="subscript"/>
        </w:rPr>
        <w:t>пож. без.</w:t>
      </w:r>
      <w:r w:rsidRPr="005F6BFA">
        <w:rPr>
          <w:sz w:val="28"/>
          <w:szCs w:val="28"/>
        </w:rPr>
        <w:t xml:space="preserve"> - среднее количество случаев нарушения правил пожарной безопасности в лесах) (ед.), рассчитывается с применением метода скользящей средней по формуле:</w:t>
      </w:r>
    </w:p>
    <w:p w:rsidR="0055491A" w:rsidRPr="005F6BFA" w:rsidRDefault="0055491A" w:rsidP="0055491A">
      <w:pPr>
        <w:widowControl w:val="0"/>
        <w:autoSpaceDE w:val="0"/>
        <w:autoSpaceDN w:val="0"/>
        <w:jc w:val="center"/>
        <w:rPr>
          <w:sz w:val="28"/>
          <w:szCs w:val="28"/>
        </w:rPr>
      </w:pPr>
      <w:r w:rsidRPr="005F6BFA">
        <w:rPr>
          <w:noProof/>
          <w:position w:val="-41"/>
          <w:sz w:val="28"/>
          <w:szCs w:val="28"/>
        </w:rPr>
        <w:drawing>
          <wp:inline distT="0" distB="0" distL="0" distR="0" wp14:anchorId="13601CD4" wp14:editId="693E9EB9">
            <wp:extent cx="1647825" cy="669925"/>
            <wp:effectExtent l="0" t="0" r="9525" b="0"/>
            <wp:docPr id="24363" name="Рисунок 24363" descr="base_50_590968_328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3" descr="base_50_590968_32859"/>
                    <pic:cNvPicPr preferRelativeResize="0">
                      <a:picLocks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647825" cy="669925"/>
                    </a:xfrm>
                    <a:prstGeom prst="rect">
                      <a:avLst/>
                    </a:prstGeom>
                    <a:noFill/>
                    <a:ln>
                      <a:noFill/>
                    </a:ln>
                  </pic:spPr>
                </pic:pic>
              </a:graphicData>
            </a:graphic>
          </wp:inline>
        </w:drawing>
      </w:r>
    </w:p>
    <w:p w:rsidR="0055491A" w:rsidRPr="005F6BFA" w:rsidRDefault="0055491A" w:rsidP="0055491A">
      <w:pPr>
        <w:widowControl w:val="0"/>
        <w:autoSpaceDE w:val="0"/>
        <w:autoSpaceDN w:val="0"/>
        <w:ind w:firstLine="540"/>
        <w:jc w:val="both"/>
        <w:rPr>
          <w:sz w:val="28"/>
          <w:szCs w:val="28"/>
        </w:rPr>
      </w:pPr>
      <w:r w:rsidRPr="005F6BFA">
        <w:rPr>
          <w:sz w:val="28"/>
          <w:szCs w:val="28"/>
        </w:rPr>
        <w:t>где:</w:t>
      </w:r>
    </w:p>
    <w:p w:rsidR="0055491A" w:rsidRPr="005F6BFA" w:rsidRDefault="0055491A" w:rsidP="0055491A">
      <w:pPr>
        <w:widowControl w:val="0"/>
        <w:autoSpaceDE w:val="0"/>
        <w:autoSpaceDN w:val="0"/>
        <w:ind w:firstLine="540"/>
        <w:jc w:val="both"/>
        <w:rPr>
          <w:sz w:val="28"/>
          <w:szCs w:val="28"/>
        </w:rPr>
      </w:pPr>
      <w:r w:rsidRPr="005F6BFA">
        <w:rPr>
          <w:noProof/>
          <w:position w:val="-26"/>
          <w:sz w:val="28"/>
          <w:szCs w:val="28"/>
        </w:rPr>
        <w:drawing>
          <wp:inline distT="0" distB="0" distL="0" distR="0" wp14:anchorId="225BFCE8" wp14:editId="3E021C69">
            <wp:extent cx="765810" cy="467995"/>
            <wp:effectExtent l="0" t="0" r="0" b="8255"/>
            <wp:docPr id="24362" name="Рисунок 24362" descr="base_50_590968_328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4" descr="base_50_590968_32860"/>
                    <pic:cNvPicPr preferRelativeResize="0">
                      <a:picLocks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765810" cy="467995"/>
                    </a:xfrm>
                    <a:prstGeom prst="rect">
                      <a:avLst/>
                    </a:prstGeom>
                    <a:noFill/>
                    <a:ln>
                      <a:noFill/>
                    </a:ln>
                  </pic:spPr>
                </pic:pic>
              </a:graphicData>
            </a:graphic>
          </wp:inline>
        </w:drawing>
      </w:r>
      <w:r w:rsidRPr="005F6BFA">
        <w:rPr>
          <w:sz w:val="28"/>
          <w:szCs w:val="28"/>
        </w:rPr>
        <w:t xml:space="preserve"> - сумма количества случаев нарушения правил пожарной безопасности в лесах за три года, предшествующих прогнозируемому году (ед.), при формировании прогноза на очередной финансовый год используются фактические данные за два отчетных года и прогнозные значения на текущий финансовый год, при формировании прогноза на первый </w:t>
      </w:r>
      <w:r w:rsidRPr="005F6BFA">
        <w:rPr>
          <w:sz w:val="28"/>
          <w:szCs w:val="28"/>
        </w:rPr>
        <w:lastRenderedPageBreak/>
        <w:t>год планового периода используются фактические данные за один отчетный год и прогнозные значения текущего финансового года и очередного финансового года; прогноз на второй год планового периода принимается на уровне прогноза первого года планового периода;</w:t>
      </w:r>
    </w:p>
    <w:p w:rsidR="0055491A" w:rsidRPr="005F6BFA" w:rsidRDefault="0055491A" w:rsidP="0055491A">
      <w:pPr>
        <w:widowControl w:val="0"/>
        <w:autoSpaceDE w:val="0"/>
        <w:autoSpaceDN w:val="0"/>
        <w:ind w:firstLine="540"/>
        <w:jc w:val="both"/>
        <w:rPr>
          <w:sz w:val="28"/>
          <w:szCs w:val="28"/>
        </w:rPr>
      </w:pPr>
      <w:r w:rsidRPr="005F6BFA">
        <w:rPr>
          <w:sz w:val="28"/>
          <w:szCs w:val="28"/>
        </w:rPr>
        <w:t>Р</w:t>
      </w:r>
      <w:r w:rsidRPr="005F6BFA">
        <w:rPr>
          <w:sz w:val="28"/>
          <w:szCs w:val="28"/>
          <w:vertAlign w:val="superscript"/>
        </w:rPr>
        <w:t>ср</w:t>
      </w:r>
      <w:r w:rsidRPr="005F6BFA">
        <w:rPr>
          <w:sz w:val="28"/>
          <w:szCs w:val="28"/>
          <w:vertAlign w:val="subscript"/>
        </w:rPr>
        <w:t>пож. без.</w:t>
      </w:r>
      <w:r w:rsidRPr="005F6BFA">
        <w:rPr>
          <w:sz w:val="28"/>
          <w:szCs w:val="28"/>
        </w:rPr>
        <w:t xml:space="preserve"> - средний размер штрафа за нарушение правил пожарной безопасности в лесах за отчетный год (руб.) определяется по формуле:</w:t>
      </w:r>
    </w:p>
    <w:p w:rsidR="0055491A" w:rsidRPr="005F6BFA" w:rsidRDefault="0055491A" w:rsidP="0055491A">
      <w:pPr>
        <w:widowControl w:val="0"/>
        <w:autoSpaceDE w:val="0"/>
        <w:autoSpaceDN w:val="0"/>
        <w:jc w:val="center"/>
        <w:rPr>
          <w:sz w:val="28"/>
          <w:szCs w:val="28"/>
        </w:rPr>
      </w:pPr>
      <w:r w:rsidRPr="005F6BFA">
        <w:rPr>
          <w:noProof/>
          <w:position w:val="-31"/>
          <w:sz w:val="28"/>
          <w:szCs w:val="28"/>
        </w:rPr>
        <w:drawing>
          <wp:inline distT="0" distB="0" distL="0" distR="0" wp14:anchorId="7208B099" wp14:editId="526BD039">
            <wp:extent cx="1637665" cy="542290"/>
            <wp:effectExtent l="0" t="0" r="0" b="0"/>
            <wp:docPr id="24361" name="Рисунок 24361" descr="base_50_590968_328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5" descr="base_50_590968_32861"/>
                    <pic:cNvPicPr preferRelativeResize="0">
                      <a:picLocks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637665" cy="542290"/>
                    </a:xfrm>
                    <a:prstGeom prst="rect">
                      <a:avLst/>
                    </a:prstGeom>
                    <a:noFill/>
                    <a:ln>
                      <a:noFill/>
                    </a:ln>
                  </pic:spPr>
                </pic:pic>
              </a:graphicData>
            </a:graphic>
          </wp:inline>
        </w:drawing>
      </w:r>
    </w:p>
    <w:p w:rsidR="0055491A" w:rsidRPr="005F6BFA" w:rsidRDefault="0055491A" w:rsidP="0055491A">
      <w:pPr>
        <w:widowControl w:val="0"/>
        <w:autoSpaceDE w:val="0"/>
        <w:autoSpaceDN w:val="0"/>
        <w:ind w:firstLine="540"/>
        <w:jc w:val="both"/>
        <w:rPr>
          <w:sz w:val="28"/>
          <w:szCs w:val="28"/>
        </w:rPr>
      </w:pPr>
      <w:r w:rsidRPr="005F6BFA">
        <w:rPr>
          <w:sz w:val="28"/>
          <w:szCs w:val="28"/>
        </w:rPr>
        <w:t>где:</w:t>
      </w:r>
    </w:p>
    <w:p w:rsidR="0055491A" w:rsidRPr="005F6BFA" w:rsidRDefault="0055491A" w:rsidP="0055491A">
      <w:pPr>
        <w:widowControl w:val="0"/>
        <w:autoSpaceDE w:val="0"/>
        <w:autoSpaceDN w:val="0"/>
        <w:ind w:firstLine="540"/>
        <w:jc w:val="both"/>
        <w:rPr>
          <w:sz w:val="28"/>
          <w:szCs w:val="28"/>
        </w:rPr>
      </w:pPr>
      <w:r w:rsidRPr="005F6BFA">
        <w:rPr>
          <w:noProof/>
          <w:position w:val="-11"/>
          <w:sz w:val="28"/>
          <w:szCs w:val="28"/>
        </w:rPr>
        <w:drawing>
          <wp:inline distT="0" distB="0" distL="0" distR="0" wp14:anchorId="0D1FF141" wp14:editId="1D76F639">
            <wp:extent cx="786765" cy="287020"/>
            <wp:effectExtent l="0" t="0" r="0" b="0"/>
            <wp:docPr id="24360" name="Рисунок 24360" descr="base_50_590968_328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6" descr="base_50_590968_32862"/>
                    <pic:cNvPicPr preferRelativeResize="0">
                      <a:picLocks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786765" cy="287020"/>
                    </a:xfrm>
                    <a:prstGeom prst="rect">
                      <a:avLst/>
                    </a:prstGeom>
                    <a:noFill/>
                    <a:ln>
                      <a:noFill/>
                    </a:ln>
                  </pic:spPr>
                </pic:pic>
              </a:graphicData>
            </a:graphic>
          </wp:inline>
        </w:drawing>
      </w:r>
      <w:r w:rsidRPr="005F6BFA">
        <w:rPr>
          <w:sz w:val="28"/>
          <w:szCs w:val="28"/>
        </w:rPr>
        <w:t xml:space="preserve"> - сумма платежей за нарушение правил пожарной безопасности в лесах за отчетный год (тыс. руб.);</w:t>
      </w:r>
    </w:p>
    <w:p w:rsidR="0055491A" w:rsidRPr="005F6BFA" w:rsidRDefault="0055491A" w:rsidP="0055491A">
      <w:pPr>
        <w:widowControl w:val="0"/>
        <w:autoSpaceDE w:val="0"/>
        <w:autoSpaceDN w:val="0"/>
        <w:ind w:firstLine="540"/>
        <w:jc w:val="both"/>
        <w:rPr>
          <w:sz w:val="28"/>
          <w:szCs w:val="28"/>
        </w:rPr>
      </w:pPr>
      <w:r w:rsidRPr="005F6BFA">
        <w:rPr>
          <w:noProof/>
          <w:position w:val="-11"/>
          <w:sz w:val="28"/>
          <w:szCs w:val="28"/>
        </w:rPr>
        <w:drawing>
          <wp:inline distT="0" distB="0" distL="0" distR="0" wp14:anchorId="77D0B79A" wp14:editId="1D20996A">
            <wp:extent cx="553085" cy="287020"/>
            <wp:effectExtent l="0" t="0" r="0" b="0"/>
            <wp:docPr id="24358" name="Рисунок 24358" descr="base_50_590968_328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7" descr="base_50_590968_32863"/>
                    <pic:cNvPicPr preferRelativeResize="0">
                      <a:picLocks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553085" cy="287020"/>
                    </a:xfrm>
                    <a:prstGeom prst="rect">
                      <a:avLst/>
                    </a:prstGeom>
                    <a:noFill/>
                    <a:ln>
                      <a:noFill/>
                    </a:ln>
                  </pic:spPr>
                </pic:pic>
              </a:graphicData>
            </a:graphic>
          </wp:inline>
        </w:drawing>
      </w:r>
      <w:r w:rsidRPr="005F6BFA">
        <w:rPr>
          <w:sz w:val="28"/>
          <w:szCs w:val="28"/>
        </w:rPr>
        <w:t xml:space="preserve"> - количество случаев нарушения правил пожарной безопасности в лесах за отчетный год (ед.);</w:t>
      </w:r>
    </w:p>
    <w:p w:rsidR="0055491A" w:rsidRPr="005F6BFA" w:rsidRDefault="0055491A" w:rsidP="0055491A">
      <w:pPr>
        <w:widowControl w:val="0"/>
        <w:autoSpaceDE w:val="0"/>
        <w:autoSpaceDN w:val="0"/>
        <w:ind w:firstLine="540"/>
        <w:jc w:val="both"/>
        <w:rPr>
          <w:sz w:val="28"/>
          <w:szCs w:val="28"/>
        </w:rPr>
      </w:pPr>
      <w:r w:rsidRPr="005F6BFA">
        <w:rPr>
          <w:sz w:val="28"/>
          <w:szCs w:val="28"/>
        </w:rPr>
        <w:t>Z</w:t>
      </w:r>
      <w:r w:rsidRPr="005F6BFA">
        <w:rPr>
          <w:sz w:val="28"/>
          <w:szCs w:val="28"/>
          <w:vertAlign w:val="superscript"/>
        </w:rPr>
        <w:t>ср</w:t>
      </w:r>
      <w:r w:rsidRPr="005F6BFA">
        <w:rPr>
          <w:sz w:val="28"/>
          <w:szCs w:val="28"/>
        </w:rPr>
        <w:t xml:space="preserve"> - средний объем дебиторской задолженности (недоимки), возможный к поступлению (тыс. руб.). Определяется по формуле:</w:t>
      </w:r>
    </w:p>
    <w:p w:rsidR="0055491A" w:rsidRPr="005F6BFA" w:rsidRDefault="0055491A" w:rsidP="0055491A">
      <w:pPr>
        <w:widowControl w:val="0"/>
        <w:autoSpaceDE w:val="0"/>
        <w:autoSpaceDN w:val="0"/>
        <w:jc w:val="center"/>
        <w:rPr>
          <w:sz w:val="28"/>
          <w:szCs w:val="28"/>
        </w:rPr>
      </w:pPr>
      <w:r w:rsidRPr="005F6BFA">
        <w:rPr>
          <w:noProof/>
          <w:position w:val="-11"/>
          <w:sz w:val="28"/>
          <w:szCs w:val="28"/>
        </w:rPr>
        <w:drawing>
          <wp:inline distT="0" distB="0" distL="0" distR="0" wp14:anchorId="06AA44C3" wp14:editId="4D1CAABB">
            <wp:extent cx="2190115" cy="287020"/>
            <wp:effectExtent l="0" t="0" r="635" b="0"/>
            <wp:docPr id="24357" name="Рисунок 24357" descr="base_50_590968_328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8" descr="base_50_590968_32864"/>
                    <pic:cNvPicPr preferRelativeResize="0">
                      <a:picLocks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2190115" cy="287020"/>
                    </a:xfrm>
                    <a:prstGeom prst="rect">
                      <a:avLst/>
                    </a:prstGeom>
                    <a:noFill/>
                    <a:ln>
                      <a:noFill/>
                    </a:ln>
                  </pic:spPr>
                </pic:pic>
              </a:graphicData>
            </a:graphic>
          </wp:inline>
        </w:drawing>
      </w:r>
    </w:p>
    <w:p w:rsidR="0055491A" w:rsidRPr="005F6BFA" w:rsidRDefault="0055491A" w:rsidP="0055491A">
      <w:pPr>
        <w:widowControl w:val="0"/>
        <w:autoSpaceDE w:val="0"/>
        <w:autoSpaceDN w:val="0"/>
        <w:ind w:firstLine="540"/>
        <w:jc w:val="both"/>
        <w:rPr>
          <w:sz w:val="28"/>
          <w:szCs w:val="28"/>
        </w:rPr>
      </w:pPr>
      <w:r w:rsidRPr="005F6BFA">
        <w:rPr>
          <w:sz w:val="28"/>
          <w:szCs w:val="28"/>
        </w:rPr>
        <w:t>где:</w:t>
      </w:r>
    </w:p>
    <w:p w:rsidR="0055491A" w:rsidRPr="005F6BFA" w:rsidRDefault="0055491A" w:rsidP="0055491A">
      <w:pPr>
        <w:widowControl w:val="0"/>
        <w:autoSpaceDE w:val="0"/>
        <w:autoSpaceDN w:val="0"/>
        <w:ind w:firstLine="540"/>
        <w:jc w:val="both"/>
        <w:rPr>
          <w:sz w:val="28"/>
          <w:szCs w:val="28"/>
        </w:rPr>
      </w:pPr>
      <w:r w:rsidRPr="005F6BFA">
        <w:rPr>
          <w:noProof/>
          <w:position w:val="-11"/>
          <w:sz w:val="28"/>
          <w:szCs w:val="28"/>
        </w:rPr>
        <w:drawing>
          <wp:inline distT="0" distB="0" distL="0" distR="0" wp14:anchorId="5FCEA31F" wp14:editId="1554B847">
            <wp:extent cx="574040" cy="287020"/>
            <wp:effectExtent l="0" t="0" r="0" b="0"/>
            <wp:docPr id="24356" name="Рисунок 24356" descr="base_50_590968_328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9" descr="base_50_590968_32865"/>
                    <pic:cNvPicPr preferRelativeResize="0">
                      <a:picLocks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74040" cy="287020"/>
                    </a:xfrm>
                    <a:prstGeom prst="rect">
                      <a:avLst/>
                    </a:prstGeom>
                    <a:noFill/>
                    <a:ln>
                      <a:noFill/>
                    </a:ln>
                  </pic:spPr>
                </pic:pic>
              </a:graphicData>
            </a:graphic>
          </wp:inline>
        </w:drawing>
      </w:r>
      <w:r w:rsidRPr="005F6BFA">
        <w:rPr>
          <w:sz w:val="28"/>
          <w:szCs w:val="28"/>
        </w:rPr>
        <w:t xml:space="preserve"> - сумма годовых величин задолженности (недоимки), возможной к взысканию (общая сумма недоимки, включая долги прошлых периодов, за минусом безнадежной), за три отчетных года, предшествующих прогнозируемому году (тыс. руб.);</w:t>
      </w:r>
    </w:p>
    <w:p w:rsidR="0055491A" w:rsidRPr="005F6BFA" w:rsidRDefault="0055491A" w:rsidP="0055491A">
      <w:pPr>
        <w:widowControl w:val="0"/>
        <w:autoSpaceDE w:val="0"/>
        <w:autoSpaceDN w:val="0"/>
        <w:ind w:firstLine="540"/>
        <w:jc w:val="both"/>
        <w:rPr>
          <w:sz w:val="28"/>
          <w:szCs w:val="28"/>
        </w:rPr>
      </w:pPr>
      <w:r w:rsidRPr="005F6BFA">
        <w:rPr>
          <w:noProof/>
          <w:position w:val="-11"/>
          <w:sz w:val="28"/>
          <w:szCs w:val="28"/>
        </w:rPr>
        <w:drawing>
          <wp:inline distT="0" distB="0" distL="0" distR="0" wp14:anchorId="6E2E315D" wp14:editId="7D28B81D">
            <wp:extent cx="553085" cy="287020"/>
            <wp:effectExtent l="0" t="0" r="0" b="0"/>
            <wp:docPr id="24355" name="Рисунок 24355" descr="base_50_590968_328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0" descr="base_50_590968_32866"/>
                    <pic:cNvPicPr preferRelativeResize="0">
                      <a:picLocks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553085" cy="287020"/>
                    </a:xfrm>
                    <a:prstGeom prst="rect">
                      <a:avLst/>
                    </a:prstGeom>
                    <a:noFill/>
                    <a:ln>
                      <a:noFill/>
                    </a:ln>
                  </pic:spPr>
                </pic:pic>
              </a:graphicData>
            </a:graphic>
          </wp:inline>
        </w:drawing>
      </w:r>
      <w:r w:rsidRPr="005F6BFA">
        <w:rPr>
          <w:sz w:val="28"/>
          <w:szCs w:val="28"/>
        </w:rPr>
        <w:t xml:space="preserve"> - сумма долей взыскания Федеральной службой судебных приставов задолженности (недоимки) от задолженности, находящейся у нее на рассмотрении, за три отчетных года, предшествующих прогнозируемому году (единицы);</w:t>
      </w:r>
    </w:p>
    <w:p w:rsidR="0055491A" w:rsidRPr="005F6BFA" w:rsidRDefault="0055491A" w:rsidP="0055491A">
      <w:pPr>
        <w:widowControl w:val="0"/>
        <w:autoSpaceDE w:val="0"/>
        <w:autoSpaceDN w:val="0"/>
        <w:ind w:firstLine="540"/>
        <w:jc w:val="both"/>
        <w:rPr>
          <w:sz w:val="28"/>
          <w:szCs w:val="28"/>
        </w:rPr>
      </w:pPr>
      <w:r w:rsidRPr="005F6BFA">
        <w:rPr>
          <w:sz w:val="28"/>
          <w:szCs w:val="28"/>
        </w:rPr>
        <w:t>k - доля взыскания Федеральной службой судебных приставов задолженности (недоимки) от задолженности, находящейся у нее на рассмотрении, по итогам отчетного года (единицы), определяется по формуле:</w:t>
      </w:r>
    </w:p>
    <w:p w:rsidR="0055491A" w:rsidRPr="005F6BFA" w:rsidRDefault="0055491A" w:rsidP="0055491A">
      <w:pPr>
        <w:widowControl w:val="0"/>
        <w:autoSpaceDE w:val="0"/>
        <w:autoSpaceDN w:val="0"/>
        <w:jc w:val="center"/>
        <w:rPr>
          <w:sz w:val="28"/>
          <w:szCs w:val="28"/>
        </w:rPr>
      </w:pPr>
      <w:r w:rsidRPr="005F6BFA">
        <w:rPr>
          <w:sz w:val="28"/>
          <w:szCs w:val="28"/>
        </w:rPr>
        <w:t>k = Z</w:t>
      </w:r>
      <w:r w:rsidRPr="005F6BFA">
        <w:rPr>
          <w:sz w:val="28"/>
          <w:szCs w:val="28"/>
          <w:vertAlign w:val="superscript"/>
        </w:rPr>
        <w:t>взыск</w:t>
      </w:r>
      <w:r w:rsidRPr="005F6BFA">
        <w:rPr>
          <w:sz w:val="28"/>
          <w:szCs w:val="28"/>
        </w:rPr>
        <w:t xml:space="preserve"> / Z</w:t>
      </w:r>
      <w:r w:rsidRPr="005F6BFA">
        <w:rPr>
          <w:sz w:val="28"/>
          <w:szCs w:val="28"/>
          <w:vertAlign w:val="superscript"/>
        </w:rPr>
        <w:t>ФССП</w:t>
      </w:r>
      <w:r w:rsidRPr="005F6BFA">
        <w:rPr>
          <w:sz w:val="28"/>
          <w:szCs w:val="28"/>
        </w:rPr>
        <w:t>,</w:t>
      </w:r>
    </w:p>
    <w:p w:rsidR="0055491A" w:rsidRPr="005F6BFA" w:rsidRDefault="0055491A" w:rsidP="0055491A">
      <w:pPr>
        <w:widowControl w:val="0"/>
        <w:autoSpaceDE w:val="0"/>
        <w:autoSpaceDN w:val="0"/>
        <w:ind w:firstLine="540"/>
        <w:jc w:val="both"/>
        <w:rPr>
          <w:sz w:val="28"/>
          <w:szCs w:val="28"/>
        </w:rPr>
      </w:pPr>
      <w:r w:rsidRPr="005F6BFA">
        <w:rPr>
          <w:sz w:val="28"/>
          <w:szCs w:val="28"/>
        </w:rPr>
        <w:t>где:</w:t>
      </w:r>
    </w:p>
    <w:p w:rsidR="0055491A" w:rsidRPr="005F6BFA" w:rsidRDefault="0055491A" w:rsidP="0055491A">
      <w:pPr>
        <w:widowControl w:val="0"/>
        <w:autoSpaceDE w:val="0"/>
        <w:autoSpaceDN w:val="0"/>
        <w:ind w:firstLine="540"/>
        <w:jc w:val="both"/>
        <w:rPr>
          <w:sz w:val="28"/>
          <w:szCs w:val="28"/>
        </w:rPr>
      </w:pPr>
      <w:r w:rsidRPr="005F6BFA">
        <w:rPr>
          <w:sz w:val="28"/>
          <w:szCs w:val="28"/>
        </w:rPr>
        <w:t>Z</w:t>
      </w:r>
      <w:r w:rsidRPr="005F6BFA">
        <w:rPr>
          <w:sz w:val="28"/>
          <w:szCs w:val="28"/>
          <w:vertAlign w:val="superscript"/>
        </w:rPr>
        <w:t>взыск</w:t>
      </w:r>
      <w:r w:rsidRPr="005F6BFA">
        <w:rPr>
          <w:sz w:val="28"/>
          <w:szCs w:val="28"/>
        </w:rPr>
        <w:t xml:space="preserve"> - всего взыскано платежей Федеральной службой судебных приставов в отчетном году (тыс. руб.);</w:t>
      </w:r>
    </w:p>
    <w:p w:rsidR="0055491A" w:rsidRPr="005F6BFA" w:rsidRDefault="0055491A" w:rsidP="0055491A">
      <w:pPr>
        <w:widowControl w:val="0"/>
        <w:autoSpaceDE w:val="0"/>
        <w:autoSpaceDN w:val="0"/>
        <w:ind w:firstLine="540"/>
        <w:jc w:val="both"/>
        <w:rPr>
          <w:sz w:val="28"/>
          <w:szCs w:val="28"/>
        </w:rPr>
      </w:pPr>
      <w:r w:rsidRPr="005F6BFA">
        <w:rPr>
          <w:sz w:val="28"/>
          <w:szCs w:val="28"/>
        </w:rPr>
        <w:t>Z</w:t>
      </w:r>
      <w:r w:rsidRPr="005F6BFA">
        <w:rPr>
          <w:sz w:val="28"/>
          <w:szCs w:val="28"/>
          <w:vertAlign w:val="superscript"/>
        </w:rPr>
        <w:t>ФССП</w:t>
      </w:r>
      <w:r w:rsidRPr="005F6BFA">
        <w:rPr>
          <w:sz w:val="28"/>
          <w:szCs w:val="28"/>
        </w:rPr>
        <w:t xml:space="preserve"> - сумма задолженности (недоимки), находящейся на принудительном взыскании в Федеральной службе судебных приставов (ведется исполнительное производство, возбужденное до 1 января отчетного года, и возбужденное исполнительное производство в отчетном году) (тыс. руб.);</w:t>
      </w:r>
    </w:p>
    <w:p w:rsidR="0055491A" w:rsidRDefault="0055491A" w:rsidP="0055491A">
      <w:pPr>
        <w:widowControl w:val="0"/>
        <w:autoSpaceDE w:val="0"/>
        <w:autoSpaceDN w:val="0"/>
        <w:ind w:firstLine="540"/>
        <w:jc w:val="both"/>
        <w:rPr>
          <w:sz w:val="28"/>
          <w:szCs w:val="28"/>
        </w:rPr>
      </w:pPr>
      <w:r w:rsidRPr="005F6BFA">
        <w:rPr>
          <w:sz w:val="28"/>
          <w:szCs w:val="28"/>
        </w:rPr>
        <w:t>R - корректирующая сумма поступлений, учитывающая отдельные решения Президента Российской Федерации, Правительства Российской Федерации, а также проекты нормативных правовых актов Президента Российской Федерации, Правительства Российской Федерации и другие факторы, влияющие на объем прогнозируемых доходов (тыс. руб.).</w:t>
      </w:r>
    </w:p>
    <w:p w:rsidR="0055491A" w:rsidRDefault="0055491A" w:rsidP="0055491A">
      <w:pPr>
        <w:widowControl w:val="0"/>
        <w:autoSpaceDE w:val="0"/>
        <w:autoSpaceDN w:val="0"/>
        <w:ind w:firstLine="540"/>
        <w:jc w:val="both"/>
        <w:rPr>
          <w:sz w:val="28"/>
          <w:szCs w:val="28"/>
        </w:rPr>
      </w:pPr>
      <w:r>
        <w:rPr>
          <w:sz w:val="28"/>
          <w:szCs w:val="28"/>
        </w:rPr>
        <w:lastRenderedPageBreak/>
        <w:t>Расчет прогноза.</w:t>
      </w:r>
    </w:p>
    <w:p w:rsidR="0055491A" w:rsidRPr="00C47FD4" w:rsidRDefault="0055491A" w:rsidP="0055491A">
      <w:pPr>
        <w:widowControl w:val="0"/>
        <w:autoSpaceDE w:val="0"/>
        <w:autoSpaceDN w:val="0"/>
        <w:ind w:firstLine="540"/>
        <w:jc w:val="both"/>
        <w:rPr>
          <w:rFonts w:eastAsia="Calibri"/>
          <w:sz w:val="28"/>
          <w:szCs w:val="28"/>
          <w:lang w:eastAsia="en-US"/>
        </w:rPr>
      </w:pPr>
      <w:r w:rsidRPr="00C47FD4">
        <w:rPr>
          <w:rFonts w:eastAsia="Calibri"/>
          <w:sz w:val="28"/>
          <w:szCs w:val="28"/>
          <w:lang w:eastAsia="en-US"/>
        </w:rPr>
        <w:t xml:space="preserve">Согласно данным отраслевой отчетности за 2018 – 2020 годы по форме </w:t>
      </w:r>
      <w:r>
        <w:rPr>
          <w:rFonts w:eastAsia="Calibri"/>
          <w:sz w:val="28"/>
          <w:szCs w:val="28"/>
          <w:lang w:eastAsia="en-US"/>
        </w:rPr>
        <w:t xml:space="preserve">  </w:t>
      </w:r>
      <w:r w:rsidRPr="00C47FD4">
        <w:rPr>
          <w:rFonts w:eastAsia="Calibri"/>
          <w:sz w:val="28"/>
          <w:szCs w:val="28"/>
          <w:lang w:eastAsia="en-US"/>
        </w:rPr>
        <w:t xml:space="preserve">8-ОИП, утвержденной приказом Минприроды России от 28.12.2015 № 565, количество </w:t>
      </w:r>
      <w:r w:rsidRPr="00C47FD4">
        <w:rPr>
          <w:sz w:val="28"/>
          <w:szCs w:val="28"/>
        </w:rPr>
        <w:t xml:space="preserve">административных правонарушений, предусмотренных </w:t>
      </w:r>
      <w:hyperlink r:id="rId92" w:history="1">
        <w:r w:rsidRPr="00C47FD4">
          <w:rPr>
            <w:sz w:val="28"/>
            <w:szCs w:val="28"/>
          </w:rPr>
          <w:t>статьей 8.32</w:t>
        </w:r>
      </w:hyperlink>
      <w:r w:rsidRPr="00C47FD4">
        <w:rPr>
          <w:sz w:val="28"/>
          <w:szCs w:val="28"/>
        </w:rPr>
        <w:t xml:space="preserve"> КоАП РФ,</w:t>
      </w:r>
      <w:r w:rsidRPr="00C47FD4">
        <w:rPr>
          <w:rFonts w:eastAsia="Calibri"/>
          <w:sz w:val="28"/>
          <w:szCs w:val="28"/>
          <w:lang w:eastAsia="en-US"/>
        </w:rPr>
        <w:t xml:space="preserve"> составляет: в 2018 г. – 185 ед.; в 2019 г. – 188 ед., в 2020 г. – 189 ед. Таким образом, </w:t>
      </w:r>
    </w:p>
    <w:p w:rsidR="0055491A" w:rsidRPr="00C47FD4" w:rsidRDefault="0055491A" w:rsidP="0055491A">
      <w:pPr>
        <w:tabs>
          <w:tab w:val="left" w:pos="3195"/>
        </w:tabs>
        <w:autoSpaceDE w:val="0"/>
        <w:autoSpaceDN w:val="0"/>
        <w:adjustRightInd w:val="0"/>
        <w:ind w:firstLine="709"/>
        <w:jc w:val="both"/>
        <w:rPr>
          <w:rFonts w:eastAsia="Calibri"/>
          <w:sz w:val="28"/>
          <w:szCs w:val="28"/>
          <w:lang w:eastAsia="en-US"/>
        </w:rPr>
      </w:pPr>
      <w:r w:rsidRPr="00C47FD4">
        <w:rPr>
          <w:rFonts w:eastAsia="Calibri"/>
          <w:sz w:val="28"/>
          <w:szCs w:val="28"/>
          <w:lang w:eastAsia="en-US"/>
        </w:rPr>
        <w:t>К</w:t>
      </w:r>
      <w:r w:rsidRPr="00C47FD4">
        <w:rPr>
          <w:rFonts w:eastAsia="Calibri"/>
          <w:sz w:val="28"/>
          <w:szCs w:val="28"/>
          <w:vertAlign w:val="superscript"/>
          <w:lang w:eastAsia="en-US"/>
        </w:rPr>
        <w:t>ср</w:t>
      </w:r>
      <w:r w:rsidRPr="00C47FD4">
        <w:rPr>
          <w:rFonts w:eastAsia="Calibri"/>
          <w:sz w:val="28"/>
          <w:szCs w:val="28"/>
          <w:vertAlign w:val="subscript"/>
          <w:lang w:eastAsia="en-US"/>
        </w:rPr>
        <w:t xml:space="preserve">8.32 </w:t>
      </w:r>
      <w:r w:rsidRPr="00C47FD4">
        <w:rPr>
          <w:rFonts w:eastAsia="Calibri"/>
          <w:sz w:val="28"/>
          <w:szCs w:val="28"/>
          <w:lang w:eastAsia="en-US"/>
        </w:rPr>
        <w:t>= (185+188+189) / 3 = 187 ед.</w:t>
      </w:r>
    </w:p>
    <w:p w:rsidR="0055491A" w:rsidRPr="00C47FD4" w:rsidRDefault="0055491A" w:rsidP="0055491A">
      <w:pPr>
        <w:tabs>
          <w:tab w:val="left" w:pos="3195"/>
        </w:tabs>
        <w:autoSpaceDE w:val="0"/>
        <w:autoSpaceDN w:val="0"/>
        <w:adjustRightInd w:val="0"/>
        <w:ind w:firstLine="709"/>
        <w:jc w:val="both"/>
        <w:rPr>
          <w:sz w:val="28"/>
          <w:szCs w:val="28"/>
        </w:rPr>
      </w:pPr>
      <w:r w:rsidRPr="00C47FD4">
        <w:rPr>
          <w:rFonts w:eastAsia="Calibri"/>
          <w:sz w:val="28"/>
          <w:szCs w:val="28"/>
          <w:lang w:eastAsia="en-US"/>
        </w:rPr>
        <w:t xml:space="preserve">Согласно данным о фактическом поступлении платежей за </w:t>
      </w:r>
      <w:r w:rsidRPr="00C47FD4">
        <w:rPr>
          <w:sz w:val="28"/>
          <w:szCs w:val="28"/>
        </w:rPr>
        <w:t xml:space="preserve">административные правонарушения, предусмотренные </w:t>
      </w:r>
      <w:hyperlink r:id="rId93" w:history="1">
        <w:r w:rsidRPr="00C47FD4">
          <w:rPr>
            <w:sz w:val="28"/>
            <w:szCs w:val="28"/>
          </w:rPr>
          <w:t xml:space="preserve">статьей 8.32 </w:t>
        </w:r>
      </w:hyperlink>
      <w:r w:rsidRPr="00C47FD4">
        <w:rPr>
          <w:sz w:val="28"/>
          <w:szCs w:val="28"/>
        </w:rPr>
        <w:t xml:space="preserve">КоАП РФ, </w:t>
      </w:r>
      <w:r w:rsidRPr="00C47FD4">
        <w:rPr>
          <w:rFonts w:eastAsia="Calibri"/>
          <w:sz w:val="28"/>
          <w:szCs w:val="28"/>
          <w:lang w:eastAsia="en-US"/>
        </w:rPr>
        <w:t xml:space="preserve">сумма платежей в 2020 г. </w:t>
      </w:r>
      <w:r w:rsidRPr="00C47FD4">
        <w:rPr>
          <w:sz w:val="28"/>
          <w:szCs w:val="28"/>
        </w:rPr>
        <w:t xml:space="preserve">составила 1390 тыс. руб., количество случаев административных правонарушений </w:t>
      </w:r>
      <w:r w:rsidRPr="00C47FD4">
        <w:rPr>
          <w:rFonts w:eastAsia="Calibri"/>
          <w:sz w:val="28"/>
          <w:szCs w:val="28"/>
          <w:lang w:eastAsia="en-US"/>
        </w:rPr>
        <w:t>составило 189 ед.</w:t>
      </w:r>
    </w:p>
    <w:p w:rsidR="0055491A" w:rsidRPr="00C47FD4" w:rsidRDefault="0055491A" w:rsidP="0055491A">
      <w:pPr>
        <w:tabs>
          <w:tab w:val="left" w:pos="3195"/>
        </w:tabs>
        <w:autoSpaceDE w:val="0"/>
        <w:autoSpaceDN w:val="0"/>
        <w:adjustRightInd w:val="0"/>
        <w:ind w:firstLine="709"/>
        <w:jc w:val="both"/>
        <w:rPr>
          <w:sz w:val="28"/>
          <w:szCs w:val="28"/>
        </w:rPr>
      </w:pPr>
      <w:r w:rsidRPr="00C47FD4">
        <w:rPr>
          <w:rFonts w:eastAsia="Calibri"/>
          <w:sz w:val="28"/>
          <w:szCs w:val="28"/>
          <w:lang w:eastAsia="en-US"/>
        </w:rPr>
        <w:t xml:space="preserve">Таким образом, </w:t>
      </w:r>
      <w:r w:rsidRPr="00C47FD4">
        <w:rPr>
          <w:sz w:val="28"/>
          <w:szCs w:val="28"/>
        </w:rPr>
        <w:t xml:space="preserve">средний размер штрафа по </w:t>
      </w:r>
      <w:hyperlink r:id="rId94" w:history="1">
        <w:r w:rsidRPr="00C47FD4">
          <w:rPr>
            <w:sz w:val="28"/>
            <w:szCs w:val="28"/>
          </w:rPr>
          <w:t>статье 8.32</w:t>
        </w:r>
      </w:hyperlink>
      <w:r w:rsidRPr="00C47FD4">
        <w:rPr>
          <w:sz w:val="28"/>
          <w:szCs w:val="28"/>
        </w:rPr>
        <w:t xml:space="preserve"> КоАП РФ за отчетный год (руб.): </w:t>
      </w:r>
    </w:p>
    <w:p w:rsidR="0055491A" w:rsidRPr="00C47FD4" w:rsidRDefault="0055491A" w:rsidP="0055491A">
      <w:pPr>
        <w:tabs>
          <w:tab w:val="left" w:pos="3195"/>
        </w:tabs>
        <w:autoSpaceDE w:val="0"/>
        <w:autoSpaceDN w:val="0"/>
        <w:adjustRightInd w:val="0"/>
        <w:ind w:firstLine="709"/>
        <w:jc w:val="both"/>
        <w:rPr>
          <w:sz w:val="28"/>
          <w:szCs w:val="28"/>
        </w:rPr>
      </w:pPr>
      <w:r w:rsidRPr="00C47FD4">
        <w:rPr>
          <w:rFonts w:eastAsia="Calibri"/>
          <w:sz w:val="28"/>
          <w:szCs w:val="28"/>
          <w:lang w:eastAsia="en-US"/>
        </w:rPr>
        <w:t>Р</w:t>
      </w:r>
      <w:r w:rsidRPr="00C47FD4">
        <w:rPr>
          <w:rFonts w:eastAsia="Calibri"/>
          <w:sz w:val="28"/>
          <w:szCs w:val="28"/>
          <w:vertAlign w:val="superscript"/>
          <w:lang w:eastAsia="en-US"/>
        </w:rPr>
        <w:t>ср</w:t>
      </w:r>
      <w:r w:rsidRPr="00C47FD4">
        <w:rPr>
          <w:rFonts w:eastAsia="Calibri"/>
          <w:sz w:val="28"/>
          <w:szCs w:val="28"/>
          <w:vertAlign w:val="subscript"/>
          <w:lang w:eastAsia="en-US"/>
        </w:rPr>
        <w:t xml:space="preserve">8.32 </w:t>
      </w:r>
      <w:r w:rsidRPr="00C47FD4">
        <w:rPr>
          <w:rFonts w:eastAsia="Calibri"/>
          <w:sz w:val="28"/>
          <w:szCs w:val="28"/>
          <w:lang w:eastAsia="en-US"/>
        </w:rPr>
        <w:t>= 1390 / 189 = 7,4 тыс. руб.</w:t>
      </w:r>
    </w:p>
    <w:p w:rsidR="0055491A" w:rsidRPr="00C47FD4" w:rsidRDefault="0055491A" w:rsidP="0055491A">
      <w:pPr>
        <w:tabs>
          <w:tab w:val="left" w:pos="3195"/>
        </w:tabs>
        <w:autoSpaceDE w:val="0"/>
        <w:autoSpaceDN w:val="0"/>
        <w:adjustRightInd w:val="0"/>
        <w:ind w:firstLine="709"/>
        <w:jc w:val="both"/>
        <w:rPr>
          <w:rFonts w:eastAsia="Calibri"/>
          <w:sz w:val="28"/>
          <w:szCs w:val="28"/>
          <w:lang w:eastAsia="en-US"/>
        </w:rPr>
      </w:pPr>
      <w:r w:rsidRPr="00C47FD4">
        <w:rPr>
          <w:sz w:val="28"/>
          <w:szCs w:val="28"/>
        </w:rPr>
        <w:t>Корректирующая сумма поступлений, учитывающая отдельные решения Президента Российской Федерации, Правительства Российской Федерации, а также проекты нормативных правовых актов Президента Российской Федерации, Правительства Российской Федерации и другие факторы, влияющие на объем прогнозируемых доходов равна нулю.</w:t>
      </w:r>
    </w:p>
    <w:p w:rsidR="0055491A" w:rsidRPr="00C47FD4" w:rsidRDefault="0055491A" w:rsidP="0055491A">
      <w:pPr>
        <w:tabs>
          <w:tab w:val="left" w:pos="3195"/>
        </w:tabs>
        <w:autoSpaceDE w:val="0"/>
        <w:autoSpaceDN w:val="0"/>
        <w:adjustRightInd w:val="0"/>
        <w:ind w:firstLine="709"/>
        <w:jc w:val="both"/>
        <w:rPr>
          <w:rFonts w:eastAsia="Calibri"/>
          <w:b/>
          <w:sz w:val="28"/>
          <w:szCs w:val="28"/>
          <w:lang w:eastAsia="en-US"/>
        </w:rPr>
      </w:pPr>
      <w:r w:rsidRPr="00C47FD4">
        <w:rPr>
          <w:sz w:val="28"/>
          <w:szCs w:val="28"/>
        </w:rPr>
        <w:t>Средний объем дебиторской задолженности (недоимки), возможный к поступлению, равен нулю.</w:t>
      </w:r>
    </w:p>
    <w:p w:rsidR="0055491A" w:rsidRPr="00C47FD4" w:rsidRDefault="0055491A" w:rsidP="0055491A">
      <w:pPr>
        <w:tabs>
          <w:tab w:val="left" w:pos="3195"/>
        </w:tabs>
        <w:autoSpaceDE w:val="0"/>
        <w:autoSpaceDN w:val="0"/>
        <w:adjustRightInd w:val="0"/>
        <w:ind w:firstLine="709"/>
        <w:jc w:val="both"/>
        <w:rPr>
          <w:rFonts w:eastAsia="Calibri"/>
          <w:sz w:val="28"/>
          <w:szCs w:val="28"/>
          <w:lang w:eastAsia="en-US"/>
        </w:rPr>
      </w:pPr>
      <w:r w:rsidRPr="00C47FD4">
        <w:rPr>
          <w:rFonts w:eastAsia="Calibri"/>
          <w:b/>
          <w:sz w:val="28"/>
          <w:szCs w:val="28"/>
          <w:lang w:eastAsia="en-US"/>
        </w:rPr>
        <w:t>Ожидаемая оценка на</w:t>
      </w:r>
      <w:r w:rsidRPr="00C47FD4">
        <w:rPr>
          <w:rFonts w:eastAsia="Calibri"/>
          <w:sz w:val="28"/>
          <w:szCs w:val="28"/>
          <w:lang w:eastAsia="en-US"/>
        </w:rPr>
        <w:t xml:space="preserve"> </w:t>
      </w:r>
      <w:r w:rsidRPr="00C47FD4">
        <w:rPr>
          <w:rFonts w:eastAsia="Calibri"/>
          <w:b/>
          <w:sz w:val="28"/>
          <w:szCs w:val="28"/>
          <w:lang w:eastAsia="en-US"/>
        </w:rPr>
        <w:t>2021 год</w:t>
      </w:r>
      <w:r w:rsidRPr="00C47FD4">
        <w:rPr>
          <w:rFonts w:eastAsia="Calibri"/>
          <w:sz w:val="28"/>
          <w:szCs w:val="28"/>
          <w:lang w:eastAsia="en-US"/>
        </w:rPr>
        <w:t xml:space="preserve"> составит: </w:t>
      </w:r>
    </w:p>
    <w:p w:rsidR="0055491A" w:rsidRPr="00C47FD4" w:rsidRDefault="0055491A" w:rsidP="0055491A">
      <w:pPr>
        <w:tabs>
          <w:tab w:val="left" w:pos="3195"/>
        </w:tabs>
        <w:autoSpaceDE w:val="0"/>
        <w:autoSpaceDN w:val="0"/>
        <w:adjustRightInd w:val="0"/>
        <w:ind w:firstLine="709"/>
        <w:jc w:val="both"/>
        <w:rPr>
          <w:rFonts w:eastAsia="Calibri"/>
          <w:sz w:val="28"/>
          <w:szCs w:val="28"/>
          <w:lang w:eastAsia="en-US"/>
        </w:rPr>
      </w:pPr>
      <w:r w:rsidRPr="00C47FD4">
        <w:rPr>
          <w:rFonts w:eastAsia="Calibri"/>
          <w:sz w:val="28"/>
          <w:szCs w:val="28"/>
          <w:lang w:eastAsia="en-US"/>
        </w:rPr>
        <w:t>П</w:t>
      </w:r>
      <w:r w:rsidRPr="00C47FD4">
        <w:rPr>
          <w:rFonts w:eastAsia="Calibri"/>
          <w:sz w:val="28"/>
          <w:szCs w:val="28"/>
          <w:vertAlign w:val="subscript"/>
          <w:lang w:eastAsia="en-US"/>
        </w:rPr>
        <w:t xml:space="preserve">8.32 </w:t>
      </w:r>
      <w:r w:rsidRPr="00C47FD4">
        <w:rPr>
          <w:rFonts w:eastAsia="Calibri"/>
          <w:sz w:val="28"/>
          <w:szCs w:val="28"/>
          <w:lang w:eastAsia="en-US"/>
        </w:rPr>
        <w:t xml:space="preserve">= 187 * 7,4  = </w:t>
      </w:r>
      <w:r>
        <w:rPr>
          <w:rFonts w:eastAsia="Calibri"/>
          <w:b/>
          <w:sz w:val="28"/>
          <w:szCs w:val="28"/>
          <w:lang w:eastAsia="en-US"/>
        </w:rPr>
        <w:t xml:space="preserve"> 1 38</w:t>
      </w:r>
      <w:r w:rsidRPr="00C47FD4">
        <w:rPr>
          <w:rFonts w:eastAsia="Calibri"/>
          <w:b/>
          <w:sz w:val="28"/>
          <w:szCs w:val="28"/>
          <w:lang w:eastAsia="en-US"/>
        </w:rPr>
        <w:t>3,8</w:t>
      </w:r>
      <w:r w:rsidRPr="00C47FD4">
        <w:rPr>
          <w:rFonts w:eastAsia="Calibri"/>
          <w:sz w:val="28"/>
          <w:szCs w:val="28"/>
          <w:lang w:eastAsia="en-US"/>
        </w:rPr>
        <w:t xml:space="preserve"> тыс. руб.</w:t>
      </w:r>
    </w:p>
    <w:p w:rsidR="0055491A" w:rsidRPr="00C47FD4" w:rsidRDefault="0055491A" w:rsidP="0055491A">
      <w:pPr>
        <w:tabs>
          <w:tab w:val="left" w:pos="3195"/>
        </w:tabs>
        <w:autoSpaceDE w:val="0"/>
        <w:autoSpaceDN w:val="0"/>
        <w:adjustRightInd w:val="0"/>
        <w:ind w:firstLine="709"/>
        <w:jc w:val="both"/>
        <w:rPr>
          <w:rFonts w:eastAsia="Calibri"/>
          <w:b/>
          <w:sz w:val="28"/>
          <w:szCs w:val="28"/>
          <w:lang w:eastAsia="en-US"/>
        </w:rPr>
      </w:pPr>
      <w:r w:rsidRPr="00C47FD4">
        <w:rPr>
          <w:rFonts w:eastAsia="Calibri"/>
          <w:b/>
          <w:sz w:val="28"/>
          <w:szCs w:val="28"/>
          <w:lang w:eastAsia="en-US"/>
        </w:rPr>
        <w:t>Определение прогноза на 2022 год:</w:t>
      </w:r>
    </w:p>
    <w:p w:rsidR="0055491A" w:rsidRPr="00C47FD4" w:rsidRDefault="0055491A" w:rsidP="0055491A">
      <w:pPr>
        <w:tabs>
          <w:tab w:val="left" w:pos="3195"/>
        </w:tabs>
        <w:autoSpaceDE w:val="0"/>
        <w:autoSpaceDN w:val="0"/>
        <w:adjustRightInd w:val="0"/>
        <w:ind w:firstLine="709"/>
        <w:jc w:val="both"/>
        <w:rPr>
          <w:rFonts w:eastAsia="Calibri"/>
          <w:sz w:val="28"/>
          <w:szCs w:val="28"/>
          <w:lang w:eastAsia="en-US"/>
        </w:rPr>
      </w:pPr>
      <w:r w:rsidRPr="00C47FD4">
        <w:rPr>
          <w:rFonts w:eastAsia="Calibri"/>
          <w:sz w:val="28"/>
          <w:szCs w:val="28"/>
          <w:lang w:eastAsia="en-US"/>
        </w:rPr>
        <w:t xml:space="preserve">Согласно данным отраслевой отчетности за 2019 – 2020 годы по форме 8-ОИП, утвержденной приказом Минприроды России от 28.12.2015 № 565, количество случаев </w:t>
      </w:r>
      <w:r w:rsidRPr="00C47FD4">
        <w:rPr>
          <w:sz w:val="28"/>
          <w:szCs w:val="28"/>
        </w:rPr>
        <w:t xml:space="preserve">административных правонарушений, предусмотренных </w:t>
      </w:r>
      <w:hyperlink r:id="rId95" w:history="1">
        <w:r w:rsidRPr="00C47FD4">
          <w:rPr>
            <w:sz w:val="28"/>
            <w:szCs w:val="28"/>
          </w:rPr>
          <w:t>статьей 8.32</w:t>
        </w:r>
      </w:hyperlink>
      <w:r w:rsidRPr="00C47FD4">
        <w:rPr>
          <w:sz w:val="28"/>
          <w:szCs w:val="28"/>
        </w:rPr>
        <w:t xml:space="preserve"> КоАП РФ,</w:t>
      </w:r>
      <w:r w:rsidRPr="00C47FD4">
        <w:rPr>
          <w:rFonts w:eastAsia="Calibri"/>
          <w:sz w:val="28"/>
          <w:szCs w:val="28"/>
          <w:lang w:eastAsia="en-US"/>
        </w:rPr>
        <w:t xml:space="preserve"> составляет: в 2019 г. – 188 ед.; в 2020 г. – 189 ед.</w:t>
      </w:r>
    </w:p>
    <w:p w:rsidR="0055491A" w:rsidRPr="00C47FD4" w:rsidRDefault="0055491A" w:rsidP="0055491A">
      <w:pPr>
        <w:tabs>
          <w:tab w:val="left" w:pos="3195"/>
        </w:tabs>
        <w:autoSpaceDE w:val="0"/>
        <w:autoSpaceDN w:val="0"/>
        <w:adjustRightInd w:val="0"/>
        <w:ind w:firstLine="709"/>
        <w:jc w:val="both"/>
        <w:rPr>
          <w:sz w:val="28"/>
          <w:szCs w:val="28"/>
        </w:rPr>
      </w:pPr>
      <w:r w:rsidRPr="00C47FD4">
        <w:rPr>
          <w:rFonts w:eastAsia="Calibri"/>
          <w:sz w:val="28"/>
          <w:szCs w:val="28"/>
          <w:lang w:eastAsia="en-US"/>
        </w:rPr>
        <w:t>При отсутствии</w:t>
      </w:r>
      <w:r w:rsidRPr="00C47FD4">
        <w:rPr>
          <w:sz w:val="28"/>
          <w:szCs w:val="28"/>
        </w:rPr>
        <w:t xml:space="preserve"> прогноза на очередной финансовый год</w:t>
      </w:r>
      <w:r w:rsidRPr="00C47FD4">
        <w:rPr>
          <w:rFonts w:eastAsia="Calibri"/>
          <w:sz w:val="28"/>
          <w:szCs w:val="28"/>
          <w:lang w:eastAsia="en-US"/>
        </w:rPr>
        <w:t xml:space="preserve"> количество случаев </w:t>
      </w:r>
      <w:r w:rsidRPr="00C47FD4">
        <w:rPr>
          <w:sz w:val="28"/>
          <w:szCs w:val="28"/>
        </w:rPr>
        <w:t xml:space="preserve">административных правонарушений, предусмотренных </w:t>
      </w:r>
      <w:hyperlink r:id="rId96" w:history="1">
        <w:r w:rsidRPr="00C47FD4">
          <w:rPr>
            <w:b/>
            <w:sz w:val="28"/>
            <w:szCs w:val="28"/>
          </w:rPr>
          <w:t>статьей 8.32</w:t>
        </w:r>
      </w:hyperlink>
      <w:r w:rsidRPr="00C47FD4">
        <w:rPr>
          <w:b/>
          <w:sz w:val="28"/>
          <w:szCs w:val="28"/>
        </w:rPr>
        <w:t xml:space="preserve"> КоАП РФ</w:t>
      </w:r>
      <w:r w:rsidRPr="00C47FD4">
        <w:rPr>
          <w:sz w:val="28"/>
          <w:szCs w:val="28"/>
        </w:rPr>
        <w:t xml:space="preserve">, в 2021 г. принимаем равное </w:t>
      </w:r>
      <w:r w:rsidRPr="00C47FD4">
        <w:rPr>
          <w:rFonts w:eastAsia="Calibri"/>
          <w:sz w:val="28"/>
          <w:szCs w:val="28"/>
          <w:lang w:eastAsia="en-US"/>
        </w:rPr>
        <w:t>К</w:t>
      </w:r>
      <w:r w:rsidRPr="00C47FD4">
        <w:rPr>
          <w:rFonts w:eastAsia="Calibri"/>
          <w:sz w:val="28"/>
          <w:szCs w:val="28"/>
          <w:vertAlign w:val="superscript"/>
          <w:lang w:eastAsia="en-US"/>
        </w:rPr>
        <w:t>ср</w:t>
      </w:r>
      <w:r w:rsidRPr="00C47FD4">
        <w:rPr>
          <w:rFonts w:eastAsia="Calibri"/>
          <w:sz w:val="28"/>
          <w:szCs w:val="28"/>
          <w:vertAlign w:val="subscript"/>
          <w:lang w:eastAsia="en-US"/>
        </w:rPr>
        <w:t xml:space="preserve">8.32 </w:t>
      </w:r>
      <w:r w:rsidRPr="00C47FD4">
        <w:rPr>
          <w:rFonts w:eastAsia="Calibri"/>
          <w:sz w:val="28"/>
          <w:szCs w:val="28"/>
          <w:lang w:eastAsia="en-US"/>
        </w:rPr>
        <w:t>= 187 ед.</w:t>
      </w:r>
    </w:p>
    <w:p w:rsidR="0055491A" w:rsidRPr="00C47FD4" w:rsidRDefault="0055491A" w:rsidP="0055491A">
      <w:pPr>
        <w:tabs>
          <w:tab w:val="left" w:pos="3195"/>
        </w:tabs>
        <w:autoSpaceDE w:val="0"/>
        <w:autoSpaceDN w:val="0"/>
        <w:adjustRightInd w:val="0"/>
        <w:ind w:firstLine="709"/>
        <w:jc w:val="both"/>
        <w:rPr>
          <w:rFonts w:eastAsia="Calibri"/>
          <w:sz w:val="28"/>
          <w:szCs w:val="28"/>
          <w:lang w:eastAsia="en-US"/>
        </w:rPr>
      </w:pPr>
      <w:r w:rsidRPr="00C47FD4">
        <w:rPr>
          <w:rFonts w:eastAsia="Calibri"/>
          <w:sz w:val="28"/>
          <w:szCs w:val="28"/>
          <w:lang w:eastAsia="en-US"/>
        </w:rPr>
        <w:t>Таким образом, К</w:t>
      </w:r>
      <w:r w:rsidRPr="00C47FD4">
        <w:rPr>
          <w:rFonts w:eastAsia="Calibri"/>
          <w:sz w:val="28"/>
          <w:szCs w:val="28"/>
          <w:vertAlign w:val="superscript"/>
          <w:lang w:eastAsia="en-US"/>
        </w:rPr>
        <w:t>ср2022</w:t>
      </w:r>
      <w:r w:rsidRPr="00C47FD4">
        <w:rPr>
          <w:rFonts w:eastAsia="Calibri"/>
          <w:sz w:val="28"/>
          <w:szCs w:val="28"/>
          <w:vertAlign w:val="subscript"/>
          <w:lang w:eastAsia="en-US"/>
        </w:rPr>
        <w:t xml:space="preserve">8.32 </w:t>
      </w:r>
      <w:r w:rsidRPr="00C47FD4">
        <w:rPr>
          <w:rFonts w:eastAsia="Calibri"/>
          <w:sz w:val="28"/>
          <w:szCs w:val="28"/>
          <w:lang w:eastAsia="en-US"/>
        </w:rPr>
        <w:t>= (188+189+187) / 3 = 188 (ед.)</w:t>
      </w:r>
    </w:p>
    <w:p w:rsidR="0055491A" w:rsidRPr="00C47FD4" w:rsidRDefault="0055491A" w:rsidP="0055491A">
      <w:pPr>
        <w:tabs>
          <w:tab w:val="left" w:pos="3195"/>
        </w:tabs>
        <w:autoSpaceDE w:val="0"/>
        <w:autoSpaceDN w:val="0"/>
        <w:adjustRightInd w:val="0"/>
        <w:ind w:firstLine="709"/>
        <w:jc w:val="both"/>
        <w:rPr>
          <w:rFonts w:eastAsia="Calibri"/>
          <w:sz w:val="28"/>
          <w:szCs w:val="28"/>
          <w:lang w:eastAsia="en-US"/>
        </w:rPr>
      </w:pPr>
      <w:r w:rsidRPr="00C47FD4">
        <w:rPr>
          <w:rFonts w:eastAsia="Calibri"/>
          <w:sz w:val="28"/>
          <w:szCs w:val="28"/>
          <w:lang w:eastAsia="en-US"/>
        </w:rPr>
        <w:t>Р</w:t>
      </w:r>
      <w:r w:rsidRPr="00C47FD4">
        <w:rPr>
          <w:rFonts w:eastAsia="Calibri"/>
          <w:sz w:val="28"/>
          <w:szCs w:val="28"/>
          <w:vertAlign w:val="superscript"/>
          <w:lang w:eastAsia="en-US"/>
        </w:rPr>
        <w:t>ср</w:t>
      </w:r>
      <w:r w:rsidRPr="00C47FD4">
        <w:rPr>
          <w:rFonts w:eastAsia="Calibri"/>
          <w:sz w:val="28"/>
          <w:szCs w:val="28"/>
          <w:vertAlign w:val="subscript"/>
          <w:lang w:eastAsia="en-US"/>
        </w:rPr>
        <w:t xml:space="preserve">8.32  </w:t>
      </w:r>
      <w:r w:rsidRPr="00C47FD4">
        <w:rPr>
          <w:rFonts w:eastAsia="Calibri"/>
          <w:sz w:val="28"/>
          <w:szCs w:val="28"/>
          <w:lang w:eastAsia="en-US"/>
        </w:rPr>
        <w:t>= 7,4 тыс. руб.</w:t>
      </w:r>
    </w:p>
    <w:p w:rsidR="0055491A" w:rsidRPr="00C47FD4" w:rsidRDefault="0055491A" w:rsidP="0055491A">
      <w:pPr>
        <w:tabs>
          <w:tab w:val="left" w:pos="3195"/>
        </w:tabs>
        <w:autoSpaceDE w:val="0"/>
        <w:autoSpaceDN w:val="0"/>
        <w:adjustRightInd w:val="0"/>
        <w:ind w:firstLine="709"/>
        <w:jc w:val="both"/>
        <w:rPr>
          <w:rFonts w:eastAsia="Calibri"/>
          <w:sz w:val="28"/>
          <w:szCs w:val="28"/>
          <w:lang w:eastAsia="en-US"/>
        </w:rPr>
      </w:pPr>
      <w:r>
        <w:rPr>
          <w:rFonts w:eastAsia="Calibri"/>
          <w:sz w:val="28"/>
          <w:szCs w:val="28"/>
          <w:lang w:eastAsia="en-US"/>
        </w:rPr>
        <w:t>П</w:t>
      </w:r>
      <w:r w:rsidRPr="00C47FD4">
        <w:rPr>
          <w:rFonts w:eastAsia="Calibri"/>
          <w:sz w:val="28"/>
          <w:szCs w:val="28"/>
          <w:lang w:eastAsia="en-US"/>
        </w:rPr>
        <w:t xml:space="preserve">рогноз </w:t>
      </w:r>
      <w:r w:rsidRPr="00C47FD4">
        <w:rPr>
          <w:rFonts w:eastAsia="Calibri"/>
          <w:b/>
          <w:sz w:val="28"/>
          <w:szCs w:val="28"/>
          <w:lang w:eastAsia="en-US"/>
        </w:rPr>
        <w:t>на 2022 год</w:t>
      </w:r>
      <w:r w:rsidRPr="00C47FD4">
        <w:rPr>
          <w:rFonts w:eastAsia="Calibri"/>
          <w:sz w:val="28"/>
          <w:szCs w:val="28"/>
          <w:lang w:eastAsia="en-US"/>
        </w:rPr>
        <w:t xml:space="preserve"> составит: П</w:t>
      </w:r>
      <w:r w:rsidRPr="00C47FD4">
        <w:rPr>
          <w:rFonts w:eastAsia="Calibri"/>
          <w:sz w:val="28"/>
          <w:szCs w:val="28"/>
          <w:vertAlign w:val="subscript"/>
          <w:lang w:eastAsia="en-US"/>
        </w:rPr>
        <w:t xml:space="preserve">8.32 </w:t>
      </w:r>
      <w:r w:rsidRPr="00C47FD4">
        <w:rPr>
          <w:rFonts w:eastAsia="Calibri"/>
          <w:sz w:val="28"/>
          <w:szCs w:val="28"/>
          <w:lang w:eastAsia="en-US"/>
        </w:rPr>
        <w:t xml:space="preserve">= 188 * 7,4 = </w:t>
      </w:r>
      <w:r w:rsidRPr="00C47FD4">
        <w:rPr>
          <w:rFonts w:eastAsia="Calibri"/>
          <w:b/>
          <w:sz w:val="28"/>
          <w:szCs w:val="28"/>
          <w:lang w:eastAsia="en-US"/>
        </w:rPr>
        <w:t>1</w:t>
      </w:r>
      <w:r>
        <w:rPr>
          <w:rFonts w:eastAsia="Calibri"/>
          <w:b/>
          <w:sz w:val="28"/>
          <w:szCs w:val="28"/>
          <w:lang w:eastAsia="en-US"/>
        </w:rPr>
        <w:t xml:space="preserve"> </w:t>
      </w:r>
      <w:r w:rsidRPr="00C47FD4">
        <w:rPr>
          <w:rFonts w:eastAsia="Calibri"/>
          <w:b/>
          <w:sz w:val="28"/>
          <w:szCs w:val="28"/>
          <w:lang w:eastAsia="en-US"/>
        </w:rPr>
        <w:t>391,2</w:t>
      </w:r>
      <w:r w:rsidRPr="00C47FD4">
        <w:rPr>
          <w:rFonts w:eastAsia="Calibri"/>
          <w:sz w:val="28"/>
          <w:szCs w:val="28"/>
          <w:lang w:eastAsia="en-US"/>
        </w:rPr>
        <w:t xml:space="preserve"> тыс. руб. </w:t>
      </w:r>
    </w:p>
    <w:p w:rsidR="0055491A" w:rsidRPr="00C47FD4" w:rsidRDefault="0055491A" w:rsidP="0055491A">
      <w:pPr>
        <w:tabs>
          <w:tab w:val="left" w:pos="3195"/>
        </w:tabs>
        <w:autoSpaceDE w:val="0"/>
        <w:autoSpaceDN w:val="0"/>
        <w:adjustRightInd w:val="0"/>
        <w:ind w:firstLine="709"/>
        <w:jc w:val="both"/>
        <w:rPr>
          <w:rFonts w:eastAsia="Calibri"/>
          <w:b/>
          <w:sz w:val="28"/>
          <w:szCs w:val="28"/>
          <w:lang w:eastAsia="en-US"/>
        </w:rPr>
      </w:pPr>
      <w:r w:rsidRPr="00C47FD4">
        <w:rPr>
          <w:rFonts w:eastAsia="Calibri"/>
          <w:b/>
          <w:sz w:val="28"/>
          <w:szCs w:val="28"/>
          <w:lang w:eastAsia="en-US"/>
        </w:rPr>
        <w:t>Определение прогноза на 2023 год:</w:t>
      </w:r>
    </w:p>
    <w:p w:rsidR="0055491A" w:rsidRPr="00C47FD4" w:rsidRDefault="0055491A" w:rsidP="0055491A">
      <w:pPr>
        <w:tabs>
          <w:tab w:val="left" w:pos="3195"/>
        </w:tabs>
        <w:autoSpaceDE w:val="0"/>
        <w:autoSpaceDN w:val="0"/>
        <w:adjustRightInd w:val="0"/>
        <w:ind w:firstLine="709"/>
        <w:jc w:val="both"/>
        <w:rPr>
          <w:rFonts w:eastAsia="Calibri"/>
          <w:sz w:val="28"/>
          <w:szCs w:val="28"/>
          <w:lang w:eastAsia="en-US"/>
        </w:rPr>
      </w:pPr>
      <w:r w:rsidRPr="00C47FD4">
        <w:rPr>
          <w:rFonts w:eastAsia="Calibri"/>
          <w:sz w:val="28"/>
          <w:szCs w:val="28"/>
          <w:lang w:eastAsia="en-US"/>
        </w:rPr>
        <w:t xml:space="preserve">Согласно данным отраслевой отчетности за 2020 год по форме 8-ОИП, утвержденной приказом Минприроды России от 28.12.2015 № 565, количество случаев </w:t>
      </w:r>
      <w:r w:rsidRPr="00C47FD4">
        <w:rPr>
          <w:sz w:val="28"/>
          <w:szCs w:val="28"/>
        </w:rPr>
        <w:t xml:space="preserve">административных правонарушений, предусмотренных </w:t>
      </w:r>
      <w:hyperlink r:id="rId97" w:history="1">
        <w:r w:rsidRPr="00C47FD4">
          <w:rPr>
            <w:sz w:val="28"/>
            <w:szCs w:val="28"/>
          </w:rPr>
          <w:t>статьей 8.32</w:t>
        </w:r>
      </w:hyperlink>
      <w:r w:rsidRPr="00C47FD4">
        <w:rPr>
          <w:sz w:val="28"/>
          <w:szCs w:val="28"/>
        </w:rPr>
        <w:t xml:space="preserve"> КоАП РФ,</w:t>
      </w:r>
      <w:r w:rsidRPr="00C47FD4">
        <w:rPr>
          <w:rFonts w:eastAsia="Calibri"/>
          <w:sz w:val="28"/>
          <w:szCs w:val="28"/>
          <w:lang w:eastAsia="en-US"/>
        </w:rPr>
        <w:t xml:space="preserve"> составляет: в 2020 г. – 189 ед.</w:t>
      </w:r>
    </w:p>
    <w:p w:rsidR="0055491A" w:rsidRPr="00C47FD4" w:rsidRDefault="0055491A" w:rsidP="0055491A">
      <w:pPr>
        <w:tabs>
          <w:tab w:val="left" w:pos="3195"/>
        </w:tabs>
        <w:autoSpaceDE w:val="0"/>
        <w:autoSpaceDN w:val="0"/>
        <w:adjustRightInd w:val="0"/>
        <w:ind w:firstLine="709"/>
        <w:jc w:val="both"/>
        <w:rPr>
          <w:sz w:val="28"/>
          <w:szCs w:val="28"/>
        </w:rPr>
      </w:pPr>
      <w:r w:rsidRPr="00C47FD4">
        <w:rPr>
          <w:rFonts w:eastAsia="Calibri"/>
          <w:sz w:val="28"/>
          <w:szCs w:val="28"/>
          <w:lang w:eastAsia="en-US"/>
        </w:rPr>
        <w:t xml:space="preserve">Количество случаев </w:t>
      </w:r>
      <w:r w:rsidRPr="00C47FD4">
        <w:rPr>
          <w:sz w:val="28"/>
          <w:szCs w:val="28"/>
        </w:rPr>
        <w:t xml:space="preserve">административных правонарушений, предусмотренных </w:t>
      </w:r>
      <w:hyperlink r:id="rId98" w:history="1">
        <w:r w:rsidRPr="00C47FD4">
          <w:rPr>
            <w:b/>
            <w:sz w:val="28"/>
            <w:szCs w:val="28"/>
          </w:rPr>
          <w:t>статьей 8.32</w:t>
        </w:r>
      </w:hyperlink>
      <w:r w:rsidRPr="00C47FD4">
        <w:rPr>
          <w:b/>
          <w:sz w:val="28"/>
          <w:szCs w:val="28"/>
        </w:rPr>
        <w:t xml:space="preserve"> КоАП РФ</w:t>
      </w:r>
      <w:r w:rsidRPr="00C47FD4">
        <w:rPr>
          <w:sz w:val="28"/>
          <w:szCs w:val="28"/>
        </w:rPr>
        <w:t xml:space="preserve">, в 2021 г. принимаем равное </w:t>
      </w:r>
    </w:p>
    <w:p w:rsidR="0055491A" w:rsidRPr="00C47FD4" w:rsidRDefault="0055491A" w:rsidP="0055491A">
      <w:pPr>
        <w:tabs>
          <w:tab w:val="left" w:pos="3195"/>
        </w:tabs>
        <w:autoSpaceDE w:val="0"/>
        <w:autoSpaceDN w:val="0"/>
        <w:adjustRightInd w:val="0"/>
        <w:ind w:firstLine="709"/>
        <w:jc w:val="both"/>
        <w:rPr>
          <w:rFonts w:eastAsia="Calibri"/>
          <w:sz w:val="28"/>
          <w:szCs w:val="28"/>
          <w:lang w:eastAsia="en-US"/>
        </w:rPr>
      </w:pPr>
      <w:r w:rsidRPr="00C47FD4">
        <w:rPr>
          <w:rFonts w:eastAsia="Calibri"/>
          <w:sz w:val="28"/>
          <w:szCs w:val="28"/>
          <w:lang w:eastAsia="en-US"/>
        </w:rPr>
        <w:t>К</w:t>
      </w:r>
      <w:r w:rsidRPr="00C47FD4">
        <w:rPr>
          <w:rFonts w:eastAsia="Calibri"/>
          <w:sz w:val="28"/>
          <w:szCs w:val="28"/>
          <w:vertAlign w:val="superscript"/>
          <w:lang w:eastAsia="en-US"/>
        </w:rPr>
        <w:t>ср2021</w:t>
      </w:r>
      <w:r w:rsidRPr="00C47FD4">
        <w:rPr>
          <w:rFonts w:eastAsia="Calibri"/>
          <w:sz w:val="28"/>
          <w:szCs w:val="28"/>
          <w:vertAlign w:val="subscript"/>
          <w:lang w:eastAsia="en-US"/>
        </w:rPr>
        <w:t xml:space="preserve">8.32 </w:t>
      </w:r>
      <w:r w:rsidRPr="00C47FD4">
        <w:rPr>
          <w:rFonts w:eastAsia="Calibri"/>
          <w:sz w:val="28"/>
          <w:szCs w:val="28"/>
          <w:lang w:eastAsia="en-US"/>
        </w:rPr>
        <w:t>= 187 ед.</w:t>
      </w:r>
    </w:p>
    <w:p w:rsidR="0055491A" w:rsidRPr="00C47FD4" w:rsidRDefault="0055491A" w:rsidP="0055491A">
      <w:pPr>
        <w:tabs>
          <w:tab w:val="left" w:pos="3195"/>
        </w:tabs>
        <w:autoSpaceDE w:val="0"/>
        <w:autoSpaceDN w:val="0"/>
        <w:adjustRightInd w:val="0"/>
        <w:ind w:firstLine="709"/>
        <w:jc w:val="both"/>
        <w:rPr>
          <w:sz w:val="28"/>
          <w:szCs w:val="28"/>
        </w:rPr>
      </w:pPr>
      <w:r w:rsidRPr="00C47FD4">
        <w:rPr>
          <w:rFonts w:eastAsia="Calibri"/>
          <w:sz w:val="28"/>
          <w:szCs w:val="28"/>
          <w:lang w:eastAsia="en-US"/>
        </w:rPr>
        <w:t xml:space="preserve">Количество случаев </w:t>
      </w:r>
      <w:r w:rsidRPr="00C47FD4">
        <w:rPr>
          <w:sz w:val="28"/>
          <w:szCs w:val="28"/>
        </w:rPr>
        <w:t xml:space="preserve">административных правонарушений, предусмотренных </w:t>
      </w:r>
      <w:hyperlink r:id="rId99" w:history="1">
        <w:r w:rsidRPr="00C47FD4">
          <w:rPr>
            <w:b/>
            <w:sz w:val="28"/>
            <w:szCs w:val="28"/>
          </w:rPr>
          <w:t>статьей 8.32</w:t>
        </w:r>
      </w:hyperlink>
      <w:r w:rsidRPr="00C47FD4">
        <w:rPr>
          <w:b/>
          <w:sz w:val="28"/>
          <w:szCs w:val="28"/>
        </w:rPr>
        <w:t xml:space="preserve"> КоАП РФ</w:t>
      </w:r>
      <w:r w:rsidRPr="00C47FD4">
        <w:rPr>
          <w:sz w:val="28"/>
          <w:szCs w:val="28"/>
        </w:rPr>
        <w:t xml:space="preserve">, в 2022 г. принимаем равное </w:t>
      </w:r>
    </w:p>
    <w:p w:rsidR="0055491A" w:rsidRPr="00C47FD4" w:rsidRDefault="0055491A" w:rsidP="0055491A">
      <w:pPr>
        <w:tabs>
          <w:tab w:val="left" w:pos="3195"/>
        </w:tabs>
        <w:autoSpaceDE w:val="0"/>
        <w:autoSpaceDN w:val="0"/>
        <w:adjustRightInd w:val="0"/>
        <w:ind w:firstLine="709"/>
        <w:jc w:val="both"/>
        <w:rPr>
          <w:rFonts w:eastAsia="Calibri"/>
          <w:sz w:val="28"/>
          <w:szCs w:val="28"/>
          <w:lang w:eastAsia="en-US"/>
        </w:rPr>
      </w:pPr>
      <w:r w:rsidRPr="00C47FD4">
        <w:rPr>
          <w:rFonts w:eastAsia="Calibri"/>
          <w:sz w:val="28"/>
          <w:szCs w:val="28"/>
          <w:lang w:eastAsia="en-US"/>
        </w:rPr>
        <w:t>К</w:t>
      </w:r>
      <w:r w:rsidRPr="00C47FD4">
        <w:rPr>
          <w:rFonts w:eastAsia="Calibri"/>
          <w:sz w:val="28"/>
          <w:szCs w:val="28"/>
          <w:vertAlign w:val="superscript"/>
          <w:lang w:eastAsia="en-US"/>
        </w:rPr>
        <w:t>ср2022</w:t>
      </w:r>
      <w:r w:rsidRPr="00C47FD4">
        <w:rPr>
          <w:rFonts w:eastAsia="Calibri"/>
          <w:sz w:val="28"/>
          <w:szCs w:val="28"/>
          <w:vertAlign w:val="subscript"/>
          <w:lang w:eastAsia="en-US"/>
        </w:rPr>
        <w:t xml:space="preserve">8.32 </w:t>
      </w:r>
      <w:r w:rsidRPr="00C47FD4">
        <w:rPr>
          <w:rFonts w:eastAsia="Calibri"/>
          <w:sz w:val="28"/>
          <w:szCs w:val="28"/>
          <w:lang w:eastAsia="en-US"/>
        </w:rPr>
        <w:t>= 188 ед.</w:t>
      </w:r>
    </w:p>
    <w:p w:rsidR="0055491A" w:rsidRPr="00C47FD4" w:rsidRDefault="0055491A" w:rsidP="0055491A">
      <w:pPr>
        <w:tabs>
          <w:tab w:val="left" w:pos="3195"/>
        </w:tabs>
        <w:autoSpaceDE w:val="0"/>
        <w:autoSpaceDN w:val="0"/>
        <w:adjustRightInd w:val="0"/>
        <w:ind w:firstLine="709"/>
        <w:jc w:val="both"/>
        <w:rPr>
          <w:rFonts w:eastAsia="Calibri"/>
          <w:sz w:val="28"/>
          <w:szCs w:val="28"/>
          <w:lang w:eastAsia="en-US"/>
        </w:rPr>
      </w:pPr>
      <w:r w:rsidRPr="00C47FD4">
        <w:rPr>
          <w:rFonts w:eastAsia="Calibri"/>
          <w:sz w:val="28"/>
          <w:szCs w:val="28"/>
          <w:lang w:eastAsia="en-US"/>
        </w:rPr>
        <w:lastRenderedPageBreak/>
        <w:t>Таким образом, К</w:t>
      </w:r>
      <w:r w:rsidRPr="00C47FD4">
        <w:rPr>
          <w:rFonts w:eastAsia="Calibri"/>
          <w:sz w:val="28"/>
          <w:szCs w:val="28"/>
          <w:vertAlign w:val="superscript"/>
          <w:lang w:eastAsia="en-US"/>
        </w:rPr>
        <w:t>ср2023</w:t>
      </w:r>
      <w:r w:rsidRPr="00C47FD4">
        <w:rPr>
          <w:rFonts w:eastAsia="Calibri"/>
          <w:sz w:val="28"/>
          <w:szCs w:val="28"/>
          <w:vertAlign w:val="subscript"/>
          <w:lang w:eastAsia="en-US"/>
        </w:rPr>
        <w:t xml:space="preserve">8.32 </w:t>
      </w:r>
      <w:r w:rsidRPr="00C47FD4">
        <w:rPr>
          <w:rFonts w:eastAsia="Calibri"/>
          <w:sz w:val="28"/>
          <w:szCs w:val="28"/>
          <w:lang w:eastAsia="en-US"/>
        </w:rPr>
        <w:t>= (189+187+188) / 3 = 188 (ед.)</w:t>
      </w:r>
    </w:p>
    <w:p w:rsidR="0055491A" w:rsidRPr="00C47FD4" w:rsidRDefault="0055491A" w:rsidP="0055491A">
      <w:pPr>
        <w:tabs>
          <w:tab w:val="left" w:pos="3195"/>
        </w:tabs>
        <w:autoSpaceDE w:val="0"/>
        <w:autoSpaceDN w:val="0"/>
        <w:adjustRightInd w:val="0"/>
        <w:ind w:firstLine="709"/>
        <w:jc w:val="both"/>
        <w:rPr>
          <w:rFonts w:eastAsia="Calibri"/>
          <w:sz w:val="28"/>
          <w:szCs w:val="28"/>
          <w:lang w:eastAsia="en-US"/>
        </w:rPr>
      </w:pPr>
      <w:r w:rsidRPr="00C47FD4">
        <w:rPr>
          <w:rFonts w:eastAsia="Calibri"/>
          <w:sz w:val="28"/>
          <w:szCs w:val="28"/>
          <w:lang w:eastAsia="en-US"/>
        </w:rPr>
        <w:t>Р</w:t>
      </w:r>
      <w:r w:rsidRPr="00C47FD4">
        <w:rPr>
          <w:rFonts w:eastAsia="Calibri"/>
          <w:sz w:val="28"/>
          <w:szCs w:val="28"/>
          <w:vertAlign w:val="superscript"/>
          <w:lang w:eastAsia="en-US"/>
        </w:rPr>
        <w:t>ср</w:t>
      </w:r>
      <w:r w:rsidRPr="00C47FD4">
        <w:rPr>
          <w:rFonts w:eastAsia="Calibri"/>
          <w:sz w:val="28"/>
          <w:szCs w:val="28"/>
          <w:vertAlign w:val="subscript"/>
          <w:lang w:eastAsia="en-US"/>
        </w:rPr>
        <w:t xml:space="preserve">8.32 </w:t>
      </w:r>
      <w:r w:rsidRPr="00C47FD4">
        <w:rPr>
          <w:rFonts w:eastAsia="Calibri"/>
          <w:sz w:val="28"/>
          <w:szCs w:val="28"/>
          <w:lang w:eastAsia="en-US"/>
        </w:rPr>
        <w:t>= 7,4 тыс. руб.</w:t>
      </w:r>
    </w:p>
    <w:p w:rsidR="0055491A" w:rsidRPr="00C47FD4" w:rsidRDefault="0055491A" w:rsidP="0055491A">
      <w:pPr>
        <w:tabs>
          <w:tab w:val="left" w:pos="3195"/>
        </w:tabs>
        <w:autoSpaceDE w:val="0"/>
        <w:autoSpaceDN w:val="0"/>
        <w:adjustRightInd w:val="0"/>
        <w:ind w:firstLine="709"/>
        <w:jc w:val="both"/>
        <w:rPr>
          <w:rFonts w:eastAsia="Calibri"/>
          <w:sz w:val="28"/>
          <w:szCs w:val="28"/>
          <w:lang w:eastAsia="en-US"/>
        </w:rPr>
      </w:pPr>
      <w:r>
        <w:rPr>
          <w:rFonts w:eastAsia="Calibri"/>
          <w:sz w:val="28"/>
          <w:szCs w:val="28"/>
          <w:lang w:eastAsia="en-US"/>
        </w:rPr>
        <w:t>П</w:t>
      </w:r>
      <w:r w:rsidRPr="00C47FD4">
        <w:rPr>
          <w:rFonts w:eastAsia="Calibri"/>
          <w:sz w:val="28"/>
          <w:szCs w:val="28"/>
          <w:lang w:eastAsia="en-US"/>
        </w:rPr>
        <w:t xml:space="preserve">рогноз </w:t>
      </w:r>
      <w:r w:rsidRPr="00C47FD4">
        <w:rPr>
          <w:rFonts w:eastAsia="Calibri"/>
          <w:b/>
          <w:sz w:val="28"/>
          <w:szCs w:val="28"/>
          <w:lang w:eastAsia="en-US"/>
        </w:rPr>
        <w:t>на 2023 год</w:t>
      </w:r>
      <w:r w:rsidRPr="00C47FD4">
        <w:rPr>
          <w:rFonts w:eastAsia="Calibri"/>
          <w:sz w:val="28"/>
          <w:szCs w:val="28"/>
          <w:lang w:eastAsia="en-US"/>
        </w:rPr>
        <w:t xml:space="preserve"> составит: </w:t>
      </w:r>
    </w:p>
    <w:p w:rsidR="0055491A" w:rsidRPr="00C47FD4" w:rsidRDefault="0055491A" w:rsidP="0055491A">
      <w:pPr>
        <w:tabs>
          <w:tab w:val="left" w:pos="3195"/>
        </w:tabs>
        <w:autoSpaceDE w:val="0"/>
        <w:autoSpaceDN w:val="0"/>
        <w:adjustRightInd w:val="0"/>
        <w:ind w:firstLine="709"/>
        <w:jc w:val="both"/>
        <w:rPr>
          <w:rFonts w:eastAsia="Calibri"/>
          <w:sz w:val="28"/>
          <w:szCs w:val="28"/>
          <w:lang w:eastAsia="en-US"/>
        </w:rPr>
      </w:pPr>
      <w:r w:rsidRPr="00C47FD4">
        <w:rPr>
          <w:rFonts w:eastAsia="Calibri"/>
          <w:sz w:val="28"/>
          <w:szCs w:val="28"/>
          <w:lang w:eastAsia="en-US"/>
        </w:rPr>
        <w:t>П</w:t>
      </w:r>
      <w:r w:rsidRPr="00C47FD4">
        <w:rPr>
          <w:rFonts w:eastAsia="Calibri"/>
          <w:sz w:val="28"/>
          <w:szCs w:val="28"/>
          <w:vertAlign w:val="subscript"/>
          <w:lang w:eastAsia="en-US"/>
        </w:rPr>
        <w:t xml:space="preserve">8.32 </w:t>
      </w:r>
      <w:r w:rsidRPr="00C47FD4">
        <w:rPr>
          <w:rFonts w:eastAsia="Calibri"/>
          <w:sz w:val="28"/>
          <w:szCs w:val="28"/>
          <w:lang w:eastAsia="en-US"/>
        </w:rPr>
        <w:t xml:space="preserve">= 188 * 7,4 = </w:t>
      </w:r>
      <w:r w:rsidRPr="00C47FD4">
        <w:rPr>
          <w:rFonts w:eastAsia="Calibri"/>
          <w:b/>
          <w:sz w:val="28"/>
          <w:szCs w:val="28"/>
          <w:lang w:eastAsia="en-US"/>
        </w:rPr>
        <w:t>1</w:t>
      </w:r>
      <w:r>
        <w:rPr>
          <w:rFonts w:eastAsia="Calibri"/>
          <w:b/>
          <w:sz w:val="28"/>
          <w:szCs w:val="28"/>
          <w:lang w:eastAsia="en-US"/>
        </w:rPr>
        <w:t xml:space="preserve"> </w:t>
      </w:r>
      <w:r w:rsidRPr="00C47FD4">
        <w:rPr>
          <w:rFonts w:eastAsia="Calibri"/>
          <w:b/>
          <w:sz w:val="28"/>
          <w:szCs w:val="28"/>
          <w:lang w:eastAsia="en-US"/>
        </w:rPr>
        <w:t>391,2</w:t>
      </w:r>
      <w:r w:rsidRPr="00C47FD4">
        <w:rPr>
          <w:rFonts w:eastAsia="Calibri"/>
          <w:sz w:val="28"/>
          <w:szCs w:val="28"/>
          <w:lang w:eastAsia="en-US"/>
        </w:rPr>
        <w:t xml:space="preserve"> тыс. руб. </w:t>
      </w:r>
    </w:p>
    <w:p w:rsidR="0055491A" w:rsidRPr="00C47FD4" w:rsidRDefault="0055491A" w:rsidP="0055491A">
      <w:pPr>
        <w:tabs>
          <w:tab w:val="left" w:pos="3195"/>
        </w:tabs>
        <w:autoSpaceDE w:val="0"/>
        <w:autoSpaceDN w:val="0"/>
        <w:adjustRightInd w:val="0"/>
        <w:ind w:firstLine="709"/>
        <w:jc w:val="both"/>
        <w:rPr>
          <w:rFonts w:eastAsia="Calibri"/>
          <w:b/>
          <w:sz w:val="28"/>
          <w:szCs w:val="28"/>
          <w:lang w:eastAsia="en-US"/>
        </w:rPr>
      </w:pPr>
      <w:r w:rsidRPr="00C47FD4">
        <w:rPr>
          <w:rFonts w:eastAsia="Calibri"/>
          <w:b/>
          <w:sz w:val="28"/>
          <w:szCs w:val="28"/>
          <w:lang w:eastAsia="en-US"/>
        </w:rPr>
        <w:t>Определение прогноза на 2024 год:</w:t>
      </w:r>
    </w:p>
    <w:p w:rsidR="0055491A" w:rsidRPr="00C47FD4" w:rsidRDefault="0055491A" w:rsidP="0055491A">
      <w:pPr>
        <w:tabs>
          <w:tab w:val="left" w:pos="3195"/>
        </w:tabs>
        <w:autoSpaceDE w:val="0"/>
        <w:autoSpaceDN w:val="0"/>
        <w:adjustRightInd w:val="0"/>
        <w:ind w:firstLine="709"/>
        <w:jc w:val="both"/>
        <w:rPr>
          <w:sz w:val="28"/>
          <w:szCs w:val="28"/>
        </w:rPr>
      </w:pPr>
      <w:r w:rsidRPr="00C47FD4">
        <w:rPr>
          <w:rFonts w:eastAsia="Calibri"/>
          <w:sz w:val="28"/>
          <w:szCs w:val="28"/>
          <w:lang w:eastAsia="en-US"/>
        </w:rPr>
        <w:t>Согласно методике</w:t>
      </w:r>
      <w:r w:rsidRPr="00C47FD4">
        <w:rPr>
          <w:sz w:val="28"/>
          <w:szCs w:val="28"/>
        </w:rPr>
        <w:t xml:space="preserve"> прогнозирования поступлений доходов</w:t>
      </w:r>
      <w:r w:rsidRPr="00C47FD4">
        <w:rPr>
          <w:rFonts w:eastAsia="Calibri"/>
          <w:sz w:val="28"/>
          <w:szCs w:val="28"/>
          <w:lang w:eastAsia="en-US"/>
        </w:rPr>
        <w:t>, п</w:t>
      </w:r>
      <w:r w:rsidRPr="00C47FD4">
        <w:rPr>
          <w:sz w:val="28"/>
          <w:szCs w:val="28"/>
        </w:rPr>
        <w:t xml:space="preserve">рогноз на второй год планового периода принимается на уровне прогноза первого года планового периода. </w:t>
      </w:r>
      <w:r w:rsidRPr="00C47FD4">
        <w:rPr>
          <w:rFonts w:eastAsia="Calibri"/>
          <w:sz w:val="28"/>
          <w:szCs w:val="28"/>
          <w:lang w:eastAsia="en-US"/>
        </w:rPr>
        <w:t>Прогноз на 2023 год составляет 1391,2 тыс. руб.</w:t>
      </w:r>
    </w:p>
    <w:p w:rsidR="0055491A" w:rsidRDefault="0055491A" w:rsidP="0055491A">
      <w:pPr>
        <w:ind w:firstLine="709"/>
        <w:jc w:val="both"/>
        <w:rPr>
          <w:rFonts w:eastAsia="Calibri"/>
          <w:b/>
          <w:sz w:val="28"/>
          <w:szCs w:val="28"/>
          <w:lang w:eastAsia="en-US"/>
        </w:rPr>
      </w:pPr>
      <w:r w:rsidRPr="00C47FD4">
        <w:rPr>
          <w:sz w:val="28"/>
          <w:szCs w:val="28"/>
        </w:rPr>
        <w:t xml:space="preserve">Таким образом, </w:t>
      </w:r>
      <w:r>
        <w:rPr>
          <w:rFonts w:eastAsia="Calibri"/>
          <w:sz w:val="28"/>
          <w:szCs w:val="28"/>
          <w:lang w:eastAsia="en-US"/>
        </w:rPr>
        <w:t>п</w:t>
      </w:r>
      <w:r w:rsidRPr="00C47FD4">
        <w:rPr>
          <w:rFonts w:eastAsia="Calibri"/>
          <w:sz w:val="28"/>
          <w:szCs w:val="28"/>
          <w:lang w:eastAsia="en-US"/>
        </w:rPr>
        <w:t xml:space="preserve">рогноз на </w:t>
      </w:r>
      <w:r w:rsidRPr="00C47FD4">
        <w:rPr>
          <w:rFonts w:eastAsia="Calibri"/>
          <w:b/>
          <w:sz w:val="28"/>
          <w:szCs w:val="28"/>
          <w:lang w:eastAsia="en-US"/>
        </w:rPr>
        <w:t>2024 го</w:t>
      </w:r>
      <w:r>
        <w:rPr>
          <w:rFonts w:eastAsia="Calibri"/>
          <w:b/>
          <w:sz w:val="28"/>
          <w:szCs w:val="28"/>
          <w:lang w:eastAsia="en-US"/>
        </w:rPr>
        <w:t>д 1 391,2 тыс. руб.</w:t>
      </w:r>
    </w:p>
    <w:p w:rsidR="0055491A" w:rsidRDefault="0055491A" w:rsidP="0055491A">
      <w:pPr>
        <w:ind w:firstLine="709"/>
        <w:jc w:val="both"/>
        <w:rPr>
          <w:sz w:val="28"/>
          <w:szCs w:val="28"/>
        </w:rPr>
      </w:pPr>
    </w:p>
    <w:p w:rsidR="0055491A" w:rsidRDefault="0055491A" w:rsidP="0055491A">
      <w:pPr>
        <w:pStyle w:val="a7"/>
        <w:spacing w:after="0"/>
        <w:ind w:left="0" w:firstLine="709"/>
        <w:jc w:val="both"/>
        <w:rPr>
          <w:sz w:val="28"/>
          <w:szCs w:val="28"/>
        </w:rPr>
      </w:pPr>
      <w:r>
        <w:rPr>
          <w:sz w:val="28"/>
          <w:szCs w:val="28"/>
        </w:rPr>
        <w:t xml:space="preserve">4.4 </w:t>
      </w:r>
      <w:r w:rsidRPr="00515AEB">
        <w:rPr>
          <w:b/>
          <w:sz w:val="28"/>
          <w:szCs w:val="28"/>
        </w:rPr>
        <w:t>КБК 335 1 16 01083 01 0000 140</w:t>
      </w:r>
      <w:r>
        <w:rPr>
          <w:sz w:val="28"/>
          <w:szCs w:val="28"/>
        </w:rPr>
        <w:t xml:space="preserve"> </w:t>
      </w:r>
      <w:r w:rsidRPr="0051259E">
        <w:rPr>
          <w:sz w:val="28"/>
          <w:szCs w:val="28"/>
        </w:rPr>
        <w:t xml:space="preserve">Административные штрафы, установленные Главой </w:t>
      </w:r>
      <w:r>
        <w:rPr>
          <w:sz w:val="28"/>
          <w:szCs w:val="28"/>
        </w:rPr>
        <w:t>8</w:t>
      </w:r>
      <w:r w:rsidRPr="0051259E">
        <w:rPr>
          <w:sz w:val="28"/>
          <w:szCs w:val="28"/>
        </w:rPr>
        <w:t xml:space="preserve"> Кодекса Российской Федерации об административны</w:t>
      </w:r>
      <w:r>
        <w:rPr>
          <w:sz w:val="28"/>
          <w:szCs w:val="28"/>
        </w:rPr>
        <w:t>е</w:t>
      </w:r>
      <w:r w:rsidRPr="0051259E">
        <w:rPr>
          <w:sz w:val="28"/>
          <w:szCs w:val="28"/>
        </w:rPr>
        <w:t xml:space="preserve"> правонарушения</w:t>
      </w:r>
      <w:r>
        <w:rPr>
          <w:sz w:val="28"/>
          <w:szCs w:val="28"/>
        </w:rPr>
        <w:t xml:space="preserve"> </w:t>
      </w:r>
      <w:r w:rsidRPr="004D2275">
        <w:rPr>
          <w:color w:val="000000"/>
          <w:sz w:val="28"/>
          <w:szCs w:val="28"/>
        </w:rPr>
        <w:t>в области охраны окружающей среды и природопользования</w:t>
      </w:r>
      <w:r w:rsidRPr="0051259E">
        <w:rPr>
          <w:sz w:val="28"/>
          <w:szCs w:val="28"/>
        </w:rPr>
        <w:t>, налагаемые мировыми судьями, комиссиями по делам несовершеннолетних и защите их п</w:t>
      </w:r>
      <w:r>
        <w:rPr>
          <w:sz w:val="28"/>
          <w:szCs w:val="28"/>
        </w:rPr>
        <w:t>рав.</w:t>
      </w:r>
    </w:p>
    <w:p w:rsidR="0055491A" w:rsidRPr="00515AEB" w:rsidRDefault="0055491A" w:rsidP="0055491A">
      <w:pPr>
        <w:pStyle w:val="a7"/>
        <w:spacing w:after="0"/>
        <w:ind w:left="0" w:firstLine="709"/>
        <w:jc w:val="both"/>
        <w:rPr>
          <w:b/>
          <w:sz w:val="28"/>
          <w:szCs w:val="28"/>
        </w:rPr>
      </w:pPr>
      <w:r w:rsidRPr="00515AEB">
        <w:rPr>
          <w:b/>
          <w:sz w:val="28"/>
          <w:szCs w:val="28"/>
        </w:rPr>
        <w:t>Главный администратор доходов – Главное управление региональной безопасности Тверской области.</w:t>
      </w:r>
    </w:p>
    <w:p w:rsidR="0055491A" w:rsidRDefault="0055491A" w:rsidP="0055491A">
      <w:pPr>
        <w:pStyle w:val="ConsPlusNormal"/>
        <w:tabs>
          <w:tab w:val="left" w:pos="1276"/>
          <w:tab w:val="left" w:pos="1418"/>
        </w:tabs>
        <w:ind w:firstLine="709"/>
        <w:jc w:val="both"/>
        <w:rPr>
          <w:rFonts w:ascii="Times New Roman" w:hAnsi="Times New Roman" w:cs="Times New Roman"/>
          <w:sz w:val="28"/>
          <w:szCs w:val="28"/>
        </w:rPr>
      </w:pPr>
      <w:r w:rsidRPr="00D4062A">
        <w:rPr>
          <w:rFonts w:ascii="Times New Roman" w:hAnsi="Times New Roman" w:cs="Times New Roman"/>
          <w:sz w:val="28"/>
          <w:szCs w:val="28"/>
        </w:rPr>
        <w:t>Прогноз поступлений определен методом прямого расчета</w:t>
      </w:r>
      <w:r>
        <w:rPr>
          <w:rFonts w:ascii="Times New Roman" w:hAnsi="Times New Roman" w:cs="Times New Roman"/>
          <w:sz w:val="28"/>
          <w:szCs w:val="28"/>
        </w:rPr>
        <w:t>.</w:t>
      </w:r>
    </w:p>
    <w:p w:rsidR="0055491A" w:rsidRPr="000B0625" w:rsidRDefault="0055491A" w:rsidP="0055491A">
      <w:pPr>
        <w:pStyle w:val="a7"/>
        <w:spacing w:after="0"/>
        <w:ind w:left="0" w:firstLine="709"/>
        <w:jc w:val="both"/>
        <w:rPr>
          <w:sz w:val="28"/>
          <w:szCs w:val="28"/>
        </w:rPr>
      </w:pPr>
      <w:r>
        <w:rPr>
          <w:sz w:val="28"/>
          <w:szCs w:val="28"/>
        </w:rPr>
        <w:t>Р</w:t>
      </w:r>
      <w:r w:rsidRPr="000B0625">
        <w:rPr>
          <w:sz w:val="28"/>
          <w:szCs w:val="28"/>
        </w:rPr>
        <w:t>асчета прогноза на 20</w:t>
      </w:r>
      <w:r>
        <w:rPr>
          <w:sz w:val="28"/>
          <w:szCs w:val="28"/>
        </w:rPr>
        <w:t>22</w:t>
      </w:r>
      <w:r w:rsidRPr="000B0625">
        <w:rPr>
          <w:sz w:val="28"/>
          <w:szCs w:val="28"/>
        </w:rPr>
        <w:t xml:space="preserve"> год представлен в таблице</w:t>
      </w:r>
      <w:r>
        <w:rPr>
          <w:sz w:val="28"/>
          <w:szCs w:val="28"/>
        </w:rPr>
        <w:t xml:space="preserve"> с учетом норматива зачисления в областной бюджет Тверской области 50%</w:t>
      </w:r>
      <w:r w:rsidRPr="000B0625">
        <w:rPr>
          <w:sz w:val="28"/>
          <w:szCs w:val="28"/>
        </w:rPr>
        <w:t>:</w:t>
      </w:r>
    </w:p>
    <w:tbl>
      <w:tblPr>
        <w:tblW w:w="9417" w:type="dxa"/>
        <w:tblInd w:w="-5" w:type="dxa"/>
        <w:tblLook w:val="04A0" w:firstRow="1" w:lastRow="0" w:firstColumn="1" w:lastColumn="0" w:noHBand="0" w:noVBand="1"/>
      </w:tblPr>
      <w:tblGrid>
        <w:gridCol w:w="513"/>
        <w:gridCol w:w="2857"/>
        <w:gridCol w:w="1361"/>
        <w:gridCol w:w="1683"/>
        <w:gridCol w:w="1520"/>
        <w:gridCol w:w="1483"/>
      </w:tblGrid>
      <w:tr w:rsidR="0055491A" w:rsidTr="00210BF6">
        <w:trPr>
          <w:trHeight w:val="1625"/>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1A" w:rsidRPr="00CE070F" w:rsidRDefault="0055491A" w:rsidP="00210BF6">
            <w:pPr>
              <w:jc w:val="center"/>
              <w:rPr>
                <w:sz w:val="22"/>
                <w:szCs w:val="22"/>
              </w:rPr>
            </w:pPr>
            <w:r w:rsidRPr="00CE070F">
              <w:rPr>
                <w:sz w:val="22"/>
                <w:szCs w:val="22"/>
              </w:rPr>
              <w:t>№ п/п</w:t>
            </w:r>
          </w:p>
        </w:tc>
        <w:tc>
          <w:tcPr>
            <w:tcW w:w="2947" w:type="dxa"/>
            <w:tcBorders>
              <w:top w:val="single" w:sz="4" w:space="0" w:color="auto"/>
              <w:left w:val="nil"/>
              <w:bottom w:val="single" w:sz="4" w:space="0" w:color="auto"/>
              <w:right w:val="single" w:sz="4" w:space="0" w:color="auto"/>
            </w:tcBorders>
            <w:shd w:val="clear" w:color="auto" w:fill="auto"/>
            <w:vAlign w:val="center"/>
            <w:hideMark/>
          </w:tcPr>
          <w:p w:rsidR="0055491A" w:rsidRPr="00CE070F" w:rsidRDefault="0055491A" w:rsidP="00210BF6">
            <w:pPr>
              <w:jc w:val="center"/>
              <w:rPr>
                <w:sz w:val="22"/>
                <w:szCs w:val="22"/>
              </w:rPr>
            </w:pPr>
            <w:r w:rsidRPr="00CE070F">
              <w:rPr>
                <w:sz w:val="22"/>
                <w:szCs w:val="22"/>
              </w:rPr>
              <w:t>Вид правонарушений</w:t>
            </w:r>
          </w:p>
        </w:tc>
        <w:tc>
          <w:tcPr>
            <w:tcW w:w="1367" w:type="dxa"/>
            <w:tcBorders>
              <w:top w:val="single" w:sz="4" w:space="0" w:color="auto"/>
              <w:left w:val="nil"/>
              <w:bottom w:val="single" w:sz="4" w:space="0" w:color="auto"/>
              <w:right w:val="single" w:sz="4" w:space="0" w:color="auto"/>
            </w:tcBorders>
            <w:shd w:val="clear" w:color="auto" w:fill="auto"/>
            <w:vAlign w:val="center"/>
            <w:hideMark/>
          </w:tcPr>
          <w:p w:rsidR="0055491A" w:rsidRPr="00CE070F" w:rsidRDefault="0055491A" w:rsidP="00210BF6">
            <w:pPr>
              <w:jc w:val="center"/>
              <w:rPr>
                <w:sz w:val="22"/>
                <w:szCs w:val="22"/>
              </w:rPr>
            </w:pPr>
            <w:r w:rsidRPr="00CE070F">
              <w:rPr>
                <w:sz w:val="22"/>
                <w:szCs w:val="22"/>
              </w:rPr>
              <w:t>Средний размер штрафа (средний областной), тыс. руб.</w:t>
            </w:r>
          </w:p>
        </w:tc>
        <w:tc>
          <w:tcPr>
            <w:tcW w:w="1637" w:type="dxa"/>
            <w:tcBorders>
              <w:top w:val="single" w:sz="4" w:space="0" w:color="auto"/>
              <w:left w:val="nil"/>
              <w:bottom w:val="single" w:sz="4" w:space="0" w:color="auto"/>
              <w:right w:val="single" w:sz="4" w:space="0" w:color="auto"/>
            </w:tcBorders>
            <w:shd w:val="clear" w:color="auto" w:fill="auto"/>
            <w:vAlign w:val="center"/>
            <w:hideMark/>
          </w:tcPr>
          <w:p w:rsidR="0055491A" w:rsidRPr="00CE070F" w:rsidRDefault="0055491A" w:rsidP="00210BF6">
            <w:pPr>
              <w:jc w:val="center"/>
              <w:rPr>
                <w:sz w:val="22"/>
                <w:szCs w:val="22"/>
              </w:rPr>
            </w:pPr>
            <w:r w:rsidRPr="00CE070F">
              <w:rPr>
                <w:sz w:val="22"/>
                <w:szCs w:val="22"/>
              </w:rPr>
              <w:t>Количество постановлений, штук</w:t>
            </w:r>
          </w:p>
        </w:tc>
        <w:tc>
          <w:tcPr>
            <w:tcW w:w="1483" w:type="dxa"/>
            <w:tcBorders>
              <w:top w:val="single" w:sz="4" w:space="0" w:color="auto"/>
              <w:left w:val="nil"/>
              <w:bottom w:val="single" w:sz="4" w:space="0" w:color="auto"/>
              <w:right w:val="single" w:sz="4" w:space="0" w:color="auto"/>
            </w:tcBorders>
            <w:shd w:val="clear" w:color="auto" w:fill="auto"/>
            <w:vAlign w:val="center"/>
            <w:hideMark/>
          </w:tcPr>
          <w:p w:rsidR="0055491A" w:rsidRPr="00CE070F" w:rsidRDefault="0055491A" w:rsidP="00210BF6">
            <w:pPr>
              <w:jc w:val="center"/>
              <w:rPr>
                <w:sz w:val="22"/>
                <w:szCs w:val="22"/>
              </w:rPr>
            </w:pPr>
            <w:r w:rsidRPr="00CE070F">
              <w:rPr>
                <w:sz w:val="22"/>
                <w:szCs w:val="22"/>
              </w:rPr>
              <w:t>Коэффициент собираемости (средний областной), %</w:t>
            </w:r>
          </w:p>
        </w:tc>
        <w:tc>
          <w:tcPr>
            <w:tcW w:w="1483" w:type="dxa"/>
            <w:tcBorders>
              <w:top w:val="single" w:sz="4" w:space="0" w:color="auto"/>
              <w:left w:val="nil"/>
              <w:bottom w:val="single" w:sz="4" w:space="0" w:color="auto"/>
              <w:right w:val="single" w:sz="4" w:space="0" w:color="auto"/>
            </w:tcBorders>
            <w:shd w:val="clear" w:color="auto" w:fill="auto"/>
            <w:vAlign w:val="center"/>
            <w:hideMark/>
          </w:tcPr>
          <w:p w:rsidR="0055491A" w:rsidRPr="00CE070F" w:rsidRDefault="0055491A" w:rsidP="00210BF6">
            <w:pPr>
              <w:jc w:val="center"/>
              <w:rPr>
                <w:sz w:val="22"/>
                <w:szCs w:val="22"/>
              </w:rPr>
            </w:pPr>
            <w:r w:rsidRPr="00CE070F">
              <w:rPr>
                <w:sz w:val="22"/>
                <w:szCs w:val="22"/>
              </w:rPr>
              <w:t>Прогноз поступлений, тыс. руб. (ст.3*4*5/2)</w:t>
            </w:r>
          </w:p>
        </w:tc>
      </w:tr>
      <w:tr w:rsidR="0055491A" w:rsidTr="00210BF6">
        <w:trPr>
          <w:trHeight w:val="274"/>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5491A" w:rsidRPr="00CE070F" w:rsidRDefault="0055491A" w:rsidP="00210BF6">
            <w:pPr>
              <w:jc w:val="center"/>
              <w:rPr>
                <w:sz w:val="18"/>
                <w:szCs w:val="18"/>
              </w:rPr>
            </w:pPr>
            <w:r w:rsidRPr="00CE070F">
              <w:rPr>
                <w:sz w:val="18"/>
                <w:szCs w:val="18"/>
              </w:rPr>
              <w:t>1</w:t>
            </w:r>
          </w:p>
        </w:tc>
        <w:tc>
          <w:tcPr>
            <w:tcW w:w="2947" w:type="dxa"/>
            <w:tcBorders>
              <w:top w:val="nil"/>
              <w:left w:val="nil"/>
              <w:bottom w:val="single" w:sz="4" w:space="0" w:color="auto"/>
              <w:right w:val="single" w:sz="4" w:space="0" w:color="auto"/>
            </w:tcBorders>
            <w:shd w:val="clear" w:color="auto" w:fill="auto"/>
            <w:vAlign w:val="center"/>
            <w:hideMark/>
          </w:tcPr>
          <w:p w:rsidR="0055491A" w:rsidRPr="00CE070F" w:rsidRDefault="0055491A" w:rsidP="00210BF6">
            <w:pPr>
              <w:jc w:val="center"/>
              <w:rPr>
                <w:sz w:val="18"/>
                <w:szCs w:val="18"/>
              </w:rPr>
            </w:pPr>
            <w:r w:rsidRPr="00CE070F">
              <w:rPr>
                <w:sz w:val="18"/>
                <w:szCs w:val="18"/>
              </w:rPr>
              <w:t>2</w:t>
            </w:r>
          </w:p>
        </w:tc>
        <w:tc>
          <w:tcPr>
            <w:tcW w:w="1367" w:type="dxa"/>
            <w:tcBorders>
              <w:top w:val="nil"/>
              <w:left w:val="nil"/>
              <w:bottom w:val="single" w:sz="4" w:space="0" w:color="auto"/>
              <w:right w:val="single" w:sz="4" w:space="0" w:color="auto"/>
            </w:tcBorders>
            <w:shd w:val="clear" w:color="auto" w:fill="auto"/>
            <w:vAlign w:val="center"/>
            <w:hideMark/>
          </w:tcPr>
          <w:p w:rsidR="0055491A" w:rsidRPr="00CE070F" w:rsidRDefault="0055491A" w:rsidP="00210BF6">
            <w:pPr>
              <w:jc w:val="center"/>
              <w:rPr>
                <w:sz w:val="18"/>
                <w:szCs w:val="18"/>
              </w:rPr>
            </w:pPr>
            <w:r w:rsidRPr="00CE070F">
              <w:rPr>
                <w:sz w:val="18"/>
                <w:szCs w:val="18"/>
              </w:rPr>
              <w:t>3</w:t>
            </w:r>
          </w:p>
        </w:tc>
        <w:tc>
          <w:tcPr>
            <w:tcW w:w="1637" w:type="dxa"/>
            <w:tcBorders>
              <w:top w:val="nil"/>
              <w:left w:val="nil"/>
              <w:bottom w:val="single" w:sz="4" w:space="0" w:color="auto"/>
              <w:right w:val="single" w:sz="4" w:space="0" w:color="auto"/>
            </w:tcBorders>
            <w:shd w:val="clear" w:color="auto" w:fill="auto"/>
            <w:vAlign w:val="center"/>
            <w:hideMark/>
          </w:tcPr>
          <w:p w:rsidR="0055491A" w:rsidRPr="00CE070F" w:rsidRDefault="0055491A" w:rsidP="00210BF6">
            <w:pPr>
              <w:jc w:val="center"/>
              <w:rPr>
                <w:sz w:val="18"/>
                <w:szCs w:val="18"/>
              </w:rPr>
            </w:pPr>
            <w:r w:rsidRPr="00CE070F">
              <w:rPr>
                <w:sz w:val="18"/>
                <w:szCs w:val="18"/>
              </w:rPr>
              <w:t>4</w:t>
            </w:r>
          </w:p>
        </w:tc>
        <w:tc>
          <w:tcPr>
            <w:tcW w:w="1483" w:type="dxa"/>
            <w:tcBorders>
              <w:top w:val="nil"/>
              <w:left w:val="nil"/>
              <w:bottom w:val="single" w:sz="4" w:space="0" w:color="auto"/>
              <w:right w:val="single" w:sz="4" w:space="0" w:color="auto"/>
            </w:tcBorders>
            <w:shd w:val="clear" w:color="auto" w:fill="auto"/>
            <w:vAlign w:val="center"/>
            <w:hideMark/>
          </w:tcPr>
          <w:p w:rsidR="0055491A" w:rsidRPr="00CE070F" w:rsidRDefault="0055491A" w:rsidP="00210BF6">
            <w:pPr>
              <w:jc w:val="center"/>
              <w:rPr>
                <w:sz w:val="18"/>
                <w:szCs w:val="18"/>
              </w:rPr>
            </w:pPr>
            <w:r w:rsidRPr="00CE070F">
              <w:rPr>
                <w:sz w:val="18"/>
                <w:szCs w:val="18"/>
              </w:rPr>
              <w:t>5</w:t>
            </w:r>
          </w:p>
        </w:tc>
        <w:tc>
          <w:tcPr>
            <w:tcW w:w="1483" w:type="dxa"/>
            <w:tcBorders>
              <w:top w:val="nil"/>
              <w:left w:val="nil"/>
              <w:bottom w:val="single" w:sz="4" w:space="0" w:color="auto"/>
              <w:right w:val="single" w:sz="4" w:space="0" w:color="auto"/>
            </w:tcBorders>
            <w:shd w:val="clear" w:color="auto" w:fill="auto"/>
            <w:vAlign w:val="center"/>
            <w:hideMark/>
          </w:tcPr>
          <w:p w:rsidR="0055491A" w:rsidRPr="00CE070F" w:rsidRDefault="0055491A" w:rsidP="00210BF6">
            <w:pPr>
              <w:jc w:val="center"/>
              <w:rPr>
                <w:sz w:val="18"/>
                <w:szCs w:val="18"/>
              </w:rPr>
            </w:pPr>
            <w:r w:rsidRPr="00CE070F">
              <w:rPr>
                <w:sz w:val="18"/>
                <w:szCs w:val="18"/>
              </w:rPr>
              <w:t>6</w:t>
            </w:r>
          </w:p>
        </w:tc>
      </w:tr>
      <w:tr w:rsidR="0055491A" w:rsidTr="00210BF6">
        <w:trPr>
          <w:trHeight w:val="2291"/>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5491A" w:rsidRPr="00CE070F" w:rsidRDefault="0055491A" w:rsidP="00210BF6">
            <w:pPr>
              <w:jc w:val="center"/>
              <w:rPr>
                <w:sz w:val="22"/>
                <w:szCs w:val="22"/>
              </w:rPr>
            </w:pPr>
            <w:r w:rsidRPr="00CE070F">
              <w:rPr>
                <w:sz w:val="22"/>
                <w:szCs w:val="22"/>
              </w:rPr>
              <w:t>1</w:t>
            </w:r>
          </w:p>
        </w:tc>
        <w:tc>
          <w:tcPr>
            <w:tcW w:w="2947" w:type="dxa"/>
            <w:tcBorders>
              <w:top w:val="nil"/>
              <w:left w:val="nil"/>
              <w:bottom w:val="single" w:sz="4" w:space="0" w:color="auto"/>
              <w:right w:val="single" w:sz="4" w:space="0" w:color="auto"/>
            </w:tcBorders>
            <w:shd w:val="clear" w:color="auto" w:fill="auto"/>
            <w:vAlign w:val="center"/>
            <w:hideMark/>
          </w:tcPr>
          <w:p w:rsidR="0055491A" w:rsidRPr="00CE070F" w:rsidRDefault="0055491A" w:rsidP="00210BF6">
            <w:pPr>
              <w:jc w:val="both"/>
              <w:rPr>
                <w:sz w:val="22"/>
                <w:szCs w:val="22"/>
              </w:rPr>
            </w:pPr>
            <w:r>
              <w:rPr>
                <w:sz w:val="22"/>
                <w:szCs w:val="22"/>
              </w:rPr>
              <w:t>Ш</w:t>
            </w:r>
            <w:r w:rsidRPr="00CE070F">
              <w:rPr>
                <w:sz w:val="22"/>
                <w:szCs w:val="22"/>
              </w:rPr>
              <w:t>трафы за несоблюдение требований в области охраны окружающей среды при обращении с отходами производства и потребления, веществами, разрушающими озоновый слой, или иными опасными веществами</w:t>
            </w:r>
          </w:p>
        </w:tc>
        <w:tc>
          <w:tcPr>
            <w:tcW w:w="1367" w:type="dxa"/>
            <w:tcBorders>
              <w:top w:val="nil"/>
              <w:left w:val="nil"/>
              <w:bottom w:val="single" w:sz="4" w:space="0" w:color="auto"/>
              <w:right w:val="single" w:sz="4" w:space="0" w:color="auto"/>
            </w:tcBorders>
            <w:shd w:val="clear" w:color="auto" w:fill="auto"/>
            <w:vAlign w:val="center"/>
            <w:hideMark/>
          </w:tcPr>
          <w:p w:rsidR="0055491A" w:rsidRPr="00CE070F" w:rsidRDefault="0055491A" w:rsidP="00210BF6">
            <w:pPr>
              <w:jc w:val="center"/>
              <w:rPr>
                <w:sz w:val="22"/>
                <w:szCs w:val="22"/>
              </w:rPr>
            </w:pPr>
            <w:r w:rsidRPr="00CE070F">
              <w:rPr>
                <w:sz w:val="22"/>
                <w:szCs w:val="22"/>
              </w:rPr>
              <w:t>16</w:t>
            </w:r>
          </w:p>
        </w:tc>
        <w:tc>
          <w:tcPr>
            <w:tcW w:w="1637" w:type="dxa"/>
            <w:tcBorders>
              <w:top w:val="nil"/>
              <w:left w:val="nil"/>
              <w:bottom w:val="single" w:sz="4" w:space="0" w:color="auto"/>
              <w:right w:val="single" w:sz="4" w:space="0" w:color="auto"/>
            </w:tcBorders>
            <w:shd w:val="clear" w:color="auto" w:fill="auto"/>
            <w:vAlign w:val="center"/>
            <w:hideMark/>
          </w:tcPr>
          <w:p w:rsidR="0055491A" w:rsidRPr="00CE070F" w:rsidRDefault="0055491A" w:rsidP="00210BF6">
            <w:pPr>
              <w:jc w:val="center"/>
              <w:rPr>
                <w:sz w:val="22"/>
                <w:szCs w:val="22"/>
              </w:rPr>
            </w:pPr>
            <w:r w:rsidRPr="00CE070F">
              <w:rPr>
                <w:sz w:val="22"/>
                <w:szCs w:val="22"/>
              </w:rPr>
              <w:t>2</w:t>
            </w:r>
          </w:p>
        </w:tc>
        <w:tc>
          <w:tcPr>
            <w:tcW w:w="1483" w:type="dxa"/>
            <w:tcBorders>
              <w:top w:val="nil"/>
              <w:left w:val="nil"/>
              <w:bottom w:val="single" w:sz="4" w:space="0" w:color="auto"/>
              <w:right w:val="single" w:sz="4" w:space="0" w:color="auto"/>
            </w:tcBorders>
            <w:shd w:val="clear" w:color="auto" w:fill="auto"/>
            <w:vAlign w:val="center"/>
            <w:hideMark/>
          </w:tcPr>
          <w:p w:rsidR="0055491A" w:rsidRPr="00CE070F" w:rsidRDefault="0055491A" w:rsidP="00210BF6">
            <w:pPr>
              <w:jc w:val="center"/>
              <w:rPr>
                <w:sz w:val="22"/>
                <w:szCs w:val="22"/>
              </w:rPr>
            </w:pPr>
            <w:r w:rsidRPr="00CE070F">
              <w:rPr>
                <w:sz w:val="22"/>
                <w:szCs w:val="22"/>
              </w:rPr>
              <w:t>100,0%</w:t>
            </w:r>
          </w:p>
        </w:tc>
        <w:tc>
          <w:tcPr>
            <w:tcW w:w="1483" w:type="dxa"/>
            <w:tcBorders>
              <w:top w:val="nil"/>
              <w:left w:val="nil"/>
              <w:bottom w:val="single" w:sz="4" w:space="0" w:color="auto"/>
              <w:right w:val="single" w:sz="4" w:space="0" w:color="auto"/>
            </w:tcBorders>
            <w:shd w:val="clear" w:color="auto" w:fill="auto"/>
            <w:vAlign w:val="center"/>
            <w:hideMark/>
          </w:tcPr>
          <w:p w:rsidR="0055491A" w:rsidRPr="00CE070F" w:rsidRDefault="0055491A" w:rsidP="00210BF6">
            <w:pPr>
              <w:jc w:val="center"/>
              <w:rPr>
                <w:sz w:val="22"/>
                <w:szCs w:val="22"/>
              </w:rPr>
            </w:pPr>
            <w:r w:rsidRPr="00CE070F">
              <w:rPr>
                <w:sz w:val="22"/>
                <w:szCs w:val="22"/>
              </w:rPr>
              <w:t>16</w:t>
            </w:r>
          </w:p>
        </w:tc>
      </w:tr>
      <w:tr w:rsidR="0055491A" w:rsidTr="00210BF6">
        <w:trPr>
          <w:trHeight w:val="336"/>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5491A" w:rsidRPr="00CE070F" w:rsidRDefault="0055491A" w:rsidP="00210BF6">
            <w:pPr>
              <w:jc w:val="center"/>
              <w:rPr>
                <w:sz w:val="22"/>
                <w:szCs w:val="22"/>
              </w:rPr>
            </w:pPr>
            <w:r w:rsidRPr="00CE070F">
              <w:rPr>
                <w:sz w:val="22"/>
                <w:szCs w:val="22"/>
              </w:rPr>
              <w:t>2</w:t>
            </w:r>
          </w:p>
        </w:tc>
        <w:tc>
          <w:tcPr>
            <w:tcW w:w="2947" w:type="dxa"/>
            <w:tcBorders>
              <w:top w:val="nil"/>
              <w:left w:val="nil"/>
              <w:bottom w:val="single" w:sz="4" w:space="0" w:color="auto"/>
              <w:right w:val="single" w:sz="4" w:space="0" w:color="auto"/>
            </w:tcBorders>
            <w:shd w:val="clear" w:color="auto" w:fill="auto"/>
            <w:vAlign w:val="center"/>
            <w:hideMark/>
          </w:tcPr>
          <w:p w:rsidR="0055491A" w:rsidRPr="00CE070F" w:rsidRDefault="0055491A" w:rsidP="00210BF6">
            <w:pPr>
              <w:rPr>
                <w:sz w:val="22"/>
                <w:szCs w:val="22"/>
              </w:rPr>
            </w:pPr>
            <w:r w:rsidRPr="00CE070F">
              <w:rPr>
                <w:sz w:val="22"/>
                <w:szCs w:val="22"/>
              </w:rPr>
              <w:t>Штрафы за порчу земель</w:t>
            </w:r>
          </w:p>
        </w:tc>
        <w:tc>
          <w:tcPr>
            <w:tcW w:w="1367" w:type="dxa"/>
            <w:tcBorders>
              <w:top w:val="nil"/>
              <w:left w:val="nil"/>
              <w:bottom w:val="single" w:sz="4" w:space="0" w:color="auto"/>
              <w:right w:val="single" w:sz="4" w:space="0" w:color="auto"/>
            </w:tcBorders>
            <w:shd w:val="clear" w:color="auto" w:fill="auto"/>
            <w:vAlign w:val="center"/>
            <w:hideMark/>
          </w:tcPr>
          <w:p w:rsidR="0055491A" w:rsidRPr="00CE070F" w:rsidRDefault="0055491A" w:rsidP="00210BF6">
            <w:pPr>
              <w:jc w:val="center"/>
              <w:rPr>
                <w:sz w:val="22"/>
                <w:szCs w:val="22"/>
              </w:rPr>
            </w:pPr>
            <w:r w:rsidRPr="00CE070F">
              <w:rPr>
                <w:sz w:val="22"/>
                <w:szCs w:val="22"/>
              </w:rPr>
              <w:t>6,5</w:t>
            </w:r>
          </w:p>
        </w:tc>
        <w:tc>
          <w:tcPr>
            <w:tcW w:w="1637" w:type="dxa"/>
            <w:tcBorders>
              <w:top w:val="nil"/>
              <w:left w:val="nil"/>
              <w:bottom w:val="single" w:sz="4" w:space="0" w:color="auto"/>
              <w:right w:val="single" w:sz="4" w:space="0" w:color="auto"/>
            </w:tcBorders>
            <w:shd w:val="clear" w:color="auto" w:fill="auto"/>
            <w:vAlign w:val="center"/>
            <w:hideMark/>
          </w:tcPr>
          <w:p w:rsidR="0055491A" w:rsidRPr="00CE070F" w:rsidRDefault="0055491A" w:rsidP="00210BF6">
            <w:pPr>
              <w:jc w:val="center"/>
              <w:rPr>
                <w:sz w:val="22"/>
                <w:szCs w:val="22"/>
              </w:rPr>
            </w:pPr>
            <w:r w:rsidRPr="00CE070F">
              <w:rPr>
                <w:sz w:val="22"/>
                <w:szCs w:val="22"/>
              </w:rPr>
              <w:t>2</w:t>
            </w:r>
          </w:p>
        </w:tc>
        <w:tc>
          <w:tcPr>
            <w:tcW w:w="1483" w:type="dxa"/>
            <w:tcBorders>
              <w:top w:val="nil"/>
              <w:left w:val="nil"/>
              <w:bottom w:val="single" w:sz="4" w:space="0" w:color="auto"/>
              <w:right w:val="single" w:sz="4" w:space="0" w:color="auto"/>
            </w:tcBorders>
            <w:shd w:val="clear" w:color="auto" w:fill="auto"/>
            <w:vAlign w:val="center"/>
            <w:hideMark/>
          </w:tcPr>
          <w:p w:rsidR="0055491A" w:rsidRPr="00CE070F" w:rsidRDefault="0055491A" w:rsidP="00210BF6">
            <w:pPr>
              <w:jc w:val="center"/>
              <w:rPr>
                <w:sz w:val="22"/>
                <w:szCs w:val="22"/>
              </w:rPr>
            </w:pPr>
            <w:r w:rsidRPr="00CE070F">
              <w:rPr>
                <w:sz w:val="22"/>
                <w:szCs w:val="22"/>
              </w:rPr>
              <w:t>23,1%</w:t>
            </w:r>
          </w:p>
        </w:tc>
        <w:tc>
          <w:tcPr>
            <w:tcW w:w="1483" w:type="dxa"/>
            <w:tcBorders>
              <w:top w:val="nil"/>
              <w:left w:val="nil"/>
              <w:bottom w:val="single" w:sz="4" w:space="0" w:color="auto"/>
              <w:right w:val="single" w:sz="4" w:space="0" w:color="auto"/>
            </w:tcBorders>
            <w:shd w:val="clear" w:color="auto" w:fill="auto"/>
            <w:vAlign w:val="center"/>
            <w:hideMark/>
          </w:tcPr>
          <w:p w:rsidR="0055491A" w:rsidRPr="00CE070F" w:rsidRDefault="0055491A" w:rsidP="00210BF6">
            <w:pPr>
              <w:jc w:val="center"/>
              <w:rPr>
                <w:sz w:val="22"/>
                <w:szCs w:val="22"/>
              </w:rPr>
            </w:pPr>
            <w:r w:rsidRPr="00CE070F">
              <w:rPr>
                <w:sz w:val="22"/>
                <w:szCs w:val="22"/>
              </w:rPr>
              <w:t>1,5</w:t>
            </w:r>
          </w:p>
        </w:tc>
      </w:tr>
      <w:tr w:rsidR="0055491A" w:rsidTr="00210BF6">
        <w:trPr>
          <w:trHeight w:val="1347"/>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5491A" w:rsidRPr="00CE070F" w:rsidRDefault="0055491A" w:rsidP="00210BF6">
            <w:pPr>
              <w:jc w:val="center"/>
              <w:rPr>
                <w:sz w:val="22"/>
                <w:szCs w:val="22"/>
              </w:rPr>
            </w:pPr>
            <w:r w:rsidRPr="00CE070F">
              <w:rPr>
                <w:sz w:val="22"/>
                <w:szCs w:val="22"/>
              </w:rPr>
              <w:t>3</w:t>
            </w:r>
          </w:p>
        </w:tc>
        <w:tc>
          <w:tcPr>
            <w:tcW w:w="2947" w:type="dxa"/>
            <w:tcBorders>
              <w:top w:val="nil"/>
              <w:left w:val="nil"/>
              <w:bottom w:val="single" w:sz="4" w:space="0" w:color="auto"/>
              <w:right w:val="single" w:sz="4" w:space="0" w:color="auto"/>
            </w:tcBorders>
            <w:shd w:val="clear" w:color="auto" w:fill="auto"/>
            <w:vAlign w:val="center"/>
            <w:hideMark/>
          </w:tcPr>
          <w:p w:rsidR="0055491A" w:rsidRPr="00CE070F" w:rsidRDefault="0055491A" w:rsidP="00210BF6">
            <w:pPr>
              <w:jc w:val="both"/>
              <w:rPr>
                <w:sz w:val="22"/>
                <w:szCs w:val="22"/>
              </w:rPr>
            </w:pPr>
            <w:r w:rsidRPr="00CE070F">
              <w:rPr>
                <w:sz w:val="22"/>
                <w:szCs w:val="22"/>
              </w:rPr>
              <w:t>Штрафы за незаконную рубку, повреждение лесных насаждений или самовольное выкапывание в лесах деревьев, кустарников, лиан</w:t>
            </w:r>
          </w:p>
        </w:tc>
        <w:tc>
          <w:tcPr>
            <w:tcW w:w="1367" w:type="dxa"/>
            <w:tcBorders>
              <w:top w:val="nil"/>
              <w:left w:val="nil"/>
              <w:bottom w:val="single" w:sz="4" w:space="0" w:color="auto"/>
              <w:right w:val="single" w:sz="4" w:space="0" w:color="auto"/>
            </w:tcBorders>
            <w:shd w:val="clear" w:color="auto" w:fill="auto"/>
            <w:vAlign w:val="center"/>
            <w:hideMark/>
          </w:tcPr>
          <w:p w:rsidR="0055491A" w:rsidRPr="00CE070F" w:rsidRDefault="0055491A" w:rsidP="00210BF6">
            <w:pPr>
              <w:jc w:val="center"/>
              <w:rPr>
                <w:sz w:val="22"/>
                <w:szCs w:val="22"/>
              </w:rPr>
            </w:pPr>
            <w:r w:rsidRPr="00CE070F">
              <w:rPr>
                <w:sz w:val="22"/>
                <w:szCs w:val="22"/>
              </w:rPr>
              <w:t>15,9</w:t>
            </w:r>
          </w:p>
        </w:tc>
        <w:tc>
          <w:tcPr>
            <w:tcW w:w="1637" w:type="dxa"/>
            <w:tcBorders>
              <w:top w:val="nil"/>
              <w:left w:val="nil"/>
              <w:bottom w:val="single" w:sz="4" w:space="0" w:color="auto"/>
              <w:right w:val="single" w:sz="4" w:space="0" w:color="auto"/>
            </w:tcBorders>
            <w:shd w:val="clear" w:color="auto" w:fill="auto"/>
            <w:vAlign w:val="center"/>
            <w:hideMark/>
          </w:tcPr>
          <w:p w:rsidR="0055491A" w:rsidRPr="00CE070F" w:rsidRDefault="0055491A" w:rsidP="00210BF6">
            <w:pPr>
              <w:jc w:val="center"/>
              <w:rPr>
                <w:sz w:val="22"/>
                <w:szCs w:val="22"/>
              </w:rPr>
            </w:pPr>
            <w:r w:rsidRPr="00CE070F">
              <w:rPr>
                <w:sz w:val="22"/>
                <w:szCs w:val="22"/>
              </w:rPr>
              <w:t>12</w:t>
            </w:r>
          </w:p>
        </w:tc>
        <w:tc>
          <w:tcPr>
            <w:tcW w:w="1483" w:type="dxa"/>
            <w:tcBorders>
              <w:top w:val="nil"/>
              <w:left w:val="nil"/>
              <w:bottom w:val="single" w:sz="4" w:space="0" w:color="auto"/>
              <w:right w:val="single" w:sz="4" w:space="0" w:color="auto"/>
            </w:tcBorders>
            <w:shd w:val="clear" w:color="auto" w:fill="auto"/>
            <w:vAlign w:val="center"/>
            <w:hideMark/>
          </w:tcPr>
          <w:p w:rsidR="0055491A" w:rsidRPr="00CE070F" w:rsidRDefault="0055491A" w:rsidP="00210BF6">
            <w:pPr>
              <w:jc w:val="center"/>
              <w:rPr>
                <w:sz w:val="22"/>
                <w:szCs w:val="22"/>
              </w:rPr>
            </w:pPr>
            <w:r w:rsidRPr="00CE070F">
              <w:rPr>
                <w:sz w:val="22"/>
                <w:szCs w:val="22"/>
              </w:rPr>
              <w:t>69,1%</w:t>
            </w:r>
          </w:p>
        </w:tc>
        <w:tc>
          <w:tcPr>
            <w:tcW w:w="1483" w:type="dxa"/>
            <w:tcBorders>
              <w:top w:val="nil"/>
              <w:left w:val="nil"/>
              <w:bottom w:val="single" w:sz="4" w:space="0" w:color="auto"/>
              <w:right w:val="single" w:sz="4" w:space="0" w:color="auto"/>
            </w:tcBorders>
            <w:shd w:val="clear" w:color="auto" w:fill="auto"/>
            <w:vAlign w:val="center"/>
            <w:hideMark/>
          </w:tcPr>
          <w:p w:rsidR="0055491A" w:rsidRPr="00CE070F" w:rsidRDefault="0055491A" w:rsidP="00210BF6">
            <w:pPr>
              <w:jc w:val="center"/>
              <w:rPr>
                <w:sz w:val="22"/>
                <w:szCs w:val="22"/>
              </w:rPr>
            </w:pPr>
            <w:r w:rsidRPr="00CE070F">
              <w:rPr>
                <w:sz w:val="22"/>
                <w:szCs w:val="22"/>
              </w:rPr>
              <w:t>65,9</w:t>
            </w:r>
          </w:p>
        </w:tc>
      </w:tr>
      <w:tr w:rsidR="0055491A" w:rsidTr="00210BF6">
        <w:trPr>
          <w:trHeight w:val="1684"/>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5491A" w:rsidRPr="00CE070F" w:rsidRDefault="0055491A" w:rsidP="00210BF6">
            <w:pPr>
              <w:jc w:val="center"/>
              <w:rPr>
                <w:sz w:val="22"/>
                <w:szCs w:val="22"/>
              </w:rPr>
            </w:pPr>
            <w:r w:rsidRPr="00CE070F">
              <w:rPr>
                <w:sz w:val="22"/>
                <w:szCs w:val="22"/>
              </w:rPr>
              <w:t>4</w:t>
            </w:r>
          </w:p>
        </w:tc>
        <w:tc>
          <w:tcPr>
            <w:tcW w:w="2947" w:type="dxa"/>
            <w:tcBorders>
              <w:top w:val="nil"/>
              <w:left w:val="nil"/>
              <w:bottom w:val="single" w:sz="4" w:space="0" w:color="auto"/>
              <w:right w:val="single" w:sz="4" w:space="0" w:color="auto"/>
            </w:tcBorders>
            <w:shd w:val="clear" w:color="auto" w:fill="auto"/>
            <w:vAlign w:val="center"/>
            <w:hideMark/>
          </w:tcPr>
          <w:p w:rsidR="0055491A" w:rsidRPr="00CE070F" w:rsidRDefault="0055491A" w:rsidP="00210BF6">
            <w:pPr>
              <w:jc w:val="both"/>
              <w:rPr>
                <w:sz w:val="22"/>
                <w:szCs w:val="22"/>
              </w:rPr>
            </w:pPr>
            <w:r w:rsidRPr="00CE070F">
              <w:rPr>
                <w:sz w:val="22"/>
                <w:szCs w:val="22"/>
              </w:rPr>
              <w:t>Штрафы за нарушение правил охоты, правил, регламентирующих рыболовство и другие виды пользования объектами животного мира</w:t>
            </w:r>
          </w:p>
        </w:tc>
        <w:tc>
          <w:tcPr>
            <w:tcW w:w="1367" w:type="dxa"/>
            <w:tcBorders>
              <w:top w:val="nil"/>
              <w:left w:val="nil"/>
              <w:bottom w:val="single" w:sz="4" w:space="0" w:color="auto"/>
              <w:right w:val="single" w:sz="4" w:space="0" w:color="auto"/>
            </w:tcBorders>
            <w:shd w:val="clear" w:color="auto" w:fill="auto"/>
            <w:vAlign w:val="center"/>
            <w:hideMark/>
          </w:tcPr>
          <w:p w:rsidR="0055491A" w:rsidRPr="00CE070F" w:rsidRDefault="0055491A" w:rsidP="00210BF6">
            <w:pPr>
              <w:jc w:val="center"/>
              <w:rPr>
                <w:sz w:val="22"/>
                <w:szCs w:val="22"/>
              </w:rPr>
            </w:pPr>
            <w:r w:rsidRPr="00CE070F">
              <w:rPr>
                <w:sz w:val="22"/>
                <w:szCs w:val="22"/>
              </w:rPr>
              <w:t>2,1</w:t>
            </w:r>
          </w:p>
        </w:tc>
        <w:tc>
          <w:tcPr>
            <w:tcW w:w="1637" w:type="dxa"/>
            <w:tcBorders>
              <w:top w:val="nil"/>
              <w:left w:val="nil"/>
              <w:bottom w:val="single" w:sz="4" w:space="0" w:color="auto"/>
              <w:right w:val="single" w:sz="4" w:space="0" w:color="auto"/>
            </w:tcBorders>
            <w:shd w:val="clear" w:color="auto" w:fill="auto"/>
            <w:vAlign w:val="center"/>
            <w:hideMark/>
          </w:tcPr>
          <w:p w:rsidR="0055491A" w:rsidRPr="00CE070F" w:rsidRDefault="0055491A" w:rsidP="00210BF6">
            <w:pPr>
              <w:jc w:val="center"/>
              <w:rPr>
                <w:sz w:val="22"/>
                <w:szCs w:val="22"/>
              </w:rPr>
            </w:pPr>
            <w:r w:rsidRPr="00CE070F">
              <w:rPr>
                <w:sz w:val="22"/>
                <w:szCs w:val="22"/>
              </w:rPr>
              <w:t>144</w:t>
            </w:r>
          </w:p>
        </w:tc>
        <w:tc>
          <w:tcPr>
            <w:tcW w:w="1483" w:type="dxa"/>
            <w:tcBorders>
              <w:top w:val="nil"/>
              <w:left w:val="nil"/>
              <w:bottom w:val="single" w:sz="4" w:space="0" w:color="auto"/>
              <w:right w:val="single" w:sz="4" w:space="0" w:color="auto"/>
            </w:tcBorders>
            <w:shd w:val="clear" w:color="auto" w:fill="auto"/>
            <w:vAlign w:val="center"/>
            <w:hideMark/>
          </w:tcPr>
          <w:p w:rsidR="0055491A" w:rsidRPr="00CE070F" w:rsidRDefault="0055491A" w:rsidP="00210BF6">
            <w:pPr>
              <w:jc w:val="center"/>
              <w:rPr>
                <w:sz w:val="22"/>
                <w:szCs w:val="22"/>
              </w:rPr>
            </w:pPr>
            <w:r w:rsidRPr="00CE070F">
              <w:rPr>
                <w:sz w:val="22"/>
                <w:szCs w:val="22"/>
              </w:rPr>
              <w:t>52,8%</w:t>
            </w:r>
          </w:p>
        </w:tc>
        <w:tc>
          <w:tcPr>
            <w:tcW w:w="1483" w:type="dxa"/>
            <w:tcBorders>
              <w:top w:val="nil"/>
              <w:left w:val="nil"/>
              <w:bottom w:val="single" w:sz="4" w:space="0" w:color="auto"/>
              <w:right w:val="single" w:sz="4" w:space="0" w:color="auto"/>
            </w:tcBorders>
            <w:shd w:val="clear" w:color="auto" w:fill="auto"/>
            <w:vAlign w:val="center"/>
            <w:hideMark/>
          </w:tcPr>
          <w:p w:rsidR="0055491A" w:rsidRPr="00CE070F" w:rsidRDefault="0055491A" w:rsidP="00210BF6">
            <w:pPr>
              <w:jc w:val="center"/>
              <w:rPr>
                <w:sz w:val="22"/>
                <w:szCs w:val="22"/>
              </w:rPr>
            </w:pPr>
            <w:r w:rsidRPr="00CE070F">
              <w:rPr>
                <w:sz w:val="22"/>
                <w:szCs w:val="22"/>
              </w:rPr>
              <w:t>79,8</w:t>
            </w:r>
          </w:p>
        </w:tc>
      </w:tr>
      <w:tr w:rsidR="0055491A" w:rsidTr="00210BF6">
        <w:trPr>
          <w:trHeight w:val="1347"/>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5491A" w:rsidRPr="00CE070F" w:rsidRDefault="0055491A" w:rsidP="00210BF6">
            <w:pPr>
              <w:jc w:val="center"/>
              <w:rPr>
                <w:sz w:val="22"/>
                <w:szCs w:val="22"/>
              </w:rPr>
            </w:pPr>
            <w:r w:rsidRPr="00CE070F">
              <w:rPr>
                <w:sz w:val="22"/>
                <w:szCs w:val="22"/>
              </w:rPr>
              <w:lastRenderedPageBreak/>
              <w:t>5</w:t>
            </w:r>
          </w:p>
        </w:tc>
        <w:tc>
          <w:tcPr>
            <w:tcW w:w="2947" w:type="dxa"/>
            <w:tcBorders>
              <w:top w:val="nil"/>
              <w:left w:val="nil"/>
              <w:bottom w:val="single" w:sz="4" w:space="0" w:color="auto"/>
              <w:right w:val="single" w:sz="4" w:space="0" w:color="auto"/>
            </w:tcBorders>
            <w:shd w:val="clear" w:color="auto" w:fill="auto"/>
            <w:vAlign w:val="center"/>
            <w:hideMark/>
          </w:tcPr>
          <w:p w:rsidR="0055491A" w:rsidRPr="00CE070F" w:rsidRDefault="0055491A" w:rsidP="00210BF6">
            <w:pPr>
              <w:jc w:val="both"/>
              <w:rPr>
                <w:sz w:val="22"/>
                <w:szCs w:val="22"/>
              </w:rPr>
            </w:pPr>
            <w:r w:rsidRPr="00CE070F">
              <w:rPr>
                <w:sz w:val="22"/>
                <w:szCs w:val="22"/>
              </w:rPr>
              <w:t>Штрафы за нарушение требований лесного законодательства об учете древесины и сделок с ней</w:t>
            </w:r>
          </w:p>
        </w:tc>
        <w:tc>
          <w:tcPr>
            <w:tcW w:w="1367" w:type="dxa"/>
            <w:tcBorders>
              <w:top w:val="nil"/>
              <w:left w:val="nil"/>
              <w:bottom w:val="single" w:sz="4" w:space="0" w:color="auto"/>
              <w:right w:val="single" w:sz="4" w:space="0" w:color="auto"/>
            </w:tcBorders>
            <w:shd w:val="clear" w:color="auto" w:fill="auto"/>
            <w:vAlign w:val="center"/>
            <w:hideMark/>
          </w:tcPr>
          <w:p w:rsidR="0055491A" w:rsidRPr="00CE070F" w:rsidRDefault="0055491A" w:rsidP="00210BF6">
            <w:pPr>
              <w:jc w:val="center"/>
              <w:rPr>
                <w:sz w:val="22"/>
                <w:szCs w:val="22"/>
              </w:rPr>
            </w:pPr>
            <w:r w:rsidRPr="00CE070F">
              <w:rPr>
                <w:sz w:val="22"/>
                <w:szCs w:val="22"/>
              </w:rPr>
              <w:t>6,4</w:t>
            </w:r>
          </w:p>
        </w:tc>
        <w:tc>
          <w:tcPr>
            <w:tcW w:w="1637" w:type="dxa"/>
            <w:tcBorders>
              <w:top w:val="nil"/>
              <w:left w:val="nil"/>
              <w:bottom w:val="single" w:sz="4" w:space="0" w:color="auto"/>
              <w:right w:val="single" w:sz="4" w:space="0" w:color="auto"/>
            </w:tcBorders>
            <w:shd w:val="clear" w:color="auto" w:fill="auto"/>
            <w:vAlign w:val="center"/>
            <w:hideMark/>
          </w:tcPr>
          <w:p w:rsidR="0055491A" w:rsidRPr="00CE070F" w:rsidRDefault="0055491A" w:rsidP="00210BF6">
            <w:pPr>
              <w:jc w:val="center"/>
              <w:rPr>
                <w:sz w:val="22"/>
                <w:szCs w:val="22"/>
              </w:rPr>
            </w:pPr>
            <w:r w:rsidRPr="00CE070F">
              <w:rPr>
                <w:sz w:val="22"/>
                <w:szCs w:val="22"/>
              </w:rPr>
              <w:t>234</w:t>
            </w:r>
          </w:p>
        </w:tc>
        <w:tc>
          <w:tcPr>
            <w:tcW w:w="1483" w:type="dxa"/>
            <w:tcBorders>
              <w:top w:val="nil"/>
              <w:left w:val="nil"/>
              <w:bottom w:val="single" w:sz="4" w:space="0" w:color="auto"/>
              <w:right w:val="single" w:sz="4" w:space="0" w:color="auto"/>
            </w:tcBorders>
            <w:shd w:val="clear" w:color="auto" w:fill="auto"/>
            <w:vAlign w:val="center"/>
            <w:hideMark/>
          </w:tcPr>
          <w:p w:rsidR="0055491A" w:rsidRPr="00CE070F" w:rsidRDefault="0055491A" w:rsidP="00210BF6">
            <w:pPr>
              <w:jc w:val="center"/>
              <w:rPr>
                <w:sz w:val="22"/>
                <w:szCs w:val="22"/>
              </w:rPr>
            </w:pPr>
            <w:r w:rsidRPr="00CE070F">
              <w:rPr>
                <w:sz w:val="22"/>
                <w:szCs w:val="22"/>
              </w:rPr>
              <w:t>100,0%</w:t>
            </w:r>
          </w:p>
        </w:tc>
        <w:tc>
          <w:tcPr>
            <w:tcW w:w="1483" w:type="dxa"/>
            <w:tcBorders>
              <w:top w:val="nil"/>
              <w:left w:val="nil"/>
              <w:bottom w:val="single" w:sz="4" w:space="0" w:color="auto"/>
              <w:right w:val="single" w:sz="4" w:space="0" w:color="auto"/>
            </w:tcBorders>
            <w:shd w:val="clear" w:color="auto" w:fill="auto"/>
            <w:vAlign w:val="center"/>
            <w:hideMark/>
          </w:tcPr>
          <w:p w:rsidR="0055491A" w:rsidRPr="00CE070F" w:rsidRDefault="0055491A" w:rsidP="00210BF6">
            <w:pPr>
              <w:jc w:val="center"/>
              <w:rPr>
                <w:sz w:val="22"/>
                <w:szCs w:val="22"/>
              </w:rPr>
            </w:pPr>
            <w:r w:rsidRPr="00CE070F">
              <w:rPr>
                <w:sz w:val="22"/>
                <w:szCs w:val="22"/>
              </w:rPr>
              <w:t>748,8</w:t>
            </w:r>
          </w:p>
        </w:tc>
      </w:tr>
      <w:tr w:rsidR="0055491A" w:rsidTr="00210BF6">
        <w:trPr>
          <w:trHeight w:val="336"/>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5491A" w:rsidRPr="00CE070F" w:rsidRDefault="0055491A" w:rsidP="00210BF6">
            <w:pPr>
              <w:jc w:val="center"/>
              <w:rPr>
                <w:sz w:val="22"/>
                <w:szCs w:val="22"/>
              </w:rPr>
            </w:pPr>
            <w:r w:rsidRPr="00CE070F">
              <w:rPr>
                <w:sz w:val="22"/>
                <w:szCs w:val="22"/>
              </w:rPr>
              <w:t>6</w:t>
            </w:r>
          </w:p>
        </w:tc>
        <w:tc>
          <w:tcPr>
            <w:tcW w:w="2947" w:type="dxa"/>
            <w:tcBorders>
              <w:top w:val="nil"/>
              <w:left w:val="nil"/>
              <w:bottom w:val="single" w:sz="4" w:space="0" w:color="auto"/>
              <w:right w:val="single" w:sz="4" w:space="0" w:color="auto"/>
            </w:tcBorders>
            <w:shd w:val="clear" w:color="auto" w:fill="auto"/>
            <w:vAlign w:val="center"/>
            <w:hideMark/>
          </w:tcPr>
          <w:p w:rsidR="0055491A" w:rsidRPr="00CE070F" w:rsidRDefault="0055491A" w:rsidP="00210BF6">
            <w:pPr>
              <w:jc w:val="both"/>
              <w:rPr>
                <w:sz w:val="22"/>
                <w:szCs w:val="22"/>
              </w:rPr>
            </w:pPr>
            <w:r w:rsidRPr="00CE070F">
              <w:rPr>
                <w:sz w:val="22"/>
                <w:szCs w:val="22"/>
              </w:rPr>
              <w:t>Иные штрафы</w:t>
            </w:r>
          </w:p>
        </w:tc>
        <w:tc>
          <w:tcPr>
            <w:tcW w:w="1367" w:type="dxa"/>
            <w:tcBorders>
              <w:top w:val="nil"/>
              <w:left w:val="nil"/>
              <w:bottom w:val="single" w:sz="4" w:space="0" w:color="auto"/>
              <w:right w:val="single" w:sz="4" w:space="0" w:color="auto"/>
            </w:tcBorders>
            <w:shd w:val="clear" w:color="auto" w:fill="auto"/>
            <w:vAlign w:val="center"/>
            <w:hideMark/>
          </w:tcPr>
          <w:p w:rsidR="0055491A" w:rsidRPr="00CE070F" w:rsidRDefault="0055491A" w:rsidP="00210BF6">
            <w:pPr>
              <w:jc w:val="center"/>
              <w:rPr>
                <w:sz w:val="22"/>
                <w:szCs w:val="22"/>
              </w:rPr>
            </w:pPr>
            <w:r w:rsidRPr="00CE070F">
              <w:rPr>
                <w:sz w:val="22"/>
                <w:szCs w:val="22"/>
              </w:rPr>
              <w:t>30</w:t>
            </w:r>
          </w:p>
        </w:tc>
        <w:tc>
          <w:tcPr>
            <w:tcW w:w="1637" w:type="dxa"/>
            <w:tcBorders>
              <w:top w:val="nil"/>
              <w:left w:val="nil"/>
              <w:bottom w:val="single" w:sz="4" w:space="0" w:color="auto"/>
              <w:right w:val="single" w:sz="4" w:space="0" w:color="auto"/>
            </w:tcBorders>
            <w:shd w:val="clear" w:color="auto" w:fill="auto"/>
            <w:vAlign w:val="center"/>
            <w:hideMark/>
          </w:tcPr>
          <w:p w:rsidR="0055491A" w:rsidRPr="00CE070F" w:rsidRDefault="0055491A" w:rsidP="00210BF6">
            <w:pPr>
              <w:jc w:val="center"/>
              <w:rPr>
                <w:sz w:val="22"/>
                <w:szCs w:val="22"/>
              </w:rPr>
            </w:pPr>
            <w:r w:rsidRPr="00CE070F">
              <w:rPr>
                <w:sz w:val="22"/>
                <w:szCs w:val="22"/>
              </w:rPr>
              <w:t>4</w:t>
            </w:r>
          </w:p>
        </w:tc>
        <w:tc>
          <w:tcPr>
            <w:tcW w:w="1483" w:type="dxa"/>
            <w:tcBorders>
              <w:top w:val="nil"/>
              <w:left w:val="nil"/>
              <w:bottom w:val="single" w:sz="4" w:space="0" w:color="auto"/>
              <w:right w:val="single" w:sz="4" w:space="0" w:color="auto"/>
            </w:tcBorders>
            <w:shd w:val="clear" w:color="auto" w:fill="auto"/>
            <w:vAlign w:val="center"/>
            <w:hideMark/>
          </w:tcPr>
          <w:p w:rsidR="0055491A" w:rsidRPr="00CE070F" w:rsidRDefault="0055491A" w:rsidP="00210BF6">
            <w:pPr>
              <w:jc w:val="center"/>
              <w:rPr>
                <w:sz w:val="22"/>
                <w:szCs w:val="22"/>
              </w:rPr>
            </w:pPr>
            <w:r w:rsidRPr="00CE070F">
              <w:rPr>
                <w:sz w:val="22"/>
                <w:szCs w:val="22"/>
              </w:rPr>
              <w:t>100,0%</w:t>
            </w:r>
          </w:p>
        </w:tc>
        <w:tc>
          <w:tcPr>
            <w:tcW w:w="1483" w:type="dxa"/>
            <w:tcBorders>
              <w:top w:val="nil"/>
              <w:left w:val="nil"/>
              <w:bottom w:val="single" w:sz="4" w:space="0" w:color="auto"/>
              <w:right w:val="single" w:sz="4" w:space="0" w:color="auto"/>
            </w:tcBorders>
            <w:shd w:val="clear" w:color="auto" w:fill="auto"/>
            <w:vAlign w:val="center"/>
            <w:hideMark/>
          </w:tcPr>
          <w:p w:rsidR="0055491A" w:rsidRPr="00CE070F" w:rsidRDefault="0055491A" w:rsidP="00210BF6">
            <w:pPr>
              <w:jc w:val="center"/>
              <w:rPr>
                <w:sz w:val="22"/>
                <w:szCs w:val="22"/>
              </w:rPr>
            </w:pPr>
            <w:r w:rsidRPr="00CE070F">
              <w:rPr>
                <w:sz w:val="22"/>
                <w:szCs w:val="22"/>
              </w:rPr>
              <w:t>60</w:t>
            </w:r>
          </w:p>
        </w:tc>
      </w:tr>
      <w:tr w:rsidR="0055491A" w:rsidTr="00210BF6">
        <w:trPr>
          <w:trHeight w:val="336"/>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5491A" w:rsidRPr="00CE070F" w:rsidRDefault="0055491A" w:rsidP="00210BF6">
            <w:pPr>
              <w:jc w:val="center"/>
              <w:rPr>
                <w:sz w:val="22"/>
                <w:szCs w:val="22"/>
              </w:rPr>
            </w:pPr>
            <w:r w:rsidRPr="00CE070F">
              <w:rPr>
                <w:sz w:val="22"/>
                <w:szCs w:val="22"/>
              </w:rPr>
              <w:t>7</w:t>
            </w:r>
          </w:p>
        </w:tc>
        <w:tc>
          <w:tcPr>
            <w:tcW w:w="2947" w:type="dxa"/>
            <w:tcBorders>
              <w:top w:val="nil"/>
              <w:left w:val="nil"/>
              <w:bottom w:val="single" w:sz="4" w:space="0" w:color="auto"/>
              <w:right w:val="nil"/>
            </w:tcBorders>
            <w:shd w:val="clear" w:color="auto" w:fill="auto"/>
            <w:vAlign w:val="center"/>
            <w:hideMark/>
          </w:tcPr>
          <w:p w:rsidR="0055491A" w:rsidRPr="00CE070F" w:rsidRDefault="0055491A" w:rsidP="00210BF6">
            <w:pPr>
              <w:rPr>
                <w:b/>
                <w:bCs/>
                <w:sz w:val="22"/>
                <w:szCs w:val="22"/>
              </w:rPr>
            </w:pPr>
            <w:r w:rsidRPr="00CE070F">
              <w:rPr>
                <w:b/>
                <w:bCs/>
                <w:sz w:val="22"/>
                <w:szCs w:val="22"/>
              </w:rPr>
              <w:t>ИТОГО</w:t>
            </w:r>
          </w:p>
        </w:tc>
        <w:tc>
          <w:tcPr>
            <w:tcW w:w="1367" w:type="dxa"/>
            <w:tcBorders>
              <w:top w:val="nil"/>
              <w:left w:val="nil"/>
              <w:bottom w:val="single" w:sz="4" w:space="0" w:color="auto"/>
              <w:right w:val="nil"/>
            </w:tcBorders>
            <w:shd w:val="clear" w:color="auto" w:fill="auto"/>
            <w:vAlign w:val="center"/>
            <w:hideMark/>
          </w:tcPr>
          <w:p w:rsidR="0055491A" w:rsidRPr="00CE070F" w:rsidRDefault="0055491A" w:rsidP="00210BF6">
            <w:pPr>
              <w:rPr>
                <w:b/>
                <w:bCs/>
                <w:sz w:val="22"/>
                <w:szCs w:val="22"/>
              </w:rPr>
            </w:pPr>
            <w:r w:rsidRPr="00CE070F">
              <w:rPr>
                <w:b/>
                <w:bCs/>
                <w:sz w:val="22"/>
                <w:szCs w:val="22"/>
              </w:rPr>
              <w:t> </w:t>
            </w:r>
          </w:p>
        </w:tc>
        <w:tc>
          <w:tcPr>
            <w:tcW w:w="1637" w:type="dxa"/>
            <w:tcBorders>
              <w:top w:val="nil"/>
              <w:left w:val="nil"/>
              <w:bottom w:val="single" w:sz="4" w:space="0" w:color="auto"/>
              <w:right w:val="nil"/>
            </w:tcBorders>
            <w:shd w:val="clear" w:color="auto" w:fill="auto"/>
            <w:vAlign w:val="center"/>
            <w:hideMark/>
          </w:tcPr>
          <w:p w:rsidR="0055491A" w:rsidRPr="00CE070F" w:rsidRDefault="0055491A" w:rsidP="00210BF6">
            <w:pPr>
              <w:rPr>
                <w:b/>
                <w:bCs/>
                <w:sz w:val="22"/>
                <w:szCs w:val="22"/>
              </w:rPr>
            </w:pPr>
            <w:r w:rsidRPr="00CE070F">
              <w:rPr>
                <w:b/>
                <w:bCs/>
                <w:sz w:val="22"/>
                <w:szCs w:val="22"/>
              </w:rPr>
              <w:t> </w:t>
            </w:r>
          </w:p>
        </w:tc>
        <w:tc>
          <w:tcPr>
            <w:tcW w:w="1483" w:type="dxa"/>
            <w:tcBorders>
              <w:top w:val="nil"/>
              <w:left w:val="nil"/>
              <w:bottom w:val="single" w:sz="4" w:space="0" w:color="auto"/>
              <w:right w:val="single" w:sz="4" w:space="0" w:color="auto"/>
            </w:tcBorders>
            <w:shd w:val="clear" w:color="auto" w:fill="auto"/>
            <w:vAlign w:val="center"/>
            <w:hideMark/>
          </w:tcPr>
          <w:p w:rsidR="0055491A" w:rsidRPr="00CE070F" w:rsidRDefault="0055491A" w:rsidP="00210BF6">
            <w:pPr>
              <w:rPr>
                <w:b/>
                <w:bCs/>
                <w:sz w:val="22"/>
                <w:szCs w:val="22"/>
              </w:rPr>
            </w:pPr>
            <w:r w:rsidRPr="00CE070F">
              <w:rPr>
                <w:b/>
                <w:bCs/>
                <w:sz w:val="22"/>
                <w:szCs w:val="22"/>
              </w:rPr>
              <w:t> </w:t>
            </w:r>
          </w:p>
        </w:tc>
        <w:tc>
          <w:tcPr>
            <w:tcW w:w="1483" w:type="dxa"/>
            <w:tcBorders>
              <w:top w:val="nil"/>
              <w:left w:val="nil"/>
              <w:bottom w:val="single" w:sz="4" w:space="0" w:color="auto"/>
              <w:right w:val="single" w:sz="4" w:space="0" w:color="auto"/>
            </w:tcBorders>
            <w:shd w:val="clear" w:color="auto" w:fill="auto"/>
            <w:vAlign w:val="center"/>
            <w:hideMark/>
          </w:tcPr>
          <w:p w:rsidR="0055491A" w:rsidRPr="00CE070F" w:rsidRDefault="0055491A" w:rsidP="00210BF6">
            <w:pPr>
              <w:jc w:val="center"/>
              <w:rPr>
                <w:b/>
                <w:bCs/>
                <w:sz w:val="22"/>
                <w:szCs w:val="22"/>
              </w:rPr>
            </w:pPr>
            <w:r w:rsidRPr="00CE070F">
              <w:rPr>
                <w:b/>
                <w:bCs/>
                <w:sz w:val="22"/>
                <w:szCs w:val="22"/>
              </w:rPr>
              <w:t>972</w:t>
            </w:r>
          </w:p>
        </w:tc>
      </w:tr>
    </w:tbl>
    <w:p w:rsidR="0055491A" w:rsidRDefault="0055491A" w:rsidP="0055491A">
      <w:pPr>
        <w:pStyle w:val="a7"/>
        <w:spacing w:after="0"/>
        <w:ind w:left="0" w:firstLine="709"/>
        <w:jc w:val="both"/>
        <w:rPr>
          <w:sz w:val="28"/>
          <w:szCs w:val="28"/>
        </w:rPr>
      </w:pPr>
      <w:r w:rsidRPr="004B261F">
        <w:rPr>
          <w:b/>
          <w:sz w:val="28"/>
          <w:szCs w:val="28"/>
        </w:rPr>
        <w:t xml:space="preserve">Прогноз поступлений 2022 год – 972,0 тыс. руб., 2023-2024 </w:t>
      </w:r>
      <w:r>
        <w:rPr>
          <w:b/>
          <w:sz w:val="28"/>
          <w:szCs w:val="28"/>
        </w:rPr>
        <w:t>годы</w:t>
      </w:r>
      <w:r w:rsidRPr="001D09DD">
        <w:rPr>
          <w:sz w:val="28"/>
          <w:szCs w:val="28"/>
        </w:rPr>
        <w:t xml:space="preserve"> принят на уровне прогноза на 20</w:t>
      </w:r>
      <w:r>
        <w:rPr>
          <w:sz w:val="28"/>
          <w:szCs w:val="28"/>
        </w:rPr>
        <w:t>22</w:t>
      </w:r>
      <w:r w:rsidRPr="001D09DD">
        <w:rPr>
          <w:sz w:val="28"/>
          <w:szCs w:val="28"/>
        </w:rPr>
        <w:t xml:space="preserve"> год и составляет </w:t>
      </w:r>
      <w:r w:rsidRPr="004B261F">
        <w:rPr>
          <w:b/>
          <w:sz w:val="28"/>
          <w:szCs w:val="28"/>
        </w:rPr>
        <w:t>972,0 тыс. руб.</w:t>
      </w:r>
      <w:r>
        <w:rPr>
          <w:sz w:val="28"/>
          <w:szCs w:val="28"/>
        </w:rPr>
        <w:t xml:space="preserve"> ежегодно.</w:t>
      </w:r>
    </w:p>
    <w:p w:rsidR="0055491A" w:rsidRPr="000D187A" w:rsidRDefault="0055491A" w:rsidP="0055491A">
      <w:pPr>
        <w:pStyle w:val="a7"/>
        <w:spacing w:after="0"/>
        <w:ind w:left="0" w:firstLine="709"/>
        <w:jc w:val="both"/>
        <w:rPr>
          <w:sz w:val="28"/>
          <w:szCs w:val="28"/>
          <w:highlight w:val="yellow"/>
        </w:rPr>
      </w:pPr>
    </w:p>
    <w:p w:rsidR="0055491A" w:rsidRDefault="0055491A" w:rsidP="0055491A">
      <w:pPr>
        <w:ind w:firstLine="709"/>
        <w:jc w:val="both"/>
        <w:rPr>
          <w:sz w:val="28"/>
          <w:szCs w:val="28"/>
        </w:rPr>
      </w:pPr>
      <w:r>
        <w:rPr>
          <w:sz w:val="28"/>
          <w:szCs w:val="28"/>
        </w:rPr>
        <w:t xml:space="preserve">5. </w:t>
      </w:r>
      <w:r w:rsidRPr="00743A11">
        <w:rPr>
          <w:sz w:val="28"/>
          <w:szCs w:val="28"/>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w:t>
      </w:r>
      <w:r>
        <w:rPr>
          <w:sz w:val="28"/>
          <w:szCs w:val="28"/>
        </w:rPr>
        <w:t xml:space="preserve">сти, строительстве и энергетике </w:t>
      </w:r>
      <w:r w:rsidRPr="0046227F">
        <w:rPr>
          <w:sz w:val="28"/>
          <w:szCs w:val="28"/>
        </w:rPr>
        <w:t>(</w:t>
      </w:r>
      <w:r w:rsidRPr="008B207B">
        <w:rPr>
          <w:b/>
          <w:sz w:val="28"/>
          <w:szCs w:val="28"/>
        </w:rPr>
        <w:t>КБК 000 1 16 01090 01 0000 140</w:t>
      </w:r>
      <w:r w:rsidRPr="0046227F">
        <w:rPr>
          <w:sz w:val="28"/>
          <w:szCs w:val="28"/>
        </w:rPr>
        <w:t>)</w:t>
      </w:r>
      <w:r>
        <w:rPr>
          <w:sz w:val="28"/>
          <w:szCs w:val="28"/>
        </w:rPr>
        <w:t>.</w:t>
      </w:r>
    </w:p>
    <w:p w:rsidR="0055491A" w:rsidRPr="008B207B" w:rsidRDefault="0055491A" w:rsidP="0055491A">
      <w:pPr>
        <w:pStyle w:val="a7"/>
        <w:spacing w:after="0"/>
        <w:ind w:left="0" w:firstLine="709"/>
        <w:jc w:val="both"/>
        <w:rPr>
          <w:b/>
          <w:sz w:val="28"/>
          <w:szCs w:val="28"/>
        </w:rPr>
      </w:pPr>
      <w:r w:rsidRPr="008B207B">
        <w:rPr>
          <w:b/>
          <w:sz w:val="28"/>
          <w:szCs w:val="28"/>
        </w:rPr>
        <w:t>Прогноз по КБК всего на 2022 год – 2 063,7 тыс. руб., 2023 год              2 165,7 тыс. руб., 2024 год –  2 029,7 тыс. руб.</w:t>
      </w:r>
    </w:p>
    <w:p w:rsidR="0055491A" w:rsidRDefault="0055491A" w:rsidP="0055491A">
      <w:pPr>
        <w:pStyle w:val="a7"/>
        <w:spacing w:after="0"/>
        <w:ind w:left="0" w:firstLine="709"/>
        <w:jc w:val="both"/>
        <w:rPr>
          <w:sz w:val="28"/>
          <w:szCs w:val="28"/>
        </w:rPr>
      </w:pPr>
    </w:p>
    <w:p w:rsidR="0055491A" w:rsidRDefault="0055491A" w:rsidP="0055491A">
      <w:pPr>
        <w:pStyle w:val="a7"/>
        <w:spacing w:after="0"/>
        <w:ind w:left="0" w:firstLine="709"/>
        <w:jc w:val="both"/>
        <w:rPr>
          <w:sz w:val="28"/>
          <w:szCs w:val="28"/>
        </w:rPr>
      </w:pPr>
      <w:r w:rsidRPr="00380C15">
        <w:rPr>
          <w:sz w:val="28"/>
          <w:szCs w:val="28"/>
        </w:rPr>
        <w:t xml:space="preserve">5.1. </w:t>
      </w:r>
      <w:r w:rsidRPr="00EA56A4">
        <w:rPr>
          <w:b/>
          <w:sz w:val="28"/>
          <w:szCs w:val="28"/>
        </w:rPr>
        <w:t>КБК 017 1 16 01092 01 0000 140</w:t>
      </w:r>
      <w:r>
        <w:rPr>
          <w:sz w:val="28"/>
          <w:szCs w:val="28"/>
        </w:rPr>
        <w:t xml:space="preserve"> </w:t>
      </w:r>
      <w:r w:rsidRPr="00380C15">
        <w:rPr>
          <w:sz w:val="28"/>
          <w:szCs w:val="28"/>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w:t>
      </w:r>
      <w:r>
        <w:rPr>
          <w:sz w:val="28"/>
          <w:szCs w:val="28"/>
        </w:rPr>
        <w:t xml:space="preserve"> субъектов Российской Федерации.</w:t>
      </w:r>
    </w:p>
    <w:p w:rsidR="0055491A" w:rsidRPr="00EA56A4" w:rsidRDefault="0055491A" w:rsidP="0055491A">
      <w:pPr>
        <w:pStyle w:val="a7"/>
        <w:spacing w:after="0"/>
        <w:ind w:left="0" w:firstLine="709"/>
        <w:jc w:val="both"/>
        <w:rPr>
          <w:b/>
          <w:sz w:val="28"/>
          <w:szCs w:val="28"/>
        </w:rPr>
      </w:pPr>
      <w:r w:rsidRPr="00EA56A4">
        <w:rPr>
          <w:b/>
          <w:sz w:val="28"/>
          <w:szCs w:val="28"/>
        </w:rPr>
        <w:t>Главный администратор доходов - Главное управление «Государственная жилищная инспекция» Тверской области.</w:t>
      </w:r>
    </w:p>
    <w:p w:rsidR="0055491A" w:rsidRDefault="0055491A" w:rsidP="0055491A">
      <w:pPr>
        <w:pStyle w:val="a7"/>
        <w:spacing w:after="0"/>
        <w:ind w:left="0" w:firstLine="709"/>
        <w:jc w:val="both"/>
        <w:rPr>
          <w:sz w:val="28"/>
          <w:szCs w:val="28"/>
        </w:rPr>
      </w:pPr>
      <w:r w:rsidRPr="000D4676">
        <w:rPr>
          <w:sz w:val="28"/>
          <w:szCs w:val="28"/>
        </w:rPr>
        <w:t xml:space="preserve">Расчет произведен в соответствии с методикой, утвержденной приказом </w:t>
      </w:r>
      <w:r w:rsidRPr="00B03A5B">
        <w:rPr>
          <w:sz w:val="28"/>
          <w:szCs w:val="28"/>
        </w:rPr>
        <w:t>Главно</w:t>
      </w:r>
      <w:r>
        <w:rPr>
          <w:sz w:val="28"/>
          <w:szCs w:val="28"/>
        </w:rPr>
        <w:t>го управления «</w:t>
      </w:r>
      <w:r w:rsidRPr="00B03A5B">
        <w:rPr>
          <w:sz w:val="28"/>
          <w:szCs w:val="28"/>
        </w:rPr>
        <w:t>Государственн</w:t>
      </w:r>
      <w:r>
        <w:rPr>
          <w:sz w:val="28"/>
          <w:szCs w:val="28"/>
        </w:rPr>
        <w:t>ой жилищной инспекции»</w:t>
      </w:r>
      <w:r w:rsidRPr="00B03A5B">
        <w:rPr>
          <w:sz w:val="28"/>
          <w:szCs w:val="28"/>
        </w:rPr>
        <w:t xml:space="preserve"> Тверской области</w:t>
      </w:r>
      <w:r>
        <w:rPr>
          <w:sz w:val="28"/>
          <w:szCs w:val="28"/>
        </w:rPr>
        <w:t xml:space="preserve"> от 25.06.2020 № 40-ОД (с учетом принятых изменений).</w:t>
      </w:r>
    </w:p>
    <w:p w:rsidR="0055491A" w:rsidRDefault="0055491A" w:rsidP="0055491A">
      <w:pPr>
        <w:spacing w:line="252" w:lineRule="auto"/>
        <w:ind w:firstLine="709"/>
        <w:jc w:val="both"/>
        <w:rPr>
          <w:sz w:val="28"/>
        </w:rPr>
      </w:pPr>
      <w:r>
        <w:rPr>
          <w:sz w:val="28"/>
        </w:rPr>
        <w:t>Прогноз поступлений доходов рассчитан методом прямого расчета по количеству привлечений физических лиц к административной ответственности за устранение от заключения договора о техническом обслуживании и ремонте внутридомового и(или) внутриквартирного газового оборудования (если заключение такого договора является обязательным) и размера штрафа в соответствии с частью 2 статьи 9.23 КоАП РФ.</w:t>
      </w:r>
    </w:p>
    <w:p w:rsidR="0055491A" w:rsidRDefault="0055491A" w:rsidP="0055491A">
      <w:pPr>
        <w:spacing w:line="252" w:lineRule="auto"/>
        <w:ind w:firstLine="709"/>
        <w:jc w:val="both"/>
        <w:rPr>
          <w:sz w:val="28"/>
        </w:rPr>
      </w:pPr>
      <w:r>
        <w:rPr>
          <w:sz w:val="28"/>
        </w:rPr>
        <w:t xml:space="preserve">Расчет прогноза поступлений на 2022 – 2024 годы представлен в таблице </w:t>
      </w:r>
    </w:p>
    <w:p w:rsidR="0055491A" w:rsidRDefault="0055491A" w:rsidP="0055491A">
      <w:pPr>
        <w:spacing w:line="252" w:lineRule="auto"/>
        <w:ind w:firstLine="709"/>
        <w:jc w:val="both"/>
        <w:rPr>
          <w:sz w:val="28"/>
        </w:rPr>
      </w:pPr>
    </w:p>
    <w:tbl>
      <w:tblPr>
        <w:tblW w:w="9204" w:type="dxa"/>
        <w:tblLayout w:type="fixed"/>
        <w:tblLook w:val="04A0" w:firstRow="1" w:lastRow="0" w:firstColumn="1" w:lastColumn="0" w:noHBand="0" w:noVBand="1"/>
      </w:tblPr>
      <w:tblGrid>
        <w:gridCol w:w="760"/>
        <w:gridCol w:w="216"/>
        <w:gridCol w:w="760"/>
        <w:gridCol w:w="760"/>
        <w:gridCol w:w="760"/>
        <w:gridCol w:w="740"/>
        <w:gridCol w:w="723"/>
        <w:gridCol w:w="709"/>
        <w:gridCol w:w="709"/>
        <w:gridCol w:w="1022"/>
        <w:gridCol w:w="1022"/>
        <w:gridCol w:w="1023"/>
      </w:tblGrid>
      <w:tr w:rsidR="0055491A" w:rsidRPr="00F80477" w:rsidTr="00210BF6">
        <w:trPr>
          <w:trHeight w:val="298"/>
        </w:trPr>
        <w:tc>
          <w:tcPr>
            <w:tcW w:w="9204" w:type="dxa"/>
            <w:gridSpan w:val="12"/>
            <w:tcBorders>
              <w:top w:val="single" w:sz="8" w:space="0" w:color="auto"/>
              <w:left w:val="single" w:sz="8" w:space="0" w:color="auto"/>
              <w:bottom w:val="single" w:sz="8" w:space="0" w:color="auto"/>
              <w:right w:val="single" w:sz="8" w:space="0" w:color="000000"/>
            </w:tcBorders>
          </w:tcPr>
          <w:p w:rsidR="0055491A" w:rsidRPr="00F80477" w:rsidRDefault="0055491A" w:rsidP="00210BF6">
            <w:pPr>
              <w:jc w:val="center"/>
              <w:rPr>
                <w:b/>
                <w:bCs/>
              </w:rPr>
            </w:pPr>
            <w:r w:rsidRPr="00F80477">
              <w:rPr>
                <w:b/>
                <w:bCs/>
              </w:rPr>
              <w:t xml:space="preserve">Нарушение статьи </w:t>
            </w:r>
            <w:r>
              <w:rPr>
                <w:b/>
                <w:bCs/>
              </w:rPr>
              <w:t>9.23 ч.2</w:t>
            </w:r>
            <w:r w:rsidRPr="00F80477">
              <w:rPr>
                <w:b/>
                <w:bCs/>
              </w:rPr>
              <w:t xml:space="preserve"> </w:t>
            </w:r>
            <w:r>
              <w:rPr>
                <w:b/>
                <w:bCs/>
              </w:rPr>
              <w:t>КоАП РФ</w:t>
            </w:r>
          </w:p>
        </w:tc>
      </w:tr>
      <w:tr w:rsidR="0055491A" w:rsidRPr="00F80477" w:rsidTr="00210BF6">
        <w:trPr>
          <w:trHeight w:val="645"/>
        </w:trPr>
        <w:tc>
          <w:tcPr>
            <w:tcW w:w="976"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55491A" w:rsidRDefault="0055491A" w:rsidP="00210BF6">
            <w:pPr>
              <w:jc w:val="center"/>
              <w:rPr>
                <w:b/>
                <w:bCs/>
                <w:sz w:val="20"/>
                <w:szCs w:val="20"/>
              </w:rPr>
            </w:pPr>
            <w:r>
              <w:rPr>
                <w:b/>
                <w:bCs/>
                <w:sz w:val="20"/>
                <w:szCs w:val="20"/>
              </w:rPr>
              <w:t>Размер платежа</w:t>
            </w:r>
          </w:p>
        </w:tc>
        <w:tc>
          <w:tcPr>
            <w:tcW w:w="760" w:type="dxa"/>
            <w:tcBorders>
              <w:top w:val="single" w:sz="8" w:space="0" w:color="auto"/>
              <w:left w:val="nil"/>
              <w:bottom w:val="single" w:sz="4" w:space="0" w:color="auto"/>
              <w:right w:val="nil"/>
            </w:tcBorders>
          </w:tcPr>
          <w:p w:rsidR="0055491A" w:rsidRPr="00F80477" w:rsidRDefault="0055491A" w:rsidP="00210BF6">
            <w:pPr>
              <w:jc w:val="center"/>
              <w:rPr>
                <w:b/>
                <w:bCs/>
              </w:rPr>
            </w:pPr>
          </w:p>
        </w:tc>
        <w:tc>
          <w:tcPr>
            <w:tcW w:w="4401" w:type="dxa"/>
            <w:gridSpan w:val="6"/>
            <w:tcBorders>
              <w:top w:val="single" w:sz="8" w:space="0" w:color="auto"/>
              <w:left w:val="nil"/>
              <w:bottom w:val="single" w:sz="4" w:space="0" w:color="auto"/>
              <w:right w:val="single" w:sz="4" w:space="0" w:color="auto"/>
            </w:tcBorders>
            <w:shd w:val="clear" w:color="auto" w:fill="auto"/>
            <w:vAlign w:val="center"/>
            <w:hideMark/>
          </w:tcPr>
          <w:p w:rsidR="0055491A" w:rsidRPr="00F80477" w:rsidRDefault="0055491A" w:rsidP="00210BF6">
            <w:pPr>
              <w:jc w:val="center"/>
              <w:rPr>
                <w:b/>
                <w:bCs/>
              </w:rPr>
            </w:pPr>
            <w:r w:rsidRPr="00F80477">
              <w:rPr>
                <w:b/>
                <w:bCs/>
              </w:rPr>
              <w:t>Количество правонарушений                                     (с учетом округления</w:t>
            </w:r>
            <w:r>
              <w:rPr>
                <w:b/>
                <w:bCs/>
              </w:rPr>
              <w:t xml:space="preserve"> </w:t>
            </w:r>
            <w:r w:rsidRPr="00F80477">
              <w:rPr>
                <w:b/>
                <w:bCs/>
              </w:rPr>
              <w:t>)</w:t>
            </w:r>
          </w:p>
        </w:tc>
        <w:tc>
          <w:tcPr>
            <w:tcW w:w="3067" w:type="dxa"/>
            <w:gridSpan w:val="3"/>
            <w:tcBorders>
              <w:top w:val="single" w:sz="8" w:space="0" w:color="auto"/>
              <w:left w:val="nil"/>
              <w:bottom w:val="single" w:sz="4" w:space="0" w:color="auto"/>
              <w:right w:val="single" w:sz="8" w:space="0" w:color="000000"/>
            </w:tcBorders>
            <w:shd w:val="clear" w:color="auto" w:fill="auto"/>
            <w:vAlign w:val="center"/>
            <w:hideMark/>
          </w:tcPr>
          <w:p w:rsidR="0055491A" w:rsidRPr="00F80477" w:rsidRDefault="0055491A" w:rsidP="00210BF6">
            <w:pPr>
              <w:jc w:val="center"/>
              <w:rPr>
                <w:b/>
                <w:bCs/>
              </w:rPr>
            </w:pPr>
            <w:r w:rsidRPr="00F80477">
              <w:rPr>
                <w:b/>
                <w:bCs/>
              </w:rPr>
              <w:t xml:space="preserve">Прогноз </w:t>
            </w:r>
          </w:p>
        </w:tc>
      </w:tr>
      <w:tr w:rsidR="0055491A" w:rsidTr="00210BF6">
        <w:trPr>
          <w:trHeight w:val="1005"/>
        </w:trPr>
        <w:tc>
          <w:tcPr>
            <w:tcW w:w="976" w:type="dxa"/>
            <w:gridSpan w:val="2"/>
            <w:vMerge/>
            <w:tcBorders>
              <w:top w:val="nil"/>
              <w:left w:val="single" w:sz="8" w:space="0" w:color="auto"/>
              <w:bottom w:val="single" w:sz="8" w:space="0" w:color="000000"/>
              <w:right w:val="single" w:sz="8" w:space="0" w:color="auto"/>
            </w:tcBorders>
            <w:vAlign w:val="center"/>
            <w:hideMark/>
          </w:tcPr>
          <w:p w:rsidR="0055491A" w:rsidRDefault="0055491A" w:rsidP="00210BF6">
            <w:pPr>
              <w:rPr>
                <w:b/>
                <w:bCs/>
                <w:sz w:val="20"/>
                <w:szCs w:val="20"/>
              </w:rPr>
            </w:pPr>
          </w:p>
        </w:tc>
        <w:tc>
          <w:tcPr>
            <w:tcW w:w="760" w:type="dxa"/>
            <w:tcBorders>
              <w:top w:val="nil"/>
              <w:left w:val="single" w:sz="4" w:space="0" w:color="auto"/>
              <w:bottom w:val="single" w:sz="8" w:space="0" w:color="auto"/>
              <w:right w:val="single" w:sz="4" w:space="0" w:color="auto"/>
            </w:tcBorders>
            <w:vAlign w:val="center"/>
          </w:tcPr>
          <w:p w:rsidR="0055491A" w:rsidRDefault="0055491A" w:rsidP="00210BF6">
            <w:pPr>
              <w:jc w:val="center"/>
              <w:rPr>
                <w:b/>
                <w:bCs/>
                <w:sz w:val="20"/>
                <w:szCs w:val="20"/>
              </w:rPr>
            </w:pPr>
            <w:r>
              <w:rPr>
                <w:b/>
                <w:bCs/>
                <w:sz w:val="20"/>
                <w:szCs w:val="20"/>
              </w:rPr>
              <w:t>2018 год</w:t>
            </w:r>
          </w:p>
        </w:tc>
        <w:tc>
          <w:tcPr>
            <w:tcW w:w="760" w:type="dxa"/>
            <w:tcBorders>
              <w:top w:val="nil"/>
              <w:left w:val="single" w:sz="4" w:space="0" w:color="auto"/>
              <w:bottom w:val="single" w:sz="8" w:space="0" w:color="auto"/>
              <w:right w:val="single" w:sz="4" w:space="0" w:color="auto"/>
            </w:tcBorders>
            <w:shd w:val="clear" w:color="auto" w:fill="auto"/>
            <w:vAlign w:val="center"/>
            <w:hideMark/>
          </w:tcPr>
          <w:p w:rsidR="0055491A" w:rsidRDefault="0055491A" w:rsidP="00210BF6">
            <w:pPr>
              <w:jc w:val="center"/>
              <w:rPr>
                <w:b/>
                <w:bCs/>
                <w:sz w:val="20"/>
                <w:szCs w:val="20"/>
              </w:rPr>
            </w:pPr>
            <w:r>
              <w:rPr>
                <w:b/>
                <w:bCs/>
                <w:sz w:val="20"/>
                <w:szCs w:val="20"/>
              </w:rPr>
              <w:t>2019 год</w:t>
            </w:r>
          </w:p>
        </w:tc>
        <w:tc>
          <w:tcPr>
            <w:tcW w:w="760" w:type="dxa"/>
            <w:tcBorders>
              <w:top w:val="nil"/>
              <w:left w:val="nil"/>
              <w:bottom w:val="single" w:sz="8" w:space="0" w:color="auto"/>
              <w:right w:val="single" w:sz="4" w:space="0" w:color="auto"/>
            </w:tcBorders>
            <w:shd w:val="clear" w:color="auto" w:fill="auto"/>
            <w:vAlign w:val="center"/>
            <w:hideMark/>
          </w:tcPr>
          <w:p w:rsidR="0055491A" w:rsidRDefault="0055491A" w:rsidP="00210BF6">
            <w:pPr>
              <w:jc w:val="center"/>
              <w:rPr>
                <w:b/>
                <w:bCs/>
                <w:sz w:val="20"/>
                <w:szCs w:val="20"/>
              </w:rPr>
            </w:pPr>
            <w:r>
              <w:rPr>
                <w:b/>
                <w:bCs/>
                <w:sz w:val="20"/>
                <w:szCs w:val="20"/>
              </w:rPr>
              <w:t>2020 год</w:t>
            </w:r>
          </w:p>
        </w:tc>
        <w:tc>
          <w:tcPr>
            <w:tcW w:w="740" w:type="dxa"/>
            <w:tcBorders>
              <w:top w:val="nil"/>
              <w:left w:val="nil"/>
              <w:bottom w:val="single" w:sz="8" w:space="0" w:color="auto"/>
              <w:right w:val="single" w:sz="4" w:space="0" w:color="auto"/>
            </w:tcBorders>
            <w:shd w:val="clear" w:color="auto" w:fill="auto"/>
            <w:vAlign w:val="center"/>
            <w:hideMark/>
          </w:tcPr>
          <w:p w:rsidR="0055491A" w:rsidRDefault="0055491A" w:rsidP="00210BF6">
            <w:pPr>
              <w:jc w:val="center"/>
              <w:rPr>
                <w:b/>
                <w:bCs/>
                <w:sz w:val="20"/>
                <w:szCs w:val="20"/>
              </w:rPr>
            </w:pPr>
            <w:r>
              <w:rPr>
                <w:b/>
                <w:bCs/>
                <w:sz w:val="20"/>
                <w:szCs w:val="20"/>
              </w:rPr>
              <w:t>Ср. на 2021 год</w:t>
            </w:r>
          </w:p>
        </w:tc>
        <w:tc>
          <w:tcPr>
            <w:tcW w:w="723" w:type="dxa"/>
            <w:tcBorders>
              <w:top w:val="nil"/>
              <w:left w:val="nil"/>
              <w:bottom w:val="single" w:sz="8" w:space="0" w:color="auto"/>
              <w:right w:val="single" w:sz="4" w:space="0" w:color="auto"/>
            </w:tcBorders>
            <w:shd w:val="clear" w:color="auto" w:fill="auto"/>
            <w:vAlign w:val="center"/>
            <w:hideMark/>
          </w:tcPr>
          <w:p w:rsidR="0055491A" w:rsidRDefault="0055491A" w:rsidP="00210BF6">
            <w:pPr>
              <w:jc w:val="center"/>
              <w:rPr>
                <w:b/>
                <w:bCs/>
                <w:sz w:val="20"/>
                <w:szCs w:val="20"/>
              </w:rPr>
            </w:pPr>
            <w:r>
              <w:rPr>
                <w:b/>
                <w:bCs/>
                <w:sz w:val="20"/>
                <w:szCs w:val="20"/>
              </w:rPr>
              <w:t>Ср. на 2022 год</w:t>
            </w:r>
          </w:p>
        </w:tc>
        <w:tc>
          <w:tcPr>
            <w:tcW w:w="709" w:type="dxa"/>
            <w:tcBorders>
              <w:top w:val="nil"/>
              <w:left w:val="nil"/>
              <w:bottom w:val="single" w:sz="8" w:space="0" w:color="auto"/>
              <w:right w:val="single" w:sz="4" w:space="0" w:color="auto"/>
            </w:tcBorders>
            <w:shd w:val="clear" w:color="auto" w:fill="auto"/>
            <w:vAlign w:val="center"/>
            <w:hideMark/>
          </w:tcPr>
          <w:p w:rsidR="0055491A" w:rsidRDefault="0055491A" w:rsidP="00210BF6">
            <w:pPr>
              <w:jc w:val="center"/>
              <w:rPr>
                <w:b/>
                <w:bCs/>
                <w:sz w:val="20"/>
                <w:szCs w:val="20"/>
              </w:rPr>
            </w:pPr>
            <w:r>
              <w:rPr>
                <w:b/>
                <w:bCs/>
                <w:sz w:val="20"/>
                <w:szCs w:val="20"/>
              </w:rPr>
              <w:t>Ср.  на 2023 год</w:t>
            </w:r>
          </w:p>
        </w:tc>
        <w:tc>
          <w:tcPr>
            <w:tcW w:w="709" w:type="dxa"/>
            <w:tcBorders>
              <w:top w:val="nil"/>
              <w:left w:val="nil"/>
              <w:bottom w:val="single" w:sz="8" w:space="0" w:color="auto"/>
              <w:right w:val="nil"/>
            </w:tcBorders>
            <w:shd w:val="clear" w:color="auto" w:fill="auto"/>
            <w:vAlign w:val="center"/>
            <w:hideMark/>
          </w:tcPr>
          <w:p w:rsidR="0055491A" w:rsidRDefault="0055491A" w:rsidP="00210BF6">
            <w:pPr>
              <w:jc w:val="center"/>
              <w:rPr>
                <w:b/>
                <w:bCs/>
                <w:sz w:val="20"/>
                <w:szCs w:val="20"/>
              </w:rPr>
            </w:pPr>
            <w:r>
              <w:rPr>
                <w:b/>
                <w:bCs/>
                <w:sz w:val="20"/>
                <w:szCs w:val="20"/>
              </w:rPr>
              <w:t>Ср. на 2024 год</w:t>
            </w:r>
          </w:p>
        </w:tc>
        <w:tc>
          <w:tcPr>
            <w:tcW w:w="1022" w:type="dxa"/>
            <w:tcBorders>
              <w:top w:val="nil"/>
              <w:left w:val="single" w:sz="4" w:space="0" w:color="auto"/>
              <w:bottom w:val="single" w:sz="8" w:space="0" w:color="auto"/>
              <w:right w:val="single" w:sz="4" w:space="0" w:color="auto"/>
            </w:tcBorders>
            <w:shd w:val="clear" w:color="auto" w:fill="auto"/>
            <w:noWrap/>
            <w:vAlign w:val="center"/>
            <w:hideMark/>
          </w:tcPr>
          <w:p w:rsidR="0055491A" w:rsidRDefault="0055491A" w:rsidP="00210BF6">
            <w:pPr>
              <w:jc w:val="center"/>
              <w:rPr>
                <w:b/>
                <w:bCs/>
                <w:sz w:val="20"/>
                <w:szCs w:val="20"/>
              </w:rPr>
            </w:pPr>
            <w:r>
              <w:rPr>
                <w:b/>
                <w:bCs/>
                <w:sz w:val="20"/>
                <w:szCs w:val="20"/>
              </w:rPr>
              <w:t>2022 год</w:t>
            </w:r>
          </w:p>
        </w:tc>
        <w:tc>
          <w:tcPr>
            <w:tcW w:w="1022" w:type="dxa"/>
            <w:tcBorders>
              <w:top w:val="nil"/>
              <w:left w:val="nil"/>
              <w:bottom w:val="single" w:sz="8" w:space="0" w:color="auto"/>
              <w:right w:val="single" w:sz="4" w:space="0" w:color="auto"/>
            </w:tcBorders>
            <w:shd w:val="clear" w:color="auto" w:fill="auto"/>
            <w:noWrap/>
            <w:vAlign w:val="center"/>
            <w:hideMark/>
          </w:tcPr>
          <w:p w:rsidR="0055491A" w:rsidRDefault="0055491A" w:rsidP="00210BF6">
            <w:pPr>
              <w:jc w:val="center"/>
              <w:rPr>
                <w:b/>
                <w:bCs/>
                <w:sz w:val="20"/>
                <w:szCs w:val="20"/>
              </w:rPr>
            </w:pPr>
            <w:r>
              <w:rPr>
                <w:b/>
                <w:bCs/>
                <w:sz w:val="20"/>
                <w:szCs w:val="20"/>
              </w:rPr>
              <w:t>2023 год</w:t>
            </w:r>
          </w:p>
        </w:tc>
        <w:tc>
          <w:tcPr>
            <w:tcW w:w="1023" w:type="dxa"/>
            <w:tcBorders>
              <w:top w:val="nil"/>
              <w:left w:val="nil"/>
              <w:bottom w:val="single" w:sz="8" w:space="0" w:color="auto"/>
              <w:right w:val="single" w:sz="8" w:space="0" w:color="auto"/>
            </w:tcBorders>
            <w:shd w:val="clear" w:color="auto" w:fill="auto"/>
            <w:noWrap/>
            <w:vAlign w:val="center"/>
            <w:hideMark/>
          </w:tcPr>
          <w:p w:rsidR="0055491A" w:rsidRDefault="0055491A" w:rsidP="00210BF6">
            <w:pPr>
              <w:jc w:val="center"/>
              <w:rPr>
                <w:b/>
                <w:bCs/>
                <w:sz w:val="20"/>
                <w:szCs w:val="20"/>
              </w:rPr>
            </w:pPr>
            <w:r>
              <w:rPr>
                <w:b/>
                <w:bCs/>
                <w:sz w:val="20"/>
                <w:szCs w:val="20"/>
              </w:rPr>
              <w:t>2024 год</w:t>
            </w:r>
          </w:p>
        </w:tc>
      </w:tr>
      <w:tr w:rsidR="0055491A" w:rsidRPr="00F80477" w:rsidTr="00210BF6">
        <w:trPr>
          <w:trHeight w:val="255"/>
        </w:trPr>
        <w:tc>
          <w:tcPr>
            <w:tcW w:w="976" w:type="dxa"/>
            <w:gridSpan w:val="2"/>
            <w:tcBorders>
              <w:top w:val="single" w:sz="4" w:space="0" w:color="auto"/>
              <w:left w:val="single" w:sz="8" w:space="0" w:color="auto"/>
              <w:bottom w:val="single" w:sz="4" w:space="0" w:color="auto"/>
              <w:right w:val="single" w:sz="8" w:space="0" w:color="auto"/>
            </w:tcBorders>
            <w:shd w:val="clear" w:color="auto" w:fill="auto"/>
            <w:noWrap/>
            <w:vAlign w:val="center"/>
            <w:hideMark/>
          </w:tcPr>
          <w:p w:rsidR="0055491A" w:rsidRPr="00F80477" w:rsidRDefault="0055491A" w:rsidP="00210BF6">
            <w:pPr>
              <w:jc w:val="right"/>
            </w:pPr>
            <w:r w:rsidRPr="00F80477">
              <w:t>1,0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tcPr>
          <w:p w:rsidR="0055491A" w:rsidRPr="00D56B79" w:rsidRDefault="0055491A" w:rsidP="00210BF6">
            <w:pPr>
              <w:jc w:val="center"/>
            </w:pPr>
            <w:r w:rsidRPr="00D56B79">
              <w:t>434</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55491A" w:rsidRPr="00D56B79" w:rsidRDefault="0055491A" w:rsidP="00210BF6">
            <w:pPr>
              <w:jc w:val="center"/>
            </w:pPr>
            <w:r w:rsidRPr="00D56B79">
              <w:t>185</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55491A" w:rsidRPr="00D56B79" w:rsidRDefault="0055491A" w:rsidP="00210BF6">
            <w:pPr>
              <w:jc w:val="center"/>
            </w:pPr>
            <w:r w:rsidRPr="00D56B79">
              <w:t>74</w:t>
            </w:r>
          </w:p>
        </w:tc>
        <w:tc>
          <w:tcPr>
            <w:tcW w:w="74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55491A" w:rsidRPr="001A54A2" w:rsidRDefault="0055491A" w:rsidP="00210BF6">
            <w:pPr>
              <w:jc w:val="center"/>
            </w:pPr>
            <w:r w:rsidRPr="001A54A2">
              <w:t>2</w:t>
            </w:r>
            <w:r>
              <w:t>31</w:t>
            </w:r>
          </w:p>
        </w:tc>
        <w:tc>
          <w:tcPr>
            <w:tcW w:w="723" w:type="dxa"/>
            <w:tcBorders>
              <w:top w:val="single" w:sz="4" w:space="0" w:color="auto"/>
              <w:left w:val="nil"/>
              <w:bottom w:val="single" w:sz="4" w:space="0" w:color="auto"/>
              <w:right w:val="single" w:sz="4" w:space="0" w:color="auto"/>
            </w:tcBorders>
            <w:shd w:val="clear" w:color="auto" w:fill="auto"/>
            <w:vAlign w:val="center"/>
            <w:hideMark/>
          </w:tcPr>
          <w:p w:rsidR="0055491A" w:rsidRPr="001A54A2" w:rsidRDefault="0055491A" w:rsidP="00210BF6">
            <w:pPr>
              <w:jc w:val="center"/>
            </w:pPr>
            <w:r>
              <w:t>163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5491A" w:rsidRPr="00F80477" w:rsidRDefault="0055491A" w:rsidP="00210BF6">
            <w:pPr>
              <w:jc w:val="center"/>
            </w:pPr>
            <w:r>
              <w:t>156</w:t>
            </w:r>
          </w:p>
        </w:tc>
        <w:tc>
          <w:tcPr>
            <w:tcW w:w="709" w:type="dxa"/>
            <w:tcBorders>
              <w:top w:val="single" w:sz="4" w:space="0" w:color="auto"/>
              <w:left w:val="nil"/>
              <w:bottom w:val="single" w:sz="4" w:space="0" w:color="auto"/>
              <w:right w:val="nil"/>
            </w:tcBorders>
            <w:shd w:val="clear" w:color="auto" w:fill="auto"/>
            <w:vAlign w:val="center"/>
            <w:hideMark/>
          </w:tcPr>
          <w:p w:rsidR="0055491A" w:rsidRPr="00F80477" w:rsidRDefault="0055491A" w:rsidP="00210BF6">
            <w:pPr>
              <w:jc w:val="center"/>
            </w:pPr>
            <w:r>
              <w:t>183</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1A" w:rsidRPr="00F80477" w:rsidRDefault="0055491A" w:rsidP="00210BF6">
            <w:pPr>
              <w:jc w:val="right"/>
            </w:pPr>
            <w:r>
              <w:t>163,0</w:t>
            </w:r>
          </w:p>
        </w:tc>
        <w:tc>
          <w:tcPr>
            <w:tcW w:w="1022" w:type="dxa"/>
            <w:tcBorders>
              <w:top w:val="single" w:sz="4" w:space="0" w:color="auto"/>
              <w:left w:val="nil"/>
              <w:bottom w:val="single" w:sz="4" w:space="0" w:color="auto"/>
              <w:right w:val="single" w:sz="4" w:space="0" w:color="auto"/>
            </w:tcBorders>
            <w:shd w:val="clear" w:color="auto" w:fill="auto"/>
            <w:vAlign w:val="center"/>
            <w:hideMark/>
          </w:tcPr>
          <w:p w:rsidR="0055491A" w:rsidRPr="00F80477" w:rsidRDefault="0055491A" w:rsidP="00210BF6">
            <w:pPr>
              <w:jc w:val="right"/>
            </w:pPr>
            <w:r>
              <w:t>156,0</w:t>
            </w:r>
          </w:p>
        </w:tc>
        <w:tc>
          <w:tcPr>
            <w:tcW w:w="1023" w:type="dxa"/>
            <w:tcBorders>
              <w:top w:val="single" w:sz="4" w:space="0" w:color="auto"/>
              <w:left w:val="nil"/>
              <w:bottom w:val="single" w:sz="4" w:space="0" w:color="auto"/>
              <w:right w:val="single" w:sz="4" w:space="0" w:color="auto"/>
            </w:tcBorders>
            <w:shd w:val="clear" w:color="auto" w:fill="auto"/>
            <w:vAlign w:val="center"/>
            <w:hideMark/>
          </w:tcPr>
          <w:p w:rsidR="0055491A" w:rsidRPr="00F80477" w:rsidRDefault="0055491A" w:rsidP="00210BF6">
            <w:pPr>
              <w:jc w:val="right"/>
            </w:pPr>
            <w:r>
              <w:t>183,0</w:t>
            </w:r>
          </w:p>
        </w:tc>
      </w:tr>
      <w:tr w:rsidR="0055491A" w:rsidRPr="00F80477" w:rsidTr="00210BF6">
        <w:trPr>
          <w:trHeight w:val="255"/>
        </w:trPr>
        <w:tc>
          <w:tcPr>
            <w:tcW w:w="976" w:type="dxa"/>
            <w:gridSpan w:val="2"/>
            <w:tcBorders>
              <w:top w:val="single" w:sz="4" w:space="0" w:color="auto"/>
              <w:left w:val="single" w:sz="8" w:space="0" w:color="auto"/>
              <w:bottom w:val="single" w:sz="4" w:space="0" w:color="auto"/>
              <w:right w:val="single" w:sz="8" w:space="0" w:color="auto"/>
            </w:tcBorders>
            <w:shd w:val="clear" w:color="auto" w:fill="auto"/>
            <w:noWrap/>
            <w:vAlign w:val="center"/>
          </w:tcPr>
          <w:p w:rsidR="0055491A" w:rsidRPr="00F80477" w:rsidRDefault="0055491A" w:rsidP="00210BF6">
            <w:pPr>
              <w:jc w:val="right"/>
            </w:pPr>
            <w:r>
              <w:t>40,0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rsidR="0055491A" w:rsidRPr="00737882" w:rsidRDefault="0055491A" w:rsidP="00210BF6">
            <w:pPr>
              <w:jc w:val="center"/>
            </w:pPr>
            <w:r>
              <w:t>0</w:t>
            </w:r>
          </w:p>
        </w:tc>
        <w:tc>
          <w:tcPr>
            <w:tcW w:w="760" w:type="dxa"/>
            <w:tcBorders>
              <w:top w:val="single" w:sz="4" w:space="0" w:color="auto"/>
              <w:left w:val="nil"/>
              <w:bottom w:val="single" w:sz="4" w:space="0" w:color="auto"/>
              <w:right w:val="single" w:sz="4" w:space="0" w:color="auto"/>
            </w:tcBorders>
            <w:shd w:val="clear" w:color="auto" w:fill="auto"/>
            <w:noWrap/>
            <w:vAlign w:val="center"/>
          </w:tcPr>
          <w:p w:rsidR="0055491A" w:rsidRPr="00737882" w:rsidRDefault="0055491A" w:rsidP="00210BF6">
            <w:pPr>
              <w:jc w:val="center"/>
            </w:pPr>
            <w:r>
              <w:t>0</w:t>
            </w:r>
          </w:p>
        </w:tc>
        <w:tc>
          <w:tcPr>
            <w:tcW w:w="760" w:type="dxa"/>
            <w:tcBorders>
              <w:top w:val="single" w:sz="4" w:space="0" w:color="auto"/>
              <w:left w:val="nil"/>
              <w:bottom w:val="single" w:sz="4" w:space="0" w:color="auto"/>
              <w:right w:val="single" w:sz="4" w:space="0" w:color="auto"/>
            </w:tcBorders>
            <w:shd w:val="clear" w:color="auto" w:fill="auto"/>
            <w:noWrap/>
            <w:vAlign w:val="center"/>
          </w:tcPr>
          <w:p w:rsidR="0055491A" w:rsidRPr="00737882" w:rsidRDefault="0055491A" w:rsidP="00210BF6">
            <w:pPr>
              <w:jc w:val="center"/>
            </w:pPr>
            <w:r>
              <w:t>2</w:t>
            </w:r>
          </w:p>
        </w:tc>
        <w:tc>
          <w:tcPr>
            <w:tcW w:w="740" w:type="dxa"/>
            <w:tcBorders>
              <w:top w:val="single" w:sz="4" w:space="0" w:color="auto"/>
              <w:left w:val="nil"/>
              <w:bottom w:val="single" w:sz="4" w:space="0" w:color="auto"/>
              <w:right w:val="single" w:sz="4" w:space="0" w:color="auto"/>
            </w:tcBorders>
            <w:shd w:val="clear" w:color="auto" w:fill="FFFFFF" w:themeFill="background1"/>
            <w:noWrap/>
            <w:vAlign w:val="center"/>
          </w:tcPr>
          <w:p w:rsidR="0055491A" w:rsidRPr="001A54A2" w:rsidRDefault="0055491A" w:rsidP="00210BF6">
            <w:pPr>
              <w:jc w:val="center"/>
            </w:pPr>
            <w:r>
              <w:t>1</w:t>
            </w:r>
          </w:p>
        </w:tc>
        <w:tc>
          <w:tcPr>
            <w:tcW w:w="723" w:type="dxa"/>
            <w:tcBorders>
              <w:top w:val="single" w:sz="4" w:space="0" w:color="auto"/>
              <w:left w:val="nil"/>
              <w:bottom w:val="single" w:sz="4" w:space="0" w:color="auto"/>
              <w:right w:val="single" w:sz="4" w:space="0" w:color="auto"/>
            </w:tcBorders>
            <w:shd w:val="clear" w:color="auto" w:fill="auto"/>
            <w:vAlign w:val="center"/>
          </w:tcPr>
          <w:p w:rsidR="0055491A" w:rsidRPr="001A54A2" w:rsidRDefault="0055491A" w:rsidP="00210BF6">
            <w:pPr>
              <w:jc w:val="center"/>
            </w:pPr>
            <w:r>
              <w:t>1</w:t>
            </w:r>
          </w:p>
        </w:tc>
        <w:tc>
          <w:tcPr>
            <w:tcW w:w="709" w:type="dxa"/>
            <w:tcBorders>
              <w:top w:val="single" w:sz="4" w:space="0" w:color="auto"/>
              <w:left w:val="nil"/>
              <w:bottom w:val="single" w:sz="4" w:space="0" w:color="auto"/>
              <w:right w:val="single" w:sz="4" w:space="0" w:color="auto"/>
            </w:tcBorders>
            <w:shd w:val="clear" w:color="auto" w:fill="auto"/>
            <w:vAlign w:val="center"/>
          </w:tcPr>
          <w:p w:rsidR="0055491A" w:rsidRDefault="0055491A" w:rsidP="00210BF6">
            <w:pPr>
              <w:jc w:val="center"/>
            </w:pPr>
            <w:r>
              <w:t>1</w:t>
            </w:r>
          </w:p>
        </w:tc>
        <w:tc>
          <w:tcPr>
            <w:tcW w:w="709" w:type="dxa"/>
            <w:tcBorders>
              <w:top w:val="single" w:sz="4" w:space="0" w:color="auto"/>
              <w:left w:val="nil"/>
              <w:bottom w:val="single" w:sz="4" w:space="0" w:color="auto"/>
              <w:right w:val="nil"/>
            </w:tcBorders>
            <w:shd w:val="clear" w:color="auto" w:fill="auto"/>
            <w:vAlign w:val="center"/>
          </w:tcPr>
          <w:p w:rsidR="0055491A" w:rsidRDefault="0055491A" w:rsidP="00210BF6">
            <w:pPr>
              <w:jc w:val="center"/>
            </w:pPr>
            <w:r>
              <w:t>1</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rsidR="0055491A" w:rsidRDefault="0055491A" w:rsidP="00210BF6">
            <w:pPr>
              <w:jc w:val="right"/>
            </w:pPr>
            <w:r>
              <w:t>40,0</w:t>
            </w:r>
          </w:p>
        </w:tc>
        <w:tc>
          <w:tcPr>
            <w:tcW w:w="1022" w:type="dxa"/>
            <w:tcBorders>
              <w:top w:val="single" w:sz="4" w:space="0" w:color="auto"/>
              <w:left w:val="nil"/>
              <w:bottom w:val="single" w:sz="4" w:space="0" w:color="auto"/>
              <w:right w:val="single" w:sz="4" w:space="0" w:color="auto"/>
            </w:tcBorders>
            <w:shd w:val="clear" w:color="auto" w:fill="auto"/>
            <w:vAlign w:val="center"/>
          </w:tcPr>
          <w:p w:rsidR="0055491A" w:rsidRDefault="0055491A" w:rsidP="00210BF6">
            <w:pPr>
              <w:jc w:val="right"/>
            </w:pPr>
            <w:r>
              <w:t>40,0</w:t>
            </w:r>
          </w:p>
        </w:tc>
        <w:tc>
          <w:tcPr>
            <w:tcW w:w="1023" w:type="dxa"/>
            <w:tcBorders>
              <w:top w:val="single" w:sz="4" w:space="0" w:color="auto"/>
              <w:left w:val="nil"/>
              <w:bottom w:val="single" w:sz="4" w:space="0" w:color="auto"/>
              <w:right w:val="single" w:sz="4" w:space="0" w:color="auto"/>
            </w:tcBorders>
            <w:shd w:val="clear" w:color="auto" w:fill="auto"/>
            <w:vAlign w:val="center"/>
          </w:tcPr>
          <w:p w:rsidR="0055491A" w:rsidRDefault="0055491A" w:rsidP="00210BF6">
            <w:pPr>
              <w:jc w:val="right"/>
            </w:pPr>
            <w:r>
              <w:t>40,0</w:t>
            </w:r>
          </w:p>
        </w:tc>
      </w:tr>
      <w:tr w:rsidR="0055491A" w:rsidRPr="00F80477" w:rsidTr="00210BF6">
        <w:trPr>
          <w:trHeight w:val="255"/>
        </w:trPr>
        <w:tc>
          <w:tcPr>
            <w:tcW w:w="760" w:type="dxa"/>
            <w:tcBorders>
              <w:top w:val="nil"/>
              <w:left w:val="single" w:sz="8" w:space="0" w:color="auto"/>
              <w:bottom w:val="single" w:sz="4" w:space="0" w:color="auto"/>
              <w:right w:val="single" w:sz="8" w:space="0" w:color="auto"/>
            </w:tcBorders>
          </w:tcPr>
          <w:p w:rsidR="0055491A" w:rsidRPr="00EF0881" w:rsidRDefault="0055491A" w:rsidP="00210BF6">
            <w:pPr>
              <w:jc w:val="center"/>
              <w:rPr>
                <w:b/>
              </w:rPr>
            </w:pPr>
          </w:p>
        </w:tc>
        <w:tc>
          <w:tcPr>
            <w:tcW w:w="5377" w:type="dxa"/>
            <w:gridSpan w:val="8"/>
            <w:tcBorders>
              <w:top w:val="nil"/>
              <w:left w:val="single" w:sz="8" w:space="0" w:color="auto"/>
              <w:bottom w:val="single" w:sz="4" w:space="0" w:color="auto"/>
              <w:right w:val="single" w:sz="8" w:space="0" w:color="auto"/>
            </w:tcBorders>
            <w:shd w:val="clear" w:color="auto" w:fill="auto"/>
            <w:vAlign w:val="center"/>
          </w:tcPr>
          <w:p w:rsidR="0055491A" w:rsidRPr="00F80477" w:rsidRDefault="0055491A" w:rsidP="00210BF6">
            <w:pPr>
              <w:jc w:val="center"/>
            </w:pPr>
            <w:r w:rsidRPr="00EF0881">
              <w:rPr>
                <w:b/>
              </w:rPr>
              <w:t>ИТОГО</w:t>
            </w:r>
            <w:r>
              <w:t>:</w:t>
            </w:r>
          </w:p>
        </w:tc>
        <w:tc>
          <w:tcPr>
            <w:tcW w:w="1022" w:type="dxa"/>
            <w:tcBorders>
              <w:top w:val="nil"/>
              <w:left w:val="single" w:sz="4" w:space="0" w:color="auto"/>
              <w:bottom w:val="single" w:sz="4" w:space="0" w:color="auto"/>
              <w:right w:val="single" w:sz="4" w:space="0" w:color="auto"/>
            </w:tcBorders>
            <w:shd w:val="clear" w:color="auto" w:fill="auto"/>
            <w:vAlign w:val="center"/>
            <w:hideMark/>
          </w:tcPr>
          <w:p w:rsidR="0055491A" w:rsidRPr="00EA56A4" w:rsidRDefault="0055491A" w:rsidP="00210BF6">
            <w:pPr>
              <w:jc w:val="right"/>
              <w:rPr>
                <w:b/>
              </w:rPr>
            </w:pPr>
            <w:r w:rsidRPr="00EA56A4">
              <w:rPr>
                <w:b/>
              </w:rPr>
              <w:t>203,0</w:t>
            </w:r>
          </w:p>
        </w:tc>
        <w:tc>
          <w:tcPr>
            <w:tcW w:w="1022" w:type="dxa"/>
            <w:tcBorders>
              <w:top w:val="nil"/>
              <w:left w:val="nil"/>
              <w:bottom w:val="single" w:sz="4" w:space="0" w:color="auto"/>
              <w:right w:val="single" w:sz="4" w:space="0" w:color="auto"/>
            </w:tcBorders>
            <w:shd w:val="clear" w:color="auto" w:fill="auto"/>
            <w:vAlign w:val="center"/>
            <w:hideMark/>
          </w:tcPr>
          <w:p w:rsidR="0055491A" w:rsidRPr="00EA56A4" w:rsidRDefault="0055491A" w:rsidP="00210BF6">
            <w:pPr>
              <w:jc w:val="right"/>
              <w:rPr>
                <w:b/>
              </w:rPr>
            </w:pPr>
            <w:r w:rsidRPr="00EA56A4">
              <w:rPr>
                <w:b/>
              </w:rPr>
              <w:t>196,0</w:t>
            </w:r>
          </w:p>
        </w:tc>
        <w:tc>
          <w:tcPr>
            <w:tcW w:w="1023" w:type="dxa"/>
            <w:tcBorders>
              <w:top w:val="nil"/>
              <w:left w:val="nil"/>
              <w:bottom w:val="single" w:sz="4" w:space="0" w:color="auto"/>
              <w:right w:val="single" w:sz="4" w:space="0" w:color="auto"/>
            </w:tcBorders>
            <w:shd w:val="clear" w:color="auto" w:fill="auto"/>
            <w:vAlign w:val="center"/>
            <w:hideMark/>
          </w:tcPr>
          <w:p w:rsidR="0055491A" w:rsidRPr="00EA56A4" w:rsidRDefault="0055491A" w:rsidP="00210BF6">
            <w:pPr>
              <w:jc w:val="right"/>
              <w:rPr>
                <w:b/>
              </w:rPr>
            </w:pPr>
            <w:r w:rsidRPr="00EA56A4">
              <w:rPr>
                <w:b/>
              </w:rPr>
              <w:t>223,0</w:t>
            </w:r>
          </w:p>
        </w:tc>
      </w:tr>
    </w:tbl>
    <w:p w:rsidR="0055491A" w:rsidRDefault="0055491A" w:rsidP="0055491A">
      <w:pPr>
        <w:spacing w:line="252" w:lineRule="auto"/>
        <w:ind w:firstLine="709"/>
        <w:jc w:val="both"/>
      </w:pPr>
    </w:p>
    <w:p w:rsidR="0055491A" w:rsidRPr="00EA56A4" w:rsidRDefault="0055491A" w:rsidP="0055491A">
      <w:pPr>
        <w:pStyle w:val="a7"/>
        <w:spacing w:after="0"/>
        <w:ind w:left="0" w:firstLine="709"/>
        <w:jc w:val="both"/>
        <w:rPr>
          <w:b/>
          <w:sz w:val="28"/>
          <w:szCs w:val="28"/>
        </w:rPr>
      </w:pPr>
      <w:r w:rsidRPr="00EA56A4">
        <w:rPr>
          <w:b/>
          <w:sz w:val="28"/>
          <w:szCs w:val="28"/>
        </w:rPr>
        <w:t>Прогноз доходов на 2022 год – 203,0 тыс. руб., на 2023 год – 196,0 тыс. руб., на 2024 год – 223,0 тыс. руб.</w:t>
      </w:r>
    </w:p>
    <w:p w:rsidR="0055491A" w:rsidRDefault="0055491A" w:rsidP="0055491A">
      <w:pPr>
        <w:pStyle w:val="a7"/>
        <w:spacing w:after="0"/>
        <w:ind w:left="0" w:firstLine="709"/>
        <w:jc w:val="both"/>
        <w:rPr>
          <w:sz w:val="28"/>
          <w:szCs w:val="28"/>
        </w:rPr>
      </w:pPr>
    </w:p>
    <w:p w:rsidR="0055491A" w:rsidRDefault="0055491A" w:rsidP="0055491A">
      <w:pPr>
        <w:pStyle w:val="a7"/>
        <w:spacing w:after="0"/>
        <w:ind w:left="0" w:firstLine="709"/>
        <w:jc w:val="both"/>
        <w:rPr>
          <w:sz w:val="28"/>
          <w:szCs w:val="28"/>
        </w:rPr>
      </w:pPr>
      <w:r w:rsidRPr="00485D9D">
        <w:rPr>
          <w:sz w:val="28"/>
          <w:szCs w:val="28"/>
        </w:rPr>
        <w:t xml:space="preserve">5.2 </w:t>
      </w:r>
      <w:r w:rsidRPr="00EA56A4">
        <w:rPr>
          <w:b/>
          <w:sz w:val="28"/>
          <w:szCs w:val="28"/>
        </w:rPr>
        <w:t>КБК 245 1 16 01092 01 0000 140</w:t>
      </w:r>
      <w:r w:rsidRPr="00EA56A4">
        <w:rPr>
          <w:sz w:val="28"/>
          <w:szCs w:val="28"/>
        </w:rPr>
        <w:t xml:space="preserve"> </w:t>
      </w:r>
      <w:r w:rsidRPr="00485D9D">
        <w:rPr>
          <w:sz w:val="28"/>
          <w:szCs w:val="28"/>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w:t>
      </w:r>
    </w:p>
    <w:p w:rsidR="0055491A" w:rsidRDefault="0055491A" w:rsidP="0055491A">
      <w:pPr>
        <w:pStyle w:val="a7"/>
        <w:spacing w:after="0"/>
        <w:ind w:left="0" w:firstLine="709"/>
        <w:jc w:val="both"/>
        <w:rPr>
          <w:sz w:val="28"/>
          <w:szCs w:val="28"/>
        </w:rPr>
      </w:pPr>
      <w:r w:rsidRPr="00EA56A4">
        <w:rPr>
          <w:b/>
          <w:sz w:val="28"/>
          <w:szCs w:val="28"/>
        </w:rPr>
        <w:t>Главный администратор доходов - Главное управление «Государственная инспекция по надзору за техническим состоянием самоходных машин и других видов техники» Тверской области</w:t>
      </w:r>
      <w:r>
        <w:rPr>
          <w:sz w:val="28"/>
          <w:szCs w:val="28"/>
        </w:rPr>
        <w:t>.</w:t>
      </w:r>
    </w:p>
    <w:p w:rsidR="0055491A" w:rsidRDefault="0055491A" w:rsidP="0055491A">
      <w:pPr>
        <w:ind w:firstLine="709"/>
        <w:jc w:val="both"/>
        <w:rPr>
          <w:color w:val="000000"/>
          <w:sz w:val="28"/>
          <w:szCs w:val="28"/>
        </w:rPr>
      </w:pPr>
      <w:r w:rsidRPr="00B56F6E">
        <w:rPr>
          <w:color w:val="000000"/>
          <w:sz w:val="28"/>
          <w:szCs w:val="28"/>
        </w:rPr>
        <w:t xml:space="preserve">Прогноз поступлений доходов в областной бюджет </w:t>
      </w:r>
      <w:r>
        <w:rPr>
          <w:color w:val="000000"/>
          <w:sz w:val="28"/>
          <w:szCs w:val="28"/>
        </w:rPr>
        <w:t xml:space="preserve">Тверской области определен в </w:t>
      </w:r>
      <w:r w:rsidRPr="00B56F6E">
        <w:rPr>
          <w:color w:val="000000"/>
          <w:sz w:val="28"/>
          <w:szCs w:val="28"/>
        </w:rPr>
        <w:t>соответствии с положениями Методики прогнозирования поступлений доходов в областной бюджет</w:t>
      </w:r>
      <w:r>
        <w:rPr>
          <w:color w:val="000000"/>
          <w:sz w:val="28"/>
          <w:szCs w:val="28"/>
        </w:rPr>
        <w:t xml:space="preserve"> Тверской области</w:t>
      </w:r>
      <w:r w:rsidRPr="00B56F6E">
        <w:rPr>
          <w:color w:val="000000"/>
          <w:sz w:val="28"/>
          <w:szCs w:val="28"/>
        </w:rPr>
        <w:t xml:space="preserve">, утвержденной приказом Главного управления </w:t>
      </w:r>
      <w:r>
        <w:rPr>
          <w:sz w:val="28"/>
          <w:szCs w:val="28"/>
        </w:rPr>
        <w:t>«Государственной инспекции</w:t>
      </w:r>
      <w:r w:rsidRPr="00E86C4A">
        <w:rPr>
          <w:sz w:val="28"/>
          <w:szCs w:val="28"/>
        </w:rPr>
        <w:t xml:space="preserve"> по надзору за техническим состоянием самоходны</w:t>
      </w:r>
      <w:r>
        <w:rPr>
          <w:sz w:val="28"/>
          <w:szCs w:val="28"/>
        </w:rPr>
        <w:t xml:space="preserve">х машин и других видов техники» </w:t>
      </w:r>
      <w:r w:rsidRPr="00E86C4A">
        <w:rPr>
          <w:sz w:val="28"/>
          <w:szCs w:val="28"/>
        </w:rPr>
        <w:t>Тверской области</w:t>
      </w:r>
      <w:r w:rsidRPr="00B56F6E">
        <w:rPr>
          <w:color w:val="000000"/>
          <w:sz w:val="28"/>
          <w:szCs w:val="28"/>
        </w:rPr>
        <w:t xml:space="preserve"> от  30.08.2016 № 52/ПК</w:t>
      </w:r>
      <w:r>
        <w:rPr>
          <w:color w:val="000000"/>
          <w:sz w:val="28"/>
          <w:szCs w:val="28"/>
        </w:rPr>
        <w:t xml:space="preserve"> (с учетом изменений от 30.06.2020)</w:t>
      </w:r>
      <w:r w:rsidRPr="00B56F6E">
        <w:rPr>
          <w:color w:val="000000"/>
          <w:sz w:val="28"/>
          <w:szCs w:val="28"/>
        </w:rPr>
        <w:t>.</w:t>
      </w:r>
    </w:p>
    <w:p w:rsidR="0055491A" w:rsidRPr="00F92864" w:rsidRDefault="0055491A" w:rsidP="0055491A">
      <w:pPr>
        <w:ind w:firstLine="709"/>
        <w:jc w:val="both"/>
        <w:rPr>
          <w:sz w:val="28"/>
          <w:szCs w:val="28"/>
        </w:rPr>
      </w:pPr>
      <w:r w:rsidRPr="00F92864">
        <w:rPr>
          <w:sz w:val="28"/>
          <w:szCs w:val="28"/>
        </w:rPr>
        <w:t xml:space="preserve">Прогноз </w:t>
      </w:r>
      <w:r w:rsidRPr="00B56F6E">
        <w:rPr>
          <w:sz w:val="28"/>
          <w:szCs w:val="28"/>
        </w:rPr>
        <w:t>на 20</w:t>
      </w:r>
      <w:r>
        <w:rPr>
          <w:sz w:val="28"/>
          <w:szCs w:val="28"/>
        </w:rPr>
        <w:t>21-</w:t>
      </w:r>
      <w:r w:rsidRPr="00B56F6E">
        <w:rPr>
          <w:sz w:val="28"/>
          <w:szCs w:val="28"/>
        </w:rPr>
        <w:t>202</w:t>
      </w:r>
      <w:r>
        <w:rPr>
          <w:sz w:val="28"/>
          <w:szCs w:val="28"/>
        </w:rPr>
        <w:t>2</w:t>
      </w:r>
      <w:r w:rsidRPr="00B56F6E">
        <w:rPr>
          <w:sz w:val="28"/>
          <w:szCs w:val="28"/>
        </w:rPr>
        <w:t xml:space="preserve"> годы </w:t>
      </w:r>
      <w:r w:rsidRPr="00F92864">
        <w:rPr>
          <w:sz w:val="28"/>
          <w:szCs w:val="28"/>
        </w:rPr>
        <w:t>по административным штрафам рассчитывается методом прямого расчета по следующей формуле:</w:t>
      </w:r>
    </w:p>
    <w:p w:rsidR="0055491A" w:rsidRPr="00F92864" w:rsidRDefault="0055491A" w:rsidP="0055491A">
      <w:pPr>
        <w:jc w:val="center"/>
        <w:rPr>
          <w:sz w:val="28"/>
          <w:szCs w:val="28"/>
        </w:rPr>
      </w:pPr>
    </w:p>
    <w:p w:rsidR="0055491A" w:rsidRPr="00F92864" w:rsidRDefault="0055491A" w:rsidP="0055491A">
      <w:pPr>
        <w:jc w:val="center"/>
        <w:rPr>
          <w:sz w:val="28"/>
          <w:szCs w:val="28"/>
        </w:rPr>
      </w:pPr>
      <w:r w:rsidRPr="00F92864">
        <w:rPr>
          <w:sz w:val="28"/>
          <w:szCs w:val="28"/>
          <w:lang w:val="en-US"/>
        </w:rPr>
        <w:t>S</w:t>
      </w:r>
      <w:r w:rsidRPr="00F92864">
        <w:rPr>
          <w:sz w:val="28"/>
          <w:szCs w:val="28"/>
          <w:vertAlign w:val="subscript"/>
        </w:rPr>
        <w:t xml:space="preserve">адм </w:t>
      </w:r>
      <w:r w:rsidRPr="00F92864">
        <w:rPr>
          <w:sz w:val="28"/>
          <w:szCs w:val="28"/>
          <w:vertAlign w:val="subscript"/>
          <w:lang w:val="en-US"/>
        </w:rPr>
        <w:t>j</w:t>
      </w:r>
      <w:r w:rsidRPr="00F92864">
        <w:rPr>
          <w:sz w:val="28"/>
          <w:szCs w:val="28"/>
          <w:vertAlign w:val="subscript"/>
        </w:rPr>
        <w:t xml:space="preserve"> </w:t>
      </w:r>
      <w:r w:rsidRPr="00F92864">
        <w:rPr>
          <w:sz w:val="28"/>
          <w:szCs w:val="28"/>
          <w:vertAlign w:val="subscript"/>
          <w:lang w:val="en-US"/>
        </w:rPr>
        <w:t>n</w:t>
      </w:r>
      <w:r w:rsidRPr="00F92864">
        <w:rPr>
          <w:sz w:val="28"/>
          <w:szCs w:val="28"/>
          <w:vertAlign w:val="subscript"/>
        </w:rPr>
        <w:t xml:space="preserve"> </w:t>
      </w:r>
      <w:r w:rsidRPr="00F92864">
        <w:rPr>
          <w:sz w:val="28"/>
          <w:szCs w:val="28"/>
        </w:rPr>
        <w:t>= К</w:t>
      </w:r>
      <w:r w:rsidRPr="00F92864">
        <w:rPr>
          <w:sz w:val="28"/>
          <w:szCs w:val="28"/>
          <w:vertAlign w:val="subscript"/>
        </w:rPr>
        <w:t xml:space="preserve">адм </w:t>
      </w:r>
      <w:r w:rsidRPr="00F92864">
        <w:rPr>
          <w:sz w:val="28"/>
          <w:szCs w:val="28"/>
          <w:vertAlign w:val="subscript"/>
          <w:lang w:val="en-US"/>
        </w:rPr>
        <w:t>j</w:t>
      </w:r>
      <w:r w:rsidRPr="00F92864">
        <w:rPr>
          <w:sz w:val="28"/>
          <w:szCs w:val="28"/>
          <w:vertAlign w:val="subscript"/>
        </w:rPr>
        <w:t xml:space="preserve"> </w:t>
      </w:r>
      <w:r w:rsidRPr="00F92864">
        <w:rPr>
          <w:sz w:val="28"/>
          <w:szCs w:val="28"/>
          <w:vertAlign w:val="subscript"/>
          <w:lang w:val="en-US"/>
        </w:rPr>
        <w:t>n</w:t>
      </w:r>
      <w:r w:rsidRPr="00F92864">
        <w:rPr>
          <w:sz w:val="28"/>
          <w:szCs w:val="28"/>
          <w:vertAlign w:val="subscript"/>
        </w:rPr>
        <w:t xml:space="preserve"> </w:t>
      </w:r>
      <w:r w:rsidRPr="00F92864">
        <w:rPr>
          <w:sz w:val="28"/>
          <w:szCs w:val="28"/>
        </w:rPr>
        <w:t>х</w:t>
      </w:r>
      <w:r w:rsidRPr="00F92864">
        <w:rPr>
          <w:sz w:val="28"/>
          <w:szCs w:val="28"/>
          <w:vertAlign w:val="subscript"/>
        </w:rPr>
        <w:t xml:space="preserve"> </w:t>
      </w:r>
      <w:r w:rsidRPr="00F92864">
        <w:rPr>
          <w:sz w:val="28"/>
          <w:szCs w:val="28"/>
        </w:rPr>
        <w:t>С</w:t>
      </w:r>
      <w:r w:rsidRPr="00F92864">
        <w:rPr>
          <w:sz w:val="28"/>
          <w:szCs w:val="28"/>
          <w:vertAlign w:val="subscript"/>
        </w:rPr>
        <w:t>адм</w:t>
      </w:r>
      <w:r w:rsidRPr="00F92864">
        <w:rPr>
          <w:sz w:val="28"/>
          <w:szCs w:val="28"/>
        </w:rPr>
        <w:t>, где:</w:t>
      </w:r>
    </w:p>
    <w:p w:rsidR="0055491A" w:rsidRPr="00F92864" w:rsidRDefault="0055491A" w:rsidP="0055491A">
      <w:pPr>
        <w:jc w:val="both"/>
        <w:rPr>
          <w:sz w:val="28"/>
          <w:szCs w:val="28"/>
        </w:rPr>
      </w:pPr>
    </w:p>
    <w:p w:rsidR="0055491A" w:rsidRPr="00F92864" w:rsidRDefault="0055491A" w:rsidP="0055491A">
      <w:pPr>
        <w:ind w:firstLine="708"/>
        <w:jc w:val="both"/>
        <w:rPr>
          <w:sz w:val="28"/>
          <w:szCs w:val="28"/>
        </w:rPr>
      </w:pPr>
      <w:r w:rsidRPr="00F92864">
        <w:rPr>
          <w:sz w:val="28"/>
          <w:szCs w:val="28"/>
          <w:lang w:val="en-US"/>
        </w:rPr>
        <w:t>S</w:t>
      </w:r>
      <w:r w:rsidRPr="00F92864">
        <w:rPr>
          <w:sz w:val="28"/>
          <w:szCs w:val="28"/>
          <w:vertAlign w:val="subscript"/>
        </w:rPr>
        <w:t xml:space="preserve">адм </w:t>
      </w:r>
      <w:r w:rsidRPr="00F92864">
        <w:rPr>
          <w:sz w:val="28"/>
          <w:szCs w:val="28"/>
          <w:vertAlign w:val="subscript"/>
          <w:lang w:val="en-US"/>
        </w:rPr>
        <w:t>j</w:t>
      </w:r>
      <w:r w:rsidRPr="00F92864">
        <w:rPr>
          <w:sz w:val="28"/>
          <w:szCs w:val="28"/>
          <w:vertAlign w:val="subscript"/>
        </w:rPr>
        <w:t xml:space="preserve"> </w:t>
      </w:r>
      <w:r w:rsidRPr="00F92864">
        <w:rPr>
          <w:sz w:val="28"/>
          <w:szCs w:val="28"/>
          <w:vertAlign w:val="subscript"/>
          <w:lang w:val="en-US"/>
        </w:rPr>
        <w:t>n</w:t>
      </w:r>
      <w:r w:rsidRPr="00F92864">
        <w:rPr>
          <w:sz w:val="28"/>
          <w:szCs w:val="28"/>
        </w:rPr>
        <w:t xml:space="preserve"> – прогноз суммы поступления по административным штрафам в </w:t>
      </w:r>
      <w:r w:rsidRPr="00F92864">
        <w:rPr>
          <w:sz w:val="28"/>
          <w:szCs w:val="28"/>
          <w:lang w:val="en-US"/>
        </w:rPr>
        <w:t>n</w:t>
      </w:r>
      <w:r w:rsidRPr="00F92864">
        <w:rPr>
          <w:sz w:val="28"/>
          <w:szCs w:val="28"/>
        </w:rPr>
        <w:t xml:space="preserve"> году;</w:t>
      </w:r>
    </w:p>
    <w:p w:rsidR="0055491A" w:rsidRPr="00F92864" w:rsidRDefault="0055491A" w:rsidP="0055491A">
      <w:pPr>
        <w:ind w:firstLine="709"/>
        <w:jc w:val="both"/>
        <w:rPr>
          <w:sz w:val="28"/>
          <w:szCs w:val="28"/>
        </w:rPr>
      </w:pPr>
      <w:r w:rsidRPr="00F92864">
        <w:rPr>
          <w:sz w:val="28"/>
          <w:szCs w:val="28"/>
        </w:rPr>
        <w:t>К</w:t>
      </w:r>
      <w:r w:rsidRPr="00F92864">
        <w:rPr>
          <w:sz w:val="28"/>
          <w:szCs w:val="28"/>
          <w:vertAlign w:val="subscript"/>
        </w:rPr>
        <w:t xml:space="preserve">адм </w:t>
      </w:r>
      <w:r w:rsidRPr="00F92864">
        <w:rPr>
          <w:sz w:val="28"/>
          <w:szCs w:val="28"/>
          <w:vertAlign w:val="subscript"/>
          <w:lang w:val="en-US"/>
        </w:rPr>
        <w:t>j</w:t>
      </w:r>
      <w:r w:rsidRPr="00F92864">
        <w:rPr>
          <w:sz w:val="28"/>
          <w:szCs w:val="28"/>
          <w:vertAlign w:val="subscript"/>
        </w:rPr>
        <w:t xml:space="preserve"> </w:t>
      </w:r>
      <w:r w:rsidRPr="00F92864">
        <w:rPr>
          <w:sz w:val="28"/>
          <w:szCs w:val="28"/>
          <w:vertAlign w:val="subscript"/>
          <w:lang w:val="en-US"/>
        </w:rPr>
        <w:t>n</w:t>
      </w:r>
      <w:r w:rsidRPr="00F92864">
        <w:rPr>
          <w:sz w:val="28"/>
          <w:szCs w:val="28"/>
          <w:vertAlign w:val="subscript"/>
        </w:rPr>
        <w:t xml:space="preserve">  </w:t>
      </w:r>
      <w:r w:rsidRPr="00F92864">
        <w:rPr>
          <w:sz w:val="28"/>
          <w:szCs w:val="28"/>
        </w:rPr>
        <w:t xml:space="preserve">– </w:t>
      </w:r>
      <w:r>
        <w:rPr>
          <w:sz w:val="28"/>
          <w:szCs w:val="28"/>
        </w:rPr>
        <w:t xml:space="preserve"> прогнозируемое </w:t>
      </w:r>
      <w:r w:rsidRPr="00F92864">
        <w:rPr>
          <w:sz w:val="28"/>
          <w:szCs w:val="28"/>
        </w:rPr>
        <w:t xml:space="preserve">количество постановлений по делам об  административных правонарушениях в </w:t>
      </w:r>
      <w:r w:rsidRPr="00F92864">
        <w:rPr>
          <w:sz w:val="28"/>
          <w:szCs w:val="28"/>
          <w:lang w:val="en-US"/>
        </w:rPr>
        <w:t>n</w:t>
      </w:r>
      <w:r w:rsidRPr="00F92864">
        <w:rPr>
          <w:sz w:val="28"/>
          <w:szCs w:val="28"/>
        </w:rPr>
        <w:t xml:space="preserve"> году;</w:t>
      </w:r>
    </w:p>
    <w:p w:rsidR="0055491A" w:rsidRPr="00F92864" w:rsidRDefault="0055491A" w:rsidP="0055491A">
      <w:pPr>
        <w:ind w:firstLine="709"/>
        <w:jc w:val="both"/>
        <w:rPr>
          <w:sz w:val="28"/>
          <w:szCs w:val="28"/>
        </w:rPr>
      </w:pPr>
      <w:r w:rsidRPr="00F92864">
        <w:rPr>
          <w:sz w:val="28"/>
          <w:szCs w:val="28"/>
        </w:rPr>
        <w:t>С</w:t>
      </w:r>
      <w:r w:rsidRPr="00F92864">
        <w:rPr>
          <w:sz w:val="28"/>
          <w:szCs w:val="28"/>
          <w:vertAlign w:val="subscript"/>
        </w:rPr>
        <w:t>гп</w:t>
      </w:r>
      <w:r w:rsidRPr="00F92864">
        <w:rPr>
          <w:sz w:val="28"/>
          <w:szCs w:val="28"/>
        </w:rPr>
        <w:t xml:space="preserve"> </w:t>
      </w:r>
      <w:r w:rsidRPr="00F92864">
        <w:rPr>
          <w:sz w:val="28"/>
          <w:szCs w:val="28"/>
          <w:vertAlign w:val="subscript"/>
          <w:lang w:val="en-US"/>
        </w:rPr>
        <w:t>j</w:t>
      </w:r>
      <w:r w:rsidRPr="00F92864">
        <w:rPr>
          <w:sz w:val="28"/>
          <w:szCs w:val="28"/>
        </w:rPr>
        <w:t xml:space="preserve"> – размер административного штрафа.</w:t>
      </w:r>
    </w:p>
    <w:p w:rsidR="0055491A" w:rsidRDefault="0055491A" w:rsidP="0055491A">
      <w:pPr>
        <w:ind w:firstLine="709"/>
        <w:jc w:val="both"/>
        <w:rPr>
          <w:sz w:val="28"/>
          <w:szCs w:val="28"/>
        </w:rPr>
      </w:pPr>
      <w:r>
        <w:rPr>
          <w:sz w:val="28"/>
          <w:szCs w:val="28"/>
        </w:rPr>
        <w:t>Размер административного штрафа:</w:t>
      </w:r>
    </w:p>
    <w:p w:rsidR="0055491A" w:rsidRDefault="0055491A" w:rsidP="0055491A">
      <w:pPr>
        <w:ind w:firstLine="709"/>
        <w:jc w:val="both"/>
        <w:rPr>
          <w:sz w:val="28"/>
          <w:szCs w:val="28"/>
        </w:rPr>
      </w:pPr>
      <w:r>
        <w:rPr>
          <w:sz w:val="28"/>
          <w:szCs w:val="28"/>
        </w:rPr>
        <w:t xml:space="preserve">статья 9.3 КоАП РФ </w:t>
      </w:r>
      <w:r w:rsidRPr="0066001D">
        <w:rPr>
          <w:i/>
          <w:sz w:val="28"/>
          <w:szCs w:val="28"/>
        </w:rPr>
        <w:t>(должностные лица)</w:t>
      </w:r>
      <w:r>
        <w:rPr>
          <w:sz w:val="28"/>
          <w:szCs w:val="28"/>
        </w:rPr>
        <w:t xml:space="preserve"> – 0,5 тыс. руб.;</w:t>
      </w:r>
    </w:p>
    <w:p w:rsidR="0055491A" w:rsidRDefault="0055491A" w:rsidP="0055491A">
      <w:pPr>
        <w:ind w:firstLine="709"/>
        <w:jc w:val="both"/>
        <w:rPr>
          <w:sz w:val="28"/>
          <w:szCs w:val="28"/>
        </w:rPr>
      </w:pPr>
      <w:r>
        <w:rPr>
          <w:sz w:val="28"/>
          <w:szCs w:val="28"/>
        </w:rPr>
        <w:t xml:space="preserve">статья 9.3 КоАП РФ </w:t>
      </w:r>
      <w:r w:rsidRPr="0066001D">
        <w:rPr>
          <w:i/>
          <w:sz w:val="28"/>
          <w:szCs w:val="28"/>
        </w:rPr>
        <w:t>(физические лица)</w:t>
      </w:r>
      <w:r>
        <w:rPr>
          <w:sz w:val="28"/>
          <w:szCs w:val="28"/>
        </w:rPr>
        <w:t xml:space="preserve"> – 0,2 тыс. руб.</w:t>
      </w:r>
    </w:p>
    <w:p w:rsidR="0055491A" w:rsidRPr="00F92864" w:rsidRDefault="0055491A" w:rsidP="0055491A">
      <w:pPr>
        <w:ind w:firstLine="709"/>
        <w:jc w:val="both"/>
        <w:rPr>
          <w:sz w:val="28"/>
          <w:szCs w:val="28"/>
        </w:rPr>
      </w:pPr>
      <w:r w:rsidRPr="00F92864">
        <w:rPr>
          <w:sz w:val="28"/>
          <w:szCs w:val="28"/>
        </w:rPr>
        <w:t xml:space="preserve">Расчет </w:t>
      </w:r>
      <w:r>
        <w:rPr>
          <w:sz w:val="28"/>
          <w:szCs w:val="28"/>
        </w:rPr>
        <w:t>прогнозируемого количества постановлений</w:t>
      </w:r>
      <w:r w:rsidRPr="00F92864">
        <w:rPr>
          <w:sz w:val="28"/>
          <w:szCs w:val="28"/>
        </w:rPr>
        <w:t xml:space="preserve"> производится по формуле: </w:t>
      </w:r>
    </w:p>
    <w:p w:rsidR="0055491A" w:rsidRPr="00F92864" w:rsidRDefault="0055491A" w:rsidP="0055491A">
      <w:pPr>
        <w:ind w:firstLine="709"/>
        <w:jc w:val="both"/>
        <w:rPr>
          <w:sz w:val="28"/>
          <w:szCs w:val="28"/>
        </w:rPr>
      </w:pPr>
      <w:r w:rsidRPr="00F92864">
        <w:rPr>
          <w:sz w:val="28"/>
          <w:szCs w:val="28"/>
        </w:rPr>
        <w:t>К</w:t>
      </w:r>
      <w:r w:rsidRPr="00F92864">
        <w:rPr>
          <w:sz w:val="28"/>
          <w:szCs w:val="28"/>
          <w:vertAlign w:val="subscript"/>
        </w:rPr>
        <w:t xml:space="preserve">адм </w:t>
      </w:r>
      <w:r w:rsidRPr="00F92864">
        <w:rPr>
          <w:sz w:val="28"/>
          <w:szCs w:val="28"/>
          <w:vertAlign w:val="subscript"/>
          <w:lang w:val="en-US"/>
        </w:rPr>
        <w:t>j</w:t>
      </w:r>
      <w:r w:rsidRPr="00F92864">
        <w:rPr>
          <w:sz w:val="28"/>
          <w:szCs w:val="28"/>
          <w:vertAlign w:val="subscript"/>
        </w:rPr>
        <w:t xml:space="preserve"> </w:t>
      </w:r>
      <w:r w:rsidRPr="00F92864">
        <w:rPr>
          <w:sz w:val="28"/>
          <w:szCs w:val="28"/>
          <w:vertAlign w:val="subscript"/>
          <w:lang w:val="en-US"/>
        </w:rPr>
        <w:t>n</w:t>
      </w:r>
      <w:r w:rsidRPr="00F92864">
        <w:rPr>
          <w:sz w:val="28"/>
          <w:szCs w:val="28"/>
          <w:vertAlign w:val="subscript"/>
        </w:rPr>
        <w:t xml:space="preserve"> </w:t>
      </w:r>
      <w:r w:rsidRPr="00F92864">
        <w:rPr>
          <w:sz w:val="28"/>
          <w:szCs w:val="28"/>
        </w:rPr>
        <w:t>= К</w:t>
      </w:r>
      <w:r w:rsidRPr="00F92864">
        <w:rPr>
          <w:sz w:val="28"/>
          <w:szCs w:val="28"/>
          <w:vertAlign w:val="subscript"/>
        </w:rPr>
        <w:t xml:space="preserve">адм </w:t>
      </w:r>
      <w:r w:rsidRPr="00F92864">
        <w:rPr>
          <w:sz w:val="28"/>
          <w:szCs w:val="28"/>
          <w:vertAlign w:val="subscript"/>
          <w:lang w:val="en-US"/>
        </w:rPr>
        <w:t>j</w:t>
      </w:r>
      <w:r w:rsidRPr="00F92864">
        <w:rPr>
          <w:sz w:val="28"/>
          <w:szCs w:val="28"/>
          <w:vertAlign w:val="subscript"/>
        </w:rPr>
        <w:t xml:space="preserve"> </w:t>
      </w:r>
      <w:r w:rsidRPr="00F92864">
        <w:rPr>
          <w:sz w:val="28"/>
          <w:szCs w:val="28"/>
          <w:vertAlign w:val="subscript"/>
          <w:lang w:val="en-US"/>
        </w:rPr>
        <w:t>n</w:t>
      </w:r>
      <w:r w:rsidRPr="00F92864">
        <w:rPr>
          <w:sz w:val="28"/>
          <w:szCs w:val="28"/>
          <w:vertAlign w:val="subscript"/>
        </w:rPr>
        <w:t xml:space="preserve">-1 </w:t>
      </w:r>
      <w:r w:rsidRPr="00F92864">
        <w:rPr>
          <w:sz w:val="28"/>
          <w:szCs w:val="28"/>
        </w:rPr>
        <w:t>х (1-К</w:t>
      </w:r>
      <w:r w:rsidRPr="00F92864">
        <w:rPr>
          <w:sz w:val="28"/>
          <w:szCs w:val="28"/>
          <w:vertAlign w:val="subscript"/>
        </w:rPr>
        <w:t>сн</w:t>
      </w:r>
      <w:r w:rsidRPr="00F92864">
        <w:rPr>
          <w:sz w:val="28"/>
          <w:szCs w:val="28"/>
        </w:rPr>
        <w:t>/100), где</w:t>
      </w:r>
    </w:p>
    <w:p w:rsidR="0055491A" w:rsidRPr="00F92864" w:rsidRDefault="0055491A" w:rsidP="0055491A">
      <w:pPr>
        <w:ind w:firstLine="709"/>
        <w:jc w:val="both"/>
        <w:rPr>
          <w:sz w:val="28"/>
          <w:szCs w:val="28"/>
        </w:rPr>
      </w:pPr>
      <w:r w:rsidRPr="00F92864">
        <w:rPr>
          <w:sz w:val="28"/>
          <w:szCs w:val="28"/>
        </w:rPr>
        <w:t xml:space="preserve"> К</w:t>
      </w:r>
      <w:r w:rsidRPr="00F92864">
        <w:rPr>
          <w:sz w:val="28"/>
          <w:szCs w:val="28"/>
          <w:vertAlign w:val="subscript"/>
        </w:rPr>
        <w:t xml:space="preserve">адм </w:t>
      </w:r>
      <w:r w:rsidRPr="00F92864">
        <w:rPr>
          <w:sz w:val="28"/>
          <w:szCs w:val="28"/>
          <w:vertAlign w:val="subscript"/>
          <w:lang w:val="en-US"/>
        </w:rPr>
        <w:t>j</w:t>
      </w:r>
      <w:r w:rsidRPr="00F92864">
        <w:rPr>
          <w:sz w:val="28"/>
          <w:szCs w:val="28"/>
          <w:vertAlign w:val="subscript"/>
        </w:rPr>
        <w:t xml:space="preserve"> </w:t>
      </w:r>
      <w:r w:rsidRPr="00F92864">
        <w:rPr>
          <w:sz w:val="28"/>
          <w:szCs w:val="28"/>
          <w:vertAlign w:val="subscript"/>
          <w:lang w:val="en-US"/>
        </w:rPr>
        <w:t>n</w:t>
      </w:r>
      <w:r w:rsidRPr="00F92864">
        <w:rPr>
          <w:sz w:val="28"/>
          <w:szCs w:val="28"/>
          <w:vertAlign w:val="subscript"/>
        </w:rPr>
        <w:t xml:space="preserve">  </w:t>
      </w:r>
      <w:r w:rsidRPr="00F92864">
        <w:rPr>
          <w:sz w:val="28"/>
          <w:szCs w:val="28"/>
        </w:rPr>
        <w:t xml:space="preserve">– количество вынесенных постановлений по делам об  административных правонарушениях в </w:t>
      </w:r>
      <w:r w:rsidRPr="00F92864">
        <w:rPr>
          <w:sz w:val="28"/>
          <w:szCs w:val="28"/>
          <w:lang w:val="en-US"/>
        </w:rPr>
        <w:t>n</w:t>
      </w:r>
      <w:r w:rsidRPr="00F92864">
        <w:rPr>
          <w:sz w:val="28"/>
          <w:szCs w:val="28"/>
        </w:rPr>
        <w:t xml:space="preserve"> году;</w:t>
      </w:r>
    </w:p>
    <w:p w:rsidR="0055491A" w:rsidRPr="00F92864" w:rsidRDefault="0055491A" w:rsidP="0055491A">
      <w:pPr>
        <w:ind w:firstLine="709"/>
        <w:jc w:val="both"/>
        <w:rPr>
          <w:sz w:val="28"/>
          <w:szCs w:val="28"/>
        </w:rPr>
      </w:pPr>
      <w:r w:rsidRPr="00F92864">
        <w:rPr>
          <w:sz w:val="28"/>
          <w:szCs w:val="28"/>
        </w:rPr>
        <w:t>К</w:t>
      </w:r>
      <w:r w:rsidRPr="00F92864">
        <w:rPr>
          <w:sz w:val="28"/>
          <w:szCs w:val="28"/>
          <w:vertAlign w:val="subscript"/>
        </w:rPr>
        <w:t xml:space="preserve">адм </w:t>
      </w:r>
      <w:r w:rsidRPr="00F92864">
        <w:rPr>
          <w:sz w:val="28"/>
          <w:szCs w:val="28"/>
          <w:vertAlign w:val="subscript"/>
          <w:lang w:val="en-US"/>
        </w:rPr>
        <w:t>j</w:t>
      </w:r>
      <w:r w:rsidRPr="00F92864">
        <w:rPr>
          <w:sz w:val="28"/>
          <w:szCs w:val="28"/>
          <w:vertAlign w:val="subscript"/>
        </w:rPr>
        <w:t xml:space="preserve"> </w:t>
      </w:r>
      <w:r w:rsidRPr="00F92864">
        <w:rPr>
          <w:sz w:val="28"/>
          <w:szCs w:val="28"/>
          <w:vertAlign w:val="subscript"/>
          <w:lang w:val="en-US"/>
        </w:rPr>
        <w:t>n</w:t>
      </w:r>
      <w:r w:rsidRPr="00F92864">
        <w:rPr>
          <w:sz w:val="28"/>
          <w:szCs w:val="28"/>
          <w:vertAlign w:val="subscript"/>
        </w:rPr>
        <w:t xml:space="preserve">-1  </w:t>
      </w:r>
      <w:r w:rsidRPr="00F92864">
        <w:rPr>
          <w:sz w:val="28"/>
          <w:szCs w:val="28"/>
        </w:rPr>
        <w:t xml:space="preserve">– количество вынесенных постановлений по делам об  административных правонарушениях в </w:t>
      </w:r>
      <w:r w:rsidRPr="00F92864">
        <w:rPr>
          <w:sz w:val="28"/>
          <w:szCs w:val="28"/>
          <w:lang w:val="en-US"/>
        </w:rPr>
        <w:t>n</w:t>
      </w:r>
      <w:r w:rsidRPr="00F92864">
        <w:rPr>
          <w:sz w:val="28"/>
          <w:szCs w:val="28"/>
        </w:rPr>
        <w:t>-1 году;</w:t>
      </w:r>
    </w:p>
    <w:p w:rsidR="0055491A" w:rsidRPr="00F92864" w:rsidRDefault="0055491A" w:rsidP="0055491A">
      <w:pPr>
        <w:ind w:firstLine="709"/>
        <w:jc w:val="both"/>
        <w:rPr>
          <w:sz w:val="28"/>
          <w:szCs w:val="28"/>
        </w:rPr>
      </w:pPr>
      <w:r w:rsidRPr="00F92864">
        <w:rPr>
          <w:sz w:val="28"/>
          <w:szCs w:val="28"/>
        </w:rPr>
        <w:t>К</w:t>
      </w:r>
      <w:r w:rsidRPr="00F92864">
        <w:rPr>
          <w:sz w:val="28"/>
          <w:szCs w:val="28"/>
          <w:vertAlign w:val="subscript"/>
        </w:rPr>
        <w:t>сн</w:t>
      </w:r>
      <w:r w:rsidRPr="00F92864">
        <w:rPr>
          <w:sz w:val="28"/>
          <w:szCs w:val="28"/>
        </w:rPr>
        <w:t xml:space="preserve"> – коэффициент снижения нарушений.</w:t>
      </w:r>
    </w:p>
    <w:p w:rsidR="0055491A" w:rsidRDefault="0055491A" w:rsidP="0055491A">
      <w:pPr>
        <w:ind w:firstLine="709"/>
        <w:jc w:val="both"/>
        <w:rPr>
          <w:sz w:val="28"/>
          <w:szCs w:val="28"/>
        </w:rPr>
      </w:pPr>
      <w:r>
        <w:rPr>
          <w:sz w:val="28"/>
          <w:szCs w:val="28"/>
        </w:rPr>
        <w:t xml:space="preserve">Прогнозируемое количество постановлений в 2022 – 2024 годах рассчитано исходя из ожидаемого количества постановлений об административных правонарушениях в 2021 году (в разрезе муниципальных образований), умноженных на показатель государственной программы Тверской области «Обеспечение государственного надзора и контроля в </w:t>
      </w:r>
      <w:r>
        <w:rPr>
          <w:sz w:val="28"/>
          <w:szCs w:val="28"/>
        </w:rPr>
        <w:lastRenderedPageBreak/>
        <w:t xml:space="preserve">Тверской области» на 2021-2026годы - коэффициент снижения нарушений в области эксплуатации транспортных средств (2022 год – 6,5%, 2023 год – 6,0%, 2024 год – 5,5%) и составляет: </w:t>
      </w:r>
    </w:p>
    <w:p w:rsidR="0055491A" w:rsidRDefault="0055491A" w:rsidP="0055491A">
      <w:pPr>
        <w:ind w:firstLine="709"/>
        <w:jc w:val="both"/>
        <w:rPr>
          <w:sz w:val="28"/>
          <w:szCs w:val="28"/>
        </w:rPr>
      </w:pPr>
      <w:r>
        <w:rPr>
          <w:sz w:val="28"/>
          <w:szCs w:val="28"/>
        </w:rPr>
        <w:t xml:space="preserve">статья 9.3 КоАП РФ </w:t>
      </w:r>
      <w:r w:rsidRPr="0066001D">
        <w:rPr>
          <w:i/>
          <w:sz w:val="28"/>
          <w:szCs w:val="28"/>
        </w:rPr>
        <w:t>(должностные лица)</w:t>
      </w:r>
      <w:r>
        <w:rPr>
          <w:sz w:val="28"/>
          <w:szCs w:val="28"/>
        </w:rPr>
        <w:t>:</w:t>
      </w:r>
    </w:p>
    <w:p w:rsidR="0055491A" w:rsidRDefault="0055491A" w:rsidP="0055491A">
      <w:pPr>
        <w:ind w:firstLine="709"/>
        <w:jc w:val="both"/>
        <w:rPr>
          <w:sz w:val="28"/>
          <w:szCs w:val="28"/>
        </w:rPr>
      </w:pPr>
      <w:r>
        <w:rPr>
          <w:sz w:val="28"/>
          <w:szCs w:val="28"/>
        </w:rPr>
        <w:t>2022 год – 74 шт., 2023 год – 73 шт., 2024 год – 73шт.</w:t>
      </w:r>
    </w:p>
    <w:p w:rsidR="0055491A" w:rsidRDefault="0055491A" w:rsidP="0055491A">
      <w:pPr>
        <w:ind w:firstLine="709"/>
        <w:jc w:val="both"/>
        <w:rPr>
          <w:sz w:val="28"/>
          <w:szCs w:val="28"/>
        </w:rPr>
      </w:pPr>
      <w:r>
        <w:rPr>
          <w:sz w:val="28"/>
          <w:szCs w:val="28"/>
        </w:rPr>
        <w:t xml:space="preserve">статья 9.3 КоАП РФ </w:t>
      </w:r>
      <w:r w:rsidRPr="0066001D">
        <w:rPr>
          <w:i/>
          <w:sz w:val="28"/>
          <w:szCs w:val="28"/>
        </w:rPr>
        <w:t>(физические лица)</w:t>
      </w:r>
      <w:r>
        <w:rPr>
          <w:sz w:val="28"/>
          <w:szCs w:val="28"/>
        </w:rPr>
        <w:t>:</w:t>
      </w:r>
    </w:p>
    <w:p w:rsidR="0055491A" w:rsidRDefault="0055491A" w:rsidP="0055491A">
      <w:pPr>
        <w:ind w:firstLine="709"/>
        <w:jc w:val="both"/>
        <w:rPr>
          <w:sz w:val="28"/>
          <w:szCs w:val="28"/>
        </w:rPr>
      </w:pPr>
      <w:r>
        <w:rPr>
          <w:sz w:val="28"/>
          <w:szCs w:val="28"/>
        </w:rPr>
        <w:t>2022 год – 933 шт., 2023 год – 876 шт., 2024 год – 826 шт.</w:t>
      </w:r>
    </w:p>
    <w:p w:rsidR="0055491A" w:rsidRDefault="0055491A" w:rsidP="0055491A">
      <w:pPr>
        <w:ind w:firstLine="709"/>
        <w:jc w:val="both"/>
        <w:rPr>
          <w:sz w:val="28"/>
          <w:szCs w:val="28"/>
        </w:rPr>
      </w:pPr>
    </w:p>
    <w:p w:rsidR="0055491A" w:rsidRDefault="0055491A" w:rsidP="0055491A">
      <w:pPr>
        <w:ind w:firstLine="708"/>
        <w:jc w:val="both"/>
        <w:rPr>
          <w:sz w:val="28"/>
          <w:szCs w:val="28"/>
        </w:rPr>
      </w:pPr>
      <w:r>
        <w:rPr>
          <w:sz w:val="28"/>
          <w:szCs w:val="28"/>
        </w:rPr>
        <w:t>П</w:t>
      </w:r>
      <w:r w:rsidRPr="00F92864">
        <w:rPr>
          <w:sz w:val="28"/>
          <w:szCs w:val="28"/>
        </w:rPr>
        <w:t>рогноз суммы поступления по административным штрафам</w:t>
      </w:r>
      <w:r>
        <w:rPr>
          <w:sz w:val="28"/>
          <w:szCs w:val="28"/>
        </w:rPr>
        <w:t xml:space="preserve">                                       статья 9.3 </w:t>
      </w:r>
      <w:r w:rsidRPr="0066001D">
        <w:rPr>
          <w:i/>
          <w:sz w:val="28"/>
          <w:szCs w:val="28"/>
        </w:rPr>
        <w:t>(должностные лица</w:t>
      </w:r>
      <w:r>
        <w:rPr>
          <w:i/>
          <w:sz w:val="28"/>
          <w:szCs w:val="28"/>
        </w:rPr>
        <w:t>)</w:t>
      </w:r>
      <w:r>
        <w:rPr>
          <w:sz w:val="28"/>
          <w:szCs w:val="28"/>
        </w:rPr>
        <w:t xml:space="preserve"> </w:t>
      </w:r>
      <w:r w:rsidRPr="00F92864">
        <w:rPr>
          <w:sz w:val="28"/>
          <w:szCs w:val="28"/>
        </w:rPr>
        <w:t xml:space="preserve"> </w:t>
      </w:r>
      <w:r>
        <w:rPr>
          <w:sz w:val="28"/>
          <w:szCs w:val="28"/>
        </w:rPr>
        <w:t xml:space="preserve">КоАП РФ </w:t>
      </w:r>
    </w:p>
    <w:p w:rsidR="0055491A" w:rsidRDefault="0055491A" w:rsidP="0055491A">
      <w:pPr>
        <w:ind w:firstLine="708"/>
        <w:jc w:val="both"/>
        <w:rPr>
          <w:sz w:val="28"/>
          <w:szCs w:val="28"/>
        </w:rPr>
      </w:pPr>
      <w:r w:rsidRPr="00F92864">
        <w:rPr>
          <w:sz w:val="28"/>
          <w:szCs w:val="28"/>
        </w:rPr>
        <w:t xml:space="preserve">в </w:t>
      </w:r>
      <w:r>
        <w:rPr>
          <w:sz w:val="28"/>
          <w:szCs w:val="28"/>
        </w:rPr>
        <w:t>2022</w:t>
      </w:r>
      <w:r w:rsidRPr="00F92864">
        <w:rPr>
          <w:sz w:val="28"/>
          <w:szCs w:val="28"/>
        </w:rPr>
        <w:t xml:space="preserve"> году</w:t>
      </w:r>
      <w:r>
        <w:rPr>
          <w:sz w:val="28"/>
          <w:szCs w:val="28"/>
        </w:rPr>
        <w:t xml:space="preserve"> = 74 </w:t>
      </w:r>
      <w:r w:rsidRPr="00F92864">
        <w:rPr>
          <w:sz w:val="28"/>
          <w:szCs w:val="28"/>
        </w:rPr>
        <w:t>х</w:t>
      </w:r>
      <w:r>
        <w:rPr>
          <w:sz w:val="28"/>
          <w:szCs w:val="28"/>
        </w:rPr>
        <w:t xml:space="preserve"> 0,5 тыс. руб.  = 37,0 тыс. руб.;</w:t>
      </w:r>
    </w:p>
    <w:p w:rsidR="0055491A" w:rsidRPr="00F92864" w:rsidRDefault="0055491A" w:rsidP="0055491A">
      <w:pPr>
        <w:ind w:firstLine="708"/>
        <w:jc w:val="both"/>
        <w:rPr>
          <w:sz w:val="28"/>
          <w:szCs w:val="28"/>
        </w:rPr>
      </w:pPr>
      <w:r w:rsidRPr="00F92864">
        <w:rPr>
          <w:sz w:val="28"/>
          <w:szCs w:val="28"/>
        </w:rPr>
        <w:t xml:space="preserve">в </w:t>
      </w:r>
      <w:r>
        <w:rPr>
          <w:sz w:val="28"/>
          <w:szCs w:val="28"/>
        </w:rPr>
        <w:t>2023</w:t>
      </w:r>
      <w:r w:rsidRPr="00F92864">
        <w:rPr>
          <w:sz w:val="28"/>
          <w:szCs w:val="28"/>
        </w:rPr>
        <w:t xml:space="preserve"> году</w:t>
      </w:r>
      <w:r>
        <w:rPr>
          <w:sz w:val="28"/>
          <w:szCs w:val="28"/>
        </w:rPr>
        <w:t xml:space="preserve"> = 73 </w:t>
      </w:r>
      <w:r w:rsidRPr="00F92864">
        <w:rPr>
          <w:sz w:val="28"/>
          <w:szCs w:val="28"/>
        </w:rPr>
        <w:t>х</w:t>
      </w:r>
      <w:r>
        <w:rPr>
          <w:sz w:val="28"/>
          <w:szCs w:val="28"/>
        </w:rPr>
        <w:t xml:space="preserve"> 0,5 тыс. руб.  = 36,5 тыс. руб.;</w:t>
      </w:r>
    </w:p>
    <w:p w:rsidR="0055491A" w:rsidRDefault="0055491A" w:rsidP="0055491A">
      <w:pPr>
        <w:ind w:firstLine="708"/>
        <w:jc w:val="both"/>
        <w:rPr>
          <w:sz w:val="28"/>
          <w:szCs w:val="28"/>
        </w:rPr>
      </w:pPr>
      <w:r w:rsidRPr="00F92864">
        <w:rPr>
          <w:sz w:val="28"/>
          <w:szCs w:val="28"/>
        </w:rPr>
        <w:t xml:space="preserve">в </w:t>
      </w:r>
      <w:r>
        <w:rPr>
          <w:sz w:val="28"/>
          <w:szCs w:val="28"/>
        </w:rPr>
        <w:t>2024</w:t>
      </w:r>
      <w:r w:rsidRPr="00F92864">
        <w:rPr>
          <w:sz w:val="28"/>
          <w:szCs w:val="28"/>
        </w:rPr>
        <w:t xml:space="preserve"> году</w:t>
      </w:r>
      <w:r>
        <w:rPr>
          <w:sz w:val="28"/>
          <w:szCs w:val="28"/>
        </w:rPr>
        <w:t xml:space="preserve"> = 73 </w:t>
      </w:r>
      <w:r w:rsidRPr="00F92864">
        <w:rPr>
          <w:sz w:val="28"/>
          <w:szCs w:val="28"/>
        </w:rPr>
        <w:t>х</w:t>
      </w:r>
      <w:r>
        <w:rPr>
          <w:sz w:val="28"/>
          <w:szCs w:val="28"/>
        </w:rPr>
        <w:t xml:space="preserve"> 0,5 тыс. руб.  = 36,5 тыс. руб.</w:t>
      </w:r>
    </w:p>
    <w:p w:rsidR="0055491A" w:rsidRDefault="0055491A" w:rsidP="0055491A">
      <w:pPr>
        <w:ind w:firstLine="708"/>
        <w:jc w:val="both"/>
        <w:rPr>
          <w:sz w:val="28"/>
          <w:szCs w:val="28"/>
        </w:rPr>
      </w:pPr>
      <w:r>
        <w:rPr>
          <w:sz w:val="28"/>
          <w:szCs w:val="28"/>
        </w:rPr>
        <w:t>П</w:t>
      </w:r>
      <w:r w:rsidRPr="00F92864">
        <w:rPr>
          <w:sz w:val="28"/>
          <w:szCs w:val="28"/>
        </w:rPr>
        <w:t xml:space="preserve">рогноз суммы поступления по административным штрафам </w:t>
      </w:r>
      <w:r>
        <w:rPr>
          <w:sz w:val="28"/>
          <w:szCs w:val="28"/>
        </w:rPr>
        <w:t xml:space="preserve">                                      статья 9.3 РФ </w:t>
      </w:r>
      <w:r w:rsidRPr="0066001D">
        <w:rPr>
          <w:i/>
          <w:sz w:val="28"/>
          <w:szCs w:val="28"/>
        </w:rPr>
        <w:t>(физические лица</w:t>
      </w:r>
      <w:r>
        <w:rPr>
          <w:sz w:val="28"/>
          <w:szCs w:val="28"/>
        </w:rPr>
        <w:t xml:space="preserve">) КоАП РФ </w:t>
      </w:r>
    </w:p>
    <w:p w:rsidR="0055491A" w:rsidRDefault="0055491A" w:rsidP="0055491A">
      <w:pPr>
        <w:ind w:firstLine="708"/>
        <w:jc w:val="both"/>
        <w:rPr>
          <w:sz w:val="28"/>
          <w:szCs w:val="28"/>
        </w:rPr>
      </w:pPr>
      <w:r w:rsidRPr="00F92864">
        <w:rPr>
          <w:sz w:val="28"/>
          <w:szCs w:val="28"/>
        </w:rPr>
        <w:t xml:space="preserve">в </w:t>
      </w:r>
      <w:r>
        <w:rPr>
          <w:sz w:val="28"/>
          <w:szCs w:val="28"/>
        </w:rPr>
        <w:t>2022</w:t>
      </w:r>
      <w:r w:rsidRPr="00F92864">
        <w:rPr>
          <w:sz w:val="28"/>
          <w:szCs w:val="28"/>
        </w:rPr>
        <w:t xml:space="preserve"> году</w:t>
      </w:r>
      <w:r>
        <w:rPr>
          <w:sz w:val="28"/>
          <w:szCs w:val="28"/>
        </w:rPr>
        <w:t xml:space="preserve"> = 933 </w:t>
      </w:r>
      <w:r w:rsidRPr="00F92864">
        <w:rPr>
          <w:sz w:val="28"/>
          <w:szCs w:val="28"/>
        </w:rPr>
        <w:t>х</w:t>
      </w:r>
      <w:r>
        <w:rPr>
          <w:sz w:val="28"/>
          <w:szCs w:val="28"/>
        </w:rPr>
        <w:t xml:space="preserve"> 0,5 тыс. руб.  = 466,5 тыс. руб.;</w:t>
      </w:r>
    </w:p>
    <w:p w:rsidR="0055491A" w:rsidRPr="00F92864" w:rsidRDefault="0055491A" w:rsidP="0055491A">
      <w:pPr>
        <w:ind w:firstLine="708"/>
        <w:jc w:val="both"/>
        <w:rPr>
          <w:sz w:val="28"/>
          <w:szCs w:val="28"/>
        </w:rPr>
      </w:pPr>
      <w:r w:rsidRPr="00F92864">
        <w:rPr>
          <w:sz w:val="28"/>
          <w:szCs w:val="28"/>
        </w:rPr>
        <w:t xml:space="preserve">в </w:t>
      </w:r>
      <w:r>
        <w:rPr>
          <w:sz w:val="28"/>
          <w:szCs w:val="28"/>
        </w:rPr>
        <w:t>2023</w:t>
      </w:r>
      <w:r w:rsidRPr="00F92864">
        <w:rPr>
          <w:sz w:val="28"/>
          <w:szCs w:val="28"/>
        </w:rPr>
        <w:t xml:space="preserve"> году</w:t>
      </w:r>
      <w:r>
        <w:rPr>
          <w:sz w:val="28"/>
          <w:szCs w:val="28"/>
        </w:rPr>
        <w:t xml:space="preserve"> = 876 </w:t>
      </w:r>
      <w:r w:rsidRPr="00F92864">
        <w:rPr>
          <w:sz w:val="28"/>
          <w:szCs w:val="28"/>
        </w:rPr>
        <w:t>х</w:t>
      </w:r>
      <w:r>
        <w:rPr>
          <w:sz w:val="28"/>
          <w:szCs w:val="28"/>
        </w:rPr>
        <w:t xml:space="preserve"> 0,5 тыс. руб.  = 438,0 тыс. руб.;</w:t>
      </w:r>
    </w:p>
    <w:p w:rsidR="0055491A" w:rsidRDefault="0055491A" w:rsidP="0055491A">
      <w:pPr>
        <w:ind w:firstLine="708"/>
        <w:jc w:val="both"/>
        <w:rPr>
          <w:sz w:val="28"/>
          <w:szCs w:val="28"/>
        </w:rPr>
      </w:pPr>
      <w:r w:rsidRPr="00F92864">
        <w:rPr>
          <w:sz w:val="28"/>
          <w:szCs w:val="28"/>
        </w:rPr>
        <w:t xml:space="preserve">в </w:t>
      </w:r>
      <w:r>
        <w:rPr>
          <w:sz w:val="28"/>
          <w:szCs w:val="28"/>
        </w:rPr>
        <w:t>2024</w:t>
      </w:r>
      <w:r w:rsidRPr="00F92864">
        <w:rPr>
          <w:sz w:val="28"/>
          <w:szCs w:val="28"/>
        </w:rPr>
        <w:t xml:space="preserve"> году</w:t>
      </w:r>
      <w:r>
        <w:rPr>
          <w:sz w:val="28"/>
          <w:szCs w:val="28"/>
        </w:rPr>
        <w:t xml:space="preserve"> = 826 </w:t>
      </w:r>
      <w:r w:rsidRPr="00F92864">
        <w:rPr>
          <w:sz w:val="28"/>
          <w:szCs w:val="28"/>
        </w:rPr>
        <w:t>х</w:t>
      </w:r>
      <w:r>
        <w:rPr>
          <w:sz w:val="28"/>
          <w:szCs w:val="28"/>
        </w:rPr>
        <w:t xml:space="preserve"> 0,5 тыс. руб.  = 413,0 тыс. руб.</w:t>
      </w:r>
    </w:p>
    <w:p w:rsidR="0055491A" w:rsidRDefault="0055491A" w:rsidP="0055491A">
      <w:pPr>
        <w:ind w:firstLine="708"/>
        <w:jc w:val="both"/>
        <w:rPr>
          <w:sz w:val="28"/>
          <w:szCs w:val="28"/>
        </w:rPr>
      </w:pPr>
    </w:p>
    <w:p w:rsidR="0055491A" w:rsidRPr="00EA56A4" w:rsidRDefault="0055491A" w:rsidP="0055491A">
      <w:pPr>
        <w:pStyle w:val="a7"/>
        <w:spacing w:after="0"/>
        <w:ind w:left="0" w:firstLine="709"/>
        <w:jc w:val="both"/>
        <w:rPr>
          <w:b/>
          <w:sz w:val="28"/>
          <w:szCs w:val="28"/>
        </w:rPr>
      </w:pPr>
      <w:r w:rsidRPr="00EA56A4">
        <w:rPr>
          <w:b/>
          <w:sz w:val="28"/>
          <w:szCs w:val="28"/>
        </w:rPr>
        <w:t>Прогноз доходов 2022 год – 503,5 тыс. руб., 2023 год – 474,5 тыс. руб., 2024 год – 449,5 тыс. руб.</w:t>
      </w:r>
    </w:p>
    <w:p w:rsidR="0055491A" w:rsidRDefault="0055491A" w:rsidP="0055491A">
      <w:pPr>
        <w:pStyle w:val="a7"/>
        <w:spacing w:after="0"/>
        <w:ind w:left="0" w:firstLine="709"/>
        <w:jc w:val="both"/>
        <w:rPr>
          <w:sz w:val="28"/>
          <w:szCs w:val="28"/>
        </w:rPr>
      </w:pPr>
    </w:p>
    <w:p w:rsidR="0055491A" w:rsidRDefault="0055491A" w:rsidP="0055491A">
      <w:pPr>
        <w:pStyle w:val="a7"/>
        <w:spacing w:after="0"/>
        <w:ind w:left="0" w:firstLine="709"/>
        <w:jc w:val="both"/>
        <w:rPr>
          <w:sz w:val="28"/>
          <w:szCs w:val="28"/>
        </w:rPr>
      </w:pPr>
      <w:r>
        <w:rPr>
          <w:sz w:val="28"/>
          <w:szCs w:val="28"/>
        </w:rPr>
        <w:t>5.3</w:t>
      </w:r>
      <w:r w:rsidRPr="00B827BC">
        <w:rPr>
          <w:sz w:val="28"/>
          <w:szCs w:val="28"/>
        </w:rPr>
        <w:t xml:space="preserve"> </w:t>
      </w:r>
      <w:r w:rsidRPr="00EA56A4">
        <w:rPr>
          <w:b/>
          <w:sz w:val="28"/>
          <w:szCs w:val="28"/>
        </w:rPr>
        <w:t>КБК 332 1 16 01092 01 0000 140</w:t>
      </w:r>
      <w:r>
        <w:rPr>
          <w:sz w:val="28"/>
          <w:szCs w:val="28"/>
        </w:rPr>
        <w:t xml:space="preserve"> </w:t>
      </w:r>
      <w:r w:rsidRPr="004306A4">
        <w:rPr>
          <w:sz w:val="28"/>
          <w:szCs w:val="28"/>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w:t>
      </w:r>
      <w:r>
        <w:rPr>
          <w:sz w:val="28"/>
          <w:szCs w:val="28"/>
        </w:rPr>
        <w:t>.</w:t>
      </w:r>
    </w:p>
    <w:p w:rsidR="0055491A" w:rsidRPr="00EA56A4" w:rsidRDefault="0055491A" w:rsidP="0055491A">
      <w:pPr>
        <w:pStyle w:val="a7"/>
        <w:spacing w:after="0"/>
        <w:ind w:left="0" w:firstLine="709"/>
        <w:jc w:val="both"/>
        <w:rPr>
          <w:b/>
          <w:sz w:val="28"/>
          <w:szCs w:val="28"/>
        </w:rPr>
      </w:pPr>
      <w:r w:rsidRPr="00EA56A4">
        <w:rPr>
          <w:b/>
          <w:sz w:val="28"/>
          <w:szCs w:val="28"/>
        </w:rPr>
        <w:t>Главный администратор доходов - Министерство Тверской области по обеспечению контрольных функций.</w:t>
      </w:r>
    </w:p>
    <w:p w:rsidR="0055491A" w:rsidRPr="000D4676" w:rsidRDefault="0055491A" w:rsidP="0055491A">
      <w:pPr>
        <w:pStyle w:val="a7"/>
        <w:spacing w:after="0"/>
        <w:ind w:left="0" w:firstLine="709"/>
        <w:jc w:val="both"/>
        <w:rPr>
          <w:sz w:val="28"/>
          <w:szCs w:val="28"/>
        </w:rPr>
      </w:pPr>
      <w:r w:rsidRPr="000D4676">
        <w:rPr>
          <w:sz w:val="28"/>
          <w:szCs w:val="28"/>
        </w:rPr>
        <w:t>Расчет произведен в соответствии с методикой, утвержденной приказом Министерства Тверской области по обес</w:t>
      </w:r>
      <w:r>
        <w:rPr>
          <w:sz w:val="28"/>
          <w:szCs w:val="28"/>
        </w:rPr>
        <w:t>печению контрольных функций от 18</w:t>
      </w:r>
      <w:r w:rsidRPr="000D4676">
        <w:rPr>
          <w:sz w:val="28"/>
          <w:szCs w:val="28"/>
        </w:rPr>
        <w:t>.0</w:t>
      </w:r>
      <w:r>
        <w:rPr>
          <w:sz w:val="28"/>
          <w:szCs w:val="28"/>
        </w:rPr>
        <w:t>6</w:t>
      </w:r>
      <w:r w:rsidRPr="000D4676">
        <w:rPr>
          <w:sz w:val="28"/>
          <w:szCs w:val="28"/>
        </w:rPr>
        <w:t>.20</w:t>
      </w:r>
      <w:r>
        <w:rPr>
          <w:sz w:val="28"/>
          <w:szCs w:val="28"/>
        </w:rPr>
        <w:t>20</w:t>
      </w:r>
      <w:r w:rsidRPr="000D4676">
        <w:rPr>
          <w:sz w:val="28"/>
          <w:szCs w:val="28"/>
        </w:rPr>
        <w:t xml:space="preserve"> № </w:t>
      </w:r>
      <w:r>
        <w:rPr>
          <w:sz w:val="28"/>
          <w:szCs w:val="28"/>
        </w:rPr>
        <w:t>714</w:t>
      </w:r>
      <w:r w:rsidRPr="000D4676">
        <w:rPr>
          <w:sz w:val="28"/>
          <w:szCs w:val="28"/>
        </w:rPr>
        <w:t xml:space="preserve"> «Об утверждении методики прогнозирования поступлений доходов в областной бюджет Тверской области и местные бюджеты муниципальных образований Тверской области»</w:t>
      </w:r>
      <w:r>
        <w:rPr>
          <w:sz w:val="28"/>
          <w:szCs w:val="28"/>
        </w:rPr>
        <w:t xml:space="preserve"> (с учетом изменений)</w:t>
      </w:r>
      <w:r w:rsidRPr="000D4676">
        <w:rPr>
          <w:sz w:val="28"/>
          <w:szCs w:val="28"/>
        </w:rPr>
        <w:t>.</w:t>
      </w:r>
    </w:p>
    <w:p w:rsidR="0055491A" w:rsidRDefault="0055491A" w:rsidP="0055491A">
      <w:pPr>
        <w:pStyle w:val="a7"/>
        <w:spacing w:after="0"/>
        <w:ind w:left="0" w:firstLine="709"/>
        <w:jc w:val="both"/>
        <w:rPr>
          <w:sz w:val="28"/>
          <w:szCs w:val="28"/>
        </w:rPr>
      </w:pPr>
      <w:r w:rsidRPr="00E428FB">
        <w:rPr>
          <w:sz w:val="28"/>
          <w:szCs w:val="28"/>
        </w:rPr>
        <w:t xml:space="preserve">Прогноз поступлений </w:t>
      </w:r>
      <w:r>
        <w:rPr>
          <w:sz w:val="28"/>
          <w:szCs w:val="28"/>
        </w:rPr>
        <w:t>определен</w:t>
      </w:r>
      <w:r w:rsidRPr="00E428FB">
        <w:rPr>
          <w:sz w:val="28"/>
          <w:szCs w:val="28"/>
        </w:rPr>
        <w:t xml:space="preserve"> методом прямого расчета, основанного на  использовании среднего количества нарушений</w:t>
      </w:r>
      <w:r>
        <w:rPr>
          <w:sz w:val="28"/>
          <w:szCs w:val="28"/>
        </w:rPr>
        <w:t xml:space="preserve"> за 3 года, ответственность за которые предусмотрена по ст. 9.4.</w:t>
      </w:r>
      <w:r w:rsidRPr="00B827BC">
        <w:rPr>
          <w:sz w:val="28"/>
          <w:szCs w:val="28"/>
        </w:rPr>
        <w:t>,9.5</w:t>
      </w:r>
      <w:r>
        <w:rPr>
          <w:sz w:val="28"/>
          <w:szCs w:val="28"/>
        </w:rPr>
        <w:t xml:space="preserve"> КоАП РФ.</w:t>
      </w:r>
    </w:p>
    <w:p w:rsidR="0055491A" w:rsidRPr="00EA56A4" w:rsidRDefault="0055491A" w:rsidP="0055491A">
      <w:pPr>
        <w:pStyle w:val="a7"/>
        <w:spacing w:after="0"/>
        <w:ind w:left="0" w:firstLine="709"/>
        <w:jc w:val="both"/>
        <w:rPr>
          <w:b/>
          <w:sz w:val="28"/>
          <w:szCs w:val="28"/>
        </w:rPr>
      </w:pPr>
      <w:r w:rsidRPr="00EA56A4">
        <w:rPr>
          <w:b/>
          <w:sz w:val="28"/>
          <w:szCs w:val="28"/>
        </w:rPr>
        <w:t>Прогноз поступлений 2022 год –1 330,0 тыс. руб., 2023 год</w:t>
      </w:r>
      <w:r>
        <w:rPr>
          <w:b/>
          <w:sz w:val="28"/>
          <w:szCs w:val="28"/>
        </w:rPr>
        <w:t xml:space="preserve">                                </w:t>
      </w:r>
      <w:r w:rsidRPr="00EA56A4">
        <w:rPr>
          <w:b/>
          <w:sz w:val="28"/>
          <w:szCs w:val="28"/>
        </w:rPr>
        <w:t xml:space="preserve"> 1 468,0 тыс. руб., 2024 год 1 330,0 тыс. руб. </w:t>
      </w:r>
    </w:p>
    <w:p w:rsidR="0055491A" w:rsidRDefault="0055491A" w:rsidP="0055491A">
      <w:pPr>
        <w:pStyle w:val="a7"/>
        <w:spacing w:after="0"/>
        <w:ind w:left="0" w:firstLine="709"/>
        <w:jc w:val="both"/>
        <w:rPr>
          <w:sz w:val="28"/>
          <w:szCs w:val="28"/>
        </w:rPr>
      </w:pPr>
    </w:p>
    <w:p w:rsidR="0055491A" w:rsidRDefault="0055491A" w:rsidP="0055491A">
      <w:pPr>
        <w:ind w:firstLine="709"/>
        <w:jc w:val="both"/>
        <w:rPr>
          <w:sz w:val="28"/>
          <w:szCs w:val="28"/>
        </w:rPr>
      </w:pPr>
      <w:r w:rsidRPr="00E428FB">
        <w:rPr>
          <w:sz w:val="28"/>
          <w:szCs w:val="28"/>
        </w:rPr>
        <w:t>Расчет прогноза представлен в таблице:</w:t>
      </w:r>
    </w:p>
    <w:p w:rsidR="0055491A" w:rsidRDefault="0055491A" w:rsidP="0055491A">
      <w:pPr>
        <w:ind w:firstLine="709"/>
        <w:jc w:val="both"/>
        <w:rPr>
          <w:sz w:val="28"/>
          <w:szCs w:val="28"/>
        </w:rPr>
      </w:pPr>
    </w:p>
    <w:p w:rsidR="0055491A" w:rsidRDefault="0055491A" w:rsidP="0055491A">
      <w:pPr>
        <w:ind w:firstLine="709"/>
        <w:jc w:val="both"/>
        <w:rPr>
          <w:sz w:val="28"/>
          <w:szCs w:val="28"/>
        </w:rPr>
      </w:pPr>
    </w:p>
    <w:p w:rsidR="0055491A" w:rsidRDefault="0055491A" w:rsidP="0055491A">
      <w:pPr>
        <w:ind w:firstLine="709"/>
        <w:jc w:val="both"/>
        <w:rPr>
          <w:sz w:val="28"/>
          <w:szCs w:val="28"/>
        </w:rPr>
      </w:pPr>
    </w:p>
    <w:p w:rsidR="0055491A" w:rsidRDefault="0055491A" w:rsidP="0055491A">
      <w:pPr>
        <w:ind w:firstLine="709"/>
        <w:jc w:val="both"/>
        <w:rPr>
          <w:sz w:val="28"/>
          <w:szCs w:val="28"/>
        </w:rPr>
      </w:pPr>
    </w:p>
    <w:p w:rsidR="0055491A" w:rsidRDefault="0055491A" w:rsidP="0055491A">
      <w:pPr>
        <w:ind w:firstLine="709"/>
        <w:jc w:val="both"/>
        <w:rPr>
          <w:sz w:val="28"/>
          <w:szCs w:val="28"/>
        </w:rPr>
      </w:pPr>
    </w:p>
    <w:p w:rsidR="0055491A" w:rsidRPr="00E428FB" w:rsidRDefault="0055491A" w:rsidP="0055491A">
      <w:pPr>
        <w:pStyle w:val="a7"/>
        <w:spacing w:after="0"/>
        <w:ind w:left="0" w:firstLine="709"/>
        <w:jc w:val="both"/>
        <w:rPr>
          <w:sz w:val="28"/>
          <w:szCs w:val="28"/>
        </w:rPr>
      </w:pPr>
    </w:p>
    <w:tbl>
      <w:tblPr>
        <w:tblW w:w="9214" w:type="dxa"/>
        <w:tblInd w:w="-5" w:type="dxa"/>
        <w:tblLayout w:type="fixed"/>
        <w:tblLook w:val="04A0" w:firstRow="1" w:lastRow="0" w:firstColumn="1" w:lastColumn="0" w:noHBand="0" w:noVBand="1"/>
      </w:tblPr>
      <w:tblGrid>
        <w:gridCol w:w="1276"/>
        <w:gridCol w:w="992"/>
        <w:gridCol w:w="1418"/>
        <w:gridCol w:w="992"/>
        <w:gridCol w:w="1276"/>
        <w:gridCol w:w="992"/>
        <w:gridCol w:w="1276"/>
        <w:gridCol w:w="992"/>
      </w:tblGrid>
      <w:tr w:rsidR="0055491A" w:rsidRPr="00B376AC" w:rsidTr="00210BF6">
        <w:trPr>
          <w:trHeight w:val="333"/>
        </w:trPr>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491A" w:rsidRPr="00EA56A4" w:rsidRDefault="0055491A" w:rsidP="00210BF6">
            <w:pPr>
              <w:jc w:val="center"/>
              <w:rPr>
                <w:sz w:val="22"/>
                <w:szCs w:val="22"/>
              </w:rPr>
            </w:pPr>
            <w:r w:rsidRPr="00EA56A4">
              <w:rPr>
                <w:sz w:val="22"/>
                <w:szCs w:val="22"/>
              </w:rPr>
              <w:t>Вид нарушения</w:t>
            </w:r>
          </w:p>
          <w:p w:rsidR="0055491A" w:rsidRPr="00EA56A4" w:rsidRDefault="0055491A" w:rsidP="00210BF6">
            <w:pPr>
              <w:jc w:val="center"/>
              <w:rPr>
                <w:bCs/>
                <w:sz w:val="22"/>
                <w:szCs w:val="22"/>
              </w:rPr>
            </w:pPr>
            <w:r w:rsidRPr="00EA56A4">
              <w:rPr>
                <w:sz w:val="22"/>
                <w:szCs w:val="22"/>
              </w:rPr>
              <w:t>КОАП РФ</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491A" w:rsidRPr="00EA56A4" w:rsidRDefault="0055491A" w:rsidP="00210BF6">
            <w:pPr>
              <w:jc w:val="center"/>
              <w:rPr>
                <w:bCs/>
                <w:sz w:val="22"/>
                <w:szCs w:val="22"/>
              </w:rPr>
            </w:pPr>
            <w:r w:rsidRPr="00EA56A4">
              <w:rPr>
                <w:bCs/>
                <w:sz w:val="22"/>
                <w:szCs w:val="22"/>
              </w:rPr>
              <w:t>Размер штрафа, тыс.руб</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rsidR="0055491A" w:rsidRPr="00EA56A4" w:rsidRDefault="0055491A" w:rsidP="00210BF6">
            <w:pPr>
              <w:jc w:val="center"/>
              <w:rPr>
                <w:b/>
                <w:bCs/>
                <w:sz w:val="22"/>
                <w:szCs w:val="22"/>
              </w:rPr>
            </w:pPr>
            <w:r w:rsidRPr="00EA56A4">
              <w:rPr>
                <w:b/>
                <w:bCs/>
                <w:sz w:val="22"/>
                <w:szCs w:val="22"/>
              </w:rPr>
              <w:t>2022 год</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55491A" w:rsidRPr="00EA56A4" w:rsidRDefault="0055491A" w:rsidP="00210BF6">
            <w:pPr>
              <w:jc w:val="center"/>
              <w:rPr>
                <w:b/>
                <w:bCs/>
                <w:sz w:val="22"/>
                <w:szCs w:val="22"/>
              </w:rPr>
            </w:pPr>
            <w:r w:rsidRPr="00EA56A4">
              <w:rPr>
                <w:b/>
                <w:bCs/>
                <w:sz w:val="22"/>
                <w:szCs w:val="22"/>
              </w:rPr>
              <w:t>2023 год</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55491A" w:rsidRPr="00EA56A4" w:rsidRDefault="0055491A" w:rsidP="00210BF6">
            <w:pPr>
              <w:jc w:val="center"/>
              <w:rPr>
                <w:b/>
                <w:bCs/>
                <w:sz w:val="22"/>
                <w:szCs w:val="22"/>
              </w:rPr>
            </w:pPr>
            <w:r w:rsidRPr="00EA56A4">
              <w:rPr>
                <w:b/>
                <w:bCs/>
                <w:sz w:val="22"/>
                <w:szCs w:val="22"/>
              </w:rPr>
              <w:t>2024 год</w:t>
            </w:r>
          </w:p>
        </w:tc>
      </w:tr>
      <w:tr w:rsidR="0055491A" w:rsidRPr="00B376AC" w:rsidTr="00210BF6">
        <w:trPr>
          <w:trHeight w:val="707"/>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55491A" w:rsidRPr="00EA56A4" w:rsidRDefault="0055491A" w:rsidP="00210BF6">
            <w:pPr>
              <w:rPr>
                <w:bCs/>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5491A" w:rsidRPr="00EA56A4" w:rsidRDefault="0055491A" w:rsidP="00210BF6">
            <w:pPr>
              <w:rPr>
                <w:bCs/>
                <w:sz w:val="22"/>
                <w:szCs w:val="22"/>
              </w:rPr>
            </w:pPr>
          </w:p>
        </w:tc>
        <w:tc>
          <w:tcPr>
            <w:tcW w:w="1418" w:type="dxa"/>
            <w:tcBorders>
              <w:top w:val="nil"/>
              <w:left w:val="nil"/>
              <w:bottom w:val="single" w:sz="4" w:space="0" w:color="auto"/>
              <w:right w:val="single" w:sz="4" w:space="0" w:color="auto"/>
            </w:tcBorders>
            <w:shd w:val="clear" w:color="auto" w:fill="auto"/>
            <w:vAlign w:val="center"/>
            <w:hideMark/>
          </w:tcPr>
          <w:p w:rsidR="0055491A" w:rsidRPr="00EA56A4" w:rsidRDefault="0055491A" w:rsidP="00210BF6">
            <w:pPr>
              <w:jc w:val="center"/>
              <w:rPr>
                <w:bCs/>
                <w:sz w:val="20"/>
                <w:szCs w:val="20"/>
              </w:rPr>
            </w:pPr>
            <w:r w:rsidRPr="00EA56A4">
              <w:rPr>
                <w:bCs/>
                <w:sz w:val="20"/>
                <w:szCs w:val="20"/>
              </w:rPr>
              <w:t>Количество, шт.</w:t>
            </w:r>
          </w:p>
        </w:tc>
        <w:tc>
          <w:tcPr>
            <w:tcW w:w="992" w:type="dxa"/>
            <w:tcBorders>
              <w:top w:val="nil"/>
              <w:left w:val="nil"/>
              <w:bottom w:val="single" w:sz="4" w:space="0" w:color="auto"/>
              <w:right w:val="single" w:sz="4" w:space="0" w:color="auto"/>
            </w:tcBorders>
            <w:shd w:val="clear" w:color="auto" w:fill="auto"/>
            <w:vAlign w:val="center"/>
            <w:hideMark/>
          </w:tcPr>
          <w:p w:rsidR="0055491A" w:rsidRPr="00EA56A4" w:rsidRDefault="0055491A" w:rsidP="00210BF6">
            <w:pPr>
              <w:jc w:val="center"/>
              <w:rPr>
                <w:bCs/>
                <w:sz w:val="20"/>
                <w:szCs w:val="20"/>
              </w:rPr>
            </w:pPr>
            <w:r w:rsidRPr="00EA56A4">
              <w:rPr>
                <w:bCs/>
                <w:sz w:val="20"/>
                <w:szCs w:val="20"/>
              </w:rPr>
              <w:t>Сумма, тыс. руб.</w:t>
            </w:r>
          </w:p>
        </w:tc>
        <w:tc>
          <w:tcPr>
            <w:tcW w:w="1276" w:type="dxa"/>
            <w:tcBorders>
              <w:top w:val="nil"/>
              <w:left w:val="nil"/>
              <w:bottom w:val="single" w:sz="4" w:space="0" w:color="auto"/>
              <w:right w:val="single" w:sz="4" w:space="0" w:color="auto"/>
            </w:tcBorders>
            <w:shd w:val="clear" w:color="auto" w:fill="auto"/>
            <w:vAlign w:val="center"/>
            <w:hideMark/>
          </w:tcPr>
          <w:p w:rsidR="0055491A" w:rsidRPr="00EA56A4" w:rsidRDefault="0055491A" w:rsidP="00210BF6">
            <w:pPr>
              <w:jc w:val="center"/>
              <w:rPr>
                <w:bCs/>
                <w:sz w:val="20"/>
                <w:szCs w:val="20"/>
              </w:rPr>
            </w:pPr>
            <w:r w:rsidRPr="00EA56A4">
              <w:rPr>
                <w:bCs/>
                <w:sz w:val="20"/>
                <w:szCs w:val="20"/>
              </w:rPr>
              <w:t>Количество, шт.</w:t>
            </w:r>
          </w:p>
        </w:tc>
        <w:tc>
          <w:tcPr>
            <w:tcW w:w="992" w:type="dxa"/>
            <w:tcBorders>
              <w:top w:val="nil"/>
              <w:left w:val="nil"/>
              <w:bottom w:val="single" w:sz="4" w:space="0" w:color="auto"/>
              <w:right w:val="single" w:sz="4" w:space="0" w:color="auto"/>
            </w:tcBorders>
            <w:shd w:val="clear" w:color="auto" w:fill="auto"/>
            <w:vAlign w:val="center"/>
            <w:hideMark/>
          </w:tcPr>
          <w:p w:rsidR="0055491A" w:rsidRPr="00EA56A4" w:rsidRDefault="0055491A" w:rsidP="00210BF6">
            <w:pPr>
              <w:jc w:val="center"/>
              <w:rPr>
                <w:bCs/>
                <w:sz w:val="20"/>
                <w:szCs w:val="20"/>
              </w:rPr>
            </w:pPr>
            <w:r w:rsidRPr="00EA56A4">
              <w:rPr>
                <w:bCs/>
                <w:sz w:val="20"/>
                <w:szCs w:val="20"/>
              </w:rPr>
              <w:t>Сумма, тыс. руб.</w:t>
            </w:r>
          </w:p>
        </w:tc>
        <w:tc>
          <w:tcPr>
            <w:tcW w:w="1276" w:type="dxa"/>
            <w:tcBorders>
              <w:top w:val="nil"/>
              <w:left w:val="nil"/>
              <w:bottom w:val="single" w:sz="4" w:space="0" w:color="auto"/>
              <w:right w:val="single" w:sz="4" w:space="0" w:color="auto"/>
            </w:tcBorders>
            <w:shd w:val="clear" w:color="auto" w:fill="auto"/>
            <w:vAlign w:val="center"/>
            <w:hideMark/>
          </w:tcPr>
          <w:p w:rsidR="0055491A" w:rsidRPr="00EA56A4" w:rsidRDefault="0055491A" w:rsidP="00210BF6">
            <w:pPr>
              <w:jc w:val="center"/>
              <w:rPr>
                <w:bCs/>
                <w:sz w:val="20"/>
                <w:szCs w:val="20"/>
              </w:rPr>
            </w:pPr>
            <w:r w:rsidRPr="00EA56A4">
              <w:rPr>
                <w:bCs/>
                <w:sz w:val="20"/>
                <w:szCs w:val="20"/>
              </w:rPr>
              <w:t>Количество, шт</w:t>
            </w:r>
          </w:p>
        </w:tc>
        <w:tc>
          <w:tcPr>
            <w:tcW w:w="992" w:type="dxa"/>
            <w:tcBorders>
              <w:top w:val="nil"/>
              <w:left w:val="nil"/>
              <w:bottom w:val="single" w:sz="4" w:space="0" w:color="auto"/>
              <w:right w:val="single" w:sz="4" w:space="0" w:color="auto"/>
            </w:tcBorders>
            <w:shd w:val="clear" w:color="auto" w:fill="auto"/>
            <w:vAlign w:val="center"/>
            <w:hideMark/>
          </w:tcPr>
          <w:p w:rsidR="0055491A" w:rsidRPr="00EA56A4" w:rsidRDefault="0055491A" w:rsidP="00210BF6">
            <w:pPr>
              <w:jc w:val="center"/>
              <w:rPr>
                <w:bCs/>
                <w:sz w:val="20"/>
                <w:szCs w:val="20"/>
              </w:rPr>
            </w:pPr>
            <w:r w:rsidRPr="00EA56A4">
              <w:rPr>
                <w:bCs/>
                <w:sz w:val="20"/>
                <w:szCs w:val="20"/>
              </w:rPr>
              <w:t>Сумма, тыс. руб.</w:t>
            </w:r>
          </w:p>
        </w:tc>
      </w:tr>
      <w:tr w:rsidR="0055491A" w:rsidRPr="00B376AC" w:rsidTr="00210BF6">
        <w:trPr>
          <w:trHeight w:val="283"/>
        </w:trPr>
        <w:tc>
          <w:tcPr>
            <w:tcW w:w="1276" w:type="dxa"/>
            <w:vMerge w:val="restart"/>
            <w:tcBorders>
              <w:top w:val="nil"/>
              <w:left w:val="single" w:sz="4" w:space="0" w:color="auto"/>
              <w:right w:val="single" w:sz="4" w:space="0" w:color="auto"/>
            </w:tcBorders>
            <w:shd w:val="clear" w:color="auto" w:fill="auto"/>
            <w:vAlign w:val="center"/>
            <w:hideMark/>
          </w:tcPr>
          <w:p w:rsidR="0055491A" w:rsidRPr="00EA56A4" w:rsidRDefault="0055491A" w:rsidP="00210BF6">
            <w:pPr>
              <w:jc w:val="center"/>
              <w:rPr>
                <w:bCs/>
                <w:sz w:val="22"/>
                <w:szCs w:val="22"/>
              </w:rPr>
            </w:pPr>
            <w:r w:rsidRPr="00EA56A4">
              <w:rPr>
                <w:bCs/>
                <w:sz w:val="22"/>
                <w:szCs w:val="22"/>
              </w:rPr>
              <w:t>ст. 9.4 ч. 1</w:t>
            </w:r>
          </w:p>
          <w:p w:rsidR="0055491A" w:rsidRPr="00EA56A4" w:rsidRDefault="0055491A" w:rsidP="00210BF6">
            <w:pPr>
              <w:jc w:val="center"/>
              <w:rPr>
                <w:bCs/>
                <w:sz w:val="22"/>
                <w:szCs w:val="22"/>
              </w:rPr>
            </w:pPr>
          </w:p>
        </w:tc>
        <w:tc>
          <w:tcPr>
            <w:tcW w:w="992" w:type="dxa"/>
            <w:tcBorders>
              <w:top w:val="nil"/>
              <w:left w:val="nil"/>
              <w:bottom w:val="single" w:sz="4" w:space="0" w:color="auto"/>
              <w:right w:val="single" w:sz="4" w:space="0" w:color="auto"/>
            </w:tcBorders>
            <w:shd w:val="clear" w:color="auto" w:fill="auto"/>
            <w:vAlign w:val="center"/>
            <w:hideMark/>
          </w:tcPr>
          <w:p w:rsidR="0055491A" w:rsidRPr="00EA56A4" w:rsidRDefault="0055491A" w:rsidP="00210BF6">
            <w:pPr>
              <w:jc w:val="center"/>
              <w:rPr>
                <w:sz w:val="22"/>
                <w:szCs w:val="22"/>
              </w:rPr>
            </w:pPr>
            <w:r w:rsidRPr="00EA56A4">
              <w:rPr>
                <w:sz w:val="22"/>
                <w:szCs w:val="22"/>
              </w:rPr>
              <w:t>20</w:t>
            </w:r>
          </w:p>
        </w:tc>
        <w:tc>
          <w:tcPr>
            <w:tcW w:w="1418" w:type="dxa"/>
            <w:tcBorders>
              <w:top w:val="nil"/>
              <w:left w:val="nil"/>
              <w:bottom w:val="single" w:sz="4" w:space="0" w:color="auto"/>
              <w:right w:val="single" w:sz="4" w:space="0" w:color="auto"/>
            </w:tcBorders>
            <w:shd w:val="clear" w:color="auto" w:fill="auto"/>
            <w:vAlign w:val="center"/>
            <w:hideMark/>
          </w:tcPr>
          <w:p w:rsidR="0055491A" w:rsidRPr="00EA56A4" w:rsidRDefault="0055491A" w:rsidP="00210BF6">
            <w:pPr>
              <w:jc w:val="center"/>
              <w:rPr>
                <w:sz w:val="22"/>
                <w:szCs w:val="22"/>
              </w:rPr>
            </w:pPr>
            <w:r w:rsidRPr="00EA56A4">
              <w:rPr>
                <w:sz w:val="22"/>
                <w:szCs w:val="22"/>
              </w:rPr>
              <w:t>7</w:t>
            </w:r>
          </w:p>
        </w:tc>
        <w:tc>
          <w:tcPr>
            <w:tcW w:w="992" w:type="dxa"/>
            <w:tcBorders>
              <w:top w:val="nil"/>
              <w:left w:val="nil"/>
              <w:bottom w:val="single" w:sz="4" w:space="0" w:color="auto"/>
              <w:right w:val="single" w:sz="4" w:space="0" w:color="auto"/>
            </w:tcBorders>
            <w:shd w:val="clear" w:color="auto" w:fill="auto"/>
            <w:vAlign w:val="center"/>
            <w:hideMark/>
          </w:tcPr>
          <w:p w:rsidR="0055491A" w:rsidRPr="00EA56A4" w:rsidRDefault="0055491A" w:rsidP="00210BF6">
            <w:pPr>
              <w:jc w:val="center"/>
              <w:rPr>
                <w:sz w:val="22"/>
                <w:szCs w:val="22"/>
              </w:rPr>
            </w:pPr>
            <w:r w:rsidRPr="00EA56A4">
              <w:rPr>
                <w:sz w:val="22"/>
                <w:szCs w:val="22"/>
              </w:rPr>
              <w:t>140,0</w:t>
            </w:r>
          </w:p>
        </w:tc>
        <w:tc>
          <w:tcPr>
            <w:tcW w:w="1276" w:type="dxa"/>
            <w:tcBorders>
              <w:top w:val="nil"/>
              <w:left w:val="nil"/>
              <w:bottom w:val="single" w:sz="4" w:space="0" w:color="auto"/>
              <w:right w:val="single" w:sz="4" w:space="0" w:color="auto"/>
            </w:tcBorders>
            <w:shd w:val="clear" w:color="auto" w:fill="auto"/>
            <w:vAlign w:val="center"/>
            <w:hideMark/>
          </w:tcPr>
          <w:p w:rsidR="0055491A" w:rsidRPr="00EA56A4" w:rsidRDefault="0055491A" w:rsidP="00210BF6">
            <w:pPr>
              <w:jc w:val="center"/>
              <w:rPr>
                <w:sz w:val="22"/>
                <w:szCs w:val="22"/>
              </w:rPr>
            </w:pPr>
            <w:r w:rsidRPr="00EA56A4">
              <w:rPr>
                <w:sz w:val="22"/>
                <w:szCs w:val="22"/>
              </w:rPr>
              <w:t>8</w:t>
            </w:r>
          </w:p>
        </w:tc>
        <w:tc>
          <w:tcPr>
            <w:tcW w:w="992" w:type="dxa"/>
            <w:tcBorders>
              <w:top w:val="nil"/>
              <w:left w:val="nil"/>
              <w:bottom w:val="single" w:sz="4" w:space="0" w:color="auto"/>
              <w:right w:val="single" w:sz="4" w:space="0" w:color="auto"/>
            </w:tcBorders>
            <w:shd w:val="clear" w:color="auto" w:fill="auto"/>
            <w:vAlign w:val="center"/>
            <w:hideMark/>
          </w:tcPr>
          <w:p w:rsidR="0055491A" w:rsidRPr="00EA56A4" w:rsidRDefault="0055491A" w:rsidP="00210BF6">
            <w:pPr>
              <w:jc w:val="center"/>
              <w:rPr>
                <w:sz w:val="22"/>
                <w:szCs w:val="22"/>
              </w:rPr>
            </w:pPr>
            <w:r w:rsidRPr="00EA56A4">
              <w:rPr>
                <w:sz w:val="22"/>
                <w:szCs w:val="22"/>
              </w:rPr>
              <w:t>160,0</w:t>
            </w:r>
          </w:p>
        </w:tc>
        <w:tc>
          <w:tcPr>
            <w:tcW w:w="1276" w:type="dxa"/>
            <w:tcBorders>
              <w:top w:val="nil"/>
              <w:left w:val="nil"/>
              <w:bottom w:val="single" w:sz="4" w:space="0" w:color="auto"/>
              <w:right w:val="single" w:sz="4" w:space="0" w:color="auto"/>
            </w:tcBorders>
            <w:shd w:val="clear" w:color="auto" w:fill="auto"/>
            <w:vAlign w:val="center"/>
            <w:hideMark/>
          </w:tcPr>
          <w:p w:rsidR="0055491A" w:rsidRPr="00EA56A4" w:rsidRDefault="0055491A" w:rsidP="00210BF6">
            <w:pPr>
              <w:jc w:val="center"/>
              <w:rPr>
                <w:sz w:val="22"/>
                <w:szCs w:val="22"/>
              </w:rPr>
            </w:pPr>
            <w:r w:rsidRPr="00EA56A4">
              <w:rPr>
                <w:sz w:val="22"/>
                <w:szCs w:val="22"/>
              </w:rPr>
              <w:t>7</w:t>
            </w:r>
          </w:p>
        </w:tc>
        <w:tc>
          <w:tcPr>
            <w:tcW w:w="992" w:type="dxa"/>
            <w:tcBorders>
              <w:top w:val="nil"/>
              <w:left w:val="nil"/>
              <w:bottom w:val="single" w:sz="4" w:space="0" w:color="auto"/>
              <w:right w:val="single" w:sz="4" w:space="0" w:color="auto"/>
            </w:tcBorders>
            <w:shd w:val="clear" w:color="auto" w:fill="auto"/>
            <w:vAlign w:val="center"/>
            <w:hideMark/>
          </w:tcPr>
          <w:p w:rsidR="0055491A" w:rsidRPr="00EA56A4" w:rsidRDefault="0055491A" w:rsidP="00210BF6">
            <w:pPr>
              <w:jc w:val="center"/>
              <w:rPr>
                <w:sz w:val="22"/>
                <w:szCs w:val="22"/>
              </w:rPr>
            </w:pPr>
            <w:r w:rsidRPr="00EA56A4">
              <w:rPr>
                <w:sz w:val="22"/>
                <w:szCs w:val="22"/>
              </w:rPr>
              <w:t>140,0</w:t>
            </w:r>
          </w:p>
        </w:tc>
      </w:tr>
      <w:tr w:rsidR="0055491A" w:rsidRPr="00B376AC" w:rsidTr="00210BF6">
        <w:trPr>
          <w:trHeight w:val="283"/>
        </w:trPr>
        <w:tc>
          <w:tcPr>
            <w:tcW w:w="1276" w:type="dxa"/>
            <w:vMerge/>
            <w:tcBorders>
              <w:left w:val="single" w:sz="4" w:space="0" w:color="auto"/>
              <w:right w:val="single" w:sz="4" w:space="0" w:color="auto"/>
            </w:tcBorders>
            <w:shd w:val="clear" w:color="auto" w:fill="auto"/>
            <w:vAlign w:val="center"/>
          </w:tcPr>
          <w:p w:rsidR="0055491A" w:rsidRPr="00EA56A4" w:rsidRDefault="0055491A" w:rsidP="00210BF6">
            <w:pPr>
              <w:jc w:val="center"/>
              <w:rPr>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55491A" w:rsidRPr="00EA56A4" w:rsidRDefault="0055491A" w:rsidP="00210BF6">
            <w:pPr>
              <w:jc w:val="center"/>
              <w:rPr>
                <w:sz w:val="22"/>
                <w:szCs w:val="22"/>
              </w:rPr>
            </w:pPr>
            <w:r w:rsidRPr="00EA56A4">
              <w:rPr>
                <w:sz w:val="22"/>
                <w:szCs w:val="22"/>
              </w:rPr>
              <w:t>30</w:t>
            </w:r>
          </w:p>
        </w:tc>
        <w:tc>
          <w:tcPr>
            <w:tcW w:w="1418" w:type="dxa"/>
            <w:tcBorders>
              <w:top w:val="nil"/>
              <w:left w:val="nil"/>
              <w:bottom w:val="single" w:sz="4" w:space="0" w:color="auto"/>
              <w:right w:val="single" w:sz="4" w:space="0" w:color="auto"/>
            </w:tcBorders>
            <w:shd w:val="clear" w:color="auto" w:fill="auto"/>
            <w:vAlign w:val="center"/>
          </w:tcPr>
          <w:p w:rsidR="0055491A" w:rsidRPr="00EA56A4" w:rsidRDefault="0055491A" w:rsidP="00210BF6">
            <w:pPr>
              <w:jc w:val="center"/>
              <w:rPr>
                <w:sz w:val="22"/>
                <w:szCs w:val="22"/>
              </w:rPr>
            </w:pPr>
            <w:r w:rsidRPr="00EA56A4">
              <w:rPr>
                <w:sz w:val="22"/>
                <w:szCs w:val="22"/>
              </w:rPr>
              <w:t>1</w:t>
            </w:r>
          </w:p>
        </w:tc>
        <w:tc>
          <w:tcPr>
            <w:tcW w:w="992" w:type="dxa"/>
            <w:tcBorders>
              <w:top w:val="nil"/>
              <w:left w:val="nil"/>
              <w:bottom w:val="single" w:sz="4" w:space="0" w:color="auto"/>
              <w:right w:val="single" w:sz="4" w:space="0" w:color="auto"/>
            </w:tcBorders>
            <w:shd w:val="clear" w:color="auto" w:fill="auto"/>
            <w:vAlign w:val="center"/>
          </w:tcPr>
          <w:p w:rsidR="0055491A" w:rsidRPr="00EA56A4" w:rsidRDefault="0055491A" w:rsidP="00210BF6">
            <w:pPr>
              <w:jc w:val="center"/>
              <w:rPr>
                <w:sz w:val="22"/>
                <w:szCs w:val="22"/>
              </w:rPr>
            </w:pPr>
            <w:r w:rsidRPr="00EA56A4">
              <w:rPr>
                <w:sz w:val="22"/>
                <w:szCs w:val="22"/>
              </w:rPr>
              <w:t>30,0</w:t>
            </w:r>
          </w:p>
        </w:tc>
        <w:tc>
          <w:tcPr>
            <w:tcW w:w="1276" w:type="dxa"/>
            <w:tcBorders>
              <w:top w:val="nil"/>
              <w:left w:val="nil"/>
              <w:bottom w:val="single" w:sz="4" w:space="0" w:color="auto"/>
              <w:right w:val="single" w:sz="4" w:space="0" w:color="auto"/>
            </w:tcBorders>
            <w:shd w:val="clear" w:color="auto" w:fill="auto"/>
            <w:vAlign w:val="center"/>
          </w:tcPr>
          <w:p w:rsidR="0055491A" w:rsidRPr="00EA56A4" w:rsidRDefault="0055491A" w:rsidP="00210BF6">
            <w:pPr>
              <w:jc w:val="center"/>
              <w:rPr>
                <w:sz w:val="22"/>
                <w:szCs w:val="22"/>
              </w:rPr>
            </w:pPr>
            <w:r w:rsidRPr="00EA56A4">
              <w:rPr>
                <w:sz w:val="22"/>
                <w:szCs w:val="22"/>
              </w:rPr>
              <w:t>1</w:t>
            </w:r>
          </w:p>
        </w:tc>
        <w:tc>
          <w:tcPr>
            <w:tcW w:w="992" w:type="dxa"/>
            <w:tcBorders>
              <w:top w:val="nil"/>
              <w:left w:val="nil"/>
              <w:bottom w:val="single" w:sz="4" w:space="0" w:color="auto"/>
              <w:right w:val="single" w:sz="4" w:space="0" w:color="auto"/>
            </w:tcBorders>
            <w:shd w:val="clear" w:color="auto" w:fill="auto"/>
            <w:vAlign w:val="center"/>
          </w:tcPr>
          <w:p w:rsidR="0055491A" w:rsidRPr="00EA56A4" w:rsidRDefault="0055491A" w:rsidP="00210BF6">
            <w:pPr>
              <w:jc w:val="center"/>
              <w:rPr>
                <w:sz w:val="22"/>
                <w:szCs w:val="22"/>
              </w:rPr>
            </w:pPr>
            <w:r w:rsidRPr="00EA56A4">
              <w:rPr>
                <w:sz w:val="22"/>
                <w:szCs w:val="22"/>
              </w:rPr>
              <w:t>30,0</w:t>
            </w:r>
          </w:p>
        </w:tc>
        <w:tc>
          <w:tcPr>
            <w:tcW w:w="1276" w:type="dxa"/>
            <w:tcBorders>
              <w:top w:val="nil"/>
              <w:left w:val="nil"/>
              <w:bottom w:val="single" w:sz="4" w:space="0" w:color="auto"/>
              <w:right w:val="single" w:sz="4" w:space="0" w:color="auto"/>
            </w:tcBorders>
            <w:shd w:val="clear" w:color="auto" w:fill="auto"/>
            <w:vAlign w:val="center"/>
          </w:tcPr>
          <w:p w:rsidR="0055491A" w:rsidRPr="00EA56A4" w:rsidRDefault="0055491A" w:rsidP="00210BF6">
            <w:pPr>
              <w:jc w:val="center"/>
              <w:rPr>
                <w:sz w:val="22"/>
                <w:szCs w:val="22"/>
              </w:rPr>
            </w:pPr>
            <w:r w:rsidRPr="00EA56A4">
              <w:rPr>
                <w:sz w:val="22"/>
                <w:szCs w:val="22"/>
              </w:rPr>
              <w:t>1</w:t>
            </w:r>
          </w:p>
        </w:tc>
        <w:tc>
          <w:tcPr>
            <w:tcW w:w="992" w:type="dxa"/>
            <w:tcBorders>
              <w:top w:val="nil"/>
              <w:left w:val="nil"/>
              <w:bottom w:val="single" w:sz="4" w:space="0" w:color="auto"/>
              <w:right w:val="single" w:sz="4" w:space="0" w:color="auto"/>
            </w:tcBorders>
            <w:shd w:val="clear" w:color="auto" w:fill="auto"/>
            <w:vAlign w:val="center"/>
          </w:tcPr>
          <w:p w:rsidR="0055491A" w:rsidRPr="00EA56A4" w:rsidRDefault="0055491A" w:rsidP="00210BF6">
            <w:pPr>
              <w:jc w:val="center"/>
              <w:rPr>
                <w:sz w:val="22"/>
                <w:szCs w:val="22"/>
              </w:rPr>
            </w:pPr>
            <w:r w:rsidRPr="00EA56A4">
              <w:rPr>
                <w:sz w:val="22"/>
                <w:szCs w:val="22"/>
              </w:rPr>
              <w:t>30,0</w:t>
            </w:r>
          </w:p>
        </w:tc>
      </w:tr>
      <w:tr w:rsidR="0055491A" w:rsidRPr="00B376AC" w:rsidTr="00210BF6">
        <w:trPr>
          <w:trHeight w:val="283"/>
        </w:trPr>
        <w:tc>
          <w:tcPr>
            <w:tcW w:w="1276" w:type="dxa"/>
            <w:vMerge/>
            <w:tcBorders>
              <w:left w:val="single" w:sz="4" w:space="0" w:color="auto"/>
              <w:right w:val="single" w:sz="4" w:space="0" w:color="auto"/>
            </w:tcBorders>
            <w:shd w:val="clear" w:color="auto" w:fill="auto"/>
            <w:vAlign w:val="center"/>
          </w:tcPr>
          <w:p w:rsidR="0055491A" w:rsidRPr="00EA56A4" w:rsidRDefault="0055491A" w:rsidP="00210BF6">
            <w:pPr>
              <w:jc w:val="center"/>
              <w:rPr>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55491A" w:rsidRPr="00EA56A4" w:rsidRDefault="0055491A" w:rsidP="00210BF6">
            <w:pPr>
              <w:jc w:val="center"/>
              <w:rPr>
                <w:sz w:val="22"/>
                <w:szCs w:val="22"/>
              </w:rPr>
            </w:pPr>
            <w:r w:rsidRPr="00EA56A4">
              <w:rPr>
                <w:sz w:val="22"/>
                <w:szCs w:val="22"/>
              </w:rPr>
              <w:t>50</w:t>
            </w:r>
          </w:p>
        </w:tc>
        <w:tc>
          <w:tcPr>
            <w:tcW w:w="1418" w:type="dxa"/>
            <w:tcBorders>
              <w:top w:val="nil"/>
              <w:left w:val="nil"/>
              <w:bottom w:val="single" w:sz="4" w:space="0" w:color="auto"/>
              <w:right w:val="single" w:sz="4" w:space="0" w:color="auto"/>
            </w:tcBorders>
            <w:shd w:val="clear" w:color="auto" w:fill="auto"/>
            <w:vAlign w:val="center"/>
          </w:tcPr>
          <w:p w:rsidR="0055491A" w:rsidRPr="00EA56A4" w:rsidRDefault="0055491A" w:rsidP="00210BF6">
            <w:pPr>
              <w:jc w:val="center"/>
              <w:rPr>
                <w:sz w:val="22"/>
                <w:szCs w:val="22"/>
              </w:rPr>
            </w:pPr>
            <w:r w:rsidRPr="00EA56A4">
              <w:rPr>
                <w:sz w:val="22"/>
                <w:szCs w:val="22"/>
              </w:rPr>
              <w:t>1</w:t>
            </w:r>
          </w:p>
        </w:tc>
        <w:tc>
          <w:tcPr>
            <w:tcW w:w="992" w:type="dxa"/>
            <w:tcBorders>
              <w:top w:val="nil"/>
              <w:left w:val="nil"/>
              <w:bottom w:val="single" w:sz="4" w:space="0" w:color="auto"/>
              <w:right w:val="single" w:sz="4" w:space="0" w:color="auto"/>
            </w:tcBorders>
            <w:shd w:val="clear" w:color="auto" w:fill="auto"/>
            <w:vAlign w:val="center"/>
          </w:tcPr>
          <w:p w:rsidR="0055491A" w:rsidRPr="00EA56A4" w:rsidRDefault="0055491A" w:rsidP="00210BF6">
            <w:pPr>
              <w:jc w:val="center"/>
              <w:rPr>
                <w:sz w:val="22"/>
                <w:szCs w:val="22"/>
              </w:rPr>
            </w:pPr>
            <w:r w:rsidRPr="00EA56A4">
              <w:rPr>
                <w:sz w:val="22"/>
                <w:szCs w:val="22"/>
              </w:rPr>
              <w:t>50,0</w:t>
            </w:r>
          </w:p>
        </w:tc>
        <w:tc>
          <w:tcPr>
            <w:tcW w:w="1276" w:type="dxa"/>
            <w:tcBorders>
              <w:top w:val="nil"/>
              <w:left w:val="nil"/>
              <w:bottom w:val="single" w:sz="4" w:space="0" w:color="auto"/>
              <w:right w:val="single" w:sz="4" w:space="0" w:color="auto"/>
            </w:tcBorders>
            <w:shd w:val="clear" w:color="auto" w:fill="auto"/>
            <w:vAlign w:val="center"/>
          </w:tcPr>
          <w:p w:rsidR="0055491A" w:rsidRPr="00EA56A4" w:rsidRDefault="0055491A" w:rsidP="00210BF6">
            <w:pPr>
              <w:jc w:val="center"/>
              <w:rPr>
                <w:sz w:val="22"/>
                <w:szCs w:val="22"/>
              </w:rPr>
            </w:pPr>
            <w:r w:rsidRPr="00EA56A4">
              <w:rPr>
                <w:sz w:val="22"/>
                <w:szCs w:val="22"/>
              </w:rPr>
              <w:t>1</w:t>
            </w:r>
          </w:p>
        </w:tc>
        <w:tc>
          <w:tcPr>
            <w:tcW w:w="992" w:type="dxa"/>
            <w:tcBorders>
              <w:top w:val="nil"/>
              <w:left w:val="nil"/>
              <w:bottom w:val="single" w:sz="4" w:space="0" w:color="auto"/>
              <w:right w:val="single" w:sz="4" w:space="0" w:color="auto"/>
            </w:tcBorders>
            <w:shd w:val="clear" w:color="auto" w:fill="auto"/>
            <w:vAlign w:val="center"/>
          </w:tcPr>
          <w:p w:rsidR="0055491A" w:rsidRPr="00EA56A4" w:rsidRDefault="0055491A" w:rsidP="00210BF6">
            <w:pPr>
              <w:jc w:val="center"/>
              <w:rPr>
                <w:sz w:val="22"/>
                <w:szCs w:val="22"/>
              </w:rPr>
            </w:pPr>
            <w:r w:rsidRPr="00EA56A4">
              <w:rPr>
                <w:sz w:val="22"/>
                <w:szCs w:val="22"/>
              </w:rPr>
              <w:t>50,0</w:t>
            </w:r>
          </w:p>
        </w:tc>
        <w:tc>
          <w:tcPr>
            <w:tcW w:w="1276" w:type="dxa"/>
            <w:tcBorders>
              <w:top w:val="nil"/>
              <w:left w:val="nil"/>
              <w:bottom w:val="single" w:sz="4" w:space="0" w:color="auto"/>
              <w:right w:val="single" w:sz="4" w:space="0" w:color="auto"/>
            </w:tcBorders>
            <w:shd w:val="clear" w:color="auto" w:fill="auto"/>
            <w:vAlign w:val="center"/>
          </w:tcPr>
          <w:p w:rsidR="0055491A" w:rsidRPr="00EA56A4" w:rsidRDefault="0055491A" w:rsidP="00210BF6">
            <w:pPr>
              <w:jc w:val="center"/>
              <w:rPr>
                <w:sz w:val="22"/>
                <w:szCs w:val="22"/>
              </w:rPr>
            </w:pPr>
            <w:r w:rsidRPr="00EA56A4">
              <w:rPr>
                <w:sz w:val="22"/>
                <w:szCs w:val="22"/>
              </w:rPr>
              <w:t>1</w:t>
            </w:r>
          </w:p>
        </w:tc>
        <w:tc>
          <w:tcPr>
            <w:tcW w:w="992" w:type="dxa"/>
            <w:tcBorders>
              <w:top w:val="nil"/>
              <w:left w:val="nil"/>
              <w:bottom w:val="single" w:sz="4" w:space="0" w:color="auto"/>
              <w:right w:val="single" w:sz="4" w:space="0" w:color="auto"/>
            </w:tcBorders>
            <w:shd w:val="clear" w:color="auto" w:fill="auto"/>
            <w:vAlign w:val="center"/>
          </w:tcPr>
          <w:p w:rsidR="0055491A" w:rsidRPr="00EA56A4" w:rsidRDefault="0055491A" w:rsidP="00210BF6">
            <w:pPr>
              <w:jc w:val="center"/>
              <w:rPr>
                <w:sz w:val="22"/>
                <w:szCs w:val="22"/>
              </w:rPr>
            </w:pPr>
            <w:r w:rsidRPr="00EA56A4">
              <w:rPr>
                <w:sz w:val="22"/>
                <w:szCs w:val="22"/>
              </w:rPr>
              <w:t>50,0</w:t>
            </w:r>
          </w:p>
        </w:tc>
      </w:tr>
      <w:tr w:rsidR="0055491A" w:rsidRPr="00B376AC" w:rsidTr="00210BF6">
        <w:trPr>
          <w:trHeight w:val="283"/>
        </w:trPr>
        <w:tc>
          <w:tcPr>
            <w:tcW w:w="1276" w:type="dxa"/>
            <w:vMerge/>
            <w:tcBorders>
              <w:left w:val="single" w:sz="4" w:space="0" w:color="auto"/>
              <w:right w:val="single" w:sz="4" w:space="0" w:color="auto"/>
            </w:tcBorders>
            <w:shd w:val="clear" w:color="auto" w:fill="auto"/>
            <w:vAlign w:val="center"/>
            <w:hideMark/>
          </w:tcPr>
          <w:p w:rsidR="0055491A" w:rsidRPr="00EA56A4" w:rsidRDefault="0055491A" w:rsidP="00210BF6">
            <w:pPr>
              <w:jc w:val="center"/>
              <w:rPr>
                <w:bCs/>
                <w:sz w:val="22"/>
                <w:szCs w:val="22"/>
              </w:rPr>
            </w:pPr>
          </w:p>
        </w:tc>
        <w:tc>
          <w:tcPr>
            <w:tcW w:w="992" w:type="dxa"/>
            <w:tcBorders>
              <w:top w:val="nil"/>
              <w:left w:val="nil"/>
              <w:bottom w:val="single" w:sz="4" w:space="0" w:color="auto"/>
              <w:right w:val="single" w:sz="4" w:space="0" w:color="auto"/>
            </w:tcBorders>
            <w:shd w:val="clear" w:color="auto" w:fill="auto"/>
            <w:vAlign w:val="center"/>
            <w:hideMark/>
          </w:tcPr>
          <w:p w:rsidR="0055491A" w:rsidRPr="00EA56A4" w:rsidRDefault="0055491A" w:rsidP="00210BF6">
            <w:pPr>
              <w:jc w:val="center"/>
              <w:rPr>
                <w:sz w:val="22"/>
                <w:szCs w:val="22"/>
              </w:rPr>
            </w:pPr>
            <w:r w:rsidRPr="00EA56A4">
              <w:rPr>
                <w:sz w:val="22"/>
                <w:szCs w:val="22"/>
              </w:rPr>
              <w:t>100</w:t>
            </w:r>
          </w:p>
        </w:tc>
        <w:tc>
          <w:tcPr>
            <w:tcW w:w="1418" w:type="dxa"/>
            <w:tcBorders>
              <w:top w:val="nil"/>
              <w:left w:val="nil"/>
              <w:bottom w:val="single" w:sz="4" w:space="0" w:color="auto"/>
              <w:right w:val="single" w:sz="4" w:space="0" w:color="auto"/>
            </w:tcBorders>
            <w:shd w:val="clear" w:color="auto" w:fill="auto"/>
            <w:vAlign w:val="center"/>
            <w:hideMark/>
          </w:tcPr>
          <w:p w:rsidR="0055491A" w:rsidRPr="00EA56A4" w:rsidRDefault="0055491A" w:rsidP="00210BF6">
            <w:pPr>
              <w:jc w:val="center"/>
              <w:rPr>
                <w:sz w:val="22"/>
                <w:szCs w:val="22"/>
              </w:rPr>
            </w:pPr>
            <w:r w:rsidRPr="00EA56A4">
              <w:rPr>
                <w:sz w:val="22"/>
                <w:szCs w:val="22"/>
              </w:rPr>
              <w:t>3</w:t>
            </w:r>
          </w:p>
        </w:tc>
        <w:tc>
          <w:tcPr>
            <w:tcW w:w="992" w:type="dxa"/>
            <w:tcBorders>
              <w:top w:val="nil"/>
              <w:left w:val="nil"/>
              <w:bottom w:val="single" w:sz="4" w:space="0" w:color="auto"/>
              <w:right w:val="single" w:sz="4" w:space="0" w:color="auto"/>
            </w:tcBorders>
            <w:shd w:val="clear" w:color="auto" w:fill="auto"/>
            <w:vAlign w:val="center"/>
            <w:hideMark/>
          </w:tcPr>
          <w:p w:rsidR="0055491A" w:rsidRPr="00EA56A4" w:rsidRDefault="0055491A" w:rsidP="00210BF6">
            <w:pPr>
              <w:jc w:val="center"/>
              <w:rPr>
                <w:sz w:val="22"/>
                <w:szCs w:val="22"/>
              </w:rPr>
            </w:pPr>
            <w:r w:rsidRPr="00EA56A4">
              <w:rPr>
                <w:sz w:val="22"/>
                <w:szCs w:val="22"/>
              </w:rPr>
              <w:t>300,0</w:t>
            </w:r>
          </w:p>
        </w:tc>
        <w:tc>
          <w:tcPr>
            <w:tcW w:w="1276" w:type="dxa"/>
            <w:tcBorders>
              <w:top w:val="nil"/>
              <w:left w:val="nil"/>
              <w:bottom w:val="single" w:sz="4" w:space="0" w:color="auto"/>
              <w:right w:val="single" w:sz="4" w:space="0" w:color="auto"/>
            </w:tcBorders>
            <w:shd w:val="clear" w:color="auto" w:fill="auto"/>
            <w:vAlign w:val="center"/>
            <w:hideMark/>
          </w:tcPr>
          <w:p w:rsidR="0055491A" w:rsidRPr="00EA56A4" w:rsidRDefault="0055491A" w:rsidP="00210BF6">
            <w:pPr>
              <w:jc w:val="center"/>
              <w:rPr>
                <w:sz w:val="22"/>
                <w:szCs w:val="22"/>
              </w:rPr>
            </w:pPr>
            <w:r w:rsidRPr="00EA56A4">
              <w:rPr>
                <w:sz w:val="22"/>
                <w:szCs w:val="22"/>
              </w:rPr>
              <w:t>4</w:t>
            </w:r>
          </w:p>
        </w:tc>
        <w:tc>
          <w:tcPr>
            <w:tcW w:w="992" w:type="dxa"/>
            <w:tcBorders>
              <w:top w:val="nil"/>
              <w:left w:val="nil"/>
              <w:bottom w:val="single" w:sz="4" w:space="0" w:color="auto"/>
              <w:right w:val="single" w:sz="4" w:space="0" w:color="auto"/>
            </w:tcBorders>
            <w:shd w:val="clear" w:color="auto" w:fill="auto"/>
            <w:vAlign w:val="center"/>
            <w:hideMark/>
          </w:tcPr>
          <w:p w:rsidR="0055491A" w:rsidRPr="00EA56A4" w:rsidRDefault="0055491A" w:rsidP="00210BF6">
            <w:pPr>
              <w:jc w:val="center"/>
              <w:rPr>
                <w:sz w:val="22"/>
                <w:szCs w:val="22"/>
              </w:rPr>
            </w:pPr>
            <w:r w:rsidRPr="00EA56A4">
              <w:rPr>
                <w:sz w:val="22"/>
                <w:szCs w:val="22"/>
              </w:rPr>
              <w:t>400,0</w:t>
            </w:r>
          </w:p>
        </w:tc>
        <w:tc>
          <w:tcPr>
            <w:tcW w:w="1276" w:type="dxa"/>
            <w:tcBorders>
              <w:top w:val="nil"/>
              <w:left w:val="nil"/>
              <w:bottom w:val="single" w:sz="4" w:space="0" w:color="auto"/>
              <w:right w:val="single" w:sz="4" w:space="0" w:color="auto"/>
            </w:tcBorders>
            <w:shd w:val="clear" w:color="auto" w:fill="auto"/>
            <w:vAlign w:val="center"/>
            <w:hideMark/>
          </w:tcPr>
          <w:p w:rsidR="0055491A" w:rsidRPr="00EA56A4" w:rsidRDefault="0055491A" w:rsidP="00210BF6">
            <w:pPr>
              <w:jc w:val="center"/>
              <w:rPr>
                <w:sz w:val="22"/>
                <w:szCs w:val="22"/>
              </w:rPr>
            </w:pPr>
            <w:r w:rsidRPr="00EA56A4">
              <w:rPr>
                <w:sz w:val="22"/>
                <w:szCs w:val="22"/>
              </w:rPr>
              <w:t>3</w:t>
            </w:r>
          </w:p>
        </w:tc>
        <w:tc>
          <w:tcPr>
            <w:tcW w:w="992" w:type="dxa"/>
            <w:tcBorders>
              <w:top w:val="nil"/>
              <w:left w:val="nil"/>
              <w:bottom w:val="single" w:sz="4" w:space="0" w:color="auto"/>
              <w:right w:val="single" w:sz="4" w:space="0" w:color="auto"/>
            </w:tcBorders>
            <w:shd w:val="clear" w:color="auto" w:fill="auto"/>
            <w:vAlign w:val="center"/>
            <w:hideMark/>
          </w:tcPr>
          <w:p w:rsidR="0055491A" w:rsidRPr="00EA56A4" w:rsidRDefault="0055491A" w:rsidP="00210BF6">
            <w:pPr>
              <w:jc w:val="center"/>
              <w:rPr>
                <w:sz w:val="22"/>
                <w:szCs w:val="22"/>
              </w:rPr>
            </w:pPr>
            <w:r w:rsidRPr="00EA56A4">
              <w:rPr>
                <w:sz w:val="22"/>
                <w:szCs w:val="22"/>
              </w:rPr>
              <w:t>300,0</w:t>
            </w:r>
          </w:p>
        </w:tc>
      </w:tr>
      <w:tr w:rsidR="0055491A" w:rsidRPr="00B376AC" w:rsidTr="00210BF6">
        <w:trPr>
          <w:trHeight w:val="283"/>
        </w:trPr>
        <w:tc>
          <w:tcPr>
            <w:tcW w:w="1276" w:type="dxa"/>
            <w:vMerge/>
            <w:tcBorders>
              <w:left w:val="single" w:sz="4" w:space="0" w:color="auto"/>
              <w:bottom w:val="single" w:sz="4" w:space="0" w:color="auto"/>
              <w:right w:val="single" w:sz="4" w:space="0" w:color="auto"/>
            </w:tcBorders>
            <w:shd w:val="clear" w:color="auto" w:fill="auto"/>
            <w:vAlign w:val="center"/>
          </w:tcPr>
          <w:p w:rsidR="0055491A" w:rsidRPr="00EA56A4" w:rsidRDefault="0055491A" w:rsidP="00210BF6">
            <w:pPr>
              <w:jc w:val="center"/>
              <w:rPr>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55491A" w:rsidRPr="00EA56A4" w:rsidRDefault="0055491A" w:rsidP="00210BF6">
            <w:pPr>
              <w:jc w:val="center"/>
              <w:rPr>
                <w:sz w:val="22"/>
                <w:szCs w:val="22"/>
              </w:rPr>
            </w:pPr>
            <w:r w:rsidRPr="00EA56A4">
              <w:rPr>
                <w:sz w:val="22"/>
                <w:szCs w:val="22"/>
              </w:rPr>
              <w:t>200</w:t>
            </w:r>
          </w:p>
        </w:tc>
        <w:tc>
          <w:tcPr>
            <w:tcW w:w="1418" w:type="dxa"/>
            <w:tcBorders>
              <w:top w:val="nil"/>
              <w:left w:val="nil"/>
              <w:bottom w:val="single" w:sz="4" w:space="0" w:color="auto"/>
              <w:right w:val="single" w:sz="4" w:space="0" w:color="auto"/>
            </w:tcBorders>
            <w:shd w:val="clear" w:color="auto" w:fill="auto"/>
            <w:vAlign w:val="center"/>
          </w:tcPr>
          <w:p w:rsidR="0055491A" w:rsidRPr="00EA56A4" w:rsidRDefault="0055491A" w:rsidP="00210BF6">
            <w:pPr>
              <w:jc w:val="center"/>
              <w:rPr>
                <w:sz w:val="22"/>
                <w:szCs w:val="22"/>
              </w:rPr>
            </w:pPr>
            <w:r w:rsidRPr="00EA56A4">
              <w:rPr>
                <w:sz w:val="22"/>
                <w:szCs w:val="22"/>
              </w:rPr>
              <w:t>1</w:t>
            </w:r>
          </w:p>
        </w:tc>
        <w:tc>
          <w:tcPr>
            <w:tcW w:w="992" w:type="dxa"/>
            <w:tcBorders>
              <w:top w:val="nil"/>
              <w:left w:val="nil"/>
              <w:bottom w:val="single" w:sz="4" w:space="0" w:color="auto"/>
              <w:right w:val="single" w:sz="4" w:space="0" w:color="auto"/>
            </w:tcBorders>
            <w:shd w:val="clear" w:color="auto" w:fill="auto"/>
            <w:vAlign w:val="center"/>
          </w:tcPr>
          <w:p w:rsidR="0055491A" w:rsidRPr="00EA56A4" w:rsidRDefault="0055491A" w:rsidP="00210BF6">
            <w:pPr>
              <w:jc w:val="center"/>
              <w:rPr>
                <w:sz w:val="22"/>
                <w:szCs w:val="22"/>
              </w:rPr>
            </w:pPr>
            <w:r w:rsidRPr="00EA56A4">
              <w:rPr>
                <w:sz w:val="22"/>
                <w:szCs w:val="22"/>
              </w:rPr>
              <w:t>200,0</w:t>
            </w:r>
          </w:p>
        </w:tc>
        <w:tc>
          <w:tcPr>
            <w:tcW w:w="1276" w:type="dxa"/>
            <w:tcBorders>
              <w:top w:val="nil"/>
              <w:left w:val="nil"/>
              <w:bottom w:val="single" w:sz="4" w:space="0" w:color="auto"/>
              <w:right w:val="single" w:sz="4" w:space="0" w:color="auto"/>
            </w:tcBorders>
            <w:shd w:val="clear" w:color="auto" w:fill="auto"/>
            <w:vAlign w:val="center"/>
          </w:tcPr>
          <w:p w:rsidR="0055491A" w:rsidRPr="00EA56A4" w:rsidRDefault="0055491A" w:rsidP="00210BF6">
            <w:pPr>
              <w:jc w:val="center"/>
              <w:rPr>
                <w:sz w:val="22"/>
                <w:szCs w:val="22"/>
              </w:rPr>
            </w:pPr>
            <w:r w:rsidRPr="00EA56A4">
              <w:rPr>
                <w:sz w:val="22"/>
                <w:szCs w:val="22"/>
              </w:rPr>
              <w:t>1</w:t>
            </w:r>
          </w:p>
        </w:tc>
        <w:tc>
          <w:tcPr>
            <w:tcW w:w="992" w:type="dxa"/>
            <w:tcBorders>
              <w:top w:val="nil"/>
              <w:left w:val="nil"/>
              <w:bottom w:val="single" w:sz="4" w:space="0" w:color="auto"/>
              <w:right w:val="single" w:sz="4" w:space="0" w:color="auto"/>
            </w:tcBorders>
            <w:shd w:val="clear" w:color="auto" w:fill="auto"/>
            <w:vAlign w:val="center"/>
          </w:tcPr>
          <w:p w:rsidR="0055491A" w:rsidRPr="00EA56A4" w:rsidRDefault="0055491A" w:rsidP="00210BF6">
            <w:pPr>
              <w:jc w:val="center"/>
              <w:rPr>
                <w:sz w:val="22"/>
                <w:szCs w:val="22"/>
              </w:rPr>
            </w:pPr>
            <w:r w:rsidRPr="00EA56A4">
              <w:rPr>
                <w:sz w:val="22"/>
                <w:szCs w:val="22"/>
              </w:rPr>
              <w:t>200,0</w:t>
            </w:r>
          </w:p>
        </w:tc>
        <w:tc>
          <w:tcPr>
            <w:tcW w:w="1276" w:type="dxa"/>
            <w:tcBorders>
              <w:top w:val="nil"/>
              <w:left w:val="nil"/>
              <w:bottom w:val="single" w:sz="4" w:space="0" w:color="auto"/>
              <w:right w:val="single" w:sz="4" w:space="0" w:color="auto"/>
            </w:tcBorders>
            <w:shd w:val="clear" w:color="auto" w:fill="auto"/>
            <w:vAlign w:val="center"/>
          </w:tcPr>
          <w:p w:rsidR="0055491A" w:rsidRPr="00EA56A4" w:rsidRDefault="0055491A" w:rsidP="00210BF6">
            <w:pPr>
              <w:jc w:val="center"/>
              <w:rPr>
                <w:sz w:val="22"/>
                <w:szCs w:val="22"/>
              </w:rPr>
            </w:pPr>
            <w:r w:rsidRPr="00EA56A4">
              <w:rPr>
                <w:sz w:val="22"/>
                <w:szCs w:val="22"/>
              </w:rPr>
              <w:t>1</w:t>
            </w:r>
          </w:p>
        </w:tc>
        <w:tc>
          <w:tcPr>
            <w:tcW w:w="992" w:type="dxa"/>
            <w:tcBorders>
              <w:top w:val="nil"/>
              <w:left w:val="nil"/>
              <w:bottom w:val="single" w:sz="4" w:space="0" w:color="auto"/>
              <w:right w:val="single" w:sz="4" w:space="0" w:color="auto"/>
            </w:tcBorders>
            <w:shd w:val="clear" w:color="auto" w:fill="auto"/>
            <w:vAlign w:val="center"/>
          </w:tcPr>
          <w:p w:rsidR="0055491A" w:rsidRPr="00EA56A4" w:rsidRDefault="0055491A" w:rsidP="00210BF6">
            <w:pPr>
              <w:jc w:val="center"/>
              <w:rPr>
                <w:sz w:val="22"/>
                <w:szCs w:val="22"/>
              </w:rPr>
            </w:pPr>
            <w:r w:rsidRPr="00EA56A4">
              <w:rPr>
                <w:sz w:val="22"/>
                <w:szCs w:val="22"/>
              </w:rPr>
              <w:t>200,0</w:t>
            </w:r>
          </w:p>
        </w:tc>
      </w:tr>
      <w:tr w:rsidR="0055491A" w:rsidRPr="00B376AC" w:rsidTr="00210BF6">
        <w:trPr>
          <w:trHeight w:val="283"/>
        </w:trPr>
        <w:tc>
          <w:tcPr>
            <w:tcW w:w="1276" w:type="dxa"/>
            <w:tcBorders>
              <w:top w:val="nil"/>
              <w:left w:val="single" w:sz="4" w:space="0" w:color="auto"/>
              <w:bottom w:val="single" w:sz="4" w:space="0" w:color="auto"/>
              <w:right w:val="single" w:sz="4" w:space="0" w:color="auto"/>
            </w:tcBorders>
            <w:shd w:val="clear" w:color="auto" w:fill="auto"/>
            <w:vAlign w:val="center"/>
          </w:tcPr>
          <w:p w:rsidR="0055491A" w:rsidRPr="00EA56A4" w:rsidRDefault="0055491A" w:rsidP="00210BF6">
            <w:pPr>
              <w:jc w:val="center"/>
              <w:rPr>
                <w:bCs/>
                <w:sz w:val="22"/>
                <w:szCs w:val="22"/>
              </w:rPr>
            </w:pPr>
            <w:r w:rsidRPr="00EA56A4">
              <w:rPr>
                <w:bCs/>
                <w:sz w:val="22"/>
                <w:szCs w:val="22"/>
              </w:rPr>
              <w:t>ст. 9.4 ч. 2</w:t>
            </w:r>
          </w:p>
        </w:tc>
        <w:tc>
          <w:tcPr>
            <w:tcW w:w="992" w:type="dxa"/>
            <w:tcBorders>
              <w:top w:val="nil"/>
              <w:left w:val="nil"/>
              <w:bottom w:val="single" w:sz="4" w:space="0" w:color="auto"/>
              <w:right w:val="single" w:sz="4" w:space="0" w:color="auto"/>
            </w:tcBorders>
            <w:shd w:val="clear" w:color="auto" w:fill="auto"/>
            <w:vAlign w:val="center"/>
          </w:tcPr>
          <w:p w:rsidR="0055491A" w:rsidRPr="00EA56A4" w:rsidRDefault="0055491A" w:rsidP="00210BF6">
            <w:pPr>
              <w:jc w:val="center"/>
              <w:rPr>
                <w:sz w:val="22"/>
                <w:szCs w:val="22"/>
              </w:rPr>
            </w:pPr>
            <w:r w:rsidRPr="00EA56A4">
              <w:rPr>
                <w:sz w:val="22"/>
                <w:szCs w:val="22"/>
              </w:rPr>
              <w:t>2</w:t>
            </w:r>
          </w:p>
        </w:tc>
        <w:tc>
          <w:tcPr>
            <w:tcW w:w="1418" w:type="dxa"/>
            <w:tcBorders>
              <w:top w:val="nil"/>
              <w:left w:val="nil"/>
              <w:bottom w:val="single" w:sz="4" w:space="0" w:color="auto"/>
              <w:right w:val="single" w:sz="4" w:space="0" w:color="auto"/>
            </w:tcBorders>
            <w:shd w:val="clear" w:color="auto" w:fill="auto"/>
            <w:vAlign w:val="center"/>
          </w:tcPr>
          <w:p w:rsidR="0055491A" w:rsidRPr="00EA56A4" w:rsidRDefault="0055491A" w:rsidP="00210BF6">
            <w:pPr>
              <w:jc w:val="center"/>
              <w:rPr>
                <w:color w:val="000000"/>
                <w:sz w:val="22"/>
                <w:szCs w:val="22"/>
              </w:rPr>
            </w:pPr>
            <w:r w:rsidRPr="00EA56A4">
              <w:rPr>
                <w:color w:val="000000"/>
                <w:sz w:val="22"/>
                <w:szCs w:val="22"/>
              </w:rPr>
              <w:t>1</w:t>
            </w:r>
          </w:p>
        </w:tc>
        <w:tc>
          <w:tcPr>
            <w:tcW w:w="992" w:type="dxa"/>
            <w:tcBorders>
              <w:top w:val="nil"/>
              <w:left w:val="nil"/>
              <w:bottom w:val="single" w:sz="4" w:space="0" w:color="auto"/>
              <w:right w:val="single" w:sz="4" w:space="0" w:color="auto"/>
            </w:tcBorders>
            <w:shd w:val="clear" w:color="auto" w:fill="auto"/>
            <w:vAlign w:val="center"/>
          </w:tcPr>
          <w:p w:rsidR="0055491A" w:rsidRPr="00EA56A4" w:rsidRDefault="0055491A" w:rsidP="00210BF6">
            <w:pPr>
              <w:jc w:val="center"/>
              <w:rPr>
                <w:color w:val="000000"/>
                <w:sz w:val="22"/>
                <w:szCs w:val="22"/>
              </w:rPr>
            </w:pPr>
            <w:r w:rsidRPr="00EA56A4">
              <w:rPr>
                <w:color w:val="000000"/>
                <w:sz w:val="22"/>
                <w:szCs w:val="22"/>
              </w:rPr>
              <w:t>2,0</w:t>
            </w:r>
          </w:p>
        </w:tc>
        <w:tc>
          <w:tcPr>
            <w:tcW w:w="1276" w:type="dxa"/>
            <w:tcBorders>
              <w:top w:val="nil"/>
              <w:left w:val="nil"/>
              <w:bottom w:val="single" w:sz="4" w:space="0" w:color="auto"/>
              <w:right w:val="single" w:sz="4" w:space="0" w:color="auto"/>
            </w:tcBorders>
            <w:shd w:val="clear" w:color="auto" w:fill="auto"/>
            <w:vAlign w:val="center"/>
          </w:tcPr>
          <w:p w:rsidR="0055491A" w:rsidRPr="00EA56A4" w:rsidRDefault="0055491A" w:rsidP="00210BF6">
            <w:pPr>
              <w:jc w:val="center"/>
              <w:rPr>
                <w:color w:val="000000"/>
                <w:sz w:val="22"/>
                <w:szCs w:val="22"/>
              </w:rPr>
            </w:pPr>
            <w:r w:rsidRPr="00EA56A4">
              <w:rPr>
                <w:color w:val="000000"/>
                <w:sz w:val="22"/>
                <w:szCs w:val="22"/>
              </w:rPr>
              <w:t>1</w:t>
            </w:r>
          </w:p>
        </w:tc>
        <w:tc>
          <w:tcPr>
            <w:tcW w:w="992" w:type="dxa"/>
            <w:tcBorders>
              <w:top w:val="nil"/>
              <w:left w:val="nil"/>
              <w:bottom w:val="single" w:sz="4" w:space="0" w:color="auto"/>
              <w:right w:val="single" w:sz="4" w:space="0" w:color="auto"/>
            </w:tcBorders>
            <w:shd w:val="clear" w:color="auto" w:fill="auto"/>
            <w:vAlign w:val="center"/>
          </w:tcPr>
          <w:p w:rsidR="0055491A" w:rsidRPr="00EA56A4" w:rsidRDefault="0055491A" w:rsidP="00210BF6">
            <w:pPr>
              <w:jc w:val="center"/>
              <w:rPr>
                <w:color w:val="000000"/>
                <w:sz w:val="22"/>
                <w:szCs w:val="22"/>
              </w:rPr>
            </w:pPr>
            <w:r w:rsidRPr="00EA56A4">
              <w:rPr>
                <w:color w:val="000000"/>
                <w:sz w:val="22"/>
                <w:szCs w:val="22"/>
              </w:rPr>
              <w:t>2,0</w:t>
            </w:r>
          </w:p>
        </w:tc>
        <w:tc>
          <w:tcPr>
            <w:tcW w:w="1276" w:type="dxa"/>
            <w:tcBorders>
              <w:top w:val="nil"/>
              <w:left w:val="nil"/>
              <w:bottom w:val="single" w:sz="4" w:space="0" w:color="auto"/>
              <w:right w:val="single" w:sz="4" w:space="0" w:color="auto"/>
            </w:tcBorders>
            <w:shd w:val="clear" w:color="auto" w:fill="auto"/>
            <w:vAlign w:val="center"/>
          </w:tcPr>
          <w:p w:rsidR="0055491A" w:rsidRPr="00EA56A4" w:rsidRDefault="0055491A" w:rsidP="00210BF6">
            <w:pPr>
              <w:jc w:val="center"/>
              <w:rPr>
                <w:color w:val="000000"/>
                <w:sz w:val="22"/>
                <w:szCs w:val="22"/>
              </w:rPr>
            </w:pPr>
            <w:r w:rsidRPr="00EA56A4">
              <w:rPr>
                <w:color w:val="000000"/>
                <w:sz w:val="22"/>
                <w:szCs w:val="22"/>
              </w:rPr>
              <w:t>1</w:t>
            </w:r>
          </w:p>
        </w:tc>
        <w:tc>
          <w:tcPr>
            <w:tcW w:w="992" w:type="dxa"/>
            <w:tcBorders>
              <w:top w:val="nil"/>
              <w:left w:val="nil"/>
              <w:bottom w:val="single" w:sz="4" w:space="0" w:color="auto"/>
              <w:right w:val="single" w:sz="4" w:space="0" w:color="auto"/>
            </w:tcBorders>
            <w:shd w:val="clear" w:color="auto" w:fill="auto"/>
            <w:vAlign w:val="center"/>
          </w:tcPr>
          <w:p w:rsidR="0055491A" w:rsidRPr="00EA56A4" w:rsidRDefault="0055491A" w:rsidP="00210BF6">
            <w:pPr>
              <w:jc w:val="center"/>
              <w:rPr>
                <w:color w:val="000000"/>
                <w:sz w:val="22"/>
                <w:szCs w:val="22"/>
              </w:rPr>
            </w:pPr>
            <w:r w:rsidRPr="00EA56A4">
              <w:rPr>
                <w:color w:val="000000"/>
                <w:sz w:val="22"/>
                <w:szCs w:val="22"/>
              </w:rPr>
              <w:t>2,0</w:t>
            </w:r>
          </w:p>
        </w:tc>
      </w:tr>
      <w:tr w:rsidR="0055491A" w:rsidRPr="00B376AC" w:rsidTr="00210BF6">
        <w:trPr>
          <w:trHeight w:val="283"/>
        </w:trPr>
        <w:tc>
          <w:tcPr>
            <w:tcW w:w="1276" w:type="dxa"/>
            <w:vMerge w:val="restart"/>
            <w:tcBorders>
              <w:top w:val="nil"/>
              <w:left w:val="single" w:sz="4" w:space="0" w:color="auto"/>
              <w:right w:val="single" w:sz="4" w:space="0" w:color="auto"/>
            </w:tcBorders>
            <w:shd w:val="clear" w:color="auto" w:fill="auto"/>
            <w:vAlign w:val="center"/>
            <w:hideMark/>
          </w:tcPr>
          <w:p w:rsidR="0055491A" w:rsidRPr="00EA56A4" w:rsidRDefault="0055491A" w:rsidP="00210BF6">
            <w:pPr>
              <w:jc w:val="center"/>
              <w:rPr>
                <w:bCs/>
                <w:sz w:val="22"/>
                <w:szCs w:val="22"/>
              </w:rPr>
            </w:pPr>
            <w:r w:rsidRPr="00EA56A4">
              <w:rPr>
                <w:bCs/>
                <w:sz w:val="22"/>
                <w:szCs w:val="22"/>
              </w:rPr>
              <w:t>ст. 9.5 ч. 1</w:t>
            </w:r>
          </w:p>
          <w:p w:rsidR="0055491A" w:rsidRPr="00EA56A4" w:rsidRDefault="0055491A" w:rsidP="00210BF6">
            <w:pPr>
              <w:jc w:val="center"/>
              <w:rPr>
                <w:bCs/>
                <w:sz w:val="22"/>
                <w:szCs w:val="22"/>
              </w:rPr>
            </w:pPr>
          </w:p>
        </w:tc>
        <w:tc>
          <w:tcPr>
            <w:tcW w:w="992" w:type="dxa"/>
            <w:tcBorders>
              <w:top w:val="nil"/>
              <w:left w:val="nil"/>
              <w:bottom w:val="single" w:sz="4" w:space="0" w:color="auto"/>
              <w:right w:val="single" w:sz="4" w:space="0" w:color="auto"/>
            </w:tcBorders>
            <w:shd w:val="clear" w:color="auto" w:fill="auto"/>
            <w:vAlign w:val="center"/>
            <w:hideMark/>
          </w:tcPr>
          <w:p w:rsidR="0055491A" w:rsidRPr="00EA56A4" w:rsidRDefault="0055491A" w:rsidP="00210BF6">
            <w:pPr>
              <w:jc w:val="center"/>
              <w:rPr>
                <w:sz w:val="22"/>
                <w:szCs w:val="22"/>
              </w:rPr>
            </w:pPr>
            <w:r w:rsidRPr="00EA56A4">
              <w:rPr>
                <w:sz w:val="22"/>
                <w:szCs w:val="22"/>
              </w:rPr>
              <w:t>2</w:t>
            </w:r>
          </w:p>
        </w:tc>
        <w:tc>
          <w:tcPr>
            <w:tcW w:w="1418" w:type="dxa"/>
            <w:tcBorders>
              <w:top w:val="nil"/>
              <w:left w:val="nil"/>
              <w:bottom w:val="single" w:sz="4" w:space="0" w:color="auto"/>
              <w:right w:val="single" w:sz="4" w:space="0" w:color="auto"/>
            </w:tcBorders>
            <w:shd w:val="clear" w:color="auto" w:fill="auto"/>
            <w:vAlign w:val="center"/>
            <w:hideMark/>
          </w:tcPr>
          <w:p w:rsidR="0055491A" w:rsidRPr="00EA56A4" w:rsidRDefault="0055491A" w:rsidP="00210BF6">
            <w:pPr>
              <w:jc w:val="center"/>
              <w:rPr>
                <w:sz w:val="22"/>
                <w:szCs w:val="22"/>
              </w:rPr>
            </w:pPr>
            <w:r w:rsidRPr="00EA56A4">
              <w:rPr>
                <w:sz w:val="22"/>
                <w:szCs w:val="22"/>
              </w:rPr>
              <w:t>9</w:t>
            </w:r>
          </w:p>
        </w:tc>
        <w:tc>
          <w:tcPr>
            <w:tcW w:w="992" w:type="dxa"/>
            <w:tcBorders>
              <w:top w:val="nil"/>
              <w:left w:val="nil"/>
              <w:bottom w:val="single" w:sz="4" w:space="0" w:color="auto"/>
              <w:right w:val="single" w:sz="4" w:space="0" w:color="auto"/>
            </w:tcBorders>
            <w:shd w:val="clear" w:color="auto" w:fill="auto"/>
            <w:vAlign w:val="center"/>
            <w:hideMark/>
          </w:tcPr>
          <w:p w:rsidR="0055491A" w:rsidRPr="00EA56A4" w:rsidRDefault="0055491A" w:rsidP="00210BF6">
            <w:pPr>
              <w:jc w:val="center"/>
              <w:rPr>
                <w:sz w:val="22"/>
                <w:szCs w:val="22"/>
              </w:rPr>
            </w:pPr>
            <w:r w:rsidRPr="00EA56A4">
              <w:rPr>
                <w:sz w:val="22"/>
                <w:szCs w:val="22"/>
              </w:rPr>
              <w:t>18,0</w:t>
            </w:r>
          </w:p>
        </w:tc>
        <w:tc>
          <w:tcPr>
            <w:tcW w:w="1276" w:type="dxa"/>
            <w:tcBorders>
              <w:top w:val="nil"/>
              <w:left w:val="nil"/>
              <w:bottom w:val="single" w:sz="4" w:space="0" w:color="auto"/>
              <w:right w:val="single" w:sz="4" w:space="0" w:color="auto"/>
            </w:tcBorders>
            <w:shd w:val="clear" w:color="auto" w:fill="auto"/>
            <w:vAlign w:val="center"/>
            <w:hideMark/>
          </w:tcPr>
          <w:p w:rsidR="0055491A" w:rsidRPr="00EA56A4" w:rsidRDefault="0055491A" w:rsidP="00210BF6">
            <w:pPr>
              <w:jc w:val="center"/>
              <w:rPr>
                <w:sz w:val="22"/>
                <w:szCs w:val="22"/>
              </w:rPr>
            </w:pPr>
            <w:r w:rsidRPr="00EA56A4">
              <w:rPr>
                <w:sz w:val="22"/>
                <w:szCs w:val="22"/>
              </w:rPr>
              <w:t>8</w:t>
            </w:r>
          </w:p>
        </w:tc>
        <w:tc>
          <w:tcPr>
            <w:tcW w:w="992" w:type="dxa"/>
            <w:tcBorders>
              <w:top w:val="nil"/>
              <w:left w:val="nil"/>
              <w:bottom w:val="single" w:sz="4" w:space="0" w:color="auto"/>
              <w:right w:val="single" w:sz="4" w:space="0" w:color="auto"/>
            </w:tcBorders>
            <w:shd w:val="clear" w:color="auto" w:fill="auto"/>
            <w:vAlign w:val="center"/>
            <w:hideMark/>
          </w:tcPr>
          <w:p w:rsidR="0055491A" w:rsidRPr="00EA56A4" w:rsidRDefault="0055491A" w:rsidP="00210BF6">
            <w:pPr>
              <w:jc w:val="center"/>
              <w:rPr>
                <w:sz w:val="22"/>
                <w:szCs w:val="22"/>
              </w:rPr>
            </w:pPr>
            <w:r w:rsidRPr="00EA56A4">
              <w:rPr>
                <w:sz w:val="22"/>
                <w:szCs w:val="22"/>
              </w:rPr>
              <w:t>16,0</w:t>
            </w:r>
          </w:p>
        </w:tc>
        <w:tc>
          <w:tcPr>
            <w:tcW w:w="1276" w:type="dxa"/>
            <w:tcBorders>
              <w:top w:val="nil"/>
              <w:left w:val="nil"/>
              <w:bottom w:val="single" w:sz="4" w:space="0" w:color="auto"/>
              <w:right w:val="single" w:sz="4" w:space="0" w:color="auto"/>
            </w:tcBorders>
            <w:shd w:val="clear" w:color="auto" w:fill="auto"/>
            <w:vAlign w:val="center"/>
            <w:hideMark/>
          </w:tcPr>
          <w:p w:rsidR="0055491A" w:rsidRPr="00EA56A4" w:rsidRDefault="0055491A" w:rsidP="00210BF6">
            <w:pPr>
              <w:jc w:val="center"/>
              <w:rPr>
                <w:sz w:val="22"/>
                <w:szCs w:val="22"/>
              </w:rPr>
            </w:pPr>
            <w:r w:rsidRPr="00EA56A4">
              <w:rPr>
                <w:sz w:val="22"/>
                <w:szCs w:val="22"/>
              </w:rPr>
              <w:t>9</w:t>
            </w:r>
          </w:p>
        </w:tc>
        <w:tc>
          <w:tcPr>
            <w:tcW w:w="992" w:type="dxa"/>
            <w:tcBorders>
              <w:top w:val="nil"/>
              <w:left w:val="nil"/>
              <w:bottom w:val="single" w:sz="4" w:space="0" w:color="auto"/>
              <w:right w:val="single" w:sz="4" w:space="0" w:color="auto"/>
            </w:tcBorders>
            <w:shd w:val="clear" w:color="auto" w:fill="auto"/>
            <w:vAlign w:val="center"/>
            <w:hideMark/>
          </w:tcPr>
          <w:p w:rsidR="0055491A" w:rsidRPr="00EA56A4" w:rsidRDefault="0055491A" w:rsidP="00210BF6">
            <w:pPr>
              <w:jc w:val="center"/>
              <w:rPr>
                <w:sz w:val="22"/>
                <w:szCs w:val="22"/>
              </w:rPr>
            </w:pPr>
            <w:r w:rsidRPr="00EA56A4">
              <w:rPr>
                <w:sz w:val="22"/>
                <w:szCs w:val="22"/>
              </w:rPr>
              <w:t>18,0</w:t>
            </w:r>
          </w:p>
        </w:tc>
      </w:tr>
      <w:tr w:rsidR="0055491A" w:rsidRPr="00B376AC" w:rsidTr="00210BF6">
        <w:trPr>
          <w:trHeight w:val="283"/>
        </w:trPr>
        <w:tc>
          <w:tcPr>
            <w:tcW w:w="1276" w:type="dxa"/>
            <w:vMerge/>
            <w:tcBorders>
              <w:left w:val="single" w:sz="4" w:space="0" w:color="auto"/>
              <w:right w:val="single" w:sz="4" w:space="0" w:color="auto"/>
            </w:tcBorders>
            <w:shd w:val="clear" w:color="auto" w:fill="auto"/>
            <w:vAlign w:val="center"/>
          </w:tcPr>
          <w:p w:rsidR="0055491A" w:rsidRPr="00EA56A4" w:rsidRDefault="0055491A" w:rsidP="00210BF6">
            <w:pPr>
              <w:jc w:val="center"/>
              <w:rPr>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55491A" w:rsidRPr="00EA56A4" w:rsidRDefault="0055491A" w:rsidP="00210BF6">
            <w:pPr>
              <w:jc w:val="center"/>
              <w:rPr>
                <w:sz w:val="22"/>
                <w:szCs w:val="22"/>
              </w:rPr>
            </w:pPr>
            <w:r w:rsidRPr="00EA56A4">
              <w:rPr>
                <w:sz w:val="22"/>
                <w:szCs w:val="22"/>
              </w:rPr>
              <w:t>5</w:t>
            </w:r>
          </w:p>
        </w:tc>
        <w:tc>
          <w:tcPr>
            <w:tcW w:w="1418" w:type="dxa"/>
            <w:tcBorders>
              <w:top w:val="nil"/>
              <w:left w:val="nil"/>
              <w:bottom w:val="single" w:sz="4" w:space="0" w:color="auto"/>
              <w:right w:val="single" w:sz="4" w:space="0" w:color="auto"/>
            </w:tcBorders>
            <w:shd w:val="clear" w:color="auto" w:fill="auto"/>
            <w:vAlign w:val="center"/>
          </w:tcPr>
          <w:p w:rsidR="0055491A" w:rsidRPr="00EA56A4" w:rsidRDefault="0055491A" w:rsidP="00210BF6">
            <w:pPr>
              <w:jc w:val="center"/>
              <w:rPr>
                <w:sz w:val="22"/>
                <w:szCs w:val="22"/>
              </w:rPr>
            </w:pPr>
            <w:r w:rsidRPr="00EA56A4">
              <w:rPr>
                <w:sz w:val="22"/>
                <w:szCs w:val="22"/>
              </w:rPr>
              <w:t>1</w:t>
            </w:r>
          </w:p>
        </w:tc>
        <w:tc>
          <w:tcPr>
            <w:tcW w:w="992" w:type="dxa"/>
            <w:tcBorders>
              <w:top w:val="nil"/>
              <w:left w:val="nil"/>
              <w:bottom w:val="single" w:sz="4" w:space="0" w:color="auto"/>
              <w:right w:val="single" w:sz="4" w:space="0" w:color="auto"/>
            </w:tcBorders>
            <w:shd w:val="clear" w:color="auto" w:fill="auto"/>
            <w:vAlign w:val="center"/>
          </w:tcPr>
          <w:p w:rsidR="0055491A" w:rsidRPr="00EA56A4" w:rsidRDefault="0055491A" w:rsidP="00210BF6">
            <w:pPr>
              <w:jc w:val="center"/>
              <w:rPr>
                <w:sz w:val="22"/>
                <w:szCs w:val="22"/>
              </w:rPr>
            </w:pPr>
            <w:r w:rsidRPr="00EA56A4">
              <w:rPr>
                <w:sz w:val="22"/>
                <w:szCs w:val="22"/>
              </w:rPr>
              <w:t>5,0</w:t>
            </w:r>
          </w:p>
        </w:tc>
        <w:tc>
          <w:tcPr>
            <w:tcW w:w="1276" w:type="dxa"/>
            <w:tcBorders>
              <w:top w:val="nil"/>
              <w:left w:val="nil"/>
              <w:bottom w:val="single" w:sz="4" w:space="0" w:color="auto"/>
              <w:right w:val="single" w:sz="4" w:space="0" w:color="auto"/>
            </w:tcBorders>
            <w:shd w:val="clear" w:color="auto" w:fill="auto"/>
            <w:vAlign w:val="center"/>
          </w:tcPr>
          <w:p w:rsidR="0055491A" w:rsidRPr="00EA56A4" w:rsidRDefault="0055491A" w:rsidP="00210BF6">
            <w:pPr>
              <w:jc w:val="center"/>
              <w:rPr>
                <w:sz w:val="22"/>
                <w:szCs w:val="22"/>
              </w:rPr>
            </w:pPr>
            <w:r w:rsidRPr="00EA56A4">
              <w:rPr>
                <w:sz w:val="22"/>
                <w:szCs w:val="22"/>
              </w:rPr>
              <w:t>1</w:t>
            </w:r>
          </w:p>
        </w:tc>
        <w:tc>
          <w:tcPr>
            <w:tcW w:w="992" w:type="dxa"/>
            <w:tcBorders>
              <w:top w:val="nil"/>
              <w:left w:val="nil"/>
              <w:bottom w:val="single" w:sz="4" w:space="0" w:color="auto"/>
              <w:right w:val="single" w:sz="4" w:space="0" w:color="auto"/>
            </w:tcBorders>
            <w:shd w:val="clear" w:color="auto" w:fill="auto"/>
            <w:vAlign w:val="center"/>
          </w:tcPr>
          <w:p w:rsidR="0055491A" w:rsidRPr="00EA56A4" w:rsidRDefault="0055491A" w:rsidP="00210BF6">
            <w:pPr>
              <w:jc w:val="center"/>
              <w:rPr>
                <w:sz w:val="22"/>
                <w:szCs w:val="22"/>
              </w:rPr>
            </w:pPr>
            <w:r w:rsidRPr="00EA56A4">
              <w:rPr>
                <w:sz w:val="22"/>
                <w:szCs w:val="22"/>
              </w:rPr>
              <w:t>5,0</w:t>
            </w:r>
          </w:p>
        </w:tc>
        <w:tc>
          <w:tcPr>
            <w:tcW w:w="1276" w:type="dxa"/>
            <w:tcBorders>
              <w:top w:val="nil"/>
              <w:left w:val="nil"/>
              <w:bottom w:val="single" w:sz="4" w:space="0" w:color="auto"/>
              <w:right w:val="single" w:sz="4" w:space="0" w:color="auto"/>
            </w:tcBorders>
            <w:shd w:val="clear" w:color="auto" w:fill="auto"/>
            <w:vAlign w:val="center"/>
          </w:tcPr>
          <w:p w:rsidR="0055491A" w:rsidRPr="00EA56A4" w:rsidRDefault="0055491A" w:rsidP="00210BF6">
            <w:pPr>
              <w:jc w:val="center"/>
              <w:rPr>
                <w:sz w:val="22"/>
                <w:szCs w:val="22"/>
              </w:rPr>
            </w:pPr>
            <w:r w:rsidRPr="00EA56A4">
              <w:rPr>
                <w:sz w:val="22"/>
                <w:szCs w:val="22"/>
              </w:rPr>
              <w:t>1</w:t>
            </w:r>
          </w:p>
        </w:tc>
        <w:tc>
          <w:tcPr>
            <w:tcW w:w="992" w:type="dxa"/>
            <w:tcBorders>
              <w:top w:val="nil"/>
              <w:left w:val="nil"/>
              <w:bottom w:val="single" w:sz="4" w:space="0" w:color="auto"/>
              <w:right w:val="single" w:sz="4" w:space="0" w:color="auto"/>
            </w:tcBorders>
            <w:shd w:val="clear" w:color="auto" w:fill="auto"/>
            <w:vAlign w:val="center"/>
          </w:tcPr>
          <w:p w:rsidR="0055491A" w:rsidRPr="00EA56A4" w:rsidRDefault="0055491A" w:rsidP="00210BF6">
            <w:pPr>
              <w:jc w:val="center"/>
              <w:rPr>
                <w:sz w:val="22"/>
                <w:szCs w:val="22"/>
              </w:rPr>
            </w:pPr>
            <w:r w:rsidRPr="00EA56A4">
              <w:rPr>
                <w:sz w:val="22"/>
                <w:szCs w:val="22"/>
              </w:rPr>
              <w:t>5,0</w:t>
            </w:r>
          </w:p>
        </w:tc>
      </w:tr>
      <w:tr w:rsidR="0055491A" w:rsidRPr="00B376AC" w:rsidTr="00210BF6">
        <w:trPr>
          <w:trHeight w:val="283"/>
        </w:trPr>
        <w:tc>
          <w:tcPr>
            <w:tcW w:w="1276" w:type="dxa"/>
            <w:vMerge/>
            <w:tcBorders>
              <w:left w:val="single" w:sz="4" w:space="0" w:color="auto"/>
              <w:right w:val="single" w:sz="4" w:space="0" w:color="auto"/>
            </w:tcBorders>
            <w:shd w:val="clear" w:color="auto" w:fill="auto"/>
            <w:vAlign w:val="center"/>
            <w:hideMark/>
          </w:tcPr>
          <w:p w:rsidR="0055491A" w:rsidRPr="00EA56A4" w:rsidRDefault="0055491A" w:rsidP="00210BF6">
            <w:pPr>
              <w:jc w:val="center"/>
              <w:rPr>
                <w:bCs/>
                <w:sz w:val="22"/>
                <w:szCs w:val="22"/>
              </w:rPr>
            </w:pPr>
          </w:p>
        </w:tc>
        <w:tc>
          <w:tcPr>
            <w:tcW w:w="992" w:type="dxa"/>
            <w:tcBorders>
              <w:top w:val="nil"/>
              <w:left w:val="nil"/>
              <w:bottom w:val="single" w:sz="4" w:space="0" w:color="auto"/>
              <w:right w:val="single" w:sz="4" w:space="0" w:color="auto"/>
            </w:tcBorders>
            <w:shd w:val="clear" w:color="auto" w:fill="auto"/>
            <w:vAlign w:val="center"/>
            <w:hideMark/>
          </w:tcPr>
          <w:p w:rsidR="0055491A" w:rsidRPr="00EA56A4" w:rsidRDefault="0055491A" w:rsidP="00210BF6">
            <w:pPr>
              <w:jc w:val="center"/>
              <w:rPr>
                <w:sz w:val="22"/>
                <w:szCs w:val="22"/>
              </w:rPr>
            </w:pPr>
            <w:r w:rsidRPr="00EA56A4">
              <w:rPr>
                <w:sz w:val="22"/>
                <w:szCs w:val="22"/>
              </w:rPr>
              <w:t>20</w:t>
            </w:r>
          </w:p>
        </w:tc>
        <w:tc>
          <w:tcPr>
            <w:tcW w:w="1418" w:type="dxa"/>
            <w:tcBorders>
              <w:top w:val="nil"/>
              <w:left w:val="nil"/>
              <w:bottom w:val="single" w:sz="4" w:space="0" w:color="auto"/>
              <w:right w:val="single" w:sz="4" w:space="0" w:color="auto"/>
            </w:tcBorders>
            <w:shd w:val="clear" w:color="auto" w:fill="auto"/>
            <w:vAlign w:val="center"/>
            <w:hideMark/>
          </w:tcPr>
          <w:p w:rsidR="0055491A" w:rsidRPr="00EA56A4" w:rsidRDefault="0055491A" w:rsidP="00210BF6">
            <w:pPr>
              <w:jc w:val="center"/>
              <w:rPr>
                <w:sz w:val="22"/>
                <w:szCs w:val="22"/>
              </w:rPr>
            </w:pPr>
            <w:r w:rsidRPr="00EA56A4">
              <w:rPr>
                <w:sz w:val="22"/>
                <w:szCs w:val="22"/>
              </w:rPr>
              <w:t>1</w:t>
            </w:r>
          </w:p>
        </w:tc>
        <w:tc>
          <w:tcPr>
            <w:tcW w:w="992" w:type="dxa"/>
            <w:tcBorders>
              <w:top w:val="nil"/>
              <w:left w:val="nil"/>
              <w:bottom w:val="single" w:sz="4" w:space="0" w:color="auto"/>
              <w:right w:val="single" w:sz="4" w:space="0" w:color="auto"/>
            </w:tcBorders>
            <w:shd w:val="clear" w:color="auto" w:fill="auto"/>
            <w:vAlign w:val="center"/>
            <w:hideMark/>
          </w:tcPr>
          <w:p w:rsidR="0055491A" w:rsidRPr="00EA56A4" w:rsidRDefault="0055491A" w:rsidP="00210BF6">
            <w:pPr>
              <w:jc w:val="center"/>
              <w:rPr>
                <w:sz w:val="22"/>
                <w:szCs w:val="22"/>
              </w:rPr>
            </w:pPr>
            <w:r w:rsidRPr="00EA56A4">
              <w:rPr>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55491A" w:rsidRPr="00EA56A4" w:rsidRDefault="0055491A" w:rsidP="00210BF6">
            <w:pPr>
              <w:jc w:val="center"/>
              <w:rPr>
                <w:sz w:val="22"/>
                <w:szCs w:val="22"/>
              </w:rPr>
            </w:pPr>
            <w:r w:rsidRPr="00EA56A4">
              <w:rPr>
                <w:sz w:val="22"/>
                <w:szCs w:val="22"/>
              </w:rPr>
              <w:t>1</w:t>
            </w:r>
          </w:p>
        </w:tc>
        <w:tc>
          <w:tcPr>
            <w:tcW w:w="992" w:type="dxa"/>
            <w:tcBorders>
              <w:top w:val="nil"/>
              <w:left w:val="nil"/>
              <w:bottom w:val="single" w:sz="4" w:space="0" w:color="auto"/>
              <w:right w:val="single" w:sz="4" w:space="0" w:color="auto"/>
            </w:tcBorders>
            <w:shd w:val="clear" w:color="auto" w:fill="auto"/>
            <w:vAlign w:val="center"/>
            <w:hideMark/>
          </w:tcPr>
          <w:p w:rsidR="0055491A" w:rsidRPr="00EA56A4" w:rsidRDefault="0055491A" w:rsidP="00210BF6">
            <w:pPr>
              <w:jc w:val="center"/>
              <w:rPr>
                <w:sz w:val="22"/>
                <w:szCs w:val="22"/>
              </w:rPr>
            </w:pPr>
            <w:r w:rsidRPr="00EA56A4">
              <w:rPr>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55491A" w:rsidRPr="00EA56A4" w:rsidRDefault="0055491A" w:rsidP="00210BF6">
            <w:pPr>
              <w:jc w:val="center"/>
              <w:rPr>
                <w:sz w:val="22"/>
                <w:szCs w:val="22"/>
              </w:rPr>
            </w:pPr>
            <w:r w:rsidRPr="00EA56A4">
              <w:rPr>
                <w:sz w:val="22"/>
                <w:szCs w:val="22"/>
              </w:rPr>
              <w:t>1</w:t>
            </w:r>
          </w:p>
        </w:tc>
        <w:tc>
          <w:tcPr>
            <w:tcW w:w="992" w:type="dxa"/>
            <w:tcBorders>
              <w:top w:val="nil"/>
              <w:left w:val="nil"/>
              <w:bottom w:val="single" w:sz="4" w:space="0" w:color="auto"/>
              <w:right w:val="single" w:sz="4" w:space="0" w:color="auto"/>
            </w:tcBorders>
            <w:shd w:val="clear" w:color="auto" w:fill="auto"/>
            <w:vAlign w:val="center"/>
            <w:hideMark/>
          </w:tcPr>
          <w:p w:rsidR="0055491A" w:rsidRPr="00EA56A4" w:rsidRDefault="0055491A" w:rsidP="00210BF6">
            <w:pPr>
              <w:jc w:val="center"/>
              <w:rPr>
                <w:sz w:val="22"/>
                <w:szCs w:val="22"/>
              </w:rPr>
            </w:pPr>
            <w:r w:rsidRPr="00EA56A4">
              <w:rPr>
                <w:sz w:val="22"/>
                <w:szCs w:val="22"/>
              </w:rPr>
              <w:t>20,0</w:t>
            </w:r>
          </w:p>
        </w:tc>
      </w:tr>
      <w:tr w:rsidR="0055491A" w:rsidRPr="00B376AC" w:rsidTr="00210BF6">
        <w:trPr>
          <w:trHeight w:val="283"/>
        </w:trPr>
        <w:tc>
          <w:tcPr>
            <w:tcW w:w="1276" w:type="dxa"/>
            <w:vMerge/>
            <w:tcBorders>
              <w:left w:val="single" w:sz="4" w:space="0" w:color="auto"/>
              <w:bottom w:val="single" w:sz="4" w:space="0" w:color="auto"/>
              <w:right w:val="single" w:sz="4" w:space="0" w:color="auto"/>
            </w:tcBorders>
            <w:shd w:val="clear" w:color="auto" w:fill="auto"/>
            <w:vAlign w:val="center"/>
          </w:tcPr>
          <w:p w:rsidR="0055491A" w:rsidRPr="00EA56A4" w:rsidRDefault="0055491A" w:rsidP="00210BF6">
            <w:pPr>
              <w:jc w:val="center"/>
              <w:rPr>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55491A" w:rsidRPr="00EA56A4" w:rsidRDefault="0055491A" w:rsidP="00210BF6">
            <w:pPr>
              <w:jc w:val="center"/>
              <w:rPr>
                <w:sz w:val="22"/>
                <w:szCs w:val="22"/>
              </w:rPr>
            </w:pPr>
            <w:r w:rsidRPr="00EA56A4">
              <w:rPr>
                <w:sz w:val="22"/>
                <w:szCs w:val="22"/>
              </w:rPr>
              <w:t>500</w:t>
            </w:r>
          </w:p>
        </w:tc>
        <w:tc>
          <w:tcPr>
            <w:tcW w:w="1418" w:type="dxa"/>
            <w:tcBorders>
              <w:top w:val="nil"/>
              <w:left w:val="nil"/>
              <w:bottom w:val="single" w:sz="4" w:space="0" w:color="auto"/>
              <w:right w:val="single" w:sz="4" w:space="0" w:color="auto"/>
            </w:tcBorders>
            <w:shd w:val="clear" w:color="auto" w:fill="auto"/>
            <w:vAlign w:val="center"/>
          </w:tcPr>
          <w:p w:rsidR="0055491A" w:rsidRPr="00EA56A4" w:rsidRDefault="0055491A" w:rsidP="00210BF6">
            <w:pPr>
              <w:jc w:val="center"/>
              <w:rPr>
                <w:sz w:val="22"/>
                <w:szCs w:val="22"/>
              </w:rPr>
            </w:pPr>
            <w:r w:rsidRPr="00EA56A4">
              <w:rPr>
                <w:sz w:val="22"/>
                <w:szCs w:val="22"/>
              </w:rPr>
              <w:t>1</w:t>
            </w:r>
          </w:p>
        </w:tc>
        <w:tc>
          <w:tcPr>
            <w:tcW w:w="992" w:type="dxa"/>
            <w:tcBorders>
              <w:top w:val="nil"/>
              <w:left w:val="nil"/>
              <w:bottom w:val="single" w:sz="4" w:space="0" w:color="auto"/>
              <w:right w:val="single" w:sz="4" w:space="0" w:color="auto"/>
            </w:tcBorders>
            <w:shd w:val="clear" w:color="auto" w:fill="auto"/>
            <w:vAlign w:val="center"/>
          </w:tcPr>
          <w:p w:rsidR="0055491A" w:rsidRPr="00EA56A4" w:rsidRDefault="0055491A" w:rsidP="00210BF6">
            <w:pPr>
              <w:jc w:val="center"/>
              <w:rPr>
                <w:sz w:val="22"/>
                <w:szCs w:val="22"/>
              </w:rPr>
            </w:pPr>
            <w:r w:rsidRPr="00EA56A4">
              <w:rPr>
                <w:sz w:val="22"/>
                <w:szCs w:val="22"/>
              </w:rPr>
              <w:t>500,0</w:t>
            </w:r>
          </w:p>
        </w:tc>
        <w:tc>
          <w:tcPr>
            <w:tcW w:w="1276" w:type="dxa"/>
            <w:tcBorders>
              <w:top w:val="nil"/>
              <w:left w:val="nil"/>
              <w:bottom w:val="single" w:sz="4" w:space="0" w:color="auto"/>
              <w:right w:val="single" w:sz="4" w:space="0" w:color="auto"/>
            </w:tcBorders>
            <w:shd w:val="clear" w:color="auto" w:fill="auto"/>
            <w:vAlign w:val="center"/>
          </w:tcPr>
          <w:p w:rsidR="0055491A" w:rsidRPr="00EA56A4" w:rsidRDefault="0055491A" w:rsidP="00210BF6">
            <w:pPr>
              <w:jc w:val="center"/>
              <w:rPr>
                <w:sz w:val="22"/>
                <w:szCs w:val="22"/>
              </w:rPr>
            </w:pPr>
            <w:r w:rsidRPr="00EA56A4">
              <w:rPr>
                <w:sz w:val="22"/>
                <w:szCs w:val="22"/>
              </w:rPr>
              <w:t>1</w:t>
            </w:r>
          </w:p>
        </w:tc>
        <w:tc>
          <w:tcPr>
            <w:tcW w:w="992" w:type="dxa"/>
            <w:tcBorders>
              <w:top w:val="nil"/>
              <w:left w:val="nil"/>
              <w:bottom w:val="single" w:sz="4" w:space="0" w:color="auto"/>
              <w:right w:val="single" w:sz="4" w:space="0" w:color="auto"/>
            </w:tcBorders>
            <w:shd w:val="clear" w:color="auto" w:fill="auto"/>
            <w:vAlign w:val="center"/>
          </w:tcPr>
          <w:p w:rsidR="0055491A" w:rsidRPr="00EA56A4" w:rsidRDefault="0055491A" w:rsidP="00210BF6">
            <w:pPr>
              <w:jc w:val="center"/>
              <w:rPr>
                <w:sz w:val="22"/>
                <w:szCs w:val="22"/>
              </w:rPr>
            </w:pPr>
            <w:r w:rsidRPr="00EA56A4">
              <w:rPr>
                <w:sz w:val="22"/>
                <w:szCs w:val="22"/>
              </w:rPr>
              <w:t>500,0</w:t>
            </w:r>
          </w:p>
        </w:tc>
        <w:tc>
          <w:tcPr>
            <w:tcW w:w="1276" w:type="dxa"/>
            <w:tcBorders>
              <w:top w:val="nil"/>
              <w:left w:val="nil"/>
              <w:bottom w:val="single" w:sz="4" w:space="0" w:color="auto"/>
              <w:right w:val="single" w:sz="4" w:space="0" w:color="auto"/>
            </w:tcBorders>
            <w:shd w:val="clear" w:color="auto" w:fill="auto"/>
            <w:vAlign w:val="center"/>
          </w:tcPr>
          <w:p w:rsidR="0055491A" w:rsidRPr="00EA56A4" w:rsidRDefault="0055491A" w:rsidP="00210BF6">
            <w:pPr>
              <w:jc w:val="center"/>
              <w:rPr>
                <w:sz w:val="22"/>
                <w:szCs w:val="22"/>
              </w:rPr>
            </w:pPr>
            <w:r w:rsidRPr="00EA56A4">
              <w:rPr>
                <w:sz w:val="22"/>
                <w:szCs w:val="22"/>
              </w:rPr>
              <w:t>1</w:t>
            </w:r>
          </w:p>
        </w:tc>
        <w:tc>
          <w:tcPr>
            <w:tcW w:w="992" w:type="dxa"/>
            <w:tcBorders>
              <w:top w:val="nil"/>
              <w:left w:val="nil"/>
              <w:bottom w:val="single" w:sz="4" w:space="0" w:color="auto"/>
              <w:right w:val="single" w:sz="4" w:space="0" w:color="auto"/>
            </w:tcBorders>
            <w:shd w:val="clear" w:color="auto" w:fill="auto"/>
            <w:vAlign w:val="center"/>
          </w:tcPr>
          <w:p w:rsidR="0055491A" w:rsidRPr="00EA56A4" w:rsidRDefault="0055491A" w:rsidP="00210BF6">
            <w:pPr>
              <w:jc w:val="center"/>
              <w:rPr>
                <w:sz w:val="22"/>
                <w:szCs w:val="22"/>
              </w:rPr>
            </w:pPr>
            <w:r w:rsidRPr="00EA56A4">
              <w:rPr>
                <w:sz w:val="22"/>
                <w:szCs w:val="22"/>
              </w:rPr>
              <w:t>500,0</w:t>
            </w:r>
          </w:p>
        </w:tc>
      </w:tr>
      <w:tr w:rsidR="0055491A" w:rsidRPr="00B376AC" w:rsidTr="00210BF6">
        <w:trPr>
          <w:trHeight w:val="283"/>
        </w:trPr>
        <w:tc>
          <w:tcPr>
            <w:tcW w:w="1276" w:type="dxa"/>
            <w:vMerge w:val="restart"/>
            <w:tcBorders>
              <w:top w:val="nil"/>
              <w:left w:val="single" w:sz="4" w:space="0" w:color="auto"/>
              <w:right w:val="single" w:sz="4" w:space="0" w:color="auto"/>
            </w:tcBorders>
            <w:shd w:val="clear" w:color="auto" w:fill="auto"/>
            <w:vAlign w:val="center"/>
            <w:hideMark/>
          </w:tcPr>
          <w:p w:rsidR="0055491A" w:rsidRPr="00EA56A4" w:rsidRDefault="0055491A" w:rsidP="00210BF6">
            <w:pPr>
              <w:jc w:val="center"/>
              <w:rPr>
                <w:bCs/>
                <w:sz w:val="22"/>
                <w:szCs w:val="22"/>
              </w:rPr>
            </w:pPr>
            <w:r w:rsidRPr="00EA56A4">
              <w:rPr>
                <w:bCs/>
                <w:sz w:val="22"/>
                <w:szCs w:val="22"/>
              </w:rPr>
              <w:t>ст. 9.5 ч. 2</w:t>
            </w:r>
          </w:p>
          <w:p w:rsidR="0055491A" w:rsidRPr="00EA56A4" w:rsidRDefault="0055491A" w:rsidP="00210BF6">
            <w:pPr>
              <w:jc w:val="center"/>
              <w:rPr>
                <w:bCs/>
                <w:sz w:val="22"/>
                <w:szCs w:val="22"/>
              </w:rPr>
            </w:pPr>
          </w:p>
        </w:tc>
        <w:tc>
          <w:tcPr>
            <w:tcW w:w="992" w:type="dxa"/>
            <w:tcBorders>
              <w:top w:val="nil"/>
              <w:left w:val="nil"/>
              <w:bottom w:val="single" w:sz="4" w:space="0" w:color="auto"/>
              <w:right w:val="single" w:sz="4" w:space="0" w:color="auto"/>
            </w:tcBorders>
            <w:shd w:val="clear" w:color="auto" w:fill="auto"/>
            <w:vAlign w:val="center"/>
            <w:hideMark/>
          </w:tcPr>
          <w:p w:rsidR="0055491A" w:rsidRPr="00EA56A4" w:rsidRDefault="0055491A" w:rsidP="00210BF6">
            <w:pPr>
              <w:jc w:val="center"/>
              <w:rPr>
                <w:sz w:val="22"/>
                <w:szCs w:val="22"/>
              </w:rPr>
            </w:pPr>
            <w:r w:rsidRPr="00EA56A4">
              <w:rPr>
                <w:sz w:val="22"/>
                <w:szCs w:val="22"/>
              </w:rPr>
              <w:t>0,5</w:t>
            </w:r>
          </w:p>
        </w:tc>
        <w:tc>
          <w:tcPr>
            <w:tcW w:w="1418" w:type="dxa"/>
            <w:tcBorders>
              <w:top w:val="nil"/>
              <w:left w:val="nil"/>
              <w:bottom w:val="single" w:sz="4" w:space="0" w:color="auto"/>
              <w:right w:val="single" w:sz="4" w:space="0" w:color="auto"/>
            </w:tcBorders>
            <w:shd w:val="clear" w:color="auto" w:fill="auto"/>
            <w:vAlign w:val="center"/>
            <w:hideMark/>
          </w:tcPr>
          <w:p w:rsidR="0055491A" w:rsidRPr="00EA56A4" w:rsidRDefault="0055491A" w:rsidP="00210BF6">
            <w:pPr>
              <w:jc w:val="center"/>
              <w:rPr>
                <w:sz w:val="22"/>
                <w:szCs w:val="22"/>
              </w:rPr>
            </w:pPr>
            <w:r w:rsidRPr="00EA56A4">
              <w:rPr>
                <w:sz w:val="22"/>
                <w:szCs w:val="22"/>
              </w:rPr>
              <w:t>1</w:t>
            </w:r>
          </w:p>
        </w:tc>
        <w:tc>
          <w:tcPr>
            <w:tcW w:w="992" w:type="dxa"/>
            <w:tcBorders>
              <w:top w:val="nil"/>
              <w:left w:val="nil"/>
              <w:bottom w:val="single" w:sz="4" w:space="0" w:color="auto"/>
              <w:right w:val="single" w:sz="4" w:space="0" w:color="auto"/>
            </w:tcBorders>
            <w:shd w:val="clear" w:color="auto" w:fill="auto"/>
            <w:vAlign w:val="center"/>
            <w:hideMark/>
          </w:tcPr>
          <w:p w:rsidR="0055491A" w:rsidRPr="00EA56A4" w:rsidRDefault="0055491A" w:rsidP="00210BF6">
            <w:pPr>
              <w:jc w:val="center"/>
              <w:rPr>
                <w:sz w:val="22"/>
                <w:szCs w:val="22"/>
              </w:rPr>
            </w:pPr>
            <w:r w:rsidRPr="00EA56A4">
              <w:rPr>
                <w:sz w:val="22"/>
                <w:szCs w:val="22"/>
              </w:rPr>
              <w:t>0,5</w:t>
            </w:r>
          </w:p>
        </w:tc>
        <w:tc>
          <w:tcPr>
            <w:tcW w:w="1276" w:type="dxa"/>
            <w:tcBorders>
              <w:top w:val="nil"/>
              <w:left w:val="nil"/>
              <w:bottom w:val="single" w:sz="4" w:space="0" w:color="auto"/>
              <w:right w:val="single" w:sz="4" w:space="0" w:color="auto"/>
            </w:tcBorders>
            <w:shd w:val="clear" w:color="auto" w:fill="auto"/>
            <w:vAlign w:val="center"/>
            <w:hideMark/>
          </w:tcPr>
          <w:p w:rsidR="0055491A" w:rsidRPr="00EA56A4" w:rsidRDefault="0055491A" w:rsidP="00210BF6">
            <w:pPr>
              <w:jc w:val="center"/>
              <w:rPr>
                <w:sz w:val="22"/>
                <w:szCs w:val="22"/>
              </w:rPr>
            </w:pPr>
            <w:r w:rsidRPr="00EA56A4">
              <w:rPr>
                <w:sz w:val="22"/>
                <w:szCs w:val="22"/>
              </w:rPr>
              <w:t>1</w:t>
            </w:r>
          </w:p>
        </w:tc>
        <w:tc>
          <w:tcPr>
            <w:tcW w:w="992" w:type="dxa"/>
            <w:tcBorders>
              <w:top w:val="nil"/>
              <w:left w:val="nil"/>
              <w:bottom w:val="single" w:sz="4" w:space="0" w:color="auto"/>
              <w:right w:val="single" w:sz="4" w:space="0" w:color="auto"/>
            </w:tcBorders>
            <w:shd w:val="clear" w:color="auto" w:fill="auto"/>
            <w:vAlign w:val="center"/>
            <w:hideMark/>
          </w:tcPr>
          <w:p w:rsidR="0055491A" w:rsidRPr="00EA56A4" w:rsidRDefault="0055491A" w:rsidP="00210BF6">
            <w:pPr>
              <w:jc w:val="center"/>
              <w:rPr>
                <w:sz w:val="22"/>
                <w:szCs w:val="22"/>
              </w:rPr>
            </w:pPr>
            <w:r w:rsidRPr="00EA56A4">
              <w:rPr>
                <w:sz w:val="22"/>
                <w:szCs w:val="22"/>
              </w:rPr>
              <w:t>0,5</w:t>
            </w:r>
          </w:p>
        </w:tc>
        <w:tc>
          <w:tcPr>
            <w:tcW w:w="1276" w:type="dxa"/>
            <w:tcBorders>
              <w:top w:val="nil"/>
              <w:left w:val="nil"/>
              <w:bottom w:val="single" w:sz="4" w:space="0" w:color="auto"/>
              <w:right w:val="single" w:sz="4" w:space="0" w:color="auto"/>
            </w:tcBorders>
            <w:shd w:val="clear" w:color="auto" w:fill="auto"/>
            <w:vAlign w:val="center"/>
            <w:hideMark/>
          </w:tcPr>
          <w:p w:rsidR="0055491A" w:rsidRPr="00EA56A4" w:rsidRDefault="0055491A" w:rsidP="00210BF6">
            <w:pPr>
              <w:jc w:val="center"/>
              <w:rPr>
                <w:sz w:val="22"/>
                <w:szCs w:val="22"/>
              </w:rPr>
            </w:pPr>
            <w:r w:rsidRPr="00EA56A4">
              <w:rPr>
                <w:sz w:val="22"/>
                <w:szCs w:val="22"/>
              </w:rPr>
              <w:t>1</w:t>
            </w:r>
          </w:p>
        </w:tc>
        <w:tc>
          <w:tcPr>
            <w:tcW w:w="992" w:type="dxa"/>
            <w:tcBorders>
              <w:top w:val="nil"/>
              <w:left w:val="nil"/>
              <w:bottom w:val="single" w:sz="4" w:space="0" w:color="auto"/>
              <w:right w:val="single" w:sz="4" w:space="0" w:color="auto"/>
            </w:tcBorders>
            <w:shd w:val="clear" w:color="auto" w:fill="auto"/>
            <w:vAlign w:val="center"/>
            <w:hideMark/>
          </w:tcPr>
          <w:p w:rsidR="0055491A" w:rsidRPr="00EA56A4" w:rsidRDefault="0055491A" w:rsidP="00210BF6">
            <w:pPr>
              <w:jc w:val="center"/>
              <w:rPr>
                <w:sz w:val="22"/>
                <w:szCs w:val="22"/>
              </w:rPr>
            </w:pPr>
            <w:r w:rsidRPr="00EA56A4">
              <w:rPr>
                <w:sz w:val="22"/>
                <w:szCs w:val="22"/>
              </w:rPr>
              <w:t>0,5</w:t>
            </w:r>
          </w:p>
        </w:tc>
      </w:tr>
      <w:tr w:rsidR="0055491A" w:rsidRPr="00B376AC" w:rsidTr="00210BF6">
        <w:trPr>
          <w:trHeight w:val="283"/>
        </w:trPr>
        <w:tc>
          <w:tcPr>
            <w:tcW w:w="1276" w:type="dxa"/>
            <w:vMerge/>
            <w:tcBorders>
              <w:left w:val="single" w:sz="4" w:space="0" w:color="auto"/>
              <w:right w:val="single" w:sz="4" w:space="0" w:color="auto"/>
            </w:tcBorders>
            <w:shd w:val="clear" w:color="auto" w:fill="auto"/>
            <w:vAlign w:val="center"/>
            <w:hideMark/>
          </w:tcPr>
          <w:p w:rsidR="0055491A" w:rsidRPr="00EA56A4" w:rsidRDefault="0055491A" w:rsidP="00210BF6">
            <w:pPr>
              <w:jc w:val="center"/>
              <w:rPr>
                <w:bCs/>
                <w:sz w:val="22"/>
                <w:szCs w:val="22"/>
              </w:rPr>
            </w:pPr>
          </w:p>
        </w:tc>
        <w:tc>
          <w:tcPr>
            <w:tcW w:w="992" w:type="dxa"/>
            <w:tcBorders>
              <w:top w:val="nil"/>
              <w:left w:val="nil"/>
              <w:bottom w:val="single" w:sz="4" w:space="0" w:color="auto"/>
              <w:right w:val="single" w:sz="4" w:space="0" w:color="auto"/>
            </w:tcBorders>
            <w:shd w:val="clear" w:color="auto" w:fill="auto"/>
            <w:vAlign w:val="center"/>
            <w:hideMark/>
          </w:tcPr>
          <w:p w:rsidR="0055491A" w:rsidRPr="00EA56A4" w:rsidRDefault="0055491A" w:rsidP="00210BF6">
            <w:pPr>
              <w:jc w:val="center"/>
              <w:rPr>
                <w:sz w:val="22"/>
                <w:szCs w:val="22"/>
              </w:rPr>
            </w:pPr>
            <w:r w:rsidRPr="00EA56A4">
              <w:rPr>
                <w:sz w:val="22"/>
                <w:szCs w:val="22"/>
              </w:rPr>
              <w:t>1</w:t>
            </w:r>
          </w:p>
        </w:tc>
        <w:tc>
          <w:tcPr>
            <w:tcW w:w="1418" w:type="dxa"/>
            <w:tcBorders>
              <w:top w:val="nil"/>
              <w:left w:val="nil"/>
              <w:bottom w:val="single" w:sz="4" w:space="0" w:color="auto"/>
              <w:right w:val="single" w:sz="4" w:space="0" w:color="auto"/>
            </w:tcBorders>
            <w:shd w:val="clear" w:color="auto" w:fill="auto"/>
            <w:vAlign w:val="center"/>
            <w:hideMark/>
          </w:tcPr>
          <w:p w:rsidR="0055491A" w:rsidRPr="00EA56A4" w:rsidRDefault="0055491A" w:rsidP="00210BF6">
            <w:pPr>
              <w:jc w:val="center"/>
              <w:rPr>
                <w:sz w:val="22"/>
                <w:szCs w:val="22"/>
              </w:rPr>
            </w:pPr>
            <w:r w:rsidRPr="00EA56A4">
              <w:rPr>
                <w:sz w:val="22"/>
                <w:szCs w:val="22"/>
              </w:rPr>
              <w:t>1</w:t>
            </w:r>
          </w:p>
        </w:tc>
        <w:tc>
          <w:tcPr>
            <w:tcW w:w="992" w:type="dxa"/>
            <w:tcBorders>
              <w:top w:val="nil"/>
              <w:left w:val="nil"/>
              <w:bottom w:val="single" w:sz="4" w:space="0" w:color="auto"/>
              <w:right w:val="single" w:sz="4" w:space="0" w:color="auto"/>
            </w:tcBorders>
            <w:shd w:val="clear" w:color="auto" w:fill="auto"/>
            <w:vAlign w:val="center"/>
            <w:hideMark/>
          </w:tcPr>
          <w:p w:rsidR="0055491A" w:rsidRPr="00EA56A4" w:rsidRDefault="0055491A" w:rsidP="00210BF6">
            <w:pPr>
              <w:jc w:val="center"/>
              <w:rPr>
                <w:sz w:val="22"/>
                <w:szCs w:val="22"/>
              </w:rPr>
            </w:pPr>
            <w:r w:rsidRPr="00EA56A4">
              <w:rPr>
                <w:sz w:val="22"/>
                <w:szCs w:val="22"/>
              </w:rPr>
              <w:t>1</w:t>
            </w:r>
          </w:p>
        </w:tc>
        <w:tc>
          <w:tcPr>
            <w:tcW w:w="1276" w:type="dxa"/>
            <w:tcBorders>
              <w:top w:val="nil"/>
              <w:left w:val="nil"/>
              <w:bottom w:val="single" w:sz="4" w:space="0" w:color="auto"/>
              <w:right w:val="single" w:sz="4" w:space="0" w:color="auto"/>
            </w:tcBorders>
            <w:shd w:val="clear" w:color="auto" w:fill="auto"/>
            <w:vAlign w:val="center"/>
            <w:hideMark/>
          </w:tcPr>
          <w:p w:rsidR="0055491A" w:rsidRPr="00EA56A4" w:rsidRDefault="0055491A" w:rsidP="00210BF6">
            <w:pPr>
              <w:jc w:val="center"/>
              <w:rPr>
                <w:sz w:val="22"/>
                <w:szCs w:val="22"/>
              </w:rPr>
            </w:pPr>
            <w:r w:rsidRPr="00EA56A4">
              <w:rPr>
                <w:sz w:val="22"/>
                <w:szCs w:val="22"/>
              </w:rPr>
              <w:t>1</w:t>
            </w:r>
          </w:p>
        </w:tc>
        <w:tc>
          <w:tcPr>
            <w:tcW w:w="992" w:type="dxa"/>
            <w:tcBorders>
              <w:top w:val="nil"/>
              <w:left w:val="nil"/>
              <w:bottom w:val="single" w:sz="4" w:space="0" w:color="auto"/>
              <w:right w:val="single" w:sz="4" w:space="0" w:color="auto"/>
            </w:tcBorders>
            <w:shd w:val="clear" w:color="auto" w:fill="auto"/>
            <w:vAlign w:val="center"/>
            <w:hideMark/>
          </w:tcPr>
          <w:p w:rsidR="0055491A" w:rsidRPr="00EA56A4" w:rsidRDefault="0055491A" w:rsidP="00210BF6">
            <w:pPr>
              <w:jc w:val="center"/>
              <w:rPr>
                <w:sz w:val="22"/>
                <w:szCs w:val="22"/>
              </w:rPr>
            </w:pPr>
            <w:r w:rsidRPr="00EA56A4">
              <w:rPr>
                <w:sz w:val="22"/>
                <w:szCs w:val="22"/>
              </w:rPr>
              <w:t>1,0</w:t>
            </w:r>
          </w:p>
        </w:tc>
        <w:tc>
          <w:tcPr>
            <w:tcW w:w="1276" w:type="dxa"/>
            <w:tcBorders>
              <w:top w:val="nil"/>
              <w:left w:val="nil"/>
              <w:bottom w:val="single" w:sz="4" w:space="0" w:color="auto"/>
              <w:right w:val="single" w:sz="4" w:space="0" w:color="auto"/>
            </w:tcBorders>
            <w:shd w:val="clear" w:color="auto" w:fill="auto"/>
            <w:vAlign w:val="center"/>
            <w:hideMark/>
          </w:tcPr>
          <w:p w:rsidR="0055491A" w:rsidRPr="00EA56A4" w:rsidRDefault="0055491A" w:rsidP="00210BF6">
            <w:pPr>
              <w:jc w:val="center"/>
              <w:rPr>
                <w:sz w:val="22"/>
                <w:szCs w:val="22"/>
              </w:rPr>
            </w:pPr>
            <w:r w:rsidRPr="00EA56A4">
              <w:rPr>
                <w:sz w:val="22"/>
                <w:szCs w:val="22"/>
              </w:rPr>
              <w:t>1</w:t>
            </w:r>
          </w:p>
        </w:tc>
        <w:tc>
          <w:tcPr>
            <w:tcW w:w="992" w:type="dxa"/>
            <w:tcBorders>
              <w:top w:val="nil"/>
              <w:left w:val="nil"/>
              <w:bottom w:val="single" w:sz="4" w:space="0" w:color="auto"/>
              <w:right w:val="single" w:sz="4" w:space="0" w:color="auto"/>
            </w:tcBorders>
            <w:shd w:val="clear" w:color="auto" w:fill="auto"/>
            <w:vAlign w:val="center"/>
            <w:hideMark/>
          </w:tcPr>
          <w:p w:rsidR="0055491A" w:rsidRPr="00EA56A4" w:rsidRDefault="0055491A" w:rsidP="00210BF6">
            <w:pPr>
              <w:jc w:val="center"/>
              <w:rPr>
                <w:sz w:val="22"/>
                <w:szCs w:val="22"/>
              </w:rPr>
            </w:pPr>
            <w:r w:rsidRPr="00EA56A4">
              <w:rPr>
                <w:sz w:val="22"/>
                <w:szCs w:val="22"/>
              </w:rPr>
              <w:t>1,0</w:t>
            </w:r>
          </w:p>
        </w:tc>
      </w:tr>
      <w:tr w:rsidR="0055491A" w:rsidRPr="00B376AC" w:rsidTr="00210BF6">
        <w:trPr>
          <w:trHeight w:val="283"/>
        </w:trPr>
        <w:tc>
          <w:tcPr>
            <w:tcW w:w="1276" w:type="dxa"/>
            <w:vMerge/>
            <w:tcBorders>
              <w:left w:val="single" w:sz="4" w:space="0" w:color="auto"/>
              <w:bottom w:val="single" w:sz="4" w:space="0" w:color="auto"/>
              <w:right w:val="single" w:sz="4" w:space="0" w:color="auto"/>
            </w:tcBorders>
            <w:shd w:val="clear" w:color="auto" w:fill="auto"/>
            <w:vAlign w:val="center"/>
            <w:hideMark/>
          </w:tcPr>
          <w:p w:rsidR="0055491A" w:rsidRPr="00EA56A4" w:rsidRDefault="0055491A" w:rsidP="00210BF6">
            <w:pPr>
              <w:jc w:val="center"/>
              <w:rPr>
                <w:bCs/>
                <w:sz w:val="22"/>
                <w:szCs w:val="22"/>
              </w:rPr>
            </w:pPr>
          </w:p>
        </w:tc>
        <w:tc>
          <w:tcPr>
            <w:tcW w:w="992" w:type="dxa"/>
            <w:tcBorders>
              <w:top w:val="nil"/>
              <w:left w:val="nil"/>
              <w:bottom w:val="single" w:sz="4" w:space="0" w:color="auto"/>
              <w:right w:val="single" w:sz="4" w:space="0" w:color="auto"/>
            </w:tcBorders>
            <w:shd w:val="clear" w:color="auto" w:fill="auto"/>
            <w:vAlign w:val="center"/>
            <w:hideMark/>
          </w:tcPr>
          <w:p w:rsidR="0055491A" w:rsidRPr="00EA56A4" w:rsidRDefault="0055491A" w:rsidP="00210BF6">
            <w:pPr>
              <w:jc w:val="center"/>
              <w:rPr>
                <w:sz w:val="22"/>
                <w:szCs w:val="22"/>
              </w:rPr>
            </w:pPr>
            <w:r w:rsidRPr="00EA56A4">
              <w:rPr>
                <w:sz w:val="22"/>
                <w:szCs w:val="22"/>
              </w:rPr>
              <w:t>10</w:t>
            </w:r>
          </w:p>
        </w:tc>
        <w:tc>
          <w:tcPr>
            <w:tcW w:w="1418" w:type="dxa"/>
            <w:tcBorders>
              <w:top w:val="nil"/>
              <w:left w:val="nil"/>
              <w:bottom w:val="single" w:sz="4" w:space="0" w:color="auto"/>
              <w:right w:val="single" w:sz="4" w:space="0" w:color="auto"/>
            </w:tcBorders>
            <w:shd w:val="clear" w:color="auto" w:fill="auto"/>
            <w:vAlign w:val="center"/>
            <w:hideMark/>
          </w:tcPr>
          <w:p w:rsidR="0055491A" w:rsidRPr="00EA56A4" w:rsidRDefault="0055491A" w:rsidP="00210BF6">
            <w:pPr>
              <w:jc w:val="center"/>
              <w:rPr>
                <w:sz w:val="22"/>
                <w:szCs w:val="22"/>
              </w:rPr>
            </w:pPr>
            <w:r w:rsidRPr="00EA56A4">
              <w:rPr>
                <w:sz w:val="22"/>
                <w:szCs w:val="22"/>
              </w:rPr>
              <w:t>1</w:t>
            </w:r>
          </w:p>
        </w:tc>
        <w:tc>
          <w:tcPr>
            <w:tcW w:w="992" w:type="dxa"/>
            <w:tcBorders>
              <w:top w:val="nil"/>
              <w:left w:val="nil"/>
              <w:bottom w:val="single" w:sz="4" w:space="0" w:color="auto"/>
              <w:right w:val="single" w:sz="4" w:space="0" w:color="auto"/>
            </w:tcBorders>
            <w:shd w:val="clear" w:color="auto" w:fill="auto"/>
            <w:vAlign w:val="center"/>
            <w:hideMark/>
          </w:tcPr>
          <w:p w:rsidR="0055491A" w:rsidRPr="00EA56A4" w:rsidRDefault="0055491A" w:rsidP="00210BF6">
            <w:pPr>
              <w:jc w:val="center"/>
              <w:rPr>
                <w:sz w:val="22"/>
                <w:szCs w:val="22"/>
              </w:rPr>
            </w:pPr>
            <w:r w:rsidRPr="00EA56A4">
              <w:rPr>
                <w:sz w:val="22"/>
                <w:szCs w:val="22"/>
              </w:rPr>
              <w:t>10,0</w:t>
            </w:r>
          </w:p>
        </w:tc>
        <w:tc>
          <w:tcPr>
            <w:tcW w:w="1276" w:type="dxa"/>
            <w:tcBorders>
              <w:top w:val="nil"/>
              <w:left w:val="nil"/>
              <w:bottom w:val="single" w:sz="4" w:space="0" w:color="auto"/>
              <w:right w:val="single" w:sz="4" w:space="0" w:color="auto"/>
            </w:tcBorders>
            <w:shd w:val="clear" w:color="auto" w:fill="auto"/>
            <w:vAlign w:val="center"/>
            <w:hideMark/>
          </w:tcPr>
          <w:p w:rsidR="0055491A" w:rsidRPr="00EA56A4" w:rsidRDefault="0055491A" w:rsidP="00210BF6">
            <w:pPr>
              <w:jc w:val="center"/>
              <w:rPr>
                <w:sz w:val="22"/>
                <w:szCs w:val="22"/>
              </w:rPr>
            </w:pPr>
            <w:r w:rsidRPr="00EA56A4">
              <w:rPr>
                <w:sz w:val="22"/>
                <w:szCs w:val="22"/>
              </w:rPr>
              <w:t>1</w:t>
            </w:r>
          </w:p>
        </w:tc>
        <w:tc>
          <w:tcPr>
            <w:tcW w:w="992" w:type="dxa"/>
            <w:tcBorders>
              <w:top w:val="nil"/>
              <w:left w:val="nil"/>
              <w:bottom w:val="single" w:sz="4" w:space="0" w:color="auto"/>
              <w:right w:val="single" w:sz="4" w:space="0" w:color="auto"/>
            </w:tcBorders>
            <w:shd w:val="clear" w:color="auto" w:fill="auto"/>
            <w:vAlign w:val="center"/>
            <w:hideMark/>
          </w:tcPr>
          <w:p w:rsidR="0055491A" w:rsidRPr="00EA56A4" w:rsidRDefault="0055491A" w:rsidP="00210BF6">
            <w:pPr>
              <w:jc w:val="center"/>
              <w:rPr>
                <w:sz w:val="22"/>
                <w:szCs w:val="22"/>
              </w:rPr>
            </w:pPr>
            <w:r w:rsidRPr="00EA56A4">
              <w:rPr>
                <w:sz w:val="22"/>
                <w:szCs w:val="22"/>
              </w:rPr>
              <w:t>10,0</w:t>
            </w:r>
          </w:p>
        </w:tc>
        <w:tc>
          <w:tcPr>
            <w:tcW w:w="1276" w:type="dxa"/>
            <w:tcBorders>
              <w:top w:val="nil"/>
              <w:left w:val="nil"/>
              <w:bottom w:val="single" w:sz="4" w:space="0" w:color="auto"/>
              <w:right w:val="single" w:sz="4" w:space="0" w:color="auto"/>
            </w:tcBorders>
            <w:shd w:val="clear" w:color="auto" w:fill="auto"/>
            <w:vAlign w:val="center"/>
            <w:hideMark/>
          </w:tcPr>
          <w:p w:rsidR="0055491A" w:rsidRPr="00EA56A4" w:rsidRDefault="0055491A" w:rsidP="00210BF6">
            <w:pPr>
              <w:jc w:val="center"/>
              <w:rPr>
                <w:sz w:val="22"/>
                <w:szCs w:val="22"/>
              </w:rPr>
            </w:pPr>
            <w:r w:rsidRPr="00EA56A4">
              <w:rPr>
                <w:sz w:val="22"/>
                <w:szCs w:val="22"/>
              </w:rPr>
              <w:t>1</w:t>
            </w:r>
          </w:p>
        </w:tc>
        <w:tc>
          <w:tcPr>
            <w:tcW w:w="992" w:type="dxa"/>
            <w:tcBorders>
              <w:top w:val="nil"/>
              <w:left w:val="nil"/>
              <w:bottom w:val="single" w:sz="4" w:space="0" w:color="auto"/>
              <w:right w:val="single" w:sz="4" w:space="0" w:color="auto"/>
            </w:tcBorders>
            <w:shd w:val="clear" w:color="auto" w:fill="auto"/>
            <w:vAlign w:val="center"/>
            <w:hideMark/>
          </w:tcPr>
          <w:p w:rsidR="0055491A" w:rsidRPr="00EA56A4" w:rsidRDefault="0055491A" w:rsidP="00210BF6">
            <w:pPr>
              <w:jc w:val="center"/>
              <w:rPr>
                <w:sz w:val="22"/>
                <w:szCs w:val="22"/>
              </w:rPr>
            </w:pPr>
            <w:r w:rsidRPr="00EA56A4">
              <w:rPr>
                <w:sz w:val="22"/>
                <w:szCs w:val="22"/>
              </w:rPr>
              <w:t>10,0</w:t>
            </w:r>
          </w:p>
        </w:tc>
      </w:tr>
      <w:tr w:rsidR="0055491A" w:rsidRPr="00B376AC" w:rsidTr="00210BF6">
        <w:trPr>
          <w:trHeight w:val="283"/>
        </w:trPr>
        <w:tc>
          <w:tcPr>
            <w:tcW w:w="1276" w:type="dxa"/>
            <w:tcBorders>
              <w:top w:val="nil"/>
              <w:left w:val="single" w:sz="4" w:space="0" w:color="auto"/>
              <w:bottom w:val="single" w:sz="4" w:space="0" w:color="auto"/>
              <w:right w:val="single" w:sz="4" w:space="0" w:color="auto"/>
            </w:tcBorders>
            <w:shd w:val="clear" w:color="auto" w:fill="auto"/>
            <w:vAlign w:val="center"/>
          </w:tcPr>
          <w:p w:rsidR="0055491A" w:rsidRPr="00EA56A4" w:rsidRDefault="0055491A" w:rsidP="00210BF6">
            <w:pPr>
              <w:jc w:val="center"/>
              <w:rPr>
                <w:bCs/>
                <w:sz w:val="22"/>
                <w:szCs w:val="22"/>
              </w:rPr>
            </w:pPr>
            <w:r w:rsidRPr="00EA56A4">
              <w:rPr>
                <w:bCs/>
                <w:sz w:val="22"/>
                <w:szCs w:val="22"/>
              </w:rPr>
              <w:t>ст. 9.5 ч. 4</w:t>
            </w:r>
          </w:p>
          <w:p w:rsidR="0055491A" w:rsidRPr="00EA56A4" w:rsidRDefault="0055491A" w:rsidP="00210BF6">
            <w:pPr>
              <w:jc w:val="center"/>
              <w:rPr>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55491A" w:rsidRPr="00EA56A4" w:rsidRDefault="0055491A" w:rsidP="00210BF6">
            <w:pPr>
              <w:jc w:val="center"/>
              <w:rPr>
                <w:sz w:val="22"/>
                <w:szCs w:val="22"/>
              </w:rPr>
            </w:pPr>
            <w:r w:rsidRPr="00EA56A4">
              <w:rPr>
                <w:sz w:val="22"/>
                <w:szCs w:val="22"/>
              </w:rPr>
              <w:t>20</w:t>
            </w:r>
          </w:p>
        </w:tc>
        <w:tc>
          <w:tcPr>
            <w:tcW w:w="1418" w:type="dxa"/>
            <w:tcBorders>
              <w:top w:val="nil"/>
              <w:left w:val="nil"/>
              <w:bottom w:val="single" w:sz="4" w:space="0" w:color="auto"/>
              <w:right w:val="single" w:sz="4" w:space="0" w:color="auto"/>
            </w:tcBorders>
            <w:shd w:val="clear" w:color="auto" w:fill="auto"/>
            <w:vAlign w:val="center"/>
          </w:tcPr>
          <w:p w:rsidR="0055491A" w:rsidRPr="00EA56A4" w:rsidRDefault="0055491A" w:rsidP="00210BF6">
            <w:pPr>
              <w:jc w:val="center"/>
              <w:rPr>
                <w:sz w:val="22"/>
                <w:szCs w:val="22"/>
              </w:rPr>
            </w:pPr>
            <w:r w:rsidRPr="00EA56A4">
              <w:rPr>
                <w:sz w:val="22"/>
                <w:szCs w:val="22"/>
              </w:rPr>
              <w:t>1</w:t>
            </w:r>
          </w:p>
        </w:tc>
        <w:tc>
          <w:tcPr>
            <w:tcW w:w="992" w:type="dxa"/>
            <w:tcBorders>
              <w:top w:val="nil"/>
              <w:left w:val="nil"/>
              <w:bottom w:val="single" w:sz="4" w:space="0" w:color="auto"/>
              <w:right w:val="single" w:sz="4" w:space="0" w:color="auto"/>
            </w:tcBorders>
            <w:shd w:val="clear" w:color="auto" w:fill="auto"/>
            <w:vAlign w:val="center"/>
          </w:tcPr>
          <w:p w:rsidR="0055491A" w:rsidRPr="00EA56A4" w:rsidRDefault="0055491A" w:rsidP="00210BF6">
            <w:pPr>
              <w:jc w:val="center"/>
              <w:rPr>
                <w:sz w:val="22"/>
                <w:szCs w:val="22"/>
              </w:rPr>
            </w:pPr>
            <w:r w:rsidRPr="00EA56A4">
              <w:rPr>
                <w:sz w:val="22"/>
                <w:szCs w:val="22"/>
              </w:rPr>
              <w:t>20,0</w:t>
            </w:r>
          </w:p>
        </w:tc>
        <w:tc>
          <w:tcPr>
            <w:tcW w:w="1276" w:type="dxa"/>
            <w:tcBorders>
              <w:top w:val="nil"/>
              <w:left w:val="nil"/>
              <w:bottom w:val="single" w:sz="4" w:space="0" w:color="auto"/>
              <w:right w:val="single" w:sz="4" w:space="0" w:color="auto"/>
            </w:tcBorders>
            <w:shd w:val="clear" w:color="auto" w:fill="auto"/>
            <w:vAlign w:val="center"/>
          </w:tcPr>
          <w:p w:rsidR="0055491A" w:rsidRPr="00EA56A4" w:rsidRDefault="0055491A" w:rsidP="00210BF6">
            <w:pPr>
              <w:jc w:val="center"/>
              <w:rPr>
                <w:sz w:val="22"/>
                <w:szCs w:val="22"/>
              </w:rPr>
            </w:pPr>
            <w:r w:rsidRPr="00EA56A4">
              <w:rPr>
                <w:sz w:val="22"/>
                <w:szCs w:val="22"/>
              </w:rPr>
              <w:t>1</w:t>
            </w:r>
          </w:p>
        </w:tc>
        <w:tc>
          <w:tcPr>
            <w:tcW w:w="992" w:type="dxa"/>
            <w:tcBorders>
              <w:top w:val="nil"/>
              <w:left w:val="nil"/>
              <w:bottom w:val="single" w:sz="4" w:space="0" w:color="auto"/>
              <w:right w:val="single" w:sz="4" w:space="0" w:color="auto"/>
            </w:tcBorders>
            <w:shd w:val="clear" w:color="auto" w:fill="auto"/>
            <w:vAlign w:val="center"/>
          </w:tcPr>
          <w:p w:rsidR="0055491A" w:rsidRPr="00EA56A4" w:rsidRDefault="0055491A" w:rsidP="00210BF6">
            <w:pPr>
              <w:jc w:val="center"/>
              <w:rPr>
                <w:sz w:val="22"/>
                <w:szCs w:val="22"/>
              </w:rPr>
            </w:pPr>
            <w:r w:rsidRPr="00EA56A4">
              <w:rPr>
                <w:sz w:val="22"/>
                <w:szCs w:val="22"/>
              </w:rPr>
              <w:t>20,0</w:t>
            </w:r>
          </w:p>
        </w:tc>
        <w:tc>
          <w:tcPr>
            <w:tcW w:w="1276" w:type="dxa"/>
            <w:tcBorders>
              <w:top w:val="nil"/>
              <w:left w:val="nil"/>
              <w:bottom w:val="single" w:sz="4" w:space="0" w:color="auto"/>
              <w:right w:val="single" w:sz="4" w:space="0" w:color="auto"/>
            </w:tcBorders>
            <w:shd w:val="clear" w:color="auto" w:fill="auto"/>
            <w:vAlign w:val="center"/>
          </w:tcPr>
          <w:p w:rsidR="0055491A" w:rsidRPr="00EA56A4" w:rsidRDefault="0055491A" w:rsidP="00210BF6">
            <w:pPr>
              <w:jc w:val="center"/>
              <w:rPr>
                <w:sz w:val="22"/>
                <w:szCs w:val="22"/>
              </w:rPr>
            </w:pPr>
            <w:r w:rsidRPr="00EA56A4">
              <w:rPr>
                <w:sz w:val="22"/>
                <w:szCs w:val="22"/>
              </w:rPr>
              <w:t>1</w:t>
            </w:r>
          </w:p>
        </w:tc>
        <w:tc>
          <w:tcPr>
            <w:tcW w:w="992" w:type="dxa"/>
            <w:tcBorders>
              <w:top w:val="nil"/>
              <w:left w:val="nil"/>
              <w:bottom w:val="single" w:sz="4" w:space="0" w:color="auto"/>
              <w:right w:val="single" w:sz="4" w:space="0" w:color="auto"/>
            </w:tcBorders>
            <w:shd w:val="clear" w:color="auto" w:fill="auto"/>
            <w:vAlign w:val="center"/>
          </w:tcPr>
          <w:p w:rsidR="0055491A" w:rsidRPr="00EA56A4" w:rsidRDefault="0055491A" w:rsidP="00210BF6">
            <w:pPr>
              <w:jc w:val="center"/>
              <w:rPr>
                <w:sz w:val="22"/>
                <w:szCs w:val="22"/>
              </w:rPr>
            </w:pPr>
            <w:r w:rsidRPr="00EA56A4">
              <w:rPr>
                <w:sz w:val="22"/>
                <w:szCs w:val="22"/>
              </w:rPr>
              <w:t>20,0</w:t>
            </w:r>
          </w:p>
        </w:tc>
      </w:tr>
      <w:tr w:rsidR="0055491A" w:rsidRPr="00B376AC" w:rsidTr="00210BF6">
        <w:trPr>
          <w:trHeight w:val="283"/>
        </w:trPr>
        <w:tc>
          <w:tcPr>
            <w:tcW w:w="1276" w:type="dxa"/>
            <w:vMerge w:val="restart"/>
            <w:tcBorders>
              <w:top w:val="nil"/>
              <w:left w:val="single" w:sz="4" w:space="0" w:color="auto"/>
              <w:right w:val="single" w:sz="4" w:space="0" w:color="auto"/>
            </w:tcBorders>
            <w:shd w:val="clear" w:color="auto" w:fill="auto"/>
            <w:vAlign w:val="center"/>
            <w:hideMark/>
          </w:tcPr>
          <w:p w:rsidR="0055491A" w:rsidRPr="00EA56A4" w:rsidRDefault="0055491A" w:rsidP="00210BF6">
            <w:pPr>
              <w:jc w:val="center"/>
              <w:rPr>
                <w:bCs/>
                <w:sz w:val="22"/>
                <w:szCs w:val="22"/>
              </w:rPr>
            </w:pPr>
            <w:r w:rsidRPr="00EA56A4">
              <w:rPr>
                <w:bCs/>
                <w:sz w:val="22"/>
                <w:szCs w:val="22"/>
              </w:rPr>
              <w:t>ст. 9.5 ч. 5</w:t>
            </w:r>
          </w:p>
          <w:p w:rsidR="0055491A" w:rsidRPr="00EA56A4" w:rsidRDefault="0055491A" w:rsidP="00210BF6">
            <w:pPr>
              <w:jc w:val="center"/>
              <w:rPr>
                <w:bCs/>
                <w:sz w:val="22"/>
                <w:szCs w:val="22"/>
              </w:rPr>
            </w:pPr>
          </w:p>
        </w:tc>
        <w:tc>
          <w:tcPr>
            <w:tcW w:w="992" w:type="dxa"/>
            <w:tcBorders>
              <w:top w:val="nil"/>
              <w:left w:val="nil"/>
              <w:bottom w:val="single" w:sz="4" w:space="0" w:color="auto"/>
              <w:right w:val="single" w:sz="4" w:space="0" w:color="auto"/>
            </w:tcBorders>
            <w:shd w:val="clear" w:color="auto" w:fill="auto"/>
            <w:vAlign w:val="center"/>
            <w:hideMark/>
          </w:tcPr>
          <w:p w:rsidR="0055491A" w:rsidRPr="00EA56A4" w:rsidRDefault="0055491A" w:rsidP="00210BF6">
            <w:pPr>
              <w:jc w:val="center"/>
              <w:rPr>
                <w:sz w:val="22"/>
                <w:szCs w:val="22"/>
              </w:rPr>
            </w:pPr>
            <w:r w:rsidRPr="00EA56A4">
              <w:rPr>
                <w:sz w:val="22"/>
                <w:szCs w:val="22"/>
              </w:rPr>
              <w:t>0,5</w:t>
            </w:r>
          </w:p>
        </w:tc>
        <w:tc>
          <w:tcPr>
            <w:tcW w:w="1418" w:type="dxa"/>
            <w:tcBorders>
              <w:top w:val="nil"/>
              <w:left w:val="nil"/>
              <w:bottom w:val="single" w:sz="4" w:space="0" w:color="auto"/>
              <w:right w:val="single" w:sz="4" w:space="0" w:color="auto"/>
            </w:tcBorders>
            <w:shd w:val="clear" w:color="auto" w:fill="auto"/>
            <w:vAlign w:val="center"/>
            <w:hideMark/>
          </w:tcPr>
          <w:p w:rsidR="0055491A" w:rsidRPr="00EA56A4" w:rsidRDefault="0055491A" w:rsidP="00210BF6">
            <w:pPr>
              <w:jc w:val="center"/>
              <w:rPr>
                <w:sz w:val="22"/>
                <w:szCs w:val="22"/>
              </w:rPr>
            </w:pPr>
            <w:r w:rsidRPr="00EA56A4">
              <w:rPr>
                <w:sz w:val="22"/>
                <w:szCs w:val="22"/>
              </w:rPr>
              <w:t>1</w:t>
            </w:r>
          </w:p>
        </w:tc>
        <w:tc>
          <w:tcPr>
            <w:tcW w:w="992" w:type="dxa"/>
            <w:tcBorders>
              <w:top w:val="nil"/>
              <w:left w:val="nil"/>
              <w:bottom w:val="single" w:sz="4" w:space="0" w:color="auto"/>
              <w:right w:val="single" w:sz="4" w:space="0" w:color="auto"/>
            </w:tcBorders>
            <w:shd w:val="clear" w:color="auto" w:fill="auto"/>
            <w:vAlign w:val="center"/>
            <w:hideMark/>
          </w:tcPr>
          <w:p w:rsidR="0055491A" w:rsidRPr="00EA56A4" w:rsidRDefault="0055491A" w:rsidP="00210BF6">
            <w:pPr>
              <w:jc w:val="center"/>
              <w:rPr>
                <w:sz w:val="22"/>
                <w:szCs w:val="22"/>
              </w:rPr>
            </w:pPr>
            <w:r w:rsidRPr="00EA56A4">
              <w:rPr>
                <w:sz w:val="22"/>
                <w:szCs w:val="22"/>
              </w:rPr>
              <w:t>0,5</w:t>
            </w:r>
          </w:p>
        </w:tc>
        <w:tc>
          <w:tcPr>
            <w:tcW w:w="1276" w:type="dxa"/>
            <w:tcBorders>
              <w:top w:val="nil"/>
              <w:left w:val="nil"/>
              <w:bottom w:val="single" w:sz="4" w:space="0" w:color="auto"/>
              <w:right w:val="single" w:sz="4" w:space="0" w:color="auto"/>
            </w:tcBorders>
            <w:shd w:val="clear" w:color="auto" w:fill="auto"/>
            <w:vAlign w:val="center"/>
            <w:hideMark/>
          </w:tcPr>
          <w:p w:rsidR="0055491A" w:rsidRPr="00EA56A4" w:rsidRDefault="0055491A" w:rsidP="00210BF6">
            <w:pPr>
              <w:jc w:val="center"/>
              <w:rPr>
                <w:sz w:val="22"/>
                <w:szCs w:val="22"/>
              </w:rPr>
            </w:pPr>
            <w:r w:rsidRPr="00EA56A4">
              <w:rPr>
                <w:sz w:val="22"/>
                <w:szCs w:val="22"/>
              </w:rPr>
              <w:t>1</w:t>
            </w:r>
          </w:p>
        </w:tc>
        <w:tc>
          <w:tcPr>
            <w:tcW w:w="992" w:type="dxa"/>
            <w:tcBorders>
              <w:top w:val="nil"/>
              <w:left w:val="nil"/>
              <w:bottom w:val="single" w:sz="4" w:space="0" w:color="auto"/>
              <w:right w:val="single" w:sz="4" w:space="0" w:color="auto"/>
            </w:tcBorders>
            <w:shd w:val="clear" w:color="auto" w:fill="auto"/>
            <w:vAlign w:val="center"/>
            <w:hideMark/>
          </w:tcPr>
          <w:p w:rsidR="0055491A" w:rsidRPr="00EA56A4" w:rsidRDefault="0055491A" w:rsidP="00210BF6">
            <w:pPr>
              <w:jc w:val="center"/>
              <w:rPr>
                <w:sz w:val="22"/>
                <w:szCs w:val="22"/>
              </w:rPr>
            </w:pPr>
            <w:r w:rsidRPr="00EA56A4">
              <w:rPr>
                <w:sz w:val="22"/>
                <w:szCs w:val="22"/>
              </w:rPr>
              <w:t>0,5</w:t>
            </w:r>
          </w:p>
        </w:tc>
        <w:tc>
          <w:tcPr>
            <w:tcW w:w="1276" w:type="dxa"/>
            <w:tcBorders>
              <w:top w:val="nil"/>
              <w:left w:val="nil"/>
              <w:bottom w:val="single" w:sz="4" w:space="0" w:color="auto"/>
              <w:right w:val="single" w:sz="4" w:space="0" w:color="auto"/>
            </w:tcBorders>
            <w:shd w:val="clear" w:color="auto" w:fill="auto"/>
            <w:vAlign w:val="center"/>
            <w:hideMark/>
          </w:tcPr>
          <w:p w:rsidR="0055491A" w:rsidRPr="00EA56A4" w:rsidRDefault="0055491A" w:rsidP="00210BF6">
            <w:pPr>
              <w:jc w:val="center"/>
              <w:rPr>
                <w:sz w:val="22"/>
                <w:szCs w:val="22"/>
              </w:rPr>
            </w:pPr>
            <w:r w:rsidRPr="00EA56A4">
              <w:rPr>
                <w:sz w:val="22"/>
                <w:szCs w:val="22"/>
              </w:rPr>
              <w:t>1</w:t>
            </w:r>
          </w:p>
        </w:tc>
        <w:tc>
          <w:tcPr>
            <w:tcW w:w="992" w:type="dxa"/>
            <w:tcBorders>
              <w:top w:val="nil"/>
              <w:left w:val="nil"/>
              <w:bottom w:val="single" w:sz="4" w:space="0" w:color="auto"/>
              <w:right w:val="single" w:sz="4" w:space="0" w:color="auto"/>
            </w:tcBorders>
            <w:shd w:val="clear" w:color="auto" w:fill="auto"/>
            <w:vAlign w:val="center"/>
            <w:hideMark/>
          </w:tcPr>
          <w:p w:rsidR="0055491A" w:rsidRPr="00EA56A4" w:rsidRDefault="0055491A" w:rsidP="00210BF6">
            <w:pPr>
              <w:jc w:val="center"/>
              <w:rPr>
                <w:sz w:val="22"/>
                <w:szCs w:val="22"/>
              </w:rPr>
            </w:pPr>
            <w:r w:rsidRPr="00EA56A4">
              <w:rPr>
                <w:sz w:val="22"/>
                <w:szCs w:val="22"/>
              </w:rPr>
              <w:t>0,5</w:t>
            </w:r>
          </w:p>
        </w:tc>
      </w:tr>
      <w:tr w:rsidR="0055491A" w:rsidRPr="00B376AC" w:rsidTr="00210BF6">
        <w:trPr>
          <w:trHeight w:val="283"/>
        </w:trPr>
        <w:tc>
          <w:tcPr>
            <w:tcW w:w="1276" w:type="dxa"/>
            <w:vMerge/>
            <w:tcBorders>
              <w:left w:val="single" w:sz="4" w:space="0" w:color="auto"/>
              <w:right w:val="single" w:sz="4" w:space="0" w:color="auto"/>
            </w:tcBorders>
            <w:shd w:val="clear" w:color="auto" w:fill="auto"/>
            <w:vAlign w:val="center"/>
            <w:hideMark/>
          </w:tcPr>
          <w:p w:rsidR="0055491A" w:rsidRPr="00EA56A4" w:rsidRDefault="0055491A" w:rsidP="00210BF6">
            <w:pPr>
              <w:jc w:val="center"/>
              <w:rPr>
                <w:bCs/>
                <w:sz w:val="22"/>
                <w:szCs w:val="22"/>
              </w:rPr>
            </w:pPr>
          </w:p>
        </w:tc>
        <w:tc>
          <w:tcPr>
            <w:tcW w:w="992" w:type="dxa"/>
            <w:tcBorders>
              <w:top w:val="nil"/>
              <w:left w:val="nil"/>
              <w:bottom w:val="single" w:sz="4" w:space="0" w:color="auto"/>
              <w:right w:val="single" w:sz="4" w:space="0" w:color="auto"/>
            </w:tcBorders>
            <w:shd w:val="clear" w:color="auto" w:fill="auto"/>
            <w:vAlign w:val="center"/>
            <w:hideMark/>
          </w:tcPr>
          <w:p w:rsidR="0055491A" w:rsidRPr="00EA56A4" w:rsidRDefault="0055491A" w:rsidP="00210BF6">
            <w:pPr>
              <w:jc w:val="center"/>
              <w:rPr>
                <w:sz w:val="22"/>
                <w:szCs w:val="22"/>
              </w:rPr>
            </w:pPr>
            <w:r w:rsidRPr="00EA56A4">
              <w:rPr>
                <w:sz w:val="22"/>
                <w:szCs w:val="22"/>
              </w:rPr>
              <w:t>1</w:t>
            </w:r>
          </w:p>
        </w:tc>
        <w:tc>
          <w:tcPr>
            <w:tcW w:w="1418" w:type="dxa"/>
            <w:tcBorders>
              <w:top w:val="nil"/>
              <w:left w:val="nil"/>
              <w:bottom w:val="single" w:sz="4" w:space="0" w:color="auto"/>
              <w:right w:val="single" w:sz="4" w:space="0" w:color="auto"/>
            </w:tcBorders>
            <w:shd w:val="clear" w:color="auto" w:fill="auto"/>
            <w:vAlign w:val="center"/>
            <w:hideMark/>
          </w:tcPr>
          <w:p w:rsidR="0055491A" w:rsidRPr="00EA56A4" w:rsidRDefault="0055491A" w:rsidP="00210BF6">
            <w:pPr>
              <w:jc w:val="center"/>
              <w:rPr>
                <w:sz w:val="22"/>
                <w:szCs w:val="22"/>
              </w:rPr>
            </w:pPr>
            <w:r w:rsidRPr="00EA56A4">
              <w:rPr>
                <w:sz w:val="22"/>
                <w:szCs w:val="22"/>
              </w:rPr>
              <w:t>1</w:t>
            </w:r>
          </w:p>
        </w:tc>
        <w:tc>
          <w:tcPr>
            <w:tcW w:w="992" w:type="dxa"/>
            <w:tcBorders>
              <w:top w:val="nil"/>
              <w:left w:val="nil"/>
              <w:bottom w:val="single" w:sz="4" w:space="0" w:color="auto"/>
              <w:right w:val="single" w:sz="4" w:space="0" w:color="auto"/>
            </w:tcBorders>
            <w:shd w:val="clear" w:color="auto" w:fill="auto"/>
            <w:vAlign w:val="center"/>
            <w:hideMark/>
          </w:tcPr>
          <w:p w:rsidR="0055491A" w:rsidRPr="00EA56A4" w:rsidRDefault="0055491A" w:rsidP="00210BF6">
            <w:pPr>
              <w:jc w:val="center"/>
              <w:rPr>
                <w:sz w:val="22"/>
                <w:szCs w:val="22"/>
              </w:rPr>
            </w:pPr>
            <w:r w:rsidRPr="00EA56A4">
              <w:rPr>
                <w:sz w:val="22"/>
                <w:szCs w:val="22"/>
              </w:rPr>
              <w:t>1,0</w:t>
            </w:r>
          </w:p>
        </w:tc>
        <w:tc>
          <w:tcPr>
            <w:tcW w:w="1276" w:type="dxa"/>
            <w:tcBorders>
              <w:top w:val="nil"/>
              <w:left w:val="nil"/>
              <w:bottom w:val="single" w:sz="4" w:space="0" w:color="auto"/>
              <w:right w:val="single" w:sz="4" w:space="0" w:color="auto"/>
            </w:tcBorders>
            <w:shd w:val="clear" w:color="auto" w:fill="auto"/>
            <w:vAlign w:val="center"/>
            <w:hideMark/>
          </w:tcPr>
          <w:p w:rsidR="0055491A" w:rsidRPr="00EA56A4" w:rsidRDefault="0055491A" w:rsidP="00210BF6">
            <w:pPr>
              <w:jc w:val="center"/>
              <w:rPr>
                <w:sz w:val="22"/>
                <w:szCs w:val="22"/>
              </w:rPr>
            </w:pPr>
            <w:r w:rsidRPr="00EA56A4">
              <w:rPr>
                <w:sz w:val="22"/>
                <w:szCs w:val="22"/>
              </w:rPr>
              <w:t>1</w:t>
            </w:r>
          </w:p>
        </w:tc>
        <w:tc>
          <w:tcPr>
            <w:tcW w:w="992" w:type="dxa"/>
            <w:tcBorders>
              <w:top w:val="nil"/>
              <w:left w:val="nil"/>
              <w:bottom w:val="single" w:sz="4" w:space="0" w:color="auto"/>
              <w:right w:val="single" w:sz="4" w:space="0" w:color="auto"/>
            </w:tcBorders>
            <w:shd w:val="clear" w:color="auto" w:fill="auto"/>
            <w:vAlign w:val="center"/>
            <w:hideMark/>
          </w:tcPr>
          <w:p w:rsidR="0055491A" w:rsidRPr="00EA56A4" w:rsidRDefault="0055491A" w:rsidP="00210BF6">
            <w:pPr>
              <w:jc w:val="center"/>
              <w:rPr>
                <w:sz w:val="22"/>
                <w:szCs w:val="22"/>
              </w:rPr>
            </w:pPr>
            <w:r w:rsidRPr="00EA56A4">
              <w:rPr>
                <w:sz w:val="22"/>
                <w:szCs w:val="22"/>
              </w:rPr>
              <w:t>1,0</w:t>
            </w:r>
          </w:p>
        </w:tc>
        <w:tc>
          <w:tcPr>
            <w:tcW w:w="1276" w:type="dxa"/>
            <w:tcBorders>
              <w:top w:val="nil"/>
              <w:left w:val="nil"/>
              <w:bottom w:val="single" w:sz="4" w:space="0" w:color="auto"/>
              <w:right w:val="single" w:sz="4" w:space="0" w:color="auto"/>
            </w:tcBorders>
            <w:shd w:val="clear" w:color="auto" w:fill="auto"/>
            <w:vAlign w:val="center"/>
            <w:hideMark/>
          </w:tcPr>
          <w:p w:rsidR="0055491A" w:rsidRPr="00EA56A4" w:rsidRDefault="0055491A" w:rsidP="00210BF6">
            <w:pPr>
              <w:jc w:val="center"/>
              <w:rPr>
                <w:sz w:val="22"/>
                <w:szCs w:val="22"/>
              </w:rPr>
            </w:pPr>
            <w:r w:rsidRPr="00EA56A4">
              <w:rPr>
                <w:sz w:val="22"/>
                <w:szCs w:val="22"/>
              </w:rPr>
              <w:t>1</w:t>
            </w:r>
          </w:p>
        </w:tc>
        <w:tc>
          <w:tcPr>
            <w:tcW w:w="992" w:type="dxa"/>
            <w:tcBorders>
              <w:top w:val="nil"/>
              <w:left w:val="nil"/>
              <w:bottom w:val="single" w:sz="4" w:space="0" w:color="auto"/>
              <w:right w:val="single" w:sz="4" w:space="0" w:color="auto"/>
            </w:tcBorders>
            <w:shd w:val="clear" w:color="auto" w:fill="auto"/>
            <w:vAlign w:val="center"/>
            <w:hideMark/>
          </w:tcPr>
          <w:p w:rsidR="0055491A" w:rsidRPr="00EA56A4" w:rsidRDefault="0055491A" w:rsidP="00210BF6">
            <w:pPr>
              <w:jc w:val="center"/>
              <w:rPr>
                <w:sz w:val="22"/>
                <w:szCs w:val="22"/>
              </w:rPr>
            </w:pPr>
            <w:r w:rsidRPr="00EA56A4">
              <w:rPr>
                <w:sz w:val="22"/>
                <w:szCs w:val="22"/>
              </w:rPr>
              <w:t>1,0</w:t>
            </w:r>
          </w:p>
        </w:tc>
      </w:tr>
      <w:tr w:rsidR="0055491A" w:rsidRPr="00B376AC" w:rsidTr="00210BF6">
        <w:trPr>
          <w:trHeight w:val="283"/>
        </w:trPr>
        <w:tc>
          <w:tcPr>
            <w:tcW w:w="1276" w:type="dxa"/>
            <w:vMerge/>
            <w:tcBorders>
              <w:left w:val="single" w:sz="4" w:space="0" w:color="auto"/>
              <w:right w:val="single" w:sz="4" w:space="0" w:color="auto"/>
            </w:tcBorders>
            <w:shd w:val="clear" w:color="auto" w:fill="auto"/>
            <w:vAlign w:val="center"/>
          </w:tcPr>
          <w:p w:rsidR="0055491A" w:rsidRPr="00EA56A4" w:rsidRDefault="0055491A" w:rsidP="00210BF6">
            <w:pPr>
              <w:jc w:val="center"/>
              <w:rPr>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55491A" w:rsidRPr="00EA56A4" w:rsidRDefault="0055491A" w:rsidP="00210BF6">
            <w:pPr>
              <w:jc w:val="center"/>
              <w:rPr>
                <w:sz w:val="22"/>
                <w:szCs w:val="22"/>
              </w:rPr>
            </w:pPr>
            <w:r w:rsidRPr="00EA56A4">
              <w:rPr>
                <w:sz w:val="22"/>
                <w:szCs w:val="22"/>
              </w:rPr>
              <w:t>2</w:t>
            </w:r>
          </w:p>
        </w:tc>
        <w:tc>
          <w:tcPr>
            <w:tcW w:w="1418" w:type="dxa"/>
            <w:tcBorders>
              <w:top w:val="nil"/>
              <w:left w:val="nil"/>
              <w:bottom w:val="single" w:sz="4" w:space="0" w:color="auto"/>
              <w:right w:val="single" w:sz="4" w:space="0" w:color="auto"/>
            </w:tcBorders>
            <w:shd w:val="clear" w:color="auto" w:fill="auto"/>
            <w:vAlign w:val="center"/>
          </w:tcPr>
          <w:p w:rsidR="0055491A" w:rsidRPr="00EA56A4" w:rsidRDefault="0055491A" w:rsidP="00210BF6">
            <w:pPr>
              <w:jc w:val="center"/>
              <w:rPr>
                <w:sz w:val="22"/>
                <w:szCs w:val="22"/>
              </w:rPr>
            </w:pPr>
            <w:r w:rsidRPr="00EA56A4">
              <w:rPr>
                <w:sz w:val="22"/>
                <w:szCs w:val="22"/>
              </w:rPr>
              <w:t>1</w:t>
            </w:r>
          </w:p>
        </w:tc>
        <w:tc>
          <w:tcPr>
            <w:tcW w:w="992" w:type="dxa"/>
            <w:tcBorders>
              <w:top w:val="nil"/>
              <w:left w:val="nil"/>
              <w:bottom w:val="single" w:sz="4" w:space="0" w:color="auto"/>
              <w:right w:val="single" w:sz="4" w:space="0" w:color="auto"/>
            </w:tcBorders>
            <w:shd w:val="clear" w:color="auto" w:fill="auto"/>
            <w:vAlign w:val="center"/>
          </w:tcPr>
          <w:p w:rsidR="0055491A" w:rsidRPr="00EA56A4" w:rsidRDefault="0055491A" w:rsidP="00210BF6">
            <w:pPr>
              <w:jc w:val="center"/>
              <w:rPr>
                <w:sz w:val="22"/>
                <w:szCs w:val="22"/>
              </w:rPr>
            </w:pPr>
            <w:r w:rsidRPr="00EA56A4">
              <w:rPr>
                <w:sz w:val="22"/>
                <w:szCs w:val="22"/>
              </w:rPr>
              <w:t>2,0</w:t>
            </w:r>
          </w:p>
        </w:tc>
        <w:tc>
          <w:tcPr>
            <w:tcW w:w="1276" w:type="dxa"/>
            <w:tcBorders>
              <w:top w:val="nil"/>
              <w:left w:val="nil"/>
              <w:bottom w:val="single" w:sz="4" w:space="0" w:color="auto"/>
              <w:right w:val="single" w:sz="4" w:space="0" w:color="auto"/>
            </w:tcBorders>
            <w:shd w:val="clear" w:color="auto" w:fill="auto"/>
            <w:vAlign w:val="center"/>
          </w:tcPr>
          <w:p w:rsidR="0055491A" w:rsidRPr="00EA56A4" w:rsidRDefault="0055491A" w:rsidP="00210BF6">
            <w:pPr>
              <w:jc w:val="center"/>
              <w:rPr>
                <w:sz w:val="22"/>
                <w:szCs w:val="22"/>
              </w:rPr>
            </w:pPr>
            <w:r w:rsidRPr="00EA56A4">
              <w:rPr>
                <w:sz w:val="22"/>
                <w:szCs w:val="22"/>
              </w:rPr>
              <w:t>1</w:t>
            </w:r>
          </w:p>
        </w:tc>
        <w:tc>
          <w:tcPr>
            <w:tcW w:w="992" w:type="dxa"/>
            <w:tcBorders>
              <w:top w:val="nil"/>
              <w:left w:val="nil"/>
              <w:bottom w:val="single" w:sz="4" w:space="0" w:color="auto"/>
              <w:right w:val="single" w:sz="4" w:space="0" w:color="auto"/>
            </w:tcBorders>
            <w:shd w:val="clear" w:color="auto" w:fill="auto"/>
            <w:vAlign w:val="center"/>
          </w:tcPr>
          <w:p w:rsidR="0055491A" w:rsidRPr="00EA56A4" w:rsidRDefault="0055491A" w:rsidP="00210BF6">
            <w:pPr>
              <w:jc w:val="center"/>
              <w:rPr>
                <w:sz w:val="22"/>
                <w:szCs w:val="22"/>
              </w:rPr>
            </w:pPr>
            <w:r w:rsidRPr="00EA56A4">
              <w:rPr>
                <w:sz w:val="22"/>
                <w:szCs w:val="22"/>
              </w:rPr>
              <w:t>2,0</w:t>
            </w:r>
          </w:p>
        </w:tc>
        <w:tc>
          <w:tcPr>
            <w:tcW w:w="1276" w:type="dxa"/>
            <w:tcBorders>
              <w:top w:val="nil"/>
              <w:left w:val="nil"/>
              <w:bottom w:val="single" w:sz="4" w:space="0" w:color="auto"/>
              <w:right w:val="single" w:sz="4" w:space="0" w:color="auto"/>
            </w:tcBorders>
            <w:shd w:val="clear" w:color="auto" w:fill="auto"/>
            <w:vAlign w:val="center"/>
          </w:tcPr>
          <w:p w:rsidR="0055491A" w:rsidRPr="00EA56A4" w:rsidRDefault="0055491A" w:rsidP="00210BF6">
            <w:pPr>
              <w:jc w:val="center"/>
              <w:rPr>
                <w:sz w:val="22"/>
                <w:szCs w:val="22"/>
              </w:rPr>
            </w:pPr>
            <w:r w:rsidRPr="00EA56A4">
              <w:rPr>
                <w:sz w:val="22"/>
                <w:szCs w:val="22"/>
              </w:rPr>
              <w:t>1</w:t>
            </w:r>
          </w:p>
        </w:tc>
        <w:tc>
          <w:tcPr>
            <w:tcW w:w="992" w:type="dxa"/>
            <w:tcBorders>
              <w:top w:val="nil"/>
              <w:left w:val="nil"/>
              <w:bottom w:val="single" w:sz="4" w:space="0" w:color="auto"/>
              <w:right w:val="single" w:sz="4" w:space="0" w:color="auto"/>
            </w:tcBorders>
            <w:shd w:val="clear" w:color="auto" w:fill="auto"/>
            <w:vAlign w:val="center"/>
          </w:tcPr>
          <w:p w:rsidR="0055491A" w:rsidRPr="00EA56A4" w:rsidRDefault="0055491A" w:rsidP="00210BF6">
            <w:pPr>
              <w:jc w:val="center"/>
              <w:rPr>
                <w:sz w:val="22"/>
                <w:szCs w:val="22"/>
              </w:rPr>
            </w:pPr>
            <w:r w:rsidRPr="00EA56A4">
              <w:rPr>
                <w:sz w:val="22"/>
                <w:szCs w:val="22"/>
              </w:rPr>
              <w:t>2,0</w:t>
            </w:r>
          </w:p>
        </w:tc>
      </w:tr>
      <w:tr w:rsidR="0055491A" w:rsidRPr="00B376AC" w:rsidTr="00210BF6">
        <w:trPr>
          <w:trHeight w:val="283"/>
        </w:trPr>
        <w:tc>
          <w:tcPr>
            <w:tcW w:w="1276" w:type="dxa"/>
            <w:vMerge/>
            <w:tcBorders>
              <w:left w:val="single" w:sz="4" w:space="0" w:color="auto"/>
              <w:right w:val="single" w:sz="4" w:space="0" w:color="auto"/>
            </w:tcBorders>
            <w:shd w:val="clear" w:color="auto" w:fill="auto"/>
            <w:vAlign w:val="center"/>
            <w:hideMark/>
          </w:tcPr>
          <w:p w:rsidR="0055491A" w:rsidRPr="00EA56A4" w:rsidRDefault="0055491A" w:rsidP="00210BF6">
            <w:pPr>
              <w:jc w:val="center"/>
              <w:rPr>
                <w:bCs/>
                <w:sz w:val="22"/>
                <w:szCs w:val="22"/>
              </w:rPr>
            </w:pPr>
          </w:p>
        </w:tc>
        <w:tc>
          <w:tcPr>
            <w:tcW w:w="992" w:type="dxa"/>
            <w:tcBorders>
              <w:top w:val="nil"/>
              <w:left w:val="nil"/>
              <w:bottom w:val="single" w:sz="4" w:space="0" w:color="auto"/>
              <w:right w:val="single" w:sz="4" w:space="0" w:color="auto"/>
            </w:tcBorders>
            <w:shd w:val="clear" w:color="auto" w:fill="auto"/>
            <w:vAlign w:val="center"/>
            <w:hideMark/>
          </w:tcPr>
          <w:p w:rsidR="0055491A" w:rsidRPr="00EA56A4" w:rsidRDefault="0055491A" w:rsidP="00210BF6">
            <w:pPr>
              <w:jc w:val="center"/>
              <w:rPr>
                <w:sz w:val="22"/>
                <w:szCs w:val="22"/>
              </w:rPr>
            </w:pPr>
            <w:r w:rsidRPr="00EA56A4">
              <w:rPr>
                <w:sz w:val="22"/>
                <w:szCs w:val="22"/>
              </w:rPr>
              <w:t>10</w:t>
            </w:r>
          </w:p>
        </w:tc>
        <w:tc>
          <w:tcPr>
            <w:tcW w:w="1418" w:type="dxa"/>
            <w:tcBorders>
              <w:top w:val="nil"/>
              <w:left w:val="nil"/>
              <w:bottom w:val="single" w:sz="4" w:space="0" w:color="auto"/>
              <w:right w:val="single" w:sz="4" w:space="0" w:color="auto"/>
            </w:tcBorders>
            <w:shd w:val="clear" w:color="auto" w:fill="auto"/>
            <w:vAlign w:val="center"/>
            <w:hideMark/>
          </w:tcPr>
          <w:p w:rsidR="0055491A" w:rsidRPr="00EA56A4" w:rsidRDefault="0055491A" w:rsidP="00210BF6">
            <w:pPr>
              <w:jc w:val="center"/>
              <w:rPr>
                <w:sz w:val="22"/>
                <w:szCs w:val="22"/>
              </w:rPr>
            </w:pPr>
            <w:r w:rsidRPr="00EA56A4">
              <w:rPr>
                <w:sz w:val="22"/>
                <w:szCs w:val="22"/>
              </w:rPr>
              <w:t>1</w:t>
            </w:r>
          </w:p>
        </w:tc>
        <w:tc>
          <w:tcPr>
            <w:tcW w:w="992" w:type="dxa"/>
            <w:tcBorders>
              <w:top w:val="nil"/>
              <w:left w:val="nil"/>
              <w:bottom w:val="single" w:sz="4" w:space="0" w:color="auto"/>
              <w:right w:val="single" w:sz="4" w:space="0" w:color="auto"/>
            </w:tcBorders>
            <w:shd w:val="clear" w:color="auto" w:fill="auto"/>
            <w:vAlign w:val="center"/>
            <w:hideMark/>
          </w:tcPr>
          <w:p w:rsidR="0055491A" w:rsidRPr="00EA56A4" w:rsidRDefault="0055491A" w:rsidP="00210BF6">
            <w:pPr>
              <w:jc w:val="center"/>
              <w:rPr>
                <w:sz w:val="22"/>
                <w:szCs w:val="22"/>
              </w:rPr>
            </w:pPr>
            <w:r w:rsidRPr="00EA56A4">
              <w:rPr>
                <w:sz w:val="22"/>
                <w:szCs w:val="22"/>
              </w:rPr>
              <w:t>10,0</w:t>
            </w:r>
          </w:p>
        </w:tc>
        <w:tc>
          <w:tcPr>
            <w:tcW w:w="1276" w:type="dxa"/>
            <w:tcBorders>
              <w:top w:val="nil"/>
              <w:left w:val="nil"/>
              <w:bottom w:val="single" w:sz="4" w:space="0" w:color="auto"/>
              <w:right w:val="single" w:sz="4" w:space="0" w:color="auto"/>
            </w:tcBorders>
            <w:shd w:val="clear" w:color="auto" w:fill="auto"/>
            <w:vAlign w:val="center"/>
            <w:hideMark/>
          </w:tcPr>
          <w:p w:rsidR="0055491A" w:rsidRPr="00EA56A4" w:rsidRDefault="0055491A" w:rsidP="00210BF6">
            <w:pPr>
              <w:jc w:val="center"/>
              <w:rPr>
                <w:sz w:val="22"/>
                <w:szCs w:val="22"/>
              </w:rPr>
            </w:pPr>
            <w:r w:rsidRPr="00EA56A4">
              <w:rPr>
                <w:sz w:val="22"/>
                <w:szCs w:val="22"/>
              </w:rPr>
              <w:t>1</w:t>
            </w:r>
          </w:p>
        </w:tc>
        <w:tc>
          <w:tcPr>
            <w:tcW w:w="992" w:type="dxa"/>
            <w:tcBorders>
              <w:top w:val="nil"/>
              <w:left w:val="nil"/>
              <w:bottom w:val="single" w:sz="4" w:space="0" w:color="auto"/>
              <w:right w:val="single" w:sz="4" w:space="0" w:color="auto"/>
            </w:tcBorders>
            <w:shd w:val="clear" w:color="auto" w:fill="auto"/>
            <w:vAlign w:val="center"/>
            <w:hideMark/>
          </w:tcPr>
          <w:p w:rsidR="0055491A" w:rsidRPr="00EA56A4" w:rsidRDefault="0055491A" w:rsidP="00210BF6">
            <w:pPr>
              <w:jc w:val="center"/>
              <w:rPr>
                <w:sz w:val="22"/>
                <w:szCs w:val="22"/>
              </w:rPr>
            </w:pPr>
            <w:r w:rsidRPr="00EA56A4">
              <w:rPr>
                <w:sz w:val="22"/>
                <w:szCs w:val="22"/>
              </w:rPr>
              <w:t>10,0</w:t>
            </w:r>
          </w:p>
        </w:tc>
        <w:tc>
          <w:tcPr>
            <w:tcW w:w="1276" w:type="dxa"/>
            <w:tcBorders>
              <w:top w:val="nil"/>
              <w:left w:val="nil"/>
              <w:bottom w:val="single" w:sz="4" w:space="0" w:color="auto"/>
              <w:right w:val="single" w:sz="4" w:space="0" w:color="auto"/>
            </w:tcBorders>
            <w:shd w:val="clear" w:color="auto" w:fill="auto"/>
            <w:vAlign w:val="center"/>
            <w:hideMark/>
          </w:tcPr>
          <w:p w:rsidR="0055491A" w:rsidRPr="00EA56A4" w:rsidRDefault="0055491A" w:rsidP="00210BF6">
            <w:pPr>
              <w:jc w:val="center"/>
              <w:rPr>
                <w:sz w:val="22"/>
                <w:szCs w:val="22"/>
              </w:rPr>
            </w:pPr>
            <w:r w:rsidRPr="00EA56A4">
              <w:rPr>
                <w:sz w:val="22"/>
                <w:szCs w:val="22"/>
              </w:rPr>
              <w:t>1</w:t>
            </w:r>
          </w:p>
        </w:tc>
        <w:tc>
          <w:tcPr>
            <w:tcW w:w="992" w:type="dxa"/>
            <w:tcBorders>
              <w:top w:val="nil"/>
              <w:left w:val="nil"/>
              <w:bottom w:val="single" w:sz="4" w:space="0" w:color="auto"/>
              <w:right w:val="single" w:sz="4" w:space="0" w:color="auto"/>
            </w:tcBorders>
            <w:shd w:val="clear" w:color="auto" w:fill="auto"/>
            <w:vAlign w:val="center"/>
            <w:hideMark/>
          </w:tcPr>
          <w:p w:rsidR="0055491A" w:rsidRPr="00EA56A4" w:rsidRDefault="0055491A" w:rsidP="00210BF6">
            <w:pPr>
              <w:jc w:val="center"/>
              <w:rPr>
                <w:sz w:val="22"/>
                <w:szCs w:val="22"/>
              </w:rPr>
            </w:pPr>
            <w:r w:rsidRPr="00EA56A4">
              <w:rPr>
                <w:sz w:val="22"/>
                <w:szCs w:val="22"/>
              </w:rPr>
              <w:t>10,0</w:t>
            </w:r>
          </w:p>
        </w:tc>
      </w:tr>
      <w:tr w:rsidR="0055491A" w:rsidRPr="00B376AC" w:rsidTr="00210BF6">
        <w:trPr>
          <w:trHeight w:val="283"/>
        </w:trPr>
        <w:tc>
          <w:tcPr>
            <w:tcW w:w="1276" w:type="dxa"/>
            <w:vMerge/>
            <w:tcBorders>
              <w:left w:val="single" w:sz="4" w:space="0" w:color="auto"/>
              <w:bottom w:val="single" w:sz="4" w:space="0" w:color="auto"/>
              <w:right w:val="single" w:sz="4" w:space="0" w:color="auto"/>
            </w:tcBorders>
            <w:shd w:val="clear" w:color="auto" w:fill="auto"/>
            <w:vAlign w:val="center"/>
          </w:tcPr>
          <w:p w:rsidR="0055491A" w:rsidRPr="00EA56A4" w:rsidRDefault="0055491A" w:rsidP="00210BF6">
            <w:pPr>
              <w:jc w:val="center"/>
              <w:rPr>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55491A" w:rsidRPr="00EA56A4" w:rsidRDefault="0055491A" w:rsidP="00210BF6">
            <w:pPr>
              <w:jc w:val="center"/>
              <w:rPr>
                <w:sz w:val="22"/>
                <w:szCs w:val="22"/>
              </w:rPr>
            </w:pPr>
            <w:r w:rsidRPr="00EA56A4">
              <w:rPr>
                <w:sz w:val="22"/>
                <w:szCs w:val="22"/>
              </w:rPr>
              <w:t>20</w:t>
            </w:r>
          </w:p>
        </w:tc>
        <w:tc>
          <w:tcPr>
            <w:tcW w:w="1418" w:type="dxa"/>
            <w:tcBorders>
              <w:top w:val="nil"/>
              <w:left w:val="nil"/>
              <w:bottom w:val="single" w:sz="4" w:space="0" w:color="auto"/>
              <w:right w:val="single" w:sz="4" w:space="0" w:color="auto"/>
            </w:tcBorders>
            <w:shd w:val="clear" w:color="auto" w:fill="auto"/>
            <w:vAlign w:val="center"/>
          </w:tcPr>
          <w:p w:rsidR="0055491A" w:rsidRPr="00EA56A4" w:rsidRDefault="0055491A" w:rsidP="00210BF6">
            <w:pPr>
              <w:jc w:val="center"/>
              <w:rPr>
                <w:sz w:val="22"/>
                <w:szCs w:val="22"/>
              </w:rPr>
            </w:pPr>
            <w:r w:rsidRPr="00EA56A4">
              <w:rPr>
                <w:sz w:val="22"/>
                <w:szCs w:val="22"/>
              </w:rPr>
              <w:t>1</w:t>
            </w:r>
          </w:p>
        </w:tc>
        <w:tc>
          <w:tcPr>
            <w:tcW w:w="992" w:type="dxa"/>
            <w:tcBorders>
              <w:top w:val="nil"/>
              <w:left w:val="nil"/>
              <w:bottom w:val="single" w:sz="4" w:space="0" w:color="auto"/>
              <w:right w:val="single" w:sz="4" w:space="0" w:color="auto"/>
            </w:tcBorders>
            <w:shd w:val="clear" w:color="auto" w:fill="auto"/>
            <w:vAlign w:val="center"/>
          </w:tcPr>
          <w:p w:rsidR="0055491A" w:rsidRPr="00EA56A4" w:rsidRDefault="0055491A" w:rsidP="00210BF6">
            <w:pPr>
              <w:jc w:val="center"/>
              <w:rPr>
                <w:sz w:val="22"/>
                <w:szCs w:val="22"/>
              </w:rPr>
            </w:pPr>
            <w:r w:rsidRPr="00EA56A4">
              <w:rPr>
                <w:sz w:val="22"/>
                <w:szCs w:val="22"/>
              </w:rPr>
              <w:t>20,0</w:t>
            </w:r>
          </w:p>
        </w:tc>
        <w:tc>
          <w:tcPr>
            <w:tcW w:w="1276" w:type="dxa"/>
            <w:tcBorders>
              <w:top w:val="nil"/>
              <w:left w:val="nil"/>
              <w:bottom w:val="single" w:sz="4" w:space="0" w:color="auto"/>
              <w:right w:val="single" w:sz="4" w:space="0" w:color="auto"/>
            </w:tcBorders>
            <w:shd w:val="clear" w:color="auto" w:fill="auto"/>
            <w:vAlign w:val="center"/>
          </w:tcPr>
          <w:p w:rsidR="0055491A" w:rsidRPr="00EA56A4" w:rsidRDefault="0055491A" w:rsidP="00210BF6">
            <w:pPr>
              <w:jc w:val="center"/>
              <w:rPr>
                <w:sz w:val="22"/>
                <w:szCs w:val="22"/>
              </w:rPr>
            </w:pPr>
            <w:r w:rsidRPr="00EA56A4">
              <w:rPr>
                <w:sz w:val="22"/>
                <w:szCs w:val="22"/>
              </w:rPr>
              <w:t>2</w:t>
            </w:r>
          </w:p>
        </w:tc>
        <w:tc>
          <w:tcPr>
            <w:tcW w:w="992" w:type="dxa"/>
            <w:tcBorders>
              <w:top w:val="nil"/>
              <w:left w:val="nil"/>
              <w:bottom w:val="single" w:sz="4" w:space="0" w:color="auto"/>
              <w:right w:val="single" w:sz="4" w:space="0" w:color="auto"/>
            </w:tcBorders>
            <w:shd w:val="clear" w:color="auto" w:fill="auto"/>
            <w:vAlign w:val="center"/>
          </w:tcPr>
          <w:p w:rsidR="0055491A" w:rsidRPr="00EA56A4" w:rsidRDefault="0055491A" w:rsidP="00210BF6">
            <w:pPr>
              <w:jc w:val="center"/>
              <w:rPr>
                <w:sz w:val="22"/>
                <w:szCs w:val="22"/>
              </w:rPr>
            </w:pPr>
            <w:r w:rsidRPr="00EA56A4">
              <w:rPr>
                <w:sz w:val="22"/>
                <w:szCs w:val="22"/>
              </w:rPr>
              <w:t>40,0</w:t>
            </w:r>
          </w:p>
        </w:tc>
        <w:tc>
          <w:tcPr>
            <w:tcW w:w="1276" w:type="dxa"/>
            <w:tcBorders>
              <w:top w:val="nil"/>
              <w:left w:val="nil"/>
              <w:bottom w:val="single" w:sz="4" w:space="0" w:color="auto"/>
              <w:right w:val="single" w:sz="4" w:space="0" w:color="auto"/>
            </w:tcBorders>
            <w:shd w:val="clear" w:color="auto" w:fill="auto"/>
            <w:vAlign w:val="center"/>
          </w:tcPr>
          <w:p w:rsidR="0055491A" w:rsidRPr="00EA56A4" w:rsidRDefault="0055491A" w:rsidP="00210BF6">
            <w:pPr>
              <w:jc w:val="center"/>
              <w:rPr>
                <w:sz w:val="22"/>
                <w:szCs w:val="22"/>
              </w:rPr>
            </w:pPr>
            <w:r w:rsidRPr="00EA56A4">
              <w:rPr>
                <w:sz w:val="22"/>
                <w:szCs w:val="22"/>
              </w:rPr>
              <w:t>1</w:t>
            </w:r>
          </w:p>
        </w:tc>
        <w:tc>
          <w:tcPr>
            <w:tcW w:w="992" w:type="dxa"/>
            <w:tcBorders>
              <w:top w:val="nil"/>
              <w:left w:val="nil"/>
              <w:bottom w:val="single" w:sz="4" w:space="0" w:color="auto"/>
              <w:right w:val="single" w:sz="4" w:space="0" w:color="auto"/>
            </w:tcBorders>
            <w:shd w:val="clear" w:color="auto" w:fill="auto"/>
            <w:vAlign w:val="center"/>
          </w:tcPr>
          <w:p w:rsidR="0055491A" w:rsidRPr="00EA56A4" w:rsidRDefault="0055491A" w:rsidP="00210BF6">
            <w:pPr>
              <w:jc w:val="center"/>
              <w:rPr>
                <w:sz w:val="22"/>
                <w:szCs w:val="22"/>
              </w:rPr>
            </w:pPr>
            <w:r w:rsidRPr="00EA56A4">
              <w:rPr>
                <w:sz w:val="22"/>
                <w:szCs w:val="22"/>
              </w:rPr>
              <w:t>20,0</w:t>
            </w:r>
          </w:p>
        </w:tc>
      </w:tr>
      <w:tr w:rsidR="0055491A" w:rsidRPr="00B376AC" w:rsidTr="00210BF6">
        <w:trPr>
          <w:trHeight w:val="283"/>
        </w:trPr>
        <w:tc>
          <w:tcPr>
            <w:tcW w:w="1276" w:type="dxa"/>
            <w:tcBorders>
              <w:top w:val="nil"/>
              <w:left w:val="single" w:sz="4" w:space="0" w:color="auto"/>
              <w:bottom w:val="single" w:sz="4" w:space="0" w:color="auto"/>
              <w:right w:val="single" w:sz="4" w:space="0" w:color="auto"/>
            </w:tcBorders>
            <w:shd w:val="clear" w:color="auto" w:fill="auto"/>
            <w:vAlign w:val="center"/>
          </w:tcPr>
          <w:p w:rsidR="0055491A" w:rsidRPr="00EA56A4" w:rsidRDefault="0055491A" w:rsidP="00210BF6">
            <w:pPr>
              <w:jc w:val="center"/>
              <w:rPr>
                <w:b/>
                <w:sz w:val="22"/>
                <w:szCs w:val="22"/>
              </w:rPr>
            </w:pPr>
            <w:r w:rsidRPr="00EA56A4">
              <w:rPr>
                <w:b/>
                <w:bCs/>
                <w:sz w:val="22"/>
                <w:szCs w:val="22"/>
              </w:rPr>
              <w:t>ИТОГО</w:t>
            </w:r>
          </w:p>
        </w:tc>
        <w:tc>
          <w:tcPr>
            <w:tcW w:w="992" w:type="dxa"/>
            <w:tcBorders>
              <w:top w:val="nil"/>
              <w:left w:val="nil"/>
              <w:bottom w:val="single" w:sz="4" w:space="0" w:color="auto"/>
              <w:right w:val="single" w:sz="4" w:space="0" w:color="auto"/>
            </w:tcBorders>
            <w:shd w:val="clear" w:color="auto" w:fill="auto"/>
            <w:vAlign w:val="center"/>
          </w:tcPr>
          <w:p w:rsidR="0055491A" w:rsidRPr="00EA56A4" w:rsidRDefault="0055491A" w:rsidP="00210BF6">
            <w:pPr>
              <w:jc w:val="center"/>
              <w:rPr>
                <w:color w:val="000000"/>
                <w:sz w:val="22"/>
                <w:szCs w:val="22"/>
              </w:rPr>
            </w:pPr>
          </w:p>
        </w:tc>
        <w:tc>
          <w:tcPr>
            <w:tcW w:w="1418" w:type="dxa"/>
            <w:tcBorders>
              <w:top w:val="nil"/>
              <w:left w:val="nil"/>
              <w:bottom w:val="single" w:sz="4" w:space="0" w:color="auto"/>
              <w:right w:val="single" w:sz="4" w:space="0" w:color="auto"/>
            </w:tcBorders>
            <w:shd w:val="clear" w:color="auto" w:fill="auto"/>
            <w:vAlign w:val="center"/>
          </w:tcPr>
          <w:p w:rsidR="0055491A" w:rsidRPr="00EA56A4" w:rsidRDefault="0055491A" w:rsidP="00210BF6">
            <w:pPr>
              <w:jc w:val="center"/>
              <w:rPr>
                <w:b/>
                <w:color w:val="000000"/>
                <w:sz w:val="22"/>
                <w:szCs w:val="22"/>
              </w:rPr>
            </w:pPr>
          </w:p>
        </w:tc>
        <w:tc>
          <w:tcPr>
            <w:tcW w:w="992" w:type="dxa"/>
            <w:tcBorders>
              <w:top w:val="nil"/>
              <w:left w:val="nil"/>
              <w:bottom w:val="single" w:sz="4" w:space="0" w:color="auto"/>
              <w:right w:val="single" w:sz="4" w:space="0" w:color="auto"/>
            </w:tcBorders>
            <w:shd w:val="clear" w:color="auto" w:fill="auto"/>
            <w:vAlign w:val="center"/>
          </w:tcPr>
          <w:p w:rsidR="0055491A" w:rsidRPr="00EA56A4" w:rsidRDefault="0055491A" w:rsidP="00210BF6">
            <w:pPr>
              <w:jc w:val="center"/>
              <w:rPr>
                <w:b/>
                <w:color w:val="000000"/>
                <w:sz w:val="22"/>
                <w:szCs w:val="22"/>
              </w:rPr>
            </w:pPr>
            <w:r w:rsidRPr="00EA56A4">
              <w:rPr>
                <w:b/>
                <w:color w:val="000000"/>
                <w:sz w:val="22"/>
                <w:szCs w:val="22"/>
              </w:rPr>
              <w:t>1 330,0</w:t>
            </w:r>
          </w:p>
        </w:tc>
        <w:tc>
          <w:tcPr>
            <w:tcW w:w="1276" w:type="dxa"/>
            <w:tcBorders>
              <w:top w:val="nil"/>
              <w:left w:val="nil"/>
              <w:bottom w:val="single" w:sz="4" w:space="0" w:color="auto"/>
              <w:right w:val="single" w:sz="4" w:space="0" w:color="auto"/>
            </w:tcBorders>
            <w:shd w:val="clear" w:color="auto" w:fill="auto"/>
            <w:vAlign w:val="center"/>
          </w:tcPr>
          <w:p w:rsidR="0055491A" w:rsidRPr="00EA56A4" w:rsidRDefault="0055491A" w:rsidP="00210BF6">
            <w:pPr>
              <w:jc w:val="center"/>
              <w:rPr>
                <w:b/>
                <w:color w:val="000000"/>
                <w:sz w:val="22"/>
                <w:szCs w:val="22"/>
              </w:rPr>
            </w:pPr>
          </w:p>
        </w:tc>
        <w:tc>
          <w:tcPr>
            <w:tcW w:w="992" w:type="dxa"/>
            <w:tcBorders>
              <w:top w:val="nil"/>
              <w:left w:val="nil"/>
              <w:bottom w:val="single" w:sz="4" w:space="0" w:color="auto"/>
              <w:right w:val="single" w:sz="4" w:space="0" w:color="auto"/>
            </w:tcBorders>
            <w:shd w:val="clear" w:color="auto" w:fill="auto"/>
            <w:vAlign w:val="center"/>
          </w:tcPr>
          <w:p w:rsidR="0055491A" w:rsidRPr="00EA56A4" w:rsidRDefault="0055491A" w:rsidP="00210BF6">
            <w:pPr>
              <w:jc w:val="center"/>
              <w:rPr>
                <w:b/>
                <w:color w:val="000000"/>
                <w:sz w:val="22"/>
                <w:szCs w:val="22"/>
              </w:rPr>
            </w:pPr>
            <w:r w:rsidRPr="00EA56A4">
              <w:rPr>
                <w:b/>
                <w:color w:val="000000"/>
                <w:sz w:val="22"/>
                <w:szCs w:val="22"/>
              </w:rPr>
              <w:t>1 468,0</w:t>
            </w:r>
          </w:p>
        </w:tc>
        <w:tc>
          <w:tcPr>
            <w:tcW w:w="1276" w:type="dxa"/>
            <w:tcBorders>
              <w:top w:val="nil"/>
              <w:left w:val="nil"/>
              <w:bottom w:val="single" w:sz="4" w:space="0" w:color="auto"/>
              <w:right w:val="single" w:sz="4" w:space="0" w:color="auto"/>
            </w:tcBorders>
            <w:shd w:val="clear" w:color="auto" w:fill="auto"/>
            <w:vAlign w:val="center"/>
          </w:tcPr>
          <w:p w:rsidR="0055491A" w:rsidRPr="00EA56A4" w:rsidRDefault="0055491A" w:rsidP="00210BF6">
            <w:pPr>
              <w:jc w:val="center"/>
              <w:rPr>
                <w:b/>
                <w:color w:val="000000"/>
                <w:sz w:val="22"/>
                <w:szCs w:val="22"/>
              </w:rPr>
            </w:pPr>
          </w:p>
        </w:tc>
        <w:tc>
          <w:tcPr>
            <w:tcW w:w="992" w:type="dxa"/>
            <w:tcBorders>
              <w:top w:val="nil"/>
              <w:left w:val="nil"/>
              <w:bottom w:val="single" w:sz="4" w:space="0" w:color="auto"/>
              <w:right w:val="single" w:sz="4" w:space="0" w:color="auto"/>
            </w:tcBorders>
            <w:shd w:val="clear" w:color="auto" w:fill="auto"/>
            <w:vAlign w:val="center"/>
          </w:tcPr>
          <w:p w:rsidR="0055491A" w:rsidRPr="00EA56A4" w:rsidRDefault="0055491A" w:rsidP="00210BF6">
            <w:pPr>
              <w:jc w:val="center"/>
              <w:rPr>
                <w:b/>
                <w:color w:val="000000"/>
                <w:sz w:val="22"/>
                <w:szCs w:val="22"/>
              </w:rPr>
            </w:pPr>
            <w:r w:rsidRPr="00EA56A4">
              <w:rPr>
                <w:b/>
                <w:color w:val="000000"/>
                <w:sz w:val="22"/>
                <w:szCs w:val="22"/>
              </w:rPr>
              <w:t>1 330,0</w:t>
            </w:r>
          </w:p>
        </w:tc>
      </w:tr>
    </w:tbl>
    <w:p w:rsidR="0055491A" w:rsidRPr="00E428FB" w:rsidRDefault="0055491A" w:rsidP="0055491A">
      <w:pPr>
        <w:ind w:firstLine="360"/>
        <w:jc w:val="both"/>
        <w:rPr>
          <w:sz w:val="28"/>
          <w:szCs w:val="28"/>
        </w:rPr>
      </w:pPr>
    </w:p>
    <w:p w:rsidR="0055491A" w:rsidRDefault="0055491A" w:rsidP="0055491A">
      <w:pPr>
        <w:pStyle w:val="a7"/>
        <w:spacing w:after="0"/>
        <w:ind w:left="0" w:firstLine="709"/>
        <w:jc w:val="both"/>
        <w:rPr>
          <w:sz w:val="28"/>
          <w:szCs w:val="28"/>
        </w:rPr>
      </w:pPr>
      <w:r>
        <w:rPr>
          <w:sz w:val="28"/>
          <w:szCs w:val="28"/>
        </w:rPr>
        <w:t>5.4</w:t>
      </w:r>
      <w:r w:rsidRPr="00B827BC">
        <w:rPr>
          <w:sz w:val="28"/>
          <w:szCs w:val="28"/>
        </w:rPr>
        <w:t xml:space="preserve"> </w:t>
      </w:r>
      <w:r w:rsidRPr="00EA56A4">
        <w:rPr>
          <w:b/>
          <w:sz w:val="28"/>
          <w:szCs w:val="28"/>
        </w:rPr>
        <w:t>КБК 335 1 16 01093 01 0000 140</w:t>
      </w:r>
      <w:r>
        <w:rPr>
          <w:sz w:val="28"/>
          <w:szCs w:val="28"/>
        </w:rPr>
        <w:t xml:space="preserve"> </w:t>
      </w:r>
      <w:r w:rsidRPr="006966CE">
        <w:rPr>
          <w:sz w:val="28"/>
          <w:szCs w:val="28"/>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w:t>
      </w:r>
      <w:r>
        <w:rPr>
          <w:sz w:val="28"/>
          <w:szCs w:val="28"/>
        </w:rPr>
        <w:t>.</w:t>
      </w:r>
    </w:p>
    <w:p w:rsidR="0055491A" w:rsidRDefault="0055491A" w:rsidP="0055491A">
      <w:pPr>
        <w:pStyle w:val="a7"/>
        <w:spacing w:after="0"/>
        <w:ind w:left="0" w:firstLine="709"/>
        <w:jc w:val="both"/>
        <w:rPr>
          <w:sz w:val="28"/>
          <w:szCs w:val="28"/>
        </w:rPr>
      </w:pPr>
      <w:r w:rsidRPr="00EA56A4">
        <w:rPr>
          <w:b/>
          <w:sz w:val="28"/>
          <w:szCs w:val="28"/>
        </w:rPr>
        <w:t>Главный администратор доходов - Главное управление региональной безопасности Тверской области</w:t>
      </w:r>
      <w:r>
        <w:rPr>
          <w:sz w:val="28"/>
          <w:szCs w:val="28"/>
        </w:rPr>
        <w:t>.</w:t>
      </w:r>
    </w:p>
    <w:p w:rsidR="0055491A" w:rsidRDefault="0055491A" w:rsidP="0055491A">
      <w:pPr>
        <w:pStyle w:val="ConsPlusNormal"/>
        <w:tabs>
          <w:tab w:val="left" w:pos="1276"/>
          <w:tab w:val="left" w:pos="1418"/>
        </w:tabs>
        <w:ind w:firstLine="709"/>
        <w:jc w:val="both"/>
        <w:rPr>
          <w:rFonts w:ascii="Times New Roman" w:hAnsi="Times New Roman" w:cs="Times New Roman"/>
          <w:sz w:val="28"/>
          <w:szCs w:val="28"/>
        </w:rPr>
      </w:pPr>
      <w:r w:rsidRPr="00D4062A">
        <w:rPr>
          <w:rFonts w:ascii="Times New Roman" w:hAnsi="Times New Roman" w:cs="Times New Roman"/>
          <w:sz w:val="28"/>
          <w:szCs w:val="28"/>
        </w:rPr>
        <w:t>Прогноз поступлений определен методом прямого расчета</w:t>
      </w:r>
      <w:r>
        <w:rPr>
          <w:rFonts w:ascii="Times New Roman" w:hAnsi="Times New Roman" w:cs="Times New Roman"/>
          <w:sz w:val="28"/>
          <w:szCs w:val="28"/>
        </w:rPr>
        <w:t>.</w:t>
      </w:r>
    </w:p>
    <w:p w:rsidR="0055491A" w:rsidRDefault="0055491A" w:rsidP="0055491A">
      <w:pPr>
        <w:pStyle w:val="a7"/>
        <w:spacing w:after="0"/>
        <w:ind w:left="0" w:firstLine="709"/>
        <w:jc w:val="both"/>
        <w:rPr>
          <w:sz w:val="28"/>
          <w:szCs w:val="28"/>
        </w:rPr>
      </w:pPr>
      <w:r>
        <w:rPr>
          <w:sz w:val="28"/>
          <w:szCs w:val="28"/>
        </w:rPr>
        <w:t>Р</w:t>
      </w:r>
      <w:r w:rsidRPr="000B0625">
        <w:rPr>
          <w:sz w:val="28"/>
          <w:szCs w:val="28"/>
        </w:rPr>
        <w:t>асчета прогноза на 20</w:t>
      </w:r>
      <w:r>
        <w:rPr>
          <w:sz w:val="28"/>
          <w:szCs w:val="28"/>
        </w:rPr>
        <w:t>22</w:t>
      </w:r>
      <w:r w:rsidRPr="000B0625">
        <w:rPr>
          <w:sz w:val="28"/>
          <w:szCs w:val="28"/>
        </w:rPr>
        <w:t xml:space="preserve"> год представлен в таблице</w:t>
      </w:r>
      <w:r>
        <w:rPr>
          <w:sz w:val="28"/>
          <w:szCs w:val="28"/>
        </w:rPr>
        <w:t>:</w:t>
      </w:r>
    </w:p>
    <w:tbl>
      <w:tblPr>
        <w:tblW w:w="9341" w:type="dxa"/>
        <w:tblInd w:w="-5" w:type="dxa"/>
        <w:tblLook w:val="04A0" w:firstRow="1" w:lastRow="0" w:firstColumn="1" w:lastColumn="0" w:noHBand="0" w:noVBand="1"/>
      </w:tblPr>
      <w:tblGrid>
        <w:gridCol w:w="513"/>
        <w:gridCol w:w="2793"/>
        <w:gridCol w:w="1351"/>
        <w:gridCol w:w="1683"/>
        <w:gridCol w:w="1520"/>
        <w:gridCol w:w="1481"/>
      </w:tblGrid>
      <w:tr w:rsidR="0055491A" w:rsidTr="00210BF6">
        <w:trPr>
          <w:trHeight w:val="1335"/>
        </w:trPr>
        <w:tc>
          <w:tcPr>
            <w:tcW w:w="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1A" w:rsidRPr="00EA56A4" w:rsidRDefault="0055491A" w:rsidP="00210BF6">
            <w:pPr>
              <w:jc w:val="center"/>
              <w:rPr>
                <w:sz w:val="22"/>
                <w:szCs w:val="22"/>
              </w:rPr>
            </w:pPr>
            <w:r w:rsidRPr="00EA56A4">
              <w:rPr>
                <w:sz w:val="22"/>
                <w:szCs w:val="22"/>
              </w:rPr>
              <w:t>№ п/п</w:t>
            </w:r>
          </w:p>
        </w:tc>
        <w:tc>
          <w:tcPr>
            <w:tcW w:w="2923" w:type="dxa"/>
            <w:tcBorders>
              <w:top w:val="single" w:sz="4" w:space="0" w:color="auto"/>
              <w:left w:val="nil"/>
              <w:bottom w:val="single" w:sz="4" w:space="0" w:color="auto"/>
              <w:right w:val="single" w:sz="4" w:space="0" w:color="auto"/>
            </w:tcBorders>
            <w:shd w:val="clear" w:color="auto" w:fill="auto"/>
            <w:vAlign w:val="center"/>
            <w:hideMark/>
          </w:tcPr>
          <w:p w:rsidR="0055491A" w:rsidRPr="00EA56A4" w:rsidRDefault="0055491A" w:rsidP="00210BF6">
            <w:pPr>
              <w:jc w:val="center"/>
              <w:rPr>
                <w:sz w:val="22"/>
                <w:szCs w:val="22"/>
              </w:rPr>
            </w:pPr>
            <w:r w:rsidRPr="00EA56A4">
              <w:rPr>
                <w:sz w:val="22"/>
                <w:szCs w:val="22"/>
              </w:rPr>
              <w:t>Вид правонарушений</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rsidR="0055491A" w:rsidRPr="00EA56A4" w:rsidRDefault="0055491A" w:rsidP="00210BF6">
            <w:pPr>
              <w:jc w:val="center"/>
              <w:rPr>
                <w:sz w:val="22"/>
                <w:szCs w:val="22"/>
              </w:rPr>
            </w:pPr>
            <w:r w:rsidRPr="00EA56A4">
              <w:rPr>
                <w:sz w:val="22"/>
                <w:szCs w:val="22"/>
              </w:rPr>
              <w:t>Средний размер штрафа (средний областной), тыс. руб.</w:t>
            </w:r>
          </w:p>
        </w:tc>
        <w:tc>
          <w:tcPr>
            <w:tcW w:w="1624" w:type="dxa"/>
            <w:tcBorders>
              <w:top w:val="single" w:sz="4" w:space="0" w:color="auto"/>
              <w:left w:val="nil"/>
              <w:bottom w:val="single" w:sz="4" w:space="0" w:color="auto"/>
              <w:right w:val="single" w:sz="4" w:space="0" w:color="auto"/>
            </w:tcBorders>
            <w:shd w:val="clear" w:color="auto" w:fill="auto"/>
            <w:vAlign w:val="center"/>
            <w:hideMark/>
          </w:tcPr>
          <w:p w:rsidR="0055491A" w:rsidRPr="00EA56A4" w:rsidRDefault="0055491A" w:rsidP="00210BF6">
            <w:pPr>
              <w:jc w:val="center"/>
              <w:rPr>
                <w:sz w:val="22"/>
                <w:szCs w:val="22"/>
              </w:rPr>
            </w:pPr>
            <w:r>
              <w:rPr>
                <w:sz w:val="22"/>
                <w:szCs w:val="22"/>
              </w:rPr>
              <w:t>Колич</w:t>
            </w:r>
            <w:r w:rsidRPr="00EA56A4">
              <w:rPr>
                <w:sz w:val="22"/>
                <w:szCs w:val="22"/>
              </w:rPr>
              <w:t>ество постановлений</w:t>
            </w:r>
            <w:r>
              <w:rPr>
                <w:sz w:val="22"/>
                <w:szCs w:val="22"/>
              </w:rPr>
              <w:t>,</w:t>
            </w:r>
            <w:r w:rsidRPr="00EA56A4">
              <w:rPr>
                <w:sz w:val="22"/>
                <w:szCs w:val="22"/>
              </w:rPr>
              <w:t xml:space="preserve"> </w:t>
            </w:r>
            <w:r>
              <w:rPr>
                <w:sz w:val="22"/>
                <w:szCs w:val="22"/>
              </w:rPr>
              <w:t>ед.</w:t>
            </w:r>
          </w:p>
        </w:tc>
        <w:tc>
          <w:tcPr>
            <w:tcW w:w="1471" w:type="dxa"/>
            <w:tcBorders>
              <w:top w:val="single" w:sz="4" w:space="0" w:color="auto"/>
              <w:left w:val="nil"/>
              <w:bottom w:val="single" w:sz="4" w:space="0" w:color="auto"/>
              <w:right w:val="single" w:sz="4" w:space="0" w:color="auto"/>
            </w:tcBorders>
            <w:shd w:val="clear" w:color="auto" w:fill="auto"/>
            <w:vAlign w:val="center"/>
            <w:hideMark/>
          </w:tcPr>
          <w:p w:rsidR="0055491A" w:rsidRPr="00EA56A4" w:rsidRDefault="0055491A" w:rsidP="00210BF6">
            <w:pPr>
              <w:jc w:val="center"/>
              <w:rPr>
                <w:sz w:val="22"/>
                <w:szCs w:val="22"/>
              </w:rPr>
            </w:pPr>
            <w:r w:rsidRPr="00EA56A4">
              <w:rPr>
                <w:sz w:val="22"/>
                <w:szCs w:val="22"/>
              </w:rPr>
              <w:t>Коэффициент собираемости (средний областной), %</w:t>
            </w:r>
          </w:p>
        </w:tc>
        <w:tc>
          <w:tcPr>
            <w:tcW w:w="1471" w:type="dxa"/>
            <w:tcBorders>
              <w:top w:val="single" w:sz="4" w:space="0" w:color="auto"/>
              <w:left w:val="nil"/>
              <w:bottom w:val="single" w:sz="4" w:space="0" w:color="auto"/>
              <w:right w:val="single" w:sz="4" w:space="0" w:color="auto"/>
            </w:tcBorders>
            <w:shd w:val="clear" w:color="auto" w:fill="auto"/>
            <w:vAlign w:val="center"/>
            <w:hideMark/>
          </w:tcPr>
          <w:p w:rsidR="0055491A" w:rsidRPr="00EA56A4" w:rsidRDefault="0055491A" w:rsidP="00210BF6">
            <w:pPr>
              <w:jc w:val="center"/>
              <w:rPr>
                <w:sz w:val="22"/>
                <w:szCs w:val="22"/>
              </w:rPr>
            </w:pPr>
            <w:r w:rsidRPr="00EA56A4">
              <w:rPr>
                <w:sz w:val="22"/>
                <w:szCs w:val="22"/>
              </w:rPr>
              <w:t>Прогноз поступлений, тыс. руб. (ст.3*4*5/2)</w:t>
            </w:r>
          </w:p>
        </w:tc>
      </w:tr>
      <w:tr w:rsidR="0055491A" w:rsidTr="00210BF6">
        <w:trPr>
          <w:trHeight w:val="314"/>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55491A" w:rsidRPr="00EA56A4" w:rsidRDefault="0055491A" w:rsidP="00210BF6">
            <w:pPr>
              <w:jc w:val="center"/>
              <w:rPr>
                <w:sz w:val="18"/>
                <w:szCs w:val="18"/>
              </w:rPr>
            </w:pPr>
            <w:r w:rsidRPr="00EA56A4">
              <w:rPr>
                <w:sz w:val="18"/>
                <w:szCs w:val="18"/>
              </w:rPr>
              <w:t>1</w:t>
            </w:r>
          </w:p>
        </w:tc>
        <w:tc>
          <w:tcPr>
            <w:tcW w:w="2923" w:type="dxa"/>
            <w:tcBorders>
              <w:top w:val="nil"/>
              <w:left w:val="nil"/>
              <w:bottom w:val="single" w:sz="4" w:space="0" w:color="auto"/>
              <w:right w:val="single" w:sz="4" w:space="0" w:color="auto"/>
            </w:tcBorders>
            <w:shd w:val="clear" w:color="auto" w:fill="auto"/>
            <w:vAlign w:val="center"/>
            <w:hideMark/>
          </w:tcPr>
          <w:p w:rsidR="0055491A" w:rsidRPr="00EA56A4" w:rsidRDefault="0055491A" w:rsidP="00210BF6">
            <w:pPr>
              <w:jc w:val="center"/>
              <w:rPr>
                <w:sz w:val="18"/>
                <w:szCs w:val="18"/>
              </w:rPr>
            </w:pPr>
            <w:r w:rsidRPr="00EA56A4">
              <w:rPr>
                <w:sz w:val="18"/>
                <w:szCs w:val="18"/>
              </w:rPr>
              <w:t>2</w:t>
            </w:r>
          </w:p>
        </w:tc>
        <w:tc>
          <w:tcPr>
            <w:tcW w:w="1356" w:type="dxa"/>
            <w:tcBorders>
              <w:top w:val="nil"/>
              <w:left w:val="nil"/>
              <w:bottom w:val="single" w:sz="4" w:space="0" w:color="auto"/>
              <w:right w:val="single" w:sz="4" w:space="0" w:color="auto"/>
            </w:tcBorders>
            <w:shd w:val="clear" w:color="auto" w:fill="auto"/>
            <w:vAlign w:val="center"/>
            <w:hideMark/>
          </w:tcPr>
          <w:p w:rsidR="0055491A" w:rsidRPr="00EA56A4" w:rsidRDefault="0055491A" w:rsidP="00210BF6">
            <w:pPr>
              <w:jc w:val="center"/>
              <w:rPr>
                <w:sz w:val="18"/>
                <w:szCs w:val="18"/>
              </w:rPr>
            </w:pPr>
            <w:r w:rsidRPr="00EA56A4">
              <w:rPr>
                <w:sz w:val="18"/>
                <w:szCs w:val="18"/>
              </w:rPr>
              <w:t>3</w:t>
            </w:r>
          </w:p>
        </w:tc>
        <w:tc>
          <w:tcPr>
            <w:tcW w:w="1624" w:type="dxa"/>
            <w:tcBorders>
              <w:top w:val="nil"/>
              <w:left w:val="nil"/>
              <w:bottom w:val="single" w:sz="4" w:space="0" w:color="auto"/>
              <w:right w:val="single" w:sz="4" w:space="0" w:color="auto"/>
            </w:tcBorders>
            <w:shd w:val="clear" w:color="auto" w:fill="auto"/>
            <w:vAlign w:val="center"/>
            <w:hideMark/>
          </w:tcPr>
          <w:p w:rsidR="0055491A" w:rsidRPr="00EA56A4" w:rsidRDefault="0055491A" w:rsidP="00210BF6">
            <w:pPr>
              <w:jc w:val="center"/>
              <w:rPr>
                <w:sz w:val="18"/>
                <w:szCs w:val="18"/>
              </w:rPr>
            </w:pPr>
            <w:r w:rsidRPr="00EA56A4">
              <w:rPr>
                <w:sz w:val="18"/>
                <w:szCs w:val="18"/>
              </w:rPr>
              <w:t>4</w:t>
            </w:r>
          </w:p>
        </w:tc>
        <w:tc>
          <w:tcPr>
            <w:tcW w:w="1471" w:type="dxa"/>
            <w:tcBorders>
              <w:top w:val="nil"/>
              <w:left w:val="nil"/>
              <w:bottom w:val="single" w:sz="4" w:space="0" w:color="auto"/>
              <w:right w:val="single" w:sz="4" w:space="0" w:color="auto"/>
            </w:tcBorders>
            <w:shd w:val="clear" w:color="auto" w:fill="auto"/>
            <w:vAlign w:val="center"/>
            <w:hideMark/>
          </w:tcPr>
          <w:p w:rsidR="0055491A" w:rsidRPr="00EA56A4" w:rsidRDefault="0055491A" w:rsidP="00210BF6">
            <w:pPr>
              <w:jc w:val="center"/>
              <w:rPr>
                <w:sz w:val="18"/>
                <w:szCs w:val="18"/>
              </w:rPr>
            </w:pPr>
            <w:r w:rsidRPr="00EA56A4">
              <w:rPr>
                <w:sz w:val="18"/>
                <w:szCs w:val="18"/>
              </w:rPr>
              <w:t>5</w:t>
            </w:r>
          </w:p>
        </w:tc>
        <w:tc>
          <w:tcPr>
            <w:tcW w:w="1471" w:type="dxa"/>
            <w:tcBorders>
              <w:top w:val="nil"/>
              <w:left w:val="nil"/>
              <w:bottom w:val="single" w:sz="4" w:space="0" w:color="auto"/>
              <w:right w:val="single" w:sz="4" w:space="0" w:color="auto"/>
            </w:tcBorders>
            <w:shd w:val="clear" w:color="auto" w:fill="auto"/>
            <w:vAlign w:val="center"/>
            <w:hideMark/>
          </w:tcPr>
          <w:p w:rsidR="0055491A" w:rsidRPr="00EA56A4" w:rsidRDefault="0055491A" w:rsidP="00210BF6">
            <w:pPr>
              <w:jc w:val="center"/>
              <w:rPr>
                <w:sz w:val="18"/>
                <w:szCs w:val="18"/>
              </w:rPr>
            </w:pPr>
            <w:r w:rsidRPr="00EA56A4">
              <w:rPr>
                <w:sz w:val="18"/>
                <w:szCs w:val="18"/>
              </w:rPr>
              <w:t>6</w:t>
            </w:r>
          </w:p>
        </w:tc>
      </w:tr>
      <w:tr w:rsidR="0055491A" w:rsidTr="00210BF6">
        <w:trPr>
          <w:trHeight w:val="267"/>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55491A" w:rsidRPr="00EA56A4" w:rsidRDefault="0055491A" w:rsidP="00210BF6">
            <w:pPr>
              <w:jc w:val="center"/>
              <w:rPr>
                <w:sz w:val="22"/>
                <w:szCs w:val="22"/>
              </w:rPr>
            </w:pPr>
            <w:r w:rsidRPr="00EA56A4">
              <w:rPr>
                <w:sz w:val="22"/>
                <w:szCs w:val="22"/>
              </w:rPr>
              <w:t>1</w:t>
            </w:r>
          </w:p>
        </w:tc>
        <w:tc>
          <w:tcPr>
            <w:tcW w:w="2923" w:type="dxa"/>
            <w:tcBorders>
              <w:top w:val="nil"/>
              <w:left w:val="nil"/>
              <w:bottom w:val="single" w:sz="4" w:space="0" w:color="auto"/>
              <w:right w:val="single" w:sz="4" w:space="0" w:color="auto"/>
            </w:tcBorders>
            <w:shd w:val="clear" w:color="auto" w:fill="auto"/>
            <w:vAlign w:val="center"/>
            <w:hideMark/>
          </w:tcPr>
          <w:p w:rsidR="0055491A" w:rsidRPr="00EA56A4" w:rsidRDefault="0055491A" w:rsidP="00210BF6">
            <w:pPr>
              <w:jc w:val="both"/>
              <w:rPr>
                <w:sz w:val="22"/>
                <w:szCs w:val="22"/>
              </w:rPr>
            </w:pPr>
            <w:r w:rsidRPr="00EA56A4">
              <w:rPr>
                <w:sz w:val="22"/>
                <w:szCs w:val="22"/>
              </w:rPr>
              <w:t>Иные штрафы</w:t>
            </w:r>
          </w:p>
        </w:tc>
        <w:tc>
          <w:tcPr>
            <w:tcW w:w="1356" w:type="dxa"/>
            <w:tcBorders>
              <w:top w:val="nil"/>
              <w:left w:val="nil"/>
              <w:bottom w:val="single" w:sz="4" w:space="0" w:color="auto"/>
              <w:right w:val="single" w:sz="4" w:space="0" w:color="auto"/>
            </w:tcBorders>
            <w:shd w:val="clear" w:color="auto" w:fill="auto"/>
            <w:vAlign w:val="center"/>
            <w:hideMark/>
          </w:tcPr>
          <w:p w:rsidR="0055491A" w:rsidRPr="00EA56A4" w:rsidRDefault="0055491A" w:rsidP="00210BF6">
            <w:pPr>
              <w:jc w:val="center"/>
              <w:rPr>
                <w:sz w:val="22"/>
                <w:szCs w:val="22"/>
              </w:rPr>
            </w:pPr>
            <w:r w:rsidRPr="00EA56A4">
              <w:rPr>
                <w:sz w:val="22"/>
                <w:szCs w:val="22"/>
              </w:rPr>
              <w:t>6,8</w:t>
            </w:r>
          </w:p>
        </w:tc>
        <w:tc>
          <w:tcPr>
            <w:tcW w:w="1624" w:type="dxa"/>
            <w:tcBorders>
              <w:top w:val="nil"/>
              <w:left w:val="nil"/>
              <w:bottom w:val="single" w:sz="4" w:space="0" w:color="auto"/>
              <w:right w:val="single" w:sz="4" w:space="0" w:color="auto"/>
            </w:tcBorders>
            <w:shd w:val="clear" w:color="auto" w:fill="auto"/>
            <w:vAlign w:val="center"/>
            <w:hideMark/>
          </w:tcPr>
          <w:p w:rsidR="0055491A" w:rsidRPr="00EA56A4" w:rsidRDefault="0055491A" w:rsidP="00210BF6">
            <w:pPr>
              <w:jc w:val="center"/>
              <w:rPr>
                <w:sz w:val="22"/>
                <w:szCs w:val="22"/>
              </w:rPr>
            </w:pPr>
            <w:r w:rsidRPr="00EA56A4">
              <w:rPr>
                <w:sz w:val="22"/>
                <w:szCs w:val="22"/>
              </w:rPr>
              <w:t>8</w:t>
            </w:r>
          </w:p>
        </w:tc>
        <w:tc>
          <w:tcPr>
            <w:tcW w:w="1471" w:type="dxa"/>
            <w:tcBorders>
              <w:top w:val="nil"/>
              <w:left w:val="nil"/>
              <w:bottom w:val="single" w:sz="4" w:space="0" w:color="auto"/>
              <w:right w:val="single" w:sz="4" w:space="0" w:color="auto"/>
            </w:tcBorders>
            <w:shd w:val="clear" w:color="auto" w:fill="auto"/>
            <w:vAlign w:val="center"/>
            <w:hideMark/>
          </w:tcPr>
          <w:p w:rsidR="0055491A" w:rsidRPr="00EA56A4" w:rsidRDefault="0055491A" w:rsidP="00210BF6">
            <w:pPr>
              <w:jc w:val="center"/>
              <w:rPr>
                <w:sz w:val="22"/>
                <w:szCs w:val="22"/>
              </w:rPr>
            </w:pPr>
            <w:r w:rsidRPr="00EA56A4">
              <w:rPr>
                <w:sz w:val="22"/>
                <w:szCs w:val="22"/>
              </w:rPr>
              <w:t>100,0%</w:t>
            </w:r>
          </w:p>
        </w:tc>
        <w:tc>
          <w:tcPr>
            <w:tcW w:w="1471" w:type="dxa"/>
            <w:tcBorders>
              <w:top w:val="nil"/>
              <w:left w:val="nil"/>
              <w:bottom w:val="single" w:sz="4" w:space="0" w:color="auto"/>
              <w:right w:val="single" w:sz="4" w:space="0" w:color="auto"/>
            </w:tcBorders>
            <w:shd w:val="clear" w:color="auto" w:fill="auto"/>
            <w:vAlign w:val="center"/>
            <w:hideMark/>
          </w:tcPr>
          <w:p w:rsidR="0055491A" w:rsidRPr="00EA56A4" w:rsidRDefault="0055491A" w:rsidP="00210BF6">
            <w:pPr>
              <w:jc w:val="center"/>
              <w:rPr>
                <w:sz w:val="22"/>
                <w:szCs w:val="22"/>
              </w:rPr>
            </w:pPr>
            <w:r w:rsidRPr="00EA56A4">
              <w:rPr>
                <w:sz w:val="22"/>
                <w:szCs w:val="22"/>
              </w:rPr>
              <w:t>27,2</w:t>
            </w:r>
          </w:p>
        </w:tc>
      </w:tr>
      <w:tr w:rsidR="0055491A" w:rsidTr="00210BF6">
        <w:trPr>
          <w:trHeight w:val="267"/>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55491A" w:rsidRPr="00EA56A4" w:rsidRDefault="0055491A" w:rsidP="00210BF6">
            <w:pPr>
              <w:jc w:val="center"/>
              <w:rPr>
                <w:sz w:val="22"/>
                <w:szCs w:val="22"/>
              </w:rPr>
            </w:pPr>
          </w:p>
        </w:tc>
        <w:tc>
          <w:tcPr>
            <w:tcW w:w="2923" w:type="dxa"/>
            <w:tcBorders>
              <w:top w:val="nil"/>
              <w:left w:val="nil"/>
              <w:bottom w:val="single" w:sz="4" w:space="0" w:color="auto"/>
              <w:right w:val="nil"/>
            </w:tcBorders>
            <w:shd w:val="clear" w:color="auto" w:fill="auto"/>
            <w:vAlign w:val="center"/>
            <w:hideMark/>
          </w:tcPr>
          <w:p w:rsidR="0055491A" w:rsidRPr="00EA56A4" w:rsidRDefault="0055491A" w:rsidP="00210BF6">
            <w:pPr>
              <w:rPr>
                <w:b/>
                <w:bCs/>
                <w:sz w:val="22"/>
                <w:szCs w:val="22"/>
              </w:rPr>
            </w:pPr>
            <w:r w:rsidRPr="00EA56A4">
              <w:rPr>
                <w:b/>
                <w:bCs/>
                <w:sz w:val="22"/>
                <w:szCs w:val="22"/>
              </w:rPr>
              <w:t>ИТОГО</w:t>
            </w:r>
          </w:p>
        </w:tc>
        <w:tc>
          <w:tcPr>
            <w:tcW w:w="1356" w:type="dxa"/>
            <w:tcBorders>
              <w:top w:val="nil"/>
              <w:left w:val="nil"/>
              <w:bottom w:val="single" w:sz="4" w:space="0" w:color="auto"/>
              <w:right w:val="nil"/>
            </w:tcBorders>
            <w:shd w:val="clear" w:color="auto" w:fill="auto"/>
            <w:vAlign w:val="center"/>
            <w:hideMark/>
          </w:tcPr>
          <w:p w:rsidR="0055491A" w:rsidRPr="00EA56A4" w:rsidRDefault="0055491A" w:rsidP="00210BF6">
            <w:pPr>
              <w:rPr>
                <w:b/>
                <w:bCs/>
                <w:sz w:val="22"/>
                <w:szCs w:val="22"/>
              </w:rPr>
            </w:pPr>
            <w:r w:rsidRPr="00EA56A4">
              <w:rPr>
                <w:b/>
                <w:bCs/>
                <w:sz w:val="22"/>
                <w:szCs w:val="22"/>
              </w:rPr>
              <w:t> </w:t>
            </w:r>
          </w:p>
        </w:tc>
        <w:tc>
          <w:tcPr>
            <w:tcW w:w="1624" w:type="dxa"/>
            <w:tcBorders>
              <w:top w:val="nil"/>
              <w:left w:val="nil"/>
              <w:bottom w:val="single" w:sz="4" w:space="0" w:color="auto"/>
              <w:right w:val="nil"/>
            </w:tcBorders>
            <w:shd w:val="clear" w:color="auto" w:fill="auto"/>
            <w:vAlign w:val="center"/>
            <w:hideMark/>
          </w:tcPr>
          <w:p w:rsidR="0055491A" w:rsidRPr="00EA56A4" w:rsidRDefault="0055491A" w:rsidP="00210BF6">
            <w:pPr>
              <w:rPr>
                <w:b/>
                <w:bCs/>
                <w:sz w:val="22"/>
                <w:szCs w:val="22"/>
              </w:rPr>
            </w:pPr>
            <w:r w:rsidRPr="00EA56A4">
              <w:rPr>
                <w:b/>
                <w:bCs/>
                <w:sz w:val="22"/>
                <w:szCs w:val="22"/>
              </w:rPr>
              <w:t> </w:t>
            </w:r>
          </w:p>
        </w:tc>
        <w:tc>
          <w:tcPr>
            <w:tcW w:w="1471" w:type="dxa"/>
            <w:tcBorders>
              <w:top w:val="nil"/>
              <w:left w:val="nil"/>
              <w:bottom w:val="single" w:sz="4" w:space="0" w:color="auto"/>
              <w:right w:val="single" w:sz="4" w:space="0" w:color="auto"/>
            </w:tcBorders>
            <w:shd w:val="clear" w:color="auto" w:fill="auto"/>
            <w:vAlign w:val="center"/>
            <w:hideMark/>
          </w:tcPr>
          <w:p w:rsidR="0055491A" w:rsidRPr="00EA56A4" w:rsidRDefault="0055491A" w:rsidP="00210BF6">
            <w:pPr>
              <w:rPr>
                <w:b/>
                <w:bCs/>
                <w:sz w:val="22"/>
                <w:szCs w:val="22"/>
              </w:rPr>
            </w:pPr>
            <w:r w:rsidRPr="00EA56A4">
              <w:rPr>
                <w:b/>
                <w:bCs/>
                <w:sz w:val="22"/>
                <w:szCs w:val="22"/>
              </w:rPr>
              <w:t> </w:t>
            </w:r>
          </w:p>
        </w:tc>
        <w:tc>
          <w:tcPr>
            <w:tcW w:w="1471" w:type="dxa"/>
            <w:tcBorders>
              <w:top w:val="nil"/>
              <w:left w:val="nil"/>
              <w:bottom w:val="single" w:sz="4" w:space="0" w:color="auto"/>
              <w:right w:val="single" w:sz="4" w:space="0" w:color="auto"/>
            </w:tcBorders>
            <w:shd w:val="clear" w:color="auto" w:fill="auto"/>
            <w:vAlign w:val="center"/>
            <w:hideMark/>
          </w:tcPr>
          <w:p w:rsidR="0055491A" w:rsidRPr="00EA56A4" w:rsidRDefault="0055491A" w:rsidP="00210BF6">
            <w:pPr>
              <w:jc w:val="center"/>
              <w:rPr>
                <w:b/>
                <w:bCs/>
                <w:sz w:val="22"/>
                <w:szCs w:val="22"/>
              </w:rPr>
            </w:pPr>
            <w:r w:rsidRPr="00EA56A4">
              <w:rPr>
                <w:b/>
                <w:bCs/>
                <w:sz w:val="22"/>
                <w:szCs w:val="22"/>
              </w:rPr>
              <w:t>27,2</w:t>
            </w:r>
          </w:p>
        </w:tc>
      </w:tr>
    </w:tbl>
    <w:p w:rsidR="0055491A" w:rsidRDefault="0055491A" w:rsidP="0055491A">
      <w:pPr>
        <w:pStyle w:val="a7"/>
        <w:spacing w:after="0"/>
        <w:ind w:left="0" w:firstLine="709"/>
        <w:jc w:val="both"/>
        <w:rPr>
          <w:sz w:val="28"/>
          <w:szCs w:val="28"/>
        </w:rPr>
      </w:pPr>
    </w:p>
    <w:p w:rsidR="0055491A" w:rsidRPr="00EA56A4" w:rsidRDefault="0055491A" w:rsidP="0055491A">
      <w:pPr>
        <w:pStyle w:val="a7"/>
        <w:spacing w:after="0"/>
        <w:ind w:left="0" w:firstLine="709"/>
        <w:jc w:val="both"/>
        <w:rPr>
          <w:sz w:val="28"/>
          <w:szCs w:val="28"/>
        </w:rPr>
      </w:pPr>
      <w:r w:rsidRPr="00EA56A4">
        <w:rPr>
          <w:b/>
          <w:sz w:val="28"/>
          <w:szCs w:val="28"/>
        </w:rPr>
        <w:lastRenderedPageBreak/>
        <w:t xml:space="preserve">Прогноз поступлений 2022 год – 27,2 тыс. руб., на 2023-2024 </w:t>
      </w:r>
      <w:r>
        <w:rPr>
          <w:b/>
          <w:sz w:val="28"/>
          <w:szCs w:val="28"/>
        </w:rPr>
        <w:t>годы</w:t>
      </w:r>
      <w:r w:rsidRPr="00EA56A4">
        <w:rPr>
          <w:b/>
          <w:sz w:val="28"/>
          <w:szCs w:val="28"/>
        </w:rPr>
        <w:t xml:space="preserve"> </w:t>
      </w:r>
      <w:r w:rsidRPr="00EA56A4">
        <w:rPr>
          <w:sz w:val="28"/>
          <w:szCs w:val="28"/>
        </w:rPr>
        <w:t>принят на уровне прогноза на 2022 год и составляет</w:t>
      </w:r>
      <w:r w:rsidRPr="00EA56A4">
        <w:rPr>
          <w:b/>
          <w:sz w:val="28"/>
          <w:szCs w:val="28"/>
        </w:rPr>
        <w:t xml:space="preserve"> 27,2 тыс. руб.</w:t>
      </w:r>
      <w:r>
        <w:rPr>
          <w:b/>
          <w:sz w:val="28"/>
          <w:szCs w:val="28"/>
        </w:rPr>
        <w:t xml:space="preserve"> </w:t>
      </w:r>
      <w:r w:rsidRPr="00EA56A4">
        <w:rPr>
          <w:sz w:val="28"/>
          <w:szCs w:val="28"/>
        </w:rPr>
        <w:t>ежегодно.</w:t>
      </w:r>
    </w:p>
    <w:p w:rsidR="0055491A" w:rsidRPr="00EA56A4" w:rsidRDefault="0055491A" w:rsidP="0055491A">
      <w:pPr>
        <w:pStyle w:val="a7"/>
        <w:spacing w:after="0"/>
        <w:ind w:left="0" w:firstLine="709"/>
        <w:jc w:val="both"/>
        <w:rPr>
          <w:b/>
          <w:sz w:val="28"/>
          <w:szCs w:val="28"/>
        </w:rPr>
      </w:pPr>
    </w:p>
    <w:p w:rsidR="0055491A" w:rsidRDefault="0055491A" w:rsidP="0055491A">
      <w:pPr>
        <w:pStyle w:val="a7"/>
        <w:spacing w:after="0"/>
        <w:ind w:left="0" w:firstLine="709"/>
        <w:jc w:val="both"/>
        <w:rPr>
          <w:sz w:val="28"/>
          <w:szCs w:val="28"/>
        </w:rPr>
      </w:pPr>
      <w:r>
        <w:rPr>
          <w:sz w:val="28"/>
          <w:szCs w:val="28"/>
        </w:rPr>
        <w:t>6.</w:t>
      </w:r>
      <w:r w:rsidRPr="006966CE">
        <w:t xml:space="preserve"> </w:t>
      </w:r>
      <w:r w:rsidRPr="006966CE">
        <w:rPr>
          <w:sz w:val="28"/>
          <w:szCs w:val="28"/>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w:t>
      </w:r>
      <w:r>
        <w:rPr>
          <w:sz w:val="28"/>
          <w:szCs w:val="28"/>
        </w:rPr>
        <w:t>. (</w:t>
      </w:r>
      <w:r w:rsidRPr="00653735">
        <w:rPr>
          <w:b/>
          <w:sz w:val="28"/>
          <w:szCs w:val="28"/>
        </w:rPr>
        <w:t>КБК 000</w:t>
      </w:r>
      <w:r w:rsidRPr="00653735">
        <w:rPr>
          <w:b/>
        </w:rPr>
        <w:t xml:space="preserve"> </w:t>
      </w:r>
      <w:r w:rsidRPr="00653735">
        <w:rPr>
          <w:b/>
          <w:sz w:val="28"/>
          <w:szCs w:val="28"/>
        </w:rPr>
        <w:t>1 16 01100 01 0000 140</w:t>
      </w:r>
      <w:r>
        <w:rPr>
          <w:sz w:val="28"/>
          <w:szCs w:val="28"/>
        </w:rPr>
        <w:t xml:space="preserve">). </w:t>
      </w:r>
    </w:p>
    <w:p w:rsidR="0055491A" w:rsidRPr="00D56B79" w:rsidRDefault="0055491A" w:rsidP="0055491A">
      <w:pPr>
        <w:pStyle w:val="a7"/>
        <w:spacing w:after="0"/>
        <w:ind w:left="0" w:firstLine="709"/>
        <w:jc w:val="both"/>
        <w:rPr>
          <w:b/>
          <w:sz w:val="28"/>
          <w:szCs w:val="28"/>
        </w:rPr>
      </w:pPr>
      <w:r w:rsidRPr="00D56B79">
        <w:rPr>
          <w:b/>
          <w:sz w:val="28"/>
          <w:szCs w:val="28"/>
        </w:rPr>
        <w:t>Прогноз по данному КБК всего на 202</w:t>
      </w:r>
      <w:r>
        <w:rPr>
          <w:b/>
          <w:sz w:val="28"/>
          <w:szCs w:val="28"/>
        </w:rPr>
        <w:t>2</w:t>
      </w:r>
      <w:r w:rsidRPr="00D56B79">
        <w:rPr>
          <w:b/>
          <w:sz w:val="28"/>
          <w:szCs w:val="28"/>
        </w:rPr>
        <w:t xml:space="preserve"> год – </w:t>
      </w:r>
      <w:r>
        <w:rPr>
          <w:b/>
          <w:sz w:val="28"/>
          <w:szCs w:val="28"/>
        </w:rPr>
        <w:t>2,5</w:t>
      </w:r>
      <w:r w:rsidRPr="00D56B79">
        <w:rPr>
          <w:b/>
          <w:sz w:val="28"/>
          <w:szCs w:val="28"/>
        </w:rPr>
        <w:t xml:space="preserve"> тыс. руб.,                                   202</w:t>
      </w:r>
      <w:r>
        <w:rPr>
          <w:b/>
          <w:sz w:val="28"/>
          <w:szCs w:val="28"/>
        </w:rPr>
        <w:t>3</w:t>
      </w:r>
      <w:r w:rsidRPr="00D56B79">
        <w:rPr>
          <w:b/>
          <w:sz w:val="28"/>
          <w:szCs w:val="28"/>
        </w:rPr>
        <w:t xml:space="preserve"> год – </w:t>
      </w:r>
      <w:r>
        <w:rPr>
          <w:b/>
          <w:sz w:val="28"/>
          <w:szCs w:val="28"/>
        </w:rPr>
        <w:t>2</w:t>
      </w:r>
      <w:r w:rsidRPr="00D56B79">
        <w:rPr>
          <w:b/>
          <w:sz w:val="28"/>
          <w:szCs w:val="28"/>
        </w:rPr>
        <w:t>,</w:t>
      </w:r>
      <w:r>
        <w:rPr>
          <w:b/>
          <w:sz w:val="28"/>
          <w:szCs w:val="28"/>
        </w:rPr>
        <w:t>5</w:t>
      </w:r>
      <w:r w:rsidRPr="00D56B79">
        <w:rPr>
          <w:b/>
          <w:sz w:val="28"/>
          <w:szCs w:val="28"/>
        </w:rPr>
        <w:t xml:space="preserve"> тыс. руб., 202</w:t>
      </w:r>
      <w:r>
        <w:rPr>
          <w:b/>
          <w:sz w:val="28"/>
          <w:szCs w:val="28"/>
        </w:rPr>
        <w:t>4</w:t>
      </w:r>
      <w:r w:rsidRPr="00D56B79">
        <w:rPr>
          <w:b/>
          <w:sz w:val="28"/>
          <w:szCs w:val="28"/>
        </w:rPr>
        <w:t xml:space="preserve"> год –</w:t>
      </w:r>
      <w:r>
        <w:rPr>
          <w:b/>
          <w:sz w:val="28"/>
          <w:szCs w:val="28"/>
        </w:rPr>
        <w:t>2,5</w:t>
      </w:r>
      <w:r w:rsidRPr="00D56B79">
        <w:rPr>
          <w:b/>
          <w:sz w:val="28"/>
          <w:szCs w:val="28"/>
        </w:rPr>
        <w:t xml:space="preserve"> тыс. руб.</w:t>
      </w:r>
    </w:p>
    <w:p w:rsidR="0055491A" w:rsidRDefault="0055491A" w:rsidP="0055491A">
      <w:pPr>
        <w:pStyle w:val="a7"/>
        <w:spacing w:after="0"/>
        <w:ind w:left="0" w:firstLine="709"/>
        <w:jc w:val="both"/>
        <w:rPr>
          <w:sz w:val="28"/>
          <w:szCs w:val="28"/>
        </w:rPr>
      </w:pPr>
      <w:r>
        <w:rPr>
          <w:sz w:val="28"/>
          <w:szCs w:val="28"/>
        </w:rPr>
        <w:t xml:space="preserve">6.1 </w:t>
      </w:r>
      <w:r w:rsidRPr="00D56B79">
        <w:rPr>
          <w:b/>
          <w:sz w:val="28"/>
          <w:szCs w:val="28"/>
        </w:rPr>
        <w:t>КБК 1 16 01103 01 0000 140</w:t>
      </w:r>
      <w:r>
        <w:rPr>
          <w:sz w:val="28"/>
          <w:szCs w:val="28"/>
        </w:rPr>
        <w:t xml:space="preserve"> </w:t>
      </w:r>
      <w:r w:rsidRPr="00F62DE6">
        <w:rPr>
          <w:sz w:val="28"/>
          <w:szCs w:val="28"/>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w:t>
      </w:r>
      <w:r>
        <w:rPr>
          <w:sz w:val="28"/>
          <w:szCs w:val="28"/>
        </w:rPr>
        <w:t>.</w:t>
      </w:r>
    </w:p>
    <w:p w:rsidR="0055491A" w:rsidRDefault="0055491A" w:rsidP="0055491A">
      <w:pPr>
        <w:pStyle w:val="a7"/>
        <w:spacing w:after="0"/>
        <w:ind w:left="0" w:firstLine="709"/>
        <w:jc w:val="both"/>
        <w:rPr>
          <w:sz w:val="28"/>
          <w:szCs w:val="28"/>
        </w:rPr>
      </w:pPr>
      <w:r w:rsidRPr="00D56B79">
        <w:rPr>
          <w:b/>
          <w:sz w:val="28"/>
          <w:szCs w:val="28"/>
        </w:rPr>
        <w:t>Главный администратор доходов - Главное управление региональной безопасности Тверской области</w:t>
      </w:r>
      <w:r>
        <w:rPr>
          <w:sz w:val="28"/>
          <w:szCs w:val="28"/>
        </w:rPr>
        <w:t>.</w:t>
      </w:r>
    </w:p>
    <w:p w:rsidR="0055491A" w:rsidRDefault="0055491A" w:rsidP="0055491A">
      <w:pPr>
        <w:pStyle w:val="ConsPlusNormal"/>
        <w:tabs>
          <w:tab w:val="left" w:pos="1276"/>
          <w:tab w:val="left" w:pos="1418"/>
        </w:tabs>
        <w:ind w:firstLine="709"/>
        <w:jc w:val="both"/>
        <w:rPr>
          <w:rFonts w:ascii="Times New Roman" w:hAnsi="Times New Roman" w:cs="Times New Roman"/>
          <w:sz w:val="28"/>
          <w:szCs w:val="28"/>
        </w:rPr>
      </w:pPr>
      <w:r w:rsidRPr="00D4062A">
        <w:rPr>
          <w:rFonts w:ascii="Times New Roman" w:hAnsi="Times New Roman" w:cs="Times New Roman"/>
          <w:sz w:val="28"/>
          <w:szCs w:val="28"/>
        </w:rPr>
        <w:t>Прогноз поступлений определен методом прямого расчета</w:t>
      </w:r>
      <w:r>
        <w:rPr>
          <w:rFonts w:ascii="Times New Roman" w:hAnsi="Times New Roman" w:cs="Times New Roman"/>
          <w:sz w:val="28"/>
          <w:szCs w:val="28"/>
        </w:rPr>
        <w:t xml:space="preserve"> и </w:t>
      </w:r>
      <w:r w:rsidRPr="00F62DE6">
        <w:rPr>
          <w:rFonts w:ascii="Times New Roman" w:hAnsi="Times New Roman" w:cs="Times New Roman"/>
          <w:sz w:val="28"/>
          <w:szCs w:val="28"/>
        </w:rPr>
        <w:t>представлен в таблице:</w:t>
      </w:r>
    </w:p>
    <w:tbl>
      <w:tblPr>
        <w:tblW w:w="9341" w:type="dxa"/>
        <w:tblLook w:val="04A0" w:firstRow="1" w:lastRow="0" w:firstColumn="1" w:lastColumn="0" w:noHBand="0" w:noVBand="1"/>
      </w:tblPr>
      <w:tblGrid>
        <w:gridCol w:w="496"/>
        <w:gridCol w:w="2923"/>
        <w:gridCol w:w="1356"/>
        <w:gridCol w:w="1624"/>
        <w:gridCol w:w="1471"/>
        <w:gridCol w:w="1471"/>
      </w:tblGrid>
      <w:tr w:rsidR="0055491A" w:rsidTr="00210BF6">
        <w:trPr>
          <w:trHeight w:val="1335"/>
        </w:trPr>
        <w:tc>
          <w:tcPr>
            <w:tcW w:w="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 п/п</w:t>
            </w:r>
          </w:p>
        </w:tc>
        <w:tc>
          <w:tcPr>
            <w:tcW w:w="2923" w:type="dxa"/>
            <w:tcBorders>
              <w:top w:val="single" w:sz="4" w:space="0" w:color="auto"/>
              <w:left w:val="nil"/>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Вид правонарушений</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Средний размер штрафа (средний областной), тыс. руб.</w:t>
            </w:r>
          </w:p>
        </w:tc>
        <w:tc>
          <w:tcPr>
            <w:tcW w:w="1624" w:type="dxa"/>
            <w:tcBorders>
              <w:top w:val="single" w:sz="4" w:space="0" w:color="auto"/>
              <w:left w:val="nil"/>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Количество постановлений, ед.</w:t>
            </w:r>
          </w:p>
        </w:tc>
        <w:tc>
          <w:tcPr>
            <w:tcW w:w="1471" w:type="dxa"/>
            <w:tcBorders>
              <w:top w:val="single" w:sz="4" w:space="0" w:color="auto"/>
              <w:left w:val="nil"/>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Коэффициент собираемости (средний областной), %</w:t>
            </w:r>
          </w:p>
        </w:tc>
        <w:tc>
          <w:tcPr>
            <w:tcW w:w="1471" w:type="dxa"/>
            <w:tcBorders>
              <w:top w:val="single" w:sz="4" w:space="0" w:color="auto"/>
              <w:left w:val="nil"/>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Прогноз поступлений, тыс. руб. (ст.3*4*5/2)</w:t>
            </w:r>
          </w:p>
        </w:tc>
      </w:tr>
      <w:tr w:rsidR="0055491A" w:rsidTr="00210BF6">
        <w:trPr>
          <w:trHeight w:val="314"/>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1</w:t>
            </w:r>
          </w:p>
        </w:tc>
        <w:tc>
          <w:tcPr>
            <w:tcW w:w="2923" w:type="dxa"/>
            <w:tcBorders>
              <w:top w:val="nil"/>
              <w:left w:val="nil"/>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2</w:t>
            </w:r>
          </w:p>
        </w:tc>
        <w:tc>
          <w:tcPr>
            <w:tcW w:w="1356" w:type="dxa"/>
            <w:tcBorders>
              <w:top w:val="nil"/>
              <w:left w:val="nil"/>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3</w:t>
            </w:r>
          </w:p>
        </w:tc>
        <w:tc>
          <w:tcPr>
            <w:tcW w:w="1624" w:type="dxa"/>
            <w:tcBorders>
              <w:top w:val="nil"/>
              <w:left w:val="nil"/>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4</w:t>
            </w:r>
          </w:p>
        </w:tc>
        <w:tc>
          <w:tcPr>
            <w:tcW w:w="1471" w:type="dxa"/>
            <w:tcBorders>
              <w:top w:val="nil"/>
              <w:left w:val="nil"/>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5</w:t>
            </w:r>
          </w:p>
        </w:tc>
        <w:tc>
          <w:tcPr>
            <w:tcW w:w="1471" w:type="dxa"/>
            <w:tcBorders>
              <w:top w:val="nil"/>
              <w:left w:val="nil"/>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6</w:t>
            </w:r>
          </w:p>
        </w:tc>
      </w:tr>
      <w:tr w:rsidR="0055491A" w:rsidTr="00210BF6">
        <w:trPr>
          <w:trHeight w:val="267"/>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55491A" w:rsidRPr="00D56B79" w:rsidRDefault="0055491A" w:rsidP="00210BF6">
            <w:pPr>
              <w:jc w:val="center"/>
              <w:rPr>
                <w:sz w:val="22"/>
                <w:szCs w:val="22"/>
              </w:rPr>
            </w:pPr>
            <w:r w:rsidRPr="00D56B79">
              <w:rPr>
                <w:sz w:val="22"/>
                <w:szCs w:val="22"/>
              </w:rPr>
              <w:t>1</w:t>
            </w:r>
          </w:p>
        </w:tc>
        <w:tc>
          <w:tcPr>
            <w:tcW w:w="2923" w:type="dxa"/>
            <w:tcBorders>
              <w:top w:val="nil"/>
              <w:left w:val="nil"/>
              <w:bottom w:val="single" w:sz="4" w:space="0" w:color="auto"/>
              <w:right w:val="single" w:sz="4" w:space="0" w:color="auto"/>
            </w:tcBorders>
            <w:shd w:val="clear" w:color="auto" w:fill="auto"/>
            <w:vAlign w:val="center"/>
            <w:hideMark/>
          </w:tcPr>
          <w:p w:rsidR="0055491A" w:rsidRPr="00D56B79" w:rsidRDefault="0055491A" w:rsidP="00210BF6">
            <w:pPr>
              <w:jc w:val="both"/>
              <w:rPr>
                <w:sz w:val="22"/>
                <w:szCs w:val="22"/>
              </w:rPr>
            </w:pPr>
            <w:r w:rsidRPr="00D56B79">
              <w:rPr>
                <w:sz w:val="22"/>
                <w:szCs w:val="22"/>
              </w:rPr>
              <w:t>Иные штрафы</w:t>
            </w:r>
          </w:p>
        </w:tc>
        <w:tc>
          <w:tcPr>
            <w:tcW w:w="1356" w:type="dxa"/>
            <w:tcBorders>
              <w:top w:val="nil"/>
              <w:left w:val="nil"/>
              <w:bottom w:val="single" w:sz="4" w:space="0" w:color="auto"/>
              <w:right w:val="single" w:sz="4" w:space="0" w:color="auto"/>
            </w:tcBorders>
            <w:shd w:val="clear" w:color="auto" w:fill="auto"/>
            <w:vAlign w:val="center"/>
            <w:hideMark/>
          </w:tcPr>
          <w:p w:rsidR="0055491A" w:rsidRPr="00D56B79" w:rsidRDefault="0055491A" w:rsidP="00210BF6">
            <w:pPr>
              <w:jc w:val="center"/>
              <w:rPr>
                <w:sz w:val="22"/>
                <w:szCs w:val="22"/>
              </w:rPr>
            </w:pPr>
            <w:r w:rsidRPr="00D56B79">
              <w:rPr>
                <w:sz w:val="22"/>
                <w:szCs w:val="22"/>
              </w:rPr>
              <w:t>1</w:t>
            </w:r>
          </w:p>
        </w:tc>
        <w:tc>
          <w:tcPr>
            <w:tcW w:w="1624" w:type="dxa"/>
            <w:tcBorders>
              <w:top w:val="nil"/>
              <w:left w:val="nil"/>
              <w:bottom w:val="single" w:sz="4" w:space="0" w:color="auto"/>
              <w:right w:val="single" w:sz="4" w:space="0" w:color="auto"/>
            </w:tcBorders>
            <w:shd w:val="clear" w:color="auto" w:fill="auto"/>
            <w:vAlign w:val="center"/>
            <w:hideMark/>
          </w:tcPr>
          <w:p w:rsidR="0055491A" w:rsidRPr="00D56B79" w:rsidRDefault="0055491A" w:rsidP="00210BF6">
            <w:pPr>
              <w:jc w:val="center"/>
              <w:rPr>
                <w:sz w:val="22"/>
                <w:szCs w:val="22"/>
              </w:rPr>
            </w:pPr>
            <w:r w:rsidRPr="00D56B79">
              <w:rPr>
                <w:sz w:val="22"/>
                <w:szCs w:val="22"/>
              </w:rPr>
              <w:t>8</w:t>
            </w:r>
          </w:p>
        </w:tc>
        <w:tc>
          <w:tcPr>
            <w:tcW w:w="1471" w:type="dxa"/>
            <w:tcBorders>
              <w:top w:val="nil"/>
              <w:left w:val="nil"/>
              <w:bottom w:val="single" w:sz="4" w:space="0" w:color="auto"/>
              <w:right w:val="single" w:sz="4" w:space="0" w:color="auto"/>
            </w:tcBorders>
            <w:shd w:val="clear" w:color="auto" w:fill="auto"/>
            <w:vAlign w:val="center"/>
            <w:hideMark/>
          </w:tcPr>
          <w:p w:rsidR="0055491A" w:rsidRPr="00D56B79" w:rsidRDefault="0055491A" w:rsidP="00210BF6">
            <w:pPr>
              <w:jc w:val="center"/>
              <w:rPr>
                <w:sz w:val="22"/>
                <w:szCs w:val="22"/>
              </w:rPr>
            </w:pPr>
            <w:r w:rsidRPr="00D56B79">
              <w:rPr>
                <w:sz w:val="22"/>
                <w:szCs w:val="22"/>
              </w:rPr>
              <w:t>62,5%</w:t>
            </w:r>
          </w:p>
        </w:tc>
        <w:tc>
          <w:tcPr>
            <w:tcW w:w="1471" w:type="dxa"/>
            <w:tcBorders>
              <w:top w:val="nil"/>
              <w:left w:val="nil"/>
              <w:bottom w:val="single" w:sz="4" w:space="0" w:color="auto"/>
              <w:right w:val="single" w:sz="4" w:space="0" w:color="auto"/>
            </w:tcBorders>
            <w:shd w:val="clear" w:color="auto" w:fill="auto"/>
            <w:vAlign w:val="center"/>
            <w:hideMark/>
          </w:tcPr>
          <w:p w:rsidR="0055491A" w:rsidRPr="00D56B79" w:rsidRDefault="0055491A" w:rsidP="00210BF6">
            <w:pPr>
              <w:jc w:val="center"/>
              <w:rPr>
                <w:sz w:val="22"/>
                <w:szCs w:val="22"/>
              </w:rPr>
            </w:pPr>
            <w:r w:rsidRPr="00D56B79">
              <w:rPr>
                <w:sz w:val="22"/>
                <w:szCs w:val="22"/>
              </w:rPr>
              <w:t>2,5</w:t>
            </w:r>
          </w:p>
        </w:tc>
      </w:tr>
      <w:tr w:rsidR="0055491A" w:rsidTr="00210BF6">
        <w:trPr>
          <w:trHeight w:val="267"/>
        </w:trPr>
        <w:tc>
          <w:tcPr>
            <w:tcW w:w="496" w:type="dxa"/>
            <w:tcBorders>
              <w:top w:val="nil"/>
              <w:left w:val="single" w:sz="4" w:space="0" w:color="auto"/>
              <w:bottom w:val="single" w:sz="4" w:space="0" w:color="auto"/>
              <w:right w:val="single" w:sz="4" w:space="0" w:color="auto"/>
            </w:tcBorders>
            <w:shd w:val="clear" w:color="auto" w:fill="auto"/>
            <w:vAlign w:val="center"/>
          </w:tcPr>
          <w:p w:rsidR="0055491A" w:rsidRPr="00D56B79" w:rsidRDefault="0055491A" w:rsidP="00210BF6">
            <w:pPr>
              <w:jc w:val="center"/>
              <w:rPr>
                <w:sz w:val="22"/>
                <w:szCs w:val="22"/>
              </w:rPr>
            </w:pPr>
          </w:p>
        </w:tc>
        <w:tc>
          <w:tcPr>
            <w:tcW w:w="2923" w:type="dxa"/>
            <w:tcBorders>
              <w:top w:val="nil"/>
              <w:left w:val="nil"/>
              <w:bottom w:val="single" w:sz="4" w:space="0" w:color="auto"/>
              <w:right w:val="nil"/>
            </w:tcBorders>
            <w:shd w:val="clear" w:color="auto" w:fill="auto"/>
            <w:vAlign w:val="center"/>
            <w:hideMark/>
          </w:tcPr>
          <w:p w:rsidR="0055491A" w:rsidRPr="00D56B79" w:rsidRDefault="0055491A" w:rsidP="00210BF6">
            <w:pPr>
              <w:rPr>
                <w:b/>
                <w:bCs/>
                <w:sz w:val="22"/>
                <w:szCs w:val="22"/>
              </w:rPr>
            </w:pPr>
            <w:r w:rsidRPr="00D56B79">
              <w:rPr>
                <w:b/>
                <w:bCs/>
                <w:sz w:val="22"/>
                <w:szCs w:val="22"/>
              </w:rPr>
              <w:t>ИТОГО</w:t>
            </w:r>
          </w:p>
        </w:tc>
        <w:tc>
          <w:tcPr>
            <w:tcW w:w="1356" w:type="dxa"/>
            <w:tcBorders>
              <w:top w:val="nil"/>
              <w:left w:val="nil"/>
              <w:bottom w:val="single" w:sz="4" w:space="0" w:color="auto"/>
              <w:right w:val="nil"/>
            </w:tcBorders>
            <w:shd w:val="clear" w:color="auto" w:fill="auto"/>
            <w:vAlign w:val="center"/>
            <w:hideMark/>
          </w:tcPr>
          <w:p w:rsidR="0055491A" w:rsidRPr="00D56B79" w:rsidRDefault="0055491A" w:rsidP="00210BF6">
            <w:pPr>
              <w:rPr>
                <w:b/>
                <w:bCs/>
                <w:sz w:val="22"/>
                <w:szCs w:val="22"/>
              </w:rPr>
            </w:pPr>
            <w:r w:rsidRPr="00D56B79">
              <w:rPr>
                <w:b/>
                <w:bCs/>
                <w:sz w:val="22"/>
                <w:szCs w:val="22"/>
              </w:rPr>
              <w:t> </w:t>
            </w:r>
          </w:p>
        </w:tc>
        <w:tc>
          <w:tcPr>
            <w:tcW w:w="1624" w:type="dxa"/>
            <w:tcBorders>
              <w:top w:val="nil"/>
              <w:left w:val="nil"/>
              <w:bottom w:val="single" w:sz="4" w:space="0" w:color="auto"/>
              <w:right w:val="nil"/>
            </w:tcBorders>
            <w:shd w:val="clear" w:color="auto" w:fill="auto"/>
            <w:vAlign w:val="center"/>
            <w:hideMark/>
          </w:tcPr>
          <w:p w:rsidR="0055491A" w:rsidRPr="00D56B79" w:rsidRDefault="0055491A" w:rsidP="00210BF6">
            <w:pPr>
              <w:rPr>
                <w:b/>
                <w:bCs/>
                <w:sz w:val="22"/>
                <w:szCs w:val="22"/>
              </w:rPr>
            </w:pPr>
            <w:r w:rsidRPr="00D56B79">
              <w:rPr>
                <w:b/>
                <w:bCs/>
                <w:sz w:val="22"/>
                <w:szCs w:val="22"/>
              </w:rPr>
              <w:t> </w:t>
            </w:r>
          </w:p>
        </w:tc>
        <w:tc>
          <w:tcPr>
            <w:tcW w:w="1471" w:type="dxa"/>
            <w:tcBorders>
              <w:top w:val="nil"/>
              <w:left w:val="nil"/>
              <w:bottom w:val="single" w:sz="4" w:space="0" w:color="auto"/>
              <w:right w:val="single" w:sz="4" w:space="0" w:color="auto"/>
            </w:tcBorders>
            <w:shd w:val="clear" w:color="auto" w:fill="auto"/>
            <w:vAlign w:val="center"/>
            <w:hideMark/>
          </w:tcPr>
          <w:p w:rsidR="0055491A" w:rsidRPr="00D56B79" w:rsidRDefault="0055491A" w:rsidP="00210BF6">
            <w:pPr>
              <w:rPr>
                <w:b/>
                <w:bCs/>
                <w:sz w:val="22"/>
                <w:szCs w:val="22"/>
              </w:rPr>
            </w:pPr>
            <w:r w:rsidRPr="00D56B79">
              <w:rPr>
                <w:b/>
                <w:bCs/>
                <w:sz w:val="22"/>
                <w:szCs w:val="22"/>
              </w:rPr>
              <w:t> </w:t>
            </w:r>
          </w:p>
        </w:tc>
        <w:tc>
          <w:tcPr>
            <w:tcW w:w="1471" w:type="dxa"/>
            <w:tcBorders>
              <w:top w:val="nil"/>
              <w:left w:val="nil"/>
              <w:bottom w:val="single" w:sz="4" w:space="0" w:color="auto"/>
              <w:right w:val="single" w:sz="4" w:space="0" w:color="auto"/>
            </w:tcBorders>
            <w:shd w:val="clear" w:color="auto" w:fill="auto"/>
            <w:vAlign w:val="center"/>
            <w:hideMark/>
          </w:tcPr>
          <w:p w:rsidR="0055491A" w:rsidRPr="00D56B79" w:rsidRDefault="0055491A" w:rsidP="00210BF6">
            <w:pPr>
              <w:jc w:val="center"/>
              <w:rPr>
                <w:b/>
                <w:bCs/>
                <w:sz w:val="22"/>
                <w:szCs w:val="22"/>
              </w:rPr>
            </w:pPr>
            <w:r w:rsidRPr="00D56B79">
              <w:rPr>
                <w:b/>
                <w:bCs/>
                <w:sz w:val="22"/>
                <w:szCs w:val="22"/>
              </w:rPr>
              <w:t>2,5</w:t>
            </w:r>
          </w:p>
        </w:tc>
      </w:tr>
    </w:tbl>
    <w:p w:rsidR="0055491A" w:rsidRDefault="0055491A" w:rsidP="0055491A">
      <w:pPr>
        <w:pStyle w:val="ConsPlusNormal"/>
        <w:tabs>
          <w:tab w:val="left" w:pos="1276"/>
          <w:tab w:val="left" w:pos="1418"/>
        </w:tabs>
        <w:ind w:firstLine="709"/>
        <w:jc w:val="both"/>
        <w:rPr>
          <w:rFonts w:ascii="Times New Roman" w:hAnsi="Times New Roman" w:cs="Times New Roman"/>
          <w:sz w:val="28"/>
          <w:szCs w:val="28"/>
        </w:rPr>
      </w:pPr>
    </w:p>
    <w:p w:rsidR="0055491A" w:rsidRPr="00D56B79" w:rsidRDefault="0055491A" w:rsidP="0055491A">
      <w:pPr>
        <w:pStyle w:val="a7"/>
        <w:spacing w:after="0"/>
        <w:ind w:left="0" w:firstLine="709"/>
        <w:jc w:val="both"/>
        <w:rPr>
          <w:b/>
          <w:sz w:val="28"/>
          <w:szCs w:val="28"/>
        </w:rPr>
      </w:pPr>
      <w:r w:rsidRPr="00D56B79">
        <w:rPr>
          <w:b/>
          <w:sz w:val="28"/>
          <w:szCs w:val="28"/>
        </w:rPr>
        <w:t>Прогноз поступлений 2022 год – 2,5 тыс. руб.,</w:t>
      </w:r>
      <w:r>
        <w:rPr>
          <w:sz w:val="28"/>
          <w:szCs w:val="28"/>
        </w:rPr>
        <w:t xml:space="preserve"> </w:t>
      </w:r>
      <w:r w:rsidRPr="00D56B79">
        <w:rPr>
          <w:b/>
          <w:sz w:val="28"/>
          <w:szCs w:val="28"/>
        </w:rPr>
        <w:t xml:space="preserve">2023-2024 </w:t>
      </w:r>
      <w:r>
        <w:rPr>
          <w:b/>
          <w:sz w:val="28"/>
          <w:szCs w:val="28"/>
        </w:rPr>
        <w:t xml:space="preserve">годы </w:t>
      </w:r>
      <w:r w:rsidRPr="00D56B79">
        <w:rPr>
          <w:sz w:val="28"/>
          <w:szCs w:val="28"/>
        </w:rPr>
        <w:t>на уровне</w:t>
      </w:r>
      <w:r w:rsidRPr="001D09DD">
        <w:rPr>
          <w:sz w:val="28"/>
          <w:szCs w:val="28"/>
        </w:rPr>
        <w:t xml:space="preserve"> прогноза 20</w:t>
      </w:r>
      <w:r>
        <w:rPr>
          <w:sz w:val="28"/>
          <w:szCs w:val="28"/>
        </w:rPr>
        <w:t>22</w:t>
      </w:r>
      <w:r w:rsidRPr="001D09DD">
        <w:rPr>
          <w:sz w:val="28"/>
          <w:szCs w:val="28"/>
        </w:rPr>
        <w:t xml:space="preserve"> год</w:t>
      </w:r>
      <w:r>
        <w:rPr>
          <w:sz w:val="28"/>
          <w:szCs w:val="28"/>
        </w:rPr>
        <w:t>а</w:t>
      </w:r>
      <w:r w:rsidRPr="001D09DD">
        <w:rPr>
          <w:sz w:val="28"/>
          <w:szCs w:val="28"/>
        </w:rPr>
        <w:t xml:space="preserve"> и составляет </w:t>
      </w:r>
      <w:r w:rsidRPr="00D56B79">
        <w:rPr>
          <w:b/>
          <w:sz w:val="28"/>
          <w:szCs w:val="28"/>
        </w:rPr>
        <w:t>2,5 тыс. руб.</w:t>
      </w:r>
    </w:p>
    <w:p w:rsidR="0055491A" w:rsidRDefault="0055491A" w:rsidP="0055491A">
      <w:pPr>
        <w:pStyle w:val="a7"/>
        <w:spacing w:after="0"/>
        <w:ind w:left="0" w:firstLine="709"/>
        <w:jc w:val="both"/>
        <w:rPr>
          <w:sz w:val="28"/>
          <w:szCs w:val="28"/>
        </w:rPr>
      </w:pPr>
    </w:p>
    <w:p w:rsidR="0055491A" w:rsidRDefault="0055491A" w:rsidP="0055491A">
      <w:pPr>
        <w:pStyle w:val="a7"/>
        <w:spacing w:after="0"/>
        <w:ind w:left="0" w:firstLine="709"/>
        <w:jc w:val="both"/>
        <w:rPr>
          <w:sz w:val="28"/>
          <w:szCs w:val="28"/>
        </w:rPr>
      </w:pPr>
      <w:r>
        <w:rPr>
          <w:sz w:val="28"/>
          <w:szCs w:val="28"/>
        </w:rPr>
        <w:t xml:space="preserve">7. </w:t>
      </w:r>
      <w:r w:rsidRPr="00EA253E">
        <w:rPr>
          <w:sz w:val="28"/>
          <w:szCs w:val="28"/>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w:t>
      </w:r>
      <w:r>
        <w:rPr>
          <w:sz w:val="28"/>
          <w:szCs w:val="28"/>
        </w:rPr>
        <w:t xml:space="preserve">                                                                      (</w:t>
      </w:r>
      <w:r w:rsidRPr="00D56B79">
        <w:rPr>
          <w:b/>
          <w:sz w:val="28"/>
          <w:szCs w:val="28"/>
        </w:rPr>
        <w:t>КБК 000 1 16 01110 01 0000 140</w:t>
      </w:r>
      <w:r>
        <w:rPr>
          <w:sz w:val="28"/>
          <w:szCs w:val="28"/>
        </w:rPr>
        <w:t>).</w:t>
      </w:r>
    </w:p>
    <w:p w:rsidR="0055491A" w:rsidRPr="00237481" w:rsidRDefault="0055491A" w:rsidP="0055491A">
      <w:pPr>
        <w:pStyle w:val="a7"/>
        <w:spacing w:after="0"/>
        <w:ind w:left="0" w:firstLine="709"/>
        <w:jc w:val="both"/>
        <w:rPr>
          <w:b/>
          <w:sz w:val="28"/>
          <w:szCs w:val="28"/>
        </w:rPr>
      </w:pPr>
      <w:r w:rsidRPr="00237481">
        <w:rPr>
          <w:b/>
          <w:sz w:val="28"/>
          <w:szCs w:val="28"/>
        </w:rPr>
        <w:t>Прогноз по данному КБК всего на 2022 год – 69,5 тыс. руб., 2023 год – 69,6 тыс. руб., 2024 год – 69,4 тыс. руб.</w:t>
      </w:r>
    </w:p>
    <w:p w:rsidR="0055491A" w:rsidRDefault="0055491A" w:rsidP="0055491A">
      <w:pPr>
        <w:pStyle w:val="a7"/>
        <w:spacing w:after="0"/>
        <w:ind w:left="0" w:firstLine="709"/>
        <w:jc w:val="both"/>
        <w:rPr>
          <w:sz w:val="28"/>
          <w:szCs w:val="28"/>
        </w:rPr>
      </w:pPr>
    </w:p>
    <w:p w:rsidR="0055491A" w:rsidRDefault="0055491A" w:rsidP="0055491A">
      <w:pPr>
        <w:pStyle w:val="a7"/>
        <w:spacing w:after="0"/>
        <w:ind w:left="0" w:firstLine="709"/>
        <w:jc w:val="both"/>
        <w:rPr>
          <w:sz w:val="28"/>
          <w:szCs w:val="28"/>
        </w:rPr>
      </w:pPr>
      <w:r>
        <w:rPr>
          <w:sz w:val="28"/>
          <w:szCs w:val="28"/>
        </w:rPr>
        <w:t xml:space="preserve">7.1 </w:t>
      </w:r>
      <w:r w:rsidRPr="00237481">
        <w:rPr>
          <w:b/>
          <w:sz w:val="28"/>
          <w:szCs w:val="28"/>
        </w:rPr>
        <w:t>КБК 104 1 16 01112 01 0000 140</w:t>
      </w:r>
      <w:r>
        <w:rPr>
          <w:sz w:val="28"/>
          <w:szCs w:val="28"/>
        </w:rPr>
        <w:t xml:space="preserve"> </w:t>
      </w:r>
      <w:r w:rsidRPr="002553F4">
        <w:rPr>
          <w:sz w:val="28"/>
          <w:szCs w:val="28"/>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должностными лицами органов исполнительной власти субъектов Российской Федерации, учреждениями субъектов Российской Федерации</w:t>
      </w:r>
      <w:r>
        <w:rPr>
          <w:sz w:val="28"/>
          <w:szCs w:val="28"/>
        </w:rPr>
        <w:t>.</w:t>
      </w:r>
    </w:p>
    <w:p w:rsidR="0055491A" w:rsidRPr="00237481" w:rsidRDefault="0055491A" w:rsidP="0055491A">
      <w:pPr>
        <w:pStyle w:val="a7"/>
        <w:spacing w:after="0"/>
        <w:ind w:left="0" w:firstLine="709"/>
        <w:jc w:val="both"/>
        <w:rPr>
          <w:b/>
          <w:sz w:val="28"/>
          <w:szCs w:val="28"/>
        </w:rPr>
      </w:pPr>
      <w:r w:rsidRPr="00237481">
        <w:rPr>
          <w:b/>
          <w:sz w:val="28"/>
          <w:szCs w:val="28"/>
        </w:rPr>
        <w:t xml:space="preserve"> Главный администратор доходов – Министерство транспорта Тверской области.</w:t>
      </w:r>
    </w:p>
    <w:p w:rsidR="0055491A" w:rsidRDefault="0055491A" w:rsidP="0055491A">
      <w:pPr>
        <w:autoSpaceDE w:val="0"/>
        <w:autoSpaceDN w:val="0"/>
        <w:adjustRightInd w:val="0"/>
        <w:ind w:firstLine="709"/>
        <w:jc w:val="both"/>
        <w:rPr>
          <w:color w:val="000000"/>
          <w:sz w:val="28"/>
          <w:szCs w:val="28"/>
        </w:rPr>
      </w:pPr>
      <w:r>
        <w:rPr>
          <w:sz w:val="28"/>
          <w:szCs w:val="28"/>
        </w:rPr>
        <w:lastRenderedPageBreak/>
        <w:t xml:space="preserve">Прогнозирование поступлений на </w:t>
      </w:r>
      <w:r w:rsidRPr="00B72D6B">
        <w:rPr>
          <w:sz w:val="28"/>
          <w:szCs w:val="28"/>
        </w:rPr>
        <w:t>очередной финансовый год и плановый период осуществляется методом прямого расчета</w:t>
      </w:r>
      <w:r>
        <w:rPr>
          <w:sz w:val="28"/>
          <w:szCs w:val="28"/>
        </w:rPr>
        <w:t xml:space="preserve"> исходя из </w:t>
      </w:r>
      <w:r w:rsidRPr="00B72D6B">
        <w:rPr>
          <w:color w:val="000000"/>
          <w:sz w:val="28"/>
          <w:szCs w:val="28"/>
        </w:rPr>
        <w:t>средне</w:t>
      </w:r>
      <w:r>
        <w:rPr>
          <w:color w:val="000000"/>
          <w:sz w:val="28"/>
          <w:szCs w:val="28"/>
        </w:rPr>
        <w:t>го ко</w:t>
      </w:r>
      <w:r w:rsidRPr="00B72D6B">
        <w:rPr>
          <w:color w:val="000000"/>
          <w:sz w:val="28"/>
          <w:szCs w:val="28"/>
        </w:rPr>
        <w:t>личеств</w:t>
      </w:r>
      <w:r>
        <w:rPr>
          <w:color w:val="000000"/>
          <w:sz w:val="28"/>
          <w:szCs w:val="28"/>
        </w:rPr>
        <w:t>а</w:t>
      </w:r>
      <w:r w:rsidRPr="00B72D6B">
        <w:rPr>
          <w:color w:val="000000"/>
          <w:sz w:val="28"/>
          <w:szCs w:val="28"/>
        </w:rPr>
        <w:t xml:space="preserve"> денежн</w:t>
      </w:r>
      <w:r>
        <w:rPr>
          <w:color w:val="000000"/>
          <w:sz w:val="28"/>
          <w:szCs w:val="28"/>
        </w:rPr>
        <w:t>ых</w:t>
      </w:r>
      <w:r w:rsidRPr="00B72D6B">
        <w:rPr>
          <w:color w:val="000000"/>
          <w:sz w:val="28"/>
          <w:szCs w:val="28"/>
        </w:rPr>
        <w:t xml:space="preserve"> взыскани</w:t>
      </w:r>
      <w:r>
        <w:rPr>
          <w:color w:val="000000"/>
          <w:sz w:val="28"/>
          <w:szCs w:val="28"/>
        </w:rPr>
        <w:t>й (штрафов</w:t>
      </w:r>
      <w:r w:rsidRPr="00B72D6B">
        <w:rPr>
          <w:color w:val="000000"/>
          <w:sz w:val="28"/>
          <w:szCs w:val="28"/>
        </w:rPr>
        <w:t xml:space="preserve">) за три года, предшествующих текущему финансовому году </w:t>
      </w:r>
      <w:r>
        <w:rPr>
          <w:color w:val="000000"/>
          <w:sz w:val="28"/>
          <w:szCs w:val="28"/>
        </w:rPr>
        <w:t xml:space="preserve">и </w:t>
      </w:r>
      <w:r w:rsidRPr="00B72D6B">
        <w:rPr>
          <w:color w:val="000000"/>
          <w:sz w:val="28"/>
          <w:szCs w:val="28"/>
        </w:rPr>
        <w:t>размер</w:t>
      </w:r>
      <w:r>
        <w:rPr>
          <w:color w:val="000000"/>
          <w:sz w:val="28"/>
          <w:szCs w:val="28"/>
        </w:rPr>
        <w:t>а</w:t>
      </w:r>
      <w:r w:rsidRPr="00B72D6B">
        <w:rPr>
          <w:color w:val="000000"/>
          <w:sz w:val="28"/>
          <w:szCs w:val="28"/>
        </w:rPr>
        <w:t xml:space="preserve"> </w:t>
      </w:r>
      <w:r>
        <w:rPr>
          <w:color w:val="000000"/>
          <w:sz w:val="28"/>
          <w:szCs w:val="28"/>
        </w:rPr>
        <w:t>наиболее часто налагаемого</w:t>
      </w:r>
      <w:r w:rsidRPr="00B72D6B">
        <w:rPr>
          <w:color w:val="000000"/>
          <w:sz w:val="28"/>
          <w:szCs w:val="28"/>
        </w:rPr>
        <w:t xml:space="preserve"> денежного взыскания (штрафа), установленного Ко</w:t>
      </w:r>
      <w:r>
        <w:rPr>
          <w:color w:val="000000"/>
          <w:sz w:val="28"/>
          <w:szCs w:val="28"/>
        </w:rPr>
        <w:t>АП РФ.</w:t>
      </w:r>
    </w:p>
    <w:p w:rsidR="0055491A" w:rsidRDefault="0055491A" w:rsidP="0055491A">
      <w:pPr>
        <w:pStyle w:val="ConsPlusNonformat"/>
        <w:spacing w:line="22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Среднее количество административных штрафов, </w:t>
      </w:r>
      <w:r w:rsidRPr="00FE0004">
        <w:rPr>
          <w:rFonts w:ascii="Times New Roman" w:hAnsi="Times New Roman" w:cs="Times New Roman"/>
          <w:sz w:val="28"/>
          <w:szCs w:val="28"/>
        </w:rPr>
        <w:t xml:space="preserve">предусмотренных статьей 11.14.1 </w:t>
      </w:r>
      <w:r>
        <w:rPr>
          <w:rFonts w:ascii="Times New Roman" w:hAnsi="Times New Roman" w:cs="Times New Roman"/>
          <w:color w:val="000000"/>
          <w:sz w:val="28"/>
          <w:szCs w:val="28"/>
        </w:rPr>
        <w:t xml:space="preserve"> КоАП РФ за 2018-2020 годы </w:t>
      </w:r>
      <w:r w:rsidRPr="00FE0004">
        <w:rPr>
          <w:rFonts w:ascii="Times New Roman" w:hAnsi="Times New Roman" w:cs="Times New Roman"/>
          <w:color w:val="000000"/>
          <w:sz w:val="28"/>
          <w:szCs w:val="28"/>
        </w:rPr>
        <w:t>– 2</w:t>
      </w:r>
      <w:r>
        <w:rPr>
          <w:rFonts w:ascii="Times New Roman" w:hAnsi="Times New Roman" w:cs="Times New Roman"/>
          <w:color w:val="000000"/>
          <w:sz w:val="28"/>
          <w:szCs w:val="28"/>
        </w:rPr>
        <w:t xml:space="preserve"> ед.</w:t>
      </w:r>
      <w:r w:rsidRPr="00FE0004">
        <w:rPr>
          <w:rFonts w:ascii="Times New Roman" w:hAnsi="Times New Roman" w:cs="Times New Roman"/>
          <w:color w:val="000000"/>
          <w:sz w:val="28"/>
          <w:szCs w:val="28"/>
        </w:rPr>
        <w:t xml:space="preserve">, размер наиболее часто налагаемого </w:t>
      </w:r>
      <w:r>
        <w:rPr>
          <w:rFonts w:ascii="Times New Roman" w:hAnsi="Times New Roman" w:cs="Times New Roman"/>
          <w:color w:val="000000"/>
          <w:sz w:val="28"/>
          <w:szCs w:val="28"/>
        </w:rPr>
        <w:t>административного штрафа</w:t>
      </w:r>
      <w:r w:rsidRPr="00FE0004">
        <w:rPr>
          <w:rFonts w:ascii="Times New Roman" w:hAnsi="Times New Roman" w:cs="Times New Roman"/>
          <w:color w:val="000000"/>
          <w:sz w:val="28"/>
          <w:szCs w:val="28"/>
        </w:rPr>
        <w:t xml:space="preserve"> – 1,0 тыс. руб.</w:t>
      </w:r>
    </w:p>
    <w:p w:rsidR="0055491A" w:rsidRDefault="0055491A" w:rsidP="0055491A">
      <w:pPr>
        <w:pStyle w:val="ConsPlusNonformat"/>
        <w:spacing w:line="226" w:lineRule="auto"/>
        <w:ind w:firstLine="709"/>
        <w:jc w:val="both"/>
        <w:rPr>
          <w:rFonts w:ascii="Times New Roman" w:hAnsi="Times New Roman" w:cs="Times New Roman"/>
          <w:color w:val="000000"/>
          <w:sz w:val="28"/>
          <w:szCs w:val="28"/>
        </w:rPr>
      </w:pPr>
    </w:p>
    <w:p w:rsidR="0055491A" w:rsidRPr="002D556D" w:rsidRDefault="0055491A" w:rsidP="0055491A">
      <w:pPr>
        <w:pStyle w:val="ConsPlusNonformat"/>
        <w:spacing w:line="226" w:lineRule="auto"/>
        <w:ind w:firstLine="709"/>
        <w:jc w:val="both"/>
        <w:rPr>
          <w:rFonts w:ascii="Times New Roman" w:hAnsi="Times New Roman" w:cs="Times New Roman"/>
          <w:sz w:val="28"/>
          <w:szCs w:val="28"/>
        </w:rPr>
      </w:pPr>
      <w:r w:rsidRPr="00237481">
        <w:rPr>
          <w:rFonts w:ascii="Times New Roman" w:hAnsi="Times New Roman" w:cs="Times New Roman"/>
          <w:b/>
          <w:sz w:val="28"/>
          <w:szCs w:val="28"/>
        </w:rPr>
        <w:t>Прогноз 2022 год =Прогноз 2023 год=Прогноз 2024 год</w:t>
      </w:r>
      <w:r w:rsidRPr="002D556D">
        <w:rPr>
          <w:rFonts w:ascii="Times New Roman" w:hAnsi="Times New Roman" w:cs="Times New Roman"/>
          <w:sz w:val="28"/>
          <w:szCs w:val="28"/>
        </w:rPr>
        <w:t>=</w:t>
      </w:r>
      <w:r>
        <w:rPr>
          <w:rFonts w:ascii="Times New Roman" w:hAnsi="Times New Roman" w:cs="Times New Roman"/>
          <w:sz w:val="28"/>
          <w:szCs w:val="28"/>
        </w:rPr>
        <w:t xml:space="preserve"> 2 ед.*1,0 тыс. руб. = </w:t>
      </w:r>
      <w:r w:rsidRPr="00237481">
        <w:rPr>
          <w:rFonts w:ascii="Times New Roman" w:hAnsi="Times New Roman" w:cs="Times New Roman"/>
          <w:b/>
          <w:sz w:val="28"/>
          <w:szCs w:val="28"/>
        </w:rPr>
        <w:t>2,0 тыс. руб.</w:t>
      </w:r>
    </w:p>
    <w:p w:rsidR="0055491A" w:rsidRDefault="0055491A" w:rsidP="0055491A">
      <w:pPr>
        <w:pStyle w:val="a7"/>
        <w:spacing w:after="0"/>
        <w:ind w:left="0" w:firstLine="709"/>
        <w:jc w:val="both"/>
        <w:rPr>
          <w:sz w:val="28"/>
          <w:szCs w:val="28"/>
        </w:rPr>
      </w:pPr>
    </w:p>
    <w:p w:rsidR="0055491A" w:rsidRDefault="0055491A" w:rsidP="0055491A">
      <w:pPr>
        <w:pStyle w:val="a7"/>
        <w:spacing w:after="0"/>
        <w:ind w:left="0" w:firstLine="709"/>
        <w:jc w:val="both"/>
        <w:rPr>
          <w:sz w:val="28"/>
          <w:szCs w:val="28"/>
        </w:rPr>
      </w:pPr>
      <w:r>
        <w:rPr>
          <w:sz w:val="28"/>
          <w:szCs w:val="28"/>
        </w:rPr>
        <w:t xml:space="preserve">7.2 </w:t>
      </w:r>
      <w:r w:rsidRPr="00D56B79">
        <w:rPr>
          <w:b/>
          <w:sz w:val="28"/>
          <w:szCs w:val="28"/>
        </w:rPr>
        <w:t>КБК 075 1 16 01113 01 0000 140</w:t>
      </w:r>
      <w:r>
        <w:rPr>
          <w:sz w:val="28"/>
          <w:szCs w:val="28"/>
        </w:rPr>
        <w:t xml:space="preserve"> </w:t>
      </w:r>
      <w:r w:rsidRPr="00EA253E">
        <w:rPr>
          <w:sz w:val="28"/>
          <w:szCs w:val="28"/>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r>
        <w:rPr>
          <w:sz w:val="28"/>
          <w:szCs w:val="28"/>
        </w:rPr>
        <w:t>.</w:t>
      </w:r>
    </w:p>
    <w:p w:rsidR="0055491A" w:rsidRDefault="0055491A" w:rsidP="0055491A">
      <w:pPr>
        <w:pStyle w:val="a7"/>
        <w:spacing w:after="0"/>
        <w:ind w:left="0" w:firstLine="709"/>
        <w:jc w:val="both"/>
        <w:rPr>
          <w:sz w:val="28"/>
          <w:szCs w:val="28"/>
        </w:rPr>
      </w:pPr>
      <w:r>
        <w:rPr>
          <w:sz w:val="28"/>
          <w:szCs w:val="28"/>
        </w:rPr>
        <w:t xml:space="preserve"> </w:t>
      </w:r>
      <w:r w:rsidRPr="00D56B79">
        <w:rPr>
          <w:b/>
          <w:sz w:val="28"/>
          <w:szCs w:val="28"/>
        </w:rPr>
        <w:t>Главный администратор доходов – Министерство образования Тверской области.</w:t>
      </w:r>
      <w:r>
        <w:rPr>
          <w:sz w:val="28"/>
          <w:szCs w:val="28"/>
        </w:rPr>
        <w:t xml:space="preserve"> </w:t>
      </w:r>
    </w:p>
    <w:p w:rsidR="0055491A" w:rsidRDefault="0055491A" w:rsidP="0055491A">
      <w:pPr>
        <w:pStyle w:val="a7"/>
        <w:spacing w:after="0"/>
        <w:ind w:left="0" w:firstLine="709"/>
        <w:jc w:val="both"/>
        <w:rPr>
          <w:sz w:val="28"/>
          <w:szCs w:val="28"/>
        </w:rPr>
      </w:pPr>
      <w:r>
        <w:rPr>
          <w:sz w:val="28"/>
          <w:szCs w:val="28"/>
        </w:rPr>
        <w:t xml:space="preserve">Расчет представлен в таблице: </w:t>
      </w:r>
    </w:p>
    <w:p w:rsidR="0055491A" w:rsidRDefault="0055491A" w:rsidP="0055491A">
      <w:pPr>
        <w:pStyle w:val="a7"/>
        <w:spacing w:after="0"/>
        <w:ind w:left="0" w:firstLine="709"/>
        <w:jc w:val="right"/>
        <w:rPr>
          <w:sz w:val="28"/>
          <w:szCs w:val="28"/>
        </w:rPr>
      </w:pPr>
      <w:r>
        <w:t>ты</w:t>
      </w:r>
      <w:r w:rsidRPr="00AD0448">
        <w:t>с. руб</w:t>
      </w:r>
      <w:r>
        <w:rPr>
          <w:sz w:val="28"/>
          <w:szCs w:val="28"/>
        </w:rPr>
        <w:t>.</w:t>
      </w:r>
    </w:p>
    <w:tbl>
      <w:tblPr>
        <w:tblStyle w:val="a6"/>
        <w:tblW w:w="0" w:type="auto"/>
        <w:tblLook w:val="04A0" w:firstRow="1" w:lastRow="0" w:firstColumn="1" w:lastColumn="0" w:noHBand="0" w:noVBand="1"/>
      </w:tblPr>
      <w:tblGrid>
        <w:gridCol w:w="2168"/>
        <w:gridCol w:w="1163"/>
        <w:gridCol w:w="1162"/>
        <w:gridCol w:w="1164"/>
        <w:gridCol w:w="1162"/>
        <w:gridCol w:w="1162"/>
        <w:gridCol w:w="1165"/>
      </w:tblGrid>
      <w:tr w:rsidR="0055491A" w:rsidRPr="00D56B79" w:rsidTr="00210BF6">
        <w:trPr>
          <w:trHeight w:val="313"/>
        </w:trPr>
        <w:tc>
          <w:tcPr>
            <w:tcW w:w="9146" w:type="dxa"/>
            <w:gridSpan w:val="7"/>
            <w:noWrap/>
            <w:hideMark/>
          </w:tcPr>
          <w:p w:rsidR="0055491A" w:rsidRPr="00D56B79" w:rsidRDefault="0055491A" w:rsidP="00210BF6">
            <w:pPr>
              <w:ind w:firstLine="0"/>
              <w:jc w:val="center"/>
              <w:rPr>
                <w:b/>
                <w:bCs/>
                <w:color w:val="000000"/>
                <w:sz w:val="22"/>
                <w:szCs w:val="22"/>
              </w:rPr>
            </w:pPr>
            <w:r w:rsidRPr="00D56B79">
              <w:rPr>
                <w:b/>
                <w:bCs/>
                <w:color w:val="000000"/>
                <w:sz w:val="22"/>
                <w:szCs w:val="22"/>
              </w:rPr>
              <w:t>Глава 11 КоАП РФ</w:t>
            </w:r>
          </w:p>
        </w:tc>
      </w:tr>
      <w:tr w:rsidR="0055491A" w:rsidRPr="00D56B79" w:rsidTr="00210BF6">
        <w:trPr>
          <w:trHeight w:val="570"/>
        </w:trPr>
        <w:tc>
          <w:tcPr>
            <w:tcW w:w="2168" w:type="dxa"/>
            <w:vMerge w:val="restart"/>
            <w:hideMark/>
          </w:tcPr>
          <w:p w:rsidR="0055491A" w:rsidRPr="00580710" w:rsidRDefault="0055491A" w:rsidP="00210BF6">
            <w:pPr>
              <w:ind w:firstLine="0"/>
              <w:jc w:val="center"/>
              <w:rPr>
                <w:b/>
                <w:bCs/>
                <w:color w:val="000000"/>
                <w:sz w:val="22"/>
                <w:szCs w:val="22"/>
              </w:rPr>
            </w:pPr>
            <w:r w:rsidRPr="00580710">
              <w:rPr>
                <w:b/>
                <w:bCs/>
                <w:color w:val="000000"/>
                <w:sz w:val="22"/>
                <w:szCs w:val="22"/>
              </w:rPr>
              <w:t>Размер платежа (тыс.руб.)</w:t>
            </w:r>
          </w:p>
        </w:tc>
        <w:tc>
          <w:tcPr>
            <w:tcW w:w="3489" w:type="dxa"/>
            <w:gridSpan w:val="3"/>
            <w:hideMark/>
          </w:tcPr>
          <w:p w:rsidR="0055491A" w:rsidRPr="00D56B79" w:rsidRDefault="0055491A" w:rsidP="00210BF6">
            <w:pPr>
              <w:ind w:firstLine="0"/>
              <w:jc w:val="center"/>
              <w:rPr>
                <w:b/>
                <w:bCs/>
                <w:color w:val="000000"/>
                <w:sz w:val="22"/>
                <w:szCs w:val="22"/>
              </w:rPr>
            </w:pPr>
            <w:r>
              <w:rPr>
                <w:b/>
                <w:bCs/>
                <w:color w:val="000000"/>
                <w:sz w:val="22"/>
                <w:szCs w:val="22"/>
              </w:rPr>
              <w:t>Кол</w:t>
            </w:r>
            <w:r w:rsidRPr="00D56B79">
              <w:rPr>
                <w:b/>
                <w:bCs/>
                <w:color w:val="000000"/>
                <w:sz w:val="22"/>
                <w:szCs w:val="22"/>
              </w:rPr>
              <w:t>ичество правонарушений (с учетом округления</w:t>
            </w:r>
            <w:r>
              <w:rPr>
                <w:b/>
                <w:bCs/>
                <w:color w:val="000000"/>
                <w:sz w:val="22"/>
                <w:szCs w:val="22"/>
              </w:rPr>
              <w:t>)</w:t>
            </w:r>
          </w:p>
        </w:tc>
        <w:tc>
          <w:tcPr>
            <w:tcW w:w="3489" w:type="dxa"/>
            <w:gridSpan w:val="3"/>
            <w:noWrap/>
            <w:hideMark/>
          </w:tcPr>
          <w:p w:rsidR="0055491A" w:rsidRPr="00D56B79" w:rsidRDefault="0055491A" w:rsidP="00210BF6">
            <w:pPr>
              <w:ind w:firstLine="0"/>
              <w:jc w:val="center"/>
              <w:rPr>
                <w:b/>
                <w:bCs/>
                <w:color w:val="000000"/>
                <w:sz w:val="22"/>
                <w:szCs w:val="22"/>
              </w:rPr>
            </w:pPr>
            <w:r w:rsidRPr="00D56B79">
              <w:rPr>
                <w:b/>
                <w:bCs/>
                <w:color w:val="000000"/>
                <w:sz w:val="22"/>
                <w:szCs w:val="22"/>
              </w:rPr>
              <w:t>Прогноз</w:t>
            </w:r>
          </w:p>
        </w:tc>
      </w:tr>
      <w:tr w:rsidR="0055491A" w:rsidRPr="00D56B79" w:rsidTr="00210BF6">
        <w:trPr>
          <w:trHeight w:val="313"/>
        </w:trPr>
        <w:tc>
          <w:tcPr>
            <w:tcW w:w="2168" w:type="dxa"/>
            <w:vMerge/>
            <w:hideMark/>
          </w:tcPr>
          <w:p w:rsidR="0055491A" w:rsidRPr="00580710" w:rsidRDefault="0055491A" w:rsidP="00210BF6">
            <w:pPr>
              <w:ind w:firstLine="0"/>
              <w:jc w:val="center"/>
              <w:rPr>
                <w:b/>
                <w:bCs/>
                <w:color w:val="000000"/>
                <w:sz w:val="22"/>
                <w:szCs w:val="22"/>
              </w:rPr>
            </w:pPr>
          </w:p>
        </w:tc>
        <w:tc>
          <w:tcPr>
            <w:tcW w:w="1163" w:type="dxa"/>
            <w:noWrap/>
            <w:hideMark/>
          </w:tcPr>
          <w:p w:rsidR="0055491A" w:rsidRPr="00D56B79" w:rsidRDefault="0055491A" w:rsidP="00210BF6">
            <w:pPr>
              <w:ind w:firstLine="0"/>
              <w:jc w:val="center"/>
              <w:rPr>
                <w:b/>
                <w:bCs/>
                <w:color w:val="000000"/>
                <w:sz w:val="22"/>
                <w:szCs w:val="22"/>
              </w:rPr>
            </w:pPr>
            <w:r w:rsidRPr="00D56B79">
              <w:rPr>
                <w:b/>
                <w:bCs/>
                <w:color w:val="000000"/>
                <w:sz w:val="22"/>
                <w:szCs w:val="22"/>
              </w:rPr>
              <w:t>2022 год</w:t>
            </w:r>
          </w:p>
        </w:tc>
        <w:tc>
          <w:tcPr>
            <w:tcW w:w="1162" w:type="dxa"/>
            <w:noWrap/>
            <w:hideMark/>
          </w:tcPr>
          <w:p w:rsidR="0055491A" w:rsidRPr="00D56B79" w:rsidRDefault="0055491A" w:rsidP="00210BF6">
            <w:pPr>
              <w:ind w:firstLine="0"/>
              <w:jc w:val="center"/>
              <w:rPr>
                <w:b/>
                <w:bCs/>
                <w:color w:val="000000"/>
                <w:sz w:val="22"/>
                <w:szCs w:val="22"/>
              </w:rPr>
            </w:pPr>
            <w:r w:rsidRPr="00D56B79">
              <w:rPr>
                <w:b/>
                <w:bCs/>
                <w:color w:val="000000"/>
                <w:sz w:val="22"/>
                <w:szCs w:val="22"/>
              </w:rPr>
              <w:t>2023 год</w:t>
            </w:r>
          </w:p>
        </w:tc>
        <w:tc>
          <w:tcPr>
            <w:tcW w:w="1164" w:type="dxa"/>
            <w:noWrap/>
            <w:hideMark/>
          </w:tcPr>
          <w:p w:rsidR="0055491A" w:rsidRPr="00D56B79" w:rsidRDefault="0055491A" w:rsidP="00210BF6">
            <w:pPr>
              <w:ind w:firstLine="0"/>
              <w:jc w:val="center"/>
              <w:rPr>
                <w:b/>
                <w:bCs/>
                <w:color w:val="000000"/>
                <w:sz w:val="22"/>
                <w:szCs w:val="22"/>
              </w:rPr>
            </w:pPr>
            <w:r w:rsidRPr="00D56B79">
              <w:rPr>
                <w:b/>
                <w:bCs/>
                <w:color w:val="000000"/>
                <w:sz w:val="22"/>
                <w:szCs w:val="22"/>
              </w:rPr>
              <w:t>2024 год</w:t>
            </w:r>
          </w:p>
        </w:tc>
        <w:tc>
          <w:tcPr>
            <w:tcW w:w="1162" w:type="dxa"/>
            <w:noWrap/>
            <w:hideMark/>
          </w:tcPr>
          <w:p w:rsidR="0055491A" w:rsidRPr="00D56B79" w:rsidRDefault="0055491A" w:rsidP="00210BF6">
            <w:pPr>
              <w:ind w:firstLine="0"/>
              <w:jc w:val="center"/>
              <w:rPr>
                <w:b/>
                <w:bCs/>
                <w:color w:val="000000"/>
                <w:sz w:val="22"/>
                <w:szCs w:val="22"/>
              </w:rPr>
            </w:pPr>
            <w:r w:rsidRPr="00D56B79">
              <w:rPr>
                <w:b/>
                <w:bCs/>
                <w:color w:val="000000"/>
                <w:sz w:val="22"/>
                <w:szCs w:val="22"/>
              </w:rPr>
              <w:t>2022 год</w:t>
            </w:r>
          </w:p>
        </w:tc>
        <w:tc>
          <w:tcPr>
            <w:tcW w:w="1162" w:type="dxa"/>
            <w:noWrap/>
            <w:hideMark/>
          </w:tcPr>
          <w:p w:rsidR="0055491A" w:rsidRPr="00D56B79" w:rsidRDefault="0055491A" w:rsidP="00210BF6">
            <w:pPr>
              <w:ind w:firstLine="0"/>
              <w:jc w:val="center"/>
              <w:rPr>
                <w:b/>
                <w:bCs/>
                <w:color w:val="000000"/>
                <w:sz w:val="22"/>
                <w:szCs w:val="22"/>
              </w:rPr>
            </w:pPr>
            <w:r w:rsidRPr="00D56B79">
              <w:rPr>
                <w:b/>
                <w:bCs/>
                <w:color w:val="000000"/>
                <w:sz w:val="22"/>
                <w:szCs w:val="22"/>
              </w:rPr>
              <w:t>2023 год</w:t>
            </w:r>
          </w:p>
        </w:tc>
        <w:tc>
          <w:tcPr>
            <w:tcW w:w="1165" w:type="dxa"/>
            <w:noWrap/>
            <w:hideMark/>
          </w:tcPr>
          <w:p w:rsidR="0055491A" w:rsidRPr="00D56B79" w:rsidRDefault="0055491A" w:rsidP="00210BF6">
            <w:pPr>
              <w:ind w:firstLine="0"/>
              <w:jc w:val="center"/>
              <w:rPr>
                <w:b/>
                <w:bCs/>
                <w:color w:val="000000"/>
                <w:sz w:val="22"/>
                <w:szCs w:val="22"/>
              </w:rPr>
            </w:pPr>
            <w:r w:rsidRPr="00D56B79">
              <w:rPr>
                <w:b/>
                <w:bCs/>
                <w:color w:val="000000"/>
                <w:sz w:val="22"/>
                <w:szCs w:val="22"/>
              </w:rPr>
              <w:t>2024 год</w:t>
            </w:r>
          </w:p>
        </w:tc>
      </w:tr>
      <w:tr w:rsidR="0055491A" w:rsidRPr="00D56B79" w:rsidTr="00210BF6">
        <w:trPr>
          <w:trHeight w:val="313"/>
        </w:trPr>
        <w:tc>
          <w:tcPr>
            <w:tcW w:w="2168" w:type="dxa"/>
            <w:noWrap/>
            <w:hideMark/>
          </w:tcPr>
          <w:p w:rsidR="0055491A" w:rsidRPr="00580710" w:rsidRDefault="0055491A" w:rsidP="00210BF6">
            <w:pPr>
              <w:ind w:firstLine="0"/>
              <w:jc w:val="center"/>
              <w:rPr>
                <w:bCs/>
                <w:color w:val="000000"/>
                <w:sz w:val="22"/>
                <w:szCs w:val="22"/>
              </w:rPr>
            </w:pPr>
            <w:r w:rsidRPr="00580710">
              <w:rPr>
                <w:bCs/>
                <w:color w:val="000000"/>
                <w:sz w:val="22"/>
                <w:szCs w:val="22"/>
              </w:rPr>
              <w:t>0,2</w:t>
            </w:r>
          </w:p>
        </w:tc>
        <w:tc>
          <w:tcPr>
            <w:tcW w:w="1163" w:type="dxa"/>
            <w:noWrap/>
            <w:hideMark/>
          </w:tcPr>
          <w:p w:rsidR="0055491A" w:rsidRPr="00580710" w:rsidRDefault="0055491A" w:rsidP="00210BF6">
            <w:pPr>
              <w:ind w:firstLine="0"/>
              <w:jc w:val="center"/>
              <w:rPr>
                <w:bCs/>
                <w:color w:val="000000"/>
                <w:sz w:val="22"/>
                <w:szCs w:val="22"/>
              </w:rPr>
            </w:pPr>
            <w:r w:rsidRPr="00580710">
              <w:rPr>
                <w:bCs/>
                <w:color w:val="000000"/>
                <w:sz w:val="22"/>
                <w:szCs w:val="22"/>
              </w:rPr>
              <w:t> 0</w:t>
            </w:r>
          </w:p>
        </w:tc>
        <w:tc>
          <w:tcPr>
            <w:tcW w:w="1162" w:type="dxa"/>
            <w:noWrap/>
            <w:hideMark/>
          </w:tcPr>
          <w:p w:rsidR="0055491A" w:rsidRPr="00580710" w:rsidRDefault="0055491A" w:rsidP="00210BF6">
            <w:pPr>
              <w:ind w:firstLine="0"/>
              <w:jc w:val="center"/>
              <w:rPr>
                <w:bCs/>
                <w:color w:val="000000"/>
                <w:sz w:val="22"/>
                <w:szCs w:val="22"/>
              </w:rPr>
            </w:pPr>
            <w:r w:rsidRPr="00580710">
              <w:rPr>
                <w:bCs/>
                <w:color w:val="000000"/>
                <w:sz w:val="22"/>
                <w:szCs w:val="22"/>
              </w:rPr>
              <w:t>2</w:t>
            </w:r>
          </w:p>
        </w:tc>
        <w:tc>
          <w:tcPr>
            <w:tcW w:w="1164" w:type="dxa"/>
            <w:noWrap/>
            <w:hideMark/>
          </w:tcPr>
          <w:p w:rsidR="0055491A" w:rsidRPr="00580710" w:rsidRDefault="0055491A" w:rsidP="00210BF6">
            <w:pPr>
              <w:ind w:firstLine="0"/>
              <w:jc w:val="center"/>
              <w:rPr>
                <w:bCs/>
                <w:color w:val="000000"/>
                <w:sz w:val="22"/>
                <w:szCs w:val="22"/>
              </w:rPr>
            </w:pPr>
            <w:r w:rsidRPr="00580710">
              <w:rPr>
                <w:bCs/>
                <w:color w:val="000000"/>
                <w:sz w:val="22"/>
                <w:szCs w:val="22"/>
              </w:rPr>
              <w:t>0</w:t>
            </w:r>
          </w:p>
        </w:tc>
        <w:tc>
          <w:tcPr>
            <w:tcW w:w="1162" w:type="dxa"/>
            <w:noWrap/>
            <w:hideMark/>
          </w:tcPr>
          <w:p w:rsidR="0055491A" w:rsidRPr="00580710" w:rsidRDefault="0055491A" w:rsidP="00210BF6">
            <w:pPr>
              <w:ind w:firstLine="0"/>
              <w:jc w:val="center"/>
              <w:rPr>
                <w:bCs/>
                <w:color w:val="000000"/>
                <w:sz w:val="22"/>
                <w:szCs w:val="22"/>
              </w:rPr>
            </w:pPr>
            <w:r w:rsidRPr="00580710">
              <w:rPr>
                <w:bCs/>
                <w:color w:val="000000"/>
                <w:sz w:val="22"/>
                <w:szCs w:val="22"/>
              </w:rPr>
              <w:t>0</w:t>
            </w:r>
          </w:p>
        </w:tc>
        <w:tc>
          <w:tcPr>
            <w:tcW w:w="1162" w:type="dxa"/>
            <w:noWrap/>
            <w:hideMark/>
          </w:tcPr>
          <w:p w:rsidR="0055491A" w:rsidRPr="00580710" w:rsidRDefault="0055491A" w:rsidP="00210BF6">
            <w:pPr>
              <w:ind w:firstLine="0"/>
              <w:jc w:val="center"/>
              <w:rPr>
                <w:bCs/>
                <w:color w:val="000000"/>
                <w:sz w:val="22"/>
                <w:szCs w:val="22"/>
              </w:rPr>
            </w:pPr>
            <w:r w:rsidRPr="00580710">
              <w:rPr>
                <w:bCs/>
                <w:color w:val="000000"/>
                <w:sz w:val="22"/>
                <w:szCs w:val="22"/>
              </w:rPr>
              <w:t>0,4</w:t>
            </w:r>
          </w:p>
        </w:tc>
        <w:tc>
          <w:tcPr>
            <w:tcW w:w="1165" w:type="dxa"/>
            <w:noWrap/>
            <w:hideMark/>
          </w:tcPr>
          <w:p w:rsidR="0055491A" w:rsidRPr="00580710" w:rsidRDefault="0055491A" w:rsidP="00210BF6">
            <w:pPr>
              <w:ind w:firstLine="0"/>
              <w:jc w:val="center"/>
              <w:rPr>
                <w:bCs/>
                <w:color w:val="000000"/>
                <w:sz w:val="22"/>
                <w:szCs w:val="22"/>
              </w:rPr>
            </w:pPr>
            <w:r w:rsidRPr="00580710">
              <w:rPr>
                <w:bCs/>
                <w:color w:val="000000"/>
                <w:sz w:val="22"/>
                <w:szCs w:val="22"/>
              </w:rPr>
              <w:t>0</w:t>
            </w:r>
          </w:p>
        </w:tc>
      </w:tr>
      <w:tr w:rsidR="0055491A" w:rsidRPr="00D56B79" w:rsidTr="00210BF6">
        <w:trPr>
          <w:trHeight w:val="313"/>
        </w:trPr>
        <w:tc>
          <w:tcPr>
            <w:tcW w:w="2168" w:type="dxa"/>
            <w:noWrap/>
            <w:hideMark/>
          </w:tcPr>
          <w:p w:rsidR="0055491A" w:rsidRPr="00580710" w:rsidRDefault="0055491A" w:rsidP="00210BF6">
            <w:pPr>
              <w:ind w:firstLine="0"/>
              <w:jc w:val="center"/>
              <w:rPr>
                <w:bCs/>
                <w:color w:val="000000"/>
                <w:sz w:val="22"/>
                <w:szCs w:val="22"/>
              </w:rPr>
            </w:pPr>
            <w:r w:rsidRPr="00580710">
              <w:rPr>
                <w:bCs/>
                <w:color w:val="000000"/>
                <w:sz w:val="22"/>
                <w:szCs w:val="22"/>
              </w:rPr>
              <w:t>0,3</w:t>
            </w:r>
          </w:p>
        </w:tc>
        <w:tc>
          <w:tcPr>
            <w:tcW w:w="1163" w:type="dxa"/>
            <w:noWrap/>
            <w:hideMark/>
          </w:tcPr>
          <w:p w:rsidR="0055491A" w:rsidRPr="00580710" w:rsidRDefault="0055491A" w:rsidP="00210BF6">
            <w:pPr>
              <w:ind w:firstLine="0"/>
              <w:jc w:val="center"/>
              <w:rPr>
                <w:bCs/>
                <w:color w:val="000000"/>
                <w:sz w:val="22"/>
                <w:szCs w:val="22"/>
              </w:rPr>
            </w:pPr>
            <w:r w:rsidRPr="00580710">
              <w:rPr>
                <w:bCs/>
                <w:color w:val="000000"/>
                <w:sz w:val="22"/>
                <w:szCs w:val="22"/>
              </w:rPr>
              <w:t>7</w:t>
            </w:r>
          </w:p>
        </w:tc>
        <w:tc>
          <w:tcPr>
            <w:tcW w:w="1162" w:type="dxa"/>
            <w:noWrap/>
            <w:hideMark/>
          </w:tcPr>
          <w:p w:rsidR="0055491A" w:rsidRPr="00580710" w:rsidRDefault="0055491A" w:rsidP="00210BF6">
            <w:pPr>
              <w:ind w:firstLine="0"/>
              <w:jc w:val="center"/>
              <w:rPr>
                <w:bCs/>
                <w:color w:val="000000"/>
                <w:sz w:val="22"/>
                <w:szCs w:val="22"/>
              </w:rPr>
            </w:pPr>
            <w:r w:rsidRPr="00580710">
              <w:rPr>
                <w:bCs/>
                <w:color w:val="000000"/>
                <w:sz w:val="22"/>
                <w:szCs w:val="22"/>
              </w:rPr>
              <w:t>8</w:t>
            </w:r>
          </w:p>
        </w:tc>
        <w:tc>
          <w:tcPr>
            <w:tcW w:w="1164" w:type="dxa"/>
            <w:noWrap/>
            <w:hideMark/>
          </w:tcPr>
          <w:p w:rsidR="0055491A" w:rsidRPr="00580710" w:rsidRDefault="0055491A" w:rsidP="00210BF6">
            <w:pPr>
              <w:ind w:firstLine="0"/>
              <w:jc w:val="center"/>
              <w:rPr>
                <w:bCs/>
                <w:color w:val="000000"/>
                <w:sz w:val="22"/>
                <w:szCs w:val="22"/>
              </w:rPr>
            </w:pPr>
            <w:r w:rsidRPr="00580710">
              <w:rPr>
                <w:bCs/>
                <w:color w:val="000000"/>
                <w:sz w:val="22"/>
                <w:szCs w:val="22"/>
              </w:rPr>
              <w:t>8</w:t>
            </w:r>
          </w:p>
        </w:tc>
        <w:tc>
          <w:tcPr>
            <w:tcW w:w="1162" w:type="dxa"/>
            <w:noWrap/>
            <w:hideMark/>
          </w:tcPr>
          <w:p w:rsidR="0055491A" w:rsidRPr="00580710" w:rsidRDefault="0055491A" w:rsidP="00210BF6">
            <w:pPr>
              <w:ind w:firstLine="0"/>
              <w:jc w:val="center"/>
              <w:rPr>
                <w:bCs/>
                <w:color w:val="000000"/>
                <w:sz w:val="22"/>
                <w:szCs w:val="22"/>
              </w:rPr>
            </w:pPr>
            <w:r w:rsidRPr="00580710">
              <w:rPr>
                <w:bCs/>
                <w:color w:val="000000"/>
                <w:sz w:val="22"/>
                <w:szCs w:val="22"/>
              </w:rPr>
              <w:t>2,1</w:t>
            </w:r>
          </w:p>
        </w:tc>
        <w:tc>
          <w:tcPr>
            <w:tcW w:w="1162" w:type="dxa"/>
            <w:noWrap/>
            <w:hideMark/>
          </w:tcPr>
          <w:p w:rsidR="0055491A" w:rsidRPr="00580710" w:rsidRDefault="0055491A" w:rsidP="00210BF6">
            <w:pPr>
              <w:ind w:firstLine="0"/>
              <w:jc w:val="center"/>
              <w:rPr>
                <w:bCs/>
                <w:color w:val="000000"/>
                <w:sz w:val="22"/>
                <w:szCs w:val="22"/>
              </w:rPr>
            </w:pPr>
            <w:r w:rsidRPr="00580710">
              <w:rPr>
                <w:bCs/>
                <w:color w:val="000000"/>
                <w:sz w:val="22"/>
                <w:szCs w:val="22"/>
              </w:rPr>
              <w:t>2,4</w:t>
            </w:r>
          </w:p>
        </w:tc>
        <w:tc>
          <w:tcPr>
            <w:tcW w:w="1165" w:type="dxa"/>
            <w:noWrap/>
            <w:hideMark/>
          </w:tcPr>
          <w:p w:rsidR="0055491A" w:rsidRPr="00580710" w:rsidRDefault="0055491A" w:rsidP="00210BF6">
            <w:pPr>
              <w:ind w:firstLine="0"/>
              <w:jc w:val="center"/>
              <w:rPr>
                <w:bCs/>
                <w:color w:val="000000"/>
                <w:sz w:val="22"/>
                <w:szCs w:val="22"/>
              </w:rPr>
            </w:pPr>
            <w:r w:rsidRPr="00580710">
              <w:rPr>
                <w:bCs/>
                <w:color w:val="000000"/>
                <w:sz w:val="22"/>
                <w:szCs w:val="22"/>
              </w:rPr>
              <w:t>2,4</w:t>
            </w:r>
          </w:p>
        </w:tc>
      </w:tr>
      <w:tr w:rsidR="0055491A" w:rsidRPr="00D56B79" w:rsidTr="00210BF6">
        <w:trPr>
          <w:trHeight w:val="313"/>
        </w:trPr>
        <w:tc>
          <w:tcPr>
            <w:tcW w:w="2168" w:type="dxa"/>
            <w:noWrap/>
            <w:hideMark/>
          </w:tcPr>
          <w:p w:rsidR="0055491A" w:rsidRPr="00580710" w:rsidRDefault="0055491A" w:rsidP="00210BF6">
            <w:pPr>
              <w:ind w:firstLine="0"/>
              <w:jc w:val="center"/>
              <w:rPr>
                <w:bCs/>
                <w:color w:val="000000"/>
                <w:sz w:val="22"/>
                <w:szCs w:val="22"/>
              </w:rPr>
            </w:pPr>
            <w:r w:rsidRPr="00580710">
              <w:rPr>
                <w:bCs/>
                <w:color w:val="000000"/>
                <w:sz w:val="22"/>
                <w:szCs w:val="22"/>
              </w:rPr>
              <w:t>0,5</w:t>
            </w:r>
          </w:p>
        </w:tc>
        <w:tc>
          <w:tcPr>
            <w:tcW w:w="1163" w:type="dxa"/>
            <w:noWrap/>
            <w:hideMark/>
          </w:tcPr>
          <w:p w:rsidR="0055491A" w:rsidRPr="00580710" w:rsidRDefault="0055491A" w:rsidP="00210BF6">
            <w:pPr>
              <w:ind w:firstLine="0"/>
              <w:jc w:val="center"/>
              <w:rPr>
                <w:bCs/>
                <w:color w:val="000000"/>
                <w:sz w:val="22"/>
                <w:szCs w:val="22"/>
              </w:rPr>
            </w:pPr>
            <w:r w:rsidRPr="00580710">
              <w:rPr>
                <w:bCs/>
                <w:color w:val="000000"/>
                <w:sz w:val="22"/>
                <w:szCs w:val="22"/>
              </w:rPr>
              <w:t>1</w:t>
            </w:r>
          </w:p>
        </w:tc>
        <w:tc>
          <w:tcPr>
            <w:tcW w:w="1162" w:type="dxa"/>
            <w:noWrap/>
            <w:hideMark/>
          </w:tcPr>
          <w:p w:rsidR="0055491A" w:rsidRPr="00580710" w:rsidRDefault="0055491A" w:rsidP="00210BF6">
            <w:pPr>
              <w:ind w:firstLine="0"/>
              <w:jc w:val="center"/>
              <w:rPr>
                <w:bCs/>
                <w:color w:val="000000"/>
                <w:sz w:val="22"/>
                <w:szCs w:val="22"/>
              </w:rPr>
            </w:pPr>
            <w:r w:rsidRPr="00580710">
              <w:rPr>
                <w:bCs/>
                <w:color w:val="000000"/>
                <w:sz w:val="22"/>
                <w:szCs w:val="22"/>
              </w:rPr>
              <w:t>0</w:t>
            </w:r>
          </w:p>
        </w:tc>
        <w:tc>
          <w:tcPr>
            <w:tcW w:w="1164" w:type="dxa"/>
            <w:noWrap/>
            <w:hideMark/>
          </w:tcPr>
          <w:p w:rsidR="0055491A" w:rsidRPr="00580710" w:rsidRDefault="0055491A" w:rsidP="00210BF6">
            <w:pPr>
              <w:ind w:firstLine="0"/>
              <w:jc w:val="center"/>
              <w:rPr>
                <w:bCs/>
                <w:color w:val="000000"/>
                <w:sz w:val="22"/>
                <w:szCs w:val="22"/>
              </w:rPr>
            </w:pPr>
            <w:r w:rsidRPr="00580710">
              <w:rPr>
                <w:bCs/>
                <w:color w:val="000000"/>
                <w:sz w:val="22"/>
                <w:szCs w:val="22"/>
              </w:rPr>
              <w:t>0</w:t>
            </w:r>
          </w:p>
        </w:tc>
        <w:tc>
          <w:tcPr>
            <w:tcW w:w="1162" w:type="dxa"/>
            <w:noWrap/>
            <w:hideMark/>
          </w:tcPr>
          <w:p w:rsidR="0055491A" w:rsidRPr="00580710" w:rsidRDefault="0055491A" w:rsidP="00210BF6">
            <w:pPr>
              <w:ind w:firstLine="0"/>
              <w:jc w:val="center"/>
              <w:rPr>
                <w:bCs/>
                <w:color w:val="000000"/>
                <w:sz w:val="22"/>
                <w:szCs w:val="22"/>
              </w:rPr>
            </w:pPr>
            <w:r w:rsidRPr="00580710">
              <w:rPr>
                <w:bCs/>
                <w:color w:val="000000"/>
                <w:sz w:val="22"/>
                <w:szCs w:val="22"/>
              </w:rPr>
              <w:t>0,5</w:t>
            </w:r>
          </w:p>
        </w:tc>
        <w:tc>
          <w:tcPr>
            <w:tcW w:w="1162" w:type="dxa"/>
            <w:noWrap/>
            <w:hideMark/>
          </w:tcPr>
          <w:p w:rsidR="0055491A" w:rsidRPr="00580710" w:rsidRDefault="0055491A" w:rsidP="00210BF6">
            <w:pPr>
              <w:ind w:firstLine="0"/>
              <w:jc w:val="center"/>
              <w:rPr>
                <w:bCs/>
                <w:color w:val="000000"/>
                <w:sz w:val="22"/>
                <w:szCs w:val="22"/>
              </w:rPr>
            </w:pPr>
            <w:r w:rsidRPr="00580710">
              <w:rPr>
                <w:bCs/>
                <w:color w:val="000000"/>
                <w:sz w:val="22"/>
                <w:szCs w:val="22"/>
              </w:rPr>
              <w:t>0</w:t>
            </w:r>
          </w:p>
        </w:tc>
        <w:tc>
          <w:tcPr>
            <w:tcW w:w="1165" w:type="dxa"/>
            <w:noWrap/>
            <w:hideMark/>
          </w:tcPr>
          <w:p w:rsidR="0055491A" w:rsidRPr="00580710" w:rsidRDefault="0055491A" w:rsidP="00210BF6">
            <w:pPr>
              <w:ind w:firstLine="0"/>
              <w:jc w:val="center"/>
              <w:rPr>
                <w:bCs/>
                <w:color w:val="000000"/>
                <w:sz w:val="22"/>
                <w:szCs w:val="22"/>
              </w:rPr>
            </w:pPr>
            <w:r w:rsidRPr="00580710">
              <w:rPr>
                <w:bCs/>
                <w:color w:val="000000"/>
                <w:sz w:val="22"/>
                <w:szCs w:val="22"/>
              </w:rPr>
              <w:t>0</w:t>
            </w:r>
          </w:p>
        </w:tc>
      </w:tr>
      <w:tr w:rsidR="0055491A" w:rsidRPr="00D56B79" w:rsidTr="00210BF6">
        <w:trPr>
          <w:trHeight w:val="313"/>
        </w:trPr>
        <w:tc>
          <w:tcPr>
            <w:tcW w:w="2168" w:type="dxa"/>
            <w:noWrap/>
            <w:hideMark/>
          </w:tcPr>
          <w:p w:rsidR="0055491A" w:rsidRPr="00580710" w:rsidRDefault="0055491A" w:rsidP="00210BF6">
            <w:pPr>
              <w:ind w:firstLine="0"/>
              <w:jc w:val="center"/>
              <w:rPr>
                <w:bCs/>
                <w:color w:val="000000"/>
                <w:sz w:val="22"/>
                <w:szCs w:val="22"/>
              </w:rPr>
            </w:pPr>
            <w:r w:rsidRPr="00580710">
              <w:rPr>
                <w:bCs/>
                <w:color w:val="000000"/>
                <w:sz w:val="22"/>
                <w:szCs w:val="22"/>
              </w:rPr>
              <w:t>5</w:t>
            </w:r>
          </w:p>
        </w:tc>
        <w:tc>
          <w:tcPr>
            <w:tcW w:w="1163" w:type="dxa"/>
            <w:noWrap/>
            <w:hideMark/>
          </w:tcPr>
          <w:p w:rsidR="0055491A" w:rsidRPr="00580710" w:rsidRDefault="0055491A" w:rsidP="00210BF6">
            <w:pPr>
              <w:ind w:firstLine="0"/>
              <w:jc w:val="center"/>
              <w:rPr>
                <w:bCs/>
                <w:color w:val="000000"/>
                <w:sz w:val="22"/>
                <w:szCs w:val="22"/>
              </w:rPr>
            </w:pPr>
            <w:r w:rsidRPr="00580710">
              <w:rPr>
                <w:bCs/>
                <w:color w:val="000000"/>
                <w:sz w:val="22"/>
                <w:szCs w:val="22"/>
              </w:rPr>
              <w:t>3</w:t>
            </w:r>
          </w:p>
        </w:tc>
        <w:tc>
          <w:tcPr>
            <w:tcW w:w="1162" w:type="dxa"/>
            <w:noWrap/>
            <w:hideMark/>
          </w:tcPr>
          <w:p w:rsidR="0055491A" w:rsidRPr="00580710" w:rsidRDefault="0055491A" w:rsidP="00210BF6">
            <w:pPr>
              <w:ind w:firstLine="0"/>
              <w:jc w:val="center"/>
              <w:rPr>
                <w:bCs/>
                <w:color w:val="000000"/>
                <w:sz w:val="22"/>
                <w:szCs w:val="22"/>
              </w:rPr>
            </w:pPr>
            <w:r w:rsidRPr="00580710">
              <w:rPr>
                <w:bCs/>
                <w:color w:val="000000"/>
                <w:sz w:val="22"/>
                <w:szCs w:val="22"/>
              </w:rPr>
              <w:t>3</w:t>
            </w:r>
          </w:p>
        </w:tc>
        <w:tc>
          <w:tcPr>
            <w:tcW w:w="1164" w:type="dxa"/>
            <w:noWrap/>
            <w:hideMark/>
          </w:tcPr>
          <w:p w:rsidR="0055491A" w:rsidRPr="00580710" w:rsidRDefault="0055491A" w:rsidP="00210BF6">
            <w:pPr>
              <w:ind w:firstLine="0"/>
              <w:jc w:val="center"/>
              <w:rPr>
                <w:bCs/>
                <w:color w:val="000000"/>
                <w:sz w:val="22"/>
                <w:szCs w:val="22"/>
              </w:rPr>
            </w:pPr>
            <w:r w:rsidRPr="00580710">
              <w:rPr>
                <w:bCs/>
                <w:color w:val="000000"/>
                <w:sz w:val="22"/>
                <w:szCs w:val="22"/>
              </w:rPr>
              <w:t>3</w:t>
            </w:r>
          </w:p>
        </w:tc>
        <w:tc>
          <w:tcPr>
            <w:tcW w:w="1162" w:type="dxa"/>
            <w:noWrap/>
            <w:hideMark/>
          </w:tcPr>
          <w:p w:rsidR="0055491A" w:rsidRPr="00580710" w:rsidRDefault="0055491A" w:rsidP="00210BF6">
            <w:pPr>
              <w:ind w:firstLine="0"/>
              <w:jc w:val="center"/>
              <w:rPr>
                <w:bCs/>
                <w:color w:val="000000"/>
                <w:sz w:val="22"/>
                <w:szCs w:val="22"/>
              </w:rPr>
            </w:pPr>
            <w:r w:rsidRPr="00580710">
              <w:rPr>
                <w:bCs/>
                <w:color w:val="000000"/>
                <w:sz w:val="22"/>
                <w:szCs w:val="22"/>
              </w:rPr>
              <w:t>15</w:t>
            </w:r>
          </w:p>
        </w:tc>
        <w:tc>
          <w:tcPr>
            <w:tcW w:w="1162" w:type="dxa"/>
            <w:noWrap/>
            <w:hideMark/>
          </w:tcPr>
          <w:p w:rsidR="0055491A" w:rsidRPr="00580710" w:rsidRDefault="0055491A" w:rsidP="00210BF6">
            <w:pPr>
              <w:ind w:firstLine="0"/>
              <w:jc w:val="center"/>
              <w:rPr>
                <w:bCs/>
                <w:color w:val="000000"/>
                <w:sz w:val="22"/>
                <w:szCs w:val="22"/>
              </w:rPr>
            </w:pPr>
            <w:r w:rsidRPr="00580710">
              <w:rPr>
                <w:bCs/>
                <w:color w:val="000000"/>
                <w:sz w:val="22"/>
                <w:szCs w:val="22"/>
              </w:rPr>
              <w:t>15</w:t>
            </w:r>
          </w:p>
        </w:tc>
        <w:tc>
          <w:tcPr>
            <w:tcW w:w="1165" w:type="dxa"/>
            <w:noWrap/>
            <w:hideMark/>
          </w:tcPr>
          <w:p w:rsidR="0055491A" w:rsidRPr="00580710" w:rsidRDefault="0055491A" w:rsidP="00210BF6">
            <w:pPr>
              <w:ind w:firstLine="0"/>
              <w:jc w:val="center"/>
              <w:rPr>
                <w:bCs/>
                <w:color w:val="000000"/>
                <w:sz w:val="22"/>
                <w:szCs w:val="22"/>
              </w:rPr>
            </w:pPr>
            <w:r w:rsidRPr="00580710">
              <w:rPr>
                <w:bCs/>
                <w:color w:val="000000"/>
                <w:sz w:val="22"/>
                <w:szCs w:val="22"/>
              </w:rPr>
              <w:t>15</w:t>
            </w:r>
          </w:p>
        </w:tc>
      </w:tr>
      <w:tr w:rsidR="0055491A" w:rsidRPr="00D56B79" w:rsidTr="00210BF6">
        <w:trPr>
          <w:trHeight w:val="313"/>
        </w:trPr>
        <w:tc>
          <w:tcPr>
            <w:tcW w:w="5657" w:type="dxa"/>
            <w:gridSpan w:val="4"/>
            <w:noWrap/>
            <w:hideMark/>
          </w:tcPr>
          <w:p w:rsidR="0055491A" w:rsidRPr="00D56B79" w:rsidRDefault="0055491A" w:rsidP="00210BF6">
            <w:pPr>
              <w:ind w:firstLine="0"/>
              <w:jc w:val="center"/>
              <w:rPr>
                <w:b/>
                <w:bCs/>
                <w:color w:val="000000"/>
                <w:sz w:val="22"/>
                <w:szCs w:val="22"/>
              </w:rPr>
            </w:pPr>
            <w:r w:rsidRPr="00580710">
              <w:rPr>
                <w:b/>
                <w:bCs/>
                <w:color w:val="000000"/>
                <w:sz w:val="22"/>
                <w:szCs w:val="22"/>
              </w:rPr>
              <w:t>ИТОГО</w:t>
            </w:r>
          </w:p>
        </w:tc>
        <w:tc>
          <w:tcPr>
            <w:tcW w:w="1162" w:type="dxa"/>
            <w:noWrap/>
            <w:hideMark/>
          </w:tcPr>
          <w:p w:rsidR="0055491A" w:rsidRPr="00580710" w:rsidRDefault="0055491A" w:rsidP="00210BF6">
            <w:pPr>
              <w:ind w:firstLine="0"/>
              <w:jc w:val="center"/>
              <w:rPr>
                <w:bCs/>
                <w:color w:val="000000"/>
                <w:sz w:val="22"/>
                <w:szCs w:val="22"/>
              </w:rPr>
            </w:pPr>
            <w:r w:rsidRPr="00580710">
              <w:rPr>
                <w:bCs/>
                <w:color w:val="000000"/>
                <w:sz w:val="22"/>
                <w:szCs w:val="22"/>
              </w:rPr>
              <w:t>17,6</w:t>
            </w:r>
          </w:p>
        </w:tc>
        <w:tc>
          <w:tcPr>
            <w:tcW w:w="1162" w:type="dxa"/>
            <w:noWrap/>
            <w:hideMark/>
          </w:tcPr>
          <w:p w:rsidR="0055491A" w:rsidRPr="00580710" w:rsidRDefault="0055491A" w:rsidP="00210BF6">
            <w:pPr>
              <w:ind w:firstLine="0"/>
              <w:jc w:val="center"/>
              <w:rPr>
                <w:bCs/>
                <w:color w:val="000000"/>
                <w:sz w:val="22"/>
                <w:szCs w:val="22"/>
              </w:rPr>
            </w:pPr>
            <w:r w:rsidRPr="00580710">
              <w:rPr>
                <w:bCs/>
                <w:color w:val="000000"/>
                <w:sz w:val="22"/>
                <w:szCs w:val="22"/>
              </w:rPr>
              <w:t>17,8</w:t>
            </w:r>
          </w:p>
        </w:tc>
        <w:tc>
          <w:tcPr>
            <w:tcW w:w="1165" w:type="dxa"/>
            <w:noWrap/>
            <w:hideMark/>
          </w:tcPr>
          <w:p w:rsidR="0055491A" w:rsidRPr="00580710" w:rsidRDefault="0055491A" w:rsidP="00210BF6">
            <w:pPr>
              <w:ind w:firstLine="0"/>
              <w:jc w:val="center"/>
              <w:rPr>
                <w:bCs/>
                <w:color w:val="000000"/>
                <w:sz w:val="22"/>
                <w:szCs w:val="22"/>
              </w:rPr>
            </w:pPr>
            <w:r w:rsidRPr="00580710">
              <w:rPr>
                <w:bCs/>
                <w:color w:val="000000"/>
                <w:sz w:val="22"/>
                <w:szCs w:val="22"/>
              </w:rPr>
              <w:t>17,4</w:t>
            </w:r>
          </w:p>
        </w:tc>
      </w:tr>
      <w:tr w:rsidR="0055491A" w:rsidRPr="00D56B79" w:rsidTr="00210BF6">
        <w:trPr>
          <w:trHeight w:val="313"/>
        </w:trPr>
        <w:tc>
          <w:tcPr>
            <w:tcW w:w="5657" w:type="dxa"/>
            <w:gridSpan w:val="4"/>
            <w:noWrap/>
            <w:vAlign w:val="bottom"/>
          </w:tcPr>
          <w:p w:rsidR="0055491A" w:rsidRPr="0064605E" w:rsidRDefault="0055491A" w:rsidP="00210BF6">
            <w:pPr>
              <w:ind w:firstLine="0"/>
              <w:jc w:val="center"/>
              <w:rPr>
                <w:b/>
                <w:bCs/>
                <w:color w:val="000000"/>
                <w:sz w:val="22"/>
                <w:szCs w:val="22"/>
              </w:rPr>
            </w:pPr>
            <w:r>
              <w:rPr>
                <w:b/>
                <w:bCs/>
                <w:color w:val="000000"/>
                <w:sz w:val="22"/>
                <w:szCs w:val="22"/>
              </w:rPr>
              <w:t>Областной бюджет Тверской области                    (норматив зачисления 50%)</w:t>
            </w:r>
          </w:p>
        </w:tc>
        <w:tc>
          <w:tcPr>
            <w:tcW w:w="1162" w:type="dxa"/>
            <w:noWrap/>
            <w:vAlign w:val="center"/>
          </w:tcPr>
          <w:p w:rsidR="0055491A" w:rsidRPr="00580710" w:rsidRDefault="0055491A" w:rsidP="00210BF6">
            <w:pPr>
              <w:ind w:firstLine="0"/>
              <w:jc w:val="center"/>
              <w:rPr>
                <w:b/>
                <w:bCs/>
                <w:color w:val="000000"/>
                <w:sz w:val="22"/>
                <w:szCs w:val="22"/>
              </w:rPr>
            </w:pPr>
            <w:r w:rsidRPr="00580710">
              <w:rPr>
                <w:b/>
                <w:bCs/>
                <w:color w:val="000000"/>
                <w:sz w:val="22"/>
                <w:szCs w:val="22"/>
              </w:rPr>
              <w:t>8,8</w:t>
            </w:r>
          </w:p>
        </w:tc>
        <w:tc>
          <w:tcPr>
            <w:tcW w:w="1162" w:type="dxa"/>
            <w:noWrap/>
            <w:vAlign w:val="center"/>
          </w:tcPr>
          <w:p w:rsidR="0055491A" w:rsidRPr="00580710" w:rsidRDefault="0055491A" w:rsidP="00210BF6">
            <w:pPr>
              <w:ind w:firstLine="0"/>
              <w:jc w:val="center"/>
              <w:rPr>
                <w:b/>
                <w:bCs/>
                <w:color w:val="000000"/>
                <w:sz w:val="22"/>
                <w:szCs w:val="22"/>
              </w:rPr>
            </w:pPr>
            <w:r w:rsidRPr="00580710">
              <w:rPr>
                <w:b/>
                <w:bCs/>
                <w:color w:val="000000"/>
                <w:sz w:val="22"/>
                <w:szCs w:val="22"/>
              </w:rPr>
              <w:t>8,9</w:t>
            </w:r>
          </w:p>
        </w:tc>
        <w:tc>
          <w:tcPr>
            <w:tcW w:w="1165" w:type="dxa"/>
            <w:noWrap/>
            <w:vAlign w:val="center"/>
          </w:tcPr>
          <w:p w:rsidR="0055491A" w:rsidRPr="00580710" w:rsidRDefault="0055491A" w:rsidP="00210BF6">
            <w:pPr>
              <w:ind w:firstLine="0"/>
              <w:jc w:val="center"/>
              <w:rPr>
                <w:b/>
                <w:bCs/>
                <w:color w:val="000000"/>
                <w:sz w:val="22"/>
                <w:szCs w:val="22"/>
              </w:rPr>
            </w:pPr>
            <w:r w:rsidRPr="00580710">
              <w:rPr>
                <w:b/>
                <w:bCs/>
                <w:color w:val="000000"/>
                <w:sz w:val="22"/>
                <w:szCs w:val="22"/>
              </w:rPr>
              <w:t>8,7</w:t>
            </w:r>
          </w:p>
        </w:tc>
      </w:tr>
    </w:tbl>
    <w:p w:rsidR="0055491A" w:rsidRDefault="0055491A" w:rsidP="0055491A">
      <w:pPr>
        <w:autoSpaceDE w:val="0"/>
        <w:autoSpaceDN w:val="0"/>
        <w:adjustRightInd w:val="0"/>
        <w:jc w:val="both"/>
        <w:rPr>
          <w:sz w:val="28"/>
          <w:szCs w:val="28"/>
        </w:rPr>
      </w:pPr>
    </w:p>
    <w:p w:rsidR="0055491A" w:rsidRDefault="0055491A" w:rsidP="0055491A">
      <w:pPr>
        <w:pStyle w:val="a7"/>
        <w:spacing w:after="0"/>
        <w:ind w:left="0" w:firstLine="709"/>
        <w:jc w:val="both"/>
        <w:rPr>
          <w:sz w:val="28"/>
          <w:szCs w:val="28"/>
        </w:rPr>
      </w:pPr>
      <w:r>
        <w:rPr>
          <w:sz w:val="28"/>
          <w:szCs w:val="28"/>
        </w:rPr>
        <w:t xml:space="preserve">7.3 </w:t>
      </w:r>
      <w:r w:rsidRPr="00580710">
        <w:rPr>
          <w:b/>
          <w:sz w:val="28"/>
          <w:szCs w:val="28"/>
        </w:rPr>
        <w:t>КБК 335 1 16 01113 01 0000 140</w:t>
      </w:r>
      <w:r>
        <w:rPr>
          <w:sz w:val="28"/>
          <w:szCs w:val="28"/>
        </w:rPr>
        <w:t xml:space="preserve"> </w:t>
      </w:r>
      <w:r w:rsidRPr="00EA253E">
        <w:rPr>
          <w:sz w:val="28"/>
          <w:szCs w:val="28"/>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r>
        <w:rPr>
          <w:sz w:val="28"/>
          <w:szCs w:val="28"/>
        </w:rPr>
        <w:t>.</w:t>
      </w:r>
    </w:p>
    <w:p w:rsidR="0055491A" w:rsidRPr="00580710" w:rsidRDefault="0055491A" w:rsidP="0055491A">
      <w:pPr>
        <w:pStyle w:val="a7"/>
        <w:spacing w:after="0"/>
        <w:ind w:left="0" w:firstLine="709"/>
        <w:jc w:val="both"/>
        <w:rPr>
          <w:b/>
          <w:sz w:val="28"/>
          <w:szCs w:val="28"/>
        </w:rPr>
      </w:pPr>
      <w:r w:rsidRPr="00580710">
        <w:rPr>
          <w:b/>
          <w:sz w:val="28"/>
          <w:szCs w:val="28"/>
        </w:rPr>
        <w:t xml:space="preserve"> Главный администратор доходов – Главное управление региональной безопасности Тверской области.</w:t>
      </w:r>
    </w:p>
    <w:p w:rsidR="0055491A" w:rsidRDefault="0055491A" w:rsidP="0055491A">
      <w:pPr>
        <w:pStyle w:val="a7"/>
        <w:spacing w:after="0"/>
        <w:ind w:left="0" w:firstLine="709"/>
        <w:jc w:val="both"/>
        <w:rPr>
          <w:sz w:val="28"/>
          <w:szCs w:val="28"/>
        </w:rPr>
      </w:pPr>
      <w:r>
        <w:rPr>
          <w:sz w:val="28"/>
          <w:szCs w:val="28"/>
        </w:rPr>
        <w:t>Расчет поступления доходов в областной бюджет Тверской области на 2021 год произведен с учетом прогнозируемого количества постановлений за административные правонарушения по ст. 11.21, 11.22, 11.32 КоАП РФ.</w:t>
      </w:r>
    </w:p>
    <w:tbl>
      <w:tblPr>
        <w:tblW w:w="9312" w:type="dxa"/>
        <w:tblLook w:val="04A0" w:firstRow="1" w:lastRow="0" w:firstColumn="1" w:lastColumn="0" w:noHBand="0" w:noVBand="1"/>
      </w:tblPr>
      <w:tblGrid>
        <w:gridCol w:w="495"/>
        <w:gridCol w:w="2914"/>
        <w:gridCol w:w="1352"/>
        <w:gridCol w:w="1619"/>
        <w:gridCol w:w="1466"/>
        <w:gridCol w:w="1466"/>
      </w:tblGrid>
      <w:tr w:rsidR="0055491A" w:rsidTr="00210BF6">
        <w:trPr>
          <w:trHeight w:val="1364"/>
        </w:trPr>
        <w:tc>
          <w:tcPr>
            <w:tcW w:w="4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lastRenderedPageBreak/>
              <w:t>№ п/п</w:t>
            </w:r>
          </w:p>
        </w:tc>
        <w:tc>
          <w:tcPr>
            <w:tcW w:w="2914" w:type="dxa"/>
            <w:tcBorders>
              <w:top w:val="single" w:sz="4" w:space="0" w:color="auto"/>
              <w:left w:val="nil"/>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Вид правонарушений</w:t>
            </w:r>
          </w:p>
        </w:tc>
        <w:tc>
          <w:tcPr>
            <w:tcW w:w="1352" w:type="dxa"/>
            <w:tcBorders>
              <w:top w:val="single" w:sz="4" w:space="0" w:color="auto"/>
              <w:left w:val="nil"/>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Средний размер штрафа (средний областной), тыс. руб.</w:t>
            </w:r>
          </w:p>
        </w:tc>
        <w:tc>
          <w:tcPr>
            <w:tcW w:w="1619" w:type="dxa"/>
            <w:tcBorders>
              <w:top w:val="single" w:sz="4" w:space="0" w:color="auto"/>
              <w:left w:val="nil"/>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 xml:space="preserve">Количество постановлений, ед. </w:t>
            </w:r>
          </w:p>
        </w:tc>
        <w:tc>
          <w:tcPr>
            <w:tcW w:w="1466" w:type="dxa"/>
            <w:tcBorders>
              <w:top w:val="single" w:sz="4" w:space="0" w:color="auto"/>
              <w:left w:val="nil"/>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Коэффициент собираемости (средний областной), %</w:t>
            </w:r>
          </w:p>
        </w:tc>
        <w:tc>
          <w:tcPr>
            <w:tcW w:w="1466" w:type="dxa"/>
            <w:tcBorders>
              <w:top w:val="single" w:sz="4" w:space="0" w:color="auto"/>
              <w:left w:val="nil"/>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Прогноз поступлений, тыс. руб. (ст.3*4*5/2)</w:t>
            </w:r>
          </w:p>
        </w:tc>
      </w:tr>
      <w:tr w:rsidR="0055491A" w:rsidTr="00210BF6">
        <w:trPr>
          <w:trHeight w:val="320"/>
        </w:trPr>
        <w:tc>
          <w:tcPr>
            <w:tcW w:w="495" w:type="dxa"/>
            <w:tcBorders>
              <w:top w:val="nil"/>
              <w:left w:val="single" w:sz="4" w:space="0" w:color="auto"/>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1</w:t>
            </w:r>
          </w:p>
        </w:tc>
        <w:tc>
          <w:tcPr>
            <w:tcW w:w="2914" w:type="dxa"/>
            <w:tcBorders>
              <w:top w:val="nil"/>
              <w:left w:val="nil"/>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2</w:t>
            </w:r>
          </w:p>
        </w:tc>
        <w:tc>
          <w:tcPr>
            <w:tcW w:w="1352" w:type="dxa"/>
            <w:tcBorders>
              <w:top w:val="nil"/>
              <w:left w:val="nil"/>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3</w:t>
            </w:r>
          </w:p>
        </w:tc>
        <w:tc>
          <w:tcPr>
            <w:tcW w:w="1619" w:type="dxa"/>
            <w:tcBorders>
              <w:top w:val="nil"/>
              <w:left w:val="nil"/>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4</w:t>
            </w:r>
          </w:p>
        </w:tc>
        <w:tc>
          <w:tcPr>
            <w:tcW w:w="1466" w:type="dxa"/>
            <w:tcBorders>
              <w:top w:val="nil"/>
              <w:left w:val="nil"/>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5</w:t>
            </w:r>
          </w:p>
        </w:tc>
        <w:tc>
          <w:tcPr>
            <w:tcW w:w="1466" w:type="dxa"/>
            <w:tcBorders>
              <w:top w:val="nil"/>
              <w:left w:val="nil"/>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6</w:t>
            </w:r>
          </w:p>
        </w:tc>
      </w:tr>
      <w:tr w:rsidR="0055491A" w:rsidTr="00210BF6">
        <w:trPr>
          <w:trHeight w:val="1091"/>
        </w:trPr>
        <w:tc>
          <w:tcPr>
            <w:tcW w:w="495" w:type="dxa"/>
            <w:tcBorders>
              <w:top w:val="nil"/>
              <w:left w:val="single" w:sz="4" w:space="0" w:color="auto"/>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1</w:t>
            </w:r>
          </w:p>
        </w:tc>
        <w:tc>
          <w:tcPr>
            <w:tcW w:w="2914" w:type="dxa"/>
            <w:tcBorders>
              <w:top w:val="nil"/>
              <w:left w:val="nil"/>
              <w:bottom w:val="single" w:sz="4" w:space="0" w:color="auto"/>
              <w:right w:val="single" w:sz="4" w:space="0" w:color="auto"/>
            </w:tcBorders>
            <w:shd w:val="clear" w:color="auto" w:fill="auto"/>
            <w:vAlign w:val="center"/>
            <w:hideMark/>
          </w:tcPr>
          <w:p w:rsidR="0055491A" w:rsidRDefault="0055491A" w:rsidP="00210BF6">
            <w:pPr>
              <w:jc w:val="both"/>
              <w:rPr>
                <w:sz w:val="20"/>
                <w:szCs w:val="20"/>
              </w:rPr>
            </w:pPr>
            <w:r>
              <w:rPr>
                <w:sz w:val="20"/>
                <w:szCs w:val="20"/>
              </w:rPr>
              <w:t xml:space="preserve">Штрафы за нарушение правил использования полосы отвода и придорожных полос автомобильной дороги </w:t>
            </w:r>
          </w:p>
        </w:tc>
        <w:tc>
          <w:tcPr>
            <w:tcW w:w="1352" w:type="dxa"/>
            <w:tcBorders>
              <w:top w:val="nil"/>
              <w:left w:val="nil"/>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15,9</w:t>
            </w:r>
          </w:p>
        </w:tc>
        <w:tc>
          <w:tcPr>
            <w:tcW w:w="1619" w:type="dxa"/>
            <w:tcBorders>
              <w:top w:val="nil"/>
              <w:left w:val="nil"/>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7</w:t>
            </w:r>
          </w:p>
        </w:tc>
        <w:tc>
          <w:tcPr>
            <w:tcW w:w="1466" w:type="dxa"/>
            <w:tcBorders>
              <w:top w:val="nil"/>
              <w:left w:val="nil"/>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53,2%</w:t>
            </w:r>
          </w:p>
        </w:tc>
        <w:tc>
          <w:tcPr>
            <w:tcW w:w="1466" w:type="dxa"/>
            <w:tcBorders>
              <w:top w:val="nil"/>
              <w:left w:val="nil"/>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29,6</w:t>
            </w:r>
          </w:p>
        </w:tc>
      </w:tr>
      <w:tr w:rsidR="0055491A" w:rsidTr="00210BF6">
        <w:trPr>
          <w:trHeight w:val="1091"/>
        </w:trPr>
        <w:tc>
          <w:tcPr>
            <w:tcW w:w="495" w:type="dxa"/>
            <w:tcBorders>
              <w:top w:val="nil"/>
              <w:left w:val="single" w:sz="4" w:space="0" w:color="auto"/>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2</w:t>
            </w:r>
          </w:p>
        </w:tc>
        <w:tc>
          <w:tcPr>
            <w:tcW w:w="2914" w:type="dxa"/>
            <w:tcBorders>
              <w:top w:val="nil"/>
              <w:left w:val="nil"/>
              <w:bottom w:val="single" w:sz="4" w:space="0" w:color="auto"/>
              <w:right w:val="single" w:sz="4" w:space="0" w:color="auto"/>
            </w:tcBorders>
            <w:shd w:val="clear" w:color="auto" w:fill="auto"/>
            <w:vAlign w:val="center"/>
            <w:hideMark/>
          </w:tcPr>
          <w:p w:rsidR="0055491A" w:rsidRDefault="0055491A" w:rsidP="00210BF6">
            <w:pPr>
              <w:rPr>
                <w:sz w:val="20"/>
                <w:szCs w:val="20"/>
              </w:rPr>
            </w:pPr>
            <w:r>
              <w:rPr>
                <w:sz w:val="20"/>
                <w:szCs w:val="20"/>
              </w:rPr>
              <w:t>Штрафы за нарушение землепользователями правил охраны автомобильных дорог или дорожных сооружений</w:t>
            </w:r>
          </w:p>
        </w:tc>
        <w:tc>
          <w:tcPr>
            <w:tcW w:w="1352" w:type="dxa"/>
            <w:tcBorders>
              <w:top w:val="nil"/>
              <w:left w:val="nil"/>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3</w:t>
            </w:r>
          </w:p>
        </w:tc>
        <w:tc>
          <w:tcPr>
            <w:tcW w:w="1619" w:type="dxa"/>
            <w:tcBorders>
              <w:top w:val="nil"/>
              <w:left w:val="nil"/>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1</w:t>
            </w:r>
          </w:p>
        </w:tc>
        <w:tc>
          <w:tcPr>
            <w:tcW w:w="1466" w:type="dxa"/>
            <w:tcBorders>
              <w:top w:val="nil"/>
              <w:left w:val="nil"/>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100,0%</w:t>
            </w:r>
          </w:p>
        </w:tc>
        <w:tc>
          <w:tcPr>
            <w:tcW w:w="1466" w:type="dxa"/>
            <w:tcBorders>
              <w:top w:val="nil"/>
              <w:left w:val="nil"/>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1,5</w:t>
            </w:r>
          </w:p>
        </w:tc>
      </w:tr>
      <w:tr w:rsidR="0055491A" w:rsidTr="00210BF6">
        <w:trPr>
          <w:trHeight w:val="272"/>
        </w:trPr>
        <w:tc>
          <w:tcPr>
            <w:tcW w:w="495" w:type="dxa"/>
            <w:tcBorders>
              <w:top w:val="nil"/>
              <w:left w:val="single" w:sz="4" w:space="0" w:color="auto"/>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3</w:t>
            </w:r>
          </w:p>
        </w:tc>
        <w:tc>
          <w:tcPr>
            <w:tcW w:w="2914" w:type="dxa"/>
            <w:tcBorders>
              <w:top w:val="nil"/>
              <w:left w:val="nil"/>
              <w:bottom w:val="single" w:sz="4" w:space="0" w:color="auto"/>
              <w:right w:val="single" w:sz="4" w:space="0" w:color="auto"/>
            </w:tcBorders>
            <w:shd w:val="clear" w:color="auto" w:fill="auto"/>
            <w:vAlign w:val="center"/>
            <w:hideMark/>
          </w:tcPr>
          <w:p w:rsidR="0055491A" w:rsidRDefault="0055491A" w:rsidP="00210BF6">
            <w:pPr>
              <w:jc w:val="both"/>
              <w:rPr>
                <w:sz w:val="20"/>
                <w:szCs w:val="20"/>
              </w:rPr>
            </w:pPr>
            <w:r>
              <w:rPr>
                <w:sz w:val="20"/>
                <w:szCs w:val="20"/>
              </w:rPr>
              <w:t>Иные штрафы</w:t>
            </w:r>
          </w:p>
        </w:tc>
        <w:tc>
          <w:tcPr>
            <w:tcW w:w="1352" w:type="dxa"/>
            <w:tcBorders>
              <w:top w:val="nil"/>
              <w:left w:val="nil"/>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13,8</w:t>
            </w:r>
          </w:p>
        </w:tc>
        <w:tc>
          <w:tcPr>
            <w:tcW w:w="1619" w:type="dxa"/>
            <w:tcBorders>
              <w:top w:val="nil"/>
              <w:left w:val="nil"/>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4</w:t>
            </w:r>
          </w:p>
        </w:tc>
        <w:tc>
          <w:tcPr>
            <w:tcW w:w="1466" w:type="dxa"/>
            <w:tcBorders>
              <w:top w:val="nil"/>
              <w:left w:val="nil"/>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100,0%</w:t>
            </w:r>
          </w:p>
        </w:tc>
        <w:tc>
          <w:tcPr>
            <w:tcW w:w="1466" w:type="dxa"/>
            <w:tcBorders>
              <w:top w:val="nil"/>
              <w:left w:val="nil"/>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27,6</w:t>
            </w:r>
          </w:p>
        </w:tc>
      </w:tr>
      <w:tr w:rsidR="0055491A" w:rsidTr="00210BF6">
        <w:trPr>
          <w:trHeight w:val="272"/>
        </w:trPr>
        <w:tc>
          <w:tcPr>
            <w:tcW w:w="495" w:type="dxa"/>
            <w:tcBorders>
              <w:top w:val="nil"/>
              <w:left w:val="single" w:sz="4" w:space="0" w:color="auto"/>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p>
        </w:tc>
        <w:tc>
          <w:tcPr>
            <w:tcW w:w="2914" w:type="dxa"/>
            <w:tcBorders>
              <w:top w:val="nil"/>
              <w:left w:val="nil"/>
              <w:bottom w:val="single" w:sz="4" w:space="0" w:color="auto"/>
              <w:right w:val="nil"/>
            </w:tcBorders>
            <w:shd w:val="clear" w:color="auto" w:fill="auto"/>
            <w:vAlign w:val="center"/>
            <w:hideMark/>
          </w:tcPr>
          <w:p w:rsidR="0055491A" w:rsidRDefault="0055491A" w:rsidP="00210BF6">
            <w:pPr>
              <w:rPr>
                <w:b/>
                <w:bCs/>
                <w:sz w:val="20"/>
                <w:szCs w:val="20"/>
              </w:rPr>
            </w:pPr>
            <w:r>
              <w:rPr>
                <w:b/>
                <w:bCs/>
                <w:sz w:val="20"/>
                <w:szCs w:val="20"/>
              </w:rPr>
              <w:t>ИТОГО</w:t>
            </w:r>
          </w:p>
        </w:tc>
        <w:tc>
          <w:tcPr>
            <w:tcW w:w="1352" w:type="dxa"/>
            <w:tcBorders>
              <w:top w:val="nil"/>
              <w:left w:val="nil"/>
              <w:bottom w:val="single" w:sz="4" w:space="0" w:color="auto"/>
              <w:right w:val="nil"/>
            </w:tcBorders>
            <w:shd w:val="clear" w:color="auto" w:fill="auto"/>
            <w:vAlign w:val="center"/>
            <w:hideMark/>
          </w:tcPr>
          <w:p w:rsidR="0055491A" w:rsidRDefault="0055491A" w:rsidP="00210BF6">
            <w:pPr>
              <w:rPr>
                <w:b/>
                <w:bCs/>
                <w:sz w:val="20"/>
                <w:szCs w:val="20"/>
              </w:rPr>
            </w:pPr>
            <w:r>
              <w:rPr>
                <w:b/>
                <w:bCs/>
                <w:sz w:val="20"/>
                <w:szCs w:val="20"/>
              </w:rPr>
              <w:t> </w:t>
            </w:r>
          </w:p>
        </w:tc>
        <w:tc>
          <w:tcPr>
            <w:tcW w:w="1619" w:type="dxa"/>
            <w:tcBorders>
              <w:top w:val="nil"/>
              <w:left w:val="nil"/>
              <w:bottom w:val="single" w:sz="4" w:space="0" w:color="auto"/>
              <w:right w:val="nil"/>
            </w:tcBorders>
            <w:shd w:val="clear" w:color="auto" w:fill="auto"/>
            <w:vAlign w:val="center"/>
            <w:hideMark/>
          </w:tcPr>
          <w:p w:rsidR="0055491A" w:rsidRDefault="0055491A" w:rsidP="00210BF6">
            <w:pPr>
              <w:rPr>
                <w:b/>
                <w:bCs/>
                <w:sz w:val="20"/>
                <w:szCs w:val="20"/>
              </w:rPr>
            </w:pPr>
            <w:r>
              <w:rPr>
                <w:b/>
                <w:bCs/>
                <w:sz w:val="20"/>
                <w:szCs w:val="20"/>
              </w:rPr>
              <w:t> </w:t>
            </w:r>
          </w:p>
        </w:tc>
        <w:tc>
          <w:tcPr>
            <w:tcW w:w="1466" w:type="dxa"/>
            <w:tcBorders>
              <w:top w:val="nil"/>
              <w:left w:val="nil"/>
              <w:bottom w:val="single" w:sz="4" w:space="0" w:color="auto"/>
              <w:right w:val="single" w:sz="4" w:space="0" w:color="auto"/>
            </w:tcBorders>
            <w:shd w:val="clear" w:color="auto" w:fill="auto"/>
            <w:vAlign w:val="center"/>
            <w:hideMark/>
          </w:tcPr>
          <w:p w:rsidR="0055491A" w:rsidRDefault="0055491A" w:rsidP="00210BF6">
            <w:pPr>
              <w:rPr>
                <w:b/>
                <w:bCs/>
                <w:sz w:val="20"/>
                <w:szCs w:val="20"/>
              </w:rPr>
            </w:pPr>
            <w:r>
              <w:rPr>
                <w:b/>
                <w:bCs/>
                <w:sz w:val="20"/>
                <w:szCs w:val="20"/>
              </w:rPr>
              <w:t> </w:t>
            </w:r>
          </w:p>
        </w:tc>
        <w:tc>
          <w:tcPr>
            <w:tcW w:w="1466" w:type="dxa"/>
            <w:tcBorders>
              <w:top w:val="nil"/>
              <w:left w:val="nil"/>
              <w:bottom w:val="single" w:sz="4" w:space="0" w:color="auto"/>
              <w:right w:val="single" w:sz="4" w:space="0" w:color="auto"/>
            </w:tcBorders>
            <w:shd w:val="clear" w:color="auto" w:fill="auto"/>
            <w:vAlign w:val="center"/>
            <w:hideMark/>
          </w:tcPr>
          <w:p w:rsidR="0055491A" w:rsidRDefault="0055491A" w:rsidP="00210BF6">
            <w:pPr>
              <w:jc w:val="center"/>
              <w:rPr>
                <w:b/>
                <w:bCs/>
                <w:sz w:val="20"/>
                <w:szCs w:val="20"/>
              </w:rPr>
            </w:pPr>
            <w:r>
              <w:rPr>
                <w:b/>
                <w:bCs/>
                <w:sz w:val="20"/>
                <w:szCs w:val="20"/>
              </w:rPr>
              <w:t>58,7</w:t>
            </w:r>
          </w:p>
        </w:tc>
      </w:tr>
    </w:tbl>
    <w:p w:rsidR="0055491A" w:rsidRDefault="0055491A" w:rsidP="0055491A">
      <w:pPr>
        <w:pStyle w:val="a7"/>
        <w:spacing w:after="0"/>
        <w:ind w:left="0" w:firstLine="709"/>
        <w:jc w:val="both"/>
        <w:rPr>
          <w:sz w:val="28"/>
          <w:szCs w:val="28"/>
        </w:rPr>
      </w:pPr>
    </w:p>
    <w:p w:rsidR="0055491A" w:rsidRPr="00580710" w:rsidRDefault="0055491A" w:rsidP="0055491A">
      <w:pPr>
        <w:pStyle w:val="a7"/>
        <w:spacing w:after="0"/>
        <w:ind w:left="0" w:firstLine="709"/>
        <w:jc w:val="both"/>
        <w:rPr>
          <w:b/>
          <w:sz w:val="28"/>
          <w:szCs w:val="28"/>
        </w:rPr>
      </w:pPr>
      <w:r w:rsidRPr="00580710">
        <w:rPr>
          <w:b/>
          <w:sz w:val="28"/>
          <w:szCs w:val="28"/>
        </w:rPr>
        <w:t>Прогноз поступления доходов в областной бюджет Тверской области на 2022 год – 58,7 тыс. руб., на 2023 год – 58,7 тыс. руб., на 2024 год – 58,7 тыс. руб.</w:t>
      </w:r>
    </w:p>
    <w:p w:rsidR="0055491A" w:rsidRDefault="0055491A" w:rsidP="0055491A">
      <w:pPr>
        <w:ind w:firstLine="360"/>
        <w:jc w:val="both"/>
        <w:rPr>
          <w:sz w:val="28"/>
          <w:szCs w:val="28"/>
        </w:rPr>
      </w:pPr>
      <w:r>
        <w:rPr>
          <w:sz w:val="28"/>
          <w:szCs w:val="28"/>
        </w:rPr>
        <w:t xml:space="preserve"> </w:t>
      </w:r>
    </w:p>
    <w:p w:rsidR="0055491A" w:rsidRPr="008808E9" w:rsidRDefault="0055491A" w:rsidP="0055491A">
      <w:pPr>
        <w:ind w:firstLine="709"/>
        <w:jc w:val="both"/>
        <w:rPr>
          <w:b/>
          <w:sz w:val="28"/>
          <w:szCs w:val="28"/>
        </w:rPr>
      </w:pPr>
      <w:r>
        <w:rPr>
          <w:sz w:val="28"/>
          <w:szCs w:val="28"/>
        </w:rPr>
        <w:t xml:space="preserve">8. </w:t>
      </w:r>
      <w:r w:rsidRPr="004251CD">
        <w:rPr>
          <w:sz w:val="28"/>
          <w:szCs w:val="28"/>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w:t>
      </w:r>
      <w:r>
        <w:rPr>
          <w:sz w:val="28"/>
          <w:szCs w:val="28"/>
        </w:rPr>
        <w:t xml:space="preserve">                                (</w:t>
      </w:r>
      <w:r w:rsidRPr="008808E9">
        <w:rPr>
          <w:b/>
          <w:sz w:val="28"/>
          <w:szCs w:val="28"/>
        </w:rPr>
        <w:t>КБК 000 1 16 01120 01 0000 140</w:t>
      </w:r>
      <w:r w:rsidRPr="008808E9">
        <w:rPr>
          <w:sz w:val="28"/>
          <w:szCs w:val="28"/>
        </w:rPr>
        <w:t>).</w:t>
      </w:r>
    </w:p>
    <w:p w:rsidR="0055491A" w:rsidRPr="008808E9" w:rsidRDefault="0055491A" w:rsidP="0055491A">
      <w:pPr>
        <w:pStyle w:val="a7"/>
        <w:spacing w:after="0"/>
        <w:ind w:left="0" w:firstLine="709"/>
        <w:jc w:val="both"/>
        <w:rPr>
          <w:b/>
          <w:sz w:val="28"/>
          <w:szCs w:val="28"/>
        </w:rPr>
      </w:pPr>
      <w:r w:rsidRPr="008808E9">
        <w:rPr>
          <w:b/>
          <w:sz w:val="28"/>
          <w:szCs w:val="28"/>
        </w:rPr>
        <w:t>Прогноз по данному КБК всего на 202</w:t>
      </w:r>
      <w:r>
        <w:rPr>
          <w:b/>
          <w:sz w:val="28"/>
          <w:szCs w:val="28"/>
        </w:rPr>
        <w:t>2</w:t>
      </w:r>
      <w:r w:rsidRPr="008808E9">
        <w:rPr>
          <w:b/>
          <w:sz w:val="28"/>
          <w:szCs w:val="28"/>
        </w:rPr>
        <w:t xml:space="preserve"> год – </w:t>
      </w:r>
      <w:r>
        <w:rPr>
          <w:b/>
          <w:sz w:val="28"/>
          <w:szCs w:val="28"/>
        </w:rPr>
        <w:t>6</w:t>
      </w:r>
      <w:r w:rsidRPr="008808E9">
        <w:rPr>
          <w:b/>
          <w:sz w:val="28"/>
          <w:szCs w:val="28"/>
        </w:rPr>
        <w:t>8</w:t>
      </w:r>
      <w:r>
        <w:rPr>
          <w:b/>
          <w:sz w:val="28"/>
          <w:szCs w:val="28"/>
        </w:rPr>
        <w:t>5</w:t>
      </w:r>
      <w:r w:rsidRPr="008808E9">
        <w:rPr>
          <w:b/>
          <w:sz w:val="28"/>
          <w:szCs w:val="28"/>
        </w:rPr>
        <w:t xml:space="preserve"> </w:t>
      </w:r>
      <w:r>
        <w:rPr>
          <w:b/>
          <w:sz w:val="28"/>
          <w:szCs w:val="28"/>
        </w:rPr>
        <w:t>523</w:t>
      </w:r>
      <w:r w:rsidRPr="008808E9">
        <w:rPr>
          <w:b/>
          <w:sz w:val="28"/>
          <w:szCs w:val="28"/>
        </w:rPr>
        <w:t xml:space="preserve">,2 тыс. руб., </w:t>
      </w:r>
      <w:r>
        <w:rPr>
          <w:b/>
          <w:sz w:val="28"/>
          <w:szCs w:val="28"/>
        </w:rPr>
        <w:t xml:space="preserve">            </w:t>
      </w:r>
      <w:r w:rsidRPr="008808E9">
        <w:rPr>
          <w:b/>
          <w:sz w:val="28"/>
          <w:szCs w:val="28"/>
        </w:rPr>
        <w:t>202</w:t>
      </w:r>
      <w:r>
        <w:rPr>
          <w:b/>
          <w:sz w:val="28"/>
          <w:szCs w:val="28"/>
        </w:rPr>
        <w:t>3</w:t>
      </w:r>
      <w:r w:rsidRPr="008808E9">
        <w:rPr>
          <w:b/>
          <w:sz w:val="28"/>
          <w:szCs w:val="28"/>
        </w:rPr>
        <w:t xml:space="preserve"> год – </w:t>
      </w:r>
      <w:r>
        <w:rPr>
          <w:b/>
          <w:sz w:val="28"/>
          <w:szCs w:val="28"/>
        </w:rPr>
        <w:t>685</w:t>
      </w:r>
      <w:r w:rsidRPr="008808E9">
        <w:rPr>
          <w:b/>
          <w:sz w:val="28"/>
          <w:szCs w:val="28"/>
        </w:rPr>
        <w:t xml:space="preserve"> </w:t>
      </w:r>
      <w:r>
        <w:rPr>
          <w:b/>
          <w:sz w:val="28"/>
          <w:szCs w:val="28"/>
        </w:rPr>
        <w:t>551</w:t>
      </w:r>
      <w:r w:rsidRPr="008808E9">
        <w:rPr>
          <w:b/>
          <w:sz w:val="28"/>
          <w:szCs w:val="28"/>
        </w:rPr>
        <w:t>,</w:t>
      </w:r>
      <w:r>
        <w:rPr>
          <w:b/>
          <w:sz w:val="28"/>
          <w:szCs w:val="28"/>
        </w:rPr>
        <w:t>6</w:t>
      </w:r>
      <w:r w:rsidRPr="008808E9">
        <w:rPr>
          <w:b/>
          <w:sz w:val="28"/>
          <w:szCs w:val="28"/>
        </w:rPr>
        <w:t xml:space="preserve"> тыс. руб., 202</w:t>
      </w:r>
      <w:r>
        <w:rPr>
          <w:b/>
          <w:sz w:val="28"/>
          <w:szCs w:val="28"/>
        </w:rPr>
        <w:t>4</w:t>
      </w:r>
      <w:r w:rsidRPr="008808E9">
        <w:rPr>
          <w:b/>
          <w:sz w:val="28"/>
          <w:szCs w:val="28"/>
        </w:rPr>
        <w:t xml:space="preserve"> год – </w:t>
      </w:r>
      <w:r>
        <w:rPr>
          <w:b/>
          <w:sz w:val="28"/>
          <w:szCs w:val="28"/>
        </w:rPr>
        <w:t>685 372</w:t>
      </w:r>
      <w:r w:rsidRPr="008808E9">
        <w:rPr>
          <w:b/>
          <w:sz w:val="28"/>
          <w:szCs w:val="28"/>
        </w:rPr>
        <w:t>,</w:t>
      </w:r>
      <w:r>
        <w:rPr>
          <w:b/>
          <w:sz w:val="28"/>
          <w:szCs w:val="28"/>
        </w:rPr>
        <w:t>0</w:t>
      </w:r>
      <w:r w:rsidRPr="008808E9">
        <w:rPr>
          <w:b/>
          <w:sz w:val="28"/>
          <w:szCs w:val="28"/>
        </w:rPr>
        <w:t xml:space="preserve"> тыс. руб.</w:t>
      </w:r>
    </w:p>
    <w:p w:rsidR="0055491A" w:rsidRDefault="0055491A" w:rsidP="0055491A">
      <w:pPr>
        <w:pStyle w:val="a7"/>
        <w:spacing w:after="0"/>
        <w:ind w:left="0" w:firstLine="709"/>
        <w:jc w:val="both"/>
        <w:rPr>
          <w:sz w:val="28"/>
          <w:szCs w:val="28"/>
        </w:rPr>
      </w:pPr>
    </w:p>
    <w:p w:rsidR="0055491A" w:rsidRDefault="0055491A" w:rsidP="0055491A">
      <w:pPr>
        <w:pStyle w:val="a7"/>
        <w:spacing w:after="0"/>
        <w:ind w:left="0" w:firstLine="709"/>
        <w:jc w:val="both"/>
        <w:rPr>
          <w:sz w:val="28"/>
          <w:szCs w:val="28"/>
        </w:rPr>
      </w:pPr>
      <w:r>
        <w:rPr>
          <w:color w:val="000000" w:themeColor="text1"/>
          <w:sz w:val="28"/>
          <w:szCs w:val="28"/>
        </w:rPr>
        <w:t xml:space="preserve">8.1 </w:t>
      </w:r>
      <w:r w:rsidRPr="008808E9">
        <w:rPr>
          <w:b/>
          <w:color w:val="000000" w:themeColor="text1"/>
          <w:sz w:val="28"/>
          <w:szCs w:val="28"/>
        </w:rPr>
        <w:t>КБК 106 1 16 01121 01 0000 140</w:t>
      </w:r>
      <w:r w:rsidRPr="00425908">
        <w:rPr>
          <w:color w:val="000000" w:themeColor="text1"/>
          <w:sz w:val="28"/>
          <w:szCs w:val="28"/>
        </w:rPr>
        <w:t xml:space="preserve"> Административные штрафы, установленные Главой 12 Кодекса Российской </w:t>
      </w:r>
      <w:r w:rsidRPr="004251CD">
        <w:rPr>
          <w:sz w:val="28"/>
          <w:szCs w:val="28"/>
        </w:rPr>
        <w:t>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w:t>
      </w:r>
      <w:r>
        <w:rPr>
          <w:sz w:val="28"/>
          <w:szCs w:val="28"/>
        </w:rPr>
        <w:t xml:space="preserve">. </w:t>
      </w:r>
    </w:p>
    <w:p w:rsidR="0055491A" w:rsidRPr="003A6779" w:rsidRDefault="0055491A" w:rsidP="0055491A">
      <w:pPr>
        <w:autoSpaceDE w:val="0"/>
        <w:autoSpaceDN w:val="0"/>
        <w:adjustRightInd w:val="0"/>
        <w:ind w:firstLine="540"/>
        <w:jc w:val="both"/>
        <w:rPr>
          <w:b/>
          <w:sz w:val="28"/>
          <w:szCs w:val="28"/>
        </w:rPr>
      </w:pPr>
      <w:r w:rsidRPr="003A6779">
        <w:rPr>
          <w:b/>
          <w:sz w:val="28"/>
          <w:szCs w:val="28"/>
        </w:rPr>
        <w:t xml:space="preserve">Главный администратор доходов – </w:t>
      </w:r>
      <w:r w:rsidRPr="003A6779">
        <w:rPr>
          <w:b/>
          <w:bCs/>
          <w:sz w:val="28"/>
          <w:szCs w:val="28"/>
        </w:rPr>
        <w:t>Центральное межрегиональное управление государственного автодорожного надзора Федеральной службы в сфере транспорта</w:t>
      </w:r>
      <w:r w:rsidRPr="003A6779">
        <w:rPr>
          <w:b/>
          <w:sz w:val="28"/>
          <w:szCs w:val="28"/>
        </w:rPr>
        <w:t>.</w:t>
      </w:r>
    </w:p>
    <w:p w:rsidR="0055491A" w:rsidRDefault="0055491A" w:rsidP="0055491A">
      <w:pPr>
        <w:autoSpaceDE w:val="0"/>
        <w:autoSpaceDN w:val="0"/>
        <w:adjustRightInd w:val="0"/>
        <w:ind w:firstLine="539"/>
        <w:jc w:val="both"/>
        <w:rPr>
          <w:bCs/>
          <w:sz w:val="28"/>
          <w:szCs w:val="28"/>
        </w:rPr>
      </w:pPr>
      <w:r>
        <w:rPr>
          <w:bCs/>
          <w:sz w:val="28"/>
          <w:szCs w:val="28"/>
        </w:rPr>
        <w:t>Объем поступлений в доход бюджета субъекта в виде штрафа рассчитываются в соответствии с формулой:</w:t>
      </w:r>
    </w:p>
    <w:p w:rsidR="0055491A" w:rsidRDefault="0055491A" w:rsidP="0055491A">
      <w:pPr>
        <w:autoSpaceDE w:val="0"/>
        <w:autoSpaceDN w:val="0"/>
        <w:adjustRightInd w:val="0"/>
        <w:ind w:firstLine="539"/>
        <w:jc w:val="both"/>
        <w:rPr>
          <w:bCs/>
          <w:sz w:val="28"/>
          <w:szCs w:val="28"/>
        </w:rPr>
      </w:pPr>
      <w:r>
        <w:rPr>
          <w:bCs/>
          <w:sz w:val="28"/>
          <w:szCs w:val="28"/>
        </w:rPr>
        <w:t>Д штраф=Кол-во правонарушений * Размер штрафа + а + в, где:</w:t>
      </w:r>
    </w:p>
    <w:p w:rsidR="0055491A" w:rsidRDefault="0055491A" w:rsidP="0055491A">
      <w:pPr>
        <w:autoSpaceDE w:val="0"/>
        <w:autoSpaceDN w:val="0"/>
        <w:adjustRightInd w:val="0"/>
        <w:ind w:firstLine="539"/>
        <w:jc w:val="both"/>
        <w:rPr>
          <w:bCs/>
          <w:sz w:val="28"/>
          <w:szCs w:val="28"/>
        </w:rPr>
      </w:pPr>
      <w:r>
        <w:rPr>
          <w:bCs/>
          <w:sz w:val="28"/>
          <w:szCs w:val="28"/>
        </w:rPr>
        <w:t>Д штраф- прогнозный показатель поступления доходов;</w:t>
      </w:r>
    </w:p>
    <w:p w:rsidR="0055491A" w:rsidRDefault="0055491A" w:rsidP="0055491A">
      <w:pPr>
        <w:autoSpaceDE w:val="0"/>
        <w:autoSpaceDN w:val="0"/>
        <w:adjustRightInd w:val="0"/>
        <w:ind w:firstLine="539"/>
        <w:jc w:val="both"/>
        <w:rPr>
          <w:bCs/>
          <w:sz w:val="28"/>
          <w:szCs w:val="28"/>
        </w:rPr>
      </w:pPr>
      <w:r>
        <w:rPr>
          <w:bCs/>
          <w:sz w:val="28"/>
          <w:szCs w:val="28"/>
        </w:rPr>
        <w:t>К ол-во правонарушений – количество правонарушений на прогнозный год (рассчитывается на основе показателей количества административных правонарушений (по каждому виду правонарушений) за три года предшествующих прогнозному году), по которым произведена уплата, ед.;</w:t>
      </w:r>
    </w:p>
    <w:p w:rsidR="0055491A" w:rsidRDefault="0055491A" w:rsidP="0055491A">
      <w:pPr>
        <w:autoSpaceDE w:val="0"/>
        <w:autoSpaceDN w:val="0"/>
        <w:adjustRightInd w:val="0"/>
        <w:ind w:firstLine="539"/>
        <w:jc w:val="both"/>
        <w:rPr>
          <w:bCs/>
          <w:sz w:val="28"/>
          <w:szCs w:val="28"/>
        </w:rPr>
      </w:pPr>
      <w:r>
        <w:rPr>
          <w:bCs/>
          <w:sz w:val="28"/>
          <w:szCs w:val="28"/>
        </w:rPr>
        <w:t>Р азмер штрафа – размер штрафа предусмотренный Кодексом Российской Федерации об административных правонарушениях, тыс.руб.;</w:t>
      </w:r>
    </w:p>
    <w:p w:rsidR="0055491A" w:rsidRDefault="0055491A" w:rsidP="0055491A">
      <w:pPr>
        <w:autoSpaceDE w:val="0"/>
        <w:autoSpaceDN w:val="0"/>
        <w:adjustRightInd w:val="0"/>
        <w:ind w:firstLine="539"/>
        <w:jc w:val="both"/>
        <w:rPr>
          <w:bCs/>
          <w:sz w:val="28"/>
          <w:szCs w:val="28"/>
        </w:rPr>
      </w:pPr>
      <w:r>
        <w:rPr>
          <w:bCs/>
          <w:sz w:val="28"/>
          <w:szCs w:val="28"/>
        </w:rPr>
        <w:lastRenderedPageBreak/>
        <w:t>а – корректирующая сумма, определяемая с учетом фактических поступлений за истекшие месяцы текущего года;</w:t>
      </w:r>
    </w:p>
    <w:p w:rsidR="0055491A" w:rsidRDefault="0055491A" w:rsidP="0055491A">
      <w:pPr>
        <w:autoSpaceDE w:val="0"/>
        <w:autoSpaceDN w:val="0"/>
        <w:adjustRightInd w:val="0"/>
        <w:ind w:firstLine="539"/>
        <w:jc w:val="both"/>
        <w:rPr>
          <w:bCs/>
          <w:sz w:val="28"/>
          <w:szCs w:val="28"/>
        </w:rPr>
      </w:pPr>
      <w:r>
        <w:rPr>
          <w:bCs/>
          <w:sz w:val="28"/>
          <w:szCs w:val="28"/>
        </w:rPr>
        <w:t>в – возможные поступления от возврата дебиторской задолженности прочих периодов.</w:t>
      </w:r>
    </w:p>
    <w:p w:rsidR="0055491A" w:rsidRDefault="0055491A" w:rsidP="0055491A">
      <w:pPr>
        <w:autoSpaceDE w:val="0"/>
        <w:autoSpaceDN w:val="0"/>
        <w:adjustRightInd w:val="0"/>
        <w:ind w:firstLine="540"/>
        <w:jc w:val="both"/>
        <w:rPr>
          <w:bCs/>
          <w:sz w:val="28"/>
          <w:szCs w:val="28"/>
        </w:rPr>
      </w:pPr>
      <w:r>
        <w:rPr>
          <w:sz w:val="28"/>
          <w:szCs w:val="28"/>
        </w:rPr>
        <w:t xml:space="preserve">Источник данных для показателей </w:t>
      </w:r>
      <w:r w:rsidRPr="007F4706">
        <w:rPr>
          <w:bCs/>
          <w:sz w:val="28"/>
          <w:szCs w:val="28"/>
        </w:rPr>
        <w:t>Кол-во</w:t>
      </w:r>
      <w:r>
        <w:rPr>
          <w:bCs/>
          <w:sz w:val="28"/>
          <w:szCs w:val="28"/>
        </w:rPr>
        <w:t xml:space="preserve"> правонарушений – ЕИАС Ространснадзора.</w:t>
      </w:r>
    </w:p>
    <w:p w:rsidR="0055491A" w:rsidRDefault="0055491A" w:rsidP="0055491A">
      <w:pPr>
        <w:autoSpaceDE w:val="0"/>
        <w:autoSpaceDN w:val="0"/>
        <w:adjustRightInd w:val="0"/>
        <w:ind w:firstLine="540"/>
        <w:jc w:val="both"/>
        <w:rPr>
          <w:bCs/>
          <w:sz w:val="28"/>
          <w:szCs w:val="28"/>
        </w:rPr>
      </w:pPr>
    </w:p>
    <w:tbl>
      <w:tblPr>
        <w:tblStyle w:val="700"/>
        <w:tblW w:w="0" w:type="auto"/>
        <w:tblLook w:val="04A0" w:firstRow="1" w:lastRow="0" w:firstColumn="1" w:lastColumn="0" w:noHBand="0" w:noVBand="1"/>
      </w:tblPr>
      <w:tblGrid>
        <w:gridCol w:w="2265"/>
        <w:gridCol w:w="2295"/>
        <w:gridCol w:w="2292"/>
        <w:gridCol w:w="2292"/>
      </w:tblGrid>
      <w:tr w:rsidR="0055491A" w:rsidRPr="007F4706" w:rsidTr="00210BF6">
        <w:trPr>
          <w:trHeight w:val="322"/>
        </w:trPr>
        <w:tc>
          <w:tcPr>
            <w:tcW w:w="2265" w:type="dxa"/>
            <w:vMerge w:val="restart"/>
          </w:tcPr>
          <w:p w:rsidR="0055491A" w:rsidRPr="007F4706" w:rsidRDefault="0055491A" w:rsidP="00210BF6">
            <w:pPr>
              <w:autoSpaceDE w:val="0"/>
              <w:autoSpaceDN w:val="0"/>
              <w:adjustRightInd w:val="0"/>
              <w:jc w:val="center"/>
              <w:rPr>
                <w:rFonts w:ascii="Times New Roman" w:hAnsi="Times New Roman"/>
                <w:bCs/>
                <w:sz w:val="28"/>
                <w:szCs w:val="28"/>
              </w:rPr>
            </w:pPr>
            <w:r w:rsidRPr="007F4706">
              <w:rPr>
                <w:rFonts w:ascii="Times New Roman" w:hAnsi="Times New Roman"/>
                <w:bCs/>
                <w:sz w:val="28"/>
                <w:szCs w:val="28"/>
              </w:rPr>
              <w:t>Статья КоАП</w:t>
            </w:r>
          </w:p>
        </w:tc>
        <w:tc>
          <w:tcPr>
            <w:tcW w:w="2295" w:type="dxa"/>
            <w:vMerge w:val="restart"/>
          </w:tcPr>
          <w:p w:rsidR="0055491A" w:rsidRPr="007F4706" w:rsidRDefault="0055491A" w:rsidP="00210BF6">
            <w:pPr>
              <w:autoSpaceDE w:val="0"/>
              <w:autoSpaceDN w:val="0"/>
              <w:adjustRightInd w:val="0"/>
              <w:jc w:val="center"/>
              <w:rPr>
                <w:rFonts w:ascii="Times New Roman" w:hAnsi="Times New Roman"/>
                <w:bCs/>
                <w:sz w:val="28"/>
                <w:szCs w:val="28"/>
              </w:rPr>
            </w:pPr>
            <w:r w:rsidRPr="007F4706">
              <w:rPr>
                <w:rFonts w:ascii="Times New Roman" w:hAnsi="Times New Roman"/>
                <w:bCs/>
                <w:sz w:val="28"/>
                <w:szCs w:val="28"/>
              </w:rPr>
              <w:t>Среднее кол-во, ед.</w:t>
            </w:r>
          </w:p>
        </w:tc>
        <w:tc>
          <w:tcPr>
            <w:tcW w:w="2292" w:type="dxa"/>
            <w:vMerge w:val="restart"/>
          </w:tcPr>
          <w:p w:rsidR="0055491A" w:rsidRPr="007F4706" w:rsidRDefault="0055491A" w:rsidP="00210BF6">
            <w:pPr>
              <w:autoSpaceDE w:val="0"/>
              <w:autoSpaceDN w:val="0"/>
              <w:adjustRightInd w:val="0"/>
              <w:jc w:val="center"/>
              <w:rPr>
                <w:rFonts w:ascii="Times New Roman" w:hAnsi="Times New Roman"/>
                <w:bCs/>
                <w:sz w:val="28"/>
                <w:szCs w:val="28"/>
              </w:rPr>
            </w:pPr>
            <w:r w:rsidRPr="007F4706">
              <w:rPr>
                <w:rFonts w:ascii="Times New Roman" w:hAnsi="Times New Roman"/>
                <w:bCs/>
                <w:sz w:val="28"/>
                <w:szCs w:val="28"/>
              </w:rPr>
              <w:t>Размер штрафа, тыс.руб.</w:t>
            </w:r>
          </w:p>
        </w:tc>
        <w:tc>
          <w:tcPr>
            <w:tcW w:w="2292" w:type="dxa"/>
            <w:vMerge w:val="restart"/>
          </w:tcPr>
          <w:p w:rsidR="0055491A" w:rsidRPr="007F4706" w:rsidRDefault="0055491A" w:rsidP="00210BF6">
            <w:pPr>
              <w:autoSpaceDE w:val="0"/>
              <w:autoSpaceDN w:val="0"/>
              <w:adjustRightInd w:val="0"/>
              <w:jc w:val="center"/>
              <w:rPr>
                <w:rFonts w:ascii="Times New Roman" w:hAnsi="Times New Roman"/>
                <w:bCs/>
                <w:sz w:val="28"/>
                <w:szCs w:val="28"/>
              </w:rPr>
            </w:pPr>
            <w:r w:rsidRPr="007F4706">
              <w:rPr>
                <w:rFonts w:ascii="Times New Roman" w:hAnsi="Times New Roman"/>
                <w:bCs/>
                <w:sz w:val="28"/>
                <w:szCs w:val="28"/>
              </w:rPr>
              <w:t>Сумма штрафа, тыс.руб.</w:t>
            </w:r>
          </w:p>
        </w:tc>
      </w:tr>
      <w:tr w:rsidR="0055491A" w:rsidRPr="007F4706" w:rsidTr="00210BF6">
        <w:trPr>
          <w:trHeight w:val="322"/>
        </w:trPr>
        <w:tc>
          <w:tcPr>
            <w:tcW w:w="2265" w:type="dxa"/>
            <w:vMerge/>
          </w:tcPr>
          <w:p w:rsidR="0055491A" w:rsidRPr="007F4706" w:rsidRDefault="0055491A" w:rsidP="00210BF6">
            <w:pPr>
              <w:autoSpaceDE w:val="0"/>
              <w:autoSpaceDN w:val="0"/>
              <w:adjustRightInd w:val="0"/>
              <w:jc w:val="center"/>
              <w:rPr>
                <w:rFonts w:ascii="Times New Roman" w:hAnsi="Times New Roman"/>
                <w:bCs/>
                <w:sz w:val="28"/>
                <w:szCs w:val="28"/>
              </w:rPr>
            </w:pPr>
          </w:p>
        </w:tc>
        <w:tc>
          <w:tcPr>
            <w:tcW w:w="2295" w:type="dxa"/>
            <w:vMerge/>
          </w:tcPr>
          <w:p w:rsidR="0055491A" w:rsidRPr="007F4706" w:rsidRDefault="0055491A" w:rsidP="00210BF6">
            <w:pPr>
              <w:autoSpaceDE w:val="0"/>
              <w:autoSpaceDN w:val="0"/>
              <w:adjustRightInd w:val="0"/>
              <w:jc w:val="center"/>
              <w:rPr>
                <w:rFonts w:ascii="Times New Roman" w:hAnsi="Times New Roman"/>
                <w:bCs/>
                <w:sz w:val="28"/>
                <w:szCs w:val="28"/>
              </w:rPr>
            </w:pPr>
          </w:p>
        </w:tc>
        <w:tc>
          <w:tcPr>
            <w:tcW w:w="2292" w:type="dxa"/>
            <w:vMerge/>
          </w:tcPr>
          <w:p w:rsidR="0055491A" w:rsidRPr="007F4706" w:rsidRDefault="0055491A" w:rsidP="00210BF6">
            <w:pPr>
              <w:autoSpaceDE w:val="0"/>
              <w:autoSpaceDN w:val="0"/>
              <w:adjustRightInd w:val="0"/>
              <w:jc w:val="center"/>
              <w:rPr>
                <w:rFonts w:ascii="Times New Roman" w:hAnsi="Times New Roman"/>
                <w:bCs/>
                <w:sz w:val="28"/>
                <w:szCs w:val="28"/>
              </w:rPr>
            </w:pPr>
          </w:p>
        </w:tc>
        <w:tc>
          <w:tcPr>
            <w:tcW w:w="2292" w:type="dxa"/>
            <w:vMerge/>
          </w:tcPr>
          <w:p w:rsidR="0055491A" w:rsidRPr="007F4706" w:rsidRDefault="0055491A" w:rsidP="00210BF6">
            <w:pPr>
              <w:autoSpaceDE w:val="0"/>
              <w:autoSpaceDN w:val="0"/>
              <w:adjustRightInd w:val="0"/>
              <w:jc w:val="center"/>
              <w:rPr>
                <w:rFonts w:ascii="Times New Roman" w:hAnsi="Times New Roman"/>
                <w:bCs/>
                <w:sz w:val="28"/>
                <w:szCs w:val="28"/>
              </w:rPr>
            </w:pPr>
          </w:p>
        </w:tc>
      </w:tr>
      <w:tr w:rsidR="0055491A" w:rsidRPr="007F4706" w:rsidTr="00210BF6">
        <w:trPr>
          <w:trHeight w:val="272"/>
        </w:trPr>
        <w:tc>
          <w:tcPr>
            <w:tcW w:w="2265" w:type="dxa"/>
          </w:tcPr>
          <w:p w:rsidR="0055491A" w:rsidRPr="007F4706" w:rsidRDefault="0055491A" w:rsidP="00210BF6">
            <w:pPr>
              <w:autoSpaceDE w:val="0"/>
              <w:autoSpaceDN w:val="0"/>
              <w:adjustRightInd w:val="0"/>
              <w:jc w:val="center"/>
              <w:rPr>
                <w:rFonts w:ascii="Times New Roman" w:hAnsi="Times New Roman"/>
                <w:bCs/>
                <w:sz w:val="28"/>
                <w:szCs w:val="28"/>
              </w:rPr>
            </w:pPr>
            <w:r w:rsidRPr="007F4706">
              <w:rPr>
                <w:rFonts w:ascii="Times New Roman" w:hAnsi="Times New Roman"/>
                <w:bCs/>
                <w:sz w:val="28"/>
                <w:szCs w:val="28"/>
              </w:rPr>
              <w:t>12.23.ч.4</w:t>
            </w:r>
          </w:p>
        </w:tc>
        <w:tc>
          <w:tcPr>
            <w:tcW w:w="2295" w:type="dxa"/>
          </w:tcPr>
          <w:p w:rsidR="0055491A" w:rsidRPr="007F4706" w:rsidRDefault="0055491A" w:rsidP="00210BF6">
            <w:pPr>
              <w:autoSpaceDE w:val="0"/>
              <w:autoSpaceDN w:val="0"/>
              <w:adjustRightInd w:val="0"/>
              <w:jc w:val="center"/>
              <w:rPr>
                <w:rFonts w:ascii="Times New Roman" w:hAnsi="Times New Roman"/>
                <w:bCs/>
                <w:sz w:val="28"/>
                <w:szCs w:val="28"/>
              </w:rPr>
            </w:pPr>
            <w:r>
              <w:rPr>
                <w:rFonts w:ascii="Times New Roman" w:hAnsi="Times New Roman"/>
                <w:bCs/>
                <w:sz w:val="28"/>
                <w:szCs w:val="28"/>
              </w:rPr>
              <w:t>2</w:t>
            </w:r>
          </w:p>
        </w:tc>
        <w:tc>
          <w:tcPr>
            <w:tcW w:w="2292" w:type="dxa"/>
          </w:tcPr>
          <w:p w:rsidR="0055491A" w:rsidRPr="007F4706" w:rsidRDefault="0055491A" w:rsidP="00210BF6">
            <w:pPr>
              <w:autoSpaceDE w:val="0"/>
              <w:autoSpaceDN w:val="0"/>
              <w:adjustRightInd w:val="0"/>
              <w:jc w:val="center"/>
              <w:rPr>
                <w:rFonts w:ascii="Times New Roman" w:hAnsi="Times New Roman"/>
                <w:bCs/>
                <w:sz w:val="28"/>
                <w:szCs w:val="28"/>
              </w:rPr>
            </w:pPr>
            <w:r w:rsidRPr="007F4706">
              <w:rPr>
                <w:rFonts w:ascii="Times New Roman" w:hAnsi="Times New Roman"/>
                <w:bCs/>
                <w:sz w:val="28"/>
                <w:szCs w:val="28"/>
              </w:rPr>
              <w:t>3</w:t>
            </w:r>
          </w:p>
        </w:tc>
        <w:tc>
          <w:tcPr>
            <w:tcW w:w="2292" w:type="dxa"/>
          </w:tcPr>
          <w:p w:rsidR="0055491A" w:rsidRPr="007F4706" w:rsidRDefault="0055491A" w:rsidP="00210BF6">
            <w:pPr>
              <w:autoSpaceDE w:val="0"/>
              <w:autoSpaceDN w:val="0"/>
              <w:adjustRightInd w:val="0"/>
              <w:jc w:val="center"/>
              <w:rPr>
                <w:rFonts w:ascii="Times New Roman" w:hAnsi="Times New Roman"/>
                <w:bCs/>
                <w:sz w:val="28"/>
                <w:szCs w:val="28"/>
              </w:rPr>
            </w:pPr>
            <w:r>
              <w:rPr>
                <w:rFonts w:ascii="Times New Roman" w:hAnsi="Times New Roman"/>
                <w:bCs/>
                <w:sz w:val="28"/>
                <w:szCs w:val="28"/>
              </w:rPr>
              <w:t>6</w:t>
            </w:r>
          </w:p>
        </w:tc>
      </w:tr>
      <w:tr w:rsidR="0055491A" w:rsidRPr="007F4706" w:rsidTr="00210BF6">
        <w:trPr>
          <w:trHeight w:val="272"/>
        </w:trPr>
        <w:tc>
          <w:tcPr>
            <w:tcW w:w="2265" w:type="dxa"/>
          </w:tcPr>
          <w:p w:rsidR="0055491A" w:rsidRPr="007F4706" w:rsidRDefault="0055491A" w:rsidP="00210BF6">
            <w:pPr>
              <w:autoSpaceDE w:val="0"/>
              <w:autoSpaceDN w:val="0"/>
              <w:adjustRightInd w:val="0"/>
              <w:jc w:val="center"/>
              <w:rPr>
                <w:rFonts w:ascii="Times New Roman" w:hAnsi="Times New Roman"/>
                <w:bCs/>
                <w:sz w:val="28"/>
                <w:szCs w:val="28"/>
              </w:rPr>
            </w:pPr>
            <w:r w:rsidRPr="007F4706">
              <w:rPr>
                <w:rFonts w:ascii="Times New Roman" w:hAnsi="Times New Roman"/>
                <w:bCs/>
                <w:sz w:val="28"/>
                <w:szCs w:val="28"/>
              </w:rPr>
              <w:t>12.23.ч.6</w:t>
            </w:r>
          </w:p>
        </w:tc>
        <w:tc>
          <w:tcPr>
            <w:tcW w:w="2295" w:type="dxa"/>
          </w:tcPr>
          <w:p w:rsidR="0055491A" w:rsidRPr="007F4706" w:rsidRDefault="0055491A" w:rsidP="00210BF6">
            <w:pPr>
              <w:autoSpaceDE w:val="0"/>
              <w:autoSpaceDN w:val="0"/>
              <w:adjustRightInd w:val="0"/>
              <w:jc w:val="center"/>
              <w:rPr>
                <w:rFonts w:ascii="Times New Roman" w:hAnsi="Times New Roman"/>
                <w:bCs/>
                <w:sz w:val="28"/>
                <w:szCs w:val="28"/>
              </w:rPr>
            </w:pPr>
            <w:r>
              <w:rPr>
                <w:rFonts w:ascii="Times New Roman" w:hAnsi="Times New Roman"/>
                <w:bCs/>
                <w:sz w:val="28"/>
                <w:szCs w:val="28"/>
              </w:rPr>
              <w:t>1</w:t>
            </w:r>
          </w:p>
        </w:tc>
        <w:tc>
          <w:tcPr>
            <w:tcW w:w="2292" w:type="dxa"/>
          </w:tcPr>
          <w:p w:rsidR="0055491A" w:rsidRPr="007F4706" w:rsidRDefault="0055491A" w:rsidP="00210BF6">
            <w:pPr>
              <w:autoSpaceDE w:val="0"/>
              <w:autoSpaceDN w:val="0"/>
              <w:adjustRightInd w:val="0"/>
              <w:jc w:val="center"/>
              <w:rPr>
                <w:rFonts w:ascii="Times New Roman" w:hAnsi="Times New Roman"/>
                <w:bCs/>
                <w:sz w:val="28"/>
                <w:szCs w:val="28"/>
              </w:rPr>
            </w:pPr>
            <w:r w:rsidRPr="007F4706">
              <w:rPr>
                <w:rFonts w:ascii="Times New Roman" w:hAnsi="Times New Roman"/>
                <w:bCs/>
                <w:sz w:val="28"/>
                <w:szCs w:val="28"/>
              </w:rPr>
              <w:t>100</w:t>
            </w:r>
          </w:p>
        </w:tc>
        <w:tc>
          <w:tcPr>
            <w:tcW w:w="2292" w:type="dxa"/>
          </w:tcPr>
          <w:p w:rsidR="0055491A" w:rsidRPr="007F4706" w:rsidRDefault="0055491A" w:rsidP="00210BF6">
            <w:pPr>
              <w:autoSpaceDE w:val="0"/>
              <w:autoSpaceDN w:val="0"/>
              <w:adjustRightInd w:val="0"/>
              <w:jc w:val="center"/>
              <w:rPr>
                <w:rFonts w:ascii="Times New Roman" w:hAnsi="Times New Roman"/>
                <w:bCs/>
                <w:sz w:val="28"/>
                <w:szCs w:val="28"/>
              </w:rPr>
            </w:pPr>
            <w:r>
              <w:rPr>
                <w:rFonts w:ascii="Times New Roman" w:hAnsi="Times New Roman"/>
                <w:bCs/>
                <w:sz w:val="28"/>
                <w:szCs w:val="28"/>
              </w:rPr>
              <w:t>1</w:t>
            </w:r>
            <w:r w:rsidRPr="007F4706">
              <w:rPr>
                <w:rFonts w:ascii="Times New Roman" w:hAnsi="Times New Roman"/>
                <w:bCs/>
                <w:sz w:val="28"/>
                <w:szCs w:val="28"/>
              </w:rPr>
              <w:t>00</w:t>
            </w:r>
          </w:p>
        </w:tc>
      </w:tr>
      <w:tr w:rsidR="0055491A" w:rsidRPr="007F4706" w:rsidTr="00210BF6">
        <w:trPr>
          <w:trHeight w:val="272"/>
        </w:trPr>
        <w:tc>
          <w:tcPr>
            <w:tcW w:w="2265" w:type="dxa"/>
          </w:tcPr>
          <w:p w:rsidR="0055491A" w:rsidRPr="007F4706" w:rsidRDefault="0055491A" w:rsidP="00210BF6">
            <w:pPr>
              <w:autoSpaceDE w:val="0"/>
              <w:autoSpaceDN w:val="0"/>
              <w:adjustRightInd w:val="0"/>
              <w:jc w:val="center"/>
              <w:rPr>
                <w:rFonts w:ascii="Times New Roman" w:hAnsi="Times New Roman"/>
                <w:bCs/>
                <w:sz w:val="28"/>
                <w:szCs w:val="28"/>
              </w:rPr>
            </w:pPr>
            <w:r w:rsidRPr="007F4706">
              <w:rPr>
                <w:rFonts w:ascii="Times New Roman" w:hAnsi="Times New Roman"/>
                <w:bCs/>
                <w:sz w:val="28"/>
                <w:szCs w:val="28"/>
              </w:rPr>
              <w:t>Итого</w:t>
            </w:r>
          </w:p>
        </w:tc>
        <w:tc>
          <w:tcPr>
            <w:tcW w:w="2295" w:type="dxa"/>
          </w:tcPr>
          <w:p w:rsidR="0055491A" w:rsidRPr="007F4706" w:rsidRDefault="0055491A" w:rsidP="00210BF6">
            <w:pPr>
              <w:autoSpaceDE w:val="0"/>
              <w:autoSpaceDN w:val="0"/>
              <w:adjustRightInd w:val="0"/>
              <w:jc w:val="center"/>
              <w:rPr>
                <w:rFonts w:ascii="Times New Roman" w:hAnsi="Times New Roman"/>
                <w:bCs/>
                <w:sz w:val="28"/>
                <w:szCs w:val="28"/>
              </w:rPr>
            </w:pPr>
          </w:p>
        </w:tc>
        <w:tc>
          <w:tcPr>
            <w:tcW w:w="2292" w:type="dxa"/>
          </w:tcPr>
          <w:p w:rsidR="0055491A" w:rsidRPr="007F4706" w:rsidRDefault="0055491A" w:rsidP="00210BF6">
            <w:pPr>
              <w:autoSpaceDE w:val="0"/>
              <w:autoSpaceDN w:val="0"/>
              <w:adjustRightInd w:val="0"/>
              <w:jc w:val="center"/>
              <w:rPr>
                <w:rFonts w:ascii="Times New Roman" w:hAnsi="Times New Roman"/>
                <w:bCs/>
                <w:sz w:val="28"/>
                <w:szCs w:val="28"/>
              </w:rPr>
            </w:pPr>
          </w:p>
        </w:tc>
        <w:tc>
          <w:tcPr>
            <w:tcW w:w="2292" w:type="dxa"/>
          </w:tcPr>
          <w:p w:rsidR="0055491A" w:rsidRPr="007F4706" w:rsidRDefault="0055491A" w:rsidP="00210BF6">
            <w:pPr>
              <w:autoSpaceDE w:val="0"/>
              <w:autoSpaceDN w:val="0"/>
              <w:adjustRightInd w:val="0"/>
              <w:jc w:val="center"/>
              <w:rPr>
                <w:rFonts w:ascii="Times New Roman" w:hAnsi="Times New Roman"/>
                <w:bCs/>
                <w:sz w:val="28"/>
                <w:szCs w:val="28"/>
              </w:rPr>
            </w:pPr>
            <w:r>
              <w:rPr>
                <w:rFonts w:ascii="Times New Roman" w:hAnsi="Times New Roman"/>
                <w:bCs/>
                <w:sz w:val="28"/>
                <w:szCs w:val="28"/>
              </w:rPr>
              <w:t>106</w:t>
            </w:r>
            <w:r w:rsidRPr="007F4706">
              <w:rPr>
                <w:rFonts w:ascii="Times New Roman" w:hAnsi="Times New Roman"/>
                <w:bCs/>
                <w:sz w:val="28"/>
                <w:szCs w:val="28"/>
              </w:rPr>
              <w:t>,0</w:t>
            </w:r>
          </w:p>
        </w:tc>
      </w:tr>
      <w:tr w:rsidR="0055491A" w:rsidRPr="007F4706" w:rsidTr="00210BF6">
        <w:trPr>
          <w:trHeight w:val="285"/>
        </w:trPr>
        <w:tc>
          <w:tcPr>
            <w:tcW w:w="2265" w:type="dxa"/>
          </w:tcPr>
          <w:p w:rsidR="0055491A" w:rsidRPr="007F4706" w:rsidRDefault="0055491A" w:rsidP="00210BF6">
            <w:pPr>
              <w:autoSpaceDE w:val="0"/>
              <w:autoSpaceDN w:val="0"/>
              <w:adjustRightInd w:val="0"/>
              <w:jc w:val="center"/>
              <w:rPr>
                <w:rFonts w:ascii="Times New Roman" w:hAnsi="Times New Roman"/>
                <w:bCs/>
                <w:sz w:val="28"/>
                <w:szCs w:val="28"/>
              </w:rPr>
            </w:pPr>
            <w:r w:rsidRPr="007F4706">
              <w:rPr>
                <w:rFonts w:ascii="Times New Roman" w:hAnsi="Times New Roman"/>
                <w:bCs/>
                <w:sz w:val="28"/>
                <w:szCs w:val="28"/>
              </w:rPr>
              <w:t>12.3.1.ч.1</w:t>
            </w:r>
          </w:p>
        </w:tc>
        <w:tc>
          <w:tcPr>
            <w:tcW w:w="2295" w:type="dxa"/>
          </w:tcPr>
          <w:p w:rsidR="0055491A" w:rsidRPr="007F4706" w:rsidRDefault="0055491A" w:rsidP="00210BF6">
            <w:pPr>
              <w:autoSpaceDE w:val="0"/>
              <w:autoSpaceDN w:val="0"/>
              <w:adjustRightInd w:val="0"/>
              <w:jc w:val="center"/>
              <w:rPr>
                <w:rFonts w:ascii="Times New Roman" w:hAnsi="Times New Roman"/>
                <w:bCs/>
                <w:sz w:val="28"/>
                <w:szCs w:val="28"/>
              </w:rPr>
            </w:pPr>
            <w:r>
              <w:rPr>
                <w:rFonts w:ascii="Times New Roman" w:hAnsi="Times New Roman"/>
                <w:bCs/>
                <w:sz w:val="28"/>
                <w:szCs w:val="28"/>
              </w:rPr>
              <w:t>3</w:t>
            </w:r>
          </w:p>
        </w:tc>
        <w:tc>
          <w:tcPr>
            <w:tcW w:w="2292" w:type="dxa"/>
          </w:tcPr>
          <w:p w:rsidR="0055491A" w:rsidRPr="007F4706" w:rsidRDefault="0055491A" w:rsidP="00210BF6">
            <w:pPr>
              <w:autoSpaceDE w:val="0"/>
              <w:autoSpaceDN w:val="0"/>
              <w:adjustRightInd w:val="0"/>
              <w:jc w:val="center"/>
              <w:rPr>
                <w:rFonts w:ascii="Times New Roman" w:hAnsi="Times New Roman"/>
                <w:bCs/>
                <w:sz w:val="28"/>
                <w:szCs w:val="28"/>
              </w:rPr>
            </w:pPr>
            <w:r w:rsidRPr="007F4706">
              <w:rPr>
                <w:rFonts w:ascii="Times New Roman" w:hAnsi="Times New Roman"/>
                <w:bCs/>
                <w:sz w:val="28"/>
                <w:szCs w:val="28"/>
              </w:rPr>
              <w:t>100</w:t>
            </w:r>
          </w:p>
        </w:tc>
        <w:tc>
          <w:tcPr>
            <w:tcW w:w="2292" w:type="dxa"/>
          </w:tcPr>
          <w:p w:rsidR="0055491A" w:rsidRPr="007F4706" w:rsidRDefault="0055491A" w:rsidP="00210BF6">
            <w:pPr>
              <w:autoSpaceDE w:val="0"/>
              <w:autoSpaceDN w:val="0"/>
              <w:adjustRightInd w:val="0"/>
              <w:jc w:val="center"/>
              <w:rPr>
                <w:rFonts w:ascii="Times New Roman" w:hAnsi="Times New Roman"/>
                <w:bCs/>
                <w:sz w:val="28"/>
                <w:szCs w:val="28"/>
              </w:rPr>
            </w:pPr>
            <w:r>
              <w:rPr>
                <w:rFonts w:ascii="Times New Roman" w:hAnsi="Times New Roman"/>
                <w:bCs/>
                <w:sz w:val="28"/>
                <w:szCs w:val="28"/>
              </w:rPr>
              <w:t>3</w:t>
            </w:r>
            <w:r w:rsidRPr="007F4706">
              <w:rPr>
                <w:rFonts w:ascii="Times New Roman" w:hAnsi="Times New Roman"/>
                <w:bCs/>
                <w:sz w:val="28"/>
                <w:szCs w:val="28"/>
              </w:rPr>
              <w:t>00</w:t>
            </w:r>
          </w:p>
        </w:tc>
      </w:tr>
      <w:tr w:rsidR="0055491A" w:rsidRPr="007F4706" w:rsidTr="00210BF6">
        <w:trPr>
          <w:trHeight w:val="272"/>
        </w:trPr>
        <w:tc>
          <w:tcPr>
            <w:tcW w:w="2265" w:type="dxa"/>
          </w:tcPr>
          <w:p w:rsidR="0055491A" w:rsidRPr="007F4706" w:rsidRDefault="0055491A" w:rsidP="00210BF6">
            <w:pPr>
              <w:autoSpaceDE w:val="0"/>
              <w:autoSpaceDN w:val="0"/>
              <w:adjustRightInd w:val="0"/>
              <w:jc w:val="center"/>
              <w:rPr>
                <w:rFonts w:ascii="Times New Roman" w:hAnsi="Times New Roman"/>
                <w:bCs/>
                <w:sz w:val="28"/>
                <w:szCs w:val="28"/>
              </w:rPr>
            </w:pPr>
            <w:r w:rsidRPr="007F4706">
              <w:rPr>
                <w:rFonts w:ascii="Times New Roman" w:hAnsi="Times New Roman"/>
                <w:bCs/>
                <w:sz w:val="28"/>
                <w:szCs w:val="28"/>
              </w:rPr>
              <w:t>12.3.1.ч.2</w:t>
            </w:r>
          </w:p>
        </w:tc>
        <w:tc>
          <w:tcPr>
            <w:tcW w:w="2295" w:type="dxa"/>
          </w:tcPr>
          <w:p w:rsidR="0055491A" w:rsidRPr="007F4706" w:rsidRDefault="0055491A" w:rsidP="00210BF6">
            <w:pPr>
              <w:autoSpaceDE w:val="0"/>
              <w:autoSpaceDN w:val="0"/>
              <w:adjustRightInd w:val="0"/>
              <w:jc w:val="center"/>
              <w:rPr>
                <w:rFonts w:ascii="Times New Roman" w:hAnsi="Times New Roman"/>
                <w:bCs/>
                <w:sz w:val="28"/>
                <w:szCs w:val="28"/>
              </w:rPr>
            </w:pPr>
            <w:r>
              <w:rPr>
                <w:rFonts w:ascii="Times New Roman" w:hAnsi="Times New Roman"/>
                <w:bCs/>
                <w:sz w:val="28"/>
                <w:szCs w:val="28"/>
              </w:rPr>
              <w:t>7</w:t>
            </w:r>
          </w:p>
        </w:tc>
        <w:tc>
          <w:tcPr>
            <w:tcW w:w="2292" w:type="dxa"/>
          </w:tcPr>
          <w:p w:rsidR="0055491A" w:rsidRPr="007F4706" w:rsidRDefault="0055491A" w:rsidP="00210BF6">
            <w:pPr>
              <w:autoSpaceDE w:val="0"/>
              <w:autoSpaceDN w:val="0"/>
              <w:adjustRightInd w:val="0"/>
              <w:jc w:val="center"/>
              <w:rPr>
                <w:rFonts w:ascii="Times New Roman" w:hAnsi="Times New Roman"/>
                <w:bCs/>
                <w:sz w:val="28"/>
                <w:szCs w:val="28"/>
              </w:rPr>
            </w:pPr>
            <w:r w:rsidRPr="007F4706">
              <w:rPr>
                <w:rFonts w:ascii="Times New Roman" w:hAnsi="Times New Roman"/>
                <w:bCs/>
                <w:sz w:val="28"/>
                <w:szCs w:val="28"/>
              </w:rPr>
              <w:t>30</w:t>
            </w:r>
          </w:p>
        </w:tc>
        <w:tc>
          <w:tcPr>
            <w:tcW w:w="2292" w:type="dxa"/>
          </w:tcPr>
          <w:p w:rsidR="0055491A" w:rsidRPr="007F4706" w:rsidRDefault="0055491A" w:rsidP="00210BF6">
            <w:pPr>
              <w:autoSpaceDE w:val="0"/>
              <w:autoSpaceDN w:val="0"/>
              <w:adjustRightInd w:val="0"/>
              <w:jc w:val="center"/>
              <w:rPr>
                <w:rFonts w:ascii="Times New Roman" w:hAnsi="Times New Roman"/>
                <w:bCs/>
                <w:sz w:val="28"/>
                <w:szCs w:val="28"/>
              </w:rPr>
            </w:pPr>
            <w:r>
              <w:rPr>
                <w:rFonts w:ascii="Times New Roman" w:hAnsi="Times New Roman"/>
                <w:bCs/>
                <w:sz w:val="28"/>
                <w:szCs w:val="28"/>
              </w:rPr>
              <w:t>21</w:t>
            </w:r>
            <w:r w:rsidRPr="007F4706">
              <w:rPr>
                <w:rFonts w:ascii="Times New Roman" w:hAnsi="Times New Roman"/>
                <w:bCs/>
                <w:sz w:val="28"/>
                <w:szCs w:val="28"/>
              </w:rPr>
              <w:t>0</w:t>
            </w:r>
          </w:p>
        </w:tc>
      </w:tr>
      <w:tr w:rsidR="0055491A" w:rsidRPr="007F4706" w:rsidTr="00210BF6">
        <w:trPr>
          <w:trHeight w:val="272"/>
        </w:trPr>
        <w:tc>
          <w:tcPr>
            <w:tcW w:w="2265" w:type="dxa"/>
          </w:tcPr>
          <w:p w:rsidR="0055491A" w:rsidRPr="007F4706" w:rsidRDefault="0055491A" w:rsidP="00210BF6">
            <w:pPr>
              <w:autoSpaceDE w:val="0"/>
              <w:autoSpaceDN w:val="0"/>
              <w:adjustRightInd w:val="0"/>
              <w:jc w:val="center"/>
              <w:rPr>
                <w:rFonts w:ascii="Times New Roman" w:hAnsi="Times New Roman"/>
                <w:bCs/>
                <w:sz w:val="28"/>
                <w:szCs w:val="28"/>
              </w:rPr>
            </w:pPr>
            <w:r w:rsidRPr="007F4706">
              <w:rPr>
                <w:rFonts w:ascii="Times New Roman" w:hAnsi="Times New Roman"/>
                <w:bCs/>
                <w:sz w:val="28"/>
                <w:szCs w:val="28"/>
              </w:rPr>
              <w:t>12.3.1.ч.3</w:t>
            </w:r>
          </w:p>
        </w:tc>
        <w:tc>
          <w:tcPr>
            <w:tcW w:w="2295" w:type="dxa"/>
          </w:tcPr>
          <w:p w:rsidR="0055491A" w:rsidRPr="007F4706" w:rsidRDefault="0055491A" w:rsidP="00210BF6">
            <w:pPr>
              <w:autoSpaceDE w:val="0"/>
              <w:autoSpaceDN w:val="0"/>
              <w:adjustRightInd w:val="0"/>
              <w:jc w:val="center"/>
              <w:rPr>
                <w:rFonts w:ascii="Times New Roman" w:hAnsi="Times New Roman"/>
                <w:bCs/>
                <w:sz w:val="28"/>
                <w:szCs w:val="28"/>
              </w:rPr>
            </w:pPr>
            <w:r w:rsidRPr="007F4706">
              <w:rPr>
                <w:rFonts w:ascii="Times New Roman" w:hAnsi="Times New Roman"/>
                <w:bCs/>
                <w:sz w:val="28"/>
                <w:szCs w:val="28"/>
              </w:rPr>
              <w:t>84</w:t>
            </w:r>
          </w:p>
        </w:tc>
        <w:tc>
          <w:tcPr>
            <w:tcW w:w="2292" w:type="dxa"/>
          </w:tcPr>
          <w:p w:rsidR="0055491A" w:rsidRPr="007F4706" w:rsidRDefault="0055491A" w:rsidP="00210BF6">
            <w:pPr>
              <w:autoSpaceDE w:val="0"/>
              <w:autoSpaceDN w:val="0"/>
              <w:adjustRightInd w:val="0"/>
              <w:jc w:val="center"/>
              <w:rPr>
                <w:rFonts w:ascii="Times New Roman" w:hAnsi="Times New Roman"/>
                <w:bCs/>
                <w:sz w:val="28"/>
                <w:szCs w:val="28"/>
              </w:rPr>
            </w:pPr>
            <w:r w:rsidRPr="007F4706">
              <w:rPr>
                <w:rFonts w:ascii="Times New Roman" w:hAnsi="Times New Roman"/>
                <w:bCs/>
                <w:sz w:val="28"/>
                <w:szCs w:val="28"/>
              </w:rPr>
              <w:t>3</w:t>
            </w:r>
          </w:p>
        </w:tc>
        <w:tc>
          <w:tcPr>
            <w:tcW w:w="2292" w:type="dxa"/>
          </w:tcPr>
          <w:p w:rsidR="0055491A" w:rsidRPr="007F4706" w:rsidRDefault="0055491A" w:rsidP="00210BF6">
            <w:pPr>
              <w:autoSpaceDE w:val="0"/>
              <w:autoSpaceDN w:val="0"/>
              <w:adjustRightInd w:val="0"/>
              <w:jc w:val="center"/>
              <w:rPr>
                <w:rFonts w:ascii="Times New Roman" w:hAnsi="Times New Roman"/>
                <w:bCs/>
                <w:sz w:val="28"/>
                <w:szCs w:val="28"/>
              </w:rPr>
            </w:pPr>
            <w:r w:rsidRPr="007F4706">
              <w:rPr>
                <w:rFonts w:ascii="Times New Roman" w:hAnsi="Times New Roman"/>
                <w:bCs/>
                <w:sz w:val="28"/>
                <w:szCs w:val="28"/>
              </w:rPr>
              <w:t>252</w:t>
            </w:r>
          </w:p>
        </w:tc>
      </w:tr>
      <w:tr w:rsidR="0055491A" w:rsidRPr="007F4706" w:rsidTr="00210BF6">
        <w:trPr>
          <w:trHeight w:val="272"/>
        </w:trPr>
        <w:tc>
          <w:tcPr>
            <w:tcW w:w="2265" w:type="dxa"/>
          </w:tcPr>
          <w:p w:rsidR="0055491A" w:rsidRPr="007F4706" w:rsidRDefault="0055491A" w:rsidP="00210BF6">
            <w:pPr>
              <w:autoSpaceDE w:val="0"/>
              <w:autoSpaceDN w:val="0"/>
              <w:adjustRightInd w:val="0"/>
              <w:jc w:val="center"/>
              <w:rPr>
                <w:rFonts w:ascii="Times New Roman" w:hAnsi="Times New Roman"/>
                <w:bCs/>
                <w:sz w:val="28"/>
                <w:szCs w:val="28"/>
              </w:rPr>
            </w:pPr>
            <w:r w:rsidRPr="007F4706">
              <w:rPr>
                <w:rFonts w:ascii="Times New Roman" w:hAnsi="Times New Roman"/>
                <w:bCs/>
                <w:sz w:val="28"/>
                <w:szCs w:val="28"/>
              </w:rPr>
              <w:t>12.3.1.ч.5</w:t>
            </w:r>
          </w:p>
        </w:tc>
        <w:tc>
          <w:tcPr>
            <w:tcW w:w="2295" w:type="dxa"/>
          </w:tcPr>
          <w:p w:rsidR="0055491A" w:rsidRPr="007F4706" w:rsidRDefault="0055491A" w:rsidP="00210BF6">
            <w:pPr>
              <w:autoSpaceDE w:val="0"/>
              <w:autoSpaceDN w:val="0"/>
              <w:adjustRightInd w:val="0"/>
              <w:jc w:val="center"/>
              <w:rPr>
                <w:rFonts w:ascii="Times New Roman" w:hAnsi="Times New Roman"/>
                <w:bCs/>
                <w:sz w:val="28"/>
                <w:szCs w:val="28"/>
              </w:rPr>
            </w:pPr>
            <w:r w:rsidRPr="007F4706">
              <w:rPr>
                <w:rFonts w:ascii="Times New Roman" w:hAnsi="Times New Roman"/>
                <w:bCs/>
                <w:sz w:val="28"/>
                <w:szCs w:val="28"/>
              </w:rPr>
              <w:t>1</w:t>
            </w:r>
            <w:r>
              <w:rPr>
                <w:rFonts w:ascii="Times New Roman" w:hAnsi="Times New Roman"/>
                <w:bCs/>
                <w:sz w:val="28"/>
                <w:szCs w:val="28"/>
              </w:rPr>
              <w:t>1</w:t>
            </w:r>
          </w:p>
        </w:tc>
        <w:tc>
          <w:tcPr>
            <w:tcW w:w="2292" w:type="dxa"/>
          </w:tcPr>
          <w:p w:rsidR="0055491A" w:rsidRPr="007F4706" w:rsidRDefault="0055491A" w:rsidP="00210BF6">
            <w:pPr>
              <w:autoSpaceDE w:val="0"/>
              <w:autoSpaceDN w:val="0"/>
              <w:adjustRightInd w:val="0"/>
              <w:jc w:val="center"/>
              <w:rPr>
                <w:rFonts w:ascii="Times New Roman" w:hAnsi="Times New Roman"/>
                <w:bCs/>
                <w:sz w:val="28"/>
                <w:szCs w:val="28"/>
              </w:rPr>
            </w:pPr>
            <w:r w:rsidRPr="007F4706">
              <w:rPr>
                <w:rFonts w:ascii="Times New Roman" w:hAnsi="Times New Roman"/>
                <w:bCs/>
                <w:sz w:val="28"/>
                <w:szCs w:val="28"/>
              </w:rPr>
              <w:t>30</w:t>
            </w:r>
          </w:p>
        </w:tc>
        <w:tc>
          <w:tcPr>
            <w:tcW w:w="2292" w:type="dxa"/>
          </w:tcPr>
          <w:p w:rsidR="0055491A" w:rsidRPr="007F4706" w:rsidRDefault="0055491A" w:rsidP="00210BF6">
            <w:pPr>
              <w:autoSpaceDE w:val="0"/>
              <w:autoSpaceDN w:val="0"/>
              <w:adjustRightInd w:val="0"/>
              <w:jc w:val="center"/>
              <w:rPr>
                <w:rFonts w:ascii="Times New Roman" w:hAnsi="Times New Roman"/>
                <w:bCs/>
                <w:sz w:val="28"/>
                <w:szCs w:val="28"/>
              </w:rPr>
            </w:pPr>
            <w:r w:rsidRPr="007F4706">
              <w:rPr>
                <w:rFonts w:ascii="Times New Roman" w:hAnsi="Times New Roman"/>
                <w:bCs/>
                <w:sz w:val="28"/>
                <w:szCs w:val="28"/>
              </w:rPr>
              <w:t>3</w:t>
            </w:r>
            <w:r>
              <w:rPr>
                <w:rFonts w:ascii="Times New Roman" w:hAnsi="Times New Roman"/>
                <w:bCs/>
                <w:sz w:val="28"/>
                <w:szCs w:val="28"/>
              </w:rPr>
              <w:t>3</w:t>
            </w:r>
            <w:r w:rsidRPr="007F4706">
              <w:rPr>
                <w:rFonts w:ascii="Times New Roman" w:hAnsi="Times New Roman"/>
                <w:bCs/>
                <w:sz w:val="28"/>
                <w:szCs w:val="28"/>
              </w:rPr>
              <w:t>0</w:t>
            </w:r>
          </w:p>
        </w:tc>
      </w:tr>
      <w:tr w:rsidR="0055491A" w:rsidRPr="007F4706" w:rsidTr="00210BF6">
        <w:trPr>
          <w:trHeight w:val="272"/>
        </w:trPr>
        <w:tc>
          <w:tcPr>
            <w:tcW w:w="2265" w:type="dxa"/>
          </w:tcPr>
          <w:p w:rsidR="0055491A" w:rsidRPr="007F4706" w:rsidRDefault="0055491A" w:rsidP="00210BF6">
            <w:pPr>
              <w:autoSpaceDE w:val="0"/>
              <w:autoSpaceDN w:val="0"/>
              <w:adjustRightInd w:val="0"/>
              <w:jc w:val="center"/>
              <w:rPr>
                <w:rFonts w:ascii="Times New Roman" w:hAnsi="Times New Roman"/>
                <w:bCs/>
                <w:sz w:val="28"/>
                <w:szCs w:val="28"/>
              </w:rPr>
            </w:pPr>
            <w:r w:rsidRPr="007F4706">
              <w:rPr>
                <w:rFonts w:ascii="Times New Roman" w:hAnsi="Times New Roman"/>
                <w:bCs/>
                <w:sz w:val="28"/>
                <w:szCs w:val="28"/>
              </w:rPr>
              <w:t>12.3.1.ч.6</w:t>
            </w:r>
          </w:p>
        </w:tc>
        <w:tc>
          <w:tcPr>
            <w:tcW w:w="2295" w:type="dxa"/>
          </w:tcPr>
          <w:p w:rsidR="0055491A" w:rsidRPr="007F4706" w:rsidRDefault="0055491A" w:rsidP="00210BF6">
            <w:pPr>
              <w:autoSpaceDE w:val="0"/>
              <w:autoSpaceDN w:val="0"/>
              <w:adjustRightInd w:val="0"/>
              <w:jc w:val="center"/>
              <w:rPr>
                <w:rFonts w:ascii="Times New Roman" w:hAnsi="Times New Roman"/>
                <w:bCs/>
                <w:sz w:val="28"/>
                <w:szCs w:val="28"/>
              </w:rPr>
            </w:pPr>
            <w:r w:rsidRPr="007F4706">
              <w:rPr>
                <w:rFonts w:ascii="Times New Roman" w:hAnsi="Times New Roman"/>
                <w:bCs/>
                <w:sz w:val="28"/>
                <w:szCs w:val="28"/>
              </w:rPr>
              <w:t>1</w:t>
            </w:r>
            <w:r>
              <w:rPr>
                <w:rFonts w:ascii="Times New Roman" w:hAnsi="Times New Roman"/>
                <w:bCs/>
                <w:sz w:val="28"/>
                <w:szCs w:val="28"/>
              </w:rPr>
              <w:t>5</w:t>
            </w:r>
          </w:p>
        </w:tc>
        <w:tc>
          <w:tcPr>
            <w:tcW w:w="2292" w:type="dxa"/>
          </w:tcPr>
          <w:p w:rsidR="0055491A" w:rsidRPr="007F4706" w:rsidRDefault="0055491A" w:rsidP="00210BF6">
            <w:pPr>
              <w:autoSpaceDE w:val="0"/>
              <w:autoSpaceDN w:val="0"/>
              <w:adjustRightInd w:val="0"/>
              <w:jc w:val="center"/>
              <w:rPr>
                <w:rFonts w:ascii="Times New Roman" w:hAnsi="Times New Roman"/>
                <w:bCs/>
                <w:sz w:val="28"/>
                <w:szCs w:val="28"/>
              </w:rPr>
            </w:pPr>
            <w:r w:rsidRPr="007F4706">
              <w:rPr>
                <w:rFonts w:ascii="Times New Roman" w:hAnsi="Times New Roman"/>
                <w:bCs/>
                <w:sz w:val="28"/>
                <w:szCs w:val="28"/>
              </w:rPr>
              <w:t>25</w:t>
            </w:r>
          </w:p>
        </w:tc>
        <w:tc>
          <w:tcPr>
            <w:tcW w:w="2292" w:type="dxa"/>
          </w:tcPr>
          <w:p w:rsidR="0055491A" w:rsidRPr="007F4706" w:rsidRDefault="0055491A" w:rsidP="00210BF6">
            <w:pPr>
              <w:autoSpaceDE w:val="0"/>
              <w:autoSpaceDN w:val="0"/>
              <w:adjustRightInd w:val="0"/>
              <w:jc w:val="center"/>
              <w:rPr>
                <w:rFonts w:ascii="Times New Roman" w:hAnsi="Times New Roman"/>
                <w:bCs/>
                <w:sz w:val="28"/>
                <w:szCs w:val="28"/>
              </w:rPr>
            </w:pPr>
            <w:r w:rsidRPr="007F4706">
              <w:rPr>
                <w:rFonts w:ascii="Times New Roman" w:hAnsi="Times New Roman"/>
                <w:bCs/>
                <w:sz w:val="28"/>
                <w:szCs w:val="28"/>
              </w:rPr>
              <w:t>3</w:t>
            </w:r>
            <w:r>
              <w:rPr>
                <w:rFonts w:ascii="Times New Roman" w:hAnsi="Times New Roman"/>
                <w:bCs/>
                <w:sz w:val="28"/>
                <w:szCs w:val="28"/>
              </w:rPr>
              <w:t>75</w:t>
            </w:r>
          </w:p>
        </w:tc>
      </w:tr>
      <w:tr w:rsidR="0055491A" w:rsidRPr="007F4706" w:rsidTr="00210BF6">
        <w:trPr>
          <w:trHeight w:val="272"/>
        </w:trPr>
        <w:tc>
          <w:tcPr>
            <w:tcW w:w="2265" w:type="dxa"/>
          </w:tcPr>
          <w:p w:rsidR="0055491A" w:rsidRPr="007F4706" w:rsidRDefault="0055491A" w:rsidP="00210BF6">
            <w:pPr>
              <w:autoSpaceDE w:val="0"/>
              <w:autoSpaceDN w:val="0"/>
              <w:adjustRightInd w:val="0"/>
              <w:jc w:val="center"/>
              <w:rPr>
                <w:rFonts w:ascii="Times New Roman" w:hAnsi="Times New Roman"/>
                <w:bCs/>
                <w:sz w:val="28"/>
                <w:szCs w:val="28"/>
              </w:rPr>
            </w:pPr>
            <w:r w:rsidRPr="007F4706">
              <w:rPr>
                <w:rFonts w:ascii="Times New Roman" w:hAnsi="Times New Roman"/>
                <w:bCs/>
                <w:sz w:val="28"/>
                <w:szCs w:val="28"/>
              </w:rPr>
              <w:t>Итого</w:t>
            </w:r>
          </w:p>
        </w:tc>
        <w:tc>
          <w:tcPr>
            <w:tcW w:w="2295" w:type="dxa"/>
          </w:tcPr>
          <w:p w:rsidR="0055491A" w:rsidRPr="007F4706" w:rsidRDefault="0055491A" w:rsidP="00210BF6">
            <w:pPr>
              <w:autoSpaceDE w:val="0"/>
              <w:autoSpaceDN w:val="0"/>
              <w:adjustRightInd w:val="0"/>
              <w:jc w:val="center"/>
              <w:rPr>
                <w:rFonts w:ascii="Times New Roman" w:hAnsi="Times New Roman"/>
                <w:bCs/>
                <w:sz w:val="28"/>
                <w:szCs w:val="28"/>
              </w:rPr>
            </w:pPr>
          </w:p>
        </w:tc>
        <w:tc>
          <w:tcPr>
            <w:tcW w:w="2292" w:type="dxa"/>
          </w:tcPr>
          <w:p w:rsidR="0055491A" w:rsidRPr="007F4706" w:rsidRDefault="0055491A" w:rsidP="00210BF6">
            <w:pPr>
              <w:autoSpaceDE w:val="0"/>
              <w:autoSpaceDN w:val="0"/>
              <w:adjustRightInd w:val="0"/>
              <w:jc w:val="center"/>
              <w:rPr>
                <w:rFonts w:ascii="Times New Roman" w:hAnsi="Times New Roman"/>
                <w:bCs/>
                <w:sz w:val="28"/>
                <w:szCs w:val="28"/>
              </w:rPr>
            </w:pPr>
          </w:p>
        </w:tc>
        <w:tc>
          <w:tcPr>
            <w:tcW w:w="2292" w:type="dxa"/>
          </w:tcPr>
          <w:p w:rsidR="0055491A" w:rsidRPr="007F4706" w:rsidRDefault="0055491A" w:rsidP="00210BF6">
            <w:pPr>
              <w:autoSpaceDE w:val="0"/>
              <w:autoSpaceDN w:val="0"/>
              <w:adjustRightInd w:val="0"/>
              <w:jc w:val="center"/>
              <w:rPr>
                <w:rFonts w:ascii="Times New Roman" w:hAnsi="Times New Roman"/>
                <w:bCs/>
                <w:sz w:val="28"/>
                <w:szCs w:val="28"/>
              </w:rPr>
            </w:pPr>
            <w:r w:rsidRPr="007F4706">
              <w:rPr>
                <w:rFonts w:ascii="Times New Roman" w:hAnsi="Times New Roman"/>
                <w:bCs/>
                <w:sz w:val="28"/>
                <w:szCs w:val="28"/>
              </w:rPr>
              <w:t>1</w:t>
            </w:r>
            <w:r>
              <w:rPr>
                <w:rFonts w:ascii="Times New Roman" w:hAnsi="Times New Roman"/>
                <w:bCs/>
                <w:sz w:val="28"/>
                <w:szCs w:val="28"/>
              </w:rPr>
              <w:t> 467,</w:t>
            </w:r>
            <w:r w:rsidRPr="007F4706">
              <w:rPr>
                <w:rFonts w:ascii="Times New Roman" w:hAnsi="Times New Roman"/>
                <w:bCs/>
                <w:sz w:val="28"/>
                <w:szCs w:val="28"/>
              </w:rPr>
              <w:t>0</w:t>
            </w:r>
          </w:p>
        </w:tc>
      </w:tr>
      <w:tr w:rsidR="0055491A" w:rsidRPr="007F4706" w:rsidTr="00210BF6">
        <w:trPr>
          <w:trHeight w:val="272"/>
        </w:trPr>
        <w:tc>
          <w:tcPr>
            <w:tcW w:w="2265" w:type="dxa"/>
          </w:tcPr>
          <w:p w:rsidR="0055491A" w:rsidRPr="002211D4" w:rsidRDefault="0055491A" w:rsidP="00210BF6">
            <w:pPr>
              <w:autoSpaceDE w:val="0"/>
              <w:autoSpaceDN w:val="0"/>
              <w:adjustRightInd w:val="0"/>
              <w:jc w:val="center"/>
              <w:rPr>
                <w:rFonts w:ascii="Times New Roman" w:hAnsi="Times New Roman"/>
                <w:b/>
                <w:bCs/>
                <w:sz w:val="28"/>
                <w:szCs w:val="28"/>
              </w:rPr>
            </w:pPr>
            <w:r w:rsidRPr="002211D4">
              <w:rPr>
                <w:rFonts w:ascii="Times New Roman" w:hAnsi="Times New Roman"/>
                <w:b/>
                <w:bCs/>
                <w:sz w:val="28"/>
                <w:szCs w:val="28"/>
              </w:rPr>
              <w:t>Всего</w:t>
            </w:r>
          </w:p>
        </w:tc>
        <w:tc>
          <w:tcPr>
            <w:tcW w:w="2295" w:type="dxa"/>
          </w:tcPr>
          <w:p w:rsidR="0055491A" w:rsidRPr="002211D4" w:rsidRDefault="0055491A" w:rsidP="00210BF6">
            <w:pPr>
              <w:autoSpaceDE w:val="0"/>
              <w:autoSpaceDN w:val="0"/>
              <w:adjustRightInd w:val="0"/>
              <w:jc w:val="center"/>
              <w:rPr>
                <w:rFonts w:ascii="Times New Roman" w:hAnsi="Times New Roman"/>
                <w:b/>
                <w:bCs/>
                <w:sz w:val="28"/>
                <w:szCs w:val="28"/>
              </w:rPr>
            </w:pPr>
          </w:p>
        </w:tc>
        <w:tc>
          <w:tcPr>
            <w:tcW w:w="2292" w:type="dxa"/>
          </w:tcPr>
          <w:p w:rsidR="0055491A" w:rsidRPr="002211D4" w:rsidRDefault="0055491A" w:rsidP="00210BF6">
            <w:pPr>
              <w:autoSpaceDE w:val="0"/>
              <w:autoSpaceDN w:val="0"/>
              <w:adjustRightInd w:val="0"/>
              <w:jc w:val="center"/>
              <w:rPr>
                <w:rFonts w:ascii="Times New Roman" w:hAnsi="Times New Roman"/>
                <w:b/>
                <w:bCs/>
                <w:sz w:val="28"/>
                <w:szCs w:val="28"/>
              </w:rPr>
            </w:pPr>
          </w:p>
        </w:tc>
        <w:tc>
          <w:tcPr>
            <w:tcW w:w="2292" w:type="dxa"/>
          </w:tcPr>
          <w:p w:rsidR="0055491A" w:rsidRPr="002211D4" w:rsidRDefault="0055491A" w:rsidP="00210BF6">
            <w:pPr>
              <w:autoSpaceDE w:val="0"/>
              <w:autoSpaceDN w:val="0"/>
              <w:adjustRightInd w:val="0"/>
              <w:jc w:val="center"/>
              <w:rPr>
                <w:rFonts w:ascii="Times New Roman" w:hAnsi="Times New Roman"/>
                <w:b/>
                <w:bCs/>
                <w:sz w:val="28"/>
                <w:szCs w:val="28"/>
              </w:rPr>
            </w:pPr>
            <w:r w:rsidRPr="002211D4">
              <w:rPr>
                <w:rFonts w:ascii="Times New Roman" w:hAnsi="Times New Roman"/>
                <w:b/>
                <w:bCs/>
                <w:sz w:val="28"/>
                <w:szCs w:val="28"/>
              </w:rPr>
              <w:t>1 573,0</w:t>
            </w:r>
          </w:p>
        </w:tc>
      </w:tr>
    </w:tbl>
    <w:p w:rsidR="0055491A" w:rsidRDefault="0055491A" w:rsidP="0055491A">
      <w:pPr>
        <w:autoSpaceDE w:val="0"/>
        <w:autoSpaceDN w:val="0"/>
        <w:adjustRightInd w:val="0"/>
        <w:ind w:firstLine="539"/>
        <w:jc w:val="both"/>
        <w:rPr>
          <w:bCs/>
          <w:sz w:val="28"/>
          <w:szCs w:val="28"/>
        </w:rPr>
      </w:pPr>
    </w:p>
    <w:p w:rsidR="0055491A" w:rsidRPr="003A6779" w:rsidRDefault="0055491A" w:rsidP="0055491A">
      <w:pPr>
        <w:autoSpaceDE w:val="0"/>
        <w:autoSpaceDN w:val="0"/>
        <w:adjustRightInd w:val="0"/>
        <w:ind w:firstLine="539"/>
        <w:jc w:val="both"/>
        <w:rPr>
          <w:b/>
          <w:bCs/>
          <w:sz w:val="28"/>
          <w:szCs w:val="28"/>
        </w:rPr>
      </w:pPr>
      <w:r w:rsidRPr="003A6779">
        <w:rPr>
          <w:b/>
          <w:bCs/>
          <w:sz w:val="28"/>
          <w:szCs w:val="28"/>
        </w:rPr>
        <w:t xml:space="preserve">Прогноз 2022 год =Прогноз 2023 год=Прогноз 2024 год=1 573,0 тыс. руб. </w:t>
      </w:r>
    </w:p>
    <w:p w:rsidR="0055491A" w:rsidRPr="003A6779" w:rsidRDefault="0055491A" w:rsidP="0055491A">
      <w:pPr>
        <w:pStyle w:val="a7"/>
        <w:spacing w:after="0"/>
        <w:ind w:left="0" w:firstLine="709"/>
        <w:jc w:val="both"/>
        <w:rPr>
          <w:b/>
          <w:sz w:val="28"/>
          <w:szCs w:val="28"/>
        </w:rPr>
      </w:pPr>
    </w:p>
    <w:p w:rsidR="0055491A" w:rsidRDefault="0055491A" w:rsidP="0055491A">
      <w:pPr>
        <w:pStyle w:val="a7"/>
        <w:spacing w:after="0"/>
        <w:ind w:left="0" w:firstLine="709"/>
        <w:jc w:val="both"/>
        <w:rPr>
          <w:sz w:val="28"/>
          <w:szCs w:val="28"/>
        </w:rPr>
      </w:pPr>
      <w:r>
        <w:rPr>
          <w:sz w:val="28"/>
          <w:szCs w:val="28"/>
        </w:rPr>
        <w:t xml:space="preserve"> </w:t>
      </w:r>
      <w:r w:rsidRPr="00425908">
        <w:rPr>
          <w:color w:val="000000" w:themeColor="text1"/>
          <w:sz w:val="28"/>
          <w:szCs w:val="28"/>
        </w:rPr>
        <w:t>8.</w:t>
      </w:r>
      <w:r>
        <w:rPr>
          <w:color w:val="000000" w:themeColor="text1"/>
          <w:sz w:val="28"/>
          <w:szCs w:val="28"/>
        </w:rPr>
        <w:t>2</w:t>
      </w:r>
      <w:r w:rsidRPr="00425908">
        <w:rPr>
          <w:color w:val="000000" w:themeColor="text1"/>
          <w:sz w:val="28"/>
          <w:szCs w:val="28"/>
        </w:rPr>
        <w:t xml:space="preserve">. </w:t>
      </w:r>
      <w:r w:rsidRPr="00B4244C">
        <w:rPr>
          <w:b/>
          <w:color w:val="000000" w:themeColor="text1"/>
          <w:sz w:val="28"/>
          <w:szCs w:val="28"/>
        </w:rPr>
        <w:t xml:space="preserve">КБК 187 1 16 01121 01 0000 140 </w:t>
      </w:r>
      <w:r w:rsidRPr="00425908">
        <w:rPr>
          <w:color w:val="000000" w:themeColor="text1"/>
          <w:sz w:val="28"/>
          <w:szCs w:val="28"/>
        </w:rPr>
        <w:t xml:space="preserve">Административные штрафы, установленные Главой 12 Кодекса Российской </w:t>
      </w:r>
      <w:r w:rsidRPr="004251CD">
        <w:rPr>
          <w:sz w:val="28"/>
          <w:szCs w:val="28"/>
        </w:rPr>
        <w:t>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w:t>
      </w:r>
      <w:r>
        <w:rPr>
          <w:sz w:val="28"/>
          <w:szCs w:val="28"/>
        </w:rPr>
        <w:t xml:space="preserve">. </w:t>
      </w:r>
    </w:p>
    <w:p w:rsidR="0055491A" w:rsidRPr="00B4244C" w:rsidRDefault="0055491A" w:rsidP="0055491A">
      <w:pPr>
        <w:autoSpaceDE w:val="0"/>
        <w:autoSpaceDN w:val="0"/>
        <w:adjustRightInd w:val="0"/>
        <w:ind w:firstLine="540"/>
        <w:jc w:val="both"/>
        <w:rPr>
          <w:b/>
          <w:sz w:val="28"/>
          <w:szCs w:val="28"/>
        </w:rPr>
      </w:pPr>
      <w:r w:rsidRPr="00B4244C">
        <w:rPr>
          <w:b/>
          <w:sz w:val="28"/>
          <w:szCs w:val="28"/>
        </w:rPr>
        <w:t>Главный администратор доходов – Министерство обороны Российской Федерации (Федеральное казенное учреждение «Управление финансового обеспечения Министерства обороны Российской Федерации по Тверской области».</w:t>
      </w:r>
    </w:p>
    <w:p w:rsidR="0055491A" w:rsidRPr="006168BC" w:rsidRDefault="0055491A" w:rsidP="0055491A">
      <w:pPr>
        <w:pStyle w:val="a7"/>
        <w:spacing w:after="0"/>
        <w:ind w:left="0" w:firstLine="709"/>
        <w:jc w:val="both"/>
        <w:rPr>
          <w:sz w:val="28"/>
          <w:szCs w:val="28"/>
        </w:rPr>
      </w:pPr>
      <w:r w:rsidRPr="006168BC">
        <w:rPr>
          <w:sz w:val="28"/>
          <w:szCs w:val="28"/>
        </w:rPr>
        <w:t>Расчет произведен в соответствии с методикой, утвержденной приказом начальника Управление финансового обеспечения Министерства обороны Российской Федерации по Тверской области от 05.09.2016 № 201 «Об утверждении методики прогнозирования поступлений доходов бюджетов субъектов Российской Федерации»</w:t>
      </w:r>
      <w:r>
        <w:rPr>
          <w:sz w:val="28"/>
          <w:szCs w:val="28"/>
        </w:rPr>
        <w:t xml:space="preserve"> (с учетом изменений от 28.06.2019)</w:t>
      </w:r>
      <w:r w:rsidRPr="006168BC">
        <w:rPr>
          <w:sz w:val="28"/>
          <w:szCs w:val="28"/>
        </w:rPr>
        <w:t>.</w:t>
      </w:r>
    </w:p>
    <w:p w:rsidR="0055491A" w:rsidRDefault="0055491A" w:rsidP="0055491A">
      <w:pPr>
        <w:pStyle w:val="a7"/>
        <w:spacing w:after="0"/>
        <w:ind w:left="0" w:firstLine="709"/>
        <w:jc w:val="both"/>
        <w:rPr>
          <w:sz w:val="28"/>
          <w:szCs w:val="28"/>
        </w:rPr>
      </w:pPr>
      <w:r w:rsidRPr="006168BC">
        <w:rPr>
          <w:sz w:val="28"/>
          <w:szCs w:val="28"/>
        </w:rPr>
        <w:t>Прогноз на 20</w:t>
      </w:r>
      <w:r>
        <w:rPr>
          <w:sz w:val="28"/>
          <w:szCs w:val="28"/>
        </w:rPr>
        <w:t xml:space="preserve">22 </w:t>
      </w:r>
      <w:r w:rsidRPr="006168BC">
        <w:rPr>
          <w:sz w:val="28"/>
          <w:szCs w:val="28"/>
        </w:rPr>
        <w:t>год рассчитан методом усреднения, исходя из поступлений за 201</w:t>
      </w:r>
      <w:r>
        <w:rPr>
          <w:sz w:val="28"/>
          <w:szCs w:val="28"/>
        </w:rPr>
        <w:t xml:space="preserve">9 </w:t>
      </w:r>
      <w:r w:rsidRPr="006168BC">
        <w:rPr>
          <w:sz w:val="28"/>
          <w:szCs w:val="28"/>
        </w:rPr>
        <w:t>год, за 20</w:t>
      </w:r>
      <w:r>
        <w:rPr>
          <w:sz w:val="28"/>
          <w:szCs w:val="28"/>
        </w:rPr>
        <w:t>20</w:t>
      </w:r>
      <w:r w:rsidRPr="006168BC">
        <w:rPr>
          <w:sz w:val="28"/>
          <w:szCs w:val="28"/>
        </w:rPr>
        <w:t xml:space="preserve"> год и ожидаемой оценки на 20</w:t>
      </w:r>
      <w:r>
        <w:rPr>
          <w:sz w:val="28"/>
          <w:szCs w:val="28"/>
        </w:rPr>
        <w:t>21</w:t>
      </w:r>
      <w:r w:rsidRPr="006168BC">
        <w:rPr>
          <w:sz w:val="28"/>
          <w:szCs w:val="28"/>
        </w:rPr>
        <w:t xml:space="preserve"> год. </w:t>
      </w:r>
    </w:p>
    <w:p w:rsidR="0055491A" w:rsidRPr="006168BC" w:rsidRDefault="0055491A" w:rsidP="0055491A">
      <w:pPr>
        <w:pStyle w:val="a7"/>
        <w:spacing w:after="0"/>
        <w:ind w:left="0" w:firstLine="709"/>
        <w:jc w:val="both"/>
        <w:rPr>
          <w:sz w:val="28"/>
          <w:szCs w:val="28"/>
        </w:rPr>
      </w:pPr>
      <w:r>
        <w:rPr>
          <w:sz w:val="28"/>
          <w:szCs w:val="28"/>
        </w:rPr>
        <w:t>Фактические поступления 2019 год – 165,8 тыс. руб., 2020 год                     212,4 тыс. руб.</w:t>
      </w:r>
    </w:p>
    <w:p w:rsidR="0055491A" w:rsidRPr="006168BC" w:rsidRDefault="0055491A" w:rsidP="0055491A">
      <w:pPr>
        <w:pStyle w:val="a7"/>
        <w:spacing w:after="0"/>
        <w:ind w:left="0" w:firstLine="709"/>
        <w:jc w:val="both"/>
        <w:rPr>
          <w:sz w:val="28"/>
          <w:szCs w:val="28"/>
        </w:rPr>
      </w:pPr>
      <w:r w:rsidRPr="006168BC">
        <w:rPr>
          <w:sz w:val="28"/>
          <w:szCs w:val="28"/>
        </w:rPr>
        <w:t>Ожидаемая оценка на 20</w:t>
      </w:r>
      <w:r>
        <w:rPr>
          <w:sz w:val="28"/>
          <w:szCs w:val="28"/>
        </w:rPr>
        <w:t>21</w:t>
      </w:r>
      <w:r w:rsidRPr="006168BC">
        <w:rPr>
          <w:sz w:val="28"/>
          <w:szCs w:val="28"/>
        </w:rPr>
        <w:t xml:space="preserve"> год рассчитывается </w:t>
      </w:r>
      <w:r>
        <w:rPr>
          <w:sz w:val="28"/>
          <w:szCs w:val="28"/>
        </w:rPr>
        <w:t>с учетом</w:t>
      </w:r>
      <w:r w:rsidRPr="006168BC">
        <w:rPr>
          <w:sz w:val="28"/>
          <w:szCs w:val="28"/>
        </w:rPr>
        <w:t xml:space="preserve"> </w:t>
      </w:r>
      <w:r>
        <w:rPr>
          <w:sz w:val="28"/>
          <w:szCs w:val="28"/>
        </w:rPr>
        <w:t xml:space="preserve">фактических поступлений на 01.06.2021, </w:t>
      </w:r>
      <w:r w:rsidRPr="006168BC">
        <w:rPr>
          <w:sz w:val="28"/>
          <w:szCs w:val="28"/>
        </w:rPr>
        <w:t>средне</w:t>
      </w:r>
      <w:r>
        <w:rPr>
          <w:sz w:val="28"/>
          <w:szCs w:val="28"/>
        </w:rPr>
        <w:t>го</w:t>
      </w:r>
      <w:r w:rsidRPr="006168BC">
        <w:rPr>
          <w:sz w:val="28"/>
          <w:szCs w:val="28"/>
        </w:rPr>
        <w:t xml:space="preserve"> количества </w:t>
      </w:r>
      <w:r>
        <w:rPr>
          <w:sz w:val="28"/>
          <w:szCs w:val="28"/>
        </w:rPr>
        <w:t>уплаченных</w:t>
      </w:r>
      <w:r w:rsidRPr="006168BC">
        <w:rPr>
          <w:sz w:val="28"/>
          <w:szCs w:val="28"/>
        </w:rPr>
        <w:t xml:space="preserve"> штрафов </w:t>
      </w:r>
      <w:r>
        <w:rPr>
          <w:sz w:val="28"/>
          <w:szCs w:val="28"/>
        </w:rPr>
        <w:t>в месяц и</w:t>
      </w:r>
      <w:r w:rsidRPr="006168BC">
        <w:rPr>
          <w:sz w:val="28"/>
          <w:szCs w:val="28"/>
        </w:rPr>
        <w:t xml:space="preserve"> средн</w:t>
      </w:r>
      <w:r>
        <w:rPr>
          <w:sz w:val="28"/>
          <w:szCs w:val="28"/>
        </w:rPr>
        <w:t>ей</w:t>
      </w:r>
      <w:r w:rsidRPr="006168BC">
        <w:rPr>
          <w:sz w:val="28"/>
          <w:szCs w:val="28"/>
        </w:rPr>
        <w:t xml:space="preserve"> сумм</w:t>
      </w:r>
      <w:r>
        <w:rPr>
          <w:sz w:val="28"/>
          <w:szCs w:val="28"/>
        </w:rPr>
        <w:t xml:space="preserve">ы </w:t>
      </w:r>
      <w:r w:rsidRPr="006168BC">
        <w:rPr>
          <w:sz w:val="28"/>
          <w:szCs w:val="28"/>
        </w:rPr>
        <w:t>штрафа.</w:t>
      </w:r>
    </w:p>
    <w:p w:rsidR="0055491A" w:rsidRPr="006168BC" w:rsidRDefault="0055491A" w:rsidP="0055491A">
      <w:pPr>
        <w:pStyle w:val="a7"/>
        <w:spacing w:after="0"/>
        <w:ind w:left="0" w:firstLine="709"/>
        <w:jc w:val="both"/>
        <w:rPr>
          <w:sz w:val="28"/>
          <w:szCs w:val="28"/>
        </w:rPr>
      </w:pPr>
      <w:r w:rsidRPr="006168BC">
        <w:rPr>
          <w:sz w:val="28"/>
          <w:szCs w:val="28"/>
        </w:rPr>
        <w:lastRenderedPageBreak/>
        <w:t xml:space="preserve">Сумма </w:t>
      </w:r>
      <w:r>
        <w:rPr>
          <w:sz w:val="28"/>
          <w:szCs w:val="28"/>
        </w:rPr>
        <w:t>фактически полученных штрафов</w:t>
      </w:r>
      <w:r w:rsidRPr="006168BC">
        <w:rPr>
          <w:sz w:val="28"/>
          <w:szCs w:val="28"/>
        </w:rPr>
        <w:t xml:space="preserve"> на </w:t>
      </w:r>
      <w:r>
        <w:rPr>
          <w:sz w:val="28"/>
          <w:szCs w:val="28"/>
        </w:rPr>
        <w:t>01</w:t>
      </w:r>
      <w:r w:rsidRPr="006168BC">
        <w:rPr>
          <w:sz w:val="28"/>
          <w:szCs w:val="28"/>
        </w:rPr>
        <w:t>.06.20</w:t>
      </w:r>
      <w:r>
        <w:rPr>
          <w:sz w:val="28"/>
          <w:szCs w:val="28"/>
        </w:rPr>
        <w:t>21</w:t>
      </w:r>
      <w:r w:rsidRPr="006168BC">
        <w:rPr>
          <w:sz w:val="28"/>
          <w:szCs w:val="28"/>
        </w:rPr>
        <w:t xml:space="preserve"> = </w:t>
      </w:r>
      <w:r>
        <w:rPr>
          <w:sz w:val="28"/>
          <w:szCs w:val="28"/>
        </w:rPr>
        <w:t>62,5</w:t>
      </w:r>
      <w:r w:rsidRPr="006168BC">
        <w:rPr>
          <w:sz w:val="28"/>
          <w:szCs w:val="28"/>
        </w:rPr>
        <w:t xml:space="preserve"> тыс. руб.</w:t>
      </w:r>
    </w:p>
    <w:p w:rsidR="0055491A" w:rsidRPr="006168BC" w:rsidRDefault="0055491A" w:rsidP="0055491A">
      <w:pPr>
        <w:pStyle w:val="a7"/>
        <w:spacing w:after="0"/>
        <w:ind w:left="0" w:firstLine="709"/>
        <w:jc w:val="both"/>
        <w:rPr>
          <w:sz w:val="28"/>
          <w:szCs w:val="28"/>
        </w:rPr>
      </w:pPr>
      <w:r>
        <w:rPr>
          <w:sz w:val="28"/>
          <w:szCs w:val="28"/>
        </w:rPr>
        <w:t>Количество уплаченных штрафов</w:t>
      </w:r>
      <w:r w:rsidRPr="006168BC">
        <w:rPr>
          <w:sz w:val="28"/>
          <w:szCs w:val="28"/>
        </w:rPr>
        <w:t xml:space="preserve"> на </w:t>
      </w:r>
      <w:r>
        <w:rPr>
          <w:sz w:val="28"/>
          <w:szCs w:val="28"/>
        </w:rPr>
        <w:t>01</w:t>
      </w:r>
      <w:r w:rsidRPr="006168BC">
        <w:rPr>
          <w:sz w:val="28"/>
          <w:szCs w:val="28"/>
        </w:rPr>
        <w:t>.06.20</w:t>
      </w:r>
      <w:r>
        <w:rPr>
          <w:sz w:val="28"/>
          <w:szCs w:val="28"/>
        </w:rPr>
        <w:t>21</w:t>
      </w:r>
      <w:r w:rsidRPr="006168BC">
        <w:rPr>
          <w:sz w:val="28"/>
          <w:szCs w:val="28"/>
        </w:rPr>
        <w:t xml:space="preserve"> – </w:t>
      </w:r>
      <w:r>
        <w:rPr>
          <w:sz w:val="28"/>
          <w:szCs w:val="28"/>
        </w:rPr>
        <w:t>94 ед.</w:t>
      </w:r>
    </w:p>
    <w:p w:rsidR="0055491A" w:rsidRPr="006168BC" w:rsidRDefault="0055491A" w:rsidP="0055491A">
      <w:pPr>
        <w:pStyle w:val="a7"/>
        <w:spacing w:after="0"/>
        <w:ind w:left="0" w:firstLine="709"/>
        <w:jc w:val="both"/>
        <w:rPr>
          <w:sz w:val="28"/>
          <w:szCs w:val="28"/>
        </w:rPr>
      </w:pPr>
      <w:r w:rsidRPr="006168BC">
        <w:rPr>
          <w:sz w:val="28"/>
          <w:szCs w:val="28"/>
        </w:rPr>
        <w:t xml:space="preserve">Средняя сумма штрафа = </w:t>
      </w:r>
      <w:r>
        <w:rPr>
          <w:sz w:val="28"/>
          <w:szCs w:val="28"/>
        </w:rPr>
        <w:t>62,5 тыс. руб./94 ед.</w:t>
      </w:r>
      <w:r w:rsidRPr="006168BC">
        <w:rPr>
          <w:sz w:val="28"/>
          <w:szCs w:val="28"/>
        </w:rPr>
        <w:t xml:space="preserve"> = </w:t>
      </w:r>
      <w:r>
        <w:rPr>
          <w:sz w:val="28"/>
          <w:szCs w:val="28"/>
        </w:rPr>
        <w:t>0,7</w:t>
      </w:r>
      <w:r w:rsidRPr="006168BC">
        <w:rPr>
          <w:sz w:val="28"/>
          <w:szCs w:val="28"/>
        </w:rPr>
        <w:t xml:space="preserve"> тыс. руб. </w:t>
      </w:r>
    </w:p>
    <w:p w:rsidR="0055491A" w:rsidRPr="006168BC" w:rsidRDefault="0055491A" w:rsidP="0055491A">
      <w:pPr>
        <w:pStyle w:val="a7"/>
        <w:spacing w:after="0"/>
        <w:ind w:left="0" w:firstLine="709"/>
        <w:jc w:val="both"/>
        <w:rPr>
          <w:sz w:val="28"/>
          <w:szCs w:val="28"/>
        </w:rPr>
      </w:pPr>
      <w:r>
        <w:rPr>
          <w:sz w:val="28"/>
          <w:szCs w:val="28"/>
        </w:rPr>
        <w:t>Среднее количество уплаченных</w:t>
      </w:r>
      <w:r w:rsidRPr="006168BC">
        <w:rPr>
          <w:sz w:val="28"/>
          <w:szCs w:val="28"/>
        </w:rPr>
        <w:t xml:space="preserve"> штрафов в месяц = </w:t>
      </w:r>
      <w:r>
        <w:rPr>
          <w:sz w:val="28"/>
          <w:szCs w:val="28"/>
        </w:rPr>
        <w:t>62,5 тыс. руб.</w:t>
      </w:r>
      <w:r w:rsidRPr="006168BC">
        <w:rPr>
          <w:sz w:val="28"/>
          <w:szCs w:val="28"/>
        </w:rPr>
        <w:t>/</w:t>
      </w:r>
      <w:r>
        <w:rPr>
          <w:sz w:val="28"/>
          <w:szCs w:val="28"/>
        </w:rPr>
        <w:t xml:space="preserve">                    0,7 тыс. руб.</w:t>
      </w:r>
      <w:r w:rsidRPr="006168BC">
        <w:rPr>
          <w:sz w:val="28"/>
          <w:szCs w:val="28"/>
        </w:rPr>
        <w:t>)/</w:t>
      </w:r>
      <w:r>
        <w:rPr>
          <w:sz w:val="28"/>
          <w:szCs w:val="28"/>
        </w:rPr>
        <w:t>5мес.</w:t>
      </w:r>
      <w:r w:rsidRPr="006168BC">
        <w:rPr>
          <w:sz w:val="28"/>
          <w:szCs w:val="28"/>
        </w:rPr>
        <w:t xml:space="preserve"> = </w:t>
      </w:r>
      <w:r>
        <w:rPr>
          <w:sz w:val="28"/>
          <w:szCs w:val="28"/>
        </w:rPr>
        <w:t>18</w:t>
      </w:r>
      <w:r w:rsidRPr="006168BC">
        <w:rPr>
          <w:sz w:val="28"/>
          <w:szCs w:val="28"/>
        </w:rPr>
        <w:t xml:space="preserve"> </w:t>
      </w:r>
      <w:r>
        <w:rPr>
          <w:sz w:val="28"/>
          <w:szCs w:val="28"/>
        </w:rPr>
        <w:t>ед.</w:t>
      </w:r>
    </w:p>
    <w:p w:rsidR="0055491A" w:rsidRPr="006168BC" w:rsidRDefault="0055491A" w:rsidP="0055491A">
      <w:pPr>
        <w:pStyle w:val="a7"/>
        <w:spacing w:after="0"/>
        <w:ind w:left="0" w:firstLine="709"/>
        <w:rPr>
          <w:sz w:val="28"/>
          <w:szCs w:val="28"/>
        </w:rPr>
      </w:pPr>
      <w:r w:rsidRPr="006168BC">
        <w:rPr>
          <w:sz w:val="28"/>
          <w:szCs w:val="28"/>
        </w:rPr>
        <w:t>Ожидаемая оценка на 20</w:t>
      </w:r>
      <w:r>
        <w:rPr>
          <w:sz w:val="28"/>
          <w:szCs w:val="28"/>
        </w:rPr>
        <w:t>21</w:t>
      </w:r>
      <w:r w:rsidRPr="006168BC">
        <w:rPr>
          <w:sz w:val="28"/>
          <w:szCs w:val="28"/>
        </w:rPr>
        <w:t xml:space="preserve"> год = </w:t>
      </w:r>
      <w:r>
        <w:rPr>
          <w:sz w:val="28"/>
          <w:szCs w:val="28"/>
        </w:rPr>
        <w:t>18 ед.</w:t>
      </w:r>
      <w:r w:rsidRPr="006168BC">
        <w:rPr>
          <w:sz w:val="28"/>
          <w:szCs w:val="28"/>
        </w:rPr>
        <w:t>*</w:t>
      </w:r>
      <w:r>
        <w:rPr>
          <w:sz w:val="28"/>
          <w:szCs w:val="28"/>
        </w:rPr>
        <w:t>0,7 тыс. руб.</w:t>
      </w:r>
      <w:r w:rsidRPr="006168BC">
        <w:rPr>
          <w:sz w:val="28"/>
          <w:szCs w:val="28"/>
        </w:rPr>
        <w:t>*12</w:t>
      </w:r>
      <w:r>
        <w:rPr>
          <w:sz w:val="28"/>
          <w:szCs w:val="28"/>
        </w:rPr>
        <w:t xml:space="preserve"> мес.</w:t>
      </w:r>
      <w:r w:rsidRPr="006168BC">
        <w:rPr>
          <w:sz w:val="28"/>
          <w:szCs w:val="28"/>
        </w:rPr>
        <w:t xml:space="preserve"> = </w:t>
      </w:r>
      <w:r>
        <w:rPr>
          <w:sz w:val="28"/>
          <w:szCs w:val="28"/>
        </w:rPr>
        <w:t xml:space="preserve">                          151,2</w:t>
      </w:r>
      <w:r w:rsidRPr="006168BC">
        <w:rPr>
          <w:sz w:val="28"/>
          <w:szCs w:val="28"/>
        </w:rPr>
        <w:t xml:space="preserve"> тыс. руб.</w:t>
      </w:r>
    </w:p>
    <w:p w:rsidR="0055491A" w:rsidRPr="006168BC" w:rsidRDefault="0055491A" w:rsidP="0055491A">
      <w:pPr>
        <w:pStyle w:val="a7"/>
        <w:spacing w:after="0"/>
        <w:ind w:left="0" w:firstLine="709"/>
        <w:jc w:val="both"/>
        <w:rPr>
          <w:sz w:val="28"/>
          <w:szCs w:val="28"/>
        </w:rPr>
      </w:pPr>
      <w:r w:rsidRPr="00B4244C">
        <w:rPr>
          <w:b/>
          <w:sz w:val="28"/>
          <w:szCs w:val="28"/>
        </w:rPr>
        <w:t xml:space="preserve">Расчет прогноза на 2022 год </w:t>
      </w:r>
      <w:r w:rsidRPr="006168BC">
        <w:rPr>
          <w:sz w:val="28"/>
          <w:szCs w:val="28"/>
        </w:rPr>
        <w:t>= (</w:t>
      </w:r>
      <w:r>
        <w:rPr>
          <w:sz w:val="28"/>
          <w:szCs w:val="28"/>
        </w:rPr>
        <w:t>165,8+212,4+151,2</w:t>
      </w:r>
      <w:r w:rsidRPr="006168BC">
        <w:rPr>
          <w:sz w:val="28"/>
          <w:szCs w:val="28"/>
        </w:rPr>
        <w:t>)/</w:t>
      </w:r>
      <w:r>
        <w:rPr>
          <w:sz w:val="28"/>
          <w:szCs w:val="28"/>
        </w:rPr>
        <w:t>3</w:t>
      </w:r>
      <w:r w:rsidRPr="006168BC">
        <w:rPr>
          <w:sz w:val="28"/>
          <w:szCs w:val="28"/>
        </w:rPr>
        <w:t xml:space="preserve"> = </w:t>
      </w:r>
      <w:r w:rsidRPr="00B4244C">
        <w:rPr>
          <w:b/>
          <w:sz w:val="28"/>
          <w:szCs w:val="28"/>
        </w:rPr>
        <w:t>176,5 тыс. руб.</w:t>
      </w:r>
    </w:p>
    <w:p w:rsidR="0055491A" w:rsidRPr="006168BC" w:rsidRDefault="0055491A" w:rsidP="0055491A">
      <w:pPr>
        <w:pStyle w:val="a7"/>
        <w:spacing w:after="0"/>
        <w:ind w:left="0" w:firstLine="709"/>
        <w:jc w:val="both"/>
        <w:rPr>
          <w:sz w:val="28"/>
          <w:szCs w:val="28"/>
        </w:rPr>
      </w:pPr>
      <w:r w:rsidRPr="00B4244C">
        <w:rPr>
          <w:b/>
          <w:sz w:val="28"/>
          <w:szCs w:val="28"/>
        </w:rPr>
        <w:t>Расчет прогноза на 2023 год =</w:t>
      </w:r>
      <w:r w:rsidRPr="006168BC">
        <w:rPr>
          <w:sz w:val="28"/>
          <w:szCs w:val="28"/>
        </w:rPr>
        <w:t xml:space="preserve"> (</w:t>
      </w:r>
      <w:r>
        <w:rPr>
          <w:sz w:val="28"/>
          <w:szCs w:val="28"/>
        </w:rPr>
        <w:t>212,4+151,2+176,5</w:t>
      </w:r>
      <w:r w:rsidRPr="006168BC">
        <w:rPr>
          <w:sz w:val="28"/>
          <w:szCs w:val="28"/>
        </w:rPr>
        <w:t>)/</w:t>
      </w:r>
      <w:r>
        <w:rPr>
          <w:sz w:val="28"/>
          <w:szCs w:val="28"/>
        </w:rPr>
        <w:t>3</w:t>
      </w:r>
      <w:r w:rsidRPr="006168BC">
        <w:rPr>
          <w:sz w:val="28"/>
          <w:szCs w:val="28"/>
        </w:rPr>
        <w:t xml:space="preserve"> = </w:t>
      </w:r>
      <w:r w:rsidRPr="00B4244C">
        <w:rPr>
          <w:b/>
          <w:sz w:val="28"/>
          <w:szCs w:val="28"/>
        </w:rPr>
        <w:t>180,0 тыс. руб</w:t>
      </w:r>
      <w:r w:rsidRPr="006168BC">
        <w:rPr>
          <w:sz w:val="28"/>
          <w:szCs w:val="28"/>
        </w:rPr>
        <w:t>.</w:t>
      </w:r>
    </w:p>
    <w:p w:rsidR="0055491A" w:rsidRDefault="0055491A" w:rsidP="0055491A">
      <w:pPr>
        <w:pStyle w:val="a7"/>
        <w:spacing w:after="0"/>
        <w:ind w:left="0" w:firstLine="709"/>
        <w:jc w:val="both"/>
        <w:rPr>
          <w:sz w:val="28"/>
          <w:szCs w:val="28"/>
        </w:rPr>
      </w:pPr>
      <w:r w:rsidRPr="00B4244C">
        <w:rPr>
          <w:b/>
          <w:sz w:val="28"/>
          <w:szCs w:val="28"/>
        </w:rPr>
        <w:t>Расчет прогноза на 2024 год</w:t>
      </w:r>
      <w:r w:rsidRPr="006168BC">
        <w:rPr>
          <w:sz w:val="28"/>
          <w:szCs w:val="28"/>
        </w:rPr>
        <w:t xml:space="preserve"> = (</w:t>
      </w:r>
      <w:r>
        <w:rPr>
          <w:sz w:val="28"/>
          <w:szCs w:val="28"/>
        </w:rPr>
        <w:t>151,2+176,5+180,0</w:t>
      </w:r>
      <w:r w:rsidRPr="006168BC">
        <w:rPr>
          <w:sz w:val="28"/>
          <w:szCs w:val="28"/>
        </w:rPr>
        <w:t>)/</w:t>
      </w:r>
      <w:r>
        <w:rPr>
          <w:sz w:val="28"/>
          <w:szCs w:val="28"/>
        </w:rPr>
        <w:t>3</w:t>
      </w:r>
      <w:r w:rsidRPr="006168BC">
        <w:rPr>
          <w:sz w:val="28"/>
          <w:szCs w:val="28"/>
        </w:rPr>
        <w:t xml:space="preserve"> = </w:t>
      </w:r>
      <w:r w:rsidRPr="00B4244C">
        <w:rPr>
          <w:b/>
          <w:sz w:val="28"/>
          <w:szCs w:val="28"/>
        </w:rPr>
        <w:t>169,2 тыс. руб.</w:t>
      </w:r>
    </w:p>
    <w:p w:rsidR="0055491A" w:rsidRPr="006168BC" w:rsidRDefault="0055491A" w:rsidP="0055491A">
      <w:pPr>
        <w:pStyle w:val="a7"/>
        <w:spacing w:after="0"/>
        <w:ind w:left="0" w:firstLine="709"/>
        <w:jc w:val="both"/>
        <w:rPr>
          <w:sz w:val="28"/>
          <w:szCs w:val="28"/>
        </w:rPr>
      </w:pPr>
    </w:p>
    <w:p w:rsidR="0055491A" w:rsidRDefault="0055491A" w:rsidP="0055491A">
      <w:pPr>
        <w:pStyle w:val="a7"/>
        <w:spacing w:after="0"/>
        <w:ind w:left="0" w:firstLine="709"/>
        <w:jc w:val="both"/>
        <w:rPr>
          <w:sz w:val="28"/>
          <w:szCs w:val="28"/>
        </w:rPr>
      </w:pPr>
      <w:r>
        <w:rPr>
          <w:sz w:val="28"/>
          <w:szCs w:val="28"/>
        </w:rPr>
        <w:t xml:space="preserve">8.3 </w:t>
      </w:r>
      <w:r w:rsidRPr="00387396">
        <w:rPr>
          <w:b/>
          <w:sz w:val="28"/>
          <w:szCs w:val="28"/>
        </w:rPr>
        <w:t>КБК 188 1 16 01121 01 0000 140</w:t>
      </w:r>
      <w:r>
        <w:rPr>
          <w:sz w:val="28"/>
          <w:szCs w:val="28"/>
        </w:rPr>
        <w:t xml:space="preserve"> </w:t>
      </w:r>
      <w:r w:rsidRPr="00601859">
        <w:rPr>
          <w:sz w:val="28"/>
          <w:szCs w:val="28"/>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w:t>
      </w:r>
      <w:r>
        <w:rPr>
          <w:sz w:val="28"/>
          <w:szCs w:val="28"/>
        </w:rPr>
        <w:t>.</w:t>
      </w:r>
    </w:p>
    <w:p w:rsidR="0055491A" w:rsidRPr="00387396" w:rsidRDefault="0055491A" w:rsidP="0055491A">
      <w:pPr>
        <w:pStyle w:val="a7"/>
        <w:spacing w:after="0"/>
        <w:ind w:left="0" w:firstLine="709"/>
        <w:jc w:val="both"/>
        <w:rPr>
          <w:b/>
          <w:sz w:val="28"/>
          <w:szCs w:val="28"/>
        </w:rPr>
      </w:pPr>
      <w:r w:rsidRPr="00387396">
        <w:rPr>
          <w:b/>
          <w:sz w:val="28"/>
          <w:szCs w:val="28"/>
        </w:rPr>
        <w:t>Главный администратор доходов – Министерство внутренних дел Российской Федерации (Управление Министерства внутренних дел России по Тверской области).</w:t>
      </w:r>
    </w:p>
    <w:p w:rsidR="0055491A" w:rsidRDefault="0055491A" w:rsidP="0055491A">
      <w:pPr>
        <w:pStyle w:val="a7"/>
        <w:spacing w:after="0"/>
        <w:ind w:left="0" w:firstLine="709"/>
        <w:jc w:val="both"/>
        <w:rPr>
          <w:sz w:val="28"/>
          <w:szCs w:val="28"/>
        </w:rPr>
      </w:pPr>
      <w:r w:rsidRPr="004F3CE8">
        <w:rPr>
          <w:sz w:val="28"/>
          <w:szCs w:val="28"/>
        </w:rPr>
        <w:t xml:space="preserve">Расчет произведен в соответствии с методикой, </w:t>
      </w:r>
      <w:r>
        <w:rPr>
          <w:sz w:val="28"/>
          <w:szCs w:val="28"/>
        </w:rPr>
        <w:t>утвержденной приказом МВД России от 09.12.2020 № 854 «Об утверждении методики прогнозирования поступлений доходов бюджетной системы Российской Федерации, администрирование которых осуществляет Министерство внутренних дел Российской Федерации».</w:t>
      </w:r>
    </w:p>
    <w:p w:rsidR="0055491A" w:rsidRDefault="0055491A" w:rsidP="0055491A">
      <w:pPr>
        <w:pStyle w:val="a7"/>
        <w:spacing w:after="0"/>
        <w:ind w:left="0" w:firstLine="709"/>
        <w:jc w:val="both"/>
        <w:rPr>
          <w:sz w:val="28"/>
          <w:szCs w:val="28"/>
        </w:rPr>
      </w:pPr>
      <w:r>
        <w:rPr>
          <w:sz w:val="28"/>
          <w:szCs w:val="28"/>
        </w:rPr>
        <w:t>8.3.1 Объем поступлений доходов на очередной финансовый год и плановый период определяется методом прямого расчета по формуле:</w:t>
      </w:r>
    </w:p>
    <w:p w:rsidR="0055491A" w:rsidRDefault="0055491A" w:rsidP="0055491A">
      <w:pPr>
        <w:pStyle w:val="a7"/>
        <w:spacing w:after="0"/>
        <w:ind w:left="0" w:firstLine="709"/>
        <w:jc w:val="both"/>
        <w:rPr>
          <w:sz w:val="28"/>
          <w:szCs w:val="28"/>
        </w:rPr>
      </w:pPr>
    </w:p>
    <w:p w:rsidR="0055491A" w:rsidRDefault="0055491A" w:rsidP="0055491A">
      <w:pPr>
        <w:jc w:val="center"/>
        <w:rPr>
          <w:sz w:val="28"/>
          <w:szCs w:val="28"/>
        </w:rPr>
      </w:pPr>
      <w:r w:rsidRPr="000C7031">
        <w:rPr>
          <w:sz w:val="28"/>
          <w:szCs w:val="28"/>
        </w:rPr>
        <w:t xml:space="preserve">ПП </w:t>
      </w:r>
      <w:r w:rsidRPr="000C7031">
        <w:rPr>
          <w:sz w:val="18"/>
          <w:szCs w:val="18"/>
        </w:rPr>
        <w:t>штраф</w:t>
      </w:r>
      <w:r w:rsidRPr="000C7031">
        <w:rPr>
          <w:sz w:val="28"/>
          <w:szCs w:val="28"/>
        </w:rPr>
        <w:t xml:space="preserve"> = О </w:t>
      </w:r>
      <w:r w:rsidRPr="000C7031">
        <w:rPr>
          <w:sz w:val="18"/>
          <w:szCs w:val="18"/>
        </w:rPr>
        <w:t xml:space="preserve">гр </w:t>
      </w:r>
      <w:r w:rsidRPr="000C7031">
        <w:rPr>
          <w:sz w:val="28"/>
          <w:szCs w:val="28"/>
        </w:rPr>
        <w:t xml:space="preserve"> + О </w:t>
      </w:r>
      <w:r w:rsidRPr="000C7031">
        <w:rPr>
          <w:sz w:val="18"/>
          <w:szCs w:val="18"/>
        </w:rPr>
        <w:t>дл</w:t>
      </w:r>
      <w:r w:rsidRPr="000C7031">
        <w:rPr>
          <w:sz w:val="28"/>
          <w:szCs w:val="28"/>
        </w:rPr>
        <w:t xml:space="preserve">  + О </w:t>
      </w:r>
      <w:r w:rsidRPr="000C7031">
        <w:rPr>
          <w:sz w:val="18"/>
          <w:szCs w:val="18"/>
        </w:rPr>
        <w:t>юрл</w:t>
      </w:r>
      <w:r w:rsidRPr="000C7031">
        <w:rPr>
          <w:sz w:val="28"/>
          <w:szCs w:val="28"/>
        </w:rPr>
        <w:t xml:space="preserve"> </w:t>
      </w:r>
      <w:r w:rsidRPr="0031299C">
        <w:rPr>
          <w:sz w:val="28"/>
          <w:szCs w:val="28"/>
        </w:rPr>
        <w:t>,</w:t>
      </w:r>
    </w:p>
    <w:p w:rsidR="0055491A" w:rsidRDefault="0055491A" w:rsidP="0055491A">
      <w:pPr>
        <w:ind w:firstLine="709"/>
        <w:jc w:val="both"/>
        <w:rPr>
          <w:sz w:val="28"/>
          <w:szCs w:val="28"/>
        </w:rPr>
      </w:pPr>
      <w:r>
        <w:rPr>
          <w:sz w:val="28"/>
          <w:szCs w:val="28"/>
        </w:rPr>
        <w:t xml:space="preserve">Где, </w:t>
      </w:r>
    </w:p>
    <w:p w:rsidR="0055491A" w:rsidRDefault="0055491A" w:rsidP="0055491A">
      <w:pPr>
        <w:ind w:firstLine="709"/>
        <w:jc w:val="both"/>
        <w:rPr>
          <w:sz w:val="28"/>
          <w:szCs w:val="28"/>
        </w:rPr>
      </w:pPr>
      <w:r w:rsidRPr="000C7031">
        <w:rPr>
          <w:sz w:val="28"/>
          <w:szCs w:val="28"/>
        </w:rPr>
        <w:t xml:space="preserve">ПП </w:t>
      </w:r>
      <w:r w:rsidRPr="000C7031">
        <w:rPr>
          <w:sz w:val="18"/>
          <w:szCs w:val="18"/>
        </w:rPr>
        <w:t>штраф</w:t>
      </w:r>
      <w:r>
        <w:rPr>
          <w:sz w:val="18"/>
          <w:szCs w:val="18"/>
        </w:rPr>
        <w:t xml:space="preserve"> – </w:t>
      </w:r>
      <w:r w:rsidRPr="00A875F9">
        <w:rPr>
          <w:sz w:val="28"/>
          <w:szCs w:val="28"/>
        </w:rPr>
        <w:t>прогнозные поступления от денежных взысканий</w:t>
      </w:r>
      <w:r>
        <w:rPr>
          <w:sz w:val="28"/>
          <w:szCs w:val="28"/>
        </w:rPr>
        <w:t xml:space="preserve"> (штрафов);</w:t>
      </w:r>
    </w:p>
    <w:p w:rsidR="0055491A" w:rsidRDefault="0055491A" w:rsidP="0055491A">
      <w:pPr>
        <w:ind w:firstLine="709"/>
        <w:jc w:val="both"/>
        <w:rPr>
          <w:sz w:val="28"/>
          <w:szCs w:val="28"/>
        </w:rPr>
      </w:pPr>
      <w:r w:rsidRPr="000C7031">
        <w:rPr>
          <w:sz w:val="28"/>
          <w:szCs w:val="28"/>
        </w:rPr>
        <w:t xml:space="preserve">О </w:t>
      </w:r>
      <w:r w:rsidRPr="000C7031">
        <w:rPr>
          <w:sz w:val="18"/>
          <w:szCs w:val="18"/>
        </w:rPr>
        <w:t xml:space="preserve">гр </w:t>
      </w:r>
      <w:r w:rsidRPr="000C7031">
        <w:rPr>
          <w:sz w:val="28"/>
          <w:szCs w:val="28"/>
        </w:rPr>
        <w:t xml:space="preserve"> </w:t>
      </w:r>
      <w:r>
        <w:rPr>
          <w:sz w:val="28"/>
          <w:szCs w:val="28"/>
        </w:rPr>
        <w:t xml:space="preserve">- объем поступлений доходов от оплаты административных штрафов, наложенных на граждан, который определяется методом прямого расчета по формуле: </w:t>
      </w:r>
    </w:p>
    <w:p w:rsidR="0055491A" w:rsidRDefault="0055491A" w:rsidP="0055491A">
      <w:pPr>
        <w:jc w:val="center"/>
        <w:rPr>
          <w:sz w:val="18"/>
          <w:szCs w:val="18"/>
        </w:rPr>
      </w:pPr>
      <w:r w:rsidRPr="0031299C">
        <w:rPr>
          <w:sz w:val="28"/>
          <w:szCs w:val="28"/>
        </w:rPr>
        <w:t xml:space="preserve">О </w:t>
      </w:r>
      <w:r w:rsidRPr="0031299C">
        <w:rPr>
          <w:sz w:val="18"/>
          <w:szCs w:val="18"/>
        </w:rPr>
        <w:t>гр</w:t>
      </w:r>
      <w:r w:rsidRPr="0031299C">
        <w:rPr>
          <w:sz w:val="28"/>
          <w:szCs w:val="28"/>
        </w:rPr>
        <w:t xml:space="preserve"> = Р</w:t>
      </w:r>
      <w:r w:rsidRPr="0031299C">
        <w:rPr>
          <w:sz w:val="18"/>
          <w:szCs w:val="18"/>
        </w:rPr>
        <w:t>(гр) платеж/план</w:t>
      </w:r>
      <w:r w:rsidRPr="0031299C">
        <w:rPr>
          <w:sz w:val="28"/>
          <w:szCs w:val="28"/>
        </w:rPr>
        <w:t xml:space="preserve"> * Кол-во </w:t>
      </w:r>
      <w:r w:rsidRPr="0031299C">
        <w:rPr>
          <w:sz w:val="18"/>
          <w:szCs w:val="18"/>
        </w:rPr>
        <w:t>(гр) случае</w:t>
      </w:r>
      <w:r>
        <w:rPr>
          <w:sz w:val="18"/>
          <w:szCs w:val="18"/>
        </w:rPr>
        <w:t>в,</w:t>
      </w:r>
    </w:p>
    <w:p w:rsidR="0055491A" w:rsidRDefault="0055491A" w:rsidP="0055491A">
      <w:pPr>
        <w:ind w:firstLine="709"/>
        <w:jc w:val="both"/>
        <w:rPr>
          <w:sz w:val="28"/>
          <w:szCs w:val="28"/>
        </w:rPr>
      </w:pPr>
      <w:r w:rsidRPr="0031299C">
        <w:rPr>
          <w:sz w:val="28"/>
          <w:szCs w:val="28"/>
        </w:rPr>
        <w:t>Где</w:t>
      </w:r>
      <w:r>
        <w:rPr>
          <w:sz w:val="28"/>
          <w:szCs w:val="28"/>
        </w:rPr>
        <w:t xml:space="preserve"> </w:t>
      </w:r>
    </w:p>
    <w:p w:rsidR="0055491A" w:rsidRPr="0031299C" w:rsidRDefault="0055491A" w:rsidP="0055491A">
      <w:pPr>
        <w:ind w:firstLine="709"/>
        <w:jc w:val="both"/>
        <w:rPr>
          <w:sz w:val="28"/>
          <w:szCs w:val="28"/>
        </w:rPr>
      </w:pPr>
      <w:r w:rsidRPr="0031299C">
        <w:rPr>
          <w:sz w:val="28"/>
          <w:szCs w:val="28"/>
        </w:rPr>
        <w:t>Р</w:t>
      </w:r>
      <w:r w:rsidRPr="0031299C">
        <w:rPr>
          <w:sz w:val="18"/>
          <w:szCs w:val="18"/>
        </w:rPr>
        <w:t>(гр) платеж/план</w:t>
      </w:r>
      <w:r>
        <w:rPr>
          <w:sz w:val="18"/>
          <w:szCs w:val="18"/>
        </w:rPr>
        <w:t xml:space="preserve"> </w:t>
      </w:r>
      <w:r w:rsidRPr="0031299C">
        <w:rPr>
          <w:sz w:val="28"/>
          <w:szCs w:val="28"/>
        </w:rPr>
        <w:t>– средний размер одного платежа</w:t>
      </w:r>
      <w:r>
        <w:rPr>
          <w:sz w:val="28"/>
          <w:szCs w:val="28"/>
        </w:rPr>
        <w:t xml:space="preserve"> </w:t>
      </w:r>
      <w:r w:rsidRPr="0031299C">
        <w:rPr>
          <w:sz w:val="28"/>
          <w:szCs w:val="28"/>
        </w:rPr>
        <w:t>админис</w:t>
      </w:r>
      <w:r>
        <w:rPr>
          <w:sz w:val="28"/>
          <w:szCs w:val="28"/>
        </w:rPr>
        <w:t>тр</w:t>
      </w:r>
      <w:r w:rsidRPr="0031299C">
        <w:rPr>
          <w:sz w:val="28"/>
          <w:szCs w:val="28"/>
        </w:rPr>
        <w:t>ативного штрафа, наложенного на гражданина, за истекший год исходя из объема поступлений по данному источнику и количества наложенных взысканий;</w:t>
      </w:r>
    </w:p>
    <w:p w:rsidR="0055491A" w:rsidRDefault="0055491A" w:rsidP="0055491A">
      <w:pPr>
        <w:ind w:firstLine="709"/>
        <w:jc w:val="both"/>
        <w:rPr>
          <w:sz w:val="28"/>
          <w:szCs w:val="28"/>
        </w:rPr>
      </w:pPr>
      <w:r w:rsidRPr="0031299C">
        <w:rPr>
          <w:sz w:val="28"/>
          <w:szCs w:val="28"/>
        </w:rPr>
        <w:t xml:space="preserve">Кол-во </w:t>
      </w:r>
      <w:r w:rsidRPr="0031299C">
        <w:rPr>
          <w:sz w:val="18"/>
          <w:szCs w:val="18"/>
        </w:rPr>
        <w:t>(гр) случае</w:t>
      </w:r>
      <w:r>
        <w:rPr>
          <w:sz w:val="18"/>
          <w:szCs w:val="18"/>
        </w:rPr>
        <w:t xml:space="preserve">в – </w:t>
      </w:r>
      <w:r w:rsidRPr="0031299C">
        <w:rPr>
          <w:sz w:val="28"/>
          <w:szCs w:val="28"/>
        </w:rPr>
        <w:t xml:space="preserve">прогнозное количество нарушений (усредненное количество годовых объемов правонарушений гражданами </w:t>
      </w:r>
      <w:r>
        <w:rPr>
          <w:sz w:val="28"/>
          <w:szCs w:val="28"/>
        </w:rPr>
        <w:t xml:space="preserve">не менее чем за 3 </w:t>
      </w:r>
      <w:r w:rsidRPr="0031299C">
        <w:rPr>
          <w:sz w:val="28"/>
          <w:szCs w:val="28"/>
        </w:rPr>
        <w:t>года</w:t>
      </w:r>
      <w:r>
        <w:rPr>
          <w:sz w:val="28"/>
          <w:szCs w:val="28"/>
        </w:rPr>
        <w:t>).</w:t>
      </w:r>
    </w:p>
    <w:p w:rsidR="0055491A" w:rsidRDefault="0055491A" w:rsidP="0055491A">
      <w:pPr>
        <w:ind w:firstLine="709"/>
        <w:jc w:val="both"/>
        <w:rPr>
          <w:sz w:val="28"/>
          <w:szCs w:val="28"/>
        </w:rPr>
      </w:pPr>
      <w:r w:rsidRPr="000C7031">
        <w:rPr>
          <w:sz w:val="28"/>
          <w:szCs w:val="28"/>
        </w:rPr>
        <w:t xml:space="preserve">О </w:t>
      </w:r>
      <w:r w:rsidRPr="000C7031">
        <w:rPr>
          <w:sz w:val="18"/>
          <w:szCs w:val="18"/>
        </w:rPr>
        <w:t>дл</w:t>
      </w:r>
      <w:r>
        <w:rPr>
          <w:sz w:val="28"/>
          <w:szCs w:val="28"/>
        </w:rPr>
        <w:t xml:space="preserve"> -</w:t>
      </w:r>
      <w:r w:rsidRPr="0031299C">
        <w:rPr>
          <w:sz w:val="28"/>
          <w:szCs w:val="28"/>
        </w:rPr>
        <w:t xml:space="preserve"> </w:t>
      </w:r>
      <w:r>
        <w:rPr>
          <w:sz w:val="28"/>
          <w:szCs w:val="28"/>
        </w:rPr>
        <w:t>объем поступлений доходов от оплаты административных штрафов, наложенных на должностные лица, который определяется методом прямого расчета исходя из прогнозного</w:t>
      </w:r>
      <w:r w:rsidRPr="0031299C">
        <w:rPr>
          <w:sz w:val="28"/>
          <w:szCs w:val="28"/>
        </w:rPr>
        <w:t xml:space="preserve"> количеств</w:t>
      </w:r>
      <w:r>
        <w:rPr>
          <w:sz w:val="28"/>
          <w:szCs w:val="28"/>
        </w:rPr>
        <w:t>а</w:t>
      </w:r>
      <w:r w:rsidRPr="0031299C">
        <w:rPr>
          <w:sz w:val="28"/>
          <w:szCs w:val="28"/>
        </w:rPr>
        <w:t xml:space="preserve"> правонарушений (усредненное количество годовых объемов правонарушений </w:t>
      </w:r>
      <w:r>
        <w:rPr>
          <w:sz w:val="28"/>
          <w:szCs w:val="28"/>
        </w:rPr>
        <w:t xml:space="preserve">не менее чем за 3 </w:t>
      </w:r>
      <w:r w:rsidRPr="0031299C">
        <w:rPr>
          <w:sz w:val="28"/>
          <w:szCs w:val="28"/>
        </w:rPr>
        <w:lastRenderedPageBreak/>
        <w:t>года</w:t>
      </w:r>
      <w:r>
        <w:rPr>
          <w:sz w:val="28"/>
          <w:szCs w:val="28"/>
        </w:rPr>
        <w:t xml:space="preserve">) и </w:t>
      </w:r>
      <w:r w:rsidRPr="0031299C">
        <w:rPr>
          <w:sz w:val="28"/>
          <w:szCs w:val="28"/>
        </w:rPr>
        <w:t>средн</w:t>
      </w:r>
      <w:r>
        <w:rPr>
          <w:sz w:val="28"/>
          <w:szCs w:val="28"/>
        </w:rPr>
        <w:t>его</w:t>
      </w:r>
      <w:r w:rsidRPr="0031299C">
        <w:rPr>
          <w:sz w:val="28"/>
          <w:szCs w:val="28"/>
        </w:rPr>
        <w:t xml:space="preserve"> размер</w:t>
      </w:r>
      <w:r>
        <w:rPr>
          <w:sz w:val="28"/>
          <w:szCs w:val="28"/>
        </w:rPr>
        <w:t>а</w:t>
      </w:r>
      <w:r w:rsidRPr="0031299C">
        <w:rPr>
          <w:sz w:val="28"/>
          <w:szCs w:val="28"/>
        </w:rPr>
        <w:t xml:space="preserve"> одного платежа</w:t>
      </w:r>
      <w:r>
        <w:rPr>
          <w:sz w:val="28"/>
          <w:szCs w:val="28"/>
        </w:rPr>
        <w:t xml:space="preserve"> </w:t>
      </w:r>
      <w:r w:rsidRPr="0031299C">
        <w:rPr>
          <w:sz w:val="28"/>
          <w:szCs w:val="28"/>
        </w:rPr>
        <w:t>админис</w:t>
      </w:r>
      <w:r>
        <w:rPr>
          <w:sz w:val="28"/>
          <w:szCs w:val="28"/>
        </w:rPr>
        <w:t>тр</w:t>
      </w:r>
      <w:r w:rsidRPr="0031299C">
        <w:rPr>
          <w:sz w:val="28"/>
          <w:szCs w:val="28"/>
        </w:rPr>
        <w:t xml:space="preserve">ативного штрафа, наложенного на </w:t>
      </w:r>
      <w:r>
        <w:rPr>
          <w:sz w:val="28"/>
          <w:szCs w:val="28"/>
        </w:rPr>
        <w:t>должностное лицо за истекший год;</w:t>
      </w:r>
    </w:p>
    <w:p w:rsidR="0055491A" w:rsidRDefault="0055491A" w:rsidP="0055491A">
      <w:pPr>
        <w:ind w:firstLine="709"/>
        <w:jc w:val="both"/>
        <w:rPr>
          <w:sz w:val="28"/>
          <w:szCs w:val="28"/>
        </w:rPr>
      </w:pPr>
      <w:r w:rsidRPr="000C7031">
        <w:rPr>
          <w:sz w:val="28"/>
          <w:szCs w:val="28"/>
        </w:rPr>
        <w:t xml:space="preserve">О </w:t>
      </w:r>
      <w:r w:rsidRPr="000C7031">
        <w:rPr>
          <w:sz w:val="18"/>
          <w:szCs w:val="18"/>
        </w:rPr>
        <w:t>юрл</w:t>
      </w:r>
      <w:r>
        <w:rPr>
          <w:sz w:val="18"/>
          <w:szCs w:val="18"/>
        </w:rPr>
        <w:t xml:space="preserve"> - </w:t>
      </w:r>
      <w:r>
        <w:rPr>
          <w:sz w:val="28"/>
          <w:szCs w:val="28"/>
        </w:rPr>
        <w:t>объем поступлений доходов от оплаты административных штрафов, наложенных на юридические лица, определяется методом прямого расчета с учетом прогнозного</w:t>
      </w:r>
      <w:r w:rsidRPr="0031299C">
        <w:rPr>
          <w:sz w:val="28"/>
          <w:szCs w:val="28"/>
        </w:rPr>
        <w:t xml:space="preserve"> количеств</w:t>
      </w:r>
      <w:r>
        <w:rPr>
          <w:sz w:val="28"/>
          <w:szCs w:val="28"/>
        </w:rPr>
        <w:t>а</w:t>
      </w:r>
      <w:r w:rsidRPr="0031299C">
        <w:rPr>
          <w:sz w:val="28"/>
          <w:szCs w:val="28"/>
        </w:rPr>
        <w:t xml:space="preserve"> правонарушений (усредненное количество годовых объемов правонарушений </w:t>
      </w:r>
      <w:r>
        <w:rPr>
          <w:sz w:val="28"/>
          <w:szCs w:val="28"/>
        </w:rPr>
        <w:t xml:space="preserve">не менее чем за 3 </w:t>
      </w:r>
      <w:r w:rsidRPr="0031299C">
        <w:rPr>
          <w:sz w:val="28"/>
          <w:szCs w:val="28"/>
        </w:rPr>
        <w:t>года</w:t>
      </w:r>
      <w:r>
        <w:rPr>
          <w:sz w:val="28"/>
          <w:szCs w:val="28"/>
        </w:rPr>
        <w:t xml:space="preserve">) и </w:t>
      </w:r>
      <w:r w:rsidRPr="0031299C">
        <w:rPr>
          <w:sz w:val="28"/>
          <w:szCs w:val="28"/>
        </w:rPr>
        <w:t>средн</w:t>
      </w:r>
      <w:r>
        <w:rPr>
          <w:sz w:val="28"/>
          <w:szCs w:val="28"/>
        </w:rPr>
        <w:t>его</w:t>
      </w:r>
      <w:r w:rsidRPr="0031299C">
        <w:rPr>
          <w:sz w:val="28"/>
          <w:szCs w:val="28"/>
        </w:rPr>
        <w:t xml:space="preserve"> размер</w:t>
      </w:r>
      <w:r>
        <w:rPr>
          <w:sz w:val="28"/>
          <w:szCs w:val="28"/>
        </w:rPr>
        <w:t>а</w:t>
      </w:r>
      <w:r w:rsidRPr="0031299C">
        <w:rPr>
          <w:sz w:val="28"/>
          <w:szCs w:val="28"/>
        </w:rPr>
        <w:t xml:space="preserve"> одного платежа</w:t>
      </w:r>
      <w:r>
        <w:rPr>
          <w:sz w:val="28"/>
          <w:szCs w:val="28"/>
        </w:rPr>
        <w:t xml:space="preserve"> </w:t>
      </w:r>
      <w:r w:rsidRPr="0031299C">
        <w:rPr>
          <w:sz w:val="28"/>
          <w:szCs w:val="28"/>
        </w:rPr>
        <w:t>админис</w:t>
      </w:r>
      <w:r>
        <w:rPr>
          <w:sz w:val="28"/>
          <w:szCs w:val="28"/>
        </w:rPr>
        <w:t>тр</w:t>
      </w:r>
      <w:r w:rsidRPr="0031299C">
        <w:rPr>
          <w:sz w:val="28"/>
          <w:szCs w:val="28"/>
        </w:rPr>
        <w:t xml:space="preserve">ативного штрафа, наложенного на </w:t>
      </w:r>
      <w:r>
        <w:rPr>
          <w:sz w:val="28"/>
          <w:szCs w:val="28"/>
        </w:rPr>
        <w:t>юридическое лицо за истекший год.</w:t>
      </w:r>
    </w:p>
    <w:p w:rsidR="0055491A" w:rsidRDefault="0055491A" w:rsidP="0055491A">
      <w:pPr>
        <w:ind w:firstLine="709"/>
        <w:jc w:val="both"/>
        <w:rPr>
          <w:sz w:val="28"/>
          <w:szCs w:val="28"/>
        </w:rPr>
      </w:pPr>
      <w:r>
        <w:rPr>
          <w:sz w:val="28"/>
          <w:szCs w:val="28"/>
        </w:rPr>
        <w:t>Прогнозируемый объем поступлений на плановый период равен прогнозу на очередной финансовый год.</w:t>
      </w:r>
    </w:p>
    <w:p w:rsidR="0055491A" w:rsidRDefault="0055491A" w:rsidP="0055491A">
      <w:pPr>
        <w:ind w:firstLine="709"/>
        <w:jc w:val="both"/>
        <w:rPr>
          <w:sz w:val="28"/>
          <w:szCs w:val="28"/>
        </w:rPr>
      </w:pPr>
      <w:r>
        <w:rPr>
          <w:sz w:val="28"/>
          <w:szCs w:val="28"/>
        </w:rPr>
        <w:t>Расчет прогнозных поступлений по данному источнику представлен в таблице.</w:t>
      </w:r>
    </w:p>
    <w:tbl>
      <w:tblPr>
        <w:tblStyle w:val="a6"/>
        <w:tblW w:w="9351" w:type="dxa"/>
        <w:tblLook w:val="04A0" w:firstRow="1" w:lastRow="0" w:firstColumn="1" w:lastColumn="0" w:noHBand="0" w:noVBand="1"/>
      </w:tblPr>
      <w:tblGrid>
        <w:gridCol w:w="2356"/>
        <w:gridCol w:w="2036"/>
        <w:gridCol w:w="2206"/>
        <w:gridCol w:w="2753"/>
      </w:tblGrid>
      <w:tr w:rsidR="0055491A" w:rsidTr="00210BF6">
        <w:tc>
          <w:tcPr>
            <w:tcW w:w="2356" w:type="dxa"/>
          </w:tcPr>
          <w:p w:rsidR="0055491A" w:rsidRPr="003367D1" w:rsidRDefault="0055491A" w:rsidP="00210BF6">
            <w:pPr>
              <w:ind w:firstLine="0"/>
            </w:pPr>
            <w:r w:rsidRPr="003367D1">
              <w:t>Категории правонарушителей</w:t>
            </w:r>
          </w:p>
        </w:tc>
        <w:tc>
          <w:tcPr>
            <w:tcW w:w="2036" w:type="dxa"/>
          </w:tcPr>
          <w:p w:rsidR="0055491A" w:rsidRPr="003367D1" w:rsidRDefault="0055491A" w:rsidP="00210BF6">
            <w:pPr>
              <w:ind w:firstLine="0"/>
            </w:pPr>
            <w:r w:rsidRPr="003367D1">
              <w:t>Средний размер одного платежа за 20</w:t>
            </w:r>
            <w:r>
              <w:t>20</w:t>
            </w:r>
            <w:r w:rsidRPr="003367D1">
              <w:t xml:space="preserve"> год</w:t>
            </w:r>
            <w:r>
              <w:t>,</w:t>
            </w:r>
            <w:r w:rsidRPr="003367D1">
              <w:t xml:space="preserve"> руб</w:t>
            </w:r>
            <w:r>
              <w:t>.</w:t>
            </w:r>
          </w:p>
        </w:tc>
        <w:tc>
          <w:tcPr>
            <w:tcW w:w="2206" w:type="dxa"/>
          </w:tcPr>
          <w:p w:rsidR="0055491A" w:rsidRPr="003367D1" w:rsidRDefault="0055491A" w:rsidP="00210BF6">
            <w:pPr>
              <w:ind w:firstLine="0"/>
            </w:pPr>
            <w:r w:rsidRPr="003367D1">
              <w:t>Среднее количество правонарушений за 201</w:t>
            </w:r>
            <w:r>
              <w:t>8</w:t>
            </w:r>
            <w:r w:rsidRPr="003367D1">
              <w:t>-20</w:t>
            </w:r>
            <w:r>
              <w:t>20</w:t>
            </w:r>
            <w:r w:rsidRPr="003367D1">
              <w:t xml:space="preserve"> годы</w:t>
            </w:r>
            <w:r>
              <w:t>, шт.</w:t>
            </w:r>
          </w:p>
        </w:tc>
        <w:tc>
          <w:tcPr>
            <w:tcW w:w="2753" w:type="dxa"/>
          </w:tcPr>
          <w:p w:rsidR="0055491A" w:rsidRPr="003367D1" w:rsidRDefault="0055491A" w:rsidP="00210BF6">
            <w:pPr>
              <w:ind w:firstLine="0"/>
            </w:pPr>
            <w:r w:rsidRPr="003367D1">
              <w:t>Прогноз 20</w:t>
            </w:r>
            <w:r>
              <w:t>22 год (гр.2*гр.3),руб. (</w:t>
            </w:r>
            <w:r w:rsidRPr="001756E5">
              <w:rPr>
                <w:i/>
              </w:rPr>
              <w:t>с учетом округления</w:t>
            </w:r>
            <w:r>
              <w:t>)</w:t>
            </w:r>
          </w:p>
        </w:tc>
      </w:tr>
      <w:tr w:rsidR="0055491A" w:rsidTr="00210BF6">
        <w:tc>
          <w:tcPr>
            <w:tcW w:w="2356" w:type="dxa"/>
          </w:tcPr>
          <w:p w:rsidR="0055491A" w:rsidRPr="003367D1" w:rsidRDefault="0055491A" w:rsidP="00210BF6">
            <w:pPr>
              <w:jc w:val="center"/>
            </w:pPr>
            <w:r w:rsidRPr="003367D1">
              <w:t>1</w:t>
            </w:r>
          </w:p>
        </w:tc>
        <w:tc>
          <w:tcPr>
            <w:tcW w:w="2036" w:type="dxa"/>
          </w:tcPr>
          <w:p w:rsidR="0055491A" w:rsidRPr="003367D1" w:rsidRDefault="0055491A" w:rsidP="00210BF6">
            <w:pPr>
              <w:jc w:val="center"/>
            </w:pPr>
            <w:r w:rsidRPr="003367D1">
              <w:t>2</w:t>
            </w:r>
          </w:p>
        </w:tc>
        <w:tc>
          <w:tcPr>
            <w:tcW w:w="2206" w:type="dxa"/>
          </w:tcPr>
          <w:p w:rsidR="0055491A" w:rsidRPr="003367D1" w:rsidRDefault="0055491A" w:rsidP="00210BF6">
            <w:pPr>
              <w:jc w:val="center"/>
            </w:pPr>
            <w:r>
              <w:t>3</w:t>
            </w:r>
          </w:p>
        </w:tc>
        <w:tc>
          <w:tcPr>
            <w:tcW w:w="2753" w:type="dxa"/>
          </w:tcPr>
          <w:p w:rsidR="0055491A" w:rsidRPr="003367D1" w:rsidRDefault="0055491A" w:rsidP="00210BF6">
            <w:pPr>
              <w:jc w:val="center"/>
            </w:pPr>
            <w:r>
              <w:t>4</w:t>
            </w:r>
          </w:p>
        </w:tc>
      </w:tr>
      <w:tr w:rsidR="0055491A" w:rsidTr="00210BF6">
        <w:tc>
          <w:tcPr>
            <w:tcW w:w="9351" w:type="dxa"/>
            <w:gridSpan w:val="4"/>
          </w:tcPr>
          <w:p w:rsidR="0055491A" w:rsidRPr="00A95D1D" w:rsidRDefault="0055491A" w:rsidP="00210BF6">
            <w:pPr>
              <w:jc w:val="center"/>
              <w:rPr>
                <w:b/>
              </w:rPr>
            </w:pPr>
            <w:r w:rsidRPr="00A95D1D">
              <w:rPr>
                <w:b/>
                <w:i/>
                <w:sz w:val="28"/>
                <w:szCs w:val="28"/>
              </w:rPr>
              <w:t>Штрафы за нарушение Правил дорожного движения, правил эксплуатации транспортного средства</w:t>
            </w:r>
          </w:p>
        </w:tc>
      </w:tr>
      <w:tr w:rsidR="0055491A" w:rsidTr="00210BF6">
        <w:tc>
          <w:tcPr>
            <w:tcW w:w="2356" w:type="dxa"/>
          </w:tcPr>
          <w:p w:rsidR="0055491A" w:rsidRPr="003367D1" w:rsidRDefault="0055491A" w:rsidP="00210BF6">
            <w:r w:rsidRPr="003367D1">
              <w:t xml:space="preserve">Граждане </w:t>
            </w:r>
          </w:p>
        </w:tc>
        <w:tc>
          <w:tcPr>
            <w:tcW w:w="2036" w:type="dxa"/>
          </w:tcPr>
          <w:p w:rsidR="0055491A" w:rsidRPr="001756E5" w:rsidRDefault="0055491A" w:rsidP="00210BF6">
            <w:pPr>
              <w:jc w:val="center"/>
            </w:pPr>
            <w:r>
              <w:t>900</w:t>
            </w:r>
          </w:p>
        </w:tc>
        <w:tc>
          <w:tcPr>
            <w:tcW w:w="2206" w:type="dxa"/>
          </w:tcPr>
          <w:p w:rsidR="0055491A" w:rsidRPr="001756E5" w:rsidRDefault="0055491A" w:rsidP="00210BF6">
            <w:pPr>
              <w:jc w:val="center"/>
            </w:pPr>
            <w:r>
              <w:t>666 223</w:t>
            </w:r>
          </w:p>
        </w:tc>
        <w:tc>
          <w:tcPr>
            <w:tcW w:w="2753" w:type="dxa"/>
          </w:tcPr>
          <w:p w:rsidR="0055491A" w:rsidRPr="001756E5" w:rsidRDefault="0055491A" w:rsidP="00210BF6">
            <w:pPr>
              <w:jc w:val="center"/>
            </w:pPr>
            <w:r>
              <w:t>599 600 700,00</w:t>
            </w:r>
          </w:p>
        </w:tc>
      </w:tr>
      <w:tr w:rsidR="0055491A" w:rsidTr="00210BF6">
        <w:trPr>
          <w:trHeight w:val="659"/>
        </w:trPr>
        <w:tc>
          <w:tcPr>
            <w:tcW w:w="2356" w:type="dxa"/>
          </w:tcPr>
          <w:p w:rsidR="0055491A" w:rsidRPr="003367D1" w:rsidRDefault="0055491A" w:rsidP="00210BF6">
            <w:r w:rsidRPr="003367D1">
              <w:t xml:space="preserve">Должностные лица </w:t>
            </w:r>
          </w:p>
        </w:tc>
        <w:tc>
          <w:tcPr>
            <w:tcW w:w="2036" w:type="dxa"/>
          </w:tcPr>
          <w:p w:rsidR="0055491A" w:rsidRPr="001756E5" w:rsidRDefault="0055491A" w:rsidP="00210BF6">
            <w:pPr>
              <w:jc w:val="center"/>
            </w:pPr>
            <w:r>
              <w:t>150 000,0</w:t>
            </w:r>
          </w:p>
        </w:tc>
        <w:tc>
          <w:tcPr>
            <w:tcW w:w="2206" w:type="dxa"/>
          </w:tcPr>
          <w:p w:rsidR="0055491A" w:rsidRPr="001756E5" w:rsidRDefault="0055491A" w:rsidP="00210BF6">
            <w:pPr>
              <w:jc w:val="center"/>
            </w:pPr>
            <w:r>
              <w:t>1</w:t>
            </w:r>
          </w:p>
        </w:tc>
        <w:tc>
          <w:tcPr>
            <w:tcW w:w="2753" w:type="dxa"/>
          </w:tcPr>
          <w:p w:rsidR="0055491A" w:rsidRPr="001756E5" w:rsidRDefault="0055491A" w:rsidP="00210BF6">
            <w:pPr>
              <w:jc w:val="center"/>
            </w:pPr>
            <w:r>
              <w:t>150 000,00</w:t>
            </w:r>
          </w:p>
        </w:tc>
      </w:tr>
      <w:tr w:rsidR="0055491A" w:rsidTr="00210BF6">
        <w:tc>
          <w:tcPr>
            <w:tcW w:w="2356" w:type="dxa"/>
          </w:tcPr>
          <w:p w:rsidR="0055491A" w:rsidRPr="003367D1" w:rsidRDefault="0055491A" w:rsidP="00210BF6">
            <w:r w:rsidRPr="003367D1">
              <w:t>Юридические лица</w:t>
            </w:r>
          </w:p>
        </w:tc>
        <w:tc>
          <w:tcPr>
            <w:tcW w:w="2036" w:type="dxa"/>
          </w:tcPr>
          <w:p w:rsidR="0055491A" w:rsidRPr="001756E5" w:rsidRDefault="0055491A" w:rsidP="00210BF6">
            <w:pPr>
              <w:jc w:val="center"/>
            </w:pPr>
            <w:r>
              <w:t>50 000,0</w:t>
            </w:r>
          </w:p>
        </w:tc>
        <w:tc>
          <w:tcPr>
            <w:tcW w:w="2206" w:type="dxa"/>
          </w:tcPr>
          <w:p w:rsidR="0055491A" w:rsidRPr="00FB58A3" w:rsidRDefault="0055491A" w:rsidP="00210BF6">
            <w:pPr>
              <w:jc w:val="center"/>
            </w:pPr>
            <w:r>
              <w:t>5</w:t>
            </w:r>
          </w:p>
        </w:tc>
        <w:tc>
          <w:tcPr>
            <w:tcW w:w="2753" w:type="dxa"/>
          </w:tcPr>
          <w:p w:rsidR="0055491A" w:rsidRDefault="0055491A" w:rsidP="00210BF6">
            <w:pPr>
              <w:jc w:val="center"/>
            </w:pPr>
            <w:r>
              <w:t>250 000,00</w:t>
            </w:r>
          </w:p>
          <w:p w:rsidR="0055491A" w:rsidRPr="001756E5" w:rsidRDefault="0055491A" w:rsidP="00210BF6">
            <w:pPr>
              <w:jc w:val="center"/>
            </w:pPr>
          </w:p>
        </w:tc>
      </w:tr>
      <w:tr w:rsidR="0055491A" w:rsidRPr="00874A08" w:rsidTr="00210BF6">
        <w:tc>
          <w:tcPr>
            <w:tcW w:w="2356" w:type="dxa"/>
          </w:tcPr>
          <w:p w:rsidR="0055491A" w:rsidRPr="00A95D1D" w:rsidRDefault="0055491A" w:rsidP="00210BF6">
            <w:pPr>
              <w:rPr>
                <w:b/>
              </w:rPr>
            </w:pPr>
            <w:r w:rsidRPr="00A95D1D">
              <w:rPr>
                <w:b/>
              </w:rPr>
              <w:t xml:space="preserve">ИТОГО </w:t>
            </w:r>
          </w:p>
        </w:tc>
        <w:tc>
          <w:tcPr>
            <w:tcW w:w="2036" w:type="dxa"/>
          </w:tcPr>
          <w:p w:rsidR="0055491A" w:rsidRPr="00A95D1D" w:rsidRDefault="0055491A" w:rsidP="00210BF6">
            <w:pPr>
              <w:jc w:val="center"/>
              <w:rPr>
                <w:b/>
                <w:lang w:val="en-US"/>
              </w:rPr>
            </w:pPr>
            <w:r w:rsidRPr="00A95D1D">
              <w:rPr>
                <w:b/>
                <w:lang w:val="en-US"/>
              </w:rPr>
              <w:t>x</w:t>
            </w:r>
          </w:p>
        </w:tc>
        <w:tc>
          <w:tcPr>
            <w:tcW w:w="2206" w:type="dxa"/>
          </w:tcPr>
          <w:p w:rsidR="0055491A" w:rsidRPr="00A95D1D" w:rsidRDefault="0055491A" w:rsidP="00210BF6">
            <w:pPr>
              <w:jc w:val="center"/>
              <w:rPr>
                <w:b/>
                <w:lang w:val="en-US"/>
              </w:rPr>
            </w:pPr>
            <w:r w:rsidRPr="00A95D1D">
              <w:rPr>
                <w:b/>
                <w:lang w:val="en-US"/>
              </w:rPr>
              <w:t>x</w:t>
            </w:r>
          </w:p>
        </w:tc>
        <w:tc>
          <w:tcPr>
            <w:tcW w:w="2753" w:type="dxa"/>
          </w:tcPr>
          <w:p w:rsidR="0055491A" w:rsidRPr="00A95D1D" w:rsidRDefault="0055491A" w:rsidP="00210BF6">
            <w:pPr>
              <w:jc w:val="center"/>
              <w:rPr>
                <w:b/>
              </w:rPr>
            </w:pPr>
            <w:r w:rsidRPr="00A95D1D">
              <w:rPr>
                <w:b/>
              </w:rPr>
              <w:t>600 000 700,00</w:t>
            </w:r>
          </w:p>
        </w:tc>
      </w:tr>
      <w:tr w:rsidR="0055491A" w:rsidRPr="00874A08" w:rsidTr="00210BF6">
        <w:tc>
          <w:tcPr>
            <w:tcW w:w="9351" w:type="dxa"/>
            <w:gridSpan w:val="4"/>
          </w:tcPr>
          <w:p w:rsidR="0055491A" w:rsidRPr="00A95D1D" w:rsidRDefault="0055491A" w:rsidP="00210BF6">
            <w:pPr>
              <w:jc w:val="center"/>
              <w:rPr>
                <w:b/>
              </w:rPr>
            </w:pPr>
            <w:r>
              <w:rPr>
                <w:b/>
                <w:i/>
                <w:sz w:val="28"/>
                <w:szCs w:val="28"/>
              </w:rPr>
              <w:t>Ш</w:t>
            </w:r>
            <w:r w:rsidRPr="00A95D1D">
              <w:rPr>
                <w:b/>
                <w:i/>
                <w:sz w:val="28"/>
                <w:szCs w:val="28"/>
              </w:rPr>
              <w:t>трафы за нарушения </w:t>
            </w:r>
            <w:hyperlink r:id="rId100" w:anchor="/document/1305770/entry/235" w:history="1">
              <w:r w:rsidRPr="00A95D1D">
                <w:rPr>
                  <w:b/>
                  <w:i/>
                  <w:sz w:val="28"/>
                  <w:szCs w:val="28"/>
                </w:rPr>
                <w:t>правил</w:t>
              </w:r>
            </w:hyperlink>
            <w:r w:rsidRPr="00A95D1D">
              <w:rPr>
                <w:b/>
                <w:i/>
                <w:sz w:val="28"/>
                <w:szCs w:val="28"/>
              </w:rPr>
              <w:t> движения тяжеловесного и (или) крупногабаритного транспортного средства, выявленные при осуществлении весового и габаритного контроля на автомобильных дорогах общего пользования регионального, межмуниципального или местного значения</w:t>
            </w:r>
          </w:p>
        </w:tc>
      </w:tr>
      <w:tr w:rsidR="0055491A" w:rsidRPr="00874A08" w:rsidTr="00210BF6">
        <w:tc>
          <w:tcPr>
            <w:tcW w:w="2356" w:type="dxa"/>
          </w:tcPr>
          <w:p w:rsidR="0055491A" w:rsidRPr="003367D1" w:rsidRDefault="0055491A" w:rsidP="00210BF6">
            <w:r w:rsidRPr="003367D1">
              <w:t xml:space="preserve">Должностные лица </w:t>
            </w:r>
          </w:p>
        </w:tc>
        <w:tc>
          <w:tcPr>
            <w:tcW w:w="2036" w:type="dxa"/>
          </w:tcPr>
          <w:p w:rsidR="0055491A" w:rsidRPr="001756E5" w:rsidRDefault="0055491A" w:rsidP="00210BF6">
            <w:pPr>
              <w:jc w:val="center"/>
            </w:pPr>
            <w:r>
              <w:t>5 000,0</w:t>
            </w:r>
          </w:p>
        </w:tc>
        <w:tc>
          <w:tcPr>
            <w:tcW w:w="2206" w:type="dxa"/>
          </w:tcPr>
          <w:p w:rsidR="0055491A" w:rsidRPr="001756E5" w:rsidRDefault="0055491A" w:rsidP="00210BF6">
            <w:pPr>
              <w:jc w:val="center"/>
            </w:pPr>
            <w:r>
              <w:t>109</w:t>
            </w:r>
          </w:p>
        </w:tc>
        <w:tc>
          <w:tcPr>
            <w:tcW w:w="2753" w:type="dxa"/>
          </w:tcPr>
          <w:p w:rsidR="0055491A" w:rsidRPr="001756E5" w:rsidRDefault="0055491A" w:rsidP="00210BF6">
            <w:pPr>
              <w:jc w:val="center"/>
            </w:pPr>
            <w:r>
              <w:t>545 000,00</w:t>
            </w:r>
          </w:p>
        </w:tc>
      </w:tr>
      <w:tr w:rsidR="0055491A" w:rsidRPr="00874A08" w:rsidTr="00210BF6">
        <w:tc>
          <w:tcPr>
            <w:tcW w:w="2356" w:type="dxa"/>
          </w:tcPr>
          <w:p w:rsidR="0055491A" w:rsidRPr="003367D1" w:rsidRDefault="0055491A" w:rsidP="00210BF6">
            <w:r w:rsidRPr="003367D1">
              <w:t>Юридические лица</w:t>
            </w:r>
          </w:p>
        </w:tc>
        <w:tc>
          <w:tcPr>
            <w:tcW w:w="2036" w:type="dxa"/>
          </w:tcPr>
          <w:p w:rsidR="0055491A" w:rsidRPr="001756E5" w:rsidRDefault="0055491A" w:rsidP="00210BF6">
            <w:pPr>
              <w:jc w:val="center"/>
            </w:pPr>
            <w:r>
              <w:t>50 000,0</w:t>
            </w:r>
          </w:p>
        </w:tc>
        <w:tc>
          <w:tcPr>
            <w:tcW w:w="2206" w:type="dxa"/>
          </w:tcPr>
          <w:p w:rsidR="0055491A" w:rsidRPr="00FB58A3" w:rsidRDefault="0055491A" w:rsidP="00210BF6">
            <w:pPr>
              <w:jc w:val="center"/>
            </w:pPr>
            <w:r>
              <w:t>30</w:t>
            </w:r>
          </w:p>
        </w:tc>
        <w:tc>
          <w:tcPr>
            <w:tcW w:w="2753" w:type="dxa"/>
          </w:tcPr>
          <w:p w:rsidR="0055491A" w:rsidRDefault="0055491A" w:rsidP="00210BF6">
            <w:pPr>
              <w:jc w:val="center"/>
            </w:pPr>
            <w:r>
              <w:t>1 500 000,00</w:t>
            </w:r>
          </w:p>
          <w:p w:rsidR="0055491A" w:rsidRPr="001756E5" w:rsidRDefault="0055491A" w:rsidP="00210BF6">
            <w:pPr>
              <w:jc w:val="center"/>
            </w:pPr>
          </w:p>
        </w:tc>
      </w:tr>
      <w:tr w:rsidR="0055491A" w:rsidRPr="00874A08" w:rsidTr="00210BF6">
        <w:tc>
          <w:tcPr>
            <w:tcW w:w="2356" w:type="dxa"/>
          </w:tcPr>
          <w:p w:rsidR="0055491A" w:rsidRPr="00A95D1D" w:rsidRDefault="0055491A" w:rsidP="00210BF6">
            <w:pPr>
              <w:rPr>
                <w:b/>
              </w:rPr>
            </w:pPr>
            <w:r w:rsidRPr="00A95D1D">
              <w:rPr>
                <w:b/>
              </w:rPr>
              <w:t xml:space="preserve">ИТОГО </w:t>
            </w:r>
          </w:p>
        </w:tc>
        <w:tc>
          <w:tcPr>
            <w:tcW w:w="2036" w:type="dxa"/>
          </w:tcPr>
          <w:p w:rsidR="0055491A" w:rsidRPr="00A95D1D" w:rsidRDefault="0055491A" w:rsidP="00210BF6">
            <w:pPr>
              <w:jc w:val="center"/>
              <w:rPr>
                <w:b/>
                <w:lang w:val="en-US"/>
              </w:rPr>
            </w:pPr>
            <w:r w:rsidRPr="00A95D1D">
              <w:rPr>
                <w:b/>
                <w:lang w:val="en-US"/>
              </w:rPr>
              <w:t>x</w:t>
            </w:r>
          </w:p>
        </w:tc>
        <w:tc>
          <w:tcPr>
            <w:tcW w:w="2206" w:type="dxa"/>
          </w:tcPr>
          <w:p w:rsidR="0055491A" w:rsidRPr="00A95D1D" w:rsidRDefault="0055491A" w:rsidP="00210BF6">
            <w:pPr>
              <w:jc w:val="center"/>
              <w:rPr>
                <w:b/>
                <w:lang w:val="en-US"/>
              </w:rPr>
            </w:pPr>
            <w:r w:rsidRPr="00A95D1D">
              <w:rPr>
                <w:b/>
                <w:lang w:val="en-US"/>
              </w:rPr>
              <w:t>x</w:t>
            </w:r>
          </w:p>
        </w:tc>
        <w:tc>
          <w:tcPr>
            <w:tcW w:w="2753" w:type="dxa"/>
          </w:tcPr>
          <w:p w:rsidR="0055491A" w:rsidRPr="00A95D1D" w:rsidRDefault="0055491A" w:rsidP="00210BF6">
            <w:pPr>
              <w:jc w:val="center"/>
              <w:rPr>
                <w:b/>
              </w:rPr>
            </w:pPr>
            <w:r>
              <w:rPr>
                <w:b/>
              </w:rPr>
              <w:t>2 045 000</w:t>
            </w:r>
            <w:r w:rsidRPr="00A95D1D">
              <w:rPr>
                <w:b/>
              </w:rPr>
              <w:t>,00</w:t>
            </w:r>
          </w:p>
        </w:tc>
      </w:tr>
    </w:tbl>
    <w:p w:rsidR="0055491A" w:rsidRDefault="0055491A" w:rsidP="0055491A">
      <w:pPr>
        <w:autoSpaceDE w:val="0"/>
        <w:autoSpaceDN w:val="0"/>
        <w:adjustRightInd w:val="0"/>
        <w:ind w:firstLine="709"/>
        <w:jc w:val="both"/>
        <w:rPr>
          <w:sz w:val="28"/>
          <w:szCs w:val="28"/>
        </w:rPr>
      </w:pPr>
    </w:p>
    <w:p w:rsidR="0055491A" w:rsidRDefault="0055491A" w:rsidP="0055491A">
      <w:pPr>
        <w:autoSpaceDE w:val="0"/>
        <w:autoSpaceDN w:val="0"/>
        <w:adjustRightInd w:val="0"/>
        <w:ind w:firstLine="709"/>
        <w:jc w:val="both"/>
        <w:rPr>
          <w:sz w:val="28"/>
          <w:szCs w:val="28"/>
        </w:rPr>
      </w:pPr>
      <w:r>
        <w:rPr>
          <w:sz w:val="28"/>
          <w:szCs w:val="28"/>
        </w:rPr>
        <w:t>Расчет поступлений на 2023-2024 годы равен расчету на 2022 год по методике исходя из усредненных значений одного платежа за 2020 год и</w:t>
      </w:r>
      <w:r w:rsidRPr="00182942">
        <w:rPr>
          <w:sz w:val="28"/>
          <w:szCs w:val="28"/>
        </w:rPr>
        <w:t xml:space="preserve"> </w:t>
      </w:r>
      <w:r w:rsidRPr="001302D5">
        <w:rPr>
          <w:sz w:val="28"/>
          <w:szCs w:val="28"/>
        </w:rPr>
        <w:t>усредненн</w:t>
      </w:r>
      <w:r>
        <w:rPr>
          <w:sz w:val="28"/>
          <w:szCs w:val="28"/>
        </w:rPr>
        <w:t>ого</w:t>
      </w:r>
      <w:r w:rsidRPr="001302D5">
        <w:rPr>
          <w:sz w:val="28"/>
          <w:szCs w:val="28"/>
        </w:rPr>
        <w:t xml:space="preserve"> количеств</w:t>
      </w:r>
      <w:r>
        <w:rPr>
          <w:sz w:val="28"/>
          <w:szCs w:val="28"/>
        </w:rPr>
        <w:t>а</w:t>
      </w:r>
      <w:r w:rsidRPr="001302D5">
        <w:rPr>
          <w:sz w:val="28"/>
          <w:szCs w:val="28"/>
        </w:rPr>
        <w:t xml:space="preserve"> годовых о</w:t>
      </w:r>
      <w:r>
        <w:rPr>
          <w:sz w:val="28"/>
          <w:szCs w:val="28"/>
        </w:rPr>
        <w:t>бъемов правонарушений гражданами, должностными лицами и юридическими лицами</w:t>
      </w:r>
      <w:r w:rsidRPr="001302D5">
        <w:rPr>
          <w:sz w:val="28"/>
          <w:szCs w:val="28"/>
        </w:rPr>
        <w:t xml:space="preserve"> не менее чем за 3 года</w:t>
      </w:r>
      <w:r>
        <w:rPr>
          <w:sz w:val="28"/>
          <w:szCs w:val="28"/>
        </w:rPr>
        <w:t xml:space="preserve"> (2018-2020гг.).</w:t>
      </w:r>
    </w:p>
    <w:p w:rsidR="0055491A" w:rsidRDefault="0055491A" w:rsidP="0055491A">
      <w:pPr>
        <w:autoSpaceDE w:val="0"/>
        <w:autoSpaceDN w:val="0"/>
        <w:adjustRightInd w:val="0"/>
        <w:ind w:firstLine="709"/>
        <w:jc w:val="both"/>
        <w:rPr>
          <w:sz w:val="28"/>
          <w:szCs w:val="28"/>
        </w:rPr>
      </w:pPr>
    </w:p>
    <w:p w:rsidR="0055491A" w:rsidRPr="00C9228A" w:rsidRDefault="0055491A" w:rsidP="0055491A">
      <w:pPr>
        <w:pStyle w:val="a7"/>
        <w:spacing w:after="0"/>
        <w:ind w:left="0" w:firstLine="709"/>
        <w:jc w:val="both"/>
        <w:rPr>
          <w:b/>
          <w:sz w:val="28"/>
          <w:szCs w:val="28"/>
        </w:rPr>
      </w:pPr>
      <w:r w:rsidRPr="00C9228A">
        <w:rPr>
          <w:b/>
          <w:sz w:val="28"/>
          <w:szCs w:val="28"/>
        </w:rPr>
        <w:t>Прогноз на 2022 год – 60</w:t>
      </w:r>
      <w:r>
        <w:rPr>
          <w:b/>
          <w:sz w:val="28"/>
          <w:szCs w:val="28"/>
        </w:rPr>
        <w:t>2</w:t>
      </w:r>
      <w:r w:rsidRPr="00C9228A">
        <w:rPr>
          <w:b/>
          <w:sz w:val="28"/>
          <w:szCs w:val="28"/>
        </w:rPr>
        <w:t> </w:t>
      </w:r>
      <w:r>
        <w:rPr>
          <w:b/>
          <w:sz w:val="28"/>
          <w:szCs w:val="28"/>
        </w:rPr>
        <w:t>045</w:t>
      </w:r>
      <w:r w:rsidRPr="00C9228A">
        <w:rPr>
          <w:b/>
          <w:sz w:val="28"/>
          <w:szCs w:val="28"/>
        </w:rPr>
        <w:t>,7 тыс. руб.;</w:t>
      </w:r>
    </w:p>
    <w:p w:rsidR="0055491A" w:rsidRPr="00C9228A" w:rsidRDefault="0055491A" w:rsidP="0055491A">
      <w:pPr>
        <w:pStyle w:val="a7"/>
        <w:spacing w:after="0"/>
        <w:ind w:left="0" w:firstLine="709"/>
        <w:jc w:val="both"/>
        <w:rPr>
          <w:b/>
          <w:sz w:val="28"/>
          <w:szCs w:val="28"/>
        </w:rPr>
      </w:pPr>
      <w:r w:rsidRPr="00C9228A">
        <w:rPr>
          <w:b/>
          <w:sz w:val="28"/>
          <w:szCs w:val="28"/>
        </w:rPr>
        <w:t>Прогноз на 2023 год – 60</w:t>
      </w:r>
      <w:r>
        <w:rPr>
          <w:b/>
          <w:sz w:val="28"/>
          <w:szCs w:val="28"/>
        </w:rPr>
        <w:t>2</w:t>
      </w:r>
      <w:r w:rsidRPr="00C9228A">
        <w:rPr>
          <w:b/>
          <w:sz w:val="28"/>
          <w:szCs w:val="28"/>
        </w:rPr>
        <w:t> </w:t>
      </w:r>
      <w:r>
        <w:rPr>
          <w:b/>
          <w:sz w:val="28"/>
          <w:szCs w:val="28"/>
        </w:rPr>
        <w:t>045</w:t>
      </w:r>
      <w:r w:rsidRPr="00C9228A">
        <w:rPr>
          <w:b/>
          <w:sz w:val="28"/>
          <w:szCs w:val="28"/>
        </w:rPr>
        <w:t>,7 тыс. руб.</w:t>
      </w:r>
    </w:p>
    <w:p w:rsidR="0055491A" w:rsidRPr="00C9228A" w:rsidRDefault="0055491A" w:rsidP="0055491A">
      <w:pPr>
        <w:pStyle w:val="a7"/>
        <w:spacing w:after="0"/>
        <w:ind w:left="0" w:firstLine="709"/>
        <w:jc w:val="both"/>
        <w:rPr>
          <w:b/>
          <w:sz w:val="28"/>
          <w:szCs w:val="28"/>
        </w:rPr>
      </w:pPr>
      <w:r w:rsidRPr="00C9228A">
        <w:rPr>
          <w:b/>
          <w:sz w:val="28"/>
          <w:szCs w:val="28"/>
        </w:rPr>
        <w:t>Прогноз на 202</w:t>
      </w:r>
      <w:r>
        <w:rPr>
          <w:b/>
          <w:sz w:val="28"/>
          <w:szCs w:val="28"/>
        </w:rPr>
        <w:t>4</w:t>
      </w:r>
      <w:r w:rsidRPr="00C9228A">
        <w:rPr>
          <w:b/>
          <w:sz w:val="28"/>
          <w:szCs w:val="28"/>
        </w:rPr>
        <w:t xml:space="preserve"> год – 60</w:t>
      </w:r>
      <w:r>
        <w:rPr>
          <w:b/>
          <w:sz w:val="28"/>
          <w:szCs w:val="28"/>
        </w:rPr>
        <w:t>2</w:t>
      </w:r>
      <w:r w:rsidRPr="00C9228A">
        <w:rPr>
          <w:b/>
          <w:sz w:val="28"/>
          <w:szCs w:val="28"/>
        </w:rPr>
        <w:t> 0</w:t>
      </w:r>
      <w:r>
        <w:rPr>
          <w:b/>
          <w:sz w:val="28"/>
          <w:szCs w:val="28"/>
        </w:rPr>
        <w:t>45</w:t>
      </w:r>
      <w:r w:rsidRPr="00C9228A">
        <w:rPr>
          <w:b/>
          <w:sz w:val="28"/>
          <w:szCs w:val="28"/>
        </w:rPr>
        <w:t>,7 тыс. руб.</w:t>
      </w:r>
    </w:p>
    <w:p w:rsidR="0055491A" w:rsidRDefault="0055491A" w:rsidP="0055491A">
      <w:pPr>
        <w:pStyle w:val="a7"/>
        <w:spacing w:after="0"/>
        <w:ind w:left="0" w:firstLine="709"/>
        <w:jc w:val="both"/>
        <w:rPr>
          <w:sz w:val="28"/>
          <w:szCs w:val="28"/>
        </w:rPr>
      </w:pPr>
    </w:p>
    <w:p w:rsidR="0055491A" w:rsidRDefault="0055491A" w:rsidP="0055491A">
      <w:pPr>
        <w:ind w:firstLine="709"/>
        <w:jc w:val="both"/>
        <w:rPr>
          <w:sz w:val="28"/>
          <w:szCs w:val="28"/>
        </w:rPr>
      </w:pPr>
      <w:r>
        <w:rPr>
          <w:sz w:val="28"/>
          <w:szCs w:val="28"/>
        </w:rPr>
        <w:t xml:space="preserve">8.4 </w:t>
      </w:r>
      <w:r w:rsidRPr="001A3876">
        <w:rPr>
          <w:b/>
          <w:sz w:val="28"/>
          <w:szCs w:val="28"/>
        </w:rPr>
        <w:t>КБК 104 1 16 01122 01 0000 140</w:t>
      </w:r>
      <w:r>
        <w:rPr>
          <w:sz w:val="28"/>
          <w:szCs w:val="28"/>
        </w:rPr>
        <w:t xml:space="preserve"> </w:t>
      </w:r>
      <w:r w:rsidRPr="0055238B">
        <w:rPr>
          <w:sz w:val="28"/>
          <w:szCs w:val="28"/>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должностными лицами органов исполнительной власти субъектов Российской Федерации, учреждениями субъектов Российской Федерации</w:t>
      </w:r>
      <w:r>
        <w:rPr>
          <w:sz w:val="28"/>
          <w:szCs w:val="28"/>
        </w:rPr>
        <w:t>.</w:t>
      </w:r>
    </w:p>
    <w:p w:rsidR="0055491A" w:rsidRPr="00A95D1D" w:rsidRDefault="0055491A" w:rsidP="0055491A">
      <w:pPr>
        <w:ind w:firstLine="709"/>
        <w:jc w:val="both"/>
        <w:rPr>
          <w:b/>
          <w:sz w:val="28"/>
          <w:szCs w:val="28"/>
        </w:rPr>
      </w:pPr>
      <w:r w:rsidRPr="00A95D1D">
        <w:rPr>
          <w:b/>
          <w:sz w:val="28"/>
          <w:szCs w:val="28"/>
        </w:rPr>
        <w:t>Главный администратор доходов – Министерство транспорта Тверской области.</w:t>
      </w:r>
    </w:p>
    <w:p w:rsidR="0055491A" w:rsidRDefault="0055491A" w:rsidP="0055491A">
      <w:pPr>
        <w:autoSpaceDE w:val="0"/>
        <w:autoSpaceDN w:val="0"/>
        <w:adjustRightInd w:val="0"/>
        <w:ind w:firstLine="709"/>
        <w:jc w:val="both"/>
        <w:rPr>
          <w:color w:val="000000"/>
          <w:sz w:val="28"/>
          <w:szCs w:val="28"/>
        </w:rPr>
      </w:pPr>
      <w:r>
        <w:rPr>
          <w:sz w:val="28"/>
          <w:szCs w:val="28"/>
        </w:rPr>
        <w:t>Прогнозирование поступлений на 2022-2024 гг.</w:t>
      </w:r>
      <w:r w:rsidRPr="00B72D6B">
        <w:rPr>
          <w:sz w:val="28"/>
          <w:szCs w:val="28"/>
        </w:rPr>
        <w:t xml:space="preserve"> осуществляется методом прямого расчета</w:t>
      </w:r>
      <w:r>
        <w:rPr>
          <w:sz w:val="28"/>
          <w:szCs w:val="28"/>
        </w:rPr>
        <w:t xml:space="preserve"> исходя из </w:t>
      </w:r>
      <w:r w:rsidRPr="00B72D6B">
        <w:rPr>
          <w:color w:val="000000"/>
          <w:sz w:val="28"/>
          <w:szCs w:val="28"/>
        </w:rPr>
        <w:t>средне</w:t>
      </w:r>
      <w:r>
        <w:rPr>
          <w:color w:val="000000"/>
          <w:sz w:val="28"/>
          <w:szCs w:val="28"/>
        </w:rPr>
        <w:t>го ко</w:t>
      </w:r>
      <w:r w:rsidRPr="00B72D6B">
        <w:rPr>
          <w:color w:val="000000"/>
          <w:sz w:val="28"/>
          <w:szCs w:val="28"/>
        </w:rPr>
        <w:t>личеств</w:t>
      </w:r>
      <w:r>
        <w:rPr>
          <w:color w:val="000000"/>
          <w:sz w:val="28"/>
          <w:szCs w:val="28"/>
        </w:rPr>
        <w:t>а</w:t>
      </w:r>
      <w:r w:rsidRPr="00B72D6B">
        <w:rPr>
          <w:color w:val="000000"/>
          <w:sz w:val="28"/>
          <w:szCs w:val="28"/>
        </w:rPr>
        <w:t xml:space="preserve"> </w:t>
      </w:r>
      <w:r>
        <w:rPr>
          <w:color w:val="000000"/>
          <w:sz w:val="28"/>
          <w:szCs w:val="28"/>
        </w:rPr>
        <w:t xml:space="preserve">административных штрафов, предусмотренных </w:t>
      </w:r>
      <w:r w:rsidRPr="00FE0004">
        <w:rPr>
          <w:sz w:val="28"/>
          <w:szCs w:val="28"/>
        </w:rPr>
        <w:t>статьей 12.31.1</w:t>
      </w:r>
      <w:r>
        <w:rPr>
          <w:sz w:val="28"/>
          <w:szCs w:val="28"/>
        </w:rPr>
        <w:t xml:space="preserve"> КоАП</w:t>
      </w:r>
      <w:r>
        <w:rPr>
          <w:color w:val="000000"/>
          <w:sz w:val="28"/>
          <w:szCs w:val="28"/>
        </w:rPr>
        <w:t xml:space="preserve">  за </w:t>
      </w:r>
      <w:r w:rsidRPr="00AE7287">
        <w:rPr>
          <w:color w:val="000000"/>
          <w:sz w:val="28"/>
          <w:szCs w:val="28"/>
        </w:rPr>
        <w:t xml:space="preserve">нарушение требований обеспечения безопасности перевозок пассажиров и багажа, грузов автомобильным транспортом </w:t>
      </w:r>
      <w:r>
        <w:rPr>
          <w:color w:val="000000"/>
          <w:sz w:val="28"/>
          <w:szCs w:val="28"/>
        </w:rPr>
        <w:t>за период 2018-2020 гг.</w:t>
      </w:r>
      <w:r w:rsidRPr="00B72D6B">
        <w:rPr>
          <w:color w:val="000000"/>
          <w:sz w:val="28"/>
          <w:szCs w:val="28"/>
        </w:rPr>
        <w:t xml:space="preserve"> </w:t>
      </w:r>
      <w:r>
        <w:rPr>
          <w:color w:val="000000"/>
          <w:sz w:val="28"/>
          <w:szCs w:val="28"/>
        </w:rPr>
        <w:t xml:space="preserve">и </w:t>
      </w:r>
      <w:r w:rsidRPr="00B72D6B">
        <w:rPr>
          <w:color w:val="000000"/>
          <w:sz w:val="28"/>
          <w:szCs w:val="28"/>
        </w:rPr>
        <w:t>размер</w:t>
      </w:r>
      <w:r>
        <w:rPr>
          <w:color w:val="000000"/>
          <w:sz w:val="28"/>
          <w:szCs w:val="28"/>
        </w:rPr>
        <w:t>а</w:t>
      </w:r>
      <w:r w:rsidRPr="00B72D6B">
        <w:rPr>
          <w:color w:val="000000"/>
          <w:sz w:val="28"/>
          <w:szCs w:val="28"/>
        </w:rPr>
        <w:t xml:space="preserve"> </w:t>
      </w:r>
      <w:r>
        <w:rPr>
          <w:color w:val="000000"/>
          <w:sz w:val="28"/>
          <w:szCs w:val="28"/>
        </w:rPr>
        <w:t>наиболее часто налагаемого</w:t>
      </w:r>
      <w:r w:rsidRPr="00B72D6B">
        <w:rPr>
          <w:color w:val="000000"/>
          <w:sz w:val="28"/>
          <w:szCs w:val="28"/>
        </w:rPr>
        <w:t xml:space="preserve"> </w:t>
      </w:r>
      <w:r>
        <w:rPr>
          <w:color w:val="000000"/>
          <w:sz w:val="28"/>
          <w:szCs w:val="28"/>
        </w:rPr>
        <w:t xml:space="preserve"> административного штрафа</w:t>
      </w:r>
      <w:r w:rsidRPr="00B72D6B">
        <w:rPr>
          <w:color w:val="000000"/>
          <w:sz w:val="28"/>
          <w:szCs w:val="28"/>
        </w:rPr>
        <w:t>, установленного Ко</w:t>
      </w:r>
      <w:r>
        <w:rPr>
          <w:color w:val="000000"/>
          <w:sz w:val="28"/>
          <w:szCs w:val="28"/>
        </w:rPr>
        <w:t>АП РФ.</w:t>
      </w:r>
    </w:p>
    <w:p w:rsidR="0055491A" w:rsidRDefault="0055491A" w:rsidP="0055491A">
      <w:pPr>
        <w:autoSpaceDE w:val="0"/>
        <w:autoSpaceDN w:val="0"/>
        <w:adjustRightInd w:val="0"/>
        <w:ind w:firstLine="709"/>
        <w:jc w:val="both"/>
        <w:rPr>
          <w:color w:val="000000"/>
          <w:sz w:val="28"/>
          <w:szCs w:val="28"/>
        </w:rPr>
      </w:pPr>
      <w:r>
        <w:rPr>
          <w:color w:val="000000"/>
          <w:sz w:val="28"/>
          <w:szCs w:val="28"/>
        </w:rPr>
        <w:t>Расчет прогноза поступлений представлен в таблице:</w:t>
      </w:r>
    </w:p>
    <w:p w:rsidR="0055491A" w:rsidRDefault="0055491A" w:rsidP="0055491A">
      <w:pPr>
        <w:autoSpaceDE w:val="0"/>
        <w:autoSpaceDN w:val="0"/>
        <w:adjustRightInd w:val="0"/>
        <w:ind w:firstLine="709"/>
        <w:jc w:val="both"/>
        <w:rPr>
          <w:color w:val="000000"/>
          <w:sz w:val="28"/>
          <w:szCs w:val="28"/>
        </w:rPr>
      </w:pPr>
    </w:p>
    <w:tbl>
      <w:tblPr>
        <w:tblStyle w:val="a6"/>
        <w:tblW w:w="0" w:type="auto"/>
        <w:tblLook w:val="04A0" w:firstRow="1" w:lastRow="0" w:firstColumn="1" w:lastColumn="0" w:noHBand="0" w:noVBand="1"/>
      </w:tblPr>
      <w:tblGrid>
        <w:gridCol w:w="1155"/>
        <w:gridCol w:w="1078"/>
        <w:gridCol w:w="1078"/>
        <w:gridCol w:w="1079"/>
        <w:gridCol w:w="1701"/>
        <w:gridCol w:w="1084"/>
        <w:gridCol w:w="1084"/>
        <w:gridCol w:w="1085"/>
      </w:tblGrid>
      <w:tr w:rsidR="0055491A" w:rsidRPr="00EF015F" w:rsidTr="00210BF6">
        <w:tc>
          <w:tcPr>
            <w:tcW w:w="1155" w:type="dxa"/>
            <w:vMerge w:val="restart"/>
            <w:vAlign w:val="center"/>
          </w:tcPr>
          <w:p w:rsidR="0055491A" w:rsidRPr="00EF015F" w:rsidRDefault="0055491A" w:rsidP="00210BF6">
            <w:pPr>
              <w:autoSpaceDE w:val="0"/>
              <w:autoSpaceDN w:val="0"/>
              <w:adjustRightInd w:val="0"/>
              <w:ind w:firstLine="0"/>
              <w:jc w:val="center"/>
              <w:rPr>
                <w:color w:val="000000"/>
                <w:sz w:val="22"/>
                <w:szCs w:val="22"/>
              </w:rPr>
            </w:pPr>
            <w:r w:rsidRPr="00EF015F">
              <w:rPr>
                <w:b/>
                <w:color w:val="000000"/>
                <w:sz w:val="22"/>
                <w:szCs w:val="22"/>
              </w:rPr>
              <w:t>Размер штрафа, тыс. руб</w:t>
            </w:r>
            <w:r w:rsidRPr="00EF015F">
              <w:rPr>
                <w:color w:val="000000"/>
                <w:sz w:val="22"/>
                <w:szCs w:val="22"/>
              </w:rPr>
              <w:t>.</w:t>
            </w:r>
          </w:p>
        </w:tc>
        <w:tc>
          <w:tcPr>
            <w:tcW w:w="3235" w:type="dxa"/>
            <w:gridSpan w:val="3"/>
            <w:vAlign w:val="center"/>
          </w:tcPr>
          <w:p w:rsidR="0055491A" w:rsidRPr="001A3876" w:rsidRDefault="0055491A" w:rsidP="00210BF6">
            <w:pPr>
              <w:autoSpaceDE w:val="0"/>
              <w:autoSpaceDN w:val="0"/>
              <w:adjustRightInd w:val="0"/>
              <w:ind w:firstLine="0"/>
              <w:jc w:val="center"/>
              <w:rPr>
                <w:b/>
                <w:color w:val="000000"/>
                <w:sz w:val="22"/>
                <w:szCs w:val="22"/>
              </w:rPr>
            </w:pPr>
            <w:r w:rsidRPr="001A3876">
              <w:rPr>
                <w:b/>
                <w:color w:val="000000"/>
                <w:sz w:val="22"/>
                <w:szCs w:val="22"/>
              </w:rPr>
              <w:t>Количество административных правонарушений, шт.</w:t>
            </w:r>
          </w:p>
        </w:tc>
        <w:tc>
          <w:tcPr>
            <w:tcW w:w="1701" w:type="dxa"/>
            <w:vMerge w:val="restart"/>
            <w:vAlign w:val="center"/>
          </w:tcPr>
          <w:p w:rsidR="0055491A" w:rsidRPr="00EF015F" w:rsidRDefault="0055491A" w:rsidP="00210BF6">
            <w:pPr>
              <w:autoSpaceDE w:val="0"/>
              <w:autoSpaceDN w:val="0"/>
              <w:adjustRightInd w:val="0"/>
              <w:ind w:firstLine="0"/>
              <w:jc w:val="center"/>
              <w:rPr>
                <w:color w:val="000000"/>
                <w:sz w:val="22"/>
                <w:szCs w:val="22"/>
              </w:rPr>
            </w:pPr>
            <w:r w:rsidRPr="00EF015F">
              <w:rPr>
                <w:b/>
                <w:color w:val="000000"/>
                <w:sz w:val="22"/>
                <w:szCs w:val="22"/>
              </w:rPr>
              <w:t>Среднее количество, шт.</w:t>
            </w:r>
            <w:r w:rsidRPr="00EF015F">
              <w:rPr>
                <w:color w:val="000000"/>
                <w:sz w:val="22"/>
                <w:szCs w:val="22"/>
              </w:rPr>
              <w:t xml:space="preserve">                      (гр. 2+гр.3+гр.4)/3</w:t>
            </w:r>
          </w:p>
        </w:tc>
        <w:tc>
          <w:tcPr>
            <w:tcW w:w="3253" w:type="dxa"/>
            <w:gridSpan w:val="3"/>
            <w:vAlign w:val="center"/>
          </w:tcPr>
          <w:p w:rsidR="0055491A" w:rsidRPr="00EF015F" w:rsidRDefault="0055491A" w:rsidP="00210BF6">
            <w:pPr>
              <w:autoSpaceDE w:val="0"/>
              <w:autoSpaceDN w:val="0"/>
              <w:adjustRightInd w:val="0"/>
              <w:ind w:firstLine="0"/>
              <w:jc w:val="center"/>
              <w:rPr>
                <w:color w:val="000000"/>
                <w:sz w:val="22"/>
                <w:szCs w:val="22"/>
              </w:rPr>
            </w:pPr>
            <w:r w:rsidRPr="00EF015F">
              <w:rPr>
                <w:b/>
                <w:color w:val="000000"/>
                <w:sz w:val="22"/>
                <w:szCs w:val="22"/>
              </w:rPr>
              <w:t>Прогноз поступлений</w:t>
            </w:r>
            <w:r w:rsidRPr="00EF015F">
              <w:rPr>
                <w:color w:val="000000"/>
                <w:sz w:val="22"/>
                <w:szCs w:val="22"/>
              </w:rPr>
              <w:t xml:space="preserve"> (гр.1*гр.5),  </w:t>
            </w:r>
            <w:r w:rsidRPr="00EF015F">
              <w:rPr>
                <w:b/>
                <w:color w:val="000000"/>
                <w:sz w:val="22"/>
                <w:szCs w:val="22"/>
              </w:rPr>
              <w:t>тыс. руб.</w:t>
            </w:r>
          </w:p>
        </w:tc>
      </w:tr>
      <w:tr w:rsidR="0055491A" w:rsidRPr="00EF015F" w:rsidTr="00210BF6">
        <w:tc>
          <w:tcPr>
            <w:tcW w:w="1155" w:type="dxa"/>
            <w:vMerge/>
            <w:vAlign w:val="center"/>
          </w:tcPr>
          <w:p w:rsidR="0055491A" w:rsidRPr="00EF015F" w:rsidRDefault="0055491A" w:rsidP="00210BF6">
            <w:pPr>
              <w:autoSpaceDE w:val="0"/>
              <w:autoSpaceDN w:val="0"/>
              <w:adjustRightInd w:val="0"/>
              <w:ind w:firstLine="0"/>
              <w:jc w:val="center"/>
              <w:rPr>
                <w:color w:val="000000"/>
                <w:sz w:val="22"/>
                <w:szCs w:val="22"/>
              </w:rPr>
            </w:pPr>
          </w:p>
        </w:tc>
        <w:tc>
          <w:tcPr>
            <w:tcW w:w="1078" w:type="dxa"/>
            <w:vAlign w:val="center"/>
          </w:tcPr>
          <w:p w:rsidR="0055491A" w:rsidRPr="001A3876" w:rsidRDefault="0055491A" w:rsidP="00210BF6">
            <w:pPr>
              <w:autoSpaceDE w:val="0"/>
              <w:autoSpaceDN w:val="0"/>
              <w:adjustRightInd w:val="0"/>
              <w:ind w:firstLine="0"/>
              <w:jc w:val="center"/>
              <w:rPr>
                <w:b/>
                <w:color w:val="000000"/>
                <w:sz w:val="22"/>
                <w:szCs w:val="22"/>
              </w:rPr>
            </w:pPr>
            <w:r w:rsidRPr="001A3876">
              <w:rPr>
                <w:b/>
                <w:color w:val="000000"/>
                <w:sz w:val="22"/>
                <w:szCs w:val="22"/>
              </w:rPr>
              <w:t>2018 год</w:t>
            </w:r>
          </w:p>
        </w:tc>
        <w:tc>
          <w:tcPr>
            <w:tcW w:w="1078" w:type="dxa"/>
            <w:vAlign w:val="center"/>
          </w:tcPr>
          <w:p w:rsidR="0055491A" w:rsidRPr="001A3876" w:rsidRDefault="0055491A" w:rsidP="00210BF6">
            <w:pPr>
              <w:autoSpaceDE w:val="0"/>
              <w:autoSpaceDN w:val="0"/>
              <w:adjustRightInd w:val="0"/>
              <w:ind w:firstLine="0"/>
              <w:jc w:val="center"/>
              <w:rPr>
                <w:b/>
                <w:color w:val="000000"/>
                <w:sz w:val="22"/>
                <w:szCs w:val="22"/>
              </w:rPr>
            </w:pPr>
            <w:r w:rsidRPr="001A3876">
              <w:rPr>
                <w:b/>
                <w:color w:val="000000"/>
                <w:sz w:val="22"/>
                <w:szCs w:val="22"/>
              </w:rPr>
              <w:t>2019 год</w:t>
            </w:r>
          </w:p>
        </w:tc>
        <w:tc>
          <w:tcPr>
            <w:tcW w:w="1079" w:type="dxa"/>
            <w:vAlign w:val="center"/>
          </w:tcPr>
          <w:p w:rsidR="0055491A" w:rsidRPr="001A3876" w:rsidRDefault="0055491A" w:rsidP="00210BF6">
            <w:pPr>
              <w:autoSpaceDE w:val="0"/>
              <w:autoSpaceDN w:val="0"/>
              <w:adjustRightInd w:val="0"/>
              <w:ind w:firstLine="0"/>
              <w:jc w:val="center"/>
              <w:rPr>
                <w:b/>
                <w:color w:val="000000"/>
                <w:sz w:val="22"/>
                <w:szCs w:val="22"/>
              </w:rPr>
            </w:pPr>
            <w:r w:rsidRPr="001A3876">
              <w:rPr>
                <w:b/>
                <w:color w:val="000000"/>
                <w:sz w:val="22"/>
                <w:szCs w:val="22"/>
              </w:rPr>
              <w:t>2020 год</w:t>
            </w:r>
          </w:p>
        </w:tc>
        <w:tc>
          <w:tcPr>
            <w:tcW w:w="1701" w:type="dxa"/>
            <w:vMerge/>
            <w:vAlign w:val="center"/>
          </w:tcPr>
          <w:p w:rsidR="0055491A" w:rsidRPr="00EF015F" w:rsidRDefault="0055491A" w:rsidP="00210BF6">
            <w:pPr>
              <w:autoSpaceDE w:val="0"/>
              <w:autoSpaceDN w:val="0"/>
              <w:adjustRightInd w:val="0"/>
              <w:ind w:firstLine="0"/>
              <w:jc w:val="center"/>
              <w:rPr>
                <w:color w:val="000000"/>
                <w:sz w:val="22"/>
                <w:szCs w:val="22"/>
              </w:rPr>
            </w:pPr>
          </w:p>
        </w:tc>
        <w:tc>
          <w:tcPr>
            <w:tcW w:w="1084" w:type="dxa"/>
            <w:vAlign w:val="center"/>
          </w:tcPr>
          <w:p w:rsidR="0055491A" w:rsidRPr="00EF015F" w:rsidRDefault="0055491A" w:rsidP="00210BF6">
            <w:pPr>
              <w:autoSpaceDE w:val="0"/>
              <w:autoSpaceDN w:val="0"/>
              <w:adjustRightInd w:val="0"/>
              <w:ind w:firstLine="0"/>
              <w:jc w:val="center"/>
              <w:rPr>
                <w:b/>
                <w:color w:val="000000"/>
                <w:sz w:val="22"/>
                <w:szCs w:val="22"/>
              </w:rPr>
            </w:pPr>
            <w:r w:rsidRPr="00EF015F">
              <w:rPr>
                <w:b/>
                <w:color w:val="000000"/>
                <w:sz w:val="22"/>
                <w:szCs w:val="22"/>
              </w:rPr>
              <w:t>2022 год</w:t>
            </w:r>
          </w:p>
        </w:tc>
        <w:tc>
          <w:tcPr>
            <w:tcW w:w="1084" w:type="dxa"/>
            <w:vAlign w:val="center"/>
          </w:tcPr>
          <w:p w:rsidR="0055491A" w:rsidRPr="00EF015F" w:rsidRDefault="0055491A" w:rsidP="00210BF6">
            <w:pPr>
              <w:autoSpaceDE w:val="0"/>
              <w:autoSpaceDN w:val="0"/>
              <w:adjustRightInd w:val="0"/>
              <w:ind w:firstLine="0"/>
              <w:jc w:val="center"/>
              <w:rPr>
                <w:b/>
                <w:color w:val="000000"/>
                <w:sz w:val="22"/>
                <w:szCs w:val="22"/>
              </w:rPr>
            </w:pPr>
            <w:r w:rsidRPr="00EF015F">
              <w:rPr>
                <w:b/>
                <w:color w:val="000000"/>
                <w:sz w:val="22"/>
                <w:szCs w:val="22"/>
              </w:rPr>
              <w:t>2023 год</w:t>
            </w:r>
          </w:p>
        </w:tc>
        <w:tc>
          <w:tcPr>
            <w:tcW w:w="1085" w:type="dxa"/>
            <w:vAlign w:val="center"/>
          </w:tcPr>
          <w:p w:rsidR="0055491A" w:rsidRPr="00EF015F" w:rsidRDefault="0055491A" w:rsidP="00210BF6">
            <w:pPr>
              <w:autoSpaceDE w:val="0"/>
              <w:autoSpaceDN w:val="0"/>
              <w:adjustRightInd w:val="0"/>
              <w:ind w:firstLine="0"/>
              <w:jc w:val="center"/>
              <w:rPr>
                <w:b/>
                <w:color w:val="000000"/>
                <w:sz w:val="22"/>
                <w:szCs w:val="22"/>
              </w:rPr>
            </w:pPr>
            <w:r w:rsidRPr="00EF015F">
              <w:rPr>
                <w:b/>
                <w:color w:val="000000"/>
                <w:sz w:val="22"/>
                <w:szCs w:val="22"/>
              </w:rPr>
              <w:t>2024 год</w:t>
            </w:r>
          </w:p>
        </w:tc>
      </w:tr>
      <w:tr w:rsidR="0055491A" w:rsidRPr="00EF015F" w:rsidTr="00210BF6">
        <w:tc>
          <w:tcPr>
            <w:tcW w:w="1155" w:type="dxa"/>
            <w:vAlign w:val="center"/>
          </w:tcPr>
          <w:p w:rsidR="0055491A" w:rsidRPr="00EF015F" w:rsidRDefault="0055491A" w:rsidP="00210BF6">
            <w:pPr>
              <w:autoSpaceDE w:val="0"/>
              <w:autoSpaceDN w:val="0"/>
              <w:adjustRightInd w:val="0"/>
              <w:ind w:firstLine="0"/>
              <w:jc w:val="center"/>
              <w:rPr>
                <w:color w:val="000000"/>
                <w:sz w:val="18"/>
                <w:szCs w:val="18"/>
              </w:rPr>
            </w:pPr>
            <w:r w:rsidRPr="00EF015F">
              <w:rPr>
                <w:color w:val="000000"/>
                <w:sz w:val="18"/>
                <w:szCs w:val="18"/>
              </w:rPr>
              <w:t>1</w:t>
            </w:r>
          </w:p>
        </w:tc>
        <w:tc>
          <w:tcPr>
            <w:tcW w:w="1078" w:type="dxa"/>
            <w:vAlign w:val="center"/>
          </w:tcPr>
          <w:p w:rsidR="0055491A" w:rsidRPr="00EF015F" w:rsidRDefault="0055491A" w:rsidP="00210BF6">
            <w:pPr>
              <w:autoSpaceDE w:val="0"/>
              <w:autoSpaceDN w:val="0"/>
              <w:adjustRightInd w:val="0"/>
              <w:ind w:firstLine="0"/>
              <w:jc w:val="center"/>
              <w:rPr>
                <w:color w:val="000000"/>
                <w:sz w:val="18"/>
                <w:szCs w:val="18"/>
              </w:rPr>
            </w:pPr>
            <w:r w:rsidRPr="00EF015F">
              <w:rPr>
                <w:color w:val="000000"/>
                <w:sz w:val="18"/>
                <w:szCs w:val="18"/>
              </w:rPr>
              <w:t>2</w:t>
            </w:r>
          </w:p>
        </w:tc>
        <w:tc>
          <w:tcPr>
            <w:tcW w:w="1078" w:type="dxa"/>
            <w:vAlign w:val="center"/>
          </w:tcPr>
          <w:p w:rsidR="0055491A" w:rsidRPr="00EF015F" w:rsidRDefault="0055491A" w:rsidP="00210BF6">
            <w:pPr>
              <w:autoSpaceDE w:val="0"/>
              <w:autoSpaceDN w:val="0"/>
              <w:adjustRightInd w:val="0"/>
              <w:ind w:firstLine="0"/>
              <w:jc w:val="center"/>
              <w:rPr>
                <w:color w:val="000000"/>
                <w:sz w:val="18"/>
                <w:szCs w:val="18"/>
              </w:rPr>
            </w:pPr>
            <w:r w:rsidRPr="00EF015F">
              <w:rPr>
                <w:color w:val="000000"/>
                <w:sz w:val="18"/>
                <w:szCs w:val="18"/>
              </w:rPr>
              <w:t>3</w:t>
            </w:r>
          </w:p>
        </w:tc>
        <w:tc>
          <w:tcPr>
            <w:tcW w:w="1079" w:type="dxa"/>
            <w:vAlign w:val="center"/>
          </w:tcPr>
          <w:p w:rsidR="0055491A" w:rsidRPr="00EF015F" w:rsidRDefault="0055491A" w:rsidP="00210BF6">
            <w:pPr>
              <w:autoSpaceDE w:val="0"/>
              <w:autoSpaceDN w:val="0"/>
              <w:adjustRightInd w:val="0"/>
              <w:ind w:firstLine="0"/>
              <w:jc w:val="center"/>
              <w:rPr>
                <w:color w:val="000000"/>
                <w:sz w:val="18"/>
                <w:szCs w:val="18"/>
              </w:rPr>
            </w:pPr>
            <w:r w:rsidRPr="00EF015F">
              <w:rPr>
                <w:color w:val="000000"/>
                <w:sz w:val="18"/>
                <w:szCs w:val="18"/>
              </w:rPr>
              <w:t>4</w:t>
            </w:r>
          </w:p>
        </w:tc>
        <w:tc>
          <w:tcPr>
            <w:tcW w:w="1701" w:type="dxa"/>
            <w:vAlign w:val="center"/>
          </w:tcPr>
          <w:p w:rsidR="0055491A" w:rsidRPr="00EF015F" w:rsidRDefault="0055491A" w:rsidP="00210BF6">
            <w:pPr>
              <w:autoSpaceDE w:val="0"/>
              <w:autoSpaceDN w:val="0"/>
              <w:adjustRightInd w:val="0"/>
              <w:ind w:firstLine="0"/>
              <w:jc w:val="center"/>
              <w:rPr>
                <w:color w:val="000000"/>
                <w:sz w:val="18"/>
                <w:szCs w:val="18"/>
              </w:rPr>
            </w:pPr>
            <w:r w:rsidRPr="00EF015F">
              <w:rPr>
                <w:color w:val="000000"/>
                <w:sz w:val="18"/>
                <w:szCs w:val="18"/>
              </w:rPr>
              <w:t>5</w:t>
            </w:r>
          </w:p>
        </w:tc>
        <w:tc>
          <w:tcPr>
            <w:tcW w:w="1084" w:type="dxa"/>
            <w:vAlign w:val="center"/>
          </w:tcPr>
          <w:p w:rsidR="0055491A" w:rsidRPr="00EF015F" w:rsidRDefault="0055491A" w:rsidP="00210BF6">
            <w:pPr>
              <w:autoSpaceDE w:val="0"/>
              <w:autoSpaceDN w:val="0"/>
              <w:adjustRightInd w:val="0"/>
              <w:ind w:firstLine="0"/>
              <w:jc w:val="center"/>
              <w:rPr>
                <w:color w:val="000000"/>
                <w:sz w:val="18"/>
                <w:szCs w:val="18"/>
              </w:rPr>
            </w:pPr>
            <w:r w:rsidRPr="00EF015F">
              <w:rPr>
                <w:color w:val="000000"/>
                <w:sz w:val="18"/>
                <w:szCs w:val="18"/>
              </w:rPr>
              <w:t>6</w:t>
            </w:r>
          </w:p>
        </w:tc>
        <w:tc>
          <w:tcPr>
            <w:tcW w:w="1084" w:type="dxa"/>
            <w:vAlign w:val="center"/>
          </w:tcPr>
          <w:p w:rsidR="0055491A" w:rsidRPr="00EF015F" w:rsidRDefault="0055491A" w:rsidP="00210BF6">
            <w:pPr>
              <w:autoSpaceDE w:val="0"/>
              <w:autoSpaceDN w:val="0"/>
              <w:adjustRightInd w:val="0"/>
              <w:ind w:firstLine="0"/>
              <w:jc w:val="center"/>
              <w:rPr>
                <w:color w:val="000000"/>
                <w:sz w:val="18"/>
                <w:szCs w:val="18"/>
              </w:rPr>
            </w:pPr>
            <w:r w:rsidRPr="00EF015F">
              <w:rPr>
                <w:color w:val="000000"/>
                <w:sz w:val="18"/>
                <w:szCs w:val="18"/>
              </w:rPr>
              <w:t>7</w:t>
            </w:r>
          </w:p>
        </w:tc>
        <w:tc>
          <w:tcPr>
            <w:tcW w:w="1085" w:type="dxa"/>
            <w:vAlign w:val="center"/>
          </w:tcPr>
          <w:p w:rsidR="0055491A" w:rsidRPr="00EF015F" w:rsidRDefault="0055491A" w:rsidP="00210BF6">
            <w:pPr>
              <w:autoSpaceDE w:val="0"/>
              <w:autoSpaceDN w:val="0"/>
              <w:adjustRightInd w:val="0"/>
              <w:ind w:firstLine="0"/>
              <w:jc w:val="center"/>
              <w:rPr>
                <w:color w:val="000000"/>
                <w:sz w:val="18"/>
                <w:szCs w:val="18"/>
              </w:rPr>
            </w:pPr>
            <w:r w:rsidRPr="00EF015F">
              <w:rPr>
                <w:color w:val="000000"/>
                <w:sz w:val="18"/>
                <w:szCs w:val="18"/>
              </w:rPr>
              <w:t>8</w:t>
            </w:r>
          </w:p>
        </w:tc>
      </w:tr>
      <w:tr w:rsidR="0055491A" w:rsidRPr="00EF015F" w:rsidTr="00210BF6">
        <w:tc>
          <w:tcPr>
            <w:tcW w:w="1155" w:type="dxa"/>
            <w:vAlign w:val="center"/>
          </w:tcPr>
          <w:p w:rsidR="0055491A" w:rsidRPr="00EF015F" w:rsidRDefault="0055491A" w:rsidP="00210BF6">
            <w:pPr>
              <w:autoSpaceDE w:val="0"/>
              <w:autoSpaceDN w:val="0"/>
              <w:adjustRightInd w:val="0"/>
              <w:ind w:firstLine="0"/>
              <w:jc w:val="center"/>
              <w:rPr>
                <w:b/>
                <w:color w:val="000000"/>
                <w:sz w:val="22"/>
                <w:szCs w:val="22"/>
              </w:rPr>
            </w:pPr>
            <w:r w:rsidRPr="00EF015F">
              <w:rPr>
                <w:b/>
                <w:color w:val="000000"/>
                <w:sz w:val="22"/>
                <w:szCs w:val="22"/>
              </w:rPr>
              <w:t>1,5</w:t>
            </w:r>
          </w:p>
        </w:tc>
        <w:tc>
          <w:tcPr>
            <w:tcW w:w="1078" w:type="dxa"/>
            <w:vAlign w:val="center"/>
          </w:tcPr>
          <w:p w:rsidR="0055491A" w:rsidRPr="00EF015F" w:rsidRDefault="0055491A" w:rsidP="00210BF6">
            <w:pPr>
              <w:autoSpaceDE w:val="0"/>
              <w:autoSpaceDN w:val="0"/>
              <w:adjustRightInd w:val="0"/>
              <w:ind w:firstLine="0"/>
              <w:jc w:val="center"/>
              <w:rPr>
                <w:color w:val="000000"/>
                <w:sz w:val="22"/>
                <w:szCs w:val="22"/>
              </w:rPr>
            </w:pPr>
            <w:r w:rsidRPr="00EF015F">
              <w:rPr>
                <w:color w:val="000000"/>
                <w:sz w:val="22"/>
                <w:szCs w:val="22"/>
              </w:rPr>
              <w:t>0</w:t>
            </w:r>
          </w:p>
        </w:tc>
        <w:tc>
          <w:tcPr>
            <w:tcW w:w="1078" w:type="dxa"/>
            <w:vAlign w:val="center"/>
          </w:tcPr>
          <w:p w:rsidR="0055491A" w:rsidRPr="00EF015F" w:rsidRDefault="0055491A" w:rsidP="00210BF6">
            <w:pPr>
              <w:autoSpaceDE w:val="0"/>
              <w:autoSpaceDN w:val="0"/>
              <w:adjustRightInd w:val="0"/>
              <w:ind w:firstLine="0"/>
              <w:jc w:val="center"/>
              <w:rPr>
                <w:color w:val="000000"/>
                <w:sz w:val="22"/>
                <w:szCs w:val="22"/>
              </w:rPr>
            </w:pPr>
            <w:r w:rsidRPr="00EF015F">
              <w:rPr>
                <w:color w:val="000000"/>
                <w:sz w:val="22"/>
                <w:szCs w:val="22"/>
              </w:rPr>
              <w:t>1</w:t>
            </w:r>
          </w:p>
        </w:tc>
        <w:tc>
          <w:tcPr>
            <w:tcW w:w="1079" w:type="dxa"/>
            <w:vAlign w:val="center"/>
          </w:tcPr>
          <w:p w:rsidR="0055491A" w:rsidRPr="00EF015F" w:rsidRDefault="0055491A" w:rsidP="00210BF6">
            <w:pPr>
              <w:autoSpaceDE w:val="0"/>
              <w:autoSpaceDN w:val="0"/>
              <w:adjustRightInd w:val="0"/>
              <w:ind w:firstLine="0"/>
              <w:jc w:val="center"/>
              <w:rPr>
                <w:color w:val="000000"/>
                <w:sz w:val="22"/>
                <w:szCs w:val="22"/>
              </w:rPr>
            </w:pPr>
            <w:r w:rsidRPr="00EF015F">
              <w:rPr>
                <w:color w:val="000000"/>
                <w:sz w:val="22"/>
                <w:szCs w:val="22"/>
              </w:rPr>
              <w:t>165</w:t>
            </w:r>
          </w:p>
        </w:tc>
        <w:tc>
          <w:tcPr>
            <w:tcW w:w="1701" w:type="dxa"/>
            <w:vAlign w:val="center"/>
          </w:tcPr>
          <w:p w:rsidR="0055491A" w:rsidRPr="00EF015F" w:rsidRDefault="0055491A" w:rsidP="00210BF6">
            <w:pPr>
              <w:autoSpaceDE w:val="0"/>
              <w:autoSpaceDN w:val="0"/>
              <w:adjustRightInd w:val="0"/>
              <w:ind w:firstLine="0"/>
              <w:jc w:val="center"/>
              <w:rPr>
                <w:color w:val="000000"/>
                <w:sz w:val="22"/>
                <w:szCs w:val="22"/>
              </w:rPr>
            </w:pPr>
            <w:r w:rsidRPr="00EF015F">
              <w:rPr>
                <w:color w:val="000000"/>
                <w:sz w:val="22"/>
                <w:szCs w:val="22"/>
              </w:rPr>
              <w:t>56</w:t>
            </w:r>
          </w:p>
        </w:tc>
        <w:tc>
          <w:tcPr>
            <w:tcW w:w="1084" w:type="dxa"/>
            <w:vAlign w:val="center"/>
          </w:tcPr>
          <w:p w:rsidR="0055491A" w:rsidRPr="00EF015F" w:rsidRDefault="0055491A" w:rsidP="00210BF6">
            <w:pPr>
              <w:autoSpaceDE w:val="0"/>
              <w:autoSpaceDN w:val="0"/>
              <w:adjustRightInd w:val="0"/>
              <w:ind w:firstLine="0"/>
              <w:jc w:val="center"/>
              <w:rPr>
                <w:b/>
                <w:color w:val="000000"/>
                <w:sz w:val="22"/>
                <w:szCs w:val="22"/>
              </w:rPr>
            </w:pPr>
            <w:r w:rsidRPr="00EF015F">
              <w:rPr>
                <w:b/>
                <w:color w:val="000000"/>
                <w:sz w:val="22"/>
                <w:szCs w:val="22"/>
              </w:rPr>
              <w:t>84,0</w:t>
            </w:r>
          </w:p>
        </w:tc>
        <w:tc>
          <w:tcPr>
            <w:tcW w:w="1084" w:type="dxa"/>
            <w:vAlign w:val="center"/>
          </w:tcPr>
          <w:p w:rsidR="0055491A" w:rsidRPr="00EF015F" w:rsidRDefault="0055491A" w:rsidP="00210BF6">
            <w:pPr>
              <w:autoSpaceDE w:val="0"/>
              <w:autoSpaceDN w:val="0"/>
              <w:adjustRightInd w:val="0"/>
              <w:ind w:firstLine="0"/>
              <w:jc w:val="center"/>
              <w:rPr>
                <w:b/>
                <w:color w:val="000000"/>
                <w:sz w:val="22"/>
                <w:szCs w:val="22"/>
              </w:rPr>
            </w:pPr>
            <w:r w:rsidRPr="00EF015F">
              <w:rPr>
                <w:b/>
                <w:color w:val="000000"/>
                <w:sz w:val="22"/>
                <w:szCs w:val="22"/>
              </w:rPr>
              <w:t>84,0</w:t>
            </w:r>
          </w:p>
        </w:tc>
        <w:tc>
          <w:tcPr>
            <w:tcW w:w="1085" w:type="dxa"/>
            <w:vAlign w:val="center"/>
          </w:tcPr>
          <w:p w:rsidR="0055491A" w:rsidRPr="00EF015F" w:rsidRDefault="0055491A" w:rsidP="00210BF6">
            <w:pPr>
              <w:autoSpaceDE w:val="0"/>
              <w:autoSpaceDN w:val="0"/>
              <w:adjustRightInd w:val="0"/>
              <w:ind w:firstLine="0"/>
              <w:jc w:val="center"/>
              <w:rPr>
                <w:b/>
                <w:color w:val="000000"/>
                <w:sz w:val="22"/>
                <w:szCs w:val="22"/>
              </w:rPr>
            </w:pPr>
            <w:r w:rsidRPr="00EF015F">
              <w:rPr>
                <w:b/>
                <w:color w:val="000000"/>
                <w:sz w:val="22"/>
                <w:szCs w:val="22"/>
              </w:rPr>
              <w:t>84,0</w:t>
            </w:r>
          </w:p>
        </w:tc>
      </w:tr>
    </w:tbl>
    <w:p w:rsidR="0055491A" w:rsidRDefault="0055491A" w:rsidP="0055491A">
      <w:pPr>
        <w:autoSpaceDE w:val="0"/>
        <w:autoSpaceDN w:val="0"/>
        <w:adjustRightInd w:val="0"/>
        <w:ind w:firstLine="709"/>
        <w:jc w:val="both"/>
        <w:rPr>
          <w:color w:val="000000"/>
          <w:sz w:val="28"/>
          <w:szCs w:val="28"/>
        </w:rPr>
      </w:pPr>
    </w:p>
    <w:p w:rsidR="0055491A" w:rsidRDefault="0055491A" w:rsidP="0055491A">
      <w:pPr>
        <w:ind w:firstLine="709"/>
        <w:jc w:val="both"/>
        <w:rPr>
          <w:sz w:val="28"/>
          <w:szCs w:val="28"/>
        </w:rPr>
      </w:pPr>
    </w:p>
    <w:p w:rsidR="0055491A" w:rsidRDefault="0055491A" w:rsidP="0055491A">
      <w:pPr>
        <w:ind w:firstLine="709"/>
        <w:jc w:val="both"/>
        <w:rPr>
          <w:sz w:val="28"/>
          <w:szCs w:val="28"/>
        </w:rPr>
      </w:pPr>
      <w:r>
        <w:rPr>
          <w:sz w:val="28"/>
          <w:szCs w:val="28"/>
        </w:rPr>
        <w:t xml:space="preserve">8.5  </w:t>
      </w:r>
      <w:r w:rsidRPr="001A3876">
        <w:rPr>
          <w:b/>
          <w:sz w:val="28"/>
          <w:szCs w:val="28"/>
        </w:rPr>
        <w:t>КБК 245 1 16 01122 01 0000 140</w:t>
      </w:r>
      <w:r>
        <w:rPr>
          <w:sz w:val="28"/>
          <w:szCs w:val="28"/>
        </w:rPr>
        <w:t xml:space="preserve"> </w:t>
      </w:r>
      <w:r w:rsidRPr="0055238B">
        <w:rPr>
          <w:sz w:val="28"/>
          <w:szCs w:val="28"/>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должностными лицами органов исполнительной власти субъектов Российской Федерации, учреждениями субъектов Российской Федерации</w:t>
      </w:r>
      <w:r>
        <w:rPr>
          <w:sz w:val="28"/>
          <w:szCs w:val="28"/>
        </w:rPr>
        <w:t>.</w:t>
      </w:r>
    </w:p>
    <w:p w:rsidR="0055491A" w:rsidRPr="001A3876" w:rsidRDefault="0055491A" w:rsidP="0055491A">
      <w:pPr>
        <w:ind w:firstLine="709"/>
        <w:jc w:val="both"/>
        <w:rPr>
          <w:b/>
          <w:sz w:val="28"/>
          <w:szCs w:val="28"/>
        </w:rPr>
      </w:pPr>
      <w:r w:rsidRPr="001A3876">
        <w:rPr>
          <w:b/>
          <w:sz w:val="28"/>
          <w:szCs w:val="28"/>
        </w:rPr>
        <w:t>Главный администратор доходов - Главное управление «Государственная инспекция по надзору за техническим состоянием самоходных машин и других видов техники» Тверской области.</w:t>
      </w:r>
    </w:p>
    <w:p w:rsidR="0055491A" w:rsidRDefault="0055491A" w:rsidP="0055491A">
      <w:pPr>
        <w:ind w:firstLine="709"/>
        <w:jc w:val="both"/>
        <w:rPr>
          <w:color w:val="000000"/>
          <w:sz w:val="28"/>
          <w:szCs w:val="28"/>
        </w:rPr>
      </w:pPr>
      <w:r w:rsidRPr="00B56F6E">
        <w:rPr>
          <w:color w:val="000000"/>
          <w:sz w:val="28"/>
          <w:szCs w:val="28"/>
        </w:rPr>
        <w:t xml:space="preserve">Прогноз поступлений доходов в областной бюджет </w:t>
      </w:r>
      <w:r>
        <w:rPr>
          <w:color w:val="000000"/>
          <w:sz w:val="28"/>
          <w:szCs w:val="28"/>
        </w:rPr>
        <w:t xml:space="preserve">Тверской области рассчитан </w:t>
      </w:r>
      <w:r w:rsidRPr="00B56F6E">
        <w:rPr>
          <w:color w:val="000000"/>
          <w:sz w:val="28"/>
          <w:szCs w:val="28"/>
        </w:rPr>
        <w:t>в соответствии с положениями Методики прогнозирования поступлений доходов в областной бюджет Тверской области, утвержденной приказом Главного управления</w:t>
      </w:r>
      <w:r>
        <w:rPr>
          <w:color w:val="000000"/>
          <w:sz w:val="28"/>
          <w:szCs w:val="28"/>
        </w:rPr>
        <w:t xml:space="preserve"> «</w:t>
      </w:r>
      <w:r w:rsidRPr="0055238B">
        <w:rPr>
          <w:sz w:val="28"/>
          <w:szCs w:val="28"/>
        </w:rPr>
        <w:t>Государственная инспекция по надзору за техническим состоянием самоходн</w:t>
      </w:r>
      <w:r>
        <w:rPr>
          <w:sz w:val="28"/>
          <w:szCs w:val="28"/>
        </w:rPr>
        <w:t>ых машин и других видов техники»</w:t>
      </w:r>
      <w:r w:rsidRPr="0055238B">
        <w:rPr>
          <w:sz w:val="28"/>
          <w:szCs w:val="28"/>
        </w:rPr>
        <w:t xml:space="preserve"> </w:t>
      </w:r>
      <w:r w:rsidRPr="00B56F6E">
        <w:rPr>
          <w:color w:val="000000"/>
          <w:sz w:val="28"/>
          <w:szCs w:val="28"/>
        </w:rPr>
        <w:t>от  30.08.2016 № 52/ПК</w:t>
      </w:r>
      <w:r>
        <w:rPr>
          <w:color w:val="000000"/>
          <w:sz w:val="28"/>
          <w:szCs w:val="28"/>
        </w:rPr>
        <w:t xml:space="preserve"> (с учетом изменений от 30.06.2020).</w:t>
      </w:r>
    </w:p>
    <w:p w:rsidR="0055491A" w:rsidRPr="00F92864" w:rsidRDefault="0055491A" w:rsidP="0055491A">
      <w:pPr>
        <w:ind w:firstLine="709"/>
        <w:jc w:val="both"/>
        <w:rPr>
          <w:sz w:val="28"/>
          <w:szCs w:val="28"/>
        </w:rPr>
      </w:pPr>
      <w:r w:rsidRPr="00F92864">
        <w:rPr>
          <w:sz w:val="28"/>
          <w:szCs w:val="28"/>
        </w:rPr>
        <w:t xml:space="preserve">Прогноз </w:t>
      </w:r>
      <w:r w:rsidRPr="00B56F6E">
        <w:rPr>
          <w:sz w:val="28"/>
          <w:szCs w:val="28"/>
        </w:rPr>
        <w:t>на 20</w:t>
      </w:r>
      <w:r>
        <w:rPr>
          <w:sz w:val="28"/>
          <w:szCs w:val="28"/>
        </w:rPr>
        <w:t>22</w:t>
      </w:r>
      <w:r w:rsidRPr="00B56F6E">
        <w:rPr>
          <w:sz w:val="28"/>
          <w:szCs w:val="28"/>
        </w:rPr>
        <w:t>-202</w:t>
      </w:r>
      <w:r>
        <w:rPr>
          <w:sz w:val="28"/>
          <w:szCs w:val="28"/>
        </w:rPr>
        <w:t>4</w:t>
      </w:r>
      <w:r w:rsidRPr="00B56F6E">
        <w:rPr>
          <w:sz w:val="28"/>
          <w:szCs w:val="28"/>
        </w:rPr>
        <w:t xml:space="preserve"> годы </w:t>
      </w:r>
      <w:r w:rsidRPr="00F92864">
        <w:rPr>
          <w:sz w:val="28"/>
          <w:szCs w:val="28"/>
        </w:rPr>
        <w:t>по административным штрафам рассчитывается методом прямого расчета по следующей формуле:</w:t>
      </w:r>
    </w:p>
    <w:p w:rsidR="0055491A" w:rsidRPr="00F92864" w:rsidRDefault="0055491A" w:rsidP="0055491A">
      <w:pPr>
        <w:jc w:val="center"/>
        <w:rPr>
          <w:sz w:val="28"/>
          <w:szCs w:val="28"/>
        </w:rPr>
      </w:pPr>
    </w:p>
    <w:p w:rsidR="0055491A" w:rsidRPr="00F92864" w:rsidRDefault="0055491A" w:rsidP="0055491A">
      <w:pPr>
        <w:jc w:val="center"/>
        <w:rPr>
          <w:sz w:val="28"/>
          <w:szCs w:val="28"/>
        </w:rPr>
      </w:pPr>
      <w:r w:rsidRPr="00F92864">
        <w:rPr>
          <w:sz w:val="28"/>
          <w:szCs w:val="28"/>
          <w:lang w:val="en-US"/>
        </w:rPr>
        <w:t>S</w:t>
      </w:r>
      <w:r w:rsidRPr="00F92864">
        <w:rPr>
          <w:sz w:val="28"/>
          <w:szCs w:val="28"/>
          <w:vertAlign w:val="subscript"/>
        </w:rPr>
        <w:t xml:space="preserve">адм </w:t>
      </w:r>
      <w:r w:rsidRPr="00F92864">
        <w:rPr>
          <w:sz w:val="28"/>
          <w:szCs w:val="28"/>
          <w:vertAlign w:val="subscript"/>
          <w:lang w:val="en-US"/>
        </w:rPr>
        <w:t>j</w:t>
      </w:r>
      <w:r w:rsidRPr="00F92864">
        <w:rPr>
          <w:sz w:val="28"/>
          <w:szCs w:val="28"/>
          <w:vertAlign w:val="subscript"/>
        </w:rPr>
        <w:t xml:space="preserve"> </w:t>
      </w:r>
      <w:r w:rsidRPr="00F92864">
        <w:rPr>
          <w:sz w:val="28"/>
          <w:szCs w:val="28"/>
          <w:vertAlign w:val="subscript"/>
          <w:lang w:val="en-US"/>
        </w:rPr>
        <w:t>n</w:t>
      </w:r>
      <w:r w:rsidRPr="00F92864">
        <w:rPr>
          <w:sz w:val="28"/>
          <w:szCs w:val="28"/>
          <w:vertAlign w:val="subscript"/>
        </w:rPr>
        <w:t xml:space="preserve"> </w:t>
      </w:r>
      <w:r w:rsidRPr="00F92864">
        <w:rPr>
          <w:sz w:val="28"/>
          <w:szCs w:val="28"/>
        </w:rPr>
        <w:t>= К</w:t>
      </w:r>
      <w:r w:rsidRPr="00F92864">
        <w:rPr>
          <w:sz w:val="28"/>
          <w:szCs w:val="28"/>
          <w:vertAlign w:val="subscript"/>
        </w:rPr>
        <w:t xml:space="preserve">адм </w:t>
      </w:r>
      <w:r w:rsidRPr="00F92864">
        <w:rPr>
          <w:sz w:val="28"/>
          <w:szCs w:val="28"/>
          <w:vertAlign w:val="subscript"/>
          <w:lang w:val="en-US"/>
        </w:rPr>
        <w:t>j</w:t>
      </w:r>
      <w:r w:rsidRPr="00F92864">
        <w:rPr>
          <w:sz w:val="28"/>
          <w:szCs w:val="28"/>
          <w:vertAlign w:val="subscript"/>
        </w:rPr>
        <w:t xml:space="preserve"> </w:t>
      </w:r>
      <w:r w:rsidRPr="00F92864">
        <w:rPr>
          <w:sz w:val="28"/>
          <w:szCs w:val="28"/>
          <w:vertAlign w:val="subscript"/>
          <w:lang w:val="en-US"/>
        </w:rPr>
        <w:t>n</w:t>
      </w:r>
      <w:r w:rsidRPr="00F92864">
        <w:rPr>
          <w:sz w:val="28"/>
          <w:szCs w:val="28"/>
          <w:vertAlign w:val="subscript"/>
        </w:rPr>
        <w:t xml:space="preserve"> </w:t>
      </w:r>
      <w:r w:rsidRPr="00F92864">
        <w:rPr>
          <w:sz w:val="28"/>
          <w:szCs w:val="28"/>
        </w:rPr>
        <w:t>х</w:t>
      </w:r>
      <w:r w:rsidRPr="00F92864">
        <w:rPr>
          <w:sz w:val="28"/>
          <w:szCs w:val="28"/>
          <w:vertAlign w:val="subscript"/>
        </w:rPr>
        <w:t xml:space="preserve"> </w:t>
      </w:r>
      <w:r w:rsidRPr="00F92864">
        <w:rPr>
          <w:sz w:val="28"/>
          <w:szCs w:val="28"/>
        </w:rPr>
        <w:t>С</w:t>
      </w:r>
      <w:r w:rsidRPr="00F92864">
        <w:rPr>
          <w:sz w:val="28"/>
          <w:szCs w:val="28"/>
          <w:vertAlign w:val="subscript"/>
        </w:rPr>
        <w:t>адм</w:t>
      </w:r>
      <w:r w:rsidRPr="00F92864">
        <w:rPr>
          <w:sz w:val="28"/>
          <w:szCs w:val="28"/>
        </w:rPr>
        <w:t>, где:</w:t>
      </w:r>
    </w:p>
    <w:p w:rsidR="0055491A" w:rsidRPr="00F92864" w:rsidRDefault="0055491A" w:rsidP="0055491A">
      <w:pPr>
        <w:jc w:val="both"/>
        <w:rPr>
          <w:sz w:val="28"/>
          <w:szCs w:val="28"/>
        </w:rPr>
      </w:pPr>
    </w:p>
    <w:p w:rsidR="0055491A" w:rsidRPr="00F92864" w:rsidRDefault="0055491A" w:rsidP="0055491A">
      <w:pPr>
        <w:ind w:firstLine="708"/>
        <w:jc w:val="both"/>
        <w:rPr>
          <w:sz w:val="28"/>
          <w:szCs w:val="28"/>
        </w:rPr>
      </w:pPr>
      <w:r w:rsidRPr="00F92864">
        <w:rPr>
          <w:sz w:val="28"/>
          <w:szCs w:val="28"/>
          <w:lang w:val="en-US"/>
        </w:rPr>
        <w:lastRenderedPageBreak/>
        <w:t>S</w:t>
      </w:r>
      <w:r w:rsidRPr="00F92864">
        <w:rPr>
          <w:sz w:val="28"/>
          <w:szCs w:val="28"/>
          <w:vertAlign w:val="subscript"/>
        </w:rPr>
        <w:t xml:space="preserve">адм </w:t>
      </w:r>
      <w:r w:rsidRPr="00F92864">
        <w:rPr>
          <w:sz w:val="28"/>
          <w:szCs w:val="28"/>
          <w:vertAlign w:val="subscript"/>
          <w:lang w:val="en-US"/>
        </w:rPr>
        <w:t>j</w:t>
      </w:r>
      <w:r w:rsidRPr="00F92864">
        <w:rPr>
          <w:sz w:val="28"/>
          <w:szCs w:val="28"/>
          <w:vertAlign w:val="subscript"/>
        </w:rPr>
        <w:t xml:space="preserve"> </w:t>
      </w:r>
      <w:r w:rsidRPr="00F92864">
        <w:rPr>
          <w:sz w:val="28"/>
          <w:szCs w:val="28"/>
          <w:vertAlign w:val="subscript"/>
          <w:lang w:val="en-US"/>
        </w:rPr>
        <w:t>n</w:t>
      </w:r>
      <w:r w:rsidRPr="00F92864">
        <w:rPr>
          <w:sz w:val="28"/>
          <w:szCs w:val="28"/>
        </w:rPr>
        <w:t xml:space="preserve"> – прогноз суммы поступления по административным штрафам в </w:t>
      </w:r>
      <w:r w:rsidRPr="00F92864">
        <w:rPr>
          <w:sz w:val="28"/>
          <w:szCs w:val="28"/>
          <w:lang w:val="en-US"/>
        </w:rPr>
        <w:t>n</w:t>
      </w:r>
      <w:r w:rsidRPr="00F92864">
        <w:rPr>
          <w:sz w:val="28"/>
          <w:szCs w:val="28"/>
        </w:rPr>
        <w:t xml:space="preserve"> году;</w:t>
      </w:r>
    </w:p>
    <w:p w:rsidR="0055491A" w:rsidRPr="00F92864" w:rsidRDefault="0055491A" w:rsidP="0055491A">
      <w:pPr>
        <w:ind w:firstLine="709"/>
        <w:jc w:val="both"/>
        <w:rPr>
          <w:sz w:val="28"/>
          <w:szCs w:val="28"/>
        </w:rPr>
      </w:pPr>
      <w:r w:rsidRPr="00F92864">
        <w:rPr>
          <w:sz w:val="28"/>
          <w:szCs w:val="28"/>
        </w:rPr>
        <w:t>К</w:t>
      </w:r>
      <w:r w:rsidRPr="00F92864">
        <w:rPr>
          <w:sz w:val="28"/>
          <w:szCs w:val="28"/>
          <w:vertAlign w:val="subscript"/>
        </w:rPr>
        <w:t xml:space="preserve">адм </w:t>
      </w:r>
      <w:r w:rsidRPr="00F92864">
        <w:rPr>
          <w:sz w:val="28"/>
          <w:szCs w:val="28"/>
          <w:vertAlign w:val="subscript"/>
          <w:lang w:val="en-US"/>
        </w:rPr>
        <w:t>j</w:t>
      </w:r>
      <w:r w:rsidRPr="00F92864">
        <w:rPr>
          <w:sz w:val="28"/>
          <w:szCs w:val="28"/>
          <w:vertAlign w:val="subscript"/>
        </w:rPr>
        <w:t xml:space="preserve"> </w:t>
      </w:r>
      <w:r w:rsidRPr="00F92864">
        <w:rPr>
          <w:sz w:val="28"/>
          <w:szCs w:val="28"/>
          <w:vertAlign w:val="subscript"/>
          <w:lang w:val="en-US"/>
        </w:rPr>
        <w:t>n</w:t>
      </w:r>
      <w:r w:rsidRPr="00F92864">
        <w:rPr>
          <w:sz w:val="28"/>
          <w:szCs w:val="28"/>
          <w:vertAlign w:val="subscript"/>
        </w:rPr>
        <w:t xml:space="preserve">  </w:t>
      </w:r>
      <w:r w:rsidRPr="00F92864">
        <w:rPr>
          <w:sz w:val="28"/>
          <w:szCs w:val="28"/>
        </w:rPr>
        <w:t xml:space="preserve">– </w:t>
      </w:r>
      <w:r>
        <w:rPr>
          <w:sz w:val="28"/>
          <w:szCs w:val="28"/>
        </w:rPr>
        <w:t xml:space="preserve"> прогнозируемое </w:t>
      </w:r>
      <w:r w:rsidRPr="00F92864">
        <w:rPr>
          <w:sz w:val="28"/>
          <w:szCs w:val="28"/>
        </w:rPr>
        <w:t xml:space="preserve">количество постановлений по делам об  административных правонарушениях в </w:t>
      </w:r>
      <w:r w:rsidRPr="00F92864">
        <w:rPr>
          <w:sz w:val="28"/>
          <w:szCs w:val="28"/>
          <w:lang w:val="en-US"/>
        </w:rPr>
        <w:t>n</w:t>
      </w:r>
      <w:r w:rsidRPr="00F92864">
        <w:rPr>
          <w:sz w:val="28"/>
          <w:szCs w:val="28"/>
        </w:rPr>
        <w:t xml:space="preserve"> году;</w:t>
      </w:r>
    </w:p>
    <w:p w:rsidR="0055491A" w:rsidRPr="00F92864" w:rsidRDefault="0055491A" w:rsidP="0055491A">
      <w:pPr>
        <w:ind w:firstLine="709"/>
        <w:jc w:val="both"/>
        <w:rPr>
          <w:sz w:val="28"/>
          <w:szCs w:val="28"/>
        </w:rPr>
      </w:pPr>
      <w:r w:rsidRPr="00F92864">
        <w:rPr>
          <w:sz w:val="28"/>
          <w:szCs w:val="28"/>
        </w:rPr>
        <w:t>С</w:t>
      </w:r>
      <w:r w:rsidRPr="00F92864">
        <w:rPr>
          <w:sz w:val="28"/>
          <w:szCs w:val="28"/>
          <w:vertAlign w:val="subscript"/>
        </w:rPr>
        <w:t>гп</w:t>
      </w:r>
      <w:r w:rsidRPr="00F92864">
        <w:rPr>
          <w:sz w:val="28"/>
          <w:szCs w:val="28"/>
        </w:rPr>
        <w:t xml:space="preserve"> </w:t>
      </w:r>
      <w:r w:rsidRPr="00F92864">
        <w:rPr>
          <w:sz w:val="28"/>
          <w:szCs w:val="28"/>
          <w:vertAlign w:val="subscript"/>
          <w:lang w:val="en-US"/>
        </w:rPr>
        <w:t>j</w:t>
      </w:r>
      <w:r w:rsidRPr="00F92864">
        <w:rPr>
          <w:sz w:val="28"/>
          <w:szCs w:val="28"/>
        </w:rPr>
        <w:t xml:space="preserve"> – размер административного штрафа.</w:t>
      </w:r>
    </w:p>
    <w:p w:rsidR="0055491A" w:rsidRDefault="0055491A" w:rsidP="0055491A">
      <w:pPr>
        <w:ind w:firstLine="709"/>
        <w:jc w:val="both"/>
        <w:rPr>
          <w:sz w:val="28"/>
          <w:szCs w:val="28"/>
        </w:rPr>
      </w:pPr>
      <w:r>
        <w:rPr>
          <w:sz w:val="28"/>
          <w:szCs w:val="28"/>
        </w:rPr>
        <w:t>Размер административного штрафа:</w:t>
      </w:r>
    </w:p>
    <w:p w:rsidR="0055491A" w:rsidRDefault="0055491A" w:rsidP="0055491A">
      <w:pPr>
        <w:ind w:firstLine="709"/>
        <w:jc w:val="both"/>
        <w:rPr>
          <w:sz w:val="28"/>
          <w:szCs w:val="28"/>
        </w:rPr>
      </w:pPr>
      <w:r>
        <w:rPr>
          <w:sz w:val="28"/>
          <w:szCs w:val="28"/>
        </w:rPr>
        <w:t>часть 1 статья 12.37 КоАП РФ – 0,5 тыс. руб.;</w:t>
      </w:r>
    </w:p>
    <w:p w:rsidR="0055491A" w:rsidRDefault="0055491A" w:rsidP="0055491A">
      <w:pPr>
        <w:ind w:firstLine="709"/>
        <w:jc w:val="both"/>
        <w:rPr>
          <w:sz w:val="28"/>
          <w:szCs w:val="28"/>
        </w:rPr>
      </w:pPr>
      <w:r>
        <w:rPr>
          <w:sz w:val="28"/>
          <w:szCs w:val="28"/>
        </w:rPr>
        <w:t>часть 2 статья 12.37 КоАП РФ – 0,8 тыс. руб.</w:t>
      </w:r>
    </w:p>
    <w:p w:rsidR="0055491A" w:rsidRPr="00F92864" w:rsidRDefault="0055491A" w:rsidP="0055491A">
      <w:pPr>
        <w:ind w:firstLine="709"/>
        <w:jc w:val="both"/>
        <w:rPr>
          <w:sz w:val="28"/>
          <w:szCs w:val="28"/>
        </w:rPr>
      </w:pPr>
      <w:r w:rsidRPr="00F92864">
        <w:rPr>
          <w:sz w:val="28"/>
          <w:szCs w:val="28"/>
        </w:rPr>
        <w:t xml:space="preserve">Расчет </w:t>
      </w:r>
      <w:r>
        <w:rPr>
          <w:sz w:val="28"/>
          <w:szCs w:val="28"/>
        </w:rPr>
        <w:t>прогнозируемого количества постановлений</w:t>
      </w:r>
      <w:r w:rsidRPr="00F92864">
        <w:rPr>
          <w:sz w:val="28"/>
          <w:szCs w:val="28"/>
        </w:rPr>
        <w:t xml:space="preserve"> производится по формуле: </w:t>
      </w:r>
    </w:p>
    <w:p w:rsidR="0055491A" w:rsidRPr="00F92864" w:rsidRDefault="0055491A" w:rsidP="0055491A">
      <w:pPr>
        <w:ind w:firstLine="709"/>
        <w:jc w:val="both"/>
        <w:rPr>
          <w:sz w:val="28"/>
          <w:szCs w:val="28"/>
        </w:rPr>
      </w:pPr>
      <w:r w:rsidRPr="00F92864">
        <w:rPr>
          <w:sz w:val="28"/>
          <w:szCs w:val="28"/>
        </w:rPr>
        <w:t>К</w:t>
      </w:r>
      <w:r w:rsidRPr="00F92864">
        <w:rPr>
          <w:sz w:val="28"/>
          <w:szCs w:val="28"/>
          <w:vertAlign w:val="subscript"/>
        </w:rPr>
        <w:t xml:space="preserve">адм </w:t>
      </w:r>
      <w:r w:rsidRPr="00F92864">
        <w:rPr>
          <w:sz w:val="28"/>
          <w:szCs w:val="28"/>
          <w:vertAlign w:val="subscript"/>
          <w:lang w:val="en-US"/>
        </w:rPr>
        <w:t>j</w:t>
      </w:r>
      <w:r w:rsidRPr="00F92864">
        <w:rPr>
          <w:sz w:val="28"/>
          <w:szCs w:val="28"/>
          <w:vertAlign w:val="subscript"/>
        </w:rPr>
        <w:t xml:space="preserve"> </w:t>
      </w:r>
      <w:r w:rsidRPr="00F92864">
        <w:rPr>
          <w:sz w:val="28"/>
          <w:szCs w:val="28"/>
          <w:vertAlign w:val="subscript"/>
          <w:lang w:val="en-US"/>
        </w:rPr>
        <w:t>n</w:t>
      </w:r>
      <w:r w:rsidRPr="00F92864">
        <w:rPr>
          <w:sz w:val="28"/>
          <w:szCs w:val="28"/>
          <w:vertAlign w:val="subscript"/>
        </w:rPr>
        <w:t xml:space="preserve"> </w:t>
      </w:r>
      <w:r w:rsidRPr="00F92864">
        <w:rPr>
          <w:sz w:val="28"/>
          <w:szCs w:val="28"/>
        </w:rPr>
        <w:t>= К</w:t>
      </w:r>
      <w:r w:rsidRPr="00F92864">
        <w:rPr>
          <w:sz w:val="28"/>
          <w:szCs w:val="28"/>
          <w:vertAlign w:val="subscript"/>
        </w:rPr>
        <w:t xml:space="preserve">адм </w:t>
      </w:r>
      <w:r w:rsidRPr="00F92864">
        <w:rPr>
          <w:sz w:val="28"/>
          <w:szCs w:val="28"/>
          <w:vertAlign w:val="subscript"/>
          <w:lang w:val="en-US"/>
        </w:rPr>
        <w:t>j</w:t>
      </w:r>
      <w:r w:rsidRPr="00F92864">
        <w:rPr>
          <w:sz w:val="28"/>
          <w:szCs w:val="28"/>
          <w:vertAlign w:val="subscript"/>
        </w:rPr>
        <w:t xml:space="preserve"> </w:t>
      </w:r>
      <w:r w:rsidRPr="00F92864">
        <w:rPr>
          <w:sz w:val="28"/>
          <w:szCs w:val="28"/>
          <w:vertAlign w:val="subscript"/>
          <w:lang w:val="en-US"/>
        </w:rPr>
        <w:t>n</w:t>
      </w:r>
      <w:r w:rsidRPr="00F92864">
        <w:rPr>
          <w:sz w:val="28"/>
          <w:szCs w:val="28"/>
          <w:vertAlign w:val="subscript"/>
        </w:rPr>
        <w:t xml:space="preserve">-1 </w:t>
      </w:r>
      <w:r w:rsidRPr="00F92864">
        <w:rPr>
          <w:sz w:val="28"/>
          <w:szCs w:val="28"/>
        </w:rPr>
        <w:t>х (1-К</w:t>
      </w:r>
      <w:r w:rsidRPr="00F92864">
        <w:rPr>
          <w:sz w:val="28"/>
          <w:szCs w:val="28"/>
          <w:vertAlign w:val="subscript"/>
        </w:rPr>
        <w:t>сн</w:t>
      </w:r>
      <w:r w:rsidRPr="00F92864">
        <w:rPr>
          <w:sz w:val="28"/>
          <w:szCs w:val="28"/>
        </w:rPr>
        <w:t>/100), где</w:t>
      </w:r>
    </w:p>
    <w:p w:rsidR="0055491A" w:rsidRPr="00F92864" w:rsidRDefault="0055491A" w:rsidP="0055491A">
      <w:pPr>
        <w:ind w:firstLine="709"/>
        <w:jc w:val="both"/>
        <w:rPr>
          <w:sz w:val="28"/>
          <w:szCs w:val="28"/>
        </w:rPr>
      </w:pPr>
      <w:r w:rsidRPr="00F92864">
        <w:rPr>
          <w:sz w:val="28"/>
          <w:szCs w:val="28"/>
        </w:rPr>
        <w:t xml:space="preserve"> К</w:t>
      </w:r>
      <w:r w:rsidRPr="00F92864">
        <w:rPr>
          <w:sz w:val="28"/>
          <w:szCs w:val="28"/>
          <w:vertAlign w:val="subscript"/>
        </w:rPr>
        <w:t xml:space="preserve">адм </w:t>
      </w:r>
      <w:r w:rsidRPr="00F92864">
        <w:rPr>
          <w:sz w:val="28"/>
          <w:szCs w:val="28"/>
          <w:vertAlign w:val="subscript"/>
          <w:lang w:val="en-US"/>
        </w:rPr>
        <w:t>j</w:t>
      </w:r>
      <w:r w:rsidRPr="00F92864">
        <w:rPr>
          <w:sz w:val="28"/>
          <w:szCs w:val="28"/>
          <w:vertAlign w:val="subscript"/>
        </w:rPr>
        <w:t xml:space="preserve"> </w:t>
      </w:r>
      <w:r w:rsidRPr="00F92864">
        <w:rPr>
          <w:sz w:val="28"/>
          <w:szCs w:val="28"/>
          <w:vertAlign w:val="subscript"/>
          <w:lang w:val="en-US"/>
        </w:rPr>
        <w:t>n</w:t>
      </w:r>
      <w:r w:rsidRPr="00F92864">
        <w:rPr>
          <w:sz w:val="28"/>
          <w:szCs w:val="28"/>
          <w:vertAlign w:val="subscript"/>
        </w:rPr>
        <w:t xml:space="preserve">  </w:t>
      </w:r>
      <w:r w:rsidRPr="00F92864">
        <w:rPr>
          <w:sz w:val="28"/>
          <w:szCs w:val="28"/>
        </w:rPr>
        <w:t xml:space="preserve">– количество вынесенных постановлений по делам об  административных правонарушениях в </w:t>
      </w:r>
      <w:r w:rsidRPr="00F92864">
        <w:rPr>
          <w:sz w:val="28"/>
          <w:szCs w:val="28"/>
          <w:lang w:val="en-US"/>
        </w:rPr>
        <w:t>n</w:t>
      </w:r>
      <w:r w:rsidRPr="00F92864">
        <w:rPr>
          <w:sz w:val="28"/>
          <w:szCs w:val="28"/>
        </w:rPr>
        <w:t xml:space="preserve"> году;</w:t>
      </w:r>
    </w:p>
    <w:p w:rsidR="0055491A" w:rsidRPr="00F92864" w:rsidRDefault="0055491A" w:rsidP="0055491A">
      <w:pPr>
        <w:ind w:firstLine="709"/>
        <w:jc w:val="both"/>
        <w:rPr>
          <w:sz w:val="28"/>
          <w:szCs w:val="28"/>
        </w:rPr>
      </w:pPr>
      <w:r w:rsidRPr="00F92864">
        <w:rPr>
          <w:sz w:val="28"/>
          <w:szCs w:val="28"/>
        </w:rPr>
        <w:t>К</w:t>
      </w:r>
      <w:r w:rsidRPr="00F92864">
        <w:rPr>
          <w:sz w:val="28"/>
          <w:szCs w:val="28"/>
          <w:vertAlign w:val="subscript"/>
        </w:rPr>
        <w:t xml:space="preserve">адм </w:t>
      </w:r>
      <w:r w:rsidRPr="00F92864">
        <w:rPr>
          <w:sz w:val="28"/>
          <w:szCs w:val="28"/>
          <w:vertAlign w:val="subscript"/>
          <w:lang w:val="en-US"/>
        </w:rPr>
        <w:t>j</w:t>
      </w:r>
      <w:r w:rsidRPr="00F92864">
        <w:rPr>
          <w:sz w:val="28"/>
          <w:szCs w:val="28"/>
          <w:vertAlign w:val="subscript"/>
        </w:rPr>
        <w:t xml:space="preserve"> </w:t>
      </w:r>
      <w:r w:rsidRPr="00F92864">
        <w:rPr>
          <w:sz w:val="28"/>
          <w:szCs w:val="28"/>
          <w:vertAlign w:val="subscript"/>
          <w:lang w:val="en-US"/>
        </w:rPr>
        <w:t>n</w:t>
      </w:r>
      <w:r w:rsidRPr="00F92864">
        <w:rPr>
          <w:sz w:val="28"/>
          <w:szCs w:val="28"/>
          <w:vertAlign w:val="subscript"/>
        </w:rPr>
        <w:t xml:space="preserve">-1  </w:t>
      </w:r>
      <w:r w:rsidRPr="00F92864">
        <w:rPr>
          <w:sz w:val="28"/>
          <w:szCs w:val="28"/>
        </w:rPr>
        <w:t xml:space="preserve">– количество вынесенных постановлений по делам об  административных правонарушениях в </w:t>
      </w:r>
      <w:r w:rsidRPr="00F92864">
        <w:rPr>
          <w:sz w:val="28"/>
          <w:szCs w:val="28"/>
          <w:lang w:val="en-US"/>
        </w:rPr>
        <w:t>n</w:t>
      </w:r>
      <w:r w:rsidRPr="00F92864">
        <w:rPr>
          <w:sz w:val="28"/>
          <w:szCs w:val="28"/>
        </w:rPr>
        <w:t>-1 году;</w:t>
      </w:r>
    </w:p>
    <w:p w:rsidR="0055491A" w:rsidRPr="00F92864" w:rsidRDefault="0055491A" w:rsidP="0055491A">
      <w:pPr>
        <w:ind w:firstLine="709"/>
        <w:jc w:val="both"/>
        <w:rPr>
          <w:sz w:val="28"/>
          <w:szCs w:val="28"/>
        </w:rPr>
      </w:pPr>
      <w:r w:rsidRPr="00F92864">
        <w:rPr>
          <w:sz w:val="28"/>
          <w:szCs w:val="28"/>
        </w:rPr>
        <w:t>К</w:t>
      </w:r>
      <w:r w:rsidRPr="00F92864">
        <w:rPr>
          <w:sz w:val="28"/>
          <w:szCs w:val="28"/>
          <w:vertAlign w:val="subscript"/>
        </w:rPr>
        <w:t>сн</w:t>
      </w:r>
      <w:r w:rsidRPr="00F92864">
        <w:rPr>
          <w:sz w:val="28"/>
          <w:szCs w:val="28"/>
        </w:rPr>
        <w:t xml:space="preserve"> – коэффициент снижения нарушений.</w:t>
      </w:r>
    </w:p>
    <w:p w:rsidR="0055491A" w:rsidRDefault="0055491A" w:rsidP="0055491A">
      <w:pPr>
        <w:ind w:firstLine="709"/>
        <w:jc w:val="both"/>
        <w:rPr>
          <w:sz w:val="28"/>
          <w:szCs w:val="28"/>
        </w:rPr>
      </w:pPr>
      <w:r>
        <w:rPr>
          <w:sz w:val="28"/>
          <w:szCs w:val="28"/>
        </w:rPr>
        <w:t xml:space="preserve">Прогнозируемое количество постановлений в 2022– 2024 годах рассчитано исходя из ожидаемого количества постановлений об административных правонарушениях в 2021 году (в разрезе муниципальных образований), умноженных на показатель государственной программы Тверской области «Обеспечение государственного надзора и контроля Тверской области» на 2021-2026 годы - коэффициент снижения нарушений в области эксплуатации транспортных средств (2022 год –6,5%, 2023 год – 6,0%, 2024 год –5,5%) и составляет: </w:t>
      </w:r>
    </w:p>
    <w:p w:rsidR="0055491A" w:rsidRDefault="0055491A" w:rsidP="0055491A">
      <w:pPr>
        <w:ind w:firstLine="709"/>
        <w:jc w:val="both"/>
        <w:rPr>
          <w:sz w:val="28"/>
          <w:szCs w:val="28"/>
        </w:rPr>
      </w:pPr>
      <w:r>
        <w:rPr>
          <w:sz w:val="28"/>
          <w:szCs w:val="28"/>
        </w:rPr>
        <w:t>часть 1 статья 12.37 КоАП РФ:</w:t>
      </w:r>
    </w:p>
    <w:p w:rsidR="0055491A" w:rsidRDefault="0055491A" w:rsidP="0055491A">
      <w:pPr>
        <w:ind w:firstLine="709"/>
        <w:jc w:val="both"/>
        <w:rPr>
          <w:sz w:val="28"/>
          <w:szCs w:val="28"/>
        </w:rPr>
      </w:pPr>
      <w:r>
        <w:rPr>
          <w:sz w:val="28"/>
          <w:szCs w:val="28"/>
        </w:rPr>
        <w:t>2022 год – 22 шт., 2023 год – 22 шт., 2024 год – 22 шт.</w:t>
      </w:r>
    </w:p>
    <w:p w:rsidR="0055491A" w:rsidRDefault="0055491A" w:rsidP="0055491A">
      <w:pPr>
        <w:ind w:firstLine="709"/>
        <w:jc w:val="both"/>
        <w:rPr>
          <w:sz w:val="28"/>
          <w:szCs w:val="28"/>
        </w:rPr>
      </w:pPr>
      <w:r>
        <w:rPr>
          <w:sz w:val="28"/>
          <w:szCs w:val="28"/>
        </w:rPr>
        <w:t>часть 2 статья 12.37 КоАП РФ:</w:t>
      </w:r>
    </w:p>
    <w:p w:rsidR="0055491A" w:rsidRDefault="0055491A" w:rsidP="0055491A">
      <w:pPr>
        <w:ind w:firstLine="709"/>
        <w:jc w:val="both"/>
        <w:rPr>
          <w:sz w:val="28"/>
          <w:szCs w:val="28"/>
        </w:rPr>
      </w:pPr>
      <w:r>
        <w:rPr>
          <w:sz w:val="28"/>
          <w:szCs w:val="28"/>
        </w:rPr>
        <w:t>2022 год – 122 шт., 2023 год – 120 шт., 2024 год – 119шт.</w:t>
      </w:r>
    </w:p>
    <w:p w:rsidR="0055491A" w:rsidRDefault="0055491A" w:rsidP="0055491A">
      <w:pPr>
        <w:ind w:firstLine="709"/>
        <w:jc w:val="both"/>
        <w:rPr>
          <w:sz w:val="28"/>
          <w:szCs w:val="28"/>
        </w:rPr>
      </w:pPr>
    </w:p>
    <w:p w:rsidR="0055491A" w:rsidRDefault="0055491A" w:rsidP="0055491A">
      <w:pPr>
        <w:ind w:firstLine="708"/>
        <w:jc w:val="both"/>
        <w:rPr>
          <w:sz w:val="28"/>
          <w:szCs w:val="28"/>
        </w:rPr>
      </w:pPr>
      <w:r>
        <w:rPr>
          <w:sz w:val="28"/>
          <w:szCs w:val="28"/>
        </w:rPr>
        <w:t>П</w:t>
      </w:r>
      <w:r w:rsidRPr="00F92864">
        <w:rPr>
          <w:sz w:val="28"/>
          <w:szCs w:val="28"/>
        </w:rPr>
        <w:t xml:space="preserve">рогноз суммы поступления по административным штрафам </w:t>
      </w:r>
      <w:r>
        <w:rPr>
          <w:sz w:val="28"/>
          <w:szCs w:val="28"/>
        </w:rPr>
        <w:t xml:space="preserve">часть 1 статья 12.37 КоАП РФ </w:t>
      </w:r>
    </w:p>
    <w:p w:rsidR="0055491A" w:rsidRDefault="0055491A" w:rsidP="0055491A">
      <w:pPr>
        <w:ind w:firstLine="708"/>
        <w:jc w:val="both"/>
        <w:rPr>
          <w:sz w:val="28"/>
          <w:szCs w:val="28"/>
        </w:rPr>
      </w:pPr>
      <w:r w:rsidRPr="00F92864">
        <w:rPr>
          <w:sz w:val="28"/>
          <w:szCs w:val="28"/>
        </w:rPr>
        <w:t xml:space="preserve">в </w:t>
      </w:r>
      <w:r>
        <w:rPr>
          <w:sz w:val="28"/>
          <w:szCs w:val="28"/>
        </w:rPr>
        <w:t>2022</w:t>
      </w:r>
      <w:r w:rsidRPr="00F92864">
        <w:rPr>
          <w:sz w:val="28"/>
          <w:szCs w:val="28"/>
        </w:rPr>
        <w:t xml:space="preserve"> году</w:t>
      </w:r>
      <w:r>
        <w:rPr>
          <w:sz w:val="28"/>
          <w:szCs w:val="28"/>
        </w:rPr>
        <w:t xml:space="preserve"> = 22,0 </w:t>
      </w:r>
      <w:r w:rsidRPr="00F92864">
        <w:rPr>
          <w:sz w:val="28"/>
          <w:szCs w:val="28"/>
        </w:rPr>
        <w:t>х</w:t>
      </w:r>
      <w:r>
        <w:rPr>
          <w:sz w:val="28"/>
          <w:szCs w:val="28"/>
        </w:rPr>
        <w:t xml:space="preserve"> 0,5 тыс. руб.  = 11,0 тыс. руб.;</w:t>
      </w:r>
    </w:p>
    <w:p w:rsidR="0055491A" w:rsidRPr="00F92864" w:rsidRDefault="0055491A" w:rsidP="0055491A">
      <w:pPr>
        <w:ind w:firstLine="708"/>
        <w:jc w:val="both"/>
        <w:rPr>
          <w:sz w:val="28"/>
          <w:szCs w:val="28"/>
        </w:rPr>
      </w:pPr>
      <w:r w:rsidRPr="00F92864">
        <w:rPr>
          <w:sz w:val="28"/>
          <w:szCs w:val="28"/>
        </w:rPr>
        <w:t xml:space="preserve">в </w:t>
      </w:r>
      <w:r>
        <w:rPr>
          <w:sz w:val="28"/>
          <w:szCs w:val="28"/>
        </w:rPr>
        <w:t>2023</w:t>
      </w:r>
      <w:r w:rsidRPr="00F92864">
        <w:rPr>
          <w:sz w:val="28"/>
          <w:szCs w:val="28"/>
        </w:rPr>
        <w:t xml:space="preserve"> году</w:t>
      </w:r>
      <w:r>
        <w:rPr>
          <w:sz w:val="28"/>
          <w:szCs w:val="28"/>
        </w:rPr>
        <w:t xml:space="preserve"> = 22,0 </w:t>
      </w:r>
      <w:r w:rsidRPr="00F92864">
        <w:rPr>
          <w:sz w:val="28"/>
          <w:szCs w:val="28"/>
        </w:rPr>
        <w:t>х</w:t>
      </w:r>
      <w:r>
        <w:rPr>
          <w:sz w:val="28"/>
          <w:szCs w:val="28"/>
        </w:rPr>
        <w:t xml:space="preserve"> 0,5 тыс. руб.  = 11,0 тыс. руб.;</w:t>
      </w:r>
    </w:p>
    <w:p w:rsidR="0055491A" w:rsidRDefault="0055491A" w:rsidP="0055491A">
      <w:pPr>
        <w:ind w:firstLine="708"/>
        <w:jc w:val="both"/>
        <w:rPr>
          <w:sz w:val="28"/>
          <w:szCs w:val="28"/>
        </w:rPr>
      </w:pPr>
      <w:r w:rsidRPr="00F92864">
        <w:rPr>
          <w:sz w:val="28"/>
          <w:szCs w:val="28"/>
        </w:rPr>
        <w:t xml:space="preserve">в </w:t>
      </w:r>
      <w:r>
        <w:rPr>
          <w:sz w:val="28"/>
          <w:szCs w:val="28"/>
        </w:rPr>
        <w:t>2024</w:t>
      </w:r>
      <w:r w:rsidRPr="00F92864">
        <w:rPr>
          <w:sz w:val="28"/>
          <w:szCs w:val="28"/>
        </w:rPr>
        <w:t xml:space="preserve"> году</w:t>
      </w:r>
      <w:r>
        <w:rPr>
          <w:sz w:val="28"/>
          <w:szCs w:val="28"/>
        </w:rPr>
        <w:t xml:space="preserve"> = 22,0 </w:t>
      </w:r>
      <w:r w:rsidRPr="00F92864">
        <w:rPr>
          <w:sz w:val="28"/>
          <w:szCs w:val="28"/>
        </w:rPr>
        <w:t>х</w:t>
      </w:r>
      <w:r>
        <w:rPr>
          <w:sz w:val="28"/>
          <w:szCs w:val="28"/>
        </w:rPr>
        <w:t xml:space="preserve"> 0,5 тыс. руб.  = 11,0 тыс. руб.</w:t>
      </w:r>
    </w:p>
    <w:p w:rsidR="0055491A" w:rsidRDefault="0055491A" w:rsidP="0055491A">
      <w:pPr>
        <w:ind w:firstLine="708"/>
        <w:jc w:val="both"/>
        <w:rPr>
          <w:sz w:val="28"/>
          <w:szCs w:val="28"/>
        </w:rPr>
      </w:pPr>
      <w:r>
        <w:rPr>
          <w:sz w:val="28"/>
          <w:szCs w:val="28"/>
        </w:rPr>
        <w:t>П</w:t>
      </w:r>
      <w:r w:rsidRPr="00F92864">
        <w:rPr>
          <w:sz w:val="28"/>
          <w:szCs w:val="28"/>
        </w:rPr>
        <w:t xml:space="preserve">рогноз суммы поступления по административным штрафам </w:t>
      </w:r>
      <w:r>
        <w:rPr>
          <w:sz w:val="28"/>
          <w:szCs w:val="28"/>
        </w:rPr>
        <w:t xml:space="preserve">часть 2 статья 12.37 КоАП РФ </w:t>
      </w:r>
    </w:p>
    <w:p w:rsidR="0055491A" w:rsidRDefault="0055491A" w:rsidP="0055491A">
      <w:pPr>
        <w:ind w:firstLine="708"/>
        <w:jc w:val="both"/>
        <w:rPr>
          <w:sz w:val="28"/>
          <w:szCs w:val="28"/>
        </w:rPr>
      </w:pPr>
      <w:r w:rsidRPr="00F92864">
        <w:rPr>
          <w:sz w:val="28"/>
          <w:szCs w:val="28"/>
        </w:rPr>
        <w:t xml:space="preserve">в </w:t>
      </w:r>
      <w:r>
        <w:rPr>
          <w:sz w:val="28"/>
          <w:szCs w:val="28"/>
        </w:rPr>
        <w:t>2022</w:t>
      </w:r>
      <w:r w:rsidRPr="00F92864">
        <w:rPr>
          <w:sz w:val="28"/>
          <w:szCs w:val="28"/>
        </w:rPr>
        <w:t xml:space="preserve"> году</w:t>
      </w:r>
      <w:r>
        <w:rPr>
          <w:sz w:val="28"/>
          <w:szCs w:val="28"/>
        </w:rPr>
        <w:t xml:space="preserve"> = 122,0 </w:t>
      </w:r>
      <w:r w:rsidRPr="00F92864">
        <w:rPr>
          <w:sz w:val="28"/>
          <w:szCs w:val="28"/>
        </w:rPr>
        <w:t>х</w:t>
      </w:r>
      <w:r>
        <w:rPr>
          <w:sz w:val="28"/>
          <w:szCs w:val="28"/>
        </w:rPr>
        <w:t xml:space="preserve"> 0,8 тыс. руб.  = 97,6 тыс. руб.;</w:t>
      </w:r>
    </w:p>
    <w:p w:rsidR="0055491A" w:rsidRPr="00F92864" w:rsidRDefault="0055491A" w:rsidP="0055491A">
      <w:pPr>
        <w:ind w:firstLine="708"/>
        <w:jc w:val="both"/>
        <w:rPr>
          <w:sz w:val="28"/>
          <w:szCs w:val="28"/>
        </w:rPr>
      </w:pPr>
      <w:r w:rsidRPr="00F92864">
        <w:rPr>
          <w:sz w:val="28"/>
          <w:szCs w:val="28"/>
        </w:rPr>
        <w:t xml:space="preserve">в </w:t>
      </w:r>
      <w:r>
        <w:rPr>
          <w:sz w:val="28"/>
          <w:szCs w:val="28"/>
        </w:rPr>
        <w:t>2023</w:t>
      </w:r>
      <w:r w:rsidRPr="00F92864">
        <w:rPr>
          <w:sz w:val="28"/>
          <w:szCs w:val="28"/>
        </w:rPr>
        <w:t xml:space="preserve"> году</w:t>
      </w:r>
      <w:r>
        <w:rPr>
          <w:sz w:val="28"/>
          <w:szCs w:val="28"/>
        </w:rPr>
        <w:t xml:space="preserve"> = 120,0 </w:t>
      </w:r>
      <w:r w:rsidRPr="00F92864">
        <w:rPr>
          <w:sz w:val="28"/>
          <w:szCs w:val="28"/>
        </w:rPr>
        <w:t>х</w:t>
      </w:r>
      <w:r>
        <w:rPr>
          <w:sz w:val="28"/>
          <w:szCs w:val="28"/>
        </w:rPr>
        <w:t xml:space="preserve"> 0,8 тыс. руб.  = 96,0 тыс. руб.;</w:t>
      </w:r>
    </w:p>
    <w:p w:rsidR="0055491A" w:rsidRDefault="0055491A" w:rsidP="0055491A">
      <w:pPr>
        <w:ind w:firstLine="708"/>
        <w:jc w:val="both"/>
        <w:rPr>
          <w:sz w:val="28"/>
          <w:szCs w:val="28"/>
        </w:rPr>
      </w:pPr>
      <w:r w:rsidRPr="00F92864">
        <w:rPr>
          <w:sz w:val="28"/>
          <w:szCs w:val="28"/>
        </w:rPr>
        <w:t xml:space="preserve">в </w:t>
      </w:r>
      <w:r>
        <w:rPr>
          <w:sz w:val="28"/>
          <w:szCs w:val="28"/>
        </w:rPr>
        <w:t>2024</w:t>
      </w:r>
      <w:r w:rsidRPr="00F92864">
        <w:rPr>
          <w:sz w:val="28"/>
          <w:szCs w:val="28"/>
        </w:rPr>
        <w:t xml:space="preserve"> году</w:t>
      </w:r>
      <w:r>
        <w:rPr>
          <w:sz w:val="28"/>
          <w:szCs w:val="28"/>
        </w:rPr>
        <w:t xml:space="preserve"> = 119,0 </w:t>
      </w:r>
      <w:r w:rsidRPr="00F92864">
        <w:rPr>
          <w:sz w:val="28"/>
          <w:szCs w:val="28"/>
        </w:rPr>
        <w:t>х</w:t>
      </w:r>
      <w:r>
        <w:rPr>
          <w:sz w:val="28"/>
          <w:szCs w:val="28"/>
        </w:rPr>
        <w:t xml:space="preserve"> 0,8 тыс. руб.  = 95,2 тыс. руб.</w:t>
      </w:r>
    </w:p>
    <w:p w:rsidR="0055491A" w:rsidRPr="001A3876" w:rsidRDefault="0055491A" w:rsidP="0055491A">
      <w:pPr>
        <w:pStyle w:val="a7"/>
        <w:spacing w:after="0"/>
        <w:ind w:left="0" w:firstLine="709"/>
        <w:jc w:val="both"/>
        <w:rPr>
          <w:b/>
          <w:sz w:val="28"/>
          <w:szCs w:val="28"/>
        </w:rPr>
      </w:pPr>
      <w:r>
        <w:rPr>
          <w:sz w:val="28"/>
          <w:szCs w:val="28"/>
        </w:rPr>
        <w:t xml:space="preserve">Таким образом, </w:t>
      </w:r>
      <w:r w:rsidRPr="001A3876">
        <w:rPr>
          <w:b/>
          <w:sz w:val="28"/>
          <w:szCs w:val="28"/>
        </w:rPr>
        <w:t>прогноз поступления доходов в областной бюджет Тверской области на 2022 год –108,6 тыс. руб., на 2023 год – 107,0 тыс. руб., на 2024 год –106,2 тыс. руб.</w:t>
      </w:r>
    </w:p>
    <w:p w:rsidR="0055491A" w:rsidRDefault="0055491A" w:rsidP="0055491A">
      <w:pPr>
        <w:pStyle w:val="a7"/>
        <w:spacing w:after="0"/>
        <w:ind w:left="0" w:firstLine="709"/>
        <w:jc w:val="both"/>
        <w:rPr>
          <w:sz w:val="28"/>
          <w:szCs w:val="28"/>
        </w:rPr>
      </w:pPr>
    </w:p>
    <w:p w:rsidR="0055491A" w:rsidRDefault="0055491A" w:rsidP="0055491A">
      <w:pPr>
        <w:ind w:firstLine="709"/>
        <w:jc w:val="both"/>
        <w:rPr>
          <w:sz w:val="28"/>
          <w:szCs w:val="28"/>
        </w:rPr>
      </w:pPr>
      <w:r>
        <w:rPr>
          <w:sz w:val="28"/>
          <w:szCs w:val="28"/>
        </w:rPr>
        <w:t>8.6</w:t>
      </w:r>
      <w:r w:rsidRPr="00D22F3C">
        <w:rPr>
          <w:sz w:val="28"/>
          <w:szCs w:val="28"/>
        </w:rPr>
        <w:t xml:space="preserve"> </w:t>
      </w:r>
      <w:r w:rsidRPr="003B1D32">
        <w:rPr>
          <w:b/>
          <w:sz w:val="28"/>
          <w:szCs w:val="28"/>
        </w:rPr>
        <w:t>КБК 075 1 16 01123 01 0000 140</w:t>
      </w:r>
      <w:r>
        <w:rPr>
          <w:sz w:val="28"/>
          <w:szCs w:val="28"/>
        </w:rPr>
        <w:t xml:space="preserve"> </w:t>
      </w:r>
      <w:r w:rsidRPr="00D22F3C">
        <w:rPr>
          <w:sz w:val="28"/>
          <w:szCs w:val="28"/>
        </w:rPr>
        <w:t xml:space="preserve">Административные штрафы, установленные Главой 12 Кодекса Российской Федерации об </w:t>
      </w:r>
      <w:r w:rsidRPr="00D22F3C">
        <w:rPr>
          <w:sz w:val="28"/>
          <w:szCs w:val="28"/>
        </w:rPr>
        <w:lastRenderedPageBreak/>
        <w:t>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p w:rsidR="0055491A" w:rsidRDefault="0055491A" w:rsidP="0055491A">
      <w:pPr>
        <w:pStyle w:val="a7"/>
        <w:spacing w:after="0"/>
        <w:ind w:left="0" w:firstLine="709"/>
        <w:jc w:val="both"/>
        <w:rPr>
          <w:sz w:val="28"/>
          <w:szCs w:val="28"/>
        </w:rPr>
      </w:pPr>
      <w:r w:rsidRPr="003B1D32">
        <w:rPr>
          <w:b/>
          <w:sz w:val="28"/>
          <w:szCs w:val="28"/>
        </w:rPr>
        <w:t>Главный администратор доходов – Министерство образования Тверской области.</w:t>
      </w:r>
      <w:r>
        <w:rPr>
          <w:sz w:val="28"/>
          <w:szCs w:val="28"/>
        </w:rPr>
        <w:t xml:space="preserve"> </w:t>
      </w:r>
    </w:p>
    <w:p w:rsidR="0055491A" w:rsidRDefault="0055491A" w:rsidP="0055491A">
      <w:pPr>
        <w:pStyle w:val="a7"/>
        <w:spacing w:after="0"/>
        <w:ind w:left="0" w:firstLine="709"/>
        <w:jc w:val="both"/>
        <w:rPr>
          <w:sz w:val="28"/>
          <w:szCs w:val="28"/>
        </w:rPr>
      </w:pPr>
      <w:r>
        <w:rPr>
          <w:sz w:val="28"/>
          <w:szCs w:val="28"/>
        </w:rPr>
        <w:t xml:space="preserve">Расчет представлен в таблице: </w:t>
      </w:r>
    </w:p>
    <w:p w:rsidR="0055491A" w:rsidRDefault="0055491A" w:rsidP="0055491A">
      <w:pPr>
        <w:pStyle w:val="a7"/>
        <w:spacing w:after="0"/>
        <w:ind w:left="0" w:firstLine="709"/>
        <w:jc w:val="right"/>
        <w:rPr>
          <w:sz w:val="28"/>
          <w:szCs w:val="28"/>
        </w:rPr>
      </w:pPr>
      <w:r w:rsidRPr="00AD0448">
        <w:t>тыс. руб</w:t>
      </w:r>
      <w:r>
        <w:rPr>
          <w:sz w:val="28"/>
          <w:szCs w:val="28"/>
        </w:rPr>
        <w:t>.</w:t>
      </w:r>
    </w:p>
    <w:tbl>
      <w:tblPr>
        <w:tblW w:w="9292" w:type="dxa"/>
        <w:tblLook w:val="04A0" w:firstRow="1" w:lastRow="0" w:firstColumn="1" w:lastColumn="0" w:noHBand="0" w:noVBand="1"/>
      </w:tblPr>
      <w:tblGrid>
        <w:gridCol w:w="2020"/>
        <w:gridCol w:w="1212"/>
        <w:gridCol w:w="1212"/>
        <w:gridCol w:w="1212"/>
        <w:gridCol w:w="1212"/>
        <w:gridCol w:w="1212"/>
        <w:gridCol w:w="1212"/>
      </w:tblGrid>
      <w:tr w:rsidR="0055491A" w:rsidTr="00210BF6">
        <w:trPr>
          <w:trHeight w:val="970"/>
        </w:trPr>
        <w:tc>
          <w:tcPr>
            <w:tcW w:w="202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5491A" w:rsidRDefault="0055491A" w:rsidP="00210BF6">
            <w:pPr>
              <w:jc w:val="center"/>
              <w:rPr>
                <w:b/>
                <w:bCs/>
                <w:color w:val="000000"/>
                <w:sz w:val="22"/>
                <w:szCs w:val="22"/>
              </w:rPr>
            </w:pPr>
            <w:r>
              <w:rPr>
                <w:b/>
                <w:bCs/>
                <w:color w:val="000000"/>
                <w:sz w:val="22"/>
                <w:szCs w:val="22"/>
              </w:rPr>
              <w:t>Размер платежа (тыс.руб.)</w:t>
            </w:r>
          </w:p>
        </w:tc>
        <w:tc>
          <w:tcPr>
            <w:tcW w:w="3636" w:type="dxa"/>
            <w:gridSpan w:val="3"/>
            <w:tcBorders>
              <w:top w:val="single" w:sz="4" w:space="0" w:color="auto"/>
              <w:left w:val="nil"/>
              <w:bottom w:val="single" w:sz="4" w:space="0" w:color="auto"/>
              <w:right w:val="single" w:sz="4" w:space="0" w:color="auto"/>
            </w:tcBorders>
            <w:shd w:val="clear" w:color="auto" w:fill="auto"/>
            <w:vAlign w:val="bottom"/>
            <w:hideMark/>
          </w:tcPr>
          <w:p w:rsidR="0055491A" w:rsidRDefault="0055491A" w:rsidP="00210BF6">
            <w:pPr>
              <w:jc w:val="center"/>
              <w:rPr>
                <w:b/>
                <w:bCs/>
                <w:color w:val="000000"/>
                <w:sz w:val="22"/>
                <w:szCs w:val="22"/>
              </w:rPr>
            </w:pPr>
            <w:r>
              <w:rPr>
                <w:b/>
                <w:bCs/>
                <w:color w:val="000000"/>
                <w:sz w:val="22"/>
                <w:szCs w:val="22"/>
              </w:rPr>
              <w:t>Колличество правонарушений (с учетом округления</w:t>
            </w:r>
          </w:p>
        </w:tc>
        <w:tc>
          <w:tcPr>
            <w:tcW w:w="3636" w:type="dxa"/>
            <w:gridSpan w:val="3"/>
            <w:tcBorders>
              <w:top w:val="single" w:sz="4" w:space="0" w:color="auto"/>
              <w:left w:val="nil"/>
              <w:bottom w:val="single" w:sz="4" w:space="0" w:color="auto"/>
              <w:right w:val="single" w:sz="4" w:space="0" w:color="auto"/>
            </w:tcBorders>
            <w:shd w:val="clear" w:color="auto" w:fill="auto"/>
            <w:noWrap/>
            <w:vAlign w:val="bottom"/>
            <w:hideMark/>
          </w:tcPr>
          <w:p w:rsidR="0055491A" w:rsidRDefault="0055491A" w:rsidP="00210BF6">
            <w:pPr>
              <w:jc w:val="center"/>
              <w:rPr>
                <w:b/>
                <w:bCs/>
                <w:color w:val="000000"/>
                <w:sz w:val="22"/>
                <w:szCs w:val="22"/>
              </w:rPr>
            </w:pPr>
            <w:r>
              <w:rPr>
                <w:b/>
                <w:bCs/>
                <w:color w:val="000000"/>
                <w:sz w:val="22"/>
                <w:szCs w:val="22"/>
              </w:rPr>
              <w:t>Прогноз</w:t>
            </w:r>
          </w:p>
        </w:tc>
      </w:tr>
      <w:tr w:rsidR="0055491A" w:rsidTr="00210BF6">
        <w:trPr>
          <w:trHeight w:val="298"/>
        </w:trPr>
        <w:tc>
          <w:tcPr>
            <w:tcW w:w="2020" w:type="dxa"/>
            <w:vMerge/>
            <w:tcBorders>
              <w:top w:val="single" w:sz="4" w:space="0" w:color="auto"/>
              <w:left w:val="single" w:sz="4" w:space="0" w:color="auto"/>
              <w:bottom w:val="single" w:sz="4" w:space="0" w:color="auto"/>
              <w:right w:val="single" w:sz="4" w:space="0" w:color="auto"/>
            </w:tcBorders>
            <w:vAlign w:val="center"/>
            <w:hideMark/>
          </w:tcPr>
          <w:p w:rsidR="0055491A" w:rsidRDefault="0055491A" w:rsidP="00210BF6">
            <w:pPr>
              <w:rPr>
                <w:b/>
                <w:bCs/>
                <w:color w:val="000000"/>
                <w:sz w:val="22"/>
                <w:szCs w:val="22"/>
              </w:rPr>
            </w:pPr>
          </w:p>
        </w:tc>
        <w:tc>
          <w:tcPr>
            <w:tcW w:w="1212" w:type="dxa"/>
            <w:tcBorders>
              <w:top w:val="nil"/>
              <w:left w:val="nil"/>
              <w:bottom w:val="single" w:sz="4" w:space="0" w:color="auto"/>
              <w:right w:val="single" w:sz="4" w:space="0" w:color="auto"/>
            </w:tcBorders>
            <w:shd w:val="clear" w:color="auto" w:fill="auto"/>
            <w:noWrap/>
            <w:vAlign w:val="bottom"/>
            <w:hideMark/>
          </w:tcPr>
          <w:p w:rsidR="0055491A" w:rsidRDefault="0055491A" w:rsidP="00210BF6">
            <w:pPr>
              <w:jc w:val="center"/>
              <w:rPr>
                <w:b/>
                <w:bCs/>
                <w:color w:val="000000"/>
                <w:sz w:val="22"/>
                <w:szCs w:val="22"/>
              </w:rPr>
            </w:pPr>
            <w:r>
              <w:rPr>
                <w:b/>
                <w:bCs/>
                <w:color w:val="000000"/>
                <w:sz w:val="22"/>
                <w:szCs w:val="22"/>
              </w:rPr>
              <w:t>2022 год</w:t>
            </w:r>
          </w:p>
        </w:tc>
        <w:tc>
          <w:tcPr>
            <w:tcW w:w="1212" w:type="dxa"/>
            <w:tcBorders>
              <w:top w:val="nil"/>
              <w:left w:val="nil"/>
              <w:bottom w:val="single" w:sz="4" w:space="0" w:color="auto"/>
              <w:right w:val="single" w:sz="4" w:space="0" w:color="auto"/>
            </w:tcBorders>
            <w:shd w:val="clear" w:color="auto" w:fill="auto"/>
            <w:noWrap/>
            <w:vAlign w:val="bottom"/>
            <w:hideMark/>
          </w:tcPr>
          <w:p w:rsidR="0055491A" w:rsidRDefault="0055491A" w:rsidP="00210BF6">
            <w:pPr>
              <w:jc w:val="center"/>
              <w:rPr>
                <w:b/>
                <w:bCs/>
                <w:color w:val="000000"/>
                <w:sz w:val="22"/>
                <w:szCs w:val="22"/>
              </w:rPr>
            </w:pPr>
            <w:r>
              <w:rPr>
                <w:b/>
                <w:bCs/>
                <w:color w:val="000000"/>
                <w:sz w:val="22"/>
                <w:szCs w:val="22"/>
              </w:rPr>
              <w:t>2023 год</w:t>
            </w:r>
          </w:p>
        </w:tc>
        <w:tc>
          <w:tcPr>
            <w:tcW w:w="1212" w:type="dxa"/>
            <w:tcBorders>
              <w:top w:val="nil"/>
              <w:left w:val="nil"/>
              <w:bottom w:val="single" w:sz="4" w:space="0" w:color="auto"/>
              <w:right w:val="single" w:sz="4" w:space="0" w:color="auto"/>
            </w:tcBorders>
            <w:shd w:val="clear" w:color="auto" w:fill="auto"/>
            <w:noWrap/>
            <w:vAlign w:val="bottom"/>
            <w:hideMark/>
          </w:tcPr>
          <w:p w:rsidR="0055491A" w:rsidRDefault="0055491A" w:rsidP="00210BF6">
            <w:pPr>
              <w:jc w:val="center"/>
              <w:rPr>
                <w:b/>
                <w:bCs/>
                <w:color w:val="000000"/>
                <w:sz w:val="22"/>
                <w:szCs w:val="22"/>
              </w:rPr>
            </w:pPr>
            <w:r>
              <w:rPr>
                <w:b/>
                <w:bCs/>
                <w:color w:val="000000"/>
                <w:sz w:val="22"/>
                <w:szCs w:val="22"/>
              </w:rPr>
              <w:t>2024 год</w:t>
            </w:r>
          </w:p>
        </w:tc>
        <w:tc>
          <w:tcPr>
            <w:tcW w:w="1212" w:type="dxa"/>
            <w:tcBorders>
              <w:top w:val="nil"/>
              <w:left w:val="nil"/>
              <w:bottom w:val="single" w:sz="4" w:space="0" w:color="auto"/>
              <w:right w:val="single" w:sz="4" w:space="0" w:color="auto"/>
            </w:tcBorders>
            <w:shd w:val="clear" w:color="auto" w:fill="auto"/>
            <w:noWrap/>
            <w:vAlign w:val="bottom"/>
            <w:hideMark/>
          </w:tcPr>
          <w:p w:rsidR="0055491A" w:rsidRDefault="0055491A" w:rsidP="00210BF6">
            <w:pPr>
              <w:jc w:val="center"/>
              <w:rPr>
                <w:b/>
                <w:bCs/>
                <w:color w:val="000000"/>
                <w:sz w:val="22"/>
                <w:szCs w:val="22"/>
              </w:rPr>
            </w:pPr>
            <w:r>
              <w:rPr>
                <w:b/>
                <w:bCs/>
                <w:color w:val="000000"/>
                <w:sz w:val="22"/>
                <w:szCs w:val="22"/>
              </w:rPr>
              <w:t>2022 год</w:t>
            </w:r>
          </w:p>
        </w:tc>
        <w:tc>
          <w:tcPr>
            <w:tcW w:w="1212" w:type="dxa"/>
            <w:tcBorders>
              <w:top w:val="nil"/>
              <w:left w:val="nil"/>
              <w:bottom w:val="single" w:sz="4" w:space="0" w:color="auto"/>
              <w:right w:val="single" w:sz="4" w:space="0" w:color="auto"/>
            </w:tcBorders>
            <w:shd w:val="clear" w:color="auto" w:fill="auto"/>
            <w:noWrap/>
            <w:vAlign w:val="bottom"/>
            <w:hideMark/>
          </w:tcPr>
          <w:p w:rsidR="0055491A" w:rsidRDefault="0055491A" w:rsidP="00210BF6">
            <w:pPr>
              <w:jc w:val="center"/>
              <w:rPr>
                <w:b/>
                <w:bCs/>
                <w:color w:val="000000"/>
                <w:sz w:val="22"/>
                <w:szCs w:val="22"/>
              </w:rPr>
            </w:pPr>
            <w:r>
              <w:rPr>
                <w:b/>
                <w:bCs/>
                <w:color w:val="000000"/>
                <w:sz w:val="22"/>
                <w:szCs w:val="22"/>
              </w:rPr>
              <w:t>2023 год</w:t>
            </w:r>
          </w:p>
        </w:tc>
        <w:tc>
          <w:tcPr>
            <w:tcW w:w="1212" w:type="dxa"/>
            <w:tcBorders>
              <w:top w:val="nil"/>
              <w:left w:val="nil"/>
              <w:bottom w:val="single" w:sz="4" w:space="0" w:color="auto"/>
              <w:right w:val="single" w:sz="4" w:space="0" w:color="auto"/>
            </w:tcBorders>
            <w:shd w:val="clear" w:color="auto" w:fill="auto"/>
            <w:noWrap/>
            <w:vAlign w:val="bottom"/>
            <w:hideMark/>
          </w:tcPr>
          <w:p w:rsidR="0055491A" w:rsidRDefault="0055491A" w:rsidP="00210BF6">
            <w:pPr>
              <w:jc w:val="center"/>
              <w:rPr>
                <w:b/>
                <w:bCs/>
                <w:color w:val="000000"/>
                <w:sz w:val="22"/>
                <w:szCs w:val="22"/>
              </w:rPr>
            </w:pPr>
            <w:r>
              <w:rPr>
                <w:b/>
                <w:bCs/>
                <w:color w:val="000000"/>
                <w:sz w:val="22"/>
                <w:szCs w:val="22"/>
              </w:rPr>
              <w:t>2024 год</w:t>
            </w:r>
          </w:p>
        </w:tc>
      </w:tr>
      <w:tr w:rsidR="0055491A" w:rsidTr="00210BF6">
        <w:trPr>
          <w:trHeight w:val="298"/>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55491A" w:rsidRDefault="0055491A" w:rsidP="00210BF6">
            <w:pPr>
              <w:jc w:val="center"/>
              <w:rPr>
                <w:color w:val="000000"/>
                <w:sz w:val="22"/>
                <w:szCs w:val="22"/>
              </w:rPr>
            </w:pPr>
            <w:r>
              <w:rPr>
                <w:color w:val="000000"/>
                <w:sz w:val="22"/>
                <w:szCs w:val="22"/>
              </w:rPr>
              <w:t>0,3</w:t>
            </w:r>
          </w:p>
        </w:tc>
        <w:tc>
          <w:tcPr>
            <w:tcW w:w="1212" w:type="dxa"/>
            <w:tcBorders>
              <w:top w:val="nil"/>
              <w:left w:val="nil"/>
              <w:bottom w:val="single" w:sz="4" w:space="0" w:color="auto"/>
              <w:right w:val="single" w:sz="4" w:space="0" w:color="auto"/>
            </w:tcBorders>
            <w:shd w:val="clear" w:color="auto" w:fill="auto"/>
            <w:noWrap/>
            <w:vAlign w:val="bottom"/>
            <w:hideMark/>
          </w:tcPr>
          <w:p w:rsidR="0055491A" w:rsidRDefault="0055491A" w:rsidP="00210BF6">
            <w:pPr>
              <w:jc w:val="center"/>
              <w:rPr>
                <w:color w:val="000000"/>
                <w:sz w:val="22"/>
                <w:szCs w:val="22"/>
              </w:rPr>
            </w:pPr>
            <w:r>
              <w:rPr>
                <w:color w:val="000000"/>
                <w:sz w:val="22"/>
                <w:szCs w:val="22"/>
              </w:rPr>
              <w:t>1</w:t>
            </w:r>
          </w:p>
        </w:tc>
        <w:tc>
          <w:tcPr>
            <w:tcW w:w="1212" w:type="dxa"/>
            <w:tcBorders>
              <w:top w:val="nil"/>
              <w:left w:val="nil"/>
              <w:bottom w:val="single" w:sz="4" w:space="0" w:color="auto"/>
              <w:right w:val="single" w:sz="4" w:space="0" w:color="auto"/>
            </w:tcBorders>
            <w:shd w:val="clear" w:color="auto" w:fill="auto"/>
            <w:noWrap/>
            <w:vAlign w:val="bottom"/>
            <w:hideMark/>
          </w:tcPr>
          <w:p w:rsidR="0055491A" w:rsidRDefault="0055491A" w:rsidP="00210BF6">
            <w:pPr>
              <w:jc w:val="center"/>
              <w:rPr>
                <w:color w:val="000000"/>
                <w:sz w:val="22"/>
                <w:szCs w:val="22"/>
              </w:rPr>
            </w:pPr>
            <w:r>
              <w:rPr>
                <w:color w:val="000000"/>
                <w:sz w:val="22"/>
                <w:szCs w:val="22"/>
              </w:rPr>
              <w:t>1</w:t>
            </w:r>
          </w:p>
        </w:tc>
        <w:tc>
          <w:tcPr>
            <w:tcW w:w="1212" w:type="dxa"/>
            <w:tcBorders>
              <w:top w:val="nil"/>
              <w:left w:val="nil"/>
              <w:bottom w:val="single" w:sz="4" w:space="0" w:color="auto"/>
              <w:right w:val="single" w:sz="4" w:space="0" w:color="auto"/>
            </w:tcBorders>
            <w:shd w:val="clear" w:color="auto" w:fill="auto"/>
            <w:noWrap/>
            <w:vAlign w:val="bottom"/>
            <w:hideMark/>
          </w:tcPr>
          <w:p w:rsidR="0055491A" w:rsidRDefault="0055491A" w:rsidP="00210BF6">
            <w:pPr>
              <w:jc w:val="center"/>
              <w:rPr>
                <w:color w:val="000000"/>
                <w:sz w:val="22"/>
                <w:szCs w:val="22"/>
              </w:rPr>
            </w:pPr>
            <w:r>
              <w:rPr>
                <w:color w:val="000000"/>
                <w:sz w:val="22"/>
                <w:szCs w:val="22"/>
              </w:rPr>
              <w:t>1</w:t>
            </w:r>
          </w:p>
        </w:tc>
        <w:tc>
          <w:tcPr>
            <w:tcW w:w="1212" w:type="dxa"/>
            <w:tcBorders>
              <w:top w:val="nil"/>
              <w:left w:val="nil"/>
              <w:bottom w:val="single" w:sz="4" w:space="0" w:color="auto"/>
              <w:right w:val="single" w:sz="4" w:space="0" w:color="auto"/>
            </w:tcBorders>
            <w:shd w:val="clear" w:color="auto" w:fill="auto"/>
            <w:noWrap/>
            <w:vAlign w:val="bottom"/>
            <w:hideMark/>
          </w:tcPr>
          <w:p w:rsidR="0055491A" w:rsidRDefault="0055491A" w:rsidP="00210BF6">
            <w:pPr>
              <w:jc w:val="center"/>
              <w:rPr>
                <w:color w:val="000000"/>
                <w:sz w:val="22"/>
                <w:szCs w:val="22"/>
              </w:rPr>
            </w:pPr>
            <w:r>
              <w:rPr>
                <w:color w:val="000000"/>
                <w:sz w:val="22"/>
                <w:szCs w:val="22"/>
              </w:rPr>
              <w:t>0,3</w:t>
            </w:r>
          </w:p>
        </w:tc>
        <w:tc>
          <w:tcPr>
            <w:tcW w:w="1212" w:type="dxa"/>
            <w:tcBorders>
              <w:top w:val="nil"/>
              <w:left w:val="nil"/>
              <w:bottom w:val="single" w:sz="4" w:space="0" w:color="auto"/>
              <w:right w:val="single" w:sz="4" w:space="0" w:color="auto"/>
            </w:tcBorders>
            <w:shd w:val="clear" w:color="auto" w:fill="auto"/>
            <w:noWrap/>
            <w:vAlign w:val="bottom"/>
            <w:hideMark/>
          </w:tcPr>
          <w:p w:rsidR="0055491A" w:rsidRDefault="0055491A" w:rsidP="00210BF6">
            <w:pPr>
              <w:jc w:val="center"/>
              <w:rPr>
                <w:color w:val="000000"/>
                <w:sz w:val="22"/>
                <w:szCs w:val="22"/>
              </w:rPr>
            </w:pPr>
            <w:r>
              <w:rPr>
                <w:color w:val="000000"/>
                <w:sz w:val="22"/>
                <w:szCs w:val="22"/>
              </w:rPr>
              <w:t>0,3</w:t>
            </w:r>
          </w:p>
        </w:tc>
        <w:tc>
          <w:tcPr>
            <w:tcW w:w="1212" w:type="dxa"/>
            <w:tcBorders>
              <w:top w:val="nil"/>
              <w:left w:val="nil"/>
              <w:bottom w:val="single" w:sz="4" w:space="0" w:color="auto"/>
              <w:right w:val="single" w:sz="4" w:space="0" w:color="auto"/>
            </w:tcBorders>
            <w:shd w:val="clear" w:color="auto" w:fill="auto"/>
            <w:noWrap/>
            <w:vAlign w:val="bottom"/>
            <w:hideMark/>
          </w:tcPr>
          <w:p w:rsidR="0055491A" w:rsidRDefault="0055491A" w:rsidP="00210BF6">
            <w:pPr>
              <w:jc w:val="center"/>
              <w:rPr>
                <w:color w:val="000000"/>
                <w:sz w:val="22"/>
                <w:szCs w:val="22"/>
              </w:rPr>
            </w:pPr>
            <w:r>
              <w:rPr>
                <w:color w:val="000000"/>
                <w:sz w:val="22"/>
                <w:szCs w:val="22"/>
              </w:rPr>
              <w:t>0,3</w:t>
            </w:r>
          </w:p>
        </w:tc>
      </w:tr>
      <w:tr w:rsidR="0055491A" w:rsidTr="00210BF6">
        <w:trPr>
          <w:trHeight w:val="298"/>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55491A" w:rsidRDefault="0055491A" w:rsidP="00210BF6">
            <w:pPr>
              <w:jc w:val="center"/>
              <w:rPr>
                <w:color w:val="000000"/>
                <w:sz w:val="22"/>
                <w:szCs w:val="22"/>
              </w:rPr>
            </w:pPr>
            <w:r>
              <w:rPr>
                <w:color w:val="000000"/>
                <w:sz w:val="22"/>
                <w:szCs w:val="22"/>
              </w:rPr>
              <w:t>0,5</w:t>
            </w:r>
          </w:p>
        </w:tc>
        <w:tc>
          <w:tcPr>
            <w:tcW w:w="1212" w:type="dxa"/>
            <w:tcBorders>
              <w:top w:val="nil"/>
              <w:left w:val="nil"/>
              <w:bottom w:val="single" w:sz="4" w:space="0" w:color="auto"/>
              <w:right w:val="single" w:sz="4" w:space="0" w:color="auto"/>
            </w:tcBorders>
            <w:shd w:val="clear" w:color="auto" w:fill="auto"/>
            <w:noWrap/>
            <w:vAlign w:val="bottom"/>
            <w:hideMark/>
          </w:tcPr>
          <w:p w:rsidR="0055491A" w:rsidRDefault="0055491A" w:rsidP="00210BF6">
            <w:pPr>
              <w:jc w:val="center"/>
              <w:rPr>
                <w:color w:val="000000"/>
                <w:sz w:val="22"/>
                <w:szCs w:val="22"/>
              </w:rPr>
            </w:pPr>
            <w:r>
              <w:rPr>
                <w:color w:val="000000"/>
                <w:sz w:val="22"/>
                <w:szCs w:val="22"/>
              </w:rPr>
              <w:t> 0</w:t>
            </w:r>
          </w:p>
        </w:tc>
        <w:tc>
          <w:tcPr>
            <w:tcW w:w="1212" w:type="dxa"/>
            <w:tcBorders>
              <w:top w:val="nil"/>
              <w:left w:val="nil"/>
              <w:bottom w:val="single" w:sz="4" w:space="0" w:color="auto"/>
              <w:right w:val="single" w:sz="4" w:space="0" w:color="auto"/>
            </w:tcBorders>
            <w:shd w:val="clear" w:color="auto" w:fill="auto"/>
            <w:noWrap/>
            <w:vAlign w:val="bottom"/>
            <w:hideMark/>
          </w:tcPr>
          <w:p w:rsidR="0055491A" w:rsidRDefault="0055491A" w:rsidP="00210BF6">
            <w:pPr>
              <w:jc w:val="center"/>
              <w:rPr>
                <w:color w:val="000000"/>
                <w:sz w:val="22"/>
                <w:szCs w:val="22"/>
              </w:rPr>
            </w:pPr>
            <w:r>
              <w:rPr>
                <w:color w:val="000000"/>
                <w:sz w:val="22"/>
                <w:szCs w:val="22"/>
              </w:rPr>
              <w:t>8</w:t>
            </w:r>
          </w:p>
        </w:tc>
        <w:tc>
          <w:tcPr>
            <w:tcW w:w="1212" w:type="dxa"/>
            <w:tcBorders>
              <w:top w:val="nil"/>
              <w:left w:val="nil"/>
              <w:bottom w:val="single" w:sz="4" w:space="0" w:color="auto"/>
              <w:right w:val="single" w:sz="4" w:space="0" w:color="auto"/>
            </w:tcBorders>
            <w:shd w:val="clear" w:color="auto" w:fill="auto"/>
            <w:noWrap/>
            <w:vAlign w:val="bottom"/>
            <w:hideMark/>
          </w:tcPr>
          <w:p w:rsidR="0055491A" w:rsidRDefault="0055491A" w:rsidP="00210BF6">
            <w:pPr>
              <w:jc w:val="center"/>
              <w:rPr>
                <w:color w:val="000000"/>
                <w:sz w:val="22"/>
                <w:szCs w:val="22"/>
              </w:rPr>
            </w:pPr>
            <w:r>
              <w:rPr>
                <w:color w:val="000000"/>
                <w:sz w:val="22"/>
                <w:szCs w:val="22"/>
              </w:rPr>
              <w:t>7</w:t>
            </w:r>
          </w:p>
        </w:tc>
        <w:tc>
          <w:tcPr>
            <w:tcW w:w="1212" w:type="dxa"/>
            <w:tcBorders>
              <w:top w:val="nil"/>
              <w:left w:val="nil"/>
              <w:bottom w:val="single" w:sz="4" w:space="0" w:color="auto"/>
              <w:right w:val="single" w:sz="4" w:space="0" w:color="auto"/>
            </w:tcBorders>
            <w:shd w:val="clear" w:color="auto" w:fill="auto"/>
            <w:noWrap/>
            <w:vAlign w:val="bottom"/>
            <w:hideMark/>
          </w:tcPr>
          <w:p w:rsidR="0055491A" w:rsidRDefault="0055491A" w:rsidP="00210BF6">
            <w:pPr>
              <w:jc w:val="center"/>
              <w:rPr>
                <w:color w:val="000000"/>
                <w:sz w:val="22"/>
                <w:szCs w:val="22"/>
              </w:rPr>
            </w:pPr>
            <w:r>
              <w:rPr>
                <w:color w:val="000000"/>
                <w:sz w:val="22"/>
                <w:szCs w:val="22"/>
              </w:rPr>
              <w:t>0</w:t>
            </w:r>
          </w:p>
        </w:tc>
        <w:tc>
          <w:tcPr>
            <w:tcW w:w="1212" w:type="dxa"/>
            <w:tcBorders>
              <w:top w:val="nil"/>
              <w:left w:val="nil"/>
              <w:bottom w:val="single" w:sz="4" w:space="0" w:color="auto"/>
              <w:right w:val="single" w:sz="4" w:space="0" w:color="auto"/>
            </w:tcBorders>
            <w:shd w:val="clear" w:color="auto" w:fill="auto"/>
            <w:noWrap/>
            <w:vAlign w:val="bottom"/>
            <w:hideMark/>
          </w:tcPr>
          <w:p w:rsidR="0055491A" w:rsidRDefault="0055491A" w:rsidP="00210BF6">
            <w:pPr>
              <w:jc w:val="center"/>
              <w:rPr>
                <w:color w:val="000000"/>
                <w:sz w:val="22"/>
                <w:szCs w:val="22"/>
              </w:rPr>
            </w:pPr>
            <w:r>
              <w:rPr>
                <w:color w:val="000000"/>
                <w:sz w:val="22"/>
                <w:szCs w:val="22"/>
              </w:rPr>
              <w:t>4</w:t>
            </w:r>
          </w:p>
        </w:tc>
        <w:tc>
          <w:tcPr>
            <w:tcW w:w="1212" w:type="dxa"/>
            <w:tcBorders>
              <w:top w:val="nil"/>
              <w:left w:val="nil"/>
              <w:bottom w:val="single" w:sz="4" w:space="0" w:color="auto"/>
              <w:right w:val="single" w:sz="4" w:space="0" w:color="auto"/>
            </w:tcBorders>
            <w:shd w:val="clear" w:color="auto" w:fill="auto"/>
            <w:noWrap/>
            <w:vAlign w:val="bottom"/>
            <w:hideMark/>
          </w:tcPr>
          <w:p w:rsidR="0055491A" w:rsidRDefault="0055491A" w:rsidP="00210BF6">
            <w:pPr>
              <w:jc w:val="center"/>
              <w:rPr>
                <w:color w:val="000000"/>
                <w:sz w:val="22"/>
                <w:szCs w:val="22"/>
              </w:rPr>
            </w:pPr>
            <w:r>
              <w:rPr>
                <w:color w:val="000000"/>
                <w:sz w:val="22"/>
                <w:szCs w:val="22"/>
              </w:rPr>
              <w:t>3,5</w:t>
            </w:r>
          </w:p>
        </w:tc>
      </w:tr>
      <w:tr w:rsidR="0055491A" w:rsidTr="00210BF6">
        <w:trPr>
          <w:trHeight w:val="298"/>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55491A" w:rsidRDefault="0055491A" w:rsidP="00210BF6">
            <w:pPr>
              <w:jc w:val="center"/>
              <w:rPr>
                <w:color w:val="000000"/>
                <w:sz w:val="22"/>
                <w:szCs w:val="22"/>
              </w:rPr>
            </w:pPr>
            <w:r>
              <w:rPr>
                <w:color w:val="000000"/>
                <w:sz w:val="22"/>
                <w:szCs w:val="22"/>
              </w:rPr>
              <w:t>1</w:t>
            </w:r>
          </w:p>
        </w:tc>
        <w:tc>
          <w:tcPr>
            <w:tcW w:w="1212" w:type="dxa"/>
            <w:tcBorders>
              <w:top w:val="nil"/>
              <w:left w:val="nil"/>
              <w:bottom w:val="single" w:sz="4" w:space="0" w:color="auto"/>
              <w:right w:val="single" w:sz="4" w:space="0" w:color="auto"/>
            </w:tcBorders>
            <w:shd w:val="clear" w:color="auto" w:fill="auto"/>
            <w:noWrap/>
            <w:vAlign w:val="bottom"/>
            <w:hideMark/>
          </w:tcPr>
          <w:p w:rsidR="0055491A" w:rsidRDefault="0055491A" w:rsidP="00210BF6">
            <w:pPr>
              <w:jc w:val="center"/>
              <w:rPr>
                <w:color w:val="000000"/>
                <w:sz w:val="22"/>
                <w:szCs w:val="22"/>
              </w:rPr>
            </w:pPr>
            <w:r>
              <w:rPr>
                <w:color w:val="000000"/>
                <w:sz w:val="22"/>
                <w:szCs w:val="22"/>
              </w:rPr>
              <w:t>15</w:t>
            </w:r>
          </w:p>
        </w:tc>
        <w:tc>
          <w:tcPr>
            <w:tcW w:w="1212" w:type="dxa"/>
            <w:tcBorders>
              <w:top w:val="nil"/>
              <w:left w:val="nil"/>
              <w:bottom w:val="single" w:sz="4" w:space="0" w:color="auto"/>
              <w:right w:val="single" w:sz="4" w:space="0" w:color="auto"/>
            </w:tcBorders>
            <w:shd w:val="clear" w:color="auto" w:fill="auto"/>
            <w:noWrap/>
            <w:vAlign w:val="bottom"/>
            <w:hideMark/>
          </w:tcPr>
          <w:p w:rsidR="0055491A" w:rsidRDefault="0055491A" w:rsidP="00210BF6">
            <w:pPr>
              <w:jc w:val="center"/>
              <w:rPr>
                <w:color w:val="000000"/>
                <w:sz w:val="22"/>
                <w:szCs w:val="22"/>
              </w:rPr>
            </w:pPr>
            <w:r>
              <w:rPr>
                <w:color w:val="000000"/>
                <w:sz w:val="22"/>
                <w:szCs w:val="22"/>
              </w:rPr>
              <w:t>5</w:t>
            </w:r>
          </w:p>
        </w:tc>
        <w:tc>
          <w:tcPr>
            <w:tcW w:w="1212" w:type="dxa"/>
            <w:tcBorders>
              <w:top w:val="nil"/>
              <w:left w:val="nil"/>
              <w:bottom w:val="single" w:sz="4" w:space="0" w:color="auto"/>
              <w:right w:val="single" w:sz="4" w:space="0" w:color="auto"/>
            </w:tcBorders>
            <w:shd w:val="clear" w:color="auto" w:fill="auto"/>
            <w:noWrap/>
            <w:vAlign w:val="bottom"/>
            <w:hideMark/>
          </w:tcPr>
          <w:p w:rsidR="0055491A" w:rsidRDefault="0055491A" w:rsidP="00210BF6">
            <w:pPr>
              <w:jc w:val="center"/>
              <w:rPr>
                <w:color w:val="000000"/>
                <w:sz w:val="22"/>
                <w:szCs w:val="22"/>
              </w:rPr>
            </w:pPr>
            <w:r>
              <w:rPr>
                <w:color w:val="000000"/>
                <w:sz w:val="22"/>
                <w:szCs w:val="22"/>
              </w:rPr>
              <w:t>6</w:t>
            </w:r>
          </w:p>
        </w:tc>
        <w:tc>
          <w:tcPr>
            <w:tcW w:w="1212" w:type="dxa"/>
            <w:tcBorders>
              <w:top w:val="nil"/>
              <w:left w:val="nil"/>
              <w:bottom w:val="single" w:sz="4" w:space="0" w:color="auto"/>
              <w:right w:val="single" w:sz="4" w:space="0" w:color="auto"/>
            </w:tcBorders>
            <w:shd w:val="clear" w:color="auto" w:fill="auto"/>
            <w:noWrap/>
            <w:vAlign w:val="bottom"/>
            <w:hideMark/>
          </w:tcPr>
          <w:p w:rsidR="0055491A" w:rsidRDefault="0055491A" w:rsidP="00210BF6">
            <w:pPr>
              <w:jc w:val="center"/>
              <w:rPr>
                <w:color w:val="000000"/>
                <w:sz w:val="22"/>
                <w:szCs w:val="22"/>
              </w:rPr>
            </w:pPr>
            <w:r>
              <w:rPr>
                <w:color w:val="000000"/>
                <w:sz w:val="22"/>
                <w:szCs w:val="22"/>
              </w:rPr>
              <w:t>15</w:t>
            </w:r>
          </w:p>
        </w:tc>
        <w:tc>
          <w:tcPr>
            <w:tcW w:w="1212" w:type="dxa"/>
            <w:tcBorders>
              <w:top w:val="nil"/>
              <w:left w:val="nil"/>
              <w:bottom w:val="single" w:sz="4" w:space="0" w:color="auto"/>
              <w:right w:val="single" w:sz="4" w:space="0" w:color="auto"/>
            </w:tcBorders>
            <w:shd w:val="clear" w:color="auto" w:fill="auto"/>
            <w:noWrap/>
            <w:vAlign w:val="bottom"/>
            <w:hideMark/>
          </w:tcPr>
          <w:p w:rsidR="0055491A" w:rsidRDefault="0055491A" w:rsidP="00210BF6">
            <w:pPr>
              <w:jc w:val="center"/>
              <w:rPr>
                <w:color w:val="000000"/>
                <w:sz w:val="22"/>
                <w:szCs w:val="22"/>
              </w:rPr>
            </w:pPr>
            <w:r>
              <w:rPr>
                <w:color w:val="000000"/>
                <w:sz w:val="22"/>
                <w:szCs w:val="22"/>
              </w:rPr>
              <w:t>5</w:t>
            </w:r>
          </w:p>
        </w:tc>
        <w:tc>
          <w:tcPr>
            <w:tcW w:w="1212" w:type="dxa"/>
            <w:tcBorders>
              <w:top w:val="nil"/>
              <w:left w:val="nil"/>
              <w:bottom w:val="single" w:sz="4" w:space="0" w:color="auto"/>
              <w:right w:val="single" w:sz="4" w:space="0" w:color="auto"/>
            </w:tcBorders>
            <w:shd w:val="clear" w:color="auto" w:fill="auto"/>
            <w:noWrap/>
            <w:vAlign w:val="bottom"/>
            <w:hideMark/>
          </w:tcPr>
          <w:p w:rsidR="0055491A" w:rsidRDefault="0055491A" w:rsidP="00210BF6">
            <w:pPr>
              <w:jc w:val="center"/>
              <w:rPr>
                <w:color w:val="000000"/>
                <w:sz w:val="22"/>
                <w:szCs w:val="22"/>
              </w:rPr>
            </w:pPr>
            <w:r>
              <w:rPr>
                <w:color w:val="000000"/>
                <w:sz w:val="22"/>
                <w:szCs w:val="22"/>
              </w:rPr>
              <w:t>6</w:t>
            </w:r>
          </w:p>
        </w:tc>
      </w:tr>
      <w:tr w:rsidR="0055491A" w:rsidTr="00210BF6">
        <w:trPr>
          <w:trHeight w:val="298"/>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55491A" w:rsidRDefault="0055491A" w:rsidP="00210BF6">
            <w:pPr>
              <w:jc w:val="center"/>
              <w:rPr>
                <w:color w:val="000000"/>
                <w:sz w:val="22"/>
                <w:szCs w:val="22"/>
              </w:rPr>
            </w:pPr>
            <w:r>
              <w:rPr>
                <w:color w:val="000000"/>
                <w:sz w:val="22"/>
                <w:szCs w:val="22"/>
              </w:rPr>
              <w:t>1,5</w:t>
            </w:r>
          </w:p>
        </w:tc>
        <w:tc>
          <w:tcPr>
            <w:tcW w:w="1212" w:type="dxa"/>
            <w:tcBorders>
              <w:top w:val="nil"/>
              <w:left w:val="nil"/>
              <w:bottom w:val="single" w:sz="4" w:space="0" w:color="auto"/>
              <w:right w:val="single" w:sz="4" w:space="0" w:color="auto"/>
            </w:tcBorders>
            <w:shd w:val="clear" w:color="auto" w:fill="auto"/>
            <w:noWrap/>
            <w:vAlign w:val="bottom"/>
            <w:hideMark/>
          </w:tcPr>
          <w:p w:rsidR="0055491A" w:rsidRDefault="0055491A" w:rsidP="00210BF6">
            <w:pPr>
              <w:jc w:val="center"/>
              <w:rPr>
                <w:color w:val="000000"/>
                <w:sz w:val="22"/>
                <w:szCs w:val="22"/>
              </w:rPr>
            </w:pPr>
            <w:r>
              <w:rPr>
                <w:color w:val="000000"/>
                <w:sz w:val="22"/>
                <w:szCs w:val="22"/>
              </w:rPr>
              <w:t>4</w:t>
            </w:r>
          </w:p>
        </w:tc>
        <w:tc>
          <w:tcPr>
            <w:tcW w:w="1212" w:type="dxa"/>
            <w:tcBorders>
              <w:top w:val="nil"/>
              <w:left w:val="nil"/>
              <w:bottom w:val="single" w:sz="4" w:space="0" w:color="auto"/>
              <w:right w:val="single" w:sz="4" w:space="0" w:color="auto"/>
            </w:tcBorders>
            <w:shd w:val="clear" w:color="auto" w:fill="auto"/>
            <w:noWrap/>
            <w:vAlign w:val="bottom"/>
            <w:hideMark/>
          </w:tcPr>
          <w:p w:rsidR="0055491A" w:rsidRDefault="0055491A" w:rsidP="00210BF6">
            <w:pPr>
              <w:jc w:val="center"/>
              <w:rPr>
                <w:color w:val="000000"/>
                <w:sz w:val="22"/>
                <w:szCs w:val="22"/>
              </w:rPr>
            </w:pPr>
            <w:r>
              <w:rPr>
                <w:color w:val="000000"/>
                <w:sz w:val="22"/>
                <w:szCs w:val="22"/>
              </w:rPr>
              <w:t>5</w:t>
            </w:r>
          </w:p>
        </w:tc>
        <w:tc>
          <w:tcPr>
            <w:tcW w:w="1212" w:type="dxa"/>
            <w:tcBorders>
              <w:top w:val="nil"/>
              <w:left w:val="nil"/>
              <w:bottom w:val="single" w:sz="4" w:space="0" w:color="auto"/>
              <w:right w:val="single" w:sz="4" w:space="0" w:color="auto"/>
            </w:tcBorders>
            <w:shd w:val="clear" w:color="auto" w:fill="auto"/>
            <w:noWrap/>
            <w:vAlign w:val="bottom"/>
            <w:hideMark/>
          </w:tcPr>
          <w:p w:rsidR="0055491A" w:rsidRDefault="0055491A" w:rsidP="00210BF6">
            <w:pPr>
              <w:jc w:val="center"/>
              <w:rPr>
                <w:color w:val="000000"/>
                <w:sz w:val="22"/>
                <w:szCs w:val="22"/>
              </w:rPr>
            </w:pPr>
            <w:r>
              <w:rPr>
                <w:color w:val="000000"/>
                <w:sz w:val="22"/>
                <w:szCs w:val="22"/>
              </w:rPr>
              <w:t>5</w:t>
            </w:r>
          </w:p>
        </w:tc>
        <w:tc>
          <w:tcPr>
            <w:tcW w:w="1212" w:type="dxa"/>
            <w:tcBorders>
              <w:top w:val="nil"/>
              <w:left w:val="nil"/>
              <w:bottom w:val="single" w:sz="4" w:space="0" w:color="auto"/>
              <w:right w:val="single" w:sz="4" w:space="0" w:color="auto"/>
            </w:tcBorders>
            <w:shd w:val="clear" w:color="auto" w:fill="auto"/>
            <w:noWrap/>
            <w:vAlign w:val="bottom"/>
            <w:hideMark/>
          </w:tcPr>
          <w:p w:rsidR="0055491A" w:rsidRDefault="0055491A" w:rsidP="00210BF6">
            <w:pPr>
              <w:jc w:val="center"/>
              <w:rPr>
                <w:color w:val="000000"/>
                <w:sz w:val="22"/>
                <w:szCs w:val="22"/>
              </w:rPr>
            </w:pPr>
            <w:r>
              <w:rPr>
                <w:color w:val="000000"/>
                <w:sz w:val="22"/>
                <w:szCs w:val="22"/>
              </w:rPr>
              <w:t>6</w:t>
            </w:r>
          </w:p>
        </w:tc>
        <w:tc>
          <w:tcPr>
            <w:tcW w:w="1212" w:type="dxa"/>
            <w:tcBorders>
              <w:top w:val="nil"/>
              <w:left w:val="nil"/>
              <w:bottom w:val="single" w:sz="4" w:space="0" w:color="auto"/>
              <w:right w:val="single" w:sz="4" w:space="0" w:color="auto"/>
            </w:tcBorders>
            <w:shd w:val="clear" w:color="auto" w:fill="auto"/>
            <w:noWrap/>
            <w:vAlign w:val="bottom"/>
            <w:hideMark/>
          </w:tcPr>
          <w:p w:rsidR="0055491A" w:rsidRDefault="0055491A" w:rsidP="00210BF6">
            <w:pPr>
              <w:jc w:val="center"/>
              <w:rPr>
                <w:color w:val="000000"/>
                <w:sz w:val="22"/>
                <w:szCs w:val="22"/>
              </w:rPr>
            </w:pPr>
            <w:r>
              <w:rPr>
                <w:color w:val="000000"/>
                <w:sz w:val="22"/>
                <w:szCs w:val="22"/>
              </w:rPr>
              <w:t>7,5</w:t>
            </w:r>
          </w:p>
        </w:tc>
        <w:tc>
          <w:tcPr>
            <w:tcW w:w="1212" w:type="dxa"/>
            <w:tcBorders>
              <w:top w:val="nil"/>
              <w:left w:val="nil"/>
              <w:bottom w:val="single" w:sz="4" w:space="0" w:color="auto"/>
              <w:right w:val="single" w:sz="4" w:space="0" w:color="auto"/>
            </w:tcBorders>
            <w:shd w:val="clear" w:color="auto" w:fill="auto"/>
            <w:noWrap/>
            <w:vAlign w:val="bottom"/>
            <w:hideMark/>
          </w:tcPr>
          <w:p w:rsidR="0055491A" w:rsidRDefault="0055491A" w:rsidP="00210BF6">
            <w:pPr>
              <w:jc w:val="center"/>
              <w:rPr>
                <w:color w:val="000000"/>
                <w:sz w:val="22"/>
                <w:szCs w:val="22"/>
              </w:rPr>
            </w:pPr>
            <w:r>
              <w:rPr>
                <w:color w:val="000000"/>
                <w:sz w:val="22"/>
                <w:szCs w:val="22"/>
              </w:rPr>
              <w:t>7,5</w:t>
            </w:r>
          </w:p>
        </w:tc>
      </w:tr>
      <w:tr w:rsidR="0055491A" w:rsidTr="00210BF6">
        <w:trPr>
          <w:trHeight w:val="298"/>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55491A" w:rsidRDefault="0055491A" w:rsidP="00210BF6">
            <w:pPr>
              <w:jc w:val="center"/>
              <w:rPr>
                <w:color w:val="000000"/>
                <w:sz w:val="22"/>
                <w:szCs w:val="22"/>
              </w:rPr>
            </w:pPr>
            <w:r>
              <w:rPr>
                <w:color w:val="000000"/>
                <w:sz w:val="22"/>
                <w:szCs w:val="22"/>
              </w:rPr>
              <w:t>2</w:t>
            </w:r>
          </w:p>
        </w:tc>
        <w:tc>
          <w:tcPr>
            <w:tcW w:w="1212" w:type="dxa"/>
            <w:tcBorders>
              <w:top w:val="nil"/>
              <w:left w:val="nil"/>
              <w:bottom w:val="single" w:sz="4" w:space="0" w:color="auto"/>
              <w:right w:val="single" w:sz="4" w:space="0" w:color="auto"/>
            </w:tcBorders>
            <w:shd w:val="clear" w:color="auto" w:fill="auto"/>
            <w:noWrap/>
            <w:vAlign w:val="bottom"/>
            <w:hideMark/>
          </w:tcPr>
          <w:p w:rsidR="0055491A" w:rsidRDefault="0055491A" w:rsidP="00210BF6">
            <w:pPr>
              <w:jc w:val="center"/>
              <w:rPr>
                <w:color w:val="000000"/>
                <w:sz w:val="22"/>
                <w:szCs w:val="22"/>
              </w:rPr>
            </w:pPr>
            <w:r>
              <w:rPr>
                <w:color w:val="000000"/>
                <w:sz w:val="22"/>
                <w:szCs w:val="22"/>
              </w:rPr>
              <w:t> 0</w:t>
            </w:r>
          </w:p>
        </w:tc>
        <w:tc>
          <w:tcPr>
            <w:tcW w:w="1212" w:type="dxa"/>
            <w:tcBorders>
              <w:top w:val="nil"/>
              <w:left w:val="nil"/>
              <w:bottom w:val="single" w:sz="4" w:space="0" w:color="auto"/>
              <w:right w:val="single" w:sz="4" w:space="0" w:color="auto"/>
            </w:tcBorders>
            <w:shd w:val="clear" w:color="auto" w:fill="auto"/>
            <w:noWrap/>
            <w:vAlign w:val="bottom"/>
            <w:hideMark/>
          </w:tcPr>
          <w:p w:rsidR="0055491A" w:rsidRDefault="0055491A" w:rsidP="00210BF6">
            <w:pPr>
              <w:jc w:val="center"/>
              <w:rPr>
                <w:color w:val="000000"/>
                <w:sz w:val="22"/>
                <w:szCs w:val="22"/>
              </w:rPr>
            </w:pPr>
            <w:r>
              <w:rPr>
                <w:color w:val="000000"/>
                <w:sz w:val="22"/>
                <w:szCs w:val="22"/>
              </w:rPr>
              <w:t>2</w:t>
            </w:r>
          </w:p>
        </w:tc>
        <w:tc>
          <w:tcPr>
            <w:tcW w:w="1212" w:type="dxa"/>
            <w:tcBorders>
              <w:top w:val="nil"/>
              <w:left w:val="nil"/>
              <w:bottom w:val="single" w:sz="4" w:space="0" w:color="auto"/>
              <w:right w:val="single" w:sz="4" w:space="0" w:color="auto"/>
            </w:tcBorders>
            <w:shd w:val="clear" w:color="auto" w:fill="auto"/>
            <w:noWrap/>
            <w:vAlign w:val="bottom"/>
            <w:hideMark/>
          </w:tcPr>
          <w:p w:rsidR="0055491A" w:rsidRDefault="0055491A" w:rsidP="00210BF6">
            <w:pPr>
              <w:jc w:val="center"/>
              <w:rPr>
                <w:color w:val="000000"/>
                <w:sz w:val="22"/>
                <w:szCs w:val="22"/>
              </w:rPr>
            </w:pPr>
            <w:r>
              <w:rPr>
                <w:color w:val="000000"/>
                <w:sz w:val="22"/>
                <w:szCs w:val="22"/>
              </w:rPr>
              <w:t>0 </w:t>
            </w:r>
          </w:p>
        </w:tc>
        <w:tc>
          <w:tcPr>
            <w:tcW w:w="1212" w:type="dxa"/>
            <w:tcBorders>
              <w:top w:val="nil"/>
              <w:left w:val="nil"/>
              <w:bottom w:val="single" w:sz="4" w:space="0" w:color="auto"/>
              <w:right w:val="single" w:sz="4" w:space="0" w:color="auto"/>
            </w:tcBorders>
            <w:shd w:val="clear" w:color="auto" w:fill="auto"/>
            <w:noWrap/>
            <w:vAlign w:val="bottom"/>
            <w:hideMark/>
          </w:tcPr>
          <w:p w:rsidR="0055491A" w:rsidRDefault="0055491A" w:rsidP="00210BF6">
            <w:pPr>
              <w:jc w:val="center"/>
              <w:rPr>
                <w:color w:val="000000"/>
                <w:sz w:val="22"/>
                <w:szCs w:val="22"/>
              </w:rPr>
            </w:pPr>
            <w:r>
              <w:rPr>
                <w:color w:val="000000"/>
                <w:sz w:val="22"/>
                <w:szCs w:val="22"/>
              </w:rPr>
              <w:t>0</w:t>
            </w:r>
          </w:p>
        </w:tc>
        <w:tc>
          <w:tcPr>
            <w:tcW w:w="1212" w:type="dxa"/>
            <w:tcBorders>
              <w:top w:val="nil"/>
              <w:left w:val="nil"/>
              <w:bottom w:val="single" w:sz="4" w:space="0" w:color="auto"/>
              <w:right w:val="single" w:sz="4" w:space="0" w:color="auto"/>
            </w:tcBorders>
            <w:shd w:val="clear" w:color="auto" w:fill="auto"/>
            <w:noWrap/>
            <w:vAlign w:val="bottom"/>
            <w:hideMark/>
          </w:tcPr>
          <w:p w:rsidR="0055491A" w:rsidRDefault="0055491A" w:rsidP="00210BF6">
            <w:pPr>
              <w:jc w:val="center"/>
              <w:rPr>
                <w:color w:val="000000"/>
                <w:sz w:val="22"/>
                <w:szCs w:val="22"/>
              </w:rPr>
            </w:pPr>
            <w:r>
              <w:rPr>
                <w:color w:val="000000"/>
                <w:sz w:val="22"/>
                <w:szCs w:val="22"/>
              </w:rPr>
              <w:t>4</w:t>
            </w:r>
          </w:p>
        </w:tc>
        <w:tc>
          <w:tcPr>
            <w:tcW w:w="1212" w:type="dxa"/>
            <w:tcBorders>
              <w:top w:val="nil"/>
              <w:left w:val="nil"/>
              <w:bottom w:val="single" w:sz="4" w:space="0" w:color="auto"/>
              <w:right w:val="single" w:sz="4" w:space="0" w:color="auto"/>
            </w:tcBorders>
            <w:shd w:val="clear" w:color="auto" w:fill="auto"/>
            <w:noWrap/>
            <w:vAlign w:val="bottom"/>
            <w:hideMark/>
          </w:tcPr>
          <w:p w:rsidR="0055491A" w:rsidRDefault="0055491A" w:rsidP="00210BF6">
            <w:pPr>
              <w:jc w:val="center"/>
              <w:rPr>
                <w:color w:val="000000"/>
                <w:sz w:val="22"/>
                <w:szCs w:val="22"/>
              </w:rPr>
            </w:pPr>
            <w:r>
              <w:rPr>
                <w:color w:val="000000"/>
                <w:sz w:val="22"/>
                <w:szCs w:val="22"/>
              </w:rPr>
              <w:t>0</w:t>
            </w:r>
          </w:p>
        </w:tc>
      </w:tr>
      <w:tr w:rsidR="0055491A" w:rsidTr="00210BF6">
        <w:trPr>
          <w:trHeight w:val="298"/>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55491A" w:rsidRDefault="0055491A" w:rsidP="00210BF6">
            <w:pPr>
              <w:jc w:val="center"/>
              <w:rPr>
                <w:color w:val="000000"/>
                <w:sz w:val="22"/>
                <w:szCs w:val="22"/>
              </w:rPr>
            </w:pPr>
            <w:r>
              <w:rPr>
                <w:color w:val="000000"/>
                <w:sz w:val="22"/>
                <w:szCs w:val="22"/>
              </w:rPr>
              <w:t>2,5</w:t>
            </w:r>
          </w:p>
        </w:tc>
        <w:tc>
          <w:tcPr>
            <w:tcW w:w="1212" w:type="dxa"/>
            <w:tcBorders>
              <w:top w:val="nil"/>
              <w:left w:val="nil"/>
              <w:bottom w:val="single" w:sz="4" w:space="0" w:color="auto"/>
              <w:right w:val="single" w:sz="4" w:space="0" w:color="auto"/>
            </w:tcBorders>
            <w:shd w:val="clear" w:color="auto" w:fill="auto"/>
            <w:noWrap/>
            <w:vAlign w:val="bottom"/>
            <w:hideMark/>
          </w:tcPr>
          <w:p w:rsidR="0055491A" w:rsidRDefault="0055491A" w:rsidP="00210BF6">
            <w:pPr>
              <w:jc w:val="center"/>
              <w:rPr>
                <w:color w:val="000000"/>
                <w:sz w:val="22"/>
                <w:szCs w:val="22"/>
              </w:rPr>
            </w:pPr>
            <w:r>
              <w:rPr>
                <w:color w:val="000000"/>
                <w:sz w:val="22"/>
                <w:szCs w:val="22"/>
              </w:rPr>
              <w:t>25</w:t>
            </w:r>
          </w:p>
        </w:tc>
        <w:tc>
          <w:tcPr>
            <w:tcW w:w="1212" w:type="dxa"/>
            <w:tcBorders>
              <w:top w:val="nil"/>
              <w:left w:val="nil"/>
              <w:bottom w:val="single" w:sz="4" w:space="0" w:color="auto"/>
              <w:right w:val="single" w:sz="4" w:space="0" w:color="auto"/>
            </w:tcBorders>
            <w:shd w:val="clear" w:color="auto" w:fill="auto"/>
            <w:noWrap/>
            <w:vAlign w:val="bottom"/>
            <w:hideMark/>
          </w:tcPr>
          <w:p w:rsidR="0055491A" w:rsidRDefault="0055491A" w:rsidP="00210BF6">
            <w:pPr>
              <w:jc w:val="center"/>
              <w:rPr>
                <w:color w:val="000000"/>
                <w:sz w:val="22"/>
                <w:szCs w:val="22"/>
              </w:rPr>
            </w:pPr>
            <w:r>
              <w:rPr>
                <w:color w:val="000000"/>
                <w:sz w:val="22"/>
                <w:szCs w:val="22"/>
              </w:rPr>
              <w:t>27</w:t>
            </w:r>
          </w:p>
        </w:tc>
        <w:tc>
          <w:tcPr>
            <w:tcW w:w="1212" w:type="dxa"/>
            <w:tcBorders>
              <w:top w:val="nil"/>
              <w:left w:val="nil"/>
              <w:bottom w:val="single" w:sz="4" w:space="0" w:color="auto"/>
              <w:right w:val="single" w:sz="4" w:space="0" w:color="auto"/>
            </w:tcBorders>
            <w:shd w:val="clear" w:color="auto" w:fill="auto"/>
            <w:noWrap/>
            <w:vAlign w:val="bottom"/>
            <w:hideMark/>
          </w:tcPr>
          <w:p w:rsidR="0055491A" w:rsidRDefault="0055491A" w:rsidP="00210BF6">
            <w:pPr>
              <w:jc w:val="center"/>
              <w:rPr>
                <w:color w:val="000000"/>
                <w:sz w:val="22"/>
                <w:szCs w:val="22"/>
              </w:rPr>
            </w:pPr>
            <w:r>
              <w:rPr>
                <w:color w:val="000000"/>
                <w:sz w:val="22"/>
                <w:szCs w:val="22"/>
              </w:rPr>
              <w:t>32</w:t>
            </w:r>
          </w:p>
        </w:tc>
        <w:tc>
          <w:tcPr>
            <w:tcW w:w="1212" w:type="dxa"/>
            <w:tcBorders>
              <w:top w:val="nil"/>
              <w:left w:val="nil"/>
              <w:bottom w:val="single" w:sz="4" w:space="0" w:color="auto"/>
              <w:right w:val="single" w:sz="4" w:space="0" w:color="auto"/>
            </w:tcBorders>
            <w:shd w:val="clear" w:color="auto" w:fill="auto"/>
            <w:noWrap/>
            <w:vAlign w:val="bottom"/>
            <w:hideMark/>
          </w:tcPr>
          <w:p w:rsidR="0055491A" w:rsidRDefault="0055491A" w:rsidP="00210BF6">
            <w:pPr>
              <w:jc w:val="center"/>
              <w:rPr>
                <w:color w:val="000000"/>
                <w:sz w:val="22"/>
                <w:szCs w:val="22"/>
              </w:rPr>
            </w:pPr>
            <w:r>
              <w:rPr>
                <w:color w:val="000000"/>
                <w:sz w:val="22"/>
                <w:szCs w:val="22"/>
              </w:rPr>
              <w:t>62,5</w:t>
            </w:r>
          </w:p>
        </w:tc>
        <w:tc>
          <w:tcPr>
            <w:tcW w:w="1212" w:type="dxa"/>
            <w:tcBorders>
              <w:top w:val="nil"/>
              <w:left w:val="nil"/>
              <w:bottom w:val="single" w:sz="4" w:space="0" w:color="auto"/>
              <w:right w:val="single" w:sz="4" w:space="0" w:color="auto"/>
            </w:tcBorders>
            <w:shd w:val="clear" w:color="auto" w:fill="auto"/>
            <w:noWrap/>
            <w:vAlign w:val="bottom"/>
            <w:hideMark/>
          </w:tcPr>
          <w:p w:rsidR="0055491A" w:rsidRDefault="0055491A" w:rsidP="00210BF6">
            <w:pPr>
              <w:jc w:val="center"/>
              <w:rPr>
                <w:color w:val="000000"/>
                <w:sz w:val="22"/>
                <w:szCs w:val="22"/>
              </w:rPr>
            </w:pPr>
            <w:r>
              <w:rPr>
                <w:color w:val="000000"/>
                <w:sz w:val="22"/>
                <w:szCs w:val="22"/>
              </w:rPr>
              <w:t>67,5</w:t>
            </w:r>
          </w:p>
        </w:tc>
        <w:tc>
          <w:tcPr>
            <w:tcW w:w="1212" w:type="dxa"/>
            <w:tcBorders>
              <w:top w:val="nil"/>
              <w:left w:val="nil"/>
              <w:bottom w:val="single" w:sz="4" w:space="0" w:color="auto"/>
              <w:right w:val="single" w:sz="4" w:space="0" w:color="auto"/>
            </w:tcBorders>
            <w:shd w:val="clear" w:color="auto" w:fill="auto"/>
            <w:noWrap/>
            <w:vAlign w:val="bottom"/>
            <w:hideMark/>
          </w:tcPr>
          <w:p w:rsidR="0055491A" w:rsidRDefault="0055491A" w:rsidP="00210BF6">
            <w:pPr>
              <w:jc w:val="center"/>
              <w:rPr>
                <w:color w:val="000000"/>
                <w:sz w:val="22"/>
                <w:szCs w:val="22"/>
              </w:rPr>
            </w:pPr>
            <w:r>
              <w:rPr>
                <w:color w:val="000000"/>
                <w:sz w:val="22"/>
                <w:szCs w:val="22"/>
              </w:rPr>
              <w:t>80</w:t>
            </w:r>
          </w:p>
        </w:tc>
      </w:tr>
      <w:tr w:rsidR="0055491A" w:rsidTr="00210BF6">
        <w:trPr>
          <w:trHeight w:val="298"/>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55491A" w:rsidRDefault="0055491A" w:rsidP="00210BF6">
            <w:pPr>
              <w:jc w:val="center"/>
              <w:rPr>
                <w:color w:val="000000"/>
                <w:sz w:val="22"/>
                <w:szCs w:val="22"/>
              </w:rPr>
            </w:pPr>
            <w:r>
              <w:rPr>
                <w:color w:val="000000"/>
                <w:sz w:val="22"/>
                <w:szCs w:val="22"/>
              </w:rPr>
              <w:t>3,5</w:t>
            </w:r>
          </w:p>
        </w:tc>
        <w:tc>
          <w:tcPr>
            <w:tcW w:w="1212" w:type="dxa"/>
            <w:tcBorders>
              <w:top w:val="nil"/>
              <w:left w:val="nil"/>
              <w:bottom w:val="single" w:sz="4" w:space="0" w:color="auto"/>
              <w:right w:val="single" w:sz="4" w:space="0" w:color="auto"/>
            </w:tcBorders>
            <w:shd w:val="clear" w:color="auto" w:fill="auto"/>
            <w:noWrap/>
            <w:vAlign w:val="bottom"/>
            <w:hideMark/>
          </w:tcPr>
          <w:p w:rsidR="0055491A" w:rsidRDefault="0055491A" w:rsidP="00210BF6">
            <w:pPr>
              <w:jc w:val="center"/>
              <w:rPr>
                <w:color w:val="000000"/>
                <w:sz w:val="22"/>
                <w:szCs w:val="22"/>
              </w:rPr>
            </w:pPr>
            <w:r>
              <w:rPr>
                <w:color w:val="000000"/>
                <w:sz w:val="22"/>
                <w:szCs w:val="22"/>
              </w:rPr>
              <w:t>12</w:t>
            </w:r>
          </w:p>
        </w:tc>
        <w:tc>
          <w:tcPr>
            <w:tcW w:w="1212" w:type="dxa"/>
            <w:tcBorders>
              <w:top w:val="nil"/>
              <w:left w:val="nil"/>
              <w:bottom w:val="single" w:sz="4" w:space="0" w:color="auto"/>
              <w:right w:val="single" w:sz="4" w:space="0" w:color="auto"/>
            </w:tcBorders>
            <w:shd w:val="clear" w:color="auto" w:fill="auto"/>
            <w:noWrap/>
            <w:vAlign w:val="bottom"/>
            <w:hideMark/>
          </w:tcPr>
          <w:p w:rsidR="0055491A" w:rsidRDefault="0055491A" w:rsidP="00210BF6">
            <w:pPr>
              <w:jc w:val="center"/>
              <w:rPr>
                <w:color w:val="000000"/>
                <w:sz w:val="22"/>
                <w:szCs w:val="22"/>
              </w:rPr>
            </w:pPr>
            <w:r>
              <w:rPr>
                <w:color w:val="000000"/>
                <w:sz w:val="22"/>
                <w:szCs w:val="22"/>
              </w:rPr>
              <w:t>10</w:t>
            </w:r>
          </w:p>
        </w:tc>
        <w:tc>
          <w:tcPr>
            <w:tcW w:w="1212" w:type="dxa"/>
            <w:tcBorders>
              <w:top w:val="nil"/>
              <w:left w:val="nil"/>
              <w:bottom w:val="single" w:sz="4" w:space="0" w:color="auto"/>
              <w:right w:val="single" w:sz="4" w:space="0" w:color="auto"/>
            </w:tcBorders>
            <w:shd w:val="clear" w:color="auto" w:fill="auto"/>
            <w:noWrap/>
            <w:vAlign w:val="bottom"/>
            <w:hideMark/>
          </w:tcPr>
          <w:p w:rsidR="0055491A" w:rsidRDefault="0055491A" w:rsidP="00210BF6">
            <w:pPr>
              <w:jc w:val="center"/>
              <w:rPr>
                <w:color w:val="000000"/>
                <w:sz w:val="22"/>
                <w:szCs w:val="22"/>
              </w:rPr>
            </w:pPr>
            <w:r>
              <w:rPr>
                <w:color w:val="000000"/>
                <w:sz w:val="22"/>
                <w:szCs w:val="22"/>
              </w:rPr>
              <w:t>14</w:t>
            </w:r>
          </w:p>
        </w:tc>
        <w:tc>
          <w:tcPr>
            <w:tcW w:w="1212" w:type="dxa"/>
            <w:tcBorders>
              <w:top w:val="nil"/>
              <w:left w:val="nil"/>
              <w:bottom w:val="single" w:sz="4" w:space="0" w:color="auto"/>
              <w:right w:val="single" w:sz="4" w:space="0" w:color="auto"/>
            </w:tcBorders>
            <w:shd w:val="clear" w:color="auto" w:fill="auto"/>
            <w:noWrap/>
            <w:vAlign w:val="bottom"/>
            <w:hideMark/>
          </w:tcPr>
          <w:p w:rsidR="0055491A" w:rsidRDefault="0055491A" w:rsidP="00210BF6">
            <w:pPr>
              <w:jc w:val="center"/>
              <w:rPr>
                <w:color w:val="000000"/>
                <w:sz w:val="22"/>
                <w:szCs w:val="22"/>
              </w:rPr>
            </w:pPr>
            <w:r>
              <w:rPr>
                <w:color w:val="000000"/>
                <w:sz w:val="22"/>
                <w:szCs w:val="22"/>
              </w:rPr>
              <w:t>42</w:t>
            </w:r>
          </w:p>
        </w:tc>
        <w:tc>
          <w:tcPr>
            <w:tcW w:w="1212" w:type="dxa"/>
            <w:tcBorders>
              <w:top w:val="nil"/>
              <w:left w:val="nil"/>
              <w:bottom w:val="single" w:sz="4" w:space="0" w:color="auto"/>
              <w:right w:val="single" w:sz="4" w:space="0" w:color="auto"/>
            </w:tcBorders>
            <w:shd w:val="clear" w:color="auto" w:fill="auto"/>
            <w:noWrap/>
            <w:vAlign w:val="bottom"/>
            <w:hideMark/>
          </w:tcPr>
          <w:p w:rsidR="0055491A" w:rsidRDefault="0055491A" w:rsidP="00210BF6">
            <w:pPr>
              <w:jc w:val="center"/>
              <w:rPr>
                <w:color w:val="000000"/>
                <w:sz w:val="22"/>
                <w:szCs w:val="22"/>
              </w:rPr>
            </w:pPr>
            <w:r>
              <w:rPr>
                <w:color w:val="000000"/>
                <w:sz w:val="22"/>
                <w:szCs w:val="22"/>
              </w:rPr>
              <w:t>35</w:t>
            </w:r>
          </w:p>
        </w:tc>
        <w:tc>
          <w:tcPr>
            <w:tcW w:w="1212" w:type="dxa"/>
            <w:tcBorders>
              <w:top w:val="nil"/>
              <w:left w:val="nil"/>
              <w:bottom w:val="single" w:sz="4" w:space="0" w:color="auto"/>
              <w:right w:val="single" w:sz="4" w:space="0" w:color="auto"/>
            </w:tcBorders>
            <w:shd w:val="clear" w:color="auto" w:fill="auto"/>
            <w:noWrap/>
            <w:vAlign w:val="bottom"/>
            <w:hideMark/>
          </w:tcPr>
          <w:p w:rsidR="0055491A" w:rsidRDefault="0055491A" w:rsidP="00210BF6">
            <w:pPr>
              <w:jc w:val="center"/>
              <w:rPr>
                <w:color w:val="000000"/>
                <w:sz w:val="22"/>
                <w:szCs w:val="22"/>
              </w:rPr>
            </w:pPr>
            <w:r>
              <w:rPr>
                <w:color w:val="000000"/>
                <w:sz w:val="22"/>
                <w:szCs w:val="22"/>
              </w:rPr>
              <w:t>49</w:t>
            </w:r>
          </w:p>
        </w:tc>
      </w:tr>
      <w:tr w:rsidR="0055491A" w:rsidTr="00210BF6">
        <w:trPr>
          <w:trHeight w:val="298"/>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55491A" w:rsidRDefault="0055491A" w:rsidP="00210BF6">
            <w:pPr>
              <w:jc w:val="center"/>
              <w:rPr>
                <w:color w:val="000000"/>
                <w:sz w:val="22"/>
                <w:szCs w:val="22"/>
              </w:rPr>
            </w:pPr>
            <w:r>
              <w:rPr>
                <w:color w:val="000000"/>
                <w:sz w:val="22"/>
                <w:szCs w:val="22"/>
              </w:rPr>
              <w:t>4</w:t>
            </w:r>
          </w:p>
        </w:tc>
        <w:tc>
          <w:tcPr>
            <w:tcW w:w="1212" w:type="dxa"/>
            <w:tcBorders>
              <w:top w:val="nil"/>
              <w:left w:val="nil"/>
              <w:bottom w:val="single" w:sz="4" w:space="0" w:color="auto"/>
              <w:right w:val="single" w:sz="4" w:space="0" w:color="auto"/>
            </w:tcBorders>
            <w:shd w:val="clear" w:color="auto" w:fill="auto"/>
            <w:noWrap/>
            <w:vAlign w:val="bottom"/>
            <w:hideMark/>
          </w:tcPr>
          <w:p w:rsidR="0055491A" w:rsidRDefault="0055491A" w:rsidP="00210BF6">
            <w:pPr>
              <w:jc w:val="center"/>
              <w:rPr>
                <w:color w:val="000000"/>
                <w:sz w:val="22"/>
                <w:szCs w:val="22"/>
              </w:rPr>
            </w:pPr>
            <w:r>
              <w:rPr>
                <w:color w:val="000000"/>
                <w:sz w:val="22"/>
                <w:szCs w:val="22"/>
              </w:rPr>
              <w:t>6</w:t>
            </w:r>
          </w:p>
        </w:tc>
        <w:tc>
          <w:tcPr>
            <w:tcW w:w="1212" w:type="dxa"/>
            <w:tcBorders>
              <w:top w:val="nil"/>
              <w:left w:val="nil"/>
              <w:bottom w:val="single" w:sz="4" w:space="0" w:color="auto"/>
              <w:right w:val="single" w:sz="4" w:space="0" w:color="auto"/>
            </w:tcBorders>
            <w:shd w:val="clear" w:color="auto" w:fill="auto"/>
            <w:noWrap/>
            <w:vAlign w:val="bottom"/>
            <w:hideMark/>
          </w:tcPr>
          <w:p w:rsidR="0055491A" w:rsidRDefault="0055491A" w:rsidP="00210BF6">
            <w:pPr>
              <w:jc w:val="center"/>
              <w:rPr>
                <w:color w:val="000000"/>
                <w:sz w:val="22"/>
                <w:szCs w:val="22"/>
              </w:rPr>
            </w:pPr>
            <w:r>
              <w:rPr>
                <w:color w:val="000000"/>
                <w:sz w:val="22"/>
                <w:szCs w:val="22"/>
              </w:rPr>
              <w:t>6</w:t>
            </w:r>
          </w:p>
        </w:tc>
        <w:tc>
          <w:tcPr>
            <w:tcW w:w="1212" w:type="dxa"/>
            <w:tcBorders>
              <w:top w:val="nil"/>
              <w:left w:val="nil"/>
              <w:bottom w:val="single" w:sz="4" w:space="0" w:color="auto"/>
              <w:right w:val="single" w:sz="4" w:space="0" w:color="auto"/>
            </w:tcBorders>
            <w:shd w:val="clear" w:color="auto" w:fill="auto"/>
            <w:noWrap/>
            <w:vAlign w:val="bottom"/>
            <w:hideMark/>
          </w:tcPr>
          <w:p w:rsidR="0055491A" w:rsidRDefault="0055491A" w:rsidP="00210BF6">
            <w:pPr>
              <w:jc w:val="center"/>
              <w:rPr>
                <w:color w:val="000000"/>
                <w:sz w:val="22"/>
                <w:szCs w:val="22"/>
              </w:rPr>
            </w:pPr>
            <w:r>
              <w:rPr>
                <w:color w:val="000000"/>
                <w:sz w:val="22"/>
                <w:szCs w:val="22"/>
              </w:rPr>
              <w:t>6</w:t>
            </w:r>
          </w:p>
        </w:tc>
        <w:tc>
          <w:tcPr>
            <w:tcW w:w="1212" w:type="dxa"/>
            <w:tcBorders>
              <w:top w:val="nil"/>
              <w:left w:val="nil"/>
              <w:bottom w:val="single" w:sz="4" w:space="0" w:color="auto"/>
              <w:right w:val="single" w:sz="4" w:space="0" w:color="auto"/>
            </w:tcBorders>
            <w:shd w:val="clear" w:color="auto" w:fill="auto"/>
            <w:noWrap/>
            <w:vAlign w:val="bottom"/>
            <w:hideMark/>
          </w:tcPr>
          <w:p w:rsidR="0055491A" w:rsidRDefault="0055491A" w:rsidP="00210BF6">
            <w:pPr>
              <w:jc w:val="center"/>
              <w:rPr>
                <w:color w:val="000000"/>
                <w:sz w:val="22"/>
                <w:szCs w:val="22"/>
              </w:rPr>
            </w:pPr>
            <w:r>
              <w:rPr>
                <w:color w:val="000000"/>
                <w:sz w:val="22"/>
                <w:szCs w:val="22"/>
              </w:rPr>
              <w:t>24</w:t>
            </w:r>
          </w:p>
        </w:tc>
        <w:tc>
          <w:tcPr>
            <w:tcW w:w="1212" w:type="dxa"/>
            <w:tcBorders>
              <w:top w:val="nil"/>
              <w:left w:val="nil"/>
              <w:bottom w:val="single" w:sz="4" w:space="0" w:color="auto"/>
              <w:right w:val="single" w:sz="4" w:space="0" w:color="auto"/>
            </w:tcBorders>
            <w:shd w:val="clear" w:color="auto" w:fill="auto"/>
            <w:noWrap/>
            <w:vAlign w:val="bottom"/>
            <w:hideMark/>
          </w:tcPr>
          <w:p w:rsidR="0055491A" w:rsidRDefault="0055491A" w:rsidP="00210BF6">
            <w:pPr>
              <w:jc w:val="center"/>
              <w:rPr>
                <w:color w:val="000000"/>
                <w:sz w:val="22"/>
                <w:szCs w:val="22"/>
              </w:rPr>
            </w:pPr>
            <w:r>
              <w:rPr>
                <w:color w:val="000000"/>
                <w:sz w:val="22"/>
                <w:szCs w:val="22"/>
              </w:rPr>
              <w:t>24</w:t>
            </w:r>
          </w:p>
        </w:tc>
        <w:tc>
          <w:tcPr>
            <w:tcW w:w="1212" w:type="dxa"/>
            <w:tcBorders>
              <w:top w:val="nil"/>
              <w:left w:val="nil"/>
              <w:bottom w:val="single" w:sz="4" w:space="0" w:color="auto"/>
              <w:right w:val="single" w:sz="4" w:space="0" w:color="auto"/>
            </w:tcBorders>
            <w:shd w:val="clear" w:color="auto" w:fill="auto"/>
            <w:noWrap/>
            <w:vAlign w:val="bottom"/>
            <w:hideMark/>
          </w:tcPr>
          <w:p w:rsidR="0055491A" w:rsidRDefault="0055491A" w:rsidP="00210BF6">
            <w:pPr>
              <w:jc w:val="center"/>
              <w:rPr>
                <w:color w:val="000000"/>
                <w:sz w:val="22"/>
                <w:szCs w:val="22"/>
              </w:rPr>
            </w:pPr>
            <w:r>
              <w:rPr>
                <w:color w:val="000000"/>
                <w:sz w:val="22"/>
                <w:szCs w:val="22"/>
              </w:rPr>
              <w:t>24</w:t>
            </w:r>
          </w:p>
        </w:tc>
      </w:tr>
      <w:tr w:rsidR="0055491A" w:rsidTr="00210BF6">
        <w:trPr>
          <w:trHeight w:val="298"/>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55491A" w:rsidRDefault="0055491A" w:rsidP="00210BF6">
            <w:pPr>
              <w:jc w:val="center"/>
              <w:rPr>
                <w:color w:val="000000"/>
                <w:sz w:val="22"/>
                <w:szCs w:val="22"/>
              </w:rPr>
            </w:pPr>
            <w:r>
              <w:rPr>
                <w:color w:val="000000"/>
                <w:sz w:val="22"/>
                <w:szCs w:val="22"/>
              </w:rPr>
              <w:t>5</w:t>
            </w:r>
          </w:p>
        </w:tc>
        <w:tc>
          <w:tcPr>
            <w:tcW w:w="1212" w:type="dxa"/>
            <w:tcBorders>
              <w:top w:val="nil"/>
              <w:left w:val="nil"/>
              <w:bottom w:val="single" w:sz="4" w:space="0" w:color="auto"/>
              <w:right w:val="single" w:sz="4" w:space="0" w:color="auto"/>
            </w:tcBorders>
            <w:shd w:val="clear" w:color="auto" w:fill="auto"/>
            <w:noWrap/>
            <w:vAlign w:val="bottom"/>
            <w:hideMark/>
          </w:tcPr>
          <w:p w:rsidR="0055491A" w:rsidRDefault="0055491A" w:rsidP="00210BF6">
            <w:pPr>
              <w:jc w:val="center"/>
              <w:rPr>
                <w:color w:val="000000"/>
                <w:sz w:val="22"/>
                <w:szCs w:val="22"/>
              </w:rPr>
            </w:pPr>
            <w:r>
              <w:rPr>
                <w:color w:val="000000"/>
                <w:sz w:val="22"/>
                <w:szCs w:val="22"/>
              </w:rPr>
              <w:t>104</w:t>
            </w:r>
          </w:p>
        </w:tc>
        <w:tc>
          <w:tcPr>
            <w:tcW w:w="1212" w:type="dxa"/>
            <w:tcBorders>
              <w:top w:val="nil"/>
              <w:left w:val="nil"/>
              <w:bottom w:val="single" w:sz="4" w:space="0" w:color="auto"/>
              <w:right w:val="single" w:sz="4" w:space="0" w:color="auto"/>
            </w:tcBorders>
            <w:shd w:val="clear" w:color="auto" w:fill="auto"/>
            <w:noWrap/>
            <w:vAlign w:val="bottom"/>
            <w:hideMark/>
          </w:tcPr>
          <w:p w:rsidR="0055491A" w:rsidRDefault="0055491A" w:rsidP="00210BF6">
            <w:pPr>
              <w:jc w:val="center"/>
              <w:rPr>
                <w:color w:val="000000"/>
                <w:sz w:val="22"/>
                <w:szCs w:val="22"/>
              </w:rPr>
            </w:pPr>
            <w:r>
              <w:rPr>
                <w:color w:val="000000"/>
                <w:sz w:val="22"/>
                <w:szCs w:val="22"/>
              </w:rPr>
              <w:t>108</w:t>
            </w:r>
          </w:p>
        </w:tc>
        <w:tc>
          <w:tcPr>
            <w:tcW w:w="1212" w:type="dxa"/>
            <w:tcBorders>
              <w:top w:val="nil"/>
              <w:left w:val="nil"/>
              <w:bottom w:val="single" w:sz="4" w:space="0" w:color="auto"/>
              <w:right w:val="single" w:sz="4" w:space="0" w:color="auto"/>
            </w:tcBorders>
            <w:shd w:val="clear" w:color="auto" w:fill="auto"/>
            <w:noWrap/>
            <w:vAlign w:val="bottom"/>
            <w:hideMark/>
          </w:tcPr>
          <w:p w:rsidR="0055491A" w:rsidRDefault="0055491A" w:rsidP="00210BF6">
            <w:pPr>
              <w:jc w:val="center"/>
              <w:rPr>
                <w:color w:val="000000"/>
                <w:sz w:val="22"/>
                <w:szCs w:val="22"/>
              </w:rPr>
            </w:pPr>
            <w:r>
              <w:rPr>
                <w:color w:val="000000"/>
                <w:sz w:val="22"/>
                <w:szCs w:val="22"/>
              </w:rPr>
              <w:t>107</w:t>
            </w:r>
          </w:p>
        </w:tc>
        <w:tc>
          <w:tcPr>
            <w:tcW w:w="1212" w:type="dxa"/>
            <w:tcBorders>
              <w:top w:val="nil"/>
              <w:left w:val="nil"/>
              <w:bottom w:val="single" w:sz="4" w:space="0" w:color="auto"/>
              <w:right w:val="single" w:sz="4" w:space="0" w:color="auto"/>
            </w:tcBorders>
            <w:shd w:val="clear" w:color="auto" w:fill="auto"/>
            <w:noWrap/>
            <w:vAlign w:val="bottom"/>
            <w:hideMark/>
          </w:tcPr>
          <w:p w:rsidR="0055491A" w:rsidRDefault="0055491A" w:rsidP="00210BF6">
            <w:pPr>
              <w:jc w:val="center"/>
              <w:rPr>
                <w:color w:val="000000"/>
                <w:sz w:val="22"/>
                <w:szCs w:val="22"/>
              </w:rPr>
            </w:pPr>
            <w:r>
              <w:rPr>
                <w:color w:val="000000"/>
                <w:sz w:val="22"/>
                <w:szCs w:val="22"/>
              </w:rPr>
              <w:t>520</w:t>
            </w:r>
          </w:p>
        </w:tc>
        <w:tc>
          <w:tcPr>
            <w:tcW w:w="1212" w:type="dxa"/>
            <w:tcBorders>
              <w:top w:val="nil"/>
              <w:left w:val="nil"/>
              <w:bottom w:val="single" w:sz="4" w:space="0" w:color="auto"/>
              <w:right w:val="single" w:sz="4" w:space="0" w:color="auto"/>
            </w:tcBorders>
            <w:shd w:val="clear" w:color="auto" w:fill="auto"/>
            <w:noWrap/>
            <w:vAlign w:val="bottom"/>
            <w:hideMark/>
          </w:tcPr>
          <w:p w:rsidR="0055491A" w:rsidRDefault="0055491A" w:rsidP="00210BF6">
            <w:pPr>
              <w:jc w:val="center"/>
              <w:rPr>
                <w:color w:val="000000"/>
                <w:sz w:val="22"/>
                <w:szCs w:val="22"/>
              </w:rPr>
            </w:pPr>
            <w:r>
              <w:rPr>
                <w:color w:val="000000"/>
                <w:sz w:val="22"/>
                <w:szCs w:val="22"/>
              </w:rPr>
              <w:t>540</w:t>
            </w:r>
          </w:p>
        </w:tc>
        <w:tc>
          <w:tcPr>
            <w:tcW w:w="1212" w:type="dxa"/>
            <w:tcBorders>
              <w:top w:val="nil"/>
              <w:left w:val="nil"/>
              <w:bottom w:val="single" w:sz="4" w:space="0" w:color="auto"/>
              <w:right w:val="single" w:sz="4" w:space="0" w:color="auto"/>
            </w:tcBorders>
            <w:shd w:val="clear" w:color="auto" w:fill="auto"/>
            <w:noWrap/>
            <w:vAlign w:val="bottom"/>
            <w:hideMark/>
          </w:tcPr>
          <w:p w:rsidR="0055491A" w:rsidRDefault="0055491A" w:rsidP="00210BF6">
            <w:pPr>
              <w:jc w:val="center"/>
              <w:rPr>
                <w:color w:val="000000"/>
                <w:sz w:val="22"/>
                <w:szCs w:val="22"/>
              </w:rPr>
            </w:pPr>
            <w:r>
              <w:rPr>
                <w:color w:val="000000"/>
                <w:sz w:val="22"/>
                <w:szCs w:val="22"/>
              </w:rPr>
              <w:t>535</w:t>
            </w:r>
          </w:p>
        </w:tc>
      </w:tr>
      <w:tr w:rsidR="0055491A" w:rsidTr="00210BF6">
        <w:trPr>
          <w:trHeight w:val="298"/>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55491A" w:rsidRDefault="0055491A" w:rsidP="00210BF6">
            <w:pPr>
              <w:jc w:val="center"/>
              <w:rPr>
                <w:color w:val="000000"/>
                <w:sz w:val="22"/>
                <w:szCs w:val="22"/>
              </w:rPr>
            </w:pPr>
            <w:r>
              <w:rPr>
                <w:color w:val="000000"/>
                <w:sz w:val="22"/>
                <w:szCs w:val="22"/>
              </w:rPr>
              <w:t>6</w:t>
            </w:r>
          </w:p>
        </w:tc>
        <w:tc>
          <w:tcPr>
            <w:tcW w:w="1212" w:type="dxa"/>
            <w:tcBorders>
              <w:top w:val="nil"/>
              <w:left w:val="nil"/>
              <w:bottom w:val="single" w:sz="4" w:space="0" w:color="auto"/>
              <w:right w:val="single" w:sz="4" w:space="0" w:color="auto"/>
            </w:tcBorders>
            <w:shd w:val="clear" w:color="auto" w:fill="auto"/>
            <w:noWrap/>
            <w:vAlign w:val="bottom"/>
            <w:hideMark/>
          </w:tcPr>
          <w:p w:rsidR="0055491A" w:rsidRDefault="0055491A" w:rsidP="00210BF6">
            <w:pPr>
              <w:jc w:val="center"/>
              <w:rPr>
                <w:color w:val="000000"/>
                <w:sz w:val="22"/>
                <w:szCs w:val="22"/>
              </w:rPr>
            </w:pPr>
            <w:r>
              <w:rPr>
                <w:color w:val="000000"/>
                <w:sz w:val="22"/>
                <w:szCs w:val="22"/>
              </w:rPr>
              <w:t>1</w:t>
            </w:r>
          </w:p>
        </w:tc>
        <w:tc>
          <w:tcPr>
            <w:tcW w:w="1212" w:type="dxa"/>
            <w:tcBorders>
              <w:top w:val="nil"/>
              <w:left w:val="nil"/>
              <w:bottom w:val="single" w:sz="4" w:space="0" w:color="auto"/>
              <w:right w:val="single" w:sz="4" w:space="0" w:color="auto"/>
            </w:tcBorders>
            <w:shd w:val="clear" w:color="auto" w:fill="auto"/>
            <w:noWrap/>
            <w:vAlign w:val="bottom"/>
            <w:hideMark/>
          </w:tcPr>
          <w:p w:rsidR="0055491A" w:rsidRDefault="0055491A" w:rsidP="00210BF6">
            <w:pPr>
              <w:jc w:val="center"/>
              <w:rPr>
                <w:color w:val="000000"/>
                <w:sz w:val="22"/>
                <w:szCs w:val="22"/>
              </w:rPr>
            </w:pPr>
            <w:r>
              <w:rPr>
                <w:color w:val="000000"/>
                <w:sz w:val="22"/>
                <w:szCs w:val="22"/>
              </w:rPr>
              <w:t>1</w:t>
            </w:r>
          </w:p>
        </w:tc>
        <w:tc>
          <w:tcPr>
            <w:tcW w:w="1212" w:type="dxa"/>
            <w:tcBorders>
              <w:top w:val="nil"/>
              <w:left w:val="nil"/>
              <w:bottom w:val="single" w:sz="4" w:space="0" w:color="auto"/>
              <w:right w:val="single" w:sz="4" w:space="0" w:color="auto"/>
            </w:tcBorders>
            <w:shd w:val="clear" w:color="auto" w:fill="auto"/>
            <w:noWrap/>
            <w:vAlign w:val="bottom"/>
            <w:hideMark/>
          </w:tcPr>
          <w:p w:rsidR="0055491A" w:rsidRDefault="0055491A" w:rsidP="00210BF6">
            <w:pPr>
              <w:jc w:val="center"/>
              <w:rPr>
                <w:color w:val="000000"/>
                <w:sz w:val="22"/>
                <w:szCs w:val="22"/>
              </w:rPr>
            </w:pPr>
            <w:r>
              <w:rPr>
                <w:color w:val="000000"/>
                <w:sz w:val="22"/>
                <w:szCs w:val="22"/>
              </w:rPr>
              <w:t>0</w:t>
            </w:r>
          </w:p>
        </w:tc>
        <w:tc>
          <w:tcPr>
            <w:tcW w:w="1212" w:type="dxa"/>
            <w:tcBorders>
              <w:top w:val="nil"/>
              <w:left w:val="nil"/>
              <w:bottom w:val="single" w:sz="4" w:space="0" w:color="auto"/>
              <w:right w:val="single" w:sz="4" w:space="0" w:color="auto"/>
            </w:tcBorders>
            <w:shd w:val="clear" w:color="auto" w:fill="auto"/>
            <w:noWrap/>
            <w:vAlign w:val="bottom"/>
            <w:hideMark/>
          </w:tcPr>
          <w:p w:rsidR="0055491A" w:rsidRDefault="0055491A" w:rsidP="00210BF6">
            <w:pPr>
              <w:jc w:val="center"/>
              <w:rPr>
                <w:color w:val="000000"/>
                <w:sz w:val="22"/>
                <w:szCs w:val="22"/>
              </w:rPr>
            </w:pPr>
            <w:r>
              <w:rPr>
                <w:color w:val="000000"/>
                <w:sz w:val="22"/>
                <w:szCs w:val="22"/>
              </w:rPr>
              <w:t>6</w:t>
            </w:r>
          </w:p>
        </w:tc>
        <w:tc>
          <w:tcPr>
            <w:tcW w:w="1212" w:type="dxa"/>
            <w:tcBorders>
              <w:top w:val="nil"/>
              <w:left w:val="nil"/>
              <w:bottom w:val="single" w:sz="4" w:space="0" w:color="auto"/>
              <w:right w:val="single" w:sz="4" w:space="0" w:color="auto"/>
            </w:tcBorders>
            <w:shd w:val="clear" w:color="auto" w:fill="auto"/>
            <w:noWrap/>
            <w:vAlign w:val="bottom"/>
            <w:hideMark/>
          </w:tcPr>
          <w:p w:rsidR="0055491A" w:rsidRDefault="0055491A" w:rsidP="00210BF6">
            <w:pPr>
              <w:jc w:val="center"/>
              <w:rPr>
                <w:color w:val="000000"/>
                <w:sz w:val="22"/>
                <w:szCs w:val="22"/>
              </w:rPr>
            </w:pPr>
            <w:r>
              <w:rPr>
                <w:color w:val="000000"/>
                <w:sz w:val="22"/>
                <w:szCs w:val="22"/>
              </w:rPr>
              <w:t>6</w:t>
            </w:r>
          </w:p>
        </w:tc>
        <w:tc>
          <w:tcPr>
            <w:tcW w:w="1212" w:type="dxa"/>
            <w:tcBorders>
              <w:top w:val="nil"/>
              <w:left w:val="nil"/>
              <w:bottom w:val="single" w:sz="4" w:space="0" w:color="auto"/>
              <w:right w:val="single" w:sz="4" w:space="0" w:color="auto"/>
            </w:tcBorders>
            <w:shd w:val="clear" w:color="auto" w:fill="auto"/>
            <w:noWrap/>
            <w:vAlign w:val="bottom"/>
            <w:hideMark/>
          </w:tcPr>
          <w:p w:rsidR="0055491A" w:rsidRDefault="0055491A" w:rsidP="00210BF6">
            <w:pPr>
              <w:jc w:val="center"/>
              <w:rPr>
                <w:color w:val="000000"/>
                <w:sz w:val="22"/>
                <w:szCs w:val="22"/>
              </w:rPr>
            </w:pPr>
            <w:r>
              <w:rPr>
                <w:color w:val="000000"/>
                <w:sz w:val="22"/>
                <w:szCs w:val="22"/>
              </w:rPr>
              <w:t>0</w:t>
            </w:r>
          </w:p>
        </w:tc>
      </w:tr>
      <w:tr w:rsidR="0055491A" w:rsidTr="00210BF6">
        <w:trPr>
          <w:trHeight w:val="298"/>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55491A" w:rsidRDefault="0055491A" w:rsidP="00210BF6">
            <w:pPr>
              <w:jc w:val="center"/>
              <w:rPr>
                <w:color w:val="000000"/>
                <w:sz w:val="22"/>
                <w:szCs w:val="22"/>
              </w:rPr>
            </w:pPr>
            <w:r>
              <w:rPr>
                <w:color w:val="000000"/>
                <w:sz w:val="22"/>
                <w:szCs w:val="22"/>
              </w:rPr>
              <w:t>9,5</w:t>
            </w:r>
          </w:p>
        </w:tc>
        <w:tc>
          <w:tcPr>
            <w:tcW w:w="1212" w:type="dxa"/>
            <w:tcBorders>
              <w:top w:val="nil"/>
              <w:left w:val="nil"/>
              <w:bottom w:val="single" w:sz="4" w:space="0" w:color="auto"/>
              <w:right w:val="single" w:sz="4" w:space="0" w:color="auto"/>
            </w:tcBorders>
            <w:shd w:val="clear" w:color="auto" w:fill="auto"/>
            <w:noWrap/>
            <w:vAlign w:val="bottom"/>
            <w:hideMark/>
          </w:tcPr>
          <w:p w:rsidR="0055491A" w:rsidRDefault="0055491A" w:rsidP="00210BF6">
            <w:pPr>
              <w:jc w:val="center"/>
              <w:rPr>
                <w:color w:val="000000"/>
                <w:sz w:val="22"/>
                <w:szCs w:val="22"/>
              </w:rPr>
            </w:pPr>
            <w:r>
              <w:rPr>
                <w:color w:val="000000"/>
                <w:sz w:val="22"/>
                <w:szCs w:val="22"/>
              </w:rPr>
              <w:t> 0</w:t>
            </w:r>
          </w:p>
        </w:tc>
        <w:tc>
          <w:tcPr>
            <w:tcW w:w="1212" w:type="dxa"/>
            <w:tcBorders>
              <w:top w:val="nil"/>
              <w:left w:val="nil"/>
              <w:bottom w:val="single" w:sz="4" w:space="0" w:color="auto"/>
              <w:right w:val="single" w:sz="4" w:space="0" w:color="auto"/>
            </w:tcBorders>
            <w:shd w:val="clear" w:color="auto" w:fill="auto"/>
            <w:noWrap/>
            <w:vAlign w:val="bottom"/>
            <w:hideMark/>
          </w:tcPr>
          <w:p w:rsidR="0055491A" w:rsidRDefault="0055491A" w:rsidP="00210BF6">
            <w:pPr>
              <w:jc w:val="center"/>
              <w:rPr>
                <w:color w:val="000000"/>
                <w:sz w:val="22"/>
                <w:szCs w:val="22"/>
              </w:rPr>
            </w:pPr>
            <w:r>
              <w:rPr>
                <w:color w:val="000000"/>
                <w:sz w:val="22"/>
                <w:szCs w:val="22"/>
              </w:rPr>
              <w:t>2</w:t>
            </w:r>
          </w:p>
        </w:tc>
        <w:tc>
          <w:tcPr>
            <w:tcW w:w="1212" w:type="dxa"/>
            <w:tcBorders>
              <w:top w:val="nil"/>
              <w:left w:val="nil"/>
              <w:bottom w:val="single" w:sz="4" w:space="0" w:color="auto"/>
              <w:right w:val="single" w:sz="4" w:space="0" w:color="auto"/>
            </w:tcBorders>
            <w:shd w:val="clear" w:color="auto" w:fill="auto"/>
            <w:noWrap/>
            <w:vAlign w:val="bottom"/>
            <w:hideMark/>
          </w:tcPr>
          <w:p w:rsidR="0055491A" w:rsidRDefault="0055491A" w:rsidP="00210BF6">
            <w:pPr>
              <w:jc w:val="center"/>
              <w:rPr>
                <w:color w:val="000000"/>
                <w:sz w:val="22"/>
                <w:szCs w:val="22"/>
              </w:rPr>
            </w:pPr>
            <w:r>
              <w:rPr>
                <w:color w:val="000000"/>
                <w:sz w:val="22"/>
                <w:szCs w:val="22"/>
              </w:rPr>
              <w:t>2</w:t>
            </w:r>
          </w:p>
        </w:tc>
        <w:tc>
          <w:tcPr>
            <w:tcW w:w="1212" w:type="dxa"/>
            <w:tcBorders>
              <w:top w:val="nil"/>
              <w:left w:val="nil"/>
              <w:bottom w:val="single" w:sz="4" w:space="0" w:color="auto"/>
              <w:right w:val="single" w:sz="4" w:space="0" w:color="auto"/>
            </w:tcBorders>
            <w:shd w:val="clear" w:color="auto" w:fill="auto"/>
            <w:noWrap/>
            <w:vAlign w:val="bottom"/>
            <w:hideMark/>
          </w:tcPr>
          <w:p w:rsidR="0055491A" w:rsidRDefault="0055491A" w:rsidP="00210BF6">
            <w:pPr>
              <w:jc w:val="center"/>
              <w:rPr>
                <w:color w:val="000000"/>
                <w:sz w:val="22"/>
                <w:szCs w:val="22"/>
              </w:rPr>
            </w:pPr>
            <w:r>
              <w:rPr>
                <w:color w:val="000000"/>
                <w:sz w:val="22"/>
                <w:szCs w:val="22"/>
              </w:rPr>
              <w:t>0</w:t>
            </w:r>
          </w:p>
        </w:tc>
        <w:tc>
          <w:tcPr>
            <w:tcW w:w="1212" w:type="dxa"/>
            <w:tcBorders>
              <w:top w:val="nil"/>
              <w:left w:val="nil"/>
              <w:bottom w:val="single" w:sz="4" w:space="0" w:color="auto"/>
              <w:right w:val="single" w:sz="4" w:space="0" w:color="auto"/>
            </w:tcBorders>
            <w:shd w:val="clear" w:color="auto" w:fill="auto"/>
            <w:noWrap/>
            <w:vAlign w:val="bottom"/>
            <w:hideMark/>
          </w:tcPr>
          <w:p w:rsidR="0055491A" w:rsidRDefault="0055491A" w:rsidP="00210BF6">
            <w:pPr>
              <w:jc w:val="center"/>
              <w:rPr>
                <w:color w:val="000000"/>
                <w:sz w:val="22"/>
                <w:szCs w:val="22"/>
              </w:rPr>
            </w:pPr>
            <w:r>
              <w:rPr>
                <w:color w:val="000000"/>
                <w:sz w:val="22"/>
                <w:szCs w:val="22"/>
              </w:rPr>
              <w:t>19</w:t>
            </w:r>
          </w:p>
        </w:tc>
        <w:tc>
          <w:tcPr>
            <w:tcW w:w="1212" w:type="dxa"/>
            <w:tcBorders>
              <w:top w:val="nil"/>
              <w:left w:val="nil"/>
              <w:bottom w:val="single" w:sz="4" w:space="0" w:color="auto"/>
              <w:right w:val="single" w:sz="4" w:space="0" w:color="auto"/>
            </w:tcBorders>
            <w:shd w:val="clear" w:color="auto" w:fill="auto"/>
            <w:noWrap/>
            <w:vAlign w:val="bottom"/>
            <w:hideMark/>
          </w:tcPr>
          <w:p w:rsidR="0055491A" w:rsidRDefault="0055491A" w:rsidP="00210BF6">
            <w:pPr>
              <w:jc w:val="center"/>
              <w:rPr>
                <w:color w:val="000000"/>
                <w:sz w:val="22"/>
                <w:szCs w:val="22"/>
              </w:rPr>
            </w:pPr>
            <w:r>
              <w:rPr>
                <w:color w:val="000000"/>
                <w:sz w:val="22"/>
                <w:szCs w:val="22"/>
              </w:rPr>
              <w:t>19</w:t>
            </w:r>
          </w:p>
        </w:tc>
      </w:tr>
      <w:tr w:rsidR="0055491A" w:rsidTr="00210BF6">
        <w:trPr>
          <w:trHeight w:val="298"/>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55491A" w:rsidRDefault="0055491A" w:rsidP="00210BF6">
            <w:pPr>
              <w:jc w:val="center"/>
              <w:rPr>
                <w:color w:val="000000"/>
                <w:sz w:val="22"/>
                <w:szCs w:val="22"/>
              </w:rPr>
            </w:pPr>
            <w:r>
              <w:rPr>
                <w:color w:val="000000"/>
                <w:sz w:val="22"/>
                <w:szCs w:val="22"/>
              </w:rPr>
              <w:t>10</w:t>
            </w:r>
          </w:p>
        </w:tc>
        <w:tc>
          <w:tcPr>
            <w:tcW w:w="1212" w:type="dxa"/>
            <w:tcBorders>
              <w:top w:val="nil"/>
              <w:left w:val="nil"/>
              <w:bottom w:val="single" w:sz="4" w:space="0" w:color="auto"/>
              <w:right w:val="single" w:sz="4" w:space="0" w:color="auto"/>
            </w:tcBorders>
            <w:shd w:val="clear" w:color="auto" w:fill="auto"/>
            <w:noWrap/>
            <w:vAlign w:val="bottom"/>
            <w:hideMark/>
          </w:tcPr>
          <w:p w:rsidR="0055491A" w:rsidRDefault="0055491A" w:rsidP="00210BF6">
            <w:pPr>
              <w:jc w:val="center"/>
              <w:rPr>
                <w:color w:val="000000"/>
                <w:sz w:val="22"/>
                <w:szCs w:val="22"/>
              </w:rPr>
            </w:pPr>
            <w:r>
              <w:rPr>
                <w:color w:val="000000"/>
                <w:sz w:val="22"/>
                <w:szCs w:val="22"/>
              </w:rPr>
              <w:t>15</w:t>
            </w:r>
          </w:p>
        </w:tc>
        <w:tc>
          <w:tcPr>
            <w:tcW w:w="1212" w:type="dxa"/>
            <w:tcBorders>
              <w:top w:val="nil"/>
              <w:left w:val="nil"/>
              <w:bottom w:val="single" w:sz="4" w:space="0" w:color="auto"/>
              <w:right w:val="single" w:sz="4" w:space="0" w:color="auto"/>
            </w:tcBorders>
            <w:shd w:val="clear" w:color="auto" w:fill="auto"/>
            <w:noWrap/>
            <w:vAlign w:val="bottom"/>
            <w:hideMark/>
          </w:tcPr>
          <w:p w:rsidR="0055491A" w:rsidRDefault="0055491A" w:rsidP="00210BF6">
            <w:pPr>
              <w:jc w:val="center"/>
              <w:rPr>
                <w:color w:val="000000"/>
                <w:sz w:val="22"/>
                <w:szCs w:val="22"/>
              </w:rPr>
            </w:pPr>
            <w:r>
              <w:rPr>
                <w:color w:val="000000"/>
                <w:sz w:val="22"/>
                <w:szCs w:val="22"/>
              </w:rPr>
              <w:t>15</w:t>
            </w:r>
          </w:p>
        </w:tc>
        <w:tc>
          <w:tcPr>
            <w:tcW w:w="1212" w:type="dxa"/>
            <w:tcBorders>
              <w:top w:val="nil"/>
              <w:left w:val="nil"/>
              <w:bottom w:val="single" w:sz="4" w:space="0" w:color="auto"/>
              <w:right w:val="single" w:sz="4" w:space="0" w:color="auto"/>
            </w:tcBorders>
            <w:shd w:val="clear" w:color="auto" w:fill="auto"/>
            <w:noWrap/>
            <w:vAlign w:val="bottom"/>
            <w:hideMark/>
          </w:tcPr>
          <w:p w:rsidR="0055491A" w:rsidRDefault="0055491A" w:rsidP="00210BF6">
            <w:pPr>
              <w:jc w:val="center"/>
              <w:rPr>
                <w:color w:val="000000"/>
                <w:sz w:val="22"/>
                <w:szCs w:val="22"/>
              </w:rPr>
            </w:pPr>
            <w:r>
              <w:rPr>
                <w:color w:val="000000"/>
                <w:sz w:val="22"/>
                <w:szCs w:val="22"/>
              </w:rPr>
              <w:t>2</w:t>
            </w:r>
          </w:p>
        </w:tc>
        <w:tc>
          <w:tcPr>
            <w:tcW w:w="1212" w:type="dxa"/>
            <w:tcBorders>
              <w:top w:val="nil"/>
              <w:left w:val="nil"/>
              <w:bottom w:val="single" w:sz="4" w:space="0" w:color="auto"/>
              <w:right w:val="single" w:sz="4" w:space="0" w:color="auto"/>
            </w:tcBorders>
            <w:shd w:val="clear" w:color="auto" w:fill="auto"/>
            <w:noWrap/>
            <w:vAlign w:val="bottom"/>
            <w:hideMark/>
          </w:tcPr>
          <w:p w:rsidR="0055491A" w:rsidRDefault="0055491A" w:rsidP="00210BF6">
            <w:pPr>
              <w:jc w:val="center"/>
              <w:rPr>
                <w:color w:val="000000"/>
                <w:sz w:val="22"/>
                <w:szCs w:val="22"/>
              </w:rPr>
            </w:pPr>
            <w:r>
              <w:rPr>
                <w:color w:val="000000"/>
                <w:sz w:val="22"/>
                <w:szCs w:val="22"/>
              </w:rPr>
              <w:t>150</w:t>
            </w:r>
          </w:p>
        </w:tc>
        <w:tc>
          <w:tcPr>
            <w:tcW w:w="1212" w:type="dxa"/>
            <w:tcBorders>
              <w:top w:val="nil"/>
              <w:left w:val="nil"/>
              <w:bottom w:val="single" w:sz="4" w:space="0" w:color="auto"/>
              <w:right w:val="single" w:sz="4" w:space="0" w:color="auto"/>
            </w:tcBorders>
            <w:shd w:val="clear" w:color="auto" w:fill="auto"/>
            <w:noWrap/>
            <w:vAlign w:val="bottom"/>
            <w:hideMark/>
          </w:tcPr>
          <w:p w:rsidR="0055491A" w:rsidRDefault="0055491A" w:rsidP="00210BF6">
            <w:pPr>
              <w:jc w:val="center"/>
              <w:rPr>
                <w:color w:val="000000"/>
                <w:sz w:val="22"/>
                <w:szCs w:val="22"/>
              </w:rPr>
            </w:pPr>
            <w:r>
              <w:rPr>
                <w:color w:val="000000"/>
                <w:sz w:val="22"/>
                <w:szCs w:val="22"/>
              </w:rPr>
              <w:t>150</w:t>
            </w:r>
          </w:p>
        </w:tc>
        <w:tc>
          <w:tcPr>
            <w:tcW w:w="1212" w:type="dxa"/>
            <w:tcBorders>
              <w:top w:val="nil"/>
              <w:left w:val="nil"/>
              <w:bottom w:val="single" w:sz="4" w:space="0" w:color="auto"/>
              <w:right w:val="single" w:sz="4" w:space="0" w:color="auto"/>
            </w:tcBorders>
            <w:shd w:val="clear" w:color="auto" w:fill="auto"/>
            <w:noWrap/>
            <w:vAlign w:val="bottom"/>
            <w:hideMark/>
          </w:tcPr>
          <w:p w:rsidR="0055491A" w:rsidRDefault="0055491A" w:rsidP="00210BF6">
            <w:pPr>
              <w:jc w:val="center"/>
              <w:rPr>
                <w:color w:val="000000"/>
                <w:sz w:val="22"/>
                <w:szCs w:val="22"/>
              </w:rPr>
            </w:pPr>
            <w:r>
              <w:rPr>
                <w:color w:val="000000"/>
                <w:sz w:val="22"/>
                <w:szCs w:val="22"/>
              </w:rPr>
              <w:t>20</w:t>
            </w:r>
          </w:p>
        </w:tc>
      </w:tr>
      <w:tr w:rsidR="0055491A" w:rsidTr="00210BF6">
        <w:trPr>
          <w:trHeight w:val="298"/>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55491A" w:rsidRDefault="0055491A" w:rsidP="00210BF6">
            <w:pPr>
              <w:jc w:val="center"/>
              <w:rPr>
                <w:color w:val="000000"/>
                <w:sz w:val="22"/>
                <w:szCs w:val="22"/>
              </w:rPr>
            </w:pPr>
            <w:r>
              <w:rPr>
                <w:color w:val="000000"/>
                <w:sz w:val="22"/>
                <w:szCs w:val="22"/>
              </w:rPr>
              <w:t>15</w:t>
            </w:r>
          </w:p>
        </w:tc>
        <w:tc>
          <w:tcPr>
            <w:tcW w:w="1212" w:type="dxa"/>
            <w:tcBorders>
              <w:top w:val="nil"/>
              <w:left w:val="nil"/>
              <w:bottom w:val="single" w:sz="4" w:space="0" w:color="auto"/>
              <w:right w:val="single" w:sz="4" w:space="0" w:color="auto"/>
            </w:tcBorders>
            <w:shd w:val="clear" w:color="auto" w:fill="auto"/>
            <w:noWrap/>
            <w:vAlign w:val="bottom"/>
            <w:hideMark/>
          </w:tcPr>
          <w:p w:rsidR="0055491A" w:rsidRDefault="0055491A" w:rsidP="00210BF6">
            <w:pPr>
              <w:jc w:val="center"/>
              <w:rPr>
                <w:color w:val="000000"/>
                <w:sz w:val="22"/>
                <w:szCs w:val="22"/>
              </w:rPr>
            </w:pPr>
            <w:r>
              <w:rPr>
                <w:color w:val="000000"/>
                <w:sz w:val="22"/>
                <w:szCs w:val="22"/>
              </w:rPr>
              <w:t>13</w:t>
            </w:r>
          </w:p>
        </w:tc>
        <w:tc>
          <w:tcPr>
            <w:tcW w:w="1212" w:type="dxa"/>
            <w:tcBorders>
              <w:top w:val="nil"/>
              <w:left w:val="nil"/>
              <w:bottom w:val="single" w:sz="4" w:space="0" w:color="auto"/>
              <w:right w:val="single" w:sz="4" w:space="0" w:color="auto"/>
            </w:tcBorders>
            <w:shd w:val="clear" w:color="auto" w:fill="auto"/>
            <w:noWrap/>
            <w:vAlign w:val="bottom"/>
            <w:hideMark/>
          </w:tcPr>
          <w:p w:rsidR="0055491A" w:rsidRDefault="0055491A" w:rsidP="00210BF6">
            <w:pPr>
              <w:jc w:val="center"/>
              <w:rPr>
                <w:color w:val="000000"/>
                <w:sz w:val="22"/>
                <w:szCs w:val="22"/>
              </w:rPr>
            </w:pPr>
            <w:r>
              <w:rPr>
                <w:color w:val="000000"/>
                <w:sz w:val="22"/>
                <w:szCs w:val="22"/>
              </w:rPr>
              <w:t>11</w:t>
            </w:r>
          </w:p>
        </w:tc>
        <w:tc>
          <w:tcPr>
            <w:tcW w:w="1212" w:type="dxa"/>
            <w:tcBorders>
              <w:top w:val="nil"/>
              <w:left w:val="nil"/>
              <w:bottom w:val="single" w:sz="4" w:space="0" w:color="auto"/>
              <w:right w:val="single" w:sz="4" w:space="0" w:color="auto"/>
            </w:tcBorders>
            <w:shd w:val="clear" w:color="auto" w:fill="auto"/>
            <w:noWrap/>
            <w:vAlign w:val="bottom"/>
            <w:hideMark/>
          </w:tcPr>
          <w:p w:rsidR="0055491A" w:rsidRDefault="0055491A" w:rsidP="00210BF6">
            <w:pPr>
              <w:jc w:val="center"/>
              <w:rPr>
                <w:color w:val="000000"/>
                <w:sz w:val="22"/>
                <w:szCs w:val="22"/>
              </w:rPr>
            </w:pPr>
            <w:r>
              <w:rPr>
                <w:color w:val="000000"/>
                <w:sz w:val="22"/>
                <w:szCs w:val="22"/>
              </w:rPr>
              <w:t>11</w:t>
            </w:r>
          </w:p>
        </w:tc>
        <w:tc>
          <w:tcPr>
            <w:tcW w:w="1212" w:type="dxa"/>
            <w:tcBorders>
              <w:top w:val="nil"/>
              <w:left w:val="nil"/>
              <w:bottom w:val="single" w:sz="4" w:space="0" w:color="auto"/>
              <w:right w:val="single" w:sz="4" w:space="0" w:color="auto"/>
            </w:tcBorders>
            <w:shd w:val="clear" w:color="auto" w:fill="auto"/>
            <w:noWrap/>
            <w:vAlign w:val="bottom"/>
            <w:hideMark/>
          </w:tcPr>
          <w:p w:rsidR="0055491A" w:rsidRDefault="0055491A" w:rsidP="00210BF6">
            <w:pPr>
              <w:jc w:val="center"/>
              <w:rPr>
                <w:color w:val="000000"/>
                <w:sz w:val="22"/>
                <w:szCs w:val="22"/>
              </w:rPr>
            </w:pPr>
            <w:r>
              <w:rPr>
                <w:color w:val="000000"/>
                <w:sz w:val="22"/>
                <w:szCs w:val="22"/>
              </w:rPr>
              <w:t>195</w:t>
            </w:r>
          </w:p>
        </w:tc>
        <w:tc>
          <w:tcPr>
            <w:tcW w:w="1212" w:type="dxa"/>
            <w:tcBorders>
              <w:top w:val="nil"/>
              <w:left w:val="nil"/>
              <w:bottom w:val="single" w:sz="4" w:space="0" w:color="auto"/>
              <w:right w:val="single" w:sz="4" w:space="0" w:color="auto"/>
            </w:tcBorders>
            <w:shd w:val="clear" w:color="auto" w:fill="auto"/>
            <w:noWrap/>
            <w:vAlign w:val="bottom"/>
            <w:hideMark/>
          </w:tcPr>
          <w:p w:rsidR="0055491A" w:rsidRDefault="0055491A" w:rsidP="00210BF6">
            <w:pPr>
              <w:jc w:val="center"/>
              <w:rPr>
                <w:color w:val="000000"/>
                <w:sz w:val="22"/>
                <w:szCs w:val="22"/>
              </w:rPr>
            </w:pPr>
            <w:r>
              <w:rPr>
                <w:color w:val="000000"/>
                <w:sz w:val="22"/>
                <w:szCs w:val="22"/>
              </w:rPr>
              <w:t>165</w:t>
            </w:r>
          </w:p>
        </w:tc>
        <w:tc>
          <w:tcPr>
            <w:tcW w:w="1212" w:type="dxa"/>
            <w:tcBorders>
              <w:top w:val="nil"/>
              <w:left w:val="nil"/>
              <w:bottom w:val="single" w:sz="4" w:space="0" w:color="auto"/>
              <w:right w:val="single" w:sz="4" w:space="0" w:color="auto"/>
            </w:tcBorders>
            <w:shd w:val="clear" w:color="auto" w:fill="auto"/>
            <w:noWrap/>
            <w:vAlign w:val="bottom"/>
            <w:hideMark/>
          </w:tcPr>
          <w:p w:rsidR="0055491A" w:rsidRDefault="0055491A" w:rsidP="00210BF6">
            <w:pPr>
              <w:jc w:val="center"/>
              <w:rPr>
                <w:color w:val="000000"/>
                <w:sz w:val="22"/>
                <w:szCs w:val="22"/>
              </w:rPr>
            </w:pPr>
            <w:r>
              <w:rPr>
                <w:color w:val="000000"/>
                <w:sz w:val="22"/>
                <w:szCs w:val="22"/>
              </w:rPr>
              <w:t>165</w:t>
            </w:r>
          </w:p>
        </w:tc>
      </w:tr>
      <w:tr w:rsidR="0055491A" w:rsidTr="00210BF6">
        <w:trPr>
          <w:trHeight w:val="298"/>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55491A" w:rsidRDefault="0055491A" w:rsidP="00210BF6">
            <w:pPr>
              <w:jc w:val="center"/>
              <w:rPr>
                <w:color w:val="000000"/>
                <w:sz w:val="22"/>
                <w:szCs w:val="22"/>
              </w:rPr>
            </w:pPr>
            <w:r>
              <w:rPr>
                <w:color w:val="000000"/>
                <w:sz w:val="22"/>
                <w:szCs w:val="22"/>
              </w:rPr>
              <w:t>20</w:t>
            </w:r>
          </w:p>
        </w:tc>
        <w:tc>
          <w:tcPr>
            <w:tcW w:w="1212" w:type="dxa"/>
            <w:tcBorders>
              <w:top w:val="nil"/>
              <w:left w:val="nil"/>
              <w:bottom w:val="single" w:sz="4" w:space="0" w:color="auto"/>
              <w:right w:val="single" w:sz="4" w:space="0" w:color="auto"/>
            </w:tcBorders>
            <w:shd w:val="clear" w:color="auto" w:fill="auto"/>
            <w:noWrap/>
            <w:vAlign w:val="bottom"/>
            <w:hideMark/>
          </w:tcPr>
          <w:p w:rsidR="0055491A" w:rsidRDefault="0055491A" w:rsidP="00210BF6">
            <w:pPr>
              <w:jc w:val="center"/>
              <w:rPr>
                <w:color w:val="000000"/>
                <w:sz w:val="22"/>
                <w:szCs w:val="22"/>
              </w:rPr>
            </w:pPr>
            <w:r>
              <w:rPr>
                <w:color w:val="000000"/>
                <w:sz w:val="22"/>
                <w:szCs w:val="22"/>
              </w:rPr>
              <w:t>2</w:t>
            </w:r>
          </w:p>
        </w:tc>
        <w:tc>
          <w:tcPr>
            <w:tcW w:w="1212" w:type="dxa"/>
            <w:tcBorders>
              <w:top w:val="nil"/>
              <w:left w:val="nil"/>
              <w:bottom w:val="single" w:sz="4" w:space="0" w:color="auto"/>
              <w:right w:val="single" w:sz="4" w:space="0" w:color="auto"/>
            </w:tcBorders>
            <w:shd w:val="clear" w:color="auto" w:fill="auto"/>
            <w:noWrap/>
            <w:vAlign w:val="bottom"/>
            <w:hideMark/>
          </w:tcPr>
          <w:p w:rsidR="0055491A" w:rsidRDefault="0055491A" w:rsidP="00210BF6">
            <w:pPr>
              <w:jc w:val="center"/>
              <w:rPr>
                <w:color w:val="000000"/>
                <w:sz w:val="22"/>
                <w:szCs w:val="22"/>
              </w:rPr>
            </w:pPr>
            <w:r>
              <w:rPr>
                <w:color w:val="000000"/>
                <w:sz w:val="22"/>
                <w:szCs w:val="22"/>
              </w:rPr>
              <w:t>3</w:t>
            </w:r>
          </w:p>
        </w:tc>
        <w:tc>
          <w:tcPr>
            <w:tcW w:w="1212" w:type="dxa"/>
            <w:tcBorders>
              <w:top w:val="nil"/>
              <w:left w:val="nil"/>
              <w:bottom w:val="single" w:sz="4" w:space="0" w:color="auto"/>
              <w:right w:val="single" w:sz="4" w:space="0" w:color="auto"/>
            </w:tcBorders>
            <w:shd w:val="clear" w:color="auto" w:fill="auto"/>
            <w:noWrap/>
            <w:vAlign w:val="bottom"/>
            <w:hideMark/>
          </w:tcPr>
          <w:p w:rsidR="0055491A" w:rsidRDefault="0055491A" w:rsidP="00210BF6">
            <w:pPr>
              <w:jc w:val="center"/>
              <w:rPr>
                <w:color w:val="000000"/>
                <w:sz w:val="22"/>
                <w:szCs w:val="22"/>
              </w:rPr>
            </w:pPr>
            <w:r>
              <w:rPr>
                <w:color w:val="000000"/>
                <w:sz w:val="22"/>
                <w:szCs w:val="22"/>
              </w:rPr>
              <w:t>2</w:t>
            </w:r>
          </w:p>
        </w:tc>
        <w:tc>
          <w:tcPr>
            <w:tcW w:w="1212" w:type="dxa"/>
            <w:tcBorders>
              <w:top w:val="nil"/>
              <w:left w:val="nil"/>
              <w:bottom w:val="single" w:sz="4" w:space="0" w:color="auto"/>
              <w:right w:val="single" w:sz="4" w:space="0" w:color="auto"/>
            </w:tcBorders>
            <w:shd w:val="clear" w:color="auto" w:fill="auto"/>
            <w:noWrap/>
            <w:vAlign w:val="bottom"/>
            <w:hideMark/>
          </w:tcPr>
          <w:p w:rsidR="0055491A" w:rsidRDefault="0055491A" w:rsidP="00210BF6">
            <w:pPr>
              <w:jc w:val="center"/>
              <w:rPr>
                <w:color w:val="000000"/>
                <w:sz w:val="22"/>
                <w:szCs w:val="22"/>
              </w:rPr>
            </w:pPr>
            <w:r>
              <w:rPr>
                <w:color w:val="000000"/>
                <w:sz w:val="22"/>
                <w:szCs w:val="22"/>
              </w:rPr>
              <w:t>40</w:t>
            </w:r>
          </w:p>
        </w:tc>
        <w:tc>
          <w:tcPr>
            <w:tcW w:w="1212" w:type="dxa"/>
            <w:tcBorders>
              <w:top w:val="nil"/>
              <w:left w:val="nil"/>
              <w:bottom w:val="single" w:sz="4" w:space="0" w:color="auto"/>
              <w:right w:val="single" w:sz="4" w:space="0" w:color="auto"/>
            </w:tcBorders>
            <w:shd w:val="clear" w:color="auto" w:fill="auto"/>
            <w:noWrap/>
            <w:vAlign w:val="bottom"/>
            <w:hideMark/>
          </w:tcPr>
          <w:p w:rsidR="0055491A" w:rsidRDefault="0055491A" w:rsidP="00210BF6">
            <w:pPr>
              <w:jc w:val="center"/>
              <w:rPr>
                <w:color w:val="000000"/>
                <w:sz w:val="22"/>
                <w:szCs w:val="22"/>
              </w:rPr>
            </w:pPr>
            <w:r>
              <w:rPr>
                <w:color w:val="000000"/>
                <w:sz w:val="22"/>
                <w:szCs w:val="22"/>
              </w:rPr>
              <w:t>60</w:t>
            </w:r>
          </w:p>
        </w:tc>
        <w:tc>
          <w:tcPr>
            <w:tcW w:w="1212" w:type="dxa"/>
            <w:tcBorders>
              <w:top w:val="nil"/>
              <w:left w:val="nil"/>
              <w:bottom w:val="single" w:sz="4" w:space="0" w:color="auto"/>
              <w:right w:val="single" w:sz="4" w:space="0" w:color="auto"/>
            </w:tcBorders>
            <w:shd w:val="clear" w:color="auto" w:fill="auto"/>
            <w:noWrap/>
            <w:vAlign w:val="bottom"/>
            <w:hideMark/>
          </w:tcPr>
          <w:p w:rsidR="0055491A" w:rsidRDefault="0055491A" w:rsidP="00210BF6">
            <w:pPr>
              <w:jc w:val="center"/>
              <w:rPr>
                <w:color w:val="000000"/>
                <w:sz w:val="22"/>
                <w:szCs w:val="22"/>
              </w:rPr>
            </w:pPr>
            <w:r>
              <w:rPr>
                <w:color w:val="000000"/>
                <w:sz w:val="22"/>
                <w:szCs w:val="22"/>
              </w:rPr>
              <w:t>40</w:t>
            </w:r>
          </w:p>
        </w:tc>
      </w:tr>
      <w:tr w:rsidR="0055491A" w:rsidTr="00210BF6">
        <w:trPr>
          <w:trHeight w:val="298"/>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55491A" w:rsidRDefault="0055491A" w:rsidP="00210BF6">
            <w:pPr>
              <w:jc w:val="center"/>
              <w:rPr>
                <w:color w:val="000000"/>
                <w:sz w:val="22"/>
                <w:szCs w:val="22"/>
              </w:rPr>
            </w:pPr>
            <w:r>
              <w:rPr>
                <w:color w:val="000000"/>
                <w:sz w:val="22"/>
                <w:szCs w:val="22"/>
              </w:rPr>
              <w:t>30</w:t>
            </w:r>
          </w:p>
        </w:tc>
        <w:tc>
          <w:tcPr>
            <w:tcW w:w="1212" w:type="dxa"/>
            <w:tcBorders>
              <w:top w:val="nil"/>
              <w:left w:val="nil"/>
              <w:bottom w:val="single" w:sz="4" w:space="0" w:color="auto"/>
              <w:right w:val="single" w:sz="4" w:space="0" w:color="auto"/>
            </w:tcBorders>
            <w:shd w:val="clear" w:color="auto" w:fill="auto"/>
            <w:noWrap/>
            <w:vAlign w:val="bottom"/>
            <w:hideMark/>
          </w:tcPr>
          <w:p w:rsidR="0055491A" w:rsidRDefault="0055491A" w:rsidP="00210BF6">
            <w:pPr>
              <w:jc w:val="center"/>
              <w:rPr>
                <w:color w:val="000000"/>
                <w:sz w:val="22"/>
                <w:szCs w:val="22"/>
              </w:rPr>
            </w:pPr>
            <w:r>
              <w:rPr>
                <w:color w:val="000000"/>
                <w:sz w:val="22"/>
                <w:szCs w:val="22"/>
              </w:rPr>
              <w:t>3</w:t>
            </w:r>
          </w:p>
        </w:tc>
        <w:tc>
          <w:tcPr>
            <w:tcW w:w="1212" w:type="dxa"/>
            <w:tcBorders>
              <w:top w:val="nil"/>
              <w:left w:val="nil"/>
              <w:bottom w:val="single" w:sz="4" w:space="0" w:color="auto"/>
              <w:right w:val="single" w:sz="4" w:space="0" w:color="auto"/>
            </w:tcBorders>
            <w:shd w:val="clear" w:color="auto" w:fill="auto"/>
            <w:noWrap/>
            <w:vAlign w:val="bottom"/>
            <w:hideMark/>
          </w:tcPr>
          <w:p w:rsidR="0055491A" w:rsidRDefault="0055491A" w:rsidP="00210BF6">
            <w:pPr>
              <w:jc w:val="center"/>
              <w:rPr>
                <w:color w:val="000000"/>
                <w:sz w:val="22"/>
                <w:szCs w:val="22"/>
              </w:rPr>
            </w:pPr>
            <w:r>
              <w:rPr>
                <w:color w:val="000000"/>
                <w:sz w:val="22"/>
                <w:szCs w:val="22"/>
              </w:rPr>
              <w:t>3</w:t>
            </w:r>
          </w:p>
        </w:tc>
        <w:tc>
          <w:tcPr>
            <w:tcW w:w="1212" w:type="dxa"/>
            <w:tcBorders>
              <w:top w:val="nil"/>
              <w:left w:val="nil"/>
              <w:bottom w:val="single" w:sz="4" w:space="0" w:color="auto"/>
              <w:right w:val="single" w:sz="4" w:space="0" w:color="auto"/>
            </w:tcBorders>
            <w:shd w:val="clear" w:color="auto" w:fill="auto"/>
            <w:noWrap/>
            <w:vAlign w:val="bottom"/>
            <w:hideMark/>
          </w:tcPr>
          <w:p w:rsidR="0055491A" w:rsidRDefault="0055491A" w:rsidP="00210BF6">
            <w:pPr>
              <w:jc w:val="center"/>
              <w:rPr>
                <w:color w:val="000000"/>
                <w:sz w:val="22"/>
                <w:szCs w:val="22"/>
              </w:rPr>
            </w:pPr>
            <w:r>
              <w:rPr>
                <w:color w:val="000000"/>
                <w:sz w:val="22"/>
                <w:szCs w:val="22"/>
              </w:rPr>
              <w:t>2</w:t>
            </w:r>
          </w:p>
        </w:tc>
        <w:tc>
          <w:tcPr>
            <w:tcW w:w="1212" w:type="dxa"/>
            <w:tcBorders>
              <w:top w:val="nil"/>
              <w:left w:val="nil"/>
              <w:bottom w:val="single" w:sz="4" w:space="0" w:color="auto"/>
              <w:right w:val="single" w:sz="4" w:space="0" w:color="auto"/>
            </w:tcBorders>
            <w:shd w:val="clear" w:color="auto" w:fill="auto"/>
            <w:noWrap/>
            <w:vAlign w:val="bottom"/>
            <w:hideMark/>
          </w:tcPr>
          <w:p w:rsidR="0055491A" w:rsidRDefault="0055491A" w:rsidP="00210BF6">
            <w:pPr>
              <w:jc w:val="center"/>
              <w:rPr>
                <w:color w:val="000000"/>
                <w:sz w:val="22"/>
                <w:szCs w:val="22"/>
              </w:rPr>
            </w:pPr>
            <w:r>
              <w:rPr>
                <w:color w:val="000000"/>
                <w:sz w:val="22"/>
                <w:szCs w:val="22"/>
              </w:rPr>
              <w:t>90</w:t>
            </w:r>
          </w:p>
        </w:tc>
        <w:tc>
          <w:tcPr>
            <w:tcW w:w="1212" w:type="dxa"/>
            <w:tcBorders>
              <w:top w:val="nil"/>
              <w:left w:val="nil"/>
              <w:bottom w:val="single" w:sz="4" w:space="0" w:color="auto"/>
              <w:right w:val="single" w:sz="4" w:space="0" w:color="auto"/>
            </w:tcBorders>
            <w:shd w:val="clear" w:color="auto" w:fill="auto"/>
            <w:noWrap/>
            <w:vAlign w:val="bottom"/>
            <w:hideMark/>
          </w:tcPr>
          <w:p w:rsidR="0055491A" w:rsidRDefault="0055491A" w:rsidP="00210BF6">
            <w:pPr>
              <w:jc w:val="center"/>
              <w:rPr>
                <w:color w:val="000000"/>
                <w:sz w:val="22"/>
                <w:szCs w:val="22"/>
              </w:rPr>
            </w:pPr>
            <w:r>
              <w:rPr>
                <w:color w:val="000000"/>
                <w:sz w:val="22"/>
                <w:szCs w:val="22"/>
              </w:rPr>
              <w:t>90</w:t>
            </w:r>
          </w:p>
        </w:tc>
        <w:tc>
          <w:tcPr>
            <w:tcW w:w="1212" w:type="dxa"/>
            <w:tcBorders>
              <w:top w:val="nil"/>
              <w:left w:val="nil"/>
              <w:bottom w:val="single" w:sz="4" w:space="0" w:color="auto"/>
              <w:right w:val="single" w:sz="4" w:space="0" w:color="auto"/>
            </w:tcBorders>
            <w:shd w:val="clear" w:color="auto" w:fill="auto"/>
            <w:noWrap/>
            <w:vAlign w:val="bottom"/>
            <w:hideMark/>
          </w:tcPr>
          <w:p w:rsidR="0055491A" w:rsidRDefault="0055491A" w:rsidP="00210BF6">
            <w:pPr>
              <w:jc w:val="center"/>
              <w:rPr>
                <w:color w:val="000000"/>
                <w:sz w:val="22"/>
                <w:szCs w:val="22"/>
              </w:rPr>
            </w:pPr>
            <w:r>
              <w:rPr>
                <w:color w:val="000000"/>
                <w:sz w:val="22"/>
                <w:szCs w:val="22"/>
              </w:rPr>
              <w:t>60</w:t>
            </w:r>
          </w:p>
        </w:tc>
      </w:tr>
      <w:tr w:rsidR="0055491A" w:rsidTr="00210BF6">
        <w:trPr>
          <w:trHeight w:val="298"/>
        </w:trPr>
        <w:tc>
          <w:tcPr>
            <w:tcW w:w="2020" w:type="dxa"/>
            <w:tcBorders>
              <w:top w:val="nil"/>
              <w:left w:val="single" w:sz="4" w:space="0" w:color="auto"/>
              <w:bottom w:val="single" w:sz="4" w:space="0" w:color="auto"/>
              <w:right w:val="nil"/>
            </w:tcBorders>
            <w:shd w:val="clear" w:color="auto" w:fill="auto"/>
            <w:noWrap/>
            <w:vAlign w:val="bottom"/>
            <w:hideMark/>
          </w:tcPr>
          <w:p w:rsidR="0055491A" w:rsidRDefault="0055491A" w:rsidP="00210BF6">
            <w:pPr>
              <w:jc w:val="center"/>
              <w:rPr>
                <w:b/>
                <w:bCs/>
                <w:color w:val="000000"/>
                <w:sz w:val="22"/>
                <w:szCs w:val="22"/>
              </w:rPr>
            </w:pPr>
            <w:r>
              <w:rPr>
                <w:b/>
                <w:bCs/>
                <w:color w:val="000000"/>
                <w:sz w:val="22"/>
                <w:szCs w:val="22"/>
              </w:rPr>
              <w:t>ИТОГО</w:t>
            </w:r>
          </w:p>
        </w:tc>
        <w:tc>
          <w:tcPr>
            <w:tcW w:w="1212" w:type="dxa"/>
            <w:tcBorders>
              <w:top w:val="nil"/>
              <w:left w:val="nil"/>
              <w:bottom w:val="single" w:sz="4" w:space="0" w:color="auto"/>
              <w:right w:val="nil"/>
            </w:tcBorders>
            <w:shd w:val="clear" w:color="auto" w:fill="auto"/>
            <w:noWrap/>
            <w:vAlign w:val="bottom"/>
            <w:hideMark/>
          </w:tcPr>
          <w:p w:rsidR="0055491A" w:rsidRDefault="0055491A" w:rsidP="00210BF6">
            <w:pPr>
              <w:jc w:val="center"/>
              <w:rPr>
                <w:color w:val="000000"/>
                <w:sz w:val="22"/>
                <w:szCs w:val="22"/>
              </w:rPr>
            </w:pPr>
            <w:r>
              <w:rPr>
                <w:color w:val="000000"/>
                <w:sz w:val="22"/>
                <w:szCs w:val="22"/>
              </w:rPr>
              <w:t> </w:t>
            </w:r>
          </w:p>
        </w:tc>
        <w:tc>
          <w:tcPr>
            <w:tcW w:w="1212" w:type="dxa"/>
            <w:tcBorders>
              <w:top w:val="nil"/>
              <w:left w:val="nil"/>
              <w:bottom w:val="single" w:sz="4" w:space="0" w:color="auto"/>
              <w:right w:val="nil"/>
            </w:tcBorders>
            <w:shd w:val="clear" w:color="auto" w:fill="auto"/>
            <w:noWrap/>
            <w:vAlign w:val="bottom"/>
            <w:hideMark/>
          </w:tcPr>
          <w:p w:rsidR="0055491A" w:rsidRDefault="0055491A" w:rsidP="00210BF6">
            <w:pPr>
              <w:jc w:val="center"/>
              <w:rPr>
                <w:color w:val="000000"/>
                <w:sz w:val="22"/>
                <w:szCs w:val="22"/>
              </w:rPr>
            </w:pPr>
            <w:r>
              <w:rPr>
                <w:color w:val="000000"/>
                <w:sz w:val="22"/>
                <w:szCs w:val="22"/>
              </w:rPr>
              <w:t> </w:t>
            </w:r>
          </w:p>
        </w:tc>
        <w:tc>
          <w:tcPr>
            <w:tcW w:w="1212" w:type="dxa"/>
            <w:tcBorders>
              <w:top w:val="nil"/>
              <w:left w:val="nil"/>
              <w:bottom w:val="single" w:sz="4" w:space="0" w:color="auto"/>
              <w:right w:val="nil"/>
            </w:tcBorders>
            <w:shd w:val="clear" w:color="auto" w:fill="auto"/>
            <w:noWrap/>
            <w:vAlign w:val="bottom"/>
            <w:hideMark/>
          </w:tcPr>
          <w:p w:rsidR="0055491A" w:rsidRDefault="0055491A" w:rsidP="00210BF6">
            <w:pPr>
              <w:jc w:val="center"/>
              <w:rPr>
                <w:color w:val="000000"/>
                <w:sz w:val="22"/>
                <w:szCs w:val="22"/>
              </w:rPr>
            </w:pPr>
            <w:r>
              <w:rPr>
                <w:color w:val="000000"/>
                <w:sz w:val="22"/>
                <w:szCs w:val="22"/>
              </w:rPr>
              <w:t> </w:t>
            </w:r>
          </w:p>
        </w:tc>
        <w:tc>
          <w:tcPr>
            <w:tcW w:w="1212" w:type="dxa"/>
            <w:tcBorders>
              <w:top w:val="nil"/>
              <w:left w:val="single" w:sz="4" w:space="0" w:color="auto"/>
              <w:bottom w:val="single" w:sz="4" w:space="0" w:color="auto"/>
              <w:right w:val="single" w:sz="4" w:space="0" w:color="auto"/>
            </w:tcBorders>
            <w:shd w:val="clear" w:color="auto" w:fill="auto"/>
            <w:noWrap/>
            <w:vAlign w:val="bottom"/>
            <w:hideMark/>
          </w:tcPr>
          <w:p w:rsidR="0055491A" w:rsidRPr="00FB43B4" w:rsidRDefault="0055491A" w:rsidP="00210BF6">
            <w:pPr>
              <w:jc w:val="center"/>
              <w:rPr>
                <w:b/>
                <w:color w:val="000000"/>
                <w:sz w:val="22"/>
                <w:szCs w:val="22"/>
              </w:rPr>
            </w:pPr>
            <w:r w:rsidRPr="00FB43B4">
              <w:rPr>
                <w:b/>
                <w:color w:val="000000"/>
                <w:sz w:val="22"/>
                <w:szCs w:val="22"/>
              </w:rPr>
              <w:t>1 150,8</w:t>
            </w:r>
          </w:p>
        </w:tc>
        <w:tc>
          <w:tcPr>
            <w:tcW w:w="1212" w:type="dxa"/>
            <w:tcBorders>
              <w:top w:val="nil"/>
              <w:left w:val="nil"/>
              <w:bottom w:val="single" w:sz="4" w:space="0" w:color="auto"/>
              <w:right w:val="single" w:sz="4" w:space="0" w:color="auto"/>
            </w:tcBorders>
            <w:shd w:val="clear" w:color="auto" w:fill="auto"/>
            <w:noWrap/>
            <w:vAlign w:val="bottom"/>
            <w:hideMark/>
          </w:tcPr>
          <w:p w:rsidR="0055491A" w:rsidRPr="00FB43B4" w:rsidRDefault="0055491A" w:rsidP="00210BF6">
            <w:pPr>
              <w:jc w:val="center"/>
              <w:rPr>
                <w:b/>
                <w:color w:val="000000"/>
                <w:sz w:val="22"/>
                <w:szCs w:val="22"/>
              </w:rPr>
            </w:pPr>
            <w:r w:rsidRPr="00FB43B4">
              <w:rPr>
                <w:b/>
                <w:color w:val="000000"/>
                <w:sz w:val="22"/>
                <w:szCs w:val="22"/>
              </w:rPr>
              <w:t>1 177,3</w:t>
            </w:r>
          </w:p>
        </w:tc>
        <w:tc>
          <w:tcPr>
            <w:tcW w:w="1212" w:type="dxa"/>
            <w:tcBorders>
              <w:top w:val="nil"/>
              <w:left w:val="nil"/>
              <w:bottom w:val="single" w:sz="4" w:space="0" w:color="auto"/>
              <w:right w:val="single" w:sz="4" w:space="0" w:color="auto"/>
            </w:tcBorders>
            <w:shd w:val="clear" w:color="auto" w:fill="auto"/>
            <w:noWrap/>
            <w:vAlign w:val="bottom"/>
            <w:hideMark/>
          </w:tcPr>
          <w:p w:rsidR="0055491A" w:rsidRPr="00FB43B4" w:rsidRDefault="0055491A" w:rsidP="00210BF6">
            <w:pPr>
              <w:jc w:val="center"/>
              <w:rPr>
                <w:b/>
                <w:color w:val="000000"/>
                <w:sz w:val="22"/>
                <w:szCs w:val="22"/>
              </w:rPr>
            </w:pPr>
            <w:r w:rsidRPr="00FB43B4">
              <w:rPr>
                <w:b/>
                <w:color w:val="000000"/>
                <w:sz w:val="22"/>
                <w:szCs w:val="22"/>
              </w:rPr>
              <w:t>1 009,3</w:t>
            </w:r>
          </w:p>
        </w:tc>
      </w:tr>
    </w:tbl>
    <w:p w:rsidR="0055491A" w:rsidRDefault="0055491A" w:rsidP="0055491A">
      <w:pPr>
        <w:autoSpaceDE w:val="0"/>
        <w:autoSpaceDN w:val="0"/>
        <w:adjustRightInd w:val="0"/>
        <w:jc w:val="both"/>
        <w:rPr>
          <w:sz w:val="28"/>
          <w:szCs w:val="28"/>
        </w:rPr>
      </w:pPr>
    </w:p>
    <w:p w:rsidR="0055491A" w:rsidRPr="00FB43B4" w:rsidRDefault="0055491A" w:rsidP="0055491A">
      <w:pPr>
        <w:ind w:firstLine="709"/>
        <w:jc w:val="both"/>
        <w:rPr>
          <w:b/>
          <w:sz w:val="28"/>
          <w:szCs w:val="28"/>
        </w:rPr>
      </w:pPr>
      <w:r w:rsidRPr="00FB43B4">
        <w:rPr>
          <w:b/>
          <w:sz w:val="28"/>
          <w:szCs w:val="28"/>
        </w:rPr>
        <w:t>Прогноз на 2022 год – 1 150,8 тыс. руб., прогноз на 2023 год                               1 177,3 тыс. руб., прогноз  на 2023 год – 1 009,3 тыс. руб.</w:t>
      </w:r>
    </w:p>
    <w:p w:rsidR="0055491A" w:rsidRDefault="0055491A" w:rsidP="0055491A">
      <w:pPr>
        <w:pStyle w:val="a7"/>
        <w:spacing w:after="0"/>
        <w:ind w:left="0" w:firstLine="709"/>
        <w:jc w:val="both"/>
        <w:rPr>
          <w:sz w:val="28"/>
          <w:szCs w:val="28"/>
        </w:rPr>
      </w:pPr>
    </w:p>
    <w:p w:rsidR="0055491A" w:rsidRDefault="0055491A" w:rsidP="0055491A">
      <w:pPr>
        <w:autoSpaceDE w:val="0"/>
        <w:autoSpaceDN w:val="0"/>
        <w:adjustRightInd w:val="0"/>
        <w:ind w:firstLine="708"/>
        <w:jc w:val="both"/>
        <w:rPr>
          <w:sz w:val="28"/>
          <w:szCs w:val="28"/>
        </w:rPr>
      </w:pPr>
      <w:r>
        <w:rPr>
          <w:sz w:val="28"/>
          <w:szCs w:val="28"/>
        </w:rPr>
        <w:t xml:space="preserve">8.7 </w:t>
      </w:r>
      <w:r w:rsidRPr="00511527">
        <w:rPr>
          <w:b/>
          <w:sz w:val="28"/>
          <w:szCs w:val="28"/>
        </w:rPr>
        <w:t>КБК 188 1 16 01123 01 0000 140</w:t>
      </w:r>
      <w:r w:rsidRPr="00764D3D">
        <w:rPr>
          <w:sz w:val="28"/>
          <w:szCs w:val="28"/>
        </w:rPr>
        <w:t xml:space="preserve"> </w:t>
      </w:r>
      <w:r>
        <w:rPr>
          <w:sz w:val="28"/>
          <w:szCs w:val="28"/>
        </w:rPr>
        <w:t>«</w:t>
      </w:r>
      <w:r w:rsidRPr="009A7950">
        <w:rPr>
          <w:sz w:val="28"/>
          <w:szCs w:val="28"/>
        </w:rPr>
        <w:t>Административные штрафы, установленные Главой 12 Кодекса Росси</w:t>
      </w:r>
      <w:r>
        <w:rPr>
          <w:sz w:val="28"/>
          <w:szCs w:val="28"/>
        </w:rPr>
        <w:t>й</w:t>
      </w:r>
      <w:r w:rsidRPr="009A7950">
        <w:rPr>
          <w:sz w:val="28"/>
          <w:szCs w:val="28"/>
        </w:rPr>
        <w:t>ской Федерации, за административные правонарушения в области дорожного движения, налагаемые мировыми судьями, комиссиями по делам несовершеннолетних и защите их прав (штрафы за нарушение Правил дорожного движения, правил эксплуатации транспортного средства)</w:t>
      </w:r>
      <w:r>
        <w:rPr>
          <w:sz w:val="28"/>
          <w:szCs w:val="28"/>
        </w:rPr>
        <w:t>».</w:t>
      </w:r>
    </w:p>
    <w:p w:rsidR="0055491A" w:rsidRDefault="0055491A" w:rsidP="0055491A">
      <w:pPr>
        <w:pStyle w:val="a7"/>
        <w:spacing w:after="0"/>
        <w:ind w:left="0" w:firstLine="709"/>
        <w:jc w:val="both"/>
        <w:rPr>
          <w:b/>
          <w:sz w:val="28"/>
          <w:szCs w:val="28"/>
        </w:rPr>
      </w:pPr>
      <w:r w:rsidRPr="00511527">
        <w:rPr>
          <w:b/>
          <w:sz w:val="28"/>
          <w:szCs w:val="28"/>
        </w:rPr>
        <w:t>Главный администратор доходов – Министерство внутренних дел Российской Федерации (Управление Министерства внутренних дел России по Тверской области).</w:t>
      </w:r>
    </w:p>
    <w:p w:rsidR="0055491A" w:rsidRPr="00511527" w:rsidRDefault="0055491A" w:rsidP="0055491A">
      <w:pPr>
        <w:pStyle w:val="a7"/>
        <w:spacing w:after="0"/>
        <w:ind w:left="0" w:firstLine="709"/>
        <w:jc w:val="both"/>
        <w:rPr>
          <w:b/>
          <w:sz w:val="28"/>
          <w:szCs w:val="28"/>
        </w:rPr>
      </w:pPr>
    </w:p>
    <w:p w:rsidR="0055491A" w:rsidRDefault="0055491A" w:rsidP="0055491A">
      <w:pPr>
        <w:pStyle w:val="a7"/>
        <w:spacing w:after="0"/>
        <w:ind w:left="0" w:firstLine="709"/>
        <w:jc w:val="both"/>
        <w:rPr>
          <w:sz w:val="28"/>
          <w:szCs w:val="28"/>
        </w:rPr>
      </w:pPr>
      <w:r>
        <w:rPr>
          <w:sz w:val="28"/>
          <w:szCs w:val="28"/>
        </w:rPr>
        <w:t>Прогноз поступлений определяется методом прямого расчета по формуле:</w:t>
      </w:r>
    </w:p>
    <w:p w:rsidR="0055491A" w:rsidRDefault="0055491A" w:rsidP="0055491A">
      <w:pPr>
        <w:pStyle w:val="a7"/>
        <w:spacing w:after="0"/>
        <w:ind w:left="0" w:firstLine="709"/>
        <w:jc w:val="both"/>
        <w:rPr>
          <w:sz w:val="28"/>
          <w:szCs w:val="28"/>
        </w:rPr>
      </w:pPr>
    </w:p>
    <w:p w:rsidR="0055491A" w:rsidRDefault="0055491A" w:rsidP="0055491A">
      <w:pPr>
        <w:jc w:val="center"/>
        <w:rPr>
          <w:sz w:val="28"/>
          <w:szCs w:val="28"/>
        </w:rPr>
      </w:pPr>
      <w:r w:rsidRPr="000C7031">
        <w:rPr>
          <w:sz w:val="28"/>
          <w:szCs w:val="28"/>
        </w:rPr>
        <w:t xml:space="preserve">ПП </w:t>
      </w:r>
      <w:r w:rsidRPr="000C7031">
        <w:rPr>
          <w:sz w:val="18"/>
          <w:szCs w:val="18"/>
        </w:rPr>
        <w:t>штраф</w:t>
      </w:r>
      <w:r w:rsidRPr="000C7031">
        <w:rPr>
          <w:sz w:val="28"/>
          <w:szCs w:val="28"/>
        </w:rPr>
        <w:t xml:space="preserve"> = О </w:t>
      </w:r>
      <w:r w:rsidRPr="000C7031">
        <w:rPr>
          <w:sz w:val="18"/>
          <w:szCs w:val="18"/>
        </w:rPr>
        <w:t xml:space="preserve">гр </w:t>
      </w:r>
      <w:r w:rsidRPr="000C7031">
        <w:rPr>
          <w:sz w:val="28"/>
          <w:szCs w:val="28"/>
        </w:rPr>
        <w:t xml:space="preserve"> + О </w:t>
      </w:r>
      <w:r w:rsidRPr="000C7031">
        <w:rPr>
          <w:sz w:val="18"/>
          <w:szCs w:val="18"/>
        </w:rPr>
        <w:t>дл</w:t>
      </w:r>
      <w:r w:rsidRPr="000C7031">
        <w:rPr>
          <w:sz w:val="28"/>
          <w:szCs w:val="28"/>
        </w:rPr>
        <w:t xml:space="preserve">  + О </w:t>
      </w:r>
      <w:r w:rsidRPr="000C7031">
        <w:rPr>
          <w:sz w:val="18"/>
          <w:szCs w:val="18"/>
        </w:rPr>
        <w:t>юрл</w:t>
      </w:r>
      <w:r w:rsidRPr="000C7031">
        <w:rPr>
          <w:sz w:val="28"/>
          <w:szCs w:val="28"/>
        </w:rPr>
        <w:t xml:space="preserve"> </w:t>
      </w:r>
      <w:r w:rsidRPr="0031299C">
        <w:rPr>
          <w:sz w:val="28"/>
          <w:szCs w:val="28"/>
        </w:rPr>
        <w:t>,</w:t>
      </w:r>
    </w:p>
    <w:p w:rsidR="0055491A" w:rsidRDefault="0055491A" w:rsidP="0055491A">
      <w:pPr>
        <w:ind w:firstLine="709"/>
        <w:jc w:val="both"/>
        <w:rPr>
          <w:sz w:val="28"/>
          <w:szCs w:val="28"/>
        </w:rPr>
      </w:pPr>
      <w:r>
        <w:rPr>
          <w:sz w:val="28"/>
          <w:szCs w:val="28"/>
        </w:rPr>
        <w:lastRenderedPageBreak/>
        <w:t xml:space="preserve">Где, </w:t>
      </w:r>
    </w:p>
    <w:p w:rsidR="0055491A" w:rsidRDefault="0055491A" w:rsidP="0055491A">
      <w:pPr>
        <w:ind w:firstLine="709"/>
        <w:jc w:val="both"/>
        <w:rPr>
          <w:sz w:val="28"/>
          <w:szCs w:val="28"/>
        </w:rPr>
      </w:pPr>
      <w:r w:rsidRPr="000C7031">
        <w:rPr>
          <w:sz w:val="28"/>
          <w:szCs w:val="28"/>
        </w:rPr>
        <w:t xml:space="preserve">ПП </w:t>
      </w:r>
      <w:r w:rsidRPr="000C7031">
        <w:rPr>
          <w:sz w:val="18"/>
          <w:szCs w:val="18"/>
        </w:rPr>
        <w:t>штраф</w:t>
      </w:r>
      <w:r>
        <w:rPr>
          <w:sz w:val="18"/>
          <w:szCs w:val="18"/>
        </w:rPr>
        <w:t xml:space="preserve"> – </w:t>
      </w:r>
      <w:r w:rsidRPr="00A875F9">
        <w:rPr>
          <w:sz w:val="28"/>
          <w:szCs w:val="28"/>
        </w:rPr>
        <w:t>прогнозные поступления от денежных взысканий</w:t>
      </w:r>
      <w:r>
        <w:rPr>
          <w:sz w:val="28"/>
          <w:szCs w:val="28"/>
        </w:rPr>
        <w:t xml:space="preserve"> (штрафов);</w:t>
      </w:r>
    </w:p>
    <w:p w:rsidR="0055491A" w:rsidRDefault="0055491A" w:rsidP="0055491A">
      <w:pPr>
        <w:ind w:firstLine="709"/>
        <w:jc w:val="both"/>
        <w:rPr>
          <w:sz w:val="28"/>
          <w:szCs w:val="28"/>
        </w:rPr>
      </w:pPr>
      <w:r w:rsidRPr="000C7031">
        <w:rPr>
          <w:sz w:val="28"/>
          <w:szCs w:val="28"/>
        </w:rPr>
        <w:t xml:space="preserve">О </w:t>
      </w:r>
      <w:r w:rsidRPr="000C7031">
        <w:rPr>
          <w:sz w:val="18"/>
          <w:szCs w:val="18"/>
        </w:rPr>
        <w:t xml:space="preserve">гр </w:t>
      </w:r>
      <w:r w:rsidRPr="000C7031">
        <w:rPr>
          <w:sz w:val="28"/>
          <w:szCs w:val="28"/>
        </w:rPr>
        <w:t xml:space="preserve"> </w:t>
      </w:r>
      <w:r>
        <w:rPr>
          <w:sz w:val="28"/>
          <w:szCs w:val="28"/>
        </w:rPr>
        <w:t xml:space="preserve">- объем поступлений доходов от оплаты административных штрафов, наложенных на граждан, который определяется методом прямого расчета по формуле: </w:t>
      </w:r>
    </w:p>
    <w:p w:rsidR="0055491A" w:rsidRDefault="0055491A" w:rsidP="0055491A">
      <w:pPr>
        <w:jc w:val="center"/>
        <w:rPr>
          <w:sz w:val="18"/>
          <w:szCs w:val="18"/>
        </w:rPr>
      </w:pPr>
      <w:r w:rsidRPr="0031299C">
        <w:rPr>
          <w:sz w:val="28"/>
          <w:szCs w:val="28"/>
        </w:rPr>
        <w:t xml:space="preserve">О </w:t>
      </w:r>
      <w:r w:rsidRPr="0031299C">
        <w:rPr>
          <w:sz w:val="18"/>
          <w:szCs w:val="18"/>
        </w:rPr>
        <w:t>гр</w:t>
      </w:r>
      <w:r w:rsidRPr="0031299C">
        <w:rPr>
          <w:sz w:val="28"/>
          <w:szCs w:val="28"/>
        </w:rPr>
        <w:t xml:space="preserve"> = Р</w:t>
      </w:r>
      <w:r w:rsidRPr="0031299C">
        <w:rPr>
          <w:sz w:val="18"/>
          <w:szCs w:val="18"/>
        </w:rPr>
        <w:t>(гр) платеж/план</w:t>
      </w:r>
      <w:r w:rsidRPr="0031299C">
        <w:rPr>
          <w:sz w:val="28"/>
          <w:szCs w:val="28"/>
        </w:rPr>
        <w:t xml:space="preserve"> * Кол-во </w:t>
      </w:r>
      <w:r w:rsidRPr="0031299C">
        <w:rPr>
          <w:sz w:val="18"/>
          <w:szCs w:val="18"/>
        </w:rPr>
        <w:t>(гр) случае</w:t>
      </w:r>
      <w:r>
        <w:rPr>
          <w:sz w:val="18"/>
          <w:szCs w:val="18"/>
        </w:rPr>
        <w:t>в,</w:t>
      </w:r>
    </w:p>
    <w:p w:rsidR="0055491A" w:rsidRDefault="0055491A" w:rsidP="0055491A">
      <w:pPr>
        <w:ind w:firstLine="709"/>
        <w:jc w:val="both"/>
        <w:rPr>
          <w:sz w:val="28"/>
          <w:szCs w:val="28"/>
        </w:rPr>
      </w:pPr>
      <w:r w:rsidRPr="0031299C">
        <w:rPr>
          <w:sz w:val="28"/>
          <w:szCs w:val="28"/>
        </w:rPr>
        <w:t>Где</w:t>
      </w:r>
      <w:r>
        <w:rPr>
          <w:sz w:val="28"/>
          <w:szCs w:val="28"/>
        </w:rPr>
        <w:t xml:space="preserve"> </w:t>
      </w:r>
    </w:p>
    <w:p w:rsidR="0055491A" w:rsidRPr="0031299C" w:rsidRDefault="0055491A" w:rsidP="0055491A">
      <w:pPr>
        <w:ind w:firstLine="709"/>
        <w:jc w:val="both"/>
        <w:rPr>
          <w:sz w:val="28"/>
          <w:szCs w:val="28"/>
        </w:rPr>
      </w:pPr>
      <w:r w:rsidRPr="0031299C">
        <w:rPr>
          <w:sz w:val="28"/>
          <w:szCs w:val="28"/>
        </w:rPr>
        <w:t>Р</w:t>
      </w:r>
      <w:r w:rsidRPr="0031299C">
        <w:rPr>
          <w:sz w:val="18"/>
          <w:szCs w:val="18"/>
        </w:rPr>
        <w:t>(гр) платеж/план</w:t>
      </w:r>
      <w:r>
        <w:rPr>
          <w:sz w:val="18"/>
          <w:szCs w:val="18"/>
        </w:rPr>
        <w:t xml:space="preserve"> </w:t>
      </w:r>
      <w:r w:rsidRPr="0031299C">
        <w:rPr>
          <w:sz w:val="28"/>
          <w:szCs w:val="28"/>
        </w:rPr>
        <w:t>– средний размер одного платежа</w:t>
      </w:r>
      <w:r>
        <w:rPr>
          <w:sz w:val="28"/>
          <w:szCs w:val="28"/>
        </w:rPr>
        <w:t xml:space="preserve"> </w:t>
      </w:r>
      <w:r w:rsidRPr="0031299C">
        <w:rPr>
          <w:sz w:val="28"/>
          <w:szCs w:val="28"/>
        </w:rPr>
        <w:t>админис</w:t>
      </w:r>
      <w:r>
        <w:rPr>
          <w:sz w:val="28"/>
          <w:szCs w:val="28"/>
        </w:rPr>
        <w:t>тр</w:t>
      </w:r>
      <w:r w:rsidRPr="0031299C">
        <w:rPr>
          <w:sz w:val="28"/>
          <w:szCs w:val="28"/>
        </w:rPr>
        <w:t>ативного штрафа, наложенного на гражданина, за истекший год исходя из объема поступлений по данному источнику и количества наложенных взысканий;</w:t>
      </w:r>
    </w:p>
    <w:p w:rsidR="0055491A" w:rsidRDefault="0055491A" w:rsidP="0055491A">
      <w:pPr>
        <w:ind w:firstLine="709"/>
        <w:jc w:val="both"/>
        <w:rPr>
          <w:sz w:val="28"/>
          <w:szCs w:val="28"/>
        </w:rPr>
      </w:pPr>
      <w:r w:rsidRPr="0031299C">
        <w:rPr>
          <w:sz w:val="28"/>
          <w:szCs w:val="28"/>
        </w:rPr>
        <w:t xml:space="preserve">Кол-во </w:t>
      </w:r>
      <w:r w:rsidRPr="0031299C">
        <w:rPr>
          <w:sz w:val="18"/>
          <w:szCs w:val="18"/>
        </w:rPr>
        <w:t>(гр) случае</w:t>
      </w:r>
      <w:r>
        <w:rPr>
          <w:sz w:val="18"/>
          <w:szCs w:val="18"/>
        </w:rPr>
        <w:t xml:space="preserve">в – </w:t>
      </w:r>
      <w:r w:rsidRPr="0031299C">
        <w:rPr>
          <w:sz w:val="28"/>
          <w:szCs w:val="28"/>
        </w:rPr>
        <w:t xml:space="preserve">прогнозное количество нарушений (усредненное количество годовых объемов правонарушений гражданами </w:t>
      </w:r>
      <w:r>
        <w:rPr>
          <w:sz w:val="28"/>
          <w:szCs w:val="28"/>
        </w:rPr>
        <w:t xml:space="preserve">не менее чем за 3 </w:t>
      </w:r>
      <w:r w:rsidRPr="0031299C">
        <w:rPr>
          <w:sz w:val="28"/>
          <w:szCs w:val="28"/>
        </w:rPr>
        <w:t>года</w:t>
      </w:r>
      <w:r>
        <w:rPr>
          <w:sz w:val="28"/>
          <w:szCs w:val="28"/>
        </w:rPr>
        <w:t>).</w:t>
      </w:r>
    </w:p>
    <w:p w:rsidR="0055491A" w:rsidRDefault="0055491A" w:rsidP="0055491A">
      <w:pPr>
        <w:ind w:firstLine="709"/>
        <w:jc w:val="both"/>
        <w:rPr>
          <w:sz w:val="28"/>
          <w:szCs w:val="28"/>
        </w:rPr>
      </w:pPr>
      <w:r w:rsidRPr="000C7031">
        <w:rPr>
          <w:sz w:val="28"/>
          <w:szCs w:val="28"/>
        </w:rPr>
        <w:t xml:space="preserve">О </w:t>
      </w:r>
      <w:r w:rsidRPr="000C7031">
        <w:rPr>
          <w:sz w:val="18"/>
          <w:szCs w:val="18"/>
        </w:rPr>
        <w:t>дл</w:t>
      </w:r>
      <w:r>
        <w:rPr>
          <w:sz w:val="28"/>
          <w:szCs w:val="28"/>
        </w:rPr>
        <w:t xml:space="preserve"> -</w:t>
      </w:r>
      <w:r w:rsidRPr="0031299C">
        <w:rPr>
          <w:sz w:val="28"/>
          <w:szCs w:val="28"/>
        </w:rPr>
        <w:t xml:space="preserve"> </w:t>
      </w:r>
      <w:r>
        <w:rPr>
          <w:sz w:val="28"/>
          <w:szCs w:val="28"/>
        </w:rPr>
        <w:t>объем поступлений доходов от оплаты административных штрафов, наложенных на должностные лица, который определяется методом прямого расчета исходя из прогнозного</w:t>
      </w:r>
      <w:r w:rsidRPr="0031299C">
        <w:rPr>
          <w:sz w:val="28"/>
          <w:szCs w:val="28"/>
        </w:rPr>
        <w:t xml:space="preserve"> количеств</w:t>
      </w:r>
      <w:r>
        <w:rPr>
          <w:sz w:val="28"/>
          <w:szCs w:val="28"/>
        </w:rPr>
        <w:t>а</w:t>
      </w:r>
      <w:r w:rsidRPr="0031299C">
        <w:rPr>
          <w:sz w:val="28"/>
          <w:szCs w:val="28"/>
        </w:rPr>
        <w:t xml:space="preserve"> правонарушений (усредненное количество годовых объемов правонарушений </w:t>
      </w:r>
      <w:r>
        <w:rPr>
          <w:sz w:val="28"/>
          <w:szCs w:val="28"/>
        </w:rPr>
        <w:t xml:space="preserve">не менее чем за 3 </w:t>
      </w:r>
      <w:r w:rsidRPr="0031299C">
        <w:rPr>
          <w:sz w:val="28"/>
          <w:szCs w:val="28"/>
        </w:rPr>
        <w:t>года</w:t>
      </w:r>
      <w:r>
        <w:rPr>
          <w:sz w:val="28"/>
          <w:szCs w:val="28"/>
        </w:rPr>
        <w:t xml:space="preserve">) и </w:t>
      </w:r>
      <w:r w:rsidRPr="0031299C">
        <w:rPr>
          <w:sz w:val="28"/>
          <w:szCs w:val="28"/>
        </w:rPr>
        <w:t>средн</w:t>
      </w:r>
      <w:r>
        <w:rPr>
          <w:sz w:val="28"/>
          <w:szCs w:val="28"/>
        </w:rPr>
        <w:t>его</w:t>
      </w:r>
      <w:r w:rsidRPr="0031299C">
        <w:rPr>
          <w:sz w:val="28"/>
          <w:szCs w:val="28"/>
        </w:rPr>
        <w:t xml:space="preserve"> размер</w:t>
      </w:r>
      <w:r>
        <w:rPr>
          <w:sz w:val="28"/>
          <w:szCs w:val="28"/>
        </w:rPr>
        <w:t>а</w:t>
      </w:r>
      <w:r w:rsidRPr="0031299C">
        <w:rPr>
          <w:sz w:val="28"/>
          <w:szCs w:val="28"/>
        </w:rPr>
        <w:t xml:space="preserve"> одного платежа</w:t>
      </w:r>
      <w:r>
        <w:rPr>
          <w:sz w:val="28"/>
          <w:szCs w:val="28"/>
        </w:rPr>
        <w:t xml:space="preserve"> </w:t>
      </w:r>
      <w:r w:rsidRPr="0031299C">
        <w:rPr>
          <w:sz w:val="28"/>
          <w:szCs w:val="28"/>
        </w:rPr>
        <w:t>админис</w:t>
      </w:r>
      <w:r>
        <w:rPr>
          <w:sz w:val="28"/>
          <w:szCs w:val="28"/>
        </w:rPr>
        <w:t>тр</w:t>
      </w:r>
      <w:r w:rsidRPr="0031299C">
        <w:rPr>
          <w:sz w:val="28"/>
          <w:szCs w:val="28"/>
        </w:rPr>
        <w:t xml:space="preserve">ативного штрафа, наложенного на </w:t>
      </w:r>
      <w:r>
        <w:rPr>
          <w:sz w:val="28"/>
          <w:szCs w:val="28"/>
        </w:rPr>
        <w:t>должностное лицо за истекший год;</w:t>
      </w:r>
    </w:p>
    <w:p w:rsidR="0055491A" w:rsidRDefault="0055491A" w:rsidP="0055491A">
      <w:pPr>
        <w:ind w:firstLine="709"/>
        <w:jc w:val="both"/>
        <w:rPr>
          <w:sz w:val="28"/>
          <w:szCs w:val="28"/>
        </w:rPr>
      </w:pPr>
      <w:r w:rsidRPr="000C7031">
        <w:rPr>
          <w:sz w:val="28"/>
          <w:szCs w:val="28"/>
        </w:rPr>
        <w:t xml:space="preserve">О </w:t>
      </w:r>
      <w:r w:rsidRPr="000C7031">
        <w:rPr>
          <w:sz w:val="18"/>
          <w:szCs w:val="18"/>
        </w:rPr>
        <w:t>юрл</w:t>
      </w:r>
      <w:r>
        <w:rPr>
          <w:sz w:val="18"/>
          <w:szCs w:val="18"/>
        </w:rPr>
        <w:t xml:space="preserve"> - </w:t>
      </w:r>
      <w:r>
        <w:rPr>
          <w:sz w:val="28"/>
          <w:szCs w:val="28"/>
        </w:rPr>
        <w:t>объем поступлений доходов от оплаты административных штрафов, наложенных на юридические лица, определяется методом прямого расчета с учетом прогнозного</w:t>
      </w:r>
      <w:r w:rsidRPr="0031299C">
        <w:rPr>
          <w:sz w:val="28"/>
          <w:szCs w:val="28"/>
        </w:rPr>
        <w:t xml:space="preserve"> количеств</w:t>
      </w:r>
      <w:r>
        <w:rPr>
          <w:sz w:val="28"/>
          <w:szCs w:val="28"/>
        </w:rPr>
        <w:t>а</w:t>
      </w:r>
      <w:r w:rsidRPr="0031299C">
        <w:rPr>
          <w:sz w:val="28"/>
          <w:szCs w:val="28"/>
        </w:rPr>
        <w:t xml:space="preserve"> правонарушений (усредненное количество годовых объемов правонарушений </w:t>
      </w:r>
      <w:r>
        <w:rPr>
          <w:sz w:val="28"/>
          <w:szCs w:val="28"/>
        </w:rPr>
        <w:t xml:space="preserve">не менее чем за 3 </w:t>
      </w:r>
      <w:r w:rsidRPr="0031299C">
        <w:rPr>
          <w:sz w:val="28"/>
          <w:szCs w:val="28"/>
        </w:rPr>
        <w:t>года</w:t>
      </w:r>
      <w:r>
        <w:rPr>
          <w:sz w:val="28"/>
          <w:szCs w:val="28"/>
        </w:rPr>
        <w:t xml:space="preserve">) и </w:t>
      </w:r>
      <w:r w:rsidRPr="0031299C">
        <w:rPr>
          <w:sz w:val="28"/>
          <w:szCs w:val="28"/>
        </w:rPr>
        <w:t>средн</w:t>
      </w:r>
      <w:r>
        <w:rPr>
          <w:sz w:val="28"/>
          <w:szCs w:val="28"/>
        </w:rPr>
        <w:t>его</w:t>
      </w:r>
      <w:r w:rsidRPr="0031299C">
        <w:rPr>
          <w:sz w:val="28"/>
          <w:szCs w:val="28"/>
        </w:rPr>
        <w:t xml:space="preserve"> размер</w:t>
      </w:r>
      <w:r>
        <w:rPr>
          <w:sz w:val="28"/>
          <w:szCs w:val="28"/>
        </w:rPr>
        <w:t>а</w:t>
      </w:r>
      <w:r w:rsidRPr="0031299C">
        <w:rPr>
          <w:sz w:val="28"/>
          <w:szCs w:val="28"/>
        </w:rPr>
        <w:t xml:space="preserve"> одного платежа</w:t>
      </w:r>
      <w:r>
        <w:rPr>
          <w:sz w:val="28"/>
          <w:szCs w:val="28"/>
        </w:rPr>
        <w:t xml:space="preserve"> </w:t>
      </w:r>
      <w:r w:rsidRPr="0031299C">
        <w:rPr>
          <w:sz w:val="28"/>
          <w:szCs w:val="28"/>
        </w:rPr>
        <w:t>админис</w:t>
      </w:r>
      <w:r>
        <w:rPr>
          <w:sz w:val="28"/>
          <w:szCs w:val="28"/>
        </w:rPr>
        <w:t>тр</w:t>
      </w:r>
      <w:r w:rsidRPr="0031299C">
        <w:rPr>
          <w:sz w:val="28"/>
          <w:szCs w:val="28"/>
        </w:rPr>
        <w:t xml:space="preserve">ативного штрафа, наложенного на </w:t>
      </w:r>
      <w:r>
        <w:rPr>
          <w:sz w:val="28"/>
          <w:szCs w:val="28"/>
        </w:rPr>
        <w:t>юридическое лицо за истекший год.</w:t>
      </w:r>
    </w:p>
    <w:p w:rsidR="0055491A" w:rsidRDefault="0055491A" w:rsidP="0055491A">
      <w:pPr>
        <w:ind w:firstLine="709"/>
        <w:jc w:val="both"/>
        <w:rPr>
          <w:sz w:val="28"/>
          <w:szCs w:val="28"/>
        </w:rPr>
      </w:pPr>
      <w:r>
        <w:rPr>
          <w:sz w:val="28"/>
          <w:szCs w:val="28"/>
        </w:rPr>
        <w:t>Прогнозируемый объем поступлений на плановый период равен прогнозу на очередной финансовый год.</w:t>
      </w:r>
    </w:p>
    <w:p w:rsidR="0055491A" w:rsidRDefault="0055491A" w:rsidP="0055491A">
      <w:pPr>
        <w:ind w:firstLine="709"/>
        <w:jc w:val="both"/>
        <w:rPr>
          <w:sz w:val="28"/>
          <w:szCs w:val="28"/>
        </w:rPr>
      </w:pPr>
      <w:r>
        <w:rPr>
          <w:sz w:val="28"/>
          <w:szCs w:val="28"/>
        </w:rPr>
        <w:t>Расчет представлен в таблице.</w:t>
      </w:r>
    </w:p>
    <w:p w:rsidR="0055491A" w:rsidRDefault="0055491A" w:rsidP="0055491A">
      <w:pPr>
        <w:ind w:firstLine="709"/>
        <w:jc w:val="both"/>
        <w:rPr>
          <w:sz w:val="28"/>
          <w:szCs w:val="28"/>
        </w:rPr>
      </w:pPr>
    </w:p>
    <w:tbl>
      <w:tblPr>
        <w:tblStyle w:val="a6"/>
        <w:tblW w:w="9351" w:type="dxa"/>
        <w:tblLook w:val="04A0" w:firstRow="1" w:lastRow="0" w:firstColumn="1" w:lastColumn="0" w:noHBand="0" w:noVBand="1"/>
      </w:tblPr>
      <w:tblGrid>
        <w:gridCol w:w="2356"/>
        <w:gridCol w:w="2036"/>
        <w:gridCol w:w="2206"/>
        <w:gridCol w:w="2753"/>
      </w:tblGrid>
      <w:tr w:rsidR="0055491A" w:rsidTr="00210BF6">
        <w:tc>
          <w:tcPr>
            <w:tcW w:w="2356" w:type="dxa"/>
          </w:tcPr>
          <w:p w:rsidR="0055491A" w:rsidRPr="003367D1" w:rsidRDefault="0055491A" w:rsidP="00210BF6">
            <w:pPr>
              <w:ind w:firstLine="0"/>
            </w:pPr>
            <w:r w:rsidRPr="003367D1">
              <w:t>Категории правонарушителей</w:t>
            </w:r>
          </w:p>
        </w:tc>
        <w:tc>
          <w:tcPr>
            <w:tcW w:w="2036" w:type="dxa"/>
          </w:tcPr>
          <w:p w:rsidR="0055491A" w:rsidRPr="003367D1" w:rsidRDefault="0055491A" w:rsidP="00210BF6">
            <w:pPr>
              <w:ind w:firstLine="0"/>
            </w:pPr>
            <w:r w:rsidRPr="003367D1">
              <w:t>Средний размер одного платежа за 20</w:t>
            </w:r>
            <w:r>
              <w:t>20</w:t>
            </w:r>
            <w:r w:rsidRPr="003367D1">
              <w:t xml:space="preserve"> год</w:t>
            </w:r>
            <w:r>
              <w:t>,</w:t>
            </w:r>
            <w:r w:rsidRPr="003367D1">
              <w:t xml:space="preserve"> руб</w:t>
            </w:r>
            <w:r>
              <w:t>.</w:t>
            </w:r>
          </w:p>
        </w:tc>
        <w:tc>
          <w:tcPr>
            <w:tcW w:w="2206" w:type="dxa"/>
          </w:tcPr>
          <w:p w:rsidR="0055491A" w:rsidRPr="003367D1" w:rsidRDefault="0055491A" w:rsidP="00210BF6">
            <w:pPr>
              <w:ind w:firstLine="0"/>
            </w:pPr>
            <w:r w:rsidRPr="003367D1">
              <w:t>Среднее количество правонарушений за 201</w:t>
            </w:r>
            <w:r>
              <w:t>8</w:t>
            </w:r>
            <w:r w:rsidRPr="003367D1">
              <w:t>-20</w:t>
            </w:r>
            <w:r>
              <w:t>20</w:t>
            </w:r>
            <w:r w:rsidRPr="003367D1">
              <w:t xml:space="preserve"> годы</w:t>
            </w:r>
            <w:r>
              <w:t>, шт.</w:t>
            </w:r>
          </w:p>
        </w:tc>
        <w:tc>
          <w:tcPr>
            <w:tcW w:w="2753" w:type="dxa"/>
          </w:tcPr>
          <w:p w:rsidR="0055491A" w:rsidRPr="003367D1" w:rsidRDefault="0055491A" w:rsidP="00210BF6">
            <w:pPr>
              <w:ind w:firstLine="0"/>
            </w:pPr>
            <w:r w:rsidRPr="003367D1">
              <w:t>Прогноз 20</w:t>
            </w:r>
            <w:r>
              <w:t>22 год (гр.2*гр.3),руб. (</w:t>
            </w:r>
            <w:r w:rsidRPr="001756E5">
              <w:rPr>
                <w:i/>
              </w:rPr>
              <w:t>с учетом округления</w:t>
            </w:r>
            <w:r>
              <w:t>)</w:t>
            </w:r>
          </w:p>
        </w:tc>
      </w:tr>
      <w:tr w:rsidR="0055491A" w:rsidTr="00210BF6">
        <w:tc>
          <w:tcPr>
            <w:tcW w:w="2356" w:type="dxa"/>
          </w:tcPr>
          <w:p w:rsidR="0055491A" w:rsidRPr="003367D1" w:rsidRDefault="0055491A" w:rsidP="00210BF6">
            <w:pPr>
              <w:jc w:val="center"/>
            </w:pPr>
            <w:r w:rsidRPr="003367D1">
              <w:t>1</w:t>
            </w:r>
          </w:p>
        </w:tc>
        <w:tc>
          <w:tcPr>
            <w:tcW w:w="2036" w:type="dxa"/>
          </w:tcPr>
          <w:p w:rsidR="0055491A" w:rsidRPr="003367D1" w:rsidRDefault="0055491A" w:rsidP="00210BF6">
            <w:pPr>
              <w:jc w:val="center"/>
            </w:pPr>
            <w:r w:rsidRPr="003367D1">
              <w:t>2</w:t>
            </w:r>
          </w:p>
        </w:tc>
        <w:tc>
          <w:tcPr>
            <w:tcW w:w="2206" w:type="dxa"/>
          </w:tcPr>
          <w:p w:rsidR="0055491A" w:rsidRPr="003367D1" w:rsidRDefault="0055491A" w:rsidP="00210BF6">
            <w:pPr>
              <w:jc w:val="center"/>
            </w:pPr>
            <w:r>
              <w:t>3</w:t>
            </w:r>
          </w:p>
        </w:tc>
        <w:tc>
          <w:tcPr>
            <w:tcW w:w="2753" w:type="dxa"/>
          </w:tcPr>
          <w:p w:rsidR="0055491A" w:rsidRPr="003367D1" w:rsidRDefault="0055491A" w:rsidP="00210BF6">
            <w:pPr>
              <w:jc w:val="center"/>
            </w:pPr>
            <w:r>
              <w:t>4</w:t>
            </w:r>
          </w:p>
        </w:tc>
      </w:tr>
      <w:tr w:rsidR="0055491A" w:rsidTr="00210BF6">
        <w:tc>
          <w:tcPr>
            <w:tcW w:w="9351" w:type="dxa"/>
            <w:gridSpan w:val="4"/>
          </w:tcPr>
          <w:p w:rsidR="0055491A" w:rsidRPr="00A95D1D" w:rsidRDefault="0055491A" w:rsidP="00210BF6">
            <w:pPr>
              <w:jc w:val="center"/>
              <w:rPr>
                <w:b/>
              </w:rPr>
            </w:pPr>
            <w:r w:rsidRPr="00A95D1D">
              <w:rPr>
                <w:b/>
                <w:i/>
                <w:sz w:val="28"/>
                <w:szCs w:val="28"/>
              </w:rPr>
              <w:t>Штрафы за нарушение Правил дорожного движения, правил эксплуатации транспортного средства</w:t>
            </w:r>
          </w:p>
        </w:tc>
      </w:tr>
      <w:tr w:rsidR="0055491A" w:rsidTr="00210BF6">
        <w:tc>
          <w:tcPr>
            <w:tcW w:w="2356" w:type="dxa"/>
          </w:tcPr>
          <w:p w:rsidR="0055491A" w:rsidRPr="003367D1" w:rsidRDefault="0055491A" w:rsidP="00210BF6">
            <w:r w:rsidRPr="003367D1">
              <w:t xml:space="preserve">Граждане </w:t>
            </w:r>
          </w:p>
        </w:tc>
        <w:tc>
          <w:tcPr>
            <w:tcW w:w="2036" w:type="dxa"/>
          </w:tcPr>
          <w:p w:rsidR="0055491A" w:rsidRPr="001756E5" w:rsidRDefault="0055491A" w:rsidP="00210BF6">
            <w:pPr>
              <w:jc w:val="center"/>
            </w:pPr>
            <w:r>
              <w:t>600,0</w:t>
            </w:r>
          </w:p>
        </w:tc>
        <w:tc>
          <w:tcPr>
            <w:tcW w:w="2206" w:type="dxa"/>
          </w:tcPr>
          <w:p w:rsidR="0055491A" w:rsidRPr="001756E5" w:rsidRDefault="0055491A" w:rsidP="00210BF6">
            <w:pPr>
              <w:jc w:val="center"/>
            </w:pPr>
            <w:r>
              <w:t>119 344</w:t>
            </w:r>
          </w:p>
        </w:tc>
        <w:tc>
          <w:tcPr>
            <w:tcW w:w="2753" w:type="dxa"/>
          </w:tcPr>
          <w:p w:rsidR="0055491A" w:rsidRPr="001756E5" w:rsidRDefault="0055491A" w:rsidP="00210BF6">
            <w:pPr>
              <w:jc w:val="center"/>
            </w:pPr>
            <w:r>
              <w:t>71 606 400,0</w:t>
            </w:r>
          </w:p>
        </w:tc>
      </w:tr>
      <w:tr w:rsidR="0055491A" w:rsidTr="00210BF6">
        <w:trPr>
          <w:trHeight w:val="659"/>
        </w:trPr>
        <w:tc>
          <w:tcPr>
            <w:tcW w:w="2356" w:type="dxa"/>
          </w:tcPr>
          <w:p w:rsidR="0055491A" w:rsidRPr="003367D1" w:rsidRDefault="0055491A" w:rsidP="00210BF6">
            <w:r w:rsidRPr="003367D1">
              <w:t xml:space="preserve">Должностные лица </w:t>
            </w:r>
          </w:p>
        </w:tc>
        <w:tc>
          <w:tcPr>
            <w:tcW w:w="2036" w:type="dxa"/>
          </w:tcPr>
          <w:p w:rsidR="0055491A" w:rsidRPr="001756E5" w:rsidRDefault="0055491A" w:rsidP="00210BF6">
            <w:pPr>
              <w:jc w:val="center"/>
            </w:pPr>
            <w:r>
              <w:t>140 000,0</w:t>
            </w:r>
          </w:p>
        </w:tc>
        <w:tc>
          <w:tcPr>
            <w:tcW w:w="2206" w:type="dxa"/>
          </w:tcPr>
          <w:p w:rsidR="0055491A" w:rsidRPr="001756E5" w:rsidRDefault="0055491A" w:rsidP="00210BF6">
            <w:pPr>
              <w:jc w:val="center"/>
            </w:pPr>
            <w:r>
              <w:t>23</w:t>
            </w:r>
          </w:p>
        </w:tc>
        <w:tc>
          <w:tcPr>
            <w:tcW w:w="2753" w:type="dxa"/>
          </w:tcPr>
          <w:p w:rsidR="0055491A" w:rsidRPr="001756E5" w:rsidRDefault="0055491A" w:rsidP="00210BF6">
            <w:pPr>
              <w:jc w:val="center"/>
            </w:pPr>
            <w:r>
              <w:t>3 220 000,00</w:t>
            </w:r>
          </w:p>
        </w:tc>
      </w:tr>
      <w:tr w:rsidR="0055491A" w:rsidTr="00210BF6">
        <w:tc>
          <w:tcPr>
            <w:tcW w:w="2356" w:type="dxa"/>
          </w:tcPr>
          <w:p w:rsidR="0055491A" w:rsidRPr="003367D1" w:rsidRDefault="0055491A" w:rsidP="00210BF6">
            <w:r w:rsidRPr="003367D1">
              <w:t>Юридические лица</w:t>
            </w:r>
          </w:p>
        </w:tc>
        <w:tc>
          <w:tcPr>
            <w:tcW w:w="2036" w:type="dxa"/>
          </w:tcPr>
          <w:p w:rsidR="0055491A" w:rsidRPr="001756E5" w:rsidRDefault="0055491A" w:rsidP="00210BF6">
            <w:pPr>
              <w:jc w:val="center"/>
            </w:pPr>
            <w:r>
              <w:t>200 000,0</w:t>
            </w:r>
          </w:p>
        </w:tc>
        <w:tc>
          <w:tcPr>
            <w:tcW w:w="2206" w:type="dxa"/>
          </w:tcPr>
          <w:p w:rsidR="0055491A" w:rsidRPr="00FB58A3" w:rsidRDefault="0055491A" w:rsidP="00210BF6">
            <w:pPr>
              <w:jc w:val="center"/>
            </w:pPr>
            <w:r>
              <w:t>20</w:t>
            </w:r>
          </w:p>
        </w:tc>
        <w:tc>
          <w:tcPr>
            <w:tcW w:w="2753" w:type="dxa"/>
          </w:tcPr>
          <w:p w:rsidR="0055491A" w:rsidRDefault="0055491A" w:rsidP="00210BF6">
            <w:pPr>
              <w:jc w:val="center"/>
            </w:pPr>
            <w:r>
              <w:t>4 000 000,00</w:t>
            </w:r>
          </w:p>
          <w:p w:rsidR="0055491A" w:rsidRPr="001756E5" w:rsidRDefault="0055491A" w:rsidP="00210BF6">
            <w:pPr>
              <w:jc w:val="center"/>
            </w:pPr>
          </w:p>
        </w:tc>
      </w:tr>
      <w:tr w:rsidR="0055491A" w:rsidRPr="00874A08" w:rsidTr="00210BF6">
        <w:tc>
          <w:tcPr>
            <w:tcW w:w="2356" w:type="dxa"/>
          </w:tcPr>
          <w:p w:rsidR="0055491A" w:rsidRPr="00A95D1D" w:rsidRDefault="0055491A" w:rsidP="00210BF6">
            <w:pPr>
              <w:rPr>
                <w:b/>
              </w:rPr>
            </w:pPr>
            <w:r w:rsidRPr="00A95D1D">
              <w:rPr>
                <w:b/>
              </w:rPr>
              <w:t xml:space="preserve">ИТОГО </w:t>
            </w:r>
          </w:p>
        </w:tc>
        <w:tc>
          <w:tcPr>
            <w:tcW w:w="2036" w:type="dxa"/>
          </w:tcPr>
          <w:p w:rsidR="0055491A" w:rsidRPr="00A95D1D" w:rsidRDefault="0055491A" w:rsidP="00210BF6">
            <w:pPr>
              <w:jc w:val="center"/>
              <w:rPr>
                <w:b/>
                <w:lang w:val="en-US"/>
              </w:rPr>
            </w:pPr>
            <w:r w:rsidRPr="00A95D1D">
              <w:rPr>
                <w:b/>
                <w:lang w:val="en-US"/>
              </w:rPr>
              <w:t>x</w:t>
            </w:r>
          </w:p>
        </w:tc>
        <w:tc>
          <w:tcPr>
            <w:tcW w:w="2206" w:type="dxa"/>
          </w:tcPr>
          <w:p w:rsidR="0055491A" w:rsidRPr="00A95D1D" w:rsidRDefault="0055491A" w:rsidP="00210BF6">
            <w:pPr>
              <w:jc w:val="center"/>
              <w:rPr>
                <w:b/>
                <w:lang w:val="en-US"/>
              </w:rPr>
            </w:pPr>
            <w:r w:rsidRPr="00A95D1D">
              <w:rPr>
                <w:b/>
                <w:lang w:val="en-US"/>
              </w:rPr>
              <w:t>x</w:t>
            </w:r>
          </w:p>
        </w:tc>
        <w:tc>
          <w:tcPr>
            <w:tcW w:w="2753" w:type="dxa"/>
          </w:tcPr>
          <w:p w:rsidR="0055491A" w:rsidRPr="00A95D1D" w:rsidRDefault="0055491A" w:rsidP="00210BF6">
            <w:pPr>
              <w:jc w:val="center"/>
              <w:rPr>
                <w:b/>
              </w:rPr>
            </w:pPr>
            <w:r>
              <w:rPr>
                <w:b/>
              </w:rPr>
              <w:t>78 826 400,0</w:t>
            </w:r>
          </w:p>
        </w:tc>
      </w:tr>
    </w:tbl>
    <w:p w:rsidR="0055491A" w:rsidRDefault="0055491A" w:rsidP="0055491A">
      <w:pPr>
        <w:autoSpaceDE w:val="0"/>
        <w:autoSpaceDN w:val="0"/>
        <w:adjustRightInd w:val="0"/>
        <w:ind w:firstLine="709"/>
        <w:jc w:val="both"/>
        <w:rPr>
          <w:sz w:val="28"/>
          <w:szCs w:val="28"/>
        </w:rPr>
      </w:pPr>
    </w:p>
    <w:p w:rsidR="0055491A" w:rsidRDefault="0055491A" w:rsidP="0055491A">
      <w:pPr>
        <w:autoSpaceDE w:val="0"/>
        <w:autoSpaceDN w:val="0"/>
        <w:adjustRightInd w:val="0"/>
        <w:ind w:firstLine="709"/>
        <w:jc w:val="both"/>
        <w:rPr>
          <w:sz w:val="28"/>
          <w:szCs w:val="28"/>
        </w:rPr>
      </w:pPr>
      <w:r>
        <w:rPr>
          <w:sz w:val="28"/>
          <w:szCs w:val="28"/>
        </w:rPr>
        <w:t>Расчет поступлений на 2023-2024 годы равен расчету на 2022 год по методике исходя из усредненных значений одного платежа за 2020 год и</w:t>
      </w:r>
      <w:r w:rsidRPr="00182942">
        <w:rPr>
          <w:sz w:val="28"/>
          <w:szCs w:val="28"/>
        </w:rPr>
        <w:t xml:space="preserve"> </w:t>
      </w:r>
      <w:r w:rsidRPr="001302D5">
        <w:rPr>
          <w:sz w:val="28"/>
          <w:szCs w:val="28"/>
        </w:rPr>
        <w:lastRenderedPageBreak/>
        <w:t>усредненн</w:t>
      </w:r>
      <w:r>
        <w:rPr>
          <w:sz w:val="28"/>
          <w:szCs w:val="28"/>
        </w:rPr>
        <w:t>ого</w:t>
      </w:r>
      <w:r w:rsidRPr="001302D5">
        <w:rPr>
          <w:sz w:val="28"/>
          <w:szCs w:val="28"/>
        </w:rPr>
        <w:t xml:space="preserve"> количеств</w:t>
      </w:r>
      <w:r>
        <w:rPr>
          <w:sz w:val="28"/>
          <w:szCs w:val="28"/>
        </w:rPr>
        <w:t>а</w:t>
      </w:r>
      <w:r w:rsidRPr="001302D5">
        <w:rPr>
          <w:sz w:val="28"/>
          <w:szCs w:val="28"/>
        </w:rPr>
        <w:t xml:space="preserve"> годовых о</w:t>
      </w:r>
      <w:r>
        <w:rPr>
          <w:sz w:val="28"/>
          <w:szCs w:val="28"/>
        </w:rPr>
        <w:t>бъемов правонарушений гражданами, должностными лицами и юридическими лицами</w:t>
      </w:r>
      <w:r w:rsidRPr="001302D5">
        <w:rPr>
          <w:sz w:val="28"/>
          <w:szCs w:val="28"/>
        </w:rPr>
        <w:t xml:space="preserve"> не менее чем за 3 года</w:t>
      </w:r>
      <w:r>
        <w:rPr>
          <w:sz w:val="28"/>
          <w:szCs w:val="28"/>
        </w:rPr>
        <w:t xml:space="preserve"> (2018-2020гг.).</w:t>
      </w:r>
    </w:p>
    <w:p w:rsidR="0055491A" w:rsidRPr="00C9228A" w:rsidRDefault="0055491A" w:rsidP="0055491A">
      <w:pPr>
        <w:pStyle w:val="a7"/>
        <w:spacing w:after="0"/>
        <w:ind w:left="0" w:firstLine="709"/>
        <w:jc w:val="both"/>
        <w:rPr>
          <w:b/>
          <w:sz w:val="28"/>
          <w:szCs w:val="28"/>
        </w:rPr>
      </w:pPr>
      <w:r w:rsidRPr="00C9228A">
        <w:rPr>
          <w:b/>
          <w:sz w:val="28"/>
          <w:szCs w:val="28"/>
        </w:rPr>
        <w:t xml:space="preserve">Прогноз на 2022 год – </w:t>
      </w:r>
      <w:r>
        <w:rPr>
          <w:b/>
          <w:sz w:val="28"/>
          <w:szCs w:val="28"/>
        </w:rPr>
        <w:t>78 826,4</w:t>
      </w:r>
      <w:r w:rsidRPr="00C9228A">
        <w:rPr>
          <w:b/>
          <w:sz w:val="28"/>
          <w:szCs w:val="28"/>
        </w:rPr>
        <w:t xml:space="preserve"> тыс. руб.;</w:t>
      </w:r>
    </w:p>
    <w:p w:rsidR="0055491A" w:rsidRPr="00C9228A" w:rsidRDefault="0055491A" w:rsidP="0055491A">
      <w:pPr>
        <w:pStyle w:val="a7"/>
        <w:spacing w:after="0"/>
        <w:ind w:left="0" w:firstLine="709"/>
        <w:jc w:val="both"/>
        <w:rPr>
          <w:b/>
          <w:sz w:val="28"/>
          <w:szCs w:val="28"/>
        </w:rPr>
      </w:pPr>
      <w:r w:rsidRPr="00C9228A">
        <w:rPr>
          <w:b/>
          <w:sz w:val="28"/>
          <w:szCs w:val="28"/>
        </w:rPr>
        <w:t xml:space="preserve">Прогноз на 2023 год – </w:t>
      </w:r>
      <w:r>
        <w:rPr>
          <w:b/>
          <w:sz w:val="28"/>
          <w:szCs w:val="28"/>
        </w:rPr>
        <w:t>78 826,4</w:t>
      </w:r>
      <w:r w:rsidRPr="00C9228A">
        <w:rPr>
          <w:b/>
          <w:sz w:val="28"/>
          <w:szCs w:val="28"/>
        </w:rPr>
        <w:t xml:space="preserve"> тыс. руб.</w:t>
      </w:r>
    </w:p>
    <w:p w:rsidR="0055491A" w:rsidRPr="00C9228A" w:rsidRDefault="0055491A" w:rsidP="0055491A">
      <w:pPr>
        <w:pStyle w:val="a7"/>
        <w:spacing w:after="0"/>
        <w:ind w:left="0" w:firstLine="709"/>
        <w:jc w:val="both"/>
        <w:rPr>
          <w:b/>
          <w:sz w:val="28"/>
          <w:szCs w:val="28"/>
        </w:rPr>
      </w:pPr>
      <w:r w:rsidRPr="00C9228A">
        <w:rPr>
          <w:b/>
          <w:sz w:val="28"/>
          <w:szCs w:val="28"/>
        </w:rPr>
        <w:t>Прогноз на 202</w:t>
      </w:r>
      <w:r>
        <w:rPr>
          <w:b/>
          <w:sz w:val="28"/>
          <w:szCs w:val="28"/>
        </w:rPr>
        <w:t>4</w:t>
      </w:r>
      <w:r w:rsidRPr="00C9228A">
        <w:rPr>
          <w:b/>
          <w:sz w:val="28"/>
          <w:szCs w:val="28"/>
        </w:rPr>
        <w:t xml:space="preserve"> год – </w:t>
      </w:r>
      <w:r>
        <w:rPr>
          <w:b/>
          <w:sz w:val="28"/>
          <w:szCs w:val="28"/>
        </w:rPr>
        <w:t>78 826,4</w:t>
      </w:r>
      <w:r w:rsidRPr="00C9228A">
        <w:rPr>
          <w:b/>
          <w:sz w:val="28"/>
          <w:szCs w:val="28"/>
        </w:rPr>
        <w:t xml:space="preserve"> тыс. руб.</w:t>
      </w:r>
    </w:p>
    <w:p w:rsidR="0055491A" w:rsidRDefault="0055491A" w:rsidP="0055491A">
      <w:pPr>
        <w:pStyle w:val="a7"/>
        <w:spacing w:after="0"/>
        <w:ind w:left="0" w:firstLine="709"/>
        <w:jc w:val="both"/>
        <w:rPr>
          <w:sz w:val="28"/>
          <w:szCs w:val="28"/>
        </w:rPr>
      </w:pPr>
    </w:p>
    <w:p w:rsidR="0055491A" w:rsidRDefault="0055491A" w:rsidP="0055491A">
      <w:pPr>
        <w:pStyle w:val="a7"/>
        <w:spacing w:after="0"/>
        <w:ind w:left="0" w:firstLine="709"/>
        <w:jc w:val="both"/>
        <w:rPr>
          <w:sz w:val="28"/>
          <w:szCs w:val="28"/>
        </w:rPr>
      </w:pPr>
      <w:r>
        <w:rPr>
          <w:sz w:val="28"/>
          <w:szCs w:val="28"/>
        </w:rPr>
        <w:t xml:space="preserve">8.8 КБК </w:t>
      </w:r>
      <w:r w:rsidRPr="00510DB9">
        <w:rPr>
          <w:b/>
          <w:sz w:val="28"/>
          <w:szCs w:val="28"/>
        </w:rPr>
        <w:t>335 1 16 01123 01 0000 140</w:t>
      </w:r>
      <w:r>
        <w:rPr>
          <w:sz w:val="28"/>
          <w:szCs w:val="28"/>
        </w:rPr>
        <w:t xml:space="preserve"> </w:t>
      </w:r>
      <w:r w:rsidRPr="00EA253E">
        <w:rPr>
          <w:sz w:val="28"/>
          <w:szCs w:val="28"/>
        </w:rPr>
        <w:t xml:space="preserve">Административные штрафы, установленные </w:t>
      </w:r>
      <w:r w:rsidRPr="0055238B">
        <w:rPr>
          <w:sz w:val="28"/>
          <w:szCs w:val="28"/>
        </w:rPr>
        <w:t>Главой 12 Кодекса Российской Федерации об административных правонарушениях, за административные правонарушения в области дорожного движения</w:t>
      </w:r>
      <w:r w:rsidRPr="00EA253E">
        <w:rPr>
          <w:sz w:val="28"/>
          <w:szCs w:val="28"/>
        </w:rPr>
        <w:t>, налагаемые мировыми судьями, комиссиями по делам несовершеннолетних и защите их прав</w:t>
      </w:r>
      <w:r>
        <w:rPr>
          <w:sz w:val="28"/>
          <w:szCs w:val="28"/>
        </w:rPr>
        <w:t>.</w:t>
      </w:r>
    </w:p>
    <w:p w:rsidR="0055491A" w:rsidRPr="00510DB9" w:rsidRDefault="0055491A" w:rsidP="0055491A">
      <w:pPr>
        <w:pStyle w:val="a7"/>
        <w:spacing w:after="0"/>
        <w:ind w:left="0" w:firstLine="709"/>
        <w:jc w:val="both"/>
        <w:rPr>
          <w:b/>
          <w:sz w:val="28"/>
          <w:szCs w:val="28"/>
        </w:rPr>
      </w:pPr>
      <w:r w:rsidRPr="00510DB9">
        <w:rPr>
          <w:b/>
          <w:sz w:val="28"/>
          <w:szCs w:val="28"/>
        </w:rPr>
        <w:t xml:space="preserve"> Главный администратор доходов – Главное управление региональной безопасности Тверской области.</w:t>
      </w:r>
    </w:p>
    <w:p w:rsidR="0055491A" w:rsidRDefault="0055491A" w:rsidP="0055491A">
      <w:pPr>
        <w:pStyle w:val="a7"/>
        <w:spacing w:after="0"/>
        <w:ind w:left="0" w:firstLine="709"/>
        <w:jc w:val="both"/>
        <w:rPr>
          <w:sz w:val="28"/>
          <w:szCs w:val="28"/>
        </w:rPr>
      </w:pPr>
      <w:r>
        <w:rPr>
          <w:sz w:val="28"/>
          <w:szCs w:val="28"/>
        </w:rPr>
        <w:t>Расчет поступления доходов в областной бюджет Тверской области на 2022 год произведен с учетом прогнозируемого количества постановлений за административные правонарушения методом прямого счета:</w:t>
      </w:r>
    </w:p>
    <w:p w:rsidR="0055491A" w:rsidRDefault="0055491A" w:rsidP="0055491A">
      <w:pPr>
        <w:pStyle w:val="a7"/>
        <w:spacing w:after="0"/>
        <w:jc w:val="both"/>
        <w:rPr>
          <w:sz w:val="28"/>
          <w:szCs w:val="28"/>
        </w:rPr>
      </w:pPr>
    </w:p>
    <w:tbl>
      <w:tblPr>
        <w:tblW w:w="9056" w:type="dxa"/>
        <w:tblLook w:val="04A0" w:firstRow="1" w:lastRow="0" w:firstColumn="1" w:lastColumn="0" w:noHBand="0" w:noVBand="1"/>
      </w:tblPr>
      <w:tblGrid>
        <w:gridCol w:w="486"/>
        <w:gridCol w:w="2831"/>
        <w:gridCol w:w="1314"/>
        <w:gridCol w:w="1574"/>
        <w:gridCol w:w="1426"/>
        <w:gridCol w:w="1425"/>
      </w:tblGrid>
      <w:tr w:rsidR="0055491A" w:rsidTr="00210BF6">
        <w:trPr>
          <w:trHeight w:val="1307"/>
        </w:trPr>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 п/п</w:t>
            </w:r>
          </w:p>
        </w:tc>
        <w:tc>
          <w:tcPr>
            <w:tcW w:w="2834" w:type="dxa"/>
            <w:tcBorders>
              <w:top w:val="single" w:sz="4" w:space="0" w:color="auto"/>
              <w:left w:val="nil"/>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Вид правонарушений</w:t>
            </w:r>
          </w:p>
        </w:tc>
        <w:tc>
          <w:tcPr>
            <w:tcW w:w="1315" w:type="dxa"/>
            <w:tcBorders>
              <w:top w:val="single" w:sz="4" w:space="0" w:color="auto"/>
              <w:left w:val="nil"/>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Средний размер штрафа (средний областной), тыс. руб.</w:t>
            </w:r>
          </w:p>
        </w:tc>
        <w:tc>
          <w:tcPr>
            <w:tcW w:w="1574" w:type="dxa"/>
            <w:tcBorders>
              <w:top w:val="single" w:sz="4" w:space="0" w:color="auto"/>
              <w:left w:val="nil"/>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Количество постановлений, ед.</w:t>
            </w:r>
          </w:p>
        </w:tc>
        <w:tc>
          <w:tcPr>
            <w:tcW w:w="1426" w:type="dxa"/>
            <w:tcBorders>
              <w:top w:val="single" w:sz="4" w:space="0" w:color="auto"/>
              <w:left w:val="nil"/>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Коэффициент собираемости (средний областной), %</w:t>
            </w:r>
          </w:p>
        </w:tc>
        <w:tc>
          <w:tcPr>
            <w:tcW w:w="1426" w:type="dxa"/>
            <w:tcBorders>
              <w:top w:val="single" w:sz="4" w:space="0" w:color="auto"/>
              <w:left w:val="nil"/>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Прогноз поступлений, тыс. руб. (ст.3*4*5)</w:t>
            </w:r>
          </w:p>
        </w:tc>
      </w:tr>
      <w:tr w:rsidR="0055491A" w:rsidTr="00210BF6">
        <w:trPr>
          <w:trHeight w:val="307"/>
        </w:trPr>
        <w:tc>
          <w:tcPr>
            <w:tcW w:w="481" w:type="dxa"/>
            <w:tcBorders>
              <w:top w:val="nil"/>
              <w:left w:val="single" w:sz="4" w:space="0" w:color="auto"/>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1</w:t>
            </w:r>
          </w:p>
        </w:tc>
        <w:tc>
          <w:tcPr>
            <w:tcW w:w="2834" w:type="dxa"/>
            <w:tcBorders>
              <w:top w:val="nil"/>
              <w:left w:val="nil"/>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2</w:t>
            </w:r>
          </w:p>
        </w:tc>
        <w:tc>
          <w:tcPr>
            <w:tcW w:w="1315" w:type="dxa"/>
            <w:tcBorders>
              <w:top w:val="nil"/>
              <w:left w:val="nil"/>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3</w:t>
            </w:r>
          </w:p>
        </w:tc>
        <w:tc>
          <w:tcPr>
            <w:tcW w:w="1574" w:type="dxa"/>
            <w:tcBorders>
              <w:top w:val="nil"/>
              <w:left w:val="nil"/>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4</w:t>
            </w:r>
          </w:p>
        </w:tc>
        <w:tc>
          <w:tcPr>
            <w:tcW w:w="1426" w:type="dxa"/>
            <w:tcBorders>
              <w:top w:val="nil"/>
              <w:left w:val="nil"/>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5</w:t>
            </w:r>
          </w:p>
        </w:tc>
        <w:tc>
          <w:tcPr>
            <w:tcW w:w="1426" w:type="dxa"/>
            <w:tcBorders>
              <w:top w:val="nil"/>
              <w:left w:val="nil"/>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6</w:t>
            </w:r>
          </w:p>
        </w:tc>
      </w:tr>
      <w:tr w:rsidR="0055491A" w:rsidTr="00210BF6">
        <w:trPr>
          <w:trHeight w:val="1045"/>
        </w:trPr>
        <w:tc>
          <w:tcPr>
            <w:tcW w:w="481" w:type="dxa"/>
            <w:tcBorders>
              <w:top w:val="nil"/>
              <w:left w:val="single" w:sz="4" w:space="0" w:color="auto"/>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1</w:t>
            </w:r>
          </w:p>
        </w:tc>
        <w:tc>
          <w:tcPr>
            <w:tcW w:w="2834" w:type="dxa"/>
            <w:tcBorders>
              <w:top w:val="nil"/>
              <w:left w:val="nil"/>
              <w:bottom w:val="single" w:sz="4" w:space="0" w:color="auto"/>
              <w:right w:val="single" w:sz="4" w:space="0" w:color="auto"/>
            </w:tcBorders>
            <w:shd w:val="clear" w:color="auto" w:fill="auto"/>
            <w:vAlign w:val="center"/>
            <w:hideMark/>
          </w:tcPr>
          <w:p w:rsidR="0055491A" w:rsidRDefault="0055491A" w:rsidP="00210BF6">
            <w:pPr>
              <w:jc w:val="both"/>
              <w:rPr>
                <w:sz w:val="20"/>
                <w:szCs w:val="20"/>
              </w:rPr>
            </w:pPr>
            <w:r>
              <w:rPr>
                <w:sz w:val="20"/>
                <w:szCs w:val="20"/>
              </w:rPr>
              <w:t>Штрафы за н</w:t>
            </w:r>
            <w:r w:rsidRPr="00510DB9">
              <w:rPr>
                <w:sz w:val="20"/>
                <w:szCs w:val="20"/>
              </w:rPr>
              <w:t>есоблюдение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w:t>
            </w:r>
          </w:p>
        </w:tc>
        <w:tc>
          <w:tcPr>
            <w:tcW w:w="1315" w:type="dxa"/>
            <w:tcBorders>
              <w:top w:val="nil"/>
              <w:left w:val="nil"/>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29,4</w:t>
            </w:r>
          </w:p>
        </w:tc>
        <w:tc>
          <w:tcPr>
            <w:tcW w:w="1574" w:type="dxa"/>
            <w:tcBorders>
              <w:top w:val="nil"/>
              <w:left w:val="nil"/>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106</w:t>
            </w:r>
          </w:p>
        </w:tc>
        <w:tc>
          <w:tcPr>
            <w:tcW w:w="1426" w:type="dxa"/>
            <w:tcBorders>
              <w:top w:val="nil"/>
              <w:left w:val="nil"/>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50,0%</w:t>
            </w:r>
          </w:p>
        </w:tc>
        <w:tc>
          <w:tcPr>
            <w:tcW w:w="1426" w:type="dxa"/>
            <w:tcBorders>
              <w:top w:val="nil"/>
              <w:left w:val="nil"/>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1 558,2</w:t>
            </w:r>
          </w:p>
        </w:tc>
      </w:tr>
      <w:tr w:rsidR="0055491A" w:rsidTr="00210BF6">
        <w:trPr>
          <w:trHeight w:val="261"/>
        </w:trPr>
        <w:tc>
          <w:tcPr>
            <w:tcW w:w="481" w:type="dxa"/>
            <w:tcBorders>
              <w:top w:val="nil"/>
              <w:left w:val="single" w:sz="4" w:space="0" w:color="auto"/>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p>
        </w:tc>
        <w:tc>
          <w:tcPr>
            <w:tcW w:w="2834" w:type="dxa"/>
            <w:tcBorders>
              <w:top w:val="nil"/>
              <w:left w:val="nil"/>
              <w:bottom w:val="single" w:sz="4" w:space="0" w:color="auto"/>
              <w:right w:val="nil"/>
            </w:tcBorders>
            <w:shd w:val="clear" w:color="auto" w:fill="auto"/>
            <w:vAlign w:val="center"/>
            <w:hideMark/>
          </w:tcPr>
          <w:p w:rsidR="0055491A" w:rsidRDefault="0055491A" w:rsidP="00210BF6">
            <w:pPr>
              <w:rPr>
                <w:b/>
                <w:bCs/>
                <w:sz w:val="20"/>
                <w:szCs w:val="20"/>
              </w:rPr>
            </w:pPr>
            <w:r>
              <w:rPr>
                <w:b/>
                <w:bCs/>
                <w:sz w:val="20"/>
                <w:szCs w:val="20"/>
              </w:rPr>
              <w:t>ИТОГО</w:t>
            </w:r>
          </w:p>
        </w:tc>
        <w:tc>
          <w:tcPr>
            <w:tcW w:w="1315" w:type="dxa"/>
            <w:tcBorders>
              <w:top w:val="nil"/>
              <w:left w:val="nil"/>
              <w:bottom w:val="single" w:sz="4" w:space="0" w:color="auto"/>
              <w:right w:val="nil"/>
            </w:tcBorders>
            <w:shd w:val="clear" w:color="auto" w:fill="auto"/>
            <w:vAlign w:val="center"/>
            <w:hideMark/>
          </w:tcPr>
          <w:p w:rsidR="0055491A" w:rsidRDefault="0055491A" w:rsidP="00210BF6">
            <w:pPr>
              <w:rPr>
                <w:b/>
                <w:bCs/>
                <w:sz w:val="20"/>
                <w:szCs w:val="20"/>
              </w:rPr>
            </w:pPr>
            <w:r>
              <w:rPr>
                <w:b/>
                <w:bCs/>
                <w:sz w:val="20"/>
                <w:szCs w:val="20"/>
              </w:rPr>
              <w:t> </w:t>
            </w:r>
          </w:p>
        </w:tc>
        <w:tc>
          <w:tcPr>
            <w:tcW w:w="1574" w:type="dxa"/>
            <w:tcBorders>
              <w:top w:val="nil"/>
              <w:left w:val="nil"/>
              <w:bottom w:val="single" w:sz="4" w:space="0" w:color="auto"/>
              <w:right w:val="nil"/>
            </w:tcBorders>
            <w:shd w:val="clear" w:color="auto" w:fill="auto"/>
            <w:vAlign w:val="center"/>
            <w:hideMark/>
          </w:tcPr>
          <w:p w:rsidR="0055491A" w:rsidRDefault="0055491A" w:rsidP="00210BF6">
            <w:pPr>
              <w:rPr>
                <w:b/>
                <w:bCs/>
                <w:sz w:val="20"/>
                <w:szCs w:val="20"/>
              </w:rPr>
            </w:pPr>
            <w:r>
              <w:rPr>
                <w:b/>
                <w:bCs/>
                <w:sz w:val="20"/>
                <w:szCs w:val="20"/>
              </w:rPr>
              <w:t> </w:t>
            </w:r>
          </w:p>
        </w:tc>
        <w:tc>
          <w:tcPr>
            <w:tcW w:w="1426" w:type="dxa"/>
            <w:tcBorders>
              <w:top w:val="nil"/>
              <w:left w:val="nil"/>
              <w:bottom w:val="single" w:sz="4" w:space="0" w:color="auto"/>
              <w:right w:val="single" w:sz="4" w:space="0" w:color="auto"/>
            </w:tcBorders>
            <w:shd w:val="clear" w:color="auto" w:fill="auto"/>
            <w:vAlign w:val="center"/>
            <w:hideMark/>
          </w:tcPr>
          <w:p w:rsidR="0055491A" w:rsidRDefault="0055491A" w:rsidP="00210BF6">
            <w:pPr>
              <w:rPr>
                <w:b/>
                <w:bCs/>
                <w:sz w:val="20"/>
                <w:szCs w:val="20"/>
              </w:rPr>
            </w:pPr>
            <w:r>
              <w:rPr>
                <w:b/>
                <w:bCs/>
                <w:sz w:val="20"/>
                <w:szCs w:val="20"/>
              </w:rPr>
              <w:t> </w:t>
            </w:r>
          </w:p>
        </w:tc>
        <w:tc>
          <w:tcPr>
            <w:tcW w:w="1426" w:type="dxa"/>
            <w:tcBorders>
              <w:top w:val="nil"/>
              <w:left w:val="nil"/>
              <w:bottom w:val="single" w:sz="4" w:space="0" w:color="auto"/>
              <w:right w:val="single" w:sz="4" w:space="0" w:color="auto"/>
            </w:tcBorders>
            <w:shd w:val="clear" w:color="auto" w:fill="auto"/>
            <w:vAlign w:val="center"/>
            <w:hideMark/>
          </w:tcPr>
          <w:p w:rsidR="0055491A" w:rsidRDefault="0055491A" w:rsidP="00210BF6">
            <w:pPr>
              <w:jc w:val="center"/>
              <w:rPr>
                <w:b/>
                <w:bCs/>
                <w:sz w:val="20"/>
                <w:szCs w:val="20"/>
              </w:rPr>
            </w:pPr>
            <w:r>
              <w:rPr>
                <w:b/>
                <w:bCs/>
                <w:sz w:val="20"/>
                <w:szCs w:val="20"/>
              </w:rPr>
              <w:t>1 558,2</w:t>
            </w:r>
          </w:p>
        </w:tc>
      </w:tr>
    </w:tbl>
    <w:p w:rsidR="0055491A" w:rsidRPr="00510DB9" w:rsidRDefault="0055491A" w:rsidP="0055491A">
      <w:pPr>
        <w:pStyle w:val="a7"/>
        <w:spacing w:after="0"/>
        <w:ind w:left="0" w:firstLine="709"/>
        <w:jc w:val="both"/>
        <w:rPr>
          <w:b/>
          <w:sz w:val="28"/>
          <w:szCs w:val="28"/>
        </w:rPr>
      </w:pPr>
      <w:r w:rsidRPr="00510DB9">
        <w:rPr>
          <w:b/>
          <w:sz w:val="28"/>
          <w:szCs w:val="28"/>
        </w:rPr>
        <w:t>Прогноз поступления доходов в областной бюджет Тверской области на 2022 год – 1 558,2 тыс. руб., на 2023 год –1 558,2 тыс. руб., на 2024 год –1 558,2 тыс. руб.</w:t>
      </w:r>
    </w:p>
    <w:p w:rsidR="0055491A" w:rsidRDefault="0055491A" w:rsidP="0055491A">
      <w:pPr>
        <w:pStyle w:val="a7"/>
        <w:spacing w:after="0"/>
        <w:jc w:val="both"/>
        <w:rPr>
          <w:sz w:val="28"/>
          <w:szCs w:val="28"/>
        </w:rPr>
      </w:pPr>
    </w:p>
    <w:p w:rsidR="0055491A" w:rsidRDefault="0055491A" w:rsidP="0055491A">
      <w:pPr>
        <w:pStyle w:val="a7"/>
        <w:spacing w:after="0"/>
        <w:ind w:left="0" w:firstLine="709"/>
        <w:jc w:val="both"/>
        <w:rPr>
          <w:sz w:val="28"/>
          <w:szCs w:val="28"/>
        </w:rPr>
      </w:pPr>
      <w:r>
        <w:rPr>
          <w:sz w:val="28"/>
          <w:szCs w:val="28"/>
        </w:rPr>
        <w:t xml:space="preserve">9. </w:t>
      </w:r>
      <w:r w:rsidRPr="005217D0">
        <w:rPr>
          <w:sz w:val="28"/>
          <w:szCs w:val="28"/>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w:t>
      </w:r>
      <w:r>
        <w:rPr>
          <w:sz w:val="28"/>
          <w:szCs w:val="28"/>
        </w:rPr>
        <w:t xml:space="preserve">                        (</w:t>
      </w:r>
      <w:r w:rsidRPr="00650349">
        <w:rPr>
          <w:b/>
          <w:sz w:val="28"/>
          <w:szCs w:val="28"/>
        </w:rPr>
        <w:t>КБК 000 1 16 010130 01 0000 140</w:t>
      </w:r>
      <w:r>
        <w:rPr>
          <w:sz w:val="28"/>
          <w:szCs w:val="28"/>
        </w:rPr>
        <w:t>).</w:t>
      </w:r>
    </w:p>
    <w:p w:rsidR="0055491A" w:rsidRPr="00650349" w:rsidRDefault="0055491A" w:rsidP="0055491A">
      <w:pPr>
        <w:pStyle w:val="a7"/>
        <w:spacing w:after="0"/>
        <w:ind w:left="0" w:firstLine="709"/>
        <w:jc w:val="both"/>
        <w:rPr>
          <w:b/>
          <w:sz w:val="28"/>
          <w:szCs w:val="28"/>
        </w:rPr>
      </w:pPr>
      <w:r>
        <w:rPr>
          <w:sz w:val="28"/>
          <w:szCs w:val="28"/>
        </w:rPr>
        <w:t xml:space="preserve"> </w:t>
      </w:r>
      <w:r w:rsidRPr="00650349">
        <w:rPr>
          <w:b/>
          <w:sz w:val="28"/>
          <w:szCs w:val="28"/>
        </w:rPr>
        <w:t>Прогноз по данному КБК составляет на 2022 год – 718,1 тыс. руб., на 2023 год – 668,1 тыс. руб., на 2024 год – 668,1 тыс. руб.</w:t>
      </w:r>
    </w:p>
    <w:p w:rsidR="0055491A" w:rsidRPr="00650349" w:rsidRDefault="0055491A" w:rsidP="0055491A">
      <w:pPr>
        <w:ind w:firstLine="709"/>
        <w:jc w:val="both"/>
        <w:rPr>
          <w:b/>
          <w:sz w:val="28"/>
          <w:szCs w:val="28"/>
        </w:rPr>
      </w:pPr>
    </w:p>
    <w:p w:rsidR="0055491A" w:rsidRDefault="0055491A" w:rsidP="0055491A">
      <w:pPr>
        <w:pStyle w:val="a7"/>
        <w:spacing w:after="0"/>
        <w:ind w:left="0" w:firstLine="709"/>
        <w:jc w:val="both"/>
        <w:rPr>
          <w:sz w:val="28"/>
          <w:szCs w:val="28"/>
        </w:rPr>
      </w:pPr>
      <w:r>
        <w:rPr>
          <w:sz w:val="28"/>
          <w:szCs w:val="28"/>
        </w:rPr>
        <w:t xml:space="preserve">9.1 </w:t>
      </w:r>
      <w:r w:rsidRPr="00650349">
        <w:rPr>
          <w:b/>
          <w:sz w:val="28"/>
          <w:szCs w:val="28"/>
        </w:rPr>
        <w:t>КБК 332 1 16 01132 01 0000 140</w:t>
      </w:r>
      <w:r>
        <w:rPr>
          <w:sz w:val="28"/>
          <w:szCs w:val="28"/>
        </w:rPr>
        <w:t xml:space="preserve"> </w:t>
      </w:r>
      <w:r w:rsidRPr="004306A4">
        <w:rPr>
          <w:sz w:val="28"/>
          <w:szCs w:val="28"/>
        </w:rPr>
        <w:t xml:space="preserve">Административные штрафы, установленные Главой </w:t>
      </w:r>
      <w:r>
        <w:rPr>
          <w:sz w:val="28"/>
          <w:szCs w:val="28"/>
        </w:rPr>
        <w:t>13</w:t>
      </w:r>
      <w:r w:rsidRPr="004306A4">
        <w:rPr>
          <w:sz w:val="28"/>
          <w:szCs w:val="28"/>
        </w:rPr>
        <w:t xml:space="preserve"> Кодекса Российской Федерации об </w:t>
      </w:r>
      <w:r w:rsidRPr="004306A4">
        <w:rPr>
          <w:sz w:val="28"/>
          <w:szCs w:val="28"/>
        </w:rPr>
        <w:lastRenderedPageBreak/>
        <w:t xml:space="preserve">административных правонарушениях, </w:t>
      </w:r>
      <w:r w:rsidRPr="004A307C">
        <w:rPr>
          <w:sz w:val="28"/>
          <w:szCs w:val="28"/>
        </w:rPr>
        <w:t xml:space="preserve">за административные правонарушения в области связи и информации, налагаемые должностными лицами органов исполнительной власти субъектов Российской Федерации, учреждениями субъектов </w:t>
      </w:r>
      <w:r>
        <w:rPr>
          <w:sz w:val="28"/>
          <w:szCs w:val="28"/>
        </w:rPr>
        <w:t xml:space="preserve">Российской </w:t>
      </w:r>
      <w:r w:rsidRPr="004306A4">
        <w:rPr>
          <w:sz w:val="28"/>
          <w:szCs w:val="28"/>
        </w:rPr>
        <w:t>Федерации</w:t>
      </w:r>
      <w:r>
        <w:rPr>
          <w:sz w:val="28"/>
          <w:szCs w:val="28"/>
        </w:rPr>
        <w:t>.</w:t>
      </w:r>
    </w:p>
    <w:p w:rsidR="0055491A" w:rsidRDefault="0055491A" w:rsidP="0055491A">
      <w:pPr>
        <w:pStyle w:val="a7"/>
        <w:spacing w:after="0"/>
        <w:ind w:left="0" w:firstLine="709"/>
        <w:jc w:val="both"/>
        <w:rPr>
          <w:sz w:val="28"/>
          <w:szCs w:val="28"/>
        </w:rPr>
      </w:pPr>
      <w:r w:rsidRPr="000D4676">
        <w:rPr>
          <w:sz w:val="28"/>
          <w:szCs w:val="28"/>
        </w:rPr>
        <w:t xml:space="preserve">Главный администратор доходов - </w:t>
      </w:r>
      <w:r w:rsidRPr="00D049B5">
        <w:rPr>
          <w:sz w:val="28"/>
          <w:szCs w:val="28"/>
        </w:rPr>
        <w:t>Министерство Тверской области</w:t>
      </w:r>
      <w:r>
        <w:rPr>
          <w:sz w:val="28"/>
          <w:szCs w:val="28"/>
        </w:rPr>
        <w:t xml:space="preserve"> по обеспечению контрольных функций</w:t>
      </w:r>
      <w:r w:rsidRPr="000D4676">
        <w:rPr>
          <w:sz w:val="28"/>
          <w:szCs w:val="28"/>
        </w:rPr>
        <w:t>.</w:t>
      </w:r>
    </w:p>
    <w:p w:rsidR="0055491A" w:rsidRDefault="0055491A" w:rsidP="0055491A">
      <w:pPr>
        <w:pStyle w:val="a7"/>
        <w:spacing w:after="0"/>
        <w:ind w:left="0" w:firstLine="709"/>
        <w:jc w:val="both"/>
        <w:rPr>
          <w:sz w:val="28"/>
          <w:szCs w:val="28"/>
        </w:rPr>
      </w:pPr>
      <w:r w:rsidRPr="000D4676">
        <w:rPr>
          <w:sz w:val="28"/>
          <w:szCs w:val="28"/>
        </w:rPr>
        <w:t>Расчет произведен в соответствии с методикой, утвержденной приказом Министерства Тверской области по обес</w:t>
      </w:r>
      <w:r>
        <w:rPr>
          <w:sz w:val="28"/>
          <w:szCs w:val="28"/>
        </w:rPr>
        <w:t>печению контрольных функций от 18</w:t>
      </w:r>
      <w:r w:rsidRPr="000D4676">
        <w:rPr>
          <w:sz w:val="28"/>
          <w:szCs w:val="28"/>
        </w:rPr>
        <w:t>.0</w:t>
      </w:r>
      <w:r>
        <w:rPr>
          <w:sz w:val="28"/>
          <w:szCs w:val="28"/>
        </w:rPr>
        <w:t>6</w:t>
      </w:r>
      <w:r w:rsidRPr="000D4676">
        <w:rPr>
          <w:sz w:val="28"/>
          <w:szCs w:val="28"/>
        </w:rPr>
        <w:t>.20</w:t>
      </w:r>
      <w:r>
        <w:rPr>
          <w:sz w:val="28"/>
          <w:szCs w:val="28"/>
        </w:rPr>
        <w:t>20</w:t>
      </w:r>
      <w:r w:rsidRPr="000D4676">
        <w:rPr>
          <w:sz w:val="28"/>
          <w:szCs w:val="28"/>
        </w:rPr>
        <w:t xml:space="preserve"> № </w:t>
      </w:r>
      <w:r>
        <w:rPr>
          <w:sz w:val="28"/>
          <w:szCs w:val="28"/>
        </w:rPr>
        <w:t>714</w:t>
      </w:r>
      <w:r w:rsidRPr="000D4676">
        <w:rPr>
          <w:sz w:val="28"/>
          <w:szCs w:val="28"/>
        </w:rPr>
        <w:t xml:space="preserve"> «Об утверждении методики прогнозирования поступлений доходов в областной бюджет Тверской области и местные бюджеты муниципальных образований Тверской области»</w:t>
      </w:r>
      <w:r>
        <w:rPr>
          <w:sz w:val="28"/>
          <w:szCs w:val="28"/>
        </w:rPr>
        <w:t xml:space="preserve"> (с учетом изменений)</w:t>
      </w:r>
      <w:r w:rsidRPr="000D4676">
        <w:rPr>
          <w:sz w:val="28"/>
          <w:szCs w:val="28"/>
        </w:rPr>
        <w:t>.</w:t>
      </w:r>
    </w:p>
    <w:p w:rsidR="0055491A" w:rsidRDefault="0055491A" w:rsidP="0055491A">
      <w:pPr>
        <w:pStyle w:val="a7"/>
        <w:spacing w:after="0"/>
        <w:ind w:left="0" w:firstLine="709"/>
        <w:jc w:val="both"/>
        <w:rPr>
          <w:rFonts w:ascii="f\fcharset\fmodern\fprqC" w:hAnsi="f\fcharset\fmodern\fprqC" w:cs="f\fcharset\fmodern\fprqC"/>
          <w:color w:val="000000"/>
          <w:sz w:val="20"/>
          <w:szCs w:val="20"/>
        </w:rPr>
      </w:pPr>
      <w:r w:rsidRPr="00806548">
        <w:rPr>
          <w:sz w:val="28"/>
          <w:szCs w:val="28"/>
        </w:rPr>
        <w:t xml:space="preserve">В соответствии с требованиями статьи 3.1 Федерального закона от 30.12.2004 N 214-ФЗ </w:t>
      </w:r>
      <w:r>
        <w:rPr>
          <w:sz w:val="28"/>
          <w:szCs w:val="28"/>
        </w:rPr>
        <w:t xml:space="preserve">« </w:t>
      </w:r>
      <w:r w:rsidRPr="00806548">
        <w:rPr>
          <w:sz w:val="28"/>
          <w:szCs w:val="28"/>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Pr>
          <w:sz w:val="28"/>
          <w:szCs w:val="28"/>
        </w:rPr>
        <w:t>»</w:t>
      </w:r>
      <w:r w:rsidRPr="00806548">
        <w:rPr>
          <w:sz w:val="28"/>
          <w:szCs w:val="28"/>
        </w:rPr>
        <w:t xml:space="preserve"> застройщик обязан размещать информацию о своей деятельности. Ответственность за нарушение указанного требования предусмотрена статьей 13.19.3 КоАП РФ.</w:t>
      </w:r>
    </w:p>
    <w:p w:rsidR="0055491A" w:rsidRDefault="0055491A" w:rsidP="0055491A">
      <w:pPr>
        <w:pStyle w:val="a7"/>
        <w:spacing w:after="0"/>
        <w:ind w:left="0" w:firstLine="709"/>
        <w:jc w:val="both"/>
        <w:rPr>
          <w:sz w:val="28"/>
          <w:szCs w:val="28"/>
        </w:rPr>
      </w:pPr>
      <w:r w:rsidRPr="00E428FB">
        <w:rPr>
          <w:sz w:val="28"/>
          <w:szCs w:val="28"/>
        </w:rPr>
        <w:t>Прогноз поступлений денежных взысканий (штрафов) на 20</w:t>
      </w:r>
      <w:r>
        <w:rPr>
          <w:sz w:val="28"/>
          <w:szCs w:val="28"/>
        </w:rPr>
        <w:t>22</w:t>
      </w:r>
      <w:r w:rsidRPr="00E428FB">
        <w:rPr>
          <w:sz w:val="28"/>
          <w:szCs w:val="28"/>
        </w:rPr>
        <w:t xml:space="preserve"> год и </w:t>
      </w:r>
      <w:r>
        <w:rPr>
          <w:sz w:val="28"/>
          <w:szCs w:val="28"/>
        </w:rPr>
        <w:t xml:space="preserve">на </w:t>
      </w:r>
      <w:r w:rsidRPr="00E428FB">
        <w:rPr>
          <w:sz w:val="28"/>
          <w:szCs w:val="28"/>
        </w:rPr>
        <w:t>плановый период 20</w:t>
      </w:r>
      <w:r>
        <w:rPr>
          <w:sz w:val="28"/>
          <w:szCs w:val="28"/>
        </w:rPr>
        <w:t>23</w:t>
      </w:r>
      <w:r w:rsidRPr="00E428FB">
        <w:rPr>
          <w:sz w:val="28"/>
          <w:szCs w:val="28"/>
        </w:rPr>
        <w:t>-20</w:t>
      </w:r>
      <w:r>
        <w:rPr>
          <w:sz w:val="28"/>
          <w:szCs w:val="28"/>
        </w:rPr>
        <w:t>24 гг.</w:t>
      </w:r>
      <w:r w:rsidRPr="00E428FB">
        <w:rPr>
          <w:sz w:val="28"/>
          <w:szCs w:val="28"/>
        </w:rPr>
        <w:t xml:space="preserve"> в доход областного бюджета Тверской области определены методом прямого расчета, основанного на использовании среднего количества нарушений</w:t>
      </w:r>
      <w:r>
        <w:rPr>
          <w:sz w:val="28"/>
          <w:szCs w:val="28"/>
        </w:rPr>
        <w:t xml:space="preserve"> за 3 года, ответственность за которые предусмотрена по ст. </w:t>
      </w:r>
      <w:r w:rsidRPr="00806548">
        <w:rPr>
          <w:sz w:val="28"/>
          <w:szCs w:val="28"/>
        </w:rPr>
        <w:t xml:space="preserve">13.19.3 </w:t>
      </w:r>
      <w:r>
        <w:rPr>
          <w:sz w:val="28"/>
          <w:szCs w:val="28"/>
        </w:rPr>
        <w:t>КоАП РФ и размера штрафов.</w:t>
      </w:r>
    </w:p>
    <w:p w:rsidR="0055491A" w:rsidRDefault="0055491A" w:rsidP="0055491A">
      <w:pPr>
        <w:ind w:firstLine="709"/>
        <w:jc w:val="both"/>
        <w:rPr>
          <w:sz w:val="28"/>
          <w:szCs w:val="28"/>
        </w:rPr>
      </w:pPr>
      <w:r w:rsidRPr="00E428FB">
        <w:rPr>
          <w:sz w:val="28"/>
          <w:szCs w:val="28"/>
        </w:rPr>
        <w:t>Расчет прогноза на 20</w:t>
      </w:r>
      <w:r>
        <w:rPr>
          <w:sz w:val="28"/>
          <w:szCs w:val="28"/>
        </w:rPr>
        <w:t>22</w:t>
      </w:r>
      <w:r w:rsidRPr="00E428FB">
        <w:rPr>
          <w:sz w:val="28"/>
          <w:szCs w:val="28"/>
        </w:rPr>
        <w:t>-20</w:t>
      </w:r>
      <w:r>
        <w:rPr>
          <w:sz w:val="28"/>
          <w:szCs w:val="28"/>
        </w:rPr>
        <w:t>24</w:t>
      </w:r>
      <w:r w:rsidRPr="00E428FB">
        <w:rPr>
          <w:sz w:val="28"/>
          <w:szCs w:val="28"/>
        </w:rPr>
        <w:t xml:space="preserve"> годы представлен в таблице:</w:t>
      </w:r>
    </w:p>
    <w:tbl>
      <w:tblPr>
        <w:tblW w:w="9214" w:type="dxa"/>
        <w:tblInd w:w="-5" w:type="dxa"/>
        <w:tblLayout w:type="fixed"/>
        <w:tblLook w:val="04A0" w:firstRow="1" w:lastRow="0" w:firstColumn="1" w:lastColumn="0" w:noHBand="0" w:noVBand="1"/>
      </w:tblPr>
      <w:tblGrid>
        <w:gridCol w:w="1276"/>
        <w:gridCol w:w="992"/>
        <w:gridCol w:w="1276"/>
        <w:gridCol w:w="1134"/>
        <w:gridCol w:w="1276"/>
        <w:gridCol w:w="992"/>
        <w:gridCol w:w="1276"/>
        <w:gridCol w:w="992"/>
      </w:tblGrid>
      <w:tr w:rsidR="0055491A" w:rsidRPr="00B376AC" w:rsidTr="00210BF6">
        <w:trPr>
          <w:trHeight w:val="333"/>
        </w:trPr>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491A" w:rsidRPr="00E63650" w:rsidRDefault="0055491A" w:rsidP="00210BF6">
            <w:pPr>
              <w:jc w:val="center"/>
              <w:rPr>
                <w:sz w:val="20"/>
                <w:szCs w:val="20"/>
              </w:rPr>
            </w:pPr>
            <w:r w:rsidRPr="00E63650">
              <w:rPr>
                <w:sz w:val="20"/>
                <w:szCs w:val="20"/>
              </w:rPr>
              <w:t>Вид нарушения,</w:t>
            </w:r>
          </w:p>
          <w:p w:rsidR="0055491A" w:rsidRPr="00E63650" w:rsidRDefault="0055491A" w:rsidP="00210BF6">
            <w:pPr>
              <w:jc w:val="center"/>
              <w:rPr>
                <w:b/>
                <w:bCs/>
                <w:sz w:val="20"/>
                <w:szCs w:val="20"/>
              </w:rPr>
            </w:pPr>
            <w:r w:rsidRPr="00E63650">
              <w:rPr>
                <w:sz w:val="20"/>
                <w:szCs w:val="20"/>
              </w:rPr>
              <w:t>КОАП РФ</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491A" w:rsidRPr="00E63650" w:rsidRDefault="0055491A" w:rsidP="00210BF6">
            <w:pPr>
              <w:jc w:val="center"/>
              <w:rPr>
                <w:bCs/>
                <w:sz w:val="20"/>
                <w:szCs w:val="20"/>
              </w:rPr>
            </w:pPr>
            <w:r w:rsidRPr="00E63650">
              <w:rPr>
                <w:bCs/>
                <w:sz w:val="20"/>
                <w:szCs w:val="20"/>
              </w:rPr>
              <w:t>Размер штрафа, тыс.руб</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rsidR="0055491A" w:rsidRPr="00E63650" w:rsidRDefault="0055491A" w:rsidP="00210BF6">
            <w:pPr>
              <w:jc w:val="center"/>
              <w:rPr>
                <w:b/>
                <w:bCs/>
              </w:rPr>
            </w:pPr>
            <w:r w:rsidRPr="00E63650">
              <w:rPr>
                <w:b/>
                <w:bCs/>
              </w:rPr>
              <w:t>202</w:t>
            </w:r>
            <w:r>
              <w:rPr>
                <w:b/>
                <w:bCs/>
              </w:rPr>
              <w:t>2</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55491A" w:rsidRPr="00E63650" w:rsidRDefault="0055491A" w:rsidP="00210BF6">
            <w:pPr>
              <w:jc w:val="center"/>
              <w:rPr>
                <w:b/>
                <w:bCs/>
              </w:rPr>
            </w:pPr>
            <w:r w:rsidRPr="00E63650">
              <w:rPr>
                <w:b/>
                <w:bCs/>
              </w:rPr>
              <w:t>2</w:t>
            </w:r>
            <w:r>
              <w:rPr>
                <w:b/>
                <w:bCs/>
              </w:rPr>
              <w:t>023</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55491A" w:rsidRPr="00E63650" w:rsidRDefault="0055491A" w:rsidP="00210BF6">
            <w:pPr>
              <w:jc w:val="center"/>
              <w:rPr>
                <w:b/>
                <w:bCs/>
              </w:rPr>
            </w:pPr>
            <w:r w:rsidRPr="00E63650">
              <w:rPr>
                <w:b/>
                <w:bCs/>
              </w:rPr>
              <w:t>202</w:t>
            </w:r>
            <w:r>
              <w:rPr>
                <w:b/>
                <w:bCs/>
              </w:rPr>
              <w:t>4</w:t>
            </w:r>
          </w:p>
        </w:tc>
      </w:tr>
      <w:tr w:rsidR="0055491A" w:rsidRPr="00B376AC" w:rsidTr="00210BF6">
        <w:trPr>
          <w:trHeight w:val="707"/>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55491A" w:rsidRPr="00B376AC" w:rsidRDefault="0055491A" w:rsidP="00210BF6">
            <w:pPr>
              <w:rPr>
                <w:b/>
                <w:bCs/>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5491A" w:rsidRPr="00E63650" w:rsidRDefault="0055491A" w:rsidP="00210BF6">
            <w:pPr>
              <w:rPr>
                <w:bCs/>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55491A" w:rsidRPr="00E63650" w:rsidRDefault="0055491A" w:rsidP="00210BF6">
            <w:pPr>
              <w:jc w:val="center"/>
              <w:rPr>
                <w:bCs/>
                <w:sz w:val="20"/>
                <w:szCs w:val="20"/>
              </w:rPr>
            </w:pPr>
            <w:r w:rsidRPr="00E63650">
              <w:rPr>
                <w:bCs/>
                <w:sz w:val="20"/>
                <w:szCs w:val="20"/>
              </w:rPr>
              <w:t>Количество, шт.</w:t>
            </w:r>
          </w:p>
        </w:tc>
        <w:tc>
          <w:tcPr>
            <w:tcW w:w="1134" w:type="dxa"/>
            <w:tcBorders>
              <w:top w:val="nil"/>
              <w:left w:val="nil"/>
              <w:bottom w:val="single" w:sz="4" w:space="0" w:color="auto"/>
              <w:right w:val="single" w:sz="4" w:space="0" w:color="auto"/>
            </w:tcBorders>
            <w:shd w:val="clear" w:color="auto" w:fill="auto"/>
            <w:vAlign w:val="center"/>
            <w:hideMark/>
          </w:tcPr>
          <w:p w:rsidR="0055491A" w:rsidRPr="00E63650" w:rsidRDefault="0055491A" w:rsidP="00210BF6">
            <w:pPr>
              <w:jc w:val="center"/>
              <w:rPr>
                <w:bCs/>
                <w:sz w:val="20"/>
                <w:szCs w:val="20"/>
              </w:rPr>
            </w:pPr>
            <w:r w:rsidRPr="00E63650">
              <w:rPr>
                <w:bCs/>
                <w:sz w:val="20"/>
                <w:szCs w:val="20"/>
              </w:rPr>
              <w:t>Сумма, тыс. руб.</w:t>
            </w:r>
          </w:p>
        </w:tc>
        <w:tc>
          <w:tcPr>
            <w:tcW w:w="1276" w:type="dxa"/>
            <w:tcBorders>
              <w:top w:val="nil"/>
              <w:left w:val="nil"/>
              <w:bottom w:val="single" w:sz="4" w:space="0" w:color="auto"/>
              <w:right w:val="single" w:sz="4" w:space="0" w:color="auto"/>
            </w:tcBorders>
            <w:shd w:val="clear" w:color="auto" w:fill="auto"/>
            <w:vAlign w:val="center"/>
            <w:hideMark/>
          </w:tcPr>
          <w:p w:rsidR="0055491A" w:rsidRPr="00E63650" w:rsidRDefault="0055491A" w:rsidP="00210BF6">
            <w:pPr>
              <w:jc w:val="center"/>
              <w:rPr>
                <w:bCs/>
                <w:sz w:val="20"/>
                <w:szCs w:val="20"/>
              </w:rPr>
            </w:pPr>
            <w:r w:rsidRPr="00E63650">
              <w:rPr>
                <w:bCs/>
                <w:sz w:val="20"/>
                <w:szCs w:val="20"/>
              </w:rPr>
              <w:t>Количество, шт.</w:t>
            </w:r>
          </w:p>
        </w:tc>
        <w:tc>
          <w:tcPr>
            <w:tcW w:w="992" w:type="dxa"/>
            <w:tcBorders>
              <w:top w:val="nil"/>
              <w:left w:val="nil"/>
              <w:bottom w:val="single" w:sz="4" w:space="0" w:color="auto"/>
              <w:right w:val="single" w:sz="4" w:space="0" w:color="auto"/>
            </w:tcBorders>
            <w:shd w:val="clear" w:color="auto" w:fill="auto"/>
            <w:vAlign w:val="center"/>
            <w:hideMark/>
          </w:tcPr>
          <w:p w:rsidR="0055491A" w:rsidRPr="00E63650" w:rsidRDefault="0055491A" w:rsidP="00210BF6">
            <w:pPr>
              <w:jc w:val="center"/>
              <w:rPr>
                <w:bCs/>
                <w:sz w:val="20"/>
                <w:szCs w:val="20"/>
              </w:rPr>
            </w:pPr>
            <w:r w:rsidRPr="00E63650">
              <w:rPr>
                <w:bCs/>
                <w:sz w:val="20"/>
                <w:szCs w:val="20"/>
              </w:rPr>
              <w:t>Сумма, тыс. руб.</w:t>
            </w:r>
          </w:p>
        </w:tc>
        <w:tc>
          <w:tcPr>
            <w:tcW w:w="1276" w:type="dxa"/>
            <w:tcBorders>
              <w:top w:val="nil"/>
              <w:left w:val="nil"/>
              <w:bottom w:val="single" w:sz="4" w:space="0" w:color="auto"/>
              <w:right w:val="single" w:sz="4" w:space="0" w:color="auto"/>
            </w:tcBorders>
            <w:shd w:val="clear" w:color="auto" w:fill="auto"/>
            <w:vAlign w:val="center"/>
            <w:hideMark/>
          </w:tcPr>
          <w:p w:rsidR="0055491A" w:rsidRPr="00E63650" w:rsidRDefault="0055491A" w:rsidP="00210BF6">
            <w:pPr>
              <w:jc w:val="center"/>
              <w:rPr>
                <w:bCs/>
                <w:sz w:val="20"/>
                <w:szCs w:val="20"/>
              </w:rPr>
            </w:pPr>
            <w:r w:rsidRPr="00E63650">
              <w:rPr>
                <w:bCs/>
                <w:sz w:val="20"/>
                <w:szCs w:val="20"/>
              </w:rPr>
              <w:t>Количество, шт</w:t>
            </w:r>
          </w:p>
        </w:tc>
        <w:tc>
          <w:tcPr>
            <w:tcW w:w="992" w:type="dxa"/>
            <w:tcBorders>
              <w:top w:val="nil"/>
              <w:left w:val="nil"/>
              <w:bottom w:val="single" w:sz="4" w:space="0" w:color="auto"/>
              <w:right w:val="single" w:sz="4" w:space="0" w:color="auto"/>
            </w:tcBorders>
            <w:shd w:val="clear" w:color="auto" w:fill="auto"/>
            <w:vAlign w:val="center"/>
            <w:hideMark/>
          </w:tcPr>
          <w:p w:rsidR="0055491A" w:rsidRPr="00E63650" w:rsidRDefault="0055491A" w:rsidP="00210BF6">
            <w:pPr>
              <w:jc w:val="center"/>
              <w:rPr>
                <w:bCs/>
                <w:sz w:val="20"/>
                <w:szCs w:val="20"/>
              </w:rPr>
            </w:pPr>
            <w:r w:rsidRPr="00E63650">
              <w:rPr>
                <w:bCs/>
                <w:sz w:val="20"/>
                <w:szCs w:val="20"/>
              </w:rPr>
              <w:t>Сумма, тыс. руб.</w:t>
            </w:r>
          </w:p>
        </w:tc>
      </w:tr>
      <w:tr w:rsidR="0055491A" w:rsidRPr="00B376AC" w:rsidTr="00210BF6">
        <w:trPr>
          <w:trHeight w:val="420"/>
        </w:trPr>
        <w:tc>
          <w:tcPr>
            <w:tcW w:w="1276" w:type="dxa"/>
            <w:vMerge w:val="restart"/>
            <w:tcBorders>
              <w:top w:val="nil"/>
              <w:left w:val="single" w:sz="4" w:space="0" w:color="auto"/>
              <w:right w:val="single" w:sz="4" w:space="0" w:color="auto"/>
            </w:tcBorders>
            <w:shd w:val="clear" w:color="auto" w:fill="auto"/>
            <w:vAlign w:val="center"/>
          </w:tcPr>
          <w:p w:rsidR="0055491A" w:rsidRPr="00E63650" w:rsidRDefault="0055491A" w:rsidP="00210BF6">
            <w:pPr>
              <w:jc w:val="center"/>
              <w:rPr>
                <w:bCs/>
                <w:sz w:val="20"/>
                <w:szCs w:val="20"/>
              </w:rPr>
            </w:pPr>
            <w:r w:rsidRPr="007207A4">
              <w:rPr>
                <w:bCs/>
                <w:sz w:val="20"/>
                <w:szCs w:val="20"/>
              </w:rPr>
              <w:t>ч.1 ст. 13.19.3</w:t>
            </w:r>
          </w:p>
          <w:p w:rsidR="0055491A" w:rsidRPr="007207A4" w:rsidRDefault="0055491A" w:rsidP="00210BF6">
            <w:pPr>
              <w:jc w:val="center"/>
              <w:rPr>
                <w:bCs/>
                <w:sz w:val="20"/>
                <w:szCs w:val="20"/>
              </w:rPr>
            </w:pPr>
          </w:p>
        </w:tc>
        <w:tc>
          <w:tcPr>
            <w:tcW w:w="992" w:type="dxa"/>
            <w:tcBorders>
              <w:top w:val="nil"/>
              <w:left w:val="nil"/>
              <w:bottom w:val="single" w:sz="4" w:space="0" w:color="auto"/>
              <w:right w:val="single" w:sz="4" w:space="0" w:color="auto"/>
            </w:tcBorders>
            <w:shd w:val="clear" w:color="auto" w:fill="auto"/>
            <w:vAlign w:val="center"/>
          </w:tcPr>
          <w:p w:rsidR="0055491A" w:rsidRPr="007207A4" w:rsidRDefault="0055491A" w:rsidP="00210BF6">
            <w:pPr>
              <w:jc w:val="center"/>
              <w:rPr>
                <w:sz w:val="20"/>
                <w:szCs w:val="20"/>
              </w:rPr>
            </w:pPr>
            <w:r>
              <w:rPr>
                <w:sz w:val="20"/>
                <w:szCs w:val="20"/>
              </w:rPr>
              <w:t>5</w:t>
            </w:r>
          </w:p>
        </w:tc>
        <w:tc>
          <w:tcPr>
            <w:tcW w:w="1276" w:type="dxa"/>
            <w:tcBorders>
              <w:top w:val="nil"/>
              <w:left w:val="nil"/>
              <w:bottom w:val="single" w:sz="4" w:space="0" w:color="auto"/>
              <w:right w:val="single" w:sz="4" w:space="0" w:color="auto"/>
            </w:tcBorders>
            <w:shd w:val="clear" w:color="auto" w:fill="auto"/>
            <w:vAlign w:val="center"/>
          </w:tcPr>
          <w:p w:rsidR="0055491A" w:rsidRPr="00160899" w:rsidRDefault="0055491A" w:rsidP="00210BF6">
            <w:pPr>
              <w:jc w:val="center"/>
              <w:rPr>
                <w:sz w:val="20"/>
                <w:szCs w:val="20"/>
              </w:rPr>
            </w:pPr>
            <w:r>
              <w:rPr>
                <w:sz w:val="20"/>
                <w:szCs w:val="20"/>
              </w:rPr>
              <w:t>1</w:t>
            </w:r>
          </w:p>
        </w:tc>
        <w:tc>
          <w:tcPr>
            <w:tcW w:w="1134" w:type="dxa"/>
            <w:tcBorders>
              <w:top w:val="nil"/>
              <w:left w:val="nil"/>
              <w:bottom w:val="single" w:sz="4" w:space="0" w:color="auto"/>
              <w:right w:val="single" w:sz="4" w:space="0" w:color="auto"/>
            </w:tcBorders>
            <w:shd w:val="clear" w:color="auto" w:fill="auto"/>
            <w:vAlign w:val="center"/>
          </w:tcPr>
          <w:p w:rsidR="0055491A" w:rsidRPr="00160899" w:rsidRDefault="0055491A" w:rsidP="00210BF6">
            <w:pPr>
              <w:jc w:val="center"/>
              <w:rPr>
                <w:sz w:val="20"/>
                <w:szCs w:val="20"/>
              </w:rPr>
            </w:pPr>
            <w:r>
              <w:rPr>
                <w:sz w:val="20"/>
                <w:szCs w:val="20"/>
              </w:rPr>
              <w:t>5,0</w:t>
            </w:r>
          </w:p>
        </w:tc>
        <w:tc>
          <w:tcPr>
            <w:tcW w:w="1276" w:type="dxa"/>
            <w:tcBorders>
              <w:top w:val="nil"/>
              <w:left w:val="nil"/>
              <w:bottom w:val="single" w:sz="4" w:space="0" w:color="auto"/>
              <w:right w:val="single" w:sz="4" w:space="0" w:color="auto"/>
            </w:tcBorders>
            <w:shd w:val="clear" w:color="auto" w:fill="auto"/>
            <w:vAlign w:val="center"/>
          </w:tcPr>
          <w:p w:rsidR="0055491A" w:rsidRPr="00160899" w:rsidRDefault="0055491A" w:rsidP="00210BF6">
            <w:pPr>
              <w:jc w:val="center"/>
              <w:rPr>
                <w:sz w:val="20"/>
                <w:szCs w:val="20"/>
              </w:rPr>
            </w:pPr>
            <w:r>
              <w:rPr>
                <w:sz w:val="20"/>
                <w:szCs w:val="20"/>
              </w:rPr>
              <w:t>1</w:t>
            </w:r>
          </w:p>
        </w:tc>
        <w:tc>
          <w:tcPr>
            <w:tcW w:w="992" w:type="dxa"/>
            <w:tcBorders>
              <w:top w:val="nil"/>
              <w:left w:val="nil"/>
              <w:bottom w:val="single" w:sz="4" w:space="0" w:color="auto"/>
              <w:right w:val="single" w:sz="4" w:space="0" w:color="auto"/>
            </w:tcBorders>
            <w:shd w:val="clear" w:color="auto" w:fill="auto"/>
            <w:vAlign w:val="center"/>
          </w:tcPr>
          <w:p w:rsidR="0055491A" w:rsidRPr="00160899" w:rsidRDefault="0055491A" w:rsidP="00210BF6">
            <w:pPr>
              <w:jc w:val="center"/>
              <w:rPr>
                <w:sz w:val="20"/>
                <w:szCs w:val="20"/>
              </w:rPr>
            </w:pPr>
            <w:r>
              <w:rPr>
                <w:sz w:val="20"/>
                <w:szCs w:val="20"/>
              </w:rPr>
              <w:t>5,0</w:t>
            </w:r>
          </w:p>
        </w:tc>
        <w:tc>
          <w:tcPr>
            <w:tcW w:w="1276" w:type="dxa"/>
            <w:tcBorders>
              <w:top w:val="nil"/>
              <w:left w:val="nil"/>
              <w:bottom w:val="single" w:sz="4" w:space="0" w:color="auto"/>
              <w:right w:val="single" w:sz="4" w:space="0" w:color="auto"/>
            </w:tcBorders>
            <w:shd w:val="clear" w:color="auto" w:fill="auto"/>
            <w:vAlign w:val="center"/>
          </w:tcPr>
          <w:p w:rsidR="0055491A" w:rsidRPr="00160899" w:rsidRDefault="0055491A" w:rsidP="00210BF6">
            <w:pPr>
              <w:jc w:val="center"/>
              <w:rPr>
                <w:sz w:val="20"/>
                <w:szCs w:val="20"/>
              </w:rPr>
            </w:pPr>
            <w:r>
              <w:rPr>
                <w:sz w:val="20"/>
                <w:szCs w:val="20"/>
              </w:rPr>
              <w:t>1</w:t>
            </w:r>
          </w:p>
        </w:tc>
        <w:tc>
          <w:tcPr>
            <w:tcW w:w="992" w:type="dxa"/>
            <w:tcBorders>
              <w:top w:val="nil"/>
              <w:left w:val="nil"/>
              <w:bottom w:val="single" w:sz="4" w:space="0" w:color="auto"/>
              <w:right w:val="single" w:sz="4" w:space="0" w:color="auto"/>
            </w:tcBorders>
            <w:shd w:val="clear" w:color="auto" w:fill="auto"/>
            <w:vAlign w:val="center"/>
          </w:tcPr>
          <w:p w:rsidR="0055491A" w:rsidRPr="00160899" w:rsidRDefault="0055491A" w:rsidP="00210BF6">
            <w:pPr>
              <w:jc w:val="center"/>
              <w:rPr>
                <w:sz w:val="20"/>
                <w:szCs w:val="20"/>
              </w:rPr>
            </w:pPr>
            <w:r>
              <w:rPr>
                <w:sz w:val="20"/>
                <w:szCs w:val="20"/>
              </w:rPr>
              <w:t>5,0</w:t>
            </w:r>
          </w:p>
        </w:tc>
      </w:tr>
      <w:tr w:rsidR="0055491A" w:rsidRPr="00B376AC" w:rsidTr="00210BF6">
        <w:trPr>
          <w:trHeight w:val="420"/>
        </w:trPr>
        <w:tc>
          <w:tcPr>
            <w:tcW w:w="1276" w:type="dxa"/>
            <w:vMerge/>
            <w:tcBorders>
              <w:left w:val="single" w:sz="4" w:space="0" w:color="auto"/>
              <w:right w:val="single" w:sz="4" w:space="0" w:color="auto"/>
            </w:tcBorders>
            <w:shd w:val="clear" w:color="auto" w:fill="auto"/>
            <w:vAlign w:val="center"/>
            <w:hideMark/>
          </w:tcPr>
          <w:p w:rsidR="0055491A" w:rsidRPr="00E63650" w:rsidRDefault="0055491A" w:rsidP="00210BF6">
            <w:pPr>
              <w:jc w:val="center"/>
              <w:rPr>
                <w:bCs/>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55491A" w:rsidRPr="007207A4" w:rsidRDefault="0055491A" w:rsidP="00210BF6">
            <w:pPr>
              <w:jc w:val="center"/>
              <w:rPr>
                <w:sz w:val="20"/>
                <w:szCs w:val="20"/>
              </w:rPr>
            </w:pPr>
            <w:r w:rsidRPr="007207A4">
              <w:rPr>
                <w:sz w:val="20"/>
                <w:szCs w:val="20"/>
              </w:rPr>
              <w:t>15</w:t>
            </w:r>
          </w:p>
        </w:tc>
        <w:tc>
          <w:tcPr>
            <w:tcW w:w="1276" w:type="dxa"/>
            <w:tcBorders>
              <w:top w:val="nil"/>
              <w:left w:val="nil"/>
              <w:bottom w:val="single" w:sz="4" w:space="0" w:color="auto"/>
              <w:right w:val="single" w:sz="4" w:space="0" w:color="auto"/>
            </w:tcBorders>
            <w:shd w:val="clear" w:color="auto" w:fill="auto"/>
            <w:vAlign w:val="center"/>
            <w:hideMark/>
          </w:tcPr>
          <w:p w:rsidR="0055491A" w:rsidRPr="00160899" w:rsidRDefault="0055491A" w:rsidP="00210BF6">
            <w:pPr>
              <w:jc w:val="center"/>
              <w:rPr>
                <w:sz w:val="20"/>
                <w:szCs w:val="20"/>
              </w:rPr>
            </w:pPr>
            <w:r>
              <w:rPr>
                <w:sz w:val="20"/>
                <w:szCs w:val="20"/>
              </w:rPr>
              <w:t>4</w:t>
            </w:r>
          </w:p>
        </w:tc>
        <w:tc>
          <w:tcPr>
            <w:tcW w:w="1134" w:type="dxa"/>
            <w:tcBorders>
              <w:top w:val="nil"/>
              <w:left w:val="nil"/>
              <w:bottom w:val="single" w:sz="4" w:space="0" w:color="auto"/>
              <w:right w:val="single" w:sz="4" w:space="0" w:color="auto"/>
            </w:tcBorders>
            <w:shd w:val="clear" w:color="auto" w:fill="auto"/>
            <w:vAlign w:val="center"/>
            <w:hideMark/>
          </w:tcPr>
          <w:p w:rsidR="0055491A" w:rsidRPr="00160899" w:rsidRDefault="0055491A" w:rsidP="00210BF6">
            <w:pPr>
              <w:jc w:val="center"/>
              <w:rPr>
                <w:sz w:val="20"/>
                <w:szCs w:val="20"/>
              </w:rPr>
            </w:pPr>
            <w:r>
              <w:rPr>
                <w:sz w:val="20"/>
                <w:szCs w:val="20"/>
              </w:rPr>
              <w:t>6</w:t>
            </w:r>
            <w:r w:rsidRPr="00160899">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55491A" w:rsidRPr="00160899" w:rsidRDefault="0055491A" w:rsidP="00210BF6">
            <w:pPr>
              <w:jc w:val="center"/>
              <w:rPr>
                <w:sz w:val="20"/>
                <w:szCs w:val="20"/>
              </w:rPr>
            </w:pPr>
            <w:r>
              <w:rPr>
                <w:sz w:val="20"/>
                <w:szCs w:val="20"/>
              </w:rPr>
              <w:t>4</w:t>
            </w:r>
          </w:p>
        </w:tc>
        <w:tc>
          <w:tcPr>
            <w:tcW w:w="992" w:type="dxa"/>
            <w:tcBorders>
              <w:top w:val="nil"/>
              <w:left w:val="nil"/>
              <w:bottom w:val="single" w:sz="4" w:space="0" w:color="auto"/>
              <w:right w:val="single" w:sz="4" w:space="0" w:color="auto"/>
            </w:tcBorders>
            <w:shd w:val="clear" w:color="auto" w:fill="auto"/>
            <w:vAlign w:val="center"/>
            <w:hideMark/>
          </w:tcPr>
          <w:p w:rsidR="0055491A" w:rsidRPr="00160899" w:rsidRDefault="0055491A" w:rsidP="00210BF6">
            <w:pPr>
              <w:jc w:val="center"/>
              <w:rPr>
                <w:sz w:val="20"/>
                <w:szCs w:val="20"/>
              </w:rPr>
            </w:pPr>
            <w:r>
              <w:rPr>
                <w:sz w:val="20"/>
                <w:szCs w:val="20"/>
              </w:rPr>
              <w:t>6</w:t>
            </w:r>
            <w:r w:rsidRPr="00160899">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55491A" w:rsidRPr="00160899" w:rsidRDefault="0055491A" w:rsidP="00210BF6">
            <w:pPr>
              <w:jc w:val="center"/>
              <w:rPr>
                <w:sz w:val="20"/>
                <w:szCs w:val="20"/>
              </w:rPr>
            </w:pPr>
            <w:r>
              <w:rPr>
                <w:sz w:val="20"/>
                <w:szCs w:val="20"/>
              </w:rPr>
              <w:t>4</w:t>
            </w:r>
          </w:p>
        </w:tc>
        <w:tc>
          <w:tcPr>
            <w:tcW w:w="992" w:type="dxa"/>
            <w:tcBorders>
              <w:top w:val="nil"/>
              <w:left w:val="nil"/>
              <w:bottom w:val="single" w:sz="4" w:space="0" w:color="auto"/>
              <w:right w:val="single" w:sz="4" w:space="0" w:color="auto"/>
            </w:tcBorders>
            <w:shd w:val="clear" w:color="auto" w:fill="auto"/>
            <w:vAlign w:val="center"/>
            <w:hideMark/>
          </w:tcPr>
          <w:p w:rsidR="0055491A" w:rsidRPr="00160899" w:rsidRDefault="0055491A" w:rsidP="00210BF6">
            <w:pPr>
              <w:jc w:val="center"/>
              <w:rPr>
                <w:sz w:val="20"/>
                <w:szCs w:val="20"/>
              </w:rPr>
            </w:pPr>
            <w:r>
              <w:rPr>
                <w:sz w:val="20"/>
                <w:szCs w:val="20"/>
              </w:rPr>
              <w:t>6</w:t>
            </w:r>
            <w:r w:rsidRPr="00160899">
              <w:rPr>
                <w:sz w:val="20"/>
                <w:szCs w:val="20"/>
              </w:rPr>
              <w:t>0,0</w:t>
            </w:r>
          </w:p>
        </w:tc>
      </w:tr>
      <w:tr w:rsidR="0055491A" w:rsidRPr="00B376AC" w:rsidTr="00210BF6">
        <w:trPr>
          <w:trHeight w:val="420"/>
        </w:trPr>
        <w:tc>
          <w:tcPr>
            <w:tcW w:w="1276" w:type="dxa"/>
            <w:vMerge/>
            <w:tcBorders>
              <w:left w:val="single" w:sz="4" w:space="0" w:color="auto"/>
              <w:right w:val="single" w:sz="4" w:space="0" w:color="auto"/>
            </w:tcBorders>
            <w:shd w:val="clear" w:color="auto" w:fill="auto"/>
            <w:vAlign w:val="center"/>
            <w:hideMark/>
          </w:tcPr>
          <w:p w:rsidR="0055491A" w:rsidRPr="00E63650" w:rsidRDefault="0055491A" w:rsidP="00210BF6">
            <w:pPr>
              <w:jc w:val="center"/>
              <w:rPr>
                <w:bCs/>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55491A" w:rsidRPr="007207A4" w:rsidRDefault="0055491A" w:rsidP="00210BF6">
            <w:pPr>
              <w:jc w:val="center"/>
              <w:rPr>
                <w:sz w:val="20"/>
                <w:szCs w:val="20"/>
              </w:rPr>
            </w:pPr>
            <w:r w:rsidRPr="007207A4">
              <w:rPr>
                <w:sz w:val="20"/>
                <w:szCs w:val="20"/>
              </w:rPr>
              <w:t>20</w:t>
            </w:r>
          </w:p>
        </w:tc>
        <w:tc>
          <w:tcPr>
            <w:tcW w:w="1276" w:type="dxa"/>
            <w:tcBorders>
              <w:top w:val="nil"/>
              <w:left w:val="nil"/>
              <w:bottom w:val="single" w:sz="4" w:space="0" w:color="auto"/>
              <w:right w:val="single" w:sz="4" w:space="0" w:color="auto"/>
            </w:tcBorders>
            <w:shd w:val="clear" w:color="auto" w:fill="auto"/>
            <w:vAlign w:val="center"/>
            <w:hideMark/>
          </w:tcPr>
          <w:p w:rsidR="0055491A" w:rsidRPr="007207A4" w:rsidRDefault="0055491A" w:rsidP="00210BF6">
            <w:pPr>
              <w:jc w:val="center"/>
              <w:rPr>
                <w:sz w:val="20"/>
                <w:szCs w:val="20"/>
              </w:rPr>
            </w:pPr>
            <w:r>
              <w:rPr>
                <w:sz w:val="20"/>
                <w:szCs w:val="20"/>
              </w:rPr>
              <w:t>2</w:t>
            </w:r>
          </w:p>
        </w:tc>
        <w:tc>
          <w:tcPr>
            <w:tcW w:w="1134" w:type="dxa"/>
            <w:tcBorders>
              <w:top w:val="nil"/>
              <w:left w:val="nil"/>
              <w:bottom w:val="single" w:sz="4" w:space="0" w:color="auto"/>
              <w:right w:val="single" w:sz="4" w:space="0" w:color="auto"/>
            </w:tcBorders>
            <w:shd w:val="clear" w:color="auto" w:fill="auto"/>
            <w:vAlign w:val="center"/>
            <w:hideMark/>
          </w:tcPr>
          <w:p w:rsidR="0055491A" w:rsidRPr="007207A4" w:rsidRDefault="0055491A" w:rsidP="00210BF6">
            <w:pPr>
              <w:jc w:val="center"/>
              <w:rPr>
                <w:sz w:val="20"/>
                <w:szCs w:val="20"/>
              </w:rPr>
            </w:pPr>
            <w:r>
              <w:rPr>
                <w:sz w:val="20"/>
                <w:szCs w:val="20"/>
              </w:rPr>
              <w:t>4</w:t>
            </w:r>
            <w:r w:rsidRPr="007207A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55491A" w:rsidRPr="007207A4" w:rsidRDefault="0055491A" w:rsidP="00210BF6">
            <w:pPr>
              <w:jc w:val="center"/>
              <w:rPr>
                <w:sz w:val="20"/>
                <w:szCs w:val="20"/>
              </w:rPr>
            </w:pPr>
            <w:r>
              <w:rPr>
                <w:sz w:val="20"/>
                <w:szCs w:val="20"/>
              </w:rPr>
              <w:t>2</w:t>
            </w:r>
          </w:p>
        </w:tc>
        <w:tc>
          <w:tcPr>
            <w:tcW w:w="992" w:type="dxa"/>
            <w:tcBorders>
              <w:top w:val="nil"/>
              <w:left w:val="nil"/>
              <w:bottom w:val="single" w:sz="4" w:space="0" w:color="auto"/>
              <w:right w:val="single" w:sz="4" w:space="0" w:color="auto"/>
            </w:tcBorders>
            <w:shd w:val="clear" w:color="auto" w:fill="auto"/>
            <w:vAlign w:val="center"/>
            <w:hideMark/>
          </w:tcPr>
          <w:p w:rsidR="0055491A" w:rsidRPr="007207A4" w:rsidRDefault="0055491A" w:rsidP="00210BF6">
            <w:pPr>
              <w:jc w:val="center"/>
              <w:rPr>
                <w:sz w:val="20"/>
                <w:szCs w:val="20"/>
              </w:rPr>
            </w:pPr>
            <w:r>
              <w:rPr>
                <w:sz w:val="20"/>
                <w:szCs w:val="20"/>
              </w:rPr>
              <w:t>4</w:t>
            </w:r>
            <w:r w:rsidRPr="007207A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55491A" w:rsidRPr="007207A4" w:rsidRDefault="0055491A" w:rsidP="00210BF6">
            <w:pPr>
              <w:jc w:val="center"/>
              <w:rPr>
                <w:sz w:val="20"/>
                <w:szCs w:val="20"/>
              </w:rPr>
            </w:pPr>
            <w:r>
              <w:rPr>
                <w:sz w:val="20"/>
                <w:szCs w:val="20"/>
              </w:rPr>
              <w:t>2</w:t>
            </w:r>
          </w:p>
        </w:tc>
        <w:tc>
          <w:tcPr>
            <w:tcW w:w="992" w:type="dxa"/>
            <w:tcBorders>
              <w:top w:val="nil"/>
              <w:left w:val="nil"/>
              <w:bottom w:val="single" w:sz="4" w:space="0" w:color="auto"/>
              <w:right w:val="single" w:sz="4" w:space="0" w:color="auto"/>
            </w:tcBorders>
            <w:shd w:val="clear" w:color="auto" w:fill="auto"/>
            <w:vAlign w:val="center"/>
            <w:hideMark/>
          </w:tcPr>
          <w:p w:rsidR="0055491A" w:rsidRPr="007207A4" w:rsidRDefault="0055491A" w:rsidP="00210BF6">
            <w:pPr>
              <w:jc w:val="center"/>
              <w:rPr>
                <w:sz w:val="20"/>
                <w:szCs w:val="20"/>
              </w:rPr>
            </w:pPr>
            <w:r>
              <w:rPr>
                <w:sz w:val="20"/>
                <w:szCs w:val="20"/>
              </w:rPr>
              <w:t>4</w:t>
            </w:r>
            <w:r w:rsidRPr="007207A4">
              <w:rPr>
                <w:sz w:val="20"/>
                <w:szCs w:val="20"/>
              </w:rPr>
              <w:t>0,0</w:t>
            </w:r>
          </w:p>
        </w:tc>
      </w:tr>
      <w:tr w:rsidR="0055491A" w:rsidRPr="00B376AC" w:rsidTr="00210BF6">
        <w:trPr>
          <w:trHeight w:val="420"/>
        </w:trPr>
        <w:tc>
          <w:tcPr>
            <w:tcW w:w="1276" w:type="dxa"/>
            <w:vMerge/>
            <w:tcBorders>
              <w:left w:val="single" w:sz="4" w:space="0" w:color="auto"/>
              <w:right w:val="single" w:sz="4" w:space="0" w:color="auto"/>
            </w:tcBorders>
            <w:shd w:val="clear" w:color="auto" w:fill="auto"/>
            <w:vAlign w:val="center"/>
            <w:hideMark/>
          </w:tcPr>
          <w:p w:rsidR="0055491A" w:rsidRPr="00E63650" w:rsidRDefault="0055491A" w:rsidP="00210BF6">
            <w:pPr>
              <w:jc w:val="center"/>
              <w:rPr>
                <w:bCs/>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55491A" w:rsidRPr="007207A4" w:rsidRDefault="0055491A" w:rsidP="00210BF6">
            <w:pPr>
              <w:jc w:val="center"/>
              <w:rPr>
                <w:sz w:val="20"/>
                <w:szCs w:val="20"/>
              </w:rPr>
            </w:pPr>
            <w:r w:rsidRPr="007207A4">
              <w:rPr>
                <w:sz w:val="20"/>
                <w:szCs w:val="20"/>
              </w:rPr>
              <w:t>50</w:t>
            </w:r>
          </w:p>
        </w:tc>
        <w:tc>
          <w:tcPr>
            <w:tcW w:w="1276" w:type="dxa"/>
            <w:tcBorders>
              <w:top w:val="nil"/>
              <w:left w:val="nil"/>
              <w:bottom w:val="single" w:sz="4" w:space="0" w:color="auto"/>
              <w:right w:val="single" w:sz="4" w:space="0" w:color="auto"/>
            </w:tcBorders>
            <w:shd w:val="clear" w:color="auto" w:fill="auto"/>
            <w:vAlign w:val="center"/>
            <w:hideMark/>
          </w:tcPr>
          <w:p w:rsidR="0055491A" w:rsidRPr="007207A4" w:rsidRDefault="0055491A" w:rsidP="00210BF6">
            <w:pPr>
              <w:jc w:val="center"/>
              <w:rPr>
                <w:sz w:val="20"/>
                <w:szCs w:val="20"/>
              </w:rPr>
            </w:pPr>
            <w:r w:rsidRPr="007207A4">
              <w:rPr>
                <w:sz w:val="20"/>
                <w:szCs w:val="20"/>
              </w:rPr>
              <w:t>4</w:t>
            </w:r>
          </w:p>
        </w:tc>
        <w:tc>
          <w:tcPr>
            <w:tcW w:w="1134" w:type="dxa"/>
            <w:tcBorders>
              <w:top w:val="nil"/>
              <w:left w:val="nil"/>
              <w:bottom w:val="single" w:sz="4" w:space="0" w:color="auto"/>
              <w:right w:val="single" w:sz="4" w:space="0" w:color="auto"/>
            </w:tcBorders>
            <w:shd w:val="clear" w:color="auto" w:fill="auto"/>
            <w:vAlign w:val="center"/>
            <w:hideMark/>
          </w:tcPr>
          <w:p w:rsidR="0055491A" w:rsidRPr="007207A4" w:rsidRDefault="0055491A" w:rsidP="00210BF6">
            <w:pPr>
              <w:jc w:val="center"/>
              <w:rPr>
                <w:sz w:val="20"/>
                <w:szCs w:val="20"/>
              </w:rPr>
            </w:pPr>
            <w:r w:rsidRPr="007207A4">
              <w:rPr>
                <w:sz w:val="20"/>
                <w:szCs w:val="20"/>
              </w:rPr>
              <w:t>200,0</w:t>
            </w:r>
          </w:p>
        </w:tc>
        <w:tc>
          <w:tcPr>
            <w:tcW w:w="1276" w:type="dxa"/>
            <w:tcBorders>
              <w:top w:val="nil"/>
              <w:left w:val="nil"/>
              <w:bottom w:val="single" w:sz="4" w:space="0" w:color="auto"/>
              <w:right w:val="single" w:sz="4" w:space="0" w:color="auto"/>
            </w:tcBorders>
            <w:shd w:val="clear" w:color="auto" w:fill="auto"/>
            <w:vAlign w:val="center"/>
            <w:hideMark/>
          </w:tcPr>
          <w:p w:rsidR="0055491A" w:rsidRPr="007207A4" w:rsidRDefault="0055491A" w:rsidP="00210BF6">
            <w:pPr>
              <w:jc w:val="center"/>
              <w:rPr>
                <w:sz w:val="20"/>
                <w:szCs w:val="20"/>
              </w:rPr>
            </w:pPr>
            <w:r w:rsidRPr="007207A4">
              <w:rPr>
                <w:sz w:val="20"/>
                <w:szCs w:val="20"/>
              </w:rPr>
              <w:t>5</w:t>
            </w:r>
          </w:p>
        </w:tc>
        <w:tc>
          <w:tcPr>
            <w:tcW w:w="992" w:type="dxa"/>
            <w:tcBorders>
              <w:top w:val="nil"/>
              <w:left w:val="nil"/>
              <w:bottom w:val="single" w:sz="4" w:space="0" w:color="auto"/>
              <w:right w:val="single" w:sz="4" w:space="0" w:color="auto"/>
            </w:tcBorders>
            <w:shd w:val="clear" w:color="auto" w:fill="auto"/>
            <w:vAlign w:val="center"/>
            <w:hideMark/>
          </w:tcPr>
          <w:p w:rsidR="0055491A" w:rsidRPr="007207A4" w:rsidRDefault="0055491A" w:rsidP="00210BF6">
            <w:pPr>
              <w:jc w:val="center"/>
              <w:rPr>
                <w:sz w:val="20"/>
                <w:szCs w:val="20"/>
              </w:rPr>
            </w:pPr>
            <w:r>
              <w:rPr>
                <w:sz w:val="20"/>
                <w:szCs w:val="20"/>
              </w:rPr>
              <w:t>1</w:t>
            </w:r>
            <w:r w:rsidRPr="007207A4">
              <w:rPr>
                <w:sz w:val="20"/>
                <w:szCs w:val="20"/>
              </w:rPr>
              <w:t>50,0</w:t>
            </w:r>
          </w:p>
        </w:tc>
        <w:tc>
          <w:tcPr>
            <w:tcW w:w="1276" w:type="dxa"/>
            <w:tcBorders>
              <w:top w:val="nil"/>
              <w:left w:val="nil"/>
              <w:bottom w:val="single" w:sz="4" w:space="0" w:color="auto"/>
              <w:right w:val="single" w:sz="4" w:space="0" w:color="auto"/>
            </w:tcBorders>
            <w:shd w:val="clear" w:color="auto" w:fill="auto"/>
            <w:vAlign w:val="center"/>
            <w:hideMark/>
          </w:tcPr>
          <w:p w:rsidR="0055491A" w:rsidRPr="007207A4" w:rsidRDefault="0055491A" w:rsidP="00210BF6">
            <w:pPr>
              <w:jc w:val="center"/>
              <w:rPr>
                <w:sz w:val="20"/>
                <w:szCs w:val="20"/>
              </w:rPr>
            </w:pPr>
            <w:r>
              <w:rPr>
                <w:sz w:val="20"/>
                <w:szCs w:val="20"/>
              </w:rPr>
              <w:t>3</w:t>
            </w:r>
          </w:p>
        </w:tc>
        <w:tc>
          <w:tcPr>
            <w:tcW w:w="992" w:type="dxa"/>
            <w:tcBorders>
              <w:top w:val="nil"/>
              <w:left w:val="nil"/>
              <w:bottom w:val="single" w:sz="4" w:space="0" w:color="auto"/>
              <w:right w:val="single" w:sz="4" w:space="0" w:color="auto"/>
            </w:tcBorders>
            <w:shd w:val="clear" w:color="auto" w:fill="auto"/>
            <w:vAlign w:val="center"/>
            <w:hideMark/>
          </w:tcPr>
          <w:p w:rsidR="0055491A" w:rsidRPr="007207A4" w:rsidRDefault="0055491A" w:rsidP="00210BF6">
            <w:pPr>
              <w:jc w:val="center"/>
              <w:rPr>
                <w:sz w:val="20"/>
                <w:szCs w:val="20"/>
              </w:rPr>
            </w:pPr>
            <w:r>
              <w:rPr>
                <w:sz w:val="20"/>
                <w:szCs w:val="20"/>
              </w:rPr>
              <w:t>15</w:t>
            </w:r>
            <w:r w:rsidRPr="007207A4">
              <w:rPr>
                <w:sz w:val="20"/>
                <w:szCs w:val="20"/>
              </w:rPr>
              <w:t>0,0</w:t>
            </w:r>
          </w:p>
        </w:tc>
      </w:tr>
      <w:tr w:rsidR="0055491A" w:rsidRPr="00B376AC" w:rsidTr="00210BF6">
        <w:trPr>
          <w:trHeight w:val="420"/>
        </w:trPr>
        <w:tc>
          <w:tcPr>
            <w:tcW w:w="1276" w:type="dxa"/>
            <w:vMerge/>
            <w:tcBorders>
              <w:left w:val="single" w:sz="4" w:space="0" w:color="auto"/>
              <w:right w:val="single" w:sz="4" w:space="0" w:color="auto"/>
            </w:tcBorders>
            <w:shd w:val="clear" w:color="auto" w:fill="auto"/>
            <w:vAlign w:val="center"/>
          </w:tcPr>
          <w:p w:rsidR="0055491A" w:rsidRPr="00E63650" w:rsidRDefault="0055491A" w:rsidP="00210BF6">
            <w:pPr>
              <w:jc w:val="center"/>
              <w:rPr>
                <w:bCs/>
                <w:sz w:val="20"/>
                <w:szCs w:val="20"/>
              </w:rPr>
            </w:pPr>
          </w:p>
        </w:tc>
        <w:tc>
          <w:tcPr>
            <w:tcW w:w="992" w:type="dxa"/>
            <w:tcBorders>
              <w:top w:val="nil"/>
              <w:left w:val="nil"/>
              <w:bottom w:val="single" w:sz="4" w:space="0" w:color="auto"/>
              <w:right w:val="single" w:sz="4" w:space="0" w:color="auto"/>
            </w:tcBorders>
            <w:shd w:val="clear" w:color="auto" w:fill="auto"/>
            <w:vAlign w:val="center"/>
          </w:tcPr>
          <w:p w:rsidR="0055491A" w:rsidRPr="007207A4" w:rsidRDefault="0055491A" w:rsidP="00210BF6">
            <w:pPr>
              <w:jc w:val="center"/>
              <w:rPr>
                <w:sz w:val="20"/>
                <w:szCs w:val="20"/>
              </w:rPr>
            </w:pPr>
            <w:r>
              <w:rPr>
                <w:sz w:val="20"/>
                <w:szCs w:val="20"/>
              </w:rPr>
              <w:t>51</w:t>
            </w:r>
          </w:p>
        </w:tc>
        <w:tc>
          <w:tcPr>
            <w:tcW w:w="1276" w:type="dxa"/>
            <w:tcBorders>
              <w:top w:val="nil"/>
              <w:left w:val="nil"/>
              <w:bottom w:val="single" w:sz="4" w:space="0" w:color="auto"/>
              <w:right w:val="single" w:sz="4" w:space="0" w:color="auto"/>
            </w:tcBorders>
            <w:shd w:val="clear" w:color="auto" w:fill="auto"/>
            <w:vAlign w:val="center"/>
          </w:tcPr>
          <w:p w:rsidR="0055491A" w:rsidRPr="007207A4" w:rsidRDefault="0055491A" w:rsidP="00210BF6">
            <w:pPr>
              <w:jc w:val="center"/>
              <w:rPr>
                <w:sz w:val="20"/>
                <w:szCs w:val="20"/>
              </w:rPr>
            </w:pPr>
            <w:r>
              <w:rPr>
                <w:sz w:val="20"/>
                <w:szCs w:val="20"/>
              </w:rPr>
              <w:t>2</w:t>
            </w:r>
          </w:p>
        </w:tc>
        <w:tc>
          <w:tcPr>
            <w:tcW w:w="1134" w:type="dxa"/>
            <w:tcBorders>
              <w:top w:val="nil"/>
              <w:left w:val="nil"/>
              <w:bottom w:val="single" w:sz="4" w:space="0" w:color="auto"/>
              <w:right w:val="single" w:sz="4" w:space="0" w:color="auto"/>
            </w:tcBorders>
            <w:shd w:val="clear" w:color="auto" w:fill="auto"/>
            <w:vAlign w:val="center"/>
          </w:tcPr>
          <w:p w:rsidR="0055491A" w:rsidRPr="007207A4" w:rsidRDefault="0055491A" w:rsidP="00210BF6">
            <w:pPr>
              <w:jc w:val="center"/>
              <w:rPr>
                <w:sz w:val="20"/>
                <w:szCs w:val="20"/>
              </w:rPr>
            </w:pPr>
            <w:r>
              <w:rPr>
                <w:sz w:val="20"/>
                <w:szCs w:val="20"/>
              </w:rPr>
              <w:t>102,0</w:t>
            </w:r>
          </w:p>
        </w:tc>
        <w:tc>
          <w:tcPr>
            <w:tcW w:w="1276" w:type="dxa"/>
            <w:tcBorders>
              <w:top w:val="nil"/>
              <w:left w:val="nil"/>
              <w:bottom w:val="single" w:sz="4" w:space="0" w:color="auto"/>
              <w:right w:val="single" w:sz="4" w:space="0" w:color="auto"/>
            </w:tcBorders>
            <w:shd w:val="clear" w:color="auto" w:fill="auto"/>
            <w:vAlign w:val="center"/>
          </w:tcPr>
          <w:p w:rsidR="0055491A" w:rsidRPr="007207A4" w:rsidRDefault="0055491A" w:rsidP="00210BF6">
            <w:pPr>
              <w:jc w:val="center"/>
              <w:rPr>
                <w:sz w:val="20"/>
                <w:szCs w:val="20"/>
              </w:rPr>
            </w:pPr>
            <w:r>
              <w:rPr>
                <w:sz w:val="20"/>
                <w:szCs w:val="20"/>
              </w:rPr>
              <w:t>2</w:t>
            </w:r>
          </w:p>
        </w:tc>
        <w:tc>
          <w:tcPr>
            <w:tcW w:w="992" w:type="dxa"/>
            <w:tcBorders>
              <w:top w:val="nil"/>
              <w:left w:val="nil"/>
              <w:bottom w:val="single" w:sz="4" w:space="0" w:color="auto"/>
              <w:right w:val="single" w:sz="4" w:space="0" w:color="auto"/>
            </w:tcBorders>
            <w:shd w:val="clear" w:color="auto" w:fill="auto"/>
            <w:vAlign w:val="center"/>
          </w:tcPr>
          <w:p w:rsidR="0055491A" w:rsidRDefault="0055491A" w:rsidP="00210BF6">
            <w:pPr>
              <w:jc w:val="center"/>
              <w:rPr>
                <w:sz w:val="20"/>
                <w:szCs w:val="20"/>
              </w:rPr>
            </w:pPr>
            <w:r>
              <w:rPr>
                <w:sz w:val="20"/>
                <w:szCs w:val="20"/>
              </w:rPr>
              <w:t>102,0</w:t>
            </w:r>
          </w:p>
        </w:tc>
        <w:tc>
          <w:tcPr>
            <w:tcW w:w="1276" w:type="dxa"/>
            <w:tcBorders>
              <w:top w:val="nil"/>
              <w:left w:val="nil"/>
              <w:bottom w:val="single" w:sz="4" w:space="0" w:color="auto"/>
              <w:right w:val="single" w:sz="4" w:space="0" w:color="auto"/>
            </w:tcBorders>
            <w:shd w:val="clear" w:color="auto" w:fill="auto"/>
            <w:vAlign w:val="center"/>
          </w:tcPr>
          <w:p w:rsidR="0055491A" w:rsidRDefault="0055491A" w:rsidP="00210BF6">
            <w:pPr>
              <w:jc w:val="center"/>
              <w:rPr>
                <w:sz w:val="20"/>
                <w:szCs w:val="20"/>
              </w:rPr>
            </w:pPr>
            <w:r>
              <w:rPr>
                <w:sz w:val="20"/>
                <w:szCs w:val="20"/>
              </w:rPr>
              <w:t>2</w:t>
            </w:r>
          </w:p>
        </w:tc>
        <w:tc>
          <w:tcPr>
            <w:tcW w:w="992" w:type="dxa"/>
            <w:tcBorders>
              <w:top w:val="nil"/>
              <w:left w:val="nil"/>
              <w:bottom w:val="single" w:sz="4" w:space="0" w:color="auto"/>
              <w:right w:val="single" w:sz="4" w:space="0" w:color="auto"/>
            </w:tcBorders>
            <w:shd w:val="clear" w:color="auto" w:fill="auto"/>
            <w:vAlign w:val="center"/>
          </w:tcPr>
          <w:p w:rsidR="0055491A" w:rsidRDefault="0055491A" w:rsidP="00210BF6">
            <w:pPr>
              <w:jc w:val="center"/>
              <w:rPr>
                <w:sz w:val="20"/>
                <w:szCs w:val="20"/>
              </w:rPr>
            </w:pPr>
            <w:r>
              <w:rPr>
                <w:sz w:val="20"/>
                <w:szCs w:val="20"/>
              </w:rPr>
              <w:t>102,0</w:t>
            </w:r>
          </w:p>
        </w:tc>
      </w:tr>
      <w:tr w:rsidR="0055491A" w:rsidRPr="00B376AC" w:rsidTr="00210BF6">
        <w:trPr>
          <w:trHeight w:val="420"/>
        </w:trPr>
        <w:tc>
          <w:tcPr>
            <w:tcW w:w="1276" w:type="dxa"/>
            <w:vMerge/>
            <w:tcBorders>
              <w:left w:val="single" w:sz="4" w:space="0" w:color="auto"/>
              <w:right w:val="single" w:sz="4" w:space="0" w:color="auto"/>
            </w:tcBorders>
            <w:shd w:val="clear" w:color="auto" w:fill="auto"/>
            <w:vAlign w:val="center"/>
            <w:hideMark/>
          </w:tcPr>
          <w:p w:rsidR="0055491A" w:rsidRPr="00E63650" w:rsidRDefault="0055491A" w:rsidP="00210BF6">
            <w:pPr>
              <w:jc w:val="center"/>
              <w:rPr>
                <w:bCs/>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55491A" w:rsidRPr="007207A4" w:rsidRDefault="0055491A" w:rsidP="00210BF6">
            <w:pPr>
              <w:jc w:val="center"/>
              <w:rPr>
                <w:sz w:val="20"/>
                <w:szCs w:val="20"/>
              </w:rPr>
            </w:pPr>
            <w:r w:rsidRPr="007207A4">
              <w:rPr>
                <w:sz w:val="20"/>
                <w:szCs w:val="20"/>
              </w:rPr>
              <w:t>55</w:t>
            </w:r>
          </w:p>
        </w:tc>
        <w:tc>
          <w:tcPr>
            <w:tcW w:w="1276" w:type="dxa"/>
            <w:tcBorders>
              <w:top w:val="nil"/>
              <w:left w:val="nil"/>
              <w:bottom w:val="single" w:sz="4" w:space="0" w:color="auto"/>
              <w:right w:val="single" w:sz="4" w:space="0" w:color="auto"/>
            </w:tcBorders>
            <w:shd w:val="clear" w:color="auto" w:fill="auto"/>
            <w:vAlign w:val="center"/>
            <w:hideMark/>
          </w:tcPr>
          <w:p w:rsidR="0055491A" w:rsidRPr="007207A4" w:rsidRDefault="0055491A" w:rsidP="00210BF6">
            <w:pPr>
              <w:jc w:val="center"/>
              <w:rPr>
                <w:sz w:val="20"/>
                <w:szCs w:val="20"/>
              </w:rPr>
            </w:pPr>
            <w:r w:rsidRPr="007207A4">
              <w:rPr>
                <w:sz w:val="20"/>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55491A" w:rsidRPr="007207A4" w:rsidRDefault="0055491A" w:rsidP="00210BF6">
            <w:pPr>
              <w:jc w:val="center"/>
              <w:rPr>
                <w:sz w:val="20"/>
                <w:szCs w:val="20"/>
              </w:rPr>
            </w:pPr>
            <w:r w:rsidRPr="007207A4">
              <w:rPr>
                <w:sz w:val="20"/>
                <w:szCs w:val="20"/>
              </w:rPr>
              <w:t>55,0</w:t>
            </w:r>
          </w:p>
        </w:tc>
        <w:tc>
          <w:tcPr>
            <w:tcW w:w="1276" w:type="dxa"/>
            <w:tcBorders>
              <w:top w:val="nil"/>
              <w:left w:val="nil"/>
              <w:bottom w:val="single" w:sz="4" w:space="0" w:color="auto"/>
              <w:right w:val="single" w:sz="4" w:space="0" w:color="auto"/>
            </w:tcBorders>
            <w:shd w:val="clear" w:color="auto" w:fill="auto"/>
            <w:vAlign w:val="center"/>
            <w:hideMark/>
          </w:tcPr>
          <w:p w:rsidR="0055491A" w:rsidRPr="007207A4" w:rsidRDefault="0055491A" w:rsidP="00210BF6">
            <w:pPr>
              <w:jc w:val="center"/>
              <w:rPr>
                <w:sz w:val="20"/>
                <w:szCs w:val="20"/>
              </w:rPr>
            </w:pPr>
            <w:r>
              <w:rPr>
                <w:sz w:val="20"/>
                <w:szCs w:val="20"/>
              </w:rPr>
              <w:t>1</w:t>
            </w:r>
          </w:p>
        </w:tc>
        <w:tc>
          <w:tcPr>
            <w:tcW w:w="992" w:type="dxa"/>
            <w:tcBorders>
              <w:top w:val="nil"/>
              <w:left w:val="nil"/>
              <w:bottom w:val="single" w:sz="4" w:space="0" w:color="auto"/>
              <w:right w:val="single" w:sz="4" w:space="0" w:color="auto"/>
            </w:tcBorders>
            <w:shd w:val="clear" w:color="auto" w:fill="auto"/>
            <w:vAlign w:val="center"/>
            <w:hideMark/>
          </w:tcPr>
          <w:p w:rsidR="0055491A" w:rsidRPr="007207A4" w:rsidRDefault="0055491A" w:rsidP="00210BF6">
            <w:pPr>
              <w:jc w:val="center"/>
              <w:rPr>
                <w:sz w:val="20"/>
                <w:szCs w:val="20"/>
              </w:rPr>
            </w:pPr>
            <w:r>
              <w:rPr>
                <w:sz w:val="20"/>
                <w:szCs w:val="20"/>
              </w:rPr>
              <w:t>55</w:t>
            </w:r>
            <w:r w:rsidRPr="007207A4">
              <w:rPr>
                <w:sz w:val="20"/>
                <w:szCs w:val="20"/>
              </w:rPr>
              <w:t>,0</w:t>
            </w:r>
          </w:p>
        </w:tc>
        <w:tc>
          <w:tcPr>
            <w:tcW w:w="1276" w:type="dxa"/>
            <w:tcBorders>
              <w:top w:val="nil"/>
              <w:left w:val="nil"/>
              <w:bottom w:val="single" w:sz="4" w:space="0" w:color="auto"/>
              <w:right w:val="single" w:sz="4" w:space="0" w:color="auto"/>
            </w:tcBorders>
            <w:shd w:val="clear" w:color="auto" w:fill="auto"/>
            <w:vAlign w:val="center"/>
            <w:hideMark/>
          </w:tcPr>
          <w:p w:rsidR="0055491A" w:rsidRPr="007207A4" w:rsidRDefault="0055491A" w:rsidP="00210BF6">
            <w:pPr>
              <w:jc w:val="center"/>
              <w:rPr>
                <w:sz w:val="20"/>
                <w:szCs w:val="20"/>
              </w:rPr>
            </w:pPr>
            <w:r w:rsidRPr="007207A4">
              <w:rPr>
                <w:sz w:val="20"/>
                <w:szCs w:val="20"/>
              </w:rPr>
              <w:t>1</w:t>
            </w:r>
          </w:p>
        </w:tc>
        <w:tc>
          <w:tcPr>
            <w:tcW w:w="992" w:type="dxa"/>
            <w:tcBorders>
              <w:top w:val="nil"/>
              <w:left w:val="nil"/>
              <w:bottom w:val="single" w:sz="4" w:space="0" w:color="auto"/>
              <w:right w:val="single" w:sz="4" w:space="0" w:color="auto"/>
            </w:tcBorders>
            <w:shd w:val="clear" w:color="auto" w:fill="auto"/>
            <w:vAlign w:val="center"/>
            <w:hideMark/>
          </w:tcPr>
          <w:p w:rsidR="0055491A" w:rsidRPr="007207A4" w:rsidRDefault="0055491A" w:rsidP="00210BF6">
            <w:pPr>
              <w:jc w:val="center"/>
              <w:rPr>
                <w:sz w:val="20"/>
                <w:szCs w:val="20"/>
              </w:rPr>
            </w:pPr>
            <w:r w:rsidRPr="007207A4">
              <w:rPr>
                <w:sz w:val="20"/>
                <w:szCs w:val="20"/>
              </w:rPr>
              <w:t>55,0</w:t>
            </w:r>
          </w:p>
        </w:tc>
      </w:tr>
      <w:tr w:rsidR="0055491A" w:rsidRPr="00B376AC" w:rsidTr="00210BF6">
        <w:trPr>
          <w:trHeight w:val="420"/>
        </w:trPr>
        <w:tc>
          <w:tcPr>
            <w:tcW w:w="1276" w:type="dxa"/>
            <w:vMerge/>
            <w:tcBorders>
              <w:left w:val="single" w:sz="4" w:space="0" w:color="auto"/>
              <w:bottom w:val="single" w:sz="4" w:space="0" w:color="auto"/>
              <w:right w:val="single" w:sz="4" w:space="0" w:color="auto"/>
            </w:tcBorders>
            <w:shd w:val="clear" w:color="auto" w:fill="auto"/>
            <w:vAlign w:val="center"/>
          </w:tcPr>
          <w:p w:rsidR="0055491A" w:rsidRPr="00E63650" w:rsidRDefault="0055491A" w:rsidP="00210BF6">
            <w:pPr>
              <w:jc w:val="center"/>
              <w:rPr>
                <w:bCs/>
                <w:sz w:val="20"/>
                <w:szCs w:val="20"/>
              </w:rPr>
            </w:pPr>
          </w:p>
        </w:tc>
        <w:tc>
          <w:tcPr>
            <w:tcW w:w="992" w:type="dxa"/>
            <w:tcBorders>
              <w:top w:val="nil"/>
              <w:left w:val="nil"/>
              <w:bottom w:val="single" w:sz="4" w:space="0" w:color="auto"/>
              <w:right w:val="single" w:sz="4" w:space="0" w:color="auto"/>
            </w:tcBorders>
            <w:shd w:val="clear" w:color="auto" w:fill="auto"/>
            <w:vAlign w:val="center"/>
          </w:tcPr>
          <w:p w:rsidR="0055491A" w:rsidRPr="007207A4" w:rsidRDefault="0055491A" w:rsidP="00210BF6">
            <w:pPr>
              <w:jc w:val="center"/>
              <w:rPr>
                <w:sz w:val="20"/>
                <w:szCs w:val="20"/>
              </w:rPr>
            </w:pPr>
            <w:r>
              <w:rPr>
                <w:sz w:val="20"/>
                <w:szCs w:val="20"/>
              </w:rPr>
              <w:t>60</w:t>
            </w:r>
          </w:p>
        </w:tc>
        <w:tc>
          <w:tcPr>
            <w:tcW w:w="1276" w:type="dxa"/>
            <w:tcBorders>
              <w:top w:val="nil"/>
              <w:left w:val="nil"/>
              <w:bottom w:val="single" w:sz="4" w:space="0" w:color="auto"/>
              <w:right w:val="single" w:sz="4" w:space="0" w:color="auto"/>
            </w:tcBorders>
            <w:shd w:val="clear" w:color="auto" w:fill="auto"/>
            <w:vAlign w:val="center"/>
          </w:tcPr>
          <w:p w:rsidR="0055491A" w:rsidRPr="007207A4" w:rsidRDefault="0055491A" w:rsidP="00210BF6">
            <w:pPr>
              <w:jc w:val="center"/>
              <w:rPr>
                <w:sz w:val="20"/>
                <w:szCs w:val="20"/>
              </w:rPr>
            </w:pPr>
            <w:r>
              <w:rPr>
                <w:sz w:val="20"/>
                <w:szCs w:val="20"/>
              </w:rPr>
              <w:t>1</w:t>
            </w:r>
          </w:p>
        </w:tc>
        <w:tc>
          <w:tcPr>
            <w:tcW w:w="1134" w:type="dxa"/>
            <w:tcBorders>
              <w:top w:val="nil"/>
              <w:left w:val="nil"/>
              <w:bottom w:val="single" w:sz="4" w:space="0" w:color="auto"/>
              <w:right w:val="single" w:sz="4" w:space="0" w:color="auto"/>
            </w:tcBorders>
            <w:shd w:val="clear" w:color="auto" w:fill="auto"/>
            <w:vAlign w:val="center"/>
          </w:tcPr>
          <w:p w:rsidR="0055491A" w:rsidRPr="007207A4" w:rsidRDefault="0055491A" w:rsidP="00210BF6">
            <w:pPr>
              <w:jc w:val="center"/>
              <w:rPr>
                <w:sz w:val="20"/>
                <w:szCs w:val="20"/>
              </w:rPr>
            </w:pPr>
            <w:r>
              <w:rPr>
                <w:sz w:val="20"/>
                <w:szCs w:val="20"/>
              </w:rPr>
              <w:t>60,0</w:t>
            </w:r>
          </w:p>
        </w:tc>
        <w:tc>
          <w:tcPr>
            <w:tcW w:w="1276" w:type="dxa"/>
            <w:tcBorders>
              <w:top w:val="nil"/>
              <w:left w:val="nil"/>
              <w:bottom w:val="single" w:sz="4" w:space="0" w:color="auto"/>
              <w:right w:val="single" w:sz="4" w:space="0" w:color="auto"/>
            </w:tcBorders>
            <w:shd w:val="clear" w:color="auto" w:fill="auto"/>
            <w:vAlign w:val="center"/>
          </w:tcPr>
          <w:p w:rsidR="0055491A" w:rsidRDefault="0055491A" w:rsidP="00210BF6">
            <w:pPr>
              <w:jc w:val="center"/>
              <w:rPr>
                <w:sz w:val="20"/>
                <w:szCs w:val="20"/>
              </w:rPr>
            </w:pPr>
            <w:r>
              <w:rPr>
                <w:sz w:val="20"/>
                <w:szCs w:val="20"/>
              </w:rPr>
              <w:t>1</w:t>
            </w:r>
          </w:p>
        </w:tc>
        <w:tc>
          <w:tcPr>
            <w:tcW w:w="992" w:type="dxa"/>
            <w:tcBorders>
              <w:top w:val="nil"/>
              <w:left w:val="nil"/>
              <w:bottom w:val="single" w:sz="4" w:space="0" w:color="auto"/>
              <w:right w:val="single" w:sz="4" w:space="0" w:color="auto"/>
            </w:tcBorders>
            <w:shd w:val="clear" w:color="auto" w:fill="auto"/>
            <w:vAlign w:val="center"/>
          </w:tcPr>
          <w:p w:rsidR="0055491A" w:rsidRDefault="0055491A" w:rsidP="00210BF6">
            <w:pPr>
              <w:jc w:val="center"/>
              <w:rPr>
                <w:sz w:val="20"/>
                <w:szCs w:val="20"/>
              </w:rPr>
            </w:pPr>
            <w:r>
              <w:rPr>
                <w:sz w:val="20"/>
                <w:szCs w:val="20"/>
              </w:rPr>
              <w:t>60,0</w:t>
            </w:r>
          </w:p>
        </w:tc>
        <w:tc>
          <w:tcPr>
            <w:tcW w:w="1276" w:type="dxa"/>
            <w:tcBorders>
              <w:top w:val="nil"/>
              <w:left w:val="nil"/>
              <w:bottom w:val="single" w:sz="4" w:space="0" w:color="auto"/>
              <w:right w:val="single" w:sz="4" w:space="0" w:color="auto"/>
            </w:tcBorders>
            <w:shd w:val="clear" w:color="auto" w:fill="auto"/>
            <w:vAlign w:val="center"/>
          </w:tcPr>
          <w:p w:rsidR="0055491A" w:rsidRPr="007207A4" w:rsidRDefault="0055491A" w:rsidP="00210BF6">
            <w:pPr>
              <w:jc w:val="center"/>
              <w:rPr>
                <w:sz w:val="20"/>
                <w:szCs w:val="20"/>
              </w:rPr>
            </w:pPr>
            <w:r>
              <w:rPr>
                <w:sz w:val="20"/>
                <w:szCs w:val="20"/>
              </w:rPr>
              <w:t>1</w:t>
            </w:r>
          </w:p>
        </w:tc>
        <w:tc>
          <w:tcPr>
            <w:tcW w:w="992" w:type="dxa"/>
            <w:tcBorders>
              <w:top w:val="nil"/>
              <w:left w:val="nil"/>
              <w:bottom w:val="single" w:sz="4" w:space="0" w:color="auto"/>
              <w:right w:val="single" w:sz="4" w:space="0" w:color="auto"/>
            </w:tcBorders>
            <w:shd w:val="clear" w:color="auto" w:fill="auto"/>
            <w:vAlign w:val="center"/>
          </w:tcPr>
          <w:p w:rsidR="0055491A" w:rsidRPr="007207A4" w:rsidRDefault="0055491A" w:rsidP="00210BF6">
            <w:pPr>
              <w:jc w:val="center"/>
              <w:rPr>
                <w:sz w:val="20"/>
                <w:szCs w:val="20"/>
              </w:rPr>
            </w:pPr>
            <w:r>
              <w:rPr>
                <w:sz w:val="20"/>
                <w:szCs w:val="20"/>
              </w:rPr>
              <w:t>60,0</w:t>
            </w:r>
          </w:p>
        </w:tc>
      </w:tr>
      <w:tr w:rsidR="0055491A" w:rsidRPr="00B376AC" w:rsidTr="00210BF6">
        <w:trPr>
          <w:trHeight w:val="390"/>
        </w:trPr>
        <w:tc>
          <w:tcPr>
            <w:tcW w:w="1276" w:type="dxa"/>
            <w:tcBorders>
              <w:top w:val="nil"/>
              <w:left w:val="single" w:sz="4" w:space="0" w:color="auto"/>
              <w:bottom w:val="single" w:sz="4" w:space="0" w:color="auto"/>
              <w:right w:val="single" w:sz="4" w:space="0" w:color="auto"/>
            </w:tcBorders>
            <w:shd w:val="clear" w:color="auto" w:fill="auto"/>
            <w:vAlign w:val="center"/>
          </w:tcPr>
          <w:p w:rsidR="0055491A" w:rsidRPr="00AE24A1" w:rsidRDefault="0055491A" w:rsidP="00210BF6">
            <w:pPr>
              <w:jc w:val="center"/>
              <w:rPr>
                <w:b/>
                <w:sz w:val="16"/>
                <w:szCs w:val="16"/>
              </w:rPr>
            </w:pPr>
            <w:r w:rsidRPr="00F80477">
              <w:rPr>
                <w:b/>
                <w:bCs/>
              </w:rPr>
              <w:t>ИТОГО</w:t>
            </w:r>
          </w:p>
        </w:tc>
        <w:tc>
          <w:tcPr>
            <w:tcW w:w="992" w:type="dxa"/>
            <w:tcBorders>
              <w:top w:val="nil"/>
              <w:left w:val="nil"/>
              <w:bottom w:val="single" w:sz="4" w:space="0" w:color="auto"/>
              <w:right w:val="single" w:sz="4" w:space="0" w:color="auto"/>
            </w:tcBorders>
            <w:shd w:val="clear" w:color="auto" w:fill="auto"/>
            <w:vAlign w:val="center"/>
          </w:tcPr>
          <w:p w:rsidR="0055491A" w:rsidRPr="00B376AC" w:rsidRDefault="0055491A" w:rsidP="00210BF6">
            <w:pPr>
              <w:jc w:val="center"/>
              <w:rPr>
                <w:color w:val="000000"/>
                <w:sz w:val="16"/>
                <w:szCs w:val="16"/>
              </w:rPr>
            </w:pPr>
          </w:p>
        </w:tc>
        <w:tc>
          <w:tcPr>
            <w:tcW w:w="1276" w:type="dxa"/>
            <w:tcBorders>
              <w:top w:val="nil"/>
              <w:left w:val="nil"/>
              <w:bottom w:val="single" w:sz="4" w:space="0" w:color="auto"/>
              <w:right w:val="single" w:sz="4" w:space="0" w:color="auto"/>
            </w:tcBorders>
            <w:shd w:val="clear" w:color="auto" w:fill="auto"/>
            <w:vAlign w:val="center"/>
          </w:tcPr>
          <w:p w:rsidR="0055491A" w:rsidRPr="00BD2086" w:rsidRDefault="0055491A" w:rsidP="00210BF6">
            <w:pPr>
              <w:jc w:val="center"/>
              <w:rPr>
                <w:b/>
                <w:color w:val="00000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55491A" w:rsidRPr="00FC79BE" w:rsidRDefault="0055491A" w:rsidP="00210BF6">
            <w:pPr>
              <w:jc w:val="center"/>
              <w:rPr>
                <w:b/>
                <w:color w:val="000000"/>
              </w:rPr>
            </w:pPr>
            <w:r>
              <w:rPr>
                <w:b/>
                <w:color w:val="000000"/>
              </w:rPr>
              <w:t>522,0</w:t>
            </w:r>
          </w:p>
        </w:tc>
        <w:tc>
          <w:tcPr>
            <w:tcW w:w="1276" w:type="dxa"/>
            <w:tcBorders>
              <w:top w:val="nil"/>
              <w:left w:val="nil"/>
              <w:bottom w:val="single" w:sz="4" w:space="0" w:color="auto"/>
              <w:right w:val="single" w:sz="4" w:space="0" w:color="auto"/>
            </w:tcBorders>
            <w:shd w:val="clear" w:color="auto" w:fill="auto"/>
            <w:vAlign w:val="center"/>
          </w:tcPr>
          <w:p w:rsidR="0055491A" w:rsidRPr="00FC79BE" w:rsidRDefault="0055491A" w:rsidP="00210BF6">
            <w:pPr>
              <w:jc w:val="center"/>
              <w:rPr>
                <w:b/>
                <w:color w:val="000000"/>
              </w:rPr>
            </w:pPr>
          </w:p>
        </w:tc>
        <w:tc>
          <w:tcPr>
            <w:tcW w:w="992" w:type="dxa"/>
            <w:tcBorders>
              <w:top w:val="nil"/>
              <w:left w:val="nil"/>
              <w:bottom w:val="single" w:sz="4" w:space="0" w:color="auto"/>
              <w:right w:val="single" w:sz="4" w:space="0" w:color="auto"/>
            </w:tcBorders>
            <w:shd w:val="clear" w:color="auto" w:fill="auto"/>
            <w:vAlign w:val="center"/>
          </w:tcPr>
          <w:p w:rsidR="0055491A" w:rsidRPr="00FC79BE" w:rsidRDefault="0055491A" w:rsidP="00210BF6">
            <w:pPr>
              <w:jc w:val="center"/>
              <w:rPr>
                <w:b/>
                <w:color w:val="000000"/>
              </w:rPr>
            </w:pPr>
            <w:r>
              <w:rPr>
                <w:b/>
                <w:color w:val="000000"/>
              </w:rPr>
              <w:t>472,0</w:t>
            </w:r>
          </w:p>
        </w:tc>
        <w:tc>
          <w:tcPr>
            <w:tcW w:w="1276" w:type="dxa"/>
            <w:tcBorders>
              <w:top w:val="nil"/>
              <w:left w:val="nil"/>
              <w:bottom w:val="single" w:sz="4" w:space="0" w:color="auto"/>
              <w:right w:val="single" w:sz="4" w:space="0" w:color="auto"/>
            </w:tcBorders>
            <w:shd w:val="clear" w:color="auto" w:fill="auto"/>
            <w:vAlign w:val="center"/>
          </w:tcPr>
          <w:p w:rsidR="0055491A" w:rsidRPr="00FC79BE" w:rsidRDefault="0055491A" w:rsidP="00210BF6">
            <w:pPr>
              <w:jc w:val="center"/>
              <w:rPr>
                <w:b/>
                <w:color w:val="000000"/>
              </w:rPr>
            </w:pPr>
          </w:p>
        </w:tc>
        <w:tc>
          <w:tcPr>
            <w:tcW w:w="992" w:type="dxa"/>
            <w:tcBorders>
              <w:top w:val="nil"/>
              <w:left w:val="nil"/>
              <w:bottom w:val="single" w:sz="4" w:space="0" w:color="auto"/>
              <w:right w:val="single" w:sz="4" w:space="0" w:color="auto"/>
            </w:tcBorders>
            <w:shd w:val="clear" w:color="auto" w:fill="auto"/>
            <w:vAlign w:val="center"/>
          </w:tcPr>
          <w:p w:rsidR="0055491A" w:rsidRPr="00FC79BE" w:rsidRDefault="0055491A" w:rsidP="00210BF6">
            <w:pPr>
              <w:jc w:val="center"/>
              <w:rPr>
                <w:b/>
                <w:color w:val="000000"/>
              </w:rPr>
            </w:pPr>
            <w:r>
              <w:rPr>
                <w:b/>
                <w:color w:val="000000"/>
              </w:rPr>
              <w:t>472,0</w:t>
            </w:r>
          </w:p>
        </w:tc>
      </w:tr>
    </w:tbl>
    <w:p w:rsidR="0055491A" w:rsidRPr="00473747" w:rsidRDefault="0055491A" w:rsidP="0055491A">
      <w:pPr>
        <w:pStyle w:val="a7"/>
        <w:spacing w:after="0"/>
        <w:ind w:left="0" w:firstLine="709"/>
        <w:jc w:val="both"/>
        <w:rPr>
          <w:b/>
          <w:sz w:val="28"/>
          <w:szCs w:val="28"/>
        </w:rPr>
      </w:pPr>
      <w:r w:rsidRPr="00473747">
        <w:rPr>
          <w:b/>
          <w:sz w:val="28"/>
          <w:szCs w:val="28"/>
        </w:rPr>
        <w:t xml:space="preserve">Прогноз поступлений на 2022 год –522,0 тыс. руб., на 2023 год                          472,0 тыс. руб., на 2024 год - 472,0 тыс. руб. </w:t>
      </w:r>
    </w:p>
    <w:p w:rsidR="0055491A" w:rsidRPr="00473747" w:rsidRDefault="0055491A" w:rsidP="0055491A">
      <w:pPr>
        <w:pStyle w:val="a7"/>
        <w:spacing w:after="0"/>
        <w:ind w:left="0" w:firstLine="709"/>
        <w:jc w:val="both"/>
        <w:rPr>
          <w:b/>
          <w:sz w:val="28"/>
          <w:szCs w:val="28"/>
        </w:rPr>
      </w:pPr>
    </w:p>
    <w:p w:rsidR="0055491A" w:rsidRDefault="0055491A" w:rsidP="0055491A">
      <w:pPr>
        <w:pStyle w:val="a7"/>
        <w:spacing w:after="0"/>
        <w:ind w:left="0" w:firstLine="709"/>
        <w:jc w:val="both"/>
        <w:rPr>
          <w:sz w:val="28"/>
          <w:szCs w:val="28"/>
        </w:rPr>
      </w:pPr>
      <w:r>
        <w:rPr>
          <w:sz w:val="28"/>
          <w:szCs w:val="28"/>
        </w:rPr>
        <w:t xml:space="preserve">9.2 </w:t>
      </w:r>
      <w:r w:rsidRPr="00473747">
        <w:rPr>
          <w:b/>
          <w:sz w:val="28"/>
          <w:szCs w:val="28"/>
        </w:rPr>
        <w:t>КБК 335 1 16 01133 01 0000 140</w:t>
      </w:r>
      <w:r>
        <w:rPr>
          <w:sz w:val="28"/>
          <w:szCs w:val="28"/>
        </w:rPr>
        <w:t xml:space="preserve"> </w:t>
      </w:r>
      <w:r w:rsidRPr="00EA253E">
        <w:rPr>
          <w:sz w:val="28"/>
          <w:szCs w:val="28"/>
        </w:rPr>
        <w:t xml:space="preserve">Административные штрафы, установленные </w:t>
      </w:r>
      <w:r>
        <w:rPr>
          <w:sz w:val="28"/>
          <w:szCs w:val="28"/>
        </w:rPr>
        <w:t>Главой 13</w:t>
      </w:r>
      <w:r w:rsidRPr="0055238B">
        <w:rPr>
          <w:sz w:val="28"/>
          <w:szCs w:val="28"/>
        </w:rPr>
        <w:t xml:space="preserve"> Кодекса Российской Федерации об административных правонарушениях, за административные правонарушения в области </w:t>
      </w:r>
      <w:r w:rsidRPr="005217D0">
        <w:rPr>
          <w:sz w:val="28"/>
          <w:szCs w:val="28"/>
        </w:rPr>
        <w:t>связи и информации</w:t>
      </w:r>
      <w:r w:rsidRPr="00EA253E">
        <w:rPr>
          <w:sz w:val="28"/>
          <w:szCs w:val="28"/>
        </w:rPr>
        <w:t>, налагаемые мировыми судьями, комиссиями по делам несовершеннолетних и защите их прав</w:t>
      </w:r>
      <w:r>
        <w:rPr>
          <w:sz w:val="28"/>
          <w:szCs w:val="28"/>
        </w:rPr>
        <w:t>.</w:t>
      </w:r>
    </w:p>
    <w:p w:rsidR="0055491A" w:rsidRPr="00BC0015" w:rsidRDefault="0055491A" w:rsidP="0055491A">
      <w:pPr>
        <w:pStyle w:val="a7"/>
        <w:spacing w:after="0"/>
        <w:ind w:left="0" w:firstLine="709"/>
        <w:jc w:val="both"/>
        <w:rPr>
          <w:b/>
          <w:sz w:val="28"/>
          <w:szCs w:val="28"/>
        </w:rPr>
      </w:pPr>
      <w:r w:rsidRPr="00BC0015">
        <w:rPr>
          <w:b/>
          <w:sz w:val="28"/>
          <w:szCs w:val="28"/>
        </w:rPr>
        <w:lastRenderedPageBreak/>
        <w:t>Главный администратор доходов – Главное управление региональной безопасности Тверской области</w:t>
      </w:r>
      <w:r>
        <w:rPr>
          <w:b/>
          <w:sz w:val="28"/>
          <w:szCs w:val="28"/>
        </w:rPr>
        <w:t>.</w:t>
      </w:r>
    </w:p>
    <w:p w:rsidR="0055491A" w:rsidRDefault="0055491A" w:rsidP="0055491A">
      <w:pPr>
        <w:pStyle w:val="ConsPlusNormal"/>
        <w:tabs>
          <w:tab w:val="left" w:pos="1276"/>
          <w:tab w:val="left" w:pos="1418"/>
        </w:tabs>
        <w:ind w:firstLine="709"/>
        <w:jc w:val="both"/>
        <w:rPr>
          <w:rFonts w:ascii="Times New Roman" w:hAnsi="Times New Roman" w:cs="Times New Roman"/>
          <w:sz w:val="28"/>
          <w:szCs w:val="28"/>
        </w:rPr>
      </w:pPr>
      <w:r w:rsidRPr="00D4062A">
        <w:rPr>
          <w:rFonts w:ascii="Times New Roman" w:hAnsi="Times New Roman" w:cs="Times New Roman"/>
          <w:sz w:val="28"/>
          <w:szCs w:val="28"/>
        </w:rPr>
        <w:t>Прогноз поступлений определен методом прямого расчета</w:t>
      </w:r>
      <w:r>
        <w:rPr>
          <w:rFonts w:ascii="Times New Roman" w:hAnsi="Times New Roman" w:cs="Times New Roman"/>
          <w:sz w:val="28"/>
          <w:szCs w:val="28"/>
        </w:rPr>
        <w:t xml:space="preserve"> по соответствующим статьям КоАП.</w:t>
      </w:r>
    </w:p>
    <w:p w:rsidR="0055491A" w:rsidRDefault="0055491A" w:rsidP="0055491A">
      <w:pPr>
        <w:pStyle w:val="a7"/>
        <w:spacing w:after="0"/>
        <w:ind w:left="0" w:firstLine="709"/>
        <w:jc w:val="both"/>
        <w:rPr>
          <w:sz w:val="28"/>
          <w:szCs w:val="28"/>
        </w:rPr>
      </w:pPr>
      <w:r>
        <w:rPr>
          <w:sz w:val="28"/>
          <w:szCs w:val="28"/>
        </w:rPr>
        <w:t>Р</w:t>
      </w:r>
      <w:r w:rsidRPr="000B0625">
        <w:rPr>
          <w:sz w:val="28"/>
          <w:szCs w:val="28"/>
        </w:rPr>
        <w:t>асчета прогноза на 20</w:t>
      </w:r>
      <w:r>
        <w:rPr>
          <w:sz w:val="28"/>
          <w:szCs w:val="28"/>
        </w:rPr>
        <w:t>22</w:t>
      </w:r>
      <w:r w:rsidRPr="000B0625">
        <w:rPr>
          <w:sz w:val="28"/>
          <w:szCs w:val="28"/>
        </w:rPr>
        <w:t xml:space="preserve"> год представлен в таблице</w:t>
      </w:r>
      <w:r>
        <w:rPr>
          <w:sz w:val="28"/>
          <w:szCs w:val="28"/>
        </w:rPr>
        <w:t xml:space="preserve"> (с учетом норматива зачисления в областной бюджет Тверской области 50%)</w:t>
      </w:r>
      <w:r w:rsidRPr="000B0625">
        <w:rPr>
          <w:sz w:val="28"/>
          <w:szCs w:val="28"/>
        </w:rPr>
        <w:t>:</w:t>
      </w:r>
    </w:p>
    <w:p w:rsidR="0055491A" w:rsidRDefault="0055491A" w:rsidP="0055491A">
      <w:pPr>
        <w:pStyle w:val="a7"/>
        <w:spacing w:after="0"/>
        <w:ind w:left="0" w:firstLine="709"/>
        <w:jc w:val="both"/>
        <w:rPr>
          <w:sz w:val="28"/>
          <w:szCs w:val="28"/>
        </w:rPr>
      </w:pPr>
    </w:p>
    <w:tbl>
      <w:tblPr>
        <w:tblW w:w="9417" w:type="dxa"/>
        <w:tblLook w:val="04A0" w:firstRow="1" w:lastRow="0" w:firstColumn="1" w:lastColumn="0" w:noHBand="0" w:noVBand="1"/>
      </w:tblPr>
      <w:tblGrid>
        <w:gridCol w:w="500"/>
        <w:gridCol w:w="2947"/>
        <w:gridCol w:w="1367"/>
        <w:gridCol w:w="1637"/>
        <w:gridCol w:w="1483"/>
        <w:gridCol w:w="1483"/>
      </w:tblGrid>
      <w:tr w:rsidR="0055491A" w:rsidTr="00210BF6">
        <w:trPr>
          <w:trHeight w:val="1285"/>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 п/п</w:t>
            </w:r>
          </w:p>
        </w:tc>
        <w:tc>
          <w:tcPr>
            <w:tcW w:w="2947" w:type="dxa"/>
            <w:tcBorders>
              <w:top w:val="single" w:sz="4" w:space="0" w:color="auto"/>
              <w:left w:val="nil"/>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Вид правонарушений</w:t>
            </w:r>
          </w:p>
        </w:tc>
        <w:tc>
          <w:tcPr>
            <w:tcW w:w="1367" w:type="dxa"/>
            <w:tcBorders>
              <w:top w:val="single" w:sz="4" w:space="0" w:color="auto"/>
              <w:left w:val="nil"/>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Средний размер штрафа (средний областной), тыс. руб.</w:t>
            </w:r>
          </w:p>
        </w:tc>
        <w:tc>
          <w:tcPr>
            <w:tcW w:w="1637" w:type="dxa"/>
            <w:tcBorders>
              <w:top w:val="single" w:sz="4" w:space="0" w:color="auto"/>
              <w:left w:val="nil"/>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Количество постановлений штук</w:t>
            </w:r>
          </w:p>
        </w:tc>
        <w:tc>
          <w:tcPr>
            <w:tcW w:w="1483" w:type="dxa"/>
            <w:tcBorders>
              <w:top w:val="single" w:sz="4" w:space="0" w:color="auto"/>
              <w:left w:val="nil"/>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Коэффициент собираемости (средний областной), %</w:t>
            </w:r>
          </w:p>
        </w:tc>
        <w:tc>
          <w:tcPr>
            <w:tcW w:w="1483" w:type="dxa"/>
            <w:tcBorders>
              <w:top w:val="single" w:sz="4" w:space="0" w:color="auto"/>
              <w:left w:val="nil"/>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Прогноз поступлений, тыс. руб. (ст.3*4*5/2)</w:t>
            </w:r>
          </w:p>
        </w:tc>
      </w:tr>
      <w:tr w:rsidR="0055491A" w:rsidTr="00210BF6">
        <w:trPr>
          <w:trHeight w:val="30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1</w:t>
            </w:r>
          </w:p>
        </w:tc>
        <w:tc>
          <w:tcPr>
            <w:tcW w:w="2947" w:type="dxa"/>
            <w:tcBorders>
              <w:top w:val="nil"/>
              <w:left w:val="nil"/>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2</w:t>
            </w:r>
          </w:p>
        </w:tc>
        <w:tc>
          <w:tcPr>
            <w:tcW w:w="1367" w:type="dxa"/>
            <w:tcBorders>
              <w:top w:val="nil"/>
              <w:left w:val="nil"/>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3</w:t>
            </w:r>
          </w:p>
        </w:tc>
        <w:tc>
          <w:tcPr>
            <w:tcW w:w="1637" w:type="dxa"/>
            <w:tcBorders>
              <w:top w:val="nil"/>
              <w:left w:val="nil"/>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4</w:t>
            </w:r>
          </w:p>
        </w:tc>
        <w:tc>
          <w:tcPr>
            <w:tcW w:w="1483" w:type="dxa"/>
            <w:tcBorders>
              <w:top w:val="nil"/>
              <w:left w:val="nil"/>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5</w:t>
            </w:r>
          </w:p>
        </w:tc>
        <w:tc>
          <w:tcPr>
            <w:tcW w:w="1483" w:type="dxa"/>
            <w:tcBorders>
              <w:top w:val="nil"/>
              <w:left w:val="nil"/>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6</w:t>
            </w:r>
          </w:p>
        </w:tc>
      </w:tr>
      <w:tr w:rsidR="0055491A" w:rsidTr="00210BF6">
        <w:trPr>
          <w:trHeight w:val="771"/>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1</w:t>
            </w:r>
          </w:p>
        </w:tc>
        <w:tc>
          <w:tcPr>
            <w:tcW w:w="2947" w:type="dxa"/>
            <w:tcBorders>
              <w:top w:val="nil"/>
              <w:left w:val="nil"/>
              <w:bottom w:val="single" w:sz="4" w:space="0" w:color="auto"/>
              <w:right w:val="single" w:sz="4" w:space="0" w:color="auto"/>
            </w:tcBorders>
            <w:shd w:val="clear" w:color="auto" w:fill="auto"/>
            <w:vAlign w:val="center"/>
            <w:hideMark/>
          </w:tcPr>
          <w:p w:rsidR="0055491A" w:rsidRDefault="0055491A" w:rsidP="00210BF6">
            <w:pPr>
              <w:jc w:val="both"/>
              <w:rPr>
                <w:sz w:val="20"/>
                <w:szCs w:val="20"/>
              </w:rPr>
            </w:pPr>
            <w:r>
              <w:rPr>
                <w:sz w:val="20"/>
                <w:szCs w:val="20"/>
              </w:rPr>
              <w:t>Штрафы за нарушение правил охраны линий или сооружений связи</w:t>
            </w:r>
          </w:p>
        </w:tc>
        <w:tc>
          <w:tcPr>
            <w:tcW w:w="1367" w:type="dxa"/>
            <w:tcBorders>
              <w:top w:val="nil"/>
              <w:left w:val="nil"/>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5,5</w:t>
            </w:r>
          </w:p>
        </w:tc>
        <w:tc>
          <w:tcPr>
            <w:tcW w:w="1637" w:type="dxa"/>
            <w:tcBorders>
              <w:top w:val="nil"/>
              <w:left w:val="nil"/>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2</w:t>
            </w:r>
          </w:p>
        </w:tc>
        <w:tc>
          <w:tcPr>
            <w:tcW w:w="1483" w:type="dxa"/>
            <w:tcBorders>
              <w:top w:val="nil"/>
              <w:left w:val="nil"/>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100,0%</w:t>
            </w:r>
          </w:p>
        </w:tc>
        <w:tc>
          <w:tcPr>
            <w:tcW w:w="1483" w:type="dxa"/>
            <w:tcBorders>
              <w:top w:val="nil"/>
              <w:left w:val="nil"/>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5,5</w:t>
            </w:r>
          </w:p>
        </w:tc>
      </w:tr>
      <w:tr w:rsidR="0055491A" w:rsidTr="00210BF6">
        <w:trPr>
          <w:trHeight w:val="128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2</w:t>
            </w:r>
          </w:p>
        </w:tc>
        <w:tc>
          <w:tcPr>
            <w:tcW w:w="2947" w:type="dxa"/>
            <w:tcBorders>
              <w:top w:val="nil"/>
              <w:left w:val="nil"/>
              <w:bottom w:val="single" w:sz="4" w:space="0" w:color="auto"/>
              <w:right w:val="single" w:sz="4" w:space="0" w:color="auto"/>
            </w:tcBorders>
            <w:shd w:val="clear" w:color="auto" w:fill="auto"/>
            <w:vAlign w:val="center"/>
            <w:hideMark/>
          </w:tcPr>
          <w:p w:rsidR="0055491A" w:rsidRDefault="0055491A" w:rsidP="00210BF6">
            <w:pPr>
              <w:rPr>
                <w:sz w:val="20"/>
                <w:szCs w:val="20"/>
              </w:rPr>
            </w:pPr>
            <w:r>
              <w:rPr>
                <w:sz w:val="20"/>
                <w:szCs w:val="20"/>
              </w:rPr>
              <w:t>Штрафы за нарушение требований законодательства о хранении документов и информации, содержащейся в информационных системах</w:t>
            </w:r>
          </w:p>
        </w:tc>
        <w:tc>
          <w:tcPr>
            <w:tcW w:w="1367" w:type="dxa"/>
            <w:tcBorders>
              <w:top w:val="nil"/>
              <w:left w:val="nil"/>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5</w:t>
            </w:r>
          </w:p>
        </w:tc>
        <w:tc>
          <w:tcPr>
            <w:tcW w:w="1637" w:type="dxa"/>
            <w:tcBorders>
              <w:top w:val="nil"/>
              <w:left w:val="nil"/>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4</w:t>
            </w:r>
          </w:p>
        </w:tc>
        <w:tc>
          <w:tcPr>
            <w:tcW w:w="1483" w:type="dxa"/>
            <w:tcBorders>
              <w:top w:val="nil"/>
              <w:left w:val="nil"/>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100,0%</w:t>
            </w:r>
          </w:p>
        </w:tc>
        <w:tc>
          <w:tcPr>
            <w:tcW w:w="1483" w:type="dxa"/>
            <w:tcBorders>
              <w:top w:val="nil"/>
              <w:left w:val="nil"/>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10</w:t>
            </w:r>
          </w:p>
        </w:tc>
      </w:tr>
      <w:tr w:rsidR="0055491A" w:rsidTr="00210BF6">
        <w:trPr>
          <w:trHeight w:val="128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 </w:t>
            </w:r>
          </w:p>
        </w:tc>
        <w:tc>
          <w:tcPr>
            <w:tcW w:w="2947" w:type="dxa"/>
            <w:tcBorders>
              <w:top w:val="nil"/>
              <w:left w:val="nil"/>
              <w:bottom w:val="single" w:sz="4" w:space="0" w:color="auto"/>
              <w:right w:val="single" w:sz="4" w:space="0" w:color="auto"/>
            </w:tcBorders>
            <w:shd w:val="clear" w:color="auto" w:fill="auto"/>
            <w:vAlign w:val="center"/>
            <w:hideMark/>
          </w:tcPr>
          <w:p w:rsidR="0055491A" w:rsidRDefault="0055491A" w:rsidP="00210BF6">
            <w:pPr>
              <w:rPr>
                <w:sz w:val="20"/>
                <w:szCs w:val="20"/>
              </w:rPr>
            </w:pPr>
            <w:r>
              <w:rPr>
                <w:sz w:val="20"/>
                <w:szCs w:val="20"/>
              </w:rPr>
              <w:t>Штрафы за нарушение порядка предоставления информации о деятельности государственных органов и органов местного самоуправлени</w:t>
            </w:r>
          </w:p>
        </w:tc>
        <w:tc>
          <w:tcPr>
            <w:tcW w:w="1367" w:type="dxa"/>
            <w:tcBorders>
              <w:top w:val="nil"/>
              <w:left w:val="nil"/>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4,6</w:t>
            </w:r>
          </w:p>
        </w:tc>
        <w:tc>
          <w:tcPr>
            <w:tcW w:w="1637" w:type="dxa"/>
            <w:tcBorders>
              <w:top w:val="nil"/>
              <w:left w:val="nil"/>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5</w:t>
            </w:r>
          </w:p>
        </w:tc>
        <w:tc>
          <w:tcPr>
            <w:tcW w:w="1483" w:type="dxa"/>
            <w:tcBorders>
              <w:top w:val="nil"/>
              <w:left w:val="nil"/>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100,0%</w:t>
            </w:r>
          </w:p>
        </w:tc>
        <w:tc>
          <w:tcPr>
            <w:tcW w:w="1483" w:type="dxa"/>
            <w:tcBorders>
              <w:top w:val="nil"/>
              <w:left w:val="nil"/>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11,5</w:t>
            </w:r>
          </w:p>
        </w:tc>
      </w:tr>
      <w:tr w:rsidR="0055491A" w:rsidTr="00210BF6">
        <w:trPr>
          <w:trHeight w:val="257"/>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3</w:t>
            </w:r>
          </w:p>
        </w:tc>
        <w:tc>
          <w:tcPr>
            <w:tcW w:w="2947" w:type="dxa"/>
            <w:tcBorders>
              <w:top w:val="nil"/>
              <w:left w:val="nil"/>
              <w:bottom w:val="single" w:sz="4" w:space="0" w:color="auto"/>
              <w:right w:val="single" w:sz="4" w:space="0" w:color="auto"/>
            </w:tcBorders>
            <w:shd w:val="clear" w:color="auto" w:fill="auto"/>
            <w:vAlign w:val="center"/>
            <w:hideMark/>
          </w:tcPr>
          <w:p w:rsidR="0055491A" w:rsidRDefault="0055491A" w:rsidP="00210BF6">
            <w:pPr>
              <w:jc w:val="both"/>
              <w:rPr>
                <w:sz w:val="20"/>
                <w:szCs w:val="20"/>
              </w:rPr>
            </w:pPr>
            <w:r>
              <w:rPr>
                <w:sz w:val="20"/>
                <w:szCs w:val="20"/>
              </w:rPr>
              <w:t>Иные штрафы</w:t>
            </w:r>
          </w:p>
        </w:tc>
        <w:tc>
          <w:tcPr>
            <w:tcW w:w="1367" w:type="dxa"/>
            <w:tcBorders>
              <w:top w:val="nil"/>
              <w:left w:val="nil"/>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7</w:t>
            </w:r>
          </w:p>
        </w:tc>
        <w:tc>
          <w:tcPr>
            <w:tcW w:w="1637" w:type="dxa"/>
            <w:tcBorders>
              <w:top w:val="nil"/>
              <w:left w:val="nil"/>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75</w:t>
            </w:r>
          </w:p>
        </w:tc>
        <w:tc>
          <w:tcPr>
            <w:tcW w:w="1483" w:type="dxa"/>
            <w:tcBorders>
              <w:top w:val="nil"/>
              <w:left w:val="nil"/>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64,4%</w:t>
            </w:r>
          </w:p>
        </w:tc>
        <w:tc>
          <w:tcPr>
            <w:tcW w:w="1483" w:type="dxa"/>
            <w:tcBorders>
              <w:top w:val="nil"/>
              <w:left w:val="nil"/>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169,1</w:t>
            </w:r>
          </w:p>
        </w:tc>
      </w:tr>
      <w:tr w:rsidR="0055491A" w:rsidTr="00210BF6">
        <w:trPr>
          <w:trHeight w:val="257"/>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p>
        </w:tc>
        <w:tc>
          <w:tcPr>
            <w:tcW w:w="2947" w:type="dxa"/>
            <w:tcBorders>
              <w:top w:val="nil"/>
              <w:left w:val="nil"/>
              <w:bottom w:val="single" w:sz="4" w:space="0" w:color="auto"/>
              <w:right w:val="nil"/>
            </w:tcBorders>
            <w:shd w:val="clear" w:color="auto" w:fill="auto"/>
            <w:vAlign w:val="center"/>
            <w:hideMark/>
          </w:tcPr>
          <w:p w:rsidR="0055491A" w:rsidRDefault="0055491A" w:rsidP="00210BF6">
            <w:pPr>
              <w:rPr>
                <w:b/>
                <w:bCs/>
                <w:sz w:val="20"/>
                <w:szCs w:val="20"/>
              </w:rPr>
            </w:pPr>
            <w:r>
              <w:rPr>
                <w:b/>
                <w:bCs/>
                <w:sz w:val="20"/>
                <w:szCs w:val="20"/>
              </w:rPr>
              <w:t>ИТОГО</w:t>
            </w:r>
          </w:p>
        </w:tc>
        <w:tc>
          <w:tcPr>
            <w:tcW w:w="1367" w:type="dxa"/>
            <w:tcBorders>
              <w:top w:val="nil"/>
              <w:left w:val="nil"/>
              <w:bottom w:val="single" w:sz="4" w:space="0" w:color="auto"/>
              <w:right w:val="nil"/>
            </w:tcBorders>
            <w:shd w:val="clear" w:color="auto" w:fill="auto"/>
            <w:vAlign w:val="center"/>
            <w:hideMark/>
          </w:tcPr>
          <w:p w:rsidR="0055491A" w:rsidRDefault="0055491A" w:rsidP="00210BF6">
            <w:pPr>
              <w:rPr>
                <w:b/>
                <w:bCs/>
                <w:sz w:val="20"/>
                <w:szCs w:val="20"/>
              </w:rPr>
            </w:pPr>
            <w:r>
              <w:rPr>
                <w:b/>
                <w:bCs/>
                <w:sz w:val="20"/>
                <w:szCs w:val="20"/>
              </w:rPr>
              <w:t> </w:t>
            </w:r>
          </w:p>
        </w:tc>
        <w:tc>
          <w:tcPr>
            <w:tcW w:w="1637" w:type="dxa"/>
            <w:tcBorders>
              <w:top w:val="nil"/>
              <w:left w:val="nil"/>
              <w:bottom w:val="single" w:sz="4" w:space="0" w:color="auto"/>
              <w:right w:val="nil"/>
            </w:tcBorders>
            <w:shd w:val="clear" w:color="auto" w:fill="auto"/>
            <w:vAlign w:val="center"/>
            <w:hideMark/>
          </w:tcPr>
          <w:p w:rsidR="0055491A" w:rsidRDefault="0055491A" w:rsidP="00210BF6">
            <w:pPr>
              <w:rPr>
                <w:b/>
                <w:bCs/>
                <w:sz w:val="20"/>
                <w:szCs w:val="20"/>
              </w:rPr>
            </w:pPr>
            <w:r>
              <w:rPr>
                <w:b/>
                <w:bCs/>
                <w:sz w:val="20"/>
                <w:szCs w:val="20"/>
              </w:rPr>
              <w:t> </w:t>
            </w:r>
          </w:p>
        </w:tc>
        <w:tc>
          <w:tcPr>
            <w:tcW w:w="1483" w:type="dxa"/>
            <w:tcBorders>
              <w:top w:val="nil"/>
              <w:left w:val="nil"/>
              <w:bottom w:val="single" w:sz="4" w:space="0" w:color="auto"/>
              <w:right w:val="single" w:sz="4" w:space="0" w:color="auto"/>
            </w:tcBorders>
            <w:shd w:val="clear" w:color="auto" w:fill="auto"/>
            <w:vAlign w:val="center"/>
            <w:hideMark/>
          </w:tcPr>
          <w:p w:rsidR="0055491A" w:rsidRDefault="0055491A" w:rsidP="00210BF6">
            <w:pPr>
              <w:rPr>
                <w:b/>
                <w:bCs/>
                <w:sz w:val="20"/>
                <w:szCs w:val="20"/>
              </w:rPr>
            </w:pPr>
            <w:r>
              <w:rPr>
                <w:b/>
                <w:bCs/>
                <w:sz w:val="20"/>
                <w:szCs w:val="20"/>
              </w:rPr>
              <w:t> </w:t>
            </w:r>
          </w:p>
        </w:tc>
        <w:tc>
          <w:tcPr>
            <w:tcW w:w="1483" w:type="dxa"/>
            <w:tcBorders>
              <w:top w:val="nil"/>
              <w:left w:val="nil"/>
              <w:bottom w:val="single" w:sz="4" w:space="0" w:color="auto"/>
              <w:right w:val="single" w:sz="4" w:space="0" w:color="auto"/>
            </w:tcBorders>
            <w:shd w:val="clear" w:color="auto" w:fill="auto"/>
            <w:vAlign w:val="center"/>
            <w:hideMark/>
          </w:tcPr>
          <w:p w:rsidR="0055491A" w:rsidRDefault="0055491A" w:rsidP="00210BF6">
            <w:pPr>
              <w:jc w:val="center"/>
              <w:rPr>
                <w:b/>
                <w:bCs/>
                <w:sz w:val="20"/>
                <w:szCs w:val="20"/>
              </w:rPr>
            </w:pPr>
            <w:r>
              <w:rPr>
                <w:b/>
                <w:bCs/>
                <w:sz w:val="20"/>
                <w:szCs w:val="20"/>
              </w:rPr>
              <w:t>196,1</w:t>
            </w:r>
          </w:p>
        </w:tc>
      </w:tr>
    </w:tbl>
    <w:p w:rsidR="0055491A" w:rsidRDefault="0055491A" w:rsidP="0055491A">
      <w:pPr>
        <w:pStyle w:val="a7"/>
        <w:spacing w:after="0"/>
        <w:ind w:left="0" w:firstLine="709"/>
        <w:jc w:val="both"/>
        <w:rPr>
          <w:sz w:val="28"/>
          <w:szCs w:val="28"/>
        </w:rPr>
      </w:pPr>
    </w:p>
    <w:p w:rsidR="0055491A" w:rsidRPr="00EA56A4" w:rsidRDefault="0055491A" w:rsidP="0055491A">
      <w:pPr>
        <w:pStyle w:val="a7"/>
        <w:spacing w:after="0"/>
        <w:ind w:left="0" w:firstLine="709"/>
        <w:jc w:val="both"/>
        <w:rPr>
          <w:sz w:val="28"/>
          <w:szCs w:val="28"/>
        </w:rPr>
      </w:pPr>
      <w:r w:rsidRPr="00EA56A4">
        <w:rPr>
          <w:b/>
          <w:sz w:val="28"/>
          <w:szCs w:val="28"/>
        </w:rPr>
        <w:t xml:space="preserve">Прогноз поступлений 2022 год – </w:t>
      </w:r>
      <w:r>
        <w:rPr>
          <w:b/>
          <w:sz w:val="28"/>
          <w:szCs w:val="28"/>
        </w:rPr>
        <w:t>196,1</w:t>
      </w:r>
      <w:r w:rsidRPr="00EA56A4">
        <w:rPr>
          <w:b/>
          <w:sz w:val="28"/>
          <w:szCs w:val="28"/>
        </w:rPr>
        <w:t xml:space="preserve"> тыс. руб., на 2023-2024 </w:t>
      </w:r>
      <w:r>
        <w:rPr>
          <w:b/>
          <w:sz w:val="28"/>
          <w:szCs w:val="28"/>
        </w:rPr>
        <w:t>годы</w:t>
      </w:r>
      <w:r w:rsidRPr="00EA56A4">
        <w:rPr>
          <w:b/>
          <w:sz w:val="28"/>
          <w:szCs w:val="28"/>
        </w:rPr>
        <w:t xml:space="preserve"> </w:t>
      </w:r>
      <w:r w:rsidRPr="00EA56A4">
        <w:rPr>
          <w:sz w:val="28"/>
          <w:szCs w:val="28"/>
        </w:rPr>
        <w:t>принят на уровне прогноза на 2022 год и составляет</w:t>
      </w:r>
      <w:r w:rsidRPr="00EA56A4">
        <w:rPr>
          <w:b/>
          <w:sz w:val="28"/>
          <w:szCs w:val="28"/>
        </w:rPr>
        <w:t xml:space="preserve"> </w:t>
      </w:r>
      <w:r>
        <w:rPr>
          <w:b/>
          <w:sz w:val="28"/>
          <w:szCs w:val="28"/>
        </w:rPr>
        <w:t>196,1</w:t>
      </w:r>
      <w:r w:rsidRPr="00EA56A4">
        <w:rPr>
          <w:b/>
          <w:sz w:val="28"/>
          <w:szCs w:val="28"/>
        </w:rPr>
        <w:t xml:space="preserve"> тыс. руб.</w:t>
      </w:r>
      <w:r>
        <w:rPr>
          <w:b/>
          <w:sz w:val="28"/>
          <w:szCs w:val="28"/>
        </w:rPr>
        <w:t xml:space="preserve"> </w:t>
      </w:r>
      <w:r w:rsidRPr="00EA56A4">
        <w:rPr>
          <w:sz w:val="28"/>
          <w:szCs w:val="28"/>
        </w:rPr>
        <w:t>ежегодно.</w:t>
      </w:r>
    </w:p>
    <w:p w:rsidR="0055491A" w:rsidRDefault="0055491A" w:rsidP="0055491A">
      <w:pPr>
        <w:pStyle w:val="a7"/>
        <w:spacing w:after="0"/>
        <w:jc w:val="both"/>
        <w:rPr>
          <w:sz w:val="28"/>
          <w:szCs w:val="28"/>
        </w:rPr>
      </w:pPr>
    </w:p>
    <w:p w:rsidR="0055491A" w:rsidRDefault="0055491A" w:rsidP="0055491A">
      <w:pPr>
        <w:pStyle w:val="a7"/>
        <w:spacing w:after="0"/>
        <w:ind w:left="0" w:firstLine="709"/>
        <w:jc w:val="both"/>
        <w:rPr>
          <w:sz w:val="28"/>
          <w:szCs w:val="28"/>
        </w:rPr>
      </w:pPr>
      <w:r>
        <w:rPr>
          <w:sz w:val="28"/>
          <w:szCs w:val="28"/>
        </w:rPr>
        <w:t xml:space="preserve"> 10. </w:t>
      </w:r>
      <w:r w:rsidRPr="00E453C9">
        <w:rPr>
          <w:sz w:val="28"/>
          <w:szCs w:val="28"/>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w:t>
      </w:r>
      <w:r>
        <w:rPr>
          <w:sz w:val="28"/>
          <w:szCs w:val="28"/>
        </w:rPr>
        <w:t xml:space="preserve">                                            (</w:t>
      </w:r>
      <w:r w:rsidRPr="00526F38">
        <w:rPr>
          <w:b/>
          <w:sz w:val="28"/>
          <w:szCs w:val="28"/>
        </w:rPr>
        <w:t>КБК 000 1 16 01140 01 0000 140</w:t>
      </w:r>
      <w:r>
        <w:rPr>
          <w:sz w:val="28"/>
          <w:szCs w:val="28"/>
        </w:rPr>
        <w:t>).</w:t>
      </w:r>
    </w:p>
    <w:p w:rsidR="0055491A" w:rsidRPr="00526F38" w:rsidRDefault="0055491A" w:rsidP="0055491A">
      <w:pPr>
        <w:pStyle w:val="a7"/>
        <w:spacing w:after="0"/>
        <w:ind w:left="0" w:firstLine="709"/>
        <w:jc w:val="both"/>
        <w:rPr>
          <w:b/>
          <w:sz w:val="28"/>
          <w:szCs w:val="28"/>
        </w:rPr>
      </w:pPr>
      <w:r w:rsidRPr="00526F38">
        <w:rPr>
          <w:b/>
          <w:sz w:val="28"/>
          <w:szCs w:val="28"/>
        </w:rPr>
        <w:t>Прогноз на 2022 год 22 950,6 тыс. руб., прогноз на 2023 год                           21 368,6 тыс. руб., прогноз на 2024 год  21 993,6 тыс. руб.</w:t>
      </w:r>
    </w:p>
    <w:p w:rsidR="0055491A" w:rsidRPr="00526F38" w:rsidRDefault="0055491A" w:rsidP="0055491A">
      <w:pPr>
        <w:pStyle w:val="a7"/>
        <w:spacing w:after="0"/>
        <w:ind w:left="0" w:firstLine="709"/>
        <w:jc w:val="both"/>
        <w:rPr>
          <w:b/>
          <w:sz w:val="28"/>
          <w:szCs w:val="28"/>
        </w:rPr>
      </w:pPr>
    </w:p>
    <w:p w:rsidR="0055491A" w:rsidRDefault="0055491A" w:rsidP="0055491A">
      <w:pPr>
        <w:pStyle w:val="a7"/>
        <w:spacing w:after="0"/>
        <w:ind w:left="0" w:firstLine="709"/>
        <w:jc w:val="both"/>
        <w:rPr>
          <w:sz w:val="28"/>
          <w:szCs w:val="28"/>
        </w:rPr>
      </w:pPr>
      <w:r>
        <w:rPr>
          <w:sz w:val="28"/>
          <w:szCs w:val="28"/>
        </w:rPr>
        <w:t xml:space="preserve"> </w:t>
      </w:r>
      <w:r w:rsidRPr="005B372E">
        <w:rPr>
          <w:sz w:val="28"/>
          <w:szCs w:val="28"/>
        </w:rPr>
        <w:t xml:space="preserve">10.1 </w:t>
      </w:r>
      <w:r w:rsidRPr="003D75BF">
        <w:rPr>
          <w:b/>
          <w:sz w:val="28"/>
          <w:szCs w:val="28"/>
        </w:rPr>
        <w:t>КБК 017 1 16 01142 01 0000 140</w:t>
      </w:r>
      <w:r w:rsidRPr="005B372E">
        <w:rPr>
          <w:sz w:val="28"/>
          <w:szCs w:val="28"/>
        </w:rPr>
        <w:t xml:space="preserve"> Административные штрафы, установленные Главой 14 Кодекса Российской Федерации об</w:t>
      </w:r>
      <w:r w:rsidRPr="00396CD1">
        <w:rPr>
          <w:sz w:val="28"/>
          <w:szCs w:val="28"/>
        </w:rPr>
        <w:t xml:space="preserve">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w:t>
      </w:r>
      <w:r>
        <w:rPr>
          <w:sz w:val="28"/>
          <w:szCs w:val="28"/>
        </w:rPr>
        <w:t>.</w:t>
      </w:r>
    </w:p>
    <w:p w:rsidR="0055491A" w:rsidRPr="003D75BF" w:rsidRDefault="0055491A" w:rsidP="0055491A">
      <w:pPr>
        <w:pStyle w:val="a7"/>
        <w:spacing w:after="0"/>
        <w:ind w:left="0" w:firstLine="709"/>
        <w:jc w:val="both"/>
        <w:rPr>
          <w:b/>
          <w:sz w:val="28"/>
          <w:szCs w:val="28"/>
        </w:rPr>
      </w:pPr>
      <w:r w:rsidRPr="003D75BF">
        <w:rPr>
          <w:b/>
          <w:sz w:val="28"/>
          <w:szCs w:val="28"/>
        </w:rPr>
        <w:lastRenderedPageBreak/>
        <w:t>Главный администратор доходов - Главное управление «Государственная жилищная инспекция» Тверской области.</w:t>
      </w:r>
    </w:p>
    <w:p w:rsidR="0055491A" w:rsidRDefault="0055491A" w:rsidP="0055491A">
      <w:pPr>
        <w:pStyle w:val="a7"/>
        <w:spacing w:after="0"/>
        <w:ind w:left="0" w:firstLine="709"/>
        <w:jc w:val="both"/>
        <w:rPr>
          <w:sz w:val="28"/>
          <w:szCs w:val="28"/>
        </w:rPr>
      </w:pPr>
      <w:r w:rsidRPr="000D4676">
        <w:rPr>
          <w:sz w:val="28"/>
          <w:szCs w:val="28"/>
        </w:rPr>
        <w:t xml:space="preserve">Расчет произведен в соответствии с методикой, утвержденной приказом </w:t>
      </w:r>
      <w:r w:rsidRPr="00B03A5B">
        <w:rPr>
          <w:sz w:val="28"/>
          <w:szCs w:val="28"/>
        </w:rPr>
        <w:t>Главно</w:t>
      </w:r>
      <w:r>
        <w:rPr>
          <w:sz w:val="28"/>
          <w:szCs w:val="28"/>
        </w:rPr>
        <w:t>го управления «</w:t>
      </w:r>
      <w:r w:rsidRPr="00B03A5B">
        <w:rPr>
          <w:sz w:val="28"/>
          <w:szCs w:val="28"/>
        </w:rPr>
        <w:t>Государственн</w:t>
      </w:r>
      <w:r>
        <w:rPr>
          <w:sz w:val="28"/>
          <w:szCs w:val="28"/>
        </w:rPr>
        <w:t>ой жилищной инспекции»</w:t>
      </w:r>
      <w:r w:rsidRPr="00B03A5B">
        <w:rPr>
          <w:sz w:val="28"/>
          <w:szCs w:val="28"/>
        </w:rPr>
        <w:t xml:space="preserve"> Тверской области</w:t>
      </w:r>
      <w:r>
        <w:rPr>
          <w:sz w:val="28"/>
          <w:szCs w:val="28"/>
        </w:rPr>
        <w:t xml:space="preserve"> от 25.06.2020 № 40-ОД (с учетом принятых изменений).</w:t>
      </w:r>
    </w:p>
    <w:p w:rsidR="0055491A" w:rsidRDefault="0055491A" w:rsidP="0055491A">
      <w:pPr>
        <w:spacing w:line="252" w:lineRule="auto"/>
        <w:ind w:firstLine="709"/>
        <w:jc w:val="both"/>
        <w:rPr>
          <w:sz w:val="28"/>
        </w:rPr>
      </w:pPr>
      <w:r>
        <w:rPr>
          <w:sz w:val="28"/>
        </w:rPr>
        <w:t>Прогноз поступлений доходов рассчитан методом прямого расчета по количеству привлечений физических и юридических лиц  к административной ответственности за осуществление предпринимательской деятельности по управлению многоквартирными домами с нарушением лицензионных требований в соответствии с частью 2 статьи 14.1.3 КоАП РФ.</w:t>
      </w:r>
    </w:p>
    <w:p w:rsidR="0055491A" w:rsidRDefault="0055491A" w:rsidP="0055491A">
      <w:pPr>
        <w:spacing w:line="252" w:lineRule="auto"/>
        <w:ind w:firstLine="709"/>
        <w:jc w:val="both"/>
        <w:rPr>
          <w:sz w:val="28"/>
        </w:rPr>
      </w:pPr>
    </w:p>
    <w:tbl>
      <w:tblPr>
        <w:tblW w:w="9346" w:type="dxa"/>
        <w:tblLook w:val="04A0" w:firstRow="1" w:lastRow="0" w:firstColumn="1" w:lastColumn="0" w:noHBand="0" w:noVBand="1"/>
      </w:tblPr>
      <w:tblGrid>
        <w:gridCol w:w="984"/>
        <w:gridCol w:w="723"/>
        <w:gridCol w:w="701"/>
        <w:gridCol w:w="709"/>
        <w:gridCol w:w="707"/>
        <w:gridCol w:w="706"/>
        <w:gridCol w:w="707"/>
        <w:gridCol w:w="707"/>
        <w:gridCol w:w="1134"/>
        <w:gridCol w:w="1134"/>
        <w:gridCol w:w="1134"/>
      </w:tblGrid>
      <w:tr w:rsidR="0055491A" w:rsidRPr="00F80477" w:rsidTr="00210BF6">
        <w:trPr>
          <w:trHeight w:val="645"/>
        </w:trPr>
        <w:tc>
          <w:tcPr>
            <w:tcW w:w="984"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rsidR="0055491A" w:rsidRDefault="0055491A" w:rsidP="00210BF6">
            <w:pPr>
              <w:jc w:val="center"/>
              <w:rPr>
                <w:b/>
                <w:bCs/>
                <w:sz w:val="20"/>
                <w:szCs w:val="20"/>
              </w:rPr>
            </w:pPr>
            <w:r>
              <w:rPr>
                <w:b/>
                <w:bCs/>
                <w:sz w:val="20"/>
                <w:szCs w:val="20"/>
              </w:rPr>
              <w:t>Размер штрафа, тыс. руб.</w:t>
            </w:r>
          </w:p>
        </w:tc>
        <w:tc>
          <w:tcPr>
            <w:tcW w:w="4960" w:type="dxa"/>
            <w:gridSpan w:val="7"/>
            <w:tcBorders>
              <w:top w:val="single" w:sz="8" w:space="0" w:color="auto"/>
              <w:left w:val="nil"/>
              <w:bottom w:val="single" w:sz="4" w:space="0" w:color="auto"/>
              <w:right w:val="single" w:sz="4" w:space="0" w:color="auto"/>
            </w:tcBorders>
          </w:tcPr>
          <w:p w:rsidR="0055491A" w:rsidRPr="00F80477" w:rsidRDefault="0055491A" w:rsidP="00210BF6">
            <w:pPr>
              <w:jc w:val="center"/>
              <w:rPr>
                <w:b/>
                <w:bCs/>
              </w:rPr>
            </w:pPr>
            <w:r w:rsidRPr="00F80477">
              <w:rPr>
                <w:b/>
                <w:bCs/>
              </w:rPr>
              <w:t>Количество правонарушений                                     (с учетом округления</w:t>
            </w:r>
            <w:r>
              <w:rPr>
                <w:b/>
                <w:bCs/>
              </w:rPr>
              <w:t xml:space="preserve"> </w:t>
            </w:r>
            <w:r w:rsidRPr="00F80477">
              <w:rPr>
                <w:b/>
                <w:bCs/>
              </w:rPr>
              <w:t>)</w:t>
            </w:r>
          </w:p>
        </w:tc>
        <w:tc>
          <w:tcPr>
            <w:tcW w:w="3402" w:type="dxa"/>
            <w:gridSpan w:val="3"/>
            <w:tcBorders>
              <w:top w:val="single" w:sz="8" w:space="0" w:color="auto"/>
              <w:left w:val="nil"/>
              <w:bottom w:val="single" w:sz="4" w:space="0" w:color="auto"/>
              <w:right w:val="single" w:sz="8" w:space="0" w:color="000000"/>
            </w:tcBorders>
            <w:shd w:val="clear" w:color="auto" w:fill="auto"/>
            <w:vAlign w:val="center"/>
            <w:hideMark/>
          </w:tcPr>
          <w:p w:rsidR="0055491A" w:rsidRPr="00F80477" w:rsidRDefault="0055491A" w:rsidP="00210BF6">
            <w:pPr>
              <w:jc w:val="center"/>
              <w:rPr>
                <w:b/>
                <w:bCs/>
              </w:rPr>
            </w:pPr>
            <w:r w:rsidRPr="00F80477">
              <w:rPr>
                <w:b/>
                <w:bCs/>
              </w:rPr>
              <w:t xml:space="preserve">Прогноз </w:t>
            </w:r>
          </w:p>
        </w:tc>
      </w:tr>
      <w:tr w:rsidR="0055491A" w:rsidTr="00210BF6">
        <w:trPr>
          <w:trHeight w:val="1005"/>
        </w:trPr>
        <w:tc>
          <w:tcPr>
            <w:tcW w:w="984" w:type="dxa"/>
            <w:vMerge/>
            <w:tcBorders>
              <w:top w:val="single" w:sz="8" w:space="0" w:color="000000"/>
              <w:left w:val="single" w:sz="8" w:space="0" w:color="auto"/>
              <w:bottom w:val="single" w:sz="4" w:space="0" w:color="auto"/>
              <w:right w:val="single" w:sz="8" w:space="0" w:color="auto"/>
            </w:tcBorders>
            <w:vAlign w:val="center"/>
            <w:hideMark/>
          </w:tcPr>
          <w:p w:rsidR="0055491A" w:rsidRDefault="0055491A" w:rsidP="00210BF6">
            <w:pPr>
              <w:rPr>
                <w:b/>
                <w:bCs/>
                <w:sz w:val="20"/>
                <w:szCs w:val="20"/>
              </w:rPr>
            </w:pPr>
          </w:p>
        </w:tc>
        <w:tc>
          <w:tcPr>
            <w:tcW w:w="723" w:type="dxa"/>
            <w:tcBorders>
              <w:top w:val="nil"/>
              <w:left w:val="single" w:sz="4" w:space="0" w:color="auto"/>
              <w:bottom w:val="single" w:sz="4" w:space="0" w:color="auto"/>
              <w:right w:val="single" w:sz="4" w:space="0" w:color="auto"/>
            </w:tcBorders>
            <w:shd w:val="clear" w:color="auto" w:fill="auto"/>
            <w:vAlign w:val="center"/>
            <w:hideMark/>
          </w:tcPr>
          <w:p w:rsidR="0055491A" w:rsidRDefault="0055491A" w:rsidP="00210BF6">
            <w:pPr>
              <w:jc w:val="center"/>
              <w:rPr>
                <w:b/>
                <w:bCs/>
                <w:sz w:val="20"/>
                <w:szCs w:val="20"/>
              </w:rPr>
            </w:pPr>
            <w:r>
              <w:rPr>
                <w:b/>
                <w:bCs/>
                <w:sz w:val="20"/>
                <w:szCs w:val="20"/>
              </w:rPr>
              <w:t>2018 год</w:t>
            </w:r>
          </w:p>
        </w:tc>
        <w:tc>
          <w:tcPr>
            <w:tcW w:w="701" w:type="dxa"/>
            <w:tcBorders>
              <w:top w:val="nil"/>
              <w:left w:val="nil"/>
              <w:bottom w:val="single" w:sz="4" w:space="0" w:color="auto"/>
              <w:right w:val="single" w:sz="4" w:space="0" w:color="auto"/>
            </w:tcBorders>
            <w:shd w:val="clear" w:color="auto" w:fill="auto"/>
            <w:vAlign w:val="center"/>
            <w:hideMark/>
          </w:tcPr>
          <w:p w:rsidR="0055491A" w:rsidRDefault="0055491A" w:rsidP="00210BF6">
            <w:pPr>
              <w:jc w:val="center"/>
              <w:rPr>
                <w:b/>
                <w:bCs/>
                <w:sz w:val="20"/>
                <w:szCs w:val="20"/>
              </w:rPr>
            </w:pPr>
            <w:r>
              <w:rPr>
                <w:b/>
                <w:bCs/>
                <w:sz w:val="20"/>
                <w:szCs w:val="20"/>
              </w:rPr>
              <w:t>2019 год</w:t>
            </w:r>
          </w:p>
        </w:tc>
        <w:tc>
          <w:tcPr>
            <w:tcW w:w="709" w:type="dxa"/>
            <w:tcBorders>
              <w:top w:val="nil"/>
              <w:left w:val="nil"/>
              <w:bottom w:val="single" w:sz="4" w:space="0" w:color="auto"/>
              <w:right w:val="single" w:sz="4" w:space="0" w:color="auto"/>
            </w:tcBorders>
            <w:shd w:val="clear" w:color="auto" w:fill="auto"/>
            <w:vAlign w:val="center"/>
            <w:hideMark/>
          </w:tcPr>
          <w:p w:rsidR="0055491A" w:rsidRDefault="0055491A" w:rsidP="00210BF6">
            <w:pPr>
              <w:jc w:val="center"/>
              <w:rPr>
                <w:b/>
                <w:bCs/>
                <w:sz w:val="20"/>
                <w:szCs w:val="20"/>
              </w:rPr>
            </w:pPr>
            <w:r>
              <w:rPr>
                <w:b/>
                <w:bCs/>
                <w:sz w:val="20"/>
                <w:szCs w:val="20"/>
              </w:rPr>
              <w:t>2020 год</w:t>
            </w:r>
          </w:p>
        </w:tc>
        <w:tc>
          <w:tcPr>
            <w:tcW w:w="707" w:type="dxa"/>
            <w:tcBorders>
              <w:top w:val="nil"/>
              <w:left w:val="nil"/>
              <w:bottom w:val="single" w:sz="4" w:space="0" w:color="auto"/>
              <w:right w:val="nil"/>
            </w:tcBorders>
            <w:vAlign w:val="center"/>
          </w:tcPr>
          <w:p w:rsidR="0055491A" w:rsidRPr="00191EBF" w:rsidRDefault="0055491A" w:rsidP="00210BF6">
            <w:pPr>
              <w:jc w:val="center"/>
              <w:rPr>
                <w:bCs/>
                <w:sz w:val="20"/>
                <w:szCs w:val="20"/>
              </w:rPr>
            </w:pPr>
            <w:r w:rsidRPr="00191EBF">
              <w:rPr>
                <w:b/>
                <w:bCs/>
                <w:sz w:val="20"/>
                <w:szCs w:val="20"/>
              </w:rPr>
              <w:t>Ср. на 202</w:t>
            </w:r>
            <w:r>
              <w:rPr>
                <w:b/>
                <w:bCs/>
                <w:sz w:val="20"/>
                <w:szCs w:val="20"/>
              </w:rPr>
              <w:t>1</w:t>
            </w:r>
            <w:r w:rsidRPr="00191EBF">
              <w:rPr>
                <w:b/>
                <w:bCs/>
                <w:sz w:val="20"/>
                <w:szCs w:val="20"/>
              </w:rPr>
              <w:t xml:space="preserve"> год</w:t>
            </w:r>
          </w:p>
        </w:tc>
        <w:tc>
          <w:tcPr>
            <w:tcW w:w="706" w:type="dxa"/>
            <w:tcBorders>
              <w:top w:val="nil"/>
              <w:left w:val="nil"/>
              <w:bottom w:val="single" w:sz="4" w:space="0" w:color="auto"/>
              <w:right w:val="single" w:sz="4" w:space="0" w:color="auto"/>
            </w:tcBorders>
            <w:shd w:val="clear" w:color="auto" w:fill="auto"/>
            <w:vAlign w:val="center"/>
            <w:hideMark/>
          </w:tcPr>
          <w:p w:rsidR="0055491A" w:rsidRDefault="0055491A" w:rsidP="00210BF6">
            <w:pPr>
              <w:jc w:val="center"/>
              <w:rPr>
                <w:b/>
                <w:bCs/>
                <w:sz w:val="20"/>
                <w:szCs w:val="20"/>
              </w:rPr>
            </w:pPr>
            <w:r>
              <w:rPr>
                <w:b/>
                <w:bCs/>
                <w:sz w:val="20"/>
                <w:szCs w:val="20"/>
              </w:rPr>
              <w:t>Ср. на 2022 год</w:t>
            </w:r>
          </w:p>
        </w:tc>
        <w:tc>
          <w:tcPr>
            <w:tcW w:w="707" w:type="dxa"/>
            <w:tcBorders>
              <w:top w:val="nil"/>
              <w:left w:val="nil"/>
              <w:bottom w:val="single" w:sz="4" w:space="0" w:color="auto"/>
              <w:right w:val="single" w:sz="4" w:space="0" w:color="auto"/>
            </w:tcBorders>
            <w:shd w:val="clear" w:color="auto" w:fill="auto"/>
            <w:vAlign w:val="center"/>
            <w:hideMark/>
          </w:tcPr>
          <w:p w:rsidR="0055491A" w:rsidRDefault="0055491A" w:rsidP="00210BF6">
            <w:pPr>
              <w:jc w:val="center"/>
              <w:rPr>
                <w:b/>
                <w:bCs/>
                <w:sz w:val="20"/>
                <w:szCs w:val="20"/>
              </w:rPr>
            </w:pPr>
            <w:r>
              <w:rPr>
                <w:b/>
                <w:bCs/>
                <w:sz w:val="20"/>
                <w:szCs w:val="20"/>
              </w:rPr>
              <w:t>Ср.  на 2023 год</w:t>
            </w:r>
          </w:p>
        </w:tc>
        <w:tc>
          <w:tcPr>
            <w:tcW w:w="707" w:type="dxa"/>
            <w:tcBorders>
              <w:top w:val="nil"/>
              <w:left w:val="nil"/>
              <w:bottom w:val="single" w:sz="4" w:space="0" w:color="auto"/>
              <w:right w:val="nil"/>
            </w:tcBorders>
            <w:shd w:val="clear" w:color="auto" w:fill="auto"/>
            <w:vAlign w:val="center"/>
            <w:hideMark/>
          </w:tcPr>
          <w:p w:rsidR="0055491A" w:rsidRDefault="0055491A" w:rsidP="00210BF6">
            <w:pPr>
              <w:jc w:val="center"/>
              <w:rPr>
                <w:b/>
                <w:bCs/>
                <w:sz w:val="20"/>
                <w:szCs w:val="20"/>
              </w:rPr>
            </w:pPr>
            <w:r>
              <w:rPr>
                <w:b/>
                <w:bCs/>
                <w:sz w:val="20"/>
                <w:szCs w:val="20"/>
              </w:rPr>
              <w:t>Ср. на 2024 год</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55491A" w:rsidRDefault="0055491A" w:rsidP="00210BF6">
            <w:pPr>
              <w:jc w:val="center"/>
              <w:rPr>
                <w:b/>
                <w:bCs/>
                <w:sz w:val="20"/>
                <w:szCs w:val="20"/>
              </w:rPr>
            </w:pPr>
            <w:r>
              <w:rPr>
                <w:b/>
                <w:bCs/>
                <w:sz w:val="20"/>
                <w:szCs w:val="20"/>
              </w:rPr>
              <w:t>2022 год</w:t>
            </w:r>
          </w:p>
        </w:tc>
        <w:tc>
          <w:tcPr>
            <w:tcW w:w="1134" w:type="dxa"/>
            <w:tcBorders>
              <w:top w:val="nil"/>
              <w:left w:val="nil"/>
              <w:bottom w:val="single" w:sz="4" w:space="0" w:color="auto"/>
              <w:right w:val="single" w:sz="4" w:space="0" w:color="auto"/>
            </w:tcBorders>
            <w:shd w:val="clear" w:color="auto" w:fill="auto"/>
            <w:noWrap/>
            <w:vAlign w:val="center"/>
            <w:hideMark/>
          </w:tcPr>
          <w:p w:rsidR="0055491A" w:rsidRDefault="0055491A" w:rsidP="00210BF6">
            <w:pPr>
              <w:jc w:val="center"/>
              <w:rPr>
                <w:b/>
                <w:bCs/>
                <w:sz w:val="20"/>
                <w:szCs w:val="20"/>
              </w:rPr>
            </w:pPr>
            <w:r>
              <w:rPr>
                <w:b/>
                <w:bCs/>
                <w:sz w:val="20"/>
                <w:szCs w:val="20"/>
              </w:rPr>
              <w:t>2023 год</w:t>
            </w:r>
          </w:p>
        </w:tc>
        <w:tc>
          <w:tcPr>
            <w:tcW w:w="1134" w:type="dxa"/>
            <w:tcBorders>
              <w:top w:val="nil"/>
              <w:left w:val="nil"/>
              <w:bottom w:val="single" w:sz="4" w:space="0" w:color="auto"/>
              <w:right w:val="single" w:sz="8" w:space="0" w:color="auto"/>
            </w:tcBorders>
            <w:shd w:val="clear" w:color="auto" w:fill="auto"/>
            <w:noWrap/>
            <w:vAlign w:val="center"/>
            <w:hideMark/>
          </w:tcPr>
          <w:p w:rsidR="0055491A" w:rsidRDefault="0055491A" w:rsidP="00210BF6">
            <w:pPr>
              <w:jc w:val="center"/>
              <w:rPr>
                <w:b/>
                <w:bCs/>
                <w:sz w:val="20"/>
                <w:szCs w:val="20"/>
              </w:rPr>
            </w:pPr>
            <w:r>
              <w:rPr>
                <w:b/>
                <w:bCs/>
                <w:sz w:val="20"/>
                <w:szCs w:val="20"/>
              </w:rPr>
              <w:t>2024 год</w:t>
            </w:r>
          </w:p>
        </w:tc>
      </w:tr>
      <w:tr w:rsidR="0055491A" w:rsidRPr="00F80477" w:rsidTr="00210BF6">
        <w:trPr>
          <w:trHeight w:val="255"/>
        </w:trPr>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491A" w:rsidRPr="00F80477" w:rsidRDefault="0055491A" w:rsidP="00210BF6">
            <w:pPr>
              <w:jc w:val="center"/>
            </w:pPr>
            <w:r>
              <w:t>25</w:t>
            </w:r>
          </w:p>
        </w:tc>
        <w:tc>
          <w:tcPr>
            <w:tcW w:w="723" w:type="dxa"/>
            <w:tcBorders>
              <w:top w:val="single" w:sz="4" w:space="0" w:color="auto"/>
              <w:left w:val="single" w:sz="4" w:space="0" w:color="auto"/>
              <w:bottom w:val="single" w:sz="4" w:space="0" w:color="auto"/>
              <w:right w:val="single" w:sz="4" w:space="0" w:color="auto"/>
            </w:tcBorders>
            <w:shd w:val="clear" w:color="auto" w:fill="auto"/>
            <w:noWrap/>
            <w:hideMark/>
          </w:tcPr>
          <w:p w:rsidR="0055491A" w:rsidRPr="00D5470B" w:rsidRDefault="0055491A" w:rsidP="00210BF6">
            <w:pPr>
              <w:jc w:val="center"/>
              <w:rPr>
                <w:color w:val="000000"/>
              </w:rPr>
            </w:pPr>
            <w:r w:rsidRPr="00D5470B">
              <w:rPr>
                <w:color w:val="000000"/>
              </w:rPr>
              <w:t>14</w:t>
            </w:r>
          </w:p>
        </w:tc>
        <w:tc>
          <w:tcPr>
            <w:tcW w:w="701" w:type="dxa"/>
            <w:tcBorders>
              <w:top w:val="single" w:sz="4" w:space="0" w:color="auto"/>
              <w:left w:val="nil"/>
              <w:bottom w:val="single" w:sz="4" w:space="0" w:color="auto"/>
              <w:right w:val="single" w:sz="4" w:space="0" w:color="auto"/>
            </w:tcBorders>
            <w:shd w:val="clear" w:color="auto" w:fill="auto"/>
            <w:noWrap/>
            <w:hideMark/>
          </w:tcPr>
          <w:p w:rsidR="0055491A" w:rsidRPr="00D5470B" w:rsidRDefault="0055491A" w:rsidP="00210BF6">
            <w:pPr>
              <w:jc w:val="center"/>
              <w:rPr>
                <w:color w:val="000000"/>
              </w:rPr>
            </w:pPr>
            <w:r w:rsidRPr="00D5470B">
              <w:rPr>
                <w:color w:val="000000"/>
              </w:rPr>
              <w:t>63</w:t>
            </w:r>
          </w:p>
        </w:tc>
        <w:tc>
          <w:tcPr>
            <w:tcW w:w="709" w:type="dxa"/>
            <w:tcBorders>
              <w:top w:val="single" w:sz="4" w:space="0" w:color="auto"/>
              <w:left w:val="nil"/>
              <w:bottom w:val="single" w:sz="4" w:space="0" w:color="auto"/>
              <w:right w:val="single" w:sz="4" w:space="0" w:color="auto"/>
            </w:tcBorders>
            <w:shd w:val="clear" w:color="auto" w:fill="auto"/>
            <w:noWrap/>
            <w:hideMark/>
          </w:tcPr>
          <w:p w:rsidR="0055491A" w:rsidRPr="00D5470B" w:rsidRDefault="0055491A" w:rsidP="00210BF6">
            <w:pPr>
              <w:jc w:val="center"/>
              <w:rPr>
                <w:color w:val="000000"/>
              </w:rPr>
            </w:pPr>
            <w:r w:rsidRPr="00D5470B">
              <w:rPr>
                <w:color w:val="000000"/>
              </w:rPr>
              <w:t>48</w:t>
            </w:r>
          </w:p>
        </w:tc>
        <w:tc>
          <w:tcPr>
            <w:tcW w:w="707" w:type="dxa"/>
            <w:tcBorders>
              <w:top w:val="single" w:sz="4" w:space="0" w:color="auto"/>
              <w:left w:val="nil"/>
              <w:bottom w:val="single" w:sz="4" w:space="0" w:color="auto"/>
              <w:right w:val="single" w:sz="4" w:space="0" w:color="auto"/>
            </w:tcBorders>
            <w:shd w:val="clear" w:color="auto" w:fill="FFFFFF" w:themeFill="background1"/>
          </w:tcPr>
          <w:p w:rsidR="0055491A" w:rsidRPr="00D5470B" w:rsidRDefault="0055491A" w:rsidP="00210BF6">
            <w:pPr>
              <w:jc w:val="center"/>
              <w:rPr>
                <w:color w:val="000000"/>
              </w:rPr>
            </w:pPr>
            <w:r w:rsidRPr="00D5470B">
              <w:rPr>
                <w:color w:val="000000"/>
              </w:rPr>
              <w:t>42</w:t>
            </w:r>
          </w:p>
        </w:tc>
        <w:tc>
          <w:tcPr>
            <w:tcW w:w="70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5491A" w:rsidRPr="00D5470B" w:rsidRDefault="0055491A" w:rsidP="00210BF6">
            <w:pPr>
              <w:jc w:val="center"/>
              <w:rPr>
                <w:color w:val="000000"/>
              </w:rPr>
            </w:pPr>
            <w:r w:rsidRPr="00D5470B">
              <w:rPr>
                <w:color w:val="000000"/>
              </w:rPr>
              <w:t>51</w:t>
            </w:r>
          </w:p>
        </w:tc>
        <w:tc>
          <w:tcPr>
            <w:tcW w:w="7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5491A" w:rsidRPr="00D5470B" w:rsidRDefault="0055491A" w:rsidP="00210BF6">
            <w:pPr>
              <w:jc w:val="center"/>
              <w:rPr>
                <w:color w:val="000000"/>
              </w:rPr>
            </w:pPr>
            <w:r w:rsidRPr="00D5470B">
              <w:rPr>
                <w:color w:val="000000"/>
              </w:rPr>
              <w:t>47</w:t>
            </w:r>
          </w:p>
        </w:tc>
        <w:tc>
          <w:tcPr>
            <w:tcW w:w="7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5491A" w:rsidRPr="00D5470B" w:rsidRDefault="0055491A" w:rsidP="00210BF6">
            <w:pPr>
              <w:jc w:val="center"/>
              <w:rPr>
                <w:color w:val="000000"/>
              </w:rPr>
            </w:pPr>
            <w:r w:rsidRPr="00D5470B">
              <w:rPr>
                <w:color w:val="000000"/>
              </w:rPr>
              <w:t>47</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5491A" w:rsidRPr="00D5470B" w:rsidRDefault="0055491A" w:rsidP="00210BF6">
            <w:pPr>
              <w:jc w:val="center"/>
              <w:rPr>
                <w:color w:val="000000"/>
              </w:rPr>
            </w:pPr>
            <w:r w:rsidRPr="00D5470B">
              <w:rPr>
                <w:color w:val="000000"/>
              </w:rPr>
              <w:t>1</w:t>
            </w:r>
            <w:r>
              <w:rPr>
                <w:color w:val="000000"/>
              </w:rPr>
              <w:t xml:space="preserve"> </w:t>
            </w:r>
            <w:r w:rsidRPr="00D5470B">
              <w:rPr>
                <w:color w:val="000000"/>
              </w:rPr>
              <w:t>275,0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5491A" w:rsidRPr="00D5470B" w:rsidRDefault="0055491A" w:rsidP="00210BF6">
            <w:pPr>
              <w:jc w:val="center"/>
              <w:rPr>
                <w:color w:val="000000"/>
              </w:rPr>
            </w:pPr>
            <w:r w:rsidRPr="00D5470B">
              <w:rPr>
                <w:color w:val="000000"/>
              </w:rPr>
              <w:t>1</w:t>
            </w:r>
            <w:r>
              <w:rPr>
                <w:color w:val="000000"/>
              </w:rPr>
              <w:t xml:space="preserve"> </w:t>
            </w:r>
            <w:r w:rsidRPr="00D5470B">
              <w:rPr>
                <w:color w:val="000000"/>
              </w:rPr>
              <w:t>175,0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5491A" w:rsidRPr="00D5470B" w:rsidRDefault="0055491A" w:rsidP="00210BF6">
            <w:pPr>
              <w:jc w:val="center"/>
              <w:rPr>
                <w:color w:val="000000"/>
              </w:rPr>
            </w:pPr>
            <w:r w:rsidRPr="00D5470B">
              <w:rPr>
                <w:color w:val="000000"/>
              </w:rPr>
              <w:t>1</w:t>
            </w:r>
            <w:r>
              <w:rPr>
                <w:color w:val="000000"/>
              </w:rPr>
              <w:t xml:space="preserve"> </w:t>
            </w:r>
            <w:r w:rsidRPr="00D5470B">
              <w:rPr>
                <w:color w:val="000000"/>
              </w:rPr>
              <w:t>175,0</w:t>
            </w:r>
          </w:p>
        </w:tc>
      </w:tr>
      <w:tr w:rsidR="0055491A" w:rsidRPr="00F80477" w:rsidTr="00210BF6">
        <w:trPr>
          <w:trHeight w:val="255"/>
        </w:trPr>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491A" w:rsidRPr="00F80477" w:rsidRDefault="0055491A" w:rsidP="00210BF6">
            <w:pPr>
              <w:jc w:val="center"/>
            </w:pPr>
            <w:r>
              <w:t>50</w:t>
            </w:r>
          </w:p>
        </w:tc>
        <w:tc>
          <w:tcPr>
            <w:tcW w:w="723" w:type="dxa"/>
            <w:tcBorders>
              <w:top w:val="nil"/>
              <w:left w:val="single" w:sz="4" w:space="0" w:color="auto"/>
              <w:bottom w:val="single" w:sz="4" w:space="0" w:color="auto"/>
              <w:right w:val="single" w:sz="4" w:space="0" w:color="auto"/>
            </w:tcBorders>
            <w:shd w:val="clear" w:color="auto" w:fill="auto"/>
            <w:noWrap/>
            <w:hideMark/>
          </w:tcPr>
          <w:p w:rsidR="0055491A" w:rsidRPr="00D5470B" w:rsidRDefault="0055491A" w:rsidP="00210BF6">
            <w:pPr>
              <w:jc w:val="center"/>
              <w:rPr>
                <w:color w:val="000000"/>
              </w:rPr>
            </w:pPr>
            <w:r w:rsidRPr="00D5470B">
              <w:rPr>
                <w:color w:val="000000"/>
              </w:rPr>
              <w:t>11</w:t>
            </w:r>
          </w:p>
        </w:tc>
        <w:tc>
          <w:tcPr>
            <w:tcW w:w="701" w:type="dxa"/>
            <w:tcBorders>
              <w:top w:val="nil"/>
              <w:left w:val="nil"/>
              <w:bottom w:val="single" w:sz="4" w:space="0" w:color="auto"/>
              <w:right w:val="single" w:sz="4" w:space="0" w:color="auto"/>
            </w:tcBorders>
            <w:shd w:val="clear" w:color="auto" w:fill="auto"/>
            <w:noWrap/>
            <w:hideMark/>
          </w:tcPr>
          <w:p w:rsidR="0055491A" w:rsidRPr="00D5470B" w:rsidRDefault="0055491A" w:rsidP="00210BF6">
            <w:pPr>
              <w:jc w:val="center"/>
              <w:rPr>
                <w:color w:val="000000"/>
              </w:rPr>
            </w:pPr>
            <w:r w:rsidRPr="00D5470B">
              <w:rPr>
                <w:color w:val="000000"/>
              </w:rPr>
              <w:t>26</w:t>
            </w:r>
          </w:p>
        </w:tc>
        <w:tc>
          <w:tcPr>
            <w:tcW w:w="709" w:type="dxa"/>
            <w:tcBorders>
              <w:top w:val="nil"/>
              <w:left w:val="nil"/>
              <w:bottom w:val="single" w:sz="4" w:space="0" w:color="auto"/>
              <w:right w:val="single" w:sz="4" w:space="0" w:color="auto"/>
            </w:tcBorders>
            <w:shd w:val="clear" w:color="auto" w:fill="auto"/>
            <w:noWrap/>
            <w:hideMark/>
          </w:tcPr>
          <w:p w:rsidR="0055491A" w:rsidRPr="00D5470B" w:rsidRDefault="0055491A" w:rsidP="00210BF6">
            <w:pPr>
              <w:jc w:val="center"/>
              <w:rPr>
                <w:color w:val="000000"/>
              </w:rPr>
            </w:pPr>
            <w:r w:rsidRPr="00D5470B">
              <w:rPr>
                <w:color w:val="000000"/>
              </w:rPr>
              <w:t>13</w:t>
            </w:r>
          </w:p>
        </w:tc>
        <w:tc>
          <w:tcPr>
            <w:tcW w:w="707" w:type="dxa"/>
            <w:tcBorders>
              <w:top w:val="nil"/>
              <w:left w:val="nil"/>
              <w:bottom w:val="single" w:sz="4" w:space="0" w:color="auto"/>
              <w:right w:val="single" w:sz="4" w:space="0" w:color="auto"/>
            </w:tcBorders>
            <w:shd w:val="clear" w:color="auto" w:fill="FFFFFF" w:themeFill="background1"/>
          </w:tcPr>
          <w:p w:rsidR="0055491A" w:rsidRPr="00D5470B" w:rsidRDefault="0055491A" w:rsidP="00210BF6">
            <w:pPr>
              <w:jc w:val="center"/>
              <w:rPr>
                <w:color w:val="000000"/>
              </w:rPr>
            </w:pPr>
            <w:r w:rsidRPr="00D5470B">
              <w:rPr>
                <w:color w:val="000000"/>
              </w:rPr>
              <w:t>17</w:t>
            </w:r>
          </w:p>
        </w:tc>
        <w:tc>
          <w:tcPr>
            <w:tcW w:w="706" w:type="dxa"/>
            <w:tcBorders>
              <w:top w:val="nil"/>
              <w:left w:val="single" w:sz="4" w:space="0" w:color="auto"/>
              <w:bottom w:val="single" w:sz="4" w:space="0" w:color="auto"/>
              <w:right w:val="single" w:sz="4" w:space="0" w:color="auto"/>
            </w:tcBorders>
            <w:shd w:val="clear" w:color="auto" w:fill="FFFFFF" w:themeFill="background1"/>
            <w:hideMark/>
          </w:tcPr>
          <w:p w:rsidR="0055491A" w:rsidRPr="00D5470B" w:rsidRDefault="0055491A" w:rsidP="00210BF6">
            <w:pPr>
              <w:jc w:val="center"/>
              <w:rPr>
                <w:color w:val="000000"/>
              </w:rPr>
            </w:pPr>
            <w:r w:rsidRPr="00D5470B">
              <w:rPr>
                <w:color w:val="000000"/>
              </w:rPr>
              <w:t>19</w:t>
            </w:r>
          </w:p>
        </w:tc>
        <w:tc>
          <w:tcPr>
            <w:tcW w:w="707" w:type="dxa"/>
            <w:tcBorders>
              <w:top w:val="nil"/>
              <w:left w:val="single" w:sz="4" w:space="0" w:color="auto"/>
              <w:bottom w:val="single" w:sz="4" w:space="0" w:color="auto"/>
              <w:right w:val="single" w:sz="4" w:space="0" w:color="auto"/>
            </w:tcBorders>
            <w:shd w:val="clear" w:color="auto" w:fill="FFFFFF" w:themeFill="background1"/>
            <w:hideMark/>
          </w:tcPr>
          <w:p w:rsidR="0055491A" w:rsidRPr="00D5470B" w:rsidRDefault="0055491A" w:rsidP="00210BF6">
            <w:pPr>
              <w:jc w:val="center"/>
              <w:rPr>
                <w:color w:val="000000"/>
              </w:rPr>
            </w:pPr>
            <w:r w:rsidRPr="00D5470B">
              <w:rPr>
                <w:color w:val="000000"/>
              </w:rPr>
              <w:t>16</w:t>
            </w:r>
          </w:p>
        </w:tc>
        <w:tc>
          <w:tcPr>
            <w:tcW w:w="707" w:type="dxa"/>
            <w:tcBorders>
              <w:top w:val="nil"/>
              <w:left w:val="single" w:sz="4" w:space="0" w:color="auto"/>
              <w:bottom w:val="single" w:sz="4" w:space="0" w:color="auto"/>
              <w:right w:val="single" w:sz="4" w:space="0" w:color="auto"/>
            </w:tcBorders>
            <w:shd w:val="clear" w:color="auto" w:fill="FFFFFF" w:themeFill="background1"/>
            <w:hideMark/>
          </w:tcPr>
          <w:p w:rsidR="0055491A" w:rsidRPr="00D5470B" w:rsidRDefault="0055491A" w:rsidP="00210BF6">
            <w:pPr>
              <w:jc w:val="center"/>
              <w:rPr>
                <w:color w:val="000000"/>
              </w:rPr>
            </w:pPr>
            <w:r w:rsidRPr="00D5470B">
              <w:rPr>
                <w:color w:val="000000"/>
              </w:rPr>
              <w:t>17</w:t>
            </w:r>
          </w:p>
        </w:tc>
        <w:tc>
          <w:tcPr>
            <w:tcW w:w="1134" w:type="dxa"/>
            <w:tcBorders>
              <w:top w:val="nil"/>
              <w:left w:val="single" w:sz="4" w:space="0" w:color="auto"/>
              <w:bottom w:val="single" w:sz="4" w:space="0" w:color="auto"/>
              <w:right w:val="single" w:sz="4" w:space="0" w:color="auto"/>
            </w:tcBorders>
            <w:shd w:val="clear" w:color="auto" w:fill="auto"/>
            <w:hideMark/>
          </w:tcPr>
          <w:p w:rsidR="0055491A" w:rsidRPr="00D5470B" w:rsidRDefault="0055491A" w:rsidP="00210BF6">
            <w:pPr>
              <w:jc w:val="center"/>
              <w:rPr>
                <w:color w:val="000000"/>
              </w:rPr>
            </w:pPr>
            <w:r w:rsidRPr="00D5470B">
              <w:rPr>
                <w:color w:val="000000"/>
              </w:rPr>
              <w:t>950,0</w:t>
            </w:r>
          </w:p>
        </w:tc>
        <w:tc>
          <w:tcPr>
            <w:tcW w:w="1134" w:type="dxa"/>
            <w:tcBorders>
              <w:top w:val="nil"/>
              <w:left w:val="single" w:sz="4" w:space="0" w:color="auto"/>
              <w:bottom w:val="single" w:sz="4" w:space="0" w:color="auto"/>
              <w:right w:val="single" w:sz="4" w:space="0" w:color="auto"/>
            </w:tcBorders>
            <w:shd w:val="clear" w:color="auto" w:fill="auto"/>
            <w:hideMark/>
          </w:tcPr>
          <w:p w:rsidR="0055491A" w:rsidRPr="00D5470B" w:rsidRDefault="0055491A" w:rsidP="00210BF6">
            <w:pPr>
              <w:jc w:val="center"/>
              <w:rPr>
                <w:color w:val="000000"/>
              </w:rPr>
            </w:pPr>
            <w:r w:rsidRPr="00D5470B">
              <w:rPr>
                <w:color w:val="000000"/>
              </w:rPr>
              <w:t>800,0</w:t>
            </w:r>
          </w:p>
        </w:tc>
        <w:tc>
          <w:tcPr>
            <w:tcW w:w="1134" w:type="dxa"/>
            <w:tcBorders>
              <w:top w:val="nil"/>
              <w:left w:val="single" w:sz="4" w:space="0" w:color="auto"/>
              <w:bottom w:val="single" w:sz="4" w:space="0" w:color="auto"/>
              <w:right w:val="single" w:sz="4" w:space="0" w:color="auto"/>
            </w:tcBorders>
            <w:shd w:val="clear" w:color="auto" w:fill="auto"/>
            <w:hideMark/>
          </w:tcPr>
          <w:p w:rsidR="0055491A" w:rsidRPr="00D5470B" w:rsidRDefault="0055491A" w:rsidP="00210BF6">
            <w:pPr>
              <w:jc w:val="center"/>
              <w:rPr>
                <w:color w:val="000000"/>
              </w:rPr>
            </w:pPr>
            <w:r w:rsidRPr="00D5470B">
              <w:rPr>
                <w:color w:val="000000"/>
              </w:rPr>
              <w:t>850,0</w:t>
            </w:r>
          </w:p>
        </w:tc>
      </w:tr>
      <w:tr w:rsidR="0055491A" w:rsidRPr="00F80477" w:rsidTr="00210BF6">
        <w:trPr>
          <w:trHeight w:val="255"/>
        </w:trPr>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491A" w:rsidRPr="00F80477" w:rsidRDefault="0055491A" w:rsidP="00210BF6">
            <w:pPr>
              <w:jc w:val="center"/>
            </w:pPr>
            <w:r>
              <w:t>100</w:t>
            </w:r>
          </w:p>
        </w:tc>
        <w:tc>
          <w:tcPr>
            <w:tcW w:w="723" w:type="dxa"/>
            <w:tcBorders>
              <w:top w:val="nil"/>
              <w:left w:val="single" w:sz="4" w:space="0" w:color="auto"/>
              <w:bottom w:val="single" w:sz="4" w:space="0" w:color="auto"/>
              <w:right w:val="single" w:sz="4" w:space="0" w:color="auto"/>
            </w:tcBorders>
            <w:shd w:val="clear" w:color="auto" w:fill="auto"/>
            <w:noWrap/>
            <w:hideMark/>
          </w:tcPr>
          <w:p w:rsidR="0055491A" w:rsidRPr="00D5470B" w:rsidRDefault="0055491A" w:rsidP="00210BF6">
            <w:pPr>
              <w:jc w:val="center"/>
              <w:rPr>
                <w:color w:val="000000"/>
              </w:rPr>
            </w:pPr>
            <w:r w:rsidRPr="00D5470B">
              <w:rPr>
                <w:color w:val="000000"/>
              </w:rPr>
              <w:t>1</w:t>
            </w:r>
          </w:p>
        </w:tc>
        <w:tc>
          <w:tcPr>
            <w:tcW w:w="701" w:type="dxa"/>
            <w:tcBorders>
              <w:top w:val="nil"/>
              <w:left w:val="nil"/>
              <w:bottom w:val="single" w:sz="4" w:space="0" w:color="auto"/>
              <w:right w:val="single" w:sz="4" w:space="0" w:color="auto"/>
            </w:tcBorders>
            <w:shd w:val="clear" w:color="auto" w:fill="auto"/>
            <w:noWrap/>
            <w:hideMark/>
          </w:tcPr>
          <w:p w:rsidR="0055491A" w:rsidRPr="00D5470B" w:rsidRDefault="0055491A" w:rsidP="00210BF6">
            <w:pPr>
              <w:jc w:val="center"/>
              <w:rPr>
                <w:color w:val="000000"/>
              </w:rPr>
            </w:pPr>
            <w:r w:rsidRPr="00D5470B">
              <w:rPr>
                <w:color w:val="000000"/>
              </w:rPr>
              <w:t>2</w:t>
            </w:r>
          </w:p>
        </w:tc>
        <w:tc>
          <w:tcPr>
            <w:tcW w:w="709" w:type="dxa"/>
            <w:tcBorders>
              <w:top w:val="nil"/>
              <w:left w:val="nil"/>
              <w:bottom w:val="single" w:sz="4" w:space="0" w:color="auto"/>
              <w:right w:val="single" w:sz="4" w:space="0" w:color="auto"/>
            </w:tcBorders>
            <w:shd w:val="clear" w:color="auto" w:fill="auto"/>
            <w:noWrap/>
            <w:hideMark/>
          </w:tcPr>
          <w:p w:rsidR="0055491A" w:rsidRPr="00D5470B" w:rsidRDefault="0055491A" w:rsidP="00210BF6">
            <w:pPr>
              <w:jc w:val="center"/>
              <w:rPr>
                <w:color w:val="000000"/>
              </w:rPr>
            </w:pPr>
            <w:r w:rsidRPr="00D5470B">
              <w:rPr>
                <w:color w:val="000000"/>
              </w:rPr>
              <w:t>7</w:t>
            </w:r>
          </w:p>
        </w:tc>
        <w:tc>
          <w:tcPr>
            <w:tcW w:w="707" w:type="dxa"/>
            <w:tcBorders>
              <w:top w:val="nil"/>
              <w:left w:val="nil"/>
              <w:bottom w:val="single" w:sz="4" w:space="0" w:color="auto"/>
              <w:right w:val="single" w:sz="4" w:space="0" w:color="auto"/>
            </w:tcBorders>
            <w:shd w:val="clear" w:color="auto" w:fill="FFFFFF" w:themeFill="background1"/>
          </w:tcPr>
          <w:p w:rsidR="0055491A" w:rsidRPr="00D5470B" w:rsidRDefault="0055491A" w:rsidP="00210BF6">
            <w:pPr>
              <w:jc w:val="center"/>
              <w:rPr>
                <w:color w:val="000000"/>
              </w:rPr>
            </w:pPr>
            <w:r w:rsidRPr="00D5470B">
              <w:rPr>
                <w:color w:val="000000"/>
              </w:rPr>
              <w:t>3</w:t>
            </w:r>
          </w:p>
        </w:tc>
        <w:tc>
          <w:tcPr>
            <w:tcW w:w="706" w:type="dxa"/>
            <w:tcBorders>
              <w:top w:val="nil"/>
              <w:left w:val="single" w:sz="4" w:space="0" w:color="auto"/>
              <w:bottom w:val="single" w:sz="4" w:space="0" w:color="auto"/>
              <w:right w:val="single" w:sz="4" w:space="0" w:color="auto"/>
            </w:tcBorders>
            <w:shd w:val="clear" w:color="auto" w:fill="FFFFFF" w:themeFill="background1"/>
            <w:hideMark/>
          </w:tcPr>
          <w:p w:rsidR="0055491A" w:rsidRPr="00D5470B" w:rsidRDefault="0055491A" w:rsidP="00210BF6">
            <w:pPr>
              <w:jc w:val="center"/>
              <w:rPr>
                <w:color w:val="000000"/>
              </w:rPr>
            </w:pPr>
            <w:r w:rsidRPr="00D5470B">
              <w:rPr>
                <w:color w:val="000000"/>
              </w:rPr>
              <w:t>4</w:t>
            </w:r>
          </w:p>
        </w:tc>
        <w:tc>
          <w:tcPr>
            <w:tcW w:w="707" w:type="dxa"/>
            <w:tcBorders>
              <w:top w:val="nil"/>
              <w:left w:val="single" w:sz="4" w:space="0" w:color="auto"/>
              <w:bottom w:val="single" w:sz="4" w:space="0" w:color="auto"/>
              <w:right w:val="single" w:sz="4" w:space="0" w:color="auto"/>
            </w:tcBorders>
            <w:shd w:val="clear" w:color="auto" w:fill="FFFFFF" w:themeFill="background1"/>
            <w:hideMark/>
          </w:tcPr>
          <w:p w:rsidR="0055491A" w:rsidRPr="00D5470B" w:rsidRDefault="0055491A" w:rsidP="00210BF6">
            <w:pPr>
              <w:jc w:val="center"/>
              <w:rPr>
                <w:color w:val="000000"/>
              </w:rPr>
            </w:pPr>
            <w:r w:rsidRPr="00D5470B">
              <w:rPr>
                <w:color w:val="000000"/>
              </w:rPr>
              <w:t>5</w:t>
            </w:r>
          </w:p>
        </w:tc>
        <w:tc>
          <w:tcPr>
            <w:tcW w:w="707" w:type="dxa"/>
            <w:tcBorders>
              <w:top w:val="nil"/>
              <w:left w:val="single" w:sz="4" w:space="0" w:color="auto"/>
              <w:bottom w:val="single" w:sz="4" w:space="0" w:color="auto"/>
              <w:right w:val="single" w:sz="4" w:space="0" w:color="auto"/>
            </w:tcBorders>
            <w:shd w:val="clear" w:color="auto" w:fill="FFFFFF" w:themeFill="background1"/>
            <w:hideMark/>
          </w:tcPr>
          <w:p w:rsidR="0055491A" w:rsidRPr="00D5470B" w:rsidRDefault="0055491A" w:rsidP="00210BF6">
            <w:pPr>
              <w:jc w:val="center"/>
              <w:rPr>
                <w:color w:val="000000"/>
              </w:rPr>
            </w:pPr>
            <w:r w:rsidRPr="00D5470B">
              <w:rPr>
                <w:color w:val="000000"/>
              </w:rPr>
              <w:t>4</w:t>
            </w:r>
          </w:p>
        </w:tc>
        <w:tc>
          <w:tcPr>
            <w:tcW w:w="1134" w:type="dxa"/>
            <w:tcBorders>
              <w:top w:val="nil"/>
              <w:left w:val="single" w:sz="4" w:space="0" w:color="auto"/>
              <w:bottom w:val="single" w:sz="4" w:space="0" w:color="auto"/>
              <w:right w:val="single" w:sz="4" w:space="0" w:color="auto"/>
            </w:tcBorders>
            <w:shd w:val="clear" w:color="auto" w:fill="auto"/>
            <w:hideMark/>
          </w:tcPr>
          <w:p w:rsidR="0055491A" w:rsidRPr="00D5470B" w:rsidRDefault="0055491A" w:rsidP="00210BF6">
            <w:pPr>
              <w:jc w:val="center"/>
              <w:rPr>
                <w:color w:val="000000"/>
              </w:rPr>
            </w:pPr>
            <w:r w:rsidRPr="00D5470B">
              <w:rPr>
                <w:color w:val="000000"/>
              </w:rPr>
              <w:t>400,0</w:t>
            </w:r>
          </w:p>
        </w:tc>
        <w:tc>
          <w:tcPr>
            <w:tcW w:w="1134" w:type="dxa"/>
            <w:tcBorders>
              <w:top w:val="nil"/>
              <w:left w:val="single" w:sz="4" w:space="0" w:color="auto"/>
              <w:bottom w:val="single" w:sz="4" w:space="0" w:color="auto"/>
              <w:right w:val="single" w:sz="4" w:space="0" w:color="auto"/>
            </w:tcBorders>
            <w:shd w:val="clear" w:color="auto" w:fill="auto"/>
            <w:hideMark/>
          </w:tcPr>
          <w:p w:rsidR="0055491A" w:rsidRPr="00D5470B" w:rsidRDefault="0055491A" w:rsidP="00210BF6">
            <w:pPr>
              <w:jc w:val="center"/>
              <w:rPr>
                <w:color w:val="000000"/>
              </w:rPr>
            </w:pPr>
            <w:r w:rsidRPr="00D5470B">
              <w:rPr>
                <w:color w:val="000000"/>
              </w:rPr>
              <w:t>500,0</w:t>
            </w:r>
          </w:p>
        </w:tc>
        <w:tc>
          <w:tcPr>
            <w:tcW w:w="1134" w:type="dxa"/>
            <w:tcBorders>
              <w:top w:val="nil"/>
              <w:left w:val="single" w:sz="4" w:space="0" w:color="auto"/>
              <w:bottom w:val="single" w:sz="4" w:space="0" w:color="auto"/>
              <w:right w:val="single" w:sz="4" w:space="0" w:color="auto"/>
            </w:tcBorders>
            <w:shd w:val="clear" w:color="auto" w:fill="auto"/>
            <w:hideMark/>
          </w:tcPr>
          <w:p w:rsidR="0055491A" w:rsidRPr="00D5470B" w:rsidRDefault="0055491A" w:rsidP="00210BF6">
            <w:pPr>
              <w:jc w:val="center"/>
              <w:rPr>
                <w:color w:val="000000"/>
              </w:rPr>
            </w:pPr>
            <w:r w:rsidRPr="00D5470B">
              <w:rPr>
                <w:color w:val="000000"/>
              </w:rPr>
              <w:t>400,0</w:t>
            </w:r>
          </w:p>
        </w:tc>
      </w:tr>
      <w:tr w:rsidR="0055491A" w:rsidRPr="00F80477" w:rsidTr="00210BF6">
        <w:trPr>
          <w:trHeight w:val="255"/>
        </w:trPr>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491A" w:rsidRDefault="0055491A" w:rsidP="00210BF6">
            <w:pPr>
              <w:jc w:val="center"/>
            </w:pPr>
            <w:r>
              <w:t>125</w:t>
            </w:r>
          </w:p>
        </w:tc>
        <w:tc>
          <w:tcPr>
            <w:tcW w:w="723" w:type="dxa"/>
            <w:tcBorders>
              <w:top w:val="nil"/>
              <w:left w:val="single" w:sz="4" w:space="0" w:color="auto"/>
              <w:bottom w:val="single" w:sz="4" w:space="0" w:color="auto"/>
              <w:right w:val="single" w:sz="4" w:space="0" w:color="auto"/>
            </w:tcBorders>
            <w:shd w:val="clear" w:color="auto" w:fill="auto"/>
            <w:noWrap/>
          </w:tcPr>
          <w:p w:rsidR="0055491A" w:rsidRPr="00D5470B" w:rsidRDefault="0055491A" w:rsidP="00210BF6">
            <w:pPr>
              <w:jc w:val="center"/>
              <w:rPr>
                <w:color w:val="000000"/>
              </w:rPr>
            </w:pPr>
            <w:r w:rsidRPr="00D5470B">
              <w:rPr>
                <w:color w:val="000000"/>
              </w:rPr>
              <w:t>61</w:t>
            </w:r>
          </w:p>
        </w:tc>
        <w:tc>
          <w:tcPr>
            <w:tcW w:w="701" w:type="dxa"/>
            <w:tcBorders>
              <w:top w:val="nil"/>
              <w:left w:val="nil"/>
              <w:bottom w:val="single" w:sz="4" w:space="0" w:color="auto"/>
              <w:right w:val="single" w:sz="4" w:space="0" w:color="auto"/>
            </w:tcBorders>
            <w:shd w:val="clear" w:color="auto" w:fill="auto"/>
            <w:noWrap/>
          </w:tcPr>
          <w:p w:rsidR="0055491A" w:rsidRPr="00D5470B" w:rsidRDefault="0055491A" w:rsidP="00210BF6">
            <w:pPr>
              <w:jc w:val="center"/>
              <w:rPr>
                <w:color w:val="000000"/>
              </w:rPr>
            </w:pPr>
            <w:r w:rsidRPr="00D5470B">
              <w:rPr>
                <w:color w:val="000000"/>
              </w:rPr>
              <w:t>86</w:t>
            </w:r>
          </w:p>
        </w:tc>
        <w:tc>
          <w:tcPr>
            <w:tcW w:w="709" w:type="dxa"/>
            <w:tcBorders>
              <w:top w:val="nil"/>
              <w:left w:val="nil"/>
              <w:bottom w:val="single" w:sz="4" w:space="0" w:color="auto"/>
              <w:right w:val="single" w:sz="4" w:space="0" w:color="auto"/>
            </w:tcBorders>
            <w:shd w:val="clear" w:color="auto" w:fill="auto"/>
            <w:noWrap/>
          </w:tcPr>
          <w:p w:rsidR="0055491A" w:rsidRPr="00D5470B" w:rsidRDefault="0055491A" w:rsidP="00210BF6">
            <w:pPr>
              <w:jc w:val="center"/>
              <w:rPr>
                <w:color w:val="000000"/>
              </w:rPr>
            </w:pPr>
            <w:r w:rsidRPr="00D5470B">
              <w:rPr>
                <w:color w:val="000000"/>
              </w:rPr>
              <w:t>56</w:t>
            </w:r>
          </w:p>
        </w:tc>
        <w:tc>
          <w:tcPr>
            <w:tcW w:w="707" w:type="dxa"/>
            <w:tcBorders>
              <w:top w:val="nil"/>
              <w:left w:val="nil"/>
              <w:bottom w:val="single" w:sz="4" w:space="0" w:color="auto"/>
              <w:right w:val="single" w:sz="4" w:space="0" w:color="auto"/>
            </w:tcBorders>
            <w:shd w:val="clear" w:color="auto" w:fill="FFFFFF" w:themeFill="background1"/>
          </w:tcPr>
          <w:p w:rsidR="0055491A" w:rsidRPr="00D5470B" w:rsidRDefault="0055491A" w:rsidP="00210BF6">
            <w:pPr>
              <w:jc w:val="center"/>
              <w:rPr>
                <w:color w:val="000000"/>
              </w:rPr>
            </w:pPr>
            <w:r w:rsidRPr="00D5470B">
              <w:rPr>
                <w:color w:val="000000"/>
              </w:rPr>
              <w:t>68</w:t>
            </w:r>
          </w:p>
        </w:tc>
        <w:tc>
          <w:tcPr>
            <w:tcW w:w="706" w:type="dxa"/>
            <w:tcBorders>
              <w:top w:val="nil"/>
              <w:left w:val="single" w:sz="4" w:space="0" w:color="auto"/>
              <w:bottom w:val="single" w:sz="4" w:space="0" w:color="auto"/>
              <w:right w:val="single" w:sz="4" w:space="0" w:color="auto"/>
            </w:tcBorders>
            <w:shd w:val="clear" w:color="auto" w:fill="FFFFFF" w:themeFill="background1"/>
          </w:tcPr>
          <w:p w:rsidR="0055491A" w:rsidRPr="00D5470B" w:rsidRDefault="0055491A" w:rsidP="00210BF6">
            <w:pPr>
              <w:jc w:val="center"/>
              <w:rPr>
                <w:color w:val="000000"/>
              </w:rPr>
            </w:pPr>
            <w:r w:rsidRPr="00D5470B">
              <w:rPr>
                <w:color w:val="000000"/>
              </w:rPr>
              <w:t>70</w:t>
            </w:r>
          </w:p>
        </w:tc>
        <w:tc>
          <w:tcPr>
            <w:tcW w:w="707" w:type="dxa"/>
            <w:tcBorders>
              <w:top w:val="nil"/>
              <w:left w:val="single" w:sz="4" w:space="0" w:color="auto"/>
              <w:bottom w:val="single" w:sz="4" w:space="0" w:color="auto"/>
              <w:right w:val="single" w:sz="4" w:space="0" w:color="auto"/>
            </w:tcBorders>
            <w:shd w:val="clear" w:color="auto" w:fill="FFFFFF" w:themeFill="background1"/>
          </w:tcPr>
          <w:p w:rsidR="0055491A" w:rsidRPr="00D5470B" w:rsidRDefault="0055491A" w:rsidP="00210BF6">
            <w:pPr>
              <w:jc w:val="center"/>
              <w:rPr>
                <w:color w:val="000000"/>
              </w:rPr>
            </w:pPr>
            <w:r w:rsidRPr="00D5470B">
              <w:rPr>
                <w:color w:val="000000"/>
              </w:rPr>
              <w:t>65</w:t>
            </w:r>
          </w:p>
        </w:tc>
        <w:tc>
          <w:tcPr>
            <w:tcW w:w="707" w:type="dxa"/>
            <w:tcBorders>
              <w:top w:val="nil"/>
              <w:left w:val="single" w:sz="4" w:space="0" w:color="auto"/>
              <w:bottom w:val="single" w:sz="4" w:space="0" w:color="auto"/>
              <w:right w:val="single" w:sz="4" w:space="0" w:color="auto"/>
            </w:tcBorders>
            <w:shd w:val="clear" w:color="auto" w:fill="FFFFFF" w:themeFill="background1"/>
          </w:tcPr>
          <w:p w:rsidR="0055491A" w:rsidRPr="00D5470B" w:rsidRDefault="0055491A" w:rsidP="00210BF6">
            <w:pPr>
              <w:jc w:val="center"/>
              <w:rPr>
                <w:color w:val="000000"/>
              </w:rPr>
            </w:pPr>
            <w:r w:rsidRPr="00D5470B">
              <w:rPr>
                <w:color w:val="000000"/>
              </w:rPr>
              <w:t>68</w:t>
            </w:r>
          </w:p>
        </w:tc>
        <w:tc>
          <w:tcPr>
            <w:tcW w:w="1134" w:type="dxa"/>
            <w:tcBorders>
              <w:top w:val="nil"/>
              <w:left w:val="single" w:sz="4" w:space="0" w:color="auto"/>
              <w:bottom w:val="single" w:sz="4" w:space="0" w:color="auto"/>
              <w:right w:val="single" w:sz="4" w:space="0" w:color="auto"/>
            </w:tcBorders>
            <w:shd w:val="clear" w:color="auto" w:fill="auto"/>
          </w:tcPr>
          <w:p w:rsidR="0055491A" w:rsidRPr="00D5470B" w:rsidRDefault="0055491A" w:rsidP="00210BF6">
            <w:pPr>
              <w:jc w:val="center"/>
              <w:rPr>
                <w:color w:val="000000"/>
              </w:rPr>
            </w:pPr>
            <w:r w:rsidRPr="00D5470B">
              <w:rPr>
                <w:color w:val="000000"/>
              </w:rPr>
              <w:t>8</w:t>
            </w:r>
            <w:r>
              <w:rPr>
                <w:color w:val="000000"/>
              </w:rPr>
              <w:t xml:space="preserve"> </w:t>
            </w:r>
            <w:r w:rsidRPr="00D5470B">
              <w:rPr>
                <w:color w:val="000000"/>
              </w:rPr>
              <w:t>750,0</w:t>
            </w:r>
          </w:p>
        </w:tc>
        <w:tc>
          <w:tcPr>
            <w:tcW w:w="1134" w:type="dxa"/>
            <w:tcBorders>
              <w:top w:val="nil"/>
              <w:left w:val="single" w:sz="4" w:space="0" w:color="auto"/>
              <w:bottom w:val="single" w:sz="4" w:space="0" w:color="auto"/>
              <w:right w:val="single" w:sz="4" w:space="0" w:color="auto"/>
            </w:tcBorders>
            <w:shd w:val="clear" w:color="auto" w:fill="auto"/>
          </w:tcPr>
          <w:p w:rsidR="0055491A" w:rsidRPr="00D5470B" w:rsidRDefault="0055491A" w:rsidP="00210BF6">
            <w:pPr>
              <w:jc w:val="center"/>
              <w:rPr>
                <w:color w:val="000000"/>
              </w:rPr>
            </w:pPr>
            <w:r w:rsidRPr="00D5470B">
              <w:rPr>
                <w:color w:val="000000"/>
              </w:rPr>
              <w:t>8</w:t>
            </w:r>
            <w:r>
              <w:rPr>
                <w:color w:val="000000"/>
              </w:rPr>
              <w:t xml:space="preserve"> </w:t>
            </w:r>
            <w:r w:rsidRPr="00D5470B">
              <w:rPr>
                <w:color w:val="000000"/>
              </w:rPr>
              <w:t>125,0</w:t>
            </w:r>
          </w:p>
        </w:tc>
        <w:tc>
          <w:tcPr>
            <w:tcW w:w="1134" w:type="dxa"/>
            <w:tcBorders>
              <w:top w:val="nil"/>
              <w:left w:val="single" w:sz="4" w:space="0" w:color="auto"/>
              <w:bottom w:val="single" w:sz="4" w:space="0" w:color="auto"/>
              <w:right w:val="single" w:sz="4" w:space="0" w:color="auto"/>
            </w:tcBorders>
            <w:shd w:val="clear" w:color="auto" w:fill="auto"/>
          </w:tcPr>
          <w:p w:rsidR="0055491A" w:rsidRPr="00D5470B" w:rsidRDefault="0055491A" w:rsidP="00210BF6">
            <w:pPr>
              <w:jc w:val="center"/>
              <w:rPr>
                <w:color w:val="000000"/>
              </w:rPr>
            </w:pPr>
            <w:r w:rsidRPr="00D5470B">
              <w:rPr>
                <w:color w:val="000000"/>
              </w:rPr>
              <w:t>8</w:t>
            </w:r>
            <w:r>
              <w:rPr>
                <w:color w:val="000000"/>
              </w:rPr>
              <w:t xml:space="preserve"> </w:t>
            </w:r>
            <w:r w:rsidRPr="00D5470B">
              <w:rPr>
                <w:color w:val="000000"/>
              </w:rPr>
              <w:t>500,0</w:t>
            </w:r>
          </w:p>
        </w:tc>
      </w:tr>
      <w:tr w:rsidR="0055491A" w:rsidRPr="00F80477" w:rsidTr="00210BF6">
        <w:trPr>
          <w:trHeight w:val="255"/>
        </w:trPr>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491A" w:rsidRDefault="0055491A" w:rsidP="00210BF6">
            <w:pPr>
              <w:jc w:val="center"/>
            </w:pPr>
            <w:r>
              <w:t>150</w:t>
            </w:r>
          </w:p>
        </w:tc>
        <w:tc>
          <w:tcPr>
            <w:tcW w:w="723" w:type="dxa"/>
            <w:tcBorders>
              <w:top w:val="nil"/>
              <w:left w:val="single" w:sz="4" w:space="0" w:color="auto"/>
              <w:bottom w:val="single" w:sz="4" w:space="0" w:color="auto"/>
              <w:right w:val="single" w:sz="4" w:space="0" w:color="auto"/>
            </w:tcBorders>
            <w:shd w:val="clear" w:color="auto" w:fill="auto"/>
            <w:noWrap/>
          </w:tcPr>
          <w:p w:rsidR="0055491A" w:rsidRPr="00D5470B" w:rsidRDefault="0055491A" w:rsidP="00210BF6">
            <w:pPr>
              <w:jc w:val="center"/>
              <w:rPr>
                <w:color w:val="000000"/>
              </w:rPr>
            </w:pPr>
            <w:r w:rsidRPr="00D5470B">
              <w:rPr>
                <w:color w:val="000000"/>
              </w:rPr>
              <w:t>3</w:t>
            </w:r>
          </w:p>
        </w:tc>
        <w:tc>
          <w:tcPr>
            <w:tcW w:w="701" w:type="dxa"/>
            <w:tcBorders>
              <w:top w:val="nil"/>
              <w:left w:val="nil"/>
              <w:bottom w:val="single" w:sz="4" w:space="0" w:color="auto"/>
              <w:right w:val="single" w:sz="4" w:space="0" w:color="auto"/>
            </w:tcBorders>
            <w:shd w:val="clear" w:color="auto" w:fill="auto"/>
            <w:noWrap/>
          </w:tcPr>
          <w:p w:rsidR="0055491A" w:rsidRPr="00D5470B" w:rsidRDefault="0055491A" w:rsidP="00210BF6">
            <w:pPr>
              <w:jc w:val="center"/>
              <w:rPr>
                <w:color w:val="000000"/>
              </w:rPr>
            </w:pPr>
            <w:r w:rsidRPr="00D5470B">
              <w:rPr>
                <w:color w:val="000000"/>
              </w:rPr>
              <w:t>0</w:t>
            </w:r>
          </w:p>
        </w:tc>
        <w:tc>
          <w:tcPr>
            <w:tcW w:w="709" w:type="dxa"/>
            <w:tcBorders>
              <w:top w:val="nil"/>
              <w:left w:val="nil"/>
              <w:bottom w:val="single" w:sz="4" w:space="0" w:color="auto"/>
              <w:right w:val="single" w:sz="4" w:space="0" w:color="auto"/>
            </w:tcBorders>
            <w:shd w:val="clear" w:color="auto" w:fill="auto"/>
            <w:noWrap/>
          </w:tcPr>
          <w:p w:rsidR="0055491A" w:rsidRPr="00D5470B" w:rsidRDefault="0055491A" w:rsidP="00210BF6">
            <w:pPr>
              <w:jc w:val="center"/>
              <w:rPr>
                <w:color w:val="000000"/>
              </w:rPr>
            </w:pPr>
            <w:r w:rsidRPr="00D5470B">
              <w:rPr>
                <w:color w:val="000000"/>
              </w:rPr>
              <w:t>2</w:t>
            </w:r>
          </w:p>
        </w:tc>
        <w:tc>
          <w:tcPr>
            <w:tcW w:w="707" w:type="dxa"/>
            <w:tcBorders>
              <w:top w:val="nil"/>
              <w:left w:val="nil"/>
              <w:bottom w:val="single" w:sz="4" w:space="0" w:color="auto"/>
              <w:right w:val="single" w:sz="4" w:space="0" w:color="auto"/>
            </w:tcBorders>
            <w:shd w:val="clear" w:color="auto" w:fill="FFFFFF" w:themeFill="background1"/>
          </w:tcPr>
          <w:p w:rsidR="0055491A" w:rsidRPr="00D5470B" w:rsidRDefault="0055491A" w:rsidP="00210BF6">
            <w:pPr>
              <w:jc w:val="center"/>
              <w:rPr>
                <w:color w:val="000000"/>
              </w:rPr>
            </w:pPr>
            <w:r w:rsidRPr="00D5470B">
              <w:rPr>
                <w:color w:val="000000"/>
              </w:rPr>
              <w:t>2</w:t>
            </w:r>
          </w:p>
        </w:tc>
        <w:tc>
          <w:tcPr>
            <w:tcW w:w="706" w:type="dxa"/>
            <w:tcBorders>
              <w:top w:val="nil"/>
              <w:left w:val="single" w:sz="4" w:space="0" w:color="auto"/>
              <w:bottom w:val="single" w:sz="4" w:space="0" w:color="auto"/>
              <w:right w:val="single" w:sz="4" w:space="0" w:color="auto"/>
            </w:tcBorders>
            <w:shd w:val="clear" w:color="auto" w:fill="FFFFFF" w:themeFill="background1"/>
          </w:tcPr>
          <w:p w:rsidR="0055491A" w:rsidRPr="00D5470B" w:rsidRDefault="0055491A" w:rsidP="00210BF6">
            <w:pPr>
              <w:jc w:val="center"/>
              <w:rPr>
                <w:color w:val="000000"/>
              </w:rPr>
            </w:pPr>
            <w:r w:rsidRPr="00D5470B">
              <w:rPr>
                <w:color w:val="000000"/>
              </w:rPr>
              <w:t>1</w:t>
            </w:r>
          </w:p>
        </w:tc>
        <w:tc>
          <w:tcPr>
            <w:tcW w:w="707" w:type="dxa"/>
            <w:tcBorders>
              <w:top w:val="nil"/>
              <w:left w:val="single" w:sz="4" w:space="0" w:color="auto"/>
              <w:bottom w:val="single" w:sz="4" w:space="0" w:color="auto"/>
              <w:right w:val="single" w:sz="4" w:space="0" w:color="auto"/>
            </w:tcBorders>
            <w:shd w:val="clear" w:color="auto" w:fill="FFFFFF" w:themeFill="background1"/>
          </w:tcPr>
          <w:p w:rsidR="0055491A" w:rsidRPr="00D5470B" w:rsidRDefault="0055491A" w:rsidP="00210BF6">
            <w:pPr>
              <w:jc w:val="center"/>
              <w:rPr>
                <w:color w:val="000000"/>
              </w:rPr>
            </w:pPr>
            <w:r w:rsidRPr="00D5470B">
              <w:rPr>
                <w:color w:val="000000"/>
              </w:rPr>
              <w:t>2</w:t>
            </w:r>
          </w:p>
        </w:tc>
        <w:tc>
          <w:tcPr>
            <w:tcW w:w="707" w:type="dxa"/>
            <w:tcBorders>
              <w:top w:val="nil"/>
              <w:left w:val="single" w:sz="4" w:space="0" w:color="auto"/>
              <w:bottom w:val="single" w:sz="4" w:space="0" w:color="auto"/>
              <w:right w:val="single" w:sz="4" w:space="0" w:color="auto"/>
            </w:tcBorders>
            <w:shd w:val="clear" w:color="auto" w:fill="FFFFFF" w:themeFill="background1"/>
          </w:tcPr>
          <w:p w:rsidR="0055491A" w:rsidRPr="00D5470B" w:rsidRDefault="0055491A" w:rsidP="00210BF6">
            <w:pPr>
              <w:jc w:val="center"/>
              <w:rPr>
                <w:color w:val="000000"/>
              </w:rPr>
            </w:pPr>
            <w:r w:rsidRPr="00D5470B">
              <w:rPr>
                <w:color w:val="000000"/>
              </w:rPr>
              <w:t>2</w:t>
            </w:r>
          </w:p>
        </w:tc>
        <w:tc>
          <w:tcPr>
            <w:tcW w:w="1134" w:type="dxa"/>
            <w:tcBorders>
              <w:top w:val="nil"/>
              <w:left w:val="single" w:sz="4" w:space="0" w:color="auto"/>
              <w:bottom w:val="single" w:sz="4" w:space="0" w:color="auto"/>
              <w:right w:val="single" w:sz="4" w:space="0" w:color="auto"/>
            </w:tcBorders>
            <w:shd w:val="clear" w:color="auto" w:fill="auto"/>
          </w:tcPr>
          <w:p w:rsidR="0055491A" w:rsidRPr="00D5470B" w:rsidRDefault="0055491A" w:rsidP="00210BF6">
            <w:pPr>
              <w:jc w:val="center"/>
              <w:rPr>
                <w:color w:val="000000"/>
              </w:rPr>
            </w:pPr>
            <w:r w:rsidRPr="00D5470B">
              <w:rPr>
                <w:color w:val="000000"/>
              </w:rPr>
              <w:t>150,0</w:t>
            </w:r>
          </w:p>
        </w:tc>
        <w:tc>
          <w:tcPr>
            <w:tcW w:w="1134" w:type="dxa"/>
            <w:tcBorders>
              <w:top w:val="nil"/>
              <w:left w:val="single" w:sz="4" w:space="0" w:color="auto"/>
              <w:bottom w:val="single" w:sz="4" w:space="0" w:color="auto"/>
              <w:right w:val="single" w:sz="4" w:space="0" w:color="auto"/>
            </w:tcBorders>
            <w:shd w:val="clear" w:color="auto" w:fill="auto"/>
          </w:tcPr>
          <w:p w:rsidR="0055491A" w:rsidRPr="00D5470B" w:rsidRDefault="0055491A" w:rsidP="00210BF6">
            <w:pPr>
              <w:jc w:val="center"/>
              <w:rPr>
                <w:color w:val="000000"/>
              </w:rPr>
            </w:pPr>
            <w:r w:rsidRPr="00D5470B">
              <w:rPr>
                <w:color w:val="000000"/>
              </w:rPr>
              <w:t>300,0</w:t>
            </w:r>
          </w:p>
        </w:tc>
        <w:tc>
          <w:tcPr>
            <w:tcW w:w="1134" w:type="dxa"/>
            <w:tcBorders>
              <w:top w:val="nil"/>
              <w:left w:val="single" w:sz="4" w:space="0" w:color="auto"/>
              <w:bottom w:val="single" w:sz="4" w:space="0" w:color="auto"/>
              <w:right w:val="single" w:sz="4" w:space="0" w:color="auto"/>
            </w:tcBorders>
            <w:shd w:val="clear" w:color="auto" w:fill="auto"/>
          </w:tcPr>
          <w:p w:rsidR="0055491A" w:rsidRPr="00D5470B" w:rsidRDefault="0055491A" w:rsidP="00210BF6">
            <w:pPr>
              <w:jc w:val="center"/>
              <w:rPr>
                <w:color w:val="000000"/>
              </w:rPr>
            </w:pPr>
            <w:r w:rsidRPr="00D5470B">
              <w:rPr>
                <w:color w:val="000000"/>
              </w:rPr>
              <w:t>300,0</w:t>
            </w:r>
          </w:p>
        </w:tc>
      </w:tr>
      <w:tr w:rsidR="0055491A" w:rsidRPr="00F80477" w:rsidTr="00210BF6">
        <w:trPr>
          <w:trHeight w:val="255"/>
        </w:trPr>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491A" w:rsidRDefault="0055491A" w:rsidP="00210BF6">
            <w:pPr>
              <w:jc w:val="center"/>
            </w:pPr>
            <w:r>
              <w:t>250</w:t>
            </w:r>
          </w:p>
        </w:tc>
        <w:tc>
          <w:tcPr>
            <w:tcW w:w="723" w:type="dxa"/>
            <w:tcBorders>
              <w:top w:val="nil"/>
              <w:left w:val="single" w:sz="4" w:space="0" w:color="auto"/>
              <w:bottom w:val="single" w:sz="4" w:space="0" w:color="auto"/>
              <w:right w:val="single" w:sz="4" w:space="0" w:color="auto"/>
            </w:tcBorders>
            <w:shd w:val="clear" w:color="auto" w:fill="auto"/>
            <w:noWrap/>
          </w:tcPr>
          <w:p w:rsidR="0055491A" w:rsidRPr="00D5470B" w:rsidRDefault="0055491A" w:rsidP="00210BF6">
            <w:pPr>
              <w:jc w:val="center"/>
              <w:rPr>
                <w:color w:val="000000"/>
              </w:rPr>
            </w:pPr>
            <w:r w:rsidRPr="00D5470B">
              <w:rPr>
                <w:color w:val="000000"/>
              </w:rPr>
              <w:t>12</w:t>
            </w:r>
          </w:p>
        </w:tc>
        <w:tc>
          <w:tcPr>
            <w:tcW w:w="701" w:type="dxa"/>
            <w:tcBorders>
              <w:top w:val="nil"/>
              <w:left w:val="nil"/>
              <w:bottom w:val="single" w:sz="4" w:space="0" w:color="auto"/>
              <w:right w:val="single" w:sz="4" w:space="0" w:color="auto"/>
            </w:tcBorders>
            <w:shd w:val="clear" w:color="auto" w:fill="auto"/>
            <w:noWrap/>
          </w:tcPr>
          <w:p w:rsidR="0055491A" w:rsidRPr="00D5470B" w:rsidRDefault="0055491A" w:rsidP="00210BF6">
            <w:pPr>
              <w:jc w:val="center"/>
              <w:rPr>
                <w:color w:val="000000"/>
              </w:rPr>
            </w:pPr>
            <w:r w:rsidRPr="00D5470B">
              <w:rPr>
                <w:color w:val="000000"/>
              </w:rPr>
              <w:t>31</w:t>
            </w:r>
          </w:p>
        </w:tc>
        <w:tc>
          <w:tcPr>
            <w:tcW w:w="709" w:type="dxa"/>
            <w:tcBorders>
              <w:top w:val="nil"/>
              <w:left w:val="nil"/>
              <w:bottom w:val="single" w:sz="4" w:space="0" w:color="auto"/>
              <w:right w:val="single" w:sz="4" w:space="0" w:color="auto"/>
            </w:tcBorders>
            <w:shd w:val="clear" w:color="auto" w:fill="auto"/>
            <w:noWrap/>
          </w:tcPr>
          <w:p w:rsidR="0055491A" w:rsidRPr="00D5470B" w:rsidRDefault="0055491A" w:rsidP="00210BF6">
            <w:pPr>
              <w:jc w:val="center"/>
              <w:rPr>
                <w:color w:val="000000"/>
              </w:rPr>
            </w:pPr>
            <w:r w:rsidRPr="00D5470B">
              <w:rPr>
                <w:color w:val="000000"/>
              </w:rPr>
              <w:t>12</w:t>
            </w:r>
          </w:p>
        </w:tc>
        <w:tc>
          <w:tcPr>
            <w:tcW w:w="707" w:type="dxa"/>
            <w:tcBorders>
              <w:top w:val="nil"/>
              <w:left w:val="nil"/>
              <w:bottom w:val="single" w:sz="4" w:space="0" w:color="auto"/>
              <w:right w:val="single" w:sz="4" w:space="0" w:color="auto"/>
            </w:tcBorders>
            <w:shd w:val="clear" w:color="auto" w:fill="FFFFFF" w:themeFill="background1"/>
          </w:tcPr>
          <w:p w:rsidR="0055491A" w:rsidRPr="00D5470B" w:rsidRDefault="0055491A" w:rsidP="00210BF6">
            <w:pPr>
              <w:jc w:val="center"/>
              <w:rPr>
                <w:color w:val="000000"/>
              </w:rPr>
            </w:pPr>
            <w:r w:rsidRPr="00D5470B">
              <w:rPr>
                <w:color w:val="000000"/>
              </w:rPr>
              <w:t>18</w:t>
            </w:r>
          </w:p>
        </w:tc>
        <w:tc>
          <w:tcPr>
            <w:tcW w:w="706" w:type="dxa"/>
            <w:tcBorders>
              <w:top w:val="nil"/>
              <w:left w:val="single" w:sz="4" w:space="0" w:color="auto"/>
              <w:bottom w:val="single" w:sz="4" w:space="0" w:color="auto"/>
              <w:right w:val="single" w:sz="4" w:space="0" w:color="auto"/>
            </w:tcBorders>
            <w:shd w:val="clear" w:color="auto" w:fill="FFFFFF" w:themeFill="background1"/>
          </w:tcPr>
          <w:p w:rsidR="0055491A" w:rsidRPr="00D5470B" w:rsidRDefault="0055491A" w:rsidP="00210BF6">
            <w:pPr>
              <w:jc w:val="center"/>
              <w:rPr>
                <w:color w:val="000000"/>
              </w:rPr>
            </w:pPr>
            <w:r w:rsidRPr="00D5470B">
              <w:rPr>
                <w:color w:val="000000"/>
              </w:rPr>
              <w:t>20</w:t>
            </w:r>
          </w:p>
        </w:tc>
        <w:tc>
          <w:tcPr>
            <w:tcW w:w="707" w:type="dxa"/>
            <w:tcBorders>
              <w:top w:val="nil"/>
              <w:left w:val="single" w:sz="4" w:space="0" w:color="auto"/>
              <w:bottom w:val="single" w:sz="4" w:space="0" w:color="auto"/>
              <w:right w:val="single" w:sz="4" w:space="0" w:color="auto"/>
            </w:tcBorders>
            <w:shd w:val="clear" w:color="auto" w:fill="FFFFFF" w:themeFill="background1"/>
          </w:tcPr>
          <w:p w:rsidR="0055491A" w:rsidRPr="00D5470B" w:rsidRDefault="0055491A" w:rsidP="00210BF6">
            <w:pPr>
              <w:jc w:val="center"/>
              <w:rPr>
                <w:color w:val="000000"/>
              </w:rPr>
            </w:pPr>
            <w:r w:rsidRPr="00D5470B">
              <w:rPr>
                <w:color w:val="000000"/>
              </w:rPr>
              <w:t>17</w:t>
            </w:r>
          </w:p>
        </w:tc>
        <w:tc>
          <w:tcPr>
            <w:tcW w:w="707" w:type="dxa"/>
            <w:tcBorders>
              <w:top w:val="nil"/>
              <w:left w:val="single" w:sz="4" w:space="0" w:color="auto"/>
              <w:bottom w:val="single" w:sz="4" w:space="0" w:color="auto"/>
              <w:right w:val="single" w:sz="4" w:space="0" w:color="auto"/>
            </w:tcBorders>
            <w:shd w:val="clear" w:color="auto" w:fill="FFFFFF" w:themeFill="background1"/>
          </w:tcPr>
          <w:p w:rsidR="0055491A" w:rsidRPr="00D5470B" w:rsidRDefault="0055491A" w:rsidP="00210BF6">
            <w:pPr>
              <w:jc w:val="center"/>
              <w:rPr>
                <w:color w:val="000000"/>
              </w:rPr>
            </w:pPr>
            <w:r w:rsidRPr="00D5470B">
              <w:rPr>
                <w:color w:val="000000"/>
              </w:rPr>
              <w:t>18</w:t>
            </w:r>
          </w:p>
        </w:tc>
        <w:tc>
          <w:tcPr>
            <w:tcW w:w="1134" w:type="dxa"/>
            <w:tcBorders>
              <w:top w:val="nil"/>
              <w:left w:val="single" w:sz="4" w:space="0" w:color="auto"/>
              <w:bottom w:val="single" w:sz="4" w:space="0" w:color="auto"/>
              <w:right w:val="single" w:sz="4" w:space="0" w:color="auto"/>
            </w:tcBorders>
            <w:shd w:val="clear" w:color="auto" w:fill="auto"/>
          </w:tcPr>
          <w:p w:rsidR="0055491A" w:rsidRPr="00D5470B" w:rsidRDefault="0055491A" w:rsidP="00210BF6">
            <w:pPr>
              <w:jc w:val="center"/>
              <w:rPr>
                <w:color w:val="000000"/>
              </w:rPr>
            </w:pPr>
            <w:r w:rsidRPr="00D5470B">
              <w:rPr>
                <w:color w:val="000000"/>
              </w:rPr>
              <w:t>5</w:t>
            </w:r>
            <w:r>
              <w:rPr>
                <w:color w:val="000000"/>
              </w:rPr>
              <w:t xml:space="preserve"> </w:t>
            </w:r>
            <w:r w:rsidRPr="00D5470B">
              <w:rPr>
                <w:color w:val="000000"/>
              </w:rPr>
              <w:t>000,0</w:t>
            </w:r>
          </w:p>
        </w:tc>
        <w:tc>
          <w:tcPr>
            <w:tcW w:w="1134" w:type="dxa"/>
            <w:tcBorders>
              <w:top w:val="nil"/>
              <w:left w:val="single" w:sz="4" w:space="0" w:color="auto"/>
              <w:bottom w:val="single" w:sz="4" w:space="0" w:color="auto"/>
              <w:right w:val="single" w:sz="4" w:space="0" w:color="auto"/>
            </w:tcBorders>
            <w:shd w:val="clear" w:color="auto" w:fill="auto"/>
          </w:tcPr>
          <w:p w:rsidR="0055491A" w:rsidRPr="00D5470B" w:rsidRDefault="0055491A" w:rsidP="00210BF6">
            <w:pPr>
              <w:jc w:val="center"/>
              <w:rPr>
                <w:color w:val="000000"/>
              </w:rPr>
            </w:pPr>
            <w:r w:rsidRPr="00D5470B">
              <w:rPr>
                <w:color w:val="000000"/>
              </w:rPr>
              <w:t>4</w:t>
            </w:r>
            <w:r>
              <w:rPr>
                <w:color w:val="000000"/>
              </w:rPr>
              <w:t xml:space="preserve"> </w:t>
            </w:r>
            <w:r w:rsidRPr="00D5470B">
              <w:rPr>
                <w:color w:val="000000"/>
              </w:rPr>
              <w:t>250,0</w:t>
            </w:r>
          </w:p>
        </w:tc>
        <w:tc>
          <w:tcPr>
            <w:tcW w:w="1134" w:type="dxa"/>
            <w:tcBorders>
              <w:top w:val="nil"/>
              <w:left w:val="single" w:sz="4" w:space="0" w:color="auto"/>
              <w:bottom w:val="single" w:sz="4" w:space="0" w:color="auto"/>
              <w:right w:val="single" w:sz="4" w:space="0" w:color="auto"/>
            </w:tcBorders>
            <w:shd w:val="clear" w:color="auto" w:fill="auto"/>
          </w:tcPr>
          <w:p w:rsidR="0055491A" w:rsidRPr="00D5470B" w:rsidRDefault="0055491A" w:rsidP="00210BF6">
            <w:pPr>
              <w:jc w:val="center"/>
              <w:rPr>
                <w:color w:val="000000"/>
              </w:rPr>
            </w:pPr>
            <w:r w:rsidRPr="00D5470B">
              <w:rPr>
                <w:color w:val="000000"/>
              </w:rPr>
              <w:t>4</w:t>
            </w:r>
            <w:r>
              <w:rPr>
                <w:color w:val="000000"/>
              </w:rPr>
              <w:t xml:space="preserve"> </w:t>
            </w:r>
            <w:r w:rsidRPr="00D5470B">
              <w:rPr>
                <w:color w:val="000000"/>
              </w:rPr>
              <w:t>500,0</w:t>
            </w:r>
          </w:p>
        </w:tc>
      </w:tr>
      <w:tr w:rsidR="0055491A" w:rsidRPr="00F80477" w:rsidTr="00210BF6">
        <w:trPr>
          <w:trHeight w:val="255"/>
        </w:trPr>
        <w:tc>
          <w:tcPr>
            <w:tcW w:w="984" w:type="dxa"/>
            <w:tcBorders>
              <w:top w:val="nil"/>
              <w:left w:val="single" w:sz="8" w:space="0" w:color="auto"/>
              <w:bottom w:val="single" w:sz="4" w:space="0" w:color="auto"/>
              <w:right w:val="single" w:sz="8" w:space="0" w:color="auto"/>
            </w:tcBorders>
          </w:tcPr>
          <w:p w:rsidR="0055491A" w:rsidRPr="00EF0881" w:rsidRDefault="0055491A" w:rsidP="00210BF6">
            <w:pPr>
              <w:jc w:val="center"/>
              <w:rPr>
                <w:b/>
              </w:rPr>
            </w:pPr>
          </w:p>
        </w:tc>
        <w:tc>
          <w:tcPr>
            <w:tcW w:w="4960" w:type="dxa"/>
            <w:gridSpan w:val="7"/>
            <w:tcBorders>
              <w:top w:val="nil"/>
              <w:left w:val="single" w:sz="8" w:space="0" w:color="auto"/>
              <w:bottom w:val="single" w:sz="4" w:space="0" w:color="auto"/>
              <w:right w:val="single" w:sz="8" w:space="0" w:color="auto"/>
            </w:tcBorders>
            <w:shd w:val="clear" w:color="auto" w:fill="auto"/>
            <w:vAlign w:val="center"/>
          </w:tcPr>
          <w:p w:rsidR="0055491A" w:rsidRPr="00F80477" w:rsidRDefault="0055491A" w:rsidP="00210BF6">
            <w:pPr>
              <w:jc w:val="center"/>
            </w:pPr>
            <w:r w:rsidRPr="00EF0881">
              <w:rPr>
                <w:b/>
              </w:rPr>
              <w:t>ИТОГО</w:t>
            </w:r>
            <w:r>
              <w:t>:</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55491A" w:rsidRPr="00F80477" w:rsidRDefault="0055491A" w:rsidP="00210BF6">
            <w:pPr>
              <w:jc w:val="center"/>
            </w:pPr>
            <w:r>
              <w:t>16 525,0</w:t>
            </w:r>
          </w:p>
        </w:tc>
        <w:tc>
          <w:tcPr>
            <w:tcW w:w="1134" w:type="dxa"/>
            <w:tcBorders>
              <w:top w:val="nil"/>
              <w:left w:val="nil"/>
              <w:bottom w:val="single" w:sz="4" w:space="0" w:color="auto"/>
              <w:right w:val="single" w:sz="4" w:space="0" w:color="auto"/>
            </w:tcBorders>
            <w:shd w:val="clear" w:color="auto" w:fill="auto"/>
            <w:vAlign w:val="center"/>
            <w:hideMark/>
          </w:tcPr>
          <w:p w:rsidR="0055491A" w:rsidRPr="00F80477" w:rsidRDefault="0055491A" w:rsidP="00210BF6">
            <w:pPr>
              <w:jc w:val="center"/>
            </w:pPr>
            <w:r>
              <w:t>15 150,0</w:t>
            </w:r>
          </w:p>
        </w:tc>
        <w:tc>
          <w:tcPr>
            <w:tcW w:w="1134" w:type="dxa"/>
            <w:tcBorders>
              <w:top w:val="nil"/>
              <w:left w:val="nil"/>
              <w:bottom w:val="single" w:sz="4" w:space="0" w:color="auto"/>
              <w:right w:val="single" w:sz="4" w:space="0" w:color="auto"/>
            </w:tcBorders>
            <w:shd w:val="clear" w:color="auto" w:fill="auto"/>
            <w:vAlign w:val="center"/>
            <w:hideMark/>
          </w:tcPr>
          <w:p w:rsidR="0055491A" w:rsidRPr="00F80477" w:rsidRDefault="0055491A" w:rsidP="00210BF6">
            <w:pPr>
              <w:jc w:val="center"/>
            </w:pPr>
            <w:r>
              <w:t>15 725,0</w:t>
            </w:r>
          </w:p>
        </w:tc>
      </w:tr>
    </w:tbl>
    <w:p w:rsidR="0055491A" w:rsidRDefault="0055491A" w:rsidP="0055491A">
      <w:pPr>
        <w:spacing w:line="252" w:lineRule="auto"/>
        <w:ind w:firstLine="709"/>
        <w:jc w:val="both"/>
        <w:rPr>
          <w:sz w:val="28"/>
        </w:rPr>
      </w:pPr>
    </w:p>
    <w:p w:rsidR="0055491A" w:rsidRPr="003D75BF" w:rsidRDefault="0055491A" w:rsidP="0055491A">
      <w:pPr>
        <w:pStyle w:val="a7"/>
        <w:spacing w:after="0"/>
        <w:ind w:left="0" w:firstLine="709"/>
        <w:jc w:val="both"/>
        <w:rPr>
          <w:b/>
          <w:sz w:val="28"/>
          <w:szCs w:val="28"/>
        </w:rPr>
      </w:pPr>
      <w:r w:rsidRPr="003D75BF">
        <w:rPr>
          <w:b/>
          <w:sz w:val="28"/>
          <w:szCs w:val="28"/>
        </w:rPr>
        <w:t xml:space="preserve"> Прогноз доходов на 2022 год 16 525,0 тыс. руб., на 2023 год  </w:t>
      </w:r>
      <w:r>
        <w:rPr>
          <w:b/>
          <w:sz w:val="28"/>
          <w:szCs w:val="28"/>
        </w:rPr>
        <w:t xml:space="preserve">                        </w:t>
      </w:r>
      <w:r w:rsidRPr="003D75BF">
        <w:rPr>
          <w:b/>
          <w:sz w:val="28"/>
          <w:szCs w:val="28"/>
        </w:rPr>
        <w:t>15 150,0 тыс. руб., на 2024 год  15 725,0 тыс. руб.</w:t>
      </w:r>
    </w:p>
    <w:p w:rsidR="0055491A" w:rsidRDefault="0055491A" w:rsidP="0055491A">
      <w:pPr>
        <w:pStyle w:val="a7"/>
        <w:spacing w:after="0"/>
        <w:ind w:left="0" w:firstLine="709"/>
        <w:jc w:val="both"/>
        <w:rPr>
          <w:sz w:val="28"/>
          <w:szCs w:val="28"/>
        </w:rPr>
      </w:pPr>
    </w:p>
    <w:p w:rsidR="0055491A" w:rsidRPr="00485D9D" w:rsidRDefault="0055491A" w:rsidP="0055491A">
      <w:pPr>
        <w:pStyle w:val="a7"/>
        <w:spacing w:after="0"/>
        <w:ind w:left="0" w:firstLine="709"/>
        <w:jc w:val="both"/>
        <w:rPr>
          <w:sz w:val="28"/>
          <w:szCs w:val="28"/>
        </w:rPr>
      </w:pPr>
      <w:r>
        <w:rPr>
          <w:sz w:val="28"/>
          <w:szCs w:val="28"/>
        </w:rPr>
        <w:t xml:space="preserve">10.2  </w:t>
      </w:r>
      <w:r w:rsidRPr="003D75BF">
        <w:rPr>
          <w:b/>
          <w:sz w:val="28"/>
          <w:szCs w:val="28"/>
        </w:rPr>
        <w:t>КБК 025 1 16 01142 01 0000 140</w:t>
      </w:r>
      <w:r w:rsidRPr="00485D9D">
        <w:rPr>
          <w:sz w:val="28"/>
          <w:szCs w:val="28"/>
        </w:rPr>
        <w:t xml:space="preserve"> 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w:t>
      </w:r>
    </w:p>
    <w:p w:rsidR="0055491A" w:rsidRPr="003D75BF" w:rsidRDefault="0055491A" w:rsidP="0055491A">
      <w:pPr>
        <w:pStyle w:val="a7"/>
        <w:spacing w:after="0"/>
        <w:ind w:left="0" w:firstLine="709"/>
        <w:jc w:val="both"/>
        <w:rPr>
          <w:b/>
          <w:sz w:val="28"/>
          <w:szCs w:val="28"/>
        </w:rPr>
      </w:pPr>
      <w:r w:rsidRPr="003D75BF">
        <w:rPr>
          <w:b/>
          <w:sz w:val="28"/>
          <w:szCs w:val="28"/>
        </w:rPr>
        <w:t>Главный администратор доходов - Главное управление «Региональная энергетическая комиссия» Тверской области.</w:t>
      </w:r>
    </w:p>
    <w:p w:rsidR="0055491A" w:rsidRDefault="0055491A" w:rsidP="0055491A">
      <w:pPr>
        <w:pStyle w:val="a7"/>
        <w:spacing w:after="0"/>
        <w:ind w:left="0" w:firstLine="709"/>
        <w:jc w:val="both"/>
        <w:rPr>
          <w:sz w:val="28"/>
          <w:szCs w:val="28"/>
        </w:rPr>
      </w:pPr>
      <w:r>
        <w:rPr>
          <w:sz w:val="28"/>
          <w:szCs w:val="28"/>
        </w:rPr>
        <w:t>Расчет произведен в соответствии с методикой, утвержденной приказом Главного управления «Региональная энергетическая комиссия» Тверской области от 01.06.2021 № 11-ОД.</w:t>
      </w:r>
    </w:p>
    <w:p w:rsidR="0055491A" w:rsidRDefault="0055491A" w:rsidP="0055491A">
      <w:pPr>
        <w:pStyle w:val="a7"/>
        <w:spacing w:after="0"/>
        <w:ind w:left="0" w:firstLine="709"/>
        <w:jc w:val="both"/>
        <w:rPr>
          <w:sz w:val="28"/>
          <w:szCs w:val="28"/>
        </w:rPr>
      </w:pPr>
      <w:r>
        <w:rPr>
          <w:sz w:val="28"/>
          <w:szCs w:val="28"/>
        </w:rPr>
        <w:t>Прогноз на 2022-2024 годы рассчитан исходя из прогнозного количества правонарушений и размера платежа. Определение прогнозного количества правонарушений основывается на статистических данных за 3 года.</w:t>
      </w:r>
    </w:p>
    <w:p w:rsidR="0055491A" w:rsidRDefault="0055491A" w:rsidP="0055491A">
      <w:pPr>
        <w:pStyle w:val="a7"/>
        <w:spacing w:after="0"/>
        <w:ind w:left="0" w:firstLine="709"/>
        <w:jc w:val="both"/>
        <w:rPr>
          <w:sz w:val="28"/>
          <w:szCs w:val="28"/>
        </w:rPr>
      </w:pPr>
      <w:r>
        <w:rPr>
          <w:sz w:val="28"/>
          <w:szCs w:val="28"/>
        </w:rPr>
        <w:t>Данные для расчета прогноза на 2022 год представлены в таблице:</w:t>
      </w:r>
    </w:p>
    <w:p w:rsidR="0055491A" w:rsidRDefault="0055491A" w:rsidP="0055491A">
      <w:pPr>
        <w:pStyle w:val="a7"/>
        <w:spacing w:after="0"/>
        <w:ind w:left="0"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47"/>
        <w:gridCol w:w="1058"/>
        <w:gridCol w:w="1420"/>
        <w:gridCol w:w="1420"/>
        <w:gridCol w:w="1424"/>
        <w:gridCol w:w="1449"/>
        <w:gridCol w:w="1226"/>
      </w:tblGrid>
      <w:tr w:rsidR="0055491A" w:rsidTr="00210BF6">
        <w:tc>
          <w:tcPr>
            <w:tcW w:w="1347" w:type="dxa"/>
            <w:tcBorders>
              <w:top w:val="single" w:sz="4" w:space="0" w:color="auto"/>
              <w:left w:val="single" w:sz="4" w:space="0" w:color="auto"/>
              <w:bottom w:val="single" w:sz="4" w:space="0" w:color="auto"/>
              <w:right w:val="single" w:sz="4" w:space="0" w:color="auto"/>
            </w:tcBorders>
            <w:vAlign w:val="center"/>
            <w:hideMark/>
          </w:tcPr>
          <w:p w:rsidR="0055491A" w:rsidRDefault="0055491A" w:rsidP="00210BF6">
            <w:pPr>
              <w:jc w:val="center"/>
              <w:rPr>
                <w:bCs/>
              </w:rPr>
            </w:pPr>
            <w:r>
              <w:rPr>
                <w:bCs/>
              </w:rPr>
              <w:lastRenderedPageBreak/>
              <w:t>Ст.КоАП РФ</w:t>
            </w:r>
          </w:p>
        </w:tc>
        <w:tc>
          <w:tcPr>
            <w:tcW w:w="1058" w:type="dxa"/>
            <w:tcBorders>
              <w:top w:val="single" w:sz="4" w:space="0" w:color="auto"/>
              <w:left w:val="single" w:sz="4" w:space="0" w:color="auto"/>
              <w:bottom w:val="single" w:sz="4" w:space="0" w:color="auto"/>
              <w:right w:val="single" w:sz="4" w:space="0" w:color="auto"/>
            </w:tcBorders>
            <w:vAlign w:val="center"/>
            <w:hideMark/>
          </w:tcPr>
          <w:p w:rsidR="0055491A" w:rsidRDefault="0055491A" w:rsidP="00210BF6">
            <w:pPr>
              <w:jc w:val="center"/>
              <w:rPr>
                <w:bCs/>
                <w:vertAlign w:val="subscript"/>
              </w:rPr>
            </w:pPr>
            <w:r>
              <w:rPr>
                <w:bCs/>
              </w:rPr>
              <w:t>Размер штрафа, тыс. руб.</w:t>
            </w:r>
          </w:p>
        </w:tc>
        <w:tc>
          <w:tcPr>
            <w:tcW w:w="1420" w:type="dxa"/>
            <w:tcBorders>
              <w:top w:val="single" w:sz="4" w:space="0" w:color="auto"/>
              <w:left w:val="single" w:sz="4" w:space="0" w:color="auto"/>
              <w:bottom w:val="single" w:sz="4" w:space="0" w:color="auto"/>
              <w:right w:val="single" w:sz="4" w:space="0" w:color="auto"/>
            </w:tcBorders>
            <w:vAlign w:val="center"/>
            <w:hideMark/>
          </w:tcPr>
          <w:p w:rsidR="0055491A" w:rsidRDefault="0055491A" w:rsidP="00210BF6">
            <w:pPr>
              <w:jc w:val="center"/>
              <w:rPr>
                <w:bCs/>
              </w:rPr>
            </w:pPr>
            <w:r>
              <w:rPr>
                <w:bCs/>
              </w:rPr>
              <w:t>Количество штрафов за 2019 год</w:t>
            </w:r>
          </w:p>
        </w:tc>
        <w:tc>
          <w:tcPr>
            <w:tcW w:w="1420" w:type="dxa"/>
            <w:tcBorders>
              <w:top w:val="single" w:sz="4" w:space="0" w:color="auto"/>
              <w:left w:val="single" w:sz="4" w:space="0" w:color="auto"/>
              <w:bottom w:val="single" w:sz="4" w:space="0" w:color="auto"/>
              <w:right w:val="single" w:sz="4" w:space="0" w:color="auto"/>
            </w:tcBorders>
            <w:vAlign w:val="center"/>
            <w:hideMark/>
          </w:tcPr>
          <w:p w:rsidR="0055491A" w:rsidRDefault="0055491A" w:rsidP="00210BF6">
            <w:pPr>
              <w:jc w:val="center"/>
              <w:rPr>
                <w:bCs/>
              </w:rPr>
            </w:pPr>
            <w:r>
              <w:rPr>
                <w:bCs/>
              </w:rPr>
              <w:t>Количество штрафов за 2020 год</w:t>
            </w:r>
          </w:p>
        </w:tc>
        <w:tc>
          <w:tcPr>
            <w:tcW w:w="1424" w:type="dxa"/>
            <w:tcBorders>
              <w:top w:val="single" w:sz="4" w:space="0" w:color="auto"/>
              <w:left w:val="single" w:sz="4" w:space="0" w:color="auto"/>
              <w:bottom w:val="single" w:sz="4" w:space="0" w:color="auto"/>
              <w:right w:val="single" w:sz="4" w:space="0" w:color="auto"/>
            </w:tcBorders>
            <w:vAlign w:val="center"/>
            <w:hideMark/>
          </w:tcPr>
          <w:p w:rsidR="0055491A" w:rsidRDefault="0055491A" w:rsidP="00210BF6">
            <w:pPr>
              <w:jc w:val="center"/>
              <w:rPr>
                <w:bCs/>
              </w:rPr>
            </w:pPr>
            <w:r>
              <w:rPr>
                <w:bCs/>
              </w:rPr>
              <w:t>Количество штрафов за 2021 год (оценка)</w:t>
            </w:r>
          </w:p>
        </w:tc>
        <w:tc>
          <w:tcPr>
            <w:tcW w:w="1449" w:type="dxa"/>
            <w:tcBorders>
              <w:top w:val="single" w:sz="4" w:space="0" w:color="auto"/>
              <w:left w:val="single" w:sz="4" w:space="0" w:color="auto"/>
              <w:bottom w:val="single" w:sz="4" w:space="0" w:color="auto"/>
              <w:right w:val="single" w:sz="4" w:space="0" w:color="auto"/>
            </w:tcBorders>
            <w:vAlign w:val="center"/>
          </w:tcPr>
          <w:p w:rsidR="0055491A" w:rsidRDefault="0055491A" w:rsidP="00210BF6">
            <w:pPr>
              <w:jc w:val="center"/>
              <w:rPr>
                <w:bCs/>
              </w:rPr>
            </w:pPr>
            <w:r>
              <w:rPr>
                <w:bCs/>
              </w:rPr>
              <w:t>Среднее количество за 3 года</w:t>
            </w:r>
          </w:p>
          <w:p w:rsidR="0055491A" w:rsidRDefault="0055491A" w:rsidP="00210BF6">
            <w:pPr>
              <w:jc w:val="center"/>
              <w:rPr>
                <w:bCs/>
              </w:rPr>
            </w:pPr>
          </w:p>
        </w:tc>
        <w:tc>
          <w:tcPr>
            <w:tcW w:w="1226" w:type="dxa"/>
            <w:tcBorders>
              <w:top w:val="single" w:sz="4" w:space="0" w:color="auto"/>
              <w:left w:val="single" w:sz="4" w:space="0" w:color="auto"/>
              <w:bottom w:val="single" w:sz="4" w:space="0" w:color="auto"/>
              <w:right w:val="single" w:sz="4" w:space="0" w:color="auto"/>
            </w:tcBorders>
            <w:vAlign w:val="center"/>
            <w:hideMark/>
          </w:tcPr>
          <w:p w:rsidR="0055491A" w:rsidRDefault="0055491A" w:rsidP="00210BF6">
            <w:pPr>
              <w:jc w:val="center"/>
              <w:rPr>
                <w:bCs/>
              </w:rPr>
            </w:pPr>
            <w:r>
              <w:rPr>
                <w:bCs/>
              </w:rPr>
              <w:t>Сумма прогноза на 2020 год,</w:t>
            </w:r>
          </w:p>
          <w:p w:rsidR="0055491A" w:rsidRDefault="0055491A" w:rsidP="00210BF6">
            <w:pPr>
              <w:jc w:val="center"/>
              <w:rPr>
                <w:bCs/>
                <w:vertAlign w:val="subscript"/>
              </w:rPr>
            </w:pPr>
            <w:r>
              <w:rPr>
                <w:bCs/>
              </w:rPr>
              <w:t>тыс. руб.</w:t>
            </w:r>
          </w:p>
        </w:tc>
      </w:tr>
      <w:tr w:rsidR="0055491A" w:rsidTr="00210BF6">
        <w:tc>
          <w:tcPr>
            <w:tcW w:w="1347" w:type="dxa"/>
            <w:tcBorders>
              <w:top w:val="single" w:sz="4" w:space="0" w:color="auto"/>
              <w:left w:val="single" w:sz="4" w:space="0" w:color="auto"/>
              <w:bottom w:val="single" w:sz="4" w:space="0" w:color="auto"/>
              <w:right w:val="single" w:sz="4" w:space="0" w:color="auto"/>
            </w:tcBorders>
            <w:hideMark/>
          </w:tcPr>
          <w:p w:rsidR="0055491A" w:rsidRDefault="0055491A" w:rsidP="00210BF6">
            <w:pPr>
              <w:jc w:val="center"/>
              <w:rPr>
                <w:bCs/>
              </w:rPr>
            </w:pPr>
            <w:r>
              <w:rPr>
                <w:bCs/>
              </w:rPr>
              <w:t>1</w:t>
            </w:r>
          </w:p>
        </w:tc>
        <w:tc>
          <w:tcPr>
            <w:tcW w:w="1058" w:type="dxa"/>
            <w:tcBorders>
              <w:top w:val="single" w:sz="4" w:space="0" w:color="auto"/>
              <w:left w:val="single" w:sz="4" w:space="0" w:color="auto"/>
              <w:bottom w:val="single" w:sz="4" w:space="0" w:color="auto"/>
              <w:right w:val="single" w:sz="4" w:space="0" w:color="auto"/>
            </w:tcBorders>
            <w:hideMark/>
          </w:tcPr>
          <w:p w:rsidR="0055491A" w:rsidRDefault="0055491A" w:rsidP="00210BF6">
            <w:pPr>
              <w:jc w:val="center"/>
              <w:rPr>
                <w:bCs/>
              </w:rPr>
            </w:pPr>
            <w:r>
              <w:rPr>
                <w:bCs/>
              </w:rPr>
              <w:t>2</w:t>
            </w:r>
          </w:p>
        </w:tc>
        <w:tc>
          <w:tcPr>
            <w:tcW w:w="1420" w:type="dxa"/>
            <w:tcBorders>
              <w:top w:val="single" w:sz="4" w:space="0" w:color="auto"/>
              <w:left w:val="single" w:sz="4" w:space="0" w:color="auto"/>
              <w:bottom w:val="single" w:sz="4" w:space="0" w:color="auto"/>
              <w:right w:val="single" w:sz="4" w:space="0" w:color="auto"/>
            </w:tcBorders>
            <w:hideMark/>
          </w:tcPr>
          <w:p w:rsidR="0055491A" w:rsidRDefault="0055491A" w:rsidP="00210BF6">
            <w:pPr>
              <w:jc w:val="center"/>
              <w:rPr>
                <w:bCs/>
              </w:rPr>
            </w:pPr>
            <w:r>
              <w:rPr>
                <w:bCs/>
              </w:rPr>
              <w:t>3</w:t>
            </w:r>
          </w:p>
        </w:tc>
        <w:tc>
          <w:tcPr>
            <w:tcW w:w="1420" w:type="dxa"/>
            <w:tcBorders>
              <w:top w:val="single" w:sz="4" w:space="0" w:color="auto"/>
              <w:left w:val="single" w:sz="4" w:space="0" w:color="auto"/>
              <w:bottom w:val="single" w:sz="4" w:space="0" w:color="auto"/>
              <w:right w:val="single" w:sz="4" w:space="0" w:color="auto"/>
            </w:tcBorders>
            <w:hideMark/>
          </w:tcPr>
          <w:p w:rsidR="0055491A" w:rsidRDefault="0055491A" w:rsidP="00210BF6">
            <w:pPr>
              <w:jc w:val="center"/>
              <w:rPr>
                <w:bCs/>
              </w:rPr>
            </w:pPr>
            <w:r>
              <w:rPr>
                <w:bCs/>
              </w:rPr>
              <w:t>4</w:t>
            </w:r>
          </w:p>
        </w:tc>
        <w:tc>
          <w:tcPr>
            <w:tcW w:w="1424" w:type="dxa"/>
            <w:tcBorders>
              <w:top w:val="single" w:sz="4" w:space="0" w:color="auto"/>
              <w:left w:val="single" w:sz="4" w:space="0" w:color="auto"/>
              <w:bottom w:val="single" w:sz="4" w:space="0" w:color="auto"/>
              <w:right w:val="single" w:sz="4" w:space="0" w:color="auto"/>
            </w:tcBorders>
            <w:hideMark/>
          </w:tcPr>
          <w:p w:rsidR="0055491A" w:rsidRDefault="0055491A" w:rsidP="00210BF6">
            <w:pPr>
              <w:jc w:val="center"/>
              <w:rPr>
                <w:bCs/>
              </w:rPr>
            </w:pPr>
            <w:r>
              <w:rPr>
                <w:bCs/>
              </w:rPr>
              <w:t>5</w:t>
            </w:r>
          </w:p>
        </w:tc>
        <w:tc>
          <w:tcPr>
            <w:tcW w:w="1449" w:type="dxa"/>
            <w:tcBorders>
              <w:top w:val="single" w:sz="4" w:space="0" w:color="auto"/>
              <w:left w:val="single" w:sz="4" w:space="0" w:color="auto"/>
              <w:bottom w:val="single" w:sz="4" w:space="0" w:color="auto"/>
              <w:right w:val="single" w:sz="4" w:space="0" w:color="auto"/>
            </w:tcBorders>
            <w:hideMark/>
          </w:tcPr>
          <w:p w:rsidR="0055491A" w:rsidRDefault="0055491A" w:rsidP="00210BF6">
            <w:pPr>
              <w:jc w:val="center"/>
              <w:rPr>
                <w:bCs/>
              </w:rPr>
            </w:pPr>
            <w:r>
              <w:rPr>
                <w:bCs/>
              </w:rPr>
              <w:t>6=(3+4+5)/3</w:t>
            </w:r>
          </w:p>
        </w:tc>
        <w:tc>
          <w:tcPr>
            <w:tcW w:w="1226" w:type="dxa"/>
            <w:tcBorders>
              <w:top w:val="single" w:sz="4" w:space="0" w:color="auto"/>
              <w:left w:val="single" w:sz="4" w:space="0" w:color="auto"/>
              <w:bottom w:val="single" w:sz="4" w:space="0" w:color="auto"/>
              <w:right w:val="single" w:sz="4" w:space="0" w:color="auto"/>
            </w:tcBorders>
            <w:hideMark/>
          </w:tcPr>
          <w:p w:rsidR="0055491A" w:rsidRDefault="0055491A" w:rsidP="00210BF6">
            <w:pPr>
              <w:jc w:val="center"/>
              <w:rPr>
                <w:bCs/>
              </w:rPr>
            </w:pPr>
            <w:r>
              <w:rPr>
                <w:bCs/>
              </w:rPr>
              <w:t>7 = 2*6</w:t>
            </w:r>
          </w:p>
        </w:tc>
      </w:tr>
      <w:tr w:rsidR="0055491A" w:rsidTr="00210BF6">
        <w:tc>
          <w:tcPr>
            <w:tcW w:w="1347" w:type="dxa"/>
            <w:tcBorders>
              <w:top w:val="single" w:sz="4" w:space="0" w:color="auto"/>
              <w:left w:val="single" w:sz="4" w:space="0" w:color="auto"/>
              <w:bottom w:val="single" w:sz="4" w:space="0" w:color="auto"/>
              <w:right w:val="single" w:sz="4" w:space="0" w:color="auto"/>
            </w:tcBorders>
            <w:hideMark/>
          </w:tcPr>
          <w:p w:rsidR="0055491A" w:rsidRDefault="0055491A" w:rsidP="00210BF6">
            <w:pPr>
              <w:jc w:val="both"/>
              <w:rPr>
                <w:bCs/>
              </w:rPr>
            </w:pPr>
            <w:r>
              <w:rPr>
                <w:bCs/>
              </w:rPr>
              <w:t>Ч.1 ст.14.6</w:t>
            </w:r>
          </w:p>
        </w:tc>
        <w:tc>
          <w:tcPr>
            <w:tcW w:w="1058" w:type="dxa"/>
            <w:tcBorders>
              <w:top w:val="single" w:sz="4" w:space="0" w:color="auto"/>
              <w:left w:val="single" w:sz="4" w:space="0" w:color="auto"/>
              <w:bottom w:val="single" w:sz="4" w:space="0" w:color="auto"/>
              <w:right w:val="single" w:sz="4" w:space="0" w:color="auto"/>
            </w:tcBorders>
            <w:hideMark/>
          </w:tcPr>
          <w:p w:rsidR="0055491A" w:rsidRDefault="0055491A" w:rsidP="00210BF6">
            <w:pPr>
              <w:jc w:val="center"/>
              <w:rPr>
                <w:bCs/>
                <w:sz w:val="27"/>
                <w:szCs w:val="27"/>
              </w:rPr>
            </w:pPr>
            <w:r>
              <w:rPr>
                <w:bCs/>
                <w:sz w:val="27"/>
                <w:szCs w:val="27"/>
              </w:rPr>
              <w:t>50,0</w:t>
            </w:r>
          </w:p>
        </w:tc>
        <w:tc>
          <w:tcPr>
            <w:tcW w:w="1420" w:type="dxa"/>
            <w:tcBorders>
              <w:top w:val="single" w:sz="4" w:space="0" w:color="auto"/>
              <w:left w:val="single" w:sz="4" w:space="0" w:color="auto"/>
              <w:bottom w:val="single" w:sz="4" w:space="0" w:color="auto"/>
              <w:right w:val="single" w:sz="4" w:space="0" w:color="auto"/>
            </w:tcBorders>
            <w:hideMark/>
          </w:tcPr>
          <w:p w:rsidR="0055491A" w:rsidRPr="000267C3" w:rsidRDefault="0055491A" w:rsidP="00210BF6">
            <w:pPr>
              <w:jc w:val="center"/>
              <w:rPr>
                <w:bCs/>
                <w:sz w:val="27"/>
                <w:szCs w:val="27"/>
              </w:rPr>
            </w:pPr>
            <w:r>
              <w:rPr>
                <w:bCs/>
                <w:sz w:val="27"/>
                <w:szCs w:val="27"/>
              </w:rPr>
              <w:t>3</w:t>
            </w:r>
          </w:p>
        </w:tc>
        <w:tc>
          <w:tcPr>
            <w:tcW w:w="1420" w:type="dxa"/>
            <w:tcBorders>
              <w:top w:val="single" w:sz="4" w:space="0" w:color="auto"/>
              <w:left w:val="single" w:sz="4" w:space="0" w:color="auto"/>
              <w:bottom w:val="single" w:sz="4" w:space="0" w:color="auto"/>
              <w:right w:val="single" w:sz="4" w:space="0" w:color="auto"/>
            </w:tcBorders>
            <w:hideMark/>
          </w:tcPr>
          <w:p w:rsidR="0055491A" w:rsidRPr="000267C3" w:rsidRDefault="0055491A" w:rsidP="00210BF6">
            <w:pPr>
              <w:jc w:val="center"/>
              <w:rPr>
                <w:bCs/>
                <w:sz w:val="27"/>
                <w:szCs w:val="27"/>
              </w:rPr>
            </w:pPr>
            <w:r>
              <w:rPr>
                <w:bCs/>
                <w:sz w:val="27"/>
                <w:szCs w:val="27"/>
              </w:rPr>
              <w:t>1</w:t>
            </w:r>
          </w:p>
        </w:tc>
        <w:tc>
          <w:tcPr>
            <w:tcW w:w="1424" w:type="dxa"/>
            <w:tcBorders>
              <w:top w:val="single" w:sz="4" w:space="0" w:color="auto"/>
              <w:left w:val="single" w:sz="4" w:space="0" w:color="auto"/>
              <w:bottom w:val="single" w:sz="4" w:space="0" w:color="auto"/>
              <w:right w:val="single" w:sz="4" w:space="0" w:color="auto"/>
            </w:tcBorders>
            <w:hideMark/>
          </w:tcPr>
          <w:p w:rsidR="0055491A" w:rsidRPr="000267C3" w:rsidRDefault="0055491A" w:rsidP="00210BF6">
            <w:pPr>
              <w:jc w:val="center"/>
              <w:rPr>
                <w:bCs/>
                <w:sz w:val="27"/>
                <w:szCs w:val="27"/>
              </w:rPr>
            </w:pPr>
            <w:r>
              <w:rPr>
                <w:bCs/>
                <w:sz w:val="27"/>
                <w:szCs w:val="27"/>
              </w:rPr>
              <w:t>1</w:t>
            </w:r>
          </w:p>
        </w:tc>
        <w:tc>
          <w:tcPr>
            <w:tcW w:w="1449" w:type="dxa"/>
            <w:tcBorders>
              <w:top w:val="single" w:sz="4" w:space="0" w:color="auto"/>
              <w:left w:val="single" w:sz="4" w:space="0" w:color="auto"/>
              <w:bottom w:val="single" w:sz="4" w:space="0" w:color="auto"/>
              <w:right w:val="single" w:sz="4" w:space="0" w:color="auto"/>
            </w:tcBorders>
            <w:hideMark/>
          </w:tcPr>
          <w:p w:rsidR="0055491A" w:rsidRPr="000267C3" w:rsidRDefault="0055491A" w:rsidP="00210BF6">
            <w:pPr>
              <w:jc w:val="center"/>
              <w:rPr>
                <w:bCs/>
                <w:sz w:val="27"/>
                <w:szCs w:val="27"/>
              </w:rPr>
            </w:pPr>
            <w:r>
              <w:rPr>
                <w:bCs/>
                <w:sz w:val="27"/>
                <w:szCs w:val="27"/>
              </w:rPr>
              <w:t>2</w:t>
            </w:r>
          </w:p>
        </w:tc>
        <w:tc>
          <w:tcPr>
            <w:tcW w:w="1226" w:type="dxa"/>
            <w:tcBorders>
              <w:top w:val="single" w:sz="4" w:space="0" w:color="auto"/>
              <w:left w:val="single" w:sz="4" w:space="0" w:color="auto"/>
              <w:bottom w:val="single" w:sz="4" w:space="0" w:color="auto"/>
              <w:right w:val="single" w:sz="4" w:space="0" w:color="auto"/>
            </w:tcBorders>
            <w:hideMark/>
          </w:tcPr>
          <w:p w:rsidR="0055491A" w:rsidRDefault="0055491A" w:rsidP="00210BF6">
            <w:pPr>
              <w:jc w:val="center"/>
              <w:rPr>
                <w:bCs/>
                <w:sz w:val="27"/>
                <w:szCs w:val="27"/>
              </w:rPr>
            </w:pPr>
            <w:r>
              <w:rPr>
                <w:bCs/>
                <w:sz w:val="27"/>
                <w:szCs w:val="27"/>
              </w:rPr>
              <w:t>100,0</w:t>
            </w:r>
          </w:p>
        </w:tc>
      </w:tr>
      <w:tr w:rsidR="0055491A" w:rsidTr="00210BF6">
        <w:tc>
          <w:tcPr>
            <w:tcW w:w="8118" w:type="dxa"/>
            <w:gridSpan w:val="6"/>
            <w:tcBorders>
              <w:top w:val="single" w:sz="4" w:space="0" w:color="auto"/>
              <w:left w:val="single" w:sz="4" w:space="0" w:color="auto"/>
              <w:bottom w:val="single" w:sz="4" w:space="0" w:color="auto"/>
              <w:right w:val="single" w:sz="4" w:space="0" w:color="auto"/>
            </w:tcBorders>
            <w:hideMark/>
          </w:tcPr>
          <w:p w:rsidR="0055491A" w:rsidRDefault="0055491A" w:rsidP="00210BF6">
            <w:pPr>
              <w:jc w:val="center"/>
              <w:rPr>
                <w:bCs/>
                <w:sz w:val="27"/>
                <w:szCs w:val="27"/>
              </w:rPr>
            </w:pPr>
            <w:r>
              <w:rPr>
                <w:bCs/>
                <w:sz w:val="27"/>
                <w:szCs w:val="27"/>
              </w:rPr>
              <w:t>ИТОГО</w:t>
            </w:r>
          </w:p>
        </w:tc>
        <w:tc>
          <w:tcPr>
            <w:tcW w:w="1226" w:type="dxa"/>
            <w:tcBorders>
              <w:top w:val="single" w:sz="4" w:space="0" w:color="auto"/>
              <w:left w:val="single" w:sz="4" w:space="0" w:color="auto"/>
              <w:bottom w:val="single" w:sz="4" w:space="0" w:color="auto"/>
              <w:right w:val="single" w:sz="4" w:space="0" w:color="auto"/>
            </w:tcBorders>
            <w:hideMark/>
          </w:tcPr>
          <w:p w:rsidR="0055491A" w:rsidRPr="00945F2D" w:rsidRDefault="0055491A" w:rsidP="00210BF6">
            <w:pPr>
              <w:jc w:val="center"/>
              <w:rPr>
                <w:b/>
                <w:bCs/>
                <w:sz w:val="27"/>
                <w:szCs w:val="27"/>
                <w:lang w:val="en-US"/>
              </w:rPr>
            </w:pPr>
            <w:r>
              <w:rPr>
                <w:b/>
                <w:bCs/>
                <w:sz w:val="27"/>
                <w:szCs w:val="27"/>
              </w:rPr>
              <w:t>100,0</w:t>
            </w:r>
          </w:p>
        </w:tc>
      </w:tr>
    </w:tbl>
    <w:p w:rsidR="0055491A" w:rsidRDefault="0055491A" w:rsidP="0055491A">
      <w:pPr>
        <w:pStyle w:val="a7"/>
        <w:spacing w:after="0"/>
        <w:ind w:left="0" w:firstLine="709"/>
        <w:jc w:val="both"/>
        <w:rPr>
          <w:sz w:val="28"/>
          <w:szCs w:val="28"/>
          <w:highlight w:val="yellow"/>
        </w:rPr>
      </w:pPr>
    </w:p>
    <w:p w:rsidR="0055491A" w:rsidRPr="00B24CDE" w:rsidRDefault="0055491A" w:rsidP="0055491A">
      <w:pPr>
        <w:pStyle w:val="a7"/>
        <w:spacing w:after="0"/>
        <w:ind w:left="0" w:firstLine="709"/>
        <w:jc w:val="both"/>
        <w:rPr>
          <w:b/>
          <w:sz w:val="28"/>
          <w:szCs w:val="28"/>
        </w:rPr>
      </w:pPr>
      <w:r w:rsidRPr="00B24CDE">
        <w:rPr>
          <w:b/>
          <w:sz w:val="28"/>
          <w:szCs w:val="28"/>
        </w:rPr>
        <w:t xml:space="preserve">Прогноз на 2022 год составляет 100 тыс. руб. Прогноз на 2023-2024 годы </w:t>
      </w:r>
      <w:r w:rsidRPr="00B24CDE">
        <w:rPr>
          <w:sz w:val="28"/>
          <w:szCs w:val="28"/>
        </w:rPr>
        <w:t>принят на уровне прогноза на 2022 года</w:t>
      </w:r>
      <w:r w:rsidRPr="00B24CDE">
        <w:rPr>
          <w:b/>
          <w:sz w:val="28"/>
          <w:szCs w:val="28"/>
        </w:rPr>
        <w:t xml:space="preserve"> </w:t>
      </w:r>
      <w:r w:rsidRPr="00B24CDE">
        <w:rPr>
          <w:sz w:val="28"/>
          <w:szCs w:val="28"/>
        </w:rPr>
        <w:t>и</w:t>
      </w:r>
      <w:r w:rsidRPr="00B24CDE">
        <w:rPr>
          <w:b/>
          <w:sz w:val="28"/>
          <w:szCs w:val="28"/>
        </w:rPr>
        <w:t xml:space="preserve"> </w:t>
      </w:r>
      <w:r w:rsidRPr="00B24CDE">
        <w:rPr>
          <w:sz w:val="28"/>
          <w:szCs w:val="28"/>
        </w:rPr>
        <w:t>составляет</w:t>
      </w:r>
      <w:r w:rsidRPr="00B24CDE">
        <w:rPr>
          <w:b/>
          <w:sz w:val="28"/>
          <w:szCs w:val="28"/>
        </w:rPr>
        <w:t xml:space="preserve"> 100 тыс. руб.</w:t>
      </w:r>
    </w:p>
    <w:p w:rsidR="0055491A" w:rsidRDefault="0055491A" w:rsidP="0055491A">
      <w:pPr>
        <w:pStyle w:val="a7"/>
        <w:spacing w:after="0"/>
        <w:ind w:left="0" w:firstLine="709"/>
        <w:jc w:val="both"/>
        <w:rPr>
          <w:sz w:val="28"/>
          <w:szCs w:val="28"/>
        </w:rPr>
      </w:pPr>
    </w:p>
    <w:p w:rsidR="0055491A" w:rsidRPr="00485D9D" w:rsidRDefault="0055491A" w:rsidP="0055491A">
      <w:pPr>
        <w:pStyle w:val="a7"/>
        <w:spacing w:after="0"/>
        <w:ind w:left="0" w:firstLine="709"/>
        <w:jc w:val="both"/>
        <w:rPr>
          <w:sz w:val="28"/>
          <w:szCs w:val="28"/>
        </w:rPr>
      </w:pPr>
      <w:r w:rsidRPr="00A70077">
        <w:rPr>
          <w:sz w:val="28"/>
          <w:szCs w:val="28"/>
        </w:rPr>
        <w:t xml:space="preserve">10.3 </w:t>
      </w:r>
      <w:r w:rsidRPr="00A70077">
        <w:rPr>
          <w:b/>
          <w:sz w:val="28"/>
          <w:szCs w:val="28"/>
        </w:rPr>
        <w:t>КБК 245 1 16 01142 01 0000 140</w:t>
      </w:r>
      <w:r w:rsidRPr="00485D9D">
        <w:rPr>
          <w:sz w:val="28"/>
          <w:szCs w:val="28"/>
        </w:rPr>
        <w:t xml:space="preserve"> 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w:t>
      </w:r>
    </w:p>
    <w:p w:rsidR="0055491A" w:rsidRPr="00A70077" w:rsidRDefault="0055491A" w:rsidP="0055491A">
      <w:pPr>
        <w:pStyle w:val="a7"/>
        <w:spacing w:after="0"/>
        <w:ind w:left="0" w:firstLine="709"/>
        <w:jc w:val="both"/>
        <w:rPr>
          <w:b/>
          <w:sz w:val="28"/>
          <w:szCs w:val="28"/>
        </w:rPr>
      </w:pPr>
      <w:r w:rsidRPr="00A70077">
        <w:rPr>
          <w:b/>
          <w:sz w:val="28"/>
          <w:szCs w:val="28"/>
        </w:rPr>
        <w:t>Главный администратор доходов - Главное управление «Государственная инспекция по надзору за техническим состоянием самоходных машин и других видов техники» Тверской области.</w:t>
      </w:r>
    </w:p>
    <w:p w:rsidR="0055491A" w:rsidRDefault="0055491A" w:rsidP="0055491A">
      <w:pPr>
        <w:ind w:firstLine="709"/>
        <w:jc w:val="both"/>
        <w:rPr>
          <w:color w:val="000000"/>
          <w:sz w:val="28"/>
          <w:szCs w:val="28"/>
        </w:rPr>
      </w:pPr>
      <w:r w:rsidRPr="00B56F6E">
        <w:rPr>
          <w:color w:val="000000"/>
          <w:sz w:val="28"/>
          <w:szCs w:val="28"/>
        </w:rPr>
        <w:t xml:space="preserve">Прогноз поступлений доходов в областной бюджет </w:t>
      </w:r>
      <w:r>
        <w:rPr>
          <w:color w:val="000000"/>
          <w:sz w:val="28"/>
          <w:szCs w:val="28"/>
        </w:rPr>
        <w:t xml:space="preserve">Тверской области рассчитан </w:t>
      </w:r>
      <w:r w:rsidRPr="00B56F6E">
        <w:rPr>
          <w:color w:val="000000"/>
          <w:sz w:val="28"/>
          <w:szCs w:val="28"/>
        </w:rPr>
        <w:t>в соответствии с положениями Методики прогнозирования поступлений доходов в областной бюджет Тверской области, утвержденной приказом Главного управления</w:t>
      </w:r>
      <w:r>
        <w:rPr>
          <w:color w:val="000000"/>
          <w:sz w:val="28"/>
          <w:szCs w:val="28"/>
        </w:rPr>
        <w:t xml:space="preserve"> «</w:t>
      </w:r>
      <w:r w:rsidRPr="0055238B">
        <w:rPr>
          <w:sz w:val="28"/>
          <w:szCs w:val="28"/>
        </w:rPr>
        <w:t>Государственная инспекция по надзору за техническим состоянием самоходн</w:t>
      </w:r>
      <w:r>
        <w:rPr>
          <w:sz w:val="28"/>
          <w:szCs w:val="28"/>
        </w:rPr>
        <w:t>ых машин и других видов техники»</w:t>
      </w:r>
      <w:r w:rsidRPr="0055238B">
        <w:rPr>
          <w:sz w:val="28"/>
          <w:szCs w:val="28"/>
        </w:rPr>
        <w:t xml:space="preserve"> </w:t>
      </w:r>
      <w:r w:rsidRPr="00B56F6E">
        <w:rPr>
          <w:color w:val="000000"/>
          <w:sz w:val="28"/>
          <w:szCs w:val="28"/>
        </w:rPr>
        <w:t>от 30.08.2016 № 52/ПК</w:t>
      </w:r>
      <w:r>
        <w:rPr>
          <w:color w:val="000000"/>
          <w:sz w:val="28"/>
          <w:szCs w:val="28"/>
        </w:rPr>
        <w:t xml:space="preserve"> (с учетом изменений от 30.06.2020).</w:t>
      </w:r>
    </w:p>
    <w:p w:rsidR="0055491A" w:rsidRPr="00F92864" w:rsidRDefault="0055491A" w:rsidP="0055491A">
      <w:pPr>
        <w:ind w:firstLine="709"/>
        <w:jc w:val="both"/>
        <w:rPr>
          <w:sz w:val="28"/>
          <w:szCs w:val="28"/>
        </w:rPr>
      </w:pPr>
      <w:r w:rsidRPr="00F92864">
        <w:rPr>
          <w:sz w:val="28"/>
          <w:szCs w:val="28"/>
        </w:rPr>
        <w:t xml:space="preserve"> Прогноз </w:t>
      </w:r>
      <w:r w:rsidRPr="00B56F6E">
        <w:rPr>
          <w:sz w:val="28"/>
          <w:szCs w:val="28"/>
        </w:rPr>
        <w:t>на 20</w:t>
      </w:r>
      <w:r>
        <w:rPr>
          <w:sz w:val="28"/>
          <w:szCs w:val="28"/>
        </w:rPr>
        <w:t>22</w:t>
      </w:r>
      <w:r w:rsidRPr="00B56F6E">
        <w:rPr>
          <w:sz w:val="28"/>
          <w:szCs w:val="28"/>
        </w:rPr>
        <w:t>-202</w:t>
      </w:r>
      <w:r>
        <w:rPr>
          <w:sz w:val="28"/>
          <w:szCs w:val="28"/>
        </w:rPr>
        <w:t>4</w:t>
      </w:r>
      <w:r w:rsidRPr="00B56F6E">
        <w:rPr>
          <w:sz w:val="28"/>
          <w:szCs w:val="28"/>
        </w:rPr>
        <w:t xml:space="preserve"> годы </w:t>
      </w:r>
      <w:r w:rsidRPr="00F92864">
        <w:rPr>
          <w:sz w:val="28"/>
          <w:szCs w:val="28"/>
        </w:rPr>
        <w:t>по административным штрафам рассчитывается методом прямого расчета по следующей формуле:</w:t>
      </w:r>
    </w:p>
    <w:p w:rsidR="0055491A" w:rsidRPr="00F92864" w:rsidRDefault="0055491A" w:rsidP="0055491A">
      <w:pPr>
        <w:jc w:val="center"/>
        <w:rPr>
          <w:sz w:val="28"/>
          <w:szCs w:val="28"/>
        </w:rPr>
      </w:pPr>
    </w:p>
    <w:p w:rsidR="0055491A" w:rsidRPr="00F92864" w:rsidRDefault="0055491A" w:rsidP="0055491A">
      <w:pPr>
        <w:jc w:val="center"/>
        <w:rPr>
          <w:sz w:val="28"/>
          <w:szCs w:val="28"/>
        </w:rPr>
      </w:pPr>
      <w:r w:rsidRPr="00F92864">
        <w:rPr>
          <w:sz w:val="28"/>
          <w:szCs w:val="28"/>
          <w:lang w:val="en-US"/>
        </w:rPr>
        <w:t>S</w:t>
      </w:r>
      <w:r w:rsidRPr="00F92864">
        <w:rPr>
          <w:sz w:val="28"/>
          <w:szCs w:val="28"/>
          <w:vertAlign w:val="subscript"/>
        </w:rPr>
        <w:t xml:space="preserve">адм </w:t>
      </w:r>
      <w:r w:rsidRPr="00F92864">
        <w:rPr>
          <w:sz w:val="28"/>
          <w:szCs w:val="28"/>
          <w:vertAlign w:val="subscript"/>
          <w:lang w:val="en-US"/>
        </w:rPr>
        <w:t>j</w:t>
      </w:r>
      <w:r w:rsidRPr="00F92864">
        <w:rPr>
          <w:sz w:val="28"/>
          <w:szCs w:val="28"/>
          <w:vertAlign w:val="subscript"/>
        </w:rPr>
        <w:t xml:space="preserve"> </w:t>
      </w:r>
      <w:r w:rsidRPr="00F92864">
        <w:rPr>
          <w:sz w:val="28"/>
          <w:szCs w:val="28"/>
          <w:vertAlign w:val="subscript"/>
          <w:lang w:val="en-US"/>
        </w:rPr>
        <w:t>n</w:t>
      </w:r>
      <w:r w:rsidRPr="00F92864">
        <w:rPr>
          <w:sz w:val="28"/>
          <w:szCs w:val="28"/>
          <w:vertAlign w:val="subscript"/>
        </w:rPr>
        <w:t xml:space="preserve"> </w:t>
      </w:r>
      <w:r w:rsidRPr="00F92864">
        <w:rPr>
          <w:sz w:val="28"/>
          <w:szCs w:val="28"/>
        </w:rPr>
        <w:t>= К</w:t>
      </w:r>
      <w:r w:rsidRPr="00F92864">
        <w:rPr>
          <w:sz w:val="28"/>
          <w:szCs w:val="28"/>
          <w:vertAlign w:val="subscript"/>
        </w:rPr>
        <w:t xml:space="preserve">адм </w:t>
      </w:r>
      <w:r w:rsidRPr="00F92864">
        <w:rPr>
          <w:sz w:val="28"/>
          <w:szCs w:val="28"/>
          <w:vertAlign w:val="subscript"/>
          <w:lang w:val="en-US"/>
        </w:rPr>
        <w:t>j</w:t>
      </w:r>
      <w:r w:rsidRPr="00F92864">
        <w:rPr>
          <w:sz w:val="28"/>
          <w:szCs w:val="28"/>
          <w:vertAlign w:val="subscript"/>
        </w:rPr>
        <w:t xml:space="preserve"> </w:t>
      </w:r>
      <w:r w:rsidRPr="00F92864">
        <w:rPr>
          <w:sz w:val="28"/>
          <w:szCs w:val="28"/>
          <w:vertAlign w:val="subscript"/>
          <w:lang w:val="en-US"/>
        </w:rPr>
        <w:t>n</w:t>
      </w:r>
      <w:r w:rsidRPr="00F92864">
        <w:rPr>
          <w:sz w:val="28"/>
          <w:szCs w:val="28"/>
          <w:vertAlign w:val="subscript"/>
        </w:rPr>
        <w:t xml:space="preserve"> </w:t>
      </w:r>
      <w:r w:rsidRPr="00F92864">
        <w:rPr>
          <w:sz w:val="28"/>
          <w:szCs w:val="28"/>
        </w:rPr>
        <w:t>х</w:t>
      </w:r>
      <w:r w:rsidRPr="00F92864">
        <w:rPr>
          <w:sz w:val="28"/>
          <w:szCs w:val="28"/>
          <w:vertAlign w:val="subscript"/>
        </w:rPr>
        <w:t xml:space="preserve"> </w:t>
      </w:r>
      <w:r w:rsidRPr="00F92864">
        <w:rPr>
          <w:sz w:val="28"/>
          <w:szCs w:val="28"/>
        </w:rPr>
        <w:t>С</w:t>
      </w:r>
      <w:r w:rsidRPr="00F92864">
        <w:rPr>
          <w:sz w:val="28"/>
          <w:szCs w:val="28"/>
          <w:vertAlign w:val="subscript"/>
        </w:rPr>
        <w:t>адм</w:t>
      </w:r>
      <w:r w:rsidRPr="00F92864">
        <w:rPr>
          <w:sz w:val="28"/>
          <w:szCs w:val="28"/>
        </w:rPr>
        <w:t>, где:</w:t>
      </w:r>
    </w:p>
    <w:p w:rsidR="0055491A" w:rsidRPr="00F92864" w:rsidRDefault="0055491A" w:rsidP="0055491A">
      <w:pPr>
        <w:jc w:val="both"/>
        <w:rPr>
          <w:sz w:val="28"/>
          <w:szCs w:val="28"/>
        </w:rPr>
      </w:pPr>
    </w:p>
    <w:p w:rsidR="0055491A" w:rsidRPr="00F92864" w:rsidRDefault="0055491A" w:rsidP="0055491A">
      <w:pPr>
        <w:ind w:firstLine="708"/>
        <w:jc w:val="both"/>
        <w:rPr>
          <w:sz w:val="28"/>
          <w:szCs w:val="28"/>
        </w:rPr>
      </w:pPr>
      <w:r w:rsidRPr="00F92864">
        <w:rPr>
          <w:sz w:val="28"/>
          <w:szCs w:val="28"/>
          <w:lang w:val="en-US"/>
        </w:rPr>
        <w:t>S</w:t>
      </w:r>
      <w:r w:rsidRPr="00F92864">
        <w:rPr>
          <w:sz w:val="28"/>
          <w:szCs w:val="28"/>
          <w:vertAlign w:val="subscript"/>
        </w:rPr>
        <w:t xml:space="preserve">адм </w:t>
      </w:r>
      <w:r w:rsidRPr="00F92864">
        <w:rPr>
          <w:sz w:val="28"/>
          <w:szCs w:val="28"/>
          <w:vertAlign w:val="subscript"/>
          <w:lang w:val="en-US"/>
        </w:rPr>
        <w:t>j</w:t>
      </w:r>
      <w:r w:rsidRPr="00F92864">
        <w:rPr>
          <w:sz w:val="28"/>
          <w:szCs w:val="28"/>
          <w:vertAlign w:val="subscript"/>
        </w:rPr>
        <w:t xml:space="preserve"> </w:t>
      </w:r>
      <w:r w:rsidRPr="00F92864">
        <w:rPr>
          <w:sz w:val="28"/>
          <w:szCs w:val="28"/>
          <w:vertAlign w:val="subscript"/>
          <w:lang w:val="en-US"/>
        </w:rPr>
        <w:t>n</w:t>
      </w:r>
      <w:r w:rsidRPr="00F92864">
        <w:rPr>
          <w:sz w:val="28"/>
          <w:szCs w:val="28"/>
        </w:rPr>
        <w:t xml:space="preserve"> – прогноз суммы поступления по административным штрафам в </w:t>
      </w:r>
      <w:r w:rsidRPr="00F92864">
        <w:rPr>
          <w:sz w:val="28"/>
          <w:szCs w:val="28"/>
          <w:lang w:val="en-US"/>
        </w:rPr>
        <w:t>n</w:t>
      </w:r>
      <w:r w:rsidRPr="00F92864">
        <w:rPr>
          <w:sz w:val="28"/>
          <w:szCs w:val="28"/>
        </w:rPr>
        <w:t xml:space="preserve"> году;</w:t>
      </w:r>
    </w:p>
    <w:p w:rsidR="0055491A" w:rsidRPr="00F92864" w:rsidRDefault="0055491A" w:rsidP="0055491A">
      <w:pPr>
        <w:ind w:firstLine="709"/>
        <w:jc w:val="both"/>
        <w:rPr>
          <w:sz w:val="28"/>
          <w:szCs w:val="28"/>
        </w:rPr>
      </w:pPr>
      <w:r w:rsidRPr="00F92864">
        <w:rPr>
          <w:sz w:val="28"/>
          <w:szCs w:val="28"/>
        </w:rPr>
        <w:t>К</w:t>
      </w:r>
      <w:r w:rsidRPr="00F92864">
        <w:rPr>
          <w:sz w:val="28"/>
          <w:szCs w:val="28"/>
          <w:vertAlign w:val="subscript"/>
        </w:rPr>
        <w:t xml:space="preserve">адм </w:t>
      </w:r>
      <w:r w:rsidRPr="00F92864">
        <w:rPr>
          <w:sz w:val="28"/>
          <w:szCs w:val="28"/>
          <w:vertAlign w:val="subscript"/>
          <w:lang w:val="en-US"/>
        </w:rPr>
        <w:t>j</w:t>
      </w:r>
      <w:r w:rsidRPr="00F92864">
        <w:rPr>
          <w:sz w:val="28"/>
          <w:szCs w:val="28"/>
          <w:vertAlign w:val="subscript"/>
        </w:rPr>
        <w:t xml:space="preserve"> </w:t>
      </w:r>
      <w:r w:rsidRPr="00F92864">
        <w:rPr>
          <w:sz w:val="28"/>
          <w:szCs w:val="28"/>
          <w:vertAlign w:val="subscript"/>
          <w:lang w:val="en-US"/>
        </w:rPr>
        <w:t>n</w:t>
      </w:r>
      <w:r w:rsidRPr="00F92864">
        <w:rPr>
          <w:sz w:val="28"/>
          <w:szCs w:val="28"/>
          <w:vertAlign w:val="subscript"/>
        </w:rPr>
        <w:t xml:space="preserve">  </w:t>
      </w:r>
      <w:r w:rsidRPr="00F92864">
        <w:rPr>
          <w:sz w:val="28"/>
          <w:szCs w:val="28"/>
        </w:rPr>
        <w:t xml:space="preserve">– </w:t>
      </w:r>
      <w:r>
        <w:rPr>
          <w:sz w:val="28"/>
          <w:szCs w:val="28"/>
        </w:rPr>
        <w:t xml:space="preserve"> прогнозируемое </w:t>
      </w:r>
      <w:r w:rsidRPr="00F92864">
        <w:rPr>
          <w:sz w:val="28"/>
          <w:szCs w:val="28"/>
        </w:rPr>
        <w:t xml:space="preserve">количество постановлений по делам об  административных правонарушениях в </w:t>
      </w:r>
      <w:r w:rsidRPr="00F92864">
        <w:rPr>
          <w:sz w:val="28"/>
          <w:szCs w:val="28"/>
          <w:lang w:val="en-US"/>
        </w:rPr>
        <w:t>n</w:t>
      </w:r>
      <w:r w:rsidRPr="00F92864">
        <w:rPr>
          <w:sz w:val="28"/>
          <w:szCs w:val="28"/>
        </w:rPr>
        <w:t xml:space="preserve"> году;</w:t>
      </w:r>
    </w:p>
    <w:p w:rsidR="0055491A" w:rsidRPr="00F92864" w:rsidRDefault="0055491A" w:rsidP="0055491A">
      <w:pPr>
        <w:ind w:firstLine="709"/>
        <w:jc w:val="both"/>
        <w:rPr>
          <w:sz w:val="28"/>
          <w:szCs w:val="28"/>
        </w:rPr>
      </w:pPr>
      <w:r w:rsidRPr="00F92864">
        <w:rPr>
          <w:sz w:val="28"/>
          <w:szCs w:val="28"/>
        </w:rPr>
        <w:t>С</w:t>
      </w:r>
      <w:r w:rsidRPr="00F92864">
        <w:rPr>
          <w:sz w:val="28"/>
          <w:szCs w:val="28"/>
          <w:vertAlign w:val="subscript"/>
        </w:rPr>
        <w:t>гп</w:t>
      </w:r>
      <w:r w:rsidRPr="00F92864">
        <w:rPr>
          <w:sz w:val="28"/>
          <w:szCs w:val="28"/>
        </w:rPr>
        <w:t xml:space="preserve"> </w:t>
      </w:r>
      <w:r w:rsidRPr="00F92864">
        <w:rPr>
          <w:sz w:val="28"/>
          <w:szCs w:val="28"/>
          <w:vertAlign w:val="subscript"/>
          <w:lang w:val="en-US"/>
        </w:rPr>
        <w:t>j</w:t>
      </w:r>
      <w:r w:rsidRPr="00F92864">
        <w:rPr>
          <w:sz w:val="28"/>
          <w:szCs w:val="28"/>
        </w:rPr>
        <w:t xml:space="preserve"> – размер административного штрафа.</w:t>
      </w:r>
    </w:p>
    <w:p w:rsidR="0055491A" w:rsidRDefault="0055491A" w:rsidP="0055491A">
      <w:pPr>
        <w:ind w:firstLine="709"/>
        <w:jc w:val="both"/>
        <w:rPr>
          <w:sz w:val="28"/>
          <w:szCs w:val="28"/>
        </w:rPr>
      </w:pPr>
      <w:r>
        <w:rPr>
          <w:sz w:val="28"/>
          <w:szCs w:val="28"/>
        </w:rPr>
        <w:t xml:space="preserve">Размер административного штрафа часть 1 статья 14.43 КоАП РФ </w:t>
      </w:r>
    </w:p>
    <w:p w:rsidR="0055491A" w:rsidRDefault="0055491A" w:rsidP="0055491A">
      <w:pPr>
        <w:ind w:firstLine="709"/>
        <w:jc w:val="both"/>
        <w:rPr>
          <w:sz w:val="28"/>
          <w:szCs w:val="28"/>
        </w:rPr>
      </w:pPr>
      <w:r>
        <w:rPr>
          <w:sz w:val="28"/>
          <w:szCs w:val="28"/>
        </w:rPr>
        <w:t>20,0 тыс. руб.</w:t>
      </w:r>
    </w:p>
    <w:p w:rsidR="0055491A" w:rsidRPr="00F92864" w:rsidRDefault="0055491A" w:rsidP="0055491A">
      <w:pPr>
        <w:ind w:firstLine="709"/>
        <w:jc w:val="both"/>
        <w:rPr>
          <w:sz w:val="28"/>
          <w:szCs w:val="28"/>
        </w:rPr>
      </w:pPr>
      <w:r w:rsidRPr="00F92864">
        <w:rPr>
          <w:sz w:val="28"/>
          <w:szCs w:val="28"/>
        </w:rPr>
        <w:t xml:space="preserve">Расчет </w:t>
      </w:r>
      <w:r>
        <w:rPr>
          <w:sz w:val="28"/>
          <w:szCs w:val="28"/>
        </w:rPr>
        <w:t>прогнозируемого количества постановлений</w:t>
      </w:r>
      <w:r w:rsidRPr="00F92864">
        <w:rPr>
          <w:sz w:val="28"/>
          <w:szCs w:val="28"/>
        </w:rPr>
        <w:t xml:space="preserve"> производится по формуле: </w:t>
      </w:r>
    </w:p>
    <w:p w:rsidR="0055491A" w:rsidRPr="00F92864" w:rsidRDefault="0055491A" w:rsidP="0055491A">
      <w:pPr>
        <w:ind w:firstLine="709"/>
        <w:jc w:val="both"/>
        <w:rPr>
          <w:sz w:val="28"/>
          <w:szCs w:val="28"/>
        </w:rPr>
      </w:pPr>
      <w:r w:rsidRPr="00F92864">
        <w:rPr>
          <w:sz w:val="28"/>
          <w:szCs w:val="28"/>
        </w:rPr>
        <w:t>К</w:t>
      </w:r>
      <w:r w:rsidRPr="00F92864">
        <w:rPr>
          <w:sz w:val="28"/>
          <w:szCs w:val="28"/>
          <w:vertAlign w:val="subscript"/>
        </w:rPr>
        <w:t xml:space="preserve">адм </w:t>
      </w:r>
      <w:r w:rsidRPr="00F92864">
        <w:rPr>
          <w:sz w:val="28"/>
          <w:szCs w:val="28"/>
          <w:vertAlign w:val="subscript"/>
          <w:lang w:val="en-US"/>
        </w:rPr>
        <w:t>j</w:t>
      </w:r>
      <w:r w:rsidRPr="00F92864">
        <w:rPr>
          <w:sz w:val="28"/>
          <w:szCs w:val="28"/>
          <w:vertAlign w:val="subscript"/>
        </w:rPr>
        <w:t xml:space="preserve"> </w:t>
      </w:r>
      <w:r w:rsidRPr="00F92864">
        <w:rPr>
          <w:sz w:val="28"/>
          <w:szCs w:val="28"/>
          <w:vertAlign w:val="subscript"/>
          <w:lang w:val="en-US"/>
        </w:rPr>
        <w:t>n</w:t>
      </w:r>
      <w:r w:rsidRPr="00F92864">
        <w:rPr>
          <w:sz w:val="28"/>
          <w:szCs w:val="28"/>
          <w:vertAlign w:val="subscript"/>
        </w:rPr>
        <w:t xml:space="preserve"> </w:t>
      </w:r>
      <w:r w:rsidRPr="00F92864">
        <w:rPr>
          <w:sz w:val="28"/>
          <w:szCs w:val="28"/>
        </w:rPr>
        <w:t>= К</w:t>
      </w:r>
      <w:r w:rsidRPr="00F92864">
        <w:rPr>
          <w:sz w:val="28"/>
          <w:szCs w:val="28"/>
          <w:vertAlign w:val="subscript"/>
        </w:rPr>
        <w:t xml:space="preserve">адм </w:t>
      </w:r>
      <w:r w:rsidRPr="00F92864">
        <w:rPr>
          <w:sz w:val="28"/>
          <w:szCs w:val="28"/>
          <w:vertAlign w:val="subscript"/>
          <w:lang w:val="en-US"/>
        </w:rPr>
        <w:t>j</w:t>
      </w:r>
      <w:r w:rsidRPr="00F92864">
        <w:rPr>
          <w:sz w:val="28"/>
          <w:szCs w:val="28"/>
          <w:vertAlign w:val="subscript"/>
        </w:rPr>
        <w:t xml:space="preserve"> </w:t>
      </w:r>
      <w:r w:rsidRPr="00F92864">
        <w:rPr>
          <w:sz w:val="28"/>
          <w:szCs w:val="28"/>
          <w:vertAlign w:val="subscript"/>
          <w:lang w:val="en-US"/>
        </w:rPr>
        <w:t>n</w:t>
      </w:r>
      <w:r w:rsidRPr="00F92864">
        <w:rPr>
          <w:sz w:val="28"/>
          <w:szCs w:val="28"/>
          <w:vertAlign w:val="subscript"/>
        </w:rPr>
        <w:t xml:space="preserve">-1 </w:t>
      </w:r>
      <w:r w:rsidRPr="00F92864">
        <w:rPr>
          <w:sz w:val="28"/>
          <w:szCs w:val="28"/>
        </w:rPr>
        <w:t>х (1-К</w:t>
      </w:r>
      <w:r w:rsidRPr="00F92864">
        <w:rPr>
          <w:sz w:val="28"/>
          <w:szCs w:val="28"/>
          <w:vertAlign w:val="subscript"/>
        </w:rPr>
        <w:t>сн</w:t>
      </w:r>
      <w:r w:rsidRPr="00F92864">
        <w:rPr>
          <w:sz w:val="28"/>
          <w:szCs w:val="28"/>
        </w:rPr>
        <w:t>/100), где</w:t>
      </w:r>
    </w:p>
    <w:p w:rsidR="0055491A" w:rsidRPr="00F92864" w:rsidRDefault="0055491A" w:rsidP="0055491A">
      <w:pPr>
        <w:ind w:firstLine="709"/>
        <w:jc w:val="both"/>
        <w:rPr>
          <w:sz w:val="28"/>
          <w:szCs w:val="28"/>
        </w:rPr>
      </w:pPr>
      <w:r w:rsidRPr="00F92864">
        <w:rPr>
          <w:sz w:val="28"/>
          <w:szCs w:val="28"/>
        </w:rPr>
        <w:t xml:space="preserve"> К</w:t>
      </w:r>
      <w:r w:rsidRPr="00F92864">
        <w:rPr>
          <w:sz w:val="28"/>
          <w:szCs w:val="28"/>
          <w:vertAlign w:val="subscript"/>
        </w:rPr>
        <w:t xml:space="preserve">адм </w:t>
      </w:r>
      <w:r w:rsidRPr="00F92864">
        <w:rPr>
          <w:sz w:val="28"/>
          <w:szCs w:val="28"/>
          <w:vertAlign w:val="subscript"/>
          <w:lang w:val="en-US"/>
        </w:rPr>
        <w:t>j</w:t>
      </w:r>
      <w:r w:rsidRPr="00F92864">
        <w:rPr>
          <w:sz w:val="28"/>
          <w:szCs w:val="28"/>
          <w:vertAlign w:val="subscript"/>
        </w:rPr>
        <w:t xml:space="preserve"> </w:t>
      </w:r>
      <w:r w:rsidRPr="00F92864">
        <w:rPr>
          <w:sz w:val="28"/>
          <w:szCs w:val="28"/>
          <w:vertAlign w:val="subscript"/>
          <w:lang w:val="en-US"/>
        </w:rPr>
        <w:t>n</w:t>
      </w:r>
      <w:r w:rsidRPr="00F92864">
        <w:rPr>
          <w:sz w:val="28"/>
          <w:szCs w:val="28"/>
          <w:vertAlign w:val="subscript"/>
        </w:rPr>
        <w:t xml:space="preserve">  </w:t>
      </w:r>
      <w:r w:rsidRPr="00F92864">
        <w:rPr>
          <w:sz w:val="28"/>
          <w:szCs w:val="28"/>
        </w:rPr>
        <w:t xml:space="preserve">– количество вынесенных постановлений по делам об  административных правонарушениях в </w:t>
      </w:r>
      <w:r w:rsidRPr="00F92864">
        <w:rPr>
          <w:sz w:val="28"/>
          <w:szCs w:val="28"/>
          <w:lang w:val="en-US"/>
        </w:rPr>
        <w:t>n</w:t>
      </w:r>
      <w:r w:rsidRPr="00F92864">
        <w:rPr>
          <w:sz w:val="28"/>
          <w:szCs w:val="28"/>
        </w:rPr>
        <w:t xml:space="preserve"> году;</w:t>
      </w:r>
    </w:p>
    <w:p w:rsidR="0055491A" w:rsidRPr="00F92864" w:rsidRDefault="0055491A" w:rsidP="0055491A">
      <w:pPr>
        <w:ind w:firstLine="709"/>
        <w:jc w:val="both"/>
        <w:rPr>
          <w:sz w:val="28"/>
          <w:szCs w:val="28"/>
        </w:rPr>
      </w:pPr>
      <w:r w:rsidRPr="00F92864">
        <w:rPr>
          <w:sz w:val="28"/>
          <w:szCs w:val="28"/>
        </w:rPr>
        <w:lastRenderedPageBreak/>
        <w:t>К</w:t>
      </w:r>
      <w:r w:rsidRPr="00F92864">
        <w:rPr>
          <w:sz w:val="28"/>
          <w:szCs w:val="28"/>
          <w:vertAlign w:val="subscript"/>
        </w:rPr>
        <w:t xml:space="preserve">адм </w:t>
      </w:r>
      <w:r w:rsidRPr="00F92864">
        <w:rPr>
          <w:sz w:val="28"/>
          <w:szCs w:val="28"/>
          <w:vertAlign w:val="subscript"/>
          <w:lang w:val="en-US"/>
        </w:rPr>
        <w:t>j</w:t>
      </w:r>
      <w:r w:rsidRPr="00F92864">
        <w:rPr>
          <w:sz w:val="28"/>
          <w:szCs w:val="28"/>
          <w:vertAlign w:val="subscript"/>
        </w:rPr>
        <w:t xml:space="preserve"> </w:t>
      </w:r>
      <w:r w:rsidRPr="00F92864">
        <w:rPr>
          <w:sz w:val="28"/>
          <w:szCs w:val="28"/>
          <w:vertAlign w:val="subscript"/>
          <w:lang w:val="en-US"/>
        </w:rPr>
        <w:t>n</w:t>
      </w:r>
      <w:r w:rsidRPr="00F92864">
        <w:rPr>
          <w:sz w:val="28"/>
          <w:szCs w:val="28"/>
          <w:vertAlign w:val="subscript"/>
        </w:rPr>
        <w:t xml:space="preserve">-1  </w:t>
      </w:r>
      <w:r w:rsidRPr="00F92864">
        <w:rPr>
          <w:sz w:val="28"/>
          <w:szCs w:val="28"/>
        </w:rPr>
        <w:t xml:space="preserve">– количество вынесенных постановлений по делам об  административных правонарушениях в </w:t>
      </w:r>
      <w:r w:rsidRPr="00F92864">
        <w:rPr>
          <w:sz w:val="28"/>
          <w:szCs w:val="28"/>
          <w:lang w:val="en-US"/>
        </w:rPr>
        <w:t>n</w:t>
      </w:r>
      <w:r w:rsidRPr="00F92864">
        <w:rPr>
          <w:sz w:val="28"/>
          <w:szCs w:val="28"/>
        </w:rPr>
        <w:t>-1 году;</w:t>
      </w:r>
    </w:p>
    <w:p w:rsidR="0055491A" w:rsidRPr="00F92864" w:rsidRDefault="0055491A" w:rsidP="0055491A">
      <w:pPr>
        <w:ind w:firstLine="709"/>
        <w:jc w:val="both"/>
        <w:rPr>
          <w:sz w:val="28"/>
          <w:szCs w:val="28"/>
        </w:rPr>
      </w:pPr>
      <w:r w:rsidRPr="00F92864">
        <w:rPr>
          <w:sz w:val="28"/>
          <w:szCs w:val="28"/>
        </w:rPr>
        <w:t>К</w:t>
      </w:r>
      <w:r w:rsidRPr="00F92864">
        <w:rPr>
          <w:sz w:val="28"/>
          <w:szCs w:val="28"/>
          <w:vertAlign w:val="subscript"/>
        </w:rPr>
        <w:t>сн</w:t>
      </w:r>
      <w:r w:rsidRPr="00F92864">
        <w:rPr>
          <w:sz w:val="28"/>
          <w:szCs w:val="28"/>
        </w:rPr>
        <w:t xml:space="preserve"> – коэффициент снижения нарушений.</w:t>
      </w:r>
    </w:p>
    <w:p w:rsidR="0055491A" w:rsidRDefault="0055491A" w:rsidP="0055491A">
      <w:pPr>
        <w:ind w:firstLine="708"/>
        <w:jc w:val="both"/>
        <w:rPr>
          <w:sz w:val="28"/>
          <w:szCs w:val="28"/>
        </w:rPr>
      </w:pPr>
      <w:r>
        <w:rPr>
          <w:sz w:val="28"/>
          <w:szCs w:val="28"/>
        </w:rPr>
        <w:t xml:space="preserve">Прогнозируемое количество постановлений в 2022 – 2024 годах рассчитано исходя  </w:t>
      </w:r>
      <w:r w:rsidRPr="00E85E8D">
        <w:rPr>
          <w:sz w:val="28"/>
          <w:szCs w:val="28"/>
        </w:rPr>
        <w:t>из факта вынесенных постановлений в 2020 году</w:t>
      </w:r>
      <w:r>
        <w:rPr>
          <w:sz w:val="28"/>
          <w:szCs w:val="28"/>
        </w:rPr>
        <w:t xml:space="preserve"> ( в</w:t>
      </w:r>
      <w:r w:rsidRPr="00C81CCE">
        <w:rPr>
          <w:sz w:val="28"/>
          <w:szCs w:val="28"/>
        </w:rPr>
        <w:t xml:space="preserve"> связи с отсутствием статистики </w:t>
      </w:r>
      <w:r>
        <w:rPr>
          <w:sz w:val="28"/>
          <w:szCs w:val="28"/>
        </w:rPr>
        <w:t>за 2018-2019 годы) и составляет ежегодно 1 шт:</w:t>
      </w:r>
    </w:p>
    <w:p w:rsidR="0055491A" w:rsidRDefault="0055491A" w:rsidP="0055491A">
      <w:pPr>
        <w:ind w:firstLine="708"/>
        <w:jc w:val="both"/>
        <w:rPr>
          <w:sz w:val="28"/>
          <w:szCs w:val="28"/>
        </w:rPr>
      </w:pPr>
      <w:r>
        <w:rPr>
          <w:sz w:val="28"/>
          <w:szCs w:val="28"/>
        </w:rPr>
        <w:t>П</w:t>
      </w:r>
      <w:r w:rsidRPr="00F92864">
        <w:rPr>
          <w:sz w:val="28"/>
          <w:szCs w:val="28"/>
        </w:rPr>
        <w:t>рогноз суммы поступления по административным штрафам</w:t>
      </w:r>
      <w:r>
        <w:rPr>
          <w:sz w:val="28"/>
          <w:szCs w:val="28"/>
        </w:rPr>
        <w:t xml:space="preserve">                                       статья 14.43 </w:t>
      </w:r>
      <w:r w:rsidRPr="00F92864">
        <w:rPr>
          <w:sz w:val="28"/>
          <w:szCs w:val="28"/>
        </w:rPr>
        <w:t xml:space="preserve"> </w:t>
      </w:r>
      <w:r>
        <w:rPr>
          <w:sz w:val="28"/>
          <w:szCs w:val="28"/>
        </w:rPr>
        <w:t xml:space="preserve">КоАП РФ: </w:t>
      </w:r>
    </w:p>
    <w:p w:rsidR="0055491A" w:rsidRDefault="0055491A" w:rsidP="0055491A">
      <w:pPr>
        <w:ind w:firstLine="708"/>
        <w:jc w:val="both"/>
        <w:rPr>
          <w:sz w:val="28"/>
          <w:szCs w:val="28"/>
        </w:rPr>
      </w:pPr>
      <w:r w:rsidRPr="00F92864">
        <w:rPr>
          <w:sz w:val="28"/>
          <w:szCs w:val="28"/>
        </w:rPr>
        <w:t xml:space="preserve">в </w:t>
      </w:r>
      <w:r>
        <w:rPr>
          <w:sz w:val="28"/>
          <w:szCs w:val="28"/>
        </w:rPr>
        <w:t>2022</w:t>
      </w:r>
      <w:r w:rsidRPr="00F92864">
        <w:rPr>
          <w:sz w:val="28"/>
          <w:szCs w:val="28"/>
        </w:rPr>
        <w:t xml:space="preserve"> году</w:t>
      </w:r>
      <w:r>
        <w:rPr>
          <w:sz w:val="28"/>
          <w:szCs w:val="28"/>
        </w:rPr>
        <w:t xml:space="preserve"> = 1 </w:t>
      </w:r>
      <w:r w:rsidRPr="00F92864">
        <w:rPr>
          <w:sz w:val="28"/>
          <w:szCs w:val="28"/>
        </w:rPr>
        <w:t>х</w:t>
      </w:r>
      <w:r>
        <w:rPr>
          <w:sz w:val="28"/>
          <w:szCs w:val="28"/>
        </w:rPr>
        <w:t xml:space="preserve"> 20,0 тыс. руб.  = 2</w:t>
      </w:r>
      <w:r w:rsidR="0010551F">
        <w:rPr>
          <w:sz w:val="28"/>
          <w:szCs w:val="28"/>
        </w:rPr>
        <w:t>0</w:t>
      </w:r>
      <w:r>
        <w:rPr>
          <w:sz w:val="28"/>
          <w:szCs w:val="28"/>
        </w:rPr>
        <w:t>,0 тыс. руб.;</w:t>
      </w:r>
    </w:p>
    <w:p w:rsidR="0055491A" w:rsidRPr="00F92864" w:rsidRDefault="0055491A" w:rsidP="0055491A">
      <w:pPr>
        <w:ind w:firstLine="708"/>
        <w:jc w:val="both"/>
        <w:rPr>
          <w:sz w:val="28"/>
          <w:szCs w:val="28"/>
        </w:rPr>
      </w:pPr>
      <w:r w:rsidRPr="00F92864">
        <w:rPr>
          <w:sz w:val="28"/>
          <w:szCs w:val="28"/>
        </w:rPr>
        <w:t xml:space="preserve">в </w:t>
      </w:r>
      <w:r>
        <w:rPr>
          <w:sz w:val="28"/>
          <w:szCs w:val="28"/>
        </w:rPr>
        <w:t>2023</w:t>
      </w:r>
      <w:r w:rsidRPr="00F92864">
        <w:rPr>
          <w:sz w:val="28"/>
          <w:szCs w:val="28"/>
        </w:rPr>
        <w:t xml:space="preserve"> году</w:t>
      </w:r>
      <w:r>
        <w:rPr>
          <w:sz w:val="28"/>
          <w:szCs w:val="28"/>
        </w:rPr>
        <w:t xml:space="preserve"> = 1 </w:t>
      </w:r>
      <w:r w:rsidRPr="00F92864">
        <w:rPr>
          <w:sz w:val="28"/>
          <w:szCs w:val="28"/>
        </w:rPr>
        <w:t>х</w:t>
      </w:r>
      <w:r>
        <w:rPr>
          <w:sz w:val="28"/>
          <w:szCs w:val="28"/>
        </w:rPr>
        <w:t xml:space="preserve"> 20,0 тыс. руб.  = 2</w:t>
      </w:r>
      <w:r w:rsidR="0010551F">
        <w:rPr>
          <w:sz w:val="28"/>
          <w:szCs w:val="28"/>
        </w:rPr>
        <w:t>0</w:t>
      </w:r>
      <w:r>
        <w:rPr>
          <w:sz w:val="28"/>
          <w:szCs w:val="28"/>
        </w:rPr>
        <w:t>,0 тыс. руб.;</w:t>
      </w:r>
    </w:p>
    <w:p w:rsidR="0055491A" w:rsidRDefault="0055491A" w:rsidP="0055491A">
      <w:pPr>
        <w:ind w:firstLine="708"/>
        <w:jc w:val="both"/>
        <w:rPr>
          <w:sz w:val="28"/>
          <w:szCs w:val="28"/>
        </w:rPr>
      </w:pPr>
      <w:r w:rsidRPr="00F92864">
        <w:rPr>
          <w:sz w:val="28"/>
          <w:szCs w:val="28"/>
        </w:rPr>
        <w:t xml:space="preserve">в </w:t>
      </w:r>
      <w:r>
        <w:rPr>
          <w:sz w:val="28"/>
          <w:szCs w:val="28"/>
        </w:rPr>
        <w:t>2024</w:t>
      </w:r>
      <w:r w:rsidRPr="00F92864">
        <w:rPr>
          <w:sz w:val="28"/>
          <w:szCs w:val="28"/>
        </w:rPr>
        <w:t xml:space="preserve"> году</w:t>
      </w:r>
      <w:r>
        <w:rPr>
          <w:sz w:val="28"/>
          <w:szCs w:val="28"/>
        </w:rPr>
        <w:t xml:space="preserve"> = 1 </w:t>
      </w:r>
      <w:r w:rsidRPr="00F92864">
        <w:rPr>
          <w:sz w:val="28"/>
          <w:szCs w:val="28"/>
        </w:rPr>
        <w:t>х</w:t>
      </w:r>
      <w:r>
        <w:rPr>
          <w:sz w:val="28"/>
          <w:szCs w:val="28"/>
        </w:rPr>
        <w:t xml:space="preserve"> 20,0 тыс. руб.  = 2</w:t>
      </w:r>
      <w:r w:rsidR="0010551F">
        <w:rPr>
          <w:sz w:val="28"/>
          <w:szCs w:val="28"/>
        </w:rPr>
        <w:t>0</w:t>
      </w:r>
      <w:r>
        <w:rPr>
          <w:sz w:val="28"/>
          <w:szCs w:val="28"/>
        </w:rPr>
        <w:t>,0 тыс. руб.</w:t>
      </w:r>
    </w:p>
    <w:p w:rsidR="0055491A" w:rsidRDefault="0055491A" w:rsidP="0055491A">
      <w:pPr>
        <w:ind w:firstLine="709"/>
        <w:jc w:val="both"/>
        <w:rPr>
          <w:sz w:val="28"/>
          <w:szCs w:val="28"/>
        </w:rPr>
      </w:pPr>
    </w:p>
    <w:p w:rsidR="0055491A" w:rsidRPr="00A70077" w:rsidRDefault="0055491A" w:rsidP="0055491A">
      <w:pPr>
        <w:pStyle w:val="a7"/>
        <w:spacing w:after="0"/>
        <w:ind w:left="0" w:firstLine="709"/>
        <w:jc w:val="both"/>
        <w:rPr>
          <w:b/>
          <w:sz w:val="28"/>
          <w:szCs w:val="28"/>
        </w:rPr>
      </w:pPr>
      <w:r w:rsidRPr="00A70077">
        <w:rPr>
          <w:b/>
          <w:sz w:val="28"/>
          <w:szCs w:val="28"/>
        </w:rPr>
        <w:t>Прогноз поступления доходов в областной бюджет Тверской области на 2022 год – 20,0 тыс. руб., на 2023 год – 20,0 тыс. руб.,                                                            на 2024 год – 20,0 тыс. руб.</w:t>
      </w:r>
    </w:p>
    <w:p w:rsidR="0055491A" w:rsidRDefault="0055491A" w:rsidP="0055491A">
      <w:pPr>
        <w:pStyle w:val="a7"/>
        <w:spacing w:after="0"/>
        <w:ind w:left="0" w:firstLine="709"/>
        <w:jc w:val="both"/>
        <w:rPr>
          <w:sz w:val="28"/>
          <w:szCs w:val="28"/>
        </w:rPr>
      </w:pPr>
    </w:p>
    <w:p w:rsidR="0055491A" w:rsidRDefault="0055491A" w:rsidP="0055491A">
      <w:pPr>
        <w:pStyle w:val="a7"/>
        <w:spacing w:after="0"/>
        <w:ind w:left="0" w:firstLine="709"/>
        <w:jc w:val="both"/>
        <w:rPr>
          <w:sz w:val="28"/>
          <w:szCs w:val="28"/>
        </w:rPr>
      </w:pPr>
    </w:p>
    <w:p w:rsidR="0055491A" w:rsidRDefault="0055491A" w:rsidP="0055491A">
      <w:pPr>
        <w:pStyle w:val="a7"/>
        <w:spacing w:after="0"/>
        <w:ind w:left="0" w:firstLine="709"/>
        <w:jc w:val="both"/>
        <w:rPr>
          <w:sz w:val="28"/>
          <w:szCs w:val="28"/>
        </w:rPr>
      </w:pPr>
      <w:r>
        <w:rPr>
          <w:sz w:val="28"/>
          <w:szCs w:val="28"/>
        </w:rPr>
        <w:t xml:space="preserve">10.4 </w:t>
      </w:r>
      <w:r w:rsidRPr="00A70077">
        <w:rPr>
          <w:b/>
          <w:sz w:val="28"/>
          <w:szCs w:val="28"/>
        </w:rPr>
        <w:t>КБК 332 1 16 01142 01 0000 140</w:t>
      </w:r>
      <w:r>
        <w:rPr>
          <w:sz w:val="28"/>
          <w:szCs w:val="28"/>
        </w:rPr>
        <w:t xml:space="preserve"> </w:t>
      </w:r>
      <w:r w:rsidRPr="000552D1">
        <w:rPr>
          <w:sz w:val="28"/>
          <w:szCs w:val="28"/>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w:t>
      </w:r>
      <w:r>
        <w:rPr>
          <w:sz w:val="28"/>
          <w:szCs w:val="28"/>
        </w:rPr>
        <w:t>.</w:t>
      </w:r>
    </w:p>
    <w:p w:rsidR="0055491A" w:rsidRDefault="0055491A" w:rsidP="0055491A">
      <w:pPr>
        <w:pStyle w:val="a7"/>
        <w:spacing w:after="0"/>
        <w:ind w:left="0" w:firstLine="709"/>
        <w:jc w:val="both"/>
        <w:rPr>
          <w:sz w:val="28"/>
          <w:szCs w:val="28"/>
        </w:rPr>
      </w:pPr>
      <w:r>
        <w:rPr>
          <w:sz w:val="28"/>
          <w:szCs w:val="28"/>
        </w:rPr>
        <w:t xml:space="preserve">Главный администратор доходов - </w:t>
      </w:r>
      <w:r w:rsidRPr="00D728FF">
        <w:rPr>
          <w:sz w:val="28"/>
          <w:szCs w:val="28"/>
        </w:rPr>
        <w:t>Министерство Тверской области по обеспечению контрольных функций</w:t>
      </w:r>
      <w:r>
        <w:rPr>
          <w:sz w:val="28"/>
          <w:szCs w:val="28"/>
        </w:rPr>
        <w:t>.</w:t>
      </w:r>
    </w:p>
    <w:p w:rsidR="0055491A" w:rsidRDefault="0055491A" w:rsidP="0055491A">
      <w:pPr>
        <w:pStyle w:val="a7"/>
        <w:spacing w:after="0"/>
        <w:ind w:left="0" w:firstLine="709"/>
        <w:jc w:val="both"/>
        <w:rPr>
          <w:sz w:val="28"/>
          <w:szCs w:val="28"/>
        </w:rPr>
      </w:pPr>
      <w:r w:rsidRPr="000D4676">
        <w:rPr>
          <w:sz w:val="28"/>
          <w:szCs w:val="28"/>
        </w:rPr>
        <w:t>Расчет произведен в соответствии с методикой, утвержденной приказом Министерства Тверской области по обес</w:t>
      </w:r>
      <w:r>
        <w:rPr>
          <w:sz w:val="28"/>
          <w:szCs w:val="28"/>
        </w:rPr>
        <w:t>печению контрольных функций от 18</w:t>
      </w:r>
      <w:r w:rsidRPr="000D4676">
        <w:rPr>
          <w:sz w:val="28"/>
          <w:szCs w:val="28"/>
        </w:rPr>
        <w:t>.0</w:t>
      </w:r>
      <w:r>
        <w:rPr>
          <w:sz w:val="28"/>
          <w:szCs w:val="28"/>
        </w:rPr>
        <w:t>6</w:t>
      </w:r>
      <w:r w:rsidRPr="000D4676">
        <w:rPr>
          <w:sz w:val="28"/>
          <w:szCs w:val="28"/>
        </w:rPr>
        <w:t>.20</w:t>
      </w:r>
      <w:r>
        <w:rPr>
          <w:sz w:val="28"/>
          <w:szCs w:val="28"/>
        </w:rPr>
        <w:t>20</w:t>
      </w:r>
      <w:r w:rsidRPr="000D4676">
        <w:rPr>
          <w:sz w:val="28"/>
          <w:szCs w:val="28"/>
        </w:rPr>
        <w:t xml:space="preserve"> № </w:t>
      </w:r>
      <w:r>
        <w:rPr>
          <w:sz w:val="28"/>
          <w:szCs w:val="28"/>
        </w:rPr>
        <w:t>714</w:t>
      </w:r>
      <w:r w:rsidRPr="000D4676">
        <w:rPr>
          <w:sz w:val="28"/>
          <w:szCs w:val="28"/>
        </w:rPr>
        <w:t xml:space="preserve"> «Об утверждении методики прогнозирования поступлений доходов в областной бюджет Тверской области и местные бюджеты муниципальных образований Тверской области»</w:t>
      </w:r>
      <w:r>
        <w:rPr>
          <w:sz w:val="28"/>
          <w:szCs w:val="28"/>
        </w:rPr>
        <w:t xml:space="preserve"> (с учетом изменений)</w:t>
      </w:r>
      <w:r w:rsidRPr="000D4676">
        <w:rPr>
          <w:sz w:val="28"/>
          <w:szCs w:val="28"/>
        </w:rPr>
        <w:t>.</w:t>
      </w:r>
    </w:p>
    <w:p w:rsidR="0055491A" w:rsidRDefault="0055491A" w:rsidP="0055491A">
      <w:pPr>
        <w:pStyle w:val="af4"/>
        <w:autoSpaceDE w:val="0"/>
        <w:autoSpaceDN w:val="0"/>
        <w:adjustRightInd w:val="0"/>
        <w:ind w:left="0" w:firstLine="709"/>
        <w:jc w:val="both"/>
        <w:rPr>
          <w:sz w:val="28"/>
          <w:szCs w:val="28"/>
        </w:rPr>
      </w:pPr>
      <w:r w:rsidRPr="00AE24A1">
        <w:rPr>
          <w:sz w:val="28"/>
          <w:szCs w:val="28"/>
        </w:rPr>
        <w:t xml:space="preserve">Отделом контроля и надзора в области долевого строительства  Министерства </w:t>
      </w:r>
      <w:r>
        <w:rPr>
          <w:sz w:val="28"/>
          <w:szCs w:val="28"/>
        </w:rPr>
        <w:t xml:space="preserve">Тверской области по обеспечению контрольных функций </w:t>
      </w:r>
      <w:r w:rsidRPr="00AE24A1">
        <w:rPr>
          <w:sz w:val="28"/>
          <w:szCs w:val="28"/>
        </w:rPr>
        <w:t xml:space="preserve"> осуществляется контроль  за соблюдением  требований законодательства об участии в долевом строительстве многоквартирных домов и (или) иных объектов недвижимости в соответствии со ст.14.28 КоАП РФ.</w:t>
      </w:r>
    </w:p>
    <w:p w:rsidR="0055491A" w:rsidRDefault="0055491A" w:rsidP="0055491A">
      <w:pPr>
        <w:pStyle w:val="a7"/>
        <w:spacing w:after="0"/>
        <w:ind w:left="0" w:firstLine="709"/>
        <w:jc w:val="both"/>
        <w:rPr>
          <w:sz w:val="28"/>
          <w:szCs w:val="28"/>
        </w:rPr>
      </w:pPr>
      <w:r w:rsidRPr="00E428FB">
        <w:rPr>
          <w:sz w:val="28"/>
          <w:szCs w:val="28"/>
        </w:rPr>
        <w:t>Прогноз поступлений денежных взысканий (штрафов) на 20</w:t>
      </w:r>
      <w:r>
        <w:rPr>
          <w:sz w:val="28"/>
          <w:szCs w:val="28"/>
        </w:rPr>
        <w:t>22</w:t>
      </w:r>
      <w:r w:rsidRPr="00E428FB">
        <w:rPr>
          <w:sz w:val="28"/>
          <w:szCs w:val="28"/>
        </w:rPr>
        <w:t xml:space="preserve"> год и </w:t>
      </w:r>
      <w:r>
        <w:rPr>
          <w:sz w:val="28"/>
          <w:szCs w:val="28"/>
        </w:rPr>
        <w:t xml:space="preserve">на </w:t>
      </w:r>
      <w:r w:rsidRPr="00E428FB">
        <w:rPr>
          <w:sz w:val="28"/>
          <w:szCs w:val="28"/>
        </w:rPr>
        <w:t>плановый период 20</w:t>
      </w:r>
      <w:r>
        <w:rPr>
          <w:sz w:val="28"/>
          <w:szCs w:val="28"/>
        </w:rPr>
        <w:t>23</w:t>
      </w:r>
      <w:r w:rsidRPr="00E428FB">
        <w:rPr>
          <w:sz w:val="28"/>
          <w:szCs w:val="28"/>
        </w:rPr>
        <w:t>-20</w:t>
      </w:r>
      <w:r>
        <w:rPr>
          <w:sz w:val="28"/>
          <w:szCs w:val="28"/>
        </w:rPr>
        <w:t>24</w:t>
      </w:r>
      <w:r w:rsidRPr="00E428FB">
        <w:rPr>
          <w:sz w:val="28"/>
          <w:szCs w:val="28"/>
        </w:rPr>
        <w:t xml:space="preserve"> </w:t>
      </w:r>
      <w:r>
        <w:rPr>
          <w:sz w:val="28"/>
          <w:szCs w:val="28"/>
        </w:rPr>
        <w:t xml:space="preserve">гг. </w:t>
      </w:r>
      <w:r w:rsidRPr="00E428FB">
        <w:rPr>
          <w:sz w:val="28"/>
          <w:szCs w:val="28"/>
        </w:rPr>
        <w:t>в доход областного бюджета Тверской области определены методом прямого расчета, основанного на  использовании среднего количества нарушений</w:t>
      </w:r>
      <w:r>
        <w:rPr>
          <w:sz w:val="28"/>
          <w:szCs w:val="28"/>
        </w:rPr>
        <w:t xml:space="preserve"> за 3 года, ответственность за которые предусмотрена соответствующими статьями КоАП РФ и размера штрафов.</w:t>
      </w:r>
    </w:p>
    <w:p w:rsidR="0055491A" w:rsidRDefault="0055491A" w:rsidP="0055491A">
      <w:pPr>
        <w:ind w:firstLine="360"/>
        <w:jc w:val="both"/>
        <w:rPr>
          <w:sz w:val="28"/>
          <w:szCs w:val="28"/>
        </w:rPr>
      </w:pPr>
      <w:r w:rsidRPr="00E428FB">
        <w:rPr>
          <w:sz w:val="28"/>
          <w:szCs w:val="28"/>
        </w:rPr>
        <w:t>Расчет прогноза на 20</w:t>
      </w:r>
      <w:r>
        <w:rPr>
          <w:sz w:val="28"/>
          <w:szCs w:val="28"/>
        </w:rPr>
        <w:t>22</w:t>
      </w:r>
      <w:r w:rsidRPr="00E428FB">
        <w:rPr>
          <w:sz w:val="28"/>
          <w:szCs w:val="28"/>
        </w:rPr>
        <w:t>-20</w:t>
      </w:r>
      <w:r>
        <w:rPr>
          <w:sz w:val="28"/>
          <w:szCs w:val="28"/>
        </w:rPr>
        <w:t>24</w:t>
      </w:r>
      <w:r w:rsidRPr="00E428FB">
        <w:rPr>
          <w:sz w:val="28"/>
          <w:szCs w:val="28"/>
        </w:rPr>
        <w:t xml:space="preserve"> годы представлен в таблице:</w:t>
      </w:r>
    </w:p>
    <w:p w:rsidR="0055491A" w:rsidRDefault="0055491A" w:rsidP="0055491A">
      <w:pPr>
        <w:ind w:firstLine="360"/>
        <w:jc w:val="both"/>
        <w:rPr>
          <w:sz w:val="28"/>
          <w:szCs w:val="28"/>
        </w:rPr>
      </w:pPr>
    </w:p>
    <w:p w:rsidR="0055491A" w:rsidRDefault="0055491A" w:rsidP="0055491A">
      <w:pPr>
        <w:ind w:firstLine="360"/>
        <w:jc w:val="both"/>
        <w:rPr>
          <w:sz w:val="28"/>
          <w:szCs w:val="28"/>
        </w:rPr>
      </w:pPr>
    </w:p>
    <w:tbl>
      <w:tblPr>
        <w:tblW w:w="9373" w:type="dxa"/>
        <w:tblLayout w:type="fixed"/>
        <w:tblLook w:val="04A0" w:firstRow="1" w:lastRow="0" w:firstColumn="1" w:lastColumn="0" w:noHBand="0" w:noVBand="1"/>
      </w:tblPr>
      <w:tblGrid>
        <w:gridCol w:w="1560"/>
        <w:gridCol w:w="1064"/>
        <w:gridCol w:w="1124"/>
        <w:gridCol w:w="1125"/>
        <w:gridCol w:w="1125"/>
        <w:gridCol w:w="1125"/>
        <w:gridCol w:w="1125"/>
        <w:gridCol w:w="1125"/>
      </w:tblGrid>
      <w:tr w:rsidR="0055491A" w:rsidRPr="002C59DD" w:rsidTr="00210BF6">
        <w:trPr>
          <w:trHeight w:val="394"/>
        </w:trPr>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491A" w:rsidRPr="0074431B" w:rsidRDefault="0055491A" w:rsidP="00210BF6">
            <w:pPr>
              <w:jc w:val="center"/>
              <w:rPr>
                <w:sz w:val="18"/>
                <w:szCs w:val="18"/>
              </w:rPr>
            </w:pPr>
            <w:r w:rsidRPr="001C7F7A">
              <w:rPr>
                <w:sz w:val="18"/>
                <w:szCs w:val="18"/>
              </w:rPr>
              <w:lastRenderedPageBreak/>
              <w:t>Правовые основания по налаганию штрафов</w:t>
            </w:r>
          </w:p>
        </w:tc>
        <w:tc>
          <w:tcPr>
            <w:tcW w:w="1064" w:type="dxa"/>
            <w:vMerge w:val="restart"/>
            <w:tcBorders>
              <w:top w:val="single" w:sz="8" w:space="0" w:color="auto"/>
              <w:left w:val="single" w:sz="4" w:space="0" w:color="auto"/>
              <w:bottom w:val="nil"/>
              <w:right w:val="single" w:sz="8" w:space="0" w:color="auto"/>
            </w:tcBorders>
            <w:shd w:val="clear" w:color="auto" w:fill="auto"/>
            <w:vAlign w:val="center"/>
            <w:hideMark/>
          </w:tcPr>
          <w:p w:rsidR="0055491A" w:rsidRPr="0074431B" w:rsidRDefault="0055491A" w:rsidP="00210BF6">
            <w:pPr>
              <w:jc w:val="center"/>
              <w:rPr>
                <w:sz w:val="18"/>
                <w:szCs w:val="18"/>
              </w:rPr>
            </w:pPr>
            <w:r w:rsidRPr="0074431B">
              <w:rPr>
                <w:sz w:val="18"/>
                <w:szCs w:val="18"/>
              </w:rPr>
              <w:t>Размер штрафа, тыс</w:t>
            </w:r>
            <w:r>
              <w:rPr>
                <w:sz w:val="18"/>
                <w:szCs w:val="18"/>
              </w:rPr>
              <w:t>. р</w:t>
            </w:r>
            <w:r w:rsidRPr="0074431B">
              <w:rPr>
                <w:sz w:val="18"/>
                <w:szCs w:val="18"/>
              </w:rPr>
              <w:t>уб</w:t>
            </w:r>
            <w:r>
              <w:rPr>
                <w:sz w:val="18"/>
                <w:szCs w:val="18"/>
              </w:rPr>
              <w:t>.</w:t>
            </w:r>
          </w:p>
        </w:tc>
        <w:tc>
          <w:tcPr>
            <w:tcW w:w="2249" w:type="dxa"/>
            <w:gridSpan w:val="2"/>
            <w:tcBorders>
              <w:top w:val="single" w:sz="8" w:space="0" w:color="auto"/>
              <w:left w:val="single" w:sz="8" w:space="0" w:color="auto"/>
              <w:bottom w:val="single" w:sz="8" w:space="0" w:color="auto"/>
              <w:right w:val="nil"/>
            </w:tcBorders>
            <w:shd w:val="clear" w:color="auto" w:fill="auto"/>
            <w:vAlign w:val="center"/>
            <w:hideMark/>
          </w:tcPr>
          <w:p w:rsidR="0055491A" w:rsidRPr="00E428FB" w:rsidRDefault="0055491A" w:rsidP="00210BF6">
            <w:pPr>
              <w:jc w:val="center"/>
              <w:rPr>
                <w:sz w:val="28"/>
                <w:szCs w:val="28"/>
              </w:rPr>
            </w:pPr>
            <w:r w:rsidRPr="00E428FB">
              <w:rPr>
                <w:sz w:val="28"/>
                <w:szCs w:val="28"/>
              </w:rPr>
              <w:t>20</w:t>
            </w:r>
            <w:r>
              <w:rPr>
                <w:sz w:val="28"/>
                <w:szCs w:val="28"/>
              </w:rPr>
              <w:t>22 год</w:t>
            </w:r>
          </w:p>
        </w:tc>
        <w:tc>
          <w:tcPr>
            <w:tcW w:w="2250" w:type="dxa"/>
            <w:gridSpan w:val="2"/>
            <w:tcBorders>
              <w:top w:val="single" w:sz="8" w:space="0" w:color="auto"/>
              <w:left w:val="single" w:sz="8" w:space="0" w:color="auto"/>
              <w:bottom w:val="single" w:sz="8" w:space="0" w:color="auto"/>
              <w:right w:val="nil"/>
            </w:tcBorders>
            <w:shd w:val="clear" w:color="auto" w:fill="auto"/>
            <w:vAlign w:val="center"/>
            <w:hideMark/>
          </w:tcPr>
          <w:p w:rsidR="0055491A" w:rsidRPr="00E428FB" w:rsidRDefault="0055491A" w:rsidP="00210BF6">
            <w:pPr>
              <w:jc w:val="center"/>
              <w:rPr>
                <w:sz w:val="28"/>
                <w:szCs w:val="28"/>
              </w:rPr>
            </w:pPr>
            <w:r w:rsidRPr="00E428FB">
              <w:rPr>
                <w:sz w:val="28"/>
                <w:szCs w:val="28"/>
              </w:rPr>
              <w:t>20</w:t>
            </w:r>
            <w:r>
              <w:rPr>
                <w:sz w:val="28"/>
                <w:szCs w:val="28"/>
              </w:rPr>
              <w:t>23 год</w:t>
            </w:r>
          </w:p>
        </w:tc>
        <w:tc>
          <w:tcPr>
            <w:tcW w:w="225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55491A" w:rsidRPr="00E428FB" w:rsidRDefault="0055491A" w:rsidP="00210BF6">
            <w:pPr>
              <w:jc w:val="center"/>
              <w:rPr>
                <w:sz w:val="28"/>
                <w:szCs w:val="28"/>
              </w:rPr>
            </w:pPr>
            <w:r w:rsidRPr="00E428FB">
              <w:rPr>
                <w:sz w:val="28"/>
                <w:szCs w:val="28"/>
              </w:rPr>
              <w:t>20</w:t>
            </w:r>
            <w:r>
              <w:rPr>
                <w:sz w:val="28"/>
                <w:szCs w:val="28"/>
              </w:rPr>
              <w:t>24 год</w:t>
            </w:r>
          </w:p>
        </w:tc>
      </w:tr>
      <w:tr w:rsidR="0055491A" w:rsidRPr="002C59DD" w:rsidTr="00210BF6">
        <w:trPr>
          <w:trHeight w:val="1695"/>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55491A" w:rsidRPr="0074431B" w:rsidRDefault="0055491A" w:rsidP="00210BF6">
            <w:pPr>
              <w:jc w:val="center"/>
              <w:rPr>
                <w:sz w:val="18"/>
                <w:szCs w:val="18"/>
              </w:rPr>
            </w:pPr>
          </w:p>
        </w:tc>
        <w:tc>
          <w:tcPr>
            <w:tcW w:w="1064" w:type="dxa"/>
            <w:vMerge/>
            <w:tcBorders>
              <w:top w:val="single" w:sz="8" w:space="0" w:color="auto"/>
              <w:left w:val="single" w:sz="4" w:space="0" w:color="auto"/>
              <w:bottom w:val="nil"/>
              <w:right w:val="single" w:sz="8" w:space="0" w:color="auto"/>
            </w:tcBorders>
            <w:vAlign w:val="center"/>
            <w:hideMark/>
          </w:tcPr>
          <w:p w:rsidR="0055491A" w:rsidRPr="0074431B" w:rsidRDefault="0055491A" w:rsidP="00210BF6">
            <w:pPr>
              <w:jc w:val="center"/>
              <w:rPr>
                <w:sz w:val="18"/>
                <w:szCs w:val="18"/>
              </w:rPr>
            </w:pPr>
          </w:p>
        </w:tc>
        <w:tc>
          <w:tcPr>
            <w:tcW w:w="1124" w:type="dxa"/>
            <w:tcBorders>
              <w:top w:val="nil"/>
              <w:left w:val="nil"/>
              <w:bottom w:val="nil"/>
              <w:right w:val="single" w:sz="8" w:space="0" w:color="auto"/>
            </w:tcBorders>
            <w:shd w:val="clear" w:color="auto" w:fill="auto"/>
            <w:vAlign w:val="center"/>
            <w:hideMark/>
          </w:tcPr>
          <w:p w:rsidR="0055491A" w:rsidRPr="0074431B" w:rsidRDefault="0055491A" w:rsidP="00210BF6">
            <w:pPr>
              <w:jc w:val="center"/>
              <w:rPr>
                <w:sz w:val="18"/>
                <w:szCs w:val="18"/>
              </w:rPr>
            </w:pPr>
            <w:r w:rsidRPr="0074431B">
              <w:rPr>
                <w:sz w:val="18"/>
                <w:szCs w:val="18"/>
              </w:rPr>
              <w:t>Количество шт</w:t>
            </w:r>
          </w:p>
        </w:tc>
        <w:tc>
          <w:tcPr>
            <w:tcW w:w="1125" w:type="dxa"/>
            <w:tcBorders>
              <w:top w:val="nil"/>
              <w:left w:val="nil"/>
              <w:bottom w:val="nil"/>
              <w:right w:val="single" w:sz="8" w:space="0" w:color="auto"/>
            </w:tcBorders>
            <w:shd w:val="clear" w:color="auto" w:fill="auto"/>
            <w:vAlign w:val="center"/>
            <w:hideMark/>
          </w:tcPr>
          <w:p w:rsidR="0055491A" w:rsidRPr="0074431B" w:rsidRDefault="0055491A" w:rsidP="00210BF6">
            <w:pPr>
              <w:jc w:val="center"/>
              <w:rPr>
                <w:sz w:val="18"/>
                <w:szCs w:val="18"/>
              </w:rPr>
            </w:pPr>
            <w:r w:rsidRPr="0074431B">
              <w:rPr>
                <w:sz w:val="18"/>
                <w:szCs w:val="18"/>
              </w:rPr>
              <w:t>Сумма, тыс. руб</w:t>
            </w:r>
            <w:r>
              <w:rPr>
                <w:sz w:val="18"/>
                <w:szCs w:val="18"/>
              </w:rPr>
              <w:t>.</w:t>
            </w:r>
          </w:p>
        </w:tc>
        <w:tc>
          <w:tcPr>
            <w:tcW w:w="1125" w:type="dxa"/>
            <w:tcBorders>
              <w:top w:val="nil"/>
              <w:left w:val="nil"/>
              <w:bottom w:val="nil"/>
              <w:right w:val="single" w:sz="8" w:space="0" w:color="auto"/>
            </w:tcBorders>
            <w:shd w:val="clear" w:color="auto" w:fill="auto"/>
            <w:vAlign w:val="center"/>
            <w:hideMark/>
          </w:tcPr>
          <w:p w:rsidR="0055491A" w:rsidRPr="0074431B" w:rsidRDefault="0055491A" w:rsidP="00210BF6">
            <w:pPr>
              <w:jc w:val="center"/>
              <w:rPr>
                <w:sz w:val="18"/>
                <w:szCs w:val="18"/>
              </w:rPr>
            </w:pPr>
            <w:r w:rsidRPr="0074431B">
              <w:rPr>
                <w:sz w:val="18"/>
                <w:szCs w:val="18"/>
              </w:rPr>
              <w:t>Количество шт</w:t>
            </w:r>
          </w:p>
        </w:tc>
        <w:tc>
          <w:tcPr>
            <w:tcW w:w="1125" w:type="dxa"/>
            <w:tcBorders>
              <w:top w:val="nil"/>
              <w:left w:val="nil"/>
              <w:bottom w:val="nil"/>
              <w:right w:val="single" w:sz="8" w:space="0" w:color="auto"/>
            </w:tcBorders>
            <w:shd w:val="clear" w:color="auto" w:fill="auto"/>
            <w:vAlign w:val="center"/>
            <w:hideMark/>
          </w:tcPr>
          <w:p w:rsidR="0055491A" w:rsidRPr="0074431B" w:rsidRDefault="0055491A" w:rsidP="00210BF6">
            <w:pPr>
              <w:jc w:val="center"/>
              <w:rPr>
                <w:sz w:val="18"/>
                <w:szCs w:val="18"/>
              </w:rPr>
            </w:pPr>
            <w:r w:rsidRPr="0074431B">
              <w:rPr>
                <w:sz w:val="18"/>
                <w:szCs w:val="18"/>
              </w:rPr>
              <w:t>Сумма, тыс. руб</w:t>
            </w:r>
            <w:r>
              <w:rPr>
                <w:sz w:val="18"/>
                <w:szCs w:val="18"/>
              </w:rPr>
              <w:t>.</w:t>
            </w:r>
          </w:p>
        </w:tc>
        <w:tc>
          <w:tcPr>
            <w:tcW w:w="1125" w:type="dxa"/>
            <w:tcBorders>
              <w:top w:val="nil"/>
              <w:left w:val="nil"/>
              <w:bottom w:val="nil"/>
              <w:right w:val="single" w:sz="8" w:space="0" w:color="auto"/>
            </w:tcBorders>
            <w:shd w:val="clear" w:color="auto" w:fill="auto"/>
            <w:vAlign w:val="center"/>
            <w:hideMark/>
          </w:tcPr>
          <w:p w:rsidR="0055491A" w:rsidRPr="0074431B" w:rsidRDefault="0055491A" w:rsidP="00210BF6">
            <w:pPr>
              <w:jc w:val="center"/>
              <w:rPr>
                <w:sz w:val="18"/>
                <w:szCs w:val="18"/>
              </w:rPr>
            </w:pPr>
            <w:r w:rsidRPr="0074431B">
              <w:rPr>
                <w:sz w:val="18"/>
                <w:szCs w:val="18"/>
              </w:rPr>
              <w:t>Количество шт.</w:t>
            </w:r>
          </w:p>
        </w:tc>
        <w:tc>
          <w:tcPr>
            <w:tcW w:w="1125" w:type="dxa"/>
            <w:tcBorders>
              <w:top w:val="nil"/>
              <w:left w:val="nil"/>
              <w:bottom w:val="nil"/>
              <w:right w:val="single" w:sz="8" w:space="0" w:color="auto"/>
            </w:tcBorders>
            <w:shd w:val="clear" w:color="auto" w:fill="auto"/>
            <w:vAlign w:val="center"/>
            <w:hideMark/>
          </w:tcPr>
          <w:p w:rsidR="0055491A" w:rsidRPr="0074431B" w:rsidRDefault="0055491A" w:rsidP="00210BF6">
            <w:pPr>
              <w:jc w:val="center"/>
              <w:rPr>
                <w:sz w:val="18"/>
                <w:szCs w:val="18"/>
              </w:rPr>
            </w:pPr>
            <w:r w:rsidRPr="0074431B">
              <w:rPr>
                <w:sz w:val="18"/>
                <w:szCs w:val="18"/>
              </w:rPr>
              <w:t>Сумма, тыс. руб</w:t>
            </w:r>
            <w:r>
              <w:rPr>
                <w:sz w:val="18"/>
                <w:szCs w:val="18"/>
              </w:rPr>
              <w:t>.</w:t>
            </w:r>
          </w:p>
        </w:tc>
      </w:tr>
      <w:tr w:rsidR="0055491A" w:rsidRPr="00160899" w:rsidTr="00210BF6">
        <w:trPr>
          <w:trHeight w:val="465"/>
        </w:trPr>
        <w:tc>
          <w:tcPr>
            <w:tcW w:w="1560" w:type="dxa"/>
            <w:vMerge w:val="restart"/>
            <w:tcBorders>
              <w:top w:val="single" w:sz="4" w:space="0" w:color="auto"/>
              <w:left w:val="single" w:sz="4" w:space="0" w:color="auto"/>
              <w:right w:val="single" w:sz="4" w:space="0" w:color="auto"/>
            </w:tcBorders>
            <w:shd w:val="clear" w:color="auto" w:fill="auto"/>
            <w:vAlign w:val="center"/>
          </w:tcPr>
          <w:p w:rsidR="0055491A" w:rsidRPr="0074431B" w:rsidRDefault="0055491A" w:rsidP="00210BF6">
            <w:pPr>
              <w:jc w:val="center"/>
              <w:rPr>
                <w:sz w:val="18"/>
                <w:szCs w:val="18"/>
              </w:rPr>
            </w:pPr>
            <w:r w:rsidRPr="0074431B">
              <w:rPr>
                <w:sz w:val="18"/>
                <w:szCs w:val="18"/>
              </w:rPr>
              <w:t xml:space="preserve">ч. 3 ст. 14.28 </w:t>
            </w:r>
          </w:p>
        </w:tc>
        <w:tc>
          <w:tcPr>
            <w:tcW w:w="1064" w:type="dxa"/>
            <w:tcBorders>
              <w:top w:val="single" w:sz="4" w:space="0" w:color="auto"/>
              <w:left w:val="single" w:sz="4" w:space="0" w:color="auto"/>
              <w:bottom w:val="single" w:sz="4" w:space="0" w:color="auto"/>
              <w:right w:val="single" w:sz="4" w:space="0" w:color="auto"/>
            </w:tcBorders>
            <w:shd w:val="clear" w:color="auto" w:fill="auto"/>
            <w:vAlign w:val="bottom"/>
          </w:tcPr>
          <w:p w:rsidR="0055491A" w:rsidRPr="0074431B" w:rsidRDefault="0055491A" w:rsidP="00210BF6">
            <w:pPr>
              <w:jc w:val="center"/>
              <w:rPr>
                <w:bCs/>
              </w:rPr>
            </w:pPr>
            <w:r w:rsidRPr="0074431B">
              <w:rPr>
                <w:bCs/>
              </w:rPr>
              <w:t>5</w:t>
            </w:r>
          </w:p>
        </w:tc>
        <w:tc>
          <w:tcPr>
            <w:tcW w:w="1124" w:type="dxa"/>
            <w:tcBorders>
              <w:top w:val="single" w:sz="4" w:space="0" w:color="auto"/>
              <w:left w:val="single" w:sz="4" w:space="0" w:color="auto"/>
              <w:bottom w:val="single" w:sz="4" w:space="0" w:color="auto"/>
              <w:right w:val="single" w:sz="4" w:space="0" w:color="auto"/>
            </w:tcBorders>
            <w:shd w:val="clear" w:color="auto" w:fill="auto"/>
            <w:vAlign w:val="bottom"/>
          </w:tcPr>
          <w:p w:rsidR="0055491A" w:rsidRPr="0074431B" w:rsidRDefault="0055491A" w:rsidP="00210BF6">
            <w:pPr>
              <w:jc w:val="center"/>
              <w:rPr>
                <w:bCs/>
              </w:rPr>
            </w:pPr>
            <w:r w:rsidRPr="0074431B">
              <w:rPr>
                <w:bCs/>
              </w:rPr>
              <w:t>4</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bottom"/>
          </w:tcPr>
          <w:p w:rsidR="0055491A" w:rsidRPr="0074431B" w:rsidRDefault="0055491A" w:rsidP="00210BF6">
            <w:pPr>
              <w:jc w:val="center"/>
              <w:rPr>
                <w:bCs/>
              </w:rPr>
            </w:pPr>
            <w:r w:rsidRPr="0074431B">
              <w:rPr>
                <w:bCs/>
              </w:rPr>
              <w:t>20,0</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bottom"/>
          </w:tcPr>
          <w:p w:rsidR="0055491A" w:rsidRPr="0074431B" w:rsidRDefault="0055491A" w:rsidP="00210BF6">
            <w:pPr>
              <w:jc w:val="center"/>
              <w:rPr>
                <w:bCs/>
              </w:rPr>
            </w:pPr>
            <w:r w:rsidRPr="0074431B">
              <w:rPr>
                <w:bCs/>
              </w:rPr>
              <w:t>3</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bottom"/>
          </w:tcPr>
          <w:p w:rsidR="0055491A" w:rsidRPr="0074431B" w:rsidRDefault="0055491A" w:rsidP="00210BF6">
            <w:pPr>
              <w:jc w:val="center"/>
              <w:rPr>
                <w:bCs/>
              </w:rPr>
            </w:pPr>
            <w:r w:rsidRPr="0074431B">
              <w:rPr>
                <w:bCs/>
              </w:rPr>
              <w:t>15,0</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bottom"/>
          </w:tcPr>
          <w:p w:rsidR="0055491A" w:rsidRPr="0074431B" w:rsidRDefault="0055491A" w:rsidP="00210BF6">
            <w:pPr>
              <w:jc w:val="center"/>
              <w:rPr>
                <w:bCs/>
              </w:rPr>
            </w:pPr>
            <w:r w:rsidRPr="0074431B">
              <w:rPr>
                <w:bCs/>
              </w:rPr>
              <w:t>3</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bottom"/>
          </w:tcPr>
          <w:p w:rsidR="0055491A" w:rsidRPr="0074431B" w:rsidRDefault="0055491A" w:rsidP="00210BF6">
            <w:pPr>
              <w:jc w:val="center"/>
              <w:rPr>
                <w:bCs/>
              </w:rPr>
            </w:pPr>
            <w:r w:rsidRPr="0074431B">
              <w:rPr>
                <w:bCs/>
              </w:rPr>
              <w:t>15,0</w:t>
            </w:r>
          </w:p>
        </w:tc>
      </w:tr>
      <w:tr w:rsidR="0055491A" w:rsidRPr="00160899" w:rsidTr="00210BF6">
        <w:trPr>
          <w:trHeight w:val="318"/>
        </w:trPr>
        <w:tc>
          <w:tcPr>
            <w:tcW w:w="1560" w:type="dxa"/>
            <w:vMerge/>
            <w:tcBorders>
              <w:left w:val="single" w:sz="4" w:space="0" w:color="auto"/>
              <w:right w:val="single" w:sz="4" w:space="0" w:color="auto"/>
            </w:tcBorders>
            <w:shd w:val="clear" w:color="auto" w:fill="auto"/>
          </w:tcPr>
          <w:p w:rsidR="0055491A" w:rsidRPr="0074431B" w:rsidRDefault="0055491A" w:rsidP="00210BF6">
            <w:pPr>
              <w:jc w:val="center"/>
              <w:rPr>
                <w:sz w:val="18"/>
                <w:szCs w:val="18"/>
              </w:rPr>
            </w:pPr>
          </w:p>
        </w:tc>
        <w:tc>
          <w:tcPr>
            <w:tcW w:w="1064" w:type="dxa"/>
            <w:tcBorders>
              <w:top w:val="single" w:sz="4" w:space="0" w:color="auto"/>
              <w:left w:val="single" w:sz="4" w:space="0" w:color="auto"/>
              <w:bottom w:val="single" w:sz="4" w:space="0" w:color="auto"/>
              <w:right w:val="single" w:sz="4" w:space="0" w:color="auto"/>
            </w:tcBorders>
            <w:shd w:val="clear" w:color="auto" w:fill="auto"/>
            <w:vAlign w:val="bottom"/>
          </w:tcPr>
          <w:p w:rsidR="0055491A" w:rsidRPr="0074431B" w:rsidRDefault="0055491A" w:rsidP="00210BF6">
            <w:pPr>
              <w:jc w:val="center"/>
              <w:rPr>
                <w:bCs/>
              </w:rPr>
            </w:pPr>
            <w:r w:rsidRPr="0074431B">
              <w:rPr>
                <w:bCs/>
              </w:rPr>
              <w:t>10</w:t>
            </w:r>
          </w:p>
        </w:tc>
        <w:tc>
          <w:tcPr>
            <w:tcW w:w="1124" w:type="dxa"/>
            <w:tcBorders>
              <w:top w:val="single" w:sz="4" w:space="0" w:color="auto"/>
              <w:left w:val="single" w:sz="4" w:space="0" w:color="auto"/>
              <w:bottom w:val="single" w:sz="4" w:space="0" w:color="auto"/>
              <w:right w:val="single" w:sz="4" w:space="0" w:color="auto"/>
            </w:tcBorders>
            <w:shd w:val="clear" w:color="auto" w:fill="auto"/>
            <w:vAlign w:val="bottom"/>
          </w:tcPr>
          <w:p w:rsidR="0055491A" w:rsidRPr="0074431B" w:rsidRDefault="0055491A" w:rsidP="00210BF6">
            <w:pPr>
              <w:jc w:val="center"/>
              <w:rPr>
                <w:bCs/>
              </w:rPr>
            </w:pPr>
            <w:r w:rsidRPr="0074431B">
              <w:rPr>
                <w:bCs/>
              </w:rPr>
              <w:t>4</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bottom"/>
          </w:tcPr>
          <w:p w:rsidR="0055491A" w:rsidRPr="0074431B" w:rsidRDefault="0055491A" w:rsidP="00210BF6">
            <w:pPr>
              <w:jc w:val="center"/>
              <w:rPr>
                <w:bCs/>
              </w:rPr>
            </w:pPr>
            <w:r w:rsidRPr="0074431B">
              <w:rPr>
                <w:bCs/>
              </w:rPr>
              <w:t>40,0</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bottom"/>
          </w:tcPr>
          <w:p w:rsidR="0055491A" w:rsidRPr="0074431B" w:rsidRDefault="0055491A" w:rsidP="00210BF6">
            <w:pPr>
              <w:jc w:val="center"/>
              <w:rPr>
                <w:bCs/>
              </w:rPr>
            </w:pPr>
            <w:r w:rsidRPr="0074431B">
              <w:rPr>
                <w:bCs/>
              </w:rPr>
              <w:t>4</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bottom"/>
          </w:tcPr>
          <w:p w:rsidR="0055491A" w:rsidRPr="0074431B" w:rsidRDefault="0055491A" w:rsidP="00210BF6">
            <w:pPr>
              <w:jc w:val="center"/>
              <w:rPr>
                <w:bCs/>
              </w:rPr>
            </w:pPr>
            <w:r w:rsidRPr="0074431B">
              <w:rPr>
                <w:bCs/>
              </w:rPr>
              <w:t>40,0</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bottom"/>
          </w:tcPr>
          <w:p w:rsidR="0055491A" w:rsidRPr="0074431B" w:rsidRDefault="0055491A" w:rsidP="00210BF6">
            <w:pPr>
              <w:jc w:val="center"/>
              <w:rPr>
                <w:bCs/>
              </w:rPr>
            </w:pPr>
            <w:r w:rsidRPr="0074431B">
              <w:rPr>
                <w:bCs/>
              </w:rPr>
              <w:t>4</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bottom"/>
          </w:tcPr>
          <w:p w:rsidR="0055491A" w:rsidRPr="0074431B" w:rsidRDefault="0055491A" w:rsidP="00210BF6">
            <w:pPr>
              <w:jc w:val="center"/>
              <w:rPr>
                <w:bCs/>
              </w:rPr>
            </w:pPr>
            <w:r w:rsidRPr="0074431B">
              <w:rPr>
                <w:bCs/>
              </w:rPr>
              <w:t>40,0</w:t>
            </w:r>
          </w:p>
        </w:tc>
      </w:tr>
      <w:tr w:rsidR="0055491A" w:rsidRPr="00160899" w:rsidTr="00210BF6">
        <w:trPr>
          <w:trHeight w:val="318"/>
        </w:trPr>
        <w:tc>
          <w:tcPr>
            <w:tcW w:w="1560" w:type="dxa"/>
            <w:vMerge/>
            <w:tcBorders>
              <w:left w:val="single" w:sz="4" w:space="0" w:color="auto"/>
              <w:right w:val="single" w:sz="4" w:space="0" w:color="auto"/>
            </w:tcBorders>
            <w:shd w:val="clear" w:color="auto" w:fill="auto"/>
          </w:tcPr>
          <w:p w:rsidR="0055491A" w:rsidRPr="0074431B" w:rsidRDefault="0055491A" w:rsidP="00210BF6">
            <w:pPr>
              <w:jc w:val="center"/>
              <w:rPr>
                <w:sz w:val="18"/>
                <w:szCs w:val="18"/>
              </w:rPr>
            </w:pPr>
          </w:p>
        </w:tc>
        <w:tc>
          <w:tcPr>
            <w:tcW w:w="1064" w:type="dxa"/>
            <w:tcBorders>
              <w:top w:val="single" w:sz="4" w:space="0" w:color="auto"/>
              <w:left w:val="single" w:sz="4" w:space="0" w:color="auto"/>
              <w:bottom w:val="single" w:sz="4" w:space="0" w:color="auto"/>
              <w:right w:val="single" w:sz="4" w:space="0" w:color="auto"/>
            </w:tcBorders>
            <w:shd w:val="clear" w:color="auto" w:fill="auto"/>
            <w:vAlign w:val="bottom"/>
          </w:tcPr>
          <w:p w:rsidR="0055491A" w:rsidRPr="0074431B" w:rsidRDefault="0055491A" w:rsidP="00210BF6">
            <w:pPr>
              <w:jc w:val="center"/>
              <w:rPr>
                <w:bCs/>
              </w:rPr>
            </w:pPr>
            <w:r w:rsidRPr="0074431B">
              <w:rPr>
                <w:bCs/>
              </w:rPr>
              <w:t>15</w:t>
            </w:r>
          </w:p>
        </w:tc>
        <w:tc>
          <w:tcPr>
            <w:tcW w:w="1124" w:type="dxa"/>
            <w:tcBorders>
              <w:top w:val="single" w:sz="4" w:space="0" w:color="auto"/>
              <w:left w:val="single" w:sz="4" w:space="0" w:color="auto"/>
              <w:bottom w:val="single" w:sz="4" w:space="0" w:color="auto"/>
              <w:right w:val="single" w:sz="4" w:space="0" w:color="auto"/>
            </w:tcBorders>
            <w:shd w:val="clear" w:color="auto" w:fill="auto"/>
            <w:vAlign w:val="bottom"/>
          </w:tcPr>
          <w:p w:rsidR="0055491A" w:rsidRPr="0074431B" w:rsidRDefault="0055491A" w:rsidP="00210BF6">
            <w:pPr>
              <w:jc w:val="center"/>
              <w:rPr>
                <w:bCs/>
              </w:rPr>
            </w:pPr>
            <w:r w:rsidRPr="0074431B">
              <w:rPr>
                <w:bCs/>
              </w:rPr>
              <w:t>1</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bottom"/>
          </w:tcPr>
          <w:p w:rsidR="0055491A" w:rsidRPr="0074431B" w:rsidRDefault="0055491A" w:rsidP="00210BF6">
            <w:pPr>
              <w:jc w:val="center"/>
              <w:rPr>
                <w:bCs/>
              </w:rPr>
            </w:pPr>
            <w:r w:rsidRPr="0074431B">
              <w:rPr>
                <w:bCs/>
              </w:rPr>
              <w:t>15,0</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bottom"/>
          </w:tcPr>
          <w:p w:rsidR="0055491A" w:rsidRPr="0074431B" w:rsidRDefault="0055491A" w:rsidP="00210BF6">
            <w:pPr>
              <w:jc w:val="center"/>
              <w:rPr>
                <w:bCs/>
              </w:rPr>
            </w:pPr>
            <w:r w:rsidRPr="0074431B">
              <w:rPr>
                <w:bCs/>
              </w:rPr>
              <w:t>1</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bottom"/>
          </w:tcPr>
          <w:p w:rsidR="0055491A" w:rsidRPr="0074431B" w:rsidRDefault="0055491A" w:rsidP="00210BF6">
            <w:pPr>
              <w:jc w:val="center"/>
              <w:rPr>
                <w:bCs/>
              </w:rPr>
            </w:pPr>
            <w:r w:rsidRPr="0074431B">
              <w:rPr>
                <w:bCs/>
              </w:rPr>
              <w:t>15,0</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bottom"/>
          </w:tcPr>
          <w:p w:rsidR="0055491A" w:rsidRPr="0074431B" w:rsidRDefault="0055491A" w:rsidP="00210BF6">
            <w:pPr>
              <w:jc w:val="center"/>
              <w:rPr>
                <w:bCs/>
              </w:rPr>
            </w:pPr>
            <w:r w:rsidRPr="0074431B">
              <w:rPr>
                <w:bCs/>
              </w:rPr>
              <w:t>1</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bottom"/>
          </w:tcPr>
          <w:p w:rsidR="0055491A" w:rsidRPr="0074431B" w:rsidRDefault="0055491A" w:rsidP="00210BF6">
            <w:pPr>
              <w:jc w:val="center"/>
              <w:rPr>
                <w:bCs/>
              </w:rPr>
            </w:pPr>
            <w:r w:rsidRPr="0074431B">
              <w:rPr>
                <w:bCs/>
              </w:rPr>
              <w:t>15,0</w:t>
            </w:r>
          </w:p>
        </w:tc>
      </w:tr>
      <w:tr w:rsidR="0055491A" w:rsidRPr="00160899" w:rsidTr="00210BF6">
        <w:trPr>
          <w:trHeight w:val="318"/>
        </w:trPr>
        <w:tc>
          <w:tcPr>
            <w:tcW w:w="1560" w:type="dxa"/>
            <w:vMerge/>
            <w:tcBorders>
              <w:left w:val="single" w:sz="4" w:space="0" w:color="auto"/>
              <w:right w:val="single" w:sz="4" w:space="0" w:color="auto"/>
            </w:tcBorders>
            <w:shd w:val="clear" w:color="auto" w:fill="auto"/>
          </w:tcPr>
          <w:p w:rsidR="0055491A" w:rsidRPr="0074431B" w:rsidRDefault="0055491A" w:rsidP="00210BF6">
            <w:pPr>
              <w:jc w:val="center"/>
              <w:rPr>
                <w:sz w:val="18"/>
                <w:szCs w:val="18"/>
              </w:rPr>
            </w:pPr>
          </w:p>
        </w:tc>
        <w:tc>
          <w:tcPr>
            <w:tcW w:w="1064" w:type="dxa"/>
            <w:tcBorders>
              <w:top w:val="single" w:sz="4" w:space="0" w:color="auto"/>
              <w:left w:val="single" w:sz="4" w:space="0" w:color="auto"/>
              <w:bottom w:val="single" w:sz="4" w:space="0" w:color="auto"/>
              <w:right w:val="single" w:sz="4" w:space="0" w:color="auto"/>
            </w:tcBorders>
            <w:shd w:val="clear" w:color="auto" w:fill="auto"/>
            <w:vAlign w:val="bottom"/>
          </w:tcPr>
          <w:p w:rsidR="0055491A" w:rsidRPr="0074431B" w:rsidRDefault="0055491A" w:rsidP="00210BF6">
            <w:pPr>
              <w:jc w:val="center"/>
              <w:rPr>
                <w:bCs/>
              </w:rPr>
            </w:pPr>
            <w:r w:rsidRPr="0074431B">
              <w:rPr>
                <w:bCs/>
              </w:rPr>
              <w:t>50</w:t>
            </w:r>
          </w:p>
        </w:tc>
        <w:tc>
          <w:tcPr>
            <w:tcW w:w="1124" w:type="dxa"/>
            <w:tcBorders>
              <w:top w:val="single" w:sz="4" w:space="0" w:color="auto"/>
              <w:left w:val="single" w:sz="4" w:space="0" w:color="auto"/>
              <w:bottom w:val="single" w:sz="4" w:space="0" w:color="auto"/>
              <w:right w:val="single" w:sz="4" w:space="0" w:color="auto"/>
            </w:tcBorders>
            <w:shd w:val="clear" w:color="auto" w:fill="auto"/>
            <w:vAlign w:val="bottom"/>
          </w:tcPr>
          <w:p w:rsidR="0055491A" w:rsidRPr="0074431B" w:rsidRDefault="0055491A" w:rsidP="00210BF6">
            <w:pPr>
              <w:jc w:val="center"/>
              <w:rPr>
                <w:bCs/>
              </w:rPr>
            </w:pPr>
            <w:r w:rsidRPr="0074431B">
              <w:rPr>
                <w:bCs/>
              </w:rPr>
              <w:t>4</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bottom"/>
          </w:tcPr>
          <w:p w:rsidR="0055491A" w:rsidRPr="0074431B" w:rsidRDefault="0055491A" w:rsidP="00210BF6">
            <w:pPr>
              <w:jc w:val="center"/>
              <w:rPr>
                <w:bCs/>
              </w:rPr>
            </w:pPr>
            <w:r w:rsidRPr="0074431B">
              <w:rPr>
                <w:bCs/>
              </w:rPr>
              <w:t>200,0</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bottom"/>
          </w:tcPr>
          <w:p w:rsidR="0055491A" w:rsidRPr="0074431B" w:rsidRDefault="0055491A" w:rsidP="00210BF6">
            <w:pPr>
              <w:jc w:val="center"/>
              <w:rPr>
                <w:bCs/>
              </w:rPr>
            </w:pPr>
            <w:r w:rsidRPr="0074431B">
              <w:rPr>
                <w:bCs/>
              </w:rPr>
              <w:t>3</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bottom"/>
          </w:tcPr>
          <w:p w:rsidR="0055491A" w:rsidRPr="0074431B" w:rsidRDefault="0055491A" w:rsidP="00210BF6">
            <w:pPr>
              <w:jc w:val="center"/>
              <w:rPr>
                <w:bCs/>
              </w:rPr>
            </w:pPr>
            <w:r w:rsidRPr="0074431B">
              <w:rPr>
                <w:bCs/>
              </w:rPr>
              <w:t>150,0</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bottom"/>
          </w:tcPr>
          <w:p w:rsidR="0055491A" w:rsidRPr="0074431B" w:rsidRDefault="0055491A" w:rsidP="00210BF6">
            <w:pPr>
              <w:jc w:val="center"/>
              <w:rPr>
                <w:bCs/>
              </w:rPr>
            </w:pPr>
            <w:r w:rsidRPr="0074431B">
              <w:rPr>
                <w:bCs/>
              </w:rPr>
              <w:t>4</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bottom"/>
          </w:tcPr>
          <w:p w:rsidR="0055491A" w:rsidRPr="0074431B" w:rsidRDefault="0055491A" w:rsidP="00210BF6">
            <w:pPr>
              <w:jc w:val="center"/>
              <w:rPr>
                <w:bCs/>
              </w:rPr>
            </w:pPr>
            <w:r w:rsidRPr="0074431B">
              <w:rPr>
                <w:bCs/>
              </w:rPr>
              <w:t>200,0</w:t>
            </w:r>
          </w:p>
        </w:tc>
      </w:tr>
      <w:tr w:rsidR="0055491A" w:rsidRPr="00160899" w:rsidTr="00210BF6">
        <w:trPr>
          <w:trHeight w:val="318"/>
        </w:trPr>
        <w:tc>
          <w:tcPr>
            <w:tcW w:w="1560" w:type="dxa"/>
            <w:vMerge/>
            <w:tcBorders>
              <w:left w:val="single" w:sz="4" w:space="0" w:color="auto"/>
              <w:right w:val="single" w:sz="4" w:space="0" w:color="auto"/>
            </w:tcBorders>
            <w:shd w:val="clear" w:color="auto" w:fill="auto"/>
          </w:tcPr>
          <w:p w:rsidR="0055491A" w:rsidRPr="0074431B" w:rsidRDefault="0055491A" w:rsidP="00210BF6">
            <w:pPr>
              <w:jc w:val="center"/>
              <w:rPr>
                <w:sz w:val="18"/>
                <w:szCs w:val="18"/>
              </w:rPr>
            </w:pPr>
          </w:p>
        </w:tc>
        <w:tc>
          <w:tcPr>
            <w:tcW w:w="1064" w:type="dxa"/>
            <w:tcBorders>
              <w:top w:val="single" w:sz="4" w:space="0" w:color="auto"/>
              <w:left w:val="single" w:sz="4" w:space="0" w:color="auto"/>
              <w:bottom w:val="single" w:sz="4" w:space="0" w:color="auto"/>
              <w:right w:val="single" w:sz="4" w:space="0" w:color="auto"/>
            </w:tcBorders>
            <w:shd w:val="clear" w:color="auto" w:fill="auto"/>
            <w:vAlign w:val="bottom"/>
          </w:tcPr>
          <w:p w:rsidR="0055491A" w:rsidRPr="0074431B" w:rsidRDefault="0055491A" w:rsidP="00210BF6">
            <w:pPr>
              <w:jc w:val="center"/>
              <w:rPr>
                <w:bCs/>
              </w:rPr>
            </w:pPr>
            <w:r w:rsidRPr="0074431B">
              <w:rPr>
                <w:bCs/>
              </w:rPr>
              <w:t>51</w:t>
            </w:r>
          </w:p>
        </w:tc>
        <w:tc>
          <w:tcPr>
            <w:tcW w:w="1124" w:type="dxa"/>
            <w:tcBorders>
              <w:top w:val="single" w:sz="4" w:space="0" w:color="auto"/>
              <w:left w:val="single" w:sz="4" w:space="0" w:color="auto"/>
              <w:bottom w:val="single" w:sz="4" w:space="0" w:color="auto"/>
              <w:right w:val="single" w:sz="4" w:space="0" w:color="auto"/>
            </w:tcBorders>
            <w:shd w:val="clear" w:color="auto" w:fill="auto"/>
            <w:vAlign w:val="bottom"/>
          </w:tcPr>
          <w:p w:rsidR="0055491A" w:rsidRPr="0074431B" w:rsidRDefault="0055491A" w:rsidP="00210BF6">
            <w:pPr>
              <w:jc w:val="center"/>
              <w:rPr>
                <w:bCs/>
              </w:rPr>
            </w:pPr>
            <w:r w:rsidRPr="0074431B">
              <w:rPr>
                <w:bCs/>
              </w:rPr>
              <w:t>2</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bottom"/>
          </w:tcPr>
          <w:p w:rsidR="0055491A" w:rsidRPr="0074431B" w:rsidRDefault="0055491A" w:rsidP="00210BF6">
            <w:pPr>
              <w:jc w:val="center"/>
              <w:rPr>
                <w:bCs/>
              </w:rPr>
            </w:pPr>
            <w:r w:rsidRPr="0074431B">
              <w:rPr>
                <w:bCs/>
              </w:rPr>
              <w:t>102,0</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bottom"/>
          </w:tcPr>
          <w:p w:rsidR="0055491A" w:rsidRPr="0074431B" w:rsidRDefault="0055491A" w:rsidP="00210BF6">
            <w:pPr>
              <w:jc w:val="center"/>
              <w:rPr>
                <w:bCs/>
              </w:rPr>
            </w:pPr>
            <w:r w:rsidRPr="0074431B">
              <w:rPr>
                <w:bCs/>
              </w:rPr>
              <w:t>2</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bottom"/>
          </w:tcPr>
          <w:p w:rsidR="0055491A" w:rsidRPr="0074431B" w:rsidRDefault="0055491A" w:rsidP="00210BF6">
            <w:pPr>
              <w:jc w:val="center"/>
              <w:rPr>
                <w:bCs/>
              </w:rPr>
            </w:pPr>
            <w:r w:rsidRPr="0074431B">
              <w:rPr>
                <w:bCs/>
              </w:rPr>
              <w:t>102,0</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bottom"/>
          </w:tcPr>
          <w:p w:rsidR="0055491A" w:rsidRPr="0074431B" w:rsidRDefault="0055491A" w:rsidP="00210BF6">
            <w:pPr>
              <w:jc w:val="center"/>
              <w:rPr>
                <w:bCs/>
              </w:rPr>
            </w:pPr>
            <w:r w:rsidRPr="0074431B">
              <w:rPr>
                <w:bCs/>
              </w:rPr>
              <w:t>2</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bottom"/>
          </w:tcPr>
          <w:p w:rsidR="0055491A" w:rsidRPr="0074431B" w:rsidRDefault="0055491A" w:rsidP="00210BF6">
            <w:pPr>
              <w:jc w:val="center"/>
              <w:rPr>
                <w:bCs/>
              </w:rPr>
            </w:pPr>
            <w:r w:rsidRPr="0074431B">
              <w:rPr>
                <w:bCs/>
              </w:rPr>
              <w:t>102,0</w:t>
            </w:r>
          </w:p>
        </w:tc>
      </w:tr>
      <w:tr w:rsidR="0055491A" w:rsidRPr="00160899" w:rsidTr="00210BF6">
        <w:trPr>
          <w:trHeight w:val="318"/>
        </w:trPr>
        <w:tc>
          <w:tcPr>
            <w:tcW w:w="1560" w:type="dxa"/>
            <w:vMerge/>
            <w:tcBorders>
              <w:left w:val="single" w:sz="4" w:space="0" w:color="auto"/>
              <w:right w:val="single" w:sz="4" w:space="0" w:color="auto"/>
            </w:tcBorders>
            <w:shd w:val="clear" w:color="auto" w:fill="auto"/>
          </w:tcPr>
          <w:p w:rsidR="0055491A" w:rsidRPr="0074431B" w:rsidRDefault="0055491A" w:rsidP="00210BF6">
            <w:pPr>
              <w:jc w:val="center"/>
              <w:rPr>
                <w:sz w:val="18"/>
                <w:szCs w:val="18"/>
              </w:rPr>
            </w:pPr>
          </w:p>
        </w:tc>
        <w:tc>
          <w:tcPr>
            <w:tcW w:w="1064" w:type="dxa"/>
            <w:tcBorders>
              <w:top w:val="single" w:sz="4" w:space="0" w:color="auto"/>
              <w:left w:val="single" w:sz="4" w:space="0" w:color="auto"/>
              <w:bottom w:val="single" w:sz="4" w:space="0" w:color="auto"/>
              <w:right w:val="single" w:sz="4" w:space="0" w:color="auto"/>
            </w:tcBorders>
            <w:shd w:val="clear" w:color="auto" w:fill="auto"/>
            <w:vAlign w:val="bottom"/>
          </w:tcPr>
          <w:p w:rsidR="0055491A" w:rsidRPr="0074431B" w:rsidRDefault="0055491A" w:rsidP="00210BF6">
            <w:pPr>
              <w:jc w:val="center"/>
              <w:rPr>
                <w:bCs/>
              </w:rPr>
            </w:pPr>
            <w:r w:rsidRPr="0074431B">
              <w:rPr>
                <w:bCs/>
              </w:rPr>
              <w:t>52</w:t>
            </w:r>
          </w:p>
        </w:tc>
        <w:tc>
          <w:tcPr>
            <w:tcW w:w="1124" w:type="dxa"/>
            <w:tcBorders>
              <w:top w:val="single" w:sz="4" w:space="0" w:color="auto"/>
              <w:left w:val="single" w:sz="4" w:space="0" w:color="auto"/>
              <w:bottom w:val="single" w:sz="4" w:space="0" w:color="auto"/>
              <w:right w:val="single" w:sz="4" w:space="0" w:color="auto"/>
            </w:tcBorders>
            <w:shd w:val="clear" w:color="auto" w:fill="auto"/>
            <w:vAlign w:val="bottom"/>
          </w:tcPr>
          <w:p w:rsidR="0055491A" w:rsidRPr="0074431B" w:rsidRDefault="0055491A" w:rsidP="00210BF6">
            <w:pPr>
              <w:jc w:val="center"/>
              <w:rPr>
                <w:bCs/>
              </w:rPr>
            </w:pPr>
            <w:r w:rsidRPr="0074431B">
              <w:rPr>
                <w:bCs/>
              </w:rPr>
              <w:t>2</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bottom"/>
          </w:tcPr>
          <w:p w:rsidR="0055491A" w:rsidRPr="0074431B" w:rsidRDefault="0055491A" w:rsidP="00210BF6">
            <w:pPr>
              <w:jc w:val="center"/>
              <w:rPr>
                <w:bCs/>
              </w:rPr>
            </w:pPr>
            <w:r w:rsidRPr="0074431B">
              <w:rPr>
                <w:bCs/>
              </w:rPr>
              <w:t>104,0</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bottom"/>
          </w:tcPr>
          <w:p w:rsidR="0055491A" w:rsidRPr="0074431B" w:rsidRDefault="0055491A" w:rsidP="00210BF6">
            <w:pPr>
              <w:jc w:val="center"/>
              <w:rPr>
                <w:bCs/>
              </w:rPr>
            </w:pPr>
            <w:r w:rsidRPr="0074431B">
              <w:rPr>
                <w:bCs/>
              </w:rPr>
              <w:t>1</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bottom"/>
          </w:tcPr>
          <w:p w:rsidR="0055491A" w:rsidRPr="0074431B" w:rsidRDefault="0055491A" w:rsidP="00210BF6">
            <w:pPr>
              <w:jc w:val="center"/>
              <w:rPr>
                <w:bCs/>
              </w:rPr>
            </w:pPr>
            <w:r w:rsidRPr="0074431B">
              <w:rPr>
                <w:bCs/>
              </w:rPr>
              <w:t>52,0</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bottom"/>
          </w:tcPr>
          <w:p w:rsidR="0055491A" w:rsidRPr="0074431B" w:rsidRDefault="0055491A" w:rsidP="00210BF6">
            <w:pPr>
              <w:jc w:val="center"/>
              <w:rPr>
                <w:bCs/>
              </w:rPr>
            </w:pPr>
            <w:r w:rsidRPr="0074431B">
              <w:rPr>
                <w:bCs/>
              </w:rPr>
              <w:t>1</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bottom"/>
          </w:tcPr>
          <w:p w:rsidR="0055491A" w:rsidRPr="0074431B" w:rsidRDefault="0055491A" w:rsidP="00210BF6">
            <w:pPr>
              <w:jc w:val="center"/>
              <w:rPr>
                <w:bCs/>
              </w:rPr>
            </w:pPr>
            <w:r w:rsidRPr="0074431B">
              <w:rPr>
                <w:bCs/>
              </w:rPr>
              <w:t>52,0</w:t>
            </w:r>
          </w:p>
        </w:tc>
      </w:tr>
      <w:tr w:rsidR="0055491A" w:rsidRPr="00160899" w:rsidTr="00210BF6">
        <w:trPr>
          <w:trHeight w:val="318"/>
        </w:trPr>
        <w:tc>
          <w:tcPr>
            <w:tcW w:w="1560" w:type="dxa"/>
            <w:vMerge/>
            <w:tcBorders>
              <w:left w:val="single" w:sz="4" w:space="0" w:color="auto"/>
              <w:right w:val="single" w:sz="4" w:space="0" w:color="auto"/>
            </w:tcBorders>
            <w:shd w:val="clear" w:color="auto" w:fill="auto"/>
          </w:tcPr>
          <w:p w:rsidR="0055491A" w:rsidRPr="0074431B" w:rsidRDefault="0055491A" w:rsidP="00210BF6">
            <w:pPr>
              <w:jc w:val="center"/>
              <w:rPr>
                <w:sz w:val="18"/>
                <w:szCs w:val="18"/>
              </w:rPr>
            </w:pPr>
          </w:p>
        </w:tc>
        <w:tc>
          <w:tcPr>
            <w:tcW w:w="1064" w:type="dxa"/>
            <w:tcBorders>
              <w:top w:val="single" w:sz="4" w:space="0" w:color="auto"/>
              <w:left w:val="single" w:sz="4" w:space="0" w:color="auto"/>
              <w:bottom w:val="single" w:sz="4" w:space="0" w:color="auto"/>
              <w:right w:val="single" w:sz="4" w:space="0" w:color="auto"/>
            </w:tcBorders>
            <w:shd w:val="clear" w:color="auto" w:fill="auto"/>
            <w:vAlign w:val="bottom"/>
          </w:tcPr>
          <w:p w:rsidR="0055491A" w:rsidRPr="0074431B" w:rsidRDefault="0055491A" w:rsidP="00210BF6">
            <w:pPr>
              <w:jc w:val="center"/>
              <w:rPr>
                <w:bCs/>
              </w:rPr>
            </w:pPr>
            <w:r w:rsidRPr="0074431B">
              <w:rPr>
                <w:bCs/>
              </w:rPr>
              <w:t>55</w:t>
            </w:r>
          </w:p>
        </w:tc>
        <w:tc>
          <w:tcPr>
            <w:tcW w:w="1124" w:type="dxa"/>
            <w:tcBorders>
              <w:top w:val="single" w:sz="4" w:space="0" w:color="auto"/>
              <w:left w:val="single" w:sz="4" w:space="0" w:color="auto"/>
              <w:bottom w:val="single" w:sz="4" w:space="0" w:color="auto"/>
              <w:right w:val="single" w:sz="4" w:space="0" w:color="auto"/>
            </w:tcBorders>
            <w:shd w:val="clear" w:color="auto" w:fill="auto"/>
            <w:vAlign w:val="bottom"/>
          </w:tcPr>
          <w:p w:rsidR="0055491A" w:rsidRPr="0074431B" w:rsidRDefault="0055491A" w:rsidP="00210BF6">
            <w:pPr>
              <w:jc w:val="center"/>
              <w:rPr>
                <w:bCs/>
              </w:rPr>
            </w:pPr>
            <w:r w:rsidRPr="0074431B">
              <w:rPr>
                <w:bCs/>
              </w:rPr>
              <w:t>1</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bottom"/>
          </w:tcPr>
          <w:p w:rsidR="0055491A" w:rsidRPr="0074431B" w:rsidRDefault="0055491A" w:rsidP="00210BF6">
            <w:pPr>
              <w:jc w:val="center"/>
              <w:rPr>
                <w:bCs/>
              </w:rPr>
            </w:pPr>
            <w:r w:rsidRPr="0074431B">
              <w:rPr>
                <w:bCs/>
              </w:rPr>
              <w:t>55,0</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bottom"/>
          </w:tcPr>
          <w:p w:rsidR="0055491A" w:rsidRPr="0074431B" w:rsidRDefault="0055491A" w:rsidP="00210BF6">
            <w:pPr>
              <w:jc w:val="center"/>
              <w:rPr>
                <w:bCs/>
              </w:rPr>
            </w:pPr>
            <w:r w:rsidRPr="0074431B">
              <w:rPr>
                <w:bCs/>
              </w:rPr>
              <w:t>1</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bottom"/>
          </w:tcPr>
          <w:p w:rsidR="0055491A" w:rsidRPr="0074431B" w:rsidRDefault="0055491A" w:rsidP="00210BF6">
            <w:pPr>
              <w:jc w:val="center"/>
              <w:rPr>
                <w:bCs/>
              </w:rPr>
            </w:pPr>
            <w:r w:rsidRPr="0074431B">
              <w:rPr>
                <w:bCs/>
              </w:rPr>
              <w:t>55,0</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bottom"/>
          </w:tcPr>
          <w:p w:rsidR="0055491A" w:rsidRPr="0074431B" w:rsidRDefault="0055491A" w:rsidP="00210BF6">
            <w:pPr>
              <w:jc w:val="center"/>
              <w:rPr>
                <w:bCs/>
              </w:rPr>
            </w:pPr>
            <w:r w:rsidRPr="0074431B">
              <w:rPr>
                <w:bCs/>
              </w:rPr>
              <w:t>1</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bottom"/>
          </w:tcPr>
          <w:p w:rsidR="0055491A" w:rsidRPr="0074431B" w:rsidRDefault="0055491A" w:rsidP="00210BF6">
            <w:pPr>
              <w:jc w:val="center"/>
              <w:rPr>
                <w:bCs/>
              </w:rPr>
            </w:pPr>
            <w:r w:rsidRPr="0074431B">
              <w:rPr>
                <w:bCs/>
              </w:rPr>
              <w:t>55,0</w:t>
            </w:r>
          </w:p>
        </w:tc>
      </w:tr>
      <w:tr w:rsidR="0055491A" w:rsidRPr="00160899" w:rsidTr="00210BF6">
        <w:trPr>
          <w:trHeight w:val="318"/>
        </w:trPr>
        <w:tc>
          <w:tcPr>
            <w:tcW w:w="1560" w:type="dxa"/>
            <w:vMerge/>
            <w:tcBorders>
              <w:left w:val="single" w:sz="4" w:space="0" w:color="auto"/>
              <w:right w:val="single" w:sz="4" w:space="0" w:color="auto"/>
            </w:tcBorders>
            <w:shd w:val="clear" w:color="auto" w:fill="auto"/>
          </w:tcPr>
          <w:p w:rsidR="0055491A" w:rsidRPr="0074431B" w:rsidRDefault="0055491A" w:rsidP="00210BF6">
            <w:pPr>
              <w:jc w:val="center"/>
              <w:rPr>
                <w:sz w:val="18"/>
                <w:szCs w:val="18"/>
              </w:rPr>
            </w:pPr>
          </w:p>
        </w:tc>
        <w:tc>
          <w:tcPr>
            <w:tcW w:w="1064" w:type="dxa"/>
            <w:tcBorders>
              <w:top w:val="single" w:sz="4" w:space="0" w:color="auto"/>
              <w:left w:val="single" w:sz="4" w:space="0" w:color="auto"/>
              <w:bottom w:val="single" w:sz="4" w:space="0" w:color="auto"/>
              <w:right w:val="single" w:sz="4" w:space="0" w:color="auto"/>
            </w:tcBorders>
            <w:shd w:val="clear" w:color="auto" w:fill="auto"/>
            <w:vAlign w:val="bottom"/>
          </w:tcPr>
          <w:p w:rsidR="0055491A" w:rsidRPr="0074431B" w:rsidRDefault="0055491A" w:rsidP="00210BF6">
            <w:pPr>
              <w:jc w:val="center"/>
              <w:rPr>
                <w:bCs/>
              </w:rPr>
            </w:pPr>
            <w:r w:rsidRPr="0074431B">
              <w:rPr>
                <w:bCs/>
              </w:rPr>
              <w:t>60</w:t>
            </w:r>
          </w:p>
        </w:tc>
        <w:tc>
          <w:tcPr>
            <w:tcW w:w="1124" w:type="dxa"/>
            <w:tcBorders>
              <w:top w:val="single" w:sz="4" w:space="0" w:color="auto"/>
              <w:left w:val="single" w:sz="4" w:space="0" w:color="auto"/>
              <w:bottom w:val="single" w:sz="4" w:space="0" w:color="auto"/>
              <w:right w:val="single" w:sz="4" w:space="0" w:color="auto"/>
            </w:tcBorders>
            <w:shd w:val="clear" w:color="auto" w:fill="auto"/>
            <w:vAlign w:val="bottom"/>
          </w:tcPr>
          <w:p w:rsidR="0055491A" w:rsidRPr="0074431B" w:rsidRDefault="0055491A" w:rsidP="00210BF6">
            <w:pPr>
              <w:jc w:val="center"/>
              <w:rPr>
                <w:bCs/>
              </w:rPr>
            </w:pPr>
            <w:r w:rsidRPr="0074431B">
              <w:rPr>
                <w:bCs/>
              </w:rPr>
              <w:t>1</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bottom"/>
          </w:tcPr>
          <w:p w:rsidR="0055491A" w:rsidRPr="0074431B" w:rsidRDefault="0055491A" w:rsidP="00210BF6">
            <w:pPr>
              <w:jc w:val="center"/>
              <w:rPr>
                <w:bCs/>
              </w:rPr>
            </w:pPr>
            <w:r w:rsidRPr="0074431B">
              <w:rPr>
                <w:bCs/>
              </w:rPr>
              <w:t>60,0</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bottom"/>
          </w:tcPr>
          <w:p w:rsidR="0055491A" w:rsidRPr="0074431B" w:rsidRDefault="0055491A" w:rsidP="00210BF6">
            <w:pPr>
              <w:jc w:val="center"/>
              <w:rPr>
                <w:bCs/>
              </w:rPr>
            </w:pPr>
            <w:r w:rsidRPr="0074431B">
              <w:rPr>
                <w:bCs/>
              </w:rPr>
              <w:t>1</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bottom"/>
          </w:tcPr>
          <w:p w:rsidR="0055491A" w:rsidRPr="0074431B" w:rsidRDefault="0055491A" w:rsidP="00210BF6">
            <w:pPr>
              <w:jc w:val="center"/>
              <w:rPr>
                <w:bCs/>
              </w:rPr>
            </w:pPr>
            <w:r w:rsidRPr="0074431B">
              <w:rPr>
                <w:bCs/>
              </w:rPr>
              <w:t>60,0</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bottom"/>
          </w:tcPr>
          <w:p w:rsidR="0055491A" w:rsidRPr="0074431B" w:rsidRDefault="0055491A" w:rsidP="00210BF6">
            <w:pPr>
              <w:jc w:val="center"/>
              <w:rPr>
                <w:bCs/>
              </w:rPr>
            </w:pPr>
            <w:r w:rsidRPr="0074431B">
              <w:rPr>
                <w:bCs/>
              </w:rPr>
              <w:t>1</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bottom"/>
          </w:tcPr>
          <w:p w:rsidR="0055491A" w:rsidRPr="0074431B" w:rsidRDefault="0055491A" w:rsidP="00210BF6">
            <w:pPr>
              <w:jc w:val="center"/>
              <w:rPr>
                <w:bCs/>
              </w:rPr>
            </w:pPr>
            <w:r w:rsidRPr="0074431B">
              <w:rPr>
                <w:bCs/>
              </w:rPr>
              <w:t>60,0</w:t>
            </w:r>
          </w:p>
        </w:tc>
      </w:tr>
      <w:tr w:rsidR="0055491A" w:rsidRPr="00160899" w:rsidTr="00210BF6">
        <w:trPr>
          <w:trHeight w:val="318"/>
        </w:trPr>
        <w:tc>
          <w:tcPr>
            <w:tcW w:w="1560" w:type="dxa"/>
            <w:vMerge/>
            <w:tcBorders>
              <w:left w:val="single" w:sz="4" w:space="0" w:color="auto"/>
              <w:bottom w:val="single" w:sz="4" w:space="0" w:color="auto"/>
              <w:right w:val="single" w:sz="4" w:space="0" w:color="auto"/>
            </w:tcBorders>
            <w:shd w:val="clear" w:color="auto" w:fill="auto"/>
            <w:vAlign w:val="center"/>
          </w:tcPr>
          <w:p w:rsidR="0055491A" w:rsidRPr="0074431B" w:rsidRDefault="0055491A" w:rsidP="00210BF6">
            <w:pPr>
              <w:jc w:val="center"/>
              <w:rPr>
                <w:sz w:val="18"/>
                <w:szCs w:val="18"/>
              </w:rPr>
            </w:pPr>
          </w:p>
        </w:tc>
        <w:tc>
          <w:tcPr>
            <w:tcW w:w="1064" w:type="dxa"/>
            <w:tcBorders>
              <w:top w:val="single" w:sz="4" w:space="0" w:color="auto"/>
              <w:left w:val="single" w:sz="4" w:space="0" w:color="auto"/>
              <w:bottom w:val="single" w:sz="4" w:space="0" w:color="auto"/>
              <w:right w:val="single" w:sz="4" w:space="0" w:color="auto"/>
            </w:tcBorders>
            <w:shd w:val="clear" w:color="auto" w:fill="auto"/>
            <w:vAlign w:val="bottom"/>
          </w:tcPr>
          <w:p w:rsidR="0055491A" w:rsidRPr="0074431B" w:rsidRDefault="0055491A" w:rsidP="00210BF6">
            <w:pPr>
              <w:jc w:val="center"/>
              <w:rPr>
                <w:bCs/>
              </w:rPr>
            </w:pPr>
            <w:r w:rsidRPr="0074431B">
              <w:rPr>
                <w:bCs/>
              </w:rPr>
              <w:t>100</w:t>
            </w:r>
          </w:p>
        </w:tc>
        <w:tc>
          <w:tcPr>
            <w:tcW w:w="1124" w:type="dxa"/>
            <w:tcBorders>
              <w:top w:val="single" w:sz="4" w:space="0" w:color="auto"/>
              <w:left w:val="single" w:sz="4" w:space="0" w:color="auto"/>
              <w:bottom w:val="single" w:sz="4" w:space="0" w:color="auto"/>
              <w:right w:val="single" w:sz="4" w:space="0" w:color="auto"/>
            </w:tcBorders>
            <w:shd w:val="clear" w:color="auto" w:fill="auto"/>
            <w:vAlign w:val="bottom"/>
          </w:tcPr>
          <w:p w:rsidR="0055491A" w:rsidRPr="0074431B" w:rsidRDefault="0055491A" w:rsidP="00210BF6">
            <w:pPr>
              <w:jc w:val="center"/>
              <w:rPr>
                <w:bCs/>
              </w:rPr>
            </w:pPr>
            <w:r w:rsidRPr="0074431B">
              <w:rPr>
                <w:bCs/>
              </w:rPr>
              <w:t>3</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bottom"/>
          </w:tcPr>
          <w:p w:rsidR="0055491A" w:rsidRPr="0074431B" w:rsidRDefault="0055491A" w:rsidP="00210BF6">
            <w:pPr>
              <w:jc w:val="center"/>
              <w:rPr>
                <w:bCs/>
              </w:rPr>
            </w:pPr>
            <w:r w:rsidRPr="0074431B">
              <w:rPr>
                <w:bCs/>
              </w:rPr>
              <w:t>300,0</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bottom"/>
          </w:tcPr>
          <w:p w:rsidR="0055491A" w:rsidRPr="0074431B" w:rsidRDefault="0055491A" w:rsidP="00210BF6">
            <w:pPr>
              <w:jc w:val="center"/>
              <w:rPr>
                <w:bCs/>
              </w:rPr>
            </w:pPr>
            <w:r w:rsidRPr="0074431B">
              <w:rPr>
                <w:bCs/>
              </w:rPr>
              <w:t>2</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bottom"/>
          </w:tcPr>
          <w:p w:rsidR="0055491A" w:rsidRPr="0074431B" w:rsidRDefault="0055491A" w:rsidP="00210BF6">
            <w:pPr>
              <w:jc w:val="center"/>
              <w:rPr>
                <w:bCs/>
              </w:rPr>
            </w:pPr>
            <w:r w:rsidRPr="0074431B">
              <w:rPr>
                <w:bCs/>
              </w:rPr>
              <w:t>200,0</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bottom"/>
          </w:tcPr>
          <w:p w:rsidR="0055491A" w:rsidRPr="0074431B" w:rsidRDefault="0055491A" w:rsidP="00210BF6">
            <w:pPr>
              <w:jc w:val="center"/>
              <w:rPr>
                <w:bCs/>
              </w:rPr>
            </w:pPr>
            <w:r w:rsidRPr="0074431B">
              <w:rPr>
                <w:bCs/>
              </w:rPr>
              <w:t>2</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bottom"/>
          </w:tcPr>
          <w:p w:rsidR="0055491A" w:rsidRPr="0074431B" w:rsidRDefault="0055491A" w:rsidP="00210BF6">
            <w:pPr>
              <w:jc w:val="center"/>
              <w:rPr>
                <w:bCs/>
              </w:rPr>
            </w:pPr>
            <w:r w:rsidRPr="0074431B">
              <w:rPr>
                <w:bCs/>
              </w:rPr>
              <w:t>200,0</w:t>
            </w:r>
          </w:p>
        </w:tc>
      </w:tr>
      <w:tr w:rsidR="0055491A" w:rsidRPr="00160899" w:rsidTr="00210BF6">
        <w:trPr>
          <w:trHeight w:val="318"/>
        </w:trPr>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5491A" w:rsidRPr="0074431B" w:rsidRDefault="0055491A" w:rsidP="00210BF6">
            <w:pPr>
              <w:jc w:val="center"/>
              <w:rPr>
                <w:sz w:val="18"/>
                <w:szCs w:val="18"/>
              </w:rPr>
            </w:pPr>
            <w:r w:rsidRPr="0074431B">
              <w:rPr>
                <w:sz w:val="18"/>
                <w:szCs w:val="18"/>
              </w:rPr>
              <w:t>ч. 4 ст. 14.28 КоАП РФ</w:t>
            </w:r>
          </w:p>
          <w:p w:rsidR="0055491A" w:rsidRPr="0074431B" w:rsidRDefault="0055491A" w:rsidP="00210BF6">
            <w:pPr>
              <w:jc w:val="center"/>
              <w:rPr>
                <w:sz w:val="18"/>
                <w:szCs w:val="18"/>
              </w:rPr>
            </w:pPr>
          </w:p>
        </w:tc>
        <w:tc>
          <w:tcPr>
            <w:tcW w:w="1064" w:type="dxa"/>
            <w:tcBorders>
              <w:top w:val="single" w:sz="4" w:space="0" w:color="auto"/>
              <w:left w:val="single" w:sz="4" w:space="0" w:color="auto"/>
              <w:bottom w:val="single" w:sz="4" w:space="0" w:color="auto"/>
              <w:right w:val="single" w:sz="4" w:space="0" w:color="auto"/>
            </w:tcBorders>
            <w:shd w:val="clear" w:color="auto" w:fill="auto"/>
            <w:vAlign w:val="bottom"/>
          </w:tcPr>
          <w:p w:rsidR="0055491A" w:rsidRPr="0074431B" w:rsidRDefault="0055491A" w:rsidP="00210BF6">
            <w:pPr>
              <w:jc w:val="center"/>
              <w:rPr>
                <w:bCs/>
              </w:rPr>
            </w:pPr>
            <w:r w:rsidRPr="0074431B">
              <w:rPr>
                <w:bCs/>
              </w:rPr>
              <w:t>15</w:t>
            </w:r>
          </w:p>
        </w:tc>
        <w:tc>
          <w:tcPr>
            <w:tcW w:w="1124" w:type="dxa"/>
            <w:tcBorders>
              <w:top w:val="single" w:sz="4" w:space="0" w:color="auto"/>
              <w:left w:val="single" w:sz="4" w:space="0" w:color="auto"/>
              <w:bottom w:val="single" w:sz="4" w:space="0" w:color="auto"/>
              <w:right w:val="single" w:sz="4" w:space="0" w:color="auto"/>
            </w:tcBorders>
            <w:shd w:val="clear" w:color="auto" w:fill="auto"/>
            <w:vAlign w:val="bottom"/>
          </w:tcPr>
          <w:p w:rsidR="0055491A" w:rsidRPr="0074431B" w:rsidRDefault="0055491A" w:rsidP="00210BF6">
            <w:pPr>
              <w:jc w:val="center"/>
              <w:rPr>
                <w:bCs/>
              </w:rPr>
            </w:pPr>
            <w:r w:rsidRPr="0074431B">
              <w:rPr>
                <w:bCs/>
              </w:rPr>
              <w:t>1</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bottom"/>
          </w:tcPr>
          <w:p w:rsidR="0055491A" w:rsidRPr="0074431B" w:rsidRDefault="0055491A" w:rsidP="00210BF6">
            <w:pPr>
              <w:jc w:val="center"/>
              <w:rPr>
                <w:bCs/>
              </w:rPr>
            </w:pPr>
            <w:r w:rsidRPr="0074431B">
              <w:rPr>
                <w:bCs/>
              </w:rPr>
              <w:t>15,0</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bottom"/>
          </w:tcPr>
          <w:p w:rsidR="0055491A" w:rsidRPr="0074431B" w:rsidRDefault="0055491A" w:rsidP="00210BF6">
            <w:pPr>
              <w:jc w:val="center"/>
              <w:rPr>
                <w:bCs/>
              </w:rPr>
            </w:pPr>
            <w:r w:rsidRPr="0074431B">
              <w:rPr>
                <w:bCs/>
              </w:rPr>
              <w:t>1</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bottom"/>
          </w:tcPr>
          <w:p w:rsidR="0055491A" w:rsidRPr="0074431B" w:rsidRDefault="0055491A" w:rsidP="00210BF6">
            <w:pPr>
              <w:jc w:val="center"/>
              <w:rPr>
                <w:bCs/>
              </w:rPr>
            </w:pPr>
            <w:r w:rsidRPr="0074431B">
              <w:rPr>
                <w:bCs/>
              </w:rPr>
              <w:t>15,0</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bottom"/>
          </w:tcPr>
          <w:p w:rsidR="0055491A" w:rsidRPr="0074431B" w:rsidRDefault="0055491A" w:rsidP="00210BF6">
            <w:pPr>
              <w:jc w:val="center"/>
              <w:rPr>
                <w:bCs/>
              </w:rPr>
            </w:pPr>
            <w:r w:rsidRPr="0074431B">
              <w:rPr>
                <w:bCs/>
              </w:rPr>
              <w:t>1</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bottom"/>
          </w:tcPr>
          <w:p w:rsidR="0055491A" w:rsidRPr="0074431B" w:rsidRDefault="0055491A" w:rsidP="00210BF6">
            <w:pPr>
              <w:jc w:val="center"/>
              <w:rPr>
                <w:bCs/>
              </w:rPr>
            </w:pPr>
            <w:r w:rsidRPr="0074431B">
              <w:rPr>
                <w:bCs/>
              </w:rPr>
              <w:t>15,0</w:t>
            </w:r>
          </w:p>
        </w:tc>
      </w:tr>
      <w:tr w:rsidR="0055491A" w:rsidRPr="00160899" w:rsidTr="00210BF6">
        <w:trPr>
          <w:trHeight w:val="318"/>
        </w:trPr>
        <w:tc>
          <w:tcPr>
            <w:tcW w:w="1560" w:type="dxa"/>
            <w:vMerge/>
            <w:tcBorders>
              <w:left w:val="single" w:sz="4" w:space="0" w:color="auto"/>
              <w:bottom w:val="single" w:sz="4" w:space="0" w:color="auto"/>
              <w:right w:val="single" w:sz="4" w:space="0" w:color="auto"/>
            </w:tcBorders>
            <w:shd w:val="clear" w:color="auto" w:fill="auto"/>
            <w:vAlign w:val="center"/>
            <w:hideMark/>
          </w:tcPr>
          <w:p w:rsidR="0055491A" w:rsidRPr="0074431B" w:rsidRDefault="0055491A" w:rsidP="00210BF6">
            <w:pPr>
              <w:jc w:val="center"/>
              <w:rPr>
                <w:sz w:val="18"/>
                <w:szCs w:val="18"/>
              </w:rPr>
            </w:pPr>
          </w:p>
        </w:tc>
        <w:tc>
          <w:tcPr>
            <w:tcW w:w="10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491A" w:rsidRPr="0074431B" w:rsidRDefault="0055491A" w:rsidP="00210BF6">
            <w:pPr>
              <w:jc w:val="center"/>
              <w:rPr>
                <w:bCs/>
              </w:rPr>
            </w:pPr>
            <w:r w:rsidRPr="0074431B">
              <w:rPr>
                <w:bCs/>
              </w:rPr>
              <w:t>50</w:t>
            </w:r>
          </w:p>
        </w:tc>
        <w:tc>
          <w:tcPr>
            <w:tcW w:w="1124" w:type="dxa"/>
            <w:tcBorders>
              <w:top w:val="single" w:sz="4" w:space="0" w:color="auto"/>
              <w:left w:val="single" w:sz="4" w:space="0" w:color="auto"/>
              <w:bottom w:val="single" w:sz="4" w:space="0" w:color="auto"/>
              <w:right w:val="single" w:sz="4" w:space="0" w:color="auto"/>
            </w:tcBorders>
            <w:shd w:val="clear" w:color="auto" w:fill="auto"/>
            <w:vAlign w:val="bottom"/>
          </w:tcPr>
          <w:p w:rsidR="0055491A" w:rsidRPr="0074431B" w:rsidRDefault="0055491A" w:rsidP="00210BF6">
            <w:pPr>
              <w:jc w:val="center"/>
              <w:rPr>
                <w:bCs/>
              </w:rPr>
            </w:pPr>
            <w:r w:rsidRPr="0074431B">
              <w:rPr>
                <w:bCs/>
              </w:rPr>
              <w:t>1</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bottom"/>
          </w:tcPr>
          <w:p w:rsidR="0055491A" w:rsidRPr="0074431B" w:rsidRDefault="0055491A" w:rsidP="00210BF6">
            <w:pPr>
              <w:jc w:val="center"/>
              <w:rPr>
                <w:bCs/>
              </w:rPr>
            </w:pPr>
            <w:r w:rsidRPr="0074431B">
              <w:rPr>
                <w:bCs/>
              </w:rPr>
              <w:t>50,0</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bottom"/>
          </w:tcPr>
          <w:p w:rsidR="0055491A" w:rsidRPr="0074431B" w:rsidRDefault="0055491A" w:rsidP="00210BF6">
            <w:pPr>
              <w:jc w:val="center"/>
              <w:rPr>
                <w:bCs/>
              </w:rPr>
            </w:pPr>
            <w:r w:rsidRPr="0074431B">
              <w:rPr>
                <w:bCs/>
              </w:rPr>
              <w:t>1</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bottom"/>
          </w:tcPr>
          <w:p w:rsidR="0055491A" w:rsidRPr="0074431B" w:rsidRDefault="0055491A" w:rsidP="00210BF6">
            <w:pPr>
              <w:jc w:val="center"/>
              <w:rPr>
                <w:bCs/>
              </w:rPr>
            </w:pPr>
            <w:r w:rsidRPr="0074431B">
              <w:rPr>
                <w:bCs/>
              </w:rPr>
              <w:t>50,0</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bottom"/>
          </w:tcPr>
          <w:p w:rsidR="0055491A" w:rsidRPr="0074431B" w:rsidRDefault="0055491A" w:rsidP="00210BF6">
            <w:pPr>
              <w:jc w:val="center"/>
              <w:rPr>
                <w:bCs/>
              </w:rPr>
            </w:pPr>
            <w:r w:rsidRPr="0074431B">
              <w:rPr>
                <w:bCs/>
              </w:rPr>
              <w:t>1</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bottom"/>
          </w:tcPr>
          <w:p w:rsidR="0055491A" w:rsidRPr="0074431B" w:rsidRDefault="0055491A" w:rsidP="00210BF6">
            <w:pPr>
              <w:jc w:val="center"/>
              <w:rPr>
                <w:bCs/>
              </w:rPr>
            </w:pPr>
            <w:r w:rsidRPr="0074431B">
              <w:rPr>
                <w:bCs/>
              </w:rPr>
              <w:t>50,0</w:t>
            </w:r>
          </w:p>
        </w:tc>
      </w:tr>
      <w:tr w:rsidR="0055491A" w:rsidRPr="00160899" w:rsidTr="00210BF6">
        <w:trPr>
          <w:trHeight w:val="318"/>
        </w:trPr>
        <w:tc>
          <w:tcPr>
            <w:tcW w:w="1560" w:type="dxa"/>
            <w:vMerge/>
            <w:tcBorders>
              <w:left w:val="single" w:sz="4" w:space="0" w:color="auto"/>
              <w:bottom w:val="single" w:sz="4" w:space="0" w:color="auto"/>
              <w:right w:val="single" w:sz="4" w:space="0" w:color="auto"/>
            </w:tcBorders>
            <w:shd w:val="clear" w:color="auto" w:fill="auto"/>
            <w:vAlign w:val="center"/>
          </w:tcPr>
          <w:p w:rsidR="0055491A" w:rsidRPr="0074431B" w:rsidRDefault="0055491A" w:rsidP="00210BF6">
            <w:pPr>
              <w:jc w:val="center"/>
              <w:rPr>
                <w:sz w:val="18"/>
                <w:szCs w:val="18"/>
              </w:rPr>
            </w:pPr>
          </w:p>
        </w:tc>
        <w:tc>
          <w:tcPr>
            <w:tcW w:w="1064" w:type="dxa"/>
            <w:tcBorders>
              <w:top w:val="single" w:sz="4" w:space="0" w:color="auto"/>
              <w:left w:val="nil"/>
              <w:bottom w:val="single" w:sz="8" w:space="0" w:color="000000"/>
              <w:right w:val="single" w:sz="8" w:space="0" w:color="000000"/>
            </w:tcBorders>
            <w:shd w:val="clear" w:color="auto" w:fill="auto"/>
            <w:vAlign w:val="bottom"/>
          </w:tcPr>
          <w:p w:rsidR="0055491A" w:rsidRPr="0074431B" w:rsidRDefault="0055491A" w:rsidP="00210BF6">
            <w:pPr>
              <w:jc w:val="center"/>
              <w:rPr>
                <w:bCs/>
              </w:rPr>
            </w:pPr>
            <w:r w:rsidRPr="0074431B">
              <w:rPr>
                <w:bCs/>
              </w:rPr>
              <w:t>100</w:t>
            </w:r>
          </w:p>
        </w:tc>
        <w:tc>
          <w:tcPr>
            <w:tcW w:w="1124" w:type="dxa"/>
            <w:tcBorders>
              <w:top w:val="single" w:sz="4" w:space="0" w:color="auto"/>
              <w:left w:val="nil"/>
              <w:bottom w:val="single" w:sz="8" w:space="0" w:color="000000"/>
              <w:right w:val="single" w:sz="8" w:space="0" w:color="000000"/>
            </w:tcBorders>
            <w:shd w:val="clear" w:color="auto" w:fill="auto"/>
            <w:vAlign w:val="bottom"/>
          </w:tcPr>
          <w:p w:rsidR="0055491A" w:rsidRPr="0074431B" w:rsidRDefault="0055491A" w:rsidP="00210BF6">
            <w:pPr>
              <w:jc w:val="center"/>
              <w:rPr>
                <w:bCs/>
              </w:rPr>
            </w:pPr>
            <w:r w:rsidRPr="0074431B">
              <w:rPr>
                <w:bCs/>
              </w:rPr>
              <w:t>1</w:t>
            </w:r>
          </w:p>
        </w:tc>
        <w:tc>
          <w:tcPr>
            <w:tcW w:w="1125" w:type="dxa"/>
            <w:tcBorders>
              <w:top w:val="single" w:sz="4" w:space="0" w:color="auto"/>
              <w:left w:val="nil"/>
              <w:bottom w:val="single" w:sz="8" w:space="0" w:color="000000"/>
              <w:right w:val="single" w:sz="8" w:space="0" w:color="000000"/>
            </w:tcBorders>
            <w:shd w:val="clear" w:color="auto" w:fill="auto"/>
            <w:vAlign w:val="bottom"/>
          </w:tcPr>
          <w:p w:rsidR="0055491A" w:rsidRPr="0074431B" w:rsidRDefault="0055491A" w:rsidP="00210BF6">
            <w:pPr>
              <w:jc w:val="center"/>
              <w:rPr>
                <w:bCs/>
              </w:rPr>
            </w:pPr>
            <w:r w:rsidRPr="0074431B">
              <w:rPr>
                <w:bCs/>
              </w:rPr>
              <w:t>100,0</w:t>
            </w:r>
          </w:p>
        </w:tc>
        <w:tc>
          <w:tcPr>
            <w:tcW w:w="1125" w:type="dxa"/>
            <w:tcBorders>
              <w:top w:val="single" w:sz="4" w:space="0" w:color="auto"/>
              <w:left w:val="nil"/>
              <w:bottom w:val="single" w:sz="8" w:space="0" w:color="000000"/>
              <w:right w:val="single" w:sz="8" w:space="0" w:color="000000"/>
            </w:tcBorders>
            <w:shd w:val="clear" w:color="auto" w:fill="auto"/>
            <w:vAlign w:val="bottom"/>
          </w:tcPr>
          <w:p w:rsidR="0055491A" w:rsidRPr="0074431B" w:rsidRDefault="0055491A" w:rsidP="00210BF6">
            <w:pPr>
              <w:jc w:val="center"/>
              <w:rPr>
                <w:bCs/>
              </w:rPr>
            </w:pPr>
            <w:r w:rsidRPr="0074431B">
              <w:rPr>
                <w:bCs/>
              </w:rPr>
              <w:t>1</w:t>
            </w:r>
          </w:p>
        </w:tc>
        <w:tc>
          <w:tcPr>
            <w:tcW w:w="1125" w:type="dxa"/>
            <w:tcBorders>
              <w:top w:val="single" w:sz="4" w:space="0" w:color="auto"/>
              <w:left w:val="nil"/>
              <w:bottom w:val="single" w:sz="8" w:space="0" w:color="000000"/>
              <w:right w:val="single" w:sz="8" w:space="0" w:color="000000"/>
            </w:tcBorders>
            <w:shd w:val="clear" w:color="auto" w:fill="auto"/>
            <w:vAlign w:val="bottom"/>
          </w:tcPr>
          <w:p w:rsidR="0055491A" w:rsidRPr="0074431B" w:rsidRDefault="0055491A" w:rsidP="00210BF6">
            <w:pPr>
              <w:jc w:val="center"/>
              <w:rPr>
                <w:bCs/>
              </w:rPr>
            </w:pPr>
            <w:r w:rsidRPr="0074431B">
              <w:rPr>
                <w:bCs/>
              </w:rPr>
              <w:t>100,0</w:t>
            </w:r>
          </w:p>
        </w:tc>
        <w:tc>
          <w:tcPr>
            <w:tcW w:w="1125" w:type="dxa"/>
            <w:tcBorders>
              <w:top w:val="single" w:sz="4" w:space="0" w:color="auto"/>
              <w:left w:val="nil"/>
              <w:bottom w:val="single" w:sz="8" w:space="0" w:color="000000"/>
              <w:right w:val="single" w:sz="8" w:space="0" w:color="000000"/>
            </w:tcBorders>
            <w:shd w:val="clear" w:color="auto" w:fill="auto"/>
            <w:vAlign w:val="bottom"/>
          </w:tcPr>
          <w:p w:rsidR="0055491A" w:rsidRPr="0074431B" w:rsidRDefault="0055491A" w:rsidP="00210BF6">
            <w:pPr>
              <w:jc w:val="center"/>
              <w:rPr>
                <w:bCs/>
              </w:rPr>
            </w:pPr>
            <w:r w:rsidRPr="0074431B">
              <w:rPr>
                <w:bCs/>
              </w:rPr>
              <w:t>1</w:t>
            </w:r>
          </w:p>
        </w:tc>
        <w:tc>
          <w:tcPr>
            <w:tcW w:w="1125" w:type="dxa"/>
            <w:tcBorders>
              <w:top w:val="single" w:sz="4" w:space="0" w:color="auto"/>
              <w:left w:val="nil"/>
              <w:bottom w:val="single" w:sz="8" w:space="0" w:color="000000"/>
              <w:right w:val="single" w:sz="8" w:space="0" w:color="000000"/>
            </w:tcBorders>
            <w:shd w:val="clear" w:color="auto" w:fill="auto"/>
            <w:vAlign w:val="bottom"/>
          </w:tcPr>
          <w:p w:rsidR="0055491A" w:rsidRPr="0074431B" w:rsidRDefault="0055491A" w:rsidP="00210BF6">
            <w:pPr>
              <w:jc w:val="center"/>
              <w:rPr>
                <w:bCs/>
              </w:rPr>
            </w:pPr>
            <w:r w:rsidRPr="0074431B">
              <w:rPr>
                <w:bCs/>
              </w:rPr>
              <w:t>100,0</w:t>
            </w:r>
          </w:p>
        </w:tc>
      </w:tr>
      <w:tr w:rsidR="0055491A" w:rsidRPr="006F2477" w:rsidTr="00210BF6">
        <w:trPr>
          <w:trHeight w:val="318"/>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1A" w:rsidRPr="0074431B" w:rsidRDefault="0055491A" w:rsidP="00210BF6">
            <w:pPr>
              <w:jc w:val="center"/>
              <w:rPr>
                <w:sz w:val="18"/>
                <w:szCs w:val="18"/>
              </w:rPr>
            </w:pPr>
            <w:r w:rsidRPr="00F80477">
              <w:rPr>
                <w:b/>
                <w:bCs/>
              </w:rPr>
              <w:t>ИТОГО</w:t>
            </w:r>
          </w:p>
        </w:tc>
        <w:tc>
          <w:tcPr>
            <w:tcW w:w="1064" w:type="dxa"/>
            <w:tcBorders>
              <w:top w:val="single" w:sz="4" w:space="0" w:color="auto"/>
              <w:left w:val="nil"/>
              <w:bottom w:val="single" w:sz="8" w:space="0" w:color="000000"/>
              <w:right w:val="single" w:sz="8" w:space="0" w:color="000000"/>
            </w:tcBorders>
            <w:shd w:val="clear" w:color="auto" w:fill="auto"/>
            <w:vAlign w:val="center"/>
            <w:hideMark/>
          </w:tcPr>
          <w:p w:rsidR="0055491A" w:rsidRPr="0074431B" w:rsidRDefault="0055491A" w:rsidP="00210BF6">
            <w:pPr>
              <w:jc w:val="center"/>
              <w:rPr>
                <w:bCs/>
              </w:rPr>
            </w:pPr>
          </w:p>
        </w:tc>
        <w:tc>
          <w:tcPr>
            <w:tcW w:w="1124" w:type="dxa"/>
            <w:tcBorders>
              <w:top w:val="single" w:sz="4" w:space="0" w:color="auto"/>
              <w:left w:val="nil"/>
              <w:bottom w:val="single" w:sz="8" w:space="0" w:color="000000"/>
              <w:right w:val="single" w:sz="8" w:space="0" w:color="000000"/>
            </w:tcBorders>
            <w:shd w:val="clear" w:color="auto" w:fill="auto"/>
            <w:vAlign w:val="center"/>
            <w:hideMark/>
          </w:tcPr>
          <w:p w:rsidR="0055491A" w:rsidRPr="0074431B" w:rsidRDefault="0055491A" w:rsidP="00210BF6">
            <w:pPr>
              <w:jc w:val="center"/>
              <w:rPr>
                <w:bCs/>
              </w:rPr>
            </w:pPr>
          </w:p>
        </w:tc>
        <w:tc>
          <w:tcPr>
            <w:tcW w:w="1125" w:type="dxa"/>
            <w:tcBorders>
              <w:top w:val="single" w:sz="4" w:space="0" w:color="auto"/>
              <w:left w:val="nil"/>
              <w:bottom w:val="single" w:sz="8" w:space="0" w:color="000000"/>
              <w:right w:val="single" w:sz="8" w:space="0" w:color="000000"/>
            </w:tcBorders>
            <w:shd w:val="clear" w:color="auto" w:fill="auto"/>
            <w:vAlign w:val="center"/>
            <w:hideMark/>
          </w:tcPr>
          <w:p w:rsidR="0055491A" w:rsidRPr="0074431B" w:rsidRDefault="0055491A" w:rsidP="00210BF6">
            <w:pPr>
              <w:jc w:val="center"/>
              <w:rPr>
                <w:b/>
                <w:bCs/>
              </w:rPr>
            </w:pPr>
            <w:r w:rsidRPr="0074431B">
              <w:rPr>
                <w:b/>
                <w:bCs/>
              </w:rPr>
              <w:t>1</w:t>
            </w:r>
            <w:r>
              <w:rPr>
                <w:b/>
                <w:bCs/>
              </w:rPr>
              <w:t xml:space="preserve"> </w:t>
            </w:r>
            <w:r w:rsidRPr="0074431B">
              <w:rPr>
                <w:b/>
                <w:bCs/>
              </w:rPr>
              <w:t>061,0</w:t>
            </w:r>
          </w:p>
        </w:tc>
        <w:tc>
          <w:tcPr>
            <w:tcW w:w="1125" w:type="dxa"/>
            <w:tcBorders>
              <w:top w:val="single" w:sz="4" w:space="0" w:color="auto"/>
              <w:left w:val="nil"/>
              <w:bottom w:val="single" w:sz="8" w:space="0" w:color="000000"/>
              <w:right w:val="single" w:sz="8" w:space="0" w:color="000000"/>
            </w:tcBorders>
            <w:shd w:val="clear" w:color="auto" w:fill="auto"/>
            <w:vAlign w:val="center"/>
            <w:hideMark/>
          </w:tcPr>
          <w:p w:rsidR="0055491A" w:rsidRPr="0074431B" w:rsidRDefault="0055491A" w:rsidP="00210BF6">
            <w:pPr>
              <w:jc w:val="center"/>
              <w:rPr>
                <w:b/>
                <w:bCs/>
              </w:rPr>
            </w:pPr>
          </w:p>
        </w:tc>
        <w:tc>
          <w:tcPr>
            <w:tcW w:w="1125" w:type="dxa"/>
            <w:tcBorders>
              <w:top w:val="single" w:sz="4" w:space="0" w:color="auto"/>
              <w:left w:val="nil"/>
              <w:bottom w:val="single" w:sz="8" w:space="0" w:color="000000"/>
              <w:right w:val="single" w:sz="8" w:space="0" w:color="000000"/>
            </w:tcBorders>
            <w:shd w:val="clear" w:color="auto" w:fill="auto"/>
            <w:vAlign w:val="center"/>
            <w:hideMark/>
          </w:tcPr>
          <w:p w:rsidR="0055491A" w:rsidRPr="0074431B" w:rsidRDefault="0055491A" w:rsidP="00210BF6">
            <w:pPr>
              <w:jc w:val="center"/>
              <w:rPr>
                <w:b/>
                <w:bCs/>
              </w:rPr>
            </w:pPr>
            <w:r w:rsidRPr="0074431B">
              <w:rPr>
                <w:b/>
                <w:bCs/>
              </w:rPr>
              <w:t>854,0</w:t>
            </w:r>
          </w:p>
        </w:tc>
        <w:tc>
          <w:tcPr>
            <w:tcW w:w="1125" w:type="dxa"/>
            <w:tcBorders>
              <w:top w:val="single" w:sz="4" w:space="0" w:color="auto"/>
              <w:left w:val="nil"/>
              <w:bottom w:val="single" w:sz="8" w:space="0" w:color="000000"/>
              <w:right w:val="single" w:sz="8" w:space="0" w:color="000000"/>
            </w:tcBorders>
            <w:shd w:val="clear" w:color="auto" w:fill="auto"/>
            <w:vAlign w:val="center"/>
            <w:hideMark/>
          </w:tcPr>
          <w:p w:rsidR="0055491A" w:rsidRPr="0074431B" w:rsidRDefault="0055491A" w:rsidP="00210BF6">
            <w:pPr>
              <w:jc w:val="center"/>
              <w:rPr>
                <w:b/>
                <w:bCs/>
              </w:rPr>
            </w:pPr>
          </w:p>
        </w:tc>
        <w:tc>
          <w:tcPr>
            <w:tcW w:w="1125" w:type="dxa"/>
            <w:tcBorders>
              <w:top w:val="single" w:sz="4" w:space="0" w:color="auto"/>
              <w:left w:val="nil"/>
              <w:bottom w:val="single" w:sz="8" w:space="0" w:color="000000"/>
              <w:right w:val="single" w:sz="8" w:space="0" w:color="000000"/>
            </w:tcBorders>
            <w:shd w:val="clear" w:color="auto" w:fill="auto"/>
            <w:vAlign w:val="center"/>
            <w:hideMark/>
          </w:tcPr>
          <w:p w:rsidR="0055491A" w:rsidRPr="0074431B" w:rsidRDefault="0055491A" w:rsidP="00210BF6">
            <w:pPr>
              <w:jc w:val="center"/>
              <w:rPr>
                <w:b/>
                <w:bCs/>
              </w:rPr>
            </w:pPr>
            <w:r w:rsidRPr="0074431B">
              <w:rPr>
                <w:b/>
                <w:bCs/>
              </w:rPr>
              <w:t>904,0</w:t>
            </w:r>
          </w:p>
        </w:tc>
      </w:tr>
    </w:tbl>
    <w:p w:rsidR="0055491A" w:rsidRDefault="0055491A" w:rsidP="0055491A">
      <w:pPr>
        <w:pStyle w:val="a7"/>
        <w:spacing w:after="0"/>
        <w:ind w:left="0" w:firstLine="709"/>
        <w:jc w:val="both"/>
        <w:rPr>
          <w:sz w:val="28"/>
          <w:szCs w:val="28"/>
        </w:rPr>
      </w:pPr>
    </w:p>
    <w:p w:rsidR="0055491A" w:rsidRPr="00A70077" w:rsidRDefault="0055491A" w:rsidP="0055491A">
      <w:pPr>
        <w:ind w:firstLine="709"/>
        <w:jc w:val="both"/>
        <w:rPr>
          <w:b/>
          <w:sz w:val="28"/>
          <w:szCs w:val="28"/>
        </w:rPr>
      </w:pPr>
      <w:r w:rsidRPr="00A70077">
        <w:rPr>
          <w:b/>
          <w:sz w:val="28"/>
          <w:szCs w:val="28"/>
        </w:rPr>
        <w:t>Прогноз доходов на 2022 год – 1 061,0 тыс. руб.,                                                              на 2023 год – 854,0 тыс. руб., на 2024 год – 904,0 тыс. руб.</w:t>
      </w:r>
    </w:p>
    <w:p w:rsidR="0055491A" w:rsidRPr="00A70077" w:rsidRDefault="0055491A" w:rsidP="0055491A">
      <w:pPr>
        <w:ind w:firstLine="709"/>
        <w:jc w:val="both"/>
        <w:rPr>
          <w:b/>
          <w:sz w:val="28"/>
          <w:szCs w:val="28"/>
        </w:rPr>
      </w:pPr>
    </w:p>
    <w:p w:rsidR="0055491A" w:rsidRDefault="0055491A" w:rsidP="0055491A">
      <w:pPr>
        <w:pStyle w:val="a7"/>
        <w:spacing w:after="0"/>
        <w:ind w:left="0" w:firstLine="709"/>
        <w:jc w:val="both"/>
        <w:rPr>
          <w:sz w:val="28"/>
          <w:szCs w:val="28"/>
        </w:rPr>
      </w:pPr>
      <w:r w:rsidRPr="00A70077">
        <w:rPr>
          <w:sz w:val="28"/>
          <w:szCs w:val="28"/>
        </w:rPr>
        <w:t xml:space="preserve">10.5 </w:t>
      </w:r>
      <w:r w:rsidRPr="00A70077">
        <w:rPr>
          <w:b/>
          <w:sz w:val="28"/>
          <w:szCs w:val="28"/>
        </w:rPr>
        <w:t>КБК 104 1 16 01143 01 0000 140</w:t>
      </w:r>
      <w:r>
        <w:rPr>
          <w:sz w:val="28"/>
          <w:szCs w:val="28"/>
        </w:rPr>
        <w:t xml:space="preserve"> </w:t>
      </w:r>
      <w:r w:rsidRPr="00E938A1">
        <w:rPr>
          <w:sz w:val="28"/>
          <w:szCs w:val="28"/>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r>
        <w:rPr>
          <w:sz w:val="28"/>
          <w:szCs w:val="28"/>
        </w:rPr>
        <w:t>.</w:t>
      </w:r>
    </w:p>
    <w:p w:rsidR="0055491A" w:rsidRPr="00A70077" w:rsidRDefault="0055491A" w:rsidP="0055491A">
      <w:pPr>
        <w:pStyle w:val="a7"/>
        <w:spacing w:after="0"/>
        <w:ind w:left="0" w:firstLine="709"/>
        <w:jc w:val="both"/>
        <w:rPr>
          <w:b/>
          <w:sz w:val="28"/>
          <w:szCs w:val="28"/>
        </w:rPr>
      </w:pPr>
      <w:r w:rsidRPr="00A70077">
        <w:rPr>
          <w:b/>
          <w:sz w:val="28"/>
          <w:szCs w:val="28"/>
        </w:rPr>
        <w:t>Главный администратор доходов – Министерство транспорта Тверской области.</w:t>
      </w:r>
    </w:p>
    <w:p w:rsidR="0055491A" w:rsidRDefault="0055491A" w:rsidP="0055491A">
      <w:pPr>
        <w:autoSpaceDE w:val="0"/>
        <w:autoSpaceDN w:val="0"/>
        <w:adjustRightInd w:val="0"/>
        <w:ind w:firstLine="709"/>
        <w:jc w:val="both"/>
        <w:rPr>
          <w:color w:val="000000"/>
          <w:sz w:val="28"/>
          <w:szCs w:val="28"/>
        </w:rPr>
      </w:pPr>
      <w:r>
        <w:rPr>
          <w:sz w:val="28"/>
          <w:szCs w:val="28"/>
        </w:rPr>
        <w:t>Прогнозирование поступлений на 2022-2024 гг.</w:t>
      </w:r>
      <w:r w:rsidRPr="00B72D6B">
        <w:rPr>
          <w:sz w:val="28"/>
          <w:szCs w:val="28"/>
        </w:rPr>
        <w:t xml:space="preserve"> осуществляется методом прямого расчета</w:t>
      </w:r>
      <w:r>
        <w:rPr>
          <w:sz w:val="28"/>
          <w:szCs w:val="28"/>
        </w:rPr>
        <w:t xml:space="preserve"> исходя из </w:t>
      </w:r>
      <w:r w:rsidRPr="00B72D6B">
        <w:rPr>
          <w:color w:val="000000"/>
          <w:sz w:val="28"/>
          <w:szCs w:val="28"/>
        </w:rPr>
        <w:t>средне</w:t>
      </w:r>
      <w:r>
        <w:rPr>
          <w:color w:val="000000"/>
          <w:sz w:val="28"/>
          <w:szCs w:val="28"/>
        </w:rPr>
        <w:t>го ко</w:t>
      </w:r>
      <w:r w:rsidRPr="00B72D6B">
        <w:rPr>
          <w:color w:val="000000"/>
          <w:sz w:val="28"/>
          <w:szCs w:val="28"/>
        </w:rPr>
        <w:t>личеств</w:t>
      </w:r>
      <w:r>
        <w:rPr>
          <w:color w:val="000000"/>
          <w:sz w:val="28"/>
          <w:szCs w:val="28"/>
        </w:rPr>
        <w:t>а</w:t>
      </w:r>
      <w:r w:rsidRPr="00B72D6B">
        <w:rPr>
          <w:color w:val="000000"/>
          <w:sz w:val="28"/>
          <w:szCs w:val="28"/>
        </w:rPr>
        <w:t xml:space="preserve"> </w:t>
      </w:r>
      <w:r>
        <w:rPr>
          <w:color w:val="000000"/>
          <w:sz w:val="28"/>
          <w:szCs w:val="28"/>
        </w:rPr>
        <w:t xml:space="preserve">административных штрафов, предусмотренных </w:t>
      </w:r>
      <w:r w:rsidRPr="00FE0004">
        <w:rPr>
          <w:sz w:val="28"/>
          <w:szCs w:val="28"/>
        </w:rPr>
        <w:t xml:space="preserve">статьей 14.1 </w:t>
      </w:r>
      <w:r>
        <w:rPr>
          <w:sz w:val="28"/>
          <w:szCs w:val="28"/>
        </w:rPr>
        <w:t>КоАП</w:t>
      </w:r>
      <w:r>
        <w:rPr>
          <w:color w:val="000000"/>
          <w:sz w:val="28"/>
          <w:szCs w:val="28"/>
        </w:rPr>
        <w:t xml:space="preserve"> за о</w:t>
      </w:r>
      <w:r w:rsidRPr="00630FAC">
        <w:rPr>
          <w:color w:val="000000"/>
          <w:sz w:val="28"/>
          <w:szCs w:val="28"/>
        </w:rPr>
        <w:t>существление предпринимательской деятельности без государственной регистрации или без специального разрешения (лицензии)</w:t>
      </w:r>
      <w:r>
        <w:rPr>
          <w:color w:val="000000"/>
          <w:sz w:val="28"/>
          <w:szCs w:val="28"/>
        </w:rPr>
        <w:t xml:space="preserve"> за период 2018-2020 гг.</w:t>
      </w:r>
      <w:r w:rsidRPr="00B72D6B">
        <w:rPr>
          <w:color w:val="000000"/>
          <w:sz w:val="28"/>
          <w:szCs w:val="28"/>
        </w:rPr>
        <w:t xml:space="preserve"> </w:t>
      </w:r>
      <w:r>
        <w:rPr>
          <w:color w:val="000000"/>
          <w:sz w:val="28"/>
          <w:szCs w:val="28"/>
        </w:rPr>
        <w:t xml:space="preserve">и </w:t>
      </w:r>
      <w:r w:rsidRPr="00B72D6B">
        <w:rPr>
          <w:color w:val="000000"/>
          <w:sz w:val="28"/>
          <w:szCs w:val="28"/>
        </w:rPr>
        <w:t>размер</w:t>
      </w:r>
      <w:r>
        <w:rPr>
          <w:color w:val="000000"/>
          <w:sz w:val="28"/>
          <w:szCs w:val="28"/>
        </w:rPr>
        <w:t>а</w:t>
      </w:r>
      <w:r w:rsidRPr="00B72D6B">
        <w:rPr>
          <w:color w:val="000000"/>
          <w:sz w:val="28"/>
          <w:szCs w:val="28"/>
        </w:rPr>
        <w:t xml:space="preserve"> </w:t>
      </w:r>
      <w:r>
        <w:rPr>
          <w:color w:val="000000"/>
          <w:sz w:val="28"/>
          <w:szCs w:val="28"/>
        </w:rPr>
        <w:t>наиболее часто налагаемого</w:t>
      </w:r>
      <w:r w:rsidRPr="00B72D6B">
        <w:rPr>
          <w:color w:val="000000"/>
          <w:sz w:val="28"/>
          <w:szCs w:val="28"/>
        </w:rPr>
        <w:t xml:space="preserve"> </w:t>
      </w:r>
      <w:r>
        <w:rPr>
          <w:color w:val="000000"/>
          <w:sz w:val="28"/>
          <w:szCs w:val="28"/>
        </w:rPr>
        <w:t>административного штрафа</w:t>
      </w:r>
      <w:r w:rsidRPr="00B72D6B">
        <w:rPr>
          <w:color w:val="000000"/>
          <w:sz w:val="28"/>
          <w:szCs w:val="28"/>
        </w:rPr>
        <w:t>, установленного Ко</w:t>
      </w:r>
      <w:r>
        <w:rPr>
          <w:color w:val="000000"/>
          <w:sz w:val="28"/>
          <w:szCs w:val="28"/>
        </w:rPr>
        <w:t>АП РФ.</w:t>
      </w:r>
    </w:p>
    <w:p w:rsidR="0055491A" w:rsidRDefault="0055491A" w:rsidP="0055491A">
      <w:pPr>
        <w:autoSpaceDE w:val="0"/>
        <w:autoSpaceDN w:val="0"/>
        <w:adjustRightInd w:val="0"/>
        <w:ind w:firstLine="709"/>
        <w:jc w:val="both"/>
        <w:rPr>
          <w:color w:val="000000"/>
          <w:sz w:val="28"/>
          <w:szCs w:val="28"/>
        </w:rPr>
      </w:pPr>
      <w:r>
        <w:rPr>
          <w:color w:val="000000"/>
          <w:sz w:val="28"/>
          <w:szCs w:val="28"/>
        </w:rPr>
        <w:t>Норматив зачисления в областной бюджет Тверской области – 50%.</w:t>
      </w:r>
    </w:p>
    <w:p w:rsidR="0055491A" w:rsidRDefault="0055491A" w:rsidP="0055491A">
      <w:pPr>
        <w:autoSpaceDE w:val="0"/>
        <w:autoSpaceDN w:val="0"/>
        <w:adjustRightInd w:val="0"/>
        <w:ind w:firstLine="709"/>
        <w:jc w:val="both"/>
        <w:rPr>
          <w:color w:val="000000"/>
          <w:sz w:val="28"/>
          <w:szCs w:val="28"/>
        </w:rPr>
      </w:pPr>
    </w:p>
    <w:p w:rsidR="0055491A" w:rsidRPr="000A0BEA" w:rsidRDefault="0055491A" w:rsidP="0055491A">
      <w:pPr>
        <w:autoSpaceDE w:val="0"/>
        <w:autoSpaceDN w:val="0"/>
        <w:adjustRightInd w:val="0"/>
        <w:ind w:firstLine="709"/>
        <w:jc w:val="both"/>
        <w:rPr>
          <w:b/>
          <w:color w:val="000000"/>
          <w:sz w:val="28"/>
          <w:szCs w:val="28"/>
        </w:rPr>
      </w:pPr>
      <w:r w:rsidRPr="000A0BEA">
        <w:rPr>
          <w:b/>
          <w:color w:val="000000"/>
          <w:sz w:val="28"/>
          <w:szCs w:val="28"/>
        </w:rPr>
        <w:t>Прогноз поступлений 2022 год – 0,4 тыс. руб., 2023 год – 0,4 тыс. руб., 2024 год – 0,4 тыс. руб.</w:t>
      </w:r>
    </w:p>
    <w:p w:rsidR="0055491A" w:rsidRDefault="0055491A" w:rsidP="0055491A">
      <w:pPr>
        <w:ind w:firstLine="709"/>
        <w:jc w:val="both"/>
        <w:rPr>
          <w:sz w:val="28"/>
          <w:szCs w:val="28"/>
        </w:rPr>
      </w:pPr>
    </w:p>
    <w:p w:rsidR="0055491A" w:rsidRDefault="0055491A" w:rsidP="0055491A">
      <w:pPr>
        <w:ind w:firstLine="709"/>
        <w:jc w:val="both"/>
        <w:rPr>
          <w:sz w:val="28"/>
          <w:szCs w:val="28"/>
        </w:rPr>
      </w:pPr>
    </w:p>
    <w:p w:rsidR="0055491A" w:rsidRDefault="0055491A" w:rsidP="0055491A">
      <w:pPr>
        <w:pStyle w:val="a7"/>
        <w:spacing w:after="0"/>
        <w:ind w:left="0" w:firstLine="709"/>
        <w:jc w:val="both"/>
        <w:rPr>
          <w:sz w:val="28"/>
          <w:szCs w:val="28"/>
        </w:rPr>
      </w:pPr>
      <w:r>
        <w:rPr>
          <w:sz w:val="28"/>
          <w:szCs w:val="28"/>
        </w:rPr>
        <w:t xml:space="preserve">10.5. </w:t>
      </w:r>
      <w:r w:rsidRPr="000A0BEA">
        <w:rPr>
          <w:b/>
          <w:sz w:val="28"/>
          <w:szCs w:val="28"/>
        </w:rPr>
        <w:t>КБК 335 1 16 01143 01 0000 140</w:t>
      </w:r>
      <w:r>
        <w:rPr>
          <w:sz w:val="28"/>
          <w:szCs w:val="28"/>
        </w:rPr>
        <w:t xml:space="preserve"> </w:t>
      </w:r>
      <w:r w:rsidRPr="00E938A1">
        <w:rPr>
          <w:sz w:val="28"/>
          <w:szCs w:val="28"/>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r>
        <w:rPr>
          <w:sz w:val="28"/>
          <w:szCs w:val="28"/>
        </w:rPr>
        <w:t>.</w:t>
      </w:r>
    </w:p>
    <w:p w:rsidR="0055491A" w:rsidRPr="000A0BEA" w:rsidRDefault="0055491A" w:rsidP="0055491A">
      <w:pPr>
        <w:pStyle w:val="a7"/>
        <w:spacing w:after="0"/>
        <w:ind w:left="0" w:firstLine="709"/>
        <w:jc w:val="both"/>
        <w:rPr>
          <w:b/>
          <w:sz w:val="28"/>
          <w:szCs w:val="28"/>
        </w:rPr>
      </w:pPr>
      <w:r w:rsidRPr="000A0BEA">
        <w:rPr>
          <w:b/>
          <w:sz w:val="28"/>
          <w:szCs w:val="28"/>
        </w:rPr>
        <w:t>Главный администратор доходов - Главное управление региональной безопасности Тверской области.</w:t>
      </w:r>
    </w:p>
    <w:p w:rsidR="0055491A" w:rsidRDefault="0055491A" w:rsidP="0055491A">
      <w:pPr>
        <w:ind w:firstLine="709"/>
        <w:jc w:val="both"/>
        <w:rPr>
          <w:sz w:val="28"/>
          <w:szCs w:val="28"/>
        </w:rPr>
      </w:pPr>
      <w:r>
        <w:rPr>
          <w:sz w:val="28"/>
          <w:szCs w:val="28"/>
        </w:rPr>
        <w:t>Расчет поступления доходов в областной бюджет Тверской области на 2022 год произведен методом прямого счета с учетом прогнозируемого количества постановлений за административные правонарушения по видам правонарушений.</w:t>
      </w:r>
    </w:p>
    <w:p w:rsidR="0055491A" w:rsidRDefault="0055491A" w:rsidP="0055491A">
      <w:pPr>
        <w:ind w:firstLine="709"/>
        <w:jc w:val="both"/>
        <w:rPr>
          <w:sz w:val="28"/>
          <w:szCs w:val="28"/>
        </w:rPr>
      </w:pPr>
    </w:p>
    <w:tbl>
      <w:tblPr>
        <w:tblW w:w="9252" w:type="dxa"/>
        <w:tblLook w:val="04A0" w:firstRow="1" w:lastRow="0" w:firstColumn="1" w:lastColumn="0" w:noHBand="0" w:noVBand="1"/>
      </w:tblPr>
      <w:tblGrid>
        <w:gridCol w:w="492"/>
        <w:gridCol w:w="2895"/>
        <w:gridCol w:w="1343"/>
        <w:gridCol w:w="1608"/>
        <w:gridCol w:w="1457"/>
        <w:gridCol w:w="1457"/>
      </w:tblGrid>
      <w:tr w:rsidR="0055491A" w:rsidTr="00210BF6">
        <w:trPr>
          <w:trHeight w:val="1289"/>
        </w:trPr>
        <w:tc>
          <w:tcPr>
            <w:tcW w:w="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 п/п</w:t>
            </w:r>
          </w:p>
        </w:tc>
        <w:tc>
          <w:tcPr>
            <w:tcW w:w="2895" w:type="dxa"/>
            <w:tcBorders>
              <w:top w:val="single" w:sz="4" w:space="0" w:color="auto"/>
              <w:left w:val="nil"/>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Вид правонарушений</w:t>
            </w:r>
          </w:p>
        </w:tc>
        <w:tc>
          <w:tcPr>
            <w:tcW w:w="1343" w:type="dxa"/>
            <w:tcBorders>
              <w:top w:val="single" w:sz="4" w:space="0" w:color="auto"/>
              <w:left w:val="nil"/>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Средний размер штрафа (средний областной), тыс. руб.</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 xml:space="preserve">Количество постановлений, ед. </w:t>
            </w:r>
          </w:p>
        </w:tc>
        <w:tc>
          <w:tcPr>
            <w:tcW w:w="1457" w:type="dxa"/>
            <w:tcBorders>
              <w:top w:val="single" w:sz="4" w:space="0" w:color="auto"/>
              <w:left w:val="nil"/>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Коэффициент собираемости (средний областной), %</w:t>
            </w:r>
          </w:p>
        </w:tc>
        <w:tc>
          <w:tcPr>
            <w:tcW w:w="1457" w:type="dxa"/>
            <w:tcBorders>
              <w:top w:val="single" w:sz="4" w:space="0" w:color="auto"/>
              <w:left w:val="nil"/>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Прогноз поступлений, тыс. руб. (ст.3*4*5/2)</w:t>
            </w:r>
          </w:p>
        </w:tc>
      </w:tr>
      <w:tr w:rsidR="0055491A" w:rsidTr="00210BF6">
        <w:trPr>
          <w:trHeight w:val="303"/>
        </w:trPr>
        <w:tc>
          <w:tcPr>
            <w:tcW w:w="492" w:type="dxa"/>
            <w:tcBorders>
              <w:top w:val="nil"/>
              <w:left w:val="single" w:sz="4" w:space="0" w:color="auto"/>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1</w:t>
            </w:r>
          </w:p>
        </w:tc>
        <w:tc>
          <w:tcPr>
            <w:tcW w:w="2895" w:type="dxa"/>
            <w:tcBorders>
              <w:top w:val="nil"/>
              <w:left w:val="nil"/>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2</w:t>
            </w:r>
          </w:p>
        </w:tc>
        <w:tc>
          <w:tcPr>
            <w:tcW w:w="1343" w:type="dxa"/>
            <w:tcBorders>
              <w:top w:val="nil"/>
              <w:left w:val="nil"/>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3</w:t>
            </w:r>
          </w:p>
        </w:tc>
        <w:tc>
          <w:tcPr>
            <w:tcW w:w="1608" w:type="dxa"/>
            <w:tcBorders>
              <w:top w:val="nil"/>
              <w:left w:val="nil"/>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4</w:t>
            </w:r>
          </w:p>
        </w:tc>
        <w:tc>
          <w:tcPr>
            <w:tcW w:w="1457" w:type="dxa"/>
            <w:tcBorders>
              <w:top w:val="nil"/>
              <w:left w:val="nil"/>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5</w:t>
            </w:r>
          </w:p>
        </w:tc>
        <w:tc>
          <w:tcPr>
            <w:tcW w:w="1457" w:type="dxa"/>
            <w:tcBorders>
              <w:top w:val="nil"/>
              <w:left w:val="nil"/>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6</w:t>
            </w:r>
          </w:p>
        </w:tc>
      </w:tr>
      <w:tr w:rsidR="0055491A" w:rsidTr="00210BF6">
        <w:trPr>
          <w:trHeight w:val="1031"/>
        </w:trPr>
        <w:tc>
          <w:tcPr>
            <w:tcW w:w="492" w:type="dxa"/>
            <w:tcBorders>
              <w:top w:val="nil"/>
              <w:left w:val="single" w:sz="4" w:space="0" w:color="auto"/>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1</w:t>
            </w:r>
          </w:p>
        </w:tc>
        <w:tc>
          <w:tcPr>
            <w:tcW w:w="2895" w:type="dxa"/>
            <w:tcBorders>
              <w:top w:val="nil"/>
              <w:left w:val="nil"/>
              <w:bottom w:val="single" w:sz="4" w:space="0" w:color="auto"/>
              <w:right w:val="single" w:sz="4" w:space="0" w:color="auto"/>
            </w:tcBorders>
            <w:shd w:val="clear" w:color="auto" w:fill="auto"/>
            <w:vAlign w:val="center"/>
            <w:hideMark/>
          </w:tcPr>
          <w:p w:rsidR="0055491A" w:rsidRDefault="0055491A" w:rsidP="00210BF6">
            <w:pPr>
              <w:jc w:val="both"/>
              <w:rPr>
                <w:sz w:val="20"/>
                <w:szCs w:val="20"/>
              </w:rPr>
            </w:pPr>
            <w:r>
              <w:rPr>
                <w:sz w:val="20"/>
                <w:szCs w:val="20"/>
              </w:rPr>
              <w:t>Штрафы за незаконную продажу товаров (иных вещей), свободная реализация которых запрещена или ограничена</w:t>
            </w:r>
          </w:p>
        </w:tc>
        <w:tc>
          <w:tcPr>
            <w:tcW w:w="1343" w:type="dxa"/>
            <w:tcBorders>
              <w:top w:val="nil"/>
              <w:left w:val="nil"/>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12,2</w:t>
            </w:r>
          </w:p>
        </w:tc>
        <w:tc>
          <w:tcPr>
            <w:tcW w:w="1608" w:type="dxa"/>
            <w:tcBorders>
              <w:top w:val="nil"/>
              <w:left w:val="nil"/>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21</w:t>
            </w:r>
          </w:p>
        </w:tc>
        <w:tc>
          <w:tcPr>
            <w:tcW w:w="1457" w:type="dxa"/>
            <w:tcBorders>
              <w:top w:val="nil"/>
              <w:left w:val="nil"/>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92,1%</w:t>
            </w:r>
          </w:p>
        </w:tc>
        <w:tc>
          <w:tcPr>
            <w:tcW w:w="1457" w:type="dxa"/>
            <w:tcBorders>
              <w:top w:val="nil"/>
              <w:left w:val="nil"/>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118</w:t>
            </w:r>
          </w:p>
        </w:tc>
      </w:tr>
      <w:tr w:rsidR="0055491A" w:rsidTr="00210BF6">
        <w:trPr>
          <w:trHeight w:val="1031"/>
        </w:trPr>
        <w:tc>
          <w:tcPr>
            <w:tcW w:w="492" w:type="dxa"/>
            <w:tcBorders>
              <w:top w:val="nil"/>
              <w:left w:val="single" w:sz="4" w:space="0" w:color="auto"/>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2</w:t>
            </w:r>
          </w:p>
        </w:tc>
        <w:tc>
          <w:tcPr>
            <w:tcW w:w="2895" w:type="dxa"/>
            <w:tcBorders>
              <w:top w:val="nil"/>
              <w:left w:val="nil"/>
              <w:bottom w:val="single" w:sz="4" w:space="0" w:color="auto"/>
              <w:right w:val="single" w:sz="4" w:space="0" w:color="auto"/>
            </w:tcBorders>
            <w:shd w:val="clear" w:color="auto" w:fill="auto"/>
            <w:vAlign w:val="center"/>
            <w:hideMark/>
          </w:tcPr>
          <w:p w:rsidR="0055491A" w:rsidRDefault="0055491A" w:rsidP="00210BF6">
            <w:pPr>
              <w:rPr>
                <w:sz w:val="20"/>
                <w:szCs w:val="20"/>
              </w:rPr>
            </w:pPr>
            <w:r>
              <w:rPr>
                <w:sz w:val="20"/>
                <w:szCs w:val="20"/>
              </w:rPr>
              <w:t>Штрафы за нарушение правил продажи этилового спирта, алкогольной и спиртосодержащей продукции</w:t>
            </w:r>
          </w:p>
        </w:tc>
        <w:tc>
          <w:tcPr>
            <w:tcW w:w="1343" w:type="dxa"/>
            <w:tcBorders>
              <w:top w:val="nil"/>
              <w:left w:val="nil"/>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26,6</w:t>
            </w:r>
          </w:p>
        </w:tc>
        <w:tc>
          <w:tcPr>
            <w:tcW w:w="1608" w:type="dxa"/>
            <w:tcBorders>
              <w:top w:val="nil"/>
              <w:left w:val="nil"/>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328</w:t>
            </w:r>
          </w:p>
        </w:tc>
        <w:tc>
          <w:tcPr>
            <w:tcW w:w="1457" w:type="dxa"/>
            <w:tcBorders>
              <w:top w:val="nil"/>
              <w:left w:val="nil"/>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98,4%</w:t>
            </w:r>
          </w:p>
        </w:tc>
        <w:tc>
          <w:tcPr>
            <w:tcW w:w="1457" w:type="dxa"/>
            <w:tcBorders>
              <w:top w:val="nil"/>
              <w:left w:val="nil"/>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4292,6</w:t>
            </w:r>
          </w:p>
        </w:tc>
      </w:tr>
      <w:tr w:rsidR="0055491A" w:rsidTr="00210BF6">
        <w:trPr>
          <w:trHeight w:val="1031"/>
        </w:trPr>
        <w:tc>
          <w:tcPr>
            <w:tcW w:w="492" w:type="dxa"/>
            <w:tcBorders>
              <w:top w:val="nil"/>
              <w:left w:val="single" w:sz="4" w:space="0" w:color="auto"/>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3 </w:t>
            </w:r>
          </w:p>
        </w:tc>
        <w:tc>
          <w:tcPr>
            <w:tcW w:w="2895" w:type="dxa"/>
            <w:tcBorders>
              <w:top w:val="nil"/>
              <w:left w:val="nil"/>
              <w:bottom w:val="single" w:sz="4" w:space="0" w:color="auto"/>
              <w:right w:val="single" w:sz="4" w:space="0" w:color="auto"/>
            </w:tcBorders>
            <w:shd w:val="clear" w:color="auto" w:fill="auto"/>
            <w:vAlign w:val="center"/>
            <w:hideMark/>
          </w:tcPr>
          <w:p w:rsidR="0055491A" w:rsidRDefault="0055491A" w:rsidP="00210BF6">
            <w:pPr>
              <w:rPr>
                <w:sz w:val="20"/>
                <w:szCs w:val="20"/>
              </w:rPr>
            </w:pPr>
            <w:r>
              <w:rPr>
                <w:sz w:val="20"/>
                <w:szCs w:val="20"/>
              </w:rPr>
              <w:t>Штрафы за осуществление предпринимательской деятельности в области транспорта без лицензии</w:t>
            </w:r>
          </w:p>
        </w:tc>
        <w:tc>
          <w:tcPr>
            <w:tcW w:w="1343" w:type="dxa"/>
            <w:tcBorders>
              <w:top w:val="nil"/>
              <w:left w:val="nil"/>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43</w:t>
            </w:r>
          </w:p>
        </w:tc>
        <w:tc>
          <w:tcPr>
            <w:tcW w:w="1608" w:type="dxa"/>
            <w:tcBorders>
              <w:top w:val="nil"/>
              <w:left w:val="nil"/>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5</w:t>
            </w:r>
          </w:p>
        </w:tc>
        <w:tc>
          <w:tcPr>
            <w:tcW w:w="1457" w:type="dxa"/>
            <w:tcBorders>
              <w:top w:val="nil"/>
              <w:left w:val="nil"/>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11,6%</w:t>
            </w:r>
          </w:p>
        </w:tc>
        <w:tc>
          <w:tcPr>
            <w:tcW w:w="1457" w:type="dxa"/>
            <w:tcBorders>
              <w:top w:val="nil"/>
              <w:left w:val="nil"/>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12,5</w:t>
            </w:r>
          </w:p>
        </w:tc>
      </w:tr>
      <w:tr w:rsidR="0055491A" w:rsidTr="00210BF6">
        <w:trPr>
          <w:trHeight w:val="1031"/>
        </w:trPr>
        <w:tc>
          <w:tcPr>
            <w:tcW w:w="492" w:type="dxa"/>
            <w:tcBorders>
              <w:top w:val="nil"/>
              <w:left w:val="single" w:sz="4" w:space="0" w:color="auto"/>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4 </w:t>
            </w:r>
          </w:p>
        </w:tc>
        <w:tc>
          <w:tcPr>
            <w:tcW w:w="2895" w:type="dxa"/>
            <w:tcBorders>
              <w:top w:val="nil"/>
              <w:left w:val="nil"/>
              <w:bottom w:val="single" w:sz="4" w:space="0" w:color="auto"/>
              <w:right w:val="single" w:sz="4" w:space="0" w:color="auto"/>
            </w:tcBorders>
            <w:shd w:val="clear" w:color="auto" w:fill="auto"/>
            <w:vAlign w:val="center"/>
            <w:hideMark/>
          </w:tcPr>
          <w:p w:rsidR="0055491A" w:rsidRDefault="0055491A" w:rsidP="00210BF6">
            <w:pPr>
              <w:rPr>
                <w:sz w:val="20"/>
                <w:szCs w:val="20"/>
              </w:rPr>
            </w:pPr>
            <w:r>
              <w:rPr>
                <w:sz w:val="20"/>
                <w:szCs w:val="20"/>
              </w:rPr>
              <w:t>Штрафы за незаконную розничную продажу алкогольной и спиртосодержащей пищевой продукции физическими лицами</w:t>
            </w:r>
          </w:p>
        </w:tc>
        <w:tc>
          <w:tcPr>
            <w:tcW w:w="1343" w:type="dxa"/>
            <w:tcBorders>
              <w:top w:val="nil"/>
              <w:left w:val="nil"/>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23,4</w:t>
            </w:r>
          </w:p>
        </w:tc>
        <w:tc>
          <w:tcPr>
            <w:tcW w:w="1608" w:type="dxa"/>
            <w:tcBorders>
              <w:top w:val="nil"/>
              <w:left w:val="nil"/>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27</w:t>
            </w:r>
          </w:p>
        </w:tc>
        <w:tc>
          <w:tcPr>
            <w:tcW w:w="1457" w:type="dxa"/>
            <w:tcBorders>
              <w:top w:val="nil"/>
              <w:left w:val="nil"/>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69,7%</w:t>
            </w:r>
          </w:p>
        </w:tc>
        <w:tc>
          <w:tcPr>
            <w:tcW w:w="1457" w:type="dxa"/>
            <w:tcBorders>
              <w:top w:val="nil"/>
              <w:left w:val="nil"/>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220,2</w:t>
            </w:r>
          </w:p>
        </w:tc>
      </w:tr>
      <w:tr w:rsidR="0055491A" w:rsidTr="00210BF6">
        <w:trPr>
          <w:trHeight w:val="257"/>
        </w:trPr>
        <w:tc>
          <w:tcPr>
            <w:tcW w:w="492" w:type="dxa"/>
            <w:tcBorders>
              <w:top w:val="nil"/>
              <w:left w:val="single" w:sz="4" w:space="0" w:color="auto"/>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5</w:t>
            </w:r>
          </w:p>
        </w:tc>
        <w:tc>
          <w:tcPr>
            <w:tcW w:w="2895" w:type="dxa"/>
            <w:tcBorders>
              <w:top w:val="nil"/>
              <w:left w:val="nil"/>
              <w:bottom w:val="single" w:sz="4" w:space="0" w:color="auto"/>
              <w:right w:val="single" w:sz="4" w:space="0" w:color="auto"/>
            </w:tcBorders>
            <w:shd w:val="clear" w:color="auto" w:fill="auto"/>
            <w:vAlign w:val="center"/>
            <w:hideMark/>
          </w:tcPr>
          <w:p w:rsidR="0055491A" w:rsidRDefault="0055491A" w:rsidP="00210BF6">
            <w:pPr>
              <w:jc w:val="both"/>
              <w:rPr>
                <w:sz w:val="20"/>
                <w:szCs w:val="20"/>
              </w:rPr>
            </w:pPr>
            <w:r>
              <w:rPr>
                <w:sz w:val="20"/>
                <w:szCs w:val="20"/>
              </w:rPr>
              <w:t>Иные штрафы</w:t>
            </w:r>
          </w:p>
        </w:tc>
        <w:tc>
          <w:tcPr>
            <w:tcW w:w="1343" w:type="dxa"/>
            <w:tcBorders>
              <w:top w:val="nil"/>
              <w:left w:val="nil"/>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3,1</w:t>
            </w:r>
          </w:p>
        </w:tc>
        <w:tc>
          <w:tcPr>
            <w:tcW w:w="1608" w:type="dxa"/>
            <w:tcBorders>
              <w:top w:val="nil"/>
              <w:left w:val="nil"/>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526</w:t>
            </w:r>
          </w:p>
        </w:tc>
        <w:tc>
          <w:tcPr>
            <w:tcW w:w="1457" w:type="dxa"/>
            <w:tcBorders>
              <w:top w:val="nil"/>
              <w:left w:val="nil"/>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73,7%</w:t>
            </w:r>
          </w:p>
        </w:tc>
        <w:tc>
          <w:tcPr>
            <w:tcW w:w="1457" w:type="dxa"/>
            <w:tcBorders>
              <w:top w:val="nil"/>
              <w:left w:val="nil"/>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600,9</w:t>
            </w:r>
          </w:p>
        </w:tc>
      </w:tr>
      <w:tr w:rsidR="0055491A" w:rsidTr="00210BF6">
        <w:trPr>
          <w:trHeight w:val="257"/>
        </w:trPr>
        <w:tc>
          <w:tcPr>
            <w:tcW w:w="492" w:type="dxa"/>
            <w:tcBorders>
              <w:top w:val="nil"/>
              <w:left w:val="single" w:sz="4" w:space="0" w:color="auto"/>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p>
        </w:tc>
        <w:tc>
          <w:tcPr>
            <w:tcW w:w="2895" w:type="dxa"/>
            <w:tcBorders>
              <w:top w:val="nil"/>
              <w:left w:val="nil"/>
              <w:bottom w:val="single" w:sz="4" w:space="0" w:color="auto"/>
              <w:right w:val="nil"/>
            </w:tcBorders>
            <w:shd w:val="clear" w:color="auto" w:fill="auto"/>
            <w:vAlign w:val="center"/>
            <w:hideMark/>
          </w:tcPr>
          <w:p w:rsidR="0055491A" w:rsidRDefault="0055491A" w:rsidP="00210BF6">
            <w:pPr>
              <w:rPr>
                <w:b/>
                <w:bCs/>
                <w:sz w:val="20"/>
                <w:szCs w:val="20"/>
              </w:rPr>
            </w:pPr>
            <w:r>
              <w:rPr>
                <w:b/>
                <w:bCs/>
                <w:sz w:val="20"/>
                <w:szCs w:val="20"/>
              </w:rPr>
              <w:t>ИТОГО</w:t>
            </w:r>
          </w:p>
        </w:tc>
        <w:tc>
          <w:tcPr>
            <w:tcW w:w="1343" w:type="dxa"/>
            <w:tcBorders>
              <w:top w:val="nil"/>
              <w:left w:val="nil"/>
              <w:bottom w:val="single" w:sz="4" w:space="0" w:color="auto"/>
              <w:right w:val="nil"/>
            </w:tcBorders>
            <w:shd w:val="clear" w:color="auto" w:fill="auto"/>
            <w:vAlign w:val="center"/>
            <w:hideMark/>
          </w:tcPr>
          <w:p w:rsidR="0055491A" w:rsidRDefault="0055491A" w:rsidP="00210BF6">
            <w:pPr>
              <w:rPr>
                <w:b/>
                <w:bCs/>
                <w:sz w:val="20"/>
                <w:szCs w:val="20"/>
              </w:rPr>
            </w:pPr>
            <w:r>
              <w:rPr>
                <w:b/>
                <w:bCs/>
                <w:sz w:val="20"/>
                <w:szCs w:val="20"/>
              </w:rPr>
              <w:t> </w:t>
            </w:r>
          </w:p>
        </w:tc>
        <w:tc>
          <w:tcPr>
            <w:tcW w:w="1608" w:type="dxa"/>
            <w:tcBorders>
              <w:top w:val="nil"/>
              <w:left w:val="nil"/>
              <w:bottom w:val="single" w:sz="4" w:space="0" w:color="auto"/>
              <w:right w:val="nil"/>
            </w:tcBorders>
            <w:shd w:val="clear" w:color="auto" w:fill="auto"/>
            <w:vAlign w:val="center"/>
            <w:hideMark/>
          </w:tcPr>
          <w:p w:rsidR="0055491A" w:rsidRDefault="0055491A" w:rsidP="00210BF6">
            <w:pPr>
              <w:rPr>
                <w:b/>
                <w:bCs/>
                <w:sz w:val="20"/>
                <w:szCs w:val="20"/>
              </w:rPr>
            </w:pPr>
            <w:r>
              <w:rPr>
                <w:b/>
                <w:bCs/>
                <w:sz w:val="20"/>
                <w:szCs w:val="20"/>
              </w:rPr>
              <w:t> </w:t>
            </w:r>
          </w:p>
        </w:tc>
        <w:tc>
          <w:tcPr>
            <w:tcW w:w="1457" w:type="dxa"/>
            <w:tcBorders>
              <w:top w:val="nil"/>
              <w:left w:val="nil"/>
              <w:bottom w:val="single" w:sz="4" w:space="0" w:color="auto"/>
              <w:right w:val="single" w:sz="4" w:space="0" w:color="auto"/>
            </w:tcBorders>
            <w:shd w:val="clear" w:color="auto" w:fill="auto"/>
            <w:vAlign w:val="center"/>
            <w:hideMark/>
          </w:tcPr>
          <w:p w:rsidR="0055491A" w:rsidRDefault="0055491A" w:rsidP="00210BF6">
            <w:pPr>
              <w:rPr>
                <w:b/>
                <w:bCs/>
                <w:sz w:val="20"/>
                <w:szCs w:val="20"/>
              </w:rPr>
            </w:pPr>
            <w:r>
              <w:rPr>
                <w:b/>
                <w:bCs/>
                <w:sz w:val="20"/>
                <w:szCs w:val="20"/>
              </w:rPr>
              <w:t> </w:t>
            </w:r>
          </w:p>
        </w:tc>
        <w:tc>
          <w:tcPr>
            <w:tcW w:w="1457" w:type="dxa"/>
            <w:tcBorders>
              <w:top w:val="nil"/>
              <w:left w:val="nil"/>
              <w:bottom w:val="single" w:sz="4" w:space="0" w:color="auto"/>
              <w:right w:val="single" w:sz="4" w:space="0" w:color="auto"/>
            </w:tcBorders>
            <w:shd w:val="clear" w:color="auto" w:fill="auto"/>
            <w:vAlign w:val="center"/>
            <w:hideMark/>
          </w:tcPr>
          <w:p w:rsidR="0055491A" w:rsidRDefault="0055491A" w:rsidP="00210BF6">
            <w:pPr>
              <w:jc w:val="center"/>
              <w:rPr>
                <w:b/>
                <w:bCs/>
                <w:sz w:val="20"/>
                <w:szCs w:val="20"/>
              </w:rPr>
            </w:pPr>
            <w:r>
              <w:rPr>
                <w:b/>
                <w:bCs/>
                <w:sz w:val="20"/>
                <w:szCs w:val="20"/>
              </w:rPr>
              <w:t>5 244,2</w:t>
            </w:r>
          </w:p>
        </w:tc>
      </w:tr>
    </w:tbl>
    <w:p w:rsidR="0055491A" w:rsidRDefault="0055491A" w:rsidP="0055491A">
      <w:pPr>
        <w:ind w:firstLine="709"/>
        <w:jc w:val="both"/>
        <w:rPr>
          <w:sz w:val="28"/>
          <w:szCs w:val="28"/>
        </w:rPr>
      </w:pPr>
    </w:p>
    <w:p w:rsidR="0055491A" w:rsidRPr="000A0BEA" w:rsidRDefault="0055491A" w:rsidP="0055491A">
      <w:pPr>
        <w:pStyle w:val="a7"/>
        <w:spacing w:after="0"/>
        <w:ind w:left="0" w:firstLine="709"/>
        <w:jc w:val="both"/>
        <w:rPr>
          <w:b/>
          <w:sz w:val="28"/>
          <w:szCs w:val="28"/>
        </w:rPr>
      </w:pPr>
      <w:r w:rsidRPr="000A0BEA">
        <w:rPr>
          <w:b/>
          <w:sz w:val="28"/>
          <w:szCs w:val="28"/>
        </w:rPr>
        <w:t>Прогноз поступления доходов в областной бюджет Тверской области на 202</w:t>
      </w:r>
      <w:r>
        <w:rPr>
          <w:b/>
          <w:sz w:val="28"/>
          <w:szCs w:val="28"/>
        </w:rPr>
        <w:t>2</w:t>
      </w:r>
      <w:r w:rsidRPr="000A0BEA">
        <w:rPr>
          <w:b/>
          <w:sz w:val="28"/>
          <w:szCs w:val="28"/>
        </w:rPr>
        <w:t xml:space="preserve"> год – </w:t>
      </w:r>
      <w:r>
        <w:rPr>
          <w:b/>
          <w:sz w:val="28"/>
          <w:szCs w:val="28"/>
        </w:rPr>
        <w:t>5</w:t>
      </w:r>
      <w:r w:rsidRPr="000A0BEA">
        <w:rPr>
          <w:b/>
          <w:sz w:val="28"/>
          <w:szCs w:val="28"/>
        </w:rPr>
        <w:t> </w:t>
      </w:r>
      <w:r>
        <w:rPr>
          <w:b/>
          <w:sz w:val="28"/>
          <w:szCs w:val="28"/>
        </w:rPr>
        <w:t>244</w:t>
      </w:r>
      <w:r w:rsidRPr="000A0BEA">
        <w:rPr>
          <w:b/>
          <w:sz w:val="28"/>
          <w:szCs w:val="28"/>
        </w:rPr>
        <w:t>,</w:t>
      </w:r>
      <w:r>
        <w:rPr>
          <w:b/>
          <w:sz w:val="28"/>
          <w:szCs w:val="28"/>
        </w:rPr>
        <w:t>2</w:t>
      </w:r>
      <w:r w:rsidRPr="000A0BEA">
        <w:rPr>
          <w:b/>
          <w:sz w:val="28"/>
          <w:szCs w:val="28"/>
        </w:rPr>
        <w:t xml:space="preserve"> тыс. руб., на 202</w:t>
      </w:r>
      <w:r>
        <w:rPr>
          <w:b/>
          <w:sz w:val="28"/>
          <w:szCs w:val="28"/>
        </w:rPr>
        <w:t>3</w:t>
      </w:r>
      <w:r w:rsidRPr="000A0BEA">
        <w:rPr>
          <w:b/>
          <w:sz w:val="28"/>
          <w:szCs w:val="28"/>
        </w:rPr>
        <w:t xml:space="preserve"> год – </w:t>
      </w:r>
      <w:r>
        <w:rPr>
          <w:b/>
          <w:sz w:val="28"/>
          <w:szCs w:val="28"/>
        </w:rPr>
        <w:t>5</w:t>
      </w:r>
      <w:r w:rsidRPr="000A0BEA">
        <w:rPr>
          <w:b/>
          <w:sz w:val="28"/>
          <w:szCs w:val="28"/>
        </w:rPr>
        <w:t> </w:t>
      </w:r>
      <w:r>
        <w:rPr>
          <w:b/>
          <w:sz w:val="28"/>
          <w:szCs w:val="28"/>
        </w:rPr>
        <w:t>244</w:t>
      </w:r>
      <w:r w:rsidRPr="000A0BEA">
        <w:rPr>
          <w:b/>
          <w:sz w:val="28"/>
          <w:szCs w:val="28"/>
        </w:rPr>
        <w:t>,</w:t>
      </w:r>
      <w:r>
        <w:rPr>
          <w:b/>
          <w:sz w:val="28"/>
          <w:szCs w:val="28"/>
        </w:rPr>
        <w:t>2</w:t>
      </w:r>
      <w:r w:rsidRPr="000A0BEA">
        <w:rPr>
          <w:b/>
          <w:sz w:val="28"/>
          <w:szCs w:val="28"/>
        </w:rPr>
        <w:t xml:space="preserve"> тыс. руб., на 202</w:t>
      </w:r>
      <w:r>
        <w:rPr>
          <w:b/>
          <w:sz w:val="28"/>
          <w:szCs w:val="28"/>
        </w:rPr>
        <w:t>4</w:t>
      </w:r>
      <w:r w:rsidRPr="000A0BEA">
        <w:rPr>
          <w:b/>
          <w:sz w:val="28"/>
          <w:szCs w:val="28"/>
        </w:rPr>
        <w:t xml:space="preserve"> год – </w:t>
      </w:r>
      <w:r>
        <w:rPr>
          <w:b/>
          <w:sz w:val="28"/>
          <w:szCs w:val="28"/>
        </w:rPr>
        <w:t>5</w:t>
      </w:r>
      <w:r w:rsidRPr="000A0BEA">
        <w:rPr>
          <w:b/>
          <w:sz w:val="28"/>
          <w:szCs w:val="28"/>
        </w:rPr>
        <w:t xml:space="preserve"> </w:t>
      </w:r>
      <w:r>
        <w:rPr>
          <w:b/>
          <w:sz w:val="28"/>
          <w:szCs w:val="28"/>
        </w:rPr>
        <w:t>244</w:t>
      </w:r>
      <w:r w:rsidRPr="000A0BEA">
        <w:rPr>
          <w:b/>
          <w:sz w:val="28"/>
          <w:szCs w:val="28"/>
        </w:rPr>
        <w:t>,</w:t>
      </w:r>
      <w:r>
        <w:rPr>
          <w:b/>
          <w:sz w:val="28"/>
          <w:szCs w:val="28"/>
        </w:rPr>
        <w:t>2</w:t>
      </w:r>
      <w:r w:rsidRPr="000A0BEA">
        <w:rPr>
          <w:b/>
          <w:sz w:val="28"/>
          <w:szCs w:val="28"/>
        </w:rPr>
        <w:t xml:space="preserve"> тыс. руб.</w:t>
      </w:r>
    </w:p>
    <w:p w:rsidR="0055491A" w:rsidRDefault="0055491A" w:rsidP="0055491A">
      <w:pPr>
        <w:pStyle w:val="a7"/>
        <w:spacing w:after="0"/>
        <w:jc w:val="both"/>
        <w:rPr>
          <w:sz w:val="28"/>
          <w:szCs w:val="28"/>
        </w:rPr>
      </w:pPr>
      <w:r>
        <w:rPr>
          <w:sz w:val="28"/>
          <w:szCs w:val="28"/>
        </w:rPr>
        <w:t xml:space="preserve"> </w:t>
      </w:r>
    </w:p>
    <w:p w:rsidR="0055491A" w:rsidRDefault="0055491A" w:rsidP="0055491A">
      <w:pPr>
        <w:pStyle w:val="a7"/>
        <w:spacing w:after="0"/>
        <w:ind w:left="0" w:firstLine="709"/>
        <w:jc w:val="both"/>
        <w:rPr>
          <w:sz w:val="28"/>
          <w:szCs w:val="28"/>
        </w:rPr>
      </w:pPr>
      <w:r>
        <w:rPr>
          <w:sz w:val="28"/>
          <w:szCs w:val="28"/>
        </w:rPr>
        <w:t xml:space="preserve">11. </w:t>
      </w:r>
      <w:r w:rsidRPr="00CA6F1C">
        <w:rPr>
          <w:sz w:val="28"/>
          <w:szCs w:val="28"/>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r w:rsidRPr="00CA6F1C">
        <w:rPr>
          <w:sz w:val="28"/>
          <w:szCs w:val="28"/>
        </w:rPr>
        <w:lastRenderedPageBreak/>
        <w:t>пункте 6 статьи 46 Бюджетног</w:t>
      </w:r>
      <w:r>
        <w:rPr>
          <w:sz w:val="28"/>
          <w:szCs w:val="28"/>
        </w:rPr>
        <w:t xml:space="preserve">о кодекса Российской Федерации)                                   (КБК 000 </w:t>
      </w:r>
      <w:r w:rsidRPr="00CA6F1C">
        <w:rPr>
          <w:sz w:val="28"/>
          <w:szCs w:val="28"/>
        </w:rPr>
        <w:t>1 16 0115</w:t>
      </w:r>
      <w:r>
        <w:rPr>
          <w:sz w:val="28"/>
          <w:szCs w:val="28"/>
        </w:rPr>
        <w:t>0</w:t>
      </w:r>
      <w:r w:rsidRPr="00CA6F1C">
        <w:rPr>
          <w:sz w:val="28"/>
          <w:szCs w:val="28"/>
        </w:rPr>
        <w:t xml:space="preserve"> 01 0000 140</w:t>
      </w:r>
      <w:r>
        <w:rPr>
          <w:sz w:val="28"/>
          <w:szCs w:val="28"/>
        </w:rPr>
        <w:t>).</w:t>
      </w:r>
    </w:p>
    <w:p w:rsidR="0055491A" w:rsidRPr="00F9471B" w:rsidRDefault="0055491A" w:rsidP="0055491A">
      <w:pPr>
        <w:pStyle w:val="a7"/>
        <w:spacing w:after="0"/>
        <w:ind w:left="0" w:firstLine="709"/>
        <w:jc w:val="both"/>
        <w:rPr>
          <w:b/>
          <w:sz w:val="28"/>
          <w:szCs w:val="28"/>
        </w:rPr>
      </w:pPr>
      <w:r>
        <w:rPr>
          <w:sz w:val="28"/>
          <w:szCs w:val="28"/>
        </w:rPr>
        <w:t xml:space="preserve"> </w:t>
      </w:r>
      <w:r w:rsidRPr="00F9471B">
        <w:rPr>
          <w:b/>
          <w:sz w:val="28"/>
          <w:szCs w:val="28"/>
        </w:rPr>
        <w:t>Прогноз доходов по данному КБК на 2022 год – 1 121,9 тыс. руб.,                            на 2023 год – 1 061,9 тыс. руб., на 2024 год – 1 111,9 тыс. руб.</w:t>
      </w:r>
    </w:p>
    <w:p w:rsidR="0055491A" w:rsidRDefault="0055491A" w:rsidP="0055491A">
      <w:pPr>
        <w:pStyle w:val="a7"/>
        <w:spacing w:after="0"/>
        <w:ind w:left="0" w:firstLine="709"/>
        <w:jc w:val="both"/>
        <w:rPr>
          <w:sz w:val="28"/>
          <w:szCs w:val="28"/>
        </w:rPr>
      </w:pPr>
    </w:p>
    <w:p w:rsidR="0055491A" w:rsidRDefault="0055491A" w:rsidP="0055491A">
      <w:pPr>
        <w:pStyle w:val="a7"/>
        <w:spacing w:after="0"/>
        <w:ind w:left="0" w:firstLine="709"/>
        <w:jc w:val="both"/>
        <w:rPr>
          <w:sz w:val="28"/>
          <w:szCs w:val="28"/>
        </w:rPr>
      </w:pPr>
      <w:r>
        <w:rPr>
          <w:sz w:val="28"/>
          <w:szCs w:val="28"/>
        </w:rPr>
        <w:t xml:space="preserve">11.1 </w:t>
      </w:r>
      <w:r w:rsidRPr="00F9471B">
        <w:rPr>
          <w:b/>
          <w:sz w:val="28"/>
          <w:szCs w:val="28"/>
        </w:rPr>
        <w:t>КБК 332 1 16 01152 01 0000 140</w:t>
      </w:r>
      <w:r>
        <w:rPr>
          <w:sz w:val="28"/>
          <w:szCs w:val="28"/>
        </w:rPr>
        <w:t xml:space="preserve"> </w:t>
      </w:r>
      <w:r w:rsidRPr="00DE0BB6">
        <w:rPr>
          <w:sz w:val="28"/>
          <w:szCs w:val="28"/>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должностными лицами органов исполнительной власти субъектов Российской Федерации, учреждениями субъектов Российской Федерации</w:t>
      </w:r>
      <w:r>
        <w:rPr>
          <w:sz w:val="28"/>
          <w:szCs w:val="28"/>
        </w:rPr>
        <w:t>.</w:t>
      </w:r>
    </w:p>
    <w:p w:rsidR="0055491A" w:rsidRPr="00F9471B" w:rsidRDefault="0055491A" w:rsidP="0055491A">
      <w:pPr>
        <w:pStyle w:val="a7"/>
        <w:spacing w:after="0"/>
        <w:ind w:left="0" w:firstLine="709"/>
        <w:jc w:val="both"/>
        <w:rPr>
          <w:b/>
          <w:sz w:val="28"/>
          <w:szCs w:val="28"/>
        </w:rPr>
      </w:pPr>
      <w:r w:rsidRPr="00F9471B">
        <w:rPr>
          <w:b/>
          <w:sz w:val="28"/>
          <w:szCs w:val="28"/>
        </w:rPr>
        <w:t xml:space="preserve">Главный администратор доходов – Министерство Тверской области по обеспечению контрольных функций. </w:t>
      </w:r>
    </w:p>
    <w:p w:rsidR="0055491A" w:rsidRDefault="0055491A" w:rsidP="0055491A">
      <w:pPr>
        <w:pStyle w:val="a7"/>
        <w:spacing w:after="0"/>
        <w:ind w:left="0" w:firstLine="709"/>
        <w:jc w:val="both"/>
        <w:rPr>
          <w:sz w:val="28"/>
          <w:szCs w:val="28"/>
        </w:rPr>
      </w:pPr>
      <w:r w:rsidRPr="000D4676">
        <w:rPr>
          <w:sz w:val="28"/>
          <w:szCs w:val="28"/>
        </w:rPr>
        <w:t>Расчет произведен в соответствии с методикой, утвержденной приказом Министерства Тверской области по обес</w:t>
      </w:r>
      <w:r>
        <w:rPr>
          <w:sz w:val="28"/>
          <w:szCs w:val="28"/>
        </w:rPr>
        <w:t>печению контрольных функций от 18</w:t>
      </w:r>
      <w:r w:rsidRPr="000D4676">
        <w:rPr>
          <w:sz w:val="28"/>
          <w:szCs w:val="28"/>
        </w:rPr>
        <w:t>.0</w:t>
      </w:r>
      <w:r>
        <w:rPr>
          <w:sz w:val="28"/>
          <w:szCs w:val="28"/>
        </w:rPr>
        <w:t>6</w:t>
      </w:r>
      <w:r w:rsidRPr="000D4676">
        <w:rPr>
          <w:sz w:val="28"/>
          <w:szCs w:val="28"/>
        </w:rPr>
        <w:t>.20</w:t>
      </w:r>
      <w:r>
        <w:rPr>
          <w:sz w:val="28"/>
          <w:szCs w:val="28"/>
        </w:rPr>
        <w:t>20</w:t>
      </w:r>
      <w:r w:rsidRPr="000D4676">
        <w:rPr>
          <w:sz w:val="28"/>
          <w:szCs w:val="28"/>
        </w:rPr>
        <w:t xml:space="preserve"> № </w:t>
      </w:r>
      <w:r>
        <w:rPr>
          <w:sz w:val="28"/>
          <w:szCs w:val="28"/>
        </w:rPr>
        <w:t>714</w:t>
      </w:r>
      <w:r w:rsidRPr="000D4676">
        <w:rPr>
          <w:sz w:val="28"/>
          <w:szCs w:val="28"/>
        </w:rPr>
        <w:t xml:space="preserve"> «Об утверждении методики прогнозирования поступлений доходов в областной бюджет Тверской области и местные бюджеты муниципальных образований Тверской области»</w:t>
      </w:r>
      <w:r>
        <w:rPr>
          <w:sz w:val="28"/>
          <w:szCs w:val="28"/>
        </w:rPr>
        <w:t xml:space="preserve"> (с учетом изменений)</w:t>
      </w:r>
      <w:r w:rsidRPr="000D4676">
        <w:rPr>
          <w:sz w:val="28"/>
          <w:szCs w:val="28"/>
        </w:rPr>
        <w:t>.</w:t>
      </w:r>
    </w:p>
    <w:p w:rsidR="0055491A" w:rsidRDefault="0055491A" w:rsidP="0055491A">
      <w:pPr>
        <w:ind w:firstLine="360"/>
        <w:jc w:val="both"/>
        <w:rPr>
          <w:sz w:val="28"/>
          <w:szCs w:val="28"/>
        </w:rPr>
      </w:pPr>
      <w:r>
        <w:rPr>
          <w:sz w:val="28"/>
          <w:szCs w:val="28"/>
        </w:rPr>
        <w:t xml:space="preserve">Должностными лицами </w:t>
      </w:r>
      <w:r w:rsidRPr="00F51442">
        <w:rPr>
          <w:sz w:val="28"/>
          <w:szCs w:val="28"/>
        </w:rPr>
        <w:t>Управлени</w:t>
      </w:r>
      <w:r>
        <w:rPr>
          <w:sz w:val="28"/>
          <w:szCs w:val="28"/>
        </w:rPr>
        <w:t>я</w:t>
      </w:r>
      <w:r w:rsidRPr="00F51442">
        <w:rPr>
          <w:sz w:val="28"/>
          <w:szCs w:val="28"/>
        </w:rPr>
        <w:t xml:space="preserve"> финансово-бюджетного надзора и контроля </w:t>
      </w:r>
      <w:r w:rsidRPr="00AE24A1">
        <w:rPr>
          <w:sz w:val="28"/>
          <w:szCs w:val="28"/>
        </w:rPr>
        <w:t xml:space="preserve">Министерства </w:t>
      </w:r>
      <w:r>
        <w:rPr>
          <w:sz w:val="28"/>
          <w:szCs w:val="28"/>
        </w:rPr>
        <w:t>Тверской области по обеспечению контрольных функций составляются протоколы</w:t>
      </w:r>
      <w:r w:rsidRPr="00AE24A1">
        <w:rPr>
          <w:sz w:val="28"/>
          <w:szCs w:val="28"/>
        </w:rPr>
        <w:t xml:space="preserve"> </w:t>
      </w:r>
      <w:r w:rsidRPr="00F51442">
        <w:rPr>
          <w:sz w:val="28"/>
          <w:szCs w:val="28"/>
        </w:rPr>
        <w:t>об административных правонарушениях, предусмотренны</w:t>
      </w:r>
      <w:r>
        <w:rPr>
          <w:sz w:val="28"/>
          <w:szCs w:val="28"/>
        </w:rPr>
        <w:t>х</w:t>
      </w:r>
      <w:r w:rsidRPr="00F51442">
        <w:rPr>
          <w:sz w:val="28"/>
          <w:szCs w:val="28"/>
        </w:rPr>
        <w:t xml:space="preserve"> стат</w:t>
      </w:r>
      <w:r>
        <w:rPr>
          <w:sz w:val="28"/>
          <w:szCs w:val="28"/>
        </w:rPr>
        <w:t>ьями 15.1,</w:t>
      </w:r>
      <w:r w:rsidRPr="00A5513F">
        <w:rPr>
          <w:sz w:val="28"/>
          <w:szCs w:val="28"/>
        </w:rPr>
        <w:t xml:space="preserve"> </w:t>
      </w:r>
      <w:r>
        <w:rPr>
          <w:sz w:val="28"/>
          <w:szCs w:val="28"/>
        </w:rPr>
        <w:t>15.3,</w:t>
      </w:r>
      <w:r w:rsidRPr="00A5513F">
        <w:rPr>
          <w:sz w:val="28"/>
          <w:szCs w:val="28"/>
        </w:rPr>
        <w:t xml:space="preserve"> </w:t>
      </w:r>
      <w:r>
        <w:rPr>
          <w:sz w:val="28"/>
          <w:szCs w:val="28"/>
        </w:rPr>
        <w:t>15.6</w:t>
      </w:r>
      <w:r w:rsidRPr="00A5513F">
        <w:rPr>
          <w:sz w:val="28"/>
          <w:szCs w:val="28"/>
        </w:rPr>
        <w:t xml:space="preserve"> </w:t>
      </w:r>
      <w:r w:rsidRPr="00F51442">
        <w:rPr>
          <w:sz w:val="28"/>
          <w:szCs w:val="28"/>
        </w:rPr>
        <w:t>КоАП РФ.</w:t>
      </w:r>
    </w:p>
    <w:p w:rsidR="0055491A" w:rsidRDefault="0055491A" w:rsidP="0055491A">
      <w:pPr>
        <w:pStyle w:val="af4"/>
        <w:autoSpaceDE w:val="0"/>
        <w:autoSpaceDN w:val="0"/>
        <w:adjustRightInd w:val="0"/>
        <w:ind w:left="0" w:firstLine="709"/>
        <w:jc w:val="both"/>
        <w:rPr>
          <w:sz w:val="28"/>
          <w:szCs w:val="28"/>
        </w:rPr>
      </w:pPr>
      <w:r w:rsidRPr="00E428FB">
        <w:rPr>
          <w:sz w:val="28"/>
          <w:szCs w:val="28"/>
        </w:rPr>
        <w:t>Прогноз поступлений денежных взысканий (штрафов) на 20</w:t>
      </w:r>
      <w:r>
        <w:rPr>
          <w:sz w:val="28"/>
          <w:szCs w:val="28"/>
        </w:rPr>
        <w:t>22</w:t>
      </w:r>
      <w:r w:rsidRPr="00E428FB">
        <w:rPr>
          <w:sz w:val="28"/>
          <w:szCs w:val="28"/>
        </w:rPr>
        <w:t xml:space="preserve"> год и </w:t>
      </w:r>
      <w:r>
        <w:rPr>
          <w:sz w:val="28"/>
          <w:szCs w:val="28"/>
        </w:rPr>
        <w:t xml:space="preserve">на </w:t>
      </w:r>
      <w:r w:rsidRPr="00E428FB">
        <w:rPr>
          <w:sz w:val="28"/>
          <w:szCs w:val="28"/>
        </w:rPr>
        <w:t>плановый период 20</w:t>
      </w:r>
      <w:r>
        <w:rPr>
          <w:sz w:val="28"/>
          <w:szCs w:val="28"/>
        </w:rPr>
        <w:t>23</w:t>
      </w:r>
      <w:r w:rsidRPr="00E428FB">
        <w:rPr>
          <w:sz w:val="28"/>
          <w:szCs w:val="28"/>
        </w:rPr>
        <w:t>-20</w:t>
      </w:r>
      <w:r>
        <w:rPr>
          <w:sz w:val="28"/>
          <w:szCs w:val="28"/>
        </w:rPr>
        <w:t>24</w:t>
      </w:r>
      <w:r w:rsidRPr="00E428FB">
        <w:rPr>
          <w:sz w:val="28"/>
          <w:szCs w:val="28"/>
        </w:rPr>
        <w:t xml:space="preserve"> </w:t>
      </w:r>
      <w:r>
        <w:rPr>
          <w:sz w:val="28"/>
          <w:szCs w:val="28"/>
        </w:rPr>
        <w:t xml:space="preserve">гг. </w:t>
      </w:r>
      <w:r w:rsidRPr="00E428FB">
        <w:rPr>
          <w:sz w:val="28"/>
          <w:szCs w:val="28"/>
        </w:rPr>
        <w:t>в доход областного бюджета Тверской области определены методом прямого расчета, основанного на использовании среднего количества нарушений</w:t>
      </w:r>
      <w:r>
        <w:rPr>
          <w:sz w:val="28"/>
          <w:szCs w:val="28"/>
        </w:rPr>
        <w:t xml:space="preserve"> за 3 года, ответственность за которые предусмотрена соответствующими статьями КоАП РФ и размера штрафов.</w:t>
      </w:r>
    </w:p>
    <w:p w:rsidR="0055491A" w:rsidRDefault="0055491A" w:rsidP="0055491A">
      <w:pPr>
        <w:ind w:firstLine="360"/>
        <w:jc w:val="both"/>
        <w:rPr>
          <w:sz w:val="28"/>
          <w:szCs w:val="28"/>
        </w:rPr>
      </w:pPr>
      <w:r w:rsidRPr="00E428FB">
        <w:rPr>
          <w:sz w:val="28"/>
          <w:szCs w:val="28"/>
        </w:rPr>
        <w:t>Расчет прогноза на 20</w:t>
      </w:r>
      <w:r>
        <w:rPr>
          <w:sz w:val="28"/>
          <w:szCs w:val="28"/>
        </w:rPr>
        <w:t>22</w:t>
      </w:r>
      <w:r w:rsidRPr="00E428FB">
        <w:rPr>
          <w:sz w:val="28"/>
          <w:szCs w:val="28"/>
        </w:rPr>
        <w:t>-20</w:t>
      </w:r>
      <w:r>
        <w:rPr>
          <w:sz w:val="28"/>
          <w:szCs w:val="28"/>
        </w:rPr>
        <w:t>24</w:t>
      </w:r>
      <w:r w:rsidRPr="00E428FB">
        <w:rPr>
          <w:sz w:val="28"/>
          <w:szCs w:val="28"/>
        </w:rPr>
        <w:t xml:space="preserve"> годы представлен в таблице:</w:t>
      </w:r>
    </w:p>
    <w:p w:rsidR="0055491A" w:rsidRDefault="0055491A" w:rsidP="0055491A">
      <w:pPr>
        <w:ind w:firstLine="360"/>
        <w:jc w:val="both"/>
        <w:rPr>
          <w:sz w:val="28"/>
          <w:szCs w:val="28"/>
        </w:rPr>
      </w:pPr>
    </w:p>
    <w:tbl>
      <w:tblPr>
        <w:tblW w:w="9214" w:type="dxa"/>
        <w:tblInd w:w="-5" w:type="dxa"/>
        <w:tblLayout w:type="fixed"/>
        <w:tblLook w:val="04A0" w:firstRow="1" w:lastRow="0" w:firstColumn="1" w:lastColumn="0" w:noHBand="0" w:noVBand="1"/>
      </w:tblPr>
      <w:tblGrid>
        <w:gridCol w:w="1276"/>
        <w:gridCol w:w="992"/>
        <w:gridCol w:w="1276"/>
        <w:gridCol w:w="1134"/>
        <w:gridCol w:w="1276"/>
        <w:gridCol w:w="992"/>
        <w:gridCol w:w="1276"/>
        <w:gridCol w:w="992"/>
      </w:tblGrid>
      <w:tr w:rsidR="0055491A" w:rsidRPr="00B376AC" w:rsidTr="00210BF6">
        <w:trPr>
          <w:trHeight w:val="333"/>
        </w:trPr>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491A" w:rsidRPr="00E63650" w:rsidRDefault="0055491A" w:rsidP="00210BF6">
            <w:pPr>
              <w:jc w:val="center"/>
              <w:rPr>
                <w:sz w:val="20"/>
                <w:szCs w:val="20"/>
              </w:rPr>
            </w:pPr>
            <w:r w:rsidRPr="00E63650">
              <w:rPr>
                <w:sz w:val="20"/>
                <w:szCs w:val="20"/>
              </w:rPr>
              <w:t>Вид нарушения,</w:t>
            </w:r>
          </w:p>
          <w:p w:rsidR="0055491A" w:rsidRPr="00E63650" w:rsidRDefault="0055491A" w:rsidP="00210BF6">
            <w:pPr>
              <w:jc w:val="center"/>
              <w:rPr>
                <w:b/>
                <w:bCs/>
                <w:sz w:val="20"/>
                <w:szCs w:val="20"/>
              </w:rPr>
            </w:pPr>
            <w:r w:rsidRPr="00E63650">
              <w:rPr>
                <w:sz w:val="20"/>
                <w:szCs w:val="20"/>
              </w:rPr>
              <w:t>КОАП РФ</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491A" w:rsidRPr="00E63650" w:rsidRDefault="0055491A" w:rsidP="00210BF6">
            <w:pPr>
              <w:jc w:val="center"/>
              <w:rPr>
                <w:bCs/>
                <w:sz w:val="20"/>
                <w:szCs w:val="20"/>
              </w:rPr>
            </w:pPr>
            <w:r w:rsidRPr="00E63650">
              <w:rPr>
                <w:bCs/>
                <w:sz w:val="20"/>
                <w:szCs w:val="20"/>
              </w:rPr>
              <w:t>Размер штрафа, тыс.руб</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rsidR="0055491A" w:rsidRPr="00E63650" w:rsidRDefault="0055491A" w:rsidP="00210BF6">
            <w:pPr>
              <w:jc w:val="center"/>
              <w:rPr>
                <w:b/>
                <w:bCs/>
              </w:rPr>
            </w:pPr>
            <w:r w:rsidRPr="00E63650">
              <w:rPr>
                <w:b/>
                <w:bCs/>
              </w:rPr>
              <w:t>202</w:t>
            </w:r>
            <w:r>
              <w:rPr>
                <w:b/>
                <w:bCs/>
              </w:rPr>
              <w:t>2</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55491A" w:rsidRPr="00E63650" w:rsidRDefault="0055491A" w:rsidP="00210BF6">
            <w:pPr>
              <w:jc w:val="center"/>
              <w:rPr>
                <w:b/>
                <w:bCs/>
              </w:rPr>
            </w:pPr>
            <w:r w:rsidRPr="00E63650">
              <w:rPr>
                <w:b/>
                <w:bCs/>
              </w:rPr>
              <w:t>2</w:t>
            </w:r>
            <w:r>
              <w:rPr>
                <w:b/>
                <w:bCs/>
              </w:rPr>
              <w:t>023</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55491A" w:rsidRPr="00E63650" w:rsidRDefault="0055491A" w:rsidP="00210BF6">
            <w:pPr>
              <w:jc w:val="center"/>
              <w:rPr>
                <w:b/>
                <w:bCs/>
              </w:rPr>
            </w:pPr>
            <w:r w:rsidRPr="00E63650">
              <w:rPr>
                <w:b/>
                <w:bCs/>
              </w:rPr>
              <w:t>202</w:t>
            </w:r>
            <w:r>
              <w:rPr>
                <w:b/>
                <w:bCs/>
              </w:rPr>
              <w:t>4</w:t>
            </w:r>
          </w:p>
        </w:tc>
      </w:tr>
      <w:tr w:rsidR="0055491A" w:rsidRPr="00B376AC" w:rsidTr="00210BF6">
        <w:trPr>
          <w:trHeight w:val="707"/>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55491A" w:rsidRPr="00B376AC" w:rsidRDefault="0055491A" w:rsidP="00210BF6">
            <w:pPr>
              <w:rPr>
                <w:b/>
                <w:bCs/>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5491A" w:rsidRPr="00E63650" w:rsidRDefault="0055491A" w:rsidP="00210BF6">
            <w:pPr>
              <w:rPr>
                <w:bCs/>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55491A" w:rsidRPr="00E63650" w:rsidRDefault="0055491A" w:rsidP="00210BF6">
            <w:pPr>
              <w:jc w:val="center"/>
              <w:rPr>
                <w:bCs/>
                <w:sz w:val="20"/>
                <w:szCs w:val="20"/>
              </w:rPr>
            </w:pPr>
            <w:r w:rsidRPr="00E63650">
              <w:rPr>
                <w:bCs/>
                <w:sz w:val="20"/>
                <w:szCs w:val="20"/>
              </w:rPr>
              <w:t>Количество, шт.</w:t>
            </w:r>
          </w:p>
        </w:tc>
        <w:tc>
          <w:tcPr>
            <w:tcW w:w="1134" w:type="dxa"/>
            <w:tcBorders>
              <w:top w:val="nil"/>
              <w:left w:val="nil"/>
              <w:bottom w:val="single" w:sz="4" w:space="0" w:color="auto"/>
              <w:right w:val="single" w:sz="4" w:space="0" w:color="auto"/>
            </w:tcBorders>
            <w:shd w:val="clear" w:color="auto" w:fill="auto"/>
            <w:vAlign w:val="center"/>
            <w:hideMark/>
          </w:tcPr>
          <w:p w:rsidR="0055491A" w:rsidRPr="00E63650" w:rsidRDefault="0055491A" w:rsidP="00210BF6">
            <w:pPr>
              <w:jc w:val="center"/>
              <w:rPr>
                <w:bCs/>
                <w:sz w:val="20"/>
                <w:szCs w:val="20"/>
              </w:rPr>
            </w:pPr>
            <w:r w:rsidRPr="00E63650">
              <w:rPr>
                <w:bCs/>
                <w:sz w:val="20"/>
                <w:szCs w:val="20"/>
              </w:rPr>
              <w:t>Сумма, тыс. руб.</w:t>
            </w:r>
          </w:p>
        </w:tc>
        <w:tc>
          <w:tcPr>
            <w:tcW w:w="1276" w:type="dxa"/>
            <w:tcBorders>
              <w:top w:val="nil"/>
              <w:left w:val="nil"/>
              <w:bottom w:val="single" w:sz="4" w:space="0" w:color="auto"/>
              <w:right w:val="single" w:sz="4" w:space="0" w:color="auto"/>
            </w:tcBorders>
            <w:shd w:val="clear" w:color="auto" w:fill="auto"/>
            <w:vAlign w:val="center"/>
            <w:hideMark/>
          </w:tcPr>
          <w:p w:rsidR="0055491A" w:rsidRPr="00E63650" w:rsidRDefault="0055491A" w:rsidP="00210BF6">
            <w:pPr>
              <w:jc w:val="center"/>
              <w:rPr>
                <w:bCs/>
                <w:sz w:val="20"/>
                <w:szCs w:val="20"/>
              </w:rPr>
            </w:pPr>
            <w:r w:rsidRPr="00E63650">
              <w:rPr>
                <w:bCs/>
                <w:sz w:val="20"/>
                <w:szCs w:val="20"/>
              </w:rPr>
              <w:t>Количество, шт.</w:t>
            </w:r>
          </w:p>
        </w:tc>
        <w:tc>
          <w:tcPr>
            <w:tcW w:w="992" w:type="dxa"/>
            <w:tcBorders>
              <w:top w:val="nil"/>
              <w:left w:val="nil"/>
              <w:bottom w:val="single" w:sz="4" w:space="0" w:color="auto"/>
              <w:right w:val="single" w:sz="4" w:space="0" w:color="auto"/>
            </w:tcBorders>
            <w:shd w:val="clear" w:color="auto" w:fill="auto"/>
            <w:vAlign w:val="center"/>
            <w:hideMark/>
          </w:tcPr>
          <w:p w:rsidR="0055491A" w:rsidRPr="00E63650" w:rsidRDefault="0055491A" w:rsidP="00210BF6">
            <w:pPr>
              <w:jc w:val="center"/>
              <w:rPr>
                <w:bCs/>
                <w:sz w:val="20"/>
                <w:szCs w:val="20"/>
              </w:rPr>
            </w:pPr>
            <w:r w:rsidRPr="00E63650">
              <w:rPr>
                <w:bCs/>
                <w:sz w:val="20"/>
                <w:szCs w:val="20"/>
              </w:rPr>
              <w:t>Сумма, тыс. руб.</w:t>
            </w:r>
          </w:p>
        </w:tc>
        <w:tc>
          <w:tcPr>
            <w:tcW w:w="1276" w:type="dxa"/>
            <w:tcBorders>
              <w:top w:val="nil"/>
              <w:left w:val="nil"/>
              <w:bottom w:val="single" w:sz="4" w:space="0" w:color="auto"/>
              <w:right w:val="single" w:sz="4" w:space="0" w:color="auto"/>
            </w:tcBorders>
            <w:shd w:val="clear" w:color="auto" w:fill="auto"/>
            <w:vAlign w:val="center"/>
            <w:hideMark/>
          </w:tcPr>
          <w:p w:rsidR="0055491A" w:rsidRPr="00E63650" w:rsidRDefault="0055491A" w:rsidP="00210BF6">
            <w:pPr>
              <w:jc w:val="center"/>
              <w:rPr>
                <w:bCs/>
                <w:sz w:val="20"/>
                <w:szCs w:val="20"/>
              </w:rPr>
            </w:pPr>
            <w:r w:rsidRPr="00E63650">
              <w:rPr>
                <w:bCs/>
                <w:sz w:val="20"/>
                <w:szCs w:val="20"/>
              </w:rPr>
              <w:t>Количество, шт</w:t>
            </w:r>
          </w:p>
        </w:tc>
        <w:tc>
          <w:tcPr>
            <w:tcW w:w="992" w:type="dxa"/>
            <w:tcBorders>
              <w:top w:val="nil"/>
              <w:left w:val="nil"/>
              <w:bottom w:val="single" w:sz="4" w:space="0" w:color="auto"/>
              <w:right w:val="single" w:sz="4" w:space="0" w:color="auto"/>
            </w:tcBorders>
            <w:shd w:val="clear" w:color="auto" w:fill="auto"/>
            <w:vAlign w:val="center"/>
            <w:hideMark/>
          </w:tcPr>
          <w:p w:rsidR="0055491A" w:rsidRPr="00E63650" w:rsidRDefault="0055491A" w:rsidP="00210BF6">
            <w:pPr>
              <w:jc w:val="center"/>
              <w:rPr>
                <w:bCs/>
                <w:sz w:val="20"/>
                <w:szCs w:val="20"/>
              </w:rPr>
            </w:pPr>
            <w:r w:rsidRPr="00E63650">
              <w:rPr>
                <w:bCs/>
                <w:sz w:val="20"/>
                <w:szCs w:val="20"/>
              </w:rPr>
              <w:t>Сумма, тыс. руб.</w:t>
            </w:r>
          </w:p>
        </w:tc>
      </w:tr>
      <w:tr w:rsidR="0055491A" w:rsidRPr="00B376AC" w:rsidTr="00210BF6">
        <w:trPr>
          <w:trHeight w:val="420"/>
        </w:trPr>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5491A" w:rsidRPr="00E63650" w:rsidRDefault="0055491A" w:rsidP="00210BF6">
            <w:pPr>
              <w:jc w:val="center"/>
              <w:rPr>
                <w:bCs/>
                <w:sz w:val="20"/>
                <w:szCs w:val="20"/>
              </w:rPr>
            </w:pPr>
            <w:r w:rsidRPr="007207A4">
              <w:rPr>
                <w:bCs/>
                <w:sz w:val="20"/>
                <w:szCs w:val="20"/>
              </w:rPr>
              <w:t xml:space="preserve">ст. </w:t>
            </w:r>
            <w:r>
              <w:rPr>
                <w:bCs/>
                <w:sz w:val="20"/>
                <w:szCs w:val="20"/>
              </w:rPr>
              <w:t>15.1</w:t>
            </w:r>
          </w:p>
          <w:p w:rsidR="0055491A" w:rsidRPr="007207A4" w:rsidRDefault="0055491A" w:rsidP="00210BF6">
            <w:pPr>
              <w:jc w:val="center"/>
              <w:rPr>
                <w:bCs/>
                <w:sz w:val="20"/>
                <w:szCs w:val="20"/>
              </w:rPr>
            </w:pPr>
          </w:p>
        </w:tc>
        <w:tc>
          <w:tcPr>
            <w:tcW w:w="992" w:type="dxa"/>
            <w:tcBorders>
              <w:top w:val="nil"/>
              <w:left w:val="nil"/>
              <w:bottom w:val="single" w:sz="4" w:space="0" w:color="auto"/>
              <w:right w:val="single" w:sz="4" w:space="0" w:color="auto"/>
            </w:tcBorders>
            <w:shd w:val="clear" w:color="auto" w:fill="auto"/>
            <w:vAlign w:val="center"/>
          </w:tcPr>
          <w:p w:rsidR="0055491A" w:rsidRPr="007207A4" w:rsidRDefault="0055491A" w:rsidP="00210BF6">
            <w:pPr>
              <w:jc w:val="center"/>
              <w:rPr>
                <w:sz w:val="20"/>
                <w:szCs w:val="20"/>
              </w:rPr>
            </w:pPr>
            <w:r>
              <w:rPr>
                <w:sz w:val="20"/>
                <w:szCs w:val="20"/>
              </w:rPr>
              <w:t>10</w:t>
            </w:r>
          </w:p>
        </w:tc>
        <w:tc>
          <w:tcPr>
            <w:tcW w:w="1276" w:type="dxa"/>
            <w:tcBorders>
              <w:top w:val="nil"/>
              <w:left w:val="nil"/>
              <w:bottom w:val="single" w:sz="4" w:space="0" w:color="auto"/>
              <w:right w:val="single" w:sz="4" w:space="0" w:color="auto"/>
            </w:tcBorders>
            <w:shd w:val="clear" w:color="auto" w:fill="auto"/>
            <w:vAlign w:val="center"/>
          </w:tcPr>
          <w:p w:rsidR="0055491A" w:rsidRPr="00160899" w:rsidRDefault="0055491A" w:rsidP="00210BF6">
            <w:pPr>
              <w:jc w:val="center"/>
              <w:rPr>
                <w:sz w:val="20"/>
                <w:szCs w:val="20"/>
              </w:rPr>
            </w:pPr>
            <w:r>
              <w:rPr>
                <w:sz w:val="20"/>
                <w:szCs w:val="20"/>
              </w:rPr>
              <w:t>1</w:t>
            </w:r>
          </w:p>
        </w:tc>
        <w:tc>
          <w:tcPr>
            <w:tcW w:w="1134" w:type="dxa"/>
            <w:tcBorders>
              <w:top w:val="nil"/>
              <w:left w:val="nil"/>
              <w:bottom w:val="single" w:sz="4" w:space="0" w:color="auto"/>
              <w:right w:val="single" w:sz="4" w:space="0" w:color="auto"/>
            </w:tcBorders>
            <w:shd w:val="clear" w:color="auto" w:fill="auto"/>
            <w:vAlign w:val="center"/>
          </w:tcPr>
          <w:p w:rsidR="0055491A" w:rsidRPr="00160899" w:rsidRDefault="0055491A" w:rsidP="00210BF6">
            <w:pPr>
              <w:jc w:val="center"/>
              <w:rPr>
                <w:sz w:val="20"/>
                <w:szCs w:val="20"/>
              </w:rPr>
            </w:pPr>
            <w:r>
              <w:rPr>
                <w:sz w:val="20"/>
                <w:szCs w:val="20"/>
              </w:rPr>
              <w:t>10,0</w:t>
            </w:r>
          </w:p>
        </w:tc>
        <w:tc>
          <w:tcPr>
            <w:tcW w:w="1276" w:type="dxa"/>
            <w:tcBorders>
              <w:top w:val="nil"/>
              <w:left w:val="nil"/>
              <w:bottom w:val="single" w:sz="4" w:space="0" w:color="auto"/>
              <w:right w:val="single" w:sz="4" w:space="0" w:color="auto"/>
            </w:tcBorders>
            <w:shd w:val="clear" w:color="auto" w:fill="auto"/>
            <w:vAlign w:val="center"/>
          </w:tcPr>
          <w:p w:rsidR="0055491A" w:rsidRPr="00160899" w:rsidRDefault="0055491A" w:rsidP="00210BF6">
            <w:pPr>
              <w:jc w:val="center"/>
              <w:rPr>
                <w:sz w:val="20"/>
                <w:szCs w:val="20"/>
              </w:rPr>
            </w:pPr>
            <w:r>
              <w:rPr>
                <w:sz w:val="20"/>
                <w:szCs w:val="20"/>
              </w:rPr>
              <w:t>1</w:t>
            </w:r>
          </w:p>
        </w:tc>
        <w:tc>
          <w:tcPr>
            <w:tcW w:w="992" w:type="dxa"/>
            <w:tcBorders>
              <w:top w:val="nil"/>
              <w:left w:val="nil"/>
              <w:bottom w:val="single" w:sz="4" w:space="0" w:color="auto"/>
              <w:right w:val="single" w:sz="4" w:space="0" w:color="auto"/>
            </w:tcBorders>
            <w:shd w:val="clear" w:color="auto" w:fill="auto"/>
            <w:vAlign w:val="center"/>
          </w:tcPr>
          <w:p w:rsidR="0055491A" w:rsidRPr="00160899" w:rsidRDefault="0055491A" w:rsidP="00210BF6">
            <w:pPr>
              <w:jc w:val="center"/>
              <w:rPr>
                <w:sz w:val="20"/>
                <w:szCs w:val="20"/>
              </w:rPr>
            </w:pPr>
            <w:r>
              <w:rPr>
                <w:sz w:val="20"/>
                <w:szCs w:val="20"/>
              </w:rPr>
              <w:t>10,0</w:t>
            </w:r>
          </w:p>
        </w:tc>
        <w:tc>
          <w:tcPr>
            <w:tcW w:w="1276" w:type="dxa"/>
            <w:tcBorders>
              <w:top w:val="nil"/>
              <w:left w:val="nil"/>
              <w:bottom w:val="single" w:sz="4" w:space="0" w:color="auto"/>
              <w:right w:val="single" w:sz="4" w:space="0" w:color="auto"/>
            </w:tcBorders>
            <w:shd w:val="clear" w:color="auto" w:fill="auto"/>
            <w:vAlign w:val="center"/>
          </w:tcPr>
          <w:p w:rsidR="0055491A" w:rsidRPr="00160899" w:rsidRDefault="0055491A" w:rsidP="00210BF6">
            <w:pPr>
              <w:jc w:val="center"/>
              <w:rPr>
                <w:sz w:val="20"/>
                <w:szCs w:val="20"/>
              </w:rPr>
            </w:pPr>
            <w:r>
              <w:rPr>
                <w:sz w:val="20"/>
                <w:szCs w:val="20"/>
              </w:rPr>
              <w:t>1</w:t>
            </w:r>
          </w:p>
        </w:tc>
        <w:tc>
          <w:tcPr>
            <w:tcW w:w="992" w:type="dxa"/>
            <w:tcBorders>
              <w:top w:val="nil"/>
              <w:left w:val="nil"/>
              <w:bottom w:val="single" w:sz="4" w:space="0" w:color="auto"/>
              <w:right w:val="single" w:sz="4" w:space="0" w:color="auto"/>
            </w:tcBorders>
            <w:shd w:val="clear" w:color="auto" w:fill="auto"/>
            <w:vAlign w:val="center"/>
          </w:tcPr>
          <w:p w:rsidR="0055491A" w:rsidRPr="00160899" w:rsidRDefault="0055491A" w:rsidP="00210BF6">
            <w:pPr>
              <w:jc w:val="center"/>
              <w:rPr>
                <w:sz w:val="20"/>
                <w:szCs w:val="20"/>
              </w:rPr>
            </w:pPr>
            <w:r>
              <w:rPr>
                <w:sz w:val="20"/>
                <w:szCs w:val="20"/>
              </w:rPr>
              <w:t>10,0</w:t>
            </w:r>
          </w:p>
        </w:tc>
      </w:tr>
      <w:tr w:rsidR="0055491A" w:rsidRPr="00B376AC" w:rsidTr="00210BF6">
        <w:trPr>
          <w:trHeight w:val="420"/>
        </w:trPr>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5491A" w:rsidRPr="00E63650" w:rsidRDefault="0055491A" w:rsidP="00210BF6">
            <w:pPr>
              <w:jc w:val="center"/>
              <w:rPr>
                <w:bCs/>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55491A" w:rsidRPr="007207A4" w:rsidRDefault="0055491A" w:rsidP="00210BF6">
            <w:pPr>
              <w:jc w:val="center"/>
              <w:rPr>
                <w:sz w:val="20"/>
                <w:szCs w:val="20"/>
              </w:rPr>
            </w:pPr>
            <w:r>
              <w:rPr>
                <w:sz w:val="20"/>
                <w:szCs w:val="20"/>
              </w:rPr>
              <w:t>20</w:t>
            </w:r>
          </w:p>
        </w:tc>
        <w:tc>
          <w:tcPr>
            <w:tcW w:w="1276" w:type="dxa"/>
            <w:tcBorders>
              <w:top w:val="nil"/>
              <w:left w:val="nil"/>
              <w:bottom w:val="single" w:sz="4" w:space="0" w:color="auto"/>
              <w:right w:val="single" w:sz="4" w:space="0" w:color="auto"/>
            </w:tcBorders>
            <w:shd w:val="clear" w:color="auto" w:fill="auto"/>
            <w:vAlign w:val="center"/>
            <w:hideMark/>
          </w:tcPr>
          <w:p w:rsidR="0055491A" w:rsidRPr="00160899" w:rsidRDefault="0055491A" w:rsidP="00210BF6">
            <w:pPr>
              <w:jc w:val="center"/>
              <w:rPr>
                <w:sz w:val="20"/>
                <w:szCs w:val="20"/>
              </w:rPr>
            </w:pPr>
            <w:r>
              <w:rPr>
                <w:sz w:val="20"/>
                <w:szCs w:val="20"/>
              </w:rPr>
              <w:t>2</w:t>
            </w:r>
          </w:p>
        </w:tc>
        <w:tc>
          <w:tcPr>
            <w:tcW w:w="1134" w:type="dxa"/>
            <w:tcBorders>
              <w:top w:val="nil"/>
              <w:left w:val="nil"/>
              <w:bottom w:val="single" w:sz="4" w:space="0" w:color="auto"/>
              <w:right w:val="single" w:sz="4" w:space="0" w:color="auto"/>
            </w:tcBorders>
            <w:shd w:val="clear" w:color="auto" w:fill="auto"/>
            <w:vAlign w:val="center"/>
            <w:hideMark/>
          </w:tcPr>
          <w:p w:rsidR="0055491A" w:rsidRPr="00160899" w:rsidRDefault="0055491A" w:rsidP="00210BF6">
            <w:pPr>
              <w:jc w:val="center"/>
              <w:rPr>
                <w:sz w:val="20"/>
                <w:szCs w:val="20"/>
              </w:rPr>
            </w:pPr>
            <w:r>
              <w:rPr>
                <w:sz w:val="20"/>
                <w:szCs w:val="20"/>
              </w:rPr>
              <w:t>4</w:t>
            </w:r>
            <w:r w:rsidRPr="00160899">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55491A" w:rsidRPr="00160899" w:rsidRDefault="0055491A" w:rsidP="00210BF6">
            <w:pPr>
              <w:jc w:val="center"/>
              <w:rPr>
                <w:sz w:val="20"/>
                <w:szCs w:val="20"/>
              </w:rPr>
            </w:pPr>
            <w:r>
              <w:rPr>
                <w:sz w:val="20"/>
                <w:szCs w:val="20"/>
              </w:rPr>
              <w:t>2</w:t>
            </w:r>
          </w:p>
        </w:tc>
        <w:tc>
          <w:tcPr>
            <w:tcW w:w="992" w:type="dxa"/>
            <w:tcBorders>
              <w:top w:val="nil"/>
              <w:left w:val="nil"/>
              <w:bottom w:val="single" w:sz="4" w:space="0" w:color="auto"/>
              <w:right w:val="single" w:sz="4" w:space="0" w:color="auto"/>
            </w:tcBorders>
            <w:shd w:val="clear" w:color="auto" w:fill="auto"/>
            <w:vAlign w:val="center"/>
            <w:hideMark/>
          </w:tcPr>
          <w:p w:rsidR="0055491A" w:rsidRPr="00160899" w:rsidRDefault="0055491A" w:rsidP="00210BF6">
            <w:pPr>
              <w:jc w:val="center"/>
              <w:rPr>
                <w:sz w:val="20"/>
                <w:szCs w:val="20"/>
              </w:rPr>
            </w:pPr>
            <w:r>
              <w:rPr>
                <w:sz w:val="20"/>
                <w:szCs w:val="20"/>
              </w:rPr>
              <w:t>4</w:t>
            </w:r>
            <w:r w:rsidRPr="00160899">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55491A" w:rsidRPr="00160899" w:rsidRDefault="0055491A" w:rsidP="00210BF6">
            <w:pPr>
              <w:jc w:val="center"/>
              <w:rPr>
                <w:sz w:val="20"/>
                <w:szCs w:val="20"/>
              </w:rPr>
            </w:pPr>
            <w:r>
              <w:rPr>
                <w:sz w:val="20"/>
                <w:szCs w:val="20"/>
              </w:rPr>
              <w:t>2</w:t>
            </w:r>
          </w:p>
        </w:tc>
        <w:tc>
          <w:tcPr>
            <w:tcW w:w="992" w:type="dxa"/>
            <w:tcBorders>
              <w:top w:val="nil"/>
              <w:left w:val="nil"/>
              <w:bottom w:val="single" w:sz="4" w:space="0" w:color="auto"/>
              <w:right w:val="single" w:sz="4" w:space="0" w:color="auto"/>
            </w:tcBorders>
            <w:shd w:val="clear" w:color="auto" w:fill="auto"/>
            <w:vAlign w:val="center"/>
            <w:hideMark/>
          </w:tcPr>
          <w:p w:rsidR="0055491A" w:rsidRPr="00160899" w:rsidRDefault="0055491A" w:rsidP="00210BF6">
            <w:pPr>
              <w:jc w:val="center"/>
              <w:rPr>
                <w:sz w:val="20"/>
                <w:szCs w:val="20"/>
              </w:rPr>
            </w:pPr>
            <w:r>
              <w:rPr>
                <w:sz w:val="20"/>
                <w:szCs w:val="20"/>
              </w:rPr>
              <w:t>4</w:t>
            </w:r>
            <w:r w:rsidRPr="00160899">
              <w:rPr>
                <w:sz w:val="20"/>
                <w:szCs w:val="20"/>
              </w:rPr>
              <w:t>0,0</w:t>
            </w:r>
          </w:p>
        </w:tc>
      </w:tr>
      <w:tr w:rsidR="0055491A" w:rsidRPr="00B376AC" w:rsidTr="00210BF6">
        <w:trPr>
          <w:trHeight w:val="42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1A" w:rsidRPr="00E63650" w:rsidRDefault="0055491A" w:rsidP="00210BF6">
            <w:pPr>
              <w:jc w:val="center"/>
              <w:rPr>
                <w:bCs/>
                <w:sz w:val="20"/>
                <w:szCs w:val="20"/>
              </w:rPr>
            </w:pPr>
            <w:r w:rsidRPr="007207A4">
              <w:rPr>
                <w:bCs/>
                <w:sz w:val="20"/>
                <w:szCs w:val="20"/>
              </w:rPr>
              <w:t xml:space="preserve">ст. </w:t>
            </w:r>
            <w:r>
              <w:rPr>
                <w:bCs/>
                <w:sz w:val="20"/>
                <w:szCs w:val="20"/>
              </w:rPr>
              <w:t>15.3</w:t>
            </w:r>
          </w:p>
          <w:p w:rsidR="0055491A" w:rsidRPr="00E63650" w:rsidRDefault="0055491A" w:rsidP="00210BF6">
            <w:pPr>
              <w:jc w:val="center"/>
              <w:rPr>
                <w:bCs/>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55491A" w:rsidRPr="007207A4" w:rsidRDefault="0055491A" w:rsidP="00210BF6">
            <w:pPr>
              <w:jc w:val="center"/>
              <w:rPr>
                <w:sz w:val="20"/>
                <w:szCs w:val="20"/>
              </w:rPr>
            </w:pPr>
            <w:r>
              <w:rPr>
                <w:sz w:val="20"/>
                <w:szCs w:val="20"/>
              </w:rPr>
              <w:t>30</w:t>
            </w:r>
          </w:p>
        </w:tc>
        <w:tc>
          <w:tcPr>
            <w:tcW w:w="1276" w:type="dxa"/>
            <w:tcBorders>
              <w:top w:val="nil"/>
              <w:left w:val="nil"/>
              <w:bottom w:val="single" w:sz="4" w:space="0" w:color="auto"/>
              <w:right w:val="single" w:sz="4" w:space="0" w:color="auto"/>
            </w:tcBorders>
            <w:shd w:val="clear" w:color="auto" w:fill="auto"/>
            <w:vAlign w:val="center"/>
            <w:hideMark/>
          </w:tcPr>
          <w:p w:rsidR="0055491A" w:rsidRPr="007207A4" w:rsidRDefault="0055491A" w:rsidP="00210BF6">
            <w:pPr>
              <w:jc w:val="center"/>
              <w:rPr>
                <w:sz w:val="20"/>
                <w:szCs w:val="20"/>
              </w:rPr>
            </w:pPr>
            <w:r>
              <w:rPr>
                <w:sz w:val="20"/>
                <w:szCs w:val="20"/>
              </w:rPr>
              <w:t>2</w:t>
            </w:r>
          </w:p>
        </w:tc>
        <w:tc>
          <w:tcPr>
            <w:tcW w:w="1134" w:type="dxa"/>
            <w:tcBorders>
              <w:top w:val="nil"/>
              <w:left w:val="nil"/>
              <w:bottom w:val="single" w:sz="4" w:space="0" w:color="auto"/>
              <w:right w:val="single" w:sz="4" w:space="0" w:color="auto"/>
            </w:tcBorders>
            <w:shd w:val="clear" w:color="auto" w:fill="auto"/>
            <w:vAlign w:val="center"/>
            <w:hideMark/>
          </w:tcPr>
          <w:p w:rsidR="0055491A" w:rsidRPr="007207A4" w:rsidRDefault="0055491A" w:rsidP="00210BF6">
            <w:pPr>
              <w:jc w:val="center"/>
              <w:rPr>
                <w:sz w:val="20"/>
                <w:szCs w:val="20"/>
              </w:rPr>
            </w:pPr>
            <w:r>
              <w:rPr>
                <w:sz w:val="20"/>
                <w:szCs w:val="20"/>
              </w:rPr>
              <w:t>6</w:t>
            </w:r>
            <w:r w:rsidRPr="007207A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55491A" w:rsidRPr="007207A4" w:rsidRDefault="0055491A" w:rsidP="00210BF6">
            <w:pPr>
              <w:jc w:val="center"/>
              <w:rPr>
                <w:sz w:val="20"/>
                <w:szCs w:val="20"/>
              </w:rPr>
            </w:pPr>
            <w:r>
              <w:rPr>
                <w:sz w:val="20"/>
                <w:szCs w:val="20"/>
              </w:rPr>
              <w:t>2</w:t>
            </w:r>
          </w:p>
        </w:tc>
        <w:tc>
          <w:tcPr>
            <w:tcW w:w="992" w:type="dxa"/>
            <w:tcBorders>
              <w:top w:val="nil"/>
              <w:left w:val="nil"/>
              <w:bottom w:val="single" w:sz="4" w:space="0" w:color="auto"/>
              <w:right w:val="single" w:sz="4" w:space="0" w:color="auto"/>
            </w:tcBorders>
            <w:shd w:val="clear" w:color="auto" w:fill="auto"/>
            <w:vAlign w:val="center"/>
            <w:hideMark/>
          </w:tcPr>
          <w:p w:rsidR="0055491A" w:rsidRPr="007207A4" w:rsidRDefault="0055491A" w:rsidP="00210BF6">
            <w:pPr>
              <w:jc w:val="center"/>
              <w:rPr>
                <w:sz w:val="20"/>
                <w:szCs w:val="20"/>
              </w:rPr>
            </w:pPr>
            <w:r>
              <w:rPr>
                <w:sz w:val="20"/>
                <w:szCs w:val="20"/>
              </w:rPr>
              <w:t>6</w:t>
            </w:r>
            <w:r w:rsidRPr="007207A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55491A" w:rsidRPr="007207A4" w:rsidRDefault="0055491A" w:rsidP="00210BF6">
            <w:pPr>
              <w:jc w:val="center"/>
              <w:rPr>
                <w:sz w:val="20"/>
                <w:szCs w:val="20"/>
              </w:rPr>
            </w:pPr>
            <w:r>
              <w:rPr>
                <w:sz w:val="20"/>
                <w:szCs w:val="20"/>
              </w:rPr>
              <w:t>2</w:t>
            </w:r>
          </w:p>
        </w:tc>
        <w:tc>
          <w:tcPr>
            <w:tcW w:w="992" w:type="dxa"/>
            <w:tcBorders>
              <w:top w:val="nil"/>
              <w:left w:val="nil"/>
              <w:bottom w:val="single" w:sz="4" w:space="0" w:color="auto"/>
              <w:right w:val="single" w:sz="4" w:space="0" w:color="auto"/>
            </w:tcBorders>
            <w:shd w:val="clear" w:color="auto" w:fill="auto"/>
            <w:vAlign w:val="center"/>
            <w:hideMark/>
          </w:tcPr>
          <w:p w:rsidR="0055491A" w:rsidRPr="007207A4" w:rsidRDefault="0055491A" w:rsidP="00210BF6">
            <w:pPr>
              <w:jc w:val="center"/>
              <w:rPr>
                <w:sz w:val="20"/>
                <w:szCs w:val="20"/>
              </w:rPr>
            </w:pPr>
            <w:r>
              <w:rPr>
                <w:sz w:val="20"/>
                <w:szCs w:val="20"/>
              </w:rPr>
              <w:t>6</w:t>
            </w:r>
            <w:r w:rsidRPr="007207A4">
              <w:rPr>
                <w:sz w:val="20"/>
                <w:szCs w:val="20"/>
              </w:rPr>
              <w:t>0,0</w:t>
            </w:r>
          </w:p>
        </w:tc>
      </w:tr>
      <w:tr w:rsidR="0055491A" w:rsidRPr="00B376AC" w:rsidTr="00210BF6">
        <w:trPr>
          <w:trHeight w:val="39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5491A" w:rsidRPr="00AE24A1" w:rsidRDefault="0055491A" w:rsidP="00210BF6">
            <w:pPr>
              <w:jc w:val="center"/>
              <w:rPr>
                <w:b/>
                <w:sz w:val="16"/>
                <w:szCs w:val="16"/>
              </w:rPr>
            </w:pPr>
            <w:r w:rsidRPr="00F80477">
              <w:rPr>
                <w:b/>
                <w:bCs/>
              </w:rPr>
              <w:t>ИТОГО</w:t>
            </w:r>
          </w:p>
        </w:tc>
        <w:tc>
          <w:tcPr>
            <w:tcW w:w="992" w:type="dxa"/>
            <w:tcBorders>
              <w:top w:val="nil"/>
              <w:left w:val="nil"/>
              <w:bottom w:val="single" w:sz="4" w:space="0" w:color="auto"/>
              <w:right w:val="single" w:sz="4" w:space="0" w:color="auto"/>
            </w:tcBorders>
            <w:shd w:val="clear" w:color="auto" w:fill="auto"/>
            <w:vAlign w:val="center"/>
          </w:tcPr>
          <w:p w:rsidR="0055491A" w:rsidRPr="00B376AC" w:rsidRDefault="0055491A" w:rsidP="00210BF6">
            <w:pPr>
              <w:jc w:val="center"/>
              <w:rPr>
                <w:color w:val="000000"/>
                <w:sz w:val="16"/>
                <w:szCs w:val="16"/>
              </w:rPr>
            </w:pPr>
          </w:p>
        </w:tc>
        <w:tc>
          <w:tcPr>
            <w:tcW w:w="1276" w:type="dxa"/>
            <w:tcBorders>
              <w:top w:val="nil"/>
              <w:left w:val="nil"/>
              <w:bottom w:val="single" w:sz="4" w:space="0" w:color="auto"/>
              <w:right w:val="single" w:sz="4" w:space="0" w:color="auto"/>
            </w:tcBorders>
            <w:shd w:val="clear" w:color="auto" w:fill="auto"/>
            <w:vAlign w:val="center"/>
          </w:tcPr>
          <w:p w:rsidR="0055491A" w:rsidRPr="00BD2086" w:rsidRDefault="0055491A" w:rsidP="00210BF6">
            <w:pPr>
              <w:jc w:val="center"/>
              <w:rPr>
                <w:b/>
                <w:color w:val="00000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55491A" w:rsidRPr="00FC79BE" w:rsidRDefault="0055491A" w:rsidP="00210BF6">
            <w:pPr>
              <w:jc w:val="center"/>
              <w:rPr>
                <w:b/>
                <w:color w:val="000000"/>
              </w:rPr>
            </w:pPr>
            <w:r>
              <w:rPr>
                <w:b/>
                <w:color w:val="000000"/>
              </w:rPr>
              <w:t>110,0</w:t>
            </w:r>
          </w:p>
        </w:tc>
        <w:tc>
          <w:tcPr>
            <w:tcW w:w="1276" w:type="dxa"/>
            <w:tcBorders>
              <w:top w:val="nil"/>
              <w:left w:val="nil"/>
              <w:bottom w:val="single" w:sz="4" w:space="0" w:color="auto"/>
              <w:right w:val="single" w:sz="4" w:space="0" w:color="auto"/>
            </w:tcBorders>
            <w:shd w:val="clear" w:color="auto" w:fill="auto"/>
            <w:vAlign w:val="center"/>
          </w:tcPr>
          <w:p w:rsidR="0055491A" w:rsidRPr="00FC79BE" w:rsidRDefault="0055491A" w:rsidP="00210BF6">
            <w:pPr>
              <w:jc w:val="center"/>
              <w:rPr>
                <w:b/>
                <w:color w:val="000000"/>
              </w:rPr>
            </w:pPr>
          </w:p>
        </w:tc>
        <w:tc>
          <w:tcPr>
            <w:tcW w:w="992" w:type="dxa"/>
            <w:tcBorders>
              <w:top w:val="nil"/>
              <w:left w:val="nil"/>
              <w:bottom w:val="single" w:sz="4" w:space="0" w:color="auto"/>
              <w:right w:val="single" w:sz="4" w:space="0" w:color="auto"/>
            </w:tcBorders>
            <w:shd w:val="clear" w:color="auto" w:fill="auto"/>
            <w:vAlign w:val="center"/>
          </w:tcPr>
          <w:p w:rsidR="0055491A" w:rsidRPr="00FC79BE" w:rsidRDefault="0055491A" w:rsidP="00210BF6">
            <w:pPr>
              <w:jc w:val="center"/>
              <w:rPr>
                <w:b/>
                <w:color w:val="000000"/>
              </w:rPr>
            </w:pPr>
            <w:r>
              <w:rPr>
                <w:b/>
                <w:color w:val="000000"/>
              </w:rPr>
              <w:t>110,0</w:t>
            </w:r>
          </w:p>
        </w:tc>
        <w:tc>
          <w:tcPr>
            <w:tcW w:w="1276" w:type="dxa"/>
            <w:tcBorders>
              <w:top w:val="nil"/>
              <w:left w:val="nil"/>
              <w:bottom w:val="single" w:sz="4" w:space="0" w:color="auto"/>
              <w:right w:val="single" w:sz="4" w:space="0" w:color="auto"/>
            </w:tcBorders>
            <w:shd w:val="clear" w:color="auto" w:fill="auto"/>
            <w:vAlign w:val="center"/>
          </w:tcPr>
          <w:p w:rsidR="0055491A" w:rsidRPr="00FC79BE" w:rsidRDefault="0055491A" w:rsidP="00210BF6">
            <w:pPr>
              <w:jc w:val="center"/>
              <w:rPr>
                <w:b/>
                <w:color w:val="000000"/>
              </w:rPr>
            </w:pPr>
          </w:p>
        </w:tc>
        <w:tc>
          <w:tcPr>
            <w:tcW w:w="992" w:type="dxa"/>
            <w:tcBorders>
              <w:top w:val="nil"/>
              <w:left w:val="nil"/>
              <w:bottom w:val="single" w:sz="4" w:space="0" w:color="auto"/>
              <w:right w:val="single" w:sz="4" w:space="0" w:color="auto"/>
            </w:tcBorders>
            <w:shd w:val="clear" w:color="auto" w:fill="auto"/>
            <w:vAlign w:val="center"/>
          </w:tcPr>
          <w:p w:rsidR="0055491A" w:rsidRPr="00FC79BE" w:rsidRDefault="0055491A" w:rsidP="00210BF6">
            <w:pPr>
              <w:jc w:val="center"/>
              <w:rPr>
                <w:b/>
                <w:color w:val="000000"/>
              </w:rPr>
            </w:pPr>
            <w:r>
              <w:rPr>
                <w:b/>
                <w:color w:val="000000"/>
              </w:rPr>
              <w:t>110,0</w:t>
            </w:r>
          </w:p>
        </w:tc>
      </w:tr>
    </w:tbl>
    <w:p w:rsidR="0055491A" w:rsidRDefault="0055491A" w:rsidP="0055491A">
      <w:pPr>
        <w:pStyle w:val="a7"/>
        <w:spacing w:after="0"/>
        <w:ind w:left="0" w:firstLine="709"/>
        <w:jc w:val="both"/>
        <w:rPr>
          <w:sz w:val="28"/>
          <w:szCs w:val="28"/>
        </w:rPr>
      </w:pPr>
    </w:p>
    <w:p w:rsidR="0055491A" w:rsidRPr="00F9471B" w:rsidRDefault="0055491A" w:rsidP="0055491A">
      <w:pPr>
        <w:pStyle w:val="a7"/>
        <w:spacing w:after="0"/>
        <w:ind w:left="0" w:firstLine="709"/>
        <w:jc w:val="both"/>
        <w:rPr>
          <w:b/>
          <w:sz w:val="28"/>
          <w:szCs w:val="28"/>
        </w:rPr>
      </w:pPr>
      <w:r w:rsidRPr="00F9471B">
        <w:rPr>
          <w:b/>
          <w:sz w:val="28"/>
          <w:szCs w:val="28"/>
        </w:rPr>
        <w:t xml:space="preserve">Прогноз на 2022 год 110,0 тыс. руб., прогноз на 2023 год </w:t>
      </w:r>
      <w:r>
        <w:rPr>
          <w:b/>
          <w:sz w:val="28"/>
          <w:szCs w:val="28"/>
        </w:rPr>
        <w:t xml:space="preserve">                                 </w:t>
      </w:r>
      <w:r w:rsidRPr="00F9471B">
        <w:rPr>
          <w:b/>
          <w:sz w:val="28"/>
          <w:szCs w:val="28"/>
        </w:rPr>
        <w:t>110,0 тыс. руб., прогноз на 2024 год –110,0 тыс. руб.</w:t>
      </w:r>
    </w:p>
    <w:p w:rsidR="0055491A" w:rsidRDefault="0055491A" w:rsidP="0055491A">
      <w:pPr>
        <w:pStyle w:val="a7"/>
        <w:spacing w:after="0"/>
        <w:ind w:left="0" w:firstLine="709"/>
        <w:jc w:val="both"/>
        <w:rPr>
          <w:sz w:val="28"/>
          <w:szCs w:val="28"/>
        </w:rPr>
      </w:pPr>
    </w:p>
    <w:p w:rsidR="0055491A" w:rsidRDefault="0055491A" w:rsidP="0055491A">
      <w:pPr>
        <w:pStyle w:val="a7"/>
        <w:spacing w:after="0"/>
        <w:ind w:left="0" w:firstLine="709"/>
        <w:jc w:val="both"/>
        <w:rPr>
          <w:sz w:val="28"/>
          <w:szCs w:val="28"/>
        </w:rPr>
      </w:pPr>
      <w:r>
        <w:rPr>
          <w:sz w:val="28"/>
          <w:szCs w:val="28"/>
        </w:rPr>
        <w:lastRenderedPageBreak/>
        <w:t xml:space="preserve">11.2 </w:t>
      </w:r>
      <w:r w:rsidRPr="00F9471B">
        <w:rPr>
          <w:b/>
          <w:sz w:val="28"/>
          <w:szCs w:val="28"/>
        </w:rPr>
        <w:t>КБК 003 1 16 01153 01 0000 140</w:t>
      </w:r>
      <w:r>
        <w:rPr>
          <w:sz w:val="28"/>
          <w:szCs w:val="28"/>
        </w:rPr>
        <w:t xml:space="preserve"> </w:t>
      </w:r>
      <w:r w:rsidRPr="00CA6F1C">
        <w:rPr>
          <w:sz w:val="28"/>
          <w:szCs w:val="28"/>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r>
        <w:rPr>
          <w:sz w:val="28"/>
          <w:szCs w:val="28"/>
        </w:rPr>
        <w:t>.</w:t>
      </w:r>
    </w:p>
    <w:p w:rsidR="0055491A" w:rsidRDefault="0055491A" w:rsidP="0055491A">
      <w:pPr>
        <w:pStyle w:val="a7"/>
        <w:spacing w:after="0"/>
        <w:ind w:left="0" w:firstLine="709"/>
        <w:jc w:val="both"/>
        <w:rPr>
          <w:sz w:val="28"/>
          <w:szCs w:val="28"/>
        </w:rPr>
      </w:pPr>
      <w:r>
        <w:rPr>
          <w:sz w:val="28"/>
          <w:szCs w:val="28"/>
        </w:rPr>
        <w:t>Главный администратор доходов – Контрольно-счетная палата Тверской области.</w:t>
      </w:r>
    </w:p>
    <w:p w:rsidR="0055491A" w:rsidRDefault="0055491A" w:rsidP="0055491A">
      <w:pPr>
        <w:pStyle w:val="a7"/>
        <w:spacing w:after="0"/>
        <w:ind w:left="0" w:firstLine="709"/>
        <w:jc w:val="both"/>
        <w:rPr>
          <w:sz w:val="28"/>
          <w:szCs w:val="28"/>
        </w:rPr>
      </w:pPr>
      <w:r>
        <w:rPr>
          <w:sz w:val="28"/>
          <w:szCs w:val="28"/>
        </w:rPr>
        <w:t xml:space="preserve">Для прогноза поступления доходов используются данные о количестве аналогичных штрафов за предшествующие периоды (2018, 2019 и 2020 г.г.) согласно таблице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7"/>
        <w:gridCol w:w="1419"/>
        <w:gridCol w:w="848"/>
        <w:gridCol w:w="992"/>
        <w:gridCol w:w="994"/>
        <w:gridCol w:w="992"/>
        <w:gridCol w:w="1265"/>
        <w:gridCol w:w="1002"/>
        <w:gridCol w:w="1125"/>
      </w:tblGrid>
      <w:tr w:rsidR="0055491A" w:rsidRPr="001C073A" w:rsidTr="00210BF6">
        <w:trPr>
          <w:trHeight w:val="285"/>
        </w:trPr>
        <w:tc>
          <w:tcPr>
            <w:tcW w:w="378" w:type="pct"/>
            <w:vMerge w:val="restart"/>
            <w:tcBorders>
              <w:top w:val="single" w:sz="4" w:space="0" w:color="auto"/>
              <w:left w:val="single" w:sz="4" w:space="0" w:color="auto"/>
              <w:right w:val="single" w:sz="4" w:space="0" w:color="auto"/>
            </w:tcBorders>
            <w:vAlign w:val="center"/>
          </w:tcPr>
          <w:p w:rsidR="0055491A" w:rsidRPr="001C073A" w:rsidRDefault="0055491A" w:rsidP="00210BF6">
            <w:pPr>
              <w:pStyle w:val="af9"/>
              <w:jc w:val="center"/>
              <w:rPr>
                <w:rFonts w:ascii="Times New Roman" w:hAnsi="Times New Roman"/>
                <w:sz w:val="24"/>
                <w:szCs w:val="24"/>
              </w:rPr>
            </w:pPr>
            <w:r>
              <w:rPr>
                <w:rFonts w:ascii="Times New Roman" w:hAnsi="Times New Roman"/>
                <w:sz w:val="28"/>
                <w:szCs w:val="28"/>
              </w:rPr>
              <w:t xml:space="preserve"> </w:t>
            </w:r>
            <w:r w:rsidRPr="00182187">
              <w:rPr>
                <w:rFonts w:ascii="Times New Roman" w:hAnsi="Times New Roman"/>
                <w:sz w:val="28"/>
                <w:szCs w:val="28"/>
              </w:rPr>
              <w:t xml:space="preserve"> </w:t>
            </w:r>
            <w:r>
              <w:rPr>
                <w:rFonts w:ascii="Times New Roman" w:hAnsi="Times New Roman"/>
                <w:sz w:val="28"/>
                <w:szCs w:val="28"/>
              </w:rPr>
              <w:tab/>
            </w:r>
            <w:r w:rsidRPr="001C073A">
              <w:rPr>
                <w:rFonts w:ascii="Times New Roman" w:hAnsi="Times New Roman"/>
                <w:sz w:val="24"/>
                <w:szCs w:val="24"/>
              </w:rPr>
              <w:t>№ п/п</w:t>
            </w:r>
          </w:p>
          <w:p w:rsidR="0055491A" w:rsidRPr="001C073A" w:rsidRDefault="0055491A" w:rsidP="00210BF6">
            <w:pPr>
              <w:pStyle w:val="af9"/>
              <w:jc w:val="center"/>
              <w:rPr>
                <w:rFonts w:ascii="Times New Roman" w:hAnsi="Times New Roman"/>
                <w:sz w:val="24"/>
                <w:szCs w:val="24"/>
              </w:rPr>
            </w:pPr>
          </w:p>
        </w:tc>
        <w:tc>
          <w:tcPr>
            <w:tcW w:w="759" w:type="pct"/>
            <w:vMerge w:val="restart"/>
            <w:tcBorders>
              <w:top w:val="single" w:sz="4" w:space="0" w:color="auto"/>
              <w:left w:val="single" w:sz="4" w:space="0" w:color="auto"/>
              <w:right w:val="single" w:sz="4" w:space="0" w:color="auto"/>
            </w:tcBorders>
            <w:vAlign w:val="center"/>
          </w:tcPr>
          <w:p w:rsidR="0055491A" w:rsidRPr="001C073A" w:rsidRDefault="0055491A" w:rsidP="00210BF6">
            <w:pPr>
              <w:pStyle w:val="af9"/>
              <w:jc w:val="center"/>
              <w:rPr>
                <w:rFonts w:ascii="Times New Roman" w:hAnsi="Times New Roman"/>
                <w:sz w:val="24"/>
                <w:szCs w:val="24"/>
              </w:rPr>
            </w:pPr>
            <w:r w:rsidRPr="001C073A">
              <w:rPr>
                <w:rFonts w:ascii="Times New Roman" w:hAnsi="Times New Roman"/>
                <w:sz w:val="24"/>
                <w:szCs w:val="24"/>
              </w:rPr>
              <w:t>Правовое основание возникновения дохода областного бюджета</w:t>
            </w:r>
          </w:p>
        </w:tc>
        <w:tc>
          <w:tcPr>
            <w:tcW w:w="454" w:type="pct"/>
            <w:vMerge w:val="restart"/>
            <w:tcBorders>
              <w:top w:val="single" w:sz="4" w:space="0" w:color="auto"/>
              <w:left w:val="single" w:sz="4" w:space="0" w:color="auto"/>
              <w:right w:val="single" w:sz="4" w:space="0" w:color="auto"/>
            </w:tcBorders>
            <w:vAlign w:val="center"/>
          </w:tcPr>
          <w:p w:rsidR="0055491A" w:rsidRPr="001C073A" w:rsidRDefault="0055491A" w:rsidP="00210BF6">
            <w:pPr>
              <w:jc w:val="center"/>
              <w:rPr>
                <w:color w:val="000000"/>
              </w:rPr>
            </w:pPr>
            <w:r w:rsidRPr="001C073A">
              <w:rPr>
                <w:color w:val="000000"/>
              </w:rPr>
              <w:t>Санкция по КоАП РФ</w:t>
            </w:r>
          </w:p>
        </w:tc>
        <w:tc>
          <w:tcPr>
            <w:tcW w:w="531" w:type="pct"/>
            <w:vMerge w:val="restart"/>
            <w:tcBorders>
              <w:top w:val="single" w:sz="4" w:space="0" w:color="auto"/>
              <w:left w:val="single" w:sz="4" w:space="0" w:color="auto"/>
              <w:right w:val="single" w:sz="4" w:space="0" w:color="auto"/>
            </w:tcBorders>
            <w:vAlign w:val="center"/>
          </w:tcPr>
          <w:p w:rsidR="0055491A" w:rsidRPr="001C073A" w:rsidRDefault="0055491A" w:rsidP="00210BF6">
            <w:pPr>
              <w:pStyle w:val="af9"/>
              <w:jc w:val="center"/>
              <w:rPr>
                <w:rFonts w:ascii="Times New Roman" w:hAnsi="Times New Roman"/>
                <w:sz w:val="24"/>
                <w:szCs w:val="24"/>
              </w:rPr>
            </w:pPr>
          </w:p>
          <w:p w:rsidR="0055491A" w:rsidRPr="001C073A" w:rsidRDefault="0055491A" w:rsidP="00210BF6">
            <w:pPr>
              <w:pStyle w:val="af9"/>
              <w:jc w:val="center"/>
              <w:rPr>
                <w:rFonts w:ascii="Times New Roman" w:hAnsi="Times New Roman"/>
                <w:sz w:val="24"/>
                <w:szCs w:val="24"/>
              </w:rPr>
            </w:pPr>
            <w:r w:rsidRPr="001C073A">
              <w:rPr>
                <w:rFonts w:ascii="Times New Roman" w:hAnsi="Times New Roman"/>
                <w:sz w:val="24"/>
                <w:szCs w:val="24"/>
              </w:rPr>
              <w:t>201</w:t>
            </w:r>
            <w:r>
              <w:rPr>
                <w:rFonts w:ascii="Times New Roman" w:hAnsi="Times New Roman"/>
                <w:sz w:val="24"/>
                <w:szCs w:val="24"/>
              </w:rPr>
              <w:t>8</w:t>
            </w:r>
            <w:r w:rsidRPr="001C073A">
              <w:rPr>
                <w:rFonts w:ascii="Times New Roman" w:hAnsi="Times New Roman"/>
                <w:sz w:val="24"/>
                <w:szCs w:val="24"/>
              </w:rPr>
              <w:t xml:space="preserve"> год,</w:t>
            </w:r>
          </w:p>
          <w:p w:rsidR="0055491A" w:rsidRPr="001C073A" w:rsidRDefault="0055491A" w:rsidP="00210BF6">
            <w:pPr>
              <w:pStyle w:val="af9"/>
              <w:jc w:val="center"/>
              <w:rPr>
                <w:rFonts w:ascii="Times New Roman" w:hAnsi="Times New Roman"/>
                <w:sz w:val="24"/>
                <w:szCs w:val="24"/>
              </w:rPr>
            </w:pPr>
            <w:r w:rsidRPr="001C073A">
              <w:rPr>
                <w:rFonts w:ascii="Times New Roman" w:hAnsi="Times New Roman"/>
                <w:sz w:val="24"/>
                <w:szCs w:val="24"/>
              </w:rPr>
              <w:t>кол-во штрафов</w:t>
            </w:r>
          </w:p>
          <w:p w:rsidR="0055491A" w:rsidRPr="001C073A" w:rsidRDefault="0055491A" w:rsidP="00210BF6">
            <w:pPr>
              <w:pStyle w:val="af9"/>
              <w:jc w:val="center"/>
              <w:rPr>
                <w:rFonts w:ascii="Times New Roman" w:hAnsi="Times New Roman"/>
                <w:sz w:val="24"/>
                <w:szCs w:val="24"/>
              </w:rPr>
            </w:pPr>
          </w:p>
        </w:tc>
        <w:tc>
          <w:tcPr>
            <w:tcW w:w="532" w:type="pct"/>
            <w:vMerge w:val="restart"/>
            <w:tcBorders>
              <w:top w:val="single" w:sz="4" w:space="0" w:color="auto"/>
              <w:left w:val="single" w:sz="4" w:space="0" w:color="auto"/>
              <w:right w:val="single" w:sz="4" w:space="0" w:color="auto"/>
            </w:tcBorders>
            <w:vAlign w:val="center"/>
          </w:tcPr>
          <w:p w:rsidR="0055491A" w:rsidRPr="001C073A" w:rsidRDefault="0055491A" w:rsidP="00210BF6">
            <w:pPr>
              <w:pStyle w:val="af9"/>
              <w:jc w:val="center"/>
              <w:rPr>
                <w:rFonts w:ascii="Times New Roman" w:hAnsi="Times New Roman"/>
                <w:sz w:val="24"/>
                <w:szCs w:val="24"/>
              </w:rPr>
            </w:pPr>
            <w:r w:rsidRPr="001C073A">
              <w:rPr>
                <w:rFonts w:ascii="Times New Roman" w:hAnsi="Times New Roman"/>
                <w:sz w:val="24"/>
                <w:szCs w:val="24"/>
              </w:rPr>
              <w:t>201</w:t>
            </w:r>
            <w:r>
              <w:rPr>
                <w:rFonts w:ascii="Times New Roman" w:hAnsi="Times New Roman"/>
                <w:sz w:val="24"/>
                <w:szCs w:val="24"/>
              </w:rPr>
              <w:t>9</w:t>
            </w:r>
            <w:r w:rsidRPr="001C073A">
              <w:rPr>
                <w:rFonts w:ascii="Times New Roman" w:hAnsi="Times New Roman"/>
                <w:sz w:val="24"/>
                <w:szCs w:val="24"/>
              </w:rPr>
              <w:t xml:space="preserve"> год,</w:t>
            </w:r>
          </w:p>
          <w:p w:rsidR="0055491A" w:rsidRPr="001C073A" w:rsidRDefault="0055491A" w:rsidP="00210BF6">
            <w:pPr>
              <w:pStyle w:val="af9"/>
              <w:jc w:val="center"/>
              <w:rPr>
                <w:rFonts w:ascii="Times New Roman" w:hAnsi="Times New Roman"/>
                <w:sz w:val="24"/>
                <w:szCs w:val="24"/>
              </w:rPr>
            </w:pPr>
            <w:r w:rsidRPr="001C073A">
              <w:rPr>
                <w:rFonts w:ascii="Times New Roman" w:hAnsi="Times New Roman"/>
                <w:sz w:val="24"/>
                <w:szCs w:val="24"/>
              </w:rPr>
              <w:t>кол-во штрафов</w:t>
            </w:r>
          </w:p>
        </w:tc>
        <w:tc>
          <w:tcPr>
            <w:tcW w:w="531" w:type="pct"/>
            <w:vMerge w:val="restart"/>
            <w:tcBorders>
              <w:top w:val="single" w:sz="4" w:space="0" w:color="auto"/>
              <w:left w:val="single" w:sz="4" w:space="0" w:color="auto"/>
              <w:right w:val="single" w:sz="4" w:space="0" w:color="auto"/>
            </w:tcBorders>
            <w:vAlign w:val="center"/>
          </w:tcPr>
          <w:p w:rsidR="0055491A" w:rsidRDefault="0055491A" w:rsidP="00210BF6">
            <w:pPr>
              <w:jc w:val="center"/>
            </w:pPr>
            <w:r w:rsidRPr="001C073A">
              <w:t>20</w:t>
            </w:r>
            <w:r>
              <w:t>20</w:t>
            </w:r>
            <w:r w:rsidRPr="001C073A">
              <w:t xml:space="preserve"> </w:t>
            </w:r>
          </w:p>
          <w:p w:rsidR="0055491A" w:rsidRDefault="0055491A" w:rsidP="00210BF6">
            <w:pPr>
              <w:jc w:val="center"/>
            </w:pPr>
            <w:r w:rsidRPr="001C073A">
              <w:t xml:space="preserve">год, </w:t>
            </w:r>
          </w:p>
          <w:p w:rsidR="0055491A" w:rsidRPr="001C073A" w:rsidRDefault="0055491A" w:rsidP="00210BF6">
            <w:pPr>
              <w:jc w:val="center"/>
            </w:pPr>
            <w:r w:rsidRPr="001C073A">
              <w:t>кол-во штрафов</w:t>
            </w:r>
          </w:p>
        </w:tc>
        <w:tc>
          <w:tcPr>
            <w:tcW w:w="1816" w:type="pct"/>
            <w:gridSpan w:val="3"/>
            <w:tcBorders>
              <w:top w:val="single" w:sz="4" w:space="0" w:color="auto"/>
              <w:left w:val="single" w:sz="4" w:space="0" w:color="auto"/>
              <w:right w:val="single" w:sz="4" w:space="0" w:color="auto"/>
            </w:tcBorders>
          </w:tcPr>
          <w:p w:rsidR="0055491A" w:rsidRPr="001C073A" w:rsidRDefault="0055491A" w:rsidP="00210BF6">
            <w:pPr>
              <w:pStyle w:val="af9"/>
              <w:jc w:val="center"/>
              <w:rPr>
                <w:rFonts w:ascii="Times New Roman" w:hAnsi="Times New Roman"/>
                <w:sz w:val="24"/>
                <w:szCs w:val="24"/>
              </w:rPr>
            </w:pPr>
            <w:r>
              <w:rPr>
                <w:rFonts w:ascii="Times New Roman" w:hAnsi="Times New Roman"/>
                <w:sz w:val="24"/>
                <w:szCs w:val="24"/>
              </w:rPr>
              <w:t>П</w:t>
            </w:r>
            <w:r w:rsidRPr="001C073A">
              <w:rPr>
                <w:rFonts w:ascii="Times New Roman" w:hAnsi="Times New Roman"/>
                <w:sz w:val="24"/>
                <w:szCs w:val="24"/>
              </w:rPr>
              <w:t>рогноз</w:t>
            </w:r>
          </w:p>
        </w:tc>
      </w:tr>
      <w:tr w:rsidR="0055491A" w:rsidRPr="00145AA3" w:rsidTr="00210BF6">
        <w:trPr>
          <w:trHeight w:val="495"/>
        </w:trPr>
        <w:tc>
          <w:tcPr>
            <w:tcW w:w="378" w:type="pct"/>
            <w:vMerge/>
            <w:tcBorders>
              <w:left w:val="single" w:sz="4" w:space="0" w:color="auto"/>
              <w:right w:val="single" w:sz="4" w:space="0" w:color="auto"/>
            </w:tcBorders>
            <w:vAlign w:val="center"/>
          </w:tcPr>
          <w:p w:rsidR="0055491A" w:rsidRPr="001C073A" w:rsidRDefault="0055491A" w:rsidP="00210BF6">
            <w:pPr>
              <w:pStyle w:val="af9"/>
              <w:jc w:val="center"/>
              <w:rPr>
                <w:rFonts w:ascii="Times New Roman" w:hAnsi="Times New Roman"/>
                <w:sz w:val="24"/>
                <w:szCs w:val="24"/>
              </w:rPr>
            </w:pPr>
          </w:p>
        </w:tc>
        <w:tc>
          <w:tcPr>
            <w:tcW w:w="759" w:type="pct"/>
            <w:vMerge/>
            <w:tcBorders>
              <w:left w:val="single" w:sz="4" w:space="0" w:color="auto"/>
              <w:right w:val="single" w:sz="4" w:space="0" w:color="auto"/>
            </w:tcBorders>
            <w:vAlign w:val="center"/>
          </w:tcPr>
          <w:p w:rsidR="0055491A" w:rsidRPr="001C073A" w:rsidRDefault="0055491A" w:rsidP="00210BF6">
            <w:pPr>
              <w:pStyle w:val="af9"/>
              <w:jc w:val="center"/>
              <w:rPr>
                <w:rFonts w:ascii="Times New Roman" w:hAnsi="Times New Roman"/>
                <w:sz w:val="24"/>
                <w:szCs w:val="24"/>
              </w:rPr>
            </w:pPr>
          </w:p>
        </w:tc>
        <w:tc>
          <w:tcPr>
            <w:tcW w:w="454" w:type="pct"/>
            <w:vMerge/>
            <w:tcBorders>
              <w:left w:val="single" w:sz="4" w:space="0" w:color="auto"/>
              <w:right w:val="single" w:sz="4" w:space="0" w:color="auto"/>
            </w:tcBorders>
            <w:vAlign w:val="center"/>
          </w:tcPr>
          <w:p w:rsidR="0055491A" w:rsidRPr="001C073A" w:rsidRDefault="0055491A" w:rsidP="00210BF6">
            <w:pPr>
              <w:pStyle w:val="af9"/>
              <w:jc w:val="center"/>
              <w:rPr>
                <w:rFonts w:ascii="Times New Roman" w:hAnsi="Times New Roman"/>
                <w:sz w:val="24"/>
                <w:szCs w:val="24"/>
              </w:rPr>
            </w:pPr>
          </w:p>
        </w:tc>
        <w:tc>
          <w:tcPr>
            <w:tcW w:w="531" w:type="pct"/>
            <w:vMerge/>
            <w:tcBorders>
              <w:left w:val="single" w:sz="4" w:space="0" w:color="auto"/>
              <w:right w:val="single" w:sz="4" w:space="0" w:color="auto"/>
            </w:tcBorders>
            <w:vAlign w:val="center"/>
          </w:tcPr>
          <w:p w:rsidR="0055491A" w:rsidRPr="001C073A" w:rsidRDefault="0055491A" w:rsidP="00210BF6">
            <w:pPr>
              <w:pStyle w:val="af9"/>
              <w:jc w:val="center"/>
              <w:rPr>
                <w:rFonts w:ascii="Times New Roman" w:hAnsi="Times New Roman"/>
                <w:sz w:val="24"/>
                <w:szCs w:val="24"/>
              </w:rPr>
            </w:pPr>
          </w:p>
        </w:tc>
        <w:tc>
          <w:tcPr>
            <w:tcW w:w="532" w:type="pct"/>
            <w:vMerge/>
            <w:tcBorders>
              <w:left w:val="single" w:sz="4" w:space="0" w:color="auto"/>
              <w:right w:val="single" w:sz="4" w:space="0" w:color="auto"/>
            </w:tcBorders>
            <w:vAlign w:val="center"/>
          </w:tcPr>
          <w:p w:rsidR="0055491A" w:rsidRPr="001C073A" w:rsidRDefault="0055491A" w:rsidP="00210BF6">
            <w:pPr>
              <w:pStyle w:val="af9"/>
              <w:jc w:val="center"/>
              <w:rPr>
                <w:rFonts w:ascii="Times New Roman" w:hAnsi="Times New Roman"/>
                <w:sz w:val="24"/>
                <w:szCs w:val="24"/>
              </w:rPr>
            </w:pPr>
          </w:p>
        </w:tc>
        <w:tc>
          <w:tcPr>
            <w:tcW w:w="531" w:type="pct"/>
            <w:vMerge/>
            <w:tcBorders>
              <w:left w:val="single" w:sz="4" w:space="0" w:color="auto"/>
              <w:right w:val="single" w:sz="4" w:space="0" w:color="auto"/>
            </w:tcBorders>
            <w:vAlign w:val="center"/>
          </w:tcPr>
          <w:p w:rsidR="0055491A" w:rsidRPr="001C073A" w:rsidRDefault="0055491A" w:rsidP="00210BF6">
            <w:pPr>
              <w:pStyle w:val="af9"/>
              <w:jc w:val="center"/>
              <w:rPr>
                <w:rFonts w:ascii="Times New Roman" w:hAnsi="Times New Roman"/>
                <w:sz w:val="24"/>
                <w:szCs w:val="24"/>
              </w:rPr>
            </w:pPr>
          </w:p>
        </w:tc>
        <w:tc>
          <w:tcPr>
            <w:tcW w:w="677" w:type="pct"/>
            <w:tcBorders>
              <w:top w:val="single" w:sz="4" w:space="0" w:color="auto"/>
              <w:left w:val="single" w:sz="4" w:space="0" w:color="auto"/>
              <w:bottom w:val="single" w:sz="4" w:space="0" w:color="auto"/>
              <w:right w:val="single" w:sz="4" w:space="0" w:color="auto"/>
            </w:tcBorders>
            <w:vAlign w:val="center"/>
          </w:tcPr>
          <w:p w:rsidR="0055491A" w:rsidRPr="00E1046E" w:rsidRDefault="0055491A" w:rsidP="00210BF6">
            <w:pPr>
              <w:pStyle w:val="af9"/>
              <w:jc w:val="center"/>
              <w:rPr>
                <w:rFonts w:ascii="Times New Roman" w:hAnsi="Times New Roman"/>
              </w:rPr>
            </w:pPr>
            <w:r w:rsidRPr="00E1046E">
              <w:rPr>
                <w:rFonts w:ascii="Times New Roman" w:hAnsi="Times New Roman"/>
              </w:rPr>
              <w:t>Усредненное кол-во штрафов за 3 года</w:t>
            </w:r>
            <w:r>
              <w:rPr>
                <w:rFonts w:ascii="Times New Roman" w:hAnsi="Times New Roman"/>
              </w:rPr>
              <w:t xml:space="preserve"> (в целых числах)</w:t>
            </w:r>
          </w:p>
        </w:tc>
        <w:tc>
          <w:tcPr>
            <w:tcW w:w="536" w:type="pct"/>
            <w:tcBorders>
              <w:top w:val="single" w:sz="4" w:space="0" w:color="auto"/>
              <w:left w:val="single" w:sz="4" w:space="0" w:color="auto"/>
              <w:bottom w:val="single" w:sz="4" w:space="0" w:color="auto"/>
              <w:right w:val="single" w:sz="4" w:space="0" w:color="auto"/>
            </w:tcBorders>
            <w:vAlign w:val="center"/>
          </w:tcPr>
          <w:p w:rsidR="0055491A" w:rsidRPr="00E1046E" w:rsidRDefault="0055491A" w:rsidP="00210BF6">
            <w:pPr>
              <w:pStyle w:val="af9"/>
              <w:jc w:val="center"/>
              <w:rPr>
                <w:rFonts w:ascii="Times New Roman" w:hAnsi="Times New Roman"/>
              </w:rPr>
            </w:pPr>
            <w:r w:rsidRPr="00E1046E">
              <w:rPr>
                <w:rFonts w:ascii="Times New Roman" w:hAnsi="Times New Roman"/>
              </w:rPr>
              <w:t>Минимальный размер штрафа, тыс. руб.</w:t>
            </w:r>
          </w:p>
        </w:tc>
        <w:tc>
          <w:tcPr>
            <w:tcW w:w="603" w:type="pct"/>
            <w:tcBorders>
              <w:top w:val="single" w:sz="4" w:space="0" w:color="auto"/>
              <w:left w:val="single" w:sz="4" w:space="0" w:color="auto"/>
              <w:bottom w:val="single" w:sz="4" w:space="0" w:color="auto"/>
              <w:right w:val="single" w:sz="4" w:space="0" w:color="auto"/>
            </w:tcBorders>
            <w:vAlign w:val="center"/>
          </w:tcPr>
          <w:p w:rsidR="0055491A" w:rsidRPr="00E1046E" w:rsidRDefault="0055491A" w:rsidP="00210BF6">
            <w:pPr>
              <w:jc w:val="center"/>
            </w:pPr>
            <w:r w:rsidRPr="00E1046E">
              <w:t>Сумма, тыс. руб.</w:t>
            </w:r>
          </w:p>
        </w:tc>
      </w:tr>
      <w:tr w:rsidR="0055491A" w:rsidRPr="00145AA3" w:rsidTr="00210BF6">
        <w:trPr>
          <w:trHeight w:val="273"/>
        </w:trPr>
        <w:tc>
          <w:tcPr>
            <w:tcW w:w="378" w:type="pct"/>
            <w:tcBorders>
              <w:left w:val="single" w:sz="4" w:space="0" w:color="auto"/>
              <w:right w:val="single" w:sz="4" w:space="0" w:color="auto"/>
            </w:tcBorders>
            <w:vAlign w:val="center"/>
          </w:tcPr>
          <w:p w:rsidR="0055491A" w:rsidRPr="00011F63" w:rsidRDefault="0055491A" w:rsidP="00210BF6">
            <w:pPr>
              <w:pStyle w:val="af9"/>
              <w:jc w:val="center"/>
              <w:rPr>
                <w:rFonts w:ascii="Times New Roman" w:hAnsi="Times New Roman"/>
                <w:sz w:val="20"/>
                <w:szCs w:val="20"/>
              </w:rPr>
            </w:pPr>
            <w:r w:rsidRPr="00011F63">
              <w:rPr>
                <w:rFonts w:ascii="Times New Roman" w:hAnsi="Times New Roman"/>
                <w:sz w:val="20"/>
                <w:szCs w:val="20"/>
              </w:rPr>
              <w:t>1.</w:t>
            </w:r>
          </w:p>
        </w:tc>
        <w:tc>
          <w:tcPr>
            <w:tcW w:w="759" w:type="pct"/>
            <w:tcBorders>
              <w:left w:val="single" w:sz="4" w:space="0" w:color="auto"/>
              <w:right w:val="single" w:sz="4" w:space="0" w:color="auto"/>
            </w:tcBorders>
            <w:vAlign w:val="center"/>
          </w:tcPr>
          <w:p w:rsidR="0055491A" w:rsidRPr="00011F63" w:rsidRDefault="0055491A" w:rsidP="00210BF6">
            <w:pPr>
              <w:jc w:val="center"/>
              <w:rPr>
                <w:b/>
                <w:color w:val="000000"/>
                <w:sz w:val="20"/>
                <w:szCs w:val="20"/>
              </w:rPr>
            </w:pPr>
            <w:r w:rsidRPr="00011F63">
              <w:rPr>
                <w:b/>
                <w:color w:val="000000"/>
                <w:sz w:val="20"/>
                <w:szCs w:val="20"/>
              </w:rPr>
              <w:t>ст. 15.15.10</w:t>
            </w:r>
          </w:p>
          <w:p w:rsidR="0055491A" w:rsidRPr="00011F63" w:rsidRDefault="0055491A" w:rsidP="00210BF6">
            <w:pPr>
              <w:jc w:val="center"/>
              <w:rPr>
                <w:color w:val="000000"/>
                <w:sz w:val="20"/>
                <w:szCs w:val="20"/>
              </w:rPr>
            </w:pPr>
            <w:r w:rsidRPr="00011F63">
              <w:rPr>
                <w:color w:val="000000"/>
                <w:sz w:val="20"/>
                <w:szCs w:val="20"/>
              </w:rPr>
              <w:t>КоАП РФ в отношении должностных лиц</w:t>
            </w:r>
          </w:p>
        </w:tc>
        <w:tc>
          <w:tcPr>
            <w:tcW w:w="454" w:type="pct"/>
            <w:tcBorders>
              <w:left w:val="single" w:sz="4" w:space="0" w:color="auto"/>
              <w:right w:val="single" w:sz="4" w:space="0" w:color="auto"/>
            </w:tcBorders>
            <w:vAlign w:val="center"/>
          </w:tcPr>
          <w:p w:rsidR="0055491A" w:rsidRPr="00011F63" w:rsidRDefault="0055491A" w:rsidP="00210BF6">
            <w:pPr>
              <w:jc w:val="center"/>
              <w:rPr>
                <w:color w:val="000000"/>
                <w:sz w:val="20"/>
                <w:szCs w:val="20"/>
              </w:rPr>
            </w:pPr>
            <w:r w:rsidRPr="00011F63">
              <w:rPr>
                <w:color w:val="000000"/>
                <w:sz w:val="20"/>
                <w:szCs w:val="20"/>
              </w:rPr>
              <w:t>от 20 000</w:t>
            </w:r>
          </w:p>
          <w:p w:rsidR="0055491A" w:rsidRPr="00011F63" w:rsidRDefault="0055491A" w:rsidP="00210BF6">
            <w:pPr>
              <w:jc w:val="center"/>
              <w:rPr>
                <w:color w:val="000000"/>
                <w:sz w:val="20"/>
                <w:szCs w:val="20"/>
              </w:rPr>
            </w:pPr>
            <w:r w:rsidRPr="00011F63">
              <w:rPr>
                <w:color w:val="000000"/>
                <w:sz w:val="20"/>
                <w:szCs w:val="20"/>
              </w:rPr>
              <w:t>до 50 000 рублей</w:t>
            </w:r>
          </w:p>
        </w:tc>
        <w:tc>
          <w:tcPr>
            <w:tcW w:w="531" w:type="pct"/>
            <w:tcBorders>
              <w:left w:val="single" w:sz="4" w:space="0" w:color="auto"/>
              <w:right w:val="single" w:sz="4" w:space="0" w:color="auto"/>
            </w:tcBorders>
            <w:vAlign w:val="center"/>
          </w:tcPr>
          <w:p w:rsidR="0055491A" w:rsidRPr="00011F63" w:rsidRDefault="0055491A" w:rsidP="00210BF6">
            <w:pPr>
              <w:pStyle w:val="af9"/>
              <w:jc w:val="center"/>
              <w:rPr>
                <w:rFonts w:ascii="Times New Roman" w:hAnsi="Times New Roman"/>
                <w:sz w:val="20"/>
                <w:szCs w:val="20"/>
              </w:rPr>
            </w:pPr>
            <w:r>
              <w:rPr>
                <w:rFonts w:ascii="Times New Roman" w:hAnsi="Times New Roman"/>
                <w:sz w:val="20"/>
                <w:szCs w:val="20"/>
              </w:rPr>
              <w:t>2</w:t>
            </w:r>
          </w:p>
        </w:tc>
        <w:tc>
          <w:tcPr>
            <w:tcW w:w="532" w:type="pct"/>
            <w:tcBorders>
              <w:left w:val="single" w:sz="4" w:space="0" w:color="auto"/>
              <w:right w:val="single" w:sz="4" w:space="0" w:color="auto"/>
            </w:tcBorders>
            <w:vAlign w:val="center"/>
          </w:tcPr>
          <w:p w:rsidR="0055491A" w:rsidRPr="00011F63" w:rsidRDefault="0055491A" w:rsidP="00210BF6">
            <w:pPr>
              <w:pStyle w:val="af9"/>
              <w:jc w:val="center"/>
              <w:rPr>
                <w:rFonts w:ascii="Times New Roman" w:hAnsi="Times New Roman"/>
                <w:sz w:val="20"/>
                <w:szCs w:val="20"/>
              </w:rPr>
            </w:pPr>
            <w:r w:rsidRPr="00011F63">
              <w:rPr>
                <w:rFonts w:ascii="Times New Roman" w:hAnsi="Times New Roman"/>
                <w:sz w:val="20"/>
                <w:szCs w:val="20"/>
              </w:rPr>
              <w:t>2</w:t>
            </w:r>
          </w:p>
        </w:tc>
        <w:tc>
          <w:tcPr>
            <w:tcW w:w="531" w:type="pct"/>
            <w:tcBorders>
              <w:left w:val="single" w:sz="4" w:space="0" w:color="auto"/>
              <w:right w:val="single" w:sz="4" w:space="0" w:color="auto"/>
            </w:tcBorders>
            <w:vAlign w:val="center"/>
          </w:tcPr>
          <w:p w:rsidR="0055491A" w:rsidRPr="00011F63" w:rsidRDefault="0055491A" w:rsidP="00210BF6">
            <w:pPr>
              <w:pStyle w:val="af9"/>
              <w:jc w:val="center"/>
              <w:rPr>
                <w:rFonts w:ascii="Times New Roman" w:hAnsi="Times New Roman"/>
                <w:sz w:val="20"/>
                <w:szCs w:val="20"/>
              </w:rPr>
            </w:pPr>
            <w:r>
              <w:rPr>
                <w:rFonts w:ascii="Times New Roman" w:hAnsi="Times New Roman"/>
                <w:sz w:val="20"/>
                <w:szCs w:val="20"/>
              </w:rPr>
              <w:t>0</w:t>
            </w:r>
          </w:p>
        </w:tc>
        <w:tc>
          <w:tcPr>
            <w:tcW w:w="677" w:type="pct"/>
            <w:tcBorders>
              <w:top w:val="single" w:sz="4" w:space="0" w:color="auto"/>
              <w:left w:val="single" w:sz="4" w:space="0" w:color="auto"/>
              <w:bottom w:val="single" w:sz="4" w:space="0" w:color="auto"/>
              <w:right w:val="single" w:sz="4" w:space="0" w:color="auto"/>
            </w:tcBorders>
            <w:vAlign w:val="center"/>
          </w:tcPr>
          <w:p w:rsidR="0055491A" w:rsidRPr="00011F63" w:rsidRDefault="0055491A" w:rsidP="00210BF6">
            <w:pPr>
              <w:pStyle w:val="af9"/>
              <w:jc w:val="center"/>
              <w:rPr>
                <w:rFonts w:ascii="Times New Roman" w:hAnsi="Times New Roman"/>
                <w:sz w:val="20"/>
                <w:szCs w:val="20"/>
              </w:rPr>
            </w:pPr>
            <w:r>
              <w:rPr>
                <w:rFonts w:ascii="Times New Roman" w:hAnsi="Times New Roman"/>
                <w:sz w:val="20"/>
                <w:szCs w:val="20"/>
              </w:rPr>
              <w:t>1</w:t>
            </w:r>
          </w:p>
        </w:tc>
        <w:tc>
          <w:tcPr>
            <w:tcW w:w="536" w:type="pct"/>
            <w:tcBorders>
              <w:top w:val="single" w:sz="4" w:space="0" w:color="auto"/>
              <w:left w:val="single" w:sz="4" w:space="0" w:color="auto"/>
              <w:bottom w:val="single" w:sz="4" w:space="0" w:color="auto"/>
              <w:right w:val="single" w:sz="4" w:space="0" w:color="auto"/>
            </w:tcBorders>
            <w:vAlign w:val="center"/>
          </w:tcPr>
          <w:p w:rsidR="0055491A" w:rsidRPr="00011F63" w:rsidRDefault="0055491A" w:rsidP="00210BF6">
            <w:pPr>
              <w:jc w:val="center"/>
              <w:rPr>
                <w:sz w:val="20"/>
                <w:szCs w:val="20"/>
              </w:rPr>
            </w:pPr>
            <w:r w:rsidRPr="00011F63">
              <w:rPr>
                <w:sz w:val="20"/>
                <w:szCs w:val="20"/>
              </w:rPr>
              <w:t>20,0</w:t>
            </w:r>
          </w:p>
        </w:tc>
        <w:tc>
          <w:tcPr>
            <w:tcW w:w="603" w:type="pct"/>
            <w:tcBorders>
              <w:top w:val="single" w:sz="4" w:space="0" w:color="auto"/>
              <w:left w:val="single" w:sz="4" w:space="0" w:color="auto"/>
              <w:bottom w:val="single" w:sz="4" w:space="0" w:color="auto"/>
              <w:right w:val="single" w:sz="4" w:space="0" w:color="auto"/>
            </w:tcBorders>
            <w:vAlign w:val="center"/>
          </w:tcPr>
          <w:p w:rsidR="0055491A" w:rsidRPr="00E1046E" w:rsidRDefault="0055491A" w:rsidP="00210BF6">
            <w:pPr>
              <w:jc w:val="center"/>
            </w:pPr>
            <w:r>
              <w:t>20,0</w:t>
            </w:r>
          </w:p>
        </w:tc>
      </w:tr>
      <w:tr w:rsidR="0055491A" w:rsidRPr="00145AA3" w:rsidTr="00210BF6">
        <w:trPr>
          <w:trHeight w:val="70"/>
        </w:trPr>
        <w:tc>
          <w:tcPr>
            <w:tcW w:w="378" w:type="pct"/>
            <w:tcBorders>
              <w:left w:val="single" w:sz="4" w:space="0" w:color="auto"/>
              <w:right w:val="single" w:sz="4" w:space="0" w:color="auto"/>
            </w:tcBorders>
            <w:vAlign w:val="center"/>
          </w:tcPr>
          <w:p w:rsidR="0055491A" w:rsidRPr="00011F63" w:rsidRDefault="0055491A" w:rsidP="00210BF6">
            <w:pPr>
              <w:pStyle w:val="af9"/>
              <w:spacing w:line="360" w:lineRule="auto"/>
              <w:jc w:val="center"/>
              <w:rPr>
                <w:rFonts w:ascii="Times New Roman" w:hAnsi="Times New Roman"/>
                <w:sz w:val="20"/>
                <w:szCs w:val="20"/>
              </w:rPr>
            </w:pPr>
            <w:r w:rsidRPr="00011F63">
              <w:rPr>
                <w:rFonts w:ascii="Times New Roman" w:hAnsi="Times New Roman"/>
                <w:sz w:val="20"/>
                <w:szCs w:val="20"/>
              </w:rPr>
              <w:t>2.</w:t>
            </w:r>
          </w:p>
        </w:tc>
        <w:tc>
          <w:tcPr>
            <w:tcW w:w="759" w:type="pct"/>
            <w:tcBorders>
              <w:left w:val="single" w:sz="4" w:space="0" w:color="auto"/>
              <w:right w:val="single" w:sz="4" w:space="0" w:color="auto"/>
            </w:tcBorders>
            <w:vAlign w:val="center"/>
          </w:tcPr>
          <w:p w:rsidR="0055491A" w:rsidRPr="00011F63" w:rsidRDefault="0055491A" w:rsidP="00210BF6">
            <w:pPr>
              <w:jc w:val="center"/>
              <w:rPr>
                <w:color w:val="000000"/>
                <w:sz w:val="20"/>
                <w:szCs w:val="20"/>
              </w:rPr>
            </w:pPr>
            <w:r w:rsidRPr="00011F63">
              <w:rPr>
                <w:b/>
                <w:color w:val="000000"/>
                <w:sz w:val="20"/>
                <w:szCs w:val="20"/>
              </w:rPr>
              <w:t xml:space="preserve">ст. 15.15.6 </w:t>
            </w:r>
            <w:r w:rsidRPr="00011F63">
              <w:rPr>
                <w:color w:val="000000"/>
                <w:sz w:val="20"/>
                <w:szCs w:val="20"/>
              </w:rPr>
              <w:t>КоАП РФ в отношении должностных лиц</w:t>
            </w:r>
          </w:p>
        </w:tc>
        <w:tc>
          <w:tcPr>
            <w:tcW w:w="454" w:type="pct"/>
            <w:tcBorders>
              <w:left w:val="single" w:sz="4" w:space="0" w:color="auto"/>
              <w:right w:val="single" w:sz="4" w:space="0" w:color="auto"/>
            </w:tcBorders>
            <w:vAlign w:val="center"/>
          </w:tcPr>
          <w:p w:rsidR="0055491A" w:rsidRPr="00011F63" w:rsidRDefault="0055491A" w:rsidP="00210BF6">
            <w:pPr>
              <w:jc w:val="center"/>
              <w:rPr>
                <w:color w:val="000000"/>
                <w:sz w:val="20"/>
                <w:szCs w:val="20"/>
              </w:rPr>
            </w:pPr>
            <w:r w:rsidRPr="00011F63">
              <w:rPr>
                <w:color w:val="000000"/>
                <w:sz w:val="20"/>
                <w:szCs w:val="20"/>
              </w:rPr>
              <w:t>от 10 000</w:t>
            </w:r>
          </w:p>
          <w:p w:rsidR="0055491A" w:rsidRPr="00011F63" w:rsidRDefault="0055491A" w:rsidP="00210BF6">
            <w:pPr>
              <w:jc w:val="center"/>
              <w:rPr>
                <w:color w:val="000000"/>
                <w:sz w:val="20"/>
                <w:szCs w:val="20"/>
              </w:rPr>
            </w:pPr>
            <w:r w:rsidRPr="00011F63">
              <w:rPr>
                <w:color w:val="000000"/>
                <w:sz w:val="20"/>
                <w:szCs w:val="20"/>
              </w:rPr>
              <w:t>до 30 000 рублей</w:t>
            </w:r>
          </w:p>
        </w:tc>
        <w:tc>
          <w:tcPr>
            <w:tcW w:w="531" w:type="pct"/>
            <w:tcBorders>
              <w:left w:val="single" w:sz="4" w:space="0" w:color="auto"/>
              <w:right w:val="single" w:sz="4" w:space="0" w:color="auto"/>
            </w:tcBorders>
            <w:vAlign w:val="center"/>
          </w:tcPr>
          <w:p w:rsidR="0055491A" w:rsidRPr="00011F63" w:rsidRDefault="0055491A" w:rsidP="00210BF6">
            <w:pPr>
              <w:pStyle w:val="af9"/>
              <w:jc w:val="center"/>
              <w:rPr>
                <w:rFonts w:ascii="Times New Roman" w:hAnsi="Times New Roman"/>
                <w:sz w:val="20"/>
                <w:szCs w:val="20"/>
              </w:rPr>
            </w:pPr>
            <w:r>
              <w:rPr>
                <w:rFonts w:ascii="Times New Roman" w:hAnsi="Times New Roman"/>
                <w:sz w:val="20"/>
                <w:szCs w:val="20"/>
              </w:rPr>
              <w:t>3</w:t>
            </w:r>
          </w:p>
        </w:tc>
        <w:tc>
          <w:tcPr>
            <w:tcW w:w="532" w:type="pct"/>
            <w:tcBorders>
              <w:left w:val="single" w:sz="4" w:space="0" w:color="auto"/>
              <w:right w:val="single" w:sz="4" w:space="0" w:color="auto"/>
            </w:tcBorders>
            <w:vAlign w:val="center"/>
          </w:tcPr>
          <w:p w:rsidR="0055491A" w:rsidRPr="00011F63" w:rsidRDefault="0055491A" w:rsidP="00210BF6">
            <w:pPr>
              <w:pStyle w:val="af9"/>
              <w:jc w:val="center"/>
              <w:rPr>
                <w:rFonts w:ascii="Times New Roman" w:hAnsi="Times New Roman"/>
                <w:sz w:val="20"/>
                <w:szCs w:val="20"/>
              </w:rPr>
            </w:pPr>
            <w:r>
              <w:rPr>
                <w:rFonts w:ascii="Times New Roman" w:hAnsi="Times New Roman"/>
                <w:sz w:val="20"/>
                <w:szCs w:val="20"/>
              </w:rPr>
              <w:t>2</w:t>
            </w:r>
          </w:p>
        </w:tc>
        <w:tc>
          <w:tcPr>
            <w:tcW w:w="531" w:type="pct"/>
            <w:tcBorders>
              <w:left w:val="single" w:sz="4" w:space="0" w:color="auto"/>
              <w:right w:val="single" w:sz="4" w:space="0" w:color="auto"/>
            </w:tcBorders>
            <w:vAlign w:val="center"/>
          </w:tcPr>
          <w:p w:rsidR="0055491A" w:rsidRPr="00011F63" w:rsidRDefault="0055491A" w:rsidP="00210BF6">
            <w:pPr>
              <w:pStyle w:val="af9"/>
              <w:jc w:val="center"/>
              <w:rPr>
                <w:rFonts w:ascii="Times New Roman" w:hAnsi="Times New Roman"/>
                <w:sz w:val="20"/>
                <w:szCs w:val="20"/>
              </w:rPr>
            </w:pPr>
            <w:r>
              <w:rPr>
                <w:rFonts w:ascii="Times New Roman" w:hAnsi="Times New Roman"/>
                <w:sz w:val="20"/>
                <w:szCs w:val="20"/>
              </w:rPr>
              <w:t>11</w:t>
            </w:r>
          </w:p>
        </w:tc>
        <w:tc>
          <w:tcPr>
            <w:tcW w:w="677" w:type="pct"/>
            <w:tcBorders>
              <w:top w:val="single" w:sz="4" w:space="0" w:color="auto"/>
              <w:left w:val="single" w:sz="4" w:space="0" w:color="auto"/>
              <w:bottom w:val="single" w:sz="4" w:space="0" w:color="auto"/>
              <w:right w:val="single" w:sz="4" w:space="0" w:color="auto"/>
            </w:tcBorders>
            <w:vAlign w:val="center"/>
          </w:tcPr>
          <w:p w:rsidR="0055491A" w:rsidRPr="00011F63" w:rsidRDefault="0055491A" w:rsidP="00210BF6">
            <w:pPr>
              <w:pStyle w:val="af9"/>
              <w:jc w:val="center"/>
              <w:rPr>
                <w:rFonts w:ascii="Times New Roman" w:hAnsi="Times New Roman"/>
                <w:sz w:val="20"/>
                <w:szCs w:val="20"/>
              </w:rPr>
            </w:pPr>
            <w:r>
              <w:rPr>
                <w:rFonts w:ascii="Times New Roman" w:hAnsi="Times New Roman"/>
                <w:sz w:val="20"/>
                <w:szCs w:val="20"/>
              </w:rPr>
              <w:t>5</w:t>
            </w:r>
          </w:p>
        </w:tc>
        <w:tc>
          <w:tcPr>
            <w:tcW w:w="536" w:type="pct"/>
            <w:tcBorders>
              <w:top w:val="single" w:sz="4" w:space="0" w:color="auto"/>
              <w:left w:val="single" w:sz="4" w:space="0" w:color="auto"/>
              <w:bottom w:val="single" w:sz="4" w:space="0" w:color="auto"/>
              <w:right w:val="single" w:sz="4" w:space="0" w:color="auto"/>
            </w:tcBorders>
            <w:vAlign w:val="center"/>
          </w:tcPr>
          <w:p w:rsidR="0055491A" w:rsidRPr="00011F63" w:rsidRDefault="0055491A" w:rsidP="00210BF6">
            <w:pPr>
              <w:jc w:val="center"/>
              <w:rPr>
                <w:sz w:val="20"/>
                <w:szCs w:val="20"/>
              </w:rPr>
            </w:pPr>
            <w:r w:rsidRPr="00011F63">
              <w:rPr>
                <w:sz w:val="20"/>
                <w:szCs w:val="20"/>
              </w:rPr>
              <w:t>10,0</w:t>
            </w:r>
          </w:p>
        </w:tc>
        <w:tc>
          <w:tcPr>
            <w:tcW w:w="603" w:type="pct"/>
            <w:tcBorders>
              <w:top w:val="single" w:sz="4" w:space="0" w:color="auto"/>
              <w:left w:val="single" w:sz="4" w:space="0" w:color="auto"/>
              <w:bottom w:val="single" w:sz="4" w:space="0" w:color="auto"/>
              <w:right w:val="single" w:sz="4" w:space="0" w:color="auto"/>
            </w:tcBorders>
            <w:vAlign w:val="center"/>
          </w:tcPr>
          <w:p w:rsidR="0055491A" w:rsidRPr="00E1046E" w:rsidRDefault="0055491A" w:rsidP="00210BF6">
            <w:pPr>
              <w:jc w:val="center"/>
            </w:pPr>
            <w:r>
              <w:t>5</w:t>
            </w:r>
            <w:r w:rsidRPr="00694E99">
              <w:t>0,</w:t>
            </w:r>
            <w:r>
              <w:t>0</w:t>
            </w:r>
          </w:p>
        </w:tc>
      </w:tr>
      <w:tr w:rsidR="0055491A" w:rsidRPr="00145AA3" w:rsidTr="00210BF6">
        <w:trPr>
          <w:trHeight w:val="495"/>
        </w:trPr>
        <w:tc>
          <w:tcPr>
            <w:tcW w:w="378" w:type="pct"/>
            <w:tcBorders>
              <w:left w:val="single" w:sz="4" w:space="0" w:color="auto"/>
              <w:right w:val="single" w:sz="4" w:space="0" w:color="auto"/>
            </w:tcBorders>
            <w:vAlign w:val="center"/>
          </w:tcPr>
          <w:p w:rsidR="0055491A" w:rsidRPr="00011F63" w:rsidRDefault="0055491A" w:rsidP="00210BF6">
            <w:pPr>
              <w:pStyle w:val="af9"/>
              <w:spacing w:line="360" w:lineRule="auto"/>
              <w:jc w:val="center"/>
              <w:rPr>
                <w:rFonts w:ascii="Times New Roman" w:hAnsi="Times New Roman"/>
                <w:sz w:val="20"/>
                <w:szCs w:val="20"/>
              </w:rPr>
            </w:pPr>
            <w:r w:rsidRPr="00011F63">
              <w:rPr>
                <w:rFonts w:ascii="Times New Roman" w:hAnsi="Times New Roman"/>
                <w:sz w:val="20"/>
                <w:szCs w:val="20"/>
              </w:rPr>
              <w:t>3.</w:t>
            </w:r>
          </w:p>
        </w:tc>
        <w:tc>
          <w:tcPr>
            <w:tcW w:w="759" w:type="pct"/>
            <w:tcBorders>
              <w:left w:val="single" w:sz="4" w:space="0" w:color="auto"/>
              <w:right w:val="single" w:sz="4" w:space="0" w:color="auto"/>
            </w:tcBorders>
            <w:vAlign w:val="center"/>
          </w:tcPr>
          <w:p w:rsidR="0055491A" w:rsidRPr="00011F63" w:rsidRDefault="0055491A" w:rsidP="00210BF6">
            <w:pPr>
              <w:jc w:val="center"/>
              <w:rPr>
                <w:color w:val="000000"/>
                <w:sz w:val="20"/>
                <w:szCs w:val="20"/>
              </w:rPr>
            </w:pPr>
            <w:r w:rsidRPr="00011F63">
              <w:rPr>
                <w:b/>
                <w:color w:val="000000"/>
                <w:sz w:val="20"/>
                <w:szCs w:val="20"/>
              </w:rPr>
              <w:t>ст. 15.15.</w:t>
            </w:r>
            <w:r>
              <w:rPr>
                <w:b/>
                <w:color w:val="000000"/>
                <w:sz w:val="20"/>
                <w:szCs w:val="20"/>
              </w:rPr>
              <w:t>4</w:t>
            </w:r>
            <w:r w:rsidRPr="00011F63">
              <w:rPr>
                <w:color w:val="000000"/>
                <w:sz w:val="20"/>
                <w:szCs w:val="20"/>
              </w:rPr>
              <w:t xml:space="preserve"> КоАП РФ в отношении должностных лиц</w:t>
            </w:r>
          </w:p>
        </w:tc>
        <w:tc>
          <w:tcPr>
            <w:tcW w:w="454" w:type="pct"/>
            <w:tcBorders>
              <w:left w:val="single" w:sz="4" w:space="0" w:color="auto"/>
              <w:right w:val="single" w:sz="4" w:space="0" w:color="auto"/>
            </w:tcBorders>
            <w:vAlign w:val="center"/>
          </w:tcPr>
          <w:p w:rsidR="0055491A" w:rsidRPr="00011F63" w:rsidRDefault="0055491A" w:rsidP="00210BF6">
            <w:pPr>
              <w:jc w:val="center"/>
              <w:rPr>
                <w:color w:val="000000"/>
                <w:sz w:val="20"/>
                <w:szCs w:val="20"/>
              </w:rPr>
            </w:pPr>
            <w:r w:rsidRPr="00011F63">
              <w:rPr>
                <w:color w:val="000000"/>
                <w:sz w:val="20"/>
                <w:szCs w:val="20"/>
              </w:rPr>
              <w:t>о</w:t>
            </w:r>
            <w:r>
              <w:rPr>
                <w:color w:val="000000"/>
                <w:sz w:val="20"/>
                <w:szCs w:val="20"/>
              </w:rPr>
              <w:t>т 2</w:t>
            </w:r>
            <w:r w:rsidRPr="00011F63">
              <w:rPr>
                <w:color w:val="000000"/>
                <w:sz w:val="20"/>
                <w:szCs w:val="20"/>
              </w:rPr>
              <w:t>0 000</w:t>
            </w:r>
          </w:p>
          <w:p w:rsidR="0055491A" w:rsidRPr="00011F63" w:rsidRDefault="0055491A" w:rsidP="00210BF6">
            <w:pPr>
              <w:jc w:val="center"/>
              <w:rPr>
                <w:color w:val="000000"/>
                <w:sz w:val="20"/>
                <w:szCs w:val="20"/>
              </w:rPr>
            </w:pPr>
            <w:r>
              <w:rPr>
                <w:color w:val="000000"/>
                <w:sz w:val="20"/>
                <w:szCs w:val="20"/>
              </w:rPr>
              <w:t>до 5</w:t>
            </w:r>
            <w:r w:rsidRPr="00011F63">
              <w:rPr>
                <w:color w:val="000000"/>
                <w:sz w:val="20"/>
                <w:szCs w:val="20"/>
              </w:rPr>
              <w:t>0 000 рублей</w:t>
            </w:r>
          </w:p>
        </w:tc>
        <w:tc>
          <w:tcPr>
            <w:tcW w:w="531" w:type="pct"/>
            <w:tcBorders>
              <w:left w:val="single" w:sz="4" w:space="0" w:color="auto"/>
              <w:right w:val="single" w:sz="4" w:space="0" w:color="auto"/>
            </w:tcBorders>
            <w:vAlign w:val="center"/>
          </w:tcPr>
          <w:p w:rsidR="0055491A" w:rsidRPr="00011F63" w:rsidRDefault="0055491A" w:rsidP="00210BF6">
            <w:pPr>
              <w:pStyle w:val="af9"/>
              <w:jc w:val="center"/>
              <w:rPr>
                <w:rFonts w:ascii="Times New Roman" w:hAnsi="Times New Roman"/>
                <w:sz w:val="20"/>
                <w:szCs w:val="20"/>
              </w:rPr>
            </w:pPr>
            <w:r>
              <w:rPr>
                <w:rFonts w:ascii="Times New Roman" w:hAnsi="Times New Roman"/>
                <w:sz w:val="20"/>
                <w:szCs w:val="20"/>
              </w:rPr>
              <w:t>4</w:t>
            </w:r>
          </w:p>
        </w:tc>
        <w:tc>
          <w:tcPr>
            <w:tcW w:w="532" w:type="pct"/>
            <w:tcBorders>
              <w:left w:val="single" w:sz="4" w:space="0" w:color="auto"/>
              <w:right w:val="single" w:sz="4" w:space="0" w:color="auto"/>
            </w:tcBorders>
            <w:vAlign w:val="center"/>
          </w:tcPr>
          <w:p w:rsidR="0055491A" w:rsidRPr="00011F63" w:rsidRDefault="0055491A" w:rsidP="00210BF6">
            <w:pPr>
              <w:pStyle w:val="af9"/>
              <w:jc w:val="center"/>
              <w:rPr>
                <w:rFonts w:ascii="Times New Roman" w:hAnsi="Times New Roman"/>
                <w:sz w:val="20"/>
                <w:szCs w:val="20"/>
              </w:rPr>
            </w:pPr>
            <w:r>
              <w:rPr>
                <w:rFonts w:ascii="Times New Roman" w:hAnsi="Times New Roman"/>
                <w:sz w:val="20"/>
                <w:szCs w:val="20"/>
              </w:rPr>
              <w:t>3</w:t>
            </w:r>
          </w:p>
        </w:tc>
        <w:tc>
          <w:tcPr>
            <w:tcW w:w="531" w:type="pct"/>
            <w:tcBorders>
              <w:left w:val="single" w:sz="4" w:space="0" w:color="auto"/>
              <w:right w:val="single" w:sz="4" w:space="0" w:color="auto"/>
            </w:tcBorders>
            <w:vAlign w:val="center"/>
          </w:tcPr>
          <w:p w:rsidR="0055491A" w:rsidRPr="00011F63" w:rsidRDefault="0055491A" w:rsidP="00210BF6">
            <w:pPr>
              <w:pStyle w:val="af9"/>
              <w:jc w:val="center"/>
              <w:rPr>
                <w:rFonts w:ascii="Times New Roman" w:hAnsi="Times New Roman"/>
                <w:sz w:val="20"/>
                <w:szCs w:val="20"/>
              </w:rPr>
            </w:pPr>
            <w:r>
              <w:rPr>
                <w:rFonts w:ascii="Times New Roman" w:hAnsi="Times New Roman"/>
                <w:sz w:val="20"/>
                <w:szCs w:val="20"/>
              </w:rPr>
              <w:t>2</w:t>
            </w:r>
          </w:p>
        </w:tc>
        <w:tc>
          <w:tcPr>
            <w:tcW w:w="677" w:type="pct"/>
            <w:tcBorders>
              <w:top w:val="single" w:sz="4" w:space="0" w:color="auto"/>
              <w:left w:val="single" w:sz="4" w:space="0" w:color="auto"/>
              <w:bottom w:val="single" w:sz="4" w:space="0" w:color="auto"/>
              <w:right w:val="single" w:sz="4" w:space="0" w:color="auto"/>
            </w:tcBorders>
            <w:vAlign w:val="center"/>
          </w:tcPr>
          <w:p w:rsidR="0055491A" w:rsidRPr="00011F63" w:rsidRDefault="0055491A" w:rsidP="00210BF6">
            <w:pPr>
              <w:pStyle w:val="af9"/>
              <w:jc w:val="center"/>
              <w:rPr>
                <w:rFonts w:ascii="Times New Roman" w:hAnsi="Times New Roman"/>
                <w:sz w:val="20"/>
                <w:szCs w:val="20"/>
              </w:rPr>
            </w:pPr>
            <w:r>
              <w:rPr>
                <w:rFonts w:ascii="Times New Roman" w:hAnsi="Times New Roman"/>
                <w:sz w:val="20"/>
                <w:szCs w:val="20"/>
              </w:rPr>
              <w:t>3</w:t>
            </w:r>
          </w:p>
        </w:tc>
        <w:tc>
          <w:tcPr>
            <w:tcW w:w="536" w:type="pct"/>
            <w:tcBorders>
              <w:top w:val="single" w:sz="4" w:space="0" w:color="auto"/>
              <w:left w:val="single" w:sz="4" w:space="0" w:color="auto"/>
              <w:bottom w:val="single" w:sz="4" w:space="0" w:color="auto"/>
              <w:right w:val="single" w:sz="4" w:space="0" w:color="auto"/>
            </w:tcBorders>
            <w:vAlign w:val="center"/>
          </w:tcPr>
          <w:p w:rsidR="0055491A" w:rsidRPr="00011F63" w:rsidRDefault="0055491A" w:rsidP="00210BF6">
            <w:pPr>
              <w:jc w:val="center"/>
              <w:rPr>
                <w:sz w:val="20"/>
                <w:szCs w:val="20"/>
              </w:rPr>
            </w:pPr>
            <w:r>
              <w:rPr>
                <w:sz w:val="20"/>
                <w:szCs w:val="20"/>
              </w:rPr>
              <w:t>2</w:t>
            </w:r>
            <w:r w:rsidRPr="00011F63">
              <w:rPr>
                <w:sz w:val="20"/>
                <w:szCs w:val="20"/>
              </w:rPr>
              <w:t>0,0</w:t>
            </w:r>
          </w:p>
        </w:tc>
        <w:tc>
          <w:tcPr>
            <w:tcW w:w="603" w:type="pct"/>
            <w:tcBorders>
              <w:top w:val="single" w:sz="4" w:space="0" w:color="auto"/>
              <w:left w:val="single" w:sz="4" w:space="0" w:color="auto"/>
              <w:bottom w:val="single" w:sz="4" w:space="0" w:color="auto"/>
              <w:right w:val="single" w:sz="4" w:space="0" w:color="auto"/>
            </w:tcBorders>
            <w:vAlign w:val="center"/>
          </w:tcPr>
          <w:p w:rsidR="0055491A" w:rsidRDefault="0055491A" w:rsidP="00210BF6">
            <w:pPr>
              <w:jc w:val="center"/>
            </w:pPr>
            <w:r>
              <w:t>60,0</w:t>
            </w:r>
          </w:p>
        </w:tc>
      </w:tr>
      <w:tr w:rsidR="0055491A" w:rsidRPr="00145AA3" w:rsidTr="00210BF6">
        <w:trPr>
          <w:trHeight w:val="415"/>
        </w:trPr>
        <w:tc>
          <w:tcPr>
            <w:tcW w:w="378" w:type="pct"/>
            <w:tcBorders>
              <w:left w:val="single" w:sz="4" w:space="0" w:color="auto"/>
              <w:right w:val="single" w:sz="4" w:space="0" w:color="auto"/>
            </w:tcBorders>
            <w:vAlign w:val="center"/>
          </w:tcPr>
          <w:p w:rsidR="0055491A" w:rsidRPr="00011F63" w:rsidRDefault="0055491A" w:rsidP="00210BF6">
            <w:pPr>
              <w:pStyle w:val="af9"/>
              <w:spacing w:line="360" w:lineRule="auto"/>
              <w:jc w:val="center"/>
              <w:rPr>
                <w:rFonts w:ascii="Times New Roman" w:hAnsi="Times New Roman"/>
                <w:sz w:val="20"/>
                <w:szCs w:val="20"/>
              </w:rPr>
            </w:pPr>
            <w:r w:rsidRPr="00011F63">
              <w:rPr>
                <w:rFonts w:ascii="Times New Roman" w:hAnsi="Times New Roman"/>
                <w:sz w:val="20"/>
                <w:szCs w:val="20"/>
              </w:rPr>
              <w:t>4.</w:t>
            </w:r>
          </w:p>
        </w:tc>
        <w:tc>
          <w:tcPr>
            <w:tcW w:w="759" w:type="pct"/>
            <w:tcBorders>
              <w:left w:val="single" w:sz="4" w:space="0" w:color="auto"/>
              <w:right w:val="single" w:sz="4" w:space="0" w:color="auto"/>
            </w:tcBorders>
            <w:vAlign w:val="center"/>
          </w:tcPr>
          <w:p w:rsidR="0055491A" w:rsidRPr="00011F63" w:rsidRDefault="0055491A" w:rsidP="00210BF6">
            <w:pPr>
              <w:jc w:val="center"/>
              <w:rPr>
                <w:color w:val="000000"/>
                <w:sz w:val="20"/>
                <w:szCs w:val="20"/>
              </w:rPr>
            </w:pPr>
            <w:r w:rsidRPr="00011F63">
              <w:rPr>
                <w:b/>
                <w:color w:val="000000"/>
                <w:sz w:val="20"/>
                <w:szCs w:val="20"/>
              </w:rPr>
              <w:t>ст. 15.15.</w:t>
            </w:r>
            <w:r>
              <w:rPr>
                <w:b/>
                <w:color w:val="000000"/>
                <w:sz w:val="20"/>
                <w:szCs w:val="20"/>
              </w:rPr>
              <w:t xml:space="preserve">7 </w:t>
            </w:r>
            <w:r w:rsidRPr="00DE3967">
              <w:rPr>
                <w:color w:val="000000"/>
                <w:sz w:val="20"/>
                <w:szCs w:val="20"/>
              </w:rPr>
              <w:t>Ко</w:t>
            </w:r>
            <w:r w:rsidRPr="00011F63">
              <w:rPr>
                <w:color w:val="000000"/>
                <w:sz w:val="20"/>
                <w:szCs w:val="20"/>
              </w:rPr>
              <w:t>АП РФ в отношении должностных лиц</w:t>
            </w:r>
          </w:p>
        </w:tc>
        <w:tc>
          <w:tcPr>
            <w:tcW w:w="454" w:type="pct"/>
            <w:tcBorders>
              <w:left w:val="single" w:sz="4" w:space="0" w:color="auto"/>
              <w:right w:val="single" w:sz="4" w:space="0" w:color="auto"/>
            </w:tcBorders>
            <w:vAlign w:val="center"/>
          </w:tcPr>
          <w:p w:rsidR="0055491A" w:rsidRPr="00011F63" w:rsidRDefault="0055491A" w:rsidP="00210BF6">
            <w:pPr>
              <w:jc w:val="center"/>
              <w:rPr>
                <w:color w:val="000000"/>
                <w:sz w:val="20"/>
                <w:szCs w:val="20"/>
              </w:rPr>
            </w:pPr>
            <w:r w:rsidRPr="00011F63">
              <w:rPr>
                <w:color w:val="000000"/>
                <w:sz w:val="20"/>
                <w:szCs w:val="20"/>
              </w:rPr>
              <w:t>от 10 000</w:t>
            </w:r>
          </w:p>
          <w:p w:rsidR="0055491A" w:rsidRPr="00011F63" w:rsidRDefault="0055491A" w:rsidP="00210BF6">
            <w:pPr>
              <w:jc w:val="center"/>
              <w:rPr>
                <w:color w:val="000000"/>
                <w:sz w:val="20"/>
                <w:szCs w:val="20"/>
              </w:rPr>
            </w:pPr>
            <w:r w:rsidRPr="00011F63">
              <w:rPr>
                <w:color w:val="000000"/>
                <w:sz w:val="20"/>
                <w:szCs w:val="20"/>
              </w:rPr>
              <w:t>до 30 000 рублей</w:t>
            </w:r>
          </w:p>
        </w:tc>
        <w:tc>
          <w:tcPr>
            <w:tcW w:w="531" w:type="pct"/>
            <w:tcBorders>
              <w:left w:val="single" w:sz="4" w:space="0" w:color="auto"/>
              <w:right w:val="single" w:sz="4" w:space="0" w:color="auto"/>
            </w:tcBorders>
            <w:vAlign w:val="center"/>
          </w:tcPr>
          <w:p w:rsidR="0055491A" w:rsidRPr="00011F63" w:rsidRDefault="0055491A" w:rsidP="00210BF6">
            <w:pPr>
              <w:pStyle w:val="af9"/>
              <w:jc w:val="center"/>
              <w:rPr>
                <w:rFonts w:ascii="Times New Roman" w:hAnsi="Times New Roman"/>
                <w:sz w:val="20"/>
                <w:szCs w:val="20"/>
              </w:rPr>
            </w:pPr>
            <w:r>
              <w:rPr>
                <w:rFonts w:ascii="Times New Roman" w:hAnsi="Times New Roman"/>
                <w:sz w:val="20"/>
                <w:szCs w:val="20"/>
              </w:rPr>
              <w:t>0</w:t>
            </w:r>
          </w:p>
        </w:tc>
        <w:tc>
          <w:tcPr>
            <w:tcW w:w="532" w:type="pct"/>
            <w:tcBorders>
              <w:left w:val="single" w:sz="4" w:space="0" w:color="auto"/>
              <w:right w:val="single" w:sz="4" w:space="0" w:color="auto"/>
            </w:tcBorders>
            <w:vAlign w:val="center"/>
          </w:tcPr>
          <w:p w:rsidR="0055491A" w:rsidRPr="00011F63" w:rsidRDefault="0055491A" w:rsidP="00210BF6">
            <w:pPr>
              <w:pStyle w:val="af9"/>
              <w:jc w:val="center"/>
              <w:rPr>
                <w:rFonts w:ascii="Times New Roman" w:hAnsi="Times New Roman"/>
                <w:sz w:val="20"/>
                <w:szCs w:val="20"/>
              </w:rPr>
            </w:pPr>
            <w:r>
              <w:rPr>
                <w:rFonts w:ascii="Times New Roman" w:hAnsi="Times New Roman"/>
                <w:sz w:val="20"/>
                <w:szCs w:val="20"/>
              </w:rPr>
              <w:t>0</w:t>
            </w:r>
          </w:p>
        </w:tc>
        <w:tc>
          <w:tcPr>
            <w:tcW w:w="531" w:type="pct"/>
            <w:tcBorders>
              <w:left w:val="single" w:sz="4" w:space="0" w:color="auto"/>
              <w:right w:val="single" w:sz="4" w:space="0" w:color="auto"/>
            </w:tcBorders>
            <w:vAlign w:val="center"/>
          </w:tcPr>
          <w:p w:rsidR="0055491A" w:rsidRPr="00011F63" w:rsidRDefault="0055491A" w:rsidP="00210BF6">
            <w:pPr>
              <w:pStyle w:val="af9"/>
              <w:jc w:val="center"/>
              <w:rPr>
                <w:rFonts w:ascii="Times New Roman" w:hAnsi="Times New Roman"/>
                <w:sz w:val="20"/>
                <w:szCs w:val="20"/>
              </w:rPr>
            </w:pPr>
            <w:r>
              <w:rPr>
                <w:rFonts w:ascii="Times New Roman" w:hAnsi="Times New Roman"/>
                <w:sz w:val="20"/>
                <w:szCs w:val="20"/>
              </w:rPr>
              <w:t>2</w:t>
            </w:r>
          </w:p>
        </w:tc>
        <w:tc>
          <w:tcPr>
            <w:tcW w:w="677" w:type="pct"/>
            <w:tcBorders>
              <w:top w:val="single" w:sz="4" w:space="0" w:color="auto"/>
              <w:left w:val="single" w:sz="4" w:space="0" w:color="auto"/>
              <w:bottom w:val="single" w:sz="4" w:space="0" w:color="auto"/>
              <w:right w:val="single" w:sz="4" w:space="0" w:color="auto"/>
            </w:tcBorders>
            <w:vAlign w:val="center"/>
          </w:tcPr>
          <w:p w:rsidR="0055491A" w:rsidRPr="00011F63" w:rsidRDefault="0055491A" w:rsidP="00210BF6">
            <w:pPr>
              <w:pStyle w:val="af9"/>
              <w:jc w:val="center"/>
              <w:rPr>
                <w:rFonts w:ascii="Times New Roman" w:hAnsi="Times New Roman"/>
                <w:sz w:val="20"/>
                <w:szCs w:val="20"/>
              </w:rPr>
            </w:pPr>
            <w:r>
              <w:rPr>
                <w:rFonts w:ascii="Times New Roman" w:hAnsi="Times New Roman"/>
                <w:sz w:val="20"/>
                <w:szCs w:val="20"/>
              </w:rPr>
              <w:t>1</w:t>
            </w:r>
          </w:p>
        </w:tc>
        <w:tc>
          <w:tcPr>
            <w:tcW w:w="536" w:type="pct"/>
            <w:tcBorders>
              <w:top w:val="single" w:sz="4" w:space="0" w:color="auto"/>
              <w:left w:val="single" w:sz="4" w:space="0" w:color="auto"/>
              <w:bottom w:val="single" w:sz="4" w:space="0" w:color="auto"/>
              <w:right w:val="single" w:sz="4" w:space="0" w:color="auto"/>
            </w:tcBorders>
            <w:vAlign w:val="center"/>
          </w:tcPr>
          <w:p w:rsidR="0055491A" w:rsidRPr="00011F63" w:rsidRDefault="0055491A" w:rsidP="00210BF6">
            <w:pPr>
              <w:jc w:val="center"/>
              <w:rPr>
                <w:sz w:val="20"/>
                <w:szCs w:val="20"/>
              </w:rPr>
            </w:pPr>
            <w:r w:rsidRPr="00011F63">
              <w:rPr>
                <w:sz w:val="20"/>
                <w:szCs w:val="20"/>
              </w:rPr>
              <w:t>10,0</w:t>
            </w:r>
          </w:p>
        </w:tc>
        <w:tc>
          <w:tcPr>
            <w:tcW w:w="603" w:type="pct"/>
            <w:tcBorders>
              <w:top w:val="single" w:sz="4" w:space="0" w:color="auto"/>
              <w:left w:val="single" w:sz="4" w:space="0" w:color="auto"/>
              <w:bottom w:val="single" w:sz="4" w:space="0" w:color="auto"/>
              <w:right w:val="single" w:sz="4" w:space="0" w:color="auto"/>
            </w:tcBorders>
            <w:vAlign w:val="center"/>
          </w:tcPr>
          <w:p w:rsidR="0055491A" w:rsidRDefault="0055491A" w:rsidP="00210BF6">
            <w:pPr>
              <w:jc w:val="center"/>
            </w:pPr>
            <w:r>
              <w:t>10,0</w:t>
            </w:r>
          </w:p>
        </w:tc>
      </w:tr>
      <w:tr w:rsidR="0055491A" w:rsidRPr="00145AA3" w:rsidTr="00210BF6">
        <w:trPr>
          <w:trHeight w:val="495"/>
        </w:trPr>
        <w:tc>
          <w:tcPr>
            <w:tcW w:w="378" w:type="pct"/>
            <w:tcBorders>
              <w:left w:val="single" w:sz="4" w:space="0" w:color="auto"/>
              <w:right w:val="single" w:sz="4" w:space="0" w:color="auto"/>
            </w:tcBorders>
            <w:vAlign w:val="center"/>
          </w:tcPr>
          <w:p w:rsidR="0055491A" w:rsidRPr="00011F63" w:rsidRDefault="0055491A" w:rsidP="00210BF6">
            <w:pPr>
              <w:pStyle w:val="af9"/>
              <w:spacing w:line="360" w:lineRule="auto"/>
              <w:jc w:val="center"/>
              <w:rPr>
                <w:rFonts w:ascii="Times New Roman" w:hAnsi="Times New Roman"/>
                <w:sz w:val="20"/>
                <w:szCs w:val="20"/>
              </w:rPr>
            </w:pPr>
            <w:r w:rsidRPr="00011F63">
              <w:rPr>
                <w:rFonts w:ascii="Times New Roman" w:hAnsi="Times New Roman"/>
                <w:sz w:val="20"/>
                <w:szCs w:val="20"/>
              </w:rPr>
              <w:t>5.</w:t>
            </w:r>
          </w:p>
        </w:tc>
        <w:tc>
          <w:tcPr>
            <w:tcW w:w="759" w:type="pct"/>
            <w:tcBorders>
              <w:left w:val="single" w:sz="4" w:space="0" w:color="auto"/>
              <w:right w:val="single" w:sz="4" w:space="0" w:color="auto"/>
            </w:tcBorders>
            <w:vAlign w:val="center"/>
          </w:tcPr>
          <w:p w:rsidR="0055491A" w:rsidRPr="00011F63" w:rsidRDefault="0055491A" w:rsidP="00210BF6">
            <w:pPr>
              <w:jc w:val="center"/>
              <w:rPr>
                <w:b/>
                <w:color w:val="000000"/>
                <w:sz w:val="20"/>
                <w:szCs w:val="20"/>
              </w:rPr>
            </w:pPr>
            <w:r w:rsidRPr="00011F63">
              <w:rPr>
                <w:b/>
                <w:color w:val="000000"/>
                <w:sz w:val="20"/>
                <w:szCs w:val="20"/>
              </w:rPr>
              <w:t>ч. 1 ст. 15.1</w:t>
            </w:r>
            <w:r>
              <w:rPr>
                <w:b/>
                <w:color w:val="000000"/>
                <w:sz w:val="20"/>
                <w:szCs w:val="20"/>
              </w:rPr>
              <w:t>5.15</w:t>
            </w:r>
          </w:p>
          <w:p w:rsidR="0055491A" w:rsidRPr="00011F63" w:rsidRDefault="0055491A" w:rsidP="00210BF6">
            <w:pPr>
              <w:jc w:val="center"/>
              <w:rPr>
                <w:color w:val="000000"/>
                <w:sz w:val="20"/>
                <w:szCs w:val="20"/>
              </w:rPr>
            </w:pPr>
            <w:r w:rsidRPr="00011F63">
              <w:rPr>
                <w:color w:val="000000"/>
                <w:sz w:val="20"/>
                <w:szCs w:val="20"/>
              </w:rPr>
              <w:t>КоАП РФ в отношении должностных лиц</w:t>
            </w:r>
          </w:p>
        </w:tc>
        <w:tc>
          <w:tcPr>
            <w:tcW w:w="454" w:type="pct"/>
            <w:tcBorders>
              <w:left w:val="single" w:sz="4" w:space="0" w:color="auto"/>
              <w:right w:val="single" w:sz="4" w:space="0" w:color="auto"/>
            </w:tcBorders>
            <w:vAlign w:val="center"/>
          </w:tcPr>
          <w:p w:rsidR="0055491A" w:rsidRPr="00011F63" w:rsidRDefault="0055491A" w:rsidP="00210BF6">
            <w:pPr>
              <w:jc w:val="center"/>
              <w:rPr>
                <w:color w:val="000000"/>
                <w:sz w:val="20"/>
                <w:szCs w:val="20"/>
              </w:rPr>
            </w:pPr>
            <w:r w:rsidRPr="00011F63">
              <w:rPr>
                <w:color w:val="000000"/>
                <w:sz w:val="20"/>
                <w:szCs w:val="20"/>
              </w:rPr>
              <w:t xml:space="preserve">от </w:t>
            </w:r>
            <w:r>
              <w:rPr>
                <w:color w:val="000000"/>
                <w:sz w:val="20"/>
                <w:szCs w:val="20"/>
              </w:rPr>
              <w:t>10</w:t>
            </w:r>
            <w:r w:rsidRPr="00011F63">
              <w:rPr>
                <w:color w:val="000000"/>
                <w:sz w:val="20"/>
                <w:szCs w:val="20"/>
              </w:rPr>
              <w:t xml:space="preserve"> 000 до </w:t>
            </w:r>
            <w:r>
              <w:rPr>
                <w:color w:val="000000"/>
                <w:sz w:val="20"/>
                <w:szCs w:val="20"/>
              </w:rPr>
              <w:t>3</w:t>
            </w:r>
            <w:r w:rsidRPr="00011F63">
              <w:rPr>
                <w:color w:val="000000"/>
                <w:sz w:val="20"/>
                <w:szCs w:val="20"/>
              </w:rPr>
              <w:t>0 000 рублей</w:t>
            </w:r>
          </w:p>
        </w:tc>
        <w:tc>
          <w:tcPr>
            <w:tcW w:w="531" w:type="pct"/>
            <w:tcBorders>
              <w:left w:val="single" w:sz="4" w:space="0" w:color="auto"/>
              <w:right w:val="single" w:sz="4" w:space="0" w:color="auto"/>
            </w:tcBorders>
            <w:vAlign w:val="center"/>
          </w:tcPr>
          <w:p w:rsidR="0055491A" w:rsidRPr="00011F63" w:rsidRDefault="0055491A" w:rsidP="00210BF6">
            <w:pPr>
              <w:pStyle w:val="af9"/>
              <w:jc w:val="center"/>
              <w:rPr>
                <w:rFonts w:ascii="Times New Roman" w:hAnsi="Times New Roman"/>
                <w:sz w:val="20"/>
                <w:szCs w:val="20"/>
              </w:rPr>
            </w:pPr>
            <w:r w:rsidRPr="00011F63">
              <w:rPr>
                <w:rFonts w:ascii="Times New Roman" w:hAnsi="Times New Roman"/>
                <w:sz w:val="20"/>
                <w:szCs w:val="20"/>
              </w:rPr>
              <w:t>2</w:t>
            </w:r>
          </w:p>
        </w:tc>
        <w:tc>
          <w:tcPr>
            <w:tcW w:w="532" w:type="pct"/>
            <w:tcBorders>
              <w:left w:val="single" w:sz="4" w:space="0" w:color="auto"/>
              <w:right w:val="single" w:sz="4" w:space="0" w:color="auto"/>
            </w:tcBorders>
            <w:vAlign w:val="center"/>
          </w:tcPr>
          <w:p w:rsidR="0055491A" w:rsidRPr="00011F63" w:rsidRDefault="0055491A" w:rsidP="00210BF6">
            <w:pPr>
              <w:pStyle w:val="af9"/>
              <w:jc w:val="center"/>
              <w:rPr>
                <w:rFonts w:ascii="Times New Roman" w:hAnsi="Times New Roman"/>
                <w:sz w:val="20"/>
                <w:szCs w:val="20"/>
              </w:rPr>
            </w:pPr>
            <w:r>
              <w:rPr>
                <w:rFonts w:ascii="Times New Roman" w:hAnsi="Times New Roman"/>
                <w:sz w:val="20"/>
                <w:szCs w:val="20"/>
              </w:rPr>
              <w:t>6</w:t>
            </w:r>
          </w:p>
        </w:tc>
        <w:tc>
          <w:tcPr>
            <w:tcW w:w="531" w:type="pct"/>
            <w:tcBorders>
              <w:left w:val="single" w:sz="4" w:space="0" w:color="auto"/>
              <w:right w:val="single" w:sz="4" w:space="0" w:color="auto"/>
            </w:tcBorders>
            <w:vAlign w:val="center"/>
          </w:tcPr>
          <w:p w:rsidR="0055491A" w:rsidRPr="00011F63" w:rsidRDefault="0055491A" w:rsidP="00210BF6">
            <w:pPr>
              <w:pStyle w:val="af9"/>
              <w:jc w:val="center"/>
              <w:rPr>
                <w:rFonts w:ascii="Times New Roman" w:hAnsi="Times New Roman"/>
                <w:sz w:val="20"/>
                <w:szCs w:val="20"/>
              </w:rPr>
            </w:pPr>
            <w:r>
              <w:rPr>
                <w:rFonts w:ascii="Times New Roman" w:hAnsi="Times New Roman"/>
                <w:sz w:val="20"/>
                <w:szCs w:val="20"/>
              </w:rPr>
              <w:t>2</w:t>
            </w:r>
          </w:p>
        </w:tc>
        <w:tc>
          <w:tcPr>
            <w:tcW w:w="677" w:type="pct"/>
            <w:tcBorders>
              <w:top w:val="single" w:sz="4" w:space="0" w:color="auto"/>
              <w:left w:val="single" w:sz="4" w:space="0" w:color="auto"/>
              <w:bottom w:val="single" w:sz="4" w:space="0" w:color="auto"/>
              <w:right w:val="single" w:sz="4" w:space="0" w:color="auto"/>
            </w:tcBorders>
            <w:vAlign w:val="center"/>
          </w:tcPr>
          <w:p w:rsidR="0055491A" w:rsidRPr="00011F63" w:rsidRDefault="0055491A" w:rsidP="00210BF6">
            <w:pPr>
              <w:pStyle w:val="af9"/>
              <w:jc w:val="center"/>
              <w:rPr>
                <w:rFonts w:ascii="Times New Roman" w:hAnsi="Times New Roman"/>
                <w:sz w:val="20"/>
                <w:szCs w:val="20"/>
              </w:rPr>
            </w:pPr>
            <w:r>
              <w:rPr>
                <w:rFonts w:ascii="Times New Roman" w:hAnsi="Times New Roman"/>
                <w:sz w:val="20"/>
                <w:szCs w:val="20"/>
              </w:rPr>
              <w:t>3</w:t>
            </w:r>
          </w:p>
        </w:tc>
        <w:tc>
          <w:tcPr>
            <w:tcW w:w="536" w:type="pct"/>
            <w:tcBorders>
              <w:top w:val="single" w:sz="4" w:space="0" w:color="auto"/>
              <w:left w:val="single" w:sz="4" w:space="0" w:color="auto"/>
              <w:bottom w:val="single" w:sz="4" w:space="0" w:color="auto"/>
              <w:right w:val="single" w:sz="4" w:space="0" w:color="auto"/>
            </w:tcBorders>
            <w:vAlign w:val="center"/>
          </w:tcPr>
          <w:p w:rsidR="0055491A" w:rsidRPr="00011F63" w:rsidRDefault="0055491A" w:rsidP="00210BF6">
            <w:pPr>
              <w:jc w:val="center"/>
              <w:rPr>
                <w:sz w:val="20"/>
                <w:szCs w:val="20"/>
              </w:rPr>
            </w:pPr>
            <w:r>
              <w:rPr>
                <w:sz w:val="20"/>
                <w:szCs w:val="20"/>
              </w:rPr>
              <w:t>10</w:t>
            </w:r>
            <w:r w:rsidRPr="00011F63">
              <w:rPr>
                <w:sz w:val="20"/>
                <w:szCs w:val="20"/>
              </w:rPr>
              <w:t>,0</w:t>
            </w:r>
          </w:p>
        </w:tc>
        <w:tc>
          <w:tcPr>
            <w:tcW w:w="603" w:type="pct"/>
            <w:tcBorders>
              <w:top w:val="single" w:sz="4" w:space="0" w:color="auto"/>
              <w:left w:val="single" w:sz="4" w:space="0" w:color="auto"/>
              <w:bottom w:val="single" w:sz="4" w:space="0" w:color="auto"/>
              <w:right w:val="single" w:sz="4" w:space="0" w:color="auto"/>
            </w:tcBorders>
            <w:vAlign w:val="center"/>
          </w:tcPr>
          <w:p w:rsidR="0055491A" w:rsidRPr="00E1046E" w:rsidRDefault="0055491A" w:rsidP="00210BF6">
            <w:pPr>
              <w:jc w:val="center"/>
            </w:pPr>
            <w:r>
              <w:t>30,0</w:t>
            </w:r>
          </w:p>
        </w:tc>
      </w:tr>
      <w:tr w:rsidR="0055491A" w:rsidRPr="00145AA3" w:rsidTr="00210BF6">
        <w:trPr>
          <w:trHeight w:val="495"/>
        </w:trPr>
        <w:tc>
          <w:tcPr>
            <w:tcW w:w="378" w:type="pct"/>
            <w:tcBorders>
              <w:left w:val="single" w:sz="4" w:space="0" w:color="auto"/>
              <w:right w:val="single" w:sz="4" w:space="0" w:color="auto"/>
            </w:tcBorders>
            <w:vAlign w:val="center"/>
          </w:tcPr>
          <w:p w:rsidR="0055491A" w:rsidRPr="00011F63" w:rsidRDefault="0055491A" w:rsidP="00210BF6">
            <w:pPr>
              <w:pStyle w:val="af9"/>
              <w:spacing w:line="360" w:lineRule="auto"/>
              <w:jc w:val="center"/>
              <w:rPr>
                <w:rFonts w:ascii="Times New Roman" w:hAnsi="Times New Roman"/>
                <w:sz w:val="20"/>
                <w:szCs w:val="20"/>
              </w:rPr>
            </w:pPr>
            <w:r w:rsidRPr="00011F63">
              <w:rPr>
                <w:rFonts w:ascii="Times New Roman" w:hAnsi="Times New Roman"/>
                <w:sz w:val="20"/>
                <w:szCs w:val="20"/>
              </w:rPr>
              <w:t>6.</w:t>
            </w:r>
          </w:p>
        </w:tc>
        <w:tc>
          <w:tcPr>
            <w:tcW w:w="759" w:type="pct"/>
            <w:tcBorders>
              <w:left w:val="single" w:sz="4" w:space="0" w:color="auto"/>
              <w:right w:val="single" w:sz="4" w:space="0" w:color="auto"/>
            </w:tcBorders>
            <w:vAlign w:val="center"/>
          </w:tcPr>
          <w:p w:rsidR="0055491A" w:rsidRPr="00011F63" w:rsidRDefault="0055491A" w:rsidP="00210BF6">
            <w:pPr>
              <w:jc w:val="center"/>
              <w:rPr>
                <w:color w:val="000000"/>
                <w:sz w:val="20"/>
                <w:szCs w:val="20"/>
              </w:rPr>
            </w:pPr>
            <w:r w:rsidRPr="00011F63">
              <w:rPr>
                <w:b/>
                <w:color w:val="000000"/>
                <w:sz w:val="20"/>
                <w:szCs w:val="20"/>
              </w:rPr>
              <w:t>ч. 1 ст. 15.</w:t>
            </w:r>
            <w:r>
              <w:rPr>
                <w:b/>
                <w:color w:val="000000"/>
                <w:sz w:val="20"/>
                <w:szCs w:val="20"/>
              </w:rPr>
              <w:t>11</w:t>
            </w:r>
            <w:r w:rsidRPr="00011F63">
              <w:rPr>
                <w:b/>
                <w:color w:val="000000"/>
                <w:sz w:val="20"/>
                <w:szCs w:val="20"/>
              </w:rPr>
              <w:t xml:space="preserve"> </w:t>
            </w:r>
            <w:r w:rsidRPr="00011F63">
              <w:rPr>
                <w:color w:val="000000"/>
                <w:sz w:val="20"/>
                <w:szCs w:val="20"/>
              </w:rPr>
              <w:t>в отношении должностных лиц</w:t>
            </w:r>
          </w:p>
        </w:tc>
        <w:tc>
          <w:tcPr>
            <w:tcW w:w="454" w:type="pct"/>
            <w:tcBorders>
              <w:left w:val="single" w:sz="4" w:space="0" w:color="auto"/>
              <w:right w:val="single" w:sz="4" w:space="0" w:color="auto"/>
            </w:tcBorders>
            <w:vAlign w:val="center"/>
          </w:tcPr>
          <w:p w:rsidR="0055491A" w:rsidRPr="00011F63" w:rsidRDefault="0055491A" w:rsidP="00210BF6">
            <w:pPr>
              <w:jc w:val="center"/>
              <w:rPr>
                <w:color w:val="000000"/>
                <w:sz w:val="20"/>
                <w:szCs w:val="20"/>
              </w:rPr>
            </w:pPr>
            <w:r w:rsidRPr="00011F63">
              <w:rPr>
                <w:color w:val="000000"/>
                <w:sz w:val="20"/>
                <w:szCs w:val="20"/>
              </w:rPr>
              <w:t xml:space="preserve">от </w:t>
            </w:r>
            <w:r>
              <w:rPr>
                <w:color w:val="000000"/>
                <w:sz w:val="20"/>
                <w:szCs w:val="20"/>
              </w:rPr>
              <w:t>5 000</w:t>
            </w:r>
            <w:r w:rsidRPr="00011F63">
              <w:rPr>
                <w:color w:val="000000"/>
                <w:sz w:val="20"/>
                <w:szCs w:val="20"/>
              </w:rPr>
              <w:t xml:space="preserve"> до 1</w:t>
            </w:r>
            <w:r>
              <w:rPr>
                <w:color w:val="000000"/>
                <w:sz w:val="20"/>
                <w:szCs w:val="20"/>
              </w:rPr>
              <w:t>0</w:t>
            </w:r>
            <w:r w:rsidRPr="00011F63">
              <w:rPr>
                <w:color w:val="000000"/>
                <w:sz w:val="20"/>
                <w:szCs w:val="20"/>
              </w:rPr>
              <w:t> 000 рублей</w:t>
            </w:r>
          </w:p>
        </w:tc>
        <w:tc>
          <w:tcPr>
            <w:tcW w:w="531" w:type="pct"/>
            <w:tcBorders>
              <w:left w:val="single" w:sz="4" w:space="0" w:color="auto"/>
              <w:right w:val="single" w:sz="4" w:space="0" w:color="auto"/>
            </w:tcBorders>
            <w:vAlign w:val="center"/>
          </w:tcPr>
          <w:p w:rsidR="0055491A" w:rsidRPr="00011F63" w:rsidRDefault="0055491A" w:rsidP="00210BF6">
            <w:pPr>
              <w:pStyle w:val="af9"/>
              <w:jc w:val="center"/>
              <w:rPr>
                <w:rFonts w:ascii="Times New Roman" w:hAnsi="Times New Roman"/>
                <w:sz w:val="20"/>
                <w:szCs w:val="20"/>
              </w:rPr>
            </w:pPr>
            <w:r>
              <w:rPr>
                <w:rFonts w:ascii="Times New Roman" w:hAnsi="Times New Roman"/>
                <w:sz w:val="20"/>
                <w:szCs w:val="20"/>
              </w:rPr>
              <w:t>4</w:t>
            </w:r>
          </w:p>
        </w:tc>
        <w:tc>
          <w:tcPr>
            <w:tcW w:w="532" w:type="pct"/>
            <w:tcBorders>
              <w:left w:val="single" w:sz="4" w:space="0" w:color="auto"/>
              <w:right w:val="single" w:sz="4" w:space="0" w:color="auto"/>
            </w:tcBorders>
            <w:vAlign w:val="center"/>
          </w:tcPr>
          <w:p w:rsidR="0055491A" w:rsidRPr="00011F63" w:rsidRDefault="0055491A" w:rsidP="00210BF6">
            <w:pPr>
              <w:pStyle w:val="af9"/>
              <w:jc w:val="center"/>
              <w:rPr>
                <w:rFonts w:ascii="Times New Roman" w:hAnsi="Times New Roman"/>
                <w:sz w:val="20"/>
                <w:szCs w:val="20"/>
              </w:rPr>
            </w:pPr>
            <w:r>
              <w:rPr>
                <w:rFonts w:ascii="Times New Roman" w:hAnsi="Times New Roman"/>
                <w:sz w:val="20"/>
                <w:szCs w:val="20"/>
              </w:rPr>
              <w:t>0</w:t>
            </w:r>
          </w:p>
        </w:tc>
        <w:tc>
          <w:tcPr>
            <w:tcW w:w="531" w:type="pct"/>
            <w:tcBorders>
              <w:left w:val="single" w:sz="4" w:space="0" w:color="auto"/>
              <w:right w:val="single" w:sz="4" w:space="0" w:color="auto"/>
            </w:tcBorders>
            <w:vAlign w:val="center"/>
          </w:tcPr>
          <w:p w:rsidR="0055491A" w:rsidRPr="00011F63" w:rsidRDefault="0055491A" w:rsidP="00210BF6">
            <w:pPr>
              <w:pStyle w:val="af9"/>
              <w:jc w:val="center"/>
              <w:rPr>
                <w:rFonts w:ascii="Times New Roman" w:hAnsi="Times New Roman"/>
                <w:sz w:val="20"/>
                <w:szCs w:val="20"/>
              </w:rPr>
            </w:pPr>
            <w:r w:rsidRPr="00011F63">
              <w:rPr>
                <w:rFonts w:ascii="Times New Roman" w:hAnsi="Times New Roman"/>
                <w:sz w:val="20"/>
                <w:szCs w:val="20"/>
              </w:rPr>
              <w:t>0</w:t>
            </w:r>
          </w:p>
        </w:tc>
        <w:tc>
          <w:tcPr>
            <w:tcW w:w="677" w:type="pct"/>
            <w:tcBorders>
              <w:top w:val="single" w:sz="4" w:space="0" w:color="auto"/>
              <w:left w:val="single" w:sz="4" w:space="0" w:color="auto"/>
              <w:bottom w:val="single" w:sz="4" w:space="0" w:color="auto"/>
              <w:right w:val="single" w:sz="4" w:space="0" w:color="auto"/>
            </w:tcBorders>
            <w:vAlign w:val="center"/>
          </w:tcPr>
          <w:p w:rsidR="0055491A" w:rsidRPr="00011F63" w:rsidRDefault="0055491A" w:rsidP="00210BF6">
            <w:pPr>
              <w:pStyle w:val="af9"/>
              <w:jc w:val="center"/>
              <w:rPr>
                <w:rFonts w:ascii="Times New Roman" w:hAnsi="Times New Roman"/>
                <w:sz w:val="20"/>
                <w:szCs w:val="20"/>
              </w:rPr>
            </w:pPr>
            <w:r>
              <w:rPr>
                <w:rFonts w:ascii="Times New Roman" w:hAnsi="Times New Roman"/>
                <w:sz w:val="20"/>
                <w:szCs w:val="20"/>
              </w:rPr>
              <w:t>1</w:t>
            </w:r>
          </w:p>
        </w:tc>
        <w:tc>
          <w:tcPr>
            <w:tcW w:w="536" w:type="pct"/>
            <w:tcBorders>
              <w:top w:val="single" w:sz="4" w:space="0" w:color="auto"/>
              <w:left w:val="single" w:sz="4" w:space="0" w:color="auto"/>
              <w:bottom w:val="single" w:sz="4" w:space="0" w:color="auto"/>
              <w:right w:val="single" w:sz="4" w:space="0" w:color="auto"/>
            </w:tcBorders>
            <w:vAlign w:val="center"/>
          </w:tcPr>
          <w:p w:rsidR="0055491A" w:rsidRPr="00011F63" w:rsidRDefault="0055491A" w:rsidP="00210BF6">
            <w:pPr>
              <w:jc w:val="center"/>
              <w:rPr>
                <w:sz w:val="20"/>
                <w:szCs w:val="20"/>
              </w:rPr>
            </w:pPr>
            <w:r>
              <w:rPr>
                <w:sz w:val="20"/>
                <w:szCs w:val="20"/>
              </w:rPr>
              <w:t>5,0</w:t>
            </w:r>
          </w:p>
        </w:tc>
        <w:tc>
          <w:tcPr>
            <w:tcW w:w="603" w:type="pct"/>
            <w:tcBorders>
              <w:top w:val="single" w:sz="4" w:space="0" w:color="auto"/>
              <w:left w:val="single" w:sz="4" w:space="0" w:color="auto"/>
              <w:bottom w:val="single" w:sz="4" w:space="0" w:color="auto"/>
              <w:right w:val="single" w:sz="4" w:space="0" w:color="auto"/>
            </w:tcBorders>
            <w:vAlign w:val="center"/>
          </w:tcPr>
          <w:p w:rsidR="0055491A" w:rsidRPr="00E1046E" w:rsidRDefault="0055491A" w:rsidP="00210BF6">
            <w:pPr>
              <w:jc w:val="center"/>
            </w:pPr>
            <w:r>
              <w:t>5,0</w:t>
            </w:r>
          </w:p>
        </w:tc>
      </w:tr>
      <w:tr w:rsidR="0055491A" w:rsidRPr="00145AA3" w:rsidTr="00210BF6">
        <w:trPr>
          <w:trHeight w:val="495"/>
        </w:trPr>
        <w:tc>
          <w:tcPr>
            <w:tcW w:w="378" w:type="pct"/>
            <w:tcBorders>
              <w:left w:val="single" w:sz="4" w:space="0" w:color="auto"/>
              <w:right w:val="single" w:sz="4" w:space="0" w:color="auto"/>
            </w:tcBorders>
            <w:vAlign w:val="center"/>
          </w:tcPr>
          <w:p w:rsidR="0055491A" w:rsidRPr="00011F63" w:rsidRDefault="0055491A" w:rsidP="00210BF6">
            <w:pPr>
              <w:pStyle w:val="af9"/>
              <w:spacing w:line="360" w:lineRule="auto"/>
              <w:jc w:val="center"/>
              <w:rPr>
                <w:rFonts w:ascii="Times New Roman" w:hAnsi="Times New Roman"/>
                <w:sz w:val="20"/>
                <w:szCs w:val="20"/>
              </w:rPr>
            </w:pPr>
            <w:r w:rsidRPr="00011F63">
              <w:rPr>
                <w:rFonts w:ascii="Times New Roman" w:hAnsi="Times New Roman"/>
                <w:sz w:val="20"/>
                <w:szCs w:val="20"/>
              </w:rPr>
              <w:t>7.</w:t>
            </w:r>
          </w:p>
        </w:tc>
        <w:tc>
          <w:tcPr>
            <w:tcW w:w="759" w:type="pct"/>
            <w:tcBorders>
              <w:left w:val="single" w:sz="4" w:space="0" w:color="auto"/>
              <w:right w:val="single" w:sz="4" w:space="0" w:color="auto"/>
            </w:tcBorders>
            <w:vAlign w:val="center"/>
          </w:tcPr>
          <w:p w:rsidR="0055491A" w:rsidRPr="00011F63" w:rsidRDefault="0055491A" w:rsidP="00210BF6">
            <w:pPr>
              <w:jc w:val="center"/>
              <w:rPr>
                <w:b/>
                <w:color w:val="000000"/>
                <w:sz w:val="20"/>
                <w:szCs w:val="20"/>
              </w:rPr>
            </w:pPr>
            <w:r w:rsidRPr="00011F63">
              <w:rPr>
                <w:b/>
                <w:color w:val="000000"/>
                <w:sz w:val="20"/>
                <w:szCs w:val="20"/>
              </w:rPr>
              <w:t xml:space="preserve">ч. </w:t>
            </w:r>
            <w:r>
              <w:rPr>
                <w:b/>
                <w:color w:val="000000"/>
                <w:sz w:val="20"/>
                <w:szCs w:val="20"/>
              </w:rPr>
              <w:t>1</w:t>
            </w:r>
            <w:r w:rsidRPr="00011F63">
              <w:rPr>
                <w:b/>
                <w:color w:val="000000"/>
                <w:sz w:val="20"/>
                <w:szCs w:val="20"/>
              </w:rPr>
              <w:t xml:space="preserve"> ст. 15.15.5-1</w:t>
            </w:r>
          </w:p>
          <w:p w:rsidR="0055491A" w:rsidRPr="00011F63" w:rsidRDefault="0055491A" w:rsidP="00210BF6">
            <w:pPr>
              <w:jc w:val="center"/>
              <w:rPr>
                <w:color w:val="000000"/>
                <w:sz w:val="20"/>
                <w:szCs w:val="20"/>
              </w:rPr>
            </w:pPr>
            <w:r w:rsidRPr="00011F63">
              <w:rPr>
                <w:color w:val="000000"/>
                <w:sz w:val="20"/>
                <w:szCs w:val="20"/>
              </w:rPr>
              <w:t>КоАП РФ в отношении должностных лиц</w:t>
            </w:r>
          </w:p>
        </w:tc>
        <w:tc>
          <w:tcPr>
            <w:tcW w:w="454" w:type="pct"/>
            <w:tcBorders>
              <w:left w:val="single" w:sz="4" w:space="0" w:color="auto"/>
              <w:right w:val="single" w:sz="4" w:space="0" w:color="auto"/>
            </w:tcBorders>
            <w:vAlign w:val="center"/>
          </w:tcPr>
          <w:p w:rsidR="0055491A" w:rsidRPr="00011F63" w:rsidRDefault="0055491A" w:rsidP="00210BF6">
            <w:pPr>
              <w:jc w:val="center"/>
              <w:rPr>
                <w:color w:val="000000"/>
                <w:sz w:val="20"/>
                <w:szCs w:val="20"/>
              </w:rPr>
            </w:pPr>
            <w:r w:rsidRPr="00011F63">
              <w:rPr>
                <w:color w:val="000000"/>
                <w:sz w:val="20"/>
                <w:szCs w:val="20"/>
              </w:rPr>
              <w:t>от 100</w:t>
            </w:r>
          </w:p>
          <w:p w:rsidR="0055491A" w:rsidRPr="00011F63" w:rsidRDefault="0055491A" w:rsidP="00210BF6">
            <w:pPr>
              <w:jc w:val="center"/>
              <w:rPr>
                <w:color w:val="000000"/>
                <w:sz w:val="20"/>
                <w:szCs w:val="20"/>
              </w:rPr>
            </w:pPr>
            <w:r w:rsidRPr="00011F63">
              <w:rPr>
                <w:color w:val="000000"/>
                <w:sz w:val="20"/>
                <w:szCs w:val="20"/>
              </w:rPr>
              <w:t xml:space="preserve">до </w:t>
            </w:r>
            <w:r>
              <w:rPr>
                <w:color w:val="000000"/>
                <w:sz w:val="20"/>
                <w:szCs w:val="20"/>
              </w:rPr>
              <w:t>1</w:t>
            </w:r>
            <w:r w:rsidRPr="00011F63">
              <w:rPr>
                <w:color w:val="000000"/>
                <w:sz w:val="20"/>
                <w:szCs w:val="20"/>
              </w:rPr>
              <w:t> 000 рублей</w:t>
            </w:r>
          </w:p>
        </w:tc>
        <w:tc>
          <w:tcPr>
            <w:tcW w:w="531" w:type="pct"/>
            <w:tcBorders>
              <w:left w:val="single" w:sz="4" w:space="0" w:color="auto"/>
              <w:right w:val="single" w:sz="4" w:space="0" w:color="auto"/>
            </w:tcBorders>
            <w:vAlign w:val="center"/>
          </w:tcPr>
          <w:p w:rsidR="0055491A" w:rsidRPr="00011F63" w:rsidRDefault="0055491A" w:rsidP="00210BF6">
            <w:pPr>
              <w:pStyle w:val="af9"/>
              <w:jc w:val="center"/>
              <w:rPr>
                <w:rFonts w:ascii="Times New Roman" w:hAnsi="Times New Roman"/>
                <w:sz w:val="20"/>
                <w:szCs w:val="20"/>
              </w:rPr>
            </w:pPr>
            <w:r>
              <w:rPr>
                <w:rFonts w:ascii="Times New Roman" w:hAnsi="Times New Roman"/>
                <w:sz w:val="20"/>
                <w:szCs w:val="20"/>
              </w:rPr>
              <w:t>1</w:t>
            </w:r>
          </w:p>
        </w:tc>
        <w:tc>
          <w:tcPr>
            <w:tcW w:w="532" w:type="pct"/>
            <w:tcBorders>
              <w:left w:val="single" w:sz="4" w:space="0" w:color="auto"/>
              <w:right w:val="single" w:sz="4" w:space="0" w:color="auto"/>
            </w:tcBorders>
            <w:vAlign w:val="center"/>
          </w:tcPr>
          <w:p w:rsidR="0055491A" w:rsidRPr="00011F63" w:rsidRDefault="0055491A" w:rsidP="00210BF6">
            <w:pPr>
              <w:pStyle w:val="af9"/>
              <w:jc w:val="center"/>
              <w:rPr>
                <w:rFonts w:ascii="Times New Roman" w:hAnsi="Times New Roman"/>
                <w:sz w:val="20"/>
                <w:szCs w:val="20"/>
              </w:rPr>
            </w:pPr>
            <w:r w:rsidRPr="00011F63">
              <w:rPr>
                <w:rFonts w:ascii="Times New Roman" w:hAnsi="Times New Roman"/>
                <w:sz w:val="20"/>
                <w:szCs w:val="20"/>
              </w:rPr>
              <w:t>0</w:t>
            </w:r>
          </w:p>
        </w:tc>
        <w:tc>
          <w:tcPr>
            <w:tcW w:w="531" w:type="pct"/>
            <w:tcBorders>
              <w:left w:val="single" w:sz="4" w:space="0" w:color="auto"/>
              <w:right w:val="single" w:sz="4" w:space="0" w:color="auto"/>
            </w:tcBorders>
            <w:vAlign w:val="center"/>
          </w:tcPr>
          <w:p w:rsidR="0055491A" w:rsidRPr="00011F63" w:rsidRDefault="0055491A" w:rsidP="00210BF6">
            <w:pPr>
              <w:pStyle w:val="af9"/>
              <w:jc w:val="center"/>
              <w:rPr>
                <w:rFonts w:ascii="Times New Roman" w:hAnsi="Times New Roman"/>
                <w:sz w:val="20"/>
                <w:szCs w:val="20"/>
              </w:rPr>
            </w:pPr>
            <w:r>
              <w:rPr>
                <w:rFonts w:ascii="Times New Roman" w:hAnsi="Times New Roman"/>
                <w:sz w:val="20"/>
                <w:szCs w:val="20"/>
              </w:rPr>
              <w:t>1</w:t>
            </w:r>
          </w:p>
        </w:tc>
        <w:tc>
          <w:tcPr>
            <w:tcW w:w="677" w:type="pct"/>
            <w:tcBorders>
              <w:top w:val="single" w:sz="4" w:space="0" w:color="auto"/>
              <w:left w:val="single" w:sz="4" w:space="0" w:color="auto"/>
              <w:bottom w:val="single" w:sz="4" w:space="0" w:color="auto"/>
              <w:right w:val="single" w:sz="4" w:space="0" w:color="auto"/>
            </w:tcBorders>
            <w:vAlign w:val="center"/>
          </w:tcPr>
          <w:p w:rsidR="0055491A" w:rsidRPr="00011F63" w:rsidRDefault="0055491A" w:rsidP="00210BF6">
            <w:pPr>
              <w:pStyle w:val="af9"/>
              <w:jc w:val="center"/>
              <w:rPr>
                <w:rFonts w:ascii="Times New Roman" w:hAnsi="Times New Roman"/>
                <w:sz w:val="20"/>
                <w:szCs w:val="20"/>
              </w:rPr>
            </w:pPr>
            <w:r w:rsidRPr="00011F63">
              <w:rPr>
                <w:rFonts w:ascii="Times New Roman" w:hAnsi="Times New Roman"/>
                <w:sz w:val="20"/>
                <w:szCs w:val="20"/>
              </w:rPr>
              <w:t>1</w:t>
            </w:r>
          </w:p>
        </w:tc>
        <w:tc>
          <w:tcPr>
            <w:tcW w:w="536" w:type="pct"/>
            <w:tcBorders>
              <w:top w:val="single" w:sz="4" w:space="0" w:color="auto"/>
              <w:left w:val="single" w:sz="4" w:space="0" w:color="auto"/>
              <w:bottom w:val="single" w:sz="4" w:space="0" w:color="auto"/>
              <w:right w:val="single" w:sz="4" w:space="0" w:color="auto"/>
            </w:tcBorders>
            <w:vAlign w:val="center"/>
          </w:tcPr>
          <w:p w:rsidR="0055491A" w:rsidRPr="00011F63" w:rsidRDefault="0055491A" w:rsidP="00210BF6">
            <w:pPr>
              <w:jc w:val="center"/>
              <w:rPr>
                <w:sz w:val="20"/>
                <w:szCs w:val="20"/>
              </w:rPr>
            </w:pPr>
            <w:r>
              <w:rPr>
                <w:sz w:val="20"/>
                <w:szCs w:val="20"/>
              </w:rPr>
              <w:t>0,1</w:t>
            </w:r>
          </w:p>
        </w:tc>
        <w:tc>
          <w:tcPr>
            <w:tcW w:w="603" w:type="pct"/>
            <w:tcBorders>
              <w:top w:val="single" w:sz="4" w:space="0" w:color="auto"/>
              <w:left w:val="single" w:sz="4" w:space="0" w:color="auto"/>
              <w:bottom w:val="single" w:sz="4" w:space="0" w:color="auto"/>
              <w:right w:val="single" w:sz="4" w:space="0" w:color="auto"/>
            </w:tcBorders>
            <w:vAlign w:val="center"/>
          </w:tcPr>
          <w:p w:rsidR="0055491A" w:rsidRPr="00E1046E" w:rsidRDefault="0055491A" w:rsidP="00210BF6">
            <w:pPr>
              <w:jc w:val="center"/>
            </w:pPr>
            <w:r>
              <w:t>0,1</w:t>
            </w:r>
          </w:p>
        </w:tc>
      </w:tr>
      <w:tr w:rsidR="0055491A" w:rsidRPr="00145AA3" w:rsidTr="00210BF6">
        <w:trPr>
          <w:trHeight w:val="495"/>
        </w:trPr>
        <w:tc>
          <w:tcPr>
            <w:tcW w:w="378" w:type="pct"/>
            <w:tcBorders>
              <w:left w:val="single" w:sz="4" w:space="0" w:color="auto"/>
              <w:right w:val="single" w:sz="4" w:space="0" w:color="auto"/>
            </w:tcBorders>
            <w:vAlign w:val="center"/>
          </w:tcPr>
          <w:p w:rsidR="0055491A" w:rsidRPr="00011F63" w:rsidRDefault="0055491A" w:rsidP="00210BF6">
            <w:pPr>
              <w:pStyle w:val="af9"/>
              <w:spacing w:line="360" w:lineRule="auto"/>
              <w:jc w:val="center"/>
              <w:rPr>
                <w:rFonts w:ascii="Times New Roman" w:hAnsi="Times New Roman"/>
                <w:sz w:val="20"/>
                <w:szCs w:val="20"/>
              </w:rPr>
            </w:pPr>
            <w:r>
              <w:rPr>
                <w:rFonts w:ascii="Times New Roman" w:hAnsi="Times New Roman"/>
                <w:sz w:val="20"/>
                <w:szCs w:val="20"/>
              </w:rPr>
              <w:lastRenderedPageBreak/>
              <w:t>8.</w:t>
            </w:r>
          </w:p>
        </w:tc>
        <w:tc>
          <w:tcPr>
            <w:tcW w:w="759" w:type="pct"/>
            <w:tcBorders>
              <w:left w:val="single" w:sz="4" w:space="0" w:color="auto"/>
              <w:right w:val="single" w:sz="4" w:space="0" w:color="auto"/>
            </w:tcBorders>
            <w:vAlign w:val="center"/>
          </w:tcPr>
          <w:p w:rsidR="0055491A" w:rsidRPr="00011F63" w:rsidRDefault="0055491A" w:rsidP="00210BF6">
            <w:pPr>
              <w:jc w:val="center"/>
              <w:rPr>
                <w:b/>
                <w:color w:val="000000"/>
                <w:sz w:val="20"/>
                <w:szCs w:val="20"/>
              </w:rPr>
            </w:pPr>
            <w:r w:rsidRPr="00011F63">
              <w:rPr>
                <w:b/>
                <w:color w:val="000000"/>
                <w:sz w:val="20"/>
                <w:szCs w:val="20"/>
              </w:rPr>
              <w:t xml:space="preserve">ч. </w:t>
            </w:r>
            <w:r>
              <w:rPr>
                <w:b/>
                <w:color w:val="000000"/>
                <w:sz w:val="20"/>
                <w:szCs w:val="20"/>
              </w:rPr>
              <w:t>2</w:t>
            </w:r>
            <w:r w:rsidRPr="00011F63">
              <w:rPr>
                <w:b/>
                <w:color w:val="000000"/>
                <w:sz w:val="20"/>
                <w:szCs w:val="20"/>
              </w:rPr>
              <w:t xml:space="preserve"> ст. 15.15.5-1</w:t>
            </w:r>
          </w:p>
          <w:p w:rsidR="0055491A" w:rsidRPr="00011F63" w:rsidRDefault="0055491A" w:rsidP="00210BF6">
            <w:pPr>
              <w:jc w:val="center"/>
              <w:rPr>
                <w:b/>
                <w:color w:val="000000"/>
                <w:sz w:val="20"/>
                <w:szCs w:val="20"/>
              </w:rPr>
            </w:pPr>
            <w:r w:rsidRPr="00011F63">
              <w:rPr>
                <w:color w:val="000000"/>
                <w:sz w:val="20"/>
                <w:szCs w:val="20"/>
              </w:rPr>
              <w:t>КоАП РФ в отношении должностных лиц</w:t>
            </w:r>
          </w:p>
        </w:tc>
        <w:tc>
          <w:tcPr>
            <w:tcW w:w="454" w:type="pct"/>
            <w:tcBorders>
              <w:left w:val="single" w:sz="4" w:space="0" w:color="auto"/>
              <w:right w:val="single" w:sz="4" w:space="0" w:color="auto"/>
            </w:tcBorders>
            <w:vAlign w:val="center"/>
          </w:tcPr>
          <w:p w:rsidR="0055491A" w:rsidRPr="00011F63" w:rsidRDefault="0055491A" w:rsidP="00210BF6">
            <w:pPr>
              <w:jc w:val="center"/>
              <w:rPr>
                <w:color w:val="000000"/>
                <w:sz w:val="20"/>
                <w:szCs w:val="20"/>
              </w:rPr>
            </w:pPr>
            <w:r w:rsidRPr="00011F63">
              <w:rPr>
                <w:color w:val="000000"/>
                <w:sz w:val="20"/>
                <w:szCs w:val="20"/>
              </w:rPr>
              <w:t>от 1</w:t>
            </w:r>
            <w:r>
              <w:rPr>
                <w:color w:val="000000"/>
                <w:sz w:val="20"/>
                <w:szCs w:val="20"/>
              </w:rPr>
              <w:t>0 00</w:t>
            </w:r>
            <w:r w:rsidRPr="00011F63">
              <w:rPr>
                <w:color w:val="000000"/>
                <w:sz w:val="20"/>
                <w:szCs w:val="20"/>
              </w:rPr>
              <w:t>0</w:t>
            </w:r>
          </w:p>
          <w:p w:rsidR="0055491A" w:rsidRPr="00011F63" w:rsidRDefault="0055491A" w:rsidP="00210BF6">
            <w:pPr>
              <w:jc w:val="center"/>
              <w:rPr>
                <w:color w:val="000000"/>
                <w:sz w:val="20"/>
                <w:szCs w:val="20"/>
              </w:rPr>
            </w:pPr>
            <w:r w:rsidRPr="00011F63">
              <w:rPr>
                <w:color w:val="000000"/>
                <w:sz w:val="20"/>
                <w:szCs w:val="20"/>
              </w:rPr>
              <w:t xml:space="preserve">до </w:t>
            </w:r>
            <w:r>
              <w:rPr>
                <w:color w:val="000000"/>
                <w:sz w:val="20"/>
                <w:szCs w:val="20"/>
              </w:rPr>
              <w:t>30</w:t>
            </w:r>
            <w:r w:rsidRPr="00011F63">
              <w:rPr>
                <w:color w:val="000000"/>
                <w:sz w:val="20"/>
                <w:szCs w:val="20"/>
              </w:rPr>
              <w:t> 000 рублей</w:t>
            </w:r>
          </w:p>
        </w:tc>
        <w:tc>
          <w:tcPr>
            <w:tcW w:w="531" w:type="pct"/>
            <w:tcBorders>
              <w:left w:val="single" w:sz="4" w:space="0" w:color="auto"/>
              <w:right w:val="single" w:sz="4" w:space="0" w:color="auto"/>
            </w:tcBorders>
            <w:vAlign w:val="center"/>
          </w:tcPr>
          <w:p w:rsidR="0055491A" w:rsidRDefault="0055491A" w:rsidP="00210BF6">
            <w:pPr>
              <w:pStyle w:val="af9"/>
              <w:jc w:val="center"/>
              <w:rPr>
                <w:rFonts w:ascii="Times New Roman" w:hAnsi="Times New Roman"/>
                <w:sz w:val="20"/>
                <w:szCs w:val="20"/>
              </w:rPr>
            </w:pPr>
            <w:r>
              <w:rPr>
                <w:rFonts w:ascii="Times New Roman" w:hAnsi="Times New Roman"/>
                <w:sz w:val="20"/>
                <w:szCs w:val="20"/>
              </w:rPr>
              <w:t>0</w:t>
            </w:r>
          </w:p>
        </w:tc>
        <w:tc>
          <w:tcPr>
            <w:tcW w:w="532" w:type="pct"/>
            <w:tcBorders>
              <w:left w:val="single" w:sz="4" w:space="0" w:color="auto"/>
              <w:right w:val="single" w:sz="4" w:space="0" w:color="auto"/>
            </w:tcBorders>
            <w:vAlign w:val="center"/>
          </w:tcPr>
          <w:p w:rsidR="0055491A" w:rsidRPr="00011F63" w:rsidRDefault="0055491A" w:rsidP="00210BF6">
            <w:pPr>
              <w:pStyle w:val="af9"/>
              <w:jc w:val="center"/>
              <w:rPr>
                <w:rFonts w:ascii="Times New Roman" w:hAnsi="Times New Roman"/>
                <w:sz w:val="20"/>
                <w:szCs w:val="20"/>
              </w:rPr>
            </w:pPr>
            <w:r>
              <w:rPr>
                <w:rFonts w:ascii="Times New Roman" w:hAnsi="Times New Roman"/>
                <w:sz w:val="20"/>
                <w:szCs w:val="20"/>
              </w:rPr>
              <w:t>4</w:t>
            </w:r>
          </w:p>
        </w:tc>
        <w:tc>
          <w:tcPr>
            <w:tcW w:w="531" w:type="pct"/>
            <w:tcBorders>
              <w:left w:val="single" w:sz="4" w:space="0" w:color="auto"/>
              <w:right w:val="single" w:sz="4" w:space="0" w:color="auto"/>
            </w:tcBorders>
            <w:vAlign w:val="center"/>
          </w:tcPr>
          <w:p w:rsidR="0055491A" w:rsidRDefault="0055491A" w:rsidP="00210BF6">
            <w:pPr>
              <w:pStyle w:val="af9"/>
              <w:jc w:val="center"/>
              <w:rPr>
                <w:rFonts w:ascii="Times New Roman" w:hAnsi="Times New Roman"/>
                <w:sz w:val="20"/>
                <w:szCs w:val="20"/>
              </w:rPr>
            </w:pPr>
            <w:r>
              <w:rPr>
                <w:rFonts w:ascii="Times New Roman" w:hAnsi="Times New Roman"/>
                <w:sz w:val="20"/>
                <w:szCs w:val="20"/>
              </w:rPr>
              <w:t>3</w:t>
            </w:r>
          </w:p>
        </w:tc>
        <w:tc>
          <w:tcPr>
            <w:tcW w:w="677" w:type="pct"/>
            <w:tcBorders>
              <w:top w:val="single" w:sz="4" w:space="0" w:color="auto"/>
              <w:left w:val="single" w:sz="4" w:space="0" w:color="auto"/>
              <w:bottom w:val="single" w:sz="4" w:space="0" w:color="auto"/>
              <w:right w:val="single" w:sz="4" w:space="0" w:color="auto"/>
            </w:tcBorders>
            <w:vAlign w:val="center"/>
          </w:tcPr>
          <w:p w:rsidR="0055491A" w:rsidRPr="00011F63" w:rsidRDefault="0055491A" w:rsidP="00210BF6">
            <w:pPr>
              <w:pStyle w:val="af9"/>
              <w:jc w:val="center"/>
              <w:rPr>
                <w:rFonts w:ascii="Times New Roman" w:hAnsi="Times New Roman"/>
                <w:sz w:val="20"/>
                <w:szCs w:val="20"/>
              </w:rPr>
            </w:pPr>
            <w:r>
              <w:rPr>
                <w:rFonts w:ascii="Times New Roman" w:hAnsi="Times New Roman"/>
                <w:sz w:val="20"/>
                <w:szCs w:val="20"/>
              </w:rPr>
              <w:t>2</w:t>
            </w:r>
          </w:p>
        </w:tc>
        <w:tc>
          <w:tcPr>
            <w:tcW w:w="536" w:type="pct"/>
            <w:tcBorders>
              <w:top w:val="single" w:sz="4" w:space="0" w:color="auto"/>
              <w:left w:val="single" w:sz="4" w:space="0" w:color="auto"/>
              <w:bottom w:val="single" w:sz="4" w:space="0" w:color="auto"/>
              <w:right w:val="single" w:sz="4" w:space="0" w:color="auto"/>
            </w:tcBorders>
            <w:vAlign w:val="center"/>
          </w:tcPr>
          <w:p w:rsidR="0055491A" w:rsidRDefault="0055491A" w:rsidP="00210BF6">
            <w:pPr>
              <w:jc w:val="center"/>
              <w:rPr>
                <w:sz w:val="20"/>
                <w:szCs w:val="20"/>
              </w:rPr>
            </w:pPr>
            <w:r>
              <w:rPr>
                <w:sz w:val="20"/>
                <w:szCs w:val="20"/>
              </w:rPr>
              <w:t>10,0</w:t>
            </w:r>
          </w:p>
        </w:tc>
        <w:tc>
          <w:tcPr>
            <w:tcW w:w="603" w:type="pct"/>
            <w:tcBorders>
              <w:top w:val="single" w:sz="4" w:space="0" w:color="auto"/>
              <w:left w:val="single" w:sz="4" w:space="0" w:color="auto"/>
              <w:bottom w:val="single" w:sz="4" w:space="0" w:color="auto"/>
              <w:right w:val="single" w:sz="4" w:space="0" w:color="auto"/>
            </w:tcBorders>
            <w:vAlign w:val="center"/>
          </w:tcPr>
          <w:p w:rsidR="0055491A" w:rsidRDefault="0055491A" w:rsidP="00210BF6">
            <w:pPr>
              <w:jc w:val="center"/>
            </w:pPr>
            <w:r>
              <w:t>20,0</w:t>
            </w:r>
          </w:p>
        </w:tc>
      </w:tr>
      <w:tr w:rsidR="0055491A" w:rsidRPr="00145AA3" w:rsidTr="00210BF6">
        <w:trPr>
          <w:trHeight w:val="495"/>
        </w:trPr>
        <w:tc>
          <w:tcPr>
            <w:tcW w:w="4397" w:type="pct"/>
            <w:gridSpan w:val="8"/>
            <w:tcBorders>
              <w:left w:val="single" w:sz="4" w:space="0" w:color="auto"/>
              <w:bottom w:val="single" w:sz="4" w:space="0" w:color="000000"/>
              <w:right w:val="single" w:sz="4" w:space="0" w:color="auto"/>
            </w:tcBorders>
            <w:vAlign w:val="center"/>
          </w:tcPr>
          <w:p w:rsidR="0055491A" w:rsidRDefault="0055491A" w:rsidP="00210BF6">
            <w:pPr>
              <w:spacing w:line="360" w:lineRule="auto"/>
              <w:jc w:val="center"/>
            </w:pPr>
            <w:r>
              <w:t>ИТОГО</w:t>
            </w:r>
          </w:p>
        </w:tc>
        <w:tc>
          <w:tcPr>
            <w:tcW w:w="603" w:type="pct"/>
            <w:tcBorders>
              <w:top w:val="single" w:sz="4" w:space="0" w:color="auto"/>
              <w:left w:val="single" w:sz="4" w:space="0" w:color="auto"/>
              <w:bottom w:val="single" w:sz="4" w:space="0" w:color="000000"/>
              <w:right w:val="single" w:sz="4" w:space="0" w:color="auto"/>
            </w:tcBorders>
            <w:vAlign w:val="center"/>
          </w:tcPr>
          <w:p w:rsidR="0055491A" w:rsidRPr="00DB2065" w:rsidRDefault="0055491A" w:rsidP="00210BF6">
            <w:pPr>
              <w:spacing w:line="360" w:lineRule="auto"/>
              <w:jc w:val="center"/>
              <w:rPr>
                <w:sz w:val="28"/>
                <w:szCs w:val="28"/>
              </w:rPr>
            </w:pPr>
            <w:r w:rsidRPr="00DB2065">
              <w:rPr>
                <w:sz w:val="28"/>
                <w:szCs w:val="28"/>
              </w:rPr>
              <w:t>195,1</w:t>
            </w:r>
          </w:p>
        </w:tc>
      </w:tr>
    </w:tbl>
    <w:p w:rsidR="0055491A" w:rsidRDefault="0055491A" w:rsidP="0055491A">
      <w:pPr>
        <w:pStyle w:val="a7"/>
        <w:spacing w:after="0"/>
        <w:ind w:left="0" w:firstLine="709"/>
        <w:jc w:val="both"/>
        <w:rPr>
          <w:sz w:val="28"/>
          <w:szCs w:val="28"/>
        </w:rPr>
      </w:pPr>
    </w:p>
    <w:p w:rsidR="0055491A" w:rsidRPr="002A0045" w:rsidRDefault="0055491A" w:rsidP="0055491A">
      <w:pPr>
        <w:pStyle w:val="a7"/>
        <w:spacing w:after="0"/>
        <w:ind w:left="0" w:firstLine="709"/>
        <w:jc w:val="both"/>
        <w:rPr>
          <w:b/>
          <w:sz w:val="28"/>
          <w:szCs w:val="28"/>
        </w:rPr>
      </w:pPr>
      <w:r w:rsidRPr="002A0045">
        <w:rPr>
          <w:b/>
          <w:sz w:val="28"/>
          <w:szCs w:val="28"/>
        </w:rPr>
        <w:t>Прогноз на 2022 год</w:t>
      </w:r>
      <w:r>
        <w:rPr>
          <w:sz w:val="28"/>
          <w:szCs w:val="28"/>
        </w:rPr>
        <w:t xml:space="preserve"> с учетом норматива зачисления в областной бюджет Тверской области 50% - </w:t>
      </w:r>
      <w:r w:rsidRPr="002A0045">
        <w:rPr>
          <w:b/>
          <w:sz w:val="28"/>
          <w:szCs w:val="28"/>
        </w:rPr>
        <w:t>97,6 тыс. руб</w:t>
      </w:r>
      <w:r>
        <w:rPr>
          <w:sz w:val="28"/>
          <w:szCs w:val="28"/>
        </w:rPr>
        <w:t xml:space="preserve">., </w:t>
      </w:r>
      <w:r w:rsidRPr="002A0045">
        <w:rPr>
          <w:b/>
          <w:sz w:val="28"/>
          <w:szCs w:val="28"/>
        </w:rPr>
        <w:t xml:space="preserve">прогноз на 2023 год </w:t>
      </w:r>
      <w:r>
        <w:rPr>
          <w:b/>
          <w:sz w:val="28"/>
          <w:szCs w:val="28"/>
        </w:rPr>
        <w:t xml:space="preserve">                </w:t>
      </w:r>
      <w:r w:rsidRPr="002A0045">
        <w:rPr>
          <w:b/>
          <w:sz w:val="28"/>
          <w:szCs w:val="28"/>
        </w:rPr>
        <w:t>97,6 тыс. руб., прогноз на 2024 год 97,6 тыс. руб.</w:t>
      </w:r>
    </w:p>
    <w:p w:rsidR="0055491A" w:rsidRDefault="0055491A" w:rsidP="0055491A">
      <w:pPr>
        <w:pStyle w:val="a7"/>
        <w:spacing w:after="0"/>
        <w:ind w:left="0" w:firstLine="709"/>
        <w:jc w:val="both"/>
        <w:rPr>
          <w:sz w:val="28"/>
          <w:szCs w:val="28"/>
        </w:rPr>
      </w:pPr>
    </w:p>
    <w:p w:rsidR="0055491A" w:rsidRDefault="0055491A" w:rsidP="0055491A">
      <w:pPr>
        <w:pStyle w:val="a7"/>
        <w:spacing w:after="0"/>
        <w:ind w:left="0" w:firstLine="709"/>
        <w:jc w:val="both"/>
        <w:rPr>
          <w:sz w:val="28"/>
          <w:szCs w:val="28"/>
        </w:rPr>
      </w:pPr>
      <w:r>
        <w:rPr>
          <w:sz w:val="28"/>
          <w:szCs w:val="28"/>
        </w:rPr>
        <w:t xml:space="preserve">11.3 </w:t>
      </w:r>
      <w:r w:rsidRPr="00E375A4">
        <w:rPr>
          <w:b/>
          <w:sz w:val="28"/>
          <w:szCs w:val="28"/>
        </w:rPr>
        <w:t>КБК 335 1 16 01153 01 0000 140</w:t>
      </w:r>
      <w:r>
        <w:rPr>
          <w:sz w:val="28"/>
          <w:szCs w:val="28"/>
        </w:rPr>
        <w:t xml:space="preserve"> </w:t>
      </w:r>
      <w:r w:rsidRPr="00CA6F1C">
        <w:rPr>
          <w:sz w:val="28"/>
          <w:szCs w:val="28"/>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r>
        <w:rPr>
          <w:sz w:val="28"/>
          <w:szCs w:val="28"/>
        </w:rPr>
        <w:t>.</w:t>
      </w:r>
    </w:p>
    <w:p w:rsidR="0055491A" w:rsidRPr="00E375A4" w:rsidRDefault="0055491A" w:rsidP="0055491A">
      <w:pPr>
        <w:pStyle w:val="a7"/>
        <w:spacing w:after="0"/>
        <w:ind w:left="0" w:firstLine="709"/>
        <w:jc w:val="both"/>
        <w:rPr>
          <w:b/>
          <w:sz w:val="28"/>
          <w:szCs w:val="28"/>
        </w:rPr>
      </w:pPr>
      <w:r w:rsidRPr="00E375A4">
        <w:rPr>
          <w:b/>
          <w:sz w:val="28"/>
          <w:szCs w:val="28"/>
        </w:rPr>
        <w:t>Главный администратор доходов - Главное управление региональной безопасности Тверской области.</w:t>
      </w:r>
    </w:p>
    <w:p w:rsidR="0055491A" w:rsidRDefault="0055491A" w:rsidP="0055491A">
      <w:pPr>
        <w:pStyle w:val="a7"/>
        <w:spacing w:after="0"/>
        <w:ind w:left="0" w:firstLine="709"/>
        <w:jc w:val="both"/>
        <w:rPr>
          <w:sz w:val="28"/>
          <w:szCs w:val="28"/>
        </w:rPr>
      </w:pPr>
      <w:r>
        <w:rPr>
          <w:sz w:val="28"/>
          <w:szCs w:val="28"/>
        </w:rPr>
        <w:t>Расчет поступления доходов в областной бюджет Тверской области на 2022 год произведен методом прямого расчета, представлен в таблице:</w:t>
      </w:r>
    </w:p>
    <w:p w:rsidR="0055491A" w:rsidRDefault="0055491A" w:rsidP="0055491A">
      <w:pPr>
        <w:pStyle w:val="a7"/>
        <w:spacing w:after="0"/>
        <w:ind w:left="0" w:firstLine="709"/>
        <w:jc w:val="both"/>
        <w:rPr>
          <w:sz w:val="28"/>
          <w:szCs w:val="28"/>
        </w:rPr>
      </w:pPr>
    </w:p>
    <w:tbl>
      <w:tblPr>
        <w:tblW w:w="9780" w:type="dxa"/>
        <w:tblLook w:val="04A0" w:firstRow="1" w:lastRow="0" w:firstColumn="1" w:lastColumn="0" w:noHBand="0" w:noVBand="1"/>
      </w:tblPr>
      <w:tblGrid>
        <w:gridCol w:w="520"/>
        <w:gridCol w:w="3060"/>
        <w:gridCol w:w="1420"/>
        <w:gridCol w:w="1700"/>
        <w:gridCol w:w="1540"/>
        <w:gridCol w:w="1540"/>
      </w:tblGrid>
      <w:tr w:rsidR="0055491A" w:rsidTr="00210BF6">
        <w:trPr>
          <w:trHeight w:val="1275"/>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 п/п</w:t>
            </w:r>
          </w:p>
        </w:tc>
        <w:tc>
          <w:tcPr>
            <w:tcW w:w="3060" w:type="dxa"/>
            <w:tcBorders>
              <w:top w:val="single" w:sz="4" w:space="0" w:color="auto"/>
              <w:left w:val="nil"/>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Вид правонарушений</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Средний размер штрафа (средний областной), тыс. руб.</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Количество постановлений, ед.</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Коэффициент собираемости (средний областной),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Прогноз поступлений, тыс. руб. (ст.3*4*5/2)</w:t>
            </w:r>
          </w:p>
        </w:tc>
      </w:tr>
      <w:tr w:rsidR="0055491A" w:rsidTr="00210BF6">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1</w:t>
            </w:r>
          </w:p>
        </w:tc>
        <w:tc>
          <w:tcPr>
            <w:tcW w:w="3060" w:type="dxa"/>
            <w:tcBorders>
              <w:top w:val="nil"/>
              <w:left w:val="nil"/>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2</w:t>
            </w:r>
          </w:p>
        </w:tc>
        <w:tc>
          <w:tcPr>
            <w:tcW w:w="1420" w:type="dxa"/>
            <w:tcBorders>
              <w:top w:val="nil"/>
              <w:left w:val="nil"/>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3</w:t>
            </w:r>
          </w:p>
        </w:tc>
        <w:tc>
          <w:tcPr>
            <w:tcW w:w="1700" w:type="dxa"/>
            <w:tcBorders>
              <w:top w:val="nil"/>
              <w:left w:val="nil"/>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4</w:t>
            </w:r>
          </w:p>
        </w:tc>
        <w:tc>
          <w:tcPr>
            <w:tcW w:w="1540" w:type="dxa"/>
            <w:tcBorders>
              <w:top w:val="nil"/>
              <w:left w:val="nil"/>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5</w:t>
            </w:r>
          </w:p>
        </w:tc>
        <w:tc>
          <w:tcPr>
            <w:tcW w:w="1540" w:type="dxa"/>
            <w:tcBorders>
              <w:top w:val="nil"/>
              <w:left w:val="nil"/>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6</w:t>
            </w:r>
          </w:p>
        </w:tc>
      </w:tr>
      <w:tr w:rsidR="0055491A" w:rsidTr="00210BF6">
        <w:trPr>
          <w:trHeight w:val="76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1</w:t>
            </w:r>
          </w:p>
        </w:tc>
        <w:tc>
          <w:tcPr>
            <w:tcW w:w="3060" w:type="dxa"/>
            <w:tcBorders>
              <w:top w:val="nil"/>
              <w:left w:val="nil"/>
              <w:bottom w:val="single" w:sz="4" w:space="0" w:color="auto"/>
              <w:right w:val="single" w:sz="4" w:space="0" w:color="auto"/>
            </w:tcBorders>
            <w:shd w:val="clear" w:color="auto" w:fill="auto"/>
            <w:vAlign w:val="center"/>
            <w:hideMark/>
          </w:tcPr>
          <w:p w:rsidR="0055491A" w:rsidRDefault="0055491A" w:rsidP="00210BF6">
            <w:pPr>
              <w:jc w:val="both"/>
              <w:rPr>
                <w:sz w:val="20"/>
                <w:szCs w:val="20"/>
              </w:rPr>
            </w:pPr>
            <w:r>
              <w:rPr>
                <w:sz w:val="20"/>
                <w:szCs w:val="20"/>
              </w:rPr>
              <w:t xml:space="preserve">Штрафы за нарушение сроков представления налоговой декларации </w:t>
            </w:r>
          </w:p>
        </w:tc>
        <w:tc>
          <w:tcPr>
            <w:tcW w:w="1420" w:type="dxa"/>
            <w:tcBorders>
              <w:top w:val="nil"/>
              <w:left w:val="nil"/>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0,5</w:t>
            </w:r>
          </w:p>
        </w:tc>
        <w:tc>
          <w:tcPr>
            <w:tcW w:w="1700" w:type="dxa"/>
            <w:tcBorders>
              <w:top w:val="nil"/>
              <w:left w:val="nil"/>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344</w:t>
            </w:r>
          </w:p>
        </w:tc>
        <w:tc>
          <w:tcPr>
            <w:tcW w:w="1540" w:type="dxa"/>
            <w:tcBorders>
              <w:top w:val="nil"/>
              <w:left w:val="nil"/>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97,0%</w:t>
            </w:r>
          </w:p>
        </w:tc>
        <w:tc>
          <w:tcPr>
            <w:tcW w:w="1540" w:type="dxa"/>
            <w:tcBorders>
              <w:top w:val="nil"/>
              <w:left w:val="nil"/>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83,4</w:t>
            </w:r>
          </w:p>
        </w:tc>
      </w:tr>
      <w:tr w:rsidR="0055491A" w:rsidTr="00210BF6">
        <w:trPr>
          <w:trHeight w:val="102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2</w:t>
            </w:r>
          </w:p>
        </w:tc>
        <w:tc>
          <w:tcPr>
            <w:tcW w:w="3060" w:type="dxa"/>
            <w:tcBorders>
              <w:top w:val="nil"/>
              <w:left w:val="nil"/>
              <w:bottom w:val="single" w:sz="4" w:space="0" w:color="auto"/>
              <w:right w:val="single" w:sz="4" w:space="0" w:color="auto"/>
            </w:tcBorders>
            <w:shd w:val="clear" w:color="auto" w:fill="auto"/>
            <w:vAlign w:val="center"/>
            <w:hideMark/>
          </w:tcPr>
          <w:p w:rsidR="0055491A" w:rsidRDefault="0055491A" w:rsidP="00210BF6">
            <w:pPr>
              <w:rPr>
                <w:sz w:val="20"/>
                <w:szCs w:val="20"/>
              </w:rPr>
            </w:pPr>
            <w:r>
              <w:rPr>
                <w:sz w:val="20"/>
                <w:szCs w:val="20"/>
              </w:rPr>
              <w:t xml:space="preserve">Штрафы за непредставление (несообщение) сведений, необходимых для осуществления налогового контроля </w:t>
            </w:r>
          </w:p>
        </w:tc>
        <w:tc>
          <w:tcPr>
            <w:tcW w:w="1420" w:type="dxa"/>
            <w:tcBorders>
              <w:top w:val="nil"/>
              <w:left w:val="nil"/>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0,6</w:t>
            </w:r>
          </w:p>
        </w:tc>
        <w:tc>
          <w:tcPr>
            <w:tcW w:w="1700" w:type="dxa"/>
            <w:tcBorders>
              <w:top w:val="nil"/>
              <w:left w:val="nil"/>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476</w:t>
            </w:r>
          </w:p>
        </w:tc>
        <w:tc>
          <w:tcPr>
            <w:tcW w:w="1540" w:type="dxa"/>
            <w:tcBorders>
              <w:top w:val="nil"/>
              <w:left w:val="nil"/>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58,0%</w:t>
            </w:r>
          </w:p>
        </w:tc>
        <w:tc>
          <w:tcPr>
            <w:tcW w:w="1540" w:type="dxa"/>
            <w:tcBorders>
              <w:top w:val="nil"/>
              <w:left w:val="nil"/>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82,8</w:t>
            </w:r>
          </w:p>
        </w:tc>
      </w:tr>
      <w:tr w:rsidR="0055491A" w:rsidTr="00210BF6">
        <w:trPr>
          <w:trHeight w:val="255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 3</w:t>
            </w:r>
          </w:p>
        </w:tc>
        <w:tc>
          <w:tcPr>
            <w:tcW w:w="3060" w:type="dxa"/>
            <w:tcBorders>
              <w:top w:val="nil"/>
              <w:left w:val="nil"/>
              <w:bottom w:val="single" w:sz="4" w:space="0" w:color="auto"/>
              <w:right w:val="single" w:sz="4" w:space="0" w:color="auto"/>
            </w:tcBorders>
            <w:shd w:val="clear" w:color="auto" w:fill="auto"/>
            <w:vAlign w:val="center"/>
            <w:hideMark/>
          </w:tcPr>
          <w:p w:rsidR="0055491A" w:rsidRDefault="0055491A" w:rsidP="00210BF6">
            <w:pPr>
              <w:rPr>
                <w:sz w:val="20"/>
                <w:szCs w:val="20"/>
              </w:rPr>
            </w:pPr>
            <w:r>
              <w:rPr>
                <w:sz w:val="20"/>
                <w:szCs w:val="20"/>
              </w:rPr>
              <w:t>Штрафы за производство или продажу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w:t>
            </w:r>
          </w:p>
        </w:tc>
        <w:tc>
          <w:tcPr>
            <w:tcW w:w="1420" w:type="dxa"/>
            <w:tcBorders>
              <w:top w:val="nil"/>
              <w:left w:val="nil"/>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9,9</w:t>
            </w:r>
          </w:p>
        </w:tc>
        <w:tc>
          <w:tcPr>
            <w:tcW w:w="1700" w:type="dxa"/>
            <w:tcBorders>
              <w:top w:val="nil"/>
              <w:left w:val="nil"/>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44</w:t>
            </w:r>
          </w:p>
        </w:tc>
        <w:tc>
          <w:tcPr>
            <w:tcW w:w="1540" w:type="dxa"/>
            <w:tcBorders>
              <w:top w:val="nil"/>
              <w:left w:val="nil"/>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46,4%</w:t>
            </w:r>
          </w:p>
        </w:tc>
        <w:tc>
          <w:tcPr>
            <w:tcW w:w="1540" w:type="dxa"/>
            <w:tcBorders>
              <w:top w:val="nil"/>
              <w:left w:val="nil"/>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101,1</w:t>
            </w:r>
          </w:p>
        </w:tc>
      </w:tr>
      <w:tr w:rsidR="0055491A" w:rsidTr="00210BF6">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4</w:t>
            </w:r>
          </w:p>
        </w:tc>
        <w:tc>
          <w:tcPr>
            <w:tcW w:w="3060" w:type="dxa"/>
            <w:tcBorders>
              <w:top w:val="nil"/>
              <w:left w:val="nil"/>
              <w:bottom w:val="single" w:sz="4" w:space="0" w:color="auto"/>
              <w:right w:val="single" w:sz="4" w:space="0" w:color="auto"/>
            </w:tcBorders>
            <w:shd w:val="clear" w:color="auto" w:fill="auto"/>
            <w:vAlign w:val="center"/>
            <w:hideMark/>
          </w:tcPr>
          <w:p w:rsidR="0055491A" w:rsidRDefault="0055491A" w:rsidP="00210BF6">
            <w:pPr>
              <w:jc w:val="both"/>
              <w:rPr>
                <w:sz w:val="20"/>
                <w:szCs w:val="20"/>
              </w:rPr>
            </w:pPr>
            <w:r>
              <w:rPr>
                <w:sz w:val="20"/>
                <w:szCs w:val="20"/>
              </w:rPr>
              <w:t>Иные штрафы</w:t>
            </w:r>
          </w:p>
        </w:tc>
        <w:tc>
          <w:tcPr>
            <w:tcW w:w="1420" w:type="dxa"/>
            <w:tcBorders>
              <w:top w:val="nil"/>
              <w:left w:val="nil"/>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1,9</w:t>
            </w:r>
          </w:p>
        </w:tc>
        <w:tc>
          <w:tcPr>
            <w:tcW w:w="1700" w:type="dxa"/>
            <w:tcBorders>
              <w:top w:val="nil"/>
              <w:left w:val="nil"/>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318</w:t>
            </w:r>
          </w:p>
        </w:tc>
        <w:tc>
          <w:tcPr>
            <w:tcW w:w="1540" w:type="dxa"/>
            <w:tcBorders>
              <w:top w:val="nil"/>
              <w:left w:val="nil"/>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89,0%</w:t>
            </w:r>
          </w:p>
        </w:tc>
        <w:tc>
          <w:tcPr>
            <w:tcW w:w="1540" w:type="dxa"/>
            <w:tcBorders>
              <w:top w:val="nil"/>
              <w:left w:val="nil"/>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268,9</w:t>
            </w:r>
          </w:p>
        </w:tc>
      </w:tr>
      <w:tr w:rsidR="0055491A" w:rsidTr="00210BF6">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p>
        </w:tc>
        <w:tc>
          <w:tcPr>
            <w:tcW w:w="3060" w:type="dxa"/>
            <w:tcBorders>
              <w:top w:val="nil"/>
              <w:left w:val="nil"/>
              <w:bottom w:val="single" w:sz="4" w:space="0" w:color="auto"/>
              <w:right w:val="nil"/>
            </w:tcBorders>
            <w:shd w:val="clear" w:color="auto" w:fill="auto"/>
            <w:vAlign w:val="center"/>
            <w:hideMark/>
          </w:tcPr>
          <w:p w:rsidR="0055491A" w:rsidRDefault="0055491A" w:rsidP="00210BF6">
            <w:pPr>
              <w:rPr>
                <w:b/>
                <w:bCs/>
                <w:sz w:val="20"/>
                <w:szCs w:val="20"/>
              </w:rPr>
            </w:pPr>
            <w:r>
              <w:rPr>
                <w:b/>
                <w:bCs/>
                <w:sz w:val="20"/>
                <w:szCs w:val="20"/>
              </w:rPr>
              <w:t>ИТОГО</w:t>
            </w:r>
          </w:p>
        </w:tc>
        <w:tc>
          <w:tcPr>
            <w:tcW w:w="1420" w:type="dxa"/>
            <w:tcBorders>
              <w:top w:val="nil"/>
              <w:left w:val="nil"/>
              <w:bottom w:val="single" w:sz="4" w:space="0" w:color="auto"/>
              <w:right w:val="nil"/>
            </w:tcBorders>
            <w:shd w:val="clear" w:color="auto" w:fill="auto"/>
            <w:vAlign w:val="center"/>
            <w:hideMark/>
          </w:tcPr>
          <w:p w:rsidR="0055491A" w:rsidRDefault="0055491A" w:rsidP="00210BF6">
            <w:pPr>
              <w:rPr>
                <w:b/>
                <w:bCs/>
                <w:sz w:val="20"/>
                <w:szCs w:val="20"/>
              </w:rPr>
            </w:pPr>
            <w:r>
              <w:rPr>
                <w:b/>
                <w:bCs/>
                <w:sz w:val="20"/>
                <w:szCs w:val="20"/>
              </w:rPr>
              <w:t> </w:t>
            </w:r>
          </w:p>
        </w:tc>
        <w:tc>
          <w:tcPr>
            <w:tcW w:w="1700" w:type="dxa"/>
            <w:tcBorders>
              <w:top w:val="nil"/>
              <w:left w:val="nil"/>
              <w:bottom w:val="single" w:sz="4" w:space="0" w:color="auto"/>
              <w:right w:val="nil"/>
            </w:tcBorders>
            <w:shd w:val="clear" w:color="auto" w:fill="auto"/>
            <w:vAlign w:val="center"/>
            <w:hideMark/>
          </w:tcPr>
          <w:p w:rsidR="0055491A" w:rsidRDefault="0055491A" w:rsidP="00210BF6">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vAlign w:val="center"/>
            <w:hideMark/>
          </w:tcPr>
          <w:p w:rsidR="0055491A" w:rsidRDefault="0055491A" w:rsidP="00210BF6">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vAlign w:val="center"/>
            <w:hideMark/>
          </w:tcPr>
          <w:p w:rsidR="0055491A" w:rsidRDefault="0055491A" w:rsidP="00210BF6">
            <w:pPr>
              <w:jc w:val="center"/>
              <w:rPr>
                <w:b/>
                <w:bCs/>
                <w:sz w:val="20"/>
                <w:szCs w:val="20"/>
              </w:rPr>
            </w:pPr>
            <w:r>
              <w:rPr>
                <w:b/>
                <w:bCs/>
                <w:sz w:val="20"/>
                <w:szCs w:val="20"/>
              </w:rPr>
              <w:t>536,2</w:t>
            </w:r>
          </w:p>
        </w:tc>
      </w:tr>
    </w:tbl>
    <w:p w:rsidR="0055491A" w:rsidRDefault="0055491A" w:rsidP="0055491A">
      <w:pPr>
        <w:pStyle w:val="a7"/>
        <w:spacing w:after="0"/>
        <w:ind w:left="0" w:firstLine="709"/>
        <w:jc w:val="both"/>
        <w:rPr>
          <w:sz w:val="28"/>
          <w:szCs w:val="28"/>
        </w:rPr>
      </w:pPr>
    </w:p>
    <w:p w:rsidR="0055491A" w:rsidRDefault="0055491A" w:rsidP="0055491A">
      <w:pPr>
        <w:pStyle w:val="a7"/>
        <w:spacing w:after="0"/>
        <w:ind w:left="0" w:firstLine="709"/>
        <w:jc w:val="both"/>
        <w:rPr>
          <w:sz w:val="28"/>
          <w:szCs w:val="28"/>
        </w:rPr>
      </w:pPr>
    </w:p>
    <w:p w:rsidR="0055491A" w:rsidRPr="006C782E" w:rsidRDefault="0055491A" w:rsidP="0055491A">
      <w:pPr>
        <w:pStyle w:val="a7"/>
        <w:spacing w:after="0"/>
        <w:ind w:left="0" w:firstLine="709"/>
        <w:jc w:val="both"/>
        <w:rPr>
          <w:b/>
          <w:sz w:val="28"/>
          <w:szCs w:val="28"/>
        </w:rPr>
      </w:pPr>
      <w:r w:rsidRPr="006C782E">
        <w:rPr>
          <w:b/>
          <w:sz w:val="28"/>
          <w:szCs w:val="28"/>
        </w:rPr>
        <w:t>Прогноз поступления доходов в областной бюджет Тверской области на 202</w:t>
      </w:r>
      <w:r>
        <w:rPr>
          <w:b/>
          <w:sz w:val="28"/>
          <w:szCs w:val="28"/>
        </w:rPr>
        <w:t>2</w:t>
      </w:r>
      <w:r w:rsidRPr="006C782E">
        <w:rPr>
          <w:b/>
          <w:sz w:val="28"/>
          <w:szCs w:val="28"/>
        </w:rPr>
        <w:t xml:space="preserve"> год – </w:t>
      </w:r>
      <w:r>
        <w:rPr>
          <w:b/>
          <w:sz w:val="28"/>
          <w:szCs w:val="28"/>
        </w:rPr>
        <w:t>536,2</w:t>
      </w:r>
      <w:r w:rsidRPr="006C782E">
        <w:rPr>
          <w:b/>
          <w:sz w:val="28"/>
          <w:szCs w:val="28"/>
        </w:rPr>
        <w:t xml:space="preserve"> тыс. руб., на 202</w:t>
      </w:r>
      <w:r>
        <w:rPr>
          <w:b/>
          <w:sz w:val="28"/>
          <w:szCs w:val="28"/>
        </w:rPr>
        <w:t>3</w:t>
      </w:r>
      <w:r w:rsidRPr="006C782E">
        <w:rPr>
          <w:b/>
          <w:sz w:val="28"/>
          <w:szCs w:val="28"/>
        </w:rPr>
        <w:t xml:space="preserve"> год – </w:t>
      </w:r>
      <w:r>
        <w:rPr>
          <w:b/>
          <w:sz w:val="28"/>
          <w:szCs w:val="28"/>
        </w:rPr>
        <w:t>536,2</w:t>
      </w:r>
      <w:r w:rsidRPr="006C782E">
        <w:rPr>
          <w:b/>
          <w:sz w:val="28"/>
          <w:szCs w:val="28"/>
        </w:rPr>
        <w:t xml:space="preserve"> тыс. руб., на 202</w:t>
      </w:r>
      <w:r>
        <w:rPr>
          <w:b/>
          <w:sz w:val="28"/>
          <w:szCs w:val="28"/>
        </w:rPr>
        <w:t>4</w:t>
      </w:r>
      <w:r w:rsidRPr="006C782E">
        <w:rPr>
          <w:b/>
          <w:sz w:val="28"/>
          <w:szCs w:val="28"/>
        </w:rPr>
        <w:t xml:space="preserve"> год – </w:t>
      </w:r>
      <w:r>
        <w:rPr>
          <w:b/>
          <w:sz w:val="28"/>
          <w:szCs w:val="28"/>
        </w:rPr>
        <w:t>536,2</w:t>
      </w:r>
      <w:r w:rsidRPr="006C782E">
        <w:rPr>
          <w:b/>
          <w:sz w:val="28"/>
          <w:szCs w:val="28"/>
        </w:rPr>
        <w:t xml:space="preserve"> тыс. руб.</w:t>
      </w:r>
    </w:p>
    <w:p w:rsidR="0055491A" w:rsidRDefault="0055491A" w:rsidP="0055491A">
      <w:pPr>
        <w:pStyle w:val="a7"/>
        <w:spacing w:after="0"/>
        <w:ind w:left="0" w:firstLine="709"/>
        <w:jc w:val="both"/>
        <w:rPr>
          <w:sz w:val="28"/>
          <w:szCs w:val="28"/>
        </w:rPr>
      </w:pPr>
    </w:p>
    <w:p w:rsidR="0055491A" w:rsidRDefault="0055491A" w:rsidP="0055491A">
      <w:pPr>
        <w:pStyle w:val="a7"/>
        <w:spacing w:after="0"/>
        <w:ind w:left="0" w:firstLine="709"/>
        <w:jc w:val="both"/>
        <w:rPr>
          <w:sz w:val="28"/>
          <w:szCs w:val="28"/>
        </w:rPr>
      </w:pPr>
      <w:r>
        <w:rPr>
          <w:sz w:val="28"/>
          <w:szCs w:val="28"/>
        </w:rPr>
        <w:t xml:space="preserve">11.4 </w:t>
      </w:r>
      <w:r w:rsidRPr="006C782E">
        <w:rPr>
          <w:b/>
          <w:sz w:val="28"/>
          <w:szCs w:val="28"/>
        </w:rPr>
        <w:t>КБК 003 1 16 01156 01 0000 140</w:t>
      </w:r>
      <w:r>
        <w:rPr>
          <w:sz w:val="28"/>
          <w:szCs w:val="28"/>
        </w:rPr>
        <w:t xml:space="preserve"> </w:t>
      </w:r>
      <w:r w:rsidRPr="00A21858">
        <w:rPr>
          <w:sz w:val="28"/>
          <w:szCs w:val="28"/>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бюджет субъекта Российской Федерации</w:t>
      </w:r>
      <w:r>
        <w:rPr>
          <w:sz w:val="28"/>
          <w:szCs w:val="28"/>
        </w:rPr>
        <w:t>.</w:t>
      </w:r>
    </w:p>
    <w:p w:rsidR="0055491A" w:rsidRPr="006C782E" w:rsidRDefault="0055491A" w:rsidP="0055491A">
      <w:pPr>
        <w:pStyle w:val="a7"/>
        <w:spacing w:after="0"/>
        <w:ind w:left="0" w:firstLine="709"/>
        <w:jc w:val="both"/>
        <w:rPr>
          <w:b/>
          <w:sz w:val="28"/>
          <w:szCs w:val="28"/>
        </w:rPr>
      </w:pPr>
      <w:r w:rsidRPr="006C782E">
        <w:rPr>
          <w:b/>
          <w:sz w:val="28"/>
          <w:szCs w:val="28"/>
        </w:rPr>
        <w:t>Главный администратор доходов – Контрольно-счетная палата Тверской области.</w:t>
      </w:r>
    </w:p>
    <w:p w:rsidR="0055491A" w:rsidRDefault="0055491A" w:rsidP="0055491A">
      <w:pPr>
        <w:pStyle w:val="af4"/>
        <w:spacing w:line="360" w:lineRule="auto"/>
        <w:ind w:left="0" w:firstLine="708"/>
        <w:jc w:val="both"/>
        <w:rPr>
          <w:sz w:val="28"/>
          <w:szCs w:val="28"/>
        </w:rPr>
      </w:pPr>
      <w:r w:rsidRPr="00182187">
        <w:rPr>
          <w:sz w:val="28"/>
          <w:szCs w:val="28"/>
        </w:rPr>
        <w:t>Прогноз доходов от поступления штрафов, не имеющих фиксированное суммовое выражение, рассчитыва</w:t>
      </w:r>
      <w:r>
        <w:rPr>
          <w:sz w:val="28"/>
          <w:szCs w:val="28"/>
        </w:rPr>
        <w:t>е</w:t>
      </w:r>
      <w:r w:rsidRPr="00182187">
        <w:rPr>
          <w:sz w:val="28"/>
          <w:szCs w:val="28"/>
        </w:rPr>
        <w:t>тся  по методу усреднения годовых объемов аналогичных доходов за период поступления доходов (201</w:t>
      </w:r>
      <w:r>
        <w:rPr>
          <w:sz w:val="28"/>
          <w:szCs w:val="28"/>
        </w:rPr>
        <w:t>7,</w:t>
      </w:r>
      <w:r w:rsidRPr="00182187">
        <w:rPr>
          <w:sz w:val="28"/>
          <w:szCs w:val="28"/>
        </w:rPr>
        <w:t xml:space="preserve"> 201</w:t>
      </w:r>
      <w:r>
        <w:rPr>
          <w:sz w:val="28"/>
          <w:szCs w:val="28"/>
        </w:rPr>
        <w:t>8</w:t>
      </w:r>
      <w:r w:rsidRPr="00182187">
        <w:rPr>
          <w:sz w:val="28"/>
          <w:szCs w:val="28"/>
        </w:rPr>
        <w:t xml:space="preserve"> и 201</w:t>
      </w:r>
      <w:r>
        <w:rPr>
          <w:sz w:val="28"/>
          <w:szCs w:val="28"/>
        </w:rPr>
        <w:t>9</w:t>
      </w:r>
      <w:r w:rsidRPr="00182187">
        <w:rPr>
          <w:sz w:val="28"/>
          <w:szCs w:val="28"/>
        </w:rPr>
        <w:t xml:space="preserve"> г</w:t>
      </w:r>
      <w:r>
        <w:rPr>
          <w:sz w:val="28"/>
          <w:szCs w:val="28"/>
        </w:rPr>
        <w:t>оды</w:t>
      </w:r>
      <w:r w:rsidRPr="00182187">
        <w:rPr>
          <w:sz w:val="28"/>
          <w:szCs w:val="28"/>
        </w:rPr>
        <w:t>)</w:t>
      </w:r>
    </w:p>
    <w:p w:rsidR="0055491A" w:rsidRPr="005F706D" w:rsidRDefault="0055491A" w:rsidP="0055491A">
      <w:pPr>
        <w:spacing w:line="360" w:lineRule="auto"/>
        <w:jc w:val="center"/>
        <w:rPr>
          <w:sz w:val="28"/>
          <w:szCs w:val="28"/>
        </w:rPr>
      </w:pPr>
      <w:r w:rsidRPr="00C86E60">
        <w:rPr>
          <w:sz w:val="28"/>
          <w:szCs w:val="28"/>
        </w:rPr>
        <w:object w:dxaOrig="2220" w:dyaOrig="620">
          <v:shape id="_x0000_i1026" type="#_x0000_t75" style="width:111pt;height:30.75pt" o:ole="">
            <v:imagedata r:id="rId101" o:title=""/>
          </v:shape>
          <o:OLEObject Type="Embed" ProgID="Equation.3" ShapeID="_x0000_i1026" DrawAspect="Content" ObjectID="_1700028821" r:id="rId102"/>
        </w:object>
      </w:r>
    </w:p>
    <w:p w:rsidR="0055491A" w:rsidRPr="005F706D" w:rsidRDefault="0055491A" w:rsidP="0055491A">
      <w:pPr>
        <w:spacing w:line="360" w:lineRule="auto"/>
        <w:rPr>
          <w:sz w:val="28"/>
          <w:szCs w:val="28"/>
        </w:rPr>
      </w:pPr>
      <w:r w:rsidRPr="005F706D">
        <w:rPr>
          <w:sz w:val="28"/>
          <w:szCs w:val="28"/>
        </w:rPr>
        <w:t>где</w:t>
      </w:r>
    </w:p>
    <w:p w:rsidR="0055491A" w:rsidRPr="00C86E60" w:rsidRDefault="0055491A" w:rsidP="0055491A">
      <w:pPr>
        <w:spacing w:line="360" w:lineRule="auto"/>
        <w:jc w:val="both"/>
        <w:rPr>
          <w:sz w:val="28"/>
          <w:szCs w:val="28"/>
        </w:rPr>
      </w:pPr>
      <w:r w:rsidRPr="00C86E60">
        <w:rPr>
          <w:sz w:val="28"/>
          <w:szCs w:val="28"/>
        </w:rPr>
        <w:t>Vср - усредненный объем поступлений за 3 года;</w:t>
      </w:r>
    </w:p>
    <w:p w:rsidR="0055491A" w:rsidRPr="00C86E60" w:rsidRDefault="0055491A" w:rsidP="0055491A">
      <w:pPr>
        <w:spacing w:line="360" w:lineRule="auto"/>
        <w:jc w:val="both"/>
        <w:rPr>
          <w:sz w:val="28"/>
          <w:szCs w:val="28"/>
        </w:rPr>
      </w:pPr>
      <w:r w:rsidRPr="00C86E60">
        <w:rPr>
          <w:sz w:val="28"/>
          <w:szCs w:val="28"/>
        </w:rPr>
        <w:t xml:space="preserve"> V1 - годовой объем дохода за первый год (201</w:t>
      </w:r>
      <w:r>
        <w:rPr>
          <w:sz w:val="28"/>
          <w:szCs w:val="28"/>
        </w:rPr>
        <w:t>8</w:t>
      </w:r>
      <w:r w:rsidRPr="00C86E60">
        <w:rPr>
          <w:sz w:val="28"/>
          <w:szCs w:val="28"/>
        </w:rPr>
        <w:t xml:space="preserve"> год);</w:t>
      </w:r>
    </w:p>
    <w:p w:rsidR="0055491A" w:rsidRPr="00C86E60" w:rsidRDefault="0055491A" w:rsidP="0055491A">
      <w:pPr>
        <w:spacing w:line="360" w:lineRule="auto"/>
        <w:jc w:val="both"/>
        <w:rPr>
          <w:sz w:val="28"/>
          <w:szCs w:val="28"/>
        </w:rPr>
      </w:pPr>
      <w:r w:rsidRPr="00C86E60">
        <w:rPr>
          <w:sz w:val="28"/>
          <w:szCs w:val="28"/>
        </w:rPr>
        <w:t>V2 - годовой объем дохода за второй год (201</w:t>
      </w:r>
      <w:r>
        <w:rPr>
          <w:sz w:val="28"/>
          <w:szCs w:val="28"/>
        </w:rPr>
        <w:t>9</w:t>
      </w:r>
      <w:r w:rsidRPr="00C86E60">
        <w:rPr>
          <w:sz w:val="28"/>
          <w:szCs w:val="28"/>
        </w:rPr>
        <w:t xml:space="preserve"> год);</w:t>
      </w:r>
    </w:p>
    <w:p w:rsidR="0055491A" w:rsidRPr="00C86E60" w:rsidRDefault="0055491A" w:rsidP="0055491A">
      <w:pPr>
        <w:spacing w:line="360" w:lineRule="auto"/>
        <w:jc w:val="both"/>
        <w:rPr>
          <w:sz w:val="28"/>
          <w:szCs w:val="28"/>
        </w:rPr>
      </w:pPr>
      <w:r w:rsidRPr="00C86E60">
        <w:rPr>
          <w:sz w:val="28"/>
          <w:szCs w:val="28"/>
        </w:rPr>
        <w:t>V3 - годовой объем дохода за третий год (20</w:t>
      </w:r>
      <w:r>
        <w:rPr>
          <w:sz w:val="28"/>
          <w:szCs w:val="28"/>
        </w:rPr>
        <w:t>20</w:t>
      </w:r>
      <w:r w:rsidRPr="00C86E60">
        <w:rPr>
          <w:sz w:val="28"/>
          <w:szCs w:val="28"/>
        </w:rPr>
        <w:t xml:space="preserve"> год).</w:t>
      </w:r>
    </w:p>
    <w:p w:rsidR="0055491A" w:rsidRDefault="0055491A" w:rsidP="0055491A">
      <w:pPr>
        <w:pStyle w:val="a7"/>
        <w:spacing w:after="0"/>
        <w:ind w:left="0" w:firstLine="709"/>
        <w:jc w:val="both"/>
        <w:rPr>
          <w:sz w:val="28"/>
          <w:szCs w:val="28"/>
        </w:rPr>
      </w:pPr>
      <w:r w:rsidRPr="00A57896">
        <w:rPr>
          <w:sz w:val="28"/>
          <w:szCs w:val="28"/>
        </w:rPr>
        <w:t>Расчет прогноза на 20</w:t>
      </w:r>
      <w:r>
        <w:rPr>
          <w:sz w:val="28"/>
          <w:szCs w:val="28"/>
        </w:rPr>
        <w:t>22</w:t>
      </w:r>
      <w:r w:rsidRPr="00A57896">
        <w:rPr>
          <w:sz w:val="28"/>
          <w:szCs w:val="28"/>
        </w:rPr>
        <w:t xml:space="preserve"> год представлен в таблице:</w:t>
      </w:r>
    </w:p>
    <w:tbl>
      <w:tblPr>
        <w:tblW w:w="9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52"/>
        <w:gridCol w:w="1238"/>
        <w:gridCol w:w="1232"/>
        <w:gridCol w:w="1232"/>
        <w:gridCol w:w="1386"/>
        <w:gridCol w:w="1482"/>
      </w:tblGrid>
      <w:tr w:rsidR="0055491A" w:rsidRPr="007468F1" w:rsidTr="00210BF6">
        <w:trPr>
          <w:trHeight w:val="1442"/>
        </w:trPr>
        <w:tc>
          <w:tcPr>
            <w:tcW w:w="2452" w:type="dxa"/>
            <w:vAlign w:val="center"/>
          </w:tcPr>
          <w:p w:rsidR="0055491A" w:rsidRPr="007468F1" w:rsidRDefault="0055491A" w:rsidP="00210BF6">
            <w:pPr>
              <w:pStyle w:val="a7"/>
              <w:spacing w:after="0"/>
              <w:ind w:left="0"/>
              <w:jc w:val="center"/>
            </w:pPr>
            <w:r w:rsidRPr="007468F1">
              <w:t>Правовые основания по налаганию штрафов</w:t>
            </w:r>
          </w:p>
        </w:tc>
        <w:tc>
          <w:tcPr>
            <w:tcW w:w="1238" w:type="dxa"/>
            <w:vAlign w:val="center"/>
          </w:tcPr>
          <w:p w:rsidR="0055491A" w:rsidRPr="007468F1" w:rsidRDefault="0055491A" w:rsidP="00210BF6">
            <w:pPr>
              <w:pStyle w:val="a7"/>
              <w:spacing w:after="0"/>
              <w:ind w:left="-123" w:right="-108"/>
              <w:jc w:val="center"/>
            </w:pPr>
            <w:r w:rsidRPr="007468F1">
              <w:t>Санкция по КоАП</w:t>
            </w:r>
          </w:p>
        </w:tc>
        <w:tc>
          <w:tcPr>
            <w:tcW w:w="1232" w:type="dxa"/>
          </w:tcPr>
          <w:p w:rsidR="0055491A" w:rsidRDefault="0055491A" w:rsidP="00210BF6">
            <w:pPr>
              <w:pStyle w:val="a7"/>
              <w:spacing w:after="0"/>
              <w:ind w:left="0"/>
              <w:jc w:val="center"/>
            </w:pPr>
            <w:r w:rsidRPr="007468F1">
              <w:t>201</w:t>
            </w:r>
            <w:r>
              <w:t>8</w:t>
            </w:r>
            <w:r w:rsidRPr="007468F1">
              <w:t xml:space="preserve"> год, </w:t>
            </w:r>
          </w:p>
          <w:p w:rsidR="0055491A" w:rsidRPr="007468F1" w:rsidRDefault="0055491A" w:rsidP="00210BF6">
            <w:pPr>
              <w:pStyle w:val="a7"/>
              <w:spacing w:after="0"/>
              <w:ind w:left="0"/>
              <w:jc w:val="center"/>
            </w:pPr>
            <w:r>
              <w:t>тыс. руб.</w:t>
            </w:r>
          </w:p>
        </w:tc>
        <w:tc>
          <w:tcPr>
            <w:tcW w:w="1232" w:type="dxa"/>
          </w:tcPr>
          <w:p w:rsidR="0055491A" w:rsidRPr="007468F1" w:rsidRDefault="0055491A" w:rsidP="00210BF6">
            <w:pPr>
              <w:pStyle w:val="a7"/>
              <w:spacing w:after="0"/>
              <w:ind w:left="0"/>
              <w:jc w:val="center"/>
            </w:pPr>
            <w:r>
              <w:t xml:space="preserve">2019 </w:t>
            </w:r>
            <w:r w:rsidRPr="007468F1">
              <w:t xml:space="preserve">год </w:t>
            </w:r>
            <w:r>
              <w:t xml:space="preserve">  тыс. руб.</w:t>
            </w:r>
          </w:p>
        </w:tc>
        <w:tc>
          <w:tcPr>
            <w:tcW w:w="1386" w:type="dxa"/>
          </w:tcPr>
          <w:p w:rsidR="0055491A" w:rsidRDefault="0055491A" w:rsidP="00210BF6">
            <w:pPr>
              <w:pStyle w:val="a7"/>
              <w:spacing w:after="0"/>
              <w:ind w:left="0"/>
              <w:jc w:val="center"/>
            </w:pPr>
            <w:r>
              <w:t>2020 год, тыс. руб.</w:t>
            </w:r>
          </w:p>
        </w:tc>
        <w:tc>
          <w:tcPr>
            <w:tcW w:w="1482" w:type="dxa"/>
          </w:tcPr>
          <w:p w:rsidR="0055491A" w:rsidRPr="005C3B8C" w:rsidRDefault="0055491A" w:rsidP="00210BF6">
            <w:pPr>
              <w:pStyle w:val="a7"/>
              <w:spacing w:after="0"/>
              <w:ind w:left="0"/>
              <w:jc w:val="center"/>
            </w:pPr>
            <w:r>
              <w:t>Сумма прогноза на 2022 год, тыс. руб.</w:t>
            </w:r>
          </w:p>
        </w:tc>
      </w:tr>
      <w:tr w:rsidR="0055491A" w:rsidRPr="007468F1" w:rsidTr="00210BF6">
        <w:trPr>
          <w:trHeight w:val="1723"/>
        </w:trPr>
        <w:tc>
          <w:tcPr>
            <w:tcW w:w="2452" w:type="dxa"/>
          </w:tcPr>
          <w:p w:rsidR="0055491A" w:rsidRPr="007468F1" w:rsidRDefault="0055491A" w:rsidP="00210BF6">
            <w:pPr>
              <w:pStyle w:val="a7"/>
              <w:spacing w:after="0"/>
              <w:ind w:left="0"/>
              <w:jc w:val="center"/>
            </w:pPr>
            <w:r w:rsidRPr="007468F1">
              <w:t xml:space="preserve">Административные правонарушения, предусмотренные </w:t>
            </w:r>
            <w:r w:rsidRPr="005C3B8C">
              <w:rPr>
                <w:b/>
              </w:rPr>
              <w:t>ст. 15.1</w:t>
            </w:r>
            <w:r>
              <w:rPr>
                <w:b/>
              </w:rPr>
              <w:t>4</w:t>
            </w:r>
            <w:r>
              <w:t xml:space="preserve"> КоАП РФ в отношении должностных лиц</w:t>
            </w:r>
          </w:p>
        </w:tc>
        <w:tc>
          <w:tcPr>
            <w:tcW w:w="1238" w:type="dxa"/>
          </w:tcPr>
          <w:p w:rsidR="0055491A" w:rsidRPr="007468F1" w:rsidRDefault="0055491A" w:rsidP="00210BF6">
            <w:pPr>
              <w:pStyle w:val="a7"/>
              <w:spacing w:after="0"/>
              <w:ind w:left="0"/>
              <w:jc w:val="center"/>
            </w:pPr>
            <w:r w:rsidRPr="002714EE">
              <w:rPr>
                <w:color w:val="000000"/>
              </w:rPr>
              <w:t>от 5 до 25% от суммы нарушений</w:t>
            </w:r>
            <w:r>
              <w:t>.</w:t>
            </w:r>
          </w:p>
        </w:tc>
        <w:tc>
          <w:tcPr>
            <w:tcW w:w="1232" w:type="dxa"/>
          </w:tcPr>
          <w:p w:rsidR="0055491A" w:rsidRPr="007468F1" w:rsidRDefault="0055491A" w:rsidP="00210BF6">
            <w:pPr>
              <w:pStyle w:val="a7"/>
              <w:spacing w:after="0"/>
              <w:ind w:left="0"/>
              <w:jc w:val="center"/>
            </w:pPr>
            <w:r>
              <w:t>4,1</w:t>
            </w:r>
          </w:p>
        </w:tc>
        <w:tc>
          <w:tcPr>
            <w:tcW w:w="1232" w:type="dxa"/>
          </w:tcPr>
          <w:p w:rsidR="0055491A" w:rsidRPr="007468F1" w:rsidRDefault="0055491A" w:rsidP="00210BF6">
            <w:pPr>
              <w:pStyle w:val="a7"/>
              <w:spacing w:after="0"/>
              <w:ind w:left="0"/>
              <w:jc w:val="center"/>
            </w:pPr>
            <w:r>
              <w:t>4,2</w:t>
            </w:r>
          </w:p>
        </w:tc>
        <w:tc>
          <w:tcPr>
            <w:tcW w:w="1386" w:type="dxa"/>
          </w:tcPr>
          <w:p w:rsidR="0055491A" w:rsidRDefault="0055491A" w:rsidP="00210BF6">
            <w:pPr>
              <w:pStyle w:val="a7"/>
              <w:spacing w:after="0"/>
              <w:ind w:left="0"/>
              <w:jc w:val="center"/>
            </w:pPr>
            <w:r>
              <w:t>16,0</w:t>
            </w:r>
          </w:p>
        </w:tc>
        <w:tc>
          <w:tcPr>
            <w:tcW w:w="1482" w:type="dxa"/>
          </w:tcPr>
          <w:p w:rsidR="0055491A" w:rsidRPr="007468F1" w:rsidRDefault="0055491A" w:rsidP="00210BF6">
            <w:pPr>
              <w:pStyle w:val="a7"/>
              <w:spacing w:after="0"/>
              <w:ind w:left="0"/>
              <w:jc w:val="center"/>
            </w:pPr>
            <w:r>
              <w:t>8,1</w:t>
            </w:r>
          </w:p>
        </w:tc>
      </w:tr>
    </w:tbl>
    <w:p w:rsidR="0055491A" w:rsidRPr="00A57896" w:rsidRDefault="0055491A" w:rsidP="0055491A">
      <w:pPr>
        <w:pStyle w:val="a7"/>
        <w:spacing w:after="0"/>
        <w:ind w:left="0" w:firstLine="709"/>
        <w:jc w:val="both"/>
        <w:rPr>
          <w:sz w:val="28"/>
          <w:szCs w:val="28"/>
        </w:rPr>
      </w:pPr>
    </w:p>
    <w:p w:rsidR="0055491A" w:rsidRPr="00A57896" w:rsidRDefault="0055491A" w:rsidP="0055491A">
      <w:pPr>
        <w:pStyle w:val="a7"/>
        <w:spacing w:after="0"/>
        <w:ind w:left="0" w:firstLine="709"/>
        <w:jc w:val="both"/>
        <w:rPr>
          <w:sz w:val="28"/>
          <w:szCs w:val="28"/>
        </w:rPr>
      </w:pPr>
      <w:r w:rsidRPr="00A57896">
        <w:rPr>
          <w:sz w:val="28"/>
          <w:szCs w:val="28"/>
        </w:rPr>
        <w:t>Прогноз на 20</w:t>
      </w:r>
      <w:r>
        <w:rPr>
          <w:sz w:val="28"/>
          <w:szCs w:val="28"/>
        </w:rPr>
        <w:t>23</w:t>
      </w:r>
      <w:r w:rsidRPr="00A57896">
        <w:rPr>
          <w:sz w:val="28"/>
          <w:szCs w:val="28"/>
        </w:rPr>
        <w:t xml:space="preserve"> </w:t>
      </w:r>
      <w:r>
        <w:rPr>
          <w:sz w:val="28"/>
          <w:szCs w:val="28"/>
        </w:rPr>
        <w:t>-</w:t>
      </w:r>
      <w:r w:rsidRPr="00A57896">
        <w:rPr>
          <w:sz w:val="28"/>
          <w:szCs w:val="28"/>
        </w:rPr>
        <w:t xml:space="preserve"> 202</w:t>
      </w:r>
      <w:r>
        <w:rPr>
          <w:sz w:val="28"/>
          <w:szCs w:val="28"/>
        </w:rPr>
        <w:t xml:space="preserve">4 </w:t>
      </w:r>
      <w:r w:rsidRPr="00A57896">
        <w:rPr>
          <w:sz w:val="28"/>
          <w:szCs w:val="28"/>
        </w:rPr>
        <w:t>год</w:t>
      </w:r>
      <w:r>
        <w:rPr>
          <w:sz w:val="28"/>
          <w:szCs w:val="28"/>
        </w:rPr>
        <w:t>ы</w:t>
      </w:r>
      <w:r w:rsidRPr="00A57896">
        <w:rPr>
          <w:sz w:val="28"/>
          <w:szCs w:val="28"/>
        </w:rPr>
        <w:t xml:space="preserve"> принимается равным прогнозу на</w:t>
      </w:r>
      <w:r>
        <w:rPr>
          <w:sz w:val="28"/>
          <w:szCs w:val="28"/>
        </w:rPr>
        <w:t xml:space="preserve">  </w:t>
      </w:r>
      <w:r w:rsidRPr="00A57896">
        <w:rPr>
          <w:sz w:val="28"/>
          <w:szCs w:val="28"/>
        </w:rPr>
        <w:t>20</w:t>
      </w:r>
      <w:r>
        <w:rPr>
          <w:sz w:val="28"/>
          <w:szCs w:val="28"/>
        </w:rPr>
        <w:t>22</w:t>
      </w:r>
      <w:r w:rsidRPr="00A57896">
        <w:rPr>
          <w:sz w:val="28"/>
          <w:szCs w:val="28"/>
        </w:rPr>
        <w:t xml:space="preserve"> год</w:t>
      </w:r>
      <w:r>
        <w:rPr>
          <w:sz w:val="28"/>
          <w:szCs w:val="28"/>
        </w:rPr>
        <w:t xml:space="preserve"> и составляет 8,1 тыс. руб. ежегодно.</w:t>
      </w:r>
    </w:p>
    <w:p w:rsidR="0055491A" w:rsidRPr="00E52B5C" w:rsidRDefault="0055491A" w:rsidP="0055491A">
      <w:pPr>
        <w:pStyle w:val="a7"/>
        <w:spacing w:after="0"/>
        <w:ind w:left="0" w:firstLine="709"/>
        <w:jc w:val="both"/>
        <w:rPr>
          <w:b/>
          <w:sz w:val="28"/>
          <w:szCs w:val="28"/>
        </w:rPr>
      </w:pPr>
      <w:r w:rsidRPr="00E52B5C">
        <w:rPr>
          <w:b/>
          <w:sz w:val="28"/>
          <w:szCs w:val="28"/>
        </w:rPr>
        <w:t>Прогноз на 2022 год –8,1 тыс. руб., прогноз на 2023 год –8,1 тыс. руб., прогноз на 2024 год –8,1 тыс. руб.</w:t>
      </w:r>
    </w:p>
    <w:p w:rsidR="0055491A" w:rsidRPr="00E52B5C" w:rsidRDefault="0055491A" w:rsidP="0055491A">
      <w:pPr>
        <w:pStyle w:val="a7"/>
        <w:spacing w:after="0"/>
        <w:ind w:left="0" w:firstLine="709"/>
        <w:jc w:val="both"/>
        <w:rPr>
          <w:b/>
          <w:sz w:val="28"/>
          <w:szCs w:val="28"/>
        </w:rPr>
      </w:pPr>
    </w:p>
    <w:p w:rsidR="0055491A" w:rsidRDefault="0055491A" w:rsidP="0055491A">
      <w:pPr>
        <w:pStyle w:val="a7"/>
        <w:spacing w:after="0"/>
        <w:ind w:left="0" w:firstLine="709"/>
        <w:jc w:val="both"/>
        <w:rPr>
          <w:sz w:val="28"/>
          <w:szCs w:val="28"/>
        </w:rPr>
      </w:pPr>
      <w:r>
        <w:rPr>
          <w:sz w:val="28"/>
          <w:szCs w:val="28"/>
        </w:rPr>
        <w:t xml:space="preserve">11.5 </w:t>
      </w:r>
      <w:r w:rsidRPr="00F816DC">
        <w:rPr>
          <w:b/>
          <w:sz w:val="28"/>
          <w:szCs w:val="28"/>
        </w:rPr>
        <w:t>КБК 332 1 16 01156 01 0000 140</w:t>
      </w:r>
      <w:r>
        <w:rPr>
          <w:sz w:val="28"/>
          <w:szCs w:val="28"/>
        </w:rPr>
        <w:t xml:space="preserve"> </w:t>
      </w:r>
      <w:r w:rsidRPr="000F65FB">
        <w:rPr>
          <w:sz w:val="28"/>
          <w:szCs w:val="28"/>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бюджет субъекта Российской Федерации</w:t>
      </w:r>
      <w:r>
        <w:rPr>
          <w:sz w:val="28"/>
          <w:szCs w:val="28"/>
        </w:rPr>
        <w:t>.</w:t>
      </w:r>
    </w:p>
    <w:p w:rsidR="0055491A" w:rsidRPr="00F816DC" w:rsidRDefault="0055491A" w:rsidP="0055491A">
      <w:pPr>
        <w:pStyle w:val="a7"/>
        <w:spacing w:after="0"/>
        <w:ind w:left="0" w:firstLine="709"/>
        <w:jc w:val="both"/>
        <w:rPr>
          <w:b/>
          <w:sz w:val="28"/>
          <w:szCs w:val="28"/>
        </w:rPr>
      </w:pPr>
      <w:r w:rsidRPr="00F816DC">
        <w:rPr>
          <w:b/>
          <w:sz w:val="28"/>
          <w:szCs w:val="28"/>
        </w:rPr>
        <w:t>Главный администратор доходов - Министерство Тверской области по обеспечению контрольных функций.</w:t>
      </w:r>
    </w:p>
    <w:p w:rsidR="0055491A" w:rsidRDefault="0055491A" w:rsidP="0055491A">
      <w:pPr>
        <w:pStyle w:val="a7"/>
        <w:spacing w:after="0"/>
        <w:ind w:left="0" w:firstLine="709"/>
        <w:jc w:val="both"/>
        <w:rPr>
          <w:sz w:val="28"/>
          <w:szCs w:val="28"/>
        </w:rPr>
      </w:pPr>
      <w:r w:rsidRPr="000D4676">
        <w:rPr>
          <w:sz w:val="28"/>
          <w:szCs w:val="28"/>
        </w:rPr>
        <w:t>Расчет произведен в соответствии с методикой, утвержденной приказом Министерства Тверской области по обес</w:t>
      </w:r>
      <w:r>
        <w:rPr>
          <w:sz w:val="28"/>
          <w:szCs w:val="28"/>
        </w:rPr>
        <w:t>печению контрольных функций от 18</w:t>
      </w:r>
      <w:r w:rsidRPr="000D4676">
        <w:rPr>
          <w:sz w:val="28"/>
          <w:szCs w:val="28"/>
        </w:rPr>
        <w:t>.0</w:t>
      </w:r>
      <w:r>
        <w:rPr>
          <w:sz w:val="28"/>
          <w:szCs w:val="28"/>
        </w:rPr>
        <w:t>6</w:t>
      </w:r>
      <w:r w:rsidRPr="000D4676">
        <w:rPr>
          <w:sz w:val="28"/>
          <w:szCs w:val="28"/>
        </w:rPr>
        <w:t>.20</w:t>
      </w:r>
      <w:r>
        <w:rPr>
          <w:sz w:val="28"/>
          <w:szCs w:val="28"/>
        </w:rPr>
        <w:t>20</w:t>
      </w:r>
      <w:r w:rsidRPr="000D4676">
        <w:rPr>
          <w:sz w:val="28"/>
          <w:szCs w:val="28"/>
        </w:rPr>
        <w:t xml:space="preserve"> № </w:t>
      </w:r>
      <w:r>
        <w:rPr>
          <w:sz w:val="28"/>
          <w:szCs w:val="28"/>
        </w:rPr>
        <w:t>714</w:t>
      </w:r>
      <w:r w:rsidRPr="000D4676">
        <w:rPr>
          <w:sz w:val="28"/>
          <w:szCs w:val="28"/>
        </w:rPr>
        <w:t xml:space="preserve"> «Об утверждении методики прогнозирования поступлений доходов в областной бюджет Тверской области и местные бюджеты муниципальных образований Тверской области»</w:t>
      </w:r>
      <w:r>
        <w:rPr>
          <w:sz w:val="28"/>
          <w:szCs w:val="28"/>
        </w:rPr>
        <w:t xml:space="preserve"> (с учетом изменений)</w:t>
      </w:r>
      <w:r w:rsidRPr="000D4676">
        <w:rPr>
          <w:sz w:val="28"/>
          <w:szCs w:val="28"/>
        </w:rPr>
        <w:t>.</w:t>
      </w:r>
    </w:p>
    <w:p w:rsidR="0055491A" w:rsidRDefault="0055491A" w:rsidP="0055491A">
      <w:pPr>
        <w:ind w:firstLine="360"/>
        <w:jc w:val="both"/>
        <w:rPr>
          <w:sz w:val="28"/>
          <w:szCs w:val="28"/>
        </w:rPr>
      </w:pPr>
      <w:r>
        <w:rPr>
          <w:sz w:val="28"/>
          <w:szCs w:val="28"/>
        </w:rPr>
        <w:t xml:space="preserve">     В</w:t>
      </w:r>
      <w:r w:rsidRPr="00F51442">
        <w:rPr>
          <w:sz w:val="28"/>
          <w:szCs w:val="28"/>
        </w:rPr>
        <w:t xml:space="preserve"> соответствии со статьями 23.7.1 и 28.3 КоАП РФ должностные лица Управления финансово-бюджетного надзора и контроля </w:t>
      </w:r>
      <w:r w:rsidRPr="000D4676">
        <w:rPr>
          <w:sz w:val="28"/>
          <w:szCs w:val="28"/>
        </w:rPr>
        <w:t>Министерства Тверской области по обес</w:t>
      </w:r>
      <w:r>
        <w:rPr>
          <w:sz w:val="28"/>
          <w:szCs w:val="28"/>
        </w:rPr>
        <w:t>печению контрольных функций</w:t>
      </w:r>
      <w:r w:rsidRPr="00F51442">
        <w:rPr>
          <w:sz w:val="28"/>
          <w:szCs w:val="28"/>
        </w:rPr>
        <w:t xml:space="preserve"> уполномочены составлять протоколы об административных правонарушениях, </w:t>
      </w:r>
      <w:r>
        <w:rPr>
          <w:sz w:val="28"/>
          <w:szCs w:val="28"/>
        </w:rPr>
        <w:t>по</w:t>
      </w:r>
      <w:r w:rsidRPr="00F51442">
        <w:rPr>
          <w:sz w:val="28"/>
          <w:szCs w:val="28"/>
        </w:rPr>
        <w:t xml:space="preserve"> </w:t>
      </w:r>
      <w:r>
        <w:rPr>
          <w:sz w:val="28"/>
          <w:szCs w:val="28"/>
        </w:rPr>
        <w:t>статьям</w:t>
      </w:r>
      <w:r w:rsidRPr="00F51442">
        <w:rPr>
          <w:sz w:val="28"/>
          <w:szCs w:val="28"/>
        </w:rPr>
        <w:t xml:space="preserve"> </w:t>
      </w:r>
      <w:r>
        <w:rPr>
          <w:sz w:val="28"/>
          <w:szCs w:val="28"/>
        </w:rPr>
        <w:t>15.1,</w:t>
      </w:r>
      <w:r w:rsidRPr="00A5513F">
        <w:rPr>
          <w:sz w:val="28"/>
          <w:szCs w:val="28"/>
        </w:rPr>
        <w:t xml:space="preserve"> </w:t>
      </w:r>
      <w:r>
        <w:rPr>
          <w:sz w:val="28"/>
          <w:szCs w:val="28"/>
        </w:rPr>
        <w:t>15.3,</w:t>
      </w:r>
      <w:r w:rsidRPr="00A5513F">
        <w:rPr>
          <w:sz w:val="28"/>
          <w:szCs w:val="28"/>
        </w:rPr>
        <w:t xml:space="preserve"> </w:t>
      </w:r>
      <w:r>
        <w:rPr>
          <w:sz w:val="28"/>
          <w:szCs w:val="28"/>
        </w:rPr>
        <w:t>15.6,</w:t>
      </w:r>
      <w:r w:rsidRPr="00A5513F">
        <w:rPr>
          <w:sz w:val="28"/>
          <w:szCs w:val="28"/>
        </w:rPr>
        <w:t xml:space="preserve"> </w:t>
      </w:r>
      <w:r>
        <w:rPr>
          <w:sz w:val="28"/>
          <w:szCs w:val="28"/>
        </w:rPr>
        <w:t xml:space="preserve">15.7,15.9-15.11,15.14-15.15.16 </w:t>
      </w:r>
      <w:r w:rsidRPr="00F51442">
        <w:rPr>
          <w:sz w:val="28"/>
          <w:szCs w:val="28"/>
        </w:rPr>
        <w:t>КоАП РФ.</w:t>
      </w:r>
    </w:p>
    <w:p w:rsidR="0055491A" w:rsidRDefault="0055491A" w:rsidP="0055491A">
      <w:pPr>
        <w:pStyle w:val="a7"/>
        <w:spacing w:after="0"/>
        <w:ind w:left="0" w:firstLine="709"/>
        <w:jc w:val="both"/>
        <w:rPr>
          <w:sz w:val="28"/>
          <w:szCs w:val="28"/>
        </w:rPr>
      </w:pPr>
      <w:r w:rsidRPr="00E428FB">
        <w:rPr>
          <w:sz w:val="28"/>
          <w:szCs w:val="28"/>
        </w:rPr>
        <w:t>Прогноз поступлений денежных взысканий (штрафов) на 20</w:t>
      </w:r>
      <w:r>
        <w:rPr>
          <w:sz w:val="28"/>
          <w:szCs w:val="28"/>
        </w:rPr>
        <w:t>22</w:t>
      </w:r>
      <w:r w:rsidRPr="00E428FB">
        <w:rPr>
          <w:sz w:val="28"/>
          <w:szCs w:val="28"/>
        </w:rPr>
        <w:t xml:space="preserve"> год и </w:t>
      </w:r>
      <w:r>
        <w:rPr>
          <w:sz w:val="28"/>
          <w:szCs w:val="28"/>
        </w:rPr>
        <w:t xml:space="preserve">на </w:t>
      </w:r>
      <w:r w:rsidRPr="00E428FB">
        <w:rPr>
          <w:sz w:val="28"/>
          <w:szCs w:val="28"/>
        </w:rPr>
        <w:t>плановый период 20</w:t>
      </w:r>
      <w:r>
        <w:rPr>
          <w:sz w:val="28"/>
          <w:szCs w:val="28"/>
        </w:rPr>
        <w:t>23</w:t>
      </w:r>
      <w:r w:rsidRPr="00E428FB">
        <w:rPr>
          <w:sz w:val="28"/>
          <w:szCs w:val="28"/>
        </w:rPr>
        <w:t>-20</w:t>
      </w:r>
      <w:r>
        <w:rPr>
          <w:sz w:val="28"/>
          <w:szCs w:val="28"/>
        </w:rPr>
        <w:t>24</w:t>
      </w:r>
      <w:r w:rsidRPr="00E428FB">
        <w:rPr>
          <w:sz w:val="28"/>
          <w:szCs w:val="28"/>
        </w:rPr>
        <w:t xml:space="preserve"> годов в доход областного бюджета Тверской области определены методом прямого расчета, основанного на  использовании среднего количества нарушений</w:t>
      </w:r>
      <w:r>
        <w:rPr>
          <w:sz w:val="28"/>
          <w:szCs w:val="28"/>
        </w:rPr>
        <w:t xml:space="preserve"> за 3 года, ответственность за которые предусмотрена соответствующими статьями КоАП РФ и размера штрафов.</w:t>
      </w:r>
    </w:p>
    <w:p w:rsidR="0055491A" w:rsidRDefault="0055491A" w:rsidP="0055491A">
      <w:pPr>
        <w:pStyle w:val="a7"/>
        <w:spacing w:after="0"/>
        <w:ind w:left="0" w:firstLine="709"/>
        <w:jc w:val="both"/>
        <w:rPr>
          <w:sz w:val="28"/>
          <w:szCs w:val="28"/>
        </w:rPr>
      </w:pPr>
    </w:p>
    <w:p w:rsidR="0055491A" w:rsidRDefault="0055491A" w:rsidP="0055491A">
      <w:pPr>
        <w:pStyle w:val="a7"/>
        <w:spacing w:after="0"/>
        <w:ind w:left="0" w:firstLine="709"/>
        <w:jc w:val="both"/>
        <w:rPr>
          <w:sz w:val="28"/>
          <w:szCs w:val="28"/>
        </w:rPr>
      </w:pPr>
    </w:p>
    <w:p w:rsidR="0055491A" w:rsidRDefault="0055491A" w:rsidP="0055491A">
      <w:pPr>
        <w:pStyle w:val="a7"/>
        <w:spacing w:after="0"/>
        <w:ind w:left="0" w:firstLine="709"/>
        <w:jc w:val="both"/>
        <w:rPr>
          <w:sz w:val="28"/>
          <w:szCs w:val="28"/>
        </w:rPr>
      </w:pPr>
    </w:p>
    <w:p w:rsidR="0055491A" w:rsidRDefault="0055491A" w:rsidP="0055491A">
      <w:pPr>
        <w:pStyle w:val="a7"/>
        <w:spacing w:after="0"/>
        <w:ind w:left="0" w:firstLine="709"/>
        <w:jc w:val="both"/>
        <w:rPr>
          <w:sz w:val="28"/>
          <w:szCs w:val="28"/>
        </w:rPr>
      </w:pPr>
    </w:p>
    <w:p w:rsidR="0055491A" w:rsidRDefault="0055491A" w:rsidP="0055491A">
      <w:pPr>
        <w:pStyle w:val="a7"/>
        <w:spacing w:after="0"/>
        <w:ind w:left="0" w:firstLine="709"/>
        <w:jc w:val="both"/>
        <w:rPr>
          <w:sz w:val="28"/>
          <w:szCs w:val="28"/>
        </w:rPr>
      </w:pPr>
    </w:p>
    <w:p w:rsidR="0055491A" w:rsidRDefault="0055491A" w:rsidP="0055491A">
      <w:pPr>
        <w:pStyle w:val="a7"/>
        <w:spacing w:after="0"/>
        <w:ind w:left="0" w:firstLine="709"/>
        <w:jc w:val="both"/>
        <w:rPr>
          <w:sz w:val="28"/>
          <w:szCs w:val="28"/>
        </w:rPr>
      </w:pPr>
    </w:p>
    <w:p w:rsidR="0055491A" w:rsidRDefault="0055491A" w:rsidP="0055491A">
      <w:pPr>
        <w:pStyle w:val="a7"/>
        <w:spacing w:after="0"/>
        <w:ind w:left="0" w:firstLine="709"/>
        <w:jc w:val="both"/>
        <w:rPr>
          <w:sz w:val="28"/>
          <w:szCs w:val="28"/>
        </w:rPr>
      </w:pPr>
    </w:p>
    <w:p w:rsidR="0055491A" w:rsidRDefault="0055491A" w:rsidP="0055491A">
      <w:pPr>
        <w:pStyle w:val="a7"/>
        <w:spacing w:after="0"/>
        <w:ind w:left="0" w:firstLine="709"/>
        <w:jc w:val="both"/>
        <w:rPr>
          <w:sz w:val="28"/>
          <w:szCs w:val="28"/>
        </w:rPr>
      </w:pPr>
    </w:p>
    <w:p w:rsidR="0055491A" w:rsidRDefault="0055491A" w:rsidP="0055491A">
      <w:pPr>
        <w:pStyle w:val="a7"/>
        <w:spacing w:after="0"/>
        <w:ind w:left="0" w:firstLine="709"/>
        <w:jc w:val="both"/>
        <w:rPr>
          <w:sz w:val="28"/>
          <w:szCs w:val="28"/>
        </w:rPr>
      </w:pPr>
    </w:p>
    <w:p w:rsidR="0055491A" w:rsidRDefault="0055491A" w:rsidP="0055491A">
      <w:pPr>
        <w:pStyle w:val="a7"/>
        <w:spacing w:after="0"/>
        <w:ind w:left="0" w:firstLine="709"/>
        <w:jc w:val="both"/>
        <w:rPr>
          <w:sz w:val="28"/>
          <w:szCs w:val="28"/>
        </w:rPr>
      </w:pPr>
    </w:p>
    <w:p w:rsidR="0055491A" w:rsidRDefault="0055491A" w:rsidP="0055491A">
      <w:pPr>
        <w:ind w:firstLine="360"/>
        <w:jc w:val="both"/>
        <w:rPr>
          <w:sz w:val="28"/>
          <w:szCs w:val="28"/>
        </w:rPr>
      </w:pPr>
      <w:r w:rsidRPr="00E428FB">
        <w:rPr>
          <w:sz w:val="28"/>
          <w:szCs w:val="28"/>
        </w:rPr>
        <w:lastRenderedPageBreak/>
        <w:t>Расчет прогноза на 20</w:t>
      </w:r>
      <w:r>
        <w:rPr>
          <w:sz w:val="28"/>
          <w:szCs w:val="28"/>
        </w:rPr>
        <w:t>22</w:t>
      </w:r>
      <w:r w:rsidRPr="00E428FB">
        <w:rPr>
          <w:sz w:val="28"/>
          <w:szCs w:val="28"/>
        </w:rPr>
        <w:t>-20</w:t>
      </w:r>
      <w:r>
        <w:rPr>
          <w:sz w:val="28"/>
          <w:szCs w:val="28"/>
        </w:rPr>
        <w:t>24</w:t>
      </w:r>
      <w:r w:rsidRPr="00E428FB">
        <w:rPr>
          <w:sz w:val="28"/>
          <w:szCs w:val="28"/>
        </w:rPr>
        <w:t xml:space="preserve"> годы представлен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
        <w:gridCol w:w="504"/>
        <w:gridCol w:w="381"/>
        <w:gridCol w:w="381"/>
        <w:gridCol w:w="381"/>
        <w:gridCol w:w="952"/>
        <w:gridCol w:w="726"/>
        <w:gridCol w:w="952"/>
        <w:gridCol w:w="726"/>
        <w:gridCol w:w="952"/>
        <w:gridCol w:w="768"/>
        <w:gridCol w:w="993"/>
        <w:gridCol w:w="768"/>
      </w:tblGrid>
      <w:tr w:rsidR="0055491A" w:rsidRPr="00A20DFB" w:rsidTr="00210BF6">
        <w:trPr>
          <w:trHeight w:val="735"/>
        </w:trPr>
        <w:tc>
          <w:tcPr>
            <w:tcW w:w="0" w:type="auto"/>
            <w:vMerge w:val="restart"/>
            <w:shd w:val="clear" w:color="auto" w:fill="auto"/>
            <w:hideMark/>
          </w:tcPr>
          <w:p w:rsidR="0055491A" w:rsidRPr="00540898" w:rsidRDefault="0055491A" w:rsidP="00210BF6">
            <w:pPr>
              <w:jc w:val="center"/>
              <w:rPr>
                <w:bCs/>
                <w:sz w:val="18"/>
                <w:szCs w:val="18"/>
              </w:rPr>
            </w:pPr>
            <w:bookmarkStart w:id="13" w:name="RANGE!A5:M12"/>
            <w:r w:rsidRPr="00540898">
              <w:rPr>
                <w:bCs/>
                <w:sz w:val="18"/>
                <w:szCs w:val="18"/>
              </w:rPr>
              <w:t>НПА, устанавливающий платеж, статья, пункт</w:t>
            </w:r>
            <w:bookmarkEnd w:id="13"/>
            <w:r>
              <w:rPr>
                <w:bCs/>
                <w:sz w:val="18"/>
                <w:szCs w:val="18"/>
              </w:rPr>
              <w:t xml:space="preserve"> КоАП РФ</w:t>
            </w:r>
          </w:p>
        </w:tc>
        <w:tc>
          <w:tcPr>
            <w:tcW w:w="0" w:type="auto"/>
            <w:vMerge w:val="restart"/>
            <w:shd w:val="clear" w:color="auto" w:fill="auto"/>
            <w:hideMark/>
          </w:tcPr>
          <w:p w:rsidR="0055491A" w:rsidRPr="00540898" w:rsidRDefault="0055491A" w:rsidP="00210BF6">
            <w:pPr>
              <w:jc w:val="center"/>
              <w:rPr>
                <w:bCs/>
                <w:sz w:val="18"/>
                <w:szCs w:val="18"/>
              </w:rPr>
            </w:pPr>
            <w:r w:rsidRPr="00540898">
              <w:rPr>
                <w:bCs/>
                <w:sz w:val="18"/>
                <w:szCs w:val="18"/>
              </w:rPr>
              <w:t>Размер штрафа, тыс.руб</w:t>
            </w:r>
          </w:p>
        </w:tc>
        <w:tc>
          <w:tcPr>
            <w:tcW w:w="0" w:type="auto"/>
            <w:gridSpan w:val="3"/>
            <w:shd w:val="clear" w:color="auto" w:fill="auto"/>
            <w:hideMark/>
          </w:tcPr>
          <w:p w:rsidR="0055491A" w:rsidRPr="00540898" w:rsidRDefault="0055491A" w:rsidP="00210BF6">
            <w:pPr>
              <w:jc w:val="center"/>
              <w:rPr>
                <w:bCs/>
                <w:sz w:val="18"/>
                <w:szCs w:val="18"/>
              </w:rPr>
            </w:pPr>
            <w:r w:rsidRPr="00540898">
              <w:rPr>
                <w:bCs/>
                <w:sz w:val="18"/>
                <w:szCs w:val="18"/>
              </w:rPr>
              <w:t>Количество вынесенных постановлений, шт.</w:t>
            </w:r>
          </w:p>
        </w:tc>
        <w:tc>
          <w:tcPr>
            <w:tcW w:w="0" w:type="auto"/>
            <w:gridSpan w:val="2"/>
            <w:shd w:val="clear" w:color="auto" w:fill="auto"/>
            <w:hideMark/>
          </w:tcPr>
          <w:p w:rsidR="0055491A" w:rsidRPr="00540898" w:rsidRDefault="0055491A" w:rsidP="00210BF6">
            <w:pPr>
              <w:jc w:val="center"/>
              <w:rPr>
                <w:bCs/>
                <w:sz w:val="18"/>
                <w:szCs w:val="18"/>
              </w:rPr>
            </w:pPr>
            <w:r w:rsidRPr="00540898">
              <w:rPr>
                <w:bCs/>
                <w:sz w:val="18"/>
                <w:szCs w:val="18"/>
              </w:rPr>
              <w:t>202</w:t>
            </w:r>
            <w:r>
              <w:rPr>
                <w:bCs/>
                <w:sz w:val="18"/>
                <w:szCs w:val="18"/>
              </w:rPr>
              <w:t>1</w:t>
            </w:r>
          </w:p>
        </w:tc>
        <w:tc>
          <w:tcPr>
            <w:tcW w:w="0" w:type="auto"/>
            <w:gridSpan w:val="2"/>
            <w:shd w:val="clear" w:color="auto" w:fill="auto"/>
            <w:hideMark/>
          </w:tcPr>
          <w:p w:rsidR="0055491A" w:rsidRPr="00540898" w:rsidRDefault="0055491A" w:rsidP="00210BF6">
            <w:pPr>
              <w:jc w:val="center"/>
              <w:rPr>
                <w:bCs/>
                <w:sz w:val="18"/>
                <w:szCs w:val="18"/>
              </w:rPr>
            </w:pPr>
            <w:r w:rsidRPr="00540898">
              <w:rPr>
                <w:bCs/>
                <w:sz w:val="18"/>
                <w:szCs w:val="18"/>
              </w:rPr>
              <w:t>202</w:t>
            </w:r>
            <w:r>
              <w:rPr>
                <w:bCs/>
                <w:sz w:val="18"/>
                <w:szCs w:val="18"/>
              </w:rPr>
              <w:t>2</w:t>
            </w:r>
          </w:p>
        </w:tc>
        <w:tc>
          <w:tcPr>
            <w:tcW w:w="0" w:type="auto"/>
            <w:gridSpan w:val="2"/>
            <w:shd w:val="clear" w:color="auto" w:fill="auto"/>
            <w:hideMark/>
          </w:tcPr>
          <w:p w:rsidR="0055491A" w:rsidRPr="00540898" w:rsidRDefault="0055491A" w:rsidP="00210BF6">
            <w:pPr>
              <w:jc w:val="center"/>
              <w:rPr>
                <w:bCs/>
                <w:sz w:val="18"/>
                <w:szCs w:val="18"/>
              </w:rPr>
            </w:pPr>
            <w:r w:rsidRPr="00540898">
              <w:rPr>
                <w:bCs/>
                <w:sz w:val="18"/>
                <w:szCs w:val="18"/>
              </w:rPr>
              <w:t>202</w:t>
            </w:r>
            <w:r>
              <w:rPr>
                <w:bCs/>
                <w:sz w:val="18"/>
                <w:szCs w:val="18"/>
              </w:rPr>
              <w:t>3</w:t>
            </w:r>
          </w:p>
        </w:tc>
        <w:tc>
          <w:tcPr>
            <w:tcW w:w="0" w:type="auto"/>
            <w:gridSpan w:val="2"/>
            <w:shd w:val="clear" w:color="auto" w:fill="auto"/>
            <w:hideMark/>
          </w:tcPr>
          <w:p w:rsidR="0055491A" w:rsidRPr="00540898" w:rsidRDefault="0055491A" w:rsidP="00210BF6">
            <w:pPr>
              <w:jc w:val="center"/>
              <w:rPr>
                <w:bCs/>
                <w:sz w:val="18"/>
                <w:szCs w:val="18"/>
              </w:rPr>
            </w:pPr>
            <w:r w:rsidRPr="00540898">
              <w:rPr>
                <w:bCs/>
                <w:sz w:val="18"/>
                <w:szCs w:val="18"/>
              </w:rPr>
              <w:t>202</w:t>
            </w:r>
            <w:r>
              <w:rPr>
                <w:bCs/>
                <w:sz w:val="18"/>
                <w:szCs w:val="18"/>
              </w:rPr>
              <w:t>4</w:t>
            </w:r>
          </w:p>
        </w:tc>
      </w:tr>
      <w:tr w:rsidR="0055491A" w:rsidRPr="00A20DFB" w:rsidTr="00210BF6">
        <w:trPr>
          <w:trHeight w:val="1200"/>
        </w:trPr>
        <w:tc>
          <w:tcPr>
            <w:tcW w:w="0" w:type="auto"/>
            <w:vMerge/>
            <w:hideMark/>
          </w:tcPr>
          <w:p w:rsidR="0055491A" w:rsidRPr="00540898" w:rsidRDefault="0055491A" w:rsidP="00210BF6">
            <w:pPr>
              <w:jc w:val="center"/>
              <w:rPr>
                <w:bCs/>
                <w:sz w:val="18"/>
                <w:szCs w:val="18"/>
              </w:rPr>
            </w:pPr>
          </w:p>
        </w:tc>
        <w:tc>
          <w:tcPr>
            <w:tcW w:w="0" w:type="auto"/>
            <w:vMerge/>
            <w:hideMark/>
          </w:tcPr>
          <w:p w:rsidR="0055491A" w:rsidRPr="00540898" w:rsidRDefault="0055491A" w:rsidP="00210BF6">
            <w:pPr>
              <w:jc w:val="center"/>
              <w:rPr>
                <w:bCs/>
                <w:sz w:val="18"/>
                <w:szCs w:val="18"/>
              </w:rPr>
            </w:pPr>
          </w:p>
        </w:tc>
        <w:tc>
          <w:tcPr>
            <w:tcW w:w="0" w:type="auto"/>
            <w:shd w:val="clear" w:color="auto" w:fill="auto"/>
            <w:hideMark/>
          </w:tcPr>
          <w:p w:rsidR="0055491A" w:rsidRPr="00540898" w:rsidRDefault="0055491A" w:rsidP="00210BF6">
            <w:pPr>
              <w:jc w:val="center"/>
              <w:rPr>
                <w:bCs/>
                <w:sz w:val="18"/>
                <w:szCs w:val="18"/>
              </w:rPr>
            </w:pPr>
            <w:r w:rsidRPr="00540898">
              <w:rPr>
                <w:bCs/>
                <w:sz w:val="18"/>
                <w:szCs w:val="18"/>
              </w:rPr>
              <w:t>201</w:t>
            </w:r>
            <w:r>
              <w:rPr>
                <w:bCs/>
                <w:sz w:val="18"/>
                <w:szCs w:val="18"/>
              </w:rPr>
              <w:t>8</w:t>
            </w:r>
          </w:p>
        </w:tc>
        <w:tc>
          <w:tcPr>
            <w:tcW w:w="0" w:type="auto"/>
            <w:shd w:val="clear" w:color="auto" w:fill="auto"/>
            <w:hideMark/>
          </w:tcPr>
          <w:p w:rsidR="0055491A" w:rsidRPr="00540898" w:rsidRDefault="0055491A" w:rsidP="00210BF6">
            <w:pPr>
              <w:jc w:val="center"/>
              <w:rPr>
                <w:bCs/>
                <w:sz w:val="18"/>
                <w:szCs w:val="18"/>
              </w:rPr>
            </w:pPr>
            <w:r w:rsidRPr="00540898">
              <w:rPr>
                <w:bCs/>
                <w:sz w:val="18"/>
                <w:szCs w:val="18"/>
              </w:rPr>
              <w:t>201</w:t>
            </w:r>
            <w:r>
              <w:rPr>
                <w:bCs/>
                <w:sz w:val="18"/>
                <w:szCs w:val="18"/>
              </w:rPr>
              <w:t>9</w:t>
            </w:r>
          </w:p>
        </w:tc>
        <w:tc>
          <w:tcPr>
            <w:tcW w:w="0" w:type="auto"/>
            <w:shd w:val="clear" w:color="auto" w:fill="auto"/>
            <w:hideMark/>
          </w:tcPr>
          <w:p w:rsidR="0055491A" w:rsidRPr="00540898" w:rsidRDefault="0055491A" w:rsidP="00210BF6">
            <w:pPr>
              <w:jc w:val="center"/>
              <w:rPr>
                <w:bCs/>
                <w:sz w:val="18"/>
                <w:szCs w:val="18"/>
              </w:rPr>
            </w:pPr>
            <w:r w:rsidRPr="00540898">
              <w:rPr>
                <w:bCs/>
                <w:sz w:val="18"/>
                <w:szCs w:val="18"/>
              </w:rPr>
              <w:t>20</w:t>
            </w:r>
            <w:r>
              <w:rPr>
                <w:bCs/>
                <w:sz w:val="18"/>
                <w:szCs w:val="18"/>
              </w:rPr>
              <w:t>20</w:t>
            </w:r>
          </w:p>
        </w:tc>
        <w:tc>
          <w:tcPr>
            <w:tcW w:w="0" w:type="auto"/>
            <w:shd w:val="clear" w:color="auto" w:fill="auto"/>
            <w:hideMark/>
          </w:tcPr>
          <w:p w:rsidR="0055491A" w:rsidRPr="00540898" w:rsidRDefault="0055491A" w:rsidP="00210BF6">
            <w:pPr>
              <w:jc w:val="center"/>
              <w:rPr>
                <w:bCs/>
                <w:sz w:val="18"/>
                <w:szCs w:val="18"/>
              </w:rPr>
            </w:pPr>
            <w:r w:rsidRPr="00540898">
              <w:rPr>
                <w:bCs/>
                <w:sz w:val="18"/>
                <w:szCs w:val="18"/>
              </w:rPr>
              <w:t>Количество, шт.(ст.3+ст.4+ст.5)/3</w:t>
            </w:r>
          </w:p>
        </w:tc>
        <w:tc>
          <w:tcPr>
            <w:tcW w:w="0" w:type="auto"/>
            <w:shd w:val="clear" w:color="auto" w:fill="auto"/>
            <w:hideMark/>
          </w:tcPr>
          <w:p w:rsidR="0055491A" w:rsidRPr="00540898" w:rsidRDefault="0055491A" w:rsidP="00210BF6">
            <w:pPr>
              <w:jc w:val="center"/>
              <w:rPr>
                <w:bCs/>
                <w:sz w:val="18"/>
                <w:szCs w:val="18"/>
              </w:rPr>
            </w:pPr>
            <w:r w:rsidRPr="00540898">
              <w:rPr>
                <w:bCs/>
                <w:sz w:val="18"/>
                <w:szCs w:val="18"/>
              </w:rPr>
              <w:t>Сумма, тыс. руб.(ст.6хст.2)</w:t>
            </w:r>
          </w:p>
        </w:tc>
        <w:tc>
          <w:tcPr>
            <w:tcW w:w="0" w:type="auto"/>
            <w:shd w:val="clear" w:color="auto" w:fill="auto"/>
            <w:hideMark/>
          </w:tcPr>
          <w:p w:rsidR="0055491A" w:rsidRPr="00540898" w:rsidRDefault="0055491A" w:rsidP="00210BF6">
            <w:pPr>
              <w:jc w:val="center"/>
              <w:rPr>
                <w:bCs/>
                <w:sz w:val="18"/>
                <w:szCs w:val="18"/>
              </w:rPr>
            </w:pPr>
            <w:r w:rsidRPr="00540898">
              <w:rPr>
                <w:bCs/>
                <w:sz w:val="18"/>
                <w:szCs w:val="18"/>
              </w:rPr>
              <w:t>Количество, шт.(ст.4+ст.5+ст.6)/3</w:t>
            </w:r>
          </w:p>
        </w:tc>
        <w:tc>
          <w:tcPr>
            <w:tcW w:w="0" w:type="auto"/>
            <w:shd w:val="clear" w:color="auto" w:fill="auto"/>
            <w:hideMark/>
          </w:tcPr>
          <w:p w:rsidR="0055491A" w:rsidRPr="00540898" w:rsidRDefault="0055491A" w:rsidP="00210BF6">
            <w:pPr>
              <w:jc w:val="center"/>
              <w:rPr>
                <w:bCs/>
                <w:sz w:val="18"/>
                <w:szCs w:val="18"/>
              </w:rPr>
            </w:pPr>
            <w:r w:rsidRPr="00540898">
              <w:rPr>
                <w:bCs/>
                <w:sz w:val="18"/>
                <w:szCs w:val="18"/>
              </w:rPr>
              <w:t>Сумма, тыс. руб.(ст.8хст.2)</w:t>
            </w:r>
          </w:p>
        </w:tc>
        <w:tc>
          <w:tcPr>
            <w:tcW w:w="0" w:type="auto"/>
            <w:shd w:val="clear" w:color="auto" w:fill="auto"/>
            <w:hideMark/>
          </w:tcPr>
          <w:p w:rsidR="0055491A" w:rsidRPr="00540898" w:rsidRDefault="0055491A" w:rsidP="00210BF6">
            <w:pPr>
              <w:jc w:val="center"/>
              <w:rPr>
                <w:bCs/>
                <w:sz w:val="18"/>
                <w:szCs w:val="18"/>
              </w:rPr>
            </w:pPr>
            <w:r w:rsidRPr="00540898">
              <w:rPr>
                <w:bCs/>
                <w:sz w:val="18"/>
                <w:szCs w:val="18"/>
              </w:rPr>
              <w:t>Количество, шт.(ст.5+ст.6+ст.8)/3</w:t>
            </w:r>
          </w:p>
        </w:tc>
        <w:tc>
          <w:tcPr>
            <w:tcW w:w="0" w:type="auto"/>
            <w:shd w:val="clear" w:color="auto" w:fill="auto"/>
            <w:hideMark/>
          </w:tcPr>
          <w:p w:rsidR="0055491A" w:rsidRPr="00540898" w:rsidRDefault="0055491A" w:rsidP="00210BF6">
            <w:pPr>
              <w:jc w:val="center"/>
              <w:rPr>
                <w:bCs/>
                <w:sz w:val="18"/>
                <w:szCs w:val="18"/>
              </w:rPr>
            </w:pPr>
            <w:r w:rsidRPr="00540898">
              <w:rPr>
                <w:bCs/>
                <w:sz w:val="18"/>
                <w:szCs w:val="18"/>
              </w:rPr>
              <w:t>Сумма, тыс. руб.(ст.10хст.2)</w:t>
            </w:r>
          </w:p>
        </w:tc>
        <w:tc>
          <w:tcPr>
            <w:tcW w:w="0" w:type="auto"/>
            <w:shd w:val="clear" w:color="auto" w:fill="auto"/>
            <w:hideMark/>
          </w:tcPr>
          <w:p w:rsidR="0055491A" w:rsidRPr="00540898" w:rsidRDefault="0055491A" w:rsidP="00210BF6">
            <w:pPr>
              <w:jc w:val="center"/>
              <w:rPr>
                <w:bCs/>
                <w:sz w:val="18"/>
                <w:szCs w:val="18"/>
              </w:rPr>
            </w:pPr>
            <w:r w:rsidRPr="00540898">
              <w:rPr>
                <w:bCs/>
                <w:sz w:val="18"/>
                <w:szCs w:val="18"/>
              </w:rPr>
              <w:t>Количество, шт.(ст.6+ст.8+ст.10)/3</w:t>
            </w:r>
          </w:p>
        </w:tc>
        <w:tc>
          <w:tcPr>
            <w:tcW w:w="0" w:type="auto"/>
            <w:shd w:val="clear" w:color="auto" w:fill="auto"/>
            <w:hideMark/>
          </w:tcPr>
          <w:p w:rsidR="0055491A" w:rsidRPr="00540898" w:rsidRDefault="0055491A" w:rsidP="00210BF6">
            <w:pPr>
              <w:jc w:val="center"/>
              <w:rPr>
                <w:bCs/>
                <w:sz w:val="18"/>
                <w:szCs w:val="18"/>
              </w:rPr>
            </w:pPr>
            <w:r w:rsidRPr="00540898">
              <w:rPr>
                <w:bCs/>
                <w:sz w:val="18"/>
                <w:szCs w:val="18"/>
              </w:rPr>
              <w:t>Сумма, тыс. руб.(ст.12хст.2)</w:t>
            </w:r>
          </w:p>
        </w:tc>
      </w:tr>
      <w:tr w:rsidR="0055491A" w:rsidRPr="00A20DFB" w:rsidTr="00210BF6">
        <w:trPr>
          <w:trHeight w:val="270"/>
        </w:trPr>
        <w:tc>
          <w:tcPr>
            <w:tcW w:w="0" w:type="auto"/>
            <w:shd w:val="clear" w:color="auto" w:fill="auto"/>
            <w:noWrap/>
            <w:hideMark/>
          </w:tcPr>
          <w:p w:rsidR="0055491A" w:rsidRPr="003521F3" w:rsidRDefault="0055491A" w:rsidP="00210BF6">
            <w:pPr>
              <w:jc w:val="center"/>
              <w:rPr>
                <w:b/>
                <w:bCs/>
                <w:sz w:val="18"/>
                <w:szCs w:val="18"/>
              </w:rPr>
            </w:pPr>
            <w:r w:rsidRPr="003521F3">
              <w:rPr>
                <w:b/>
                <w:bCs/>
                <w:sz w:val="18"/>
                <w:szCs w:val="18"/>
              </w:rPr>
              <w:t>1</w:t>
            </w:r>
          </w:p>
        </w:tc>
        <w:tc>
          <w:tcPr>
            <w:tcW w:w="0" w:type="auto"/>
            <w:shd w:val="clear" w:color="auto" w:fill="auto"/>
            <w:noWrap/>
            <w:hideMark/>
          </w:tcPr>
          <w:p w:rsidR="0055491A" w:rsidRPr="003521F3" w:rsidRDefault="0055491A" w:rsidP="00210BF6">
            <w:pPr>
              <w:jc w:val="center"/>
              <w:rPr>
                <w:b/>
                <w:bCs/>
                <w:sz w:val="18"/>
                <w:szCs w:val="18"/>
              </w:rPr>
            </w:pPr>
            <w:r w:rsidRPr="003521F3">
              <w:rPr>
                <w:b/>
                <w:bCs/>
                <w:sz w:val="18"/>
                <w:szCs w:val="18"/>
              </w:rPr>
              <w:t>2</w:t>
            </w:r>
          </w:p>
        </w:tc>
        <w:tc>
          <w:tcPr>
            <w:tcW w:w="0" w:type="auto"/>
            <w:shd w:val="clear" w:color="auto" w:fill="auto"/>
            <w:noWrap/>
            <w:hideMark/>
          </w:tcPr>
          <w:p w:rsidR="0055491A" w:rsidRPr="003521F3" w:rsidRDefault="0055491A" w:rsidP="00210BF6">
            <w:pPr>
              <w:jc w:val="center"/>
              <w:rPr>
                <w:b/>
                <w:bCs/>
                <w:sz w:val="18"/>
                <w:szCs w:val="18"/>
              </w:rPr>
            </w:pPr>
            <w:r w:rsidRPr="003521F3">
              <w:rPr>
                <w:b/>
                <w:bCs/>
                <w:sz w:val="18"/>
                <w:szCs w:val="18"/>
              </w:rPr>
              <w:t>3</w:t>
            </w:r>
          </w:p>
        </w:tc>
        <w:tc>
          <w:tcPr>
            <w:tcW w:w="0" w:type="auto"/>
            <w:shd w:val="clear" w:color="auto" w:fill="auto"/>
            <w:noWrap/>
            <w:hideMark/>
          </w:tcPr>
          <w:p w:rsidR="0055491A" w:rsidRPr="003521F3" w:rsidRDefault="0055491A" w:rsidP="00210BF6">
            <w:pPr>
              <w:jc w:val="center"/>
              <w:rPr>
                <w:b/>
                <w:bCs/>
                <w:sz w:val="18"/>
                <w:szCs w:val="18"/>
              </w:rPr>
            </w:pPr>
            <w:r w:rsidRPr="003521F3">
              <w:rPr>
                <w:b/>
                <w:bCs/>
                <w:sz w:val="18"/>
                <w:szCs w:val="18"/>
              </w:rPr>
              <w:t>4</w:t>
            </w:r>
          </w:p>
        </w:tc>
        <w:tc>
          <w:tcPr>
            <w:tcW w:w="0" w:type="auto"/>
            <w:shd w:val="clear" w:color="auto" w:fill="auto"/>
            <w:noWrap/>
            <w:hideMark/>
          </w:tcPr>
          <w:p w:rsidR="0055491A" w:rsidRPr="003521F3" w:rsidRDefault="0055491A" w:rsidP="00210BF6">
            <w:pPr>
              <w:jc w:val="center"/>
              <w:rPr>
                <w:b/>
                <w:bCs/>
                <w:sz w:val="18"/>
                <w:szCs w:val="18"/>
              </w:rPr>
            </w:pPr>
            <w:r w:rsidRPr="003521F3">
              <w:rPr>
                <w:b/>
                <w:bCs/>
                <w:sz w:val="18"/>
                <w:szCs w:val="18"/>
              </w:rPr>
              <w:t>5</w:t>
            </w:r>
          </w:p>
        </w:tc>
        <w:tc>
          <w:tcPr>
            <w:tcW w:w="0" w:type="auto"/>
            <w:shd w:val="clear" w:color="auto" w:fill="auto"/>
            <w:noWrap/>
            <w:hideMark/>
          </w:tcPr>
          <w:p w:rsidR="0055491A" w:rsidRPr="003521F3" w:rsidRDefault="0055491A" w:rsidP="00210BF6">
            <w:pPr>
              <w:jc w:val="center"/>
              <w:rPr>
                <w:b/>
                <w:bCs/>
                <w:sz w:val="18"/>
                <w:szCs w:val="18"/>
              </w:rPr>
            </w:pPr>
            <w:r w:rsidRPr="003521F3">
              <w:rPr>
                <w:b/>
                <w:bCs/>
                <w:sz w:val="18"/>
                <w:szCs w:val="18"/>
              </w:rPr>
              <w:t>6</w:t>
            </w:r>
          </w:p>
        </w:tc>
        <w:tc>
          <w:tcPr>
            <w:tcW w:w="0" w:type="auto"/>
            <w:shd w:val="clear" w:color="auto" w:fill="auto"/>
            <w:noWrap/>
            <w:hideMark/>
          </w:tcPr>
          <w:p w:rsidR="0055491A" w:rsidRPr="003521F3" w:rsidRDefault="0055491A" w:rsidP="00210BF6">
            <w:pPr>
              <w:jc w:val="center"/>
              <w:rPr>
                <w:b/>
                <w:bCs/>
                <w:sz w:val="18"/>
                <w:szCs w:val="18"/>
              </w:rPr>
            </w:pPr>
            <w:r w:rsidRPr="003521F3">
              <w:rPr>
                <w:b/>
                <w:bCs/>
                <w:sz w:val="18"/>
                <w:szCs w:val="18"/>
              </w:rPr>
              <w:t>7</w:t>
            </w:r>
          </w:p>
        </w:tc>
        <w:tc>
          <w:tcPr>
            <w:tcW w:w="0" w:type="auto"/>
            <w:shd w:val="clear" w:color="auto" w:fill="auto"/>
            <w:noWrap/>
            <w:hideMark/>
          </w:tcPr>
          <w:p w:rsidR="0055491A" w:rsidRPr="003521F3" w:rsidRDefault="0055491A" w:rsidP="00210BF6">
            <w:pPr>
              <w:jc w:val="center"/>
              <w:rPr>
                <w:b/>
                <w:bCs/>
                <w:sz w:val="18"/>
                <w:szCs w:val="18"/>
              </w:rPr>
            </w:pPr>
            <w:r w:rsidRPr="003521F3">
              <w:rPr>
                <w:b/>
                <w:bCs/>
                <w:sz w:val="18"/>
                <w:szCs w:val="18"/>
              </w:rPr>
              <w:t>8</w:t>
            </w:r>
          </w:p>
        </w:tc>
        <w:tc>
          <w:tcPr>
            <w:tcW w:w="0" w:type="auto"/>
            <w:shd w:val="clear" w:color="auto" w:fill="auto"/>
            <w:noWrap/>
            <w:hideMark/>
          </w:tcPr>
          <w:p w:rsidR="0055491A" w:rsidRPr="003521F3" w:rsidRDefault="0055491A" w:rsidP="00210BF6">
            <w:pPr>
              <w:jc w:val="center"/>
              <w:rPr>
                <w:b/>
                <w:bCs/>
                <w:sz w:val="18"/>
                <w:szCs w:val="18"/>
              </w:rPr>
            </w:pPr>
            <w:r w:rsidRPr="003521F3">
              <w:rPr>
                <w:b/>
                <w:bCs/>
                <w:sz w:val="18"/>
                <w:szCs w:val="18"/>
              </w:rPr>
              <w:t>9</w:t>
            </w:r>
          </w:p>
        </w:tc>
        <w:tc>
          <w:tcPr>
            <w:tcW w:w="0" w:type="auto"/>
            <w:shd w:val="clear" w:color="auto" w:fill="auto"/>
            <w:noWrap/>
            <w:hideMark/>
          </w:tcPr>
          <w:p w:rsidR="0055491A" w:rsidRPr="003521F3" w:rsidRDefault="0055491A" w:rsidP="00210BF6">
            <w:pPr>
              <w:jc w:val="center"/>
              <w:rPr>
                <w:b/>
                <w:bCs/>
                <w:sz w:val="18"/>
                <w:szCs w:val="18"/>
              </w:rPr>
            </w:pPr>
            <w:r w:rsidRPr="003521F3">
              <w:rPr>
                <w:b/>
                <w:bCs/>
                <w:sz w:val="18"/>
                <w:szCs w:val="18"/>
              </w:rPr>
              <w:t>10</w:t>
            </w:r>
          </w:p>
        </w:tc>
        <w:tc>
          <w:tcPr>
            <w:tcW w:w="0" w:type="auto"/>
            <w:shd w:val="clear" w:color="auto" w:fill="auto"/>
            <w:noWrap/>
            <w:hideMark/>
          </w:tcPr>
          <w:p w:rsidR="0055491A" w:rsidRPr="003521F3" w:rsidRDefault="0055491A" w:rsidP="00210BF6">
            <w:pPr>
              <w:jc w:val="center"/>
              <w:rPr>
                <w:b/>
                <w:bCs/>
                <w:sz w:val="18"/>
                <w:szCs w:val="18"/>
              </w:rPr>
            </w:pPr>
            <w:r w:rsidRPr="003521F3">
              <w:rPr>
                <w:b/>
                <w:bCs/>
                <w:sz w:val="18"/>
                <w:szCs w:val="18"/>
              </w:rPr>
              <w:t>11</w:t>
            </w:r>
          </w:p>
        </w:tc>
        <w:tc>
          <w:tcPr>
            <w:tcW w:w="0" w:type="auto"/>
            <w:shd w:val="clear" w:color="auto" w:fill="auto"/>
            <w:noWrap/>
            <w:hideMark/>
          </w:tcPr>
          <w:p w:rsidR="0055491A" w:rsidRPr="003521F3" w:rsidRDefault="0055491A" w:rsidP="00210BF6">
            <w:pPr>
              <w:jc w:val="center"/>
              <w:rPr>
                <w:b/>
                <w:bCs/>
                <w:sz w:val="18"/>
                <w:szCs w:val="18"/>
              </w:rPr>
            </w:pPr>
            <w:r w:rsidRPr="003521F3">
              <w:rPr>
                <w:b/>
                <w:bCs/>
                <w:sz w:val="18"/>
                <w:szCs w:val="18"/>
              </w:rPr>
              <w:t>12</w:t>
            </w:r>
          </w:p>
        </w:tc>
        <w:tc>
          <w:tcPr>
            <w:tcW w:w="0" w:type="auto"/>
            <w:shd w:val="clear" w:color="auto" w:fill="auto"/>
            <w:noWrap/>
            <w:hideMark/>
          </w:tcPr>
          <w:p w:rsidR="0055491A" w:rsidRPr="003521F3" w:rsidRDefault="0055491A" w:rsidP="00210BF6">
            <w:pPr>
              <w:jc w:val="center"/>
              <w:rPr>
                <w:b/>
                <w:bCs/>
                <w:sz w:val="18"/>
                <w:szCs w:val="18"/>
              </w:rPr>
            </w:pPr>
            <w:r w:rsidRPr="003521F3">
              <w:rPr>
                <w:b/>
                <w:bCs/>
                <w:sz w:val="18"/>
                <w:szCs w:val="18"/>
              </w:rPr>
              <w:t>13</w:t>
            </w:r>
          </w:p>
        </w:tc>
      </w:tr>
      <w:tr w:rsidR="0055491A" w:rsidRPr="00A20DFB" w:rsidTr="00210BF6">
        <w:trPr>
          <w:trHeight w:val="407"/>
        </w:trPr>
        <w:tc>
          <w:tcPr>
            <w:tcW w:w="0" w:type="auto"/>
            <w:shd w:val="clear" w:color="auto" w:fill="auto"/>
            <w:vAlign w:val="center"/>
          </w:tcPr>
          <w:p w:rsidR="0055491A" w:rsidRDefault="0055491A" w:rsidP="00210BF6">
            <w:pPr>
              <w:jc w:val="center"/>
              <w:rPr>
                <w:rFonts w:ascii="Arial CYR" w:hAnsi="Arial CYR" w:cs="Arial CYR"/>
                <w:sz w:val="20"/>
                <w:szCs w:val="20"/>
              </w:rPr>
            </w:pPr>
            <w:r w:rsidRPr="00EC24B4">
              <w:rPr>
                <w:sz w:val="16"/>
                <w:szCs w:val="16"/>
              </w:rPr>
              <w:t>Ст. 15.15.6</w:t>
            </w:r>
          </w:p>
        </w:tc>
        <w:tc>
          <w:tcPr>
            <w:tcW w:w="0" w:type="auto"/>
            <w:shd w:val="clear" w:color="auto" w:fill="auto"/>
            <w:noWrap/>
            <w:vAlign w:val="center"/>
          </w:tcPr>
          <w:p w:rsidR="0055491A" w:rsidRPr="00EC24B4" w:rsidRDefault="0055491A" w:rsidP="00210BF6">
            <w:pPr>
              <w:jc w:val="center"/>
              <w:rPr>
                <w:sz w:val="20"/>
                <w:szCs w:val="20"/>
              </w:rPr>
            </w:pPr>
            <w:r w:rsidRPr="00EC24B4">
              <w:rPr>
                <w:sz w:val="20"/>
                <w:szCs w:val="20"/>
              </w:rPr>
              <w:t>10</w:t>
            </w:r>
          </w:p>
        </w:tc>
        <w:tc>
          <w:tcPr>
            <w:tcW w:w="0" w:type="auto"/>
            <w:shd w:val="clear" w:color="auto" w:fill="auto"/>
            <w:noWrap/>
            <w:vAlign w:val="center"/>
          </w:tcPr>
          <w:p w:rsidR="0055491A" w:rsidRPr="00EC24B4" w:rsidRDefault="0055491A" w:rsidP="00210BF6">
            <w:pPr>
              <w:jc w:val="center"/>
              <w:rPr>
                <w:sz w:val="20"/>
                <w:szCs w:val="20"/>
              </w:rPr>
            </w:pPr>
            <w:r w:rsidRPr="00EC24B4">
              <w:rPr>
                <w:sz w:val="20"/>
                <w:szCs w:val="20"/>
              </w:rPr>
              <w:t>7</w:t>
            </w:r>
          </w:p>
        </w:tc>
        <w:tc>
          <w:tcPr>
            <w:tcW w:w="0" w:type="auto"/>
            <w:shd w:val="clear" w:color="auto" w:fill="auto"/>
            <w:noWrap/>
            <w:vAlign w:val="center"/>
          </w:tcPr>
          <w:p w:rsidR="0055491A" w:rsidRPr="00EC24B4" w:rsidRDefault="0055491A" w:rsidP="00210BF6">
            <w:pPr>
              <w:jc w:val="center"/>
              <w:rPr>
                <w:sz w:val="20"/>
                <w:szCs w:val="20"/>
              </w:rPr>
            </w:pPr>
            <w:r>
              <w:rPr>
                <w:sz w:val="20"/>
                <w:szCs w:val="20"/>
              </w:rPr>
              <w:t>7</w:t>
            </w:r>
          </w:p>
        </w:tc>
        <w:tc>
          <w:tcPr>
            <w:tcW w:w="0" w:type="auto"/>
            <w:shd w:val="clear" w:color="auto" w:fill="auto"/>
            <w:noWrap/>
            <w:vAlign w:val="center"/>
          </w:tcPr>
          <w:p w:rsidR="0055491A" w:rsidRPr="00EC24B4" w:rsidRDefault="0055491A" w:rsidP="00210BF6">
            <w:pPr>
              <w:jc w:val="center"/>
              <w:rPr>
                <w:sz w:val="20"/>
                <w:szCs w:val="20"/>
              </w:rPr>
            </w:pPr>
            <w:r>
              <w:rPr>
                <w:sz w:val="20"/>
                <w:szCs w:val="20"/>
              </w:rPr>
              <w:t>2</w:t>
            </w:r>
          </w:p>
        </w:tc>
        <w:tc>
          <w:tcPr>
            <w:tcW w:w="0" w:type="auto"/>
            <w:shd w:val="clear" w:color="auto" w:fill="auto"/>
            <w:noWrap/>
            <w:vAlign w:val="center"/>
          </w:tcPr>
          <w:p w:rsidR="0055491A" w:rsidRPr="00EC24B4" w:rsidRDefault="0055491A" w:rsidP="00210BF6">
            <w:pPr>
              <w:jc w:val="center"/>
              <w:rPr>
                <w:sz w:val="20"/>
                <w:szCs w:val="20"/>
              </w:rPr>
            </w:pPr>
            <w:r>
              <w:rPr>
                <w:sz w:val="20"/>
                <w:szCs w:val="20"/>
              </w:rPr>
              <w:t>5</w:t>
            </w:r>
          </w:p>
        </w:tc>
        <w:tc>
          <w:tcPr>
            <w:tcW w:w="0" w:type="auto"/>
            <w:shd w:val="clear" w:color="auto" w:fill="auto"/>
            <w:noWrap/>
            <w:vAlign w:val="center"/>
          </w:tcPr>
          <w:p w:rsidR="0055491A" w:rsidRPr="00EC24B4" w:rsidRDefault="0055491A" w:rsidP="00210BF6">
            <w:pPr>
              <w:jc w:val="center"/>
              <w:rPr>
                <w:sz w:val="20"/>
                <w:szCs w:val="20"/>
              </w:rPr>
            </w:pPr>
            <w:r>
              <w:rPr>
                <w:sz w:val="20"/>
                <w:szCs w:val="20"/>
              </w:rPr>
              <w:t>50,0</w:t>
            </w:r>
          </w:p>
        </w:tc>
        <w:tc>
          <w:tcPr>
            <w:tcW w:w="0" w:type="auto"/>
            <w:shd w:val="clear" w:color="auto" w:fill="auto"/>
            <w:noWrap/>
            <w:vAlign w:val="center"/>
          </w:tcPr>
          <w:p w:rsidR="0055491A" w:rsidRPr="00EC24B4" w:rsidRDefault="0055491A" w:rsidP="00210BF6">
            <w:pPr>
              <w:jc w:val="center"/>
              <w:rPr>
                <w:sz w:val="20"/>
                <w:szCs w:val="20"/>
              </w:rPr>
            </w:pPr>
            <w:r>
              <w:rPr>
                <w:sz w:val="20"/>
                <w:szCs w:val="20"/>
              </w:rPr>
              <w:t>5</w:t>
            </w:r>
          </w:p>
        </w:tc>
        <w:tc>
          <w:tcPr>
            <w:tcW w:w="0" w:type="auto"/>
            <w:shd w:val="clear" w:color="auto" w:fill="auto"/>
            <w:noWrap/>
            <w:vAlign w:val="center"/>
          </w:tcPr>
          <w:p w:rsidR="0055491A" w:rsidRPr="00EC24B4" w:rsidRDefault="0055491A" w:rsidP="00210BF6">
            <w:pPr>
              <w:jc w:val="center"/>
              <w:rPr>
                <w:sz w:val="20"/>
                <w:szCs w:val="20"/>
              </w:rPr>
            </w:pPr>
            <w:r>
              <w:rPr>
                <w:sz w:val="20"/>
                <w:szCs w:val="20"/>
              </w:rPr>
              <w:t>50,0</w:t>
            </w:r>
          </w:p>
        </w:tc>
        <w:tc>
          <w:tcPr>
            <w:tcW w:w="0" w:type="auto"/>
            <w:shd w:val="clear" w:color="auto" w:fill="auto"/>
            <w:noWrap/>
            <w:vAlign w:val="center"/>
          </w:tcPr>
          <w:p w:rsidR="0055491A" w:rsidRPr="00EC24B4" w:rsidRDefault="0055491A" w:rsidP="00210BF6">
            <w:pPr>
              <w:jc w:val="center"/>
              <w:rPr>
                <w:sz w:val="20"/>
                <w:szCs w:val="20"/>
              </w:rPr>
            </w:pPr>
            <w:r>
              <w:rPr>
                <w:sz w:val="20"/>
                <w:szCs w:val="20"/>
              </w:rPr>
              <w:t>4</w:t>
            </w:r>
          </w:p>
        </w:tc>
        <w:tc>
          <w:tcPr>
            <w:tcW w:w="0" w:type="auto"/>
            <w:shd w:val="clear" w:color="auto" w:fill="auto"/>
            <w:noWrap/>
            <w:vAlign w:val="center"/>
          </w:tcPr>
          <w:p w:rsidR="0055491A" w:rsidRPr="00EC24B4" w:rsidRDefault="0055491A" w:rsidP="00210BF6">
            <w:pPr>
              <w:jc w:val="center"/>
              <w:rPr>
                <w:sz w:val="20"/>
                <w:szCs w:val="20"/>
              </w:rPr>
            </w:pPr>
            <w:r>
              <w:rPr>
                <w:sz w:val="20"/>
                <w:szCs w:val="20"/>
              </w:rPr>
              <w:t>40,0</w:t>
            </w:r>
          </w:p>
        </w:tc>
        <w:tc>
          <w:tcPr>
            <w:tcW w:w="0" w:type="auto"/>
            <w:shd w:val="clear" w:color="auto" w:fill="auto"/>
            <w:noWrap/>
            <w:vAlign w:val="center"/>
          </w:tcPr>
          <w:p w:rsidR="0055491A" w:rsidRPr="00EC24B4" w:rsidRDefault="0055491A" w:rsidP="00210BF6">
            <w:pPr>
              <w:jc w:val="center"/>
              <w:rPr>
                <w:sz w:val="20"/>
                <w:szCs w:val="20"/>
              </w:rPr>
            </w:pPr>
            <w:r>
              <w:rPr>
                <w:sz w:val="20"/>
                <w:szCs w:val="20"/>
              </w:rPr>
              <w:t>5</w:t>
            </w:r>
          </w:p>
        </w:tc>
        <w:tc>
          <w:tcPr>
            <w:tcW w:w="0" w:type="auto"/>
            <w:shd w:val="clear" w:color="auto" w:fill="auto"/>
            <w:noWrap/>
            <w:vAlign w:val="center"/>
          </w:tcPr>
          <w:p w:rsidR="0055491A" w:rsidRPr="00EC24B4" w:rsidRDefault="0055491A" w:rsidP="00210BF6">
            <w:pPr>
              <w:jc w:val="center"/>
              <w:rPr>
                <w:sz w:val="20"/>
                <w:szCs w:val="20"/>
              </w:rPr>
            </w:pPr>
            <w:r>
              <w:rPr>
                <w:sz w:val="20"/>
                <w:szCs w:val="20"/>
              </w:rPr>
              <w:t>50,0</w:t>
            </w:r>
          </w:p>
        </w:tc>
      </w:tr>
      <w:tr w:rsidR="0055491A" w:rsidRPr="00A20DFB" w:rsidTr="00210BF6">
        <w:trPr>
          <w:trHeight w:val="409"/>
        </w:trPr>
        <w:tc>
          <w:tcPr>
            <w:tcW w:w="0" w:type="auto"/>
            <w:shd w:val="clear" w:color="auto" w:fill="auto"/>
            <w:vAlign w:val="center"/>
          </w:tcPr>
          <w:p w:rsidR="0055491A" w:rsidRDefault="0055491A" w:rsidP="00210BF6">
            <w:pPr>
              <w:jc w:val="center"/>
              <w:rPr>
                <w:rFonts w:ascii="Arial CYR" w:hAnsi="Arial CYR" w:cs="Arial CYR"/>
                <w:sz w:val="20"/>
                <w:szCs w:val="20"/>
              </w:rPr>
            </w:pPr>
            <w:r w:rsidRPr="00EC24B4">
              <w:rPr>
                <w:sz w:val="16"/>
                <w:szCs w:val="16"/>
              </w:rPr>
              <w:t>Ч. 3 ст. 15.15.3</w:t>
            </w:r>
          </w:p>
        </w:tc>
        <w:tc>
          <w:tcPr>
            <w:tcW w:w="0" w:type="auto"/>
            <w:shd w:val="clear" w:color="auto" w:fill="auto"/>
            <w:noWrap/>
            <w:vAlign w:val="center"/>
          </w:tcPr>
          <w:p w:rsidR="0055491A" w:rsidRPr="00EC24B4" w:rsidRDefault="0055491A" w:rsidP="00210BF6">
            <w:pPr>
              <w:jc w:val="center"/>
              <w:rPr>
                <w:sz w:val="20"/>
                <w:szCs w:val="20"/>
              </w:rPr>
            </w:pPr>
            <w:r w:rsidRPr="00EC24B4">
              <w:rPr>
                <w:sz w:val="20"/>
                <w:szCs w:val="20"/>
              </w:rPr>
              <w:t>10</w:t>
            </w:r>
          </w:p>
        </w:tc>
        <w:tc>
          <w:tcPr>
            <w:tcW w:w="0" w:type="auto"/>
            <w:shd w:val="clear" w:color="auto" w:fill="auto"/>
            <w:noWrap/>
            <w:vAlign w:val="center"/>
          </w:tcPr>
          <w:p w:rsidR="0055491A" w:rsidRPr="00EC24B4" w:rsidRDefault="0055491A" w:rsidP="00210BF6">
            <w:pPr>
              <w:jc w:val="center"/>
              <w:rPr>
                <w:sz w:val="20"/>
                <w:szCs w:val="20"/>
              </w:rPr>
            </w:pPr>
            <w:r w:rsidRPr="00EC24B4">
              <w:rPr>
                <w:sz w:val="20"/>
                <w:szCs w:val="20"/>
              </w:rPr>
              <w:t>1</w:t>
            </w:r>
          </w:p>
        </w:tc>
        <w:tc>
          <w:tcPr>
            <w:tcW w:w="0" w:type="auto"/>
            <w:shd w:val="clear" w:color="auto" w:fill="auto"/>
            <w:noWrap/>
            <w:vAlign w:val="center"/>
          </w:tcPr>
          <w:p w:rsidR="0055491A" w:rsidRPr="00EC24B4" w:rsidRDefault="0055491A" w:rsidP="00210BF6">
            <w:pPr>
              <w:jc w:val="center"/>
              <w:rPr>
                <w:sz w:val="20"/>
                <w:szCs w:val="20"/>
              </w:rPr>
            </w:pPr>
            <w:r>
              <w:rPr>
                <w:sz w:val="20"/>
                <w:szCs w:val="20"/>
              </w:rPr>
              <w:t>5</w:t>
            </w:r>
          </w:p>
        </w:tc>
        <w:tc>
          <w:tcPr>
            <w:tcW w:w="0" w:type="auto"/>
            <w:shd w:val="clear" w:color="auto" w:fill="auto"/>
            <w:noWrap/>
            <w:vAlign w:val="center"/>
          </w:tcPr>
          <w:p w:rsidR="0055491A" w:rsidRPr="00EC24B4" w:rsidRDefault="0055491A" w:rsidP="00210BF6">
            <w:pPr>
              <w:jc w:val="center"/>
              <w:rPr>
                <w:sz w:val="20"/>
                <w:szCs w:val="20"/>
              </w:rPr>
            </w:pPr>
            <w:r>
              <w:rPr>
                <w:sz w:val="20"/>
                <w:szCs w:val="20"/>
              </w:rPr>
              <w:t>0</w:t>
            </w:r>
          </w:p>
        </w:tc>
        <w:tc>
          <w:tcPr>
            <w:tcW w:w="0" w:type="auto"/>
            <w:shd w:val="clear" w:color="auto" w:fill="auto"/>
            <w:noWrap/>
            <w:vAlign w:val="center"/>
          </w:tcPr>
          <w:p w:rsidR="0055491A" w:rsidRPr="00EC24B4" w:rsidRDefault="0055491A" w:rsidP="00210BF6">
            <w:pPr>
              <w:jc w:val="center"/>
              <w:rPr>
                <w:sz w:val="20"/>
                <w:szCs w:val="20"/>
              </w:rPr>
            </w:pPr>
            <w:r>
              <w:rPr>
                <w:sz w:val="20"/>
                <w:szCs w:val="20"/>
              </w:rPr>
              <w:t>2</w:t>
            </w:r>
          </w:p>
        </w:tc>
        <w:tc>
          <w:tcPr>
            <w:tcW w:w="0" w:type="auto"/>
            <w:shd w:val="clear" w:color="auto" w:fill="auto"/>
            <w:noWrap/>
            <w:vAlign w:val="center"/>
          </w:tcPr>
          <w:p w:rsidR="0055491A" w:rsidRPr="00EC24B4" w:rsidRDefault="0055491A" w:rsidP="00210BF6">
            <w:pPr>
              <w:jc w:val="center"/>
              <w:rPr>
                <w:sz w:val="20"/>
                <w:szCs w:val="20"/>
              </w:rPr>
            </w:pPr>
            <w:r>
              <w:rPr>
                <w:sz w:val="20"/>
                <w:szCs w:val="20"/>
              </w:rPr>
              <w:t>20,0</w:t>
            </w:r>
          </w:p>
        </w:tc>
        <w:tc>
          <w:tcPr>
            <w:tcW w:w="0" w:type="auto"/>
            <w:shd w:val="clear" w:color="auto" w:fill="auto"/>
            <w:noWrap/>
            <w:vAlign w:val="center"/>
          </w:tcPr>
          <w:p w:rsidR="0055491A" w:rsidRPr="00EC24B4" w:rsidRDefault="0055491A" w:rsidP="00210BF6">
            <w:pPr>
              <w:jc w:val="center"/>
              <w:rPr>
                <w:sz w:val="20"/>
                <w:szCs w:val="20"/>
              </w:rPr>
            </w:pPr>
            <w:r>
              <w:rPr>
                <w:sz w:val="20"/>
                <w:szCs w:val="20"/>
              </w:rPr>
              <w:t>2</w:t>
            </w:r>
          </w:p>
        </w:tc>
        <w:tc>
          <w:tcPr>
            <w:tcW w:w="0" w:type="auto"/>
            <w:shd w:val="clear" w:color="auto" w:fill="auto"/>
            <w:noWrap/>
            <w:vAlign w:val="center"/>
          </w:tcPr>
          <w:p w:rsidR="0055491A" w:rsidRPr="00EC24B4" w:rsidRDefault="0055491A" w:rsidP="00210BF6">
            <w:pPr>
              <w:jc w:val="center"/>
              <w:rPr>
                <w:sz w:val="20"/>
                <w:szCs w:val="20"/>
              </w:rPr>
            </w:pPr>
            <w:r>
              <w:rPr>
                <w:sz w:val="20"/>
                <w:szCs w:val="20"/>
              </w:rPr>
              <w:t>20,0</w:t>
            </w:r>
          </w:p>
        </w:tc>
        <w:tc>
          <w:tcPr>
            <w:tcW w:w="0" w:type="auto"/>
            <w:shd w:val="clear" w:color="auto" w:fill="auto"/>
            <w:noWrap/>
            <w:vAlign w:val="center"/>
          </w:tcPr>
          <w:p w:rsidR="0055491A" w:rsidRPr="00EC24B4" w:rsidRDefault="0055491A" w:rsidP="00210BF6">
            <w:pPr>
              <w:jc w:val="center"/>
              <w:rPr>
                <w:sz w:val="20"/>
                <w:szCs w:val="20"/>
              </w:rPr>
            </w:pPr>
            <w:r>
              <w:rPr>
                <w:sz w:val="20"/>
                <w:szCs w:val="20"/>
              </w:rPr>
              <w:t>1</w:t>
            </w:r>
          </w:p>
        </w:tc>
        <w:tc>
          <w:tcPr>
            <w:tcW w:w="0" w:type="auto"/>
            <w:shd w:val="clear" w:color="auto" w:fill="auto"/>
            <w:noWrap/>
            <w:vAlign w:val="center"/>
          </w:tcPr>
          <w:p w:rsidR="0055491A" w:rsidRPr="00EC24B4" w:rsidRDefault="0055491A" w:rsidP="00210BF6">
            <w:pPr>
              <w:jc w:val="center"/>
              <w:rPr>
                <w:sz w:val="20"/>
                <w:szCs w:val="20"/>
              </w:rPr>
            </w:pPr>
            <w:r>
              <w:rPr>
                <w:sz w:val="20"/>
                <w:szCs w:val="20"/>
              </w:rPr>
              <w:t>10,0</w:t>
            </w:r>
          </w:p>
        </w:tc>
        <w:tc>
          <w:tcPr>
            <w:tcW w:w="0" w:type="auto"/>
            <w:shd w:val="clear" w:color="auto" w:fill="auto"/>
            <w:noWrap/>
            <w:vAlign w:val="center"/>
          </w:tcPr>
          <w:p w:rsidR="0055491A" w:rsidRPr="00EC24B4" w:rsidRDefault="0055491A" w:rsidP="00210BF6">
            <w:pPr>
              <w:jc w:val="center"/>
              <w:rPr>
                <w:sz w:val="20"/>
                <w:szCs w:val="20"/>
              </w:rPr>
            </w:pPr>
            <w:r>
              <w:rPr>
                <w:sz w:val="20"/>
                <w:szCs w:val="20"/>
              </w:rPr>
              <w:t>2</w:t>
            </w:r>
          </w:p>
        </w:tc>
        <w:tc>
          <w:tcPr>
            <w:tcW w:w="0" w:type="auto"/>
            <w:shd w:val="clear" w:color="auto" w:fill="auto"/>
            <w:noWrap/>
            <w:vAlign w:val="center"/>
          </w:tcPr>
          <w:p w:rsidR="0055491A" w:rsidRPr="00EC24B4" w:rsidRDefault="0055491A" w:rsidP="00210BF6">
            <w:pPr>
              <w:jc w:val="center"/>
              <w:rPr>
                <w:sz w:val="20"/>
                <w:szCs w:val="20"/>
              </w:rPr>
            </w:pPr>
            <w:r>
              <w:rPr>
                <w:sz w:val="20"/>
                <w:szCs w:val="20"/>
              </w:rPr>
              <w:t>20,0</w:t>
            </w:r>
          </w:p>
        </w:tc>
      </w:tr>
      <w:tr w:rsidR="0055491A" w:rsidRPr="00A20DFB" w:rsidTr="00210BF6">
        <w:trPr>
          <w:trHeight w:val="416"/>
        </w:trPr>
        <w:tc>
          <w:tcPr>
            <w:tcW w:w="0" w:type="auto"/>
            <w:shd w:val="clear" w:color="auto" w:fill="auto"/>
            <w:vAlign w:val="center"/>
          </w:tcPr>
          <w:p w:rsidR="0055491A" w:rsidRPr="00EC24B4" w:rsidRDefault="0055491A" w:rsidP="00210BF6">
            <w:pPr>
              <w:jc w:val="center"/>
              <w:rPr>
                <w:sz w:val="16"/>
                <w:szCs w:val="16"/>
              </w:rPr>
            </w:pPr>
            <w:r w:rsidRPr="00EC24B4">
              <w:rPr>
                <w:sz w:val="16"/>
                <w:szCs w:val="16"/>
              </w:rPr>
              <w:t>Ст. 15.15.7</w:t>
            </w:r>
          </w:p>
        </w:tc>
        <w:tc>
          <w:tcPr>
            <w:tcW w:w="0" w:type="auto"/>
            <w:shd w:val="clear" w:color="auto" w:fill="auto"/>
            <w:noWrap/>
            <w:vAlign w:val="center"/>
          </w:tcPr>
          <w:p w:rsidR="0055491A" w:rsidRPr="00EC24B4" w:rsidRDefault="0055491A" w:rsidP="00210BF6">
            <w:pPr>
              <w:jc w:val="center"/>
              <w:rPr>
                <w:sz w:val="20"/>
                <w:szCs w:val="20"/>
              </w:rPr>
            </w:pPr>
            <w:r w:rsidRPr="00EC24B4">
              <w:rPr>
                <w:sz w:val="20"/>
                <w:szCs w:val="20"/>
              </w:rPr>
              <w:t>10</w:t>
            </w:r>
          </w:p>
        </w:tc>
        <w:tc>
          <w:tcPr>
            <w:tcW w:w="0" w:type="auto"/>
            <w:shd w:val="clear" w:color="auto" w:fill="auto"/>
            <w:noWrap/>
            <w:vAlign w:val="center"/>
          </w:tcPr>
          <w:p w:rsidR="0055491A" w:rsidRPr="00EC24B4" w:rsidRDefault="0055491A" w:rsidP="00210BF6">
            <w:pPr>
              <w:jc w:val="center"/>
              <w:rPr>
                <w:sz w:val="20"/>
                <w:szCs w:val="20"/>
              </w:rPr>
            </w:pPr>
            <w:r w:rsidRPr="00EC24B4">
              <w:rPr>
                <w:sz w:val="20"/>
                <w:szCs w:val="20"/>
              </w:rPr>
              <w:t>2</w:t>
            </w:r>
          </w:p>
        </w:tc>
        <w:tc>
          <w:tcPr>
            <w:tcW w:w="0" w:type="auto"/>
            <w:shd w:val="clear" w:color="auto" w:fill="auto"/>
            <w:noWrap/>
            <w:vAlign w:val="center"/>
          </w:tcPr>
          <w:p w:rsidR="0055491A" w:rsidRPr="00EC24B4" w:rsidRDefault="0055491A" w:rsidP="00210BF6">
            <w:pPr>
              <w:jc w:val="center"/>
              <w:rPr>
                <w:sz w:val="20"/>
                <w:szCs w:val="20"/>
              </w:rPr>
            </w:pPr>
            <w:r>
              <w:rPr>
                <w:sz w:val="20"/>
                <w:szCs w:val="20"/>
              </w:rPr>
              <w:t>2</w:t>
            </w:r>
          </w:p>
        </w:tc>
        <w:tc>
          <w:tcPr>
            <w:tcW w:w="0" w:type="auto"/>
            <w:shd w:val="clear" w:color="auto" w:fill="auto"/>
            <w:noWrap/>
            <w:vAlign w:val="center"/>
          </w:tcPr>
          <w:p w:rsidR="0055491A" w:rsidRPr="00EC24B4" w:rsidRDefault="0055491A" w:rsidP="00210BF6">
            <w:pPr>
              <w:jc w:val="center"/>
              <w:rPr>
                <w:sz w:val="20"/>
                <w:szCs w:val="20"/>
              </w:rPr>
            </w:pPr>
            <w:r>
              <w:rPr>
                <w:sz w:val="20"/>
                <w:szCs w:val="20"/>
              </w:rPr>
              <w:t>2</w:t>
            </w:r>
          </w:p>
        </w:tc>
        <w:tc>
          <w:tcPr>
            <w:tcW w:w="0" w:type="auto"/>
            <w:shd w:val="clear" w:color="auto" w:fill="auto"/>
            <w:noWrap/>
            <w:vAlign w:val="center"/>
          </w:tcPr>
          <w:p w:rsidR="0055491A" w:rsidRPr="00EC24B4" w:rsidRDefault="0055491A" w:rsidP="00210BF6">
            <w:pPr>
              <w:jc w:val="center"/>
              <w:rPr>
                <w:sz w:val="20"/>
                <w:szCs w:val="20"/>
              </w:rPr>
            </w:pPr>
            <w:r>
              <w:rPr>
                <w:sz w:val="20"/>
                <w:szCs w:val="20"/>
              </w:rPr>
              <w:t>2</w:t>
            </w:r>
          </w:p>
        </w:tc>
        <w:tc>
          <w:tcPr>
            <w:tcW w:w="0" w:type="auto"/>
            <w:shd w:val="clear" w:color="auto" w:fill="auto"/>
            <w:noWrap/>
            <w:vAlign w:val="center"/>
          </w:tcPr>
          <w:p w:rsidR="0055491A" w:rsidRPr="00EC24B4" w:rsidRDefault="0055491A" w:rsidP="00210BF6">
            <w:pPr>
              <w:jc w:val="center"/>
              <w:rPr>
                <w:sz w:val="20"/>
                <w:szCs w:val="20"/>
              </w:rPr>
            </w:pPr>
            <w:r>
              <w:rPr>
                <w:sz w:val="20"/>
                <w:szCs w:val="20"/>
              </w:rPr>
              <w:t>20,0</w:t>
            </w:r>
          </w:p>
        </w:tc>
        <w:tc>
          <w:tcPr>
            <w:tcW w:w="0" w:type="auto"/>
            <w:shd w:val="clear" w:color="auto" w:fill="auto"/>
            <w:noWrap/>
            <w:vAlign w:val="center"/>
          </w:tcPr>
          <w:p w:rsidR="0055491A" w:rsidRPr="00EC24B4" w:rsidRDefault="0055491A" w:rsidP="00210BF6">
            <w:pPr>
              <w:jc w:val="center"/>
              <w:rPr>
                <w:sz w:val="20"/>
                <w:szCs w:val="20"/>
              </w:rPr>
            </w:pPr>
            <w:r>
              <w:rPr>
                <w:sz w:val="20"/>
                <w:szCs w:val="20"/>
              </w:rPr>
              <w:t>2</w:t>
            </w:r>
          </w:p>
        </w:tc>
        <w:tc>
          <w:tcPr>
            <w:tcW w:w="0" w:type="auto"/>
            <w:shd w:val="clear" w:color="auto" w:fill="auto"/>
            <w:noWrap/>
            <w:vAlign w:val="center"/>
          </w:tcPr>
          <w:p w:rsidR="0055491A" w:rsidRPr="00EC24B4" w:rsidRDefault="0055491A" w:rsidP="00210BF6">
            <w:pPr>
              <w:jc w:val="center"/>
              <w:rPr>
                <w:sz w:val="20"/>
                <w:szCs w:val="20"/>
              </w:rPr>
            </w:pPr>
            <w:r>
              <w:rPr>
                <w:sz w:val="20"/>
                <w:szCs w:val="20"/>
              </w:rPr>
              <w:t>20,0</w:t>
            </w:r>
          </w:p>
        </w:tc>
        <w:tc>
          <w:tcPr>
            <w:tcW w:w="0" w:type="auto"/>
            <w:shd w:val="clear" w:color="auto" w:fill="auto"/>
            <w:noWrap/>
            <w:vAlign w:val="center"/>
          </w:tcPr>
          <w:p w:rsidR="0055491A" w:rsidRPr="00EC24B4" w:rsidRDefault="0055491A" w:rsidP="00210BF6">
            <w:pPr>
              <w:jc w:val="center"/>
              <w:rPr>
                <w:sz w:val="20"/>
                <w:szCs w:val="20"/>
              </w:rPr>
            </w:pPr>
            <w:r>
              <w:rPr>
                <w:sz w:val="20"/>
                <w:szCs w:val="20"/>
              </w:rPr>
              <w:t>2</w:t>
            </w:r>
          </w:p>
        </w:tc>
        <w:tc>
          <w:tcPr>
            <w:tcW w:w="0" w:type="auto"/>
            <w:shd w:val="clear" w:color="auto" w:fill="auto"/>
            <w:noWrap/>
            <w:vAlign w:val="center"/>
          </w:tcPr>
          <w:p w:rsidR="0055491A" w:rsidRPr="00EC24B4" w:rsidRDefault="0055491A" w:rsidP="00210BF6">
            <w:pPr>
              <w:jc w:val="center"/>
              <w:rPr>
                <w:sz w:val="20"/>
                <w:szCs w:val="20"/>
              </w:rPr>
            </w:pPr>
            <w:r>
              <w:rPr>
                <w:sz w:val="20"/>
                <w:szCs w:val="20"/>
              </w:rPr>
              <w:t>20,0</w:t>
            </w:r>
          </w:p>
        </w:tc>
        <w:tc>
          <w:tcPr>
            <w:tcW w:w="0" w:type="auto"/>
            <w:shd w:val="clear" w:color="auto" w:fill="auto"/>
            <w:noWrap/>
            <w:vAlign w:val="center"/>
          </w:tcPr>
          <w:p w:rsidR="0055491A" w:rsidRPr="00EC24B4" w:rsidRDefault="0055491A" w:rsidP="00210BF6">
            <w:pPr>
              <w:jc w:val="center"/>
              <w:rPr>
                <w:sz w:val="20"/>
                <w:szCs w:val="20"/>
              </w:rPr>
            </w:pPr>
            <w:r>
              <w:rPr>
                <w:sz w:val="20"/>
                <w:szCs w:val="20"/>
              </w:rPr>
              <w:t>2</w:t>
            </w:r>
          </w:p>
        </w:tc>
        <w:tc>
          <w:tcPr>
            <w:tcW w:w="0" w:type="auto"/>
            <w:shd w:val="clear" w:color="auto" w:fill="auto"/>
            <w:noWrap/>
            <w:vAlign w:val="center"/>
          </w:tcPr>
          <w:p w:rsidR="0055491A" w:rsidRPr="00EC24B4" w:rsidRDefault="0055491A" w:rsidP="00210BF6">
            <w:pPr>
              <w:jc w:val="center"/>
              <w:rPr>
                <w:sz w:val="20"/>
                <w:szCs w:val="20"/>
              </w:rPr>
            </w:pPr>
            <w:r>
              <w:rPr>
                <w:sz w:val="20"/>
                <w:szCs w:val="20"/>
              </w:rPr>
              <w:t>20,0</w:t>
            </w:r>
          </w:p>
        </w:tc>
      </w:tr>
      <w:tr w:rsidR="0055491A" w:rsidRPr="00A20DFB" w:rsidTr="00210BF6">
        <w:trPr>
          <w:trHeight w:val="421"/>
        </w:trPr>
        <w:tc>
          <w:tcPr>
            <w:tcW w:w="0" w:type="auto"/>
            <w:shd w:val="clear" w:color="auto" w:fill="auto"/>
            <w:vAlign w:val="center"/>
          </w:tcPr>
          <w:p w:rsidR="0055491A" w:rsidRPr="00EC24B4" w:rsidRDefault="0055491A" w:rsidP="00210BF6">
            <w:pPr>
              <w:jc w:val="center"/>
              <w:rPr>
                <w:sz w:val="16"/>
                <w:szCs w:val="16"/>
              </w:rPr>
            </w:pPr>
            <w:r w:rsidRPr="00EC24B4">
              <w:rPr>
                <w:sz w:val="16"/>
                <w:szCs w:val="16"/>
              </w:rPr>
              <w:t>Ст. 15.14</w:t>
            </w:r>
          </w:p>
        </w:tc>
        <w:tc>
          <w:tcPr>
            <w:tcW w:w="0" w:type="auto"/>
            <w:shd w:val="clear" w:color="auto" w:fill="auto"/>
            <w:noWrap/>
            <w:vAlign w:val="center"/>
          </w:tcPr>
          <w:p w:rsidR="0055491A" w:rsidRPr="00EC24B4" w:rsidRDefault="0055491A" w:rsidP="00210BF6">
            <w:pPr>
              <w:jc w:val="center"/>
              <w:rPr>
                <w:sz w:val="20"/>
                <w:szCs w:val="20"/>
              </w:rPr>
            </w:pPr>
            <w:r w:rsidRPr="00EC24B4">
              <w:rPr>
                <w:sz w:val="20"/>
                <w:szCs w:val="20"/>
              </w:rPr>
              <w:t>20</w:t>
            </w:r>
          </w:p>
        </w:tc>
        <w:tc>
          <w:tcPr>
            <w:tcW w:w="0" w:type="auto"/>
            <w:shd w:val="clear" w:color="auto" w:fill="auto"/>
            <w:noWrap/>
            <w:vAlign w:val="center"/>
          </w:tcPr>
          <w:p w:rsidR="0055491A" w:rsidRPr="00EC24B4" w:rsidRDefault="0055491A" w:rsidP="00210BF6">
            <w:pPr>
              <w:jc w:val="center"/>
              <w:rPr>
                <w:sz w:val="20"/>
                <w:szCs w:val="20"/>
              </w:rPr>
            </w:pPr>
            <w:r w:rsidRPr="00EC24B4">
              <w:rPr>
                <w:sz w:val="20"/>
                <w:szCs w:val="20"/>
              </w:rPr>
              <w:t>4</w:t>
            </w:r>
          </w:p>
        </w:tc>
        <w:tc>
          <w:tcPr>
            <w:tcW w:w="0" w:type="auto"/>
            <w:shd w:val="clear" w:color="auto" w:fill="auto"/>
            <w:noWrap/>
            <w:vAlign w:val="center"/>
          </w:tcPr>
          <w:p w:rsidR="0055491A" w:rsidRPr="00EC24B4" w:rsidRDefault="0055491A" w:rsidP="00210BF6">
            <w:pPr>
              <w:jc w:val="center"/>
              <w:rPr>
                <w:sz w:val="20"/>
                <w:szCs w:val="20"/>
              </w:rPr>
            </w:pPr>
            <w:r>
              <w:rPr>
                <w:sz w:val="20"/>
                <w:szCs w:val="20"/>
              </w:rPr>
              <w:t>5</w:t>
            </w:r>
          </w:p>
        </w:tc>
        <w:tc>
          <w:tcPr>
            <w:tcW w:w="0" w:type="auto"/>
            <w:shd w:val="clear" w:color="auto" w:fill="auto"/>
            <w:noWrap/>
            <w:vAlign w:val="center"/>
          </w:tcPr>
          <w:p w:rsidR="0055491A" w:rsidRPr="00EC24B4" w:rsidRDefault="0055491A" w:rsidP="00210BF6">
            <w:pPr>
              <w:jc w:val="center"/>
              <w:rPr>
                <w:sz w:val="20"/>
                <w:szCs w:val="20"/>
              </w:rPr>
            </w:pPr>
            <w:r>
              <w:rPr>
                <w:sz w:val="20"/>
                <w:szCs w:val="20"/>
              </w:rPr>
              <w:t>0</w:t>
            </w:r>
          </w:p>
        </w:tc>
        <w:tc>
          <w:tcPr>
            <w:tcW w:w="0" w:type="auto"/>
            <w:shd w:val="clear" w:color="auto" w:fill="auto"/>
            <w:noWrap/>
            <w:vAlign w:val="center"/>
          </w:tcPr>
          <w:p w:rsidR="0055491A" w:rsidRPr="00EC24B4" w:rsidRDefault="0055491A" w:rsidP="00210BF6">
            <w:pPr>
              <w:jc w:val="center"/>
              <w:rPr>
                <w:sz w:val="20"/>
                <w:szCs w:val="20"/>
              </w:rPr>
            </w:pPr>
            <w:r>
              <w:rPr>
                <w:sz w:val="20"/>
                <w:szCs w:val="20"/>
              </w:rPr>
              <w:t>3</w:t>
            </w:r>
          </w:p>
        </w:tc>
        <w:tc>
          <w:tcPr>
            <w:tcW w:w="0" w:type="auto"/>
            <w:shd w:val="clear" w:color="auto" w:fill="auto"/>
            <w:noWrap/>
            <w:vAlign w:val="center"/>
          </w:tcPr>
          <w:p w:rsidR="0055491A" w:rsidRPr="00EC24B4" w:rsidRDefault="0055491A" w:rsidP="00210BF6">
            <w:pPr>
              <w:jc w:val="center"/>
              <w:rPr>
                <w:sz w:val="20"/>
                <w:szCs w:val="20"/>
              </w:rPr>
            </w:pPr>
            <w:r>
              <w:rPr>
                <w:sz w:val="20"/>
                <w:szCs w:val="20"/>
              </w:rPr>
              <w:t>60,0</w:t>
            </w:r>
          </w:p>
        </w:tc>
        <w:tc>
          <w:tcPr>
            <w:tcW w:w="0" w:type="auto"/>
            <w:shd w:val="clear" w:color="auto" w:fill="auto"/>
            <w:noWrap/>
            <w:vAlign w:val="center"/>
          </w:tcPr>
          <w:p w:rsidR="0055491A" w:rsidRPr="00EC24B4" w:rsidRDefault="0055491A" w:rsidP="00210BF6">
            <w:pPr>
              <w:jc w:val="center"/>
              <w:rPr>
                <w:sz w:val="20"/>
                <w:szCs w:val="20"/>
              </w:rPr>
            </w:pPr>
            <w:r>
              <w:rPr>
                <w:sz w:val="20"/>
                <w:szCs w:val="20"/>
              </w:rPr>
              <w:t>3</w:t>
            </w:r>
          </w:p>
        </w:tc>
        <w:tc>
          <w:tcPr>
            <w:tcW w:w="0" w:type="auto"/>
            <w:shd w:val="clear" w:color="auto" w:fill="auto"/>
            <w:noWrap/>
            <w:vAlign w:val="center"/>
          </w:tcPr>
          <w:p w:rsidR="0055491A" w:rsidRPr="00EC24B4" w:rsidRDefault="0055491A" w:rsidP="00210BF6">
            <w:pPr>
              <w:jc w:val="center"/>
              <w:rPr>
                <w:sz w:val="20"/>
                <w:szCs w:val="20"/>
              </w:rPr>
            </w:pPr>
            <w:r>
              <w:rPr>
                <w:sz w:val="20"/>
                <w:szCs w:val="20"/>
              </w:rPr>
              <w:t>60,0</w:t>
            </w:r>
          </w:p>
        </w:tc>
        <w:tc>
          <w:tcPr>
            <w:tcW w:w="0" w:type="auto"/>
            <w:shd w:val="clear" w:color="auto" w:fill="auto"/>
            <w:noWrap/>
            <w:vAlign w:val="center"/>
          </w:tcPr>
          <w:p w:rsidR="0055491A" w:rsidRPr="00EC24B4" w:rsidRDefault="0055491A" w:rsidP="00210BF6">
            <w:pPr>
              <w:jc w:val="center"/>
              <w:rPr>
                <w:sz w:val="20"/>
                <w:szCs w:val="20"/>
              </w:rPr>
            </w:pPr>
            <w:r>
              <w:rPr>
                <w:sz w:val="20"/>
                <w:szCs w:val="20"/>
              </w:rPr>
              <w:t>2</w:t>
            </w:r>
          </w:p>
        </w:tc>
        <w:tc>
          <w:tcPr>
            <w:tcW w:w="0" w:type="auto"/>
            <w:shd w:val="clear" w:color="auto" w:fill="auto"/>
            <w:noWrap/>
            <w:vAlign w:val="center"/>
          </w:tcPr>
          <w:p w:rsidR="0055491A" w:rsidRPr="00EC24B4" w:rsidRDefault="0055491A" w:rsidP="00210BF6">
            <w:pPr>
              <w:jc w:val="center"/>
              <w:rPr>
                <w:sz w:val="20"/>
                <w:szCs w:val="20"/>
              </w:rPr>
            </w:pPr>
            <w:r>
              <w:rPr>
                <w:sz w:val="20"/>
                <w:szCs w:val="20"/>
              </w:rPr>
              <w:t>40,0</w:t>
            </w:r>
          </w:p>
        </w:tc>
        <w:tc>
          <w:tcPr>
            <w:tcW w:w="0" w:type="auto"/>
            <w:shd w:val="clear" w:color="auto" w:fill="auto"/>
            <w:noWrap/>
            <w:vAlign w:val="center"/>
          </w:tcPr>
          <w:p w:rsidR="0055491A" w:rsidRPr="00EC24B4" w:rsidRDefault="0055491A" w:rsidP="00210BF6">
            <w:pPr>
              <w:jc w:val="center"/>
              <w:rPr>
                <w:sz w:val="20"/>
                <w:szCs w:val="20"/>
              </w:rPr>
            </w:pPr>
            <w:r>
              <w:rPr>
                <w:sz w:val="20"/>
                <w:szCs w:val="20"/>
              </w:rPr>
              <w:t>3</w:t>
            </w:r>
          </w:p>
        </w:tc>
        <w:tc>
          <w:tcPr>
            <w:tcW w:w="0" w:type="auto"/>
            <w:shd w:val="clear" w:color="auto" w:fill="auto"/>
            <w:noWrap/>
            <w:vAlign w:val="center"/>
          </w:tcPr>
          <w:p w:rsidR="0055491A" w:rsidRPr="00EC24B4" w:rsidRDefault="0055491A" w:rsidP="00210BF6">
            <w:pPr>
              <w:jc w:val="center"/>
              <w:rPr>
                <w:sz w:val="20"/>
                <w:szCs w:val="20"/>
              </w:rPr>
            </w:pPr>
            <w:r>
              <w:rPr>
                <w:sz w:val="20"/>
                <w:szCs w:val="20"/>
              </w:rPr>
              <w:t>60,0</w:t>
            </w:r>
          </w:p>
        </w:tc>
      </w:tr>
      <w:tr w:rsidR="0055491A" w:rsidRPr="00A20DFB" w:rsidTr="00210BF6">
        <w:trPr>
          <w:trHeight w:val="240"/>
        </w:trPr>
        <w:tc>
          <w:tcPr>
            <w:tcW w:w="0" w:type="auto"/>
            <w:shd w:val="clear" w:color="auto" w:fill="auto"/>
            <w:vAlign w:val="center"/>
          </w:tcPr>
          <w:p w:rsidR="0055491A" w:rsidRPr="00EC24B4" w:rsidRDefault="0055491A" w:rsidP="00210BF6">
            <w:pPr>
              <w:jc w:val="center"/>
              <w:rPr>
                <w:sz w:val="16"/>
                <w:szCs w:val="16"/>
              </w:rPr>
            </w:pPr>
            <w:r w:rsidRPr="00EC24B4">
              <w:rPr>
                <w:sz w:val="16"/>
                <w:szCs w:val="16"/>
              </w:rPr>
              <w:t>Ч. 2 ст. 15.15.5</w:t>
            </w:r>
          </w:p>
        </w:tc>
        <w:tc>
          <w:tcPr>
            <w:tcW w:w="0" w:type="auto"/>
            <w:shd w:val="clear" w:color="auto" w:fill="auto"/>
            <w:noWrap/>
            <w:vAlign w:val="center"/>
          </w:tcPr>
          <w:p w:rsidR="0055491A" w:rsidRPr="00EC24B4" w:rsidRDefault="0055491A" w:rsidP="00210BF6">
            <w:pPr>
              <w:jc w:val="center"/>
              <w:rPr>
                <w:sz w:val="20"/>
                <w:szCs w:val="20"/>
              </w:rPr>
            </w:pPr>
            <w:r w:rsidRPr="00EC24B4">
              <w:rPr>
                <w:sz w:val="20"/>
                <w:szCs w:val="20"/>
              </w:rPr>
              <w:t>10</w:t>
            </w:r>
          </w:p>
        </w:tc>
        <w:tc>
          <w:tcPr>
            <w:tcW w:w="0" w:type="auto"/>
            <w:shd w:val="clear" w:color="auto" w:fill="auto"/>
            <w:noWrap/>
            <w:vAlign w:val="center"/>
          </w:tcPr>
          <w:p w:rsidR="0055491A" w:rsidRPr="00EC24B4" w:rsidRDefault="0055491A" w:rsidP="00210BF6">
            <w:pPr>
              <w:jc w:val="center"/>
              <w:rPr>
                <w:sz w:val="20"/>
                <w:szCs w:val="20"/>
              </w:rPr>
            </w:pPr>
            <w:r w:rsidRPr="00EC24B4">
              <w:rPr>
                <w:sz w:val="20"/>
                <w:szCs w:val="20"/>
              </w:rPr>
              <w:t>6</w:t>
            </w:r>
          </w:p>
        </w:tc>
        <w:tc>
          <w:tcPr>
            <w:tcW w:w="0" w:type="auto"/>
            <w:shd w:val="clear" w:color="auto" w:fill="auto"/>
            <w:noWrap/>
            <w:vAlign w:val="center"/>
          </w:tcPr>
          <w:p w:rsidR="0055491A" w:rsidRPr="00EC24B4" w:rsidRDefault="0055491A" w:rsidP="00210BF6">
            <w:pPr>
              <w:jc w:val="center"/>
              <w:rPr>
                <w:sz w:val="20"/>
                <w:szCs w:val="20"/>
              </w:rPr>
            </w:pPr>
            <w:r>
              <w:rPr>
                <w:sz w:val="20"/>
                <w:szCs w:val="20"/>
              </w:rPr>
              <w:t>6</w:t>
            </w:r>
          </w:p>
        </w:tc>
        <w:tc>
          <w:tcPr>
            <w:tcW w:w="0" w:type="auto"/>
            <w:shd w:val="clear" w:color="auto" w:fill="auto"/>
            <w:noWrap/>
            <w:vAlign w:val="center"/>
          </w:tcPr>
          <w:p w:rsidR="0055491A" w:rsidRPr="00EC24B4" w:rsidRDefault="0055491A" w:rsidP="00210BF6">
            <w:pPr>
              <w:jc w:val="center"/>
              <w:rPr>
                <w:sz w:val="20"/>
                <w:szCs w:val="20"/>
              </w:rPr>
            </w:pPr>
            <w:r>
              <w:rPr>
                <w:sz w:val="20"/>
                <w:szCs w:val="20"/>
              </w:rPr>
              <w:t>0</w:t>
            </w:r>
          </w:p>
        </w:tc>
        <w:tc>
          <w:tcPr>
            <w:tcW w:w="0" w:type="auto"/>
            <w:shd w:val="clear" w:color="auto" w:fill="auto"/>
            <w:noWrap/>
            <w:vAlign w:val="center"/>
          </w:tcPr>
          <w:p w:rsidR="0055491A" w:rsidRPr="00EC24B4" w:rsidRDefault="0055491A" w:rsidP="00210BF6">
            <w:pPr>
              <w:jc w:val="center"/>
              <w:rPr>
                <w:sz w:val="20"/>
                <w:szCs w:val="20"/>
              </w:rPr>
            </w:pPr>
            <w:r>
              <w:rPr>
                <w:sz w:val="20"/>
                <w:szCs w:val="20"/>
              </w:rPr>
              <w:t>4</w:t>
            </w:r>
          </w:p>
        </w:tc>
        <w:tc>
          <w:tcPr>
            <w:tcW w:w="0" w:type="auto"/>
            <w:shd w:val="clear" w:color="auto" w:fill="auto"/>
            <w:noWrap/>
            <w:vAlign w:val="center"/>
          </w:tcPr>
          <w:p w:rsidR="0055491A" w:rsidRPr="00EC24B4" w:rsidRDefault="0055491A" w:rsidP="00210BF6">
            <w:pPr>
              <w:jc w:val="center"/>
              <w:rPr>
                <w:sz w:val="20"/>
                <w:szCs w:val="20"/>
              </w:rPr>
            </w:pPr>
            <w:r>
              <w:rPr>
                <w:sz w:val="20"/>
                <w:szCs w:val="20"/>
              </w:rPr>
              <w:t>40,0</w:t>
            </w:r>
          </w:p>
        </w:tc>
        <w:tc>
          <w:tcPr>
            <w:tcW w:w="0" w:type="auto"/>
            <w:shd w:val="clear" w:color="auto" w:fill="auto"/>
            <w:noWrap/>
            <w:vAlign w:val="center"/>
          </w:tcPr>
          <w:p w:rsidR="0055491A" w:rsidRPr="00EC24B4" w:rsidRDefault="0055491A" w:rsidP="00210BF6">
            <w:pPr>
              <w:jc w:val="center"/>
              <w:rPr>
                <w:sz w:val="20"/>
                <w:szCs w:val="20"/>
              </w:rPr>
            </w:pPr>
            <w:r>
              <w:rPr>
                <w:sz w:val="20"/>
                <w:szCs w:val="20"/>
              </w:rPr>
              <w:t>3</w:t>
            </w:r>
          </w:p>
        </w:tc>
        <w:tc>
          <w:tcPr>
            <w:tcW w:w="0" w:type="auto"/>
            <w:shd w:val="clear" w:color="auto" w:fill="auto"/>
            <w:noWrap/>
            <w:vAlign w:val="center"/>
          </w:tcPr>
          <w:p w:rsidR="0055491A" w:rsidRPr="00EC24B4" w:rsidRDefault="0055491A" w:rsidP="00210BF6">
            <w:pPr>
              <w:jc w:val="center"/>
              <w:rPr>
                <w:sz w:val="20"/>
                <w:szCs w:val="20"/>
              </w:rPr>
            </w:pPr>
            <w:r>
              <w:rPr>
                <w:sz w:val="20"/>
                <w:szCs w:val="20"/>
              </w:rPr>
              <w:t>30,0</w:t>
            </w:r>
          </w:p>
        </w:tc>
        <w:tc>
          <w:tcPr>
            <w:tcW w:w="0" w:type="auto"/>
            <w:shd w:val="clear" w:color="auto" w:fill="auto"/>
            <w:noWrap/>
            <w:vAlign w:val="center"/>
          </w:tcPr>
          <w:p w:rsidR="0055491A" w:rsidRPr="00EC24B4" w:rsidRDefault="0055491A" w:rsidP="00210BF6">
            <w:pPr>
              <w:jc w:val="center"/>
              <w:rPr>
                <w:sz w:val="20"/>
                <w:szCs w:val="20"/>
              </w:rPr>
            </w:pPr>
            <w:r>
              <w:rPr>
                <w:sz w:val="20"/>
                <w:szCs w:val="20"/>
              </w:rPr>
              <w:t>2</w:t>
            </w:r>
          </w:p>
        </w:tc>
        <w:tc>
          <w:tcPr>
            <w:tcW w:w="0" w:type="auto"/>
            <w:shd w:val="clear" w:color="auto" w:fill="auto"/>
            <w:noWrap/>
            <w:vAlign w:val="center"/>
          </w:tcPr>
          <w:p w:rsidR="0055491A" w:rsidRPr="00EC24B4" w:rsidRDefault="0055491A" w:rsidP="00210BF6">
            <w:pPr>
              <w:jc w:val="center"/>
              <w:rPr>
                <w:sz w:val="20"/>
                <w:szCs w:val="20"/>
              </w:rPr>
            </w:pPr>
            <w:r>
              <w:rPr>
                <w:sz w:val="20"/>
                <w:szCs w:val="20"/>
              </w:rPr>
              <w:t>20,0</w:t>
            </w:r>
          </w:p>
        </w:tc>
        <w:tc>
          <w:tcPr>
            <w:tcW w:w="0" w:type="auto"/>
            <w:shd w:val="clear" w:color="auto" w:fill="auto"/>
            <w:noWrap/>
            <w:vAlign w:val="center"/>
          </w:tcPr>
          <w:p w:rsidR="0055491A" w:rsidRPr="00EC24B4" w:rsidRDefault="0055491A" w:rsidP="00210BF6">
            <w:pPr>
              <w:jc w:val="center"/>
              <w:rPr>
                <w:sz w:val="20"/>
                <w:szCs w:val="20"/>
              </w:rPr>
            </w:pPr>
            <w:r>
              <w:rPr>
                <w:sz w:val="20"/>
                <w:szCs w:val="20"/>
              </w:rPr>
              <w:t>3</w:t>
            </w:r>
          </w:p>
        </w:tc>
        <w:tc>
          <w:tcPr>
            <w:tcW w:w="0" w:type="auto"/>
            <w:shd w:val="clear" w:color="auto" w:fill="auto"/>
            <w:noWrap/>
            <w:vAlign w:val="center"/>
          </w:tcPr>
          <w:p w:rsidR="0055491A" w:rsidRPr="00EC24B4" w:rsidRDefault="0055491A" w:rsidP="00210BF6">
            <w:pPr>
              <w:jc w:val="center"/>
              <w:rPr>
                <w:sz w:val="20"/>
                <w:szCs w:val="20"/>
              </w:rPr>
            </w:pPr>
            <w:r>
              <w:rPr>
                <w:sz w:val="20"/>
                <w:szCs w:val="20"/>
              </w:rPr>
              <w:t>30,0</w:t>
            </w:r>
          </w:p>
        </w:tc>
      </w:tr>
      <w:tr w:rsidR="0055491A" w:rsidRPr="00A20DFB" w:rsidTr="00210BF6">
        <w:trPr>
          <w:trHeight w:val="443"/>
        </w:trPr>
        <w:tc>
          <w:tcPr>
            <w:tcW w:w="0" w:type="auto"/>
            <w:shd w:val="clear" w:color="auto" w:fill="auto"/>
            <w:vAlign w:val="center"/>
          </w:tcPr>
          <w:p w:rsidR="0055491A" w:rsidRPr="00EC24B4" w:rsidRDefault="0055491A" w:rsidP="00210BF6">
            <w:pPr>
              <w:jc w:val="center"/>
              <w:rPr>
                <w:sz w:val="16"/>
                <w:szCs w:val="16"/>
              </w:rPr>
            </w:pPr>
            <w:r w:rsidRPr="00EC24B4">
              <w:rPr>
                <w:sz w:val="16"/>
                <w:szCs w:val="16"/>
              </w:rPr>
              <w:t>Ст. 15.15.10</w:t>
            </w:r>
          </w:p>
        </w:tc>
        <w:tc>
          <w:tcPr>
            <w:tcW w:w="0" w:type="auto"/>
            <w:shd w:val="clear" w:color="auto" w:fill="auto"/>
            <w:noWrap/>
            <w:vAlign w:val="center"/>
          </w:tcPr>
          <w:p w:rsidR="0055491A" w:rsidRPr="00EC24B4" w:rsidRDefault="0055491A" w:rsidP="00210BF6">
            <w:pPr>
              <w:jc w:val="center"/>
              <w:rPr>
                <w:sz w:val="20"/>
                <w:szCs w:val="20"/>
              </w:rPr>
            </w:pPr>
            <w:r w:rsidRPr="00EC24B4">
              <w:rPr>
                <w:sz w:val="20"/>
                <w:szCs w:val="20"/>
              </w:rPr>
              <w:t>20</w:t>
            </w:r>
          </w:p>
        </w:tc>
        <w:tc>
          <w:tcPr>
            <w:tcW w:w="0" w:type="auto"/>
            <w:shd w:val="clear" w:color="auto" w:fill="auto"/>
            <w:noWrap/>
            <w:vAlign w:val="center"/>
          </w:tcPr>
          <w:p w:rsidR="0055491A" w:rsidRPr="00EC24B4" w:rsidRDefault="0055491A" w:rsidP="00210BF6">
            <w:pPr>
              <w:jc w:val="center"/>
              <w:rPr>
                <w:sz w:val="20"/>
                <w:szCs w:val="20"/>
              </w:rPr>
            </w:pPr>
            <w:r w:rsidRPr="00EC24B4">
              <w:rPr>
                <w:sz w:val="20"/>
                <w:szCs w:val="20"/>
              </w:rPr>
              <w:t>2</w:t>
            </w:r>
          </w:p>
        </w:tc>
        <w:tc>
          <w:tcPr>
            <w:tcW w:w="0" w:type="auto"/>
            <w:shd w:val="clear" w:color="auto" w:fill="auto"/>
            <w:noWrap/>
            <w:vAlign w:val="center"/>
          </w:tcPr>
          <w:p w:rsidR="0055491A" w:rsidRPr="00EC24B4" w:rsidRDefault="0055491A" w:rsidP="00210BF6">
            <w:pPr>
              <w:jc w:val="center"/>
              <w:rPr>
                <w:sz w:val="20"/>
                <w:szCs w:val="20"/>
              </w:rPr>
            </w:pPr>
            <w:r>
              <w:rPr>
                <w:sz w:val="20"/>
                <w:szCs w:val="20"/>
              </w:rPr>
              <w:t>3</w:t>
            </w:r>
          </w:p>
        </w:tc>
        <w:tc>
          <w:tcPr>
            <w:tcW w:w="0" w:type="auto"/>
            <w:shd w:val="clear" w:color="auto" w:fill="auto"/>
            <w:noWrap/>
            <w:vAlign w:val="center"/>
          </w:tcPr>
          <w:p w:rsidR="0055491A" w:rsidRPr="00EC24B4" w:rsidRDefault="0055491A" w:rsidP="00210BF6">
            <w:pPr>
              <w:jc w:val="center"/>
              <w:rPr>
                <w:sz w:val="20"/>
                <w:szCs w:val="20"/>
              </w:rPr>
            </w:pPr>
            <w:r>
              <w:rPr>
                <w:sz w:val="20"/>
                <w:szCs w:val="20"/>
              </w:rPr>
              <w:t>2</w:t>
            </w:r>
          </w:p>
        </w:tc>
        <w:tc>
          <w:tcPr>
            <w:tcW w:w="0" w:type="auto"/>
            <w:shd w:val="clear" w:color="auto" w:fill="auto"/>
            <w:noWrap/>
            <w:vAlign w:val="center"/>
          </w:tcPr>
          <w:p w:rsidR="0055491A" w:rsidRPr="00EC24B4" w:rsidRDefault="0055491A" w:rsidP="00210BF6">
            <w:pPr>
              <w:jc w:val="center"/>
              <w:rPr>
                <w:sz w:val="20"/>
                <w:szCs w:val="20"/>
              </w:rPr>
            </w:pPr>
            <w:r>
              <w:rPr>
                <w:sz w:val="20"/>
                <w:szCs w:val="20"/>
              </w:rPr>
              <w:t>2</w:t>
            </w:r>
          </w:p>
        </w:tc>
        <w:tc>
          <w:tcPr>
            <w:tcW w:w="0" w:type="auto"/>
            <w:shd w:val="clear" w:color="auto" w:fill="auto"/>
            <w:noWrap/>
            <w:vAlign w:val="center"/>
          </w:tcPr>
          <w:p w:rsidR="0055491A" w:rsidRPr="00EC24B4" w:rsidRDefault="0055491A" w:rsidP="00210BF6">
            <w:pPr>
              <w:jc w:val="center"/>
              <w:rPr>
                <w:sz w:val="20"/>
                <w:szCs w:val="20"/>
              </w:rPr>
            </w:pPr>
            <w:r>
              <w:rPr>
                <w:sz w:val="20"/>
                <w:szCs w:val="20"/>
              </w:rPr>
              <w:t>40,0</w:t>
            </w:r>
          </w:p>
        </w:tc>
        <w:tc>
          <w:tcPr>
            <w:tcW w:w="0" w:type="auto"/>
            <w:shd w:val="clear" w:color="auto" w:fill="auto"/>
            <w:noWrap/>
            <w:vAlign w:val="center"/>
          </w:tcPr>
          <w:p w:rsidR="0055491A" w:rsidRPr="00EC24B4" w:rsidRDefault="0055491A" w:rsidP="00210BF6">
            <w:pPr>
              <w:jc w:val="center"/>
              <w:rPr>
                <w:sz w:val="20"/>
                <w:szCs w:val="20"/>
              </w:rPr>
            </w:pPr>
            <w:r>
              <w:rPr>
                <w:sz w:val="20"/>
                <w:szCs w:val="20"/>
              </w:rPr>
              <w:t>2</w:t>
            </w:r>
          </w:p>
        </w:tc>
        <w:tc>
          <w:tcPr>
            <w:tcW w:w="0" w:type="auto"/>
            <w:shd w:val="clear" w:color="auto" w:fill="auto"/>
            <w:noWrap/>
            <w:vAlign w:val="center"/>
          </w:tcPr>
          <w:p w:rsidR="0055491A" w:rsidRPr="00EC24B4" w:rsidRDefault="0055491A" w:rsidP="00210BF6">
            <w:pPr>
              <w:jc w:val="center"/>
              <w:rPr>
                <w:sz w:val="20"/>
                <w:szCs w:val="20"/>
              </w:rPr>
            </w:pPr>
            <w:r>
              <w:rPr>
                <w:sz w:val="20"/>
                <w:szCs w:val="20"/>
              </w:rPr>
              <w:t>40,0</w:t>
            </w:r>
          </w:p>
        </w:tc>
        <w:tc>
          <w:tcPr>
            <w:tcW w:w="0" w:type="auto"/>
            <w:shd w:val="clear" w:color="auto" w:fill="auto"/>
            <w:noWrap/>
            <w:vAlign w:val="center"/>
          </w:tcPr>
          <w:p w:rsidR="0055491A" w:rsidRPr="00EC24B4" w:rsidRDefault="0055491A" w:rsidP="00210BF6">
            <w:pPr>
              <w:jc w:val="center"/>
              <w:rPr>
                <w:sz w:val="20"/>
                <w:szCs w:val="20"/>
              </w:rPr>
            </w:pPr>
            <w:r>
              <w:rPr>
                <w:sz w:val="20"/>
                <w:szCs w:val="20"/>
              </w:rPr>
              <w:t>2</w:t>
            </w:r>
          </w:p>
        </w:tc>
        <w:tc>
          <w:tcPr>
            <w:tcW w:w="0" w:type="auto"/>
            <w:shd w:val="clear" w:color="auto" w:fill="auto"/>
            <w:noWrap/>
            <w:vAlign w:val="center"/>
          </w:tcPr>
          <w:p w:rsidR="0055491A" w:rsidRPr="00EC24B4" w:rsidRDefault="0055491A" w:rsidP="00210BF6">
            <w:pPr>
              <w:jc w:val="center"/>
              <w:rPr>
                <w:sz w:val="20"/>
                <w:szCs w:val="20"/>
              </w:rPr>
            </w:pPr>
            <w:r>
              <w:rPr>
                <w:sz w:val="20"/>
                <w:szCs w:val="20"/>
              </w:rPr>
              <w:t>40,0</w:t>
            </w:r>
          </w:p>
        </w:tc>
        <w:tc>
          <w:tcPr>
            <w:tcW w:w="0" w:type="auto"/>
            <w:shd w:val="clear" w:color="auto" w:fill="auto"/>
            <w:noWrap/>
            <w:vAlign w:val="center"/>
          </w:tcPr>
          <w:p w:rsidR="0055491A" w:rsidRPr="00EC24B4" w:rsidRDefault="0055491A" w:rsidP="00210BF6">
            <w:pPr>
              <w:jc w:val="center"/>
              <w:rPr>
                <w:sz w:val="20"/>
                <w:szCs w:val="20"/>
              </w:rPr>
            </w:pPr>
            <w:r>
              <w:rPr>
                <w:sz w:val="20"/>
                <w:szCs w:val="20"/>
              </w:rPr>
              <w:t>2</w:t>
            </w:r>
          </w:p>
        </w:tc>
        <w:tc>
          <w:tcPr>
            <w:tcW w:w="0" w:type="auto"/>
            <w:shd w:val="clear" w:color="auto" w:fill="auto"/>
            <w:noWrap/>
            <w:vAlign w:val="center"/>
          </w:tcPr>
          <w:p w:rsidR="0055491A" w:rsidRPr="00EC24B4" w:rsidRDefault="0055491A" w:rsidP="00210BF6">
            <w:pPr>
              <w:jc w:val="center"/>
              <w:rPr>
                <w:sz w:val="20"/>
                <w:szCs w:val="20"/>
              </w:rPr>
            </w:pPr>
            <w:r>
              <w:rPr>
                <w:sz w:val="20"/>
                <w:szCs w:val="20"/>
              </w:rPr>
              <w:t>40,0</w:t>
            </w:r>
          </w:p>
        </w:tc>
      </w:tr>
      <w:tr w:rsidR="0055491A" w:rsidRPr="00A20DFB" w:rsidTr="00210BF6">
        <w:trPr>
          <w:trHeight w:val="750"/>
        </w:trPr>
        <w:tc>
          <w:tcPr>
            <w:tcW w:w="0" w:type="auto"/>
            <w:shd w:val="clear" w:color="auto" w:fill="auto"/>
            <w:vAlign w:val="center"/>
          </w:tcPr>
          <w:p w:rsidR="0055491A" w:rsidRPr="00EC24B4" w:rsidRDefault="0055491A" w:rsidP="00210BF6">
            <w:pPr>
              <w:jc w:val="center"/>
              <w:rPr>
                <w:sz w:val="16"/>
                <w:szCs w:val="16"/>
              </w:rPr>
            </w:pPr>
            <w:r w:rsidRPr="00EC24B4">
              <w:rPr>
                <w:sz w:val="16"/>
                <w:szCs w:val="16"/>
              </w:rPr>
              <w:t>Ст. 15.15.15</w:t>
            </w:r>
          </w:p>
        </w:tc>
        <w:tc>
          <w:tcPr>
            <w:tcW w:w="0" w:type="auto"/>
            <w:shd w:val="clear" w:color="auto" w:fill="auto"/>
            <w:noWrap/>
            <w:vAlign w:val="center"/>
          </w:tcPr>
          <w:p w:rsidR="0055491A" w:rsidRPr="00EC24B4" w:rsidRDefault="0055491A" w:rsidP="00210BF6">
            <w:pPr>
              <w:jc w:val="center"/>
              <w:rPr>
                <w:sz w:val="20"/>
                <w:szCs w:val="20"/>
              </w:rPr>
            </w:pPr>
            <w:r w:rsidRPr="00EC24B4">
              <w:rPr>
                <w:sz w:val="20"/>
                <w:szCs w:val="20"/>
              </w:rPr>
              <w:t>10</w:t>
            </w:r>
          </w:p>
        </w:tc>
        <w:tc>
          <w:tcPr>
            <w:tcW w:w="0" w:type="auto"/>
            <w:shd w:val="clear" w:color="auto" w:fill="auto"/>
            <w:noWrap/>
            <w:vAlign w:val="center"/>
          </w:tcPr>
          <w:p w:rsidR="0055491A" w:rsidRPr="00EC24B4" w:rsidRDefault="0055491A" w:rsidP="00210BF6">
            <w:pPr>
              <w:jc w:val="center"/>
              <w:rPr>
                <w:sz w:val="20"/>
                <w:szCs w:val="20"/>
              </w:rPr>
            </w:pPr>
            <w:r w:rsidRPr="00EC24B4">
              <w:rPr>
                <w:sz w:val="20"/>
                <w:szCs w:val="20"/>
              </w:rPr>
              <w:t>1</w:t>
            </w:r>
          </w:p>
        </w:tc>
        <w:tc>
          <w:tcPr>
            <w:tcW w:w="0" w:type="auto"/>
            <w:shd w:val="clear" w:color="auto" w:fill="auto"/>
            <w:noWrap/>
            <w:vAlign w:val="center"/>
          </w:tcPr>
          <w:p w:rsidR="0055491A" w:rsidRPr="00EC24B4" w:rsidRDefault="0055491A" w:rsidP="00210BF6">
            <w:pPr>
              <w:jc w:val="center"/>
              <w:rPr>
                <w:sz w:val="20"/>
                <w:szCs w:val="20"/>
              </w:rPr>
            </w:pPr>
            <w:r>
              <w:rPr>
                <w:sz w:val="20"/>
                <w:szCs w:val="20"/>
              </w:rPr>
              <w:t>2</w:t>
            </w:r>
          </w:p>
        </w:tc>
        <w:tc>
          <w:tcPr>
            <w:tcW w:w="0" w:type="auto"/>
            <w:shd w:val="clear" w:color="auto" w:fill="auto"/>
            <w:noWrap/>
            <w:vAlign w:val="center"/>
          </w:tcPr>
          <w:p w:rsidR="0055491A" w:rsidRPr="00EC24B4" w:rsidRDefault="0055491A" w:rsidP="00210BF6">
            <w:pPr>
              <w:jc w:val="center"/>
              <w:rPr>
                <w:sz w:val="20"/>
                <w:szCs w:val="20"/>
              </w:rPr>
            </w:pPr>
            <w:r>
              <w:rPr>
                <w:sz w:val="20"/>
                <w:szCs w:val="20"/>
              </w:rPr>
              <w:t>3</w:t>
            </w:r>
          </w:p>
        </w:tc>
        <w:tc>
          <w:tcPr>
            <w:tcW w:w="0" w:type="auto"/>
            <w:shd w:val="clear" w:color="auto" w:fill="auto"/>
            <w:noWrap/>
            <w:vAlign w:val="center"/>
          </w:tcPr>
          <w:p w:rsidR="0055491A" w:rsidRPr="00EC24B4" w:rsidRDefault="0055491A" w:rsidP="00210BF6">
            <w:pPr>
              <w:jc w:val="center"/>
              <w:rPr>
                <w:sz w:val="20"/>
                <w:szCs w:val="20"/>
              </w:rPr>
            </w:pPr>
            <w:r>
              <w:rPr>
                <w:sz w:val="20"/>
                <w:szCs w:val="20"/>
              </w:rPr>
              <w:t>2</w:t>
            </w:r>
          </w:p>
        </w:tc>
        <w:tc>
          <w:tcPr>
            <w:tcW w:w="0" w:type="auto"/>
            <w:shd w:val="clear" w:color="auto" w:fill="auto"/>
            <w:noWrap/>
            <w:vAlign w:val="center"/>
          </w:tcPr>
          <w:p w:rsidR="0055491A" w:rsidRPr="00EC24B4" w:rsidRDefault="0055491A" w:rsidP="00210BF6">
            <w:pPr>
              <w:jc w:val="center"/>
              <w:rPr>
                <w:sz w:val="20"/>
                <w:szCs w:val="20"/>
              </w:rPr>
            </w:pPr>
            <w:r>
              <w:rPr>
                <w:sz w:val="20"/>
                <w:szCs w:val="20"/>
              </w:rPr>
              <w:t>20,0</w:t>
            </w:r>
          </w:p>
        </w:tc>
        <w:tc>
          <w:tcPr>
            <w:tcW w:w="0" w:type="auto"/>
            <w:shd w:val="clear" w:color="auto" w:fill="auto"/>
            <w:noWrap/>
            <w:vAlign w:val="center"/>
          </w:tcPr>
          <w:p w:rsidR="0055491A" w:rsidRPr="00EC24B4" w:rsidRDefault="0055491A" w:rsidP="00210BF6">
            <w:pPr>
              <w:jc w:val="center"/>
              <w:rPr>
                <w:sz w:val="20"/>
                <w:szCs w:val="20"/>
              </w:rPr>
            </w:pPr>
            <w:r>
              <w:rPr>
                <w:sz w:val="20"/>
                <w:szCs w:val="20"/>
              </w:rPr>
              <w:t>2</w:t>
            </w:r>
          </w:p>
        </w:tc>
        <w:tc>
          <w:tcPr>
            <w:tcW w:w="0" w:type="auto"/>
            <w:shd w:val="clear" w:color="auto" w:fill="auto"/>
            <w:noWrap/>
            <w:vAlign w:val="center"/>
          </w:tcPr>
          <w:p w:rsidR="0055491A" w:rsidRPr="00EC24B4" w:rsidRDefault="0055491A" w:rsidP="00210BF6">
            <w:pPr>
              <w:jc w:val="center"/>
              <w:rPr>
                <w:sz w:val="20"/>
                <w:szCs w:val="20"/>
              </w:rPr>
            </w:pPr>
            <w:r>
              <w:rPr>
                <w:sz w:val="20"/>
                <w:szCs w:val="20"/>
              </w:rPr>
              <w:t>20,0</w:t>
            </w:r>
          </w:p>
        </w:tc>
        <w:tc>
          <w:tcPr>
            <w:tcW w:w="0" w:type="auto"/>
            <w:shd w:val="clear" w:color="auto" w:fill="auto"/>
            <w:noWrap/>
            <w:vAlign w:val="center"/>
          </w:tcPr>
          <w:p w:rsidR="0055491A" w:rsidRPr="00EC24B4" w:rsidRDefault="0055491A" w:rsidP="00210BF6">
            <w:pPr>
              <w:jc w:val="center"/>
              <w:rPr>
                <w:sz w:val="20"/>
                <w:szCs w:val="20"/>
              </w:rPr>
            </w:pPr>
            <w:r>
              <w:rPr>
                <w:sz w:val="20"/>
                <w:szCs w:val="20"/>
              </w:rPr>
              <w:t>2</w:t>
            </w:r>
          </w:p>
        </w:tc>
        <w:tc>
          <w:tcPr>
            <w:tcW w:w="0" w:type="auto"/>
            <w:shd w:val="clear" w:color="auto" w:fill="auto"/>
            <w:noWrap/>
            <w:vAlign w:val="center"/>
          </w:tcPr>
          <w:p w:rsidR="0055491A" w:rsidRPr="00EC24B4" w:rsidRDefault="0055491A" w:rsidP="00210BF6">
            <w:pPr>
              <w:jc w:val="center"/>
              <w:rPr>
                <w:sz w:val="20"/>
                <w:szCs w:val="20"/>
              </w:rPr>
            </w:pPr>
            <w:r>
              <w:rPr>
                <w:sz w:val="20"/>
                <w:szCs w:val="20"/>
              </w:rPr>
              <w:t>20,0</w:t>
            </w:r>
          </w:p>
        </w:tc>
        <w:tc>
          <w:tcPr>
            <w:tcW w:w="0" w:type="auto"/>
            <w:shd w:val="clear" w:color="auto" w:fill="auto"/>
            <w:noWrap/>
            <w:vAlign w:val="center"/>
          </w:tcPr>
          <w:p w:rsidR="0055491A" w:rsidRPr="00EC24B4" w:rsidRDefault="0055491A" w:rsidP="00210BF6">
            <w:pPr>
              <w:jc w:val="center"/>
              <w:rPr>
                <w:sz w:val="20"/>
                <w:szCs w:val="20"/>
              </w:rPr>
            </w:pPr>
            <w:r>
              <w:rPr>
                <w:sz w:val="20"/>
                <w:szCs w:val="20"/>
              </w:rPr>
              <w:t>2</w:t>
            </w:r>
          </w:p>
        </w:tc>
        <w:tc>
          <w:tcPr>
            <w:tcW w:w="0" w:type="auto"/>
            <w:shd w:val="clear" w:color="auto" w:fill="auto"/>
            <w:noWrap/>
            <w:vAlign w:val="center"/>
          </w:tcPr>
          <w:p w:rsidR="0055491A" w:rsidRPr="00EC24B4" w:rsidRDefault="0055491A" w:rsidP="00210BF6">
            <w:pPr>
              <w:jc w:val="center"/>
              <w:rPr>
                <w:sz w:val="20"/>
                <w:szCs w:val="20"/>
              </w:rPr>
            </w:pPr>
            <w:r>
              <w:rPr>
                <w:sz w:val="20"/>
                <w:szCs w:val="20"/>
              </w:rPr>
              <w:t>20,0</w:t>
            </w:r>
          </w:p>
        </w:tc>
      </w:tr>
      <w:tr w:rsidR="0055491A" w:rsidRPr="00A20DFB" w:rsidTr="00210BF6">
        <w:trPr>
          <w:trHeight w:val="415"/>
        </w:trPr>
        <w:tc>
          <w:tcPr>
            <w:tcW w:w="0" w:type="auto"/>
            <w:shd w:val="clear" w:color="auto" w:fill="auto"/>
            <w:vAlign w:val="center"/>
          </w:tcPr>
          <w:p w:rsidR="0055491A" w:rsidRPr="00EC24B4" w:rsidRDefault="0055491A" w:rsidP="00210BF6">
            <w:pPr>
              <w:jc w:val="center"/>
              <w:rPr>
                <w:sz w:val="16"/>
                <w:szCs w:val="16"/>
              </w:rPr>
            </w:pPr>
            <w:r w:rsidRPr="00EC24B4">
              <w:rPr>
                <w:sz w:val="16"/>
                <w:szCs w:val="16"/>
              </w:rPr>
              <w:t>Ст. 15.15.15</w:t>
            </w:r>
          </w:p>
        </w:tc>
        <w:tc>
          <w:tcPr>
            <w:tcW w:w="0" w:type="auto"/>
            <w:shd w:val="clear" w:color="auto" w:fill="auto"/>
            <w:noWrap/>
            <w:vAlign w:val="center"/>
          </w:tcPr>
          <w:p w:rsidR="0055491A" w:rsidRPr="00EC24B4" w:rsidRDefault="0055491A" w:rsidP="00210BF6">
            <w:pPr>
              <w:jc w:val="center"/>
              <w:rPr>
                <w:sz w:val="20"/>
                <w:szCs w:val="20"/>
              </w:rPr>
            </w:pPr>
            <w:r>
              <w:rPr>
                <w:sz w:val="20"/>
                <w:szCs w:val="20"/>
              </w:rPr>
              <w:t>30</w:t>
            </w:r>
          </w:p>
        </w:tc>
        <w:tc>
          <w:tcPr>
            <w:tcW w:w="0" w:type="auto"/>
            <w:shd w:val="clear" w:color="auto" w:fill="auto"/>
            <w:noWrap/>
            <w:vAlign w:val="center"/>
          </w:tcPr>
          <w:p w:rsidR="0055491A" w:rsidRPr="00EC24B4" w:rsidRDefault="0055491A" w:rsidP="00210BF6">
            <w:pPr>
              <w:jc w:val="center"/>
              <w:rPr>
                <w:sz w:val="20"/>
                <w:szCs w:val="20"/>
              </w:rPr>
            </w:pPr>
            <w:r>
              <w:rPr>
                <w:sz w:val="20"/>
                <w:szCs w:val="20"/>
              </w:rPr>
              <w:t>0</w:t>
            </w:r>
          </w:p>
        </w:tc>
        <w:tc>
          <w:tcPr>
            <w:tcW w:w="0" w:type="auto"/>
            <w:shd w:val="clear" w:color="auto" w:fill="auto"/>
            <w:noWrap/>
            <w:vAlign w:val="center"/>
          </w:tcPr>
          <w:p w:rsidR="0055491A" w:rsidRDefault="0055491A" w:rsidP="00210BF6">
            <w:pPr>
              <w:jc w:val="center"/>
              <w:rPr>
                <w:sz w:val="20"/>
                <w:szCs w:val="20"/>
              </w:rPr>
            </w:pPr>
            <w:r>
              <w:rPr>
                <w:sz w:val="20"/>
                <w:szCs w:val="20"/>
              </w:rPr>
              <w:t>2</w:t>
            </w:r>
          </w:p>
        </w:tc>
        <w:tc>
          <w:tcPr>
            <w:tcW w:w="0" w:type="auto"/>
            <w:shd w:val="clear" w:color="auto" w:fill="auto"/>
            <w:noWrap/>
            <w:vAlign w:val="center"/>
          </w:tcPr>
          <w:p w:rsidR="0055491A" w:rsidRDefault="0055491A" w:rsidP="00210BF6">
            <w:pPr>
              <w:jc w:val="center"/>
              <w:rPr>
                <w:sz w:val="20"/>
                <w:szCs w:val="20"/>
              </w:rPr>
            </w:pPr>
            <w:r>
              <w:rPr>
                <w:sz w:val="20"/>
                <w:szCs w:val="20"/>
              </w:rPr>
              <w:t>0</w:t>
            </w:r>
          </w:p>
        </w:tc>
        <w:tc>
          <w:tcPr>
            <w:tcW w:w="0" w:type="auto"/>
            <w:shd w:val="clear" w:color="auto" w:fill="auto"/>
            <w:noWrap/>
            <w:vAlign w:val="center"/>
          </w:tcPr>
          <w:p w:rsidR="0055491A" w:rsidRDefault="0055491A" w:rsidP="00210BF6">
            <w:pPr>
              <w:jc w:val="center"/>
              <w:rPr>
                <w:sz w:val="20"/>
                <w:szCs w:val="20"/>
              </w:rPr>
            </w:pPr>
            <w:r>
              <w:rPr>
                <w:sz w:val="20"/>
                <w:szCs w:val="20"/>
              </w:rPr>
              <w:t>1</w:t>
            </w:r>
          </w:p>
        </w:tc>
        <w:tc>
          <w:tcPr>
            <w:tcW w:w="0" w:type="auto"/>
            <w:shd w:val="clear" w:color="auto" w:fill="auto"/>
            <w:noWrap/>
            <w:vAlign w:val="center"/>
          </w:tcPr>
          <w:p w:rsidR="0055491A" w:rsidRDefault="0055491A" w:rsidP="00210BF6">
            <w:pPr>
              <w:jc w:val="center"/>
              <w:rPr>
                <w:sz w:val="20"/>
                <w:szCs w:val="20"/>
              </w:rPr>
            </w:pPr>
            <w:r>
              <w:rPr>
                <w:sz w:val="20"/>
                <w:szCs w:val="20"/>
              </w:rPr>
              <w:t>30,0</w:t>
            </w:r>
          </w:p>
        </w:tc>
        <w:tc>
          <w:tcPr>
            <w:tcW w:w="0" w:type="auto"/>
            <w:shd w:val="clear" w:color="auto" w:fill="auto"/>
            <w:noWrap/>
            <w:vAlign w:val="center"/>
          </w:tcPr>
          <w:p w:rsidR="0055491A" w:rsidRPr="00EC24B4" w:rsidRDefault="0055491A" w:rsidP="00210BF6">
            <w:pPr>
              <w:jc w:val="center"/>
              <w:rPr>
                <w:sz w:val="20"/>
                <w:szCs w:val="20"/>
              </w:rPr>
            </w:pPr>
            <w:r>
              <w:rPr>
                <w:sz w:val="20"/>
                <w:szCs w:val="20"/>
              </w:rPr>
              <w:t>1</w:t>
            </w:r>
          </w:p>
        </w:tc>
        <w:tc>
          <w:tcPr>
            <w:tcW w:w="0" w:type="auto"/>
            <w:shd w:val="clear" w:color="auto" w:fill="auto"/>
            <w:noWrap/>
            <w:vAlign w:val="center"/>
          </w:tcPr>
          <w:p w:rsidR="0055491A" w:rsidRPr="00EC24B4" w:rsidRDefault="0055491A" w:rsidP="00210BF6">
            <w:pPr>
              <w:jc w:val="center"/>
              <w:rPr>
                <w:sz w:val="20"/>
                <w:szCs w:val="20"/>
              </w:rPr>
            </w:pPr>
            <w:r>
              <w:rPr>
                <w:sz w:val="20"/>
                <w:szCs w:val="20"/>
              </w:rPr>
              <w:t>30,0</w:t>
            </w:r>
          </w:p>
        </w:tc>
        <w:tc>
          <w:tcPr>
            <w:tcW w:w="0" w:type="auto"/>
            <w:shd w:val="clear" w:color="auto" w:fill="auto"/>
            <w:noWrap/>
            <w:vAlign w:val="center"/>
          </w:tcPr>
          <w:p w:rsidR="0055491A" w:rsidRPr="00EC24B4" w:rsidRDefault="0055491A" w:rsidP="00210BF6">
            <w:pPr>
              <w:jc w:val="center"/>
              <w:rPr>
                <w:sz w:val="20"/>
                <w:szCs w:val="20"/>
              </w:rPr>
            </w:pPr>
            <w:r>
              <w:rPr>
                <w:sz w:val="20"/>
                <w:szCs w:val="20"/>
              </w:rPr>
              <w:t>1</w:t>
            </w:r>
          </w:p>
        </w:tc>
        <w:tc>
          <w:tcPr>
            <w:tcW w:w="0" w:type="auto"/>
            <w:shd w:val="clear" w:color="auto" w:fill="auto"/>
            <w:noWrap/>
            <w:vAlign w:val="center"/>
          </w:tcPr>
          <w:p w:rsidR="0055491A" w:rsidRPr="00EC24B4" w:rsidRDefault="0055491A" w:rsidP="00210BF6">
            <w:pPr>
              <w:jc w:val="center"/>
              <w:rPr>
                <w:sz w:val="20"/>
                <w:szCs w:val="20"/>
              </w:rPr>
            </w:pPr>
            <w:r>
              <w:rPr>
                <w:sz w:val="20"/>
                <w:szCs w:val="20"/>
              </w:rPr>
              <w:t>30,0</w:t>
            </w:r>
          </w:p>
        </w:tc>
        <w:tc>
          <w:tcPr>
            <w:tcW w:w="0" w:type="auto"/>
            <w:shd w:val="clear" w:color="auto" w:fill="auto"/>
            <w:noWrap/>
            <w:vAlign w:val="center"/>
          </w:tcPr>
          <w:p w:rsidR="0055491A" w:rsidRPr="00EC24B4" w:rsidRDefault="0055491A" w:rsidP="00210BF6">
            <w:pPr>
              <w:jc w:val="center"/>
              <w:rPr>
                <w:sz w:val="20"/>
                <w:szCs w:val="20"/>
              </w:rPr>
            </w:pPr>
            <w:r>
              <w:rPr>
                <w:sz w:val="20"/>
                <w:szCs w:val="20"/>
              </w:rPr>
              <w:t>1</w:t>
            </w:r>
          </w:p>
        </w:tc>
        <w:tc>
          <w:tcPr>
            <w:tcW w:w="0" w:type="auto"/>
            <w:shd w:val="clear" w:color="auto" w:fill="auto"/>
            <w:noWrap/>
            <w:vAlign w:val="center"/>
          </w:tcPr>
          <w:p w:rsidR="0055491A" w:rsidRPr="00EC24B4" w:rsidRDefault="0055491A" w:rsidP="00210BF6">
            <w:pPr>
              <w:jc w:val="center"/>
              <w:rPr>
                <w:sz w:val="20"/>
                <w:szCs w:val="20"/>
              </w:rPr>
            </w:pPr>
            <w:r>
              <w:rPr>
                <w:sz w:val="20"/>
                <w:szCs w:val="20"/>
              </w:rPr>
              <w:t>30,0</w:t>
            </w:r>
          </w:p>
        </w:tc>
      </w:tr>
      <w:tr w:rsidR="0055491A" w:rsidRPr="00A20DFB" w:rsidTr="00210BF6">
        <w:trPr>
          <w:trHeight w:val="278"/>
        </w:trPr>
        <w:tc>
          <w:tcPr>
            <w:tcW w:w="0" w:type="auto"/>
            <w:shd w:val="clear" w:color="auto" w:fill="auto"/>
            <w:vAlign w:val="center"/>
          </w:tcPr>
          <w:p w:rsidR="0055491A" w:rsidRPr="00EC24B4" w:rsidRDefault="0055491A" w:rsidP="00210BF6">
            <w:pPr>
              <w:jc w:val="center"/>
              <w:rPr>
                <w:sz w:val="16"/>
                <w:szCs w:val="16"/>
              </w:rPr>
            </w:pPr>
            <w:r w:rsidRPr="00EC24B4">
              <w:rPr>
                <w:sz w:val="16"/>
                <w:szCs w:val="16"/>
              </w:rPr>
              <w:t>Ст. 15.15.9</w:t>
            </w:r>
          </w:p>
        </w:tc>
        <w:tc>
          <w:tcPr>
            <w:tcW w:w="0" w:type="auto"/>
            <w:shd w:val="clear" w:color="auto" w:fill="auto"/>
            <w:noWrap/>
            <w:vAlign w:val="center"/>
          </w:tcPr>
          <w:p w:rsidR="0055491A" w:rsidRPr="00EC24B4" w:rsidRDefault="0055491A" w:rsidP="00210BF6">
            <w:pPr>
              <w:jc w:val="center"/>
              <w:rPr>
                <w:sz w:val="20"/>
                <w:szCs w:val="20"/>
              </w:rPr>
            </w:pPr>
            <w:r w:rsidRPr="00EC24B4">
              <w:rPr>
                <w:sz w:val="20"/>
                <w:szCs w:val="20"/>
              </w:rPr>
              <w:t>10</w:t>
            </w:r>
          </w:p>
        </w:tc>
        <w:tc>
          <w:tcPr>
            <w:tcW w:w="0" w:type="auto"/>
            <w:shd w:val="clear" w:color="auto" w:fill="auto"/>
            <w:noWrap/>
            <w:vAlign w:val="center"/>
          </w:tcPr>
          <w:p w:rsidR="0055491A" w:rsidRPr="00EC24B4" w:rsidRDefault="0055491A" w:rsidP="00210BF6">
            <w:pPr>
              <w:jc w:val="center"/>
              <w:rPr>
                <w:sz w:val="20"/>
                <w:szCs w:val="20"/>
              </w:rPr>
            </w:pPr>
            <w:r w:rsidRPr="00EC24B4">
              <w:rPr>
                <w:sz w:val="20"/>
                <w:szCs w:val="20"/>
              </w:rPr>
              <w:t>0</w:t>
            </w:r>
          </w:p>
        </w:tc>
        <w:tc>
          <w:tcPr>
            <w:tcW w:w="0" w:type="auto"/>
            <w:shd w:val="clear" w:color="auto" w:fill="auto"/>
            <w:noWrap/>
            <w:vAlign w:val="center"/>
          </w:tcPr>
          <w:p w:rsidR="0055491A" w:rsidRPr="00EC24B4" w:rsidRDefault="0055491A" w:rsidP="00210BF6">
            <w:pPr>
              <w:jc w:val="center"/>
              <w:rPr>
                <w:sz w:val="20"/>
                <w:szCs w:val="20"/>
              </w:rPr>
            </w:pPr>
            <w:r>
              <w:rPr>
                <w:sz w:val="20"/>
                <w:szCs w:val="20"/>
              </w:rPr>
              <w:t>4</w:t>
            </w:r>
          </w:p>
        </w:tc>
        <w:tc>
          <w:tcPr>
            <w:tcW w:w="0" w:type="auto"/>
            <w:shd w:val="clear" w:color="auto" w:fill="auto"/>
            <w:noWrap/>
            <w:vAlign w:val="center"/>
          </w:tcPr>
          <w:p w:rsidR="0055491A" w:rsidRPr="00EC24B4" w:rsidRDefault="0055491A" w:rsidP="00210BF6">
            <w:pPr>
              <w:jc w:val="center"/>
              <w:rPr>
                <w:sz w:val="20"/>
                <w:szCs w:val="20"/>
              </w:rPr>
            </w:pPr>
            <w:r>
              <w:rPr>
                <w:sz w:val="20"/>
                <w:szCs w:val="20"/>
              </w:rPr>
              <w:t>0</w:t>
            </w:r>
          </w:p>
        </w:tc>
        <w:tc>
          <w:tcPr>
            <w:tcW w:w="0" w:type="auto"/>
            <w:shd w:val="clear" w:color="auto" w:fill="auto"/>
            <w:noWrap/>
            <w:vAlign w:val="center"/>
          </w:tcPr>
          <w:p w:rsidR="0055491A" w:rsidRPr="00EC24B4" w:rsidRDefault="0055491A" w:rsidP="00210BF6">
            <w:pPr>
              <w:jc w:val="center"/>
              <w:rPr>
                <w:sz w:val="20"/>
                <w:szCs w:val="20"/>
              </w:rPr>
            </w:pPr>
            <w:r>
              <w:rPr>
                <w:sz w:val="20"/>
                <w:szCs w:val="20"/>
              </w:rPr>
              <w:t>1</w:t>
            </w:r>
          </w:p>
        </w:tc>
        <w:tc>
          <w:tcPr>
            <w:tcW w:w="0" w:type="auto"/>
            <w:shd w:val="clear" w:color="auto" w:fill="auto"/>
            <w:noWrap/>
            <w:vAlign w:val="center"/>
          </w:tcPr>
          <w:p w:rsidR="0055491A" w:rsidRPr="00EC24B4" w:rsidRDefault="0055491A" w:rsidP="00210BF6">
            <w:pPr>
              <w:jc w:val="center"/>
              <w:rPr>
                <w:sz w:val="20"/>
                <w:szCs w:val="20"/>
              </w:rPr>
            </w:pPr>
            <w:r>
              <w:rPr>
                <w:sz w:val="20"/>
                <w:szCs w:val="20"/>
              </w:rPr>
              <w:t>10,0</w:t>
            </w:r>
          </w:p>
        </w:tc>
        <w:tc>
          <w:tcPr>
            <w:tcW w:w="0" w:type="auto"/>
            <w:shd w:val="clear" w:color="auto" w:fill="auto"/>
            <w:noWrap/>
            <w:vAlign w:val="center"/>
          </w:tcPr>
          <w:p w:rsidR="0055491A" w:rsidRPr="00EC24B4" w:rsidRDefault="0055491A" w:rsidP="00210BF6">
            <w:pPr>
              <w:jc w:val="center"/>
              <w:rPr>
                <w:sz w:val="20"/>
                <w:szCs w:val="20"/>
              </w:rPr>
            </w:pPr>
            <w:r>
              <w:rPr>
                <w:sz w:val="20"/>
                <w:szCs w:val="20"/>
              </w:rPr>
              <w:t>2</w:t>
            </w:r>
          </w:p>
        </w:tc>
        <w:tc>
          <w:tcPr>
            <w:tcW w:w="0" w:type="auto"/>
            <w:shd w:val="clear" w:color="auto" w:fill="auto"/>
            <w:noWrap/>
            <w:vAlign w:val="center"/>
          </w:tcPr>
          <w:p w:rsidR="0055491A" w:rsidRPr="00EC24B4" w:rsidRDefault="0055491A" w:rsidP="00210BF6">
            <w:pPr>
              <w:jc w:val="center"/>
              <w:rPr>
                <w:sz w:val="20"/>
                <w:szCs w:val="20"/>
              </w:rPr>
            </w:pPr>
            <w:r>
              <w:rPr>
                <w:sz w:val="20"/>
                <w:szCs w:val="20"/>
              </w:rPr>
              <w:t>20,0</w:t>
            </w:r>
          </w:p>
        </w:tc>
        <w:tc>
          <w:tcPr>
            <w:tcW w:w="0" w:type="auto"/>
            <w:shd w:val="clear" w:color="auto" w:fill="auto"/>
            <w:noWrap/>
            <w:vAlign w:val="center"/>
          </w:tcPr>
          <w:p w:rsidR="0055491A" w:rsidRPr="00EC24B4" w:rsidRDefault="0055491A" w:rsidP="00210BF6">
            <w:pPr>
              <w:jc w:val="center"/>
              <w:rPr>
                <w:sz w:val="20"/>
                <w:szCs w:val="20"/>
              </w:rPr>
            </w:pPr>
            <w:r>
              <w:rPr>
                <w:sz w:val="20"/>
                <w:szCs w:val="20"/>
              </w:rPr>
              <w:t>1</w:t>
            </w:r>
          </w:p>
        </w:tc>
        <w:tc>
          <w:tcPr>
            <w:tcW w:w="0" w:type="auto"/>
            <w:shd w:val="clear" w:color="auto" w:fill="auto"/>
            <w:noWrap/>
            <w:vAlign w:val="center"/>
          </w:tcPr>
          <w:p w:rsidR="0055491A" w:rsidRPr="00EC24B4" w:rsidRDefault="0055491A" w:rsidP="00210BF6">
            <w:pPr>
              <w:jc w:val="center"/>
              <w:rPr>
                <w:sz w:val="20"/>
                <w:szCs w:val="20"/>
              </w:rPr>
            </w:pPr>
            <w:r>
              <w:rPr>
                <w:sz w:val="20"/>
                <w:szCs w:val="20"/>
              </w:rPr>
              <w:t>10,0</w:t>
            </w:r>
          </w:p>
        </w:tc>
        <w:tc>
          <w:tcPr>
            <w:tcW w:w="0" w:type="auto"/>
            <w:shd w:val="clear" w:color="auto" w:fill="auto"/>
            <w:noWrap/>
            <w:vAlign w:val="center"/>
          </w:tcPr>
          <w:p w:rsidR="0055491A" w:rsidRPr="00EC24B4" w:rsidRDefault="0055491A" w:rsidP="00210BF6">
            <w:pPr>
              <w:jc w:val="center"/>
              <w:rPr>
                <w:sz w:val="20"/>
                <w:szCs w:val="20"/>
              </w:rPr>
            </w:pPr>
            <w:r>
              <w:rPr>
                <w:sz w:val="20"/>
                <w:szCs w:val="20"/>
              </w:rPr>
              <w:t>1</w:t>
            </w:r>
          </w:p>
        </w:tc>
        <w:tc>
          <w:tcPr>
            <w:tcW w:w="0" w:type="auto"/>
            <w:shd w:val="clear" w:color="auto" w:fill="auto"/>
            <w:noWrap/>
            <w:vAlign w:val="center"/>
          </w:tcPr>
          <w:p w:rsidR="0055491A" w:rsidRPr="00EC24B4" w:rsidRDefault="0055491A" w:rsidP="00210BF6">
            <w:pPr>
              <w:jc w:val="center"/>
              <w:rPr>
                <w:sz w:val="20"/>
                <w:szCs w:val="20"/>
              </w:rPr>
            </w:pPr>
            <w:r>
              <w:rPr>
                <w:sz w:val="20"/>
                <w:szCs w:val="20"/>
              </w:rPr>
              <w:t>10,0</w:t>
            </w:r>
          </w:p>
        </w:tc>
      </w:tr>
      <w:tr w:rsidR="0055491A" w:rsidRPr="00A20DFB" w:rsidTr="00210BF6">
        <w:trPr>
          <w:trHeight w:val="312"/>
        </w:trPr>
        <w:tc>
          <w:tcPr>
            <w:tcW w:w="0" w:type="auto"/>
            <w:shd w:val="clear" w:color="auto" w:fill="auto"/>
            <w:vAlign w:val="center"/>
          </w:tcPr>
          <w:p w:rsidR="0055491A" w:rsidRPr="00EC24B4" w:rsidRDefault="0055491A" w:rsidP="00210BF6">
            <w:pPr>
              <w:jc w:val="center"/>
              <w:rPr>
                <w:sz w:val="16"/>
                <w:szCs w:val="16"/>
              </w:rPr>
            </w:pPr>
            <w:r w:rsidRPr="00EC24B4">
              <w:rPr>
                <w:sz w:val="16"/>
                <w:szCs w:val="16"/>
              </w:rPr>
              <w:t>Ст. 15.15.9</w:t>
            </w:r>
          </w:p>
        </w:tc>
        <w:tc>
          <w:tcPr>
            <w:tcW w:w="0" w:type="auto"/>
            <w:shd w:val="clear" w:color="auto" w:fill="auto"/>
            <w:noWrap/>
            <w:vAlign w:val="center"/>
          </w:tcPr>
          <w:p w:rsidR="0055491A" w:rsidRPr="00EC24B4" w:rsidRDefault="0055491A" w:rsidP="00210BF6">
            <w:pPr>
              <w:jc w:val="center"/>
              <w:rPr>
                <w:sz w:val="20"/>
                <w:szCs w:val="20"/>
              </w:rPr>
            </w:pPr>
            <w:r>
              <w:rPr>
                <w:sz w:val="20"/>
                <w:szCs w:val="20"/>
              </w:rPr>
              <w:t>50</w:t>
            </w:r>
          </w:p>
        </w:tc>
        <w:tc>
          <w:tcPr>
            <w:tcW w:w="0" w:type="auto"/>
            <w:shd w:val="clear" w:color="auto" w:fill="auto"/>
            <w:noWrap/>
            <w:vAlign w:val="center"/>
          </w:tcPr>
          <w:p w:rsidR="0055491A" w:rsidRPr="00EC24B4" w:rsidRDefault="0055491A" w:rsidP="00210BF6">
            <w:pPr>
              <w:jc w:val="center"/>
              <w:rPr>
                <w:sz w:val="20"/>
                <w:szCs w:val="20"/>
              </w:rPr>
            </w:pPr>
            <w:r>
              <w:rPr>
                <w:sz w:val="20"/>
                <w:szCs w:val="20"/>
              </w:rPr>
              <w:t>0</w:t>
            </w:r>
          </w:p>
        </w:tc>
        <w:tc>
          <w:tcPr>
            <w:tcW w:w="0" w:type="auto"/>
            <w:shd w:val="clear" w:color="auto" w:fill="auto"/>
            <w:noWrap/>
            <w:vAlign w:val="center"/>
          </w:tcPr>
          <w:p w:rsidR="0055491A" w:rsidRDefault="0055491A" w:rsidP="00210BF6">
            <w:pPr>
              <w:jc w:val="center"/>
              <w:rPr>
                <w:sz w:val="20"/>
                <w:szCs w:val="20"/>
              </w:rPr>
            </w:pPr>
            <w:r>
              <w:rPr>
                <w:sz w:val="20"/>
                <w:szCs w:val="20"/>
              </w:rPr>
              <w:t>2</w:t>
            </w:r>
          </w:p>
        </w:tc>
        <w:tc>
          <w:tcPr>
            <w:tcW w:w="0" w:type="auto"/>
            <w:shd w:val="clear" w:color="auto" w:fill="auto"/>
            <w:noWrap/>
            <w:vAlign w:val="center"/>
          </w:tcPr>
          <w:p w:rsidR="0055491A" w:rsidRDefault="0055491A" w:rsidP="00210BF6">
            <w:pPr>
              <w:jc w:val="center"/>
              <w:rPr>
                <w:sz w:val="20"/>
                <w:szCs w:val="20"/>
              </w:rPr>
            </w:pPr>
            <w:r>
              <w:rPr>
                <w:sz w:val="20"/>
                <w:szCs w:val="20"/>
              </w:rPr>
              <w:t>0</w:t>
            </w:r>
          </w:p>
        </w:tc>
        <w:tc>
          <w:tcPr>
            <w:tcW w:w="0" w:type="auto"/>
            <w:shd w:val="clear" w:color="auto" w:fill="auto"/>
            <w:noWrap/>
            <w:vAlign w:val="center"/>
          </w:tcPr>
          <w:p w:rsidR="0055491A" w:rsidRPr="00EC24B4" w:rsidRDefault="0055491A" w:rsidP="00210BF6">
            <w:pPr>
              <w:jc w:val="center"/>
              <w:rPr>
                <w:sz w:val="20"/>
                <w:szCs w:val="20"/>
              </w:rPr>
            </w:pPr>
            <w:r>
              <w:rPr>
                <w:sz w:val="20"/>
                <w:szCs w:val="20"/>
              </w:rPr>
              <w:t>1</w:t>
            </w:r>
          </w:p>
        </w:tc>
        <w:tc>
          <w:tcPr>
            <w:tcW w:w="0" w:type="auto"/>
            <w:shd w:val="clear" w:color="auto" w:fill="auto"/>
            <w:noWrap/>
            <w:vAlign w:val="center"/>
          </w:tcPr>
          <w:p w:rsidR="0055491A" w:rsidRPr="00EC24B4" w:rsidRDefault="0055491A" w:rsidP="00210BF6">
            <w:pPr>
              <w:jc w:val="center"/>
              <w:rPr>
                <w:sz w:val="20"/>
                <w:szCs w:val="20"/>
              </w:rPr>
            </w:pPr>
            <w:r>
              <w:rPr>
                <w:sz w:val="20"/>
                <w:szCs w:val="20"/>
              </w:rPr>
              <w:t>50,0</w:t>
            </w:r>
          </w:p>
        </w:tc>
        <w:tc>
          <w:tcPr>
            <w:tcW w:w="0" w:type="auto"/>
            <w:shd w:val="clear" w:color="auto" w:fill="auto"/>
            <w:noWrap/>
            <w:vAlign w:val="center"/>
          </w:tcPr>
          <w:p w:rsidR="0055491A" w:rsidRPr="00EC24B4" w:rsidRDefault="0055491A" w:rsidP="00210BF6">
            <w:pPr>
              <w:jc w:val="center"/>
              <w:rPr>
                <w:sz w:val="20"/>
                <w:szCs w:val="20"/>
              </w:rPr>
            </w:pPr>
            <w:r>
              <w:rPr>
                <w:sz w:val="20"/>
                <w:szCs w:val="20"/>
              </w:rPr>
              <w:t>1</w:t>
            </w:r>
          </w:p>
        </w:tc>
        <w:tc>
          <w:tcPr>
            <w:tcW w:w="0" w:type="auto"/>
            <w:shd w:val="clear" w:color="auto" w:fill="auto"/>
            <w:noWrap/>
            <w:vAlign w:val="center"/>
          </w:tcPr>
          <w:p w:rsidR="0055491A" w:rsidRPr="00EC24B4" w:rsidRDefault="0055491A" w:rsidP="00210BF6">
            <w:pPr>
              <w:jc w:val="center"/>
              <w:rPr>
                <w:sz w:val="20"/>
                <w:szCs w:val="20"/>
              </w:rPr>
            </w:pPr>
            <w:r>
              <w:rPr>
                <w:sz w:val="20"/>
                <w:szCs w:val="20"/>
              </w:rPr>
              <w:t>50,0</w:t>
            </w:r>
          </w:p>
        </w:tc>
        <w:tc>
          <w:tcPr>
            <w:tcW w:w="0" w:type="auto"/>
            <w:shd w:val="clear" w:color="auto" w:fill="auto"/>
            <w:noWrap/>
            <w:vAlign w:val="center"/>
          </w:tcPr>
          <w:p w:rsidR="0055491A" w:rsidRPr="00EC24B4" w:rsidRDefault="0055491A" w:rsidP="00210BF6">
            <w:pPr>
              <w:jc w:val="center"/>
              <w:rPr>
                <w:sz w:val="20"/>
                <w:szCs w:val="20"/>
              </w:rPr>
            </w:pPr>
            <w:r>
              <w:rPr>
                <w:sz w:val="20"/>
                <w:szCs w:val="20"/>
              </w:rPr>
              <w:t>1</w:t>
            </w:r>
          </w:p>
        </w:tc>
        <w:tc>
          <w:tcPr>
            <w:tcW w:w="0" w:type="auto"/>
            <w:shd w:val="clear" w:color="auto" w:fill="auto"/>
            <w:noWrap/>
            <w:vAlign w:val="center"/>
          </w:tcPr>
          <w:p w:rsidR="0055491A" w:rsidRPr="00EC24B4" w:rsidRDefault="0055491A" w:rsidP="00210BF6">
            <w:pPr>
              <w:jc w:val="center"/>
              <w:rPr>
                <w:sz w:val="20"/>
                <w:szCs w:val="20"/>
              </w:rPr>
            </w:pPr>
            <w:r>
              <w:rPr>
                <w:sz w:val="20"/>
                <w:szCs w:val="20"/>
              </w:rPr>
              <w:t>50,0</w:t>
            </w:r>
          </w:p>
        </w:tc>
        <w:tc>
          <w:tcPr>
            <w:tcW w:w="0" w:type="auto"/>
            <w:shd w:val="clear" w:color="auto" w:fill="auto"/>
            <w:noWrap/>
            <w:vAlign w:val="center"/>
          </w:tcPr>
          <w:p w:rsidR="0055491A" w:rsidRPr="00EC24B4" w:rsidRDefault="0055491A" w:rsidP="00210BF6">
            <w:pPr>
              <w:jc w:val="center"/>
              <w:rPr>
                <w:sz w:val="20"/>
                <w:szCs w:val="20"/>
              </w:rPr>
            </w:pPr>
            <w:r>
              <w:rPr>
                <w:sz w:val="20"/>
                <w:szCs w:val="20"/>
              </w:rPr>
              <w:t>1</w:t>
            </w:r>
          </w:p>
        </w:tc>
        <w:tc>
          <w:tcPr>
            <w:tcW w:w="0" w:type="auto"/>
            <w:shd w:val="clear" w:color="auto" w:fill="auto"/>
            <w:noWrap/>
            <w:vAlign w:val="center"/>
          </w:tcPr>
          <w:p w:rsidR="0055491A" w:rsidRPr="00EC24B4" w:rsidRDefault="0055491A" w:rsidP="00210BF6">
            <w:pPr>
              <w:jc w:val="center"/>
              <w:rPr>
                <w:sz w:val="20"/>
                <w:szCs w:val="20"/>
              </w:rPr>
            </w:pPr>
            <w:r>
              <w:rPr>
                <w:sz w:val="20"/>
                <w:szCs w:val="20"/>
              </w:rPr>
              <w:t>50,0</w:t>
            </w:r>
          </w:p>
        </w:tc>
      </w:tr>
      <w:tr w:rsidR="0055491A" w:rsidRPr="00A20DFB" w:rsidTr="00210BF6">
        <w:trPr>
          <w:trHeight w:val="360"/>
        </w:trPr>
        <w:tc>
          <w:tcPr>
            <w:tcW w:w="0" w:type="auto"/>
            <w:shd w:val="clear" w:color="auto" w:fill="auto"/>
            <w:vAlign w:val="center"/>
          </w:tcPr>
          <w:p w:rsidR="0055491A" w:rsidRDefault="0055491A" w:rsidP="00210BF6">
            <w:pPr>
              <w:jc w:val="center"/>
              <w:rPr>
                <w:rFonts w:ascii="Arial CYR" w:hAnsi="Arial CYR" w:cs="Arial CYR"/>
                <w:sz w:val="20"/>
                <w:szCs w:val="20"/>
              </w:rPr>
            </w:pPr>
            <w:r w:rsidRPr="00EC24B4">
              <w:rPr>
                <w:sz w:val="16"/>
                <w:szCs w:val="16"/>
              </w:rPr>
              <w:t>Ст. 15.15.11</w:t>
            </w:r>
          </w:p>
        </w:tc>
        <w:tc>
          <w:tcPr>
            <w:tcW w:w="0" w:type="auto"/>
            <w:shd w:val="clear" w:color="auto" w:fill="auto"/>
            <w:noWrap/>
            <w:vAlign w:val="center"/>
          </w:tcPr>
          <w:p w:rsidR="0055491A" w:rsidRPr="00EC24B4" w:rsidRDefault="0055491A" w:rsidP="00210BF6">
            <w:pPr>
              <w:jc w:val="center"/>
              <w:rPr>
                <w:sz w:val="20"/>
                <w:szCs w:val="20"/>
              </w:rPr>
            </w:pPr>
            <w:r w:rsidRPr="00EC24B4">
              <w:rPr>
                <w:sz w:val="20"/>
                <w:szCs w:val="20"/>
              </w:rPr>
              <w:t>10</w:t>
            </w:r>
          </w:p>
        </w:tc>
        <w:tc>
          <w:tcPr>
            <w:tcW w:w="0" w:type="auto"/>
            <w:shd w:val="clear" w:color="auto" w:fill="auto"/>
            <w:noWrap/>
            <w:vAlign w:val="center"/>
          </w:tcPr>
          <w:p w:rsidR="0055491A" w:rsidRPr="00EC24B4" w:rsidRDefault="0055491A" w:rsidP="00210BF6">
            <w:pPr>
              <w:jc w:val="center"/>
              <w:rPr>
                <w:sz w:val="20"/>
                <w:szCs w:val="20"/>
              </w:rPr>
            </w:pPr>
            <w:r w:rsidRPr="00EC24B4">
              <w:rPr>
                <w:sz w:val="20"/>
                <w:szCs w:val="20"/>
              </w:rPr>
              <w:t>0</w:t>
            </w:r>
          </w:p>
        </w:tc>
        <w:tc>
          <w:tcPr>
            <w:tcW w:w="0" w:type="auto"/>
            <w:shd w:val="clear" w:color="auto" w:fill="auto"/>
            <w:noWrap/>
            <w:vAlign w:val="center"/>
          </w:tcPr>
          <w:p w:rsidR="0055491A" w:rsidRPr="00EC24B4" w:rsidRDefault="0055491A" w:rsidP="00210BF6">
            <w:pPr>
              <w:jc w:val="center"/>
              <w:rPr>
                <w:sz w:val="20"/>
                <w:szCs w:val="20"/>
              </w:rPr>
            </w:pPr>
            <w:r>
              <w:rPr>
                <w:sz w:val="20"/>
                <w:szCs w:val="20"/>
              </w:rPr>
              <w:t>2</w:t>
            </w:r>
          </w:p>
        </w:tc>
        <w:tc>
          <w:tcPr>
            <w:tcW w:w="0" w:type="auto"/>
            <w:shd w:val="clear" w:color="auto" w:fill="auto"/>
            <w:noWrap/>
            <w:vAlign w:val="center"/>
          </w:tcPr>
          <w:p w:rsidR="0055491A" w:rsidRPr="00EC24B4" w:rsidRDefault="0055491A" w:rsidP="00210BF6">
            <w:pPr>
              <w:jc w:val="center"/>
              <w:rPr>
                <w:sz w:val="20"/>
                <w:szCs w:val="20"/>
              </w:rPr>
            </w:pPr>
            <w:r>
              <w:rPr>
                <w:sz w:val="20"/>
                <w:szCs w:val="20"/>
              </w:rPr>
              <w:t>0</w:t>
            </w:r>
          </w:p>
        </w:tc>
        <w:tc>
          <w:tcPr>
            <w:tcW w:w="0" w:type="auto"/>
            <w:shd w:val="clear" w:color="auto" w:fill="auto"/>
            <w:noWrap/>
            <w:vAlign w:val="center"/>
          </w:tcPr>
          <w:p w:rsidR="0055491A" w:rsidRPr="00EC24B4" w:rsidRDefault="0055491A" w:rsidP="00210BF6">
            <w:pPr>
              <w:jc w:val="center"/>
              <w:rPr>
                <w:sz w:val="20"/>
                <w:szCs w:val="20"/>
              </w:rPr>
            </w:pPr>
            <w:r>
              <w:rPr>
                <w:sz w:val="20"/>
                <w:szCs w:val="20"/>
              </w:rPr>
              <w:t>1</w:t>
            </w:r>
          </w:p>
        </w:tc>
        <w:tc>
          <w:tcPr>
            <w:tcW w:w="0" w:type="auto"/>
            <w:shd w:val="clear" w:color="auto" w:fill="auto"/>
            <w:noWrap/>
            <w:vAlign w:val="center"/>
          </w:tcPr>
          <w:p w:rsidR="0055491A" w:rsidRPr="00EC24B4" w:rsidRDefault="0055491A" w:rsidP="00210BF6">
            <w:pPr>
              <w:jc w:val="center"/>
              <w:rPr>
                <w:sz w:val="20"/>
                <w:szCs w:val="20"/>
              </w:rPr>
            </w:pPr>
            <w:r>
              <w:rPr>
                <w:sz w:val="20"/>
                <w:szCs w:val="20"/>
              </w:rPr>
              <w:t>10,0</w:t>
            </w:r>
          </w:p>
        </w:tc>
        <w:tc>
          <w:tcPr>
            <w:tcW w:w="0" w:type="auto"/>
            <w:shd w:val="clear" w:color="auto" w:fill="auto"/>
            <w:noWrap/>
            <w:vAlign w:val="center"/>
          </w:tcPr>
          <w:p w:rsidR="0055491A" w:rsidRPr="00EC24B4" w:rsidRDefault="0055491A" w:rsidP="00210BF6">
            <w:pPr>
              <w:jc w:val="center"/>
              <w:rPr>
                <w:sz w:val="20"/>
                <w:szCs w:val="20"/>
              </w:rPr>
            </w:pPr>
            <w:r>
              <w:rPr>
                <w:sz w:val="20"/>
                <w:szCs w:val="20"/>
              </w:rPr>
              <w:t>1</w:t>
            </w:r>
          </w:p>
        </w:tc>
        <w:tc>
          <w:tcPr>
            <w:tcW w:w="0" w:type="auto"/>
            <w:shd w:val="clear" w:color="auto" w:fill="auto"/>
            <w:noWrap/>
            <w:vAlign w:val="center"/>
          </w:tcPr>
          <w:p w:rsidR="0055491A" w:rsidRPr="00EC24B4" w:rsidRDefault="0055491A" w:rsidP="00210BF6">
            <w:pPr>
              <w:jc w:val="center"/>
              <w:rPr>
                <w:sz w:val="20"/>
                <w:szCs w:val="20"/>
              </w:rPr>
            </w:pPr>
            <w:r>
              <w:rPr>
                <w:sz w:val="20"/>
                <w:szCs w:val="20"/>
              </w:rPr>
              <w:t>10,0</w:t>
            </w:r>
          </w:p>
        </w:tc>
        <w:tc>
          <w:tcPr>
            <w:tcW w:w="0" w:type="auto"/>
            <w:shd w:val="clear" w:color="auto" w:fill="auto"/>
            <w:noWrap/>
            <w:vAlign w:val="center"/>
          </w:tcPr>
          <w:p w:rsidR="0055491A" w:rsidRPr="00EC24B4" w:rsidRDefault="0055491A" w:rsidP="00210BF6">
            <w:pPr>
              <w:jc w:val="center"/>
              <w:rPr>
                <w:sz w:val="20"/>
                <w:szCs w:val="20"/>
              </w:rPr>
            </w:pPr>
            <w:r>
              <w:rPr>
                <w:sz w:val="20"/>
                <w:szCs w:val="20"/>
              </w:rPr>
              <w:t>1</w:t>
            </w:r>
          </w:p>
        </w:tc>
        <w:tc>
          <w:tcPr>
            <w:tcW w:w="0" w:type="auto"/>
            <w:shd w:val="clear" w:color="auto" w:fill="auto"/>
            <w:noWrap/>
            <w:vAlign w:val="center"/>
          </w:tcPr>
          <w:p w:rsidR="0055491A" w:rsidRPr="00EC24B4" w:rsidRDefault="0055491A" w:rsidP="00210BF6">
            <w:pPr>
              <w:jc w:val="center"/>
              <w:rPr>
                <w:sz w:val="20"/>
                <w:szCs w:val="20"/>
              </w:rPr>
            </w:pPr>
            <w:r>
              <w:rPr>
                <w:sz w:val="20"/>
                <w:szCs w:val="20"/>
              </w:rPr>
              <w:t>10,0</w:t>
            </w:r>
          </w:p>
        </w:tc>
        <w:tc>
          <w:tcPr>
            <w:tcW w:w="0" w:type="auto"/>
            <w:shd w:val="clear" w:color="auto" w:fill="auto"/>
            <w:noWrap/>
            <w:vAlign w:val="center"/>
          </w:tcPr>
          <w:p w:rsidR="0055491A" w:rsidRPr="00EC24B4" w:rsidRDefault="0055491A" w:rsidP="00210BF6">
            <w:pPr>
              <w:jc w:val="center"/>
              <w:rPr>
                <w:sz w:val="20"/>
                <w:szCs w:val="20"/>
              </w:rPr>
            </w:pPr>
            <w:r>
              <w:rPr>
                <w:sz w:val="20"/>
                <w:szCs w:val="20"/>
              </w:rPr>
              <w:t>1</w:t>
            </w:r>
          </w:p>
        </w:tc>
        <w:tc>
          <w:tcPr>
            <w:tcW w:w="0" w:type="auto"/>
            <w:shd w:val="clear" w:color="auto" w:fill="auto"/>
            <w:noWrap/>
            <w:vAlign w:val="center"/>
          </w:tcPr>
          <w:p w:rsidR="0055491A" w:rsidRPr="00EC24B4" w:rsidRDefault="0055491A" w:rsidP="00210BF6">
            <w:pPr>
              <w:jc w:val="center"/>
              <w:rPr>
                <w:sz w:val="20"/>
                <w:szCs w:val="20"/>
              </w:rPr>
            </w:pPr>
            <w:r>
              <w:rPr>
                <w:sz w:val="20"/>
                <w:szCs w:val="20"/>
              </w:rPr>
              <w:t>10,0</w:t>
            </w:r>
          </w:p>
        </w:tc>
      </w:tr>
      <w:tr w:rsidR="0055491A" w:rsidRPr="00A20DFB" w:rsidTr="00210BF6">
        <w:trPr>
          <w:trHeight w:val="265"/>
        </w:trPr>
        <w:tc>
          <w:tcPr>
            <w:tcW w:w="0" w:type="auto"/>
            <w:shd w:val="clear" w:color="auto" w:fill="auto"/>
            <w:vAlign w:val="center"/>
          </w:tcPr>
          <w:p w:rsidR="0055491A" w:rsidRPr="00EC24B4" w:rsidRDefault="0055491A" w:rsidP="00210BF6">
            <w:pPr>
              <w:jc w:val="center"/>
              <w:rPr>
                <w:sz w:val="16"/>
                <w:szCs w:val="16"/>
              </w:rPr>
            </w:pPr>
            <w:r w:rsidRPr="00EC24B4">
              <w:rPr>
                <w:sz w:val="16"/>
                <w:szCs w:val="16"/>
              </w:rPr>
              <w:t>Ст. 15.15.11</w:t>
            </w:r>
          </w:p>
        </w:tc>
        <w:tc>
          <w:tcPr>
            <w:tcW w:w="0" w:type="auto"/>
            <w:shd w:val="clear" w:color="auto" w:fill="auto"/>
            <w:noWrap/>
            <w:vAlign w:val="center"/>
          </w:tcPr>
          <w:p w:rsidR="0055491A" w:rsidRPr="00EC24B4" w:rsidRDefault="0055491A" w:rsidP="00210BF6">
            <w:pPr>
              <w:jc w:val="center"/>
              <w:rPr>
                <w:sz w:val="20"/>
                <w:szCs w:val="20"/>
              </w:rPr>
            </w:pPr>
            <w:r>
              <w:rPr>
                <w:sz w:val="20"/>
                <w:szCs w:val="20"/>
              </w:rPr>
              <w:t>20</w:t>
            </w:r>
          </w:p>
        </w:tc>
        <w:tc>
          <w:tcPr>
            <w:tcW w:w="0" w:type="auto"/>
            <w:shd w:val="clear" w:color="auto" w:fill="auto"/>
            <w:noWrap/>
            <w:vAlign w:val="center"/>
          </w:tcPr>
          <w:p w:rsidR="0055491A" w:rsidRPr="00EC24B4" w:rsidRDefault="0055491A" w:rsidP="00210BF6">
            <w:pPr>
              <w:jc w:val="center"/>
              <w:rPr>
                <w:sz w:val="20"/>
                <w:szCs w:val="20"/>
              </w:rPr>
            </w:pPr>
            <w:r>
              <w:rPr>
                <w:sz w:val="20"/>
                <w:szCs w:val="20"/>
              </w:rPr>
              <w:t>0</w:t>
            </w:r>
          </w:p>
        </w:tc>
        <w:tc>
          <w:tcPr>
            <w:tcW w:w="0" w:type="auto"/>
            <w:shd w:val="clear" w:color="auto" w:fill="auto"/>
            <w:noWrap/>
            <w:vAlign w:val="center"/>
          </w:tcPr>
          <w:p w:rsidR="0055491A" w:rsidRDefault="0055491A" w:rsidP="00210BF6">
            <w:pPr>
              <w:jc w:val="center"/>
              <w:rPr>
                <w:sz w:val="20"/>
                <w:szCs w:val="20"/>
              </w:rPr>
            </w:pPr>
            <w:r>
              <w:rPr>
                <w:sz w:val="20"/>
                <w:szCs w:val="20"/>
              </w:rPr>
              <w:t>2</w:t>
            </w:r>
          </w:p>
        </w:tc>
        <w:tc>
          <w:tcPr>
            <w:tcW w:w="0" w:type="auto"/>
            <w:shd w:val="clear" w:color="auto" w:fill="auto"/>
            <w:noWrap/>
            <w:vAlign w:val="center"/>
          </w:tcPr>
          <w:p w:rsidR="0055491A" w:rsidRDefault="0055491A" w:rsidP="00210BF6">
            <w:pPr>
              <w:jc w:val="center"/>
              <w:rPr>
                <w:sz w:val="20"/>
                <w:szCs w:val="20"/>
              </w:rPr>
            </w:pPr>
            <w:r>
              <w:rPr>
                <w:sz w:val="20"/>
                <w:szCs w:val="20"/>
              </w:rPr>
              <w:t>0</w:t>
            </w:r>
          </w:p>
        </w:tc>
        <w:tc>
          <w:tcPr>
            <w:tcW w:w="0" w:type="auto"/>
            <w:shd w:val="clear" w:color="auto" w:fill="auto"/>
            <w:noWrap/>
            <w:vAlign w:val="center"/>
          </w:tcPr>
          <w:p w:rsidR="0055491A" w:rsidRDefault="0055491A" w:rsidP="00210BF6">
            <w:pPr>
              <w:jc w:val="center"/>
              <w:rPr>
                <w:sz w:val="20"/>
                <w:szCs w:val="20"/>
              </w:rPr>
            </w:pPr>
            <w:r>
              <w:rPr>
                <w:sz w:val="20"/>
                <w:szCs w:val="20"/>
              </w:rPr>
              <w:t>1</w:t>
            </w:r>
          </w:p>
        </w:tc>
        <w:tc>
          <w:tcPr>
            <w:tcW w:w="0" w:type="auto"/>
            <w:shd w:val="clear" w:color="auto" w:fill="auto"/>
            <w:noWrap/>
            <w:vAlign w:val="center"/>
          </w:tcPr>
          <w:p w:rsidR="0055491A" w:rsidRDefault="0055491A" w:rsidP="00210BF6">
            <w:pPr>
              <w:jc w:val="center"/>
              <w:rPr>
                <w:sz w:val="20"/>
                <w:szCs w:val="20"/>
              </w:rPr>
            </w:pPr>
            <w:r>
              <w:rPr>
                <w:sz w:val="20"/>
                <w:szCs w:val="20"/>
              </w:rPr>
              <w:t>20,0</w:t>
            </w:r>
          </w:p>
        </w:tc>
        <w:tc>
          <w:tcPr>
            <w:tcW w:w="0" w:type="auto"/>
            <w:shd w:val="clear" w:color="auto" w:fill="auto"/>
            <w:noWrap/>
            <w:vAlign w:val="center"/>
          </w:tcPr>
          <w:p w:rsidR="0055491A" w:rsidRPr="00EC24B4" w:rsidRDefault="0055491A" w:rsidP="00210BF6">
            <w:pPr>
              <w:jc w:val="center"/>
              <w:rPr>
                <w:sz w:val="20"/>
                <w:szCs w:val="20"/>
              </w:rPr>
            </w:pPr>
            <w:r>
              <w:rPr>
                <w:sz w:val="20"/>
                <w:szCs w:val="20"/>
              </w:rPr>
              <w:t>1</w:t>
            </w:r>
          </w:p>
        </w:tc>
        <w:tc>
          <w:tcPr>
            <w:tcW w:w="0" w:type="auto"/>
            <w:shd w:val="clear" w:color="auto" w:fill="auto"/>
            <w:noWrap/>
            <w:vAlign w:val="center"/>
          </w:tcPr>
          <w:p w:rsidR="0055491A" w:rsidRPr="00EC24B4" w:rsidRDefault="0055491A" w:rsidP="00210BF6">
            <w:pPr>
              <w:jc w:val="center"/>
              <w:rPr>
                <w:sz w:val="20"/>
                <w:szCs w:val="20"/>
              </w:rPr>
            </w:pPr>
            <w:r>
              <w:rPr>
                <w:sz w:val="20"/>
                <w:szCs w:val="20"/>
              </w:rPr>
              <w:t>20,0</w:t>
            </w:r>
          </w:p>
        </w:tc>
        <w:tc>
          <w:tcPr>
            <w:tcW w:w="0" w:type="auto"/>
            <w:shd w:val="clear" w:color="auto" w:fill="auto"/>
            <w:noWrap/>
            <w:vAlign w:val="center"/>
          </w:tcPr>
          <w:p w:rsidR="0055491A" w:rsidRPr="00EC24B4" w:rsidRDefault="0055491A" w:rsidP="00210BF6">
            <w:pPr>
              <w:jc w:val="center"/>
              <w:rPr>
                <w:sz w:val="20"/>
                <w:szCs w:val="20"/>
              </w:rPr>
            </w:pPr>
            <w:r>
              <w:rPr>
                <w:sz w:val="20"/>
                <w:szCs w:val="20"/>
              </w:rPr>
              <w:t>1</w:t>
            </w:r>
          </w:p>
        </w:tc>
        <w:tc>
          <w:tcPr>
            <w:tcW w:w="0" w:type="auto"/>
            <w:shd w:val="clear" w:color="auto" w:fill="auto"/>
            <w:noWrap/>
            <w:vAlign w:val="center"/>
          </w:tcPr>
          <w:p w:rsidR="0055491A" w:rsidRPr="00EC24B4" w:rsidRDefault="0055491A" w:rsidP="00210BF6">
            <w:pPr>
              <w:jc w:val="center"/>
              <w:rPr>
                <w:sz w:val="20"/>
                <w:szCs w:val="20"/>
              </w:rPr>
            </w:pPr>
            <w:r>
              <w:rPr>
                <w:sz w:val="20"/>
                <w:szCs w:val="20"/>
              </w:rPr>
              <w:t>20,0</w:t>
            </w:r>
          </w:p>
        </w:tc>
        <w:tc>
          <w:tcPr>
            <w:tcW w:w="0" w:type="auto"/>
            <w:shd w:val="clear" w:color="auto" w:fill="auto"/>
            <w:noWrap/>
            <w:vAlign w:val="center"/>
          </w:tcPr>
          <w:p w:rsidR="0055491A" w:rsidRPr="00EC24B4" w:rsidRDefault="0055491A" w:rsidP="00210BF6">
            <w:pPr>
              <w:jc w:val="center"/>
              <w:rPr>
                <w:sz w:val="20"/>
                <w:szCs w:val="20"/>
              </w:rPr>
            </w:pPr>
            <w:r>
              <w:rPr>
                <w:sz w:val="20"/>
                <w:szCs w:val="20"/>
              </w:rPr>
              <w:t>1</w:t>
            </w:r>
          </w:p>
        </w:tc>
        <w:tc>
          <w:tcPr>
            <w:tcW w:w="0" w:type="auto"/>
            <w:shd w:val="clear" w:color="auto" w:fill="auto"/>
            <w:noWrap/>
            <w:vAlign w:val="center"/>
          </w:tcPr>
          <w:p w:rsidR="0055491A" w:rsidRPr="00EC24B4" w:rsidRDefault="0055491A" w:rsidP="00210BF6">
            <w:pPr>
              <w:jc w:val="center"/>
              <w:rPr>
                <w:sz w:val="20"/>
                <w:szCs w:val="20"/>
              </w:rPr>
            </w:pPr>
            <w:r>
              <w:rPr>
                <w:sz w:val="20"/>
                <w:szCs w:val="20"/>
              </w:rPr>
              <w:t>20,0</w:t>
            </w:r>
          </w:p>
        </w:tc>
      </w:tr>
      <w:tr w:rsidR="0055491A" w:rsidRPr="00540898" w:rsidTr="00210BF6">
        <w:trPr>
          <w:trHeight w:val="255"/>
        </w:trPr>
        <w:tc>
          <w:tcPr>
            <w:tcW w:w="0" w:type="auto"/>
            <w:shd w:val="clear" w:color="auto" w:fill="auto"/>
            <w:vAlign w:val="center"/>
            <w:hideMark/>
          </w:tcPr>
          <w:p w:rsidR="0055491A" w:rsidRPr="00540898" w:rsidRDefault="0055491A" w:rsidP="00210BF6">
            <w:pPr>
              <w:jc w:val="center"/>
              <w:rPr>
                <w:b/>
                <w:bCs/>
                <w:sz w:val="22"/>
                <w:szCs w:val="22"/>
              </w:rPr>
            </w:pPr>
            <w:r w:rsidRPr="00540898">
              <w:rPr>
                <w:b/>
                <w:bCs/>
                <w:sz w:val="22"/>
                <w:szCs w:val="22"/>
              </w:rPr>
              <w:t>Итого</w:t>
            </w:r>
          </w:p>
        </w:tc>
        <w:tc>
          <w:tcPr>
            <w:tcW w:w="0" w:type="auto"/>
            <w:shd w:val="clear" w:color="auto" w:fill="auto"/>
            <w:noWrap/>
            <w:vAlign w:val="center"/>
            <w:hideMark/>
          </w:tcPr>
          <w:p w:rsidR="0055491A" w:rsidRPr="00540898" w:rsidRDefault="0055491A" w:rsidP="00210BF6">
            <w:pPr>
              <w:jc w:val="center"/>
              <w:rPr>
                <w:b/>
                <w:bCs/>
                <w:sz w:val="22"/>
                <w:szCs w:val="22"/>
              </w:rPr>
            </w:pPr>
          </w:p>
        </w:tc>
        <w:tc>
          <w:tcPr>
            <w:tcW w:w="0" w:type="auto"/>
            <w:shd w:val="clear" w:color="auto" w:fill="auto"/>
            <w:noWrap/>
            <w:vAlign w:val="center"/>
            <w:hideMark/>
          </w:tcPr>
          <w:p w:rsidR="0055491A" w:rsidRPr="00540898" w:rsidRDefault="0055491A" w:rsidP="00210BF6">
            <w:pPr>
              <w:jc w:val="center"/>
              <w:rPr>
                <w:b/>
                <w:bCs/>
                <w:sz w:val="22"/>
                <w:szCs w:val="22"/>
              </w:rPr>
            </w:pPr>
          </w:p>
        </w:tc>
        <w:tc>
          <w:tcPr>
            <w:tcW w:w="0" w:type="auto"/>
            <w:shd w:val="clear" w:color="auto" w:fill="auto"/>
            <w:noWrap/>
            <w:vAlign w:val="center"/>
            <w:hideMark/>
          </w:tcPr>
          <w:p w:rsidR="0055491A" w:rsidRPr="00540898" w:rsidRDefault="0055491A" w:rsidP="00210BF6">
            <w:pPr>
              <w:jc w:val="center"/>
              <w:rPr>
                <w:b/>
                <w:bCs/>
                <w:sz w:val="22"/>
                <w:szCs w:val="22"/>
              </w:rPr>
            </w:pPr>
          </w:p>
        </w:tc>
        <w:tc>
          <w:tcPr>
            <w:tcW w:w="0" w:type="auto"/>
            <w:shd w:val="clear" w:color="auto" w:fill="auto"/>
            <w:noWrap/>
            <w:vAlign w:val="center"/>
            <w:hideMark/>
          </w:tcPr>
          <w:p w:rsidR="0055491A" w:rsidRPr="00540898" w:rsidRDefault="0055491A" w:rsidP="00210BF6">
            <w:pPr>
              <w:jc w:val="center"/>
              <w:rPr>
                <w:b/>
                <w:bCs/>
                <w:sz w:val="22"/>
                <w:szCs w:val="22"/>
              </w:rPr>
            </w:pPr>
          </w:p>
        </w:tc>
        <w:tc>
          <w:tcPr>
            <w:tcW w:w="0" w:type="auto"/>
            <w:shd w:val="clear" w:color="auto" w:fill="auto"/>
            <w:noWrap/>
            <w:vAlign w:val="center"/>
            <w:hideMark/>
          </w:tcPr>
          <w:p w:rsidR="0055491A" w:rsidRPr="00540898" w:rsidRDefault="0055491A" w:rsidP="00210BF6">
            <w:pPr>
              <w:jc w:val="center"/>
              <w:rPr>
                <w:b/>
                <w:bCs/>
                <w:sz w:val="22"/>
                <w:szCs w:val="22"/>
              </w:rPr>
            </w:pPr>
          </w:p>
        </w:tc>
        <w:tc>
          <w:tcPr>
            <w:tcW w:w="0" w:type="auto"/>
            <w:shd w:val="clear" w:color="auto" w:fill="auto"/>
            <w:noWrap/>
            <w:vAlign w:val="center"/>
            <w:hideMark/>
          </w:tcPr>
          <w:p w:rsidR="0055491A" w:rsidRPr="00540898" w:rsidRDefault="0055491A" w:rsidP="00210BF6">
            <w:pPr>
              <w:jc w:val="center"/>
              <w:rPr>
                <w:b/>
                <w:bCs/>
                <w:color w:val="000000"/>
                <w:sz w:val="22"/>
                <w:szCs w:val="22"/>
              </w:rPr>
            </w:pPr>
            <w:r w:rsidRPr="00540898">
              <w:rPr>
                <w:b/>
                <w:bCs/>
                <w:sz w:val="22"/>
                <w:szCs w:val="22"/>
              </w:rPr>
              <w:t>3</w:t>
            </w:r>
            <w:r>
              <w:rPr>
                <w:b/>
                <w:bCs/>
                <w:sz w:val="22"/>
                <w:szCs w:val="22"/>
              </w:rPr>
              <w:t>70</w:t>
            </w:r>
            <w:r w:rsidRPr="00540898">
              <w:rPr>
                <w:b/>
                <w:bCs/>
                <w:sz w:val="22"/>
                <w:szCs w:val="22"/>
              </w:rPr>
              <w:t>,0</w:t>
            </w:r>
          </w:p>
        </w:tc>
        <w:tc>
          <w:tcPr>
            <w:tcW w:w="0" w:type="auto"/>
            <w:shd w:val="clear" w:color="auto" w:fill="auto"/>
            <w:noWrap/>
            <w:vAlign w:val="center"/>
            <w:hideMark/>
          </w:tcPr>
          <w:p w:rsidR="0055491A" w:rsidRPr="00540898" w:rsidRDefault="0055491A" w:rsidP="00210BF6">
            <w:pPr>
              <w:jc w:val="center"/>
              <w:rPr>
                <w:b/>
                <w:bCs/>
                <w:color w:val="000000"/>
                <w:sz w:val="22"/>
                <w:szCs w:val="22"/>
              </w:rPr>
            </w:pPr>
          </w:p>
        </w:tc>
        <w:tc>
          <w:tcPr>
            <w:tcW w:w="0" w:type="auto"/>
            <w:shd w:val="clear" w:color="auto" w:fill="auto"/>
            <w:noWrap/>
            <w:vAlign w:val="center"/>
            <w:hideMark/>
          </w:tcPr>
          <w:p w:rsidR="0055491A" w:rsidRPr="00540898" w:rsidRDefault="0055491A" w:rsidP="00210BF6">
            <w:pPr>
              <w:jc w:val="center"/>
              <w:rPr>
                <w:b/>
                <w:bCs/>
                <w:color w:val="000000"/>
                <w:sz w:val="22"/>
                <w:szCs w:val="22"/>
              </w:rPr>
            </w:pPr>
            <w:r>
              <w:rPr>
                <w:b/>
                <w:bCs/>
                <w:color w:val="000000"/>
                <w:sz w:val="22"/>
                <w:szCs w:val="22"/>
              </w:rPr>
              <w:t>37</w:t>
            </w:r>
            <w:r w:rsidRPr="00540898">
              <w:rPr>
                <w:b/>
                <w:bCs/>
                <w:color w:val="000000"/>
                <w:sz w:val="22"/>
                <w:szCs w:val="22"/>
              </w:rPr>
              <w:t>0,0</w:t>
            </w:r>
          </w:p>
        </w:tc>
        <w:tc>
          <w:tcPr>
            <w:tcW w:w="0" w:type="auto"/>
            <w:shd w:val="clear" w:color="auto" w:fill="auto"/>
            <w:noWrap/>
            <w:vAlign w:val="center"/>
            <w:hideMark/>
          </w:tcPr>
          <w:p w:rsidR="0055491A" w:rsidRPr="00540898" w:rsidRDefault="0055491A" w:rsidP="00210BF6">
            <w:pPr>
              <w:jc w:val="center"/>
              <w:rPr>
                <w:b/>
                <w:bCs/>
                <w:color w:val="000000"/>
                <w:sz w:val="22"/>
                <w:szCs w:val="22"/>
              </w:rPr>
            </w:pPr>
          </w:p>
        </w:tc>
        <w:tc>
          <w:tcPr>
            <w:tcW w:w="0" w:type="auto"/>
            <w:shd w:val="clear" w:color="auto" w:fill="auto"/>
            <w:noWrap/>
            <w:vAlign w:val="center"/>
            <w:hideMark/>
          </w:tcPr>
          <w:p w:rsidR="0055491A" w:rsidRPr="00540898" w:rsidRDefault="0055491A" w:rsidP="00210BF6">
            <w:pPr>
              <w:jc w:val="center"/>
              <w:rPr>
                <w:b/>
                <w:bCs/>
                <w:color w:val="000000"/>
                <w:sz w:val="22"/>
                <w:szCs w:val="22"/>
              </w:rPr>
            </w:pPr>
            <w:r w:rsidRPr="00540898">
              <w:rPr>
                <w:b/>
                <w:bCs/>
                <w:color w:val="000000"/>
                <w:sz w:val="22"/>
                <w:szCs w:val="22"/>
              </w:rPr>
              <w:t>3</w:t>
            </w:r>
            <w:r>
              <w:rPr>
                <w:b/>
                <w:bCs/>
                <w:color w:val="000000"/>
                <w:sz w:val="22"/>
                <w:szCs w:val="22"/>
              </w:rPr>
              <w:t>1</w:t>
            </w:r>
            <w:r w:rsidRPr="00540898">
              <w:rPr>
                <w:b/>
                <w:bCs/>
                <w:color w:val="000000"/>
                <w:sz w:val="22"/>
                <w:szCs w:val="22"/>
              </w:rPr>
              <w:t>0,0</w:t>
            </w:r>
          </w:p>
        </w:tc>
        <w:tc>
          <w:tcPr>
            <w:tcW w:w="0" w:type="auto"/>
            <w:shd w:val="clear" w:color="auto" w:fill="auto"/>
            <w:noWrap/>
            <w:vAlign w:val="center"/>
            <w:hideMark/>
          </w:tcPr>
          <w:p w:rsidR="0055491A" w:rsidRPr="00540898" w:rsidRDefault="0055491A" w:rsidP="00210BF6">
            <w:pPr>
              <w:jc w:val="center"/>
              <w:rPr>
                <w:b/>
                <w:bCs/>
                <w:color w:val="000000"/>
                <w:sz w:val="22"/>
                <w:szCs w:val="22"/>
              </w:rPr>
            </w:pPr>
          </w:p>
        </w:tc>
        <w:tc>
          <w:tcPr>
            <w:tcW w:w="0" w:type="auto"/>
            <w:shd w:val="clear" w:color="auto" w:fill="auto"/>
            <w:noWrap/>
            <w:vAlign w:val="center"/>
            <w:hideMark/>
          </w:tcPr>
          <w:p w:rsidR="0055491A" w:rsidRPr="00540898" w:rsidRDefault="0055491A" w:rsidP="00210BF6">
            <w:pPr>
              <w:jc w:val="center"/>
              <w:rPr>
                <w:b/>
                <w:bCs/>
                <w:color w:val="000000"/>
                <w:sz w:val="22"/>
                <w:szCs w:val="22"/>
              </w:rPr>
            </w:pPr>
            <w:r>
              <w:rPr>
                <w:b/>
                <w:bCs/>
                <w:color w:val="000000"/>
                <w:sz w:val="22"/>
                <w:szCs w:val="22"/>
              </w:rPr>
              <w:t>36</w:t>
            </w:r>
            <w:r w:rsidRPr="00540898">
              <w:rPr>
                <w:b/>
                <w:bCs/>
                <w:color w:val="000000"/>
                <w:sz w:val="22"/>
                <w:szCs w:val="22"/>
              </w:rPr>
              <w:t>0,0</w:t>
            </w:r>
          </w:p>
        </w:tc>
      </w:tr>
    </w:tbl>
    <w:p w:rsidR="0055491A" w:rsidRDefault="0055491A" w:rsidP="0055491A">
      <w:pPr>
        <w:pStyle w:val="a7"/>
        <w:spacing w:after="0"/>
        <w:ind w:left="0" w:firstLine="709"/>
        <w:jc w:val="both"/>
        <w:rPr>
          <w:sz w:val="28"/>
          <w:szCs w:val="28"/>
        </w:rPr>
      </w:pPr>
    </w:p>
    <w:p w:rsidR="0055491A" w:rsidRPr="00F816DC" w:rsidRDefault="0055491A" w:rsidP="0055491A">
      <w:pPr>
        <w:ind w:firstLine="709"/>
        <w:jc w:val="both"/>
        <w:rPr>
          <w:b/>
          <w:sz w:val="28"/>
          <w:szCs w:val="28"/>
        </w:rPr>
      </w:pPr>
      <w:r w:rsidRPr="00F816DC">
        <w:rPr>
          <w:b/>
          <w:sz w:val="28"/>
          <w:szCs w:val="28"/>
        </w:rPr>
        <w:t>Прогноз доходов на 2022 год – 370,0 тыс. руб.,                                                              на 2023 год – 310,0 тыс. руб., на 2024 год – 360,0 тыс. руб.</w:t>
      </w:r>
    </w:p>
    <w:p w:rsidR="0055491A" w:rsidRPr="00F816DC" w:rsidRDefault="0055491A" w:rsidP="0055491A">
      <w:pPr>
        <w:ind w:firstLine="709"/>
        <w:jc w:val="both"/>
        <w:rPr>
          <w:b/>
          <w:color w:val="000000"/>
          <w:sz w:val="28"/>
          <w:szCs w:val="28"/>
        </w:rPr>
      </w:pPr>
    </w:p>
    <w:p w:rsidR="0055491A" w:rsidRDefault="0055491A" w:rsidP="0055491A">
      <w:pPr>
        <w:ind w:firstLine="709"/>
        <w:jc w:val="both"/>
        <w:rPr>
          <w:color w:val="000000"/>
          <w:sz w:val="28"/>
          <w:szCs w:val="28"/>
        </w:rPr>
      </w:pPr>
      <w:r>
        <w:rPr>
          <w:color w:val="000000"/>
          <w:sz w:val="28"/>
          <w:szCs w:val="28"/>
        </w:rPr>
        <w:t xml:space="preserve">12. </w:t>
      </w:r>
      <w:r w:rsidRPr="00E37CBC">
        <w:rPr>
          <w:color w:val="000000"/>
          <w:sz w:val="28"/>
          <w:szCs w:val="28"/>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w:t>
      </w:r>
      <w:r>
        <w:rPr>
          <w:color w:val="000000"/>
          <w:sz w:val="28"/>
          <w:szCs w:val="28"/>
        </w:rPr>
        <w:t xml:space="preserve"> (</w:t>
      </w:r>
      <w:r w:rsidRPr="00843519">
        <w:rPr>
          <w:b/>
          <w:color w:val="000000"/>
          <w:sz w:val="28"/>
          <w:szCs w:val="28"/>
        </w:rPr>
        <w:t>КБК 000 1 16 01170 01 0000 140</w:t>
      </w:r>
      <w:r>
        <w:rPr>
          <w:color w:val="000000"/>
          <w:sz w:val="28"/>
          <w:szCs w:val="28"/>
        </w:rPr>
        <w:t>).</w:t>
      </w:r>
    </w:p>
    <w:p w:rsidR="0055491A" w:rsidRPr="00843519" w:rsidRDefault="0055491A" w:rsidP="0055491A">
      <w:pPr>
        <w:ind w:firstLine="709"/>
        <w:jc w:val="both"/>
        <w:rPr>
          <w:b/>
          <w:color w:val="000000"/>
          <w:sz w:val="28"/>
          <w:szCs w:val="28"/>
        </w:rPr>
      </w:pPr>
      <w:r>
        <w:rPr>
          <w:color w:val="000000"/>
          <w:sz w:val="28"/>
          <w:szCs w:val="28"/>
        </w:rPr>
        <w:t xml:space="preserve"> </w:t>
      </w:r>
      <w:r w:rsidRPr="00843519">
        <w:rPr>
          <w:b/>
          <w:color w:val="000000"/>
          <w:sz w:val="28"/>
          <w:szCs w:val="28"/>
        </w:rPr>
        <w:t>Прогноз доходов на 202</w:t>
      </w:r>
      <w:r>
        <w:rPr>
          <w:b/>
          <w:color w:val="000000"/>
          <w:sz w:val="28"/>
          <w:szCs w:val="28"/>
        </w:rPr>
        <w:t>2</w:t>
      </w:r>
      <w:r w:rsidRPr="00843519">
        <w:rPr>
          <w:b/>
          <w:color w:val="000000"/>
          <w:sz w:val="28"/>
          <w:szCs w:val="28"/>
        </w:rPr>
        <w:t xml:space="preserve"> год – </w:t>
      </w:r>
      <w:r>
        <w:rPr>
          <w:b/>
          <w:color w:val="000000"/>
          <w:sz w:val="28"/>
          <w:szCs w:val="28"/>
        </w:rPr>
        <w:t>184</w:t>
      </w:r>
      <w:r w:rsidRPr="00843519">
        <w:rPr>
          <w:b/>
          <w:color w:val="000000"/>
          <w:sz w:val="28"/>
          <w:szCs w:val="28"/>
        </w:rPr>
        <w:t>,3 тыс. руб., на 202</w:t>
      </w:r>
      <w:r>
        <w:rPr>
          <w:b/>
          <w:color w:val="000000"/>
          <w:sz w:val="28"/>
          <w:szCs w:val="28"/>
        </w:rPr>
        <w:t>3</w:t>
      </w:r>
      <w:r w:rsidRPr="00843519">
        <w:rPr>
          <w:b/>
          <w:color w:val="000000"/>
          <w:sz w:val="28"/>
          <w:szCs w:val="28"/>
        </w:rPr>
        <w:t xml:space="preserve"> год – </w:t>
      </w:r>
      <w:r>
        <w:rPr>
          <w:b/>
          <w:color w:val="000000"/>
          <w:sz w:val="28"/>
          <w:szCs w:val="28"/>
        </w:rPr>
        <w:t>184</w:t>
      </w:r>
      <w:r w:rsidRPr="00843519">
        <w:rPr>
          <w:b/>
          <w:color w:val="000000"/>
          <w:sz w:val="28"/>
          <w:szCs w:val="28"/>
        </w:rPr>
        <w:t>,3 тыс. руб., на 202</w:t>
      </w:r>
      <w:r>
        <w:rPr>
          <w:b/>
          <w:color w:val="000000"/>
          <w:sz w:val="28"/>
          <w:szCs w:val="28"/>
        </w:rPr>
        <w:t>4</w:t>
      </w:r>
      <w:r w:rsidRPr="00843519">
        <w:rPr>
          <w:b/>
          <w:color w:val="000000"/>
          <w:sz w:val="28"/>
          <w:szCs w:val="28"/>
        </w:rPr>
        <w:t xml:space="preserve"> год – </w:t>
      </w:r>
      <w:r>
        <w:rPr>
          <w:b/>
          <w:color w:val="000000"/>
          <w:sz w:val="28"/>
          <w:szCs w:val="28"/>
        </w:rPr>
        <w:t>184,3</w:t>
      </w:r>
      <w:r w:rsidRPr="00843519">
        <w:rPr>
          <w:b/>
          <w:color w:val="000000"/>
          <w:sz w:val="28"/>
          <w:szCs w:val="28"/>
        </w:rPr>
        <w:t xml:space="preserve"> тыс. руб.</w:t>
      </w:r>
    </w:p>
    <w:p w:rsidR="0055491A" w:rsidRDefault="0055491A" w:rsidP="0055491A">
      <w:pPr>
        <w:ind w:firstLine="709"/>
        <w:jc w:val="both"/>
        <w:rPr>
          <w:color w:val="000000"/>
          <w:sz w:val="28"/>
          <w:szCs w:val="28"/>
        </w:rPr>
      </w:pPr>
    </w:p>
    <w:p w:rsidR="0055491A" w:rsidRDefault="0055491A" w:rsidP="0055491A">
      <w:pPr>
        <w:ind w:firstLine="709"/>
        <w:jc w:val="both"/>
        <w:rPr>
          <w:color w:val="000000"/>
          <w:sz w:val="28"/>
          <w:szCs w:val="28"/>
        </w:rPr>
      </w:pPr>
      <w:r w:rsidRPr="00843519">
        <w:rPr>
          <w:color w:val="000000"/>
          <w:sz w:val="28"/>
          <w:szCs w:val="28"/>
        </w:rPr>
        <w:t xml:space="preserve">12.1 </w:t>
      </w:r>
      <w:r w:rsidRPr="00843519">
        <w:rPr>
          <w:b/>
          <w:color w:val="000000"/>
          <w:sz w:val="28"/>
          <w:szCs w:val="28"/>
        </w:rPr>
        <w:t>КБК 327 1 16 01173 01 0000 140</w:t>
      </w:r>
      <w:r>
        <w:rPr>
          <w:color w:val="000000"/>
          <w:sz w:val="28"/>
          <w:szCs w:val="28"/>
        </w:rPr>
        <w:t xml:space="preserve"> </w:t>
      </w:r>
      <w:r w:rsidRPr="00AB4CEA">
        <w:rPr>
          <w:color w:val="000000"/>
          <w:sz w:val="28"/>
          <w:szCs w:val="28"/>
        </w:rPr>
        <w:t>Административные штрафы, установленные Главой 1</w:t>
      </w:r>
      <w:r>
        <w:rPr>
          <w:color w:val="000000"/>
          <w:sz w:val="28"/>
          <w:szCs w:val="28"/>
        </w:rPr>
        <w:t>7</w:t>
      </w:r>
      <w:r w:rsidRPr="00AB4CEA">
        <w:rPr>
          <w:color w:val="000000"/>
          <w:sz w:val="28"/>
          <w:szCs w:val="28"/>
        </w:rPr>
        <w:t xml:space="preserve"> Кодекса Российской Федерации об административных правонарушениях,</w:t>
      </w:r>
      <w:r w:rsidRPr="00E37CBC">
        <w:rPr>
          <w:color w:val="000000"/>
          <w:sz w:val="28"/>
          <w:szCs w:val="28"/>
        </w:rPr>
        <w:t xml:space="preserve"> за административные правонарушения, посягающие на институты государственной власти</w:t>
      </w:r>
      <w:r w:rsidRPr="00AB4CEA">
        <w:rPr>
          <w:color w:val="000000"/>
          <w:sz w:val="28"/>
          <w:szCs w:val="28"/>
        </w:rPr>
        <w:t>, налагаемые мировыми судьями, комиссиями по делам несовершеннолетних и защите их прав</w:t>
      </w:r>
      <w:r>
        <w:rPr>
          <w:color w:val="000000"/>
          <w:sz w:val="28"/>
          <w:szCs w:val="28"/>
        </w:rPr>
        <w:t>.</w:t>
      </w:r>
    </w:p>
    <w:p w:rsidR="0055491A" w:rsidRDefault="0055491A" w:rsidP="0055491A">
      <w:pPr>
        <w:ind w:firstLine="709"/>
        <w:jc w:val="both"/>
        <w:rPr>
          <w:sz w:val="28"/>
          <w:szCs w:val="28"/>
        </w:rPr>
      </w:pPr>
    </w:p>
    <w:p w:rsidR="0055491A" w:rsidRPr="00843519" w:rsidRDefault="0055491A" w:rsidP="0055491A">
      <w:pPr>
        <w:autoSpaceDE w:val="0"/>
        <w:autoSpaceDN w:val="0"/>
        <w:adjustRightInd w:val="0"/>
        <w:ind w:firstLine="709"/>
        <w:jc w:val="both"/>
        <w:rPr>
          <w:b/>
          <w:sz w:val="28"/>
          <w:szCs w:val="28"/>
        </w:rPr>
      </w:pPr>
      <w:r w:rsidRPr="00843519">
        <w:rPr>
          <w:b/>
          <w:sz w:val="28"/>
          <w:szCs w:val="28"/>
        </w:rPr>
        <w:t>Главный администратор доходов – Министерство природных ресурсов и экологии Тверской области.</w:t>
      </w:r>
    </w:p>
    <w:p w:rsidR="0055491A" w:rsidRDefault="0055491A" w:rsidP="0055491A">
      <w:pPr>
        <w:autoSpaceDE w:val="0"/>
        <w:autoSpaceDN w:val="0"/>
        <w:adjustRightInd w:val="0"/>
        <w:ind w:firstLine="709"/>
        <w:jc w:val="both"/>
        <w:rPr>
          <w:sz w:val="28"/>
          <w:szCs w:val="28"/>
        </w:rPr>
      </w:pPr>
      <w:r w:rsidRPr="00524F9B">
        <w:rPr>
          <w:sz w:val="28"/>
          <w:szCs w:val="28"/>
        </w:rPr>
        <w:lastRenderedPageBreak/>
        <w:t>Расчет осуществля</w:t>
      </w:r>
      <w:r>
        <w:rPr>
          <w:sz w:val="28"/>
          <w:szCs w:val="28"/>
        </w:rPr>
        <w:t>ется</w:t>
      </w:r>
      <w:r w:rsidRPr="00524F9B">
        <w:rPr>
          <w:sz w:val="28"/>
          <w:szCs w:val="28"/>
        </w:rPr>
        <w:t xml:space="preserve"> методом прямого расчета на основании количества правонарушений по видам и размерам платежа за каждый вид правонарушений. Прогнозное количество правонарушений каждого вида, закрепленного в законодательстве Российской Федерации, определя</w:t>
      </w:r>
      <w:r>
        <w:rPr>
          <w:sz w:val="28"/>
          <w:szCs w:val="28"/>
        </w:rPr>
        <w:t>ется</w:t>
      </w:r>
      <w:r w:rsidRPr="00524F9B">
        <w:rPr>
          <w:sz w:val="28"/>
          <w:szCs w:val="28"/>
        </w:rPr>
        <w:t xml:space="preserve"> путем вычисления среднего арифметического за последние три года. </w:t>
      </w:r>
    </w:p>
    <w:p w:rsidR="0055491A" w:rsidRDefault="0055491A" w:rsidP="0055491A">
      <w:pPr>
        <w:autoSpaceDE w:val="0"/>
        <w:autoSpaceDN w:val="0"/>
        <w:adjustRightInd w:val="0"/>
        <w:ind w:firstLine="540"/>
        <w:jc w:val="both"/>
        <w:rPr>
          <w:sz w:val="28"/>
          <w:szCs w:val="28"/>
        </w:rPr>
      </w:pPr>
      <w:r>
        <w:rPr>
          <w:sz w:val="28"/>
          <w:szCs w:val="28"/>
        </w:rPr>
        <w:t xml:space="preserve">В соответствии с </w:t>
      </w:r>
      <w:hyperlink r:id="rId103" w:history="1">
        <w:r w:rsidRPr="00A63638">
          <w:rPr>
            <w:color w:val="000000" w:themeColor="text1"/>
            <w:sz w:val="28"/>
            <w:szCs w:val="28"/>
          </w:rPr>
          <w:t>пунктом 4 статьи 46</w:t>
        </w:r>
      </w:hyperlink>
      <w:r>
        <w:rPr>
          <w:sz w:val="28"/>
          <w:szCs w:val="28"/>
        </w:rPr>
        <w:t xml:space="preserve"> Бюджетного Кодекса РФ в случае, если постановления о наложении административных штрафов, предусмотренных КоАП РФ, вынесены мировыми судьями, доходы от таких штрафов подлежат зачислению в равных долях (по 50 процентов) в бюджет субъекта Российской Федерации и местные бюджеты.</w:t>
      </w:r>
    </w:p>
    <w:p w:rsidR="0055491A" w:rsidRDefault="0055491A" w:rsidP="0055491A">
      <w:pPr>
        <w:autoSpaceDE w:val="0"/>
        <w:autoSpaceDN w:val="0"/>
        <w:adjustRightInd w:val="0"/>
        <w:ind w:firstLine="709"/>
        <w:jc w:val="both"/>
        <w:rPr>
          <w:sz w:val="28"/>
          <w:szCs w:val="28"/>
        </w:rPr>
      </w:pPr>
    </w:p>
    <w:tbl>
      <w:tblPr>
        <w:tblStyle w:val="a6"/>
        <w:tblW w:w="0" w:type="auto"/>
        <w:tblLook w:val="04A0" w:firstRow="1" w:lastRow="0" w:firstColumn="1" w:lastColumn="0" w:noHBand="0" w:noVBand="1"/>
      </w:tblPr>
      <w:tblGrid>
        <w:gridCol w:w="1421"/>
        <w:gridCol w:w="1094"/>
        <w:gridCol w:w="1094"/>
        <w:gridCol w:w="1094"/>
        <w:gridCol w:w="1671"/>
        <w:gridCol w:w="1783"/>
        <w:gridCol w:w="1187"/>
      </w:tblGrid>
      <w:tr w:rsidR="0055491A" w:rsidRPr="00A63638" w:rsidTr="00210BF6">
        <w:trPr>
          <w:trHeight w:val="285"/>
        </w:trPr>
        <w:tc>
          <w:tcPr>
            <w:tcW w:w="9344" w:type="dxa"/>
            <w:gridSpan w:val="7"/>
            <w:noWrap/>
            <w:hideMark/>
          </w:tcPr>
          <w:p w:rsidR="0055491A" w:rsidRPr="00A63638" w:rsidRDefault="0055491A" w:rsidP="00210BF6">
            <w:pPr>
              <w:autoSpaceDE w:val="0"/>
              <w:autoSpaceDN w:val="0"/>
              <w:adjustRightInd w:val="0"/>
              <w:rPr>
                <w:b/>
                <w:bCs/>
              </w:rPr>
            </w:pPr>
            <w:r w:rsidRPr="00A63638">
              <w:rPr>
                <w:b/>
                <w:bCs/>
              </w:rPr>
              <w:t xml:space="preserve">Нарушение статьи 17.7 </w:t>
            </w:r>
            <w:r w:rsidRPr="00A63638">
              <w:rPr>
                <w:b/>
                <w:sz w:val="28"/>
                <w:szCs w:val="28"/>
              </w:rPr>
              <w:t>КоАП РФ</w:t>
            </w:r>
          </w:p>
        </w:tc>
      </w:tr>
      <w:tr w:rsidR="0055491A" w:rsidRPr="00A63638" w:rsidTr="00210BF6">
        <w:trPr>
          <w:trHeight w:val="255"/>
        </w:trPr>
        <w:tc>
          <w:tcPr>
            <w:tcW w:w="1421" w:type="dxa"/>
            <w:vMerge w:val="restart"/>
            <w:hideMark/>
          </w:tcPr>
          <w:p w:rsidR="0055491A" w:rsidRPr="00A63638" w:rsidRDefault="0055491A" w:rsidP="00210BF6">
            <w:pPr>
              <w:autoSpaceDE w:val="0"/>
              <w:autoSpaceDN w:val="0"/>
              <w:adjustRightInd w:val="0"/>
              <w:ind w:firstLine="0"/>
              <w:jc w:val="center"/>
              <w:rPr>
                <w:bCs/>
              </w:rPr>
            </w:pPr>
            <w:r w:rsidRPr="00A63638">
              <w:rPr>
                <w:bCs/>
              </w:rPr>
              <w:t>Размер платежа, тыс. руб.</w:t>
            </w:r>
          </w:p>
        </w:tc>
        <w:tc>
          <w:tcPr>
            <w:tcW w:w="3282" w:type="dxa"/>
            <w:gridSpan w:val="3"/>
            <w:hideMark/>
          </w:tcPr>
          <w:p w:rsidR="0055491A" w:rsidRPr="00A63638" w:rsidRDefault="0055491A" w:rsidP="00210BF6">
            <w:pPr>
              <w:autoSpaceDE w:val="0"/>
              <w:autoSpaceDN w:val="0"/>
              <w:adjustRightInd w:val="0"/>
              <w:ind w:firstLine="0"/>
              <w:jc w:val="center"/>
              <w:rPr>
                <w:bCs/>
              </w:rPr>
            </w:pPr>
            <w:r w:rsidRPr="00A63638">
              <w:rPr>
                <w:bCs/>
              </w:rPr>
              <w:t>Количество прогноз, ед.</w:t>
            </w:r>
          </w:p>
        </w:tc>
        <w:tc>
          <w:tcPr>
            <w:tcW w:w="4641" w:type="dxa"/>
            <w:gridSpan w:val="3"/>
            <w:hideMark/>
          </w:tcPr>
          <w:p w:rsidR="0055491A" w:rsidRPr="00843519" w:rsidRDefault="0055491A" w:rsidP="00210BF6">
            <w:pPr>
              <w:autoSpaceDE w:val="0"/>
              <w:autoSpaceDN w:val="0"/>
              <w:adjustRightInd w:val="0"/>
              <w:ind w:firstLine="0"/>
              <w:jc w:val="center"/>
              <w:rPr>
                <w:b/>
                <w:bCs/>
              </w:rPr>
            </w:pPr>
            <w:r w:rsidRPr="00843519">
              <w:rPr>
                <w:b/>
                <w:bCs/>
              </w:rPr>
              <w:t xml:space="preserve"> Прогноз,тыс. руб.</w:t>
            </w:r>
          </w:p>
        </w:tc>
      </w:tr>
      <w:tr w:rsidR="0055491A" w:rsidRPr="00A63638" w:rsidTr="00210BF6">
        <w:trPr>
          <w:trHeight w:val="501"/>
        </w:trPr>
        <w:tc>
          <w:tcPr>
            <w:tcW w:w="1421" w:type="dxa"/>
            <w:vMerge/>
            <w:hideMark/>
          </w:tcPr>
          <w:p w:rsidR="0055491A" w:rsidRPr="00A63638" w:rsidRDefault="0055491A" w:rsidP="00210BF6">
            <w:pPr>
              <w:autoSpaceDE w:val="0"/>
              <w:autoSpaceDN w:val="0"/>
              <w:adjustRightInd w:val="0"/>
              <w:ind w:firstLine="0"/>
              <w:jc w:val="center"/>
              <w:rPr>
                <w:bCs/>
              </w:rPr>
            </w:pPr>
          </w:p>
        </w:tc>
        <w:tc>
          <w:tcPr>
            <w:tcW w:w="1094" w:type="dxa"/>
            <w:vAlign w:val="center"/>
            <w:hideMark/>
          </w:tcPr>
          <w:p w:rsidR="0055491A" w:rsidRPr="00A63638" w:rsidRDefault="0055491A" w:rsidP="00210BF6">
            <w:pPr>
              <w:autoSpaceDE w:val="0"/>
              <w:autoSpaceDN w:val="0"/>
              <w:adjustRightInd w:val="0"/>
              <w:ind w:firstLine="0"/>
              <w:jc w:val="center"/>
              <w:rPr>
                <w:bCs/>
              </w:rPr>
            </w:pPr>
            <w:r>
              <w:rPr>
                <w:bCs/>
              </w:rPr>
              <w:t>2022</w:t>
            </w:r>
          </w:p>
        </w:tc>
        <w:tc>
          <w:tcPr>
            <w:tcW w:w="1094" w:type="dxa"/>
            <w:vAlign w:val="center"/>
            <w:hideMark/>
          </w:tcPr>
          <w:p w:rsidR="0055491A" w:rsidRPr="00A63638" w:rsidRDefault="0055491A" w:rsidP="00210BF6">
            <w:pPr>
              <w:autoSpaceDE w:val="0"/>
              <w:autoSpaceDN w:val="0"/>
              <w:adjustRightInd w:val="0"/>
              <w:ind w:firstLine="0"/>
              <w:jc w:val="center"/>
              <w:rPr>
                <w:bCs/>
              </w:rPr>
            </w:pPr>
            <w:r>
              <w:rPr>
                <w:bCs/>
              </w:rPr>
              <w:t>2023</w:t>
            </w:r>
          </w:p>
        </w:tc>
        <w:tc>
          <w:tcPr>
            <w:tcW w:w="1094" w:type="dxa"/>
            <w:vAlign w:val="center"/>
            <w:hideMark/>
          </w:tcPr>
          <w:p w:rsidR="0055491A" w:rsidRPr="00A63638" w:rsidRDefault="0055491A" w:rsidP="00210BF6">
            <w:pPr>
              <w:autoSpaceDE w:val="0"/>
              <w:autoSpaceDN w:val="0"/>
              <w:adjustRightInd w:val="0"/>
              <w:ind w:firstLine="0"/>
              <w:jc w:val="center"/>
              <w:rPr>
                <w:bCs/>
              </w:rPr>
            </w:pPr>
            <w:r>
              <w:rPr>
                <w:bCs/>
              </w:rPr>
              <w:t>2024</w:t>
            </w:r>
          </w:p>
        </w:tc>
        <w:tc>
          <w:tcPr>
            <w:tcW w:w="1671" w:type="dxa"/>
            <w:noWrap/>
            <w:vAlign w:val="center"/>
            <w:hideMark/>
          </w:tcPr>
          <w:p w:rsidR="0055491A" w:rsidRPr="00843519" w:rsidRDefault="0055491A" w:rsidP="00210BF6">
            <w:pPr>
              <w:autoSpaceDE w:val="0"/>
              <w:autoSpaceDN w:val="0"/>
              <w:adjustRightInd w:val="0"/>
              <w:ind w:firstLine="0"/>
              <w:jc w:val="center"/>
              <w:rPr>
                <w:b/>
                <w:bCs/>
              </w:rPr>
            </w:pPr>
            <w:r w:rsidRPr="00843519">
              <w:rPr>
                <w:b/>
                <w:bCs/>
              </w:rPr>
              <w:t>2022 год</w:t>
            </w:r>
          </w:p>
        </w:tc>
        <w:tc>
          <w:tcPr>
            <w:tcW w:w="1783" w:type="dxa"/>
            <w:noWrap/>
            <w:vAlign w:val="center"/>
            <w:hideMark/>
          </w:tcPr>
          <w:p w:rsidR="0055491A" w:rsidRPr="00843519" w:rsidRDefault="0055491A" w:rsidP="00210BF6">
            <w:pPr>
              <w:autoSpaceDE w:val="0"/>
              <w:autoSpaceDN w:val="0"/>
              <w:adjustRightInd w:val="0"/>
              <w:ind w:firstLine="0"/>
              <w:jc w:val="center"/>
              <w:rPr>
                <w:b/>
                <w:bCs/>
              </w:rPr>
            </w:pPr>
            <w:r w:rsidRPr="00843519">
              <w:rPr>
                <w:b/>
                <w:bCs/>
              </w:rPr>
              <w:t>2023 год</w:t>
            </w:r>
          </w:p>
        </w:tc>
        <w:tc>
          <w:tcPr>
            <w:tcW w:w="1187" w:type="dxa"/>
            <w:noWrap/>
            <w:vAlign w:val="center"/>
            <w:hideMark/>
          </w:tcPr>
          <w:p w:rsidR="0055491A" w:rsidRPr="00843519" w:rsidRDefault="0055491A" w:rsidP="00210BF6">
            <w:pPr>
              <w:autoSpaceDE w:val="0"/>
              <w:autoSpaceDN w:val="0"/>
              <w:adjustRightInd w:val="0"/>
              <w:ind w:firstLine="0"/>
              <w:jc w:val="center"/>
              <w:rPr>
                <w:b/>
                <w:bCs/>
              </w:rPr>
            </w:pPr>
            <w:r w:rsidRPr="00843519">
              <w:rPr>
                <w:b/>
                <w:bCs/>
              </w:rPr>
              <w:t>2024 год</w:t>
            </w:r>
          </w:p>
        </w:tc>
      </w:tr>
      <w:tr w:rsidR="0055491A" w:rsidRPr="00A63638" w:rsidTr="00210BF6">
        <w:trPr>
          <w:trHeight w:val="255"/>
        </w:trPr>
        <w:tc>
          <w:tcPr>
            <w:tcW w:w="1421" w:type="dxa"/>
            <w:noWrap/>
            <w:hideMark/>
          </w:tcPr>
          <w:p w:rsidR="0055491A" w:rsidRPr="00A63638" w:rsidRDefault="0055491A" w:rsidP="00210BF6">
            <w:pPr>
              <w:autoSpaceDE w:val="0"/>
              <w:autoSpaceDN w:val="0"/>
              <w:adjustRightInd w:val="0"/>
              <w:ind w:firstLine="0"/>
              <w:jc w:val="center"/>
            </w:pPr>
            <w:r w:rsidRPr="00A63638">
              <w:t>1,5</w:t>
            </w:r>
          </w:p>
        </w:tc>
        <w:tc>
          <w:tcPr>
            <w:tcW w:w="1094" w:type="dxa"/>
            <w:noWrap/>
            <w:vAlign w:val="center"/>
            <w:hideMark/>
          </w:tcPr>
          <w:p w:rsidR="0055491A" w:rsidRDefault="0055491A" w:rsidP="00210BF6">
            <w:pPr>
              <w:jc w:val="center"/>
              <w:rPr>
                <w:sz w:val="20"/>
                <w:szCs w:val="20"/>
              </w:rPr>
            </w:pPr>
            <w:r>
              <w:rPr>
                <w:sz w:val="20"/>
                <w:szCs w:val="20"/>
              </w:rPr>
              <w:t>1</w:t>
            </w:r>
          </w:p>
        </w:tc>
        <w:tc>
          <w:tcPr>
            <w:tcW w:w="1094" w:type="dxa"/>
            <w:noWrap/>
            <w:vAlign w:val="center"/>
            <w:hideMark/>
          </w:tcPr>
          <w:p w:rsidR="0055491A" w:rsidRDefault="0055491A" w:rsidP="00210BF6">
            <w:pPr>
              <w:jc w:val="center"/>
              <w:rPr>
                <w:sz w:val="20"/>
                <w:szCs w:val="20"/>
              </w:rPr>
            </w:pPr>
            <w:r>
              <w:rPr>
                <w:sz w:val="20"/>
                <w:szCs w:val="20"/>
              </w:rPr>
              <w:t>1</w:t>
            </w:r>
          </w:p>
        </w:tc>
        <w:tc>
          <w:tcPr>
            <w:tcW w:w="1094" w:type="dxa"/>
            <w:noWrap/>
            <w:vAlign w:val="center"/>
            <w:hideMark/>
          </w:tcPr>
          <w:p w:rsidR="0055491A" w:rsidRDefault="0055491A" w:rsidP="00210BF6">
            <w:pPr>
              <w:jc w:val="center"/>
              <w:rPr>
                <w:sz w:val="20"/>
                <w:szCs w:val="20"/>
              </w:rPr>
            </w:pPr>
            <w:r>
              <w:rPr>
                <w:sz w:val="20"/>
                <w:szCs w:val="20"/>
              </w:rPr>
              <w:t>1</w:t>
            </w:r>
          </w:p>
        </w:tc>
        <w:tc>
          <w:tcPr>
            <w:tcW w:w="1671" w:type="dxa"/>
            <w:hideMark/>
          </w:tcPr>
          <w:p w:rsidR="0055491A" w:rsidRPr="00A63638" w:rsidRDefault="0055491A" w:rsidP="00210BF6">
            <w:pPr>
              <w:autoSpaceDE w:val="0"/>
              <w:autoSpaceDN w:val="0"/>
              <w:adjustRightInd w:val="0"/>
              <w:ind w:firstLine="0"/>
              <w:jc w:val="center"/>
            </w:pPr>
            <w:r>
              <w:t>1,5</w:t>
            </w:r>
          </w:p>
        </w:tc>
        <w:tc>
          <w:tcPr>
            <w:tcW w:w="1783" w:type="dxa"/>
            <w:hideMark/>
          </w:tcPr>
          <w:p w:rsidR="0055491A" w:rsidRPr="00A63638" w:rsidRDefault="0055491A" w:rsidP="00210BF6">
            <w:pPr>
              <w:autoSpaceDE w:val="0"/>
              <w:autoSpaceDN w:val="0"/>
              <w:adjustRightInd w:val="0"/>
              <w:ind w:firstLine="0"/>
              <w:jc w:val="center"/>
            </w:pPr>
            <w:r>
              <w:t>1,5</w:t>
            </w:r>
          </w:p>
        </w:tc>
        <w:tc>
          <w:tcPr>
            <w:tcW w:w="1187" w:type="dxa"/>
            <w:hideMark/>
          </w:tcPr>
          <w:p w:rsidR="0055491A" w:rsidRPr="00A63638" w:rsidRDefault="0055491A" w:rsidP="00210BF6">
            <w:pPr>
              <w:autoSpaceDE w:val="0"/>
              <w:autoSpaceDN w:val="0"/>
              <w:adjustRightInd w:val="0"/>
              <w:ind w:firstLine="0"/>
              <w:jc w:val="center"/>
            </w:pPr>
            <w:r>
              <w:t>1,5</w:t>
            </w:r>
          </w:p>
        </w:tc>
      </w:tr>
      <w:tr w:rsidR="0055491A" w:rsidRPr="00A63638" w:rsidTr="00210BF6">
        <w:trPr>
          <w:trHeight w:val="255"/>
        </w:trPr>
        <w:tc>
          <w:tcPr>
            <w:tcW w:w="1421" w:type="dxa"/>
            <w:noWrap/>
            <w:hideMark/>
          </w:tcPr>
          <w:p w:rsidR="0055491A" w:rsidRPr="00A63638" w:rsidRDefault="0055491A" w:rsidP="00210BF6">
            <w:pPr>
              <w:autoSpaceDE w:val="0"/>
              <w:autoSpaceDN w:val="0"/>
              <w:adjustRightInd w:val="0"/>
              <w:ind w:firstLine="0"/>
              <w:jc w:val="center"/>
            </w:pPr>
            <w:r w:rsidRPr="00A63638">
              <w:t>2,0</w:t>
            </w:r>
          </w:p>
        </w:tc>
        <w:tc>
          <w:tcPr>
            <w:tcW w:w="1094" w:type="dxa"/>
            <w:noWrap/>
            <w:vAlign w:val="center"/>
            <w:hideMark/>
          </w:tcPr>
          <w:p w:rsidR="0055491A" w:rsidRDefault="0055491A" w:rsidP="00210BF6">
            <w:pPr>
              <w:jc w:val="center"/>
              <w:rPr>
                <w:sz w:val="20"/>
                <w:szCs w:val="20"/>
              </w:rPr>
            </w:pPr>
            <w:r>
              <w:rPr>
                <w:sz w:val="20"/>
                <w:szCs w:val="20"/>
              </w:rPr>
              <w:t>2</w:t>
            </w:r>
          </w:p>
        </w:tc>
        <w:tc>
          <w:tcPr>
            <w:tcW w:w="1094" w:type="dxa"/>
            <w:noWrap/>
            <w:vAlign w:val="center"/>
            <w:hideMark/>
          </w:tcPr>
          <w:p w:rsidR="0055491A" w:rsidRDefault="0055491A" w:rsidP="00210BF6">
            <w:pPr>
              <w:jc w:val="center"/>
              <w:rPr>
                <w:sz w:val="20"/>
                <w:szCs w:val="20"/>
              </w:rPr>
            </w:pPr>
            <w:r>
              <w:rPr>
                <w:sz w:val="20"/>
                <w:szCs w:val="20"/>
              </w:rPr>
              <w:t>2</w:t>
            </w:r>
          </w:p>
        </w:tc>
        <w:tc>
          <w:tcPr>
            <w:tcW w:w="1094" w:type="dxa"/>
            <w:noWrap/>
            <w:vAlign w:val="center"/>
            <w:hideMark/>
          </w:tcPr>
          <w:p w:rsidR="0055491A" w:rsidRDefault="0055491A" w:rsidP="00210BF6">
            <w:pPr>
              <w:jc w:val="center"/>
              <w:rPr>
                <w:sz w:val="20"/>
                <w:szCs w:val="20"/>
              </w:rPr>
            </w:pPr>
            <w:r>
              <w:rPr>
                <w:sz w:val="20"/>
                <w:szCs w:val="20"/>
              </w:rPr>
              <w:t>2</w:t>
            </w:r>
          </w:p>
        </w:tc>
        <w:tc>
          <w:tcPr>
            <w:tcW w:w="1671" w:type="dxa"/>
            <w:hideMark/>
          </w:tcPr>
          <w:p w:rsidR="0055491A" w:rsidRPr="00A63638" w:rsidRDefault="0055491A" w:rsidP="00210BF6">
            <w:pPr>
              <w:autoSpaceDE w:val="0"/>
              <w:autoSpaceDN w:val="0"/>
              <w:adjustRightInd w:val="0"/>
              <w:ind w:firstLine="0"/>
              <w:jc w:val="center"/>
            </w:pPr>
            <w:r>
              <w:t>4</w:t>
            </w:r>
            <w:r w:rsidRPr="00A63638">
              <w:t>,0</w:t>
            </w:r>
          </w:p>
        </w:tc>
        <w:tc>
          <w:tcPr>
            <w:tcW w:w="1783" w:type="dxa"/>
            <w:hideMark/>
          </w:tcPr>
          <w:p w:rsidR="0055491A" w:rsidRPr="00A63638" w:rsidRDefault="0055491A" w:rsidP="00210BF6">
            <w:pPr>
              <w:autoSpaceDE w:val="0"/>
              <w:autoSpaceDN w:val="0"/>
              <w:adjustRightInd w:val="0"/>
              <w:ind w:firstLine="0"/>
              <w:jc w:val="center"/>
            </w:pPr>
            <w:r>
              <w:t>4</w:t>
            </w:r>
            <w:r w:rsidRPr="00A63638">
              <w:t>,0</w:t>
            </w:r>
          </w:p>
        </w:tc>
        <w:tc>
          <w:tcPr>
            <w:tcW w:w="1187" w:type="dxa"/>
            <w:hideMark/>
          </w:tcPr>
          <w:p w:rsidR="0055491A" w:rsidRPr="00A63638" w:rsidRDefault="0055491A" w:rsidP="00210BF6">
            <w:pPr>
              <w:autoSpaceDE w:val="0"/>
              <w:autoSpaceDN w:val="0"/>
              <w:adjustRightInd w:val="0"/>
              <w:ind w:firstLine="0"/>
              <w:jc w:val="center"/>
            </w:pPr>
            <w:r>
              <w:t>4</w:t>
            </w:r>
            <w:r w:rsidRPr="00A63638">
              <w:t>,0</w:t>
            </w:r>
          </w:p>
        </w:tc>
      </w:tr>
      <w:tr w:rsidR="0055491A" w:rsidRPr="00A63638" w:rsidTr="00210BF6">
        <w:trPr>
          <w:trHeight w:val="255"/>
        </w:trPr>
        <w:tc>
          <w:tcPr>
            <w:tcW w:w="1421" w:type="dxa"/>
            <w:noWrap/>
            <w:hideMark/>
          </w:tcPr>
          <w:p w:rsidR="0055491A" w:rsidRPr="00A63638" w:rsidRDefault="0055491A" w:rsidP="00210BF6">
            <w:pPr>
              <w:autoSpaceDE w:val="0"/>
              <w:autoSpaceDN w:val="0"/>
              <w:adjustRightInd w:val="0"/>
              <w:ind w:firstLine="0"/>
              <w:jc w:val="center"/>
            </w:pPr>
            <w:r w:rsidRPr="00A63638">
              <w:t>3,0</w:t>
            </w:r>
          </w:p>
        </w:tc>
        <w:tc>
          <w:tcPr>
            <w:tcW w:w="1094" w:type="dxa"/>
            <w:noWrap/>
            <w:vAlign w:val="center"/>
            <w:hideMark/>
          </w:tcPr>
          <w:p w:rsidR="0055491A" w:rsidRDefault="0055491A" w:rsidP="00210BF6">
            <w:pPr>
              <w:jc w:val="center"/>
              <w:rPr>
                <w:sz w:val="20"/>
                <w:szCs w:val="20"/>
              </w:rPr>
            </w:pPr>
            <w:r>
              <w:rPr>
                <w:sz w:val="20"/>
                <w:szCs w:val="20"/>
              </w:rPr>
              <w:t>0</w:t>
            </w:r>
          </w:p>
        </w:tc>
        <w:tc>
          <w:tcPr>
            <w:tcW w:w="1094" w:type="dxa"/>
            <w:noWrap/>
            <w:vAlign w:val="center"/>
            <w:hideMark/>
          </w:tcPr>
          <w:p w:rsidR="0055491A" w:rsidRDefault="0055491A" w:rsidP="00210BF6">
            <w:pPr>
              <w:jc w:val="center"/>
              <w:rPr>
                <w:sz w:val="20"/>
                <w:szCs w:val="20"/>
              </w:rPr>
            </w:pPr>
            <w:r>
              <w:rPr>
                <w:sz w:val="20"/>
                <w:szCs w:val="20"/>
              </w:rPr>
              <w:t>0</w:t>
            </w:r>
          </w:p>
        </w:tc>
        <w:tc>
          <w:tcPr>
            <w:tcW w:w="1094" w:type="dxa"/>
            <w:noWrap/>
            <w:vAlign w:val="center"/>
            <w:hideMark/>
          </w:tcPr>
          <w:p w:rsidR="0055491A" w:rsidRDefault="0055491A" w:rsidP="00210BF6">
            <w:pPr>
              <w:jc w:val="center"/>
              <w:rPr>
                <w:sz w:val="20"/>
                <w:szCs w:val="20"/>
              </w:rPr>
            </w:pPr>
            <w:r>
              <w:rPr>
                <w:sz w:val="20"/>
                <w:szCs w:val="20"/>
              </w:rPr>
              <w:t>0</w:t>
            </w:r>
          </w:p>
        </w:tc>
        <w:tc>
          <w:tcPr>
            <w:tcW w:w="1671" w:type="dxa"/>
            <w:hideMark/>
          </w:tcPr>
          <w:p w:rsidR="0055491A" w:rsidRPr="00A63638" w:rsidRDefault="0055491A" w:rsidP="00210BF6">
            <w:pPr>
              <w:autoSpaceDE w:val="0"/>
              <w:autoSpaceDN w:val="0"/>
              <w:adjustRightInd w:val="0"/>
              <w:ind w:firstLine="0"/>
              <w:jc w:val="center"/>
            </w:pPr>
            <w:r>
              <w:t>0</w:t>
            </w:r>
            <w:r w:rsidRPr="00A63638">
              <w:t>,0</w:t>
            </w:r>
          </w:p>
        </w:tc>
        <w:tc>
          <w:tcPr>
            <w:tcW w:w="1783" w:type="dxa"/>
            <w:hideMark/>
          </w:tcPr>
          <w:p w:rsidR="0055491A" w:rsidRPr="00A63638" w:rsidRDefault="0055491A" w:rsidP="00210BF6">
            <w:pPr>
              <w:autoSpaceDE w:val="0"/>
              <w:autoSpaceDN w:val="0"/>
              <w:adjustRightInd w:val="0"/>
              <w:ind w:firstLine="0"/>
              <w:jc w:val="center"/>
            </w:pPr>
            <w:r>
              <w:t>0</w:t>
            </w:r>
            <w:r w:rsidRPr="00A63638">
              <w:t>,0</w:t>
            </w:r>
          </w:p>
        </w:tc>
        <w:tc>
          <w:tcPr>
            <w:tcW w:w="1187" w:type="dxa"/>
            <w:hideMark/>
          </w:tcPr>
          <w:p w:rsidR="0055491A" w:rsidRPr="00A63638" w:rsidRDefault="0055491A" w:rsidP="00210BF6">
            <w:pPr>
              <w:autoSpaceDE w:val="0"/>
              <w:autoSpaceDN w:val="0"/>
              <w:adjustRightInd w:val="0"/>
              <w:ind w:firstLine="0"/>
              <w:jc w:val="center"/>
            </w:pPr>
            <w:r>
              <w:t>0</w:t>
            </w:r>
            <w:r w:rsidRPr="00A63638">
              <w:t>,0</w:t>
            </w:r>
          </w:p>
        </w:tc>
      </w:tr>
      <w:tr w:rsidR="0055491A" w:rsidRPr="00A63638" w:rsidTr="00210BF6">
        <w:trPr>
          <w:trHeight w:val="77"/>
        </w:trPr>
        <w:tc>
          <w:tcPr>
            <w:tcW w:w="1421" w:type="dxa"/>
            <w:noWrap/>
            <w:hideMark/>
          </w:tcPr>
          <w:p w:rsidR="0055491A" w:rsidRPr="00A63638" w:rsidRDefault="0055491A" w:rsidP="00210BF6">
            <w:pPr>
              <w:autoSpaceDE w:val="0"/>
              <w:autoSpaceDN w:val="0"/>
              <w:adjustRightInd w:val="0"/>
              <w:ind w:firstLine="0"/>
              <w:jc w:val="center"/>
            </w:pPr>
            <w:r w:rsidRPr="00A63638">
              <w:t>50,0</w:t>
            </w:r>
          </w:p>
        </w:tc>
        <w:tc>
          <w:tcPr>
            <w:tcW w:w="1094" w:type="dxa"/>
            <w:noWrap/>
            <w:vAlign w:val="center"/>
            <w:hideMark/>
          </w:tcPr>
          <w:p w:rsidR="0055491A" w:rsidRDefault="0055491A" w:rsidP="00210BF6">
            <w:pPr>
              <w:jc w:val="center"/>
              <w:rPr>
                <w:sz w:val="20"/>
                <w:szCs w:val="20"/>
              </w:rPr>
            </w:pPr>
            <w:r>
              <w:rPr>
                <w:sz w:val="20"/>
                <w:szCs w:val="20"/>
              </w:rPr>
              <w:t>1</w:t>
            </w:r>
          </w:p>
        </w:tc>
        <w:tc>
          <w:tcPr>
            <w:tcW w:w="1094" w:type="dxa"/>
            <w:noWrap/>
            <w:vAlign w:val="center"/>
            <w:hideMark/>
          </w:tcPr>
          <w:p w:rsidR="0055491A" w:rsidRDefault="0055491A" w:rsidP="00210BF6">
            <w:pPr>
              <w:jc w:val="center"/>
              <w:rPr>
                <w:sz w:val="20"/>
                <w:szCs w:val="20"/>
              </w:rPr>
            </w:pPr>
            <w:r>
              <w:rPr>
                <w:sz w:val="20"/>
                <w:szCs w:val="20"/>
              </w:rPr>
              <w:t>1</w:t>
            </w:r>
          </w:p>
        </w:tc>
        <w:tc>
          <w:tcPr>
            <w:tcW w:w="1094" w:type="dxa"/>
            <w:noWrap/>
            <w:vAlign w:val="center"/>
            <w:hideMark/>
          </w:tcPr>
          <w:p w:rsidR="0055491A" w:rsidRDefault="0055491A" w:rsidP="00210BF6">
            <w:pPr>
              <w:jc w:val="center"/>
              <w:rPr>
                <w:sz w:val="20"/>
                <w:szCs w:val="20"/>
              </w:rPr>
            </w:pPr>
            <w:r>
              <w:rPr>
                <w:sz w:val="20"/>
                <w:szCs w:val="20"/>
              </w:rPr>
              <w:t>1</w:t>
            </w:r>
          </w:p>
        </w:tc>
        <w:tc>
          <w:tcPr>
            <w:tcW w:w="1671" w:type="dxa"/>
            <w:hideMark/>
          </w:tcPr>
          <w:p w:rsidR="0055491A" w:rsidRPr="00A63638" w:rsidRDefault="0055491A" w:rsidP="00210BF6">
            <w:pPr>
              <w:autoSpaceDE w:val="0"/>
              <w:autoSpaceDN w:val="0"/>
              <w:adjustRightInd w:val="0"/>
              <w:ind w:firstLine="0"/>
              <w:jc w:val="center"/>
            </w:pPr>
            <w:r>
              <w:t>5</w:t>
            </w:r>
            <w:r w:rsidRPr="00A63638">
              <w:t>0,0</w:t>
            </w:r>
          </w:p>
        </w:tc>
        <w:tc>
          <w:tcPr>
            <w:tcW w:w="1783" w:type="dxa"/>
            <w:hideMark/>
          </w:tcPr>
          <w:p w:rsidR="0055491A" w:rsidRPr="00A63638" w:rsidRDefault="0055491A" w:rsidP="00210BF6">
            <w:pPr>
              <w:autoSpaceDE w:val="0"/>
              <w:autoSpaceDN w:val="0"/>
              <w:adjustRightInd w:val="0"/>
              <w:ind w:firstLine="0"/>
              <w:jc w:val="center"/>
            </w:pPr>
            <w:r>
              <w:t>5</w:t>
            </w:r>
            <w:r w:rsidRPr="00A63638">
              <w:t>0,0</w:t>
            </w:r>
          </w:p>
        </w:tc>
        <w:tc>
          <w:tcPr>
            <w:tcW w:w="1187" w:type="dxa"/>
            <w:hideMark/>
          </w:tcPr>
          <w:p w:rsidR="0055491A" w:rsidRPr="00A63638" w:rsidRDefault="0055491A" w:rsidP="00210BF6">
            <w:pPr>
              <w:autoSpaceDE w:val="0"/>
              <w:autoSpaceDN w:val="0"/>
              <w:adjustRightInd w:val="0"/>
              <w:ind w:firstLine="0"/>
              <w:jc w:val="center"/>
            </w:pPr>
            <w:r>
              <w:t>5</w:t>
            </w:r>
            <w:r w:rsidRPr="00A63638">
              <w:t>0,0</w:t>
            </w:r>
          </w:p>
        </w:tc>
      </w:tr>
      <w:tr w:rsidR="0055491A" w:rsidRPr="00A63638" w:rsidTr="00210BF6">
        <w:trPr>
          <w:trHeight w:val="285"/>
        </w:trPr>
        <w:tc>
          <w:tcPr>
            <w:tcW w:w="4703" w:type="dxa"/>
            <w:gridSpan w:val="4"/>
            <w:noWrap/>
            <w:hideMark/>
          </w:tcPr>
          <w:p w:rsidR="0055491A" w:rsidRPr="00A63638" w:rsidRDefault="0055491A" w:rsidP="00210BF6">
            <w:pPr>
              <w:autoSpaceDE w:val="0"/>
              <w:autoSpaceDN w:val="0"/>
              <w:adjustRightInd w:val="0"/>
              <w:ind w:firstLine="0"/>
              <w:jc w:val="center"/>
              <w:rPr>
                <w:b/>
                <w:bCs/>
              </w:rPr>
            </w:pPr>
            <w:r w:rsidRPr="00A63638">
              <w:rPr>
                <w:b/>
                <w:bCs/>
              </w:rPr>
              <w:t>ИТОГО:</w:t>
            </w:r>
          </w:p>
        </w:tc>
        <w:tc>
          <w:tcPr>
            <w:tcW w:w="1671" w:type="dxa"/>
            <w:noWrap/>
            <w:hideMark/>
          </w:tcPr>
          <w:p w:rsidR="0055491A" w:rsidRPr="00A63638" w:rsidRDefault="0055491A" w:rsidP="00210BF6">
            <w:pPr>
              <w:autoSpaceDE w:val="0"/>
              <w:autoSpaceDN w:val="0"/>
              <w:adjustRightInd w:val="0"/>
              <w:ind w:firstLine="0"/>
              <w:jc w:val="center"/>
              <w:rPr>
                <w:b/>
                <w:bCs/>
              </w:rPr>
            </w:pPr>
            <w:r>
              <w:rPr>
                <w:b/>
                <w:bCs/>
              </w:rPr>
              <w:t>55,5</w:t>
            </w:r>
          </w:p>
        </w:tc>
        <w:tc>
          <w:tcPr>
            <w:tcW w:w="1783" w:type="dxa"/>
            <w:noWrap/>
            <w:hideMark/>
          </w:tcPr>
          <w:p w:rsidR="0055491A" w:rsidRPr="00A63638" w:rsidRDefault="0055491A" w:rsidP="00210BF6">
            <w:pPr>
              <w:autoSpaceDE w:val="0"/>
              <w:autoSpaceDN w:val="0"/>
              <w:adjustRightInd w:val="0"/>
              <w:ind w:firstLine="0"/>
              <w:jc w:val="center"/>
              <w:rPr>
                <w:b/>
                <w:bCs/>
              </w:rPr>
            </w:pPr>
            <w:r>
              <w:rPr>
                <w:b/>
                <w:bCs/>
              </w:rPr>
              <w:t>55,5</w:t>
            </w:r>
          </w:p>
        </w:tc>
        <w:tc>
          <w:tcPr>
            <w:tcW w:w="1187" w:type="dxa"/>
            <w:noWrap/>
            <w:hideMark/>
          </w:tcPr>
          <w:p w:rsidR="0055491A" w:rsidRPr="00A63638" w:rsidRDefault="0055491A" w:rsidP="00210BF6">
            <w:pPr>
              <w:autoSpaceDE w:val="0"/>
              <w:autoSpaceDN w:val="0"/>
              <w:adjustRightInd w:val="0"/>
              <w:ind w:firstLine="0"/>
              <w:jc w:val="center"/>
              <w:rPr>
                <w:b/>
                <w:bCs/>
              </w:rPr>
            </w:pPr>
            <w:r>
              <w:rPr>
                <w:b/>
                <w:bCs/>
              </w:rPr>
              <w:t>55,5</w:t>
            </w:r>
          </w:p>
        </w:tc>
      </w:tr>
      <w:tr w:rsidR="0055491A" w:rsidRPr="00A63638" w:rsidTr="00210BF6">
        <w:trPr>
          <w:trHeight w:val="255"/>
        </w:trPr>
        <w:tc>
          <w:tcPr>
            <w:tcW w:w="4703" w:type="dxa"/>
            <w:gridSpan w:val="4"/>
            <w:noWrap/>
            <w:hideMark/>
          </w:tcPr>
          <w:p w:rsidR="0055491A" w:rsidRPr="00A63638" w:rsidRDefault="0055491A" w:rsidP="00210BF6">
            <w:pPr>
              <w:autoSpaceDE w:val="0"/>
              <w:autoSpaceDN w:val="0"/>
              <w:adjustRightInd w:val="0"/>
              <w:ind w:firstLine="0"/>
              <w:jc w:val="center"/>
              <w:rPr>
                <w:b/>
                <w:bCs/>
              </w:rPr>
            </w:pPr>
            <w:r w:rsidRPr="00A63638">
              <w:rPr>
                <w:b/>
                <w:bCs/>
              </w:rPr>
              <w:t>С учетом норматива зачислений 50%:</w:t>
            </w:r>
          </w:p>
        </w:tc>
        <w:tc>
          <w:tcPr>
            <w:tcW w:w="1671" w:type="dxa"/>
            <w:noWrap/>
            <w:hideMark/>
          </w:tcPr>
          <w:p w:rsidR="0055491A" w:rsidRPr="00A63638" w:rsidRDefault="0055491A" w:rsidP="00210BF6">
            <w:pPr>
              <w:autoSpaceDE w:val="0"/>
              <w:autoSpaceDN w:val="0"/>
              <w:adjustRightInd w:val="0"/>
              <w:ind w:firstLine="0"/>
              <w:jc w:val="center"/>
              <w:rPr>
                <w:b/>
                <w:bCs/>
              </w:rPr>
            </w:pPr>
            <w:r>
              <w:rPr>
                <w:b/>
                <w:bCs/>
              </w:rPr>
              <w:t>27,8</w:t>
            </w:r>
          </w:p>
        </w:tc>
        <w:tc>
          <w:tcPr>
            <w:tcW w:w="1783" w:type="dxa"/>
            <w:noWrap/>
            <w:hideMark/>
          </w:tcPr>
          <w:p w:rsidR="0055491A" w:rsidRPr="00A63638" w:rsidRDefault="0055491A" w:rsidP="00210BF6">
            <w:pPr>
              <w:autoSpaceDE w:val="0"/>
              <w:autoSpaceDN w:val="0"/>
              <w:adjustRightInd w:val="0"/>
              <w:ind w:firstLine="0"/>
              <w:jc w:val="center"/>
              <w:rPr>
                <w:b/>
                <w:bCs/>
              </w:rPr>
            </w:pPr>
            <w:r>
              <w:rPr>
                <w:b/>
                <w:bCs/>
              </w:rPr>
              <w:t>27,8</w:t>
            </w:r>
          </w:p>
        </w:tc>
        <w:tc>
          <w:tcPr>
            <w:tcW w:w="1187" w:type="dxa"/>
            <w:noWrap/>
            <w:hideMark/>
          </w:tcPr>
          <w:p w:rsidR="0055491A" w:rsidRPr="00A63638" w:rsidRDefault="0055491A" w:rsidP="00210BF6">
            <w:pPr>
              <w:autoSpaceDE w:val="0"/>
              <w:autoSpaceDN w:val="0"/>
              <w:adjustRightInd w:val="0"/>
              <w:ind w:firstLine="0"/>
              <w:jc w:val="center"/>
              <w:rPr>
                <w:b/>
                <w:bCs/>
              </w:rPr>
            </w:pPr>
            <w:r>
              <w:rPr>
                <w:b/>
                <w:bCs/>
              </w:rPr>
              <w:t>27,8</w:t>
            </w:r>
          </w:p>
        </w:tc>
      </w:tr>
    </w:tbl>
    <w:p w:rsidR="0055491A" w:rsidRDefault="0055491A" w:rsidP="0055491A">
      <w:pPr>
        <w:autoSpaceDE w:val="0"/>
        <w:autoSpaceDN w:val="0"/>
        <w:adjustRightInd w:val="0"/>
        <w:ind w:right="4109" w:firstLine="709"/>
        <w:jc w:val="both"/>
        <w:rPr>
          <w:sz w:val="22"/>
          <w:szCs w:val="22"/>
        </w:rPr>
      </w:pPr>
    </w:p>
    <w:p w:rsidR="0055491A" w:rsidRDefault="0055491A" w:rsidP="0055491A">
      <w:pPr>
        <w:autoSpaceDE w:val="0"/>
        <w:autoSpaceDN w:val="0"/>
        <w:adjustRightInd w:val="0"/>
        <w:ind w:firstLine="709"/>
        <w:jc w:val="both"/>
        <w:rPr>
          <w:color w:val="000000"/>
          <w:sz w:val="28"/>
          <w:szCs w:val="28"/>
        </w:rPr>
      </w:pPr>
      <w:r w:rsidRPr="00F55CA7">
        <w:rPr>
          <w:sz w:val="28"/>
          <w:szCs w:val="28"/>
        </w:rPr>
        <w:t xml:space="preserve"> </w:t>
      </w:r>
      <w:r>
        <w:rPr>
          <w:color w:val="000000"/>
          <w:sz w:val="28"/>
          <w:szCs w:val="28"/>
        </w:rPr>
        <w:t xml:space="preserve">12.2 </w:t>
      </w:r>
      <w:r w:rsidRPr="00843519">
        <w:rPr>
          <w:b/>
          <w:color w:val="000000"/>
          <w:sz w:val="28"/>
          <w:szCs w:val="28"/>
        </w:rPr>
        <w:t>КБК 335 1 16 01173 01 0000 140</w:t>
      </w:r>
      <w:r>
        <w:rPr>
          <w:color w:val="000000"/>
          <w:sz w:val="28"/>
          <w:szCs w:val="28"/>
        </w:rPr>
        <w:t xml:space="preserve"> </w:t>
      </w:r>
      <w:r w:rsidRPr="00AB4CEA">
        <w:rPr>
          <w:color w:val="000000"/>
          <w:sz w:val="28"/>
          <w:szCs w:val="28"/>
        </w:rPr>
        <w:t>Административные штрафы, установленные Главой 1</w:t>
      </w:r>
      <w:r>
        <w:rPr>
          <w:color w:val="000000"/>
          <w:sz w:val="28"/>
          <w:szCs w:val="28"/>
        </w:rPr>
        <w:t>7</w:t>
      </w:r>
      <w:r w:rsidRPr="00AB4CEA">
        <w:rPr>
          <w:color w:val="000000"/>
          <w:sz w:val="28"/>
          <w:szCs w:val="28"/>
        </w:rPr>
        <w:t xml:space="preserve"> Кодекса Российской Федерации об административных правонарушениях,</w:t>
      </w:r>
      <w:r w:rsidRPr="00E37CBC">
        <w:rPr>
          <w:color w:val="000000"/>
          <w:sz w:val="28"/>
          <w:szCs w:val="28"/>
        </w:rPr>
        <w:t xml:space="preserve"> за административные правонарушения, посягающие на институты государственной власти</w:t>
      </w:r>
      <w:r w:rsidRPr="00AB4CEA">
        <w:rPr>
          <w:color w:val="000000"/>
          <w:sz w:val="28"/>
          <w:szCs w:val="28"/>
        </w:rPr>
        <w:t>, налагаемые мировыми судьями, комиссиями по делам несовершеннолетних и защите их прав</w:t>
      </w:r>
      <w:r>
        <w:rPr>
          <w:color w:val="000000"/>
          <w:sz w:val="28"/>
          <w:szCs w:val="28"/>
        </w:rPr>
        <w:t>.</w:t>
      </w:r>
    </w:p>
    <w:p w:rsidR="0055491A" w:rsidRPr="00843519" w:rsidRDefault="0055491A" w:rsidP="0055491A">
      <w:pPr>
        <w:ind w:firstLine="709"/>
        <w:jc w:val="both"/>
        <w:rPr>
          <w:b/>
          <w:color w:val="000000"/>
          <w:sz w:val="28"/>
          <w:szCs w:val="28"/>
        </w:rPr>
      </w:pPr>
      <w:r w:rsidRPr="00843519">
        <w:rPr>
          <w:b/>
          <w:color w:val="000000"/>
          <w:sz w:val="28"/>
          <w:szCs w:val="28"/>
        </w:rPr>
        <w:t>Главный администратор доходов – Главное управление региональной безопасности Тверской области.</w:t>
      </w:r>
    </w:p>
    <w:p w:rsidR="0055491A" w:rsidRDefault="0055491A" w:rsidP="0055491A">
      <w:pPr>
        <w:ind w:firstLine="709"/>
        <w:jc w:val="both"/>
        <w:rPr>
          <w:sz w:val="28"/>
          <w:szCs w:val="28"/>
        </w:rPr>
      </w:pPr>
      <w:r>
        <w:rPr>
          <w:sz w:val="28"/>
          <w:szCs w:val="28"/>
        </w:rPr>
        <w:t>Расчет поступления доходов в областной бюджет Тверской области на 2022 год представлен в таблице:</w:t>
      </w:r>
    </w:p>
    <w:p w:rsidR="0055491A" w:rsidRDefault="0055491A" w:rsidP="0055491A">
      <w:pPr>
        <w:ind w:firstLine="709"/>
        <w:jc w:val="both"/>
        <w:rPr>
          <w:sz w:val="28"/>
          <w:szCs w:val="28"/>
        </w:rPr>
      </w:pPr>
    </w:p>
    <w:tbl>
      <w:tblPr>
        <w:tblW w:w="9417" w:type="dxa"/>
        <w:tblLook w:val="04A0" w:firstRow="1" w:lastRow="0" w:firstColumn="1" w:lastColumn="0" w:noHBand="0" w:noVBand="1"/>
      </w:tblPr>
      <w:tblGrid>
        <w:gridCol w:w="500"/>
        <w:gridCol w:w="2947"/>
        <w:gridCol w:w="1367"/>
        <w:gridCol w:w="1637"/>
        <w:gridCol w:w="1483"/>
        <w:gridCol w:w="1483"/>
      </w:tblGrid>
      <w:tr w:rsidR="0055491A" w:rsidTr="00210BF6">
        <w:trPr>
          <w:trHeight w:val="140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 п/п</w:t>
            </w:r>
          </w:p>
        </w:tc>
        <w:tc>
          <w:tcPr>
            <w:tcW w:w="2947" w:type="dxa"/>
            <w:tcBorders>
              <w:top w:val="single" w:sz="4" w:space="0" w:color="auto"/>
              <w:left w:val="nil"/>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Вид правонарушений</w:t>
            </w:r>
          </w:p>
        </w:tc>
        <w:tc>
          <w:tcPr>
            <w:tcW w:w="1367" w:type="dxa"/>
            <w:tcBorders>
              <w:top w:val="single" w:sz="4" w:space="0" w:color="auto"/>
              <w:left w:val="nil"/>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Средний размер штрафа (средний областной), тыс. руб.</w:t>
            </w:r>
          </w:p>
        </w:tc>
        <w:tc>
          <w:tcPr>
            <w:tcW w:w="1637" w:type="dxa"/>
            <w:tcBorders>
              <w:top w:val="single" w:sz="4" w:space="0" w:color="auto"/>
              <w:left w:val="nil"/>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Количество постановлений , ед.</w:t>
            </w:r>
          </w:p>
        </w:tc>
        <w:tc>
          <w:tcPr>
            <w:tcW w:w="1483" w:type="dxa"/>
            <w:tcBorders>
              <w:top w:val="single" w:sz="4" w:space="0" w:color="auto"/>
              <w:left w:val="nil"/>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Коэффициент собираемости (средний областной), %</w:t>
            </w:r>
          </w:p>
        </w:tc>
        <w:tc>
          <w:tcPr>
            <w:tcW w:w="1483" w:type="dxa"/>
            <w:tcBorders>
              <w:top w:val="single" w:sz="4" w:space="0" w:color="auto"/>
              <w:left w:val="nil"/>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Прогноз поступлений, тыс. руб. (ст.3*4*5/2)</w:t>
            </w:r>
          </w:p>
        </w:tc>
      </w:tr>
      <w:tr w:rsidR="0055491A" w:rsidTr="00210BF6">
        <w:trPr>
          <w:trHeight w:val="277"/>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1</w:t>
            </w:r>
          </w:p>
        </w:tc>
        <w:tc>
          <w:tcPr>
            <w:tcW w:w="2947" w:type="dxa"/>
            <w:tcBorders>
              <w:top w:val="nil"/>
              <w:left w:val="nil"/>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2</w:t>
            </w:r>
          </w:p>
        </w:tc>
        <w:tc>
          <w:tcPr>
            <w:tcW w:w="1367" w:type="dxa"/>
            <w:tcBorders>
              <w:top w:val="nil"/>
              <w:left w:val="nil"/>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3</w:t>
            </w:r>
          </w:p>
        </w:tc>
        <w:tc>
          <w:tcPr>
            <w:tcW w:w="1637" w:type="dxa"/>
            <w:tcBorders>
              <w:top w:val="nil"/>
              <w:left w:val="nil"/>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4</w:t>
            </w:r>
          </w:p>
        </w:tc>
        <w:tc>
          <w:tcPr>
            <w:tcW w:w="1483" w:type="dxa"/>
            <w:tcBorders>
              <w:top w:val="nil"/>
              <w:left w:val="nil"/>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5</w:t>
            </w:r>
          </w:p>
        </w:tc>
        <w:tc>
          <w:tcPr>
            <w:tcW w:w="1483" w:type="dxa"/>
            <w:tcBorders>
              <w:top w:val="nil"/>
              <w:left w:val="nil"/>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6</w:t>
            </w:r>
          </w:p>
        </w:tc>
      </w:tr>
      <w:tr w:rsidR="0055491A" w:rsidTr="00210BF6">
        <w:trPr>
          <w:trHeight w:val="2116"/>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1</w:t>
            </w:r>
          </w:p>
        </w:tc>
        <w:tc>
          <w:tcPr>
            <w:tcW w:w="2947" w:type="dxa"/>
            <w:tcBorders>
              <w:top w:val="nil"/>
              <w:left w:val="nil"/>
              <w:bottom w:val="single" w:sz="4" w:space="0" w:color="auto"/>
              <w:right w:val="single" w:sz="4" w:space="0" w:color="auto"/>
            </w:tcBorders>
            <w:shd w:val="clear" w:color="auto" w:fill="auto"/>
            <w:vAlign w:val="center"/>
            <w:hideMark/>
          </w:tcPr>
          <w:p w:rsidR="0055491A" w:rsidRDefault="0055491A" w:rsidP="00210BF6">
            <w:pPr>
              <w:jc w:val="both"/>
              <w:rPr>
                <w:sz w:val="20"/>
                <w:szCs w:val="20"/>
              </w:rPr>
            </w:pPr>
            <w:r>
              <w:rPr>
                <w:sz w:val="20"/>
                <w:szCs w:val="20"/>
              </w:rPr>
              <w:t>Штрафы за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tc>
        <w:tc>
          <w:tcPr>
            <w:tcW w:w="1367" w:type="dxa"/>
            <w:tcBorders>
              <w:top w:val="nil"/>
              <w:left w:val="nil"/>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1,2</w:t>
            </w:r>
          </w:p>
        </w:tc>
        <w:tc>
          <w:tcPr>
            <w:tcW w:w="1637" w:type="dxa"/>
            <w:tcBorders>
              <w:top w:val="nil"/>
              <w:left w:val="nil"/>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730</w:t>
            </w:r>
          </w:p>
        </w:tc>
        <w:tc>
          <w:tcPr>
            <w:tcW w:w="1483" w:type="dxa"/>
            <w:tcBorders>
              <w:top w:val="nil"/>
              <w:left w:val="nil"/>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28,7%</w:t>
            </w:r>
          </w:p>
        </w:tc>
        <w:tc>
          <w:tcPr>
            <w:tcW w:w="1483" w:type="dxa"/>
            <w:tcBorders>
              <w:top w:val="nil"/>
              <w:left w:val="nil"/>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125,7</w:t>
            </w:r>
          </w:p>
        </w:tc>
      </w:tr>
      <w:tr w:rsidR="0055491A" w:rsidTr="00210BF6">
        <w:trPr>
          <w:trHeight w:val="2399"/>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lastRenderedPageBreak/>
              <w:t>2</w:t>
            </w:r>
          </w:p>
        </w:tc>
        <w:tc>
          <w:tcPr>
            <w:tcW w:w="2947" w:type="dxa"/>
            <w:tcBorders>
              <w:top w:val="nil"/>
              <w:left w:val="nil"/>
              <w:bottom w:val="single" w:sz="4" w:space="0" w:color="auto"/>
              <w:right w:val="single" w:sz="4" w:space="0" w:color="auto"/>
            </w:tcBorders>
            <w:shd w:val="clear" w:color="auto" w:fill="auto"/>
            <w:vAlign w:val="center"/>
            <w:hideMark/>
          </w:tcPr>
          <w:p w:rsidR="0055491A" w:rsidRDefault="0055491A" w:rsidP="00210BF6">
            <w:pPr>
              <w:rPr>
                <w:sz w:val="20"/>
                <w:szCs w:val="20"/>
              </w:rPr>
            </w:pPr>
            <w:r>
              <w:rPr>
                <w:sz w:val="20"/>
                <w:szCs w:val="20"/>
              </w:rPr>
              <w:t>Штрафы за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
        </w:tc>
        <w:tc>
          <w:tcPr>
            <w:tcW w:w="1367" w:type="dxa"/>
            <w:tcBorders>
              <w:top w:val="nil"/>
              <w:left w:val="nil"/>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1</w:t>
            </w:r>
          </w:p>
        </w:tc>
        <w:tc>
          <w:tcPr>
            <w:tcW w:w="1637" w:type="dxa"/>
            <w:tcBorders>
              <w:top w:val="nil"/>
              <w:left w:val="nil"/>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370</w:t>
            </w:r>
          </w:p>
        </w:tc>
        <w:tc>
          <w:tcPr>
            <w:tcW w:w="1483" w:type="dxa"/>
            <w:tcBorders>
              <w:top w:val="nil"/>
              <w:left w:val="nil"/>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9,3%</w:t>
            </w:r>
          </w:p>
        </w:tc>
        <w:tc>
          <w:tcPr>
            <w:tcW w:w="1483" w:type="dxa"/>
            <w:tcBorders>
              <w:top w:val="nil"/>
              <w:left w:val="nil"/>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17,2</w:t>
            </w:r>
          </w:p>
        </w:tc>
      </w:tr>
      <w:tr w:rsidR="0055491A" w:rsidTr="00210BF6">
        <w:trPr>
          <w:trHeight w:val="4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3</w:t>
            </w:r>
          </w:p>
        </w:tc>
        <w:tc>
          <w:tcPr>
            <w:tcW w:w="2947" w:type="dxa"/>
            <w:tcBorders>
              <w:top w:val="nil"/>
              <w:left w:val="nil"/>
              <w:bottom w:val="single" w:sz="4" w:space="0" w:color="auto"/>
              <w:right w:val="single" w:sz="4" w:space="0" w:color="auto"/>
            </w:tcBorders>
            <w:shd w:val="clear" w:color="auto" w:fill="auto"/>
            <w:vAlign w:val="center"/>
            <w:hideMark/>
          </w:tcPr>
          <w:p w:rsidR="0055491A" w:rsidRDefault="0055491A" w:rsidP="00210BF6">
            <w:pPr>
              <w:jc w:val="both"/>
              <w:rPr>
                <w:sz w:val="20"/>
                <w:szCs w:val="20"/>
              </w:rPr>
            </w:pPr>
            <w:r>
              <w:rPr>
                <w:sz w:val="20"/>
                <w:szCs w:val="20"/>
              </w:rPr>
              <w:t>Иные штрафы</w:t>
            </w:r>
          </w:p>
        </w:tc>
        <w:tc>
          <w:tcPr>
            <w:tcW w:w="1367" w:type="dxa"/>
            <w:tcBorders>
              <w:top w:val="nil"/>
              <w:left w:val="nil"/>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0,5</w:t>
            </w:r>
          </w:p>
        </w:tc>
        <w:tc>
          <w:tcPr>
            <w:tcW w:w="1637" w:type="dxa"/>
            <w:tcBorders>
              <w:top w:val="nil"/>
              <w:left w:val="nil"/>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274</w:t>
            </w:r>
          </w:p>
        </w:tc>
        <w:tc>
          <w:tcPr>
            <w:tcW w:w="1483" w:type="dxa"/>
            <w:tcBorders>
              <w:top w:val="nil"/>
              <w:left w:val="nil"/>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19,8%</w:t>
            </w:r>
          </w:p>
        </w:tc>
        <w:tc>
          <w:tcPr>
            <w:tcW w:w="1483" w:type="dxa"/>
            <w:tcBorders>
              <w:top w:val="nil"/>
              <w:left w:val="nil"/>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13,6</w:t>
            </w:r>
          </w:p>
        </w:tc>
      </w:tr>
      <w:tr w:rsidR="0055491A" w:rsidTr="00210BF6">
        <w:trPr>
          <w:trHeight w:val="4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p>
        </w:tc>
        <w:tc>
          <w:tcPr>
            <w:tcW w:w="2947" w:type="dxa"/>
            <w:tcBorders>
              <w:top w:val="nil"/>
              <w:left w:val="nil"/>
              <w:bottom w:val="single" w:sz="4" w:space="0" w:color="auto"/>
              <w:right w:val="nil"/>
            </w:tcBorders>
            <w:shd w:val="clear" w:color="auto" w:fill="auto"/>
            <w:vAlign w:val="center"/>
            <w:hideMark/>
          </w:tcPr>
          <w:p w:rsidR="0055491A" w:rsidRDefault="0055491A" w:rsidP="00210BF6">
            <w:pPr>
              <w:rPr>
                <w:b/>
                <w:bCs/>
                <w:sz w:val="20"/>
                <w:szCs w:val="20"/>
              </w:rPr>
            </w:pPr>
            <w:r>
              <w:rPr>
                <w:b/>
                <w:bCs/>
                <w:sz w:val="20"/>
                <w:szCs w:val="20"/>
              </w:rPr>
              <w:t>ИТОГО</w:t>
            </w:r>
          </w:p>
        </w:tc>
        <w:tc>
          <w:tcPr>
            <w:tcW w:w="1367" w:type="dxa"/>
            <w:tcBorders>
              <w:top w:val="nil"/>
              <w:left w:val="nil"/>
              <w:bottom w:val="single" w:sz="4" w:space="0" w:color="auto"/>
              <w:right w:val="nil"/>
            </w:tcBorders>
            <w:shd w:val="clear" w:color="auto" w:fill="auto"/>
            <w:vAlign w:val="center"/>
            <w:hideMark/>
          </w:tcPr>
          <w:p w:rsidR="0055491A" w:rsidRDefault="0055491A" w:rsidP="00210BF6">
            <w:pPr>
              <w:rPr>
                <w:b/>
                <w:bCs/>
                <w:sz w:val="20"/>
                <w:szCs w:val="20"/>
              </w:rPr>
            </w:pPr>
            <w:r>
              <w:rPr>
                <w:b/>
                <w:bCs/>
                <w:sz w:val="20"/>
                <w:szCs w:val="20"/>
              </w:rPr>
              <w:t> </w:t>
            </w:r>
          </w:p>
        </w:tc>
        <w:tc>
          <w:tcPr>
            <w:tcW w:w="1637" w:type="dxa"/>
            <w:tcBorders>
              <w:top w:val="nil"/>
              <w:left w:val="nil"/>
              <w:bottom w:val="single" w:sz="4" w:space="0" w:color="auto"/>
              <w:right w:val="nil"/>
            </w:tcBorders>
            <w:shd w:val="clear" w:color="auto" w:fill="auto"/>
            <w:vAlign w:val="center"/>
            <w:hideMark/>
          </w:tcPr>
          <w:p w:rsidR="0055491A" w:rsidRDefault="0055491A" w:rsidP="00210BF6">
            <w:pPr>
              <w:rPr>
                <w:b/>
                <w:bCs/>
                <w:sz w:val="20"/>
                <w:szCs w:val="20"/>
              </w:rPr>
            </w:pPr>
            <w:r>
              <w:rPr>
                <w:b/>
                <w:bCs/>
                <w:sz w:val="20"/>
                <w:szCs w:val="20"/>
              </w:rPr>
              <w:t> </w:t>
            </w:r>
          </w:p>
        </w:tc>
        <w:tc>
          <w:tcPr>
            <w:tcW w:w="1483" w:type="dxa"/>
            <w:tcBorders>
              <w:top w:val="nil"/>
              <w:left w:val="nil"/>
              <w:bottom w:val="single" w:sz="4" w:space="0" w:color="auto"/>
              <w:right w:val="single" w:sz="4" w:space="0" w:color="auto"/>
            </w:tcBorders>
            <w:shd w:val="clear" w:color="auto" w:fill="auto"/>
            <w:vAlign w:val="center"/>
            <w:hideMark/>
          </w:tcPr>
          <w:p w:rsidR="0055491A" w:rsidRDefault="0055491A" w:rsidP="00210BF6">
            <w:pPr>
              <w:rPr>
                <w:b/>
                <w:bCs/>
                <w:sz w:val="20"/>
                <w:szCs w:val="20"/>
              </w:rPr>
            </w:pPr>
            <w:r>
              <w:rPr>
                <w:b/>
                <w:bCs/>
                <w:sz w:val="20"/>
                <w:szCs w:val="20"/>
              </w:rPr>
              <w:t> </w:t>
            </w:r>
          </w:p>
        </w:tc>
        <w:tc>
          <w:tcPr>
            <w:tcW w:w="1483" w:type="dxa"/>
            <w:tcBorders>
              <w:top w:val="nil"/>
              <w:left w:val="nil"/>
              <w:bottom w:val="single" w:sz="4" w:space="0" w:color="auto"/>
              <w:right w:val="single" w:sz="4" w:space="0" w:color="auto"/>
            </w:tcBorders>
            <w:shd w:val="clear" w:color="auto" w:fill="auto"/>
            <w:vAlign w:val="center"/>
            <w:hideMark/>
          </w:tcPr>
          <w:p w:rsidR="0055491A" w:rsidRDefault="0055491A" w:rsidP="00210BF6">
            <w:pPr>
              <w:jc w:val="center"/>
              <w:rPr>
                <w:b/>
                <w:bCs/>
                <w:sz w:val="20"/>
                <w:szCs w:val="20"/>
              </w:rPr>
            </w:pPr>
            <w:r>
              <w:rPr>
                <w:b/>
                <w:bCs/>
                <w:sz w:val="20"/>
                <w:szCs w:val="20"/>
              </w:rPr>
              <w:t>156,5</w:t>
            </w:r>
          </w:p>
        </w:tc>
      </w:tr>
    </w:tbl>
    <w:p w:rsidR="0055491A" w:rsidRDefault="0055491A" w:rsidP="0055491A">
      <w:pPr>
        <w:pStyle w:val="a7"/>
        <w:spacing w:after="0"/>
        <w:ind w:left="0" w:firstLine="709"/>
        <w:jc w:val="center"/>
        <w:rPr>
          <w:sz w:val="28"/>
          <w:szCs w:val="28"/>
        </w:rPr>
      </w:pPr>
    </w:p>
    <w:p w:rsidR="0055491A" w:rsidRDefault="0055491A" w:rsidP="0055491A">
      <w:pPr>
        <w:pStyle w:val="a7"/>
        <w:spacing w:after="0"/>
        <w:ind w:left="0" w:firstLine="709"/>
        <w:jc w:val="both"/>
        <w:rPr>
          <w:sz w:val="28"/>
          <w:szCs w:val="28"/>
        </w:rPr>
      </w:pPr>
      <w:r w:rsidRPr="00775E3F">
        <w:rPr>
          <w:b/>
          <w:sz w:val="28"/>
          <w:szCs w:val="28"/>
        </w:rPr>
        <w:t>Прогноз поступления доходов в областной бюджет Тверской области на 202</w:t>
      </w:r>
      <w:r>
        <w:rPr>
          <w:b/>
          <w:sz w:val="28"/>
          <w:szCs w:val="28"/>
        </w:rPr>
        <w:t>2</w:t>
      </w:r>
      <w:r w:rsidRPr="00775E3F">
        <w:rPr>
          <w:b/>
          <w:sz w:val="28"/>
          <w:szCs w:val="28"/>
        </w:rPr>
        <w:t xml:space="preserve"> год – </w:t>
      </w:r>
      <w:r>
        <w:rPr>
          <w:b/>
          <w:sz w:val="28"/>
          <w:szCs w:val="28"/>
        </w:rPr>
        <w:t>156</w:t>
      </w:r>
      <w:r w:rsidRPr="00775E3F">
        <w:rPr>
          <w:b/>
          <w:sz w:val="28"/>
          <w:szCs w:val="28"/>
        </w:rPr>
        <w:t>,</w:t>
      </w:r>
      <w:r>
        <w:rPr>
          <w:b/>
          <w:sz w:val="28"/>
          <w:szCs w:val="28"/>
        </w:rPr>
        <w:t>5</w:t>
      </w:r>
      <w:r w:rsidRPr="00775E3F">
        <w:rPr>
          <w:b/>
          <w:sz w:val="28"/>
          <w:szCs w:val="28"/>
        </w:rPr>
        <w:t xml:space="preserve"> тыс. руб., на 202</w:t>
      </w:r>
      <w:r>
        <w:rPr>
          <w:b/>
          <w:sz w:val="28"/>
          <w:szCs w:val="28"/>
        </w:rPr>
        <w:t>3</w:t>
      </w:r>
      <w:r w:rsidRPr="00775E3F">
        <w:rPr>
          <w:b/>
          <w:sz w:val="28"/>
          <w:szCs w:val="28"/>
        </w:rPr>
        <w:t xml:space="preserve"> год – </w:t>
      </w:r>
      <w:r>
        <w:rPr>
          <w:b/>
          <w:sz w:val="28"/>
          <w:szCs w:val="28"/>
        </w:rPr>
        <w:t>156,5</w:t>
      </w:r>
      <w:r w:rsidRPr="00775E3F">
        <w:rPr>
          <w:b/>
          <w:sz w:val="28"/>
          <w:szCs w:val="28"/>
        </w:rPr>
        <w:t xml:space="preserve"> тыс. руб., на 202</w:t>
      </w:r>
      <w:r>
        <w:rPr>
          <w:b/>
          <w:sz w:val="28"/>
          <w:szCs w:val="28"/>
        </w:rPr>
        <w:t>4</w:t>
      </w:r>
      <w:r w:rsidRPr="00775E3F">
        <w:rPr>
          <w:b/>
          <w:sz w:val="28"/>
          <w:szCs w:val="28"/>
        </w:rPr>
        <w:t xml:space="preserve"> год – </w:t>
      </w:r>
      <w:r>
        <w:rPr>
          <w:b/>
          <w:sz w:val="28"/>
          <w:szCs w:val="28"/>
        </w:rPr>
        <w:t>156,5</w:t>
      </w:r>
      <w:r w:rsidRPr="00775E3F">
        <w:rPr>
          <w:b/>
          <w:sz w:val="28"/>
          <w:szCs w:val="28"/>
        </w:rPr>
        <w:t xml:space="preserve"> тыс. руб</w:t>
      </w:r>
      <w:r>
        <w:rPr>
          <w:sz w:val="28"/>
          <w:szCs w:val="28"/>
        </w:rPr>
        <w:t>.</w:t>
      </w:r>
    </w:p>
    <w:p w:rsidR="0055491A" w:rsidRDefault="0055491A" w:rsidP="0055491A">
      <w:pPr>
        <w:pStyle w:val="a7"/>
        <w:spacing w:after="0"/>
        <w:ind w:left="0" w:firstLine="709"/>
        <w:jc w:val="both"/>
        <w:rPr>
          <w:sz w:val="28"/>
          <w:szCs w:val="28"/>
        </w:rPr>
      </w:pPr>
    </w:p>
    <w:p w:rsidR="0055491A" w:rsidRDefault="0055491A" w:rsidP="0055491A">
      <w:pPr>
        <w:pStyle w:val="a7"/>
        <w:spacing w:after="0"/>
        <w:ind w:left="0" w:firstLine="709"/>
        <w:jc w:val="both"/>
        <w:rPr>
          <w:sz w:val="28"/>
          <w:szCs w:val="28"/>
        </w:rPr>
      </w:pPr>
      <w:r w:rsidRPr="001B5258">
        <w:rPr>
          <w:sz w:val="28"/>
          <w:szCs w:val="28"/>
        </w:rPr>
        <w:t>1</w:t>
      </w:r>
      <w:r>
        <w:rPr>
          <w:sz w:val="28"/>
          <w:szCs w:val="28"/>
        </w:rPr>
        <w:t>3</w:t>
      </w:r>
      <w:r w:rsidRPr="001B5258">
        <w:rPr>
          <w:sz w:val="28"/>
          <w:szCs w:val="28"/>
        </w:rPr>
        <w:t xml:space="preserve">. 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w:t>
      </w:r>
      <w:r>
        <w:rPr>
          <w:sz w:val="28"/>
          <w:szCs w:val="28"/>
        </w:rPr>
        <w:t xml:space="preserve">                                 </w:t>
      </w:r>
      <w:r w:rsidRPr="001B5258">
        <w:rPr>
          <w:sz w:val="28"/>
          <w:szCs w:val="28"/>
        </w:rPr>
        <w:t>(</w:t>
      </w:r>
      <w:r w:rsidRPr="00041C01">
        <w:rPr>
          <w:b/>
          <w:sz w:val="28"/>
          <w:szCs w:val="28"/>
        </w:rPr>
        <w:t>КБК 000 1 16 01190 01 0000 140</w:t>
      </w:r>
      <w:r>
        <w:rPr>
          <w:sz w:val="28"/>
          <w:szCs w:val="28"/>
        </w:rPr>
        <w:t>)</w:t>
      </w:r>
    </w:p>
    <w:p w:rsidR="0055491A" w:rsidRPr="00041C01" w:rsidRDefault="0055491A" w:rsidP="0055491A">
      <w:pPr>
        <w:pStyle w:val="a7"/>
        <w:spacing w:after="0"/>
        <w:ind w:left="0" w:firstLine="709"/>
        <w:jc w:val="both"/>
        <w:rPr>
          <w:b/>
          <w:sz w:val="28"/>
          <w:szCs w:val="28"/>
        </w:rPr>
      </w:pPr>
      <w:r w:rsidRPr="00041C01">
        <w:rPr>
          <w:b/>
          <w:sz w:val="28"/>
          <w:szCs w:val="28"/>
        </w:rPr>
        <w:t>Прогноз по КБК всего на 202</w:t>
      </w:r>
      <w:r>
        <w:rPr>
          <w:b/>
          <w:sz w:val="28"/>
          <w:szCs w:val="28"/>
        </w:rPr>
        <w:t>2</w:t>
      </w:r>
      <w:r w:rsidRPr="00041C01">
        <w:rPr>
          <w:b/>
          <w:sz w:val="28"/>
          <w:szCs w:val="28"/>
        </w:rPr>
        <w:t xml:space="preserve"> год – 1</w:t>
      </w:r>
      <w:r>
        <w:rPr>
          <w:b/>
          <w:sz w:val="28"/>
          <w:szCs w:val="28"/>
        </w:rPr>
        <w:t>2</w:t>
      </w:r>
      <w:r w:rsidRPr="00041C01">
        <w:rPr>
          <w:b/>
          <w:sz w:val="28"/>
          <w:szCs w:val="28"/>
        </w:rPr>
        <w:t> </w:t>
      </w:r>
      <w:r>
        <w:rPr>
          <w:b/>
          <w:sz w:val="28"/>
          <w:szCs w:val="28"/>
        </w:rPr>
        <w:t>567</w:t>
      </w:r>
      <w:r w:rsidRPr="00041C01">
        <w:rPr>
          <w:b/>
          <w:sz w:val="28"/>
          <w:szCs w:val="28"/>
        </w:rPr>
        <w:t>,</w:t>
      </w:r>
      <w:r>
        <w:rPr>
          <w:b/>
          <w:sz w:val="28"/>
          <w:szCs w:val="28"/>
        </w:rPr>
        <w:t>8</w:t>
      </w:r>
      <w:r w:rsidRPr="00041C01">
        <w:rPr>
          <w:b/>
          <w:sz w:val="28"/>
          <w:szCs w:val="28"/>
        </w:rPr>
        <w:t xml:space="preserve"> тыс. руб., на 202</w:t>
      </w:r>
      <w:r>
        <w:rPr>
          <w:b/>
          <w:sz w:val="28"/>
          <w:szCs w:val="28"/>
        </w:rPr>
        <w:t>3</w:t>
      </w:r>
      <w:r w:rsidRPr="00041C01">
        <w:rPr>
          <w:b/>
          <w:sz w:val="28"/>
          <w:szCs w:val="28"/>
        </w:rPr>
        <w:t xml:space="preserve"> год – 11 </w:t>
      </w:r>
      <w:r>
        <w:rPr>
          <w:b/>
          <w:sz w:val="28"/>
          <w:szCs w:val="28"/>
        </w:rPr>
        <w:t>902</w:t>
      </w:r>
      <w:r w:rsidRPr="00041C01">
        <w:rPr>
          <w:b/>
          <w:sz w:val="28"/>
          <w:szCs w:val="28"/>
        </w:rPr>
        <w:t>,</w:t>
      </w:r>
      <w:r w:rsidR="00A56468">
        <w:rPr>
          <w:b/>
          <w:sz w:val="28"/>
          <w:szCs w:val="28"/>
        </w:rPr>
        <w:t>2</w:t>
      </w:r>
      <w:r w:rsidRPr="00041C01">
        <w:rPr>
          <w:b/>
          <w:sz w:val="28"/>
          <w:szCs w:val="28"/>
        </w:rPr>
        <w:t xml:space="preserve"> тыс. руб., на 202</w:t>
      </w:r>
      <w:r>
        <w:rPr>
          <w:b/>
          <w:sz w:val="28"/>
          <w:szCs w:val="28"/>
        </w:rPr>
        <w:t>4</w:t>
      </w:r>
      <w:r w:rsidRPr="00041C01">
        <w:rPr>
          <w:b/>
          <w:sz w:val="28"/>
          <w:szCs w:val="28"/>
        </w:rPr>
        <w:t xml:space="preserve"> год – 1</w:t>
      </w:r>
      <w:r>
        <w:rPr>
          <w:b/>
          <w:sz w:val="28"/>
          <w:szCs w:val="28"/>
        </w:rPr>
        <w:t>2</w:t>
      </w:r>
      <w:r w:rsidRPr="00041C01">
        <w:rPr>
          <w:b/>
          <w:sz w:val="28"/>
          <w:szCs w:val="28"/>
        </w:rPr>
        <w:t> </w:t>
      </w:r>
      <w:r>
        <w:rPr>
          <w:b/>
          <w:sz w:val="28"/>
          <w:szCs w:val="28"/>
        </w:rPr>
        <w:t>085</w:t>
      </w:r>
      <w:r w:rsidRPr="00041C01">
        <w:rPr>
          <w:b/>
          <w:sz w:val="28"/>
          <w:szCs w:val="28"/>
        </w:rPr>
        <w:t>,</w:t>
      </w:r>
      <w:r>
        <w:rPr>
          <w:b/>
          <w:sz w:val="28"/>
          <w:szCs w:val="28"/>
        </w:rPr>
        <w:t>0</w:t>
      </w:r>
      <w:r w:rsidRPr="00041C01">
        <w:rPr>
          <w:b/>
          <w:sz w:val="28"/>
          <w:szCs w:val="28"/>
        </w:rPr>
        <w:t xml:space="preserve"> тыс. руб.</w:t>
      </w:r>
    </w:p>
    <w:p w:rsidR="0055491A" w:rsidRPr="00041C01" w:rsidRDefault="0055491A" w:rsidP="0055491A">
      <w:pPr>
        <w:pStyle w:val="a7"/>
        <w:spacing w:after="0"/>
        <w:ind w:left="0" w:firstLine="709"/>
        <w:jc w:val="both"/>
        <w:rPr>
          <w:b/>
          <w:sz w:val="28"/>
          <w:szCs w:val="28"/>
        </w:rPr>
      </w:pPr>
    </w:p>
    <w:p w:rsidR="0055491A" w:rsidRDefault="0055491A" w:rsidP="0055491A">
      <w:pPr>
        <w:pStyle w:val="a7"/>
        <w:spacing w:after="0"/>
        <w:ind w:left="0" w:firstLine="709"/>
        <w:jc w:val="both"/>
        <w:rPr>
          <w:sz w:val="28"/>
          <w:szCs w:val="28"/>
        </w:rPr>
      </w:pPr>
      <w:r w:rsidRPr="00485D9D">
        <w:rPr>
          <w:sz w:val="28"/>
          <w:szCs w:val="28"/>
        </w:rPr>
        <w:t>1</w:t>
      </w:r>
      <w:r>
        <w:rPr>
          <w:sz w:val="28"/>
          <w:szCs w:val="28"/>
        </w:rPr>
        <w:t>3</w:t>
      </w:r>
      <w:r w:rsidRPr="00485D9D">
        <w:rPr>
          <w:sz w:val="28"/>
          <w:szCs w:val="28"/>
        </w:rPr>
        <w:t xml:space="preserve">.1 </w:t>
      </w:r>
      <w:r w:rsidRPr="007234B3">
        <w:rPr>
          <w:b/>
          <w:sz w:val="28"/>
          <w:szCs w:val="28"/>
        </w:rPr>
        <w:t>КБК 025 1 16 01192 01 0000 140</w:t>
      </w:r>
      <w:r w:rsidRPr="00485D9D">
        <w:rPr>
          <w:sz w:val="28"/>
          <w:szCs w:val="28"/>
        </w:rPr>
        <w:t xml:space="preserve"> 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w:t>
      </w:r>
    </w:p>
    <w:p w:rsidR="0055491A" w:rsidRPr="007234B3" w:rsidRDefault="0055491A" w:rsidP="0055491A">
      <w:pPr>
        <w:pStyle w:val="a7"/>
        <w:spacing w:after="0"/>
        <w:ind w:left="0" w:firstLine="709"/>
        <w:jc w:val="both"/>
        <w:rPr>
          <w:b/>
          <w:color w:val="000000"/>
          <w:sz w:val="28"/>
          <w:szCs w:val="28"/>
        </w:rPr>
      </w:pPr>
      <w:r>
        <w:rPr>
          <w:sz w:val="28"/>
          <w:szCs w:val="28"/>
        </w:rPr>
        <w:t xml:space="preserve"> </w:t>
      </w:r>
      <w:r w:rsidRPr="007234B3">
        <w:rPr>
          <w:b/>
          <w:sz w:val="28"/>
          <w:szCs w:val="28"/>
        </w:rPr>
        <w:t>Главный администратор доходов - Главное управление «Региональная энергетическая комиссия» Тверской области.</w:t>
      </w:r>
    </w:p>
    <w:p w:rsidR="0055491A" w:rsidRDefault="0055491A" w:rsidP="0055491A">
      <w:pPr>
        <w:pStyle w:val="a7"/>
        <w:spacing w:after="0"/>
        <w:ind w:left="0" w:firstLine="709"/>
        <w:jc w:val="both"/>
        <w:rPr>
          <w:sz w:val="28"/>
          <w:szCs w:val="28"/>
        </w:rPr>
      </w:pPr>
      <w:r>
        <w:rPr>
          <w:sz w:val="28"/>
          <w:szCs w:val="28"/>
        </w:rPr>
        <w:t>Расчет произведен в соответствии с методикой, утвержденной приказом Главного управления «Региональная энергетическая комиссия» Тверской области от 01.06.2021 № 11-ОД.</w:t>
      </w:r>
    </w:p>
    <w:p w:rsidR="0055491A" w:rsidRDefault="0055491A" w:rsidP="0055491A">
      <w:pPr>
        <w:pStyle w:val="a7"/>
        <w:spacing w:after="0"/>
        <w:ind w:left="0" w:firstLine="709"/>
        <w:jc w:val="both"/>
        <w:rPr>
          <w:sz w:val="28"/>
          <w:szCs w:val="28"/>
        </w:rPr>
      </w:pPr>
      <w:r>
        <w:rPr>
          <w:sz w:val="28"/>
          <w:szCs w:val="28"/>
        </w:rPr>
        <w:t>Прогноз на 2022-2024 годы рассчитан исходя из прогнозного количества правонарушений каждого вида и размера платежа за каждый вид правонарушений. Определение прогнозного количества правонарушений основывается на статистических данных за 3 года.</w:t>
      </w:r>
    </w:p>
    <w:p w:rsidR="0055491A" w:rsidRDefault="0055491A" w:rsidP="0055491A">
      <w:pPr>
        <w:pStyle w:val="a7"/>
        <w:spacing w:after="0"/>
        <w:ind w:left="0" w:firstLine="709"/>
        <w:jc w:val="both"/>
        <w:rPr>
          <w:sz w:val="28"/>
          <w:szCs w:val="28"/>
        </w:rPr>
      </w:pPr>
      <w:r>
        <w:rPr>
          <w:sz w:val="28"/>
          <w:szCs w:val="28"/>
        </w:rPr>
        <w:t>Данные для расчета прогноза на 2022 год представлены в таблице:</w:t>
      </w:r>
    </w:p>
    <w:p w:rsidR="00481D93" w:rsidRDefault="00481D93" w:rsidP="0055491A">
      <w:pPr>
        <w:pStyle w:val="a7"/>
        <w:spacing w:after="0"/>
        <w:ind w:left="0" w:firstLine="709"/>
        <w:jc w:val="both"/>
        <w:rPr>
          <w:sz w:val="28"/>
          <w:szCs w:val="28"/>
        </w:rPr>
      </w:pPr>
    </w:p>
    <w:p w:rsidR="00481D93" w:rsidRDefault="00481D93" w:rsidP="0055491A">
      <w:pPr>
        <w:pStyle w:val="a7"/>
        <w:spacing w:after="0"/>
        <w:ind w:left="0" w:firstLine="709"/>
        <w:jc w:val="both"/>
        <w:rPr>
          <w:sz w:val="28"/>
          <w:szCs w:val="28"/>
        </w:rPr>
      </w:pPr>
    </w:p>
    <w:p w:rsidR="00481D93" w:rsidRDefault="00481D93" w:rsidP="0055491A">
      <w:pPr>
        <w:pStyle w:val="a7"/>
        <w:spacing w:after="0"/>
        <w:ind w:left="0" w:firstLine="709"/>
        <w:jc w:val="both"/>
        <w:rPr>
          <w:sz w:val="28"/>
          <w:szCs w:val="28"/>
        </w:rPr>
      </w:pPr>
    </w:p>
    <w:p w:rsidR="00481D93" w:rsidRDefault="00481D93" w:rsidP="0055491A">
      <w:pPr>
        <w:pStyle w:val="a7"/>
        <w:spacing w:after="0"/>
        <w:ind w:left="0" w:firstLine="709"/>
        <w:jc w:val="both"/>
        <w:rPr>
          <w:sz w:val="28"/>
          <w:szCs w:val="28"/>
        </w:rPr>
      </w:pPr>
    </w:p>
    <w:p w:rsidR="0055491A" w:rsidRDefault="0055491A" w:rsidP="0055491A">
      <w:pPr>
        <w:pStyle w:val="a7"/>
        <w:spacing w:after="0"/>
        <w:ind w:left="0"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09"/>
        <w:gridCol w:w="1055"/>
        <w:gridCol w:w="1418"/>
        <w:gridCol w:w="1418"/>
        <w:gridCol w:w="1420"/>
        <w:gridCol w:w="1449"/>
        <w:gridCol w:w="1175"/>
      </w:tblGrid>
      <w:tr w:rsidR="0055491A" w:rsidTr="00210BF6">
        <w:tc>
          <w:tcPr>
            <w:tcW w:w="1409" w:type="dxa"/>
            <w:tcBorders>
              <w:top w:val="single" w:sz="4" w:space="0" w:color="auto"/>
              <w:left w:val="single" w:sz="4" w:space="0" w:color="auto"/>
              <w:bottom w:val="single" w:sz="4" w:space="0" w:color="auto"/>
              <w:right w:val="single" w:sz="4" w:space="0" w:color="auto"/>
            </w:tcBorders>
            <w:vAlign w:val="center"/>
            <w:hideMark/>
          </w:tcPr>
          <w:p w:rsidR="0055491A" w:rsidRDefault="0055491A" w:rsidP="00210BF6">
            <w:pPr>
              <w:jc w:val="center"/>
              <w:rPr>
                <w:bCs/>
              </w:rPr>
            </w:pPr>
            <w:r>
              <w:rPr>
                <w:bCs/>
              </w:rPr>
              <w:lastRenderedPageBreak/>
              <w:t>Ст.КоАП РФ</w:t>
            </w:r>
          </w:p>
        </w:tc>
        <w:tc>
          <w:tcPr>
            <w:tcW w:w="1055" w:type="dxa"/>
            <w:tcBorders>
              <w:top w:val="single" w:sz="4" w:space="0" w:color="auto"/>
              <w:left w:val="single" w:sz="4" w:space="0" w:color="auto"/>
              <w:bottom w:val="single" w:sz="4" w:space="0" w:color="auto"/>
              <w:right w:val="single" w:sz="4" w:space="0" w:color="auto"/>
            </w:tcBorders>
            <w:vAlign w:val="center"/>
            <w:hideMark/>
          </w:tcPr>
          <w:p w:rsidR="0055491A" w:rsidRDefault="0055491A" w:rsidP="00210BF6">
            <w:pPr>
              <w:jc w:val="center"/>
              <w:rPr>
                <w:bCs/>
                <w:vertAlign w:val="subscript"/>
              </w:rPr>
            </w:pPr>
            <w:r>
              <w:rPr>
                <w:bCs/>
              </w:rPr>
              <w:t>Размер штрафа, тыс. руб.</w:t>
            </w:r>
          </w:p>
        </w:tc>
        <w:tc>
          <w:tcPr>
            <w:tcW w:w="1418" w:type="dxa"/>
            <w:tcBorders>
              <w:top w:val="single" w:sz="4" w:space="0" w:color="auto"/>
              <w:left w:val="single" w:sz="4" w:space="0" w:color="auto"/>
              <w:bottom w:val="single" w:sz="4" w:space="0" w:color="auto"/>
              <w:right w:val="single" w:sz="4" w:space="0" w:color="auto"/>
            </w:tcBorders>
            <w:vAlign w:val="center"/>
            <w:hideMark/>
          </w:tcPr>
          <w:p w:rsidR="0055491A" w:rsidRDefault="0055491A" w:rsidP="00210BF6">
            <w:pPr>
              <w:jc w:val="center"/>
              <w:rPr>
                <w:bCs/>
              </w:rPr>
            </w:pPr>
            <w:r>
              <w:rPr>
                <w:bCs/>
              </w:rPr>
              <w:t>Количество штрафов за 2019 год</w:t>
            </w:r>
          </w:p>
        </w:tc>
        <w:tc>
          <w:tcPr>
            <w:tcW w:w="1418" w:type="dxa"/>
            <w:tcBorders>
              <w:top w:val="single" w:sz="4" w:space="0" w:color="auto"/>
              <w:left w:val="single" w:sz="4" w:space="0" w:color="auto"/>
              <w:bottom w:val="single" w:sz="4" w:space="0" w:color="auto"/>
              <w:right w:val="single" w:sz="4" w:space="0" w:color="auto"/>
            </w:tcBorders>
            <w:vAlign w:val="center"/>
            <w:hideMark/>
          </w:tcPr>
          <w:p w:rsidR="0055491A" w:rsidRDefault="0055491A" w:rsidP="00210BF6">
            <w:pPr>
              <w:jc w:val="center"/>
              <w:rPr>
                <w:bCs/>
              </w:rPr>
            </w:pPr>
            <w:r>
              <w:rPr>
                <w:bCs/>
              </w:rPr>
              <w:t>Количество штрафов за 2020 год</w:t>
            </w:r>
          </w:p>
        </w:tc>
        <w:tc>
          <w:tcPr>
            <w:tcW w:w="1420" w:type="dxa"/>
            <w:tcBorders>
              <w:top w:val="single" w:sz="4" w:space="0" w:color="auto"/>
              <w:left w:val="single" w:sz="4" w:space="0" w:color="auto"/>
              <w:bottom w:val="single" w:sz="4" w:space="0" w:color="auto"/>
              <w:right w:val="single" w:sz="4" w:space="0" w:color="auto"/>
            </w:tcBorders>
            <w:vAlign w:val="center"/>
            <w:hideMark/>
          </w:tcPr>
          <w:p w:rsidR="0055491A" w:rsidRDefault="0055491A" w:rsidP="00210BF6">
            <w:pPr>
              <w:jc w:val="center"/>
              <w:rPr>
                <w:bCs/>
              </w:rPr>
            </w:pPr>
            <w:r>
              <w:rPr>
                <w:bCs/>
              </w:rPr>
              <w:t>Количество штрафов за 2021 год (оценка)</w:t>
            </w:r>
          </w:p>
        </w:tc>
        <w:tc>
          <w:tcPr>
            <w:tcW w:w="1449" w:type="dxa"/>
            <w:tcBorders>
              <w:top w:val="single" w:sz="4" w:space="0" w:color="auto"/>
              <w:left w:val="single" w:sz="4" w:space="0" w:color="auto"/>
              <w:bottom w:val="single" w:sz="4" w:space="0" w:color="auto"/>
              <w:right w:val="single" w:sz="4" w:space="0" w:color="auto"/>
            </w:tcBorders>
            <w:vAlign w:val="center"/>
          </w:tcPr>
          <w:p w:rsidR="0055491A" w:rsidRDefault="0055491A" w:rsidP="00210BF6">
            <w:pPr>
              <w:jc w:val="center"/>
              <w:rPr>
                <w:bCs/>
              </w:rPr>
            </w:pPr>
            <w:r>
              <w:rPr>
                <w:bCs/>
              </w:rPr>
              <w:t>Среднее количество за 3 года</w:t>
            </w:r>
          </w:p>
          <w:p w:rsidR="0055491A" w:rsidRDefault="0055491A" w:rsidP="00210BF6">
            <w:pPr>
              <w:jc w:val="center"/>
              <w:rPr>
                <w:bCs/>
              </w:rPr>
            </w:pPr>
          </w:p>
        </w:tc>
        <w:tc>
          <w:tcPr>
            <w:tcW w:w="1175" w:type="dxa"/>
            <w:tcBorders>
              <w:top w:val="single" w:sz="4" w:space="0" w:color="auto"/>
              <w:left w:val="single" w:sz="4" w:space="0" w:color="auto"/>
              <w:bottom w:val="single" w:sz="4" w:space="0" w:color="auto"/>
              <w:right w:val="single" w:sz="4" w:space="0" w:color="auto"/>
            </w:tcBorders>
            <w:vAlign w:val="center"/>
            <w:hideMark/>
          </w:tcPr>
          <w:p w:rsidR="0055491A" w:rsidRDefault="0055491A" w:rsidP="00210BF6">
            <w:pPr>
              <w:jc w:val="center"/>
              <w:rPr>
                <w:bCs/>
              </w:rPr>
            </w:pPr>
            <w:r>
              <w:rPr>
                <w:bCs/>
              </w:rPr>
              <w:t>Сумма прогноза на 2022 год,</w:t>
            </w:r>
          </w:p>
          <w:p w:rsidR="0055491A" w:rsidRDefault="0055491A" w:rsidP="00210BF6">
            <w:pPr>
              <w:jc w:val="center"/>
              <w:rPr>
                <w:bCs/>
                <w:vertAlign w:val="subscript"/>
              </w:rPr>
            </w:pPr>
            <w:r>
              <w:rPr>
                <w:bCs/>
              </w:rPr>
              <w:t>тыс. руб.</w:t>
            </w:r>
          </w:p>
        </w:tc>
      </w:tr>
      <w:tr w:rsidR="0055491A" w:rsidTr="00210BF6">
        <w:tc>
          <w:tcPr>
            <w:tcW w:w="1409" w:type="dxa"/>
            <w:tcBorders>
              <w:top w:val="single" w:sz="4" w:space="0" w:color="auto"/>
              <w:left w:val="single" w:sz="4" w:space="0" w:color="auto"/>
              <w:bottom w:val="single" w:sz="4" w:space="0" w:color="auto"/>
              <w:right w:val="single" w:sz="4" w:space="0" w:color="auto"/>
            </w:tcBorders>
            <w:hideMark/>
          </w:tcPr>
          <w:p w:rsidR="0055491A" w:rsidRDefault="0055491A" w:rsidP="00210BF6">
            <w:pPr>
              <w:jc w:val="center"/>
              <w:rPr>
                <w:bCs/>
              </w:rPr>
            </w:pPr>
            <w:r>
              <w:rPr>
                <w:bCs/>
              </w:rPr>
              <w:t>1</w:t>
            </w:r>
          </w:p>
        </w:tc>
        <w:tc>
          <w:tcPr>
            <w:tcW w:w="1055" w:type="dxa"/>
            <w:tcBorders>
              <w:top w:val="single" w:sz="4" w:space="0" w:color="auto"/>
              <w:left w:val="single" w:sz="4" w:space="0" w:color="auto"/>
              <w:bottom w:val="single" w:sz="4" w:space="0" w:color="auto"/>
              <w:right w:val="single" w:sz="4" w:space="0" w:color="auto"/>
            </w:tcBorders>
            <w:hideMark/>
          </w:tcPr>
          <w:p w:rsidR="0055491A" w:rsidRDefault="0055491A" w:rsidP="00210BF6">
            <w:pPr>
              <w:jc w:val="center"/>
              <w:rPr>
                <w:bCs/>
              </w:rPr>
            </w:pPr>
            <w:r>
              <w:rPr>
                <w:bCs/>
              </w:rPr>
              <w:t>2</w:t>
            </w:r>
          </w:p>
        </w:tc>
        <w:tc>
          <w:tcPr>
            <w:tcW w:w="1418" w:type="dxa"/>
            <w:tcBorders>
              <w:top w:val="single" w:sz="4" w:space="0" w:color="auto"/>
              <w:left w:val="single" w:sz="4" w:space="0" w:color="auto"/>
              <w:bottom w:val="single" w:sz="4" w:space="0" w:color="auto"/>
              <w:right w:val="single" w:sz="4" w:space="0" w:color="auto"/>
            </w:tcBorders>
            <w:hideMark/>
          </w:tcPr>
          <w:p w:rsidR="0055491A" w:rsidRDefault="0055491A" w:rsidP="00210BF6">
            <w:pPr>
              <w:jc w:val="center"/>
              <w:rPr>
                <w:bCs/>
              </w:rPr>
            </w:pPr>
            <w:r>
              <w:rPr>
                <w:bCs/>
              </w:rPr>
              <w:t>3</w:t>
            </w:r>
          </w:p>
        </w:tc>
        <w:tc>
          <w:tcPr>
            <w:tcW w:w="1418" w:type="dxa"/>
            <w:tcBorders>
              <w:top w:val="single" w:sz="4" w:space="0" w:color="auto"/>
              <w:left w:val="single" w:sz="4" w:space="0" w:color="auto"/>
              <w:bottom w:val="single" w:sz="4" w:space="0" w:color="auto"/>
              <w:right w:val="single" w:sz="4" w:space="0" w:color="auto"/>
            </w:tcBorders>
            <w:hideMark/>
          </w:tcPr>
          <w:p w:rsidR="0055491A" w:rsidRDefault="0055491A" w:rsidP="00210BF6">
            <w:pPr>
              <w:jc w:val="center"/>
              <w:rPr>
                <w:bCs/>
              </w:rPr>
            </w:pPr>
            <w:r>
              <w:rPr>
                <w:bCs/>
              </w:rPr>
              <w:t>4</w:t>
            </w:r>
          </w:p>
        </w:tc>
        <w:tc>
          <w:tcPr>
            <w:tcW w:w="1420" w:type="dxa"/>
            <w:tcBorders>
              <w:top w:val="single" w:sz="4" w:space="0" w:color="auto"/>
              <w:left w:val="single" w:sz="4" w:space="0" w:color="auto"/>
              <w:bottom w:val="single" w:sz="4" w:space="0" w:color="auto"/>
              <w:right w:val="single" w:sz="4" w:space="0" w:color="auto"/>
            </w:tcBorders>
            <w:hideMark/>
          </w:tcPr>
          <w:p w:rsidR="0055491A" w:rsidRDefault="0055491A" w:rsidP="00210BF6">
            <w:pPr>
              <w:jc w:val="center"/>
              <w:rPr>
                <w:bCs/>
              </w:rPr>
            </w:pPr>
            <w:r>
              <w:rPr>
                <w:bCs/>
              </w:rPr>
              <w:t>5</w:t>
            </w:r>
          </w:p>
        </w:tc>
        <w:tc>
          <w:tcPr>
            <w:tcW w:w="1449" w:type="dxa"/>
            <w:tcBorders>
              <w:top w:val="single" w:sz="4" w:space="0" w:color="auto"/>
              <w:left w:val="single" w:sz="4" w:space="0" w:color="auto"/>
              <w:bottom w:val="single" w:sz="4" w:space="0" w:color="auto"/>
              <w:right w:val="single" w:sz="4" w:space="0" w:color="auto"/>
            </w:tcBorders>
            <w:hideMark/>
          </w:tcPr>
          <w:p w:rsidR="0055491A" w:rsidRDefault="0055491A" w:rsidP="00210BF6">
            <w:pPr>
              <w:jc w:val="center"/>
              <w:rPr>
                <w:bCs/>
              </w:rPr>
            </w:pPr>
            <w:r>
              <w:rPr>
                <w:bCs/>
              </w:rPr>
              <w:t>6=(3+4+5)/3</w:t>
            </w:r>
          </w:p>
        </w:tc>
        <w:tc>
          <w:tcPr>
            <w:tcW w:w="1175" w:type="dxa"/>
            <w:tcBorders>
              <w:top w:val="single" w:sz="4" w:space="0" w:color="auto"/>
              <w:left w:val="single" w:sz="4" w:space="0" w:color="auto"/>
              <w:bottom w:val="single" w:sz="4" w:space="0" w:color="auto"/>
              <w:right w:val="single" w:sz="4" w:space="0" w:color="auto"/>
            </w:tcBorders>
            <w:hideMark/>
          </w:tcPr>
          <w:p w:rsidR="0055491A" w:rsidRDefault="0055491A" w:rsidP="00210BF6">
            <w:pPr>
              <w:jc w:val="center"/>
              <w:rPr>
                <w:bCs/>
              </w:rPr>
            </w:pPr>
            <w:r>
              <w:rPr>
                <w:bCs/>
              </w:rPr>
              <w:t>7 = 2*6</w:t>
            </w:r>
          </w:p>
        </w:tc>
      </w:tr>
      <w:tr w:rsidR="0055491A" w:rsidTr="00210BF6">
        <w:tc>
          <w:tcPr>
            <w:tcW w:w="1409" w:type="dxa"/>
            <w:tcBorders>
              <w:top w:val="single" w:sz="4" w:space="0" w:color="auto"/>
              <w:left w:val="single" w:sz="4" w:space="0" w:color="auto"/>
              <w:bottom w:val="single" w:sz="4" w:space="0" w:color="auto"/>
              <w:right w:val="single" w:sz="4" w:space="0" w:color="auto"/>
            </w:tcBorders>
          </w:tcPr>
          <w:p w:rsidR="0055491A" w:rsidRDefault="0055491A" w:rsidP="00210BF6">
            <w:pPr>
              <w:jc w:val="both"/>
              <w:rPr>
                <w:bCs/>
              </w:rPr>
            </w:pPr>
            <w:r>
              <w:rPr>
                <w:bCs/>
              </w:rPr>
              <w:t>ч.1 ст.19.7.1</w:t>
            </w:r>
          </w:p>
        </w:tc>
        <w:tc>
          <w:tcPr>
            <w:tcW w:w="1055" w:type="dxa"/>
            <w:tcBorders>
              <w:top w:val="single" w:sz="4" w:space="0" w:color="auto"/>
              <w:left w:val="single" w:sz="4" w:space="0" w:color="auto"/>
              <w:bottom w:val="single" w:sz="4" w:space="0" w:color="auto"/>
              <w:right w:val="single" w:sz="4" w:space="0" w:color="auto"/>
            </w:tcBorders>
          </w:tcPr>
          <w:p w:rsidR="0055491A" w:rsidRDefault="0055491A" w:rsidP="00210BF6">
            <w:pPr>
              <w:jc w:val="center"/>
              <w:rPr>
                <w:bCs/>
                <w:sz w:val="27"/>
                <w:szCs w:val="27"/>
              </w:rPr>
            </w:pPr>
            <w:r>
              <w:rPr>
                <w:bCs/>
                <w:sz w:val="27"/>
                <w:szCs w:val="27"/>
              </w:rPr>
              <w:t>5,0</w:t>
            </w:r>
          </w:p>
        </w:tc>
        <w:tc>
          <w:tcPr>
            <w:tcW w:w="1418" w:type="dxa"/>
            <w:tcBorders>
              <w:top w:val="single" w:sz="4" w:space="0" w:color="auto"/>
              <w:left w:val="single" w:sz="4" w:space="0" w:color="auto"/>
              <w:bottom w:val="single" w:sz="4" w:space="0" w:color="auto"/>
              <w:right w:val="single" w:sz="4" w:space="0" w:color="auto"/>
            </w:tcBorders>
          </w:tcPr>
          <w:p w:rsidR="0055491A" w:rsidRDefault="0055491A" w:rsidP="00210BF6">
            <w:pPr>
              <w:jc w:val="center"/>
              <w:rPr>
                <w:bCs/>
                <w:sz w:val="27"/>
                <w:szCs w:val="27"/>
              </w:rPr>
            </w:pPr>
            <w:r>
              <w:rPr>
                <w:bCs/>
                <w:sz w:val="27"/>
                <w:szCs w:val="27"/>
              </w:rPr>
              <w:t>5</w:t>
            </w:r>
          </w:p>
        </w:tc>
        <w:tc>
          <w:tcPr>
            <w:tcW w:w="1418" w:type="dxa"/>
            <w:tcBorders>
              <w:top w:val="single" w:sz="4" w:space="0" w:color="auto"/>
              <w:left w:val="single" w:sz="4" w:space="0" w:color="auto"/>
              <w:bottom w:val="single" w:sz="4" w:space="0" w:color="auto"/>
              <w:right w:val="single" w:sz="4" w:space="0" w:color="auto"/>
            </w:tcBorders>
          </w:tcPr>
          <w:p w:rsidR="0055491A" w:rsidRDefault="0055491A" w:rsidP="00210BF6">
            <w:pPr>
              <w:jc w:val="center"/>
              <w:rPr>
                <w:bCs/>
                <w:sz w:val="27"/>
                <w:szCs w:val="27"/>
              </w:rPr>
            </w:pPr>
            <w:r>
              <w:rPr>
                <w:bCs/>
                <w:sz w:val="27"/>
                <w:szCs w:val="27"/>
              </w:rPr>
              <w:t>3</w:t>
            </w:r>
          </w:p>
        </w:tc>
        <w:tc>
          <w:tcPr>
            <w:tcW w:w="1420" w:type="dxa"/>
            <w:tcBorders>
              <w:top w:val="single" w:sz="4" w:space="0" w:color="auto"/>
              <w:left w:val="single" w:sz="4" w:space="0" w:color="auto"/>
              <w:bottom w:val="single" w:sz="4" w:space="0" w:color="auto"/>
              <w:right w:val="single" w:sz="4" w:space="0" w:color="auto"/>
            </w:tcBorders>
          </w:tcPr>
          <w:p w:rsidR="0055491A" w:rsidRDefault="0055491A" w:rsidP="00210BF6">
            <w:pPr>
              <w:jc w:val="center"/>
              <w:rPr>
                <w:bCs/>
                <w:sz w:val="27"/>
                <w:szCs w:val="27"/>
              </w:rPr>
            </w:pPr>
            <w:r>
              <w:rPr>
                <w:bCs/>
                <w:sz w:val="27"/>
                <w:szCs w:val="27"/>
              </w:rPr>
              <w:t>3</w:t>
            </w:r>
          </w:p>
        </w:tc>
        <w:tc>
          <w:tcPr>
            <w:tcW w:w="1449" w:type="dxa"/>
            <w:tcBorders>
              <w:top w:val="single" w:sz="4" w:space="0" w:color="auto"/>
              <w:left w:val="single" w:sz="4" w:space="0" w:color="auto"/>
              <w:bottom w:val="single" w:sz="4" w:space="0" w:color="auto"/>
              <w:right w:val="single" w:sz="4" w:space="0" w:color="auto"/>
            </w:tcBorders>
          </w:tcPr>
          <w:p w:rsidR="0055491A" w:rsidRDefault="0055491A" w:rsidP="00210BF6">
            <w:pPr>
              <w:jc w:val="center"/>
              <w:rPr>
                <w:bCs/>
                <w:sz w:val="27"/>
                <w:szCs w:val="27"/>
              </w:rPr>
            </w:pPr>
            <w:r>
              <w:rPr>
                <w:bCs/>
                <w:sz w:val="27"/>
                <w:szCs w:val="27"/>
              </w:rPr>
              <w:t>4</w:t>
            </w:r>
          </w:p>
        </w:tc>
        <w:tc>
          <w:tcPr>
            <w:tcW w:w="1175" w:type="dxa"/>
            <w:tcBorders>
              <w:top w:val="single" w:sz="4" w:space="0" w:color="auto"/>
              <w:left w:val="single" w:sz="4" w:space="0" w:color="auto"/>
              <w:bottom w:val="single" w:sz="4" w:space="0" w:color="auto"/>
              <w:right w:val="single" w:sz="4" w:space="0" w:color="auto"/>
            </w:tcBorders>
          </w:tcPr>
          <w:p w:rsidR="0055491A" w:rsidRDefault="0055491A" w:rsidP="00210BF6">
            <w:pPr>
              <w:jc w:val="center"/>
              <w:rPr>
                <w:bCs/>
                <w:sz w:val="27"/>
                <w:szCs w:val="27"/>
              </w:rPr>
            </w:pPr>
            <w:r>
              <w:rPr>
                <w:bCs/>
                <w:sz w:val="27"/>
                <w:szCs w:val="27"/>
              </w:rPr>
              <w:t>20,0</w:t>
            </w:r>
          </w:p>
        </w:tc>
      </w:tr>
      <w:tr w:rsidR="0055491A" w:rsidTr="00210BF6">
        <w:tc>
          <w:tcPr>
            <w:tcW w:w="1409" w:type="dxa"/>
            <w:tcBorders>
              <w:top w:val="single" w:sz="4" w:space="0" w:color="auto"/>
              <w:left w:val="single" w:sz="4" w:space="0" w:color="auto"/>
              <w:bottom w:val="single" w:sz="4" w:space="0" w:color="auto"/>
              <w:right w:val="single" w:sz="4" w:space="0" w:color="auto"/>
            </w:tcBorders>
          </w:tcPr>
          <w:p w:rsidR="0055491A" w:rsidRDefault="0055491A" w:rsidP="00210BF6">
            <w:pPr>
              <w:jc w:val="both"/>
              <w:rPr>
                <w:bCs/>
              </w:rPr>
            </w:pPr>
            <w:r>
              <w:rPr>
                <w:bCs/>
              </w:rPr>
              <w:t>ч.2 ст.19.7.1</w:t>
            </w:r>
          </w:p>
        </w:tc>
        <w:tc>
          <w:tcPr>
            <w:tcW w:w="1055" w:type="dxa"/>
            <w:tcBorders>
              <w:top w:val="single" w:sz="4" w:space="0" w:color="auto"/>
              <w:left w:val="single" w:sz="4" w:space="0" w:color="auto"/>
              <w:bottom w:val="single" w:sz="4" w:space="0" w:color="auto"/>
              <w:right w:val="single" w:sz="4" w:space="0" w:color="auto"/>
            </w:tcBorders>
          </w:tcPr>
          <w:p w:rsidR="0055491A" w:rsidRDefault="0055491A" w:rsidP="00210BF6">
            <w:pPr>
              <w:jc w:val="center"/>
              <w:rPr>
                <w:bCs/>
                <w:sz w:val="27"/>
                <w:szCs w:val="27"/>
              </w:rPr>
            </w:pPr>
            <w:r>
              <w:rPr>
                <w:bCs/>
                <w:sz w:val="27"/>
                <w:szCs w:val="27"/>
              </w:rPr>
              <w:t>50,0</w:t>
            </w:r>
          </w:p>
        </w:tc>
        <w:tc>
          <w:tcPr>
            <w:tcW w:w="1418" w:type="dxa"/>
            <w:tcBorders>
              <w:top w:val="single" w:sz="4" w:space="0" w:color="auto"/>
              <w:left w:val="single" w:sz="4" w:space="0" w:color="auto"/>
              <w:bottom w:val="single" w:sz="4" w:space="0" w:color="auto"/>
              <w:right w:val="single" w:sz="4" w:space="0" w:color="auto"/>
            </w:tcBorders>
          </w:tcPr>
          <w:p w:rsidR="0055491A" w:rsidRDefault="0055491A" w:rsidP="00210BF6">
            <w:pPr>
              <w:jc w:val="center"/>
              <w:rPr>
                <w:bCs/>
                <w:sz w:val="27"/>
                <w:szCs w:val="27"/>
              </w:rPr>
            </w:pPr>
            <w:r>
              <w:rPr>
                <w:bCs/>
                <w:sz w:val="27"/>
                <w:szCs w:val="27"/>
              </w:rPr>
              <w:t>4</w:t>
            </w:r>
          </w:p>
        </w:tc>
        <w:tc>
          <w:tcPr>
            <w:tcW w:w="1418" w:type="dxa"/>
            <w:tcBorders>
              <w:top w:val="single" w:sz="4" w:space="0" w:color="auto"/>
              <w:left w:val="single" w:sz="4" w:space="0" w:color="auto"/>
              <w:bottom w:val="single" w:sz="4" w:space="0" w:color="auto"/>
              <w:right w:val="single" w:sz="4" w:space="0" w:color="auto"/>
            </w:tcBorders>
          </w:tcPr>
          <w:p w:rsidR="0055491A" w:rsidRDefault="0055491A" w:rsidP="00210BF6">
            <w:pPr>
              <w:jc w:val="center"/>
              <w:rPr>
                <w:bCs/>
                <w:sz w:val="27"/>
                <w:szCs w:val="27"/>
              </w:rPr>
            </w:pPr>
            <w:r>
              <w:rPr>
                <w:bCs/>
                <w:sz w:val="27"/>
                <w:szCs w:val="27"/>
              </w:rPr>
              <w:t>3</w:t>
            </w:r>
          </w:p>
        </w:tc>
        <w:tc>
          <w:tcPr>
            <w:tcW w:w="1420" w:type="dxa"/>
            <w:tcBorders>
              <w:top w:val="single" w:sz="4" w:space="0" w:color="auto"/>
              <w:left w:val="single" w:sz="4" w:space="0" w:color="auto"/>
              <w:bottom w:val="single" w:sz="4" w:space="0" w:color="auto"/>
              <w:right w:val="single" w:sz="4" w:space="0" w:color="auto"/>
            </w:tcBorders>
          </w:tcPr>
          <w:p w:rsidR="0055491A" w:rsidRDefault="0055491A" w:rsidP="00210BF6">
            <w:pPr>
              <w:jc w:val="center"/>
              <w:rPr>
                <w:bCs/>
                <w:sz w:val="27"/>
                <w:szCs w:val="27"/>
              </w:rPr>
            </w:pPr>
            <w:r>
              <w:rPr>
                <w:bCs/>
                <w:sz w:val="27"/>
                <w:szCs w:val="27"/>
              </w:rPr>
              <w:t>3</w:t>
            </w:r>
          </w:p>
        </w:tc>
        <w:tc>
          <w:tcPr>
            <w:tcW w:w="1449" w:type="dxa"/>
            <w:tcBorders>
              <w:top w:val="single" w:sz="4" w:space="0" w:color="auto"/>
              <w:left w:val="single" w:sz="4" w:space="0" w:color="auto"/>
              <w:bottom w:val="single" w:sz="4" w:space="0" w:color="auto"/>
              <w:right w:val="single" w:sz="4" w:space="0" w:color="auto"/>
            </w:tcBorders>
          </w:tcPr>
          <w:p w:rsidR="0055491A" w:rsidRDefault="0055491A" w:rsidP="00210BF6">
            <w:pPr>
              <w:jc w:val="center"/>
              <w:rPr>
                <w:bCs/>
                <w:sz w:val="27"/>
                <w:szCs w:val="27"/>
              </w:rPr>
            </w:pPr>
            <w:r>
              <w:rPr>
                <w:bCs/>
                <w:sz w:val="27"/>
                <w:szCs w:val="27"/>
              </w:rPr>
              <w:t>3</w:t>
            </w:r>
          </w:p>
        </w:tc>
        <w:tc>
          <w:tcPr>
            <w:tcW w:w="1175" w:type="dxa"/>
            <w:tcBorders>
              <w:top w:val="single" w:sz="4" w:space="0" w:color="auto"/>
              <w:left w:val="single" w:sz="4" w:space="0" w:color="auto"/>
              <w:bottom w:val="single" w:sz="4" w:space="0" w:color="auto"/>
              <w:right w:val="single" w:sz="4" w:space="0" w:color="auto"/>
            </w:tcBorders>
          </w:tcPr>
          <w:p w:rsidR="0055491A" w:rsidRDefault="0055491A" w:rsidP="00210BF6">
            <w:pPr>
              <w:jc w:val="center"/>
              <w:rPr>
                <w:bCs/>
                <w:sz w:val="27"/>
                <w:szCs w:val="27"/>
              </w:rPr>
            </w:pPr>
            <w:r>
              <w:rPr>
                <w:bCs/>
                <w:sz w:val="27"/>
                <w:szCs w:val="27"/>
              </w:rPr>
              <w:t>150,0</w:t>
            </w:r>
          </w:p>
        </w:tc>
      </w:tr>
      <w:tr w:rsidR="0055491A" w:rsidTr="00210BF6">
        <w:tc>
          <w:tcPr>
            <w:tcW w:w="1409" w:type="dxa"/>
            <w:tcBorders>
              <w:top w:val="single" w:sz="4" w:space="0" w:color="auto"/>
              <w:left w:val="single" w:sz="4" w:space="0" w:color="auto"/>
              <w:bottom w:val="single" w:sz="4" w:space="0" w:color="auto"/>
              <w:right w:val="single" w:sz="4" w:space="0" w:color="auto"/>
            </w:tcBorders>
            <w:hideMark/>
          </w:tcPr>
          <w:p w:rsidR="0055491A" w:rsidRDefault="0055491A" w:rsidP="00210BF6">
            <w:pPr>
              <w:jc w:val="both"/>
              <w:rPr>
                <w:bCs/>
              </w:rPr>
            </w:pPr>
            <w:r>
              <w:rPr>
                <w:bCs/>
              </w:rPr>
              <w:t>ч.1 ст.19.8.1</w:t>
            </w:r>
          </w:p>
        </w:tc>
        <w:tc>
          <w:tcPr>
            <w:tcW w:w="1055" w:type="dxa"/>
            <w:tcBorders>
              <w:top w:val="single" w:sz="4" w:space="0" w:color="auto"/>
              <w:left w:val="single" w:sz="4" w:space="0" w:color="auto"/>
              <w:bottom w:val="single" w:sz="4" w:space="0" w:color="auto"/>
              <w:right w:val="single" w:sz="4" w:space="0" w:color="auto"/>
            </w:tcBorders>
            <w:hideMark/>
          </w:tcPr>
          <w:p w:rsidR="0055491A" w:rsidRDefault="0055491A" w:rsidP="00210BF6">
            <w:pPr>
              <w:jc w:val="center"/>
              <w:rPr>
                <w:bCs/>
                <w:sz w:val="27"/>
                <w:szCs w:val="27"/>
              </w:rPr>
            </w:pPr>
            <w:r>
              <w:rPr>
                <w:bCs/>
                <w:sz w:val="27"/>
                <w:szCs w:val="27"/>
              </w:rPr>
              <w:t>5,0</w:t>
            </w:r>
          </w:p>
        </w:tc>
        <w:tc>
          <w:tcPr>
            <w:tcW w:w="1418" w:type="dxa"/>
            <w:tcBorders>
              <w:top w:val="single" w:sz="4" w:space="0" w:color="auto"/>
              <w:left w:val="single" w:sz="4" w:space="0" w:color="auto"/>
              <w:bottom w:val="single" w:sz="4" w:space="0" w:color="auto"/>
              <w:right w:val="single" w:sz="4" w:space="0" w:color="auto"/>
            </w:tcBorders>
            <w:hideMark/>
          </w:tcPr>
          <w:p w:rsidR="0055491A" w:rsidRPr="000267C3" w:rsidRDefault="0055491A" w:rsidP="00210BF6">
            <w:pPr>
              <w:jc w:val="center"/>
              <w:rPr>
                <w:bCs/>
                <w:sz w:val="27"/>
                <w:szCs w:val="27"/>
              </w:rPr>
            </w:pPr>
            <w:r>
              <w:rPr>
                <w:bCs/>
                <w:sz w:val="27"/>
                <w:szCs w:val="27"/>
              </w:rPr>
              <w:t>7</w:t>
            </w:r>
          </w:p>
        </w:tc>
        <w:tc>
          <w:tcPr>
            <w:tcW w:w="1418" w:type="dxa"/>
            <w:tcBorders>
              <w:top w:val="single" w:sz="4" w:space="0" w:color="auto"/>
              <w:left w:val="single" w:sz="4" w:space="0" w:color="auto"/>
              <w:bottom w:val="single" w:sz="4" w:space="0" w:color="auto"/>
              <w:right w:val="single" w:sz="4" w:space="0" w:color="auto"/>
            </w:tcBorders>
            <w:hideMark/>
          </w:tcPr>
          <w:p w:rsidR="0055491A" w:rsidRPr="000267C3" w:rsidRDefault="0055491A" w:rsidP="00210BF6">
            <w:pPr>
              <w:jc w:val="center"/>
              <w:rPr>
                <w:bCs/>
                <w:sz w:val="27"/>
                <w:szCs w:val="27"/>
              </w:rPr>
            </w:pPr>
            <w:r>
              <w:rPr>
                <w:bCs/>
                <w:sz w:val="27"/>
                <w:szCs w:val="27"/>
              </w:rPr>
              <w:t>2</w:t>
            </w:r>
          </w:p>
        </w:tc>
        <w:tc>
          <w:tcPr>
            <w:tcW w:w="1420" w:type="dxa"/>
            <w:tcBorders>
              <w:top w:val="single" w:sz="4" w:space="0" w:color="auto"/>
              <w:left w:val="single" w:sz="4" w:space="0" w:color="auto"/>
              <w:bottom w:val="single" w:sz="4" w:space="0" w:color="auto"/>
              <w:right w:val="single" w:sz="4" w:space="0" w:color="auto"/>
            </w:tcBorders>
            <w:hideMark/>
          </w:tcPr>
          <w:p w:rsidR="0055491A" w:rsidRPr="000267C3" w:rsidRDefault="0055491A" w:rsidP="00210BF6">
            <w:pPr>
              <w:jc w:val="center"/>
              <w:rPr>
                <w:bCs/>
                <w:sz w:val="27"/>
                <w:szCs w:val="27"/>
              </w:rPr>
            </w:pPr>
            <w:r>
              <w:rPr>
                <w:bCs/>
                <w:sz w:val="27"/>
                <w:szCs w:val="27"/>
              </w:rPr>
              <w:t>1</w:t>
            </w:r>
          </w:p>
        </w:tc>
        <w:tc>
          <w:tcPr>
            <w:tcW w:w="1449" w:type="dxa"/>
            <w:tcBorders>
              <w:top w:val="single" w:sz="4" w:space="0" w:color="auto"/>
              <w:left w:val="single" w:sz="4" w:space="0" w:color="auto"/>
              <w:bottom w:val="single" w:sz="4" w:space="0" w:color="auto"/>
              <w:right w:val="single" w:sz="4" w:space="0" w:color="auto"/>
            </w:tcBorders>
            <w:hideMark/>
          </w:tcPr>
          <w:p w:rsidR="0055491A" w:rsidRPr="000267C3" w:rsidRDefault="0055491A" w:rsidP="00210BF6">
            <w:pPr>
              <w:jc w:val="center"/>
              <w:rPr>
                <w:bCs/>
                <w:sz w:val="27"/>
                <w:szCs w:val="27"/>
              </w:rPr>
            </w:pPr>
            <w:r>
              <w:rPr>
                <w:bCs/>
                <w:sz w:val="27"/>
                <w:szCs w:val="27"/>
              </w:rPr>
              <w:t>3</w:t>
            </w:r>
          </w:p>
        </w:tc>
        <w:tc>
          <w:tcPr>
            <w:tcW w:w="1175" w:type="dxa"/>
            <w:tcBorders>
              <w:top w:val="single" w:sz="4" w:space="0" w:color="auto"/>
              <w:left w:val="single" w:sz="4" w:space="0" w:color="auto"/>
              <w:bottom w:val="single" w:sz="4" w:space="0" w:color="auto"/>
              <w:right w:val="single" w:sz="4" w:space="0" w:color="auto"/>
            </w:tcBorders>
            <w:hideMark/>
          </w:tcPr>
          <w:p w:rsidR="0055491A" w:rsidRDefault="0055491A" w:rsidP="00210BF6">
            <w:pPr>
              <w:jc w:val="center"/>
              <w:rPr>
                <w:bCs/>
                <w:sz w:val="27"/>
                <w:szCs w:val="27"/>
              </w:rPr>
            </w:pPr>
            <w:r>
              <w:rPr>
                <w:bCs/>
                <w:sz w:val="27"/>
                <w:szCs w:val="27"/>
              </w:rPr>
              <w:t>15,0</w:t>
            </w:r>
          </w:p>
        </w:tc>
      </w:tr>
      <w:tr w:rsidR="0055491A" w:rsidTr="00210BF6">
        <w:trPr>
          <w:trHeight w:val="270"/>
        </w:trPr>
        <w:tc>
          <w:tcPr>
            <w:tcW w:w="1409" w:type="dxa"/>
            <w:tcBorders>
              <w:top w:val="single" w:sz="4" w:space="0" w:color="auto"/>
              <w:left w:val="single" w:sz="4" w:space="0" w:color="auto"/>
              <w:bottom w:val="single" w:sz="4" w:space="0" w:color="auto"/>
              <w:right w:val="single" w:sz="4" w:space="0" w:color="auto"/>
            </w:tcBorders>
            <w:hideMark/>
          </w:tcPr>
          <w:p w:rsidR="0055491A" w:rsidRDefault="0055491A" w:rsidP="00210BF6">
            <w:pPr>
              <w:jc w:val="both"/>
              <w:rPr>
                <w:bCs/>
              </w:rPr>
            </w:pPr>
            <w:r>
              <w:rPr>
                <w:bCs/>
              </w:rPr>
              <w:t>ч.1 ст.19.8.1</w:t>
            </w:r>
          </w:p>
        </w:tc>
        <w:tc>
          <w:tcPr>
            <w:tcW w:w="1055" w:type="dxa"/>
            <w:tcBorders>
              <w:top w:val="single" w:sz="4" w:space="0" w:color="auto"/>
              <w:left w:val="single" w:sz="4" w:space="0" w:color="auto"/>
              <w:bottom w:val="single" w:sz="4" w:space="0" w:color="auto"/>
              <w:right w:val="single" w:sz="4" w:space="0" w:color="auto"/>
            </w:tcBorders>
            <w:hideMark/>
          </w:tcPr>
          <w:p w:rsidR="0055491A" w:rsidRDefault="0055491A" w:rsidP="00210BF6">
            <w:pPr>
              <w:jc w:val="center"/>
              <w:rPr>
                <w:bCs/>
                <w:sz w:val="27"/>
                <w:szCs w:val="27"/>
              </w:rPr>
            </w:pPr>
            <w:r>
              <w:rPr>
                <w:bCs/>
                <w:sz w:val="27"/>
                <w:szCs w:val="27"/>
              </w:rPr>
              <w:t>100,0</w:t>
            </w:r>
          </w:p>
        </w:tc>
        <w:tc>
          <w:tcPr>
            <w:tcW w:w="1418" w:type="dxa"/>
            <w:tcBorders>
              <w:top w:val="single" w:sz="4" w:space="0" w:color="auto"/>
              <w:left w:val="single" w:sz="4" w:space="0" w:color="auto"/>
              <w:bottom w:val="single" w:sz="4" w:space="0" w:color="auto"/>
              <w:right w:val="single" w:sz="4" w:space="0" w:color="auto"/>
            </w:tcBorders>
            <w:hideMark/>
          </w:tcPr>
          <w:p w:rsidR="0055491A" w:rsidRPr="00B67FDB" w:rsidRDefault="0055491A" w:rsidP="00210BF6">
            <w:pPr>
              <w:jc w:val="center"/>
              <w:rPr>
                <w:bCs/>
                <w:sz w:val="27"/>
                <w:szCs w:val="27"/>
              </w:rPr>
            </w:pPr>
            <w:r>
              <w:rPr>
                <w:bCs/>
                <w:sz w:val="27"/>
                <w:szCs w:val="27"/>
              </w:rPr>
              <w:t>5</w:t>
            </w:r>
          </w:p>
        </w:tc>
        <w:tc>
          <w:tcPr>
            <w:tcW w:w="1418" w:type="dxa"/>
            <w:tcBorders>
              <w:top w:val="single" w:sz="4" w:space="0" w:color="auto"/>
              <w:left w:val="single" w:sz="4" w:space="0" w:color="auto"/>
              <w:bottom w:val="single" w:sz="4" w:space="0" w:color="auto"/>
              <w:right w:val="single" w:sz="4" w:space="0" w:color="auto"/>
            </w:tcBorders>
            <w:hideMark/>
          </w:tcPr>
          <w:p w:rsidR="0055491A" w:rsidRPr="000267C3" w:rsidRDefault="0055491A" w:rsidP="00210BF6">
            <w:pPr>
              <w:jc w:val="center"/>
              <w:rPr>
                <w:bCs/>
                <w:sz w:val="27"/>
                <w:szCs w:val="27"/>
              </w:rPr>
            </w:pPr>
            <w:r>
              <w:rPr>
                <w:bCs/>
                <w:sz w:val="27"/>
                <w:szCs w:val="27"/>
              </w:rPr>
              <w:t>2</w:t>
            </w:r>
          </w:p>
        </w:tc>
        <w:tc>
          <w:tcPr>
            <w:tcW w:w="1420" w:type="dxa"/>
            <w:tcBorders>
              <w:top w:val="single" w:sz="4" w:space="0" w:color="auto"/>
              <w:left w:val="single" w:sz="4" w:space="0" w:color="auto"/>
              <w:bottom w:val="single" w:sz="4" w:space="0" w:color="auto"/>
              <w:right w:val="single" w:sz="4" w:space="0" w:color="auto"/>
            </w:tcBorders>
            <w:hideMark/>
          </w:tcPr>
          <w:p w:rsidR="0055491A" w:rsidRPr="000267C3" w:rsidRDefault="0055491A" w:rsidP="00210BF6">
            <w:pPr>
              <w:jc w:val="center"/>
              <w:rPr>
                <w:bCs/>
                <w:sz w:val="27"/>
                <w:szCs w:val="27"/>
              </w:rPr>
            </w:pPr>
            <w:r>
              <w:rPr>
                <w:bCs/>
                <w:sz w:val="27"/>
                <w:szCs w:val="27"/>
              </w:rPr>
              <w:t>3</w:t>
            </w:r>
          </w:p>
        </w:tc>
        <w:tc>
          <w:tcPr>
            <w:tcW w:w="1449" w:type="dxa"/>
            <w:tcBorders>
              <w:top w:val="single" w:sz="4" w:space="0" w:color="auto"/>
              <w:left w:val="single" w:sz="4" w:space="0" w:color="auto"/>
              <w:bottom w:val="single" w:sz="4" w:space="0" w:color="auto"/>
              <w:right w:val="single" w:sz="4" w:space="0" w:color="auto"/>
            </w:tcBorders>
            <w:hideMark/>
          </w:tcPr>
          <w:p w:rsidR="0055491A" w:rsidRDefault="0055491A" w:rsidP="00210BF6">
            <w:pPr>
              <w:jc w:val="center"/>
              <w:rPr>
                <w:bCs/>
                <w:sz w:val="27"/>
                <w:szCs w:val="27"/>
              </w:rPr>
            </w:pPr>
            <w:r>
              <w:rPr>
                <w:bCs/>
                <w:sz w:val="27"/>
                <w:szCs w:val="27"/>
              </w:rPr>
              <w:t>3</w:t>
            </w:r>
          </w:p>
        </w:tc>
        <w:tc>
          <w:tcPr>
            <w:tcW w:w="1175" w:type="dxa"/>
            <w:tcBorders>
              <w:top w:val="single" w:sz="4" w:space="0" w:color="auto"/>
              <w:left w:val="single" w:sz="4" w:space="0" w:color="auto"/>
              <w:bottom w:val="single" w:sz="4" w:space="0" w:color="auto"/>
              <w:right w:val="single" w:sz="4" w:space="0" w:color="auto"/>
            </w:tcBorders>
            <w:hideMark/>
          </w:tcPr>
          <w:p w:rsidR="0055491A" w:rsidRDefault="0055491A" w:rsidP="00210BF6">
            <w:pPr>
              <w:jc w:val="center"/>
              <w:rPr>
                <w:bCs/>
                <w:sz w:val="27"/>
                <w:szCs w:val="27"/>
              </w:rPr>
            </w:pPr>
            <w:r>
              <w:rPr>
                <w:bCs/>
                <w:sz w:val="27"/>
                <w:szCs w:val="27"/>
              </w:rPr>
              <w:t>300,0</w:t>
            </w:r>
          </w:p>
        </w:tc>
      </w:tr>
      <w:tr w:rsidR="0055491A" w:rsidTr="00210BF6">
        <w:tc>
          <w:tcPr>
            <w:tcW w:w="8169" w:type="dxa"/>
            <w:gridSpan w:val="6"/>
            <w:tcBorders>
              <w:top w:val="single" w:sz="4" w:space="0" w:color="auto"/>
              <w:left w:val="single" w:sz="4" w:space="0" w:color="auto"/>
              <w:bottom w:val="single" w:sz="4" w:space="0" w:color="auto"/>
              <w:right w:val="single" w:sz="4" w:space="0" w:color="auto"/>
            </w:tcBorders>
            <w:hideMark/>
          </w:tcPr>
          <w:p w:rsidR="0055491A" w:rsidRDefault="0055491A" w:rsidP="00210BF6">
            <w:pPr>
              <w:jc w:val="center"/>
              <w:rPr>
                <w:bCs/>
                <w:sz w:val="27"/>
                <w:szCs w:val="27"/>
              </w:rPr>
            </w:pPr>
            <w:r>
              <w:rPr>
                <w:bCs/>
                <w:sz w:val="27"/>
                <w:szCs w:val="27"/>
              </w:rPr>
              <w:t>ИТОГО</w:t>
            </w:r>
          </w:p>
        </w:tc>
        <w:tc>
          <w:tcPr>
            <w:tcW w:w="1175" w:type="dxa"/>
            <w:tcBorders>
              <w:top w:val="single" w:sz="4" w:space="0" w:color="auto"/>
              <w:left w:val="single" w:sz="4" w:space="0" w:color="auto"/>
              <w:bottom w:val="single" w:sz="4" w:space="0" w:color="auto"/>
              <w:right w:val="single" w:sz="4" w:space="0" w:color="auto"/>
            </w:tcBorders>
            <w:hideMark/>
          </w:tcPr>
          <w:p w:rsidR="0055491A" w:rsidRPr="00B67FDB" w:rsidRDefault="0055491A" w:rsidP="00210BF6">
            <w:pPr>
              <w:jc w:val="center"/>
              <w:rPr>
                <w:b/>
                <w:bCs/>
                <w:sz w:val="27"/>
                <w:szCs w:val="27"/>
              </w:rPr>
            </w:pPr>
            <w:r>
              <w:rPr>
                <w:b/>
                <w:bCs/>
                <w:sz w:val="27"/>
                <w:szCs w:val="27"/>
              </w:rPr>
              <w:t>485,0</w:t>
            </w:r>
          </w:p>
        </w:tc>
      </w:tr>
    </w:tbl>
    <w:p w:rsidR="0055491A" w:rsidRDefault="0055491A" w:rsidP="0055491A">
      <w:pPr>
        <w:pStyle w:val="a7"/>
        <w:spacing w:after="0"/>
        <w:ind w:left="0" w:firstLine="709"/>
        <w:jc w:val="both"/>
        <w:rPr>
          <w:sz w:val="28"/>
          <w:szCs w:val="28"/>
          <w:highlight w:val="yellow"/>
        </w:rPr>
      </w:pPr>
    </w:p>
    <w:p w:rsidR="0055491A" w:rsidRPr="007234B3" w:rsidRDefault="0055491A" w:rsidP="0055491A">
      <w:pPr>
        <w:pStyle w:val="a7"/>
        <w:spacing w:after="0"/>
        <w:ind w:left="0" w:firstLine="709"/>
        <w:jc w:val="both"/>
        <w:rPr>
          <w:b/>
          <w:sz w:val="28"/>
          <w:szCs w:val="28"/>
        </w:rPr>
      </w:pPr>
      <w:r w:rsidRPr="007234B3">
        <w:rPr>
          <w:b/>
          <w:sz w:val="28"/>
          <w:szCs w:val="28"/>
        </w:rPr>
        <w:t>Прогноз на 2022 год 485,0 тыс. руб.</w:t>
      </w:r>
      <w:r>
        <w:rPr>
          <w:sz w:val="28"/>
          <w:szCs w:val="28"/>
        </w:rPr>
        <w:t xml:space="preserve"> </w:t>
      </w:r>
      <w:r w:rsidRPr="007234B3">
        <w:rPr>
          <w:b/>
          <w:sz w:val="28"/>
          <w:szCs w:val="28"/>
        </w:rPr>
        <w:t>Прогноз на 2023-2024 годы</w:t>
      </w:r>
      <w:r>
        <w:rPr>
          <w:sz w:val="28"/>
          <w:szCs w:val="28"/>
        </w:rPr>
        <w:t xml:space="preserve"> принят на уровне прогноза на 2022 год и составляет </w:t>
      </w:r>
      <w:r w:rsidRPr="007234B3">
        <w:rPr>
          <w:b/>
          <w:sz w:val="28"/>
          <w:szCs w:val="28"/>
        </w:rPr>
        <w:t>485,0 тыс. руб.</w:t>
      </w:r>
      <w:r>
        <w:rPr>
          <w:b/>
          <w:sz w:val="28"/>
          <w:szCs w:val="28"/>
        </w:rPr>
        <w:t xml:space="preserve"> ежегодно.</w:t>
      </w:r>
    </w:p>
    <w:p w:rsidR="0055491A" w:rsidRDefault="0055491A" w:rsidP="0055491A">
      <w:pPr>
        <w:pStyle w:val="a7"/>
        <w:spacing w:after="0"/>
        <w:ind w:left="0" w:firstLine="709"/>
        <w:jc w:val="both"/>
        <w:rPr>
          <w:sz w:val="28"/>
          <w:szCs w:val="28"/>
        </w:rPr>
      </w:pPr>
    </w:p>
    <w:p w:rsidR="0055491A" w:rsidRDefault="0055491A" w:rsidP="0055491A">
      <w:pPr>
        <w:pStyle w:val="a7"/>
        <w:spacing w:after="0"/>
        <w:ind w:left="0" w:firstLine="709"/>
        <w:jc w:val="both"/>
        <w:rPr>
          <w:sz w:val="28"/>
          <w:szCs w:val="28"/>
        </w:rPr>
      </w:pPr>
      <w:r w:rsidRPr="002D51EF">
        <w:rPr>
          <w:sz w:val="28"/>
          <w:szCs w:val="28"/>
        </w:rPr>
        <w:t xml:space="preserve">13.2 </w:t>
      </w:r>
      <w:r w:rsidRPr="002D51EF">
        <w:rPr>
          <w:b/>
          <w:sz w:val="28"/>
          <w:szCs w:val="28"/>
        </w:rPr>
        <w:t>КБК 245 1 16 01192 01 0000 140</w:t>
      </w:r>
      <w:r w:rsidRPr="00485D9D">
        <w:rPr>
          <w:sz w:val="28"/>
          <w:szCs w:val="28"/>
        </w:rPr>
        <w:t xml:space="preserve"> 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w:t>
      </w:r>
    </w:p>
    <w:p w:rsidR="0055491A" w:rsidRPr="002D51EF" w:rsidRDefault="0055491A" w:rsidP="0055491A">
      <w:pPr>
        <w:ind w:firstLine="709"/>
        <w:jc w:val="both"/>
        <w:rPr>
          <w:b/>
          <w:sz w:val="28"/>
          <w:szCs w:val="28"/>
        </w:rPr>
      </w:pPr>
      <w:r w:rsidRPr="002D51EF">
        <w:rPr>
          <w:b/>
          <w:sz w:val="28"/>
          <w:szCs w:val="28"/>
        </w:rPr>
        <w:t>Главный администратор доходов - Главное управление «Государственная инспекция по надзору за техническим состоянием самоходных машин и других видов техники» Тверской области.</w:t>
      </w:r>
    </w:p>
    <w:p w:rsidR="0055491A" w:rsidRDefault="0055491A" w:rsidP="0055491A">
      <w:pPr>
        <w:ind w:firstLine="709"/>
        <w:jc w:val="both"/>
        <w:rPr>
          <w:color w:val="000000"/>
          <w:sz w:val="28"/>
          <w:szCs w:val="28"/>
        </w:rPr>
      </w:pPr>
      <w:r w:rsidRPr="00B56F6E">
        <w:rPr>
          <w:color w:val="000000"/>
          <w:sz w:val="28"/>
          <w:szCs w:val="28"/>
        </w:rPr>
        <w:t xml:space="preserve">Прогноз поступлений доходов в областной бюджет </w:t>
      </w:r>
      <w:r>
        <w:rPr>
          <w:color w:val="000000"/>
          <w:sz w:val="28"/>
          <w:szCs w:val="28"/>
        </w:rPr>
        <w:t xml:space="preserve">Тверской области рассчитан </w:t>
      </w:r>
      <w:r w:rsidRPr="00B56F6E">
        <w:rPr>
          <w:color w:val="000000"/>
          <w:sz w:val="28"/>
          <w:szCs w:val="28"/>
        </w:rPr>
        <w:t>в соответствии с положениями Методики прогнозирования поступлений доходов в областной бюджет Тверской области, утвержденной приказом Главного управления</w:t>
      </w:r>
      <w:r>
        <w:rPr>
          <w:color w:val="000000"/>
          <w:sz w:val="28"/>
          <w:szCs w:val="28"/>
        </w:rPr>
        <w:t xml:space="preserve"> «</w:t>
      </w:r>
      <w:r w:rsidRPr="0055238B">
        <w:rPr>
          <w:sz w:val="28"/>
          <w:szCs w:val="28"/>
        </w:rPr>
        <w:t>Государственная инспекция по надзору за техническим состоянием самоходн</w:t>
      </w:r>
      <w:r>
        <w:rPr>
          <w:sz w:val="28"/>
          <w:szCs w:val="28"/>
        </w:rPr>
        <w:t>ых машин и других видов техники»</w:t>
      </w:r>
      <w:r w:rsidRPr="0055238B">
        <w:rPr>
          <w:sz w:val="28"/>
          <w:szCs w:val="28"/>
        </w:rPr>
        <w:t xml:space="preserve"> </w:t>
      </w:r>
      <w:r w:rsidRPr="00B56F6E">
        <w:rPr>
          <w:color w:val="000000"/>
          <w:sz w:val="28"/>
          <w:szCs w:val="28"/>
        </w:rPr>
        <w:t>от 30.08.2016 № 52/ПК</w:t>
      </w:r>
      <w:r>
        <w:rPr>
          <w:color w:val="000000"/>
          <w:sz w:val="28"/>
          <w:szCs w:val="28"/>
        </w:rPr>
        <w:t xml:space="preserve"> (с учетом изменений от 30.06.2020).</w:t>
      </w:r>
    </w:p>
    <w:p w:rsidR="0055491A" w:rsidRPr="00F92864" w:rsidRDefault="0055491A" w:rsidP="0055491A">
      <w:pPr>
        <w:ind w:firstLine="709"/>
        <w:jc w:val="both"/>
        <w:rPr>
          <w:sz w:val="28"/>
          <w:szCs w:val="28"/>
        </w:rPr>
      </w:pPr>
      <w:r w:rsidRPr="00F92864">
        <w:rPr>
          <w:sz w:val="28"/>
          <w:szCs w:val="28"/>
        </w:rPr>
        <w:t xml:space="preserve"> Прогноз </w:t>
      </w:r>
      <w:r w:rsidRPr="00B56F6E">
        <w:rPr>
          <w:sz w:val="28"/>
          <w:szCs w:val="28"/>
        </w:rPr>
        <w:t>на 20</w:t>
      </w:r>
      <w:r>
        <w:rPr>
          <w:sz w:val="28"/>
          <w:szCs w:val="28"/>
        </w:rPr>
        <w:t>22</w:t>
      </w:r>
      <w:r w:rsidRPr="00B56F6E">
        <w:rPr>
          <w:sz w:val="28"/>
          <w:szCs w:val="28"/>
        </w:rPr>
        <w:t>-202</w:t>
      </w:r>
      <w:r>
        <w:rPr>
          <w:sz w:val="28"/>
          <w:szCs w:val="28"/>
        </w:rPr>
        <w:t>4</w:t>
      </w:r>
      <w:r w:rsidRPr="00B56F6E">
        <w:rPr>
          <w:sz w:val="28"/>
          <w:szCs w:val="28"/>
        </w:rPr>
        <w:t xml:space="preserve"> годы </w:t>
      </w:r>
      <w:r w:rsidRPr="00F92864">
        <w:rPr>
          <w:sz w:val="28"/>
          <w:szCs w:val="28"/>
        </w:rPr>
        <w:t>по административным штрафам рассчитывается методом прямого расчета по следующей формуле:</w:t>
      </w:r>
    </w:p>
    <w:p w:rsidR="0055491A" w:rsidRPr="00F92864" w:rsidRDefault="0055491A" w:rsidP="0055491A">
      <w:pPr>
        <w:jc w:val="center"/>
        <w:rPr>
          <w:sz w:val="28"/>
          <w:szCs w:val="28"/>
        </w:rPr>
      </w:pPr>
    </w:p>
    <w:p w:rsidR="0055491A" w:rsidRPr="00F92864" w:rsidRDefault="0055491A" w:rsidP="0055491A">
      <w:pPr>
        <w:jc w:val="center"/>
        <w:rPr>
          <w:sz w:val="28"/>
          <w:szCs w:val="28"/>
        </w:rPr>
      </w:pPr>
      <w:r w:rsidRPr="00F92864">
        <w:rPr>
          <w:sz w:val="28"/>
          <w:szCs w:val="28"/>
          <w:lang w:val="en-US"/>
        </w:rPr>
        <w:t>S</w:t>
      </w:r>
      <w:r w:rsidRPr="00F92864">
        <w:rPr>
          <w:sz w:val="28"/>
          <w:szCs w:val="28"/>
          <w:vertAlign w:val="subscript"/>
        </w:rPr>
        <w:t xml:space="preserve">адм </w:t>
      </w:r>
      <w:r w:rsidRPr="00F92864">
        <w:rPr>
          <w:sz w:val="28"/>
          <w:szCs w:val="28"/>
          <w:vertAlign w:val="subscript"/>
          <w:lang w:val="en-US"/>
        </w:rPr>
        <w:t>j</w:t>
      </w:r>
      <w:r w:rsidRPr="00F92864">
        <w:rPr>
          <w:sz w:val="28"/>
          <w:szCs w:val="28"/>
          <w:vertAlign w:val="subscript"/>
        </w:rPr>
        <w:t xml:space="preserve"> </w:t>
      </w:r>
      <w:r w:rsidRPr="00F92864">
        <w:rPr>
          <w:sz w:val="28"/>
          <w:szCs w:val="28"/>
          <w:vertAlign w:val="subscript"/>
          <w:lang w:val="en-US"/>
        </w:rPr>
        <w:t>n</w:t>
      </w:r>
      <w:r w:rsidRPr="00F92864">
        <w:rPr>
          <w:sz w:val="28"/>
          <w:szCs w:val="28"/>
          <w:vertAlign w:val="subscript"/>
        </w:rPr>
        <w:t xml:space="preserve"> </w:t>
      </w:r>
      <w:r w:rsidRPr="00F92864">
        <w:rPr>
          <w:sz w:val="28"/>
          <w:szCs w:val="28"/>
        </w:rPr>
        <w:t>= К</w:t>
      </w:r>
      <w:r w:rsidRPr="00F92864">
        <w:rPr>
          <w:sz w:val="28"/>
          <w:szCs w:val="28"/>
          <w:vertAlign w:val="subscript"/>
        </w:rPr>
        <w:t xml:space="preserve">адм </w:t>
      </w:r>
      <w:r w:rsidRPr="00F92864">
        <w:rPr>
          <w:sz w:val="28"/>
          <w:szCs w:val="28"/>
          <w:vertAlign w:val="subscript"/>
          <w:lang w:val="en-US"/>
        </w:rPr>
        <w:t>j</w:t>
      </w:r>
      <w:r w:rsidRPr="00F92864">
        <w:rPr>
          <w:sz w:val="28"/>
          <w:szCs w:val="28"/>
          <w:vertAlign w:val="subscript"/>
        </w:rPr>
        <w:t xml:space="preserve"> </w:t>
      </w:r>
      <w:r w:rsidRPr="00F92864">
        <w:rPr>
          <w:sz w:val="28"/>
          <w:szCs w:val="28"/>
          <w:vertAlign w:val="subscript"/>
          <w:lang w:val="en-US"/>
        </w:rPr>
        <w:t>n</w:t>
      </w:r>
      <w:r w:rsidRPr="00F92864">
        <w:rPr>
          <w:sz w:val="28"/>
          <w:szCs w:val="28"/>
          <w:vertAlign w:val="subscript"/>
        </w:rPr>
        <w:t xml:space="preserve"> </w:t>
      </w:r>
      <w:r w:rsidRPr="00F92864">
        <w:rPr>
          <w:sz w:val="28"/>
          <w:szCs w:val="28"/>
        </w:rPr>
        <w:t>х</w:t>
      </w:r>
      <w:r w:rsidRPr="00F92864">
        <w:rPr>
          <w:sz w:val="28"/>
          <w:szCs w:val="28"/>
          <w:vertAlign w:val="subscript"/>
        </w:rPr>
        <w:t xml:space="preserve"> </w:t>
      </w:r>
      <w:r w:rsidRPr="00F92864">
        <w:rPr>
          <w:sz w:val="28"/>
          <w:szCs w:val="28"/>
        </w:rPr>
        <w:t>С</w:t>
      </w:r>
      <w:r w:rsidRPr="00F92864">
        <w:rPr>
          <w:sz w:val="28"/>
          <w:szCs w:val="28"/>
          <w:vertAlign w:val="subscript"/>
        </w:rPr>
        <w:t>адм</w:t>
      </w:r>
      <w:r w:rsidRPr="00F92864">
        <w:rPr>
          <w:sz w:val="28"/>
          <w:szCs w:val="28"/>
        </w:rPr>
        <w:t>, где:</w:t>
      </w:r>
    </w:p>
    <w:p w:rsidR="0055491A" w:rsidRPr="00F92864" w:rsidRDefault="0055491A" w:rsidP="0055491A">
      <w:pPr>
        <w:jc w:val="both"/>
        <w:rPr>
          <w:sz w:val="28"/>
          <w:szCs w:val="28"/>
        </w:rPr>
      </w:pPr>
    </w:p>
    <w:p w:rsidR="0055491A" w:rsidRPr="00F92864" w:rsidRDefault="0055491A" w:rsidP="0055491A">
      <w:pPr>
        <w:ind w:firstLine="708"/>
        <w:jc w:val="both"/>
        <w:rPr>
          <w:sz w:val="28"/>
          <w:szCs w:val="28"/>
        </w:rPr>
      </w:pPr>
      <w:r w:rsidRPr="00F92864">
        <w:rPr>
          <w:sz w:val="28"/>
          <w:szCs w:val="28"/>
          <w:lang w:val="en-US"/>
        </w:rPr>
        <w:t>S</w:t>
      </w:r>
      <w:r w:rsidRPr="00F92864">
        <w:rPr>
          <w:sz w:val="28"/>
          <w:szCs w:val="28"/>
          <w:vertAlign w:val="subscript"/>
        </w:rPr>
        <w:t xml:space="preserve">адм </w:t>
      </w:r>
      <w:r w:rsidRPr="00F92864">
        <w:rPr>
          <w:sz w:val="28"/>
          <w:szCs w:val="28"/>
          <w:vertAlign w:val="subscript"/>
          <w:lang w:val="en-US"/>
        </w:rPr>
        <w:t>j</w:t>
      </w:r>
      <w:r w:rsidRPr="00F92864">
        <w:rPr>
          <w:sz w:val="28"/>
          <w:szCs w:val="28"/>
          <w:vertAlign w:val="subscript"/>
        </w:rPr>
        <w:t xml:space="preserve"> </w:t>
      </w:r>
      <w:r w:rsidRPr="00F92864">
        <w:rPr>
          <w:sz w:val="28"/>
          <w:szCs w:val="28"/>
          <w:vertAlign w:val="subscript"/>
          <w:lang w:val="en-US"/>
        </w:rPr>
        <w:t>n</w:t>
      </w:r>
      <w:r w:rsidRPr="00F92864">
        <w:rPr>
          <w:sz w:val="28"/>
          <w:szCs w:val="28"/>
        </w:rPr>
        <w:t xml:space="preserve"> – прогноз суммы поступления по административным штрафам в </w:t>
      </w:r>
      <w:r w:rsidRPr="00F92864">
        <w:rPr>
          <w:sz w:val="28"/>
          <w:szCs w:val="28"/>
          <w:lang w:val="en-US"/>
        </w:rPr>
        <w:t>n</w:t>
      </w:r>
      <w:r w:rsidRPr="00F92864">
        <w:rPr>
          <w:sz w:val="28"/>
          <w:szCs w:val="28"/>
        </w:rPr>
        <w:t xml:space="preserve"> году;</w:t>
      </w:r>
    </w:p>
    <w:p w:rsidR="0055491A" w:rsidRPr="00F92864" w:rsidRDefault="0055491A" w:rsidP="0055491A">
      <w:pPr>
        <w:ind w:firstLine="709"/>
        <w:jc w:val="both"/>
        <w:rPr>
          <w:sz w:val="28"/>
          <w:szCs w:val="28"/>
        </w:rPr>
      </w:pPr>
      <w:r w:rsidRPr="00F92864">
        <w:rPr>
          <w:sz w:val="28"/>
          <w:szCs w:val="28"/>
        </w:rPr>
        <w:t>К</w:t>
      </w:r>
      <w:r w:rsidRPr="00F92864">
        <w:rPr>
          <w:sz w:val="28"/>
          <w:szCs w:val="28"/>
          <w:vertAlign w:val="subscript"/>
        </w:rPr>
        <w:t xml:space="preserve">адм </w:t>
      </w:r>
      <w:r w:rsidRPr="00F92864">
        <w:rPr>
          <w:sz w:val="28"/>
          <w:szCs w:val="28"/>
          <w:vertAlign w:val="subscript"/>
          <w:lang w:val="en-US"/>
        </w:rPr>
        <w:t>j</w:t>
      </w:r>
      <w:r w:rsidRPr="00F92864">
        <w:rPr>
          <w:sz w:val="28"/>
          <w:szCs w:val="28"/>
          <w:vertAlign w:val="subscript"/>
        </w:rPr>
        <w:t xml:space="preserve"> </w:t>
      </w:r>
      <w:r w:rsidRPr="00F92864">
        <w:rPr>
          <w:sz w:val="28"/>
          <w:szCs w:val="28"/>
          <w:vertAlign w:val="subscript"/>
          <w:lang w:val="en-US"/>
        </w:rPr>
        <w:t>n</w:t>
      </w:r>
      <w:r w:rsidRPr="00F92864">
        <w:rPr>
          <w:sz w:val="28"/>
          <w:szCs w:val="28"/>
          <w:vertAlign w:val="subscript"/>
        </w:rPr>
        <w:t xml:space="preserve">  </w:t>
      </w:r>
      <w:r w:rsidRPr="00F92864">
        <w:rPr>
          <w:sz w:val="28"/>
          <w:szCs w:val="28"/>
        </w:rPr>
        <w:t xml:space="preserve">– </w:t>
      </w:r>
      <w:r>
        <w:rPr>
          <w:sz w:val="28"/>
          <w:szCs w:val="28"/>
        </w:rPr>
        <w:t xml:space="preserve"> прогнозируемое </w:t>
      </w:r>
      <w:r w:rsidRPr="00F92864">
        <w:rPr>
          <w:sz w:val="28"/>
          <w:szCs w:val="28"/>
        </w:rPr>
        <w:t xml:space="preserve">количество постановлений по делам об  административных правонарушениях в </w:t>
      </w:r>
      <w:r w:rsidRPr="00F92864">
        <w:rPr>
          <w:sz w:val="28"/>
          <w:szCs w:val="28"/>
          <w:lang w:val="en-US"/>
        </w:rPr>
        <w:t>n</w:t>
      </w:r>
      <w:r w:rsidRPr="00F92864">
        <w:rPr>
          <w:sz w:val="28"/>
          <w:szCs w:val="28"/>
        </w:rPr>
        <w:t xml:space="preserve"> году;</w:t>
      </w:r>
    </w:p>
    <w:p w:rsidR="0055491A" w:rsidRPr="00F92864" w:rsidRDefault="0055491A" w:rsidP="0055491A">
      <w:pPr>
        <w:ind w:firstLine="709"/>
        <w:jc w:val="both"/>
        <w:rPr>
          <w:sz w:val="28"/>
          <w:szCs w:val="28"/>
        </w:rPr>
      </w:pPr>
      <w:r w:rsidRPr="00F92864">
        <w:rPr>
          <w:sz w:val="28"/>
          <w:szCs w:val="28"/>
        </w:rPr>
        <w:t>С</w:t>
      </w:r>
      <w:r w:rsidRPr="00F92864">
        <w:rPr>
          <w:sz w:val="28"/>
          <w:szCs w:val="28"/>
          <w:vertAlign w:val="subscript"/>
        </w:rPr>
        <w:t>гп</w:t>
      </w:r>
      <w:r w:rsidRPr="00F92864">
        <w:rPr>
          <w:sz w:val="28"/>
          <w:szCs w:val="28"/>
        </w:rPr>
        <w:t xml:space="preserve"> </w:t>
      </w:r>
      <w:r w:rsidRPr="00F92864">
        <w:rPr>
          <w:sz w:val="28"/>
          <w:szCs w:val="28"/>
          <w:vertAlign w:val="subscript"/>
          <w:lang w:val="en-US"/>
        </w:rPr>
        <w:t>j</w:t>
      </w:r>
      <w:r w:rsidRPr="00F92864">
        <w:rPr>
          <w:sz w:val="28"/>
          <w:szCs w:val="28"/>
        </w:rPr>
        <w:t xml:space="preserve"> – размер административного штрафа.</w:t>
      </w:r>
    </w:p>
    <w:p w:rsidR="0055491A" w:rsidRDefault="0055491A" w:rsidP="0055491A">
      <w:pPr>
        <w:ind w:firstLine="709"/>
        <w:jc w:val="both"/>
        <w:rPr>
          <w:sz w:val="28"/>
          <w:szCs w:val="28"/>
        </w:rPr>
      </w:pPr>
      <w:r>
        <w:rPr>
          <w:sz w:val="28"/>
          <w:szCs w:val="28"/>
        </w:rPr>
        <w:t>Размер административного штрафа:</w:t>
      </w:r>
    </w:p>
    <w:p w:rsidR="0055491A" w:rsidRDefault="0055491A" w:rsidP="0055491A">
      <w:pPr>
        <w:ind w:firstLine="709"/>
        <w:jc w:val="both"/>
        <w:rPr>
          <w:sz w:val="28"/>
          <w:szCs w:val="28"/>
        </w:rPr>
      </w:pPr>
      <w:r>
        <w:rPr>
          <w:sz w:val="28"/>
          <w:szCs w:val="28"/>
        </w:rPr>
        <w:t>часть 1 статья 19.22 КоАП РФ</w:t>
      </w:r>
    </w:p>
    <w:p w:rsidR="0055491A" w:rsidRDefault="0055491A" w:rsidP="0055491A">
      <w:pPr>
        <w:ind w:firstLine="709"/>
        <w:jc w:val="both"/>
        <w:rPr>
          <w:sz w:val="28"/>
          <w:szCs w:val="28"/>
        </w:rPr>
      </w:pPr>
      <w:r>
        <w:rPr>
          <w:sz w:val="28"/>
          <w:szCs w:val="28"/>
        </w:rPr>
        <w:t>физические лица – 1,5 тыс. руб.;</w:t>
      </w:r>
    </w:p>
    <w:p w:rsidR="0055491A" w:rsidRDefault="0055491A" w:rsidP="0055491A">
      <w:pPr>
        <w:ind w:firstLine="709"/>
        <w:jc w:val="both"/>
        <w:rPr>
          <w:sz w:val="28"/>
          <w:szCs w:val="28"/>
        </w:rPr>
      </w:pPr>
      <w:r>
        <w:rPr>
          <w:sz w:val="28"/>
          <w:szCs w:val="28"/>
        </w:rPr>
        <w:lastRenderedPageBreak/>
        <w:t>должностные лица – 2,0 тыс. руб.</w:t>
      </w:r>
    </w:p>
    <w:p w:rsidR="0055491A" w:rsidRDefault="0055491A" w:rsidP="0055491A">
      <w:pPr>
        <w:ind w:firstLine="709"/>
        <w:jc w:val="both"/>
        <w:rPr>
          <w:sz w:val="28"/>
          <w:szCs w:val="28"/>
        </w:rPr>
      </w:pPr>
      <w:r>
        <w:rPr>
          <w:sz w:val="28"/>
          <w:szCs w:val="28"/>
        </w:rPr>
        <w:t>юридические лица – 5,0 тыс. руб.</w:t>
      </w:r>
    </w:p>
    <w:p w:rsidR="0055491A" w:rsidRPr="00F92864" w:rsidRDefault="0055491A" w:rsidP="0055491A">
      <w:pPr>
        <w:ind w:firstLine="709"/>
        <w:jc w:val="both"/>
        <w:rPr>
          <w:sz w:val="28"/>
          <w:szCs w:val="28"/>
        </w:rPr>
      </w:pPr>
      <w:r w:rsidRPr="00F92864">
        <w:rPr>
          <w:sz w:val="28"/>
          <w:szCs w:val="28"/>
        </w:rPr>
        <w:t xml:space="preserve">Расчет </w:t>
      </w:r>
      <w:r>
        <w:rPr>
          <w:sz w:val="28"/>
          <w:szCs w:val="28"/>
        </w:rPr>
        <w:t>прогнозируемого количества постановлений</w:t>
      </w:r>
      <w:r w:rsidRPr="00F92864">
        <w:rPr>
          <w:sz w:val="28"/>
          <w:szCs w:val="28"/>
        </w:rPr>
        <w:t xml:space="preserve"> производится по формуле: </w:t>
      </w:r>
    </w:p>
    <w:p w:rsidR="0055491A" w:rsidRPr="00F92864" w:rsidRDefault="0055491A" w:rsidP="0055491A">
      <w:pPr>
        <w:ind w:firstLine="709"/>
        <w:jc w:val="both"/>
        <w:rPr>
          <w:sz w:val="28"/>
          <w:szCs w:val="28"/>
        </w:rPr>
      </w:pPr>
      <w:r w:rsidRPr="00F92864">
        <w:rPr>
          <w:sz w:val="28"/>
          <w:szCs w:val="28"/>
        </w:rPr>
        <w:t>К</w:t>
      </w:r>
      <w:r w:rsidRPr="00F92864">
        <w:rPr>
          <w:sz w:val="28"/>
          <w:szCs w:val="28"/>
          <w:vertAlign w:val="subscript"/>
        </w:rPr>
        <w:t xml:space="preserve">адм </w:t>
      </w:r>
      <w:r w:rsidRPr="00F92864">
        <w:rPr>
          <w:sz w:val="28"/>
          <w:szCs w:val="28"/>
          <w:vertAlign w:val="subscript"/>
          <w:lang w:val="en-US"/>
        </w:rPr>
        <w:t>j</w:t>
      </w:r>
      <w:r w:rsidRPr="00F92864">
        <w:rPr>
          <w:sz w:val="28"/>
          <w:szCs w:val="28"/>
          <w:vertAlign w:val="subscript"/>
        </w:rPr>
        <w:t xml:space="preserve"> </w:t>
      </w:r>
      <w:r w:rsidRPr="00F92864">
        <w:rPr>
          <w:sz w:val="28"/>
          <w:szCs w:val="28"/>
          <w:vertAlign w:val="subscript"/>
          <w:lang w:val="en-US"/>
        </w:rPr>
        <w:t>n</w:t>
      </w:r>
      <w:r w:rsidRPr="00F92864">
        <w:rPr>
          <w:sz w:val="28"/>
          <w:szCs w:val="28"/>
          <w:vertAlign w:val="subscript"/>
        </w:rPr>
        <w:t xml:space="preserve"> </w:t>
      </w:r>
      <w:r w:rsidRPr="00F92864">
        <w:rPr>
          <w:sz w:val="28"/>
          <w:szCs w:val="28"/>
        </w:rPr>
        <w:t>= К</w:t>
      </w:r>
      <w:r w:rsidRPr="00F92864">
        <w:rPr>
          <w:sz w:val="28"/>
          <w:szCs w:val="28"/>
          <w:vertAlign w:val="subscript"/>
        </w:rPr>
        <w:t xml:space="preserve">адм </w:t>
      </w:r>
      <w:r w:rsidRPr="00F92864">
        <w:rPr>
          <w:sz w:val="28"/>
          <w:szCs w:val="28"/>
          <w:vertAlign w:val="subscript"/>
          <w:lang w:val="en-US"/>
        </w:rPr>
        <w:t>j</w:t>
      </w:r>
      <w:r w:rsidRPr="00F92864">
        <w:rPr>
          <w:sz w:val="28"/>
          <w:szCs w:val="28"/>
          <w:vertAlign w:val="subscript"/>
        </w:rPr>
        <w:t xml:space="preserve"> </w:t>
      </w:r>
      <w:r w:rsidRPr="00F92864">
        <w:rPr>
          <w:sz w:val="28"/>
          <w:szCs w:val="28"/>
          <w:vertAlign w:val="subscript"/>
          <w:lang w:val="en-US"/>
        </w:rPr>
        <w:t>n</w:t>
      </w:r>
      <w:r w:rsidRPr="00F92864">
        <w:rPr>
          <w:sz w:val="28"/>
          <w:szCs w:val="28"/>
          <w:vertAlign w:val="subscript"/>
        </w:rPr>
        <w:t xml:space="preserve">-1 </w:t>
      </w:r>
      <w:r w:rsidRPr="00F92864">
        <w:rPr>
          <w:sz w:val="28"/>
          <w:szCs w:val="28"/>
        </w:rPr>
        <w:t>х (1-К</w:t>
      </w:r>
      <w:r w:rsidRPr="00F92864">
        <w:rPr>
          <w:sz w:val="28"/>
          <w:szCs w:val="28"/>
          <w:vertAlign w:val="subscript"/>
        </w:rPr>
        <w:t>сн</w:t>
      </w:r>
      <w:r w:rsidRPr="00F92864">
        <w:rPr>
          <w:sz w:val="28"/>
          <w:szCs w:val="28"/>
        </w:rPr>
        <w:t>/100), где</w:t>
      </w:r>
    </w:p>
    <w:p w:rsidR="0055491A" w:rsidRPr="00F92864" w:rsidRDefault="0055491A" w:rsidP="0055491A">
      <w:pPr>
        <w:ind w:firstLine="709"/>
        <w:jc w:val="both"/>
        <w:rPr>
          <w:sz w:val="28"/>
          <w:szCs w:val="28"/>
        </w:rPr>
      </w:pPr>
      <w:r w:rsidRPr="00F92864">
        <w:rPr>
          <w:sz w:val="28"/>
          <w:szCs w:val="28"/>
        </w:rPr>
        <w:t xml:space="preserve"> К</w:t>
      </w:r>
      <w:r w:rsidRPr="00F92864">
        <w:rPr>
          <w:sz w:val="28"/>
          <w:szCs w:val="28"/>
          <w:vertAlign w:val="subscript"/>
        </w:rPr>
        <w:t xml:space="preserve">адм </w:t>
      </w:r>
      <w:r w:rsidRPr="00F92864">
        <w:rPr>
          <w:sz w:val="28"/>
          <w:szCs w:val="28"/>
          <w:vertAlign w:val="subscript"/>
          <w:lang w:val="en-US"/>
        </w:rPr>
        <w:t>j</w:t>
      </w:r>
      <w:r w:rsidRPr="00F92864">
        <w:rPr>
          <w:sz w:val="28"/>
          <w:szCs w:val="28"/>
          <w:vertAlign w:val="subscript"/>
        </w:rPr>
        <w:t xml:space="preserve"> </w:t>
      </w:r>
      <w:r w:rsidRPr="00F92864">
        <w:rPr>
          <w:sz w:val="28"/>
          <w:szCs w:val="28"/>
          <w:vertAlign w:val="subscript"/>
          <w:lang w:val="en-US"/>
        </w:rPr>
        <w:t>n</w:t>
      </w:r>
      <w:r w:rsidRPr="00F92864">
        <w:rPr>
          <w:sz w:val="28"/>
          <w:szCs w:val="28"/>
          <w:vertAlign w:val="subscript"/>
        </w:rPr>
        <w:t xml:space="preserve">  </w:t>
      </w:r>
      <w:r w:rsidRPr="00F92864">
        <w:rPr>
          <w:sz w:val="28"/>
          <w:szCs w:val="28"/>
        </w:rPr>
        <w:t xml:space="preserve">– количество вынесенных постановлений по делам об  административных правонарушениях в </w:t>
      </w:r>
      <w:r w:rsidRPr="00F92864">
        <w:rPr>
          <w:sz w:val="28"/>
          <w:szCs w:val="28"/>
          <w:lang w:val="en-US"/>
        </w:rPr>
        <w:t>n</w:t>
      </w:r>
      <w:r w:rsidRPr="00F92864">
        <w:rPr>
          <w:sz w:val="28"/>
          <w:szCs w:val="28"/>
        </w:rPr>
        <w:t xml:space="preserve"> году;</w:t>
      </w:r>
    </w:p>
    <w:p w:rsidR="0055491A" w:rsidRPr="00F92864" w:rsidRDefault="0055491A" w:rsidP="0055491A">
      <w:pPr>
        <w:ind w:firstLine="709"/>
        <w:jc w:val="both"/>
        <w:rPr>
          <w:sz w:val="28"/>
          <w:szCs w:val="28"/>
        </w:rPr>
      </w:pPr>
      <w:r w:rsidRPr="00F92864">
        <w:rPr>
          <w:sz w:val="28"/>
          <w:szCs w:val="28"/>
        </w:rPr>
        <w:t>К</w:t>
      </w:r>
      <w:r w:rsidRPr="00F92864">
        <w:rPr>
          <w:sz w:val="28"/>
          <w:szCs w:val="28"/>
          <w:vertAlign w:val="subscript"/>
        </w:rPr>
        <w:t xml:space="preserve">адм </w:t>
      </w:r>
      <w:r w:rsidRPr="00F92864">
        <w:rPr>
          <w:sz w:val="28"/>
          <w:szCs w:val="28"/>
          <w:vertAlign w:val="subscript"/>
          <w:lang w:val="en-US"/>
        </w:rPr>
        <w:t>j</w:t>
      </w:r>
      <w:r w:rsidRPr="00F92864">
        <w:rPr>
          <w:sz w:val="28"/>
          <w:szCs w:val="28"/>
          <w:vertAlign w:val="subscript"/>
        </w:rPr>
        <w:t xml:space="preserve"> </w:t>
      </w:r>
      <w:r w:rsidRPr="00F92864">
        <w:rPr>
          <w:sz w:val="28"/>
          <w:szCs w:val="28"/>
          <w:vertAlign w:val="subscript"/>
          <w:lang w:val="en-US"/>
        </w:rPr>
        <w:t>n</w:t>
      </w:r>
      <w:r w:rsidRPr="00F92864">
        <w:rPr>
          <w:sz w:val="28"/>
          <w:szCs w:val="28"/>
          <w:vertAlign w:val="subscript"/>
        </w:rPr>
        <w:t xml:space="preserve">-1  </w:t>
      </w:r>
      <w:r w:rsidRPr="00F92864">
        <w:rPr>
          <w:sz w:val="28"/>
          <w:szCs w:val="28"/>
        </w:rPr>
        <w:t xml:space="preserve">– количество вынесенных постановлений по делам об  административных правонарушениях в </w:t>
      </w:r>
      <w:r w:rsidRPr="00F92864">
        <w:rPr>
          <w:sz w:val="28"/>
          <w:szCs w:val="28"/>
          <w:lang w:val="en-US"/>
        </w:rPr>
        <w:t>n</w:t>
      </w:r>
      <w:r w:rsidRPr="00F92864">
        <w:rPr>
          <w:sz w:val="28"/>
          <w:szCs w:val="28"/>
        </w:rPr>
        <w:t>-1 году;</w:t>
      </w:r>
    </w:p>
    <w:p w:rsidR="0055491A" w:rsidRPr="00F92864" w:rsidRDefault="0055491A" w:rsidP="0055491A">
      <w:pPr>
        <w:ind w:firstLine="709"/>
        <w:jc w:val="both"/>
        <w:rPr>
          <w:sz w:val="28"/>
          <w:szCs w:val="28"/>
        </w:rPr>
      </w:pPr>
      <w:r w:rsidRPr="00F92864">
        <w:rPr>
          <w:sz w:val="28"/>
          <w:szCs w:val="28"/>
        </w:rPr>
        <w:t>К</w:t>
      </w:r>
      <w:r w:rsidRPr="00F92864">
        <w:rPr>
          <w:sz w:val="28"/>
          <w:szCs w:val="28"/>
          <w:vertAlign w:val="subscript"/>
        </w:rPr>
        <w:t>сн</w:t>
      </w:r>
      <w:r w:rsidRPr="00F92864">
        <w:rPr>
          <w:sz w:val="28"/>
          <w:szCs w:val="28"/>
        </w:rPr>
        <w:t xml:space="preserve"> – коэффициент снижения нарушений.</w:t>
      </w:r>
    </w:p>
    <w:p w:rsidR="0055491A" w:rsidRDefault="0055491A" w:rsidP="0055491A">
      <w:pPr>
        <w:ind w:firstLine="709"/>
        <w:jc w:val="both"/>
        <w:rPr>
          <w:sz w:val="28"/>
          <w:szCs w:val="28"/>
        </w:rPr>
      </w:pPr>
      <w:r>
        <w:rPr>
          <w:sz w:val="28"/>
          <w:szCs w:val="28"/>
        </w:rPr>
        <w:t xml:space="preserve">Прогнозируемое количество постановлений в 2022 - 2024годах рассчитано исходя из ожидаемого количества постановлений об административных правонарушениях в 2021 году (в разрезе муниципальных образований), умноженных на показатель государственной программы Тверской области «Обеспечение государственного надзора и контроля в Тверской области» - коэффициент снижения нарушений в области эксплуатации транспортных средств (2022 год –6,5%, 2023 год – 6,0%, </w:t>
      </w:r>
      <w:r w:rsidRPr="00404071">
        <w:rPr>
          <w:sz w:val="28"/>
          <w:szCs w:val="28"/>
        </w:rPr>
        <w:t xml:space="preserve">                             </w:t>
      </w:r>
      <w:r>
        <w:rPr>
          <w:sz w:val="28"/>
          <w:szCs w:val="28"/>
        </w:rPr>
        <w:t>2024 год – 5,5%) и составляет:</w:t>
      </w:r>
    </w:p>
    <w:p w:rsidR="0055491A" w:rsidRDefault="0055491A" w:rsidP="0055491A">
      <w:pPr>
        <w:ind w:firstLine="709"/>
        <w:jc w:val="both"/>
        <w:rPr>
          <w:sz w:val="28"/>
          <w:szCs w:val="28"/>
        </w:rPr>
      </w:pPr>
      <w:r>
        <w:rPr>
          <w:sz w:val="28"/>
          <w:szCs w:val="28"/>
        </w:rPr>
        <w:t xml:space="preserve">статья 19.22 КоАП РФ </w:t>
      </w:r>
      <w:r w:rsidRPr="0066001D">
        <w:rPr>
          <w:i/>
          <w:sz w:val="28"/>
          <w:szCs w:val="28"/>
        </w:rPr>
        <w:t>(должностные лица)</w:t>
      </w:r>
      <w:r>
        <w:rPr>
          <w:sz w:val="28"/>
          <w:szCs w:val="28"/>
        </w:rPr>
        <w:t>:</w:t>
      </w:r>
    </w:p>
    <w:p w:rsidR="0055491A" w:rsidRDefault="0055491A" w:rsidP="0055491A">
      <w:pPr>
        <w:ind w:firstLine="709"/>
        <w:jc w:val="both"/>
        <w:rPr>
          <w:sz w:val="28"/>
          <w:szCs w:val="28"/>
        </w:rPr>
      </w:pPr>
      <w:r>
        <w:rPr>
          <w:sz w:val="28"/>
          <w:szCs w:val="28"/>
        </w:rPr>
        <w:t>2022 год – 2 шт., 2023 год – 2 шт., 2024 год – 2шт.</w:t>
      </w:r>
    </w:p>
    <w:p w:rsidR="0055491A" w:rsidRDefault="0055491A" w:rsidP="0055491A">
      <w:pPr>
        <w:ind w:firstLine="709"/>
        <w:jc w:val="both"/>
        <w:rPr>
          <w:sz w:val="28"/>
          <w:szCs w:val="28"/>
        </w:rPr>
      </w:pPr>
      <w:r>
        <w:rPr>
          <w:sz w:val="28"/>
          <w:szCs w:val="28"/>
        </w:rPr>
        <w:t xml:space="preserve">статья 19.22 КоАП РФ </w:t>
      </w:r>
      <w:r w:rsidRPr="0066001D">
        <w:rPr>
          <w:i/>
          <w:sz w:val="28"/>
          <w:szCs w:val="28"/>
        </w:rPr>
        <w:t>(физические лица)</w:t>
      </w:r>
      <w:r>
        <w:rPr>
          <w:sz w:val="28"/>
          <w:szCs w:val="28"/>
        </w:rPr>
        <w:t>:</w:t>
      </w:r>
    </w:p>
    <w:p w:rsidR="0055491A" w:rsidRDefault="0055491A" w:rsidP="0055491A">
      <w:pPr>
        <w:ind w:firstLine="709"/>
        <w:jc w:val="both"/>
        <w:rPr>
          <w:sz w:val="28"/>
          <w:szCs w:val="28"/>
        </w:rPr>
      </w:pPr>
      <w:r>
        <w:rPr>
          <w:sz w:val="28"/>
          <w:szCs w:val="28"/>
        </w:rPr>
        <w:t>2022 год – 109 шт., 2023 год – 106 шт., 2024 год – 105 шт.</w:t>
      </w:r>
    </w:p>
    <w:p w:rsidR="0055491A" w:rsidRDefault="0055491A" w:rsidP="0055491A">
      <w:pPr>
        <w:ind w:firstLine="709"/>
        <w:jc w:val="both"/>
        <w:rPr>
          <w:sz w:val="28"/>
          <w:szCs w:val="28"/>
        </w:rPr>
      </w:pPr>
      <w:r>
        <w:rPr>
          <w:sz w:val="28"/>
          <w:szCs w:val="28"/>
        </w:rPr>
        <w:t xml:space="preserve">статья 19.22 КоАП РФ </w:t>
      </w:r>
      <w:r w:rsidRPr="0066001D">
        <w:rPr>
          <w:i/>
          <w:sz w:val="28"/>
          <w:szCs w:val="28"/>
        </w:rPr>
        <w:t>(</w:t>
      </w:r>
      <w:r>
        <w:rPr>
          <w:i/>
          <w:sz w:val="28"/>
          <w:szCs w:val="28"/>
        </w:rPr>
        <w:t>юридические</w:t>
      </w:r>
      <w:r w:rsidRPr="0066001D">
        <w:rPr>
          <w:i/>
          <w:sz w:val="28"/>
          <w:szCs w:val="28"/>
        </w:rPr>
        <w:t xml:space="preserve"> лица)</w:t>
      </w:r>
      <w:r>
        <w:rPr>
          <w:sz w:val="28"/>
          <w:szCs w:val="28"/>
        </w:rPr>
        <w:t>:</w:t>
      </w:r>
    </w:p>
    <w:p w:rsidR="0055491A" w:rsidRDefault="0055491A" w:rsidP="0055491A">
      <w:pPr>
        <w:ind w:firstLine="709"/>
        <w:jc w:val="both"/>
        <w:rPr>
          <w:sz w:val="28"/>
          <w:szCs w:val="28"/>
        </w:rPr>
      </w:pPr>
      <w:r>
        <w:rPr>
          <w:sz w:val="28"/>
          <w:szCs w:val="28"/>
        </w:rPr>
        <w:t>2022 год – 24 шт., 2023 год – 23 шт., 2024 год – 22шт.</w:t>
      </w:r>
    </w:p>
    <w:p w:rsidR="0055491A" w:rsidRDefault="0055491A" w:rsidP="0055491A">
      <w:pPr>
        <w:ind w:firstLine="709"/>
        <w:jc w:val="both"/>
        <w:rPr>
          <w:sz w:val="28"/>
          <w:szCs w:val="28"/>
        </w:rPr>
      </w:pPr>
    </w:p>
    <w:p w:rsidR="0055491A" w:rsidRDefault="0055491A" w:rsidP="0055491A">
      <w:pPr>
        <w:ind w:firstLine="708"/>
        <w:jc w:val="both"/>
        <w:rPr>
          <w:sz w:val="28"/>
          <w:szCs w:val="28"/>
        </w:rPr>
      </w:pPr>
      <w:r>
        <w:rPr>
          <w:sz w:val="28"/>
          <w:szCs w:val="28"/>
        </w:rPr>
        <w:t>П</w:t>
      </w:r>
      <w:r w:rsidRPr="00F92864">
        <w:rPr>
          <w:sz w:val="28"/>
          <w:szCs w:val="28"/>
        </w:rPr>
        <w:t>рогноз суммы поступления по административным штрафам</w:t>
      </w:r>
      <w:r>
        <w:rPr>
          <w:sz w:val="28"/>
          <w:szCs w:val="28"/>
        </w:rPr>
        <w:t xml:space="preserve">                                       статья 19.22 </w:t>
      </w:r>
      <w:r w:rsidRPr="0066001D">
        <w:rPr>
          <w:i/>
          <w:sz w:val="28"/>
          <w:szCs w:val="28"/>
        </w:rPr>
        <w:t>(должностные лица</w:t>
      </w:r>
      <w:r>
        <w:rPr>
          <w:i/>
          <w:sz w:val="28"/>
          <w:szCs w:val="28"/>
        </w:rPr>
        <w:t>)</w:t>
      </w:r>
      <w:r>
        <w:rPr>
          <w:sz w:val="28"/>
          <w:szCs w:val="28"/>
        </w:rPr>
        <w:t xml:space="preserve"> </w:t>
      </w:r>
      <w:r w:rsidRPr="00F92864">
        <w:rPr>
          <w:sz w:val="28"/>
          <w:szCs w:val="28"/>
        </w:rPr>
        <w:t xml:space="preserve"> </w:t>
      </w:r>
      <w:r>
        <w:rPr>
          <w:sz w:val="28"/>
          <w:szCs w:val="28"/>
        </w:rPr>
        <w:t xml:space="preserve">КоАП РФ </w:t>
      </w:r>
    </w:p>
    <w:p w:rsidR="0055491A" w:rsidRDefault="0055491A" w:rsidP="0055491A">
      <w:pPr>
        <w:ind w:firstLine="708"/>
        <w:jc w:val="both"/>
        <w:rPr>
          <w:sz w:val="28"/>
          <w:szCs w:val="28"/>
        </w:rPr>
      </w:pPr>
      <w:r w:rsidRPr="00F92864">
        <w:rPr>
          <w:sz w:val="28"/>
          <w:szCs w:val="28"/>
        </w:rPr>
        <w:t xml:space="preserve">в </w:t>
      </w:r>
      <w:r>
        <w:rPr>
          <w:sz w:val="28"/>
          <w:szCs w:val="28"/>
        </w:rPr>
        <w:t>2022</w:t>
      </w:r>
      <w:r w:rsidRPr="00F92864">
        <w:rPr>
          <w:sz w:val="28"/>
          <w:szCs w:val="28"/>
        </w:rPr>
        <w:t xml:space="preserve"> году</w:t>
      </w:r>
      <w:r>
        <w:rPr>
          <w:sz w:val="28"/>
          <w:szCs w:val="28"/>
        </w:rPr>
        <w:t xml:space="preserve"> = 2 </w:t>
      </w:r>
      <w:r w:rsidRPr="00F92864">
        <w:rPr>
          <w:sz w:val="28"/>
          <w:szCs w:val="28"/>
        </w:rPr>
        <w:t>х</w:t>
      </w:r>
      <w:r>
        <w:rPr>
          <w:sz w:val="28"/>
          <w:szCs w:val="28"/>
        </w:rPr>
        <w:t xml:space="preserve"> 2,0 тыс. руб.  = 4,0 тыс. руб.;</w:t>
      </w:r>
    </w:p>
    <w:p w:rsidR="0055491A" w:rsidRPr="00F92864" w:rsidRDefault="0055491A" w:rsidP="0055491A">
      <w:pPr>
        <w:ind w:firstLine="708"/>
        <w:jc w:val="both"/>
        <w:rPr>
          <w:sz w:val="28"/>
          <w:szCs w:val="28"/>
        </w:rPr>
      </w:pPr>
      <w:r w:rsidRPr="00F92864">
        <w:rPr>
          <w:sz w:val="28"/>
          <w:szCs w:val="28"/>
        </w:rPr>
        <w:t xml:space="preserve">в </w:t>
      </w:r>
      <w:r>
        <w:rPr>
          <w:sz w:val="28"/>
          <w:szCs w:val="28"/>
        </w:rPr>
        <w:t>2023</w:t>
      </w:r>
      <w:r w:rsidRPr="00F92864">
        <w:rPr>
          <w:sz w:val="28"/>
          <w:szCs w:val="28"/>
        </w:rPr>
        <w:t xml:space="preserve"> году</w:t>
      </w:r>
      <w:r>
        <w:rPr>
          <w:sz w:val="28"/>
          <w:szCs w:val="28"/>
        </w:rPr>
        <w:t xml:space="preserve"> = 2 </w:t>
      </w:r>
      <w:r w:rsidRPr="00F92864">
        <w:rPr>
          <w:sz w:val="28"/>
          <w:szCs w:val="28"/>
        </w:rPr>
        <w:t>х</w:t>
      </w:r>
      <w:r>
        <w:rPr>
          <w:sz w:val="28"/>
          <w:szCs w:val="28"/>
        </w:rPr>
        <w:t xml:space="preserve"> 2,0 тыс. руб.  = 4,0 тыс. руб.;</w:t>
      </w:r>
    </w:p>
    <w:p w:rsidR="0055491A" w:rsidRDefault="0055491A" w:rsidP="0055491A">
      <w:pPr>
        <w:ind w:firstLine="708"/>
        <w:jc w:val="both"/>
        <w:rPr>
          <w:sz w:val="28"/>
          <w:szCs w:val="28"/>
        </w:rPr>
      </w:pPr>
      <w:r w:rsidRPr="00F92864">
        <w:rPr>
          <w:sz w:val="28"/>
          <w:szCs w:val="28"/>
        </w:rPr>
        <w:t xml:space="preserve">в </w:t>
      </w:r>
      <w:r>
        <w:rPr>
          <w:sz w:val="28"/>
          <w:szCs w:val="28"/>
        </w:rPr>
        <w:t>2024</w:t>
      </w:r>
      <w:r w:rsidRPr="00F92864">
        <w:rPr>
          <w:sz w:val="28"/>
          <w:szCs w:val="28"/>
        </w:rPr>
        <w:t xml:space="preserve"> году</w:t>
      </w:r>
      <w:r>
        <w:rPr>
          <w:sz w:val="28"/>
          <w:szCs w:val="28"/>
        </w:rPr>
        <w:t xml:space="preserve"> = 2 </w:t>
      </w:r>
      <w:r w:rsidRPr="00F92864">
        <w:rPr>
          <w:sz w:val="28"/>
          <w:szCs w:val="28"/>
        </w:rPr>
        <w:t>х</w:t>
      </w:r>
      <w:r>
        <w:rPr>
          <w:sz w:val="28"/>
          <w:szCs w:val="28"/>
        </w:rPr>
        <w:t xml:space="preserve"> 2,0 тыс. руб.  = 4,0 тыс. руб.</w:t>
      </w:r>
    </w:p>
    <w:p w:rsidR="0055491A" w:rsidRDefault="0055491A" w:rsidP="0055491A">
      <w:pPr>
        <w:ind w:firstLine="708"/>
        <w:jc w:val="both"/>
        <w:rPr>
          <w:sz w:val="28"/>
          <w:szCs w:val="28"/>
        </w:rPr>
      </w:pPr>
      <w:r>
        <w:rPr>
          <w:sz w:val="28"/>
          <w:szCs w:val="28"/>
        </w:rPr>
        <w:t>П</w:t>
      </w:r>
      <w:r w:rsidRPr="00F92864">
        <w:rPr>
          <w:sz w:val="28"/>
          <w:szCs w:val="28"/>
        </w:rPr>
        <w:t xml:space="preserve">рогноз суммы поступления по административным штрафам </w:t>
      </w:r>
      <w:r>
        <w:rPr>
          <w:sz w:val="28"/>
          <w:szCs w:val="28"/>
        </w:rPr>
        <w:t xml:space="preserve">                                      статья 19.22 РФ </w:t>
      </w:r>
      <w:r w:rsidRPr="0066001D">
        <w:rPr>
          <w:i/>
          <w:sz w:val="28"/>
          <w:szCs w:val="28"/>
        </w:rPr>
        <w:t>(физические лица</w:t>
      </w:r>
      <w:r>
        <w:rPr>
          <w:sz w:val="28"/>
          <w:szCs w:val="28"/>
        </w:rPr>
        <w:t xml:space="preserve">) КоАП РФ </w:t>
      </w:r>
    </w:p>
    <w:p w:rsidR="0055491A" w:rsidRDefault="0055491A" w:rsidP="0055491A">
      <w:pPr>
        <w:ind w:firstLine="708"/>
        <w:jc w:val="both"/>
        <w:rPr>
          <w:sz w:val="28"/>
          <w:szCs w:val="28"/>
        </w:rPr>
      </w:pPr>
      <w:r w:rsidRPr="00F92864">
        <w:rPr>
          <w:sz w:val="28"/>
          <w:szCs w:val="28"/>
        </w:rPr>
        <w:t xml:space="preserve">в </w:t>
      </w:r>
      <w:r>
        <w:rPr>
          <w:sz w:val="28"/>
          <w:szCs w:val="28"/>
        </w:rPr>
        <w:t>2022</w:t>
      </w:r>
      <w:r w:rsidRPr="00F92864">
        <w:rPr>
          <w:sz w:val="28"/>
          <w:szCs w:val="28"/>
        </w:rPr>
        <w:t xml:space="preserve"> году</w:t>
      </w:r>
      <w:r>
        <w:rPr>
          <w:sz w:val="28"/>
          <w:szCs w:val="28"/>
        </w:rPr>
        <w:t xml:space="preserve"> = 109 </w:t>
      </w:r>
      <w:r w:rsidRPr="00F92864">
        <w:rPr>
          <w:sz w:val="28"/>
          <w:szCs w:val="28"/>
        </w:rPr>
        <w:t>х</w:t>
      </w:r>
      <w:r>
        <w:rPr>
          <w:sz w:val="28"/>
          <w:szCs w:val="28"/>
        </w:rPr>
        <w:t xml:space="preserve"> 1,5 тыс. руб.  = 163,5 тыс. руб.;</w:t>
      </w:r>
    </w:p>
    <w:p w:rsidR="0055491A" w:rsidRPr="00F92864" w:rsidRDefault="0055491A" w:rsidP="0055491A">
      <w:pPr>
        <w:ind w:firstLine="708"/>
        <w:jc w:val="both"/>
        <w:rPr>
          <w:sz w:val="28"/>
          <w:szCs w:val="28"/>
        </w:rPr>
      </w:pPr>
      <w:r w:rsidRPr="00F92864">
        <w:rPr>
          <w:sz w:val="28"/>
          <w:szCs w:val="28"/>
        </w:rPr>
        <w:t xml:space="preserve">в </w:t>
      </w:r>
      <w:r>
        <w:rPr>
          <w:sz w:val="28"/>
          <w:szCs w:val="28"/>
        </w:rPr>
        <w:t>2023</w:t>
      </w:r>
      <w:r w:rsidRPr="00F92864">
        <w:rPr>
          <w:sz w:val="28"/>
          <w:szCs w:val="28"/>
        </w:rPr>
        <w:t xml:space="preserve"> году</w:t>
      </w:r>
      <w:r>
        <w:rPr>
          <w:sz w:val="28"/>
          <w:szCs w:val="28"/>
        </w:rPr>
        <w:t xml:space="preserve"> = 106 </w:t>
      </w:r>
      <w:r w:rsidRPr="00F92864">
        <w:rPr>
          <w:sz w:val="28"/>
          <w:szCs w:val="28"/>
        </w:rPr>
        <w:t>х</w:t>
      </w:r>
      <w:r>
        <w:rPr>
          <w:sz w:val="28"/>
          <w:szCs w:val="28"/>
        </w:rPr>
        <w:t xml:space="preserve"> 1,5 тыс. руб.  = 159,0 тыс. руб.;</w:t>
      </w:r>
    </w:p>
    <w:p w:rsidR="0055491A" w:rsidRDefault="0055491A" w:rsidP="0055491A">
      <w:pPr>
        <w:ind w:firstLine="708"/>
        <w:jc w:val="both"/>
        <w:rPr>
          <w:sz w:val="28"/>
          <w:szCs w:val="28"/>
        </w:rPr>
      </w:pPr>
      <w:r w:rsidRPr="00F92864">
        <w:rPr>
          <w:sz w:val="28"/>
          <w:szCs w:val="28"/>
        </w:rPr>
        <w:t xml:space="preserve">в </w:t>
      </w:r>
      <w:r>
        <w:rPr>
          <w:sz w:val="28"/>
          <w:szCs w:val="28"/>
        </w:rPr>
        <w:t>2024</w:t>
      </w:r>
      <w:r w:rsidRPr="00F92864">
        <w:rPr>
          <w:sz w:val="28"/>
          <w:szCs w:val="28"/>
        </w:rPr>
        <w:t xml:space="preserve"> году</w:t>
      </w:r>
      <w:r>
        <w:rPr>
          <w:sz w:val="28"/>
          <w:szCs w:val="28"/>
        </w:rPr>
        <w:t xml:space="preserve"> = 105 </w:t>
      </w:r>
      <w:r w:rsidRPr="00F92864">
        <w:rPr>
          <w:sz w:val="28"/>
          <w:szCs w:val="28"/>
        </w:rPr>
        <w:t>х</w:t>
      </w:r>
      <w:r>
        <w:rPr>
          <w:sz w:val="28"/>
          <w:szCs w:val="28"/>
        </w:rPr>
        <w:t xml:space="preserve"> 1,5 тыс. руб.  = 157,5 тыс. руб.</w:t>
      </w:r>
    </w:p>
    <w:p w:rsidR="0055491A" w:rsidRDefault="0055491A" w:rsidP="0055491A">
      <w:pPr>
        <w:ind w:firstLine="708"/>
        <w:jc w:val="both"/>
        <w:rPr>
          <w:sz w:val="28"/>
          <w:szCs w:val="28"/>
        </w:rPr>
      </w:pPr>
      <w:r>
        <w:rPr>
          <w:sz w:val="28"/>
          <w:szCs w:val="28"/>
        </w:rPr>
        <w:t>П</w:t>
      </w:r>
      <w:r w:rsidRPr="00F92864">
        <w:rPr>
          <w:sz w:val="28"/>
          <w:szCs w:val="28"/>
        </w:rPr>
        <w:t xml:space="preserve">рогноз суммы поступления по административным штрафам </w:t>
      </w:r>
      <w:r>
        <w:rPr>
          <w:sz w:val="28"/>
          <w:szCs w:val="28"/>
        </w:rPr>
        <w:t xml:space="preserve">                                      статья 19.22 РФ </w:t>
      </w:r>
      <w:r w:rsidRPr="0066001D">
        <w:rPr>
          <w:i/>
          <w:sz w:val="28"/>
          <w:szCs w:val="28"/>
        </w:rPr>
        <w:t>(</w:t>
      </w:r>
      <w:r>
        <w:rPr>
          <w:i/>
          <w:sz w:val="28"/>
          <w:szCs w:val="28"/>
        </w:rPr>
        <w:t>юриди</w:t>
      </w:r>
      <w:r w:rsidRPr="0066001D">
        <w:rPr>
          <w:i/>
          <w:sz w:val="28"/>
          <w:szCs w:val="28"/>
        </w:rPr>
        <w:t>ческие лица</w:t>
      </w:r>
      <w:r>
        <w:rPr>
          <w:sz w:val="28"/>
          <w:szCs w:val="28"/>
        </w:rPr>
        <w:t xml:space="preserve">) КоАП РФ </w:t>
      </w:r>
    </w:p>
    <w:p w:rsidR="0055491A" w:rsidRDefault="0055491A" w:rsidP="0055491A">
      <w:pPr>
        <w:ind w:firstLine="708"/>
        <w:jc w:val="both"/>
        <w:rPr>
          <w:sz w:val="28"/>
          <w:szCs w:val="28"/>
        </w:rPr>
      </w:pPr>
      <w:r w:rsidRPr="00F92864">
        <w:rPr>
          <w:sz w:val="28"/>
          <w:szCs w:val="28"/>
        </w:rPr>
        <w:t xml:space="preserve">в </w:t>
      </w:r>
      <w:r>
        <w:rPr>
          <w:sz w:val="28"/>
          <w:szCs w:val="28"/>
        </w:rPr>
        <w:t>2022</w:t>
      </w:r>
      <w:r w:rsidRPr="00F92864">
        <w:rPr>
          <w:sz w:val="28"/>
          <w:szCs w:val="28"/>
        </w:rPr>
        <w:t xml:space="preserve"> году</w:t>
      </w:r>
      <w:r>
        <w:rPr>
          <w:sz w:val="28"/>
          <w:szCs w:val="28"/>
        </w:rPr>
        <w:t xml:space="preserve"> = 24 </w:t>
      </w:r>
      <w:r w:rsidRPr="00F92864">
        <w:rPr>
          <w:sz w:val="28"/>
          <w:szCs w:val="28"/>
        </w:rPr>
        <w:t>х</w:t>
      </w:r>
      <w:r>
        <w:rPr>
          <w:sz w:val="28"/>
          <w:szCs w:val="28"/>
        </w:rPr>
        <w:t xml:space="preserve"> 5,0 тыс. руб.  = 120,0 тыс. руб.;</w:t>
      </w:r>
    </w:p>
    <w:p w:rsidR="0055491A" w:rsidRPr="00F92864" w:rsidRDefault="0055491A" w:rsidP="0055491A">
      <w:pPr>
        <w:ind w:firstLine="708"/>
        <w:jc w:val="both"/>
        <w:rPr>
          <w:sz w:val="28"/>
          <w:szCs w:val="28"/>
        </w:rPr>
      </w:pPr>
      <w:r w:rsidRPr="00F92864">
        <w:rPr>
          <w:sz w:val="28"/>
          <w:szCs w:val="28"/>
        </w:rPr>
        <w:t xml:space="preserve">в </w:t>
      </w:r>
      <w:r>
        <w:rPr>
          <w:sz w:val="28"/>
          <w:szCs w:val="28"/>
        </w:rPr>
        <w:t>2023</w:t>
      </w:r>
      <w:r w:rsidRPr="00F92864">
        <w:rPr>
          <w:sz w:val="28"/>
          <w:szCs w:val="28"/>
        </w:rPr>
        <w:t xml:space="preserve"> году</w:t>
      </w:r>
      <w:r>
        <w:rPr>
          <w:sz w:val="28"/>
          <w:szCs w:val="28"/>
        </w:rPr>
        <w:t xml:space="preserve"> = 23 </w:t>
      </w:r>
      <w:r w:rsidRPr="00F92864">
        <w:rPr>
          <w:sz w:val="28"/>
          <w:szCs w:val="28"/>
        </w:rPr>
        <w:t>х</w:t>
      </w:r>
      <w:r>
        <w:rPr>
          <w:sz w:val="28"/>
          <w:szCs w:val="28"/>
        </w:rPr>
        <w:t xml:space="preserve"> 5,0 тыс. руб.  = 115,0 тыс. руб.;</w:t>
      </w:r>
    </w:p>
    <w:p w:rsidR="0055491A" w:rsidRDefault="0055491A" w:rsidP="0055491A">
      <w:pPr>
        <w:ind w:firstLine="708"/>
        <w:jc w:val="both"/>
        <w:rPr>
          <w:sz w:val="28"/>
          <w:szCs w:val="28"/>
        </w:rPr>
      </w:pPr>
      <w:r w:rsidRPr="00F92864">
        <w:rPr>
          <w:sz w:val="28"/>
          <w:szCs w:val="28"/>
        </w:rPr>
        <w:t xml:space="preserve">в </w:t>
      </w:r>
      <w:r>
        <w:rPr>
          <w:sz w:val="28"/>
          <w:szCs w:val="28"/>
        </w:rPr>
        <w:t>2024</w:t>
      </w:r>
      <w:r w:rsidRPr="00F92864">
        <w:rPr>
          <w:sz w:val="28"/>
          <w:szCs w:val="28"/>
        </w:rPr>
        <w:t xml:space="preserve"> году</w:t>
      </w:r>
      <w:r>
        <w:rPr>
          <w:sz w:val="28"/>
          <w:szCs w:val="28"/>
        </w:rPr>
        <w:t xml:space="preserve"> = 22 </w:t>
      </w:r>
      <w:r w:rsidRPr="00F92864">
        <w:rPr>
          <w:sz w:val="28"/>
          <w:szCs w:val="28"/>
        </w:rPr>
        <w:t>х</w:t>
      </w:r>
      <w:r>
        <w:rPr>
          <w:sz w:val="28"/>
          <w:szCs w:val="28"/>
        </w:rPr>
        <w:t xml:space="preserve"> 5,0 тыс. руб.  = 110,0 тыс. руб.</w:t>
      </w:r>
    </w:p>
    <w:p w:rsidR="0055491A" w:rsidRDefault="0055491A" w:rsidP="0055491A">
      <w:pPr>
        <w:ind w:firstLine="709"/>
        <w:jc w:val="both"/>
        <w:rPr>
          <w:sz w:val="28"/>
          <w:szCs w:val="28"/>
        </w:rPr>
      </w:pPr>
    </w:p>
    <w:p w:rsidR="0055491A" w:rsidRPr="002D51EF" w:rsidRDefault="0055491A" w:rsidP="0055491A">
      <w:pPr>
        <w:pStyle w:val="a7"/>
        <w:spacing w:after="0"/>
        <w:ind w:left="0" w:firstLine="709"/>
        <w:jc w:val="both"/>
        <w:rPr>
          <w:b/>
          <w:sz w:val="28"/>
          <w:szCs w:val="28"/>
        </w:rPr>
      </w:pPr>
      <w:r w:rsidRPr="002D51EF">
        <w:rPr>
          <w:b/>
          <w:sz w:val="28"/>
          <w:szCs w:val="28"/>
        </w:rPr>
        <w:t>Прогноз поступления доходов в областной бюджет Тверской области на 2022 год – 287,5 тыс. руб., на 2023 год – 278,0 тыс. руб.,                                                            на 2024 год – 271,5 тыс. руб.</w:t>
      </w:r>
    </w:p>
    <w:p w:rsidR="0055491A" w:rsidRDefault="0055491A" w:rsidP="0055491A">
      <w:pPr>
        <w:pStyle w:val="a7"/>
        <w:spacing w:after="0"/>
        <w:ind w:left="0" w:firstLine="709"/>
        <w:jc w:val="both"/>
        <w:rPr>
          <w:sz w:val="28"/>
          <w:szCs w:val="28"/>
        </w:rPr>
      </w:pPr>
    </w:p>
    <w:p w:rsidR="0055491A" w:rsidRDefault="0055491A" w:rsidP="0055491A">
      <w:pPr>
        <w:pStyle w:val="a7"/>
        <w:spacing w:after="0"/>
        <w:ind w:left="0" w:firstLine="709"/>
        <w:jc w:val="both"/>
        <w:rPr>
          <w:sz w:val="28"/>
          <w:szCs w:val="28"/>
        </w:rPr>
      </w:pPr>
      <w:r>
        <w:rPr>
          <w:sz w:val="28"/>
          <w:szCs w:val="28"/>
        </w:rPr>
        <w:lastRenderedPageBreak/>
        <w:t xml:space="preserve"> 13.3 </w:t>
      </w:r>
      <w:r w:rsidRPr="002D51EF">
        <w:rPr>
          <w:b/>
          <w:sz w:val="28"/>
          <w:szCs w:val="28"/>
        </w:rPr>
        <w:t>КБК 332 1 16 01192 01 0000 140</w:t>
      </w:r>
      <w:r>
        <w:rPr>
          <w:sz w:val="28"/>
          <w:szCs w:val="28"/>
        </w:rPr>
        <w:t xml:space="preserve"> </w:t>
      </w:r>
      <w:r w:rsidRPr="00326E6F">
        <w:rPr>
          <w:sz w:val="28"/>
          <w:szCs w:val="28"/>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w:t>
      </w:r>
      <w:r>
        <w:rPr>
          <w:sz w:val="28"/>
          <w:szCs w:val="28"/>
        </w:rPr>
        <w:t>.</w:t>
      </w:r>
    </w:p>
    <w:p w:rsidR="0055491A" w:rsidRPr="002D51EF" w:rsidRDefault="0055491A" w:rsidP="0055491A">
      <w:pPr>
        <w:pStyle w:val="a7"/>
        <w:spacing w:after="0"/>
        <w:ind w:left="0" w:firstLine="709"/>
        <w:jc w:val="both"/>
        <w:rPr>
          <w:b/>
          <w:sz w:val="28"/>
          <w:szCs w:val="28"/>
        </w:rPr>
      </w:pPr>
      <w:r w:rsidRPr="002D51EF">
        <w:rPr>
          <w:b/>
          <w:sz w:val="28"/>
          <w:szCs w:val="28"/>
        </w:rPr>
        <w:t>Главный администратор доходов – Министерство Тверской области по обеспечению контрольных функций.</w:t>
      </w:r>
    </w:p>
    <w:p w:rsidR="0055491A" w:rsidRDefault="0055491A" w:rsidP="0055491A">
      <w:pPr>
        <w:pStyle w:val="a7"/>
        <w:spacing w:after="0"/>
        <w:ind w:left="0" w:firstLine="709"/>
        <w:jc w:val="both"/>
        <w:rPr>
          <w:sz w:val="28"/>
          <w:szCs w:val="28"/>
        </w:rPr>
      </w:pPr>
      <w:r w:rsidRPr="000D4676">
        <w:rPr>
          <w:sz w:val="28"/>
          <w:szCs w:val="28"/>
        </w:rPr>
        <w:t>Расчет произведен в соответствии с методикой, утвержденной приказом Министерства Тверской области по обес</w:t>
      </w:r>
      <w:r>
        <w:rPr>
          <w:sz w:val="28"/>
          <w:szCs w:val="28"/>
        </w:rPr>
        <w:t>печению контрольных функций от 18</w:t>
      </w:r>
      <w:r w:rsidRPr="000D4676">
        <w:rPr>
          <w:sz w:val="28"/>
          <w:szCs w:val="28"/>
        </w:rPr>
        <w:t>.0</w:t>
      </w:r>
      <w:r>
        <w:rPr>
          <w:sz w:val="28"/>
          <w:szCs w:val="28"/>
        </w:rPr>
        <w:t>6</w:t>
      </w:r>
      <w:r w:rsidRPr="000D4676">
        <w:rPr>
          <w:sz w:val="28"/>
          <w:szCs w:val="28"/>
        </w:rPr>
        <w:t>.20</w:t>
      </w:r>
      <w:r>
        <w:rPr>
          <w:sz w:val="28"/>
          <w:szCs w:val="28"/>
        </w:rPr>
        <w:t>20</w:t>
      </w:r>
      <w:r w:rsidRPr="000D4676">
        <w:rPr>
          <w:sz w:val="28"/>
          <w:szCs w:val="28"/>
        </w:rPr>
        <w:t xml:space="preserve"> № </w:t>
      </w:r>
      <w:r>
        <w:rPr>
          <w:sz w:val="28"/>
          <w:szCs w:val="28"/>
        </w:rPr>
        <w:t>714</w:t>
      </w:r>
      <w:r w:rsidRPr="000D4676">
        <w:rPr>
          <w:sz w:val="28"/>
          <w:szCs w:val="28"/>
        </w:rPr>
        <w:t xml:space="preserve"> «Об утверждении методики прогнозирования поступлений доходов в областной бюджет Тверской области и местные бюджеты муниципальных образований Тверской области»</w:t>
      </w:r>
      <w:r>
        <w:rPr>
          <w:sz w:val="28"/>
          <w:szCs w:val="28"/>
        </w:rPr>
        <w:t xml:space="preserve"> (с учетом изменений)</w:t>
      </w:r>
      <w:r w:rsidRPr="000D4676">
        <w:rPr>
          <w:sz w:val="28"/>
          <w:szCs w:val="28"/>
        </w:rPr>
        <w:t>.</w:t>
      </w:r>
    </w:p>
    <w:p w:rsidR="0055491A" w:rsidRDefault="0055491A" w:rsidP="0055491A">
      <w:pPr>
        <w:pStyle w:val="a7"/>
        <w:spacing w:after="0"/>
        <w:ind w:left="0" w:firstLine="709"/>
        <w:jc w:val="both"/>
        <w:rPr>
          <w:sz w:val="28"/>
          <w:szCs w:val="28"/>
        </w:rPr>
      </w:pPr>
      <w:r w:rsidRPr="00E428FB">
        <w:rPr>
          <w:sz w:val="28"/>
          <w:szCs w:val="28"/>
        </w:rPr>
        <w:t>Прогноз поступлений денежных взысканий (штрафов) на 20</w:t>
      </w:r>
      <w:r>
        <w:rPr>
          <w:sz w:val="28"/>
          <w:szCs w:val="28"/>
        </w:rPr>
        <w:t>22</w:t>
      </w:r>
      <w:r w:rsidRPr="00E428FB">
        <w:rPr>
          <w:sz w:val="28"/>
          <w:szCs w:val="28"/>
        </w:rPr>
        <w:t xml:space="preserve"> год и </w:t>
      </w:r>
      <w:r>
        <w:rPr>
          <w:sz w:val="28"/>
          <w:szCs w:val="28"/>
        </w:rPr>
        <w:t xml:space="preserve">на </w:t>
      </w:r>
      <w:r w:rsidRPr="00E428FB">
        <w:rPr>
          <w:sz w:val="28"/>
          <w:szCs w:val="28"/>
        </w:rPr>
        <w:t>плановый период 20</w:t>
      </w:r>
      <w:r>
        <w:rPr>
          <w:sz w:val="28"/>
          <w:szCs w:val="28"/>
        </w:rPr>
        <w:t>23</w:t>
      </w:r>
      <w:r w:rsidRPr="00E428FB">
        <w:rPr>
          <w:sz w:val="28"/>
          <w:szCs w:val="28"/>
        </w:rPr>
        <w:t>-20</w:t>
      </w:r>
      <w:r>
        <w:rPr>
          <w:sz w:val="28"/>
          <w:szCs w:val="28"/>
        </w:rPr>
        <w:t>24</w:t>
      </w:r>
      <w:r w:rsidRPr="00E428FB">
        <w:rPr>
          <w:sz w:val="28"/>
          <w:szCs w:val="28"/>
        </w:rPr>
        <w:t xml:space="preserve"> годов в доход областного бюджета Тверской области определены методом прямого расчета, основанного на  использовании среднего количества нарушений</w:t>
      </w:r>
      <w:r>
        <w:rPr>
          <w:sz w:val="28"/>
          <w:szCs w:val="28"/>
        </w:rPr>
        <w:t xml:space="preserve"> за 3 года, ответственность за которые предусмотрена статьей 19.5 КоАП РФ (части 4, 20) и размера штрафов.</w:t>
      </w:r>
    </w:p>
    <w:p w:rsidR="0055491A" w:rsidRDefault="0055491A" w:rsidP="0055491A">
      <w:pPr>
        <w:pStyle w:val="a7"/>
        <w:spacing w:after="0"/>
        <w:ind w:left="0" w:firstLine="709"/>
        <w:jc w:val="both"/>
        <w:rPr>
          <w:sz w:val="28"/>
          <w:szCs w:val="28"/>
        </w:rPr>
      </w:pPr>
      <w:r>
        <w:rPr>
          <w:sz w:val="28"/>
          <w:szCs w:val="28"/>
        </w:rPr>
        <w:t>Расчет прогноза представлен в таблице.</w:t>
      </w:r>
    </w:p>
    <w:p w:rsidR="0055491A" w:rsidRDefault="0055491A" w:rsidP="0055491A">
      <w:pPr>
        <w:pStyle w:val="a7"/>
        <w:spacing w:after="0"/>
        <w:ind w:left="0" w:firstLine="709"/>
        <w:jc w:val="both"/>
        <w:rPr>
          <w:sz w:val="28"/>
          <w:szCs w:val="28"/>
        </w:rPr>
      </w:pPr>
    </w:p>
    <w:tbl>
      <w:tblPr>
        <w:tblW w:w="0" w:type="auto"/>
        <w:tblLayout w:type="fixed"/>
        <w:tblLook w:val="04A0" w:firstRow="1" w:lastRow="0" w:firstColumn="1" w:lastColumn="0" w:noHBand="0" w:noVBand="1"/>
      </w:tblPr>
      <w:tblGrid>
        <w:gridCol w:w="863"/>
        <w:gridCol w:w="555"/>
        <w:gridCol w:w="331"/>
        <w:gridCol w:w="381"/>
        <w:gridCol w:w="381"/>
        <w:gridCol w:w="953"/>
        <w:gridCol w:w="727"/>
        <w:gridCol w:w="953"/>
        <w:gridCol w:w="727"/>
        <w:gridCol w:w="953"/>
        <w:gridCol w:w="768"/>
        <w:gridCol w:w="994"/>
        <w:gridCol w:w="768"/>
      </w:tblGrid>
      <w:tr w:rsidR="0055491A" w:rsidRPr="00A20DFB" w:rsidTr="00210BF6">
        <w:trPr>
          <w:trHeight w:val="555"/>
        </w:trPr>
        <w:tc>
          <w:tcPr>
            <w:tcW w:w="863" w:type="dxa"/>
            <w:vMerge w:val="restart"/>
            <w:tcBorders>
              <w:top w:val="single" w:sz="8" w:space="0" w:color="auto"/>
              <w:left w:val="nil"/>
              <w:bottom w:val="nil"/>
              <w:right w:val="single" w:sz="8" w:space="0" w:color="auto"/>
            </w:tcBorders>
            <w:shd w:val="clear" w:color="auto" w:fill="auto"/>
            <w:hideMark/>
          </w:tcPr>
          <w:p w:rsidR="0055491A" w:rsidRPr="00540898" w:rsidRDefault="0055491A" w:rsidP="00210BF6">
            <w:pPr>
              <w:jc w:val="center"/>
              <w:rPr>
                <w:bCs/>
                <w:sz w:val="18"/>
                <w:szCs w:val="18"/>
              </w:rPr>
            </w:pPr>
            <w:r w:rsidRPr="00540898">
              <w:rPr>
                <w:bCs/>
                <w:sz w:val="18"/>
                <w:szCs w:val="18"/>
              </w:rPr>
              <w:t>НПА, устанавливающий платеж, статья, пункт</w:t>
            </w:r>
            <w:r>
              <w:rPr>
                <w:bCs/>
                <w:sz w:val="18"/>
                <w:szCs w:val="18"/>
              </w:rPr>
              <w:t xml:space="preserve"> КоАП РФ</w:t>
            </w:r>
          </w:p>
        </w:tc>
        <w:tc>
          <w:tcPr>
            <w:tcW w:w="555" w:type="dxa"/>
            <w:vMerge w:val="restart"/>
            <w:tcBorders>
              <w:top w:val="single" w:sz="8" w:space="0" w:color="auto"/>
              <w:left w:val="nil"/>
              <w:bottom w:val="nil"/>
              <w:right w:val="single" w:sz="8" w:space="0" w:color="auto"/>
            </w:tcBorders>
            <w:shd w:val="clear" w:color="auto" w:fill="auto"/>
            <w:hideMark/>
          </w:tcPr>
          <w:p w:rsidR="0055491A" w:rsidRPr="00540898" w:rsidRDefault="0055491A" w:rsidP="00210BF6">
            <w:pPr>
              <w:jc w:val="center"/>
              <w:rPr>
                <w:bCs/>
                <w:sz w:val="18"/>
                <w:szCs w:val="18"/>
              </w:rPr>
            </w:pPr>
            <w:r w:rsidRPr="00540898">
              <w:rPr>
                <w:bCs/>
                <w:sz w:val="18"/>
                <w:szCs w:val="18"/>
              </w:rPr>
              <w:t>Размер штрафа, тыс.руб</w:t>
            </w:r>
          </w:p>
        </w:tc>
        <w:tc>
          <w:tcPr>
            <w:tcW w:w="1093" w:type="dxa"/>
            <w:gridSpan w:val="3"/>
            <w:tcBorders>
              <w:top w:val="single" w:sz="8" w:space="0" w:color="auto"/>
              <w:left w:val="nil"/>
              <w:bottom w:val="single" w:sz="8" w:space="0" w:color="auto"/>
              <w:right w:val="single" w:sz="8" w:space="0" w:color="000000"/>
            </w:tcBorders>
            <w:shd w:val="clear" w:color="auto" w:fill="auto"/>
            <w:hideMark/>
          </w:tcPr>
          <w:p w:rsidR="0055491A" w:rsidRPr="00540898" w:rsidRDefault="0055491A" w:rsidP="00210BF6">
            <w:pPr>
              <w:jc w:val="center"/>
              <w:rPr>
                <w:bCs/>
                <w:sz w:val="18"/>
                <w:szCs w:val="18"/>
              </w:rPr>
            </w:pPr>
            <w:r w:rsidRPr="00540898">
              <w:rPr>
                <w:bCs/>
                <w:sz w:val="18"/>
                <w:szCs w:val="18"/>
              </w:rPr>
              <w:t>Количество вынесенных постановлений, шт.</w:t>
            </w:r>
          </w:p>
        </w:tc>
        <w:tc>
          <w:tcPr>
            <w:tcW w:w="1680" w:type="dxa"/>
            <w:gridSpan w:val="2"/>
            <w:tcBorders>
              <w:top w:val="single" w:sz="8" w:space="0" w:color="auto"/>
              <w:left w:val="nil"/>
              <w:bottom w:val="single" w:sz="8" w:space="0" w:color="auto"/>
              <w:right w:val="nil"/>
            </w:tcBorders>
            <w:shd w:val="clear" w:color="auto" w:fill="auto"/>
            <w:hideMark/>
          </w:tcPr>
          <w:p w:rsidR="0055491A" w:rsidRPr="00540898" w:rsidRDefault="0055491A" w:rsidP="00210BF6">
            <w:pPr>
              <w:jc w:val="center"/>
              <w:rPr>
                <w:bCs/>
                <w:sz w:val="18"/>
                <w:szCs w:val="18"/>
              </w:rPr>
            </w:pPr>
            <w:r w:rsidRPr="00540898">
              <w:rPr>
                <w:bCs/>
                <w:sz w:val="18"/>
                <w:szCs w:val="18"/>
              </w:rPr>
              <w:t>202</w:t>
            </w:r>
            <w:r>
              <w:rPr>
                <w:bCs/>
                <w:sz w:val="18"/>
                <w:szCs w:val="18"/>
              </w:rPr>
              <w:t>1 год</w:t>
            </w:r>
          </w:p>
        </w:tc>
        <w:tc>
          <w:tcPr>
            <w:tcW w:w="1680" w:type="dxa"/>
            <w:gridSpan w:val="2"/>
            <w:tcBorders>
              <w:top w:val="single" w:sz="8" w:space="0" w:color="auto"/>
              <w:left w:val="single" w:sz="8" w:space="0" w:color="auto"/>
              <w:bottom w:val="single" w:sz="8" w:space="0" w:color="auto"/>
              <w:right w:val="nil"/>
            </w:tcBorders>
            <w:shd w:val="clear" w:color="auto" w:fill="auto"/>
            <w:hideMark/>
          </w:tcPr>
          <w:p w:rsidR="0055491A" w:rsidRPr="00540898" w:rsidRDefault="0055491A" w:rsidP="00210BF6">
            <w:pPr>
              <w:jc w:val="center"/>
              <w:rPr>
                <w:bCs/>
                <w:sz w:val="18"/>
                <w:szCs w:val="18"/>
              </w:rPr>
            </w:pPr>
            <w:r w:rsidRPr="00540898">
              <w:rPr>
                <w:bCs/>
                <w:sz w:val="18"/>
                <w:szCs w:val="18"/>
              </w:rPr>
              <w:t>202</w:t>
            </w:r>
            <w:r>
              <w:rPr>
                <w:bCs/>
                <w:sz w:val="18"/>
                <w:szCs w:val="18"/>
              </w:rPr>
              <w:t>2 год</w:t>
            </w:r>
          </w:p>
        </w:tc>
        <w:tc>
          <w:tcPr>
            <w:tcW w:w="1721" w:type="dxa"/>
            <w:gridSpan w:val="2"/>
            <w:tcBorders>
              <w:top w:val="single" w:sz="8" w:space="0" w:color="auto"/>
              <w:left w:val="single" w:sz="8" w:space="0" w:color="auto"/>
              <w:bottom w:val="single" w:sz="8" w:space="0" w:color="auto"/>
              <w:right w:val="nil"/>
            </w:tcBorders>
            <w:shd w:val="clear" w:color="auto" w:fill="auto"/>
            <w:hideMark/>
          </w:tcPr>
          <w:p w:rsidR="0055491A" w:rsidRPr="00540898" w:rsidRDefault="0055491A" w:rsidP="00210BF6">
            <w:pPr>
              <w:jc w:val="center"/>
              <w:rPr>
                <w:bCs/>
                <w:sz w:val="18"/>
                <w:szCs w:val="18"/>
              </w:rPr>
            </w:pPr>
            <w:r w:rsidRPr="00540898">
              <w:rPr>
                <w:bCs/>
                <w:sz w:val="18"/>
                <w:szCs w:val="18"/>
              </w:rPr>
              <w:t>202</w:t>
            </w:r>
            <w:r>
              <w:rPr>
                <w:bCs/>
                <w:sz w:val="18"/>
                <w:szCs w:val="18"/>
              </w:rPr>
              <w:t>3 год</w:t>
            </w:r>
          </w:p>
        </w:tc>
        <w:tc>
          <w:tcPr>
            <w:tcW w:w="1762" w:type="dxa"/>
            <w:gridSpan w:val="2"/>
            <w:tcBorders>
              <w:top w:val="single" w:sz="8" w:space="0" w:color="auto"/>
              <w:left w:val="single" w:sz="8" w:space="0" w:color="auto"/>
              <w:bottom w:val="single" w:sz="8" w:space="0" w:color="auto"/>
              <w:right w:val="nil"/>
            </w:tcBorders>
            <w:shd w:val="clear" w:color="auto" w:fill="auto"/>
            <w:hideMark/>
          </w:tcPr>
          <w:p w:rsidR="0055491A" w:rsidRPr="00540898" w:rsidRDefault="0055491A" w:rsidP="00210BF6">
            <w:pPr>
              <w:jc w:val="center"/>
              <w:rPr>
                <w:bCs/>
                <w:sz w:val="18"/>
                <w:szCs w:val="18"/>
              </w:rPr>
            </w:pPr>
            <w:r w:rsidRPr="00540898">
              <w:rPr>
                <w:bCs/>
                <w:sz w:val="18"/>
                <w:szCs w:val="18"/>
              </w:rPr>
              <w:t>202</w:t>
            </w:r>
            <w:r>
              <w:rPr>
                <w:bCs/>
                <w:sz w:val="18"/>
                <w:szCs w:val="18"/>
              </w:rPr>
              <w:t>4год</w:t>
            </w:r>
          </w:p>
        </w:tc>
      </w:tr>
      <w:tr w:rsidR="0055491A" w:rsidRPr="00A20DFB" w:rsidTr="00210BF6">
        <w:trPr>
          <w:trHeight w:val="1200"/>
        </w:trPr>
        <w:tc>
          <w:tcPr>
            <w:tcW w:w="863" w:type="dxa"/>
            <w:vMerge/>
            <w:tcBorders>
              <w:top w:val="single" w:sz="8" w:space="0" w:color="auto"/>
              <w:left w:val="nil"/>
              <w:bottom w:val="nil"/>
              <w:right w:val="single" w:sz="8" w:space="0" w:color="auto"/>
            </w:tcBorders>
            <w:hideMark/>
          </w:tcPr>
          <w:p w:rsidR="0055491A" w:rsidRPr="00540898" w:rsidRDefault="0055491A" w:rsidP="00210BF6">
            <w:pPr>
              <w:jc w:val="center"/>
              <w:rPr>
                <w:bCs/>
                <w:sz w:val="18"/>
                <w:szCs w:val="18"/>
              </w:rPr>
            </w:pPr>
          </w:p>
        </w:tc>
        <w:tc>
          <w:tcPr>
            <w:tcW w:w="555" w:type="dxa"/>
            <w:vMerge/>
            <w:tcBorders>
              <w:top w:val="single" w:sz="8" w:space="0" w:color="auto"/>
              <w:left w:val="nil"/>
              <w:bottom w:val="nil"/>
              <w:right w:val="single" w:sz="8" w:space="0" w:color="auto"/>
            </w:tcBorders>
            <w:hideMark/>
          </w:tcPr>
          <w:p w:rsidR="0055491A" w:rsidRPr="00540898" w:rsidRDefault="0055491A" w:rsidP="00210BF6">
            <w:pPr>
              <w:jc w:val="center"/>
              <w:rPr>
                <w:bCs/>
                <w:sz w:val="18"/>
                <w:szCs w:val="18"/>
              </w:rPr>
            </w:pPr>
          </w:p>
        </w:tc>
        <w:tc>
          <w:tcPr>
            <w:tcW w:w="331" w:type="dxa"/>
            <w:tcBorders>
              <w:top w:val="nil"/>
              <w:left w:val="nil"/>
              <w:bottom w:val="nil"/>
              <w:right w:val="single" w:sz="8" w:space="0" w:color="auto"/>
            </w:tcBorders>
            <w:shd w:val="clear" w:color="auto" w:fill="auto"/>
            <w:hideMark/>
          </w:tcPr>
          <w:p w:rsidR="0055491A" w:rsidRPr="00540898" w:rsidRDefault="0055491A" w:rsidP="00210BF6">
            <w:pPr>
              <w:jc w:val="center"/>
              <w:rPr>
                <w:bCs/>
                <w:sz w:val="18"/>
                <w:szCs w:val="18"/>
              </w:rPr>
            </w:pPr>
            <w:r w:rsidRPr="00540898">
              <w:rPr>
                <w:bCs/>
                <w:sz w:val="18"/>
                <w:szCs w:val="18"/>
              </w:rPr>
              <w:t>201</w:t>
            </w:r>
            <w:r>
              <w:rPr>
                <w:bCs/>
                <w:sz w:val="18"/>
                <w:szCs w:val="18"/>
              </w:rPr>
              <w:t>8</w:t>
            </w:r>
          </w:p>
        </w:tc>
        <w:tc>
          <w:tcPr>
            <w:tcW w:w="381" w:type="dxa"/>
            <w:tcBorders>
              <w:top w:val="nil"/>
              <w:left w:val="nil"/>
              <w:bottom w:val="nil"/>
              <w:right w:val="single" w:sz="8" w:space="0" w:color="auto"/>
            </w:tcBorders>
            <w:shd w:val="clear" w:color="auto" w:fill="auto"/>
            <w:hideMark/>
          </w:tcPr>
          <w:p w:rsidR="0055491A" w:rsidRPr="00540898" w:rsidRDefault="0055491A" w:rsidP="00210BF6">
            <w:pPr>
              <w:jc w:val="center"/>
              <w:rPr>
                <w:bCs/>
                <w:sz w:val="18"/>
                <w:szCs w:val="18"/>
              </w:rPr>
            </w:pPr>
            <w:r w:rsidRPr="00540898">
              <w:rPr>
                <w:bCs/>
                <w:sz w:val="18"/>
                <w:szCs w:val="18"/>
              </w:rPr>
              <w:t>201</w:t>
            </w:r>
            <w:r>
              <w:rPr>
                <w:bCs/>
                <w:sz w:val="18"/>
                <w:szCs w:val="18"/>
              </w:rPr>
              <w:t>9</w:t>
            </w:r>
          </w:p>
        </w:tc>
        <w:tc>
          <w:tcPr>
            <w:tcW w:w="381" w:type="dxa"/>
            <w:tcBorders>
              <w:top w:val="nil"/>
              <w:left w:val="nil"/>
              <w:bottom w:val="nil"/>
              <w:right w:val="single" w:sz="8" w:space="0" w:color="auto"/>
            </w:tcBorders>
            <w:shd w:val="clear" w:color="auto" w:fill="auto"/>
            <w:hideMark/>
          </w:tcPr>
          <w:p w:rsidR="0055491A" w:rsidRPr="00540898" w:rsidRDefault="0055491A" w:rsidP="00210BF6">
            <w:pPr>
              <w:jc w:val="center"/>
              <w:rPr>
                <w:bCs/>
                <w:sz w:val="18"/>
                <w:szCs w:val="18"/>
              </w:rPr>
            </w:pPr>
            <w:r w:rsidRPr="00540898">
              <w:rPr>
                <w:bCs/>
                <w:sz w:val="18"/>
                <w:szCs w:val="18"/>
              </w:rPr>
              <w:t>20</w:t>
            </w:r>
            <w:r>
              <w:rPr>
                <w:bCs/>
                <w:sz w:val="18"/>
                <w:szCs w:val="18"/>
              </w:rPr>
              <w:t>20</w:t>
            </w:r>
          </w:p>
        </w:tc>
        <w:tc>
          <w:tcPr>
            <w:tcW w:w="953" w:type="dxa"/>
            <w:tcBorders>
              <w:top w:val="nil"/>
              <w:left w:val="nil"/>
              <w:bottom w:val="nil"/>
              <w:right w:val="single" w:sz="8" w:space="0" w:color="auto"/>
            </w:tcBorders>
            <w:shd w:val="clear" w:color="auto" w:fill="auto"/>
            <w:hideMark/>
          </w:tcPr>
          <w:p w:rsidR="0055491A" w:rsidRPr="00540898" w:rsidRDefault="0055491A" w:rsidP="00210BF6">
            <w:pPr>
              <w:jc w:val="center"/>
              <w:rPr>
                <w:bCs/>
                <w:sz w:val="18"/>
                <w:szCs w:val="18"/>
              </w:rPr>
            </w:pPr>
            <w:r w:rsidRPr="00540898">
              <w:rPr>
                <w:bCs/>
                <w:sz w:val="18"/>
                <w:szCs w:val="18"/>
              </w:rPr>
              <w:t>Количество, шт.(ст.3+ст.4+ст.5)/3</w:t>
            </w:r>
          </w:p>
        </w:tc>
        <w:tc>
          <w:tcPr>
            <w:tcW w:w="727" w:type="dxa"/>
            <w:tcBorders>
              <w:top w:val="nil"/>
              <w:left w:val="nil"/>
              <w:bottom w:val="nil"/>
              <w:right w:val="single" w:sz="8" w:space="0" w:color="auto"/>
            </w:tcBorders>
            <w:shd w:val="clear" w:color="auto" w:fill="auto"/>
            <w:hideMark/>
          </w:tcPr>
          <w:p w:rsidR="0055491A" w:rsidRPr="00540898" w:rsidRDefault="0055491A" w:rsidP="00210BF6">
            <w:pPr>
              <w:jc w:val="center"/>
              <w:rPr>
                <w:bCs/>
                <w:sz w:val="18"/>
                <w:szCs w:val="18"/>
              </w:rPr>
            </w:pPr>
            <w:r w:rsidRPr="00540898">
              <w:rPr>
                <w:bCs/>
                <w:sz w:val="18"/>
                <w:szCs w:val="18"/>
              </w:rPr>
              <w:t>Сумма, тыс. руб.(ст.6хст.2)</w:t>
            </w:r>
          </w:p>
        </w:tc>
        <w:tc>
          <w:tcPr>
            <w:tcW w:w="953" w:type="dxa"/>
            <w:tcBorders>
              <w:top w:val="nil"/>
              <w:left w:val="nil"/>
              <w:bottom w:val="nil"/>
              <w:right w:val="single" w:sz="8" w:space="0" w:color="auto"/>
            </w:tcBorders>
            <w:shd w:val="clear" w:color="auto" w:fill="auto"/>
            <w:hideMark/>
          </w:tcPr>
          <w:p w:rsidR="0055491A" w:rsidRPr="00540898" w:rsidRDefault="0055491A" w:rsidP="00210BF6">
            <w:pPr>
              <w:jc w:val="center"/>
              <w:rPr>
                <w:bCs/>
                <w:sz w:val="18"/>
                <w:szCs w:val="18"/>
              </w:rPr>
            </w:pPr>
            <w:r w:rsidRPr="00540898">
              <w:rPr>
                <w:bCs/>
                <w:sz w:val="18"/>
                <w:szCs w:val="18"/>
              </w:rPr>
              <w:t>Количество, шт.(ст.4+ст.5+ст.6)/3</w:t>
            </w:r>
          </w:p>
        </w:tc>
        <w:tc>
          <w:tcPr>
            <w:tcW w:w="727" w:type="dxa"/>
            <w:tcBorders>
              <w:top w:val="nil"/>
              <w:left w:val="nil"/>
              <w:bottom w:val="nil"/>
              <w:right w:val="single" w:sz="8" w:space="0" w:color="auto"/>
            </w:tcBorders>
            <w:shd w:val="clear" w:color="auto" w:fill="auto"/>
            <w:hideMark/>
          </w:tcPr>
          <w:p w:rsidR="0055491A" w:rsidRPr="00540898" w:rsidRDefault="0055491A" w:rsidP="00210BF6">
            <w:pPr>
              <w:jc w:val="center"/>
              <w:rPr>
                <w:bCs/>
                <w:sz w:val="18"/>
                <w:szCs w:val="18"/>
              </w:rPr>
            </w:pPr>
            <w:r w:rsidRPr="00540898">
              <w:rPr>
                <w:bCs/>
                <w:sz w:val="18"/>
                <w:szCs w:val="18"/>
              </w:rPr>
              <w:t>Сумма, тыс. руб.(ст.8хст.2)</w:t>
            </w:r>
          </w:p>
        </w:tc>
        <w:tc>
          <w:tcPr>
            <w:tcW w:w="953" w:type="dxa"/>
            <w:tcBorders>
              <w:top w:val="nil"/>
              <w:left w:val="nil"/>
              <w:bottom w:val="nil"/>
              <w:right w:val="single" w:sz="8" w:space="0" w:color="auto"/>
            </w:tcBorders>
            <w:shd w:val="clear" w:color="auto" w:fill="auto"/>
            <w:hideMark/>
          </w:tcPr>
          <w:p w:rsidR="0055491A" w:rsidRPr="00540898" w:rsidRDefault="0055491A" w:rsidP="00210BF6">
            <w:pPr>
              <w:jc w:val="center"/>
              <w:rPr>
                <w:bCs/>
                <w:sz w:val="18"/>
                <w:szCs w:val="18"/>
              </w:rPr>
            </w:pPr>
            <w:r w:rsidRPr="00540898">
              <w:rPr>
                <w:bCs/>
                <w:sz w:val="18"/>
                <w:szCs w:val="18"/>
              </w:rPr>
              <w:t>Количество, шт.(ст.5+ст.6+ст.8)/3</w:t>
            </w:r>
          </w:p>
        </w:tc>
        <w:tc>
          <w:tcPr>
            <w:tcW w:w="768" w:type="dxa"/>
            <w:tcBorders>
              <w:top w:val="nil"/>
              <w:left w:val="nil"/>
              <w:bottom w:val="nil"/>
              <w:right w:val="single" w:sz="8" w:space="0" w:color="auto"/>
            </w:tcBorders>
            <w:shd w:val="clear" w:color="auto" w:fill="auto"/>
            <w:hideMark/>
          </w:tcPr>
          <w:p w:rsidR="0055491A" w:rsidRPr="00540898" w:rsidRDefault="0055491A" w:rsidP="00210BF6">
            <w:pPr>
              <w:jc w:val="center"/>
              <w:rPr>
                <w:bCs/>
                <w:sz w:val="18"/>
                <w:szCs w:val="18"/>
              </w:rPr>
            </w:pPr>
            <w:r w:rsidRPr="00540898">
              <w:rPr>
                <w:bCs/>
                <w:sz w:val="18"/>
                <w:szCs w:val="18"/>
              </w:rPr>
              <w:t>Сумма, тыс. руб.(ст.10хст.2)</w:t>
            </w:r>
          </w:p>
        </w:tc>
        <w:tc>
          <w:tcPr>
            <w:tcW w:w="994" w:type="dxa"/>
            <w:tcBorders>
              <w:top w:val="nil"/>
              <w:left w:val="nil"/>
              <w:bottom w:val="nil"/>
              <w:right w:val="single" w:sz="8" w:space="0" w:color="auto"/>
            </w:tcBorders>
            <w:shd w:val="clear" w:color="auto" w:fill="auto"/>
            <w:hideMark/>
          </w:tcPr>
          <w:p w:rsidR="0055491A" w:rsidRPr="00540898" w:rsidRDefault="0055491A" w:rsidP="00210BF6">
            <w:pPr>
              <w:jc w:val="center"/>
              <w:rPr>
                <w:bCs/>
                <w:sz w:val="18"/>
                <w:szCs w:val="18"/>
              </w:rPr>
            </w:pPr>
            <w:r w:rsidRPr="00540898">
              <w:rPr>
                <w:bCs/>
                <w:sz w:val="18"/>
                <w:szCs w:val="18"/>
              </w:rPr>
              <w:t>Количество, шт.(ст.6+ст.8+ст.10)/3</w:t>
            </w:r>
          </w:p>
        </w:tc>
        <w:tc>
          <w:tcPr>
            <w:tcW w:w="768" w:type="dxa"/>
            <w:tcBorders>
              <w:top w:val="nil"/>
              <w:left w:val="nil"/>
              <w:bottom w:val="nil"/>
              <w:right w:val="nil"/>
            </w:tcBorders>
            <w:shd w:val="clear" w:color="auto" w:fill="auto"/>
            <w:hideMark/>
          </w:tcPr>
          <w:p w:rsidR="0055491A" w:rsidRPr="00540898" w:rsidRDefault="0055491A" w:rsidP="00210BF6">
            <w:pPr>
              <w:jc w:val="center"/>
              <w:rPr>
                <w:bCs/>
                <w:sz w:val="18"/>
                <w:szCs w:val="18"/>
              </w:rPr>
            </w:pPr>
            <w:r w:rsidRPr="00540898">
              <w:rPr>
                <w:bCs/>
                <w:sz w:val="18"/>
                <w:szCs w:val="18"/>
              </w:rPr>
              <w:t>Сумма, тыс. руб.(ст.12хст.2)</w:t>
            </w:r>
          </w:p>
        </w:tc>
      </w:tr>
      <w:tr w:rsidR="0055491A" w:rsidRPr="00A20DFB" w:rsidTr="00210BF6">
        <w:trPr>
          <w:trHeight w:val="270"/>
        </w:trPr>
        <w:tc>
          <w:tcPr>
            <w:tcW w:w="863" w:type="dxa"/>
            <w:tcBorders>
              <w:top w:val="single" w:sz="8" w:space="0" w:color="auto"/>
              <w:left w:val="single" w:sz="8" w:space="0" w:color="auto"/>
              <w:bottom w:val="single" w:sz="8" w:space="0" w:color="auto"/>
              <w:right w:val="single" w:sz="8" w:space="0" w:color="auto"/>
            </w:tcBorders>
            <w:shd w:val="clear" w:color="auto" w:fill="auto"/>
            <w:noWrap/>
            <w:hideMark/>
          </w:tcPr>
          <w:p w:rsidR="0055491A" w:rsidRPr="003521F3" w:rsidRDefault="0055491A" w:rsidP="00210BF6">
            <w:pPr>
              <w:jc w:val="center"/>
              <w:rPr>
                <w:b/>
                <w:bCs/>
                <w:sz w:val="18"/>
                <w:szCs w:val="18"/>
              </w:rPr>
            </w:pPr>
            <w:r w:rsidRPr="003521F3">
              <w:rPr>
                <w:b/>
                <w:bCs/>
                <w:sz w:val="18"/>
                <w:szCs w:val="18"/>
              </w:rPr>
              <w:t>1</w:t>
            </w:r>
          </w:p>
        </w:tc>
        <w:tc>
          <w:tcPr>
            <w:tcW w:w="555" w:type="dxa"/>
            <w:tcBorders>
              <w:top w:val="single" w:sz="8" w:space="0" w:color="auto"/>
              <w:left w:val="nil"/>
              <w:bottom w:val="single" w:sz="8" w:space="0" w:color="auto"/>
              <w:right w:val="single" w:sz="8" w:space="0" w:color="auto"/>
            </w:tcBorders>
            <w:shd w:val="clear" w:color="auto" w:fill="auto"/>
            <w:noWrap/>
            <w:hideMark/>
          </w:tcPr>
          <w:p w:rsidR="0055491A" w:rsidRPr="003521F3" w:rsidRDefault="0055491A" w:rsidP="00210BF6">
            <w:pPr>
              <w:jc w:val="center"/>
              <w:rPr>
                <w:b/>
                <w:bCs/>
                <w:sz w:val="18"/>
                <w:szCs w:val="18"/>
              </w:rPr>
            </w:pPr>
            <w:r w:rsidRPr="003521F3">
              <w:rPr>
                <w:b/>
                <w:bCs/>
                <w:sz w:val="18"/>
                <w:szCs w:val="18"/>
              </w:rPr>
              <w:t>2</w:t>
            </w:r>
          </w:p>
        </w:tc>
        <w:tc>
          <w:tcPr>
            <w:tcW w:w="331" w:type="dxa"/>
            <w:tcBorders>
              <w:top w:val="single" w:sz="8" w:space="0" w:color="auto"/>
              <w:left w:val="nil"/>
              <w:bottom w:val="single" w:sz="8" w:space="0" w:color="auto"/>
              <w:right w:val="nil"/>
            </w:tcBorders>
            <w:shd w:val="clear" w:color="auto" w:fill="auto"/>
            <w:noWrap/>
            <w:hideMark/>
          </w:tcPr>
          <w:p w:rsidR="0055491A" w:rsidRPr="003521F3" w:rsidRDefault="0055491A" w:rsidP="00210BF6">
            <w:pPr>
              <w:jc w:val="center"/>
              <w:rPr>
                <w:b/>
                <w:bCs/>
                <w:sz w:val="18"/>
                <w:szCs w:val="18"/>
              </w:rPr>
            </w:pPr>
            <w:r w:rsidRPr="003521F3">
              <w:rPr>
                <w:b/>
                <w:bCs/>
                <w:sz w:val="18"/>
                <w:szCs w:val="18"/>
              </w:rPr>
              <w:t>3</w:t>
            </w:r>
          </w:p>
        </w:tc>
        <w:tc>
          <w:tcPr>
            <w:tcW w:w="381" w:type="dxa"/>
            <w:tcBorders>
              <w:top w:val="single" w:sz="8" w:space="0" w:color="auto"/>
              <w:left w:val="single" w:sz="8" w:space="0" w:color="auto"/>
              <w:bottom w:val="single" w:sz="8" w:space="0" w:color="auto"/>
              <w:right w:val="nil"/>
            </w:tcBorders>
            <w:shd w:val="clear" w:color="auto" w:fill="auto"/>
            <w:noWrap/>
            <w:hideMark/>
          </w:tcPr>
          <w:p w:rsidR="0055491A" w:rsidRPr="003521F3" w:rsidRDefault="0055491A" w:rsidP="00210BF6">
            <w:pPr>
              <w:jc w:val="center"/>
              <w:rPr>
                <w:b/>
                <w:bCs/>
                <w:sz w:val="18"/>
                <w:szCs w:val="18"/>
              </w:rPr>
            </w:pPr>
            <w:r w:rsidRPr="003521F3">
              <w:rPr>
                <w:b/>
                <w:bCs/>
                <w:sz w:val="18"/>
                <w:szCs w:val="18"/>
              </w:rPr>
              <w:t>4</w:t>
            </w:r>
          </w:p>
        </w:tc>
        <w:tc>
          <w:tcPr>
            <w:tcW w:w="381" w:type="dxa"/>
            <w:tcBorders>
              <w:top w:val="single" w:sz="8" w:space="0" w:color="auto"/>
              <w:left w:val="single" w:sz="8" w:space="0" w:color="auto"/>
              <w:bottom w:val="single" w:sz="8" w:space="0" w:color="auto"/>
              <w:right w:val="single" w:sz="8" w:space="0" w:color="auto"/>
            </w:tcBorders>
            <w:shd w:val="clear" w:color="auto" w:fill="auto"/>
            <w:noWrap/>
            <w:hideMark/>
          </w:tcPr>
          <w:p w:rsidR="0055491A" w:rsidRPr="003521F3" w:rsidRDefault="0055491A" w:rsidP="00210BF6">
            <w:pPr>
              <w:jc w:val="center"/>
              <w:rPr>
                <w:b/>
                <w:bCs/>
                <w:sz w:val="18"/>
                <w:szCs w:val="18"/>
              </w:rPr>
            </w:pPr>
            <w:r w:rsidRPr="003521F3">
              <w:rPr>
                <w:b/>
                <w:bCs/>
                <w:sz w:val="18"/>
                <w:szCs w:val="18"/>
              </w:rPr>
              <w:t>5</w:t>
            </w:r>
          </w:p>
        </w:tc>
        <w:tc>
          <w:tcPr>
            <w:tcW w:w="953" w:type="dxa"/>
            <w:tcBorders>
              <w:top w:val="single" w:sz="8" w:space="0" w:color="auto"/>
              <w:left w:val="nil"/>
              <w:bottom w:val="single" w:sz="8" w:space="0" w:color="auto"/>
              <w:right w:val="nil"/>
            </w:tcBorders>
            <w:shd w:val="clear" w:color="auto" w:fill="auto"/>
            <w:noWrap/>
            <w:hideMark/>
          </w:tcPr>
          <w:p w:rsidR="0055491A" w:rsidRPr="003521F3" w:rsidRDefault="0055491A" w:rsidP="00210BF6">
            <w:pPr>
              <w:jc w:val="center"/>
              <w:rPr>
                <w:b/>
                <w:bCs/>
                <w:sz w:val="18"/>
                <w:szCs w:val="18"/>
              </w:rPr>
            </w:pPr>
            <w:r w:rsidRPr="003521F3">
              <w:rPr>
                <w:b/>
                <w:bCs/>
                <w:sz w:val="18"/>
                <w:szCs w:val="18"/>
              </w:rPr>
              <w:t>6</w:t>
            </w:r>
          </w:p>
        </w:tc>
        <w:tc>
          <w:tcPr>
            <w:tcW w:w="727" w:type="dxa"/>
            <w:tcBorders>
              <w:top w:val="single" w:sz="8" w:space="0" w:color="auto"/>
              <w:left w:val="single" w:sz="8" w:space="0" w:color="auto"/>
              <w:bottom w:val="single" w:sz="8" w:space="0" w:color="auto"/>
              <w:right w:val="single" w:sz="8" w:space="0" w:color="auto"/>
            </w:tcBorders>
            <w:shd w:val="clear" w:color="auto" w:fill="auto"/>
            <w:noWrap/>
            <w:hideMark/>
          </w:tcPr>
          <w:p w:rsidR="0055491A" w:rsidRPr="003521F3" w:rsidRDefault="0055491A" w:rsidP="00210BF6">
            <w:pPr>
              <w:jc w:val="center"/>
              <w:rPr>
                <w:b/>
                <w:bCs/>
                <w:sz w:val="18"/>
                <w:szCs w:val="18"/>
              </w:rPr>
            </w:pPr>
            <w:r w:rsidRPr="003521F3">
              <w:rPr>
                <w:b/>
                <w:bCs/>
                <w:sz w:val="18"/>
                <w:szCs w:val="18"/>
              </w:rPr>
              <w:t>7</w:t>
            </w:r>
          </w:p>
        </w:tc>
        <w:tc>
          <w:tcPr>
            <w:tcW w:w="953" w:type="dxa"/>
            <w:tcBorders>
              <w:top w:val="single" w:sz="8" w:space="0" w:color="auto"/>
              <w:left w:val="nil"/>
              <w:bottom w:val="single" w:sz="8" w:space="0" w:color="auto"/>
              <w:right w:val="single" w:sz="4" w:space="0" w:color="auto"/>
            </w:tcBorders>
            <w:shd w:val="clear" w:color="auto" w:fill="auto"/>
            <w:noWrap/>
            <w:hideMark/>
          </w:tcPr>
          <w:p w:rsidR="0055491A" w:rsidRPr="003521F3" w:rsidRDefault="0055491A" w:rsidP="00210BF6">
            <w:pPr>
              <w:jc w:val="center"/>
              <w:rPr>
                <w:b/>
                <w:bCs/>
                <w:sz w:val="18"/>
                <w:szCs w:val="18"/>
              </w:rPr>
            </w:pPr>
            <w:r w:rsidRPr="003521F3">
              <w:rPr>
                <w:b/>
                <w:bCs/>
                <w:sz w:val="18"/>
                <w:szCs w:val="18"/>
              </w:rPr>
              <w:t>8</w:t>
            </w:r>
          </w:p>
        </w:tc>
        <w:tc>
          <w:tcPr>
            <w:tcW w:w="727" w:type="dxa"/>
            <w:tcBorders>
              <w:top w:val="single" w:sz="8" w:space="0" w:color="auto"/>
              <w:left w:val="nil"/>
              <w:bottom w:val="single" w:sz="8" w:space="0" w:color="auto"/>
              <w:right w:val="nil"/>
            </w:tcBorders>
            <w:shd w:val="clear" w:color="auto" w:fill="auto"/>
            <w:noWrap/>
            <w:hideMark/>
          </w:tcPr>
          <w:p w:rsidR="0055491A" w:rsidRPr="003521F3" w:rsidRDefault="0055491A" w:rsidP="00210BF6">
            <w:pPr>
              <w:jc w:val="center"/>
              <w:rPr>
                <w:b/>
                <w:bCs/>
                <w:sz w:val="18"/>
                <w:szCs w:val="18"/>
              </w:rPr>
            </w:pPr>
            <w:r w:rsidRPr="003521F3">
              <w:rPr>
                <w:b/>
                <w:bCs/>
                <w:sz w:val="18"/>
                <w:szCs w:val="18"/>
              </w:rPr>
              <w:t>9</w:t>
            </w:r>
          </w:p>
        </w:tc>
        <w:tc>
          <w:tcPr>
            <w:tcW w:w="953" w:type="dxa"/>
            <w:tcBorders>
              <w:top w:val="single" w:sz="8" w:space="0" w:color="auto"/>
              <w:left w:val="single" w:sz="8" w:space="0" w:color="auto"/>
              <w:bottom w:val="single" w:sz="8" w:space="0" w:color="auto"/>
              <w:right w:val="nil"/>
            </w:tcBorders>
            <w:shd w:val="clear" w:color="auto" w:fill="auto"/>
            <w:noWrap/>
            <w:hideMark/>
          </w:tcPr>
          <w:p w:rsidR="0055491A" w:rsidRPr="003521F3" w:rsidRDefault="0055491A" w:rsidP="00210BF6">
            <w:pPr>
              <w:jc w:val="center"/>
              <w:rPr>
                <w:b/>
                <w:bCs/>
                <w:sz w:val="18"/>
                <w:szCs w:val="18"/>
              </w:rPr>
            </w:pPr>
            <w:r w:rsidRPr="003521F3">
              <w:rPr>
                <w:b/>
                <w:bCs/>
                <w:sz w:val="18"/>
                <w:szCs w:val="18"/>
              </w:rPr>
              <w:t>10</w:t>
            </w:r>
          </w:p>
        </w:tc>
        <w:tc>
          <w:tcPr>
            <w:tcW w:w="768" w:type="dxa"/>
            <w:tcBorders>
              <w:top w:val="single" w:sz="8" w:space="0" w:color="auto"/>
              <w:left w:val="single" w:sz="8" w:space="0" w:color="auto"/>
              <w:bottom w:val="single" w:sz="8" w:space="0" w:color="auto"/>
              <w:right w:val="single" w:sz="8" w:space="0" w:color="auto"/>
            </w:tcBorders>
            <w:shd w:val="clear" w:color="auto" w:fill="auto"/>
            <w:noWrap/>
            <w:hideMark/>
          </w:tcPr>
          <w:p w:rsidR="0055491A" w:rsidRPr="003521F3" w:rsidRDefault="0055491A" w:rsidP="00210BF6">
            <w:pPr>
              <w:jc w:val="center"/>
              <w:rPr>
                <w:b/>
                <w:bCs/>
                <w:sz w:val="18"/>
                <w:szCs w:val="18"/>
              </w:rPr>
            </w:pPr>
            <w:r w:rsidRPr="003521F3">
              <w:rPr>
                <w:b/>
                <w:bCs/>
                <w:sz w:val="18"/>
                <w:szCs w:val="18"/>
              </w:rPr>
              <w:t>11</w:t>
            </w:r>
          </w:p>
        </w:tc>
        <w:tc>
          <w:tcPr>
            <w:tcW w:w="994" w:type="dxa"/>
            <w:tcBorders>
              <w:top w:val="single" w:sz="8" w:space="0" w:color="auto"/>
              <w:left w:val="nil"/>
              <w:bottom w:val="single" w:sz="8" w:space="0" w:color="auto"/>
              <w:right w:val="single" w:sz="4" w:space="0" w:color="auto"/>
            </w:tcBorders>
            <w:shd w:val="clear" w:color="auto" w:fill="auto"/>
            <w:noWrap/>
            <w:hideMark/>
          </w:tcPr>
          <w:p w:rsidR="0055491A" w:rsidRPr="003521F3" w:rsidRDefault="0055491A" w:rsidP="00210BF6">
            <w:pPr>
              <w:jc w:val="center"/>
              <w:rPr>
                <w:b/>
                <w:bCs/>
                <w:sz w:val="18"/>
                <w:szCs w:val="18"/>
              </w:rPr>
            </w:pPr>
            <w:r w:rsidRPr="003521F3">
              <w:rPr>
                <w:b/>
                <w:bCs/>
                <w:sz w:val="18"/>
                <w:szCs w:val="18"/>
              </w:rPr>
              <w:t>12</w:t>
            </w:r>
          </w:p>
        </w:tc>
        <w:tc>
          <w:tcPr>
            <w:tcW w:w="768" w:type="dxa"/>
            <w:tcBorders>
              <w:top w:val="single" w:sz="8" w:space="0" w:color="auto"/>
              <w:left w:val="nil"/>
              <w:bottom w:val="single" w:sz="8" w:space="0" w:color="auto"/>
              <w:right w:val="nil"/>
            </w:tcBorders>
            <w:shd w:val="clear" w:color="auto" w:fill="auto"/>
            <w:noWrap/>
            <w:hideMark/>
          </w:tcPr>
          <w:p w:rsidR="0055491A" w:rsidRPr="003521F3" w:rsidRDefault="0055491A" w:rsidP="00210BF6">
            <w:pPr>
              <w:jc w:val="center"/>
              <w:rPr>
                <w:b/>
                <w:bCs/>
                <w:sz w:val="18"/>
                <w:szCs w:val="18"/>
              </w:rPr>
            </w:pPr>
            <w:r w:rsidRPr="003521F3">
              <w:rPr>
                <w:b/>
                <w:bCs/>
                <w:sz w:val="18"/>
                <w:szCs w:val="18"/>
              </w:rPr>
              <w:t>13</w:t>
            </w:r>
          </w:p>
        </w:tc>
      </w:tr>
      <w:tr w:rsidR="0055491A" w:rsidRPr="00A20DFB" w:rsidTr="00210BF6">
        <w:trPr>
          <w:trHeight w:val="407"/>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55491A" w:rsidRDefault="0055491A" w:rsidP="00210BF6">
            <w:pPr>
              <w:jc w:val="center"/>
              <w:rPr>
                <w:rFonts w:ascii="Arial CYR" w:hAnsi="Arial CYR" w:cs="Arial CYR"/>
                <w:sz w:val="20"/>
                <w:szCs w:val="20"/>
              </w:rPr>
            </w:pPr>
            <w:r>
              <w:rPr>
                <w:sz w:val="16"/>
                <w:szCs w:val="16"/>
              </w:rPr>
              <w:t>ч</w:t>
            </w:r>
            <w:r w:rsidRPr="00EC24B4">
              <w:rPr>
                <w:sz w:val="16"/>
                <w:szCs w:val="16"/>
              </w:rPr>
              <w:t>.</w:t>
            </w:r>
            <w:r>
              <w:rPr>
                <w:sz w:val="16"/>
                <w:szCs w:val="16"/>
              </w:rPr>
              <w:t>20</w:t>
            </w:r>
            <w:r w:rsidRPr="00EC24B4">
              <w:rPr>
                <w:sz w:val="16"/>
                <w:szCs w:val="16"/>
              </w:rPr>
              <w:t xml:space="preserve"> ст. 1</w:t>
            </w:r>
            <w:r>
              <w:rPr>
                <w:sz w:val="16"/>
                <w:szCs w:val="16"/>
              </w:rPr>
              <w:t>9</w:t>
            </w:r>
            <w:r w:rsidRPr="00EC24B4">
              <w:rPr>
                <w:sz w:val="16"/>
                <w:szCs w:val="16"/>
              </w:rPr>
              <w:t>.5.</w:t>
            </w:r>
          </w:p>
        </w:tc>
        <w:tc>
          <w:tcPr>
            <w:tcW w:w="555" w:type="dxa"/>
            <w:tcBorders>
              <w:top w:val="single" w:sz="4" w:space="0" w:color="auto"/>
              <w:left w:val="nil"/>
              <w:bottom w:val="single" w:sz="4" w:space="0" w:color="auto"/>
              <w:right w:val="single" w:sz="4" w:space="0" w:color="auto"/>
            </w:tcBorders>
            <w:shd w:val="clear" w:color="auto" w:fill="auto"/>
            <w:noWrap/>
            <w:vAlign w:val="center"/>
          </w:tcPr>
          <w:p w:rsidR="0055491A" w:rsidRPr="00EC24B4" w:rsidRDefault="0055491A" w:rsidP="00210BF6">
            <w:pPr>
              <w:jc w:val="center"/>
              <w:rPr>
                <w:sz w:val="20"/>
                <w:szCs w:val="20"/>
              </w:rPr>
            </w:pPr>
            <w:r>
              <w:rPr>
                <w:sz w:val="20"/>
                <w:szCs w:val="20"/>
              </w:rPr>
              <w:t>20</w:t>
            </w:r>
          </w:p>
        </w:tc>
        <w:tc>
          <w:tcPr>
            <w:tcW w:w="331" w:type="dxa"/>
            <w:tcBorders>
              <w:top w:val="single" w:sz="4" w:space="0" w:color="auto"/>
              <w:left w:val="nil"/>
              <w:bottom w:val="single" w:sz="4" w:space="0" w:color="auto"/>
              <w:right w:val="single" w:sz="4" w:space="0" w:color="auto"/>
            </w:tcBorders>
            <w:shd w:val="clear" w:color="auto" w:fill="auto"/>
            <w:noWrap/>
            <w:vAlign w:val="center"/>
          </w:tcPr>
          <w:p w:rsidR="0055491A" w:rsidRPr="00EC24B4" w:rsidRDefault="0055491A" w:rsidP="00210BF6">
            <w:pPr>
              <w:jc w:val="center"/>
              <w:rPr>
                <w:sz w:val="20"/>
                <w:szCs w:val="20"/>
              </w:rPr>
            </w:pPr>
            <w:r>
              <w:rPr>
                <w:sz w:val="20"/>
                <w:szCs w:val="20"/>
              </w:rPr>
              <w:t>0</w:t>
            </w:r>
          </w:p>
        </w:tc>
        <w:tc>
          <w:tcPr>
            <w:tcW w:w="381" w:type="dxa"/>
            <w:tcBorders>
              <w:top w:val="single" w:sz="4" w:space="0" w:color="auto"/>
              <w:left w:val="nil"/>
              <w:bottom w:val="single" w:sz="4" w:space="0" w:color="auto"/>
              <w:right w:val="single" w:sz="4" w:space="0" w:color="auto"/>
            </w:tcBorders>
            <w:shd w:val="clear" w:color="auto" w:fill="auto"/>
            <w:noWrap/>
            <w:vAlign w:val="center"/>
          </w:tcPr>
          <w:p w:rsidR="0055491A" w:rsidRPr="00EC24B4" w:rsidRDefault="0055491A" w:rsidP="00210BF6">
            <w:pPr>
              <w:jc w:val="center"/>
              <w:rPr>
                <w:sz w:val="20"/>
                <w:szCs w:val="20"/>
              </w:rPr>
            </w:pPr>
            <w:r>
              <w:rPr>
                <w:sz w:val="20"/>
                <w:szCs w:val="20"/>
              </w:rPr>
              <w:t>0</w:t>
            </w:r>
          </w:p>
        </w:tc>
        <w:tc>
          <w:tcPr>
            <w:tcW w:w="381" w:type="dxa"/>
            <w:tcBorders>
              <w:top w:val="single" w:sz="4" w:space="0" w:color="auto"/>
              <w:left w:val="nil"/>
              <w:bottom w:val="single" w:sz="4" w:space="0" w:color="auto"/>
              <w:right w:val="single" w:sz="4" w:space="0" w:color="auto"/>
            </w:tcBorders>
            <w:shd w:val="clear" w:color="auto" w:fill="auto"/>
            <w:noWrap/>
            <w:vAlign w:val="center"/>
          </w:tcPr>
          <w:p w:rsidR="0055491A" w:rsidRDefault="0055491A" w:rsidP="00210BF6">
            <w:pPr>
              <w:jc w:val="center"/>
              <w:rPr>
                <w:sz w:val="20"/>
                <w:szCs w:val="20"/>
              </w:rPr>
            </w:pPr>
            <w:r>
              <w:rPr>
                <w:sz w:val="20"/>
                <w:szCs w:val="20"/>
              </w:rPr>
              <w:t>2</w:t>
            </w:r>
          </w:p>
        </w:tc>
        <w:tc>
          <w:tcPr>
            <w:tcW w:w="953" w:type="dxa"/>
            <w:tcBorders>
              <w:top w:val="nil"/>
              <w:left w:val="nil"/>
              <w:bottom w:val="single" w:sz="4" w:space="0" w:color="auto"/>
              <w:right w:val="single" w:sz="4" w:space="0" w:color="auto"/>
            </w:tcBorders>
            <w:shd w:val="clear" w:color="auto" w:fill="auto"/>
            <w:noWrap/>
            <w:vAlign w:val="center"/>
          </w:tcPr>
          <w:p w:rsidR="0055491A" w:rsidRDefault="0055491A" w:rsidP="00210BF6">
            <w:pPr>
              <w:jc w:val="center"/>
              <w:rPr>
                <w:sz w:val="20"/>
                <w:szCs w:val="20"/>
              </w:rPr>
            </w:pPr>
            <w:r>
              <w:rPr>
                <w:sz w:val="20"/>
                <w:szCs w:val="20"/>
              </w:rPr>
              <w:t>1</w:t>
            </w:r>
          </w:p>
        </w:tc>
        <w:tc>
          <w:tcPr>
            <w:tcW w:w="727" w:type="dxa"/>
            <w:tcBorders>
              <w:top w:val="nil"/>
              <w:left w:val="nil"/>
              <w:bottom w:val="single" w:sz="4" w:space="0" w:color="auto"/>
              <w:right w:val="single" w:sz="4" w:space="0" w:color="auto"/>
            </w:tcBorders>
            <w:shd w:val="clear" w:color="auto" w:fill="auto"/>
            <w:noWrap/>
            <w:vAlign w:val="center"/>
          </w:tcPr>
          <w:p w:rsidR="0055491A" w:rsidRDefault="0055491A" w:rsidP="00210BF6">
            <w:pPr>
              <w:jc w:val="center"/>
              <w:rPr>
                <w:sz w:val="20"/>
                <w:szCs w:val="20"/>
              </w:rPr>
            </w:pPr>
            <w:r>
              <w:rPr>
                <w:sz w:val="20"/>
                <w:szCs w:val="20"/>
              </w:rPr>
              <w:t>20,0</w:t>
            </w:r>
          </w:p>
        </w:tc>
        <w:tc>
          <w:tcPr>
            <w:tcW w:w="953" w:type="dxa"/>
            <w:tcBorders>
              <w:top w:val="nil"/>
              <w:left w:val="nil"/>
              <w:bottom w:val="single" w:sz="4" w:space="0" w:color="auto"/>
              <w:right w:val="single" w:sz="4" w:space="0" w:color="auto"/>
            </w:tcBorders>
            <w:shd w:val="clear" w:color="auto" w:fill="auto"/>
            <w:noWrap/>
            <w:vAlign w:val="center"/>
          </w:tcPr>
          <w:p w:rsidR="0055491A" w:rsidRDefault="0055491A" w:rsidP="00210BF6">
            <w:pPr>
              <w:jc w:val="center"/>
              <w:rPr>
                <w:sz w:val="20"/>
                <w:szCs w:val="20"/>
              </w:rPr>
            </w:pPr>
            <w:r>
              <w:rPr>
                <w:sz w:val="20"/>
                <w:szCs w:val="20"/>
              </w:rPr>
              <w:t>1</w:t>
            </w:r>
          </w:p>
        </w:tc>
        <w:tc>
          <w:tcPr>
            <w:tcW w:w="727" w:type="dxa"/>
            <w:tcBorders>
              <w:top w:val="nil"/>
              <w:left w:val="nil"/>
              <w:bottom w:val="single" w:sz="4" w:space="0" w:color="auto"/>
              <w:right w:val="single" w:sz="4" w:space="0" w:color="auto"/>
            </w:tcBorders>
            <w:shd w:val="clear" w:color="auto" w:fill="auto"/>
            <w:noWrap/>
            <w:vAlign w:val="center"/>
          </w:tcPr>
          <w:p w:rsidR="0055491A" w:rsidRDefault="0055491A" w:rsidP="00210BF6">
            <w:pPr>
              <w:jc w:val="center"/>
              <w:rPr>
                <w:sz w:val="20"/>
                <w:szCs w:val="20"/>
              </w:rPr>
            </w:pPr>
            <w:r>
              <w:rPr>
                <w:sz w:val="20"/>
                <w:szCs w:val="20"/>
              </w:rPr>
              <w:t>20,0</w:t>
            </w:r>
          </w:p>
        </w:tc>
        <w:tc>
          <w:tcPr>
            <w:tcW w:w="953" w:type="dxa"/>
            <w:tcBorders>
              <w:top w:val="nil"/>
              <w:left w:val="nil"/>
              <w:bottom w:val="single" w:sz="4" w:space="0" w:color="auto"/>
              <w:right w:val="single" w:sz="4" w:space="0" w:color="auto"/>
            </w:tcBorders>
            <w:shd w:val="clear" w:color="auto" w:fill="auto"/>
            <w:noWrap/>
            <w:vAlign w:val="center"/>
          </w:tcPr>
          <w:p w:rsidR="0055491A" w:rsidRDefault="0055491A" w:rsidP="00210BF6">
            <w:pPr>
              <w:jc w:val="center"/>
              <w:rPr>
                <w:sz w:val="20"/>
                <w:szCs w:val="20"/>
              </w:rPr>
            </w:pPr>
            <w:r>
              <w:rPr>
                <w:sz w:val="20"/>
                <w:szCs w:val="20"/>
              </w:rPr>
              <w:t>1</w:t>
            </w:r>
          </w:p>
        </w:tc>
        <w:tc>
          <w:tcPr>
            <w:tcW w:w="768" w:type="dxa"/>
            <w:tcBorders>
              <w:top w:val="nil"/>
              <w:left w:val="nil"/>
              <w:bottom w:val="single" w:sz="4" w:space="0" w:color="auto"/>
              <w:right w:val="single" w:sz="4" w:space="0" w:color="auto"/>
            </w:tcBorders>
            <w:shd w:val="clear" w:color="auto" w:fill="auto"/>
            <w:noWrap/>
            <w:vAlign w:val="center"/>
          </w:tcPr>
          <w:p w:rsidR="0055491A" w:rsidRDefault="0055491A" w:rsidP="00210BF6">
            <w:pPr>
              <w:jc w:val="center"/>
              <w:rPr>
                <w:sz w:val="20"/>
                <w:szCs w:val="20"/>
              </w:rPr>
            </w:pPr>
            <w:r>
              <w:rPr>
                <w:sz w:val="20"/>
                <w:szCs w:val="20"/>
              </w:rPr>
              <w:t>20,0</w:t>
            </w:r>
          </w:p>
        </w:tc>
        <w:tc>
          <w:tcPr>
            <w:tcW w:w="994" w:type="dxa"/>
            <w:tcBorders>
              <w:top w:val="nil"/>
              <w:left w:val="nil"/>
              <w:bottom w:val="single" w:sz="4" w:space="0" w:color="auto"/>
              <w:right w:val="single" w:sz="4" w:space="0" w:color="auto"/>
            </w:tcBorders>
            <w:shd w:val="clear" w:color="auto" w:fill="auto"/>
            <w:noWrap/>
            <w:vAlign w:val="center"/>
          </w:tcPr>
          <w:p w:rsidR="0055491A" w:rsidRDefault="0055491A" w:rsidP="00210BF6">
            <w:pPr>
              <w:jc w:val="center"/>
              <w:rPr>
                <w:sz w:val="20"/>
                <w:szCs w:val="20"/>
              </w:rPr>
            </w:pPr>
            <w:r>
              <w:rPr>
                <w:sz w:val="20"/>
                <w:szCs w:val="20"/>
              </w:rPr>
              <w:t>1</w:t>
            </w:r>
          </w:p>
        </w:tc>
        <w:tc>
          <w:tcPr>
            <w:tcW w:w="768" w:type="dxa"/>
            <w:tcBorders>
              <w:top w:val="nil"/>
              <w:left w:val="nil"/>
              <w:bottom w:val="single" w:sz="4" w:space="0" w:color="auto"/>
              <w:right w:val="nil"/>
            </w:tcBorders>
            <w:shd w:val="clear" w:color="auto" w:fill="auto"/>
            <w:noWrap/>
            <w:vAlign w:val="center"/>
          </w:tcPr>
          <w:p w:rsidR="0055491A" w:rsidRPr="00EC24B4" w:rsidRDefault="0055491A" w:rsidP="00210BF6">
            <w:pPr>
              <w:jc w:val="center"/>
              <w:rPr>
                <w:sz w:val="20"/>
                <w:szCs w:val="20"/>
              </w:rPr>
            </w:pPr>
            <w:r>
              <w:rPr>
                <w:sz w:val="20"/>
                <w:szCs w:val="20"/>
              </w:rPr>
              <w:t>20,0</w:t>
            </w:r>
          </w:p>
        </w:tc>
      </w:tr>
      <w:tr w:rsidR="0055491A" w:rsidRPr="00A20DFB" w:rsidTr="00210BF6">
        <w:trPr>
          <w:trHeight w:val="409"/>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55491A" w:rsidRDefault="0055491A" w:rsidP="00210BF6">
            <w:pPr>
              <w:jc w:val="center"/>
              <w:rPr>
                <w:rFonts w:ascii="Arial CYR" w:hAnsi="Arial CYR" w:cs="Arial CYR"/>
                <w:sz w:val="20"/>
                <w:szCs w:val="20"/>
              </w:rPr>
            </w:pPr>
            <w:r>
              <w:rPr>
                <w:sz w:val="16"/>
                <w:szCs w:val="16"/>
              </w:rPr>
              <w:t>ч</w:t>
            </w:r>
            <w:r w:rsidRPr="00EC24B4">
              <w:rPr>
                <w:sz w:val="16"/>
                <w:szCs w:val="16"/>
              </w:rPr>
              <w:t>.</w:t>
            </w:r>
            <w:r>
              <w:rPr>
                <w:sz w:val="16"/>
                <w:szCs w:val="16"/>
              </w:rPr>
              <w:t>4</w:t>
            </w:r>
            <w:r w:rsidRPr="00EC24B4">
              <w:rPr>
                <w:sz w:val="16"/>
                <w:szCs w:val="16"/>
              </w:rPr>
              <w:t xml:space="preserve"> ст. 1</w:t>
            </w:r>
            <w:r>
              <w:rPr>
                <w:sz w:val="16"/>
                <w:szCs w:val="16"/>
              </w:rPr>
              <w:t>9</w:t>
            </w:r>
            <w:r w:rsidRPr="00EC24B4">
              <w:rPr>
                <w:sz w:val="16"/>
                <w:szCs w:val="16"/>
              </w:rPr>
              <w:t>.5.</w:t>
            </w:r>
          </w:p>
        </w:tc>
        <w:tc>
          <w:tcPr>
            <w:tcW w:w="555" w:type="dxa"/>
            <w:tcBorders>
              <w:top w:val="single" w:sz="4" w:space="0" w:color="auto"/>
              <w:left w:val="nil"/>
              <w:bottom w:val="single" w:sz="4" w:space="0" w:color="auto"/>
              <w:right w:val="single" w:sz="4" w:space="0" w:color="auto"/>
            </w:tcBorders>
            <w:shd w:val="clear" w:color="auto" w:fill="auto"/>
            <w:noWrap/>
            <w:vAlign w:val="center"/>
          </w:tcPr>
          <w:p w:rsidR="0055491A" w:rsidRPr="00EC24B4" w:rsidRDefault="0055491A" w:rsidP="00210BF6">
            <w:pPr>
              <w:jc w:val="center"/>
              <w:rPr>
                <w:sz w:val="20"/>
                <w:szCs w:val="20"/>
              </w:rPr>
            </w:pPr>
            <w:r w:rsidRPr="00EC24B4">
              <w:rPr>
                <w:sz w:val="20"/>
                <w:szCs w:val="20"/>
              </w:rPr>
              <w:t>10</w:t>
            </w:r>
            <w:r>
              <w:rPr>
                <w:sz w:val="20"/>
                <w:szCs w:val="20"/>
              </w:rPr>
              <w:t>0</w:t>
            </w:r>
          </w:p>
        </w:tc>
        <w:tc>
          <w:tcPr>
            <w:tcW w:w="331" w:type="dxa"/>
            <w:tcBorders>
              <w:top w:val="single" w:sz="4" w:space="0" w:color="auto"/>
              <w:left w:val="nil"/>
              <w:bottom w:val="single" w:sz="4" w:space="0" w:color="auto"/>
              <w:right w:val="single" w:sz="4" w:space="0" w:color="auto"/>
            </w:tcBorders>
            <w:shd w:val="clear" w:color="auto" w:fill="auto"/>
            <w:noWrap/>
            <w:vAlign w:val="center"/>
          </w:tcPr>
          <w:p w:rsidR="0055491A" w:rsidRPr="00EC24B4" w:rsidRDefault="0055491A" w:rsidP="00210BF6">
            <w:pPr>
              <w:jc w:val="center"/>
              <w:rPr>
                <w:sz w:val="20"/>
                <w:szCs w:val="20"/>
              </w:rPr>
            </w:pPr>
            <w:r>
              <w:rPr>
                <w:sz w:val="20"/>
                <w:szCs w:val="20"/>
              </w:rPr>
              <w:t>0</w:t>
            </w:r>
          </w:p>
        </w:tc>
        <w:tc>
          <w:tcPr>
            <w:tcW w:w="381" w:type="dxa"/>
            <w:tcBorders>
              <w:top w:val="single" w:sz="4" w:space="0" w:color="auto"/>
              <w:left w:val="nil"/>
              <w:bottom w:val="single" w:sz="4" w:space="0" w:color="auto"/>
              <w:right w:val="single" w:sz="4" w:space="0" w:color="auto"/>
            </w:tcBorders>
            <w:shd w:val="clear" w:color="auto" w:fill="auto"/>
            <w:noWrap/>
            <w:vAlign w:val="center"/>
          </w:tcPr>
          <w:p w:rsidR="0055491A" w:rsidRPr="00EC24B4" w:rsidRDefault="0055491A" w:rsidP="00210BF6">
            <w:pPr>
              <w:jc w:val="center"/>
              <w:rPr>
                <w:sz w:val="20"/>
                <w:szCs w:val="20"/>
              </w:rPr>
            </w:pPr>
            <w:r>
              <w:rPr>
                <w:sz w:val="20"/>
                <w:szCs w:val="20"/>
              </w:rPr>
              <w:t>0</w:t>
            </w:r>
          </w:p>
        </w:tc>
        <w:tc>
          <w:tcPr>
            <w:tcW w:w="381" w:type="dxa"/>
            <w:tcBorders>
              <w:top w:val="single" w:sz="4" w:space="0" w:color="auto"/>
              <w:left w:val="nil"/>
              <w:bottom w:val="single" w:sz="4" w:space="0" w:color="auto"/>
              <w:right w:val="single" w:sz="4" w:space="0" w:color="auto"/>
            </w:tcBorders>
            <w:shd w:val="clear" w:color="auto" w:fill="auto"/>
            <w:noWrap/>
            <w:vAlign w:val="center"/>
          </w:tcPr>
          <w:p w:rsidR="0055491A" w:rsidRPr="00EC24B4" w:rsidRDefault="0055491A" w:rsidP="00210BF6">
            <w:pPr>
              <w:jc w:val="center"/>
              <w:rPr>
                <w:sz w:val="20"/>
                <w:szCs w:val="20"/>
              </w:rPr>
            </w:pPr>
            <w:r>
              <w:rPr>
                <w:sz w:val="20"/>
                <w:szCs w:val="20"/>
              </w:rPr>
              <w:t>1</w:t>
            </w:r>
          </w:p>
        </w:tc>
        <w:tc>
          <w:tcPr>
            <w:tcW w:w="953" w:type="dxa"/>
            <w:tcBorders>
              <w:top w:val="nil"/>
              <w:left w:val="nil"/>
              <w:bottom w:val="single" w:sz="4" w:space="0" w:color="auto"/>
              <w:right w:val="single" w:sz="4" w:space="0" w:color="auto"/>
            </w:tcBorders>
            <w:shd w:val="clear" w:color="auto" w:fill="auto"/>
            <w:noWrap/>
            <w:vAlign w:val="center"/>
          </w:tcPr>
          <w:p w:rsidR="0055491A" w:rsidRPr="00EC24B4" w:rsidRDefault="0055491A" w:rsidP="00210BF6">
            <w:pPr>
              <w:jc w:val="center"/>
              <w:rPr>
                <w:sz w:val="20"/>
                <w:szCs w:val="20"/>
              </w:rPr>
            </w:pPr>
            <w:r>
              <w:rPr>
                <w:sz w:val="20"/>
                <w:szCs w:val="20"/>
              </w:rPr>
              <w:t>1</w:t>
            </w:r>
          </w:p>
        </w:tc>
        <w:tc>
          <w:tcPr>
            <w:tcW w:w="727" w:type="dxa"/>
            <w:tcBorders>
              <w:top w:val="nil"/>
              <w:left w:val="nil"/>
              <w:bottom w:val="single" w:sz="4" w:space="0" w:color="auto"/>
              <w:right w:val="single" w:sz="4" w:space="0" w:color="auto"/>
            </w:tcBorders>
            <w:shd w:val="clear" w:color="auto" w:fill="auto"/>
            <w:noWrap/>
            <w:vAlign w:val="center"/>
          </w:tcPr>
          <w:p w:rsidR="0055491A" w:rsidRPr="00EC24B4" w:rsidRDefault="0055491A" w:rsidP="00210BF6">
            <w:pPr>
              <w:jc w:val="center"/>
              <w:rPr>
                <w:sz w:val="20"/>
                <w:szCs w:val="20"/>
              </w:rPr>
            </w:pPr>
            <w:r>
              <w:rPr>
                <w:sz w:val="20"/>
                <w:szCs w:val="20"/>
              </w:rPr>
              <w:t>100,0</w:t>
            </w:r>
          </w:p>
        </w:tc>
        <w:tc>
          <w:tcPr>
            <w:tcW w:w="953" w:type="dxa"/>
            <w:tcBorders>
              <w:top w:val="nil"/>
              <w:left w:val="nil"/>
              <w:bottom w:val="single" w:sz="4" w:space="0" w:color="auto"/>
              <w:right w:val="single" w:sz="4" w:space="0" w:color="auto"/>
            </w:tcBorders>
            <w:shd w:val="clear" w:color="auto" w:fill="auto"/>
            <w:noWrap/>
            <w:vAlign w:val="center"/>
          </w:tcPr>
          <w:p w:rsidR="0055491A" w:rsidRPr="00EC24B4" w:rsidRDefault="0055491A" w:rsidP="00210BF6">
            <w:pPr>
              <w:jc w:val="center"/>
              <w:rPr>
                <w:sz w:val="20"/>
                <w:szCs w:val="20"/>
              </w:rPr>
            </w:pPr>
            <w:r>
              <w:rPr>
                <w:sz w:val="20"/>
                <w:szCs w:val="20"/>
              </w:rPr>
              <w:t>1</w:t>
            </w:r>
          </w:p>
        </w:tc>
        <w:tc>
          <w:tcPr>
            <w:tcW w:w="727" w:type="dxa"/>
            <w:tcBorders>
              <w:top w:val="nil"/>
              <w:left w:val="nil"/>
              <w:bottom w:val="single" w:sz="4" w:space="0" w:color="auto"/>
              <w:right w:val="single" w:sz="4" w:space="0" w:color="auto"/>
            </w:tcBorders>
            <w:shd w:val="clear" w:color="auto" w:fill="auto"/>
            <w:noWrap/>
            <w:vAlign w:val="center"/>
          </w:tcPr>
          <w:p w:rsidR="0055491A" w:rsidRPr="00EC24B4" w:rsidRDefault="0055491A" w:rsidP="00210BF6">
            <w:pPr>
              <w:jc w:val="center"/>
              <w:rPr>
                <w:sz w:val="20"/>
                <w:szCs w:val="20"/>
              </w:rPr>
            </w:pPr>
            <w:r>
              <w:rPr>
                <w:sz w:val="20"/>
                <w:szCs w:val="20"/>
              </w:rPr>
              <w:t>100,0</w:t>
            </w:r>
          </w:p>
        </w:tc>
        <w:tc>
          <w:tcPr>
            <w:tcW w:w="953" w:type="dxa"/>
            <w:tcBorders>
              <w:top w:val="nil"/>
              <w:left w:val="nil"/>
              <w:bottom w:val="single" w:sz="4" w:space="0" w:color="auto"/>
              <w:right w:val="single" w:sz="4" w:space="0" w:color="auto"/>
            </w:tcBorders>
            <w:shd w:val="clear" w:color="auto" w:fill="auto"/>
            <w:noWrap/>
            <w:vAlign w:val="center"/>
          </w:tcPr>
          <w:p w:rsidR="0055491A" w:rsidRPr="00EC24B4" w:rsidRDefault="0055491A" w:rsidP="00210BF6">
            <w:pPr>
              <w:jc w:val="center"/>
              <w:rPr>
                <w:sz w:val="20"/>
                <w:szCs w:val="20"/>
              </w:rPr>
            </w:pPr>
            <w:r>
              <w:rPr>
                <w:sz w:val="20"/>
                <w:szCs w:val="20"/>
              </w:rPr>
              <w:t>1</w:t>
            </w:r>
          </w:p>
        </w:tc>
        <w:tc>
          <w:tcPr>
            <w:tcW w:w="768" w:type="dxa"/>
            <w:tcBorders>
              <w:top w:val="nil"/>
              <w:left w:val="nil"/>
              <w:bottom w:val="single" w:sz="4" w:space="0" w:color="auto"/>
              <w:right w:val="single" w:sz="4" w:space="0" w:color="auto"/>
            </w:tcBorders>
            <w:shd w:val="clear" w:color="auto" w:fill="auto"/>
            <w:noWrap/>
            <w:vAlign w:val="center"/>
          </w:tcPr>
          <w:p w:rsidR="0055491A" w:rsidRPr="00EC24B4" w:rsidRDefault="0055491A" w:rsidP="00210BF6">
            <w:pPr>
              <w:jc w:val="center"/>
              <w:rPr>
                <w:sz w:val="20"/>
                <w:szCs w:val="20"/>
              </w:rPr>
            </w:pPr>
            <w:r>
              <w:rPr>
                <w:sz w:val="20"/>
                <w:szCs w:val="20"/>
              </w:rPr>
              <w:t>100,0</w:t>
            </w:r>
          </w:p>
        </w:tc>
        <w:tc>
          <w:tcPr>
            <w:tcW w:w="994" w:type="dxa"/>
            <w:tcBorders>
              <w:top w:val="nil"/>
              <w:left w:val="nil"/>
              <w:bottom w:val="single" w:sz="4" w:space="0" w:color="auto"/>
              <w:right w:val="single" w:sz="4" w:space="0" w:color="auto"/>
            </w:tcBorders>
            <w:shd w:val="clear" w:color="auto" w:fill="auto"/>
            <w:noWrap/>
            <w:vAlign w:val="center"/>
          </w:tcPr>
          <w:p w:rsidR="0055491A" w:rsidRPr="00EC24B4" w:rsidRDefault="0055491A" w:rsidP="00210BF6">
            <w:pPr>
              <w:jc w:val="center"/>
              <w:rPr>
                <w:sz w:val="20"/>
                <w:szCs w:val="20"/>
              </w:rPr>
            </w:pPr>
            <w:r>
              <w:rPr>
                <w:sz w:val="20"/>
                <w:szCs w:val="20"/>
              </w:rPr>
              <w:t>1</w:t>
            </w:r>
          </w:p>
        </w:tc>
        <w:tc>
          <w:tcPr>
            <w:tcW w:w="768" w:type="dxa"/>
            <w:tcBorders>
              <w:top w:val="nil"/>
              <w:left w:val="nil"/>
              <w:bottom w:val="single" w:sz="4" w:space="0" w:color="auto"/>
              <w:right w:val="nil"/>
            </w:tcBorders>
            <w:shd w:val="clear" w:color="auto" w:fill="auto"/>
            <w:noWrap/>
            <w:vAlign w:val="center"/>
          </w:tcPr>
          <w:p w:rsidR="0055491A" w:rsidRPr="00EC24B4" w:rsidRDefault="0055491A" w:rsidP="00210BF6">
            <w:pPr>
              <w:jc w:val="center"/>
              <w:rPr>
                <w:sz w:val="20"/>
                <w:szCs w:val="20"/>
              </w:rPr>
            </w:pPr>
            <w:r>
              <w:rPr>
                <w:sz w:val="20"/>
                <w:szCs w:val="20"/>
              </w:rPr>
              <w:t>100,0</w:t>
            </w:r>
          </w:p>
        </w:tc>
      </w:tr>
      <w:tr w:rsidR="0055491A" w:rsidRPr="00540898" w:rsidTr="00210BF6">
        <w:trPr>
          <w:trHeight w:val="255"/>
        </w:trPr>
        <w:tc>
          <w:tcPr>
            <w:tcW w:w="863" w:type="dxa"/>
            <w:tcBorders>
              <w:top w:val="nil"/>
              <w:left w:val="single" w:sz="4" w:space="0" w:color="auto"/>
              <w:bottom w:val="single" w:sz="4" w:space="0" w:color="auto"/>
              <w:right w:val="single" w:sz="4" w:space="0" w:color="auto"/>
            </w:tcBorders>
            <w:shd w:val="clear" w:color="auto" w:fill="auto"/>
            <w:vAlign w:val="center"/>
            <w:hideMark/>
          </w:tcPr>
          <w:p w:rsidR="0055491A" w:rsidRPr="00540898" w:rsidRDefault="0055491A" w:rsidP="00210BF6">
            <w:pPr>
              <w:jc w:val="center"/>
              <w:rPr>
                <w:b/>
                <w:bCs/>
                <w:sz w:val="22"/>
                <w:szCs w:val="22"/>
              </w:rPr>
            </w:pPr>
            <w:r w:rsidRPr="00540898">
              <w:rPr>
                <w:b/>
                <w:bCs/>
                <w:sz w:val="22"/>
                <w:szCs w:val="22"/>
              </w:rPr>
              <w:t>Итого</w:t>
            </w:r>
          </w:p>
        </w:tc>
        <w:tc>
          <w:tcPr>
            <w:tcW w:w="555" w:type="dxa"/>
            <w:tcBorders>
              <w:top w:val="nil"/>
              <w:left w:val="nil"/>
              <w:bottom w:val="single" w:sz="4" w:space="0" w:color="auto"/>
              <w:right w:val="single" w:sz="4" w:space="0" w:color="auto"/>
            </w:tcBorders>
            <w:shd w:val="clear" w:color="auto" w:fill="auto"/>
            <w:noWrap/>
            <w:vAlign w:val="center"/>
            <w:hideMark/>
          </w:tcPr>
          <w:p w:rsidR="0055491A" w:rsidRPr="00540898" w:rsidRDefault="0055491A" w:rsidP="00210BF6">
            <w:pPr>
              <w:jc w:val="center"/>
              <w:rPr>
                <w:b/>
                <w:bCs/>
                <w:sz w:val="22"/>
                <w:szCs w:val="22"/>
              </w:rPr>
            </w:pPr>
          </w:p>
        </w:tc>
        <w:tc>
          <w:tcPr>
            <w:tcW w:w="331" w:type="dxa"/>
            <w:tcBorders>
              <w:top w:val="nil"/>
              <w:left w:val="nil"/>
              <w:bottom w:val="single" w:sz="4" w:space="0" w:color="auto"/>
              <w:right w:val="single" w:sz="4" w:space="0" w:color="auto"/>
            </w:tcBorders>
            <w:shd w:val="clear" w:color="auto" w:fill="auto"/>
            <w:noWrap/>
            <w:vAlign w:val="center"/>
            <w:hideMark/>
          </w:tcPr>
          <w:p w:rsidR="0055491A" w:rsidRPr="00540898" w:rsidRDefault="0055491A" w:rsidP="00210BF6">
            <w:pPr>
              <w:jc w:val="center"/>
              <w:rPr>
                <w:b/>
                <w:bCs/>
                <w:sz w:val="22"/>
                <w:szCs w:val="22"/>
              </w:rPr>
            </w:pPr>
          </w:p>
        </w:tc>
        <w:tc>
          <w:tcPr>
            <w:tcW w:w="381" w:type="dxa"/>
            <w:tcBorders>
              <w:top w:val="nil"/>
              <w:left w:val="nil"/>
              <w:bottom w:val="single" w:sz="4" w:space="0" w:color="auto"/>
              <w:right w:val="single" w:sz="4" w:space="0" w:color="auto"/>
            </w:tcBorders>
            <w:shd w:val="clear" w:color="auto" w:fill="auto"/>
            <w:noWrap/>
            <w:vAlign w:val="center"/>
            <w:hideMark/>
          </w:tcPr>
          <w:p w:rsidR="0055491A" w:rsidRPr="00540898" w:rsidRDefault="0055491A" w:rsidP="00210BF6">
            <w:pPr>
              <w:jc w:val="center"/>
              <w:rPr>
                <w:b/>
                <w:bCs/>
                <w:sz w:val="22"/>
                <w:szCs w:val="22"/>
              </w:rPr>
            </w:pPr>
          </w:p>
        </w:tc>
        <w:tc>
          <w:tcPr>
            <w:tcW w:w="381" w:type="dxa"/>
            <w:tcBorders>
              <w:top w:val="nil"/>
              <w:left w:val="nil"/>
              <w:bottom w:val="single" w:sz="4" w:space="0" w:color="auto"/>
              <w:right w:val="single" w:sz="4" w:space="0" w:color="auto"/>
            </w:tcBorders>
            <w:shd w:val="clear" w:color="auto" w:fill="auto"/>
            <w:noWrap/>
            <w:vAlign w:val="center"/>
            <w:hideMark/>
          </w:tcPr>
          <w:p w:rsidR="0055491A" w:rsidRPr="00540898" w:rsidRDefault="0055491A" w:rsidP="00210BF6">
            <w:pPr>
              <w:jc w:val="center"/>
              <w:rPr>
                <w:b/>
                <w:bCs/>
                <w:sz w:val="22"/>
                <w:szCs w:val="22"/>
              </w:rPr>
            </w:pPr>
          </w:p>
        </w:tc>
        <w:tc>
          <w:tcPr>
            <w:tcW w:w="953" w:type="dxa"/>
            <w:tcBorders>
              <w:top w:val="nil"/>
              <w:left w:val="nil"/>
              <w:bottom w:val="single" w:sz="4" w:space="0" w:color="auto"/>
              <w:right w:val="single" w:sz="4" w:space="0" w:color="auto"/>
            </w:tcBorders>
            <w:shd w:val="clear" w:color="auto" w:fill="auto"/>
            <w:noWrap/>
            <w:vAlign w:val="center"/>
            <w:hideMark/>
          </w:tcPr>
          <w:p w:rsidR="0055491A" w:rsidRPr="00540898" w:rsidRDefault="0055491A" w:rsidP="00210BF6">
            <w:pPr>
              <w:jc w:val="center"/>
              <w:rPr>
                <w:b/>
                <w:bCs/>
                <w:sz w:val="22"/>
                <w:szCs w:val="22"/>
              </w:rPr>
            </w:pPr>
          </w:p>
        </w:tc>
        <w:tc>
          <w:tcPr>
            <w:tcW w:w="727" w:type="dxa"/>
            <w:tcBorders>
              <w:top w:val="nil"/>
              <w:left w:val="nil"/>
              <w:bottom w:val="single" w:sz="4" w:space="0" w:color="auto"/>
              <w:right w:val="single" w:sz="4" w:space="0" w:color="auto"/>
            </w:tcBorders>
            <w:shd w:val="clear" w:color="auto" w:fill="auto"/>
            <w:noWrap/>
            <w:vAlign w:val="center"/>
            <w:hideMark/>
          </w:tcPr>
          <w:p w:rsidR="0055491A" w:rsidRPr="00540898" w:rsidRDefault="0055491A" w:rsidP="00210BF6">
            <w:pPr>
              <w:jc w:val="center"/>
              <w:rPr>
                <w:b/>
                <w:bCs/>
                <w:color w:val="000000"/>
                <w:sz w:val="22"/>
                <w:szCs w:val="22"/>
              </w:rPr>
            </w:pPr>
            <w:r>
              <w:rPr>
                <w:b/>
                <w:bCs/>
                <w:sz w:val="22"/>
                <w:szCs w:val="22"/>
              </w:rPr>
              <w:t>120</w:t>
            </w:r>
            <w:r w:rsidRPr="00540898">
              <w:rPr>
                <w:b/>
                <w:bCs/>
                <w:sz w:val="22"/>
                <w:szCs w:val="22"/>
              </w:rPr>
              <w:t>,0</w:t>
            </w:r>
          </w:p>
        </w:tc>
        <w:tc>
          <w:tcPr>
            <w:tcW w:w="953" w:type="dxa"/>
            <w:tcBorders>
              <w:top w:val="nil"/>
              <w:left w:val="nil"/>
              <w:bottom w:val="single" w:sz="4" w:space="0" w:color="auto"/>
              <w:right w:val="single" w:sz="4" w:space="0" w:color="auto"/>
            </w:tcBorders>
            <w:shd w:val="clear" w:color="auto" w:fill="auto"/>
            <w:noWrap/>
            <w:vAlign w:val="center"/>
            <w:hideMark/>
          </w:tcPr>
          <w:p w:rsidR="0055491A" w:rsidRPr="00540898" w:rsidRDefault="0055491A" w:rsidP="00210BF6">
            <w:pPr>
              <w:jc w:val="center"/>
              <w:rPr>
                <w:b/>
                <w:bCs/>
                <w:color w:val="000000"/>
                <w:sz w:val="22"/>
                <w:szCs w:val="22"/>
              </w:rPr>
            </w:pPr>
          </w:p>
        </w:tc>
        <w:tc>
          <w:tcPr>
            <w:tcW w:w="727" w:type="dxa"/>
            <w:tcBorders>
              <w:top w:val="nil"/>
              <w:left w:val="nil"/>
              <w:bottom w:val="single" w:sz="4" w:space="0" w:color="auto"/>
              <w:right w:val="single" w:sz="4" w:space="0" w:color="auto"/>
            </w:tcBorders>
            <w:shd w:val="clear" w:color="auto" w:fill="auto"/>
            <w:noWrap/>
            <w:vAlign w:val="center"/>
            <w:hideMark/>
          </w:tcPr>
          <w:p w:rsidR="0055491A" w:rsidRPr="00540898" w:rsidRDefault="0055491A" w:rsidP="00210BF6">
            <w:pPr>
              <w:jc w:val="center"/>
              <w:rPr>
                <w:b/>
                <w:bCs/>
                <w:color w:val="000000"/>
                <w:sz w:val="22"/>
                <w:szCs w:val="22"/>
              </w:rPr>
            </w:pPr>
            <w:r>
              <w:rPr>
                <w:b/>
                <w:bCs/>
                <w:color w:val="000000"/>
                <w:sz w:val="22"/>
                <w:szCs w:val="22"/>
              </w:rPr>
              <w:t>120,0</w:t>
            </w:r>
          </w:p>
        </w:tc>
        <w:tc>
          <w:tcPr>
            <w:tcW w:w="953" w:type="dxa"/>
            <w:tcBorders>
              <w:top w:val="nil"/>
              <w:left w:val="nil"/>
              <w:bottom w:val="single" w:sz="4" w:space="0" w:color="auto"/>
              <w:right w:val="single" w:sz="4" w:space="0" w:color="auto"/>
            </w:tcBorders>
            <w:shd w:val="clear" w:color="auto" w:fill="auto"/>
            <w:noWrap/>
            <w:vAlign w:val="center"/>
            <w:hideMark/>
          </w:tcPr>
          <w:p w:rsidR="0055491A" w:rsidRPr="00540898" w:rsidRDefault="0055491A" w:rsidP="00210BF6">
            <w:pPr>
              <w:jc w:val="center"/>
              <w:rPr>
                <w:b/>
                <w:bCs/>
                <w:color w:val="000000"/>
                <w:sz w:val="22"/>
                <w:szCs w:val="22"/>
              </w:rPr>
            </w:pPr>
          </w:p>
        </w:tc>
        <w:tc>
          <w:tcPr>
            <w:tcW w:w="768" w:type="dxa"/>
            <w:tcBorders>
              <w:top w:val="nil"/>
              <w:left w:val="nil"/>
              <w:bottom w:val="single" w:sz="4" w:space="0" w:color="auto"/>
              <w:right w:val="single" w:sz="4" w:space="0" w:color="auto"/>
            </w:tcBorders>
            <w:shd w:val="clear" w:color="auto" w:fill="auto"/>
            <w:noWrap/>
            <w:vAlign w:val="center"/>
            <w:hideMark/>
          </w:tcPr>
          <w:p w:rsidR="0055491A" w:rsidRPr="00540898" w:rsidRDefault="0055491A" w:rsidP="00210BF6">
            <w:pPr>
              <w:jc w:val="center"/>
              <w:rPr>
                <w:b/>
                <w:bCs/>
                <w:color w:val="000000"/>
                <w:sz w:val="22"/>
                <w:szCs w:val="22"/>
              </w:rPr>
            </w:pPr>
            <w:r>
              <w:rPr>
                <w:b/>
                <w:bCs/>
                <w:color w:val="000000"/>
                <w:sz w:val="22"/>
                <w:szCs w:val="22"/>
              </w:rPr>
              <w:t>12</w:t>
            </w:r>
            <w:r w:rsidRPr="00540898">
              <w:rPr>
                <w:b/>
                <w:bCs/>
                <w:color w:val="000000"/>
                <w:sz w:val="22"/>
                <w:szCs w:val="22"/>
              </w:rPr>
              <w:t>0,0</w:t>
            </w:r>
          </w:p>
        </w:tc>
        <w:tc>
          <w:tcPr>
            <w:tcW w:w="994" w:type="dxa"/>
            <w:tcBorders>
              <w:top w:val="nil"/>
              <w:left w:val="nil"/>
              <w:bottom w:val="single" w:sz="4" w:space="0" w:color="auto"/>
              <w:right w:val="single" w:sz="4" w:space="0" w:color="auto"/>
            </w:tcBorders>
            <w:shd w:val="clear" w:color="auto" w:fill="auto"/>
            <w:noWrap/>
            <w:vAlign w:val="center"/>
            <w:hideMark/>
          </w:tcPr>
          <w:p w:rsidR="0055491A" w:rsidRPr="00540898" w:rsidRDefault="0055491A" w:rsidP="00210BF6">
            <w:pPr>
              <w:jc w:val="center"/>
              <w:rPr>
                <w:b/>
                <w:bCs/>
                <w:color w:val="000000"/>
                <w:sz w:val="22"/>
                <w:szCs w:val="22"/>
              </w:rPr>
            </w:pPr>
          </w:p>
        </w:tc>
        <w:tc>
          <w:tcPr>
            <w:tcW w:w="768" w:type="dxa"/>
            <w:tcBorders>
              <w:top w:val="nil"/>
              <w:left w:val="nil"/>
              <w:bottom w:val="single" w:sz="4" w:space="0" w:color="auto"/>
              <w:right w:val="single" w:sz="4" w:space="0" w:color="auto"/>
            </w:tcBorders>
            <w:shd w:val="clear" w:color="auto" w:fill="auto"/>
            <w:noWrap/>
            <w:vAlign w:val="center"/>
            <w:hideMark/>
          </w:tcPr>
          <w:p w:rsidR="0055491A" w:rsidRPr="00540898" w:rsidRDefault="0055491A" w:rsidP="00210BF6">
            <w:pPr>
              <w:jc w:val="center"/>
              <w:rPr>
                <w:b/>
                <w:bCs/>
                <w:color w:val="000000"/>
                <w:sz w:val="22"/>
                <w:szCs w:val="22"/>
              </w:rPr>
            </w:pPr>
            <w:r>
              <w:rPr>
                <w:b/>
                <w:bCs/>
                <w:color w:val="000000"/>
                <w:sz w:val="22"/>
                <w:szCs w:val="22"/>
              </w:rPr>
              <w:t>12</w:t>
            </w:r>
            <w:r w:rsidRPr="00540898">
              <w:rPr>
                <w:b/>
                <w:bCs/>
                <w:color w:val="000000"/>
                <w:sz w:val="22"/>
                <w:szCs w:val="22"/>
              </w:rPr>
              <w:t>0,0</w:t>
            </w:r>
          </w:p>
        </w:tc>
      </w:tr>
    </w:tbl>
    <w:p w:rsidR="0055491A" w:rsidRDefault="0055491A" w:rsidP="0055491A">
      <w:pPr>
        <w:pStyle w:val="a7"/>
        <w:spacing w:after="0"/>
        <w:ind w:left="0" w:firstLine="709"/>
        <w:jc w:val="both"/>
        <w:rPr>
          <w:sz w:val="28"/>
          <w:szCs w:val="28"/>
        </w:rPr>
      </w:pPr>
      <w:r>
        <w:rPr>
          <w:sz w:val="28"/>
          <w:szCs w:val="28"/>
        </w:rPr>
        <w:t xml:space="preserve"> </w:t>
      </w:r>
      <w:r w:rsidRPr="00C74568">
        <w:rPr>
          <w:sz w:val="28"/>
          <w:szCs w:val="28"/>
        </w:rPr>
        <w:t>1</w:t>
      </w:r>
      <w:r>
        <w:rPr>
          <w:sz w:val="28"/>
          <w:szCs w:val="28"/>
        </w:rPr>
        <w:t>3</w:t>
      </w:r>
      <w:r w:rsidRPr="00C74568">
        <w:rPr>
          <w:sz w:val="28"/>
          <w:szCs w:val="28"/>
        </w:rPr>
        <w:t>.</w:t>
      </w:r>
      <w:r>
        <w:rPr>
          <w:sz w:val="28"/>
          <w:szCs w:val="28"/>
        </w:rPr>
        <w:t xml:space="preserve">4 </w:t>
      </w:r>
      <w:r w:rsidRPr="002D51EF">
        <w:rPr>
          <w:b/>
          <w:sz w:val="28"/>
          <w:szCs w:val="28"/>
        </w:rPr>
        <w:t>КБК 017 1 16 01193 01 0000 140</w:t>
      </w:r>
      <w:r w:rsidRPr="00C74568">
        <w:rPr>
          <w:sz w:val="28"/>
          <w:szCs w:val="28"/>
        </w:rPr>
        <w:t xml:space="preserve"> 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r>
        <w:rPr>
          <w:sz w:val="28"/>
          <w:szCs w:val="28"/>
        </w:rPr>
        <w:t>.</w:t>
      </w:r>
    </w:p>
    <w:p w:rsidR="0055491A" w:rsidRPr="002D51EF" w:rsidRDefault="0055491A" w:rsidP="0055491A">
      <w:pPr>
        <w:pStyle w:val="a7"/>
        <w:spacing w:after="0"/>
        <w:ind w:left="0" w:firstLine="709"/>
        <w:jc w:val="both"/>
        <w:rPr>
          <w:b/>
          <w:sz w:val="28"/>
          <w:szCs w:val="28"/>
        </w:rPr>
      </w:pPr>
      <w:r w:rsidRPr="002D51EF">
        <w:rPr>
          <w:b/>
          <w:sz w:val="28"/>
          <w:szCs w:val="28"/>
        </w:rPr>
        <w:t>Главный администратор доходов - Главное управление «Государственная жилищная инспекция» Тверской области.</w:t>
      </w:r>
    </w:p>
    <w:p w:rsidR="0055491A" w:rsidRDefault="0055491A" w:rsidP="0055491A">
      <w:pPr>
        <w:pStyle w:val="a7"/>
        <w:spacing w:after="0"/>
        <w:ind w:left="0" w:firstLine="709"/>
        <w:jc w:val="both"/>
        <w:rPr>
          <w:sz w:val="28"/>
          <w:szCs w:val="28"/>
        </w:rPr>
      </w:pPr>
      <w:r w:rsidRPr="000D4676">
        <w:rPr>
          <w:sz w:val="28"/>
          <w:szCs w:val="28"/>
        </w:rPr>
        <w:t xml:space="preserve">Расчет произведен в соответствии с методикой, утвержденной приказом </w:t>
      </w:r>
      <w:r w:rsidRPr="00B03A5B">
        <w:rPr>
          <w:sz w:val="28"/>
          <w:szCs w:val="28"/>
        </w:rPr>
        <w:t>Главно</w:t>
      </w:r>
      <w:r>
        <w:rPr>
          <w:sz w:val="28"/>
          <w:szCs w:val="28"/>
        </w:rPr>
        <w:t>го управления «</w:t>
      </w:r>
      <w:r w:rsidRPr="00B03A5B">
        <w:rPr>
          <w:sz w:val="28"/>
          <w:szCs w:val="28"/>
        </w:rPr>
        <w:t>Государственн</w:t>
      </w:r>
      <w:r>
        <w:rPr>
          <w:sz w:val="28"/>
          <w:szCs w:val="28"/>
        </w:rPr>
        <w:t>ой жилищной инспекции»</w:t>
      </w:r>
      <w:r w:rsidRPr="00B03A5B">
        <w:rPr>
          <w:sz w:val="28"/>
          <w:szCs w:val="28"/>
        </w:rPr>
        <w:t xml:space="preserve"> Тверской области</w:t>
      </w:r>
      <w:r>
        <w:rPr>
          <w:sz w:val="28"/>
          <w:szCs w:val="28"/>
        </w:rPr>
        <w:t xml:space="preserve"> от 25.06.2020 № 40-ОД (с учетом принятых изменений).</w:t>
      </w:r>
    </w:p>
    <w:p w:rsidR="0055491A" w:rsidRDefault="0055491A" w:rsidP="0055491A">
      <w:pPr>
        <w:spacing w:line="252" w:lineRule="auto"/>
        <w:ind w:firstLine="709"/>
        <w:jc w:val="both"/>
        <w:rPr>
          <w:sz w:val="28"/>
        </w:rPr>
      </w:pPr>
      <w:r>
        <w:rPr>
          <w:sz w:val="28"/>
        </w:rPr>
        <w:t xml:space="preserve">Прогноз поступлений доходов рассчитан методом прямого расчета по количеству привлечений физических, должностных и юридических лиц к административной ответственности </w:t>
      </w:r>
      <w:r w:rsidRPr="00C74568">
        <w:rPr>
          <w:bCs/>
          <w:sz w:val="28"/>
          <w:szCs w:val="28"/>
        </w:rPr>
        <w:t xml:space="preserve">за воспрепятствование законной </w:t>
      </w:r>
      <w:r w:rsidRPr="00C74568">
        <w:rPr>
          <w:bCs/>
          <w:sz w:val="28"/>
          <w:szCs w:val="28"/>
        </w:rPr>
        <w:lastRenderedPageBreak/>
        <w:t xml:space="preserve">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w:t>
      </w:r>
      <w:r>
        <w:rPr>
          <w:sz w:val="28"/>
        </w:rPr>
        <w:t xml:space="preserve">в соответствии с частью 2 статьи 19.4.1 КоАП РФ, </w:t>
      </w:r>
      <w:r w:rsidRPr="00C74568">
        <w:rPr>
          <w:bCs/>
          <w:sz w:val="28"/>
          <w:szCs w:val="28"/>
        </w:rPr>
        <w:t>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в соответствии с</w:t>
      </w:r>
      <w:r>
        <w:rPr>
          <w:b/>
          <w:bCs/>
          <w:sz w:val="28"/>
          <w:szCs w:val="28"/>
        </w:rPr>
        <w:t xml:space="preserve">  </w:t>
      </w:r>
      <w:r>
        <w:rPr>
          <w:sz w:val="28"/>
        </w:rPr>
        <w:t>частями 1, 24, 24.1 статьи 19.5 КоАП РФ по нормативу зачисления в бюджет субъекта 50%. Количество правонарушений определяется в разрезе муниципальных образований Тверской области.</w:t>
      </w:r>
    </w:p>
    <w:p w:rsidR="0055491A" w:rsidRDefault="0055491A" w:rsidP="0055491A">
      <w:pPr>
        <w:spacing w:line="252" w:lineRule="auto"/>
        <w:ind w:firstLine="709"/>
        <w:jc w:val="both"/>
        <w:rPr>
          <w:sz w:val="28"/>
        </w:rPr>
      </w:pPr>
    </w:p>
    <w:tbl>
      <w:tblPr>
        <w:tblW w:w="9346" w:type="dxa"/>
        <w:tblLook w:val="04A0" w:firstRow="1" w:lastRow="0" w:firstColumn="1" w:lastColumn="0" w:noHBand="0" w:noVBand="1"/>
      </w:tblPr>
      <w:tblGrid>
        <w:gridCol w:w="984"/>
        <w:gridCol w:w="723"/>
        <w:gridCol w:w="701"/>
        <w:gridCol w:w="709"/>
        <w:gridCol w:w="707"/>
        <w:gridCol w:w="706"/>
        <w:gridCol w:w="707"/>
        <w:gridCol w:w="707"/>
        <w:gridCol w:w="1134"/>
        <w:gridCol w:w="1134"/>
        <w:gridCol w:w="1134"/>
      </w:tblGrid>
      <w:tr w:rsidR="0055491A" w:rsidRPr="00F80477" w:rsidTr="00210BF6">
        <w:trPr>
          <w:trHeight w:val="645"/>
        </w:trPr>
        <w:tc>
          <w:tcPr>
            <w:tcW w:w="984"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rsidR="0055491A" w:rsidRDefault="0055491A" w:rsidP="00210BF6">
            <w:pPr>
              <w:jc w:val="center"/>
              <w:rPr>
                <w:b/>
                <w:bCs/>
                <w:sz w:val="20"/>
                <w:szCs w:val="20"/>
              </w:rPr>
            </w:pPr>
            <w:r>
              <w:rPr>
                <w:b/>
                <w:bCs/>
                <w:sz w:val="20"/>
                <w:szCs w:val="20"/>
              </w:rPr>
              <w:t>Размер штрафа, тыс. руб.</w:t>
            </w:r>
          </w:p>
        </w:tc>
        <w:tc>
          <w:tcPr>
            <w:tcW w:w="4960" w:type="dxa"/>
            <w:gridSpan w:val="7"/>
            <w:tcBorders>
              <w:top w:val="single" w:sz="8" w:space="0" w:color="auto"/>
              <w:left w:val="nil"/>
              <w:bottom w:val="single" w:sz="4" w:space="0" w:color="auto"/>
              <w:right w:val="single" w:sz="4" w:space="0" w:color="auto"/>
            </w:tcBorders>
          </w:tcPr>
          <w:p w:rsidR="0055491A" w:rsidRPr="00F80477" w:rsidRDefault="0055491A" w:rsidP="00210BF6">
            <w:pPr>
              <w:jc w:val="center"/>
              <w:rPr>
                <w:b/>
                <w:bCs/>
              </w:rPr>
            </w:pPr>
            <w:r w:rsidRPr="00F80477">
              <w:rPr>
                <w:b/>
                <w:bCs/>
              </w:rPr>
              <w:t>Количество правонарушений                                     (с учетом округления</w:t>
            </w:r>
            <w:r>
              <w:rPr>
                <w:b/>
                <w:bCs/>
              </w:rPr>
              <w:t xml:space="preserve"> </w:t>
            </w:r>
            <w:r w:rsidRPr="00F80477">
              <w:rPr>
                <w:b/>
                <w:bCs/>
              </w:rPr>
              <w:t>)</w:t>
            </w:r>
          </w:p>
        </w:tc>
        <w:tc>
          <w:tcPr>
            <w:tcW w:w="3402" w:type="dxa"/>
            <w:gridSpan w:val="3"/>
            <w:tcBorders>
              <w:top w:val="single" w:sz="8" w:space="0" w:color="auto"/>
              <w:left w:val="nil"/>
              <w:bottom w:val="single" w:sz="4" w:space="0" w:color="auto"/>
              <w:right w:val="single" w:sz="8" w:space="0" w:color="000000"/>
            </w:tcBorders>
            <w:shd w:val="clear" w:color="auto" w:fill="auto"/>
            <w:vAlign w:val="center"/>
            <w:hideMark/>
          </w:tcPr>
          <w:p w:rsidR="0055491A" w:rsidRPr="00F80477" w:rsidRDefault="0055491A" w:rsidP="00210BF6">
            <w:pPr>
              <w:jc w:val="center"/>
              <w:rPr>
                <w:b/>
                <w:bCs/>
              </w:rPr>
            </w:pPr>
            <w:r w:rsidRPr="00F80477">
              <w:rPr>
                <w:b/>
                <w:bCs/>
              </w:rPr>
              <w:t xml:space="preserve">Прогноз </w:t>
            </w:r>
          </w:p>
        </w:tc>
      </w:tr>
      <w:tr w:rsidR="0055491A" w:rsidTr="00210BF6">
        <w:trPr>
          <w:trHeight w:val="1005"/>
        </w:trPr>
        <w:tc>
          <w:tcPr>
            <w:tcW w:w="984" w:type="dxa"/>
            <w:vMerge/>
            <w:tcBorders>
              <w:top w:val="single" w:sz="8" w:space="0" w:color="000000"/>
              <w:left w:val="single" w:sz="8" w:space="0" w:color="auto"/>
              <w:bottom w:val="single" w:sz="4" w:space="0" w:color="auto"/>
              <w:right w:val="single" w:sz="8" w:space="0" w:color="auto"/>
            </w:tcBorders>
            <w:vAlign w:val="center"/>
            <w:hideMark/>
          </w:tcPr>
          <w:p w:rsidR="0055491A" w:rsidRDefault="0055491A" w:rsidP="00210BF6">
            <w:pPr>
              <w:rPr>
                <w:b/>
                <w:bCs/>
                <w:sz w:val="20"/>
                <w:szCs w:val="20"/>
              </w:rPr>
            </w:pPr>
          </w:p>
        </w:tc>
        <w:tc>
          <w:tcPr>
            <w:tcW w:w="723" w:type="dxa"/>
            <w:tcBorders>
              <w:top w:val="nil"/>
              <w:left w:val="single" w:sz="4" w:space="0" w:color="auto"/>
              <w:bottom w:val="single" w:sz="4" w:space="0" w:color="auto"/>
              <w:right w:val="single" w:sz="4" w:space="0" w:color="auto"/>
            </w:tcBorders>
            <w:shd w:val="clear" w:color="auto" w:fill="auto"/>
            <w:vAlign w:val="center"/>
            <w:hideMark/>
          </w:tcPr>
          <w:p w:rsidR="0055491A" w:rsidRDefault="0055491A" w:rsidP="00210BF6">
            <w:pPr>
              <w:jc w:val="center"/>
              <w:rPr>
                <w:b/>
                <w:bCs/>
                <w:sz w:val="20"/>
                <w:szCs w:val="20"/>
              </w:rPr>
            </w:pPr>
            <w:r>
              <w:rPr>
                <w:b/>
                <w:bCs/>
                <w:sz w:val="20"/>
                <w:szCs w:val="20"/>
              </w:rPr>
              <w:t>2018 год</w:t>
            </w:r>
          </w:p>
        </w:tc>
        <w:tc>
          <w:tcPr>
            <w:tcW w:w="701" w:type="dxa"/>
            <w:tcBorders>
              <w:top w:val="nil"/>
              <w:left w:val="nil"/>
              <w:bottom w:val="single" w:sz="4" w:space="0" w:color="auto"/>
              <w:right w:val="single" w:sz="4" w:space="0" w:color="auto"/>
            </w:tcBorders>
            <w:shd w:val="clear" w:color="auto" w:fill="auto"/>
            <w:vAlign w:val="center"/>
            <w:hideMark/>
          </w:tcPr>
          <w:p w:rsidR="0055491A" w:rsidRDefault="0055491A" w:rsidP="00210BF6">
            <w:pPr>
              <w:jc w:val="center"/>
              <w:rPr>
                <w:b/>
                <w:bCs/>
                <w:sz w:val="20"/>
                <w:szCs w:val="20"/>
              </w:rPr>
            </w:pPr>
            <w:r>
              <w:rPr>
                <w:b/>
                <w:bCs/>
                <w:sz w:val="20"/>
                <w:szCs w:val="20"/>
              </w:rPr>
              <w:t>2019 год</w:t>
            </w:r>
          </w:p>
        </w:tc>
        <w:tc>
          <w:tcPr>
            <w:tcW w:w="709" w:type="dxa"/>
            <w:tcBorders>
              <w:top w:val="nil"/>
              <w:left w:val="nil"/>
              <w:bottom w:val="single" w:sz="4" w:space="0" w:color="auto"/>
              <w:right w:val="single" w:sz="4" w:space="0" w:color="auto"/>
            </w:tcBorders>
            <w:shd w:val="clear" w:color="auto" w:fill="auto"/>
            <w:vAlign w:val="center"/>
            <w:hideMark/>
          </w:tcPr>
          <w:p w:rsidR="0055491A" w:rsidRDefault="0055491A" w:rsidP="00210BF6">
            <w:pPr>
              <w:jc w:val="center"/>
              <w:rPr>
                <w:b/>
                <w:bCs/>
                <w:sz w:val="20"/>
                <w:szCs w:val="20"/>
              </w:rPr>
            </w:pPr>
            <w:r>
              <w:rPr>
                <w:b/>
                <w:bCs/>
                <w:sz w:val="20"/>
                <w:szCs w:val="20"/>
              </w:rPr>
              <w:t>2020 год</w:t>
            </w:r>
          </w:p>
        </w:tc>
        <w:tc>
          <w:tcPr>
            <w:tcW w:w="707" w:type="dxa"/>
            <w:tcBorders>
              <w:top w:val="nil"/>
              <w:left w:val="nil"/>
              <w:bottom w:val="single" w:sz="4" w:space="0" w:color="auto"/>
              <w:right w:val="nil"/>
            </w:tcBorders>
            <w:vAlign w:val="center"/>
          </w:tcPr>
          <w:p w:rsidR="0055491A" w:rsidRPr="00191EBF" w:rsidRDefault="0055491A" w:rsidP="00210BF6">
            <w:pPr>
              <w:jc w:val="center"/>
              <w:rPr>
                <w:bCs/>
                <w:sz w:val="20"/>
                <w:szCs w:val="20"/>
              </w:rPr>
            </w:pPr>
            <w:r w:rsidRPr="00191EBF">
              <w:rPr>
                <w:b/>
                <w:bCs/>
                <w:sz w:val="20"/>
                <w:szCs w:val="20"/>
              </w:rPr>
              <w:t>Ср. на 202</w:t>
            </w:r>
            <w:r>
              <w:rPr>
                <w:b/>
                <w:bCs/>
                <w:sz w:val="20"/>
                <w:szCs w:val="20"/>
              </w:rPr>
              <w:t>1</w:t>
            </w:r>
            <w:r w:rsidRPr="00191EBF">
              <w:rPr>
                <w:b/>
                <w:bCs/>
                <w:sz w:val="20"/>
                <w:szCs w:val="20"/>
              </w:rPr>
              <w:t xml:space="preserve"> год</w:t>
            </w:r>
          </w:p>
        </w:tc>
        <w:tc>
          <w:tcPr>
            <w:tcW w:w="706" w:type="dxa"/>
            <w:tcBorders>
              <w:top w:val="nil"/>
              <w:left w:val="nil"/>
              <w:bottom w:val="single" w:sz="4" w:space="0" w:color="auto"/>
              <w:right w:val="single" w:sz="4" w:space="0" w:color="auto"/>
            </w:tcBorders>
            <w:shd w:val="clear" w:color="auto" w:fill="auto"/>
            <w:vAlign w:val="center"/>
            <w:hideMark/>
          </w:tcPr>
          <w:p w:rsidR="0055491A" w:rsidRDefault="0055491A" w:rsidP="00210BF6">
            <w:pPr>
              <w:jc w:val="center"/>
              <w:rPr>
                <w:b/>
                <w:bCs/>
                <w:sz w:val="20"/>
                <w:szCs w:val="20"/>
              </w:rPr>
            </w:pPr>
            <w:r>
              <w:rPr>
                <w:b/>
                <w:bCs/>
                <w:sz w:val="20"/>
                <w:szCs w:val="20"/>
              </w:rPr>
              <w:t>Ср. на 2022 год</w:t>
            </w:r>
          </w:p>
        </w:tc>
        <w:tc>
          <w:tcPr>
            <w:tcW w:w="707" w:type="dxa"/>
            <w:tcBorders>
              <w:top w:val="nil"/>
              <w:left w:val="nil"/>
              <w:bottom w:val="single" w:sz="4" w:space="0" w:color="auto"/>
              <w:right w:val="single" w:sz="4" w:space="0" w:color="auto"/>
            </w:tcBorders>
            <w:shd w:val="clear" w:color="auto" w:fill="auto"/>
            <w:vAlign w:val="center"/>
            <w:hideMark/>
          </w:tcPr>
          <w:p w:rsidR="0055491A" w:rsidRDefault="0055491A" w:rsidP="00210BF6">
            <w:pPr>
              <w:jc w:val="center"/>
              <w:rPr>
                <w:b/>
                <w:bCs/>
                <w:sz w:val="20"/>
                <w:szCs w:val="20"/>
              </w:rPr>
            </w:pPr>
            <w:r>
              <w:rPr>
                <w:b/>
                <w:bCs/>
                <w:sz w:val="20"/>
                <w:szCs w:val="20"/>
              </w:rPr>
              <w:t>Ср.  на 2023 год</w:t>
            </w:r>
          </w:p>
        </w:tc>
        <w:tc>
          <w:tcPr>
            <w:tcW w:w="707" w:type="dxa"/>
            <w:tcBorders>
              <w:top w:val="nil"/>
              <w:left w:val="nil"/>
              <w:bottom w:val="single" w:sz="4" w:space="0" w:color="auto"/>
              <w:right w:val="nil"/>
            </w:tcBorders>
            <w:shd w:val="clear" w:color="auto" w:fill="auto"/>
            <w:vAlign w:val="center"/>
            <w:hideMark/>
          </w:tcPr>
          <w:p w:rsidR="0055491A" w:rsidRDefault="0055491A" w:rsidP="00210BF6">
            <w:pPr>
              <w:jc w:val="center"/>
              <w:rPr>
                <w:b/>
                <w:bCs/>
                <w:sz w:val="20"/>
                <w:szCs w:val="20"/>
              </w:rPr>
            </w:pPr>
            <w:r>
              <w:rPr>
                <w:b/>
                <w:bCs/>
                <w:sz w:val="20"/>
                <w:szCs w:val="20"/>
              </w:rPr>
              <w:t>Ср. на 2024 год</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55491A" w:rsidRDefault="0055491A" w:rsidP="00210BF6">
            <w:pPr>
              <w:jc w:val="center"/>
              <w:rPr>
                <w:b/>
                <w:bCs/>
                <w:sz w:val="20"/>
                <w:szCs w:val="20"/>
              </w:rPr>
            </w:pPr>
            <w:r>
              <w:rPr>
                <w:b/>
                <w:bCs/>
                <w:sz w:val="20"/>
                <w:szCs w:val="20"/>
              </w:rPr>
              <w:t>2022 год</w:t>
            </w:r>
          </w:p>
        </w:tc>
        <w:tc>
          <w:tcPr>
            <w:tcW w:w="1134" w:type="dxa"/>
            <w:tcBorders>
              <w:top w:val="nil"/>
              <w:left w:val="nil"/>
              <w:bottom w:val="single" w:sz="4" w:space="0" w:color="auto"/>
              <w:right w:val="single" w:sz="4" w:space="0" w:color="auto"/>
            </w:tcBorders>
            <w:shd w:val="clear" w:color="auto" w:fill="auto"/>
            <w:noWrap/>
            <w:vAlign w:val="center"/>
            <w:hideMark/>
          </w:tcPr>
          <w:p w:rsidR="0055491A" w:rsidRDefault="0055491A" w:rsidP="00210BF6">
            <w:pPr>
              <w:jc w:val="center"/>
              <w:rPr>
                <w:b/>
                <w:bCs/>
                <w:sz w:val="20"/>
                <w:szCs w:val="20"/>
              </w:rPr>
            </w:pPr>
            <w:r>
              <w:rPr>
                <w:b/>
                <w:bCs/>
                <w:sz w:val="20"/>
                <w:szCs w:val="20"/>
              </w:rPr>
              <w:t>2023 год</w:t>
            </w:r>
          </w:p>
        </w:tc>
        <w:tc>
          <w:tcPr>
            <w:tcW w:w="1134" w:type="dxa"/>
            <w:tcBorders>
              <w:top w:val="nil"/>
              <w:left w:val="nil"/>
              <w:bottom w:val="single" w:sz="4" w:space="0" w:color="auto"/>
              <w:right w:val="single" w:sz="8" w:space="0" w:color="auto"/>
            </w:tcBorders>
            <w:shd w:val="clear" w:color="auto" w:fill="auto"/>
            <w:noWrap/>
            <w:vAlign w:val="center"/>
            <w:hideMark/>
          </w:tcPr>
          <w:p w:rsidR="0055491A" w:rsidRDefault="0055491A" w:rsidP="00210BF6">
            <w:pPr>
              <w:jc w:val="center"/>
              <w:rPr>
                <w:b/>
                <w:bCs/>
                <w:sz w:val="20"/>
                <w:szCs w:val="20"/>
              </w:rPr>
            </w:pPr>
            <w:r>
              <w:rPr>
                <w:b/>
                <w:bCs/>
                <w:sz w:val="20"/>
                <w:szCs w:val="20"/>
              </w:rPr>
              <w:t>2024 год</w:t>
            </w:r>
          </w:p>
        </w:tc>
      </w:tr>
      <w:tr w:rsidR="0055491A" w:rsidRPr="00F80477" w:rsidTr="00210BF6">
        <w:trPr>
          <w:trHeight w:val="255"/>
        </w:trPr>
        <w:tc>
          <w:tcPr>
            <w:tcW w:w="9346" w:type="dxa"/>
            <w:gridSpan w:val="11"/>
            <w:tcBorders>
              <w:top w:val="single" w:sz="4" w:space="0" w:color="auto"/>
              <w:left w:val="single" w:sz="4" w:space="0" w:color="auto"/>
              <w:bottom w:val="single" w:sz="4" w:space="0" w:color="auto"/>
              <w:right w:val="single" w:sz="4" w:space="0" w:color="auto"/>
            </w:tcBorders>
            <w:shd w:val="clear" w:color="auto" w:fill="auto"/>
            <w:noWrap/>
            <w:vAlign w:val="center"/>
          </w:tcPr>
          <w:p w:rsidR="0055491A" w:rsidRPr="006B62D7" w:rsidRDefault="0055491A" w:rsidP="00210BF6">
            <w:pPr>
              <w:jc w:val="center"/>
              <w:rPr>
                <w:color w:val="000000"/>
              </w:rPr>
            </w:pPr>
            <w:r>
              <w:rPr>
                <w:b/>
                <w:bCs/>
              </w:rPr>
              <w:t xml:space="preserve">Нарушения </w:t>
            </w:r>
            <w:r w:rsidRPr="00F80477">
              <w:rPr>
                <w:b/>
                <w:bCs/>
              </w:rPr>
              <w:t>статьи</w:t>
            </w:r>
            <w:r>
              <w:rPr>
                <w:b/>
                <w:bCs/>
              </w:rPr>
              <w:t xml:space="preserve"> </w:t>
            </w:r>
            <w:r w:rsidRPr="00F973E4">
              <w:rPr>
                <w:b/>
                <w:bCs/>
              </w:rPr>
              <w:t>19.4.1</w:t>
            </w:r>
            <w:r>
              <w:rPr>
                <w:b/>
                <w:bCs/>
              </w:rPr>
              <w:t xml:space="preserve"> </w:t>
            </w:r>
            <w:r w:rsidRPr="00F973E4">
              <w:rPr>
                <w:b/>
                <w:bCs/>
              </w:rPr>
              <w:t>КоАП РФ</w:t>
            </w:r>
          </w:p>
        </w:tc>
      </w:tr>
      <w:tr w:rsidR="0055491A" w:rsidRPr="00F80477" w:rsidTr="00210BF6">
        <w:trPr>
          <w:trHeight w:val="255"/>
        </w:trPr>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491A" w:rsidRPr="00C9742B" w:rsidRDefault="0055491A" w:rsidP="00210BF6">
            <w:pPr>
              <w:jc w:val="center"/>
              <w:rPr>
                <w:color w:val="000000" w:themeColor="text1"/>
              </w:rPr>
            </w:pPr>
            <w:r w:rsidRPr="00C9742B">
              <w:rPr>
                <w:color w:val="000000" w:themeColor="text1"/>
              </w:rPr>
              <w:t>5</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491A" w:rsidRPr="00C9742B" w:rsidRDefault="0055491A" w:rsidP="00210BF6">
            <w:pPr>
              <w:jc w:val="center"/>
              <w:rPr>
                <w:color w:val="000000" w:themeColor="text1"/>
              </w:rPr>
            </w:pPr>
            <w:r w:rsidRPr="00C9742B">
              <w:rPr>
                <w:color w:val="000000" w:themeColor="text1"/>
              </w:rPr>
              <w:t>4</w:t>
            </w:r>
          </w:p>
        </w:tc>
        <w:tc>
          <w:tcPr>
            <w:tcW w:w="701" w:type="dxa"/>
            <w:tcBorders>
              <w:top w:val="single" w:sz="4" w:space="0" w:color="auto"/>
              <w:left w:val="nil"/>
              <w:bottom w:val="single" w:sz="4" w:space="0" w:color="auto"/>
              <w:right w:val="single" w:sz="4" w:space="0" w:color="auto"/>
            </w:tcBorders>
            <w:shd w:val="clear" w:color="auto" w:fill="auto"/>
            <w:noWrap/>
            <w:vAlign w:val="center"/>
            <w:hideMark/>
          </w:tcPr>
          <w:p w:rsidR="0055491A" w:rsidRPr="00C9742B" w:rsidRDefault="0055491A" w:rsidP="00210BF6">
            <w:pPr>
              <w:jc w:val="center"/>
              <w:rPr>
                <w:color w:val="000000" w:themeColor="text1"/>
              </w:rPr>
            </w:pPr>
            <w:r w:rsidRPr="00C9742B">
              <w:rPr>
                <w:color w:val="000000" w:themeColor="text1"/>
              </w:rPr>
              <w:t>7</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55491A" w:rsidRPr="00C9742B" w:rsidRDefault="0055491A" w:rsidP="00210BF6">
            <w:pPr>
              <w:jc w:val="center"/>
              <w:rPr>
                <w:color w:val="000000" w:themeColor="text1"/>
              </w:rPr>
            </w:pPr>
            <w:r w:rsidRPr="00C9742B">
              <w:rPr>
                <w:color w:val="000000" w:themeColor="text1"/>
              </w:rPr>
              <w:t>12</w:t>
            </w:r>
          </w:p>
        </w:tc>
        <w:tc>
          <w:tcPr>
            <w:tcW w:w="707" w:type="dxa"/>
            <w:tcBorders>
              <w:top w:val="single" w:sz="4" w:space="0" w:color="auto"/>
              <w:left w:val="nil"/>
              <w:bottom w:val="single" w:sz="4" w:space="0" w:color="auto"/>
              <w:right w:val="single" w:sz="4" w:space="0" w:color="auto"/>
            </w:tcBorders>
            <w:shd w:val="clear" w:color="auto" w:fill="FFFFFF" w:themeFill="background1"/>
            <w:vAlign w:val="center"/>
          </w:tcPr>
          <w:p w:rsidR="0055491A" w:rsidRPr="00C9742B" w:rsidRDefault="0055491A" w:rsidP="00210BF6">
            <w:pPr>
              <w:jc w:val="center"/>
              <w:rPr>
                <w:color w:val="000000" w:themeColor="text1"/>
              </w:rPr>
            </w:pPr>
            <w:r w:rsidRPr="00C9742B">
              <w:rPr>
                <w:color w:val="000000" w:themeColor="text1"/>
              </w:rPr>
              <w:t>8</w:t>
            </w:r>
          </w:p>
        </w:tc>
        <w:tc>
          <w:tcPr>
            <w:tcW w:w="7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5491A" w:rsidRPr="00C9742B" w:rsidRDefault="0055491A" w:rsidP="00210BF6">
            <w:pPr>
              <w:jc w:val="center"/>
              <w:rPr>
                <w:color w:val="000000" w:themeColor="text1"/>
              </w:rPr>
            </w:pPr>
            <w:r w:rsidRPr="00C9742B">
              <w:rPr>
                <w:color w:val="000000" w:themeColor="text1"/>
              </w:rPr>
              <w:t>9</w:t>
            </w:r>
          </w:p>
        </w:tc>
        <w:tc>
          <w:tcPr>
            <w:tcW w:w="707" w:type="dxa"/>
            <w:tcBorders>
              <w:top w:val="nil"/>
              <w:left w:val="single" w:sz="4" w:space="0" w:color="auto"/>
              <w:bottom w:val="single" w:sz="4" w:space="0" w:color="auto"/>
              <w:right w:val="single" w:sz="4" w:space="0" w:color="auto"/>
            </w:tcBorders>
            <w:shd w:val="clear" w:color="auto" w:fill="FFFFFF" w:themeFill="background1"/>
            <w:vAlign w:val="center"/>
            <w:hideMark/>
          </w:tcPr>
          <w:p w:rsidR="0055491A" w:rsidRPr="00C9742B" w:rsidRDefault="0055491A" w:rsidP="00210BF6">
            <w:pPr>
              <w:jc w:val="center"/>
              <w:rPr>
                <w:color w:val="000000" w:themeColor="text1"/>
              </w:rPr>
            </w:pPr>
            <w:r w:rsidRPr="00C9742B">
              <w:rPr>
                <w:color w:val="000000" w:themeColor="text1"/>
              </w:rPr>
              <w:t>10</w:t>
            </w:r>
          </w:p>
        </w:tc>
        <w:tc>
          <w:tcPr>
            <w:tcW w:w="707" w:type="dxa"/>
            <w:tcBorders>
              <w:top w:val="nil"/>
              <w:left w:val="single" w:sz="4" w:space="0" w:color="auto"/>
              <w:bottom w:val="single" w:sz="4" w:space="0" w:color="auto"/>
              <w:right w:val="single" w:sz="4" w:space="0" w:color="auto"/>
            </w:tcBorders>
            <w:shd w:val="clear" w:color="auto" w:fill="FFFFFF" w:themeFill="background1"/>
            <w:vAlign w:val="center"/>
            <w:hideMark/>
          </w:tcPr>
          <w:p w:rsidR="0055491A" w:rsidRPr="00C9742B" w:rsidRDefault="0055491A" w:rsidP="00210BF6">
            <w:pPr>
              <w:jc w:val="center"/>
              <w:rPr>
                <w:color w:val="000000" w:themeColor="text1"/>
              </w:rPr>
            </w:pPr>
            <w:r w:rsidRPr="00C9742B">
              <w:rPr>
                <w:color w:val="000000" w:themeColor="text1"/>
              </w:rPr>
              <w:t>9</w:t>
            </w:r>
          </w:p>
        </w:tc>
        <w:tc>
          <w:tcPr>
            <w:tcW w:w="1134" w:type="dxa"/>
            <w:tcBorders>
              <w:top w:val="nil"/>
              <w:left w:val="single" w:sz="4" w:space="0" w:color="auto"/>
              <w:bottom w:val="single" w:sz="4" w:space="0" w:color="auto"/>
              <w:right w:val="single" w:sz="4" w:space="0" w:color="auto"/>
            </w:tcBorders>
            <w:shd w:val="clear" w:color="auto" w:fill="FFFFFF" w:themeFill="background1"/>
            <w:vAlign w:val="center"/>
            <w:hideMark/>
          </w:tcPr>
          <w:p w:rsidR="0055491A" w:rsidRPr="00C9742B" w:rsidRDefault="0055491A" w:rsidP="00210BF6">
            <w:pPr>
              <w:jc w:val="center"/>
              <w:rPr>
                <w:color w:val="000000" w:themeColor="text1"/>
              </w:rPr>
            </w:pPr>
            <w:r w:rsidRPr="00C9742B">
              <w:rPr>
                <w:color w:val="000000" w:themeColor="text1"/>
              </w:rPr>
              <w:t>45,0</w:t>
            </w:r>
          </w:p>
        </w:tc>
        <w:tc>
          <w:tcPr>
            <w:tcW w:w="1134" w:type="dxa"/>
            <w:tcBorders>
              <w:top w:val="nil"/>
              <w:left w:val="single" w:sz="4" w:space="0" w:color="auto"/>
              <w:bottom w:val="single" w:sz="4" w:space="0" w:color="auto"/>
              <w:right w:val="single" w:sz="4" w:space="0" w:color="auto"/>
            </w:tcBorders>
            <w:shd w:val="clear" w:color="auto" w:fill="FFFFFF" w:themeFill="background1"/>
            <w:vAlign w:val="center"/>
            <w:hideMark/>
          </w:tcPr>
          <w:p w:rsidR="0055491A" w:rsidRPr="00C9742B" w:rsidRDefault="0055491A" w:rsidP="00210BF6">
            <w:pPr>
              <w:jc w:val="center"/>
              <w:rPr>
                <w:color w:val="000000" w:themeColor="text1"/>
              </w:rPr>
            </w:pPr>
            <w:r w:rsidRPr="00C9742B">
              <w:rPr>
                <w:color w:val="000000" w:themeColor="text1"/>
              </w:rPr>
              <w:t>50,0</w:t>
            </w:r>
          </w:p>
        </w:tc>
        <w:tc>
          <w:tcPr>
            <w:tcW w:w="1134" w:type="dxa"/>
            <w:tcBorders>
              <w:top w:val="nil"/>
              <w:left w:val="single" w:sz="4" w:space="0" w:color="auto"/>
              <w:bottom w:val="single" w:sz="4" w:space="0" w:color="auto"/>
              <w:right w:val="single" w:sz="4" w:space="0" w:color="auto"/>
            </w:tcBorders>
            <w:shd w:val="clear" w:color="auto" w:fill="FFFFFF" w:themeFill="background1"/>
            <w:vAlign w:val="center"/>
            <w:hideMark/>
          </w:tcPr>
          <w:p w:rsidR="0055491A" w:rsidRPr="00C9742B" w:rsidRDefault="0055491A" w:rsidP="00210BF6">
            <w:pPr>
              <w:jc w:val="center"/>
              <w:rPr>
                <w:color w:val="000000" w:themeColor="text1"/>
              </w:rPr>
            </w:pPr>
            <w:r w:rsidRPr="00C9742B">
              <w:rPr>
                <w:color w:val="000000" w:themeColor="text1"/>
              </w:rPr>
              <w:t>45,0</w:t>
            </w:r>
          </w:p>
        </w:tc>
      </w:tr>
      <w:tr w:rsidR="0055491A" w:rsidRPr="00F80477" w:rsidTr="00210BF6">
        <w:trPr>
          <w:trHeight w:val="255"/>
        </w:trPr>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491A" w:rsidRPr="00C9742B" w:rsidRDefault="0055491A" w:rsidP="00210BF6">
            <w:pPr>
              <w:jc w:val="center"/>
              <w:rPr>
                <w:color w:val="000000" w:themeColor="text1"/>
              </w:rPr>
            </w:pPr>
            <w:r w:rsidRPr="00C9742B">
              <w:rPr>
                <w:color w:val="000000" w:themeColor="text1"/>
              </w:rPr>
              <w:t>10</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5491A" w:rsidRPr="00C9742B" w:rsidRDefault="0055491A" w:rsidP="00210BF6">
            <w:pPr>
              <w:jc w:val="center"/>
              <w:rPr>
                <w:color w:val="000000" w:themeColor="text1"/>
              </w:rPr>
            </w:pPr>
            <w:r w:rsidRPr="00C9742B">
              <w:rPr>
                <w:color w:val="000000" w:themeColor="text1"/>
              </w:rPr>
              <w:t>0</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5491A" w:rsidRPr="00C9742B" w:rsidRDefault="0055491A" w:rsidP="00210BF6">
            <w:pPr>
              <w:jc w:val="center"/>
              <w:rPr>
                <w:color w:val="000000" w:themeColor="text1"/>
              </w:rPr>
            </w:pPr>
            <w:r w:rsidRPr="00C9742B">
              <w:rPr>
                <w:color w:val="000000" w:themeColor="text1"/>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5491A" w:rsidRPr="00C9742B" w:rsidRDefault="0055491A" w:rsidP="00210BF6">
            <w:pPr>
              <w:jc w:val="center"/>
              <w:rPr>
                <w:color w:val="000000" w:themeColor="text1"/>
              </w:rPr>
            </w:pPr>
            <w:r w:rsidRPr="00C9742B">
              <w:rPr>
                <w:color w:val="000000" w:themeColor="text1"/>
              </w:rPr>
              <w:t>5</w:t>
            </w:r>
          </w:p>
        </w:tc>
        <w:tc>
          <w:tcPr>
            <w:tcW w:w="707" w:type="dxa"/>
            <w:tcBorders>
              <w:top w:val="single" w:sz="4" w:space="0" w:color="auto"/>
              <w:left w:val="single" w:sz="4" w:space="0" w:color="auto"/>
              <w:bottom w:val="single" w:sz="4" w:space="0" w:color="auto"/>
              <w:right w:val="single" w:sz="4" w:space="0" w:color="auto"/>
            </w:tcBorders>
            <w:shd w:val="clear" w:color="auto" w:fill="auto"/>
            <w:vAlign w:val="bottom"/>
          </w:tcPr>
          <w:p w:rsidR="0055491A" w:rsidRPr="00C9742B" w:rsidRDefault="0055491A" w:rsidP="00210BF6">
            <w:pPr>
              <w:jc w:val="center"/>
              <w:rPr>
                <w:color w:val="000000" w:themeColor="text1"/>
              </w:rPr>
            </w:pPr>
            <w:r w:rsidRPr="00C9742B">
              <w:rPr>
                <w:color w:val="000000" w:themeColor="text1"/>
              </w:rPr>
              <w:t>2</w:t>
            </w:r>
          </w:p>
        </w:tc>
        <w:tc>
          <w:tcPr>
            <w:tcW w:w="7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5491A" w:rsidRPr="00C9742B" w:rsidRDefault="0055491A" w:rsidP="00210BF6">
            <w:pPr>
              <w:jc w:val="center"/>
              <w:rPr>
                <w:color w:val="000000" w:themeColor="text1"/>
              </w:rPr>
            </w:pPr>
            <w:r w:rsidRPr="00C9742B">
              <w:rPr>
                <w:color w:val="000000" w:themeColor="text1"/>
              </w:rPr>
              <w:t>2</w:t>
            </w:r>
          </w:p>
        </w:tc>
        <w:tc>
          <w:tcPr>
            <w:tcW w:w="707" w:type="dxa"/>
            <w:tcBorders>
              <w:top w:val="nil"/>
              <w:left w:val="single" w:sz="4" w:space="0" w:color="auto"/>
              <w:bottom w:val="single" w:sz="4" w:space="0" w:color="auto"/>
              <w:right w:val="single" w:sz="4" w:space="0" w:color="auto"/>
            </w:tcBorders>
            <w:shd w:val="clear" w:color="auto" w:fill="FFFFFF" w:themeFill="background1"/>
            <w:vAlign w:val="center"/>
          </w:tcPr>
          <w:p w:rsidR="0055491A" w:rsidRPr="00C9742B" w:rsidRDefault="0055491A" w:rsidP="00210BF6">
            <w:pPr>
              <w:jc w:val="center"/>
              <w:rPr>
                <w:color w:val="000000" w:themeColor="text1"/>
              </w:rPr>
            </w:pPr>
            <w:r w:rsidRPr="00C9742B">
              <w:rPr>
                <w:color w:val="000000" w:themeColor="text1"/>
              </w:rPr>
              <w:t>3</w:t>
            </w:r>
          </w:p>
        </w:tc>
        <w:tc>
          <w:tcPr>
            <w:tcW w:w="707" w:type="dxa"/>
            <w:tcBorders>
              <w:top w:val="nil"/>
              <w:left w:val="single" w:sz="4" w:space="0" w:color="auto"/>
              <w:bottom w:val="single" w:sz="4" w:space="0" w:color="auto"/>
              <w:right w:val="single" w:sz="4" w:space="0" w:color="auto"/>
            </w:tcBorders>
            <w:shd w:val="clear" w:color="auto" w:fill="FFFFFF" w:themeFill="background1"/>
            <w:vAlign w:val="center"/>
          </w:tcPr>
          <w:p w:rsidR="0055491A" w:rsidRPr="00C9742B" w:rsidRDefault="0055491A" w:rsidP="00210BF6">
            <w:pPr>
              <w:jc w:val="center"/>
              <w:rPr>
                <w:color w:val="000000" w:themeColor="text1"/>
              </w:rPr>
            </w:pPr>
            <w:r w:rsidRPr="00C9742B">
              <w:rPr>
                <w:color w:val="000000" w:themeColor="text1"/>
              </w:rPr>
              <w:t>2</w:t>
            </w:r>
          </w:p>
        </w:tc>
        <w:tc>
          <w:tcPr>
            <w:tcW w:w="1134" w:type="dxa"/>
            <w:tcBorders>
              <w:top w:val="nil"/>
              <w:left w:val="single" w:sz="4" w:space="0" w:color="auto"/>
              <w:bottom w:val="single" w:sz="4" w:space="0" w:color="auto"/>
              <w:right w:val="single" w:sz="4" w:space="0" w:color="auto"/>
            </w:tcBorders>
            <w:shd w:val="clear" w:color="auto" w:fill="FFFFFF" w:themeFill="background1"/>
            <w:vAlign w:val="center"/>
          </w:tcPr>
          <w:p w:rsidR="0055491A" w:rsidRPr="00C9742B" w:rsidRDefault="0055491A" w:rsidP="00210BF6">
            <w:pPr>
              <w:jc w:val="center"/>
              <w:rPr>
                <w:color w:val="000000" w:themeColor="text1"/>
              </w:rPr>
            </w:pPr>
            <w:r w:rsidRPr="00C9742B">
              <w:rPr>
                <w:color w:val="000000" w:themeColor="text1"/>
              </w:rPr>
              <w:t>20,0</w:t>
            </w:r>
          </w:p>
        </w:tc>
        <w:tc>
          <w:tcPr>
            <w:tcW w:w="1134" w:type="dxa"/>
            <w:tcBorders>
              <w:top w:val="nil"/>
              <w:left w:val="single" w:sz="4" w:space="0" w:color="auto"/>
              <w:bottom w:val="single" w:sz="4" w:space="0" w:color="auto"/>
              <w:right w:val="single" w:sz="4" w:space="0" w:color="auto"/>
            </w:tcBorders>
            <w:shd w:val="clear" w:color="auto" w:fill="FFFFFF" w:themeFill="background1"/>
            <w:vAlign w:val="center"/>
          </w:tcPr>
          <w:p w:rsidR="0055491A" w:rsidRPr="00C9742B" w:rsidRDefault="0055491A" w:rsidP="00210BF6">
            <w:pPr>
              <w:jc w:val="center"/>
              <w:rPr>
                <w:color w:val="000000" w:themeColor="text1"/>
              </w:rPr>
            </w:pPr>
            <w:r w:rsidRPr="00C9742B">
              <w:rPr>
                <w:color w:val="000000" w:themeColor="text1"/>
              </w:rPr>
              <w:t>30,0</w:t>
            </w:r>
          </w:p>
        </w:tc>
        <w:tc>
          <w:tcPr>
            <w:tcW w:w="1134" w:type="dxa"/>
            <w:tcBorders>
              <w:top w:val="nil"/>
              <w:left w:val="single" w:sz="4" w:space="0" w:color="auto"/>
              <w:bottom w:val="single" w:sz="4" w:space="0" w:color="auto"/>
              <w:right w:val="single" w:sz="4" w:space="0" w:color="auto"/>
            </w:tcBorders>
            <w:shd w:val="clear" w:color="auto" w:fill="FFFFFF" w:themeFill="background1"/>
            <w:vAlign w:val="center"/>
          </w:tcPr>
          <w:p w:rsidR="0055491A" w:rsidRPr="00C9742B" w:rsidRDefault="0055491A" w:rsidP="00210BF6">
            <w:pPr>
              <w:jc w:val="center"/>
              <w:rPr>
                <w:color w:val="000000" w:themeColor="text1"/>
              </w:rPr>
            </w:pPr>
            <w:r w:rsidRPr="00C9742B">
              <w:rPr>
                <w:color w:val="000000" w:themeColor="text1"/>
              </w:rPr>
              <w:t>20,0</w:t>
            </w:r>
          </w:p>
        </w:tc>
      </w:tr>
      <w:tr w:rsidR="0055491A" w:rsidRPr="00F80477" w:rsidTr="00210BF6">
        <w:trPr>
          <w:trHeight w:val="255"/>
        </w:trPr>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491A" w:rsidRPr="00C9742B" w:rsidRDefault="0055491A" w:rsidP="00210BF6">
            <w:pPr>
              <w:jc w:val="center"/>
              <w:rPr>
                <w:color w:val="000000" w:themeColor="text1"/>
              </w:rPr>
            </w:pPr>
            <w:r w:rsidRPr="00C9742B">
              <w:rPr>
                <w:color w:val="000000" w:themeColor="text1"/>
              </w:rPr>
              <w:t>20</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491A" w:rsidRPr="00C9742B" w:rsidRDefault="0055491A" w:rsidP="00210BF6">
            <w:pPr>
              <w:jc w:val="center"/>
              <w:rPr>
                <w:color w:val="000000" w:themeColor="text1"/>
              </w:rPr>
            </w:pPr>
            <w:r w:rsidRPr="00C9742B">
              <w:rPr>
                <w:color w:val="000000" w:themeColor="text1"/>
              </w:rPr>
              <w:t>44</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491A" w:rsidRPr="00C9742B" w:rsidRDefault="0055491A" w:rsidP="00210BF6">
            <w:pPr>
              <w:jc w:val="center"/>
              <w:rPr>
                <w:color w:val="000000" w:themeColor="text1"/>
              </w:rPr>
            </w:pPr>
            <w:r w:rsidRPr="00C9742B">
              <w:rPr>
                <w:color w:val="000000" w:themeColor="text1"/>
              </w:rPr>
              <w:t>88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491A" w:rsidRPr="00C9742B" w:rsidRDefault="0055491A" w:rsidP="00210BF6">
            <w:pPr>
              <w:jc w:val="center"/>
              <w:rPr>
                <w:color w:val="000000" w:themeColor="text1"/>
              </w:rPr>
            </w:pPr>
            <w:r w:rsidRPr="00C9742B">
              <w:rPr>
                <w:color w:val="000000" w:themeColor="text1"/>
              </w:rPr>
              <w:t>45</w:t>
            </w:r>
          </w:p>
        </w:tc>
        <w:tc>
          <w:tcPr>
            <w:tcW w:w="707" w:type="dxa"/>
            <w:tcBorders>
              <w:top w:val="single" w:sz="4" w:space="0" w:color="auto"/>
              <w:left w:val="single" w:sz="4" w:space="0" w:color="auto"/>
              <w:bottom w:val="single" w:sz="4" w:space="0" w:color="auto"/>
              <w:right w:val="single" w:sz="4" w:space="0" w:color="auto"/>
            </w:tcBorders>
            <w:shd w:val="clear" w:color="auto" w:fill="auto"/>
            <w:vAlign w:val="bottom"/>
          </w:tcPr>
          <w:p w:rsidR="0055491A" w:rsidRPr="00C9742B" w:rsidRDefault="0055491A" w:rsidP="00210BF6">
            <w:pPr>
              <w:jc w:val="center"/>
              <w:rPr>
                <w:color w:val="000000" w:themeColor="text1"/>
              </w:rPr>
            </w:pPr>
            <w:r w:rsidRPr="00C9742B">
              <w:rPr>
                <w:color w:val="000000" w:themeColor="text1"/>
              </w:rPr>
              <w:t>58</w:t>
            </w:r>
          </w:p>
        </w:tc>
        <w:tc>
          <w:tcPr>
            <w:tcW w:w="7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5491A" w:rsidRPr="00C9742B" w:rsidRDefault="0055491A" w:rsidP="00210BF6">
            <w:pPr>
              <w:jc w:val="center"/>
              <w:rPr>
                <w:color w:val="000000" w:themeColor="text1"/>
              </w:rPr>
            </w:pPr>
            <w:r w:rsidRPr="00C9742B">
              <w:rPr>
                <w:color w:val="000000" w:themeColor="text1"/>
              </w:rPr>
              <w:t>63</w:t>
            </w:r>
          </w:p>
        </w:tc>
        <w:tc>
          <w:tcPr>
            <w:tcW w:w="707" w:type="dxa"/>
            <w:tcBorders>
              <w:top w:val="nil"/>
              <w:left w:val="single" w:sz="4" w:space="0" w:color="auto"/>
              <w:bottom w:val="single" w:sz="4" w:space="0" w:color="auto"/>
              <w:right w:val="single" w:sz="4" w:space="0" w:color="auto"/>
            </w:tcBorders>
            <w:shd w:val="clear" w:color="auto" w:fill="FFFFFF" w:themeFill="background1"/>
            <w:vAlign w:val="center"/>
            <w:hideMark/>
          </w:tcPr>
          <w:p w:rsidR="0055491A" w:rsidRPr="00C9742B" w:rsidRDefault="0055491A" w:rsidP="00210BF6">
            <w:pPr>
              <w:jc w:val="center"/>
              <w:rPr>
                <w:color w:val="000000" w:themeColor="text1"/>
              </w:rPr>
            </w:pPr>
            <w:r w:rsidRPr="00C9742B">
              <w:rPr>
                <w:color w:val="000000" w:themeColor="text1"/>
              </w:rPr>
              <w:t>56</w:t>
            </w:r>
          </w:p>
        </w:tc>
        <w:tc>
          <w:tcPr>
            <w:tcW w:w="707" w:type="dxa"/>
            <w:tcBorders>
              <w:top w:val="nil"/>
              <w:left w:val="single" w:sz="4" w:space="0" w:color="auto"/>
              <w:bottom w:val="single" w:sz="4" w:space="0" w:color="auto"/>
              <w:right w:val="single" w:sz="4" w:space="0" w:color="auto"/>
            </w:tcBorders>
            <w:shd w:val="clear" w:color="auto" w:fill="FFFFFF" w:themeFill="background1"/>
            <w:vAlign w:val="center"/>
            <w:hideMark/>
          </w:tcPr>
          <w:p w:rsidR="0055491A" w:rsidRPr="00C9742B" w:rsidRDefault="0055491A" w:rsidP="00210BF6">
            <w:pPr>
              <w:jc w:val="center"/>
              <w:rPr>
                <w:color w:val="000000" w:themeColor="text1"/>
              </w:rPr>
            </w:pPr>
            <w:r w:rsidRPr="00C9742B">
              <w:rPr>
                <w:color w:val="000000" w:themeColor="text1"/>
              </w:rPr>
              <w:t>59</w:t>
            </w:r>
          </w:p>
        </w:tc>
        <w:tc>
          <w:tcPr>
            <w:tcW w:w="1134" w:type="dxa"/>
            <w:tcBorders>
              <w:top w:val="nil"/>
              <w:left w:val="single" w:sz="4" w:space="0" w:color="auto"/>
              <w:bottom w:val="single" w:sz="4" w:space="0" w:color="auto"/>
              <w:right w:val="single" w:sz="4" w:space="0" w:color="auto"/>
            </w:tcBorders>
            <w:shd w:val="clear" w:color="auto" w:fill="FFFFFF" w:themeFill="background1"/>
            <w:vAlign w:val="center"/>
            <w:hideMark/>
          </w:tcPr>
          <w:p w:rsidR="0055491A" w:rsidRPr="00C9742B" w:rsidRDefault="0055491A" w:rsidP="00210BF6">
            <w:pPr>
              <w:jc w:val="center"/>
              <w:rPr>
                <w:color w:val="000000" w:themeColor="text1"/>
              </w:rPr>
            </w:pPr>
            <w:r w:rsidRPr="00C9742B">
              <w:rPr>
                <w:color w:val="000000" w:themeColor="text1"/>
              </w:rPr>
              <w:t>1 260,0</w:t>
            </w:r>
          </w:p>
        </w:tc>
        <w:tc>
          <w:tcPr>
            <w:tcW w:w="1134" w:type="dxa"/>
            <w:tcBorders>
              <w:top w:val="nil"/>
              <w:left w:val="single" w:sz="4" w:space="0" w:color="auto"/>
              <w:bottom w:val="single" w:sz="4" w:space="0" w:color="auto"/>
              <w:right w:val="single" w:sz="4" w:space="0" w:color="auto"/>
            </w:tcBorders>
            <w:shd w:val="clear" w:color="auto" w:fill="FFFFFF" w:themeFill="background1"/>
            <w:vAlign w:val="center"/>
            <w:hideMark/>
          </w:tcPr>
          <w:p w:rsidR="0055491A" w:rsidRPr="00C9742B" w:rsidRDefault="0055491A" w:rsidP="00210BF6">
            <w:pPr>
              <w:jc w:val="center"/>
              <w:rPr>
                <w:color w:val="000000" w:themeColor="text1"/>
              </w:rPr>
            </w:pPr>
            <w:r w:rsidRPr="00C9742B">
              <w:rPr>
                <w:color w:val="000000" w:themeColor="text1"/>
              </w:rPr>
              <w:t>1 120,0</w:t>
            </w:r>
          </w:p>
        </w:tc>
        <w:tc>
          <w:tcPr>
            <w:tcW w:w="1134" w:type="dxa"/>
            <w:tcBorders>
              <w:top w:val="nil"/>
              <w:left w:val="single" w:sz="4" w:space="0" w:color="auto"/>
              <w:bottom w:val="single" w:sz="4" w:space="0" w:color="auto"/>
              <w:right w:val="single" w:sz="4" w:space="0" w:color="auto"/>
            </w:tcBorders>
            <w:shd w:val="clear" w:color="auto" w:fill="FFFFFF" w:themeFill="background1"/>
            <w:vAlign w:val="center"/>
            <w:hideMark/>
          </w:tcPr>
          <w:p w:rsidR="0055491A" w:rsidRPr="00C9742B" w:rsidRDefault="0055491A" w:rsidP="00210BF6">
            <w:pPr>
              <w:jc w:val="center"/>
              <w:rPr>
                <w:color w:val="000000" w:themeColor="text1"/>
              </w:rPr>
            </w:pPr>
            <w:r w:rsidRPr="00C9742B">
              <w:rPr>
                <w:color w:val="000000" w:themeColor="text1"/>
              </w:rPr>
              <w:t>1 180,0</w:t>
            </w:r>
          </w:p>
        </w:tc>
      </w:tr>
      <w:tr w:rsidR="0055491A" w:rsidRPr="00F80477" w:rsidTr="00210BF6">
        <w:trPr>
          <w:trHeight w:val="255"/>
        </w:trPr>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491A" w:rsidRPr="00C9742B" w:rsidRDefault="0055491A" w:rsidP="00210BF6">
            <w:pPr>
              <w:jc w:val="center"/>
              <w:rPr>
                <w:color w:val="000000" w:themeColor="text1"/>
              </w:rPr>
            </w:pPr>
            <w:r w:rsidRPr="00C9742B">
              <w:rPr>
                <w:color w:val="000000" w:themeColor="text1"/>
              </w:rPr>
              <w:t>25</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491A" w:rsidRPr="00C9742B" w:rsidRDefault="0055491A" w:rsidP="00210BF6">
            <w:pPr>
              <w:jc w:val="center"/>
              <w:rPr>
                <w:color w:val="000000" w:themeColor="text1"/>
              </w:rPr>
            </w:pPr>
            <w:r w:rsidRPr="00C9742B">
              <w:rPr>
                <w:color w:val="000000" w:themeColor="text1"/>
              </w:rPr>
              <w:t>0</w:t>
            </w:r>
          </w:p>
        </w:tc>
        <w:tc>
          <w:tcPr>
            <w:tcW w:w="701" w:type="dxa"/>
            <w:tcBorders>
              <w:top w:val="single" w:sz="4" w:space="0" w:color="auto"/>
              <w:left w:val="nil"/>
              <w:bottom w:val="single" w:sz="4" w:space="0" w:color="auto"/>
              <w:right w:val="single" w:sz="4" w:space="0" w:color="auto"/>
            </w:tcBorders>
            <w:shd w:val="clear" w:color="auto" w:fill="auto"/>
            <w:noWrap/>
            <w:vAlign w:val="center"/>
          </w:tcPr>
          <w:p w:rsidR="0055491A" w:rsidRPr="00C9742B" w:rsidRDefault="0055491A" w:rsidP="00210BF6">
            <w:pPr>
              <w:jc w:val="center"/>
              <w:rPr>
                <w:color w:val="000000" w:themeColor="text1"/>
              </w:rPr>
            </w:pPr>
            <w:r w:rsidRPr="00C9742B">
              <w:rPr>
                <w:color w:val="000000" w:themeColor="text1"/>
              </w:rPr>
              <w:t>2</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5491A" w:rsidRPr="00C9742B" w:rsidRDefault="0055491A" w:rsidP="00210BF6">
            <w:pPr>
              <w:jc w:val="center"/>
              <w:rPr>
                <w:color w:val="000000" w:themeColor="text1"/>
              </w:rPr>
            </w:pPr>
            <w:r w:rsidRPr="00C9742B">
              <w:rPr>
                <w:color w:val="000000" w:themeColor="text1"/>
              </w:rPr>
              <w:t>0</w:t>
            </w:r>
          </w:p>
        </w:tc>
        <w:tc>
          <w:tcPr>
            <w:tcW w:w="707" w:type="dxa"/>
            <w:tcBorders>
              <w:top w:val="single" w:sz="4" w:space="0" w:color="auto"/>
              <w:left w:val="nil"/>
              <w:bottom w:val="single" w:sz="4" w:space="0" w:color="auto"/>
              <w:right w:val="single" w:sz="4" w:space="0" w:color="auto"/>
            </w:tcBorders>
            <w:shd w:val="clear" w:color="auto" w:fill="FFFFFF" w:themeFill="background1"/>
            <w:vAlign w:val="center"/>
          </w:tcPr>
          <w:p w:rsidR="0055491A" w:rsidRPr="00C9742B" w:rsidRDefault="0055491A" w:rsidP="00210BF6">
            <w:pPr>
              <w:jc w:val="center"/>
              <w:rPr>
                <w:color w:val="000000" w:themeColor="text1"/>
              </w:rPr>
            </w:pPr>
            <w:r w:rsidRPr="00C9742B">
              <w:rPr>
                <w:color w:val="000000" w:themeColor="text1"/>
              </w:rPr>
              <w:t>1</w:t>
            </w:r>
          </w:p>
        </w:tc>
        <w:tc>
          <w:tcPr>
            <w:tcW w:w="7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5491A" w:rsidRPr="00C9742B" w:rsidRDefault="0055491A" w:rsidP="00210BF6">
            <w:pPr>
              <w:jc w:val="center"/>
              <w:rPr>
                <w:color w:val="000000" w:themeColor="text1"/>
              </w:rPr>
            </w:pPr>
            <w:r w:rsidRPr="00C9742B">
              <w:rPr>
                <w:color w:val="000000" w:themeColor="text1"/>
              </w:rPr>
              <w:t>1</w:t>
            </w:r>
          </w:p>
        </w:tc>
        <w:tc>
          <w:tcPr>
            <w:tcW w:w="707" w:type="dxa"/>
            <w:tcBorders>
              <w:top w:val="nil"/>
              <w:left w:val="single" w:sz="4" w:space="0" w:color="auto"/>
              <w:bottom w:val="single" w:sz="4" w:space="0" w:color="auto"/>
              <w:right w:val="single" w:sz="4" w:space="0" w:color="auto"/>
            </w:tcBorders>
            <w:shd w:val="clear" w:color="auto" w:fill="FFFFFF" w:themeFill="background1"/>
            <w:vAlign w:val="center"/>
          </w:tcPr>
          <w:p w:rsidR="0055491A" w:rsidRPr="00C9742B" w:rsidRDefault="0055491A" w:rsidP="00210BF6">
            <w:pPr>
              <w:jc w:val="center"/>
              <w:rPr>
                <w:color w:val="000000" w:themeColor="text1"/>
              </w:rPr>
            </w:pPr>
            <w:r w:rsidRPr="00C9742B">
              <w:rPr>
                <w:color w:val="000000" w:themeColor="text1"/>
              </w:rPr>
              <w:t>1</w:t>
            </w:r>
          </w:p>
        </w:tc>
        <w:tc>
          <w:tcPr>
            <w:tcW w:w="707" w:type="dxa"/>
            <w:tcBorders>
              <w:top w:val="nil"/>
              <w:left w:val="single" w:sz="4" w:space="0" w:color="auto"/>
              <w:bottom w:val="single" w:sz="4" w:space="0" w:color="auto"/>
              <w:right w:val="single" w:sz="4" w:space="0" w:color="auto"/>
            </w:tcBorders>
            <w:shd w:val="clear" w:color="auto" w:fill="FFFFFF" w:themeFill="background1"/>
            <w:vAlign w:val="center"/>
          </w:tcPr>
          <w:p w:rsidR="0055491A" w:rsidRPr="00C9742B" w:rsidRDefault="0055491A" w:rsidP="00210BF6">
            <w:pPr>
              <w:jc w:val="center"/>
              <w:rPr>
                <w:color w:val="000000" w:themeColor="text1"/>
              </w:rPr>
            </w:pPr>
            <w:r w:rsidRPr="00C9742B">
              <w:rPr>
                <w:color w:val="000000" w:themeColor="text1"/>
              </w:rPr>
              <w:t>1</w:t>
            </w:r>
          </w:p>
        </w:tc>
        <w:tc>
          <w:tcPr>
            <w:tcW w:w="1134" w:type="dxa"/>
            <w:tcBorders>
              <w:top w:val="nil"/>
              <w:left w:val="single" w:sz="4" w:space="0" w:color="auto"/>
              <w:bottom w:val="single" w:sz="4" w:space="0" w:color="auto"/>
              <w:right w:val="single" w:sz="4" w:space="0" w:color="auto"/>
            </w:tcBorders>
            <w:shd w:val="clear" w:color="auto" w:fill="FFFFFF" w:themeFill="background1"/>
            <w:vAlign w:val="center"/>
          </w:tcPr>
          <w:p w:rsidR="0055491A" w:rsidRPr="00C9742B" w:rsidRDefault="0055491A" w:rsidP="00210BF6">
            <w:pPr>
              <w:jc w:val="center"/>
              <w:rPr>
                <w:color w:val="000000" w:themeColor="text1"/>
              </w:rPr>
            </w:pPr>
            <w:r w:rsidRPr="00C9742B">
              <w:rPr>
                <w:color w:val="000000" w:themeColor="text1"/>
              </w:rPr>
              <w:t>25,0</w:t>
            </w:r>
          </w:p>
        </w:tc>
        <w:tc>
          <w:tcPr>
            <w:tcW w:w="1134" w:type="dxa"/>
            <w:tcBorders>
              <w:top w:val="nil"/>
              <w:left w:val="single" w:sz="4" w:space="0" w:color="auto"/>
              <w:bottom w:val="single" w:sz="4" w:space="0" w:color="auto"/>
              <w:right w:val="single" w:sz="4" w:space="0" w:color="auto"/>
            </w:tcBorders>
            <w:shd w:val="clear" w:color="auto" w:fill="FFFFFF" w:themeFill="background1"/>
            <w:vAlign w:val="center"/>
          </w:tcPr>
          <w:p w:rsidR="0055491A" w:rsidRPr="00C9742B" w:rsidRDefault="0055491A" w:rsidP="00210BF6">
            <w:pPr>
              <w:jc w:val="center"/>
              <w:rPr>
                <w:color w:val="000000" w:themeColor="text1"/>
              </w:rPr>
            </w:pPr>
            <w:r w:rsidRPr="00C9742B">
              <w:rPr>
                <w:color w:val="000000" w:themeColor="text1"/>
              </w:rPr>
              <w:t>25,0</w:t>
            </w:r>
          </w:p>
        </w:tc>
        <w:tc>
          <w:tcPr>
            <w:tcW w:w="1134" w:type="dxa"/>
            <w:tcBorders>
              <w:top w:val="nil"/>
              <w:left w:val="single" w:sz="4" w:space="0" w:color="auto"/>
              <w:bottom w:val="single" w:sz="4" w:space="0" w:color="auto"/>
              <w:right w:val="single" w:sz="4" w:space="0" w:color="auto"/>
            </w:tcBorders>
            <w:shd w:val="clear" w:color="auto" w:fill="FFFFFF" w:themeFill="background1"/>
            <w:vAlign w:val="center"/>
          </w:tcPr>
          <w:p w:rsidR="0055491A" w:rsidRPr="00C9742B" w:rsidRDefault="0055491A" w:rsidP="00210BF6">
            <w:pPr>
              <w:jc w:val="center"/>
              <w:rPr>
                <w:color w:val="000000" w:themeColor="text1"/>
              </w:rPr>
            </w:pPr>
            <w:r w:rsidRPr="00C9742B">
              <w:rPr>
                <w:color w:val="000000" w:themeColor="text1"/>
              </w:rPr>
              <w:t>25,0</w:t>
            </w:r>
          </w:p>
        </w:tc>
      </w:tr>
      <w:tr w:rsidR="0055491A" w:rsidRPr="00F80477" w:rsidTr="00210BF6">
        <w:trPr>
          <w:trHeight w:val="255"/>
        </w:trPr>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491A" w:rsidRPr="00C9742B" w:rsidRDefault="0055491A" w:rsidP="00210BF6">
            <w:pPr>
              <w:jc w:val="center"/>
              <w:rPr>
                <w:color w:val="000000" w:themeColor="text1"/>
              </w:rPr>
            </w:pPr>
            <w:r w:rsidRPr="00C9742B">
              <w:rPr>
                <w:color w:val="000000" w:themeColor="text1"/>
              </w:rPr>
              <w:t>50</w:t>
            </w:r>
          </w:p>
        </w:tc>
        <w:tc>
          <w:tcPr>
            <w:tcW w:w="723" w:type="dxa"/>
            <w:tcBorders>
              <w:top w:val="nil"/>
              <w:left w:val="single" w:sz="4" w:space="0" w:color="auto"/>
              <w:bottom w:val="single" w:sz="4" w:space="0" w:color="auto"/>
              <w:right w:val="single" w:sz="4" w:space="0" w:color="auto"/>
            </w:tcBorders>
            <w:shd w:val="clear" w:color="auto" w:fill="auto"/>
            <w:noWrap/>
            <w:vAlign w:val="center"/>
          </w:tcPr>
          <w:p w:rsidR="0055491A" w:rsidRPr="00C9742B" w:rsidRDefault="0055491A" w:rsidP="00210BF6">
            <w:pPr>
              <w:jc w:val="center"/>
              <w:rPr>
                <w:color w:val="000000" w:themeColor="text1"/>
              </w:rPr>
            </w:pPr>
            <w:r w:rsidRPr="00C9742B">
              <w:rPr>
                <w:color w:val="000000" w:themeColor="text1"/>
              </w:rPr>
              <w:t>0</w:t>
            </w:r>
          </w:p>
        </w:tc>
        <w:tc>
          <w:tcPr>
            <w:tcW w:w="701" w:type="dxa"/>
            <w:tcBorders>
              <w:top w:val="nil"/>
              <w:left w:val="nil"/>
              <w:bottom w:val="single" w:sz="4" w:space="0" w:color="auto"/>
              <w:right w:val="single" w:sz="4" w:space="0" w:color="auto"/>
            </w:tcBorders>
            <w:shd w:val="clear" w:color="auto" w:fill="auto"/>
            <w:noWrap/>
            <w:vAlign w:val="center"/>
          </w:tcPr>
          <w:p w:rsidR="0055491A" w:rsidRPr="00C9742B" w:rsidRDefault="0055491A" w:rsidP="00210BF6">
            <w:pPr>
              <w:jc w:val="center"/>
              <w:rPr>
                <w:color w:val="000000" w:themeColor="text1"/>
              </w:rPr>
            </w:pPr>
            <w:r w:rsidRPr="00C9742B">
              <w:rPr>
                <w:color w:val="000000" w:themeColor="text1"/>
              </w:rPr>
              <w:t>0</w:t>
            </w:r>
          </w:p>
        </w:tc>
        <w:tc>
          <w:tcPr>
            <w:tcW w:w="709" w:type="dxa"/>
            <w:tcBorders>
              <w:top w:val="nil"/>
              <w:left w:val="nil"/>
              <w:bottom w:val="single" w:sz="4" w:space="0" w:color="auto"/>
              <w:right w:val="single" w:sz="4" w:space="0" w:color="auto"/>
            </w:tcBorders>
            <w:shd w:val="clear" w:color="auto" w:fill="auto"/>
            <w:noWrap/>
            <w:vAlign w:val="center"/>
          </w:tcPr>
          <w:p w:rsidR="0055491A" w:rsidRPr="00C9742B" w:rsidRDefault="0055491A" w:rsidP="00210BF6">
            <w:pPr>
              <w:jc w:val="center"/>
              <w:rPr>
                <w:color w:val="000000" w:themeColor="text1"/>
              </w:rPr>
            </w:pPr>
            <w:r w:rsidRPr="00C9742B">
              <w:rPr>
                <w:color w:val="000000" w:themeColor="text1"/>
              </w:rPr>
              <w:t>7</w:t>
            </w:r>
          </w:p>
        </w:tc>
        <w:tc>
          <w:tcPr>
            <w:tcW w:w="707" w:type="dxa"/>
            <w:tcBorders>
              <w:top w:val="nil"/>
              <w:left w:val="nil"/>
              <w:bottom w:val="single" w:sz="4" w:space="0" w:color="auto"/>
              <w:right w:val="single" w:sz="4" w:space="0" w:color="auto"/>
            </w:tcBorders>
            <w:shd w:val="clear" w:color="auto" w:fill="FFFFFF" w:themeFill="background1"/>
            <w:vAlign w:val="center"/>
          </w:tcPr>
          <w:p w:rsidR="0055491A" w:rsidRPr="00C9742B" w:rsidRDefault="0055491A" w:rsidP="00210BF6">
            <w:pPr>
              <w:jc w:val="center"/>
              <w:rPr>
                <w:color w:val="000000" w:themeColor="text1"/>
              </w:rPr>
            </w:pPr>
            <w:r w:rsidRPr="00C9742B">
              <w:rPr>
                <w:color w:val="000000" w:themeColor="text1"/>
              </w:rPr>
              <w:t>2</w:t>
            </w:r>
          </w:p>
        </w:tc>
        <w:tc>
          <w:tcPr>
            <w:tcW w:w="706" w:type="dxa"/>
            <w:tcBorders>
              <w:top w:val="nil"/>
              <w:left w:val="single" w:sz="4" w:space="0" w:color="auto"/>
              <w:bottom w:val="single" w:sz="4" w:space="0" w:color="auto"/>
              <w:right w:val="single" w:sz="4" w:space="0" w:color="auto"/>
            </w:tcBorders>
            <w:shd w:val="clear" w:color="auto" w:fill="FFFFFF" w:themeFill="background1"/>
            <w:vAlign w:val="center"/>
          </w:tcPr>
          <w:p w:rsidR="0055491A" w:rsidRPr="00C9742B" w:rsidRDefault="0055491A" w:rsidP="00210BF6">
            <w:pPr>
              <w:jc w:val="center"/>
              <w:rPr>
                <w:color w:val="000000" w:themeColor="text1"/>
              </w:rPr>
            </w:pPr>
            <w:r w:rsidRPr="00C9742B">
              <w:rPr>
                <w:color w:val="000000" w:themeColor="text1"/>
              </w:rPr>
              <w:t>3</w:t>
            </w:r>
          </w:p>
        </w:tc>
        <w:tc>
          <w:tcPr>
            <w:tcW w:w="707" w:type="dxa"/>
            <w:tcBorders>
              <w:top w:val="nil"/>
              <w:left w:val="single" w:sz="4" w:space="0" w:color="auto"/>
              <w:bottom w:val="single" w:sz="4" w:space="0" w:color="auto"/>
              <w:right w:val="single" w:sz="4" w:space="0" w:color="auto"/>
            </w:tcBorders>
            <w:shd w:val="clear" w:color="auto" w:fill="FFFFFF" w:themeFill="background1"/>
            <w:vAlign w:val="center"/>
          </w:tcPr>
          <w:p w:rsidR="0055491A" w:rsidRPr="00C9742B" w:rsidRDefault="0055491A" w:rsidP="00210BF6">
            <w:pPr>
              <w:jc w:val="center"/>
              <w:rPr>
                <w:color w:val="000000" w:themeColor="text1"/>
              </w:rPr>
            </w:pPr>
            <w:r w:rsidRPr="00C9742B">
              <w:rPr>
                <w:color w:val="000000" w:themeColor="text1"/>
              </w:rPr>
              <w:t>4</w:t>
            </w:r>
          </w:p>
        </w:tc>
        <w:tc>
          <w:tcPr>
            <w:tcW w:w="707" w:type="dxa"/>
            <w:tcBorders>
              <w:top w:val="nil"/>
              <w:left w:val="single" w:sz="4" w:space="0" w:color="auto"/>
              <w:bottom w:val="single" w:sz="4" w:space="0" w:color="auto"/>
              <w:right w:val="single" w:sz="4" w:space="0" w:color="auto"/>
            </w:tcBorders>
            <w:shd w:val="clear" w:color="auto" w:fill="FFFFFF" w:themeFill="background1"/>
            <w:vAlign w:val="center"/>
          </w:tcPr>
          <w:p w:rsidR="0055491A" w:rsidRPr="00C9742B" w:rsidRDefault="0055491A" w:rsidP="00210BF6">
            <w:pPr>
              <w:jc w:val="center"/>
              <w:rPr>
                <w:color w:val="000000" w:themeColor="text1"/>
              </w:rPr>
            </w:pPr>
            <w:r w:rsidRPr="00C9742B">
              <w:rPr>
                <w:color w:val="000000" w:themeColor="text1"/>
              </w:rPr>
              <w:t>3</w:t>
            </w:r>
          </w:p>
        </w:tc>
        <w:tc>
          <w:tcPr>
            <w:tcW w:w="1134" w:type="dxa"/>
            <w:tcBorders>
              <w:top w:val="nil"/>
              <w:left w:val="single" w:sz="4" w:space="0" w:color="auto"/>
              <w:bottom w:val="single" w:sz="4" w:space="0" w:color="auto"/>
              <w:right w:val="single" w:sz="4" w:space="0" w:color="auto"/>
            </w:tcBorders>
            <w:shd w:val="clear" w:color="auto" w:fill="FFFFFF" w:themeFill="background1"/>
            <w:vAlign w:val="center"/>
          </w:tcPr>
          <w:p w:rsidR="0055491A" w:rsidRPr="00C9742B" w:rsidRDefault="0055491A" w:rsidP="00210BF6">
            <w:pPr>
              <w:jc w:val="center"/>
              <w:rPr>
                <w:color w:val="000000" w:themeColor="text1"/>
              </w:rPr>
            </w:pPr>
            <w:r w:rsidRPr="00C9742B">
              <w:rPr>
                <w:color w:val="000000" w:themeColor="text1"/>
              </w:rPr>
              <w:t>150,0</w:t>
            </w:r>
          </w:p>
        </w:tc>
        <w:tc>
          <w:tcPr>
            <w:tcW w:w="1134" w:type="dxa"/>
            <w:tcBorders>
              <w:top w:val="nil"/>
              <w:left w:val="single" w:sz="4" w:space="0" w:color="auto"/>
              <w:bottom w:val="single" w:sz="4" w:space="0" w:color="auto"/>
              <w:right w:val="single" w:sz="4" w:space="0" w:color="auto"/>
            </w:tcBorders>
            <w:shd w:val="clear" w:color="auto" w:fill="FFFFFF" w:themeFill="background1"/>
            <w:vAlign w:val="center"/>
          </w:tcPr>
          <w:p w:rsidR="0055491A" w:rsidRPr="00C9742B" w:rsidRDefault="0055491A" w:rsidP="00210BF6">
            <w:pPr>
              <w:jc w:val="center"/>
              <w:rPr>
                <w:color w:val="000000" w:themeColor="text1"/>
              </w:rPr>
            </w:pPr>
            <w:r w:rsidRPr="00C9742B">
              <w:rPr>
                <w:color w:val="000000" w:themeColor="text1"/>
              </w:rPr>
              <w:t>200,0</w:t>
            </w:r>
          </w:p>
        </w:tc>
        <w:tc>
          <w:tcPr>
            <w:tcW w:w="1134" w:type="dxa"/>
            <w:tcBorders>
              <w:top w:val="nil"/>
              <w:left w:val="single" w:sz="4" w:space="0" w:color="auto"/>
              <w:bottom w:val="single" w:sz="4" w:space="0" w:color="auto"/>
              <w:right w:val="single" w:sz="4" w:space="0" w:color="auto"/>
            </w:tcBorders>
            <w:shd w:val="clear" w:color="auto" w:fill="FFFFFF" w:themeFill="background1"/>
            <w:vAlign w:val="center"/>
          </w:tcPr>
          <w:p w:rsidR="0055491A" w:rsidRPr="00C9742B" w:rsidRDefault="0055491A" w:rsidP="00210BF6">
            <w:pPr>
              <w:jc w:val="center"/>
              <w:rPr>
                <w:color w:val="000000" w:themeColor="text1"/>
              </w:rPr>
            </w:pPr>
            <w:r w:rsidRPr="00C9742B">
              <w:rPr>
                <w:color w:val="000000" w:themeColor="text1"/>
              </w:rPr>
              <w:t>150,0</w:t>
            </w:r>
          </w:p>
        </w:tc>
      </w:tr>
      <w:tr w:rsidR="0055491A" w:rsidRPr="00F80477" w:rsidTr="00210BF6">
        <w:trPr>
          <w:trHeight w:val="255"/>
        </w:trPr>
        <w:tc>
          <w:tcPr>
            <w:tcW w:w="9346" w:type="dxa"/>
            <w:gridSpan w:val="11"/>
            <w:tcBorders>
              <w:top w:val="single" w:sz="4" w:space="0" w:color="auto"/>
              <w:left w:val="single" w:sz="4" w:space="0" w:color="auto"/>
              <w:bottom w:val="single" w:sz="4" w:space="0" w:color="auto"/>
              <w:right w:val="single" w:sz="4" w:space="0" w:color="auto"/>
            </w:tcBorders>
            <w:shd w:val="clear" w:color="auto" w:fill="auto"/>
            <w:noWrap/>
            <w:vAlign w:val="center"/>
          </w:tcPr>
          <w:p w:rsidR="0055491A" w:rsidRPr="00C9742B" w:rsidRDefault="0055491A" w:rsidP="00210BF6">
            <w:pPr>
              <w:jc w:val="center"/>
              <w:rPr>
                <w:color w:val="000000" w:themeColor="text1"/>
              </w:rPr>
            </w:pPr>
            <w:r w:rsidRPr="00C9742B">
              <w:rPr>
                <w:b/>
                <w:bCs/>
                <w:color w:val="000000" w:themeColor="text1"/>
              </w:rPr>
              <w:t>Нарушения статьи 19.5 КоАП РФ</w:t>
            </w:r>
          </w:p>
        </w:tc>
      </w:tr>
      <w:tr w:rsidR="0055491A" w:rsidRPr="00F80477" w:rsidTr="00210BF6">
        <w:trPr>
          <w:trHeight w:val="255"/>
        </w:trPr>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491A" w:rsidRPr="00C9742B" w:rsidRDefault="0055491A" w:rsidP="00210BF6">
            <w:pPr>
              <w:jc w:val="center"/>
              <w:rPr>
                <w:color w:val="000000" w:themeColor="text1"/>
              </w:rPr>
            </w:pPr>
            <w:r w:rsidRPr="00C9742B">
              <w:rPr>
                <w:color w:val="000000" w:themeColor="text1"/>
              </w:rPr>
              <w:t>1</w:t>
            </w:r>
          </w:p>
        </w:tc>
        <w:tc>
          <w:tcPr>
            <w:tcW w:w="723" w:type="dxa"/>
            <w:tcBorders>
              <w:top w:val="nil"/>
              <w:left w:val="single" w:sz="4" w:space="0" w:color="auto"/>
              <w:bottom w:val="single" w:sz="4" w:space="0" w:color="auto"/>
              <w:right w:val="single" w:sz="4" w:space="0" w:color="auto"/>
            </w:tcBorders>
            <w:shd w:val="clear" w:color="auto" w:fill="auto"/>
            <w:noWrap/>
            <w:vAlign w:val="center"/>
          </w:tcPr>
          <w:p w:rsidR="0055491A" w:rsidRPr="00C9742B" w:rsidRDefault="0055491A" w:rsidP="00210BF6">
            <w:pPr>
              <w:jc w:val="center"/>
              <w:rPr>
                <w:color w:val="000000" w:themeColor="text1"/>
              </w:rPr>
            </w:pPr>
            <w:r w:rsidRPr="00C9742B">
              <w:rPr>
                <w:color w:val="000000" w:themeColor="text1"/>
              </w:rPr>
              <w:t>1</w:t>
            </w:r>
          </w:p>
        </w:tc>
        <w:tc>
          <w:tcPr>
            <w:tcW w:w="701" w:type="dxa"/>
            <w:tcBorders>
              <w:top w:val="nil"/>
              <w:left w:val="nil"/>
              <w:bottom w:val="single" w:sz="4" w:space="0" w:color="auto"/>
              <w:right w:val="single" w:sz="4" w:space="0" w:color="auto"/>
            </w:tcBorders>
            <w:shd w:val="clear" w:color="auto" w:fill="auto"/>
            <w:noWrap/>
            <w:vAlign w:val="center"/>
          </w:tcPr>
          <w:p w:rsidR="0055491A" w:rsidRPr="00C9742B" w:rsidRDefault="0055491A" w:rsidP="00210BF6">
            <w:pPr>
              <w:jc w:val="center"/>
              <w:rPr>
                <w:color w:val="000000" w:themeColor="text1"/>
              </w:rPr>
            </w:pPr>
            <w:r w:rsidRPr="00C9742B">
              <w:rPr>
                <w:color w:val="000000" w:themeColor="text1"/>
              </w:rPr>
              <w:t>1</w:t>
            </w:r>
          </w:p>
        </w:tc>
        <w:tc>
          <w:tcPr>
            <w:tcW w:w="709" w:type="dxa"/>
            <w:tcBorders>
              <w:top w:val="nil"/>
              <w:left w:val="nil"/>
              <w:bottom w:val="single" w:sz="4" w:space="0" w:color="auto"/>
              <w:right w:val="single" w:sz="4" w:space="0" w:color="auto"/>
            </w:tcBorders>
            <w:shd w:val="clear" w:color="auto" w:fill="auto"/>
            <w:noWrap/>
            <w:vAlign w:val="center"/>
          </w:tcPr>
          <w:p w:rsidR="0055491A" w:rsidRPr="00C9742B" w:rsidRDefault="0055491A" w:rsidP="00210BF6">
            <w:pPr>
              <w:jc w:val="center"/>
              <w:rPr>
                <w:color w:val="000000" w:themeColor="text1"/>
              </w:rPr>
            </w:pPr>
            <w:r w:rsidRPr="00C9742B">
              <w:rPr>
                <w:color w:val="000000" w:themeColor="text1"/>
              </w:rPr>
              <w:t>6</w:t>
            </w:r>
          </w:p>
        </w:tc>
        <w:tc>
          <w:tcPr>
            <w:tcW w:w="707" w:type="dxa"/>
            <w:tcBorders>
              <w:top w:val="nil"/>
              <w:left w:val="nil"/>
              <w:bottom w:val="single" w:sz="4" w:space="0" w:color="auto"/>
              <w:right w:val="single" w:sz="4" w:space="0" w:color="auto"/>
            </w:tcBorders>
            <w:shd w:val="clear" w:color="auto" w:fill="FFFFFF" w:themeFill="background1"/>
            <w:vAlign w:val="center"/>
          </w:tcPr>
          <w:p w:rsidR="0055491A" w:rsidRPr="00C9742B" w:rsidRDefault="0055491A" w:rsidP="00210BF6">
            <w:pPr>
              <w:jc w:val="center"/>
              <w:rPr>
                <w:color w:val="000000" w:themeColor="text1"/>
              </w:rPr>
            </w:pPr>
            <w:r w:rsidRPr="00C9742B">
              <w:rPr>
                <w:color w:val="000000" w:themeColor="text1"/>
              </w:rPr>
              <w:t>3</w:t>
            </w:r>
          </w:p>
        </w:tc>
        <w:tc>
          <w:tcPr>
            <w:tcW w:w="706" w:type="dxa"/>
            <w:tcBorders>
              <w:top w:val="nil"/>
              <w:left w:val="single" w:sz="4" w:space="0" w:color="auto"/>
              <w:bottom w:val="single" w:sz="4" w:space="0" w:color="auto"/>
              <w:right w:val="single" w:sz="4" w:space="0" w:color="auto"/>
            </w:tcBorders>
            <w:shd w:val="clear" w:color="auto" w:fill="FFFFFF" w:themeFill="background1"/>
            <w:vAlign w:val="center"/>
          </w:tcPr>
          <w:p w:rsidR="0055491A" w:rsidRPr="00C9742B" w:rsidRDefault="0055491A" w:rsidP="00210BF6">
            <w:pPr>
              <w:jc w:val="center"/>
              <w:rPr>
                <w:color w:val="000000" w:themeColor="text1"/>
              </w:rPr>
            </w:pPr>
            <w:r w:rsidRPr="00C9742B">
              <w:rPr>
                <w:color w:val="000000" w:themeColor="text1"/>
              </w:rPr>
              <w:t>3</w:t>
            </w:r>
          </w:p>
        </w:tc>
        <w:tc>
          <w:tcPr>
            <w:tcW w:w="707" w:type="dxa"/>
            <w:tcBorders>
              <w:top w:val="nil"/>
              <w:left w:val="single" w:sz="4" w:space="0" w:color="auto"/>
              <w:bottom w:val="single" w:sz="4" w:space="0" w:color="auto"/>
              <w:right w:val="single" w:sz="4" w:space="0" w:color="auto"/>
            </w:tcBorders>
            <w:shd w:val="clear" w:color="auto" w:fill="FFFFFF" w:themeFill="background1"/>
            <w:vAlign w:val="center"/>
          </w:tcPr>
          <w:p w:rsidR="0055491A" w:rsidRPr="00C9742B" w:rsidRDefault="0055491A" w:rsidP="00210BF6">
            <w:pPr>
              <w:jc w:val="center"/>
              <w:rPr>
                <w:color w:val="000000" w:themeColor="text1"/>
              </w:rPr>
            </w:pPr>
            <w:r w:rsidRPr="00C9742B">
              <w:rPr>
                <w:color w:val="000000" w:themeColor="text1"/>
              </w:rPr>
              <w:t>4</w:t>
            </w:r>
          </w:p>
        </w:tc>
        <w:tc>
          <w:tcPr>
            <w:tcW w:w="707" w:type="dxa"/>
            <w:tcBorders>
              <w:top w:val="nil"/>
              <w:left w:val="single" w:sz="4" w:space="0" w:color="auto"/>
              <w:bottom w:val="single" w:sz="4" w:space="0" w:color="auto"/>
              <w:right w:val="single" w:sz="4" w:space="0" w:color="auto"/>
            </w:tcBorders>
            <w:shd w:val="clear" w:color="auto" w:fill="FFFFFF" w:themeFill="background1"/>
            <w:vAlign w:val="center"/>
          </w:tcPr>
          <w:p w:rsidR="0055491A" w:rsidRPr="00C9742B" w:rsidRDefault="0055491A" w:rsidP="00210BF6">
            <w:pPr>
              <w:jc w:val="center"/>
              <w:rPr>
                <w:color w:val="000000" w:themeColor="text1"/>
              </w:rPr>
            </w:pPr>
            <w:r w:rsidRPr="00C9742B">
              <w:rPr>
                <w:color w:val="000000" w:themeColor="text1"/>
              </w:rPr>
              <w:t>3</w:t>
            </w:r>
          </w:p>
        </w:tc>
        <w:tc>
          <w:tcPr>
            <w:tcW w:w="1134" w:type="dxa"/>
            <w:tcBorders>
              <w:top w:val="nil"/>
              <w:left w:val="single" w:sz="4" w:space="0" w:color="auto"/>
              <w:bottom w:val="single" w:sz="4" w:space="0" w:color="auto"/>
              <w:right w:val="single" w:sz="4" w:space="0" w:color="auto"/>
            </w:tcBorders>
            <w:shd w:val="clear" w:color="auto" w:fill="FFFFFF" w:themeFill="background1"/>
            <w:vAlign w:val="center"/>
          </w:tcPr>
          <w:p w:rsidR="0055491A" w:rsidRPr="00C9742B" w:rsidRDefault="0055491A" w:rsidP="00210BF6">
            <w:pPr>
              <w:jc w:val="center"/>
              <w:rPr>
                <w:color w:val="000000" w:themeColor="text1"/>
              </w:rPr>
            </w:pPr>
            <w:r w:rsidRPr="00C9742B">
              <w:rPr>
                <w:color w:val="000000" w:themeColor="text1"/>
              </w:rPr>
              <w:t>3,0</w:t>
            </w:r>
          </w:p>
        </w:tc>
        <w:tc>
          <w:tcPr>
            <w:tcW w:w="1134" w:type="dxa"/>
            <w:tcBorders>
              <w:top w:val="nil"/>
              <w:left w:val="single" w:sz="4" w:space="0" w:color="auto"/>
              <w:bottom w:val="single" w:sz="4" w:space="0" w:color="auto"/>
              <w:right w:val="single" w:sz="4" w:space="0" w:color="auto"/>
            </w:tcBorders>
            <w:shd w:val="clear" w:color="auto" w:fill="FFFFFF" w:themeFill="background1"/>
            <w:vAlign w:val="center"/>
          </w:tcPr>
          <w:p w:rsidR="0055491A" w:rsidRPr="00C9742B" w:rsidRDefault="0055491A" w:rsidP="00210BF6">
            <w:pPr>
              <w:jc w:val="center"/>
              <w:rPr>
                <w:color w:val="000000" w:themeColor="text1"/>
              </w:rPr>
            </w:pPr>
            <w:r w:rsidRPr="00C9742B">
              <w:rPr>
                <w:color w:val="000000" w:themeColor="text1"/>
              </w:rPr>
              <w:t>4,0</w:t>
            </w:r>
          </w:p>
        </w:tc>
        <w:tc>
          <w:tcPr>
            <w:tcW w:w="1134" w:type="dxa"/>
            <w:tcBorders>
              <w:top w:val="nil"/>
              <w:left w:val="single" w:sz="4" w:space="0" w:color="auto"/>
              <w:bottom w:val="single" w:sz="4" w:space="0" w:color="auto"/>
              <w:right w:val="single" w:sz="4" w:space="0" w:color="auto"/>
            </w:tcBorders>
            <w:shd w:val="clear" w:color="auto" w:fill="FFFFFF" w:themeFill="background1"/>
            <w:vAlign w:val="center"/>
          </w:tcPr>
          <w:p w:rsidR="0055491A" w:rsidRPr="00C9742B" w:rsidRDefault="0055491A" w:rsidP="00210BF6">
            <w:pPr>
              <w:jc w:val="center"/>
              <w:rPr>
                <w:color w:val="000000" w:themeColor="text1"/>
              </w:rPr>
            </w:pPr>
            <w:r w:rsidRPr="00C9742B">
              <w:rPr>
                <w:color w:val="000000" w:themeColor="text1"/>
              </w:rPr>
              <w:t>3,0</w:t>
            </w:r>
          </w:p>
        </w:tc>
      </w:tr>
      <w:tr w:rsidR="0055491A" w:rsidRPr="00F80477" w:rsidTr="00210BF6">
        <w:trPr>
          <w:trHeight w:val="255"/>
        </w:trPr>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491A" w:rsidRDefault="0055491A" w:rsidP="00210BF6">
            <w:pPr>
              <w:jc w:val="center"/>
            </w:pPr>
            <w:r>
              <w:t>5,0</w:t>
            </w:r>
          </w:p>
        </w:tc>
        <w:tc>
          <w:tcPr>
            <w:tcW w:w="723" w:type="dxa"/>
            <w:tcBorders>
              <w:top w:val="nil"/>
              <w:left w:val="single" w:sz="4" w:space="0" w:color="auto"/>
              <w:bottom w:val="single" w:sz="4" w:space="0" w:color="auto"/>
              <w:right w:val="single" w:sz="4" w:space="0" w:color="auto"/>
            </w:tcBorders>
            <w:shd w:val="clear" w:color="auto" w:fill="auto"/>
            <w:noWrap/>
            <w:vAlign w:val="center"/>
          </w:tcPr>
          <w:p w:rsidR="0055491A" w:rsidRDefault="0055491A" w:rsidP="00210BF6">
            <w:pPr>
              <w:jc w:val="center"/>
              <w:rPr>
                <w:color w:val="000000"/>
              </w:rPr>
            </w:pPr>
            <w:r>
              <w:rPr>
                <w:color w:val="000000"/>
              </w:rPr>
              <w:t>3</w:t>
            </w:r>
          </w:p>
        </w:tc>
        <w:tc>
          <w:tcPr>
            <w:tcW w:w="701" w:type="dxa"/>
            <w:tcBorders>
              <w:top w:val="nil"/>
              <w:left w:val="nil"/>
              <w:bottom w:val="single" w:sz="4" w:space="0" w:color="auto"/>
              <w:right w:val="single" w:sz="4" w:space="0" w:color="auto"/>
            </w:tcBorders>
            <w:shd w:val="clear" w:color="auto" w:fill="auto"/>
            <w:noWrap/>
            <w:vAlign w:val="center"/>
          </w:tcPr>
          <w:p w:rsidR="0055491A" w:rsidRDefault="0055491A" w:rsidP="00210BF6">
            <w:pPr>
              <w:jc w:val="center"/>
              <w:rPr>
                <w:color w:val="000000"/>
              </w:rPr>
            </w:pPr>
            <w:r>
              <w:rPr>
                <w:color w:val="000000"/>
              </w:rPr>
              <w:t>22</w:t>
            </w:r>
          </w:p>
        </w:tc>
        <w:tc>
          <w:tcPr>
            <w:tcW w:w="709" w:type="dxa"/>
            <w:tcBorders>
              <w:top w:val="nil"/>
              <w:left w:val="nil"/>
              <w:bottom w:val="single" w:sz="4" w:space="0" w:color="auto"/>
              <w:right w:val="single" w:sz="4" w:space="0" w:color="auto"/>
            </w:tcBorders>
            <w:shd w:val="clear" w:color="auto" w:fill="auto"/>
            <w:noWrap/>
            <w:vAlign w:val="center"/>
          </w:tcPr>
          <w:p w:rsidR="0055491A" w:rsidRDefault="0055491A" w:rsidP="00210BF6">
            <w:pPr>
              <w:jc w:val="center"/>
              <w:rPr>
                <w:color w:val="000000"/>
              </w:rPr>
            </w:pPr>
            <w:r>
              <w:rPr>
                <w:color w:val="000000"/>
              </w:rPr>
              <w:t>9</w:t>
            </w:r>
          </w:p>
        </w:tc>
        <w:tc>
          <w:tcPr>
            <w:tcW w:w="707" w:type="dxa"/>
            <w:tcBorders>
              <w:top w:val="nil"/>
              <w:left w:val="nil"/>
              <w:bottom w:val="single" w:sz="4" w:space="0" w:color="auto"/>
              <w:right w:val="single" w:sz="4" w:space="0" w:color="auto"/>
            </w:tcBorders>
            <w:shd w:val="clear" w:color="auto" w:fill="FFFFFF" w:themeFill="background1"/>
            <w:vAlign w:val="center"/>
          </w:tcPr>
          <w:p w:rsidR="0055491A" w:rsidRDefault="0055491A" w:rsidP="00210BF6">
            <w:pPr>
              <w:jc w:val="center"/>
              <w:rPr>
                <w:color w:val="000000"/>
              </w:rPr>
            </w:pPr>
            <w:r>
              <w:rPr>
                <w:color w:val="000000"/>
              </w:rPr>
              <w:t>11</w:t>
            </w:r>
          </w:p>
        </w:tc>
        <w:tc>
          <w:tcPr>
            <w:tcW w:w="706" w:type="dxa"/>
            <w:tcBorders>
              <w:top w:val="nil"/>
              <w:left w:val="single" w:sz="4" w:space="0" w:color="auto"/>
              <w:bottom w:val="single" w:sz="4" w:space="0" w:color="auto"/>
              <w:right w:val="single" w:sz="4" w:space="0" w:color="auto"/>
            </w:tcBorders>
            <w:shd w:val="clear" w:color="auto" w:fill="FFFFFF" w:themeFill="background1"/>
            <w:vAlign w:val="center"/>
          </w:tcPr>
          <w:p w:rsidR="0055491A" w:rsidRDefault="0055491A" w:rsidP="00210BF6">
            <w:pPr>
              <w:jc w:val="center"/>
              <w:rPr>
                <w:color w:val="000000"/>
              </w:rPr>
            </w:pPr>
            <w:r>
              <w:rPr>
                <w:color w:val="000000"/>
              </w:rPr>
              <w:t>14</w:t>
            </w:r>
          </w:p>
        </w:tc>
        <w:tc>
          <w:tcPr>
            <w:tcW w:w="707" w:type="dxa"/>
            <w:tcBorders>
              <w:top w:val="nil"/>
              <w:left w:val="single" w:sz="4" w:space="0" w:color="auto"/>
              <w:bottom w:val="single" w:sz="4" w:space="0" w:color="auto"/>
              <w:right w:val="single" w:sz="4" w:space="0" w:color="auto"/>
            </w:tcBorders>
            <w:shd w:val="clear" w:color="auto" w:fill="FFFFFF" w:themeFill="background1"/>
            <w:vAlign w:val="center"/>
          </w:tcPr>
          <w:p w:rsidR="0055491A" w:rsidRDefault="0055491A" w:rsidP="00210BF6">
            <w:pPr>
              <w:jc w:val="center"/>
              <w:rPr>
                <w:color w:val="000000"/>
              </w:rPr>
            </w:pPr>
            <w:r>
              <w:rPr>
                <w:color w:val="000000"/>
              </w:rPr>
              <w:t>11</w:t>
            </w:r>
          </w:p>
        </w:tc>
        <w:tc>
          <w:tcPr>
            <w:tcW w:w="707" w:type="dxa"/>
            <w:tcBorders>
              <w:top w:val="nil"/>
              <w:left w:val="single" w:sz="4" w:space="0" w:color="auto"/>
              <w:bottom w:val="single" w:sz="4" w:space="0" w:color="auto"/>
              <w:right w:val="single" w:sz="4" w:space="0" w:color="auto"/>
            </w:tcBorders>
            <w:shd w:val="clear" w:color="auto" w:fill="FFFFFF" w:themeFill="background1"/>
            <w:vAlign w:val="center"/>
          </w:tcPr>
          <w:p w:rsidR="0055491A" w:rsidRDefault="0055491A" w:rsidP="00210BF6">
            <w:pPr>
              <w:jc w:val="center"/>
              <w:rPr>
                <w:color w:val="000000"/>
              </w:rPr>
            </w:pPr>
            <w:r>
              <w:rPr>
                <w:color w:val="000000"/>
              </w:rPr>
              <w:t>12</w:t>
            </w:r>
          </w:p>
        </w:tc>
        <w:tc>
          <w:tcPr>
            <w:tcW w:w="1134" w:type="dxa"/>
            <w:tcBorders>
              <w:top w:val="nil"/>
              <w:left w:val="single" w:sz="4" w:space="0" w:color="auto"/>
              <w:bottom w:val="single" w:sz="4" w:space="0" w:color="auto"/>
              <w:right w:val="single" w:sz="4" w:space="0" w:color="auto"/>
            </w:tcBorders>
            <w:shd w:val="clear" w:color="auto" w:fill="FFFFFF" w:themeFill="background1"/>
            <w:vAlign w:val="center"/>
          </w:tcPr>
          <w:p w:rsidR="0055491A" w:rsidRDefault="0055491A" w:rsidP="00210BF6">
            <w:pPr>
              <w:jc w:val="center"/>
              <w:rPr>
                <w:color w:val="000000"/>
              </w:rPr>
            </w:pPr>
            <w:r>
              <w:rPr>
                <w:color w:val="000000"/>
              </w:rPr>
              <w:t>70,0</w:t>
            </w:r>
          </w:p>
        </w:tc>
        <w:tc>
          <w:tcPr>
            <w:tcW w:w="1134" w:type="dxa"/>
            <w:tcBorders>
              <w:top w:val="nil"/>
              <w:left w:val="single" w:sz="4" w:space="0" w:color="auto"/>
              <w:bottom w:val="single" w:sz="4" w:space="0" w:color="auto"/>
              <w:right w:val="single" w:sz="4" w:space="0" w:color="auto"/>
            </w:tcBorders>
            <w:shd w:val="clear" w:color="auto" w:fill="FFFFFF" w:themeFill="background1"/>
            <w:vAlign w:val="center"/>
          </w:tcPr>
          <w:p w:rsidR="0055491A" w:rsidRDefault="0055491A" w:rsidP="00210BF6">
            <w:pPr>
              <w:jc w:val="center"/>
              <w:rPr>
                <w:color w:val="000000"/>
              </w:rPr>
            </w:pPr>
            <w:r>
              <w:rPr>
                <w:color w:val="000000"/>
              </w:rPr>
              <w:t>55,0</w:t>
            </w:r>
          </w:p>
        </w:tc>
        <w:tc>
          <w:tcPr>
            <w:tcW w:w="1134" w:type="dxa"/>
            <w:tcBorders>
              <w:top w:val="nil"/>
              <w:left w:val="single" w:sz="4" w:space="0" w:color="auto"/>
              <w:bottom w:val="single" w:sz="4" w:space="0" w:color="auto"/>
              <w:right w:val="single" w:sz="4" w:space="0" w:color="auto"/>
            </w:tcBorders>
            <w:shd w:val="clear" w:color="auto" w:fill="FFFFFF" w:themeFill="background1"/>
            <w:vAlign w:val="center"/>
          </w:tcPr>
          <w:p w:rsidR="0055491A" w:rsidRDefault="0055491A" w:rsidP="00210BF6">
            <w:pPr>
              <w:jc w:val="center"/>
              <w:rPr>
                <w:color w:val="000000"/>
              </w:rPr>
            </w:pPr>
            <w:r>
              <w:rPr>
                <w:color w:val="000000"/>
              </w:rPr>
              <w:t>60,0</w:t>
            </w:r>
          </w:p>
        </w:tc>
      </w:tr>
      <w:tr w:rsidR="0055491A" w:rsidRPr="00F80477" w:rsidTr="00210BF6">
        <w:trPr>
          <w:trHeight w:val="255"/>
        </w:trPr>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491A" w:rsidRDefault="0055491A" w:rsidP="00210BF6">
            <w:pPr>
              <w:jc w:val="center"/>
            </w:pPr>
            <w:r>
              <w:t>10,0</w:t>
            </w:r>
          </w:p>
        </w:tc>
        <w:tc>
          <w:tcPr>
            <w:tcW w:w="723" w:type="dxa"/>
            <w:tcBorders>
              <w:top w:val="nil"/>
              <w:left w:val="single" w:sz="4" w:space="0" w:color="auto"/>
              <w:bottom w:val="single" w:sz="4" w:space="0" w:color="auto"/>
              <w:right w:val="single" w:sz="4" w:space="0" w:color="auto"/>
            </w:tcBorders>
            <w:shd w:val="clear" w:color="auto" w:fill="auto"/>
            <w:noWrap/>
            <w:vAlign w:val="center"/>
          </w:tcPr>
          <w:p w:rsidR="0055491A" w:rsidRDefault="0055491A" w:rsidP="00210BF6">
            <w:pPr>
              <w:jc w:val="center"/>
              <w:rPr>
                <w:color w:val="000000"/>
              </w:rPr>
            </w:pPr>
            <w:r>
              <w:rPr>
                <w:color w:val="000000"/>
              </w:rPr>
              <w:t>25</w:t>
            </w:r>
          </w:p>
        </w:tc>
        <w:tc>
          <w:tcPr>
            <w:tcW w:w="701" w:type="dxa"/>
            <w:tcBorders>
              <w:top w:val="nil"/>
              <w:left w:val="nil"/>
              <w:bottom w:val="single" w:sz="4" w:space="0" w:color="auto"/>
              <w:right w:val="single" w:sz="4" w:space="0" w:color="auto"/>
            </w:tcBorders>
            <w:shd w:val="clear" w:color="auto" w:fill="auto"/>
            <w:noWrap/>
            <w:vAlign w:val="center"/>
          </w:tcPr>
          <w:p w:rsidR="0055491A" w:rsidRDefault="0055491A" w:rsidP="00210BF6">
            <w:pPr>
              <w:jc w:val="center"/>
              <w:rPr>
                <w:color w:val="000000"/>
              </w:rPr>
            </w:pPr>
            <w:r>
              <w:rPr>
                <w:color w:val="000000"/>
              </w:rPr>
              <w:t>31</w:t>
            </w:r>
          </w:p>
        </w:tc>
        <w:tc>
          <w:tcPr>
            <w:tcW w:w="709" w:type="dxa"/>
            <w:tcBorders>
              <w:top w:val="nil"/>
              <w:left w:val="nil"/>
              <w:bottom w:val="single" w:sz="4" w:space="0" w:color="auto"/>
              <w:right w:val="single" w:sz="4" w:space="0" w:color="auto"/>
            </w:tcBorders>
            <w:shd w:val="clear" w:color="auto" w:fill="auto"/>
            <w:noWrap/>
            <w:vAlign w:val="center"/>
          </w:tcPr>
          <w:p w:rsidR="0055491A" w:rsidRDefault="0055491A" w:rsidP="00210BF6">
            <w:pPr>
              <w:jc w:val="center"/>
              <w:rPr>
                <w:color w:val="000000"/>
              </w:rPr>
            </w:pPr>
            <w:r>
              <w:rPr>
                <w:color w:val="000000"/>
              </w:rPr>
              <w:t>17</w:t>
            </w:r>
          </w:p>
        </w:tc>
        <w:tc>
          <w:tcPr>
            <w:tcW w:w="707" w:type="dxa"/>
            <w:tcBorders>
              <w:top w:val="nil"/>
              <w:left w:val="nil"/>
              <w:bottom w:val="single" w:sz="4" w:space="0" w:color="auto"/>
              <w:right w:val="single" w:sz="4" w:space="0" w:color="auto"/>
            </w:tcBorders>
            <w:shd w:val="clear" w:color="auto" w:fill="FFFFFF" w:themeFill="background1"/>
            <w:vAlign w:val="center"/>
          </w:tcPr>
          <w:p w:rsidR="0055491A" w:rsidRDefault="0055491A" w:rsidP="00210BF6">
            <w:pPr>
              <w:jc w:val="center"/>
              <w:rPr>
                <w:color w:val="000000"/>
              </w:rPr>
            </w:pPr>
            <w:r>
              <w:rPr>
                <w:color w:val="000000"/>
              </w:rPr>
              <w:t>24</w:t>
            </w:r>
          </w:p>
        </w:tc>
        <w:tc>
          <w:tcPr>
            <w:tcW w:w="706" w:type="dxa"/>
            <w:tcBorders>
              <w:top w:val="nil"/>
              <w:left w:val="single" w:sz="4" w:space="0" w:color="auto"/>
              <w:bottom w:val="single" w:sz="4" w:space="0" w:color="auto"/>
              <w:right w:val="single" w:sz="4" w:space="0" w:color="auto"/>
            </w:tcBorders>
            <w:shd w:val="clear" w:color="auto" w:fill="FFFFFF" w:themeFill="background1"/>
            <w:vAlign w:val="center"/>
          </w:tcPr>
          <w:p w:rsidR="0055491A" w:rsidRDefault="0055491A" w:rsidP="00210BF6">
            <w:pPr>
              <w:jc w:val="center"/>
              <w:rPr>
                <w:color w:val="000000"/>
              </w:rPr>
            </w:pPr>
            <w:r>
              <w:rPr>
                <w:color w:val="000000"/>
              </w:rPr>
              <w:t>24</w:t>
            </w:r>
          </w:p>
        </w:tc>
        <w:tc>
          <w:tcPr>
            <w:tcW w:w="707" w:type="dxa"/>
            <w:tcBorders>
              <w:top w:val="nil"/>
              <w:left w:val="single" w:sz="4" w:space="0" w:color="auto"/>
              <w:bottom w:val="single" w:sz="4" w:space="0" w:color="auto"/>
              <w:right w:val="single" w:sz="4" w:space="0" w:color="auto"/>
            </w:tcBorders>
            <w:shd w:val="clear" w:color="auto" w:fill="FFFFFF" w:themeFill="background1"/>
            <w:vAlign w:val="center"/>
          </w:tcPr>
          <w:p w:rsidR="0055491A" w:rsidRDefault="0055491A" w:rsidP="00210BF6">
            <w:pPr>
              <w:jc w:val="center"/>
              <w:rPr>
                <w:color w:val="000000"/>
              </w:rPr>
            </w:pPr>
            <w:r>
              <w:rPr>
                <w:color w:val="000000"/>
              </w:rPr>
              <w:t>23</w:t>
            </w:r>
          </w:p>
        </w:tc>
        <w:tc>
          <w:tcPr>
            <w:tcW w:w="707" w:type="dxa"/>
            <w:tcBorders>
              <w:top w:val="nil"/>
              <w:left w:val="single" w:sz="4" w:space="0" w:color="auto"/>
              <w:bottom w:val="single" w:sz="4" w:space="0" w:color="auto"/>
              <w:right w:val="single" w:sz="4" w:space="0" w:color="auto"/>
            </w:tcBorders>
            <w:shd w:val="clear" w:color="auto" w:fill="FFFFFF" w:themeFill="background1"/>
            <w:vAlign w:val="center"/>
          </w:tcPr>
          <w:p w:rsidR="0055491A" w:rsidRDefault="0055491A" w:rsidP="00210BF6">
            <w:pPr>
              <w:jc w:val="center"/>
              <w:rPr>
                <w:color w:val="000000"/>
              </w:rPr>
            </w:pPr>
            <w:r>
              <w:rPr>
                <w:color w:val="000000"/>
              </w:rPr>
              <w:t>23</w:t>
            </w:r>
          </w:p>
        </w:tc>
        <w:tc>
          <w:tcPr>
            <w:tcW w:w="1134" w:type="dxa"/>
            <w:tcBorders>
              <w:top w:val="nil"/>
              <w:left w:val="single" w:sz="4" w:space="0" w:color="auto"/>
              <w:bottom w:val="single" w:sz="4" w:space="0" w:color="auto"/>
              <w:right w:val="single" w:sz="4" w:space="0" w:color="auto"/>
            </w:tcBorders>
            <w:shd w:val="clear" w:color="auto" w:fill="FFFFFF" w:themeFill="background1"/>
            <w:vAlign w:val="center"/>
          </w:tcPr>
          <w:p w:rsidR="0055491A" w:rsidRDefault="0055491A" w:rsidP="00210BF6">
            <w:pPr>
              <w:jc w:val="center"/>
              <w:rPr>
                <w:color w:val="000000"/>
              </w:rPr>
            </w:pPr>
            <w:r>
              <w:rPr>
                <w:color w:val="000000"/>
              </w:rPr>
              <w:t>240,0</w:t>
            </w:r>
          </w:p>
        </w:tc>
        <w:tc>
          <w:tcPr>
            <w:tcW w:w="1134" w:type="dxa"/>
            <w:tcBorders>
              <w:top w:val="nil"/>
              <w:left w:val="single" w:sz="4" w:space="0" w:color="auto"/>
              <w:bottom w:val="single" w:sz="4" w:space="0" w:color="auto"/>
              <w:right w:val="single" w:sz="4" w:space="0" w:color="auto"/>
            </w:tcBorders>
            <w:shd w:val="clear" w:color="auto" w:fill="FFFFFF" w:themeFill="background1"/>
            <w:vAlign w:val="center"/>
          </w:tcPr>
          <w:p w:rsidR="0055491A" w:rsidRDefault="0055491A" w:rsidP="00210BF6">
            <w:pPr>
              <w:jc w:val="center"/>
              <w:rPr>
                <w:color w:val="000000"/>
              </w:rPr>
            </w:pPr>
            <w:r>
              <w:rPr>
                <w:color w:val="000000"/>
              </w:rPr>
              <w:t>230,0</w:t>
            </w:r>
          </w:p>
        </w:tc>
        <w:tc>
          <w:tcPr>
            <w:tcW w:w="1134" w:type="dxa"/>
            <w:tcBorders>
              <w:top w:val="nil"/>
              <w:left w:val="single" w:sz="4" w:space="0" w:color="auto"/>
              <w:bottom w:val="single" w:sz="4" w:space="0" w:color="auto"/>
              <w:right w:val="single" w:sz="4" w:space="0" w:color="auto"/>
            </w:tcBorders>
            <w:shd w:val="clear" w:color="auto" w:fill="FFFFFF" w:themeFill="background1"/>
            <w:vAlign w:val="center"/>
          </w:tcPr>
          <w:p w:rsidR="0055491A" w:rsidRDefault="0055491A" w:rsidP="00210BF6">
            <w:pPr>
              <w:jc w:val="center"/>
              <w:rPr>
                <w:color w:val="000000"/>
              </w:rPr>
            </w:pPr>
            <w:r>
              <w:rPr>
                <w:color w:val="000000"/>
              </w:rPr>
              <w:t>230,0</w:t>
            </w:r>
          </w:p>
        </w:tc>
      </w:tr>
      <w:tr w:rsidR="0055491A" w:rsidRPr="00F80477" w:rsidTr="00210BF6">
        <w:trPr>
          <w:trHeight w:val="255"/>
        </w:trPr>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491A" w:rsidRDefault="0055491A" w:rsidP="00210BF6">
            <w:pPr>
              <w:jc w:val="center"/>
            </w:pPr>
            <w:r>
              <w:t>25</w:t>
            </w:r>
          </w:p>
        </w:tc>
        <w:tc>
          <w:tcPr>
            <w:tcW w:w="723" w:type="dxa"/>
            <w:tcBorders>
              <w:top w:val="nil"/>
              <w:left w:val="single" w:sz="4" w:space="0" w:color="auto"/>
              <w:bottom w:val="single" w:sz="4" w:space="0" w:color="auto"/>
              <w:right w:val="single" w:sz="4" w:space="0" w:color="auto"/>
            </w:tcBorders>
            <w:shd w:val="clear" w:color="auto" w:fill="auto"/>
            <w:noWrap/>
            <w:vAlign w:val="center"/>
          </w:tcPr>
          <w:p w:rsidR="0055491A" w:rsidRPr="006B62D7" w:rsidRDefault="0055491A" w:rsidP="00210BF6">
            <w:pPr>
              <w:jc w:val="center"/>
              <w:rPr>
                <w:color w:val="000000"/>
              </w:rPr>
            </w:pPr>
            <w:r>
              <w:rPr>
                <w:color w:val="000000"/>
              </w:rPr>
              <w:t>1</w:t>
            </w:r>
          </w:p>
        </w:tc>
        <w:tc>
          <w:tcPr>
            <w:tcW w:w="701" w:type="dxa"/>
            <w:tcBorders>
              <w:top w:val="nil"/>
              <w:left w:val="nil"/>
              <w:bottom w:val="single" w:sz="4" w:space="0" w:color="auto"/>
              <w:right w:val="single" w:sz="4" w:space="0" w:color="auto"/>
            </w:tcBorders>
            <w:shd w:val="clear" w:color="auto" w:fill="auto"/>
            <w:noWrap/>
            <w:vAlign w:val="center"/>
          </w:tcPr>
          <w:p w:rsidR="0055491A" w:rsidRPr="006B62D7" w:rsidRDefault="0055491A" w:rsidP="00210BF6">
            <w:pPr>
              <w:jc w:val="center"/>
              <w:rPr>
                <w:color w:val="000000"/>
              </w:rPr>
            </w:pPr>
            <w:r>
              <w:rPr>
                <w:color w:val="000000"/>
              </w:rPr>
              <w:t>13</w:t>
            </w:r>
          </w:p>
        </w:tc>
        <w:tc>
          <w:tcPr>
            <w:tcW w:w="709" w:type="dxa"/>
            <w:tcBorders>
              <w:top w:val="nil"/>
              <w:left w:val="nil"/>
              <w:bottom w:val="single" w:sz="4" w:space="0" w:color="auto"/>
              <w:right w:val="single" w:sz="4" w:space="0" w:color="auto"/>
            </w:tcBorders>
            <w:shd w:val="clear" w:color="auto" w:fill="auto"/>
            <w:noWrap/>
            <w:vAlign w:val="center"/>
          </w:tcPr>
          <w:p w:rsidR="0055491A" w:rsidRPr="006B62D7" w:rsidRDefault="0055491A" w:rsidP="00210BF6">
            <w:pPr>
              <w:jc w:val="center"/>
              <w:rPr>
                <w:color w:val="000000"/>
              </w:rPr>
            </w:pPr>
            <w:r>
              <w:rPr>
                <w:color w:val="000000"/>
              </w:rPr>
              <w:t>9</w:t>
            </w:r>
          </w:p>
        </w:tc>
        <w:tc>
          <w:tcPr>
            <w:tcW w:w="707" w:type="dxa"/>
            <w:tcBorders>
              <w:top w:val="nil"/>
              <w:left w:val="nil"/>
              <w:bottom w:val="single" w:sz="4" w:space="0" w:color="auto"/>
              <w:right w:val="single" w:sz="4" w:space="0" w:color="auto"/>
            </w:tcBorders>
            <w:shd w:val="clear" w:color="auto" w:fill="FFFFFF" w:themeFill="background1"/>
            <w:vAlign w:val="center"/>
          </w:tcPr>
          <w:p w:rsidR="0055491A" w:rsidRPr="006B62D7" w:rsidRDefault="0055491A" w:rsidP="00210BF6">
            <w:pPr>
              <w:jc w:val="center"/>
              <w:rPr>
                <w:color w:val="000000"/>
              </w:rPr>
            </w:pPr>
            <w:r>
              <w:rPr>
                <w:color w:val="000000"/>
              </w:rPr>
              <w:t>8</w:t>
            </w:r>
          </w:p>
        </w:tc>
        <w:tc>
          <w:tcPr>
            <w:tcW w:w="706" w:type="dxa"/>
            <w:tcBorders>
              <w:top w:val="nil"/>
              <w:left w:val="single" w:sz="4" w:space="0" w:color="auto"/>
              <w:bottom w:val="single" w:sz="4" w:space="0" w:color="auto"/>
              <w:right w:val="single" w:sz="4" w:space="0" w:color="auto"/>
            </w:tcBorders>
            <w:shd w:val="clear" w:color="auto" w:fill="FFFFFF" w:themeFill="background1"/>
            <w:vAlign w:val="center"/>
          </w:tcPr>
          <w:p w:rsidR="0055491A" w:rsidRPr="006B62D7" w:rsidRDefault="0055491A" w:rsidP="00210BF6">
            <w:pPr>
              <w:jc w:val="center"/>
              <w:rPr>
                <w:color w:val="000000"/>
              </w:rPr>
            </w:pPr>
            <w:r>
              <w:rPr>
                <w:color w:val="000000"/>
              </w:rPr>
              <w:t>10</w:t>
            </w:r>
          </w:p>
        </w:tc>
        <w:tc>
          <w:tcPr>
            <w:tcW w:w="707" w:type="dxa"/>
            <w:tcBorders>
              <w:top w:val="nil"/>
              <w:left w:val="single" w:sz="4" w:space="0" w:color="auto"/>
              <w:bottom w:val="single" w:sz="4" w:space="0" w:color="auto"/>
              <w:right w:val="single" w:sz="4" w:space="0" w:color="auto"/>
            </w:tcBorders>
            <w:shd w:val="clear" w:color="auto" w:fill="FFFFFF" w:themeFill="background1"/>
            <w:vAlign w:val="center"/>
          </w:tcPr>
          <w:p w:rsidR="0055491A" w:rsidRPr="006B62D7" w:rsidRDefault="0055491A" w:rsidP="00210BF6">
            <w:pPr>
              <w:jc w:val="center"/>
              <w:rPr>
                <w:color w:val="000000"/>
              </w:rPr>
            </w:pPr>
            <w:r>
              <w:rPr>
                <w:color w:val="000000"/>
              </w:rPr>
              <w:t>9</w:t>
            </w:r>
          </w:p>
        </w:tc>
        <w:tc>
          <w:tcPr>
            <w:tcW w:w="707" w:type="dxa"/>
            <w:tcBorders>
              <w:top w:val="nil"/>
              <w:left w:val="single" w:sz="4" w:space="0" w:color="auto"/>
              <w:bottom w:val="single" w:sz="4" w:space="0" w:color="auto"/>
              <w:right w:val="single" w:sz="4" w:space="0" w:color="auto"/>
            </w:tcBorders>
            <w:shd w:val="clear" w:color="auto" w:fill="FFFFFF" w:themeFill="background1"/>
            <w:vAlign w:val="center"/>
          </w:tcPr>
          <w:p w:rsidR="0055491A" w:rsidRPr="006B62D7" w:rsidRDefault="0055491A" w:rsidP="00210BF6">
            <w:pPr>
              <w:jc w:val="center"/>
              <w:rPr>
                <w:color w:val="000000"/>
              </w:rPr>
            </w:pPr>
            <w:r>
              <w:rPr>
                <w:color w:val="000000"/>
              </w:rPr>
              <w:t>9</w:t>
            </w:r>
          </w:p>
        </w:tc>
        <w:tc>
          <w:tcPr>
            <w:tcW w:w="1134" w:type="dxa"/>
            <w:tcBorders>
              <w:top w:val="nil"/>
              <w:left w:val="single" w:sz="4" w:space="0" w:color="auto"/>
              <w:bottom w:val="single" w:sz="4" w:space="0" w:color="auto"/>
              <w:right w:val="single" w:sz="4" w:space="0" w:color="auto"/>
            </w:tcBorders>
            <w:shd w:val="clear" w:color="auto" w:fill="FFFFFF" w:themeFill="background1"/>
            <w:vAlign w:val="center"/>
          </w:tcPr>
          <w:p w:rsidR="0055491A" w:rsidRPr="006B62D7" w:rsidRDefault="0055491A" w:rsidP="00210BF6">
            <w:pPr>
              <w:jc w:val="center"/>
              <w:rPr>
                <w:color w:val="000000"/>
              </w:rPr>
            </w:pPr>
            <w:r>
              <w:rPr>
                <w:color w:val="000000"/>
              </w:rPr>
              <w:t>250,0</w:t>
            </w:r>
          </w:p>
        </w:tc>
        <w:tc>
          <w:tcPr>
            <w:tcW w:w="1134" w:type="dxa"/>
            <w:tcBorders>
              <w:top w:val="nil"/>
              <w:left w:val="single" w:sz="4" w:space="0" w:color="auto"/>
              <w:bottom w:val="single" w:sz="4" w:space="0" w:color="auto"/>
              <w:right w:val="single" w:sz="4" w:space="0" w:color="auto"/>
            </w:tcBorders>
            <w:shd w:val="clear" w:color="auto" w:fill="FFFFFF" w:themeFill="background1"/>
            <w:vAlign w:val="center"/>
          </w:tcPr>
          <w:p w:rsidR="0055491A" w:rsidRPr="006B62D7" w:rsidRDefault="0055491A" w:rsidP="00210BF6">
            <w:pPr>
              <w:jc w:val="center"/>
              <w:rPr>
                <w:color w:val="000000"/>
              </w:rPr>
            </w:pPr>
            <w:r>
              <w:rPr>
                <w:color w:val="000000"/>
              </w:rPr>
              <w:t>225,0</w:t>
            </w:r>
          </w:p>
        </w:tc>
        <w:tc>
          <w:tcPr>
            <w:tcW w:w="1134" w:type="dxa"/>
            <w:tcBorders>
              <w:top w:val="nil"/>
              <w:left w:val="single" w:sz="4" w:space="0" w:color="auto"/>
              <w:bottom w:val="single" w:sz="4" w:space="0" w:color="auto"/>
              <w:right w:val="single" w:sz="4" w:space="0" w:color="auto"/>
            </w:tcBorders>
            <w:shd w:val="clear" w:color="auto" w:fill="FFFFFF" w:themeFill="background1"/>
            <w:vAlign w:val="center"/>
          </w:tcPr>
          <w:p w:rsidR="0055491A" w:rsidRPr="006B62D7" w:rsidRDefault="0055491A" w:rsidP="00210BF6">
            <w:pPr>
              <w:jc w:val="center"/>
              <w:rPr>
                <w:color w:val="000000"/>
              </w:rPr>
            </w:pPr>
            <w:r>
              <w:rPr>
                <w:color w:val="000000"/>
              </w:rPr>
              <w:t>225,0</w:t>
            </w:r>
          </w:p>
        </w:tc>
      </w:tr>
      <w:tr w:rsidR="0055491A" w:rsidRPr="00F80477" w:rsidTr="00210BF6">
        <w:trPr>
          <w:trHeight w:val="255"/>
        </w:trPr>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491A" w:rsidRDefault="0055491A" w:rsidP="00210BF6">
            <w:pPr>
              <w:jc w:val="center"/>
            </w:pPr>
            <w:r>
              <w:t>50</w:t>
            </w:r>
          </w:p>
        </w:tc>
        <w:tc>
          <w:tcPr>
            <w:tcW w:w="723" w:type="dxa"/>
            <w:tcBorders>
              <w:top w:val="nil"/>
              <w:left w:val="single" w:sz="4" w:space="0" w:color="auto"/>
              <w:bottom w:val="single" w:sz="4" w:space="0" w:color="auto"/>
              <w:right w:val="single" w:sz="4" w:space="0" w:color="auto"/>
            </w:tcBorders>
            <w:shd w:val="clear" w:color="auto" w:fill="auto"/>
            <w:noWrap/>
            <w:vAlign w:val="center"/>
          </w:tcPr>
          <w:p w:rsidR="0055491A" w:rsidRPr="006B62D7" w:rsidRDefault="0055491A" w:rsidP="00210BF6">
            <w:pPr>
              <w:jc w:val="center"/>
              <w:rPr>
                <w:color w:val="000000"/>
              </w:rPr>
            </w:pPr>
            <w:r>
              <w:rPr>
                <w:color w:val="000000"/>
              </w:rPr>
              <w:t>0</w:t>
            </w:r>
          </w:p>
        </w:tc>
        <w:tc>
          <w:tcPr>
            <w:tcW w:w="701" w:type="dxa"/>
            <w:tcBorders>
              <w:top w:val="nil"/>
              <w:left w:val="nil"/>
              <w:bottom w:val="single" w:sz="4" w:space="0" w:color="auto"/>
              <w:right w:val="single" w:sz="4" w:space="0" w:color="auto"/>
            </w:tcBorders>
            <w:shd w:val="clear" w:color="auto" w:fill="auto"/>
            <w:noWrap/>
            <w:vAlign w:val="center"/>
          </w:tcPr>
          <w:p w:rsidR="0055491A" w:rsidRPr="006B62D7" w:rsidRDefault="0055491A" w:rsidP="00210BF6">
            <w:pPr>
              <w:jc w:val="center"/>
              <w:rPr>
                <w:color w:val="000000"/>
              </w:rPr>
            </w:pPr>
            <w:r>
              <w:rPr>
                <w:color w:val="000000"/>
              </w:rPr>
              <w:t>0</w:t>
            </w:r>
          </w:p>
        </w:tc>
        <w:tc>
          <w:tcPr>
            <w:tcW w:w="709" w:type="dxa"/>
            <w:tcBorders>
              <w:top w:val="nil"/>
              <w:left w:val="nil"/>
              <w:bottom w:val="single" w:sz="4" w:space="0" w:color="auto"/>
              <w:right w:val="single" w:sz="4" w:space="0" w:color="auto"/>
            </w:tcBorders>
            <w:shd w:val="clear" w:color="auto" w:fill="auto"/>
            <w:noWrap/>
            <w:vAlign w:val="center"/>
          </w:tcPr>
          <w:p w:rsidR="0055491A" w:rsidRPr="006B62D7" w:rsidRDefault="0055491A" w:rsidP="00210BF6">
            <w:pPr>
              <w:jc w:val="center"/>
              <w:rPr>
                <w:color w:val="000000"/>
              </w:rPr>
            </w:pPr>
            <w:r>
              <w:rPr>
                <w:color w:val="000000"/>
              </w:rPr>
              <w:t>10</w:t>
            </w:r>
          </w:p>
        </w:tc>
        <w:tc>
          <w:tcPr>
            <w:tcW w:w="707" w:type="dxa"/>
            <w:tcBorders>
              <w:top w:val="nil"/>
              <w:left w:val="nil"/>
              <w:bottom w:val="single" w:sz="4" w:space="0" w:color="auto"/>
              <w:right w:val="single" w:sz="4" w:space="0" w:color="auto"/>
            </w:tcBorders>
            <w:shd w:val="clear" w:color="auto" w:fill="FFFFFF" w:themeFill="background1"/>
            <w:vAlign w:val="center"/>
          </w:tcPr>
          <w:p w:rsidR="0055491A" w:rsidRPr="006B62D7" w:rsidRDefault="0055491A" w:rsidP="00210BF6">
            <w:pPr>
              <w:jc w:val="center"/>
              <w:rPr>
                <w:color w:val="000000"/>
              </w:rPr>
            </w:pPr>
            <w:r>
              <w:rPr>
                <w:color w:val="000000"/>
              </w:rPr>
              <w:t>3</w:t>
            </w:r>
          </w:p>
        </w:tc>
        <w:tc>
          <w:tcPr>
            <w:tcW w:w="706" w:type="dxa"/>
            <w:tcBorders>
              <w:top w:val="nil"/>
              <w:left w:val="single" w:sz="4" w:space="0" w:color="auto"/>
              <w:bottom w:val="single" w:sz="4" w:space="0" w:color="auto"/>
              <w:right w:val="single" w:sz="4" w:space="0" w:color="auto"/>
            </w:tcBorders>
            <w:shd w:val="clear" w:color="auto" w:fill="FFFFFF" w:themeFill="background1"/>
            <w:vAlign w:val="center"/>
          </w:tcPr>
          <w:p w:rsidR="0055491A" w:rsidRPr="006B62D7" w:rsidRDefault="0055491A" w:rsidP="00210BF6">
            <w:pPr>
              <w:jc w:val="center"/>
              <w:rPr>
                <w:color w:val="000000"/>
              </w:rPr>
            </w:pPr>
            <w:r>
              <w:rPr>
                <w:color w:val="000000"/>
              </w:rPr>
              <w:t>4</w:t>
            </w:r>
          </w:p>
        </w:tc>
        <w:tc>
          <w:tcPr>
            <w:tcW w:w="707" w:type="dxa"/>
            <w:tcBorders>
              <w:top w:val="nil"/>
              <w:left w:val="single" w:sz="4" w:space="0" w:color="auto"/>
              <w:bottom w:val="single" w:sz="4" w:space="0" w:color="auto"/>
              <w:right w:val="single" w:sz="4" w:space="0" w:color="auto"/>
            </w:tcBorders>
            <w:shd w:val="clear" w:color="auto" w:fill="FFFFFF" w:themeFill="background1"/>
            <w:vAlign w:val="center"/>
          </w:tcPr>
          <w:p w:rsidR="0055491A" w:rsidRPr="006B62D7" w:rsidRDefault="0055491A" w:rsidP="00210BF6">
            <w:pPr>
              <w:jc w:val="center"/>
              <w:rPr>
                <w:color w:val="000000"/>
              </w:rPr>
            </w:pPr>
            <w:r>
              <w:rPr>
                <w:color w:val="000000"/>
              </w:rPr>
              <w:t>6</w:t>
            </w:r>
          </w:p>
        </w:tc>
        <w:tc>
          <w:tcPr>
            <w:tcW w:w="707" w:type="dxa"/>
            <w:tcBorders>
              <w:top w:val="nil"/>
              <w:left w:val="single" w:sz="4" w:space="0" w:color="auto"/>
              <w:bottom w:val="single" w:sz="4" w:space="0" w:color="auto"/>
              <w:right w:val="single" w:sz="4" w:space="0" w:color="auto"/>
            </w:tcBorders>
            <w:shd w:val="clear" w:color="auto" w:fill="FFFFFF" w:themeFill="background1"/>
            <w:vAlign w:val="center"/>
          </w:tcPr>
          <w:p w:rsidR="0055491A" w:rsidRPr="006B62D7" w:rsidRDefault="0055491A" w:rsidP="00210BF6">
            <w:pPr>
              <w:jc w:val="center"/>
              <w:rPr>
                <w:color w:val="000000"/>
              </w:rPr>
            </w:pPr>
            <w:r>
              <w:rPr>
                <w:color w:val="000000"/>
              </w:rPr>
              <w:t>4</w:t>
            </w:r>
          </w:p>
        </w:tc>
        <w:tc>
          <w:tcPr>
            <w:tcW w:w="1134" w:type="dxa"/>
            <w:tcBorders>
              <w:top w:val="nil"/>
              <w:left w:val="single" w:sz="4" w:space="0" w:color="auto"/>
              <w:bottom w:val="single" w:sz="4" w:space="0" w:color="auto"/>
              <w:right w:val="single" w:sz="4" w:space="0" w:color="auto"/>
            </w:tcBorders>
            <w:shd w:val="clear" w:color="auto" w:fill="FFFFFF" w:themeFill="background1"/>
            <w:vAlign w:val="center"/>
          </w:tcPr>
          <w:p w:rsidR="0055491A" w:rsidRPr="006B62D7" w:rsidRDefault="0055491A" w:rsidP="00210BF6">
            <w:pPr>
              <w:jc w:val="center"/>
              <w:rPr>
                <w:color w:val="000000"/>
              </w:rPr>
            </w:pPr>
            <w:r>
              <w:rPr>
                <w:color w:val="000000"/>
              </w:rPr>
              <w:t>200,0</w:t>
            </w:r>
          </w:p>
        </w:tc>
        <w:tc>
          <w:tcPr>
            <w:tcW w:w="1134" w:type="dxa"/>
            <w:tcBorders>
              <w:top w:val="nil"/>
              <w:left w:val="single" w:sz="4" w:space="0" w:color="auto"/>
              <w:bottom w:val="single" w:sz="4" w:space="0" w:color="auto"/>
              <w:right w:val="single" w:sz="4" w:space="0" w:color="auto"/>
            </w:tcBorders>
            <w:shd w:val="clear" w:color="auto" w:fill="FFFFFF" w:themeFill="background1"/>
            <w:vAlign w:val="center"/>
          </w:tcPr>
          <w:p w:rsidR="0055491A" w:rsidRPr="006B62D7" w:rsidRDefault="0055491A" w:rsidP="00210BF6">
            <w:pPr>
              <w:jc w:val="center"/>
              <w:rPr>
                <w:color w:val="000000"/>
              </w:rPr>
            </w:pPr>
            <w:r>
              <w:rPr>
                <w:color w:val="000000"/>
              </w:rPr>
              <w:t>300,0</w:t>
            </w:r>
          </w:p>
        </w:tc>
        <w:tc>
          <w:tcPr>
            <w:tcW w:w="1134" w:type="dxa"/>
            <w:tcBorders>
              <w:top w:val="nil"/>
              <w:left w:val="single" w:sz="4" w:space="0" w:color="auto"/>
              <w:bottom w:val="single" w:sz="4" w:space="0" w:color="auto"/>
              <w:right w:val="single" w:sz="4" w:space="0" w:color="auto"/>
            </w:tcBorders>
            <w:shd w:val="clear" w:color="auto" w:fill="FFFFFF" w:themeFill="background1"/>
            <w:vAlign w:val="center"/>
          </w:tcPr>
          <w:p w:rsidR="0055491A" w:rsidRPr="006B62D7" w:rsidRDefault="0055491A" w:rsidP="00210BF6">
            <w:pPr>
              <w:jc w:val="center"/>
              <w:rPr>
                <w:color w:val="000000"/>
              </w:rPr>
            </w:pPr>
            <w:r>
              <w:rPr>
                <w:color w:val="000000"/>
              </w:rPr>
              <w:t>200,0</w:t>
            </w:r>
          </w:p>
        </w:tc>
      </w:tr>
      <w:tr w:rsidR="0055491A" w:rsidRPr="00F80477" w:rsidTr="00210BF6">
        <w:trPr>
          <w:trHeight w:val="255"/>
        </w:trPr>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491A" w:rsidRDefault="0055491A" w:rsidP="00210BF6">
            <w:pPr>
              <w:jc w:val="center"/>
            </w:pPr>
            <w:r>
              <w:t>100</w:t>
            </w:r>
          </w:p>
        </w:tc>
        <w:tc>
          <w:tcPr>
            <w:tcW w:w="723" w:type="dxa"/>
            <w:tcBorders>
              <w:top w:val="nil"/>
              <w:left w:val="single" w:sz="4" w:space="0" w:color="auto"/>
              <w:bottom w:val="single" w:sz="4" w:space="0" w:color="auto"/>
              <w:right w:val="single" w:sz="4" w:space="0" w:color="auto"/>
            </w:tcBorders>
            <w:shd w:val="clear" w:color="auto" w:fill="auto"/>
            <w:noWrap/>
            <w:vAlign w:val="center"/>
          </w:tcPr>
          <w:p w:rsidR="0055491A" w:rsidRPr="006B62D7" w:rsidRDefault="0055491A" w:rsidP="00210BF6">
            <w:pPr>
              <w:jc w:val="center"/>
              <w:rPr>
                <w:color w:val="000000"/>
              </w:rPr>
            </w:pPr>
            <w:r>
              <w:rPr>
                <w:color w:val="000000"/>
              </w:rPr>
              <w:t>73</w:t>
            </w:r>
          </w:p>
        </w:tc>
        <w:tc>
          <w:tcPr>
            <w:tcW w:w="701" w:type="dxa"/>
            <w:tcBorders>
              <w:top w:val="nil"/>
              <w:left w:val="nil"/>
              <w:bottom w:val="single" w:sz="4" w:space="0" w:color="auto"/>
              <w:right w:val="single" w:sz="4" w:space="0" w:color="auto"/>
            </w:tcBorders>
            <w:shd w:val="clear" w:color="auto" w:fill="auto"/>
            <w:noWrap/>
            <w:vAlign w:val="center"/>
          </w:tcPr>
          <w:p w:rsidR="0055491A" w:rsidRPr="006B62D7" w:rsidRDefault="0055491A" w:rsidP="00210BF6">
            <w:pPr>
              <w:jc w:val="center"/>
              <w:rPr>
                <w:color w:val="000000"/>
              </w:rPr>
            </w:pPr>
            <w:r>
              <w:rPr>
                <w:color w:val="000000"/>
              </w:rPr>
              <w:t>111</w:t>
            </w:r>
          </w:p>
        </w:tc>
        <w:tc>
          <w:tcPr>
            <w:tcW w:w="709" w:type="dxa"/>
            <w:tcBorders>
              <w:top w:val="nil"/>
              <w:left w:val="nil"/>
              <w:bottom w:val="single" w:sz="4" w:space="0" w:color="auto"/>
              <w:right w:val="single" w:sz="4" w:space="0" w:color="auto"/>
            </w:tcBorders>
            <w:shd w:val="clear" w:color="auto" w:fill="auto"/>
            <w:noWrap/>
            <w:vAlign w:val="center"/>
          </w:tcPr>
          <w:p w:rsidR="0055491A" w:rsidRPr="006B62D7" w:rsidRDefault="0055491A" w:rsidP="00210BF6">
            <w:pPr>
              <w:jc w:val="center"/>
              <w:rPr>
                <w:color w:val="000000"/>
              </w:rPr>
            </w:pPr>
            <w:r>
              <w:rPr>
                <w:color w:val="000000"/>
              </w:rPr>
              <w:t>70</w:t>
            </w:r>
          </w:p>
        </w:tc>
        <w:tc>
          <w:tcPr>
            <w:tcW w:w="707" w:type="dxa"/>
            <w:tcBorders>
              <w:top w:val="nil"/>
              <w:left w:val="nil"/>
              <w:bottom w:val="single" w:sz="4" w:space="0" w:color="auto"/>
              <w:right w:val="single" w:sz="4" w:space="0" w:color="auto"/>
            </w:tcBorders>
            <w:shd w:val="clear" w:color="auto" w:fill="FFFFFF" w:themeFill="background1"/>
            <w:vAlign w:val="center"/>
          </w:tcPr>
          <w:p w:rsidR="0055491A" w:rsidRPr="006B62D7" w:rsidRDefault="0055491A" w:rsidP="00210BF6">
            <w:pPr>
              <w:jc w:val="center"/>
              <w:rPr>
                <w:color w:val="000000"/>
              </w:rPr>
            </w:pPr>
            <w:r>
              <w:rPr>
                <w:color w:val="000000"/>
              </w:rPr>
              <w:t>84</w:t>
            </w:r>
          </w:p>
        </w:tc>
        <w:tc>
          <w:tcPr>
            <w:tcW w:w="706" w:type="dxa"/>
            <w:tcBorders>
              <w:top w:val="nil"/>
              <w:left w:val="single" w:sz="4" w:space="0" w:color="auto"/>
              <w:bottom w:val="single" w:sz="4" w:space="0" w:color="auto"/>
              <w:right w:val="single" w:sz="4" w:space="0" w:color="auto"/>
            </w:tcBorders>
            <w:shd w:val="clear" w:color="auto" w:fill="FFFFFF" w:themeFill="background1"/>
            <w:vAlign w:val="center"/>
          </w:tcPr>
          <w:p w:rsidR="0055491A" w:rsidRPr="006B62D7" w:rsidRDefault="0055491A" w:rsidP="00210BF6">
            <w:pPr>
              <w:jc w:val="center"/>
              <w:rPr>
                <w:color w:val="000000"/>
              </w:rPr>
            </w:pPr>
            <w:r>
              <w:rPr>
                <w:color w:val="000000"/>
              </w:rPr>
              <w:t>89</w:t>
            </w:r>
          </w:p>
        </w:tc>
        <w:tc>
          <w:tcPr>
            <w:tcW w:w="707" w:type="dxa"/>
            <w:tcBorders>
              <w:top w:val="nil"/>
              <w:left w:val="single" w:sz="4" w:space="0" w:color="auto"/>
              <w:bottom w:val="single" w:sz="4" w:space="0" w:color="auto"/>
              <w:right w:val="single" w:sz="4" w:space="0" w:color="auto"/>
            </w:tcBorders>
            <w:shd w:val="clear" w:color="auto" w:fill="FFFFFF" w:themeFill="background1"/>
            <w:vAlign w:val="center"/>
          </w:tcPr>
          <w:p w:rsidR="0055491A" w:rsidRPr="006B62D7" w:rsidRDefault="0055491A" w:rsidP="00210BF6">
            <w:pPr>
              <w:jc w:val="center"/>
              <w:rPr>
                <w:color w:val="000000"/>
              </w:rPr>
            </w:pPr>
            <w:r>
              <w:rPr>
                <w:color w:val="000000"/>
              </w:rPr>
              <w:t>82</w:t>
            </w:r>
          </w:p>
        </w:tc>
        <w:tc>
          <w:tcPr>
            <w:tcW w:w="707" w:type="dxa"/>
            <w:tcBorders>
              <w:top w:val="nil"/>
              <w:left w:val="single" w:sz="4" w:space="0" w:color="auto"/>
              <w:bottom w:val="single" w:sz="4" w:space="0" w:color="auto"/>
              <w:right w:val="single" w:sz="4" w:space="0" w:color="auto"/>
            </w:tcBorders>
            <w:shd w:val="clear" w:color="auto" w:fill="FFFFFF" w:themeFill="background1"/>
            <w:vAlign w:val="center"/>
          </w:tcPr>
          <w:p w:rsidR="0055491A" w:rsidRPr="006B62D7" w:rsidRDefault="0055491A" w:rsidP="00210BF6">
            <w:pPr>
              <w:jc w:val="center"/>
              <w:rPr>
                <w:color w:val="000000"/>
              </w:rPr>
            </w:pPr>
            <w:r>
              <w:rPr>
                <w:color w:val="000000"/>
              </w:rPr>
              <w:t>85</w:t>
            </w:r>
          </w:p>
        </w:tc>
        <w:tc>
          <w:tcPr>
            <w:tcW w:w="1134" w:type="dxa"/>
            <w:tcBorders>
              <w:top w:val="nil"/>
              <w:left w:val="single" w:sz="4" w:space="0" w:color="auto"/>
              <w:bottom w:val="single" w:sz="4" w:space="0" w:color="auto"/>
              <w:right w:val="single" w:sz="4" w:space="0" w:color="auto"/>
            </w:tcBorders>
            <w:shd w:val="clear" w:color="auto" w:fill="FFFFFF" w:themeFill="background1"/>
            <w:vAlign w:val="center"/>
          </w:tcPr>
          <w:p w:rsidR="0055491A" w:rsidRPr="006B62D7" w:rsidRDefault="0055491A" w:rsidP="00210BF6">
            <w:pPr>
              <w:jc w:val="center"/>
              <w:rPr>
                <w:color w:val="000000"/>
              </w:rPr>
            </w:pPr>
            <w:r>
              <w:rPr>
                <w:color w:val="000000"/>
              </w:rPr>
              <w:t>8 900,0</w:t>
            </w:r>
          </w:p>
        </w:tc>
        <w:tc>
          <w:tcPr>
            <w:tcW w:w="1134" w:type="dxa"/>
            <w:tcBorders>
              <w:top w:val="nil"/>
              <w:left w:val="single" w:sz="4" w:space="0" w:color="auto"/>
              <w:bottom w:val="single" w:sz="4" w:space="0" w:color="auto"/>
              <w:right w:val="single" w:sz="4" w:space="0" w:color="auto"/>
            </w:tcBorders>
            <w:shd w:val="clear" w:color="auto" w:fill="FFFFFF" w:themeFill="background1"/>
            <w:vAlign w:val="center"/>
          </w:tcPr>
          <w:p w:rsidR="0055491A" w:rsidRPr="006B62D7" w:rsidRDefault="0055491A" w:rsidP="00210BF6">
            <w:pPr>
              <w:jc w:val="center"/>
              <w:rPr>
                <w:color w:val="000000"/>
              </w:rPr>
            </w:pPr>
            <w:r>
              <w:rPr>
                <w:color w:val="000000"/>
              </w:rPr>
              <w:t>8 200,0</w:t>
            </w:r>
          </w:p>
        </w:tc>
        <w:tc>
          <w:tcPr>
            <w:tcW w:w="1134" w:type="dxa"/>
            <w:tcBorders>
              <w:top w:val="nil"/>
              <w:left w:val="single" w:sz="4" w:space="0" w:color="auto"/>
              <w:bottom w:val="single" w:sz="4" w:space="0" w:color="auto"/>
              <w:right w:val="single" w:sz="4" w:space="0" w:color="auto"/>
            </w:tcBorders>
            <w:shd w:val="clear" w:color="auto" w:fill="FFFFFF" w:themeFill="background1"/>
            <w:vAlign w:val="center"/>
          </w:tcPr>
          <w:p w:rsidR="0055491A" w:rsidRPr="006B62D7" w:rsidRDefault="0055491A" w:rsidP="00210BF6">
            <w:pPr>
              <w:jc w:val="center"/>
              <w:rPr>
                <w:color w:val="000000"/>
              </w:rPr>
            </w:pPr>
            <w:r>
              <w:rPr>
                <w:color w:val="000000"/>
              </w:rPr>
              <w:t>8 500,0</w:t>
            </w:r>
          </w:p>
        </w:tc>
      </w:tr>
      <w:tr w:rsidR="0055491A" w:rsidRPr="00F80477" w:rsidTr="00210BF6">
        <w:trPr>
          <w:trHeight w:val="255"/>
        </w:trPr>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491A" w:rsidRDefault="0055491A" w:rsidP="00210BF6">
            <w:pPr>
              <w:jc w:val="center"/>
            </w:pPr>
            <w:r>
              <w:t>200</w:t>
            </w:r>
          </w:p>
        </w:tc>
        <w:tc>
          <w:tcPr>
            <w:tcW w:w="723" w:type="dxa"/>
            <w:tcBorders>
              <w:top w:val="nil"/>
              <w:left w:val="single" w:sz="4" w:space="0" w:color="auto"/>
              <w:bottom w:val="single" w:sz="4" w:space="0" w:color="auto"/>
              <w:right w:val="single" w:sz="4" w:space="0" w:color="auto"/>
            </w:tcBorders>
            <w:shd w:val="clear" w:color="auto" w:fill="auto"/>
            <w:noWrap/>
            <w:vAlign w:val="center"/>
          </w:tcPr>
          <w:p w:rsidR="0055491A" w:rsidRPr="006B62D7" w:rsidRDefault="0055491A" w:rsidP="00210BF6">
            <w:pPr>
              <w:jc w:val="center"/>
              <w:rPr>
                <w:color w:val="000000"/>
              </w:rPr>
            </w:pPr>
            <w:r>
              <w:rPr>
                <w:color w:val="000000"/>
              </w:rPr>
              <w:t>2</w:t>
            </w:r>
          </w:p>
        </w:tc>
        <w:tc>
          <w:tcPr>
            <w:tcW w:w="701" w:type="dxa"/>
            <w:tcBorders>
              <w:top w:val="nil"/>
              <w:left w:val="nil"/>
              <w:bottom w:val="single" w:sz="4" w:space="0" w:color="auto"/>
              <w:right w:val="single" w:sz="4" w:space="0" w:color="auto"/>
            </w:tcBorders>
            <w:shd w:val="clear" w:color="auto" w:fill="auto"/>
            <w:noWrap/>
            <w:vAlign w:val="center"/>
          </w:tcPr>
          <w:p w:rsidR="0055491A" w:rsidRPr="006B62D7" w:rsidRDefault="0055491A" w:rsidP="00210BF6">
            <w:pPr>
              <w:jc w:val="center"/>
              <w:rPr>
                <w:color w:val="000000"/>
              </w:rPr>
            </w:pPr>
            <w:r>
              <w:rPr>
                <w:color w:val="000000"/>
              </w:rPr>
              <w:t>17</w:t>
            </w:r>
          </w:p>
        </w:tc>
        <w:tc>
          <w:tcPr>
            <w:tcW w:w="709" w:type="dxa"/>
            <w:tcBorders>
              <w:top w:val="nil"/>
              <w:left w:val="nil"/>
              <w:bottom w:val="single" w:sz="4" w:space="0" w:color="auto"/>
              <w:right w:val="single" w:sz="4" w:space="0" w:color="auto"/>
            </w:tcBorders>
            <w:shd w:val="clear" w:color="auto" w:fill="auto"/>
            <w:noWrap/>
            <w:vAlign w:val="center"/>
          </w:tcPr>
          <w:p w:rsidR="0055491A" w:rsidRPr="006B62D7" w:rsidRDefault="0055491A" w:rsidP="00210BF6">
            <w:pPr>
              <w:jc w:val="center"/>
              <w:rPr>
                <w:color w:val="000000"/>
              </w:rPr>
            </w:pPr>
            <w:r>
              <w:rPr>
                <w:color w:val="000000"/>
              </w:rPr>
              <w:t>3</w:t>
            </w:r>
          </w:p>
        </w:tc>
        <w:tc>
          <w:tcPr>
            <w:tcW w:w="707" w:type="dxa"/>
            <w:tcBorders>
              <w:top w:val="nil"/>
              <w:left w:val="nil"/>
              <w:bottom w:val="single" w:sz="4" w:space="0" w:color="auto"/>
              <w:right w:val="single" w:sz="4" w:space="0" w:color="auto"/>
            </w:tcBorders>
            <w:shd w:val="clear" w:color="auto" w:fill="FFFFFF" w:themeFill="background1"/>
            <w:vAlign w:val="center"/>
          </w:tcPr>
          <w:p w:rsidR="0055491A" w:rsidRPr="006B62D7" w:rsidRDefault="0055491A" w:rsidP="00210BF6">
            <w:pPr>
              <w:jc w:val="center"/>
              <w:rPr>
                <w:color w:val="000000"/>
              </w:rPr>
            </w:pPr>
            <w:r>
              <w:rPr>
                <w:color w:val="000000"/>
              </w:rPr>
              <w:t>7</w:t>
            </w:r>
          </w:p>
        </w:tc>
        <w:tc>
          <w:tcPr>
            <w:tcW w:w="706" w:type="dxa"/>
            <w:tcBorders>
              <w:top w:val="nil"/>
              <w:left w:val="single" w:sz="4" w:space="0" w:color="auto"/>
              <w:bottom w:val="single" w:sz="4" w:space="0" w:color="auto"/>
              <w:right w:val="single" w:sz="4" w:space="0" w:color="auto"/>
            </w:tcBorders>
            <w:shd w:val="clear" w:color="auto" w:fill="FFFFFF" w:themeFill="background1"/>
            <w:vAlign w:val="center"/>
          </w:tcPr>
          <w:p w:rsidR="0055491A" w:rsidRPr="006B62D7" w:rsidRDefault="0055491A" w:rsidP="00210BF6">
            <w:pPr>
              <w:jc w:val="center"/>
              <w:rPr>
                <w:color w:val="000000"/>
              </w:rPr>
            </w:pPr>
            <w:r>
              <w:rPr>
                <w:color w:val="000000"/>
              </w:rPr>
              <w:t>9</w:t>
            </w:r>
          </w:p>
        </w:tc>
        <w:tc>
          <w:tcPr>
            <w:tcW w:w="707" w:type="dxa"/>
            <w:tcBorders>
              <w:top w:val="nil"/>
              <w:left w:val="single" w:sz="4" w:space="0" w:color="auto"/>
              <w:bottom w:val="single" w:sz="4" w:space="0" w:color="auto"/>
              <w:right w:val="single" w:sz="4" w:space="0" w:color="auto"/>
            </w:tcBorders>
            <w:shd w:val="clear" w:color="auto" w:fill="FFFFFF" w:themeFill="background1"/>
            <w:vAlign w:val="center"/>
          </w:tcPr>
          <w:p w:rsidR="0055491A" w:rsidRPr="006B62D7" w:rsidRDefault="0055491A" w:rsidP="00210BF6">
            <w:pPr>
              <w:jc w:val="center"/>
              <w:rPr>
                <w:color w:val="000000"/>
              </w:rPr>
            </w:pPr>
            <w:r>
              <w:rPr>
                <w:color w:val="000000"/>
              </w:rPr>
              <w:t>6</w:t>
            </w:r>
          </w:p>
        </w:tc>
        <w:tc>
          <w:tcPr>
            <w:tcW w:w="707" w:type="dxa"/>
            <w:tcBorders>
              <w:top w:val="nil"/>
              <w:left w:val="single" w:sz="4" w:space="0" w:color="auto"/>
              <w:bottom w:val="single" w:sz="4" w:space="0" w:color="auto"/>
              <w:right w:val="single" w:sz="4" w:space="0" w:color="auto"/>
            </w:tcBorders>
            <w:shd w:val="clear" w:color="auto" w:fill="FFFFFF" w:themeFill="background1"/>
            <w:vAlign w:val="center"/>
          </w:tcPr>
          <w:p w:rsidR="0055491A" w:rsidRPr="006B62D7" w:rsidRDefault="0055491A" w:rsidP="00210BF6">
            <w:pPr>
              <w:jc w:val="center"/>
              <w:rPr>
                <w:color w:val="000000"/>
              </w:rPr>
            </w:pPr>
            <w:r>
              <w:rPr>
                <w:color w:val="000000"/>
              </w:rPr>
              <w:t>7</w:t>
            </w:r>
          </w:p>
        </w:tc>
        <w:tc>
          <w:tcPr>
            <w:tcW w:w="1134" w:type="dxa"/>
            <w:tcBorders>
              <w:top w:val="nil"/>
              <w:left w:val="single" w:sz="4" w:space="0" w:color="auto"/>
              <w:bottom w:val="single" w:sz="4" w:space="0" w:color="auto"/>
              <w:right w:val="single" w:sz="4" w:space="0" w:color="auto"/>
            </w:tcBorders>
            <w:shd w:val="clear" w:color="auto" w:fill="FFFFFF" w:themeFill="background1"/>
            <w:vAlign w:val="center"/>
          </w:tcPr>
          <w:p w:rsidR="0055491A" w:rsidRPr="006B62D7" w:rsidRDefault="0055491A" w:rsidP="00210BF6">
            <w:pPr>
              <w:jc w:val="center"/>
              <w:rPr>
                <w:color w:val="000000"/>
              </w:rPr>
            </w:pPr>
            <w:r>
              <w:rPr>
                <w:color w:val="000000"/>
              </w:rPr>
              <w:t>1 800,0</w:t>
            </w:r>
          </w:p>
        </w:tc>
        <w:tc>
          <w:tcPr>
            <w:tcW w:w="1134" w:type="dxa"/>
            <w:tcBorders>
              <w:top w:val="nil"/>
              <w:left w:val="single" w:sz="4" w:space="0" w:color="auto"/>
              <w:bottom w:val="single" w:sz="4" w:space="0" w:color="auto"/>
              <w:right w:val="single" w:sz="4" w:space="0" w:color="auto"/>
            </w:tcBorders>
            <w:shd w:val="clear" w:color="auto" w:fill="FFFFFF" w:themeFill="background1"/>
            <w:vAlign w:val="center"/>
          </w:tcPr>
          <w:p w:rsidR="0055491A" w:rsidRPr="006B62D7" w:rsidRDefault="0055491A" w:rsidP="00210BF6">
            <w:pPr>
              <w:jc w:val="center"/>
              <w:rPr>
                <w:color w:val="000000"/>
              </w:rPr>
            </w:pPr>
            <w:r>
              <w:rPr>
                <w:color w:val="000000"/>
              </w:rPr>
              <w:t>1 200,0</w:t>
            </w:r>
          </w:p>
        </w:tc>
        <w:tc>
          <w:tcPr>
            <w:tcW w:w="1134" w:type="dxa"/>
            <w:tcBorders>
              <w:top w:val="nil"/>
              <w:left w:val="single" w:sz="4" w:space="0" w:color="auto"/>
              <w:bottom w:val="single" w:sz="4" w:space="0" w:color="auto"/>
              <w:right w:val="single" w:sz="4" w:space="0" w:color="auto"/>
            </w:tcBorders>
            <w:shd w:val="clear" w:color="auto" w:fill="FFFFFF" w:themeFill="background1"/>
            <w:vAlign w:val="center"/>
          </w:tcPr>
          <w:p w:rsidR="0055491A" w:rsidRPr="006B62D7" w:rsidRDefault="0055491A" w:rsidP="00210BF6">
            <w:pPr>
              <w:jc w:val="center"/>
              <w:rPr>
                <w:color w:val="000000"/>
              </w:rPr>
            </w:pPr>
            <w:r>
              <w:rPr>
                <w:color w:val="000000"/>
              </w:rPr>
              <w:t>1 400,0</w:t>
            </w:r>
          </w:p>
        </w:tc>
      </w:tr>
      <w:tr w:rsidR="0055491A" w:rsidRPr="00F80477" w:rsidTr="00210BF6">
        <w:trPr>
          <w:trHeight w:val="400"/>
        </w:trPr>
        <w:tc>
          <w:tcPr>
            <w:tcW w:w="984" w:type="dxa"/>
            <w:tcBorders>
              <w:top w:val="nil"/>
              <w:left w:val="single" w:sz="8" w:space="0" w:color="auto"/>
              <w:bottom w:val="nil"/>
              <w:right w:val="single" w:sz="8" w:space="0" w:color="auto"/>
            </w:tcBorders>
          </w:tcPr>
          <w:p w:rsidR="0055491A" w:rsidRPr="00EF0881" w:rsidRDefault="0055491A" w:rsidP="00210BF6">
            <w:pPr>
              <w:jc w:val="center"/>
              <w:rPr>
                <w:b/>
              </w:rPr>
            </w:pPr>
          </w:p>
        </w:tc>
        <w:tc>
          <w:tcPr>
            <w:tcW w:w="4960" w:type="dxa"/>
            <w:gridSpan w:val="7"/>
            <w:tcBorders>
              <w:top w:val="nil"/>
              <w:left w:val="single" w:sz="8" w:space="0" w:color="auto"/>
              <w:bottom w:val="nil"/>
              <w:right w:val="single" w:sz="8" w:space="0" w:color="auto"/>
            </w:tcBorders>
            <w:shd w:val="clear" w:color="auto" w:fill="auto"/>
            <w:vAlign w:val="center"/>
          </w:tcPr>
          <w:p w:rsidR="0055491A" w:rsidRPr="00F80477" w:rsidRDefault="0055491A" w:rsidP="00210BF6">
            <w:pPr>
              <w:jc w:val="center"/>
            </w:pPr>
            <w:r w:rsidRPr="00EF0881">
              <w:rPr>
                <w:b/>
              </w:rPr>
              <w:t>ИТОГО</w:t>
            </w:r>
            <w:r>
              <w:rPr>
                <w:b/>
              </w:rPr>
              <w:t xml:space="preserve"> </w:t>
            </w:r>
          </w:p>
        </w:tc>
        <w:tc>
          <w:tcPr>
            <w:tcW w:w="1134" w:type="dxa"/>
            <w:tcBorders>
              <w:top w:val="nil"/>
              <w:left w:val="single" w:sz="4" w:space="0" w:color="auto"/>
              <w:bottom w:val="nil"/>
              <w:right w:val="single" w:sz="4" w:space="0" w:color="auto"/>
            </w:tcBorders>
            <w:shd w:val="clear" w:color="auto" w:fill="auto"/>
            <w:vAlign w:val="center"/>
            <w:hideMark/>
          </w:tcPr>
          <w:p w:rsidR="0055491A" w:rsidRPr="00F80477" w:rsidRDefault="0055491A" w:rsidP="00210BF6">
            <w:pPr>
              <w:jc w:val="center"/>
            </w:pPr>
            <w:r>
              <w:t>12 963,0</w:t>
            </w:r>
          </w:p>
        </w:tc>
        <w:tc>
          <w:tcPr>
            <w:tcW w:w="1134" w:type="dxa"/>
            <w:tcBorders>
              <w:top w:val="nil"/>
              <w:left w:val="nil"/>
              <w:bottom w:val="nil"/>
              <w:right w:val="single" w:sz="4" w:space="0" w:color="auto"/>
            </w:tcBorders>
            <w:shd w:val="clear" w:color="auto" w:fill="auto"/>
            <w:vAlign w:val="center"/>
            <w:hideMark/>
          </w:tcPr>
          <w:p w:rsidR="0055491A" w:rsidRPr="00F80477" w:rsidRDefault="0055491A" w:rsidP="00210BF6">
            <w:pPr>
              <w:jc w:val="center"/>
            </w:pPr>
            <w:r>
              <w:t>11 639,0</w:t>
            </w:r>
          </w:p>
        </w:tc>
        <w:tc>
          <w:tcPr>
            <w:tcW w:w="1134" w:type="dxa"/>
            <w:tcBorders>
              <w:top w:val="nil"/>
              <w:left w:val="nil"/>
              <w:bottom w:val="nil"/>
              <w:right w:val="single" w:sz="4" w:space="0" w:color="auto"/>
            </w:tcBorders>
            <w:shd w:val="clear" w:color="auto" w:fill="auto"/>
            <w:vAlign w:val="center"/>
            <w:hideMark/>
          </w:tcPr>
          <w:p w:rsidR="0055491A" w:rsidRPr="00F80477" w:rsidRDefault="0055491A" w:rsidP="00210BF6">
            <w:pPr>
              <w:jc w:val="center"/>
            </w:pPr>
            <w:r>
              <w:t>12 038,0</w:t>
            </w:r>
          </w:p>
        </w:tc>
      </w:tr>
      <w:tr w:rsidR="0055491A" w:rsidRPr="00F80477" w:rsidTr="00210BF6">
        <w:trPr>
          <w:trHeight w:val="400"/>
        </w:trPr>
        <w:tc>
          <w:tcPr>
            <w:tcW w:w="984" w:type="dxa"/>
            <w:tcBorders>
              <w:top w:val="nil"/>
              <w:left w:val="single" w:sz="8" w:space="0" w:color="auto"/>
              <w:bottom w:val="single" w:sz="4" w:space="0" w:color="auto"/>
              <w:right w:val="single" w:sz="8" w:space="0" w:color="auto"/>
            </w:tcBorders>
          </w:tcPr>
          <w:p w:rsidR="0055491A" w:rsidRPr="00EF0881" w:rsidRDefault="0055491A" w:rsidP="00210BF6">
            <w:pPr>
              <w:jc w:val="center"/>
              <w:rPr>
                <w:b/>
              </w:rPr>
            </w:pPr>
          </w:p>
        </w:tc>
        <w:tc>
          <w:tcPr>
            <w:tcW w:w="4960" w:type="dxa"/>
            <w:gridSpan w:val="7"/>
            <w:tcBorders>
              <w:top w:val="nil"/>
              <w:left w:val="single" w:sz="8" w:space="0" w:color="auto"/>
              <w:bottom w:val="nil"/>
              <w:right w:val="single" w:sz="8" w:space="0" w:color="auto"/>
            </w:tcBorders>
            <w:shd w:val="clear" w:color="auto" w:fill="auto"/>
            <w:vAlign w:val="center"/>
          </w:tcPr>
          <w:p w:rsidR="0055491A" w:rsidRPr="00F80477" w:rsidRDefault="0055491A" w:rsidP="00210BF6">
            <w:pPr>
              <w:jc w:val="center"/>
            </w:pPr>
            <w:r w:rsidRPr="00EF0881">
              <w:rPr>
                <w:b/>
              </w:rPr>
              <w:t>ИТОГО</w:t>
            </w:r>
            <w:r>
              <w:rPr>
                <w:b/>
              </w:rPr>
              <w:t xml:space="preserve"> по нормативу 50% </w:t>
            </w:r>
            <w:r w:rsidRPr="008356D9">
              <w:rPr>
                <w:i/>
              </w:rPr>
              <w:t>с учетом округления</w:t>
            </w:r>
          </w:p>
        </w:tc>
        <w:tc>
          <w:tcPr>
            <w:tcW w:w="1134" w:type="dxa"/>
            <w:tcBorders>
              <w:top w:val="nil"/>
              <w:left w:val="single" w:sz="4" w:space="0" w:color="auto"/>
              <w:bottom w:val="nil"/>
              <w:right w:val="single" w:sz="4" w:space="0" w:color="auto"/>
            </w:tcBorders>
            <w:shd w:val="clear" w:color="auto" w:fill="auto"/>
            <w:vAlign w:val="center"/>
          </w:tcPr>
          <w:p w:rsidR="0055491A" w:rsidRPr="00F80477" w:rsidRDefault="0055491A" w:rsidP="00210BF6">
            <w:pPr>
              <w:jc w:val="center"/>
            </w:pPr>
            <w:r>
              <w:t>6 481,5</w:t>
            </w:r>
          </w:p>
        </w:tc>
        <w:tc>
          <w:tcPr>
            <w:tcW w:w="1134" w:type="dxa"/>
            <w:tcBorders>
              <w:top w:val="nil"/>
              <w:left w:val="nil"/>
              <w:bottom w:val="nil"/>
              <w:right w:val="single" w:sz="4" w:space="0" w:color="auto"/>
            </w:tcBorders>
            <w:shd w:val="clear" w:color="auto" w:fill="auto"/>
            <w:vAlign w:val="center"/>
          </w:tcPr>
          <w:p w:rsidR="0055491A" w:rsidRPr="00F80477" w:rsidRDefault="0055491A" w:rsidP="00210BF6">
            <w:pPr>
              <w:jc w:val="center"/>
            </w:pPr>
            <w:r>
              <w:t>5 819,5</w:t>
            </w:r>
          </w:p>
        </w:tc>
        <w:tc>
          <w:tcPr>
            <w:tcW w:w="1134" w:type="dxa"/>
            <w:tcBorders>
              <w:top w:val="nil"/>
              <w:left w:val="nil"/>
              <w:bottom w:val="nil"/>
              <w:right w:val="single" w:sz="4" w:space="0" w:color="auto"/>
            </w:tcBorders>
            <w:shd w:val="clear" w:color="auto" w:fill="auto"/>
            <w:vAlign w:val="center"/>
          </w:tcPr>
          <w:p w:rsidR="0055491A" w:rsidRPr="00F80477" w:rsidRDefault="0055491A" w:rsidP="00210BF6">
            <w:pPr>
              <w:jc w:val="center"/>
            </w:pPr>
            <w:r>
              <w:t>6 019,0</w:t>
            </w:r>
          </w:p>
        </w:tc>
      </w:tr>
    </w:tbl>
    <w:p w:rsidR="0055491A" w:rsidRPr="008356D9" w:rsidRDefault="0055491A" w:rsidP="0055491A">
      <w:pPr>
        <w:spacing w:line="252" w:lineRule="auto"/>
        <w:ind w:firstLine="709"/>
        <w:jc w:val="both"/>
        <w:rPr>
          <w:sz w:val="28"/>
          <w:szCs w:val="28"/>
        </w:rPr>
      </w:pPr>
    </w:p>
    <w:p w:rsidR="0055491A" w:rsidRPr="002D51EF" w:rsidRDefault="0055491A" w:rsidP="0055491A">
      <w:pPr>
        <w:pStyle w:val="a7"/>
        <w:spacing w:after="0"/>
        <w:ind w:left="0" w:firstLine="709"/>
        <w:jc w:val="both"/>
        <w:rPr>
          <w:b/>
          <w:sz w:val="28"/>
          <w:szCs w:val="28"/>
        </w:rPr>
      </w:pPr>
      <w:r w:rsidRPr="002D51EF">
        <w:rPr>
          <w:b/>
          <w:sz w:val="28"/>
          <w:szCs w:val="28"/>
        </w:rPr>
        <w:t xml:space="preserve"> Прогноз доходов на 2022 </w:t>
      </w:r>
      <w:r w:rsidR="00076341">
        <w:rPr>
          <w:b/>
          <w:sz w:val="28"/>
          <w:szCs w:val="28"/>
        </w:rPr>
        <w:t>год – 6 481,5 тыс. руб., на 2023</w:t>
      </w:r>
      <w:r w:rsidRPr="002D51EF">
        <w:rPr>
          <w:b/>
          <w:sz w:val="28"/>
          <w:szCs w:val="28"/>
        </w:rPr>
        <w:t xml:space="preserve"> год – 5 819,5 тыс. руб., на 2024 год – 6 019,0 тыс. руб.</w:t>
      </w:r>
    </w:p>
    <w:p w:rsidR="0055491A" w:rsidRDefault="0055491A" w:rsidP="0055491A">
      <w:pPr>
        <w:pStyle w:val="a7"/>
        <w:spacing w:after="0"/>
        <w:ind w:left="0" w:firstLine="709"/>
        <w:jc w:val="both"/>
        <w:rPr>
          <w:sz w:val="28"/>
          <w:szCs w:val="28"/>
        </w:rPr>
      </w:pPr>
    </w:p>
    <w:p w:rsidR="0055491A" w:rsidRDefault="0055491A" w:rsidP="0055491A">
      <w:pPr>
        <w:pStyle w:val="a7"/>
        <w:spacing w:after="0"/>
        <w:ind w:left="0" w:firstLine="709"/>
        <w:jc w:val="both"/>
        <w:rPr>
          <w:sz w:val="28"/>
          <w:szCs w:val="28"/>
        </w:rPr>
      </w:pPr>
      <w:r>
        <w:rPr>
          <w:sz w:val="28"/>
          <w:szCs w:val="28"/>
        </w:rPr>
        <w:t xml:space="preserve">13.5 </w:t>
      </w:r>
      <w:r w:rsidRPr="002D51EF">
        <w:rPr>
          <w:b/>
          <w:sz w:val="28"/>
          <w:szCs w:val="28"/>
        </w:rPr>
        <w:t>КБК 075 1 16 01193 01 0000 140</w:t>
      </w:r>
      <w:r>
        <w:rPr>
          <w:sz w:val="28"/>
          <w:szCs w:val="28"/>
        </w:rPr>
        <w:t xml:space="preserve"> </w:t>
      </w:r>
      <w:r w:rsidRPr="00EF7C09">
        <w:rPr>
          <w:sz w:val="28"/>
          <w:szCs w:val="28"/>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r>
        <w:rPr>
          <w:sz w:val="28"/>
          <w:szCs w:val="28"/>
        </w:rPr>
        <w:t>.</w:t>
      </w:r>
    </w:p>
    <w:p w:rsidR="0055491A" w:rsidRDefault="0055491A" w:rsidP="0055491A">
      <w:pPr>
        <w:pStyle w:val="a7"/>
        <w:spacing w:after="0"/>
        <w:ind w:left="0" w:firstLine="709"/>
        <w:jc w:val="both"/>
        <w:rPr>
          <w:b/>
          <w:sz w:val="28"/>
          <w:szCs w:val="28"/>
        </w:rPr>
      </w:pPr>
      <w:r w:rsidRPr="002D51EF">
        <w:rPr>
          <w:b/>
          <w:sz w:val="28"/>
          <w:szCs w:val="28"/>
        </w:rPr>
        <w:t xml:space="preserve">Главный администратор доходов – Министерство образования Тверской области. </w:t>
      </w:r>
    </w:p>
    <w:p w:rsidR="0055491A" w:rsidRPr="002D51EF" w:rsidRDefault="0055491A" w:rsidP="0055491A">
      <w:pPr>
        <w:pStyle w:val="a7"/>
        <w:spacing w:after="0"/>
        <w:ind w:left="0" w:firstLine="709"/>
        <w:jc w:val="both"/>
        <w:rPr>
          <w:sz w:val="28"/>
          <w:szCs w:val="28"/>
        </w:rPr>
      </w:pPr>
      <w:r w:rsidRPr="002D51EF">
        <w:rPr>
          <w:sz w:val="28"/>
          <w:szCs w:val="28"/>
        </w:rPr>
        <w:lastRenderedPageBreak/>
        <w:t xml:space="preserve">Расчет представлен в таблице: </w:t>
      </w:r>
    </w:p>
    <w:p w:rsidR="0055491A" w:rsidRDefault="0055491A" w:rsidP="0055491A">
      <w:pPr>
        <w:pStyle w:val="a7"/>
        <w:spacing w:after="0"/>
        <w:ind w:left="0" w:firstLine="709"/>
        <w:jc w:val="right"/>
        <w:rPr>
          <w:sz w:val="28"/>
          <w:szCs w:val="28"/>
        </w:rPr>
      </w:pPr>
      <w:r w:rsidRPr="00AD0448">
        <w:t>тыс. руб</w:t>
      </w:r>
      <w:r>
        <w:rPr>
          <w:sz w:val="28"/>
          <w:szCs w:val="28"/>
        </w:rPr>
        <w:t>.</w:t>
      </w:r>
    </w:p>
    <w:tbl>
      <w:tblPr>
        <w:tblW w:w="9458" w:type="dxa"/>
        <w:tblLook w:val="04A0" w:firstRow="1" w:lastRow="0" w:firstColumn="1" w:lastColumn="0" w:noHBand="0" w:noVBand="1"/>
      </w:tblPr>
      <w:tblGrid>
        <w:gridCol w:w="1931"/>
        <w:gridCol w:w="1255"/>
        <w:gridCol w:w="1254"/>
        <w:gridCol w:w="1367"/>
        <w:gridCol w:w="1142"/>
        <w:gridCol w:w="1254"/>
        <w:gridCol w:w="1210"/>
        <w:gridCol w:w="45"/>
      </w:tblGrid>
      <w:tr w:rsidR="0055491A" w:rsidTr="00210BF6">
        <w:trPr>
          <w:trHeight w:val="307"/>
        </w:trPr>
        <w:tc>
          <w:tcPr>
            <w:tcW w:w="9458"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5491A" w:rsidRDefault="0055491A" w:rsidP="00210BF6">
            <w:pPr>
              <w:jc w:val="center"/>
              <w:rPr>
                <w:b/>
                <w:bCs/>
                <w:color w:val="000000"/>
                <w:sz w:val="22"/>
                <w:szCs w:val="22"/>
              </w:rPr>
            </w:pPr>
            <w:r>
              <w:rPr>
                <w:b/>
                <w:bCs/>
                <w:color w:val="000000"/>
                <w:sz w:val="22"/>
                <w:szCs w:val="22"/>
              </w:rPr>
              <w:t>Глава 19 КоАП РФ</w:t>
            </w:r>
          </w:p>
        </w:tc>
      </w:tr>
      <w:tr w:rsidR="0055491A" w:rsidTr="00210BF6">
        <w:trPr>
          <w:trHeight w:val="307"/>
        </w:trPr>
        <w:tc>
          <w:tcPr>
            <w:tcW w:w="1931" w:type="dxa"/>
            <w:vMerge w:val="restart"/>
            <w:tcBorders>
              <w:top w:val="nil"/>
              <w:left w:val="single" w:sz="4" w:space="0" w:color="auto"/>
              <w:bottom w:val="single" w:sz="4" w:space="0" w:color="auto"/>
              <w:right w:val="single" w:sz="4" w:space="0" w:color="auto"/>
            </w:tcBorders>
            <w:shd w:val="clear" w:color="auto" w:fill="auto"/>
            <w:vAlign w:val="bottom"/>
            <w:hideMark/>
          </w:tcPr>
          <w:p w:rsidR="0055491A" w:rsidRDefault="0055491A" w:rsidP="00210BF6">
            <w:pPr>
              <w:jc w:val="center"/>
              <w:rPr>
                <w:b/>
                <w:bCs/>
                <w:color w:val="000000"/>
                <w:sz w:val="22"/>
                <w:szCs w:val="22"/>
              </w:rPr>
            </w:pPr>
            <w:r>
              <w:rPr>
                <w:b/>
                <w:bCs/>
                <w:color w:val="000000"/>
                <w:sz w:val="22"/>
                <w:szCs w:val="22"/>
              </w:rPr>
              <w:t>Размер платежа (тыс.руб.)</w:t>
            </w:r>
          </w:p>
        </w:tc>
        <w:tc>
          <w:tcPr>
            <w:tcW w:w="3876" w:type="dxa"/>
            <w:gridSpan w:val="3"/>
            <w:tcBorders>
              <w:top w:val="single" w:sz="4" w:space="0" w:color="auto"/>
              <w:left w:val="nil"/>
              <w:bottom w:val="single" w:sz="4" w:space="0" w:color="auto"/>
              <w:right w:val="single" w:sz="4" w:space="0" w:color="auto"/>
            </w:tcBorders>
            <w:shd w:val="clear" w:color="auto" w:fill="auto"/>
            <w:vAlign w:val="bottom"/>
            <w:hideMark/>
          </w:tcPr>
          <w:p w:rsidR="0055491A" w:rsidRDefault="0055491A" w:rsidP="00210BF6">
            <w:pPr>
              <w:jc w:val="center"/>
              <w:rPr>
                <w:b/>
                <w:bCs/>
                <w:color w:val="000000"/>
                <w:sz w:val="22"/>
                <w:szCs w:val="22"/>
              </w:rPr>
            </w:pPr>
            <w:r>
              <w:rPr>
                <w:b/>
                <w:bCs/>
                <w:color w:val="000000"/>
                <w:sz w:val="22"/>
                <w:szCs w:val="22"/>
              </w:rPr>
              <w:t>Количество правонарушений (с учетом округления)</w:t>
            </w:r>
          </w:p>
        </w:tc>
        <w:tc>
          <w:tcPr>
            <w:tcW w:w="3651" w:type="dxa"/>
            <w:gridSpan w:val="4"/>
            <w:tcBorders>
              <w:top w:val="single" w:sz="4" w:space="0" w:color="auto"/>
              <w:left w:val="nil"/>
              <w:bottom w:val="single" w:sz="4" w:space="0" w:color="auto"/>
              <w:right w:val="single" w:sz="4" w:space="0" w:color="auto"/>
            </w:tcBorders>
            <w:shd w:val="clear" w:color="auto" w:fill="auto"/>
            <w:noWrap/>
            <w:vAlign w:val="bottom"/>
            <w:hideMark/>
          </w:tcPr>
          <w:p w:rsidR="0055491A" w:rsidRDefault="0055491A" w:rsidP="00210BF6">
            <w:pPr>
              <w:jc w:val="center"/>
              <w:rPr>
                <w:b/>
                <w:bCs/>
                <w:color w:val="000000"/>
                <w:sz w:val="22"/>
                <w:szCs w:val="22"/>
              </w:rPr>
            </w:pPr>
            <w:r>
              <w:rPr>
                <w:b/>
                <w:bCs/>
                <w:color w:val="000000"/>
                <w:sz w:val="22"/>
                <w:szCs w:val="22"/>
              </w:rPr>
              <w:t>Прогноз</w:t>
            </w:r>
          </w:p>
        </w:tc>
      </w:tr>
      <w:tr w:rsidR="0055491A" w:rsidTr="00210BF6">
        <w:trPr>
          <w:trHeight w:val="307"/>
        </w:trPr>
        <w:tc>
          <w:tcPr>
            <w:tcW w:w="1931" w:type="dxa"/>
            <w:vMerge/>
            <w:tcBorders>
              <w:top w:val="nil"/>
              <w:left w:val="single" w:sz="4" w:space="0" w:color="auto"/>
              <w:bottom w:val="single" w:sz="4" w:space="0" w:color="auto"/>
              <w:right w:val="single" w:sz="4" w:space="0" w:color="auto"/>
            </w:tcBorders>
            <w:vAlign w:val="center"/>
            <w:hideMark/>
          </w:tcPr>
          <w:p w:rsidR="0055491A" w:rsidRDefault="0055491A" w:rsidP="00210BF6">
            <w:pPr>
              <w:rPr>
                <w:b/>
                <w:bCs/>
                <w:color w:val="000000"/>
                <w:sz w:val="22"/>
                <w:szCs w:val="22"/>
              </w:rPr>
            </w:pPr>
          </w:p>
        </w:tc>
        <w:tc>
          <w:tcPr>
            <w:tcW w:w="1255" w:type="dxa"/>
            <w:tcBorders>
              <w:top w:val="nil"/>
              <w:left w:val="nil"/>
              <w:bottom w:val="single" w:sz="4" w:space="0" w:color="auto"/>
              <w:right w:val="single" w:sz="4" w:space="0" w:color="auto"/>
            </w:tcBorders>
            <w:shd w:val="clear" w:color="auto" w:fill="auto"/>
            <w:noWrap/>
            <w:vAlign w:val="bottom"/>
            <w:hideMark/>
          </w:tcPr>
          <w:p w:rsidR="0055491A" w:rsidRDefault="0055491A" w:rsidP="00210BF6">
            <w:pPr>
              <w:jc w:val="center"/>
              <w:rPr>
                <w:b/>
                <w:bCs/>
                <w:color w:val="000000"/>
                <w:sz w:val="22"/>
                <w:szCs w:val="22"/>
              </w:rPr>
            </w:pPr>
            <w:r>
              <w:rPr>
                <w:b/>
                <w:bCs/>
                <w:color w:val="000000"/>
                <w:sz w:val="22"/>
                <w:szCs w:val="22"/>
              </w:rPr>
              <w:t>2022 год</w:t>
            </w:r>
          </w:p>
        </w:tc>
        <w:tc>
          <w:tcPr>
            <w:tcW w:w="1254" w:type="dxa"/>
            <w:tcBorders>
              <w:top w:val="nil"/>
              <w:left w:val="nil"/>
              <w:bottom w:val="single" w:sz="4" w:space="0" w:color="auto"/>
              <w:right w:val="single" w:sz="4" w:space="0" w:color="auto"/>
            </w:tcBorders>
            <w:shd w:val="clear" w:color="auto" w:fill="auto"/>
            <w:noWrap/>
            <w:vAlign w:val="bottom"/>
            <w:hideMark/>
          </w:tcPr>
          <w:p w:rsidR="0055491A" w:rsidRDefault="0055491A" w:rsidP="00210BF6">
            <w:pPr>
              <w:jc w:val="center"/>
              <w:rPr>
                <w:b/>
                <w:bCs/>
                <w:color w:val="000000"/>
                <w:sz w:val="22"/>
                <w:szCs w:val="22"/>
              </w:rPr>
            </w:pPr>
            <w:r>
              <w:rPr>
                <w:b/>
                <w:bCs/>
                <w:color w:val="000000"/>
                <w:sz w:val="22"/>
                <w:szCs w:val="22"/>
              </w:rPr>
              <w:t>2023 год</w:t>
            </w:r>
          </w:p>
        </w:tc>
        <w:tc>
          <w:tcPr>
            <w:tcW w:w="1367" w:type="dxa"/>
            <w:tcBorders>
              <w:top w:val="nil"/>
              <w:left w:val="nil"/>
              <w:bottom w:val="single" w:sz="4" w:space="0" w:color="auto"/>
              <w:right w:val="single" w:sz="4" w:space="0" w:color="auto"/>
            </w:tcBorders>
            <w:shd w:val="clear" w:color="auto" w:fill="auto"/>
            <w:noWrap/>
            <w:vAlign w:val="bottom"/>
            <w:hideMark/>
          </w:tcPr>
          <w:p w:rsidR="0055491A" w:rsidRDefault="0055491A" w:rsidP="00210BF6">
            <w:pPr>
              <w:jc w:val="center"/>
              <w:rPr>
                <w:b/>
                <w:bCs/>
                <w:color w:val="000000"/>
                <w:sz w:val="22"/>
                <w:szCs w:val="22"/>
              </w:rPr>
            </w:pPr>
            <w:r>
              <w:rPr>
                <w:b/>
                <w:bCs/>
                <w:color w:val="000000"/>
                <w:sz w:val="22"/>
                <w:szCs w:val="22"/>
              </w:rPr>
              <w:t>2024 год</w:t>
            </w:r>
          </w:p>
        </w:tc>
        <w:tc>
          <w:tcPr>
            <w:tcW w:w="1142" w:type="dxa"/>
            <w:tcBorders>
              <w:top w:val="nil"/>
              <w:left w:val="nil"/>
              <w:bottom w:val="single" w:sz="4" w:space="0" w:color="auto"/>
              <w:right w:val="single" w:sz="4" w:space="0" w:color="auto"/>
            </w:tcBorders>
            <w:shd w:val="clear" w:color="auto" w:fill="auto"/>
            <w:noWrap/>
            <w:vAlign w:val="bottom"/>
            <w:hideMark/>
          </w:tcPr>
          <w:p w:rsidR="0055491A" w:rsidRDefault="0055491A" w:rsidP="00210BF6">
            <w:pPr>
              <w:jc w:val="center"/>
              <w:rPr>
                <w:b/>
                <w:bCs/>
                <w:color w:val="000000"/>
                <w:sz w:val="22"/>
                <w:szCs w:val="22"/>
              </w:rPr>
            </w:pPr>
            <w:r>
              <w:rPr>
                <w:b/>
                <w:bCs/>
                <w:color w:val="000000"/>
                <w:sz w:val="22"/>
                <w:szCs w:val="22"/>
              </w:rPr>
              <w:t>2022 год</w:t>
            </w:r>
          </w:p>
        </w:tc>
        <w:tc>
          <w:tcPr>
            <w:tcW w:w="1254" w:type="dxa"/>
            <w:tcBorders>
              <w:top w:val="nil"/>
              <w:left w:val="nil"/>
              <w:bottom w:val="single" w:sz="4" w:space="0" w:color="auto"/>
              <w:right w:val="single" w:sz="4" w:space="0" w:color="auto"/>
            </w:tcBorders>
            <w:shd w:val="clear" w:color="auto" w:fill="auto"/>
            <w:noWrap/>
            <w:vAlign w:val="bottom"/>
            <w:hideMark/>
          </w:tcPr>
          <w:p w:rsidR="0055491A" w:rsidRDefault="0055491A" w:rsidP="00210BF6">
            <w:pPr>
              <w:jc w:val="center"/>
              <w:rPr>
                <w:b/>
                <w:bCs/>
                <w:color w:val="000000"/>
                <w:sz w:val="22"/>
                <w:szCs w:val="22"/>
              </w:rPr>
            </w:pPr>
            <w:r>
              <w:rPr>
                <w:b/>
                <w:bCs/>
                <w:color w:val="000000"/>
                <w:sz w:val="22"/>
                <w:szCs w:val="22"/>
              </w:rPr>
              <w:t>2023 год</w:t>
            </w:r>
          </w:p>
        </w:tc>
        <w:tc>
          <w:tcPr>
            <w:tcW w:w="1255" w:type="dxa"/>
            <w:gridSpan w:val="2"/>
            <w:tcBorders>
              <w:top w:val="nil"/>
              <w:left w:val="nil"/>
              <w:bottom w:val="single" w:sz="4" w:space="0" w:color="auto"/>
              <w:right w:val="single" w:sz="4" w:space="0" w:color="auto"/>
            </w:tcBorders>
            <w:shd w:val="clear" w:color="auto" w:fill="auto"/>
            <w:noWrap/>
            <w:vAlign w:val="bottom"/>
            <w:hideMark/>
          </w:tcPr>
          <w:p w:rsidR="0055491A" w:rsidRDefault="0055491A" w:rsidP="00210BF6">
            <w:pPr>
              <w:jc w:val="center"/>
              <w:rPr>
                <w:b/>
                <w:bCs/>
                <w:color w:val="000000"/>
                <w:sz w:val="22"/>
                <w:szCs w:val="22"/>
              </w:rPr>
            </w:pPr>
            <w:r>
              <w:rPr>
                <w:b/>
                <w:bCs/>
                <w:color w:val="000000"/>
                <w:sz w:val="22"/>
                <w:szCs w:val="22"/>
              </w:rPr>
              <w:t>2024 год</w:t>
            </w:r>
          </w:p>
        </w:tc>
      </w:tr>
      <w:tr w:rsidR="0055491A" w:rsidTr="00210BF6">
        <w:trPr>
          <w:trHeight w:val="307"/>
        </w:trPr>
        <w:tc>
          <w:tcPr>
            <w:tcW w:w="1931" w:type="dxa"/>
            <w:tcBorders>
              <w:top w:val="nil"/>
              <w:left w:val="single" w:sz="4" w:space="0" w:color="auto"/>
              <w:bottom w:val="single" w:sz="4" w:space="0" w:color="auto"/>
              <w:right w:val="single" w:sz="4" w:space="0" w:color="auto"/>
            </w:tcBorders>
            <w:shd w:val="clear" w:color="auto" w:fill="auto"/>
            <w:noWrap/>
            <w:vAlign w:val="bottom"/>
            <w:hideMark/>
          </w:tcPr>
          <w:p w:rsidR="0055491A" w:rsidRDefault="0055491A" w:rsidP="00210BF6">
            <w:pPr>
              <w:jc w:val="center"/>
              <w:rPr>
                <w:color w:val="000000"/>
                <w:sz w:val="22"/>
                <w:szCs w:val="22"/>
              </w:rPr>
            </w:pPr>
            <w:r>
              <w:rPr>
                <w:color w:val="000000"/>
                <w:sz w:val="22"/>
                <w:szCs w:val="22"/>
              </w:rPr>
              <w:t>0,2</w:t>
            </w:r>
          </w:p>
        </w:tc>
        <w:tc>
          <w:tcPr>
            <w:tcW w:w="1255" w:type="dxa"/>
            <w:tcBorders>
              <w:top w:val="nil"/>
              <w:left w:val="nil"/>
              <w:bottom w:val="single" w:sz="4" w:space="0" w:color="auto"/>
              <w:right w:val="single" w:sz="4" w:space="0" w:color="auto"/>
            </w:tcBorders>
            <w:shd w:val="clear" w:color="auto" w:fill="auto"/>
            <w:noWrap/>
            <w:vAlign w:val="bottom"/>
            <w:hideMark/>
          </w:tcPr>
          <w:p w:rsidR="0055491A" w:rsidRDefault="0055491A" w:rsidP="00210BF6">
            <w:pPr>
              <w:jc w:val="center"/>
              <w:rPr>
                <w:color w:val="000000"/>
                <w:sz w:val="22"/>
                <w:szCs w:val="22"/>
              </w:rPr>
            </w:pPr>
            <w:r>
              <w:rPr>
                <w:color w:val="000000"/>
                <w:sz w:val="22"/>
                <w:szCs w:val="22"/>
              </w:rPr>
              <w:t>2</w:t>
            </w:r>
          </w:p>
        </w:tc>
        <w:tc>
          <w:tcPr>
            <w:tcW w:w="1254" w:type="dxa"/>
            <w:tcBorders>
              <w:top w:val="nil"/>
              <w:left w:val="nil"/>
              <w:bottom w:val="single" w:sz="4" w:space="0" w:color="auto"/>
              <w:right w:val="single" w:sz="4" w:space="0" w:color="auto"/>
            </w:tcBorders>
            <w:shd w:val="clear" w:color="auto" w:fill="auto"/>
            <w:noWrap/>
            <w:vAlign w:val="bottom"/>
            <w:hideMark/>
          </w:tcPr>
          <w:p w:rsidR="0055491A" w:rsidRDefault="0055491A" w:rsidP="00210BF6">
            <w:pPr>
              <w:jc w:val="center"/>
              <w:rPr>
                <w:color w:val="000000"/>
                <w:sz w:val="22"/>
                <w:szCs w:val="22"/>
              </w:rPr>
            </w:pPr>
            <w:r>
              <w:rPr>
                <w:color w:val="000000"/>
                <w:sz w:val="22"/>
                <w:szCs w:val="22"/>
              </w:rPr>
              <w:t> </w:t>
            </w:r>
          </w:p>
        </w:tc>
        <w:tc>
          <w:tcPr>
            <w:tcW w:w="1367" w:type="dxa"/>
            <w:tcBorders>
              <w:top w:val="nil"/>
              <w:left w:val="nil"/>
              <w:bottom w:val="single" w:sz="4" w:space="0" w:color="auto"/>
              <w:right w:val="single" w:sz="4" w:space="0" w:color="auto"/>
            </w:tcBorders>
            <w:shd w:val="clear" w:color="auto" w:fill="auto"/>
            <w:noWrap/>
            <w:vAlign w:val="bottom"/>
            <w:hideMark/>
          </w:tcPr>
          <w:p w:rsidR="0055491A" w:rsidRDefault="0055491A" w:rsidP="00210BF6">
            <w:pPr>
              <w:jc w:val="center"/>
              <w:rPr>
                <w:color w:val="000000"/>
                <w:sz w:val="22"/>
                <w:szCs w:val="22"/>
              </w:rPr>
            </w:pPr>
            <w:r>
              <w:rPr>
                <w:color w:val="000000"/>
                <w:sz w:val="22"/>
                <w:szCs w:val="22"/>
              </w:rPr>
              <w:t>1</w:t>
            </w:r>
          </w:p>
        </w:tc>
        <w:tc>
          <w:tcPr>
            <w:tcW w:w="1142" w:type="dxa"/>
            <w:tcBorders>
              <w:top w:val="nil"/>
              <w:left w:val="nil"/>
              <w:bottom w:val="single" w:sz="4" w:space="0" w:color="auto"/>
              <w:right w:val="single" w:sz="4" w:space="0" w:color="auto"/>
            </w:tcBorders>
            <w:shd w:val="clear" w:color="auto" w:fill="auto"/>
            <w:noWrap/>
            <w:vAlign w:val="bottom"/>
            <w:hideMark/>
          </w:tcPr>
          <w:p w:rsidR="0055491A" w:rsidRDefault="0055491A" w:rsidP="00210BF6">
            <w:pPr>
              <w:jc w:val="center"/>
              <w:rPr>
                <w:color w:val="000000"/>
                <w:sz w:val="22"/>
                <w:szCs w:val="22"/>
              </w:rPr>
            </w:pPr>
            <w:r>
              <w:rPr>
                <w:color w:val="000000"/>
                <w:sz w:val="22"/>
                <w:szCs w:val="22"/>
              </w:rPr>
              <w:t>0,4</w:t>
            </w:r>
          </w:p>
        </w:tc>
        <w:tc>
          <w:tcPr>
            <w:tcW w:w="1254" w:type="dxa"/>
            <w:tcBorders>
              <w:top w:val="nil"/>
              <w:left w:val="nil"/>
              <w:bottom w:val="single" w:sz="4" w:space="0" w:color="auto"/>
              <w:right w:val="single" w:sz="4" w:space="0" w:color="auto"/>
            </w:tcBorders>
            <w:shd w:val="clear" w:color="auto" w:fill="auto"/>
            <w:noWrap/>
            <w:vAlign w:val="bottom"/>
            <w:hideMark/>
          </w:tcPr>
          <w:p w:rsidR="0055491A" w:rsidRDefault="0055491A" w:rsidP="00210BF6">
            <w:pPr>
              <w:jc w:val="center"/>
              <w:rPr>
                <w:color w:val="000000"/>
                <w:sz w:val="22"/>
                <w:szCs w:val="22"/>
              </w:rPr>
            </w:pPr>
            <w:r>
              <w:rPr>
                <w:color w:val="000000"/>
                <w:sz w:val="22"/>
                <w:szCs w:val="22"/>
              </w:rPr>
              <w:t>0</w:t>
            </w:r>
          </w:p>
        </w:tc>
        <w:tc>
          <w:tcPr>
            <w:tcW w:w="1255" w:type="dxa"/>
            <w:gridSpan w:val="2"/>
            <w:tcBorders>
              <w:top w:val="nil"/>
              <w:left w:val="nil"/>
              <w:bottom w:val="single" w:sz="4" w:space="0" w:color="auto"/>
              <w:right w:val="single" w:sz="4" w:space="0" w:color="auto"/>
            </w:tcBorders>
            <w:shd w:val="clear" w:color="auto" w:fill="auto"/>
            <w:noWrap/>
            <w:vAlign w:val="bottom"/>
            <w:hideMark/>
          </w:tcPr>
          <w:p w:rsidR="0055491A" w:rsidRDefault="0055491A" w:rsidP="00210BF6">
            <w:pPr>
              <w:jc w:val="center"/>
              <w:rPr>
                <w:color w:val="000000"/>
                <w:sz w:val="22"/>
                <w:szCs w:val="22"/>
              </w:rPr>
            </w:pPr>
            <w:r>
              <w:rPr>
                <w:color w:val="000000"/>
                <w:sz w:val="22"/>
                <w:szCs w:val="22"/>
              </w:rPr>
              <w:t>0,2</w:t>
            </w:r>
          </w:p>
        </w:tc>
      </w:tr>
      <w:tr w:rsidR="0055491A" w:rsidTr="00210BF6">
        <w:trPr>
          <w:trHeight w:val="307"/>
        </w:trPr>
        <w:tc>
          <w:tcPr>
            <w:tcW w:w="1931" w:type="dxa"/>
            <w:tcBorders>
              <w:top w:val="nil"/>
              <w:left w:val="single" w:sz="4" w:space="0" w:color="auto"/>
              <w:bottom w:val="single" w:sz="4" w:space="0" w:color="auto"/>
              <w:right w:val="single" w:sz="4" w:space="0" w:color="auto"/>
            </w:tcBorders>
            <w:shd w:val="clear" w:color="auto" w:fill="auto"/>
            <w:noWrap/>
            <w:vAlign w:val="bottom"/>
            <w:hideMark/>
          </w:tcPr>
          <w:p w:rsidR="0055491A" w:rsidRDefault="0055491A" w:rsidP="00210BF6">
            <w:pPr>
              <w:jc w:val="center"/>
              <w:rPr>
                <w:color w:val="000000"/>
                <w:sz w:val="22"/>
                <w:szCs w:val="22"/>
              </w:rPr>
            </w:pPr>
            <w:r>
              <w:rPr>
                <w:color w:val="000000"/>
                <w:sz w:val="22"/>
                <w:szCs w:val="22"/>
              </w:rPr>
              <w:t>0,3</w:t>
            </w:r>
          </w:p>
        </w:tc>
        <w:tc>
          <w:tcPr>
            <w:tcW w:w="1255" w:type="dxa"/>
            <w:tcBorders>
              <w:top w:val="nil"/>
              <w:left w:val="nil"/>
              <w:bottom w:val="single" w:sz="4" w:space="0" w:color="auto"/>
              <w:right w:val="single" w:sz="4" w:space="0" w:color="auto"/>
            </w:tcBorders>
            <w:shd w:val="clear" w:color="auto" w:fill="auto"/>
            <w:noWrap/>
            <w:vAlign w:val="bottom"/>
            <w:hideMark/>
          </w:tcPr>
          <w:p w:rsidR="0055491A" w:rsidRDefault="0055491A" w:rsidP="00210BF6">
            <w:pPr>
              <w:jc w:val="center"/>
              <w:rPr>
                <w:color w:val="000000"/>
                <w:sz w:val="22"/>
                <w:szCs w:val="22"/>
              </w:rPr>
            </w:pPr>
            <w:r>
              <w:rPr>
                <w:color w:val="000000"/>
                <w:sz w:val="22"/>
                <w:szCs w:val="22"/>
              </w:rPr>
              <w:t>8</w:t>
            </w:r>
          </w:p>
        </w:tc>
        <w:tc>
          <w:tcPr>
            <w:tcW w:w="1254" w:type="dxa"/>
            <w:tcBorders>
              <w:top w:val="nil"/>
              <w:left w:val="nil"/>
              <w:bottom w:val="single" w:sz="4" w:space="0" w:color="auto"/>
              <w:right w:val="single" w:sz="4" w:space="0" w:color="auto"/>
            </w:tcBorders>
            <w:shd w:val="clear" w:color="auto" w:fill="auto"/>
            <w:noWrap/>
            <w:vAlign w:val="bottom"/>
            <w:hideMark/>
          </w:tcPr>
          <w:p w:rsidR="0055491A" w:rsidRDefault="0055491A" w:rsidP="00210BF6">
            <w:pPr>
              <w:jc w:val="center"/>
              <w:rPr>
                <w:color w:val="000000"/>
                <w:sz w:val="22"/>
                <w:szCs w:val="22"/>
              </w:rPr>
            </w:pPr>
            <w:r>
              <w:rPr>
                <w:color w:val="000000"/>
                <w:sz w:val="22"/>
                <w:szCs w:val="22"/>
              </w:rPr>
              <w:t>11</w:t>
            </w:r>
          </w:p>
        </w:tc>
        <w:tc>
          <w:tcPr>
            <w:tcW w:w="1367" w:type="dxa"/>
            <w:tcBorders>
              <w:top w:val="nil"/>
              <w:left w:val="nil"/>
              <w:bottom w:val="single" w:sz="4" w:space="0" w:color="auto"/>
              <w:right w:val="single" w:sz="4" w:space="0" w:color="auto"/>
            </w:tcBorders>
            <w:shd w:val="clear" w:color="auto" w:fill="auto"/>
            <w:noWrap/>
            <w:vAlign w:val="bottom"/>
            <w:hideMark/>
          </w:tcPr>
          <w:p w:rsidR="0055491A" w:rsidRDefault="0055491A" w:rsidP="00210BF6">
            <w:pPr>
              <w:jc w:val="center"/>
              <w:rPr>
                <w:color w:val="000000"/>
                <w:sz w:val="22"/>
                <w:szCs w:val="22"/>
              </w:rPr>
            </w:pPr>
            <w:r>
              <w:rPr>
                <w:color w:val="000000"/>
                <w:sz w:val="22"/>
                <w:szCs w:val="22"/>
              </w:rPr>
              <w:t>5</w:t>
            </w:r>
          </w:p>
        </w:tc>
        <w:tc>
          <w:tcPr>
            <w:tcW w:w="1142" w:type="dxa"/>
            <w:tcBorders>
              <w:top w:val="nil"/>
              <w:left w:val="nil"/>
              <w:bottom w:val="single" w:sz="4" w:space="0" w:color="auto"/>
              <w:right w:val="single" w:sz="4" w:space="0" w:color="auto"/>
            </w:tcBorders>
            <w:shd w:val="clear" w:color="auto" w:fill="auto"/>
            <w:noWrap/>
            <w:vAlign w:val="bottom"/>
            <w:hideMark/>
          </w:tcPr>
          <w:p w:rsidR="0055491A" w:rsidRDefault="0055491A" w:rsidP="00210BF6">
            <w:pPr>
              <w:jc w:val="center"/>
              <w:rPr>
                <w:color w:val="000000"/>
                <w:sz w:val="22"/>
                <w:szCs w:val="22"/>
              </w:rPr>
            </w:pPr>
            <w:r>
              <w:rPr>
                <w:color w:val="000000"/>
                <w:sz w:val="22"/>
                <w:szCs w:val="22"/>
              </w:rPr>
              <w:t>2,4</w:t>
            </w:r>
          </w:p>
        </w:tc>
        <w:tc>
          <w:tcPr>
            <w:tcW w:w="1254" w:type="dxa"/>
            <w:tcBorders>
              <w:top w:val="nil"/>
              <w:left w:val="nil"/>
              <w:bottom w:val="single" w:sz="4" w:space="0" w:color="auto"/>
              <w:right w:val="single" w:sz="4" w:space="0" w:color="auto"/>
            </w:tcBorders>
            <w:shd w:val="clear" w:color="auto" w:fill="auto"/>
            <w:noWrap/>
            <w:vAlign w:val="bottom"/>
            <w:hideMark/>
          </w:tcPr>
          <w:p w:rsidR="0055491A" w:rsidRDefault="0055491A" w:rsidP="00210BF6">
            <w:pPr>
              <w:jc w:val="center"/>
              <w:rPr>
                <w:color w:val="000000"/>
                <w:sz w:val="22"/>
                <w:szCs w:val="22"/>
              </w:rPr>
            </w:pPr>
            <w:r>
              <w:rPr>
                <w:color w:val="000000"/>
                <w:sz w:val="22"/>
                <w:szCs w:val="22"/>
              </w:rPr>
              <w:t>3,3</w:t>
            </w:r>
          </w:p>
        </w:tc>
        <w:tc>
          <w:tcPr>
            <w:tcW w:w="1255" w:type="dxa"/>
            <w:gridSpan w:val="2"/>
            <w:tcBorders>
              <w:top w:val="nil"/>
              <w:left w:val="nil"/>
              <w:bottom w:val="single" w:sz="4" w:space="0" w:color="auto"/>
              <w:right w:val="single" w:sz="4" w:space="0" w:color="auto"/>
            </w:tcBorders>
            <w:shd w:val="clear" w:color="auto" w:fill="auto"/>
            <w:noWrap/>
            <w:vAlign w:val="bottom"/>
            <w:hideMark/>
          </w:tcPr>
          <w:p w:rsidR="0055491A" w:rsidRDefault="0055491A" w:rsidP="00210BF6">
            <w:pPr>
              <w:jc w:val="center"/>
              <w:rPr>
                <w:color w:val="000000"/>
                <w:sz w:val="22"/>
                <w:szCs w:val="22"/>
              </w:rPr>
            </w:pPr>
            <w:r>
              <w:rPr>
                <w:color w:val="000000"/>
                <w:sz w:val="22"/>
                <w:szCs w:val="22"/>
              </w:rPr>
              <w:t>1,5</w:t>
            </w:r>
          </w:p>
        </w:tc>
      </w:tr>
      <w:tr w:rsidR="0055491A" w:rsidTr="00210BF6">
        <w:trPr>
          <w:trHeight w:val="307"/>
        </w:trPr>
        <w:tc>
          <w:tcPr>
            <w:tcW w:w="1931" w:type="dxa"/>
            <w:tcBorders>
              <w:top w:val="nil"/>
              <w:left w:val="single" w:sz="4" w:space="0" w:color="auto"/>
              <w:bottom w:val="single" w:sz="4" w:space="0" w:color="auto"/>
              <w:right w:val="single" w:sz="4" w:space="0" w:color="auto"/>
            </w:tcBorders>
            <w:shd w:val="clear" w:color="auto" w:fill="auto"/>
            <w:noWrap/>
            <w:vAlign w:val="bottom"/>
            <w:hideMark/>
          </w:tcPr>
          <w:p w:rsidR="0055491A" w:rsidRDefault="0055491A" w:rsidP="00210BF6">
            <w:pPr>
              <w:jc w:val="center"/>
              <w:rPr>
                <w:color w:val="000000"/>
                <w:sz w:val="22"/>
                <w:szCs w:val="22"/>
              </w:rPr>
            </w:pPr>
            <w:r>
              <w:rPr>
                <w:color w:val="000000"/>
                <w:sz w:val="22"/>
                <w:szCs w:val="22"/>
              </w:rPr>
              <w:t>0,5</w:t>
            </w:r>
          </w:p>
        </w:tc>
        <w:tc>
          <w:tcPr>
            <w:tcW w:w="1255" w:type="dxa"/>
            <w:tcBorders>
              <w:top w:val="nil"/>
              <w:left w:val="nil"/>
              <w:bottom w:val="single" w:sz="4" w:space="0" w:color="auto"/>
              <w:right w:val="single" w:sz="4" w:space="0" w:color="auto"/>
            </w:tcBorders>
            <w:shd w:val="clear" w:color="auto" w:fill="auto"/>
            <w:noWrap/>
            <w:vAlign w:val="bottom"/>
            <w:hideMark/>
          </w:tcPr>
          <w:p w:rsidR="0055491A" w:rsidRDefault="0055491A" w:rsidP="00210BF6">
            <w:pPr>
              <w:jc w:val="center"/>
              <w:rPr>
                <w:color w:val="000000"/>
                <w:sz w:val="22"/>
                <w:szCs w:val="22"/>
              </w:rPr>
            </w:pPr>
            <w:r>
              <w:rPr>
                <w:color w:val="000000"/>
                <w:sz w:val="22"/>
                <w:szCs w:val="22"/>
              </w:rPr>
              <w:t>2</w:t>
            </w:r>
          </w:p>
        </w:tc>
        <w:tc>
          <w:tcPr>
            <w:tcW w:w="1254" w:type="dxa"/>
            <w:tcBorders>
              <w:top w:val="nil"/>
              <w:left w:val="nil"/>
              <w:bottom w:val="single" w:sz="4" w:space="0" w:color="auto"/>
              <w:right w:val="single" w:sz="4" w:space="0" w:color="auto"/>
            </w:tcBorders>
            <w:shd w:val="clear" w:color="auto" w:fill="auto"/>
            <w:noWrap/>
            <w:vAlign w:val="bottom"/>
            <w:hideMark/>
          </w:tcPr>
          <w:p w:rsidR="0055491A" w:rsidRDefault="0055491A" w:rsidP="00210BF6">
            <w:pPr>
              <w:jc w:val="center"/>
              <w:rPr>
                <w:color w:val="000000"/>
                <w:sz w:val="22"/>
                <w:szCs w:val="22"/>
              </w:rPr>
            </w:pPr>
            <w:r>
              <w:rPr>
                <w:color w:val="000000"/>
                <w:sz w:val="22"/>
                <w:szCs w:val="22"/>
              </w:rPr>
              <w:t>3</w:t>
            </w:r>
          </w:p>
        </w:tc>
        <w:tc>
          <w:tcPr>
            <w:tcW w:w="1367" w:type="dxa"/>
            <w:tcBorders>
              <w:top w:val="nil"/>
              <w:left w:val="nil"/>
              <w:bottom w:val="single" w:sz="4" w:space="0" w:color="auto"/>
              <w:right w:val="single" w:sz="4" w:space="0" w:color="auto"/>
            </w:tcBorders>
            <w:shd w:val="clear" w:color="auto" w:fill="auto"/>
            <w:noWrap/>
            <w:vAlign w:val="bottom"/>
            <w:hideMark/>
          </w:tcPr>
          <w:p w:rsidR="0055491A" w:rsidRDefault="0055491A" w:rsidP="00210BF6">
            <w:pPr>
              <w:jc w:val="center"/>
              <w:rPr>
                <w:color w:val="000000"/>
                <w:sz w:val="22"/>
                <w:szCs w:val="22"/>
              </w:rPr>
            </w:pPr>
            <w:r>
              <w:rPr>
                <w:color w:val="000000"/>
                <w:sz w:val="22"/>
                <w:szCs w:val="22"/>
              </w:rPr>
              <w:t>1</w:t>
            </w:r>
          </w:p>
        </w:tc>
        <w:tc>
          <w:tcPr>
            <w:tcW w:w="1142" w:type="dxa"/>
            <w:tcBorders>
              <w:top w:val="nil"/>
              <w:left w:val="nil"/>
              <w:bottom w:val="single" w:sz="4" w:space="0" w:color="auto"/>
              <w:right w:val="single" w:sz="4" w:space="0" w:color="auto"/>
            </w:tcBorders>
            <w:shd w:val="clear" w:color="auto" w:fill="auto"/>
            <w:noWrap/>
            <w:vAlign w:val="bottom"/>
            <w:hideMark/>
          </w:tcPr>
          <w:p w:rsidR="0055491A" w:rsidRDefault="0055491A" w:rsidP="00210BF6">
            <w:pPr>
              <w:jc w:val="center"/>
              <w:rPr>
                <w:color w:val="000000"/>
                <w:sz w:val="22"/>
                <w:szCs w:val="22"/>
              </w:rPr>
            </w:pPr>
            <w:r>
              <w:rPr>
                <w:color w:val="000000"/>
                <w:sz w:val="22"/>
                <w:szCs w:val="22"/>
              </w:rPr>
              <w:t>1</w:t>
            </w:r>
          </w:p>
        </w:tc>
        <w:tc>
          <w:tcPr>
            <w:tcW w:w="1254" w:type="dxa"/>
            <w:tcBorders>
              <w:top w:val="nil"/>
              <w:left w:val="nil"/>
              <w:bottom w:val="single" w:sz="4" w:space="0" w:color="auto"/>
              <w:right w:val="single" w:sz="4" w:space="0" w:color="auto"/>
            </w:tcBorders>
            <w:shd w:val="clear" w:color="auto" w:fill="auto"/>
            <w:noWrap/>
            <w:vAlign w:val="bottom"/>
            <w:hideMark/>
          </w:tcPr>
          <w:p w:rsidR="0055491A" w:rsidRDefault="0055491A" w:rsidP="00210BF6">
            <w:pPr>
              <w:jc w:val="center"/>
              <w:rPr>
                <w:color w:val="000000"/>
                <w:sz w:val="22"/>
                <w:szCs w:val="22"/>
              </w:rPr>
            </w:pPr>
            <w:r>
              <w:rPr>
                <w:color w:val="000000"/>
                <w:sz w:val="22"/>
                <w:szCs w:val="22"/>
              </w:rPr>
              <w:t>1,5</w:t>
            </w:r>
          </w:p>
        </w:tc>
        <w:tc>
          <w:tcPr>
            <w:tcW w:w="1255" w:type="dxa"/>
            <w:gridSpan w:val="2"/>
            <w:tcBorders>
              <w:top w:val="nil"/>
              <w:left w:val="nil"/>
              <w:bottom w:val="single" w:sz="4" w:space="0" w:color="auto"/>
              <w:right w:val="single" w:sz="4" w:space="0" w:color="auto"/>
            </w:tcBorders>
            <w:shd w:val="clear" w:color="auto" w:fill="auto"/>
            <w:noWrap/>
            <w:vAlign w:val="bottom"/>
            <w:hideMark/>
          </w:tcPr>
          <w:p w:rsidR="0055491A" w:rsidRDefault="0055491A" w:rsidP="00210BF6">
            <w:pPr>
              <w:jc w:val="center"/>
              <w:rPr>
                <w:color w:val="000000"/>
                <w:sz w:val="22"/>
                <w:szCs w:val="22"/>
              </w:rPr>
            </w:pPr>
            <w:r>
              <w:rPr>
                <w:color w:val="000000"/>
                <w:sz w:val="22"/>
                <w:szCs w:val="22"/>
              </w:rPr>
              <w:t>0,5</w:t>
            </w:r>
          </w:p>
        </w:tc>
      </w:tr>
      <w:tr w:rsidR="0055491A" w:rsidTr="00210BF6">
        <w:trPr>
          <w:trHeight w:val="307"/>
        </w:trPr>
        <w:tc>
          <w:tcPr>
            <w:tcW w:w="1931" w:type="dxa"/>
            <w:tcBorders>
              <w:top w:val="nil"/>
              <w:left w:val="single" w:sz="4" w:space="0" w:color="auto"/>
              <w:bottom w:val="single" w:sz="4" w:space="0" w:color="auto"/>
              <w:right w:val="single" w:sz="4" w:space="0" w:color="auto"/>
            </w:tcBorders>
            <w:shd w:val="clear" w:color="auto" w:fill="auto"/>
            <w:noWrap/>
            <w:vAlign w:val="bottom"/>
            <w:hideMark/>
          </w:tcPr>
          <w:p w:rsidR="0055491A" w:rsidRDefault="0055491A" w:rsidP="00210BF6">
            <w:pPr>
              <w:jc w:val="center"/>
              <w:rPr>
                <w:color w:val="000000"/>
                <w:sz w:val="22"/>
                <w:szCs w:val="22"/>
              </w:rPr>
            </w:pPr>
            <w:r>
              <w:rPr>
                <w:color w:val="000000"/>
                <w:sz w:val="22"/>
                <w:szCs w:val="22"/>
              </w:rPr>
              <w:t>1</w:t>
            </w:r>
          </w:p>
        </w:tc>
        <w:tc>
          <w:tcPr>
            <w:tcW w:w="1255" w:type="dxa"/>
            <w:tcBorders>
              <w:top w:val="nil"/>
              <w:left w:val="nil"/>
              <w:bottom w:val="single" w:sz="4" w:space="0" w:color="auto"/>
              <w:right w:val="single" w:sz="4" w:space="0" w:color="auto"/>
            </w:tcBorders>
            <w:shd w:val="clear" w:color="auto" w:fill="auto"/>
            <w:noWrap/>
            <w:vAlign w:val="bottom"/>
            <w:hideMark/>
          </w:tcPr>
          <w:p w:rsidR="0055491A" w:rsidRDefault="0055491A" w:rsidP="00210BF6">
            <w:pPr>
              <w:jc w:val="center"/>
              <w:rPr>
                <w:color w:val="000000"/>
                <w:sz w:val="22"/>
                <w:szCs w:val="22"/>
              </w:rPr>
            </w:pPr>
            <w:r>
              <w:rPr>
                <w:color w:val="000000"/>
                <w:sz w:val="22"/>
                <w:szCs w:val="22"/>
              </w:rPr>
              <w:t>2</w:t>
            </w:r>
          </w:p>
        </w:tc>
        <w:tc>
          <w:tcPr>
            <w:tcW w:w="1254" w:type="dxa"/>
            <w:tcBorders>
              <w:top w:val="nil"/>
              <w:left w:val="nil"/>
              <w:bottom w:val="single" w:sz="4" w:space="0" w:color="auto"/>
              <w:right w:val="single" w:sz="4" w:space="0" w:color="auto"/>
            </w:tcBorders>
            <w:shd w:val="clear" w:color="auto" w:fill="auto"/>
            <w:noWrap/>
            <w:vAlign w:val="bottom"/>
            <w:hideMark/>
          </w:tcPr>
          <w:p w:rsidR="0055491A" w:rsidRDefault="0055491A" w:rsidP="00210BF6">
            <w:pPr>
              <w:jc w:val="center"/>
              <w:rPr>
                <w:color w:val="000000"/>
                <w:sz w:val="22"/>
                <w:szCs w:val="22"/>
              </w:rPr>
            </w:pPr>
            <w:r>
              <w:rPr>
                <w:color w:val="000000"/>
                <w:sz w:val="22"/>
                <w:szCs w:val="22"/>
              </w:rPr>
              <w:t>2</w:t>
            </w:r>
          </w:p>
        </w:tc>
        <w:tc>
          <w:tcPr>
            <w:tcW w:w="1367" w:type="dxa"/>
            <w:tcBorders>
              <w:top w:val="nil"/>
              <w:left w:val="nil"/>
              <w:bottom w:val="single" w:sz="4" w:space="0" w:color="auto"/>
              <w:right w:val="single" w:sz="4" w:space="0" w:color="auto"/>
            </w:tcBorders>
            <w:shd w:val="clear" w:color="auto" w:fill="auto"/>
            <w:noWrap/>
            <w:vAlign w:val="bottom"/>
            <w:hideMark/>
          </w:tcPr>
          <w:p w:rsidR="0055491A" w:rsidRDefault="0055491A" w:rsidP="00210BF6">
            <w:pPr>
              <w:jc w:val="center"/>
              <w:rPr>
                <w:color w:val="000000"/>
                <w:sz w:val="22"/>
                <w:szCs w:val="22"/>
              </w:rPr>
            </w:pPr>
            <w:r>
              <w:rPr>
                <w:color w:val="000000"/>
                <w:sz w:val="22"/>
                <w:szCs w:val="22"/>
              </w:rPr>
              <w:t>1</w:t>
            </w:r>
          </w:p>
        </w:tc>
        <w:tc>
          <w:tcPr>
            <w:tcW w:w="1142" w:type="dxa"/>
            <w:tcBorders>
              <w:top w:val="nil"/>
              <w:left w:val="nil"/>
              <w:bottom w:val="single" w:sz="4" w:space="0" w:color="auto"/>
              <w:right w:val="single" w:sz="4" w:space="0" w:color="auto"/>
            </w:tcBorders>
            <w:shd w:val="clear" w:color="auto" w:fill="auto"/>
            <w:noWrap/>
            <w:vAlign w:val="bottom"/>
            <w:hideMark/>
          </w:tcPr>
          <w:p w:rsidR="0055491A" w:rsidRDefault="0055491A" w:rsidP="00210BF6">
            <w:pPr>
              <w:jc w:val="center"/>
              <w:rPr>
                <w:color w:val="000000"/>
                <w:sz w:val="22"/>
                <w:szCs w:val="22"/>
              </w:rPr>
            </w:pPr>
            <w:r>
              <w:rPr>
                <w:color w:val="000000"/>
                <w:sz w:val="22"/>
                <w:szCs w:val="22"/>
              </w:rPr>
              <w:t>2</w:t>
            </w:r>
          </w:p>
        </w:tc>
        <w:tc>
          <w:tcPr>
            <w:tcW w:w="1254" w:type="dxa"/>
            <w:tcBorders>
              <w:top w:val="nil"/>
              <w:left w:val="nil"/>
              <w:bottom w:val="single" w:sz="4" w:space="0" w:color="auto"/>
              <w:right w:val="single" w:sz="4" w:space="0" w:color="auto"/>
            </w:tcBorders>
            <w:shd w:val="clear" w:color="auto" w:fill="auto"/>
            <w:noWrap/>
            <w:vAlign w:val="bottom"/>
            <w:hideMark/>
          </w:tcPr>
          <w:p w:rsidR="0055491A" w:rsidRDefault="0055491A" w:rsidP="00210BF6">
            <w:pPr>
              <w:jc w:val="center"/>
              <w:rPr>
                <w:color w:val="000000"/>
                <w:sz w:val="22"/>
                <w:szCs w:val="22"/>
              </w:rPr>
            </w:pPr>
            <w:r>
              <w:rPr>
                <w:color w:val="000000"/>
                <w:sz w:val="22"/>
                <w:szCs w:val="22"/>
              </w:rPr>
              <w:t>2</w:t>
            </w:r>
          </w:p>
        </w:tc>
        <w:tc>
          <w:tcPr>
            <w:tcW w:w="1255" w:type="dxa"/>
            <w:gridSpan w:val="2"/>
            <w:tcBorders>
              <w:top w:val="nil"/>
              <w:left w:val="nil"/>
              <w:bottom w:val="single" w:sz="4" w:space="0" w:color="auto"/>
              <w:right w:val="single" w:sz="4" w:space="0" w:color="auto"/>
            </w:tcBorders>
            <w:shd w:val="clear" w:color="auto" w:fill="auto"/>
            <w:noWrap/>
            <w:vAlign w:val="bottom"/>
            <w:hideMark/>
          </w:tcPr>
          <w:p w:rsidR="0055491A" w:rsidRDefault="0055491A" w:rsidP="00210BF6">
            <w:pPr>
              <w:jc w:val="center"/>
              <w:rPr>
                <w:color w:val="000000"/>
                <w:sz w:val="22"/>
                <w:szCs w:val="22"/>
              </w:rPr>
            </w:pPr>
            <w:r>
              <w:rPr>
                <w:color w:val="000000"/>
                <w:sz w:val="22"/>
                <w:szCs w:val="22"/>
              </w:rPr>
              <w:t>1</w:t>
            </w:r>
          </w:p>
        </w:tc>
      </w:tr>
      <w:tr w:rsidR="0055491A" w:rsidTr="00210BF6">
        <w:trPr>
          <w:trHeight w:val="307"/>
        </w:trPr>
        <w:tc>
          <w:tcPr>
            <w:tcW w:w="1931" w:type="dxa"/>
            <w:tcBorders>
              <w:top w:val="nil"/>
              <w:left w:val="single" w:sz="4" w:space="0" w:color="auto"/>
              <w:bottom w:val="single" w:sz="4" w:space="0" w:color="auto"/>
              <w:right w:val="single" w:sz="4" w:space="0" w:color="auto"/>
            </w:tcBorders>
            <w:shd w:val="clear" w:color="auto" w:fill="auto"/>
            <w:noWrap/>
            <w:vAlign w:val="bottom"/>
            <w:hideMark/>
          </w:tcPr>
          <w:p w:rsidR="0055491A" w:rsidRDefault="0055491A" w:rsidP="00210BF6">
            <w:pPr>
              <w:jc w:val="center"/>
              <w:rPr>
                <w:color w:val="000000"/>
                <w:sz w:val="22"/>
                <w:szCs w:val="22"/>
              </w:rPr>
            </w:pPr>
            <w:r>
              <w:rPr>
                <w:color w:val="000000"/>
                <w:sz w:val="22"/>
                <w:szCs w:val="22"/>
              </w:rPr>
              <w:t>1,5</w:t>
            </w:r>
          </w:p>
        </w:tc>
        <w:tc>
          <w:tcPr>
            <w:tcW w:w="1255" w:type="dxa"/>
            <w:tcBorders>
              <w:top w:val="nil"/>
              <w:left w:val="nil"/>
              <w:bottom w:val="single" w:sz="4" w:space="0" w:color="auto"/>
              <w:right w:val="single" w:sz="4" w:space="0" w:color="auto"/>
            </w:tcBorders>
            <w:shd w:val="clear" w:color="auto" w:fill="auto"/>
            <w:noWrap/>
            <w:vAlign w:val="bottom"/>
            <w:hideMark/>
          </w:tcPr>
          <w:p w:rsidR="0055491A" w:rsidRDefault="0055491A" w:rsidP="00210BF6">
            <w:pPr>
              <w:jc w:val="center"/>
              <w:rPr>
                <w:color w:val="000000"/>
                <w:sz w:val="22"/>
                <w:szCs w:val="22"/>
              </w:rPr>
            </w:pPr>
            <w:r>
              <w:rPr>
                <w:color w:val="000000"/>
                <w:sz w:val="22"/>
                <w:szCs w:val="22"/>
              </w:rPr>
              <w:t> </w:t>
            </w:r>
          </w:p>
        </w:tc>
        <w:tc>
          <w:tcPr>
            <w:tcW w:w="1254" w:type="dxa"/>
            <w:tcBorders>
              <w:top w:val="nil"/>
              <w:left w:val="nil"/>
              <w:bottom w:val="single" w:sz="4" w:space="0" w:color="auto"/>
              <w:right w:val="single" w:sz="4" w:space="0" w:color="auto"/>
            </w:tcBorders>
            <w:shd w:val="clear" w:color="auto" w:fill="auto"/>
            <w:noWrap/>
            <w:vAlign w:val="bottom"/>
            <w:hideMark/>
          </w:tcPr>
          <w:p w:rsidR="0055491A" w:rsidRDefault="0055491A" w:rsidP="00210BF6">
            <w:pPr>
              <w:jc w:val="center"/>
              <w:rPr>
                <w:color w:val="000000"/>
                <w:sz w:val="22"/>
                <w:szCs w:val="22"/>
              </w:rPr>
            </w:pPr>
            <w:r>
              <w:rPr>
                <w:color w:val="000000"/>
                <w:sz w:val="22"/>
                <w:szCs w:val="22"/>
              </w:rPr>
              <w:t> </w:t>
            </w:r>
          </w:p>
        </w:tc>
        <w:tc>
          <w:tcPr>
            <w:tcW w:w="1367" w:type="dxa"/>
            <w:tcBorders>
              <w:top w:val="nil"/>
              <w:left w:val="nil"/>
              <w:bottom w:val="single" w:sz="4" w:space="0" w:color="auto"/>
              <w:right w:val="single" w:sz="4" w:space="0" w:color="auto"/>
            </w:tcBorders>
            <w:shd w:val="clear" w:color="auto" w:fill="auto"/>
            <w:noWrap/>
            <w:vAlign w:val="bottom"/>
            <w:hideMark/>
          </w:tcPr>
          <w:p w:rsidR="0055491A" w:rsidRDefault="0055491A" w:rsidP="00210BF6">
            <w:pPr>
              <w:jc w:val="center"/>
              <w:rPr>
                <w:color w:val="000000"/>
                <w:sz w:val="22"/>
                <w:szCs w:val="22"/>
              </w:rPr>
            </w:pPr>
            <w:r>
              <w:rPr>
                <w:color w:val="000000"/>
                <w:sz w:val="22"/>
                <w:szCs w:val="22"/>
              </w:rPr>
              <w:t> </w:t>
            </w:r>
          </w:p>
        </w:tc>
        <w:tc>
          <w:tcPr>
            <w:tcW w:w="1142" w:type="dxa"/>
            <w:tcBorders>
              <w:top w:val="nil"/>
              <w:left w:val="nil"/>
              <w:bottom w:val="single" w:sz="4" w:space="0" w:color="auto"/>
              <w:right w:val="single" w:sz="4" w:space="0" w:color="auto"/>
            </w:tcBorders>
            <w:shd w:val="clear" w:color="auto" w:fill="auto"/>
            <w:noWrap/>
            <w:vAlign w:val="bottom"/>
            <w:hideMark/>
          </w:tcPr>
          <w:p w:rsidR="0055491A" w:rsidRDefault="0055491A" w:rsidP="00210BF6">
            <w:pPr>
              <w:jc w:val="center"/>
              <w:rPr>
                <w:color w:val="000000"/>
                <w:sz w:val="22"/>
                <w:szCs w:val="22"/>
              </w:rPr>
            </w:pPr>
            <w:r>
              <w:rPr>
                <w:color w:val="000000"/>
                <w:sz w:val="22"/>
                <w:szCs w:val="22"/>
              </w:rPr>
              <w:t>0</w:t>
            </w:r>
          </w:p>
        </w:tc>
        <w:tc>
          <w:tcPr>
            <w:tcW w:w="1254" w:type="dxa"/>
            <w:tcBorders>
              <w:top w:val="nil"/>
              <w:left w:val="nil"/>
              <w:bottom w:val="single" w:sz="4" w:space="0" w:color="auto"/>
              <w:right w:val="single" w:sz="4" w:space="0" w:color="auto"/>
            </w:tcBorders>
            <w:shd w:val="clear" w:color="auto" w:fill="auto"/>
            <w:noWrap/>
            <w:vAlign w:val="bottom"/>
            <w:hideMark/>
          </w:tcPr>
          <w:p w:rsidR="0055491A" w:rsidRDefault="0055491A" w:rsidP="00210BF6">
            <w:pPr>
              <w:jc w:val="center"/>
              <w:rPr>
                <w:color w:val="000000"/>
                <w:sz w:val="22"/>
                <w:szCs w:val="22"/>
              </w:rPr>
            </w:pPr>
            <w:r>
              <w:rPr>
                <w:color w:val="000000"/>
                <w:sz w:val="22"/>
                <w:szCs w:val="22"/>
              </w:rPr>
              <w:t>0</w:t>
            </w:r>
          </w:p>
        </w:tc>
        <w:tc>
          <w:tcPr>
            <w:tcW w:w="1255" w:type="dxa"/>
            <w:gridSpan w:val="2"/>
            <w:tcBorders>
              <w:top w:val="nil"/>
              <w:left w:val="nil"/>
              <w:bottom w:val="single" w:sz="4" w:space="0" w:color="auto"/>
              <w:right w:val="single" w:sz="4" w:space="0" w:color="auto"/>
            </w:tcBorders>
            <w:shd w:val="clear" w:color="auto" w:fill="auto"/>
            <w:noWrap/>
            <w:vAlign w:val="bottom"/>
            <w:hideMark/>
          </w:tcPr>
          <w:p w:rsidR="0055491A" w:rsidRDefault="0055491A" w:rsidP="00210BF6">
            <w:pPr>
              <w:jc w:val="center"/>
              <w:rPr>
                <w:color w:val="000000"/>
                <w:sz w:val="22"/>
                <w:szCs w:val="22"/>
              </w:rPr>
            </w:pPr>
            <w:r>
              <w:rPr>
                <w:color w:val="000000"/>
                <w:sz w:val="22"/>
                <w:szCs w:val="22"/>
              </w:rPr>
              <w:t>0</w:t>
            </w:r>
          </w:p>
        </w:tc>
      </w:tr>
      <w:tr w:rsidR="0055491A" w:rsidTr="00210BF6">
        <w:trPr>
          <w:trHeight w:val="307"/>
        </w:trPr>
        <w:tc>
          <w:tcPr>
            <w:tcW w:w="1931" w:type="dxa"/>
            <w:tcBorders>
              <w:top w:val="nil"/>
              <w:left w:val="single" w:sz="4" w:space="0" w:color="auto"/>
              <w:bottom w:val="single" w:sz="4" w:space="0" w:color="auto"/>
              <w:right w:val="single" w:sz="4" w:space="0" w:color="auto"/>
            </w:tcBorders>
            <w:shd w:val="clear" w:color="auto" w:fill="auto"/>
            <w:noWrap/>
            <w:vAlign w:val="bottom"/>
            <w:hideMark/>
          </w:tcPr>
          <w:p w:rsidR="0055491A" w:rsidRDefault="0055491A" w:rsidP="00210BF6">
            <w:pPr>
              <w:jc w:val="center"/>
              <w:rPr>
                <w:color w:val="000000"/>
                <w:sz w:val="22"/>
                <w:szCs w:val="22"/>
              </w:rPr>
            </w:pPr>
            <w:r>
              <w:rPr>
                <w:color w:val="000000"/>
                <w:sz w:val="22"/>
                <w:szCs w:val="22"/>
              </w:rPr>
              <w:t>2</w:t>
            </w:r>
          </w:p>
        </w:tc>
        <w:tc>
          <w:tcPr>
            <w:tcW w:w="1255" w:type="dxa"/>
            <w:tcBorders>
              <w:top w:val="nil"/>
              <w:left w:val="nil"/>
              <w:bottom w:val="single" w:sz="4" w:space="0" w:color="auto"/>
              <w:right w:val="single" w:sz="4" w:space="0" w:color="auto"/>
            </w:tcBorders>
            <w:shd w:val="clear" w:color="auto" w:fill="auto"/>
            <w:noWrap/>
            <w:vAlign w:val="bottom"/>
            <w:hideMark/>
          </w:tcPr>
          <w:p w:rsidR="0055491A" w:rsidRDefault="0055491A" w:rsidP="00210BF6">
            <w:pPr>
              <w:jc w:val="center"/>
              <w:rPr>
                <w:color w:val="000000"/>
                <w:sz w:val="22"/>
                <w:szCs w:val="22"/>
              </w:rPr>
            </w:pPr>
            <w:r>
              <w:rPr>
                <w:color w:val="000000"/>
                <w:sz w:val="22"/>
                <w:szCs w:val="22"/>
              </w:rPr>
              <w:t>5</w:t>
            </w:r>
          </w:p>
        </w:tc>
        <w:tc>
          <w:tcPr>
            <w:tcW w:w="1254" w:type="dxa"/>
            <w:tcBorders>
              <w:top w:val="nil"/>
              <w:left w:val="nil"/>
              <w:bottom w:val="single" w:sz="4" w:space="0" w:color="auto"/>
              <w:right w:val="single" w:sz="4" w:space="0" w:color="auto"/>
            </w:tcBorders>
            <w:shd w:val="clear" w:color="auto" w:fill="auto"/>
            <w:noWrap/>
            <w:vAlign w:val="bottom"/>
            <w:hideMark/>
          </w:tcPr>
          <w:p w:rsidR="0055491A" w:rsidRDefault="0055491A" w:rsidP="00210BF6">
            <w:pPr>
              <w:jc w:val="center"/>
              <w:rPr>
                <w:color w:val="000000"/>
                <w:sz w:val="22"/>
                <w:szCs w:val="22"/>
              </w:rPr>
            </w:pPr>
            <w:r>
              <w:rPr>
                <w:color w:val="000000"/>
                <w:sz w:val="22"/>
                <w:szCs w:val="22"/>
              </w:rPr>
              <w:t>3</w:t>
            </w:r>
          </w:p>
        </w:tc>
        <w:tc>
          <w:tcPr>
            <w:tcW w:w="1367" w:type="dxa"/>
            <w:tcBorders>
              <w:top w:val="nil"/>
              <w:left w:val="nil"/>
              <w:bottom w:val="single" w:sz="4" w:space="0" w:color="auto"/>
              <w:right w:val="single" w:sz="4" w:space="0" w:color="auto"/>
            </w:tcBorders>
            <w:shd w:val="clear" w:color="auto" w:fill="auto"/>
            <w:noWrap/>
            <w:vAlign w:val="bottom"/>
            <w:hideMark/>
          </w:tcPr>
          <w:p w:rsidR="0055491A" w:rsidRDefault="0055491A" w:rsidP="00210BF6">
            <w:pPr>
              <w:jc w:val="center"/>
              <w:rPr>
                <w:color w:val="000000"/>
                <w:sz w:val="22"/>
                <w:szCs w:val="22"/>
              </w:rPr>
            </w:pPr>
            <w:r>
              <w:rPr>
                <w:color w:val="000000"/>
                <w:sz w:val="22"/>
                <w:szCs w:val="22"/>
              </w:rPr>
              <w:t>1</w:t>
            </w:r>
          </w:p>
        </w:tc>
        <w:tc>
          <w:tcPr>
            <w:tcW w:w="1142" w:type="dxa"/>
            <w:tcBorders>
              <w:top w:val="nil"/>
              <w:left w:val="nil"/>
              <w:bottom w:val="single" w:sz="4" w:space="0" w:color="auto"/>
              <w:right w:val="single" w:sz="4" w:space="0" w:color="auto"/>
            </w:tcBorders>
            <w:shd w:val="clear" w:color="auto" w:fill="auto"/>
            <w:noWrap/>
            <w:vAlign w:val="bottom"/>
            <w:hideMark/>
          </w:tcPr>
          <w:p w:rsidR="0055491A" w:rsidRDefault="0055491A" w:rsidP="00210BF6">
            <w:pPr>
              <w:jc w:val="center"/>
              <w:rPr>
                <w:color w:val="000000"/>
                <w:sz w:val="22"/>
                <w:szCs w:val="22"/>
              </w:rPr>
            </w:pPr>
            <w:r>
              <w:rPr>
                <w:color w:val="000000"/>
                <w:sz w:val="22"/>
                <w:szCs w:val="22"/>
              </w:rPr>
              <w:t>10</w:t>
            </w:r>
          </w:p>
        </w:tc>
        <w:tc>
          <w:tcPr>
            <w:tcW w:w="1254" w:type="dxa"/>
            <w:tcBorders>
              <w:top w:val="nil"/>
              <w:left w:val="nil"/>
              <w:bottom w:val="single" w:sz="4" w:space="0" w:color="auto"/>
              <w:right w:val="single" w:sz="4" w:space="0" w:color="auto"/>
            </w:tcBorders>
            <w:shd w:val="clear" w:color="auto" w:fill="auto"/>
            <w:noWrap/>
            <w:vAlign w:val="bottom"/>
            <w:hideMark/>
          </w:tcPr>
          <w:p w:rsidR="0055491A" w:rsidRDefault="0055491A" w:rsidP="00210BF6">
            <w:pPr>
              <w:jc w:val="center"/>
              <w:rPr>
                <w:color w:val="000000"/>
                <w:sz w:val="22"/>
                <w:szCs w:val="22"/>
              </w:rPr>
            </w:pPr>
            <w:r>
              <w:rPr>
                <w:color w:val="000000"/>
                <w:sz w:val="22"/>
                <w:szCs w:val="22"/>
              </w:rPr>
              <w:t>6</w:t>
            </w:r>
          </w:p>
        </w:tc>
        <w:tc>
          <w:tcPr>
            <w:tcW w:w="1255" w:type="dxa"/>
            <w:gridSpan w:val="2"/>
            <w:tcBorders>
              <w:top w:val="nil"/>
              <w:left w:val="nil"/>
              <w:bottom w:val="single" w:sz="4" w:space="0" w:color="auto"/>
              <w:right w:val="single" w:sz="4" w:space="0" w:color="auto"/>
            </w:tcBorders>
            <w:shd w:val="clear" w:color="auto" w:fill="auto"/>
            <w:noWrap/>
            <w:vAlign w:val="bottom"/>
            <w:hideMark/>
          </w:tcPr>
          <w:p w:rsidR="0055491A" w:rsidRDefault="0055491A" w:rsidP="00210BF6">
            <w:pPr>
              <w:jc w:val="center"/>
              <w:rPr>
                <w:color w:val="000000"/>
                <w:sz w:val="22"/>
                <w:szCs w:val="22"/>
              </w:rPr>
            </w:pPr>
            <w:r>
              <w:rPr>
                <w:color w:val="000000"/>
                <w:sz w:val="22"/>
                <w:szCs w:val="22"/>
              </w:rPr>
              <w:t>2</w:t>
            </w:r>
          </w:p>
        </w:tc>
      </w:tr>
      <w:tr w:rsidR="0055491A" w:rsidTr="00210BF6">
        <w:trPr>
          <w:trHeight w:val="307"/>
        </w:trPr>
        <w:tc>
          <w:tcPr>
            <w:tcW w:w="1931" w:type="dxa"/>
            <w:tcBorders>
              <w:top w:val="nil"/>
              <w:left w:val="single" w:sz="4" w:space="0" w:color="auto"/>
              <w:bottom w:val="single" w:sz="4" w:space="0" w:color="auto"/>
              <w:right w:val="single" w:sz="4" w:space="0" w:color="auto"/>
            </w:tcBorders>
            <w:shd w:val="clear" w:color="auto" w:fill="auto"/>
            <w:noWrap/>
            <w:vAlign w:val="bottom"/>
            <w:hideMark/>
          </w:tcPr>
          <w:p w:rsidR="0055491A" w:rsidRDefault="0055491A" w:rsidP="00210BF6">
            <w:pPr>
              <w:jc w:val="center"/>
              <w:rPr>
                <w:color w:val="000000"/>
                <w:sz w:val="22"/>
                <w:szCs w:val="22"/>
              </w:rPr>
            </w:pPr>
            <w:r>
              <w:rPr>
                <w:color w:val="000000"/>
                <w:sz w:val="22"/>
                <w:szCs w:val="22"/>
              </w:rPr>
              <w:t>3</w:t>
            </w:r>
          </w:p>
        </w:tc>
        <w:tc>
          <w:tcPr>
            <w:tcW w:w="1255" w:type="dxa"/>
            <w:tcBorders>
              <w:top w:val="nil"/>
              <w:left w:val="nil"/>
              <w:bottom w:val="single" w:sz="4" w:space="0" w:color="auto"/>
              <w:right w:val="single" w:sz="4" w:space="0" w:color="auto"/>
            </w:tcBorders>
            <w:shd w:val="clear" w:color="auto" w:fill="auto"/>
            <w:noWrap/>
            <w:vAlign w:val="bottom"/>
            <w:hideMark/>
          </w:tcPr>
          <w:p w:rsidR="0055491A" w:rsidRDefault="0055491A" w:rsidP="00210BF6">
            <w:pPr>
              <w:jc w:val="center"/>
              <w:rPr>
                <w:color w:val="000000"/>
                <w:sz w:val="22"/>
                <w:szCs w:val="22"/>
              </w:rPr>
            </w:pPr>
            <w:r>
              <w:rPr>
                <w:color w:val="000000"/>
                <w:sz w:val="22"/>
                <w:szCs w:val="22"/>
              </w:rPr>
              <w:t>1</w:t>
            </w:r>
          </w:p>
        </w:tc>
        <w:tc>
          <w:tcPr>
            <w:tcW w:w="1254" w:type="dxa"/>
            <w:tcBorders>
              <w:top w:val="nil"/>
              <w:left w:val="nil"/>
              <w:bottom w:val="single" w:sz="4" w:space="0" w:color="auto"/>
              <w:right w:val="single" w:sz="4" w:space="0" w:color="auto"/>
            </w:tcBorders>
            <w:shd w:val="clear" w:color="auto" w:fill="auto"/>
            <w:noWrap/>
            <w:vAlign w:val="bottom"/>
            <w:hideMark/>
          </w:tcPr>
          <w:p w:rsidR="0055491A" w:rsidRDefault="0055491A" w:rsidP="00210BF6">
            <w:pPr>
              <w:jc w:val="center"/>
              <w:rPr>
                <w:color w:val="000000"/>
                <w:sz w:val="22"/>
                <w:szCs w:val="22"/>
              </w:rPr>
            </w:pPr>
            <w:r>
              <w:rPr>
                <w:color w:val="000000"/>
                <w:sz w:val="22"/>
                <w:szCs w:val="22"/>
              </w:rPr>
              <w:t>1</w:t>
            </w:r>
          </w:p>
        </w:tc>
        <w:tc>
          <w:tcPr>
            <w:tcW w:w="1367" w:type="dxa"/>
            <w:tcBorders>
              <w:top w:val="nil"/>
              <w:left w:val="nil"/>
              <w:bottom w:val="single" w:sz="4" w:space="0" w:color="auto"/>
              <w:right w:val="single" w:sz="4" w:space="0" w:color="auto"/>
            </w:tcBorders>
            <w:shd w:val="clear" w:color="auto" w:fill="auto"/>
            <w:noWrap/>
            <w:vAlign w:val="bottom"/>
            <w:hideMark/>
          </w:tcPr>
          <w:p w:rsidR="0055491A" w:rsidRDefault="0055491A" w:rsidP="00210BF6">
            <w:pPr>
              <w:jc w:val="center"/>
              <w:rPr>
                <w:color w:val="000000"/>
                <w:sz w:val="22"/>
                <w:szCs w:val="22"/>
              </w:rPr>
            </w:pPr>
            <w:r>
              <w:rPr>
                <w:color w:val="000000"/>
                <w:sz w:val="22"/>
                <w:szCs w:val="22"/>
              </w:rPr>
              <w:t> </w:t>
            </w:r>
          </w:p>
        </w:tc>
        <w:tc>
          <w:tcPr>
            <w:tcW w:w="1142" w:type="dxa"/>
            <w:tcBorders>
              <w:top w:val="nil"/>
              <w:left w:val="nil"/>
              <w:bottom w:val="single" w:sz="4" w:space="0" w:color="auto"/>
              <w:right w:val="single" w:sz="4" w:space="0" w:color="auto"/>
            </w:tcBorders>
            <w:shd w:val="clear" w:color="auto" w:fill="auto"/>
            <w:noWrap/>
            <w:vAlign w:val="bottom"/>
            <w:hideMark/>
          </w:tcPr>
          <w:p w:rsidR="0055491A" w:rsidRDefault="0055491A" w:rsidP="00210BF6">
            <w:pPr>
              <w:jc w:val="center"/>
              <w:rPr>
                <w:color w:val="000000"/>
                <w:sz w:val="22"/>
                <w:szCs w:val="22"/>
              </w:rPr>
            </w:pPr>
            <w:r>
              <w:rPr>
                <w:color w:val="000000"/>
                <w:sz w:val="22"/>
                <w:szCs w:val="22"/>
              </w:rPr>
              <w:t>3</w:t>
            </w:r>
          </w:p>
        </w:tc>
        <w:tc>
          <w:tcPr>
            <w:tcW w:w="1254" w:type="dxa"/>
            <w:tcBorders>
              <w:top w:val="nil"/>
              <w:left w:val="nil"/>
              <w:bottom w:val="single" w:sz="4" w:space="0" w:color="auto"/>
              <w:right w:val="single" w:sz="4" w:space="0" w:color="auto"/>
            </w:tcBorders>
            <w:shd w:val="clear" w:color="auto" w:fill="auto"/>
            <w:noWrap/>
            <w:vAlign w:val="bottom"/>
            <w:hideMark/>
          </w:tcPr>
          <w:p w:rsidR="0055491A" w:rsidRDefault="0055491A" w:rsidP="00210BF6">
            <w:pPr>
              <w:jc w:val="center"/>
              <w:rPr>
                <w:color w:val="000000"/>
                <w:sz w:val="22"/>
                <w:szCs w:val="22"/>
              </w:rPr>
            </w:pPr>
            <w:r>
              <w:rPr>
                <w:color w:val="000000"/>
                <w:sz w:val="22"/>
                <w:szCs w:val="22"/>
              </w:rPr>
              <w:t>3</w:t>
            </w:r>
          </w:p>
        </w:tc>
        <w:tc>
          <w:tcPr>
            <w:tcW w:w="1255" w:type="dxa"/>
            <w:gridSpan w:val="2"/>
            <w:tcBorders>
              <w:top w:val="nil"/>
              <w:left w:val="nil"/>
              <w:bottom w:val="single" w:sz="4" w:space="0" w:color="auto"/>
              <w:right w:val="single" w:sz="4" w:space="0" w:color="auto"/>
            </w:tcBorders>
            <w:shd w:val="clear" w:color="auto" w:fill="auto"/>
            <w:noWrap/>
            <w:vAlign w:val="bottom"/>
            <w:hideMark/>
          </w:tcPr>
          <w:p w:rsidR="0055491A" w:rsidRDefault="0055491A" w:rsidP="00210BF6">
            <w:pPr>
              <w:jc w:val="center"/>
              <w:rPr>
                <w:color w:val="000000"/>
                <w:sz w:val="22"/>
                <w:szCs w:val="22"/>
              </w:rPr>
            </w:pPr>
            <w:r>
              <w:rPr>
                <w:color w:val="000000"/>
                <w:sz w:val="22"/>
                <w:szCs w:val="22"/>
              </w:rPr>
              <w:t>0</w:t>
            </w:r>
          </w:p>
        </w:tc>
      </w:tr>
      <w:tr w:rsidR="0055491A" w:rsidTr="00210BF6">
        <w:trPr>
          <w:trHeight w:val="307"/>
        </w:trPr>
        <w:tc>
          <w:tcPr>
            <w:tcW w:w="1931" w:type="dxa"/>
            <w:tcBorders>
              <w:top w:val="nil"/>
              <w:left w:val="single" w:sz="4" w:space="0" w:color="auto"/>
              <w:bottom w:val="single" w:sz="4" w:space="0" w:color="auto"/>
              <w:right w:val="single" w:sz="4" w:space="0" w:color="auto"/>
            </w:tcBorders>
            <w:shd w:val="clear" w:color="auto" w:fill="auto"/>
            <w:noWrap/>
            <w:vAlign w:val="bottom"/>
            <w:hideMark/>
          </w:tcPr>
          <w:p w:rsidR="0055491A" w:rsidRDefault="0055491A" w:rsidP="00210BF6">
            <w:pPr>
              <w:jc w:val="center"/>
              <w:rPr>
                <w:color w:val="000000"/>
                <w:sz w:val="22"/>
                <w:szCs w:val="22"/>
              </w:rPr>
            </w:pPr>
            <w:r>
              <w:rPr>
                <w:color w:val="000000"/>
                <w:sz w:val="22"/>
                <w:szCs w:val="22"/>
              </w:rPr>
              <w:t>10</w:t>
            </w:r>
          </w:p>
        </w:tc>
        <w:tc>
          <w:tcPr>
            <w:tcW w:w="1255" w:type="dxa"/>
            <w:tcBorders>
              <w:top w:val="nil"/>
              <w:left w:val="nil"/>
              <w:bottom w:val="single" w:sz="4" w:space="0" w:color="auto"/>
              <w:right w:val="single" w:sz="4" w:space="0" w:color="auto"/>
            </w:tcBorders>
            <w:shd w:val="clear" w:color="auto" w:fill="auto"/>
            <w:noWrap/>
            <w:vAlign w:val="bottom"/>
            <w:hideMark/>
          </w:tcPr>
          <w:p w:rsidR="0055491A" w:rsidRDefault="0055491A" w:rsidP="00210BF6">
            <w:pPr>
              <w:jc w:val="center"/>
              <w:rPr>
                <w:color w:val="000000"/>
                <w:sz w:val="22"/>
                <w:szCs w:val="22"/>
              </w:rPr>
            </w:pPr>
            <w:r>
              <w:rPr>
                <w:color w:val="000000"/>
                <w:sz w:val="22"/>
                <w:szCs w:val="22"/>
              </w:rPr>
              <w:t>1</w:t>
            </w:r>
          </w:p>
        </w:tc>
        <w:tc>
          <w:tcPr>
            <w:tcW w:w="1254" w:type="dxa"/>
            <w:tcBorders>
              <w:top w:val="nil"/>
              <w:left w:val="nil"/>
              <w:bottom w:val="single" w:sz="4" w:space="0" w:color="auto"/>
              <w:right w:val="single" w:sz="4" w:space="0" w:color="auto"/>
            </w:tcBorders>
            <w:shd w:val="clear" w:color="auto" w:fill="auto"/>
            <w:noWrap/>
            <w:vAlign w:val="bottom"/>
            <w:hideMark/>
          </w:tcPr>
          <w:p w:rsidR="0055491A" w:rsidRDefault="0055491A" w:rsidP="00210BF6">
            <w:pPr>
              <w:jc w:val="center"/>
              <w:rPr>
                <w:color w:val="000000"/>
                <w:sz w:val="22"/>
                <w:szCs w:val="22"/>
              </w:rPr>
            </w:pPr>
            <w:r>
              <w:rPr>
                <w:color w:val="000000"/>
                <w:sz w:val="22"/>
                <w:szCs w:val="22"/>
              </w:rPr>
              <w:t>1</w:t>
            </w:r>
          </w:p>
        </w:tc>
        <w:tc>
          <w:tcPr>
            <w:tcW w:w="1367" w:type="dxa"/>
            <w:tcBorders>
              <w:top w:val="nil"/>
              <w:left w:val="nil"/>
              <w:bottom w:val="single" w:sz="4" w:space="0" w:color="auto"/>
              <w:right w:val="single" w:sz="4" w:space="0" w:color="auto"/>
            </w:tcBorders>
            <w:shd w:val="clear" w:color="auto" w:fill="auto"/>
            <w:noWrap/>
            <w:vAlign w:val="bottom"/>
            <w:hideMark/>
          </w:tcPr>
          <w:p w:rsidR="0055491A" w:rsidRDefault="0055491A" w:rsidP="00210BF6">
            <w:pPr>
              <w:jc w:val="center"/>
              <w:rPr>
                <w:color w:val="000000"/>
                <w:sz w:val="22"/>
                <w:szCs w:val="22"/>
              </w:rPr>
            </w:pPr>
            <w:r>
              <w:rPr>
                <w:color w:val="000000"/>
                <w:sz w:val="22"/>
                <w:szCs w:val="22"/>
              </w:rPr>
              <w:t>1</w:t>
            </w:r>
          </w:p>
        </w:tc>
        <w:tc>
          <w:tcPr>
            <w:tcW w:w="1142" w:type="dxa"/>
            <w:tcBorders>
              <w:top w:val="nil"/>
              <w:left w:val="nil"/>
              <w:bottom w:val="single" w:sz="4" w:space="0" w:color="auto"/>
              <w:right w:val="single" w:sz="4" w:space="0" w:color="auto"/>
            </w:tcBorders>
            <w:shd w:val="clear" w:color="auto" w:fill="auto"/>
            <w:noWrap/>
            <w:vAlign w:val="bottom"/>
            <w:hideMark/>
          </w:tcPr>
          <w:p w:rsidR="0055491A" w:rsidRDefault="0055491A" w:rsidP="00210BF6">
            <w:pPr>
              <w:jc w:val="center"/>
              <w:rPr>
                <w:color w:val="000000"/>
                <w:sz w:val="22"/>
                <w:szCs w:val="22"/>
              </w:rPr>
            </w:pPr>
            <w:r>
              <w:rPr>
                <w:color w:val="000000"/>
                <w:sz w:val="22"/>
                <w:szCs w:val="22"/>
              </w:rPr>
              <w:t>10</w:t>
            </w:r>
          </w:p>
        </w:tc>
        <w:tc>
          <w:tcPr>
            <w:tcW w:w="1254" w:type="dxa"/>
            <w:tcBorders>
              <w:top w:val="nil"/>
              <w:left w:val="nil"/>
              <w:bottom w:val="single" w:sz="4" w:space="0" w:color="auto"/>
              <w:right w:val="single" w:sz="4" w:space="0" w:color="auto"/>
            </w:tcBorders>
            <w:shd w:val="clear" w:color="auto" w:fill="auto"/>
            <w:noWrap/>
            <w:vAlign w:val="bottom"/>
            <w:hideMark/>
          </w:tcPr>
          <w:p w:rsidR="0055491A" w:rsidRDefault="0055491A" w:rsidP="00210BF6">
            <w:pPr>
              <w:jc w:val="center"/>
              <w:rPr>
                <w:color w:val="000000"/>
                <w:sz w:val="22"/>
                <w:szCs w:val="22"/>
              </w:rPr>
            </w:pPr>
            <w:r>
              <w:rPr>
                <w:color w:val="000000"/>
                <w:sz w:val="22"/>
                <w:szCs w:val="22"/>
              </w:rPr>
              <w:t>10</w:t>
            </w:r>
          </w:p>
        </w:tc>
        <w:tc>
          <w:tcPr>
            <w:tcW w:w="1255" w:type="dxa"/>
            <w:gridSpan w:val="2"/>
            <w:tcBorders>
              <w:top w:val="nil"/>
              <w:left w:val="nil"/>
              <w:bottom w:val="single" w:sz="4" w:space="0" w:color="auto"/>
              <w:right w:val="single" w:sz="4" w:space="0" w:color="auto"/>
            </w:tcBorders>
            <w:shd w:val="clear" w:color="auto" w:fill="auto"/>
            <w:noWrap/>
            <w:vAlign w:val="bottom"/>
            <w:hideMark/>
          </w:tcPr>
          <w:p w:rsidR="0055491A" w:rsidRDefault="0055491A" w:rsidP="00210BF6">
            <w:pPr>
              <w:jc w:val="center"/>
              <w:rPr>
                <w:color w:val="000000"/>
                <w:sz w:val="22"/>
                <w:szCs w:val="22"/>
              </w:rPr>
            </w:pPr>
            <w:r>
              <w:rPr>
                <w:color w:val="000000"/>
                <w:sz w:val="22"/>
                <w:szCs w:val="22"/>
              </w:rPr>
              <w:t>10</w:t>
            </w:r>
          </w:p>
        </w:tc>
      </w:tr>
      <w:tr w:rsidR="0055491A" w:rsidTr="00210BF6">
        <w:trPr>
          <w:trHeight w:val="307"/>
        </w:trPr>
        <w:tc>
          <w:tcPr>
            <w:tcW w:w="1931" w:type="dxa"/>
            <w:tcBorders>
              <w:top w:val="nil"/>
              <w:left w:val="single" w:sz="4" w:space="0" w:color="auto"/>
              <w:bottom w:val="single" w:sz="4" w:space="0" w:color="auto"/>
              <w:right w:val="single" w:sz="4" w:space="0" w:color="auto"/>
            </w:tcBorders>
            <w:shd w:val="clear" w:color="auto" w:fill="auto"/>
            <w:noWrap/>
            <w:vAlign w:val="bottom"/>
            <w:hideMark/>
          </w:tcPr>
          <w:p w:rsidR="0055491A" w:rsidRDefault="0055491A" w:rsidP="00210BF6">
            <w:pPr>
              <w:jc w:val="center"/>
              <w:rPr>
                <w:color w:val="000000"/>
                <w:sz w:val="22"/>
                <w:szCs w:val="22"/>
              </w:rPr>
            </w:pPr>
            <w:r>
              <w:rPr>
                <w:color w:val="000000"/>
                <w:sz w:val="22"/>
                <w:szCs w:val="22"/>
              </w:rPr>
              <w:t>15</w:t>
            </w:r>
          </w:p>
        </w:tc>
        <w:tc>
          <w:tcPr>
            <w:tcW w:w="1255" w:type="dxa"/>
            <w:tcBorders>
              <w:top w:val="nil"/>
              <w:left w:val="nil"/>
              <w:bottom w:val="single" w:sz="4" w:space="0" w:color="auto"/>
              <w:right w:val="single" w:sz="4" w:space="0" w:color="auto"/>
            </w:tcBorders>
            <w:shd w:val="clear" w:color="auto" w:fill="auto"/>
            <w:noWrap/>
            <w:vAlign w:val="bottom"/>
            <w:hideMark/>
          </w:tcPr>
          <w:p w:rsidR="0055491A" w:rsidRDefault="0055491A" w:rsidP="00210BF6">
            <w:pPr>
              <w:jc w:val="center"/>
              <w:rPr>
                <w:color w:val="000000"/>
                <w:sz w:val="22"/>
                <w:szCs w:val="22"/>
              </w:rPr>
            </w:pPr>
            <w:r>
              <w:rPr>
                <w:color w:val="000000"/>
                <w:sz w:val="22"/>
                <w:szCs w:val="22"/>
              </w:rPr>
              <w:t>1</w:t>
            </w:r>
          </w:p>
        </w:tc>
        <w:tc>
          <w:tcPr>
            <w:tcW w:w="1254" w:type="dxa"/>
            <w:tcBorders>
              <w:top w:val="nil"/>
              <w:left w:val="nil"/>
              <w:bottom w:val="single" w:sz="4" w:space="0" w:color="auto"/>
              <w:right w:val="single" w:sz="4" w:space="0" w:color="auto"/>
            </w:tcBorders>
            <w:shd w:val="clear" w:color="auto" w:fill="auto"/>
            <w:noWrap/>
            <w:vAlign w:val="bottom"/>
            <w:hideMark/>
          </w:tcPr>
          <w:p w:rsidR="0055491A" w:rsidRDefault="0055491A" w:rsidP="00210BF6">
            <w:pPr>
              <w:jc w:val="center"/>
              <w:rPr>
                <w:color w:val="000000"/>
                <w:sz w:val="22"/>
                <w:szCs w:val="22"/>
              </w:rPr>
            </w:pPr>
            <w:r>
              <w:rPr>
                <w:color w:val="000000"/>
                <w:sz w:val="22"/>
                <w:szCs w:val="22"/>
              </w:rPr>
              <w:t>1</w:t>
            </w:r>
          </w:p>
        </w:tc>
        <w:tc>
          <w:tcPr>
            <w:tcW w:w="1367" w:type="dxa"/>
            <w:tcBorders>
              <w:top w:val="nil"/>
              <w:left w:val="nil"/>
              <w:bottom w:val="single" w:sz="4" w:space="0" w:color="auto"/>
              <w:right w:val="single" w:sz="4" w:space="0" w:color="auto"/>
            </w:tcBorders>
            <w:shd w:val="clear" w:color="auto" w:fill="auto"/>
            <w:noWrap/>
            <w:vAlign w:val="bottom"/>
            <w:hideMark/>
          </w:tcPr>
          <w:p w:rsidR="0055491A" w:rsidRDefault="0055491A" w:rsidP="00210BF6">
            <w:pPr>
              <w:jc w:val="center"/>
              <w:rPr>
                <w:color w:val="000000"/>
                <w:sz w:val="22"/>
                <w:szCs w:val="22"/>
              </w:rPr>
            </w:pPr>
            <w:r>
              <w:rPr>
                <w:color w:val="000000"/>
                <w:sz w:val="22"/>
                <w:szCs w:val="22"/>
              </w:rPr>
              <w:t>1</w:t>
            </w:r>
          </w:p>
        </w:tc>
        <w:tc>
          <w:tcPr>
            <w:tcW w:w="1142" w:type="dxa"/>
            <w:tcBorders>
              <w:top w:val="nil"/>
              <w:left w:val="nil"/>
              <w:bottom w:val="single" w:sz="4" w:space="0" w:color="auto"/>
              <w:right w:val="single" w:sz="4" w:space="0" w:color="auto"/>
            </w:tcBorders>
            <w:shd w:val="clear" w:color="auto" w:fill="auto"/>
            <w:noWrap/>
            <w:vAlign w:val="bottom"/>
            <w:hideMark/>
          </w:tcPr>
          <w:p w:rsidR="0055491A" w:rsidRDefault="0055491A" w:rsidP="00210BF6">
            <w:pPr>
              <w:jc w:val="center"/>
              <w:rPr>
                <w:color w:val="000000"/>
                <w:sz w:val="22"/>
                <w:szCs w:val="22"/>
              </w:rPr>
            </w:pPr>
            <w:r>
              <w:rPr>
                <w:color w:val="000000"/>
                <w:sz w:val="22"/>
                <w:szCs w:val="22"/>
              </w:rPr>
              <w:t>15</w:t>
            </w:r>
          </w:p>
        </w:tc>
        <w:tc>
          <w:tcPr>
            <w:tcW w:w="1254" w:type="dxa"/>
            <w:tcBorders>
              <w:top w:val="nil"/>
              <w:left w:val="nil"/>
              <w:bottom w:val="single" w:sz="4" w:space="0" w:color="auto"/>
              <w:right w:val="single" w:sz="4" w:space="0" w:color="auto"/>
            </w:tcBorders>
            <w:shd w:val="clear" w:color="auto" w:fill="auto"/>
            <w:noWrap/>
            <w:vAlign w:val="bottom"/>
            <w:hideMark/>
          </w:tcPr>
          <w:p w:rsidR="0055491A" w:rsidRDefault="0055491A" w:rsidP="00210BF6">
            <w:pPr>
              <w:jc w:val="center"/>
              <w:rPr>
                <w:color w:val="000000"/>
                <w:sz w:val="22"/>
                <w:szCs w:val="22"/>
              </w:rPr>
            </w:pPr>
            <w:r>
              <w:rPr>
                <w:color w:val="000000"/>
                <w:sz w:val="22"/>
                <w:szCs w:val="22"/>
              </w:rPr>
              <w:t>15</w:t>
            </w:r>
          </w:p>
        </w:tc>
        <w:tc>
          <w:tcPr>
            <w:tcW w:w="1255" w:type="dxa"/>
            <w:gridSpan w:val="2"/>
            <w:tcBorders>
              <w:top w:val="nil"/>
              <w:left w:val="nil"/>
              <w:bottom w:val="single" w:sz="4" w:space="0" w:color="auto"/>
              <w:right w:val="single" w:sz="4" w:space="0" w:color="auto"/>
            </w:tcBorders>
            <w:shd w:val="clear" w:color="auto" w:fill="auto"/>
            <w:noWrap/>
            <w:vAlign w:val="bottom"/>
            <w:hideMark/>
          </w:tcPr>
          <w:p w:rsidR="0055491A" w:rsidRDefault="0055491A" w:rsidP="00210BF6">
            <w:pPr>
              <w:jc w:val="center"/>
              <w:rPr>
                <w:color w:val="000000"/>
                <w:sz w:val="22"/>
                <w:szCs w:val="22"/>
              </w:rPr>
            </w:pPr>
            <w:r>
              <w:rPr>
                <w:color w:val="000000"/>
                <w:sz w:val="22"/>
                <w:szCs w:val="22"/>
              </w:rPr>
              <w:t>15</w:t>
            </w:r>
          </w:p>
        </w:tc>
      </w:tr>
      <w:tr w:rsidR="0055491A" w:rsidTr="00210BF6">
        <w:trPr>
          <w:trHeight w:val="307"/>
        </w:trPr>
        <w:tc>
          <w:tcPr>
            <w:tcW w:w="1931" w:type="dxa"/>
            <w:tcBorders>
              <w:top w:val="nil"/>
              <w:left w:val="single" w:sz="4" w:space="0" w:color="auto"/>
              <w:bottom w:val="single" w:sz="4" w:space="0" w:color="auto"/>
              <w:right w:val="single" w:sz="4" w:space="0" w:color="auto"/>
            </w:tcBorders>
            <w:shd w:val="clear" w:color="auto" w:fill="auto"/>
            <w:noWrap/>
            <w:vAlign w:val="bottom"/>
            <w:hideMark/>
          </w:tcPr>
          <w:p w:rsidR="0055491A" w:rsidRDefault="0055491A" w:rsidP="00210BF6">
            <w:pPr>
              <w:jc w:val="center"/>
              <w:rPr>
                <w:color w:val="000000"/>
                <w:sz w:val="22"/>
                <w:szCs w:val="22"/>
              </w:rPr>
            </w:pPr>
            <w:r>
              <w:rPr>
                <w:color w:val="000000"/>
                <w:sz w:val="22"/>
                <w:szCs w:val="22"/>
              </w:rPr>
              <w:t>25</w:t>
            </w:r>
          </w:p>
        </w:tc>
        <w:tc>
          <w:tcPr>
            <w:tcW w:w="1255" w:type="dxa"/>
            <w:tcBorders>
              <w:top w:val="nil"/>
              <w:left w:val="nil"/>
              <w:bottom w:val="single" w:sz="4" w:space="0" w:color="auto"/>
              <w:right w:val="single" w:sz="4" w:space="0" w:color="auto"/>
            </w:tcBorders>
            <w:shd w:val="clear" w:color="auto" w:fill="auto"/>
            <w:noWrap/>
            <w:vAlign w:val="bottom"/>
            <w:hideMark/>
          </w:tcPr>
          <w:p w:rsidR="0055491A" w:rsidRDefault="0055491A" w:rsidP="00210BF6">
            <w:pPr>
              <w:jc w:val="center"/>
              <w:rPr>
                <w:color w:val="000000"/>
                <w:sz w:val="22"/>
                <w:szCs w:val="22"/>
              </w:rPr>
            </w:pPr>
            <w:r>
              <w:rPr>
                <w:color w:val="000000"/>
                <w:sz w:val="22"/>
                <w:szCs w:val="22"/>
              </w:rPr>
              <w:t>3</w:t>
            </w:r>
          </w:p>
        </w:tc>
        <w:tc>
          <w:tcPr>
            <w:tcW w:w="1254" w:type="dxa"/>
            <w:tcBorders>
              <w:top w:val="nil"/>
              <w:left w:val="nil"/>
              <w:bottom w:val="single" w:sz="4" w:space="0" w:color="auto"/>
              <w:right w:val="single" w:sz="4" w:space="0" w:color="auto"/>
            </w:tcBorders>
            <w:shd w:val="clear" w:color="auto" w:fill="auto"/>
            <w:noWrap/>
            <w:vAlign w:val="bottom"/>
            <w:hideMark/>
          </w:tcPr>
          <w:p w:rsidR="0055491A" w:rsidRDefault="0055491A" w:rsidP="00210BF6">
            <w:pPr>
              <w:jc w:val="center"/>
              <w:rPr>
                <w:color w:val="000000"/>
                <w:sz w:val="22"/>
                <w:szCs w:val="22"/>
              </w:rPr>
            </w:pPr>
            <w:r>
              <w:rPr>
                <w:color w:val="000000"/>
                <w:sz w:val="22"/>
                <w:szCs w:val="22"/>
              </w:rPr>
              <w:t>3</w:t>
            </w:r>
          </w:p>
        </w:tc>
        <w:tc>
          <w:tcPr>
            <w:tcW w:w="1367" w:type="dxa"/>
            <w:tcBorders>
              <w:top w:val="nil"/>
              <w:left w:val="nil"/>
              <w:bottom w:val="single" w:sz="4" w:space="0" w:color="auto"/>
              <w:right w:val="single" w:sz="4" w:space="0" w:color="auto"/>
            </w:tcBorders>
            <w:shd w:val="clear" w:color="auto" w:fill="auto"/>
            <w:noWrap/>
            <w:vAlign w:val="bottom"/>
            <w:hideMark/>
          </w:tcPr>
          <w:p w:rsidR="0055491A" w:rsidRDefault="0055491A" w:rsidP="00210BF6">
            <w:pPr>
              <w:jc w:val="center"/>
              <w:rPr>
                <w:color w:val="000000"/>
                <w:sz w:val="22"/>
                <w:szCs w:val="22"/>
              </w:rPr>
            </w:pPr>
            <w:r>
              <w:rPr>
                <w:color w:val="000000"/>
                <w:sz w:val="22"/>
                <w:szCs w:val="22"/>
              </w:rPr>
              <w:t>3</w:t>
            </w:r>
          </w:p>
        </w:tc>
        <w:tc>
          <w:tcPr>
            <w:tcW w:w="1142" w:type="dxa"/>
            <w:tcBorders>
              <w:top w:val="nil"/>
              <w:left w:val="nil"/>
              <w:bottom w:val="single" w:sz="4" w:space="0" w:color="auto"/>
              <w:right w:val="single" w:sz="4" w:space="0" w:color="auto"/>
            </w:tcBorders>
            <w:shd w:val="clear" w:color="auto" w:fill="auto"/>
            <w:noWrap/>
            <w:vAlign w:val="bottom"/>
            <w:hideMark/>
          </w:tcPr>
          <w:p w:rsidR="0055491A" w:rsidRDefault="0055491A" w:rsidP="00210BF6">
            <w:pPr>
              <w:jc w:val="center"/>
              <w:rPr>
                <w:color w:val="000000"/>
                <w:sz w:val="22"/>
                <w:szCs w:val="22"/>
              </w:rPr>
            </w:pPr>
            <w:r>
              <w:rPr>
                <w:color w:val="000000"/>
                <w:sz w:val="22"/>
                <w:szCs w:val="22"/>
              </w:rPr>
              <w:t>75</w:t>
            </w:r>
          </w:p>
        </w:tc>
        <w:tc>
          <w:tcPr>
            <w:tcW w:w="1254" w:type="dxa"/>
            <w:tcBorders>
              <w:top w:val="nil"/>
              <w:left w:val="nil"/>
              <w:bottom w:val="single" w:sz="4" w:space="0" w:color="auto"/>
              <w:right w:val="single" w:sz="4" w:space="0" w:color="auto"/>
            </w:tcBorders>
            <w:shd w:val="clear" w:color="auto" w:fill="auto"/>
            <w:noWrap/>
            <w:vAlign w:val="bottom"/>
            <w:hideMark/>
          </w:tcPr>
          <w:p w:rsidR="0055491A" w:rsidRDefault="0055491A" w:rsidP="00210BF6">
            <w:pPr>
              <w:jc w:val="center"/>
              <w:rPr>
                <w:color w:val="000000"/>
                <w:sz w:val="22"/>
                <w:szCs w:val="22"/>
              </w:rPr>
            </w:pPr>
            <w:r>
              <w:rPr>
                <w:color w:val="000000"/>
                <w:sz w:val="22"/>
                <w:szCs w:val="22"/>
              </w:rPr>
              <w:t>75</w:t>
            </w:r>
          </w:p>
        </w:tc>
        <w:tc>
          <w:tcPr>
            <w:tcW w:w="1255" w:type="dxa"/>
            <w:gridSpan w:val="2"/>
            <w:tcBorders>
              <w:top w:val="nil"/>
              <w:left w:val="nil"/>
              <w:bottom w:val="single" w:sz="4" w:space="0" w:color="auto"/>
              <w:right w:val="single" w:sz="4" w:space="0" w:color="auto"/>
            </w:tcBorders>
            <w:shd w:val="clear" w:color="auto" w:fill="auto"/>
            <w:noWrap/>
            <w:vAlign w:val="bottom"/>
            <w:hideMark/>
          </w:tcPr>
          <w:p w:rsidR="0055491A" w:rsidRDefault="0055491A" w:rsidP="00210BF6">
            <w:pPr>
              <w:jc w:val="center"/>
              <w:rPr>
                <w:color w:val="000000"/>
                <w:sz w:val="22"/>
                <w:szCs w:val="22"/>
              </w:rPr>
            </w:pPr>
            <w:r>
              <w:rPr>
                <w:color w:val="000000"/>
                <w:sz w:val="22"/>
                <w:szCs w:val="22"/>
              </w:rPr>
              <w:t>75</w:t>
            </w:r>
          </w:p>
        </w:tc>
      </w:tr>
      <w:tr w:rsidR="0055491A" w:rsidTr="00210BF6">
        <w:trPr>
          <w:trHeight w:val="307"/>
        </w:trPr>
        <w:tc>
          <w:tcPr>
            <w:tcW w:w="1931" w:type="dxa"/>
            <w:tcBorders>
              <w:top w:val="nil"/>
              <w:left w:val="single" w:sz="4" w:space="0" w:color="auto"/>
              <w:bottom w:val="single" w:sz="4" w:space="0" w:color="auto"/>
              <w:right w:val="single" w:sz="4" w:space="0" w:color="auto"/>
            </w:tcBorders>
            <w:shd w:val="clear" w:color="auto" w:fill="auto"/>
            <w:noWrap/>
            <w:vAlign w:val="bottom"/>
            <w:hideMark/>
          </w:tcPr>
          <w:p w:rsidR="0055491A" w:rsidRDefault="0055491A" w:rsidP="00210BF6">
            <w:pPr>
              <w:jc w:val="center"/>
              <w:rPr>
                <w:color w:val="000000"/>
                <w:sz w:val="22"/>
                <w:szCs w:val="22"/>
              </w:rPr>
            </w:pPr>
            <w:r>
              <w:rPr>
                <w:color w:val="000000"/>
                <w:sz w:val="22"/>
                <w:szCs w:val="22"/>
              </w:rPr>
              <w:t>30</w:t>
            </w:r>
          </w:p>
        </w:tc>
        <w:tc>
          <w:tcPr>
            <w:tcW w:w="1255" w:type="dxa"/>
            <w:tcBorders>
              <w:top w:val="nil"/>
              <w:left w:val="nil"/>
              <w:bottom w:val="single" w:sz="4" w:space="0" w:color="auto"/>
              <w:right w:val="single" w:sz="4" w:space="0" w:color="auto"/>
            </w:tcBorders>
            <w:shd w:val="clear" w:color="auto" w:fill="auto"/>
            <w:noWrap/>
            <w:vAlign w:val="bottom"/>
            <w:hideMark/>
          </w:tcPr>
          <w:p w:rsidR="0055491A" w:rsidRDefault="0055491A" w:rsidP="00210BF6">
            <w:pPr>
              <w:jc w:val="center"/>
              <w:rPr>
                <w:color w:val="000000"/>
                <w:sz w:val="22"/>
                <w:szCs w:val="22"/>
              </w:rPr>
            </w:pPr>
            <w:r>
              <w:rPr>
                <w:color w:val="000000"/>
                <w:sz w:val="22"/>
                <w:szCs w:val="22"/>
              </w:rPr>
              <w:t>1</w:t>
            </w:r>
          </w:p>
        </w:tc>
        <w:tc>
          <w:tcPr>
            <w:tcW w:w="1254" w:type="dxa"/>
            <w:tcBorders>
              <w:top w:val="nil"/>
              <w:left w:val="nil"/>
              <w:bottom w:val="single" w:sz="4" w:space="0" w:color="auto"/>
              <w:right w:val="single" w:sz="4" w:space="0" w:color="auto"/>
            </w:tcBorders>
            <w:shd w:val="clear" w:color="auto" w:fill="auto"/>
            <w:noWrap/>
            <w:vAlign w:val="bottom"/>
            <w:hideMark/>
          </w:tcPr>
          <w:p w:rsidR="0055491A" w:rsidRDefault="0055491A" w:rsidP="00210BF6">
            <w:pPr>
              <w:jc w:val="center"/>
              <w:rPr>
                <w:color w:val="000000"/>
                <w:sz w:val="22"/>
                <w:szCs w:val="22"/>
              </w:rPr>
            </w:pPr>
            <w:r>
              <w:rPr>
                <w:color w:val="000000"/>
                <w:sz w:val="22"/>
                <w:szCs w:val="22"/>
              </w:rPr>
              <w:t>1</w:t>
            </w:r>
          </w:p>
        </w:tc>
        <w:tc>
          <w:tcPr>
            <w:tcW w:w="1367" w:type="dxa"/>
            <w:tcBorders>
              <w:top w:val="nil"/>
              <w:left w:val="nil"/>
              <w:bottom w:val="single" w:sz="4" w:space="0" w:color="auto"/>
              <w:right w:val="single" w:sz="4" w:space="0" w:color="auto"/>
            </w:tcBorders>
            <w:shd w:val="clear" w:color="auto" w:fill="auto"/>
            <w:noWrap/>
            <w:vAlign w:val="bottom"/>
            <w:hideMark/>
          </w:tcPr>
          <w:p w:rsidR="0055491A" w:rsidRDefault="0055491A" w:rsidP="00210BF6">
            <w:pPr>
              <w:jc w:val="center"/>
              <w:rPr>
                <w:color w:val="000000"/>
                <w:sz w:val="22"/>
                <w:szCs w:val="22"/>
              </w:rPr>
            </w:pPr>
            <w:r>
              <w:rPr>
                <w:color w:val="000000"/>
                <w:sz w:val="22"/>
                <w:szCs w:val="22"/>
              </w:rPr>
              <w:t>1</w:t>
            </w:r>
          </w:p>
        </w:tc>
        <w:tc>
          <w:tcPr>
            <w:tcW w:w="1142" w:type="dxa"/>
            <w:tcBorders>
              <w:top w:val="nil"/>
              <w:left w:val="nil"/>
              <w:bottom w:val="single" w:sz="4" w:space="0" w:color="auto"/>
              <w:right w:val="single" w:sz="4" w:space="0" w:color="auto"/>
            </w:tcBorders>
            <w:shd w:val="clear" w:color="auto" w:fill="auto"/>
            <w:noWrap/>
            <w:vAlign w:val="bottom"/>
            <w:hideMark/>
          </w:tcPr>
          <w:p w:rsidR="0055491A" w:rsidRDefault="0055491A" w:rsidP="00210BF6">
            <w:pPr>
              <w:jc w:val="center"/>
              <w:rPr>
                <w:color w:val="000000"/>
                <w:sz w:val="22"/>
                <w:szCs w:val="22"/>
              </w:rPr>
            </w:pPr>
            <w:r>
              <w:rPr>
                <w:color w:val="000000"/>
                <w:sz w:val="22"/>
                <w:szCs w:val="22"/>
              </w:rPr>
              <w:t>30</w:t>
            </w:r>
          </w:p>
        </w:tc>
        <w:tc>
          <w:tcPr>
            <w:tcW w:w="1254" w:type="dxa"/>
            <w:tcBorders>
              <w:top w:val="nil"/>
              <w:left w:val="nil"/>
              <w:bottom w:val="single" w:sz="4" w:space="0" w:color="auto"/>
              <w:right w:val="single" w:sz="4" w:space="0" w:color="auto"/>
            </w:tcBorders>
            <w:shd w:val="clear" w:color="auto" w:fill="auto"/>
            <w:noWrap/>
            <w:vAlign w:val="bottom"/>
            <w:hideMark/>
          </w:tcPr>
          <w:p w:rsidR="0055491A" w:rsidRDefault="0055491A" w:rsidP="00210BF6">
            <w:pPr>
              <w:jc w:val="center"/>
              <w:rPr>
                <w:color w:val="000000"/>
                <w:sz w:val="22"/>
                <w:szCs w:val="22"/>
              </w:rPr>
            </w:pPr>
            <w:r>
              <w:rPr>
                <w:color w:val="000000"/>
                <w:sz w:val="22"/>
                <w:szCs w:val="22"/>
              </w:rPr>
              <w:t>30</w:t>
            </w:r>
          </w:p>
        </w:tc>
        <w:tc>
          <w:tcPr>
            <w:tcW w:w="1255" w:type="dxa"/>
            <w:gridSpan w:val="2"/>
            <w:tcBorders>
              <w:top w:val="nil"/>
              <w:left w:val="nil"/>
              <w:bottom w:val="single" w:sz="4" w:space="0" w:color="auto"/>
              <w:right w:val="single" w:sz="4" w:space="0" w:color="auto"/>
            </w:tcBorders>
            <w:shd w:val="clear" w:color="auto" w:fill="auto"/>
            <w:noWrap/>
            <w:vAlign w:val="bottom"/>
            <w:hideMark/>
          </w:tcPr>
          <w:p w:rsidR="0055491A" w:rsidRDefault="0055491A" w:rsidP="00210BF6">
            <w:pPr>
              <w:jc w:val="center"/>
              <w:rPr>
                <w:color w:val="000000"/>
                <w:sz w:val="22"/>
                <w:szCs w:val="22"/>
              </w:rPr>
            </w:pPr>
            <w:r>
              <w:rPr>
                <w:color w:val="000000"/>
                <w:sz w:val="22"/>
                <w:szCs w:val="22"/>
              </w:rPr>
              <w:t>30</w:t>
            </w:r>
          </w:p>
        </w:tc>
      </w:tr>
      <w:tr w:rsidR="0055491A" w:rsidTr="00210BF6">
        <w:trPr>
          <w:trHeight w:val="307"/>
        </w:trPr>
        <w:tc>
          <w:tcPr>
            <w:tcW w:w="1931" w:type="dxa"/>
            <w:tcBorders>
              <w:top w:val="nil"/>
              <w:left w:val="single" w:sz="4" w:space="0" w:color="auto"/>
              <w:bottom w:val="single" w:sz="4" w:space="0" w:color="auto"/>
              <w:right w:val="single" w:sz="4" w:space="0" w:color="auto"/>
            </w:tcBorders>
            <w:shd w:val="clear" w:color="auto" w:fill="auto"/>
            <w:noWrap/>
            <w:vAlign w:val="bottom"/>
            <w:hideMark/>
          </w:tcPr>
          <w:p w:rsidR="0055491A" w:rsidRDefault="0055491A" w:rsidP="00210BF6">
            <w:pPr>
              <w:jc w:val="center"/>
              <w:rPr>
                <w:color w:val="000000"/>
                <w:sz w:val="22"/>
                <w:szCs w:val="22"/>
              </w:rPr>
            </w:pPr>
            <w:r>
              <w:rPr>
                <w:color w:val="000000"/>
                <w:sz w:val="22"/>
                <w:szCs w:val="22"/>
              </w:rPr>
              <w:t>50</w:t>
            </w:r>
          </w:p>
        </w:tc>
        <w:tc>
          <w:tcPr>
            <w:tcW w:w="1255" w:type="dxa"/>
            <w:tcBorders>
              <w:top w:val="nil"/>
              <w:left w:val="nil"/>
              <w:bottom w:val="single" w:sz="4" w:space="0" w:color="auto"/>
              <w:right w:val="single" w:sz="4" w:space="0" w:color="auto"/>
            </w:tcBorders>
            <w:shd w:val="clear" w:color="auto" w:fill="auto"/>
            <w:noWrap/>
            <w:vAlign w:val="bottom"/>
            <w:hideMark/>
          </w:tcPr>
          <w:p w:rsidR="0055491A" w:rsidRDefault="0055491A" w:rsidP="00210BF6">
            <w:pPr>
              <w:jc w:val="center"/>
              <w:rPr>
                <w:color w:val="000000"/>
                <w:sz w:val="22"/>
                <w:szCs w:val="22"/>
              </w:rPr>
            </w:pPr>
            <w:r>
              <w:rPr>
                <w:color w:val="000000"/>
                <w:sz w:val="22"/>
                <w:szCs w:val="22"/>
              </w:rPr>
              <w:t>1</w:t>
            </w:r>
          </w:p>
        </w:tc>
        <w:tc>
          <w:tcPr>
            <w:tcW w:w="1254" w:type="dxa"/>
            <w:tcBorders>
              <w:top w:val="nil"/>
              <w:left w:val="nil"/>
              <w:bottom w:val="single" w:sz="4" w:space="0" w:color="auto"/>
              <w:right w:val="single" w:sz="4" w:space="0" w:color="auto"/>
            </w:tcBorders>
            <w:shd w:val="clear" w:color="auto" w:fill="auto"/>
            <w:noWrap/>
            <w:vAlign w:val="bottom"/>
            <w:hideMark/>
          </w:tcPr>
          <w:p w:rsidR="0055491A" w:rsidRDefault="0055491A" w:rsidP="00210BF6">
            <w:pPr>
              <w:jc w:val="center"/>
              <w:rPr>
                <w:color w:val="000000"/>
                <w:sz w:val="22"/>
                <w:szCs w:val="22"/>
              </w:rPr>
            </w:pPr>
            <w:r>
              <w:rPr>
                <w:color w:val="000000"/>
                <w:sz w:val="22"/>
                <w:szCs w:val="22"/>
              </w:rPr>
              <w:t>1</w:t>
            </w:r>
          </w:p>
        </w:tc>
        <w:tc>
          <w:tcPr>
            <w:tcW w:w="1367" w:type="dxa"/>
            <w:tcBorders>
              <w:top w:val="nil"/>
              <w:left w:val="nil"/>
              <w:bottom w:val="single" w:sz="4" w:space="0" w:color="auto"/>
              <w:right w:val="single" w:sz="4" w:space="0" w:color="auto"/>
            </w:tcBorders>
            <w:shd w:val="clear" w:color="auto" w:fill="auto"/>
            <w:noWrap/>
            <w:vAlign w:val="bottom"/>
            <w:hideMark/>
          </w:tcPr>
          <w:p w:rsidR="0055491A" w:rsidRDefault="0055491A" w:rsidP="00210BF6">
            <w:pPr>
              <w:jc w:val="center"/>
              <w:rPr>
                <w:color w:val="000000"/>
                <w:sz w:val="22"/>
                <w:szCs w:val="22"/>
              </w:rPr>
            </w:pPr>
            <w:r>
              <w:rPr>
                <w:color w:val="000000"/>
                <w:sz w:val="22"/>
                <w:szCs w:val="22"/>
              </w:rPr>
              <w:t>1</w:t>
            </w:r>
          </w:p>
        </w:tc>
        <w:tc>
          <w:tcPr>
            <w:tcW w:w="1142" w:type="dxa"/>
            <w:tcBorders>
              <w:top w:val="nil"/>
              <w:left w:val="nil"/>
              <w:bottom w:val="single" w:sz="4" w:space="0" w:color="auto"/>
              <w:right w:val="single" w:sz="4" w:space="0" w:color="auto"/>
            </w:tcBorders>
            <w:shd w:val="clear" w:color="auto" w:fill="auto"/>
            <w:noWrap/>
            <w:vAlign w:val="bottom"/>
            <w:hideMark/>
          </w:tcPr>
          <w:p w:rsidR="0055491A" w:rsidRDefault="0055491A" w:rsidP="00210BF6">
            <w:pPr>
              <w:jc w:val="center"/>
              <w:rPr>
                <w:color w:val="000000"/>
                <w:sz w:val="22"/>
                <w:szCs w:val="22"/>
              </w:rPr>
            </w:pPr>
            <w:r>
              <w:rPr>
                <w:color w:val="000000"/>
                <w:sz w:val="22"/>
                <w:szCs w:val="22"/>
              </w:rPr>
              <w:t>50</w:t>
            </w:r>
          </w:p>
        </w:tc>
        <w:tc>
          <w:tcPr>
            <w:tcW w:w="1254" w:type="dxa"/>
            <w:tcBorders>
              <w:top w:val="nil"/>
              <w:left w:val="nil"/>
              <w:bottom w:val="single" w:sz="4" w:space="0" w:color="auto"/>
              <w:right w:val="single" w:sz="4" w:space="0" w:color="auto"/>
            </w:tcBorders>
            <w:shd w:val="clear" w:color="auto" w:fill="auto"/>
            <w:noWrap/>
            <w:vAlign w:val="bottom"/>
            <w:hideMark/>
          </w:tcPr>
          <w:p w:rsidR="0055491A" w:rsidRDefault="0055491A" w:rsidP="00210BF6">
            <w:pPr>
              <w:jc w:val="center"/>
              <w:rPr>
                <w:color w:val="000000"/>
                <w:sz w:val="22"/>
                <w:szCs w:val="22"/>
              </w:rPr>
            </w:pPr>
            <w:r>
              <w:rPr>
                <w:color w:val="000000"/>
                <w:sz w:val="22"/>
                <w:szCs w:val="22"/>
              </w:rPr>
              <w:t>50</w:t>
            </w:r>
          </w:p>
        </w:tc>
        <w:tc>
          <w:tcPr>
            <w:tcW w:w="1255" w:type="dxa"/>
            <w:gridSpan w:val="2"/>
            <w:tcBorders>
              <w:top w:val="nil"/>
              <w:left w:val="nil"/>
              <w:bottom w:val="single" w:sz="4" w:space="0" w:color="auto"/>
              <w:right w:val="single" w:sz="4" w:space="0" w:color="auto"/>
            </w:tcBorders>
            <w:shd w:val="clear" w:color="auto" w:fill="auto"/>
            <w:noWrap/>
            <w:vAlign w:val="bottom"/>
            <w:hideMark/>
          </w:tcPr>
          <w:p w:rsidR="0055491A" w:rsidRDefault="0055491A" w:rsidP="00210BF6">
            <w:pPr>
              <w:jc w:val="center"/>
              <w:rPr>
                <w:color w:val="000000"/>
                <w:sz w:val="22"/>
                <w:szCs w:val="22"/>
              </w:rPr>
            </w:pPr>
            <w:r>
              <w:rPr>
                <w:color w:val="000000"/>
                <w:sz w:val="22"/>
                <w:szCs w:val="22"/>
              </w:rPr>
              <w:t>50</w:t>
            </w:r>
          </w:p>
        </w:tc>
      </w:tr>
      <w:tr w:rsidR="0055491A" w:rsidRPr="00580710" w:rsidTr="00210B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 w:type="dxa"/>
          <w:trHeight w:val="313"/>
        </w:trPr>
        <w:tc>
          <w:tcPr>
            <w:tcW w:w="5807" w:type="dxa"/>
            <w:gridSpan w:val="4"/>
            <w:shd w:val="clear" w:color="auto" w:fill="auto"/>
            <w:noWrap/>
          </w:tcPr>
          <w:p w:rsidR="0055491A" w:rsidRPr="00D56B79" w:rsidRDefault="0055491A" w:rsidP="00210BF6">
            <w:pPr>
              <w:jc w:val="center"/>
              <w:rPr>
                <w:b/>
                <w:bCs/>
                <w:color w:val="000000"/>
                <w:sz w:val="22"/>
                <w:szCs w:val="22"/>
              </w:rPr>
            </w:pPr>
            <w:r w:rsidRPr="00580710">
              <w:rPr>
                <w:b/>
                <w:bCs/>
                <w:color w:val="000000"/>
                <w:sz w:val="22"/>
                <w:szCs w:val="22"/>
              </w:rPr>
              <w:t>ИТОГО</w:t>
            </w:r>
          </w:p>
        </w:tc>
        <w:tc>
          <w:tcPr>
            <w:tcW w:w="1142" w:type="dxa"/>
            <w:shd w:val="clear" w:color="auto" w:fill="auto"/>
            <w:noWrap/>
            <w:vAlign w:val="bottom"/>
          </w:tcPr>
          <w:p w:rsidR="0055491A" w:rsidRDefault="0055491A" w:rsidP="00210BF6">
            <w:pPr>
              <w:jc w:val="center"/>
              <w:rPr>
                <w:color w:val="000000"/>
                <w:sz w:val="22"/>
                <w:szCs w:val="22"/>
              </w:rPr>
            </w:pPr>
            <w:r>
              <w:rPr>
                <w:color w:val="000000"/>
                <w:sz w:val="22"/>
                <w:szCs w:val="22"/>
              </w:rPr>
              <w:t>198,8</w:t>
            </w:r>
          </w:p>
        </w:tc>
        <w:tc>
          <w:tcPr>
            <w:tcW w:w="1254" w:type="dxa"/>
            <w:shd w:val="clear" w:color="auto" w:fill="auto"/>
            <w:noWrap/>
            <w:vAlign w:val="bottom"/>
          </w:tcPr>
          <w:p w:rsidR="0055491A" w:rsidRDefault="0055491A" w:rsidP="00210BF6">
            <w:pPr>
              <w:jc w:val="center"/>
              <w:rPr>
                <w:color w:val="000000"/>
                <w:sz w:val="22"/>
                <w:szCs w:val="22"/>
              </w:rPr>
            </w:pPr>
            <w:r>
              <w:rPr>
                <w:color w:val="000000"/>
                <w:sz w:val="22"/>
                <w:szCs w:val="22"/>
              </w:rPr>
              <w:t>195,8</w:t>
            </w:r>
          </w:p>
        </w:tc>
        <w:tc>
          <w:tcPr>
            <w:tcW w:w="1210" w:type="dxa"/>
            <w:shd w:val="clear" w:color="auto" w:fill="auto"/>
            <w:noWrap/>
            <w:vAlign w:val="bottom"/>
          </w:tcPr>
          <w:p w:rsidR="0055491A" w:rsidRDefault="0055491A" w:rsidP="00210BF6">
            <w:pPr>
              <w:jc w:val="center"/>
              <w:rPr>
                <w:color w:val="000000"/>
                <w:sz w:val="22"/>
                <w:szCs w:val="22"/>
              </w:rPr>
            </w:pPr>
            <w:r>
              <w:rPr>
                <w:color w:val="000000"/>
                <w:sz w:val="22"/>
                <w:szCs w:val="22"/>
              </w:rPr>
              <w:t>185,2</w:t>
            </w:r>
          </w:p>
        </w:tc>
      </w:tr>
      <w:tr w:rsidR="0055491A" w:rsidRPr="00580710" w:rsidTr="00210B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 w:type="dxa"/>
          <w:trHeight w:val="313"/>
        </w:trPr>
        <w:tc>
          <w:tcPr>
            <w:tcW w:w="5807" w:type="dxa"/>
            <w:gridSpan w:val="4"/>
            <w:shd w:val="clear" w:color="auto" w:fill="auto"/>
            <w:noWrap/>
            <w:vAlign w:val="bottom"/>
          </w:tcPr>
          <w:p w:rsidR="0055491A" w:rsidRPr="0064605E" w:rsidRDefault="0055491A" w:rsidP="00210BF6">
            <w:pPr>
              <w:jc w:val="center"/>
              <w:rPr>
                <w:b/>
                <w:bCs/>
                <w:color w:val="000000"/>
                <w:sz w:val="22"/>
                <w:szCs w:val="22"/>
              </w:rPr>
            </w:pPr>
            <w:r>
              <w:rPr>
                <w:b/>
                <w:bCs/>
                <w:color w:val="000000"/>
                <w:sz w:val="22"/>
                <w:szCs w:val="22"/>
              </w:rPr>
              <w:t>Областной бюджет Тверской области                    (норматив зачисления 50%)</w:t>
            </w:r>
          </w:p>
        </w:tc>
        <w:tc>
          <w:tcPr>
            <w:tcW w:w="1142" w:type="dxa"/>
            <w:shd w:val="clear" w:color="auto" w:fill="auto"/>
            <w:noWrap/>
            <w:vAlign w:val="center"/>
          </w:tcPr>
          <w:p w:rsidR="0055491A" w:rsidRPr="00580710" w:rsidRDefault="0055491A" w:rsidP="00210BF6">
            <w:pPr>
              <w:jc w:val="center"/>
              <w:rPr>
                <w:b/>
                <w:bCs/>
                <w:color w:val="000000"/>
                <w:sz w:val="22"/>
                <w:szCs w:val="22"/>
              </w:rPr>
            </w:pPr>
            <w:r>
              <w:rPr>
                <w:b/>
                <w:bCs/>
                <w:color w:val="000000"/>
                <w:sz w:val="22"/>
                <w:szCs w:val="22"/>
              </w:rPr>
              <w:t>99,4</w:t>
            </w:r>
          </w:p>
        </w:tc>
        <w:tc>
          <w:tcPr>
            <w:tcW w:w="1254" w:type="dxa"/>
            <w:shd w:val="clear" w:color="auto" w:fill="auto"/>
            <w:noWrap/>
            <w:vAlign w:val="center"/>
          </w:tcPr>
          <w:p w:rsidR="0055491A" w:rsidRPr="00580710" w:rsidRDefault="0055491A" w:rsidP="00210BF6">
            <w:pPr>
              <w:jc w:val="center"/>
              <w:rPr>
                <w:b/>
                <w:bCs/>
                <w:color w:val="000000"/>
                <w:sz w:val="22"/>
                <w:szCs w:val="22"/>
              </w:rPr>
            </w:pPr>
            <w:r>
              <w:rPr>
                <w:b/>
                <w:bCs/>
                <w:color w:val="000000"/>
                <w:sz w:val="22"/>
                <w:szCs w:val="22"/>
              </w:rPr>
              <w:t>97,9</w:t>
            </w:r>
          </w:p>
        </w:tc>
        <w:tc>
          <w:tcPr>
            <w:tcW w:w="1210" w:type="dxa"/>
            <w:shd w:val="clear" w:color="auto" w:fill="auto"/>
            <w:noWrap/>
            <w:vAlign w:val="center"/>
          </w:tcPr>
          <w:p w:rsidR="0055491A" w:rsidRPr="00580710" w:rsidRDefault="0055491A" w:rsidP="00210BF6">
            <w:pPr>
              <w:jc w:val="center"/>
              <w:rPr>
                <w:b/>
                <w:bCs/>
                <w:color w:val="000000"/>
                <w:sz w:val="22"/>
                <w:szCs w:val="22"/>
              </w:rPr>
            </w:pPr>
            <w:r>
              <w:rPr>
                <w:b/>
                <w:bCs/>
                <w:color w:val="000000"/>
                <w:sz w:val="22"/>
                <w:szCs w:val="22"/>
              </w:rPr>
              <w:t>92,6</w:t>
            </w:r>
          </w:p>
        </w:tc>
      </w:tr>
    </w:tbl>
    <w:p w:rsidR="0055491A" w:rsidRDefault="0055491A" w:rsidP="0055491A">
      <w:pPr>
        <w:autoSpaceDE w:val="0"/>
        <w:autoSpaceDN w:val="0"/>
        <w:adjustRightInd w:val="0"/>
        <w:jc w:val="both"/>
        <w:rPr>
          <w:sz w:val="28"/>
          <w:szCs w:val="28"/>
        </w:rPr>
      </w:pPr>
    </w:p>
    <w:p w:rsidR="0055491A" w:rsidRDefault="0055491A" w:rsidP="0055491A">
      <w:pPr>
        <w:pStyle w:val="a7"/>
        <w:spacing w:after="0"/>
        <w:ind w:left="0" w:firstLine="709"/>
        <w:jc w:val="both"/>
        <w:rPr>
          <w:sz w:val="28"/>
          <w:szCs w:val="28"/>
        </w:rPr>
      </w:pPr>
      <w:r>
        <w:rPr>
          <w:sz w:val="28"/>
          <w:szCs w:val="28"/>
        </w:rPr>
        <w:t xml:space="preserve">13.6 </w:t>
      </w:r>
      <w:r w:rsidRPr="002D51EF">
        <w:rPr>
          <w:b/>
          <w:sz w:val="28"/>
          <w:szCs w:val="28"/>
        </w:rPr>
        <w:t>КБК 327 1 16 01193 01 0000 140</w:t>
      </w:r>
      <w:r>
        <w:rPr>
          <w:sz w:val="28"/>
          <w:szCs w:val="28"/>
        </w:rPr>
        <w:t xml:space="preserve"> А</w:t>
      </w:r>
      <w:r w:rsidRPr="0053605C">
        <w:rPr>
          <w:sz w:val="28"/>
          <w:szCs w:val="28"/>
        </w:rPr>
        <w:t>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r>
        <w:rPr>
          <w:sz w:val="28"/>
          <w:szCs w:val="28"/>
        </w:rPr>
        <w:t>.</w:t>
      </w:r>
    </w:p>
    <w:p w:rsidR="0055491A" w:rsidRPr="002D51EF" w:rsidRDefault="0055491A" w:rsidP="0055491A">
      <w:pPr>
        <w:autoSpaceDE w:val="0"/>
        <w:autoSpaceDN w:val="0"/>
        <w:adjustRightInd w:val="0"/>
        <w:ind w:firstLine="709"/>
        <w:jc w:val="both"/>
        <w:rPr>
          <w:b/>
          <w:sz w:val="28"/>
          <w:szCs w:val="28"/>
        </w:rPr>
      </w:pPr>
      <w:r w:rsidRPr="002D51EF">
        <w:rPr>
          <w:b/>
          <w:sz w:val="28"/>
          <w:szCs w:val="28"/>
        </w:rPr>
        <w:t xml:space="preserve"> Главный администратор доходов – Министерство природных ресурсов и экологии Тверской области.</w:t>
      </w:r>
    </w:p>
    <w:p w:rsidR="0055491A" w:rsidRDefault="0055491A" w:rsidP="0055491A">
      <w:pPr>
        <w:pStyle w:val="a7"/>
        <w:spacing w:after="0"/>
        <w:ind w:left="0" w:firstLine="709"/>
        <w:jc w:val="both"/>
        <w:rPr>
          <w:sz w:val="28"/>
          <w:szCs w:val="28"/>
        </w:rPr>
      </w:pPr>
      <w:r>
        <w:rPr>
          <w:sz w:val="28"/>
          <w:szCs w:val="28"/>
        </w:rPr>
        <w:t xml:space="preserve">В соответствии с </w:t>
      </w:r>
      <w:hyperlink r:id="rId104" w:history="1">
        <w:r w:rsidRPr="00A63638">
          <w:rPr>
            <w:color w:val="000000" w:themeColor="text1"/>
            <w:sz w:val="28"/>
            <w:szCs w:val="28"/>
          </w:rPr>
          <w:t>пунктом 4 статьи 46</w:t>
        </w:r>
      </w:hyperlink>
      <w:r>
        <w:rPr>
          <w:sz w:val="28"/>
          <w:szCs w:val="28"/>
        </w:rPr>
        <w:t xml:space="preserve"> Бюджетного Кодекса РФ в случае, если постановления о наложении административных штрафов, предусмотренных КоАП РФ, вынесены мировыми судьями, доходы от таких штрафов подлежат зачислению в равных долях (по 50 процентов) в бюджет субъекта Российской Федерации и местные бюджеты.</w:t>
      </w:r>
    </w:p>
    <w:p w:rsidR="0055491A" w:rsidRDefault="0055491A" w:rsidP="0055491A">
      <w:pPr>
        <w:autoSpaceDE w:val="0"/>
        <w:autoSpaceDN w:val="0"/>
        <w:adjustRightInd w:val="0"/>
        <w:ind w:firstLine="709"/>
        <w:jc w:val="both"/>
        <w:rPr>
          <w:sz w:val="28"/>
          <w:szCs w:val="28"/>
        </w:rPr>
      </w:pPr>
      <w:r w:rsidRPr="00524F9B">
        <w:rPr>
          <w:sz w:val="28"/>
          <w:szCs w:val="28"/>
        </w:rPr>
        <w:t>Расчет осуществля</w:t>
      </w:r>
      <w:r>
        <w:rPr>
          <w:sz w:val="28"/>
          <w:szCs w:val="28"/>
        </w:rPr>
        <w:t>ется</w:t>
      </w:r>
      <w:r w:rsidRPr="00524F9B">
        <w:rPr>
          <w:sz w:val="28"/>
          <w:szCs w:val="28"/>
        </w:rPr>
        <w:t xml:space="preserve"> методом прямого расчета на основании количества правонарушений по</w:t>
      </w:r>
      <w:r>
        <w:rPr>
          <w:sz w:val="28"/>
          <w:szCs w:val="28"/>
        </w:rPr>
        <w:t xml:space="preserve"> видам и </w:t>
      </w:r>
      <w:r w:rsidRPr="00524F9B">
        <w:rPr>
          <w:sz w:val="28"/>
          <w:szCs w:val="28"/>
        </w:rPr>
        <w:t>размерам платежа</w:t>
      </w:r>
      <w:r>
        <w:rPr>
          <w:sz w:val="28"/>
          <w:szCs w:val="28"/>
        </w:rPr>
        <w:t>.</w:t>
      </w:r>
      <w:r w:rsidRPr="00524F9B">
        <w:rPr>
          <w:sz w:val="28"/>
          <w:szCs w:val="28"/>
        </w:rPr>
        <w:t xml:space="preserve"> Прогнозное количество правонарушений</w:t>
      </w:r>
      <w:r>
        <w:rPr>
          <w:sz w:val="28"/>
          <w:szCs w:val="28"/>
        </w:rPr>
        <w:t>,</w:t>
      </w:r>
      <w:r w:rsidRPr="00524F9B">
        <w:rPr>
          <w:sz w:val="28"/>
          <w:szCs w:val="28"/>
        </w:rPr>
        <w:t xml:space="preserve"> закрепленного в законодательстве Российской Федерации, определя</w:t>
      </w:r>
      <w:r>
        <w:rPr>
          <w:sz w:val="28"/>
          <w:szCs w:val="28"/>
        </w:rPr>
        <w:t>ется</w:t>
      </w:r>
      <w:r w:rsidRPr="00524F9B">
        <w:rPr>
          <w:sz w:val="28"/>
          <w:szCs w:val="28"/>
        </w:rPr>
        <w:t xml:space="preserve"> путем вычисления среднего арифметического за последние три года. </w:t>
      </w:r>
    </w:p>
    <w:p w:rsidR="0055491A" w:rsidRDefault="0055491A" w:rsidP="0055491A">
      <w:pPr>
        <w:pStyle w:val="a7"/>
        <w:spacing w:after="0"/>
        <w:ind w:left="0" w:firstLine="709"/>
        <w:jc w:val="both"/>
        <w:rPr>
          <w:sz w:val="28"/>
          <w:szCs w:val="28"/>
        </w:rPr>
      </w:pPr>
    </w:p>
    <w:tbl>
      <w:tblPr>
        <w:tblStyle w:val="a6"/>
        <w:tblW w:w="9639" w:type="dxa"/>
        <w:tblInd w:w="-5" w:type="dxa"/>
        <w:tblLayout w:type="fixed"/>
        <w:tblLook w:val="04A0" w:firstRow="1" w:lastRow="0" w:firstColumn="1" w:lastColumn="0" w:noHBand="0" w:noVBand="1"/>
      </w:tblPr>
      <w:tblGrid>
        <w:gridCol w:w="993"/>
        <w:gridCol w:w="1134"/>
        <w:gridCol w:w="1266"/>
        <w:gridCol w:w="9"/>
        <w:gridCol w:w="1169"/>
        <w:gridCol w:w="89"/>
        <w:gridCol w:w="1152"/>
        <w:gridCol w:w="1276"/>
        <w:gridCol w:w="76"/>
        <w:gridCol w:w="1200"/>
        <w:gridCol w:w="37"/>
        <w:gridCol w:w="1238"/>
      </w:tblGrid>
      <w:tr w:rsidR="0055491A" w:rsidRPr="001139E4" w:rsidTr="00210BF6">
        <w:trPr>
          <w:trHeight w:val="255"/>
        </w:trPr>
        <w:tc>
          <w:tcPr>
            <w:tcW w:w="993" w:type="dxa"/>
            <w:vMerge w:val="restart"/>
          </w:tcPr>
          <w:p w:rsidR="0055491A" w:rsidRPr="00663722" w:rsidRDefault="0055491A" w:rsidP="00210BF6">
            <w:pPr>
              <w:pStyle w:val="a7"/>
              <w:spacing w:after="0"/>
              <w:ind w:left="0" w:firstLine="0"/>
              <w:rPr>
                <w:bCs/>
              </w:rPr>
            </w:pPr>
            <w:r w:rsidRPr="00663722">
              <w:rPr>
                <w:bCs/>
              </w:rPr>
              <w:t>Статья         КоАП РФ</w:t>
            </w:r>
          </w:p>
        </w:tc>
        <w:tc>
          <w:tcPr>
            <w:tcW w:w="1134" w:type="dxa"/>
            <w:vMerge w:val="restart"/>
            <w:hideMark/>
          </w:tcPr>
          <w:p w:rsidR="0055491A" w:rsidRPr="00663722" w:rsidRDefault="0055491A" w:rsidP="00210BF6">
            <w:pPr>
              <w:pStyle w:val="a7"/>
              <w:spacing w:after="0"/>
              <w:ind w:left="0" w:firstLine="0"/>
              <w:jc w:val="left"/>
              <w:rPr>
                <w:bCs/>
              </w:rPr>
            </w:pPr>
            <w:r w:rsidRPr="00663722">
              <w:rPr>
                <w:bCs/>
              </w:rPr>
              <w:t>Размер платежа</w:t>
            </w:r>
          </w:p>
        </w:tc>
        <w:tc>
          <w:tcPr>
            <w:tcW w:w="3685" w:type="dxa"/>
            <w:gridSpan w:val="5"/>
            <w:hideMark/>
          </w:tcPr>
          <w:p w:rsidR="0055491A" w:rsidRPr="001139E4" w:rsidRDefault="0055491A" w:rsidP="00210BF6">
            <w:pPr>
              <w:pStyle w:val="a7"/>
              <w:spacing w:after="0"/>
              <w:ind w:firstLine="0"/>
              <w:jc w:val="center"/>
              <w:rPr>
                <w:bCs/>
                <w:sz w:val="28"/>
                <w:szCs w:val="28"/>
              </w:rPr>
            </w:pPr>
            <w:r w:rsidRPr="001139E4">
              <w:rPr>
                <w:bCs/>
                <w:sz w:val="28"/>
                <w:szCs w:val="28"/>
              </w:rPr>
              <w:t xml:space="preserve"> Прогнозное количество правонарушений</w:t>
            </w:r>
            <w:r>
              <w:rPr>
                <w:bCs/>
                <w:sz w:val="28"/>
                <w:szCs w:val="28"/>
              </w:rPr>
              <w:t>, ед.</w:t>
            </w:r>
          </w:p>
        </w:tc>
        <w:tc>
          <w:tcPr>
            <w:tcW w:w="3827" w:type="dxa"/>
            <w:gridSpan w:val="5"/>
            <w:hideMark/>
          </w:tcPr>
          <w:p w:rsidR="0055491A" w:rsidRPr="001139E4" w:rsidRDefault="0055491A" w:rsidP="00210BF6">
            <w:pPr>
              <w:pStyle w:val="a7"/>
              <w:spacing w:after="0"/>
              <w:ind w:firstLine="0"/>
              <w:jc w:val="center"/>
              <w:rPr>
                <w:bCs/>
                <w:sz w:val="28"/>
                <w:szCs w:val="28"/>
              </w:rPr>
            </w:pPr>
            <w:r>
              <w:rPr>
                <w:bCs/>
                <w:sz w:val="28"/>
                <w:szCs w:val="28"/>
              </w:rPr>
              <w:t xml:space="preserve"> Сумма п</w:t>
            </w:r>
            <w:r w:rsidRPr="001139E4">
              <w:rPr>
                <w:bCs/>
                <w:sz w:val="28"/>
                <w:szCs w:val="28"/>
              </w:rPr>
              <w:t>рогноз</w:t>
            </w:r>
            <w:r>
              <w:rPr>
                <w:bCs/>
                <w:sz w:val="28"/>
                <w:szCs w:val="28"/>
              </w:rPr>
              <w:t>а тыс. руб.</w:t>
            </w:r>
          </w:p>
        </w:tc>
      </w:tr>
      <w:tr w:rsidR="0055491A" w:rsidRPr="001139E4" w:rsidTr="00210BF6">
        <w:trPr>
          <w:trHeight w:val="765"/>
        </w:trPr>
        <w:tc>
          <w:tcPr>
            <w:tcW w:w="993" w:type="dxa"/>
            <w:vMerge/>
          </w:tcPr>
          <w:p w:rsidR="0055491A" w:rsidRPr="001139E4" w:rsidRDefault="0055491A" w:rsidP="00210BF6">
            <w:pPr>
              <w:pStyle w:val="a7"/>
              <w:spacing w:after="0"/>
              <w:rPr>
                <w:b/>
                <w:bCs/>
                <w:sz w:val="28"/>
                <w:szCs w:val="28"/>
              </w:rPr>
            </w:pPr>
          </w:p>
        </w:tc>
        <w:tc>
          <w:tcPr>
            <w:tcW w:w="1134" w:type="dxa"/>
            <w:vMerge/>
            <w:hideMark/>
          </w:tcPr>
          <w:p w:rsidR="0055491A" w:rsidRPr="001139E4" w:rsidRDefault="0055491A" w:rsidP="00210BF6">
            <w:pPr>
              <w:pStyle w:val="a7"/>
              <w:spacing w:after="0"/>
              <w:rPr>
                <w:b/>
                <w:bCs/>
                <w:sz w:val="28"/>
                <w:szCs w:val="28"/>
              </w:rPr>
            </w:pPr>
          </w:p>
        </w:tc>
        <w:tc>
          <w:tcPr>
            <w:tcW w:w="1266" w:type="dxa"/>
            <w:hideMark/>
          </w:tcPr>
          <w:p w:rsidR="0055491A" w:rsidRPr="001139E4" w:rsidRDefault="0055491A" w:rsidP="00210BF6">
            <w:pPr>
              <w:pStyle w:val="a7"/>
              <w:spacing w:after="0"/>
              <w:ind w:firstLine="0"/>
              <w:jc w:val="center"/>
              <w:rPr>
                <w:bCs/>
                <w:sz w:val="28"/>
                <w:szCs w:val="28"/>
              </w:rPr>
            </w:pPr>
            <w:r>
              <w:rPr>
                <w:bCs/>
                <w:sz w:val="28"/>
                <w:szCs w:val="28"/>
              </w:rPr>
              <w:t>2022 год</w:t>
            </w:r>
          </w:p>
        </w:tc>
        <w:tc>
          <w:tcPr>
            <w:tcW w:w="1267" w:type="dxa"/>
            <w:gridSpan w:val="3"/>
            <w:hideMark/>
          </w:tcPr>
          <w:p w:rsidR="0055491A" w:rsidRPr="001139E4" w:rsidRDefault="0055491A" w:rsidP="00210BF6">
            <w:pPr>
              <w:pStyle w:val="a7"/>
              <w:spacing w:after="0"/>
              <w:ind w:firstLine="0"/>
              <w:jc w:val="center"/>
              <w:rPr>
                <w:bCs/>
                <w:sz w:val="28"/>
                <w:szCs w:val="28"/>
              </w:rPr>
            </w:pPr>
            <w:r>
              <w:rPr>
                <w:bCs/>
                <w:sz w:val="28"/>
                <w:szCs w:val="28"/>
              </w:rPr>
              <w:t>2023 год</w:t>
            </w:r>
          </w:p>
        </w:tc>
        <w:tc>
          <w:tcPr>
            <w:tcW w:w="1152" w:type="dxa"/>
            <w:hideMark/>
          </w:tcPr>
          <w:p w:rsidR="0055491A" w:rsidRPr="001139E4" w:rsidRDefault="0055491A" w:rsidP="00210BF6">
            <w:pPr>
              <w:pStyle w:val="a7"/>
              <w:spacing w:after="0"/>
              <w:ind w:firstLine="0"/>
              <w:jc w:val="center"/>
              <w:rPr>
                <w:bCs/>
                <w:sz w:val="28"/>
                <w:szCs w:val="28"/>
              </w:rPr>
            </w:pPr>
            <w:r>
              <w:rPr>
                <w:bCs/>
                <w:sz w:val="28"/>
                <w:szCs w:val="28"/>
              </w:rPr>
              <w:t>2024 год</w:t>
            </w:r>
          </w:p>
        </w:tc>
        <w:tc>
          <w:tcPr>
            <w:tcW w:w="1352" w:type="dxa"/>
            <w:gridSpan w:val="2"/>
            <w:noWrap/>
            <w:hideMark/>
          </w:tcPr>
          <w:p w:rsidR="0055491A" w:rsidRPr="001139E4" w:rsidRDefault="0055491A" w:rsidP="00210BF6">
            <w:pPr>
              <w:pStyle w:val="a7"/>
              <w:spacing w:after="0"/>
              <w:ind w:firstLine="0"/>
              <w:jc w:val="center"/>
              <w:rPr>
                <w:bCs/>
                <w:sz w:val="28"/>
                <w:szCs w:val="28"/>
              </w:rPr>
            </w:pPr>
            <w:r w:rsidRPr="001139E4">
              <w:rPr>
                <w:bCs/>
                <w:sz w:val="28"/>
                <w:szCs w:val="28"/>
              </w:rPr>
              <w:t>20</w:t>
            </w:r>
            <w:r>
              <w:rPr>
                <w:bCs/>
                <w:sz w:val="28"/>
                <w:szCs w:val="28"/>
              </w:rPr>
              <w:t>22</w:t>
            </w:r>
            <w:r w:rsidRPr="001139E4">
              <w:rPr>
                <w:bCs/>
                <w:sz w:val="28"/>
                <w:szCs w:val="28"/>
              </w:rPr>
              <w:t xml:space="preserve"> год</w:t>
            </w:r>
          </w:p>
        </w:tc>
        <w:tc>
          <w:tcPr>
            <w:tcW w:w="1237" w:type="dxa"/>
            <w:gridSpan w:val="2"/>
            <w:noWrap/>
            <w:hideMark/>
          </w:tcPr>
          <w:p w:rsidR="0055491A" w:rsidRPr="001139E4" w:rsidRDefault="0055491A" w:rsidP="00210BF6">
            <w:pPr>
              <w:pStyle w:val="a7"/>
              <w:spacing w:after="0"/>
              <w:ind w:firstLine="0"/>
              <w:jc w:val="center"/>
              <w:rPr>
                <w:bCs/>
                <w:sz w:val="28"/>
                <w:szCs w:val="28"/>
              </w:rPr>
            </w:pPr>
            <w:r w:rsidRPr="001139E4">
              <w:rPr>
                <w:bCs/>
                <w:sz w:val="28"/>
                <w:szCs w:val="28"/>
              </w:rPr>
              <w:t>202</w:t>
            </w:r>
            <w:r>
              <w:rPr>
                <w:bCs/>
                <w:sz w:val="28"/>
                <w:szCs w:val="28"/>
              </w:rPr>
              <w:t>3</w:t>
            </w:r>
            <w:r w:rsidRPr="001139E4">
              <w:rPr>
                <w:bCs/>
                <w:sz w:val="28"/>
                <w:szCs w:val="28"/>
              </w:rPr>
              <w:t xml:space="preserve"> год</w:t>
            </w:r>
          </w:p>
        </w:tc>
        <w:tc>
          <w:tcPr>
            <w:tcW w:w="1238" w:type="dxa"/>
            <w:noWrap/>
            <w:hideMark/>
          </w:tcPr>
          <w:p w:rsidR="0055491A" w:rsidRPr="001139E4" w:rsidRDefault="0055491A" w:rsidP="00210BF6">
            <w:pPr>
              <w:pStyle w:val="a7"/>
              <w:spacing w:after="0"/>
              <w:ind w:firstLine="0"/>
              <w:jc w:val="center"/>
              <w:rPr>
                <w:bCs/>
                <w:sz w:val="28"/>
                <w:szCs w:val="28"/>
              </w:rPr>
            </w:pPr>
            <w:r w:rsidRPr="001139E4">
              <w:rPr>
                <w:bCs/>
                <w:sz w:val="28"/>
                <w:szCs w:val="28"/>
              </w:rPr>
              <w:t>202</w:t>
            </w:r>
            <w:r>
              <w:rPr>
                <w:bCs/>
                <w:sz w:val="28"/>
                <w:szCs w:val="28"/>
              </w:rPr>
              <w:t xml:space="preserve">4 </w:t>
            </w:r>
            <w:r w:rsidRPr="001139E4">
              <w:rPr>
                <w:bCs/>
                <w:sz w:val="28"/>
                <w:szCs w:val="28"/>
              </w:rPr>
              <w:t>год</w:t>
            </w:r>
          </w:p>
        </w:tc>
      </w:tr>
      <w:tr w:rsidR="0055491A" w:rsidRPr="001139E4" w:rsidTr="00210BF6">
        <w:trPr>
          <w:trHeight w:val="255"/>
        </w:trPr>
        <w:tc>
          <w:tcPr>
            <w:tcW w:w="993" w:type="dxa"/>
            <w:vMerge w:val="restart"/>
          </w:tcPr>
          <w:p w:rsidR="0055491A" w:rsidRPr="001139E4" w:rsidRDefault="0055491A" w:rsidP="00210BF6">
            <w:pPr>
              <w:pStyle w:val="a7"/>
              <w:spacing w:after="0"/>
              <w:ind w:left="0" w:firstLine="0"/>
              <w:rPr>
                <w:sz w:val="28"/>
                <w:szCs w:val="28"/>
              </w:rPr>
            </w:pPr>
            <w:r>
              <w:rPr>
                <w:sz w:val="28"/>
                <w:szCs w:val="28"/>
              </w:rPr>
              <w:t xml:space="preserve">Ст. 19.5 </w:t>
            </w:r>
          </w:p>
        </w:tc>
        <w:tc>
          <w:tcPr>
            <w:tcW w:w="1134" w:type="dxa"/>
            <w:hideMark/>
          </w:tcPr>
          <w:p w:rsidR="0055491A" w:rsidRPr="001139E4" w:rsidRDefault="0055491A" w:rsidP="00210BF6">
            <w:pPr>
              <w:pStyle w:val="a7"/>
              <w:spacing w:after="0"/>
              <w:ind w:left="0" w:firstLine="0"/>
              <w:rPr>
                <w:sz w:val="28"/>
                <w:szCs w:val="28"/>
              </w:rPr>
            </w:pPr>
            <w:r w:rsidRPr="001139E4">
              <w:rPr>
                <w:sz w:val="28"/>
                <w:szCs w:val="28"/>
              </w:rPr>
              <w:t>0,3</w:t>
            </w:r>
          </w:p>
        </w:tc>
        <w:tc>
          <w:tcPr>
            <w:tcW w:w="1266" w:type="dxa"/>
            <w:noWrap/>
            <w:vAlign w:val="center"/>
            <w:hideMark/>
          </w:tcPr>
          <w:p w:rsidR="0055491A" w:rsidRPr="002876C0" w:rsidRDefault="0055491A" w:rsidP="00210BF6">
            <w:pPr>
              <w:pStyle w:val="a7"/>
              <w:spacing w:after="0"/>
              <w:ind w:firstLine="0"/>
              <w:jc w:val="center"/>
              <w:rPr>
                <w:sz w:val="28"/>
                <w:szCs w:val="28"/>
              </w:rPr>
            </w:pPr>
            <w:r w:rsidRPr="002876C0">
              <w:rPr>
                <w:sz w:val="28"/>
                <w:szCs w:val="28"/>
              </w:rPr>
              <w:t>7</w:t>
            </w:r>
          </w:p>
        </w:tc>
        <w:tc>
          <w:tcPr>
            <w:tcW w:w="1267" w:type="dxa"/>
            <w:gridSpan w:val="3"/>
            <w:noWrap/>
            <w:vAlign w:val="center"/>
            <w:hideMark/>
          </w:tcPr>
          <w:p w:rsidR="0055491A" w:rsidRPr="002876C0" w:rsidRDefault="0055491A" w:rsidP="00210BF6">
            <w:pPr>
              <w:ind w:firstLine="0"/>
              <w:jc w:val="center"/>
              <w:rPr>
                <w:sz w:val="28"/>
                <w:szCs w:val="28"/>
              </w:rPr>
            </w:pPr>
            <w:r w:rsidRPr="002876C0">
              <w:rPr>
                <w:sz w:val="28"/>
                <w:szCs w:val="28"/>
              </w:rPr>
              <w:t>6</w:t>
            </w:r>
          </w:p>
        </w:tc>
        <w:tc>
          <w:tcPr>
            <w:tcW w:w="1152" w:type="dxa"/>
            <w:noWrap/>
            <w:vAlign w:val="center"/>
            <w:hideMark/>
          </w:tcPr>
          <w:p w:rsidR="0055491A" w:rsidRPr="002876C0" w:rsidRDefault="0055491A" w:rsidP="00210BF6">
            <w:pPr>
              <w:ind w:firstLine="0"/>
              <w:jc w:val="center"/>
              <w:rPr>
                <w:sz w:val="28"/>
                <w:szCs w:val="28"/>
              </w:rPr>
            </w:pPr>
            <w:r w:rsidRPr="002876C0">
              <w:rPr>
                <w:sz w:val="28"/>
                <w:szCs w:val="28"/>
              </w:rPr>
              <w:t>7</w:t>
            </w:r>
          </w:p>
        </w:tc>
        <w:tc>
          <w:tcPr>
            <w:tcW w:w="1352" w:type="dxa"/>
            <w:gridSpan w:val="2"/>
            <w:hideMark/>
          </w:tcPr>
          <w:p w:rsidR="0055491A" w:rsidRPr="001139E4" w:rsidRDefault="0055491A" w:rsidP="00210BF6">
            <w:pPr>
              <w:pStyle w:val="a7"/>
              <w:spacing w:after="0"/>
              <w:ind w:firstLine="0"/>
              <w:jc w:val="center"/>
              <w:rPr>
                <w:sz w:val="28"/>
                <w:szCs w:val="28"/>
              </w:rPr>
            </w:pPr>
            <w:r>
              <w:rPr>
                <w:sz w:val="28"/>
                <w:szCs w:val="28"/>
              </w:rPr>
              <w:t>2,1</w:t>
            </w:r>
          </w:p>
        </w:tc>
        <w:tc>
          <w:tcPr>
            <w:tcW w:w="1237" w:type="dxa"/>
            <w:gridSpan w:val="2"/>
            <w:hideMark/>
          </w:tcPr>
          <w:p w:rsidR="0055491A" w:rsidRPr="001139E4" w:rsidRDefault="0055491A" w:rsidP="00210BF6">
            <w:pPr>
              <w:pStyle w:val="a7"/>
              <w:spacing w:after="0"/>
              <w:ind w:firstLine="0"/>
              <w:jc w:val="center"/>
              <w:rPr>
                <w:sz w:val="28"/>
                <w:szCs w:val="28"/>
              </w:rPr>
            </w:pPr>
            <w:r>
              <w:rPr>
                <w:sz w:val="28"/>
                <w:szCs w:val="28"/>
              </w:rPr>
              <w:t>1,8</w:t>
            </w:r>
          </w:p>
        </w:tc>
        <w:tc>
          <w:tcPr>
            <w:tcW w:w="1238" w:type="dxa"/>
            <w:hideMark/>
          </w:tcPr>
          <w:p w:rsidR="0055491A" w:rsidRPr="001139E4" w:rsidRDefault="0055491A" w:rsidP="00210BF6">
            <w:pPr>
              <w:pStyle w:val="a7"/>
              <w:spacing w:after="0"/>
              <w:ind w:firstLine="0"/>
              <w:jc w:val="center"/>
              <w:rPr>
                <w:sz w:val="28"/>
                <w:szCs w:val="28"/>
              </w:rPr>
            </w:pPr>
            <w:r>
              <w:rPr>
                <w:sz w:val="28"/>
                <w:szCs w:val="28"/>
              </w:rPr>
              <w:t>2,1</w:t>
            </w:r>
          </w:p>
        </w:tc>
      </w:tr>
      <w:tr w:rsidR="0055491A" w:rsidRPr="001139E4" w:rsidTr="00210BF6">
        <w:trPr>
          <w:trHeight w:val="255"/>
        </w:trPr>
        <w:tc>
          <w:tcPr>
            <w:tcW w:w="993" w:type="dxa"/>
            <w:vMerge/>
          </w:tcPr>
          <w:p w:rsidR="0055491A" w:rsidRPr="001139E4" w:rsidRDefault="0055491A" w:rsidP="00210BF6">
            <w:pPr>
              <w:pStyle w:val="a7"/>
              <w:spacing w:after="0"/>
              <w:ind w:left="0"/>
              <w:rPr>
                <w:sz w:val="28"/>
                <w:szCs w:val="28"/>
              </w:rPr>
            </w:pPr>
          </w:p>
        </w:tc>
        <w:tc>
          <w:tcPr>
            <w:tcW w:w="1134" w:type="dxa"/>
            <w:noWrap/>
            <w:hideMark/>
          </w:tcPr>
          <w:p w:rsidR="0055491A" w:rsidRPr="001139E4" w:rsidRDefault="0055491A" w:rsidP="00555316">
            <w:pPr>
              <w:pStyle w:val="a7"/>
              <w:spacing w:after="0"/>
              <w:ind w:left="0" w:firstLine="0"/>
              <w:rPr>
                <w:sz w:val="28"/>
                <w:szCs w:val="28"/>
              </w:rPr>
            </w:pPr>
            <w:r w:rsidRPr="001139E4">
              <w:rPr>
                <w:sz w:val="28"/>
                <w:szCs w:val="28"/>
              </w:rPr>
              <w:t>0,</w:t>
            </w:r>
            <w:r w:rsidR="00076341">
              <w:rPr>
                <w:sz w:val="28"/>
                <w:szCs w:val="28"/>
              </w:rPr>
              <w:t>5</w:t>
            </w:r>
          </w:p>
        </w:tc>
        <w:tc>
          <w:tcPr>
            <w:tcW w:w="1266" w:type="dxa"/>
            <w:noWrap/>
            <w:vAlign w:val="center"/>
            <w:hideMark/>
          </w:tcPr>
          <w:p w:rsidR="0055491A" w:rsidRPr="002876C0" w:rsidRDefault="0055491A" w:rsidP="00210BF6">
            <w:pPr>
              <w:pStyle w:val="a7"/>
              <w:spacing w:after="0"/>
              <w:ind w:firstLine="0"/>
              <w:jc w:val="center"/>
              <w:rPr>
                <w:sz w:val="28"/>
                <w:szCs w:val="28"/>
              </w:rPr>
            </w:pPr>
            <w:r w:rsidRPr="002876C0">
              <w:rPr>
                <w:sz w:val="28"/>
                <w:szCs w:val="28"/>
              </w:rPr>
              <w:t>1</w:t>
            </w:r>
          </w:p>
        </w:tc>
        <w:tc>
          <w:tcPr>
            <w:tcW w:w="1267" w:type="dxa"/>
            <w:gridSpan w:val="3"/>
            <w:noWrap/>
            <w:vAlign w:val="center"/>
            <w:hideMark/>
          </w:tcPr>
          <w:p w:rsidR="0055491A" w:rsidRPr="002876C0" w:rsidRDefault="0055491A" w:rsidP="00210BF6">
            <w:pPr>
              <w:pStyle w:val="a7"/>
              <w:spacing w:after="0"/>
              <w:ind w:firstLine="0"/>
              <w:jc w:val="center"/>
              <w:rPr>
                <w:sz w:val="28"/>
                <w:szCs w:val="28"/>
              </w:rPr>
            </w:pPr>
            <w:r w:rsidRPr="002876C0">
              <w:rPr>
                <w:sz w:val="28"/>
                <w:szCs w:val="28"/>
              </w:rPr>
              <w:t>1</w:t>
            </w:r>
          </w:p>
        </w:tc>
        <w:tc>
          <w:tcPr>
            <w:tcW w:w="1152" w:type="dxa"/>
            <w:noWrap/>
            <w:vAlign w:val="center"/>
            <w:hideMark/>
          </w:tcPr>
          <w:p w:rsidR="0055491A" w:rsidRPr="002876C0" w:rsidRDefault="0055491A" w:rsidP="00210BF6">
            <w:pPr>
              <w:pStyle w:val="a7"/>
              <w:spacing w:after="0"/>
              <w:ind w:firstLine="0"/>
              <w:jc w:val="center"/>
              <w:rPr>
                <w:sz w:val="28"/>
                <w:szCs w:val="28"/>
              </w:rPr>
            </w:pPr>
            <w:r w:rsidRPr="002876C0">
              <w:rPr>
                <w:sz w:val="28"/>
                <w:szCs w:val="28"/>
              </w:rPr>
              <w:t>1</w:t>
            </w:r>
          </w:p>
        </w:tc>
        <w:tc>
          <w:tcPr>
            <w:tcW w:w="1352" w:type="dxa"/>
            <w:gridSpan w:val="2"/>
            <w:hideMark/>
          </w:tcPr>
          <w:p w:rsidR="0055491A" w:rsidRPr="001139E4" w:rsidRDefault="0055491A" w:rsidP="00555316">
            <w:pPr>
              <w:pStyle w:val="a7"/>
              <w:spacing w:after="0"/>
              <w:ind w:firstLine="0"/>
              <w:jc w:val="center"/>
              <w:rPr>
                <w:sz w:val="28"/>
                <w:szCs w:val="28"/>
              </w:rPr>
            </w:pPr>
            <w:r w:rsidRPr="001139E4">
              <w:rPr>
                <w:sz w:val="28"/>
                <w:szCs w:val="28"/>
              </w:rPr>
              <w:t>0,</w:t>
            </w:r>
            <w:r w:rsidR="00555316">
              <w:rPr>
                <w:sz w:val="28"/>
                <w:szCs w:val="28"/>
              </w:rPr>
              <w:t>5</w:t>
            </w:r>
          </w:p>
        </w:tc>
        <w:tc>
          <w:tcPr>
            <w:tcW w:w="1237" w:type="dxa"/>
            <w:gridSpan w:val="2"/>
            <w:hideMark/>
          </w:tcPr>
          <w:p w:rsidR="0055491A" w:rsidRPr="001139E4" w:rsidRDefault="0055491A" w:rsidP="00076341">
            <w:pPr>
              <w:pStyle w:val="a7"/>
              <w:spacing w:after="0"/>
              <w:ind w:firstLine="0"/>
              <w:jc w:val="center"/>
              <w:rPr>
                <w:sz w:val="28"/>
                <w:szCs w:val="28"/>
              </w:rPr>
            </w:pPr>
            <w:r w:rsidRPr="001139E4">
              <w:rPr>
                <w:sz w:val="28"/>
                <w:szCs w:val="28"/>
              </w:rPr>
              <w:t>0,</w:t>
            </w:r>
            <w:r w:rsidR="00076341">
              <w:rPr>
                <w:sz w:val="28"/>
                <w:szCs w:val="28"/>
              </w:rPr>
              <w:t>5</w:t>
            </w:r>
          </w:p>
        </w:tc>
        <w:tc>
          <w:tcPr>
            <w:tcW w:w="1238" w:type="dxa"/>
            <w:hideMark/>
          </w:tcPr>
          <w:p w:rsidR="0055491A" w:rsidRPr="001139E4" w:rsidRDefault="0055491A" w:rsidP="00076341">
            <w:pPr>
              <w:pStyle w:val="a7"/>
              <w:spacing w:after="0"/>
              <w:ind w:firstLine="0"/>
              <w:jc w:val="center"/>
              <w:rPr>
                <w:sz w:val="28"/>
                <w:szCs w:val="28"/>
              </w:rPr>
            </w:pPr>
            <w:r w:rsidRPr="001139E4">
              <w:rPr>
                <w:sz w:val="28"/>
                <w:szCs w:val="28"/>
              </w:rPr>
              <w:t>0,</w:t>
            </w:r>
            <w:r w:rsidR="00076341">
              <w:rPr>
                <w:sz w:val="28"/>
                <w:szCs w:val="28"/>
              </w:rPr>
              <w:t>5</w:t>
            </w:r>
          </w:p>
        </w:tc>
      </w:tr>
      <w:tr w:rsidR="0055491A" w:rsidRPr="001139E4" w:rsidTr="00210BF6">
        <w:trPr>
          <w:trHeight w:val="255"/>
        </w:trPr>
        <w:tc>
          <w:tcPr>
            <w:tcW w:w="993" w:type="dxa"/>
            <w:vMerge/>
          </w:tcPr>
          <w:p w:rsidR="0055491A" w:rsidRPr="001139E4" w:rsidRDefault="0055491A" w:rsidP="00210BF6">
            <w:pPr>
              <w:pStyle w:val="a7"/>
              <w:spacing w:after="0"/>
              <w:ind w:left="0"/>
              <w:rPr>
                <w:sz w:val="28"/>
                <w:szCs w:val="28"/>
              </w:rPr>
            </w:pPr>
          </w:p>
        </w:tc>
        <w:tc>
          <w:tcPr>
            <w:tcW w:w="1134" w:type="dxa"/>
            <w:noWrap/>
            <w:hideMark/>
          </w:tcPr>
          <w:p w:rsidR="0055491A" w:rsidRPr="001139E4" w:rsidRDefault="00555316" w:rsidP="00210BF6">
            <w:pPr>
              <w:pStyle w:val="a7"/>
              <w:spacing w:after="0"/>
              <w:ind w:left="0" w:firstLine="0"/>
              <w:rPr>
                <w:sz w:val="28"/>
                <w:szCs w:val="28"/>
              </w:rPr>
            </w:pPr>
            <w:r>
              <w:rPr>
                <w:sz w:val="28"/>
                <w:szCs w:val="28"/>
              </w:rPr>
              <w:t>0</w:t>
            </w:r>
            <w:r w:rsidR="0055491A" w:rsidRPr="001139E4">
              <w:rPr>
                <w:sz w:val="28"/>
                <w:szCs w:val="28"/>
              </w:rPr>
              <w:t>,0</w:t>
            </w:r>
          </w:p>
        </w:tc>
        <w:tc>
          <w:tcPr>
            <w:tcW w:w="1266" w:type="dxa"/>
            <w:noWrap/>
            <w:hideMark/>
          </w:tcPr>
          <w:p w:rsidR="0055491A" w:rsidRPr="001139E4" w:rsidRDefault="0055491A" w:rsidP="00210BF6">
            <w:pPr>
              <w:pStyle w:val="a7"/>
              <w:spacing w:after="0"/>
              <w:ind w:firstLine="0"/>
              <w:jc w:val="center"/>
              <w:rPr>
                <w:sz w:val="28"/>
                <w:szCs w:val="28"/>
              </w:rPr>
            </w:pPr>
            <w:r>
              <w:rPr>
                <w:sz w:val="28"/>
                <w:szCs w:val="28"/>
              </w:rPr>
              <w:t>0</w:t>
            </w:r>
          </w:p>
        </w:tc>
        <w:tc>
          <w:tcPr>
            <w:tcW w:w="1267" w:type="dxa"/>
            <w:gridSpan w:val="3"/>
            <w:noWrap/>
            <w:hideMark/>
          </w:tcPr>
          <w:p w:rsidR="0055491A" w:rsidRPr="001139E4" w:rsidRDefault="0055491A" w:rsidP="00210BF6">
            <w:pPr>
              <w:pStyle w:val="a7"/>
              <w:spacing w:after="0"/>
              <w:ind w:firstLine="0"/>
              <w:jc w:val="center"/>
              <w:rPr>
                <w:sz w:val="28"/>
                <w:szCs w:val="28"/>
              </w:rPr>
            </w:pPr>
            <w:r>
              <w:rPr>
                <w:sz w:val="28"/>
                <w:szCs w:val="28"/>
              </w:rPr>
              <w:t>0</w:t>
            </w:r>
          </w:p>
        </w:tc>
        <w:tc>
          <w:tcPr>
            <w:tcW w:w="1152" w:type="dxa"/>
            <w:noWrap/>
            <w:hideMark/>
          </w:tcPr>
          <w:p w:rsidR="0055491A" w:rsidRPr="001139E4" w:rsidRDefault="0055491A" w:rsidP="00210BF6">
            <w:pPr>
              <w:pStyle w:val="a7"/>
              <w:spacing w:after="0"/>
              <w:ind w:firstLine="0"/>
              <w:jc w:val="center"/>
              <w:rPr>
                <w:sz w:val="28"/>
                <w:szCs w:val="28"/>
              </w:rPr>
            </w:pPr>
            <w:r>
              <w:rPr>
                <w:sz w:val="28"/>
                <w:szCs w:val="28"/>
              </w:rPr>
              <w:t>0</w:t>
            </w:r>
          </w:p>
        </w:tc>
        <w:tc>
          <w:tcPr>
            <w:tcW w:w="1352" w:type="dxa"/>
            <w:gridSpan w:val="2"/>
            <w:hideMark/>
          </w:tcPr>
          <w:p w:rsidR="0055491A" w:rsidRPr="001139E4" w:rsidRDefault="0055491A" w:rsidP="00555316">
            <w:pPr>
              <w:pStyle w:val="a7"/>
              <w:spacing w:after="0"/>
              <w:ind w:firstLine="0"/>
              <w:jc w:val="center"/>
              <w:rPr>
                <w:sz w:val="28"/>
                <w:szCs w:val="28"/>
              </w:rPr>
            </w:pPr>
            <w:r>
              <w:rPr>
                <w:sz w:val="28"/>
                <w:szCs w:val="28"/>
              </w:rPr>
              <w:t>0</w:t>
            </w:r>
            <w:r w:rsidRPr="001139E4">
              <w:rPr>
                <w:sz w:val="28"/>
                <w:szCs w:val="28"/>
              </w:rPr>
              <w:t>,</w:t>
            </w:r>
            <w:r w:rsidR="00555316">
              <w:rPr>
                <w:sz w:val="28"/>
                <w:szCs w:val="28"/>
              </w:rPr>
              <w:t>4</w:t>
            </w:r>
          </w:p>
        </w:tc>
        <w:tc>
          <w:tcPr>
            <w:tcW w:w="1237" w:type="dxa"/>
            <w:gridSpan w:val="2"/>
            <w:hideMark/>
          </w:tcPr>
          <w:p w:rsidR="0055491A" w:rsidRPr="001139E4" w:rsidRDefault="0055491A" w:rsidP="00E57394">
            <w:pPr>
              <w:pStyle w:val="a7"/>
              <w:spacing w:after="0"/>
              <w:ind w:firstLine="0"/>
              <w:jc w:val="center"/>
              <w:rPr>
                <w:sz w:val="28"/>
                <w:szCs w:val="28"/>
              </w:rPr>
            </w:pPr>
            <w:r>
              <w:rPr>
                <w:sz w:val="28"/>
                <w:szCs w:val="28"/>
              </w:rPr>
              <w:t>0</w:t>
            </w:r>
            <w:r w:rsidRPr="001139E4">
              <w:rPr>
                <w:sz w:val="28"/>
                <w:szCs w:val="28"/>
              </w:rPr>
              <w:t>,</w:t>
            </w:r>
            <w:r w:rsidR="00E57394">
              <w:rPr>
                <w:sz w:val="28"/>
                <w:szCs w:val="28"/>
              </w:rPr>
              <w:t>1</w:t>
            </w:r>
          </w:p>
        </w:tc>
        <w:tc>
          <w:tcPr>
            <w:tcW w:w="1238" w:type="dxa"/>
            <w:hideMark/>
          </w:tcPr>
          <w:p w:rsidR="0055491A" w:rsidRPr="001139E4" w:rsidRDefault="0055491A" w:rsidP="00210BF6">
            <w:pPr>
              <w:pStyle w:val="a7"/>
              <w:spacing w:after="0"/>
              <w:ind w:firstLine="0"/>
              <w:jc w:val="center"/>
              <w:rPr>
                <w:sz w:val="28"/>
                <w:szCs w:val="28"/>
              </w:rPr>
            </w:pPr>
            <w:r>
              <w:rPr>
                <w:sz w:val="28"/>
                <w:szCs w:val="28"/>
              </w:rPr>
              <w:t>0</w:t>
            </w:r>
            <w:r w:rsidRPr="001139E4">
              <w:rPr>
                <w:sz w:val="28"/>
                <w:szCs w:val="28"/>
              </w:rPr>
              <w:t>,0</w:t>
            </w:r>
          </w:p>
        </w:tc>
      </w:tr>
      <w:tr w:rsidR="0055491A" w:rsidRPr="001139E4" w:rsidTr="00210BF6">
        <w:trPr>
          <w:trHeight w:val="255"/>
        </w:trPr>
        <w:tc>
          <w:tcPr>
            <w:tcW w:w="993" w:type="dxa"/>
            <w:vMerge/>
          </w:tcPr>
          <w:p w:rsidR="0055491A" w:rsidRPr="001139E4" w:rsidRDefault="0055491A" w:rsidP="00210BF6">
            <w:pPr>
              <w:pStyle w:val="a7"/>
              <w:spacing w:after="0"/>
              <w:ind w:left="0"/>
              <w:rPr>
                <w:sz w:val="28"/>
                <w:szCs w:val="28"/>
              </w:rPr>
            </w:pPr>
          </w:p>
        </w:tc>
        <w:tc>
          <w:tcPr>
            <w:tcW w:w="1134" w:type="dxa"/>
            <w:noWrap/>
            <w:hideMark/>
          </w:tcPr>
          <w:p w:rsidR="0055491A" w:rsidRPr="001139E4" w:rsidRDefault="0055491A" w:rsidP="00210BF6">
            <w:pPr>
              <w:pStyle w:val="a7"/>
              <w:spacing w:after="0"/>
              <w:ind w:left="0" w:firstLine="0"/>
              <w:rPr>
                <w:sz w:val="28"/>
                <w:szCs w:val="28"/>
              </w:rPr>
            </w:pPr>
            <w:r w:rsidRPr="001139E4">
              <w:rPr>
                <w:sz w:val="28"/>
                <w:szCs w:val="28"/>
              </w:rPr>
              <w:t>10,0</w:t>
            </w:r>
          </w:p>
        </w:tc>
        <w:tc>
          <w:tcPr>
            <w:tcW w:w="1266" w:type="dxa"/>
            <w:noWrap/>
            <w:hideMark/>
          </w:tcPr>
          <w:p w:rsidR="0055491A" w:rsidRPr="001139E4" w:rsidRDefault="0055491A" w:rsidP="00210BF6">
            <w:pPr>
              <w:pStyle w:val="a7"/>
              <w:spacing w:after="0"/>
              <w:ind w:firstLine="0"/>
              <w:jc w:val="center"/>
              <w:rPr>
                <w:sz w:val="28"/>
                <w:szCs w:val="28"/>
              </w:rPr>
            </w:pPr>
            <w:r w:rsidRPr="001139E4">
              <w:rPr>
                <w:sz w:val="28"/>
                <w:szCs w:val="28"/>
              </w:rPr>
              <w:t>3</w:t>
            </w:r>
          </w:p>
        </w:tc>
        <w:tc>
          <w:tcPr>
            <w:tcW w:w="1267" w:type="dxa"/>
            <w:gridSpan w:val="3"/>
            <w:noWrap/>
            <w:hideMark/>
          </w:tcPr>
          <w:p w:rsidR="0055491A" w:rsidRPr="001139E4" w:rsidRDefault="0055491A" w:rsidP="00210BF6">
            <w:pPr>
              <w:pStyle w:val="a7"/>
              <w:spacing w:after="0"/>
              <w:ind w:firstLine="0"/>
              <w:jc w:val="center"/>
              <w:rPr>
                <w:sz w:val="28"/>
                <w:szCs w:val="28"/>
              </w:rPr>
            </w:pPr>
            <w:r>
              <w:rPr>
                <w:sz w:val="28"/>
                <w:szCs w:val="28"/>
              </w:rPr>
              <w:t>4</w:t>
            </w:r>
          </w:p>
        </w:tc>
        <w:tc>
          <w:tcPr>
            <w:tcW w:w="1152" w:type="dxa"/>
            <w:noWrap/>
            <w:hideMark/>
          </w:tcPr>
          <w:p w:rsidR="0055491A" w:rsidRPr="001139E4" w:rsidRDefault="0055491A" w:rsidP="00210BF6">
            <w:pPr>
              <w:pStyle w:val="a7"/>
              <w:spacing w:after="0"/>
              <w:ind w:firstLine="0"/>
              <w:jc w:val="center"/>
              <w:rPr>
                <w:sz w:val="28"/>
                <w:szCs w:val="28"/>
              </w:rPr>
            </w:pPr>
            <w:r w:rsidRPr="001139E4">
              <w:rPr>
                <w:sz w:val="28"/>
                <w:szCs w:val="28"/>
              </w:rPr>
              <w:t>3</w:t>
            </w:r>
          </w:p>
        </w:tc>
        <w:tc>
          <w:tcPr>
            <w:tcW w:w="1352" w:type="dxa"/>
            <w:gridSpan w:val="2"/>
            <w:hideMark/>
          </w:tcPr>
          <w:p w:rsidR="0055491A" w:rsidRPr="001139E4" w:rsidRDefault="0055491A" w:rsidP="00210BF6">
            <w:pPr>
              <w:pStyle w:val="a7"/>
              <w:spacing w:after="0"/>
              <w:ind w:firstLine="0"/>
              <w:jc w:val="center"/>
              <w:rPr>
                <w:sz w:val="28"/>
                <w:szCs w:val="28"/>
              </w:rPr>
            </w:pPr>
            <w:r w:rsidRPr="001139E4">
              <w:rPr>
                <w:sz w:val="28"/>
                <w:szCs w:val="28"/>
              </w:rPr>
              <w:t>30,0</w:t>
            </w:r>
          </w:p>
        </w:tc>
        <w:tc>
          <w:tcPr>
            <w:tcW w:w="1237" w:type="dxa"/>
            <w:gridSpan w:val="2"/>
            <w:hideMark/>
          </w:tcPr>
          <w:p w:rsidR="0055491A" w:rsidRPr="001139E4" w:rsidRDefault="0055491A" w:rsidP="00210BF6">
            <w:pPr>
              <w:pStyle w:val="a7"/>
              <w:spacing w:after="0"/>
              <w:ind w:firstLine="0"/>
              <w:jc w:val="center"/>
              <w:rPr>
                <w:sz w:val="28"/>
                <w:szCs w:val="28"/>
              </w:rPr>
            </w:pPr>
            <w:r>
              <w:rPr>
                <w:sz w:val="28"/>
                <w:szCs w:val="28"/>
              </w:rPr>
              <w:t>4</w:t>
            </w:r>
            <w:r w:rsidRPr="001139E4">
              <w:rPr>
                <w:sz w:val="28"/>
                <w:szCs w:val="28"/>
              </w:rPr>
              <w:t>0,0</w:t>
            </w:r>
          </w:p>
        </w:tc>
        <w:tc>
          <w:tcPr>
            <w:tcW w:w="1238" w:type="dxa"/>
            <w:hideMark/>
          </w:tcPr>
          <w:p w:rsidR="0055491A" w:rsidRPr="001139E4" w:rsidRDefault="0055491A" w:rsidP="00210BF6">
            <w:pPr>
              <w:pStyle w:val="a7"/>
              <w:spacing w:after="0"/>
              <w:ind w:firstLine="0"/>
              <w:jc w:val="center"/>
              <w:rPr>
                <w:sz w:val="28"/>
                <w:szCs w:val="28"/>
              </w:rPr>
            </w:pPr>
            <w:r w:rsidRPr="001139E4">
              <w:rPr>
                <w:sz w:val="28"/>
                <w:szCs w:val="28"/>
              </w:rPr>
              <w:t>30,0</w:t>
            </w:r>
          </w:p>
        </w:tc>
      </w:tr>
      <w:tr w:rsidR="0055491A" w:rsidRPr="001139E4" w:rsidTr="00210BF6">
        <w:trPr>
          <w:trHeight w:val="255"/>
        </w:trPr>
        <w:tc>
          <w:tcPr>
            <w:tcW w:w="5812" w:type="dxa"/>
            <w:gridSpan w:val="7"/>
          </w:tcPr>
          <w:p w:rsidR="0055491A" w:rsidRPr="001139E4" w:rsidRDefault="0055491A" w:rsidP="00210BF6">
            <w:pPr>
              <w:pStyle w:val="a7"/>
              <w:spacing w:after="0"/>
              <w:jc w:val="left"/>
              <w:rPr>
                <w:sz w:val="28"/>
                <w:szCs w:val="28"/>
              </w:rPr>
            </w:pPr>
            <w:r w:rsidRPr="001139E4">
              <w:rPr>
                <w:bCs/>
                <w:sz w:val="28"/>
                <w:szCs w:val="28"/>
              </w:rPr>
              <w:t>ИТОГО:</w:t>
            </w:r>
          </w:p>
        </w:tc>
        <w:tc>
          <w:tcPr>
            <w:tcW w:w="1276" w:type="dxa"/>
          </w:tcPr>
          <w:p w:rsidR="0055491A" w:rsidRPr="001139E4" w:rsidRDefault="00555316" w:rsidP="00076341">
            <w:pPr>
              <w:pStyle w:val="a7"/>
              <w:spacing w:after="0"/>
              <w:ind w:left="0" w:firstLine="0"/>
              <w:jc w:val="center"/>
              <w:rPr>
                <w:sz w:val="28"/>
                <w:szCs w:val="28"/>
              </w:rPr>
            </w:pPr>
            <w:r>
              <w:rPr>
                <w:sz w:val="28"/>
                <w:szCs w:val="28"/>
              </w:rPr>
              <w:t>33,0</w:t>
            </w:r>
          </w:p>
        </w:tc>
        <w:tc>
          <w:tcPr>
            <w:tcW w:w="1276" w:type="dxa"/>
            <w:gridSpan w:val="2"/>
          </w:tcPr>
          <w:p w:rsidR="0055491A" w:rsidRPr="001139E4" w:rsidRDefault="0055491A" w:rsidP="00555316">
            <w:pPr>
              <w:pStyle w:val="a7"/>
              <w:spacing w:after="0"/>
              <w:ind w:left="0" w:firstLine="0"/>
              <w:jc w:val="center"/>
              <w:rPr>
                <w:sz w:val="28"/>
                <w:szCs w:val="28"/>
              </w:rPr>
            </w:pPr>
            <w:r>
              <w:rPr>
                <w:sz w:val="28"/>
                <w:szCs w:val="28"/>
              </w:rPr>
              <w:t>42,</w:t>
            </w:r>
            <w:r w:rsidR="00555316">
              <w:rPr>
                <w:sz w:val="28"/>
                <w:szCs w:val="28"/>
              </w:rPr>
              <w:t>4</w:t>
            </w:r>
          </w:p>
        </w:tc>
        <w:tc>
          <w:tcPr>
            <w:tcW w:w="1275" w:type="dxa"/>
            <w:gridSpan w:val="2"/>
          </w:tcPr>
          <w:p w:rsidR="0055491A" w:rsidRPr="001139E4" w:rsidRDefault="0055491A" w:rsidP="00076341">
            <w:pPr>
              <w:pStyle w:val="a7"/>
              <w:spacing w:after="0"/>
              <w:ind w:left="0" w:firstLine="0"/>
              <w:jc w:val="center"/>
              <w:rPr>
                <w:sz w:val="28"/>
                <w:szCs w:val="28"/>
              </w:rPr>
            </w:pPr>
            <w:r>
              <w:rPr>
                <w:sz w:val="28"/>
                <w:szCs w:val="28"/>
              </w:rPr>
              <w:t>32,</w:t>
            </w:r>
            <w:r w:rsidR="00076341">
              <w:rPr>
                <w:sz w:val="28"/>
                <w:szCs w:val="28"/>
              </w:rPr>
              <w:t>6</w:t>
            </w:r>
          </w:p>
        </w:tc>
      </w:tr>
      <w:tr w:rsidR="0055491A" w:rsidRPr="001139E4" w:rsidTr="00210BF6">
        <w:trPr>
          <w:trHeight w:val="255"/>
        </w:trPr>
        <w:tc>
          <w:tcPr>
            <w:tcW w:w="5812" w:type="dxa"/>
            <w:gridSpan w:val="7"/>
          </w:tcPr>
          <w:p w:rsidR="0055491A" w:rsidRPr="001139E4" w:rsidRDefault="0055491A" w:rsidP="00210BF6">
            <w:pPr>
              <w:pStyle w:val="a7"/>
              <w:spacing w:after="0"/>
              <w:ind w:left="0" w:firstLine="0"/>
              <w:jc w:val="left"/>
              <w:rPr>
                <w:sz w:val="28"/>
                <w:szCs w:val="28"/>
              </w:rPr>
            </w:pPr>
            <w:r w:rsidRPr="001139E4">
              <w:rPr>
                <w:bCs/>
                <w:sz w:val="28"/>
                <w:szCs w:val="28"/>
              </w:rPr>
              <w:t>С учетом норматива зачислений 50 %</w:t>
            </w:r>
          </w:p>
        </w:tc>
        <w:tc>
          <w:tcPr>
            <w:tcW w:w="1276" w:type="dxa"/>
          </w:tcPr>
          <w:p w:rsidR="0055491A" w:rsidRPr="005E0D02" w:rsidRDefault="0055491A" w:rsidP="00210BF6">
            <w:pPr>
              <w:pStyle w:val="a7"/>
              <w:spacing w:after="0"/>
              <w:ind w:left="0" w:firstLine="0"/>
              <w:jc w:val="center"/>
              <w:rPr>
                <w:b/>
                <w:sz w:val="28"/>
                <w:szCs w:val="28"/>
              </w:rPr>
            </w:pPr>
            <w:r>
              <w:rPr>
                <w:b/>
                <w:sz w:val="28"/>
                <w:szCs w:val="28"/>
              </w:rPr>
              <w:t>16,</w:t>
            </w:r>
            <w:r w:rsidR="00E57394">
              <w:rPr>
                <w:b/>
                <w:sz w:val="28"/>
                <w:szCs w:val="28"/>
              </w:rPr>
              <w:t>5</w:t>
            </w:r>
          </w:p>
        </w:tc>
        <w:tc>
          <w:tcPr>
            <w:tcW w:w="1276" w:type="dxa"/>
            <w:gridSpan w:val="2"/>
          </w:tcPr>
          <w:p w:rsidR="0055491A" w:rsidRPr="005E0D02" w:rsidRDefault="0055491A" w:rsidP="00076341">
            <w:pPr>
              <w:pStyle w:val="a7"/>
              <w:spacing w:after="0"/>
              <w:ind w:left="0" w:firstLine="0"/>
              <w:jc w:val="center"/>
              <w:rPr>
                <w:b/>
                <w:sz w:val="28"/>
                <w:szCs w:val="28"/>
              </w:rPr>
            </w:pPr>
            <w:r>
              <w:rPr>
                <w:b/>
                <w:sz w:val="28"/>
                <w:szCs w:val="28"/>
              </w:rPr>
              <w:t>21,</w:t>
            </w:r>
            <w:r w:rsidR="00076341">
              <w:rPr>
                <w:b/>
                <w:sz w:val="28"/>
                <w:szCs w:val="28"/>
              </w:rPr>
              <w:t>2</w:t>
            </w:r>
          </w:p>
        </w:tc>
        <w:tc>
          <w:tcPr>
            <w:tcW w:w="1275" w:type="dxa"/>
            <w:gridSpan w:val="2"/>
          </w:tcPr>
          <w:p w:rsidR="0055491A" w:rsidRPr="005E0D02" w:rsidRDefault="0055491A" w:rsidP="00210BF6">
            <w:pPr>
              <w:pStyle w:val="a7"/>
              <w:spacing w:after="0"/>
              <w:ind w:left="0" w:firstLine="0"/>
              <w:jc w:val="center"/>
              <w:rPr>
                <w:b/>
                <w:sz w:val="28"/>
                <w:szCs w:val="28"/>
              </w:rPr>
            </w:pPr>
            <w:r>
              <w:rPr>
                <w:b/>
                <w:sz w:val="28"/>
                <w:szCs w:val="28"/>
              </w:rPr>
              <w:t>16,3</w:t>
            </w:r>
          </w:p>
        </w:tc>
      </w:tr>
      <w:tr w:rsidR="0055491A" w:rsidRPr="001139E4" w:rsidTr="00210BF6">
        <w:trPr>
          <w:trHeight w:val="255"/>
        </w:trPr>
        <w:tc>
          <w:tcPr>
            <w:tcW w:w="993" w:type="dxa"/>
          </w:tcPr>
          <w:p w:rsidR="0055491A" w:rsidRPr="001139E4" w:rsidRDefault="0055491A" w:rsidP="00210BF6">
            <w:pPr>
              <w:pStyle w:val="a7"/>
              <w:spacing w:after="0"/>
              <w:ind w:left="0" w:firstLine="0"/>
              <w:rPr>
                <w:sz w:val="28"/>
                <w:szCs w:val="28"/>
              </w:rPr>
            </w:pPr>
            <w:r>
              <w:rPr>
                <w:sz w:val="28"/>
                <w:szCs w:val="28"/>
              </w:rPr>
              <w:t>Ст. 19.6</w:t>
            </w:r>
          </w:p>
        </w:tc>
        <w:tc>
          <w:tcPr>
            <w:tcW w:w="1134" w:type="dxa"/>
            <w:hideMark/>
          </w:tcPr>
          <w:p w:rsidR="0055491A" w:rsidRPr="001139E4" w:rsidRDefault="0055491A" w:rsidP="00210BF6">
            <w:pPr>
              <w:pStyle w:val="a7"/>
              <w:spacing w:after="0"/>
              <w:ind w:left="0" w:firstLine="0"/>
              <w:rPr>
                <w:sz w:val="28"/>
                <w:szCs w:val="28"/>
              </w:rPr>
            </w:pPr>
            <w:r>
              <w:rPr>
                <w:sz w:val="28"/>
                <w:szCs w:val="28"/>
              </w:rPr>
              <w:t>4,0</w:t>
            </w:r>
          </w:p>
        </w:tc>
        <w:tc>
          <w:tcPr>
            <w:tcW w:w="1275" w:type="dxa"/>
            <w:gridSpan w:val="2"/>
            <w:noWrap/>
            <w:hideMark/>
          </w:tcPr>
          <w:p w:rsidR="0055491A" w:rsidRPr="001139E4" w:rsidRDefault="0055491A" w:rsidP="00210BF6">
            <w:pPr>
              <w:pStyle w:val="a7"/>
              <w:spacing w:after="0"/>
              <w:ind w:firstLine="0"/>
              <w:jc w:val="center"/>
              <w:rPr>
                <w:sz w:val="28"/>
                <w:szCs w:val="28"/>
              </w:rPr>
            </w:pPr>
            <w:r>
              <w:rPr>
                <w:sz w:val="28"/>
                <w:szCs w:val="28"/>
              </w:rPr>
              <w:t>1</w:t>
            </w:r>
          </w:p>
        </w:tc>
        <w:tc>
          <w:tcPr>
            <w:tcW w:w="1169" w:type="dxa"/>
            <w:noWrap/>
            <w:hideMark/>
          </w:tcPr>
          <w:p w:rsidR="0055491A" w:rsidRPr="001139E4" w:rsidRDefault="0055491A" w:rsidP="00210BF6">
            <w:pPr>
              <w:pStyle w:val="a7"/>
              <w:spacing w:after="0"/>
              <w:ind w:firstLine="0"/>
              <w:jc w:val="center"/>
              <w:rPr>
                <w:sz w:val="28"/>
                <w:szCs w:val="28"/>
              </w:rPr>
            </w:pPr>
            <w:r>
              <w:rPr>
                <w:sz w:val="28"/>
                <w:szCs w:val="28"/>
              </w:rPr>
              <w:t>1</w:t>
            </w:r>
          </w:p>
        </w:tc>
        <w:tc>
          <w:tcPr>
            <w:tcW w:w="1241" w:type="dxa"/>
            <w:gridSpan w:val="2"/>
            <w:noWrap/>
            <w:hideMark/>
          </w:tcPr>
          <w:p w:rsidR="0055491A" w:rsidRPr="001139E4" w:rsidRDefault="0055491A" w:rsidP="00210BF6">
            <w:pPr>
              <w:pStyle w:val="a7"/>
              <w:spacing w:after="0"/>
              <w:ind w:firstLine="0"/>
              <w:jc w:val="center"/>
              <w:rPr>
                <w:sz w:val="28"/>
                <w:szCs w:val="28"/>
              </w:rPr>
            </w:pPr>
            <w:r>
              <w:rPr>
                <w:sz w:val="28"/>
                <w:szCs w:val="28"/>
              </w:rPr>
              <w:t>1</w:t>
            </w:r>
          </w:p>
        </w:tc>
        <w:tc>
          <w:tcPr>
            <w:tcW w:w="1276" w:type="dxa"/>
            <w:hideMark/>
          </w:tcPr>
          <w:p w:rsidR="0055491A" w:rsidRPr="001139E4" w:rsidRDefault="0055491A" w:rsidP="00210BF6">
            <w:pPr>
              <w:pStyle w:val="a7"/>
              <w:spacing w:after="0"/>
              <w:ind w:firstLine="0"/>
              <w:jc w:val="center"/>
              <w:rPr>
                <w:sz w:val="28"/>
                <w:szCs w:val="28"/>
              </w:rPr>
            </w:pPr>
            <w:r>
              <w:rPr>
                <w:sz w:val="28"/>
                <w:szCs w:val="28"/>
              </w:rPr>
              <w:t>4,0</w:t>
            </w:r>
          </w:p>
        </w:tc>
        <w:tc>
          <w:tcPr>
            <w:tcW w:w="1276" w:type="dxa"/>
            <w:gridSpan w:val="2"/>
            <w:hideMark/>
          </w:tcPr>
          <w:p w:rsidR="0055491A" w:rsidRPr="001139E4" w:rsidRDefault="0055491A" w:rsidP="00210BF6">
            <w:pPr>
              <w:pStyle w:val="a7"/>
              <w:spacing w:after="0"/>
              <w:ind w:firstLine="0"/>
              <w:jc w:val="center"/>
              <w:rPr>
                <w:sz w:val="28"/>
                <w:szCs w:val="28"/>
              </w:rPr>
            </w:pPr>
            <w:r>
              <w:rPr>
                <w:sz w:val="28"/>
                <w:szCs w:val="28"/>
              </w:rPr>
              <w:t>4,0</w:t>
            </w:r>
          </w:p>
        </w:tc>
        <w:tc>
          <w:tcPr>
            <w:tcW w:w="1275" w:type="dxa"/>
            <w:gridSpan w:val="2"/>
            <w:hideMark/>
          </w:tcPr>
          <w:p w:rsidR="0055491A" w:rsidRPr="001139E4" w:rsidRDefault="0055491A" w:rsidP="00210BF6">
            <w:pPr>
              <w:pStyle w:val="a7"/>
              <w:spacing w:after="0"/>
              <w:ind w:firstLine="0"/>
              <w:jc w:val="center"/>
              <w:rPr>
                <w:sz w:val="28"/>
                <w:szCs w:val="28"/>
              </w:rPr>
            </w:pPr>
            <w:r>
              <w:rPr>
                <w:sz w:val="28"/>
                <w:szCs w:val="28"/>
              </w:rPr>
              <w:t>4,0</w:t>
            </w:r>
          </w:p>
        </w:tc>
      </w:tr>
      <w:tr w:rsidR="0055491A" w:rsidRPr="001139E4" w:rsidTr="00210BF6">
        <w:trPr>
          <w:trHeight w:val="255"/>
        </w:trPr>
        <w:tc>
          <w:tcPr>
            <w:tcW w:w="5812" w:type="dxa"/>
            <w:gridSpan w:val="7"/>
          </w:tcPr>
          <w:p w:rsidR="0055491A" w:rsidRPr="001139E4" w:rsidRDefault="0055491A" w:rsidP="00210BF6">
            <w:pPr>
              <w:pStyle w:val="a7"/>
              <w:spacing w:after="0"/>
              <w:jc w:val="center"/>
              <w:rPr>
                <w:sz w:val="28"/>
                <w:szCs w:val="28"/>
              </w:rPr>
            </w:pPr>
            <w:r w:rsidRPr="001139E4">
              <w:rPr>
                <w:bCs/>
                <w:sz w:val="28"/>
                <w:szCs w:val="28"/>
              </w:rPr>
              <w:t>ИТОГО:</w:t>
            </w:r>
          </w:p>
        </w:tc>
        <w:tc>
          <w:tcPr>
            <w:tcW w:w="1276" w:type="dxa"/>
          </w:tcPr>
          <w:p w:rsidR="0055491A" w:rsidRPr="00E342B5" w:rsidRDefault="0055491A" w:rsidP="00210BF6">
            <w:pPr>
              <w:pStyle w:val="a7"/>
              <w:spacing w:after="0"/>
              <w:ind w:firstLine="0"/>
              <w:jc w:val="center"/>
              <w:rPr>
                <w:sz w:val="28"/>
                <w:szCs w:val="28"/>
              </w:rPr>
            </w:pPr>
            <w:r w:rsidRPr="00E342B5">
              <w:rPr>
                <w:sz w:val="28"/>
                <w:szCs w:val="28"/>
              </w:rPr>
              <w:t>4,0</w:t>
            </w:r>
          </w:p>
        </w:tc>
        <w:tc>
          <w:tcPr>
            <w:tcW w:w="1276" w:type="dxa"/>
            <w:gridSpan w:val="2"/>
          </w:tcPr>
          <w:p w:rsidR="0055491A" w:rsidRPr="00E342B5" w:rsidRDefault="0055491A" w:rsidP="00210BF6">
            <w:pPr>
              <w:pStyle w:val="a7"/>
              <w:spacing w:after="0"/>
              <w:ind w:firstLine="0"/>
              <w:jc w:val="center"/>
              <w:rPr>
                <w:sz w:val="28"/>
                <w:szCs w:val="28"/>
              </w:rPr>
            </w:pPr>
            <w:r w:rsidRPr="00E342B5">
              <w:rPr>
                <w:sz w:val="28"/>
                <w:szCs w:val="28"/>
              </w:rPr>
              <w:t>4,0</w:t>
            </w:r>
          </w:p>
        </w:tc>
        <w:tc>
          <w:tcPr>
            <w:tcW w:w="1275" w:type="dxa"/>
            <w:gridSpan w:val="2"/>
          </w:tcPr>
          <w:p w:rsidR="0055491A" w:rsidRPr="00E342B5" w:rsidRDefault="0055491A" w:rsidP="00210BF6">
            <w:pPr>
              <w:pStyle w:val="a7"/>
              <w:spacing w:after="0"/>
              <w:ind w:firstLine="0"/>
              <w:jc w:val="center"/>
              <w:rPr>
                <w:sz w:val="28"/>
                <w:szCs w:val="28"/>
              </w:rPr>
            </w:pPr>
            <w:r w:rsidRPr="00E342B5">
              <w:rPr>
                <w:sz w:val="28"/>
                <w:szCs w:val="28"/>
              </w:rPr>
              <w:t>4,0</w:t>
            </w:r>
          </w:p>
        </w:tc>
      </w:tr>
      <w:tr w:rsidR="0055491A" w:rsidRPr="001139E4" w:rsidTr="00210BF6">
        <w:trPr>
          <w:trHeight w:val="255"/>
        </w:trPr>
        <w:tc>
          <w:tcPr>
            <w:tcW w:w="5812" w:type="dxa"/>
            <w:gridSpan w:val="7"/>
          </w:tcPr>
          <w:p w:rsidR="0055491A" w:rsidRPr="001139E4" w:rsidRDefault="0055491A" w:rsidP="00210BF6">
            <w:pPr>
              <w:pStyle w:val="a7"/>
              <w:spacing w:after="0"/>
              <w:ind w:left="0" w:firstLine="0"/>
              <w:jc w:val="left"/>
              <w:rPr>
                <w:sz w:val="28"/>
                <w:szCs w:val="28"/>
              </w:rPr>
            </w:pPr>
            <w:r w:rsidRPr="001139E4">
              <w:rPr>
                <w:bCs/>
                <w:sz w:val="28"/>
                <w:szCs w:val="28"/>
              </w:rPr>
              <w:t>С учетом норматива зачислений 50 %:</w:t>
            </w:r>
          </w:p>
        </w:tc>
        <w:tc>
          <w:tcPr>
            <w:tcW w:w="1276" w:type="dxa"/>
          </w:tcPr>
          <w:p w:rsidR="0055491A" w:rsidRPr="00855EF5" w:rsidRDefault="0055491A" w:rsidP="00210BF6">
            <w:pPr>
              <w:pStyle w:val="a7"/>
              <w:spacing w:after="0"/>
              <w:ind w:firstLine="0"/>
              <w:jc w:val="center"/>
              <w:rPr>
                <w:b/>
                <w:sz w:val="28"/>
                <w:szCs w:val="28"/>
              </w:rPr>
            </w:pPr>
            <w:r>
              <w:rPr>
                <w:b/>
                <w:sz w:val="28"/>
                <w:szCs w:val="28"/>
              </w:rPr>
              <w:t>2</w:t>
            </w:r>
            <w:r w:rsidRPr="00855EF5">
              <w:rPr>
                <w:b/>
                <w:sz w:val="28"/>
                <w:szCs w:val="28"/>
              </w:rPr>
              <w:t>,0</w:t>
            </w:r>
          </w:p>
        </w:tc>
        <w:tc>
          <w:tcPr>
            <w:tcW w:w="1276" w:type="dxa"/>
            <w:gridSpan w:val="2"/>
          </w:tcPr>
          <w:p w:rsidR="0055491A" w:rsidRPr="00855EF5" w:rsidRDefault="0055491A" w:rsidP="00210BF6">
            <w:pPr>
              <w:pStyle w:val="a7"/>
              <w:spacing w:after="0"/>
              <w:ind w:firstLine="0"/>
              <w:jc w:val="center"/>
              <w:rPr>
                <w:b/>
                <w:sz w:val="28"/>
                <w:szCs w:val="28"/>
              </w:rPr>
            </w:pPr>
            <w:r>
              <w:rPr>
                <w:b/>
                <w:sz w:val="28"/>
                <w:szCs w:val="28"/>
              </w:rPr>
              <w:t>2</w:t>
            </w:r>
            <w:r w:rsidRPr="00855EF5">
              <w:rPr>
                <w:b/>
                <w:sz w:val="28"/>
                <w:szCs w:val="28"/>
              </w:rPr>
              <w:t>,0</w:t>
            </w:r>
          </w:p>
        </w:tc>
        <w:tc>
          <w:tcPr>
            <w:tcW w:w="1275" w:type="dxa"/>
            <w:gridSpan w:val="2"/>
          </w:tcPr>
          <w:p w:rsidR="0055491A" w:rsidRPr="00855EF5" w:rsidRDefault="0055491A" w:rsidP="00210BF6">
            <w:pPr>
              <w:pStyle w:val="a7"/>
              <w:spacing w:after="0"/>
              <w:ind w:firstLine="0"/>
              <w:jc w:val="center"/>
              <w:rPr>
                <w:b/>
                <w:sz w:val="28"/>
                <w:szCs w:val="28"/>
              </w:rPr>
            </w:pPr>
            <w:r>
              <w:rPr>
                <w:b/>
                <w:sz w:val="28"/>
                <w:szCs w:val="28"/>
              </w:rPr>
              <w:t>2</w:t>
            </w:r>
            <w:r w:rsidRPr="00855EF5">
              <w:rPr>
                <w:b/>
                <w:sz w:val="28"/>
                <w:szCs w:val="28"/>
              </w:rPr>
              <w:t>,0</w:t>
            </w:r>
          </w:p>
        </w:tc>
      </w:tr>
    </w:tbl>
    <w:p w:rsidR="0055491A" w:rsidRDefault="0055491A" w:rsidP="0055491A">
      <w:pPr>
        <w:pStyle w:val="a7"/>
        <w:spacing w:after="0"/>
        <w:ind w:left="0" w:firstLine="709"/>
        <w:jc w:val="both"/>
        <w:rPr>
          <w:sz w:val="28"/>
          <w:szCs w:val="28"/>
        </w:rPr>
      </w:pPr>
    </w:p>
    <w:p w:rsidR="0055491A" w:rsidRPr="00122878" w:rsidRDefault="0055491A" w:rsidP="0055491A">
      <w:pPr>
        <w:pStyle w:val="a7"/>
        <w:spacing w:after="0"/>
        <w:ind w:left="0" w:firstLine="709"/>
        <w:jc w:val="both"/>
        <w:rPr>
          <w:b/>
          <w:sz w:val="28"/>
          <w:szCs w:val="28"/>
        </w:rPr>
      </w:pPr>
      <w:r w:rsidRPr="00122878">
        <w:rPr>
          <w:b/>
          <w:sz w:val="28"/>
          <w:szCs w:val="28"/>
        </w:rPr>
        <w:t>Прогноз поступления доходов в областной бюджет Тве</w:t>
      </w:r>
      <w:r w:rsidR="00555316">
        <w:rPr>
          <w:b/>
          <w:sz w:val="28"/>
          <w:szCs w:val="28"/>
        </w:rPr>
        <w:t>рской области на 2022 год – 18,5</w:t>
      </w:r>
      <w:r w:rsidRPr="00122878">
        <w:rPr>
          <w:b/>
          <w:sz w:val="28"/>
          <w:szCs w:val="28"/>
        </w:rPr>
        <w:t xml:space="preserve"> тыс. руб., на 2023 год – 23,</w:t>
      </w:r>
      <w:r w:rsidR="00076341">
        <w:rPr>
          <w:b/>
          <w:sz w:val="28"/>
          <w:szCs w:val="28"/>
        </w:rPr>
        <w:t>2</w:t>
      </w:r>
      <w:r w:rsidRPr="00122878">
        <w:rPr>
          <w:b/>
          <w:sz w:val="28"/>
          <w:szCs w:val="28"/>
        </w:rPr>
        <w:t xml:space="preserve"> тыс. руб.,                                                            на 2024 год – 18,3 тыс. руб.</w:t>
      </w:r>
    </w:p>
    <w:p w:rsidR="0055491A" w:rsidRDefault="0055491A" w:rsidP="0055491A">
      <w:pPr>
        <w:pStyle w:val="a7"/>
        <w:spacing w:after="0"/>
        <w:ind w:left="0" w:firstLine="709"/>
        <w:jc w:val="both"/>
        <w:rPr>
          <w:sz w:val="28"/>
          <w:szCs w:val="28"/>
        </w:rPr>
      </w:pPr>
    </w:p>
    <w:p w:rsidR="0055491A" w:rsidRDefault="0055491A" w:rsidP="0055491A">
      <w:pPr>
        <w:pStyle w:val="a7"/>
        <w:spacing w:after="0"/>
        <w:ind w:left="0" w:firstLine="709"/>
        <w:jc w:val="both"/>
        <w:rPr>
          <w:sz w:val="28"/>
          <w:szCs w:val="28"/>
        </w:rPr>
      </w:pPr>
      <w:r>
        <w:rPr>
          <w:sz w:val="28"/>
          <w:szCs w:val="28"/>
        </w:rPr>
        <w:t xml:space="preserve">13.7 </w:t>
      </w:r>
      <w:r w:rsidRPr="00122878">
        <w:rPr>
          <w:b/>
          <w:sz w:val="28"/>
          <w:szCs w:val="28"/>
        </w:rPr>
        <w:t>КБК 328 1 16 01193 01 0000 140</w:t>
      </w:r>
      <w:r w:rsidRPr="00C74568">
        <w:rPr>
          <w:sz w:val="28"/>
          <w:szCs w:val="28"/>
        </w:rPr>
        <w:t xml:space="preserve"> 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r>
        <w:rPr>
          <w:sz w:val="28"/>
          <w:szCs w:val="28"/>
        </w:rPr>
        <w:t>.</w:t>
      </w:r>
    </w:p>
    <w:p w:rsidR="0055491A" w:rsidRPr="00122878" w:rsidRDefault="0055491A" w:rsidP="0055491A">
      <w:pPr>
        <w:pStyle w:val="a7"/>
        <w:spacing w:after="0"/>
        <w:ind w:left="0" w:firstLine="709"/>
        <w:jc w:val="both"/>
        <w:rPr>
          <w:b/>
          <w:sz w:val="28"/>
          <w:szCs w:val="28"/>
        </w:rPr>
      </w:pPr>
      <w:r w:rsidRPr="00122878">
        <w:rPr>
          <w:b/>
          <w:sz w:val="28"/>
          <w:szCs w:val="28"/>
        </w:rPr>
        <w:t>Главный администратор доходов – Министерство лесного хозяйства Тверской области.</w:t>
      </w:r>
    </w:p>
    <w:p w:rsidR="0055491A" w:rsidRDefault="0055491A" w:rsidP="0055491A">
      <w:pPr>
        <w:pStyle w:val="a7"/>
        <w:spacing w:after="0"/>
        <w:ind w:left="0" w:firstLine="709"/>
        <w:jc w:val="both"/>
        <w:rPr>
          <w:sz w:val="28"/>
          <w:szCs w:val="28"/>
        </w:rPr>
      </w:pPr>
      <w:r w:rsidRPr="001B15D6">
        <w:rPr>
          <w:b/>
          <w:sz w:val="28"/>
          <w:szCs w:val="28"/>
        </w:rPr>
        <w:t>Прогноз на 202</w:t>
      </w:r>
      <w:r>
        <w:rPr>
          <w:b/>
          <w:sz w:val="28"/>
          <w:szCs w:val="28"/>
        </w:rPr>
        <w:t>2</w:t>
      </w:r>
      <w:r w:rsidRPr="001B15D6">
        <w:rPr>
          <w:b/>
          <w:sz w:val="28"/>
          <w:szCs w:val="28"/>
        </w:rPr>
        <w:t xml:space="preserve"> год – </w:t>
      </w:r>
      <w:r>
        <w:rPr>
          <w:b/>
          <w:sz w:val="28"/>
          <w:szCs w:val="28"/>
        </w:rPr>
        <w:t>8,2 тыс. руб., на 2023</w:t>
      </w:r>
      <w:r w:rsidRPr="001B15D6">
        <w:rPr>
          <w:b/>
          <w:sz w:val="28"/>
          <w:szCs w:val="28"/>
        </w:rPr>
        <w:t xml:space="preserve"> год – </w:t>
      </w:r>
      <w:r>
        <w:rPr>
          <w:b/>
          <w:sz w:val="28"/>
          <w:szCs w:val="28"/>
        </w:rPr>
        <w:t>10,9</w:t>
      </w:r>
      <w:r w:rsidRPr="001B15D6">
        <w:rPr>
          <w:b/>
          <w:sz w:val="28"/>
          <w:szCs w:val="28"/>
        </w:rPr>
        <w:t xml:space="preserve"> тыс. руб., на 202</w:t>
      </w:r>
      <w:r>
        <w:rPr>
          <w:b/>
          <w:sz w:val="28"/>
          <w:szCs w:val="28"/>
        </w:rPr>
        <w:t>4</w:t>
      </w:r>
      <w:r w:rsidRPr="001B15D6">
        <w:rPr>
          <w:b/>
          <w:sz w:val="28"/>
          <w:szCs w:val="28"/>
        </w:rPr>
        <w:t xml:space="preserve"> год – </w:t>
      </w:r>
      <w:r>
        <w:rPr>
          <w:b/>
          <w:sz w:val="28"/>
          <w:szCs w:val="28"/>
        </w:rPr>
        <w:t>10,9</w:t>
      </w:r>
      <w:r w:rsidRPr="001B15D6">
        <w:rPr>
          <w:b/>
          <w:sz w:val="28"/>
          <w:szCs w:val="28"/>
        </w:rPr>
        <w:t xml:space="preserve"> тыс. руб.</w:t>
      </w:r>
      <w:r>
        <w:rPr>
          <w:sz w:val="28"/>
          <w:szCs w:val="28"/>
        </w:rPr>
        <w:t xml:space="preserve"> рассчитан в разрезе административных штрафов:</w:t>
      </w:r>
    </w:p>
    <w:p w:rsidR="0055491A" w:rsidRPr="003C27D4" w:rsidRDefault="0055491A" w:rsidP="0055491A">
      <w:pPr>
        <w:pStyle w:val="a7"/>
        <w:spacing w:after="0"/>
        <w:ind w:left="0" w:firstLine="709"/>
        <w:jc w:val="both"/>
        <w:rPr>
          <w:sz w:val="28"/>
          <w:szCs w:val="28"/>
        </w:rPr>
      </w:pPr>
      <w:r w:rsidRPr="003C27D4">
        <w:rPr>
          <w:sz w:val="28"/>
          <w:szCs w:val="28"/>
        </w:rPr>
        <w:t xml:space="preserve">-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(часть 1 </w:t>
      </w:r>
      <w:hyperlink r:id="rId105" w:history="1">
        <w:r w:rsidRPr="003C27D4">
          <w:rPr>
            <w:sz w:val="28"/>
            <w:szCs w:val="28"/>
          </w:rPr>
          <w:t xml:space="preserve">статьи 19.5 </w:t>
        </w:r>
      </w:hyperlink>
      <w:r w:rsidRPr="003C27D4">
        <w:rPr>
          <w:sz w:val="28"/>
          <w:szCs w:val="28"/>
        </w:rPr>
        <w:t>КоАП РФ);</w:t>
      </w:r>
    </w:p>
    <w:p w:rsidR="0055491A" w:rsidRPr="003C27D4" w:rsidRDefault="0055491A" w:rsidP="0055491A">
      <w:pPr>
        <w:pStyle w:val="a7"/>
        <w:spacing w:after="0"/>
        <w:ind w:left="0" w:firstLine="709"/>
        <w:jc w:val="both"/>
        <w:rPr>
          <w:sz w:val="28"/>
          <w:szCs w:val="28"/>
        </w:rPr>
      </w:pPr>
      <w:r w:rsidRPr="003C27D4">
        <w:rPr>
          <w:sz w:val="28"/>
          <w:szCs w:val="28"/>
        </w:rPr>
        <w:t>- за непредставление сведений (информации) (</w:t>
      </w:r>
      <w:hyperlink r:id="rId106" w:history="1">
        <w:r w:rsidRPr="003C27D4">
          <w:rPr>
            <w:sz w:val="28"/>
            <w:szCs w:val="28"/>
          </w:rPr>
          <w:t xml:space="preserve">статья 19.7 </w:t>
        </w:r>
      </w:hyperlink>
      <w:r w:rsidRPr="003C27D4">
        <w:rPr>
          <w:sz w:val="28"/>
          <w:szCs w:val="28"/>
        </w:rPr>
        <w:t>КоАП РФ);</w:t>
      </w:r>
    </w:p>
    <w:p w:rsidR="0055491A" w:rsidRDefault="0055491A" w:rsidP="0055491A">
      <w:pPr>
        <w:pStyle w:val="a7"/>
        <w:spacing w:after="0"/>
        <w:ind w:left="0" w:firstLine="709"/>
        <w:jc w:val="both"/>
        <w:rPr>
          <w:sz w:val="28"/>
          <w:szCs w:val="28"/>
        </w:rPr>
      </w:pPr>
      <w:r w:rsidRPr="003C27D4">
        <w:rPr>
          <w:sz w:val="28"/>
          <w:szCs w:val="28"/>
        </w:rPr>
        <w:t xml:space="preserve">- по </w:t>
      </w:r>
      <w:r w:rsidRPr="003C27D4">
        <w:rPr>
          <w:rFonts w:eastAsia="Calibri"/>
          <w:sz w:val="28"/>
          <w:szCs w:val="28"/>
          <w:lang w:eastAsia="en-US"/>
        </w:rPr>
        <w:t>иным штрафам (</w:t>
      </w:r>
      <w:hyperlink r:id="rId107" w:history="1">
        <w:r w:rsidRPr="003C27D4">
          <w:rPr>
            <w:sz w:val="28"/>
            <w:szCs w:val="28"/>
          </w:rPr>
          <w:t>часть 1 статьи 19.4</w:t>
        </w:r>
      </w:hyperlink>
      <w:r w:rsidRPr="003C27D4">
        <w:rPr>
          <w:sz w:val="28"/>
          <w:szCs w:val="28"/>
        </w:rPr>
        <w:t xml:space="preserve">, </w:t>
      </w:r>
      <w:hyperlink r:id="rId108" w:history="1">
        <w:r w:rsidRPr="003C27D4">
          <w:rPr>
            <w:sz w:val="28"/>
            <w:szCs w:val="28"/>
          </w:rPr>
          <w:t>статьей 19.6</w:t>
        </w:r>
      </w:hyperlink>
      <w:r w:rsidRPr="003C27D4">
        <w:rPr>
          <w:sz w:val="28"/>
          <w:szCs w:val="28"/>
        </w:rPr>
        <w:t xml:space="preserve"> КоАП РФ). </w:t>
      </w:r>
    </w:p>
    <w:p w:rsidR="0055491A" w:rsidRPr="00D81182" w:rsidRDefault="0055491A" w:rsidP="0055491A">
      <w:pPr>
        <w:shd w:val="clear" w:color="auto" w:fill="FFFFFF"/>
        <w:ind w:firstLine="708"/>
        <w:jc w:val="both"/>
        <w:rPr>
          <w:rFonts w:eastAsia="Calibri"/>
          <w:i/>
          <w:sz w:val="28"/>
          <w:szCs w:val="28"/>
          <w:lang w:eastAsia="en-US"/>
        </w:rPr>
      </w:pPr>
      <w:r w:rsidRPr="00D81182">
        <w:rPr>
          <w:rFonts w:eastAsia="Calibri"/>
          <w:sz w:val="28"/>
          <w:szCs w:val="28"/>
          <w:lang w:eastAsia="en-US"/>
        </w:rPr>
        <w:t>1</w:t>
      </w:r>
      <w:r w:rsidR="008E2741">
        <w:rPr>
          <w:rFonts w:eastAsia="Calibri"/>
          <w:sz w:val="28"/>
          <w:szCs w:val="28"/>
          <w:lang w:eastAsia="en-US"/>
        </w:rPr>
        <w:t>3</w:t>
      </w:r>
      <w:r w:rsidRPr="00D81182">
        <w:rPr>
          <w:rFonts w:eastAsia="Calibri"/>
          <w:sz w:val="28"/>
          <w:szCs w:val="28"/>
          <w:lang w:eastAsia="en-US"/>
        </w:rPr>
        <w:t>.7.1</w:t>
      </w:r>
      <w:r w:rsidRPr="00D81182">
        <w:rPr>
          <w:rFonts w:eastAsia="Calibri"/>
          <w:i/>
          <w:sz w:val="28"/>
          <w:szCs w:val="28"/>
          <w:lang w:eastAsia="en-US"/>
        </w:rPr>
        <w:t xml:space="preserve">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 </w:t>
      </w:r>
    </w:p>
    <w:p w:rsidR="0055491A" w:rsidRPr="00130268" w:rsidRDefault="0055491A" w:rsidP="0055491A">
      <w:pPr>
        <w:shd w:val="clear" w:color="auto" w:fill="FFFFFF"/>
        <w:ind w:firstLine="708"/>
        <w:jc w:val="both"/>
        <w:rPr>
          <w:rFonts w:eastAsia="Calibri"/>
          <w:b/>
          <w:sz w:val="28"/>
          <w:szCs w:val="28"/>
          <w:lang w:eastAsia="en-US"/>
        </w:rPr>
      </w:pPr>
      <w:r w:rsidRPr="00130268">
        <w:rPr>
          <w:sz w:val="28"/>
          <w:szCs w:val="28"/>
        </w:rPr>
        <w:t>Прогноз данного вида доходов определяется по формуле:</w:t>
      </w:r>
    </w:p>
    <w:p w:rsidR="0055491A" w:rsidRPr="00130268" w:rsidRDefault="0055491A" w:rsidP="0055491A">
      <w:pPr>
        <w:widowControl w:val="0"/>
        <w:autoSpaceDE w:val="0"/>
        <w:autoSpaceDN w:val="0"/>
        <w:jc w:val="center"/>
        <w:rPr>
          <w:sz w:val="28"/>
          <w:szCs w:val="28"/>
        </w:rPr>
      </w:pPr>
      <w:r w:rsidRPr="00130268">
        <w:rPr>
          <w:noProof/>
          <w:position w:val="-41"/>
          <w:sz w:val="28"/>
          <w:szCs w:val="28"/>
        </w:rPr>
        <w:drawing>
          <wp:inline distT="0" distB="0" distL="0" distR="0" wp14:anchorId="1E2C3024" wp14:editId="203F9572">
            <wp:extent cx="1052830" cy="669925"/>
            <wp:effectExtent l="0" t="0" r="0" b="0"/>
            <wp:docPr id="24377" name="Рисунок 24377" descr="base_50_590968_329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7" descr="base_50_590968_32901"/>
                    <pic:cNvPicPr preferRelativeResize="0">
                      <a:picLocks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052830" cy="669925"/>
                    </a:xfrm>
                    <a:prstGeom prst="rect">
                      <a:avLst/>
                    </a:prstGeom>
                    <a:noFill/>
                    <a:ln>
                      <a:noFill/>
                    </a:ln>
                  </pic:spPr>
                </pic:pic>
              </a:graphicData>
            </a:graphic>
          </wp:inline>
        </w:drawing>
      </w:r>
    </w:p>
    <w:p w:rsidR="0055491A" w:rsidRPr="00130268" w:rsidRDefault="0055491A" w:rsidP="0055491A">
      <w:pPr>
        <w:widowControl w:val="0"/>
        <w:autoSpaceDE w:val="0"/>
        <w:autoSpaceDN w:val="0"/>
        <w:ind w:firstLine="540"/>
        <w:jc w:val="both"/>
        <w:rPr>
          <w:sz w:val="28"/>
          <w:szCs w:val="28"/>
        </w:rPr>
      </w:pPr>
      <w:r w:rsidRPr="00130268">
        <w:rPr>
          <w:sz w:val="28"/>
          <w:szCs w:val="28"/>
        </w:rPr>
        <w:t>где:</w:t>
      </w:r>
    </w:p>
    <w:p w:rsidR="0055491A" w:rsidRPr="00130268" w:rsidRDefault="0055491A" w:rsidP="0055491A">
      <w:pPr>
        <w:widowControl w:val="0"/>
        <w:autoSpaceDE w:val="0"/>
        <w:autoSpaceDN w:val="0"/>
        <w:ind w:firstLine="540"/>
        <w:jc w:val="both"/>
        <w:rPr>
          <w:sz w:val="28"/>
          <w:szCs w:val="28"/>
        </w:rPr>
      </w:pPr>
      <w:r w:rsidRPr="00130268">
        <w:rPr>
          <w:noProof/>
          <w:position w:val="-26"/>
          <w:sz w:val="28"/>
          <w:szCs w:val="28"/>
        </w:rPr>
        <w:drawing>
          <wp:inline distT="0" distB="0" distL="0" distR="0" wp14:anchorId="4254EB04" wp14:editId="4EC8BF8F">
            <wp:extent cx="382905" cy="467995"/>
            <wp:effectExtent l="0" t="0" r="0" b="8255"/>
            <wp:docPr id="24376" name="Рисунок 24376" descr="base_50_590968_329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8" descr="base_50_590968_32902"/>
                    <pic:cNvPicPr preferRelativeResize="0">
                      <a:picLocks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382905" cy="467995"/>
                    </a:xfrm>
                    <a:prstGeom prst="rect">
                      <a:avLst/>
                    </a:prstGeom>
                    <a:noFill/>
                    <a:ln>
                      <a:noFill/>
                    </a:ln>
                  </pic:spPr>
                </pic:pic>
              </a:graphicData>
            </a:graphic>
          </wp:inline>
        </w:drawing>
      </w:r>
      <w:r w:rsidRPr="00130268">
        <w:rPr>
          <w:sz w:val="28"/>
          <w:szCs w:val="28"/>
        </w:rPr>
        <w:t xml:space="preserve"> - сумма поступлений по виду доходов за три года, предшествующих прогнозируемому году (при формировании прогноза на очередной финансовый год используются фактические данные за два отчетных года и </w:t>
      </w:r>
      <w:r>
        <w:rPr>
          <w:sz w:val="28"/>
          <w:szCs w:val="28"/>
        </w:rPr>
        <w:t>ожидаемая оценка</w:t>
      </w:r>
      <w:r w:rsidRPr="00130268">
        <w:rPr>
          <w:sz w:val="28"/>
          <w:szCs w:val="28"/>
        </w:rPr>
        <w:t xml:space="preserve"> на текущий финансовый год, при формировании прогноза </w:t>
      </w:r>
      <w:r w:rsidRPr="00130268">
        <w:rPr>
          <w:sz w:val="28"/>
          <w:szCs w:val="28"/>
        </w:rPr>
        <w:lastRenderedPageBreak/>
        <w:t xml:space="preserve">на первый год планового периода используются фактические данные за один отчетный год и </w:t>
      </w:r>
      <w:r>
        <w:rPr>
          <w:sz w:val="28"/>
          <w:szCs w:val="28"/>
        </w:rPr>
        <w:t>ожидаемая оценка</w:t>
      </w:r>
      <w:r w:rsidRPr="00130268">
        <w:rPr>
          <w:sz w:val="28"/>
          <w:szCs w:val="28"/>
        </w:rPr>
        <w:t xml:space="preserve"> текущего финансового года и </w:t>
      </w:r>
      <w:r>
        <w:rPr>
          <w:sz w:val="28"/>
          <w:szCs w:val="28"/>
        </w:rPr>
        <w:t xml:space="preserve">прогноз </w:t>
      </w:r>
      <w:r w:rsidRPr="00130268">
        <w:rPr>
          <w:sz w:val="28"/>
          <w:szCs w:val="28"/>
        </w:rPr>
        <w:t>очередного финансового года; прогноз на второй год планового периода принимается на уровне прогноза первого года планового периода) (тыс. руб.);</w:t>
      </w:r>
    </w:p>
    <w:p w:rsidR="0055491A" w:rsidRDefault="0055491A" w:rsidP="0055491A">
      <w:pPr>
        <w:widowControl w:val="0"/>
        <w:autoSpaceDE w:val="0"/>
        <w:autoSpaceDN w:val="0"/>
        <w:ind w:firstLine="540"/>
        <w:jc w:val="both"/>
        <w:rPr>
          <w:sz w:val="28"/>
          <w:szCs w:val="28"/>
        </w:rPr>
      </w:pPr>
      <w:r w:rsidRPr="00130268">
        <w:rPr>
          <w:sz w:val="28"/>
          <w:szCs w:val="28"/>
        </w:rPr>
        <w:t>R - корректирующая сумма поступлений, учитывающая отдельные решения Президента Российской Федерации, Правительства Российской Федерации, а также проекты нормативных правовых актов Президента Российской Федерации, Правительства Российской Федерации и другие факторы, влияющие на объем прогнозируемых доходов (тыс. руб.).</w:t>
      </w:r>
    </w:p>
    <w:p w:rsidR="0055491A" w:rsidRDefault="0055491A" w:rsidP="0055491A">
      <w:pPr>
        <w:autoSpaceDE w:val="0"/>
        <w:autoSpaceDN w:val="0"/>
        <w:adjustRightInd w:val="0"/>
        <w:ind w:firstLine="540"/>
        <w:jc w:val="both"/>
        <w:rPr>
          <w:rFonts w:eastAsia="Calibri"/>
          <w:sz w:val="28"/>
          <w:szCs w:val="28"/>
          <w:lang w:eastAsia="en-US"/>
        </w:rPr>
      </w:pPr>
      <w:r w:rsidRPr="0031548D">
        <w:rPr>
          <w:color w:val="000000"/>
          <w:sz w:val="28"/>
          <w:szCs w:val="28"/>
          <w:lang w:bidi="ru-RU"/>
        </w:rPr>
        <w:t xml:space="preserve">Согласно </w:t>
      </w:r>
      <w:r>
        <w:rPr>
          <w:color w:val="000000"/>
          <w:sz w:val="28"/>
          <w:szCs w:val="28"/>
          <w:lang w:bidi="ru-RU"/>
        </w:rPr>
        <w:t>пункту 4</w:t>
      </w:r>
      <w:r w:rsidRPr="0031548D">
        <w:rPr>
          <w:color w:val="000000"/>
          <w:sz w:val="28"/>
          <w:szCs w:val="28"/>
          <w:lang w:bidi="ru-RU"/>
        </w:rPr>
        <w:t xml:space="preserve"> статьи </w:t>
      </w:r>
      <w:r>
        <w:rPr>
          <w:color w:val="000000"/>
          <w:sz w:val="28"/>
          <w:szCs w:val="28"/>
          <w:lang w:bidi="ru-RU"/>
        </w:rPr>
        <w:t>46</w:t>
      </w:r>
      <w:r w:rsidRPr="0031548D">
        <w:rPr>
          <w:color w:val="000000"/>
          <w:sz w:val="28"/>
          <w:szCs w:val="28"/>
          <w:lang w:bidi="ru-RU"/>
        </w:rPr>
        <w:t xml:space="preserve"> Бюджетного кодекса Российской Федерации </w:t>
      </w:r>
      <w:r>
        <w:rPr>
          <w:color w:val="000000"/>
          <w:sz w:val="28"/>
          <w:szCs w:val="28"/>
          <w:lang w:bidi="ru-RU"/>
        </w:rPr>
        <w:t>с</w:t>
      </w:r>
      <w:r w:rsidRPr="00D23E9E">
        <w:rPr>
          <w:rFonts w:eastAsia="Calibri"/>
          <w:sz w:val="28"/>
          <w:szCs w:val="28"/>
          <w:lang w:eastAsia="en-US"/>
        </w:rPr>
        <w:t>уммы штрафов, подлежат зачислению в бюджет субъекта Российской Федерации по нормативу 50 процентов, в бюджет муниципального района, городского округа, городского округа с внутригородским делением (по месту нахождения органа или должностного лица, принявших решение о наложении административного штрафа) по нормативу 50 процентов.</w:t>
      </w:r>
    </w:p>
    <w:p w:rsidR="0055491A" w:rsidRPr="00765F65" w:rsidRDefault="0055491A" w:rsidP="0055491A">
      <w:pPr>
        <w:tabs>
          <w:tab w:val="left" w:pos="3195"/>
        </w:tabs>
        <w:autoSpaceDE w:val="0"/>
        <w:autoSpaceDN w:val="0"/>
        <w:adjustRightInd w:val="0"/>
        <w:ind w:firstLine="709"/>
        <w:jc w:val="both"/>
        <w:rPr>
          <w:sz w:val="28"/>
          <w:szCs w:val="28"/>
        </w:rPr>
      </w:pPr>
      <w:r w:rsidRPr="00765F65">
        <w:rPr>
          <w:rFonts w:eastAsia="Calibri"/>
          <w:sz w:val="28"/>
          <w:szCs w:val="28"/>
          <w:lang w:eastAsia="en-US"/>
        </w:rPr>
        <w:t xml:space="preserve">Согласно данным о фактическом поступлении доходов платежей за </w:t>
      </w:r>
      <w:r w:rsidRPr="00765F65">
        <w:rPr>
          <w:sz w:val="28"/>
          <w:szCs w:val="28"/>
        </w:rPr>
        <w:t>административные правонарушения, предусмотренные</w:t>
      </w:r>
      <w:r w:rsidRPr="00765F65">
        <w:rPr>
          <w:b/>
          <w:sz w:val="28"/>
          <w:szCs w:val="28"/>
        </w:rPr>
        <w:t xml:space="preserve"> частью 1 </w:t>
      </w:r>
      <w:hyperlink r:id="rId111" w:history="1">
        <w:r w:rsidRPr="00765F65">
          <w:rPr>
            <w:b/>
            <w:sz w:val="28"/>
            <w:szCs w:val="28"/>
          </w:rPr>
          <w:t xml:space="preserve">статьи 19.5 </w:t>
        </w:r>
      </w:hyperlink>
      <w:r w:rsidRPr="00765F65">
        <w:rPr>
          <w:sz w:val="28"/>
          <w:szCs w:val="28"/>
        </w:rPr>
        <w:t xml:space="preserve"> </w:t>
      </w:r>
      <w:hyperlink r:id="rId112" w:history="1">
        <w:r w:rsidRPr="00765F65">
          <w:t xml:space="preserve"> </w:t>
        </w:r>
      </w:hyperlink>
      <w:r w:rsidRPr="00765F65">
        <w:rPr>
          <w:sz w:val="28"/>
          <w:szCs w:val="28"/>
        </w:rPr>
        <w:t xml:space="preserve">КоАП РФ, </w:t>
      </w:r>
      <w:r w:rsidRPr="00765F65">
        <w:rPr>
          <w:rFonts w:eastAsia="Calibri"/>
          <w:sz w:val="28"/>
          <w:szCs w:val="28"/>
          <w:lang w:eastAsia="en-US"/>
        </w:rPr>
        <w:t>сумма поступлений</w:t>
      </w:r>
      <w:r>
        <w:rPr>
          <w:rFonts w:eastAsia="Calibri"/>
          <w:sz w:val="28"/>
          <w:szCs w:val="28"/>
          <w:lang w:eastAsia="en-US"/>
        </w:rPr>
        <w:t xml:space="preserve"> </w:t>
      </w:r>
      <w:r w:rsidRPr="00765F65">
        <w:rPr>
          <w:rFonts w:eastAsia="Calibri"/>
          <w:sz w:val="28"/>
          <w:szCs w:val="28"/>
          <w:lang w:eastAsia="en-US"/>
        </w:rPr>
        <w:t xml:space="preserve"> </w:t>
      </w:r>
      <w:r w:rsidRPr="00765F65">
        <w:rPr>
          <w:sz w:val="28"/>
          <w:szCs w:val="28"/>
        </w:rPr>
        <w:t xml:space="preserve">составила: </w:t>
      </w:r>
      <w:r w:rsidRPr="00765F65">
        <w:rPr>
          <w:rFonts w:eastAsia="Calibri"/>
          <w:sz w:val="28"/>
          <w:szCs w:val="28"/>
          <w:lang w:eastAsia="en-US"/>
        </w:rPr>
        <w:t xml:space="preserve">в 2018 г. – </w:t>
      </w:r>
      <w:r w:rsidRPr="00765F65">
        <w:rPr>
          <w:sz w:val="28"/>
          <w:szCs w:val="28"/>
        </w:rPr>
        <w:t>0,0 тыс. руб.,</w:t>
      </w:r>
      <w:r w:rsidRPr="00765F65">
        <w:rPr>
          <w:rFonts w:eastAsia="Calibri"/>
          <w:sz w:val="28"/>
          <w:szCs w:val="28"/>
          <w:lang w:eastAsia="en-US"/>
        </w:rPr>
        <w:t xml:space="preserve"> в 2019 г. – </w:t>
      </w:r>
      <w:r w:rsidRPr="00765F65">
        <w:rPr>
          <w:sz w:val="28"/>
          <w:szCs w:val="28"/>
        </w:rPr>
        <w:t>0,0 тыс. руб.</w:t>
      </w:r>
      <w:r>
        <w:rPr>
          <w:sz w:val="28"/>
          <w:szCs w:val="28"/>
        </w:rPr>
        <w:t>, в 2020 г. – 2,0 тыс. руб.</w:t>
      </w:r>
    </w:p>
    <w:p w:rsidR="0055491A" w:rsidRPr="00711DEC" w:rsidRDefault="0055491A" w:rsidP="0055491A">
      <w:pPr>
        <w:tabs>
          <w:tab w:val="left" w:pos="3195"/>
        </w:tabs>
        <w:autoSpaceDE w:val="0"/>
        <w:autoSpaceDN w:val="0"/>
        <w:adjustRightInd w:val="0"/>
        <w:ind w:firstLine="709"/>
        <w:jc w:val="both"/>
        <w:rPr>
          <w:rFonts w:eastAsia="Calibri"/>
          <w:sz w:val="28"/>
          <w:szCs w:val="28"/>
          <w:highlight w:val="green"/>
          <w:lang w:eastAsia="en-US"/>
        </w:rPr>
      </w:pPr>
      <w:r w:rsidRPr="00711DEC">
        <w:rPr>
          <w:rFonts w:eastAsia="Calibri"/>
          <w:sz w:val="28"/>
          <w:szCs w:val="28"/>
          <w:lang w:eastAsia="en-US"/>
        </w:rPr>
        <w:t>Ожидаемая оценка на 2021 год: П</w:t>
      </w:r>
      <w:r w:rsidRPr="00711DEC">
        <w:rPr>
          <w:rFonts w:eastAsia="Calibri"/>
          <w:sz w:val="28"/>
          <w:szCs w:val="28"/>
          <w:vertAlign w:val="subscript"/>
          <w:lang w:eastAsia="en-US"/>
        </w:rPr>
        <w:t xml:space="preserve">19.5 </w:t>
      </w:r>
      <w:r w:rsidRPr="00711DEC">
        <w:rPr>
          <w:rFonts w:eastAsia="Calibri"/>
          <w:sz w:val="28"/>
          <w:szCs w:val="28"/>
          <w:lang w:eastAsia="en-US"/>
        </w:rPr>
        <w:t>= (0,0+0,0+2,0) / 3 = 0,7 тыс. руб.</w:t>
      </w:r>
    </w:p>
    <w:p w:rsidR="0055491A" w:rsidRPr="00255A43" w:rsidRDefault="0055491A" w:rsidP="0055491A">
      <w:pPr>
        <w:tabs>
          <w:tab w:val="left" w:pos="3195"/>
        </w:tabs>
        <w:autoSpaceDE w:val="0"/>
        <w:autoSpaceDN w:val="0"/>
        <w:adjustRightInd w:val="0"/>
        <w:ind w:firstLine="709"/>
        <w:jc w:val="both"/>
        <w:rPr>
          <w:rFonts w:eastAsia="Calibri"/>
          <w:b/>
          <w:sz w:val="28"/>
          <w:szCs w:val="28"/>
          <w:lang w:eastAsia="en-US"/>
        </w:rPr>
      </w:pPr>
      <w:r w:rsidRPr="00711DEC">
        <w:rPr>
          <w:rFonts w:eastAsia="Calibri"/>
          <w:sz w:val="28"/>
          <w:szCs w:val="28"/>
          <w:lang w:eastAsia="en-US"/>
        </w:rPr>
        <w:t>Определение прогноза на 2022 год</w:t>
      </w:r>
      <w:r w:rsidRPr="00255A43">
        <w:rPr>
          <w:rFonts w:eastAsia="Calibri"/>
          <w:b/>
          <w:sz w:val="28"/>
          <w:szCs w:val="28"/>
          <w:lang w:eastAsia="en-US"/>
        </w:rPr>
        <w:t>:</w:t>
      </w:r>
    </w:p>
    <w:p w:rsidR="0055491A" w:rsidRPr="00255A43" w:rsidRDefault="0055491A" w:rsidP="0055491A">
      <w:pPr>
        <w:tabs>
          <w:tab w:val="left" w:pos="3195"/>
        </w:tabs>
        <w:autoSpaceDE w:val="0"/>
        <w:autoSpaceDN w:val="0"/>
        <w:adjustRightInd w:val="0"/>
        <w:ind w:firstLine="709"/>
        <w:jc w:val="both"/>
        <w:rPr>
          <w:sz w:val="28"/>
          <w:szCs w:val="28"/>
        </w:rPr>
      </w:pPr>
      <w:r w:rsidRPr="00255A43">
        <w:rPr>
          <w:rFonts w:eastAsia="Calibri"/>
          <w:sz w:val="28"/>
          <w:szCs w:val="28"/>
          <w:lang w:eastAsia="en-US"/>
        </w:rPr>
        <w:t xml:space="preserve">Согласно данным о фактическом поступлении доходов платежей за </w:t>
      </w:r>
      <w:r w:rsidRPr="00255A43">
        <w:rPr>
          <w:sz w:val="28"/>
          <w:szCs w:val="28"/>
        </w:rPr>
        <w:t>административные правонарушения, предусмотренные</w:t>
      </w:r>
      <w:r w:rsidRPr="00255A43">
        <w:rPr>
          <w:b/>
          <w:sz w:val="28"/>
          <w:szCs w:val="28"/>
        </w:rPr>
        <w:t xml:space="preserve"> частью 1 </w:t>
      </w:r>
      <w:hyperlink r:id="rId113" w:history="1">
        <w:r w:rsidRPr="00255A43">
          <w:rPr>
            <w:b/>
            <w:sz w:val="28"/>
            <w:szCs w:val="28"/>
          </w:rPr>
          <w:t xml:space="preserve">статьи 19.5 </w:t>
        </w:r>
      </w:hyperlink>
      <w:r w:rsidRPr="00255A43">
        <w:rPr>
          <w:sz w:val="28"/>
          <w:szCs w:val="28"/>
        </w:rPr>
        <w:t xml:space="preserve"> </w:t>
      </w:r>
      <w:hyperlink r:id="rId114" w:history="1">
        <w:r w:rsidRPr="00255A43">
          <w:t xml:space="preserve"> </w:t>
        </w:r>
      </w:hyperlink>
      <w:r w:rsidRPr="00255A43">
        <w:rPr>
          <w:sz w:val="28"/>
          <w:szCs w:val="28"/>
        </w:rPr>
        <w:t xml:space="preserve">КоАП РФ, </w:t>
      </w:r>
      <w:r w:rsidRPr="00255A43">
        <w:rPr>
          <w:rFonts w:eastAsia="Calibri"/>
          <w:sz w:val="28"/>
          <w:szCs w:val="28"/>
          <w:lang w:eastAsia="en-US"/>
        </w:rPr>
        <w:t xml:space="preserve">сумма поступлений </w:t>
      </w:r>
      <w:r w:rsidRPr="00255A43">
        <w:rPr>
          <w:sz w:val="28"/>
          <w:szCs w:val="28"/>
        </w:rPr>
        <w:t xml:space="preserve">составила: </w:t>
      </w:r>
      <w:r w:rsidRPr="00255A43">
        <w:rPr>
          <w:rFonts w:eastAsia="Calibri"/>
          <w:sz w:val="28"/>
          <w:szCs w:val="28"/>
          <w:lang w:eastAsia="en-US"/>
        </w:rPr>
        <w:t xml:space="preserve">в 2019 г. – </w:t>
      </w:r>
      <w:r w:rsidRPr="00255A43">
        <w:rPr>
          <w:sz w:val="28"/>
          <w:szCs w:val="28"/>
        </w:rPr>
        <w:t xml:space="preserve">0,0 тыс. руб., </w:t>
      </w:r>
      <w:r w:rsidRPr="00255A43">
        <w:rPr>
          <w:rFonts w:eastAsia="Calibri"/>
          <w:sz w:val="28"/>
          <w:szCs w:val="28"/>
          <w:lang w:eastAsia="en-US"/>
        </w:rPr>
        <w:t xml:space="preserve">в 2020 г. – </w:t>
      </w:r>
      <w:r w:rsidRPr="00255A43">
        <w:rPr>
          <w:sz w:val="28"/>
          <w:szCs w:val="28"/>
        </w:rPr>
        <w:t>2,0 тыс. руб.,</w:t>
      </w:r>
      <w:r w:rsidRPr="00255A43">
        <w:rPr>
          <w:rFonts w:eastAsia="Calibri"/>
          <w:sz w:val="28"/>
          <w:szCs w:val="28"/>
          <w:lang w:eastAsia="en-US"/>
        </w:rPr>
        <w:t xml:space="preserve"> в 2021 г. – 0,</w:t>
      </w:r>
      <w:r w:rsidRPr="00255A43">
        <w:rPr>
          <w:sz w:val="28"/>
          <w:szCs w:val="28"/>
        </w:rPr>
        <w:t>7 тыс. руб.</w:t>
      </w:r>
    </w:p>
    <w:p w:rsidR="0055491A" w:rsidRPr="00255A43" w:rsidRDefault="0055491A" w:rsidP="0055491A">
      <w:pPr>
        <w:tabs>
          <w:tab w:val="left" w:pos="3195"/>
        </w:tabs>
        <w:autoSpaceDE w:val="0"/>
        <w:autoSpaceDN w:val="0"/>
        <w:adjustRightInd w:val="0"/>
        <w:ind w:firstLine="709"/>
        <w:jc w:val="both"/>
        <w:rPr>
          <w:rFonts w:eastAsia="Calibri"/>
          <w:sz w:val="28"/>
          <w:szCs w:val="28"/>
          <w:lang w:eastAsia="en-US"/>
        </w:rPr>
      </w:pPr>
      <w:r w:rsidRPr="00255A43">
        <w:rPr>
          <w:rFonts w:eastAsia="Calibri"/>
          <w:sz w:val="28"/>
          <w:szCs w:val="28"/>
          <w:lang w:eastAsia="en-US"/>
        </w:rPr>
        <w:t>Таким образом, Д</w:t>
      </w:r>
      <w:r w:rsidRPr="00255A43">
        <w:rPr>
          <w:rFonts w:eastAsia="Calibri"/>
          <w:sz w:val="28"/>
          <w:szCs w:val="28"/>
          <w:vertAlign w:val="subscript"/>
          <w:lang w:eastAsia="en-US"/>
        </w:rPr>
        <w:t>19.5</w:t>
      </w:r>
      <w:r w:rsidRPr="00255A43">
        <w:rPr>
          <w:rFonts w:eastAsia="Calibri"/>
          <w:sz w:val="28"/>
          <w:szCs w:val="28"/>
          <w:lang w:eastAsia="en-US"/>
        </w:rPr>
        <w:t xml:space="preserve"> </w:t>
      </w:r>
      <w:r w:rsidRPr="00255A43">
        <w:rPr>
          <w:rFonts w:eastAsia="Calibri"/>
          <w:sz w:val="28"/>
          <w:szCs w:val="28"/>
          <w:vertAlign w:val="subscript"/>
          <w:lang w:eastAsia="en-US"/>
        </w:rPr>
        <w:t xml:space="preserve"> </w:t>
      </w:r>
      <w:r w:rsidRPr="00255A43">
        <w:rPr>
          <w:rFonts w:eastAsia="Calibri"/>
          <w:sz w:val="28"/>
          <w:szCs w:val="28"/>
          <w:lang w:eastAsia="en-US"/>
        </w:rPr>
        <w:t>= (0,0+2,0+0,7) / 3 = 0,9 тыс. руб.</w:t>
      </w:r>
    </w:p>
    <w:p w:rsidR="0055491A" w:rsidRPr="00255A43" w:rsidRDefault="0055491A" w:rsidP="0055491A">
      <w:pPr>
        <w:tabs>
          <w:tab w:val="left" w:pos="3195"/>
        </w:tabs>
        <w:autoSpaceDE w:val="0"/>
        <w:autoSpaceDN w:val="0"/>
        <w:adjustRightInd w:val="0"/>
        <w:ind w:firstLine="709"/>
        <w:jc w:val="both"/>
        <w:rPr>
          <w:sz w:val="28"/>
          <w:szCs w:val="28"/>
        </w:rPr>
      </w:pPr>
      <w:r w:rsidRPr="00255A43">
        <w:rPr>
          <w:rFonts w:eastAsia="Calibri"/>
          <w:sz w:val="28"/>
          <w:szCs w:val="28"/>
          <w:lang w:eastAsia="en-US"/>
        </w:rPr>
        <w:t xml:space="preserve">Прогноз </w:t>
      </w:r>
      <w:r w:rsidRPr="00711DEC">
        <w:rPr>
          <w:rFonts w:eastAsia="Calibri"/>
          <w:sz w:val="28"/>
          <w:szCs w:val="28"/>
          <w:lang w:eastAsia="en-US"/>
        </w:rPr>
        <w:t>на 2023 - 2024 гг</w:t>
      </w:r>
      <w:r w:rsidRPr="00255A43">
        <w:rPr>
          <w:rFonts w:eastAsia="Calibri"/>
          <w:b/>
          <w:sz w:val="28"/>
          <w:szCs w:val="28"/>
          <w:lang w:eastAsia="en-US"/>
        </w:rPr>
        <w:t xml:space="preserve">. </w:t>
      </w:r>
      <w:r w:rsidRPr="00255A43">
        <w:rPr>
          <w:sz w:val="28"/>
          <w:szCs w:val="28"/>
        </w:rPr>
        <w:t xml:space="preserve">составляет: </w:t>
      </w:r>
    </w:p>
    <w:p w:rsidR="0055491A" w:rsidRPr="00255A43" w:rsidRDefault="0055491A" w:rsidP="0055491A">
      <w:pPr>
        <w:tabs>
          <w:tab w:val="left" w:pos="3195"/>
        </w:tabs>
        <w:autoSpaceDE w:val="0"/>
        <w:autoSpaceDN w:val="0"/>
        <w:adjustRightInd w:val="0"/>
        <w:ind w:firstLine="709"/>
        <w:jc w:val="both"/>
        <w:rPr>
          <w:rFonts w:eastAsia="Calibri"/>
          <w:sz w:val="28"/>
          <w:szCs w:val="28"/>
          <w:lang w:eastAsia="en-US"/>
        </w:rPr>
      </w:pPr>
      <w:r w:rsidRPr="00255A43">
        <w:rPr>
          <w:rFonts w:eastAsia="Calibri"/>
          <w:sz w:val="28"/>
          <w:szCs w:val="28"/>
          <w:lang w:eastAsia="en-US"/>
        </w:rPr>
        <w:t>Д</w:t>
      </w:r>
      <w:r w:rsidRPr="00255A43">
        <w:rPr>
          <w:rFonts w:eastAsia="Calibri"/>
          <w:sz w:val="28"/>
          <w:szCs w:val="28"/>
          <w:vertAlign w:val="subscript"/>
          <w:lang w:eastAsia="en-US"/>
        </w:rPr>
        <w:t>19.5</w:t>
      </w:r>
      <w:r w:rsidRPr="00255A43">
        <w:rPr>
          <w:rFonts w:eastAsia="Calibri"/>
          <w:sz w:val="28"/>
          <w:szCs w:val="28"/>
          <w:lang w:eastAsia="en-US"/>
        </w:rPr>
        <w:t xml:space="preserve"> </w:t>
      </w:r>
      <w:r w:rsidRPr="00255A43">
        <w:rPr>
          <w:rFonts w:eastAsia="Calibri"/>
          <w:sz w:val="28"/>
          <w:szCs w:val="28"/>
          <w:vertAlign w:val="subscript"/>
          <w:lang w:eastAsia="en-US"/>
        </w:rPr>
        <w:t xml:space="preserve"> </w:t>
      </w:r>
      <w:r w:rsidRPr="00255A43">
        <w:rPr>
          <w:rFonts w:eastAsia="Calibri"/>
          <w:sz w:val="28"/>
          <w:szCs w:val="28"/>
          <w:lang w:eastAsia="en-US"/>
        </w:rPr>
        <w:t>= (2,0+0,7+0,9) / 3 = 1,2 тыс. руб.</w:t>
      </w:r>
    </w:p>
    <w:p w:rsidR="0055491A" w:rsidRPr="00255A43" w:rsidRDefault="0055491A" w:rsidP="0055491A">
      <w:pPr>
        <w:tabs>
          <w:tab w:val="left" w:pos="3195"/>
        </w:tabs>
        <w:autoSpaceDE w:val="0"/>
        <w:autoSpaceDN w:val="0"/>
        <w:adjustRightInd w:val="0"/>
        <w:ind w:firstLine="709"/>
        <w:jc w:val="both"/>
        <w:rPr>
          <w:rFonts w:eastAsia="Calibri"/>
          <w:sz w:val="28"/>
          <w:szCs w:val="28"/>
          <w:lang w:eastAsia="en-US"/>
        </w:rPr>
      </w:pPr>
      <w:r w:rsidRPr="00255A43">
        <w:rPr>
          <w:color w:val="000000"/>
          <w:sz w:val="28"/>
          <w:szCs w:val="28"/>
          <w:lang w:bidi="ru-RU"/>
        </w:rPr>
        <w:t>Согласно пункту четвертому статьи 46 Бюджетного кодекса Российской Федерации с</w:t>
      </w:r>
      <w:r w:rsidRPr="00255A43">
        <w:rPr>
          <w:rFonts w:eastAsia="Calibri"/>
          <w:sz w:val="28"/>
          <w:szCs w:val="28"/>
          <w:lang w:eastAsia="en-US"/>
        </w:rPr>
        <w:t>уммы штрафов, подлежат зачислению в бюджет субъекта Российской Федерации по нормативу 50 процентов, в бюджет муниципального района, городского округа, городского округа с внутригородским делением (по месту нахождения органа или должностного лица, принявших решение о наложении административного штрафа) по нормативу 50 процентов.</w:t>
      </w:r>
    </w:p>
    <w:p w:rsidR="0055491A" w:rsidRPr="00255A43" w:rsidRDefault="0055491A" w:rsidP="0055491A">
      <w:pPr>
        <w:tabs>
          <w:tab w:val="left" w:pos="3195"/>
        </w:tabs>
        <w:autoSpaceDE w:val="0"/>
        <w:autoSpaceDN w:val="0"/>
        <w:adjustRightInd w:val="0"/>
        <w:ind w:firstLine="709"/>
        <w:jc w:val="both"/>
        <w:rPr>
          <w:rFonts w:eastAsia="Calibri"/>
          <w:sz w:val="28"/>
          <w:szCs w:val="28"/>
          <w:lang w:eastAsia="en-US"/>
        </w:rPr>
      </w:pPr>
      <w:r w:rsidRPr="00255A43">
        <w:rPr>
          <w:rFonts w:eastAsia="Calibri"/>
          <w:sz w:val="28"/>
          <w:szCs w:val="28"/>
          <w:lang w:eastAsia="en-US"/>
        </w:rPr>
        <w:t>Таким образом, в бюджет субъекта Российской Федерации:</w:t>
      </w:r>
    </w:p>
    <w:p w:rsidR="0055491A" w:rsidRPr="00255A43" w:rsidRDefault="0055491A" w:rsidP="0055491A">
      <w:pPr>
        <w:tabs>
          <w:tab w:val="left" w:pos="3195"/>
        </w:tabs>
        <w:autoSpaceDE w:val="0"/>
        <w:autoSpaceDN w:val="0"/>
        <w:adjustRightInd w:val="0"/>
        <w:ind w:firstLine="709"/>
        <w:jc w:val="both"/>
        <w:rPr>
          <w:rFonts w:eastAsia="Calibri"/>
          <w:sz w:val="28"/>
          <w:szCs w:val="28"/>
          <w:lang w:eastAsia="en-US"/>
        </w:rPr>
      </w:pPr>
      <w:r w:rsidRPr="00255A43">
        <w:rPr>
          <w:rFonts w:eastAsia="Calibri"/>
          <w:sz w:val="28"/>
          <w:szCs w:val="28"/>
          <w:lang w:eastAsia="en-US"/>
        </w:rPr>
        <w:t>ожидаемая оценка на 2021 год: 0,</w:t>
      </w:r>
      <w:r>
        <w:rPr>
          <w:rFonts w:eastAsia="Calibri"/>
          <w:sz w:val="28"/>
          <w:szCs w:val="28"/>
          <w:lang w:eastAsia="en-US"/>
        </w:rPr>
        <w:t>4</w:t>
      </w:r>
      <w:r w:rsidRPr="00255A43">
        <w:rPr>
          <w:rFonts w:eastAsia="Calibri"/>
          <w:sz w:val="28"/>
          <w:szCs w:val="28"/>
          <w:lang w:eastAsia="en-US"/>
        </w:rPr>
        <w:t xml:space="preserve"> тыс. руб.;</w:t>
      </w:r>
      <w:r w:rsidRPr="00255A43">
        <w:rPr>
          <w:sz w:val="28"/>
          <w:szCs w:val="28"/>
        </w:rPr>
        <w:t xml:space="preserve"> </w:t>
      </w:r>
    </w:p>
    <w:p w:rsidR="0055491A" w:rsidRDefault="0055491A" w:rsidP="0055491A">
      <w:pPr>
        <w:tabs>
          <w:tab w:val="left" w:pos="3195"/>
        </w:tabs>
        <w:autoSpaceDE w:val="0"/>
        <w:autoSpaceDN w:val="0"/>
        <w:adjustRightInd w:val="0"/>
        <w:ind w:firstLine="709"/>
        <w:jc w:val="both"/>
        <w:rPr>
          <w:b/>
          <w:sz w:val="28"/>
          <w:szCs w:val="28"/>
        </w:rPr>
      </w:pPr>
      <w:r>
        <w:rPr>
          <w:rFonts w:eastAsia="Calibri"/>
          <w:b/>
          <w:sz w:val="28"/>
          <w:szCs w:val="28"/>
          <w:lang w:eastAsia="en-US"/>
        </w:rPr>
        <w:t>П</w:t>
      </w:r>
      <w:r w:rsidRPr="00711DEC">
        <w:rPr>
          <w:rFonts w:eastAsia="Calibri"/>
          <w:b/>
          <w:sz w:val="28"/>
          <w:szCs w:val="28"/>
          <w:lang w:eastAsia="en-US"/>
        </w:rPr>
        <w:t>рогноз на 2022 год - 0,5 тыс. руб.;</w:t>
      </w:r>
      <w:r w:rsidRPr="00711DEC">
        <w:rPr>
          <w:b/>
          <w:sz w:val="28"/>
          <w:szCs w:val="28"/>
        </w:rPr>
        <w:t xml:space="preserve"> </w:t>
      </w:r>
    </w:p>
    <w:p w:rsidR="0055491A" w:rsidRPr="00711DEC" w:rsidRDefault="0055491A" w:rsidP="0055491A">
      <w:pPr>
        <w:tabs>
          <w:tab w:val="left" w:pos="3195"/>
        </w:tabs>
        <w:autoSpaceDE w:val="0"/>
        <w:autoSpaceDN w:val="0"/>
        <w:adjustRightInd w:val="0"/>
        <w:ind w:firstLine="709"/>
        <w:jc w:val="both"/>
        <w:rPr>
          <w:rFonts w:eastAsia="Calibri"/>
          <w:b/>
          <w:sz w:val="28"/>
          <w:szCs w:val="28"/>
          <w:lang w:eastAsia="en-US"/>
        </w:rPr>
      </w:pPr>
      <w:r>
        <w:rPr>
          <w:rFonts w:eastAsia="Calibri"/>
          <w:b/>
          <w:sz w:val="28"/>
          <w:szCs w:val="28"/>
          <w:lang w:eastAsia="en-US"/>
        </w:rPr>
        <w:t>П</w:t>
      </w:r>
      <w:r w:rsidRPr="00711DEC">
        <w:rPr>
          <w:rFonts w:eastAsia="Calibri"/>
          <w:b/>
          <w:sz w:val="28"/>
          <w:szCs w:val="28"/>
          <w:lang w:eastAsia="en-US"/>
        </w:rPr>
        <w:t>рогноз на 2023 - 2024 гг.: 0,6 тыс. руб. соответственно;</w:t>
      </w:r>
    </w:p>
    <w:p w:rsidR="0055491A" w:rsidRPr="005F6BFA" w:rsidRDefault="0055491A" w:rsidP="0055491A">
      <w:pPr>
        <w:shd w:val="clear" w:color="auto" w:fill="FFFFFF"/>
        <w:ind w:firstLine="708"/>
        <w:jc w:val="both"/>
        <w:rPr>
          <w:rFonts w:eastAsia="Calibri"/>
          <w:b/>
          <w:sz w:val="28"/>
          <w:szCs w:val="28"/>
          <w:lang w:eastAsia="en-US"/>
        </w:rPr>
      </w:pPr>
      <w:r w:rsidRPr="00D81182">
        <w:rPr>
          <w:rFonts w:eastAsia="Calibri"/>
          <w:sz w:val="28"/>
          <w:szCs w:val="28"/>
          <w:lang w:eastAsia="en-US"/>
        </w:rPr>
        <w:t>14.7.</w:t>
      </w:r>
      <w:r>
        <w:rPr>
          <w:rFonts w:eastAsia="Calibri"/>
          <w:sz w:val="28"/>
          <w:szCs w:val="28"/>
          <w:lang w:eastAsia="en-US"/>
        </w:rPr>
        <w:t>2</w:t>
      </w:r>
      <w:r w:rsidRPr="00D81182">
        <w:rPr>
          <w:rFonts w:eastAsia="Calibri"/>
          <w:i/>
          <w:sz w:val="28"/>
          <w:szCs w:val="28"/>
          <w:lang w:eastAsia="en-US"/>
        </w:rPr>
        <w:t xml:space="preserve"> </w:t>
      </w:r>
      <w:r w:rsidRPr="005F6BFA">
        <w:rPr>
          <w:rFonts w:eastAsia="Calibri"/>
          <w:b/>
          <w:sz w:val="28"/>
          <w:szCs w:val="28"/>
          <w:lang w:eastAsia="en-US"/>
        </w:rPr>
        <w:t>штрафы за непредставление сведений (информации)</w:t>
      </w:r>
      <w:r>
        <w:rPr>
          <w:rFonts w:eastAsia="Calibri"/>
          <w:b/>
          <w:sz w:val="28"/>
          <w:szCs w:val="28"/>
          <w:lang w:eastAsia="en-US"/>
        </w:rPr>
        <w:t xml:space="preserve">. </w:t>
      </w:r>
    </w:p>
    <w:p w:rsidR="0055491A" w:rsidRPr="00130268" w:rsidRDefault="0055491A" w:rsidP="0055491A">
      <w:pPr>
        <w:shd w:val="clear" w:color="auto" w:fill="FFFFFF"/>
        <w:ind w:firstLine="708"/>
        <w:jc w:val="both"/>
        <w:rPr>
          <w:rFonts w:eastAsia="Calibri"/>
          <w:b/>
          <w:sz w:val="28"/>
          <w:szCs w:val="28"/>
          <w:lang w:eastAsia="en-US"/>
        </w:rPr>
      </w:pPr>
      <w:r w:rsidRPr="00130268">
        <w:rPr>
          <w:sz w:val="28"/>
          <w:szCs w:val="28"/>
        </w:rPr>
        <w:t>Прогноз данного вида доходов определяется по формуле:</w:t>
      </w:r>
    </w:p>
    <w:p w:rsidR="0055491A" w:rsidRPr="00130268" w:rsidRDefault="0055491A" w:rsidP="0055491A">
      <w:pPr>
        <w:widowControl w:val="0"/>
        <w:autoSpaceDE w:val="0"/>
        <w:autoSpaceDN w:val="0"/>
        <w:jc w:val="center"/>
        <w:rPr>
          <w:sz w:val="28"/>
          <w:szCs w:val="28"/>
        </w:rPr>
      </w:pPr>
      <w:r w:rsidRPr="00130268">
        <w:rPr>
          <w:noProof/>
          <w:position w:val="-41"/>
          <w:sz w:val="28"/>
          <w:szCs w:val="28"/>
        </w:rPr>
        <w:drawing>
          <wp:inline distT="0" distB="0" distL="0" distR="0" wp14:anchorId="0669B941" wp14:editId="20F4A019">
            <wp:extent cx="1052830" cy="669925"/>
            <wp:effectExtent l="0" t="0" r="0" b="0"/>
            <wp:docPr id="24375" name="Рисунок 24375" descr="base_50_590968_329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9" descr="base_50_590968_32901"/>
                    <pic:cNvPicPr preferRelativeResize="0">
                      <a:picLocks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052830" cy="669925"/>
                    </a:xfrm>
                    <a:prstGeom prst="rect">
                      <a:avLst/>
                    </a:prstGeom>
                    <a:noFill/>
                    <a:ln>
                      <a:noFill/>
                    </a:ln>
                  </pic:spPr>
                </pic:pic>
              </a:graphicData>
            </a:graphic>
          </wp:inline>
        </w:drawing>
      </w:r>
    </w:p>
    <w:p w:rsidR="0055491A" w:rsidRPr="00130268" w:rsidRDefault="0055491A" w:rsidP="0055491A">
      <w:pPr>
        <w:widowControl w:val="0"/>
        <w:autoSpaceDE w:val="0"/>
        <w:autoSpaceDN w:val="0"/>
        <w:ind w:firstLine="540"/>
        <w:jc w:val="both"/>
        <w:rPr>
          <w:sz w:val="28"/>
          <w:szCs w:val="28"/>
        </w:rPr>
      </w:pPr>
      <w:r w:rsidRPr="00130268">
        <w:rPr>
          <w:sz w:val="28"/>
          <w:szCs w:val="28"/>
        </w:rPr>
        <w:lastRenderedPageBreak/>
        <w:t>где:</w:t>
      </w:r>
    </w:p>
    <w:p w:rsidR="0055491A" w:rsidRPr="00130268" w:rsidRDefault="0055491A" w:rsidP="0055491A">
      <w:pPr>
        <w:widowControl w:val="0"/>
        <w:autoSpaceDE w:val="0"/>
        <w:autoSpaceDN w:val="0"/>
        <w:ind w:firstLine="540"/>
        <w:jc w:val="both"/>
        <w:rPr>
          <w:sz w:val="28"/>
          <w:szCs w:val="28"/>
        </w:rPr>
      </w:pPr>
      <w:r w:rsidRPr="00130268">
        <w:rPr>
          <w:noProof/>
          <w:position w:val="-26"/>
          <w:sz w:val="28"/>
          <w:szCs w:val="28"/>
        </w:rPr>
        <w:drawing>
          <wp:inline distT="0" distB="0" distL="0" distR="0" wp14:anchorId="63AE9C5F" wp14:editId="3CB1D8AE">
            <wp:extent cx="382905" cy="467995"/>
            <wp:effectExtent l="0" t="0" r="0" b="8255"/>
            <wp:docPr id="24374" name="Рисунок 24374" descr="base_50_590968_329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0" descr="base_50_590968_32902"/>
                    <pic:cNvPicPr preferRelativeResize="0">
                      <a:picLocks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382905" cy="467995"/>
                    </a:xfrm>
                    <a:prstGeom prst="rect">
                      <a:avLst/>
                    </a:prstGeom>
                    <a:noFill/>
                    <a:ln>
                      <a:noFill/>
                    </a:ln>
                  </pic:spPr>
                </pic:pic>
              </a:graphicData>
            </a:graphic>
          </wp:inline>
        </w:drawing>
      </w:r>
      <w:r w:rsidRPr="00130268">
        <w:rPr>
          <w:sz w:val="28"/>
          <w:szCs w:val="28"/>
        </w:rPr>
        <w:t xml:space="preserve"> - сумма поступлений по виду доходов за три года, предшествующих прогнозируемому году (при формировании прогноза на очередной финансовый год используются фактические данные за два отчетных года и </w:t>
      </w:r>
      <w:r>
        <w:rPr>
          <w:sz w:val="28"/>
          <w:szCs w:val="28"/>
        </w:rPr>
        <w:t>ожидаемая оценка</w:t>
      </w:r>
      <w:r w:rsidRPr="00130268">
        <w:rPr>
          <w:sz w:val="28"/>
          <w:szCs w:val="28"/>
        </w:rPr>
        <w:t xml:space="preserve"> на текущий финансовый год, при формировании прогноза на первый год планового периода используются фактические данные за один отчетный год и </w:t>
      </w:r>
      <w:r>
        <w:rPr>
          <w:sz w:val="28"/>
          <w:szCs w:val="28"/>
        </w:rPr>
        <w:t>ожидаемая оценка</w:t>
      </w:r>
      <w:r w:rsidRPr="00130268">
        <w:rPr>
          <w:sz w:val="28"/>
          <w:szCs w:val="28"/>
        </w:rPr>
        <w:t xml:space="preserve"> текущего финансового года и </w:t>
      </w:r>
      <w:r>
        <w:rPr>
          <w:sz w:val="28"/>
          <w:szCs w:val="28"/>
        </w:rPr>
        <w:t xml:space="preserve">прогноз </w:t>
      </w:r>
      <w:r w:rsidRPr="00130268">
        <w:rPr>
          <w:sz w:val="28"/>
          <w:szCs w:val="28"/>
        </w:rPr>
        <w:t>очередного финансового года; прогноз на второй год планового периода принимается на уровне прогноза первого года планового периода) (тыс. руб.);</w:t>
      </w:r>
    </w:p>
    <w:p w:rsidR="0055491A" w:rsidRDefault="0055491A" w:rsidP="0055491A">
      <w:pPr>
        <w:widowControl w:val="0"/>
        <w:autoSpaceDE w:val="0"/>
        <w:autoSpaceDN w:val="0"/>
        <w:ind w:firstLine="540"/>
        <w:jc w:val="both"/>
        <w:rPr>
          <w:sz w:val="28"/>
          <w:szCs w:val="28"/>
        </w:rPr>
      </w:pPr>
      <w:r w:rsidRPr="00130268">
        <w:rPr>
          <w:sz w:val="28"/>
          <w:szCs w:val="28"/>
        </w:rPr>
        <w:t>R - корректирующая сумма поступлений, учитывающая отдельные решения Президента Российской Федерации, Правительства Российской Федерации, а также проекты нормативных правовых актов Президента Российской Федерации, Правительства Российской Федерации и другие факторы, влияющие на объем прогнозируемых доходов (тыс. руб.).</w:t>
      </w:r>
    </w:p>
    <w:p w:rsidR="0055491A" w:rsidRDefault="0055491A" w:rsidP="0055491A">
      <w:pPr>
        <w:tabs>
          <w:tab w:val="left" w:pos="3195"/>
        </w:tabs>
        <w:autoSpaceDE w:val="0"/>
        <w:autoSpaceDN w:val="0"/>
        <w:adjustRightInd w:val="0"/>
        <w:ind w:firstLine="709"/>
        <w:jc w:val="both"/>
        <w:rPr>
          <w:rFonts w:eastAsia="Calibri"/>
          <w:sz w:val="28"/>
          <w:szCs w:val="28"/>
          <w:lang w:eastAsia="en-US"/>
        </w:rPr>
      </w:pPr>
      <w:r w:rsidRPr="0031548D">
        <w:rPr>
          <w:color w:val="000000"/>
          <w:sz w:val="28"/>
          <w:szCs w:val="28"/>
          <w:lang w:bidi="ru-RU"/>
        </w:rPr>
        <w:t xml:space="preserve">Согласно </w:t>
      </w:r>
      <w:r>
        <w:rPr>
          <w:color w:val="000000"/>
          <w:sz w:val="28"/>
          <w:szCs w:val="28"/>
          <w:lang w:bidi="ru-RU"/>
        </w:rPr>
        <w:t>пункту 4</w:t>
      </w:r>
      <w:r w:rsidRPr="0031548D">
        <w:rPr>
          <w:color w:val="000000"/>
          <w:sz w:val="28"/>
          <w:szCs w:val="28"/>
          <w:lang w:bidi="ru-RU"/>
        </w:rPr>
        <w:t xml:space="preserve"> статьи </w:t>
      </w:r>
      <w:r>
        <w:rPr>
          <w:color w:val="000000"/>
          <w:sz w:val="28"/>
          <w:szCs w:val="28"/>
          <w:lang w:bidi="ru-RU"/>
        </w:rPr>
        <w:t>46</w:t>
      </w:r>
      <w:r w:rsidRPr="0031548D">
        <w:rPr>
          <w:color w:val="000000"/>
          <w:sz w:val="28"/>
          <w:szCs w:val="28"/>
          <w:lang w:bidi="ru-RU"/>
        </w:rPr>
        <w:t xml:space="preserve"> Бюджетного кодекса Российской Федерации </w:t>
      </w:r>
      <w:r>
        <w:rPr>
          <w:color w:val="000000"/>
          <w:sz w:val="28"/>
          <w:szCs w:val="28"/>
          <w:lang w:bidi="ru-RU"/>
        </w:rPr>
        <w:t>с</w:t>
      </w:r>
      <w:r w:rsidRPr="00D23E9E">
        <w:rPr>
          <w:rFonts w:eastAsia="Calibri"/>
          <w:sz w:val="28"/>
          <w:szCs w:val="28"/>
          <w:lang w:eastAsia="en-US"/>
        </w:rPr>
        <w:t>уммы штрафов, подлежат зачислению в бюджет субъекта Российской Федерации по нормативу 50 процентов, в бюджет муниципального района, городского округа, городского округа с внутригородским делением (по месту нахождения органа или должностного лица, принявших решение о наложении административного штрафа) по нормативу 50 процентов.</w:t>
      </w:r>
    </w:p>
    <w:p w:rsidR="0055491A" w:rsidRPr="002248A0" w:rsidRDefault="0055491A" w:rsidP="0055491A">
      <w:pPr>
        <w:tabs>
          <w:tab w:val="left" w:pos="3195"/>
        </w:tabs>
        <w:autoSpaceDE w:val="0"/>
        <w:autoSpaceDN w:val="0"/>
        <w:adjustRightInd w:val="0"/>
        <w:ind w:firstLine="709"/>
        <w:jc w:val="both"/>
        <w:rPr>
          <w:sz w:val="28"/>
          <w:szCs w:val="28"/>
        </w:rPr>
      </w:pPr>
      <w:r w:rsidRPr="003C27D4">
        <w:rPr>
          <w:rFonts w:eastAsia="Calibri"/>
          <w:sz w:val="28"/>
          <w:szCs w:val="28"/>
          <w:lang w:eastAsia="en-US"/>
        </w:rPr>
        <w:t xml:space="preserve"> </w:t>
      </w:r>
      <w:r w:rsidRPr="002248A0">
        <w:rPr>
          <w:rFonts w:eastAsia="Calibri"/>
          <w:sz w:val="28"/>
          <w:szCs w:val="28"/>
          <w:lang w:eastAsia="en-US"/>
        </w:rPr>
        <w:t xml:space="preserve">Согласно данным о фактическом поступлении доходов платежей за </w:t>
      </w:r>
      <w:r w:rsidRPr="002248A0">
        <w:rPr>
          <w:sz w:val="28"/>
          <w:szCs w:val="28"/>
        </w:rPr>
        <w:t>административные правонарушения, предусмотренные</w:t>
      </w:r>
      <w:r w:rsidRPr="002248A0">
        <w:rPr>
          <w:b/>
          <w:sz w:val="28"/>
          <w:szCs w:val="28"/>
        </w:rPr>
        <w:t xml:space="preserve"> </w:t>
      </w:r>
      <w:hyperlink r:id="rId115" w:history="1">
        <w:r w:rsidRPr="002248A0">
          <w:rPr>
            <w:b/>
            <w:sz w:val="28"/>
            <w:szCs w:val="28"/>
          </w:rPr>
          <w:t xml:space="preserve">статьей 19.7 </w:t>
        </w:r>
      </w:hyperlink>
      <w:r w:rsidRPr="002248A0">
        <w:rPr>
          <w:sz w:val="28"/>
          <w:szCs w:val="28"/>
        </w:rPr>
        <w:t xml:space="preserve">КоАП РФ, </w:t>
      </w:r>
      <w:r w:rsidRPr="002248A0">
        <w:rPr>
          <w:rFonts w:eastAsia="Calibri"/>
          <w:sz w:val="28"/>
          <w:szCs w:val="28"/>
          <w:lang w:eastAsia="en-US"/>
        </w:rPr>
        <w:t xml:space="preserve">сумма поступлений </w:t>
      </w:r>
      <w:r w:rsidRPr="002248A0">
        <w:rPr>
          <w:sz w:val="28"/>
          <w:szCs w:val="28"/>
        </w:rPr>
        <w:t xml:space="preserve">составила: </w:t>
      </w:r>
      <w:r w:rsidRPr="002248A0">
        <w:rPr>
          <w:rFonts w:eastAsia="Calibri"/>
          <w:sz w:val="28"/>
          <w:szCs w:val="28"/>
          <w:lang w:eastAsia="en-US"/>
        </w:rPr>
        <w:t xml:space="preserve">в 2018 г. – </w:t>
      </w:r>
      <w:r w:rsidRPr="002248A0">
        <w:rPr>
          <w:sz w:val="28"/>
          <w:szCs w:val="28"/>
        </w:rPr>
        <w:t>0,0 тыс. руб.,</w:t>
      </w:r>
      <w:r w:rsidRPr="002248A0">
        <w:rPr>
          <w:rFonts w:eastAsia="Calibri"/>
          <w:sz w:val="28"/>
          <w:szCs w:val="28"/>
          <w:lang w:eastAsia="en-US"/>
        </w:rPr>
        <w:t xml:space="preserve"> в 2019 г. – </w:t>
      </w:r>
      <w:r w:rsidRPr="002248A0">
        <w:rPr>
          <w:sz w:val="28"/>
          <w:szCs w:val="28"/>
        </w:rPr>
        <w:t>0,0 тыс. руб.</w:t>
      </w:r>
      <w:r>
        <w:rPr>
          <w:sz w:val="28"/>
          <w:szCs w:val="28"/>
        </w:rPr>
        <w:t>, в 2020 г. – 16,0 тыс. руб.</w:t>
      </w:r>
    </w:p>
    <w:p w:rsidR="0055491A" w:rsidRPr="002248A0" w:rsidRDefault="0055491A" w:rsidP="0055491A">
      <w:pPr>
        <w:tabs>
          <w:tab w:val="left" w:pos="3195"/>
        </w:tabs>
        <w:autoSpaceDE w:val="0"/>
        <w:autoSpaceDN w:val="0"/>
        <w:adjustRightInd w:val="0"/>
        <w:ind w:firstLine="709"/>
        <w:jc w:val="both"/>
        <w:rPr>
          <w:rFonts w:eastAsia="Calibri"/>
          <w:sz w:val="28"/>
          <w:szCs w:val="28"/>
          <w:lang w:eastAsia="en-US"/>
        </w:rPr>
      </w:pPr>
      <w:r w:rsidRPr="00711DEC">
        <w:rPr>
          <w:rFonts w:eastAsia="Calibri"/>
          <w:sz w:val="28"/>
          <w:szCs w:val="28"/>
          <w:lang w:eastAsia="en-US"/>
        </w:rPr>
        <w:t>Ожидаемая оценка на 2021 год</w:t>
      </w:r>
      <w:r w:rsidRPr="002248A0">
        <w:rPr>
          <w:rFonts w:eastAsia="Calibri"/>
          <w:b/>
          <w:sz w:val="28"/>
          <w:szCs w:val="28"/>
          <w:lang w:eastAsia="en-US"/>
        </w:rPr>
        <w:t>:</w:t>
      </w:r>
      <w:r w:rsidRPr="002248A0">
        <w:rPr>
          <w:rFonts w:eastAsia="Calibri"/>
          <w:sz w:val="28"/>
          <w:szCs w:val="28"/>
          <w:lang w:eastAsia="en-US"/>
        </w:rPr>
        <w:t xml:space="preserve"> </w:t>
      </w:r>
      <w:r>
        <w:rPr>
          <w:rFonts w:eastAsia="Calibri"/>
          <w:sz w:val="28"/>
          <w:szCs w:val="28"/>
          <w:lang w:eastAsia="en-US"/>
        </w:rPr>
        <w:t>О</w:t>
      </w:r>
      <w:r w:rsidRPr="002248A0">
        <w:rPr>
          <w:sz w:val="28"/>
          <w:szCs w:val="28"/>
        </w:rPr>
        <w:t>жидаемое поступление указанного вида доходов в 202</w:t>
      </w:r>
      <w:r>
        <w:rPr>
          <w:sz w:val="28"/>
          <w:szCs w:val="28"/>
        </w:rPr>
        <w:t>1</w:t>
      </w:r>
      <w:r w:rsidRPr="002248A0">
        <w:rPr>
          <w:sz w:val="28"/>
          <w:szCs w:val="28"/>
        </w:rPr>
        <w:t xml:space="preserve"> году составит:</w:t>
      </w:r>
      <w:r w:rsidRPr="002248A0">
        <w:rPr>
          <w:rFonts w:eastAsia="Calibri"/>
          <w:sz w:val="28"/>
          <w:szCs w:val="28"/>
          <w:lang w:eastAsia="en-US"/>
        </w:rPr>
        <w:t xml:space="preserve"> П </w:t>
      </w:r>
      <w:r w:rsidRPr="002248A0">
        <w:rPr>
          <w:rFonts w:eastAsia="Calibri"/>
          <w:sz w:val="28"/>
          <w:szCs w:val="28"/>
          <w:vertAlign w:val="subscript"/>
          <w:lang w:eastAsia="en-US"/>
        </w:rPr>
        <w:t xml:space="preserve">19.5 </w:t>
      </w:r>
      <w:r w:rsidRPr="002248A0">
        <w:rPr>
          <w:rFonts w:eastAsia="Calibri"/>
          <w:sz w:val="28"/>
          <w:szCs w:val="28"/>
          <w:lang w:eastAsia="en-US"/>
        </w:rPr>
        <w:t>= 1</w:t>
      </w:r>
      <w:r>
        <w:rPr>
          <w:rFonts w:eastAsia="Calibri"/>
          <w:sz w:val="28"/>
          <w:szCs w:val="28"/>
          <w:lang w:eastAsia="en-US"/>
        </w:rPr>
        <w:t>4</w:t>
      </w:r>
      <w:r w:rsidRPr="002248A0">
        <w:rPr>
          <w:rFonts w:eastAsia="Calibri"/>
          <w:sz w:val="28"/>
          <w:szCs w:val="28"/>
          <w:lang w:eastAsia="en-US"/>
        </w:rPr>
        <w:t>,0 тыс. руб.</w:t>
      </w:r>
      <w:r>
        <w:rPr>
          <w:rFonts w:eastAsia="Calibri"/>
          <w:sz w:val="28"/>
          <w:szCs w:val="28"/>
          <w:lang w:eastAsia="en-US"/>
        </w:rPr>
        <w:t xml:space="preserve"> (на уровне факта на 01.07.2021) (при расчете метом усреднения получается ниже фактических поступлений). </w:t>
      </w:r>
    </w:p>
    <w:p w:rsidR="0055491A" w:rsidRPr="00711DEC" w:rsidRDefault="0055491A" w:rsidP="0055491A">
      <w:pPr>
        <w:tabs>
          <w:tab w:val="left" w:pos="3195"/>
        </w:tabs>
        <w:autoSpaceDE w:val="0"/>
        <w:autoSpaceDN w:val="0"/>
        <w:adjustRightInd w:val="0"/>
        <w:ind w:firstLine="709"/>
        <w:jc w:val="both"/>
        <w:rPr>
          <w:rFonts w:eastAsia="Calibri"/>
          <w:sz w:val="28"/>
          <w:szCs w:val="28"/>
          <w:lang w:eastAsia="en-US"/>
        </w:rPr>
      </w:pPr>
      <w:r w:rsidRPr="00711DEC">
        <w:rPr>
          <w:rFonts w:eastAsia="Calibri"/>
          <w:sz w:val="28"/>
          <w:szCs w:val="28"/>
          <w:lang w:eastAsia="en-US"/>
        </w:rPr>
        <w:t>Расчет прогноза:</w:t>
      </w:r>
    </w:p>
    <w:p w:rsidR="0055491A" w:rsidRPr="00037210" w:rsidRDefault="0055491A" w:rsidP="0055491A">
      <w:pPr>
        <w:tabs>
          <w:tab w:val="left" w:pos="4395"/>
        </w:tabs>
        <w:ind w:firstLine="709"/>
        <w:jc w:val="both"/>
        <w:rPr>
          <w:sz w:val="28"/>
          <w:szCs w:val="28"/>
        </w:rPr>
      </w:pPr>
      <w:r w:rsidRPr="00037210">
        <w:rPr>
          <w:sz w:val="28"/>
          <w:szCs w:val="28"/>
        </w:rPr>
        <w:t>Прогнозное поступление составит:</w:t>
      </w:r>
    </w:p>
    <w:p w:rsidR="0055491A" w:rsidRPr="00037210" w:rsidRDefault="0055491A" w:rsidP="0055491A">
      <w:pPr>
        <w:tabs>
          <w:tab w:val="left" w:pos="4395"/>
        </w:tabs>
        <w:ind w:firstLine="709"/>
        <w:jc w:val="both"/>
        <w:rPr>
          <w:sz w:val="28"/>
          <w:szCs w:val="28"/>
        </w:rPr>
      </w:pPr>
      <w:r w:rsidRPr="00037210">
        <w:rPr>
          <w:sz w:val="28"/>
          <w:szCs w:val="28"/>
        </w:rPr>
        <w:t>Д</w:t>
      </w:r>
      <w:r w:rsidRPr="00037210">
        <w:rPr>
          <w:sz w:val="28"/>
          <w:szCs w:val="28"/>
          <w:vertAlign w:val="subscript"/>
        </w:rPr>
        <w:t>2022</w:t>
      </w:r>
      <w:r w:rsidRPr="00037210">
        <w:rPr>
          <w:sz w:val="28"/>
          <w:szCs w:val="28"/>
        </w:rPr>
        <w:t xml:space="preserve"> = (0,0 + 16,0 + 14,0)/3 ± 0,0 = 10,0 тыс. руб.; </w:t>
      </w:r>
    </w:p>
    <w:p w:rsidR="0055491A" w:rsidRPr="00037210" w:rsidRDefault="0055491A" w:rsidP="0055491A">
      <w:pPr>
        <w:tabs>
          <w:tab w:val="left" w:pos="4395"/>
        </w:tabs>
        <w:ind w:firstLine="709"/>
        <w:jc w:val="both"/>
        <w:rPr>
          <w:sz w:val="28"/>
          <w:szCs w:val="28"/>
        </w:rPr>
      </w:pPr>
      <w:r w:rsidRPr="00037210">
        <w:rPr>
          <w:sz w:val="28"/>
          <w:szCs w:val="28"/>
        </w:rPr>
        <w:t>Д</w:t>
      </w:r>
      <w:r w:rsidRPr="00037210">
        <w:rPr>
          <w:sz w:val="28"/>
          <w:szCs w:val="28"/>
          <w:vertAlign w:val="subscript"/>
        </w:rPr>
        <w:t>2023</w:t>
      </w:r>
      <w:r w:rsidRPr="00037210">
        <w:rPr>
          <w:sz w:val="28"/>
          <w:szCs w:val="28"/>
        </w:rPr>
        <w:t xml:space="preserve"> = (16,0 + 14,0 + 10,0)/3 ± 0,0 = 13,3 тыс. руб.;</w:t>
      </w:r>
    </w:p>
    <w:p w:rsidR="0055491A" w:rsidRPr="002248A0" w:rsidRDefault="0055491A" w:rsidP="0055491A">
      <w:pPr>
        <w:tabs>
          <w:tab w:val="left" w:pos="3195"/>
        </w:tabs>
        <w:autoSpaceDE w:val="0"/>
        <w:autoSpaceDN w:val="0"/>
        <w:adjustRightInd w:val="0"/>
        <w:ind w:firstLine="709"/>
        <w:jc w:val="both"/>
        <w:rPr>
          <w:rFonts w:eastAsia="Calibri"/>
          <w:sz w:val="28"/>
          <w:szCs w:val="28"/>
          <w:lang w:eastAsia="en-US"/>
        </w:rPr>
      </w:pPr>
      <w:r w:rsidRPr="002248A0">
        <w:rPr>
          <w:sz w:val="28"/>
          <w:szCs w:val="28"/>
        </w:rPr>
        <w:t>Корректирующая сумма поступлений, учитывающая отдельные решения Президента Российской Федерации, Правительства Российской Федерации, а также проекты нормативных правовых актов Президента Российской Федерации, Правительства Российской Федерации и другие факторы, влияющие на объем прогнозируемых доходов равна нулю.</w:t>
      </w:r>
    </w:p>
    <w:p w:rsidR="0055491A" w:rsidRPr="002248A0" w:rsidRDefault="0055491A" w:rsidP="0055491A">
      <w:pPr>
        <w:tabs>
          <w:tab w:val="left" w:pos="3195"/>
        </w:tabs>
        <w:autoSpaceDE w:val="0"/>
        <w:autoSpaceDN w:val="0"/>
        <w:adjustRightInd w:val="0"/>
        <w:ind w:firstLine="709"/>
        <w:jc w:val="both"/>
        <w:rPr>
          <w:rFonts w:eastAsia="Calibri"/>
          <w:sz w:val="28"/>
          <w:szCs w:val="28"/>
          <w:lang w:eastAsia="en-US"/>
        </w:rPr>
      </w:pPr>
      <w:r>
        <w:rPr>
          <w:rFonts w:eastAsia="Calibri"/>
          <w:sz w:val="28"/>
          <w:szCs w:val="28"/>
          <w:lang w:eastAsia="en-US"/>
        </w:rPr>
        <w:t>П</w:t>
      </w:r>
      <w:r w:rsidRPr="002248A0">
        <w:rPr>
          <w:rFonts w:eastAsia="Calibri"/>
          <w:sz w:val="28"/>
          <w:szCs w:val="28"/>
          <w:lang w:eastAsia="en-US"/>
        </w:rPr>
        <w:t>о нормативу 50 процентов</w:t>
      </w:r>
      <w:r>
        <w:rPr>
          <w:rFonts w:eastAsia="Calibri"/>
          <w:sz w:val="28"/>
          <w:szCs w:val="28"/>
          <w:lang w:eastAsia="en-US"/>
        </w:rPr>
        <w:t xml:space="preserve"> в</w:t>
      </w:r>
      <w:r w:rsidRPr="002248A0">
        <w:rPr>
          <w:rFonts w:eastAsia="Calibri"/>
          <w:sz w:val="28"/>
          <w:szCs w:val="28"/>
          <w:lang w:eastAsia="en-US"/>
        </w:rPr>
        <w:t xml:space="preserve"> бюджет субъекта Российской Федерации:</w:t>
      </w:r>
    </w:p>
    <w:p w:rsidR="0055491A" w:rsidRPr="002248A0" w:rsidRDefault="0055491A" w:rsidP="0055491A">
      <w:pPr>
        <w:tabs>
          <w:tab w:val="left" w:pos="3195"/>
        </w:tabs>
        <w:autoSpaceDE w:val="0"/>
        <w:autoSpaceDN w:val="0"/>
        <w:adjustRightInd w:val="0"/>
        <w:ind w:firstLine="709"/>
        <w:jc w:val="both"/>
        <w:rPr>
          <w:rFonts w:eastAsia="Calibri"/>
          <w:sz w:val="28"/>
          <w:szCs w:val="28"/>
          <w:lang w:eastAsia="en-US"/>
        </w:rPr>
      </w:pPr>
      <w:r w:rsidRPr="002248A0">
        <w:rPr>
          <w:rFonts w:eastAsia="Calibri"/>
          <w:sz w:val="28"/>
          <w:szCs w:val="28"/>
          <w:lang w:eastAsia="en-US"/>
        </w:rPr>
        <w:t>ожидаемая оценка на 202</w:t>
      </w:r>
      <w:r>
        <w:rPr>
          <w:rFonts w:eastAsia="Calibri"/>
          <w:sz w:val="28"/>
          <w:szCs w:val="28"/>
          <w:lang w:eastAsia="en-US"/>
        </w:rPr>
        <w:t>1</w:t>
      </w:r>
      <w:r w:rsidRPr="002248A0">
        <w:rPr>
          <w:rFonts w:eastAsia="Calibri"/>
          <w:sz w:val="28"/>
          <w:szCs w:val="28"/>
          <w:lang w:eastAsia="en-US"/>
        </w:rPr>
        <w:t xml:space="preserve"> год: </w:t>
      </w:r>
      <w:r>
        <w:rPr>
          <w:rFonts w:eastAsia="Calibri"/>
          <w:sz w:val="28"/>
          <w:szCs w:val="28"/>
          <w:lang w:eastAsia="en-US"/>
        </w:rPr>
        <w:t>7</w:t>
      </w:r>
      <w:r w:rsidRPr="002248A0">
        <w:rPr>
          <w:rFonts w:eastAsia="Calibri"/>
          <w:sz w:val="28"/>
          <w:szCs w:val="28"/>
          <w:lang w:eastAsia="en-US"/>
        </w:rPr>
        <w:t>,0 тыс. руб.;</w:t>
      </w:r>
      <w:r w:rsidRPr="002248A0">
        <w:rPr>
          <w:sz w:val="28"/>
          <w:szCs w:val="28"/>
        </w:rPr>
        <w:t xml:space="preserve"> </w:t>
      </w:r>
    </w:p>
    <w:p w:rsidR="0055491A" w:rsidRPr="00711DEC" w:rsidRDefault="0055491A" w:rsidP="0055491A">
      <w:pPr>
        <w:tabs>
          <w:tab w:val="left" w:pos="3195"/>
        </w:tabs>
        <w:autoSpaceDE w:val="0"/>
        <w:autoSpaceDN w:val="0"/>
        <w:adjustRightInd w:val="0"/>
        <w:ind w:firstLine="709"/>
        <w:jc w:val="both"/>
        <w:rPr>
          <w:rFonts w:eastAsia="Calibri"/>
          <w:b/>
          <w:sz w:val="28"/>
          <w:szCs w:val="28"/>
          <w:lang w:eastAsia="en-US"/>
        </w:rPr>
      </w:pPr>
      <w:r>
        <w:rPr>
          <w:rFonts w:eastAsia="Calibri"/>
          <w:b/>
          <w:sz w:val="28"/>
          <w:szCs w:val="28"/>
          <w:lang w:eastAsia="en-US"/>
        </w:rPr>
        <w:t>П</w:t>
      </w:r>
      <w:r w:rsidRPr="00711DEC">
        <w:rPr>
          <w:rFonts w:eastAsia="Calibri"/>
          <w:b/>
          <w:sz w:val="28"/>
          <w:szCs w:val="28"/>
          <w:lang w:eastAsia="en-US"/>
        </w:rPr>
        <w:t>рогноз на 2022 год: 5,0 тыс. руб.;</w:t>
      </w:r>
      <w:r w:rsidRPr="00711DEC">
        <w:rPr>
          <w:b/>
          <w:sz w:val="28"/>
          <w:szCs w:val="28"/>
        </w:rPr>
        <w:t xml:space="preserve"> </w:t>
      </w:r>
    </w:p>
    <w:p w:rsidR="0055491A" w:rsidRPr="002248A0" w:rsidRDefault="0055491A" w:rsidP="0055491A">
      <w:pPr>
        <w:tabs>
          <w:tab w:val="left" w:pos="3195"/>
        </w:tabs>
        <w:autoSpaceDE w:val="0"/>
        <w:autoSpaceDN w:val="0"/>
        <w:adjustRightInd w:val="0"/>
        <w:ind w:firstLine="709"/>
        <w:jc w:val="both"/>
        <w:rPr>
          <w:rFonts w:eastAsia="Calibri"/>
          <w:sz w:val="28"/>
          <w:szCs w:val="28"/>
          <w:lang w:eastAsia="en-US"/>
        </w:rPr>
      </w:pPr>
      <w:r>
        <w:rPr>
          <w:rFonts w:eastAsia="Calibri"/>
          <w:b/>
          <w:sz w:val="28"/>
          <w:szCs w:val="28"/>
          <w:lang w:eastAsia="en-US"/>
        </w:rPr>
        <w:t>П</w:t>
      </w:r>
      <w:r w:rsidRPr="00711DEC">
        <w:rPr>
          <w:rFonts w:eastAsia="Calibri"/>
          <w:b/>
          <w:sz w:val="28"/>
          <w:szCs w:val="28"/>
          <w:lang w:eastAsia="en-US"/>
        </w:rPr>
        <w:t>рогноз на 2023 - 2024 гг.: 6,7 тыс. руб. соответственно</w:t>
      </w:r>
      <w:r w:rsidRPr="002248A0">
        <w:rPr>
          <w:rFonts w:eastAsia="Calibri"/>
          <w:sz w:val="28"/>
          <w:szCs w:val="28"/>
          <w:lang w:eastAsia="en-US"/>
        </w:rPr>
        <w:t>;</w:t>
      </w:r>
    </w:p>
    <w:p w:rsidR="0055491A" w:rsidRPr="005F6BFA" w:rsidRDefault="0055491A" w:rsidP="0055491A">
      <w:pPr>
        <w:shd w:val="clear" w:color="auto" w:fill="FFFFFF"/>
        <w:ind w:firstLine="708"/>
        <w:jc w:val="both"/>
        <w:rPr>
          <w:rFonts w:eastAsia="Calibri"/>
          <w:b/>
          <w:sz w:val="28"/>
          <w:szCs w:val="28"/>
          <w:lang w:eastAsia="en-US"/>
        </w:rPr>
      </w:pPr>
      <w:r w:rsidRPr="00D81182">
        <w:rPr>
          <w:rFonts w:eastAsia="Calibri"/>
          <w:sz w:val="28"/>
          <w:szCs w:val="28"/>
          <w:lang w:eastAsia="en-US"/>
        </w:rPr>
        <w:lastRenderedPageBreak/>
        <w:t>14.7.</w:t>
      </w:r>
      <w:r>
        <w:rPr>
          <w:rFonts w:eastAsia="Calibri"/>
          <w:sz w:val="28"/>
          <w:szCs w:val="28"/>
          <w:lang w:eastAsia="en-US"/>
        </w:rPr>
        <w:t>3</w:t>
      </w:r>
      <w:r w:rsidRPr="00D81182">
        <w:rPr>
          <w:rFonts w:eastAsia="Calibri"/>
          <w:i/>
          <w:sz w:val="28"/>
          <w:szCs w:val="28"/>
          <w:lang w:eastAsia="en-US"/>
        </w:rPr>
        <w:t xml:space="preserve"> </w:t>
      </w:r>
      <w:r w:rsidRPr="005F6BFA">
        <w:rPr>
          <w:rFonts w:eastAsia="Calibri"/>
          <w:b/>
          <w:sz w:val="28"/>
          <w:szCs w:val="28"/>
          <w:lang w:eastAsia="en-US"/>
        </w:rPr>
        <w:t>иные штрафы</w:t>
      </w:r>
      <w:r>
        <w:rPr>
          <w:rFonts w:eastAsia="Calibri"/>
          <w:b/>
          <w:sz w:val="28"/>
          <w:szCs w:val="28"/>
          <w:lang w:eastAsia="en-US"/>
        </w:rPr>
        <w:t>, п</w:t>
      </w:r>
      <w:r w:rsidRPr="00130268">
        <w:rPr>
          <w:sz w:val="28"/>
          <w:szCs w:val="28"/>
        </w:rPr>
        <w:t xml:space="preserve">рогнозирование доходов осуществляется в соответствии </w:t>
      </w:r>
      <w:r>
        <w:rPr>
          <w:sz w:val="28"/>
          <w:szCs w:val="28"/>
        </w:rPr>
        <w:t xml:space="preserve">с </w:t>
      </w:r>
      <w:hyperlink r:id="rId116" w:history="1">
        <w:r w:rsidRPr="00130268">
          <w:rPr>
            <w:sz w:val="28"/>
            <w:szCs w:val="28"/>
          </w:rPr>
          <w:t>частью 1 статьи 19.4</w:t>
        </w:r>
      </w:hyperlink>
      <w:r w:rsidRPr="00130268">
        <w:rPr>
          <w:sz w:val="28"/>
          <w:szCs w:val="28"/>
        </w:rPr>
        <w:t xml:space="preserve">, </w:t>
      </w:r>
      <w:hyperlink r:id="rId117" w:history="1">
        <w:r w:rsidRPr="00130268">
          <w:rPr>
            <w:sz w:val="28"/>
            <w:szCs w:val="28"/>
          </w:rPr>
          <w:t>стать</w:t>
        </w:r>
        <w:r>
          <w:rPr>
            <w:sz w:val="28"/>
            <w:szCs w:val="28"/>
          </w:rPr>
          <w:t>ей</w:t>
        </w:r>
        <w:r w:rsidRPr="00130268">
          <w:rPr>
            <w:sz w:val="28"/>
            <w:szCs w:val="28"/>
          </w:rPr>
          <w:t xml:space="preserve"> 19.6</w:t>
        </w:r>
      </w:hyperlink>
      <w:r w:rsidRPr="00130268">
        <w:rPr>
          <w:sz w:val="28"/>
          <w:szCs w:val="28"/>
        </w:rPr>
        <w:t xml:space="preserve"> КоАП</w:t>
      </w:r>
      <w:r>
        <w:rPr>
          <w:sz w:val="28"/>
          <w:szCs w:val="28"/>
        </w:rPr>
        <w:t xml:space="preserve"> РФ</w:t>
      </w:r>
      <w:r w:rsidRPr="00130268">
        <w:rPr>
          <w:sz w:val="28"/>
          <w:szCs w:val="28"/>
        </w:rPr>
        <w:t>.</w:t>
      </w:r>
    </w:p>
    <w:p w:rsidR="0055491A" w:rsidRPr="00130268" w:rsidRDefault="0055491A" w:rsidP="0055491A">
      <w:pPr>
        <w:shd w:val="clear" w:color="auto" w:fill="FFFFFF"/>
        <w:ind w:firstLine="708"/>
        <w:jc w:val="both"/>
        <w:rPr>
          <w:rFonts w:eastAsia="Calibri"/>
          <w:b/>
          <w:sz w:val="28"/>
          <w:szCs w:val="28"/>
          <w:lang w:eastAsia="en-US"/>
        </w:rPr>
      </w:pPr>
      <w:r w:rsidRPr="00130268">
        <w:rPr>
          <w:sz w:val="28"/>
          <w:szCs w:val="28"/>
        </w:rPr>
        <w:t>Прогноз данного вида доходов определяется по формуле:</w:t>
      </w:r>
    </w:p>
    <w:p w:rsidR="0055491A" w:rsidRPr="00130268" w:rsidRDefault="0055491A" w:rsidP="0055491A">
      <w:pPr>
        <w:widowControl w:val="0"/>
        <w:autoSpaceDE w:val="0"/>
        <w:autoSpaceDN w:val="0"/>
        <w:jc w:val="center"/>
        <w:rPr>
          <w:sz w:val="28"/>
          <w:szCs w:val="28"/>
        </w:rPr>
      </w:pPr>
      <w:r w:rsidRPr="00130268">
        <w:rPr>
          <w:noProof/>
          <w:position w:val="-41"/>
          <w:sz w:val="28"/>
          <w:szCs w:val="28"/>
        </w:rPr>
        <w:drawing>
          <wp:inline distT="0" distB="0" distL="0" distR="0" wp14:anchorId="0DD261D5" wp14:editId="5AFFDAF4">
            <wp:extent cx="1052830" cy="669925"/>
            <wp:effectExtent l="0" t="0" r="0" b="0"/>
            <wp:docPr id="24373" name="Рисунок 24373" descr="base_50_590968_329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1" descr="base_50_590968_32901"/>
                    <pic:cNvPicPr preferRelativeResize="0">
                      <a:picLocks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052830" cy="669925"/>
                    </a:xfrm>
                    <a:prstGeom prst="rect">
                      <a:avLst/>
                    </a:prstGeom>
                    <a:noFill/>
                    <a:ln>
                      <a:noFill/>
                    </a:ln>
                  </pic:spPr>
                </pic:pic>
              </a:graphicData>
            </a:graphic>
          </wp:inline>
        </w:drawing>
      </w:r>
    </w:p>
    <w:p w:rsidR="0055491A" w:rsidRPr="00130268" w:rsidRDefault="0055491A" w:rsidP="0055491A">
      <w:pPr>
        <w:widowControl w:val="0"/>
        <w:autoSpaceDE w:val="0"/>
        <w:autoSpaceDN w:val="0"/>
        <w:ind w:firstLine="540"/>
        <w:jc w:val="both"/>
        <w:rPr>
          <w:sz w:val="28"/>
          <w:szCs w:val="28"/>
        </w:rPr>
      </w:pPr>
      <w:r w:rsidRPr="00130268">
        <w:rPr>
          <w:sz w:val="28"/>
          <w:szCs w:val="28"/>
        </w:rPr>
        <w:t>где:</w:t>
      </w:r>
    </w:p>
    <w:p w:rsidR="0055491A" w:rsidRPr="00130268" w:rsidRDefault="0055491A" w:rsidP="0055491A">
      <w:pPr>
        <w:widowControl w:val="0"/>
        <w:autoSpaceDE w:val="0"/>
        <w:autoSpaceDN w:val="0"/>
        <w:ind w:firstLine="540"/>
        <w:jc w:val="both"/>
        <w:rPr>
          <w:sz w:val="28"/>
          <w:szCs w:val="28"/>
        </w:rPr>
      </w:pPr>
      <w:r w:rsidRPr="00130268">
        <w:rPr>
          <w:noProof/>
          <w:position w:val="-26"/>
          <w:sz w:val="28"/>
          <w:szCs w:val="28"/>
        </w:rPr>
        <w:drawing>
          <wp:inline distT="0" distB="0" distL="0" distR="0" wp14:anchorId="247FB3C9" wp14:editId="5220E422">
            <wp:extent cx="382905" cy="467995"/>
            <wp:effectExtent l="0" t="0" r="0" b="8255"/>
            <wp:docPr id="24372" name="Рисунок 24372" descr="base_50_590968_329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2" descr="base_50_590968_32902"/>
                    <pic:cNvPicPr preferRelativeResize="0">
                      <a:picLocks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382905" cy="467995"/>
                    </a:xfrm>
                    <a:prstGeom prst="rect">
                      <a:avLst/>
                    </a:prstGeom>
                    <a:noFill/>
                    <a:ln>
                      <a:noFill/>
                    </a:ln>
                  </pic:spPr>
                </pic:pic>
              </a:graphicData>
            </a:graphic>
          </wp:inline>
        </w:drawing>
      </w:r>
      <w:r w:rsidRPr="00130268">
        <w:rPr>
          <w:sz w:val="28"/>
          <w:szCs w:val="28"/>
        </w:rPr>
        <w:t xml:space="preserve"> - сумма поступлений по виду доходов за три года, предшествующих прогнозируемому году (при формировании прогноза на очередной финансовый год используются фактические данные за два отчетных года и </w:t>
      </w:r>
      <w:r>
        <w:rPr>
          <w:sz w:val="28"/>
          <w:szCs w:val="28"/>
        </w:rPr>
        <w:t>ожидаемая оценка</w:t>
      </w:r>
      <w:r w:rsidRPr="00130268">
        <w:rPr>
          <w:sz w:val="28"/>
          <w:szCs w:val="28"/>
        </w:rPr>
        <w:t xml:space="preserve"> на текущий финансовый год, при формировании прогноза на первый год планового периода используются фактические данные за один отчетный год и </w:t>
      </w:r>
      <w:r>
        <w:rPr>
          <w:sz w:val="28"/>
          <w:szCs w:val="28"/>
        </w:rPr>
        <w:t>ожидаемая оценка</w:t>
      </w:r>
      <w:r w:rsidRPr="00130268">
        <w:rPr>
          <w:sz w:val="28"/>
          <w:szCs w:val="28"/>
        </w:rPr>
        <w:t xml:space="preserve"> текущего финансового года и </w:t>
      </w:r>
      <w:r>
        <w:rPr>
          <w:sz w:val="28"/>
          <w:szCs w:val="28"/>
        </w:rPr>
        <w:t xml:space="preserve">прогноз </w:t>
      </w:r>
      <w:r w:rsidRPr="00130268">
        <w:rPr>
          <w:sz w:val="28"/>
          <w:szCs w:val="28"/>
        </w:rPr>
        <w:t>очередного финансового года; прогноз на второй год планового периода принимается на уровне прогноза первого года планового периода) (тыс. руб.);</w:t>
      </w:r>
    </w:p>
    <w:p w:rsidR="0055491A" w:rsidRDefault="0055491A" w:rsidP="0055491A">
      <w:pPr>
        <w:widowControl w:val="0"/>
        <w:autoSpaceDE w:val="0"/>
        <w:autoSpaceDN w:val="0"/>
        <w:ind w:firstLine="540"/>
        <w:jc w:val="both"/>
        <w:rPr>
          <w:sz w:val="28"/>
          <w:szCs w:val="28"/>
        </w:rPr>
      </w:pPr>
      <w:r w:rsidRPr="00130268">
        <w:rPr>
          <w:sz w:val="28"/>
          <w:szCs w:val="28"/>
        </w:rPr>
        <w:t>R - корректирующая сумма поступлений, учитывающая отдельные решения Президента Российской Федерации, Правительства Российской Федерации, а также проекты нормативных правовых актов Президента Российской Федерации, Правительства Российской Федерации и другие факторы, влияющие на объем прогнозируемых доходов (тыс. руб.).</w:t>
      </w:r>
    </w:p>
    <w:p w:rsidR="0055491A" w:rsidRDefault="0055491A" w:rsidP="0055491A">
      <w:pPr>
        <w:autoSpaceDE w:val="0"/>
        <w:autoSpaceDN w:val="0"/>
        <w:adjustRightInd w:val="0"/>
        <w:ind w:firstLine="540"/>
        <w:jc w:val="both"/>
        <w:rPr>
          <w:rFonts w:eastAsia="Calibri"/>
          <w:sz w:val="28"/>
          <w:szCs w:val="28"/>
          <w:lang w:eastAsia="en-US"/>
        </w:rPr>
      </w:pPr>
      <w:r w:rsidRPr="0031548D">
        <w:rPr>
          <w:color w:val="000000"/>
          <w:sz w:val="28"/>
          <w:szCs w:val="28"/>
          <w:lang w:bidi="ru-RU"/>
        </w:rPr>
        <w:t xml:space="preserve">Согласно </w:t>
      </w:r>
      <w:r>
        <w:rPr>
          <w:color w:val="000000"/>
          <w:sz w:val="28"/>
          <w:szCs w:val="28"/>
          <w:lang w:bidi="ru-RU"/>
        </w:rPr>
        <w:t>пункту 4</w:t>
      </w:r>
      <w:r w:rsidRPr="0031548D">
        <w:rPr>
          <w:color w:val="000000"/>
          <w:sz w:val="28"/>
          <w:szCs w:val="28"/>
          <w:lang w:bidi="ru-RU"/>
        </w:rPr>
        <w:t xml:space="preserve"> статьи </w:t>
      </w:r>
      <w:r>
        <w:rPr>
          <w:color w:val="000000"/>
          <w:sz w:val="28"/>
          <w:szCs w:val="28"/>
          <w:lang w:bidi="ru-RU"/>
        </w:rPr>
        <w:t>46</w:t>
      </w:r>
      <w:r w:rsidRPr="0031548D">
        <w:rPr>
          <w:color w:val="000000"/>
          <w:sz w:val="28"/>
          <w:szCs w:val="28"/>
          <w:lang w:bidi="ru-RU"/>
        </w:rPr>
        <w:t xml:space="preserve"> Бюджетного кодекса Российской Федерации </w:t>
      </w:r>
      <w:r>
        <w:rPr>
          <w:color w:val="000000"/>
          <w:sz w:val="28"/>
          <w:szCs w:val="28"/>
          <w:lang w:bidi="ru-RU"/>
        </w:rPr>
        <w:t>с</w:t>
      </w:r>
      <w:r w:rsidRPr="00D23E9E">
        <w:rPr>
          <w:rFonts w:eastAsia="Calibri"/>
          <w:sz w:val="28"/>
          <w:szCs w:val="28"/>
          <w:lang w:eastAsia="en-US"/>
        </w:rPr>
        <w:t>уммы штрафов, подлежат зачислению в бюджет субъекта Российской Федерации по нормативу 50 процентов, в бюджет муниципального района, городского округа, городского округа с внутригородским делением (по месту нахождения органа или должностного лица, принявших решение о наложении административного штрафа) по нормативу 50 процентов.</w:t>
      </w:r>
    </w:p>
    <w:p w:rsidR="0055491A" w:rsidRPr="00BA67C5" w:rsidRDefault="0055491A" w:rsidP="0055491A">
      <w:pPr>
        <w:tabs>
          <w:tab w:val="left" w:pos="3195"/>
        </w:tabs>
        <w:autoSpaceDE w:val="0"/>
        <w:autoSpaceDN w:val="0"/>
        <w:adjustRightInd w:val="0"/>
        <w:ind w:firstLine="709"/>
        <w:jc w:val="both"/>
        <w:rPr>
          <w:sz w:val="28"/>
          <w:szCs w:val="28"/>
        </w:rPr>
      </w:pPr>
      <w:r w:rsidRPr="00BA67C5">
        <w:rPr>
          <w:rFonts w:eastAsia="Calibri"/>
          <w:sz w:val="28"/>
          <w:szCs w:val="28"/>
          <w:lang w:eastAsia="en-US"/>
        </w:rPr>
        <w:t xml:space="preserve">Согласно данным о фактическом поступлении доходов платежей за </w:t>
      </w:r>
      <w:r w:rsidRPr="00BA67C5">
        <w:rPr>
          <w:sz w:val="28"/>
          <w:szCs w:val="28"/>
        </w:rPr>
        <w:t>административные правонарушения, предусмотренные</w:t>
      </w:r>
      <w:r w:rsidRPr="00BA67C5">
        <w:rPr>
          <w:b/>
          <w:sz w:val="28"/>
          <w:szCs w:val="28"/>
        </w:rPr>
        <w:t xml:space="preserve"> частью 1 </w:t>
      </w:r>
      <w:hyperlink r:id="rId118" w:history="1">
        <w:r w:rsidRPr="00BA67C5">
          <w:rPr>
            <w:b/>
            <w:sz w:val="28"/>
            <w:szCs w:val="28"/>
          </w:rPr>
          <w:t xml:space="preserve">статьи 19.4, статьей 19.6 </w:t>
        </w:r>
      </w:hyperlink>
      <w:r w:rsidRPr="00BA67C5">
        <w:rPr>
          <w:sz w:val="28"/>
          <w:szCs w:val="28"/>
        </w:rPr>
        <w:t xml:space="preserve">КоАП РФ, </w:t>
      </w:r>
      <w:r w:rsidRPr="00BA67C5">
        <w:rPr>
          <w:rFonts w:eastAsia="Calibri"/>
          <w:sz w:val="28"/>
          <w:szCs w:val="28"/>
          <w:lang w:eastAsia="en-US"/>
        </w:rPr>
        <w:t xml:space="preserve">сумма поступлений </w:t>
      </w:r>
      <w:r w:rsidRPr="00BA67C5">
        <w:rPr>
          <w:sz w:val="28"/>
          <w:szCs w:val="28"/>
        </w:rPr>
        <w:t xml:space="preserve">составила: </w:t>
      </w:r>
      <w:r w:rsidRPr="00BA67C5">
        <w:rPr>
          <w:rFonts w:eastAsia="Calibri"/>
          <w:sz w:val="28"/>
          <w:szCs w:val="28"/>
          <w:lang w:eastAsia="en-US"/>
        </w:rPr>
        <w:t xml:space="preserve">в 2018 г. – </w:t>
      </w:r>
      <w:r w:rsidRPr="00BA67C5">
        <w:rPr>
          <w:sz w:val="28"/>
          <w:szCs w:val="28"/>
        </w:rPr>
        <w:t>0,0 тыс. руб.,</w:t>
      </w:r>
      <w:r w:rsidRPr="00BA67C5">
        <w:rPr>
          <w:rFonts w:eastAsia="Calibri"/>
          <w:sz w:val="28"/>
          <w:szCs w:val="28"/>
          <w:lang w:eastAsia="en-US"/>
        </w:rPr>
        <w:t xml:space="preserve"> в 2019 г. – </w:t>
      </w:r>
      <w:r w:rsidRPr="00BA67C5">
        <w:rPr>
          <w:sz w:val="28"/>
          <w:szCs w:val="28"/>
        </w:rPr>
        <w:t>0,0 тыс. руб.</w:t>
      </w:r>
      <w:r>
        <w:rPr>
          <w:sz w:val="28"/>
          <w:szCs w:val="28"/>
        </w:rPr>
        <w:t>, в 2020 г. – 12,0 тыс. руб.</w:t>
      </w:r>
    </w:p>
    <w:p w:rsidR="0055491A" w:rsidRPr="00BA67C5" w:rsidRDefault="0055491A" w:rsidP="0055491A">
      <w:pPr>
        <w:tabs>
          <w:tab w:val="left" w:pos="3195"/>
        </w:tabs>
        <w:autoSpaceDE w:val="0"/>
        <w:autoSpaceDN w:val="0"/>
        <w:adjustRightInd w:val="0"/>
        <w:ind w:firstLine="709"/>
        <w:jc w:val="both"/>
        <w:rPr>
          <w:rFonts w:eastAsia="Calibri"/>
          <w:sz w:val="28"/>
          <w:szCs w:val="28"/>
          <w:lang w:eastAsia="en-US"/>
        </w:rPr>
      </w:pPr>
      <w:r w:rsidRPr="00BA67C5">
        <w:rPr>
          <w:rFonts w:eastAsia="Calibri"/>
          <w:sz w:val="28"/>
          <w:szCs w:val="28"/>
          <w:lang w:eastAsia="en-US"/>
        </w:rPr>
        <w:t>= (0,0+0,0+</w:t>
      </w:r>
      <w:r>
        <w:rPr>
          <w:rFonts w:eastAsia="Calibri"/>
          <w:sz w:val="28"/>
          <w:szCs w:val="28"/>
          <w:lang w:eastAsia="en-US"/>
        </w:rPr>
        <w:t>12</w:t>
      </w:r>
      <w:r w:rsidRPr="00BA67C5">
        <w:rPr>
          <w:rFonts w:eastAsia="Calibri"/>
          <w:sz w:val="28"/>
          <w:szCs w:val="28"/>
          <w:lang w:eastAsia="en-US"/>
        </w:rPr>
        <w:t xml:space="preserve">,0) / 3 = </w:t>
      </w:r>
      <w:r>
        <w:rPr>
          <w:rFonts w:eastAsia="Calibri"/>
          <w:sz w:val="28"/>
          <w:szCs w:val="28"/>
          <w:lang w:eastAsia="en-US"/>
        </w:rPr>
        <w:t>4</w:t>
      </w:r>
      <w:r w:rsidRPr="00BA67C5">
        <w:rPr>
          <w:rFonts w:eastAsia="Calibri"/>
          <w:sz w:val="28"/>
          <w:szCs w:val="28"/>
          <w:lang w:eastAsia="en-US"/>
        </w:rPr>
        <w:t>,0 тыс. руб.</w:t>
      </w:r>
    </w:p>
    <w:p w:rsidR="0055491A" w:rsidRPr="00711DEC" w:rsidRDefault="0055491A" w:rsidP="0055491A">
      <w:pPr>
        <w:tabs>
          <w:tab w:val="left" w:pos="3195"/>
        </w:tabs>
        <w:autoSpaceDE w:val="0"/>
        <w:autoSpaceDN w:val="0"/>
        <w:adjustRightInd w:val="0"/>
        <w:ind w:firstLine="709"/>
        <w:jc w:val="both"/>
        <w:rPr>
          <w:rFonts w:eastAsia="Calibri"/>
          <w:sz w:val="28"/>
          <w:szCs w:val="28"/>
          <w:lang w:eastAsia="en-US"/>
        </w:rPr>
      </w:pPr>
      <w:r w:rsidRPr="00711DEC">
        <w:rPr>
          <w:rFonts w:eastAsia="Calibri"/>
          <w:sz w:val="28"/>
          <w:szCs w:val="28"/>
          <w:lang w:eastAsia="en-US"/>
        </w:rPr>
        <w:t>Ожидаемая оценка на 2021 год: Д</w:t>
      </w:r>
      <w:r w:rsidRPr="00711DEC">
        <w:rPr>
          <w:rFonts w:eastAsia="Calibri"/>
          <w:sz w:val="28"/>
          <w:szCs w:val="28"/>
          <w:vertAlign w:val="subscript"/>
          <w:lang w:eastAsia="en-US"/>
        </w:rPr>
        <w:t xml:space="preserve">19.6 </w:t>
      </w:r>
      <w:r w:rsidRPr="00711DEC">
        <w:rPr>
          <w:rFonts w:eastAsia="Calibri"/>
          <w:sz w:val="28"/>
          <w:szCs w:val="28"/>
          <w:lang w:eastAsia="en-US"/>
        </w:rPr>
        <w:t>= (0,0+0,0+12,0) / 3 = 4,0 тыс. руб.</w:t>
      </w:r>
    </w:p>
    <w:p w:rsidR="0055491A" w:rsidRPr="00711DEC" w:rsidRDefault="0055491A" w:rsidP="0055491A">
      <w:pPr>
        <w:tabs>
          <w:tab w:val="left" w:pos="3195"/>
        </w:tabs>
        <w:autoSpaceDE w:val="0"/>
        <w:autoSpaceDN w:val="0"/>
        <w:adjustRightInd w:val="0"/>
        <w:ind w:firstLine="709"/>
        <w:jc w:val="both"/>
        <w:rPr>
          <w:rFonts w:eastAsia="Calibri"/>
          <w:sz w:val="28"/>
          <w:szCs w:val="28"/>
          <w:lang w:eastAsia="en-US"/>
        </w:rPr>
      </w:pPr>
      <w:r w:rsidRPr="00711DEC">
        <w:rPr>
          <w:rFonts w:eastAsia="Calibri"/>
          <w:sz w:val="28"/>
          <w:szCs w:val="28"/>
          <w:lang w:eastAsia="en-US"/>
        </w:rPr>
        <w:t>Определение прогноза на 2022 год:</w:t>
      </w:r>
    </w:p>
    <w:p w:rsidR="0055491A" w:rsidRPr="00FD3F5C" w:rsidRDefault="0055491A" w:rsidP="0055491A">
      <w:pPr>
        <w:tabs>
          <w:tab w:val="left" w:pos="3195"/>
        </w:tabs>
        <w:autoSpaceDE w:val="0"/>
        <w:autoSpaceDN w:val="0"/>
        <w:adjustRightInd w:val="0"/>
        <w:ind w:firstLine="709"/>
        <w:jc w:val="both"/>
        <w:rPr>
          <w:sz w:val="28"/>
          <w:szCs w:val="28"/>
        </w:rPr>
      </w:pPr>
      <w:r w:rsidRPr="00FD3F5C">
        <w:rPr>
          <w:rFonts w:eastAsia="Calibri"/>
          <w:sz w:val="28"/>
          <w:szCs w:val="28"/>
          <w:lang w:eastAsia="en-US"/>
        </w:rPr>
        <w:t>Д</w:t>
      </w:r>
      <w:r w:rsidRPr="00FD3F5C">
        <w:rPr>
          <w:rFonts w:eastAsia="Calibri"/>
          <w:sz w:val="28"/>
          <w:szCs w:val="28"/>
          <w:vertAlign w:val="subscript"/>
          <w:lang w:eastAsia="en-US"/>
        </w:rPr>
        <w:t xml:space="preserve">19.6  </w:t>
      </w:r>
      <w:r w:rsidRPr="00FD3F5C">
        <w:rPr>
          <w:rFonts w:eastAsia="Calibri"/>
          <w:sz w:val="28"/>
          <w:szCs w:val="28"/>
          <w:lang w:eastAsia="en-US"/>
        </w:rPr>
        <w:t>= (0,0+12,0+4,0) / 3 = 5,3 тыс. руб.</w:t>
      </w:r>
    </w:p>
    <w:p w:rsidR="0055491A" w:rsidRPr="00FD3F5C" w:rsidRDefault="0055491A" w:rsidP="0055491A">
      <w:pPr>
        <w:tabs>
          <w:tab w:val="left" w:pos="3195"/>
        </w:tabs>
        <w:autoSpaceDE w:val="0"/>
        <w:autoSpaceDN w:val="0"/>
        <w:adjustRightInd w:val="0"/>
        <w:ind w:firstLine="709"/>
        <w:jc w:val="both"/>
        <w:rPr>
          <w:sz w:val="28"/>
          <w:szCs w:val="28"/>
        </w:rPr>
      </w:pPr>
    </w:p>
    <w:p w:rsidR="0055491A" w:rsidRPr="00FD3F5C" w:rsidRDefault="0055491A" w:rsidP="0055491A">
      <w:pPr>
        <w:tabs>
          <w:tab w:val="left" w:pos="3195"/>
        </w:tabs>
        <w:autoSpaceDE w:val="0"/>
        <w:autoSpaceDN w:val="0"/>
        <w:adjustRightInd w:val="0"/>
        <w:ind w:firstLine="709"/>
        <w:jc w:val="both"/>
        <w:rPr>
          <w:sz w:val="28"/>
          <w:szCs w:val="28"/>
        </w:rPr>
      </w:pPr>
      <w:r w:rsidRPr="00FD3F5C">
        <w:rPr>
          <w:rFonts w:eastAsia="Calibri"/>
          <w:sz w:val="28"/>
          <w:szCs w:val="28"/>
          <w:lang w:eastAsia="en-US"/>
        </w:rPr>
        <w:t xml:space="preserve">Прогноз </w:t>
      </w:r>
      <w:r w:rsidRPr="00711DEC">
        <w:rPr>
          <w:rFonts w:eastAsia="Calibri"/>
          <w:sz w:val="28"/>
          <w:szCs w:val="28"/>
          <w:lang w:eastAsia="en-US"/>
        </w:rPr>
        <w:t>на 2023 - 2024 гг</w:t>
      </w:r>
      <w:r w:rsidRPr="00FD3F5C">
        <w:rPr>
          <w:rFonts w:eastAsia="Calibri"/>
          <w:b/>
          <w:sz w:val="28"/>
          <w:szCs w:val="28"/>
          <w:lang w:eastAsia="en-US"/>
        </w:rPr>
        <w:t xml:space="preserve">. </w:t>
      </w:r>
      <w:r w:rsidRPr="00FD3F5C">
        <w:rPr>
          <w:sz w:val="28"/>
          <w:szCs w:val="28"/>
        </w:rPr>
        <w:t xml:space="preserve">составляет </w:t>
      </w:r>
    </w:p>
    <w:p w:rsidR="0055491A" w:rsidRPr="002D07E9" w:rsidRDefault="0055491A" w:rsidP="0055491A">
      <w:pPr>
        <w:tabs>
          <w:tab w:val="left" w:pos="3195"/>
        </w:tabs>
        <w:autoSpaceDE w:val="0"/>
        <w:autoSpaceDN w:val="0"/>
        <w:adjustRightInd w:val="0"/>
        <w:ind w:firstLine="709"/>
        <w:jc w:val="both"/>
        <w:rPr>
          <w:rFonts w:eastAsia="Calibri"/>
          <w:sz w:val="28"/>
          <w:szCs w:val="28"/>
          <w:highlight w:val="green"/>
          <w:lang w:eastAsia="en-US"/>
        </w:rPr>
      </w:pPr>
      <w:r w:rsidRPr="00FD3F5C">
        <w:rPr>
          <w:rFonts w:eastAsia="Calibri"/>
          <w:sz w:val="28"/>
          <w:szCs w:val="28"/>
          <w:lang w:eastAsia="en-US"/>
        </w:rPr>
        <w:t>Д</w:t>
      </w:r>
      <w:r w:rsidRPr="00FD3F5C">
        <w:rPr>
          <w:rFonts w:eastAsia="Calibri"/>
          <w:sz w:val="28"/>
          <w:szCs w:val="28"/>
          <w:vertAlign w:val="subscript"/>
          <w:lang w:eastAsia="en-US"/>
        </w:rPr>
        <w:t xml:space="preserve">19.6  </w:t>
      </w:r>
      <w:r w:rsidRPr="00FD3F5C">
        <w:rPr>
          <w:rFonts w:eastAsia="Calibri"/>
          <w:sz w:val="28"/>
          <w:szCs w:val="28"/>
          <w:lang w:eastAsia="en-US"/>
        </w:rPr>
        <w:t>= (12,0+4,0+5,3) / 3 = 7,1 тыс. руб.</w:t>
      </w:r>
    </w:p>
    <w:p w:rsidR="0055491A" w:rsidRPr="00BA67C5" w:rsidRDefault="0055491A" w:rsidP="0055491A">
      <w:pPr>
        <w:tabs>
          <w:tab w:val="left" w:pos="3195"/>
        </w:tabs>
        <w:autoSpaceDE w:val="0"/>
        <w:autoSpaceDN w:val="0"/>
        <w:adjustRightInd w:val="0"/>
        <w:ind w:firstLine="709"/>
        <w:jc w:val="both"/>
        <w:rPr>
          <w:rFonts w:eastAsia="Calibri"/>
          <w:sz w:val="28"/>
          <w:szCs w:val="28"/>
          <w:lang w:eastAsia="en-US"/>
        </w:rPr>
      </w:pPr>
      <w:r w:rsidRPr="00BA67C5">
        <w:rPr>
          <w:sz w:val="28"/>
          <w:szCs w:val="28"/>
        </w:rPr>
        <w:t>Корректирующая сумма поступлений, учитывающая отдельные решения Президента Российской Федерации, Правительства Российской Федерации, а также проекты нормативных правовых актов Президента Российской Федерации, Правительства Российской Федерации и другие факторы, влияющие на объем прогнозируемых доходов равна нулю.</w:t>
      </w:r>
    </w:p>
    <w:p w:rsidR="0055491A" w:rsidRPr="00BA67C5" w:rsidRDefault="0055491A" w:rsidP="0055491A">
      <w:pPr>
        <w:tabs>
          <w:tab w:val="left" w:pos="3195"/>
        </w:tabs>
        <w:autoSpaceDE w:val="0"/>
        <w:autoSpaceDN w:val="0"/>
        <w:adjustRightInd w:val="0"/>
        <w:ind w:firstLine="709"/>
        <w:jc w:val="both"/>
        <w:rPr>
          <w:rFonts w:eastAsia="Calibri"/>
          <w:sz w:val="28"/>
          <w:szCs w:val="28"/>
          <w:lang w:eastAsia="en-US"/>
        </w:rPr>
      </w:pPr>
      <w:r>
        <w:rPr>
          <w:rFonts w:eastAsia="Calibri"/>
          <w:sz w:val="28"/>
          <w:szCs w:val="28"/>
          <w:lang w:eastAsia="en-US"/>
        </w:rPr>
        <w:lastRenderedPageBreak/>
        <w:t xml:space="preserve">С учетом норматива зачисления 50 процентов </w:t>
      </w:r>
      <w:r w:rsidRPr="00BA67C5">
        <w:rPr>
          <w:rFonts w:eastAsia="Calibri"/>
          <w:sz w:val="28"/>
          <w:szCs w:val="28"/>
          <w:lang w:eastAsia="en-US"/>
        </w:rPr>
        <w:t>в бюджет субъекта Российской Федерации:</w:t>
      </w:r>
    </w:p>
    <w:p w:rsidR="0055491A" w:rsidRPr="00BA67C5" w:rsidRDefault="0055491A" w:rsidP="0055491A">
      <w:pPr>
        <w:tabs>
          <w:tab w:val="left" w:pos="3195"/>
        </w:tabs>
        <w:autoSpaceDE w:val="0"/>
        <w:autoSpaceDN w:val="0"/>
        <w:adjustRightInd w:val="0"/>
        <w:ind w:firstLine="709"/>
        <w:jc w:val="both"/>
        <w:rPr>
          <w:rFonts w:eastAsia="Calibri"/>
          <w:sz w:val="28"/>
          <w:szCs w:val="28"/>
          <w:lang w:eastAsia="en-US"/>
        </w:rPr>
      </w:pPr>
      <w:r w:rsidRPr="00BA67C5">
        <w:rPr>
          <w:rFonts w:eastAsia="Calibri"/>
          <w:sz w:val="28"/>
          <w:szCs w:val="28"/>
          <w:lang w:eastAsia="en-US"/>
        </w:rPr>
        <w:t>ожидаемая оценка на 202</w:t>
      </w:r>
      <w:r>
        <w:rPr>
          <w:rFonts w:eastAsia="Calibri"/>
          <w:sz w:val="28"/>
          <w:szCs w:val="28"/>
          <w:lang w:eastAsia="en-US"/>
        </w:rPr>
        <w:t>1 год: 2</w:t>
      </w:r>
      <w:r w:rsidRPr="00BA67C5">
        <w:rPr>
          <w:rFonts w:eastAsia="Calibri"/>
          <w:sz w:val="28"/>
          <w:szCs w:val="28"/>
          <w:lang w:eastAsia="en-US"/>
        </w:rPr>
        <w:t>,0 тыс. руб.;</w:t>
      </w:r>
      <w:r w:rsidRPr="00BA67C5">
        <w:rPr>
          <w:sz w:val="28"/>
          <w:szCs w:val="28"/>
        </w:rPr>
        <w:t xml:space="preserve"> </w:t>
      </w:r>
    </w:p>
    <w:p w:rsidR="0055491A" w:rsidRPr="00711DEC" w:rsidRDefault="0055491A" w:rsidP="0055491A">
      <w:pPr>
        <w:tabs>
          <w:tab w:val="left" w:pos="3195"/>
        </w:tabs>
        <w:autoSpaceDE w:val="0"/>
        <w:autoSpaceDN w:val="0"/>
        <w:adjustRightInd w:val="0"/>
        <w:ind w:firstLine="709"/>
        <w:jc w:val="both"/>
        <w:rPr>
          <w:rFonts w:eastAsia="Calibri"/>
          <w:b/>
          <w:sz w:val="28"/>
          <w:szCs w:val="28"/>
          <w:lang w:eastAsia="en-US"/>
        </w:rPr>
      </w:pPr>
      <w:r>
        <w:rPr>
          <w:rFonts w:eastAsia="Calibri"/>
          <w:b/>
          <w:sz w:val="28"/>
          <w:szCs w:val="28"/>
          <w:lang w:eastAsia="en-US"/>
        </w:rPr>
        <w:t>П</w:t>
      </w:r>
      <w:r w:rsidRPr="00711DEC">
        <w:rPr>
          <w:rFonts w:eastAsia="Calibri"/>
          <w:b/>
          <w:sz w:val="28"/>
          <w:szCs w:val="28"/>
          <w:lang w:eastAsia="en-US"/>
        </w:rPr>
        <w:t>рогноз на 2022 год 2,7 тыс. руб.;</w:t>
      </w:r>
      <w:r w:rsidRPr="00711DEC">
        <w:rPr>
          <w:b/>
          <w:sz w:val="28"/>
          <w:szCs w:val="28"/>
        </w:rPr>
        <w:t xml:space="preserve"> </w:t>
      </w:r>
    </w:p>
    <w:p w:rsidR="0055491A" w:rsidRPr="00711DEC" w:rsidRDefault="0055491A" w:rsidP="0055491A">
      <w:pPr>
        <w:tabs>
          <w:tab w:val="left" w:pos="3195"/>
        </w:tabs>
        <w:autoSpaceDE w:val="0"/>
        <w:autoSpaceDN w:val="0"/>
        <w:adjustRightInd w:val="0"/>
        <w:ind w:firstLine="709"/>
        <w:jc w:val="both"/>
        <w:rPr>
          <w:rFonts w:eastAsia="Calibri"/>
          <w:b/>
          <w:sz w:val="28"/>
          <w:szCs w:val="28"/>
          <w:lang w:eastAsia="en-US"/>
        </w:rPr>
      </w:pPr>
      <w:r>
        <w:rPr>
          <w:rFonts w:eastAsia="Calibri"/>
          <w:b/>
          <w:sz w:val="28"/>
          <w:szCs w:val="28"/>
          <w:lang w:eastAsia="en-US"/>
        </w:rPr>
        <w:t>П</w:t>
      </w:r>
      <w:r w:rsidRPr="00711DEC">
        <w:rPr>
          <w:rFonts w:eastAsia="Calibri"/>
          <w:b/>
          <w:sz w:val="28"/>
          <w:szCs w:val="28"/>
          <w:lang w:eastAsia="en-US"/>
        </w:rPr>
        <w:t>рогноз на 2023 - 2024 гг. 3,6 тыс. руб. соответственно.</w:t>
      </w:r>
    </w:p>
    <w:p w:rsidR="0055491A" w:rsidRDefault="0055491A" w:rsidP="0055491A">
      <w:pPr>
        <w:pStyle w:val="a7"/>
        <w:spacing w:after="0"/>
        <w:ind w:left="0" w:firstLine="709"/>
        <w:jc w:val="both"/>
        <w:rPr>
          <w:sz w:val="28"/>
          <w:szCs w:val="28"/>
        </w:rPr>
      </w:pPr>
      <w:r>
        <w:rPr>
          <w:sz w:val="28"/>
          <w:szCs w:val="28"/>
        </w:rPr>
        <w:t xml:space="preserve"> </w:t>
      </w:r>
    </w:p>
    <w:p w:rsidR="0055491A" w:rsidRDefault="0055491A" w:rsidP="0055491A">
      <w:pPr>
        <w:pStyle w:val="a7"/>
        <w:spacing w:after="0"/>
        <w:ind w:left="0" w:firstLine="709"/>
        <w:jc w:val="both"/>
        <w:rPr>
          <w:sz w:val="28"/>
          <w:szCs w:val="28"/>
        </w:rPr>
      </w:pPr>
      <w:r>
        <w:rPr>
          <w:sz w:val="28"/>
          <w:szCs w:val="28"/>
        </w:rPr>
        <w:t xml:space="preserve">13.8 </w:t>
      </w:r>
      <w:r w:rsidRPr="00122878">
        <w:rPr>
          <w:b/>
          <w:sz w:val="28"/>
          <w:szCs w:val="28"/>
        </w:rPr>
        <w:t>КБК 332 1 16 01193 01 0000 140</w:t>
      </w:r>
      <w:r w:rsidRPr="00C74568">
        <w:rPr>
          <w:sz w:val="28"/>
          <w:szCs w:val="28"/>
        </w:rPr>
        <w:t xml:space="preserve"> 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r>
        <w:rPr>
          <w:sz w:val="28"/>
          <w:szCs w:val="28"/>
        </w:rPr>
        <w:t>.</w:t>
      </w:r>
    </w:p>
    <w:p w:rsidR="0055491A" w:rsidRPr="00122878" w:rsidRDefault="0055491A" w:rsidP="0055491A">
      <w:pPr>
        <w:pStyle w:val="a7"/>
        <w:spacing w:after="0"/>
        <w:ind w:left="0" w:firstLine="709"/>
        <w:jc w:val="both"/>
        <w:rPr>
          <w:b/>
          <w:sz w:val="28"/>
          <w:szCs w:val="28"/>
        </w:rPr>
      </w:pPr>
      <w:r w:rsidRPr="00122878">
        <w:rPr>
          <w:b/>
          <w:sz w:val="28"/>
          <w:szCs w:val="28"/>
        </w:rPr>
        <w:t>Главный администратор доходов - Министерство Тверской области по обеспечению контрольных функций.</w:t>
      </w:r>
    </w:p>
    <w:p w:rsidR="0055491A" w:rsidRPr="000D4676" w:rsidRDefault="0055491A" w:rsidP="0055491A">
      <w:pPr>
        <w:pStyle w:val="a7"/>
        <w:spacing w:after="0"/>
        <w:ind w:left="0" w:firstLine="709"/>
        <w:jc w:val="both"/>
        <w:rPr>
          <w:sz w:val="28"/>
          <w:szCs w:val="28"/>
        </w:rPr>
      </w:pPr>
      <w:r w:rsidRPr="000D4676">
        <w:rPr>
          <w:sz w:val="28"/>
          <w:szCs w:val="28"/>
        </w:rPr>
        <w:t>Расчет произведен в соответствии с методикой, утвержденной приказом Министерства Тверской области по обес</w:t>
      </w:r>
      <w:r>
        <w:rPr>
          <w:sz w:val="28"/>
          <w:szCs w:val="28"/>
        </w:rPr>
        <w:t>печению контрольных функций от 18</w:t>
      </w:r>
      <w:r w:rsidRPr="000D4676">
        <w:rPr>
          <w:sz w:val="28"/>
          <w:szCs w:val="28"/>
        </w:rPr>
        <w:t>.0</w:t>
      </w:r>
      <w:r>
        <w:rPr>
          <w:sz w:val="28"/>
          <w:szCs w:val="28"/>
        </w:rPr>
        <w:t>6</w:t>
      </w:r>
      <w:r w:rsidRPr="000D4676">
        <w:rPr>
          <w:sz w:val="28"/>
          <w:szCs w:val="28"/>
        </w:rPr>
        <w:t>.20</w:t>
      </w:r>
      <w:r>
        <w:rPr>
          <w:sz w:val="28"/>
          <w:szCs w:val="28"/>
        </w:rPr>
        <w:t>20</w:t>
      </w:r>
      <w:r w:rsidRPr="000D4676">
        <w:rPr>
          <w:sz w:val="28"/>
          <w:szCs w:val="28"/>
        </w:rPr>
        <w:t xml:space="preserve"> № </w:t>
      </w:r>
      <w:r>
        <w:rPr>
          <w:sz w:val="28"/>
          <w:szCs w:val="28"/>
        </w:rPr>
        <w:t>714</w:t>
      </w:r>
      <w:r w:rsidRPr="000D4676">
        <w:rPr>
          <w:sz w:val="28"/>
          <w:szCs w:val="28"/>
        </w:rPr>
        <w:t xml:space="preserve"> «Об утверждении методики прогнозирования поступлений доходов в областной бюджет Тверской области и местные бюджеты муниципальных образований Тверской области»</w:t>
      </w:r>
      <w:r>
        <w:rPr>
          <w:sz w:val="28"/>
          <w:szCs w:val="28"/>
        </w:rPr>
        <w:t xml:space="preserve"> (с учетом изменений)</w:t>
      </w:r>
      <w:r w:rsidRPr="000D4676">
        <w:rPr>
          <w:sz w:val="28"/>
          <w:szCs w:val="28"/>
        </w:rPr>
        <w:t>.</w:t>
      </w:r>
    </w:p>
    <w:p w:rsidR="0055491A" w:rsidRDefault="0055491A" w:rsidP="0055491A">
      <w:pPr>
        <w:pStyle w:val="a7"/>
        <w:spacing w:after="0"/>
        <w:ind w:left="0" w:firstLine="709"/>
        <w:jc w:val="both"/>
        <w:rPr>
          <w:sz w:val="28"/>
          <w:szCs w:val="28"/>
        </w:rPr>
      </w:pPr>
      <w:r w:rsidRPr="00E428FB">
        <w:rPr>
          <w:sz w:val="28"/>
          <w:szCs w:val="28"/>
        </w:rPr>
        <w:t xml:space="preserve">Прогноз поступлений денежных взысканий (штрафов) </w:t>
      </w:r>
      <w:r>
        <w:rPr>
          <w:sz w:val="28"/>
          <w:szCs w:val="28"/>
        </w:rPr>
        <w:t xml:space="preserve">на 2022 год и на </w:t>
      </w:r>
      <w:r w:rsidRPr="00E428FB">
        <w:rPr>
          <w:sz w:val="28"/>
          <w:szCs w:val="28"/>
        </w:rPr>
        <w:t>плановый период 20</w:t>
      </w:r>
      <w:r>
        <w:rPr>
          <w:sz w:val="28"/>
          <w:szCs w:val="28"/>
        </w:rPr>
        <w:t>23</w:t>
      </w:r>
      <w:r w:rsidRPr="00E428FB">
        <w:rPr>
          <w:sz w:val="28"/>
          <w:szCs w:val="28"/>
        </w:rPr>
        <w:t>-20</w:t>
      </w:r>
      <w:r>
        <w:rPr>
          <w:sz w:val="28"/>
          <w:szCs w:val="28"/>
        </w:rPr>
        <w:t>24 гг.</w:t>
      </w:r>
      <w:r w:rsidRPr="00E428FB">
        <w:rPr>
          <w:sz w:val="28"/>
          <w:szCs w:val="28"/>
        </w:rPr>
        <w:t xml:space="preserve"> в доход областного бюджета Тверской области определены</w:t>
      </w:r>
      <w:r>
        <w:rPr>
          <w:sz w:val="28"/>
          <w:szCs w:val="28"/>
        </w:rPr>
        <w:t xml:space="preserve"> в разрезе муниципальных образований Тверской области методом пр</w:t>
      </w:r>
      <w:r w:rsidRPr="00E428FB">
        <w:rPr>
          <w:sz w:val="28"/>
          <w:szCs w:val="28"/>
        </w:rPr>
        <w:t xml:space="preserve">ямого расчета, основанного на  использовании среднего количества нарушений, выявленных в ходе проверок и размера </w:t>
      </w:r>
      <w:r w:rsidRPr="005E2D4F">
        <w:rPr>
          <w:sz w:val="28"/>
          <w:szCs w:val="28"/>
        </w:rPr>
        <w:t>штрафов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w:t>
      </w:r>
    </w:p>
    <w:p w:rsidR="0055491A" w:rsidRDefault="0055491A" w:rsidP="0055491A">
      <w:pPr>
        <w:pStyle w:val="a7"/>
        <w:spacing w:after="0"/>
        <w:ind w:left="0" w:firstLine="709"/>
        <w:jc w:val="both"/>
        <w:rPr>
          <w:sz w:val="28"/>
          <w:szCs w:val="28"/>
        </w:rPr>
      </w:pPr>
    </w:p>
    <w:p w:rsidR="0055491A" w:rsidRDefault="0055491A" w:rsidP="0055491A">
      <w:pPr>
        <w:pStyle w:val="a7"/>
        <w:spacing w:after="0"/>
        <w:ind w:left="0" w:firstLine="709"/>
        <w:jc w:val="both"/>
        <w:rPr>
          <w:sz w:val="28"/>
          <w:szCs w:val="28"/>
        </w:rPr>
      </w:pPr>
      <w:r>
        <w:rPr>
          <w:sz w:val="28"/>
          <w:szCs w:val="28"/>
        </w:rPr>
        <w:t xml:space="preserve"> Расчет прогноза поступлений представлен в таблице:</w:t>
      </w:r>
    </w:p>
    <w:p w:rsidR="0055491A" w:rsidRDefault="0055491A" w:rsidP="0055491A">
      <w:pPr>
        <w:pStyle w:val="a7"/>
        <w:spacing w:after="0"/>
        <w:ind w:left="0" w:firstLine="709"/>
        <w:jc w:val="both"/>
        <w:rPr>
          <w:sz w:val="28"/>
          <w:szCs w:val="28"/>
        </w:rPr>
      </w:pPr>
    </w:p>
    <w:p w:rsidR="0055491A" w:rsidRDefault="0055491A" w:rsidP="0055491A">
      <w:pPr>
        <w:pStyle w:val="a7"/>
        <w:spacing w:after="0"/>
        <w:ind w:left="0" w:firstLine="709"/>
        <w:jc w:val="both"/>
        <w:rPr>
          <w:sz w:val="28"/>
          <w:szCs w:val="28"/>
        </w:rPr>
      </w:pPr>
    </w:p>
    <w:p w:rsidR="0055491A" w:rsidRDefault="0055491A" w:rsidP="0055491A">
      <w:pPr>
        <w:pStyle w:val="a7"/>
        <w:spacing w:after="0"/>
        <w:ind w:left="0" w:firstLine="709"/>
        <w:jc w:val="both"/>
        <w:rPr>
          <w:sz w:val="28"/>
          <w:szCs w:val="28"/>
        </w:rPr>
      </w:pPr>
    </w:p>
    <w:p w:rsidR="0055491A" w:rsidRPr="005E2D4F" w:rsidRDefault="0055491A" w:rsidP="0055491A">
      <w:pPr>
        <w:pStyle w:val="a7"/>
        <w:spacing w:after="0"/>
        <w:ind w:left="0" w:firstLine="709"/>
        <w:jc w:val="both"/>
        <w:rPr>
          <w:sz w:val="28"/>
          <w:szCs w:val="28"/>
        </w:rPr>
      </w:pPr>
    </w:p>
    <w:tbl>
      <w:tblPr>
        <w:tblStyle w:val="a6"/>
        <w:tblW w:w="5000" w:type="pct"/>
        <w:tblLayout w:type="fixed"/>
        <w:tblLook w:val="04A0" w:firstRow="1" w:lastRow="0" w:firstColumn="1" w:lastColumn="0" w:noHBand="0" w:noVBand="1"/>
      </w:tblPr>
      <w:tblGrid>
        <w:gridCol w:w="709"/>
        <w:gridCol w:w="269"/>
        <w:gridCol w:w="11"/>
        <w:gridCol w:w="591"/>
        <w:gridCol w:w="533"/>
        <w:gridCol w:w="13"/>
        <w:gridCol w:w="520"/>
        <w:gridCol w:w="54"/>
        <w:gridCol w:w="478"/>
        <w:gridCol w:w="830"/>
        <w:gridCol w:w="699"/>
        <w:gridCol w:w="848"/>
        <w:gridCol w:w="699"/>
        <w:gridCol w:w="848"/>
        <w:gridCol w:w="699"/>
        <w:gridCol w:w="848"/>
        <w:gridCol w:w="695"/>
      </w:tblGrid>
      <w:tr w:rsidR="0055491A" w:rsidRPr="00046434" w:rsidTr="00210BF6">
        <w:trPr>
          <w:trHeight w:val="816"/>
        </w:trPr>
        <w:tc>
          <w:tcPr>
            <w:tcW w:w="379" w:type="pct"/>
            <w:vMerge w:val="restart"/>
          </w:tcPr>
          <w:p w:rsidR="0055491A" w:rsidRPr="006C469E" w:rsidRDefault="0055491A" w:rsidP="00210BF6">
            <w:pPr>
              <w:jc w:val="center"/>
              <w:rPr>
                <w:b/>
                <w:sz w:val="18"/>
                <w:szCs w:val="18"/>
              </w:rPr>
            </w:pPr>
            <w:r w:rsidRPr="006C469E">
              <w:rPr>
                <w:b/>
                <w:sz w:val="18"/>
                <w:szCs w:val="18"/>
              </w:rPr>
              <w:t>В</w:t>
            </w:r>
            <w:r>
              <w:rPr>
                <w:b/>
                <w:sz w:val="18"/>
                <w:szCs w:val="18"/>
              </w:rPr>
              <w:t>В</w:t>
            </w:r>
            <w:r w:rsidRPr="006C469E">
              <w:rPr>
                <w:b/>
                <w:sz w:val="18"/>
                <w:szCs w:val="18"/>
              </w:rPr>
              <w:t>ид нарушения,</w:t>
            </w:r>
          </w:p>
          <w:p w:rsidR="0055491A" w:rsidRPr="006C469E" w:rsidRDefault="0055491A" w:rsidP="00210BF6">
            <w:pPr>
              <w:jc w:val="center"/>
              <w:rPr>
                <w:b/>
                <w:bCs/>
                <w:color w:val="000000"/>
                <w:sz w:val="18"/>
                <w:szCs w:val="18"/>
              </w:rPr>
            </w:pPr>
            <w:r w:rsidRPr="006C469E">
              <w:rPr>
                <w:b/>
                <w:sz w:val="18"/>
                <w:szCs w:val="18"/>
              </w:rPr>
              <w:t>К</w:t>
            </w:r>
            <w:r>
              <w:rPr>
                <w:b/>
                <w:sz w:val="18"/>
                <w:szCs w:val="18"/>
              </w:rPr>
              <w:t>К</w:t>
            </w:r>
            <w:r w:rsidRPr="006C469E">
              <w:rPr>
                <w:b/>
                <w:sz w:val="18"/>
                <w:szCs w:val="18"/>
              </w:rPr>
              <w:t>оАП РФ</w:t>
            </w:r>
          </w:p>
        </w:tc>
        <w:tc>
          <w:tcPr>
            <w:tcW w:w="466" w:type="pct"/>
            <w:gridSpan w:val="3"/>
            <w:vMerge w:val="restart"/>
          </w:tcPr>
          <w:p w:rsidR="0055491A" w:rsidRPr="006C469E" w:rsidRDefault="0055491A" w:rsidP="00210BF6">
            <w:pPr>
              <w:ind w:firstLine="0"/>
              <w:jc w:val="center"/>
              <w:rPr>
                <w:b/>
                <w:sz w:val="28"/>
                <w:szCs w:val="28"/>
              </w:rPr>
            </w:pPr>
            <w:r>
              <w:rPr>
                <w:b/>
                <w:bCs/>
                <w:color w:val="000000"/>
                <w:sz w:val="18"/>
                <w:szCs w:val="18"/>
              </w:rPr>
              <w:t>Размер штрафа</w:t>
            </w:r>
            <w:r w:rsidRPr="006C469E">
              <w:rPr>
                <w:b/>
                <w:bCs/>
                <w:sz w:val="18"/>
                <w:szCs w:val="18"/>
              </w:rPr>
              <w:t>тыс.руб</w:t>
            </w:r>
          </w:p>
        </w:tc>
        <w:tc>
          <w:tcPr>
            <w:tcW w:w="855" w:type="pct"/>
            <w:gridSpan w:val="5"/>
            <w:vAlign w:val="center"/>
          </w:tcPr>
          <w:p w:rsidR="0055491A" w:rsidRPr="006C469E" w:rsidRDefault="0055491A" w:rsidP="00210BF6">
            <w:pPr>
              <w:ind w:firstLine="0"/>
              <w:jc w:val="center"/>
              <w:rPr>
                <w:b/>
                <w:bCs/>
                <w:color w:val="000000"/>
                <w:sz w:val="18"/>
                <w:szCs w:val="18"/>
              </w:rPr>
            </w:pPr>
            <w:r w:rsidRPr="006C469E">
              <w:rPr>
                <w:b/>
                <w:bCs/>
                <w:color w:val="000000"/>
                <w:sz w:val="18"/>
                <w:szCs w:val="18"/>
              </w:rPr>
              <w:t>Количество постановлений, шт</w:t>
            </w:r>
          </w:p>
        </w:tc>
        <w:tc>
          <w:tcPr>
            <w:tcW w:w="818" w:type="pct"/>
            <w:gridSpan w:val="2"/>
            <w:vAlign w:val="center"/>
          </w:tcPr>
          <w:p w:rsidR="0055491A" w:rsidRPr="006C469E" w:rsidRDefault="0055491A" w:rsidP="00210BF6">
            <w:pPr>
              <w:ind w:firstLine="0"/>
              <w:jc w:val="center"/>
              <w:rPr>
                <w:b/>
                <w:bCs/>
                <w:color w:val="000000"/>
                <w:sz w:val="18"/>
                <w:szCs w:val="18"/>
              </w:rPr>
            </w:pPr>
            <w:r>
              <w:rPr>
                <w:b/>
                <w:bCs/>
                <w:color w:val="000000"/>
                <w:sz w:val="18"/>
                <w:szCs w:val="18"/>
              </w:rPr>
              <w:t>2021 год</w:t>
            </w:r>
          </w:p>
          <w:p w:rsidR="0055491A" w:rsidRPr="006C469E" w:rsidRDefault="0055491A" w:rsidP="00210BF6">
            <w:pPr>
              <w:ind w:firstLine="0"/>
              <w:jc w:val="center"/>
              <w:rPr>
                <w:b/>
                <w:bCs/>
                <w:color w:val="000000"/>
                <w:sz w:val="18"/>
                <w:szCs w:val="18"/>
              </w:rPr>
            </w:pPr>
          </w:p>
        </w:tc>
        <w:tc>
          <w:tcPr>
            <w:tcW w:w="828" w:type="pct"/>
            <w:gridSpan w:val="2"/>
          </w:tcPr>
          <w:p w:rsidR="0055491A" w:rsidRPr="006C469E" w:rsidRDefault="0055491A" w:rsidP="00210BF6">
            <w:pPr>
              <w:ind w:firstLine="0"/>
              <w:jc w:val="center"/>
              <w:rPr>
                <w:b/>
                <w:bCs/>
                <w:color w:val="000000"/>
                <w:sz w:val="18"/>
                <w:szCs w:val="18"/>
              </w:rPr>
            </w:pPr>
          </w:p>
          <w:p w:rsidR="0055491A" w:rsidRPr="006C469E" w:rsidRDefault="0055491A" w:rsidP="00210BF6">
            <w:pPr>
              <w:ind w:firstLine="0"/>
              <w:jc w:val="center"/>
              <w:rPr>
                <w:b/>
                <w:bCs/>
                <w:color w:val="000000"/>
                <w:sz w:val="18"/>
                <w:szCs w:val="18"/>
              </w:rPr>
            </w:pPr>
            <w:r w:rsidRPr="006C469E">
              <w:rPr>
                <w:b/>
                <w:bCs/>
                <w:color w:val="000000"/>
                <w:sz w:val="18"/>
                <w:szCs w:val="18"/>
              </w:rPr>
              <w:t>202</w:t>
            </w:r>
            <w:r>
              <w:rPr>
                <w:b/>
                <w:bCs/>
                <w:color w:val="000000"/>
                <w:sz w:val="18"/>
                <w:szCs w:val="18"/>
              </w:rPr>
              <w:t>2 год</w:t>
            </w:r>
          </w:p>
        </w:tc>
        <w:tc>
          <w:tcPr>
            <w:tcW w:w="828" w:type="pct"/>
            <w:gridSpan w:val="2"/>
          </w:tcPr>
          <w:p w:rsidR="0055491A" w:rsidRPr="006C469E" w:rsidRDefault="0055491A" w:rsidP="00210BF6">
            <w:pPr>
              <w:ind w:firstLine="0"/>
              <w:jc w:val="center"/>
              <w:rPr>
                <w:b/>
                <w:bCs/>
                <w:color w:val="000000"/>
                <w:sz w:val="18"/>
                <w:szCs w:val="18"/>
              </w:rPr>
            </w:pPr>
          </w:p>
          <w:p w:rsidR="0055491A" w:rsidRPr="006C469E" w:rsidRDefault="0055491A" w:rsidP="00210BF6">
            <w:pPr>
              <w:ind w:firstLine="0"/>
              <w:jc w:val="center"/>
              <w:rPr>
                <w:b/>
                <w:bCs/>
                <w:color w:val="000000"/>
                <w:sz w:val="18"/>
                <w:szCs w:val="18"/>
              </w:rPr>
            </w:pPr>
            <w:r w:rsidRPr="006C469E">
              <w:rPr>
                <w:b/>
                <w:bCs/>
                <w:color w:val="000000"/>
                <w:sz w:val="18"/>
                <w:szCs w:val="18"/>
              </w:rPr>
              <w:t>202</w:t>
            </w:r>
            <w:r>
              <w:rPr>
                <w:b/>
                <w:bCs/>
                <w:color w:val="000000"/>
                <w:sz w:val="18"/>
                <w:szCs w:val="18"/>
              </w:rPr>
              <w:t>3 год</w:t>
            </w:r>
          </w:p>
        </w:tc>
        <w:tc>
          <w:tcPr>
            <w:tcW w:w="826" w:type="pct"/>
            <w:gridSpan w:val="2"/>
          </w:tcPr>
          <w:p w:rsidR="0055491A" w:rsidRPr="006C469E" w:rsidRDefault="0055491A" w:rsidP="00210BF6">
            <w:pPr>
              <w:ind w:firstLine="0"/>
              <w:jc w:val="center"/>
              <w:rPr>
                <w:b/>
                <w:bCs/>
                <w:color w:val="000000"/>
                <w:sz w:val="18"/>
                <w:szCs w:val="18"/>
              </w:rPr>
            </w:pPr>
          </w:p>
          <w:p w:rsidR="0055491A" w:rsidRPr="006C469E" w:rsidRDefault="0055491A" w:rsidP="00210BF6">
            <w:pPr>
              <w:ind w:firstLine="0"/>
              <w:jc w:val="center"/>
              <w:rPr>
                <w:b/>
                <w:bCs/>
                <w:color w:val="000000"/>
                <w:sz w:val="18"/>
                <w:szCs w:val="18"/>
              </w:rPr>
            </w:pPr>
            <w:r w:rsidRPr="006C469E">
              <w:rPr>
                <w:b/>
                <w:bCs/>
                <w:color w:val="000000"/>
                <w:sz w:val="18"/>
                <w:szCs w:val="18"/>
              </w:rPr>
              <w:t>202</w:t>
            </w:r>
            <w:r>
              <w:rPr>
                <w:b/>
                <w:bCs/>
                <w:color w:val="000000"/>
                <w:sz w:val="18"/>
                <w:szCs w:val="18"/>
              </w:rPr>
              <w:t>4 год</w:t>
            </w:r>
          </w:p>
        </w:tc>
      </w:tr>
      <w:tr w:rsidR="0055491A" w:rsidRPr="00046434" w:rsidTr="00210BF6">
        <w:trPr>
          <w:cantSplit/>
          <w:trHeight w:val="1164"/>
        </w:trPr>
        <w:tc>
          <w:tcPr>
            <w:tcW w:w="379" w:type="pct"/>
            <w:vMerge/>
          </w:tcPr>
          <w:p w:rsidR="0055491A" w:rsidRPr="006C469E" w:rsidRDefault="0055491A" w:rsidP="00210BF6">
            <w:pPr>
              <w:jc w:val="center"/>
              <w:rPr>
                <w:b/>
                <w:bCs/>
                <w:color w:val="000000"/>
                <w:sz w:val="18"/>
                <w:szCs w:val="18"/>
              </w:rPr>
            </w:pPr>
          </w:p>
        </w:tc>
        <w:tc>
          <w:tcPr>
            <w:tcW w:w="466" w:type="pct"/>
            <w:gridSpan w:val="3"/>
            <w:vMerge/>
          </w:tcPr>
          <w:p w:rsidR="0055491A" w:rsidRPr="006C469E" w:rsidRDefault="0055491A" w:rsidP="00210BF6">
            <w:pPr>
              <w:jc w:val="center"/>
              <w:rPr>
                <w:b/>
                <w:bCs/>
                <w:color w:val="000000"/>
                <w:sz w:val="18"/>
                <w:szCs w:val="18"/>
              </w:rPr>
            </w:pPr>
          </w:p>
        </w:tc>
        <w:tc>
          <w:tcPr>
            <w:tcW w:w="285" w:type="pct"/>
            <w:textDirection w:val="tbRl"/>
            <w:vAlign w:val="center"/>
          </w:tcPr>
          <w:p w:rsidR="0055491A" w:rsidRPr="00876848" w:rsidRDefault="0055491A" w:rsidP="00210BF6">
            <w:pPr>
              <w:ind w:left="113" w:right="113" w:firstLine="0"/>
              <w:jc w:val="center"/>
              <w:rPr>
                <w:bCs/>
                <w:color w:val="000000"/>
                <w:sz w:val="16"/>
                <w:szCs w:val="16"/>
              </w:rPr>
            </w:pPr>
            <w:r>
              <w:rPr>
                <w:bCs/>
                <w:color w:val="000000"/>
                <w:sz w:val="16"/>
                <w:szCs w:val="16"/>
              </w:rPr>
              <w:t>2018</w:t>
            </w:r>
          </w:p>
        </w:tc>
        <w:tc>
          <w:tcPr>
            <w:tcW w:w="285" w:type="pct"/>
            <w:gridSpan w:val="2"/>
            <w:textDirection w:val="tbRl"/>
            <w:vAlign w:val="center"/>
          </w:tcPr>
          <w:p w:rsidR="0055491A" w:rsidRPr="00876848" w:rsidRDefault="0055491A" w:rsidP="00210BF6">
            <w:pPr>
              <w:ind w:left="113" w:right="113" w:firstLine="0"/>
              <w:jc w:val="center"/>
              <w:rPr>
                <w:bCs/>
                <w:color w:val="000000"/>
                <w:sz w:val="16"/>
                <w:szCs w:val="16"/>
              </w:rPr>
            </w:pPr>
            <w:r>
              <w:rPr>
                <w:bCs/>
                <w:color w:val="000000"/>
                <w:sz w:val="16"/>
                <w:szCs w:val="16"/>
              </w:rPr>
              <w:t>2019</w:t>
            </w:r>
          </w:p>
        </w:tc>
        <w:tc>
          <w:tcPr>
            <w:tcW w:w="285" w:type="pct"/>
            <w:gridSpan w:val="2"/>
            <w:textDirection w:val="tbRl"/>
            <w:vAlign w:val="center"/>
          </w:tcPr>
          <w:p w:rsidR="0055491A" w:rsidRPr="00876848" w:rsidRDefault="0055491A" w:rsidP="00210BF6">
            <w:pPr>
              <w:ind w:left="113" w:right="113" w:firstLine="0"/>
              <w:jc w:val="center"/>
              <w:rPr>
                <w:bCs/>
                <w:color w:val="000000"/>
                <w:sz w:val="16"/>
                <w:szCs w:val="16"/>
              </w:rPr>
            </w:pPr>
            <w:r>
              <w:rPr>
                <w:bCs/>
                <w:color w:val="000000"/>
                <w:sz w:val="16"/>
                <w:szCs w:val="16"/>
              </w:rPr>
              <w:t>2020</w:t>
            </w:r>
          </w:p>
        </w:tc>
        <w:tc>
          <w:tcPr>
            <w:tcW w:w="444" w:type="pct"/>
            <w:vAlign w:val="center"/>
          </w:tcPr>
          <w:p w:rsidR="0055491A" w:rsidRPr="00352526" w:rsidRDefault="0055491A" w:rsidP="00210BF6">
            <w:pPr>
              <w:ind w:firstLine="0"/>
              <w:jc w:val="center"/>
              <w:rPr>
                <w:b/>
                <w:bCs/>
                <w:color w:val="000000"/>
                <w:sz w:val="18"/>
                <w:szCs w:val="18"/>
              </w:rPr>
            </w:pPr>
            <w:r>
              <w:rPr>
                <w:b/>
                <w:bCs/>
                <w:color w:val="000000"/>
                <w:sz w:val="18"/>
                <w:szCs w:val="18"/>
              </w:rPr>
              <w:t>К</w:t>
            </w:r>
            <w:r w:rsidRPr="00352526">
              <w:rPr>
                <w:b/>
                <w:bCs/>
                <w:color w:val="000000"/>
                <w:sz w:val="18"/>
                <w:szCs w:val="18"/>
              </w:rPr>
              <w:t>оличество, шт.(ст.3+ст.4+ст.5)/3</w:t>
            </w:r>
          </w:p>
        </w:tc>
        <w:tc>
          <w:tcPr>
            <w:tcW w:w="374" w:type="pct"/>
            <w:vAlign w:val="center"/>
          </w:tcPr>
          <w:p w:rsidR="0055491A" w:rsidRPr="00352526" w:rsidRDefault="0055491A" w:rsidP="00210BF6">
            <w:pPr>
              <w:ind w:firstLine="0"/>
              <w:jc w:val="center"/>
              <w:rPr>
                <w:b/>
                <w:bCs/>
                <w:color w:val="000000"/>
                <w:sz w:val="18"/>
                <w:szCs w:val="18"/>
              </w:rPr>
            </w:pPr>
            <w:r w:rsidRPr="00352526">
              <w:rPr>
                <w:b/>
                <w:bCs/>
                <w:color w:val="000000"/>
                <w:sz w:val="18"/>
                <w:szCs w:val="18"/>
              </w:rPr>
              <w:t>Сумма, тыс. руб.(ст.6 хст.2)</w:t>
            </w:r>
          </w:p>
        </w:tc>
        <w:tc>
          <w:tcPr>
            <w:tcW w:w="454" w:type="pct"/>
            <w:vAlign w:val="center"/>
          </w:tcPr>
          <w:p w:rsidR="0055491A" w:rsidRPr="00352526" w:rsidRDefault="0055491A" w:rsidP="00210BF6">
            <w:pPr>
              <w:ind w:firstLine="0"/>
              <w:jc w:val="center"/>
              <w:rPr>
                <w:b/>
                <w:bCs/>
                <w:color w:val="000000"/>
                <w:sz w:val="18"/>
                <w:szCs w:val="18"/>
              </w:rPr>
            </w:pPr>
            <w:r w:rsidRPr="00352526">
              <w:rPr>
                <w:b/>
                <w:bCs/>
                <w:color w:val="000000"/>
                <w:sz w:val="18"/>
                <w:szCs w:val="18"/>
              </w:rPr>
              <w:t>Количество, шт.(ст.4+ст.5+ст.6)/3</w:t>
            </w:r>
          </w:p>
        </w:tc>
        <w:tc>
          <w:tcPr>
            <w:tcW w:w="374" w:type="pct"/>
            <w:vAlign w:val="center"/>
          </w:tcPr>
          <w:p w:rsidR="0055491A" w:rsidRPr="00352526" w:rsidRDefault="0055491A" w:rsidP="00210BF6">
            <w:pPr>
              <w:ind w:firstLine="0"/>
              <w:jc w:val="center"/>
              <w:rPr>
                <w:b/>
                <w:bCs/>
                <w:color w:val="000000"/>
                <w:sz w:val="18"/>
                <w:szCs w:val="18"/>
              </w:rPr>
            </w:pPr>
            <w:r w:rsidRPr="00352526">
              <w:rPr>
                <w:b/>
                <w:bCs/>
                <w:color w:val="000000"/>
                <w:sz w:val="18"/>
                <w:szCs w:val="18"/>
              </w:rPr>
              <w:t>Сумма, тыс. руб.(ст,8хст.2)</w:t>
            </w:r>
          </w:p>
        </w:tc>
        <w:tc>
          <w:tcPr>
            <w:tcW w:w="454" w:type="pct"/>
            <w:vAlign w:val="center"/>
          </w:tcPr>
          <w:p w:rsidR="0055491A" w:rsidRPr="00352526" w:rsidRDefault="0055491A" w:rsidP="00210BF6">
            <w:pPr>
              <w:ind w:firstLine="0"/>
              <w:jc w:val="center"/>
              <w:rPr>
                <w:b/>
                <w:bCs/>
                <w:color w:val="000000"/>
                <w:sz w:val="18"/>
                <w:szCs w:val="18"/>
              </w:rPr>
            </w:pPr>
            <w:r w:rsidRPr="00352526">
              <w:rPr>
                <w:b/>
                <w:bCs/>
                <w:color w:val="000000"/>
                <w:sz w:val="18"/>
                <w:szCs w:val="18"/>
              </w:rPr>
              <w:t>Количество, шт.(ст.5+ст.6+ст. 8)/3</w:t>
            </w:r>
          </w:p>
        </w:tc>
        <w:tc>
          <w:tcPr>
            <w:tcW w:w="374" w:type="pct"/>
            <w:vAlign w:val="center"/>
          </w:tcPr>
          <w:p w:rsidR="0055491A" w:rsidRPr="00352526" w:rsidRDefault="0055491A" w:rsidP="00210BF6">
            <w:pPr>
              <w:ind w:firstLine="0"/>
              <w:jc w:val="center"/>
              <w:rPr>
                <w:b/>
                <w:bCs/>
                <w:color w:val="000000"/>
                <w:sz w:val="18"/>
                <w:szCs w:val="18"/>
              </w:rPr>
            </w:pPr>
            <w:r w:rsidRPr="00352526">
              <w:rPr>
                <w:b/>
                <w:bCs/>
                <w:color w:val="000000"/>
                <w:sz w:val="18"/>
                <w:szCs w:val="18"/>
              </w:rPr>
              <w:t>Сумма, тыс. руб.(ст,10хст.2)</w:t>
            </w:r>
          </w:p>
        </w:tc>
        <w:tc>
          <w:tcPr>
            <w:tcW w:w="454" w:type="pct"/>
            <w:vAlign w:val="center"/>
          </w:tcPr>
          <w:p w:rsidR="0055491A" w:rsidRPr="00352526" w:rsidRDefault="0055491A" w:rsidP="00210BF6">
            <w:pPr>
              <w:ind w:firstLine="0"/>
              <w:jc w:val="center"/>
              <w:rPr>
                <w:b/>
                <w:bCs/>
                <w:color w:val="000000"/>
                <w:sz w:val="18"/>
                <w:szCs w:val="18"/>
              </w:rPr>
            </w:pPr>
            <w:r w:rsidRPr="00352526">
              <w:rPr>
                <w:b/>
                <w:bCs/>
                <w:color w:val="000000"/>
                <w:sz w:val="18"/>
                <w:szCs w:val="18"/>
              </w:rPr>
              <w:t>Количество, шт.(ст.6+ст.8+ ст.10)/3</w:t>
            </w:r>
          </w:p>
        </w:tc>
        <w:tc>
          <w:tcPr>
            <w:tcW w:w="372" w:type="pct"/>
            <w:vAlign w:val="center"/>
          </w:tcPr>
          <w:p w:rsidR="0055491A" w:rsidRPr="00352526" w:rsidRDefault="0055491A" w:rsidP="00210BF6">
            <w:pPr>
              <w:ind w:firstLine="0"/>
              <w:jc w:val="center"/>
              <w:rPr>
                <w:b/>
                <w:bCs/>
                <w:color w:val="000000"/>
                <w:sz w:val="18"/>
                <w:szCs w:val="18"/>
              </w:rPr>
            </w:pPr>
            <w:r w:rsidRPr="00352526">
              <w:rPr>
                <w:b/>
                <w:bCs/>
                <w:color w:val="000000"/>
                <w:sz w:val="18"/>
                <w:szCs w:val="18"/>
              </w:rPr>
              <w:t>Сумма, тыс. руб.(ст,12хст.2)</w:t>
            </w:r>
          </w:p>
        </w:tc>
      </w:tr>
      <w:tr w:rsidR="0055491A" w:rsidRPr="00046434" w:rsidTr="00210BF6">
        <w:trPr>
          <w:trHeight w:val="233"/>
        </w:trPr>
        <w:tc>
          <w:tcPr>
            <w:tcW w:w="379" w:type="pct"/>
            <w:vAlign w:val="center"/>
          </w:tcPr>
          <w:p w:rsidR="0055491A" w:rsidRPr="006C469E" w:rsidRDefault="0055491A" w:rsidP="00210BF6">
            <w:pPr>
              <w:ind w:firstLine="0"/>
              <w:jc w:val="center"/>
              <w:rPr>
                <w:b/>
                <w:bCs/>
                <w:color w:val="000000"/>
                <w:sz w:val="18"/>
                <w:szCs w:val="18"/>
              </w:rPr>
            </w:pPr>
            <w:r>
              <w:rPr>
                <w:b/>
                <w:bCs/>
                <w:color w:val="000000"/>
                <w:sz w:val="18"/>
                <w:szCs w:val="18"/>
              </w:rPr>
              <w:t>1</w:t>
            </w:r>
          </w:p>
        </w:tc>
        <w:tc>
          <w:tcPr>
            <w:tcW w:w="466" w:type="pct"/>
            <w:gridSpan w:val="3"/>
            <w:vAlign w:val="center"/>
          </w:tcPr>
          <w:p w:rsidR="0055491A" w:rsidRPr="006C469E" w:rsidRDefault="0055491A" w:rsidP="00210BF6">
            <w:pPr>
              <w:ind w:firstLine="0"/>
              <w:contextualSpacing/>
              <w:jc w:val="center"/>
              <w:rPr>
                <w:b/>
                <w:bCs/>
                <w:color w:val="000000"/>
                <w:sz w:val="18"/>
                <w:szCs w:val="18"/>
              </w:rPr>
            </w:pPr>
            <w:r w:rsidRPr="006C469E">
              <w:rPr>
                <w:b/>
                <w:bCs/>
                <w:color w:val="000000"/>
                <w:sz w:val="18"/>
                <w:szCs w:val="18"/>
              </w:rPr>
              <w:t>2</w:t>
            </w:r>
          </w:p>
        </w:tc>
        <w:tc>
          <w:tcPr>
            <w:tcW w:w="285" w:type="pct"/>
            <w:vAlign w:val="center"/>
          </w:tcPr>
          <w:p w:rsidR="0055491A" w:rsidRPr="006C469E" w:rsidRDefault="0055491A" w:rsidP="00210BF6">
            <w:pPr>
              <w:ind w:firstLine="0"/>
              <w:contextualSpacing/>
              <w:jc w:val="center"/>
              <w:rPr>
                <w:b/>
                <w:bCs/>
                <w:color w:val="000000"/>
                <w:sz w:val="18"/>
                <w:szCs w:val="18"/>
              </w:rPr>
            </w:pPr>
            <w:r w:rsidRPr="006C469E">
              <w:rPr>
                <w:b/>
                <w:bCs/>
                <w:color w:val="000000"/>
                <w:sz w:val="18"/>
                <w:szCs w:val="18"/>
              </w:rPr>
              <w:t>3</w:t>
            </w:r>
          </w:p>
        </w:tc>
        <w:tc>
          <w:tcPr>
            <w:tcW w:w="285" w:type="pct"/>
            <w:gridSpan w:val="2"/>
            <w:vAlign w:val="center"/>
          </w:tcPr>
          <w:p w:rsidR="0055491A" w:rsidRPr="006C469E" w:rsidRDefault="0055491A" w:rsidP="00210BF6">
            <w:pPr>
              <w:ind w:firstLine="0"/>
              <w:contextualSpacing/>
              <w:jc w:val="center"/>
              <w:rPr>
                <w:b/>
                <w:bCs/>
                <w:color w:val="000000"/>
                <w:sz w:val="18"/>
                <w:szCs w:val="18"/>
              </w:rPr>
            </w:pPr>
            <w:r w:rsidRPr="006C469E">
              <w:rPr>
                <w:b/>
                <w:bCs/>
                <w:color w:val="000000"/>
                <w:sz w:val="18"/>
                <w:szCs w:val="18"/>
              </w:rPr>
              <w:t>4</w:t>
            </w:r>
          </w:p>
        </w:tc>
        <w:tc>
          <w:tcPr>
            <w:tcW w:w="285" w:type="pct"/>
            <w:gridSpan w:val="2"/>
            <w:vAlign w:val="center"/>
          </w:tcPr>
          <w:p w:rsidR="0055491A" w:rsidRPr="006C469E" w:rsidRDefault="0055491A" w:rsidP="00210BF6">
            <w:pPr>
              <w:ind w:firstLine="0"/>
              <w:contextualSpacing/>
              <w:jc w:val="center"/>
              <w:rPr>
                <w:b/>
                <w:bCs/>
                <w:color w:val="000000"/>
                <w:sz w:val="18"/>
                <w:szCs w:val="18"/>
              </w:rPr>
            </w:pPr>
            <w:r>
              <w:rPr>
                <w:b/>
                <w:bCs/>
                <w:color w:val="000000"/>
                <w:sz w:val="18"/>
                <w:szCs w:val="18"/>
              </w:rPr>
              <w:t>5</w:t>
            </w:r>
          </w:p>
        </w:tc>
        <w:tc>
          <w:tcPr>
            <w:tcW w:w="444" w:type="pct"/>
            <w:vAlign w:val="center"/>
          </w:tcPr>
          <w:p w:rsidR="0055491A" w:rsidRPr="006C469E" w:rsidRDefault="0055491A" w:rsidP="00210BF6">
            <w:pPr>
              <w:ind w:firstLine="0"/>
              <w:contextualSpacing/>
              <w:jc w:val="center"/>
              <w:rPr>
                <w:b/>
                <w:bCs/>
                <w:color w:val="000000"/>
                <w:sz w:val="18"/>
                <w:szCs w:val="18"/>
              </w:rPr>
            </w:pPr>
            <w:r>
              <w:rPr>
                <w:b/>
                <w:bCs/>
                <w:color w:val="000000"/>
                <w:sz w:val="18"/>
                <w:szCs w:val="18"/>
              </w:rPr>
              <w:t>6</w:t>
            </w:r>
          </w:p>
        </w:tc>
        <w:tc>
          <w:tcPr>
            <w:tcW w:w="374" w:type="pct"/>
            <w:vAlign w:val="center"/>
          </w:tcPr>
          <w:p w:rsidR="0055491A" w:rsidRPr="006C469E" w:rsidRDefault="0055491A" w:rsidP="00210BF6">
            <w:pPr>
              <w:ind w:firstLine="0"/>
              <w:contextualSpacing/>
              <w:jc w:val="center"/>
              <w:rPr>
                <w:b/>
                <w:bCs/>
                <w:color w:val="000000"/>
                <w:sz w:val="18"/>
                <w:szCs w:val="18"/>
              </w:rPr>
            </w:pPr>
            <w:r>
              <w:rPr>
                <w:b/>
                <w:bCs/>
                <w:color w:val="000000"/>
                <w:sz w:val="18"/>
                <w:szCs w:val="18"/>
              </w:rPr>
              <w:t>7</w:t>
            </w:r>
          </w:p>
        </w:tc>
        <w:tc>
          <w:tcPr>
            <w:tcW w:w="454" w:type="pct"/>
            <w:vAlign w:val="center"/>
          </w:tcPr>
          <w:p w:rsidR="0055491A" w:rsidRPr="006C469E" w:rsidRDefault="0055491A" w:rsidP="00210BF6">
            <w:pPr>
              <w:ind w:firstLine="0"/>
              <w:contextualSpacing/>
              <w:jc w:val="center"/>
              <w:rPr>
                <w:b/>
                <w:bCs/>
                <w:color w:val="000000"/>
                <w:sz w:val="18"/>
                <w:szCs w:val="18"/>
              </w:rPr>
            </w:pPr>
            <w:r>
              <w:rPr>
                <w:b/>
                <w:bCs/>
                <w:color w:val="000000"/>
                <w:sz w:val="18"/>
                <w:szCs w:val="18"/>
              </w:rPr>
              <w:t>8</w:t>
            </w:r>
          </w:p>
        </w:tc>
        <w:tc>
          <w:tcPr>
            <w:tcW w:w="374" w:type="pct"/>
            <w:vAlign w:val="center"/>
          </w:tcPr>
          <w:p w:rsidR="0055491A" w:rsidRPr="006C469E" w:rsidRDefault="0055491A" w:rsidP="00210BF6">
            <w:pPr>
              <w:ind w:firstLine="0"/>
              <w:contextualSpacing/>
              <w:jc w:val="center"/>
              <w:rPr>
                <w:b/>
                <w:bCs/>
                <w:color w:val="000000"/>
                <w:sz w:val="18"/>
                <w:szCs w:val="18"/>
              </w:rPr>
            </w:pPr>
            <w:r>
              <w:rPr>
                <w:b/>
                <w:bCs/>
                <w:color w:val="000000"/>
                <w:sz w:val="18"/>
                <w:szCs w:val="18"/>
              </w:rPr>
              <w:t>9</w:t>
            </w:r>
          </w:p>
        </w:tc>
        <w:tc>
          <w:tcPr>
            <w:tcW w:w="454" w:type="pct"/>
            <w:vAlign w:val="center"/>
          </w:tcPr>
          <w:p w:rsidR="0055491A" w:rsidRPr="006C469E" w:rsidRDefault="0055491A" w:rsidP="00210BF6">
            <w:pPr>
              <w:ind w:firstLine="0"/>
              <w:contextualSpacing/>
              <w:jc w:val="center"/>
              <w:rPr>
                <w:b/>
                <w:bCs/>
                <w:color w:val="000000"/>
                <w:sz w:val="18"/>
                <w:szCs w:val="18"/>
              </w:rPr>
            </w:pPr>
            <w:r>
              <w:rPr>
                <w:b/>
                <w:bCs/>
                <w:color w:val="000000"/>
                <w:sz w:val="18"/>
                <w:szCs w:val="18"/>
              </w:rPr>
              <w:t>10</w:t>
            </w:r>
          </w:p>
        </w:tc>
        <w:tc>
          <w:tcPr>
            <w:tcW w:w="374" w:type="pct"/>
            <w:vAlign w:val="center"/>
          </w:tcPr>
          <w:p w:rsidR="0055491A" w:rsidRPr="006C469E" w:rsidRDefault="0055491A" w:rsidP="00210BF6">
            <w:pPr>
              <w:ind w:firstLine="0"/>
              <w:contextualSpacing/>
              <w:jc w:val="center"/>
              <w:rPr>
                <w:b/>
                <w:bCs/>
                <w:color w:val="000000"/>
                <w:sz w:val="18"/>
                <w:szCs w:val="18"/>
              </w:rPr>
            </w:pPr>
            <w:r w:rsidRPr="006C469E">
              <w:rPr>
                <w:b/>
                <w:bCs/>
                <w:color w:val="000000"/>
                <w:sz w:val="18"/>
                <w:szCs w:val="18"/>
              </w:rPr>
              <w:t>1</w:t>
            </w:r>
            <w:r>
              <w:rPr>
                <w:b/>
                <w:bCs/>
                <w:color w:val="000000"/>
                <w:sz w:val="18"/>
                <w:szCs w:val="18"/>
              </w:rPr>
              <w:t>1</w:t>
            </w:r>
          </w:p>
        </w:tc>
        <w:tc>
          <w:tcPr>
            <w:tcW w:w="454" w:type="pct"/>
            <w:vAlign w:val="center"/>
          </w:tcPr>
          <w:p w:rsidR="0055491A" w:rsidRPr="006C469E" w:rsidRDefault="0055491A" w:rsidP="00210BF6">
            <w:pPr>
              <w:ind w:firstLine="0"/>
              <w:contextualSpacing/>
              <w:jc w:val="center"/>
              <w:rPr>
                <w:b/>
                <w:bCs/>
                <w:color w:val="000000"/>
                <w:sz w:val="18"/>
                <w:szCs w:val="18"/>
              </w:rPr>
            </w:pPr>
            <w:r>
              <w:rPr>
                <w:b/>
                <w:bCs/>
                <w:color w:val="000000"/>
                <w:sz w:val="18"/>
                <w:szCs w:val="18"/>
              </w:rPr>
              <w:t>12</w:t>
            </w:r>
          </w:p>
        </w:tc>
        <w:tc>
          <w:tcPr>
            <w:tcW w:w="372" w:type="pct"/>
            <w:vAlign w:val="center"/>
          </w:tcPr>
          <w:p w:rsidR="0055491A" w:rsidRPr="006C469E" w:rsidRDefault="0055491A" w:rsidP="00210BF6">
            <w:pPr>
              <w:ind w:firstLine="0"/>
              <w:contextualSpacing/>
              <w:jc w:val="center"/>
              <w:rPr>
                <w:b/>
                <w:bCs/>
                <w:color w:val="000000"/>
                <w:sz w:val="18"/>
                <w:szCs w:val="18"/>
              </w:rPr>
            </w:pPr>
            <w:r>
              <w:rPr>
                <w:b/>
                <w:bCs/>
                <w:color w:val="000000"/>
                <w:sz w:val="18"/>
                <w:szCs w:val="18"/>
              </w:rPr>
              <w:t>13</w:t>
            </w:r>
          </w:p>
        </w:tc>
      </w:tr>
      <w:tr w:rsidR="0055491A" w:rsidRPr="00F564B2" w:rsidTr="00210BF6">
        <w:trPr>
          <w:trHeight w:val="736"/>
        </w:trPr>
        <w:tc>
          <w:tcPr>
            <w:tcW w:w="379" w:type="pct"/>
            <w:vAlign w:val="center"/>
          </w:tcPr>
          <w:p w:rsidR="0055491A" w:rsidRPr="006C469E" w:rsidRDefault="0055491A" w:rsidP="00210BF6">
            <w:pPr>
              <w:jc w:val="center"/>
              <w:rPr>
                <w:bCs/>
                <w:sz w:val="16"/>
                <w:szCs w:val="16"/>
              </w:rPr>
            </w:pPr>
          </w:p>
          <w:p w:rsidR="0055491A" w:rsidRPr="006C469E" w:rsidRDefault="0055491A" w:rsidP="00210BF6">
            <w:pPr>
              <w:jc w:val="center"/>
              <w:rPr>
                <w:bCs/>
                <w:sz w:val="16"/>
                <w:szCs w:val="16"/>
              </w:rPr>
            </w:pPr>
            <w:r>
              <w:rPr>
                <w:bCs/>
                <w:sz w:val="16"/>
                <w:szCs w:val="16"/>
              </w:rPr>
              <w:t>С</w:t>
            </w:r>
            <w:r w:rsidRPr="006C469E">
              <w:rPr>
                <w:bCs/>
                <w:sz w:val="16"/>
                <w:szCs w:val="16"/>
              </w:rPr>
              <w:t>т.19.</w:t>
            </w:r>
            <w:r>
              <w:rPr>
                <w:bCs/>
                <w:sz w:val="16"/>
                <w:szCs w:val="16"/>
              </w:rPr>
              <w:t>5</w:t>
            </w:r>
          </w:p>
          <w:p w:rsidR="0055491A" w:rsidRPr="006C469E" w:rsidRDefault="0055491A" w:rsidP="00210BF6">
            <w:pPr>
              <w:jc w:val="center"/>
              <w:rPr>
                <w:bCs/>
                <w:sz w:val="16"/>
                <w:szCs w:val="16"/>
              </w:rPr>
            </w:pPr>
          </w:p>
        </w:tc>
        <w:tc>
          <w:tcPr>
            <w:tcW w:w="466" w:type="pct"/>
            <w:gridSpan w:val="3"/>
            <w:vAlign w:val="center"/>
          </w:tcPr>
          <w:p w:rsidR="0055491A" w:rsidRPr="002D6C3D" w:rsidRDefault="0055491A" w:rsidP="00210BF6">
            <w:pPr>
              <w:ind w:firstLine="0"/>
              <w:contextualSpacing/>
              <w:jc w:val="center"/>
              <w:rPr>
                <w:bCs/>
                <w:sz w:val="16"/>
                <w:szCs w:val="16"/>
              </w:rPr>
            </w:pPr>
          </w:p>
          <w:p w:rsidR="0055491A" w:rsidRPr="002D6C3D" w:rsidRDefault="0055491A" w:rsidP="00210BF6">
            <w:pPr>
              <w:ind w:firstLine="0"/>
              <w:contextualSpacing/>
              <w:jc w:val="center"/>
              <w:rPr>
                <w:bCs/>
                <w:sz w:val="16"/>
                <w:szCs w:val="16"/>
              </w:rPr>
            </w:pPr>
            <w:r>
              <w:rPr>
                <w:bCs/>
                <w:sz w:val="16"/>
                <w:szCs w:val="16"/>
              </w:rPr>
              <w:t>20</w:t>
            </w:r>
          </w:p>
        </w:tc>
        <w:tc>
          <w:tcPr>
            <w:tcW w:w="292" w:type="pct"/>
            <w:gridSpan w:val="2"/>
            <w:vAlign w:val="center"/>
          </w:tcPr>
          <w:p w:rsidR="0055491A" w:rsidRDefault="0055491A" w:rsidP="00210BF6">
            <w:pPr>
              <w:ind w:firstLine="0"/>
              <w:contextualSpacing/>
              <w:jc w:val="center"/>
              <w:rPr>
                <w:bCs/>
                <w:sz w:val="16"/>
                <w:szCs w:val="16"/>
              </w:rPr>
            </w:pPr>
          </w:p>
          <w:p w:rsidR="0055491A" w:rsidRPr="006C469E" w:rsidRDefault="0055491A" w:rsidP="00210BF6">
            <w:pPr>
              <w:ind w:firstLine="0"/>
              <w:contextualSpacing/>
              <w:jc w:val="center"/>
              <w:rPr>
                <w:color w:val="000000"/>
                <w:sz w:val="16"/>
                <w:szCs w:val="16"/>
              </w:rPr>
            </w:pPr>
            <w:r>
              <w:rPr>
                <w:bCs/>
                <w:sz w:val="16"/>
                <w:szCs w:val="16"/>
              </w:rPr>
              <w:t>0</w:t>
            </w:r>
          </w:p>
        </w:tc>
        <w:tc>
          <w:tcPr>
            <w:tcW w:w="307" w:type="pct"/>
            <w:gridSpan w:val="2"/>
            <w:vAlign w:val="center"/>
          </w:tcPr>
          <w:p w:rsidR="0055491A" w:rsidRDefault="0055491A" w:rsidP="00210BF6">
            <w:pPr>
              <w:ind w:firstLine="0"/>
              <w:contextualSpacing/>
              <w:jc w:val="center"/>
              <w:rPr>
                <w:color w:val="000000"/>
                <w:sz w:val="16"/>
                <w:szCs w:val="16"/>
              </w:rPr>
            </w:pPr>
          </w:p>
          <w:p w:rsidR="0055491A" w:rsidRDefault="0055491A" w:rsidP="00210BF6">
            <w:pPr>
              <w:ind w:firstLine="0"/>
              <w:contextualSpacing/>
              <w:jc w:val="center"/>
              <w:rPr>
                <w:color w:val="000000"/>
                <w:sz w:val="16"/>
                <w:szCs w:val="16"/>
              </w:rPr>
            </w:pPr>
            <w:r>
              <w:rPr>
                <w:color w:val="000000"/>
                <w:sz w:val="16"/>
                <w:szCs w:val="16"/>
              </w:rPr>
              <w:t>2</w:t>
            </w:r>
          </w:p>
        </w:tc>
        <w:tc>
          <w:tcPr>
            <w:tcW w:w="256" w:type="pct"/>
            <w:vAlign w:val="center"/>
          </w:tcPr>
          <w:p w:rsidR="0055491A" w:rsidRDefault="0055491A" w:rsidP="00210BF6">
            <w:pPr>
              <w:ind w:firstLine="0"/>
              <w:contextualSpacing/>
              <w:jc w:val="center"/>
              <w:rPr>
                <w:bCs/>
                <w:sz w:val="16"/>
                <w:szCs w:val="16"/>
              </w:rPr>
            </w:pPr>
          </w:p>
          <w:p w:rsidR="0055491A" w:rsidRPr="002D6C3D" w:rsidRDefault="0055491A" w:rsidP="00210BF6">
            <w:pPr>
              <w:ind w:firstLine="0"/>
              <w:contextualSpacing/>
              <w:jc w:val="center"/>
              <w:rPr>
                <w:bCs/>
                <w:sz w:val="16"/>
                <w:szCs w:val="16"/>
              </w:rPr>
            </w:pPr>
            <w:r>
              <w:rPr>
                <w:bCs/>
                <w:sz w:val="16"/>
                <w:szCs w:val="16"/>
              </w:rPr>
              <w:t>1</w:t>
            </w:r>
          </w:p>
        </w:tc>
        <w:tc>
          <w:tcPr>
            <w:tcW w:w="444" w:type="pct"/>
            <w:vAlign w:val="center"/>
          </w:tcPr>
          <w:p w:rsidR="0055491A" w:rsidRDefault="0055491A" w:rsidP="00210BF6">
            <w:pPr>
              <w:ind w:firstLine="0"/>
              <w:contextualSpacing/>
              <w:jc w:val="center"/>
              <w:rPr>
                <w:bCs/>
                <w:sz w:val="16"/>
                <w:szCs w:val="16"/>
              </w:rPr>
            </w:pPr>
          </w:p>
          <w:p w:rsidR="0055491A" w:rsidRPr="006C469E" w:rsidRDefault="0055491A" w:rsidP="00210BF6">
            <w:pPr>
              <w:ind w:firstLine="0"/>
              <w:contextualSpacing/>
              <w:jc w:val="center"/>
              <w:rPr>
                <w:color w:val="000000"/>
                <w:sz w:val="16"/>
                <w:szCs w:val="16"/>
              </w:rPr>
            </w:pPr>
            <w:r>
              <w:rPr>
                <w:bCs/>
                <w:sz w:val="16"/>
                <w:szCs w:val="16"/>
              </w:rPr>
              <w:t>1</w:t>
            </w:r>
          </w:p>
        </w:tc>
        <w:tc>
          <w:tcPr>
            <w:tcW w:w="374" w:type="pct"/>
            <w:vAlign w:val="center"/>
          </w:tcPr>
          <w:p w:rsidR="0055491A" w:rsidRDefault="0055491A" w:rsidP="00210BF6">
            <w:pPr>
              <w:ind w:firstLine="0"/>
              <w:contextualSpacing/>
              <w:jc w:val="center"/>
              <w:rPr>
                <w:color w:val="000000"/>
                <w:sz w:val="16"/>
                <w:szCs w:val="16"/>
              </w:rPr>
            </w:pPr>
          </w:p>
          <w:p w:rsidR="0055491A" w:rsidRDefault="0055491A" w:rsidP="00210BF6">
            <w:pPr>
              <w:ind w:firstLine="0"/>
              <w:contextualSpacing/>
              <w:jc w:val="center"/>
              <w:rPr>
                <w:color w:val="000000"/>
                <w:sz w:val="16"/>
                <w:szCs w:val="16"/>
              </w:rPr>
            </w:pPr>
            <w:r>
              <w:rPr>
                <w:color w:val="000000"/>
                <w:sz w:val="16"/>
                <w:szCs w:val="16"/>
              </w:rPr>
              <w:t>20</w:t>
            </w:r>
          </w:p>
        </w:tc>
        <w:tc>
          <w:tcPr>
            <w:tcW w:w="454" w:type="pct"/>
            <w:vAlign w:val="center"/>
          </w:tcPr>
          <w:p w:rsidR="0055491A" w:rsidRDefault="0055491A" w:rsidP="00210BF6">
            <w:pPr>
              <w:ind w:firstLine="0"/>
              <w:contextualSpacing/>
              <w:jc w:val="center"/>
              <w:rPr>
                <w:bCs/>
                <w:sz w:val="16"/>
                <w:szCs w:val="16"/>
              </w:rPr>
            </w:pPr>
          </w:p>
          <w:p w:rsidR="0055491A" w:rsidRPr="002D6C3D" w:rsidRDefault="0055491A" w:rsidP="00210BF6">
            <w:pPr>
              <w:ind w:firstLine="0"/>
              <w:contextualSpacing/>
              <w:jc w:val="center"/>
              <w:rPr>
                <w:bCs/>
                <w:sz w:val="16"/>
                <w:szCs w:val="16"/>
              </w:rPr>
            </w:pPr>
            <w:r>
              <w:rPr>
                <w:bCs/>
                <w:sz w:val="16"/>
                <w:szCs w:val="16"/>
              </w:rPr>
              <w:t>1</w:t>
            </w:r>
          </w:p>
        </w:tc>
        <w:tc>
          <w:tcPr>
            <w:tcW w:w="374" w:type="pct"/>
            <w:vAlign w:val="center"/>
          </w:tcPr>
          <w:p w:rsidR="0055491A" w:rsidRDefault="0055491A" w:rsidP="00210BF6">
            <w:pPr>
              <w:ind w:firstLine="0"/>
              <w:contextualSpacing/>
              <w:jc w:val="center"/>
              <w:rPr>
                <w:color w:val="000000"/>
                <w:sz w:val="16"/>
                <w:szCs w:val="16"/>
              </w:rPr>
            </w:pPr>
          </w:p>
          <w:p w:rsidR="0055491A" w:rsidRDefault="0055491A" w:rsidP="00210BF6">
            <w:pPr>
              <w:ind w:firstLine="0"/>
              <w:contextualSpacing/>
              <w:jc w:val="center"/>
              <w:rPr>
                <w:color w:val="000000"/>
                <w:sz w:val="16"/>
                <w:szCs w:val="16"/>
              </w:rPr>
            </w:pPr>
            <w:r>
              <w:rPr>
                <w:color w:val="000000"/>
                <w:sz w:val="16"/>
                <w:szCs w:val="16"/>
              </w:rPr>
              <w:t>20</w:t>
            </w:r>
          </w:p>
        </w:tc>
        <w:tc>
          <w:tcPr>
            <w:tcW w:w="454" w:type="pct"/>
            <w:vAlign w:val="center"/>
          </w:tcPr>
          <w:p w:rsidR="0055491A" w:rsidRDefault="0055491A" w:rsidP="00210BF6">
            <w:pPr>
              <w:ind w:firstLine="0"/>
              <w:contextualSpacing/>
              <w:jc w:val="center"/>
              <w:rPr>
                <w:bCs/>
                <w:sz w:val="16"/>
                <w:szCs w:val="16"/>
              </w:rPr>
            </w:pPr>
          </w:p>
          <w:p w:rsidR="0055491A" w:rsidRPr="002D6C3D" w:rsidRDefault="0055491A" w:rsidP="00210BF6">
            <w:pPr>
              <w:ind w:firstLine="0"/>
              <w:contextualSpacing/>
              <w:jc w:val="center"/>
              <w:rPr>
                <w:bCs/>
                <w:sz w:val="16"/>
                <w:szCs w:val="16"/>
              </w:rPr>
            </w:pPr>
            <w:r>
              <w:rPr>
                <w:bCs/>
                <w:sz w:val="16"/>
                <w:szCs w:val="16"/>
              </w:rPr>
              <w:t>1</w:t>
            </w:r>
          </w:p>
        </w:tc>
        <w:tc>
          <w:tcPr>
            <w:tcW w:w="374" w:type="pct"/>
            <w:vAlign w:val="center"/>
          </w:tcPr>
          <w:p w:rsidR="0055491A" w:rsidRDefault="0055491A" w:rsidP="00210BF6">
            <w:pPr>
              <w:ind w:firstLine="0"/>
              <w:contextualSpacing/>
              <w:jc w:val="center"/>
              <w:rPr>
                <w:color w:val="000000"/>
                <w:sz w:val="16"/>
                <w:szCs w:val="16"/>
              </w:rPr>
            </w:pPr>
          </w:p>
          <w:p w:rsidR="0055491A" w:rsidRDefault="0055491A" w:rsidP="00210BF6">
            <w:pPr>
              <w:ind w:firstLine="0"/>
              <w:contextualSpacing/>
              <w:jc w:val="center"/>
              <w:rPr>
                <w:color w:val="000000"/>
                <w:sz w:val="16"/>
                <w:szCs w:val="16"/>
              </w:rPr>
            </w:pPr>
            <w:r>
              <w:rPr>
                <w:color w:val="000000"/>
                <w:sz w:val="16"/>
                <w:szCs w:val="16"/>
              </w:rPr>
              <w:t>20</w:t>
            </w:r>
          </w:p>
        </w:tc>
        <w:tc>
          <w:tcPr>
            <w:tcW w:w="454" w:type="pct"/>
            <w:vAlign w:val="center"/>
          </w:tcPr>
          <w:p w:rsidR="0055491A" w:rsidRDefault="0055491A" w:rsidP="00210BF6">
            <w:pPr>
              <w:ind w:firstLine="0"/>
              <w:contextualSpacing/>
              <w:jc w:val="center"/>
              <w:rPr>
                <w:bCs/>
                <w:sz w:val="16"/>
                <w:szCs w:val="16"/>
              </w:rPr>
            </w:pPr>
          </w:p>
          <w:p w:rsidR="0055491A" w:rsidRPr="002D6C3D" w:rsidRDefault="0055491A" w:rsidP="00210BF6">
            <w:pPr>
              <w:ind w:firstLine="0"/>
              <w:contextualSpacing/>
              <w:jc w:val="center"/>
              <w:rPr>
                <w:bCs/>
                <w:sz w:val="16"/>
                <w:szCs w:val="16"/>
              </w:rPr>
            </w:pPr>
            <w:r>
              <w:rPr>
                <w:bCs/>
                <w:sz w:val="16"/>
                <w:szCs w:val="16"/>
              </w:rPr>
              <w:t>1</w:t>
            </w:r>
          </w:p>
        </w:tc>
        <w:tc>
          <w:tcPr>
            <w:tcW w:w="372" w:type="pct"/>
            <w:vAlign w:val="center"/>
          </w:tcPr>
          <w:p w:rsidR="0055491A" w:rsidRDefault="0055491A" w:rsidP="00210BF6">
            <w:pPr>
              <w:ind w:firstLine="0"/>
              <w:contextualSpacing/>
              <w:jc w:val="center"/>
              <w:rPr>
                <w:color w:val="000000"/>
                <w:sz w:val="16"/>
                <w:szCs w:val="16"/>
              </w:rPr>
            </w:pPr>
          </w:p>
          <w:p w:rsidR="0055491A" w:rsidRDefault="0055491A" w:rsidP="00210BF6">
            <w:pPr>
              <w:ind w:firstLine="0"/>
              <w:contextualSpacing/>
              <w:jc w:val="center"/>
              <w:rPr>
                <w:color w:val="000000"/>
                <w:sz w:val="16"/>
                <w:szCs w:val="16"/>
              </w:rPr>
            </w:pPr>
            <w:r>
              <w:rPr>
                <w:color w:val="000000"/>
                <w:sz w:val="16"/>
                <w:szCs w:val="16"/>
              </w:rPr>
              <w:t>20</w:t>
            </w:r>
          </w:p>
        </w:tc>
      </w:tr>
      <w:tr w:rsidR="0055491A" w:rsidRPr="00F564B2" w:rsidTr="00210BF6">
        <w:trPr>
          <w:trHeight w:val="736"/>
        </w:trPr>
        <w:tc>
          <w:tcPr>
            <w:tcW w:w="379" w:type="pct"/>
            <w:vAlign w:val="center"/>
          </w:tcPr>
          <w:p w:rsidR="0055491A" w:rsidRPr="006C469E" w:rsidRDefault="0055491A" w:rsidP="00210BF6">
            <w:pPr>
              <w:jc w:val="center"/>
              <w:rPr>
                <w:bCs/>
                <w:sz w:val="16"/>
                <w:szCs w:val="16"/>
              </w:rPr>
            </w:pPr>
          </w:p>
          <w:p w:rsidR="0055491A" w:rsidRPr="006C469E" w:rsidRDefault="0055491A" w:rsidP="00210BF6">
            <w:pPr>
              <w:jc w:val="center"/>
              <w:rPr>
                <w:bCs/>
                <w:sz w:val="16"/>
                <w:szCs w:val="16"/>
              </w:rPr>
            </w:pPr>
            <w:r>
              <w:rPr>
                <w:bCs/>
                <w:sz w:val="16"/>
                <w:szCs w:val="16"/>
              </w:rPr>
              <w:t>С</w:t>
            </w:r>
            <w:r w:rsidRPr="006C469E">
              <w:rPr>
                <w:bCs/>
                <w:sz w:val="16"/>
                <w:szCs w:val="16"/>
              </w:rPr>
              <w:t>т.19.</w:t>
            </w:r>
            <w:r>
              <w:rPr>
                <w:bCs/>
                <w:sz w:val="16"/>
                <w:szCs w:val="16"/>
              </w:rPr>
              <w:t>5</w:t>
            </w:r>
          </w:p>
          <w:p w:rsidR="0055491A" w:rsidRPr="006C469E" w:rsidRDefault="0055491A" w:rsidP="00210BF6">
            <w:pPr>
              <w:jc w:val="center"/>
              <w:rPr>
                <w:bCs/>
                <w:sz w:val="16"/>
                <w:szCs w:val="16"/>
              </w:rPr>
            </w:pPr>
          </w:p>
        </w:tc>
        <w:tc>
          <w:tcPr>
            <w:tcW w:w="466" w:type="pct"/>
            <w:gridSpan w:val="3"/>
            <w:vAlign w:val="center"/>
          </w:tcPr>
          <w:p w:rsidR="0055491A" w:rsidRPr="002D6C3D" w:rsidRDefault="0055491A" w:rsidP="00210BF6">
            <w:pPr>
              <w:ind w:firstLine="0"/>
              <w:contextualSpacing/>
              <w:jc w:val="center"/>
              <w:rPr>
                <w:bCs/>
                <w:sz w:val="16"/>
                <w:szCs w:val="16"/>
              </w:rPr>
            </w:pPr>
          </w:p>
          <w:p w:rsidR="0055491A" w:rsidRPr="002D6C3D" w:rsidRDefault="0055491A" w:rsidP="00210BF6">
            <w:pPr>
              <w:ind w:firstLine="0"/>
              <w:contextualSpacing/>
              <w:jc w:val="center"/>
              <w:rPr>
                <w:bCs/>
                <w:sz w:val="16"/>
                <w:szCs w:val="16"/>
              </w:rPr>
            </w:pPr>
            <w:r w:rsidRPr="002D6C3D">
              <w:rPr>
                <w:bCs/>
                <w:sz w:val="16"/>
                <w:szCs w:val="16"/>
              </w:rPr>
              <w:t>10</w:t>
            </w:r>
          </w:p>
        </w:tc>
        <w:tc>
          <w:tcPr>
            <w:tcW w:w="292" w:type="pct"/>
            <w:gridSpan w:val="2"/>
            <w:vAlign w:val="center"/>
          </w:tcPr>
          <w:p w:rsidR="0055491A" w:rsidRDefault="0055491A" w:rsidP="00210BF6">
            <w:pPr>
              <w:ind w:firstLine="0"/>
              <w:contextualSpacing/>
              <w:jc w:val="center"/>
              <w:rPr>
                <w:bCs/>
                <w:sz w:val="16"/>
                <w:szCs w:val="16"/>
              </w:rPr>
            </w:pPr>
          </w:p>
          <w:p w:rsidR="0055491A" w:rsidRPr="006C469E" w:rsidRDefault="0055491A" w:rsidP="00210BF6">
            <w:pPr>
              <w:ind w:firstLine="0"/>
              <w:contextualSpacing/>
              <w:jc w:val="center"/>
              <w:rPr>
                <w:color w:val="000000"/>
                <w:sz w:val="16"/>
                <w:szCs w:val="16"/>
              </w:rPr>
            </w:pPr>
            <w:r>
              <w:rPr>
                <w:bCs/>
                <w:sz w:val="16"/>
                <w:szCs w:val="16"/>
              </w:rPr>
              <w:t>2</w:t>
            </w:r>
          </w:p>
        </w:tc>
        <w:tc>
          <w:tcPr>
            <w:tcW w:w="307" w:type="pct"/>
            <w:gridSpan w:val="2"/>
            <w:vAlign w:val="center"/>
          </w:tcPr>
          <w:p w:rsidR="0055491A" w:rsidRDefault="0055491A" w:rsidP="00210BF6">
            <w:pPr>
              <w:ind w:firstLine="0"/>
              <w:contextualSpacing/>
              <w:jc w:val="center"/>
              <w:rPr>
                <w:color w:val="000000"/>
                <w:sz w:val="16"/>
                <w:szCs w:val="16"/>
              </w:rPr>
            </w:pPr>
          </w:p>
          <w:p w:rsidR="0055491A" w:rsidRDefault="0055491A" w:rsidP="00210BF6">
            <w:pPr>
              <w:ind w:firstLine="0"/>
              <w:contextualSpacing/>
              <w:jc w:val="center"/>
              <w:rPr>
                <w:color w:val="000000"/>
                <w:sz w:val="16"/>
                <w:szCs w:val="16"/>
              </w:rPr>
            </w:pPr>
            <w:r>
              <w:rPr>
                <w:color w:val="000000"/>
                <w:sz w:val="16"/>
                <w:szCs w:val="16"/>
              </w:rPr>
              <w:t>0</w:t>
            </w:r>
          </w:p>
        </w:tc>
        <w:tc>
          <w:tcPr>
            <w:tcW w:w="256" w:type="pct"/>
            <w:vAlign w:val="center"/>
          </w:tcPr>
          <w:p w:rsidR="0055491A" w:rsidRDefault="0055491A" w:rsidP="00210BF6">
            <w:pPr>
              <w:ind w:firstLine="0"/>
              <w:contextualSpacing/>
              <w:jc w:val="center"/>
              <w:rPr>
                <w:bCs/>
                <w:sz w:val="16"/>
                <w:szCs w:val="16"/>
              </w:rPr>
            </w:pPr>
          </w:p>
          <w:p w:rsidR="0055491A" w:rsidRPr="002D6C3D" w:rsidRDefault="0055491A" w:rsidP="00210BF6">
            <w:pPr>
              <w:ind w:firstLine="0"/>
              <w:contextualSpacing/>
              <w:jc w:val="center"/>
              <w:rPr>
                <w:bCs/>
                <w:sz w:val="16"/>
                <w:szCs w:val="16"/>
              </w:rPr>
            </w:pPr>
            <w:r>
              <w:rPr>
                <w:bCs/>
                <w:sz w:val="16"/>
                <w:szCs w:val="16"/>
              </w:rPr>
              <w:t>0</w:t>
            </w:r>
          </w:p>
        </w:tc>
        <w:tc>
          <w:tcPr>
            <w:tcW w:w="444" w:type="pct"/>
            <w:vAlign w:val="center"/>
          </w:tcPr>
          <w:p w:rsidR="0055491A" w:rsidRDefault="0055491A" w:rsidP="00210BF6">
            <w:pPr>
              <w:ind w:firstLine="0"/>
              <w:contextualSpacing/>
              <w:jc w:val="center"/>
              <w:rPr>
                <w:bCs/>
                <w:sz w:val="16"/>
                <w:szCs w:val="16"/>
              </w:rPr>
            </w:pPr>
          </w:p>
          <w:p w:rsidR="0055491A" w:rsidRPr="006C469E" w:rsidRDefault="0055491A" w:rsidP="00210BF6">
            <w:pPr>
              <w:ind w:firstLine="0"/>
              <w:contextualSpacing/>
              <w:jc w:val="center"/>
              <w:rPr>
                <w:color w:val="000000"/>
                <w:sz w:val="16"/>
                <w:szCs w:val="16"/>
              </w:rPr>
            </w:pPr>
            <w:r>
              <w:rPr>
                <w:bCs/>
                <w:sz w:val="16"/>
                <w:szCs w:val="16"/>
              </w:rPr>
              <w:t>1</w:t>
            </w:r>
          </w:p>
        </w:tc>
        <w:tc>
          <w:tcPr>
            <w:tcW w:w="374" w:type="pct"/>
            <w:vAlign w:val="center"/>
          </w:tcPr>
          <w:p w:rsidR="0055491A" w:rsidRDefault="0055491A" w:rsidP="00210BF6">
            <w:pPr>
              <w:ind w:firstLine="0"/>
              <w:contextualSpacing/>
              <w:jc w:val="center"/>
              <w:rPr>
                <w:color w:val="000000"/>
                <w:sz w:val="16"/>
                <w:szCs w:val="16"/>
              </w:rPr>
            </w:pPr>
          </w:p>
          <w:p w:rsidR="0055491A" w:rsidRDefault="0055491A" w:rsidP="00210BF6">
            <w:pPr>
              <w:ind w:firstLine="0"/>
              <w:contextualSpacing/>
              <w:jc w:val="center"/>
              <w:rPr>
                <w:color w:val="000000"/>
                <w:sz w:val="16"/>
                <w:szCs w:val="16"/>
              </w:rPr>
            </w:pPr>
            <w:r>
              <w:rPr>
                <w:color w:val="000000"/>
                <w:sz w:val="16"/>
                <w:szCs w:val="16"/>
              </w:rPr>
              <w:t>10</w:t>
            </w:r>
          </w:p>
        </w:tc>
        <w:tc>
          <w:tcPr>
            <w:tcW w:w="454" w:type="pct"/>
            <w:vAlign w:val="center"/>
          </w:tcPr>
          <w:p w:rsidR="0055491A" w:rsidRDefault="0055491A" w:rsidP="00210BF6">
            <w:pPr>
              <w:ind w:firstLine="0"/>
              <w:contextualSpacing/>
              <w:jc w:val="center"/>
              <w:rPr>
                <w:bCs/>
                <w:sz w:val="16"/>
                <w:szCs w:val="16"/>
              </w:rPr>
            </w:pPr>
          </w:p>
          <w:p w:rsidR="0055491A" w:rsidRPr="002D6C3D" w:rsidRDefault="0055491A" w:rsidP="00210BF6">
            <w:pPr>
              <w:ind w:firstLine="0"/>
              <w:contextualSpacing/>
              <w:jc w:val="center"/>
              <w:rPr>
                <w:bCs/>
                <w:sz w:val="16"/>
                <w:szCs w:val="16"/>
              </w:rPr>
            </w:pPr>
            <w:r>
              <w:rPr>
                <w:bCs/>
                <w:sz w:val="16"/>
                <w:szCs w:val="16"/>
              </w:rPr>
              <w:t>1</w:t>
            </w:r>
          </w:p>
        </w:tc>
        <w:tc>
          <w:tcPr>
            <w:tcW w:w="374" w:type="pct"/>
            <w:vAlign w:val="center"/>
          </w:tcPr>
          <w:p w:rsidR="0055491A" w:rsidRDefault="0055491A" w:rsidP="00210BF6">
            <w:pPr>
              <w:ind w:firstLine="0"/>
              <w:contextualSpacing/>
              <w:jc w:val="center"/>
              <w:rPr>
                <w:color w:val="000000"/>
                <w:sz w:val="16"/>
                <w:szCs w:val="16"/>
              </w:rPr>
            </w:pPr>
          </w:p>
          <w:p w:rsidR="0055491A" w:rsidRDefault="0055491A" w:rsidP="00210BF6">
            <w:pPr>
              <w:ind w:firstLine="0"/>
              <w:contextualSpacing/>
              <w:jc w:val="center"/>
              <w:rPr>
                <w:color w:val="000000"/>
                <w:sz w:val="16"/>
                <w:szCs w:val="16"/>
              </w:rPr>
            </w:pPr>
            <w:r>
              <w:rPr>
                <w:color w:val="000000"/>
                <w:sz w:val="16"/>
                <w:szCs w:val="16"/>
              </w:rPr>
              <w:t>10</w:t>
            </w:r>
          </w:p>
        </w:tc>
        <w:tc>
          <w:tcPr>
            <w:tcW w:w="454" w:type="pct"/>
            <w:vAlign w:val="center"/>
          </w:tcPr>
          <w:p w:rsidR="0055491A" w:rsidRDefault="0055491A" w:rsidP="00210BF6">
            <w:pPr>
              <w:ind w:firstLine="0"/>
              <w:contextualSpacing/>
              <w:jc w:val="center"/>
              <w:rPr>
                <w:bCs/>
                <w:sz w:val="16"/>
                <w:szCs w:val="16"/>
              </w:rPr>
            </w:pPr>
          </w:p>
          <w:p w:rsidR="0055491A" w:rsidRPr="002D6C3D" w:rsidRDefault="0055491A" w:rsidP="00210BF6">
            <w:pPr>
              <w:ind w:firstLine="0"/>
              <w:contextualSpacing/>
              <w:jc w:val="center"/>
              <w:rPr>
                <w:bCs/>
                <w:sz w:val="16"/>
                <w:szCs w:val="16"/>
              </w:rPr>
            </w:pPr>
            <w:r>
              <w:rPr>
                <w:bCs/>
                <w:sz w:val="16"/>
                <w:szCs w:val="16"/>
              </w:rPr>
              <w:t>1</w:t>
            </w:r>
          </w:p>
        </w:tc>
        <w:tc>
          <w:tcPr>
            <w:tcW w:w="374" w:type="pct"/>
            <w:vAlign w:val="center"/>
          </w:tcPr>
          <w:p w:rsidR="0055491A" w:rsidRDefault="0055491A" w:rsidP="00210BF6">
            <w:pPr>
              <w:ind w:firstLine="0"/>
              <w:contextualSpacing/>
              <w:jc w:val="center"/>
              <w:rPr>
                <w:color w:val="000000"/>
                <w:sz w:val="16"/>
                <w:szCs w:val="16"/>
              </w:rPr>
            </w:pPr>
          </w:p>
          <w:p w:rsidR="0055491A" w:rsidRDefault="0055491A" w:rsidP="00210BF6">
            <w:pPr>
              <w:ind w:firstLine="0"/>
              <w:contextualSpacing/>
              <w:jc w:val="center"/>
              <w:rPr>
                <w:color w:val="000000"/>
                <w:sz w:val="16"/>
                <w:szCs w:val="16"/>
              </w:rPr>
            </w:pPr>
            <w:r>
              <w:rPr>
                <w:color w:val="000000"/>
                <w:sz w:val="16"/>
                <w:szCs w:val="16"/>
              </w:rPr>
              <w:t>10</w:t>
            </w:r>
          </w:p>
        </w:tc>
        <w:tc>
          <w:tcPr>
            <w:tcW w:w="454" w:type="pct"/>
            <w:vAlign w:val="center"/>
          </w:tcPr>
          <w:p w:rsidR="0055491A" w:rsidRDefault="0055491A" w:rsidP="00210BF6">
            <w:pPr>
              <w:ind w:firstLine="0"/>
              <w:contextualSpacing/>
              <w:jc w:val="center"/>
              <w:rPr>
                <w:bCs/>
                <w:sz w:val="16"/>
                <w:szCs w:val="16"/>
              </w:rPr>
            </w:pPr>
          </w:p>
          <w:p w:rsidR="0055491A" w:rsidRPr="002D6C3D" w:rsidRDefault="0055491A" w:rsidP="00210BF6">
            <w:pPr>
              <w:ind w:firstLine="0"/>
              <w:contextualSpacing/>
              <w:jc w:val="center"/>
              <w:rPr>
                <w:bCs/>
                <w:sz w:val="16"/>
                <w:szCs w:val="16"/>
              </w:rPr>
            </w:pPr>
            <w:r>
              <w:rPr>
                <w:bCs/>
                <w:sz w:val="16"/>
                <w:szCs w:val="16"/>
              </w:rPr>
              <w:t>1</w:t>
            </w:r>
          </w:p>
        </w:tc>
        <w:tc>
          <w:tcPr>
            <w:tcW w:w="372" w:type="pct"/>
            <w:vAlign w:val="center"/>
          </w:tcPr>
          <w:p w:rsidR="0055491A" w:rsidRDefault="0055491A" w:rsidP="00210BF6">
            <w:pPr>
              <w:ind w:firstLine="0"/>
              <w:contextualSpacing/>
              <w:jc w:val="center"/>
              <w:rPr>
                <w:color w:val="000000"/>
                <w:sz w:val="16"/>
                <w:szCs w:val="16"/>
              </w:rPr>
            </w:pPr>
          </w:p>
          <w:p w:rsidR="0055491A" w:rsidRDefault="0055491A" w:rsidP="00210BF6">
            <w:pPr>
              <w:ind w:firstLine="0"/>
              <w:contextualSpacing/>
              <w:jc w:val="center"/>
              <w:rPr>
                <w:color w:val="000000"/>
                <w:sz w:val="16"/>
                <w:szCs w:val="16"/>
              </w:rPr>
            </w:pPr>
            <w:r>
              <w:rPr>
                <w:color w:val="000000"/>
                <w:sz w:val="16"/>
                <w:szCs w:val="16"/>
              </w:rPr>
              <w:t>10</w:t>
            </w:r>
          </w:p>
        </w:tc>
      </w:tr>
      <w:tr w:rsidR="0055491A" w:rsidRPr="00F564B2" w:rsidTr="00210BF6">
        <w:trPr>
          <w:trHeight w:val="425"/>
        </w:trPr>
        <w:tc>
          <w:tcPr>
            <w:tcW w:w="845" w:type="pct"/>
            <w:gridSpan w:val="4"/>
            <w:vAlign w:val="center"/>
          </w:tcPr>
          <w:p w:rsidR="0055491A" w:rsidRPr="00D068C3" w:rsidRDefault="0055491A" w:rsidP="00210BF6">
            <w:pPr>
              <w:ind w:firstLine="0"/>
              <w:contextualSpacing/>
              <w:jc w:val="center"/>
              <w:rPr>
                <w:color w:val="FF0000"/>
                <w:sz w:val="18"/>
                <w:szCs w:val="18"/>
              </w:rPr>
            </w:pPr>
            <w:r w:rsidRPr="00D068C3">
              <w:rPr>
                <w:sz w:val="18"/>
                <w:szCs w:val="18"/>
              </w:rPr>
              <w:lastRenderedPageBreak/>
              <w:t xml:space="preserve">Итого </w:t>
            </w:r>
          </w:p>
        </w:tc>
        <w:tc>
          <w:tcPr>
            <w:tcW w:w="292" w:type="pct"/>
            <w:gridSpan w:val="2"/>
            <w:vAlign w:val="center"/>
          </w:tcPr>
          <w:p w:rsidR="0055491A" w:rsidRPr="00D068C3" w:rsidRDefault="0055491A" w:rsidP="00210BF6">
            <w:pPr>
              <w:ind w:firstLine="0"/>
              <w:contextualSpacing/>
              <w:jc w:val="center"/>
              <w:rPr>
                <w:color w:val="000000"/>
                <w:sz w:val="16"/>
                <w:szCs w:val="16"/>
              </w:rPr>
            </w:pPr>
          </w:p>
        </w:tc>
        <w:tc>
          <w:tcPr>
            <w:tcW w:w="307" w:type="pct"/>
            <w:gridSpan w:val="2"/>
            <w:vAlign w:val="center"/>
          </w:tcPr>
          <w:p w:rsidR="0055491A" w:rsidRPr="00D068C3" w:rsidRDefault="0055491A" w:rsidP="00210BF6">
            <w:pPr>
              <w:ind w:firstLine="0"/>
              <w:contextualSpacing/>
              <w:jc w:val="center"/>
              <w:rPr>
                <w:color w:val="000000"/>
                <w:sz w:val="16"/>
                <w:szCs w:val="16"/>
              </w:rPr>
            </w:pPr>
          </w:p>
        </w:tc>
        <w:tc>
          <w:tcPr>
            <w:tcW w:w="256" w:type="pct"/>
            <w:vAlign w:val="center"/>
          </w:tcPr>
          <w:p w:rsidR="0055491A" w:rsidRPr="00D068C3" w:rsidRDefault="0055491A" w:rsidP="00210BF6">
            <w:pPr>
              <w:ind w:firstLine="0"/>
              <w:contextualSpacing/>
              <w:jc w:val="center"/>
              <w:rPr>
                <w:color w:val="000000"/>
                <w:sz w:val="16"/>
                <w:szCs w:val="16"/>
              </w:rPr>
            </w:pPr>
          </w:p>
        </w:tc>
        <w:tc>
          <w:tcPr>
            <w:tcW w:w="444" w:type="pct"/>
            <w:vAlign w:val="center"/>
          </w:tcPr>
          <w:p w:rsidR="0055491A" w:rsidRPr="00D068C3" w:rsidRDefault="0055491A" w:rsidP="00210BF6">
            <w:pPr>
              <w:ind w:firstLine="0"/>
              <w:contextualSpacing/>
              <w:jc w:val="center"/>
              <w:rPr>
                <w:color w:val="000000"/>
                <w:sz w:val="16"/>
                <w:szCs w:val="16"/>
              </w:rPr>
            </w:pPr>
          </w:p>
        </w:tc>
        <w:tc>
          <w:tcPr>
            <w:tcW w:w="374" w:type="pct"/>
            <w:vAlign w:val="center"/>
          </w:tcPr>
          <w:p w:rsidR="0055491A" w:rsidRPr="00D068C3" w:rsidRDefault="0055491A" w:rsidP="00210BF6">
            <w:pPr>
              <w:ind w:firstLine="0"/>
              <w:contextualSpacing/>
              <w:jc w:val="center"/>
              <w:rPr>
                <w:color w:val="000000"/>
                <w:sz w:val="20"/>
                <w:szCs w:val="20"/>
              </w:rPr>
            </w:pPr>
            <w:r>
              <w:rPr>
                <w:color w:val="000000"/>
                <w:sz w:val="20"/>
                <w:szCs w:val="20"/>
              </w:rPr>
              <w:t>30</w:t>
            </w:r>
          </w:p>
        </w:tc>
        <w:tc>
          <w:tcPr>
            <w:tcW w:w="454" w:type="pct"/>
            <w:vAlign w:val="center"/>
          </w:tcPr>
          <w:p w:rsidR="0055491A" w:rsidRPr="00D068C3" w:rsidRDefault="0055491A" w:rsidP="00210BF6">
            <w:pPr>
              <w:ind w:firstLine="0"/>
              <w:contextualSpacing/>
              <w:jc w:val="center"/>
              <w:rPr>
                <w:color w:val="000000"/>
                <w:sz w:val="18"/>
                <w:szCs w:val="18"/>
              </w:rPr>
            </w:pPr>
          </w:p>
        </w:tc>
        <w:tc>
          <w:tcPr>
            <w:tcW w:w="374" w:type="pct"/>
            <w:vAlign w:val="center"/>
          </w:tcPr>
          <w:p w:rsidR="0055491A" w:rsidRPr="00D068C3" w:rsidRDefault="0055491A" w:rsidP="00210BF6">
            <w:pPr>
              <w:ind w:firstLine="0"/>
              <w:contextualSpacing/>
              <w:jc w:val="center"/>
              <w:rPr>
                <w:color w:val="000000"/>
                <w:sz w:val="20"/>
                <w:szCs w:val="20"/>
              </w:rPr>
            </w:pPr>
            <w:r>
              <w:rPr>
                <w:color w:val="000000"/>
                <w:sz w:val="20"/>
                <w:szCs w:val="20"/>
              </w:rPr>
              <w:t>30</w:t>
            </w:r>
          </w:p>
        </w:tc>
        <w:tc>
          <w:tcPr>
            <w:tcW w:w="454" w:type="pct"/>
            <w:vAlign w:val="center"/>
          </w:tcPr>
          <w:p w:rsidR="0055491A" w:rsidRPr="00D068C3" w:rsidRDefault="0055491A" w:rsidP="00210BF6">
            <w:pPr>
              <w:ind w:firstLine="0"/>
              <w:contextualSpacing/>
              <w:jc w:val="center"/>
              <w:rPr>
                <w:color w:val="000000"/>
                <w:sz w:val="20"/>
                <w:szCs w:val="20"/>
              </w:rPr>
            </w:pPr>
          </w:p>
        </w:tc>
        <w:tc>
          <w:tcPr>
            <w:tcW w:w="374" w:type="pct"/>
            <w:vAlign w:val="center"/>
          </w:tcPr>
          <w:p w:rsidR="0055491A" w:rsidRPr="00D068C3" w:rsidRDefault="0055491A" w:rsidP="00210BF6">
            <w:pPr>
              <w:ind w:firstLine="0"/>
              <w:contextualSpacing/>
              <w:jc w:val="center"/>
              <w:rPr>
                <w:color w:val="000000"/>
                <w:sz w:val="20"/>
                <w:szCs w:val="20"/>
              </w:rPr>
            </w:pPr>
            <w:r>
              <w:rPr>
                <w:color w:val="000000"/>
                <w:sz w:val="20"/>
                <w:szCs w:val="20"/>
              </w:rPr>
              <w:t>30</w:t>
            </w:r>
          </w:p>
        </w:tc>
        <w:tc>
          <w:tcPr>
            <w:tcW w:w="454" w:type="pct"/>
            <w:vAlign w:val="center"/>
          </w:tcPr>
          <w:p w:rsidR="0055491A" w:rsidRPr="00D068C3" w:rsidRDefault="0055491A" w:rsidP="00210BF6">
            <w:pPr>
              <w:ind w:firstLine="0"/>
              <w:contextualSpacing/>
              <w:jc w:val="center"/>
              <w:rPr>
                <w:color w:val="000000"/>
                <w:sz w:val="20"/>
                <w:szCs w:val="20"/>
              </w:rPr>
            </w:pPr>
          </w:p>
        </w:tc>
        <w:tc>
          <w:tcPr>
            <w:tcW w:w="372" w:type="pct"/>
            <w:vAlign w:val="center"/>
          </w:tcPr>
          <w:p w:rsidR="0055491A" w:rsidRPr="00D068C3" w:rsidRDefault="0055491A" w:rsidP="00210BF6">
            <w:pPr>
              <w:ind w:firstLine="0"/>
              <w:contextualSpacing/>
              <w:jc w:val="center"/>
              <w:rPr>
                <w:color w:val="000000"/>
                <w:sz w:val="20"/>
                <w:szCs w:val="20"/>
              </w:rPr>
            </w:pPr>
            <w:r>
              <w:rPr>
                <w:color w:val="000000"/>
                <w:sz w:val="20"/>
                <w:szCs w:val="20"/>
              </w:rPr>
              <w:t>30</w:t>
            </w:r>
          </w:p>
        </w:tc>
      </w:tr>
      <w:tr w:rsidR="0055491A" w:rsidRPr="00F564B2" w:rsidTr="00210BF6">
        <w:trPr>
          <w:trHeight w:val="273"/>
        </w:trPr>
        <w:tc>
          <w:tcPr>
            <w:tcW w:w="845" w:type="pct"/>
            <w:gridSpan w:val="4"/>
            <w:vAlign w:val="center"/>
          </w:tcPr>
          <w:p w:rsidR="0055491A" w:rsidRPr="00D068C3" w:rsidRDefault="0055491A" w:rsidP="00210BF6">
            <w:pPr>
              <w:ind w:firstLine="0"/>
              <w:contextualSpacing/>
              <w:jc w:val="center"/>
              <w:rPr>
                <w:b/>
                <w:color w:val="FF0000"/>
                <w:sz w:val="18"/>
                <w:szCs w:val="18"/>
              </w:rPr>
            </w:pPr>
            <w:r w:rsidRPr="00D068C3">
              <w:rPr>
                <w:b/>
                <w:sz w:val="18"/>
                <w:szCs w:val="18"/>
              </w:rPr>
              <w:t>Итого в областной бюджет Тверской области</w:t>
            </w:r>
            <w:r>
              <w:rPr>
                <w:b/>
                <w:sz w:val="18"/>
                <w:szCs w:val="18"/>
              </w:rPr>
              <w:t xml:space="preserve"> норматив 50%</w:t>
            </w:r>
          </w:p>
        </w:tc>
        <w:tc>
          <w:tcPr>
            <w:tcW w:w="292" w:type="pct"/>
            <w:gridSpan w:val="2"/>
            <w:vAlign w:val="center"/>
          </w:tcPr>
          <w:p w:rsidR="0055491A" w:rsidRDefault="0055491A" w:rsidP="00210BF6">
            <w:pPr>
              <w:ind w:firstLine="0"/>
              <w:contextualSpacing/>
              <w:jc w:val="center"/>
              <w:rPr>
                <w:color w:val="000000"/>
                <w:sz w:val="20"/>
                <w:szCs w:val="20"/>
              </w:rPr>
            </w:pPr>
          </w:p>
        </w:tc>
        <w:tc>
          <w:tcPr>
            <w:tcW w:w="307" w:type="pct"/>
            <w:gridSpan w:val="2"/>
            <w:vAlign w:val="center"/>
          </w:tcPr>
          <w:p w:rsidR="0055491A" w:rsidRDefault="0055491A" w:rsidP="00210BF6">
            <w:pPr>
              <w:ind w:firstLine="0"/>
              <w:contextualSpacing/>
              <w:jc w:val="center"/>
              <w:rPr>
                <w:color w:val="000000"/>
                <w:sz w:val="20"/>
                <w:szCs w:val="20"/>
              </w:rPr>
            </w:pPr>
          </w:p>
        </w:tc>
        <w:tc>
          <w:tcPr>
            <w:tcW w:w="256" w:type="pct"/>
            <w:vAlign w:val="center"/>
          </w:tcPr>
          <w:p w:rsidR="0055491A" w:rsidRDefault="0055491A" w:rsidP="00210BF6">
            <w:pPr>
              <w:ind w:firstLine="0"/>
              <w:contextualSpacing/>
              <w:jc w:val="center"/>
              <w:rPr>
                <w:color w:val="000000"/>
                <w:sz w:val="20"/>
                <w:szCs w:val="20"/>
              </w:rPr>
            </w:pPr>
          </w:p>
        </w:tc>
        <w:tc>
          <w:tcPr>
            <w:tcW w:w="444" w:type="pct"/>
            <w:vAlign w:val="center"/>
          </w:tcPr>
          <w:p w:rsidR="0055491A" w:rsidRDefault="0055491A" w:rsidP="00210BF6">
            <w:pPr>
              <w:ind w:firstLine="0"/>
              <w:contextualSpacing/>
              <w:jc w:val="center"/>
              <w:rPr>
                <w:color w:val="000000"/>
                <w:sz w:val="20"/>
                <w:szCs w:val="20"/>
              </w:rPr>
            </w:pPr>
          </w:p>
        </w:tc>
        <w:tc>
          <w:tcPr>
            <w:tcW w:w="374" w:type="pct"/>
            <w:vAlign w:val="center"/>
          </w:tcPr>
          <w:p w:rsidR="0055491A" w:rsidRPr="001F0769" w:rsidRDefault="0055491A" w:rsidP="00210BF6">
            <w:pPr>
              <w:ind w:firstLine="0"/>
              <w:contextualSpacing/>
              <w:jc w:val="center"/>
              <w:rPr>
                <w:b/>
                <w:color w:val="000000"/>
                <w:sz w:val="20"/>
                <w:szCs w:val="20"/>
              </w:rPr>
            </w:pPr>
            <w:r>
              <w:rPr>
                <w:b/>
                <w:color w:val="000000"/>
                <w:sz w:val="20"/>
                <w:szCs w:val="20"/>
              </w:rPr>
              <w:t>15</w:t>
            </w:r>
          </w:p>
        </w:tc>
        <w:tc>
          <w:tcPr>
            <w:tcW w:w="454" w:type="pct"/>
            <w:vAlign w:val="center"/>
          </w:tcPr>
          <w:p w:rsidR="0055491A" w:rsidRPr="005A7613" w:rsidRDefault="0055491A" w:rsidP="00210BF6">
            <w:pPr>
              <w:ind w:firstLine="0"/>
              <w:contextualSpacing/>
              <w:jc w:val="center"/>
              <w:rPr>
                <w:b/>
                <w:color w:val="000000"/>
                <w:sz w:val="18"/>
                <w:szCs w:val="18"/>
              </w:rPr>
            </w:pPr>
          </w:p>
        </w:tc>
        <w:tc>
          <w:tcPr>
            <w:tcW w:w="374" w:type="pct"/>
            <w:vAlign w:val="center"/>
          </w:tcPr>
          <w:p w:rsidR="0055491A" w:rsidRPr="001F0769" w:rsidRDefault="0055491A" w:rsidP="00210BF6">
            <w:pPr>
              <w:ind w:firstLine="0"/>
              <w:contextualSpacing/>
              <w:jc w:val="center"/>
              <w:rPr>
                <w:b/>
                <w:color w:val="000000"/>
                <w:sz w:val="20"/>
                <w:szCs w:val="20"/>
              </w:rPr>
            </w:pPr>
            <w:r>
              <w:rPr>
                <w:b/>
                <w:color w:val="000000"/>
                <w:sz w:val="20"/>
                <w:szCs w:val="20"/>
              </w:rPr>
              <w:t>15</w:t>
            </w:r>
          </w:p>
        </w:tc>
        <w:tc>
          <w:tcPr>
            <w:tcW w:w="454" w:type="pct"/>
            <w:vAlign w:val="center"/>
          </w:tcPr>
          <w:p w:rsidR="0055491A" w:rsidRPr="001F0769" w:rsidRDefault="0055491A" w:rsidP="00210BF6">
            <w:pPr>
              <w:ind w:firstLine="0"/>
              <w:contextualSpacing/>
              <w:jc w:val="center"/>
              <w:rPr>
                <w:b/>
                <w:color w:val="000000"/>
                <w:sz w:val="20"/>
                <w:szCs w:val="20"/>
              </w:rPr>
            </w:pPr>
          </w:p>
        </w:tc>
        <w:tc>
          <w:tcPr>
            <w:tcW w:w="374" w:type="pct"/>
            <w:vAlign w:val="center"/>
          </w:tcPr>
          <w:p w:rsidR="0055491A" w:rsidRPr="001F0769" w:rsidRDefault="0055491A" w:rsidP="00210BF6">
            <w:pPr>
              <w:ind w:firstLine="0"/>
              <w:contextualSpacing/>
              <w:jc w:val="center"/>
              <w:rPr>
                <w:b/>
                <w:color w:val="000000"/>
                <w:sz w:val="20"/>
                <w:szCs w:val="20"/>
              </w:rPr>
            </w:pPr>
            <w:r>
              <w:rPr>
                <w:b/>
                <w:color w:val="000000"/>
                <w:sz w:val="20"/>
                <w:szCs w:val="20"/>
              </w:rPr>
              <w:t>15</w:t>
            </w:r>
          </w:p>
        </w:tc>
        <w:tc>
          <w:tcPr>
            <w:tcW w:w="454" w:type="pct"/>
            <w:vAlign w:val="center"/>
          </w:tcPr>
          <w:p w:rsidR="0055491A" w:rsidRPr="001F0769" w:rsidRDefault="0055491A" w:rsidP="00210BF6">
            <w:pPr>
              <w:ind w:firstLine="0"/>
              <w:contextualSpacing/>
              <w:jc w:val="center"/>
              <w:rPr>
                <w:b/>
                <w:color w:val="000000"/>
                <w:sz w:val="20"/>
                <w:szCs w:val="20"/>
              </w:rPr>
            </w:pPr>
          </w:p>
        </w:tc>
        <w:tc>
          <w:tcPr>
            <w:tcW w:w="372" w:type="pct"/>
            <w:vAlign w:val="center"/>
          </w:tcPr>
          <w:p w:rsidR="0055491A" w:rsidRPr="001F0769" w:rsidRDefault="0055491A" w:rsidP="00210BF6">
            <w:pPr>
              <w:ind w:firstLine="0"/>
              <w:contextualSpacing/>
              <w:jc w:val="center"/>
              <w:rPr>
                <w:b/>
                <w:color w:val="000000"/>
                <w:sz w:val="20"/>
                <w:szCs w:val="20"/>
              </w:rPr>
            </w:pPr>
            <w:r>
              <w:rPr>
                <w:b/>
                <w:color w:val="000000"/>
                <w:sz w:val="20"/>
                <w:szCs w:val="20"/>
              </w:rPr>
              <w:t>15</w:t>
            </w:r>
          </w:p>
        </w:tc>
      </w:tr>
      <w:tr w:rsidR="0055491A" w:rsidRPr="00F564B2" w:rsidTr="00210BF6">
        <w:trPr>
          <w:trHeight w:val="449"/>
        </w:trPr>
        <w:tc>
          <w:tcPr>
            <w:tcW w:w="523" w:type="pct"/>
            <w:gridSpan w:val="2"/>
            <w:vAlign w:val="center"/>
          </w:tcPr>
          <w:p w:rsidR="0055491A" w:rsidRPr="006C469E" w:rsidRDefault="0055491A" w:rsidP="00210BF6">
            <w:pPr>
              <w:ind w:firstLine="0"/>
              <w:contextualSpacing/>
              <w:jc w:val="center"/>
              <w:rPr>
                <w:bCs/>
                <w:sz w:val="16"/>
                <w:szCs w:val="16"/>
              </w:rPr>
            </w:pPr>
          </w:p>
          <w:p w:rsidR="0055491A" w:rsidRPr="006C469E" w:rsidRDefault="0055491A" w:rsidP="00210BF6">
            <w:pPr>
              <w:ind w:firstLine="0"/>
              <w:contextualSpacing/>
              <w:jc w:val="center"/>
              <w:rPr>
                <w:bCs/>
                <w:sz w:val="16"/>
                <w:szCs w:val="16"/>
              </w:rPr>
            </w:pPr>
            <w:r>
              <w:rPr>
                <w:bCs/>
                <w:sz w:val="16"/>
                <w:szCs w:val="16"/>
              </w:rPr>
              <w:t>С</w:t>
            </w:r>
            <w:r w:rsidRPr="006C469E">
              <w:rPr>
                <w:bCs/>
                <w:sz w:val="16"/>
                <w:szCs w:val="16"/>
              </w:rPr>
              <w:t>т.19.</w:t>
            </w:r>
            <w:r>
              <w:rPr>
                <w:bCs/>
                <w:sz w:val="16"/>
                <w:szCs w:val="16"/>
              </w:rPr>
              <w:t>5</w:t>
            </w:r>
          </w:p>
          <w:p w:rsidR="0055491A" w:rsidRPr="006C469E" w:rsidRDefault="0055491A" w:rsidP="00210BF6">
            <w:pPr>
              <w:ind w:firstLine="0"/>
              <w:contextualSpacing/>
              <w:jc w:val="center"/>
              <w:rPr>
                <w:bCs/>
                <w:sz w:val="16"/>
                <w:szCs w:val="16"/>
              </w:rPr>
            </w:pPr>
          </w:p>
        </w:tc>
        <w:tc>
          <w:tcPr>
            <w:tcW w:w="322" w:type="pct"/>
            <w:gridSpan w:val="2"/>
            <w:vAlign w:val="center"/>
          </w:tcPr>
          <w:p w:rsidR="0055491A" w:rsidRPr="002D6C3D" w:rsidRDefault="0055491A" w:rsidP="00210BF6">
            <w:pPr>
              <w:ind w:firstLine="0"/>
              <w:contextualSpacing/>
              <w:jc w:val="center"/>
              <w:rPr>
                <w:bCs/>
                <w:sz w:val="16"/>
                <w:szCs w:val="16"/>
              </w:rPr>
            </w:pPr>
          </w:p>
          <w:p w:rsidR="0055491A" w:rsidRPr="002D6C3D" w:rsidRDefault="0055491A" w:rsidP="00210BF6">
            <w:pPr>
              <w:ind w:firstLine="0"/>
              <w:contextualSpacing/>
              <w:jc w:val="center"/>
              <w:rPr>
                <w:bCs/>
                <w:sz w:val="16"/>
                <w:szCs w:val="16"/>
              </w:rPr>
            </w:pPr>
            <w:r w:rsidRPr="002D6C3D">
              <w:rPr>
                <w:bCs/>
                <w:sz w:val="16"/>
                <w:szCs w:val="16"/>
              </w:rPr>
              <w:t>10</w:t>
            </w:r>
          </w:p>
        </w:tc>
        <w:tc>
          <w:tcPr>
            <w:tcW w:w="292" w:type="pct"/>
            <w:gridSpan w:val="2"/>
            <w:vAlign w:val="center"/>
          </w:tcPr>
          <w:p w:rsidR="0055491A" w:rsidRDefault="0055491A" w:rsidP="00210BF6">
            <w:pPr>
              <w:ind w:firstLine="0"/>
              <w:contextualSpacing/>
              <w:jc w:val="center"/>
              <w:rPr>
                <w:bCs/>
                <w:sz w:val="16"/>
                <w:szCs w:val="16"/>
              </w:rPr>
            </w:pPr>
          </w:p>
          <w:p w:rsidR="0055491A" w:rsidRPr="006C469E" w:rsidRDefault="0055491A" w:rsidP="00210BF6">
            <w:pPr>
              <w:ind w:firstLine="0"/>
              <w:contextualSpacing/>
              <w:jc w:val="center"/>
              <w:rPr>
                <w:color w:val="000000"/>
                <w:sz w:val="16"/>
                <w:szCs w:val="16"/>
              </w:rPr>
            </w:pPr>
            <w:r>
              <w:rPr>
                <w:bCs/>
                <w:sz w:val="16"/>
                <w:szCs w:val="16"/>
              </w:rPr>
              <w:t>2</w:t>
            </w:r>
          </w:p>
        </w:tc>
        <w:tc>
          <w:tcPr>
            <w:tcW w:w="307" w:type="pct"/>
            <w:gridSpan w:val="2"/>
            <w:vAlign w:val="center"/>
          </w:tcPr>
          <w:p w:rsidR="0055491A" w:rsidRDefault="0055491A" w:rsidP="00210BF6">
            <w:pPr>
              <w:ind w:firstLine="0"/>
              <w:contextualSpacing/>
              <w:jc w:val="center"/>
              <w:rPr>
                <w:color w:val="000000"/>
                <w:sz w:val="16"/>
                <w:szCs w:val="16"/>
              </w:rPr>
            </w:pPr>
          </w:p>
          <w:p w:rsidR="0055491A" w:rsidRDefault="0055491A" w:rsidP="00210BF6">
            <w:pPr>
              <w:ind w:firstLine="0"/>
              <w:contextualSpacing/>
              <w:jc w:val="center"/>
              <w:rPr>
                <w:color w:val="000000"/>
                <w:sz w:val="16"/>
                <w:szCs w:val="16"/>
              </w:rPr>
            </w:pPr>
            <w:r>
              <w:rPr>
                <w:color w:val="000000"/>
                <w:sz w:val="16"/>
                <w:szCs w:val="16"/>
              </w:rPr>
              <w:t>0</w:t>
            </w:r>
          </w:p>
        </w:tc>
        <w:tc>
          <w:tcPr>
            <w:tcW w:w="256" w:type="pct"/>
            <w:vAlign w:val="center"/>
          </w:tcPr>
          <w:p w:rsidR="0055491A" w:rsidRDefault="0055491A" w:rsidP="00210BF6">
            <w:pPr>
              <w:ind w:firstLine="0"/>
              <w:contextualSpacing/>
              <w:jc w:val="center"/>
              <w:rPr>
                <w:bCs/>
                <w:sz w:val="16"/>
                <w:szCs w:val="16"/>
              </w:rPr>
            </w:pPr>
          </w:p>
          <w:p w:rsidR="0055491A" w:rsidRPr="002D6C3D" w:rsidRDefault="0055491A" w:rsidP="00210BF6">
            <w:pPr>
              <w:ind w:firstLine="0"/>
              <w:contextualSpacing/>
              <w:jc w:val="center"/>
              <w:rPr>
                <w:bCs/>
                <w:sz w:val="16"/>
                <w:szCs w:val="16"/>
              </w:rPr>
            </w:pPr>
            <w:r>
              <w:rPr>
                <w:bCs/>
                <w:sz w:val="16"/>
                <w:szCs w:val="16"/>
              </w:rPr>
              <w:t>0</w:t>
            </w:r>
          </w:p>
        </w:tc>
        <w:tc>
          <w:tcPr>
            <w:tcW w:w="444" w:type="pct"/>
            <w:vAlign w:val="center"/>
          </w:tcPr>
          <w:p w:rsidR="0055491A" w:rsidRDefault="0055491A" w:rsidP="00210BF6">
            <w:pPr>
              <w:ind w:firstLine="0"/>
              <w:contextualSpacing/>
              <w:jc w:val="center"/>
              <w:rPr>
                <w:bCs/>
                <w:sz w:val="16"/>
                <w:szCs w:val="16"/>
              </w:rPr>
            </w:pPr>
          </w:p>
          <w:p w:rsidR="0055491A" w:rsidRPr="006C469E" w:rsidRDefault="0055491A" w:rsidP="00210BF6">
            <w:pPr>
              <w:ind w:firstLine="0"/>
              <w:contextualSpacing/>
              <w:jc w:val="center"/>
              <w:rPr>
                <w:color w:val="000000"/>
                <w:sz w:val="16"/>
                <w:szCs w:val="16"/>
              </w:rPr>
            </w:pPr>
            <w:r>
              <w:rPr>
                <w:bCs/>
                <w:sz w:val="16"/>
                <w:szCs w:val="16"/>
              </w:rPr>
              <w:t>1</w:t>
            </w:r>
          </w:p>
        </w:tc>
        <w:tc>
          <w:tcPr>
            <w:tcW w:w="374" w:type="pct"/>
            <w:vAlign w:val="center"/>
          </w:tcPr>
          <w:p w:rsidR="0055491A" w:rsidRDefault="0055491A" w:rsidP="00210BF6">
            <w:pPr>
              <w:ind w:firstLine="0"/>
              <w:contextualSpacing/>
              <w:jc w:val="center"/>
              <w:rPr>
                <w:color w:val="000000"/>
                <w:sz w:val="16"/>
                <w:szCs w:val="16"/>
              </w:rPr>
            </w:pPr>
          </w:p>
          <w:p w:rsidR="0055491A" w:rsidRDefault="0055491A" w:rsidP="00210BF6">
            <w:pPr>
              <w:ind w:firstLine="0"/>
              <w:contextualSpacing/>
              <w:jc w:val="center"/>
              <w:rPr>
                <w:color w:val="000000"/>
                <w:sz w:val="16"/>
                <w:szCs w:val="16"/>
              </w:rPr>
            </w:pPr>
            <w:r>
              <w:rPr>
                <w:color w:val="000000"/>
                <w:sz w:val="16"/>
                <w:szCs w:val="16"/>
              </w:rPr>
              <w:t>10</w:t>
            </w:r>
          </w:p>
        </w:tc>
        <w:tc>
          <w:tcPr>
            <w:tcW w:w="454" w:type="pct"/>
            <w:vAlign w:val="center"/>
          </w:tcPr>
          <w:p w:rsidR="0055491A" w:rsidRDefault="0055491A" w:rsidP="00210BF6">
            <w:pPr>
              <w:ind w:firstLine="0"/>
              <w:contextualSpacing/>
              <w:jc w:val="center"/>
              <w:rPr>
                <w:bCs/>
                <w:sz w:val="16"/>
                <w:szCs w:val="16"/>
              </w:rPr>
            </w:pPr>
          </w:p>
          <w:p w:rsidR="0055491A" w:rsidRPr="002D6C3D" w:rsidRDefault="0055491A" w:rsidP="00210BF6">
            <w:pPr>
              <w:ind w:firstLine="0"/>
              <w:contextualSpacing/>
              <w:jc w:val="center"/>
              <w:rPr>
                <w:bCs/>
                <w:sz w:val="16"/>
                <w:szCs w:val="16"/>
              </w:rPr>
            </w:pPr>
            <w:r>
              <w:rPr>
                <w:bCs/>
                <w:sz w:val="16"/>
                <w:szCs w:val="16"/>
              </w:rPr>
              <w:t>1</w:t>
            </w:r>
          </w:p>
        </w:tc>
        <w:tc>
          <w:tcPr>
            <w:tcW w:w="374" w:type="pct"/>
            <w:vAlign w:val="center"/>
          </w:tcPr>
          <w:p w:rsidR="0055491A" w:rsidRDefault="0055491A" w:rsidP="00210BF6">
            <w:pPr>
              <w:ind w:firstLine="0"/>
              <w:contextualSpacing/>
              <w:jc w:val="center"/>
              <w:rPr>
                <w:color w:val="000000"/>
                <w:sz w:val="16"/>
                <w:szCs w:val="16"/>
              </w:rPr>
            </w:pPr>
          </w:p>
          <w:p w:rsidR="0055491A" w:rsidRDefault="0055491A" w:rsidP="00210BF6">
            <w:pPr>
              <w:ind w:firstLine="0"/>
              <w:contextualSpacing/>
              <w:jc w:val="center"/>
              <w:rPr>
                <w:color w:val="000000"/>
                <w:sz w:val="16"/>
                <w:szCs w:val="16"/>
              </w:rPr>
            </w:pPr>
            <w:r>
              <w:rPr>
                <w:color w:val="000000"/>
                <w:sz w:val="16"/>
                <w:szCs w:val="16"/>
              </w:rPr>
              <w:t>10</w:t>
            </w:r>
          </w:p>
        </w:tc>
        <w:tc>
          <w:tcPr>
            <w:tcW w:w="454" w:type="pct"/>
            <w:vAlign w:val="center"/>
          </w:tcPr>
          <w:p w:rsidR="0055491A" w:rsidRDefault="0055491A" w:rsidP="00210BF6">
            <w:pPr>
              <w:ind w:firstLine="0"/>
              <w:contextualSpacing/>
              <w:jc w:val="center"/>
              <w:rPr>
                <w:bCs/>
                <w:sz w:val="16"/>
                <w:szCs w:val="16"/>
              </w:rPr>
            </w:pPr>
          </w:p>
          <w:p w:rsidR="0055491A" w:rsidRPr="002D6C3D" w:rsidRDefault="0055491A" w:rsidP="00210BF6">
            <w:pPr>
              <w:ind w:firstLine="0"/>
              <w:contextualSpacing/>
              <w:jc w:val="center"/>
              <w:rPr>
                <w:bCs/>
                <w:sz w:val="16"/>
                <w:szCs w:val="16"/>
              </w:rPr>
            </w:pPr>
            <w:r>
              <w:rPr>
                <w:bCs/>
                <w:sz w:val="16"/>
                <w:szCs w:val="16"/>
              </w:rPr>
              <w:t>1</w:t>
            </w:r>
          </w:p>
        </w:tc>
        <w:tc>
          <w:tcPr>
            <w:tcW w:w="374" w:type="pct"/>
            <w:vAlign w:val="center"/>
          </w:tcPr>
          <w:p w:rsidR="0055491A" w:rsidRDefault="0055491A" w:rsidP="00210BF6">
            <w:pPr>
              <w:ind w:firstLine="0"/>
              <w:contextualSpacing/>
              <w:jc w:val="center"/>
              <w:rPr>
                <w:color w:val="000000"/>
                <w:sz w:val="16"/>
                <w:szCs w:val="16"/>
              </w:rPr>
            </w:pPr>
          </w:p>
          <w:p w:rsidR="0055491A" w:rsidRDefault="0055491A" w:rsidP="00210BF6">
            <w:pPr>
              <w:ind w:firstLine="0"/>
              <w:contextualSpacing/>
              <w:jc w:val="center"/>
              <w:rPr>
                <w:color w:val="000000"/>
                <w:sz w:val="16"/>
                <w:szCs w:val="16"/>
              </w:rPr>
            </w:pPr>
            <w:r>
              <w:rPr>
                <w:color w:val="000000"/>
                <w:sz w:val="16"/>
                <w:szCs w:val="16"/>
              </w:rPr>
              <w:t>10</w:t>
            </w:r>
          </w:p>
        </w:tc>
        <w:tc>
          <w:tcPr>
            <w:tcW w:w="454" w:type="pct"/>
            <w:vAlign w:val="center"/>
          </w:tcPr>
          <w:p w:rsidR="0055491A" w:rsidRDefault="0055491A" w:rsidP="00210BF6">
            <w:pPr>
              <w:ind w:firstLine="0"/>
              <w:contextualSpacing/>
              <w:jc w:val="center"/>
              <w:rPr>
                <w:bCs/>
                <w:sz w:val="16"/>
                <w:szCs w:val="16"/>
              </w:rPr>
            </w:pPr>
          </w:p>
          <w:p w:rsidR="0055491A" w:rsidRPr="002D6C3D" w:rsidRDefault="0055491A" w:rsidP="00210BF6">
            <w:pPr>
              <w:ind w:firstLine="0"/>
              <w:contextualSpacing/>
              <w:jc w:val="center"/>
              <w:rPr>
                <w:bCs/>
                <w:sz w:val="16"/>
                <w:szCs w:val="16"/>
              </w:rPr>
            </w:pPr>
            <w:r>
              <w:rPr>
                <w:bCs/>
                <w:sz w:val="16"/>
                <w:szCs w:val="16"/>
              </w:rPr>
              <w:t>1</w:t>
            </w:r>
          </w:p>
        </w:tc>
        <w:tc>
          <w:tcPr>
            <w:tcW w:w="372" w:type="pct"/>
            <w:vAlign w:val="center"/>
          </w:tcPr>
          <w:p w:rsidR="0055491A" w:rsidRDefault="0055491A" w:rsidP="00210BF6">
            <w:pPr>
              <w:ind w:firstLine="0"/>
              <w:contextualSpacing/>
              <w:jc w:val="center"/>
              <w:rPr>
                <w:color w:val="000000"/>
                <w:sz w:val="16"/>
                <w:szCs w:val="16"/>
              </w:rPr>
            </w:pPr>
          </w:p>
          <w:p w:rsidR="0055491A" w:rsidRDefault="0055491A" w:rsidP="00210BF6">
            <w:pPr>
              <w:ind w:firstLine="0"/>
              <w:contextualSpacing/>
              <w:jc w:val="center"/>
              <w:rPr>
                <w:color w:val="000000"/>
                <w:sz w:val="16"/>
                <w:szCs w:val="16"/>
              </w:rPr>
            </w:pPr>
            <w:r>
              <w:rPr>
                <w:color w:val="000000"/>
                <w:sz w:val="16"/>
                <w:szCs w:val="16"/>
              </w:rPr>
              <w:t>10</w:t>
            </w:r>
          </w:p>
        </w:tc>
      </w:tr>
      <w:tr w:rsidR="0055491A" w:rsidRPr="00F564B2" w:rsidTr="00210BF6">
        <w:trPr>
          <w:trHeight w:val="1121"/>
        </w:trPr>
        <w:tc>
          <w:tcPr>
            <w:tcW w:w="845" w:type="pct"/>
            <w:gridSpan w:val="4"/>
            <w:vAlign w:val="center"/>
          </w:tcPr>
          <w:p w:rsidR="0055491A" w:rsidRPr="00D068C3" w:rsidRDefault="0055491A" w:rsidP="00210BF6">
            <w:pPr>
              <w:ind w:firstLine="0"/>
              <w:contextualSpacing/>
              <w:jc w:val="center"/>
              <w:rPr>
                <w:b/>
                <w:color w:val="FF0000"/>
                <w:sz w:val="16"/>
                <w:szCs w:val="16"/>
              </w:rPr>
            </w:pPr>
            <w:r w:rsidRPr="00D068C3">
              <w:rPr>
                <w:b/>
                <w:bCs/>
                <w:sz w:val="18"/>
                <w:szCs w:val="18"/>
              </w:rPr>
              <w:t xml:space="preserve">Итого в </w:t>
            </w:r>
            <w:r w:rsidRPr="00D068C3">
              <w:rPr>
                <w:b/>
                <w:sz w:val="18"/>
                <w:szCs w:val="18"/>
              </w:rPr>
              <w:t>областной бюджет Тверской области</w:t>
            </w:r>
            <w:r>
              <w:rPr>
                <w:b/>
                <w:sz w:val="18"/>
                <w:szCs w:val="18"/>
              </w:rPr>
              <w:t xml:space="preserve"> норматив 50 %</w:t>
            </w:r>
            <w:r w:rsidRPr="00D068C3">
              <w:rPr>
                <w:b/>
                <w:sz w:val="20"/>
                <w:szCs w:val="20"/>
              </w:rPr>
              <w:t>:</w:t>
            </w:r>
          </w:p>
        </w:tc>
        <w:tc>
          <w:tcPr>
            <w:tcW w:w="292" w:type="pct"/>
            <w:gridSpan w:val="2"/>
            <w:vAlign w:val="center"/>
          </w:tcPr>
          <w:p w:rsidR="0055491A" w:rsidRPr="005A7613" w:rsidRDefault="0055491A" w:rsidP="00210BF6">
            <w:pPr>
              <w:ind w:firstLine="0"/>
              <w:contextualSpacing/>
              <w:jc w:val="center"/>
              <w:rPr>
                <w:color w:val="000000"/>
                <w:sz w:val="16"/>
                <w:szCs w:val="16"/>
              </w:rPr>
            </w:pPr>
          </w:p>
        </w:tc>
        <w:tc>
          <w:tcPr>
            <w:tcW w:w="307" w:type="pct"/>
            <w:gridSpan w:val="2"/>
            <w:vAlign w:val="center"/>
          </w:tcPr>
          <w:p w:rsidR="0055491A" w:rsidRPr="005A7613" w:rsidRDefault="0055491A" w:rsidP="00210BF6">
            <w:pPr>
              <w:ind w:firstLine="0"/>
              <w:contextualSpacing/>
              <w:jc w:val="center"/>
              <w:rPr>
                <w:color w:val="000000"/>
                <w:sz w:val="16"/>
                <w:szCs w:val="16"/>
              </w:rPr>
            </w:pPr>
          </w:p>
        </w:tc>
        <w:tc>
          <w:tcPr>
            <w:tcW w:w="256" w:type="pct"/>
            <w:vAlign w:val="center"/>
          </w:tcPr>
          <w:p w:rsidR="0055491A" w:rsidRPr="005A7613" w:rsidRDefault="0055491A" w:rsidP="00210BF6">
            <w:pPr>
              <w:ind w:firstLine="0"/>
              <w:contextualSpacing/>
              <w:jc w:val="center"/>
              <w:rPr>
                <w:color w:val="000000"/>
                <w:sz w:val="16"/>
                <w:szCs w:val="16"/>
              </w:rPr>
            </w:pPr>
          </w:p>
        </w:tc>
        <w:tc>
          <w:tcPr>
            <w:tcW w:w="444" w:type="pct"/>
            <w:vAlign w:val="center"/>
          </w:tcPr>
          <w:p w:rsidR="0055491A" w:rsidRPr="005A7613" w:rsidRDefault="0055491A" w:rsidP="00210BF6">
            <w:pPr>
              <w:ind w:firstLine="0"/>
              <w:contextualSpacing/>
              <w:jc w:val="center"/>
              <w:rPr>
                <w:color w:val="000000"/>
                <w:sz w:val="16"/>
                <w:szCs w:val="16"/>
              </w:rPr>
            </w:pPr>
          </w:p>
        </w:tc>
        <w:tc>
          <w:tcPr>
            <w:tcW w:w="374" w:type="pct"/>
            <w:vAlign w:val="center"/>
          </w:tcPr>
          <w:p w:rsidR="0055491A" w:rsidRPr="001F0769" w:rsidRDefault="0055491A" w:rsidP="00210BF6">
            <w:pPr>
              <w:ind w:firstLine="0"/>
              <w:contextualSpacing/>
              <w:jc w:val="center"/>
              <w:rPr>
                <w:b/>
                <w:color w:val="000000"/>
                <w:sz w:val="20"/>
                <w:szCs w:val="20"/>
              </w:rPr>
            </w:pPr>
            <w:r>
              <w:rPr>
                <w:b/>
                <w:color w:val="000000"/>
                <w:sz w:val="20"/>
                <w:szCs w:val="20"/>
              </w:rPr>
              <w:t>5</w:t>
            </w:r>
          </w:p>
        </w:tc>
        <w:tc>
          <w:tcPr>
            <w:tcW w:w="454" w:type="pct"/>
            <w:vAlign w:val="center"/>
          </w:tcPr>
          <w:p w:rsidR="0055491A" w:rsidRPr="005A7613" w:rsidRDefault="0055491A" w:rsidP="00210BF6">
            <w:pPr>
              <w:ind w:firstLine="0"/>
              <w:contextualSpacing/>
              <w:jc w:val="center"/>
              <w:rPr>
                <w:color w:val="000000"/>
                <w:sz w:val="16"/>
                <w:szCs w:val="16"/>
              </w:rPr>
            </w:pPr>
          </w:p>
        </w:tc>
        <w:tc>
          <w:tcPr>
            <w:tcW w:w="374" w:type="pct"/>
            <w:vAlign w:val="center"/>
          </w:tcPr>
          <w:p w:rsidR="0055491A" w:rsidRPr="001F0769" w:rsidRDefault="0055491A" w:rsidP="00210BF6">
            <w:pPr>
              <w:ind w:firstLine="0"/>
              <w:contextualSpacing/>
              <w:jc w:val="center"/>
              <w:rPr>
                <w:b/>
                <w:color w:val="000000"/>
                <w:sz w:val="20"/>
                <w:szCs w:val="20"/>
              </w:rPr>
            </w:pPr>
            <w:r>
              <w:rPr>
                <w:b/>
                <w:color w:val="000000"/>
                <w:sz w:val="20"/>
                <w:szCs w:val="20"/>
              </w:rPr>
              <w:t>5</w:t>
            </w:r>
          </w:p>
        </w:tc>
        <w:tc>
          <w:tcPr>
            <w:tcW w:w="454" w:type="pct"/>
            <w:vAlign w:val="center"/>
          </w:tcPr>
          <w:p w:rsidR="0055491A" w:rsidRPr="001F0769" w:rsidRDefault="0055491A" w:rsidP="00210BF6">
            <w:pPr>
              <w:ind w:firstLine="0"/>
              <w:contextualSpacing/>
              <w:jc w:val="center"/>
              <w:rPr>
                <w:b/>
                <w:color w:val="000000"/>
                <w:sz w:val="20"/>
                <w:szCs w:val="20"/>
              </w:rPr>
            </w:pPr>
          </w:p>
        </w:tc>
        <w:tc>
          <w:tcPr>
            <w:tcW w:w="374" w:type="pct"/>
            <w:vAlign w:val="center"/>
          </w:tcPr>
          <w:p w:rsidR="0055491A" w:rsidRPr="001F0769" w:rsidRDefault="0055491A" w:rsidP="00210BF6">
            <w:pPr>
              <w:ind w:firstLine="0"/>
              <w:contextualSpacing/>
              <w:jc w:val="center"/>
              <w:rPr>
                <w:b/>
                <w:color w:val="000000"/>
                <w:sz w:val="20"/>
                <w:szCs w:val="20"/>
              </w:rPr>
            </w:pPr>
            <w:r>
              <w:rPr>
                <w:b/>
                <w:color w:val="000000"/>
                <w:sz w:val="20"/>
                <w:szCs w:val="20"/>
              </w:rPr>
              <w:t>5</w:t>
            </w:r>
          </w:p>
        </w:tc>
        <w:tc>
          <w:tcPr>
            <w:tcW w:w="454" w:type="pct"/>
            <w:vAlign w:val="center"/>
          </w:tcPr>
          <w:p w:rsidR="0055491A" w:rsidRPr="001F0769" w:rsidRDefault="0055491A" w:rsidP="00210BF6">
            <w:pPr>
              <w:ind w:firstLine="0"/>
              <w:contextualSpacing/>
              <w:jc w:val="center"/>
              <w:rPr>
                <w:b/>
                <w:color w:val="000000"/>
                <w:sz w:val="20"/>
                <w:szCs w:val="20"/>
              </w:rPr>
            </w:pPr>
          </w:p>
        </w:tc>
        <w:tc>
          <w:tcPr>
            <w:tcW w:w="372" w:type="pct"/>
            <w:vAlign w:val="center"/>
          </w:tcPr>
          <w:p w:rsidR="0055491A" w:rsidRPr="001F0769" w:rsidRDefault="0055491A" w:rsidP="00210BF6">
            <w:pPr>
              <w:ind w:firstLine="0"/>
              <w:contextualSpacing/>
              <w:jc w:val="center"/>
              <w:rPr>
                <w:b/>
                <w:color w:val="000000"/>
                <w:sz w:val="20"/>
                <w:szCs w:val="20"/>
              </w:rPr>
            </w:pPr>
            <w:r>
              <w:rPr>
                <w:b/>
                <w:color w:val="000000"/>
                <w:sz w:val="20"/>
                <w:szCs w:val="20"/>
              </w:rPr>
              <w:t>5</w:t>
            </w:r>
          </w:p>
        </w:tc>
      </w:tr>
      <w:tr w:rsidR="0055491A" w:rsidRPr="00F564B2" w:rsidTr="00210BF6">
        <w:trPr>
          <w:trHeight w:val="305"/>
        </w:trPr>
        <w:tc>
          <w:tcPr>
            <w:tcW w:w="523" w:type="pct"/>
            <w:gridSpan w:val="2"/>
            <w:vAlign w:val="center"/>
          </w:tcPr>
          <w:p w:rsidR="0055491A" w:rsidRPr="006C469E" w:rsidRDefault="0055491A" w:rsidP="00210BF6">
            <w:pPr>
              <w:ind w:firstLine="0"/>
              <w:contextualSpacing/>
              <w:jc w:val="center"/>
              <w:rPr>
                <w:bCs/>
                <w:sz w:val="16"/>
                <w:szCs w:val="16"/>
              </w:rPr>
            </w:pPr>
          </w:p>
          <w:p w:rsidR="0055491A" w:rsidRPr="006C469E" w:rsidRDefault="0055491A" w:rsidP="00210BF6">
            <w:pPr>
              <w:ind w:firstLine="0"/>
              <w:contextualSpacing/>
              <w:jc w:val="center"/>
              <w:rPr>
                <w:bCs/>
                <w:sz w:val="16"/>
                <w:szCs w:val="16"/>
              </w:rPr>
            </w:pPr>
            <w:r>
              <w:rPr>
                <w:bCs/>
                <w:sz w:val="16"/>
                <w:szCs w:val="16"/>
              </w:rPr>
              <w:t>С</w:t>
            </w:r>
            <w:r w:rsidRPr="006C469E">
              <w:rPr>
                <w:bCs/>
                <w:sz w:val="16"/>
                <w:szCs w:val="16"/>
              </w:rPr>
              <w:t>т.19.</w:t>
            </w:r>
            <w:r>
              <w:rPr>
                <w:bCs/>
                <w:sz w:val="16"/>
                <w:szCs w:val="16"/>
              </w:rPr>
              <w:t>5</w:t>
            </w:r>
          </w:p>
          <w:p w:rsidR="0055491A" w:rsidRPr="006C469E" w:rsidRDefault="0055491A" w:rsidP="00210BF6">
            <w:pPr>
              <w:ind w:firstLine="0"/>
              <w:contextualSpacing/>
              <w:jc w:val="center"/>
              <w:rPr>
                <w:bCs/>
                <w:sz w:val="16"/>
                <w:szCs w:val="16"/>
              </w:rPr>
            </w:pPr>
          </w:p>
        </w:tc>
        <w:tc>
          <w:tcPr>
            <w:tcW w:w="322" w:type="pct"/>
            <w:gridSpan w:val="2"/>
            <w:vAlign w:val="center"/>
          </w:tcPr>
          <w:p w:rsidR="0055491A" w:rsidRPr="002D6C3D" w:rsidRDefault="0055491A" w:rsidP="00210BF6">
            <w:pPr>
              <w:ind w:firstLine="0"/>
              <w:contextualSpacing/>
              <w:jc w:val="center"/>
              <w:rPr>
                <w:bCs/>
                <w:sz w:val="16"/>
                <w:szCs w:val="16"/>
              </w:rPr>
            </w:pPr>
          </w:p>
          <w:p w:rsidR="0055491A" w:rsidRPr="002D6C3D" w:rsidRDefault="0055491A" w:rsidP="00210BF6">
            <w:pPr>
              <w:ind w:firstLine="0"/>
              <w:contextualSpacing/>
              <w:jc w:val="center"/>
              <w:rPr>
                <w:bCs/>
                <w:sz w:val="16"/>
                <w:szCs w:val="16"/>
              </w:rPr>
            </w:pPr>
            <w:r w:rsidRPr="002D6C3D">
              <w:rPr>
                <w:bCs/>
                <w:sz w:val="16"/>
                <w:szCs w:val="16"/>
              </w:rPr>
              <w:t>10</w:t>
            </w:r>
          </w:p>
        </w:tc>
        <w:tc>
          <w:tcPr>
            <w:tcW w:w="292" w:type="pct"/>
            <w:gridSpan w:val="2"/>
            <w:vAlign w:val="center"/>
          </w:tcPr>
          <w:p w:rsidR="0055491A" w:rsidRDefault="0055491A" w:rsidP="00210BF6">
            <w:pPr>
              <w:ind w:firstLine="0"/>
              <w:contextualSpacing/>
              <w:jc w:val="center"/>
              <w:rPr>
                <w:bCs/>
                <w:sz w:val="16"/>
                <w:szCs w:val="16"/>
              </w:rPr>
            </w:pPr>
          </w:p>
          <w:p w:rsidR="0055491A" w:rsidRPr="006C469E" w:rsidRDefault="0055491A" w:rsidP="00210BF6">
            <w:pPr>
              <w:ind w:firstLine="0"/>
              <w:contextualSpacing/>
              <w:jc w:val="center"/>
              <w:rPr>
                <w:color w:val="000000"/>
                <w:sz w:val="16"/>
                <w:szCs w:val="16"/>
              </w:rPr>
            </w:pPr>
            <w:r>
              <w:rPr>
                <w:bCs/>
                <w:sz w:val="16"/>
                <w:szCs w:val="16"/>
              </w:rPr>
              <w:t>2</w:t>
            </w:r>
          </w:p>
        </w:tc>
        <w:tc>
          <w:tcPr>
            <w:tcW w:w="307" w:type="pct"/>
            <w:gridSpan w:val="2"/>
            <w:vAlign w:val="center"/>
          </w:tcPr>
          <w:p w:rsidR="0055491A" w:rsidRDefault="0055491A" w:rsidP="00210BF6">
            <w:pPr>
              <w:ind w:firstLine="0"/>
              <w:contextualSpacing/>
              <w:jc w:val="center"/>
              <w:rPr>
                <w:color w:val="000000"/>
                <w:sz w:val="16"/>
                <w:szCs w:val="16"/>
              </w:rPr>
            </w:pPr>
          </w:p>
          <w:p w:rsidR="0055491A" w:rsidRDefault="0055491A" w:rsidP="00210BF6">
            <w:pPr>
              <w:ind w:firstLine="0"/>
              <w:contextualSpacing/>
              <w:jc w:val="center"/>
              <w:rPr>
                <w:color w:val="000000"/>
                <w:sz w:val="16"/>
                <w:szCs w:val="16"/>
              </w:rPr>
            </w:pPr>
            <w:r>
              <w:rPr>
                <w:color w:val="000000"/>
                <w:sz w:val="16"/>
                <w:szCs w:val="16"/>
              </w:rPr>
              <w:t>0</w:t>
            </w:r>
          </w:p>
        </w:tc>
        <w:tc>
          <w:tcPr>
            <w:tcW w:w="256" w:type="pct"/>
            <w:vAlign w:val="center"/>
          </w:tcPr>
          <w:p w:rsidR="0055491A" w:rsidRDefault="0055491A" w:rsidP="00210BF6">
            <w:pPr>
              <w:ind w:firstLine="0"/>
              <w:contextualSpacing/>
              <w:jc w:val="center"/>
              <w:rPr>
                <w:bCs/>
                <w:sz w:val="16"/>
                <w:szCs w:val="16"/>
              </w:rPr>
            </w:pPr>
          </w:p>
          <w:p w:rsidR="0055491A" w:rsidRPr="002D6C3D" w:rsidRDefault="0055491A" w:rsidP="00210BF6">
            <w:pPr>
              <w:ind w:firstLine="0"/>
              <w:contextualSpacing/>
              <w:jc w:val="center"/>
              <w:rPr>
                <w:bCs/>
                <w:sz w:val="16"/>
                <w:szCs w:val="16"/>
              </w:rPr>
            </w:pPr>
            <w:r>
              <w:rPr>
                <w:bCs/>
                <w:sz w:val="16"/>
                <w:szCs w:val="16"/>
              </w:rPr>
              <w:t>0</w:t>
            </w:r>
          </w:p>
        </w:tc>
        <w:tc>
          <w:tcPr>
            <w:tcW w:w="444" w:type="pct"/>
            <w:vAlign w:val="center"/>
          </w:tcPr>
          <w:p w:rsidR="0055491A" w:rsidRDefault="0055491A" w:rsidP="00210BF6">
            <w:pPr>
              <w:ind w:firstLine="0"/>
              <w:contextualSpacing/>
              <w:jc w:val="center"/>
              <w:rPr>
                <w:bCs/>
                <w:sz w:val="16"/>
                <w:szCs w:val="16"/>
              </w:rPr>
            </w:pPr>
          </w:p>
          <w:p w:rsidR="0055491A" w:rsidRPr="006C469E" w:rsidRDefault="0055491A" w:rsidP="00210BF6">
            <w:pPr>
              <w:ind w:firstLine="0"/>
              <w:contextualSpacing/>
              <w:jc w:val="center"/>
              <w:rPr>
                <w:color w:val="000000"/>
                <w:sz w:val="16"/>
                <w:szCs w:val="16"/>
              </w:rPr>
            </w:pPr>
            <w:r>
              <w:rPr>
                <w:bCs/>
                <w:sz w:val="16"/>
                <w:szCs w:val="16"/>
              </w:rPr>
              <w:t>1</w:t>
            </w:r>
          </w:p>
        </w:tc>
        <w:tc>
          <w:tcPr>
            <w:tcW w:w="374" w:type="pct"/>
            <w:vAlign w:val="center"/>
          </w:tcPr>
          <w:p w:rsidR="0055491A" w:rsidRDefault="0055491A" w:rsidP="00210BF6">
            <w:pPr>
              <w:ind w:firstLine="0"/>
              <w:contextualSpacing/>
              <w:jc w:val="center"/>
              <w:rPr>
                <w:color w:val="000000"/>
                <w:sz w:val="16"/>
                <w:szCs w:val="16"/>
              </w:rPr>
            </w:pPr>
          </w:p>
          <w:p w:rsidR="0055491A" w:rsidRDefault="0055491A" w:rsidP="00210BF6">
            <w:pPr>
              <w:ind w:firstLine="0"/>
              <w:contextualSpacing/>
              <w:jc w:val="center"/>
              <w:rPr>
                <w:color w:val="000000"/>
                <w:sz w:val="16"/>
                <w:szCs w:val="16"/>
              </w:rPr>
            </w:pPr>
            <w:r>
              <w:rPr>
                <w:color w:val="000000"/>
                <w:sz w:val="16"/>
                <w:szCs w:val="16"/>
              </w:rPr>
              <w:t>10</w:t>
            </w:r>
          </w:p>
        </w:tc>
        <w:tc>
          <w:tcPr>
            <w:tcW w:w="454" w:type="pct"/>
            <w:vAlign w:val="center"/>
          </w:tcPr>
          <w:p w:rsidR="0055491A" w:rsidRDefault="0055491A" w:rsidP="00210BF6">
            <w:pPr>
              <w:ind w:firstLine="0"/>
              <w:contextualSpacing/>
              <w:jc w:val="center"/>
              <w:rPr>
                <w:bCs/>
                <w:sz w:val="16"/>
                <w:szCs w:val="16"/>
              </w:rPr>
            </w:pPr>
          </w:p>
          <w:p w:rsidR="0055491A" w:rsidRPr="002D6C3D" w:rsidRDefault="0055491A" w:rsidP="00210BF6">
            <w:pPr>
              <w:ind w:firstLine="0"/>
              <w:contextualSpacing/>
              <w:jc w:val="center"/>
              <w:rPr>
                <w:bCs/>
                <w:sz w:val="16"/>
                <w:szCs w:val="16"/>
              </w:rPr>
            </w:pPr>
            <w:r>
              <w:rPr>
                <w:bCs/>
                <w:sz w:val="16"/>
                <w:szCs w:val="16"/>
              </w:rPr>
              <w:t>1</w:t>
            </w:r>
          </w:p>
        </w:tc>
        <w:tc>
          <w:tcPr>
            <w:tcW w:w="374" w:type="pct"/>
            <w:vAlign w:val="center"/>
          </w:tcPr>
          <w:p w:rsidR="0055491A" w:rsidRDefault="0055491A" w:rsidP="00210BF6">
            <w:pPr>
              <w:ind w:firstLine="0"/>
              <w:contextualSpacing/>
              <w:jc w:val="center"/>
              <w:rPr>
                <w:color w:val="000000"/>
                <w:sz w:val="16"/>
                <w:szCs w:val="16"/>
              </w:rPr>
            </w:pPr>
          </w:p>
          <w:p w:rsidR="0055491A" w:rsidRDefault="0055491A" w:rsidP="00210BF6">
            <w:pPr>
              <w:ind w:firstLine="0"/>
              <w:contextualSpacing/>
              <w:jc w:val="center"/>
              <w:rPr>
                <w:color w:val="000000"/>
                <w:sz w:val="16"/>
                <w:szCs w:val="16"/>
              </w:rPr>
            </w:pPr>
            <w:r>
              <w:rPr>
                <w:color w:val="000000"/>
                <w:sz w:val="16"/>
                <w:szCs w:val="16"/>
              </w:rPr>
              <w:t>10</w:t>
            </w:r>
          </w:p>
        </w:tc>
        <w:tc>
          <w:tcPr>
            <w:tcW w:w="454" w:type="pct"/>
            <w:vAlign w:val="center"/>
          </w:tcPr>
          <w:p w:rsidR="0055491A" w:rsidRDefault="0055491A" w:rsidP="00210BF6">
            <w:pPr>
              <w:ind w:firstLine="0"/>
              <w:contextualSpacing/>
              <w:jc w:val="center"/>
              <w:rPr>
                <w:bCs/>
                <w:sz w:val="16"/>
                <w:szCs w:val="16"/>
              </w:rPr>
            </w:pPr>
          </w:p>
          <w:p w:rsidR="0055491A" w:rsidRPr="002D6C3D" w:rsidRDefault="0055491A" w:rsidP="00210BF6">
            <w:pPr>
              <w:ind w:firstLine="0"/>
              <w:contextualSpacing/>
              <w:jc w:val="center"/>
              <w:rPr>
                <w:bCs/>
                <w:sz w:val="16"/>
                <w:szCs w:val="16"/>
              </w:rPr>
            </w:pPr>
            <w:r>
              <w:rPr>
                <w:bCs/>
                <w:sz w:val="16"/>
                <w:szCs w:val="16"/>
              </w:rPr>
              <w:t>1</w:t>
            </w:r>
          </w:p>
        </w:tc>
        <w:tc>
          <w:tcPr>
            <w:tcW w:w="374" w:type="pct"/>
            <w:vAlign w:val="center"/>
          </w:tcPr>
          <w:p w:rsidR="0055491A" w:rsidRDefault="0055491A" w:rsidP="00210BF6">
            <w:pPr>
              <w:ind w:firstLine="0"/>
              <w:contextualSpacing/>
              <w:jc w:val="center"/>
              <w:rPr>
                <w:color w:val="000000"/>
                <w:sz w:val="16"/>
                <w:szCs w:val="16"/>
              </w:rPr>
            </w:pPr>
          </w:p>
          <w:p w:rsidR="0055491A" w:rsidRDefault="0055491A" w:rsidP="00210BF6">
            <w:pPr>
              <w:ind w:firstLine="0"/>
              <w:contextualSpacing/>
              <w:jc w:val="center"/>
              <w:rPr>
                <w:color w:val="000000"/>
                <w:sz w:val="16"/>
                <w:szCs w:val="16"/>
              </w:rPr>
            </w:pPr>
            <w:r>
              <w:rPr>
                <w:color w:val="000000"/>
                <w:sz w:val="16"/>
                <w:szCs w:val="16"/>
              </w:rPr>
              <w:t>10</w:t>
            </w:r>
          </w:p>
        </w:tc>
        <w:tc>
          <w:tcPr>
            <w:tcW w:w="454" w:type="pct"/>
            <w:vAlign w:val="center"/>
          </w:tcPr>
          <w:p w:rsidR="0055491A" w:rsidRDefault="0055491A" w:rsidP="00210BF6">
            <w:pPr>
              <w:ind w:firstLine="0"/>
              <w:contextualSpacing/>
              <w:jc w:val="center"/>
              <w:rPr>
                <w:bCs/>
                <w:sz w:val="16"/>
                <w:szCs w:val="16"/>
              </w:rPr>
            </w:pPr>
          </w:p>
          <w:p w:rsidR="0055491A" w:rsidRPr="002D6C3D" w:rsidRDefault="0055491A" w:rsidP="00210BF6">
            <w:pPr>
              <w:ind w:firstLine="0"/>
              <w:contextualSpacing/>
              <w:jc w:val="center"/>
              <w:rPr>
                <w:bCs/>
                <w:sz w:val="16"/>
                <w:szCs w:val="16"/>
              </w:rPr>
            </w:pPr>
            <w:r>
              <w:rPr>
                <w:bCs/>
                <w:sz w:val="16"/>
                <w:szCs w:val="16"/>
              </w:rPr>
              <w:t>1</w:t>
            </w:r>
          </w:p>
        </w:tc>
        <w:tc>
          <w:tcPr>
            <w:tcW w:w="372" w:type="pct"/>
            <w:vAlign w:val="center"/>
          </w:tcPr>
          <w:p w:rsidR="0055491A" w:rsidRDefault="0055491A" w:rsidP="00210BF6">
            <w:pPr>
              <w:ind w:firstLine="0"/>
              <w:contextualSpacing/>
              <w:jc w:val="center"/>
              <w:rPr>
                <w:color w:val="000000"/>
                <w:sz w:val="16"/>
                <w:szCs w:val="16"/>
              </w:rPr>
            </w:pPr>
          </w:p>
          <w:p w:rsidR="0055491A" w:rsidRDefault="0055491A" w:rsidP="00210BF6">
            <w:pPr>
              <w:ind w:firstLine="0"/>
              <w:contextualSpacing/>
              <w:jc w:val="center"/>
              <w:rPr>
                <w:color w:val="000000"/>
                <w:sz w:val="16"/>
                <w:szCs w:val="16"/>
              </w:rPr>
            </w:pPr>
            <w:r>
              <w:rPr>
                <w:color w:val="000000"/>
                <w:sz w:val="16"/>
                <w:szCs w:val="16"/>
              </w:rPr>
              <w:t>10</w:t>
            </w:r>
          </w:p>
        </w:tc>
      </w:tr>
      <w:tr w:rsidR="0055491A" w:rsidRPr="00F564B2" w:rsidTr="00210BF6">
        <w:trPr>
          <w:trHeight w:val="1107"/>
        </w:trPr>
        <w:tc>
          <w:tcPr>
            <w:tcW w:w="845" w:type="pct"/>
            <w:gridSpan w:val="4"/>
            <w:vAlign w:val="center"/>
          </w:tcPr>
          <w:p w:rsidR="0055491A" w:rsidRPr="005A7613" w:rsidRDefault="0055491A" w:rsidP="00210BF6">
            <w:pPr>
              <w:ind w:firstLine="0"/>
              <w:contextualSpacing/>
              <w:jc w:val="center"/>
              <w:rPr>
                <w:color w:val="FF0000"/>
                <w:sz w:val="16"/>
                <w:szCs w:val="16"/>
              </w:rPr>
            </w:pPr>
            <w:r>
              <w:rPr>
                <w:b/>
                <w:bCs/>
                <w:sz w:val="18"/>
                <w:szCs w:val="18"/>
              </w:rPr>
              <w:t xml:space="preserve">Итого в </w:t>
            </w:r>
            <w:r>
              <w:rPr>
                <w:b/>
                <w:sz w:val="18"/>
                <w:szCs w:val="18"/>
              </w:rPr>
              <w:t>областной бюджет Тверской области норматив 50 %</w:t>
            </w:r>
          </w:p>
        </w:tc>
        <w:tc>
          <w:tcPr>
            <w:tcW w:w="292" w:type="pct"/>
            <w:gridSpan w:val="2"/>
            <w:vAlign w:val="center"/>
          </w:tcPr>
          <w:p w:rsidR="0055491A" w:rsidRDefault="0055491A" w:rsidP="00210BF6">
            <w:pPr>
              <w:ind w:firstLine="0"/>
              <w:contextualSpacing/>
              <w:jc w:val="center"/>
              <w:rPr>
                <w:color w:val="000000"/>
                <w:sz w:val="20"/>
                <w:szCs w:val="20"/>
              </w:rPr>
            </w:pPr>
          </w:p>
        </w:tc>
        <w:tc>
          <w:tcPr>
            <w:tcW w:w="307" w:type="pct"/>
            <w:gridSpan w:val="2"/>
            <w:vAlign w:val="center"/>
          </w:tcPr>
          <w:p w:rsidR="0055491A" w:rsidRDefault="0055491A" w:rsidP="00210BF6">
            <w:pPr>
              <w:ind w:firstLine="0"/>
              <w:contextualSpacing/>
              <w:jc w:val="center"/>
              <w:rPr>
                <w:color w:val="000000"/>
                <w:sz w:val="20"/>
                <w:szCs w:val="20"/>
              </w:rPr>
            </w:pPr>
          </w:p>
        </w:tc>
        <w:tc>
          <w:tcPr>
            <w:tcW w:w="256" w:type="pct"/>
            <w:vAlign w:val="center"/>
          </w:tcPr>
          <w:p w:rsidR="0055491A" w:rsidRDefault="0055491A" w:rsidP="00210BF6">
            <w:pPr>
              <w:ind w:firstLine="0"/>
              <w:contextualSpacing/>
              <w:jc w:val="center"/>
              <w:rPr>
                <w:color w:val="000000"/>
                <w:sz w:val="20"/>
                <w:szCs w:val="20"/>
              </w:rPr>
            </w:pPr>
          </w:p>
        </w:tc>
        <w:tc>
          <w:tcPr>
            <w:tcW w:w="444" w:type="pct"/>
            <w:vAlign w:val="center"/>
          </w:tcPr>
          <w:p w:rsidR="0055491A" w:rsidRDefault="0055491A" w:rsidP="00210BF6">
            <w:pPr>
              <w:ind w:firstLine="0"/>
              <w:contextualSpacing/>
              <w:jc w:val="center"/>
              <w:rPr>
                <w:color w:val="000000"/>
                <w:sz w:val="20"/>
                <w:szCs w:val="20"/>
              </w:rPr>
            </w:pPr>
          </w:p>
        </w:tc>
        <w:tc>
          <w:tcPr>
            <w:tcW w:w="374" w:type="pct"/>
            <w:vAlign w:val="center"/>
          </w:tcPr>
          <w:p w:rsidR="0055491A" w:rsidRPr="001F0769" w:rsidRDefault="0055491A" w:rsidP="00210BF6">
            <w:pPr>
              <w:ind w:firstLine="0"/>
              <w:contextualSpacing/>
              <w:jc w:val="center"/>
              <w:rPr>
                <w:b/>
                <w:color w:val="000000"/>
                <w:sz w:val="20"/>
                <w:szCs w:val="20"/>
              </w:rPr>
            </w:pPr>
            <w:r>
              <w:rPr>
                <w:b/>
                <w:color w:val="000000"/>
                <w:sz w:val="20"/>
                <w:szCs w:val="20"/>
              </w:rPr>
              <w:t>5</w:t>
            </w:r>
          </w:p>
        </w:tc>
        <w:tc>
          <w:tcPr>
            <w:tcW w:w="454" w:type="pct"/>
            <w:vAlign w:val="center"/>
          </w:tcPr>
          <w:p w:rsidR="0055491A" w:rsidRDefault="0055491A" w:rsidP="00210BF6">
            <w:pPr>
              <w:ind w:firstLine="0"/>
              <w:contextualSpacing/>
              <w:jc w:val="center"/>
              <w:rPr>
                <w:color w:val="000000"/>
                <w:sz w:val="20"/>
                <w:szCs w:val="20"/>
              </w:rPr>
            </w:pPr>
          </w:p>
        </w:tc>
        <w:tc>
          <w:tcPr>
            <w:tcW w:w="374" w:type="pct"/>
            <w:vAlign w:val="center"/>
          </w:tcPr>
          <w:p w:rsidR="0055491A" w:rsidRPr="001F0769" w:rsidRDefault="0055491A" w:rsidP="00210BF6">
            <w:pPr>
              <w:ind w:firstLine="0"/>
              <w:contextualSpacing/>
              <w:jc w:val="center"/>
              <w:rPr>
                <w:b/>
                <w:color w:val="000000"/>
                <w:sz w:val="20"/>
                <w:szCs w:val="20"/>
              </w:rPr>
            </w:pPr>
            <w:r>
              <w:rPr>
                <w:b/>
                <w:color w:val="000000"/>
                <w:sz w:val="20"/>
                <w:szCs w:val="20"/>
              </w:rPr>
              <w:t>5</w:t>
            </w:r>
          </w:p>
        </w:tc>
        <w:tc>
          <w:tcPr>
            <w:tcW w:w="454" w:type="pct"/>
            <w:vAlign w:val="center"/>
          </w:tcPr>
          <w:p w:rsidR="0055491A" w:rsidRPr="001F0769" w:rsidRDefault="0055491A" w:rsidP="00210BF6">
            <w:pPr>
              <w:ind w:firstLine="0"/>
              <w:contextualSpacing/>
              <w:jc w:val="center"/>
              <w:rPr>
                <w:b/>
                <w:color w:val="000000"/>
                <w:sz w:val="20"/>
                <w:szCs w:val="20"/>
              </w:rPr>
            </w:pPr>
          </w:p>
        </w:tc>
        <w:tc>
          <w:tcPr>
            <w:tcW w:w="374" w:type="pct"/>
            <w:vAlign w:val="center"/>
          </w:tcPr>
          <w:p w:rsidR="0055491A" w:rsidRPr="001F0769" w:rsidRDefault="0055491A" w:rsidP="00210BF6">
            <w:pPr>
              <w:ind w:firstLine="0"/>
              <w:contextualSpacing/>
              <w:jc w:val="center"/>
              <w:rPr>
                <w:b/>
                <w:color w:val="000000"/>
                <w:sz w:val="20"/>
                <w:szCs w:val="20"/>
              </w:rPr>
            </w:pPr>
            <w:r>
              <w:rPr>
                <w:b/>
                <w:color w:val="000000"/>
                <w:sz w:val="20"/>
                <w:szCs w:val="20"/>
              </w:rPr>
              <w:t>5</w:t>
            </w:r>
          </w:p>
        </w:tc>
        <w:tc>
          <w:tcPr>
            <w:tcW w:w="454" w:type="pct"/>
            <w:vAlign w:val="center"/>
          </w:tcPr>
          <w:p w:rsidR="0055491A" w:rsidRPr="001F0769" w:rsidRDefault="0055491A" w:rsidP="00210BF6">
            <w:pPr>
              <w:ind w:firstLine="0"/>
              <w:contextualSpacing/>
              <w:jc w:val="center"/>
              <w:rPr>
                <w:b/>
                <w:color w:val="000000"/>
                <w:sz w:val="20"/>
                <w:szCs w:val="20"/>
              </w:rPr>
            </w:pPr>
          </w:p>
        </w:tc>
        <w:tc>
          <w:tcPr>
            <w:tcW w:w="372" w:type="pct"/>
            <w:vAlign w:val="center"/>
          </w:tcPr>
          <w:p w:rsidR="0055491A" w:rsidRPr="001F0769" w:rsidRDefault="0055491A" w:rsidP="00210BF6">
            <w:pPr>
              <w:ind w:firstLine="0"/>
              <w:contextualSpacing/>
              <w:jc w:val="center"/>
              <w:rPr>
                <w:b/>
                <w:color w:val="000000"/>
                <w:sz w:val="20"/>
                <w:szCs w:val="20"/>
              </w:rPr>
            </w:pPr>
            <w:r>
              <w:rPr>
                <w:b/>
                <w:color w:val="000000"/>
                <w:sz w:val="20"/>
                <w:szCs w:val="20"/>
              </w:rPr>
              <w:t>5</w:t>
            </w:r>
          </w:p>
        </w:tc>
      </w:tr>
      <w:tr w:rsidR="0055491A" w:rsidRPr="00F564B2" w:rsidTr="00210BF6">
        <w:trPr>
          <w:trHeight w:val="346"/>
        </w:trPr>
        <w:tc>
          <w:tcPr>
            <w:tcW w:w="523" w:type="pct"/>
            <w:gridSpan w:val="2"/>
            <w:vAlign w:val="center"/>
          </w:tcPr>
          <w:p w:rsidR="0055491A" w:rsidRPr="006C469E" w:rsidRDefault="0055491A" w:rsidP="00210BF6">
            <w:pPr>
              <w:ind w:firstLine="0"/>
              <w:contextualSpacing/>
              <w:jc w:val="center"/>
              <w:rPr>
                <w:bCs/>
                <w:sz w:val="16"/>
                <w:szCs w:val="16"/>
              </w:rPr>
            </w:pPr>
          </w:p>
          <w:p w:rsidR="0055491A" w:rsidRPr="006C469E" w:rsidRDefault="0055491A" w:rsidP="00210BF6">
            <w:pPr>
              <w:ind w:firstLine="0"/>
              <w:contextualSpacing/>
              <w:jc w:val="center"/>
              <w:rPr>
                <w:bCs/>
                <w:sz w:val="16"/>
                <w:szCs w:val="16"/>
              </w:rPr>
            </w:pPr>
            <w:r>
              <w:rPr>
                <w:bCs/>
                <w:sz w:val="16"/>
                <w:szCs w:val="16"/>
              </w:rPr>
              <w:t>С</w:t>
            </w:r>
            <w:r w:rsidRPr="006C469E">
              <w:rPr>
                <w:bCs/>
                <w:sz w:val="16"/>
                <w:szCs w:val="16"/>
              </w:rPr>
              <w:t>т.19.</w:t>
            </w:r>
            <w:r>
              <w:rPr>
                <w:bCs/>
                <w:sz w:val="16"/>
                <w:szCs w:val="16"/>
              </w:rPr>
              <w:t>5</w:t>
            </w:r>
          </w:p>
          <w:p w:rsidR="0055491A" w:rsidRPr="006C469E" w:rsidRDefault="0055491A" w:rsidP="00210BF6">
            <w:pPr>
              <w:ind w:firstLine="0"/>
              <w:contextualSpacing/>
              <w:jc w:val="center"/>
              <w:rPr>
                <w:bCs/>
                <w:sz w:val="16"/>
                <w:szCs w:val="16"/>
              </w:rPr>
            </w:pPr>
          </w:p>
        </w:tc>
        <w:tc>
          <w:tcPr>
            <w:tcW w:w="322" w:type="pct"/>
            <w:gridSpan w:val="2"/>
            <w:vAlign w:val="center"/>
          </w:tcPr>
          <w:p w:rsidR="0055491A" w:rsidRPr="002D6C3D" w:rsidRDefault="0055491A" w:rsidP="00210BF6">
            <w:pPr>
              <w:ind w:firstLine="0"/>
              <w:contextualSpacing/>
              <w:jc w:val="center"/>
              <w:rPr>
                <w:bCs/>
                <w:sz w:val="16"/>
                <w:szCs w:val="16"/>
              </w:rPr>
            </w:pPr>
          </w:p>
          <w:p w:rsidR="0055491A" w:rsidRPr="002D6C3D" w:rsidRDefault="0055491A" w:rsidP="00210BF6">
            <w:pPr>
              <w:ind w:firstLine="0"/>
              <w:contextualSpacing/>
              <w:jc w:val="center"/>
              <w:rPr>
                <w:bCs/>
                <w:sz w:val="16"/>
                <w:szCs w:val="16"/>
              </w:rPr>
            </w:pPr>
            <w:r w:rsidRPr="002D6C3D">
              <w:rPr>
                <w:bCs/>
                <w:sz w:val="16"/>
                <w:szCs w:val="16"/>
              </w:rPr>
              <w:t>10</w:t>
            </w:r>
          </w:p>
        </w:tc>
        <w:tc>
          <w:tcPr>
            <w:tcW w:w="292" w:type="pct"/>
            <w:gridSpan w:val="2"/>
            <w:vAlign w:val="center"/>
          </w:tcPr>
          <w:p w:rsidR="0055491A" w:rsidRDefault="0055491A" w:rsidP="00210BF6">
            <w:pPr>
              <w:ind w:firstLine="0"/>
              <w:contextualSpacing/>
              <w:jc w:val="center"/>
              <w:rPr>
                <w:bCs/>
                <w:sz w:val="16"/>
                <w:szCs w:val="16"/>
              </w:rPr>
            </w:pPr>
          </w:p>
          <w:p w:rsidR="0055491A" w:rsidRPr="006C469E" w:rsidRDefault="0055491A" w:rsidP="00210BF6">
            <w:pPr>
              <w:ind w:firstLine="0"/>
              <w:contextualSpacing/>
              <w:jc w:val="center"/>
              <w:rPr>
                <w:color w:val="000000"/>
                <w:sz w:val="16"/>
                <w:szCs w:val="16"/>
              </w:rPr>
            </w:pPr>
            <w:r>
              <w:rPr>
                <w:bCs/>
                <w:sz w:val="16"/>
                <w:szCs w:val="16"/>
              </w:rPr>
              <w:t>3</w:t>
            </w:r>
          </w:p>
        </w:tc>
        <w:tc>
          <w:tcPr>
            <w:tcW w:w="307" w:type="pct"/>
            <w:gridSpan w:val="2"/>
            <w:vAlign w:val="center"/>
          </w:tcPr>
          <w:p w:rsidR="0055491A" w:rsidRDefault="0055491A" w:rsidP="00210BF6">
            <w:pPr>
              <w:ind w:firstLine="0"/>
              <w:contextualSpacing/>
              <w:jc w:val="center"/>
              <w:rPr>
                <w:color w:val="000000"/>
                <w:sz w:val="16"/>
                <w:szCs w:val="16"/>
              </w:rPr>
            </w:pPr>
          </w:p>
          <w:p w:rsidR="0055491A" w:rsidRDefault="0055491A" w:rsidP="00210BF6">
            <w:pPr>
              <w:ind w:firstLine="0"/>
              <w:contextualSpacing/>
              <w:jc w:val="center"/>
              <w:rPr>
                <w:color w:val="000000"/>
                <w:sz w:val="16"/>
                <w:szCs w:val="16"/>
              </w:rPr>
            </w:pPr>
            <w:r>
              <w:rPr>
                <w:color w:val="000000"/>
                <w:sz w:val="16"/>
                <w:szCs w:val="16"/>
              </w:rPr>
              <w:t>2</w:t>
            </w:r>
          </w:p>
        </w:tc>
        <w:tc>
          <w:tcPr>
            <w:tcW w:w="256" w:type="pct"/>
            <w:vAlign w:val="center"/>
          </w:tcPr>
          <w:p w:rsidR="0055491A" w:rsidRDefault="0055491A" w:rsidP="00210BF6">
            <w:pPr>
              <w:ind w:firstLine="0"/>
              <w:contextualSpacing/>
              <w:jc w:val="center"/>
              <w:rPr>
                <w:bCs/>
                <w:sz w:val="16"/>
                <w:szCs w:val="16"/>
              </w:rPr>
            </w:pPr>
          </w:p>
          <w:p w:rsidR="0055491A" w:rsidRPr="002D6C3D" w:rsidRDefault="0055491A" w:rsidP="00210BF6">
            <w:pPr>
              <w:ind w:firstLine="0"/>
              <w:contextualSpacing/>
              <w:jc w:val="center"/>
              <w:rPr>
                <w:bCs/>
                <w:sz w:val="16"/>
                <w:szCs w:val="16"/>
              </w:rPr>
            </w:pPr>
            <w:r>
              <w:rPr>
                <w:bCs/>
                <w:sz w:val="16"/>
                <w:szCs w:val="16"/>
              </w:rPr>
              <w:t>0</w:t>
            </w:r>
          </w:p>
        </w:tc>
        <w:tc>
          <w:tcPr>
            <w:tcW w:w="444" w:type="pct"/>
            <w:vAlign w:val="center"/>
          </w:tcPr>
          <w:p w:rsidR="0055491A" w:rsidRDefault="0055491A" w:rsidP="00210BF6">
            <w:pPr>
              <w:ind w:firstLine="0"/>
              <w:contextualSpacing/>
              <w:jc w:val="center"/>
              <w:rPr>
                <w:bCs/>
                <w:sz w:val="16"/>
                <w:szCs w:val="16"/>
              </w:rPr>
            </w:pPr>
          </w:p>
          <w:p w:rsidR="0055491A" w:rsidRPr="006C469E" w:rsidRDefault="0055491A" w:rsidP="00210BF6">
            <w:pPr>
              <w:ind w:firstLine="0"/>
              <w:contextualSpacing/>
              <w:jc w:val="center"/>
              <w:rPr>
                <w:color w:val="000000"/>
                <w:sz w:val="16"/>
                <w:szCs w:val="16"/>
              </w:rPr>
            </w:pPr>
            <w:r>
              <w:rPr>
                <w:bCs/>
                <w:sz w:val="16"/>
                <w:szCs w:val="16"/>
              </w:rPr>
              <w:t>2</w:t>
            </w:r>
          </w:p>
        </w:tc>
        <w:tc>
          <w:tcPr>
            <w:tcW w:w="374" w:type="pct"/>
            <w:vAlign w:val="center"/>
          </w:tcPr>
          <w:p w:rsidR="0055491A" w:rsidRDefault="0055491A" w:rsidP="00210BF6">
            <w:pPr>
              <w:ind w:firstLine="0"/>
              <w:contextualSpacing/>
              <w:jc w:val="center"/>
              <w:rPr>
                <w:color w:val="000000"/>
                <w:sz w:val="16"/>
                <w:szCs w:val="16"/>
              </w:rPr>
            </w:pPr>
          </w:p>
          <w:p w:rsidR="0055491A" w:rsidRDefault="0055491A" w:rsidP="00210BF6">
            <w:pPr>
              <w:ind w:firstLine="0"/>
              <w:contextualSpacing/>
              <w:jc w:val="center"/>
              <w:rPr>
                <w:color w:val="000000"/>
                <w:sz w:val="16"/>
                <w:szCs w:val="16"/>
              </w:rPr>
            </w:pPr>
            <w:r>
              <w:rPr>
                <w:color w:val="000000"/>
                <w:sz w:val="16"/>
                <w:szCs w:val="16"/>
              </w:rPr>
              <w:t>20</w:t>
            </w:r>
          </w:p>
        </w:tc>
        <w:tc>
          <w:tcPr>
            <w:tcW w:w="454" w:type="pct"/>
            <w:vAlign w:val="center"/>
          </w:tcPr>
          <w:p w:rsidR="0055491A" w:rsidRDefault="0055491A" w:rsidP="00210BF6">
            <w:pPr>
              <w:ind w:firstLine="0"/>
              <w:contextualSpacing/>
              <w:jc w:val="center"/>
              <w:rPr>
                <w:bCs/>
                <w:sz w:val="16"/>
                <w:szCs w:val="16"/>
              </w:rPr>
            </w:pPr>
          </w:p>
          <w:p w:rsidR="0055491A" w:rsidRPr="002D6C3D" w:rsidRDefault="0055491A" w:rsidP="00210BF6">
            <w:pPr>
              <w:ind w:firstLine="0"/>
              <w:contextualSpacing/>
              <w:jc w:val="center"/>
              <w:rPr>
                <w:bCs/>
                <w:sz w:val="16"/>
                <w:szCs w:val="16"/>
              </w:rPr>
            </w:pPr>
            <w:r>
              <w:rPr>
                <w:bCs/>
                <w:sz w:val="16"/>
                <w:szCs w:val="16"/>
              </w:rPr>
              <w:t>1</w:t>
            </w:r>
          </w:p>
        </w:tc>
        <w:tc>
          <w:tcPr>
            <w:tcW w:w="374" w:type="pct"/>
            <w:vAlign w:val="center"/>
          </w:tcPr>
          <w:p w:rsidR="0055491A" w:rsidRDefault="0055491A" w:rsidP="00210BF6">
            <w:pPr>
              <w:ind w:firstLine="0"/>
              <w:contextualSpacing/>
              <w:jc w:val="center"/>
              <w:rPr>
                <w:color w:val="000000"/>
                <w:sz w:val="16"/>
                <w:szCs w:val="16"/>
              </w:rPr>
            </w:pPr>
          </w:p>
          <w:p w:rsidR="0055491A" w:rsidRDefault="0055491A" w:rsidP="00210BF6">
            <w:pPr>
              <w:ind w:firstLine="0"/>
              <w:contextualSpacing/>
              <w:jc w:val="center"/>
              <w:rPr>
                <w:color w:val="000000"/>
                <w:sz w:val="16"/>
                <w:szCs w:val="16"/>
              </w:rPr>
            </w:pPr>
            <w:r>
              <w:rPr>
                <w:color w:val="000000"/>
                <w:sz w:val="16"/>
                <w:szCs w:val="16"/>
              </w:rPr>
              <w:t>10</w:t>
            </w:r>
          </w:p>
        </w:tc>
        <w:tc>
          <w:tcPr>
            <w:tcW w:w="454" w:type="pct"/>
            <w:vAlign w:val="center"/>
          </w:tcPr>
          <w:p w:rsidR="0055491A" w:rsidRDefault="0055491A" w:rsidP="00210BF6">
            <w:pPr>
              <w:ind w:firstLine="0"/>
              <w:contextualSpacing/>
              <w:jc w:val="center"/>
              <w:rPr>
                <w:bCs/>
                <w:sz w:val="16"/>
                <w:szCs w:val="16"/>
              </w:rPr>
            </w:pPr>
          </w:p>
          <w:p w:rsidR="0055491A" w:rsidRPr="002D6C3D" w:rsidRDefault="0055491A" w:rsidP="00210BF6">
            <w:pPr>
              <w:ind w:firstLine="0"/>
              <w:contextualSpacing/>
              <w:jc w:val="center"/>
              <w:rPr>
                <w:bCs/>
                <w:sz w:val="16"/>
                <w:szCs w:val="16"/>
              </w:rPr>
            </w:pPr>
            <w:r>
              <w:rPr>
                <w:bCs/>
                <w:sz w:val="16"/>
                <w:szCs w:val="16"/>
              </w:rPr>
              <w:t>1</w:t>
            </w:r>
          </w:p>
        </w:tc>
        <w:tc>
          <w:tcPr>
            <w:tcW w:w="374" w:type="pct"/>
            <w:vAlign w:val="center"/>
          </w:tcPr>
          <w:p w:rsidR="0055491A" w:rsidRDefault="0055491A" w:rsidP="00210BF6">
            <w:pPr>
              <w:ind w:firstLine="0"/>
              <w:contextualSpacing/>
              <w:jc w:val="center"/>
              <w:rPr>
                <w:color w:val="000000"/>
                <w:sz w:val="16"/>
                <w:szCs w:val="16"/>
              </w:rPr>
            </w:pPr>
          </w:p>
          <w:p w:rsidR="0055491A" w:rsidRDefault="0055491A" w:rsidP="00210BF6">
            <w:pPr>
              <w:ind w:firstLine="0"/>
              <w:contextualSpacing/>
              <w:jc w:val="center"/>
              <w:rPr>
                <w:color w:val="000000"/>
                <w:sz w:val="16"/>
                <w:szCs w:val="16"/>
              </w:rPr>
            </w:pPr>
            <w:r>
              <w:rPr>
                <w:color w:val="000000"/>
                <w:sz w:val="16"/>
                <w:szCs w:val="16"/>
              </w:rPr>
              <w:t>10</w:t>
            </w:r>
          </w:p>
        </w:tc>
        <w:tc>
          <w:tcPr>
            <w:tcW w:w="454" w:type="pct"/>
            <w:vAlign w:val="center"/>
          </w:tcPr>
          <w:p w:rsidR="0055491A" w:rsidRDefault="0055491A" w:rsidP="00210BF6">
            <w:pPr>
              <w:ind w:firstLine="0"/>
              <w:contextualSpacing/>
              <w:jc w:val="center"/>
              <w:rPr>
                <w:bCs/>
                <w:sz w:val="16"/>
                <w:szCs w:val="16"/>
              </w:rPr>
            </w:pPr>
          </w:p>
          <w:p w:rsidR="0055491A" w:rsidRPr="002D6C3D" w:rsidRDefault="0055491A" w:rsidP="00210BF6">
            <w:pPr>
              <w:ind w:firstLine="0"/>
              <w:contextualSpacing/>
              <w:jc w:val="center"/>
              <w:rPr>
                <w:bCs/>
                <w:sz w:val="16"/>
                <w:szCs w:val="16"/>
              </w:rPr>
            </w:pPr>
            <w:r>
              <w:rPr>
                <w:bCs/>
                <w:sz w:val="16"/>
                <w:szCs w:val="16"/>
              </w:rPr>
              <w:t>1</w:t>
            </w:r>
          </w:p>
        </w:tc>
        <w:tc>
          <w:tcPr>
            <w:tcW w:w="372" w:type="pct"/>
            <w:vAlign w:val="center"/>
          </w:tcPr>
          <w:p w:rsidR="0055491A" w:rsidRDefault="0055491A" w:rsidP="00210BF6">
            <w:pPr>
              <w:ind w:firstLine="0"/>
              <w:contextualSpacing/>
              <w:jc w:val="center"/>
              <w:rPr>
                <w:color w:val="000000"/>
                <w:sz w:val="16"/>
                <w:szCs w:val="16"/>
              </w:rPr>
            </w:pPr>
          </w:p>
          <w:p w:rsidR="0055491A" w:rsidRDefault="0055491A" w:rsidP="00210BF6">
            <w:pPr>
              <w:ind w:firstLine="0"/>
              <w:contextualSpacing/>
              <w:jc w:val="center"/>
              <w:rPr>
                <w:color w:val="000000"/>
                <w:sz w:val="16"/>
                <w:szCs w:val="16"/>
              </w:rPr>
            </w:pPr>
            <w:r>
              <w:rPr>
                <w:color w:val="000000"/>
                <w:sz w:val="16"/>
                <w:szCs w:val="16"/>
              </w:rPr>
              <w:t>10</w:t>
            </w:r>
          </w:p>
        </w:tc>
      </w:tr>
      <w:tr w:rsidR="0055491A" w:rsidRPr="00F564B2" w:rsidTr="00210BF6">
        <w:trPr>
          <w:trHeight w:val="1092"/>
        </w:trPr>
        <w:tc>
          <w:tcPr>
            <w:tcW w:w="845" w:type="pct"/>
            <w:gridSpan w:val="4"/>
            <w:vAlign w:val="center"/>
          </w:tcPr>
          <w:p w:rsidR="0055491A" w:rsidRPr="00D068C3" w:rsidRDefault="0055491A" w:rsidP="00210BF6">
            <w:pPr>
              <w:ind w:firstLine="0"/>
              <w:contextualSpacing/>
              <w:jc w:val="center"/>
              <w:rPr>
                <w:b/>
                <w:color w:val="FF0000"/>
                <w:sz w:val="16"/>
                <w:szCs w:val="16"/>
              </w:rPr>
            </w:pPr>
            <w:r w:rsidRPr="00D068C3">
              <w:rPr>
                <w:b/>
                <w:bCs/>
                <w:sz w:val="18"/>
                <w:szCs w:val="18"/>
              </w:rPr>
              <w:t xml:space="preserve">Итого в </w:t>
            </w:r>
            <w:r w:rsidRPr="00D068C3">
              <w:rPr>
                <w:b/>
                <w:sz w:val="18"/>
                <w:szCs w:val="18"/>
              </w:rPr>
              <w:t>областной бюджет Тверской области</w:t>
            </w:r>
            <w:r>
              <w:rPr>
                <w:b/>
                <w:sz w:val="18"/>
                <w:szCs w:val="18"/>
              </w:rPr>
              <w:t xml:space="preserve"> норматив 50 %</w:t>
            </w:r>
          </w:p>
        </w:tc>
        <w:tc>
          <w:tcPr>
            <w:tcW w:w="292" w:type="pct"/>
            <w:gridSpan w:val="2"/>
            <w:vAlign w:val="center"/>
          </w:tcPr>
          <w:p w:rsidR="0055491A" w:rsidRDefault="0055491A" w:rsidP="00210BF6">
            <w:pPr>
              <w:ind w:firstLine="0"/>
              <w:contextualSpacing/>
              <w:jc w:val="center"/>
              <w:rPr>
                <w:color w:val="000000"/>
                <w:sz w:val="20"/>
                <w:szCs w:val="20"/>
              </w:rPr>
            </w:pPr>
          </w:p>
        </w:tc>
        <w:tc>
          <w:tcPr>
            <w:tcW w:w="307" w:type="pct"/>
            <w:gridSpan w:val="2"/>
            <w:vAlign w:val="center"/>
          </w:tcPr>
          <w:p w:rsidR="0055491A" w:rsidRDefault="0055491A" w:rsidP="00210BF6">
            <w:pPr>
              <w:ind w:firstLine="0"/>
              <w:contextualSpacing/>
              <w:jc w:val="center"/>
              <w:rPr>
                <w:color w:val="000000"/>
                <w:sz w:val="20"/>
                <w:szCs w:val="20"/>
              </w:rPr>
            </w:pPr>
          </w:p>
        </w:tc>
        <w:tc>
          <w:tcPr>
            <w:tcW w:w="256" w:type="pct"/>
            <w:vAlign w:val="center"/>
          </w:tcPr>
          <w:p w:rsidR="0055491A" w:rsidRDefault="0055491A" w:rsidP="00210BF6">
            <w:pPr>
              <w:ind w:firstLine="0"/>
              <w:contextualSpacing/>
              <w:jc w:val="center"/>
              <w:rPr>
                <w:color w:val="000000"/>
                <w:sz w:val="20"/>
                <w:szCs w:val="20"/>
              </w:rPr>
            </w:pPr>
          </w:p>
        </w:tc>
        <w:tc>
          <w:tcPr>
            <w:tcW w:w="444" w:type="pct"/>
            <w:vAlign w:val="center"/>
          </w:tcPr>
          <w:p w:rsidR="0055491A" w:rsidRDefault="0055491A" w:rsidP="00210BF6">
            <w:pPr>
              <w:ind w:firstLine="0"/>
              <w:contextualSpacing/>
              <w:jc w:val="center"/>
              <w:rPr>
                <w:color w:val="000000"/>
                <w:sz w:val="20"/>
                <w:szCs w:val="20"/>
              </w:rPr>
            </w:pPr>
          </w:p>
        </w:tc>
        <w:tc>
          <w:tcPr>
            <w:tcW w:w="374" w:type="pct"/>
            <w:vAlign w:val="center"/>
          </w:tcPr>
          <w:p w:rsidR="0055491A" w:rsidRPr="001F0769" w:rsidRDefault="0055491A" w:rsidP="00210BF6">
            <w:pPr>
              <w:ind w:firstLine="0"/>
              <w:contextualSpacing/>
              <w:jc w:val="center"/>
              <w:rPr>
                <w:b/>
                <w:color w:val="000000"/>
                <w:sz w:val="20"/>
                <w:szCs w:val="20"/>
              </w:rPr>
            </w:pPr>
            <w:r>
              <w:rPr>
                <w:b/>
                <w:color w:val="000000"/>
                <w:sz w:val="20"/>
                <w:szCs w:val="20"/>
              </w:rPr>
              <w:t>10</w:t>
            </w:r>
          </w:p>
        </w:tc>
        <w:tc>
          <w:tcPr>
            <w:tcW w:w="454" w:type="pct"/>
            <w:vAlign w:val="center"/>
          </w:tcPr>
          <w:p w:rsidR="0055491A" w:rsidRDefault="0055491A" w:rsidP="00210BF6">
            <w:pPr>
              <w:ind w:firstLine="0"/>
              <w:contextualSpacing/>
              <w:jc w:val="center"/>
              <w:rPr>
                <w:color w:val="000000"/>
                <w:sz w:val="20"/>
                <w:szCs w:val="20"/>
              </w:rPr>
            </w:pPr>
          </w:p>
        </w:tc>
        <w:tc>
          <w:tcPr>
            <w:tcW w:w="374" w:type="pct"/>
            <w:vAlign w:val="center"/>
          </w:tcPr>
          <w:p w:rsidR="0055491A" w:rsidRPr="001F0769" w:rsidRDefault="0055491A" w:rsidP="00210BF6">
            <w:pPr>
              <w:ind w:firstLine="0"/>
              <w:contextualSpacing/>
              <w:jc w:val="center"/>
              <w:rPr>
                <w:b/>
                <w:color w:val="000000"/>
                <w:sz w:val="20"/>
                <w:szCs w:val="20"/>
              </w:rPr>
            </w:pPr>
            <w:r>
              <w:rPr>
                <w:b/>
                <w:color w:val="000000"/>
                <w:sz w:val="20"/>
                <w:szCs w:val="20"/>
              </w:rPr>
              <w:t>5</w:t>
            </w:r>
          </w:p>
        </w:tc>
        <w:tc>
          <w:tcPr>
            <w:tcW w:w="454" w:type="pct"/>
            <w:vAlign w:val="center"/>
          </w:tcPr>
          <w:p w:rsidR="0055491A" w:rsidRPr="001F0769" w:rsidRDefault="0055491A" w:rsidP="00210BF6">
            <w:pPr>
              <w:ind w:firstLine="0"/>
              <w:contextualSpacing/>
              <w:jc w:val="center"/>
              <w:rPr>
                <w:b/>
                <w:color w:val="000000"/>
                <w:sz w:val="20"/>
                <w:szCs w:val="20"/>
              </w:rPr>
            </w:pPr>
          </w:p>
        </w:tc>
        <w:tc>
          <w:tcPr>
            <w:tcW w:w="374" w:type="pct"/>
            <w:vAlign w:val="center"/>
          </w:tcPr>
          <w:p w:rsidR="0055491A" w:rsidRPr="001F0769" w:rsidRDefault="0055491A" w:rsidP="00210BF6">
            <w:pPr>
              <w:ind w:firstLine="0"/>
              <w:contextualSpacing/>
              <w:jc w:val="center"/>
              <w:rPr>
                <w:b/>
                <w:color w:val="000000"/>
                <w:sz w:val="20"/>
                <w:szCs w:val="20"/>
              </w:rPr>
            </w:pPr>
            <w:r>
              <w:rPr>
                <w:b/>
                <w:color w:val="000000"/>
                <w:sz w:val="20"/>
                <w:szCs w:val="20"/>
              </w:rPr>
              <w:t>5</w:t>
            </w:r>
          </w:p>
        </w:tc>
        <w:tc>
          <w:tcPr>
            <w:tcW w:w="454" w:type="pct"/>
            <w:vAlign w:val="center"/>
          </w:tcPr>
          <w:p w:rsidR="0055491A" w:rsidRPr="001F0769" w:rsidRDefault="0055491A" w:rsidP="00210BF6">
            <w:pPr>
              <w:ind w:firstLine="0"/>
              <w:contextualSpacing/>
              <w:jc w:val="center"/>
              <w:rPr>
                <w:b/>
                <w:color w:val="000000"/>
                <w:sz w:val="20"/>
                <w:szCs w:val="20"/>
              </w:rPr>
            </w:pPr>
          </w:p>
        </w:tc>
        <w:tc>
          <w:tcPr>
            <w:tcW w:w="372" w:type="pct"/>
            <w:vAlign w:val="center"/>
          </w:tcPr>
          <w:p w:rsidR="0055491A" w:rsidRPr="001F0769" w:rsidRDefault="0055491A" w:rsidP="00210BF6">
            <w:pPr>
              <w:ind w:firstLine="0"/>
              <w:contextualSpacing/>
              <w:jc w:val="center"/>
              <w:rPr>
                <w:b/>
                <w:color w:val="000000"/>
                <w:sz w:val="20"/>
                <w:szCs w:val="20"/>
              </w:rPr>
            </w:pPr>
            <w:r>
              <w:rPr>
                <w:b/>
                <w:color w:val="000000"/>
                <w:sz w:val="20"/>
                <w:szCs w:val="20"/>
              </w:rPr>
              <w:t>5</w:t>
            </w:r>
          </w:p>
        </w:tc>
      </w:tr>
      <w:tr w:rsidR="0055491A" w:rsidRPr="00F564B2" w:rsidTr="00210BF6">
        <w:trPr>
          <w:trHeight w:val="274"/>
        </w:trPr>
        <w:tc>
          <w:tcPr>
            <w:tcW w:w="523" w:type="pct"/>
            <w:gridSpan w:val="2"/>
            <w:vAlign w:val="center"/>
          </w:tcPr>
          <w:p w:rsidR="0055491A" w:rsidRPr="006C469E" w:rsidRDefault="0055491A" w:rsidP="00210BF6">
            <w:pPr>
              <w:ind w:firstLine="0"/>
              <w:contextualSpacing/>
              <w:jc w:val="center"/>
              <w:rPr>
                <w:bCs/>
                <w:sz w:val="16"/>
                <w:szCs w:val="16"/>
              </w:rPr>
            </w:pPr>
          </w:p>
          <w:p w:rsidR="0055491A" w:rsidRPr="006C469E" w:rsidRDefault="0055491A" w:rsidP="00210BF6">
            <w:pPr>
              <w:ind w:firstLine="0"/>
              <w:contextualSpacing/>
              <w:jc w:val="center"/>
              <w:rPr>
                <w:bCs/>
                <w:sz w:val="16"/>
                <w:szCs w:val="16"/>
              </w:rPr>
            </w:pPr>
            <w:r>
              <w:rPr>
                <w:bCs/>
                <w:sz w:val="16"/>
                <w:szCs w:val="16"/>
              </w:rPr>
              <w:t>С</w:t>
            </w:r>
            <w:r w:rsidRPr="006C469E">
              <w:rPr>
                <w:bCs/>
                <w:sz w:val="16"/>
                <w:szCs w:val="16"/>
              </w:rPr>
              <w:t>т.19.</w:t>
            </w:r>
            <w:r>
              <w:rPr>
                <w:bCs/>
                <w:sz w:val="16"/>
                <w:szCs w:val="16"/>
              </w:rPr>
              <w:t>5</w:t>
            </w:r>
          </w:p>
          <w:p w:rsidR="0055491A" w:rsidRPr="006C469E" w:rsidRDefault="0055491A" w:rsidP="00210BF6">
            <w:pPr>
              <w:ind w:firstLine="0"/>
              <w:contextualSpacing/>
              <w:jc w:val="center"/>
              <w:rPr>
                <w:bCs/>
                <w:sz w:val="16"/>
                <w:szCs w:val="16"/>
              </w:rPr>
            </w:pPr>
          </w:p>
        </w:tc>
        <w:tc>
          <w:tcPr>
            <w:tcW w:w="322" w:type="pct"/>
            <w:gridSpan w:val="2"/>
            <w:vAlign w:val="center"/>
          </w:tcPr>
          <w:p w:rsidR="0055491A" w:rsidRPr="002D6C3D" w:rsidRDefault="0055491A" w:rsidP="00210BF6">
            <w:pPr>
              <w:ind w:firstLine="0"/>
              <w:contextualSpacing/>
              <w:jc w:val="center"/>
              <w:rPr>
                <w:bCs/>
                <w:sz w:val="16"/>
                <w:szCs w:val="16"/>
              </w:rPr>
            </w:pPr>
          </w:p>
          <w:p w:rsidR="0055491A" w:rsidRPr="002D6C3D" w:rsidRDefault="0055491A" w:rsidP="00210BF6">
            <w:pPr>
              <w:ind w:firstLine="0"/>
              <w:contextualSpacing/>
              <w:jc w:val="center"/>
              <w:rPr>
                <w:bCs/>
                <w:sz w:val="16"/>
                <w:szCs w:val="16"/>
              </w:rPr>
            </w:pPr>
            <w:r>
              <w:rPr>
                <w:bCs/>
                <w:sz w:val="16"/>
                <w:szCs w:val="16"/>
              </w:rPr>
              <w:t>20</w:t>
            </w:r>
          </w:p>
        </w:tc>
        <w:tc>
          <w:tcPr>
            <w:tcW w:w="292" w:type="pct"/>
            <w:gridSpan w:val="2"/>
            <w:vAlign w:val="center"/>
          </w:tcPr>
          <w:p w:rsidR="0055491A" w:rsidRDefault="0055491A" w:rsidP="00210BF6">
            <w:pPr>
              <w:ind w:firstLine="0"/>
              <w:contextualSpacing/>
              <w:jc w:val="center"/>
              <w:rPr>
                <w:bCs/>
                <w:sz w:val="16"/>
                <w:szCs w:val="16"/>
              </w:rPr>
            </w:pPr>
          </w:p>
          <w:p w:rsidR="0055491A" w:rsidRPr="006C469E" w:rsidRDefault="0055491A" w:rsidP="00210BF6">
            <w:pPr>
              <w:ind w:firstLine="0"/>
              <w:contextualSpacing/>
              <w:jc w:val="center"/>
              <w:rPr>
                <w:color w:val="000000"/>
                <w:sz w:val="16"/>
                <w:szCs w:val="16"/>
              </w:rPr>
            </w:pPr>
            <w:r w:rsidRPr="002D6C3D">
              <w:rPr>
                <w:bCs/>
                <w:sz w:val="16"/>
                <w:szCs w:val="16"/>
              </w:rPr>
              <w:t>0</w:t>
            </w:r>
          </w:p>
        </w:tc>
        <w:tc>
          <w:tcPr>
            <w:tcW w:w="307" w:type="pct"/>
            <w:gridSpan w:val="2"/>
            <w:vAlign w:val="center"/>
          </w:tcPr>
          <w:p w:rsidR="0055491A" w:rsidRDefault="0055491A" w:rsidP="00210BF6">
            <w:pPr>
              <w:ind w:firstLine="0"/>
              <w:contextualSpacing/>
              <w:jc w:val="center"/>
              <w:rPr>
                <w:color w:val="000000"/>
                <w:sz w:val="16"/>
                <w:szCs w:val="16"/>
              </w:rPr>
            </w:pPr>
          </w:p>
          <w:p w:rsidR="0055491A" w:rsidRDefault="0055491A" w:rsidP="00210BF6">
            <w:pPr>
              <w:ind w:firstLine="0"/>
              <w:contextualSpacing/>
              <w:jc w:val="center"/>
              <w:rPr>
                <w:color w:val="000000"/>
                <w:sz w:val="16"/>
                <w:szCs w:val="16"/>
              </w:rPr>
            </w:pPr>
            <w:r>
              <w:rPr>
                <w:color w:val="000000"/>
                <w:sz w:val="16"/>
                <w:szCs w:val="16"/>
              </w:rPr>
              <w:t>2</w:t>
            </w:r>
          </w:p>
        </w:tc>
        <w:tc>
          <w:tcPr>
            <w:tcW w:w="256" w:type="pct"/>
            <w:vAlign w:val="center"/>
          </w:tcPr>
          <w:p w:rsidR="0055491A" w:rsidRDefault="0055491A" w:rsidP="00210BF6">
            <w:pPr>
              <w:ind w:firstLine="0"/>
              <w:contextualSpacing/>
              <w:jc w:val="center"/>
              <w:rPr>
                <w:bCs/>
                <w:sz w:val="16"/>
                <w:szCs w:val="16"/>
              </w:rPr>
            </w:pPr>
          </w:p>
          <w:p w:rsidR="0055491A" w:rsidRPr="002D6C3D" w:rsidRDefault="0055491A" w:rsidP="00210BF6">
            <w:pPr>
              <w:ind w:firstLine="0"/>
              <w:contextualSpacing/>
              <w:jc w:val="center"/>
              <w:rPr>
                <w:bCs/>
                <w:sz w:val="16"/>
                <w:szCs w:val="16"/>
              </w:rPr>
            </w:pPr>
            <w:r>
              <w:rPr>
                <w:bCs/>
                <w:sz w:val="16"/>
                <w:szCs w:val="16"/>
              </w:rPr>
              <w:t>0</w:t>
            </w:r>
          </w:p>
        </w:tc>
        <w:tc>
          <w:tcPr>
            <w:tcW w:w="444" w:type="pct"/>
            <w:vAlign w:val="center"/>
          </w:tcPr>
          <w:p w:rsidR="0055491A" w:rsidRDefault="0055491A" w:rsidP="00210BF6">
            <w:pPr>
              <w:ind w:firstLine="0"/>
              <w:contextualSpacing/>
              <w:jc w:val="center"/>
              <w:rPr>
                <w:bCs/>
                <w:sz w:val="16"/>
                <w:szCs w:val="16"/>
              </w:rPr>
            </w:pPr>
          </w:p>
          <w:p w:rsidR="0055491A" w:rsidRPr="006C469E" w:rsidRDefault="0055491A" w:rsidP="00210BF6">
            <w:pPr>
              <w:ind w:firstLine="0"/>
              <w:contextualSpacing/>
              <w:jc w:val="center"/>
              <w:rPr>
                <w:color w:val="000000"/>
                <w:sz w:val="16"/>
                <w:szCs w:val="16"/>
              </w:rPr>
            </w:pPr>
            <w:r>
              <w:rPr>
                <w:bCs/>
                <w:sz w:val="16"/>
                <w:szCs w:val="16"/>
              </w:rPr>
              <w:t>1</w:t>
            </w:r>
          </w:p>
        </w:tc>
        <w:tc>
          <w:tcPr>
            <w:tcW w:w="374" w:type="pct"/>
            <w:vAlign w:val="center"/>
          </w:tcPr>
          <w:p w:rsidR="0055491A" w:rsidRDefault="0055491A" w:rsidP="00210BF6">
            <w:pPr>
              <w:ind w:firstLine="0"/>
              <w:contextualSpacing/>
              <w:jc w:val="center"/>
              <w:rPr>
                <w:color w:val="000000"/>
                <w:sz w:val="16"/>
                <w:szCs w:val="16"/>
              </w:rPr>
            </w:pPr>
          </w:p>
          <w:p w:rsidR="0055491A" w:rsidRDefault="0055491A" w:rsidP="00210BF6">
            <w:pPr>
              <w:ind w:firstLine="0"/>
              <w:contextualSpacing/>
              <w:jc w:val="center"/>
              <w:rPr>
                <w:color w:val="000000"/>
                <w:sz w:val="16"/>
                <w:szCs w:val="16"/>
              </w:rPr>
            </w:pPr>
            <w:r>
              <w:rPr>
                <w:color w:val="000000"/>
                <w:sz w:val="16"/>
                <w:szCs w:val="16"/>
              </w:rPr>
              <w:t>20</w:t>
            </w:r>
          </w:p>
        </w:tc>
        <w:tc>
          <w:tcPr>
            <w:tcW w:w="454" w:type="pct"/>
            <w:vAlign w:val="center"/>
          </w:tcPr>
          <w:p w:rsidR="0055491A" w:rsidRDefault="0055491A" w:rsidP="00210BF6">
            <w:pPr>
              <w:ind w:firstLine="0"/>
              <w:contextualSpacing/>
              <w:jc w:val="center"/>
              <w:rPr>
                <w:bCs/>
                <w:sz w:val="16"/>
                <w:szCs w:val="16"/>
              </w:rPr>
            </w:pPr>
          </w:p>
          <w:p w:rsidR="0055491A" w:rsidRPr="002D6C3D" w:rsidRDefault="0055491A" w:rsidP="00210BF6">
            <w:pPr>
              <w:ind w:firstLine="0"/>
              <w:contextualSpacing/>
              <w:jc w:val="center"/>
              <w:rPr>
                <w:bCs/>
                <w:sz w:val="16"/>
                <w:szCs w:val="16"/>
              </w:rPr>
            </w:pPr>
            <w:r>
              <w:rPr>
                <w:bCs/>
                <w:sz w:val="16"/>
                <w:szCs w:val="16"/>
              </w:rPr>
              <w:t>1</w:t>
            </w:r>
          </w:p>
        </w:tc>
        <w:tc>
          <w:tcPr>
            <w:tcW w:w="374" w:type="pct"/>
            <w:vAlign w:val="center"/>
          </w:tcPr>
          <w:p w:rsidR="0055491A" w:rsidRDefault="0055491A" w:rsidP="00210BF6">
            <w:pPr>
              <w:ind w:firstLine="0"/>
              <w:contextualSpacing/>
              <w:jc w:val="center"/>
              <w:rPr>
                <w:color w:val="000000"/>
                <w:sz w:val="16"/>
                <w:szCs w:val="16"/>
              </w:rPr>
            </w:pPr>
          </w:p>
          <w:p w:rsidR="0055491A" w:rsidRDefault="0055491A" w:rsidP="00210BF6">
            <w:pPr>
              <w:ind w:firstLine="0"/>
              <w:contextualSpacing/>
              <w:jc w:val="center"/>
              <w:rPr>
                <w:color w:val="000000"/>
                <w:sz w:val="16"/>
                <w:szCs w:val="16"/>
              </w:rPr>
            </w:pPr>
            <w:r>
              <w:rPr>
                <w:color w:val="000000"/>
                <w:sz w:val="16"/>
                <w:szCs w:val="16"/>
              </w:rPr>
              <w:t>20</w:t>
            </w:r>
          </w:p>
        </w:tc>
        <w:tc>
          <w:tcPr>
            <w:tcW w:w="454" w:type="pct"/>
            <w:vAlign w:val="center"/>
          </w:tcPr>
          <w:p w:rsidR="0055491A" w:rsidRDefault="0055491A" w:rsidP="00210BF6">
            <w:pPr>
              <w:ind w:firstLine="0"/>
              <w:contextualSpacing/>
              <w:jc w:val="center"/>
              <w:rPr>
                <w:bCs/>
                <w:sz w:val="16"/>
                <w:szCs w:val="16"/>
              </w:rPr>
            </w:pPr>
          </w:p>
          <w:p w:rsidR="0055491A" w:rsidRPr="002D6C3D" w:rsidRDefault="0055491A" w:rsidP="00210BF6">
            <w:pPr>
              <w:ind w:firstLine="0"/>
              <w:contextualSpacing/>
              <w:jc w:val="center"/>
              <w:rPr>
                <w:bCs/>
                <w:sz w:val="16"/>
                <w:szCs w:val="16"/>
              </w:rPr>
            </w:pPr>
            <w:r>
              <w:rPr>
                <w:bCs/>
                <w:sz w:val="16"/>
                <w:szCs w:val="16"/>
              </w:rPr>
              <w:t>1</w:t>
            </w:r>
          </w:p>
        </w:tc>
        <w:tc>
          <w:tcPr>
            <w:tcW w:w="374" w:type="pct"/>
            <w:vAlign w:val="center"/>
          </w:tcPr>
          <w:p w:rsidR="0055491A" w:rsidRDefault="0055491A" w:rsidP="00210BF6">
            <w:pPr>
              <w:ind w:firstLine="0"/>
              <w:contextualSpacing/>
              <w:jc w:val="center"/>
              <w:rPr>
                <w:color w:val="000000"/>
                <w:sz w:val="16"/>
                <w:szCs w:val="16"/>
              </w:rPr>
            </w:pPr>
          </w:p>
          <w:p w:rsidR="0055491A" w:rsidRDefault="0055491A" w:rsidP="00210BF6">
            <w:pPr>
              <w:ind w:firstLine="0"/>
              <w:contextualSpacing/>
              <w:jc w:val="center"/>
              <w:rPr>
                <w:color w:val="000000"/>
                <w:sz w:val="16"/>
                <w:szCs w:val="16"/>
              </w:rPr>
            </w:pPr>
            <w:r>
              <w:rPr>
                <w:color w:val="000000"/>
                <w:sz w:val="16"/>
                <w:szCs w:val="16"/>
              </w:rPr>
              <w:t>20</w:t>
            </w:r>
          </w:p>
        </w:tc>
        <w:tc>
          <w:tcPr>
            <w:tcW w:w="454" w:type="pct"/>
            <w:vAlign w:val="center"/>
          </w:tcPr>
          <w:p w:rsidR="0055491A" w:rsidRDefault="0055491A" w:rsidP="00210BF6">
            <w:pPr>
              <w:ind w:firstLine="0"/>
              <w:contextualSpacing/>
              <w:jc w:val="center"/>
              <w:rPr>
                <w:bCs/>
                <w:sz w:val="16"/>
                <w:szCs w:val="16"/>
              </w:rPr>
            </w:pPr>
          </w:p>
          <w:p w:rsidR="0055491A" w:rsidRPr="002D6C3D" w:rsidRDefault="0055491A" w:rsidP="00210BF6">
            <w:pPr>
              <w:ind w:firstLine="0"/>
              <w:contextualSpacing/>
              <w:jc w:val="center"/>
              <w:rPr>
                <w:bCs/>
                <w:sz w:val="16"/>
                <w:szCs w:val="16"/>
              </w:rPr>
            </w:pPr>
            <w:r>
              <w:rPr>
                <w:bCs/>
                <w:sz w:val="16"/>
                <w:szCs w:val="16"/>
              </w:rPr>
              <w:t>1</w:t>
            </w:r>
          </w:p>
        </w:tc>
        <w:tc>
          <w:tcPr>
            <w:tcW w:w="372" w:type="pct"/>
            <w:vAlign w:val="center"/>
          </w:tcPr>
          <w:p w:rsidR="0055491A" w:rsidRDefault="0055491A" w:rsidP="00210BF6">
            <w:pPr>
              <w:ind w:firstLine="0"/>
              <w:contextualSpacing/>
              <w:jc w:val="center"/>
              <w:rPr>
                <w:color w:val="000000"/>
                <w:sz w:val="16"/>
                <w:szCs w:val="16"/>
              </w:rPr>
            </w:pPr>
          </w:p>
          <w:p w:rsidR="0055491A" w:rsidRDefault="0055491A" w:rsidP="00210BF6">
            <w:pPr>
              <w:ind w:firstLine="0"/>
              <w:contextualSpacing/>
              <w:jc w:val="center"/>
              <w:rPr>
                <w:color w:val="000000"/>
                <w:sz w:val="16"/>
                <w:szCs w:val="16"/>
              </w:rPr>
            </w:pPr>
            <w:r>
              <w:rPr>
                <w:color w:val="000000"/>
                <w:sz w:val="16"/>
                <w:szCs w:val="16"/>
              </w:rPr>
              <w:t>20</w:t>
            </w:r>
          </w:p>
        </w:tc>
      </w:tr>
      <w:tr w:rsidR="0055491A" w:rsidRPr="00F564B2" w:rsidTr="00210BF6">
        <w:trPr>
          <w:trHeight w:val="274"/>
        </w:trPr>
        <w:tc>
          <w:tcPr>
            <w:tcW w:w="845" w:type="pct"/>
            <w:gridSpan w:val="4"/>
            <w:vAlign w:val="center"/>
          </w:tcPr>
          <w:p w:rsidR="0055491A" w:rsidRPr="00D068C3" w:rsidRDefault="0055491A" w:rsidP="00210BF6">
            <w:pPr>
              <w:ind w:firstLine="0"/>
              <w:contextualSpacing/>
              <w:jc w:val="center"/>
              <w:rPr>
                <w:b/>
                <w:color w:val="FF0000"/>
                <w:sz w:val="16"/>
                <w:szCs w:val="16"/>
              </w:rPr>
            </w:pPr>
            <w:r w:rsidRPr="00D068C3">
              <w:rPr>
                <w:b/>
                <w:sz w:val="18"/>
                <w:szCs w:val="18"/>
              </w:rPr>
              <w:t>Итого в областной бюджет Тверской области</w:t>
            </w:r>
            <w:r>
              <w:rPr>
                <w:b/>
                <w:sz w:val="18"/>
                <w:szCs w:val="18"/>
              </w:rPr>
              <w:t xml:space="preserve"> норматив 50%</w:t>
            </w:r>
          </w:p>
        </w:tc>
        <w:tc>
          <w:tcPr>
            <w:tcW w:w="292" w:type="pct"/>
            <w:gridSpan w:val="2"/>
            <w:vAlign w:val="center"/>
          </w:tcPr>
          <w:p w:rsidR="0055491A" w:rsidRPr="0020421E" w:rsidRDefault="0055491A" w:rsidP="00210BF6">
            <w:pPr>
              <w:ind w:firstLine="0"/>
              <w:contextualSpacing/>
              <w:jc w:val="center"/>
              <w:rPr>
                <w:color w:val="000000"/>
                <w:sz w:val="16"/>
                <w:szCs w:val="16"/>
              </w:rPr>
            </w:pPr>
          </w:p>
        </w:tc>
        <w:tc>
          <w:tcPr>
            <w:tcW w:w="307" w:type="pct"/>
            <w:gridSpan w:val="2"/>
            <w:vAlign w:val="center"/>
          </w:tcPr>
          <w:p w:rsidR="0055491A" w:rsidRPr="0020421E" w:rsidRDefault="0055491A" w:rsidP="00210BF6">
            <w:pPr>
              <w:ind w:firstLine="0"/>
              <w:contextualSpacing/>
              <w:jc w:val="center"/>
              <w:rPr>
                <w:color w:val="000000"/>
                <w:sz w:val="16"/>
                <w:szCs w:val="16"/>
              </w:rPr>
            </w:pPr>
          </w:p>
        </w:tc>
        <w:tc>
          <w:tcPr>
            <w:tcW w:w="256" w:type="pct"/>
            <w:vAlign w:val="center"/>
          </w:tcPr>
          <w:p w:rsidR="0055491A" w:rsidRPr="0020421E" w:rsidRDefault="0055491A" w:rsidP="00210BF6">
            <w:pPr>
              <w:ind w:firstLine="0"/>
              <w:contextualSpacing/>
              <w:jc w:val="center"/>
              <w:rPr>
                <w:color w:val="000000"/>
                <w:sz w:val="16"/>
                <w:szCs w:val="16"/>
              </w:rPr>
            </w:pPr>
          </w:p>
        </w:tc>
        <w:tc>
          <w:tcPr>
            <w:tcW w:w="444" w:type="pct"/>
            <w:vAlign w:val="center"/>
          </w:tcPr>
          <w:p w:rsidR="0055491A" w:rsidRPr="0020421E" w:rsidRDefault="0055491A" w:rsidP="00210BF6">
            <w:pPr>
              <w:ind w:firstLine="0"/>
              <w:contextualSpacing/>
              <w:jc w:val="center"/>
              <w:rPr>
                <w:color w:val="000000"/>
                <w:sz w:val="16"/>
                <w:szCs w:val="16"/>
              </w:rPr>
            </w:pPr>
          </w:p>
        </w:tc>
        <w:tc>
          <w:tcPr>
            <w:tcW w:w="374" w:type="pct"/>
            <w:vAlign w:val="center"/>
          </w:tcPr>
          <w:p w:rsidR="0055491A" w:rsidRPr="001F0769" w:rsidRDefault="0055491A" w:rsidP="00210BF6">
            <w:pPr>
              <w:ind w:firstLine="0"/>
              <w:contextualSpacing/>
              <w:jc w:val="center"/>
              <w:rPr>
                <w:b/>
                <w:color w:val="000000"/>
                <w:sz w:val="20"/>
                <w:szCs w:val="20"/>
              </w:rPr>
            </w:pPr>
            <w:r>
              <w:rPr>
                <w:b/>
                <w:color w:val="000000"/>
                <w:sz w:val="20"/>
                <w:szCs w:val="20"/>
              </w:rPr>
              <w:t>10</w:t>
            </w:r>
          </w:p>
        </w:tc>
        <w:tc>
          <w:tcPr>
            <w:tcW w:w="454" w:type="pct"/>
            <w:vAlign w:val="center"/>
          </w:tcPr>
          <w:p w:rsidR="0055491A" w:rsidRDefault="0055491A" w:rsidP="00210BF6">
            <w:pPr>
              <w:ind w:firstLine="0"/>
              <w:contextualSpacing/>
              <w:jc w:val="center"/>
              <w:rPr>
                <w:color w:val="000000"/>
                <w:sz w:val="20"/>
                <w:szCs w:val="20"/>
              </w:rPr>
            </w:pPr>
          </w:p>
        </w:tc>
        <w:tc>
          <w:tcPr>
            <w:tcW w:w="374" w:type="pct"/>
            <w:vAlign w:val="center"/>
          </w:tcPr>
          <w:p w:rsidR="0055491A" w:rsidRPr="001F0769" w:rsidRDefault="0055491A" w:rsidP="00210BF6">
            <w:pPr>
              <w:ind w:firstLine="0"/>
              <w:contextualSpacing/>
              <w:jc w:val="center"/>
              <w:rPr>
                <w:b/>
                <w:color w:val="000000"/>
                <w:sz w:val="20"/>
                <w:szCs w:val="20"/>
              </w:rPr>
            </w:pPr>
            <w:r>
              <w:rPr>
                <w:b/>
                <w:color w:val="000000"/>
                <w:sz w:val="20"/>
                <w:szCs w:val="20"/>
              </w:rPr>
              <w:t>10</w:t>
            </w:r>
          </w:p>
        </w:tc>
        <w:tc>
          <w:tcPr>
            <w:tcW w:w="454" w:type="pct"/>
            <w:vAlign w:val="center"/>
          </w:tcPr>
          <w:p w:rsidR="0055491A" w:rsidRPr="001F0769" w:rsidRDefault="0055491A" w:rsidP="00210BF6">
            <w:pPr>
              <w:ind w:firstLine="0"/>
              <w:contextualSpacing/>
              <w:jc w:val="center"/>
              <w:rPr>
                <w:b/>
                <w:color w:val="000000"/>
                <w:sz w:val="20"/>
                <w:szCs w:val="20"/>
              </w:rPr>
            </w:pPr>
          </w:p>
        </w:tc>
        <w:tc>
          <w:tcPr>
            <w:tcW w:w="374" w:type="pct"/>
            <w:vAlign w:val="center"/>
          </w:tcPr>
          <w:p w:rsidR="0055491A" w:rsidRPr="001F0769" w:rsidRDefault="0055491A" w:rsidP="00210BF6">
            <w:pPr>
              <w:ind w:firstLine="0"/>
              <w:contextualSpacing/>
              <w:jc w:val="center"/>
              <w:rPr>
                <w:b/>
                <w:color w:val="000000"/>
                <w:sz w:val="20"/>
                <w:szCs w:val="20"/>
              </w:rPr>
            </w:pPr>
            <w:r>
              <w:rPr>
                <w:b/>
                <w:color w:val="000000"/>
                <w:sz w:val="20"/>
                <w:szCs w:val="20"/>
              </w:rPr>
              <w:t>10</w:t>
            </w:r>
          </w:p>
        </w:tc>
        <w:tc>
          <w:tcPr>
            <w:tcW w:w="454" w:type="pct"/>
            <w:vAlign w:val="center"/>
          </w:tcPr>
          <w:p w:rsidR="0055491A" w:rsidRPr="001F0769" w:rsidRDefault="0055491A" w:rsidP="00210BF6">
            <w:pPr>
              <w:ind w:firstLine="0"/>
              <w:contextualSpacing/>
              <w:jc w:val="center"/>
              <w:rPr>
                <w:b/>
                <w:color w:val="000000"/>
                <w:sz w:val="20"/>
                <w:szCs w:val="20"/>
              </w:rPr>
            </w:pPr>
          </w:p>
        </w:tc>
        <w:tc>
          <w:tcPr>
            <w:tcW w:w="372" w:type="pct"/>
            <w:vAlign w:val="center"/>
          </w:tcPr>
          <w:p w:rsidR="0055491A" w:rsidRPr="001F0769" w:rsidRDefault="0055491A" w:rsidP="00210BF6">
            <w:pPr>
              <w:ind w:firstLine="0"/>
              <w:contextualSpacing/>
              <w:jc w:val="center"/>
              <w:rPr>
                <w:b/>
                <w:color w:val="000000"/>
                <w:sz w:val="20"/>
                <w:szCs w:val="20"/>
              </w:rPr>
            </w:pPr>
            <w:r>
              <w:rPr>
                <w:b/>
                <w:color w:val="000000"/>
                <w:sz w:val="20"/>
                <w:szCs w:val="20"/>
              </w:rPr>
              <w:t>10</w:t>
            </w:r>
          </w:p>
        </w:tc>
      </w:tr>
      <w:tr w:rsidR="0055491A" w:rsidRPr="00F564B2" w:rsidTr="00210BF6">
        <w:trPr>
          <w:trHeight w:val="397"/>
        </w:trPr>
        <w:tc>
          <w:tcPr>
            <w:tcW w:w="523" w:type="pct"/>
            <w:gridSpan w:val="2"/>
            <w:vAlign w:val="center"/>
          </w:tcPr>
          <w:p w:rsidR="0055491A" w:rsidRPr="006C469E" w:rsidRDefault="0055491A" w:rsidP="00210BF6">
            <w:pPr>
              <w:ind w:firstLine="0"/>
              <w:contextualSpacing/>
              <w:jc w:val="center"/>
              <w:rPr>
                <w:bCs/>
                <w:sz w:val="16"/>
                <w:szCs w:val="16"/>
              </w:rPr>
            </w:pPr>
          </w:p>
          <w:p w:rsidR="0055491A" w:rsidRPr="006C469E" w:rsidRDefault="0055491A" w:rsidP="00210BF6">
            <w:pPr>
              <w:ind w:firstLine="0"/>
              <w:contextualSpacing/>
              <w:jc w:val="center"/>
              <w:rPr>
                <w:bCs/>
                <w:sz w:val="16"/>
                <w:szCs w:val="16"/>
              </w:rPr>
            </w:pPr>
            <w:r>
              <w:rPr>
                <w:bCs/>
                <w:sz w:val="16"/>
                <w:szCs w:val="16"/>
              </w:rPr>
              <w:t>С</w:t>
            </w:r>
            <w:r w:rsidRPr="006C469E">
              <w:rPr>
                <w:bCs/>
                <w:sz w:val="16"/>
                <w:szCs w:val="16"/>
              </w:rPr>
              <w:t>т.19.</w:t>
            </w:r>
            <w:r>
              <w:rPr>
                <w:bCs/>
                <w:sz w:val="16"/>
                <w:szCs w:val="16"/>
              </w:rPr>
              <w:t>5</w:t>
            </w:r>
          </w:p>
          <w:p w:rsidR="0055491A" w:rsidRPr="006C469E" w:rsidRDefault="0055491A" w:rsidP="00210BF6">
            <w:pPr>
              <w:ind w:firstLine="0"/>
              <w:contextualSpacing/>
              <w:jc w:val="center"/>
              <w:rPr>
                <w:bCs/>
                <w:sz w:val="16"/>
                <w:szCs w:val="16"/>
              </w:rPr>
            </w:pPr>
          </w:p>
        </w:tc>
        <w:tc>
          <w:tcPr>
            <w:tcW w:w="322" w:type="pct"/>
            <w:gridSpan w:val="2"/>
            <w:vAlign w:val="center"/>
          </w:tcPr>
          <w:p w:rsidR="0055491A" w:rsidRPr="002D6C3D" w:rsidRDefault="0055491A" w:rsidP="00210BF6">
            <w:pPr>
              <w:ind w:firstLine="0"/>
              <w:contextualSpacing/>
              <w:jc w:val="center"/>
              <w:rPr>
                <w:bCs/>
                <w:sz w:val="16"/>
                <w:szCs w:val="16"/>
              </w:rPr>
            </w:pPr>
            <w:r>
              <w:rPr>
                <w:bCs/>
                <w:sz w:val="16"/>
                <w:szCs w:val="16"/>
              </w:rPr>
              <w:t>20</w:t>
            </w:r>
          </w:p>
        </w:tc>
        <w:tc>
          <w:tcPr>
            <w:tcW w:w="292" w:type="pct"/>
            <w:gridSpan w:val="2"/>
            <w:vAlign w:val="center"/>
          </w:tcPr>
          <w:p w:rsidR="0055491A" w:rsidRPr="006C469E" w:rsidRDefault="0055491A" w:rsidP="00210BF6">
            <w:pPr>
              <w:ind w:firstLine="0"/>
              <w:contextualSpacing/>
              <w:jc w:val="center"/>
              <w:rPr>
                <w:color w:val="000000"/>
                <w:sz w:val="16"/>
                <w:szCs w:val="16"/>
              </w:rPr>
            </w:pPr>
            <w:r>
              <w:rPr>
                <w:bCs/>
                <w:sz w:val="16"/>
                <w:szCs w:val="16"/>
              </w:rPr>
              <w:t>3</w:t>
            </w:r>
          </w:p>
        </w:tc>
        <w:tc>
          <w:tcPr>
            <w:tcW w:w="307" w:type="pct"/>
            <w:gridSpan w:val="2"/>
            <w:vAlign w:val="center"/>
          </w:tcPr>
          <w:p w:rsidR="0055491A" w:rsidRDefault="0055491A" w:rsidP="00210BF6">
            <w:pPr>
              <w:ind w:firstLine="0"/>
              <w:contextualSpacing/>
              <w:jc w:val="center"/>
              <w:rPr>
                <w:color w:val="000000"/>
                <w:sz w:val="16"/>
                <w:szCs w:val="16"/>
              </w:rPr>
            </w:pPr>
            <w:r>
              <w:rPr>
                <w:color w:val="000000"/>
                <w:sz w:val="16"/>
                <w:szCs w:val="16"/>
              </w:rPr>
              <w:t>1</w:t>
            </w:r>
          </w:p>
        </w:tc>
        <w:tc>
          <w:tcPr>
            <w:tcW w:w="256" w:type="pct"/>
            <w:vAlign w:val="center"/>
          </w:tcPr>
          <w:p w:rsidR="0055491A" w:rsidRPr="002D6C3D" w:rsidRDefault="0055491A" w:rsidP="00210BF6">
            <w:pPr>
              <w:ind w:firstLine="0"/>
              <w:contextualSpacing/>
              <w:jc w:val="center"/>
              <w:rPr>
                <w:bCs/>
                <w:sz w:val="16"/>
                <w:szCs w:val="16"/>
              </w:rPr>
            </w:pPr>
            <w:r>
              <w:rPr>
                <w:bCs/>
                <w:sz w:val="16"/>
                <w:szCs w:val="16"/>
              </w:rPr>
              <w:t>0</w:t>
            </w:r>
          </w:p>
        </w:tc>
        <w:tc>
          <w:tcPr>
            <w:tcW w:w="444" w:type="pct"/>
            <w:vAlign w:val="center"/>
          </w:tcPr>
          <w:p w:rsidR="0055491A" w:rsidRPr="006C469E" w:rsidRDefault="0055491A" w:rsidP="00210BF6">
            <w:pPr>
              <w:ind w:firstLine="0"/>
              <w:contextualSpacing/>
              <w:jc w:val="center"/>
              <w:rPr>
                <w:color w:val="000000"/>
                <w:sz w:val="16"/>
                <w:szCs w:val="16"/>
              </w:rPr>
            </w:pPr>
            <w:r>
              <w:rPr>
                <w:bCs/>
                <w:sz w:val="16"/>
                <w:szCs w:val="16"/>
              </w:rPr>
              <w:t>1</w:t>
            </w:r>
          </w:p>
        </w:tc>
        <w:tc>
          <w:tcPr>
            <w:tcW w:w="374" w:type="pct"/>
            <w:vAlign w:val="center"/>
          </w:tcPr>
          <w:p w:rsidR="0055491A" w:rsidRDefault="0055491A" w:rsidP="00210BF6">
            <w:pPr>
              <w:ind w:firstLine="0"/>
              <w:contextualSpacing/>
              <w:jc w:val="center"/>
              <w:rPr>
                <w:color w:val="000000"/>
                <w:sz w:val="16"/>
                <w:szCs w:val="16"/>
              </w:rPr>
            </w:pPr>
            <w:r>
              <w:rPr>
                <w:color w:val="000000"/>
                <w:sz w:val="16"/>
                <w:szCs w:val="16"/>
              </w:rPr>
              <w:t>20</w:t>
            </w:r>
          </w:p>
        </w:tc>
        <w:tc>
          <w:tcPr>
            <w:tcW w:w="454" w:type="pct"/>
            <w:vAlign w:val="center"/>
          </w:tcPr>
          <w:p w:rsidR="0055491A" w:rsidRPr="002D6C3D" w:rsidRDefault="0055491A" w:rsidP="00210BF6">
            <w:pPr>
              <w:ind w:firstLine="0"/>
              <w:contextualSpacing/>
              <w:jc w:val="center"/>
              <w:rPr>
                <w:bCs/>
                <w:sz w:val="16"/>
                <w:szCs w:val="16"/>
              </w:rPr>
            </w:pPr>
            <w:r>
              <w:rPr>
                <w:bCs/>
                <w:sz w:val="16"/>
                <w:szCs w:val="16"/>
              </w:rPr>
              <w:t>1</w:t>
            </w:r>
          </w:p>
        </w:tc>
        <w:tc>
          <w:tcPr>
            <w:tcW w:w="374" w:type="pct"/>
            <w:vAlign w:val="center"/>
          </w:tcPr>
          <w:p w:rsidR="0055491A" w:rsidRDefault="0055491A" w:rsidP="00210BF6">
            <w:pPr>
              <w:ind w:firstLine="0"/>
              <w:contextualSpacing/>
              <w:jc w:val="center"/>
              <w:rPr>
                <w:color w:val="000000"/>
                <w:sz w:val="16"/>
                <w:szCs w:val="16"/>
              </w:rPr>
            </w:pPr>
            <w:r>
              <w:rPr>
                <w:color w:val="000000"/>
                <w:sz w:val="16"/>
                <w:szCs w:val="16"/>
              </w:rPr>
              <w:t>20</w:t>
            </w:r>
          </w:p>
        </w:tc>
        <w:tc>
          <w:tcPr>
            <w:tcW w:w="454" w:type="pct"/>
            <w:vAlign w:val="center"/>
          </w:tcPr>
          <w:p w:rsidR="0055491A" w:rsidRPr="002D6C3D" w:rsidRDefault="0055491A" w:rsidP="00210BF6">
            <w:pPr>
              <w:ind w:firstLine="0"/>
              <w:contextualSpacing/>
              <w:jc w:val="center"/>
              <w:rPr>
                <w:bCs/>
                <w:sz w:val="16"/>
                <w:szCs w:val="16"/>
              </w:rPr>
            </w:pPr>
            <w:r>
              <w:rPr>
                <w:bCs/>
                <w:sz w:val="16"/>
                <w:szCs w:val="16"/>
              </w:rPr>
              <w:t>1</w:t>
            </w:r>
          </w:p>
        </w:tc>
        <w:tc>
          <w:tcPr>
            <w:tcW w:w="374" w:type="pct"/>
            <w:vAlign w:val="center"/>
          </w:tcPr>
          <w:p w:rsidR="0055491A" w:rsidRDefault="0055491A" w:rsidP="00210BF6">
            <w:pPr>
              <w:ind w:firstLine="0"/>
              <w:contextualSpacing/>
              <w:jc w:val="center"/>
              <w:rPr>
                <w:color w:val="000000"/>
                <w:sz w:val="16"/>
                <w:szCs w:val="16"/>
              </w:rPr>
            </w:pPr>
            <w:r>
              <w:rPr>
                <w:color w:val="000000"/>
                <w:sz w:val="16"/>
                <w:szCs w:val="16"/>
              </w:rPr>
              <w:t>20</w:t>
            </w:r>
          </w:p>
        </w:tc>
        <w:tc>
          <w:tcPr>
            <w:tcW w:w="454" w:type="pct"/>
            <w:vAlign w:val="center"/>
          </w:tcPr>
          <w:p w:rsidR="0055491A" w:rsidRPr="002D6C3D" w:rsidRDefault="0055491A" w:rsidP="00210BF6">
            <w:pPr>
              <w:ind w:firstLine="0"/>
              <w:contextualSpacing/>
              <w:jc w:val="center"/>
              <w:rPr>
                <w:bCs/>
                <w:sz w:val="16"/>
                <w:szCs w:val="16"/>
              </w:rPr>
            </w:pPr>
            <w:r>
              <w:rPr>
                <w:bCs/>
                <w:sz w:val="16"/>
                <w:szCs w:val="16"/>
              </w:rPr>
              <w:t>1</w:t>
            </w:r>
          </w:p>
        </w:tc>
        <w:tc>
          <w:tcPr>
            <w:tcW w:w="372" w:type="pct"/>
            <w:vAlign w:val="center"/>
          </w:tcPr>
          <w:p w:rsidR="0055491A" w:rsidRDefault="0055491A" w:rsidP="00210BF6">
            <w:pPr>
              <w:ind w:firstLine="0"/>
              <w:contextualSpacing/>
              <w:jc w:val="center"/>
              <w:rPr>
                <w:color w:val="000000"/>
                <w:sz w:val="16"/>
                <w:szCs w:val="16"/>
              </w:rPr>
            </w:pPr>
            <w:r>
              <w:rPr>
                <w:color w:val="000000"/>
                <w:sz w:val="16"/>
                <w:szCs w:val="16"/>
              </w:rPr>
              <w:t>20</w:t>
            </w:r>
          </w:p>
        </w:tc>
      </w:tr>
      <w:tr w:rsidR="0055491A" w:rsidRPr="00F564B2" w:rsidTr="00210BF6">
        <w:trPr>
          <w:trHeight w:val="274"/>
        </w:trPr>
        <w:tc>
          <w:tcPr>
            <w:tcW w:w="845" w:type="pct"/>
            <w:gridSpan w:val="4"/>
            <w:vAlign w:val="center"/>
          </w:tcPr>
          <w:p w:rsidR="0055491A" w:rsidRPr="00D068C3" w:rsidRDefault="0055491A" w:rsidP="00210BF6">
            <w:pPr>
              <w:ind w:firstLine="0"/>
              <w:contextualSpacing/>
              <w:jc w:val="center"/>
              <w:rPr>
                <w:b/>
                <w:color w:val="FF0000"/>
                <w:sz w:val="16"/>
                <w:szCs w:val="16"/>
              </w:rPr>
            </w:pPr>
            <w:r w:rsidRPr="00D068C3">
              <w:rPr>
                <w:b/>
                <w:sz w:val="18"/>
                <w:szCs w:val="18"/>
              </w:rPr>
              <w:t>Итого в областной бюджет</w:t>
            </w:r>
            <w:r>
              <w:rPr>
                <w:b/>
                <w:sz w:val="18"/>
                <w:szCs w:val="18"/>
              </w:rPr>
              <w:t xml:space="preserve"> норматив 50%</w:t>
            </w:r>
            <w:r w:rsidRPr="00D068C3">
              <w:rPr>
                <w:b/>
                <w:sz w:val="18"/>
                <w:szCs w:val="18"/>
              </w:rPr>
              <w:t xml:space="preserve"> </w:t>
            </w:r>
          </w:p>
        </w:tc>
        <w:tc>
          <w:tcPr>
            <w:tcW w:w="292" w:type="pct"/>
            <w:gridSpan w:val="2"/>
            <w:vAlign w:val="center"/>
          </w:tcPr>
          <w:p w:rsidR="0055491A" w:rsidRDefault="0055491A" w:rsidP="00210BF6">
            <w:pPr>
              <w:ind w:firstLine="0"/>
              <w:contextualSpacing/>
              <w:jc w:val="center"/>
              <w:rPr>
                <w:color w:val="000000"/>
                <w:sz w:val="20"/>
                <w:szCs w:val="20"/>
              </w:rPr>
            </w:pPr>
          </w:p>
        </w:tc>
        <w:tc>
          <w:tcPr>
            <w:tcW w:w="307" w:type="pct"/>
            <w:gridSpan w:val="2"/>
            <w:vAlign w:val="center"/>
          </w:tcPr>
          <w:p w:rsidR="0055491A" w:rsidRDefault="0055491A" w:rsidP="00210BF6">
            <w:pPr>
              <w:ind w:firstLine="0"/>
              <w:contextualSpacing/>
              <w:jc w:val="center"/>
              <w:rPr>
                <w:color w:val="000000"/>
                <w:sz w:val="20"/>
                <w:szCs w:val="20"/>
              </w:rPr>
            </w:pPr>
          </w:p>
        </w:tc>
        <w:tc>
          <w:tcPr>
            <w:tcW w:w="256" w:type="pct"/>
            <w:vAlign w:val="center"/>
          </w:tcPr>
          <w:p w:rsidR="0055491A" w:rsidRDefault="0055491A" w:rsidP="00210BF6">
            <w:pPr>
              <w:ind w:firstLine="0"/>
              <w:contextualSpacing/>
              <w:jc w:val="center"/>
              <w:rPr>
                <w:color w:val="000000"/>
                <w:sz w:val="20"/>
                <w:szCs w:val="20"/>
              </w:rPr>
            </w:pPr>
          </w:p>
        </w:tc>
        <w:tc>
          <w:tcPr>
            <w:tcW w:w="444" w:type="pct"/>
            <w:vAlign w:val="center"/>
          </w:tcPr>
          <w:p w:rsidR="0055491A" w:rsidRDefault="0055491A" w:rsidP="00210BF6">
            <w:pPr>
              <w:ind w:firstLine="0"/>
              <w:contextualSpacing/>
              <w:jc w:val="center"/>
              <w:rPr>
                <w:color w:val="000000"/>
                <w:sz w:val="20"/>
                <w:szCs w:val="20"/>
              </w:rPr>
            </w:pPr>
          </w:p>
        </w:tc>
        <w:tc>
          <w:tcPr>
            <w:tcW w:w="374" w:type="pct"/>
            <w:vAlign w:val="center"/>
          </w:tcPr>
          <w:p w:rsidR="0055491A" w:rsidRPr="00F4130E" w:rsidRDefault="0055491A" w:rsidP="00210BF6">
            <w:pPr>
              <w:ind w:firstLine="0"/>
              <w:contextualSpacing/>
              <w:jc w:val="center"/>
              <w:rPr>
                <w:b/>
                <w:color w:val="000000"/>
                <w:sz w:val="20"/>
                <w:szCs w:val="20"/>
              </w:rPr>
            </w:pPr>
            <w:r>
              <w:rPr>
                <w:b/>
                <w:color w:val="000000"/>
                <w:sz w:val="20"/>
                <w:szCs w:val="20"/>
              </w:rPr>
              <w:t>10</w:t>
            </w:r>
          </w:p>
        </w:tc>
        <w:tc>
          <w:tcPr>
            <w:tcW w:w="454" w:type="pct"/>
            <w:vAlign w:val="center"/>
          </w:tcPr>
          <w:p w:rsidR="0055491A" w:rsidRDefault="0055491A" w:rsidP="00210BF6">
            <w:pPr>
              <w:ind w:firstLine="0"/>
              <w:contextualSpacing/>
              <w:jc w:val="center"/>
              <w:rPr>
                <w:color w:val="000000"/>
                <w:sz w:val="20"/>
                <w:szCs w:val="20"/>
              </w:rPr>
            </w:pPr>
          </w:p>
        </w:tc>
        <w:tc>
          <w:tcPr>
            <w:tcW w:w="374" w:type="pct"/>
            <w:vAlign w:val="center"/>
          </w:tcPr>
          <w:p w:rsidR="0055491A" w:rsidRPr="00F4130E" w:rsidRDefault="0055491A" w:rsidP="00210BF6">
            <w:pPr>
              <w:ind w:firstLine="0"/>
              <w:contextualSpacing/>
              <w:jc w:val="center"/>
              <w:rPr>
                <w:b/>
                <w:color w:val="000000"/>
                <w:sz w:val="20"/>
                <w:szCs w:val="20"/>
              </w:rPr>
            </w:pPr>
            <w:r>
              <w:rPr>
                <w:b/>
                <w:color w:val="000000"/>
                <w:sz w:val="20"/>
                <w:szCs w:val="20"/>
              </w:rPr>
              <w:t>10</w:t>
            </w:r>
          </w:p>
        </w:tc>
        <w:tc>
          <w:tcPr>
            <w:tcW w:w="454" w:type="pct"/>
            <w:vAlign w:val="center"/>
          </w:tcPr>
          <w:p w:rsidR="0055491A" w:rsidRPr="00F4130E" w:rsidRDefault="0055491A" w:rsidP="00210BF6">
            <w:pPr>
              <w:ind w:firstLine="0"/>
              <w:contextualSpacing/>
              <w:jc w:val="center"/>
              <w:rPr>
                <w:b/>
                <w:color w:val="000000"/>
                <w:sz w:val="20"/>
                <w:szCs w:val="20"/>
              </w:rPr>
            </w:pPr>
          </w:p>
        </w:tc>
        <w:tc>
          <w:tcPr>
            <w:tcW w:w="374" w:type="pct"/>
            <w:vAlign w:val="center"/>
          </w:tcPr>
          <w:p w:rsidR="0055491A" w:rsidRPr="00F4130E" w:rsidRDefault="0055491A" w:rsidP="00210BF6">
            <w:pPr>
              <w:ind w:firstLine="0"/>
              <w:contextualSpacing/>
              <w:jc w:val="center"/>
              <w:rPr>
                <w:b/>
                <w:color w:val="000000"/>
                <w:sz w:val="20"/>
                <w:szCs w:val="20"/>
              </w:rPr>
            </w:pPr>
            <w:r>
              <w:rPr>
                <w:b/>
                <w:color w:val="000000"/>
                <w:sz w:val="20"/>
                <w:szCs w:val="20"/>
              </w:rPr>
              <w:t>10</w:t>
            </w:r>
          </w:p>
        </w:tc>
        <w:tc>
          <w:tcPr>
            <w:tcW w:w="454" w:type="pct"/>
            <w:vAlign w:val="center"/>
          </w:tcPr>
          <w:p w:rsidR="0055491A" w:rsidRPr="00F4130E" w:rsidRDefault="0055491A" w:rsidP="00210BF6">
            <w:pPr>
              <w:ind w:firstLine="0"/>
              <w:contextualSpacing/>
              <w:jc w:val="center"/>
              <w:rPr>
                <w:b/>
                <w:color w:val="000000"/>
                <w:sz w:val="20"/>
                <w:szCs w:val="20"/>
              </w:rPr>
            </w:pPr>
          </w:p>
        </w:tc>
        <w:tc>
          <w:tcPr>
            <w:tcW w:w="372" w:type="pct"/>
            <w:vAlign w:val="center"/>
          </w:tcPr>
          <w:p w:rsidR="0055491A" w:rsidRPr="00F4130E" w:rsidRDefault="0055491A" w:rsidP="00210BF6">
            <w:pPr>
              <w:ind w:firstLine="0"/>
              <w:contextualSpacing/>
              <w:jc w:val="center"/>
              <w:rPr>
                <w:b/>
                <w:color w:val="000000"/>
                <w:sz w:val="20"/>
                <w:szCs w:val="20"/>
              </w:rPr>
            </w:pPr>
            <w:r>
              <w:rPr>
                <w:b/>
                <w:color w:val="000000"/>
                <w:sz w:val="20"/>
                <w:szCs w:val="20"/>
              </w:rPr>
              <w:t>10</w:t>
            </w:r>
          </w:p>
        </w:tc>
      </w:tr>
      <w:tr w:rsidR="0055491A" w:rsidRPr="00F564B2" w:rsidTr="00210BF6">
        <w:trPr>
          <w:trHeight w:val="274"/>
        </w:trPr>
        <w:tc>
          <w:tcPr>
            <w:tcW w:w="529" w:type="pct"/>
            <w:gridSpan w:val="3"/>
            <w:vAlign w:val="center"/>
          </w:tcPr>
          <w:p w:rsidR="0055491A" w:rsidRPr="006C469E" w:rsidRDefault="0055491A" w:rsidP="00210BF6">
            <w:pPr>
              <w:ind w:firstLine="0"/>
              <w:contextualSpacing/>
              <w:jc w:val="center"/>
              <w:rPr>
                <w:bCs/>
                <w:sz w:val="16"/>
                <w:szCs w:val="16"/>
              </w:rPr>
            </w:pPr>
          </w:p>
          <w:p w:rsidR="0055491A" w:rsidRPr="006C469E" w:rsidRDefault="0055491A" w:rsidP="00210BF6">
            <w:pPr>
              <w:ind w:firstLine="0"/>
              <w:contextualSpacing/>
              <w:jc w:val="center"/>
              <w:rPr>
                <w:bCs/>
                <w:sz w:val="16"/>
                <w:szCs w:val="16"/>
              </w:rPr>
            </w:pPr>
            <w:r>
              <w:rPr>
                <w:bCs/>
                <w:sz w:val="16"/>
                <w:szCs w:val="16"/>
              </w:rPr>
              <w:t>С</w:t>
            </w:r>
            <w:r w:rsidRPr="006C469E">
              <w:rPr>
                <w:bCs/>
                <w:sz w:val="16"/>
                <w:szCs w:val="16"/>
              </w:rPr>
              <w:t>т.19.</w:t>
            </w:r>
            <w:r>
              <w:rPr>
                <w:bCs/>
                <w:sz w:val="16"/>
                <w:szCs w:val="16"/>
              </w:rPr>
              <w:t>5</w:t>
            </w:r>
          </w:p>
          <w:p w:rsidR="0055491A" w:rsidRPr="006C469E" w:rsidRDefault="0055491A" w:rsidP="00210BF6">
            <w:pPr>
              <w:ind w:firstLine="0"/>
              <w:contextualSpacing/>
              <w:jc w:val="center"/>
              <w:rPr>
                <w:bCs/>
                <w:sz w:val="16"/>
                <w:szCs w:val="16"/>
              </w:rPr>
            </w:pPr>
          </w:p>
        </w:tc>
        <w:tc>
          <w:tcPr>
            <w:tcW w:w="316" w:type="pct"/>
            <w:vAlign w:val="center"/>
          </w:tcPr>
          <w:p w:rsidR="0055491A" w:rsidRPr="002D6C3D" w:rsidRDefault="0055491A" w:rsidP="00210BF6">
            <w:pPr>
              <w:ind w:firstLine="0"/>
              <w:contextualSpacing/>
              <w:jc w:val="center"/>
              <w:rPr>
                <w:bCs/>
                <w:sz w:val="16"/>
                <w:szCs w:val="16"/>
              </w:rPr>
            </w:pPr>
            <w:r>
              <w:rPr>
                <w:bCs/>
                <w:sz w:val="16"/>
                <w:szCs w:val="16"/>
              </w:rPr>
              <w:t>20</w:t>
            </w:r>
          </w:p>
        </w:tc>
        <w:tc>
          <w:tcPr>
            <w:tcW w:w="292" w:type="pct"/>
            <w:gridSpan w:val="2"/>
            <w:vAlign w:val="center"/>
          </w:tcPr>
          <w:p w:rsidR="0055491A" w:rsidRPr="006C469E" w:rsidRDefault="0055491A" w:rsidP="00210BF6">
            <w:pPr>
              <w:ind w:firstLine="0"/>
              <w:contextualSpacing/>
              <w:jc w:val="center"/>
              <w:rPr>
                <w:color w:val="000000"/>
                <w:sz w:val="16"/>
                <w:szCs w:val="16"/>
              </w:rPr>
            </w:pPr>
            <w:r>
              <w:rPr>
                <w:bCs/>
                <w:sz w:val="16"/>
                <w:szCs w:val="16"/>
              </w:rPr>
              <w:t>0</w:t>
            </w:r>
          </w:p>
        </w:tc>
        <w:tc>
          <w:tcPr>
            <w:tcW w:w="307" w:type="pct"/>
            <w:gridSpan w:val="2"/>
            <w:vAlign w:val="center"/>
          </w:tcPr>
          <w:p w:rsidR="0055491A" w:rsidRDefault="0055491A" w:rsidP="00210BF6">
            <w:pPr>
              <w:ind w:firstLine="0"/>
              <w:contextualSpacing/>
              <w:jc w:val="center"/>
              <w:rPr>
                <w:color w:val="000000"/>
                <w:sz w:val="16"/>
                <w:szCs w:val="16"/>
              </w:rPr>
            </w:pPr>
            <w:r>
              <w:rPr>
                <w:color w:val="000000"/>
                <w:sz w:val="16"/>
                <w:szCs w:val="16"/>
              </w:rPr>
              <w:t>0</w:t>
            </w:r>
          </w:p>
        </w:tc>
        <w:tc>
          <w:tcPr>
            <w:tcW w:w="256" w:type="pct"/>
            <w:vAlign w:val="center"/>
          </w:tcPr>
          <w:p w:rsidR="0055491A" w:rsidRPr="002D6C3D" w:rsidRDefault="0055491A" w:rsidP="00210BF6">
            <w:pPr>
              <w:ind w:firstLine="0"/>
              <w:contextualSpacing/>
              <w:jc w:val="center"/>
              <w:rPr>
                <w:bCs/>
                <w:sz w:val="16"/>
                <w:szCs w:val="16"/>
              </w:rPr>
            </w:pPr>
            <w:r>
              <w:rPr>
                <w:bCs/>
                <w:sz w:val="16"/>
                <w:szCs w:val="16"/>
              </w:rPr>
              <w:t>1</w:t>
            </w:r>
          </w:p>
        </w:tc>
        <w:tc>
          <w:tcPr>
            <w:tcW w:w="444" w:type="pct"/>
            <w:vAlign w:val="center"/>
          </w:tcPr>
          <w:p w:rsidR="0055491A" w:rsidRPr="006C469E" w:rsidRDefault="0055491A" w:rsidP="00210BF6">
            <w:pPr>
              <w:ind w:firstLine="0"/>
              <w:contextualSpacing/>
              <w:jc w:val="center"/>
              <w:rPr>
                <w:color w:val="000000"/>
                <w:sz w:val="16"/>
                <w:szCs w:val="16"/>
              </w:rPr>
            </w:pPr>
            <w:r>
              <w:rPr>
                <w:bCs/>
                <w:sz w:val="16"/>
                <w:szCs w:val="16"/>
              </w:rPr>
              <w:t>1</w:t>
            </w:r>
          </w:p>
        </w:tc>
        <w:tc>
          <w:tcPr>
            <w:tcW w:w="374" w:type="pct"/>
            <w:vAlign w:val="center"/>
          </w:tcPr>
          <w:p w:rsidR="0055491A" w:rsidRDefault="0055491A" w:rsidP="00210BF6">
            <w:pPr>
              <w:ind w:firstLine="0"/>
              <w:contextualSpacing/>
              <w:jc w:val="center"/>
              <w:rPr>
                <w:color w:val="000000"/>
                <w:sz w:val="16"/>
                <w:szCs w:val="16"/>
              </w:rPr>
            </w:pPr>
            <w:r>
              <w:rPr>
                <w:color w:val="000000"/>
                <w:sz w:val="16"/>
                <w:szCs w:val="16"/>
              </w:rPr>
              <w:t>20</w:t>
            </w:r>
          </w:p>
        </w:tc>
        <w:tc>
          <w:tcPr>
            <w:tcW w:w="454" w:type="pct"/>
            <w:vAlign w:val="center"/>
          </w:tcPr>
          <w:p w:rsidR="0055491A" w:rsidRPr="002D6C3D" w:rsidRDefault="0055491A" w:rsidP="00210BF6">
            <w:pPr>
              <w:ind w:firstLine="0"/>
              <w:contextualSpacing/>
              <w:jc w:val="center"/>
              <w:rPr>
                <w:bCs/>
                <w:sz w:val="16"/>
                <w:szCs w:val="16"/>
              </w:rPr>
            </w:pPr>
            <w:r>
              <w:rPr>
                <w:bCs/>
                <w:sz w:val="16"/>
                <w:szCs w:val="16"/>
              </w:rPr>
              <w:t>1</w:t>
            </w:r>
          </w:p>
        </w:tc>
        <w:tc>
          <w:tcPr>
            <w:tcW w:w="374" w:type="pct"/>
            <w:vAlign w:val="center"/>
          </w:tcPr>
          <w:p w:rsidR="0055491A" w:rsidRDefault="0055491A" w:rsidP="00210BF6">
            <w:pPr>
              <w:ind w:firstLine="0"/>
              <w:contextualSpacing/>
              <w:jc w:val="center"/>
              <w:rPr>
                <w:color w:val="000000"/>
                <w:sz w:val="16"/>
                <w:szCs w:val="16"/>
              </w:rPr>
            </w:pPr>
            <w:r>
              <w:rPr>
                <w:color w:val="000000"/>
                <w:sz w:val="16"/>
                <w:szCs w:val="16"/>
              </w:rPr>
              <w:t>20</w:t>
            </w:r>
          </w:p>
        </w:tc>
        <w:tc>
          <w:tcPr>
            <w:tcW w:w="454" w:type="pct"/>
            <w:vAlign w:val="center"/>
          </w:tcPr>
          <w:p w:rsidR="0055491A" w:rsidRPr="002D6C3D" w:rsidRDefault="0055491A" w:rsidP="00210BF6">
            <w:pPr>
              <w:ind w:firstLine="0"/>
              <w:contextualSpacing/>
              <w:jc w:val="center"/>
              <w:rPr>
                <w:bCs/>
                <w:sz w:val="16"/>
                <w:szCs w:val="16"/>
              </w:rPr>
            </w:pPr>
            <w:r>
              <w:rPr>
                <w:bCs/>
                <w:sz w:val="16"/>
                <w:szCs w:val="16"/>
              </w:rPr>
              <w:t>1</w:t>
            </w:r>
          </w:p>
        </w:tc>
        <w:tc>
          <w:tcPr>
            <w:tcW w:w="374" w:type="pct"/>
            <w:vAlign w:val="center"/>
          </w:tcPr>
          <w:p w:rsidR="0055491A" w:rsidRDefault="0055491A" w:rsidP="00210BF6">
            <w:pPr>
              <w:ind w:firstLine="0"/>
              <w:contextualSpacing/>
              <w:jc w:val="center"/>
              <w:rPr>
                <w:color w:val="000000"/>
                <w:sz w:val="16"/>
                <w:szCs w:val="16"/>
              </w:rPr>
            </w:pPr>
            <w:r>
              <w:rPr>
                <w:color w:val="000000"/>
                <w:sz w:val="16"/>
                <w:szCs w:val="16"/>
              </w:rPr>
              <w:t>20</w:t>
            </w:r>
          </w:p>
        </w:tc>
        <w:tc>
          <w:tcPr>
            <w:tcW w:w="454" w:type="pct"/>
            <w:vAlign w:val="center"/>
          </w:tcPr>
          <w:p w:rsidR="0055491A" w:rsidRPr="002D6C3D" w:rsidRDefault="0055491A" w:rsidP="00210BF6">
            <w:pPr>
              <w:ind w:firstLine="0"/>
              <w:contextualSpacing/>
              <w:jc w:val="center"/>
              <w:rPr>
                <w:bCs/>
                <w:sz w:val="16"/>
                <w:szCs w:val="16"/>
              </w:rPr>
            </w:pPr>
            <w:r>
              <w:rPr>
                <w:bCs/>
                <w:sz w:val="16"/>
                <w:szCs w:val="16"/>
              </w:rPr>
              <w:t>1</w:t>
            </w:r>
          </w:p>
        </w:tc>
        <w:tc>
          <w:tcPr>
            <w:tcW w:w="372" w:type="pct"/>
            <w:vAlign w:val="center"/>
          </w:tcPr>
          <w:p w:rsidR="0055491A" w:rsidRDefault="0055491A" w:rsidP="00210BF6">
            <w:pPr>
              <w:ind w:firstLine="0"/>
              <w:contextualSpacing/>
              <w:jc w:val="center"/>
              <w:rPr>
                <w:color w:val="000000"/>
                <w:sz w:val="16"/>
                <w:szCs w:val="16"/>
              </w:rPr>
            </w:pPr>
            <w:r>
              <w:rPr>
                <w:color w:val="000000"/>
                <w:sz w:val="16"/>
                <w:szCs w:val="16"/>
              </w:rPr>
              <w:t>20</w:t>
            </w:r>
          </w:p>
        </w:tc>
      </w:tr>
      <w:tr w:rsidR="0055491A" w:rsidRPr="00F564B2" w:rsidTr="00210BF6">
        <w:trPr>
          <w:trHeight w:val="274"/>
        </w:trPr>
        <w:tc>
          <w:tcPr>
            <w:tcW w:w="845" w:type="pct"/>
            <w:gridSpan w:val="4"/>
            <w:vAlign w:val="center"/>
          </w:tcPr>
          <w:p w:rsidR="0055491A" w:rsidRPr="00D068C3" w:rsidRDefault="0055491A" w:rsidP="00210BF6">
            <w:pPr>
              <w:ind w:firstLine="0"/>
              <w:contextualSpacing/>
              <w:jc w:val="center"/>
              <w:rPr>
                <w:b/>
                <w:color w:val="FF0000"/>
                <w:sz w:val="16"/>
                <w:szCs w:val="16"/>
              </w:rPr>
            </w:pPr>
            <w:r w:rsidRPr="00D068C3">
              <w:rPr>
                <w:b/>
                <w:sz w:val="18"/>
                <w:szCs w:val="18"/>
              </w:rPr>
              <w:t>Итого в областной бюджет</w:t>
            </w:r>
            <w:r>
              <w:rPr>
                <w:b/>
                <w:sz w:val="18"/>
                <w:szCs w:val="18"/>
              </w:rPr>
              <w:t xml:space="preserve"> норматив 50%</w:t>
            </w:r>
            <w:r w:rsidRPr="00D068C3">
              <w:rPr>
                <w:b/>
                <w:sz w:val="18"/>
                <w:szCs w:val="18"/>
              </w:rPr>
              <w:t xml:space="preserve"> </w:t>
            </w:r>
          </w:p>
        </w:tc>
        <w:tc>
          <w:tcPr>
            <w:tcW w:w="292" w:type="pct"/>
            <w:gridSpan w:val="2"/>
            <w:vAlign w:val="center"/>
          </w:tcPr>
          <w:p w:rsidR="0055491A" w:rsidRDefault="0055491A" w:rsidP="00210BF6">
            <w:pPr>
              <w:ind w:firstLine="0"/>
              <w:contextualSpacing/>
              <w:jc w:val="center"/>
              <w:rPr>
                <w:color w:val="000000"/>
                <w:sz w:val="20"/>
                <w:szCs w:val="20"/>
              </w:rPr>
            </w:pPr>
          </w:p>
        </w:tc>
        <w:tc>
          <w:tcPr>
            <w:tcW w:w="307" w:type="pct"/>
            <w:gridSpan w:val="2"/>
            <w:vAlign w:val="center"/>
          </w:tcPr>
          <w:p w:rsidR="0055491A" w:rsidRDefault="0055491A" w:rsidP="00210BF6">
            <w:pPr>
              <w:ind w:firstLine="0"/>
              <w:contextualSpacing/>
              <w:jc w:val="center"/>
              <w:rPr>
                <w:color w:val="000000"/>
                <w:sz w:val="20"/>
                <w:szCs w:val="20"/>
              </w:rPr>
            </w:pPr>
          </w:p>
        </w:tc>
        <w:tc>
          <w:tcPr>
            <w:tcW w:w="256" w:type="pct"/>
            <w:vAlign w:val="center"/>
          </w:tcPr>
          <w:p w:rsidR="0055491A" w:rsidRDefault="0055491A" w:rsidP="00210BF6">
            <w:pPr>
              <w:ind w:firstLine="0"/>
              <w:contextualSpacing/>
              <w:jc w:val="center"/>
              <w:rPr>
                <w:color w:val="000000"/>
                <w:sz w:val="20"/>
                <w:szCs w:val="20"/>
              </w:rPr>
            </w:pPr>
          </w:p>
        </w:tc>
        <w:tc>
          <w:tcPr>
            <w:tcW w:w="444" w:type="pct"/>
            <w:vAlign w:val="center"/>
          </w:tcPr>
          <w:p w:rsidR="0055491A" w:rsidRDefault="0055491A" w:rsidP="00210BF6">
            <w:pPr>
              <w:ind w:firstLine="0"/>
              <w:contextualSpacing/>
              <w:jc w:val="center"/>
              <w:rPr>
                <w:color w:val="000000"/>
                <w:sz w:val="20"/>
                <w:szCs w:val="20"/>
              </w:rPr>
            </w:pPr>
          </w:p>
        </w:tc>
        <w:tc>
          <w:tcPr>
            <w:tcW w:w="374" w:type="pct"/>
            <w:vAlign w:val="center"/>
          </w:tcPr>
          <w:p w:rsidR="0055491A" w:rsidRPr="00F4130E" w:rsidRDefault="0055491A" w:rsidP="00210BF6">
            <w:pPr>
              <w:ind w:firstLine="0"/>
              <w:contextualSpacing/>
              <w:jc w:val="center"/>
              <w:rPr>
                <w:b/>
                <w:color w:val="000000"/>
                <w:sz w:val="20"/>
                <w:szCs w:val="20"/>
              </w:rPr>
            </w:pPr>
            <w:r>
              <w:rPr>
                <w:b/>
                <w:color w:val="000000"/>
                <w:sz w:val="20"/>
                <w:szCs w:val="20"/>
              </w:rPr>
              <w:t>10</w:t>
            </w:r>
          </w:p>
        </w:tc>
        <w:tc>
          <w:tcPr>
            <w:tcW w:w="454" w:type="pct"/>
            <w:vAlign w:val="center"/>
          </w:tcPr>
          <w:p w:rsidR="0055491A" w:rsidRDefault="0055491A" w:rsidP="00210BF6">
            <w:pPr>
              <w:ind w:firstLine="0"/>
              <w:contextualSpacing/>
              <w:jc w:val="center"/>
              <w:rPr>
                <w:color w:val="000000"/>
                <w:sz w:val="20"/>
                <w:szCs w:val="20"/>
              </w:rPr>
            </w:pPr>
          </w:p>
        </w:tc>
        <w:tc>
          <w:tcPr>
            <w:tcW w:w="374" w:type="pct"/>
            <w:vAlign w:val="center"/>
          </w:tcPr>
          <w:p w:rsidR="0055491A" w:rsidRPr="00F4130E" w:rsidRDefault="0055491A" w:rsidP="00210BF6">
            <w:pPr>
              <w:ind w:firstLine="0"/>
              <w:contextualSpacing/>
              <w:jc w:val="center"/>
              <w:rPr>
                <w:b/>
                <w:color w:val="000000"/>
                <w:sz w:val="20"/>
                <w:szCs w:val="20"/>
              </w:rPr>
            </w:pPr>
            <w:r>
              <w:rPr>
                <w:b/>
                <w:color w:val="000000"/>
                <w:sz w:val="20"/>
                <w:szCs w:val="20"/>
              </w:rPr>
              <w:t>10</w:t>
            </w:r>
          </w:p>
        </w:tc>
        <w:tc>
          <w:tcPr>
            <w:tcW w:w="454" w:type="pct"/>
            <w:vAlign w:val="center"/>
          </w:tcPr>
          <w:p w:rsidR="0055491A" w:rsidRPr="00F4130E" w:rsidRDefault="0055491A" w:rsidP="00210BF6">
            <w:pPr>
              <w:ind w:firstLine="0"/>
              <w:contextualSpacing/>
              <w:jc w:val="center"/>
              <w:rPr>
                <w:b/>
                <w:color w:val="000000"/>
                <w:sz w:val="20"/>
                <w:szCs w:val="20"/>
              </w:rPr>
            </w:pPr>
          </w:p>
        </w:tc>
        <w:tc>
          <w:tcPr>
            <w:tcW w:w="374" w:type="pct"/>
            <w:vAlign w:val="center"/>
          </w:tcPr>
          <w:p w:rsidR="0055491A" w:rsidRPr="00F4130E" w:rsidRDefault="0055491A" w:rsidP="00210BF6">
            <w:pPr>
              <w:ind w:firstLine="0"/>
              <w:contextualSpacing/>
              <w:jc w:val="center"/>
              <w:rPr>
                <w:b/>
                <w:color w:val="000000"/>
                <w:sz w:val="20"/>
                <w:szCs w:val="20"/>
              </w:rPr>
            </w:pPr>
            <w:r>
              <w:rPr>
                <w:b/>
                <w:color w:val="000000"/>
                <w:sz w:val="20"/>
                <w:szCs w:val="20"/>
              </w:rPr>
              <w:t>10</w:t>
            </w:r>
          </w:p>
        </w:tc>
        <w:tc>
          <w:tcPr>
            <w:tcW w:w="454" w:type="pct"/>
            <w:vAlign w:val="center"/>
          </w:tcPr>
          <w:p w:rsidR="0055491A" w:rsidRPr="00F4130E" w:rsidRDefault="0055491A" w:rsidP="00210BF6">
            <w:pPr>
              <w:ind w:firstLine="0"/>
              <w:contextualSpacing/>
              <w:jc w:val="center"/>
              <w:rPr>
                <w:b/>
                <w:color w:val="000000"/>
                <w:sz w:val="20"/>
                <w:szCs w:val="20"/>
              </w:rPr>
            </w:pPr>
          </w:p>
        </w:tc>
        <w:tc>
          <w:tcPr>
            <w:tcW w:w="372" w:type="pct"/>
            <w:vAlign w:val="center"/>
          </w:tcPr>
          <w:p w:rsidR="0055491A" w:rsidRPr="00F4130E" w:rsidRDefault="0055491A" w:rsidP="00210BF6">
            <w:pPr>
              <w:ind w:firstLine="0"/>
              <w:contextualSpacing/>
              <w:jc w:val="center"/>
              <w:rPr>
                <w:b/>
                <w:color w:val="000000"/>
                <w:sz w:val="20"/>
                <w:szCs w:val="20"/>
              </w:rPr>
            </w:pPr>
            <w:r>
              <w:rPr>
                <w:b/>
                <w:color w:val="000000"/>
                <w:sz w:val="20"/>
                <w:szCs w:val="20"/>
              </w:rPr>
              <w:t>10</w:t>
            </w:r>
          </w:p>
        </w:tc>
      </w:tr>
      <w:tr w:rsidR="0055491A" w:rsidRPr="00F564B2" w:rsidTr="00210BF6">
        <w:trPr>
          <w:trHeight w:val="274"/>
        </w:trPr>
        <w:tc>
          <w:tcPr>
            <w:tcW w:w="845" w:type="pct"/>
            <w:gridSpan w:val="4"/>
            <w:vAlign w:val="center"/>
          </w:tcPr>
          <w:p w:rsidR="0055491A" w:rsidRPr="00547784" w:rsidRDefault="0055491A" w:rsidP="00210BF6">
            <w:pPr>
              <w:ind w:firstLine="0"/>
              <w:contextualSpacing/>
              <w:jc w:val="center"/>
              <w:rPr>
                <w:b/>
                <w:sz w:val="18"/>
                <w:szCs w:val="18"/>
              </w:rPr>
            </w:pPr>
            <w:r>
              <w:rPr>
                <w:b/>
                <w:sz w:val="18"/>
                <w:szCs w:val="18"/>
              </w:rPr>
              <w:t>ВСЕГО в областной бюджет Тверской области</w:t>
            </w:r>
          </w:p>
        </w:tc>
        <w:tc>
          <w:tcPr>
            <w:tcW w:w="292" w:type="pct"/>
            <w:gridSpan w:val="2"/>
            <w:vAlign w:val="center"/>
          </w:tcPr>
          <w:p w:rsidR="0055491A" w:rsidRDefault="0055491A" w:rsidP="00210BF6">
            <w:pPr>
              <w:ind w:firstLine="0"/>
              <w:contextualSpacing/>
              <w:jc w:val="center"/>
              <w:rPr>
                <w:color w:val="000000"/>
                <w:sz w:val="20"/>
                <w:szCs w:val="20"/>
              </w:rPr>
            </w:pPr>
          </w:p>
        </w:tc>
        <w:tc>
          <w:tcPr>
            <w:tcW w:w="307" w:type="pct"/>
            <w:gridSpan w:val="2"/>
            <w:vAlign w:val="center"/>
          </w:tcPr>
          <w:p w:rsidR="0055491A" w:rsidRDefault="0055491A" w:rsidP="00210BF6">
            <w:pPr>
              <w:ind w:firstLine="0"/>
              <w:contextualSpacing/>
              <w:jc w:val="center"/>
              <w:rPr>
                <w:color w:val="000000"/>
                <w:sz w:val="20"/>
                <w:szCs w:val="20"/>
              </w:rPr>
            </w:pPr>
          </w:p>
        </w:tc>
        <w:tc>
          <w:tcPr>
            <w:tcW w:w="256" w:type="pct"/>
            <w:vAlign w:val="center"/>
          </w:tcPr>
          <w:p w:rsidR="0055491A" w:rsidRDefault="0055491A" w:rsidP="00210BF6">
            <w:pPr>
              <w:ind w:firstLine="0"/>
              <w:contextualSpacing/>
              <w:jc w:val="center"/>
              <w:rPr>
                <w:color w:val="000000"/>
                <w:sz w:val="20"/>
                <w:szCs w:val="20"/>
              </w:rPr>
            </w:pPr>
          </w:p>
        </w:tc>
        <w:tc>
          <w:tcPr>
            <w:tcW w:w="444" w:type="pct"/>
            <w:vAlign w:val="center"/>
          </w:tcPr>
          <w:p w:rsidR="0055491A" w:rsidRDefault="0055491A" w:rsidP="00210BF6">
            <w:pPr>
              <w:ind w:firstLine="0"/>
              <w:contextualSpacing/>
              <w:jc w:val="center"/>
              <w:rPr>
                <w:color w:val="000000"/>
                <w:sz w:val="20"/>
                <w:szCs w:val="20"/>
              </w:rPr>
            </w:pPr>
          </w:p>
        </w:tc>
        <w:tc>
          <w:tcPr>
            <w:tcW w:w="374" w:type="pct"/>
            <w:vAlign w:val="center"/>
          </w:tcPr>
          <w:p w:rsidR="0055491A" w:rsidRPr="004D21A5" w:rsidRDefault="0055491A" w:rsidP="00210BF6">
            <w:pPr>
              <w:ind w:firstLine="0"/>
              <w:contextualSpacing/>
              <w:jc w:val="center"/>
              <w:rPr>
                <w:b/>
                <w:color w:val="000000"/>
                <w:sz w:val="28"/>
                <w:szCs w:val="28"/>
              </w:rPr>
            </w:pPr>
            <w:r>
              <w:rPr>
                <w:b/>
                <w:color w:val="000000"/>
                <w:sz w:val="28"/>
                <w:szCs w:val="28"/>
              </w:rPr>
              <w:t>65</w:t>
            </w:r>
          </w:p>
        </w:tc>
        <w:tc>
          <w:tcPr>
            <w:tcW w:w="454" w:type="pct"/>
            <w:vAlign w:val="center"/>
          </w:tcPr>
          <w:p w:rsidR="0055491A" w:rsidRDefault="0055491A" w:rsidP="00210BF6">
            <w:pPr>
              <w:ind w:firstLine="0"/>
              <w:contextualSpacing/>
              <w:jc w:val="center"/>
              <w:rPr>
                <w:color w:val="000000"/>
                <w:sz w:val="20"/>
                <w:szCs w:val="20"/>
              </w:rPr>
            </w:pPr>
          </w:p>
        </w:tc>
        <w:tc>
          <w:tcPr>
            <w:tcW w:w="374" w:type="pct"/>
            <w:vAlign w:val="center"/>
          </w:tcPr>
          <w:p w:rsidR="0055491A" w:rsidRPr="004D21A5" w:rsidRDefault="0055491A" w:rsidP="00210BF6">
            <w:pPr>
              <w:ind w:firstLine="0"/>
              <w:contextualSpacing/>
              <w:jc w:val="center"/>
              <w:rPr>
                <w:b/>
                <w:color w:val="000000"/>
                <w:sz w:val="28"/>
                <w:szCs w:val="28"/>
              </w:rPr>
            </w:pPr>
            <w:r w:rsidRPr="004D21A5">
              <w:rPr>
                <w:b/>
                <w:color w:val="000000"/>
                <w:sz w:val="28"/>
                <w:szCs w:val="28"/>
              </w:rPr>
              <w:t>6</w:t>
            </w:r>
            <w:r>
              <w:rPr>
                <w:b/>
                <w:color w:val="000000"/>
                <w:sz w:val="28"/>
                <w:szCs w:val="28"/>
              </w:rPr>
              <w:t>0</w:t>
            </w:r>
          </w:p>
        </w:tc>
        <w:tc>
          <w:tcPr>
            <w:tcW w:w="454" w:type="pct"/>
            <w:vAlign w:val="center"/>
          </w:tcPr>
          <w:p w:rsidR="0055491A" w:rsidRPr="004D21A5" w:rsidRDefault="0055491A" w:rsidP="00210BF6">
            <w:pPr>
              <w:ind w:firstLine="0"/>
              <w:contextualSpacing/>
              <w:jc w:val="center"/>
              <w:rPr>
                <w:b/>
                <w:color w:val="000000"/>
                <w:sz w:val="28"/>
                <w:szCs w:val="28"/>
              </w:rPr>
            </w:pPr>
          </w:p>
        </w:tc>
        <w:tc>
          <w:tcPr>
            <w:tcW w:w="374" w:type="pct"/>
            <w:vAlign w:val="center"/>
          </w:tcPr>
          <w:p w:rsidR="0055491A" w:rsidRPr="004D21A5" w:rsidRDefault="0055491A" w:rsidP="00210BF6">
            <w:pPr>
              <w:ind w:firstLine="0"/>
              <w:contextualSpacing/>
              <w:jc w:val="center"/>
              <w:rPr>
                <w:b/>
                <w:color w:val="000000"/>
                <w:sz w:val="28"/>
                <w:szCs w:val="28"/>
              </w:rPr>
            </w:pPr>
            <w:r>
              <w:rPr>
                <w:b/>
                <w:color w:val="000000"/>
                <w:sz w:val="28"/>
                <w:szCs w:val="28"/>
              </w:rPr>
              <w:t>60</w:t>
            </w:r>
          </w:p>
        </w:tc>
        <w:tc>
          <w:tcPr>
            <w:tcW w:w="454" w:type="pct"/>
            <w:vAlign w:val="center"/>
          </w:tcPr>
          <w:p w:rsidR="0055491A" w:rsidRPr="004D21A5" w:rsidRDefault="0055491A" w:rsidP="00210BF6">
            <w:pPr>
              <w:ind w:firstLine="0"/>
              <w:contextualSpacing/>
              <w:jc w:val="center"/>
              <w:rPr>
                <w:b/>
                <w:color w:val="000000"/>
                <w:sz w:val="28"/>
                <w:szCs w:val="28"/>
              </w:rPr>
            </w:pPr>
          </w:p>
        </w:tc>
        <w:tc>
          <w:tcPr>
            <w:tcW w:w="372" w:type="pct"/>
            <w:vAlign w:val="center"/>
          </w:tcPr>
          <w:p w:rsidR="0055491A" w:rsidRPr="004D21A5" w:rsidRDefault="0055491A" w:rsidP="00210BF6">
            <w:pPr>
              <w:ind w:firstLine="0"/>
              <w:contextualSpacing/>
              <w:jc w:val="center"/>
              <w:rPr>
                <w:b/>
                <w:color w:val="000000"/>
                <w:sz w:val="28"/>
                <w:szCs w:val="28"/>
              </w:rPr>
            </w:pPr>
            <w:r>
              <w:rPr>
                <w:b/>
                <w:color w:val="000000"/>
                <w:sz w:val="28"/>
                <w:szCs w:val="28"/>
              </w:rPr>
              <w:t>60</w:t>
            </w:r>
          </w:p>
        </w:tc>
      </w:tr>
    </w:tbl>
    <w:p w:rsidR="0055491A" w:rsidRPr="005E2D4F" w:rsidRDefault="0055491A" w:rsidP="0055491A">
      <w:pPr>
        <w:pStyle w:val="a7"/>
        <w:spacing w:after="0"/>
        <w:ind w:left="0" w:firstLine="709"/>
        <w:jc w:val="both"/>
        <w:rPr>
          <w:sz w:val="28"/>
          <w:szCs w:val="28"/>
        </w:rPr>
      </w:pPr>
    </w:p>
    <w:p w:rsidR="0055491A" w:rsidRPr="00122878" w:rsidRDefault="0055491A" w:rsidP="0055491A">
      <w:pPr>
        <w:pStyle w:val="a7"/>
        <w:spacing w:after="0"/>
        <w:ind w:left="0" w:firstLine="709"/>
        <w:jc w:val="both"/>
        <w:rPr>
          <w:b/>
          <w:sz w:val="28"/>
          <w:szCs w:val="28"/>
        </w:rPr>
      </w:pPr>
      <w:r w:rsidRPr="00122878">
        <w:rPr>
          <w:b/>
          <w:sz w:val="28"/>
          <w:szCs w:val="28"/>
        </w:rPr>
        <w:t>Прогноз поступления доходов в областной бюджет Тверской области на 2022 год – 60,0 тыс. руб., на 2023 год – 60,0 тыс. руб., на 2024 год – 60,0  тыс. руб.</w:t>
      </w:r>
    </w:p>
    <w:p w:rsidR="0055491A" w:rsidRPr="003C27D4" w:rsidRDefault="0055491A" w:rsidP="0055491A">
      <w:pPr>
        <w:pStyle w:val="a7"/>
        <w:spacing w:after="0"/>
        <w:ind w:left="0" w:firstLine="709"/>
        <w:jc w:val="both"/>
        <w:rPr>
          <w:sz w:val="28"/>
          <w:szCs w:val="28"/>
        </w:rPr>
      </w:pPr>
    </w:p>
    <w:p w:rsidR="0055491A" w:rsidRDefault="0055491A" w:rsidP="0055491A">
      <w:pPr>
        <w:pStyle w:val="a7"/>
        <w:spacing w:after="0"/>
        <w:ind w:left="0" w:firstLine="709"/>
        <w:jc w:val="both"/>
        <w:rPr>
          <w:sz w:val="28"/>
          <w:szCs w:val="28"/>
        </w:rPr>
      </w:pPr>
      <w:r>
        <w:rPr>
          <w:sz w:val="28"/>
          <w:szCs w:val="28"/>
        </w:rPr>
        <w:lastRenderedPageBreak/>
        <w:t xml:space="preserve">13.9 </w:t>
      </w:r>
      <w:r w:rsidRPr="00122878">
        <w:rPr>
          <w:b/>
          <w:color w:val="000000"/>
          <w:sz w:val="28"/>
          <w:szCs w:val="28"/>
        </w:rPr>
        <w:t>КБК 335 1 16 01193 01 0000 140</w:t>
      </w:r>
      <w:r>
        <w:rPr>
          <w:color w:val="000000"/>
          <w:sz w:val="28"/>
          <w:szCs w:val="28"/>
        </w:rPr>
        <w:t xml:space="preserve"> </w:t>
      </w:r>
      <w:r w:rsidRPr="00EF7C09">
        <w:rPr>
          <w:sz w:val="28"/>
          <w:szCs w:val="28"/>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r>
        <w:rPr>
          <w:sz w:val="28"/>
          <w:szCs w:val="28"/>
        </w:rPr>
        <w:t>.</w:t>
      </w:r>
    </w:p>
    <w:p w:rsidR="0055491A" w:rsidRPr="00122878" w:rsidRDefault="0055491A" w:rsidP="0055491A">
      <w:pPr>
        <w:ind w:firstLine="709"/>
        <w:jc w:val="both"/>
        <w:rPr>
          <w:b/>
          <w:color w:val="000000"/>
          <w:sz w:val="28"/>
          <w:szCs w:val="28"/>
        </w:rPr>
      </w:pPr>
      <w:r w:rsidRPr="00122878">
        <w:rPr>
          <w:b/>
          <w:color w:val="000000"/>
          <w:sz w:val="28"/>
          <w:szCs w:val="28"/>
        </w:rPr>
        <w:t>Главный администратор доходов – Главное управление региональной безопасности Тверской области.</w:t>
      </w:r>
    </w:p>
    <w:p w:rsidR="0055491A" w:rsidRDefault="0055491A" w:rsidP="0055491A">
      <w:pPr>
        <w:ind w:firstLine="709"/>
        <w:jc w:val="both"/>
        <w:rPr>
          <w:sz w:val="28"/>
          <w:szCs w:val="28"/>
        </w:rPr>
      </w:pPr>
      <w:r>
        <w:rPr>
          <w:sz w:val="28"/>
          <w:szCs w:val="28"/>
        </w:rPr>
        <w:t>Расчет поступления доходов в областной бюджет Тверской области на 2022 год представлен в таблице:</w:t>
      </w:r>
    </w:p>
    <w:p w:rsidR="0055491A" w:rsidRDefault="0055491A" w:rsidP="0055491A">
      <w:pPr>
        <w:ind w:firstLine="709"/>
        <w:jc w:val="both"/>
        <w:rPr>
          <w:sz w:val="28"/>
          <w:szCs w:val="28"/>
        </w:rPr>
      </w:pPr>
    </w:p>
    <w:tbl>
      <w:tblPr>
        <w:tblW w:w="9780" w:type="dxa"/>
        <w:tblLook w:val="04A0" w:firstRow="1" w:lastRow="0" w:firstColumn="1" w:lastColumn="0" w:noHBand="0" w:noVBand="1"/>
      </w:tblPr>
      <w:tblGrid>
        <w:gridCol w:w="520"/>
        <w:gridCol w:w="3060"/>
        <w:gridCol w:w="1420"/>
        <w:gridCol w:w="1700"/>
        <w:gridCol w:w="1540"/>
        <w:gridCol w:w="1540"/>
      </w:tblGrid>
      <w:tr w:rsidR="0055491A" w:rsidTr="00210BF6">
        <w:trPr>
          <w:trHeight w:val="1275"/>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 п/п</w:t>
            </w:r>
          </w:p>
        </w:tc>
        <w:tc>
          <w:tcPr>
            <w:tcW w:w="3060" w:type="dxa"/>
            <w:tcBorders>
              <w:top w:val="single" w:sz="4" w:space="0" w:color="auto"/>
              <w:left w:val="nil"/>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Вид правонарушений</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Средний размер штрафа (средний областной), тыс. руб.</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Количество постановлений. ед.</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Коэффициент собираемости (средний областной),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Прогноз поступлений, тыс. руб. (ст.3*4*5/2)</w:t>
            </w:r>
          </w:p>
        </w:tc>
      </w:tr>
      <w:tr w:rsidR="0055491A" w:rsidTr="00210BF6">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1</w:t>
            </w:r>
          </w:p>
        </w:tc>
        <w:tc>
          <w:tcPr>
            <w:tcW w:w="3060" w:type="dxa"/>
            <w:tcBorders>
              <w:top w:val="nil"/>
              <w:left w:val="nil"/>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2</w:t>
            </w:r>
          </w:p>
        </w:tc>
        <w:tc>
          <w:tcPr>
            <w:tcW w:w="1420" w:type="dxa"/>
            <w:tcBorders>
              <w:top w:val="nil"/>
              <w:left w:val="nil"/>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3</w:t>
            </w:r>
          </w:p>
        </w:tc>
        <w:tc>
          <w:tcPr>
            <w:tcW w:w="1700" w:type="dxa"/>
            <w:tcBorders>
              <w:top w:val="nil"/>
              <w:left w:val="nil"/>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4</w:t>
            </w:r>
          </w:p>
        </w:tc>
        <w:tc>
          <w:tcPr>
            <w:tcW w:w="1540" w:type="dxa"/>
            <w:tcBorders>
              <w:top w:val="nil"/>
              <w:left w:val="nil"/>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5</w:t>
            </w:r>
          </w:p>
        </w:tc>
        <w:tc>
          <w:tcPr>
            <w:tcW w:w="1540" w:type="dxa"/>
            <w:tcBorders>
              <w:top w:val="nil"/>
              <w:left w:val="nil"/>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6</w:t>
            </w:r>
          </w:p>
        </w:tc>
      </w:tr>
      <w:tr w:rsidR="0055491A" w:rsidTr="00210BF6">
        <w:trPr>
          <w:trHeight w:val="357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1</w:t>
            </w:r>
          </w:p>
        </w:tc>
        <w:tc>
          <w:tcPr>
            <w:tcW w:w="3060" w:type="dxa"/>
            <w:tcBorders>
              <w:top w:val="nil"/>
              <w:left w:val="nil"/>
              <w:bottom w:val="single" w:sz="4" w:space="0" w:color="auto"/>
              <w:right w:val="single" w:sz="4" w:space="0" w:color="auto"/>
            </w:tcBorders>
            <w:shd w:val="clear" w:color="auto" w:fill="auto"/>
            <w:vAlign w:val="center"/>
            <w:hideMark/>
          </w:tcPr>
          <w:p w:rsidR="0055491A" w:rsidRDefault="0055491A" w:rsidP="00210BF6">
            <w:pPr>
              <w:jc w:val="both"/>
              <w:rPr>
                <w:sz w:val="20"/>
                <w:szCs w:val="20"/>
              </w:rPr>
            </w:pPr>
            <w:r>
              <w:rPr>
                <w:sz w:val="20"/>
                <w:szCs w:val="20"/>
              </w:rPr>
              <w:t>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c>
          <w:tcPr>
            <w:tcW w:w="1420" w:type="dxa"/>
            <w:tcBorders>
              <w:top w:val="nil"/>
              <w:left w:val="nil"/>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24,4</w:t>
            </w:r>
          </w:p>
        </w:tc>
        <w:tc>
          <w:tcPr>
            <w:tcW w:w="1700" w:type="dxa"/>
            <w:tcBorders>
              <w:top w:val="nil"/>
              <w:left w:val="nil"/>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654</w:t>
            </w:r>
          </w:p>
        </w:tc>
        <w:tc>
          <w:tcPr>
            <w:tcW w:w="1540" w:type="dxa"/>
            <w:tcBorders>
              <w:top w:val="nil"/>
              <w:left w:val="nil"/>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29,5%</w:t>
            </w:r>
          </w:p>
        </w:tc>
        <w:tc>
          <w:tcPr>
            <w:tcW w:w="1540" w:type="dxa"/>
            <w:tcBorders>
              <w:top w:val="nil"/>
              <w:left w:val="nil"/>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2353,7</w:t>
            </w:r>
          </w:p>
        </w:tc>
      </w:tr>
      <w:tr w:rsidR="0055491A" w:rsidTr="00210BF6">
        <w:trPr>
          <w:trHeight w:val="51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2</w:t>
            </w:r>
          </w:p>
        </w:tc>
        <w:tc>
          <w:tcPr>
            <w:tcW w:w="3060" w:type="dxa"/>
            <w:tcBorders>
              <w:top w:val="nil"/>
              <w:left w:val="nil"/>
              <w:bottom w:val="single" w:sz="4" w:space="0" w:color="auto"/>
              <w:right w:val="single" w:sz="4" w:space="0" w:color="auto"/>
            </w:tcBorders>
            <w:shd w:val="clear" w:color="auto" w:fill="auto"/>
            <w:vAlign w:val="center"/>
            <w:hideMark/>
          </w:tcPr>
          <w:p w:rsidR="0055491A" w:rsidRDefault="0055491A" w:rsidP="00210BF6">
            <w:pPr>
              <w:rPr>
                <w:sz w:val="20"/>
                <w:szCs w:val="20"/>
              </w:rPr>
            </w:pPr>
            <w:r>
              <w:rPr>
                <w:sz w:val="20"/>
                <w:szCs w:val="20"/>
              </w:rPr>
              <w:t>Штрафы за непредставление сведений (информации)</w:t>
            </w:r>
          </w:p>
        </w:tc>
        <w:tc>
          <w:tcPr>
            <w:tcW w:w="1420" w:type="dxa"/>
            <w:tcBorders>
              <w:top w:val="nil"/>
              <w:left w:val="nil"/>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3,9</w:t>
            </w:r>
          </w:p>
        </w:tc>
        <w:tc>
          <w:tcPr>
            <w:tcW w:w="1700" w:type="dxa"/>
            <w:tcBorders>
              <w:top w:val="nil"/>
              <w:left w:val="nil"/>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33</w:t>
            </w:r>
          </w:p>
        </w:tc>
        <w:tc>
          <w:tcPr>
            <w:tcW w:w="1540" w:type="dxa"/>
            <w:tcBorders>
              <w:top w:val="nil"/>
              <w:left w:val="nil"/>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97,0%</w:t>
            </w:r>
          </w:p>
        </w:tc>
        <w:tc>
          <w:tcPr>
            <w:tcW w:w="1540" w:type="dxa"/>
            <w:tcBorders>
              <w:top w:val="nil"/>
              <w:left w:val="nil"/>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62,4</w:t>
            </w:r>
          </w:p>
        </w:tc>
      </w:tr>
      <w:tr w:rsidR="0055491A" w:rsidTr="00210BF6">
        <w:trPr>
          <w:trHeight w:val="178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 </w:t>
            </w:r>
          </w:p>
        </w:tc>
        <w:tc>
          <w:tcPr>
            <w:tcW w:w="3060" w:type="dxa"/>
            <w:tcBorders>
              <w:top w:val="nil"/>
              <w:left w:val="nil"/>
              <w:bottom w:val="single" w:sz="4" w:space="0" w:color="auto"/>
              <w:right w:val="single" w:sz="4" w:space="0" w:color="auto"/>
            </w:tcBorders>
            <w:shd w:val="clear" w:color="auto" w:fill="auto"/>
            <w:vAlign w:val="center"/>
            <w:hideMark/>
          </w:tcPr>
          <w:p w:rsidR="0055491A" w:rsidRDefault="0055491A" w:rsidP="00210BF6">
            <w:pPr>
              <w:rPr>
                <w:sz w:val="20"/>
                <w:szCs w:val="20"/>
              </w:rPr>
            </w:pPr>
            <w:r>
              <w:rPr>
                <w:sz w:val="20"/>
                <w:szCs w:val="20"/>
              </w:rPr>
              <w:t>Штрафы за передачу либо попытку передачи запрещенных предметов лицам, содержащимся в учреждениях уголовно-исполнительной системы или изоляторах временного содержания;</w:t>
            </w:r>
          </w:p>
        </w:tc>
        <w:tc>
          <w:tcPr>
            <w:tcW w:w="1420" w:type="dxa"/>
            <w:tcBorders>
              <w:top w:val="nil"/>
              <w:left w:val="nil"/>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3,5</w:t>
            </w:r>
          </w:p>
        </w:tc>
        <w:tc>
          <w:tcPr>
            <w:tcW w:w="1700" w:type="dxa"/>
            <w:tcBorders>
              <w:top w:val="nil"/>
              <w:left w:val="nil"/>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15</w:t>
            </w:r>
          </w:p>
        </w:tc>
        <w:tc>
          <w:tcPr>
            <w:tcW w:w="1540" w:type="dxa"/>
            <w:tcBorders>
              <w:top w:val="nil"/>
              <w:left w:val="nil"/>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23,1%</w:t>
            </w:r>
          </w:p>
        </w:tc>
        <w:tc>
          <w:tcPr>
            <w:tcW w:w="1540" w:type="dxa"/>
            <w:tcBorders>
              <w:top w:val="nil"/>
              <w:left w:val="nil"/>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6,1</w:t>
            </w:r>
          </w:p>
        </w:tc>
      </w:tr>
      <w:tr w:rsidR="0055491A" w:rsidTr="00210BF6">
        <w:trPr>
          <w:trHeight w:val="51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3</w:t>
            </w:r>
          </w:p>
        </w:tc>
        <w:tc>
          <w:tcPr>
            <w:tcW w:w="3060" w:type="dxa"/>
            <w:tcBorders>
              <w:top w:val="nil"/>
              <w:left w:val="nil"/>
              <w:bottom w:val="single" w:sz="4" w:space="0" w:color="auto"/>
              <w:right w:val="single" w:sz="4" w:space="0" w:color="auto"/>
            </w:tcBorders>
            <w:shd w:val="clear" w:color="auto" w:fill="auto"/>
            <w:vAlign w:val="center"/>
            <w:hideMark/>
          </w:tcPr>
          <w:p w:rsidR="0055491A" w:rsidRDefault="0055491A" w:rsidP="00210BF6">
            <w:pPr>
              <w:jc w:val="both"/>
              <w:rPr>
                <w:sz w:val="20"/>
                <w:szCs w:val="20"/>
              </w:rPr>
            </w:pPr>
            <w:r>
              <w:rPr>
                <w:sz w:val="20"/>
                <w:szCs w:val="20"/>
              </w:rPr>
              <w:t>Штрафы за заведомо ложный вызов специализированных служб</w:t>
            </w:r>
          </w:p>
        </w:tc>
        <w:tc>
          <w:tcPr>
            <w:tcW w:w="1420" w:type="dxa"/>
            <w:tcBorders>
              <w:top w:val="nil"/>
              <w:left w:val="nil"/>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1,1</w:t>
            </w:r>
          </w:p>
        </w:tc>
        <w:tc>
          <w:tcPr>
            <w:tcW w:w="1700" w:type="dxa"/>
            <w:tcBorders>
              <w:top w:val="nil"/>
              <w:left w:val="nil"/>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211</w:t>
            </w:r>
          </w:p>
        </w:tc>
        <w:tc>
          <w:tcPr>
            <w:tcW w:w="1540" w:type="dxa"/>
            <w:tcBorders>
              <w:top w:val="nil"/>
              <w:left w:val="nil"/>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25,0%</w:t>
            </w:r>
          </w:p>
        </w:tc>
        <w:tc>
          <w:tcPr>
            <w:tcW w:w="1540" w:type="dxa"/>
            <w:tcBorders>
              <w:top w:val="nil"/>
              <w:left w:val="nil"/>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29</w:t>
            </w:r>
          </w:p>
        </w:tc>
      </w:tr>
      <w:tr w:rsidR="0055491A" w:rsidTr="00210BF6">
        <w:trPr>
          <w:trHeight w:val="127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4</w:t>
            </w:r>
          </w:p>
        </w:tc>
        <w:tc>
          <w:tcPr>
            <w:tcW w:w="3060" w:type="dxa"/>
            <w:tcBorders>
              <w:top w:val="nil"/>
              <w:left w:val="nil"/>
              <w:bottom w:val="single" w:sz="4" w:space="0" w:color="auto"/>
              <w:right w:val="nil"/>
            </w:tcBorders>
            <w:shd w:val="clear" w:color="auto" w:fill="auto"/>
            <w:vAlign w:val="center"/>
            <w:hideMark/>
          </w:tcPr>
          <w:p w:rsidR="0055491A" w:rsidRDefault="0055491A" w:rsidP="00210BF6">
            <w:pPr>
              <w:jc w:val="both"/>
              <w:rPr>
                <w:sz w:val="20"/>
                <w:szCs w:val="20"/>
              </w:rPr>
            </w:pPr>
            <w:r>
              <w:rPr>
                <w:sz w:val="20"/>
                <w:szCs w:val="20"/>
              </w:rPr>
              <w:t>Штрафы за осуществление деятельности, не связанной с извлечением прибыли, без специального разрешения (лицензии)</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39,2</w:t>
            </w:r>
          </w:p>
        </w:tc>
        <w:tc>
          <w:tcPr>
            <w:tcW w:w="1700" w:type="dxa"/>
            <w:tcBorders>
              <w:top w:val="nil"/>
              <w:left w:val="nil"/>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6</w:t>
            </w:r>
          </w:p>
        </w:tc>
        <w:tc>
          <w:tcPr>
            <w:tcW w:w="1540" w:type="dxa"/>
            <w:tcBorders>
              <w:top w:val="nil"/>
              <w:left w:val="nil"/>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100,0%</w:t>
            </w:r>
          </w:p>
        </w:tc>
        <w:tc>
          <w:tcPr>
            <w:tcW w:w="1540" w:type="dxa"/>
            <w:tcBorders>
              <w:top w:val="nil"/>
              <w:left w:val="nil"/>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117,6</w:t>
            </w:r>
          </w:p>
        </w:tc>
      </w:tr>
      <w:tr w:rsidR="0055491A" w:rsidTr="00210BF6">
        <w:trPr>
          <w:trHeight w:val="102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5</w:t>
            </w:r>
          </w:p>
        </w:tc>
        <w:tc>
          <w:tcPr>
            <w:tcW w:w="3060" w:type="dxa"/>
            <w:tcBorders>
              <w:top w:val="nil"/>
              <w:left w:val="nil"/>
              <w:bottom w:val="single" w:sz="4" w:space="0" w:color="auto"/>
              <w:right w:val="nil"/>
            </w:tcBorders>
            <w:shd w:val="clear" w:color="auto" w:fill="auto"/>
            <w:vAlign w:val="center"/>
            <w:hideMark/>
          </w:tcPr>
          <w:p w:rsidR="0055491A" w:rsidRDefault="0055491A" w:rsidP="00210BF6">
            <w:pPr>
              <w:jc w:val="both"/>
              <w:rPr>
                <w:sz w:val="20"/>
                <w:szCs w:val="20"/>
              </w:rPr>
            </w:pPr>
            <w:r>
              <w:rPr>
                <w:sz w:val="20"/>
                <w:szCs w:val="20"/>
              </w:rPr>
              <w:t>Штрафы за несоблюдение порядка государственной регистрации прав на недвижимое имущество или сделок с ним</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16,5</w:t>
            </w:r>
          </w:p>
        </w:tc>
        <w:tc>
          <w:tcPr>
            <w:tcW w:w="1700" w:type="dxa"/>
            <w:tcBorders>
              <w:top w:val="nil"/>
              <w:left w:val="nil"/>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2</w:t>
            </w:r>
          </w:p>
        </w:tc>
        <w:tc>
          <w:tcPr>
            <w:tcW w:w="1540" w:type="dxa"/>
            <w:tcBorders>
              <w:top w:val="nil"/>
              <w:left w:val="nil"/>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90,9%</w:t>
            </w:r>
          </w:p>
        </w:tc>
        <w:tc>
          <w:tcPr>
            <w:tcW w:w="1540" w:type="dxa"/>
            <w:tcBorders>
              <w:top w:val="nil"/>
              <w:left w:val="nil"/>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15</w:t>
            </w:r>
          </w:p>
        </w:tc>
      </w:tr>
      <w:tr w:rsidR="0055491A" w:rsidTr="00210BF6">
        <w:trPr>
          <w:trHeight w:val="76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lastRenderedPageBreak/>
              <w:t>6</w:t>
            </w:r>
          </w:p>
        </w:tc>
        <w:tc>
          <w:tcPr>
            <w:tcW w:w="3060" w:type="dxa"/>
            <w:tcBorders>
              <w:top w:val="nil"/>
              <w:left w:val="nil"/>
              <w:bottom w:val="single" w:sz="4" w:space="0" w:color="auto"/>
              <w:right w:val="nil"/>
            </w:tcBorders>
            <w:shd w:val="clear" w:color="auto" w:fill="auto"/>
            <w:vAlign w:val="center"/>
            <w:hideMark/>
          </w:tcPr>
          <w:p w:rsidR="0055491A" w:rsidRDefault="0055491A" w:rsidP="00210BF6">
            <w:pPr>
              <w:jc w:val="both"/>
              <w:rPr>
                <w:sz w:val="20"/>
                <w:szCs w:val="20"/>
              </w:rPr>
            </w:pPr>
            <w:r>
              <w:rPr>
                <w:sz w:val="20"/>
                <w:szCs w:val="20"/>
              </w:rPr>
              <w:t>Штрафы за незаконное вознаграждение от имени юридического лица</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500</w:t>
            </w:r>
          </w:p>
        </w:tc>
        <w:tc>
          <w:tcPr>
            <w:tcW w:w="1700" w:type="dxa"/>
            <w:tcBorders>
              <w:top w:val="nil"/>
              <w:left w:val="nil"/>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2</w:t>
            </w:r>
          </w:p>
        </w:tc>
        <w:tc>
          <w:tcPr>
            <w:tcW w:w="1540" w:type="dxa"/>
            <w:tcBorders>
              <w:top w:val="nil"/>
              <w:left w:val="nil"/>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100,0%</w:t>
            </w:r>
          </w:p>
        </w:tc>
        <w:tc>
          <w:tcPr>
            <w:tcW w:w="1540" w:type="dxa"/>
            <w:tcBorders>
              <w:top w:val="nil"/>
              <w:left w:val="nil"/>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500</w:t>
            </w:r>
          </w:p>
        </w:tc>
      </w:tr>
      <w:tr w:rsidR="0055491A" w:rsidTr="00210BF6">
        <w:trPr>
          <w:trHeight w:val="204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7</w:t>
            </w:r>
          </w:p>
        </w:tc>
        <w:tc>
          <w:tcPr>
            <w:tcW w:w="3060" w:type="dxa"/>
            <w:tcBorders>
              <w:top w:val="nil"/>
              <w:left w:val="nil"/>
              <w:bottom w:val="single" w:sz="4" w:space="0" w:color="auto"/>
              <w:right w:val="nil"/>
            </w:tcBorders>
            <w:shd w:val="clear" w:color="auto" w:fill="auto"/>
            <w:vAlign w:val="center"/>
            <w:hideMark/>
          </w:tcPr>
          <w:p w:rsidR="0055491A" w:rsidRDefault="0055491A" w:rsidP="00210BF6">
            <w:pPr>
              <w:jc w:val="both"/>
              <w:rPr>
                <w:sz w:val="20"/>
                <w:szCs w:val="20"/>
              </w:rPr>
            </w:pPr>
            <w:r>
              <w:rPr>
                <w:sz w:val="20"/>
                <w:szCs w:val="20"/>
              </w:rPr>
              <w:t>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39,4</w:t>
            </w:r>
          </w:p>
        </w:tc>
        <w:tc>
          <w:tcPr>
            <w:tcW w:w="1700" w:type="dxa"/>
            <w:tcBorders>
              <w:top w:val="nil"/>
              <w:left w:val="nil"/>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72</w:t>
            </w:r>
          </w:p>
        </w:tc>
        <w:tc>
          <w:tcPr>
            <w:tcW w:w="1540" w:type="dxa"/>
            <w:tcBorders>
              <w:top w:val="nil"/>
              <w:left w:val="nil"/>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99,3%</w:t>
            </w:r>
          </w:p>
        </w:tc>
        <w:tc>
          <w:tcPr>
            <w:tcW w:w="1540" w:type="dxa"/>
            <w:tcBorders>
              <w:top w:val="nil"/>
              <w:left w:val="nil"/>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1408,5</w:t>
            </w:r>
          </w:p>
        </w:tc>
      </w:tr>
      <w:tr w:rsidR="0055491A" w:rsidTr="00210BF6">
        <w:trPr>
          <w:trHeight w:val="127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8</w:t>
            </w:r>
          </w:p>
        </w:tc>
        <w:tc>
          <w:tcPr>
            <w:tcW w:w="3060" w:type="dxa"/>
            <w:tcBorders>
              <w:top w:val="nil"/>
              <w:left w:val="nil"/>
              <w:bottom w:val="single" w:sz="4" w:space="0" w:color="auto"/>
              <w:right w:val="nil"/>
            </w:tcBorders>
            <w:shd w:val="clear" w:color="auto" w:fill="auto"/>
            <w:vAlign w:val="center"/>
            <w:hideMark/>
          </w:tcPr>
          <w:p w:rsidR="0055491A" w:rsidRDefault="0055491A" w:rsidP="00210BF6">
            <w:pPr>
              <w:jc w:val="both"/>
              <w:rPr>
                <w:sz w:val="20"/>
                <w:szCs w:val="20"/>
              </w:rPr>
            </w:pPr>
            <w:r>
              <w:rPr>
                <w:sz w:val="20"/>
                <w:szCs w:val="20"/>
              </w:rPr>
              <w:t>Штрафы за нарушение требований к ведению образовательной деятельности и организации образовательного процесса</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44,3</w:t>
            </w:r>
          </w:p>
        </w:tc>
        <w:tc>
          <w:tcPr>
            <w:tcW w:w="1700" w:type="dxa"/>
            <w:tcBorders>
              <w:top w:val="nil"/>
              <w:left w:val="nil"/>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7</w:t>
            </w:r>
          </w:p>
        </w:tc>
        <w:tc>
          <w:tcPr>
            <w:tcW w:w="1540" w:type="dxa"/>
            <w:tcBorders>
              <w:top w:val="nil"/>
              <w:left w:val="nil"/>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90,3%</w:t>
            </w:r>
          </w:p>
        </w:tc>
        <w:tc>
          <w:tcPr>
            <w:tcW w:w="1540" w:type="dxa"/>
            <w:tcBorders>
              <w:top w:val="nil"/>
              <w:left w:val="nil"/>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140</w:t>
            </w:r>
          </w:p>
        </w:tc>
      </w:tr>
      <w:tr w:rsidR="0055491A" w:rsidTr="00210BF6">
        <w:trPr>
          <w:trHeight w:val="280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9</w:t>
            </w:r>
          </w:p>
        </w:tc>
        <w:tc>
          <w:tcPr>
            <w:tcW w:w="3060" w:type="dxa"/>
            <w:tcBorders>
              <w:top w:val="nil"/>
              <w:left w:val="nil"/>
              <w:bottom w:val="single" w:sz="4" w:space="0" w:color="auto"/>
              <w:right w:val="nil"/>
            </w:tcBorders>
            <w:shd w:val="clear" w:color="auto" w:fill="auto"/>
            <w:vAlign w:val="center"/>
            <w:hideMark/>
          </w:tcPr>
          <w:p w:rsidR="0055491A" w:rsidRDefault="0055491A" w:rsidP="00210BF6">
            <w:pPr>
              <w:jc w:val="both"/>
              <w:rPr>
                <w:sz w:val="20"/>
                <w:szCs w:val="20"/>
              </w:rPr>
            </w:pPr>
            <w:r>
              <w:rPr>
                <w:sz w:val="20"/>
                <w:szCs w:val="20"/>
              </w:rPr>
              <w:t>Штрафы за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14,3</w:t>
            </w:r>
          </w:p>
        </w:tc>
        <w:tc>
          <w:tcPr>
            <w:tcW w:w="1700" w:type="dxa"/>
            <w:tcBorders>
              <w:top w:val="nil"/>
              <w:left w:val="nil"/>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85</w:t>
            </w:r>
          </w:p>
        </w:tc>
        <w:tc>
          <w:tcPr>
            <w:tcW w:w="1540" w:type="dxa"/>
            <w:tcBorders>
              <w:top w:val="nil"/>
              <w:left w:val="nil"/>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5,9%</w:t>
            </w:r>
          </w:p>
        </w:tc>
        <w:tc>
          <w:tcPr>
            <w:tcW w:w="1540" w:type="dxa"/>
            <w:tcBorders>
              <w:top w:val="nil"/>
              <w:left w:val="nil"/>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35,9</w:t>
            </w:r>
          </w:p>
        </w:tc>
      </w:tr>
      <w:tr w:rsidR="0055491A" w:rsidTr="00210BF6">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10</w:t>
            </w:r>
          </w:p>
        </w:tc>
        <w:tc>
          <w:tcPr>
            <w:tcW w:w="3060" w:type="dxa"/>
            <w:tcBorders>
              <w:top w:val="nil"/>
              <w:left w:val="nil"/>
              <w:bottom w:val="single" w:sz="4" w:space="0" w:color="auto"/>
              <w:right w:val="nil"/>
            </w:tcBorders>
            <w:shd w:val="clear" w:color="auto" w:fill="auto"/>
            <w:vAlign w:val="center"/>
            <w:hideMark/>
          </w:tcPr>
          <w:p w:rsidR="0055491A" w:rsidRDefault="0055491A" w:rsidP="00210BF6">
            <w:pPr>
              <w:jc w:val="both"/>
              <w:rPr>
                <w:sz w:val="20"/>
                <w:szCs w:val="20"/>
              </w:rPr>
            </w:pPr>
            <w:r>
              <w:rPr>
                <w:sz w:val="20"/>
                <w:szCs w:val="20"/>
              </w:rPr>
              <w:t>Иные штрафы</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2,3</w:t>
            </w:r>
          </w:p>
        </w:tc>
        <w:tc>
          <w:tcPr>
            <w:tcW w:w="1700" w:type="dxa"/>
            <w:tcBorders>
              <w:top w:val="nil"/>
              <w:left w:val="nil"/>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420</w:t>
            </w:r>
          </w:p>
        </w:tc>
        <w:tc>
          <w:tcPr>
            <w:tcW w:w="1540" w:type="dxa"/>
            <w:tcBorders>
              <w:top w:val="nil"/>
              <w:left w:val="nil"/>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70,3%</w:t>
            </w:r>
          </w:p>
        </w:tc>
        <w:tc>
          <w:tcPr>
            <w:tcW w:w="1540" w:type="dxa"/>
            <w:tcBorders>
              <w:top w:val="nil"/>
              <w:left w:val="nil"/>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339,5</w:t>
            </w:r>
          </w:p>
        </w:tc>
      </w:tr>
      <w:tr w:rsidR="0055491A" w:rsidTr="00210BF6">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p>
        </w:tc>
        <w:tc>
          <w:tcPr>
            <w:tcW w:w="3060" w:type="dxa"/>
            <w:tcBorders>
              <w:top w:val="nil"/>
              <w:left w:val="nil"/>
              <w:bottom w:val="single" w:sz="4" w:space="0" w:color="auto"/>
              <w:right w:val="nil"/>
            </w:tcBorders>
            <w:shd w:val="clear" w:color="auto" w:fill="auto"/>
            <w:vAlign w:val="center"/>
            <w:hideMark/>
          </w:tcPr>
          <w:p w:rsidR="0055491A" w:rsidRDefault="0055491A" w:rsidP="00210BF6">
            <w:pPr>
              <w:rPr>
                <w:b/>
                <w:bCs/>
                <w:sz w:val="20"/>
                <w:szCs w:val="20"/>
              </w:rPr>
            </w:pPr>
            <w:r>
              <w:rPr>
                <w:b/>
                <w:bCs/>
                <w:sz w:val="20"/>
                <w:szCs w:val="20"/>
              </w:rPr>
              <w:t>ИТОГО</w:t>
            </w:r>
          </w:p>
        </w:tc>
        <w:tc>
          <w:tcPr>
            <w:tcW w:w="1420" w:type="dxa"/>
            <w:tcBorders>
              <w:top w:val="nil"/>
              <w:left w:val="nil"/>
              <w:bottom w:val="single" w:sz="4" w:space="0" w:color="auto"/>
              <w:right w:val="nil"/>
            </w:tcBorders>
            <w:shd w:val="clear" w:color="auto" w:fill="auto"/>
            <w:vAlign w:val="center"/>
            <w:hideMark/>
          </w:tcPr>
          <w:p w:rsidR="0055491A" w:rsidRDefault="0055491A" w:rsidP="00210BF6">
            <w:pPr>
              <w:rPr>
                <w:b/>
                <w:bCs/>
                <w:sz w:val="20"/>
                <w:szCs w:val="20"/>
              </w:rPr>
            </w:pPr>
            <w:r>
              <w:rPr>
                <w:b/>
                <w:bCs/>
                <w:sz w:val="20"/>
                <w:szCs w:val="20"/>
              </w:rPr>
              <w:t> </w:t>
            </w:r>
          </w:p>
        </w:tc>
        <w:tc>
          <w:tcPr>
            <w:tcW w:w="1700" w:type="dxa"/>
            <w:tcBorders>
              <w:top w:val="nil"/>
              <w:left w:val="nil"/>
              <w:bottom w:val="single" w:sz="4" w:space="0" w:color="auto"/>
              <w:right w:val="nil"/>
            </w:tcBorders>
            <w:shd w:val="clear" w:color="auto" w:fill="auto"/>
            <w:vAlign w:val="center"/>
            <w:hideMark/>
          </w:tcPr>
          <w:p w:rsidR="0055491A" w:rsidRDefault="0055491A" w:rsidP="00210BF6">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vAlign w:val="center"/>
            <w:hideMark/>
          </w:tcPr>
          <w:p w:rsidR="0055491A" w:rsidRDefault="0055491A" w:rsidP="00210BF6">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vAlign w:val="center"/>
            <w:hideMark/>
          </w:tcPr>
          <w:p w:rsidR="0055491A" w:rsidRDefault="0055491A" w:rsidP="00210BF6">
            <w:pPr>
              <w:jc w:val="center"/>
              <w:rPr>
                <w:b/>
                <w:bCs/>
                <w:sz w:val="20"/>
                <w:szCs w:val="20"/>
              </w:rPr>
            </w:pPr>
            <w:r>
              <w:rPr>
                <w:b/>
                <w:bCs/>
                <w:sz w:val="20"/>
                <w:szCs w:val="20"/>
              </w:rPr>
              <w:t>5 007,7</w:t>
            </w:r>
          </w:p>
        </w:tc>
      </w:tr>
    </w:tbl>
    <w:p w:rsidR="0055491A" w:rsidRDefault="0055491A" w:rsidP="0055491A">
      <w:pPr>
        <w:pStyle w:val="a7"/>
        <w:spacing w:after="0"/>
        <w:ind w:left="0" w:firstLine="709"/>
        <w:jc w:val="both"/>
        <w:rPr>
          <w:sz w:val="28"/>
          <w:szCs w:val="28"/>
        </w:rPr>
      </w:pPr>
    </w:p>
    <w:p w:rsidR="0055491A" w:rsidRPr="00927E55" w:rsidRDefault="0055491A" w:rsidP="0055491A">
      <w:pPr>
        <w:pStyle w:val="a7"/>
        <w:spacing w:after="0"/>
        <w:ind w:left="0" w:firstLine="709"/>
        <w:jc w:val="both"/>
        <w:rPr>
          <w:sz w:val="28"/>
          <w:szCs w:val="28"/>
        </w:rPr>
      </w:pPr>
      <w:r w:rsidRPr="00927E55">
        <w:rPr>
          <w:b/>
          <w:sz w:val="28"/>
          <w:szCs w:val="28"/>
        </w:rPr>
        <w:t>Прогноз поступлений 2022 год – 5</w:t>
      </w:r>
      <w:r>
        <w:rPr>
          <w:b/>
          <w:sz w:val="28"/>
          <w:szCs w:val="28"/>
        </w:rPr>
        <w:t xml:space="preserve"> 0</w:t>
      </w:r>
      <w:r w:rsidRPr="00927E55">
        <w:rPr>
          <w:b/>
          <w:sz w:val="28"/>
          <w:szCs w:val="28"/>
        </w:rPr>
        <w:t>0</w:t>
      </w:r>
      <w:r>
        <w:rPr>
          <w:b/>
          <w:sz w:val="28"/>
          <w:szCs w:val="28"/>
        </w:rPr>
        <w:t>7</w:t>
      </w:r>
      <w:r w:rsidRPr="00927E55">
        <w:rPr>
          <w:b/>
          <w:sz w:val="28"/>
          <w:szCs w:val="28"/>
        </w:rPr>
        <w:t>,</w:t>
      </w:r>
      <w:r>
        <w:rPr>
          <w:b/>
          <w:sz w:val="28"/>
          <w:szCs w:val="28"/>
        </w:rPr>
        <w:t>7</w:t>
      </w:r>
      <w:r w:rsidRPr="00927E55">
        <w:rPr>
          <w:b/>
          <w:sz w:val="28"/>
          <w:szCs w:val="28"/>
        </w:rPr>
        <w:t xml:space="preserve"> тыс. руб., 2023-2024 гг.</w:t>
      </w:r>
      <w:r w:rsidRPr="001D09DD">
        <w:rPr>
          <w:sz w:val="28"/>
          <w:szCs w:val="28"/>
        </w:rPr>
        <w:t xml:space="preserve"> принят на уровне прогноза на 20</w:t>
      </w:r>
      <w:r>
        <w:rPr>
          <w:sz w:val="28"/>
          <w:szCs w:val="28"/>
        </w:rPr>
        <w:t>22</w:t>
      </w:r>
      <w:r w:rsidRPr="001D09DD">
        <w:rPr>
          <w:sz w:val="28"/>
          <w:szCs w:val="28"/>
        </w:rPr>
        <w:t xml:space="preserve"> год и составляет </w:t>
      </w:r>
      <w:r w:rsidRPr="00927E55">
        <w:rPr>
          <w:b/>
          <w:sz w:val="28"/>
          <w:szCs w:val="28"/>
        </w:rPr>
        <w:t>5</w:t>
      </w:r>
      <w:r>
        <w:rPr>
          <w:b/>
          <w:sz w:val="28"/>
          <w:szCs w:val="28"/>
        </w:rPr>
        <w:t xml:space="preserve"> </w:t>
      </w:r>
      <w:r w:rsidRPr="00927E55">
        <w:rPr>
          <w:b/>
          <w:sz w:val="28"/>
          <w:szCs w:val="28"/>
        </w:rPr>
        <w:t>0</w:t>
      </w:r>
      <w:r>
        <w:rPr>
          <w:b/>
          <w:sz w:val="28"/>
          <w:szCs w:val="28"/>
        </w:rPr>
        <w:t>07</w:t>
      </w:r>
      <w:r w:rsidRPr="00927E55">
        <w:rPr>
          <w:b/>
          <w:sz w:val="28"/>
          <w:szCs w:val="28"/>
        </w:rPr>
        <w:t>,</w:t>
      </w:r>
      <w:r>
        <w:rPr>
          <w:b/>
          <w:sz w:val="28"/>
          <w:szCs w:val="28"/>
        </w:rPr>
        <w:t>7</w:t>
      </w:r>
      <w:r w:rsidRPr="00927E55">
        <w:rPr>
          <w:b/>
          <w:sz w:val="28"/>
          <w:szCs w:val="28"/>
        </w:rPr>
        <w:t xml:space="preserve"> тыс. руб.</w:t>
      </w:r>
      <w:r>
        <w:rPr>
          <w:b/>
          <w:sz w:val="28"/>
          <w:szCs w:val="28"/>
        </w:rPr>
        <w:t xml:space="preserve"> </w:t>
      </w:r>
      <w:r w:rsidRPr="00927E55">
        <w:rPr>
          <w:sz w:val="28"/>
          <w:szCs w:val="28"/>
        </w:rPr>
        <w:t>ежегодно.</w:t>
      </w:r>
    </w:p>
    <w:p w:rsidR="0055491A" w:rsidRDefault="0055491A" w:rsidP="0055491A">
      <w:pPr>
        <w:pStyle w:val="a7"/>
        <w:spacing w:after="0"/>
        <w:jc w:val="both"/>
        <w:rPr>
          <w:sz w:val="28"/>
          <w:szCs w:val="28"/>
        </w:rPr>
      </w:pPr>
    </w:p>
    <w:p w:rsidR="0055491A" w:rsidRDefault="0055491A" w:rsidP="0055491A">
      <w:pPr>
        <w:pStyle w:val="a7"/>
        <w:spacing w:after="0"/>
        <w:jc w:val="both"/>
        <w:rPr>
          <w:sz w:val="28"/>
          <w:szCs w:val="28"/>
        </w:rPr>
      </w:pPr>
    </w:p>
    <w:p w:rsidR="0055491A" w:rsidRDefault="0055491A" w:rsidP="0055491A">
      <w:pPr>
        <w:pStyle w:val="a7"/>
        <w:spacing w:after="0"/>
        <w:ind w:left="0" w:firstLine="709"/>
        <w:jc w:val="both"/>
        <w:rPr>
          <w:sz w:val="28"/>
          <w:szCs w:val="28"/>
        </w:rPr>
      </w:pPr>
      <w:r>
        <w:rPr>
          <w:sz w:val="28"/>
          <w:szCs w:val="28"/>
        </w:rPr>
        <w:t xml:space="preserve">14. </w:t>
      </w:r>
      <w:r w:rsidRPr="00AC781D">
        <w:rPr>
          <w:sz w:val="28"/>
          <w:szCs w:val="28"/>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r>
        <w:rPr>
          <w:sz w:val="28"/>
          <w:szCs w:val="28"/>
        </w:rPr>
        <w:t xml:space="preserve"> (</w:t>
      </w:r>
      <w:r w:rsidRPr="00B73622">
        <w:rPr>
          <w:b/>
          <w:sz w:val="28"/>
          <w:szCs w:val="28"/>
        </w:rPr>
        <w:t>КБК 000 1 16 01200 01 0000 140</w:t>
      </w:r>
      <w:r>
        <w:rPr>
          <w:sz w:val="28"/>
          <w:szCs w:val="28"/>
        </w:rPr>
        <w:t>).</w:t>
      </w:r>
    </w:p>
    <w:p w:rsidR="0055491A" w:rsidRPr="00B73622" w:rsidRDefault="0055491A" w:rsidP="0055491A">
      <w:pPr>
        <w:pStyle w:val="a7"/>
        <w:spacing w:after="0"/>
        <w:ind w:left="0" w:firstLine="709"/>
        <w:jc w:val="both"/>
        <w:rPr>
          <w:b/>
          <w:sz w:val="28"/>
          <w:szCs w:val="28"/>
        </w:rPr>
      </w:pPr>
      <w:r w:rsidRPr="00B73622">
        <w:rPr>
          <w:b/>
          <w:sz w:val="28"/>
          <w:szCs w:val="28"/>
        </w:rPr>
        <w:t>Прогноз по КБК всего на 202</w:t>
      </w:r>
      <w:r>
        <w:rPr>
          <w:b/>
          <w:sz w:val="28"/>
          <w:szCs w:val="28"/>
        </w:rPr>
        <w:t>2</w:t>
      </w:r>
      <w:r w:rsidRPr="00B73622">
        <w:rPr>
          <w:b/>
          <w:sz w:val="28"/>
          <w:szCs w:val="28"/>
        </w:rPr>
        <w:t xml:space="preserve"> год – </w:t>
      </w:r>
      <w:r>
        <w:rPr>
          <w:b/>
          <w:sz w:val="28"/>
          <w:szCs w:val="28"/>
        </w:rPr>
        <w:t>10</w:t>
      </w:r>
      <w:r w:rsidRPr="00B73622">
        <w:rPr>
          <w:b/>
          <w:sz w:val="28"/>
          <w:szCs w:val="28"/>
        </w:rPr>
        <w:t> </w:t>
      </w:r>
      <w:r>
        <w:rPr>
          <w:b/>
          <w:sz w:val="28"/>
          <w:szCs w:val="28"/>
        </w:rPr>
        <w:t>177</w:t>
      </w:r>
      <w:r w:rsidRPr="00B73622">
        <w:rPr>
          <w:b/>
          <w:sz w:val="28"/>
          <w:szCs w:val="28"/>
        </w:rPr>
        <w:t>,</w:t>
      </w:r>
      <w:r>
        <w:rPr>
          <w:b/>
          <w:sz w:val="28"/>
          <w:szCs w:val="28"/>
        </w:rPr>
        <w:t>2</w:t>
      </w:r>
      <w:r w:rsidRPr="00B73622">
        <w:rPr>
          <w:b/>
          <w:sz w:val="28"/>
          <w:szCs w:val="28"/>
        </w:rPr>
        <w:t xml:space="preserve"> тыс. руб., на плановый период 202</w:t>
      </w:r>
      <w:r>
        <w:rPr>
          <w:b/>
          <w:sz w:val="28"/>
          <w:szCs w:val="28"/>
        </w:rPr>
        <w:t>3</w:t>
      </w:r>
      <w:r w:rsidRPr="00B73622">
        <w:rPr>
          <w:b/>
          <w:sz w:val="28"/>
          <w:szCs w:val="28"/>
        </w:rPr>
        <w:t xml:space="preserve"> год – </w:t>
      </w:r>
      <w:r>
        <w:rPr>
          <w:b/>
          <w:sz w:val="28"/>
          <w:szCs w:val="28"/>
        </w:rPr>
        <w:t>10 348,1</w:t>
      </w:r>
      <w:r w:rsidRPr="00B73622">
        <w:rPr>
          <w:b/>
          <w:sz w:val="28"/>
          <w:szCs w:val="28"/>
        </w:rPr>
        <w:t xml:space="preserve"> тыс. руб., 202</w:t>
      </w:r>
      <w:r>
        <w:rPr>
          <w:b/>
          <w:sz w:val="28"/>
          <w:szCs w:val="28"/>
        </w:rPr>
        <w:t>4</w:t>
      </w:r>
      <w:r w:rsidRPr="00B73622">
        <w:rPr>
          <w:b/>
          <w:sz w:val="28"/>
          <w:szCs w:val="28"/>
        </w:rPr>
        <w:t xml:space="preserve"> год – </w:t>
      </w:r>
      <w:r>
        <w:rPr>
          <w:b/>
          <w:sz w:val="28"/>
          <w:szCs w:val="28"/>
        </w:rPr>
        <w:t>10 198,9</w:t>
      </w:r>
      <w:r w:rsidRPr="00B73622">
        <w:rPr>
          <w:b/>
          <w:sz w:val="28"/>
          <w:szCs w:val="28"/>
        </w:rPr>
        <w:t xml:space="preserve"> тыс. руб.</w:t>
      </w:r>
    </w:p>
    <w:p w:rsidR="0055491A" w:rsidRDefault="0055491A" w:rsidP="0055491A">
      <w:pPr>
        <w:pStyle w:val="a7"/>
        <w:spacing w:after="0"/>
        <w:ind w:left="0" w:firstLine="709"/>
        <w:jc w:val="both"/>
        <w:rPr>
          <w:sz w:val="28"/>
          <w:szCs w:val="28"/>
        </w:rPr>
      </w:pPr>
    </w:p>
    <w:p w:rsidR="0055491A" w:rsidRDefault="0055491A" w:rsidP="0055491A">
      <w:pPr>
        <w:pStyle w:val="a7"/>
        <w:spacing w:after="0"/>
        <w:ind w:left="0" w:firstLine="709"/>
        <w:jc w:val="both"/>
        <w:rPr>
          <w:sz w:val="28"/>
          <w:szCs w:val="28"/>
        </w:rPr>
      </w:pPr>
      <w:r>
        <w:rPr>
          <w:sz w:val="28"/>
          <w:szCs w:val="28"/>
        </w:rPr>
        <w:t xml:space="preserve">14.1 </w:t>
      </w:r>
      <w:r w:rsidRPr="00B73622">
        <w:rPr>
          <w:b/>
          <w:sz w:val="28"/>
          <w:szCs w:val="28"/>
        </w:rPr>
        <w:t>КБК 075 1 16 01203 01 0000 140</w:t>
      </w:r>
      <w:r>
        <w:rPr>
          <w:sz w:val="28"/>
          <w:szCs w:val="28"/>
        </w:rPr>
        <w:t xml:space="preserve"> </w:t>
      </w:r>
      <w:r w:rsidRPr="00EF7C09">
        <w:rPr>
          <w:sz w:val="28"/>
          <w:szCs w:val="28"/>
        </w:rPr>
        <w:t xml:space="preserve">Административные штрафы, установленные Главой </w:t>
      </w:r>
      <w:r>
        <w:rPr>
          <w:sz w:val="28"/>
          <w:szCs w:val="28"/>
        </w:rPr>
        <w:t>20</w:t>
      </w:r>
      <w:r w:rsidRPr="00EF7C09">
        <w:rPr>
          <w:sz w:val="28"/>
          <w:szCs w:val="28"/>
        </w:rPr>
        <w:t xml:space="preserve"> Кодекса Российской Федерации об административных правонарушениях</w:t>
      </w:r>
      <w:r>
        <w:rPr>
          <w:sz w:val="28"/>
          <w:szCs w:val="28"/>
        </w:rPr>
        <w:t>,</w:t>
      </w:r>
      <w:r w:rsidRPr="00EF7C09">
        <w:rPr>
          <w:sz w:val="28"/>
          <w:szCs w:val="28"/>
        </w:rPr>
        <w:t xml:space="preserve"> </w:t>
      </w:r>
      <w:r w:rsidRPr="00AC781D">
        <w:rPr>
          <w:sz w:val="28"/>
          <w:szCs w:val="28"/>
        </w:rPr>
        <w:t>за административные правонарушения, посягающие на общественный порядок и общественную безопасность</w:t>
      </w:r>
      <w:r w:rsidRPr="00EF7C09">
        <w:rPr>
          <w:sz w:val="28"/>
          <w:szCs w:val="28"/>
        </w:rPr>
        <w:t>, налагаемые мировыми судьями, комиссиями по делам несовершеннолетних и защите их прав</w:t>
      </w:r>
      <w:r>
        <w:rPr>
          <w:sz w:val="28"/>
          <w:szCs w:val="28"/>
        </w:rPr>
        <w:t>.</w:t>
      </w:r>
    </w:p>
    <w:p w:rsidR="0055491A" w:rsidRDefault="0055491A" w:rsidP="0055491A">
      <w:pPr>
        <w:pStyle w:val="a7"/>
        <w:spacing w:after="0"/>
        <w:ind w:left="0" w:firstLine="709"/>
        <w:jc w:val="both"/>
        <w:rPr>
          <w:sz w:val="28"/>
          <w:szCs w:val="28"/>
        </w:rPr>
      </w:pPr>
      <w:r w:rsidRPr="00B73622">
        <w:rPr>
          <w:b/>
          <w:sz w:val="28"/>
          <w:szCs w:val="28"/>
        </w:rPr>
        <w:t>Главный администратор доходов – Министерство образования Тверской области</w:t>
      </w:r>
      <w:r>
        <w:rPr>
          <w:sz w:val="28"/>
          <w:szCs w:val="28"/>
        </w:rPr>
        <w:t xml:space="preserve">. </w:t>
      </w:r>
    </w:p>
    <w:p w:rsidR="0055491A" w:rsidRDefault="0055491A" w:rsidP="0055491A">
      <w:pPr>
        <w:pStyle w:val="a7"/>
        <w:spacing w:after="0"/>
        <w:ind w:left="0" w:firstLine="709"/>
        <w:jc w:val="both"/>
        <w:rPr>
          <w:sz w:val="28"/>
          <w:szCs w:val="28"/>
        </w:rPr>
      </w:pPr>
      <w:r>
        <w:rPr>
          <w:sz w:val="28"/>
          <w:szCs w:val="28"/>
        </w:rPr>
        <w:t xml:space="preserve">Расчет представлен в таблице: </w:t>
      </w:r>
    </w:p>
    <w:p w:rsidR="0055491A" w:rsidRDefault="0055491A" w:rsidP="0055491A">
      <w:pPr>
        <w:pStyle w:val="a7"/>
        <w:spacing w:after="0"/>
        <w:ind w:left="0" w:firstLine="709"/>
        <w:jc w:val="right"/>
        <w:rPr>
          <w:sz w:val="28"/>
          <w:szCs w:val="28"/>
        </w:rPr>
      </w:pPr>
      <w:r w:rsidRPr="00AD0448">
        <w:t>тыс. руб</w:t>
      </w:r>
      <w:r>
        <w:rPr>
          <w:sz w:val="28"/>
          <w:szCs w:val="28"/>
        </w:rPr>
        <w:t>.</w:t>
      </w:r>
    </w:p>
    <w:tbl>
      <w:tblPr>
        <w:tblW w:w="9368" w:type="dxa"/>
        <w:tblLook w:val="04A0" w:firstRow="1" w:lastRow="0" w:firstColumn="1" w:lastColumn="0" w:noHBand="0" w:noVBand="1"/>
      </w:tblPr>
      <w:tblGrid>
        <w:gridCol w:w="1913"/>
        <w:gridCol w:w="1243"/>
        <w:gridCol w:w="1242"/>
        <w:gridCol w:w="1243"/>
        <w:gridCol w:w="1242"/>
        <w:gridCol w:w="1242"/>
        <w:gridCol w:w="1243"/>
      </w:tblGrid>
      <w:tr w:rsidR="0055491A" w:rsidTr="00210BF6">
        <w:trPr>
          <w:trHeight w:val="291"/>
        </w:trPr>
        <w:tc>
          <w:tcPr>
            <w:tcW w:w="9368"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5491A" w:rsidRDefault="0055491A" w:rsidP="00210BF6">
            <w:pPr>
              <w:jc w:val="center"/>
              <w:rPr>
                <w:b/>
                <w:bCs/>
                <w:color w:val="000000"/>
                <w:sz w:val="22"/>
                <w:szCs w:val="22"/>
              </w:rPr>
            </w:pPr>
            <w:r>
              <w:rPr>
                <w:b/>
                <w:bCs/>
                <w:color w:val="000000"/>
                <w:sz w:val="22"/>
                <w:szCs w:val="22"/>
              </w:rPr>
              <w:lastRenderedPageBreak/>
              <w:t>Глава 20 КоАП РФ</w:t>
            </w:r>
          </w:p>
        </w:tc>
      </w:tr>
      <w:tr w:rsidR="0055491A" w:rsidTr="00210BF6">
        <w:trPr>
          <w:trHeight w:val="529"/>
        </w:trPr>
        <w:tc>
          <w:tcPr>
            <w:tcW w:w="1913" w:type="dxa"/>
            <w:vMerge w:val="restart"/>
            <w:tcBorders>
              <w:top w:val="nil"/>
              <w:left w:val="single" w:sz="4" w:space="0" w:color="auto"/>
              <w:bottom w:val="single" w:sz="4" w:space="0" w:color="auto"/>
              <w:right w:val="single" w:sz="4" w:space="0" w:color="auto"/>
            </w:tcBorders>
            <w:shd w:val="clear" w:color="auto" w:fill="auto"/>
            <w:vAlign w:val="bottom"/>
            <w:hideMark/>
          </w:tcPr>
          <w:p w:rsidR="0055491A" w:rsidRDefault="0055491A" w:rsidP="00210BF6">
            <w:pPr>
              <w:jc w:val="center"/>
              <w:rPr>
                <w:b/>
                <w:bCs/>
                <w:color w:val="000000"/>
                <w:sz w:val="22"/>
                <w:szCs w:val="22"/>
              </w:rPr>
            </w:pPr>
            <w:r>
              <w:rPr>
                <w:b/>
                <w:bCs/>
                <w:color w:val="000000"/>
                <w:sz w:val="22"/>
                <w:szCs w:val="22"/>
              </w:rPr>
              <w:t>Размер платежа (тыс.руб.)</w:t>
            </w:r>
          </w:p>
        </w:tc>
        <w:tc>
          <w:tcPr>
            <w:tcW w:w="3728" w:type="dxa"/>
            <w:gridSpan w:val="3"/>
            <w:tcBorders>
              <w:top w:val="single" w:sz="4" w:space="0" w:color="auto"/>
              <w:left w:val="nil"/>
              <w:bottom w:val="single" w:sz="4" w:space="0" w:color="auto"/>
              <w:right w:val="single" w:sz="4" w:space="0" w:color="auto"/>
            </w:tcBorders>
            <w:shd w:val="clear" w:color="auto" w:fill="auto"/>
            <w:vAlign w:val="bottom"/>
            <w:hideMark/>
          </w:tcPr>
          <w:p w:rsidR="0055491A" w:rsidRDefault="0055491A" w:rsidP="00210BF6">
            <w:pPr>
              <w:jc w:val="center"/>
              <w:rPr>
                <w:b/>
                <w:bCs/>
                <w:color w:val="000000"/>
                <w:sz w:val="22"/>
                <w:szCs w:val="22"/>
              </w:rPr>
            </w:pPr>
            <w:r>
              <w:rPr>
                <w:b/>
                <w:bCs/>
                <w:color w:val="000000"/>
                <w:sz w:val="22"/>
                <w:szCs w:val="22"/>
              </w:rPr>
              <w:t>Количество правонарушений (с учетом округления)</w:t>
            </w:r>
          </w:p>
        </w:tc>
        <w:tc>
          <w:tcPr>
            <w:tcW w:w="3727" w:type="dxa"/>
            <w:gridSpan w:val="3"/>
            <w:tcBorders>
              <w:top w:val="single" w:sz="4" w:space="0" w:color="auto"/>
              <w:left w:val="nil"/>
              <w:bottom w:val="single" w:sz="4" w:space="0" w:color="auto"/>
              <w:right w:val="single" w:sz="4" w:space="0" w:color="auto"/>
            </w:tcBorders>
            <w:shd w:val="clear" w:color="auto" w:fill="auto"/>
            <w:noWrap/>
            <w:vAlign w:val="bottom"/>
            <w:hideMark/>
          </w:tcPr>
          <w:p w:rsidR="0055491A" w:rsidRDefault="0055491A" w:rsidP="00210BF6">
            <w:pPr>
              <w:jc w:val="center"/>
              <w:rPr>
                <w:b/>
                <w:bCs/>
                <w:color w:val="000000"/>
                <w:sz w:val="22"/>
                <w:szCs w:val="22"/>
              </w:rPr>
            </w:pPr>
            <w:r>
              <w:rPr>
                <w:b/>
                <w:bCs/>
                <w:color w:val="000000"/>
                <w:sz w:val="22"/>
                <w:szCs w:val="22"/>
              </w:rPr>
              <w:t>Прогноз</w:t>
            </w:r>
          </w:p>
        </w:tc>
      </w:tr>
      <w:tr w:rsidR="0055491A" w:rsidTr="00210BF6">
        <w:trPr>
          <w:trHeight w:val="291"/>
        </w:trPr>
        <w:tc>
          <w:tcPr>
            <w:tcW w:w="1913" w:type="dxa"/>
            <w:vMerge/>
            <w:tcBorders>
              <w:top w:val="nil"/>
              <w:left w:val="single" w:sz="4" w:space="0" w:color="auto"/>
              <w:bottom w:val="single" w:sz="4" w:space="0" w:color="auto"/>
              <w:right w:val="single" w:sz="4" w:space="0" w:color="auto"/>
            </w:tcBorders>
            <w:vAlign w:val="center"/>
            <w:hideMark/>
          </w:tcPr>
          <w:p w:rsidR="0055491A" w:rsidRDefault="0055491A" w:rsidP="00210BF6">
            <w:pPr>
              <w:rPr>
                <w:b/>
                <w:bCs/>
                <w:color w:val="000000"/>
                <w:sz w:val="22"/>
                <w:szCs w:val="22"/>
              </w:rPr>
            </w:pPr>
          </w:p>
        </w:tc>
        <w:tc>
          <w:tcPr>
            <w:tcW w:w="1243" w:type="dxa"/>
            <w:tcBorders>
              <w:top w:val="nil"/>
              <w:left w:val="nil"/>
              <w:bottom w:val="single" w:sz="4" w:space="0" w:color="auto"/>
              <w:right w:val="single" w:sz="4" w:space="0" w:color="auto"/>
            </w:tcBorders>
            <w:shd w:val="clear" w:color="auto" w:fill="auto"/>
            <w:noWrap/>
            <w:vAlign w:val="bottom"/>
            <w:hideMark/>
          </w:tcPr>
          <w:p w:rsidR="0055491A" w:rsidRDefault="0055491A" w:rsidP="00210BF6">
            <w:pPr>
              <w:jc w:val="center"/>
              <w:rPr>
                <w:b/>
                <w:bCs/>
                <w:color w:val="000000"/>
                <w:sz w:val="22"/>
                <w:szCs w:val="22"/>
              </w:rPr>
            </w:pPr>
            <w:r>
              <w:rPr>
                <w:b/>
                <w:bCs/>
                <w:color w:val="000000"/>
                <w:sz w:val="22"/>
                <w:szCs w:val="22"/>
              </w:rPr>
              <w:t>2022 год</w:t>
            </w:r>
          </w:p>
        </w:tc>
        <w:tc>
          <w:tcPr>
            <w:tcW w:w="1242" w:type="dxa"/>
            <w:tcBorders>
              <w:top w:val="nil"/>
              <w:left w:val="nil"/>
              <w:bottom w:val="single" w:sz="4" w:space="0" w:color="auto"/>
              <w:right w:val="single" w:sz="4" w:space="0" w:color="auto"/>
            </w:tcBorders>
            <w:shd w:val="clear" w:color="auto" w:fill="auto"/>
            <w:noWrap/>
            <w:vAlign w:val="bottom"/>
            <w:hideMark/>
          </w:tcPr>
          <w:p w:rsidR="0055491A" w:rsidRDefault="0055491A" w:rsidP="00210BF6">
            <w:pPr>
              <w:jc w:val="center"/>
              <w:rPr>
                <w:b/>
                <w:bCs/>
                <w:color w:val="000000"/>
                <w:sz w:val="22"/>
                <w:szCs w:val="22"/>
              </w:rPr>
            </w:pPr>
            <w:r>
              <w:rPr>
                <w:b/>
                <w:bCs/>
                <w:color w:val="000000"/>
                <w:sz w:val="22"/>
                <w:szCs w:val="22"/>
              </w:rPr>
              <w:t>2023 год</w:t>
            </w:r>
          </w:p>
        </w:tc>
        <w:tc>
          <w:tcPr>
            <w:tcW w:w="1243" w:type="dxa"/>
            <w:tcBorders>
              <w:top w:val="nil"/>
              <w:left w:val="nil"/>
              <w:bottom w:val="single" w:sz="4" w:space="0" w:color="auto"/>
              <w:right w:val="single" w:sz="4" w:space="0" w:color="auto"/>
            </w:tcBorders>
            <w:shd w:val="clear" w:color="auto" w:fill="auto"/>
            <w:noWrap/>
            <w:vAlign w:val="bottom"/>
            <w:hideMark/>
          </w:tcPr>
          <w:p w:rsidR="0055491A" w:rsidRDefault="0055491A" w:rsidP="00210BF6">
            <w:pPr>
              <w:jc w:val="center"/>
              <w:rPr>
                <w:b/>
                <w:bCs/>
                <w:color w:val="000000"/>
                <w:sz w:val="22"/>
                <w:szCs w:val="22"/>
              </w:rPr>
            </w:pPr>
            <w:r>
              <w:rPr>
                <w:b/>
                <w:bCs/>
                <w:color w:val="000000"/>
                <w:sz w:val="22"/>
                <w:szCs w:val="22"/>
              </w:rPr>
              <w:t>2024 год</w:t>
            </w:r>
          </w:p>
        </w:tc>
        <w:tc>
          <w:tcPr>
            <w:tcW w:w="1242" w:type="dxa"/>
            <w:tcBorders>
              <w:top w:val="nil"/>
              <w:left w:val="nil"/>
              <w:bottom w:val="single" w:sz="4" w:space="0" w:color="auto"/>
              <w:right w:val="single" w:sz="4" w:space="0" w:color="auto"/>
            </w:tcBorders>
            <w:shd w:val="clear" w:color="auto" w:fill="auto"/>
            <w:noWrap/>
            <w:vAlign w:val="bottom"/>
            <w:hideMark/>
          </w:tcPr>
          <w:p w:rsidR="0055491A" w:rsidRDefault="0055491A" w:rsidP="00210BF6">
            <w:pPr>
              <w:jc w:val="center"/>
              <w:rPr>
                <w:b/>
                <w:bCs/>
                <w:color w:val="000000"/>
                <w:sz w:val="22"/>
                <w:szCs w:val="22"/>
              </w:rPr>
            </w:pPr>
            <w:r>
              <w:rPr>
                <w:b/>
                <w:bCs/>
                <w:color w:val="000000"/>
                <w:sz w:val="22"/>
                <w:szCs w:val="22"/>
              </w:rPr>
              <w:t>2022 год</w:t>
            </w:r>
          </w:p>
        </w:tc>
        <w:tc>
          <w:tcPr>
            <w:tcW w:w="1242" w:type="dxa"/>
            <w:tcBorders>
              <w:top w:val="nil"/>
              <w:left w:val="nil"/>
              <w:bottom w:val="single" w:sz="4" w:space="0" w:color="auto"/>
              <w:right w:val="single" w:sz="4" w:space="0" w:color="auto"/>
            </w:tcBorders>
            <w:shd w:val="clear" w:color="auto" w:fill="auto"/>
            <w:noWrap/>
            <w:vAlign w:val="bottom"/>
            <w:hideMark/>
          </w:tcPr>
          <w:p w:rsidR="0055491A" w:rsidRDefault="0055491A" w:rsidP="00210BF6">
            <w:pPr>
              <w:jc w:val="center"/>
              <w:rPr>
                <w:b/>
                <w:bCs/>
                <w:color w:val="000000"/>
                <w:sz w:val="22"/>
                <w:szCs w:val="22"/>
              </w:rPr>
            </w:pPr>
            <w:r>
              <w:rPr>
                <w:b/>
                <w:bCs/>
                <w:color w:val="000000"/>
                <w:sz w:val="22"/>
                <w:szCs w:val="22"/>
              </w:rPr>
              <w:t>2023 год</w:t>
            </w:r>
          </w:p>
        </w:tc>
        <w:tc>
          <w:tcPr>
            <w:tcW w:w="1243" w:type="dxa"/>
            <w:tcBorders>
              <w:top w:val="nil"/>
              <w:left w:val="nil"/>
              <w:bottom w:val="single" w:sz="4" w:space="0" w:color="auto"/>
              <w:right w:val="single" w:sz="4" w:space="0" w:color="auto"/>
            </w:tcBorders>
            <w:shd w:val="clear" w:color="auto" w:fill="auto"/>
            <w:noWrap/>
            <w:vAlign w:val="bottom"/>
            <w:hideMark/>
          </w:tcPr>
          <w:p w:rsidR="0055491A" w:rsidRDefault="0055491A" w:rsidP="00210BF6">
            <w:pPr>
              <w:jc w:val="center"/>
              <w:rPr>
                <w:b/>
                <w:bCs/>
                <w:color w:val="000000"/>
                <w:sz w:val="22"/>
                <w:szCs w:val="22"/>
              </w:rPr>
            </w:pPr>
            <w:r>
              <w:rPr>
                <w:b/>
                <w:bCs/>
                <w:color w:val="000000"/>
                <w:sz w:val="22"/>
                <w:szCs w:val="22"/>
              </w:rPr>
              <w:t>2024 год</w:t>
            </w:r>
          </w:p>
        </w:tc>
      </w:tr>
      <w:tr w:rsidR="0055491A" w:rsidTr="00210BF6">
        <w:trPr>
          <w:trHeight w:val="291"/>
        </w:trPr>
        <w:tc>
          <w:tcPr>
            <w:tcW w:w="1913" w:type="dxa"/>
            <w:tcBorders>
              <w:top w:val="nil"/>
              <w:left w:val="single" w:sz="4" w:space="0" w:color="auto"/>
              <w:bottom w:val="single" w:sz="4" w:space="0" w:color="auto"/>
              <w:right w:val="single" w:sz="4" w:space="0" w:color="auto"/>
            </w:tcBorders>
            <w:shd w:val="clear" w:color="auto" w:fill="auto"/>
            <w:noWrap/>
            <w:vAlign w:val="bottom"/>
            <w:hideMark/>
          </w:tcPr>
          <w:p w:rsidR="0055491A" w:rsidRDefault="0055491A" w:rsidP="00210BF6">
            <w:pPr>
              <w:jc w:val="center"/>
              <w:rPr>
                <w:color w:val="000000"/>
                <w:sz w:val="22"/>
                <w:szCs w:val="22"/>
              </w:rPr>
            </w:pPr>
            <w:r>
              <w:rPr>
                <w:color w:val="000000"/>
                <w:sz w:val="22"/>
                <w:szCs w:val="22"/>
              </w:rPr>
              <w:t>0,3</w:t>
            </w:r>
          </w:p>
        </w:tc>
        <w:tc>
          <w:tcPr>
            <w:tcW w:w="1243" w:type="dxa"/>
            <w:tcBorders>
              <w:top w:val="nil"/>
              <w:left w:val="nil"/>
              <w:bottom w:val="single" w:sz="4" w:space="0" w:color="auto"/>
              <w:right w:val="single" w:sz="4" w:space="0" w:color="auto"/>
            </w:tcBorders>
            <w:shd w:val="clear" w:color="auto" w:fill="auto"/>
            <w:noWrap/>
            <w:vAlign w:val="bottom"/>
            <w:hideMark/>
          </w:tcPr>
          <w:p w:rsidR="0055491A" w:rsidRDefault="0055491A" w:rsidP="00210BF6">
            <w:pPr>
              <w:jc w:val="center"/>
              <w:rPr>
                <w:color w:val="000000"/>
                <w:sz w:val="22"/>
                <w:szCs w:val="22"/>
              </w:rPr>
            </w:pPr>
            <w:r>
              <w:rPr>
                <w:color w:val="000000"/>
                <w:sz w:val="22"/>
                <w:szCs w:val="22"/>
              </w:rPr>
              <w:t>85</w:t>
            </w:r>
          </w:p>
        </w:tc>
        <w:tc>
          <w:tcPr>
            <w:tcW w:w="1242" w:type="dxa"/>
            <w:tcBorders>
              <w:top w:val="nil"/>
              <w:left w:val="nil"/>
              <w:bottom w:val="single" w:sz="4" w:space="0" w:color="auto"/>
              <w:right w:val="single" w:sz="4" w:space="0" w:color="auto"/>
            </w:tcBorders>
            <w:shd w:val="clear" w:color="auto" w:fill="auto"/>
            <w:noWrap/>
            <w:vAlign w:val="bottom"/>
            <w:hideMark/>
          </w:tcPr>
          <w:p w:rsidR="0055491A" w:rsidRDefault="0055491A" w:rsidP="00210BF6">
            <w:pPr>
              <w:jc w:val="center"/>
              <w:rPr>
                <w:color w:val="000000"/>
                <w:sz w:val="22"/>
                <w:szCs w:val="22"/>
              </w:rPr>
            </w:pPr>
            <w:r>
              <w:rPr>
                <w:color w:val="000000"/>
                <w:sz w:val="22"/>
                <w:szCs w:val="22"/>
              </w:rPr>
              <w:t>80</w:t>
            </w:r>
          </w:p>
        </w:tc>
        <w:tc>
          <w:tcPr>
            <w:tcW w:w="1243" w:type="dxa"/>
            <w:tcBorders>
              <w:top w:val="nil"/>
              <w:left w:val="nil"/>
              <w:bottom w:val="single" w:sz="4" w:space="0" w:color="auto"/>
              <w:right w:val="single" w:sz="4" w:space="0" w:color="auto"/>
            </w:tcBorders>
            <w:shd w:val="clear" w:color="auto" w:fill="auto"/>
            <w:noWrap/>
            <w:vAlign w:val="bottom"/>
            <w:hideMark/>
          </w:tcPr>
          <w:p w:rsidR="0055491A" w:rsidRDefault="0055491A" w:rsidP="00210BF6">
            <w:pPr>
              <w:jc w:val="center"/>
              <w:rPr>
                <w:color w:val="000000"/>
                <w:sz w:val="22"/>
                <w:szCs w:val="22"/>
              </w:rPr>
            </w:pPr>
            <w:r>
              <w:rPr>
                <w:color w:val="000000"/>
                <w:sz w:val="22"/>
                <w:szCs w:val="22"/>
              </w:rPr>
              <w:t>77</w:t>
            </w:r>
          </w:p>
        </w:tc>
        <w:tc>
          <w:tcPr>
            <w:tcW w:w="1242" w:type="dxa"/>
            <w:tcBorders>
              <w:top w:val="nil"/>
              <w:left w:val="nil"/>
              <w:bottom w:val="single" w:sz="4" w:space="0" w:color="auto"/>
              <w:right w:val="single" w:sz="4" w:space="0" w:color="auto"/>
            </w:tcBorders>
            <w:shd w:val="clear" w:color="auto" w:fill="auto"/>
            <w:noWrap/>
            <w:vAlign w:val="bottom"/>
            <w:hideMark/>
          </w:tcPr>
          <w:p w:rsidR="0055491A" w:rsidRDefault="0055491A" w:rsidP="00210BF6">
            <w:pPr>
              <w:jc w:val="center"/>
              <w:rPr>
                <w:color w:val="000000"/>
                <w:sz w:val="22"/>
                <w:szCs w:val="22"/>
              </w:rPr>
            </w:pPr>
            <w:r>
              <w:rPr>
                <w:color w:val="000000"/>
                <w:sz w:val="22"/>
                <w:szCs w:val="22"/>
              </w:rPr>
              <w:t>25,5</w:t>
            </w:r>
          </w:p>
        </w:tc>
        <w:tc>
          <w:tcPr>
            <w:tcW w:w="1242" w:type="dxa"/>
            <w:tcBorders>
              <w:top w:val="nil"/>
              <w:left w:val="nil"/>
              <w:bottom w:val="single" w:sz="4" w:space="0" w:color="auto"/>
              <w:right w:val="single" w:sz="4" w:space="0" w:color="auto"/>
            </w:tcBorders>
            <w:shd w:val="clear" w:color="auto" w:fill="auto"/>
            <w:noWrap/>
            <w:vAlign w:val="bottom"/>
            <w:hideMark/>
          </w:tcPr>
          <w:p w:rsidR="0055491A" w:rsidRDefault="0055491A" w:rsidP="00210BF6">
            <w:pPr>
              <w:jc w:val="center"/>
              <w:rPr>
                <w:color w:val="000000"/>
                <w:sz w:val="22"/>
                <w:szCs w:val="22"/>
              </w:rPr>
            </w:pPr>
            <w:r>
              <w:rPr>
                <w:color w:val="000000"/>
                <w:sz w:val="22"/>
                <w:szCs w:val="22"/>
              </w:rPr>
              <w:t>24</w:t>
            </w:r>
          </w:p>
        </w:tc>
        <w:tc>
          <w:tcPr>
            <w:tcW w:w="1243" w:type="dxa"/>
            <w:tcBorders>
              <w:top w:val="nil"/>
              <w:left w:val="nil"/>
              <w:bottom w:val="single" w:sz="4" w:space="0" w:color="auto"/>
              <w:right w:val="single" w:sz="4" w:space="0" w:color="auto"/>
            </w:tcBorders>
            <w:shd w:val="clear" w:color="auto" w:fill="auto"/>
            <w:noWrap/>
            <w:vAlign w:val="bottom"/>
            <w:hideMark/>
          </w:tcPr>
          <w:p w:rsidR="0055491A" w:rsidRDefault="0055491A" w:rsidP="00210BF6">
            <w:pPr>
              <w:jc w:val="center"/>
              <w:rPr>
                <w:color w:val="000000"/>
                <w:sz w:val="22"/>
                <w:szCs w:val="22"/>
              </w:rPr>
            </w:pPr>
            <w:r>
              <w:rPr>
                <w:color w:val="000000"/>
                <w:sz w:val="22"/>
                <w:szCs w:val="22"/>
              </w:rPr>
              <w:t>23,1</w:t>
            </w:r>
          </w:p>
        </w:tc>
      </w:tr>
      <w:tr w:rsidR="0055491A" w:rsidTr="00210BF6">
        <w:trPr>
          <w:trHeight w:val="291"/>
        </w:trPr>
        <w:tc>
          <w:tcPr>
            <w:tcW w:w="1913" w:type="dxa"/>
            <w:tcBorders>
              <w:top w:val="nil"/>
              <w:left w:val="single" w:sz="4" w:space="0" w:color="auto"/>
              <w:bottom w:val="single" w:sz="4" w:space="0" w:color="auto"/>
              <w:right w:val="single" w:sz="4" w:space="0" w:color="auto"/>
            </w:tcBorders>
            <w:shd w:val="clear" w:color="auto" w:fill="auto"/>
            <w:noWrap/>
            <w:vAlign w:val="bottom"/>
            <w:hideMark/>
          </w:tcPr>
          <w:p w:rsidR="0055491A" w:rsidRDefault="0055491A" w:rsidP="00210BF6">
            <w:pPr>
              <w:jc w:val="center"/>
              <w:rPr>
                <w:color w:val="000000"/>
                <w:sz w:val="22"/>
                <w:szCs w:val="22"/>
              </w:rPr>
            </w:pPr>
            <w:r>
              <w:rPr>
                <w:color w:val="000000"/>
                <w:sz w:val="22"/>
                <w:szCs w:val="22"/>
              </w:rPr>
              <w:t>0,5</w:t>
            </w:r>
          </w:p>
        </w:tc>
        <w:tc>
          <w:tcPr>
            <w:tcW w:w="1243" w:type="dxa"/>
            <w:tcBorders>
              <w:top w:val="nil"/>
              <w:left w:val="nil"/>
              <w:bottom w:val="single" w:sz="4" w:space="0" w:color="auto"/>
              <w:right w:val="single" w:sz="4" w:space="0" w:color="auto"/>
            </w:tcBorders>
            <w:shd w:val="clear" w:color="auto" w:fill="auto"/>
            <w:noWrap/>
            <w:vAlign w:val="bottom"/>
            <w:hideMark/>
          </w:tcPr>
          <w:p w:rsidR="0055491A" w:rsidRDefault="0055491A" w:rsidP="00210BF6">
            <w:pPr>
              <w:jc w:val="center"/>
              <w:rPr>
                <w:color w:val="000000"/>
                <w:sz w:val="22"/>
                <w:szCs w:val="22"/>
              </w:rPr>
            </w:pPr>
            <w:r>
              <w:rPr>
                <w:color w:val="000000"/>
                <w:sz w:val="22"/>
                <w:szCs w:val="22"/>
              </w:rPr>
              <w:t>208</w:t>
            </w:r>
          </w:p>
        </w:tc>
        <w:tc>
          <w:tcPr>
            <w:tcW w:w="1242" w:type="dxa"/>
            <w:tcBorders>
              <w:top w:val="nil"/>
              <w:left w:val="nil"/>
              <w:bottom w:val="single" w:sz="4" w:space="0" w:color="auto"/>
              <w:right w:val="single" w:sz="4" w:space="0" w:color="auto"/>
            </w:tcBorders>
            <w:shd w:val="clear" w:color="auto" w:fill="auto"/>
            <w:noWrap/>
            <w:vAlign w:val="bottom"/>
            <w:hideMark/>
          </w:tcPr>
          <w:p w:rsidR="0055491A" w:rsidRDefault="0055491A" w:rsidP="00210BF6">
            <w:pPr>
              <w:jc w:val="center"/>
              <w:rPr>
                <w:color w:val="000000"/>
                <w:sz w:val="22"/>
                <w:szCs w:val="22"/>
              </w:rPr>
            </w:pPr>
            <w:r>
              <w:rPr>
                <w:color w:val="000000"/>
                <w:sz w:val="22"/>
                <w:szCs w:val="22"/>
              </w:rPr>
              <w:t>190</w:t>
            </w:r>
          </w:p>
        </w:tc>
        <w:tc>
          <w:tcPr>
            <w:tcW w:w="1243" w:type="dxa"/>
            <w:tcBorders>
              <w:top w:val="nil"/>
              <w:left w:val="nil"/>
              <w:bottom w:val="single" w:sz="4" w:space="0" w:color="auto"/>
              <w:right w:val="single" w:sz="4" w:space="0" w:color="auto"/>
            </w:tcBorders>
            <w:shd w:val="clear" w:color="auto" w:fill="auto"/>
            <w:noWrap/>
            <w:vAlign w:val="bottom"/>
            <w:hideMark/>
          </w:tcPr>
          <w:p w:rsidR="0055491A" w:rsidRDefault="0055491A" w:rsidP="00210BF6">
            <w:pPr>
              <w:jc w:val="center"/>
              <w:rPr>
                <w:color w:val="000000"/>
                <w:sz w:val="22"/>
                <w:szCs w:val="22"/>
              </w:rPr>
            </w:pPr>
            <w:r>
              <w:rPr>
                <w:color w:val="000000"/>
                <w:sz w:val="22"/>
                <w:szCs w:val="22"/>
              </w:rPr>
              <w:t>215</w:t>
            </w:r>
          </w:p>
        </w:tc>
        <w:tc>
          <w:tcPr>
            <w:tcW w:w="1242" w:type="dxa"/>
            <w:tcBorders>
              <w:top w:val="nil"/>
              <w:left w:val="nil"/>
              <w:bottom w:val="single" w:sz="4" w:space="0" w:color="auto"/>
              <w:right w:val="single" w:sz="4" w:space="0" w:color="auto"/>
            </w:tcBorders>
            <w:shd w:val="clear" w:color="auto" w:fill="auto"/>
            <w:noWrap/>
            <w:vAlign w:val="bottom"/>
            <w:hideMark/>
          </w:tcPr>
          <w:p w:rsidR="0055491A" w:rsidRDefault="0055491A" w:rsidP="00210BF6">
            <w:pPr>
              <w:jc w:val="center"/>
              <w:rPr>
                <w:color w:val="000000"/>
                <w:sz w:val="22"/>
                <w:szCs w:val="22"/>
              </w:rPr>
            </w:pPr>
            <w:r>
              <w:rPr>
                <w:color w:val="000000"/>
                <w:sz w:val="22"/>
                <w:szCs w:val="22"/>
              </w:rPr>
              <w:t>104</w:t>
            </w:r>
          </w:p>
        </w:tc>
        <w:tc>
          <w:tcPr>
            <w:tcW w:w="1242" w:type="dxa"/>
            <w:tcBorders>
              <w:top w:val="nil"/>
              <w:left w:val="nil"/>
              <w:bottom w:val="single" w:sz="4" w:space="0" w:color="auto"/>
              <w:right w:val="single" w:sz="4" w:space="0" w:color="auto"/>
            </w:tcBorders>
            <w:shd w:val="clear" w:color="auto" w:fill="auto"/>
            <w:noWrap/>
            <w:vAlign w:val="bottom"/>
            <w:hideMark/>
          </w:tcPr>
          <w:p w:rsidR="0055491A" w:rsidRDefault="0055491A" w:rsidP="00210BF6">
            <w:pPr>
              <w:jc w:val="center"/>
              <w:rPr>
                <w:color w:val="000000"/>
                <w:sz w:val="22"/>
                <w:szCs w:val="22"/>
              </w:rPr>
            </w:pPr>
            <w:r>
              <w:rPr>
                <w:color w:val="000000"/>
                <w:sz w:val="22"/>
                <w:szCs w:val="22"/>
              </w:rPr>
              <w:t>95</w:t>
            </w:r>
          </w:p>
        </w:tc>
        <w:tc>
          <w:tcPr>
            <w:tcW w:w="1243" w:type="dxa"/>
            <w:tcBorders>
              <w:top w:val="nil"/>
              <w:left w:val="nil"/>
              <w:bottom w:val="single" w:sz="4" w:space="0" w:color="auto"/>
              <w:right w:val="single" w:sz="4" w:space="0" w:color="auto"/>
            </w:tcBorders>
            <w:shd w:val="clear" w:color="auto" w:fill="auto"/>
            <w:noWrap/>
            <w:vAlign w:val="bottom"/>
            <w:hideMark/>
          </w:tcPr>
          <w:p w:rsidR="0055491A" w:rsidRDefault="0055491A" w:rsidP="00210BF6">
            <w:pPr>
              <w:jc w:val="center"/>
              <w:rPr>
                <w:color w:val="000000"/>
                <w:sz w:val="22"/>
                <w:szCs w:val="22"/>
              </w:rPr>
            </w:pPr>
            <w:r>
              <w:rPr>
                <w:color w:val="000000"/>
                <w:sz w:val="22"/>
                <w:szCs w:val="22"/>
              </w:rPr>
              <w:t>107,5</w:t>
            </w:r>
          </w:p>
        </w:tc>
      </w:tr>
      <w:tr w:rsidR="0055491A" w:rsidTr="00210BF6">
        <w:trPr>
          <w:trHeight w:val="291"/>
        </w:trPr>
        <w:tc>
          <w:tcPr>
            <w:tcW w:w="1913" w:type="dxa"/>
            <w:tcBorders>
              <w:top w:val="nil"/>
              <w:left w:val="single" w:sz="4" w:space="0" w:color="auto"/>
              <w:bottom w:val="single" w:sz="4" w:space="0" w:color="auto"/>
              <w:right w:val="single" w:sz="4" w:space="0" w:color="auto"/>
            </w:tcBorders>
            <w:shd w:val="clear" w:color="auto" w:fill="auto"/>
            <w:noWrap/>
            <w:vAlign w:val="bottom"/>
            <w:hideMark/>
          </w:tcPr>
          <w:p w:rsidR="0055491A" w:rsidRDefault="0055491A" w:rsidP="00210BF6">
            <w:pPr>
              <w:jc w:val="center"/>
              <w:rPr>
                <w:color w:val="000000"/>
                <w:sz w:val="22"/>
                <w:szCs w:val="22"/>
              </w:rPr>
            </w:pPr>
            <w:r>
              <w:rPr>
                <w:color w:val="000000"/>
                <w:sz w:val="22"/>
                <w:szCs w:val="22"/>
              </w:rPr>
              <w:t>1</w:t>
            </w:r>
          </w:p>
        </w:tc>
        <w:tc>
          <w:tcPr>
            <w:tcW w:w="1243" w:type="dxa"/>
            <w:tcBorders>
              <w:top w:val="nil"/>
              <w:left w:val="nil"/>
              <w:bottom w:val="single" w:sz="4" w:space="0" w:color="auto"/>
              <w:right w:val="single" w:sz="4" w:space="0" w:color="auto"/>
            </w:tcBorders>
            <w:shd w:val="clear" w:color="auto" w:fill="auto"/>
            <w:noWrap/>
            <w:vAlign w:val="bottom"/>
            <w:hideMark/>
          </w:tcPr>
          <w:p w:rsidR="0055491A" w:rsidRDefault="0055491A" w:rsidP="00210BF6">
            <w:pPr>
              <w:jc w:val="center"/>
              <w:rPr>
                <w:color w:val="000000"/>
                <w:sz w:val="22"/>
                <w:szCs w:val="22"/>
              </w:rPr>
            </w:pPr>
            <w:r>
              <w:rPr>
                <w:color w:val="000000"/>
                <w:sz w:val="22"/>
                <w:szCs w:val="22"/>
              </w:rPr>
              <w:t>66</w:t>
            </w:r>
          </w:p>
        </w:tc>
        <w:tc>
          <w:tcPr>
            <w:tcW w:w="1242" w:type="dxa"/>
            <w:tcBorders>
              <w:top w:val="nil"/>
              <w:left w:val="nil"/>
              <w:bottom w:val="single" w:sz="4" w:space="0" w:color="auto"/>
              <w:right w:val="single" w:sz="4" w:space="0" w:color="auto"/>
            </w:tcBorders>
            <w:shd w:val="clear" w:color="auto" w:fill="auto"/>
            <w:noWrap/>
            <w:vAlign w:val="bottom"/>
            <w:hideMark/>
          </w:tcPr>
          <w:p w:rsidR="0055491A" w:rsidRDefault="0055491A" w:rsidP="00210BF6">
            <w:pPr>
              <w:jc w:val="center"/>
              <w:rPr>
                <w:color w:val="000000"/>
                <w:sz w:val="22"/>
                <w:szCs w:val="22"/>
              </w:rPr>
            </w:pPr>
            <w:r>
              <w:rPr>
                <w:color w:val="000000"/>
                <w:sz w:val="22"/>
                <w:szCs w:val="22"/>
              </w:rPr>
              <w:t>77</w:t>
            </w:r>
          </w:p>
        </w:tc>
        <w:tc>
          <w:tcPr>
            <w:tcW w:w="1243" w:type="dxa"/>
            <w:tcBorders>
              <w:top w:val="nil"/>
              <w:left w:val="nil"/>
              <w:bottom w:val="single" w:sz="4" w:space="0" w:color="auto"/>
              <w:right w:val="single" w:sz="4" w:space="0" w:color="auto"/>
            </w:tcBorders>
            <w:shd w:val="clear" w:color="auto" w:fill="auto"/>
            <w:noWrap/>
            <w:vAlign w:val="bottom"/>
            <w:hideMark/>
          </w:tcPr>
          <w:p w:rsidR="0055491A" w:rsidRDefault="0055491A" w:rsidP="00210BF6">
            <w:pPr>
              <w:jc w:val="center"/>
              <w:rPr>
                <w:color w:val="000000"/>
                <w:sz w:val="22"/>
                <w:szCs w:val="22"/>
              </w:rPr>
            </w:pPr>
            <w:r>
              <w:rPr>
                <w:color w:val="000000"/>
                <w:sz w:val="22"/>
                <w:szCs w:val="22"/>
              </w:rPr>
              <w:t>82</w:t>
            </w:r>
          </w:p>
        </w:tc>
        <w:tc>
          <w:tcPr>
            <w:tcW w:w="1242" w:type="dxa"/>
            <w:tcBorders>
              <w:top w:val="nil"/>
              <w:left w:val="nil"/>
              <w:bottom w:val="single" w:sz="4" w:space="0" w:color="auto"/>
              <w:right w:val="single" w:sz="4" w:space="0" w:color="auto"/>
            </w:tcBorders>
            <w:shd w:val="clear" w:color="auto" w:fill="auto"/>
            <w:noWrap/>
            <w:vAlign w:val="bottom"/>
            <w:hideMark/>
          </w:tcPr>
          <w:p w:rsidR="0055491A" w:rsidRDefault="0055491A" w:rsidP="00210BF6">
            <w:pPr>
              <w:jc w:val="center"/>
              <w:rPr>
                <w:color w:val="000000"/>
                <w:sz w:val="22"/>
                <w:szCs w:val="22"/>
              </w:rPr>
            </w:pPr>
            <w:r>
              <w:rPr>
                <w:color w:val="000000"/>
                <w:sz w:val="22"/>
                <w:szCs w:val="22"/>
              </w:rPr>
              <w:t>66</w:t>
            </w:r>
          </w:p>
        </w:tc>
        <w:tc>
          <w:tcPr>
            <w:tcW w:w="1242" w:type="dxa"/>
            <w:tcBorders>
              <w:top w:val="nil"/>
              <w:left w:val="nil"/>
              <w:bottom w:val="single" w:sz="4" w:space="0" w:color="auto"/>
              <w:right w:val="single" w:sz="4" w:space="0" w:color="auto"/>
            </w:tcBorders>
            <w:shd w:val="clear" w:color="auto" w:fill="auto"/>
            <w:noWrap/>
            <w:vAlign w:val="bottom"/>
            <w:hideMark/>
          </w:tcPr>
          <w:p w:rsidR="0055491A" w:rsidRDefault="0055491A" w:rsidP="00210BF6">
            <w:pPr>
              <w:jc w:val="center"/>
              <w:rPr>
                <w:color w:val="000000"/>
                <w:sz w:val="22"/>
                <w:szCs w:val="22"/>
              </w:rPr>
            </w:pPr>
            <w:r>
              <w:rPr>
                <w:color w:val="000000"/>
                <w:sz w:val="22"/>
                <w:szCs w:val="22"/>
              </w:rPr>
              <w:t>77</w:t>
            </w:r>
          </w:p>
        </w:tc>
        <w:tc>
          <w:tcPr>
            <w:tcW w:w="1243" w:type="dxa"/>
            <w:tcBorders>
              <w:top w:val="nil"/>
              <w:left w:val="nil"/>
              <w:bottom w:val="single" w:sz="4" w:space="0" w:color="auto"/>
              <w:right w:val="single" w:sz="4" w:space="0" w:color="auto"/>
            </w:tcBorders>
            <w:shd w:val="clear" w:color="auto" w:fill="auto"/>
            <w:noWrap/>
            <w:vAlign w:val="bottom"/>
            <w:hideMark/>
          </w:tcPr>
          <w:p w:rsidR="0055491A" w:rsidRDefault="0055491A" w:rsidP="00210BF6">
            <w:pPr>
              <w:jc w:val="center"/>
              <w:rPr>
                <w:color w:val="000000"/>
                <w:sz w:val="22"/>
                <w:szCs w:val="22"/>
              </w:rPr>
            </w:pPr>
            <w:r>
              <w:rPr>
                <w:color w:val="000000"/>
                <w:sz w:val="22"/>
                <w:szCs w:val="22"/>
              </w:rPr>
              <w:t>82</w:t>
            </w:r>
          </w:p>
        </w:tc>
      </w:tr>
      <w:tr w:rsidR="0055491A" w:rsidTr="00210BF6">
        <w:trPr>
          <w:trHeight w:val="291"/>
        </w:trPr>
        <w:tc>
          <w:tcPr>
            <w:tcW w:w="1913" w:type="dxa"/>
            <w:tcBorders>
              <w:top w:val="nil"/>
              <w:left w:val="single" w:sz="4" w:space="0" w:color="auto"/>
              <w:bottom w:val="single" w:sz="4" w:space="0" w:color="auto"/>
              <w:right w:val="single" w:sz="4" w:space="0" w:color="auto"/>
            </w:tcBorders>
            <w:shd w:val="clear" w:color="auto" w:fill="auto"/>
            <w:noWrap/>
            <w:vAlign w:val="bottom"/>
            <w:hideMark/>
          </w:tcPr>
          <w:p w:rsidR="0055491A" w:rsidRDefault="0055491A" w:rsidP="00210BF6">
            <w:pPr>
              <w:jc w:val="center"/>
              <w:rPr>
                <w:color w:val="000000"/>
                <w:sz w:val="22"/>
                <w:szCs w:val="22"/>
              </w:rPr>
            </w:pPr>
            <w:r>
              <w:rPr>
                <w:color w:val="000000"/>
                <w:sz w:val="22"/>
                <w:szCs w:val="22"/>
              </w:rPr>
              <w:t>1,5</w:t>
            </w:r>
          </w:p>
        </w:tc>
        <w:tc>
          <w:tcPr>
            <w:tcW w:w="1243" w:type="dxa"/>
            <w:tcBorders>
              <w:top w:val="nil"/>
              <w:left w:val="nil"/>
              <w:bottom w:val="single" w:sz="4" w:space="0" w:color="auto"/>
              <w:right w:val="single" w:sz="4" w:space="0" w:color="auto"/>
            </w:tcBorders>
            <w:shd w:val="clear" w:color="auto" w:fill="auto"/>
            <w:noWrap/>
            <w:vAlign w:val="bottom"/>
            <w:hideMark/>
          </w:tcPr>
          <w:p w:rsidR="0055491A" w:rsidRDefault="0055491A" w:rsidP="00210BF6">
            <w:pPr>
              <w:jc w:val="center"/>
              <w:rPr>
                <w:color w:val="000000"/>
                <w:sz w:val="22"/>
                <w:szCs w:val="22"/>
              </w:rPr>
            </w:pPr>
            <w:r>
              <w:rPr>
                <w:color w:val="000000"/>
                <w:sz w:val="22"/>
                <w:szCs w:val="22"/>
              </w:rPr>
              <w:t>306</w:t>
            </w:r>
          </w:p>
        </w:tc>
        <w:tc>
          <w:tcPr>
            <w:tcW w:w="1242" w:type="dxa"/>
            <w:tcBorders>
              <w:top w:val="nil"/>
              <w:left w:val="nil"/>
              <w:bottom w:val="single" w:sz="4" w:space="0" w:color="auto"/>
              <w:right w:val="single" w:sz="4" w:space="0" w:color="auto"/>
            </w:tcBorders>
            <w:shd w:val="clear" w:color="auto" w:fill="auto"/>
            <w:noWrap/>
            <w:vAlign w:val="bottom"/>
            <w:hideMark/>
          </w:tcPr>
          <w:p w:rsidR="0055491A" w:rsidRDefault="0055491A" w:rsidP="00210BF6">
            <w:pPr>
              <w:jc w:val="center"/>
              <w:rPr>
                <w:color w:val="000000"/>
                <w:sz w:val="22"/>
                <w:szCs w:val="22"/>
              </w:rPr>
            </w:pPr>
            <w:r>
              <w:rPr>
                <w:color w:val="000000"/>
                <w:sz w:val="22"/>
                <w:szCs w:val="22"/>
              </w:rPr>
              <w:t>304</w:t>
            </w:r>
          </w:p>
        </w:tc>
        <w:tc>
          <w:tcPr>
            <w:tcW w:w="1243" w:type="dxa"/>
            <w:tcBorders>
              <w:top w:val="nil"/>
              <w:left w:val="nil"/>
              <w:bottom w:val="single" w:sz="4" w:space="0" w:color="auto"/>
              <w:right w:val="single" w:sz="4" w:space="0" w:color="auto"/>
            </w:tcBorders>
            <w:shd w:val="clear" w:color="auto" w:fill="auto"/>
            <w:noWrap/>
            <w:vAlign w:val="bottom"/>
            <w:hideMark/>
          </w:tcPr>
          <w:p w:rsidR="0055491A" w:rsidRDefault="0055491A" w:rsidP="00210BF6">
            <w:pPr>
              <w:jc w:val="center"/>
              <w:rPr>
                <w:color w:val="000000"/>
                <w:sz w:val="22"/>
                <w:szCs w:val="22"/>
              </w:rPr>
            </w:pPr>
            <w:r>
              <w:rPr>
                <w:color w:val="000000"/>
                <w:sz w:val="22"/>
                <w:szCs w:val="22"/>
              </w:rPr>
              <w:t>308</w:t>
            </w:r>
          </w:p>
        </w:tc>
        <w:tc>
          <w:tcPr>
            <w:tcW w:w="1242" w:type="dxa"/>
            <w:tcBorders>
              <w:top w:val="nil"/>
              <w:left w:val="nil"/>
              <w:bottom w:val="single" w:sz="4" w:space="0" w:color="auto"/>
              <w:right w:val="single" w:sz="4" w:space="0" w:color="auto"/>
            </w:tcBorders>
            <w:shd w:val="clear" w:color="auto" w:fill="auto"/>
            <w:noWrap/>
            <w:vAlign w:val="bottom"/>
            <w:hideMark/>
          </w:tcPr>
          <w:p w:rsidR="0055491A" w:rsidRDefault="0055491A" w:rsidP="00210BF6">
            <w:pPr>
              <w:jc w:val="center"/>
              <w:rPr>
                <w:color w:val="000000"/>
                <w:sz w:val="22"/>
                <w:szCs w:val="22"/>
              </w:rPr>
            </w:pPr>
            <w:r>
              <w:rPr>
                <w:color w:val="000000"/>
                <w:sz w:val="22"/>
                <w:szCs w:val="22"/>
              </w:rPr>
              <w:t>459</w:t>
            </w:r>
          </w:p>
        </w:tc>
        <w:tc>
          <w:tcPr>
            <w:tcW w:w="1242" w:type="dxa"/>
            <w:tcBorders>
              <w:top w:val="nil"/>
              <w:left w:val="nil"/>
              <w:bottom w:val="single" w:sz="4" w:space="0" w:color="auto"/>
              <w:right w:val="single" w:sz="4" w:space="0" w:color="auto"/>
            </w:tcBorders>
            <w:shd w:val="clear" w:color="auto" w:fill="auto"/>
            <w:noWrap/>
            <w:vAlign w:val="bottom"/>
            <w:hideMark/>
          </w:tcPr>
          <w:p w:rsidR="0055491A" w:rsidRDefault="0055491A" w:rsidP="00210BF6">
            <w:pPr>
              <w:jc w:val="center"/>
              <w:rPr>
                <w:color w:val="000000"/>
                <w:sz w:val="22"/>
                <w:szCs w:val="22"/>
              </w:rPr>
            </w:pPr>
            <w:r>
              <w:rPr>
                <w:color w:val="000000"/>
                <w:sz w:val="22"/>
                <w:szCs w:val="22"/>
              </w:rPr>
              <w:t>456</w:t>
            </w:r>
          </w:p>
        </w:tc>
        <w:tc>
          <w:tcPr>
            <w:tcW w:w="1243" w:type="dxa"/>
            <w:tcBorders>
              <w:top w:val="nil"/>
              <w:left w:val="nil"/>
              <w:bottom w:val="single" w:sz="4" w:space="0" w:color="auto"/>
              <w:right w:val="single" w:sz="4" w:space="0" w:color="auto"/>
            </w:tcBorders>
            <w:shd w:val="clear" w:color="auto" w:fill="auto"/>
            <w:noWrap/>
            <w:vAlign w:val="bottom"/>
            <w:hideMark/>
          </w:tcPr>
          <w:p w:rsidR="0055491A" w:rsidRDefault="0055491A" w:rsidP="00210BF6">
            <w:pPr>
              <w:jc w:val="center"/>
              <w:rPr>
                <w:color w:val="000000"/>
                <w:sz w:val="22"/>
                <w:szCs w:val="22"/>
              </w:rPr>
            </w:pPr>
            <w:r>
              <w:rPr>
                <w:color w:val="000000"/>
                <w:sz w:val="22"/>
                <w:szCs w:val="22"/>
              </w:rPr>
              <w:t>462</w:t>
            </w:r>
          </w:p>
        </w:tc>
      </w:tr>
      <w:tr w:rsidR="0055491A" w:rsidTr="00210BF6">
        <w:trPr>
          <w:trHeight w:val="291"/>
        </w:trPr>
        <w:tc>
          <w:tcPr>
            <w:tcW w:w="1913" w:type="dxa"/>
            <w:tcBorders>
              <w:top w:val="nil"/>
              <w:left w:val="single" w:sz="4" w:space="0" w:color="auto"/>
              <w:bottom w:val="single" w:sz="4" w:space="0" w:color="auto"/>
              <w:right w:val="single" w:sz="4" w:space="0" w:color="auto"/>
            </w:tcBorders>
            <w:shd w:val="clear" w:color="auto" w:fill="auto"/>
            <w:noWrap/>
            <w:vAlign w:val="bottom"/>
            <w:hideMark/>
          </w:tcPr>
          <w:p w:rsidR="0055491A" w:rsidRDefault="0055491A" w:rsidP="00210BF6">
            <w:pPr>
              <w:jc w:val="center"/>
              <w:rPr>
                <w:color w:val="000000"/>
                <w:sz w:val="22"/>
                <w:szCs w:val="22"/>
              </w:rPr>
            </w:pPr>
            <w:r>
              <w:rPr>
                <w:color w:val="000000"/>
                <w:sz w:val="22"/>
                <w:szCs w:val="22"/>
              </w:rPr>
              <w:t>2</w:t>
            </w:r>
          </w:p>
        </w:tc>
        <w:tc>
          <w:tcPr>
            <w:tcW w:w="1243" w:type="dxa"/>
            <w:tcBorders>
              <w:top w:val="nil"/>
              <w:left w:val="nil"/>
              <w:bottom w:val="single" w:sz="4" w:space="0" w:color="auto"/>
              <w:right w:val="single" w:sz="4" w:space="0" w:color="auto"/>
            </w:tcBorders>
            <w:shd w:val="clear" w:color="auto" w:fill="auto"/>
            <w:noWrap/>
            <w:vAlign w:val="bottom"/>
            <w:hideMark/>
          </w:tcPr>
          <w:p w:rsidR="0055491A" w:rsidRDefault="0055491A" w:rsidP="00210BF6">
            <w:pPr>
              <w:jc w:val="center"/>
              <w:rPr>
                <w:color w:val="000000"/>
                <w:sz w:val="22"/>
                <w:szCs w:val="22"/>
              </w:rPr>
            </w:pPr>
            <w:r>
              <w:rPr>
                <w:color w:val="000000"/>
                <w:sz w:val="22"/>
                <w:szCs w:val="22"/>
              </w:rPr>
              <w:t>48</w:t>
            </w:r>
          </w:p>
        </w:tc>
        <w:tc>
          <w:tcPr>
            <w:tcW w:w="1242" w:type="dxa"/>
            <w:tcBorders>
              <w:top w:val="nil"/>
              <w:left w:val="nil"/>
              <w:bottom w:val="single" w:sz="4" w:space="0" w:color="auto"/>
              <w:right w:val="single" w:sz="4" w:space="0" w:color="auto"/>
            </w:tcBorders>
            <w:shd w:val="clear" w:color="auto" w:fill="auto"/>
            <w:noWrap/>
            <w:vAlign w:val="bottom"/>
            <w:hideMark/>
          </w:tcPr>
          <w:p w:rsidR="0055491A" w:rsidRDefault="0055491A" w:rsidP="00210BF6">
            <w:pPr>
              <w:jc w:val="center"/>
              <w:rPr>
                <w:color w:val="000000"/>
                <w:sz w:val="22"/>
                <w:szCs w:val="22"/>
              </w:rPr>
            </w:pPr>
            <w:r>
              <w:rPr>
                <w:color w:val="000000"/>
                <w:sz w:val="22"/>
                <w:szCs w:val="22"/>
              </w:rPr>
              <w:t>48</w:t>
            </w:r>
          </w:p>
        </w:tc>
        <w:tc>
          <w:tcPr>
            <w:tcW w:w="1243" w:type="dxa"/>
            <w:tcBorders>
              <w:top w:val="nil"/>
              <w:left w:val="nil"/>
              <w:bottom w:val="single" w:sz="4" w:space="0" w:color="auto"/>
              <w:right w:val="single" w:sz="4" w:space="0" w:color="auto"/>
            </w:tcBorders>
            <w:shd w:val="clear" w:color="auto" w:fill="auto"/>
            <w:noWrap/>
            <w:vAlign w:val="bottom"/>
            <w:hideMark/>
          </w:tcPr>
          <w:p w:rsidR="0055491A" w:rsidRDefault="0055491A" w:rsidP="00210BF6">
            <w:pPr>
              <w:jc w:val="center"/>
              <w:rPr>
                <w:color w:val="000000"/>
                <w:sz w:val="22"/>
                <w:szCs w:val="22"/>
              </w:rPr>
            </w:pPr>
            <w:r>
              <w:rPr>
                <w:color w:val="000000"/>
                <w:sz w:val="22"/>
                <w:szCs w:val="22"/>
              </w:rPr>
              <w:t>48</w:t>
            </w:r>
          </w:p>
        </w:tc>
        <w:tc>
          <w:tcPr>
            <w:tcW w:w="1242" w:type="dxa"/>
            <w:tcBorders>
              <w:top w:val="nil"/>
              <w:left w:val="nil"/>
              <w:bottom w:val="single" w:sz="4" w:space="0" w:color="auto"/>
              <w:right w:val="single" w:sz="4" w:space="0" w:color="auto"/>
            </w:tcBorders>
            <w:shd w:val="clear" w:color="auto" w:fill="auto"/>
            <w:noWrap/>
            <w:vAlign w:val="bottom"/>
            <w:hideMark/>
          </w:tcPr>
          <w:p w:rsidR="0055491A" w:rsidRDefault="0055491A" w:rsidP="00210BF6">
            <w:pPr>
              <w:jc w:val="center"/>
              <w:rPr>
                <w:color w:val="000000"/>
                <w:sz w:val="22"/>
                <w:szCs w:val="22"/>
              </w:rPr>
            </w:pPr>
            <w:r>
              <w:rPr>
                <w:color w:val="000000"/>
                <w:sz w:val="22"/>
                <w:szCs w:val="22"/>
              </w:rPr>
              <w:t>96</w:t>
            </w:r>
          </w:p>
        </w:tc>
        <w:tc>
          <w:tcPr>
            <w:tcW w:w="1242" w:type="dxa"/>
            <w:tcBorders>
              <w:top w:val="nil"/>
              <w:left w:val="nil"/>
              <w:bottom w:val="single" w:sz="4" w:space="0" w:color="auto"/>
              <w:right w:val="single" w:sz="4" w:space="0" w:color="auto"/>
            </w:tcBorders>
            <w:shd w:val="clear" w:color="auto" w:fill="auto"/>
            <w:noWrap/>
            <w:vAlign w:val="bottom"/>
            <w:hideMark/>
          </w:tcPr>
          <w:p w:rsidR="0055491A" w:rsidRDefault="0055491A" w:rsidP="00210BF6">
            <w:pPr>
              <w:jc w:val="center"/>
              <w:rPr>
                <w:color w:val="000000"/>
                <w:sz w:val="22"/>
                <w:szCs w:val="22"/>
              </w:rPr>
            </w:pPr>
            <w:r>
              <w:rPr>
                <w:color w:val="000000"/>
                <w:sz w:val="22"/>
                <w:szCs w:val="22"/>
              </w:rPr>
              <w:t>96</w:t>
            </w:r>
          </w:p>
        </w:tc>
        <w:tc>
          <w:tcPr>
            <w:tcW w:w="1243" w:type="dxa"/>
            <w:tcBorders>
              <w:top w:val="nil"/>
              <w:left w:val="nil"/>
              <w:bottom w:val="single" w:sz="4" w:space="0" w:color="auto"/>
              <w:right w:val="single" w:sz="4" w:space="0" w:color="auto"/>
            </w:tcBorders>
            <w:shd w:val="clear" w:color="auto" w:fill="auto"/>
            <w:noWrap/>
            <w:vAlign w:val="bottom"/>
            <w:hideMark/>
          </w:tcPr>
          <w:p w:rsidR="0055491A" w:rsidRDefault="0055491A" w:rsidP="00210BF6">
            <w:pPr>
              <w:jc w:val="center"/>
              <w:rPr>
                <w:color w:val="000000"/>
                <w:sz w:val="22"/>
                <w:szCs w:val="22"/>
              </w:rPr>
            </w:pPr>
            <w:r>
              <w:rPr>
                <w:color w:val="000000"/>
                <w:sz w:val="22"/>
                <w:szCs w:val="22"/>
              </w:rPr>
              <w:t>96</w:t>
            </w:r>
          </w:p>
        </w:tc>
      </w:tr>
      <w:tr w:rsidR="0055491A" w:rsidTr="00210BF6">
        <w:trPr>
          <w:trHeight w:val="291"/>
        </w:trPr>
        <w:tc>
          <w:tcPr>
            <w:tcW w:w="1913" w:type="dxa"/>
            <w:tcBorders>
              <w:top w:val="nil"/>
              <w:left w:val="single" w:sz="4" w:space="0" w:color="auto"/>
              <w:bottom w:val="single" w:sz="4" w:space="0" w:color="auto"/>
              <w:right w:val="single" w:sz="4" w:space="0" w:color="auto"/>
            </w:tcBorders>
            <w:shd w:val="clear" w:color="auto" w:fill="auto"/>
            <w:noWrap/>
            <w:vAlign w:val="bottom"/>
            <w:hideMark/>
          </w:tcPr>
          <w:p w:rsidR="0055491A" w:rsidRDefault="0055491A" w:rsidP="00210BF6">
            <w:pPr>
              <w:jc w:val="center"/>
              <w:rPr>
                <w:color w:val="000000"/>
                <w:sz w:val="22"/>
                <w:szCs w:val="22"/>
              </w:rPr>
            </w:pPr>
            <w:r>
              <w:rPr>
                <w:color w:val="000000"/>
                <w:sz w:val="22"/>
                <w:szCs w:val="22"/>
              </w:rPr>
              <w:t>3</w:t>
            </w:r>
          </w:p>
        </w:tc>
        <w:tc>
          <w:tcPr>
            <w:tcW w:w="1243" w:type="dxa"/>
            <w:tcBorders>
              <w:top w:val="nil"/>
              <w:left w:val="nil"/>
              <w:bottom w:val="single" w:sz="4" w:space="0" w:color="auto"/>
              <w:right w:val="single" w:sz="4" w:space="0" w:color="auto"/>
            </w:tcBorders>
            <w:shd w:val="clear" w:color="auto" w:fill="auto"/>
            <w:noWrap/>
            <w:vAlign w:val="bottom"/>
            <w:hideMark/>
          </w:tcPr>
          <w:p w:rsidR="0055491A" w:rsidRDefault="0055491A" w:rsidP="00210BF6">
            <w:pPr>
              <w:jc w:val="center"/>
              <w:rPr>
                <w:color w:val="000000"/>
                <w:sz w:val="22"/>
                <w:szCs w:val="22"/>
              </w:rPr>
            </w:pPr>
            <w:r>
              <w:rPr>
                <w:color w:val="000000"/>
                <w:sz w:val="22"/>
                <w:szCs w:val="22"/>
              </w:rPr>
              <w:t> </w:t>
            </w:r>
          </w:p>
        </w:tc>
        <w:tc>
          <w:tcPr>
            <w:tcW w:w="1242" w:type="dxa"/>
            <w:tcBorders>
              <w:top w:val="nil"/>
              <w:left w:val="nil"/>
              <w:bottom w:val="single" w:sz="4" w:space="0" w:color="auto"/>
              <w:right w:val="single" w:sz="4" w:space="0" w:color="auto"/>
            </w:tcBorders>
            <w:shd w:val="clear" w:color="auto" w:fill="auto"/>
            <w:noWrap/>
            <w:vAlign w:val="bottom"/>
            <w:hideMark/>
          </w:tcPr>
          <w:p w:rsidR="0055491A" w:rsidRDefault="0055491A" w:rsidP="00210BF6">
            <w:pPr>
              <w:jc w:val="center"/>
              <w:rPr>
                <w:color w:val="000000"/>
                <w:sz w:val="22"/>
                <w:szCs w:val="22"/>
              </w:rPr>
            </w:pPr>
            <w:r>
              <w:rPr>
                <w:color w:val="000000"/>
                <w:sz w:val="22"/>
                <w:szCs w:val="22"/>
              </w:rPr>
              <w:t>8</w:t>
            </w:r>
          </w:p>
        </w:tc>
        <w:tc>
          <w:tcPr>
            <w:tcW w:w="1243" w:type="dxa"/>
            <w:tcBorders>
              <w:top w:val="nil"/>
              <w:left w:val="nil"/>
              <w:bottom w:val="single" w:sz="4" w:space="0" w:color="auto"/>
              <w:right w:val="single" w:sz="4" w:space="0" w:color="auto"/>
            </w:tcBorders>
            <w:shd w:val="clear" w:color="auto" w:fill="auto"/>
            <w:noWrap/>
            <w:vAlign w:val="bottom"/>
            <w:hideMark/>
          </w:tcPr>
          <w:p w:rsidR="0055491A" w:rsidRDefault="0055491A" w:rsidP="00210BF6">
            <w:pPr>
              <w:jc w:val="center"/>
              <w:rPr>
                <w:color w:val="000000"/>
                <w:sz w:val="22"/>
                <w:szCs w:val="22"/>
              </w:rPr>
            </w:pPr>
            <w:r>
              <w:rPr>
                <w:color w:val="000000"/>
                <w:sz w:val="22"/>
                <w:szCs w:val="22"/>
              </w:rPr>
              <w:t>2</w:t>
            </w:r>
          </w:p>
        </w:tc>
        <w:tc>
          <w:tcPr>
            <w:tcW w:w="1242" w:type="dxa"/>
            <w:tcBorders>
              <w:top w:val="nil"/>
              <w:left w:val="nil"/>
              <w:bottom w:val="single" w:sz="4" w:space="0" w:color="auto"/>
              <w:right w:val="single" w:sz="4" w:space="0" w:color="auto"/>
            </w:tcBorders>
            <w:shd w:val="clear" w:color="auto" w:fill="auto"/>
            <w:noWrap/>
            <w:vAlign w:val="bottom"/>
            <w:hideMark/>
          </w:tcPr>
          <w:p w:rsidR="0055491A" w:rsidRDefault="0055491A" w:rsidP="00210BF6">
            <w:pPr>
              <w:jc w:val="center"/>
              <w:rPr>
                <w:color w:val="000000"/>
                <w:sz w:val="22"/>
                <w:szCs w:val="22"/>
              </w:rPr>
            </w:pPr>
            <w:r>
              <w:rPr>
                <w:color w:val="000000"/>
                <w:sz w:val="22"/>
                <w:szCs w:val="22"/>
              </w:rPr>
              <w:t>0</w:t>
            </w:r>
          </w:p>
        </w:tc>
        <w:tc>
          <w:tcPr>
            <w:tcW w:w="1242" w:type="dxa"/>
            <w:tcBorders>
              <w:top w:val="nil"/>
              <w:left w:val="nil"/>
              <w:bottom w:val="single" w:sz="4" w:space="0" w:color="auto"/>
              <w:right w:val="single" w:sz="4" w:space="0" w:color="auto"/>
            </w:tcBorders>
            <w:shd w:val="clear" w:color="auto" w:fill="auto"/>
            <w:noWrap/>
            <w:vAlign w:val="bottom"/>
            <w:hideMark/>
          </w:tcPr>
          <w:p w:rsidR="0055491A" w:rsidRDefault="0055491A" w:rsidP="00210BF6">
            <w:pPr>
              <w:jc w:val="center"/>
              <w:rPr>
                <w:color w:val="000000"/>
                <w:sz w:val="22"/>
                <w:szCs w:val="22"/>
              </w:rPr>
            </w:pPr>
            <w:r>
              <w:rPr>
                <w:color w:val="000000"/>
                <w:sz w:val="22"/>
                <w:szCs w:val="22"/>
              </w:rPr>
              <w:t>24</w:t>
            </w:r>
          </w:p>
        </w:tc>
        <w:tc>
          <w:tcPr>
            <w:tcW w:w="1243" w:type="dxa"/>
            <w:tcBorders>
              <w:top w:val="nil"/>
              <w:left w:val="nil"/>
              <w:bottom w:val="single" w:sz="4" w:space="0" w:color="auto"/>
              <w:right w:val="single" w:sz="4" w:space="0" w:color="auto"/>
            </w:tcBorders>
            <w:shd w:val="clear" w:color="auto" w:fill="auto"/>
            <w:noWrap/>
            <w:vAlign w:val="bottom"/>
            <w:hideMark/>
          </w:tcPr>
          <w:p w:rsidR="0055491A" w:rsidRDefault="0055491A" w:rsidP="00210BF6">
            <w:pPr>
              <w:jc w:val="center"/>
              <w:rPr>
                <w:color w:val="000000"/>
                <w:sz w:val="22"/>
                <w:szCs w:val="22"/>
              </w:rPr>
            </w:pPr>
            <w:r>
              <w:rPr>
                <w:color w:val="000000"/>
                <w:sz w:val="22"/>
                <w:szCs w:val="22"/>
              </w:rPr>
              <w:t>6</w:t>
            </w:r>
          </w:p>
        </w:tc>
      </w:tr>
      <w:tr w:rsidR="0055491A" w:rsidTr="00210BF6">
        <w:trPr>
          <w:trHeight w:val="291"/>
        </w:trPr>
        <w:tc>
          <w:tcPr>
            <w:tcW w:w="1913" w:type="dxa"/>
            <w:tcBorders>
              <w:top w:val="nil"/>
              <w:left w:val="single" w:sz="4" w:space="0" w:color="auto"/>
              <w:bottom w:val="single" w:sz="4" w:space="0" w:color="auto"/>
              <w:right w:val="single" w:sz="4" w:space="0" w:color="auto"/>
            </w:tcBorders>
            <w:shd w:val="clear" w:color="auto" w:fill="auto"/>
            <w:noWrap/>
            <w:vAlign w:val="bottom"/>
            <w:hideMark/>
          </w:tcPr>
          <w:p w:rsidR="0055491A" w:rsidRDefault="0055491A" w:rsidP="00210BF6">
            <w:pPr>
              <w:jc w:val="center"/>
              <w:rPr>
                <w:color w:val="000000"/>
                <w:sz w:val="22"/>
                <w:szCs w:val="22"/>
              </w:rPr>
            </w:pPr>
            <w:r>
              <w:rPr>
                <w:color w:val="000000"/>
                <w:sz w:val="22"/>
                <w:szCs w:val="22"/>
              </w:rPr>
              <w:t>3,5</w:t>
            </w:r>
          </w:p>
        </w:tc>
        <w:tc>
          <w:tcPr>
            <w:tcW w:w="1243" w:type="dxa"/>
            <w:tcBorders>
              <w:top w:val="nil"/>
              <w:left w:val="nil"/>
              <w:bottom w:val="single" w:sz="4" w:space="0" w:color="auto"/>
              <w:right w:val="single" w:sz="4" w:space="0" w:color="auto"/>
            </w:tcBorders>
            <w:shd w:val="clear" w:color="auto" w:fill="auto"/>
            <w:noWrap/>
            <w:vAlign w:val="bottom"/>
            <w:hideMark/>
          </w:tcPr>
          <w:p w:rsidR="0055491A" w:rsidRDefault="0055491A" w:rsidP="00210BF6">
            <w:pPr>
              <w:jc w:val="center"/>
              <w:rPr>
                <w:color w:val="000000"/>
                <w:sz w:val="22"/>
                <w:szCs w:val="22"/>
              </w:rPr>
            </w:pPr>
            <w:r>
              <w:rPr>
                <w:color w:val="000000"/>
                <w:sz w:val="22"/>
                <w:szCs w:val="22"/>
              </w:rPr>
              <w:t>1</w:t>
            </w:r>
          </w:p>
        </w:tc>
        <w:tc>
          <w:tcPr>
            <w:tcW w:w="1242" w:type="dxa"/>
            <w:tcBorders>
              <w:top w:val="nil"/>
              <w:left w:val="nil"/>
              <w:bottom w:val="single" w:sz="4" w:space="0" w:color="auto"/>
              <w:right w:val="single" w:sz="4" w:space="0" w:color="auto"/>
            </w:tcBorders>
            <w:shd w:val="clear" w:color="auto" w:fill="auto"/>
            <w:noWrap/>
            <w:vAlign w:val="bottom"/>
            <w:hideMark/>
          </w:tcPr>
          <w:p w:rsidR="0055491A" w:rsidRDefault="0055491A" w:rsidP="00210BF6">
            <w:pPr>
              <w:jc w:val="center"/>
              <w:rPr>
                <w:color w:val="000000"/>
                <w:sz w:val="22"/>
                <w:szCs w:val="22"/>
              </w:rPr>
            </w:pPr>
            <w:r>
              <w:rPr>
                <w:color w:val="000000"/>
                <w:sz w:val="22"/>
                <w:szCs w:val="22"/>
              </w:rPr>
              <w:t> </w:t>
            </w:r>
          </w:p>
        </w:tc>
        <w:tc>
          <w:tcPr>
            <w:tcW w:w="1243" w:type="dxa"/>
            <w:tcBorders>
              <w:top w:val="nil"/>
              <w:left w:val="nil"/>
              <w:bottom w:val="single" w:sz="4" w:space="0" w:color="auto"/>
              <w:right w:val="single" w:sz="4" w:space="0" w:color="auto"/>
            </w:tcBorders>
            <w:shd w:val="clear" w:color="auto" w:fill="auto"/>
            <w:noWrap/>
            <w:vAlign w:val="bottom"/>
            <w:hideMark/>
          </w:tcPr>
          <w:p w:rsidR="0055491A" w:rsidRDefault="0055491A" w:rsidP="00210BF6">
            <w:pPr>
              <w:jc w:val="center"/>
              <w:rPr>
                <w:color w:val="000000"/>
                <w:sz w:val="22"/>
                <w:szCs w:val="22"/>
              </w:rPr>
            </w:pPr>
            <w:r>
              <w:rPr>
                <w:color w:val="000000"/>
                <w:sz w:val="22"/>
                <w:szCs w:val="22"/>
              </w:rPr>
              <w:t> </w:t>
            </w:r>
          </w:p>
        </w:tc>
        <w:tc>
          <w:tcPr>
            <w:tcW w:w="1242" w:type="dxa"/>
            <w:tcBorders>
              <w:top w:val="nil"/>
              <w:left w:val="nil"/>
              <w:bottom w:val="single" w:sz="4" w:space="0" w:color="auto"/>
              <w:right w:val="single" w:sz="4" w:space="0" w:color="auto"/>
            </w:tcBorders>
            <w:shd w:val="clear" w:color="auto" w:fill="auto"/>
            <w:noWrap/>
            <w:vAlign w:val="bottom"/>
            <w:hideMark/>
          </w:tcPr>
          <w:p w:rsidR="0055491A" w:rsidRDefault="0055491A" w:rsidP="00210BF6">
            <w:pPr>
              <w:jc w:val="center"/>
              <w:rPr>
                <w:color w:val="000000"/>
                <w:sz w:val="22"/>
                <w:szCs w:val="22"/>
              </w:rPr>
            </w:pPr>
            <w:r>
              <w:rPr>
                <w:color w:val="000000"/>
                <w:sz w:val="22"/>
                <w:szCs w:val="22"/>
              </w:rPr>
              <w:t>3,5</w:t>
            </w:r>
          </w:p>
        </w:tc>
        <w:tc>
          <w:tcPr>
            <w:tcW w:w="1242" w:type="dxa"/>
            <w:tcBorders>
              <w:top w:val="nil"/>
              <w:left w:val="nil"/>
              <w:bottom w:val="single" w:sz="4" w:space="0" w:color="auto"/>
              <w:right w:val="single" w:sz="4" w:space="0" w:color="auto"/>
            </w:tcBorders>
            <w:shd w:val="clear" w:color="auto" w:fill="auto"/>
            <w:noWrap/>
            <w:vAlign w:val="bottom"/>
            <w:hideMark/>
          </w:tcPr>
          <w:p w:rsidR="0055491A" w:rsidRDefault="0055491A" w:rsidP="00210BF6">
            <w:pPr>
              <w:jc w:val="center"/>
              <w:rPr>
                <w:color w:val="000000"/>
                <w:sz w:val="22"/>
                <w:szCs w:val="22"/>
              </w:rPr>
            </w:pPr>
            <w:r>
              <w:rPr>
                <w:color w:val="000000"/>
                <w:sz w:val="22"/>
                <w:szCs w:val="22"/>
              </w:rPr>
              <w:t>0</w:t>
            </w:r>
          </w:p>
        </w:tc>
        <w:tc>
          <w:tcPr>
            <w:tcW w:w="1243" w:type="dxa"/>
            <w:tcBorders>
              <w:top w:val="nil"/>
              <w:left w:val="nil"/>
              <w:bottom w:val="single" w:sz="4" w:space="0" w:color="auto"/>
              <w:right w:val="single" w:sz="4" w:space="0" w:color="auto"/>
            </w:tcBorders>
            <w:shd w:val="clear" w:color="auto" w:fill="auto"/>
            <w:noWrap/>
            <w:vAlign w:val="bottom"/>
            <w:hideMark/>
          </w:tcPr>
          <w:p w:rsidR="0055491A" w:rsidRDefault="0055491A" w:rsidP="00210BF6">
            <w:pPr>
              <w:jc w:val="center"/>
              <w:rPr>
                <w:color w:val="000000"/>
                <w:sz w:val="22"/>
                <w:szCs w:val="22"/>
              </w:rPr>
            </w:pPr>
            <w:r>
              <w:rPr>
                <w:color w:val="000000"/>
                <w:sz w:val="22"/>
                <w:szCs w:val="22"/>
              </w:rPr>
              <w:t>0</w:t>
            </w:r>
          </w:p>
        </w:tc>
      </w:tr>
      <w:tr w:rsidR="0055491A" w:rsidTr="00210BF6">
        <w:trPr>
          <w:trHeight w:val="291"/>
        </w:trPr>
        <w:tc>
          <w:tcPr>
            <w:tcW w:w="1913" w:type="dxa"/>
            <w:tcBorders>
              <w:top w:val="nil"/>
              <w:left w:val="single" w:sz="4" w:space="0" w:color="auto"/>
              <w:bottom w:val="single" w:sz="4" w:space="0" w:color="auto"/>
              <w:right w:val="single" w:sz="4" w:space="0" w:color="auto"/>
            </w:tcBorders>
            <w:shd w:val="clear" w:color="auto" w:fill="auto"/>
            <w:noWrap/>
            <w:vAlign w:val="bottom"/>
            <w:hideMark/>
          </w:tcPr>
          <w:p w:rsidR="0055491A" w:rsidRDefault="0055491A" w:rsidP="00210BF6">
            <w:pPr>
              <w:jc w:val="center"/>
              <w:rPr>
                <w:color w:val="000000"/>
                <w:sz w:val="22"/>
                <w:szCs w:val="22"/>
              </w:rPr>
            </w:pPr>
            <w:r>
              <w:rPr>
                <w:color w:val="000000"/>
                <w:sz w:val="22"/>
                <w:szCs w:val="22"/>
              </w:rPr>
              <w:t>4</w:t>
            </w:r>
          </w:p>
        </w:tc>
        <w:tc>
          <w:tcPr>
            <w:tcW w:w="1243" w:type="dxa"/>
            <w:tcBorders>
              <w:top w:val="nil"/>
              <w:left w:val="nil"/>
              <w:bottom w:val="single" w:sz="4" w:space="0" w:color="auto"/>
              <w:right w:val="single" w:sz="4" w:space="0" w:color="auto"/>
            </w:tcBorders>
            <w:shd w:val="clear" w:color="auto" w:fill="auto"/>
            <w:noWrap/>
            <w:vAlign w:val="bottom"/>
            <w:hideMark/>
          </w:tcPr>
          <w:p w:rsidR="0055491A" w:rsidRDefault="0055491A" w:rsidP="00210BF6">
            <w:pPr>
              <w:jc w:val="center"/>
              <w:rPr>
                <w:color w:val="000000"/>
                <w:sz w:val="22"/>
                <w:szCs w:val="22"/>
              </w:rPr>
            </w:pPr>
            <w:r>
              <w:rPr>
                <w:color w:val="000000"/>
                <w:sz w:val="22"/>
                <w:szCs w:val="22"/>
              </w:rPr>
              <w:t>1</w:t>
            </w:r>
          </w:p>
        </w:tc>
        <w:tc>
          <w:tcPr>
            <w:tcW w:w="1242" w:type="dxa"/>
            <w:tcBorders>
              <w:top w:val="nil"/>
              <w:left w:val="nil"/>
              <w:bottom w:val="single" w:sz="4" w:space="0" w:color="auto"/>
              <w:right w:val="single" w:sz="4" w:space="0" w:color="auto"/>
            </w:tcBorders>
            <w:shd w:val="clear" w:color="auto" w:fill="auto"/>
            <w:noWrap/>
            <w:vAlign w:val="bottom"/>
            <w:hideMark/>
          </w:tcPr>
          <w:p w:rsidR="0055491A" w:rsidRDefault="0055491A" w:rsidP="00210BF6">
            <w:pPr>
              <w:jc w:val="center"/>
              <w:rPr>
                <w:color w:val="000000"/>
                <w:sz w:val="22"/>
                <w:szCs w:val="22"/>
              </w:rPr>
            </w:pPr>
            <w:r>
              <w:rPr>
                <w:color w:val="000000"/>
                <w:sz w:val="22"/>
                <w:szCs w:val="22"/>
              </w:rPr>
              <w:t>1</w:t>
            </w:r>
          </w:p>
        </w:tc>
        <w:tc>
          <w:tcPr>
            <w:tcW w:w="1243" w:type="dxa"/>
            <w:tcBorders>
              <w:top w:val="nil"/>
              <w:left w:val="nil"/>
              <w:bottom w:val="single" w:sz="4" w:space="0" w:color="auto"/>
              <w:right w:val="single" w:sz="4" w:space="0" w:color="auto"/>
            </w:tcBorders>
            <w:shd w:val="clear" w:color="auto" w:fill="auto"/>
            <w:noWrap/>
            <w:vAlign w:val="bottom"/>
            <w:hideMark/>
          </w:tcPr>
          <w:p w:rsidR="0055491A" w:rsidRDefault="0055491A" w:rsidP="00210BF6">
            <w:pPr>
              <w:jc w:val="center"/>
              <w:rPr>
                <w:color w:val="000000"/>
                <w:sz w:val="22"/>
                <w:szCs w:val="22"/>
              </w:rPr>
            </w:pPr>
            <w:r>
              <w:rPr>
                <w:color w:val="000000"/>
                <w:sz w:val="22"/>
                <w:szCs w:val="22"/>
              </w:rPr>
              <w:t> </w:t>
            </w:r>
          </w:p>
        </w:tc>
        <w:tc>
          <w:tcPr>
            <w:tcW w:w="1242" w:type="dxa"/>
            <w:tcBorders>
              <w:top w:val="nil"/>
              <w:left w:val="nil"/>
              <w:bottom w:val="single" w:sz="4" w:space="0" w:color="auto"/>
              <w:right w:val="single" w:sz="4" w:space="0" w:color="auto"/>
            </w:tcBorders>
            <w:shd w:val="clear" w:color="auto" w:fill="auto"/>
            <w:noWrap/>
            <w:vAlign w:val="bottom"/>
            <w:hideMark/>
          </w:tcPr>
          <w:p w:rsidR="0055491A" w:rsidRDefault="0055491A" w:rsidP="00210BF6">
            <w:pPr>
              <w:jc w:val="center"/>
              <w:rPr>
                <w:color w:val="000000"/>
                <w:sz w:val="22"/>
                <w:szCs w:val="22"/>
              </w:rPr>
            </w:pPr>
            <w:r>
              <w:rPr>
                <w:color w:val="000000"/>
                <w:sz w:val="22"/>
                <w:szCs w:val="22"/>
              </w:rPr>
              <w:t>4</w:t>
            </w:r>
          </w:p>
        </w:tc>
        <w:tc>
          <w:tcPr>
            <w:tcW w:w="1242" w:type="dxa"/>
            <w:tcBorders>
              <w:top w:val="nil"/>
              <w:left w:val="nil"/>
              <w:bottom w:val="single" w:sz="4" w:space="0" w:color="auto"/>
              <w:right w:val="single" w:sz="4" w:space="0" w:color="auto"/>
            </w:tcBorders>
            <w:shd w:val="clear" w:color="auto" w:fill="auto"/>
            <w:noWrap/>
            <w:vAlign w:val="bottom"/>
            <w:hideMark/>
          </w:tcPr>
          <w:p w:rsidR="0055491A" w:rsidRDefault="0055491A" w:rsidP="00210BF6">
            <w:pPr>
              <w:jc w:val="center"/>
              <w:rPr>
                <w:color w:val="000000"/>
                <w:sz w:val="22"/>
                <w:szCs w:val="22"/>
              </w:rPr>
            </w:pPr>
            <w:r>
              <w:rPr>
                <w:color w:val="000000"/>
                <w:sz w:val="22"/>
                <w:szCs w:val="22"/>
              </w:rPr>
              <w:t>4</w:t>
            </w:r>
          </w:p>
        </w:tc>
        <w:tc>
          <w:tcPr>
            <w:tcW w:w="1243" w:type="dxa"/>
            <w:tcBorders>
              <w:top w:val="nil"/>
              <w:left w:val="nil"/>
              <w:bottom w:val="single" w:sz="4" w:space="0" w:color="auto"/>
              <w:right w:val="single" w:sz="4" w:space="0" w:color="auto"/>
            </w:tcBorders>
            <w:shd w:val="clear" w:color="auto" w:fill="auto"/>
            <w:noWrap/>
            <w:vAlign w:val="bottom"/>
            <w:hideMark/>
          </w:tcPr>
          <w:p w:rsidR="0055491A" w:rsidRDefault="0055491A" w:rsidP="00210BF6">
            <w:pPr>
              <w:jc w:val="center"/>
              <w:rPr>
                <w:color w:val="000000"/>
                <w:sz w:val="22"/>
                <w:szCs w:val="22"/>
              </w:rPr>
            </w:pPr>
            <w:r>
              <w:rPr>
                <w:color w:val="000000"/>
                <w:sz w:val="22"/>
                <w:szCs w:val="22"/>
              </w:rPr>
              <w:t>0</w:t>
            </w:r>
          </w:p>
        </w:tc>
      </w:tr>
      <w:tr w:rsidR="0055491A" w:rsidTr="00210BF6">
        <w:trPr>
          <w:trHeight w:val="291"/>
        </w:trPr>
        <w:tc>
          <w:tcPr>
            <w:tcW w:w="1913" w:type="dxa"/>
            <w:tcBorders>
              <w:top w:val="nil"/>
              <w:left w:val="single" w:sz="4" w:space="0" w:color="auto"/>
              <w:bottom w:val="single" w:sz="4" w:space="0" w:color="auto"/>
              <w:right w:val="single" w:sz="4" w:space="0" w:color="auto"/>
            </w:tcBorders>
            <w:shd w:val="clear" w:color="auto" w:fill="auto"/>
            <w:noWrap/>
            <w:vAlign w:val="bottom"/>
            <w:hideMark/>
          </w:tcPr>
          <w:p w:rsidR="0055491A" w:rsidRDefault="0055491A" w:rsidP="00210BF6">
            <w:pPr>
              <w:jc w:val="center"/>
              <w:rPr>
                <w:color w:val="000000"/>
                <w:sz w:val="22"/>
                <w:szCs w:val="22"/>
              </w:rPr>
            </w:pPr>
            <w:r>
              <w:rPr>
                <w:color w:val="000000"/>
                <w:sz w:val="22"/>
                <w:szCs w:val="22"/>
              </w:rPr>
              <w:t>5</w:t>
            </w:r>
          </w:p>
        </w:tc>
        <w:tc>
          <w:tcPr>
            <w:tcW w:w="1243" w:type="dxa"/>
            <w:tcBorders>
              <w:top w:val="nil"/>
              <w:left w:val="nil"/>
              <w:bottom w:val="single" w:sz="4" w:space="0" w:color="auto"/>
              <w:right w:val="single" w:sz="4" w:space="0" w:color="auto"/>
            </w:tcBorders>
            <w:shd w:val="clear" w:color="auto" w:fill="auto"/>
            <w:noWrap/>
            <w:vAlign w:val="bottom"/>
            <w:hideMark/>
          </w:tcPr>
          <w:p w:rsidR="0055491A" w:rsidRDefault="0055491A" w:rsidP="00210BF6">
            <w:pPr>
              <w:jc w:val="center"/>
              <w:rPr>
                <w:color w:val="000000"/>
                <w:sz w:val="22"/>
                <w:szCs w:val="22"/>
              </w:rPr>
            </w:pPr>
            <w:r>
              <w:rPr>
                <w:color w:val="000000"/>
                <w:sz w:val="22"/>
                <w:szCs w:val="22"/>
              </w:rPr>
              <w:t>21</w:t>
            </w:r>
          </w:p>
        </w:tc>
        <w:tc>
          <w:tcPr>
            <w:tcW w:w="1242" w:type="dxa"/>
            <w:tcBorders>
              <w:top w:val="nil"/>
              <w:left w:val="nil"/>
              <w:bottom w:val="single" w:sz="4" w:space="0" w:color="auto"/>
              <w:right w:val="single" w:sz="4" w:space="0" w:color="auto"/>
            </w:tcBorders>
            <w:shd w:val="clear" w:color="auto" w:fill="auto"/>
            <w:noWrap/>
            <w:vAlign w:val="bottom"/>
            <w:hideMark/>
          </w:tcPr>
          <w:p w:rsidR="0055491A" w:rsidRDefault="0055491A" w:rsidP="00210BF6">
            <w:pPr>
              <w:jc w:val="center"/>
              <w:rPr>
                <w:color w:val="000000"/>
                <w:sz w:val="22"/>
                <w:szCs w:val="22"/>
              </w:rPr>
            </w:pPr>
            <w:r>
              <w:rPr>
                <w:color w:val="000000"/>
                <w:sz w:val="22"/>
                <w:szCs w:val="22"/>
              </w:rPr>
              <w:t>25</w:t>
            </w:r>
          </w:p>
        </w:tc>
        <w:tc>
          <w:tcPr>
            <w:tcW w:w="1243" w:type="dxa"/>
            <w:tcBorders>
              <w:top w:val="nil"/>
              <w:left w:val="nil"/>
              <w:bottom w:val="single" w:sz="4" w:space="0" w:color="auto"/>
              <w:right w:val="single" w:sz="4" w:space="0" w:color="auto"/>
            </w:tcBorders>
            <w:shd w:val="clear" w:color="auto" w:fill="auto"/>
            <w:noWrap/>
            <w:vAlign w:val="bottom"/>
            <w:hideMark/>
          </w:tcPr>
          <w:p w:rsidR="0055491A" w:rsidRDefault="0055491A" w:rsidP="00210BF6">
            <w:pPr>
              <w:jc w:val="center"/>
              <w:rPr>
                <w:color w:val="000000"/>
                <w:sz w:val="22"/>
                <w:szCs w:val="22"/>
              </w:rPr>
            </w:pPr>
            <w:r>
              <w:rPr>
                <w:color w:val="000000"/>
                <w:sz w:val="22"/>
                <w:szCs w:val="22"/>
              </w:rPr>
              <w:t>21</w:t>
            </w:r>
          </w:p>
        </w:tc>
        <w:tc>
          <w:tcPr>
            <w:tcW w:w="1242" w:type="dxa"/>
            <w:tcBorders>
              <w:top w:val="nil"/>
              <w:left w:val="nil"/>
              <w:bottom w:val="single" w:sz="4" w:space="0" w:color="auto"/>
              <w:right w:val="single" w:sz="4" w:space="0" w:color="auto"/>
            </w:tcBorders>
            <w:shd w:val="clear" w:color="auto" w:fill="auto"/>
            <w:noWrap/>
            <w:vAlign w:val="bottom"/>
            <w:hideMark/>
          </w:tcPr>
          <w:p w:rsidR="0055491A" w:rsidRDefault="0055491A" w:rsidP="00210BF6">
            <w:pPr>
              <w:jc w:val="center"/>
              <w:rPr>
                <w:color w:val="000000"/>
                <w:sz w:val="22"/>
                <w:szCs w:val="22"/>
              </w:rPr>
            </w:pPr>
            <w:r>
              <w:rPr>
                <w:color w:val="000000"/>
                <w:sz w:val="22"/>
                <w:szCs w:val="22"/>
              </w:rPr>
              <w:t>105</w:t>
            </w:r>
          </w:p>
        </w:tc>
        <w:tc>
          <w:tcPr>
            <w:tcW w:w="1242" w:type="dxa"/>
            <w:tcBorders>
              <w:top w:val="nil"/>
              <w:left w:val="nil"/>
              <w:bottom w:val="single" w:sz="4" w:space="0" w:color="auto"/>
              <w:right w:val="single" w:sz="4" w:space="0" w:color="auto"/>
            </w:tcBorders>
            <w:shd w:val="clear" w:color="auto" w:fill="auto"/>
            <w:noWrap/>
            <w:vAlign w:val="bottom"/>
            <w:hideMark/>
          </w:tcPr>
          <w:p w:rsidR="0055491A" w:rsidRDefault="0055491A" w:rsidP="00210BF6">
            <w:pPr>
              <w:jc w:val="center"/>
              <w:rPr>
                <w:color w:val="000000"/>
                <w:sz w:val="22"/>
                <w:szCs w:val="22"/>
              </w:rPr>
            </w:pPr>
            <w:r>
              <w:rPr>
                <w:color w:val="000000"/>
                <w:sz w:val="22"/>
                <w:szCs w:val="22"/>
              </w:rPr>
              <w:t>125</w:t>
            </w:r>
          </w:p>
        </w:tc>
        <w:tc>
          <w:tcPr>
            <w:tcW w:w="1243" w:type="dxa"/>
            <w:tcBorders>
              <w:top w:val="nil"/>
              <w:left w:val="nil"/>
              <w:bottom w:val="single" w:sz="4" w:space="0" w:color="auto"/>
              <w:right w:val="single" w:sz="4" w:space="0" w:color="auto"/>
            </w:tcBorders>
            <w:shd w:val="clear" w:color="auto" w:fill="auto"/>
            <w:noWrap/>
            <w:vAlign w:val="bottom"/>
            <w:hideMark/>
          </w:tcPr>
          <w:p w:rsidR="0055491A" w:rsidRDefault="0055491A" w:rsidP="00210BF6">
            <w:pPr>
              <w:jc w:val="center"/>
              <w:rPr>
                <w:color w:val="000000"/>
                <w:sz w:val="22"/>
                <w:szCs w:val="22"/>
              </w:rPr>
            </w:pPr>
            <w:r>
              <w:rPr>
                <w:color w:val="000000"/>
                <w:sz w:val="22"/>
                <w:szCs w:val="22"/>
              </w:rPr>
              <w:t>105</w:t>
            </w:r>
          </w:p>
        </w:tc>
      </w:tr>
      <w:tr w:rsidR="0055491A" w:rsidTr="00210BF6">
        <w:trPr>
          <w:trHeight w:val="291"/>
        </w:trPr>
        <w:tc>
          <w:tcPr>
            <w:tcW w:w="1913" w:type="dxa"/>
            <w:tcBorders>
              <w:top w:val="nil"/>
              <w:left w:val="single" w:sz="4" w:space="0" w:color="auto"/>
              <w:bottom w:val="single" w:sz="4" w:space="0" w:color="auto"/>
              <w:right w:val="single" w:sz="4" w:space="0" w:color="auto"/>
            </w:tcBorders>
            <w:shd w:val="clear" w:color="auto" w:fill="auto"/>
            <w:noWrap/>
            <w:vAlign w:val="bottom"/>
            <w:hideMark/>
          </w:tcPr>
          <w:p w:rsidR="0055491A" w:rsidRDefault="0055491A" w:rsidP="00210BF6">
            <w:pPr>
              <w:jc w:val="center"/>
              <w:rPr>
                <w:color w:val="000000"/>
                <w:sz w:val="22"/>
                <w:szCs w:val="22"/>
              </w:rPr>
            </w:pPr>
            <w:r>
              <w:rPr>
                <w:color w:val="000000"/>
                <w:sz w:val="22"/>
                <w:szCs w:val="22"/>
              </w:rPr>
              <w:t>2,5</w:t>
            </w:r>
          </w:p>
        </w:tc>
        <w:tc>
          <w:tcPr>
            <w:tcW w:w="1243" w:type="dxa"/>
            <w:tcBorders>
              <w:top w:val="nil"/>
              <w:left w:val="nil"/>
              <w:bottom w:val="single" w:sz="4" w:space="0" w:color="auto"/>
              <w:right w:val="single" w:sz="4" w:space="0" w:color="auto"/>
            </w:tcBorders>
            <w:shd w:val="clear" w:color="auto" w:fill="auto"/>
            <w:noWrap/>
            <w:vAlign w:val="bottom"/>
            <w:hideMark/>
          </w:tcPr>
          <w:p w:rsidR="0055491A" w:rsidRDefault="0055491A" w:rsidP="00210BF6">
            <w:pPr>
              <w:jc w:val="center"/>
              <w:rPr>
                <w:color w:val="000000"/>
                <w:sz w:val="22"/>
                <w:szCs w:val="22"/>
              </w:rPr>
            </w:pPr>
            <w:r>
              <w:rPr>
                <w:color w:val="000000"/>
                <w:sz w:val="22"/>
                <w:szCs w:val="22"/>
              </w:rPr>
              <w:t>4</w:t>
            </w:r>
          </w:p>
        </w:tc>
        <w:tc>
          <w:tcPr>
            <w:tcW w:w="1242" w:type="dxa"/>
            <w:tcBorders>
              <w:top w:val="nil"/>
              <w:left w:val="nil"/>
              <w:bottom w:val="single" w:sz="4" w:space="0" w:color="auto"/>
              <w:right w:val="single" w:sz="4" w:space="0" w:color="auto"/>
            </w:tcBorders>
            <w:shd w:val="clear" w:color="auto" w:fill="auto"/>
            <w:noWrap/>
            <w:vAlign w:val="bottom"/>
            <w:hideMark/>
          </w:tcPr>
          <w:p w:rsidR="0055491A" w:rsidRDefault="0055491A" w:rsidP="00210BF6">
            <w:pPr>
              <w:jc w:val="center"/>
              <w:rPr>
                <w:color w:val="000000"/>
                <w:sz w:val="22"/>
                <w:szCs w:val="22"/>
              </w:rPr>
            </w:pPr>
            <w:r>
              <w:rPr>
                <w:color w:val="000000"/>
                <w:sz w:val="22"/>
                <w:szCs w:val="22"/>
              </w:rPr>
              <w:t> </w:t>
            </w:r>
          </w:p>
        </w:tc>
        <w:tc>
          <w:tcPr>
            <w:tcW w:w="1243" w:type="dxa"/>
            <w:tcBorders>
              <w:top w:val="nil"/>
              <w:left w:val="nil"/>
              <w:bottom w:val="single" w:sz="4" w:space="0" w:color="auto"/>
              <w:right w:val="single" w:sz="4" w:space="0" w:color="auto"/>
            </w:tcBorders>
            <w:shd w:val="clear" w:color="auto" w:fill="auto"/>
            <w:noWrap/>
            <w:vAlign w:val="bottom"/>
            <w:hideMark/>
          </w:tcPr>
          <w:p w:rsidR="0055491A" w:rsidRDefault="0055491A" w:rsidP="00210BF6">
            <w:pPr>
              <w:jc w:val="center"/>
              <w:rPr>
                <w:color w:val="000000"/>
                <w:sz w:val="22"/>
                <w:szCs w:val="22"/>
              </w:rPr>
            </w:pPr>
            <w:r>
              <w:rPr>
                <w:color w:val="000000"/>
                <w:sz w:val="22"/>
                <w:szCs w:val="22"/>
              </w:rPr>
              <w:t>8</w:t>
            </w:r>
          </w:p>
        </w:tc>
        <w:tc>
          <w:tcPr>
            <w:tcW w:w="1242" w:type="dxa"/>
            <w:tcBorders>
              <w:top w:val="nil"/>
              <w:left w:val="nil"/>
              <w:bottom w:val="single" w:sz="4" w:space="0" w:color="auto"/>
              <w:right w:val="single" w:sz="4" w:space="0" w:color="auto"/>
            </w:tcBorders>
            <w:shd w:val="clear" w:color="auto" w:fill="auto"/>
            <w:noWrap/>
            <w:vAlign w:val="bottom"/>
            <w:hideMark/>
          </w:tcPr>
          <w:p w:rsidR="0055491A" w:rsidRDefault="0055491A" w:rsidP="00210BF6">
            <w:pPr>
              <w:jc w:val="center"/>
              <w:rPr>
                <w:color w:val="000000"/>
                <w:sz w:val="22"/>
                <w:szCs w:val="22"/>
              </w:rPr>
            </w:pPr>
            <w:r>
              <w:rPr>
                <w:color w:val="000000"/>
                <w:sz w:val="22"/>
                <w:szCs w:val="22"/>
              </w:rPr>
              <w:t>10</w:t>
            </w:r>
          </w:p>
        </w:tc>
        <w:tc>
          <w:tcPr>
            <w:tcW w:w="1242" w:type="dxa"/>
            <w:tcBorders>
              <w:top w:val="nil"/>
              <w:left w:val="nil"/>
              <w:bottom w:val="single" w:sz="4" w:space="0" w:color="auto"/>
              <w:right w:val="single" w:sz="4" w:space="0" w:color="auto"/>
            </w:tcBorders>
            <w:shd w:val="clear" w:color="auto" w:fill="auto"/>
            <w:noWrap/>
            <w:vAlign w:val="bottom"/>
            <w:hideMark/>
          </w:tcPr>
          <w:p w:rsidR="0055491A" w:rsidRDefault="0055491A" w:rsidP="00210BF6">
            <w:pPr>
              <w:jc w:val="center"/>
              <w:rPr>
                <w:color w:val="000000"/>
                <w:sz w:val="22"/>
                <w:szCs w:val="22"/>
              </w:rPr>
            </w:pPr>
            <w:r>
              <w:rPr>
                <w:color w:val="000000"/>
                <w:sz w:val="22"/>
                <w:szCs w:val="22"/>
              </w:rPr>
              <w:t>0</w:t>
            </w:r>
          </w:p>
        </w:tc>
        <w:tc>
          <w:tcPr>
            <w:tcW w:w="1243" w:type="dxa"/>
            <w:tcBorders>
              <w:top w:val="nil"/>
              <w:left w:val="nil"/>
              <w:bottom w:val="single" w:sz="4" w:space="0" w:color="auto"/>
              <w:right w:val="single" w:sz="4" w:space="0" w:color="auto"/>
            </w:tcBorders>
            <w:shd w:val="clear" w:color="auto" w:fill="auto"/>
            <w:noWrap/>
            <w:vAlign w:val="bottom"/>
            <w:hideMark/>
          </w:tcPr>
          <w:p w:rsidR="0055491A" w:rsidRDefault="0055491A" w:rsidP="00210BF6">
            <w:pPr>
              <w:jc w:val="center"/>
              <w:rPr>
                <w:color w:val="000000"/>
                <w:sz w:val="22"/>
                <w:szCs w:val="22"/>
              </w:rPr>
            </w:pPr>
            <w:r>
              <w:rPr>
                <w:color w:val="000000"/>
                <w:sz w:val="22"/>
                <w:szCs w:val="22"/>
              </w:rPr>
              <w:t>20</w:t>
            </w:r>
          </w:p>
        </w:tc>
      </w:tr>
      <w:tr w:rsidR="0055491A" w:rsidTr="00210BF6">
        <w:trPr>
          <w:trHeight w:val="291"/>
        </w:trPr>
        <w:tc>
          <w:tcPr>
            <w:tcW w:w="1913" w:type="dxa"/>
            <w:tcBorders>
              <w:top w:val="nil"/>
              <w:left w:val="single" w:sz="4" w:space="0" w:color="auto"/>
              <w:bottom w:val="single" w:sz="4" w:space="0" w:color="auto"/>
              <w:right w:val="single" w:sz="4" w:space="0" w:color="auto"/>
            </w:tcBorders>
            <w:shd w:val="clear" w:color="auto" w:fill="auto"/>
            <w:noWrap/>
            <w:vAlign w:val="bottom"/>
            <w:hideMark/>
          </w:tcPr>
          <w:p w:rsidR="0055491A" w:rsidRDefault="0055491A" w:rsidP="00210BF6">
            <w:pPr>
              <w:jc w:val="center"/>
              <w:rPr>
                <w:color w:val="000000"/>
                <w:sz w:val="22"/>
                <w:szCs w:val="22"/>
              </w:rPr>
            </w:pPr>
            <w:r>
              <w:rPr>
                <w:color w:val="000000"/>
                <w:sz w:val="22"/>
                <w:szCs w:val="22"/>
              </w:rPr>
              <w:t>10</w:t>
            </w:r>
          </w:p>
        </w:tc>
        <w:tc>
          <w:tcPr>
            <w:tcW w:w="1243" w:type="dxa"/>
            <w:tcBorders>
              <w:top w:val="nil"/>
              <w:left w:val="nil"/>
              <w:bottom w:val="single" w:sz="4" w:space="0" w:color="auto"/>
              <w:right w:val="single" w:sz="4" w:space="0" w:color="auto"/>
            </w:tcBorders>
            <w:shd w:val="clear" w:color="auto" w:fill="auto"/>
            <w:noWrap/>
            <w:vAlign w:val="bottom"/>
            <w:hideMark/>
          </w:tcPr>
          <w:p w:rsidR="0055491A" w:rsidRDefault="0055491A" w:rsidP="00210BF6">
            <w:pPr>
              <w:jc w:val="center"/>
              <w:rPr>
                <w:color w:val="000000"/>
                <w:sz w:val="22"/>
                <w:szCs w:val="22"/>
              </w:rPr>
            </w:pPr>
            <w:r>
              <w:rPr>
                <w:color w:val="000000"/>
                <w:sz w:val="22"/>
                <w:szCs w:val="22"/>
              </w:rPr>
              <w:t>1</w:t>
            </w:r>
          </w:p>
        </w:tc>
        <w:tc>
          <w:tcPr>
            <w:tcW w:w="1242" w:type="dxa"/>
            <w:tcBorders>
              <w:top w:val="nil"/>
              <w:left w:val="nil"/>
              <w:bottom w:val="single" w:sz="4" w:space="0" w:color="auto"/>
              <w:right w:val="single" w:sz="4" w:space="0" w:color="auto"/>
            </w:tcBorders>
            <w:shd w:val="clear" w:color="auto" w:fill="auto"/>
            <w:noWrap/>
            <w:vAlign w:val="bottom"/>
            <w:hideMark/>
          </w:tcPr>
          <w:p w:rsidR="0055491A" w:rsidRDefault="0055491A" w:rsidP="00210BF6">
            <w:pPr>
              <w:jc w:val="center"/>
              <w:rPr>
                <w:color w:val="000000"/>
                <w:sz w:val="22"/>
                <w:szCs w:val="22"/>
              </w:rPr>
            </w:pPr>
            <w:r>
              <w:rPr>
                <w:color w:val="000000"/>
                <w:sz w:val="22"/>
                <w:szCs w:val="22"/>
              </w:rPr>
              <w:t>1</w:t>
            </w:r>
          </w:p>
        </w:tc>
        <w:tc>
          <w:tcPr>
            <w:tcW w:w="1243" w:type="dxa"/>
            <w:tcBorders>
              <w:top w:val="nil"/>
              <w:left w:val="nil"/>
              <w:bottom w:val="single" w:sz="4" w:space="0" w:color="auto"/>
              <w:right w:val="single" w:sz="4" w:space="0" w:color="auto"/>
            </w:tcBorders>
            <w:shd w:val="clear" w:color="auto" w:fill="auto"/>
            <w:noWrap/>
            <w:vAlign w:val="bottom"/>
            <w:hideMark/>
          </w:tcPr>
          <w:p w:rsidR="0055491A" w:rsidRDefault="0055491A" w:rsidP="00210BF6">
            <w:pPr>
              <w:jc w:val="center"/>
              <w:rPr>
                <w:color w:val="000000"/>
                <w:sz w:val="22"/>
                <w:szCs w:val="22"/>
              </w:rPr>
            </w:pPr>
            <w:r>
              <w:rPr>
                <w:color w:val="000000"/>
                <w:sz w:val="22"/>
                <w:szCs w:val="22"/>
              </w:rPr>
              <w:t>1</w:t>
            </w:r>
          </w:p>
        </w:tc>
        <w:tc>
          <w:tcPr>
            <w:tcW w:w="1242" w:type="dxa"/>
            <w:tcBorders>
              <w:top w:val="nil"/>
              <w:left w:val="nil"/>
              <w:bottom w:val="single" w:sz="4" w:space="0" w:color="auto"/>
              <w:right w:val="single" w:sz="4" w:space="0" w:color="auto"/>
            </w:tcBorders>
            <w:shd w:val="clear" w:color="auto" w:fill="auto"/>
            <w:noWrap/>
            <w:vAlign w:val="bottom"/>
            <w:hideMark/>
          </w:tcPr>
          <w:p w:rsidR="0055491A" w:rsidRDefault="0055491A" w:rsidP="00210BF6">
            <w:pPr>
              <w:jc w:val="center"/>
              <w:rPr>
                <w:color w:val="000000"/>
                <w:sz w:val="22"/>
                <w:szCs w:val="22"/>
              </w:rPr>
            </w:pPr>
            <w:r>
              <w:rPr>
                <w:color w:val="000000"/>
                <w:sz w:val="22"/>
                <w:szCs w:val="22"/>
              </w:rPr>
              <w:t>10</w:t>
            </w:r>
          </w:p>
        </w:tc>
        <w:tc>
          <w:tcPr>
            <w:tcW w:w="1242" w:type="dxa"/>
            <w:tcBorders>
              <w:top w:val="nil"/>
              <w:left w:val="nil"/>
              <w:bottom w:val="single" w:sz="4" w:space="0" w:color="auto"/>
              <w:right w:val="single" w:sz="4" w:space="0" w:color="auto"/>
            </w:tcBorders>
            <w:shd w:val="clear" w:color="auto" w:fill="auto"/>
            <w:noWrap/>
            <w:vAlign w:val="bottom"/>
            <w:hideMark/>
          </w:tcPr>
          <w:p w:rsidR="0055491A" w:rsidRDefault="0055491A" w:rsidP="00210BF6">
            <w:pPr>
              <w:jc w:val="center"/>
              <w:rPr>
                <w:color w:val="000000"/>
                <w:sz w:val="22"/>
                <w:szCs w:val="22"/>
              </w:rPr>
            </w:pPr>
            <w:r>
              <w:rPr>
                <w:color w:val="000000"/>
                <w:sz w:val="22"/>
                <w:szCs w:val="22"/>
              </w:rPr>
              <w:t>10</w:t>
            </w:r>
          </w:p>
        </w:tc>
        <w:tc>
          <w:tcPr>
            <w:tcW w:w="1243" w:type="dxa"/>
            <w:tcBorders>
              <w:top w:val="nil"/>
              <w:left w:val="nil"/>
              <w:bottom w:val="single" w:sz="4" w:space="0" w:color="auto"/>
              <w:right w:val="single" w:sz="4" w:space="0" w:color="auto"/>
            </w:tcBorders>
            <w:shd w:val="clear" w:color="auto" w:fill="auto"/>
            <w:noWrap/>
            <w:vAlign w:val="bottom"/>
            <w:hideMark/>
          </w:tcPr>
          <w:p w:rsidR="0055491A" w:rsidRDefault="0055491A" w:rsidP="00210BF6">
            <w:pPr>
              <w:jc w:val="center"/>
              <w:rPr>
                <w:color w:val="000000"/>
                <w:sz w:val="22"/>
                <w:szCs w:val="22"/>
              </w:rPr>
            </w:pPr>
            <w:r>
              <w:rPr>
                <w:color w:val="000000"/>
                <w:sz w:val="22"/>
                <w:szCs w:val="22"/>
              </w:rPr>
              <w:t>10</w:t>
            </w:r>
          </w:p>
        </w:tc>
      </w:tr>
      <w:tr w:rsidR="0055491A" w:rsidTr="00210BF6">
        <w:trPr>
          <w:trHeight w:val="291"/>
        </w:trPr>
        <w:tc>
          <w:tcPr>
            <w:tcW w:w="1913" w:type="dxa"/>
            <w:tcBorders>
              <w:top w:val="nil"/>
              <w:left w:val="single" w:sz="4" w:space="0" w:color="auto"/>
              <w:bottom w:val="single" w:sz="4" w:space="0" w:color="auto"/>
              <w:right w:val="single" w:sz="4" w:space="0" w:color="auto"/>
            </w:tcBorders>
            <w:shd w:val="clear" w:color="auto" w:fill="auto"/>
            <w:noWrap/>
            <w:vAlign w:val="bottom"/>
            <w:hideMark/>
          </w:tcPr>
          <w:p w:rsidR="0055491A" w:rsidRDefault="0055491A" w:rsidP="00210BF6">
            <w:pPr>
              <w:jc w:val="center"/>
              <w:rPr>
                <w:color w:val="000000"/>
                <w:sz w:val="22"/>
                <w:szCs w:val="22"/>
              </w:rPr>
            </w:pPr>
            <w:r>
              <w:rPr>
                <w:color w:val="000000"/>
                <w:sz w:val="22"/>
                <w:szCs w:val="22"/>
              </w:rPr>
              <w:t>50</w:t>
            </w:r>
          </w:p>
        </w:tc>
        <w:tc>
          <w:tcPr>
            <w:tcW w:w="1243" w:type="dxa"/>
            <w:tcBorders>
              <w:top w:val="nil"/>
              <w:left w:val="nil"/>
              <w:bottom w:val="single" w:sz="4" w:space="0" w:color="auto"/>
              <w:right w:val="single" w:sz="4" w:space="0" w:color="auto"/>
            </w:tcBorders>
            <w:shd w:val="clear" w:color="auto" w:fill="auto"/>
            <w:noWrap/>
            <w:vAlign w:val="bottom"/>
            <w:hideMark/>
          </w:tcPr>
          <w:p w:rsidR="0055491A" w:rsidRDefault="0055491A" w:rsidP="00210BF6">
            <w:pPr>
              <w:jc w:val="center"/>
              <w:rPr>
                <w:color w:val="000000"/>
                <w:sz w:val="22"/>
                <w:szCs w:val="22"/>
              </w:rPr>
            </w:pPr>
            <w:r>
              <w:rPr>
                <w:color w:val="000000"/>
                <w:sz w:val="22"/>
                <w:szCs w:val="22"/>
              </w:rPr>
              <w:t>1</w:t>
            </w:r>
          </w:p>
        </w:tc>
        <w:tc>
          <w:tcPr>
            <w:tcW w:w="1242" w:type="dxa"/>
            <w:tcBorders>
              <w:top w:val="nil"/>
              <w:left w:val="nil"/>
              <w:bottom w:val="single" w:sz="4" w:space="0" w:color="auto"/>
              <w:right w:val="single" w:sz="4" w:space="0" w:color="auto"/>
            </w:tcBorders>
            <w:shd w:val="clear" w:color="auto" w:fill="auto"/>
            <w:noWrap/>
            <w:vAlign w:val="bottom"/>
            <w:hideMark/>
          </w:tcPr>
          <w:p w:rsidR="0055491A" w:rsidRDefault="0055491A" w:rsidP="00210BF6">
            <w:pPr>
              <w:jc w:val="center"/>
              <w:rPr>
                <w:color w:val="000000"/>
                <w:sz w:val="22"/>
                <w:szCs w:val="22"/>
              </w:rPr>
            </w:pPr>
            <w:r>
              <w:rPr>
                <w:color w:val="000000"/>
                <w:sz w:val="22"/>
                <w:szCs w:val="22"/>
              </w:rPr>
              <w:t>1</w:t>
            </w:r>
          </w:p>
        </w:tc>
        <w:tc>
          <w:tcPr>
            <w:tcW w:w="1243" w:type="dxa"/>
            <w:tcBorders>
              <w:top w:val="nil"/>
              <w:left w:val="nil"/>
              <w:bottom w:val="single" w:sz="4" w:space="0" w:color="auto"/>
              <w:right w:val="single" w:sz="4" w:space="0" w:color="auto"/>
            </w:tcBorders>
            <w:shd w:val="clear" w:color="auto" w:fill="auto"/>
            <w:noWrap/>
            <w:vAlign w:val="bottom"/>
            <w:hideMark/>
          </w:tcPr>
          <w:p w:rsidR="0055491A" w:rsidRDefault="0055491A" w:rsidP="00210BF6">
            <w:pPr>
              <w:jc w:val="center"/>
              <w:rPr>
                <w:color w:val="000000"/>
                <w:sz w:val="22"/>
                <w:szCs w:val="22"/>
              </w:rPr>
            </w:pPr>
            <w:r>
              <w:rPr>
                <w:color w:val="000000"/>
                <w:sz w:val="22"/>
                <w:szCs w:val="22"/>
              </w:rPr>
              <w:t>1</w:t>
            </w:r>
          </w:p>
        </w:tc>
        <w:tc>
          <w:tcPr>
            <w:tcW w:w="1242" w:type="dxa"/>
            <w:tcBorders>
              <w:top w:val="nil"/>
              <w:left w:val="nil"/>
              <w:bottom w:val="single" w:sz="4" w:space="0" w:color="auto"/>
              <w:right w:val="single" w:sz="4" w:space="0" w:color="auto"/>
            </w:tcBorders>
            <w:shd w:val="clear" w:color="auto" w:fill="auto"/>
            <w:noWrap/>
            <w:vAlign w:val="bottom"/>
            <w:hideMark/>
          </w:tcPr>
          <w:p w:rsidR="0055491A" w:rsidRDefault="0055491A" w:rsidP="00210BF6">
            <w:pPr>
              <w:jc w:val="center"/>
              <w:rPr>
                <w:color w:val="000000"/>
                <w:sz w:val="22"/>
                <w:szCs w:val="22"/>
              </w:rPr>
            </w:pPr>
            <w:r>
              <w:rPr>
                <w:color w:val="000000"/>
                <w:sz w:val="22"/>
                <w:szCs w:val="22"/>
              </w:rPr>
              <w:t>50</w:t>
            </w:r>
          </w:p>
        </w:tc>
        <w:tc>
          <w:tcPr>
            <w:tcW w:w="1242" w:type="dxa"/>
            <w:tcBorders>
              <w:top w:val="nil"/>
              <w:left w:val="nil"/>
              <w:bottom w:val="single" w:sz="4" w:space="0" w:color="auto"/>
              <w:right w:val="single" w:sz="4" w:space="0" w:color="auto"/>
            </w:tcBorders>
            <w:shd w:val="clear" w:color="auto" w:fill="auto"/>
            <w:noWrap/>
            <w:vAlign w:val="bottom"/>
            <w:hideMark/>
          </w:tcPr>
          <w:p w:rsidR="0055491A" w:rsidRDefault="0055491A" w:rsidP="00210BF6">
            <w:pPr>
              <w:jc w:val="center"/>
              <w:rPr>
                <w:color w:val="000000"/>
                <w:sz w:val="22"/>
                <w:szCs w:val="22"/>
              </w:rPr>
            </w:pPr>
            <w:r>
              <w:rPr>
                <w:color w:val="000000"/>
                <w:sz w:val="22"/>
                <w:szCs w:val="22"/>
              </w:rPr>
              <w:t>50</w:t>
            </w:r>
          </w:p>
        </w:tc>
        <w:tc>
          <w:tcPr>
            <w:tcW w:w="1243" w:type="dxa"/>
            <w:tcBorders>
              <w:top w:val="nil"/>
              <w:left w:val="nil"/>
              <w:bottom w:val="single" w:sz="4" w:space="0" w:color="auto"/>
              <w:right w:val="single" w:sz="4" w:space="0" w:color="auto"/>
            </w:tcBorders>
            <w:shd w:val="clear" w:color="auto" w:fill="auto"/>
            <w:noWrap/>
            <w:vAlign w:val="bottom"/>
            <w:hideMark/>
          </w:tcPr>
          <w:p w:rsidR="0055491A" w:rsidRDefault="0055491A" w:rsidP="00210BF6">
            <w:pPr>
              <w:jc w:val="center"/>
              <w:rPr>
                <w:color w:val="000000"/>
                <w:sz w:val="22"/>
                <w:szCs w:val="22"/>
              </w:rPr>
            </w:pPr>
            <w:r>
              <w:rPr>
                <w:color w:val="000000"/>
                <w:sz w:val="22"/>
                <w:szCs w:val="22"/>
              </w:rPr>
              <w:t>50</w:t>
            </w:r>
          </w:p>
        </w:tc>
      </w:tr>
      <w:tr w:rsidR="0055491A" w:rsidTr="00210BF6">
        <w:trPr>
          <w:trHeight w:val="291"/>
        </w:trPr>
        <w:tc>
          <w:tcPr>
            <w:tcW w:w="1913" w:type="dxa"/>
            <w:tcBorders>
              <w:top w:val="nil"/>
              <w:left w:val="single" w:sz="4" w:space="0" w:color="auto"/>
              <w:bottom w:val="single" w:sz="4" w:space="0" w:color="auto"/>
              <w:right w:val="single" w:sz="4" w:space="0" w:color="auto"/>
            </w:tcBorders>
            <w:shd w:val="clear" w:color="auto" w:fill="auto"/>
            <w:noWrap/>
            <w:vAlign w:val="bottom"/>
            <w:hideMark/>
          </w:tcPr>
          <w:p w:rsidR="0055491A" w:rsidRDefault="0055491A" w:rsidP="00210BF6">
            <w:pPr>
              <w:jc w:val="center"/>
              <w:rPr>
                <w:color w:val="000000"/>
                <w:sz w:val="22"/>
                <w:szCs w:val="22"/>
              </w:rPr>
            </w:pPr>
            <w:r>
              <w:rPr>
                <w:color w:val="000000"/>
                <w:sz w:val="22"/>
                <w:szCs w:val="22"/>
              </w:rPr>
              <w:t>0,75</w:t>
            </w:r>
          </w:p>
        </w:tc>
        <w:tc>
          <w:tcPr>
            <w:tcW w:w="1243" w:type="dxa"/>
            <w:tcBorders>
              <w:top w:val="nil"/>
              <w:left w:val="nil"/>
              <w:bottom w:val="single" w:sz="4" w:space="0" w:color="auto"/>
              <w:right w:val="single" w:sz="4" w:space="0" w:color="auto"/>
            </w:tcBorders>
            <w:shd w:val="clear" w:color="auto" w:fill="auto"/>
            <w:noWrap/>
            <w:vAlign w:val="bottom"/>
            <w:hideMark/>
          </w:tcPr>
          <w:p w:rsidR="0055491A" w:rsidRDefault="0055491A" w:rsidP="00210BF6">
            <w:pPr>
              <w:jc w:val="center"/>
              <w:rPr>
                <w:color w:val="000000"/>
                <w:sz w:val="22"/>
                <w:szCs w:val="22"/>
              </w:rPr>
            </w:pPr>
            <w:r>
              <w:rPr>
                <w:color w:val="000000"/>
                <w:sz w:val="22"/>
                <w:szCs w:val="22"/>
              </w:rPr>
              <w:t>8</w:t>
            </w:r>
          </w:p>
        </w:tc>
        <w:tc>
          <w:tcPr>
            <w:tcW w:w="1242" w:type="dxa"/>
            <w:tcBorders>
              <w:top w:val="nil"/>
              <w:left w:val="nil"/>
              <w:bottom w:val="single" w:sz="4" w:space="0" w:color="auto"/>
              <w:right w:val="single" w:sz="4" w:space="0" w:color="auto"/>
            </w:tcBorders>
            <w:shd w:val="clear" w:color="auto" w:fill="auto"/>
            <w:noWrap/>
            <w:vAlign w:val="bottom"/>
            <w:hideMark/>
          </w:tcPr>
          <w:p w:rsidR="0055491A" w:rsidRDefault="0055491A" w:rsidP="00210BF6">
            <w:pPr>
              <w:jc w:val="center"/>
              <w:rPr>
                <w:color w:val="000000"/>
                <w:sz w:val="22"/>
                <w:szCs w:val="22"/>
              </w:rPr>
            </w:pPr>
            <w:r>
              <w:rPr>
                <w:color w:val="000000"/>
                <w:sz w:val="22"/>
                <w:szCs w:val="22"/>
              </w:rPr>
              <w:t>8</w:t>
            </w:r>
          </w:p>
        </w:tc>
        <w:tc>
          <w:tcPr>
            <w:tcW w:w="1243" w:type="dxa"/>
            <w:tcBorders>
              <w:top w:val="nil"/>
              <w:left w:val="nil"/>
              <w:bottom w:val="single" w:sz="4" w:space="0" w:color="auto"/>
              <w:right w:val="single" w:sz="4" w:space="0" w:color="auto"/>
            </w:tcBorders>
            <w:shd w:val="clear" w:color="auto" w:fill="auto"/>
            <w:noWrap/>
            <w:vAlign w:val="bottom"/>
            <w:hideMark/>
          </w:tcPr>
          <w:p w:rsidR="0055491A" w:rsidRDefault="0055491A" w:rsidP="00210BF6">
            <w:pPr>
              <w:jc w:val="center"/>
              <w:rPr>
                <w:color w:val="000000"/>
                <w:sz w:val="22"/>
                <w:szCs w:val="22"/>
              </w:rPr>
            </w:pPr>
            <w:r>
              <w:rPr>
                <w:color w:val="000000"/>
                <w:sz w:val="22"/>
                <w:szCs w:val="22"/>
              </w:rPr>
              <w:t>12</w:t>
            </w:r>
          </w:p>
        </w:tc>
        <w:tc>
          <w:tcPr>
            <w:tcW w:w="1242" w:type="dxa"/>
            <w:tcBorders>
              <w:top w:val="nil"/>
              <w:left w:val="nil"/>
              <w:bottom w:val="single" w:sz="4" w:space="0" w:color="auto"/>
              <w:right w:val="single" w:sz="4" w:space="0" w:color="auto"/>
            </w:tcBorders>
            <w:shd w:val="clear" w:color="auto" w:fill="auto"/>
            <w:noWrap/>
            <w:vAlign w:val="bottom"/>
            <w:hideMark/>
          </w:tcPr>
          <w:p w:rsidR="0055491A" w:rsidRDefault="0055491A" w:rsidP="00210BF6">
            <w:pPr>
              <w:jc w:val="center"/>
              <w:rPr>
                <w:color w:val="000000"/>
                <w:sz w:val="22"/>
                <w:szCs w:val="22"/>
              </w:rPr>
            </w:pPr>
            <w:r>
              <w:rPr>
                <w:color w:val="000000"/>
                <w:sz w:val="22"/>
                <w:szCs w:val="22"/>
              </w:rPr>
              <w:t>6</w:t>
            </w:r>
          </w:p>
        </w:tc>
        <w:tc>
          <w:tcPr>
            <w:tcW w:w="1242" w:type="dxa"/>
            <w:tcBorders>
              <w:top w:val="nil"/>
              <w:left w:val="nil"/>
              <w:bottom w:val="single" w:sz="4" w:space="0" w:color="auto"/>
              <w:right w:val="single" w:sz="4" w:space="0" w:color="auto"/>
            </w:tcBorders>
            <w:shd w:val="clear" w:color="auto" w:fill="auto"/>
            <w:noWrap/>
            <w:vAlign w:val="bottom"/>
            <w:hideMark/>
          </w:tcPr>
          <w:p w:rsidR="0055491A" w:rsidRDefault="0055491A" w:rsidP="00210BF6">
            <w:pPr>
              <w:jc w:val="center"/>
              <w:rPr>
                <w:color w:val="000000"/>
                <w:sz w:val="22"/>
                <w:szCs w:val="22"/>
              </w:rPr>
            </w:pPr>
            <w:r>
              <w:rPr>
                <w:color w:val="000000"/>
                <w:sz w:val="22"/>
                <w:szCs w:val="22"/>
              </w:rPr>
              <w:t>6</w:t>
            </w:r>
          </w:p>
        </w:tc>
        <w:tc>
          <w:tcPr>
            <w:tcW w:w="1243" w:type="dxa"/>
            <w:tcBorders>
              <w:top w:val="nil"/>
              <w:left w:val="nil"/>
              <w:bottom w:val="single" w:sz="4" w:space="0" w:color="auto"/>
              <w:right w:val="single" w:sz="4" w:space="0" w:color="auto"/>
            </w:tcBorders>
            <w:shd w:val="clear" w:color="auto" w:fill="auto"/>
            <w:noWrap/>
            <w:vAlign w:val="bottom"/>
            <w:hideMark/>
          </w:tcPr>
          <w:p w:rsidR="0055491A" w:rsidRDefault="0055491A" w:rsidP="00210BF6">
            <w:pPr>
              <w:jc w:val="center"/>
              <w:rPr>
                <w:color w:val="000000"/>
                <w:sz w:val="22"/>
                <w:szCs w:val="22"/>
              </w:rPr>
            </w:pPr>
            <w:r>
              <w:rPr>
                <w:color w:val="000000"/>
                <w:sz w:val="22"/>
                <w:szCs w:val="22"/>
              </w:rPr>
              <w:t>9</w:t>
            </w:r>
          </w:p>
        </w:tc>
      </w:tr>
      <w:tr w:rsidR="0055491A" w:rsidTr="00210BF6">
        <w:trPr>
          <w:trHeight w:val="291"/>
        </w:trPr>
        <w:tc>
          <w:tcPr>
            <w:tcW w:w="5641" w:type="dxa"/>
            <w:gridSpan w:val="4"/>
            <w:tcBorders>
              <w:top w:val="nil"/>
              <w:left w:val="single" w:sz="4" w:space="0" w:color="auto"/>
              <w:bottom w:val="nil"/>
              <w:right w:val="nil"/>
            </w:tcBorders>
            <w:shd w:val="clear" w:color="auto" w:fill="auto"/>
            <w:noWrap/>
            <w:vAlign w:val="bottom"/>
            <w:hideMark/>
          </w:tcPr>
          <w:p w:rsidR="0055491A" w:rsidRDefault="0055491A" w:rsidP="00210BF6">
            <w:pPr>
              <w:jc w:val="center"/>
              <w:rPr>
                <w:color w:val="000000"/>
                <w:sz w:val="22"/>
                <w:szCs w:val="22"/>
              </w:rPr>
            </w:pPr>
            <w:r>
              <w:rPr>
                <w:b/>
                <w:bCs/>
                <w:color w:val="000000"/>
                <w:sz w:val="22"/>
                <w:szCs w:val="22"/>
              </w:rPr>
              <w:t>ИТОГО</w:t>
            </w:r>
            <w:r>
              <w:rPr>
                <w:color w:val="000000"/>
                <w:sz w:val="22"/>
                <w:szCs w:val="22"/>
              </w:rPr>
              <w:t> </w:t>
            </w:r>
          </w:p>
        </w:tc>
        <w:tc>
          <w:tcPr>
            <w:tcW w:w="1242" w:type="dxa"/>
            <w:tcBorders>
              <w:top w:val="nil"/>
              <w:left w:val="single" w:sz="4" w:space="0" w:color="auto"/>
              <w:bottom w:val="nil"/>
              <w:right w:val="single" w:sz="4" w:space="0" w:color="auto"/>
            </w:tcBorders>
            <w:shd w:val="clear" w:color="auto" w:fill="auto"/>
            <w:noWrap/>
            <w:vAlign w:val="bottom"/>
            <w:hideMark/>
          </w:tcPr>
          <w:p w:rsidR="0055491A" w:rsidRPr="000D6006" w:rsidRDefault="0055491A" w:rsidP="00210BF6">
            <w:pPr>
              <w:jc w:val="center"/>
              <w:rPr>
                <w:b/>
                <w:color w:val="000000"/>
                <w:sz w:val="22"/>
                <w:szCs w:val="22"/>
              </w:rPr>
            </w:pPr>
            <w:r w:rsidRPr="000D6006">
              <w:rPr>
                <w:b/>
                <w:color w:val="000000"/>
                <w:sz w:val="22"/>
                <w:szCs w:val="22"/>
              </w:rPr>
              <w:t>939</w:t>
            </w:r>
          </w:p>
        </w:tc>
        <w:tc>
          <w:tcPr>
            <w:tcW w:w="1242" w:type="dxa"/>
            <w:tcBorders>
              <w:top w:val="nil"/>
              <w:left w:val="nil"/>
              <w:bottom w:val="nil"/>
              <w:right w:val="single" w:sz="4" w:space="0" w:color="auto"/>
            </w:tcBorders>
            <w:shd w:val="clear" w:color="auto" w:fill="auto"/>
            <w:noWrap/>
            <w:vAlign w:val="bottom"/>
            <w:hideMark/>
          </w:tcPr>
          <w:p w:rsidR="0055491A" w:rsidRPr="000D6006" w:rsidRDefault="0055491A" w:rsidP="00210BF6">
            <w:pPr>
              <w:jc w:val="center"/>
              <w:rPr>
                <w:b/>
                <w:color w:val="000000"/>
                <w:sz w:val="22"/>
                <w:szCs w:val="22"/>
              </w:rPr>
            </w:pPr>
            <w:r w:rsidRPr="000D6006">
              <w:rPr>
                <w:b/>
                <w:color w:val="000000"/>
                <w:sz w:val="22"/>
                <w:szCs w:val="22"/>
              </w:rPr>
              <w:t>967</w:t>
            </w:r>
          </w:p>
        </w:tc>
        <w:tc>
          <w:tcPr>
            <w:tcW w:w="1243" w:type="dxa"/>
            <w:tcBorders>
              <w:top w:val="nil"/>
              <w:left w:val="nil"/>
              <w:bottom w:val="nil"/>
              <w:right w:val="single" w:sz="4" w:space="0" w:color="auto"/>
            </w:tcBorders>
            <w:shd w:val="clear" w:color="auto" w:fill="auto"/>
            <w:noWrap/>
            <w:vAlign w:val="bottom"/>
            <w:hideMark/>
          </w:tcPr>
          <w:p w:rsidR="0055491A" w:rsidRPr="000D6006" w:rsidRDefault="0055491A" w:rsidP="00210BF6">
            <w:pPr>
              <w:jc w:val="center"/>
              <w:rPr>
                <w:b/>
                <w:color w:val="000000"/>
                <w:sz w:val="22"/>
                <w:szCs w:val="22"/>
              </w:rPr>
            </w:pPr>
            <w:r w:rsidRPr="000D6006">
              <w:rPr>
                <w:b/>
                <w:color w:val="000000"/>
                <w:sz w:val="22"/>
                <w:szCs w:val="22"/>
              </w:rPr>
              <w:t>970,6</w:t>
            </w:r>
          </w:p>
        </w:tc>
      </w:tr>
      <w:tr w:rsidR="0055491A" w:rsidTr="00210BF6">
        <w:trPr>
          <w:trHeight w:val="291"/>
        </w:trPr>
        <w:tc>
          <w:tcPr>
            <w:tcW w:w="5641" w:type="dxa"/>
            <w:gridSpan w:val="4"/>
            <w:tcBorders>
              <w:top w:val="nil"/>
              <w:left w:val="single" w:sz="4" w:space="0" w:color="auto"/>
              <w:bottom w:val="single" w:sz="4" w:space="0" w:color="auto"/>
              <w:right w:val="nil"/>
            </w:tcBorders>
            <w:shd w:val="clear" w:color="auto" w:fill="auto"/>
            <w:noWrap/>
            <w:vAlign w:val="bottom"/>
          </w:tcPr>
          <w:p w:rsidR="0055491A" w:rsidRDefault="0055491A" w:rsidP="00210BF6">
            <w:pPr>
              <w:jc w:val="center"/>
              <w:rPr>
                <w:color w:val="000000"/>
                <w:sz w:val="22"/>
                <w:szCs w:val="22"/>
              </w:rPr>
            </w:pPr>
            <w:r>
              <w:rPr>
                <w:b/>
                <w:bCs/>
                <w:color w:val="000000"/>
                <w:sz w:val="22"/>
                <w:szCs w:val="22"/>
              </w:rPr>
              <w:t>Областной бюджет Тверской области                    (норматив зачисления 50%)</w:t>
            </w:r>
          </w:p>
        </w:tc>
        <w:tc>
          <w:tcPr>
            <w:tcW w:w="1242" w:type="dxa"/>
            <w:tcBorders>
              <w:top w:val="nil"/>
              <w:left w:val="single" w:sz="4" w:space="0" w:color="auto"/>
              <w:bottom w:val="single" w:sz="4" w:space="0" w:color="auto"/>
              <w:right w:val="single" w:sz="4" w:space="0" w:color="auto"/>
            </w:tcBorders>
            <w:shd w:val="clear" w:color="auto" w:fill="auto"/>
            <w:noWrap/>
            <w:vAlign w:val="bottom"/>
          </w:tcPr>
          <w:p w:rsidR="0055491A" w:rsidRPr="000D6006" w:rsidRDefault="0055491A" w:rsidP="00210BF6">
            <w:pPr>
              <w:jc w:val="center"/>
              <w:rPr>
                <w:b/>
                <w:color w:val="000000"/>
                <w:sz w:val="22"/>
                <w:szCs w:val="22"/>
              </w:rPr>
            </w:pPr>
            <w:r>
              <w:rPr>
                <w:b/>
                <w:color w:val="000000"/>
                <w:sz w:val="22"/>
                <w:szCs w:val="22"/>
              </w:rPr>
              <w:t>469,5</w:t>
            </w:r>
          </w:p>
        </w:tc>
        <w:tc>
          <w:tcPr>
            <w:tcW w:w="1242" w:type="dxa"/>
            <w:tcBorders>
              <w:top w:val="nil"/>
              <w:left w:val="nil"/>
              <w:bottom w:val="single" w:sz="4" w:space="0" w:color="auto"/>
              <w:right w:val="single" w:sz="4" w:space="0" w:color="auto"/>
            </w:tcBorders>
            <w:shd w:val="clear" w:color="auto" w:fill="auto"/>
            <w:noWrap/>
            <w:vAlign w:val="bottom"/>
          </w:tcPr>
          <w:p w:rsidR="0055491A" w:rsidRPr="000D6006" w:rsidRDefault="0055491A" w:rsidP="00210BF6">
            <w:pPr>
              <w:jc w:val="center"/>
              <w:rPr>
                <w:b/>
                <w:color w:val="000000"/>
                <w:sz w:val="22"/>
                <w:szCs w:val="22"/>
              </w:rPr>
            </w:pPr>
            <w:r>
              <w:rPr>
                <w:b/>
                <w:color w:val="000000"/>
                <w:sz w:val="22"/>
                <w:szCs w:val="22"/>
              </w:rPr>
              <w:t>483,5</w:t>
            </w:r>
          </w:p>
        </w:tc>
        <w:tc>
          <w:tcPr>
            <w:tcW w:w="1243" w:type="dxa"/>
            <w:tcBorders>
              <w:top w:val="nil"/>
              <w:left w:val="nil"/>
              <w:bottom w:val="single" w:sz="4" w:space="0" w:color="auto"/>
              <w:right w:val="single" w:sz="4" w:space="0" w:color="auto"/>
            </w:tcBorders>
            <w:shd w:val="clear" w:color="auto" w:fill="auto"/>
            <w:noWrap/>
            <w:vAlign w:val="bottom"/>
          </w:tcPr>
          <w:p w:rsidR="0055491A" w:rsidRPr="000D6006" w:rsidRDefault="0055491A" w:rsidP="00210BF6">
            <w:pPr>
              <w:jc w:val="center"/>
              <w:rPr>
                <w:b/>
                <w:color w:val="000000"/>
                <w:sz w:val="22"/>
                <w:szCs w:val="22"/>
              </w:rPr>
            </w:pPr>
            <w:r>
              <w:rPr>
                <w:b/>
                <w:color w:val="000000"/>
                <w:sz w:val="22"/>
                <w:szCs w:val="22"/>
              </w:rPr>
              <w:t>485,3</w:t>
            </w:r>
          </w:p>
        </w:tc>
      </w:tr>
    </w:tbl>
    <w:p w:rsidR="0055491A" w:rsidRDefault="0055491A" w:rsidP="0055491A">
      <w:pPr>
        <w:autoSpaceDE w:val="0"/>
        <w:autoSpaceDN w:val="0"/>
        <w:adjustRightInd w:val="0"/>
        <w:jc w:val="both"/>
        <w:rPr>
          <w:sz w:val="28"/>
          <w:szCs w:val="28"/>
        </w:rPr>
      </w:pPr>
    </w:p>
    <w:p w:rsidR="0055491A" w:rsidRDefault="0055491A" w:rsidP="0055491A">
      <w:pPr>
        <w:pStyle w:val="a7"/>
        <w:spacing w:after="0"/>
        <w:ind w:left="0" w:firstLine="709"/>
        <w:jc w:val="both"/>
        <w:rPr>
          <w:sz w:val="28"/>
          <w:szCs w:val="28"/>
        </w:rPr>
      </w:pPr>
      <w:r>
        <w:rPr>
          <w:sz w:val="28"/>
          <w:szCs w:val="28"/>
        </w:rPr>
        <w:t xml:space="preserve">14.2 </w:t>
      </w:r>
      <w:r w:rsidRPr="000D6006">
        <w:rPr>
          <w:b/>
          <w:sz w:val="28"/>
          <w:szCs w:val="28"/>
        </w:rPr>
        <w:t>КБК 327 1 16 01203 01 0000 140</w:t>
      </w:r>
      <w:r>
        <w:rPr>
          <w:sz w:val="28"/>
          <w:szCs w:val="28"/>
        </w:rPr>
        <w:t xml:space="preserve"> </w:t>
      </w:r>
      <w:r w:rsidRPr="00EF7C09">
        <w:rPr>
          <w:sz w:val="28"/>
          <w:szCs w:val="28"/>
        </w:rPr>
        <w:t xml:space="preserve">Административные штрафы, установленные Главой </w:t>
      </w:r>
      <w:r>
        <w:rPr>
          <w:sz w:val="28"/>
          <w:szCs w:val="28"/>
        </w:rPr>
        <w:t>20</w:t>
      </w:r>
      <w:r w:rsidRPr="00EF7C09">
        <w:rPr>
          <w:sz w:val="28"/>
          <w:szCs w:val="28"/>
        </w:rPr>
        <w:t xml:space="preserve"> Кодекса Российской Федерации об административных правонарушениях</w:t>
      </w:r>
      <w:r>
        <w:rPr>
          <w:sz w:val="28"/>
          <w:szCs w:val="28"/>
        </w:rPr>
        <w:t>,</w:t>
      </w:r>
      <w:r w:rsidRPr="00EF7C09">
        <w:rPr>
          <w:sz w:val="28"/>
          <w:szCs w:val="28"/>
        </w:rPr>
        <w:t xml:space="preserve"> </w:t>
      </w:r>
      <w:r w:rsidRPr="00AC781D">
        <w:rPr>
          <w:sz w:val="28"/>
          <w:szCs w:val="28"/>
        </w:rPr>
        <w:t>за административные правонарушения, посягающие на общественный порядок и общественную безопасность</w:t>
      </w:r>
      <w:r w:rsidRPr="00EF7C09">
        <w:rPr>
          <w:sz w:val="28"/>
          <w:szCs w:val="28"/>
        </w:rPr>
        <w:t>, налагаемые мировыми судьями, комиссиями по делам несовершеннолетних и защите их прав</w:t>
      </w:r>
      <w:r>
        <w:rPr>
          <w:sz w:val="28"/>
          <w:szCs w:val="28"/>
        </w:rPr>
        <w:t>.</w:t>
      </w:r>
    </w:p>
    <w:p w:rsidR="0055491A" w:rsidRPr="000D6006" w:rsidRDefault="0055491A" w:rsidP="0055491A">
      <w:pPr>
        <w:pStyle w:val="a7"/>
        <w:spacing w:after="0"/>
        <w:ind w:left="0" w:firstLine="709"/>
        <w:jc w:val="both"/>
        <w:rPr>
          <w:b/>
          <w:sz w:val="28"/>
          <w:szCs w:val="28"/>
        </w:rPr>
      </w:pPr>
      <w:r w:rsidRPr="000D6006">
        <w:rPr>
          <w:b/>
          <w:sz w:val="28"/>
          <w:szCs w:val="28"/>
        </w:rPr>
        <w:t xml:space="preserve"> Главный администратор доходов – Министерство природных ресурсов и экологии Тверской области.</w:t>
      </w:r>
    </w:p>
    <w:p w:rsidR="0055491A" w:rsidRDefault="0055491A" w:rsidP="0055491A">
      <w:pPr>
        <w:pStyle w:val="a7"/>
        <w:spacing w:after="0"/>
        <w:ind w:left="0" w:firstLine="709"/>
        <w:jc w:val="both"/>
        <w:rPr>
          <w:sz w:val="28"/>
          <w:szCs w:val="28"/>
        </w:rPr>
      </w:pPr>
      <w:r>
        <w:rPr>
          <w:sz w:val="28"/>
          <w:szCs w:val="28"/>
        </w:rPr>
        <w:t xml:space="preserve">В соответствии с </w:t>
      </w:r>
      <w:hyperlink r:id="rId119" w:history="1">
        <w:r w:rsidRPr="00A63638">
          <w:rPr>
            <w:color w:val="000000" w:themeColor="text1"/>
            <w:sz w:val="28"/>
            <w:szCs w:val="28"/>
          </w:rPr>
          <w:t>пунктом 4 статьи 46</w:t>
        </w:r>
      </w:hyperlink>
      <w:r>
        <w:rPr>
          <w:sz w:val="28"/>
          <w:szCs w:val="28"/>
        </w:rPr>
        <w:t xml:space="preserve"> Бюджетного Кодекса РФ в случае, если постановления о наложении административных штрафов, предусмотренных КоАП РФ, вынесены мировыми судьями, доходы от таких штрафов подлежат зачислению в равных долях (по 50 процентов) в бюджет субъекта Российской Федерации и местные бюджеты.</w:t>
      </w:r>
    </w:p>
    <w:p w:rsidR="0055491A" w:rsidRDefault="0055491A" w:rsidP="0055491A">
      <w:pPr>
        <w:autoSpaceDE w:val="0"/>
        <w:autoSpaceDN w:val="0"/>
        <w:adjustRightInd w:val="0"/>
        <w:ind w:firstLine="709"/>
        <w:jc w:val="both"/>
        <w:rPr>
          <w:sz w:val="28"/>
          <w:szCs w:val="28"/>
        </w:rPr>
      </w:pPr>
      <w:r w:rsidRPr="00524F9B">
        <w:rPr>
          <w:sz w:val="28"/>
          <w:szCs w:val="28"/>
        </w:rPr>
        <w:t>Расчет осуществля</w:t>
      </w:r>
      <w:r>
        <w:rPr>
          <w:sz w:val="28"/>
          <w:szCs w:val="28"/>
        </w:rPr>
        <w:t>ется</w:t>
      </w:r>
      <w:r w:rsidRPr="00524F9B">
        <w:rPr>
          <w:sz w:val="28"/>
          <w:szCs w:val="28"/>
        </w:rPr>
        <w:t xml:space="preserve"> методом прямого расчета на основании количества правонарушений по</w:t>
      </w:r>
      <w:r>
        <w:rPr>
          <w:sz w:val="28"/>
          <w:szCs w:val="28"/>
        </w:rPr>
        <w:t xml:space="preserve"> видам и </w:t>
      </w:r>
      <w:r w:rsidRPr="00524F9B">
        <w:rPr>
          <w:sz w:val="28"/>
          <w:szCs w:val="28"/>
        </w:rPr>
        <w:t>размерам платежа</w:t>
      </w:r>
      <w:r>
        <w:rPr>
          <w:sz w:val="28"/>
          <w:szCs w:val="28"/>
        </w:rPr>
        <w:t>.</w:t>
      </w:r>
      <w:r w:rsidRPr="00524F9B">
        <w:rPr>
          <w:sz w:val="28"/>
          <w:szCs w:val="28"/>
        </w:rPr>
        <w:t xml:space="preserve"> Прогнозное количество правонарушений</w:t>
      </w:r>
      <w:r>
        <w:rPr>
          <w:sz w:val="28"/>
          <w:szCs w:val="28"/>
        </w:rPr>
        <w:t>,</w:t>
      </w:r>
      <w:r w:rsidRPr="00524F9B">
        <w:rPr>
          <w:sz w:val="28"/>
          <w:szCs w:val="28"/>
        </w:rPr>
        <w:t xml:space="preserve"> закрепленного в законодательстве Российской Федерации, определя</w:t>
      </w:r>
      <w:r>
        <w:rPr>
          <w:sz w:val="28"/>
          <w:szCs w:val="28"/>
        </w:rPr>
        <w:t>ется</w:t>
      </w:r>
      <w:r w:rsidRPr="00524F9B">
        <w:rPr>
          <w:sz w:val="28"/>
          <w:szCs w:val="28"/>
        </w:rPr>
        <w:t xml:space="preserve"> путем вычисления среднего арифметического за последние три года. </w:t>
      </w:r>
    </w:p>
    <w:p w:rsidR="0055491A" w:rsidRDefault="0055491A" w:rsidP="0055491A">
      <w:pPr>
        <w:pStyle w:val="a7"/>
        <w:spacing w:after="0"/>
        <w:ind w:left="0" w:firstLine="709"/>
        <w:jc w:val="both"/>
        <w:rPr>
          <w:sz w:val="28"/>
          <w:szCs w:val="28"/>
        </w:rPr>
      </w:pPr>
    </w:p>
    <w:tbl>
      <w:tblPr>
        <w:tblStyle w:val="a6"/>
        <w:tblW w:w="9639" w:type="dxa"/>
        <w:tblInd w:w="-5" w:type="dxa"/>
        <w:tblLayout w:type="fixed"/>
        <w:tblLook w:val="04A0" w:firstRow="1" w:lastRow="0" w:firstColumn="1" w:lastColumn="0" w:noHBand="0" w:noVBand="1"/>
      </w:tblPr>
      <w:tblGrid>
        <w:gridCol w:w="993"/>
        <w:gridCol w:w="1134"/>
        <w:gridCol w:w="1266"/>
        <w:gridCol w:w="1267"/>
        <w:gridCol w:w="1152"/>
        <w:gridCol w:w="1276"/>
        <w:gridCol w:w="76"/>
        <w:gridCol w:w="1200"/>
        <w:gridCol w:w="37"/>
        <w:gridCol w:w="1238"/>
      </w:tblGrid>
      <w:tr w:rsidR="0055491A" w:rsidRPr="001139E4" w:rsidTr="00210BF6">
        <w:trPr>
          <w:trHeight w:val="255"/>
        </w:trPr>
        <w:tc>
          <w:tcPr>
            <w:tcW w:w="993" w:type="dxa"/>
            <w:vMerge w:val="restart"/>
          </w:tcPr>
          <w:p w:rsidR="0055491A" w:rsidRPr="00663722" w:rsidRDefault="0055491A" w:rsidP="00210BF6">
            <w:pPr>
              <w:pStyle w:val="a7"/>
              <w:spacing w:after="0"/>
              <w:ind w:left="0" w:firstLine="0"/>
              <w:rPr>
                <w:bCs/>
              </w:rPr>
            </w:pPr>
            <w:r w:rsidRPr="00663722">
              <w:rPr>
                <w:bCs/>
              </w:rPr>
              <w:t>Статья         КоАП РФ</w:t>
            </w:r>
          </w:p>
        </w:tc>
        <w:tc>
          <w:tcPr>
            <w:tcW w:w="1134" w:type="dxa"/>
            <w:vMerge w:val="restart"/>
            <w:hideMark/>
          </w:tcPr>
          <w:p w:rsidR="0055491A" w:rsidRPr="00663722" w:rsidRDefault="0055491A" w:rsidP="00210BF6">
            <w:pPr>
              <w:pStyle w:val="a7"/>
              <w:spacing w:after="0"/>
              <w:ind w:left="0" w:firstLine="0"/>
              <w:jc w:val="left"/>
              <w:rPr>
                <w:bCs/>
              </w:rPr>
            </w:pPr>
            <w:r w:rsidRPr="00663722">
              <w:rPr>
                <w:bCs/>
              </w:rPr>
              <w:t>Размер платежа</w:t>
            </w:r>
          </w:p>
        </w:tc>
        <w:tc>
          <w:tcPr>
            <w:tcW w:w="3685" w:type="dxa"/>
            <w:gridSpan w:val="3"/>
            <w:hideMark/>
          </w:tcPr>
          <w:p w:rsidR="0055491A" w:rsidRPr="001139E4" w:rsidRDefault="0055491A" w:rsidP="00210BF6">
            <w:pPr>
              <w:pStyle w:val="a7"/>
              <w:spacing w:after="0"/>
              <w:ind w:firstLine="0"/>
              <w:jc w:val="center"/>
              <w:rPr>
                <w:bCs/>
                <w:sz w:val="28"/>
                <w:szCs w:val="28"/>
              </w:rPr>
            </w:pPr>
            <w:r w:rsidRPr="001139E4">
              <w:rPr>
                <w:bCs/>
                <w:sz w:val="28"/>
                <w:szCs w:val="28"/>
              </w:rPr>
              <w:t xml:space="preserve"> Прогнозное количество правонарушений</w:t>
            </w:r>
            <w:r>
              <w:rPr>
                <w:bCs/>
                <w:sz w:val="28"/>
                <w:szCs w:val="28"/>
              </w:rPr>
              <w:t>, ед.</w:t>
            </w:r>
          </w:p>
        </w:tc>
        <w:tc>
          <w:tcPr>
            <w:tcW w:w="3827" w:type="dxa"/>
            <w:gridSpan w:val="5"/>
            <w:hideMark/>
          </w:tcPr>
          <w:p w:rsidR="0055491A" w:rsidRPr="001139E4" w:rsidRDefault="0055491A" w:rsidP="00210BF6">
            <w:pPr>
              <w:pStyle w:val="a7"/>
              <w:spacing w:after="0"/>
              <w:ind w:firstLine="0"/>
              <w:jc w:val="center"/>
              <w:rPr>
                <w:bCs/>
                <w:sz w:val="28"/>
                <w:szCs w:val="28"/>
              </w:rPr>
            </w:pPr>
            <w:r>
              <w:rPr>
                <w:bCs/>
                <w:sz w:val="28"/>
                <w:szCs w:val="28"/>
              </w:rPr>
              <w:t xml:space="preserve"> Сумма п</w:t>
            </w:r>
            <w:r w:rsidRPr="001139E4">
              <w:rPr>
                <w:bCs/>
                <w:sz w:val="28"/>
                <w:szCs w:val="28"/>
              </w:rPr>
              <w:t>рогноз</w:t>
            </w:r>
            <w:r>
              <w:rPr>
                <w:bCs/>
                <w:sz w:val="28"/>
                <w:szCs w:val="28"/>
              </w:rPr>
              <w:t>а тыс. руб.</w:t>
            </w:r>
          </w:p>
        </w:tc>
      </w:tr>
      <w:tr w:rsidR="0055491A" w:rsidRPr="001139E4" w:rsidTr="00210BF6">
        <w:trPr>
          <w:trHeight w:val="765"/>
        </w:trPr>
        <w:tc>
          <w:tcPr>
            <w:tcW w:w="993" w:type="dxa"/>
            <w:vMerge/>
          </w:tcPr>
          <w:p w:rsidR="0055491A" w:rsidRPr="001139E4" w:rsidRDefault="0055491A" w:rsidP="00210BF6">
            <w:pPr>
              <w:pStyle w:val="a7"/>
              <w:spacing w:after="0"/>
              <w:rPr>
                <w:b/>
                <w:bCs/>
                <w:sz w:val="28"/>
                <w:szCs w:val="28"/>
              </w:rPr>
            </w:pPr>
          </w:p>
        </w:tc>
        <w:tc>
          <w:tcPr>
            <w:tcW w:w="1134" w:type="dxa"/>
            <w:vMerge/>
            <w:hideMark/>
          </w:tcPr>
          <w:p w:rsidR="0055491A" w:rsidRPr="001139E4" w:rsidRDefault="0055491A" w:rsidP="00210BF6">
            <w:pPr>
              <w:pStyle w:val="a7"/>
              <w:spacing w:after="0"/>
              <w:rPr>
                <w:b/>
                <w:bCs/>
                <w:sz w:val="28"/>
                <w:szCs w:val="28"/>
              </w:rPr>
            </w:pPr>
          </w:p>
        </w:tc>
        <w:tc>
          <w:tcPr>
            <w:tcW w:w="1266" w:type="dxa"/>
            <w:hideMark/>
          </w:tcPr>
          <w:p w:rsidR="0055491A" w:rsidRPr="001139E4" w:rsidRDefault="0055491A" w:rsidP="00210BF6">
            <w:pPr>
              <w:pStyle w:val="a7"/>
              <w:spacing w:after="0"/>
              <w:ind w:firstLine="0"/>
              <w:jc w:val="center"/>
              <w:rPr>
                <w:bCs/>
                <w:sz w:val="28"/>
                <w:szCs w:val="28"/>
              </w:rPr>
            </w:pPr>
            <w:r>
              <w:rPr>
                <w:bCs/>
                <w:sz w:val="28"/>
                <w:szCs w:val="28"/>
              </w:rPr>
              <w:t>2022 год</w:t>
            </w:r>
          </w:p>
        </w:tc>
        <w:tc>
          <w:tcPr>
            <w:tcW w:w="1267" w:type="dxa"/>
            <w:hideMark/>
          </w:tcPr>
          <w:p w:rsidR="0055491A" w:rsidRPr="001139E4" w:rsidRDefault="0055491A" w:rsidP="00210BF6">
            <w:pPr>
              <w:pStyle w:val="a7"/>
              <w:spacing w:after="0"/>
              <w:ind w:firstLine="0"/>
              <w:jc w:val="center"/>
              <w:rPr>
                <w:bCs/>
                <w:sz w:val="28"/>
                <w:szCs w:val="28"/>
              </w:rPr>
            </w:pPr>
            <w:r>
              <w:rPr>
                <w:bCs/>
                <w:sz w:val="28"/>
                <w:szCs w:val="28"/>
              </w:rPr>
              <w:t>2023 год</w:t>
            </w:r>
          </w:p>
        </w:tc>
        <w:tc>
          <w:tcPr>
            <w:tcW w:w="1152" w:type="dxa"/>
            <w:hideMark/>
          </w:tcPr>
          <w:p w:rsidR="0055491A" w:rsidRPr="001139E4" w:rsidRDefault="0055491A" w:rsidP="00210BF6">
            <w:pPr>
              <w:pStyle w:val="a7"/>
              <w:spacing w:after="0"/>
              <w:ind w:firstLine="0"/>
              <w:jc w:val="center"/>
              <w:rPr>
                <w:bCs/>
                <w:sz w:val="28"/>
                <w:szCs w:val="28"/>
              </w:rPr>
            </w:pPr>
            <w:r>
              <w:rPr>
                <w:bCs/>
                <w:sz w:val="28"/>
                <w:szCs w:val="28"/>
              </w:rPr>
              <w:t>2024 год</w:t>
            </w:r>
          </w:p>
        </w:tc>
        <w:tc>
          <w:tcPr>
            <w:tcW w:w="1352" w:type="dxa"/>
            <w:gridSpan w:val="2"/>
            <w:noWrap/>
            <w:hideMark/>
          </w:tcPr>
          <w:p w:rsidR="0055491A" w:rsidRPr="001139E4" w:rsidRDefault="0055491A" w:rsidP="00C96B23">
            <w:pPr>
              <w:pStyle w:val="a7"/>
              <w:spacing w:after="0"/>
              <w:ind w:firstLine="0"/>
              <w:jc w:val="center"/>
              <w:rPr>
                <w:bCs/>
                <w:sz w:val="28"/>
                <w:szCs w:val="28"/>
              </w:rPr>
            </w:pPr>
            <w:r w:rsidRPr="001139E4">
              <w:rPr>
                <w:bCs/>
                <w:sz w:val="28"/>
                <w:szCs w:val="28"/>
              </w:rPr>
              <w:t>202</w:t>
            </w:r>
            <w:r w:rsidR="00C96B23">
              <w:rPr>
                <w:bCs/>
                <w:sz w:val="28"/>
                <w:szCs w:val="28"/>
              </w:rPr>
              <w:t>2</w:t>
            </w:r>
            <w:r w:rsidRPr="001139E4">
              <w:rPr>
                <w:bCs/>
                <w:sz w:val="28"/>
                <w:szCs w:val="28"/>
              </w:rPr>
              <w:t xml:space="preserve"> год</w:t>
            </w:r>
          </w:p>
        </w:tc>
        <w:tc>
          <w:tcPr>
            <w:tcW w:w="1237" w:type="dxa"/>
            <w:gridSpan w:val="2"/>
            <w:noWrap/>
            <w:hideMark/>
          </w:tcPr>
          <w:p w:rsidR="0055491A" w:rsidRPr="001139E4" w:rsidRDefault="0055491A" w:rsidP="00C96B23">
            <w:pPr>
              <w:pStyle w:val="a7"/>
              <w:spacing w:after="0"/>
              <w:ind w:firstLine="0"/>
              <w:jc w:val="center"/>
              <w:rPr>
                <w:bCs/>
                <w:sz w:val="28"/>
                <w:szCs w:val="28"/>
              </w:rPr>
            </w:pPr>
            <w:r w:rsidRPr="001139E4">
              <w:rPr>
                <w:bCs/>
                <w:sz w:val="28"/>
                <w:szCs w:val="28"/>
              </w:rPr>
              <w:t>202</w:t>
            </w:r>
            <w:r w:rsidR="00C96B23">
              <w:rPr>
                <w:bCs/>
                <w:sz w:val="28"/>
                <w:szCs w:val="28"/>
              </w:rPr>
              <w:t>3</w:t>
            </w:r>
            <w:r w:rsidRPr="001139E4">
              <w:rPr>
                <w:bCs/>
                <w:sz w:val="28"/>
                <w:szCs w:val="28"/>
              </w:rPr>
              <w:t>год</w:t>
            </w:r>
          </w:p>
        </w:tc>
        <w:tc>
          <w:tcPr>
            <w:tcW w:w="1238" w:type="dxa"/>
            <w:noWrap/>
            <w:hideMark/>
          </w:tcPr>
          <w:p w:rsidR="0055491A" w:rsidRPr="001139E4" w:rsidRDefault="0055491A" w:rsidP="00C96B23">
            <w:pPr>
              <w:pStyle w:val="a7"/>
              <w:spacing w:after="0"/>
              <w:ind w:firstLine="0"/>
              <w:jc w:val="center"/>
              <w:rPr>
                <w:bCs/>
                <w:sz w:val="28"/>
                <w:szCs w:val="28"/>
              </w:rPr>
            </w:pPr>
            <w:r w:rsidRPr="001139E4">
              <w:rPr>
                <w:bCs/>
                <w:sz w:val="28"/>
                <w:szCs w:val="28"/>
              </w:rPr>
              <w:t>202</w:t>
            </w:r>
            <w:r w:rsidR="00C96B23">
              <w:rPr>
                <w:bCs/>
                <w:sz w:val="28"/>
                <w:szCs w:val="28"/>
              </w:rPr>
              <w:t>4</w:t>
            </w:r>
            <w:r w:rsidRPr="001139E4">
              <w:rPr>
                <w:bCs/>
                <w:sz w:val="28"/>
                <w:szCs w:val="28"/>
              </w:rPr>
              <w:t>год</w:t>
            </w:r>
          </w:p>
        </w:tc>
      </w:tr>
      <w:tr w:rsidR="0055491A" w:rsidRPr="001139E4" w:rsidTr="00210BF6">
        <w:trPr>
          <w:trHeight w:val="255"/>
        </w:trPr>
        <w:tc>
          <w:tcPr>
            <w:tcW w:w="993" w:type="dxa"/>
            <w:vMerge w:val="restart"/>
          </w:tcPr>
          <w:p w:rsidR="0055491A" w:rsidRPr="001139E4" w:rsidRDefault="0055491A" w:rsidP="00210BF6">
            <w:pPr>
              <w:pStyle w:val="a7"/>
              <w:spacing w:after="0"/>
              <w:ind w:left="0" w:firstLine="0"/>
              <w:rPr>
                <w:sz w:val="28"/>
                <w:szCs w:val="28"/>
              </w:rPr>
            </w:pPr>
            <w:r>
              <w:rPr>
                <w:sz w:val="28"/>
                <w:szCs w:val="28"/>
              </w:rPr>
              <w:t xml:space="preserve">Ст. 20.25 </w:t>
            </w:r>
          </w:p>
        </w:tc>
        <w:tc>
          <w:tcPr>
            <w:tcW w:w="1134" w:type="dxa"/>
            <w:hideMark/>
          </w:tcPr>
          <w:p w:rsidR="0055491A" w:rsidRPr="001139E4" w:rsidRDefault="0055491A" w:rsidP="00210BF6">
            <w:pPr>
              <w:pStyle w:val="a7"/>
              <w:spacing w:after="0"/>
              <w:ind w:left="0" w:firstLine="0"/>
              <w:rPr>
                <w:sz w:val="28"/>
                <w:szCs w:val="28"/>
              </w:rPr>
            </w:pPr>
            <w:r>
              <w:rPr>
                <w:sz w:val="28"/>
                <w:szCs w:val="28"/>
              </w:rPr>
              <w:t>2,0</w:t>
            </w:r>
          </w:p>
        </w:tc>
        <w:tc>
          <w:tcPr>
            <w:tcW w:w="1266" w:type="dxa"/>
            <w:noWrap/>
            <w:vAlign w:val="center"/>
            <w:hideMark/>
          </w:tcPr>
          <w:p w:rsidR="0055491A" w:rsidRPr="009D2B3D" w:rsidRDefault="0055491A" w:rsidP="00210BF6">
            <w:pPr>
              <w:pStyle w:val="a7"/>
              <w:spacing w:after="0"/>
              <w:ind w:left="0" w:firstLine="0"/>
              <w:jc w:val="center"/>
              <w:rPr>
                <w:sz w:val="28"/>
                <w:szCs w:val="28"/>
              </w:rPr>
            </w:pPr>
            <w:r w:rsidRPr="009D2B3D">
              <w:rPr>
                <w:sz w:val="28"/>
                <w:szCs w:val="28"/>
              </w:rPr>
              <w:t>2</w:t>
            </w:r>
          </w:p>
        </w:tc>
        <w:tc>
          <w:tcPr>
            <w:tcW w:w="1267" w:type="dxa"/>
            <w:noWrap/>
            <w:vAlign w:val="center"/>
            <w:hideMark/>
          </w:tcPr>
          <w:p w:rsidR="0055491A" w:rsidRPr="009D2B3D" w:rsidRDefault="0055491A" w:rsidP="00210BF6">
            <w:pPr>
              <w:pStyle w:val="a7"/>
              <w:spacing w:after="0"/>
              <w:ind w:left="0" w:firstLine="0"/>
              <w:jc w:val="center"/>
              <w:rPr>
                <w:sz w:val="28"/>
                <w:szCs w:val="28"/>
              </w:rPr>
            </w:pPr>
            <w:r w:rsidRPr="009D2B3D">
              <w:rPr>
                <w:sz w:val="28"/>
                <w:szCs w:val="28"/>
              </w:rPr>
              <w:t>3</w:t>
            </w:r>
          </w:p>
        </w:tc>
        <w:tc>
          <w:tcPr>
            <w:tcW w:w="1152" w:type="dxa"/>
            <w:noWrap/>
            <w:vAlign w:val="center"/>
            <w:hideMark/>
          </w:tcPr>
          <w:p w:rsidR="0055491A" w:rsidRPr="009D2B3D" w:rsidRDefault="0055491A" w:rsidP="00210BF6">
            <w:pPr>
              <w:pStyle w:val="a7"/>
              <w:spacing w:after="0"/>
              <w:ind w:left="0" w:firstLine="0"/>
              <w:jc w:val="center"/>
              <w:rPr>
                <w:sz w:val="28"/>
                <w:szCs w:val="28"/>
              </w:rPr>
            </w:pPr>
            <w:r w:rsidRPr="009D2B3D">
              <w:rPr>
                <w:sz w:val="28"/>
                <w:szCs w:val="28"/>
              </w:rPr>
              <w:t>2</w:t>
            </w:r>
          </w:p>
        </w:tc>
        <w:tc>
          <w:tcPr>
            <w:tcW w:w="1352" w:type="dxa"/>
            <w:gridSpan w:val="2"/>
            <w:vAlign w:val="center"/>
            <w:hideMark/>
          </w:tcPr>
          <w:p w:rsidR="0055491A" w:rsidRPr="009D2B3D" w:rsidRDefault="0055491A" w:rsidP="00210BF6">
            <w:pPr>
              <w:pStyle w:val="a7"/>
              <w:spacing w:after="0"/>
              <w:ind w:left="0" w:firstLine="0"/>
              <w:jc w:val="center"/>
              <w:rPr>
                <w:sz w:val="28"/>
                <w:szCs w:val="28"/>
              </w:rPr>
            </w:pPr>
            <w:r w:rsidRPr="009D2B3D">
              <w:rPr>
                <w:sz w:val="28"/>
                <w:szCs w:val="28"/>
              </w:rPr>
              <w:t>4,0</w:t>
            </w:r>
          </w:p>
        </w:tc>
        <w:tc>
          <w:tcPr>
            <w:tcW w:w="1237" w:type="dxa"/>
            <w:gridSpan w:val="2"/>
            <w:vAlign w:val="center"/>
            <w:hideMark/>
          </w:tcPr>
          <w:p w:rsidR="0055491A" w:rsidRPr="009D2B3D" w:rsidRDefault="0055491A" w:rsidP="00210BF6">
            <w:pPr>
              <w:pStyle w:val="a7"/>
              <w:spacing w:after="0"/>
              <w:ind w:left="0" w:firstLine="0"/>
              <w:jc w:val="center"/>
              <w:rPr>
                <w:sz w:val="28"/>
                <w:szCs w:val="28"/>
              </w:rPr>
            </w:pPr>
            <w:r w:rsidRPr="009D2B3D">
              <w:rPr>
                <w:sz w:val="28"/>
                <w:szCs w:val="28"/>
              </w:rPr>
              <w:t>6,0</w:t>
            </w:r>
          </w:p>
        </w:tc>
        <w:tc>
          <w:tcPr>
            <w:tcW w:w="1238" w:type="dxa"/>
            <w:vAlign w:val="center"/>
            <w:hideMark/>
          </w:tcPr>
          <w:p w:rsidR="0055491A" w:rsidRPr="009D2B3D" w:rsidRDefault="0055491A" w:rsidP="00210BF6">
            <w:pPr>
              <w:pStyle w:val="a7"/>
              <w:spacing w:after="0"/>
              <w:ind w:left="0" w:firstLine="0"/>
              <w:jc w:val="center"/>
              <w:rPr>
                <w:sz w:val="28"/>
                <w:szCs w:val="28"/>
              </w:rPr>
            </w:pPr>
            <w:r w:rsidRPr="009D2B3D">
              <w:rPr>
                <w:sz w:val="28"/>
                <w:szCs w:val="28"/>
              </w:rPr>
              <w:t>4,0</w:t>
            </w:r>
          </w:p>
        </w:tc>
      </w:tr>
      <w:tr w:rsidR="0055491A" w:rsidRPr="001139E4" w:rsidTr="00210BF6">
        <w:trPr>
          <w:trHeight w:val="255"/>
        </w:trPr>
        <w:tc>
          <w:tcPr>
            <w:tcW w:w="993" w:type="dxa"/>
            <w:vMerge/>
          </w:tcPr>
          <w:p w:rsidR="0055491A" w:rsidRPr="001139E4" w:rsidRDefault="0055491A" w:rsidP="00210BF6">
            <w:pPr>
              <w:pStyle w:val="a7"/>
              <w:spacing w:after="0"/>
              <w:ind w:left="0"/>
              <w:rPr>
                <w:sz w:val="28"/>
                <w:szCs w:val="28"/>
              </w:rPr>
            </w:pPr>
          </w:p>
        </w:tc>
        <w:tc>
          <w:tcPr>
            <w:tcW w:w="1134" w:type="dxa"/>
            <w:noWrap/>
            <w:hideMark/>
          </w:tcPr>
          <w:p w:rsidR="0055491A" w:rsidRPr="001139E4" w:rsidRDefault="0055491A" w:rsidP="00210BF6">
            <w:pPr>
              <w:pStyle w:val="a7"/>
              <w:spacing w:after="0"/>
              <w:ind w:left="0" w:firstLine="0"/>
              <w:rPr>
                <w:sz w:val="28"/>
                <w:szCs w:val="28"/>
              </w:rPr>
            </w:pPr>
            <w:r>
              <w:rPr>
                <w:sz w:val="28"/>
                <w:szCs w:val="28"/>
              </w:rPr>
              <w:t>3,0</w:t>
            </w:r>
          </w:p>
        </w:tc>
        <w:tc>
          <w:tcPr>
            <w:tcW w:w="1266" w:type="dxa"/>
            <w:noWrap/>
            <w:vAlign w:val="center"/>
            <w:hideMark/>
          </w:tcPr>
          <w:p w:rsidR="0055491A" w:rsidRPr="009D2B3D" w:rsidRDefault="0055491A" w:rsidP="00210BF6">
            <w:pPr>
              <w:pStyle w:val="a7"/>
              <w:spacing w:after="0"/>
              <w:ind w:left="0" w:firstLine="0"/>
              <w:jc w:val="center"/>
              <w:rPr>
                <w:sz w:val="28"/>
                <w:szCs w:val="28"/>
              </w:rPr>
            </w:pPr>
            <w:r w:rsidRPr="009D2B3D">
              <w:rPr>
                <w:sz w:val="28"/>
                <w:szCs w:val="28"/>
              </w:rPr>
              <w:t>1</w:t>
            </w:r>
          </w:p>
        </w:tc>
        <w:tc>
          <w:tcPr>
            <w:tcW w:w="1267" w:type="dxa"/>
            <w:noWrap/>
            <w:vAlign w:val="center"/>
            <w:hideMark/>
          </w:tcPr>
          <w:p w:rsidR="0055491A" w:rsidRPr="009D2B3D" w:rsidRDefault="0055491A" w:rsidP="00210BF6">
            <w:pPr>
              <w:pStyle w:val="a7"/>
              <w:spacing w:after="0"/>
              <w:ind w:left="0" w:firstLine="0"/>
              <w:jc w:val="center"/>
              <w:rPr>
                <w:sz w:val="28"/>
                <w:szCs w:val="28"/>
              </w:rPr>
            </w:pPr>
            <w:r w:rsidRPr="009D2B3D">
              <w:rPr>
                <w:sz w:val="28"/>
                <w:szCs w:val="28"/>
              </w:rPr>
              <w:t>1</w:t>
            </w:r>
          </w:p>
        </w:tc>
        <w:tc>
          <w:tcPr>
            <w:tcW w:w="1152" w:type="dxa"/>
            <w:noWrap/>
            <w:vAlign w:val="center"/>
            <w:hideMark/>
          </w:tcPr>
          <w:p w:rsidR="0055491A" w:rsidRPr="009D2B3D" w:rsidRDefault="0055491A" w:rsidP="00210BF6">
            <w:pPr>
              <w:pStyle w:val="a7"/>
              <w:spacing w:after="0"/>
              <w:ind w:left="0" w:firstLine="0"/>
              <w:jc w:val="center"/>
              <w:rPr>
                <w:sz w:val="28"/>
                <w:szCs w:val="28"/>
              </w:rPr>
            </w:pPr>
            <w:r w:rsidRPr="009D2B3D">
              <w:rPr>
                <w:sz w:val="28"/>
                <w:szCs w:val="28"/>
              </w:rPr>
              <w:t>1</w:t>
            </w:r>
          </w:p>
        </w:tc>
        <w:tc>
          <w:tcPr>
            <w:tcW w:w="1352" w:type="dxa"/>
            <w:gridSpan w:val="2"/>
            <w:vAlign w:val="center"/>
            <w:hideMark/>
          </w:tcPr>
          <w:p w:rsidR="0055491A" w:rsidRPr="009D2B3D" w:rsidRDefault="0055491A" w:rsidP="00210BF6">
            <w:pPr>
              <w:pStyle w:val="a7"/>
              <w:spacing w:after="0"/>
              <w:ind w:left="0" w:firstLine="0"/>
              <w:jc w:val="center"/>
              <w:rPr>
                <w:sz w:val="28"/>
                <w:szCs w:val="28"/>
              </w:rPr>
            </w:pPr>
            <w:r w:rsidRPr="009D2B3D">
              <w:rPr>
                <w:sz w:val="28"/>
                <w:szCs w:val="28"/>
              </w:rPr>
              <w:t>3,0</w:t>
            </w:r>
          </w:p>
        </w:tc>
        <w:tc>
          <w:tcPr>
            <w:tcW w:w="1237" w:type="dxa"/>
            <w:gridSpan w:val="2"/>
            <w:vAlign w:val="center"/>
            <w:hideMark/>
          </w:tcPr>
          <w:p w:rsidR="0055491A" w:rsidRPr="009D2B3D" w:rsidRDefault="0055491A" w:rsidP="00210BF6">
            <w:pPr>
              <w:pStyle w:val="a7"/>
              <w:spacing w:after="0"/>
              <w:ind w:left="0" w:firstLine="0"/>
              <w:jc w:val="center"/>
              <w:rPr>
                <w:sz w:val="28"/>
                <w:szCs w:val="28"/>
              </w:rPr>
            </w:pPr>
            <w:r w:rsidRPr="009D2B3D">
              <w:rPr>
                <w:sz w:val="28"/>
                <w:szCs w:val="28"/>
              </w:rPr>
              <w:t>3,0</w:t>
            </w:r>
          </w:p>
        </w:tc>
        <w:tc>
          <w:tcPr>
            <w:tcW w:w="1238" w:type="dxa"/>
            <w:vAlign w:val="center"/>
            <w:hideMark/>
          </w:tcPr>
          <w:p w:rsidR="0055491A" w:rsidRPr="009D2B3D" w:rsidRDefault="0055491A" w:rsidP="00210BF6">
            <w:pPr>
              <w:pStyle w:val="a7"/>
              <w:spacing w:after="0"/>
              <w:ind w:left="0" w:firstLine="0"/>
              <w:jc w:val="center"/>
              <w:rPr>
                <w:sz w:val="28"/>
                <w:szCs w:val="28"/>
              </w:rPr>
            </w:pPr>
            <w:r w:rsidRPr="009D2B3D">
              <w:rPr>
                <w:sz w:val="28"/>
                <w:szCs w:val="28"/>
              </w:rPr>
              <w:t>3,0</w:t>
            </w:r>
          </w:p>
        </w:tc>
      </w:tr>
      <w:tr w:rsidR="0055491A" w:rsidRPr="001139E4" w:rsidTr="00210BF6">
        <w:trPr>
          <w:trHeight w:val="255"/>
        </w:trPr>
        <w:tc>
          <w:tcPr>
            <w:tcW w:w="993" w:type="dxa"/>
            <w:vMerge/>
          </w:tcPr>
          <w:p w:rsidR="0055491A" w:rsidRPr="001139E4" w:rsidRDefault="0055491A" w:rsidP="00210BF6">
            <w:pPr>
              <w:pStyle w:val="a7"/>
              <w:spacing w:after="0"/>
              <w:ind w:left="0"/>
              <w:rPr>
                <w:sz w:val="28"/>
                <w:szCs w:val="28"/>
              </w:rPr>
            </w:pPr>
          </w:p>
        </w:tc>
        <w:tc>
          <w:tcPr>
            <w:tcW w:w="1134" w:type="dxa"/>
            <w:noWrap/>
            <w:hideMark/>
          </w:tcPr>
          <w:p w:rsidR="0055491A" w:rsidRPr="001139E4" w:rsidRDefault="0055491A" w:rsidP="00210BF6">
            <w:pPr>
              <w:pStyle w:val="a7"/>
              <w:spacing w:after="0"/>
              <w:ind w:left="0" w:firstLine="0"/>
              <w:rPr>
                <w:sz w:val="28"/>
                <w:szCs w:val="28"/>
              </w:rPr>
            </w:pPr>
            <w:r>
              <w:rPr>
                <w:sz w:val="28"/>
                <w:szCs w:val="28"/>
              </w:rPr>
              <w:t>4,0</w:t>
            </w:r>
          </w:p>
        </w:tc>
        <w:tc>
          <w:tcPr>
            <w:tcW w:w="1266" w:type="dxa"/>
            <w:noWrap/>
            <w:vAlign w:val="center"/>
            <w:hideMark/>
          </w:tcPr>
          <w:p w:rsidR="0055491A" w:rsidRPr="009D2B3D" w:rsidRDefault="0055491A" w:rsidP="00210BF6">
            <w:pPr>
              <w:pStyle w:val="a7"/>
              <w:spacing w:after="0"/>
              <w:ind w:left="0" w:firstLine="0"/>
              <w:jc w:val="center"/>
              <w:rPr>
                <w:sz w:val="28"/>
                <w:szCs w:val="28"/>
              </w:rPr>
            </w:pPr>
            <w:r w:rsidRPr="009D2B3D">
              <w:rPr>
                <w:sz w:val="28"/>
                <w:szCs w:val="28"/>
              </w:rPr>
              <w:t>1</w:t>
            </w:r>
          </w:p>
        </w:tc>
        <w:tc>
          <w:tcPr>
            <w:tcW w:w="1267" w:type="dxa"/>
            <w:noWrap/>
            <w:vAlign w:val="center"/>
            <w:hideMark/>
          </w:tcPr>
          <w:p w:rsidR="0055491A" w:rsidRPr="009D2B3D" w:rsidRDefault="0055491A" w:rsidP="00210BF6">
            <w:pPr>
              <w:pStyle w:val="a7"/>
              <w:spacing w:after="0"/>
              <w:ind w:left="0" w:firstLine="0"/>
              <w:jc w:val="center"/>
              <w:rPr>
                <w:sz w:val="28"/>
                <w:szCs w:val="28"/>
              </w:rPr>
            </w:pPr>
            <w:r w:rsidRPr="009D2B3D">
              <w:rPr>
                <w:sz w:val="28"/>
                <w:szCs w:val="28"/>
              </w:rPr>
              <w:t>1</w:t>
            </w:r>
          </w:p>
        </w:tc>
        <w:tc>
          <w:tcPr>
            <w:tcW w:w="1152" w:type="dxa"/>
            <w:noWrap/>
            <w:vAlign w:val="center"/>
            <w:hideMark/>
          </w:tcPr>
          <w:p w:rsidR="0055491A" w:rsidRPr="009D2B3D" w:rsidRDefault="0055491A" w:rsidP="00210BF6">
            <w:pPr>
              <w:pStyle w:val="a7"/>
              <w:spacing w:after="0"/>
              <w:ind w:left="0" w:firstLine="0"/>
              <w:jc w:val="center"/>
              <w:rPr>
                <w:sz w:val="28"/>
                <w:szCs w:val="28"/>
              </w:rPr>
            </w:pPr>
            <w:r w:rsidRPr="009D2B3D">
              <w:rPr>
                <w:sz w:val="28"/>
                <w:szCs w:val="28"/>
              </w:rPr>
              <w:t>1</w:t>
            </w:r>
          </w:p>
        </w:tc>
        <w:tc>
          <w:tcPr>
            <w:tcW w:w="1352" w:type="dxa"/>
            <w:gridSpan w:val="2"/>
            <w:vAlign w:val="center"/>
            <w:hideMark/>
          </w:tcPr>
          <w:p w:rsidR="0055491A" w:rsidRPr="009D2B3D" w:rsidRDefault="0055491A" w:rsidP="00210BF6">
            <w:pPr>
              <w:pStyle w:val="a7"/>
              <w:spacing w:after="0"/>
              <w:ind w:left="0" w:firstLine="0"/>
              <w:jc w:val="center"/>
              <w:rPr>
                <w:sz w:val="28"/>
                <w:szCs w:val="28"/>
              </w:rPr>
            </w:pPr>
            <w:r w:rsidRPr="009D2B3D">
              <w:rPr>
                <w:sz w:val="28"/>
                <w:szCs w:val="28"/>
              </w:rPr>
              <w:t>4,0</w:t>
            </w:r>
          </w:p>
        </w:tc>
        <w:tc>
          <w:tcPr>
            <w:tcW w:w="1237" w:type="dxa"/>
            <w:gridSpan w:val="2"/>
            <w:vAlign w:val="center"/>
            <w:hideMark/>
          </w:tcPr>
          <w:p w:rsidR="0055491A" w:rsidRPr="009D2B3D" w:rsidRDefault="0055491A" w:rsidP="00210BF6">
            <w:pPr>
              <w:pStyle w:val="a7"/>
              <w:spacing w:after="0"/>
              <w:ind w:left="0" w:firstLine="0"/>
              <w:jc w:val="center"/>
              <w:rPr>
                <w:sz w:val="28"/>
                <w:szCs w:val="28"/>
              </w:rPr>
            </w:pPr>
            <w:r w:rsidRPr="009D2B3D">
              <w:rPr>
                <w:sz w:val="28"/>
                <w:szCs w:val="28"/>
              </w:rPr>
              <w:t>4,0</w:t>
            </w:r>
          </w:p>
        </w:tc>
        <w:tc>
          <w:tcPr>
            <w:tcW w:w="1238" w:type="dxa"/>
            <w:vAlign w:val="center"/>
            <w:hideMark/>
          </w:tcPr>
          <w:p w:rsidR="0055491A" w:rsidRPr="009D2B3D" w:rsidRDefault="0055491A" w:rsidP="00210BF6">
            <w:pPr>
              <w:pStyle w:val="a7"/>
              <w:spacing w:after="0"/>
              <w:ind w:left="0" w:firstLine="0"/>
              <w:jc w:val="center"/>
              <w:rPr>
                <w:sz w:val="28"/>
                <w:szCs w:val="28"/>
              </w:rPr>
            </w:pPr>
            <w:r w:rsidRPr="009D2B3D">
              <w:rPr>
                <w:sz w:val="28"/>
                <w:szCs w:val="28"/>
              </w:rPr>
              <w:t>4,0</w:t>
            </w:r>
          </w:p>
        </w:tc>
      </w:tr>
      <w:tr w:rsidR="0055491A" w:rsidRPr="001139E4" w:rsidTr="00210BF6">
        <w:trPr>
          <w:trHeight w:val="255"/>
        </w:trPr>
        <w:tc>
          <w:tcPr>
            <w:tcW w:w="993" w:type="dxa"/>
            <w:vMerge/>
          </w:tcPr>
          <w:p w:rsidR="0055491A" w:rsidRPr="001139E4" w:rsidRDefault="0055491A" w:rsidP="00210BF6">
            <w:pPr>
              <w:pStyle w:val="a7"/>
              <w:spacing w:after="0"/>
              <w:ind w:left="0"/>
              <w:rPr>
                <w:sz w:val="28"/>
                <w:szCs w:val="28"/>
              </w:rPr>
            </w:pPr>
          </w:p>
        </w:tc>
        <w:tc>
          <w:tcPr>
            <w:tcW w:w="1134" w:type="dxa"/>
            <w:noWrap/>
            <w:hideMark/>
          </w:tcPr>
          <w:p w:rsidR="0055491A" w:rsidRPr="001139E4" w:rsidRDefault="0055491A" w:rsidP="00210BF6">
            <w:pPr>
              <w:pStyle w:val="a7"/>
              <w:spacing w:after="0"/>
              <w:ind w:left="0" w:firstLine="0"/>
              <w:rPr>
                <w:sz w:val="28"/>
                <w:szCs w:val="28"/>
              </w:rPr>
            </w:pPr>
            <w:r>
              <w:rPr>
                <w:sz w:val="28"/>
                <w:szCs w:val="28"/>
              </w:rPr>
              <w:t>5,0</w:t>
            </w:r>
          </w:p>
        </w:tc>
        <w:tc>
          <w:tcPr>
            <w:tcW w:w="1266" w:type="dxa"/>
            <w:noWrap/>
            <w:vAlign w:val="center"/>
            <w:hideMark/>
          </w:tcPr>
          <w:p w:rsidR="0055491A" w:rsidRPr="009D2B3D" w:rsidRDefault="0055491A" w:rsidP="00210BF6">
            <w:pPr>
              <w:pStyle w:val="a7"/>
              <w:spacing w:after="0"/>
              <w:ind w:left="0" w:firstLine="0"/>
              <w:jc w:val="center"/>
              <w:rPr>
                <w:sz w:val="28"/>
                <w:szCs w:val="28"/>
              </w:rPr>
            </w:pPr>
            <w:r w:rsidRPr="009D2B3D">
              <w:rPr>
                <w:sz w:val="28"/>
                <w:szCs w:val="28"/>
              </w:rPr>
              <w:t>1</w:t>
            </w:r>
          </w:p>
        </w:tc>
        <w:tc>
          <w:tcPr>
            <w:tcW w:w="1267" w:type="dxa"/>
            <w:noWrap/>
            <w:vAlign w:val="center"/>
            <w:hideMark/>
          </w:tcPr>
          <w:p w:rsidR="0055491A" w:rsidRPr="009D2B3D" w:rsidRDefault="0055491A" w:rsidP="00210BF6">
            <w:pPr>
              <w:pStyle w:val="a7"/>
              <w:spacing w:after="0"/>
              <w:ind w:left="0" w:firstLine="0"/>
              <w:jc w:val="center"/>
              <w:rPr>
                <w:sz w:val="28"/>
                <w:szCs w:val="28"/>
              </w:rPr>
            </w:pPr>
            <w:r w:rsidRPr="009D2B3D">
              <w:rPr>
                <w:sz w:val="28"/>
                <w:szCs w:val="28"/>
              </w:rPr>
              <w:t>1</w:t>
            </w:r>
          </w:p>
        </w:tc>
        <w:tc>
          <w:tcPr>
            <w:tcW w:w="1152" w:type="dxa"/>
            <w:noWrap/>
            <w:vAlign w:val="center"/>
            <w:hideMark/>
          </w:tcPr>
          <w:p w:rsidR="0055491A" w:rsidRPr="009D2B3D" w:rsidRDefault="0055491A" w:rsidP="00210BF6">
            <w:pPr>
              <w:pStyle w:val="a7"/>
              <w:spacing w:after="0"/>
              <w:ind w:left="0" w:firstLine="0"/>
              <w:jc w:val="center"/>
              <w:rPr>
                <w:sz w:val="28"/>
                <w:szCs w:val="28"/>
              </w:rPr>
            </w:pPr>
            <w:r w:rsidRPr="009D2B3D">
              <w:rPr>
                <w:sz w:val="28"/>
                <w:szCs w:val="28"/>
              </w:rPr>
              <w:t>1</w:t>
            </w:r>
          </w:p>
        </w:tc>
        <w:tc>
          <w:tcPr>
            <w:tcW w:w="1352" w:type="dxa"/>
            <w:gridSpan w:val="2"/>
            <w:vAlign w:val="center"/>
            <w:hideMark/>
          </w:tcPr>
          <w:p w:rsidR="0055491A" w:rsidRPr="009D2B3D" w:rsidRDefault="0055491A" w:rsidP="00210BF6">
            <w:pPr>
              <w:pStyle w:val="a7"/>
              <w:spacing w:after="0"/>
              <w:ind w:left="0" w:firstLine="0"/>
              <w:jc w:val="center"/>
              <w:rPr>
                <w:sz w:val="28"/>
                <w:szCs w:val="28"/>
              </w:rPr>
            </w:pPr>
            <w:r w:rsidRPr="009D2B3D">
              <w:rPr>
                <w:sz w:val="28"/>
                <w:szCs w:val="28"/>
              </w:rPr>
              <w:t>5,0</w:t>
            </w:r>
          </w:p>
        </w:tc>
        <w:tc>
          <w:tcPr>
            <w:tcW w:w="1237" w:type="dxa"/>
            <w:gridSpan w:val="2"/>
            <w:vAlign w:val="center"/>
            <w:hideMark/>
          </w:tcPr>
          <w:p w:rsidR="0055491A" w:rsidRPr="009D2B3D" w:rsidRDefault="0055491A" w:rsidP="00210BF6">
            <w:pPr>
              <w:pStyle w:val="a7"/>
              <w:spacing w:after="0"/>
              <w:ind w:left="0" w:firstLine="0"/>
              <w:jc w:val="center"/>
              <w:rPr>
                <w:sz w:val="28"/>
                <w:szCs w:val="28"/>
              </w:rPr>
            </w:pPr>
            <w:r w:rsidRPr="009D2B3D">
              <w:rPr>
                <w:sz w:val="28"/>
                <w:szCs w:val="28"/>
              </w:rPr>
              <w:t>5,0</w:t>
            </w:r>
          </w:p>
        </w:tc>
        <w:tc>
          <w:tcPr>
            <w:tcW w:w="1238" w:type="dxa"/>
            <w:vAlign w:val="center"/>
            <w:hideMark/>
          </w:tcPr>
          <w:p w:rsidR="0055491A" w:rsidRPr="009D2B3D" w:rsidRDefault="0055491A" w:rsidP="00210BF6">
            <w:pPr>
              <w:pStyle w:val="a7"/>
              <w:spacing w:after="0"/>
              <w:ind w:left="0" w:firstLine="0"/>
              <w:jc w:val="center"/>
              <w:rPr>
                <w:sz w:val="28"/>
                <w:szCs w:val="28"/>
              </w:rPr>
            </w:pPr>
            <w:r w:rsidRPr="009D2B3D">
              <w:rPr>
                <w:sz w:val="28"/>
                <w:szCs w:val="28"/>
              </w:rPr>
              <w:t>5,0</w:t>
            </w:r>
          </w:p>
        </w:tc>
      </w:tr>
      <w:tr w:rsidR="0055491A" w:rsidRPr="001139E4" w:rsidTr="00210BF6">
        <w:trPr>
          <w:trHeight w:val="255"/>
        </w:trPr>
        <w:tc>
          <w:tcPr>
            <w:tcW w:w="993" w:type="dxa"/>
          </w:tcPr>
          <w:p w:rsidR="0055491A" w:rsidRPr="001139E4" w:rsidRDefault="0055491A" w:rsidP="00210BF6">
            <w:pPr>
              <w:pStyle w:val="a7"/>
              <w:spacing w:after="0"/>
              <w:ind w:left="0"/>
              <w:rPr>
                <w:sz w:val="28"/>
                <w:szCs w:val="28"/>
              </w:rPr>
            </w:pPr>
          </w:p>
        </w:tc>
        <w:tc>
          <w:tcPr>
            <w:tcW w:w="1134" w:type="dxa"/>
            <w:noWrap/>
          </w:tcPr>
          <w:p w:rsidR="0055491A" w:rsidRDefault="0055491A" w:rsidP="00210BF6">
            <w:pPr>
              <w:pStyle w:val="a7"/>
              <w:spacing w:after="0"/>
              <w:ind w:left="0" w:firstLine="0"/>
              <w:rPr>
                <w:sz w:val="28"/>
                <w:szCs w:val="28"/>
              </w:rPr>
            </w:pPr>
            <w:r>
              <w:rPr>
                <w:sz w:val="28"/>
                <w:szCs w:val="28"/>
              </w:rPr>
              <w:t>30,0</w:t>
            </w:r>
          </w:p>
        </w:tc>
        <w:tc>
          <w:tcPr>
            <w:tcW w:w="1266" w:type="dxa"/>
            <w:noWrap/>
            <w:vAlign w:val="center"/>
          </w:tcPr>
          <w:p w:rsidR="0055491A" w:rsidRPr="009D2B3D" w:rsidRDefault="0055491A" w:rsidP="00210BF6">
            <w:pPr>
              <w:pStyle w:val="a7"/>
              <w:spacing w:after="0"/>
              <w:ind w:left="0" w:firstLine="0"/>
              <w:jc w:val="center"/>
              <w:rPr>
                <w:sz w:val="28"/>
                <w:szCs w:val="28"/>
              </w:rPr>
            </w:pPr>
            <w:r w:rsidRPr="009D2B3D">
              <w:rPr>
                <w:sz w:val="28"/>
                <w:szCs w:val="28"/>
              </w:rPr>
              <w:t>1</w:t>
            </w:r>
          </w:p>
        </w:tc>
        <w:tc>
          <w:tcPr>
            <w:tcW w:w="1267" w:type="dxa"/>
            <w:noWrap/>
            <w:vAlign w:val="center"/>
          </w:tcPr>
          <w:p w:rsidR="0055491A" w:rsidRPr="009D2B3D" w:rsidRDefault="0055491A" w:rsidP="00210BF6">
            <w:pPr>
              <w:pStyle w:val="a7"/>
              <w:spacing w:after="0"/>
              <w:ind w:left="0" w:firstLine="0"/>
              <w:jc w:val="center"/>
              <w:rPr>
                <w:sz w:val="28"/>
                <w:szCs w:val="28"/>
              </w:rPr>
            </w:pPr>
            <w:r w:rsidRPr="009D2B3D">
              <w:rPr>
                <w:sz w:val="28"/>
                <w:szCs w:val="28"/>
              </w:rPr>
              <w:t>1</w:t>
            </w:r>
          </w:p>
        </w:tc>
        <w:tc>
          <w:tcPr>
            <w:tcW w:w="1152" w:type="dxa"/>
            <w:noWrap/>
            <w:vAlign w:val="center"/>
          </w:tcPr>
          <w:p w:rsidR="0055491A" w:rsidRPr="009D2B3D" w:rsidRDefault="0055491A" w:rsidP="00210BF6">
            <w:pPr>
              <w:pStyle w:val="a7"/>
              <w:spacing w:after="0"/>
              <w:ind w:left="0" w:firstLine="0"/>
              <w:jc w:val="center"/>
              <w:rPr>
                <w:sz w:val="28"/>
                <w:szCs w:val="28"/>
              </w:rPr>
            </w:pPr>
            <w:r w:rsidRPr="009D2B3D">
              <w:rPr>
                <w:sz w:val="28"/>
                <w:szCs w:val="28"/>
              </w:rPr>
              <w:t>1</w:t>
            </w:r>
          </w:p>
        </w:tc>
        <w:tc>
          <w:tcPr>
            <w:tcW w:w="1352" w:type="dxa"/>
            <w:gridSpan w:val="2"/>
            <w:vAlign w:val="center"/>
          </w:tcPr>
          <w:p w:rsidR="0055491A" w:rsidRPr="009D2B3D" w:rsidRDefault="0055491A" w:rsidP="00210BF6">
            <w:pPr>
              <w:pStyle w:val="a7"/>
              <w:spacing w:after="0"/>
              <w:ind w:left="0" w:firstLine="0"/>
              <w:jc w:val="center"/>
              <w:rPr>
                <w:sz w:val="28"/>
                <w:szCs w:val="28"/>
              </w:rPr>
            </w:pPr>
            <w:r w:rsidRPr="009D2B3D">
              <w:rPr>
                <w:sz w:val="28"/>
                <w:szCs w:val="28"/>
              </w:rPr>
              <w:t>30,0</w:t>
            </w:r>
          </w:p>
        </w:tc>
        <w:tc>
          <w:tcPr>
            <w:tcW w:w="1237" w:type="dxa"/>
            <w:gridSpan w:val="2"/>
            <w:vAlign w:val="center"/>
          </w:tcPr>
          <w:p w:rsidR="0055491A" w:rsidRPr="009D2B3D" w:rsidRDefault="0055491A" w:rsidP="00210BF6">
            <w:pPr>
              <w:pStyle w:val="a7"/>
              <w:spacing w:after="0"/>
              <w:ind w:left="0" w:firstLine="0"/>
              <w:jc w:val="center"/>
              <w:rPr>
                <w:sz w:val="28"/>
                <w:szCs w:val="28"/>
              </w:rPr>
            </w:pPr>
            <w:r w:rsidRPr="009D2B3D">
              <w:rPr>
                <w:sz w:val="28"/>
                <w:szCs w:val="28"/>
              </w:rPr>
              <w:t>30,0</w:t>
            </w:r>
          </w:p>
        </w:tc>
        <w:tc>
          <w:tcPr>
            <w:tcW w:w="1238" w:type="dxa"/>
            <w:vAlign w:val="center"/>
          </w:tcPr>
          <w:p w:rsidR="0055491A" w:rsidRPr="009D2B3D" w:rsidRDefault="0055491A" w:rsidP="00210BF6">
            <w:pPr>
              <w:pStyle w:val="a7"/>
              <w:spacing w:after="0"/>
              <w:ind w:left="0" w:firstLine="0"/>
              <w:jc w:val="center"/>
              <w:rPr>
                <w:sz w:val="28"/>
                <w:szCs w:val="28"/>
              </w:rPr>
            </w:pPr>
            <w:r w:rsidRPr="009D2B3D">
              <w:rPr>
                <w:sz w:val="28"/>
                <w:szCs w:val="28"/>
              </w:rPr>
              <w:t>30,0</w:t>
            </w:r>
          </w:p>
        </w:tc>
      </w:tr>
      <w:tr w:rsidR="0055491A" w:rsidRPr="001139E4" w:rsidTr="00210BF6">
        <w:trPr>
          <w:trHeight w:val="255"/>
        </w:trPr>
        <w:tc>
          <w:tcPr>
            <w:tcW w:w="993" w:type="dxa"/>
          </w:tcPr>
          <w:p w:rsidR="0055491A" w:rsidRPr="001139E4" w:rsidRDefault="0055491A" w:rsidP="00210BF6">
            <w:pPr>
              <w:pStyle w:val="a7"/>
              <w:spacing w:after="0"/>
              <w:ind w:left="0"/>
              <w:rPr>
                <w:sz w:val="28"/>
                <w:szCs w:val="28"/>
              </w:rPr>
            </w:pPr>
          </w:p>
        </w:tc>
        <w:tc>
          <w:tcPr>
            <w:tcW w:w="1134" w:type="dxa"/>
            <w:noWrap/>
          </w:tcPr>
          <w:p w:rsidR="0055491A" w:rsidRDefault="0055491A" w:rsidP="00210BF6">
            <w:pPr>
              <w:pStyle w:val="a7"/>
              <w:spacing w:after="0"/>
              <w:ind w:left="0" w:firstLine="0"/>
              <w:rPr>
                <w:sz w:val="28"/>
                <w:szCs w:val="28"/>
              </w:rPr>
            </w:pPr>
            <w:r>
              <w:rPr>
                <w:sz w:val="28"/>
                <w:szCs w:val="28"/>
              </w:rPr>
              <w:t>50,0</w:t>
            </w:r>
          </w:p>
        </w:tc>
        <w:tc>
          <w:tcPr>
            <w:tcW w:w="1266" w:type="dxa"/>
            <w:noWrap/>
            <w:vAlign w:val="center"/>
          </w:tcPr>
          <w:p w:rsidR="0055491A" w:rsidRPr="009D2B3D" w:rsidRDefault="0055491A" w:rsidP="00210BF6">
            <w:pPr>
              <w:pStyle w:val="a7"/>
              <w:spacing w:after="0"/>
              <w:ind w:left="0" w:firstLine="0"/>
              <w:jc w:val="center"/>
              <w:rPr>
                <w:sz w:val="28"/>
                <w:szCs w:val="28"/>
              </w:rPr>
            </w:pPr>
            <w:r w:rsidRPr="009D2B3D">
              <w:rPr>
                <w:sz w:val="28"/>
                <w:szCs w:val="28"/>
              </w:rPr>
              <w:t>1</w:t>
            </w:r>
          </w:p>
        </w:tc>
        <w:tc>
          <w:tcPr>
            <w:tcW w:w="1267" w:type="dxa"/>
            <w:noWrap/>
            <w:vAlign w:val="center"/>
          </w:tcPr>
          <w:p w:rsidR="0055491A" w:rsidRPr="009D2B3D" w:rsidRDefault="0055491A" w:rsidP="00210BF6">
            <w:pPr>
              <w:pStyle w:val="a7"/>
              <w:spacing w:after="0"/>
              <w:ind w:left="0" w:firstLine="0"/>
              <w:jc w:val="center"/>
              <w:rPr>
                <w:sz w:val="28"/>
                <w:szCs w:val="28"/>
              </w:rPr>
            </w:pPr>
            <w:r w:rsidRPr="009D2B3D">
              <w:rPr>
                <w:sz w:val="28"/>
                <w:szCs w:val="28"/>
              </w:rPr>
              <w:t>1</w:t>
            </w:r>
          </w:p>
        </w:tc>
        <w:tc>
          <w:tcPr>
            <w:tcW w:w="1152" w:type="dxa"/>
            <w:noWrap/>
            <w:vAlign w:val="center"/>
          </w:tcPr>
          <w:p w:rsidR="0055491A" w:rsidRPr="009D2B3D" w:rsidRDefault="0055491A" w:rsidP="00210BF6">
            <w:pPr>
              <w:pStyle w:val="a7"/>
              <w:spacing w:after="0"/>
              <w:ind w:left="0" w:firstLine="0"/>
              <w:jc w:val="center"/>
              <w:rPr>
                <w:sz w:val="28"/>
                <w:szCs w:val="28"/>
              </w:rPr>
            </w:pPr>
            <w:r w:rsidRPr="009D2B3D">
              <w:rPr>
                <w:sz w:val="28"/>
                <w:szCs w:val="28"/>
              </w:rPr>
              <w:t>1</w:t>
            </w:r>
          </w:p>
        </w:tc>
        <w:tc>
          <w:tcPr>
            <w:tcW w:w="1352" w:type="dxa"/>
            <w:gridSpan w:val="2"/>
            <w:vAlign w:val="center"/>
          </w:tcPr>
          <w:p w:rsidR="0055491A" w:rsidRPr="009D2B3D" w:rsidRDefault="0055491A" w:rsidP="00210BF6">
            <w:pPr>
              <w:pStyle w:val="a7"/>
              <w:spacing w:after="0"/>
              <w:ind w:left="0" w:firstLine="0"/>
              <w:jc w:val="center"/>
              <w:rPr>
                <w:sz w:val="28"/>
                <w:szCs w:val="28"/>
              </w:rPr>
            </w:pPr>
            <w:r w:rsidRPr="009D2B3D">
              <w:rPr>
                <w:sz w:val="28"/>
                <w:szCs w:val="28"/>
              </w:rPr>
              <w:t>50,0</w:t>
            </w:r>
          </w:p>
        </w:tc>
        <w:tc>
          <w:tcPr>
            <w:tcW w:w="1237" w:type="dxa"/>
            <w:gridSpan w:val="2"/>
            <w:vAlign w:val="center"/>
          </w:tcPr>
          <w:p w:rsidR="0055491A" w:rsidRPr="009D2B3D" w:rsidRDefault="0055491A" w:rsidP="00210BF6">
            <w:pPr>
              <w:pStyle w:val="a7"/>
              <w:spacing w:after="0"/>
              <w:ind w:left="0" w:firstLine="0"/>
              <w:jc w:val="center"/>
              <w:rPr>
                <w:sz w:val="28"/>
                <w:szCs w:val="28"/>
              </w:rPr>
            </w:pPr>
            <w:r w:rsidRPr="009D2B3D">
              <w:rPr>
                <w:sz w:val="28"/>
                <w:szCs w:val="28"/>
              </w:rPr>
              <w:t>50,0</w:t>
            </w:r>
          </w:p>
        </w:tc>
        <w:tc>
          <w:tcPr>
            <w:tcW w:w="1238" w:type="dxa"/>
            <w:vAlign w:val="center"/>
          </w:tcPr>
          <w:p w:rsidR="0055491A" w:rsidRPr="009D2B3D" w:rsidRDefault="0055491A" w:rsidP="00210BF6">
            <w:pPr>
              <w:pStyle w:val="a7"/>
              <w:spacing w:after="0"/>
              <w:ind w:left="0" w:firstLine="0"/>
              <w:jc w:val="center"/>
              <w:rPr>
                <w:sz w:val="28"/>
                <w:szCs w:val="28"/>
              </w:rPr>
            </w:pPr>
            <w:r w:rsidRPr="009D2B3D">
              <w:rPr>
                <w:sz w:val="28"/>
                <w:szCs w:val="28"/>
              </w:rPr>
              <w:t>50,0</w:t>
            </w:r>
          </w:p>
        </w:tc>
      </w:tr>
      <w:tr w:rsidR="0055491A" w:rsidRPr="001139E4" w:rsidTr="00210BF6">
        <w:trPr>
          <w:trHeight w:val="255"/>
        </w:trPr>
        <w:tc>
          <w:tcPr>
            <w:tcW w:w="993" w:type="dxa"/>
          </w:tcPr>
          <w:p w:rsidR="0055491A" w:rsidRPr="001139E4" w:rsidRDefault="0055491A" w:rsidP="00210BF6">
            <w:pPr>
              <w:pStyle w:val="a7"/>
              <w:spacing w:after="0"/>
              <w:ind w:left="0"/>
              <w:rPr>
                <w:sz w:val="28"/>
                <w:szCs w:val="28"/>
              </w:rPr>
            </w:pPr>
          </w:p>
        </w:tc>
        <w:tc>
          <w:tcPr>
            <w:tcW w:w="1134" w:type="dxa"/>
            <w:noWrap/>
          </w:tcPr>
          <w:p w:rsidR="0055491A" w:rsidRDefault="0055491A" w:rsidP="00210BF6">
            <w:pPr>
              <w:pStyle w:val="a7"/>
              <w:spacing w:after="0"/>
              <w:ind w:left="0" w:firstLine="0"/>
              <w:rPr>
                <w:sz w:val="28"/>
                <w:szCs w:val="28"/>
              </w:rPr>
            </w:pPr>
            <w:r>
              <w:rPr>
                <w:sz w:val="28"/>
                <w:szCs w:val="28"/>
              </w:rPr>
              <w:t>60,0</w:t>
            </w:r>
          </w:p>
        </w:tc>
        <w:tc>
          <w:tcPr>
            <w:tcW w:w="1266" w:type="dxa"/>
            <w:noWrap/>
            <w:vAlign w:val="center"/>
          </w:tcPr>
          <w:p w:rsidR="0055491A" w:rsidRPr="009D2B3D" w:rsidRDefault="0055491A" w:rsidP="00210BF6">
            <w:pPr>
              <w:pStyle w:val="a7"/>
              <w:spacing w:after="0"/>
              <w:ind w:left="0" w:firstLine="0"/>
              <w:jc w:val="center"/>
              <w:rPr>
                <w:sz w:val="28"/>
                <w:szCs w:val="28"/>
              </w:rPr>
            </w:pPr>
            <w:r w:rsidRPr="009D2B3D">
              <w:rPr>
                <w:sz w:val="28"/>
                <w:szCs w:val="28"/>
              </w:rPr>
              <w:t>1</w:t>
            </w:r>
          </w:p>
        </w:tc>
        <w:tc>
          <w:tcPr>
            <w:tcW w:w="1267" w:type="dxa"/>
            <w:noWrap/>
            <w:vAlign w:val="center"/>
          </w:tcPr>
          <w:p w:rsidR="0055491A" w:rsidRPr="009D2B3D" w:rsidRDefault="0055491A" w:rsidP="00210BF6">
            <w:pPr>
              <w:pStyle w:val="a7"/>
              <w:spacing w:after="0"/>
              <w:ind w:left="0" w:firstLine="0"/>
              <w:jc w:val="center"/>
              <w:rPr>
                <w:sz w:val="28"/>
                <w:szCs w:val="28"/>
              </w:rPr>
            </w:pPr>
            <w:r w:rsidRPr="009D2B3D">
              <w:rPr>
                <w:sz w:val="28"/>
                <w:szCs w:val="28"/>
              </w:rPr>
              <w:t>1</w:t>
            </w:r>
          </w:p>
        </w:tc>
        <w:tc>
          <w:tcPr>
            <w:tcW w:w="1152" w:type="dxa"/>
            <w:noWrap/>
            <w:vAlign w:val="center"/>
          </w:tcPr>
          <w:p w:rsidR="0055491A" w:rsidRPr="009D2B3D" w:rsidRDefault="0055491A" w:rsidP="00210BF6">
            <w:pPr>
              <w:pStyle w:val="a7"/>
              <w:spacing w:after="0"/>
              <w:ind w:left="0" w:firstLine="0"/>
              <w:jc w:val="center"/>
              <w:rPr>
                <w:sz w:val="28"/>
                <w:szCs w:val="28"/>
              </w:rPr>
            </w:pPr>
            <w:r w:rsidRPr="009D2B3D">
              <w:rPr>
                <w:sz w:val="28"/>
                <w:szCs w:val="28"/>
              </w:rPr>
              <w:t>1</w:t>
            </w:r>
          </w:p>
        </w:tc>
        <w:tc>
          <w:tcPr>
            <w:tcW w:w="1352" w:type="dxa"/>
            <w:gridSpan w:val="2"/>
            <w:vAlign w:val="center"/>
          </w:tcPr>
          <w:p w:rsidR="0055491A" w:rsidRPr="009D2B3D" w:rsidRDefault="0055491A" w:rsidP="00210BF6">
            <w:pPr>
              <w:pStyle w:val="a7"/>
              <w:spacing w:after="0"/>
              <w:ind w:left="0" w:firstLine="0"/>
              <w:jc w:val="center"/>
              <w:rPr>
                <w:sz w:val="28"/>
                <w:szCs w:val="28"/>
              </w:rPr>
            </w:pPr>
            <w:r w:rsidRPr="009D2B3D">
              <w:rPr>
                <w:sz w:val="28"/>
                <w:szCs w:val="28"/>
              </w:rPr>
              <w:t>60,0</w:t>
            </w:r>
          </w:p>
        </w:tc>
        <w:tc>
          <w:tcPr>
            <w:tcW w:w="1237" w:type="dxa"/>
            <w:gridSpan w:val="2"/>
            <w:vAlign w:val="center"/>
          </w:tcPr>
          <w:p w:rsidR="0055491A" w:rsidRPr="009D2B3D" w:rsidRDefault="0055491A" w:rsidP="00210BF6">
            <w:pPr>
              <w:pStyle w:val="a7"/>
              <w:spacing w:after="0"/>
              <w:ind w:left="0" w:firstLine="0"/>
              <w:jc w:val="center"/>
              <w:rPr>
                <w:sz w:val="28"/>
                <w:szCs w:val="28"/>
              </w:rPr>
            </w:pPr>
            <w:r w:rsidRPr="009D2B3D">
              <w:rPr>
                <w:sz w:val="28"/>
                <w:szCs w:val="28"/>
              </w:rPr>
              <w:t>60,0</w:t>
            </w:r>
          </w:p>
        </w:tc>
        <w:tc>
          <w:tcPr>
            <w:tcW w:w="1238" w:type="dxa"/>
            <w:vAlign w:val="center"/>
          </w:tcPr>
          <w:p w:rsidR="0055491A" w:rsidRPr="009D2B3D" w:rsidRDefault="0055491A" w:rsidP="00210BF6">
            <w:pPr>
              <w:pStyle w:val="a7"/>
              <w:spacing w:after="0"/>
              <w:ind w:left="0" w:firstLine="0"/>
              <w:jc w:val="center"/>
              <w:rPr>
                <w:sz w:val="28"/>
                <w:szCs w:val="28"/>
              </w:rPr>
            </w:pPr>
            <w:r w:rsidRPr="009D2B3D">
              <w:rPr>
                <w:sz w:val="28"/>
                <w:szCs w:val="28"/>
              </w:rPr>
              <w:t>60,0</w:t>
            </w:r>
          </w:p>
        </w:tc>
      </w:tr>
      <w:tr w:rsidR="0055491A" w:rsidRPr="001139E4" w:rsidTr="00210BF6">
        <w:trPr>
          <w:trHeight w:val="255"/>
        </w:trPr>
        <w:tc>
          <w:tcPr>
            <w:tcW w:w="993" w:type="dxa"/>
          </w:tcPr>
          <w:p w:rsidR="0055491A" w:rsidRPr="001139E4" w:rsidRDefault="0055491A" w:rsidP="00210BF6">
            <w:pPr>
              <w:pStyle w:val="a7"/>
              <w:spacing w:after="0"/>
              <w:ind w:left="0"/>
              <w:rPr>
                <w:sz w:val="28"/>
                <w:szCs w:val="28"/>
              </w:rPr>
            </w:pPr>
          </w:p>
        </w:tc>
        <w:tc>
          <w:tcPr>
            <w:tcW w:w="1134" w:type="dxa"/>
            <w:noWrap/>
          </w:tcPr>
          <w:p w:rsidR="0055491A" w:rsidRDefault="0055491A" w:rsidP="00210BF6">
            <w:pPr>
              <w:pStyle w:val="a7"/>
              <w:spacing w:after="0"/>
              <w:ind w:left="0" w:firstLine="0"/>
              <w:rPr>
                <w:sz w:val="28"/>
                <w:szCs w:val="28"/>
              </w:rPr>
            </w:pPr>
            <w:r>
              <w:rPr>
                <w:sz w:val="28"/>
                <w:szCs w:val="28"/>
              </w:rPr>
              <w:t>80,0</w:t>
            </w:r>
          </w:p>
        </w:tc>
        <w:tc>
          <w:tcPr>
            <w:tcW w:w="1266" w:type="dxa"/>
            <w:noWrap/>
            <w:vAlign w:val="center"/>
          </w:tcPr>
          <w:p w:rsidR="0055491A" w:rsidRPr="009D2B3D" w:rsidRDefault="0055491A" w:rsidP="00210BF6">
            <w:pPr>
              <w:pStyle w:val="a7"/>
              <w:spacing w:after="0"/>
              <w:ind w:left="0" w:firstLine="0"/>
              <w:jc w:val="center"/>
              <w:rPr>
                <w:sz w:val="28"/>
                <w:szCs w:val="28"/>
              </w:rPr>
            </w:pPr>
            <w:r w:rsidRPr="009D2B3D">
              <w:rPr>
                <w:sz w:val="28"/>
                <w:szCs w:val="28"/>
              </w:rPr>
              <w:t>1</w:t>
            </w:r>
          </w:p>
        </w:tc>
        <w:tc>
          <w:tcPr>
            <w:tcW w:w="1267" w:type="dxa"/>
            <w:noWrap/>
            <w:vAlign w:val="center"/>
          </w:tcPr>
          <w:p w:rsidR="0055491A" w:rsidRPr="009D2B3D" w:rsidRDefault="0055491A" w:rsidP="00210BF6">
            <w:pPr>
              <w:pStyle w:val="a7"/>
              <w:spacing w:after="0"/>
              <w:ind w:left="0" w:firstLine="0"/>
              <w:jc w:val="center"/>
              <w:rPr>
                <w:sz w:val="28"/>
                <w:szCs w:val="28"/>
              </w:rPr>
            </w:pPr>
            <w:r w:rsidRPr="009D2B3D">
              <w:rPr>
                <w:sz w:val="28"/>
                <w:szCs w:val="28"/>
              </w:rPr>
              <w:t>2</w:t>
            </w:r>
          </w:p>
        </w:tc>
        <w:tc>
          <w:tcPr>
            <w:tcW w:w="1152" w:type="dxa"/>
            <w:noWrap/>
            <w:vAlign w:val="center"/>
          </w:tcPr>
          <w:p w:rsidR="0055491A" w:rsidRPr="009D2B3D" w:rsidRDefault="0055491A" w:rsidP="00210BF6">
            <w:pPr>
              <w:pStyle w:val="a7"/>
              <w:spacing w:after="0"/>
              <w:ind w:left="0" w:firstLine="0"/>
              <w:jc w:val="center"/>
              <w:rPr>
                <w:sz w:val="28"/>
                <w:szCs w:val="28"/>
              </w:rPr>
            </w:pPr>
            <w:r w:rsidRPr="009D2B3D">
              <w:rPr>
                <w:sz w:val="28"/>
                <w:szCs w:val="28"/>
              </w:rPr>
              <w:t>1</w:t>
            </w:r>
          </w:p>
        </w:tc>
        <w:tc>
          <w:tcPr>
            <w:tcW w:w="1352" w:type="dxa"/>
            <w:gridSpan w:val="2"/>
            <w:vAlign w:val="center"/>
          </w:tcPr>
          <w:p w:rsidR="0055491A" w:rsidRPr="009D2B3D" w:rsidRDefault="0055491A" w:rsidP="00210BF6">
            <w:pPr>
              <w:pStyle w:val="a7"/>
              <w:spacing w:after="0"/>
              <w:ind w:left="0" w:firstLine="0"/>
              <w:jc w:val="center"/>
              <w:rPr>
                <w:sz w:val="28"/>
                <w:szCs w:val="28"/>
              </w:rPr>
            </w:pPr>
            <w:r w:rsidRPr="009D2B3D">
              <w:rPr>
                <w:sz w:val="28"/>
                <w:szCs w:val="28"/>
              </w:rPr>
              <w:t>80,0</w:t>
            </w:r>
          </w:p>
        </w:tc>
        <w:tc>
          <w:tcPr>
            <w:tcW w:w="1237" w:type="dxa"/>
            <w:gridSpan w:val="2"/>
            <w:vAlign w:val="center"/>
          </w:tcPr>
          <w:p w:rsidR="0055491A" w:rsidRPr="009D2B3D" w:rsidRDefault="0055491A" w:rsidP="00210BF6">
            <w:pPr>
              <w:pStyle w:val="a7"/>
              <w:spacing w:after="0"/>
              <w:ind w:left="0" w:firstLine="0"/>
              <w:jc w:val="center"/>
              <w:rPr>
                <w:sz w:val="28"/>
                <w:szCs w:val="28"/>
              </w:rPr>
            </w:pPr>
            <w:r w:rsidRPr="009D2B3D">
              <w:rPr>
                <w:sz w:val="28"/>
                <w:szCs w:val="28"/>
              </w:rPr>
              <w:t>160,0</w:t>
            </w:r>
          </w:p>
        </w:tc>
        <w:tc>
          <w:tcPr>
            <w:tcW w:w="1238" w:type="dxa"/>
            <w:vAlign w:val="center"/>
          </w:tcPr>
          <w:p w:rsidR="0055491A" w:rsidRPr="009D2B3D" w:rsidRDefault="0055491A" w:rsidP="00210BF6">
            <w:pPr>
              <w:pStyle w:val="a7"/>
              <w:spacing w:after="0"/>
              <w:ind w:left="0" w:firstLine="0"/>
              <w:jc w:val="center"/>
              <w:rPr>
                <w:sz w:val="28"/>
                <w:szCs w:val="28"/>
              </w:rPr>
            </w:pPr>
            <w:r w:rsidRPr="009D2B3D">
              <w:rPr>
                <w:sz w:val="28"/>
                <w:szCs w:val="28"/>
              </w:rPr>
              <w:t>80,0</w:t>
            </w:r>
          </w:p>
        </w:tc>
      </w:tr>
      <w:tr w:rsidR="0055491A" w:rsidRPr="001139E4" w:rsidTr="00210BF6">
        <w:trPr>
          <w:trHeight w:val="255"/>
        </w:trPr>
        <w:tc>
          <w:tcPr>
            <w:tcW w:w="993" w:type="dxa"/>
          </w:tcPr>
          <w:p w:rsidR="0055491A" w:rsidRPr="001139E4" w:rsidRDefault="0055491A" w:rsidP="00210BF6">
            <w:pPr>
              <w:pStyle w:val="a7"/>
              <w:spacing w:after="0"/>
              <w:ind w:left="0"/>
              <w:rPr>
                <w:sz w:val="28"/>
                <w:szCs w:val="28"/>
              </w:rPr>
            </w:pPr>
          </w:p>
        </w:tc>
        <w:tc>
          <w:tcPr>
            <w:tcW w:w="1134" w:type="dxa"/>
            <w:noWrap/>
          </w:tcPr>
          <w:p w:rsidR="0055491A" w:rsidRDefault="0055491A" w:rsidP="00210BF6">
            <w:pPr>
              <w:pStyle w:val="a7"/>
              <w:spacing w:after="0"/>
              <w:ind w:left="0" w:firstLine="0"/>
              <w:rPr>
                <w:sz w:val="28"/>
                <w:szCs w:val="28"/>
              </w:rPr>
            </w:pPr>
            <w:r>
              <w:rPr>
                <w:sz w:val="28"/>
                <w:szCs w:val="28"/>
              </w:rPr>
              <w:t>100,0</w:t>
            </w:r>
          </w:p>
        </w:tc>
        <w:tc>
          <w:tcPr>
            <w:tcW w:w="1266" w:type="dxa"/>
            <w:noWrap/>
            <w:vAlign w:val="center"/>
          </w:tcPr>
          <w:p w:rsidR="0055491A" w:rsidRPr="009D2B3D" w:rsidRDefault="0055491A" w:rsidP="00210BF6">
            <w:pPr>
              <w:pStyle w:val="a7"/>
              <w:spacing w:after="0"/>
              <w:ind w:left="0" w:firstLine="0"/>
              <w:jc w:val="center"/>
              <w:rPr>
                <w:sz w:val="28"/>
                <w:szCs w:val="28"/>
              </w:rPr>
            </w:pPr>
            <w:r w:rsidRPr="009D2B3D">
              <w:rPr>
                <w:sz w:val="28"/>
                <w:szCs w:val="28"/>
              </w:rPr>
              <w:t>2</w:t>
            </w:r>
          </w:p>
        </w:tc>
        <w:tc>
          <w:tcPr>
            <w:tcW w:w="1267" w:type="dxa"/>
            <w:noWrap/>
            <w:vAlign w:val="center"/>
          </w:tcPr>
          <w:p w:rsidR="0055491A" w:rsidRPr="009D2B3D" w:rsidRDefault="0055491A" w:rsidP="00210BF6">
            <w:pPr>
              <w:pStyle w:val="a7"/>
              <w:spacing w:after="0"/>
              <w:ind w:left="0" w:firstLine="0"/>
              <w:jc w:val="center"/>
              <w:rPr>
                <w:sz w:val="28"/>
                <w:szCs w:val="28"/>
              </w:rPr>
            </w:pPr>
            <w:r w:rsidRPr="009D2B3D">
              <w:rPr>
                <w:sz w:val="28"/>
                <w:szCs w:val="28"/>
              </w:rPr>
              <w:t>1</w:t>
            </w:r>
          </w:p>
        </w:tc>
        <w:tc>
          <w:tcPr>
            <w:tcW w:w="1152" w:type="dxa"/>
            <w:noWrap/>
            <w:vAlign w:val="center"/>
          </w:tcPr>
          <w:p w:rsidR="0055491A" w:rsidRPr="009D2B3D" w:rsidRDefault="0055491A" w:rsidP="00210BF6">
            <w:pPr>
              <w:pStyle w:val="a7"/>
              <w:spacing w:after="0"/>
              <w:ind w:left="0" w:firstLine="0"/>
              <w:jc w:val="center"/>
              <w:rPr>
                <w:sz w:val="28"/>
                <w:szCs w:val="28"/>
              </w:rPr>
            </w:pPr>
            <w:r w:rsidRPr="009D2B3D">
              <w:rPr>
                <w:sz w:val="28"/>
                <w:szCs w:val="28"/>
              </w:rPr>
              <w:t>2</w:t>
            </w:r>
          </w:p>
        </w:tc>
        <w:tc>
          <w:tcPr>
            <w:tcW w:w="1352" w:type="dxa"/>
            <w:gridSpan w:val="2"/>
            <w:vAlign w:val="center"/>
          </w:tcPr>
          <w:p w:rsidR="0055491A" w:rsidRPr="009D2B3D" w:rsidRDefault="0055491A" w:rsidP="00210BF6">
            <w:pPr>
              <w:pStyle w:val="a7"/>
              <w:spacing w:after="0"/>
              <w:ind w:left="0" w:firstLine="0"/>
              <w:jc w:val="center"/>
              <w:rPr>
                <w:sz w:val="28"/>
                <w:szCs w:val="28"/>
              </w:rPr>
            </w:pPr>
            <w:r w:rsidRPr="009D2B3D">
              <w:rPr>
                <w:sz w:val="28"/>
                <w:szCs w:val="28"/>
              </w:rPr>
              <w:t>200,0</w:t>
            </w:r>
          </w:p>
        </w:tc>
        <w:tc>
          <w:tcPr>
            <w:tcW w:w="1237" w:type="dxa"/>
            <w:gridSpan w:val="2"/>
            <w:vAlign w:val="center"/>
          </w:tcPr>
          <w:p w:rsidR="0055491A" w:rsidRPr="009D2B3D" w:rsidRDefault="0055491A" w:rsidP="00210BF6">
            <w:pPr>
              <w:pStyle w:val="a7"/>
              <w:spacing w:after="0"/>
              <w:ind w:left="0" w:firstLine="0"/>
              <w:jc w:val="center"/>
              <w:rPr>
                <w:sz w:val="28"/>
                <w:szCs w:val="28"/>
              </w:rPr>
            </w:pPr>
            <w:r w:rsidRPr="009D2B3D">
              <w:rPr>
                <w:sz w:val="28"/>
                <w:szCs w:val="28"/>
              </w:rPr>
              <w:t>100,0</w:t>
            </w:r>
          </w:p>
        </w:tc>
        <w:tc>
          <w:tcPr>
            <w:tcW w:w="1238" w:type="dxa"/>
            <w:vAlign w:val="center"/>
          </w:tcPr>
          <w:p w:rsidR="0055491A" w:rsidRPr="009D2B3D" w:rsidRDefault="0055491A" w:rsidP="00210BF6">
            <w:pPr>
              <w:pStyle w:val="a7"/>
              <w:spacing w:after="0"/>
              <w:ind w:left="0" w:firstLine="0"/>
              <w:jc w:val="center"/>
              <w:rPr>
                <w:sz w:val="28"/>
                <w:szCs w:val="28"/>
              </w:rPr>
            </w:pPr>
            <w:r w:rsidRPr="009D2B3D">
              <w:rPr>
                <w:sz w:val="28"/>
                <w:szCs w:val="28"/>
              </w:rPr>
              <w:t>200,0</w:t>
            </w:r>
          </w:p>
        </w:tc>
      </w:tr>
      <w:tr w:rsidR="0055491A" w:rsidRPr="001139E4" w:rsidTr="00210BF6">
        <w:trPr>
          <w:trHeight w:val="255"/>
        </w:trPr>
        <w:tc>
          <w:tcPr>
            <w:tcW w:w="993" w:type="dxa"/>
          </w:tcPr>
          <w:p w:rsidR="0055491A" w:rsidRPr="001139E4" w:rsidRDefault="0055491A" w:rsidP="00210BF6">
            <w:pPr>
              <w:pStyle w:val="a7"/>
              <w:spacing w:after="0"/>
              <w:ind w:left="0"/>
              <w:rPr>
                <w:sz w:val="28"/>
                <w:szCs w:val="28"/>
              </w:rPr>
            </w:pPr>
          </w:p>
        </w:tc>
        <w:tc>
          <w:tcPr>
            <w:tcW w:w="1134" w:type="dxa"/>
            <w:noWrap/>
          </w:tcPr>
          <w:p w:rsidR="0055491A" w:rsidRDefault="0055491A" w:rsidP="00210BF6">
            <w:pPr>
              <w:pStyle w:val="a7"/>
              <w:spacing w:after="0"/>
              <w:ind w:left="0" w:firstLine="0"/>
              <w:rPr>
                <w:sz w:val="28"/>
                <w:szCs w:val="28"/>
              </w:rPr>
            </w:pPr>
            <w:r>
              <w:rPr>
                <w:sz w:val="28"/>
                <w:szCs w:val="28"/>
              </w:rPr>
              <w:t>160,0</w:t>
            </w:r>
          </w:p>
        </w:tc>
        <w:tc>
          <w:tcPr>
            <w:tcW w:w="1266" w:type="dxa"/>
            <w:noWrap/>
            <w:vAlign w:val="center"/>
          </w:tcPr>
          <w:p w:rsidR="0055491A" w:rsidRPr="009D2B3D" w:rsidRDefault="0055491A" w:rsidP="00210BF6">
            <w:pPr>
              <w:pStyle w:val="a7"/>
              <w:spacing w:after="0"/>
              <w:ind w:left="0" w:firstLine="0"/>
              <w:jc w:val="center"/>
              <w:rPr>
                <w:sz w:val="28"/>
                <w:szCs w:val="28"/>
              </w:rPr>
            </w:pPr>
            <w:r w:rsidRPr="009D2B3D">
              <w:rPr>
                <w:sz w:val="28"/>
                <w:szCs w:val="28"/>
              </w:rPr>
              <w:t>1</w:t>
            </w:r>
          </w:p>
        </w:tc>
        <w:tc>
          <w:tcPr>
            <w:tcW w:w="1267" w:type="dxa"/>
            <w:noWrap/>
            <w:vAlign w:val="center"/>
          </w:tcPr>
          <w:p w:rsidR="0055491A" w:rsidRPr="009D2B3D" w:rsidRDefault="0055491A" w:rsidP="00210BF6">
            <w:pPr>
              <w:pStyle w:val="a7"/>
              <w:spacing w:after="0"/>
              <w:ind w:left="0" w:firstLine="0"/>
              <w:jc w:val="center"/>
              <w:rPr>
                <w:sz w:val="28"/>
                <w:szCs w:val="28"/>
              </w:rPr>
            </w:pPr>
            <w:r w:rsidRPr="009D2B3D">
              <w:rPr>
                <w:sz w:val="28"/>
                <w:szCs w:val="28"/>
              </w:rPr>
              <w:t>1</w:t>
            </w:r>
          </w:p>
        </w:tc>
        <w:tc>
          <w:tcPr>
            <w:tcW w:w="1152" w:type="dxa"/>
            <w:noWrap/>
            <w:vAlign w:val="center"/>
          </w:tcPr>
          <w:p w:rsidR="0055491A" w:rsidRPr="009D2B3D" w:rsidRDefault="0055491A" w:rsidP="00210BF6">
            <w:pPr>
              <w:pStyle w:val="a7"/>
              <w:spacing w:after="0"/>
              <w:ind w:left="0" w:firstLine="0"/>
              <w:jc w:val="center"/>
              <w:rPr>
                <w:sz w:val="28"/>
                <w:szCs w:val="28"/>
              </w:rPr>
            </w:pPr>
            <w:r w:rsidRPr="009D2B3D">
              <w:rPr>
                <w:sz w:val="28"/>
                <w:szCs w:val="28"/>
              </w:rPr>
              <w:t>1</w:t>
            </w:r>
          </w:p>
        </w:tc>
        <w:tc>
          <w:tcPr>
            <w:tcW w:w="1352" w:type="dxa"/>
            <w:gridSpan w:val="2"/>
            <w:vAlign w:val="center"/>
          </w:tcPr>
          <w:p w:rsidR="0055491A" w:rsidRPr="009D2B3D" w:rsidRDefault="0055491A" w:rsidP="00210BF6">
            <w:pPr>
              <w:pStyle w:val="a7"/>
              <w:spacing w:after="0"/>
              <w:ind w:left="0" w:firstLine="0"/>
              <w:jc w:val="center"/>
              <w:rPr>
                <w:sz w:val="28"/>
                <w:szCs w:val="28"/>
              </w:rPr>
            </w:pPr>
            <w:r w:rsidRPr="009D2B3D">
              <w:rPr>
                <w:sz w:val="28"/>
                <w:szCs w:val="28"/>
              </w:rPr>
              <w:t>160,0</w:t>
            </w:r>
          </w:p>
        </w:tc>
        <w:tc>
          <w:tcPr>
            <w:tcW w:w="1237" w:type="dxa"/>
            <w:gridSpan w:val="2"/>
            <w:vAlign w:val="center"/>
          </w:tcPr>
          <w:p w:rsidR="0055491A" w:rsidRPr="009D2B3D" w:rsidRDefault="0055491A" w:rsidP="00210BF6">
            <w:pPr>
              <w:pStyle w:val="a7"/>
              <w:spacing w:after="0"/>
              <w:ind w:left="0" w:firstLine="0"/>
              <w:jc w:val="center"/>
              <w:rPr>
                <w:sz w:val="28"/>
                <w:szCs w:val="28"/>
              </w:rPr>
            </w:pPr>
            <w:r w:rsidRPr="009D2B3D">
              <w:rPr>
                <w:sz w:val="28"/>
                <w:szCs w:val="28"/>
              </w:rPr>
              <w:t>160,0</w:t>
            </w:r>
          </w:p>
        </w:tc>
        <w:tc>
          <w:tcPr>
            <w:tcW w:w="1238" w:type="dxa"/>
            <w:vAlign w:val="center"/>
          </w:tcPr>
          <w:p w:rsidR="0055491A" w:rsidRPr="009D2B3D" w:rsidRDefault="0055491A" w:rsidP="00210BF6">
            <w:pPr>
              <w:pStyle w:val="a7"/>
              <w:spacing w:after="0"/>
              <w:ind w:left="0" w:firstLine="0"/>
              <w:jc w:val="center"/>
              <w:rPr>
                <w:sz w:val="28"/>
                <w:szCs w:val="28"/>
              </w:rPr>
            </w:pPr>
            <w:r w:rsidRPr="009D2B3D">
              <w:rPr>
                <w:sz w:val="28"/>
                <w:szCs w:val="28"/>
              </w:rPr>
              <w:t>160,0</w:t>
            </w:r>
          </w:p>
        </w:tc>
      </w:tr>
      <w:tr w:rsidR="0055491A" w:rsidRPr="001139E4" w:rsidTr="00210BF6">
        <w:trPr>
          <w:trHeight w:val="255"/>
        </w:trPr>
        <w:tc>
          <w:tcPr>
            <w:tcW w:w="5812" w:type="dxa"/>
            <w:gridSpan w:val="5"/>
          </w:tcPr>
          <w:p w:rsidR="0055491A" w:rsidRPr="001139E4" w:rsidRDefault="0055491A" w:rsidP="00210BF6">
            <w:pPr>
              <w:pStyle w:val="a7"/>
              <w:spacing w:after="0"/>
              <w:jc w:val="left"/>
              <w:rPr>
                <w:sz w:val="28"/>
                <w:szCs w:val="28"/>
              </w:rPr>
            </w:pPr>
            <w:r w:rsidRPr="001139E4">
              <w:rPr>
                <w:bCs/>
                <w:sz w:val="28"/>
                <w:szCs w:val="28"/>
              </w:rPr>
              <w:t>ИТОГО:</w:t>
            </w:r>
          </w:p>
        </w:tc>
        <w:tc>
          <w:tcPr>
            <w:tcW w:w="1276" w:type="dxa"/>
          </w:tcPr>
          <w:p w:rsidR="0055491A" w:rsidRPr="001139E4" w:rsidRDefault="0055491A" w:rsidP="00210BF6">
            <w:pPr>
              <w:pStyle w:val="a7"/>
              <w:spacing w:after="0"/>
              <w:ind w:left="0" w:firstLine="0"/>
              <w:jc w:val="center"/>
              <w:rPr>
                <w:sz w:val="28"/>
                <w:szCs w:val="28"/>
              </w:rPr>
            </w:pPr>
            <w:r>
              <w:rPr>
                <w:sz w:val="28"/>
                <w:szCs w:val="28"/>
              </w:rPr>
              <w:t>596,0</w:t>
            </w:r>
          </w:p>
        </w:tc>
        <w:tc>
          <w:tcPr>
            <w:tcW w:w="1276" w:type="dxa"/>
            <w:gridSpan w:val="2"/>
          </w:tcPr>
          <w:p w:rsidR="0055491A" w:rsidRPr="001139E4" w:rsidRDefault="0055491A" w:rsidP="00210BF6">
            <w:pPr>
              <w:pStyle w:val="a7"/>
              <w:spacing w:after="0"/>
              <w:ind w:left="0" w:firstLine="0"/>
              <w:jc w:val="center"/>
              <w:rPr>
                <w:sz w:val="28"/>
                <w:szCs w:val="28"/>
              </w:rPr>
            </w:pPr>
            <w:r>
              <w:rPr>
                <w:sz w:val="28"/>
                <w:szCs w:val="28"/>
              </w:rPr>
              <w:t>578,0</w:t>
            </w:r>
          </w:p>
        </w:tc>
        <w:tc>
          <w:tcPr>
            <w:tcW w:w="1275" w:type="dxa"/>
            <w:gridSpan w:val="2"/>
          </w:tcPr>
          <w:p w:rsidR="0055491A" w:rsidRPr="001139E4" w:rsidRDefault="0055491A" w:rsidP="00210BF6">
            <w:pPr>
              <w:pStyle w:val="a7"/>
              <w:spacing w:after="0"/>
              <w:ind w:left="0" w:firstLine="0"/>
              <w:jc w:val="center"/>
              <w:rPr>
                <w:sz w:val="28"/>
                <w:szCs w:val="28"/>
              </w:rPr>
            </w:pPr>
            <w:r>
              <w:rPr>
                <w:sz w:val="28"/>
                <w:szCs w:val="28"/>
              </w:rPr>
              <w:t>596,0</w:t>
            </w:r>
          </w:p>
        </w:tc>
      </w:tr>
      <w:tr w:rsidR="0055491A" w:rsidRPr="001139E4" w:rsidTr="00210BF6">
        <w:trPr>
          <w:trHeight w:val="255"/>
        </w:trPr>
        <w:tc>
          <w:tcPr>
            <w:tcW w:w="5812" w:type="dxa"/>
            <w:gridSpan w:val="5"/>
          </w:tcPr>
          <w:p w:rsidR="0055491A" w:rsidRPr="001139E4" w:rsidRDefault="0055491A" w:rsidP="00210BF6">
            <w:pPr>
              <w:pStyle w:val="a7"/>
              <w:spacing w:after="0"/>
              <w:ind w:left="0" w:firstLine="0"/>
              <w:jc w:val="left"/>
              <w:rPr>
                <w:sz w:val="28"/>
                <w:szCs w:val="28"/>
              </w:rPr>
            </w:pPr>
            <w:r w:rsidRPr="001139E4">
              <w:rPr>
                <w:bCs/>
                <w:sz w:val="28"/>
                <w:szCs w:val="28"/>
              </w:rPr>
              <w:t>С учетом норматива зачислений 50 %</w:t>
            </w:r>
          </w:p>
        </w:tc>
        <w:tc>
          <w:tcPr>
            <w:tcW w:w="1276" w:type="dxa"/>
          </w:tcPr>
          <w:p w:rsidR="0055491A" w:rsidRPr="005E0D02" w:rsidRDefault="0055491A" w:rsidP="00210BF6">
            <w:pPr>
              <w:pStyle w:val="a7"/>
              <w:spacing w:after="0"/>
              <w:ind w:left="0" w:firstLine="0"/>
              <w:jc w:val="center"/>
              <w:rPr>
                <w:b/>
                <w:sz w:val="28"/>
                <w:szCs w:val="28"/>
              </w:rPr>
            </w:pPr>
            <w:r>
              <w:rPr>
                <w:b/>
                <w:sz w:val="28"/>
                <w:szCs w:val="28"/>
              </w:rPr>
              <w:t>298,0</w:t>
            </w:r>
          </w:p>
        </w:tc>
        <w:tc>
          <w:tcPr>
            <w:tcW w:w="1276" w:type="dxa"/>
            <w:gridSpan w:val="2"/>
          </w:tcPr>
          <w:p w:rsidR="0055491A" w:rsidRPr="005E0D02" w:rsidRDefault="0055491A" w:rsidP="00210BF6">
            <w:pPr>
              <w:pStyle w:val="a7"/>
              <w:spacing w:after="0"/>
              <w:ind w:left="0" w:firstLine="0"/>
              <w:jc w:val="center"/>
              <w:rPr>
                <w:b/>
                <w:sz w:val="28"/>
                <w:szCs w:val="28"/>
              </w:rPr>
            </w:pPr>
            <w:r>
              <w:rPr>
                <w:b/>
                <w:sz w:val="28"/>
                <w:szCs w:val="28"/>
              </w:rPr>
              <w:t>289,0</w:t>
            </w:r>
          </w:p>
        </w:tc>
        <w:tc>
          <w:tcPr>
            <w:tcW w:w="1275" w:type="dxa"/>
            <w:gridSpan w:val="2"/>
          </w:tcPr>
          <w:p w:rsidR="0055491A" w:rsidRPr="005E0D02" w:rsidRDefault="0055491A" w:rsidP="00210BF6">
            <w:pPr>
              <w:pStyle w:val="a7"/>
              <w:spacing w:after="0"/>
              <w:ind w:left="0" w:firstLine="0"/>
              <w:jc w:val="center"/>
              <w:rPr>
                <w:b/>
                <w:sz w:val="28"/>
                <w:szCs w:val="28"/>
              </w:rPr>
            </w:pPr>
            <w:r>
              <w:rPr>
                <w:b/>
                <w:sz w:val="28"/>
                <w:szCs w:val="28"/>
              </w:rPr>
              <w:t>298,0</w:t>
            </w:r>
          </w:p>
        </w:tc>
      </w:tr>
    </w:tbl>
    <w:p w:rsidR="0055491A" w:rsidRDefault="0055491A" w:rsidP="0055491A">
      <w:pPr>
        <w:pStyle w:val="a7"/>
        <w:spacing w:after="0"/>
        <w:ind w:left="0" w:firstLine="709"/>
        <w:jc w:val="both"/>
        <w:rPr>
          <w:sz w:val="28"/>
          <w:szCs w:val="28"/>
        </w:rPr>
      </w:pPr>
    </w:p>
    <w:p w:rsidR="0055491A" w:rsidRPr="000D6006" w:rsidRDefault="0055491A" w:rsidP="0055491A">
      <w:pPr>
        <w:pStyle w:val="a7"/>
        <w:spacing w:after="0"/>
        <w:ind w:left="0" w:firstLine="709"/>
        <w:jc w:val="both"/>
        <w:rPr>
          <w:b/>
          <w:sz w:val="28"/>
          <w:szCs w:val="28"/>
        </w:rPr>
      </w:pPr>
      <w:r w:rsidRPr="000D6006">
        <w:rPr>
          <w:b/>
          <w:sz w:val="28"/>
          <w:szCs w:val="28"/>
        </w:rPr>
        <w:t>Прогноз поступления доходов в областной бюджет Тверской области на 2022 год – 298,0 тыс. руб., на 2023 год – 289,0 тыс. руб.,                                                            на 2024 год – 298,0 тыс. руб.</w:t>
      </w:r>
    </w:p>
    <w:p w:rsidR="0055491A" w:rsidRDefault="0055491A" w:rsidP="0055491A">
      <w:pPr>
        <w:pStyle w:val="a7"/>
        <w:spacing w:after="0"/>
        <w:ind w:left="0" w:firstLine="709"/>
        <w:jc w:val="both"/>
        <w:rPr>
          <w:sz w:val="28"/>
          <w:szCs w:val="28"/>
        </w:rPr>
      </w:pPr>
    </w:p>
    <w:p w:rsidR="0055491A" w:rsidRDefault="0055491A" w:rsidP="0055491A">
      <w:pPr>
        <w:pStyle w:val="a7"/>
        <w:spacing w:after="0"/>
        <w:ind w:left="0" w:firstLine="709"/>
        <w:jc w:val="both"/>
        <w:rPr>
          <w:sz w:val="28"/>
          <w:szCs w:val="28"/>
        </w:rPr>
      </w:pPr>
      <w:r>
        <w:rPr>
          <w:sz w:val="28"/>
          <w:szCs w:val="28"/>
        </w:rPr>
        <w:t xml:space="preserve">14.3 </w:t>
      </w:r>
      <w:r w:rsidRPr="000D6006">
        <w:rPr>
          <w:b/>
          <w:color w:val="000000"/>
          <w:sz w:val="28"/>
          <w:szCs w:val="28"/>
        </w:rPr>
        <w:t>КБК 328 1 16 01203 01 0000 140</w:t>
      </w:r>
      <w:r>
        <w:rPr>
          <w:color w:val="000000"/>
          <w:sz w:val="28"/>
          <w:szCs w:val="28"/>
        </w:rPr>
        <w:t xml:space="preserve"> </w:t>
      </w:r>
      <w:r w:rsidRPr="0027530B">
        <w:rPr>
          <w:sz w:val="28"/>
          <w:szCs w:val="28"/>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r>
        <w:rPr>
          <w:sz w:val="28"/>
          <w:szCs w:val="28"/>
        </w:rPr>
        <w:t>.</w:t>
      </w:r>
    </w:p>
    <w:p w:rsidR="0055491A" w:rsidRPr="000D6006" w:rsidRDefault="0055491A" w:rsidP="0055491A">
      <w:pPr>
        <w:pStyle w:val="a7"/>
        <w:spacing w:after="0"/>
        <w:ind w:left="0" w:firstLine="709"/>
        <w:jc w:val="both"/>
        <w:rPr>
          <w:b/>
          <w:color w:val="000000"/>
          <w:sz w:val="28"/>
          <w:szCs w:val="28"/>
        </w:rPr>
      </w:pPr>
      <w:r w:rsidRPr="000D6006">
        <w:rPr>
          <w:b/>
          <w:color w:val="000000"/>
          <w:sz w:val="28"/>
          <w:szCs w:val="28"/>
        </w:rPr>
        <w:t>Главный администратор доходов – Министерство лесного хозяйства Тверской области.</w:t>
      </w:r>
    </w:p>
    <w:p w:rsidR="0055491A" w:rsidRPr="00B14962" w:rsidRDefault="0055491A" w:rsidP="0055491A">
      <w:pPr>
        <w:pStyle w:val="a7"/>
        <w:spacing w:after="0"/>
        <w:ind w:left="0" w:firstLine="709"/>
        <w:jc w:val="both"/>
        <w:rPr>
          <w:b/>
          <w:color w:val="000000"/>
          <w:sz w:val="28"/>
          <w:szCs w:val="28"/>
        </w:rPr>
      </w:pPr>
      <w:r w:rsidRPr="00B14962">
        <w:rPr>
          <w:b/>
          <w:color w:val="000000"/>
          <w:sz w:val="28"/>
          <w:szCs w:val="28"/>
        </w:rPr>
        <w:t>Прогноз на 2022 год – 23,1 тыс. руб., на 2023 год – 29,0 тыс. руб., на 2024 год – 29,0 тыс. руб.</w:t>
      </w:r>
    </w:p>
    <w:p w:rsidR="0055491A" w:rsidRPr="007260FA" w:rsidRDefault="0055491A" w:rsidP="0055491A">
      <w:pPr>
        <w:shd w:val="clear" w:color="auto" w:fill="FFFFFF"/>
        <w:ind w:firstLine="708"/>
        <w:jc w:val="both"/>
        <w:rPr>
          <w:sz w:val="28"/>
          <w:szCs w:val="28"/>
        </w:rPr>
      </w:pPr>
      <w:r w:rsidRPr="007260FA">
        <w:rPr>
          <w:sz w:val="28"/>
          <w:szCs w:val="28"/>
        </w:rPr>
        <w:t xml:space="preserve">Прогнозирование доходов осуществляется </w:t>
      </w:r>
      <w:r>
        <w:rPr>
          <w:sz w:val="28"/>
          <w:szCs w:val="28"/>
        </w:rPr>
        <w:t xml:space="preserve">за административные правонарушения, предусмотренные </w:t>
      </w:r>
      <w:hyperlink r:id="rId120" w:history="1">
        <w:r w:rsidRPr="007260FA">
          <w:rPr>
            <w:sz w:val="28"/>
            <w:szCs w:val="28"/>
          </w:rPr>
          <w:t>частью 1 статьи 32.2</w:t>
        </w:r>
      </w:hyperlink>
      <w:r w:rsidRPr="007260FA">
        <w:rPr>
          <w:sz w:val="28"/>
          <w:szCs w:val="28"/>
        </w:rPr>
        <w:t xml:space="preserve">, </w:t>
      </w:r>
      <w:hyperlink r:id="rId121" w:history="1">
        <w:r w:rsidRPr="007260FA">
          <w:rPr>
            <w:sz w:val="28"/>
            <w:szCs w:val="28"/>
          </w:rPr>
          <w:t>частью 1 статьи 20.25</w:t>
        </w:r>
      </w:hyperlink>
      <w:r w:rsidRPr="007260FA">
        <w:rPr>
          <w:sz w:val="28"/>
          <w:szCs w:val="28"/>
        </w:rPr>
        <w:t xml:space="preserve"> КоАП</w:t>
      </w:r>
      <w:r>
        <w:rPr>
          <w:sz w:val="28"/>
          <w:szCs w:val="28"/>
        </w:rPr>
        <w:t xml:space="preserve"> РФ</w:t>
      </w:r>
      <w:r w:rsidRPr="007260FA">
        <w:rPr>
          <w:sz w:val="28"/>
          <w:szCs w:val="28"/>
        </w:rPr>
        <w:t>.</w:t>
      </w:r>
    </w:p>
    <w:p w:rsidR="0055491A" w:rsidRPr="00130268" w:rsidRDefault="0055491A" w:rsidP="0055491A">
      <w:pPr>
        <w:shd w:val="clear" w:color="auto" w:fill="FFFFFF"/>
        <w:ind w:firstLine="708"/>
        <w:jc w:val="both"/>
        <w:rPr>
          <w:rFonts w:eastAsia="Calibri"/>
          <w:b/>
          <w:sz w:val="28"/>
          <w:szCs w:val="28"/>
          <w:lang w:eastAsia="en-US"/>
        </w:rPr>
      </w:pPr>
      <w:r w:rsidRPr="00130268">
        <w:rPr>
          <w:sz w:val="28"/>
          <w:szCs w:val="28"/>
        </w:rPr>
        <w:t>Прогноз данного вида доходов определяется метод средней</w:t>
      </w:r>
      <w:r>
        <w:rPr>
          <w:sz w:val="28"/>
          <w:szCs w:val="28"/>
        </w:rPr>
        <w:t xml:space="preserve"> </w:t>
      </w:r>
      <w:r w:rsidRPr="00130268">
        <w:rPr>
          <w:sz w:val="28"/>
          <w:szCs w:val="28"/>
        </w:rPr>
        <w:t>по формуле:</w:t>
      </w:r>
    </w:p>
    <w:p w:rsidR="0055491A" w:rsidRPr="00130268" w:rsidRDefault="0055491A" w:rsidP="0055491A">
      <w:pPr>
        <w:widowControl w:val="0"/>
        <w:autoSpaceDE w:val="0"/>
        <w:autoSpaceDN w:val="0"/>
        <w:jc w:val="center"/>
        <w:rPr>
          <w:sz w:val="28"/>
          <w:szCs w:val="28"/>
        </w:rPr>
      </w:pPr>
      <w:r w:rsidRPr="00130268">
        <w:rPr>
          <w:noProof/>
          <w:position w:val="-41"/>
          <w:sz w:val="28"/>
          <w:szCs w:val="28"/>
        </w:rPr>
        <w:drawing>
          <wp:inline distT="0" distB="0" distL="0" distR="0" wp14:anchorId="52DCDC72" wp14:editId="7E01D10F">
            <wp:extent cx="1052830" cy="669925"/>
            <wp:effectExtent l="0" t="0" r="0" b="0"/>
            <wp:docPr id="24379" name="Рисунок 24379" descr="base_50_590968_329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9" descr="base_50_590968_32901"/>
                    <pic:cNvPicPr preferRelativeResize="0">
                      <a:picLocks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052830" cy="669925"/>
                    </a:xfrm>
                    <a:prstGeom prst="rect">
                      <a:avLst/>
                    </a:prstGeom>
                    <a:noFill/>
                    <a:ln>
                      <a:noFill/>
                    </a:ln>
                  </pic:spPr>
                </pic:pic>
              </a:graphicData>
            </a:graphic>
          </wp:inline>
        </w:drawing>
      </w:r>
    </w:p>
    <w:p w:rsidR="0055491A" w:rsidRPr="00130268" w:rsidRDefault="0055491A" w:rsidP="0055491A">
      <w:pPr>
        <w:widowControl w:val="0"/>
        <w:autoSpaceDE w:val="0"/>
        <w:autoSpaceDN w:val="0"/>
        <w:ind w:firstLine="540"/>
        <w:jc w:val="both"/>
        <w:rPr>
          <w:sz w:val="28"/>
          <w:szCs w:val="28"/>
        </w:rPr>
      </w:pPr>
      <w:r w:rsidRPr="00130268">
        <w:rPr>
          <w:sz w:val="28"/>
          <w:szCs w:val="28"/>
        </w:rPr>
        <w:t>где:</w:t>
      </w:r>
    </w:p>
    <w:p w:rsidR="0055491A" w:rsidRPr="00130268" w:rsidRDefault="0055491A" w:rsidP="0055491A">
      <w:pPr>
        <w:widowControl w:val="0"/>
        <w:autoSpaceDE w:val="0"/>
        <w:autoSpaceDN w:val="0"/>
        <w:ind w:firstLine="540"/>
        <w:jc w:val="both"/>
        <w:rPr>
          <w:sz w:val="28"/>
          <w:szCs w:val="28"/>
        </w:rPr>
      </w:pPr>
      <w:r w:rsidRPr="00130268">
        <w:rPr>
          <w:noProof/>
          <w:position w:val="-26"/>
          <w:sz w:val="28"/>
          <w:szCs w:val="28"/>
        </w:rPr>
        <w:drawing>
          <wp:inline distT="0" distB="0" distL="0" distR="0" wp14:anchorId="26BE2FE0" wp14:editId="693F6EED">
            <wp:extent cx="382905" cy="467995"/>
            <wp:effectExtent l="0" t="0" r="0" b="8255"/>
            <wp:docPr id="24378" name="Рисунок 24378" descr="base_50_590968_329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0" descr="base_50_590968_32902"/>
                    <pic:cNvPicPr preferRelativeResize="0">
                      <a:picLocks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382905" cy="467995"/>
                    </a:xfrm>
                    <a:prstGeom prst="rect">
                      <a:avLst/>
                    </a:prstGeom>
                    <a:noFill/>
                    <a:ln>
                      <a:noFill/>
                    </a:ln>
                  </pic:spPr>
                </pic:pic>
              </a:graphicData>
            </a:graphic>
          </wp:inline>
        </w:drawing>
      </w:r>
      <w:r w:rsidRPr="00130268">
        <w:rPr>
          <w:sz w:val="28"/>
          <w:szCs w:val="28"/>
        </w:rPr>
        <w:t xml:space="preserve"> - сумма поступлений по виду доходов за три года, предшествующих прогнозируемому году (при формировании прогноза на очередной финансовый год используются фактические данные за два отчетных года и </w:t>
      </w:r>
      <w:r>
        <w:rPr>
          <w:sz w:val="28"/>
          <w:szCs w:val="28"/>
        </w:rPr>
        <w:t>ожидаемая оценка</w:t>
      </w:r>
      <w:r w:rsidRPr="00130268">
        <w:rPr>
          <w:sz w:val="28"/>
          <w:szCs w:val="28"/>
        </w:rPr>
        <w:t xml:space="preserve"> на текущий финансовый год, при формировании прогноза на первый год планового периода используются фактические данные за один отчетный год и </w:t>
      </w:r>
      <w:r>
        <w:rPr>
          <w:sz w:val="28"/>
          <w:szCs w:val="28"/>
        </w:rPr>
        <w:t>ожидаемая оценка</w:t>
      </w:r>
      <w:r w:rsidRPr="00130268">
        <w:rPr>
          <w:sz w:val="28"/>
          <w:szCs w:val="28"/>
        </w:rPr>
        <w:t xml:space="preserve"> текущего финансового года и </w:t>
      </w:r>
      <w:r>
        <w:rPr>
          <w:sz w:val="28"/>
          <w:szCs w:val="28"/>
        </w:rPr>
        <w:t xml:space="preserve">прогноз </w:t>
      </w:r>
      <w:r w:rsidRPr="00130268">
        <w:rPr>
          <w:sz w:val="28"/>
          <w:szCs w:val="28"/>
        </w:rPr>
        <w:t>очередного финансового года; прогноз на второй год планового периода принимается на уровне прогноза первого года планового периода) (тыс. руб.);</w:t>
      </w:r>
    </w:p>
    <w:p w:rsidR="0055491A" w:rsidRDefault="0055491A" w:rsidP="0055491A">
      <w:pPr>
        <w:widowControl w:val="0"/>
        <w:autoSpaceDE w:val="0"/>
        <w:autoSpaceDN w:val="0"/>
        <w:ind w:firstLine="540"/>
        <w:jc w:val="both"/>
        <w:rPr>
          <w:sz w:val="28"/>
          <w:szCs w:val="28"/>
        </w:rPr>
      </w:pPr>
      <w:r w:rsidRPr="00130268">
        <w:rPr>
          <w:sz w:val="28"/>
          <w:szCs w:val="28"/>
        </w:rPr>
        <w:t xml:space="preserve">R - корректирующая сумма поступлений, учитывающая отдельные решения Президента Российской Федерации, Правительства Российской </w:t>
      </w:r>
      <w:r w:rsidRPr="00130268">
        <w:rPr>
          <w:sz w:val="28"/>
          <w:szCs w:val="28"/>
        </w:rPr>
        <w:lastRenderedPageBreak/>
        <w:t>Федерации, а также проекты нормативных правовых актов Президента Российской Федерации, Правительства Российской Федерации и другие факторы, влияющие на объем прогнозируемых доходов (тыс. руб.).</w:t>
      </w:r>
    </w:p>
    <w:p w:rsidR="0055491A" w:rsidRDefault="0055491A" w:rsidP="0055491A">
      <w:pPr>
        <w:autoSpaceDE w:val="0"/>
        <w:autoSpaceDN w:val="0"/>
        <w:adjustRightInd w:val="0"/>
        <w:ind w:firstLine="540"/>
        <w:jc w:val="both"/>
        <w:rPr>
          <w:rFonts w:eastAsia="Calibri"/>
          <w:sz w:val="28"/>
          <w:szCs w:val="28"/>
          <w:lang w:eastAsia="en-US"/>
        </w:rPr>
      </w:pPr>
      <w:r w:rsidRPr="0031548D">
        <w:rPr>
          <w:color w:val="000000"/>
          <w:sz w:val="28"/>
          <w:szCs w:val="28"/>
          <w:lang w:bidi="ru-RU"/>
        </w:rPr>
        <w:t xml:space="preserve">Согласно </w:t>
      </w:r>
      <w:r>
        <w:rPr>
          <w:color w:val="000000"/>
          <w:sz w:val="28"/>
          <w:szCs w:val="28"/>
          <w:lang w:bidi="ru-RU"/>
        </w:rPr>
        <w:t>пункту 4</w:t>
      </w:r>
      <w:r w:rsidRPr="0031548D">
        <w:rPr>
          <w:color w:val="000000"/>
          <w:sz w:val="28"/>
          <w:szCs w:val="28"/>
          <w:lang w:bidi="ru-RU"/>
        </w:rPr>
        <w:t xml:space="preserve"> статьи </w:t>
      </w:r>
      <w:r>
        <w:rPr>
          <w:color w:val="000000"/>
          <w:sz w:val="28"/>
          <w:szCs w:val="28"/>
          <w:lang w:bidi="ru-RU"/>
        </w:rPr>
        <w:t>46</w:t>
      </w:r>
      <w:r w:rsidRPr="0031548D">
        <w:rPr>
          <w:color w:val="000000"/>
          <w:sz w:val="28"/>
          <w:szCs w:val="28"/>
          <w:lang w:bidi="ru-RU"/>
        </w:rPr>
        <w:t xml:space="preserve"> Бюджетного кодекса Российской Федерации </w:t>
      </w:r>
      <w:r>
        <w:rPr>
          <w:color w:val="000000"/>
          <w:sz w:val="28"/>
          <w:szCs w:val="28"/>
          <w:lang w:bidi="ru-RU"/>
        </w:rPr>
        <w:t>с</w:t>
      </w:r>
      <w:r w:rsidRPr="00B165D8">
        <w:rPr>
          <w:rFonts w:eastAsia="Calibri"/>
          <w:sz w:val="28"/>
          <w:szCs w:val="28"/>
          <w:lang w:eastAsia="en-US"/>
        </w:rPr>
        <w:t>уммы штрафов, подлежат зачислению в бюджет субъекта Российской Федерации по нормативу 50 процентов, в бюджет муниципального района, городского округа, городского округа с внутригородским делением (по месту нахождения органа или должностного лица, принявших решение о наложении административного штрафа) по нормативу 50 процентов.</w:t>
      </w:r>
    </w:p>
    <w:p w:rsidR="0055491A" w:rsidRPr="00EB352A" w:rsidRDefault="0055491A" w:rsidP="0055491A">
      <w:pPr>
        <w:tabs>
          <w:tab w:val="left" w:pos="3195"/>
        </w:tabs>
        <w:autoSpaceDE w:val="0"/>
        <w:autoSpaceDN w:val="0"/>
        <w:adjustRightInd w:val="0"/>
        <w:ind w:firstLine="709"/>
        <w:jc w:val="both"/>
        <w:rPr>
          <w:sz w:val="28"/>
          <w:szCs w:val="28"/>
        </w:rPr>
      </w:pPr>
      <w:r w:rsidRPr="00EB352A">
        <w:rPr>
          <w:rFonts w:eastAsia="Calibri"/>
          <w:sz w:val="28"/>
          <w:szCs w:val="28"/>
          <w:lang w:eastAsia="en-US"/>
        </w:rPr>
        <w:t xml:space="preserve">Согласно данным о фактическом поступлении доходов платежей за </w:t>
      </w:r>
      <w:r w:rsidRPr="00EB352A">
        <w:rPr>
          <w:sz w:val="28"/>
          <w:szCs w:val="28"/>
        </w:rPr>
        <w:t>административные правонарушения, предусмотренные</w:t>
      </w:r>
      <w:r w:rsidRPr="00EB352A">
        <w:rPr>
          <w:b/>
          <w:sz w:val="28"/>
          <w:szCs w:val="28"/>
        </w:rPr>
        <w:t xml:space="preserve"> частью 1 </w:t>
      </w:r>
      <w:hyperlink r:id="rId122" w:history="1">
        <w:r w:rsidRPr="00EB352A">
          <w:rPr>
            <w:b/>
            <w:sz w:val="28"/>
            <w:szCs w:val="28"/>
          </w:rPr>
          <w:t xml:space="preserve">статьи 20.25 </w:t>
        </w:r>
      </w:hyperlink>
      <w:r w:rsidRPr="00EB352A">
        <w:rPr>
          <w:sz w:val="28"/>
          <w:szCs w:val="28"/>
        </w:rPr>
        <w:t xml:space="preserve">КоАП РФ, </w:t>
      </w:r>
      <w:r w:rsidRPr="00EB352A">
        <w:rPr>
          <w:rFonts w:eastAsia="Calibri"/>
          <w:sz w:val="28"/>
          <w:szCs w:val="28"/>
          <w:lang w:eastAsia="en-US"/>
        </w:rPr>
        <w:t xml:space="preserve">сумма поступлений </w:t>
      </w:r>
      <w:r w:rsidRPr="00EB352A">
        <w:rPr>
          <w:sz w:val="28"/>
          <w:szCs w:val="28"/>
        </w:rPr>
        <w:t xml:space="preserve">составила: </w:t>
      </w:r>
      <w:r w:rsidRPr="00EB352A">
        <w:rPr>
          <w:rFonts w:eastAsia="Calibri"/>
          <w:sz w:val="28"/>
          <w:szCs w:val="28"/>
          <w:lang w:eastAsia="en-US"/>
        </w:rPr>
        <w:t xml:space="preserve">в 2018 г. – </w:t>
      </w:r>
      <w:r w:rsidRPr="00EB352A">
        <w:rPr>
          <w:sz w:val="28"/>
          <w:szCs w:val="28"/>
        </w:rPr>
        <w:t>13,0 тыс. руб.,</w:t>
      </w:r>
      <w:r w:rsidRPr="00EB352A">
        <w:rPr>
          <w:rFonts w:eastAsia="Calibri"/>
          <w:sz w:val="28"/>
          <w:szCs w:val="28"/>
          <w:lang w:eastAsia="en-US"/>
        </w:rPr>
        <w:t xml:space="preserve"> в 2019 г. – </w:t>
      </w:r>
      <w:r w:rsidRPr="00EB352A">
        <w:rPr>
          <w:sz w:val="28"/>
          <w:szCs w:val="28"/>
        </w:rPr>
        <w:t>10,7  тыс. руб.</w:t>
      </w:r>
      <w:r>
        <w:rPr>
          <w:sz w:val="28"/>
          <w:szCs w:val="28"/>
        </w:rPr>
        <w:t>, в 2020 г. – 90,0 тыс. руб.</w:t>
      </w:r>
    </w:p>
    <w:p w:rsidR="0055491A" w:rsidRPr="00EB352A" w:rsidRDefault="0055491A" w:rsidP="0055491A">
      <w:pPr>
        <w:tabs>
          <w:tab w:val="left" w:pos="3195"/>
        </w:tabs>
        <w:autoSpaceDE w:val="0"/>
        <w:autoSpaceDN w:val="0"/>
        <w:adjustRightInd w:val="0"/>
        <w:ind w:firstLine="709"/>
        <w:jc w:val="both"/>
        <w:rPr>
          <w:rFonts w:eastAsia="Calibri"/>
          <w:sz w:val="28"/>
          <w:szCs w:val="28"/>
          <w:lang w:eastAsia="en-US"/>
        </w:rPr>
      </w:pPr>
      <w:r w:rsidRPr="00EB352A">
        <w:rPr>
          <w:rFonts w:eastAsia="Calibri"/>
          <w:sz w:val="28"/>
          <w:szCs w:val="28"/>
          <w:lang w:eastAsia="en-US"/>
        </w:rPr>
        <w:t xml:space="preserve">Таким образом, </w:t>
      </w:r>
      <w:r>
        <w:rPr>
          <w:rFonts w:eastAsia="Calibri"/>
          <w:sz w:val="28"/>
          <w:szCs w:val="28"/>
          <w:lang w:eastAsia="en-US"/>
        </w:rPr>
        <w:t>П</w:t>
      </w:r>
      <w:r w:rsidRPr="00E22B5B">
        <w:rPr>
          <w:rFonts w:eastAsia="Calibri"/>
          <w:sz w:val="28"/>
          <w:szCs w:val="28"/>
          <w:vertAlign w:val="subscript"/>
          <w:lang w:eastAsia="en-US"/>
        </w:rPr>
        <w:t>20.25</w:t>
      </w:r>
      <w:r w:rsidRPr="00EB352A">
        <w:rPr>
          <w:rFonts w:eastAsia="Calibri"/>
          <w:sz w:val="28"/>
          <w:szCs w:val="28"/>
          <w:vertAlign w:val="subscript"/>
          <w:lang w:eastAsia="en-US"/>
        </w:rPr>
        <w:t xml:space="preserve"> </w:t>
      </w:r>
      <w:r w:rsidRPr="00EB352A">
        <w:rPr>
          <w:rFonts w:eastAsia="Calibri"/>
          <w:sz w:val="28"/>
          <w:szCs w:val="28"/>
          <w:lang w:eastAsia="en-US"/>
        </w:rPr>
        <w:t>= (13,0+10,7</w:t>
      </w:r>
      <w:r>
        <w:rPr>
          <w:rFonts w:eastAsia="Calibri"/>
          <w:sz w:val="28"/>
          <w:szCs w:val="28"/>
          <w:lang w:eastAsia="en-US"/>
        </w:rPr>
        <w:t>+90,0</w:t>
      </w:r>
      <w:r w:rsidRPr="00EB352A">
        <w:rPr>
          <w:rFonts w:eastAsia="Calibri"/>
          <w:sz w:val="28"/>
          <w:szCs w:val="28"/>
          <w:lang w:eastAsia="en-US"/>
        </w:rPr>
        <w:t xml:space="preserve">) / 3 = </w:t>
      </w:r>
      <w:r>
        <w:rPr>
          <w:rFonts w:eastAsia="Calibri"/>
          <w:sz w:val="28"/>
          <w:szCs w:val="28"/>
          <w:lang w:eastAsia="en-US"/>
        </w:rPr>
        <w:t>3</w:t>
      </w:r>
      <w:r w:rsidRPr="00EB352A">
        <w:rPr>
          <w:rFonts w:eastAsia="Calibri"/>
          <w:sz w:val="28"/>
          <w:szCs w:val="28"/>
          <w:lang w:eastAsia="en-US"/>
        </w:rPr>
        <w:t>7,9 тыс. руб.</w:t>
      </w:r>
    </w:p>
    <w:p w:rsidR="0055491A" w:rsidRPr="00B14962" w:rsidRDefault="0055491A" w:rsidP="0055491A">
      <w:pPr>
        <w:tabs>
          <w:tab w:val="left" w:pos="3195"/>
        </w:tabs>
        <w:autoSpaceDE w:val="0"/>
        <w:autoSpaceDN w:val="0"/>
        <w:adjustRightInd w:val="0"/>
        <w:ind w:firstLine="709"/>
        <w:jc w:val="both"/>
        <w:rPr>
          <w:rFonts w:eastAsia="Calibri"/>
          <w:sz w:val="28"/>
          <w:szCs w:val="28"/>
          <w:highlight w:val="green"/>
          <w:lang w:eastAsia="en-US"/>
        </w:rPr>
      </w:pPr>
      <w:r w:rsidRPr="00B14962">
        <w:rPr>
          <w:rFonts w:eastAsia="Calibri"/>
          <w:sz w:val="28"/>
          <w:szCs w:val="28"/>
          <w:lang w:eastAsia="en-US"/>
        </w:rPr>
        <w:t xml:space="preserve">Ожидаемая оценка на 2021 год </w:t>
      </w:r>
      <w:r w:rsidRPr="00B14962">
        <w:rPr>
          <w:sz w:val="28"/>
          <w:szCs w:val="28"/>
        </w:rPr>
        <w:t>составит</w:t>
      </w:r>
      <w:r w:rsidRPr="00B14962">
        <w:rPr>
          <w:rFonts w:eastAsia="Calibri"/>
          <w:sz w:val="28"/>
          <w:szCs w:val="28"/>
          <w:lang w:eastAsia="en-US"/>
        </w:rPr>
        <w:t xml:space="preserve">  Д</w:t>
      </w:r>
      <w:r w:rsidRPr="00B14962">
        <w:rPr>
          <w:rFonts w:eastAsia="Calibri"/>
          <w:sz w:val="28"/>
          <w:szCs w:val="28"/>
          <w:vertAlign w:val="subscript"/>
          <w:lang w:eastAsia="en-US"/>
        </w:rPr>
        <w:t>20.25</w:t>
      </w:r>
      <w:r w:rsidRPr="00B14962">
        <w:rPr>
          <w:rFonts w:eastAsia="Calibri"/>
          <w:sz w:val="28"/>
          <w:szCs w:val="28"/>
          <w:lang w:eastAsia="en-US"/>
        </w:rPr>
        <w:t xml:space="preserve"> = 37,9 тыс. руб.</w:t>
      </w:r>
    </w:p>
    <w:p w:rsidR="0055491A" w:rsidRPr="00B14962" w:rsidRDefault="0055491A" w:rsidP="0055491A">
      <w:pPr>
        <w:tabs>
          <w:tab w:val="left" w:pos="3195"/>
        </w:tabs>
        <w:autoSpaceDE w:val="0"/>
        <w:autoSpaceDN w:val="0"/>
        <w:adjustRightInd w:val="0"/>
        <w:ind w:firstLine="709"/>
        <w:jc w:val="both"/>
        <w:rPr>
          <w:rFonts w:eastAsia="Calibri"/>
          <w:sz w:val="28"/>
          <w:szCs w:val="28"/>
          <w:lang w:eastAsia="en-US"/>
        </w:rPr>
      </w:pPr>
      <w:r w:rsidRPr="00B14962">
        <w:rPr>
          <w:rFonts w:eastAsia="Calibri"/>
          <w:sz w:val="28"/>
          <w:szCs w:val="28"/>
          <w:lang w:eastAsia="en-US"/>
        </w:rPr>
        <w:t>Определение прогноза на 2022 год:</w:t>
      </w:r>
    </w:p>
    <w:p w:rsidR="0055491A" w:rsidRPr="00EB352A" w:rsidRDefault="0055491A" w:rsidP="0055491A">
      <w:pPr>
        <w:tabs>
          <w:tab w:val="left" w:pos="3195"/>
        </w:tabs>
        <w:autoSpaceDE w:val="0"/>
        <w:autoSpaceDN w:val="0"/>
        <w:adjustRightInd w:val="0"/>
        <w:ind w:firstLine="709"/>
        <w:jc w:val="both"/>
        <w:rPr>
          <w:sz w:val="28"/>
          <w:szCs w:val="28"/>
        </w:rPr>
      </w:pPr>
      <w:r w:rsidRPr="00EB352A">
        <w:rPr>
          <w:rFonts w:eastAsia="Calibri"/>
          <w:sz w:val="28"/>
          <w:szCs w:val="28"/>
          <w:lang w:eastAsia="en-US"/>
        </w:rPr>
        <w:t xml:space="preserve">Согласно данным о фактическом поступлении доходов платежей за </w:t>
      </w:r>
      <w:r w:rsidRPr="00EB352A">
        <w:rPr>
          <w:sz w:val="28"/>
          <w:szCs w:val="28"/>
        </w:rPr>
        <w:t>административные правонарушения, предусмотренные</w:t>
      </w:r>
      <w:r w:rsidRPr="00EB352A">
        <w:rPr>
          <w:b/>
          <w:sz w:val="28"/>
          <w:szCs w:val="28"/>
        </w:rPr>
        <w:t xml:space="preserve"> частью 1 </w:t>
      </w:r>
      <w:hyperlink r:id="rId123" w:history="1">
        <w:r w:rsidRPr="00EB352A">
          <w:rPr>
            <w:b/>
            <w:sz w:val="28"/>
            <w:szCs w:val="28"/>
          </w:rPr>
          <w:t xml:space="preserve">статьи 20.25 </w:t>
        </w:r>
      </w:hyperlink>
      <w:hyperlink r:id="rId124" w:history="1"/>
      <w:r w:rsidRPr="00EB352A">
        <w:rPr>
          <w:sz w:val="28"/>
          <w:szCs w:val="28"/>
        </w:rPr>
        <w:t xml:space="preserve">КоАП РФ, </w:t>
      </w:r>
      <w:r w:rsidRPr="00EB352A">
        <w:rPr>
          <w:rFonts w:eastAsia="Calibri"/>
          <w:sz w:val="28"/>
          <w:szCs w:val="28"/>
          <w:lang w:eastAsia="en-US"/>
        </w:rPr>
        <w:t xml:space="preserve">сумма поступлений </w:t>
      </w:r>
      <w:r w:rsidRPr="00EB352A">
        <w:rPr>
          <w:sz w:val="28"/>
          <w:szCs w:val="28"/>
        </w:rPr>
        <w:t xml:space="preserve">составила: </w:t>
      </w:r>
      <w:r w:rsidRPr="00EB352A">
        <w:rPr>
          <w:rFonts w:eastAsia="Calibri"/>
          <w:sz w:val="28"/>
          <w:szCs w:val="28"/>
          <w:lang w:eastAsia="en-US"/>
        </w:rPr>
        <w:t xml:space="preserve">в 2018 г. – </w:t>
      </w:r>
      <w:r w:rsidRPr="00EB352A">
        <w:rPr>
          <w:sz w:val="28"/>
          <w:szCs w:val="28"/>
        </w:rPr>
        <w:t xml:space="preserve">13,0 тыс. руб., </w:t>
      </w:r>
      <w:r w:rsidRPr="00EB352A">
        <w:rPr>
          <w:rFonts w:eastAsia="Calibri"/>
          <w:sz w:val="28"/>
          <w:szCs w:val="28"/>
          <w:lang w:eastAsia="en-US"/>
        </w:rPr>
        <w:t xml:space="preserve">в 2019 г. – </w:t>
      </w:r>
      <w:r w:rsidRPr="00EB352A">
        <w:rPr>
          <w:sz w:val="28"/>
          <w:szCs w:val="28"/>
        </w:rPr>
        <w:t>10,7 тыс. руб.,</w:t>
      </w:r>
      <w:r w:rsidRPr="00EB352A">
        <w:rPr>
          <w:rFonts w:eastAsia="Calibri"/>
          <w:sz w:val="28"/>
          <w:szCs w:val="28"/>
          <w:lang w:eastAsia="en-US"/>
        </w:rPr>
        <w:t xml:space="preserve"> в 2020 г. – 87,2</w:t>
      </w:r>
      <w:r w:rsidRPr="00EB352A">
        <w:rPr>
          <w:sz w:val="28"/>
          <w:szCs w:val="28"/>
        </w:rPr>
        <w:t xml:space="preserve"> тыс. руб.</w:t>
      </w:r>
    </w:p>
    <w:p w:rsidR="0055491A" w:rsidRPr="00EB352A" w:rsidRDefault="0055491A" w:rsidP="0055491A">
      <w:pPr>
        <w:tabs>
          <w:tab w:val="left" w:pos="3195"/>
        </w:tabs>
        <w:autoSpaceDE w:val="0"/>
        <w:autoSpaceDN w:val="0"/>
        <w:adjustRightInd w:val="0"/>
        <w:ind w:firstLine="709"/>
        <w:jc w:val="both"/>
        <w:rPr>
          <w:rFonts w:eastAsia="Calibri"/>
          <w:sz w:val="28"/>
          <w:szCs w:val="28"/>
          <w:lang w:eastAsia="en-US"/>
        </w:rPr>
      </w:pPr>
      <w:r w:rsidRPr="00EB352A">
        <w:rPr>
          <w:rFonts w:eastAsia="Calibri"/>
          <w:sz w:val="28"/>
          <w:szCs w:val="28"/>
          <w:lang w:eastAsia="en-US"/>
        </w:rPr>
        <w:t>Таким образом, Д</w:t>
      </w:r>
      <w:r w:rsidRPr="00320CE4">
        <w:rPr>
          <w:rFonts w:eastAsia="Calibri"/>
          <w:sz w:val="28"/>
          <w:szCs w:val="28"/>
          <w:vertAlign w:val="subscript"/>
          <w:lang w:eastAsia="en-US"/>
        </w:rPr>
        <w:t>20,25</w:t>
      </w:r>
      <w:r w:rsidRPr="00EB352A">
        <w:rPr>
          <w:rFonts w:eastAsia="Calibri"/>
          <w:sz w:val="28"/>
          <w:szCs w:val="28"/>
          <w:vertAlign w:val="subscript"/>
          <w:lang w:eastAsia="en-US"/>
        </w:rPr>
        <w:t xml:space="preserve"> </w:t>
      </w:r>
      <w:r w:rsidRPr="00EB352A">
        <w:rPr>
          <w:rFonts w:eastAsia="Calibri"/>
          <w:sz w:val="28"/>
          <w:szCs w:val="28"/>
          <w:lang w:eastAsia="en-US"/>
        </w:rPr>
        <w:t>= (10,7+</w:t>
      </w:r>
      <w:r>
        <w:rPr>
          <w:rFonts w:eastAsia="Calibri"/>
          <w:sz w:val="28"/>
          <w:szCs w:val="28"/>
          <w:lang w:eastAsia="en-US"/>
        </w:rPr>
        <w:t>90,0+37,9</w:t>
      </w:r>
      <w:r w:rsidRPr="00EB352A">
        <w:rPr>
          <w:rFonts w:eastAsia="Calibri"/>
          <w:sz w:val="28"/>
          <w:szCs w:val="28"/>
          <w:lang w:eastAsia="en-US"/>
        </w:rPr>
        <w:t xml:space="preserve">) / 3 = </w:t>
      </w:r>
      <w:r>
        <w:rPr>
          <w:rFonts w:eastAsia="Calibri"/>
          <w:sz w:val="28"/>
          <w:szCs w:val="28"/>
          <w:lang w:eastAsia="en-US"/>
        </w:rPr>
        <w:t>46,2</w:t>
      </w:r>
      <w:r w:rsidRPr="00EB352A">
        <w:rPr>
          <w:rFonts w:eastAsia="Calibri"/>
          <w:sz w:val="28"/>
          <w:szCs w:val="28"/>
          <w:lang w:eastAsia="en-US"/>
        </w:rPr>
        <w:t xml:space="preserve"> тыс. руб.</w:t>
      </w:r>
    </w:p>
    <w:p w:rsidR="0055491A" w:rsidRPr="00EB352A" w:rsidRDefault="0055491A" w:rsidP="0055491A">
      <w:pPr>
        <w:tabs>
          <w:tab w:val="left" w:pos="3195"/>
        </w:tabs>
        <w:autoSpaceDE w:val="0"/>
        <w:autoSpaceDN w:val="0"/>
        <w:adjustRightInd w:val="0"/>
        <w:ind w:firstLine="709"/>
        <w:jc w:val="both"/>
        <w:rPr>
          <w:sz w:val="28"/>
          <w:szCs w:val="28"/>
        </w:rPr>
      </w:pPr>
      <w:r w:rsidRPr="00EB352A">
        <w:rPr>
          <w:rFonts w:eastAsia="Calibri"/>
          <w:sz w:val="28"/>
          <w:szCs w:val="28"/>
          <w:lang w:eastAsia="en-US"/>
        </w:rPr>
        <w:t xml:space="preserve">Прогноз </w:t>
      </w:r>
      <w:r w:rsidRPr="00B14962">
        <w:rPr>
          <w:rFonts w:eastAsia="Calibri"/>
          <w:sz w:val="28"/>
          <w:szCs w:val="28"/>
          <w:lang w:eastAsia="en-US"/>
        </w:rPr>
        <w:t>на 2023 - 2024 гг.</w:t>
      </w:r>
      <w:r w:rsidRPr="00EB352A">
        <w:rPr>
          <w:rFonts w:eastAsia="Calibri"/>
          <w:b/>
          <w:sz w:val="28"/>
          <w:szCs w:val="28"/>
          <w:lang w:eastAsia="en-US"/>
        </w:rPr>
        <w:t xml:space="preserve"> </w:t>
      </w:r>
      <w:r w:rsidRPr="00EB352A">
        <w:rPr>
          <w:sz w:val="28"/>
          <w:szCs w:val="28"/>
        </w:rPr>
        <w:t xml:space="preserve">составляет </w:t>
      </w:r>
    </w:p>
    <w:p w:rsidR="0055491A" w:rsidRPr="00EB352A" w:rsidRDefault="0055491A" w:rsidP="0055491A">
      <w:pPr>
        <w:tabs>
          <w:tab w:val="left" w:pos="3195"/>
        </w:tabs>
        <w:autoSpaceDE w:val="0"/>
        <w:autoSpaceDN w:val="0"/>
        <w:adjustRightInd w:val="0"/>
        <w:ind w:firstLine="709"/>
        <w:jc w:val="both"/>
        <w:rPr>
          <w:rFonts w:eastAsia="Calibri"/>
          <w:sz w:val="28"/>
          <w:szCs w:val="28"/>
          <w:lang w:eastAsia="en-US"/>
        </w:rPr>
      </w:pPr>
      <w:r w:rsidRPr="00EB352A">
        <w:rPr>
          <w:rFonts w:eastAsia="Calibri"/>
          <w:sz w:val="28"/>
          <w:szCs w:val="28"/>
          <w:lang w:eastAsia="en-US"/>
        </w:rPr>
        <w:t>Д</w:t>
      </w:r>
      <w:r>
        <w:rPr>
          <w:rFonts w:eastAsia="Calibri"/>
          <w:sz w:val="28"/>
          <w:szCs w:val="28"/>
          <w:lang w:eastAsia="en-US"/>
        </w:rPr>
        <w:t xml:space="preserve"> </w:t>
      </w:r>
      <w:r w:rsidRPr="00440AB3">
        <w:rPr>
          <w:rFonts w:eastAsia="Calibri"/>
          <w:sz w:val="28"/>
          <w:szCs w:val="28"/>
          <w:vertAlign w:val="subscript"/>
          <w:lang w:eastAsia="en-US"/>
        </w:rPr>
        <w:t>20.25</w:t>
      </w:r>
      <w:r w:rsidRPr="00EB352A">
        <w:rPr>
          <w:rFonts w:eastAsia="Calibri"/>
          <w:sz w:val="28"/>
          <w:szCs w:val="28"/>
          <w:vertAlign w:val="subscript"/>
          <w:lang w:eastAsia="en-US"/>
        </w:rPr>
        <w:t xml:space="preserve"> </w:t>
      </w:r>
      <w:r w:rsidRPr="00EB352A">
        <w:rPr>
          <w:rFonts w:eastAsia="Calibri"/>
          <w:sz w:val="28"/>
          <w:szCs w:val="28"/>
          <w:lang w:eastAsia="en-US"/>
        </w:rPr>
        <w:t>= (</w:t>
      </w:r>
      <w:r>
        <w:rPr>
          <w:rFonts w:eastAsia="Calibri"/>
          <w:sz w:val="28"/>
          <w:szCs w:val="28"/>
          <w:lang w:eastAsia="en-US"/>
        </w:rPr>
        <w:t>90</w:t>
      </w:r>
      <w:r w:rsidRPr="00EB352A">
        <w:rPr>
          <w:rFonts w:eastAsia="Calibri"/>
          <w:sz w:val="28"/>
          <w:szCs w:val="28"/>
          <w:lang w:eastAsia="en-US"/>
        </w:rPr>
        <w:t>,</w:t>
      </w:r>
      <w:r>
        <w:rPr>
          <w:rFonts w:eastAsia="Calibri"/>
          <w:sz w:val="28"/>
          <w:szCs w:val="28"/>
          <w:lang w:eastAsia="en-US"/>
        </w:rPr>
        <w:t>0</w:t>
      </w:r>
      <w:r w:rsidRPr="00EB352A">
        <w:rPr>
          <w:rFonts w:eastAsia="Calibri"/>
          <w:sz w:val="28"/>
          <w:szCs w:val="28"/>
          <w:lang w:eastAsia="en-US"/>
        </w:rPr>
        <w:t>+</w:t>
      </w:r>
      <w:r>
        <w:rPr>
          <w:rFonts w:eastAsia="Calibri"/>
          <w:sz w:val="28"/>
          <w:szCs w:val="28"/>
          <w:lang w:eastAsia="en-US"/>
        </w:rPr>
        <w:t>37</w:t>
      </w:r>
      <w:r w:rsidRPr="00EB352A">
        <w:rPr>
          <w:rFonts w:eastAsia="Calibri"/>
          <w:sz w:val="28"/>
          <w:szCs w:val="28"/>
          <w:lang w:eastAsia="en-US"/>
        </w:rPr>
        <w:t>,</w:t>
      </w:r>
      <w:r>
        <w:rPr>
          <w:rFonts w:eastAsia="Calibri"/>
          <w:sz w:val="28"/>
          <w:szCs w:val="28"/>
          <w:lang w:eastAsia="en-US"/>
        </w:rPr>
        <w:t>9</w:t>
      </w:r>
      <w:r w:rsidRPr="00EB352A">
        <w:rPr>
          <w:rFonts w:eastAsia="Calibri"/>
          <w:sz w:val="28"/>
          <w:szCs w:val="28"/>
          <w:lang w:eastAsia="en-US"/>
        </w:rPr>
        <w:t>+</w:t>
      </w:r>
      <w:r>
        <w:rPr>
          <w:rFonts w:eastAsia="Calibri"/>
          <w:sz w:val="28"/>
          <w:szCs w:val="28"/>
          <w:lang w:eastAsia="en-US"/>
        </w:rPr>
        <w:t>46</w:t>
      </w:r>
      <w:r w:rsidRPr="00EB352A">
        <w:rPr>
          <w:rFonts w:eastAsia="Calibri"/>
          <w:sz w:val="28"/>
          <w:szCs w:val="28"/>
          <w:lang w:eastAsia="en-US"/>
        </w:rPr>
        <w:t>,</w:t>
      </w:r>
      <w:r>
        <w:rPr>
          <w:rFonts w:eastAsia="Calibri"/>
          <w:sz w:val="28"/>
          <w:szCs w:val="28"/>
          <w:lang w:eastAsia="en-US"/>
        </w:rPr>
        <w:t>2</w:t>
      </w:r>
      <w:r w:rsidRPr="00EB352A">
        <w:rPr>
          <w:rFonts w:eastAsia="Calibri"/>
          <w:sz w:val="28"/>
          <w:szCs w:val="28"/>
          <w:lang w:eastAsia="en-US"/>
        </w:rPr>
        <w:t xml:space="preserve">) / 3 = </w:t>
      </w:r>
      <w:r>
        <w:rPr>
          <w:rFonts w:eastAsia="Calibri"/>
          <w:sz w:val="28"/>
          <w:szCs w:val="28"/>
          <w:lang w:eastAsia="en-US"/>
        </w:rPr>
        <w:t>58,0</w:t>
      </w:r>
      <w:r w:rsidRPr="00EB352A">
        <w:rPr>
          <w:rFonts w:eastAsia="Calibri"/>
          <w:sz w:val="28"/>
          <w:szCs w:val="28"/>
          <w:lang w:eastAsia="en-US"/>
        </w:rPr>
        <w:t xml:space="preserve"> тыс. руб.</w:t>
      </w:r>
    </w:p>
    <w:p w:rsidR="0055491A" w:rsidRPr="00EB352A" w:rsidRDefault="0055491A" w:rsidP="0055491A">
      <w:pPr>
        <w:tabs>
          <w:tab w:val="left" w:pos="3195"/>
        </w:tabs>
        <w:autoSpaceDE w:val="0"/>
        <w:autoSpaceDN w:val="0"/>
        <w:adjustRightInd w:val="0"/>
        <w:ind w:firstLine="709"/>
        <w:jc w:val="both"/>
        <w:rPr>
          <w:rFonts w:eastAsia="Calibri"/>
          <w:sz w:val="28"/>
          <w:szCs w:val="28"/>
          <w:lang w:eastAsia="en-US"/>
        </w:rPr>
      </w:pPr>
      <w:r w:rsidRPr="00EB352A">
        <w:rPr>
          <w:sz w:val="28"/>
          <w:szCs w:val="28"/>
        </w:rPr>
        <w:t>Корректирующая сумма поступлений, учитывающая отдельные решения Президента Российской Федерации, Правительства Российской Федерации, а также проекты нормативных правовых актов Президента Российской Федерации, Правительства Российской Федерации и другие факторы, влияющие на объем прогнозируемых доходов равна нулю.</w:t>
      </w:r>
    </w:p>
    <w:p w:rsidR="0055491A" w:rsidRPr="00EB352A" w:rsidRDefault="0055491A" w:rsidP="0055491A">
      <w:pPr>
        <w:tabs>
          <w:tab w:val="left" w:pos="3195"/>
        </w:tabs>
        <w:autoSpaceDE w:val="0"/>
        <w:autoSpaceDN w:val="0"/>
        <w:adjustRightInd w:val="0"/>
        <w:ind w:firstLine="709"/>
        <w:jc w:val="both"/>
        <w:rPr>
          <w:rFonts w:eastAsia="Calibri"/>
          <w:sz w:val="28"/>
          <w:szCs w:val="28"/>
          <w:lang w:eastAsia="en-US"/>
        </w:rPr>
      </w:pPr>
      <w:r>
        <w:rPr>
          <w:rFonts w:eastAsia="Calibri"/>
          <w:sz w:val="28"/>
          <w:szCs w:val="28"/>
          <w:lang w:eastAsia="en-US"/>
        </w:rPr>
        <w:t xml:space="preserve">С учетом норматива зачисления 50 процентов </w:t>
      </w:r>
      <w:r w:rsidRPr="00EB352A">
        <w:rPr>
          <w:rFonts w:eastAsia="Calibri"/>
          <w:sz w:val="28"/>
          <w:szCs w:val="28"/>
          <w:lang w:eastAsia="en-US"/>
        </w:rPr>
        <w:t>в бюдже</w:t>
      </w:r>
      <w:r>
        <w:rPr>
          <w:rFonts w:eastAsia="Calibri"/>
          <w:sz w:val="28"/>
          <w:szCs w:val="28"/>
          <w:lang w:eastAsia="en-US"/>
        </w:rPr>
        <w:t xml:space="preserve">т субъекта Российской Федерации </w:t>
      </w:r>
      <w:r w:rsidRPr="00EB352A">
        <w:rPr>
          <w:rFonts w:eastAsia="Calibri"/>
          <w:sz w:val="28"/>
          <w:szCs w:val="28"/>
          <w:lang w:eastAsia="en-US"/>
        </w:rPr>
        <w:t>ожидаемая оценка на 2020 год: 43,6 тыс. руб.;</w:t>
      </w:r>
      <w:r w:rsidRPr="00EB352A">
        <w:rPr>
          <w:sz w:val="28"/>
          <w:szCs w:val="28"/>
        </w:rPr>
        <w:t xml:space="preserve"> </w:t>
      </w:r>
    </w:p>
    <w:p w:rsidR="0055491A" w:rsidRPr="00EB352A" w:rsidRDefault="0055491A" w:rsidP="0055491A">
      <w:pPr>
        <w:tabs>
          <w:tab w:val="left" w:pos="3195"/>
        </w:tabs>
        <w:autoSpaceDE w:val="0"/>
        <w:autoSpaceDN w:val="0"/>
        <w:adjustRightInd w:val="0"/>
        <w:ind w:firstLine="709"/>
        <w:jc w:val="both"/>
        <w:rPr>
          <w:rFonts w:eastAsia="Calibri"/>
          <w:sz w:val="28"/>
          <w:szCs w:val="28"/>
          <w:lang w:eastAsia="en-US"/>
        </w:rPr>
      </w:pPr>
      <w:r w:rsidRPr="00EB352A">
        <w:rPr>
          <w:rFonts w:eastAsia="Calibri"/>
          <w:sz w:val="28"/>
          <w:szCs w:val="28"/>
          <w:lang w:eastAsia="en-US"/>
        </w:rPr>
        <w:t>прогноз на 202</w:t>
      </w:r>
      <w:r>
        <w:rPr>
          <w:rFonts w:eastAsia="Calibri"/>
          <w:sz w:val="28"/>
          <w:szCs w:val="28"/>
          <w:lang w:eastAsia="en-US"/>
        </w:rPr>
        <w:t>2</w:t>
      </w:r>
      <w:r w:rsidRPr="00EB352A">
        <w:rPr>
          <w:rFonts w:eastAsia="Calibri"/>
          <w:sz w:val="28"/>
          <w:szCs w:val="28"/>
          <w:lang w:eastAsia="en-US"/>
        </w:rPr>
        <w:t xml:space="preserve"> год: </w:t>
      </w:r>
      <w:r>
        <w:rPr>
          <w:rFonts w:eastAsia="Calibri"/>
          <w:sz w:val="28"/>
          <w:szCs w:val="28"/>
          <w:lang w:eastAsia="en-US"/>
        </w:rPr>
        <w:t>23,1</w:t>
      </w:r>
      <w:r w:rsidRPr="00EB352A">
        <w:rPr>
          <w:rFonts w:eastAsia="Calibri"/>
          <w:sz w:val="28"/>
          <w:szCs w:val="28"/>
          <w:lang w:eastAsia="en-US"/>
        </w:rPr>
        <w:t xml:space="preserve"> тыс. руб.;</w:t>
      </w:r>
      <w:r w:rsidRPr="00EB352A">
        <w:rPr>
          <w:sz w:val="28"/>
          <w:szCs w:val="28"/>
        </w:rPr>
        <w:t xml:space="preserve"> </w:t>
      </w:r>
    </w:p>
    <w:p w:rsidR="0055491A" w:rsidRDefault="0055491A" w:rsidP="0055491A">
      <w:pPr>
        <w:tabs>
          <w:tab w:val="left" w:pos="3195"/>
        </w:tabs>
        <w:autoSpaceDE w:val="0"/>
        <w:autoSpaceDN w:val="0"/>
        <w:adjustRightInd w:val="0"/>
        <w:ind w:firstLine="709"/>
        <w:jc w:val="both"/>
        <w:rPr>
          <w:rFonts w:eastAsia="Calibri"/>
          <w:sz w:val="28"/>
          <w:szCs w:val="28"/>
          <w:lang w:eastAsia="en-US"/>
        </w:rPr>
      </w:pPr>
      <w:r w:rsidRPr="00EB352A">
        <w:rPr>
          <w:rFonts w:eastAsia="Calibri"/>
          <w:sz w:val="28"/>
          <w:szCs w:val="28"/>
          <w:lang w:eastAsia="en-US"/>
        </w:rPr>
        <w:t>прогноз на 202</w:t>
      </w:r>
      <w:r>
        <w:rPr>
          <w:rFonts w:eastAsia="Calibri"/>
          <w:sz w:val="28"/>
          <w:szCs w:val="28"/>
          <w:lang w:eastAsia="en-US"/>
        </w:rPr>
        <w:t>3</w:t>
      </w:r>
      <w:r w:rsidRPr="00EB352A">
        <w:rPr>
          <w:rFonts w:eastAsia="Calibri"/>
          <w:sz w:val="28"/>
          <w:szCs w:val="28"/>
          <w:lang w:eastAsia="en-US"/>
        </w:rPr>
        <w:t xml:space="preserve"> - 202</w:t>
      </w:r>
      <w:r>
        <w:rPr>
          <w:rFonts w:eastAsia="Calibri"/>
          <w:sz w:val="28"/>
          <w:szCs w:val="28"/>
          <w:lang w:eastAsia="en-US"/>
        </w:rPr>
        <w:t>4</w:t>
      </w:r>
      <w:r w:rsidRPr="00EB352A">
        <w:rPr>
          <w:rFonts w:eastAsia="Calibri"/>
          <w:sz w:val="28"/>
          <w:szCs w:val="28"/>
          <w:lang w:eastAsia="en-US"/>
        </w:rPr>
        <w:t xml:space="preserve"> гг.: </w:t>
      </w:r>
      <w:r>
        <w:rPr>
          <w:rFonts w:eastAsia="Calibri"/>
          <w:sz w:val="28"/>
          <w:szCs w:val="28"/>
          <w:lang w:eastAsia="en-US"/>
        </w:rPr>
        <w:t>29,0</w:t>
      </w:r>
      <w:r w:rsidRPr="00EB352A">
        <w:rPr>
          <w:rFonts w:eastAsia="Calibri"/>
          <w:sz w:val="28"/>
          <w:szCs w:val="28"/>
          <w:lang w:eastAsia="en-US"/>
        </w:rPr>
        <w:t xml:space="preserve"> тыс. руб. соответственно;</w:t>
      </w:r>
    </w:p>
    <w:p w:rsidR="0055491A" w:rsidRDefault="0055491A" w:rsidP="0055491A">
      <w:pPr>
        <w:tabs>
          <w:tab w:val="left" w:pos="3195"/>
        </w:tabs>
        <w:autoSpaceDE w:val="0"/>
        <w:autoSpaceDN w:val="0"/>
        <w:adjustRightInd w:val="0"/>
        <w:ind w:firstLine="709"/>
        <w:jc w:val="both"/>
        <w:rPr>
          <w:rFonts w:eastAsia="Calibri"/>
          <w:sz w:val="28"/>
          <w:szCs w:val="28"/>
          <w:lang w:eastAsia="en-US"/>
        </w:rPr>
      </w:pPr>
    </w:p>
    <w:p w:rsidR="0055491A" w:rsidRDefault="0055491A" w:rsidP="0055491A">
      <w:pPr>
        <w:tabs>
          <w:tab w:val="left" w:pos="3195"/>
        </w:tabs>
        <w:autoSpaceDE w:val="0"/>
        <w:autoSpaceDN w:val="0"/>
        <w:adjustRightInd w:val="0"/>
        <w:ind w:firstLine="709"/>
        <w:jc w:val="both"/>
        <w:rPr>
          <w:rFonts w:eastAsia="Calibri"/>
          <w:sz w:val="28"/>
          <w:szCs w:val="28"/>
          <w:lang w:eastAsia="en-US"/>
        </w:rPr>
      </w:pPr>
      <w:r>
        <w:rPr>
          <w:rFonts w:eastAsia="Calibri"/>
          <w:sz w:val="28"/>
          <w:szCs w:val="28"/>
          <w:lang w:eastAsia="en-US"/>
        </w:rPr>
        <w:t xml:space="preserve">14.4 </w:t>
      </w:r>
      <w:r w:rsidRPr="001113B4">
        <w:rPr>
          <w:rFonts w:eastAsia="Calibri"/>
          <w:b/>
          <w:sz w:val="28"/>
          <w:szCs w:val="28"/>
          <w:lang w:eastAsia="en-US"/>
        </w:rPr>
        <w:t>КБК 332 1 16 01203 01 0000 140</w:t>
      </w:r>
      <w:r>
        <w:rPr>
          <w:rFonts w:eastAsia="Calibri"/>
          <w:sz w:val="28"/>
          <w:szCs w:val="28"/>
          <w:lang w:eastAsia="en-US"/>
        </w:rPr>
        <w:t xml:space="preserve"> </w:t>
      </w:r>
      <w:r w:rsidRPr="00473EB2">
        <w:rPr>
          <w:rFonts w:eastAsia="Calibri"/>
          <w:sz w:val="28"/>
          <w:szCs w:val="28"/>
          <w:lang w:eastAsia="en-US"/>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r>
        <w:rPr>
          <w:rFonts w:eastAsia="Calibri"/>
          <w:sz w:val="28"/>
          <w:szCs w:val="28"/>
          <w:lang w:eastAsia="en-US"/>
        </w:rPr>
        <w:t>.</w:t>
      </w:r>
    </w:p>
    <w:p w:rsidR="0055491A" w:rsidRPr="001113B4" w:rsidRDefault="0055491A" w:rsidP="0055491A">
      <w:pPr>
        <w:tabs>
          <w:tab w:val="left" w:pos="3195"/>
        </w:tabs>
        <w:autoSpaceDE w:val="0"/>
        <w:autoSpaceDN w:val="0"/>
        <w:adjustRightInd w:val="0"/>
        <w:ind w:firstLine="709"/>
        <w:jc w:val="both"/>
        <w:rPr>
          <w:rFonts w:eastAsia="Calibri"/>
          <w:b/>
          <w:sz w:val="28"/>
          <w:szCs w:val="28"/>
          <w:lang w:eastAsia="en-US"/>
        </w:rPr>
      </w:pPr>
      <w:r w:rsidRPr="001113B4">
        <w:rPr>
          <w:rFonts w:eastAsia="Calibri"/>
          <w:b/>
          <w:sz w:val="28"/>
          <w:szCs w:val="28"/>
          <w:lang w:eastAsia="en-US"/>
        </w:rPr>
        <w:t>Главный администратор доходов – Министерство Тверской области по обеспечению контрольных функций.</w:t>
      </w:r>
    </w:p>
    <w:p w:rsidR="0055491A" w:rsidRDefault="0055491A" w:rsidP="0055491A">
      <w:pPr>
        <w:pStyle w:val="pj"/>
        <w:shd w:val="clear" w:color="auto" w:fill="FFFFFF"/>
        <w:spacing w:before="0" w:beforeAutospacing="0" w:after="200" w:afterAutospacing="0" w:line="360" w:lineRule="atLeast"/>
        <w:jc w:val="both"/>
        <w:textAlignment w:val="baseline"/>
        <w:rPr>
          <w:rFonts w:eastAsiaTheme="minorHAnsi"/>
          <w:sz w:val="28"/>
          <w:szCs w:val="28"/>
          <w:lang w:eastAsia="en-US"/>
        </w:rPr>
      </w:pPr>
      <w:r>
        <w:rPr>
          <w:sz w:val="28"/>
          <w:szCs w:val="28"/>
        </w:rPr>
        <w:t xml:space="preserve">        Расчет прогноза поступлений на 2022-2024 годы основан на непосредственном использовании количества проверок, среднего количества нарушений, выявленных в ходе  проверок  и размера штрафов за конкретные </w:t>
      </w:r>
      <w:r>
        <w:rPr>
          <w:sz w:val="28"/>
          <w:szCs w:val="28"/>
        </w:rPr>
        <w:lastRenderedPageBreak/>
        <w:t>виды нарушений. При расчете количества проверок, нарушений используется метод усреднения</w:t>
      </w:r>
      <w:r w:rsidRPr="00473EB2">
        <w:rPr>
          <w:rFonts w:eastAsiaTheme="minorHAnsi"/>
          <w:sz w:val="28"/>
          <w:szCs w:val="28"/>
          <w:lang w:eastAsia="en-US"/>
        </w:rPr>
        <w:t xml:space="preserve"> </w:t>
      </w:r>
      <w:r w:rsidRPr="008C172C">
        <w:rPr>
          <w:rFonts w:eastAsiaTheme="minorHAnsi"/>
          <w:sz w:val="28"/>
          <w:szCs w:val="28"/>
          <w:lang w:eastAsia="en-US"/>
        </w:rPr>
        <w:t>за три</w:t>
      </w:r>
      <w:r>
        <w:rPr>
          <w:rFonts w:eastAsiaTheme="minorHAnsi"/>
          <w:sz w:val="28"/>
          <w:szCs w:val="28"/>
          <w:lang w:eastAsia="en-US"/>
        </w:rPr>
        <w:t xml:space="preserve"> года</w:t>
      </w:r>
      <w:r w:rsidRPr="008C172C">
        <w:rPr>
          <w:rFonts w:eastAsiaTheme="minorHAnsi"/>
          <w:sz w:val="28"/>
          <w:szCs w:val="28"/>
          <w:lang w:eastAsia="en-US"/>
        </w:rPr>
        <w:t xml:space="preserve">, предшествующие </w:t>
      </w:r>
      <w:r>
        <w:rPr>
          <w:rFonts w:eastAsiaTheme="minorHAnsi"/>
          <w:sz w:val="28"/>
          <w:szCs w:val="28"/>
          <w:lang w:eastAsia="en-US"/>
        </w:rPr>
        <w:t>прогнозируемому периоду в соответствии с имеющимися статистическими данными.</w:t>
      </w:r>
    </w:p>
    <w:p w:rsidR="0055491A" w:rsidRDefault="0055491A" w:rsidP="0055491A">
      <w:pPr>
        <w:pStyle w:val="pj"/>
        <w:shd w:val="clear" w:color="auto" w:fill="FFFFFF"/>
        <w:spacing w:before="0" w:beforeAutospacing="0" w:after="200" w:afterAutospacing="0" w:line="360" w:lineRule="atLeast"/>
        <w:ind w:firstLine="709"/>
        <w:jc w:val="both"/>
        <w:textAlignment w:val="baseline"/>
        <w:rPr>
          <w:rFonts w:eastAsiaTheme="minorHAnsi"/>
          <w:sz w:val="28"/>
          <w:szCs w:val="28"/>
          <w:lang w:eastAsia="en-US"/>
        </w:rPr>
      </w:pPr>
      <w:r>
        <w:rPr>
          <w:rFonts w:eastAsiaTheme="minorHAnsi"/>
          <w:sz w:val="28"/>
          <w:szCs w:val="28"/>
          <w:lang w:eastAsia="en-US"/>
        </w:rPr>
        <w:t>Расчет прогноза поступлений на 2022 – 2024 годы представлен в таблице в разрезе муниципальных образований Тверской области с учетом норматива зачисления в областной бюджет Тверской области 50%.</w:t>
      </w:r>
    </w:p>
    <w:tbl>
      <w:tblPr>
        <w:tblStyle w:val="a6"/>
        <w:tblpPr w:leftFromText="180" w:rightFromText="180" w:vertAnchor="text" w:horzAnchor="margin" w:tblpXSpec="center" w:tblpY="499"/>
        <w:tblW w:w="10140" w:type="dxa"/>
        <w:tblLayout w:type="fixed"/>
        <w:tblLook w:val="04A0" w:firstRow="1" w:lastRow="0" w:firstColumn="1" w:lastColumn="0" w:noHBand="0" w:noVBand="1"/>
      </w:tblPr>
      <w:tblGrid>
        <w:gridCol w:w="851"/>
        <w:gridCol w:w="545"/>
        <w:gridCol w:w="448"/>
        <w:gridCol w:w="425"/>
        <w:gridCol w:w="425"/>
        <w:gridCol w:w="815"/>
        <w:gridCol w:w="744"/>
        <w:gridCol w:w="71"/>
        <w:gridCol w:w="815"/>
        <w:gridCol w:w="815"/>
        <w:gridCol w:w="815"/>
        <w:gridCol w:w="745"/>
        <w:gridCol w:w="70"/>
        <w:gridCol w:w="815"/>
        <w:gridCol w:w="816"/>
        <w:gridCol w:w="925"/>
      </w:tblGrid>
      <w:tr w:rsidR="0055491A" w:rsidRPr="00046434" w:rsidTr="00210BF6">
        <w:trPr>
          <w:trHeight w:val="345"/>
        </w:trPr>
        <w:tc>
          <w:tcPr>
            <w:tcW w:w="851" w:type="dxa"/>
            <w:vMerge w:val="restart"/>
            <w:vAlign w:val="center"/>
          </w:tcPr>
          <w:p w:rsidR="0055491A" w:rsidRPr="00315C41" w:rsidRDefault="0055491A" w:rsidP="00210BF6">
            <w:pPr>
              <w:ind w:firstLine="0"/>
              <w:jc w:val="center"/>
              <w:rPr>
                <w:b/>
                <w:bCs/>
                <w:color w:val="000000"/>
                <w:sz w:val="18"/>
                <w:szCs w:val="18"/>
              </w:rPr>
            </w:pPr>
            <w:r w:rsidRPr="00315C41">
              <w:rPr>
                <w:b/>
                <w:sz w:val="18"/>
                <w:szCs w:val="18"/>
              </w:rPr>
              <w:t>Вид нарушения, КоАП РФ</w:t>
            </w:r>
          </w:p>
        </w:tc>
        <w:tc>
          <w:tcPr>
            <w:tcW w:w="545" w:type="dxa"/>
            <w:vMerge w:val="restart"/>
            <w:vAlign w:val="center"/>
          </w:tcPr>
          <w:p w:rsidR="0055491A" w:rsidRPr="00A76FB2" w:rsidRDefault="0055491A" w:rsidP="00210BF6">
            <w:pPr>
              <w:ind w:firstLine="0"/>
              <w:jc w:val="center"/>
              <w:rPr>
                <w:b/>
                <w:sz w:val="18"/>
                <w:szCs w:val="18"/>
              </w:rPr>
            </w:pPr>
            <w:r w:rsidRPr="00A76FB2">
              <w:rPr>
                <w:b/>
                <w:bCs/>
                <w:color w:val="000000"/>
                <w:sz w:val="18"/>
                <w:szCs w:val="18"/>
              </w:rPr>
              <w:t xml:space="preserve">Размер штрафа, </w:t>
            </w:r>
            <w:r w:rsidRPr="00A76FB2">
              <w:rPr>
                <w:b/>
                <w:bCs/>
                <w:sz w:val="18"/>
                <w:szCs w:val="18"/>
              </w:rPr>
              <w:t>тыс.руб</w:t>
            </w:r>
          </w:p>
        </w:tc>
        <w:tc>
          <w:tcPr>
            <w:tcW w:w="1298" w:type="dxa"/>
            <w:gridSpan w:val="3"/>
            <w:vAlign w:val="center"/>
          </w:tcPr>
          <w:p w:rsidR="0055491A" w:rsidRPr="00315C41" w:rsidRDefault="0055491A" w:rsidP="00210BF6">
            <w:pPr>
              <w:ind w:firstLine="0"/>
              <w:jc w:val="center"/>
              <w:rPr>
                <w:b/>
                <w:bCs/>
                <w:color w:val="000000"/>
                <w:sz w:val="18"/>
                <w:szCs w:val="18"/>
              </w:rPr>
            </w:pPr>
            <w:r w:rsidRPr="00315C41">
              <w:rPr>
                <w:b/>
                <w:bCs/>
                <w:color w:val="000000"/>
                <w:sz w:val="18"/>
                <w:szCs w:val="18"/>
              </w:rPr>
              <w:t>Количество постановлений, шт</w:t>
            </w:r>
          </w:p>
        </w:tc>
        <w:tc>
          <w:tcPr>
            <w:tcW w:w="1559" w:type="dxa"/>
            <w:gridSpan w:val="2"/>
            <w:vAlign w:val="center"/>
          </w:tcPr>
          <w:p w:rsidR="0055491A" w:rsidRPr="006C469E" w:rsidRDefault="0055491A" w:rsidP="00210BF6">
            <w:pPr>
              <w:ind w:firstLine="0"/>
              <w:jc w:val="center"/>
              <w:rPr>
                <w:b/>
                <w:bCs/>
                <w:color w:val="000000"/>
                <w:sz w:val="18"/>
                <w:szCs w:val="18"/>
              </w:rPr>
            </w:pPr>
            <w:r>
              <w:rPr>
                <w:b/>
                <w:bCs/>
                <w:color w:val="000000"/>
                <w:sz w:val="18"/>
                <w:szCs w:val="18"/>
              </w:rPr>
              <w:t>2021</w:t>
            </w:r>
          </w:p>
        </w:tc>
        <w:tc>
          <w:tcPr>
            <w:tcW w:w="1701" w:type="dxa"/>
            <w:gridSpan w:val="3"/>
            <w:vAlign w:val="center"/>
          </w:tcPr>
          <w:p w:rsidR="0055491A" w:rsidRPr="006C469E" w:rsidRDefault="0055491A" w:rsidP="00210BF6">
            <w:pPr>
              <w:ind w:firstLine="0"/>
              <w:jc w:val="center"/>
              <w:rPr>
                <w:b/>
                <w:bCs/>
                <w:color w:val="000000"/>
                <w:sz w:val="18"/>
                <w:szCs w:val="18"/>
              </w:rPr>
            </w:pPr>
            <w:r w:rsidRPr="006C469E">
              <w:rPr>
                <w:b/>
                <w:bCs/>
                <w:color w:val="000000"/>
                <w:sz w:val="18"/>
                <w:szCs w:val="18"/>
              </w:rPr>
              <w:t>202</w:t>
            </w:r>
            <w:r>
              <w:rPr>
                <w:b/>
                <w:bCs/>
                <w:color w:val="000000"/>
                <w:sz w:val="18"/>
                <w:szCs w:val="18"/>
              </w:rPr>
              <w:t>2</w:t>
            </w:r>
          </w:p>
        </w:tc>
        <w:tc>
          <w:tcPr>
            <w:tcW w:w="1560" w:type="dxa"/>
            <w:gridSpan w:val="2"/>
            <w:vAlign w:val="center"/>
          </w:tcPr>
          <w:p w:rsidR="0055491A" w:rsidRPr="006C469E" w:rsidRDefault="0055491A" w:rsidP="00210BF6">
            <w:pPr>
              <w:ind w:firstLine="0"/>
              <w:jc w:val="center"/>
              <w:rPr>
                <w:b/>
                <w:bCs/>
                <w:color w:val="000000"/>
                <w:sz w:val="18"/>
                <w:szCs w:val="18"/>
              </w:rPr>
            </w:pPr>
            <w:r w:rsidRPr="006C469E">
              <w:rPr>
                <w:b/>
                <w:bCs/>
                <w:color w:val="000000"/>
                <w:sz w:val="18"/>
                <w:szCs w:val="18"/>
              </w:rPr>
              <w:t>202</w:t>
            </w:r>
            <w:r>
              <w:rPr>
                <w:b/>
                <w:bCs/>
                <w:color w:val="000000"/>
                <w:sz w:val="18"/>
                <w:szCs w:val="18"/>
              </w:rPr>
              <w:t>3</w:t>
            </w:r>
          </w:p>
        </w:tc>
        <w:tc>
          <w:tcPr>
            <w:tcW w:w="1701" w:type="dxa"/>
            <w:gridSpan w:val="3"/>
            <w:vAlign w:val="center"/>
          </w:tcPr>
          <w:p w:rsidR="0055491A" w:rsidRPr="00315C41" w:rsidRDefault="0055491A" w:rsidP="00210BF6">
            <w:pPr>
              <w:ind w:firstLine="0"/>
              <w:jc w:val="center"/>
              <w:rPr>
                <w:b/>
                <w:bCs/>
                <w:color w:val="000000"/>
                <w:sz w:val="18"/>
                <w:szCs w:val="18"/>
              </w:rPr>
            </w:pPr>
            <w:r w:rsidRPr="00315C41">
              <w:rPr>
                <w:b/>
                <w:bCs/>
                <w:color w:val="000000"/>
                <w:sz w:val="18"/>
                <w:szCs w:val="18"/>
              </w:rPr>
              <w:t>202</w:t>
            </w:r>
            <w:r>
              <w:rPr>
                <w:b/>
                <w:bCs/>
                <w:color w:val="000000"/>
                <w:sz w:val="18"/>
                <w:szCs w:val="18"/>
              </w:rPr>
              <w:t>4</w:t>
            </w:r>
          </w:p>
        </w:tc>
        <w:tc>
          <w:tcPr>
            <w:tcW w:w="925" w:type="dxa"/>
            <w:vMerge w:val="restart"/>
            <w:vAlign w:val="center"/>
          </w:tcPr>
          <w:p w:rsidR="0055491A" w:rsidRPr="00315C41" w:rsidRDefault="0055491A" w:rsidP="00210BF6">
            <w:pPr>
              <w:ind w:firstLine="0"/>
              <w:jc w:val="center"/>
              <w:rPr>
                <w:b/>
                <w:bCs/>
                <w:color w:val="000000"/>
                <w:sz w:val="18"/>
                <w:szCs w:val="18"/>
              </w:rPr>
            </w:pPr>
            <w:r w:rsidRPr="00315C41">
              <w:rPr>
                <w:b/>
                <w:bCs/>
                <w:color w:val="000000"/>
                <w:sz w:val="18"/>
                <w:szCs w:val="18"/>
              </w:rPr>
              <w:t>Наименование муниципального образования</w:t>
            </w:r>
          </w:p>
        </w:tc>
      </w:tr>
      <w:tr w:rsidR="0055491A" w:rsidRPr="00046434" w:rsidTr="00210BF6">
        <w:trPr>
          <w:cantSplit/>
          <w:trHeight w:val="1180"/>
        </w:trPr>
        <w:tc>
          <w:tcPr>
            <w:tcW w:w="851" w:type="dxa"/>
            <w:vMerge/>
            <w:vAlign w:val="center"/>
          </w:tcPr>
          <w:p w:rsidR="0055491A" w:rsidRPr="00315C41" w:rsidRDefault="0055491A" w:rsidP="00210BF6">
            <w:pPr>
              <w:ind w:firstLine="0"/>
              <w:jc w:val="center"/>
              <w:rPr>
                <w:b/>
                <w:bCs/>
                <w:color w:val="000000"/>
                <w:sz w:val="18"/>
                <w:szCs w:val="18"/>
              </w:rPr>
            </w:pPr>
          </w:p>
        </w:tc>
        <w:tc>
          <w:tcPr>
            <w:tcW w:w="545" w:type="dxa"/>
            <w:vMerge/>
            <w:vAlign w:val="center"/>
          </w:tcPr>
          <w:p w:rsidR="0055491A" w:rsidRPr="00315C41" w:rsidRDefault="0055491A" w:rsidP="00210BF6">
            <w:pPr>
              <w:ind w:firstLine="0"/>
              <w:jc w:val="center"/>
              <w:rPr>
                <w:b/>
                <w:bCs/>
                <w:color w:val="000000"/>
                <w:sz w:val="18"/>
                <w:szCs w:val="18"/>
              </w:rPr>
            </w:pPr>
          </w:p>
        </w:tc>
        <w:tc>
          <w:tcPr>
            <w:tcW w:w="448" w:type="dxa"/>
            <w:textDirection w:val="tbRl"/>
            <w:vAlign w:val="center"/>
          </w:tcPr>
          <w:p w:rsidR="0055491A" w:rsidRPr="00315C41" w:rsidRDefault="0055491A" w:rsidP="00210BF6">
            <w:pPr>
              <w:ind w:firstLine="0"/>
              <w:jc w:val="center"/>
              <w:rPr>
                <w:b/>
                <w:bCs/>
                <w:color w:val="000000"/>
                <w:sz w:val="18"/>
                <w:szCs w:val="18"/>
              </w:rPr>
            </w:pPr>
            <w:r>
              <w:rPr>
                <w:b/>
                <w:bCs/>
                <w:color w:val="000000"/>
                <w:sz w:val="18"/>
                <w:szCs w:val="18"/>
              </w:rPr>
              <w:t>2018</w:t>
            </w:r>
          </w:p>
        </w:tc>
        <w:tc>
          <w:tcPr>
            <w:tcW w:w="425" w:type="dxa"/>
            <w:textDirection w:val="tbRl"/>
            <w:vAlign w:val="center"/>
          </w:tcPr>
          <w:p w:rsidR="0055491A" w:rsidRPr="00315C41" w:rsidRDefault="0055491A" w:rsidP="00210BF6">
            <w:pPr>
              <w:ind w:firstLine="0"/>
              <w:jc w:val="center"/>
              <w:rPr>
                <w:b/>
                <w:bCs/>
                <w:color w:val="000000"/>
                <w:sz w:val="18"/>
                <w:szCs w:val="18"/>
              </w:rPr>
            </w:pPr>
            <w:r>
              <w:rPr>
                <w:b/>
                <w:bCs/>
                <w:color w:val="000000"/>
                <w:sz w:val="18"/>
                <w:szCs w:val="18"/>
              </w:rPr>
              <w:t>2019</w:t>
            </w:r>
          </w:p>
        </w:tc>
        <w:tc>
          <w:tcPr>
            <w:tcW w:w="425" w:type="dxa"/>
            <w:textDirection w:val="tbRl"/>
            <w:vAlign w:val="center"/>
          </w:tcPr>
          <w:p w:rsidR="0055491A" w:rsidRPr="00315C41" w:rsidRDefault="0055491A" w:rsidP="00210BF6">
            <w:pPr>
              <w:ind w:firstLine="0"/>
              <w:jc w:val="center"/>
              <w:rPr>
                <w:b/>
                <w:bCs/>
                <w:color w:val="000000"/>
                <w:sz w:val="18"/>
                <w:szCs w:val="18"/>
              </w:rPr>
            </w:pPr>
            <w:r>
              <w:rPr>
                <w:b/>
                <w:bCs/>
                <w:color w:val="000000"/>
                <w:sz w:val="18"/>
                <w:szCs w:val="18"/>
              </w:rPr>
              <w:t>2020</w:t>
            </w:r>
          </w:p>
        </w:tc>
        <w:tc>
          <w:tcPr>
            <w:tcW w:w="815" w:type="dxa"/>
            <w:vAlign w:val="center"/>
          </w:tcPr>
          <w:p w:rsidR="0055491A" w:rsidRPr="00352526" w:rsidRDefault="0055491A" w:rsidP="00210BF6">
            <w:pPr>
              <w:ind w:firstLine="0"/>
              <w:jc w:val="center"/>
              <w:rPr>
                <w:b/>
                <w:bCs/>
                <w:color w:val="000000"/>
                <w:sz w:val="18"/>
                <w:szCs w:val="18"/>
              </w:rPr>
            </w:pPr>
            <w:r w:rsidRPr="00352526">
              <w:rPr>
                <w:b/>
                <w:bCs/>
                <w:color w:val="000000"/>
                <w:sz w:val="18"/>
                <w:szCs w:val="18"/>
              </w:rPr>
              <w:t>Количество, шт.(ст.3+ст.4+ст.5)/3</w:t>
            </w:r>
          </w:p>
        </w:tc>
        <w:tc>
          <w:tcPr>
            <w:tcW w:w="815" w:type="dxa"/>
            <w:gridSpan w:val="2"/>
            <w:vAlign w:val="center"/>
          </w:tcPr>
          <w:p w:rsidR="0055491A" w:rsidRPr="00352526" w:rsidRDefault="0055491A" w:rsidP="00210BF6">
            <w:pPr>
              <w:ind w:firstLine="0"/>
              <w:jc w:val="center"/>
              <w:rPr>
                <w:b/>
                <w:bCs/>
                <w:color w:val="000000"/>
                <w:sz w:val="18"/>
                <w:szCs w:val="18"/>
              </w:rPr>
            </w:pPr>
            <w:r w:rsidRPr="00352526">
              <w:rPr>
                <w:b/>
                <w:bCs/>
                <w:color w:val="000000"/>
                <w:sz w:val="18"/>
                <w:szCs w:val="18"/>
              </w:rPr>
              <w:t>Сумма, тыс. руб.(ст.6 хст.2)</w:t>
            </w:r>
          </w:p>
        </w:tc>
        <w:tc>
          <w:tcPr>
            <w:tcW w:w="815" w:type="dxa"/>
            <w:vAlign w:val="center"/>
          </w:tcPr>
          <w:p w:rsidR="0055491A" w:rsidRPr="00352526" w:rsidRDefault="0055491A" w:rsidP="00210BF6">
            <w:pPr>
              <w:ind w:firstLine="0"/>
              <w:jc w:val="center"/>
              <w:rPr>
                <w:b/>
                <w:bCs/>
                <w:color w:val="000000"/>
                <w:sz w:val="18"/>
                <w:szCs w:val="18"/>
              </w:rPr>
            </w:pPr>
            <w:r w:rsidRPr="00352526">
              <w:rPr>
                <w:b/>
                <w:bCs/>
                <w:color w:val="000000"/>
                <w:sz w:val="18"/>
                <w:szCs w:val="18"/>
              </w:rPr>
              <w:t>Количество, шт.(ст.4+ст.5+ст.6)/3</w:t>
            </w:r>
          </w:p>
        </w:tc>
        <w:tc>
          <w:tcPr>
            <w:tcW w:w="815" w:type="dxa"/>
            <w:vAlign w:val="center"/>
          </w:tcPr>
          <w:p w:rsidR="0055491A" w:rsidRPr="00352526" w:rsidRDefault="0055491A" w:rsidP="00210BF6">
            <w:pPr>
              <w:ind w:firstLine="0"/>
              <w:jc w:val="center"/>
              <w:rPr>
                <w:b/>
                <w:bCs/>
                <w:color w:val="000000"/>
                <w:sz w:val="18"/>
                <w:szCs w:val="18"/>
              </w:rPr>
            </w:pPr>
            <w:r w:rsidRPr="00352526">
              <w:rPr>
                <w:b/>
                <w:bCs/>
                <w:color w:val="000000"/>
                <w:sz w:val="18"/>
                <w:szCs w:val="18"/>
              </w:rPr>
              <w:t>Сумма, тыс. руб.(ст,8хст.2)</w:t>
            </w:r>
          </w:p>
        </w:tc>
        <w:tc>
          <w:tcPr>
            <w:tcW w:w="815" w:type="dxa"/>
            <w:vAlign w:val="center"/>
          </w:tcPr>
          <w:p w:rsidR="0055491A" w:rsidRPr="00352526" w:rsidRDefault="0055491A" w:rsidP="00210BF6">
            <w:pPr>
              <w:ind w:firstLine="0"/>
              <w:jc w:val="center"/>
              <w:rPr>
                <w:b/>
                <w:bCs/>
                <w:color w:val="000000"/>
                <w:sz w:val="18"/>
                <w:szCs w:val="18"/>
              </w:rPr>
            </w:pPr>
            <w:r w:rsidRPr="00352526">
              <w:rPr>
                <w:b/>
                <w:bCs/>
                <w:color w:val="000000"/>
                <w:sz w:val="18"/>
                <w:szCs w:val="18"/>
              </w:rPr>
              <w:t>Количество, шт.(ст.5+ст.6+ст. 8)/3</w:t>
            </w:r>
          </w:p>
        </w:tc>
        <w:tc>
          <w:tcPr>
            <w:tcW w:w="815" w:type="dxa"/>
            <w:gridSpan w:val="2"/>
            <w:vAlign w:val="center"/>
          </w:tcPr>
          <w:p w:rsidR="0055491A" w:rsidRPr="00352526" w:rsidRDefault="0055491A" w:rsidP="00210BF6">
            <w:pPr>
              <w:ind w:firstLine="0"/>
              <w:jc w:val="center"/>
              <w:rPr>
                <w:b/>
                <w:bCs/>
                <w:color w:val="000000"/>
                <w:sz w:val="18"/>
                <w:szCs w:val="18"/>
              </w:rPr>
            </w:pPr>
            <w:r w:rsidRPr="00352526">
              <w:rPr>
                <w:b/>
                <w:bCs/>
                <w:color w:val="000000"/>
                <w:sz w:val="18"/>
                <w:szCs w:val="18"/>
              </w:rPr>
              <w:t>Сумма, тыс. руб.(ст,10хст.2)</w:t>
            </w:r>
          </w:p>
        </w:tc>
        <w:tc>
          <w:tcPr>
            <w:tcW w:w="815" w:type="dxa"/>
            <w:vAlign w:val="center"/>
          </w:tcPr>
          <w:p w:rsidR="0055491A" w:rsidRPr="00352526" w:rsidRDefault="0055491A" w:rsidP="00210BF6">
            <w:pPr>
              <w:ind w:firstLine="0"/>
              <w:jc w:val="center"/>
              <w:rPr>
                <w:b/>
                <w:bCs/>
                <w:color w:val="000000"/>
                <w:sz w:val="18"/>
                <w:szCs w:val="18"/>
              </w:rPr>
            </w:pPr>
            <w:r w:rsidRPr="00352526">
              <w:rPr>
                <w:b/>
                <w:bCs/>
                <w:color w:val="000000"/>
                <w:sz w:val="18"/>
                <w:szCs w:val="18"/>
              </w:rPr>
              <w:t>Количество, шт.(ст.6+ст.8+ ст.10)/3</w:t>
            </w:r>
          </w:p>
        </w:tc>
        <w:tc>
          <w:tcPr>
            <w:tcW w:w="816" w:type="dxa"/>
            <w:vAlign w:val="center"/>
          </w:tcPr>
          <w:p w:rsidR="0055491A" w:rsidRPr="00352526" w:rsidRDefault="0055491A" w:rsidP="00210BF6">
            <w:pPr>
              <w:ind w:firstLine="0"/>
              <w:jc w:val="center"/>
              <w:rPr>
                <w:b/>
                <w:bCs/>
                <w:color w:val="000000"/>
                <w:sz w:val="18"/>
                <w:szCs w:val="18"/>
              </w:rPr>
            </w:pPr>
            <w:r w:rsidRPr="00352526">
              <w:rPr>
                <w:b/>
                <w:bCs/>
                <w:color w:val="000000"/>
                <w:sz w:val="18"/>
                <w:szCs w:val="18"/>
              </w:rPr>
              <w:t>Сумма, тыс. руб.(ст,12хст.2)</w:t>
            </w:r>
          </w:p>
        </w:tc>
        <w:tc>
          <w:tcPr>
            <w:tcW w:w="925" w:type="dxa"/>
            <w:vMerge/>
            <w:vAlign w:val="center"/>
          </w:tcPr>
          <w:p w:rsidR="0055491A" w:rsidRPr="00046434" w:rsidRDefault="0055491A" w:rsidP="00210BF6">
            <w:pPr>
              <w:ind w:firstLine="0"/>
              <w:jc w:val="center"/>
              <w:rPr>
                <w:bCs/>
                <w:color w:val="000000"/>
                <w:sz w:val="18"/>
                <w:szCs w:val="18"/>
              </w:rPr>
            </w:pPr>
          </w:p>
        </w:tc>
      </w:tr>
      <w:tr w:rsidR="0055491A" w:rsidRPr="00046434" w:rsidTr="00210BF6">
        <w:trPr>
          <w:trHeight w:val="236"/>
        </w:trPr>
        <w:tc>
          <w:tcPr>
            <w:tcW w:w="851" w:type="dxa"/>
            <w:vAlign w:val="center"/>
          </w:tcPr>
          <w:p w:rsidR="0055491A" w:rsidRPr="00315C41" w:rsidRDefault="0055491A" w:rsidP="00210BF6">
            <w:pPr>
              <w:ind w:firstLine="0"/>
              <w:jc w:val="center"/>
              <w:rPr>
                <w:b/>
                <w:bCs/>
                <w:color w:val="000000"/>
                <w:sz w:val="18"/>
                <w:szCs w:val="18"/>
              </w:rPr>
            </w:pPr>
            <w:r w:rsidRPr="00315C41">
              <w:rPr>
                <w:b/>
                <w:bCs/>
                <w:color w:val="000000"/>
                <w:sz w:val="18"/>
                <w:szCs w:val="18"/>
              </w:rPr>
              <w:t>1</w:t>
            </w:r>
          </w:p>
        </w:tc>
        <w:tc>
          <w:tcPr>
            <w:tcW w:w="545" w:type="dxa"/>
            <w:vAlign w:val="center"/>
          </w:tcPr>
          <w:p w:rsidR="0055491A" w:rsidRPr="00315C41" w:rsidRDefault="0055491A" w:rsidP="00210BF6">
            <w:pPr>
              <w:ind w:firstLine="0"/>
              <w:jc w:val="center"/>
              <w:rPr>
                <w:b/>
                <w:bCs/>
                <w:color w:val="000000"/>
                <w:sz w:val="18"/>
                <w:szCs w:val="18"/>
              </w:rPr>
            </w:pPr>
            <w:r w:rsidRPr="00315C41">
              <w:rPr>
                <w:b/>
                <w:bCs/>
                <w:color w:val="000000"/>
                <w:sz w:val="18"/>
                <w:szCs w:val="18"/>
              </w:rPr>
              <w:t>2</w:t>
            </w:r>
          </w:p>
        </w:tc>
        <w:tc>
          <w:tcPr>
            <w:tcW w:w="448" w:type="dxa"/>
            <w:vAlign w:val="center"/>
          </w:tcPr>
          <w:p w:rsidR="0055491A" w:rsidRPr="00315C41" w:rsidRDefault="0055491A" w:rsidP="00210BF6">
            <w:pPr>
              <w:ind w:firstLine="0"/>
              <w:jc w:val="center"/>
              <w:rPr>
                <w:b/>
                <w:bCs/>
                <w:color w:val="000000"/>
                <w:sz w:val="18"/>
                <w:szCs w:val="18"/>
              </w:rPr>
            </w:pPr>
            <w:r w:rsidRPr="00315C41">
              <w:rPr>
                <w:b/>
                <w:bCs/>
                <w:color w:val="000000"/>
                <w:sz w:val="18"/>
                <w:szCs w:val="18"/>
              </w:rPr>
              <w:t>3</w:t>
            </w:r>
          </w:p>
        </w:tc>
        <w:tc>
          <w:tcPr>
            <w:tcW w:w="425" w:type="dxa"/>
            <w:vAlign w:val="center"/>
          </w:tcPr>
          <w:p w:rsidR="0055491A" w:rsidRPr="00315C41" w:rsidRDefault="0055491A" w:rsidP="00210BF6">
            <w:pPr>
              <w:ind w:firstLine="0"/>
              <w:jc w:val="center"/>
              <w:rPr>
                <w:b/>
                <w:bCs/>
                <w:color w:val="000000"/>
                <w:sz w:val="18"/>
                <w:szCs w:val="18"/>
              </w:rPr>
            </w:pPr>
            <w:r w:rsidRPr="00315C41">
              <w:rPr>
                <w:b/>
                <w:bCs/>
                <w:color w:val="000000"/>
                <w:sz w:val="18"/>
                <w:szCs w:val="18"/>
              </w:rPr>
              <w:t>4</w:t>
            </w:r>
          </w:p>
        </w:tc>
        <w:tc>
          <w:tcPr>
            <w:tcW w:w="425" w:type="dxa"/>
            <w:vAlign w:val="center"/>
          </w:tcPr>
          <w:p w:rsidR="0055491A" w:rsidRPr="00315C41" w:rsidRDefault="0055491A" w:rsidP="00210BF6">
            <w:pPr>
              <w:ind w:firstLine="0"/>
              <w:jc w:val="center"/>
              <w:rPr>
                <w:b/>
                <w:bCs/>
                <w:color w:val="000000"/>
                <w:sz w:val="18"/>
                <w:szCs w:val="18"/>
              </w:rPr>
            </w:pPr>
            <w:r>
              <w:rPr>
                <w:b/>
                <w:bCs/>
                <w:color w:val="000000"/>
                <w:sz w:val="18"/>
                <w:szCs w:val="18"/>
              </w:rPr>
              <w:t>5</w:t>
            </w:r>
          </w:p>
        </w:tc>
        <w:tc>
          <w:tcPr>
            <w:tcW w:w="815" w:type="dxa"/>
            <w:vAlign w:val="center"/>
          </w:tcPr>
          <w:p w:rsidR="0055491A" w:rsidRPr="00315C41" w:rsidRDefault="0055491A" w:rsidP="00210BF6">
            <w:pPr>
              <w:ind w:firstLine="0"/>
              <w:jc w:val="center"/>
              <w:rPr>
                <w:b/>
                <w:bCs/>
                <w:color w:val="000000"/>
                <w:sz w:val="18"/>
                <w:szCs w:val="18"/>
              </w:rPr>
            </w:pPr>
            <w:r>
              <w:rPr>
                <w:b/>
                <w:bCs/>
                <w:color w:val="000000"/>
                <w:sz w:val="18"/>
                <w:szCs w:val="18"/>
              </w:rPr>
              <w:t>6</w:t>
            </w:r>
          </w:p>
        </w:tc>
        <w:tc>
          <w:tcPr>
            <w:tcW w:w="815" w:type="dxa"/>
            <w:gridSpan w:val="2"/>
            <w:vAlign w:val="center"/>
          </w:tcPr>
          <w:p w:rsidR="0055491A" w:rsidRPr="00315C41" w:rsidRDefault="0055491A" w:rsidP="00210BF6">
            <w:pPr>
              <w:ind w:firstLine="0"/>
              <w:jc w:val="center"/>
              <w:rPr>
                <w:b/>
                <w:bCs/>
                <w:color w:val="000000"/>
                <w:sz w:val="18"/>
                <w:szCs w:val="18"/>
              </w:rPr>
            </w:pPr>
            <w:r>
              <w:rPr>
                <w:b/>
                <w:bCs/>
                <w:color w:val="000000"/>
                <w:sz w:val="18"/>
                <w:szCs w:val="18"/>
              </w:rPr>
              <w:t>7</w:t>
            </w:r>
          </w:p>
        </w:tc>
        <w:tc>
          <w:tcPr>
            <w:tcW w:w="815" w:type="dxa"/>
            <w:vAlign w:val="center"/>
          </w:tcPr>
          <w:p w:rsidR="0055491A" w:rsidRPr="00315C41" w:rsidRDefault="0055491A" w:rsidP="00210BF6">
            <w:pPr>
              <w:ind w:firstLine="0"/>
              <w:jc w:val="center"/>
              <w:rPr>
                <w:b/>
                <w:bCs/>
                <w:color w:val="000000"/>
                <w:sz w:val="18"/>
                <w:szCs w:val="18"/>
              </w:rPr>
            </w:pPr>
            <w:r>
              <w:rPr>
                <w:b/>
                <w:bCs/>
                <w:color w:val="000000"/>
                <w:sz w:val="18"/>
                <w:szCs w:val="18"/>
              </w:rPr>
              <w:t>8</w:t>
            </w:r>
          </w:p>
        </w:tc>
        <w:tc>
          <w:tcPr>
            <w:tcW w:w="815" w:type="dxa"/>
            <w:vAlign w:val="center"/>
          </w:tcPr>
          <w:p w:rsidR="0055491A" w:rsidRPr="00315C41" w:rsidRDefault="0055491A" w:rsidP="00210BF6">
            <w:pPr>
              <w:ind w:firstLine="0"/>
              <w:jc w:val="center"/>
              <w:rPr>
                <w:b/>
                <w:bCs/>
                <w:color w:val="000000"/>
                <w:sz w:val="18"/>
                <w:szCs w:val="18"/>
              </w:rPr>
            </w:pPr>
            <w:r>
              <w:rPr>
                <w:b/>
                <w:bCs/>
                <w:color w:val="000000"/>
                <w:sz w:val="18"/>
                <w:szCs w:val="18"/>
              </w:rPr>
              <w:t>9</w:t>
            </w:r>
          </w:p>
        </w:tc>
        <w:tc>
          <w:tcPr>
            <w:tcW w:w="815" w:type="dxa"/>
            <w:vAlign w:val="center"/>
          </w:tcPr>
          <w:p w:rsidR="0055491A" w:rsidRPr="00315C41" w:rsidRDefault="0055491A" w:rsidP="00210BF6">
            <w:pPr>
              <w:ind w:firstLine="0"/>
              <w:jc w:val="center"/>
              <w:rPr>
                <w:b/>
                <w:bCs/>
                <w:color w:val="000000"/>
                <w:sz w:val="18"/>
                <w:szCs w:val="18"/>
              </w:rPr>
            </w:pPr>
            <w:r>
              <w:rPr>
                <w:b/>
                <w:bCs/>
                <w:color w:val="000000"/>
                <w:sz w:val="18"/>
                <w:szCs w:val="18"/>
              </w:rPr>
              <w:t>10</w:t>
            </w:r>
          </w:p>
        </w:tc>
        <w:tc>
          <w:tcPr>
            <w:tcW w:w="815" w:type="dxa"/>
            <w:gridSpan w:val="2"/>
            <w:vAlign w:val="center"/>
          </w:tcPr>
          <w:p w:rsidR="0055491A" w:rsidRPr="00315C41" w:rsidRDefault="0055491A" w:rsidP="00210BF6">
            <w:pPr>
              <w:ind w:firstLine="0"/>
              <w:jc w:val="center"/>
              <w:rPr>
                <w:b/>
                <w:bCs/>
                <w:color w:val="000000"/>
                <w:sz w:val="18"/>
                <w:szCs w:val="18"/>
              </w:rPr>
            </w:pPr>
            <w:r>
              <w:rPr>
                <w:b/>
                <w:bCs/>
                <w:color w:val="000000"/>
                <w:sz w:val="18"/>
                <w:szCs w:val="18"/>
              </w:rPr>
              <w:t>11</w:t>
            </w:r>
          </w:p>
        </w:tc>
        <w:tc>
          <w:tcPr>
            <w:tcW w:w="815" w:type="dxa"/>
            <w:vAlign w:val="center"/>
          </w:tcPr>
          <w:p w:rsidR="0055491A" w:rsidRPr="00315C41" w:rsidRDefault="0055491A" w:rsidP="00210BF6">
            <w:pPr>
              <w:ind w:firstLine="0"/>
              <w:jc w:val="center"/>
              <w:rPr>
                <w:b/>
                <w:bCs/>
                <w:color w:val="000000"/>
                <w:sz w:val="18"/>
                <w:szCs w:val="18"/>
              </w:rPr>
            </w:pPr>
            <w:r>
              <w:rPr>
                <w:b/>
                <w:bCs/>
                <w:color w:val="000000"/>
                <w:sz w:val="18"/>
                <w:szCs w:val="18"/>
              </w:rPr>
              <w:t>12</w:t>
            </w:r>
          </w:p>
        </w:tc>
        <w:tc>
          <w:tcPr>
            <w:tcW w:w="816" w:type="dxa"/>
            <w:vAlign w:val="center"/>
          </w:tcPr>
          <w:p w:rsidR="0055491A" w:rsidRPr="00315C41" w:rsidRDefault="0055491A" w:rsidP="00210BF6">
            <w:pPr>
              <w:ind w:firstLine="0"/>
              <w:jc w:val="center"/>
              <w:rPr>
                <w:b/>
                <w:bCs/>
                <w:color w:val="000000"/>
                <w:sz w:val="18"/>
                <w:szCs w:val="18"/>
              </w:rPr>
            </w:pPr>
            <w:r>
              <w:rPr>
                <w:b/>
                <w:bCs/>
                <w:color w:val="000000"/>
                <w:sz w:val="18"/>
                <w:szCs w:val="18"/>
              </w:rPr>
              <w:t>13</w:t>
            </w:r>
          </w:p>
        </w:tc>
        <w:tc>
          <w:tcPr>
            <w:tcW w:w="925" w:type="dxa"/>
            <w:vAlign w:val="center"/>
          </w:tcPr>
          <w:p w:rsidR="0055491A" w:rsidRPr="00315C41" w:rsidRDefault="0055491A" w:rsidP="00210BF6">
            <w:pPr>
              <w:ind w:firstLine="0"/>
              <w:jc w:val="center"/>
              <w:rPr>
                <w:b/>
                <w:bCs/>
                <w:color w:val="000000"/>
                <w:sz w:val="18"/>
                <w:szCs w:val="18"/>
              </w:rPr>
            </w:pPr>
            <w:r>
              <w:rPr>
                <w:b/>
                <w:bCs/>
                <w:color w:val="000000"/>
                <w:sz w:val="18"/>
                <w:szCs w:val="18"/>
              </w:rPr>
              <w:t>14</w:t>
            </w:r>
          </w:p>
        </w:tc>
      </w:tr>
      <w:tr w:rsidR="0055491A" w:rsidRPr="00F564B2" w:rsidTr="00210BF6">
        <w:trPr>
          <w:trHeight w:val="585"/>
        </w:trPr>
        <w:tc>
          <w:tcPr>
            <w:tcW w:w="851" w:type="dxa"/>
            <w:vAlign w:val="center"/>
          </w:tcPr>
          <w:p w:rsidR="0055491A" w:rsidRDefault="0055491A" w:rsidP="00210BF6">
            <w:pPr>
              <w:ind w:firstLine="0"/>
              <w:jc w:val="center"/>
              <w:rPr>
                <w:bCs/>
                <w:sz w:val="16"/>
                <w:szCs w:val="16"/>
              </w:rPr>
            </w:pPr>
          </w:p>
          <w:p w:rsidR="0055491A" w:rsidRPr="006C469E" w:rsidRDefault="0055491A" w:rsidP="00210BF6">
            <w:pPr>
              <w:ind w:firstLine="0"/>
              <w:jc w:val="center"/>
              <w:rPr>
                <w:bCs/>
                <w:sz w:val="16"/>
                <w:szCs w:val="16"/>
              </w:rPr>
            </w:pPr>
            <w:r>
              <w:rPr>
                <w:bCs/>
                <w:sz w:val="16"/>
                <w:szCs w:val="16"/>
              </w:rPr>
              <w:t>Ст.20</w:t>
            </w:r>
            <w:r w:rsidRPr="006C469E">
              <w:rPr>
                <w:bCs/>
                <w:sz w:val="16"/>
                <w:szCs w:val="16"/>
              </w:rPr>
              <w:t>.</w:t>
            </w:r>
            <w:r>
              <w:rPr>
                <w:bCs/>
                <w:sz w:val="16"/>
                <w:szCs w:val="16"/>
              </w:rPr>
              <w:t>25</w:t>
            </w:r>
          </w:p>
          <w:p w:rsidR="0055491A" w:rsidRPr="006C469E" w:rsidRDefault="0055491A" w:rsidP="00210BF6">
            <w:pPr>
              <w:ind w:firstLine="0"/>
              <w:jc w:val="center"/>
              <w:rPr>
                <w:bCs/>
                <w:sz w:val="16"/>
                <w:szCs w:val="16"/>
              </w:rPr>
            </w:pPr>
          </w:p>
        </w:tc>
        <w:tc>
          <w:tcPr>
            <w:tcW w:w="545" w:type="dxa"/>
            <w:vAlign w:val="center"/>
          </w:tcPr>
          <w:p w:rsidR="0055491A" w:rsidRDefault="0055491A" w:rsidP="00210BF6">
            <w:pPr>
              <w:ind w:firstLine="0"/>
              <w:jc w:val="center"/>
              <w:rPr>
                <w:bCs/>
                <w:sz w:val="16"/>
                <w:szCs w:val="16"/>
              </w:rPr>
            </w:pPr>
          </w:p>
          <w:p w:rsidR="0055491A" w:rsidRPr="002D6C3D" w:rsidRDefault="0055491A" w:rsidP="00210BF6">
            <w:pPr>
              <w:ind w:firstLine="0"/>
              <w:jc w:val="center"/>
              <w:rPr>
                <w:bCs/>
                <w:sz w:val="16"/>
                <w:szCs w:val="16"/>
              </w:rPr>
            </w:pPr>
            <w:r>
              <w:rPr>
                <w:bCs/>
                <w:sz w:val="16"/>
                <w:szCs w:val="16"/>
              </w:rPr>
              <w:t>7</w:t>
            </w:r>
          </w:p>
        </w:tc>
        <w:tc>
          <w:tcPr>
            <w:tcW w:w="448" w:type="dxa"/>
            <w:vAlign w:val="center"/>
          </w:tcPr>
          <w:p w:rsidR="0055491A" w:rsidRDefault="0055491A" w:rsidP="00210BF6">
            <w:pPr>
              <w:ind w:firstLine="0"/>
              <w:jc w:val="center"/>
              <w:rPr>
                <w:color w:val="000000"/>
                <w:sz w:val="16"/>
                <w:szCs w:val="16"/>
              </w:rPr>
            </w:pPr>
          </w:p>
          <w:p w:rsidR="0055491A" w:rsidRDefault="0055491A" w:rsidP="00210BF6">
            <w:pPr>
              <w:ind w:firstLine="0"/>
              <w:jc w:val="center"/>
              <w:rPr>
                <w:color w:val="000000"/>
                <w:sz w:val="16"/>
                <w:szCs w:val="16"/>
              </w:rPr>
            </w:pPr>
            <w:r>
              <w:rPr>
                <w:color w:val="000000"/>
                <w:sz w:val="16"/>
                <w:szCs w:val="16"/>
              </w:rPr>
              <w:t>0</w:t>
            </w:r>
          </w:p>
        </w:tc>
        <w:tc>
          <w:tcPr>
            <w:tcW w:w="425" w:type="dxa"/>
            <w:vAlign w:val="center"/>
          </w:tcPr>
          <w:p w:rsidR="0055491A" w:rsidRDefault="0055491A" w:rsidP="00210BF6">
            <w:pPr>
              <w:ind w:firstLine="0"/>
              <w:jc w:val="center"/>
              <w:rPr>
                <w:bCs/>
                <w:sz w:val="16"/>
                <w:szCs w:val="16"/>
              </w:rPr>
            </w:pPr>
          </w:p>
          <w:p w:rsidR="0055491A" w:rsidRDefault="0055491A" w:rsidP="00210BF6">
            <w:pPr>
              <w:ind w:firstLine="0"/>
              <w:jc w:val="center"/>
              <w:rPr>
                <w:bCs/>
                <w:sz w:val="16"/>
                <w:szCs w:val="16"/>
              </w:rPr>
            </w:pPr>
            <w:r>
              <w:rPr>
                <w:bCs/>
                <w:sz w:val="16"/>
                <w:szCs w:val="16"/>
              </w:rPr>
              <w:t>0</w:t>
            </w:r>
          </w:p>
        </w:tc>
        <w:tc>
          <w:tcPr>
            <w:tcW w:w="425" w:type="dxa"/>
            <w:vAlign w:val="center"/>
          </w:tcPr>
          <w:p w:rsidR="0055491A" w:rsidRDefault="0055491A" w:rsidP="00210BF6">
            <w:pPr>
              <w:ind w:firstLine="0"/>
              <w:jc w:val="center"/>
              <w:rPr>
                <w:bCs/>
                <w:sz w:val="16"/>
                <w:szCs w:val="16"/>
              </w:rPr>
            </w:pPr>
          </w:p>
          <w:p w:rsidR="0055491A" w:rsidRDefault="0055491A" w:rsidP="00210BF6">
            <w:pPr>
              <w:ind w:firstLine="0"/>
              <w:jc w:val="center"/>
              <w:rPr>
                <w:bCs/>
                <w:sz w:val="16"/>
                <w:szCs w:val="16"/>
              </w:rPr>
            </w:pPr>
            <w:r>
              <w:rPr>
                <w:bCs/>
                <w:sz w:val="16"/>
                <w:szCs w:val="16"/>
              </w:rPr>
              <w:t>1</w:t>
            </w:r>
          </w:p>
        </w:tc>
        <w:tc>
          <w:tcPr>
            <w:tcW w:w="815" w:type="dxa"/>
            <w:vAlign w:val="center"/>
          </w:tcPr>
          <w:p w:rsidR="0055491A" w:rsidRDefault="0055491A" w:rsidP="00210BF6">
            <w:pPr>
              <w:ind w:firstLine="0"/>
              <w:jc w:val="center"/>
              <w:rPr>
                <w:color w:val="000000"/>
                <w:sz w:val="16"/>
                <w:szCs w:val="16"/>
              </w:rPr>
            </w:pPr>
          </w:p>
          <w:p w:rsidR="0055491A" w:rsidRDefault="0055491A" w:rsidP="00210BF6">
            <w:pPr>
              <w:ind w:firstLine="0"/>
              <w:jc w:val="center"/>
              <w:rPr>
                <w:color w:val="000000"/>
                <w:sz w:val="16"/>
                <w:szCs w:val="16"/>
              </w:rPr>
            </w:pPr>
            <w:r>
              <w:rPr>
                <w:color w:val="000000"/>
                <w:sz w:val="16"/>
                <w:szCs w:val="16"/>
              </w:rPr>
              <w:t>1</w:t>
            </w:r>
          </w:p>
        </w:tc>
        <w:tc>
          <w:tcPr>
            <w:tcW w:w="815" w:type="dxa"/>
            <w:gridSpan w:val="2"/>
            <w:vAlign w:val="center"/>
          </w:tcPr>
          <w:p w:rsidR="0055491A" w:rsidRDefault="0055491A" w:rsidP="00210BF6">
            <w:pPr>
              <w:ind w:firstLine="0"/>
              <w:jc w:val="center"/>
              <w:rPr>
                <w:color w:val="000000"/>
                <w:sz w:val="16"/>
                <w:szCs w:val="16"/>
              </w:rPr>
            </w:pPr>
          </w:p>
          <w:p w:rsidR="0055491A" w:rsidRDefault="0055491A" w:rsidP="00210BF6">
            <w:pPr>
              <w:ind w:firstLine="0"/>
              <w:jc w:val="center"/>
              <w:rPr>
                <w:color w:val="000000"/>
                <w:sz w:val="16"/>
                <w:szCs w:val="16"/>
              </w:rPr>
            </w:pPr>
            <w:r>
              <w:rPr>
                <w:color w:val="000000"/>
                <w:sz w:val="16"/>
                <w:szCs w:val="16"/>
              </w:rPr>
              <w:t>7,0</w:t>
            </w:r>
          </w:p>
        </w:tc>
        <w:tc>
          <w:tcPr>
            <w:tcW w:w="815" w:type="dxa"/>
            <w:vAlign w:val="center"/>
          </w:tcPr>
          <w:p w:rsidR="0055491A" w:rsidRDefault="0055491A" w:rsidP="00210BF6">
            <w:pPr>
              <w:ind w:firstLine="0"/>
              <w:jc w:val="center"/>
              <w:rPr>
                <w:bCs/>
                <w:sz w:val="16"/>
                <w:szCs w:val="16"/>
              </w:rPr>
            </w:pPr>
          </w:p>
          <w:p w:rsidR="0055491A" w:rsidRDefault="0055491A" w:rsidP="00210BF6">
            <w:pPr>
              <w:ind w:firstLine="0"/>
              <w:jc w:val="center"/>
              <w:rPr>
                <w:bCs/>
                <w:sz w:val="16"/>
                <w:szCs w:val="16"/>
              </w:rPr>
            </w:pPr>
            <w:r>
              <w:rPr>
                <w:bCs/>
                <w:sz w:val="16"/>
                <w:szCs w:val="16"/>
              </w:rPr>
              <w:t>1</w:t>
            </w:r>
          </w:p>
        </w:tc>
        <w:tc>
          <w:tcPr>
            <w:tcW w:w="815" w:type="dxa"/>
            <w:vAlign w:val="center"/>
          </w:tcPr>
          <w:p w:rsidR="0055491A" w:rsidRDefault="0055491A" w:rsidP="00210BF6">
            <w:pPr>
              <w:ind w:firstLine="0"/>
              <w:jc w:val="center"/>
              <w:rPr>
                <w:color w:val="000000"/>
                <w:sz w:val="16"/>
                <w:szCs w:val="16"/>
              </w:rPr>
            </w:pPr>
          </w:p>
          <w:p w:rsidR="0055491A" w:rsidRDefault="0055491A" w:rsidP="00210BF6">
            <w:pPr>
              <w:ind w:firstLine="0"/>
              <w:jc w:val="center"/>
              <w:rPr>
                <w:color w:val="000000"/>
                <w:sz w:val="16"/>
                <w:szCs w:val="16"/>
              </w:rPr>
            </w:pPr>
            <w:r>
              <w:rPr>
                <w:color w:val="000000"/>
                <w:sz w:val="16"/>
                <w:szCs w:val="16"/>
              </w:rPr>
              <w:t>7,0</w:t>
            </w:r>
          </w:p>
        </w:tc>
        <w:tc>
          <w:tcPr>
            <w:tcW w:w="815" w:type="dxa"/>
            <w:vAlign w:val="center"/>
          </w:tcPr>
          <w:p w:rsidR="0055491A" w:rsidRDefault="0055491A" w:rsidP="00210BF6">
            <w:pPr>
              <w:ind w:firstLine="0"/>
              <w:jc w:val="center"/>
              <w:rPr>
                <w:bCs/>
                <w:sz w:val="16"/>
                <w:szCs w:val="16"/>
              </w:rPr>
            </w:pPr>
          </w:p>
          <w:p w:rsidR="0055491A" w:rsidRDefault="0055491A" w:rsidP="00210BF6">
            <w:pPr>
              <w:ind w:firstLine="0"/>
              <w:jc w:val="center"/>
              <w:rPr>
                <w:bCs/>
                <w:sz w:val="16"/>
                <w:szCs w:val="16"/>
              </w:rPr>
            </w:pPr>
            <w:r>
              <w:rPr>
                <w:bCs/>
                <w:sz w:val="16"/>
                <w:szCs w:val="16"/>
              </w:rPr>
              <w:t>1</w:t>
            </w:r>
          </w:p>
        </w:tc>
        <w:tc>
          <w:tcPr>
            <w:tcW w:w="815" w:type="dxa"/>
            <w:gridSpan w:val="2"/>
            <w:vAlign w:val="center"/>
          </w:tcPr>
          <w:p w:rsidR="0055491A" w:rsidRDefault="0055491A" w:rsidP="00210BF6">
            <w:pPr>
              <w:ind w:firstLine="0"/>
              <w:jc w:val="center"/>
              <w:rPr>
                <w:color w:val="000000"/>
                <w:sz w:val="16"/>
                <w:szCs w:val="16"/>
              </w:rPr>
            </w:pPr>
          </w:p>
          <w:p w:rsidR="0055491A" w:rsidRDefault="0055491A" w:rsidP="00210BF6">
            <w:pPr>
              <w:ind w:firstLine="0"/>
              <w:jc w:val="center"/>
              <w:rPr>
                <w:color w:val="000000"/>
                <w:sz w:val="16"/>
                <w:szCs w:val="16"/>
              </w:rPr>
            </w:pPr>
            <w:r>
              <w:rPr>
                <w:color w:val="000000"/>
                <w:sz w:val="16"/>
                <w:szCs w:val="16"/>
              </w:rPr>
              <w:t>7,0</w:t>
            </w:r>
          </w:p>
        </w:tc>
        <w:tc>
          <w:tcPr>
            <w:tcW w:w="815" w:type="dxa"/>
            <w:vAlign w:val="center"/>
          </w:tcPr>
          <w:p w:rsidR="0055491A" w:rsidRDefault="0055491A" w:rsidP="00210BF6">
            <w:pPr>
              <w:ind w:firstLine="0"/>
              <w:jc w:val="center"/>
              <w:rPr>
                <w:bCs/>
                <w:sz w:val="16"/>
                <w:szCs w:val="16"/>
              </w:rPr>
            </w:pPr>
          </w:p>
          <w:p w:rsidR="0055491A" w:rsidRDefault="0055491A" w:rsidP="00210BF6">
            <w:pPr>
              <w:ind w:firstLine="0"/>
              <w:jc w:val="center"/>
              <w:rPr>
                <w:bCs/>
                <w:sz w:val="16"/>
                <w:szCs w:val="16"/>
              </w:rPr>
            </w:pPr>
            <w:r>
              <w:rPr>
                <w:bCs/>
                <w:sz w:val="16"/>
                <w:szCs w:val="16"/>
              </w:rPr>
              <w:t>1</w:t>
            </w:r>
          </w:p>
        </w:tc>
        <w:tc>
          <w:tcPr>
            <w:tcW w:w="816" w:type="dxa"/>
            <w:vAlign w:val="center"/>
          </w:tcPr>
          <w:p w:rsidR="0055491A" w:rsidRDefault="0055491A" w:rsidP="00210BF6">
            <w:pPr>
              <w:ind w:firstLine="0"/>
              <w:jc w:val="center"/>
              <w:rPr>
                <w:color w:val="000000"/>
                <w:sz w:val="16"/>
                <w:szCs w:val="16"/>
              </w:rPr>
            </w:pPr>
          </w:p>
          <w:p w:rsidR="0055491A" w:rsidRDefault="0055491A" w:rsidP="00210BF6">
            <w:pPr>
              <w:ind w:firstLine="0"/>
              <w:jc w:val="center"/>
              <w:rPr>
                <w:color w:val="000000"/>
                <w:sz w:val="16"/>
                <w:szCs w:val="16"/>
              </w:rPr>
            </w:pPr>
            <w:r>
              <w:rPr>
                <w:color w:val="000000"/>
                <w:sz w:val="16"/>
                <w:szCs w:val="16"/>
              </w:rPr>
              <w:t>7,0</w:t>
            </w:r>
          </w:p>
        </w:tc>
        <w:tc>
          <w:tcPr>
            <w:tcW w:w="925" w:type="dxa"/>
            <w:vMerge w:val="restart"/>
            <w:vAlign w:val="center"/>
          </w:tcPr>
          <w:p w:rsidR="0055491A" w:rsidRDefault="0055491A" w:rsidP="00210BF6">
            <w:pPr>
              <w:ind w:firstLine="0"/>
              <w:jc w:val="center"/>
              <w:rPr>
                <w:color w:val="000000"/>
                <w:sz w:val="20"/>
                <w:szCs w:val="20"/>
              </w:rPr>
            </w:pPr>
            <w:r>
              <w:rPr>
                <w:color w:val="000000"/>
                <w:sz w:val="20"/>
                <w:szCs w:val="20"/>
              </w:rPr>
              <w:t>Калининский р-н</w:t>
            </w:r>
          </w:p>
        </w:tc>
      </w:tr>
      <w:tr w:rsidR="0055491A" w:rsidRPr="00F564B2" w:rsidTr="00210BF6">
        <w:trPr>
          <w:trHeight w:val="585"/>
        </w:trPr>
        <w:tc>
          <w:tcPr>
            <w:tcW w:w="1396" w:type="dxa"/>
            <w:gridSpan w:val="2"/>
            <w:vAlign w:val="center"/>
          </w:tcPr>
          <w:p w:rsidR="0055491A" w:rsidRPr="00D068C3" w:rsidRDefault="0055491A" w:rsidP="00210BF6">
            <w:pPr>
              <w:ind w:firstLine="0"/>
              <w:jc w:val="center"/>
              <w:rPr>
                <w:b/>
                <w:color w:val="FF0000"/>
                <w:sz w:val="16"/>
                <w:szCs w:val="16"/>
              </w:rPr>
            </w:pPr>
            <w:r w:rsidRPr="00D068C3">
              <w:rPr>
                <w:b/>
                <w:sz w:val="18"/>
                <w:szCs w:val="18"/>
              </w:rPr>
              <w:t>Итого в областной бюджет Тверской области</w:t>
            </w:r>
            <w:r>
              <w:rPr>
                <w:b/>
                <w:sz w:val="18"/>
                <w:szCs w:val="18"/>
              </w:rPr>
              <w:t xml:space="preserve"> </w:t>
            </w:r>
          </w:p>
        </w:tc>
        <w:tc>
          <w:tcPr>
            <w:tcW w:w="448" w:type="dxa"/>
            <w:vAlign w:val="center"/>
          </w:tcPr>
          <w:p w:rsidR="0055491A" w:rsidRDefault="0055491A" w:rsidP="00210BF6">
            <w:pPr>
              <w:ind w:firstLine="0"/>
              <w:jc w:val="center"/>
              <w:rPr>
                <w:color w:val="000000"/>
                <w:sz w:val="16"/>
                <w:szCs w:val="16"/>
              </w:rPr>
            </w:pPr>
          </w:p>
        </w:tc>
        <w:tc>
          <w:tcPr>
            <w:tcW w:w="425" w:type="dxa"/>
            <w:vAlign w:val="center"/>
          </w:tcPr>
          <w:p w:rsidR="0055491A" w:rsidRDefault="0055491A" w:rsidP="00210BF6">
            <w:pPr>
              <w:ind w:firstLine="0"/>
              <w:jc w:val="center"/>
              <w:rPr>
                <w:bCs/>
                <w:sz w:val="16"/>
                <w:szCs w:val="16"/>
              </w:rPr>
            </w:pPr>
          </w:p>
        </w:tc>
        <w:tc>
          <w:tcPr>
            <w:tcW w:w="425" w:type="dxa"/>
            <w:vAlign w:val="center"/>
          </w:tcPr>
          <w:p w:rsidR="0055491A" w:rsidRDefault="0055491A" w:rsidP="00210BF6">
            <w:pPr>
              <w:ind w:firstLine="0"/>
              <w:jc w:val="center"/>
              <w:rPr>
                <w:bCs/>
                <w:sz w:val="16"/>
                <w:szCs w:val="16"/>
              </w:rPr>
            </w:pPr>
          </w:p>
        </w:tc>
        <w:tc>
          <w:tcPr>
            <w:tcW w:w="815" w:type="dxa"/>
            <w:vAlign w:val="center"/>
          </w:tcPr>
          <w:p w:rsidR="0055491A" w:rsidRDefault="0055491A" w:rsidP="00210BF6">
            <w:pPr>
              <w:ind w:firstLine="0"/>
              <w:jc w:val="center"/>
              <w:rPr>
                <w:color w:val="000000"/>
                <w:sz w:val="16"/>
                <w:szCs w:val="16"/>
              </w:rPr>
            </w:pPr>
          </w:p>
        </w:tc>
        <w:tc>
          <w:tcPr>
            <w:tcW w:w="815" w:type="dxa"/>
            <w:gridSpan w:val="2"/>
            <w:vAlign w:val="center"/>
          </w:tcPr>
          <w:p w:rsidR="0055491A" w:rsidRPr="00DC0161" w:rsidRDefault="0055491A" w:rsidP="00210BF6">
            <w:pPr>
              <w:ind w:firstLine="0"/>
              <w:jc w:val="center"/>
              <w:rPr>
                <w:b/>
                <w:color w:val="000000"/>
                <w:sz w:val="16"/>
                <w:szCs w:val="16"/>
              </w:rPr>
            </w:pPr>
          </w:p>
          <w:p w:rsidR="0055491A" w:rsidRPr="00DC0161" w:rsidRDefault="0055491A" w:rsidP="00210BF6">
            <w:pPr>
              <w:ind w:firstLine="0"/>
              <w:jc w:val="center"/>
              <w:rPr>
                <w:b/>
                <w:color w:val="000000"/>
                <w:sz w:val="16"/>
                <w:szCs w:val="16"/>
              </w:rPr>
            </w:pPr>
            <w:r w:rsidRPr="00DC0161">
              <w:rPr>
                <w:b/>
                <w:color w:val="000000"/>
                <w:sz w:val="16"/>
                <w:szCs w:val="16"/>
              </w:rPr>
              <w:t>3,5</w:t>
            </w:r>
          </w:p>
        </w:tc>
        <w:tc>
          <w:tcPr>
            <w:tcW w:w="815" w:type="dxa"/>
            <w:vAlign w:val="center"/>
          </w:tcPr>
          <w:p w:rsidR="0055491A" w:rsidRPr="00DC0161" w:rsidRDefault="0055491A" w:rsidP="00210BF6">
            <w:pPr>
              <w:ind w:firstLine="0"/>
              <w:jc w:val="center"/>
              <w:rPr>
                <w:b/>
                <w:bCs/>
                <w:sz w:val="16"/>
                <w:szCs w:val="16"/>
              </w:rPr>
            </w:pPr>
          </w:p>
        </w:tc>
        <w:tc>
          <w:tcPr>
            <w:tcW w:w="815" w:type="dxa"/>
            <w:vAlign w:val="center"/>
          </w:tcPr>
          <w:p w:rsidR="0055491A" w:rsidRPr="00DC0161" w:rsidRDefault="0055491A" w:rsidP="00210BF6">
            <w:pPr>
              <w:ind w:firstLine="0"/>
              <w:jc w:val="center"/>
              <w:rPr>
                <w:b/>
                <w:color w:val="000000"/>
                <w:sz w:val="16"/>
                <w:szCs w:val="16"/>
              </w:rPr>
            </w:pPr>
          </w:p>
          <w:p w:rsidR="0055491A" w:rsidRPr="00DC0161" w:rsidRDefault="0055491A" w:rsidP="00210BF6">
            <w:pPr>
              <w:ind w:firstLine="0"/>
              <w:jc w:val="center"/>
              <w:rPr>
                <w:b/>
                <w:color w:val="000000"/>
                <w:sz w:val="16"/>
                <w:szCs w:val="16"/>
              </w:rPr>
            </w:pPr>
            <w:r w:rsidRPr="00DC0161">
              <w:rPr>
                <w:b/>
                <w:color w:val="000000"/>
                <w:sz w:val="16"/>
                <w:szCs w:val="16"/>
              </w:rPr>
              <w:t>3,5</w:t>
            </w:r>
          </w:p>
        </w:tc>
        <w:tc>
          <w:tcPr>
            <w:tcW w:w="815" w:type="dxa"/>
            <w:vAlign w:val="center"/>
          </w:tcPr>
          <w:p w:rsidR="0055491A" w:rsidRPr="00DC0161" w:rsidRDefault="0055491A" w:rsidP="00210BF6">
            <w:pPr>
              <w:ind w:firstLine="0"/>
              <w:jc w:val="center"/>
              <w:rPr>
                <w:b/>
                <w:bCs/>
                <w:sz w:val="16"/>
                <w:szCs w:val="16"/>
              </w:rPr>
            </w:pPr>
          </w:p>
        </w:tc>
        <w:tc>
          <w:tcPr>
            <w:tcW w:w="815" w:type="dxa"/>
            <w:gridSpan w:val="2"/>
            <w:vAlign w:val="center"/>
          </w:tcPr>
          <w:p w:rsidR="0055491A" w:rsidRPr="00DC0161" w:rsidRDefault="0055491A" w:rsidP="00210BF6">
            <w:pPr>
              <w:ind w:firstLine="0"/>
              <w:jc w:val="center"/>
              <w:rPr>
                <w:b/>
                <w:color w:val="000000"/>
                <w:sz w:val="16"/>
                <w:szCs w:val="16"/>
              </w:rPr>
            </w:pPr>
          </w:p>
          <w:p w:rsidR="0055491A" w:rsidRPr="00DC0161" w:rsidRDefault="0055491A" w:rsidP="00210BF6">
            <w:pPr>
              <w:ind w:firstLine="0"/>
              <w:jc w:val="center"/>
              <w:rPr>
                <w:b/>
                <w:color w:val="000000"/>
                <w:sz w:val="16"/>
                <w:szCs w:val="16"/>
              </w:rPr>
            </w:pPr>
            <w:r w:rsidRPr="00DC0161">
              <w:rPr>
                <w:b/>
                <w:color w:val="000000"/>
                <w:sz w:val="16"/>
                <w:szCs w:val="16"/>
              </w:rPr>
              <w:t>3,5</w:t>
            </w:r>
          </w:p>
        </w:tc>
        <w:tc>
          <w:tcPr>
            <w:tcW w:w="815" w:type="dxa"/>
            <w:vAlign w:val="center"/>
          </w:tcPr>
          <w:p w:rsidR="0055491A" w:rsidRPr="00DC0161" w:rsidRDefault="0055491A" w:rsidP="00210BF6">
            <w:pPr>
              <w:ind w:firstLine="0"/>
              <w:jc w:val="center"/>
              <w:rPr>
                <w:b/>
                <w:bCs/>
                <w:sz w:val="16"/>
                <w:szCs w:val="16"/>
              </w:rPr>
            </w:pPr>
          </w:p>
        </w:tc>
        <w:tc>
          <w:tcPr>
            <w:tcW w:w="816" w:type="dxa"/>
            <w:vAlign w:val="center"/>
          </w:tcPr>
          <w:p w:rsidR="0055491A" w:rsidRPr="00DC0161" w:rsidRDefault="0055491A" w:rsidP="00210BF6">
            <w:pPr>
              <w:ind w:firstLine="0"/>
              <w:jc w:val="center"/>
              <w:rPr>
                <w:b/>
                <w:color w:val="000000"/>
                <w:sz w:val="16"/>
                <w:szCs w:val="16"/>
              </w:rPr>
            </w:pPr>
          </w:p>
          <w:p w:rsidR="0055491A" w:rsidRPr="00DC0161" w:rsidRDefault="0055491A" w:rsidP="00210BF6">
            <w:pPr>
              <w:ind w:firstLine="0"/>
              <w:jc w:val="center"/>
              <w:rPr>
                <w:b/>
                <w:color w:val="000000"/>
                <w:sz w:val="16"/>
                <w:szCs w:val="16"/>
              </w:rPr>
            </w:pPr>
            <w:r w:rsidRPr="00DC0161">
              <w:rPr>
                <w:b/>
                <w:color w:val="000000"/>
                <w:sz w:val="16"/>
                <w:szCs w:val="16"/>
              </w:rPr>
              <w:t>3,5</w:t>
            </w:r>
          </w:p>
        </w:tc>
        <w:tc>
          <w:tcPr>
            <w:tcW w:w="925" w:type="dxa"/>
            <w:vMerge/>
            <w:vAlign w:val="center"/>
          </w:tcPr>
          <w:p w:rsidR="0055491A" w:rsidRDefault="0055491A" w:rsidP="00210BF6">
            <w:pPr>
              <w:ind w:firstLine="0"/>
              <w:jc w:val="center"/>
              <w:rPr>
                <w:color w:val="000000"/>
                <w:sz w:val="20"/>
                <w:szCs w:val="20"/>
              </w:rPr>
            </w:pPr>
          </w:p>
        </w:tc>
      </w:tr>
      <w:tr w:rsidR="0055491A" w:rsidRPr="00F564B2" w:rsidTr="00210BF6">
        <w:trPr>
          <w:trHeight w:val="585"/>
        </w:trPr>
        <w:tc>
          <w:tcPr>
            <w:tcW w:w="851" w:type="dxa"/>
            <w:vAlign w:val="center"/>
          </w:tcPr>
          <w:p w:rsidR="0055491A" w:rsidRDefault="0055491A" w:rsidP="00210BF6">
            <w:pPr>
              <w:ind w:firstLine="0"/>
              <w:jc w:val="center"/>
              <w:rPr>
                <w:bCs/>
                <w:sz w:val="16"/>
                <w:szCs w:val="16"/>
              </w:rPr>
            </w:pPr>
          </w:p>
          <w:p w:rsidR="0055491A" w:rsidRPr="006C469E" w:rsidRDefault="0055491A" w:rsidP="00210BF6">
            <w:pPr>
              <w:ind w:firstLine="0"/>
              <w:jc w:val="center"/>
              <w:rPr>
                <w:bCs/>
                <w:sz w:val="16"/>
                <w:szCs w:val="16"/>
              </w:rPr>
            </w:pPr>
            <w:r>
              <w:rPr>
                <w:bCs/>
                <w:sz w:val="16"/>
                <w:szCs w:val="16"/>
              </w:rPr>
              <w:t>Ст.20</w:t>
            </w:r>
            <w:r w:rsidRPr="006C469E">
              <w:rPr>
                <w:bCs/>
                <w:sz w:val="16"/>
                <w:szCs w:val="16"/>
              </w:rPr>
              <w:t>.</w:t>
            </w:r>
            <w:r>
              <w:rPr>
                <w:bCs/>
                <w:sz w:val="16"/>
                <w:szCs w:val="16"/>
              </w:rPr>
              <w:t>25</w:t>
            </w:r>
          </w:p>
          <w:p w:rsidR="0055491A" w:rsidRPr="006C469E" w:rsidRDefault="0055491A" w:rsidP="00210BF6">
            <w:pPr>
              <w:ind w:firstLine="0"/>
              <w:jc w:val="center"/>
              <w:rPr>
                <w:bCs/>
                <w:sz w:val="16"/>
                <w:szCs w:val="16"/>
              </w:rPr>
            </w:pPr>
          </w:p>
        </w:tc>
        <w:tc>
          <w:tcPr>
            <w:tcW w:w="545" w:type="dxa"/>
            <w:vAlign w:val="center"/>
          </w:tcPr>
          <w:p w:rsidR="0055491A" w:rsidRDefault="0055491A" w:rsidP="00210BF6">
            <w:pPr>
              <w:ind w:firstLine="0"/>
              <w:jc w:val="center"/>
              <w:rPr>
                <w:bCs/>
                <w:sz w:val="16"/>
                <w:szCs w:val="16"/>
              </w:rPr>
            </w:pPr>
          </w:p>
          <w:p w:rsidR="0055491A" w:rsidRPr="002D6C3D" w:rsidRDefault="0055491A" w:rsidP="00210BF6">
            <w:pPr>
              <w:ind w:firstLine="0"/>
              <w:jc w:val="center"/>
              <w:rPr>
                <w:bCs/>
                <w:sz w:val="16"/>
                <w:szCs w:val="16"/>
              </w:rPr>
            </w:pPr>
            <w:r>
              <w:rPr>
                <w:bCs/>
                <w:sz w:val="16"/>
                <w:szCs w:val="16"/>
              </w:rPr>
              <w:t>8</w:t>
            </w:r>
          </w:p>
        </w:tc>
        <w:tc>
          <w:tcPr>
            <w:tcW w:w="448" w:type="dxa"/>
            <w:vAlign w:val="center"/>
          </w:tcPr>
          <w:p w:rsidR="0055491A" w:rsidRDefault="0055491A" w:rsidP="00210BF6">
            <w:pPr>
              <w:ind w:firstLine="0"/>
              <w:jc w:val="center"/>
              <w:rPr>
                <w:color w:val="000000"/>
                <w:sz w:val="16"/>
                <w:szCs w:val="16"/>
              </w:rPr>
            </w:pPr>
          </w:p>
          <w:p w:rsidR="0055491A" w:rsidRDefault="0055491A" w:rsidP="00210BF6">
            <w:pPr>
              <w:ind w:firstLine="0"/>
              <w:jc w:val="center"/>
              <w:rPr>
                <w:color w:val="000000"/>
                <w:sz w:val="16"/>
                <w:szCs w:val="16"/>
              </w:rPr>
            </w:pPr>
            <w:r>
              <w:rPr>
                <w:color w:val="000000"/>
                <w:sz w:val="16"/>
                <w:szCs w:val="16"/>
              </w:rPr>
              <w:t>0</w:t>
            </w:r>
          </w:p>
        </w:tc>
        <w:tc>
          <w:tcPr>
            <w:tcW w:w="425" w:type="dxa"/>
            <w:vAlign w:val="center"/>
          </w:tcPr>
          <w:p w:rsidR="0055491A" w:rsidRDefault="0055491A" w:rsidP="00210BF6">
            <w:pPr>
              <w:ind w:firstLine="0"/>
              <w:jc w:val="center"/>
              <w:rPr>
                <w:bCs/>
                <w:sz w:val="16"/>
                <w:szCs w:val="16"/>
              </w:rPr>
            </w:pPr>
          </w:p>
          <w:p w:rsidR="0055491A" w:rsidRDefault="0055491A" w:rsidP="00210BF6">
            <w:pPr>
              <w:ind w:firstLine="0"/>
              <w:jc w:val="center"/>
              <w:rPr>
                <w:bCs/>
                <w:sz w:val="16"/>
                <w:szCs w:val="16"/>
              </w:rPr>
            </w:pPr>
            <w:r>
              <w:rPr>
                <w:bCs/>
                <w:sz w:val="16"/>
                <w:szCs w:val="16"/>
              </w:rPr>
              <w:t>0</w:t>
            </w:r>
          </w:p>
        </w:tc>
        <w:tc>
          <w:tcPr>
            <w:tcW w:w="425" w:type="dxa"/>
            <w:vAlign w:val="center"/>
          </w:tcPr>
          <w:p w:rsidR="0055491A" w:rsidRDefault="0055491A" w:rsidP="00210BF6">
            <w:pPr>
              <w:ind w:firstLine="0"/>
              <w:jc w:val="center"/>
              <w:rPr>
                <w:bCs/>
                <w:sz w:val="16"/>
                <w:szCs w:val="16"/>
              </w:rPr>
            </w:pPr>
          </w:p>
          <w:p w:rsidR="0055491A" w:rsidRDefault="0055491A" w:rsidP="00210BF6">
            <w:pPr>
              <w:ind w:firstLine="0"/>
              <w:jc w:val="center"/>
              <w:rPr>
                <w:bCs/>
                <w:sz w:val="16"/>
                <w:szCs w:val="16"/>
              </w:rPr>
            </w:pPr>
            <w:r>
              <w:rPr>
                <w:bCs/>
                <w:sz w:val="16"/>
                <w:szCs w:val="16"/>
              </w:rPr>
              <w:t>1</w:t>
            </w:r>
          </w:p>
        </w:tc>
        <w:tc>
          <w:tcPr>
            <w:tcW w:w="815" w:type="dxa"/>
            <w:vAlign w:val="center"/>
          </w:tcPr>
          <w:p w:rsidR="0055491A" w:rsidRDefault="0055491A" w:rsidP="00210BF6">
            <w:pPr>
              <w:ind w:firstLine="0"/>
              <w:jc w:val="center"/>
              <w:rPr>
                <w:color w:val="000000"/>
                <w:sz w:val="16"/>
                <w:szCs w:val="16"/>
              </w:rPr>
            </w:pPr>
          </w:p>
          <w:p w:rsidR="0055491A" w:rsidRDefault="0055491A" w:rsidP="00210BF6">
            <w:pPr>
              <w:ind w:firstLine="0"/>
              <w:jc w:val="center"/>
              <w:rPr>
                <w:color w:val="000000"/>
                <w:sz w:val="16"/>
                <w:szCs w:val="16"/>
              </w:rPr>
            </w:pPr>
            <w:r>
              <w:rPr>
                <w:color w:val="000000"/>
                <w:sz w:val="16"/>
                <w:szCs w:val="16"/>
              </w:rPr>
              <w:t>1</w:t>
            </w:r>
          </w:p>
        </w:tc>
        <w:tc>
          <w:tcPr>
            <w:tcW w:w="815" w:type="dxa"/>
            <w:gridSpan w:val="2"/>
            <w:vAlign w:val="center"/>
          </w:tcPr>
          <w:p w:rsidR="0055491A" w:rsidRDefault="0055491A" w:rsidP="00210BF6">
            <w:pPr>
              <w:ind w:firstLine="0"/>
              <w:jc w:val="center"/>
              <w:rPr>
                <w:color w:val="000000"/>
                <w:sz w:val="16"/>
                <w:szCs w:val="16"/>
              </w:rPr>
            </w:pPr>
          </w:p>
          <w:p w:rsidR="0055491A" w:rsidRDefault="0055491A" w:rsidP="00210BF6">
            <w:pPr>
              <w:ind w:firstLine="0"/>
              <w:jc w:val="center"/>
              <w:rPr>
                <w:color w:val="000000"/>
                <w:sz w:val="16"/>
                <w:szCs w:val="16"/>
              </w:rPr>
            </w:pPr>
            <w:r>
              <w:rPr>
                <w:color w:val="000000"/>
                <w:sz w:val="16"/>
                <w:szCs w:val="16"/>
              </w:rPr>
              <w:t>8,0</w:t>
            </w:r>
          </w:p>
        </w:tc>
        <w:tc>
          <w:tcPr>
            <w:tcW w:w="815" w:type="dxa"/>
            <w:vAlign w:val="center"/>
          </w:tcPr>
          <w:p w:rsidR="0055491A" w:rsidRDefault="0055491A" w:rsidP="00210BF6">
            <w:pPr>
              <w:ind w:firstLine="0"/>
              <w:jc w:val="center"/>
              <w:rPr>
                <w:bCs/>
                <w:sz w:val="16"/>
                <w:szCs w:val="16"/>
              </w:rPr>
            </w:pPr>
          </w:p>
          <w:p w:rsidR="0055491A" w:rsidRDefault="0055491A" w:rsidP="00210BF6">
            <w:pPr>
              <w:ind w:firstLine="0"/>
              <w:jc w:val="center"/>
              <w:rPr>
                <w:bCs/>
                <w:sz w:val="16"/>
                <w:szCs w:val="16"/>
              </w:rPr>
            </w:pPr>
            <w:r>
              <w:rPr>
                <w:bCs/>
                <w:sz w:val="16"/>
                <w:szCs w:val="16"/>
              </w:rPr>
              <w:t>1</w:t>
            </w:r>
          </w:p>
        </w:tc>
        <w:tc>
          <w:tcPr>
            <w:tcW w:w="815" w:type="dxa"/>
            <w:vAlign w:val="center"/>
          </w:tcPr>
          <w:p w:rsidR="0055491A" w:rsidRDefault="0055491A" w:rsidP="00210BF6">
            <w:pPr>
              <w:ind w:firstLine="0"/>
              <w:jc w:val="center"/>
              <w:rPr>
                <w:color w:val="000000"/>
                <w:sz w:val="16"/>
                <w:szCs w:val="16"/>
              </w:rPr>
            </w:pPr>
          </w:p>
          <w:p w:rsidR="0055491A" w:rsidRDefault="0055491A" w:rsidP="00210BF6">
            <w:pPr>
              <w:ind w:firstLine="0"/>
              <w:jc w:val="center"/>
              <w:rPr>
                <w:color w:val="000000"/>
                <w:sz w:val="16"/>
                <w:szCs w:val="16"/>
              </w:rPr>
            </w:pPr>
            <w:r>
              <w:rPr>
                <w:color w:val="000000"/>
                <w:sz w:val="16"/>
                <w:szCs w:val="16"/>
              </w:rPr>
              <w:t>8,0</w:t>
            </w:r>
          </w:p>
        </w:tc>
        <w:tc>
          <w:tcPr>
            <w:tcW w:w="815" w:type="dxa"/>
            <w:vAlign w:val="center"/>
          </w:tcPr>
          <w:p w:rsidR="0055491A" w:rsidRDefault="0055491A" w:rsidP="00210BF6">
            <w:pPr>
              <w:ind w:firstLine="0"/>
              <w:jc w:val="center"/>
              <w:rPr>
                <w:bCs/>
                <w:sz w:val="16"/>
                <w:szCs w:val="16"/>
              </w:rPr>
            </w:pPr>
          </w:p>
          <w:p w:rsidR="0055491A" w:rsidRDefault="0055491A" w:rsidP="00210BF6">
            <w:pPr>
              <w:ind w:firstLine="0"/>
              <w:jc w:val="center"/>
              <w:rPr>
                <w:bCs/>
                <w:sz w:val="16"/>
                <w:szCs w:val="16"/>
              </w:rPr>
            </w:pPr>
            <w:r>
              <w:rPr>
                <w:bCs/>
                <w:sz w:val="16"/>
                <w:szCs w:val="16"/>
              </w:rPr>
              <w:t>1</w:t>
            </w:r>
          </w:p>
        </w:tc>
        <w:tc>
          <w:tcPr>
            <w:tcW w:w="815" w:type="dxa"/>
            <w:gridSpan w:val="2"/>
            <w:vAlign w:val="center"/>
          </w:tcPr>
          <w:p w:rsidR="0055491A" w:rsidRDefault="0055491A" w:rsidP="00210BF6">
            <w:pPr>
              <w:ind w:firstLine="0"/>
              <w:jc w:val="center"/>
              <w:rPr>
                <w:color w:val="000000"/>
                <w:sz w:val="16"/>
                <w:szCs w:val="16"/>
              </w:rPr>
            </w:pPr>
          </w:p>
          <w:p w:rsidR="0055491A" w:rsidRDefault="0055491A" w:rsidP="00210BF6">
            <w:pPr>
              <w:ind w:firstLine="0"/>
              <w:jc w:val="center"/>
              <w:rPr>
                <w:color w:val="000000"/>
                <w:sz w:val="16"/>
                <w:szCs w:val="16"/>
              </w:rPr>
            </w:pPr>
            <w:r>
              <w:rPr>
                <w:color w:val="000000"/>
                <w:sz w:val="16"/>
                <w:szCs w:val="16"/>
              </w:rPr>
              <w:t>8,0</w:t>
            </w:r>
          </w:p>
        </w:tc>
        <w:tc>
          <w:tcPr>
            <w:tcW w:w="815" w:type="dxa"/>
            <w:vAlign w:val="center"/>
          </w:tcPr>
          <w:p w:rsidR="0055491A" w:rsidRDefault="0055491A" w:rsidP="00210BF6">
            <w:pPr>
              <w:ind w:firstLine="0"/>
              <w:jc w:val="center"/>
              <w:rPr>
                <w:bCs/>
                <w:sz w:val="16"/>
                <w:szCs w:val="16"/>
              </w:rPr>
            </w:pPr>
          </w:p>
          <w:p w:rsidR="0055491A" w:rsidRDefault="0055491A" w:rsidP="00210BF6">
            <w:pPr>
              <w:ind w:firstLine="0"/>
              <w:jc w:val="center"/>
              <w:rPr>
                <w:bCs/>
                <w:sz w:val="16"/>
                <w:szCs w:val="16"/>
              </w:rPr>
            </w:pPr>
            <w:r>
              <w:rPr>
                <w:bCs/>
                <w:sz w:val="16"/>
                <w:szCs w:val="16"/>
              </w:rPr>
              <w:t>1</w:t>
            </w:r>
          </w:p>
        </w:tc>
        <w:tc>
          <w:tcPr>
            <w:tcW w:w="816" w:type="dxa"/>
            <w:vAlign w:val="center"/>
          </w:tcPr>
          <w:p w:rsidR="0055491A" w:rsidRDefault="0055491A" w:rsidP="00210BF6">
            <w:pPr>
              <w:ind w:firstLine="0"/>
              <w:jc w:val="center"/>
              <w:rPr>
                <w:color w:val="000000"/>
                <w:sz w:val="16"/>
                <w:szCs w:val="16"/>
              </w:rPr>
            </w:pPr>
          </w:p>
          <w:p w:rsidR="0055491A" w:rsidRDefault="0055491A" w:rsidP="00210BF6">
            <w:pPr>
              <w:ind w:firstLine="0"/>
              <w:jc w:val="center"/>
              <w:rPr>
                <w:color w:val="000000"/>
                <w:sz w:val="16"/>
                <w:szCs w:val="16"/>
              </w:rPr>
            </w:pPr>
            <w:r>
              <w:rPr>
                <w:color w:val="000000"/>
                <w:sz w:val="16"/>
                <w:szCs w:val="16"/>
              </w:rPr>
              <w:t>8,0</w:t>
            </w:r>
          </w:p>
        </w:tc>
        <w:tc>
          <w:tcPr>
            <w:tcW w:w="925" w:type="dxa"/>
            <w:vMerge w:val="restart"/>
            <w:vAlign w:val="center"/>
          </w:tcPr>
          <w:p w:rsidR="0055491A" w:rsidRDefault="0055491A" w:rsidP="00210BF6">
            <w:pPr>
              <w:ind w:firstLine="0"/>
              <w:jc w:val="center"/>
              <w:rPr>
                <w:color w:val="000000"/>
                <w:sz w:val="20"/>
                <w:szCs w:val="20"/>
              </w:rPr>
            </w:pPr>
            <w:r>
              <w:rPr>
                <w:color w:val="000000"/>
                <w:sz w:val="20"/>
                <w:szCs w:val="20"/>
              </w:rPr>
              <w:t>Торжокский р-н</w:t>
            </w:r>
          </w:p>
        </w:tc>
      </w:tr>
      <w:tr w:rsidR="0055491A" w:rsidRPr="00F564B2" w:rsidTr="00210BF6">
        <w:trPr>
          <w:trHeight w:val="585"/>
        </w:trPr>
        <w:tc>
          <w:tcPr>
            <w:tcW w:w="1396" w:type="dxa"/>
            <w:gridSpan w:val="2"/>
            <w:vAlign w:val="center"/>
          </w:tcPr>
          <w:p w:rsidR="0055491A" w:rsidRPr="00D068C3" w:rsidRDefault="0055491A" w:rsidP="00210BF6">
            <w:pPr>
              <w:ind w:firstLine="0"/>
              <w:jc w:val="center"/>
              <w:rPr>
                <w:b/>
                <w:color w:val="FF0000"/>
                <w:sz w:val="16"/>
                <w:szCs w:val="16"/>
              </w:rPr>
            </w:pPr>
            <w:r w:rsidRPr="00D068C3">
              <w:rPr>
                <w:b/>
                <w:sz w:val="18"/>
                <w:szCs w:val="18"/>
              </w:rPr>
              <w:t>Итого в областной бюджет Тверской области</w:t>
            </w:r>
          </w:p>
        </w:tc>
        <w:tc>
          <w:tcPr>
            <w:tcW w:w="448" w:type="dxa"/>
            <w:vAlign w:val="center"/>
          </w:tcPr>
          <w:p w:rsidR="0055491A" w:rsidRDefault="0055491A" w:rsidP="00210BF6">
            <w:pPr>
              <w:ind w:firstLine="0"/>
              <w:jc w:val="center"/>
              <w:rPr>
                <w:color w:val="000000"/>
                <w:sz w:val="16"/>
                <w:szCs w:val="16"/>
              </w:rPr>
            </w:pPr>
          </w:p>
        </w:tc>
        <w:tc>
          <w:tcPr>
            <w:tcW w:w="425" w:type="dxa"/>
            <w:vAlign w:val="center"/>
          </w:tcPr>
          <w:p w:rsidR="0055491A" w:rsidRDefault="0055491A" w:rsidP="00210BF6">
            <w:pPr>
              <w:ind w:firstLine="0"/>
              <w:jc w:val="center"/>
              <w:rPr>
                <w:bCs/>
                <w:sz w:val="16"/>
                <w:szCs w:val="16"/>
              </w:rPr>
            </w:pPr>
          </w:p>
        </w:tc>
        <w:tc>
          <w:tcPr>
            <w:tcW w:w="425" w:type="dxa"/>
            <w:vAlign w:val="center"/>
          </w:tcPr>
          <w:p w:rsidR="0055491A" w:rsidRDefault="0055491A" w:rsidP="00210BF6">
            <w:pPr>
              <w:ind w:firstLine="0"/>
              <w:jc w:val="center"/>
              <w:rPr>
                <w:bCs/>
                <w:sz w:val="16"/>
                <w:szCs w:val="16"/>
              </w:rPr>
            </w:pPr>
          </w:p>
        </w:tc>
        <w:tc>
          <w:tcPr>
            <w:tcW w:w="815" w:type="dxa"/>
            <w:vAlign w:val="center"/>
          </w:tcPr>
          <w:p w:rsidR="0055491A" w:rsidRDefault="0055491A" w:rsidP="00210BF6">
            <w:pPr>
              <w:ind w:firstLine="0"/>
              <w:jc w:val="center"/>
              <w:rPr>
                <w:color w:val="000000"/>
                <w:sz w:val="16"/>
                <w:szCs w:val="16"/>
              </w:rPr>
            </w:pPr>
          </w:p>
        </w:tc>
        <w:tc>
          <w:tcPr>
            <w:tcW w:w="815" w:type="dxa"/>
            <w:gridSpan w:val="2"/>
            <w:vAlign w:val="center"/>
          </w:tcPr>
          <w:p w:rsidR="0055491A" w:rsidRPr="00DC0161" w:rsidRDefault="0055491A" w:rsidP="00210BF6">
            <w:pPr>
              <w:ind w:firstLine="0"/>
              <w:jc w:val="center"/>
              <w:rPr>
                <w:b/>
                <w:color w:val="000000"/>
                <w:sz w:val="16"/>
                <w:szCs w:val="16"/>
              </w:rPr>
            </w:pPr>
          </w:p>
          <w:p w:rsidR="0055491A" w:rsidRPr="00DC0161" w:rsidRDefault="0055491A" w:rsidP="00210BF6">
            <w:pPr>
              <w:ind w:firstLine="0"/>
              <w:jc w:val="center"/>
              <w:rPr>
                <w:b/>
                <w:color w:val="000000"/>
                <w:sz w:val="16"/>
                <w:szCs w:val="16"/>
              </w:rPr>
            </w:pPr>
            <w:r>
              <w:rPr>
                <w:b/>
                <w:color w:val="000000"/>
                <w:sz w:val="16"/>
                <w:szCs w:val="16"/>
              </w:rPr>
              <w:t>4,0</w:t>
            </w:r>
          </w:p>
        </w:tc>
        <w:tc>
          <w:tcPr>
            <w:tcW w:w="815" w:type="dxa"/>
            <w:vAlign w:val="center"/>
          </w:tcPr>
          <w:p w:rsidR="0055491A" w:rsidRPr="00DC0161" w:rsidRDefault="0055491A" w:rsidP="00210BF6">
            <w:pPr>
              <w:ind w:firstLine="0"/>
              <w:jc w:val="center"/>
              <w:rPr>
                <w:b/>
                <w:bCs/>
                <w:sz w:val="16"/>
                <w:szCs w:val="16"/>
              </w:rPr>
            </w:pPr>
          </w:p>
        </w:tc>
        <w:tc>
          <w:tcPr>
            <w:tcW w:w="815" w:type="dxa"/>
            <w:vAlign w:val="center"/>
          </w:tcPr>
          <w:p w:rsidR="0055491A" w:rsidRPr="00DC0161" w:rsidRDefault="0055491A" w:rsidP="00210BF6">
            <w:pPr>
              <w:ind w:firstLine="0"/>
              <w:jc w:val="center"/>
              <w:rPr>
                <w:b/>
                <w:color w:val="000000"/>
                <w:sz w:val="16"/>
                <w:szCs w:val="16"/>
              </w:rPr>
            </w:pPr>
          </w:p>
          <w:p w:rsidR="0055491A" w:rsidRPr="00DC0161" w:rsidRDefault="0055491A" w:rsidP="00210BF6">
            <w:pPr>
              <w:ind w:firstLine="0"/>
              <w:jc w:val="center"/>
              <w:rPr>
                <w:b/>
                <w:color w:val="000000"/>
                <w:sz w:val="16"/>
                <w:szCs w:val="16"/>
              </w:rPr>
            </w:pPr>
            <w:r>
              <w:rPr>
                <w:b/>
                <w:color w:val="000000"/>
                <w:sz w:val="16"/>
                <w:szCs w:val="16"/>
              </w:rPr>
              <w:t>4,0</w:t>
            </w:r>
          </w:p>
        </w:tc>
        <w:tc>
          <w:tcPr>
            <w:tcW w:w="815" w:type="dxa"/>
            <w:vAlign w:val="center"/>
          </w:tcPr>
          <w:p w:rsidR="0055491A" w:rsidRPr="00DC0161" w:rsidRDefault="0055491A" w:rsidP="00210BF6">
            <w:pPr>
              <w:ind w:firstLine="0"/>
              <w:jc w:val="center"/>
              <w:rPr>
                <w:b/>
                <w:bCs/>
                <w:sz w:val="16"/>
                <w:szCs w:val="16"/>
              </w:rPr>
            </w:pPr>
          </w:p>
        </w:tc>
        <w:tc>
          <w:tcPr>
            <w:tcW w:w="815" w:type="dxa"/>
            <w:gridSpan w:val="2"/>
            <w:vAlign w:val="center"/>
          </w:tcPr>
          <w:p w:rsidR="0055491A" w:rsidRPr="00DC0161" w:rsidRDefault="0055491A" w:rsidP="00210BF6">
            <w:pPr>
              <w:ind w:firstLine="0"/>
              <w:jc w:val="center"/>
              <w:rPr>
                <w:b/>
                <w:color w:val="000000"/>
                <w:sz w:val="16"/>
                <w:szCs w:val="16"/>
              </w:rPr>
            </w:pPr>
          </w:p>
          <w:p w:rsidR="0055491A" w:rsidRPr="00DC0161" w:rsidRDefault="0055491A" w:rsidP="00210BF6">
            <w:pPr>
              <w:ind w:firstLine="0"/>
              <w:jc w:val="center"/>
              <w:rPr>
                <w:b/>
                <w:color w:val="000000"/>
                <w:sz w:val="16"/>
                <w:szCs w:val="16"/>
              </w:rPr>
            </w:pPr>
            <w:r>
              <w:rPr>
                <w:b/>
                <w:color w:val="000000"/>
                <w:sz w:val="16"/>
                <w:szCs w:val="16"/>
              </w:rPr>
              <w:t>4,0</w:t>
            </w:r>
          </w:p>
        </w:tc>
        <w:tc>
          <w:tcPr>
            <w:tcW w:w="815" w:type="dxa"/>
            <w:vAlign w:val="center"/>
          </w:tcPr>
          <w:p w:rsidR="0055491A" w:rsidRPr="00DC0161" w:rsidRDefault="0055491A" w:rsidP="00210BF6">
            <w:pPr>
              <w:ind w:firstLine="0"/>
              <w:jc w:val="center"/>
              <w:rPr>
                <w:b/>
                <w:bCs/>
                <w:sz w:val="16"/>
                <w:szCs w:val="16"/>
              </w:rPr>
            </w:pPr>
          </w:p>
        </w:tc>
        <w:tc>
          <w:tcPr>
            <w:tcW w:w="816" w:type="dxa"/>
            <w:vAlign w:val="center"/>
          </w:tcPr>
          <w:p w:rsidR="0055491A" w:rsidRPr="00DC0161" w:rsidRDefault="0055491A" w:rsidP="00210BF6">
            <w:pPr>
              <w:ind w:firstLine="0"/>
              <w:jc w:val="center"/>
              <w:rPr>
                <w:b/>
                <w:color w:val="000000"/>
                <w:sz w:val="16"/>
                <w:szCs w:val="16"/>
              </w:rPr>
            </w:pPr>
          </w:p>
          <w:p w:rsidR="0055491A" w:rsidRPr="00DC0161" w:rsidRDefault="0055491A" w:rsidP="00210BF6">
            <w:pPr>
              <w:ind w:firstLine="0"/>
              <w:jc w:val="center"/>
              <w:rPr>
                <w:b/>
                <w:color w:val="000000"/>
                <w:sz w:val="16"/>
                <w:szCs w:val="16"/>
              </w:rPr>
            </w:pPr>
            <w:r>
              <w:rPr>
                <w:b/>
                <w:color w:val="000000"/>
                <w:sz w:val="16"/>
                <w:szCs w:val="16"/>
              </w:rPr>
              <w:t>4,0</w:t>
            </w:r>
          </w:p>
        </w:tc>
        <w:tc>
          <w:tcPr>
            <w:tcW w:w="925" w:type="dxa"/>
            <w:vMerge/>
            <w:vAlign w:val="center"/>
          </w:tcPr>
          <w:p w:rsidR="0055491A" w:rsidRDefault="0055491A" w:rsidP="00210BF6">
            <w:pPr>
              <w:ind w:firstLine="0"/>
              <w:jc w:val="center"/>
              <w:rPr>
                <w:color w:val="000000"/>
                <w:sz w:val="20"/>
                <w:szCs w:val="20"/>
              </w:rPr>
            </w:pPr>
          </w:p>
        </w:tc>
      </w:tr>
      <w:tr w:rsidR="0055491A" w:rsidRPr="00F564B2" w:rsidTr="00210BF6">
        <w:trPr>
          <w:trHeight w:val="585"/>
        </w:trPr>
        <w:tc>
          <w:tcPr>
            <w:tcW w:w="851" w:type="dxa"/>
            <w:vAlign w:val="center"/>
          </w:tcPr>
          <w:p w:rsidR="0055491A" w:rsidRDefault="0055491A" w:rsidP="00210BF6">
            <w:pPr>
              <w:ind w:firstLine="0"/>
              <w:jc w:val="center"/>
              <w:rPr>
                <w:bCs/>
                <w:sz w:val="16"/>
                <w:szCs w:val="16"/>
              </w:rPr>
            </w:pPr>
          </w:p>
          <w:p w:rsidR="0055491A" w:rsidRPr="006C469E" w:rsidRDefault="0055491A" w:rsidP="00210BF6">
            <w:pPr>
              <w:ind w:firstLine="0"/>
              <w:jc w:val="center"/>
              <w:rPr>
                <w:bCs/>
                <w:sz w:val="16"/>
                <w:szCs w:val="16"/>
              </w:rPr>
            </w:pPr>
            <w:r>
              <w:rPr>
                <w:bCs/>
                <w:sz w:val="16"/>
                <w:szCs w:val="16"/>
              </w:rPr>
              <w:t>Ст.20</w:t>
            </w:r>
            <w:r w:rsidRPr="006C469E">
              <w:rPr>
                <w:bCs/>
                <w:sz w:val="16"/>
                <w:szCs w:val="16"/>
              </w:rPr>
              <w:t>.</w:t>
            </w:r>
            <w:r>
              <w:rPr>
                <w:bCs/>
                <w:sz w:val="16"/>
                <w:szCs w:val="16"/>
              </w:rPr>
              <w:t>25</w:t>
            </w:r>
          </w:p>
          <w:p w:rsidR="0055491A" w:rsidRPr="006C469E" w:rsidRDefault="0055491A" w:rsidP="00210BF6">
            <w:pPr>
              <w:ind w:firstLine="0"/>
              <w:jc w:val="center"/>
              <w:rPr>
                <w:bCs/>
                <w:sz w:val="16"/>
                <w:szCs w:val="16"/>
              </w:rPr>
            </w:pPr>
          </w:p>
        </w:tc>
        <w:tc>
          <w:tcPr>
            <w:tcW w:w="545" w:type="dxa"/>
            <w:vAlign w:val="center"/>
          </w:tcPr>
          <w:p w:rsidR="0055491A" w:rsidRDefault="0055491A" w:rsidP="00210BF6">
            <w:pPr>
              <w:ind w:firstLine="0"/>
              <w:jc w:val="center"/>
              <w:rPr>
                <w:bCs/>
                <w:sz w:val="16"/>
                <w:szCs w:val="16"/>
              </w:rPr>
            </w:pPr>
          </w:p>
          <w:p w:rsidR="0055491A" w:rsidRPr="002D6C3D" w:rsidRDefault="0055491A" w:rsidP="00210BF6">
            <w:pPr>
              <w:ind w:firstLine="0"/>
              <w:jc w:val="center"/>
              <w:rPr>
                <w:bCs/>
                <w:sz w:val="16"/>
                <w:szCs w:val="16"/>
              </w:rPr>
            </w:pPr>
            <w:r>
              <w:rPr>
                <w:bCs/>
                <w:sz w:val="16"/>
                <w:szCs w:val="16"/>
              </w:rPr>
              <w:t>2</w:t>
            </w:r>
          </w:p>
        </w:tc>
        <w:tc>
          <w:tcPr>
            <w:tcW w:w="448" w:type="dxa"/>
            <w:vAlign w:val="center"/>
          </w:tcPr>
          <w:p w:rsidR="0055491A" w:rsidRDefault="0055491A" w:rsidP="00210BF6">
            <w:pPr>
              <w:ind w:firstLine="0"/>
              <w:jc w:val="center"/>
              <w:rPr>
                <w:color w:val="000000"/>
                <w:sz w:val="16"/>
                <w:szCs w:val="16"/>
              </w:rPr>
            </w:pPr>
          </w:p>
          <w:p w:rsidR="0055491A" w:rsidRDefault="0055491A" w:rsidP="00210BF6">
            <w:pPr>
              <w:ind w:firstLine="0"/>
              <w:jc w:val="center"/>
              <w:rPr>
                <w:color w:val="000000"/>
                <w:sz w:val="16"/>
                <w:szCs w:val="16"/>
              </w:rPr>
            </w:pPr>
            <w:r>
              <w:rPr>
                <w:color w:val="000000"/>
                <w:sz w:val="16"/>
                <w:szCs w:val="16"/>
              </w:rPr>
              <w:t>0</w:t>
            </w:r>
          </w:p>
        </w:tc>
        <w:tc>
          <w:tcPr>
            <w:tcW w:w="425" w:type="dxa"/>
            <w:vAlign w:val="center"/>
          </w:tcPr>
          <w:p w:rsidR="0055491A" w:rsidRDefault="0055491A" w:rsidP="00210BF6">
            <w:pPr>
              <w:ind w:firstLine="0"/>
              <w:jc w:val="center"/>
              <w:rPr>
                <w:bCs/>
                <w:sz w:val="16"/>
                <w:szCs w:val="16"/>
              </w:rPr>
            </w:pPr>
          </w:p>
          <w:p w:rsidR="0055491A" w:rsidRDefault="0055491A" w:rsidP="00210BF6">
            <w:pPr>
              <w:ind w:firstLine="0"/>
              <w:jc w:val="center"/>
              <w:rPr>
                <w:bCs/>
                <w:sz w:val="16"/>
                <w:szCs w:val="16"/>
              </w:rPr>
            </w:pPr>
            <w:r>
              <w:rPr>
                <w:bCs/>
                <w:sz w:val="16"/>
                <w:szCs w:val="16"/>
              </w:rPr>
              <w:t>0</w:t>
            </w:r>
          </w:p>
        </w:tc>
        <w:tc>
          <w:tcPr>
            <w:tcW w:w="425" w:type="dxa"/>
            <w:vAlign w:val="center"/>
          </w:tcPr>
          <w:p w:rsidR="0055491A" w:rsidRDefault="0055491A" w:rsidP="00210BF6">
            <w:pPr>
              <w:ind w:firstLine="0"/>
              <w:jc w:val="center"/>
              <w:rPr>
                <w:bCs/>
                <w:sz w:val="16"/>
                <w:szCs w:val="16"/>
              </w:rPr>
            </w:pPr>
          </w:p>
          <w:p w:rsidR="0055491A" w:rsidRDefault="0055491A" w:rsidP="00210BF6">
            <w:pPr>
              <w:ind w:firstLine="0"/>
              <w:jc w:val="center"/>
              <w:rPr>
                <w:bCs/>
                <w:sz w:val="16"/>
                <w:szCs w:val="16"/>
              </w:rPr>
            </w:pPr>
            <w:r>
              <w:rPr>
                <w:bCs/>
                <w:sz w:val="16"/>
                <w:szCs w:val="16"/>
              </w:rPr>
              <w:t>1</w:t>
            </w:r>
          </w:p>
        </w:tc>
        <w:tc>
          <w:tcPr>
            <w:tcW w:w="815" w:type="dxa"/>
            <w:vAlign w:val="center"/>
          </w:tcPr>
          <w:p w:rsidR="0055491A" w:rsidRDefault="0055491A" w:rsidP="00210BF6">
            <w:pPr>
              <w:ind w:firstLine="0"/>
              <w:jc w:val="center"/>
              <w:rPr>
                <w:color w:val="000000"/>
                <w:sz w:val="16"/>
                <w:szCs w:val="16"/>
              </w:rPr>
            </w:pPr>
          </w:p>
          <w:p w:rsidR="0055491A" w:rsidRDefault="0055491A" w:rsidP="00210BF6">
            <w:pPr>
              <w:ind w:firstLine="0"/>
              <w:jc w:val="center"/>
              <w:rPr>
                <w:color w:val="000000"/>
                <w:sz w:val="16"/>
                <w:szCs w:val="16"/>
              </w:rPr>
            </w:pPr>
            <w:r>
              <w:rPr>
                <w:color w:val="000000"/>
                <w:sz w:val="16"/>
                <w:szCs w:val="16"/>
              </w:rPr>
              <w:t>1</w:t>
            </w:r>
          </w:p>
        </w:tc>
        <w:tc>
          <w:tcPr>
            <w:tcW w:w="815" w:type="dxa"/>
            <w:gridSpan w:val="2"/>
            <w:vAlign w:val="center"/>
          </w:tcPr>
          <w:p w:rsidR="0055491A" w:rsidRDefault="0055491A" w:rsidP="00210BF6">
            <w:pPr>
              <w:ind w:firstLine="0"/>
              <w:jc w:val="center"/>
              <w:rPr>
                <w:color w:val="000000"/>
                <w:sz w:val="16"/>
                <w:szCs w:val="16"/>
              </w:rPr>
            </w:pPr>
          </w:p>
          <w:p w:rsidR="0055491A" w:rsidRDefault="0055491A" w:rsidP="00210BF6">
            <w:pPr>
              <w:ind w:firstLine="0"/>
              <w:jc w:val="center"/>
              <w:rPr>
                <w:color w:val="000000"/>
                <w:sz w:val="16"/>
                <w:szCs w:val="16"/>
              </w:rPr>
            </w:pPr>
            <w:r>
              <w:rPr>
                <w:color w:val="000000"/>
                <w:sz w:val="16"/>
                <w:szCs w:val="16"/>
              </w:rPr>
              <w:t>2,0</w:t>
            </w:r>
          </w:p>
        </w:tc>
        <w:tc>
          <w:tcPr>
            <w:tcW w:w="815" w:type="dxa"/>
            <w:vAlign w:val="center"/>
          </w:tcPr>
          <w:p w:rsidR="0055491A" w:rsidRDefault="0055491A" w:rsidP="00210BF6">
            <w:pPr>
              <w:ind w:firstLine="0"/>
              <w:jc w:val="center"/>
              <w:rPr>
                <w:bCs/>
                <w:sz w:val="16"/>
                <w:szCs w:val="16"/>
              </w:rPr>
            </w:pPr>
          </w:p>
          <w:p w:rsidR="0055491A" w:rsidRDefault="0055491A" w:rsidP="00210BF6">
            <w:pPr>
              <w:ind w:firstLine="0"/>
              <w:jc w:val="center"/>
              <w:rPr>
                <w:bCs/>
                <w:sz w:val="16"/>
                <w:szCs w:val="16"/>
              </w:rPr>
            </w:pPr>
            <w:r>
              <w:rPr>
                <w:bCs/>
                <w:sz w:val="16"/>
                <w:szCs w:val="16"/>
              </w:rPr>
              <w:t>1</w:t>
            </w:r>
          </w:p>
        </w:tc>
        <w:tc>
          <w:tcPr>
            <w:tcW w:w="815" w:type="dxa"/>
            <w:vAlign w:val="center"/>
          </w:tcPr>
          <w:p w:rsidR="0055491A" w:rsidRDefault="0055491A" w:rsidP="00210BF6">
            <w:pPr>
              <w:ind w:firstLine="0"/>
              <w:jc w:val="center"/>
              <w:rPr>
                <w:color w:val="000000"/>
                <w:sz w:val="16"/>
                <w:szCs w:val="16"/>
              </w:rPr>
            </w:pPr>
          </w:p>
          <w:p w:rsidR="0055491A" w:rsidRDefault="0055491A" w:rsidP="00210BF6">
            <w:pPr>
              <w:ind w:firstLine="0"/>
              <w:jc w:val="center"/>
              <w:rPr>
                <w:color w:val="000000"/>
                <w:sz w:val="16"/>
                <w:szCs w:val="16"/>
              </w:rPr>
            </w:pPr>
            <w:r>
              <w:rPr>
                <w:color w:val="000000"/>
                <w:sz w:val="16"/>
                <w:szCs w:val="16"/>
              </w:rPr>
              <w:t>2,0</w:t>
            </w:r>
          </w:p>
        </w:tc>
        <w:tc>
          <w:tcPr>
            <w:tcW w:w="815" w:type="dxa"/>
            <w:vAlign w:val="center"/>
          </w:tcPr>
          <w:p w:rsidR="0055491A" w:rsidRDefault="0055491A" w:rsidP="00210BF6">
            <w:pPr>
              <w:ind w:firstLine="0"/>
              <w:jc w:val="center"/>
              <w:rPr>
                <w:bCs/>
                <w:sz w:val="16"/>
                <w:szCs w:val="16"/>
              </w:rPr>
            </w:pPr>
          </w:p>
          <w:p w:rsidR="0055491A" w:rsidRDefault="0055491A" w:rsidP="00210BF6">
            <w:pPr>
              <w:ind w:firstLine="0"/>
              <w:jc w:val="center"/>
              <w:rPr>
                <w:bCs/>
                <w:sz w:val="16"/>
                <w:szCs w:val="16"/>
              </w:rPr>
            </w:pPr>
            <w:r>
              <w:rPr>
                <w:bCs/>
                <w:sz w:val="16"/>
                <w:szCs w:val="16"/>
              </w:rPr>
              <w:t>1</w:t>
            </w:r>
          </w:p>
        </w:tc>
        <w:tc>
          <w:tcPr>
            <w:tcW w:w="815" w:type="dxa"/>
            <w:gridSpan w:val="2"/>
            <w:vAlign w:val="center"/>
          </w:tcPr>
          <w:p w:rsidR="0055491A" w:rsidRDefault="0055491A" w:rsidP="00210BF6">
            <w:pPr>
              <w:ind w:firstLine="0"/>
              <w:jc w:val="center"/>
              <w:rPr>
                <w:color w:val="000000"/>
                <w:sz w:val="16"/>
                <w:szCs w:val="16"/>
              </w:rPr>
            </w:pPr>
          </w:p>
          <w:p w:rsidR="0055491A" w:rsidRDefault="0055491A" w:rsidP="00210BF6">
            <w:pPr>
              <w:ind w:firstLine="0"/>
              <w:jc w:val="center"/>
              <w:rPr>
                <w:color w:val="000000"/>
                <w:sz w:val="16"/>
                <w:szCs w:val="16"/>
              </w:rPr>
            </w:pPr>
            <w:r>
              <w:rPr>
                <w:color w:val="000000"/>
                <w:sz w:val="16"/>
                <w:szCs w:val="16"/>
              </w:rPr>
              <w:t>2,0</w:t>
            </w:r>
          </w:p>
        </w:tc>
        <w:tc>
          <w:tcPr>
            <w:tcW w:w="815" w:type="dxa"/>
            <w:vAlign w:val="center"/>
          </w:tcPr>
          <w:p w:rsidR="0055491A" w:rsidRDefault="0055491A" w:rsidP="00210BF6">
            <w:pPr>
              <w:ind w:firstLine="0"/>
              <w:jc w:val="center"/>
              <w:rPr>
                <w:bCs/>
                <w:sz w:val="16"/>
                <w:szCs w:val="16"/>
              </w:rPr>
            </w:pPr>
          </w:p>
          <w:p w:rsidR="0055491A" w:rsidRDefault="0055491A" w:rsidP="00210BF6">
            <w:pPr>
              <w:ind w:firstLine="0"/>
              <w:jc w:val="center"/>
              <w:rPr>
                <w:bCs/>
                <w:sz w:val="16"/>
                <w:szCs w:val="16"/>
              </w:rPr>
            </w:pPr>
            <w:r>
              <w:rPr>
                <w:bCs/>
                <w:sz w:val="16"/>
                <w:szCs w:val="16"/>
              </w:rPr>
              <w:t>1</w:t>
            </w:r>
          </w:p>
        </w:tc>
        <w:tc>
          <w:tcPr>
            <w:tcW w:w="816" w:type="dxa"/>
            <w:vAlign w:val="center"/>
          </w:tcPr>
          <w:p w:rsidR="0055491A" w:rsidRDefault="0055491A" w:rsidP="00210BF6">
            <w:pPr>
              <w:ind w:firstLine="0"/>
              <w:jc w:val="center"/>
              <w:rPr>
                <w:color w:val="000000"/>
                <w:sz w:val="16"/>
                <w:szCs w:val="16"/>
              </w:rPr>
            </w:pPr>
          </w:p>
          <w:p w:rsidR="0055491A" w:rsidRDefault="0055491A" w:rsidP="00210BF6">
            <w:pPr>
              <w:ind w:firstLine="0"/>
              <w:jc w:val="center"/>
              <w:rPr>
                <w:color w:val="000000"/>
                <w:sz w:val="16"/>
                <w:szCs w:val="16"/>
              </w:rPr>
            </w:pPr>
            <w:r>
              <w:rPr>
                <w:color w:val="000000"/>
                <w:sz w:val="16"/>
                <w:szCs w:val="16"/>
              </w:rPr>
              <w:t>2,0</w:t>
            </w:r>
          </w:p>
        </w:tc>
        <w:tc>
          <w:tcPr>
            <w:tcW w:w="925" w:type="dxa"/>
            <w:vMerge w:val="restart"/>
            <w:vAlign w:val="center"/>
          </w:tcPr>
          <w:p w:rsidR="0055491A" w:rsidRDefault="0055491A" w:rsidP="00210BF6">
            <w:pPr>
              <w:ind w:firstLine="0"/>
              <w:jc w:val="center"/>
              <w:rPr>
                <w:color w:val="000000"/>
                <w:sz w:val="20"/>
                <w:szCs w:val="20"/>
              </w:rPr>
            </w:pPr>
            <w:r>
              <w:rPr>
                <w:color w:val="000000"/>
                <w:sz w:val="20"/>
                <w:szCs w:val="20"/>
              </w:rPr>
              <w:t>г.Тверь</w:t>
            </w:r>
          </w:p>
        </w:tc>
      </w:tr>
      <w:tr w:rsidR="0055491A" w:rsidRPr="00F564B2" w:rsidTr="00210BF6">
        <w:trPr>
          <w:trHeight w:val="585"/>
        </w:trPr>
        <w:tc>
          <w:tcPr>
            <w:tcW w:w="851" w:type="dxa"/>
            <w:vAlign w:val="center"/>
          </w:tcPr>
          <w:p w:rsidR="0055491A" w:rsidRDefault="0055491A" w:rsidP="00210BF6">
            <w:pPr>
              <w:ind w:firstLine="0"/>
              <w:jc w:val="center"/>
              <w:rPr>
                <w:bCs/>
                <w:sz w:val="16"/>
                <w:szCs w:val="16"/>
              </w:rPr>
            </w:pPr>
          </w:p>
          <w:p w:rsidR="0055491A" w:rsidRPr="006C469E" w:rsidRDefault="0055491A" w:rsidP="00210BF6">
            <w:pPr>
              <w:ind w:firstLine="0"/>
              <w:jc w:val="center"/>
              <w:rPr>
                <w:bCs/>
                <w:sz w:val="16"/>
                <w:szCs w:val="16"/>
              </w:rPr>
            </w:pPr>
            <w:r>
              <w:rPr>
                <w:bCs/>
                <w:sz w:val="16"/>
                <w:szCs w:val="16"/>
              </w:rPr>
              <w:t>Ст.20</w:t>
            </w:r>
            <w:r w:rsidRPr="006C469E">
              <w:rPr>
                <w:bCs/>
                <w:sz w:val="16"/>
                <w:szCs w:val="16"/>
              </w:rPr>
              <w:t>.</w:t>
            </w:r>
            <w:r>
              <w:rPr>
                <w:bCs/>
                <w:sz w:val="16"/>
                <w:szCs w:val="16"/>
              </w:rPr>
              <w:t>25</w:t>
            </w:r>
          </w:p>
          <w:p w:rsidR="0055491A" w:rsidRPr="006C469E" w:rsidRDefault="0055491A" w:rsidP="00210BF6">
            <w:pPr>
              <w:ind w:firstLine="0"/>
              <w:jc w:val="center"/>
              <w:rPr>
                <w:bCs/>
                <w:sz w:val="16"/>
                <w:szCs w:val="16"/>
              </w:rPr>
            </w:pPr>
          </w:p>
        </w:tc>
        <w:tc>
          <w:tcPr>
            <w:tcW w:w="545" w:type="dxa"/>
            <w:vAlign w:val="center"/>
          </w:tcPr>
          <w:p w:rsidR="0055491A" w:rsidRDefault="0055491A" w:rsidP="00210BF6">
            <w:pPr>
              <w:ind w:firstLine="0"/>
              <w:jc w:val="center"/>
              <w:rPr>
                <w:bCs/>
                <w:sz w:val="16"/>
                <w:szCs w:val="16"/>
              </w:rPr>
            </w:pPr>
          </w:p>
          <w:p w:rsidR="0055491A" w:rsidRDefault="0055491A" w:rsidP="00210BF6">
            <w:pPr>
              <w:ind w:firstLine="0"/>
              <w:jc w:val="center"/>
              <w:rPr>
                <w:bCs/>
                <w:sz w:val="16"/>
                <w:szCs w:val="16"/>
              </w:rPr>
            </w:pPr>
            <w:r>
              <w:rPr>
                <w:bCs/>
                <w:sz w:val="16"/>
                <w:szCs w:val="16"/>
              </w:rPr>
              <w:t>3</w:t>
            </w:r>
          </w:p>
        </w:tc>
        <w:tc>
          <w:tcPr>
            <w:tcW w:w="448" w:type="dxa"/>
            <w:vAlign w:val="center"/>
          </w:tcPr>
          <w:p w:rsidR="0055491A" w:rsidRDefault="0055491A" w:rsidP="00210BF6">
            <w:pPr>
              <w:ind w:firstLine="0"/>
              <w:jc w:val="center"/>
              <w:rPr>
                <w:color w:val="000000"/>
                <w:sz w:val="16"/>
                <w:szCs w:val="16"/>
              </w:rPr>
            </w:pPr>
          </w:p>
          <w:p w:rsidR="0055491A" w:rsidRDefault="0055491A" w:rsidP="00210BF6">
            <w:pPr>
              <w:ind w:firstLine="0"/>
              <w:jc w:val="center"/>
              <w:rPr>
                <w:color w:val="000000"/>
                <w:sz w:val="16"/>
                <w:szCs w:val="16"/>
              </w:rPr>
            </w:pPr>
            <w:r>
              <w:rPr>
                <w:color w:val="000000"/>
                <w:sz w:val="16"/>
                <w:szCs w:val="16"/>
              </w:rPr>
              <w:t>0</w:t>
            </w:r>
          </w:p>
        </w:tc>
        <w:tc>
          <w:tcPr>
            <w:tcW w:w="425" w:type="dxa"/>
            <w:vAlign w:val="center"/>
          </w:tcPr>
          <w:p w:rsidR="0055491A" w:rsidRDefault="0055491A" w:rsidP="00210BF6">
            <w:pPr>
              <w:ind w:firstLine="0"/>
              <w:jc w:val="center"/>
              <w:rPr>
                <w:bCs/>
                <w:sz w:val="16"/>
                <w:szCs w:val="16"/>
              </w:rPr>
            </w:pPr>
          </w:p>
          <w:p w:rsidR="0055491A" w:rsidRDefault="0055491A" w:rsidP="00210BF6">
            <w:pPr>
              <w:ind w:firstLine="0"/>
              <w:jc w:val="center"/>
              <w:rPr>
                <w:bCs/>
                <w:sz w:val="16"/>
                <w:szCs w:val="16"/>
              </w:rPr>
            </w:pPr>
            <w:r>
              <w:rPr>
                <w:bCs/>
                <w:sz w:val="16"/>
                <w:szCs w:val="16"/>
              </w:rPr>
              <w:t>0</w:t>
            </w:r>
          </w:p>
        </w:tc>
        <w:tc>
          <w:tcPr>
            <w:tcW w:w="425" w:type="dxa"/>
            <w:vAlign w:val="center"/>
          </w:tcPr>
          <w:p w:rsidR="0055491A" w:rsidRDefault="0055491A" w:rsidP="00210BF6">
            <w:pPr>
              <w:ind w:firstLine="0"/>
              <w:jc w:val="center"/>
              <w:rPr>
                <w:bCs/>
                <w:sz w:val="16"/>
                <w:szCs w:val="16"/>
              </w:rPr>
            </w:pPr>
          </w:p>
          <w:p w:rsidR="0055491A" w:rsidRDefault="0055491A" w:rsidP="00210BF6">
            <w:pPr>
              <w:ind w:firstLine="0"/>
              <w:jc w:val="center"/>
              <w:rPr>
                <w:bCs/>
                <w:sz w:val="16"/>
                <w:szCs w:val="16"/>
              </w:rPr>
            </w:pPr>
            <w:r>
              <w:rPr>
                <w:bCs/>
                <w:sz w:val="16"/>
                <w:szCs w:val="16"/>
              </w:rPr>
              <w:t>1</w:t>
            </w:r>
          </w:p>
        </w:tc>
        <w:tc>
          <w:tcPr>
            <w:tcW w:w="815" w:type="dxa"/>
            <w:vAlign w:val="center"/>
          </w:tcPr>
          <w:p w:rsidR="0055491A" w:rsidRDefault="0055491A" w:rsidP="00210BF6">
            <w:pPr>
              <w:ind w:firstLine="0"/>
              <w:jc w:val="center"/>
              <w:rPr>
                <w:color w:val="000000"/>
                <w:sz w:val="16"/>
                <w:szCs w:val="16"/>
              </w:rPr>
            </w:pPr>
          </w:p>
          <w:p w:rsidR="0055491A" w:rsidRDefault="0055491A" w:rsidP="00210BF6">
            <w:pPr>
              <w:ind w:firstLine="0"/>
              <w:jc w:val="center"/>
              <w:rPr>
                <w:color w:val="000000"/>
                <w:sz w:val="16"/>
                <w:szCs w:val="16"/>
              </w:rPr>
            </w:pPr>
            <w:r>
              <w:rPr>
                <w:color w:val="000000"/>
                <w:sz w:val="16"/>
                <w:szCs w:val="16"/>
              </w:rPr>
              <w:t>1</w:t>
            </w:r>
          </w:p>
        </w:tc>
        <w:tc>
          <w:tcPr>
            <w:tcW w:w="815" w:type="dxa"/>
            <w:gridSpan w:val="2"/>
            <w:vAlign w:val="center"/>
          </w:tcPr>
          <w:p w:rsidR="0055491A" w:rsidRDefault="0055491A" w:rsidP="00210BF6">
            <w:pPr>
              <w:ind w:firstLine="0"/>
              <w:jc w:val="center"/>
              <w:rPr>
                <w:color w:val="000000"/>
                <w:sz w:val="16"/>
                <w:szCs w:val="16"/>
              </w:rPr>
            </w:pPr>
          </w:p>
          <w:p w:rsidR="0055491A" w:rsidRDefault="0055491A" w:rsidP="00210BF6">
            <w:pPr>
              <w:ind w:firstLine="0"/>
              <w:jc w:val="center"/>
              <w:rPr>
                <w:color w:val="000000"/>
                <w:sz w:val="16"/>
                <w:szCs w:val="16"/>
              </w:rPr>
            </w:pPr>
            <w:r>
              <w:rPr>
                <w:color w:val="000000"/>
                <w:sz w:val="16"/>
                <w:szCs w:val="16"/>
              </w:rPr>
              <w:t>3,0</w:t>
            </w:r>
          </w:p>
        </w:tc>
        <w:tc>
          <w:tcPr>
            <w:tcW w:w="815" w:type="dxa"/>
            <w:vAlign w:val="center"/>
          </w:tcPr>
          <w:p w:rsidR="0055491A" w:rsidRDefault="0055491A" w:rsidP="00210BF6">
            <w:pPr>
              <w:ind w:firstLine="0"/>
              <w:jc w:val="center"/>
              <w:rPr>
                <w:bCs/>
                <w:sz w:val="16"/>
                <w:szCs w:val="16"/>
              </w:rPr>
            </w:pPr>
          </w:p>
          <w:p w:rsidR="0055491A" w:rsidRDefault="0055491A" w:rsidP="00210BF6">
            <w:pPr>
              <w:ind w:firstLine="0"/>
              <w:jc w:val="center"/>
              <w:rPr>
                <w:bCs/>
                <w:sz w:val="16"/>
                <w:szCs w:val="16"/>
              </w:rPr>
            </w:pPr>
            <w:r>
              <w:rPr>
                <w:bCs/>
                <w:sz w:val="16"/>
                <w:szCs w:val="16"/>
              </w:rPr>
              <w:t>1</w:t>
            </w:r>
          </w:p>
        </w:tc>
        <w:tc>
          <w:tcPr>
            <w:tcW w:w="815" w:type="dxa"/>
            <w:vAlign w:val="center"/>
          </w:tcPr>
          <w:p w:rsidR="0055491A" w:rsidRDefault="0055491A" w:rsidP="00210BF6">
            <w:pPr>
              <w:ind w:firstLine="0"/>
              <w:jc w:val="center"/>
              <w:rPr>
                <w:color w:val="000000"/>
                <w:sz w:val="16"/>
                <w:szCs w:val="16"/>
              </w:rPr>
            </w:pPr>
          </w:p>
          <w:p w:rsidR="0055491A" w:rsidRDefault="0055491A" w:rsidP="00210BF6">
            <w:pPr>
              <w:ind w:firstLine="0"/>
              <w:jc w:val="center"/>
              <w:rPr>
                <w:color w:val="000000"/>
                <w:sz w:val="16"/>
                <w:szCs w:val="16"/>
              </w:rPr>
            </w:pPr>
            <w:r>
              <w:rPr>
                <w:color w:val="000000"/>
                <w:sz w:val="16"/>
                <w:szCs w:val="16"/>
              </w:rPr>
              <w:t>3,0</w:t>
            </w:r>
          </w:p>
        </w:tc>
        <w:tc>
          <w:tcPr>
            <w:tcW w:w="815" w:type="dxa"/>
            <w:vAlign w:val="center"/>
          </w:tcPr>
          <w:p w:rsidR="0055491A" w:rsidRDefault="0055491A" w:rsidP="00210BF6">
            <w:pPr>
              <w:ind w:firstLine="0"/>
              <w:jc w:val="center"/>
              <w:rPr>
                <w:bCs/>
                <w:sz w:val="16"/>
                <w:szCs w:val="16"/>
              </w:rPr>
            </w:pPr>
          </w:p>
          <w:p w:rsidR="0055491A" w:rsidRDefault="0055491A" w:rsidP="00210BF6">
            <w:pPr>
              <w:ind w:firstLine="0"/>
              <w:jc w:val="center"/>
              <w:rPr>
                <w:bCs/>
                <w:sz w:val="16"/>
                <w:szCs w:val="16"/>
              </w:rPr>
            </w:pPr>
            <w:r>
              <w:rPr>
                <w:bCs/>
                <w:sz w:val="16"/>
                <w:szCs w:val="16"/>
              </w:rPr>
              <w:t>1</w:t>
            </w:r>
          </w:p>
        </w:tc>
        <w:tc>
          <w:tcPr>
            <w:tcW w:w="815" w:type="dxa"/>
            <w:gridSpan w:val="2"/>
            <w:vAlign w:val="center"/>
          </w:tcPr>
          <w:p w:rsidR="0055491A" w:rsidRDefault="0055491A" w:rsidP="00210BF6">
            <w:pPr>
              <w:ind w:firstLine="0"/>
              <w:jc w:val="center"/>
              <w:rPr>
                <w:color w:val="000000"/>
                <w:sz w:val="16"/>
                <w:szCs w:val="16"/>
              </w:rPr>
            </w:pPr>
          </w:p>
          <w:p w:rsidR="0055491A" w:rsidRDefault="0055491A" w:rsidP="00210BF6">
            <w:pPr>
              <w:ind w:firstLine="0"/>
              <w:jc w:val="center"/>
              <w:rPr>
                <w:color w:val="000000"/>
                <w:sz w:val="16"/>
                <w:szCs w:val="16"/>
              </w:rPr>
            </w:pPr>
            <w:r>
              <w:rPr>
                <w:color w:val="000000"/>
                <w:sz w:val="16"/>
                <w:szCs w:val="16"/>
              </w:rPr>
              <w:t>3,0</w:t>
            </w:r>
          </w:p>
        </w:tc>
        <w:tc>
          <w:tcPr>
            <w:tcW w:w="815" w:type="dxa"/>
            <w:vAlign w:val="center"/>
          </w:tcPr>
          <w:p w:rsidR="0055491A" w:rsidRDefault="0055491A" w:rsidP="00210BF6">
            <w:pPr>
              <w:ind w:firstLine="0"/>
              <w:jc w:val="center"/>
              <w:rPr>
                <w:bCs/>
                <w:sz w:val="16"/>
                <w:szCs w:val="16"/>
              </w:rPr>
            </w:pPr>
          </w:p>
          <w:p w:rsidR="0055491A" w:rsidRDefault="0055491A" w:rsidP="00210BF6">
            <w:pPr>
              <w:ind w:firstLine="0"/>
              <w:jc w:val="center"/>
              <w:rPr>
                <w:bCs/>
                <w:sz w:val="16"/>
                <w:szCs w:val="16"/>
              </w:rPr>
            </w:pPr>
            <w:r>
              <w:rPr>
                <w:bCs/>
                <w:sz w:val="16"/>
                <w:szCs w:val="16"/>
              </w:rPr>
              <w:t>1</w:t>
            </w:r>
          </w:p>
        </w:tc>
        <w:tc>
          <w:tcPr>
            <w:tcW w:w="816" w:type="dxa"/>
            <w:vAlign w:val="center"/>
          </w:tcPr>
          <w:p w:rsidR="0055491A" w:rsidRDefault="0055491A" w:rsidP="00210BF6">
            <w:pPr>
              <w:ind w:firstLine="0"/>
              <w:jc w:val="center"/>
              <w:rPr>
                <w:color w:val="000000"/>
                <w:sz w:val="16"/>
                <w:szCs w:val="16"/>
              </w:rPr>
            </w:pPr>
          </w:p>
          <w:p w:rsidR="0055491A" w:rsidRDefault="0055491A" w:rsidP="00210BF6">
            <w:pPr>
              <w:ind w:firstLine="0"/>
              <w:jc w:val="center"/>
              <w:rPr>
                <w:color w:val="000000"/>
                <w:sz w:val="16"/>
                <w:szCs w:val="16"/>
              </w:rPr>
            </w:pPr>
            <w:r>
              <w:rPr>
                <w:color w:val="000000"/>
                <w:sz w:val="16"/>
                <w:szCs w:val="16"/>
              </w:rPr>
              <w:t>3,0</w:t>
            </w:r>
          </w:p>
        </w:tc>
        <w:tc>
          <w:tcPr>
            <w:tcW w:w="925" w:type="dxa"/>
            <w:vMerge/>
            <w:vAlign w:val="center"/>
          </w:tcPr>
          <w:p w:rsidR="0055491A" w:rsidRDefault="0055491A" w:rsidP="00210BF6">
            <w:pPr>
              <w:ind w:firstLine="0"/>
              <w:jc w:val="center"/>
              <w:rPr>
                <w:color w:val="000000"/>
                <w:sz w:val="20"/>
                <w:szCs w:val="20"/>
              </w:rPr>
            </w:pPr>
          </w:p>
        </w:tc>
      </w:tr>
      <w:tr w:rsidR="0055491A" w:rsidRPr="00F564B2" w:rsidTr="00210BF6">
        <w:trPr>
          <w:trHeight w:val="585"/>
        </w:trPr>
        <w:tc>
          <w:tcPr>
            <w:tcW w:w="851" w:type="dxa"/>
            <w:vAlign w:val="center"/>
          </w:tcPr>
          <w:p w:rsidR="0055491A" w:rsidRDefault="0055491A" w:rsidP="00210BF6">
            <w:pPr>
              <w:ind w:firstLine="0"/>
              <w:jc w:val="center"/>
              <w:rPr>
                <w:bCs/>
                <w:sz w:val="16"/>
                <w:szCs w:val="16"/>
              </w:rPr>
            </w:pPr>
          </w:p>
          <w:p w:rsidR="0055491A" w:rsidRPr="006C469E" w:rsidRDefault="0055491A" w:rsidP="00210BF6">
            <w:pPr>
              <w:ind w:firstLine="0"/>
              <w:jc w:val="center"/>
              <w:rPr>
                <w:bCs/>
                <w:sz w:val="16"/>
                <w:szCs w:val="16"/>
              </w:rPr>
            </w:pPr>
            <w:r>
              <w:rPr>
                <w:bCs/>
                <w:sz w:val="16"/>
                <w:szCs w:val="16"/>
              </w:rPr>
              <w:t>Ст.20</w:t>
            </w:r>
            <w:r w:rsidRPr="006C469E">
              <w:rPr>
                <w:bCs/>
                <w:sz w:val="16"/>
                <w:szCs w:val="16"/>
              </w:rPr>
              <w:t>.</w:t>
            </w:r>
            <w:r>
              <w:rPr>
                <w:bCs/>
                <w:sz w:val="16"/>
                <w:szCs w:val="16"/>
              </w:rPr>
              <w:t>25</w:t>
            </w:r>
          </w:p>
          <w:p w:rsidR="0055491A" w:rsidRPr="006C469E" w:rsidRDefault="0055491A" w:rsidP="00210BF6">
            <w:pPr>
              <w:ind w:firstLine="0"/>
              <w:jc w:val="center"/>
              <w:rPr>
                <w:bCs/>
                <w:sz w:val="16"/>
                <w:szCs w:val="16"/>
              </w:rPr>
            </w:pPr>
          </w:p>
        </w:tc>
        <w:tc>
          <w:tcPr>
            <w:tcW w:w="545" w:type="dxa"/>
            <w:vAlign w:val="center"/>
          </w:tcPr>
          <w:p w:rsidR="0055491A" w:rsidRDefault="0055491A" w:rsidP="00210BF6">
            <w:pPr>
              <w:ind w:firstLine="0"/>
              <w:jc w:val="center"/>
              <w:rPr>
                <w:bCs/>
                <w:sz w:val="16"/>
                <w:szCs w:val="16"/>
              </w:rPr>
            </w:pPr>
          </w:p>
          <w:p w:rsidR="0055491A" w:rsidRDefault="0055491A" w:rsidP="00210BF6">
            <w:pPr>
              <w:ind w:firstLine="0"/>
              <w:jc w:val="center"/>
              <w:rPr>
                <w:bCs/>
                <w:sz w:val="16"/>
                <w:szCs w:val="16"/>
              </w:rPr>
            </w:pPr>
            <w:r>
              <w:rPr>
                <w:bCs/>
                <w:sz w:val="16"/>
                <w:szCs w:val="16"/>
              </w:rPr>
              <w:t>70</w:t>
            </w:r>
          </w:p>
        </w:tc>
        <w:tc>
          <w:tcPr>
            <w:tcW w:w="448" w:type="dxa"/>
            <w:vAlign w:val="center"/>
          </w:tcPr>
          <w:p w:rsidR="0055491A" w:rsidRDefault="0055491A" w:rsidP="00210BF6">
            <w:pPr>
              <w:ind w:firstLine="0"/>
              <w:jc w:val="center"/>
              <w:rPr>
                <w:color w:val="000000"/>
                <w:sz w:val="16"/>
                <w:szCs w:val="16"/>
              </w:rPr>
            </w:pPr>
          </w:p>
          <w:p w:rsidR="0055491A" w:rsidRDefault="0055491A" w:rsidP="00210BF6">
            <w:pPr>
              <w:ind w:firstLine="0"/>
              <w:jc w:val="center"/>
              <w:rPr>
                <w:color w:val="000000"/>
                <w:sz w:val="16"/>
                <w:szCs w:val="16"/>
              </w:rPr>
            </w:pPr>
            <w:r>
              <w:rPr>
                <w:color w:val="000000"/>
                <w:sz w:val="16"/>
                <w:szCs w:val="16"/>
              </w:rPr>
              <w:t>0</w:t>
            </w:r>
          </w:p>
        </w:tc>
        <w:tc>
          <w:tcPr>
            <w:tcW w:w="425" w:type="dxa"/>
            <w:vAlign w:val="center"/>
          </w:tcPr>
          <w:p w:rsidR="0055491A" w:rsidRDefault="0055491A" w:rsidP="00210BF6">
            <w:pPr>
              <w:ind w:firstLine="0"/>
              <w:jc w:val="center"/>
              <w:rPr>
                <w:bCs/>
                <w:sz w:val="16"/>
                <w:szCs w:val="16"/>
              </w:rPr>
            </w:pPr>
          </w:p>
          <w:p w:rsidR="0055491A" w:rsidRDefault="0055491A" w:rsidP="00210BF6">
            <w:pPr>
              <w:ind w:firstLine="0"/>
              <w:jc w:val="center"/>
              <w:rPr>
                <w:bCs/>
                <w:sz w:val="16"/>
                <w:szCs w:val="16"/>
              </w:rPr>
            </w:pPr>
            <w:r>
              <w:rPr>
                <w:bCs/>
                <w:sz w:val="16"/>
                <w:szCs w:val="16"/>
              </w:rPr>
              <w:t>0</w:t>
            </w:r>
          </w:p>
        </w:tc>
        <w:tc>
          <w:tcPr>
            <w:tcW w:w="425" w:type="dxa"/>
            <w:vAlign w:val="center"/>
          </w:tcPr>
          <w:p w:rsidR="0055491A" w:rsidRDefault="0055491A" w:rsidP="00210BF6">
            <w:pPr>
              <w:ind w:firstLine="0"/>
              <w:jc w:val="center"/>
              <w:rPr>
                <w:bCs/>
                <w:sz w:val="16"/>
                <w:szCs w:val="16"/>
              </w:rPr>
            </w:pPr>
          </w:p>
          <w:p w:rsidR="0055491A" w:rsidRDefault="0055491A" w:rsidP="00210BF6">
            <w:pPr>
              <w:ind w:firstLine="0"/>
              <w:jc w:val="center"/>
              <w:rPr>
                <w:bCs/>
                <w:sz w:val="16"/>
                <w:szCs w:val="16"/>
              </w:rPr>
            </w:pPr>
            <w:r>
              <w:rPr>
                <w:bCs/>
                <w:sz w:val="16"/>
                <w:szCs w:val="16"/>
              </w:rPr>
              <w:t>1</w:t>
            </w:r>
          </w:p>
        </w:tc>
        <w:tc>
          <w:tcPr>
            <w:tcW w:w="815" w:type="dxa"/>
            <w:vAlign w:val="center"/>
          </w:tcPr>
          <w:p w:rsidR="0055491A" w:rsidRDefault="0055491A" w:rsidP="00210BF6">
            <w:pPr>
              <w:ind w:firstLine="0"/>
              <w:jc w:val="center"/>
              <w:rPr>
                <w:color w:val="000000"/>
                <w:sz w:val="16"/>
                <w:szCs w:val="16"/>
              </w:rPr>
            </w:pPr>
          </w:p>
          <w:p w:rsidR="0055491A" w:rsidRDefault="0055491A" w:rsidP="00210BF6">
            <w:pPr>
              <w:ind w:firstLine="0"/>
              <w:jc w:val="center"/>
              <w:rPr>
                <w:color w:val="000000"/>
                <w:sz w:val="16"/>
                <w:szCs w:val="16"/>
              </w:rPr>
            </w:pPr>
            <w:r>
              <w:rPr>
                <w:color w:val="000000"/>
                <w:sz w:val="16"/>
                <w:szCs w:val="16"/>
              </w:rPr>
              <w:t>1</w:t>
            </w:r>
          </w:p>
        </w:tc>
        <w:tc>
          <w:tcPr>
            <w:tcW w:w="815" w:type="dxa"/>
            <w:gridSpan w:val="2"/>
            <w:vAlign w:val="center"/>
          </w:tcPr>
          <w:p w:rsidR="0055491A" w:rsidRDefault="0055491A" w:rsidP="00210BF6">
            <w:pPr>
              <w:ind w:firstLine="0"/>
              <w:jc w:val="center"/>
              <w:rPr>
                <w:color w:val="000000"/>
                <w:sz w:val="16"/>
                <w:szCs w:val="16"/>
              </w:rPr>
            </w:pPr>
          </w:p>
          <w:p w:rsidR="0055491A" w:rsidRDefault="0055491A" w:rsidP="00210BF6">
            <w:pPr>
              <w:ind w:firstLine="0"/>
              <w:jc w:val="center"/>
              <w:rPr>
                <w:color w:val="000000"/>
                <w:sz w:val="16"/>
                <w:szCs w:val="16"/>
              </w:rPr>
            </w:pPr>
            <w:r>
              <w:rPr>
                <w:color w:val="000000"/>
                <w:sz w:val="16"/>
                <w:szCs w:val="16"/>
              </w:rPr>
              <w:t>70,0</w:t>
            </w:r>
          </w:p>
        </w:tc>
        <w:tc>
          <w:tcPr>
            <w:tcW w:w="815" w:type="dxa"/>
            <w:vAlign w:val="center"/>
          </w:tcPr>
          <w:p w:rsidR="0055491A" w:rsidRDefault="0055491A" w:rsidP="00210BF6">
            <w:pPr>
              <w:ind w:firstLine="0"/>
              <w:jc w:val="center"/>
              <w:rPr>
                <w:bCs/>
                <w:sz w:val="16"/>
                <w:szCs w:val="16"/>
              </w:rPr>
            </w:pPr>
          </w:p>
          <w:p w:rsidR="0055491A" w:rsidRDefault="0055491A" w:rsidP="00210BF6">
            <w:pPr>
              <w:ind w:firstLine="0"/>
              <w:jc w:val="center"/>
              <w:rPr>
                <w:bCs/>
                <w:sz w:val="16"/>
                <w:szCs w:val="16"/>
              </w:rPr>
            </w:pPr>
            <w:r>
              <w:rPr>
                <w:bCs/>
                <w:sz w:val="16"/>
                <w:szCs w:val="16"/>
              </w:rPr>
              <w:t>1</w:t>
            </w:r>
          </w:p>
        </w:tc>
        <w:tc>
          <w:tcPr>
            <w:tcW w:w="815" w:type="dxa"/>
            <w:vAlign w:val="center"/>
          </w:tcPr>
          <w:p w:rsidR="0055491A" w:rsidRDefault="0055491A" w:rsidP="00210BF6">
            <w:pPr>
              <w:ind w:firstLine="0"/>
              <w:jc w:val="center"/>
              <w:rPr>
                <w:color w:val="000000"/>
                <w:sz w:val="16"/>
                <w:szCs w:val="16"/>
              </w:rPr>
            </w:pPr>
          </w:p>
          <w:p w:rsidR="0055491A" w:rsidRDefault="0055491A" w:rsidP="00210BF6">
            <w:pPr>
              <w:ind w:firstLine="0"/>
              <w:jc w:val="center"/>
              <w:rPr>
                <w:color w:val="000000"/>
                <w:sz w:val="16"/>
                <w:szCs w:val="16"/>
              </w:rPr>
            </w:pPr>
            <w:r>
              <w:rPr>
                <w:color w:val="000000"/>
                <w:sz w:val="16"/>
                <w:szCs w:val="16"/>
              </w:rPr>
              <w:t>70,0</w:t>
            </w:r>
          </w:p>
        </w:tc>
        <w:tc>
          <w:tcPr>
            <w:tcW w:w="815" w:type="dxa"/>
            <w:vAlign w:val="center"/>
          </w:tcPr>
          <w:p w:rsidR="0055491A" w:rsidRDefault="0055491A" w:rsidP="00210BF6">
            <w:pPr>
              <w:ind w:firstLine="0"/>
              <w:jc w:val="center"/>
              <w:rPr>
                <w:bCs/>
                <w:sz w:val="16"/>
                <w:szCs w:val="16"/>
              </w:rPr>
            </w:pPr>
          </w:p>
          <w:p w:rsidR="0055491A" w:rsidRDefault="0055491A" w:rsidP="00210BF6">
            <w:pPr>
              <w:ind w:firstLine="0"/>
              <w:jc w:val="center"/>
              <w:rPr>
                <w:bCs/>
                <w:sz w:val="16"/>
                <w:szCs w:val="16"/>
              </w:rPr>
            </w:pPr>
            <w:r>
              <w:rPr>
                <w:bCs/>
                <w:sz w:val="16"/>
                <w:szCs w:val="16"/>
              </w:rPr>
              <w:t>1</w:t>
            </w:r>
          </w:p>
        </w:tc>
        <w:tc>
          <w:tcPr>
            <w:tcW w:w="815" w:type="dxa"/>
            <w:gridSpan w:val="2"/>
            <w:vAlign w:val="center"/>
          </w:tcPr>
          <w:p w:rsidR="0055491A" w:rsidRDefault="0055491A" w:rsidP="00210BF6">
            <w:pPr>
              <w:ind w:firstLine="0"/>
              <w:jc w:val="center"/>
              <w:rPr>
                <w:color w:val="000000"/>
                <w:sz w:val="16"/>
                <w:szCs w:val="16"/>
              </w:rPr>
            </w:pPr>
          </w:p>
          <w:p w:rsidR="0055491A" w:rsidRDefault="0055491A" w:rsidP="00210BF6">
            <w:pPr>
              <w:ind w:firstLine="0"/>
              <w:jc w:val="center"/>
              <w:rPr>
                <w:color w:val="000000"/>
                <w:sz w:val="16"/>
                <w:szCs w:val="16"/>
              </w:rPr>
            </w:pPr>
            <w:r>
              <w:rPr>
                <w:color w:val="000000"/>
                <w:sz w:val="16"/>
                <w:szCs w:val="16"/>
              </w:rPr>
              <w:t>70,0</w:t>
            </w:r>
          </w:p>
        </w:tc>
        <w:tc>
          <w:tcPr>
            <w:tcW w:w="815" w:type="dxa"/>
            <w:vAlign w:val="center"/>
          </w:tcPr>
          <w:p w:rsidR="0055491A" w:rsidRDefault="0055491A" w:rsidP="00210BF6">
            <w:pPr>
              <w:ind w:firstLine="0"/>
              <w:jc w:val="center"/>
              <w:rPr>
                <w:bCs/>
                <w:sz w:val="16"/>
                <w:szCs w:val="16"/>
              </w:rPr>
            </w:pPr>
          </w:p>
          <w:p w:rsidR="0055491A" w:rsidRDefault="0055491A" w:rsidP="00210BF6">
            <w:pPr>
              <w:ind w:firstLine="0"/>
              <w:jc w:val="center"/>
              <w:rPr>
                <w:bCs/>
                <w:sz w:val="16"/>
                <w:szCs w:val="16"/>
              </w:rPr>
            </w:pPr>
            <w:r>
              <w:rPr>
                <w:bCs/>
                <w:sz w:val="16"/>
                <w:szCs w:val="16"/>
              </w:rPr>
              <w:t>1</w:t>
            </w:r>
          </w:p>
        </w:tc>
        <w:tc>
          <w:tcPr>
            <w:tcW w:w="816" w:type="dxa"/>
            <w:vAlign w:val="center"/>
          </w:tcPr>
          <w:p w:rsidR="0055491A" w:rsidRDefault="0055491A" w:rsidP="00210BF6">
            <w:pPr>
              <w:ind w:firstLine="0"/>
              <w:jc w:val="center"/>
              <w:rPr>
                <w:color w:val="000000"/>
                <w:sz w:val="16"/>
                <w:szCs w:val="16"/>
              </w:rPr>
            </w:pPr>
          </w:p>
          <w:p w:rsidR="0055491A" w:rsidRDefault="0055491A" w:rsidP="00210BF6">
            <w:pPr>
              <w:ind w:firstLine="0"/>
              <w:jc w:val="center"/>
              <w:rPr>
                <w:color w:val="000000"/>
                <w:sz w:val="16"/>
                <w:szCs w:val="16"/>
              </w:rPr>
            </w:pPr>
            <w:r>
              <w:rPr>
                <w:color w:val="000000"/>
                <w:sz w:val="16"/>
                <w:szCs w:val="16"/>
              </w:rPr>
              <w:t>70,0</w:t>
            </w:r>
          </w:p>
        </w:tc>
        <w:tc>
          <w:tcPr>
            <w:tcW w:w="925" w:type="dxa"/>
            <w:vMerge/>
            <w:vAlign w:val="center"/>
          </w:tcPr>
          <w:p w:rsidR="0055491A" w:rsidRDefault="0055491A" w:rsidP="00210BF6">
            <w:pPr>
              <w:ind w:firstLine="0"/>
              <w:jc w:val="center"/>
              <w:rPr>
                <w:color w:val="000000"/>
                <w:sz w:val="20"/>
                <w:szCs w:val="20"/>
              </w:rPr>
            </w:pPr>
          </w:p>
        </w:tc>
      </w:tr>
      <w:tr w:rsidR="0055491A" w:rsidRPr="00F564B2" w:rsidTr="00210BF6">
        <w:trPr>
          <w:trHeight w:val="585"/>
        </w:trPr>
        <w:tc>
          <w:tcPr>
            <w:tcW w:w="851" w:type="dxa"/>
            <w:vAlign w:val="center"/>
          </w:tcPr>
          <w:p w:rsidR="0055491A" w:rsidRDefault="0055491A" w:rsidP="00210BF6">
            <w:pPr>
              <w:ind w:firstLine="0"/>
              <w:jc w:val="center"/>
              <w:rPr>
                <w:bCs/>
                <w:sz w:val="16"/>
                <w:szCs w:val="16"/>
              </w:rPr>
            </w:pPr>
          </w:p>
          <w:p w:rsidR="0055491A" w:rsidRPr="006C469E" w:rsidRDefault="0055491A" w:rsidP="00210BF6">
            <w:pPr>
              <w:ind w:firstLine="0"/>
              <w:jc w:val="center"/>
              <w:rPr>
                <w:bCs/>
                <w:sz w:val="16"/>
                <w:szCs w:val="16"/>
              </w:rPr>
            </w:pPr>
            <w:r>
              <w:rPr>
                <w:bCs/>
                <w:sz w:val="16"/>
                <w:szCs w:val="16"/>
              </w:rPr>
              <w:t>Ст.20</w:t>
            </w:r>
            <w:r w:rsidRPr="006C469E">
              <w:rPr>
                <w:bCs/>
                <w:sz w:val="16"/>
                <w:szCs w:val="16"/>
              </w:rPr>
              <w:t>.</w:t>
            </w:r>
            <w:r>
              <w:rPr>
                <w:bCs/>
                <w:sz w:val="16"/>
                <w:szCs w:val="16"/>
              </w:rPr>
              <w:t>25</w:t>
            </w:r>
          </w:p>
          <w:p w:rsidR="0055491A" w:rsidRPr="006C469E" w:rsidRDefault="0055491A" w:rsidP="00210BF6">
            <w:pPr>
              <w:ind w:firstLine="0"/>
              <w:jc w:val="center"/>
              <w:rPr>
                <w:bCs/>
                <w:sz w:val="16"/>
                <w:szCs w:val="16"/>
              </w:rPr>
            </w:pPr>
          </w:p>
        </w:tc>
        <w:tc>
          <w:tcPr>
            <w:tcW w:w="545" w:type="dxa"/>
            <w:vAlign w:val="center"/>
          </w:tcPr>
          <w:p w:rsidR="0055491A" w:rsidRDefault="0055491A" w:rsidP="00210BF6">
            <w:pPr>
              <w:ind w:firstLine="0"/>
              <w:jc w:val="center"/>
              <w:rPr>
                <w:bCs/>
                <w:sz w:val="16"/>
                <w:szCs w:val="16"/>
              </w:rPr>
            </w:pPr>
          </w:p>
          <w:p w:rsidR="0055491A" w:rsidRDefault="0055491A" w:rsidP="00210BF6">
            <w:pPr>
              <w:ind w:firstLine="0"/>
              <w:jc w:val="center"/>
              <w:rPr>
                <w:bCs/>
                <w:sz w:val="16"/>
                <w:szCs w:val="16"/>
              </w:rPr>
            </w:pPr>
            <w:r>
              <w:rPr>
                <w:bCs/>
                <w:sz w:val="16"/>
                <w:szCs w:val="16"/>
              </w:rPr>
              <w:t>100</w:t>
            </w:r>
          </w:p>
        </w:tc>
        <w:tc>
          <w:tcPr>
            <w:tcW w:w="448" w:type="dxa"/>
            <w:vAlign w:val="center"/>
          </w:tcPr>
          <w:p w:rsidR="0055491A" w:rsidRDefault="0055491A" w:rsidP="00210BF6">
            <w:pPr>
              <w:ind w:firstLine="0"/>
              <w:jc w:val="center"/>
              <w:rPr>
                <w:color w:val="000000"/>
                <w:sz w:val="16"/>
                <w:szCs w:val="16"/>
              </w:rPr>
            </w:pPr>
          </w:p>
          <w:p w:rsidR="0055491A" w:rsidRDefault="0055491A" w:rsidP="00210BF6">
            <w:pPr>
              <w:ind w:firstLine="0"/>
              <w:jc w:val="center"/>
              <w:rPr>
                <w:color w:val="000000"/>
                <w:sz w:val="16"/>
                <w:szCs w:val="16"/>
              </w:rPr>
            </w:pPr>
            <w:r>
              <w:rPr>
                <w:color w:val="000000"/>
                <w:sz w:val="16"/>
                <w:szCs w:val="16"/>
              </w:rPr>
              <w:t>0</w:t>
            </w:r>
          </w:p>
        </w:tc>
        <w:tc>
          <w:tcPr>
            <w:tcW w:w="425" w:type="dxa"/>
            <w:vAlign w:val="center"/>
          </w:tcPr>
          <w:p w:rsidR="0055491A" w:rsidRDefault="0055491A" w:rsidP="00210BF6">
            <w:pPr>
              <w:ind w:firstLine="0"/>
              <w:jc w:val="center"/>
              <w:rPr>
                <w:bCs/>
                <w:sz w:val="16"/>
                <w:szCs w:val="16"/>
              </w:rPr>
            </w:pPr>
          </w:p>
          <w:p w:rsidR="0055491A" w:rsidRDefault="0055491A" w:rsidP="00210BF6">
            <w:pPr>
              <w:ind w:firstLine="0"/>
              <w:jc w:val="center"/>
              <w:rPr>
                <w:bCs/>
                <w:sz w:val="16"/>
                <w:szCs w:val="16"/>
              </w:rPr>
            </w:pPr>
            <w:r>
              <w:rPr>
                <w:bCs/>
                <w:sz w:val="16"/>
                <w:szCs w:val="16"/>
              </w:rPr>
              <w:t>0</w:t>
            </w:r>
          </w:p>
        </w:tc>
        <w:tc>
          <w:tcPr>
            <w:tcW w:w="425" w:type="dxa"/>
            <w:vAlign w:val="center"/>
          </w:tcPr>
          <w:p w:rsidR="0055491A" w:rsidRDefault="0055491A" w:rsidP="00210BF6">
            <w:pPr>
              <w:ind w:firstLine="0"/>
              <w:jc w:val="center"/>
              <w:rPr>
                <w:bCs/>
                <w:sz w:val="16"/>
                <w:szCs w:val="16"/>
              </w:rPr>
            </w:pPr>
          </w:p>
          <w:p w:rsidR="0055491A" w:rsidRDefault="0055491A" w:rsidP="00210BF6">
            <w:pPr>
              <w:ind w:firstLine="0"/>
              <w:jc w:val="center"/>
              <w:rPr>
                <w:bCs/>
                <w:sz w:val="16"/>
                <w:szCs w:val="16"/>
              </w:rPr>
            </w:pPr>
            <w:r>
              <w:rPr>
                <w:bCs/>
                <w:sz w:val="16"/>
                <w:szCs w:val="16"/>
              </w:rPr>
              <w:t>3</w:t>
            </w:r>
          </w:p>
        </w:tc>
        <w:tc>
          <w:tcPr>
            <w:tcW w:w="815" w:type="dxa"/>
            <w:vAlign w:val="center"/>
          </w:tcPr>
          <w:p w:rsidR="0055491A" w:rsidRDefault="0055491A" w:rsidP="00210BF6">
            <w:pPr>
              <w:ind w:firstLine="0"/>
              <w:jc w:val="center"/>
              <w:rPr>
                <w:color w:val="000000"/>
                <w:sz w:val="16"/>
                <w:szCs w:val="16"/>
              </w:rPr>
            </w:pPr>
          </w:p>
          <w:p w:rsidR="0055491A" w:rsidRDefault="0055491A" w:rsidP="00210BF6">
            <w:pPr>
              <w:ind w:firstLine="0"/>
              <w:jc w:val="center"/>
              <w:rPr>
                <w:color w:val="000000"/>
                <w:sz w:val="16"/>
                <w:szCs w:val="16"/>
              </w:rPr>
            </w:pPr>
            <w:r>
              <w:rPr>
                <w:color w:val="000000"/>
                <w:sz w:val="16"/>
                <w:szCs w:val="16"/>
              </w:rPr>
              <w:t>1</w:t>
            </w:r>
          </w:p>
        </w:tc>
        <w:tc>
          <w:tcPr>
            <w:tcW w:w="815" w:type="dxa"/>
            <w:gridSpan w:val="2"/>
            <w:vAlign w:val="center"/>
          </w:tcPr>
          <w:p w:rsidR="0055491A" w:rsidRDefault="0055491A" w:rsidP="00210BF6">
            <w:pPr>
              <w:ind w:firstLine="0"/>
              <w:jc w:val="center"/>
              <w:rPr>
                <w:color w:val="000000"/>
                <w:sz w:val="16"/>
                <w:szCs w:val="16"/>
              </w:rPr>
            </w:pPr>
          </w:p>
          <w:p w:rsidR="0055491A" w:rsidRDefault="0055491A" w:rsidP="00210BF6">
            <w:pPr>
              <w:ind w:firstLine="0"/>
              <w:jc w:val="center"/>
              <w:rPr>
                <w:color w:val="000000"/>
                <w:sz w:val="16"/>
                <w:szCs w:val="16"/>
              </w:rPr>
            </w:pPr>
            <w:r>
              <w:rPr>
                <w:color w:val="000000"/>
                <w:sz w:val="16"/>
                <w:szCs w:val="16"/>
              </w:rPr>
              <w:t>100,0</w:t>
            </w:r>
          </w:p>
        </w:tc>
        <w:tc>
          <w:tcPr>
            <w:tcW w:w="815" w:type="dxa"/>
            <w:vAlign w:val="center"/>
          </w:tcPr>
          <w:p w:rsidR="0055491A" w:rsidRDefault="0055491A" w:rsidP="00210BF6">
            <w:pPr>
              <w:ind w:firstLine="0"/>
              <w:jc w:val="center"/>
              <w:rPr>
                <w:bCs/>
                <w:sz w:val="16"/>
                <w:szCs w:val="16"/>
              </w:rPr>
            </w:pPr>
          </w:p>
          <w:p w:rsidR="0055491A" w:rsidRDefault="0055491A" w:rsidP="00210BF6">
            <w:pPr>
              <w:ind w:firstLine="0"/>
              <w:jc w:val="center"/>
              <w:rPr>
                <w:bCs/>
                <w:sz w:val="16"/>
                <w:szCs w:val="16"/>
              </w:rPr>
            </w:pPr>
            <w:r>
              <w:rPr>
                <w:bCs/>
                <w:sz w:val="16"/>
                <w:szCs w:val="16"/>
              </w:rPr>
              <w:t>1</w:t>
            </w:r>
          </w:p>
        </w:tc>
        <w:tc>
          <w:tcPr>
            <w:tcW w:w="815" w:type="dxa"/>
            <w:vAlign w:val="center"/>
          </w:tcPr>
          <w:p w:rsidR="0055491A" w:rsidRDefault="0055491A" w:rsidP="00210BF6">
            <w:pPr>
              <w:ind w:firstLine="0"/>
              <w:jc w:val="center"/>
              <w:rPr>
                <w:color w:val="000000"/>
                <w:sz w:val="16"/>
                <w:szCs w:val="16"/>
              </w:rPr>
            </w:pPr>
          </w:p>
          <w:p w:rsidR="0055491A" w:rsidRDefault="0055491A" w:rsidP="00210BF6">
            <w:pPr>
              <w:ind w:firstLine="0"/>
              <w:jc w:val="center"/>
              <w:rPr>
                <w:color w:val="000000"/>
                <w:sz w:val="16"/>
                <w:szCs w:val="16"/>
              </w:rPr>
            </w:pPr>
            <w:r>
              <w:rPr>
                <w:color w:val="000000"/>
                <w:sz w:val="16"/>
                <w:szCs w:val="16"/>
              </w:rPr>
              <w:t>100,0</w:t>
            </w:r>
          </w:p>
        </w:tc>
        <w:tc>
          <w:tcPr>
            <w:tcW w:w="815" w:type="dxa"/>
            <w:vAlign w:val="center"/>
          </w:tcPr>
          <w:p w:rsidR="0055491A" w:rsidRDefault="0055491A" w:rsidP="00210BF6">
            <w:pPr>
              <w:ind w:firstLine="0"/>
              <w:jc w:val="center"/>
              <w:rPr>
                <w:bCs/>
                <w:sz w:val="16"/>
                <w:szCs w:val="16"/>
              </w:rPr>
            </w:pPr>
          </w:p>
          <w:p w:rsidR="0055491A" w:rsidRDefault="0055491A" w:rsidP="00210BF6">
            <w:pPr>
              <w:ind w:firstLine="0"/>
              <w:jc w:val="center"/>
              <w:rPr>
                <w:bCs/>
                <w:sz w:val="16"/>
                <w:szCs w:val="16"/>
              </w:rPr>
            </w:pPr>
            <w:r>
              <w:rPr>
                <w:bCs/>
                <w:sz w:val="16"/>
                <w:szCs w:val="16"/>
              </w:rPr>
              <w:t>1</w:t>
            </w:r>
          </w:p>
        </w:tc>
        <w:tc>
          <w:tcPr>
            <w:tcW w:w="815" w:type="dxa"/>
            <w:gridSpan w:val="2"/>
            <w:vAlign w:val="center"/>
          </w:tcPr>
          <w:p w:rsidR="0055491A" w:rsidRDefault="0055491A" w:rsidP="00210BF6">
            <w:pPr>
              <w:ind w:firstLine="0"/>
              <w:jc w:val="center"/>
              <w:rPr>
                <w:color w:val="000000"/>
                <w:sz w:val="16"/>
                <w:szCs w:val="16"/>
              </w:rPr>
            </w:pPr>
          </w:p>
          <w:p w:rsidR="0055491A" w:rsidRDefault="0055491A" w:rsidP="00210BF6">
            <w:pPr>
              <w:ind w:firstLine="0"/>
              <w:jc w:val="center"/>
              <w:rPr>
                <w:color w:val="000000"/>
                <w:sz w:val="16"/>
                <w:szCs w:val="16"/>
              </w:rPr>
            </w:pPr>
            <w:r>
              <w:rPr>
                <w:color w:val="000000"/>
                <w:sz w:val="16"/>
                <w:szCs w:val="16"/>
              </w:rPr>
              <w:t>100,0</w:t>
            </w:r>
          </w:p>
        </w:tc>
        <w:tc>
          <w:tcPr>
            <w:tcW w:w="815" w:type="dxa"/>
            <w:vAlign w:val="center"/>
          </w:tcPr>
          <w:p w:rsidR="0055491A" w:rsidRDefault="0055491A" w:rsidP="00210BF6">
            <w:pPr>
              <w:ind w:firstLine="0"/>
              <w:jc w:val="center"/>
              <w:rPr>
                <w:bCs/>
                <w:sz w:val="16"/>
                <w:szCs w:val="16"/>
              </w:rPr>
            </w:pPr>
          </w:p>
          <w:p w:rsidR="0055491A" w:rsidRDefault="0055491A" w:rsidP="00210BF6">
            <w:pPr>
              <w:ind w:firstLine="0"/>
              <w:jc w:val="center"/>
              <w:rPr>
                <w:bCs/>
                <w:sz w:val="16"/>
                <w:szCs w:val="16"/>
              </w:rPr>
            </w:pPr>
            <w:r>
              <w:rPr>
                <w:bCs/>
                <w:sz w:val="16"/>
                <w:szCs w:val="16"/>
              </w:rPr>
              <w:t>1</w:t>
            </w:r>
          </w:p>
        </w:tc>
        <w:tc>
          <w:tcPr>
            <w:tcW w:w="816" w:type="dxa"/>
            <w:vAlign w:val="center"/>
          </w:tcPr>
          <w:p w:rsidR="0055491A" w:rsidRDefault="0055491A" w:rsidP="00210BF6">
            <w:pPr>
              <w:ind w:firstLine="0"/>
              <w:jc w:val="center"/>
              <w:rPr>
                <w:color w:val="000000"/>
                <w:sz w:val="16"/>
                <w:szCs w:val="16"/>
              </w:rPr>
            </w:pPr>
          </w:p>
          <w:p w:rsidR="0055491A" w:rsidRDefault="0055491A" w:rsidP="00210BF6">
            <w:pPr>
              <w:ind w:firstLine="0"/>
              <w:jc w:val="center"/>
              <w:rPr>
                <w:color w:val="000000"/>
                <w:sz w:val="16"/>
                <w:szCs w:val="16"/>
              </w:rPr>
            </w:pPr>
            <w:r>
              <w:rPr>
                <w:color w:val="000000"/>
                <w:sz w:val="16"/>
                <w:szCs w:val="16"/>
              </w:rPr>
              <w:t>100,0</w:t>
            </w:r>
          </w:p>
        </w:tc>
        <w:tc>
          <w:tcPr>
            <w:tcW w:w="925" w:type="dxa"/>
            <w:vMerge/>
            <w:vAlign w:val="center"/>
          </w:tcPr>
          <w:p w:rsidR="0055491A" w:rsidRDefault="0055491A" w:rsidP="00210BF6">
            <w:pPr>
              <w:ind w:firstLine="0"/>
              <w:jc w:val="center"/>
              <w:rPr>
                <w:color w:val="000000"/>
                <w:sz w:val="20"/>
                <w:szCs w:val="20"/>
              </w:rPr>
            </w:pPr>
          </w:p>
        </w:tc>
      </w:tr>
      <w:tr w:rsidR="0055491A" w:rsidRPr="00F564B2" w:rsidTr="00210BF6">
        <w:trPr>
          <w:trHeight w:val="585"/>
        </w:trPr>
        <w:tc>
          <w:tcPr>
            <w:tcW w:w="1396" w:type="dxa"/>
            <w:gridSpan w:val="2"/>
            <w:vAlign w:val="center"/>
          </w:tcPr>
          <w:p w:rsidR="0055491A" w:rsidRPr="00D068C3" w:rsidRDefault="0055491A" w:rsidP="00210BF6">
            <w:pPr>
              <w:ind w:firstLine="0"/>
              <w:jc w:val="center"/>
              <w:rPr>
                <w:b/>
                <w:color w:val="FF0000"/>
                <w:sz w:val="16"/>
                <w:szCs w:val="16"/>
              </w:rPr>
            </w:pPr>
            <w:r w:rsidRPr="00D068C3">
              <w:rPr>
                <w:b/>
                <w:sz w:val="18"/>
                <w:szCs w:val="18"/>
              </w:rPr>
              <w:t>Итого в областной бюджет Тверской области</w:t>
            </w:r>
            <w:r>
              <w:rPr>
                <w:b/>
                <w:sz w:val="18"/>
                <w:szCs w:val="18"/>
              </w:rPr>
              <w:t xml:space="preserve"> </w:t>
            </w:r>
          </w:p>
        </w:tc>
        <w:tc>
          <w:tcPr>
            <w:tcW w:w="448" w:type="dxa"/>
            <w:vAlign w:val="center"/>
          </w:tcPr>
          <w:p w:rsidR="0055491A" w:rsidRDefault="0055491A" w:rsidP="00210BF6">
            <w:pPr>
              <w:ind w:firstLine="0"/>
              <w:jc w:val="center"/>
              <w:rPr>
                <w:color w:val="000000"/>
                <w:sz w:val="16"/>
                <w:szCs w:val="16"/>
              </w:rPr>
            </w:pPr>
          </w:p>
        </w:tc>
        <w:tc>
          <w:tcPr>
            <w:tcW w:w="425" w:type="dxa"/>
            <w:vAlign w:val="center"/>
          </w:tcPr>
          <w:p w:rsidR="0055491A" w:rsidRDefault="0055491A" w:rsidP="00210BF6">
            <w:pPr>
              <w:ind w:firstLine="0"/>
              <w:jc w:val="center"/>
              <w:rPr>
                <w:bCs/>
                <w:sz w:val="16"/>
                <w:szCs w:val="16"/>
              </w:rPr>
            </w:pPr>
          </w:p>
        </w:tc>
        <w:tc>
          <w:tcPr>
            <w:tcW w:w="425" w:type="dxa"/>
            <w:vAlign w:val="center"/>
          </w:tcPr>
          <w:p w:rsidR="0055491A" w:rsidRDefault="0055491A" w:rsidP="00210BF6">
            <w:pPr>
              <w:ind w:firstLine="0"/>
              <w:jc w:val="center"/>
              <w:rPr>
                <w:bCs/>
                <w:sz w:val="16"/>
                <w:szCs w:val="16"/>
              </w:rPr>
            </w:pPr>
          </w:p>
        </w:tc>
        <w:tc>
          <w:tcPr>
            <w:tcW w:w="815" w:type="dxa"/>
            <w:vAlign w:val="center"/>
          </w:tcPr>
          <w:p w:rsidR="0055491A" w:rsidRDefault="0055491A" w:rsidP="00210BF6">
            <w:pPr>
              <w:ind w:firstLine="0"/>
              <w:jc w:val="center"/>
              <w:rPr>
                <w:color w:val="000000"/>
                <w:sz w:val="16"/>
                <w:szCs w:val="16"/>
              </w:rPr>
            </w:pPr>
          </w:p>
        </w:tc>
        <w:tc>
          <w:tcPr>
            <w:tcW w:w="815" w:type="dxa"/>
            <w:gridSpan w:val="2"/>
            <w:vAlign w:val="center"/>
          </w:tcPr>
          <w:p w:rsidR="0055491A" w:rsidRPr="00DC0161" w:rsidRDefault="0055491A" w:rsidP="00210BF6">
            <w:pPr>
              <w:ind w:firstLine="0"/>
              <w:jc w:val="center"/>
              <w:rPr>
                <w:b/>
                <w:color w:val="000000"/>
                <w:sz w:val="16"/>
                <w:szCs w:val="16"/>
              </w:rPr>
            </w:pPr>
          </w:p>
          <w:p w:rsidR="0055491A" w:rsidRPr="00DC0161" w:rsidRDefault="0055491A" w:rsidP="00210BF6">
            <w:pPr>
              <w:ind w:firstLine="0"/>
              <w:jc w:val="center"/>
              <w:rPr>
                <w:b/>
                <w:color w:val="000000"/>
                <w:sz w:val="16"/>
                <w:szCs w:val="16"/>
              </w:rPr>
            </w:pPr>
            <w:r>
              <w:rPr>
                <w:b/>
                <w:color w:val="000000"/>
                <w:sz w:val="16"/>
                <w:szCs w:val="16"/>
              </w:rPr>
              <w:t>87,5</w:t>
            </w:r>
          </w:p>
        </w:tc>
        <w:tc>
          <w:tcPr>
            <w:tcW w:w="815" w:type="dxa"/>
            <w:vAlign w:val="center"/>
          </w:tcPr>
          <w:p w:rsidR="0055491A" w:rsidRDefault="0055491A" w:rsidP="00210BF6">
            <w:pPr>
              <w:ind w:firstLine="0"/>
              <w:jc w:val="center"/>
              <w:rPr>
                <w:bCs/>
                <w:sz w:val="16"/>
                <w:szCs w:val="16"/>
              </w:rPr>
            </w:pPr>
          </w:p>
        </w:tc>
        <w:tc>
          <w:tcPr>
            <w:tcW w:w="815" w:type="dxa"/>
            <w:vAlign w:val="center"/>
          </w:tcPr>
          <w:p w:rsidR="0055491A" w:rsidRPr="00DC0161" w:rsidRDefault="0055491A" w:rsidP="00210BF6">
            <w:pPr>
              <w:ind w:firstLine="0"/>
              <w:jc w:val="center"/>
              <w:rPr>
                <w:b/>
                <w:color w:val="000000"/>
                <w:sz w:val="16"/>
                <w:szCs w:val="16"/>
              </w:rPr>
            </w:pPr>
          </w:p>
          <w:p w:rsidR="0055491A" w:rsidRPr="00DC0161" w:rsidRDefault="0055491A" w:rsidP="00210BF6">
            <w:pPr>
              <w:ind w:firstLine="0"/>
              <w:jc w:val="center"/>
              <w:rPr>
                <w:b/>
                <w:color w:val="000000"/>
                <w:sz w:val="16"/>
                <w:szCs w:val="16"/>
              </w:rPr>
            </w:pPr>
            <w:r>
              <w:rPr>
                <w:b/>
                <w:color w:val="000000"/>
                <w:sz w:val="16"/>
                <w:szCs w:val="16"/>
              </w:rPr>
              <w:t>87,5</w:t>
            </w:r>
          </w:p>
        </w:tc>
        <w:tc>
          <w:tcPr>
            <w:tcW w:w="815" w:type="dxa"/>
            <w:vAlign w:val="center"/>
          </w:tcPr>
          <w:p w:rsidR="0055491A" w:rsidRDefault="0055491A" w:rsidP="00210BF6">
            <w:pPr>
              <w:ind w:firstLine="0"/>
              <w:jc w:val="center"/>
              <w:rPr>
                <w:bCs/>
                <w:sz w:val="16"/>
                <w:szCs w:val="16"/>
              </w:rPr>
            </w:pPr>
          </w:p>
        </w:tc>
        <w:tc>
          <w:tcPr>
            <w:tcW w:w="815" w:type="dxa"/>
            <w:gridSpan w:val="2"/>
            <w:vAlign w:val="center"/>
          </w:tcPr>
          <w:p w:rsidR="0055491A" w:rsidRPr="00DC0161" w:rsidRDefault="0055491A" w:rsidP="00210BF6">
            <w:pPr>
              <w:ind w:firstLine="0"/>
              <w:jc w:val="center"/>
              <w:rPr>
                <w:b/>
                <w:color w:val="000000"/>
                <w:sz w:val="16"/>
                <w:szCs w:val="16"/>
              </w:rPr>
            </w:pPr>
          </w:p>
          <w:p w:rsidR="0055491A" w:rsidRPr="00DC0161" w:rsidRDefault="0055491A" w:rsidP="00210BF6">
            <w:pPr>
              <w:ind w:firstLine="0"/>
              <w:jc w:val="center"/>
              <w:rPr>
                <w:b/>
                <w:color w:val="000000"/>
                <w:sz w:val="16"/>
                <w:szCs w:val="16"/>
              </w:rPr>
            </w:pPr>
            <w:r>
              <w:rPr>
                <w:b/>
                <w:color w:val="000000"/>
                <w:sz w:val="16"/>
                <w:szCs w:val="16"/>
              </w:rPr>
              <w:t>87,5</w:t>
            </w:r>
          </w:p>
        </w:tc>
        <w:tc>
          <w:tcPr>
            <w:tcW w:w="815" w:type="dxa"/>
            <w:vAlign w:val="center"/>
          </w:tcPr>
          <w:p w:rsidR="0055491A" w:rsidRDefault="0055491A" w:rsidP="00210BF6">
            <w:pPr>
              <w:ind w:firstLine="0"/>
              <w:jc w:val="center"/>
              <w:rPr>
                <w:bCs/>
                <w:sz w:val="16"/>
                <w:szCs w:val="16"/>
              </w:rPr>
            </w:pPr>
          </w:p>
        </w:tc>
        <w:tc>
          <w:tcPr>
            <w:tcW w:w="816" w:type="dxa"/>
            <w:vAlign w:val="center"/>
          </w:tcPr>
          <w:p w:rsidR="0055491A" w:rsidRPr="00DC0161" w:rsidRDefault="0055491A" w:rsidP="00210BF6">
            <w:pPr>
              <w:ind w:firstLine="0"/>
              <w:jc w:val="center"/>
              <w:rPr>
                <w:b/>
                <w:color w:val="000000"/>
                <w:sz w:val="16"/>
                <w:szCs w:val="16"/>
              </w:rPr>
            </w:pPr>
          </w:p>
          <w:p w:rsidR="0055491A" w:rsidRPr="00DC0161" w:rsidRDefault="0055491A" w:rsidP="00210BF6">
            <w:pPr>
              <w:ind w:firstLine="0"/>
              <w:jc w:val="center"/>
              <w:rPr>
                <w:b/>
                <w:color w:val="000000"/>
                <w:sz w:val="16"/>
                <w:szCs w:val="16"/>
              </w:rPr>
            </w:pPr>
            <w:r>
              <w:rPr>
                <w:b/>
                <w:color w:val="000000"/>
                <w:sz w:val="16"/>
                <w:szCs w:val="16"/>
              </w:rPr>
              <w:t>87,5</w:t>
            </w:r>
          </w:p>
        </w:tc>
        <w:tc>
          <w:tcPr>
            <w:tcW w:w="925" w:type="dxa"/>
            <w:vMerge/>
            <w:vAlign w:val="center"/>
          </w:tcPr>
          <w:p w:rsidR="0055491A" w:rsidRDefault="0055491A" w:rsidP="00210BF6">
            <w:pPr>
              <w:ind w:firstLine="0"/>
              <w:jc w:val="center"/>
              <w:rPr>
                <w:color w:val="000000"/>
                <w:sz w:val="20"/>
                <w:szCs w:val="20"/>
              </w:rPr>
            </w:pPr>
          </w:p>
        </w:tc>
      </w:tr>
      <w:tr w:rsidR="0055491A" w:rsidRPr="00F564B2" w:rsidTr="00210BF6">
        <w:trPr>
          <w:trHeight w:val="585"/>
        </w:trPr>
        <w:tc>
          <w:tcPr>
            <w:tcW w:w="851" w:type="dxa"/>
            <w:vAlign w:val="center"/>
          </w:tcPr>
          <w:p w:rsidR="0055491A" w:rsidRPr="006C469E" w:rsidRDefault="0055491A" w:rsidP="00210BF6">
            <w:pPr>
              <w:ind w:firstLine="0"/>
              <w:jc w:val="center"/>
              <w:rPr>
                <w:bCs/>
                <w:sz w:val="16"/>
                <w:szCs w:val="16"/>
              </w:rPr>
            </w:pPr>
          </w:p>
          <w:p w:rsidR="0055491A" w:rsidRPr="006C469E" w:rsidRDefault="0055491A" w:rsidP="00210BF6">
            <w:pPr>
              <w:ind w:firstLine="0"/>
              <w:jc w:val="center"/>
              <w:rPr>
                <w:bCs/>
                <w:sz w:val="16"/>
                <w:szCs w:val="16"/>
              </w:rPr>
            </w:pPr>
            <w:r>
              <w:rPr>
                <w:bCs/>
                <w:sz w:val="16"/>
                <w:szCs w:val="16"/>
              </w:rPr>
              <w:t>Ст.20</w:t>
            </w:r>
            <w:r w:rsidRPr="006C469E">
              <w:rPr>
                <w:bCs/>
                <w:sz w:val="16"/>
                <w:szCs w:val="16"/>
              </w:rPr>
              <w:t>.</w:t>
            </w:r>
            <w:r>
              <w:rPr>
                <w:bCs/>
                <w:sz w:val="16"/>
                <w:szCs w:val="16"/>
              </w:rPr>
              <w:t>25</w:t>
            </w:r>
          </w:p>
          <w:p w:rsidR="0055491A" w:rsidRPr="006C469E" w:rsidRDefault="0055491A" w:rsidP="00210BF6">
            <w:pPr>
              <w:ind w:firstLine="0"/>
              <w:jc w:val="center"/>
              <w:rPr>
                <w:bCs/>
                <w:sz w:val="16"/>
                <w:szCs w:val="16"/>
              </w:rPr>
            </w:pPr>
          </w:p>
        </w:tc>
        <w:tc>
          <w:tcPr>
            <w:tcW w:w="545" w:type="dxa"/>
            <w:vAlign w:val="center"/>
          </w:tcPr>
          <w:p w:rsidR="0055491A" w:rsidRPr="002D6C3D" w:rsidRDefault="0055491A" w:rsidP="00210BF6">
            <w:pPr>
              <w:ind w:firstLine="0"/>
              <w:jc w:val="center"/>
              <w:rPr>
                <w:bCs/>
                <w:sz w:val="16"/>
                <w:szCs w:val="16"/>
              </w:rPr>
            </w:pPr>
          </w:p>
          <w:p w:rsidR="0055491A" w:rsidRPr="002D6C3D" w:rsidRDefault="0055491A" w:rsidP="00210BF6">
            <w:pPr>
              <w:ind w:firstLine="0"/>
              <w:jc w:val="center"/>
              <w:rPr>
                <w:bCs/>
                <w:sz w:val="16"/>
                <w:szCs w:val="16"/>
              </w:rPr>
            </w:pPr>
            <w:r>
              <w:rPr>
                <w:bCs/>
                <w:sz w:val="16"/>
                <w:szCs w:val="16"/>
              </w:rPr>
              <w:t>200</w:t>
            </w:r>
          </w:p>
        </w:tc>
        <w:tc>
          <w:tcPr>
            <w:tcW w:w="448" w:type="dxa"/>
            <w:vAlign w:val="center"/>
          </w:tcPr>
          <w:p w:rsidR="0055491A" w:rsidRDefault="0055491A" w:rsidP="00210BF6">
            <w:pPr>
              <w:ind w:firstLine="0"/>
              <w:jc w:val="center"/>
              <w:rPr>
                <w:color w:val="000000"/>
                <w:sz w:val="16"/>
                <w:szCs w:val="16"/>
              </w:rPr>
            </w:pPr>
          </w:p>
          <w:p w:rsidR="0055491A" w:rsidRDefault="0055491A" w:rsidP="00210BF6">
            <w:pPr>
              <w:ind w:firstLine="0"/>
              <w:jc w:val="center"/>
              <w:rPr>
                <w:color w:val="000000"/>
                <w:sz w:val="16"/>
                <w:szCs w:val="16"/>
              </w:rPr>
            </w:pPr>
            <w:r>
              <w:rPr>
                <w:color w:val="000000"/>
                <w:sz w:val="16"/>
                <w:szCs w:val="16"/>
              </w:rPr>
              <w:t>0</w:t>
            </w:r>
          </w:p>
        </w:tc>
        <w:tc>
          <w:tcPr>
            <w:tcW w:w="425" w:type="dxa"/>
            <w:vAlign w:val="center"/>
          </w:tcPr>
          <w:p w:rsidR="0055491A" w:rsidRDefault="0055491A" w:rsidP="00210BF6">
            <w:pPr>
              <w:ind w:firstLine="0"/>
              <w:jc w:val="center"/>
              <w:rPr>
                <w:bCs/>
                <w:sz w:val="16"/>
                <w:szCs w:val="16"/>
              </w:rPr>
            </w:pPr>
          </w:p>
          <w:p w:rsidR="0055491A" w:rsidRPr="002D6C3D" w:rsidRDefault="0055491A" w:rsidP="00210BF6">
            <w:pPr>
              <w:ind w:firstLine="0"/>
              <w:jc w:val="center"/>
              <w:rPr>
                <w:bCs/>
                <w:sz w:val="16"/>
                <w:szCs w:val="16"/>
              </w:rPr>
            </w:pPr>
            <w:r>
              <w:rPr>
                <w:bCs/>
                <w:sz w:val="16"/>
                <w:szCs w:val="16"/>
              </w:rPr>
              <w:t>0</w:t>
            </w:r>
          </w:p>
        </w:tc>
        <w:tc>
          <w:tcPr>
            <w:tcW w:w="425" w:type="dxa"/>
            <w:vAlign w:val="center"/>
          </w:tcPr>
          <w:p w:rsidR="0055491A" w:rsidRDefault="0055491A" w:rsidP="00210BF6">
            <w:pPr>
              <w:ind w:firstLine="0"/>
              <w:jc w:val="center"/>
              <w:rPr>
                <w:bCs/>
                <w:sz w:val="16"/>
                <w:szCs w:val="16"/>
              </w:rPr>
            </w:pPr>
          </w:p>
          <w:p w:rsidR="0055491A" w:rsidRPr="002D6C3D" w:rsidRDefault="0055491A" w:rsidP="00210BF6">
            <w:pPr>
              <w:ind w:firstLine="0"/>
              <w:jc w:val="center"/>
              <w:rPr>
                <w:bCs/>
                <w:sz w:val="16"/>
                <w:szCs w:val="16"/>
              </w:rPr>
            </w:pPr>
            <w:r>
              <w:rPr>
                <w:bCs/>
                <w:sz w:val="16"/>
                <w:szCs w:val="16"/>
              </w:rPr>
              <w:t>1</w:t>
            </w:r>
          </w:p>
        </w:tc>
        <w:tc>
          <w:tcPr>
            <w:tcW w:w="815" w:type="dxa"/>
            <w:vAlign w:val="center"/>
          </w:tcPr>
          <w:p w:rsidR="0055491A" w:rsidRDefault="0055491A" w:rsidP="00210BF6">
            <w:pPr>
              <w:ind w:firstLine="0"/>
              <w:jc w:val="center"/>
              <w:rPr>
                <w:color w:val="000000"/>
                <w:sz w:val="16"/>
                <w:szCs w:val="16"/>
              </w:rPr>
            </w:pPr>
          </w:p>
          <w:p w:rsidR="0055491A" w:rsidRPr="006C469E" w:rsidRDefault="0055491A" w:rsidP="00210BF6">
            <w:pPr>
              <w:ind w:firstLine="0"/>
              <w:jc w:val="center"/>
              <w:rPr>
                <w:color w:val="000000"/>
                <w:sz w:val="16"/>
                <w:szCs w:val="16"/>
              </w:rPr>
            </w:pPr>
            <w:r>
              <w:rPr>
                <w:color w:val="000000"/>
                <w:sz w:val="16"/>
                <w:szCs w:val="16"/>
              </w:rPr>
              <w:t>1</w:t>
            </w:r>
          </w:p>
        </w:tc>
        <w:tc>
          <w:tcPr>
            <w:tcW w:w="815" w:type="dxa"/>
            <w:gridSpan w:val="2"/>
            <w:vAlign w:val="center"/>
          </w:tcPr>
          <w:p w:rsidR="0055491A" w:rsidRDefault="0055491A" w:rsidP="00210BF6">
            <w:pPr>
              <w:ind w:firstLine="0"/>
              <w:jc w:val="center"/>
              <w:rPr>
                <w:color w:val="000000"/>
                <w:sz w:val="16"/>
                <w:szCs w:val="16"/>
              </w:rPr>
            </w:pPr>
          </w:p>
          <w:p w:rsidR="0055491A" w:rsidRDefault="0055491A" w:rsidP="00210BF6">
            <w:pPr>
              <w:ind w:firstLine="0"/>
              <w:jc w:val="center"/>
              <w:rPr>
                <w:color w:val="000000"/>
                <w:sz w:val="16"/>
                <w:szCs w:val="16"/>
              </w:rPr>
            </w:pPr>
            <w:r>
              <w:rPr>
                <w:color w:val="000000"/>
                <w:sz w:val="16"/>
                <w:szCs w:val="16"/>
              </w:rPr>
              <w:t>200,0</w:t>
            </w:r>
          </w:p>
        </w:tc>
        <w:tc>
          <w:tcPr>
            <w:tcW w:w="815" w:type="dxa"/>
            <w:vAlign w:val="center"/>
          </w:tcPr>
          <w:p w:rsidR="0055491A" w:rsidRDefault="0055491A" w:rsidP="00210BF6">
            <w:pPr>
              <w:ind w:firstLine="0"/>
              <w:jc w:val="center"/>
              <w:rPr>
                <w:bCs/>
                <w:sz w:val="16"/>
                <w:szCs w:val="16"/>
              </w:rPr>
            </w:pPr>
          </w:p>
          <w:p w:rsidR="0055491A" w:rsidRPr="002D6C3D" w:rsidRDefault="0055491A" w:rsidP="00210BF6">
            <w:pPr>
              <w:ind w:firstLine="0"/>
              <w:jc w:val="center"/>
              <w:rPr>
                <w:bCs/>
                <w:sz w:val="16"/>
                <w:szCs w:val="16"/>
              </w:rPr>
            </w:pPr>
            <w:r>
              <w:rPr>
                <w:bCs/>
                <w:sz w:val="16"/>
                <w:szCs w:val="16"/>
              </w:rPr>
              <w:t>1</w:t>
            </w:r>
          </w:p>
        </w:tc>
        <w:tc>
          <w:tcPr>
            <w:tcW w:w="815" w:type="dxa"/>
            <w:vAlign w:val="center"/>
          </w:tcPr>
          <w:p w:rsidR="0055491A" w:rsidRDefault="0055491A" w:rsidP="00210BF6">
            <w:pPr>
              <w:ind w:firstLine="0"/>
              <w:jc w:val="center"/>
              <w:rPr>
                <w:color w:val="000000"/>
                <w:sz w:val="16"/>
                <w:szCs w:val="16"/>
              </w:rPr>
            </w:pPr>
          </w:p>
          <w:p w:rsidR="0055491A" w:rsidRDefault="0055491A" w:rsidP="00210BF6">
            <w:pPr>
              <w:ind w:firstLine="0"/>
              <w:jc w:val="center"/>
              <w:rPr>
                <w:color w:val="000000"/>
                <w:sz w:val="16"/>
                <w:szCs w:val="16"/>
              </w:rPr>
            </w:pPr>
            <w:r>
              <w:rPr>
                <w:color w:val="000000"/>
                <w:sz w:val="16"/>
                <w:szCs w:val="16"/>
              </w:rPr>
              <w:t>200,0</w:t>
            </w:r>
          </w:p>
        </w:tc>
        <w:tc>
          <w:tcPr>
            <w:tcW w:w="815" w:type="dxa"/>
            <w:vAlign w:val="center"/>
          </w:tcPr>
          <w:p w:rsidR="0055491A" w:rsidRDefault="0055491A" w:rsidP="00210BF6">
            <w:pPr>
              <w:ind w:firstLine="0"/>
              <w:jc w:val="center"/>
              <w:rPr>
                <w:bCs/>
                <w:sz w:val="16"/>
                <w:szCs w:val="16"/>
              </w:rPr>
            </w:pPr>
          </w:p>
          <w:p w:rsidR="0055491A" w:rsidRPr="002D6C3D" w:rsidRDefault="0055491A" w:rsidP="00210BF6">
            <w:pPr>
              <w:ind w:firstLine="0"/>
              <w:jc w:val="center"/>
              <w:rPr>
                <w:bCs/>
                <w:sz w:val="16"/>
                <w:szCs w:val="16"/>
              </w:rPr>
            </w:pPr>
            <w:r>
              <w:rPr>
                <w:bCs/>
                <w:sz w:val="16"/>
                <w:szCs w:val="16"/>
              </w:rPr>
              <w:t>1</w:t>
            </w:r>
          </w:p>
        </w:tc>
        <w:tc>
          <w:tcPr>
            <w:tcW w:w="815" w:type="dxa"/>
            <w:gridSpan w:val="2"/>
            <w:vAlign w:val="center"/>
          </w:tcPr>
          <w:p w:rsidR="0055491A" w:rsidRDefault="0055491A" w:rsidP="00210BF6">
            <w:pPr>
              <w:ind w:firstLine="0"/>
              <w:jc w:val="center"/>
              <w:rPr>
                <w:color w:val="000000"/>
                <w:sz w:val="16"/>
                <w:szCs w:val="16"/>
              </w:rPr>
            </w:pPr>
          </w:p>
          <w:p w:rsidR="0055491A" w:rsidRDefault="0055491A" w:rsidP="00210BF6">
            <w:pPr>
              <w:ind w:firstLine="0"/>
              <w:jc w:val="center"/>
              <w:rPr>
                <w:color w:val="000000"/>
                <w:sz w:val="16"/>
                <w:szCs w:val="16"/>
              </w:rPr>
            </w:pPr>
            <w:r>
              <w:rPr>
                <w:color w:val="000000"/>
                <w:sz w:val="16"/>
                <w:szCs w:val="16"/>
              </w:rPr>
              <w:t>200,0</w:t>
            </w:r>
          </w:p>
        </w:tc>
        <w:tc>
          <w:tcPr>
            <w:tcW w:w="815" w:type="dxa"/>
            <w:vAlign w:val="center"/>
          </w:tcPr>
          <w:p w:rsidR="0055491A" w:rsidRDefault="0055491A" w:rsidP="00210BF6">
            <w:pPr>
              <w:ind w:firstLine="0"/>
              <w:jc w:val="center"/>
              <w:rPr>
                <w:bCs/>
                <w:sz w:val="16"/>
                <w:szCs w:val="16"/>
              </w:rPr>
            </w:pPr>
          </w:p>
          <w:p w:rsidR="0055491A" w:rsidRPr="002D6C3D" w:rsidRDefault="0055491A" w:rsidP="00210BF6">
            <w:pPr>
              <w:ind w:firstLine="0"/>
              <w:jc w:val="center"/>
              <w:rPr>
                <w:bCs/>
                <w:sz w:val="16"/>
                <w:szCs w:val="16"/>
              </w:rPr>
            </w:pPr>
            <w:r>
              <w:rPr>
                <w:bCs/>
                <w:sz w:val="16"/>
                <w:szCs w:val="16"/>
              </w:rPr>
              <w:t>1</w:t>
            </w:r>
          </w:p>
        </w:tc>
        <w:tc>
          <w:tcPr>
            <w:tcW w:w="816" w:type="dxa"/>
            <w:vAlign w:val="center"/>
          </w:tcPr>
          <w:p w:rsidR="0055491A" w:rsidRDefault="0055491A" w:rsidP="00210BF6">
            <w:pPr>
              <w:ind w:firstLine="0"/>
              <w:jc w:val="center"/>
              <w:rPr>
                <w:color w:val="000000"/>
                <w:sz w:val="16"/>
                <w:szCs w:val="16"/>
              </w:rPr>
            </w:pPr>
          </w:p>
          <w:p w:rsidR="0055491A" w:rsidRDefault="0055491A" w:rsidP="00210BF6">
            <w:pPr>
              <w:ind w:firstLine="0"/>
              <w:jc w:val="center"/>
              <w:rPr>
                <w:color w:val="000000"/>
                <w:sz w:val="16"/>
                <w:szCs w:val="16"/>
              </w:rPr>
            </w:pPr>
            <w:r>
              <w:rPr>
                <w:color w:val="000000"/>
                <w:sz w:val="16"/>
                <w:szCs w:val="16"/>
              </w:rPr>
              <w:t>200,0</w:t>
            </w:r>
          </w:p>
        </w:tc>
        <w:tc>
          <w:tcPr>
            <w:tcW w:w="925" w:type="dxa"/>
            <w:vMerge w:val="restart"/>
            <w:vAlign w:val="center"/>
          </w:tcPr>
          <w:p w:rsidR="0055491A" w:rsidRDefault="0055491A" w:rsidP="00210BF6">
            <w:pPr>
              <w:ind w:firstLine="0"/>
              <w:jc w:val="center"/>
              <w:rPr>
                <w:color w:val="000000"/>
                <w:sz w:val="20"/>
                <w:szCs w:val="20"/>
              </w:rPr>
            </w:pPr>
            <w:r>
              <w:rPr>
                <w:color w:val="000000"/>
                <w:sz w:val="20"/>
                <w:szCs w:val="20"/>
              </w:rPr>
              <w:t>г.Вышний Волочек</w:t>
            </w:r>
          </w:p>
        </w:tc>
      </w:tr>
      <w:tr w:rsidR="0055491A" w:rsidRPr="00F564B2" w:rsidTr="00210BF6">
        <w:trPr>
          <w:trHeight w:val="532"/>
        </w:trPr>
        <w:tc>
          <w:tcPr>
            <w:tcW w:w="1396" w:type="dxa"/>
            <w:gridSpan w:val="2"/>
            <w:vAlign w:val="center"/>
          </w:tcPr>
          <w:p w:rsidR="0055491A" w:rsidRPr="00A00045" w:rsidRDefault="0055491A" w:rsidP="00210BF6">
            <w:pPr>
              <w:ind w:firstLine="0"/>
              <w:jc w:val="center"/>
              <w:rPr>
                <w:b/>
                <w:color w:val="FF0000"/>
                <w:sz w:val="16"/>
                <w:szCs w:val="16"/>
              </w:rPr>
            </w:pPr>
            <w:r w:rsidRPr="00A00045">
              <w:rPr>
                <w:b/>
                <w:sz w:val="18"/>
                <w:szCs w:val="18"/>
              </w:rPr>
              <w:t>Итого в областной бюджет Тверской области</w:t>
            </w:r>
            <w:r>
              <w:rPr>
                <w:b/>
                <w:sz w:val="18"/>
                <w:szCs w:val="18"/>
              </w:rPr>
              <w:t xml:space="preserve"> </w:t>
            </w:r>
          </w:p>
        </w:tc>
        <w:tc>
          <w:tcPr>
            <w:tcW w:w="448" w:type="dxa"/>
            <w:vAlign w:val="center"/>
          </w:tcPr>
          <w:p w:rsidR="0055491A" w:rsidRDefault="0055491A" w:rsidP="00210BF6">
            <w:pPr>
              <w:ind w:firstLine="0"/>
              <w:jc w:val="center"/>
              <w:rPr>
                <w:color w:val="000000"/>
                <w:sz w:val="20"/>
                <w:szCs w:val="20"/>
              </w:rPr>
            </w:pPr>
          </w:p>
        </w:tc>
        <w:tc>
          <w:tcPr>
            <w:tcW w:w="425" w:type="dxa"/>
            <w:vAlign w:val="center"/>
          </w:tcPr>
          <w:p w:rsidR="0055491A" w:rsidRDefault="0055491A" w:rsidP="00210BF6">
            <w:pPr>
              <w:ind w:firstLine="0"/>
              <w:jc w:val="center"/>
              <w:rPr>
                <w:color w:val="000000"/>
                <w:sz w:val="20"/>
                <w:szCs w:val="20"/>
              </w:rPr>
            </w:pPr>
          </w:p>
        </w:tc>
        <w:tc>
          <w:tcPr>
            <w:tcW w:w="425" w:type="dxa"/>
            <w:vAlign w:val="center"/>
          </w:tcPr>
          <w:p w:rsidR="0055491A" w:rsidRDefault="0055491A" w:rsidP="00210BF6">
            <w:pPr>
              <w:ind w:firstLine="0"/>
              <w:jc w:val="center"/>
              <w:rPr>
                <w:color w:val="000000"/>
                <w:sz w:val="20"/>
                <w:szCs w:val="20"/>
              </w:rPr>
            </w:pPr>
          </w:p>
        </w:tc>
        <w:tc>
          <w:tcPr>
            <w:tcW w:w="815" w:type="dxa"/>
            <w:vAlign w:val="center"/>
          </w:tcPr>
          <w:p w:rsidR="0055491A" w:rsidRDefault="0055491A" w:rsidP="00210BF6">
            <w:pPr>
              <w:ind w:firstLine="0"/>
              <w:jc w:val="center"/>
              <w:rPr>
                <w:color w:val="000000"/>
                <w:sz w:val="20"/>
                <w:szCs w:val="20"/>
              </w:rPr>
            </w:pPr>
          </w:p>
        </w:tc>
        <w:tc>
          <w:tcPr>
            <w:tcW w:w="815" w:type="dxa"/>
            <w:gridSpan w:val="2"/>
            <w:vAlign w:val="center"/>
          </w:tcPr>
          <w:p w:rsidR="0055491A" w:rsidRPr="001F0769" w:rsidRDefault="0055491A" w:rsidP="00210BF6">
            <w:pPr>
              <w:ind w:firstLine="0"/>
              <w:jc w:val="center"/>
              <w:rPr>
                <w:b/>
                <w:color w:val="000000"/>
                <w:sz w:val="20"/>
                <w:szCs w:val="20"/>
              </w:rPr>
            </w:pPr>
            <w:r>
              <w:rPr>
                <w:b/>
                <w:color w:val="000000"/>
                <w:sz w:val="20"/>
                <w:szCs w:val="20"/>
              </w:rPr>
              <w:t>100,0</w:t>
            </w:r>
          </w:p>
        </w:tc>
        <w:tc>
          <w:tcPr>
            <w:tcW w:w="815" w:type="dxa"/>
            <w:vAlign w:val="center"/>
          </w:tcPr>
          <w:p w:rsidR="0055491A" w:rsidRDefault="0055491A" w:rsidP="00210BF6">
            <w:pPr>
              <w:ind w:firstLine="0"/>
              <w:jc w:val="center"/>
              <w:rPr>
                <w:color w:val="000000"/>
                <w:sz w:val="20"/>
                <w:szCs w:val="20"/>
              </w:rPr>
            </w:pPr>
          </w:p>
        </w:tc>
        <w:tc>
          <w:tcPr>
            <w:tcW w:w="815" w:type="dxa"/>
            <w:vAlign w:val="center"/>
          </w:tcPr>
          <w:p w:rsidR="0055491A" w:rsidRPr="001F0769" w:rsidRDefault="0055491A" w:rsidP="00210BF6">
            <w:pPr>
              <w:ind w:firstLine="0"/>
              <w:jc w:val="center"/>
              <w:rPr>
                <w:b/>
                <w:color w:val="000000"/>
                <w:sz w:val="20"/>
                <w:szCs w:val="20"/>
              </w:rPr>
            </w:pPr>
            <w:r>
              <w:rPr>
                <w:b/>
                <w:color w:val="000000"/>
                <w:sz w:val="20"/>
                <w:szCs w:val="20"/>
              </w:rPr>
              <w:t>100,0</w:t>
            </w:r>
          </w:p>
        </w:tc>
        <w:tc>
          <w:tcPr>
            <w:tcW w:w="815" w:type="dxa"/>
            <w:vAlign w:val="center"/>
          </w:tcPr>
          <w:p w:rsidR="0055491A" w:rsidRPr="001F0769" w:rsidRDefault="0055491A" w:rsidP="00210BF6">
            <w:pPr>
              <w:ind w:firstLine="0"/>
              <w:jc w:val="center"/>
              <w:rPr>
                <w:b/>
                <w:color w:val="000000"/>
                <w:sz w:val="20"/>
                <w:szCs w:val="20"/>
              </w:rPr>
            </w:pPr>
          </w:p>
        </w:tc>
        <w:tc>
          <w:tcPr>
            <w:tcW w:w="815" w:type="dxa"/>
            <w:gridSpan w:val="2"/>
            <w:vAlign w:val="center"/>
          </w:tcPr>
          <w:p w:rsidR="0055491A" w:rsidRPr="001F0769" w:rsidRDefault="0055491A" w:rsidP="00210BF6">
            <w:pPr>
              <w:ind w:firstLine="0"/>
              <w:jc w:val="center"/>
              <w:rPr>
                <w:b/>
                <w:color w:val="000000"/>
                <w:sz w:val="20"/>
                <w:szCs w:val="20"/>
              </w:rPr>
            </w:pPr>
            <w:r>
              <w:rPr>
                <w:b/>
                <w:color w:val="000000"/>
                <w:sz w:val="20"/>
                <w:szCs w:val="20"/>
              </w:rPr>
              <w:t>100,0</w:t>
            </w:r>
          </w:p>
        </w:tc>
        <w:tc>
          <w:tcPr>
            <w:tcW w:w="815" w:type="dxa"/>
            <w:vAlign w:val="center"/>
          </w:tcPr>
          <w:p w:rsidR="0055491A" w:rsidRPr="001F0769" w:rsidRDefault="0055491A" w:rsidP="00210BF6">
            <w:pPr>
              <w:ind w:firstLine="0"/>
              <w:jc w:val="center"/>
              <w:rPr>
                <w:b/>
                <w:color w:val="000000"/>
                <w:sz w:val="20"/>
                <w:szCs w:val="20"/>
              </w:rPr>
            </w:pPr>
          </w:p>
        </w:tc>
        <w:tc>
          <w:tcPr>
            <w:tcW w:w="816" w:type="dxa"/>
            <w:vAlign w:val="center"/>
          </w:tcPr>
          <w:p w:rsidR="0055491A" w:rsidRPr="001F0769" w:rsidRDefault="0055491A" w:rsidP="00210BF6">
            <w:pPr>
              <w:ind w:firstLine="0"/>
              <w:jc w:val="center"/>
              <w:rPr>
                <w:b/>
                <w:color w:val="000000"/>
                <w:sz w:val="20"/>
                <w:szCs w:val="20"/>
              </w:rPr>
            </w:pPr>
            <w:r>
              <w:rPr>
                <w:b/>
                <w:color w:val="000000"/>
                <w:sz w:val="20"/>
                <w:szCs w:val="20"/>
              </w:rPr>
              <w:t>100,0</w:t>
            </w:r>
          </w:p>
        </w:tc>
        <w:tc>
          <w:tcPr>
            <w:tcW w:w="925" w:type="dxa"/>
            <w:vMerge/>
            <w:vAlign w:val="center"/>
          </w:tcPr>
          <w:p w:rsidR="0055491A" w:rsidRDefault="0055491A" w:rsidP="00210BF6">
            <w:pPr>
              <w:ind w:firstLine="0"/>
              <w:jc w:val="center"/>
              <w:rPr>
                <w:color w:val="000000"/>
                <w:sz w:val="20"/>
                <w:szCs w:val="20"/>
              </w:rPr>
            </w:pPr>
          </w:p>
        </w:tc>
      </w:tr>
      <w:tr w:rsidR="0055491A" w:rsidRPr="00F564B2" w:rsidTr="00210BF6">
        <w:trPr>
          <w:trHeight w:val="532"/>
        </w:trPr>
        <w:tc>
          <w:tcPr>
            <w:tcW w:w="1396" w:type="dxa"/>
            <w:gridSpan w:val="2"/>
            <w:vAlign w:val="center"/>
          </w:tcPr>
          <w:p w:rsidR="0055491A" w:rsidRPr="00A00045" w:rsidRDefault="0055491A" w:rsidP="00210BF6">
            <w:pPr>
              <w:ind w:firstLine="0"/>
              <w:jc w:val="center"/>
              <w:rPr>
                <w:b/>
                <w:sz w:val="18"/>
                <w:szCs w:val="18"/>
              </w:rPr>
            </w:pPr>
            <w:r>
              <w:rPr>
                <w:b/>
                <w:sz w:val="18"/>
                <w:szCs w:val="18"/>
              </w:rPr>
              <w:t>ИТОГО</w:t>
            </w:r>
          </w:p>
        </w:tc>
        <w:tc>
          <w:tcPr>
            <w:tcW w:w="448" w:type="dxa"/>
            <w:vAlign w:val="center"/>
          </w:tcPr>
          <w:p w:rsidR="0055491A" w:rsidRDefault="0055491A" w:rsidP="00210BF6">
            <w:pPr>
              <w:ind w:firstLine="0"/>
              <w:jc w:val="center"/>
              <w:rPr>
                <w:color w:val="000000"/>
                <w:sz w:val="20"/>
                <w:szCs w:val="20"/>
              </w:rPr>
            </w:pPr>
          </w:p>
        </w:tc>
        <w:tc>
          <w:tcPr>
            <w:tcW w:w="425" w:type="dxa"/>
            <w:vAlign w:val="center"/>
          </w:tcPr>
          <w:p w:rsidR="0055491A" w:rsidRDefault="0055491A" w:rsidP="00210BF6">
            <w:pPr>
              <w:ind w:firstLine="0"/>
              <w:jc w:val="center"/>
              <w:rPr>
                <w:color w:val="000000"/>
                <w:sz w:val="20"/>
                <w:szCs w:val="20"/>
              </w:rPr>
            </w:pPr>
          </w:p>
        </w:tc>
        <w:tc>
          <w:tcPr>
            <w:tcW w:w="425" w:type="dxa"/>
            <w:vAlign w:val="center"/>
          </w:tcPr>
          <w:p w:rsidR="0055491A" w:rsidRDefault="0055491A" w:rsidP="00210BF6">
            <w:pPr>
              <w:ind w:firstLine="0"/>
              <w:jc w:val="center"/>
              <w:rPr>
                <w:color w:val="000000"/>
                <w:sz w:val="20"/>
                <w:szCs w:val="20"/>
              </w:rPr>
            </w:pPr>
          </w:p>
        </w:tc>
        <w:tc>
          <w:tcPr>
            <w:tcW w:w="815" w:type="dxa"/>
            <w:vAlign w:val="center"/>
          </w:tcPr>
          <w:p w:rsidR="0055491A" w:rsidRDefault="0055491A" w:rsidP="00210BF6">
            <w:pPr>
              <w:ind w:firstLine="0"/>
              <w:jc w:val="center"/>
              <w:rPr>
                <w:color w:val="000000"/>
                <w:sz w:val="20"/>
                <w:szCs w:val="20"/>
              </w:rPr>
            </w:pPr>
          </w:p>
        </w:tc>
        <w:tc>
          <w:tcPr>
            <w:tcW w:w="815" w:type="dxa"/>
            <w:gridSpan w:val="2"/>
            <w:vAlign w:val="center"/>
          </w:tcPr>
          <w:p w:rsidR="0055491A" w:rsidRDefault="0055491A" w:rsidP="00210BF6">
            <w:pPr>
              <w:ind w:firstLine="0"/>
              <w:jc w:val="center"/>
              <w:rPr>
                <w:b/>
                <w:color w:val="000000"/>
                <w:sz w:val="20"/>
                <w:szCs w:val="20"/>
              </w:rPr>
            </w:pPr>
            <w:r>
              <w:rPr>
                <w:b/>
                <w:color w:val="000000"/>
                <w:sz w:val="20"/>
                <w:szCs w:val="20"/>
              </w:rPr>
              <w:t>195,0</w:t>
            </w:r>
          </w:p>
        </w:tc>
        <w:tc>
          <w:tcPr>
            <w:tcW w:w="815" w:type="dxa"/>
            <w:vAlign w:val="center"/>
          </w:tcPr>
          <w:p w:rsidR="0055491A" w:rsidRDefault="0055491A" w:rsidP="00210BF6">
            <w:pPr>
              <w:ind w:firstLine="0"/>
              <w:jc w:val="center"/>
              <w:rPr>
                <w:color w:val="000000"/>
                <w:sz w:val="20"/>
                <w:szCs w:val="20"/>
              </w:rPr>
            </w:pPr>
          </w:p>
        </w:tc>
        <w:tc>
          <w:tcPr>
            <w:tcW w:w="815" w:type="dxa"/>
            <w:vAlign w:val="center"/>
          </w:tcPr>
          <w:p w:rsidR="0055491A" w:rsidRDefault="0055491A" w:rsidP="00210BF6">
            <w:pPr>
              <w:ind w:firstLine="0"/>
              <w:jc w:val="center"/>
              <w:rPr>
                <w:b/>
                <w:color w:val="000000"/>
                <w:sz w:val="20"/>
                <w:szCs w:val="20"/>
              </w:rPr>
            </w:pPr>
            <w:r>
              <w:rPr>
                <w:b/>
                <w:color w:val="000000"/>
                <w:sz w:val="20"/>
                <w:szCs w:val="20"/>
              </w:rPr>
              <w:t>195,0</w:t>
            </w:r>
          </w:p>
        </w:tc>
        <w:tc>
          <w:tcPr>
            <w:tcW w:w="815" w:type="dxa"/>
            <w:vAlign w:val="center"/>
          </w:tcPr>
          <w:p w:rsidR="0055491A" w:rsidRPr="001F0769" w:rsidRDefault="0055491A" w:rsidP="00210BF6">
            <w:pPr>
              <w:ind w:firstLine="0"/>
              <w:jc w:val="center"/>
              <w:rPr>
                <w:b/>
                <w:color w:val="000000"/>
                <w:sz w:val="20"/>
                <w:szCs w:val="20"/>
              </w:rPr>
            </w:pPr>
          </w:p>
        </w:tc>
        <w:tc>
          <w:tcPr>
            <w:tcW w:w="815" w:type="dxa"/>
            <w:gridSpan w:val="2"/>
            <w:vAlign w:val="center"/>
          </w:tcPr>
          <w:p w:rsidR="0055491A" w:rsidRDefault="0055491A" w:rsidP="00210BF6">
            <w:pPr>
              <w:ind w:firstLine="0"/>
              <w:jc w:val="center"/>
              <w:rPr>
                <w:b/>
                <w:color w:val="000000"/>
                <w:sz w:val="20"/>
                <w:szCs w:val="20"/>
              </w:rPr>
            </w:pPr>
            <w:r>
              <w:rPr>
                <w:b/>
                <w:color w:val="000000"/>
                <w:sz w:val="20"/>
                <w:szCs w:val="20"/>
              </w:rPr>
              <w:t>195,0</w:t>
            </w:r>
          </w:p>
        </w:tc>
        <w:tc>
          <w:tcPr>
            <w:tcW w:w="815" w:type="dxa"/>
            <w:vAlign w:val="center"/>
          </w:tcPr>
          <w:p w:rsidR="0055491A" w:rsidRPr="001F0769" w:rsidRDefault="0055491A" w:rsidP="00210BF6">
            <w:pPr>
              <w:ind w:firstLine="0"/>
              <w:jc w:val="center"/>
              <w:rPr>
                <w:b/>
                <w:color w:val="000000"/>
                <w:sz w:val="20"/>
                <w:szCs w:val="20"/>
              </w:rPr>
            </w:pPr>
          </w:p>
        </w:tc>
        <w:tc>
          <w:tcPr>
            <w:tcW w:w="816" w:type="dxa"/>
            <w:vAlign w:val="center"/>
          </w:tcPr>
          <w:p w:rsidR="0055491A" w:rsidRDefault="0055491A" w:rsidP="00210BF6">
            <w:pPr>
              <w:ind w:firstLine="0"/>
              <w:jc w:val="center"/>
              <w:rPr>
                <w:b/>
                <w:color w:val="000000"/>
                <w:sz w:val="20"/>
                <w:szCs w:val="20"/>
              </w:rPr>
            </w:pPr>
            <w:r>
              <w:rPr>
                <w:b/>
                <w:color w:val="000000"/>
                <w:sz w:val="20"/>
                <w:szCs w:val="20"/>
              </w:rPr>
              <w:t>195,0</w:t>
            </w:r>
          </w:p>
        </w:tc>
        <w:tc>
          <w:tcPr>
            <w:tcW w:w="925" w:type="dxa"/>
            <w:vAlign w:val="center"/>
          </w:tcPr>
          <w:p w:rsidR="0055491A" w:rsidRDefault="0055491A" w:rsidP="00210BF6">
            <w:pPr>
              <w:ind w:firstLine="0"/>
              <w:jc w:val="center"/>
              <w:rPr>
                <w:color w:val="000000"/>
                <w:sz w:val="20"/>
                <w:szCs w:val="20"/>
              </w:rPr>
            </w:pPr>
          </w:p>
        </w:tc>
      </w:tr>
    </w:tbl>
    <w:p w:rsidR="0055491A" w:rsidRPr="001113B4" w:rsidRDefault="0055491A" w:rsidP="0055491A">
      <w:pPr>
        <w:pStyle w:val="pj"/>
        <w:shd w:val="clear" w:color="auto" w:fill="FFFFFF"/>
        <w:spacing w:before="0" w:beforeAutospacing="0" w:after="200" w:afterAutospacing="0" w:line="360" w:lineRule="atLeast"/>
        <w:ind w:firstLine="709"/>
        <w:jc w:val="both"/>
        <w:textAlignment w:val="baseline"/>
        <w:rPr>
          <w:b/>
          <w:sz w:val="28"/>
          <w:szCs w:val="28"/>
        </w:rPr>
      </w:pPr>
      <w:r w:rsidRPr="001113B4">
        <w:rPr>
          <w:b/>
          <w:sz w:val="28"/>
          <w:szCs w:val="28"/>
        </w:rPr>
        <w:t>Прогноз доходов 2022 год – 195,0 тыс. руб., 2023 год – 195,0 тыс. руб., 2024 год – 195,0 тыс. руб.</w:t>
      </w:r>
    </w:p>
    <w:p w:rsidR="0055491A" w:rsidRPr="00F451BB" w:rsidRDefault="0055491A" w:rsidP="0055491A">
      <w:pPr>
        <w:pStyle w:val="a7"/>
        <w:spacing w:after="0"/>
        <w:ind w:left="0" w:firstLine="709"/>
        <w:jc w:val="both"/>
        <w:rPr>
          <w:color w:val="000000"/>
          <w:sz w:val="28"/>
          <w:szCs w:val="28"/>
        </w:rPr>
      </w:pPr>
      <w:r>
        <w:rPr>
          <w:sz w:val="28"/>
          <w:szCs w:val="28"/>
        </w:rPr>
        <w:lastRenderedPageBreak/>
        <w:t xml:space="preserve">14.5 </w:t>
      </w:r>
      <w:r w:rsidRPr="001113B4">
        <w:rPr>
          <w:b/>
          <w:color w:val="000000"/>
          <w:sz w:val="28"/>
          <w:szCs w:val="28"/>
        </w:rPr>
        <w:t>КБК 335 1 16 01203 01 0000 140</w:t>
      </w:r>
      <w:r>
        <w:rPr>
          <w:color w:val="000000"/>
          <w:sz w:val="28"/>
          <w:szCs w:val="28"/>
        </w:rPr>
        <w:t xml:space="preserve"> </w:t>
      </w:r>
      <w:r w:rsidRPr="00F451BB">
        <w:rPr>
          <w:color w:val="000000"/>
          <w:sz w:val="28"/>
          <w:szCs w:val="28"/>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p w:rsidR="0055491A" w:rsidRPr="001113B4" w:rsidRDefault="0055491A" w:rsidP="0055491A">
      <w:pPr>
        <w:pStyle w:val="a7"/>
        <w:spacing w:after="0"/>
        <w:ind w:left="0" w:firstLine="709"/>
        <w:jc w:val="both"/>
        <w:rPr>
          <w:b/>
          <w:color w:val="000000"/>
          <w:sz w:val="28"/>
          <w:szCs w:val="28"/>
        </w:rPr>
      </w:pPr>
      <w:r w:rsidRPr="001113B4">
        <w:rPr>
          <w:b/>
          <w:color w:val="000000"/>
          <w:sz w:val="28"/>
          <w:szCs w:val="28"/>
        </w:rPr>
        <w:t>Главный администратор доходов – Главное управление региональной безопасности Тверской области.</w:t>
      </w:r>
    </w:p>
    <w:p w:rsidR="0055491A" w:rsidRDefault="0055491A" w:rsidP="0055491A">
      <w:pPr>
        <w:pStyle w:val="a7"/>
        <w:spacing w:after="0"/>
        <w:ind w:left="0" w:firstLine="709"/>
        <w:jc w:val="both"/>
        <w:rPr>
          <w:sz w:val="20"/>
          <w:szCs w:val="20"/>
        </w:rPr>
      </w:pPr>
      <w:r>
        <w:rPr>
          <w:sz w:val="28"/>
          <w:szCs w:val="28"/>
        </w:rPr>
        <w:t>Расчет поступления доходов в областной бюджет Тверской области на 2022 год представлен в таблице:</w:t>
      </w:r>
    </w:p>
    <w:tbl>
      <w:tblPr>
        <w:tblW w:w="9780" w:type="dxa"/>
        <w:tblLook w:val="04A0" w:firstRow="1" w:lastRow="0" w:firstColumn="1" w:lastColumn="0" w:noHBand="0" w:noVBand="1"/>
      </w:tblPr>
      <w:tblGrid>
        <w:gridCol w:w="520"/>
        <w:gridCol w:w="3060"/>
        <w:gridCol w:w="1420"/>
        <w:gridCol w:w="1700"/>
        <w:gridCol w:w="1540"/>
        <w:gridCol w:w="1540"/>
      </w:tblGrid>
      <w:tr w:rsidR="0055491A" w:rsidTr="00210BF6">
        <w:trPr>
          <w:trHeight w:val="1275"/>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 п/п</w:t>
            </w:r>
          </w:p>
        </w:tc>
        <w:tc>
          <w:tcPr>
            <w:tcW w:w="3060" w:type="dxa"/>
            <w:tcBorders>
              <w:top w:val="single" w:sz="4" w:space="0" w:color="auto"/>
              <w:left w:val="nil"/>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Вид правонарушений</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Средний размер штрафа (средний областной), тыс. руб.</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Количество постановлений , ед.</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Коэффициент собираемости (средний областной),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Прогноз поступлений, тыс. руб. (ст.3*4*5/2)</w:t>
            </w:r>
          </w:p>
        </w:tc>
      </w:tr>
      <w:tr w:rsidR="0055491A" w:rsidTr="00210BF6">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1</w:t>
            </w:r>
          </w:p>
        </w:tc>
        <w:tc>
          <w:tcPr>
            <w:tcW w:w="3060" w:type="dxa"/>
            <w:tcBorders>
              <w:top w:val="nil"/>
              <w:left w:val="nil"/>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2</w:t>
            </w:r>
          </w:p>
        </w:tc>
        <w:tc>
          <w:tcPr>
            <w:tcW w:w="1420" w:type="dxa"/>
            <w:tcBorders>
              <w:top w:val="nil"/>
              <w:left w:val="nil"/>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3</w:t>
            </w:r>
          </w:p>
        </w:tc>
        <w:tc>
          <w:tcPr>
            <w:tcW w:w="1700" w:type="dxa"/>
            <w:tcBorders>
              <w:top w:val="nil"/>
              <w:left w:val="nil"/>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4</w:t>
            </w:r>
          </w:p>
        </w:tc>
        <w:tc>
          <w:tcPr>
            <w:tcW w:w="1540" w:type="dxa"/>
            <w:tcBorders>
              <w:top w:val="nil"/>
              <w:left w:val="nil"/>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5</w:t>
            </w:r>
          </w:p>
        </w:tc>
        <w:tc>
          <w:tcPr>
            <w:tcW w:w="1540" w:type="dxa"/>
            <w:tcBorders>
              <w:top w:val="nil"/>
              <w:left w:val="nil"/>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6</w:t>
            </w:r>
          </w:p>
        </w:tc>
      </w:tr>
      <w:tr w:rsidR="0055491A" w:rsidTr="00210BF6">
        <w:trPr>
          <w:trHeight w:val="76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1</w:t>
            </w:r>
          </w:p>
        </w:tc>
        <w:tc>
          <w:tcPr>
            <w:tcW w:w="3060" w:type="dxa"/>
            <w:tcBorders>
              <w:top w:val="nil"/>
              <w:left w:val="nil"/>
              <w:bottom w:val="single" w:sz="4" w:space="0" w:color="auto"/>
              <w:right w:val="single" w:sz="4" w:space="0" w:color="auto"/>
            </w:tcBorders>
            <w:shd w:val="clear" w:color="auto" w:fill="auto"/>
            <w:vAlign w:val="center"/>
            <w:hideMark/>
          </w:tcPr>
          <w:p w:rsidR="0055491A" w:rsidRDefault="0055491A" w:rsidP="00210BF6">
            <w:pPr>
              <w:jc w:val="both"/>
              <w:rPr>
                <w:sz w:val="20"/>
                <w:szCs w:val="20"/>
              </w:rPr>
            </w:pPr>
            <w:r>
              <w:rPr>
                <w:sz w:val="20"/>
                <w:szCs w:val="20"/>
              </w:rPr>
              <w:t>Штрафы за нарушение требований режима чрезвычайного положения</w:t>
            </w:r>
          </w:p>
        </w:tc>
        <w:tc>
          <w:tcPr>
            <w:tcW w:w="1420" w:type="dxa"/>
            <w:tcBorders>
              <w:top w:val="nil"/>
              <w:left w:val="nil"/>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16</w:t>
            </w:r>
          </w:p>
        </w:tc>
        <w:tc>
          <w:tcPr>
            <w:tcW w:w="1700" w:type="dxa"/>
            <w:tcBorders>
              <w:top w:val="nil"/>
              <w:left w:val="nil"/>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5</w:t>
            </w:r>
          </w:p>
        </w:tc>
        <w:tc>
          <w:tcPr>
            <w:tcW w:w="1540" w:type="dxa"/>
            <w:tcBorders>
              <w:top w:val="nil"/>
              <w:left w:val="nil"/>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12,5%</w:t>
            </w:r>
          </w:p>
        </w:tc>
        <w:tc>
          <w:tcPr>
            <w:tcW w:w="1540" w:type="dxa"/>
            <w:tcBorders>
              <w:top w:val="nil"/>
              <w:left w:val="nil"/>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5</w:t>
            </w:r>
          </w:p>
        </w:tc>
      </w:tr>
      <w:tr w:rsidR="0055491A" w:rsidTr="00210BF6">
        <w:trPr>
          <w:trHeight w:val="102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 2</w:t>
            </w:r>
          </w:p>
        </w:tc>
        <w:tc>
          <w:tcPr>
            <w:tcW w:w="3060" w:type="dxa"/>
            <w:tcBorders>
              <w:top w:val="nil"/>
              <w:left w:val="nil"/>
              <w:bottom w:val="single" w:sz="4" w:space="0" w:color="auto"/>
              <w:right w:val="single" w:sz="4" w:space="0" w:color="auto"/>
            </w:tcBorders>
            <w:shd w:val="clear" w:color="auto" w:fill="auto"/>
            <w:vAlign w:val="center"/>
            <w:hideMark/>
          </w:tcPr>
          <w:p w:rsidR="0055491A" w:rsidRDefault="0055491A" w:rsidP="00210BF6">
            <w:pPr>
              <w:jc w:val="both"/>
              <w:rPr>
                <w:sz w:val="20"/>
                <w:szCs w:val="20"/>
              </w:rPr>
            </w:pPr>
            <w:r>
              <w:rPr>
                <w:sz w:val="20"/>
                <w:szCs w:val="20"/>
              </w:rPr>
              <w:t>Штрафы за невыполнение требований норм и правил по предупреждению и ликвидации чрезвычайных ситуаций</w:t>
            </w:r>
          </w:p>
        </w:tc>
        <w:tc>
          <w:tcPr>
            <w:tcW w:w="1420" w:type="dxa"/>
            <w:tcBorders>
              <w:top w:val="nil"/>
              <w:left w:val="nil"/>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8,8</w:t>
            </w:r>
          </w:p>
        </w:tc>
        <w:tc>
          <w:tcPr>
            <w:tcW w:w="1700" w:type="dxa"/>
            <w:tcBorders>
              <w:top w:val="nil"/>
              <w:left w:val="nil"/>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4</w:t>
            </w:r>
          </w:p>
        </w:tc>
        <w:tc>
          <w:tcPr>
            <w:tcW w:w="1540" w:type="dxa"/>
            <w:tcBorders>
              <w:top w:val="nil"/>
              <w:left w:val="nil"/>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100,0%</w:t>
            </w:r>
          </w:p>
        </w:tc>
        <w:tc>
          <w:tcPr>
            <w:tcW w:w="1540" w:type="dxa"/>
            <w:tcBorders>
              <w:top w:val="nil"/>
              <w:left w:val="nil"/>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17,6</w:t>
            </w:r>
          </w:p>
        </w:tc>
      </w:tr>
      <w:tr w:rsidR="0055491A" w:rsidTr="00210BF6">
        <w:trPr>
          <w:trHeight w:val="76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3</w:t>
            </w:r>
          </w:p>
        </w:tc>
        <w:tc>
          <w:tcPr>
            <w:tcW w:w="3060" w:type="dxa"/>
            <w:tcBorders>
              <w:top w:val="nil"/>
              <w:left w:val="nil"/>
              <w:bottom w:val="single" w:sz="4" w:space="0" w:color="auto"/>
              <w:right w:val="single" w:sz="4" w:space="0" w:color="auto"/>
            </w:tcBorders>
            <w:shd w:val="clear" w:color="auto" w:fill="auto"/>
            <w:vAlign w:val="center"/>
            <w:hideMark/>
          </w:tcPr>
          <w:p w:rsidR="0055491A" w:rsidRDefault="0055491A" w:rsidP="00210BF6">
            <w:pPr>
              <w:rPr>
                <w:sz w:val="20"/>
                <w:szCs w:val="20"/>
              </w:rPr>
            </w:pPr>
            <w:r>
              <w:rPr>
                <w:sz w:val="20"/>
                <w:szCs w:val="20"/>
              </w:rPr>
              <w:t>Штрафы за невыполнение требований и мероприятий в области гражданской обороны</w:t>
            </w:r>
          </w:p>
        </w:tc>
        <w:tc>
          <w:tcPr>
            <w:tcW w:w="1420" w:type="dxa"/>
            <w:tcBorders>
              <w:top w:val="nil"/>
              <w:left w:val="nil"/>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35</w:t>
            </w:r>
          </w:p>
        </w:tc>
        <w:tc>
          <w:tcPr>
            <w:tcW w:w="1700" w:type="dxa"/>
            <w:tcBorders>
              <w:top w:val="nil"/>
              <w:left w:val="nil"/>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4</w:t>
            </w:r>
          </w:p>
        </w:tc>
        <w:tc>
          <w:tcPr>
            <w:tcW w:w="1540" w:type="dxa"/>
            <w:tcBorders>
              <w:top w:val="nil"/>
              <w:left w:val="nil"/>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100,0%</w:t>
            </w:r>
          </w:p>
        </w:tc>
        <w:tc>
          <w:tcPr>
            <w:tcW w:w="1540" w:type="dxa"/>
            <w:tcBorders>
              <w:top w:val="nil"/>
              <w:left w:val="nil"/>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70</w:t>
            </w:r>
          </w:p>
        </w:tc>
      </w:tr>
      <w:tr w:rsidR="0055491A" w:rsidTr="00210BF6">
        <w:trPr>
          <w:trHeight w:val="561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 </w:t>
            </w:r>
          </w:p>
        </w:tc>
        <w:tc>
          <w:tcPr>
            <w:tcW w:w="3060" w:type="dxa"/>
            <w:tcBorders>
              <w:top w:val="nil"/>
              <w:left w:val="nil"/>
              <w:bottom w:val="single" w:sz="4" w:space="0" w:color="auto"/>
              <w:right w:val="single" w:sz="4" w:space="0" w:color="auto"/>
            </w:tcBorders>
            <w:shd w:val="clear" w:color="auto" w:fill="auto"/>
            <w:vAlign w:val="center"/>
            <w:hideMark/>
          </w:tcPr>
          <w:p w:rsidR="0055491A" w:rsidRDefault="0055491A" w:rsidP="00210BF6">
            <w:pPr>
              <w:rPr>
                <w:sz w:val="20"/>
                <w:szCs w:val="20"/>
              </w:rPr>
            </w:pPr>
            <w:r>
              <w:rPr>
                <w:sz w:val="20"/>
                <w:szCs w:val="20"/>
              </w:rPr>
              <w:t>Штрафы за нарушение правил производства, приобретения, продажи, передачи, хранения, перевозки,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tc>
        <w:tc>
          <w:tcPr>
            <w:tcW w:w="1420" w:type="dxa"/>
            <w:tcBorders>
              <w:top w:val="nil"/>
              <w:left w:val="nil"/>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2,1</w:t>
            </w:r>
          </w:p>
        </w:tc>
        <w:tc>
          <w:tcPr>
            <w:tcW w:w="1700" w:type="dxa"/>
            <w:tcBorders>
              <w:top w:val="nil"/>
              <w:left w:val="nil"/>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58</w:t>
            </w:r>
          </w:p>
        </w:tc>
        <w:tc>
          <w:tcPr>
            <w:tcW w:w="1540" w:type="dxa"/>
            <w:tcBorders>
              <w:top w:val="nil"/>
              <w:left w:val="nil"/>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86,5%</w:t>
            </w:r>
          </w:p>
        </w:tc>
        <w:tc>
          <w:tcPr>
            <w:tcW w:w="1540" w:type="dxa"/>
            <w:tcBorders>
              <w:top w:val="nil"/>
              <w:left w:val="nil"/>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52,7</w:t>
            </w:r>
          </w:p>
        </w:tc>
      </w:tr>
      <w:tr w:rsidR="0055491A" w:rsidTr="00210BF6">
        <w:trPr>
          <w:trHeight w:val="102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4</w:t>
            </w:r>
          </w:p>
        </w:tc>
        <w:tc>
          <w:tcPr>
            <w:tcW w:w="3060" w:type="dxa"/>
            <w:tcBorders>
              <w:top w:val="nil"/>
              <w:left w:val="nil"/>
              <w:bottom w:val="single" w:sz="4" w:space="0" w:color="auto"/>
              <w:right w:val="single" w:sz="4" w:space="0" w:color="auto"/>
            </w:tcBorders>
            <w:shd w:val="clear" w:color="auto" w:fill="auto"/>
            <w:vAlign w:val="center"/>
            <w:hideMark/>
          </w:tcPr>
          <w:p w:rsidR="0055491A" w:rsidRDefault="0055491A" w:rsidP="00210BF6">
            <w:pPr>
              <w:jc w:val="both"/>
              <w:rPr>
                <w:sz w:val="20"/>
                <w:szCs w:val="20"/>
              </w:rPr>
            </w:pPr>
            <w:r>
              <w:rPr>
                <w:sz w:val="20"/>
                <w:szCs w:val="20"/>
              </w:rPr>
              <w:t>Штрафы за незаконные изготовление, продажу или передачу пневматического оружия</w:t>
            </w:r>
          </w:p>
        </w:tc>
        <w:tc>
          <w:tcPr>
            <w:tcW w:w="1420" w:type="dxa"/>
            <w:tcBorders>
              <w:top w:val="nil"/>
              <w:left w:val="nil"/>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29</w:t>
            </w:r>
          </w:p>
        </w:tc>
        <w:tc>
          <w:tcPr>
            <w:tcW w:w="1700" w:type="dxa"/>
            <w:tcBorders>
              <w:top w:val="nil"/>
              <w:left w:val="nil"/>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5</w:t>
            </w:r>
          </w:p>
        </w:tc>
        <w:tc>
          <w:tcPr>
            <w:tcW w:w="1540" w:type="dxa"/>
            <w:tcBorders>
              <w:top w:val="nil"/>
              <w:left w:val="nil"/>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96,6%</w:t>
            </w:r>
          </w:p>
        </w:tc>
        <w:tc>
          <w:tcPr>
            <w:tcW w:w="1540" w:type="dxa"/>
            <w:tcBorders>
              <w:top w:val="nil"/>
              <w:left w:val="nil"/>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70</w:t>
            </w:r>
          </w:p>
        </w:tc>
      </w:tr>
      <w:tr w:rsidR="0055491A" w:rsidTr="00210BF6">
        <w:trPr>
          <w:trHeight w:val="127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lastRenderedPageBreak/>
              <w:t>5</w:t>
            </w:r>
          </w:p>
        </w:tc>
        <w:tc>
          <w:tcPr>
            <w:tcW w:w="3060" w:type="dxa"/>
            <w:tcBorders>
              <w:top w:val="nil"/>
              <w:left w:val="nil"/>
              <w:bottom w:val="single" w:sz="4" w:space="0" w:color="auto"/>
              <w:right w:val="nil"/>
            </w:tcBorders>
            <w:shd w:val="clear" w:color="auto" w:fill="auto"/>
            <w:vAlign w:val="center"/>
            <w:hideMark/>
          </w:tcPr>
          <w:p w:rsidR="0055491A" w:rsidRDefault="0055491A" w:rsidP="00210BF6">
            <w:pPr>
              <w:jc w:val="both"/>
              <w:rPr>
                <w:sz w:val="20"/>
                <w:szCs w:val="20"/>
              </w:rPr>
            </w:pPr>
            <w:r>
              <w:rPr>
                <w:sz w:val="20"/>
                <w:szCs w:val="20"/>
              </w:rPr>
              <w:t>Штрафы за пересылку оружия, нарушение правил перевозки, транспортирования или использования оружия и патронов к нему</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45</w:t>
            </w:r>
          </w:p>
        </w:tc>
        <w:tc>
          <w:tcPr>
            <w:tcW w:w="1700" w:type="dxa"/>
            <w:tcBorders>
              <w:top w:val="nil"/>
              <w:left w:val="nil"/>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2</w:t>
            </w:r>
          </w:p>
        </w:tc>
        <w:tc>
          <w:tcPr>
            <w:tcW w:w="1540" w:type="dxa"/>
            <w:tcBorders>
              <w:top w:val="nil"/>
              <w:left w:val="nil"/>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55,6%</w:t>
            </w:r>
          </w:p>
        </w:tc>
        <w:tc>
          <w:tcPr>
            <w:tcW w:w="1540" w:type="dxa"/>
            <w:tcBorders>
              <w:top w:val="nil"/>
              <w:left w:val="nil"/>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25</w:t>
            </w:r>
          </w:p>
        </w:tc>
      </w:tr>
      <w:tr w:rsidR="0055491A" w:rsidTr="00210BF6">
        <w:trPr>
          <w:trHeight w:val="127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6</w:t>
            </w:r>
          </w:p>
        </w:tc>
        <w:tc>
          <w:tcPr>
            <w:tcW w:w="3060" w:type="dxa"/>
            <w:tcBorders>
              <w:top w:val="nil"/>
              <w:left w:val="nil"/>
              <w:bottom w:val="single" w:sz="4" w:space="0" w:color="auto"/>
              <w:right w:val="nil"/>
            </w:tcBorders>
            <w:shd w:val="clear" w:color="auto" w:fill="auto"/>
            <w:vAlign w:val="center"/>
            <w:hideMark/>
          </w:tcPr>
          <w:p w:rsidR="0055491A" w:rsidRDefault="0055491A" w:rsidP="00210BF6">
            <w:pPr>
              <w:jc w:val="both"/>
              <w:rPr>
                <w:sz w:val="20"/>
                <w:szCs w:val="20"/>
              </w:rPr>
            </w:pPr>
            <w:r>
              <w:rPr>
                <w:sz w:val="20"/>
                <w:szCs w:val="20"/>
              </w:rPr>
              <w:t>Штрафы за стрельбу из оружия в отведенных для этого местах с нарушением установленных правил или в не отведенных для этого местах</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40</w:t>
            </w:r>
          </w:p>
        </w:tc>
        <w:tc>
          <w:tcPr>
            <w:tcW w:w="1700" w:type="dxa"/>
            <w:tcBorders>
              <w:top w:val="nil"/>
              <w:left w:val="nil"/>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5</w:t>
            </w:r>
          </w:p>
        </w:tc>
        <w:tc>
          <w:tcPr>
            <w:tcW w:w="1540" w:type="dxa"/>
            <w:tcBorders>
              <w:top w:val="nil"/>
              <w:left w:val="nil"/>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90,0%</w:t>
            </w:r>
          </w:p>
        </w:tc>
        <w:tc>
          <w:tcPr>
            <w:tcW w:w="1540" w:type="dxa"/>
            <w:tcBorders>
              <w:top w:val="nil"/>
              <w:left w:val="nil"/>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90</w:t>
            </w:r>
          </w:p>
        </w:tc>
      </w:tr>
      <w:tr w:rsidR="0055491A" w:rsidTr="00210BF6">
        <w:trPr>
          <w:trHeight w:val="76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7</w:t>
            </w:r>
          </w:p>
        </w:tc>
        <w:tc>
          <w:tcPr>
            <w:tcW w:w="3060" w:type="dxa"/>
            <w:tcBorders>
              <w:top w:val="nil"/>
              <w:left w:val="nil"/>
              <w:bottom w:val="single" w:sz="4" w:space="0" w:color="auto"/>
              <w:right w:val="nil"/>
            </w:tcBorders>
            <w:shd w:val="clear" w:color="auto" w:fill="auto"/>
            <w:vAlign w:val="center"/>
            <w:hideMark/>
          </w:tcPr>
          <w:p w:rsidR="0055491A" w:rsidRDefault="0055491A" w:rsidP="00210BF6">
            <w:pPr>
              <w:jc w:val="both"/>
              <w:rPr>
                <w:sz w:val="20"/>
                <w:szCs w:val="20"/>
              </w:rPr>
            </w:pPr>
            <w:r>
              <w:rPr>
                <w:sz w:val="20"/>
                <w:szCs w:val="20"/>
              </w:rPr>
              <w:t>Штрафы за появление в общественных местах в состоянии опьянения</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0,7</w:t>
            </w:r>
          </w:p>
        </w:tc>
        <w:tc>
          <w:tcPr>
            <w:tcW w:w="1700" w:type="dxa"/>
            <w:tcBorders>
              <w:top w:val="nil"/>
              <w:left w:val="nil"/>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1358</w:t>
            </w:r>
          </w:p>
        </w:tc>
        <w:tc>
          <w:tcPr>
            <w:tcW w:w="1540" w:type="dxa"/>
            <w:tcBorders>
              <w:top w:val="nil"/>
              <w:left w:val="nil"/>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85,0%</w:t>
            </w:r>
          </w:p>
        </w:tc>
        <w:tc>
          <w:tcPr>
            <w:tcW w:w="1540" w:type="dxa"/>
            <w:tcBorders>
              <w:top w:val="nil"/>
              <w:left w:val="nil"/>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404</w:t>
            </w:r>
          </w:p>
        </w:tc>
      </w:tr>
      <w:tr w:rsidR="0055491A" w:rsidTr="00210BF6">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8</w:t>
            </w:r>
          </w:p>
        </w:tc>
        <w:tc>
          <w:tcPr>
            <w:tcW w:w="3060" w:type="dxa"/>
            <w:tcBorders>
              <w:top w:val="nil"/>
              <w:left w:val="nil"/>
              <w:bottom w:val="single" w:sz="4" w:space="0" w:color="auto"/>
              <w:right w:val="nil"/>
            </w:tcBorders>
            <w:shd w:val="clear" w:color="auto" w:fill="auto"/>
            <w:vAlign w:val="center"/>
            <w:hideMark/>
          </w:tcPr>
          <w:p w:rsidR="0055491A" w:rsidRDefault="0055491A" w:rsidP="00210BF6">
            <w:pPr>
              <w:jc w:val="both"/>
              <w:rPr>
                <w:sz w:val="20"/>
                <w:szCs w:val="20"/>
              </w:rPr>
            </w:pPr>
            <w:r>
              <w:rPr>
                <w:sz w:val="20"/>
                <w:szCs w:val="20"/>
              </w:rPr>
              <w:t>Иные штрафы</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7</w:t>
            </w:r>
          </w:p>
        </w:tc>
        <w:tc>
          <w:tcPr>
            <w:tcW w:w="1700" w:type="dxa"/>
            <w:tcBorders>
              <w:top w:val="nil"/>
              <w:left w:val="nil"/>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3455</w:t>
            </w:r>
          </w:p>
        </w:tc>
        <w:tc>
          <w:tcPr>
            <w:tcW w:w="1540" w:type="dxa"/>
            <w:tcBorders>
              <w:top w:val="nil"/>
              <w:left w:val="nil"/>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66,3%</w:t>
            </w:r>
          </w:p>
        </w:tc>
        <w:tc>
          <w:tcPr>
            <w:tcW w:w="1540" w:type="dxa"/>
            <w:tcBorders>
              <w:top w:val="nil"/>
              <w:left w:val="nil"/>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r>
              <w:rPr>
                <w:sz w:val="20"/>
                <w:szCs w:val="20"/>
              </w:rPr>
              <w:t>8 017,3</w:t>
            </w:r>
          </w:p>
        </w:tc>
      </w:tr>
      <w:tr w:rsidR="0055491A" w:rsidTr="00210BF6">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55491A" w:rsidRDefault="0055491A" w:rsidP="00210BF6">
            <w:pPr>
              <w:jc w:val="center"/>
              <w:rPr>
                <w:sz w:val="20"/>
                <w:szCs w:val="20"/>
              </w:rPr>
            </w:pPr>
          </w:p>
        </w:tc>
        <w:tc>
          <w:tcPr>
            <w:tcW w:w="3060" w:type="dxa"/>
            <w:tcBorders>
              <w:top w:val="nil"/>
              <w:left w:val="nil"/>
              <w:bottom w:val="single" w:sz="4" w:space="0" w:color="auto"/>
              <w:right w:val="nil"/>
            </w:tcBorders>
            <w:shd w:val="clear" w:color="auto" w:fill="auto"/>
            <w:vAlign w:val="center"/>
            <w:hideMark/>
          </w:tcPr>
          <w:p w:rsidR="0055491A" w:rsidRDefault="0055491A" w:rsidP="00210BF6">
            <w:pPr>
              <w:rPr>
                <w:b/>
                <w:bCs/>
                <w:sz w:val="20"/>
                <w:szCs w:val="20"/>
              </w:rPr>
            </w:pPr>
            <w:r>
              <w:rPr>
                <w:b/>
                <w:bCs/>
                <w:sz w:val="20"/>
                <w:szCs w:val="20"/>
              </w:rPr>
              <w:t>ИТОГО</w:t>
            </w:r>
          </w:p>
        </w:tc>
        <w:tc>
          <w:tcPr>
            <w:tcW w:w="1420" w:type="dxa"/>
            <w:tcBorders>
              <w:top w:val="nil"/>
              <w:left w:val="nil"/>
              <w:bottom w:val="single" w:sz="4" w:space="0" w:color="auto"/>
              <w:right w:val="nil"/>
            </w:tcBorders>
            <w:shd w:val="clear" w:color="auto" w:fill="auto"/>
            <w:vAlign w:val="center"/>
            <w:hideMark/>
          </w:tcPr>
          <w:p w:rsidR="0055491A" w:rsidRDefault="0055491A" w:rsidP="00210BF6">
            <w:pPr>
              <w:rPr>
                <w:b/>
                <w:bCs/>
                <w:sz w:val="20"/>
                <w:szCs w:val="20"/>
              </w:rPr>
            </w:pPr>
            <w:r>
              <w:rPr>
                <w:b/>
                <w:bCs/>
                <w:sz w:val="20"/>
                <w:szCs w:val="20"/>
              </w:rPr>
              <w:t> </w:t>
            </w:r>
          </w:p>
        </w:tc>
        <w:tc>
          <w:tcPr>
            <w:tcW w:w="1700" w:type="dxa"/>
            <w:tcBorders>
              <w:top w:val="nil"/>
              <w:left w:val="nil"/>
              <w:bottom w:val="single" w:sz="4" w:space="0" w:color="auto"/>
              <w:right w:val="nil"/>
            </w:tcBorders>
            <w:shd w:val="clear" w:color="auto" w:fill="auto"/>
            <w:vAlign w:val="center"/>
            <w:hideMark/>
          </w:tcPr>
          <w:p w:rsidR="0055491A" w:rsidRDefault="0055491A" w:rsidP="00210BF6">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vAlign w:val="center"/>
            <w:hideMark/>
          </w:tcPr>
          <w:p w:rsidR="0055491A" w:rsidRDefault="0055491A" w:rsidP="00210BF6">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vAlign w:val="center"/>
            <w:hideMark/>
          </w:tcPr>
          <w:p w:rsidR="0055491A" w:rsidRDefault="0055491A" w:rsidP="00210BF6">
            <w:pPr>
              <w:jc w:val="center"/>
              <w:rPr>
                <w:b/>
                <w:bCs/>
                <w:sz w:val="20"/>
                <w:szCs w:val="20"/>
              </w:rPr>
            </w:pPr>
            <w:r>
              <w:rPr>
                <w:b/>
                <w:bCs/>
                <w:sz w:val="20"/>
                <w:szCs w:val="20"/>
              </w:rPr>
              <w:t>8 751,6</w:t>
            </w:r>
          </w:p>
        </w:tc>
      </w:tr>
    </w:tbl>
    <w:p w:rsidR="0055491A" w:rsidRDefault="0055491A" w:rsidP="0055491A">
      <w:pPr>
        <w:pStyle w:val="a7"/>
        <w:spacing w:after="0"/>
        <w:ind w:left="0" w:firstLine="709"/>
        <w:jc w:val="both"/>
        <w:rPr>
          <w:sz w:val="28"/>
          <w:szCs w:val="28"/>
        </w:rPr>
      </w:pPr>
      <w:r w:rsidRPr="001113B4">
        <w:rPr>
          <w:b/>
          <w:sz w:val="28"/>
          <w:szCs w:val="28"/>
        </w:rPr>
        <w:t>Прогноз поступления доходов в об</w:t>
      </w:r>
      <w:r>
        <w:rPr>
          <w:b/>
          <w:sz w:val="28"/>
          <w:szCs w:val="28"/>
        </w:rPr>
        <w:t>ластной бюджет Тверской области 2022 год 8 751,6 тыс. руб.,</w:t>
      </w:r>
      <w:r w:rsidRPr="001113B4">
        <w:rPr>
          <w:b/>
          <w:sz w:val="28"/>
          <w:szCs w:val="28"/>
        </w:rPr>
        <w:t xml:space="preserve"> 2023 год  8 751,6 тыс. руб., 2024</w:t>
      </w:r>
      <w:r>
        <w:rPr>
          <w:b/>
          <w:sz w:val="28"/>
          <w:szCs w:val="28"/>
        </w:rPr>
        <w:t xml:space="preserve"> год </w:t>
      </w:r>
      <w:r w:rsidRPr="001113B4">
        <w:rPr>
          <w:b/>
          <w:sz w:val="28"/>
          <w:szCs w:val="28"/>
        </w:rPr>
        <w:t xml:space="preserve"> 8 751,6 тыс. руб.,</w:t>
      </w:r>
      <w:r>
        <w:rPr>
          <w:sz w:val="28"/>
          <w:szCs w:val="28"/>
        </w:rPr>
        <w:t xml:space="preserve"> (на уровне прогноза 2022 года).</w:t>
      </w:r>
    </w:p>
    <w:p w:rsidR="0055491A" w:rsidRDefault="0055491A" w:rsidP="0055491A">
      <w:pPr>
        <w:pStyle w:val="a7"/>
        <w:spacing w:after="0"/>
        <w:jc w:val="both"/>
        <w:rPr>
          <w:sz w:val="28"/>
          <w:szCs w:val="28"/>
        </w:rPr>
      </w:pPr>
    </w:p>
    <w:p w:rsidR="0055491A" w:rsidRDefault="0055491A" w:rsidP="0055491A">
      <w:pPr>
        <w:pStyle w:val="a7"/>
        <w:spacing w:after="0"/>
        <w:ind w:left="0" w:firstLine="709"/>
        <w:jc w:val="both"/>
        <w:rPr>
          <w:sz w:val="28"/>
          <w:szCs w:val="28"/>
        </w:rPr>
      </w:pPr>
      <w:r>
        <w:rPr>
          <w:sz w:val="28"/>
          <w:szCs w:val="28"/>
        </w:rPr>
        <w:t xml:space="preserve">14.6 </w:t>
      </w:r>
      <w:r w:rsidRPr="00A84D74">
        <w:rPr>
          <w:b/>
          <w:sz w:val="28"/>
          <w:szCs w:val="28"/>
        </w:rPr>
        <w:t>КБК 332 1 16 01205 01 0000 140</w:t>
      </w:r>
      <w:r>
        <w:rPr>
          <w:sz w:val="28"/>
          <w:szCs w:val="28"/>
        </w:rPr>
        <w:t xml:space="preserve"> </w:t>
      </w:r>
      <w:r w:rsidRPr="00540006">
        <w:rPr>
          <w:sz w:val="28"/>
          <w:szCs w:val="28"/>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выявленные должностными лицами органов исполнительной власти субъектов Российской Федерации, включенных в соответствующие перечни, утвержденные высшими должностными лицами (руководителями высших исполнительных органов государственной власти) субъектов Российской Федерации</w:t>
      </w:r>
      <w:r>
        <w:rPr>
          <w:sz w:val="28"/>
          <w:szCs w:val="28"/>
        </w:rPr>
        <w:t>.</w:t>
      </w:r>
    </w:p>
    <w:p w:rsidR="0055491A" w:rsidRPr="00A84D74" w:rsidRDefault="0055491A" w:rsidP="0055491A">
      <w:pPr>
        <w:pStyle w:val="a7"/>
        <w:spacing w:after="0"/>
        <w:ind w:left="0" w:firstLine="709"/>
        <w:jc w:val="both"/>
        <w:rPr>
          <w:b/>
          <w:sz w:val="28"/>
          <w:szCs w:val="28"/>
        </w:rPr>
      </w:pPr>
      <w:r w:rsidRPr="00A84D74">
        <w:rPr>
          <w:b/>
          <w:sz w:val="28"/>
          <w:szCs w:val="28"/>
        </w:rPr>
        <w:t>Прогноз на 2022 год -  440,0 тыс. руб., на 2023 год – 600,0 тыс. руб., на 2024 год – 440,0 тыс. руб.</w:t>
      </w:r>
    </w:p>
    <w:p w:rsidR="0055491A" w:rsidRPr="00A84D74" w:rsidRDefault="0055491A" w:rsidP="0055491A">
      <w:pPr>
        <w:pStyle w:val="a7"/>
        <w:spacing w:after="0"/>
        <w:ind w:left="0" w:firstLine="709"/>
        <w:jc w:val="both"/>
        <w:rPr>
          <w:b/>
          <w:sz w:val="28"/>
          <w:szCs w:val="28"/>
        </w:rPr>
      </w:pPr>
      <w:r w:rsidRPr="00A84D74">
        <w:rPr>
          <w:b/>
          <w:sz w:val="28"/>
          <w:szCs w:val="28"/>
        </w:rPr>
        <w:t>Главный администратор доходов – Министерство Тверской области по обеспечению контрольных функций.</w:t>
      </w:r>
    </w:p>
    <w:p w:rsidR="0055491A" w:rsidRDefault="0055491A" w:rsidP="0055491A">
      <w:pPr>
        <w:pStyle w:val="af4"/>
        <w:autoSpaceDE w:val="0"/>
        <w:autoSpaceDN w:val="0"/>
        <w:adjustRightInd w:val="0"/>
        <w:ind w:left="0"/>
        <w:jc w:val="both"/>
        <w:rPr>
          <w:sz w:val="28"/>
          <w:szCs w:val="28"/>
        </w:rPr>
      </w:pPr>
      <w:r w:rsidRPr="00164DDA">
        <w:rPr>
          <w:sz w:val="28"/>
          <w:szCs w:val="28"/>
        </w:rPr>
        <w:t xml:space="preserve">           В соответствии с постановлением Губернатора Тверской области  от 29.05.2020 № 77-пг «Об утверждении Перечня исполнительных органов государственной власти Тверской области и их должностных лиц, уполномоченных составлять протоколы об административных правонарушениях, предусмотренных статьей 20.6.1 Кодекса Российской Федерации об административных правонарушениях» на  Министерство </w:t>
      </w:r>
      <w:r>
        <w:rPr>
          <w:sz w:val="28"/>
          <w:szCs w:val="28"/>
        </w:rPr>
        <w:t xml:space="preserve">Тверской области по обеспечению контрольных функций </w:t>
      </w:r>
      <w:r w:rsidRPr="00164DDA">
        <w:rPr>
          <w:sz w:val="28"/>
          <w:szCs w:val="28"/>
        </w:rPr>
        <w:t>возложены полномочия по составлению протоколов об административных правонарушениях,  предусмотренных статьей 20.6.1 КоАП РФ.</w:t>
      </w:r>
    </w:p>
    <w:p w:rsidR="0055491A" w:rsidRDefault="0055491A" w:rsidP="0055491A">
      <w:pPr>
        <w:pStyle w:val="af4"/>
        <w:autoSpaceDE w:val="0"/>
        <w:autoSpaceDN w:val="0"/>
        <w:adjustRightInd w:val="0"/>
        <w:ind w:left="0" w:firstLine="709"/>
        <w:jc w:val="both"/>
        <w:rPr>
          <w:sz w:val="28"/>
          <w:szCs w:val="28"/>
        </w:rPr>
      </w:pPr>
      <w:r>
        <w:rPr>
          <w:sz w:val="28"/>
          <w:szCs w:val="28"/>
        </w:rPr>
        <w:t>Расчет прогноза поступлений доходов областного бюджета Тверской области на 2022 – 2024 годы произведен методом прямого расчета, представлен в таблице:</w:t>
      </w:r>
    </w:p>
    <w:p w:rsidR="007F5AA3" w:rsidRDefault="007F5AA3" w:rsidP="0055491A">
      <w:pPr>
        <w:pStyle w:val="af4"/>
        <w:autoSpaceDE w:val="0"/>
        <w:autoSpaceDN w:val="0"/>
        <w:adjustRightInd w:val="0"/>
        <w:ind w:left="0" w:firstLine="709"/>
        <w:jc w:val="both"/>
        <w:rPr>
          <w:sz w:val="28"/>
          <w:szCs w:val="28"/>
        </w:rPr>
      </w:pPr>
    </w:p>
    <w:p w:rsidR="007F5AA3" w:rsidRDefault="007F5AA3" w:rsidP="0055491A">
      <w:pPr>
        <w:pStyle w:val="af4"/>
        <w:autoSpaceDE w:val="0"/>
        <w:autoSpaceDN w:val="0"/>
        <w:adjustRightInd w:val="0"/>
        <w:ind w:left="0" w:firstLine="709"/>
        <w:jc w:val="both"/>
        <w:rPr>
          <w:sz w:val="28"/>
          <w:szCs w:val="28"/>
        </w:rPr>
      </w:pPr>
    </w:p>
    <w:p w:rsidR="0055491A" w:rsidRDefault="0055491A" w:rsidP="0055491A">
      <w:pPr>
        <w:pStyle w:val="af4"/>
        <w:autoSpaceDE w:val="0"/>
        <w:autoSpaceDN w:val="0"/>
        <w:adjustRightInd w:val="0"/>
        <w:ind w:left="0" w:firstLine="709"/>
        <w:jc w:val="both"/>
        <w:rPr>
          <w:sz w:val="28"/>
          <w:szCs w:val="28"/>
        </w:rPr>
      </w:pPr>
    </w:p>
    <w:tbl>
      <w:tblPr>
        <w:tblStyle w:val="a6"/>
        <w:tblW w:w="0" w:type="auto"/>
        <w:tblLook w:val="04A0" w:firstRow="1" w:lastRow="0" w:firstColumn="1" w:lastColumn="0" w:noHBand="0" w:noVBand="1"/>
      </w:tblPr>
      <w:tblGrid>
        <w:gridCol w:w="1288"/>
        <w:gridCol w:w="1288"/>
        <w:gridCol w:w="1288"/>
        <w:gridCol w:w="1288"/>
        <w:gridCol w:w="1288"/>
        <w:gridCol w:w="1288"/>
        <w:gridCol w:w="1288"/>
      </w:tblGrid>
      <w:tr w:rsidR="0055491A" w:rsidTr="00210BF6">
        <w:trPr>
          <w:trHeight w:val="404"/>
        </w:trPr>
        <w:tc>
          <w:tcPr>
            <w:tcW w:w="1288" w:type="dxa"/>
            <w:vMerge w:val="restart"/>
          </w:tcPr>
          <w:p w:rsidR="0055491A" w:rsidRPr="00D54B45" w:rsidRDefault="0055491A" w:rsidP="00210BF6">
            <w:pPr>
              <w:pStyle w:val="af4"/>
              <w:autoSpaceDE w:val="0"/>
              <w:autoSpaceDN w:val="0"/>
              <w:adjustRightInd w:val="0"/>
              <w:ind w:left="0" w:firstLine="0"/>
              <w:jc w:val="center"/>
              <w:rPr>
                <w:sz w:val="18"/>
                <w:szCs w:val="18"/>
              </w:rPr>
            </w:pPr>
            <w:r w:rsidRPr="00D54B45">
              <w:rPr>
                <w:sz w:val="18"/>
                <w:szCs w:val="18"/>
              </w:rPr>
              <w:lastRenderedPageBreak/>
              <w:t>Размер штрафа, тыс. руб.</w:t>
            </w:r>
          </w:p>
        </w:tc>
        <w:tc>
          <w:tcPr>
            <w:tcW w:w="2576" w:type="dxa"/>
            <w:gridSpan w:val="2"/>
          </w:tcPr>
          <w:p w:rsidR="0055491A" w:rsidRPr="00EE60A9" w:rsidRDefault="0055491A" w:rsidP="00210BF6">
            <w:pPr>
              <w:pStyle w:val="af4"/>
              <w:autoSpaceDE w:val="0"/>
              <w:autoSpaceDN w:val="0"/>
              <w:adjustRightInd w:val="0"/>
              <w:ind w:left="0" w:firstLine="0"/>
              <w:jc w:val="center"/>
              <w:rPr>
                <w:b/>
                <w:sz w:val="22"/>
                <w:szCs w:val="22"/>
              </w:rPr>
            </w:pPr>
            <w:r w:rsidRPr="00EE60A9">
              <w:rPr>
                <w:b/>
                <w:sz w:val="22"/>
                <w:szCs w:val="22"/>
              </w:rPr>
              <w:t>2022 год</w:t>
            </w:r>
          </w:p>
        </w:tc>
        <w:tc>
          <w:tcPr>
            <w:tcW w:w="2576" w:type="dxa"/>
            <w:gridSpan w:val="2"/>
          </w:tcPr>
          <w:p w:rsidR="0055491A" w:rsidRPr="00EE60A9" w:rsidRDefault="0055491A" w:rsidP="00210BF6">
            <w:pPr>
              <w:pStyle w:val="af4"/>
              <w:autoSpaceDE w:val="0"/>
              <w:autoSpaceDN w:val="0"/>
              <w:adjustRightInd w:val="0"/>
              <w:ind w:left="0" w:firstLine="0"/>
              <w:jc w:val="center"/>
              <w:rPr>
                <w:b/>
                <w:sz w:val="22"/>
                <w:szCs w:val="22"/>
              </w:rPr>
            </w:pPr>
            <w:r w:rsidRPr="00EE60A9">
              <w:rPr>
                <w:b/>
                <w:sz w:val="22"/>
                <w:szCs w:val="22"/>
              </w:rPr>
              <w:t>2023 год</w:t>
            </w:r>
          </w:p>
        </w:tc>
        <w:tc>
          <w:tcPr>
            <w:tcW w:w="2576" w:type="dxa"/>
            <w:gridSpan w:val="2"/>
          </w:tcPr>
          <w:p w:rsidR="0055491A" w:rsidRPr="00EE60A9" w:rsidRDefault="0055491A" w:rsidP="00210BF6">
            <w:pPr>
              <w:pStyle w:val="af4"/>
              <w:autoSpaceDE w:val="0"/>
              <w:autoSpaceDN w:val="0"/>
              <w:adjustRightInd w:val="0"/>
              <w:ind w:left="0" w:firstLine="0"/>
              <w:jc w:val="center"/>
              <w:rPr>
                <w:b/>
                <w:sz w:val="22"/>
                <w:szCs w:val="22"/>
              </w:rPr>
            </w:pPr>
            <w:r w:rsidRPr="00EE60A9">
              <w:rPr>
                <w:b/>
                <w:sz w:val="22"/>
                <w:szCs w:val="22"/>
              </w:rPr>
              <w:t>2024 год</w:t>
            </w:r>
          </w:p>
        </w:tc>
      </w:tr>
      <w:tr w:rsidR="0055491A" w:rsidTr="00210BF6">
        <w:trPr>
          <w:trHeight w:val="429"/>
        </w:trPr>
        <w:tc>
          <w:tcPr>
            <w:tcW w:w="1288" w:type="dxa"/>
            <w:vMerge/>
          </w:tcPr>
          <w:p w:rsidR="0055491A" w:rsidRDefault="0055491A" w:rsidP="00210BF6">
            <w:pPr>
              <w:pStyle w:val="af4"/>
              <w:autoSpaceDE w:val="0"/>
              <w:autoSpaceDN w:val="0"/>
              <w:adjustRightInd w:val="0"/>
              <w:ind w:left="0"/>
              <w:jc w:val="center"/>
              <w:rPr>
                <w:sz w:val="28"/>
                <w:szCs w:val="28"/>
              </w:rPr>
            </w:pPr>
          </w:p>
        </w:tc>
        <w:tc>
          <w:tcPr>
            <w:tcW w:w="1288" w:type="dxa"/>
          </w:tcPr>
          <w:p w:rsidR="0055491A" w:rsidRPr="00EE60A9" w:rsidRDefault="0055491A" w:rsidP="00210BF6">
            <w:pPr>
              <w:pStyle w:val="af4"/>
              <w:autoSpaceDE w:val="0"/>
              <w:autoSpaceDN w:val="0"/>
              <w:adjustRightInd w:val="0"/>
              <w:ind w:left="0" w:firstLine="0"/>
              <w:jc w:val="center"/>
              <w:rPr>
                <w:sz w:val="18"/>
                <w:szCs w:val="18"/>
              </w:rPr>
            </w:pPr>
            <w:r w:rsidRPr="00EE60A9">
              <w:rPr>
                <w:sz w:val="18"/>
                <w:szCs w:val="18"/>
              </w:rPr>
              <w:t>Количество, шт.</w:t>
            </w:r>
          </w:p>
        </w:tc>
        <w:tc>
          <w:tcPr>
            <w:tcW w:w="1288" w:type="dxa"/>
          </w:tcPr>
          <w:p w:rsidR="0055491A" w:rsidRPr="00EE60A9" w:rsidRDefault="0055491A" w:rsidP="00210BF6">
            <w:pPr>
              <w:pStyle w:val="af4"/>
              <w:autoSpaceDE w:val="0"/>
              <w:autoSpaceDN w:val="0"/>
              <w:adjustRightInd w:val="0"/>
              <w:ind w:left="0" w:firstLine="0"/>
              <w:jc w:val="center"/>
              <w:rPr>
                <w:sz w:val="18"/>
                <w:szCs w:val="18"/>
              </w:rPr>
            </w:pPr>
            <w:r w:rsidRPr="00EE60A9">
              <w:rPr>
                <w:sz w:val="18"/>
                <w:szCs w:val="18"/>
              </w:rPr>
              <w:t>Сумма, тыс. руб.</w:t>
            </w:r>
          </w:p>
        </w:tc>
        <w:tc>
          <w:tcPr>
            <w:tcW w:w="1288" w:type="dxa"/>
          </w:tcPr>
          <w:p w:rsidR="0055491A" w:rsidRPr="00EE60A9" w:rsidRDefault="0055491A" w:rsidP="00210BF6">
            <w:pPr>
              <w:pStyle w:val="af4"/>
              <w:autoSpaceDE w:val="0"/>
              <w:autoSpaceDN w:val="0"/>
              <w:adjustRightInd w:val="0"/>
              <w:ind w:left="0" w:firstLine="0"/>
              <w:jc w:val="center"/>
              <w:rPr>
                <w:sz w:val="18"/>
                <w:szCs w:val="18"/>
              </w:rPr>
            </w:pPr>
            <w:r w:rsidRPr="00EE60A9">
              <w:rPr>
                <w:sz w:val="18"/>
                <w:szCs w:val="18"/>
              </w:rPr>
              <w:t>Количество, шт.</w:t>
            </w:r>
          </w:p>
        </w:tc>
        <w:tc>
          <w:tcPr>
            <w:tcW w:w="1288" w:type="dxa"/>
          </w:tcPr>
          <w:p w:rsidR="0055491A" w:rsidRPr="00EE60A9" w:rsidRDefault="0055491A" w:rsidP="00210BF6">
            <w:pPr>
              <w:pStyle w:val="af4"/>
              <w:autoSpaceDE w:val="0"/>
              <w:autoSpaceDN w:val="0"/>
              <w:adjustRightInd w:val="0"/>
              <w:ind w:left="0" w:firstLine="0"/>
              <w:jc w:val="center"/>
              <w:rPr>
                <w:sz w:val="18"/>
                <w:szCs w:val="18"/>
              </w:rPr>
            </w:pPr>
            <w:r w:rsidRPr="00EE60A9">
              <w:rPr>
                <w:sz w:val="18"/>
                <w:szCs w:val="18"/>
              </w:rPr>
              <w:t>Сумма, тыс. руб.</w:t>
            </w:r>
          </w:p>
        </w:tc>
        <w:tc>
          <w:tcPr>
            <w:tcW w:w="1288" w:type="dxa"/>
          </w:tcPr>
          <w:p w:rsidR="0055491A" w:rsidRPr="00EE60A9" w:rsidRDefault="0055491A" w:rsidP="00210BF6">
            <w:pPr>
              <w:pStyle w:val="af4"/>
              <w:autoSpaceDE w:val="0"/>
              <w:autoSpaceDN w:val="0"/>
              <w:adjustRightInd w:val="0"/>
              <w:ind w:left="0" w:firstLine="0"/>
              <w:jc w:val="center"/>
              <w:rPr>
                <w:sz w:val="18"/>
                <w:szCs w:val="18"/>
              </w:rPr>
            </w:pPr>
            <w:r w:rsidRPr="00EE60A9">
              <w:rPr>
                <w:sz w:val="18"/>
                <w:szCs w:val="18"/>
              </w:rPr>
              <w:t>Количество, шт.</w:t>
            </w:r>
          </w:p>
        </w:tc>
        <w:tc>
          <w:tcPr>
            <w:tcW w:w="1288" w:type="dxa"/>
          </w:tcPr>
          <w:p w:rsidR="0055491A" w:rsidRPr="00EE60A9" w:rsidRDefault="0055491A" w:rsidP="00210BF6">
            <w:pPr>
              <w:pStyle w:val="af4"/>
              <w:autoSpaceDE w:val="0"/>
              <w:autoSpaceDN w:val="0"/>
              <w:adjustRightInd w:val="0"/>
              <w:ind w:left="0" w:firstLine="0"/>
              <w:jc w:val="center"/>
              <w:rPr>
                <w:sz w:val="18"/>
                <w:szCs w:val="18"/>
              </w:rPr>
            </w:pPr>
            <w:r w:rsidRPr="00EE60A9">
              <w:rPr>
                <w:sz w:val="18"/>
                <w:szCs w:val="18"/>
              </w:rPr>
              <w:t>Сумма, тыс. руб.</w:t>
            </w:r>
          </w:p>
        </w:tc>
      </w:tr>
      <w:tr w:rsidR="0055491A" w:rsidTr="00210BF6">
        <w:trPr>
          <w:trHeight w:val="322"/>
        </w:trPr>
        <w:tc>
          <w:tcPr>
            <w:tcW w:w="1288" w:type="dxa"/>
          </w:tcPr>
          <w:p w:rsidR="0055491A" w:rsidRPr="00EE60A9" w:rsidRDefault="0055491A" w:rsidP="00210BF6">
            <w:pPr>
              <w:pStyle w:val="af4"/>
              <w:autoSpaceDE w:val="0"/>
              <w:autoSpaceDN w:val="0"/>
              <w:adjustRightInd w:val="0"/>
              <w:ind w:left="0" w:firstLine="0"/>
              <w:jc w:val="center"/>
              <w:rPr>
                <w:sz w:val="22"/>
                <w:szCs w:val="22"/>
              </w:rPr>
            </w:pPr>
            <w:r w:rsidRPr="00EE60A9">
              <w:rPr>
                <w:sz w:val="22"/>
                <w:szCs w:val="22"/>
              </w:rPr>
              <w:t>10</w:t>
            </w:r>
          </w:p>
        </w:tc>
        <w:tc>
          <w:tcPr>
            <w:tcW w:w="1288" w:type="dxa"/>
          </w:tcPr>
          <w:p w:rsidR="0055491A" w:rsidRPr="00EE60A9" w:rsidRDefault="0055491A" w:rsidP="00210BF6">
            <w:pPr>
              <w:pStyle w:val="af4"/>
              <w:autoSpaceDE w:val="0"/>
              <w:autoSpaceDN w:val="0"/>
              <w:adjustRightInd w:val="0"/>
              <w:ind w:left="0" w:firstLine="0"/>
              <w:jc w:val="center"/>
              <w:rPr>
                <w:sz w:val="22"/>
                <w:szCs w:val="22"/>
              </w:rPr>
            </w:pPr>
            <w:r w:rsidRPr="00EE60A9">
              <w:rPr>
                <w:sz w:val="22"/>
                <w:szCs w:val="22"/>
              </w:rPr>
              <w:t>4</w:t>
            </w:r>
          </w:p>
        </w:tc>
        <w:tc>
          <w:tcPr>
            <w:tcW w:w="1288" w:type="dxa"/>
          </w:tcPr>
          <w:p w:rsidR="0055491A" w:rsidRPr="00EE60A9" w:rsidRDefault="0055491A" w:rsidP="00210BF6">
            <w:pPr>
              <w:pStyle w:val="af4"/>
              <w:autoSpaceDE w:val="0"/>
              <w:autoSpaceDN w:val="0"/>
              <w:adjustRightInd w:val="0"/>
              <w:ind w:left="0" w:firstLine="0"/>
              <w:jc w:val="center"/>
              <w:rPr>
                <w:sz w:val="22"/>
                <w:szCs w:val="22"/>
              </w:rPr>
            </w:pPr>
            <w:r w:rsidRPr="00EE60A9">
              <w:rPr>
                <w:sz w:val="22"/>
                <w:szCs w:val="22"/>
              </w:rPr>
              <w:t>40,0</w:t>
            </w:r>
          </w:p>
        </w:tc>
        <w:tc>
          <w:tcPr>
            <w:tcW w:w="1288" w:type="dxa"/>
          </w:tcPr>
          <w:p w:rsidR="0055491A" w:rsidRPr="00EE60A9" w:rsidRDefault="0055491A" w:rsidP="00210BF6">
            <w:pPr>
              <w:pStyle w:val="af4"/>
              <w:autoSpaceDE w:val="0"/>
              <w:autoSpaceDN w:val="0"/>
              <w:adjustRightInd w:val="0"/>
              <w:ind w:left="0" w:firstLine="0"/>
              <w:jc w:val="center"/>
              <w:rPr>
                <w:sz w:val="22"/>
                <w:szCs w:val="22"/>
              </w:rPr>
            </w:pPr>
            <w:r w:rsidRPr="00EE60A9">
              <w:rPr>
                <w:sz w:val="22"/>
                <w:szCs w:val="22"/>
              </w:rPr>
              <w:t>5</w:t>
            </w:r>
          </w:p>
        </w:tc>
        <w:tc>
          <w:tcPr>
            <w:tcW w:w="1288" w:type="dxa"/>
          </w:tcPr>
          <w:p w:rsidR="0055491A" w:rsidRPr="00EE60A9" w:rsidRDefault="0055491A" w:rsidP="00210BF6">
            <w:pPr>
              <w:pStyle w:val="af4"/>
              <w:autoSpaceDE w:val="0"/>
              <w:autoSpaceDN w:val="0"/>
              <w:adjustRightInd w:val="0"/>
              <w:ind w:left="0" w:firstLine="0"/>
              <w:jc w:val="center"/>
              <w:rPr>
                <w:sz w:val="22"/>
                <w:szCs w:val="22"/>
              </w:rPr>
            </w:pPr>
            <w:r w:rsidRPr="00EE60A9">
              <w:rPr>
                <w:sz w:val="22"/>
                <w:szCs w:val="22"/>
              </w:rPr>
              <w:t>50,0</w:t>
            </w:r>
          </w:p>
        </w:tc>
        <w:tc>
          <w:tcPr>
            <w:tcW w:w="1288" w:type="dxa"/>
          </w:tcPr>
          <w:p w:rsidR="0055491A" w:rsidRPr="00EE60A9" w:rsidRDefault="0055491A" w:rsidP="00210BF6">
            <w:pPr>
              <w:pStyle w:val="af4"/>
              <w:autoSpaceDE w:val="0"/>
              <w:autoSpaceDN w:val="0"/>
              <w:adjustRightInd w:val="0"/>
              <w:ind w:left="0" w:firstLine="0"/>
              <w:jc w:val="center"/>
              <w:rPr>
                <w:sz w:val="22"/>
                <w:szCs w:val="22"/>
              </w:rPr>
            </w:pPr>
            <w:r w:rsidRPr="00EE60A9">
              <w:rPr>
                <w:sz w:val="22"/>
                <w:szCs w:val="22"/>
              </w:rPr>
              <w:t>4</w:t>
            </w:r>
          </w:p>
        </w:tc>
        <w:tc>
          <w:tcPr>
            <w:tcW w:w="1288" w:type="dxa"/>
          </w:tcPr>
          <w:p w:rsidR="0055491A" w:rsidRPr="00EE60A9" w:rsidRDefault="0055491A" w:rsidP="00210BF6">
            <w:pPr>
              <w:pStyle w:val="af4"/>
              <w:autoSpaceDE w:val="0"/>
              <w:autoSpaceDN w:val="0"/>
              <w:adjustRightInd w:val="0"/>
              <w:ind w:left="0" w:firstLine="0"/>
              <w:jc w:val="center"/>
              <w:rPr>
                <w:sz w:val="22"/>
                <w:szCs w:val="22"/>
              </w:rPr>
            </w:pPr>
            <w:r w:rsidRPr="00EE60A9">
              <w:rPr>
                <w:sz w:val="22"/>
                <w:szCs w:val="22"/>
              </w:rPr>
              <w:t>40,0</w:t>
            </w:r>
          </w:p>
        </w:tc>
      </w:tr>
      <w:tr w:rsidR="0055491A" w:rsidTr="00210BF6">
        <w:trPr>
          <w:trHeight w:val="322"/>
        </w:trPr>
        <w:tc>
          <w:tcPr>
            <w:tcW w:w="1288" w:type="dxa"/>
          </w:tcPr>
          <w:p w:rsidR="0055491A" w:rsidRPr="00EE60A9" w:rsidRDefault="0055491A" w:rsidP="00210BF6">
            <w:pPr>
              <w:pStyle w:val="af4"/>
              <w:autoSpaceDE w:val="0"/>
              <w:autoSpaceDN w:val="0"/>
              <w:adjustRightInd w:val="0"/>
              <w:ind w:left="0" w:firstLine="0"/>
              <w:jc w:val="center"/>
              <w:rPr>
                <w:sz w:val="22"/>
                <w:szCs w:val="22"/>
              </w:rPr>
            </w:pPr>
            <w:r w:rsidRPr="00EE60A9">
              <w:rPr>
                <w:sz w:val="22"/>
                <w:szCs w:val="22"/>
              </w:rPr>
              <w:t>50</w:t>
            </w:r>
          </w:p>
        </w:tc>
        <w:tc>
          <w:tcPr>
            <w:tcW w:w="1288" w:type="dxa"/>
          </w:tcPr>
          <w:p w:rsidR="0055491A" w:rsidRPr="00EE60A9" w:rsidRDefault="0055491A" w:rsidP="00210BF6">
            <w:pPr>
              <w:pStyle w:val="af4"/>
              <w:autoSpaceDE w:val="0"/>
              <w:autoSpaceDN w:val="0"/>
              <w:adjustRightInd w:val="0"/>
              <w:ind w:left="0" w:firstLine="0"/>
              <w:jc w:val="center"/>
              <w:rPr>
                <w:sz w:val="22"/>
                <w:szCs w:val="22"/>
              </w:rPr>
            </w:pPr>
            <w:r w:rsidRPr="00EE60A9">
              <w:rPr>
                <w:sz w:val="22"/>
                <w:szCs w:val="22"/>
              </w:rPr>
              <w:t>8</w:t>
            </w:r>
          </w:p>
        </w:tc>
        <w:tc>
          <w:tcPr>
            <w:tcW w:w="1288" w:type="dxa"/>
          </w:tcPr>
          <w:p w:rsidR="0055491A" w:rsidRPr="00EE60A9" w:rsidRDefault="0055491A" w:rsidP="00210BF6">
            <w:pPr>
              <w:pStyle w:val="af4"/>
              <w:autoSpaceDE w:val="0"/>
              <w:autoSpaceDN w:val="0"/>
              <w:adjustRightInd w:val="0"/>
              <w:ind w:left="0" w:firstLine="0"/>
              <w:jc w:val="center"/>
              <w:rPr>
                <w:sz w:val="22"/>
                <w:szCs w:val="22"/>
              </w:rPr>
            </w:pPr>
            <w:r w:rsidRPr="00EE60A9">
              <w:rPr>
                <w:sz w:val="22"/>
                <w:szCs w:val="22"/>
              </w:rPr>
              <w:t>400,0</w:t>
            </w:r>
          </w:p>
        </w:tc>
        <w:tc>
          <w:tcPr>
            <w:tcW w:w="1288" w:type="dxa"/>
          </w:tcPr>
          <w:p w:rsidR="0055491A" w:rsidRPr="00EE60A9" w:rsidRDefault="0055491A" w:rsidP="00210BF6">
            <w:pPr>
              <w:pStyle w:val="af4"/>
              <w:autoSpaceDE w:val="0"/>
              <w:autoSpaceDN w:val="0"/>
              <w:adjustRightInd w:val="0"/>
              <w:ind w:left="0" w:firstLine="0"/>
              <w:jc w:val="center"/>
              <w:rPr>
                <w:sz w:val="22"/>
                <w:szCs w:val="22"/>
              </w:rPr>
            </w:pPr>
            <w:r w:rsidRPr="00EE60A9">
              <w:rPr>
                <w:sz w:val="22"/>
                <w:szCs w:val="22"/>
              </w:rPr>
              <w:t>11</w:t>
            </w:r>
          </w:p>
        </w:tc>
        <w:tc>
          <w:tcPr>
            <w:tcW w:w="1288" w:type="dxa"/>
          </w:tcPr>
          <w:p w:rsidR="0055491A" w:rsidRPr="00EE60A9" w:rsidRDefault="0055491A" w:rsidP="00210BF6">
            <w:pPr>
              <w:pStyle w:val="af4"/>
              <w:autoSpaceDE w:val="0"/>
              <w:autoSpaceDN w:val="0"/>
              <w:adjustRightInd w:val="0"/>
              <w:ind w:left="0" w:firstLine="0"/>
              <w:jc w:val="center"/>
              <w:rPr>
                <w:sz w:val="22"/>
                <w:szCs w:val="22"/>
              </w:rPr>
            </w:pPr>
            <w:r w:rsidRPr="00EE60A9">
              <w:rPr>
                <w:sz w:val="22"/>
                <w:szCs w:val="22"/>
              </w:rPr>
              <w:t>550,0</w:t>
            </w:r>
          </w:p>
        </w:tc>
        <w:tc>
          <w:tcPr>
            <w:tcW w:w="1288" w:type="dxa"/>
          </w:tcPr>
          <w:p w:rsidR="0055491A" w:rsidRPr="00EE60A9" w:rsidRDefault="0055491A" w:rsidP="00210BF6">
            <w:pPr>
              <w:pStyle w:val="af4"/>
              <w:autoSpaceDE w:val="0"/>
              <w:autoSpaceDN w:val="0"/>
              <w:adjustRightInd w:val="0"/>
              <w:ind w:left="0" w:firstLine="0"/>
              <w:jc w:val="center"/>
              <w:rPr>
                <w:sz w:val="22"/>
                <w:szCs w:val="22"/>
              </w:rPr>
            </w:pPr>
            <w:r w:rsidRPr="00EE60A9">
              <w:rPr>
                <w:sz w:val="22"/>
                <w:szCs w:val="22"/>
              </w:rPr>
              <w:t>8</w:t>
            </w:r>
          </w:p>
        </w:tc>
        <w:tc>
          <w:tcPr>
            <w:tcW w:w="1288" w:type="dxa"/>
          </w:tcPr>
          <w:p w:rsidR="0055491A" w:rsidRPr="00EE60A9" w:rsidRDefault="0055491A" w:rsidP="00210BF6">
            <w:pPr>
              <w:pStyle w:val="af4"/>
              <w:autoSpaceDE w:val="0"/>
              <w:autoSpaceDN w:val="0"/>
              <w:adjustRightInd w:val="0"/>
              <w:ind w:left="0" w:firstLine="0"/>
              <w:jc w:val="center"/>
              <w:rPr>
                <w:sz w:val="22"/>
                <w:szCs w:val="22"/>
              </w:rPr>
            </w:pPr>
            <w:r w:rsidRPr="00EE60A9">
              <w:rPr>
                <w:sz w:val="22"/>
                <w:szCs w:val="22"/>
              </w:rPr>
              <w:t>400,0</w:t>
            </w:r>
          </w:p>
        </w:tc>
      </w:tr>
      <w:tr w:rsidR="0055491A" w:rsidTr="00210BF6">
        <w:trPr>
          <w:trHeight w:val="322"/>
        </w:trPr>
        <w:tc>
          <w:tcPr>
            <w:tcW w:w="1288" w:type="dxa"/>
          </w:tcPr>
          <w:p w:rsidR="0055491A" w:rsidRPr="00EE60A9" w:rsidRDefault="0055491A" w:rsidP="00210BF6">
            <w:pPr>
              <w:pStyle w:val="af4"/>
              <w:autoSpaceDE w:val="0"/>
              <w:autoSpaceDN w:val="0"/>
              <w:adjustRightInd w:val="0"/>
              <w:ind w:left="0" w:firstLine="0"/>
              <w:jc w:val="center"/>
              <w:rPr>
                <w:b/>
                <w:sz w:val="22"/>
                <w:szCs w:val="22"/>
              </w:rPr>
            </w:pPr>
            <w:r w:rsidRPr="00EE60A9">
              <w:rPr>
                <w:b/>
                <w:sz w:val="22"/>
                <w:szCs w:val="22"/>
              </w:rPr>
              <w:t>ИТОГО</w:t>
            </w:r>
          </w:p>
        </w:tc>
        <w:tc>
          <w:tcPr>
            <w:tcW w:w="1288" w:type="dxa"/>
          </w:tcPr>
          <w:p w:rsidR="0055491A" w:rsidRPr="00EE60A9" w:rsidRDefault="0055491A" w:rsidP="00210BF6">
            <w:pPr>
              <w:pStyle w:val="af4"/>
              <w:autoSpaceDE w:val="0"/>
              <w:autoSpaceDN w:val="0"/>
              <w:adjustRightInd w:val="0"/>
              <w:ind w:left="0" w:firstLine="0"/>
              <w:jc w:val="center"/>
              <w:rPr>
                <w:b/>
                <w:sz w:val="22"/>
                <w:szCs w:val="22"/>
              </w:rPr>
            </w:pPr>
          </w:p>
        </w:tc>
        <w:tc>
          <w:tcPr>
            <w:tcW w:w="1288" w:type="dxa"/>
          </w:tcPr>
          <w:p w:rsidR="0055491A" w:rsidRPr="00EE60A9" w:rsidRDefault="0055491A" w:rsidP="00210BF6">
            <w:pPr>
              <w:pStyle w:val="af4"/>
              <w:autoSpaceDE w:val="0"/>
              <w:autoSpaceDN w:val="0"/>
              <w:adjustRightInd w:val="0"/>
              <w:ind w:left="0" w:firstLine="0"/>
              <w:jc w:val="center"/>
              <w:rPr>
                <w:b/>
                <w:sz w:val="22"/>
                <w:szCs w:val="22"/>
              </w:rPr>
            </w:pPr>
            <w:r w:rsidRPr="00EE60A9">
              <w:rPr>
                <w:b/>
                <w:sz w:val="22"/>
                <w:szCs w:val="22"/>
              </w:rPr>
              <w:t>440,0</w:t>
            </w:r>
          </w:p>
        </w:tc>
        <w:tc>
          <w:tcPr>
            <w:tcW w:w="1288" w:type="dxa"/>
          </w:tcPr>
          <w:p w:rsidR="0055491A" w:rsidRPr="00EE60A9" w:rsidRDefault="0055491A" w:rsidP="00210BF6">
            <w:pPr>
              <w:pStyle w:val="af4"/>
              <w:autoSpaceDE w:val="0"/>
              <w:autoSpaceDN w:val="0"/>
              <w:adjustRightInd w:val="0"/>
              <w:ind w:left="0" w:firstLine="0"/>
              <w:jc w:val="center"/>
              <w:rPr>
                <w:b/>
                <w:sz w:val="22"/>
                <w:szCs w:val="22"/>
              </w:rPr>
            </w:pPr>
          </w:p>
        </w:tc>
        <w:tc>
          <w:tcPr>
            <w:tcW w:w="1288" w:type="dxa"/>
          </w:tcPr>
          <w:p w:rsidR="0055491A" w:rsidRPr="00EE60A9" w:rsidRDefault="0055491A" w:rsidP="00210BF6">
            <w:pPr>
              <w:pStyle w:val="af4"/>
              <w:autoSpaceDE w:val="0"/>
              <w:autoSpaceDN w:val="0"/>
              <w:adjustRightInd w:val="0"/>
              <w:ind w:left="0" w:firstLine="0"/>
              <w:jc w:val="center"/>
              <w:rPr>
                <w:b/>
                <w:sz w:val="22"/>
                <w:szCs w:val="22"/>
              </w:rPr>
            </w:pPr>
            <w:r w:rsidRPr="00EE60A9">
              <w:rPr>
                <w:b/>
                <w:sz w:val="22"/>
                <w:szCs w:val="22"/>
              </w:rPr>
              <w:t>600,0</w:t>
            </w:r>
          </w:p>
        </w:tc>
        <w:tc>
          <w:tcPr>
            <w:tcW w:w="1288" w:type="dxa"/>
          </w:tcPr>
          <w:p w:rsidR="0055491A" w:rsidRPr="00EE60A9" w:rsidRDefault="0055491A" w:rsidP="00210BF6">
            <w:pPr>
              <w:pStyle w:val="af4"/>
              <w:autoSpaceDE w:val="0"/>
              <w:autoSpaceDN w:val="0"/>
              <w:adjustRightInd w:val="0"/>
              <w:ind w:left="0" w:firstLine="0"/>
              <w:jc w:val="center"/>
              <w:rPr>
                <w:b/>
                <w:sz w:val="22"/>
                <w:szCs w:val="22"/>
              </w:rPr>
            </w:pPr>
          </w:p>
        </w:tc>
        <w:tc>
          <w:tcPr>
            <w:tcW w:w="1288" w:type="dxa"/>
          </w:tcPr>
          <w:p w:rsidR="0055491A" w:rsidRPr="00EE60A9" w:rsidRDefault="0055491A" w:rsidP="00210BF6">
            <w:pPr>
              <w:pStyle w:val="af4"/>
              <w:autoSpaceDE w:val="0"/>
              <w:autoSpaceDN w:val="0"/>
              <w:adjustRightInd w:val="0"/>
              <w:ind w:left="0" w:firstLine="0"/>
              <w:jc w:val="center"/>
              <w:rPr>
                <w:b/>
                <w:sz w:val="22"/>
                <w:szCs w:val="22"/>
              </w:rPr>
            </w:pPr>
            <w:r w:rsidRPr="00EE60A9">
              <w:rPr>
                <w:b/>
                <w:sz w:val="22"/>
                <w:szCs w:val="22"/>
              </w:rPr>
              <w:t>440,0</w:t>
            </w:r>
          </w:p>
        </w:tc>
      </w:tr>
    </w:tbl>
    <w:p w:rsidR="0055491A" w:rsidRDefault="0055491A" w:rsidP="0055491A">
      <w:pPr>
        <w:pStyle w:val="a7"/>
        <w:spacing w:after="0"/>
        <w:ind w:left="0" w:firstLine="709"/>
        <w:jc w:val="both"/>
        <w:rPr>
          <w:sz w:val="28"/>
          <w:szCs w:val="28"/>
        </w:rPr>
      </w:pPr>
    </w:p>
    <w:p w:rsidR="0055491A" w:rsidRDefault="0055491A" w:rsidP="0055491A">
      <w:pPr>
        <w:pStyle w:val="a7"/>
        <w:spacing w:after="0"/>
        <w:ind w:left="0" w:firstLine="709"/>
        <w:jc w:val="both"/>
        <w:rPr>
          <w:sz w:val="28"/>
          <w:szCs w:val="28"/>
        </w:rPr>
      </w:pPr>
      <w:r w:rsidRPr="00F451BB">
        <w:rPr>
          <w:sz w:val="28"/>
          <w:szCs w:val="28"/>
        </w:rPr>
        <w:t>1</w:t>
      </w:r>
      <w:r>
        <w:rPr>
          <w:sz w:val="28"/>
          <w:szCs w:val="28"/>
        </w:rPr>
        <w:t>5</w:t>
      </w:r>
      <w:r w:rsidRPr="00F451BB">
        <w:rPr>
          <w:sz w:val="28"/>
          <w:szCs w:val="28"/>
        </w:rPr>
        <w:t>. Административные штрафы,</w:t>
      </w:r>
      <w:r>
        <w:rPr>
          <w:sz w:val="28"/>
          <w:szCs w:val="28"/>
        </w:rPr>
        <w:t xml:space="preserve"> </w:t>
      </w:r>
      <w:r w:rsidRPr="00F451BB">
        <w:rPr>
          <w:sz w:val="28"/>
          <w:szCs w:val="28"/>
        </w:rPr>
        <w:t>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 налагаемые должностными лицами органов исполнительной власти субъектов Российской Федерации, учреждениями субъектов Российской Федерации</w:t>
      </w:r>
      <w:r>
        <w:rPr>
          <w:sz w:val="28"/>
          <w:szCs w:val="28"/>
        </w:rPr>
        <w:t xml:space="preserve">                                         (</w:t>
      </w:r>
      <w:r w:rsidRPr="005B09B1">
        <w:rPr>
          <w:b/>
          <w:sz w:val="28"/>
          <w:szCs w:val="28"/>
        </w:rPr>
        <w:t>КБК 000 1 16 01332 01 0000 140</w:t>
      </w:r>
      <w:r>
        <w:rPr>
          <w:sz w:val="28"/>
          <w:szCs w:val="28"/>
        </w:rPr>
        <w:t>).</w:t>
      </w:r>
    </w:p>
    <w:p w:rsidR="0055491A" w:rsidRPr="005B09B1" w:rsidRDefault="0055491A" w:rsidP="0055491A">
      <w:pPr>
        <w:pStyle w:val="a7"/>
        <w:spacing w:after="0"/>
        <w:ind w:left="0" w:firstLine="709"/>
        <w:jc w:val="both"/>
        <w:rPr>
          <w:b/>
          <w:sz w:val="28"/>
          <w:szCs w:val="28"/>
        </w:rPr>
      </w:pPr>
      <w:r w:rsidRPr="005B09B1">
        <w:rPr>
          <w:b/>
          <w:sz w:val="28"/>
          <w:szCs w:val="28"/>
        </w:rPr>
        <w:t>Прогноз на 2022 год - 3 443,0 тыс. руб., на 2023 год – 3 228,0 тыс. руб., на 2024 год – 3 213,0 тыс. руб.</w:t>
      </w:r>
    </w:p>
    <w:p w:rsidR="0055491A" w:rsidRDefault="0055491A" w:rsidP="0055491A">
      <w:pPr>
        <w:pStyle w:val="a7"/>
        <w:spacing w:after="0"/>
        <w:ind w:left="0" w:firstLine="709"/>
        <w:jc w:val="both"/>
        <w:rPr>
          <w:b/>
          <w:sz w:val="28"/>
          <w:szCs w:val="28"/>
        </w:rPr>
      </w:pPr>
      <w:r w:rsidRPr="005B09B1">
        <w:rPr>
          <w:b/>
          <w:sz w:val="28"/>
          <w:szCs w:val="28"/>
        </w:rPr>
        <w:t xml:space="preserve"> КБК 332 1 16 01332 01 0000 140</w:t>
      </w:r>
      <w:r>
        <w:rPr>
          <w:sz w:val="28"/>
          <w:szCs w:val="28"/>
        </w:rPr>
        <w:t xml:space="preserve"> </w:t>
      </w:r>
      <w:r w:rsidRPr="00F451BB">
        <w:rPr>
          <w:sz w:val="28"/>
          <w:szCs w:val="28"/>
        </w:rPr>
        <w:t>Административные штрафы,</w:t>
      </w:r>
      <w:r>
        <w:rPr>
          <w:sz w:val="28"/>
          <w:szCs w:val="28"/>
        </w:rPr>
        <w:t xml:space="preserve"> </w:t>
      </w:r>
      <w:r w:rsidRPr="00F451BB">
        <w:rPr>
          <w:sz w:val="28"/>
          <w:szCs w:val="28"/>
        </w:rPr>
        <w:t>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 налагаемые должностными лицами органов исполнительной власти субъектов Российской Федерации, учреждениями субъектов Российской Федерации</w:t>
      </w:r>
      <w:r>
        <w:rPr>
          <w:sz w:val="28"/>
          <w:szCs w:val="28"/>
        </w:rPr>
        <w:t>.</w:t>
      </w:r>
    </w:p>
    <w:p w:rsidR="0055491A" w:rsidRPr="005B09B1" w:rsidRDefault="0055491A" w:rsidP="0055491A">
      <w:pPr>
        <w:pStyle w:val="a7"/>
        <w:spacing w:after="0"/>
        <w:ind w:left="0" w:firstLine="709"/>
        <w:jc w:val="both"/>
        <w:rPr>
          <w:b/>
          <w:sz w:val="28"/>
          <w:szCs w:val="28"/>
        </w:rPr>
      </w:pPr>
      <w:r w:rsidRPr="005B09B1">
        <w:rPr>
          <w:b/>
          <w:sz w:val="28"/>
          <w:szCs w:val="28"/>
        </w:rPr>
        <w:t>Главный администратор доходов - Министерство Тверской области по обеспечению контрольных функций.</w:t>
      </w:r>
    </w:p>
    <w:p w:rsidR="0055491A" w:rsidRPr="000D4676" w:rsidRDefault="0055491A" w:rsidP="0055491A">
      <w:pPr>
        <w:pStyle w:val="a7"/>
        <w:spacing w:after="0"/>
        <w:ind w:left="0" w:firstLine="709"/>
        <w:jc w:val="both"/>
        <w:rPr>
          <w:sz w:val="28"/>
          <w:szCs w:val="28"/>
        </w:rPr>
      </w:pPr>
      <w:r w:rsidRPr="000D4676">
        <w:rPr>
          <w:sz w:val="28"/>
          <w:szCs w:val="28"/>
        </w:rPr>
        <w:t>Расчет произведен в соответствии с методикой, утвержденной приказом Министерства Тверской области по обес</w:t>
      </w:r>
      <w:r>
        <w:rPr>
          <w:sz w:val="28"/>
          <w:szCs w:val="28"/>
        </w:rPr>
        <w:t>печению контрольных функций от 18</w:t>
      </w:r>
      <w:r w:rsidRPr="000D4676">
        <w:rPr>
          <w:sz w:val="28"/>
          <w:szCs w:val="28"/>
        </w:rPr>
        <w:t>.0</w:t>
      </w:r>
      <w:r>
        <w:rPr>
          <w:sz w:val="28"/>
          <w:szCs w:val="28"/>
        </w:rPr>
        <w:t>6</w:t>
      </w:r>
      <w:r w:rsidRPr="000D4676">
        <w:rPr>
          <w:sz w:val="28"/>
          <w:szCs w:val="28"/>
        </w:rPr>
        <w:t>.20</w:t>
      </w:r>
      <w:r>
        <w:rPr>
          <w:sz w:val="28"/>
          <w:szCs w:val="28"/>
        </w:rPr>
        <w:t>20</w:t>
      </w:r>
      <w:r w:rsidRPr="000D4676">
        <w:rPr>
          <w:sz w:val="28"/>
          <w:szCs w:val="28"/>
        </w:rPr>
        <w:t xml:space="preserve"> № </w:t>
      </w:r>
      <w:r>
        <w:rPr>
          <w:sz w:val="28"/>
          <w:szCs w:val="28"/>
        </w:rPr>
        <w:t>714</w:t>
      </w:r>
      <w:r w:rsidRPr="000D4676">
        <w:rPr>
          <w:sz w:val="28"/>
          <w:szCs w:val="28"/>
        </w:rPr>
        <w:t xml:space="preserve"> «Об утверждении методики прогнозирования поступлений доходов в областной бюджет Тверской области и местные бюджеты муниципальных образований Тверской области»</w:t>
      </w:r>
      <w:r>
        <w:rPr>
          <w:sz w:val="28"/>
          <w:szCs w:val="28"/>
        </w:rPr>
        <w:t xml:space="preserve"> (с учетом изменений)</w:t>
      </w:r>
      <w:r w:rsidRPr="000D4676">
        <w:rPr>
          <w:sz w:val="28"/>
          <w:szCs w:val="28"/>
        </w:rPr>
        <w:t>.</w:t>
      </w:r>
    </w:p>
    <w:p w:rsidR="0055491A" w:rsidRDefault="0055491A" w:rsidP="0055491A">
      <w:pPr>
        <w:jc w:val="both"/>
        <w:rPr>
          <w:sz w:val="28"/>
          <w:szCs w:val="28"/>
        </w:rPr>
      </w:pPr>
      <w:r>
        <w:rPr>
          <w:sz w:val="28"/>
          <w:szCs w:val="28"/>
        </w:rPr>
        <w:t xml:space="preserve">           </w:t>
      </w:r>
      <w:r w:rsidRPr="00EF664E">
        <w:rPr>
          <w:sz w:val="28"/>
          <w:szCs w:val="28"/>
        </w:rPr>
        <w:t xml:space="preserve">В силу статьи 15.13 КоАП РФ - искажение информации и (или) нарушение порядка и </w:t>
      </w:r>
      <w:hyperlink r:id="rId125" w:history="1">
        <w:r w:rsidRPr="00EF664E">
          <w:rPr>
            <w:sz w:val="28"/>
            <w:szCs w:val="28"/>
          </w:rPr>
          <w:t>сроков</w:t>
        </w:r>
      </w:hyperlink>
      <w:r w:rsidRPr="00EF664E">
        <w:rPr>
          <w:sz w:val="28"/>
          <w:szCs w:val="28"/>
        </w:rPr>
        <w:t xml:space="preserve"> при декларировании производства, оборота и (или) использования этилового спирта, алкогольной и спиртосодержащей продукции, использова</w:t>
      </w:r>
      <w:r>
        <w:rPr>
          <w:sz w:val="28"/>
          <w:szCs w:val="28"/>
        </w:rPr>
        <w:t xml:space="preserve">ния производственных мощностей - </w:t>
      </w:r>
      <w:r w:rsidRPr="005E268D">
        <w:rPr>
          <w:sz w:val="28"/>
          <w:szCs w:val="28"/>
        </w:rPr>
        <w:t>влекут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55491A" w:rsidRDefault="0055491A" w:rsidP="0055491A">
      <w:pPr>
        <w:jc w:val="both"/>
        <w:rPr>
          <w:sz w:val="28"/>
          <w:szCs w:val="28"/>
        </w:rPr>
      </w:pPr>
      <w:r>
        <w:rPr>
          <w:sz w:val="28"/>
          <w:szCs w:val="28"/>
        </w:rPr>
        <w:t xml:space="preserve">           </w:t>
      </w:r>
      <w:r w:rsidRPr="005E268D">
        <w:rPr>
          <w:sz w:val="28"/>
          <w:szCs w:val="28"/>
        </w:rPr>
        <w:t xml:space="preserve">В соответствии с Федеральным законом от 21.12.2013 № 365-ФЗ «О внесении изменений в отдельные законодательные акты Российской Федерации в связи с усилением уголовной и административной ответственности за нарушения в сфере производства и оборота этилового </w:t>
      </w:r>
      <w:r w:rsidRPr="005E268D">
        <w:rPr>
          <w:sz w:val="28"/>
          <w:szCs w:val="28"/>
        </w:rPr>
        <w:lastRenderedPageBreak/>
        <w:t>спирта, алкогольной и спиртосодержащей продукции» с 03.01.2014 полномочия по рассмотрению административных правонарушений, предусмотренных ст</w:t>
      </w:r>
      <w:r>
        <w:rPr>
          <w:sz w:val="28"/>
          <w:szCs w:val="28"/>
        </w:rPr>
        <w:t>. 15.13</w:t>
      </w:r>
      <w:r w:rsidRPr="005E268D">
        <w:rPr>
          <w:sz w:val="28"/>
          <w:szCs w:val="28"/>
        </w:rPr>
        <w:t>,</w:t>
      </w:r>
      <w:r>
        <w:rPr>
          <w:sz w:val="28"/>
          <w:szCs w:val="28"/>
        </w:rPr>
        <w:t xml:space="preserve"> 14.16, 14.19 КоАП РФ</w:t>
      </w:r>
      <w:r w:rsidRPr="005E268D">
        <w:rPr>
          <w:sz w:val="28"/>
          <w:szCs w:val="28"/>
        </w:rPr>
        <w:t xml:space="preserve"> возложены на органы, осуществляющие государственный контроль (надзор) в области производства и оборота этилового спирта, алкогольной и спиртосодержащей продукции.</w:t>
      </w:r>
    </w:p>
    <w:p w:rsidR="0055491A" w:rsidRDefault="0055491A" w:rsidP="0055491A">
      <w:pPr>
        <w:jc w:val="center"/>
        <w:rPr>
          <w:sz w:val="28"/>
          <w:szCs w:val="28"/>
        </w:rPr>
      </w:pPr>
      <w:r>
        <w:rPr>
          <w:sz w:val="28"/>
          <w:szCs w:val="28"/>
        </w:rPr>
        <w:t>Расчет прогноза</w:t>
      </w:r>
    </w:p>
    <w:tbl>
      <w:tblPr>
        <w:tblpPr w:leftFromText="180" w:rightFromText="180" w:vertAnchor="text" w:tblpY="1"/>
        <w:tblOverlap w:val="never"/>
        <w:tblW w:w="9356" w:type="dxa"/>
        <w:tblLayout w:type="fixed"/>
        <w:tblLook w:val="04A0" w:firstRow="1" w:lastRow="0" w:firstColumn="1" w:lastColumn="0" w:noHBand="0" w:noVBand="1"/>
      </w:tblPr>
      <w:tblGrid>
        <w:gridCol w:w="709"/>
        <w:gridCol w:w="987"/>
        <w:gridCol w:w="431"/>
        <w:gridCol w:w="567"/>
        <w:gridCol w:w="425"/>
        <w:gridCol w:w="761"/>
        <w:gridCol w:w="798"/>
        <w:gridCol w:w="724"/>
        <w:gridCol w:w="835"/>
        <w:gridCol w:w="688"/>
        <w:gridCol w:w="872"/>
        <w:gridCol w:w="650"/>
        <w:gridCol w:w="909"/>
      </w:tblGrid>
      <w:tr w:rsidR="0055491A" w:rsidRPr="009370D3" w:rsidTr="00210BF6">
        <w:trPr>
          <w:trHeight w:val="892"/>
        </w:trPr>
        <w:tc>
          <w:tcPr>
            <w:tcW w:w="709" w:type="dxa"/>
            <w:vMerge w:val="restart"/>
            <w:tcBorders>
              <w:top w:val="single" w:sz="8" w:space="0" w:color="auto"/>
              <w:left w:val="nil"/>
              <w:bottom w:val="nil"/>
              <w:right w:val="single" w:sz="8" w:space="0" w:color="auto"/>
            </w:tcBorders>
            <w:shd w:val="clear" w:color="auto" w:fill="auto"/>
            <w:vAlign w:val="center"/>
            <w:hideMark/>
          </w:tcPr>
          <w:p w:rsidR="0055491A" w:rsidRPr="006F2477" w:rsidRDefault="0055491A" w:rsidP="00210BF6">
            <w:pPr>
              <w:jc w:val="center"/>
              <w:rPr>
                <w:b/>
                <w:bCs/>
                <w:sz w:val="18"/>
                <w:szCs w:val="18"/>
              </w:rPr>
            </w:pPr>
            <w:r>
              <w:rPr>
                <w:b/>
                <w:bCs/>
                <w:sz w:val="18"/>
                <w:szCs w:val="18"/>
              </w:rPr>
              <w:t>КоАП РФ</w:t>
            </w:r>
          </w:p>
        </w:tc>
        <w:tc>
          <w:tcPr>
            <w:tcW w:w="987" w:type="dxa"/>
            <w:vMerge w:val="restart"/>
            <w:tcBorders>
              <w:top w:val="single" w:sz="8" w:space="0" w:color="auto"/>
              <w:left w:val="nil"/>
              <w:bottom w:val="nil"/>
              <w:right w:val="single" w:sz="8" w:space="0" w:color="auto"/>
            </w:tcBorders>
            <w:shd w:val="clear" w:color="auto" w:fill="auto"/>
            <w:vAlign w:val="center"/>
            <w:hideMark/>
          </w:tcPr>
          <w:p w:rsidR="0055491A" w:rsidRPr="006F2477" w:rsidRDefault="0055491A" w:rsidP="00210BF6">
            <w:pPr>
              <w:jc w:val="center"/>
              <w:rPr>
                <w:b/>
                <w:bCs/>
                <w:sz w:val="18"/>
                <w:szCs w:val="18"/>
              </w:rPr>
            </w:pPr>
            <w:r w:rsidRPr="006F2477">
              <w:rPr>
                <w:b/>
                <w:bCs/>
                <w:sz w:val="18"/>
                <w:szCs w:val="18"/>
              </w:rPr>
              <w:t>Размер штрафа, тыс.руб</w:t>
            </w:r>
          </w:p>
        </w:tc>
        <w:tc>
          <w:tcPr>
            <w:tcW w:w="1423" w:type="dxa"/>
            <w:gridSpan w:val="3"/>
            <w:tcBorders>
              <w:top w:val="single" w:sz="8" w:space="0" w:color="auto"/>
              <w:left w:val="nil"/>
              <w:bottom w:val="single" w:sz="8" w:space="0" w:color="auto"/>
              <w:right w:val="single" w:sz="8" w:space="0" w:color="000000"/>
            </w:tcBorders>
            <w:shd w:val="clear" w:color="auto" w:fill="auto"/>
            <w:vAlign w:val="center"/>
            <w:hideMark/>
          </w:tcPr>
          <w:p w:rsidR="0055491A" w:rsidRPr="006F2477" w:rsidRDefault="0055491A" w:rsidP="00210BF6">
            <w:pPr>
              <w:jc w:val="center"/>
              <w:rPr>
                <w:b/>
                <w:bCs/>
                <w:sz w:val="18"/>
                <w:szCs w:val="18"/>
              </w:rPr>
            </w:pPr>
            <w:r w:rsidRPr="006F2477">
              <w:rPr>
                <w:b/>
                <w:bCs/>
                <w:sz w:val="18"/>
                <w:szCs w:val="18"/>
              </w:rPr>
              <w:t>Количество вынесенных постановлений, шт.</w:t>
            </w:r>
          </w:p>
        </w:tc>
        <w:tc>
          <w:tcPr>
            <w:tcW w:w="1559" w:type="dxa"/>
            <w:gridSpan w:val="2"/>
            <w:tcBorders>
              <w:top w:val="single" w:sz="8" w:space="0" w:color="auto"/>
              <w:left w:val="nil"/>
              <w:bottom w:val="single" w:sz="8" w:space="0" w:color="auto"/>
              <w:right w:val="nil"/>
            </w:tcBorders>
            <w:shd w:val="clear" w:color="auto" w:fill="auto"/>
            <w:vAlign w:val="center"/>
            <w:hideMark/>
          </w:tcPr>
          <w:p w:rsidR="0055491A" w:rsidRPr="006F2477" w:rsidRDefault="0055491A" w:rsidP="00210BF6">
            <w:pPr>
              <w:jc w:val="center"/>
              <w:rPr>
                <w:b/>
                <w:bCs/>
                <w:sz w:val="18"/>
                <w:szCs w:val="18"/>
              </w:rPr>
            </w:pPr>
            <w:r w:rsidRPr="006F2477">
              <w:rPr>
                <w:b/>
                <w:bCs/>
                <w:sz w:val="18"/>
                <w:szCs w:val="18"/>
              </w:rPr>
              <w:t>20</w:t>
            </w:r>
            <w:r>
              <w:rPr>
                <w:b/>
                <w:bCs/>
                <w:sz w:val="18"/>
                <w:szCs w:val="18"/>
              </w:rPr>
              <w:t>21 год</w:t>
            </w:r>
          </w:p>
        </w:tc>
        <w:tc>
          <w:tcPr>
            <w:tcW w:w="1559" w:type="dxa"/>
            <w:gridSpan w:val="2"/>
            <w:tcBorders>
              <w:top w:val="single" w:sz="8" w:space="0" w:color="auto"/>
              <w:left w:val="single" w:sz="8" w:space="0" w:color="auto"/>
              <w:bottom w:val="single" w:sz="8" w:space="0" w:color="auto"/>
              <w:right w:val="nil"/>
            </w:tcBorders>
            <w:shd w:val="clear" w:color="auto" w:fill="auto"/>
            <w:vAlign w:val="center"/>
            <w:hideMark/>
          </w:tcPr>
          <w:p w:rsidR="0055491A" w:rsidRPr="006F2477" w:rsidRDefault="0055491A" w:rsidP="00210BF6">
            <w:pPr>
              <w:jc w:val="center"/>
              <w:rPr>
                <w:b/>
                <w:bCs/>
                <w:sz w:val="18"/>
                <w:szCs w:val="18"/>
              </w:rPr>
            </w:pPr>
            <w:r>
              <w:rPr>
                <w:b/>
                <w:bCs/>
                <w:sz w:val="18"/>
                <w:szCs w:val="18"/>
              </w:rPr>
              <w:t>2022 год</w:t>
            </w:r>
          </w:p>
        </w:tc>
        <w:tc>
          <w:tcPr>
            <w:tcW w:w="1560" w:type="dxa"/>
            <w:gridSpan w:val="2"/>
            <w:tcBorders>
              <w:top w:val="single" w:sz="8" w:space="0" w:color="auto"/>
              <w:left w:val="single" w:sz="8" w:space="0" w:color="auto"/>
              <w:bottom w:val="single" w:sz="8" w:space="0" w:color="auto"/>
              <w:right w:val="nil"/>
            </w:tcBorders>
            <w:shd w:val="clear" w:color="auto" w:fill="auto"/>
            <w:vAlign w:val="center"/>
            <w:hideMark/>
          </w:tcPr>
          <w:p w:rsidR="0055491A" w:rsidRPr="006F2477" w:rsidRDefault="0055491A" w:rsidP="00210BF6">
            <w:pPr>
              <w:jc w:val="center"/>
              <w:rPr>
                <w:b/>
                <w:bCs/>
                <w:sz w:val="18"/>
                <w:szCs w:val="18"/>
              </w:rPr>
            </w:pPr>
            <w:r>
              <w:rPr>
                <w:b/>
                <w:bCs/>
                <w:sz w:val="18"/>
                <w:szCs w:val="18"/>
              </w:rPr>
              <w:t>2023 год</w:t>
            </w:r>
          </w:p>
        </w:tc>
        <w:tc>
          <w:tcPr>
            <w:tcW w:w="1559"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55491A" w:rsidRPr="006F2477" w:rsidRDefault="0055491A" w:rsidP="00210BF6">
            <w:pPr>
              <w:jc w:val="center"/>
              <w:rPr>
                <w:b/>
                <w:bCs/>
                <w:sz w:val="18"/>
                <w:szCs w:val="18"/>
              </w:rPr>
            </w:pPr>
            <w:r>
              <w:rPr>
                <w:b/>
                <w:bCs/>
                <w:sz w:val="18"/>
                <w:szCs w:val="18"/>
              </w:rPr>
              <w:t>2024 год</w:t>
            </w:r>
          </w:p>
        </w:tc>
      </w:tr>
      <w:tr w:rsidR="0055491A" w:rsidRPr="009370D3" w:rsidTr="00210BF6">
        <w:trPr>
          <w:cantSplit/>
          <w:trHeight w:val="1748"/>
        </w:trPr>
        <w:tc>
          <w:tcPr>
            <w:tcW w:w="709" w:type="dxa"/>
            <w:vMerge/>
            <w:tcBorders>
              <w:top w:val="single" w:sz="8" w:space="0" w:color="auto"/>
              <w:left w:val="nil"/>
              <w:bottom w:val="nil"/>
              <w:right w:val="single" w:sz="8" w:space="0" w:color="auto"/>
            </w:tcBorders>
            <w:vAlign w:val="center"/>
            <w:hideMark/>
          </w:tcPr>
          <w:p w:rsidR="0055491A" w:rsidRPr="006F2477" w:rsidRDefault="0055491A" w:rsidP="00210BF6">
            <w:pPr>
              <w:rPr>
                <w:b/>
                <w:bCs/>
                <w:sz w:val="18"/>
                <w:szCs w:val="18"/>
              </w:rPr>
            </w:pPr>
          </w:p>
        </w:tc>
        <w:tc>
          <w:tcPr>
            <w:tcW w:w="987" w:type="dxa"/>
            <w:vMerge/>
            <w:tcBorders>
              <w:top w:val="single" w:sz="8" w:space="0" w:color="auto"/>
              <w:left w:val="nil"/>
              <w:bottom w:val="nil"/>
              <w:right w:val="single" w:sz="8" w:space="0" w:color="auto"/>
            </w:tcBorders>
            <w:vAlign w:val="center"/>
            <w:hideMark/>
          </w:tcPr>
          <w:p w:rsidR="0055491A" w:rsidRPr="006F2477" w:rsidRDefault="0055491A" w:rsidP="00210BF6">
            <w:pPr>
              <w:rPr>
                <w:b/>
                <w:bCs/>
                <w:sz w:val="18"/>
                <w:szCs w:val="18"/>
              </w:rPr>
            </w:pPr>
          </w:p>
        </w:tc>
        <w:tc>
          <w:tcPr>
            <w:tcW w:w="431" w:type="dxa"/>
            <w:tcBorders>
              <w:top w:val="nil"/>
              <w:left w:val="nil"/>
              <w:bottom w:val="nil"/>
              <w:right w:val="single" w:sz="8" w:space="0" w:color="auto"/>
            </w:tcBorders>
            <w:shd w:val="clear" w:color="auto" w:fill="auto"/>
            <w:textDirection w:val="tbRl"/>
            <w:vAlign w:val="center"/>
            <w:hideMark/>
          </w:tcPr>
          <w:p w:rsidR="0055491A" w:rsidRPr="006F2477" w:rsidRDefault="0055491A" w:rsidP="00210BF6">
            <w:pPr>
              <w:ind w:left="113" w:right="113"/>
              <w:jc w:val="center"/>
              <w:rPr>
                <w:b/>
                <w:bCs/>
                <w:sz w:val="18"/>
                <w:szCs w:val="18"/>
              </w:rPr>
            </w:pPr>
            <w:r w:rsidRPr="006F2477">
              <w:rPr>
                <w:b/>
                <w:bCs/>
                <w:sz w:val="18"/>
                <w:szCs w:val="18"/>
              </w:rPr>
              <w:t>201</w:t>
            </w:r>
            <w:r>
              <w:rPr>
                <w:b/>
                <w:bCs/>
                <w:sz w:val="18"/>
                <w:szCs w:val="18"/>
              </w:rPr>
              <w:t>8</w:t>
            </w:r>
          </w:p>
        </w:tc>
        <w:tc>
          <w:tcPr>
            <w:tcW w:w="567" w:type="dxa"/>
            <w:tcBorders>
              <w:top w:val="nil"/>
              <w:left w:val="nil"/>
              <w:bottom w:val="nil"/>
              <w:right w:val="single" w:sz="8" w:space="0" w:color="auto"/>
            </w:tcBorders>
            <w:shd w:val="clear" w:color="auto" w:fill="auto"/>
            <w:textDirection w:val="tbRl"/>
            <w:vAlign w:val="center"/>
            <w:hideMark/>
          </w:tcPr>
          <w:p w:rsidR="0055491A" w:rsidRPr="006F2477" w:rsidRDefault="0055491A" w:rsidP="00210BF6">
            <w:pPr>
              <w:ind w:left="113" w:right="113"/>
              <w:jc w:val="center"/>
              <w:rPr>
                <w:b/>
                <w:bCs/>
                <w:sz w:val="18"/>
                <w:szCs w:val="18"/>
              </w:rPr>
            </w:pPr>
            <w:r w:rsidRPr="006F2477">
              <w:rPr>
                <w:b/>
                <w:bCs/>
                <w:sz w:val="18"/>
                <w:szCs w:val="18"/>
              </w:rPr>
              <w:t>201</w:t>
            </w:r>
            <w:r>
              <w:rPr>
                <w:b/>
                <w:bCs/>
                <w:sz w:val="18"/>
                <w:szCs w:val="18"/>
              </w:rPr>
              <w:t>9</w:t>
            </w:r>
          </w:p>
        </w:tc>
        <w:tc>
          <w:tcPr>
            <w:tcW w:w="425" w:type="dxa"/>
            <w:tcBorders>
              <w:top w:val="nil"/>
              <w:left w:val="nil"/>
              <w:bottom w:val="nil"/>
              <w:right w:val="single" w:sz="8" w:space="0" w:color="auto"/>
            </w:tcBorders>
            <w:shd w:val="clear" w:color="auto" w:fill="auto"/>
            <w:textDirection w:val="tbRl"/>
            <w:vAlign w:val="center"/>
            <w:hideMark/>
          </w:tcPr>
          <w:p w:rsidR="0055491A" w:rsidRPr="006F2477" w:rsidRDefault="0055491A" w:rsidP="00210BF6">
            <w:pPr>
              <w:ind w:left="113" w:right="113"/>
              <w:jc w:val="center"/>
              <w:rPr>
                <w:b/>
                <w:bCs/>
                <w:sz w:val="18"/>
                <w:szCs w:val="18"/>
              </w:rPr>
            </w:pPr>
            <w:r>
              <w:rPr>
                <w:b/>
                <w:bCs/>
                <w:sz w:val="18"/>
                <w:szCs w:val="18"/>
              </w:rPr>
              <w:t>2020</w:t>
            </w:r>
          </w:p>
        </w:tc>
        <w:tc>
          <w:tcPr>
            <w:tcW w:w="761" w:type="dxa"/>
            <w:tcBorders>
              <w:top w:val="nil"/>
              <w:left w:val="nil"/>
              <w:bottom w:val="nil"/>
              <w:right w:val="single" w:sz="8" w:space="0" w:color="auto"/>
            </w:tcBorders>
            <w:shd w:val="clear" w:color="auto" w:fill="auto"/>
            <w:vAlign w:val="center"/>
            <w:hideMark/>
          </w:tcPr>
          <w:p w:rsidR="0055491A" w:rsidRPr="006F2477" w:rsidRDefault="0055491A" w:rsidP="00210BF6">
            <w:pPr>
              <w:jc w:val="center"/>
              <w:rPr>
                <w:b/>
                <w:bCs/>
                <w:sz w:val="18"/>
                <w:szCs w:val="18"/>
              </w:rPr>
            </w:pPr>
            <w:r w:rsidRPr="006F2477">
              <w:rPr>
                <w:b/>
                <w:bCs/>
                <w:sz w:val="18"/>
                <w:szCs w:val="18"/>
              </w:rPr>
              <w:t>Количество, шт.(ст.3+ст.4+ст.5)/3</w:t>
            </w:r>
          </w:p>
        </w:tc>
        <w:tc>
          <w:tcPr>
            <w:tcW w:w="798" w:type="dxa"/>
            <w:tcBorders>
              <w:top w:val="nil"/>
              <w:left w:val="nil"/>
              <w:bottom w:val="nil"/>
              <w:right w:val="single" w:sz="8" w:space="0" w:color="auto"/>
            </w:tcBorders>
            <w:shd w:val="clear" w:color="auto" w:fill="auto"/>
            <w:vAlign w:val="center"/>
            <w:hideMark/>
          </w:tcPr>
          <w:p w:rsidR="0055491A" w:rsidRPr="006F2477" w:rsidRDefault="0055491A" w:rsidP="00210BF6">
            <w:pPr>
              <w:jc w:val="center"/>
              <w:rPr>
                <w:b/>
                <w:bCs/>
                <w:sz w:val="18"/>
                <w:szCs w:val="18"/>
              </w:rPr>
            </w:pPr>
            <w:r w:rsidRPr="006F2477">
              <w:rPr>
                <w:b/>
                <w:bCs/>
                <w:sz w:val="18"/>
                <w:szCs w:val="18"/>
              </w:rPr>
              <w:t>Сумма, тыс. руб.(ст.6хст.2)</w:t>
            </w:r>
          </w:p>
        </w:tc>
        <w:tc>
          <w:tcPr>
            <w:tcW w:w="724" w:type="dxa"/>
            <w:tcBorders>
              <w:top w:val="nil"/>
              <w:left w:val="nil"/>
              <w:bottom w:val="nil"/>
              <w:right w:val="single" w:sz="8" w:space="0" w:color="auto"/>
            </w:tcBorders>
            <w:shd w:val="clear" w:color="auto" w:fill="auto"/>
            <w:vAlign w:val="center"/>
            <w:hideMark/>
          </w:tcPr>
          <w:p w:rsidR="0055491A" w:rsidRPr="006F2477" w:rsidRDefault="0055491A" w:rsidP="00210BF6">
            <w:pPr>
              <w:jc w:val="center"/>
              <w:rPr>
                <w:b/>
                <w:bCs/>
                <w:sz w:val="18"/>
                <w:szCs w:val="18"/>
              </w:rPr>
            </w:pPr>
            <w:r w:rsidRPr="006F2477">
              <w:rPr>
                <w:b/>
                <w:bCs/>
                <w:sz w:val="18"/>
                <w:szCs w:val="18"/>
              </w:rPr>
              <w:t>Количество, шт.(ст.4+ст.5+ст.6)/3</w:t>
            </w:r>
          </w:p>
        </w:tc>
        <w:tc>
          <w:tcPr>
            <w:tcW w:w="835" w:type="dxa"/>
            <w:tcBorders>
              <w:top w:val="nil"/>
              <w:left w:val="nil"/>
              <w:bottom w:val="nil"/>
              <w:right w:val="single" w:sz="8" w:space="0" w:color="auto"/>
            </w:tcBorders>
            <w:shd w:val="clear" w:color="auto" w:fill="auto"/>
            <w:vAlign w:val="center"/>
            <w:hideMark/>
          </w:tcPr>
          <w:p w:rsidR="0055491A" w:rsidRPr="006F2477" w:rsidRDefault="0055491A" w:rsidP="00210BF6">
            <w:pPr>
              <w:jc w:val="center"/>
              <w:rPr>
                <w:b/>
                <w:bCs/>
                <w:sz w:val="18"/>
                <w:szCs w:val="18"/>
              </w:rPr>
            </w:pPr>
            <w:r w:rsidRPr="006F2477">
              <w:rPr>
                <w:b/>
                <w:bCs/>
                <w:sz w:val="18"/>
                <w:szCs w:val="18"/>
              </w:rPr>
              <w:t>Сумма, тыс. руб.(ст.8хст.2)</w:t>
            </w:r>
          </w:p>
        </w:tc>
        <w:tc>
          <w:tcPr>
            <w:tcW w:w="688" w:type="dxa"/>
            <w:tcBorders>
              <w:top w:val="nil"/>
              <w:left w:val="nil"/>
              <w:bottom w:val="nil"/>
              <w:right w:val="single" w:sz="8" w:space="0" w:color="auto"/>
            </w:tcBorders>
            <w:shd w:val="clear" w:color="auto" w:fill="auto"/>
            <w:vAlign w:val="center"/>
            <w:hideMark/>
          </w:tcPr>
          <w:p w:rsidR="0055491A" w:rsidRPr="006F2477" w:rsidRDefault="0055491A" w:rsidP="00210BF6">
            <w:pPr>
              <w:jc w:val="center"/>
              <w:rPr>
                <w:b/>
                <w:bCs/>
                <w:sz w:val="18"/>
                <w:szCs w:val="18"/>
              </w:rPr>
            </w:pPr>
            <w:r w:rsidRPr="006F2477">
              <w:rPr>
                <w:b/>
                <w:bCs/>
                <w:sz w:val="18"/>
                <w:szCs w:val="18"/>
              </w:rPr>
              <w:t>Количество, шт.(ст.5+ст.6+ст.8)/3</w:t>
            </w:r>
          </w:p>
        </w:tc>
        <w:tc>
          <w:tcPr>
            <w:tcW w:w="872" w:type="dxa"/>
            <w:tcBorders>
              <w:top w:val="nil"/>
              <w:left w:val="nil"/>
              <w:bottom w:val="nil"/>
              <w:right w:val="single" w:sz="8" w:space="0" w:color="auto"/>
            </w:tcBorders>
            <w:shd w:val="clear" w:color="auto" w:fill="auto"/>
            <w:vAlign w:val="center"/>
            <w:hideMark/>
          </w:tcPr>
          <w:p w:rsidR="0055491A" w:rsidRPr="006F2477" w:rsidRDefault="0055491A" w:rsidP="00210BF6">
            <w:pPr>
              <w:jc w:val="center"/>
              <w:rPr>
                <w:b/>
                <w:bCs/>
                <w:sz w:val="18"/>
                <w:szCs w:val="18"/>
              </w:rPr>
            </w:pPr>
            <w:r w:rsidRPr="006F2477">
              <w:rPr>
                <w:b/>
                <w:bCs/>
                <w:sz w:val="18"/>
                <w:szCs w:val="18"/>
              </w:rPr>
              <w:t>Сумма, тыс. руб.(ст.10хст.2)</w:t>
            </w:r>
          </w:p>
        </w:tc>
        <w:tc>
          <w:tcPr>
            <w:tcW w:w="650" w:type="dxa"/>
            <w:tcBorders>
              <w:top w:val="nil"/>
              <w:left w:val="nil"/>
              <w:bottom w:val="nil"/>
              <w:right w:val="single" w:sz="8" w:space="0" w:color="auto"/>
            </w:tcBorders>
            <w:shd w:val="clear" w:color="auto" w:fill="auto"/>
            <w:vAlign w:val="center"/>
            <w:hideMark/>
          </w:tcPr>
          <w:p w:rsidR="0055491A" w:rsidRPr="006F2477" w:rsidRDefault="0055491A" w:rsidP="00210BF6">
            <w:pPr>
              <w:jc w:val="center"/>
              <w:rPr>
                <w:b/>
                <w:bCs/>
                <w:sz w:val="18"/>
                <w:szCs w:val="18"/>
              </w:rPr>
            </w:pPr>
            <w:r w:rsidRPr="006F2477">
              <w:rPr>
                <w:b/>
                <w:bCs/>
                <w:sz w:val="18"/>
                <w:szCs w:val="18"/>
              </w:rPr>
              <w:t>Количество, шт.(ст.6+ст.8+ст.10)/3</w:t>
            </w:r>
          </w:p>
        </w:tc>
        <w:tc>
          <w:tcPr>
            <w:tcW w:w="909" w:type="dxa"/>
            <w:tcBorders>
              <w:top w:val="nil"/>
              <w:left w:val="nil"/>
              <w:bottom w:val="nil"/>
              <w:right w:val="single" w:sz="8" w:space="0" w:color="auto"/>
            </w:tcBorders>
            <w:shd w:val="clear" w:color="auto" w:fill="auto"/>
            <w:vAlign w:val="center"/>
            <w:hideMark/>
          </w:tcPr>
          <w:p w:rsidR="0055491A" w:rsidRPr="006F2477" w:rsidRDefault="0055491A" w:rsidP="00210BF6">
            <w:pPr>
              <w:jc w:val="center"/>
              <w:rPr>
                <w:b/>
                <w:bCs/>
                <w:sz w:val="18"/>
                <w:szCs w:val="18"/>
              </w:rPr>
            </w:pPr>
            <w:r w:rsidRPr="006F2477">
              <w:rPr>
                <w:b/>
                <w:bCs/>
                <w:sz w:val="18"/>
                <w:szCs w:val="18"/>
              </w:rPr>
              <w:t>Сумма, тыс. руб.(ст.12хст.2)</w:t>
            </w:r>
          </w:p>
        </w:tc>
      </w:tr>
      <w:tr w:rsidR="0055491A" w:rsidRPr="009370D3" w:rsidTr="00210BF6">
        <w:trPr>
          <w:trHeight w:val="327"/>
        </w:trPr>
        <w:tc>
          <w:tcPr>
            <w:tcW w:w="709"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55491A" w:rsidRPr="009370D3" w:rsidRDefault="0055491A" w:rsidP="00210BF6">
            <w:pPr>
              <w:jc w:val="center"/>
              <w:rPr>
                <w:b/>
                <w:bCs/>
                <w:sz w:val="16"/>
                <w:szCs w:val="16"/>
              </w:rPr>
            </w:pPr>
            <w:r w:rsidRPr="009370D3">
              <w:rPr>
                <w:b/>
                <w:bCs/>
                <w:sz w:val="16"/>
                <w:szCs w:val="16"/>
              </w:rPr>
              <w:t>1</w:t>
            </w:r>
          </w:p>
        </w:tc>
        <w:tc>
          <w:tcPr>
            <w:tcW w:w="987" w:type="dxa"/>
            <w:tcBorders>
              <w:top w:val="single" w:sz="8" w:space="0" w:color="auto"/>
              <w:left w:val="nil"/>
              <w:bottom w:val="single" w:sz="8" w:space="0" w:color="auto"/>
              <w:right w:val="single" w:sz="8" w:space="0" w:color="auto"/>
            </w:tcBorders>
            <w:shd w:val="clear" w:color="auto" w:fill="auto"/>
            <w:noWrap/>
            <w:vAlign w:val="bottom"/>
            <w:hideMark/>
          </w:tcPr>
          <w:p w:rsidR="0055491A" w:rsidRPr="009370D3" w:rsidRDefault="0055491A" w:rsidP="00210BF6">
            <w:pPr>
              <w:jc w:val="center"/>
              <w:rPr>
                <w:b/>
                <w:bCs/>
                <w:sz w:val="16"/>
                <w:szCs w:val="16"/>
              </w:rPr>
            </w:pPr>
            <w:r w:rsidRPr="009370D3">
              <w:rPr>
                <w:b/>
                <w:bCs/>
                <w:sz w:val="16"/>
                <w:szCs w:val="16"/>
              </w:rPr>
              <w:t>2</w:t>
            </w:r>
          </w:p>
        </w:tc>
        <w:tc>
          <w:tcPr>
            <w:tcW w:w="431" w:type="dxa"/>
            <w:tcBorders>
              <w:top w:val="single" w:sz="8" w:space="0" w:color="auto"/>
              <w:left w:val="nil"/>
              <w:bottom w:val="single" w:sz="8" w:space="0" w:color="auto"/>
              <w:right w:val="nil"/>
            </w:tcBorders>
            <w:shd w:val="clear" w:color="auto" w:fill="auto"/>
            <w:noWrap/>
            <w:vAlign w:val="bottom"/>
            <w:hideMark/>
          </w:tcPr>
          <w:p w:rsidR="0055491A" w:rsidRPr="009370D3" w:rsidRDefault="0055491A" w:rsidP="00210BF6">
            <w:pPr>
              <w:jc w:val="center"/>
              <w:rPr>
                <w:b/>
                <w:bCs/>
                <w:sz w:val="16"/>
                <w:szCs w:val="16"/>
              </w:rPr>
            </w:pPr>
            <w:r w:rsidRPr="009370D3">
              <w:rPr>
                <w:b/>
                <w:bCs/>
                <w:sz w:val="16"/>
                <w:szCs w:val="16"/>
              </w:rPr>
              <w:t>4</w:t>
            </w:r>
          </w:p>
        </w:tc>
        <w:tc>
          <w:tcPr>
            <w:tcW w:w="567" w:type="dxa"/>
            <w:tcBorders>
              <w:top w:val="single" w:sz="8" w:space="0" w:color="auto"/>
              <w:left w:val="single" w:sz="8" w:space="0" w:color="auto"/>
              <w:bottom w:val="single" w:sz="8" w:space="0" w:color="auto"/>
              <w:right w:val="nil"/>
            </w:tcBorders>
            <w:shd w:val="clear" w:color="auto" w:fill="auto"/>
            <w:noWrap/>
            <w:vAlign w:val="bottom"/>
            <w:hideMark/>
          </w:tcPr>
          <w:p w:rsidR="0055491A" w:rsidRPr="009370D3" w:rsidRDefault="0055491A" w:rsidP="00210BF6">
            <w:pPr>
              <w:jc w:val="center"/>
              <w:rPr>
                <w:b/>
                <w:bCs/>
                <w:sz w:val="16"/>
                <w:szCs w:val="16"/>
              </w:rPr>
            </w:pPr>
            <w:r w:rsidRPr="009370D3">
              <w:rPr>
                <w:b/>
                <w:bCs/>
                <w:sz w:val="16"/>
                <w:szCs w:val="16"/>
              </w:rPr>
              <w:t>5</w:t>
            </w:r>
          </w:p>
        </w:tc>
        <w:tc>
          <w:tcPr>
            <w:tcW w:w="42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5491A" w:rsidRPr="009370D3" w:rsidRDefault="0055491A" w:rsidP="00210BF6">
            <w:pPr>
              <w:jc w:val="center"/>
              <w:rPr>
                <w:b/>
                <w:bCs/>
                <w:sz w:val="16"/>
                <w:szCs w:val="16"/>
              </w:rPr>
            </w:pPr>
            <w:r w:rsidRPr="009370D3">
              <w:rPr>
                <w:b/>
                <w:bCs/>
                <w:sz w:val="16"/>
                <w:szCs w:val="16"/>
              </w:rPr>
              <w:t>5</w:t>
            </w:r>
          </w:p>
        </w:tc>
        <w:tc>
          <w:tcPr>
            <w:tcW w:w="761" w:type="dxa"/>
            <w:tcBorders>
              <w:top w:val="single" w:sz="8" w:space="0" w:color="auto"/>
              <w:left w:val="nil"/>
              <w:bottom w:val="single" w:sz="8" w:space="0" w:color="auto"/>
              <w:right w:val="nil"/>
            </w:tcBorders>
            <w:shd w:val="clear" w:color="auto" w:fill="auto"/>
            <w:noWrap/>
            <w:vAlign w:val="bottom"/>
            <w:hideMark/>
          </w:tcPr>
          <w:p w:rsidR="0055491A" w:rsidRPr="009370D3" w:rsidRDefault="0055491A" w:rsidP="00210BF6">
            <w:pPr>
              <w:jc w:val="center"/>
              <w:rPr>
                <w:b/>
                <w:bCs/>
                <w:sz w:val="16"/>
                <w:szCs w:val="16"/>
              </w:rPr>
            </w:pPr>
            <w:r w:rsidRPr="009370D3">
              <w:rPr>
                <w:b/>
                <w:bCs/>
                <w:sz w:val="16"/>
                <w:szCs w:val="16"/>
              </w:rPr>
              <w:t>6</w:t>
            </w:r>
          </w:p>
        </w:tc>
        <w:tc>
          <w:tcPr>
            <w:tcW w:w="79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5491A" w:rsidRPr="009370D3" w:rsidRDefault="0055491A" w:rsidP="00210BF6">
            <w:pPr>
              <w:jc w:val="center"/>
              <w:rPr>
                <w:b/>
                <w:bCs/>
                <w:sz w:val="16"/>
                <w:szCs w:val="16"/>
              </w:rPr>
            </w:pPr>
            <w:r w:rsidRPr="009370D3">
              <w:rPr>
                <w:b/>
                <w:bCs/>
                <w:sz w:val="16"/>
                <w:szCs w:val="16"/>
              </w:rPr>
              <w:t>7</w:t>
            </w:r>
          </w:p>
        </w:tc>
        <w:tc>
          <w:tcPr>
            <w:tcW w:w="724" w:type="dxa"/>
            <w:tcBorders>
              <w:top w:val="single" w:sz="8" w:space="0" w:color="auto"/>
              <w:left w:val="nil"/>
              <w:bottom w:val="single" w:sz="8" w:space="0" w:color="auto"/>
              <w:right w:val="single" w:sz="4" w:space="0" w:color="auto"/>
            </w:tcBorders>
            <w:shd w:val="clear" w:color="auto" w:fill="auto"/>
            <w:noWrap/>
            <w:vAlign w:val="bottom"/>
            <w:hideMark/>
          </w:tcPr>
          <w:p w:rsidR="0055491A" w:rsidRPr="009370D3" w:rsidRDefault="0055491A" w:rsidP="00210BF6">
            <w:pPr>
              <w:jc w:val="center"/>
              <w:rPr>
                <w:b/>
                <w:bCs/>
                <w:sz w:val="16"/>
                <w:szCs w:val="16"/>
              </w:rPr>
            </w:pPr>
            <w:r w:rsidRPr="009370D3">
              <w:rPr>
                <w:b/>
                <w:bCs/>
                <w:sz w:val="16"/>
                <w:szCs w:val="16"/>
              </w:rPr>
              <w:t>8</w:t>
            </w:r>
          </w:p>
        </w:tc>
        <w:tc>
          <w:tcPr>
            <w:tcW w:w="835" w:type="dxa"/>
            <w:tcBorders>
              <w:top w:val="single" w:sz="8" w:space="0" w:color="auto"/>
              <w:left w:val="nil"/>
              <w:bottom w:val="single" w:sz="8" w:space="0" w:color="auto"/>
              <w:right w:val="nil"/>
            </w:tcBorders>
            <w:shd w:val="clear" w:color="auto" w:fill="auto"/>
            <w:noWrap/>
            <w:vAlign w:val="bottom"/>
            <w:hideMark/>
          </w:tcPr>
          <w:p w:rsidR="0055491A" w:rsidRPr="009370D3" w:rsidRDefault="0055491A" w:rsidP="00210BF6">
            <w:pPr>
              <w:jc w:val="center"/>
              <w:rPr>
                <w:b/>
                <w:bCs/>
                <w:sz w:val="16"/>
                <w:szCs w:val="16"/>
              </w:rPr>
            </w:pPr>
            <w:r w:rsidRPr="009370D3">
              <w:rPr>
                <w:b/>
                <w:bCs/>
                <w:sz w:val="16"/>
                <w:szCs w:val="16"/>
              </w:rPr>
              <w:t>9</w:t>
            </w:r>
          </w:p>
        </w:tc>
        <w:tc>
          <w:tcPr>
            <w:tcW w:w="688" w:type="dxa"/>
            <w:tcBorders>
              <w:top w:val="single" w:sz="8" w:space="0" w:color="auto"/>
              <w:left w:val="single" w:sz="8" w:space="0" w:color="auto"/>
              <w:bottom w:val="single" w:sz="8" w:space="0" w:color="auto"/>
              <w:right w:val="nil"/>
            </w:tcBorders>
            <w:shd w:val="clear" w:color="auto" w:fill="auto"/>
            <w:noWrap/>
            <w:vAlign w:val="bottom"/>
            <w:hideMark/>
          </w:tcPr>
          <w:p w:rsidR="0055491A" w:rsidRPr="009370D3" w:rsidRDefault="0055491A" w:rsidP="00210BF6">
            <w:pPr>
              <w:jc w:val="center"/>
              <w:rPr>
                <w:b/>
                <w:bCs/>
                <w:sz w:val="16"/>
                <w:szCs w:val="16"/>
              </w:rPr>
            </w:pPr>
            <w:r w:rsidRPr="009370D3">
              <w:rPr>
                <w:b/>
                <w:bCs/>
                <w:sz w:val="16"/>
                <w:szCs w:val="16"/>
              </w:rPr>
              <w:t>10</w:t>
            </w:r>
          </w:p>
        </w:tc>
        <w:tc>
          <w:tcPr>
            <w:tcW w:w="8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5491A" w:rsidRPr="009370D3" w:rsidRDefault="0055491A" w:rsidP="00210BF6">
            <w:pPr>
              <w:jc w:val="center"/>
              <w:rPr>
                <w:b/>
                <w:bCs/>
                <w:sz w:val="16"/>
                <w:szCs w:val="16"/>
              </w:rPr>
            </w:pPr>
            <w:r w:rsidRPr="009370D3">
              <w:rPr>
                <w:b/>
                <w:bCs/>
                <w:sz w:val="16"/>
                <w:szCs w:val="16"/>
              </w:rPr>
              <w:t>11</w:t>
            </w:r>
          </w:p>
        </w:tc>
        <w:tc>
          <w:tcPr>
            <w:tcW w:w="650" w:type="dxa"/>
            <w:tcBorders>
              <w:top w:val="single" w:sz="8" w:space="0" w:color="auto"/>
              <w:left w:val="nil"/>
              <w:bottom w:val="single" w:sz="8" w:space="0" w:color="auto"/>
              <w:right w:val="single" w:sz="4" w:space="0" w:color="auto"/>
            </w:tcBorders>
            <w:shd w:val="clear" w:color="auto" w:fill="auto"/>
            <w:noWrap/>
            <w:vAlign w:val="bottom"/>
            <w:hideMark/>
          </w:tcPr>
          <w:p w:rsidR="0055491A" w:rsidRPr="009370D3" w:rsidRDefault="0055491A" w:rsidP="00210BF6">
            <w:pPr>
              <w:jc w:val="center"/>
              <w:rPr>
                <w:b/>
                <w:bCs/>
                <w:sz w:val="16"/>
                <w:szCs w:val="16"/>
              </w:rPr>
            </w:pPr>
            <w:r w:rsidRPr="009370D3">
              <w:rPr>
                <w:b/>
                <w:bCs/>
                <w:sz w:val="16"/>
                <w:szCs w:val="16"/>
              </w:rPr>
              <w:t>12</w:t>
            </w:r>
          </w:p>
        </w:tc>
        <w:tc>
          <w:tcPr>
            <w:tcW w:w="909" w:type="dxa"/>
            <w:tcBorders>
              <w:top w:val="single" w:sz="8" w:space="0" w:color="auto"/>
              <w:left w:val="nil"/>
              <w:bottom w:val="single" w:sz="8" w:space="0" w:color="auto"/>
              <w:right w:val="single" w:sz="8" w:space="0" w:color="auto"/>
            </w:tcBorders>
            <w:shd w:val="clear" w:color="auto" w:fill="auto"/>
            <w:noWrap/>
            <w:vAlign w:val="bottom"/>
            <w:hideMark/>
          </w:tcPr>
          <w:p w:rsidR="0055491A" w:rsidRPr="009370D3" w:rsidRDefault="0055491A" w:rsidP="00210BF6">
            <w:pPr>
              <w:jc w:val="center"/>
              <w:rPr>
                <w:b/>
                <w:bCs/>
                <w:sz w:val="16"/>
                <w:szCs w:val="16"/>
              </w:rPr>
            </w:pPr>
            <w:r w:rsidRPr="009370D3">
              <w:rPr>
                <w:b/>
                <w:bCs/>
                <w:sz w:val="16"/>
                <w:szCs w:val="16"/>
              </w:rPr>
              <w:t>13</w:t>
            </w:r>
          </w:p>
        </w:tc>
      </w:tr>
      <w:tr w:rsidR="0055491A" w:rsidRPr="009370D3" w:rsidTr="00210BF6">
        <w:trPr>
          <w:trHeight w:val="399"/>
        </w:trPr>
        <w:tc>
          <w:tcPr>
            <w:tcW w:w="709" w:type="dxa"/>
            <w:vMerge w:val="restart"/>
            <w:tcBorders>
              <w:top w:val="single" w:sz="4" w:space="0" w:color="auto"/>
              <w:left w:val="single" w:sz="4" w:space="0" w:color="auto"/>
              <w:right w:val="single" w:sz="4" w:space="0" w:color="auto"/>
            </w:tcBorders>
            <w:shd w:val="clear" w:color="auto" w:fill="auto"/>
            <w:vAlign w:val="bottom"/>
          </w:tcPr>
          <w:p w:rsidR="0055491A" w:rsidRPr="0050141F" w:rsidRDefault="0055491A" w:rsidP="00210BF6">
            <w:pPr>
              <w:rPr>
                <w:color w:val="000000" w:themeColor="text1"/>
                <w:sz w:val="16"/>
                <w:szCs w:val="16"/>
              </w:rPr>
            </w:pPr>
            <w:r w:rsidRPr="0050141F">
              <w:rPr>
                <w:color w:val="000000" w:themeColor="text1"/>
                <w:sz w:val="16"/>
                <w:szCs w:val="16"/>
              </w:rPr>
              <w:t>Ст. 14.6</w:t>
            </w:r>
          </w:p>
        </w:tc>
        <w:tc>
          <w:tcPr>
            <w:tcW w:w="987" w:type="dxa"/>
            <w:tcBorders>
              <w:top w:val="nil"/>
              <w:left w:val="nil"/>
              <w:bottom w:val="single" w:sz="8" w:space="0" w:color="000000"/>
              <w:right w:val="single" w:sz="8" w:space="0" w:color="000000"/>
            </w:tcBorders>
            <w:shd w:val="clear" w:color="auto" w:fill="auto"/>
            <w:vAlign w:val="bottom"/>
          </w:tcPr>
          <w:p w:rsidR="0055491A" w:rsidRPr="0050141F" w:rsidRDefault="0055491A" w:rsidP="00210BF6">
            <w:pPr>
              <w:jc w:val="center"/>
              <w:rPr>
                <w:color w:val="000000" w:themeColor="text1"/>
                <w:sz w:val="20"/>
                <w:szCs w:val="20"/>
              </w:rPr>
            </w:pPr>
            <w:r w:rsidRPr="0050141F">
              <w:rPr>
                <w:color w:val="000000" w:themeColor="text1"/>
                <w:sz w:val="20"/>
                <w:szCs w:val="20"/>
              </w:rPr>
              <w:t>50</w:t>
            </w:r>
          </w:p>
        </w:tc>
        <w:tc>
          <w:tcPr>
            <w:tcW w:w="431" w:type="dxa"/>
            <w:tcBorders>
              <w:top w:val="nil"/>
              <w:left w:val="nil"/>
              <w:bottom w:val="single" w:sz="8" w:space="0" w:color="000000"/>
              <w:right w:val="single" w:sz="8" w:space="0" w:color="000000"/>
            </w:tcBorders>
            <w:shd w:val="clear" w:color="auto" w:fill="auto"/>
            <w:vAlign w:val="bottom"/>
          </w:tcPr>
          <w:p w:rsidR="0055491A" w:rsidRPr="0050141F" w:rsidRDefault="0055491A" w:rsidP="00210BF6">
            <w:pPr>
              <w:jc w:val="center"/>
              <w:rPr>
                <w:color w:val="000000" w:themeColor="text1"/>
                <w:sz w:val="20"/>
                <w:szCs w:val="20"/>
              </w:rPr>
            </w:pPr>
            <w:r w:rsidRPr="0050141F">
              <w:rPr>
                <w:color w:val="000000" w:themeColor="text1"/>
                <w:sz w:val="20"/>
                <w:szCs w:val="20"/>
              </w:rPr>
              <w:t>0</w:t>
            </w:r>
          </w:p>
        </w:tc>
        <w:tc>
          <w:tcPr>
            <w:tcW w:w="567" w:type="dxa"/>
            <w:tcBorders>
              <w:top w:val="nil"/>
              <w:left w:val="nil"/>
              <w:bottom w:val="single" w:sz="8" w:space="0" w:color="000000"/>
              <w:right w:val="single" w:sz="8" w:space="0" w:color="000000"/>
            </w:tcBorders>
            <w:shd w:val="clear" w:color="auto" w:fill="auto"/>
            <w:vAlign w:val="bottom"/>
          </w:tcPr>
          <w:p w:rsidR="0055491A" w:rsidRPr="0050141F" w:rsidRDefault="0055491A" w:rsidP="00210BF6">
            <w:pPr>
              <w:jc w:val="center"/>
              <w:rPr>
                <w:color w:val="000000" w:themeColor="text1"/>
                <w:sz w:val="20"/>
                <w:szCs w:val="20"/>
              </w:rPr>
            </w:pPr>
            <w:r w:rsidRPr="0050141F">
              <w:rPr>
                <w:color w:val="000000" w:themeColor="text1"/>
                <w:sz w:val="20"/>
                <w:szCs w:val="20"/>
              </w:rPr>
              <w:t>0</w:t>
            </w:r>
          </w:p>
        </w:tc>
        <w:tc>
          <w:tcPr>
            <w:tcW w:w="425" w:type="dxa"/>
            <w:tcBorders>
              <w:top w:val="nil"/>
              <w:left w:val="nil"/>
              <w:bottom w:val="single" w:sz="8" w:space="0" w:color="000000"/>
              <w:right w:val="single" w:sz="8" w:space="0" w:color="000000"/>
            </w:tcBorders>
            <w:shd w:val="clear" w:color="auto" w:fill="auto"/>
            <w:vAlign w:val="bottom"/>
          </w:tcPr>
          <w:p w:rsidR="0055491A" w:rsidRPr="0050141F" w:rsidRDefault="0055491A" w:rsidP="00210BF6">
            <w:pPr>
              <w:jc w:val="center"/>
              <w:rPr>
                <w:color w:val="000000" w:themeColor="text1"/>
                <w:sz w:val="20"/>
                <w:szCs w:val="20"/>
              </w:rPr>
            </w:pPr>
            <w:r w:rsidRPr="0050141F">
              <w:rPr>
                <w:color w:val="000000" w:themeColor="text1"/>
                <w:sz w:val="20"/>
                <w:szCs w:val="20"/>
              </w:rPr>
              <w:t>2</w:t>
            </w:r>
          </w:p>
        </w:tc>
        <w:tc>
          <w:tcPr>
            <w:tcW w:w="761" w:type="dxa"/>
            <w:tcBorders>
              <w:top w:val="nil"/>
              <w:left w:val="nil"/>
              <w:bottom w:val="single" w:sz="8" w:space="0" w:color="000000"/>
              <w:right w:val="single" w:sz="8" w:space="0" w:color="000000"/>
            </w:tcBorders>
            <w:shd w:val="clear" w:color="auto" w:fill="auto"/>
            <w:vAlign w:val="bottom"/>
          </w:tcPr>
          <w:p w:rsidR="0055491A" w:rsidRPr="0050141F" w:rsidRDefault="0055491A" w:rsidP="00210BF6">
            <w:pPr>
              <w:jc w:val="center"/>
              <w:rPr>
                <w:color w:val="000000" w:themeColor="text1"/>
                <w:sz w:val="20"/>
                <w:szCs w:val="20"/>
              </w:rPr>
            </w:pPr>
            <w:r w:rsidRPr="0050141F">
              <w:rPr>
                <w:color w:val="000000" w:themeColor="text1"/>
                <w:sz w:val="20"/>
                <w:szCs w:val="20"/>
              </w:rPr>
              <w:t>1</w:t>
            </w:r>
          </w:p>
        </w:tc>
        <w:tc>
          <w:tcPr>
            <w:tcW w:w="798" w:type="dxa"/>
            <w:tcBorders>
              <w:top w:val="nil"/>
              <w:left w:val="nil"/>
              <w:bottom w:val="single" w:sz="8" w:space="0" w:color="000000"/>
              <w:right w:val="single" w:sz="8" w:space="0" w:color="000000"/>
            </w:tcBorders>
            <w:shd w:val="clear" w:color="auto" w:fill="auto"/>
            <w:vAlign w:val="bottom"/>
          </w:tcPr>
          <w:p w:rsidR="0055491A" w:rsidRPr="0050141F" w:rsidRDefault="0055491A" w:rsidP="00210BF6">
            <w:pPr>
              <w:jc w:val="center"/>
              <w:rPr>
                <w:color w:val="000000" w:themeColor="text1"/>
                <w:sz w:val="20"/>
                <w:szCs w:val="20"/>
              </w:rPr>
            </w:pPr>
            <w:r w:rsidRPr="0050141F">
              <w:rPr>
                <w:color w:val="000000" w:themeColor="text1"/>
                <w:sz w:val="20"/>
                <w:szCs w:val="20"/>
              </w:rPr>
              <w:t>50,0</w:t>
            </w:r>
          </w:p>
        </w:tc>
        <w:tc>
          <w:tcPr>
            <w:tcW w:w="724" w:type="dxa"/>
            <w:tcBorders>
              <w:top w:val="nil"/>
              <w:left w:val="nil"/>
              <w:bottom w:val="single" w:sz="8" w:space="0" w:color="000000"/>
              <w:right w:val="single" w:sz="8" w:space="0" w:color="000000"/>
            </w:tcBorders>
            <w:shd w:val="clear" w:color="auto" w:fill="auto"/>
            <w:vAlign w:val="bottom"/>
          </w:tcPr>
          <w:p w:rsidR="0055491A" w:rsidRPr="0050141F" w:rsidRDefault="0055491A" w:rsidP="00210BF6">
            <w:pPr>
              <w:jc w:val="center"/>
              <w:rPr>
                <w:color w:val="000000" w:themeColor="text1"/>
                <w:sz w:val="20"/>
                <w:szCs w:val="20"/>
              </w:rPr>
            </w:pPr>
            <w:r w:rsidRPr="0050141F">
              <w:rPr>
                <w:color w:val="000000" w:themeColor="text1"/>
                <w:sz w:val="20"/>
                <w:szCs w:val="20"/>
              </w:rPr>
              <w:t>1</w:t>
            </w:r>
          </w:p>
        </w:tc>
        <w:tc>
          <w:tcPr>
            <w:tcW w:w="835" w:type="dxa"/>
            <w:tcBorders>
              <w:top w:val="nil"/>
              <w:left w:val="nil"/>
              <w:bottom w:val="single" w:sz="8" w:space="0" w:color="000000"/>
              <w:right w:val="single" w:sz="8" w:space="0" w:color="000000"/>
            </w:tcBorders>
            <w:shd w:val="clear" w:color="auto" w:fill="auto"/>
            <w:vAlign w:val="bottom"/>
          </w:tcPr>
          <w:p w:rsidR="0055491A" w:rsidRPr="0050141F" w:rsidRDefault="0055491A" w:rsidP="00210BF6">
            <w:pPr>
              <w:jc w:val="center"/>
              <w:rPr>
                <w:color w:val="000000" w:themeColor="text1"/>
                <w:sz w:val="20"/>
                <w:szCs w:val="20"/>
              </w:rPr>
            </w:pPr>
            <w:r w:rsidRPr="0050141F">
              <w:rPr>
                <w:color w:val="000000" w:themeColor="text1"/>
                <w:sz w:val="20"/>
                <w:szCs w:val="20"/>
              </w:rPr>
              <w:t>50,0</w:t>
            </w:r>
          </w:p>
        </w:tc>
        <w:tc>
          <w:tcPr>
            <w:tcW w:w="688" w:type="dxa"/>
            <w:tcBorders>
              <w:top w:val="nil"/>
              <w:left w:val="nil"/>
              <w:bottom w:val="single" w:sz="8" w:space="0" w:color="000000"/>
              <w:right w:val="single" w:sz="8" w:space="0" w:color="000000"/>
            </w:tcBorders>
            <w:shd w:val="clear" w:color="auto" w:fill="auto"/>
            <w:vAlign w:val="bottom"/>
          </w:tcPr>
          <w:p w:rsidR="0055491A" w:rsidRPr="0050141F" w:rsidRDefault="0055491A" w:rsidP="00210BF6">
            <w:pPr>
              <w:jc w:val="center"/>
              <w:rPr>
                <w:color w:val="000000" w:themeColor="text1"/>
                <w:sz w:val="20"/>
                <w:szCs w:val="20"/>
              </w:rPr>
            </w:pPr>
            <w:r w:rsidRPr="0050141F">
              <w:rPr>
                <w:color w:val="000000" w:themeColor="text1"/>
                <w:sz w:val="20"/>
                <w:szCs w:val="20"/>
              </w:rPr>
              <w:t>1</w:t>
            </w:r>
          </w:p>
        </w:tc>
        <w:tc>
          <w:tcPr>
            <w:tcW w:w="872" w:type="dxa"/>
            <w:tcBorders>
              <w:top w:val="nil"/>
              <w:left w:val="nil"/>
              <w:bottom w:val="single" w:sz="8" w:space="0" w:color="000000"/>
              <w:right w:val="single" w:sz="8" w:space="0" w:color="000000"/>
            </w:tcBorders>
            <w:shd w:val="clear" w:color="auto" w:fill="auto"/>
            <w:vAlign w:val="bottom"/>
          </w:tcPr>
          <w:p w:rsidR="0055491A" w:rsidRPr="0050141F" w:rsidRDefault="0055491A" w:rsidP="00210BF6">
            <w:pPr>
              <w:jc w:val="center"/>
              <w:rPr>
                <w:color w:val="000000" w:themeColor="text1"/>
                <w:sz w:val="20"/>
                <w:szCs w:val="20"/>
              </w:rPr>
            </w:pPr>
            <w:r w:rsidRPr="0050141F">
              <w:rPr>
                <w:color w:val="000000" w:themeColor="text1"/>
                <w:sz w:val="20"/>
                <w:szCs w:val="20"/>
              </w:rPr>
              <w:t>50,0</w:t>
            </w:r>
          </w:p>
        </w:tc>
        <w:tc>
          <w:tcPr>
            <w:tcW w:w="650" w:type="dxa"/>
            <w:tcBorders>
              <w:top w:val="nil"/>
              <w:left w:val="nil"/>
              <w:bottom w:val="single" w:sz="8" w:space="0" w:color="000000"/>
              <w:right w:val="single" w:sz="8" w:space="0" w:color="000000"/>
            </w:tcBorders>
            <w:shd w:val="clear" w:color="auto" w:fill="auto"/>
            <w:vAlign w:val="bottom"/>
          </w:tcPr>
          <w:p w:rsidR="0055491A" w:rsidRPr="0050141F" w:rsidRDefault="0055491A" w:rsidP="00210BF6">
            <w:pPr>
              <w:jc w:val="center"/>
              <w:rPr>
                <w:color w:val="000000" w:themeColor="text1"/>
                <w:sz w:val="20"/>
                <w:szCs w:val="20"/>
              </w:rPr>
            </w:pPr>
            <w:r w:rsidRPr="0050141F">
              <w:rPr>
                <w:color w:val="000000" w:themeColor="text1"/>
                <w:sz w:val="20"/>
                <w:szCs w:val="20"/>
              </w:rPr>
              <w:t>1</w:t>
            </w:r>
          </w:p>
        </w:tc>
        <w:tc>
          <w:tcPr>
            <w:tcW w:w="909" w:type="dxa"/>
            <w:tcBorders>
              <w:top w:val="nil"/>
              <w:left w:val="nil"/>
              <w:bottom w:val="single" w:sz="8" w:space="0" w:color="000000"/>
              <w:right w:val="single" w:sz="8" w:space="0" w:color="000000"/>
            </w:tcBorders>
            <w:shd w:val="clear" w:color="auto" w:fill="auto"/>
            <w:vAlign w:val="bottom"/>
          </w:tcPr>
          <w:p w:rsidR="0055491A" w:rsidRPr="0050141F" w:rsidRDefault="0055491A" w:rsidP="00210BF6">
            <w:pPr>
              <w:jc w:val="center"/>
              <w:rPr>
                <w:color w:val="000000" w:themeColor="text1"/>
                <w:sz w:val="20"/>
                <w:szCs w:val="20"/>
              </w:rPr>
            </w:pPr>
            <w:r w:rsidRPr="0050141F">
              <w:rPr>
                <w:color w:val="000000" w:themeColor="text1"/>
                <w:sz w:val="20"/>
                <w:szCs w:val="20"/>
              </w:rPr>
              <w:t>50,0</w:t>
            </w:r>
          </w:p>
        </w:tc>
      </w:tr>
      <w:tr w:rsidR="0055491A" w:rsidRPr="009370D3" w:rsidTr="00210BF6">
        <w:trPr>
          <w:trHeight w:val="399"/>
        </w:trPr>
        <w:tc>
          <w:tcPr>
            <w:tcW w:w="709" w:type="dxa"/>
            <w:vMerge/>
            <w:tcBorders>
              <w:left w:val="single" w:sz="4" w:space="0" w:color="auto"/>
              <w:bottom w:val="single" w:sz="4" w:space="0" w:color="auto"/>
              <w:right w:val="single" w:sz="4" w:space="0" w:color="auto"/>
            </w:tcBorders>
            <w:shd w:val="clear" w:color="auto" w:fill="auto"/>
            <w:vAlign w:val="bottom"/>
          </w:tcPr>
          <w:p w:rsidR="0055491A" w:rsidRPr="0050141F" w:rsidRDefault="0055491A" w:rsidP="00210BF6">
            <w:pPr>
              <w:rPr>
                <w:rFonts w:ascii="Arial CYR" w:hAnsi="Arial CYR" w:cs="Arial CYR"/>
                <w:color w:val="000000" w:themeColor="text1"/>
                <w:sz w:val="20"/>
                <w:szCs w:val="20"/>
              </w:rPr>
            </w:pPr>
          </w:p>
        </w:tc>
        <w:tc>
          <w:tcPr>
            <w:tcW w:w="987" w:type="dxa"/>
            <w:tcBorders>
              <w:top w:val="nil"/>
              <w:left w:val="nil"/>
              <w:bottom w:val="single" w:sz="8" w:space="0" w:color="000000"/>
              <w:right w:val="single" w:sz="8" w:space="0" w:color="000000"/>
            </w:tcBorders>
            <w:shd w:val="clear" w:color="auto" w:fill="auto"/>
            <w:vAlign w:val="bottom"/>
          </w:tcPr>
          <w:p w:rsidR="0055491A" w:rsidRPr="0050141F" w:rsidRDefault="0055491A" w:rsidP="00210BF6">
            <w:pPr>
              <w:jc w:val="center"/>
              <w:rPr>
                <w:color w:val="000000" w:themeColor="text1"/>
                <w:sz w:val="20"/>
                <w:szCs w:val="20"/>
              </w:rPr>
            </w:pPr>
            <w:r w:rsidRPr="0050141F">
              <w:rPr>
                <w:color w:val="000000" w:themeColor="text1"/>
                <w:sz w:val="20"/>
                <w:szCs w:val="20"/>
              </w:rPr>
              <w:t>100</w:t>
            </w:r>
          </w:p>
        </w:tc>
        <w:tc>
          <w:tcPr>
            <w:tcW w:w="431" w:type="dxa"/>
            <w:tcBorders>
              <w:top w:val="nil"/>
              <w:left w:val="nil"/>
              <w:bottom w:val="single" w:sz="8" w:space="0" w:color="000000"/>
              <w:right w:val="single" w:sz="8" w:space="0" w:color="000000"/>
            </w:tcBorders>
            <w:shd w:val="clear" w:color="auto" w:fill="auto"/>
            <w:vAlign w:val="bottom"/>
          </w:tcPr>
          <w:p w:rsidR="0055491A" w:rsidRPr="0050141F" w:rsidRDefault="0055491A" w:rsidP="00210BF6">
            <w:pPr>
              <w:jc w:val="center"/>
              <w:rPr>
                <w:color w:val="000000" w:themeColor="text1"/>
                <w:sz w:val="20"/>
                <w:szCs w:val="20"/>
              </w:rPr>
            </w:pPr>
            <w:r w:rsidRPr="0050141F">
              <w:rPr>
                <w:color w:val="000000" w:themeColor="text1"/>
                <w:sz w:val="20"/>
                <w:szCs w:val="20"/>
              </w:rPr>
              <w:t>4</w:t>
            </w:r>
          </w:p>
        </w:tc>
        <w:tc>
          <w:tcPr>
            <w:tcW w:w="567" w:type="dxa"/>
            <w:tcBorders>
              <w:top w:val="nil"/>
              <w:left w:val="nil"/>
              <w:bottom w:val="single" w:sz="8" w:space="0" w:color="000000"/>
              <w:right w:val="single" w:sz="8" w:space="0" w:color="000000"/>
            </w:tcBorders>
            <w:shd w:val="clear" w:color="auto" w:fill="auto"/>
            <w:vAlign w:val="bottom"/>
          </w:tcPr>
          <w:p w:rsidR="0055491A" w:rsidRPr="0050141F" w:rsidRDefault="0055491A" w:rsidP="00210BF6">
            <w:pPr>
              <w:jc w:val="center"/>
              <w:rPr>
                <w:color w:val="000000" w:themeColor="text1"/>
                <w:sz w:val="20"/>
                <w:szCs w:val="20"/>
              </w:rPr>
            </w:pPr>
            <w:r w:rsidRPr="0050141F">
              <w:rPr>
                <w:color w:val="000000" w:themeColor="text1"/>
                <w:sz w:val="20"/>
                <w:szCs w:val="20"/>
              </w:rPr>
              <w:t>6</w:t>
            </w:r>
          </w:p>
        </w:tc>
        <w:tc>
          <w:tcPr>
            <w:tcW w:w="425" w:type="dxa"/>
            <w:tcBorders>
              <w:top w:val="nil"/>
              <w:left w:val="nil"/>
              <w:bottom w:val="single" w:sz="8" w:space="0" w:color="000000"/>
              <w:right w:val="single" w:sz="8" w:space="0" w:color="000000"/>
            </w:tcBorders>
            <w:shd w:val="clear" w:color="auto" w:fill="auto"/>
            <w:vAlign w:val="bottom"/>
          </w:tcPr>
          <w:p w:rsidR="0055491A" w:rsidRPr="0050141F" w:rsidRDefault="0055491A" w:rsidP="00210BF6">
            <w:pPr>
              <w:jc w:val="center"/>
              <w:rPr>
                <w:color w:val="000000" w:themeColor="text1"/>
                <w:sz w:val="20"/>
                <w:szCs w:val="20"/>
              </w:rPr>
            </w:pPr>
            <w:r w:rsidRPr="0050141F">
              <w:rPr>
                <w:color w:val="000000" w:themeColor="text1"/>
                <w:sz w:val="20"/>
                <w:szCs w:val="20"/>
              </w:rPr>
              <w:t>2</w:t>
            </w:r>
          </w:p>
        </w:tc>
        <w:tc>
          <w:tcPr>
            <w:tcW w:w="761" w:type="dxa"/>
            <w:tcBorders>
              <w:top w:val="nil"/>
              <w:left w:val="nil"/>
              <w:bottom w:val="single" w:sz="8" w:space="0" w:color="000000"/>
              <w:right w:val="single" w:sz="8" w:space="0" w:color="000000"/>
            </w:tcBorders>
            <w:shd w:val="clear" w:color="auto" w:fill="auto"/>
            <w:vAlign w:val="bottom"/>
          </w:tcPr>
          <w:p w:rsidR="0055491A" w:rsidRPr="0050141F" w:rsidRDefault="0055491A" w:rsidP="00210BF6">
            <w:pPr>
              <w:jc w:val="center"/>
              <w:rPr>
                <w:color w:val="000000" w:themeColor="text1"/>
                <w:sz w:val="20"/>
                <w:szCs w:val="20"/>
              </w:rPr>
            </w:pPr>
            <w:r w:rsidRPr="0050141F">
              <w:rPr>
                <w:color w:val="000000" w:themeColor="text1"/>
                <w:sz w:val="20"/>
                <w:szCs w:val="20"/>
              </w:rPr>
              <w:t>4</w:t>
            </w:r>
          </w:p>
        </w:tc>
        <w:tc>
          <w:tcPr>
            <w:tcW w:w="798" w:type="dxa"/>
            <w:tcBorders>
              <w:top w:val="nil"/>
              <w:left w:val="nil"/>
              <w:bottom w:val="single" w:sz="8" w:space="0" w:color="000000"/>
              <w:right w:val="single" w:sz="8" w:space="0" w:color="000000"/>
            </w:tcBorders>
            <w:shd w:val="clear" w:color="auto" w:fill="auto"/>
            <w:vAlign w:val="bottom"/>
          </w:tcPr>
          <w:p w:rsidR="0055491A" w:rsidRPr="0050141F" w:rsidRDefault="0055491A" w:rsidP="00210BF6">
            <w:pPr>
              <w:jc w:val="center"/>
              <w:rPr>
                <w:color w:val="000000" w:themeColor="text1"/>
                <w:sz w:val="20"/>
                <w:szCs w:val="20"/>
              </w:rPr>
            </w:pPr>
            <w:r w:rsidRPr="0050141F">
              <w:rPr>
                <w:color w:val="000000" w:themeColor="text1"/>
                <w:sz w:val="20"/>
                <w:szCs w:val="20"/>
              </w:rPr>
              <w:t>400,0</w:t>
            </w:r>
          </w:p>
        </w:tc>
        <w:tc>
          <w:tcPr>
            <w:tcW w:w="724" w:type="dxa"/>
            <w:tcBorders>
              <w:top w:val="nil"/>
              <w:left w:val="nil"/>
              <w:bottom w:val="single" w:sz="8" w:space="0" w:color="000000"/>
              <w:right w:val="single" w:sz="8" w:space="0" w:color="000000"/>
            </w:tcBorders>
            <w:shd w:val="clear" w:color="auto" w:fill="auto"/>
            <w:vAlign w:val="bottom"/>
          </w:tcPr>
          <w:p w:rsidR="0055491A" w:rsidRPr="0050141F" w:rsidRDefault="0055491A" w:rsidP="00210BF6">
            <w:pPr>
              <w:jc w:val="center"/>
              <w:rPr>
                <w:color w:val="000000" w:themeColor="text1"/>
                <w:sz w:val="20"/>
                <w:szCs w:val="20"/>
              </w:rPr>
            </w:pPr>
            <w:r w:rsidRPr="0050141F">
              <w:rPr>
                <w:color w:val="000000" w:themeColor="text1"/>
                <w:sz w:val="20"/>
                <w:szCs w:val="20"/>
              </w:rPr>
              <w:t>4</w:t>
            </w:r>
          </w:p>
        </w:tc>
        <w:tc>
          <w:tcPr>
            <w:tcW w:w="835" w:type="dxa"/>
            <w:tcBorders>
              <w:top w:val="nil"/>
              <w:left w:val="nil"/>
              <w:bottom w:val="single" w:sz="8" w:space="0" w:color="000000"/>
              <w:right w:val="single" w:sz="8" w:space="0" w:color="000000"/>
            </w:tcBorders>
            <w:shd w:val="clear" w:color="auto" w:fill="auto"/>
            <w:vAlign w:val="bottom"/>
          </w:tcPr>
          <w:p w:rsidR="0055491A" w:rsidRPr="0050141F" w:rsidRDefault="0055491A" w:rsidP="00210BF6">
            <w:pPr>
              <w:jc w:val="center"/>
              <w:rPr>
                <w:color w:val="000000" w:themeColor="text1"/>
                <w:sz w:val="20"/>
                <w:szCs w:val="20"/>
              </w:rPr>
            </w:pPr>
            <w:r w:rsidRPr="0050141F">
              <w:rPr>
                <w:color w:val="000000" w:themeColor="text1"/>
                <w:sz w:val="20"/>
                <w:szCs w:val="20"/>
              </w:rPr>
              <w:t>400,0</w:t>
            </w:r>
          </w:p>
        </w:tc>
        <w:tc>
          <w:tcPr>
            <w:tcW w:w="688" w:type="dxa"/>
            <w:tcBorders>
              <w:top w:val="nil"/>
              <w:left w:val="nil"/>
              <w:bottom w:val="single" w:sz="8" w:space="0" w:color="000000"/>
              <w:right w:val="single" w:sz="8" w:space="0" w:color="000000"/>
            </w:tcBorders>
            <w:shd w:val="clear" w:color="auto" w:fill="auto"/>
            <w:vAlign w:val="bottom"/>
          </w:tcPr>
          <w:p w:rsidR="0055491A" w:rsidRPr="0050141F" w:rsidRDefault="0055491A" w:rsidP="00210BF6">
            <w:pPr>
              <w:jc w:val="center"/>
              <w:rPr>
                <w:color w:val="000000" w:themeColor="text1"/>
                <w:sz w:val="20"/>
                <w:szCs w:val="20"/>
              </w:rPr>
            </w:pPr>
            <w:r w:rsidRPr="0050141F">
              <w:rPr>
                <w:color w:val="000000" w:themeColor="text1"/>
                <w:sz w:val="20"/>
                <w:szCs w:val="20"/>
              </w:rPr>
              <w:t>3</w:t>
            </w:r>
          </w:p>
        </w:tc>
        <w:tc>
          <w:tcPr>
            <w:tcW w:w="872" w:type="dxa"/>
            <w:tcBorders>
              <w:top w:val="nil"/>
              <w:left w:val="nil"/>
              <w:bottom w:val="single" w:sz="8" w:space="0" w:color="000000"/>
              <w:right w:val="single" w:sz="8" w:space="0" w:color="000000"/>
            </w:tcBorders>
            <w:shd w:val="clear" w:color="auto" w:fill="auto"/>
            <w:vAlign w:val="bottom"/>
          </w:tcPr>
          <w:p w:rsidR="0055491A" w:rsidRPr="0050141F" w:rsidRDefault="0055491A" w:rsidP="00210BF6">
            <w:pPr>
              <w:jc w:val="center"/>
              <w:rPr>
                <w:color w:val="000000" w:themeColor="text1"/>
                <w:sz w:val="20"/>
                <w:szCs w:val="20"/>
              </w:rPr>
            </w:pPr>
            <w:r w:rsidRPr="0050141F">
              <w:rPr>
                <w:color w:val="000000" w:themeColor="text1"/>
                <w:sz w:val="20"/>
                <w:szCs w:val="20"/>
              </w:rPr>
              <w:t>300,0</w:t>
            </w:r>
          </w:p>
        </w:tc>
        <w:tc>
          <w:tcPr>
            <w:tcW w:w="650" w:type="dxa"/>
            <w:tcBorders>
              <w:top w:val="nil"/>
              <w:left w:val="nil"/>
              <w:bottom w:val="single" w:sz="8" w:space="0" w:color="000000"/>
              <w:right w:val="single" w:sz="8" w:space="0" w:color="000000"/>
            </w:tcBorders>
            <w:shd w:val="clear" w:color="auto" w:fill="auto"/>
            <w:vAlign w:val="bottom"/>
          </w:tcPr>
          <w:p w:rsidR="0055491A" w:rsidRPr="0050141F" w:rsidRDefault="0055491A" w:rsidP="00210BF6">
            <w:pPr>
              <w:jc w:val="center"/>
              <w:rPr>
                <w:color w:val="000000" w:themeColor="text1"/>
                <w:sz w:val="20"/>
                <w:szCs w:val="20"/>
              </w:rPr>
            </w:pPr>
            <w:r w:rsidRPr="0050141F">
              <w:rPr>
                <w:color w:val="000000" w:themeColor="text1"/>
                <w:sz w:val="20"/>
                <w:szCs w:val="20"/>
              </w:rPr>
              <w:t>4</w:t>
            </w:r>
          </w:p>
        </w:tc>
        <w:tc>
          <w:tcPr>
            <w:tcW w:w="909" w:type="dxa"/>
            <w:tcBorders>
              <w:top w:val="nil"/>
              <w:left w:val="nil"/>
              <w:bottom w:val="single" w:sz="8" w:space="0" w:color="000000"/>
              <w:right w:val="single" w:sz="8" w:space="0" w:color="000000"/>
            </w:tcBorders>
            <w:shd w:val="clear" w:color="auto" w:fill="auto"/>
            <w:vAlign w:val="bottom"/>
          </w:tcPr>
          <w:p w:rsidR="0055491A" w:rsidRPr="0050141F" w:rsidRDefault="0055491A" w:rsidP="00210BF6">
            <w:pPr>
              <w:jc w:val="center"/>
              <w:rPr>
                <w:color w:val="000000" w:themeColor="text1"/>
                <w:sz w:val="20"/>
                <w:szCs w:val="20"/>
              </w:rPr>
            </w:pPr>
            <w:r w:rsidRPr="0050141F">
              <w:rPr>
                <w:color w:val="000000" w:themeColor="text1"/>
                <w:sz w:val="20"/>
                <w:szCs w:val="20"/>
              </w:rPr>
              <w:t>400,0</w:t>
            </w:r>
          </w:p>
        </w:tc>
      </w:tr>
      <w:tr w:rsidR="0055491A" w:rsidRPr="009370D3" w:rsidTr="00210BF6">
        <w:trPr>
          <w:trHeight w:val="399"/>
        </w:trPr>
        <w:tc>
          <w:tcPr>
            <w:tcW w:w="709" w:type="dxa"/>
            <w:vMerge w:val="restart"/>
            <w:tcBorders>
              <w:top w:val="single" w:sz="4" w:space="0" w:color="auto"/>
              <w:left w:val="single" w:sz="4" w:space="0" w:color="auto"/>
              <w:right w:val="single" w:sz="4" w:space="0" w:color="auto"/>
            </w:tcBorders>
            <w:shd w:val="clear" w:color="auto" w:fill="auto"/>
            <w:vAlign w:val="bottom"/>
          </w:tcPr>
          <w:p w:rsidR="0055491A" w:rsidRPr="0050141F" w:rsidRDefault="0055491A" w:rsidP="00210BF6">
            <w:pPr>
              <w:rPr>
                <w:color w:val="000000" w:themeColor="text1"/>
                <w:sz w:val="16"/>
                <w:szCs w:val="16"/>
              </w:rPr>
            </w:pPr>
            <w:r w:rsidRPr="0050141F">
              <w:rPr>
                <w:color w:val="000000" w:themeColor="text1"/>
                <w:sz w:val="16"/>
                <w:szCs w:val="16"/>
              </w:rPr>
              <w:t>Ст. 14.16</w:t>
            </w:r>
          </w:p>
        </w:tc>
        <w:tc>
          <w:tcPr>
            <w:tcW w:w="987" w:type="dxa"/>
            <w:tcBorders>
              <w:top w:val="nil"/>
              <w:left w:val="nil"/>
              <w:bottom w:val="single" w:sz="8" w:space="0" w:color="000000"/>
              <w:right w:val="single" w:sz="8" w:space="0" w:color="000000"/>
            </w:tcBorders>
            <w:shd w:val="clear" w:color="auto" w:fill="auto"/>
            <w:vAlign w:val="bottom"/>
          </w:tcPr>
          <w:p w:rsidR="0055491A" w:rsidRPr="0050141F" w:rsidRDefault="0055491A" w:rsidP="00210BF6">
            <w:pPr>
              <w:jc w:val="center"/>
              <w:rPr>
                <w:color w:val="000000" w:themeColor="text1"/>
                <w:sz w:val="20"/>
                <w:szCs w:val="20"/>
              </w:rPr>
            </w:pPr>
            <w:r w:rsidRPr="0050141F">
              <w:rPr>
                <w:color w:val="000000" w:themeColor="text1"/>
                <w:sz w:val="20"/>
                <w:szCs w:val="20"/>
              </w:rPr>
              <w:t>50</w:t>
            </w:r>
          </w:p>
        </w:tc>
        <w:tc>
          <w:tcPr>
            <w:tcW w:w="431" w:type="dxa"/>
            <w:tcBorders>
              <w:top w:val="nil"/>
              <w:left w:val="nil"/>
              <w:bottom w:val="single" w:sz="8" w:space="0" w:color="000000"/>
              <w:right w:val="single" w:sz="8" w:space="0" w:color="000000"/>
            </w:tcBorders>
            <w:shd w:val="clear" w:color="auto" w:fill="auto"/>
            <w:vAlign w:val="bottom"/>
          </w:tcPr>
          <w:p w:rsidR="0055491A" w:rsidRPr="0050141F" w:rsidRDefault="0055491A" w:rsidP="00210BF6">
            <w:pPr>
              <w:jc w:val="center"/>
              <w:rPr>
                <w:color w:val="000000" w:themeColor="text1"/>
                <w:sz w:val="20"/>
                <w:szCs w:val="20"/>
              </w:rPr>
            </w:pPr>
            <w:r w:rsidRPr="0050141F">
              <w:rPr>
                <w:color w:val="000000" w:themeColor="text1"/>
                <w:sz w:val="20"/>
                <w:szCs w:val="20"/>
              </w:rPr>
              <w:t>0</w:t>
            </w:r>
          </w:p>
        </w:tc>
        <w:tc>
          <w:tcPr>
            <w:tcW w:w="567" w:type="dxa"/>
            <w:tcBorders>
              <w:top w:val="nil"/>
              <w:left w:val="nil"/>
              <w:bottom w:val="single" w:sz="8" w:space="0" w:color="000000"/>
              <w:right w:val="single" w:sz="8" w:space="0" w:color="000000"/>
            </w:tcBorders>
            <w:shd w:val="clear" w:color="auto" w:fill="auto"/>
            <w:vAlign w:val="bottom"/>
          </w:tcPr>
          <w:p w:rsidR="0055491A" w:rsidRPr="0050141F" w:rsidRDefault="0055491A" w:rsidP="00210BF6">
            <w:pPr>
              <w:jc w:val="center"/>
              <w:rPr>
                <w:color w:val="000000" w:themeColor="text1"/>
                <w:sz w:val="20"/>
                <w:szCs w:val="20"/>
              </w:rPr>
            </w:pPr>
            <w:r w:rsidRPr="0050141F">
              <w:rPr>
                <w:color w:val="000000" w:themeColor="text1"/>
                <w:sz w:val="20"/>
                <w:szCs w:val="20"/>
              </w:rPr>
              <w:t>0</w:t>
            </w:r>
          </w:p>
        </w:tc>
        <w:tc>
          <w:tcPr>
            <w:tcW w:w="425" w:type="dxa"/>
            <w:tcBorders>
              <w:top w:val="nil"/>
              <w:left w:val="nil"/>
              <w:bottom w:val="single" w:sz="8" w:space="0" w:color="000000"/>
              <w:right w:val="single" w:sz="8" w:space="0" w:color="000000"/>
            </w:tcBorders>
            <w:shd w:val="clear" w:color="auto" w:fill="auto"/>
            <w:vAlign w:val="bottom"/>
          </w:tcPr>
          <w:p w:rsidR="0055491A" w:rsidRPr="0050141F" w:rsidRDefault="0055491A" w:rsidP="00210BF6">
            <w:pPr>
              <w:jc w:val="center"/>
              <w:rPr>
                <w:color w:val="000000" w:themeColor="text1"/>
                <w:sz w:val="20"/>
                <w:szCs w:val="20"/>
              </w:rPr>
            </w:pPr>
            <w:r w:rsidRPr="0050141F">
              <w:rPr>
                <w:color w:val="000000" w:themeColor="text1"/>
                <w:sz w:val="20"/>
                <w:szCs w:val="20"/>
              </w:rPr>
              <w:t>5</w:t>
            </w:r>
          </w:p>
        </w:tc>
        <w:tc>
          <w:tcPr>
            <w:tcW w:w="761" w:type="dxa"/>
            <w:tcBorders>
              <w:top w:val="nil"/>
              <w:left w:val="nil"/>
              <w:bottom w:val="single" w:sz="8" w:space="0" w:color="000000"/>
              <w:right w:val="single" w:sz="8" w:space="0" w:color="000000"/>
            </w:tcBorders>
            <w:shd w:val="clear" w:color="auto" w:fill="auto"/>
            <w:vAlign w:val="bottom"/>
          </w:tcPr>
          <w:p w:rsidR="0055491A" w:rsidRPr="0050141F" w:rsidRDefault="0055491A" w:rsidP="00210BF6">
            <w:pPr>
              <w:jc w:val="center"/>
              <w:rPr>
                <w:color w:val="000000" w:themeColor="text1"/>
                <w:sz w:val="20"/>
                <w:szCs w:val="20"/>
              </w:rPr>
            </w:pPr>
            <w:r w:rsidRPr="0050141F">
              <w:rPr>
                <w:color w:val="000000" w:themeColor="text1"/>
                <w:sz w:val="20"/>
                <w:szCs w:val="20"/>
              </w:rPr>
              <w:t>2</w:t>
            </w:r>
          </w:p>
        </w:tc>
        <w:tc>
          <w:tcPr>
            <w:tcW w:w="798" w:type="dxa"/>
            <w:tcBorders>
              <w:top w:val="nil"/>
              <w:left w:val="nil"/>
              <w:bottom w:val="single" w:sz="8" w:space="0" w:color="000000"/>
              <w:right w:val="single" w:sz="8" w:space="0" w:color="000000"/>
            </w:tcBorders>
            <w:shd w:val="clear" w:color="auto" w:fill="auto"/>
            <w:vAlign w:val="bottom"/>
          </w:tcPr>
          <w:p w:rsidR="0055491A" w:rsidRPr="0050141F" w:rsidRDefault="0055491A" w:rsidP="00210BF6">
            <w:pPr>
              <w:jc w:val="center"/>
              <w:rPr>
                <w:color w:val="000000" w:themeColor="text1"/>
                <w:sz w:val="20"/>
                <w:szCs w:val="20"/>
              </w:rPr>
            </w:pPr>
            <w:r w:rsidRPr="0050141F">
              <w:rPr>
                <w:color w:val="000000" w:themeColor="text1"/>
                <w:sz w:val="20"/>
                <w:szCs w:val="20"/>
              </w:rPr>
              <w:t>100,0</w:t>
            </w:r>
          </w:p>
        </w:tc>
        <w:tc>
          <w:tcPr>
            <w:tcW w:w="724" w:type="dxa"/>
            <w:tcBorders>
              <w:top w:val="nil"/>
              <w:left w:val="nil"/>
              <w:bottom w:val="single" w:sz="8" w:space="0" w:color="000000"/>
              <w:right w:val="single" w:sz="8" w:space="0" w:color="000000"/>
            </w:tcBorders>
            <w:shd w:val="clear" w:color="auto" w:fill="auto"/>
            <w:vAlign w:val="bottom"/>
          </w:tcPr>
          <w:p w:rsidR="0055491A" w:rsidRPr="0050141F" w:rsidRDefault="0055491A" w:rsidP="00210BF6">
            <w:pPr>
              <w:jc w:val="center"/>
              <w:rPr>
                <w:color w:val="000000" w:themeColor="text1"/>
                <w:sz w:val="20"/>
                <w:szCs w:val="20"/>
              </w:rPr>
            </w:pPr>
            <w:r w:rsidRPr="0050141F">
              <w:rPr>
                <w:color w:val="000000" w:themeColor="text1"/>
                <w:sz w:val="20"/>
                <w:szCs w:val="20"/>
              </w:rPr>
              <w:t>2</w:t>
            </w:r>
          </w:p>
        </w:tc>
        <w:tc>
          <w:tcPr>
            <w:tcW w:w="835" w:type="dxa"/>
            <w:tcBorders>
              <w:top w:val="nil"/>
              <w:left w:val="nil"/>
              <w:bottom w:val="single" w:sz="8" w:space="0" w:color="000000"/>
              <w:right w:val="single" w:sz="8" w:space="0" w:color="000000"/>
            </w:tcBorders>
            <w:shd w:val="clear" w:color="auto" w:fill="auto"/>
            <w:vAlign w:val="bottom"/>
          </w:tcPr>
          <w:p w:rsidR="0055491A" w:rsidRPr="0050141F" w:rsidRDefault="0055491A" w:rsidP="00210BF6">
            <w:pPr>
              <w:jc w:val="center"/>
              <w:rPr>
                <w:color w:val="000000" w:themeColor="text1"/>
                <w:sz w:val="20"/>
                <w:szCs w:val="20"/>
              </w:rPr>
            </w:pPr>
            <w:r w:rsidRPr="0050141F">
              <w:rPr>
                <w:color w:val="000000" w:themeColor="text1"/>
                <w:sz w:val="20"/>
                <w:szCs w:val="20"/>
              </w:rPr>
              <w:t>100,0</w:t>
            </w:r>
          </w:p>
        </w:tc>
        <w:tc>
          <w:tcPr>
            <w:tcW w:w="688" w:type="dxa"/>
            <w:tcBorders>
              <w:top w:val="nil"/>
              <w:left w:val="nil"/>
              <w:bottom w:val="single" w:sz="8" w:space="0" w:color="000000"/>
              <w:right w:val="single" w:sz="8" w:space="0" w:color="000000"/>
            </w:tcBorders>
            <w:shd w:val="clear" w:color="auto" w:fill="auto"/>
            <w:vAlign w:val="bottom"/>
          </w:tcPr>
          <w:p w:rsidR="0055491A" w:rsidRPr="0050141F" w:rsidRDefault="0055491A" w:rsidP="00210BF6">
            <w:pPr>
              <w:jc w:val="center"/>
              <w:rPr>
                <w:color w:val="000000" w:themeColor="text1"/>
                <w:sz w:val="20"/>
                <w:szCs w:val="20"/>
              </w:rPr>
            </w:pPr>
            <w:r w:rsidRPr="0050141F">
              <w:rPr>
                <w:color w:val="000000" w:themeColor="text1"/>
                <w:sz w:val="20"/>
                <w:szCs w:val="20"/>
              </w:rPr>
              <w:t>3</w:t>
            </w:r>
          </w:p>
        </w:tc>
        <w:tc>
          <w:tcPr>
            <w:tcW w:w="872" w:type="dxa"/>
            <w:tcBorders>
              <w:top w:val="nil"/>
              <w:left w:val="nil"/>
              <w:bottom w:val="single" w:sz="8" w:space="0" w:color="000000"/>
              <w:right w:val="single" w:sz="8" w:space="0" w:color="000000"/>
            </w:tcBorders>
            <w:shd w:val="clear" w:color="auto" w:fill="auto"/>
            <w:vAlign w:val="bottom"/>
          </w:tcPr>
          <w:p w:rsidR="0055491A" w:rsidRPr="0050141F" w:rsidRDefault="0055491A" w:rsidP="00210BF6">
            <w:pPr>
              <w:jc w:val="center"/>
              <w:rPr>
                <w:color w:val="000000" w:themeColor="text1"/>
                <w:sz w:val="20"/>
                <w:szCs w:val="20"/>
              </w:rPr>
            </w:pPr>
            <w:r w:rsidRPr="0050141F">
              <w:rPr>
                <w:color w:val="000000" w:themeColor="text1"/>
                <w:sz w:val="20"/>
                <w:szCs w:val="20"/>
              </w:rPr>
              <w:t>150,0</w:t>
            </w:r>
          </w:p>
        </w:tc>
        <w:tc>
          <w:tcPr>
            <w:tcW w:w="650" w:type="dxa"/>
            <w:tcBorders>
              <w:top w:val="nil"/>
              <w:left w:val="nil"/>
              <w:bottom w:val="single" w:sz="8" w:space="0" w:color="000000"/>
              <w:right w:val="single" w:sz="8" w:space="0" w:color="000000"/>
            </w:tcBorders>
            <w:shd w:val="clear" w:color="auto" w:fill="auto"/>
            <w:vAlign w:val="bottom"/>
          </w:tcPr>
          <w:p w:rsidR="0055491A" w:rsidRPr="0050141F" w:rsidRDefault="0055491A" w:rsidP="00210BF6">
            <w:pPr>
              <w:jc w:val="center"/>
              <w:rPr>
                <w:color w:val="000000" w:themeColor="text1"/>
                <w:sz w:val="20"/>
                <w:szCs w:val="20"/>
              </w:rPr>
            </w:pPr>
            <w:r w:rsidRPr="0050141F">
              <w:rPr>
                <w:color w:val="000000" w:themeColor="text1"/>
                <w:sz w:val="20"/>
                <w:szCs w:val="20"/>
              </w:rPr>
              <w:t>2</w:t>
            </w:r>
          </w:p>
        </w:tc>
        <w:tc>
          <w:tcPr>
            <w:tcW w:w="909" w:type="dxa"/>
            <w:tcBorders>
              <w:top w:val="nil"/>
              <w:left w:val="nil"/>
              <w:bottom w:val="single" w:sz="8" w:space="0" w:color="000000"/>
              <w:right w:val="single" w:sz="8" w:space="0" w:color="000000"/>
            </w:tcBorders>
            <w:shd w:val="clear" w:color="auto" w:fill="auto"/>
            <w:vAlign w:val="bottom"/>
          </w:tcPr>
          <w:p w:rsidR="0055491A" w:rsidRPr="0050141F" w:rsidRDefault="0055491A" w:rsidP="00210BF6">
            <w:pPr>
              <w:jc w:val="center"/>
              <w:rPr>
                <w:color w:val="000000" w:themeColor="text1"/>
                <w:sz w:val="20"/>
                <w:szCs w:val="20"/>
              </w:rPr>
            </w:pPr>
            <w:r w:rsidRPr="0050141F">
              <w:rPr>
                <w:color w:val="000000" w:themeColor="text1"/>
                <w:sz w:val="20"/>
                <w:szCs w:val="20"/>
              </w:rPr>
              <w:t>100,0</w:t>
            </w:r>
          </w:p>
        </w:tc>
      </w:tr>
      <w:tr w:rsidR="0055491A" w:rsidRPr="009370D3" w:rsidTr="00210BF6">
        <w:trPr>
          <w:trHeight w:val="399"/>
        </w:trPr>
        <w:tc>
          <w:tcPr>
            <w:tcW w:w="709" w:type="dxa"/>
            <w:vMerge/>
            <w:tcBorders>
              <w:left w:val="single" w:sz="4" w:space="0" w:color="auto"/>
              <w:bottom w:val="single" w:sz="4" w:space="0" w:color="auto"/>
              <w:right w:val="single" w:sz="4" w:space="0" w:color="auto"/>
            </w:tcBorders>
            <w:shd w:val="clear" w:color="auto" w:fill="auto"/>
            <w:vAlign w:val="bottom"/>
          </w:tcPr>
          <w:p w:rsidR="0055491A" w:rsidRPr="0050141F" w:rsidRDefault="0055491A" w:rsidP="00210BF6">
            <w:pPr>
              <w:rPr>
                <w:rFonts w:ascii="Arial CYR" w:hAnsi="Arial CYR" w:cs="Arial CYR"/>
                <w:color w:val="000000" w:themeColor="text1"/>
                <w:sz w:val="20"/>
                <w:szCs w:val="20"/>
              </w:rPr>
            </w:pPr>
          </w:p>
        </w:tc>
        <w:tc>
          <w:tcPr>
            <w:tcW w:w="987" w:type="dxa"/>
            <w:tcBorders>
              <w:top w:val="nil"/>
              <w:left w:val="nil"/>
              <w:bottom w:val="single" w:sz="8" w:space="0" w:color="000000"/>
              <w:right w:val="single" w:sz="8" w:space="0" w:color="000000"/>
            </w:tcBorders>
            <w:shd w:val="clear" w:color="auto" w:fill="auto"/>
            <w:vAlign w:val="bottom"/>
          </w:tcPr>
          <w:p w:rsidR="0055491A" w:rsidRPr="0050141F" w:rsidRDefault="0055491A" w:rsidP="00210BF6">
            <w:pPr>
              <w:jc w:val="center"/>
              <w:rPr>
                <w:color w:val="000000" w:themeColor="text1"/>
                <w:sz w:val="20"/>
                <w:szCs w:val="20"/>
              </w:rPr>
            </w:pPr>
            <w:r w:rsidRPr="0050141F">
              <w:rPr>
                <w:color w:val="000000" w:themeColor="text1"/>
                <w:sz w:val="20"/>
                <w:szCs w:val="20"/>
              </w:rPr>
              <w:t>100</w:t>
            </w:r>
          </w:p>
        </w:tc>
        <w:tc>
          <w:tcPr>
            <w:tcW w:w="431" w:type="dxa"/>
            <w:tcBorders>
              <w:top w:val="nil"/>
              <w:left w:val="nil"/>
              <w:bottom w:val="single" w:sz="8" w:space="0" w:color="000000"/>
              <w:right w:val="single" w:sz="8" w:space="0" w:color="000000"/>
            </w:tcBorders>
            <w:shd w:val="clear" w:color="auto" w:fill="auto"/>
            <w:vAlign w:val="bottom"/>
          </w:tcPr>
          <w:p w:rsidR="0055491A" w:rsidRPr="0050141F" w:rsidRDefault="0055491A" w:rsidP="00210BF6">
            <w:pPr>
              <w:jc w:val="center"/>
              <w:rPr>
                <w:color w:val="000000" w:themeColor="text1"/>
                <w:sz w:val="20"/>
                <w:szCs w:val="20"/>
              </w:rPr>
            </w:pPr>
            <w:r w:rsidRPr="0050141F">
              <w:rPr>
                <w:color w:val="000000" w:themeColor="text1"/>
                <w:sz w:val="20"/>
                <w:szCs w:val="20"/>
              </w:rPr>
              <w:t>4</w:t>
            </w:r>
          </w:p>
        </w:tc>
        <w:tc>
          <w:tcPr>
            <w:tcW w:w="567" w:type="dxa"/>
            <w:tcBorders>
              <w:top w:val="nil"/>
              <w:left w:val="nil"/>
              <w:bottom w:val="single" w:sz="8" w:space="0" w:color="000000"/>
              <w:right w:val="single" w:sz="8" w:space="0" w:color="000000"/>
            </w:tcBorders>
            <w:shd w:val="clear" w:color="auto" w:fill="auto"/>
            <w:vAlign w:val="bottom"/>
          </w:tcPr>
          <w:p w:rsidR="0055491A" w:rsidRPr="0050141F" w:rsidRDefault="0055491A" w:rsidP="00210BF6">
            <w:pPr>
              <w:jc w:val="center"/>
              <w:rPr>
                <w:color w:val="000000" w:themeColor="text1"/>
                <w:sz w:val="20"/>
                <w:szCs w:val="20"/>
              </w:rPr>
            </w:pPr>
            <w:r w:rsidRPr="0050141F">
              <w:rPr>
                <w:color w:val="000000" w:themeColor="text1"/>
                <w:sz w:val="20"/>
                <w:szCs w:val="20"/>
              </w:rPr>
              <w:t>8</w:t>
            </w:r>
          </w:p>
        </w:tc>
        <w:tc>
          <w:tcPr>
            <w:tcW w:w="425" w:type="dxa"/>
            <w:tcBorders>
              <w:top w:val="nil"/>
              <w:left w:val="nil"/>
              <w:bottom w:val="single" w:sz="8" w:space="0" w:color="000000"/>
              <w:right w:val="single" w:sz="8" w:space="0" w:color="000000"/>
            </w:tcBorders>
            <w:shd w:val="clear" w:color="auto" w:fill="auto"/>
            <w:vAlign w:val="bottom"/>
          </w:tcPr>
          <w:p w:rsidR="0055491A" w:rsidRPr="0050141F" w:rsidRDefault="0055491A" w:rsidP="00210BF6">
            <w:pPr>
              <w:jc w:val="center"/>
              <w:rPr>
                <w:color w:val="000000" w:themeColor="text1"/>
                <w:sz w:val="20"/>
                <w:szCs w:val="20"/>
              </w:rPr>
            </w:pPr>
            <w:r w:rsidRPr="0050141F">
              <w:rPr>
                <w:color w:val="000000" w:themeColor="text1"/>
                <w:sz w:val="20"/>
                <w:szCs w:val="20"/>
              </w:rPr>
              <w:t>0</w:t>
            </w:r>
          </w:p>
        </w:tc>
        <w:tc>
          <w:tcPr>
            <w:tcW w:w="761" w:type="dxa"/>
            <w:tcBorders>
              <w:top w:val="nil"/>
              <w:left w:val="nil"/>
              <w:bottom w:val="single" w:sz="8" w:space="0" w:color="000000"/>
              <w:right w:val="single" w:sz="8" w:space="0" w:color="000000"/>
            </w:tcBorders>
            <w:shd w:val="clear" w:color="auto" w:fill="auto"/>
            <w:vAlign w:val="bottom"/>
          </w:tcPr>
          <w:p w:rsidR="0055491A" w:rsidRPr="0050141F" w:rsidRDefault="0055491A" w:rsidP="00210BF6">
            <w:pPr>
              <w:jc w:val="center"/>
              <w:rPr>
                <w:color w:val="000000" w:themeColor="text1"/>
                <w:sz w:val="20"/>
                <w:szCs w:val="20"/>
              </w:rPr>
            </w:pPr>
            <w:r w:rsidRPr="0050141F">
              <w:rPr>
                <w:color w:val="000000" w:themeColor="text1"/>
                <w:sz w:val="20"/>
                <w:szCs w:val="20"/>
              </w:rPr>
              <w:t>4</w:t>
            </w:r>
          </w:p>
        </w:tc>
        <w:tc>
          <w:tcPr>
            <w:tcW w:w="798" w:type="dxa"/>
            <w:tcBorders>
              <w:top w:val="nil"/>
              <w:left w:val="nil"/>
              <w:bottom w:val="single" w:sz="8" w:space="0" w:color="000000"/>
              <w:right w:val="single" w:sz="8" w:space="0" w:color="000000"/>
            </w:tcBorders>
            <w:shd w:val="clear" w:color="auto" w:fill="auto"/>
            <w:vAlign w:val="bottom"/>
          </w:tcPr>
          <w:p w:rsidR="0055491A" w:rsidRPr="0050141F" w:rsidRDefault="0055491A" w:rsidP="00210BF6">
            <w:pPr>
              <w:jc w:val="center"/>
              <w:rPr>
                <w:color w:val="000000" w:themeColor="text1"/>
                <w:sz w:val="20"/>
                <w:szCs w:val="20"/>
              </w:rPr>
            </w:pPr>
            <w:r w:rsidRPr="0050141F">
              <w:rPr>
                <w:color w:val="000000" w:themeColor="text1"/>
                <w:sz w:val="20"/>
                <w:szCs w:val="20"/>
              </w:rPr>
              <w:t>400,0</w:t>
            </w:r>
          </w:p>
        </w:tc>
        <w:tc>
          <w:tcPr>
            <w:tcW w:w="724" w:type="dxa"/>
            <w:tcBorders>
              <w:top w:val="nil"/>
              <w:left w:val="nil"/>
              <w:bottom w:val="single" w:sz="8" w:space="0" w:color="000000"/>
              <w:right w:val="single" w:sz="8" w:space="0" w:color="000000"/>
            </w:tcBorders>
            <w:shd w:val="clear" w:color="auto" w:fill="auto"/>
            <w:vAlign w:val="bottom"/>
          </w:tcPr>
          <w:p w:rsidR="0055491A" w:rsidRPr="0050141F" w:rsidRDefault="0055491A" w:rsidP="00210BF6">
            <w:pPr>
              <w:jc w:val="center"/>
              <w:rPr>
                <w:color w:val="000000" w:themeColor="text1"/>
                <w:sz w:val="20"/>
                <w:szCs w:val="20"/>
              </w:rPr>
            </w:pPr>
            <w:r w:rsidRPr="0050141F">
              <w:rPr>
                <w:color w:val="000000" w:themeColor="text1"/>
                <w:sz w:val="20"/>
                <w:szCs w:val="20"/>
              </w:rPr>
              <w:t>4</w:t>
            </w:r>
          </w:p>
        </w:tc>
        <w:tc>
          <w:tcPr>
            <w:tcW w:w="835" w:type="dxa"/>
            <w:tcBorders>
              <w:top w:val="nil"/>
              <w:left w:val="nil"/>
              <w:bottom w:val="single" w:sz="8" w:space="0" w:color="000000"/>
              <w:right w:val="single" w:sz="8" w:space="0" w:color="000000"/>
            </w:tcBorders>
            <w:shd w:val="clear" w:color="auto" w:fill="auto"/>
            <w:vAlign w:val="bottom"/>
          </w:tcPr>
          <w:p w:rsidR="0055491A" w:rsidRPr="0050141F" w:rsidRDefault="0055491A" w:rsidP="00210BF6">
            <w:pPr>
              <w:jc w:val="center"/>
              <w:rPr>
                <w:color w:val="000000" w:themeColor="text1"/>
                <w:sz w:val="20"/>
                <w:szCs w:val="20"/>
              </w:rPr>
            </w:pPr>
            <w:r w:rsidRPr="0050141F">
              <w:rPr>
                <w:color w:val="000000" w:themeColor="text1"/>
                <w:sz w:val="20"/>
                <w:szCs w:val="20"/>
              </w:rPr>
              <w:t>400,0</w:t>
            </w:r>
          </w:p>
        </w:tc>
        <w:tc>
          <w:tcPr>
            <w:tcW w:w="688" w:type="dxa"/>
            <w:tcBorders>
              <w:top w:val="nil"/>
              <w:left w:val="nil"/>
              <w:bottom w:val="single" w:sz="8" w:space="0" w:color="000000"/>
              <w:right w:val="single" w:sz="8" w:space="0" w:color="000000"/>
            </w:tcBorders>
            <w:shd w:val="clear" w:color="auto" w:fill="auto"/>
            <w:vAlign w:val="bottom"/>
          </w:tcPr>
          <w:p w:rsidR="0055491A" w:rsidRPr="0050141F" w:rsidRDefault="0055491A" w:rsidP="00210BF6">
            <w:pPr>
              <w:jc w:val="center"/>
              <w:rPr>
                <w:color w:val="000000" w:themeColor="text1"/>
                <w:sz w:val="20"/>
                <w:szCs w:val="20"/>
              </w:rPr>
            </w:pPr>
            <w:r w:rsidRPr="0050141F">
              <w:rPr>
                <w:color w:val="000000" w:themeColor="text1"/>
                <w:sz w:val="20"/>
                <w:szCs w:val="20"/>
              </w:rPr>
              <w:t>3</w:t>
            </w:r>
          </w:p>
        </w:tc>
        <w:tc>
          <w:tcPr>
            <w:tcW w:w="872" w:type="dxa"/>
            <w:tcBorders>
              <w:top w:val="nil"/>
              <w:left w:val="nil"/>
              <w:bottom w:val="single" w:sz="8" w:space="0" w:color="000000"/>
              <w:right w:val="single" w:sz="8" w:space="0" w:color="000000"/>
            </w:tcBorders>
            <w:shd w:val="clear" w:color="auto" w:fill="auto"/>
            <w:vAlign w:val="bottom"/>
          </w:tcPr>
          <w:p w:rsidR="0055491A" w:rsidRPr="0050141F" w:rsidRDefault="0055491A" w:rsidP="00210BF6">
            <w:pPr>
              <w:jc w:val="center"/>
              <w:rPr>
                <w:color w:val="000000" w:themeColor="text1"/>
                <w:sz w:val="20"/>
                <w:szCs w:val="20"/>
              </w:rPr>
            </w:pPr>
            <w:r w:rsidRPr="0050141F">
              <w:rPr>
                <w:color w:val="000000" w:themeColor="text1"/>
                <w:sz w:val="20"/>
                <w:szCs w:val="20"/>
              </w:rPr>
              <w:t>300,0</w:t>
            </w:r>
          </w:p>
        </w:tc>
        <w:tc>
          <w:tcPr>
            <w:tcW w:w="650" w:type="dxa"/>
            <w:tcBorders>
              <w:top w:val="nil"/>
              <w:left w:val="nil"/>
              <w:bottom w:val="single" w:sz="8" w:space="0" w:color="000000"/>
              <w:right w:val="single" w:sz="8" w:space="0" w:color="000000"/>
            </w:tcBorders>
            <w:shd w:val="clear" w:color="auto" w:fill="auto"/>
            <w:vAlign w:val="bottom"/>
          </w:tcPr>
          <w:p w:rsidR="0055491A" w:rsidRPr="0050141F" w:rsidRDefault="0055491A" w:rsidP="00210BF6">
            <w:pPr>
              <w:jc w:val="center"/>
              <w:rPr>
                <w:color w:val="000000" w:themeColor="text1"/>
                <w:sz w:val="20"/>
                <w:szCs w:val="20"/>
              </w:rPr>
            </w:pPr>
            <w:r w:rsidRPr="0050141F">
              <w:rPr>
                <w:color w:val="000000" w:themeColor="text1"/>
                <w:sz w:val="20"/>
                <w:szCs w:val="20"/>
              </w:rPr>
              <w:t>4</w:t>
            </w:r>
          </w:p>
        </w:tc>
        <w:tc>
          <w:tcPr>
            <w:tcW w:w="909" w:type="dxa"/>
            <w:tcBorders>
              <w:top w:val="nil"/>
              <w:left w:val="nil"/>
              <w:bottom w:val="single" w:sz="8" w:space="0" w:color="000000"/>
              <w:right w:val="single" w:sz="8" w:space="0" w:color="000000"/>
            </w:tcBorders>
            <w:shd w:val="clear" w:color="auto" w:fill="auto"/>
            <w:vAlign w:val="bottom"/>
          </w:tcPr>
          <w:p w:rsidR="0055491A" w:rsidRPr="0050141F" w:rsidRDefault="0055491A" w:rsidP="00210BF6">
            <w:pPr>
              <w:jc w:val="center"/>
              <w:rPr>
                <w:color w:val="000000" w:themeColor="text1"/>
                <w:sz w:val="20"/>
                <w:szCs w:val="20"/>
              </w:rPr>
            </w:pPr>
            <w:r w:rsidRPr="0050141F">
              <w:rPr>
                <w:color w:val="000000" w:themeColor="text1"/>
                <w:sz w:val="20"/>
                <w:szCs w:val="20"/>
              </w:rPr>
              <w:t>400,0</w:t>
            </w:r>
          </w:p>
        </w:tc>
      </w:tr>
      <w:tr w:rsidR="0055491A" w:rsidRPr="009370D3" w:rsidTr="00210BF6">
        <w:trPr>
          <w:trHeight w:val="399"/>
        </w:trPr>
        <w:tc>
          <w:tcPr>
            <w:tcW w:w="709" w:type="dxa"/>
            <w:vMerge w:val="restart"/>
            <w:tcBorders>
              <w:top w:val="single" w:sz="4" w:space="0" w:color="auto"/>
              <w:left w:val="single" w:sz="4" w:space="0" w:color="auto"/>
              <w:right w:val="single" w:sz="4" w:space="0" w:color="auto"/>
            </w:tcBorders>
            <w:shd w:val="clear" w:color="auto" w:fill="auto"/>
            <w:vAlign w:val="bottom"/>
          </w:tcPr>
          <w:p w:rsidR="0055491A" w:rsidRPr="0050141F" w:rsidRDefault="0055491A" w:rsidP="00210BF6">
            <w:pPr>
              <w:rPr>
                <w:color w:val="000000" w:themeColor="text1"/>
                <w:sz w:val="16"/>
                <w:szCs w:val="16"/>
              </w:rPr>
            </w:pPr>
            <w:r w:rsidRPr="0050141F">
              <w:rPr>
                <w:color w:val="000000" w:themeColor="text1"/>
                <w:sz w:val="16"/>
                <w:szCs w:val="16"/>
              </w:rPr>
              <w:t>Ст. 14.19</w:t>
            </w:r>
          </w:p>
        </w:tc>
        <w:tc>
          <w:tcPr>
            <w:tcW w:w="987" w:type="dxa"/>
            <w:tcBorders>
              <w:top w:val="nil"/>
              <w:left w:val="nil"/>
              <w:bottom w:val="single" w:sz="8" w:space="0" w:color="000000"/>
              <w:right w:val="single" w:sz="8" w:space="0" w:color="000000"/>
            </w:tcBorders>
            <w:shd w:val="clear" w:color="auto" w:fill="auto"/>
            <w:vAlign w:val="bottom"/>
          </w:tcPr>
          <w:p w:rsidR="0055491A" w:rsidRPr="0050141F" w:rsidRDefault="0055491A" w:rsidP="00210BF6">
            <w:pPr>
              <w:jc w:val="center"/>
              <w:rPr>
                <w:color w:val="000000" w:themeColor="text1"/>
                <w:sz w:val="20"/>
                <w:szCs w:val="20"/>
              </w:rPr>
            </w:pPr>
            <w:r w:rsidRPr="0050141F">
              <w:rPr>
                <w:color w:val="000000" w:themeColor="text1"/>
                <w:sz w:val="20"/>
                <w:szCs w:val="20"/>
              </w:rPr>
              <w:t>10</w:t>
            </w:r>
          </w:p>
        </w:tc>
        <w:tc>
          <w:tcPr>
            <w:tcW w:w="431" w:type="dxa"/>
            <w:tcBorders>
              <w:top w:val="nil"/>
              <w:left w:val="nil"/>
              <w:bottom w:val="single" w:sz="8" w:space="0" w:color="000000"/>
              <w:right w:val="single" w:sz="8" w:space="0" w:color="000000"/>
            </w:tcBorders>
            <w:shd w:val="clear" w:color="auto" w:fill="auto"/>
            <w:vAlign w:val="bottom"/>
          </w:tcPr>
          <w:p w:rsidR="0055491A" w:rsidRPr="0050141F" w:rsidRDefault="0055491A" w:rsidP="00210BF6">
            <w:pPr>
              <w:jc w:val="center"/>
              <w:rPr>
                <w:color w:val="000000" w:themeColor="text1"/>
                <w:sz w:val="20"/>
                <w:szCs w:val="20"/>
              </w:rPr>
            </w:pPr>
            <w:r w:rsidRPr="0050141F">
              <w:rPr>
                <w:color w:val="000000" w:themeColor="text1"/>
                <w:sz w:val="20"/>
                <w:szCs w:val="20"/>
              </w:rPr>
              <w:t>0</w:t>
            </w:r>
          </w:p>
        </w:tc>
        <w:tc>
          <w:tcPr>
            <w:tcW w:w="567" w:type="dxa"/>
            <w:tcBorders>
              <w:top w:val="nil"/>
              <w:left w:val="nil"/>
              <w:bottom w:val="single" w:sz="8" w:space="0" w:color="000000"/>
              <w:right w:val="single" w:sz="8" w:space="0" w:color="000000"/>
            </w:tcBorders>
            <w:shd w:val="clear" w:color="auto" w:fill="auto"/>
            <w:vAlign w:val="bottom"/>
          </w:tcPr>
          <w:p w:rsidR="0055491A" w:rsidRPr="0050141F" w:rsidRDefault="0055491A" w:rsidP="00210BF6">
            <w:pPr>
              <w:jc w:val="center"/>
              <w:rPr>
                <w:color w:val="000000" w:themeColor="text1"/>
                <w:sz w:val="20"/>
                <w:szCs w:val="20"/>
              </w:rPr>
            </w:pPr>
            <w:r w:rsidRPr="0050141F">
              <w:rPr>
                <w:color w:val="000000" w:themeColor="text1"/>
                <w:sz w:val="20"/>
                <w:szCs w:val="20"/>
              </w:rPr>
              <w:t>0</w:t>
            </w:r>
          </w:p>
        </w:tc>
        <w:tc>
          <w:tcPr>
            <w:tcW w:w="425" w:type="dxa"/>
            <w:tcBorders>
              <w:top w:val="nil"/>
              <w:left w:val="nil"/>
              <w:bottom w:val="single" w:sz="8" w:space="0" w:color="000000"/>
              <w:right w:val="single" w:sz="8" w:space="0" w:color="000000"/>
            </w:tcBorders>
            <w:shd w:val="clear" w:color="auto" w:fill="auto"/>
            <w:vAlign w:val="bottom"/>
          </w:tcPr>
          <w:p w:rsidR="0055491A" w:rsidRPr="0050141F" w:rsidRDefault="0055491A" w:rsidP="00210BF6">
            <w:pPr>
              <w:jc w:val="center"/>
              <w:rPr>
                <w:color w:val="000000" w:themeColor="text1"/>
                <w:sz w:val="20"/>
                <w:szCs w:val="20"/>
              </w:rPr>
            </w:pPr>
            <w:r w:rsidRPr="0050141F">
              <w:rPr>
                <w:color w:val="000000" w:themeColor="text1"/>
                <w:sz w:val="20"/>
                <w:szCs w:val="20"/>
              </w:rPr>
              <w:t>15</w:t>
            </w:r>
          </w:p>
        </w:tc>
        <w:tc>
          <w:tcPr>
            <w:tcW w:w="761" w:type="dxa"/>
            <w:tcBorders>
              <w:top w:val="nil"/>
              <w:left w:val="nil"/>
              <w:bottom w:val="single" w:sz="8" w:space="0" w:color="000000"/>
              <w:right w:val="single" w:sz="8" w:space="0" w:color="000000"/>
            </w:tcBorders>
            <w:shd w:val="clear" w:color="auto" w:fill="auto"/>
            <w:vAlign w:val="bottom"/>
          </w:tcPr>
          <w:p w:rsidR="0055491A" w:rsidRPr="0050141F" w:rsidRDefault="0055491A" w:rsidP="00210BF6">
            <w:pPr>
              <w:jc w:val="center"/>
              <w:rPr>
                <w:color w:val="000000" w:themeColor="text1"/>
                <w:sz w:val="20"/>
                <w:szCs w:val="20"/>
              </w:rPr>
            </w:pPr>
            <w:r w:rsidRPr="0050141F">
              <w:rPr>
                <w:color w:val="000000" w:themeColor="text1"/>
                <w:sz w:val="20"/>
                <w:szCs w:val="20"/>
              </w:rPr>
              <w:t>5</w:t>
            </w:r>
          </w:p>
        </w:tc>
        <w:tc>
          <w:tcPr>
            <w:tcW w:w="798" w:type="dxa"/>
            <w:tcBorders>
              <w:top w:val="nil"/>
              <w:left w:val="nil"/>
              <w:bottom w:val="single" w:sz="8" w:space="0" w:color="000000"/>
              <w:right w:val="single" w:sz="8" w:space="0" w:color="000000"/>
            </w:tcBorders>
            <w:shd w:val="clear" w:color="auto" w:fill="auto"/>
            <w:vAlign w:val="bottom"/>
          </w:tcPr>
          <w:p w:rsidR="0055491A" w:rsidRPr="0050141F" w:rsidRDefault="0055491A" w:rsidP="00210BF6">
            <w:pPr>
              <w:jc w:val="center"/>
              <w:rPr>
                <w:color w:val="000000" w:themeColor="text1"/>
                <w:sz w:val="20"/>
                <w:szCs w:val="20"/>
              </w:rPr>
            </w:pPr>
            <w:r w:rsidRPr="0050141F">
              <w:rPr>
                <w:color w:val="000000" w:themeColor="text1"/>
                <w:sz w:val="20"/>
                <w:szCs w:val="20"/>
              </w:rPr>
              <w:t>50,0</w:t>
            </w:r>
          </w:p>
        </w:tc>
        <w:tc>
          <w:tcPr>
            <w:tcW w:w="724" w:type="dxa"/>
            <w:tcBorders>
              <w:top w:val="nil"/>
              <w:left w:val="nil"/>
              <w:bottom w:val="single" w:sz="8" w:space="0" w:color="000000"/>
              <w:right w:val="single" w:sz="8" w:space="0" w:color="000000"/>
            </w:tcBorders>
            <w:shd w:val="clear" w:color="auto" w:fill="auto"/>
            <w:vAlign w:val="bottom"/>
          </w:tcPr>
          <w:p w:rsidR="0055491A" w:rsidRPr="0050141F" w:rsidRDefault="0055491A" w:rsidP="00210BF6">
            <w:pPr>
              <w:jc w:val="center"/>
              <w:rPr>
                <w:color w:val="000000" w:themeColor="text1"/>
                <w:sz w:val="20"/>
                <w:szCs w:val="20"/>
              </w:rPr>
            </w:pPr>
            <w:r w:rsidRPr="0050141F">
              <w:rPr>
                <w:color w:val="000000" w:themeColor="text1"/>
                <w:sz w:val="20"/>
                <w:szCs w:val="20"/>
              </w:rPr>
              <w:t>7</w:t>
            </w:r>
          </w:p>
        </w:tc>
        <w:tc>
          <w:tcPr>
            <w:tcW w:w="835" w:type="dxa"/>
            <w:tcBorders>
              <w:top w:val="nil"/>
              <w:left w:val="nil"/>
              <w:bottom w:val="single" w:sz="8" w:space="0" w:color="000000"/>
              <w:right w:val="single" w:sz="8" w:space="0" w:color="000000"/>
            </w:tcBorders>
            <w:shd w:val="clear" w:color="auto" w:fill="auto"/>
            <w:vAlign w:val="bottom"/>
          </w:tcPr>
          <w:p w:rsidR="0055491A" w:rsidRPr="0050141F" w:rsidRDefault="0055491A" w:rsidP="00210BF6">
            <w:pPr>
              <w:jc w:val="center"/>
              <w:rPr>
                <w:color w:val="000000" w:themeColor="text1"/>
                <w:sz w:val="20"/>
                <w:szCs w:val="20"/>
              </w:rPr>
            </w:pPr>
            <w:r w:rsidRPr="0050141F">
              <w:rPr>
                <w:color w:val="000000" w:themeColor="text1"/>
                <w:sz w:val="20"/>
                <w:szCs w:val="20"/>
              </w:rPr>
              <w:t>70,0</w:t>
            </w:r>
          </w:p>
        </w:tc>
        <w:tc>
          <w:tcPr>
            <w:tcW w:w="688" w:type="dxa"/>
            <w:tcBorders>
              <w:top w:val="nil"/>
              <w:left w:val="nil"/>
              <w:bottom w:val="single" w:sz="8" w:space="0" w:color="000000"/>
              <w:right w:val="single" w:sz="8" w:space="0" w:color="000000"/>
            </w:tcBorders>
            <w:shd w:val="clear" w:color="auto" w:fill="auto"/>
            <w:vAlign w:val="bottom"/>
          </w:tcPr>
          <w:p w:rsidR="0055491A" w:rsidRPr="0050141F" w:rsidRDefault="0055491A" w:rsidP="00210BF6">
            <w:pPr>
              <w:jc w:val="center"/>
              <w:rPr>
                <w:color w:val="000000" w:themeColor="text1"/>
                <w:sz w:val="20"/>
                <w:szCs w:val="20"/>
              </w:rPr>
            </w:pPr>
            <w:r w:rsidRPr="0050141F">
              <w:rPr>
                <w:color w:val="000000" w:themeColor="text1"/>
                <w:sz w:val="20"/>
                <w:szCs w:val="20"/>
              </w:rPr>
              <w:t>9</w:t>
            </w:r>
          </w:p>
        </w:tc>
        <w:tc>
          <w:tcPr>
            <w:tcW w:w="872" w:type="dxa"/>
            <w:tcBorders>
              <w:top w:val="nil"/>
              <w:left w:val="nil"/>
              <w:bottom w:val="single" w:sz="8" w:space="0" w:color="000000"/>
              <w:right w:val="single" w:sz="8" w:space="0" w:color="000000"/>
            </w:tcBorders>
            <w:shd w:val="clear" w:color="auto" w:fill="auto"/>
            <w:vAlign w:val="bottom"/>
          </w:tcPr>
          <w:p w:rsidR="0055491A" w:rsidRPr="0050141F" w:rsidRDefault="0055491A" w:rsidP="00210BF6">
            <w:pPr>
              <w:jc w:val="center"/>
              <w:rPr>
                <w:color w:val="000000" w:themeColor="text1"/>
                <w:sz w:val="20"/>
                <w:szCs w:val="20"/>
              </w:rPr>
            </w:pPr>
            <w:r w:rsidRPr="0050141F">
              <w:rPr>
                <w:color w:val="000000" w:themeColor="text1"/>
                <w:sz w:val="20"/>
                <w:szCs w:val="20"/>
              </w:rPr>
              <w:t>90,0</w:t>
            </w:r>
          </w:p>
        </w:tc>
        <w:tc>
          <w:tcPr>
            <w:tcW w:w="650" w:type="dxa"/>
            <w:tcBorders>
              <w:top w:val="nil"/>
              <w:left w:val="nil"/>
              <w:bottom w:val="single" w:sz="8" w:space="0" w:color="000000"/>
              <w:right w:val="single" w:sz="8" w:space="0" w:color="000000"/>
            </w:tcBorders>
            <w:shd w:val="clear" w:color="auto" w:fill="auto"/>
            <w:vAlign w:val="bottom"/>
          </w:tcPr>
          <w:p w:rsidR="0055491A" w:rsidRPr="0050141F" w:rsidRDefault="0055491A" w:rsidP="00210BF6">
            <w:pPr>
              <w:jc w:val="center"/>
              <w:rPr>
                <w:color w:val="000000" w:themeColor="text1"/>
                <w:sz w:val="20"/>
                <w:szCs w:val="20"/>
              </w:rPr>
            </w:pPr>
            <w:r w:rsidRPr="0050141F">
              <w:rPr>
                <w:color w:val="000000" w:themeColor="text1"/>
                <w:sz w:val="20"/>
                <w:szCs w:val="20"/>
              </w:rPr>
              <w:t>7</w:t>
            </w:r>
          </w:p>
        </w:tc>
        <w:tc>
          <w:tcPr>
            <w:tcW w:w="909" w:type="dxa"/>
            <w:tcBorders>
              <w:top w:val="nil"/>
              <w:left w:val="nil"/>
              <w:bottom w:val="single" w:sz="8" w:space="0" w:color="000000"/>
              <w:right w:val="single" w:sz="8" w:space="0" w:color="000000"/>
            </w:tcBorders>
            <w:shd w:val="clear" w:color="auto" w:fill="auto"/>
            <w:vAlign w:val="bottom"/>
          </w:tcPr>
          <w:p w:rsidR="0055491A" w:rsidRPr="0050141F" w:rsidRDefault="0055491A" w:rsidP="00210BF6">
            <w:pPr>
              <w:jc w:val="center"/>
              <w:rPr>
                <w:color w:val="000000" w:themeColor="text1"/>
                <w:sz w:val="20"/>
                <w:szCs w:val="20"/>
              </w:rPr>
            </w:pPr>
            <w:r w:rsidRPr="0050141F">
              <w:rPr>
                <w:color w:val="000000" w:themeColor="text1"/>
                <w:sz w:val="20"/>
                <w:szCs w:val="20"/>
              </w:rPr>
              <w:t>70,0</w:t>
            </w:r>
          </w:p>
        </w:tc>
      </w:tr>
      <w:tr w:rsidR="0055491A" w:rsidRPr="009370D3" w:rsidTr="00210BF6">
        <w:trPr>
          <w:trHeight w:val="399"/>
        </w:trPr>
        <w:tc>
          <w:tcPr>
            <w:tcW w:w="709" w:type="dxa"/>
            <w:vMerge/>
            <w:tcBorders>
              <w:left w:val="single" w:sz="4" w:space="0" w:color="auto"/>
              <w:right w:val="single" w:sz="4" w:space="0" w:color="auto"/>
            </w:tcBorders>
            <w:shd w:val="clear" w:color="auto" w:fill="auto"/>
            <w:vAlign w:val="bottom"/>
          </w:tcPr>
          <w:p w:rsidR="0055491A" w:rsidRPr="0050141F" w:rsidRDefault="0055491A" w:rsidP="00210BF6">
            <w:pPr>
              <w:rPr>
                <w:color w:val="000000" w:themeColor="text1"/>
                <w:sz w:val="16"/>
                <w:szCs w:val="16"/>
              </w:rPr>
            </w:pPr>
          </w:p>
        </w:tc>
        <w:tc>
          <w:tcPr>
            <w:tcW w:w="987" w:type="dxa"/>
            <w:tcBorders>
              <w:top w:val="nil"/>
              <w:left w:val="nil"/>
              <w:bottom w:val="single" w:sz="8" w:space="0" w:color="000000"/>
              <w:right w:val="single" w:sz="8" w:space="0" w:color="000000"/>
            </w:tcBorders>
            <w:shd w:val="clear" w:color="auto" w:fill="auto"/>
            <w:vAlign w:val="bottom"/>
          </w:tcPr>
          <w:p w:rsidR="0055491A" w:rsidRPr="0050141F" w:rsidRDefault="0055491A" w:rsidP="00210BF6">
            <w:pPr>
              <w:jc w:val="center"/>
              <w:rPr>
                <w:color w:val="000000" w:themeColor="text1"/>
                <w:sz w:val="20"/>
                <w:szCs w:val="20"/>
              </w:rPr>
            </w:pPr>
            <w:r w:rsidRPr="0050141F">
              <w:rPr>
                <w:color w:val="000000" w:themeColor="text1"/>
                <w:sz w:val="20"/>
                <w:szCs w:val="20"/>
              </w:rPr>
              <w:t>75</w:t>
            </w:r>
          </w:p>
        </w:tc>
        <w:tc>
          <w:tcPr>
            <w:tcW w:w="431" w:type="dxa"/>
            <w:tcBorders>
              <w:top w:val="nil"/>
              <w:left w:val="nil"/>
              <w:bottom w:val="single" w:sz="8" w:space="0" w:color="000000"/>
              <w:right w:val="single" w:sz="8" w:space="0" w:color="000000"/>
            </w:tcBorders>
            <w:shd w:val="clear" w:color="auto" w:fill="auto"/>
            <w:vAlign w:val="bottom"/>
          </w:tcPr>
          <w:p w:rsidR="0055491A" w:rsidRPr="0050141F" w:rsidRDefault="0055491A" w:rsidP="00210BF6">
            <w:pPr>
              <w:jc w:val="center"/>
              <w:rPr>
                <w:color w:val="000000" w:themeColor="text1"/>
                <w:sz w:val="20"/>
                <w:szCs w:val="20"/>
              </w:rPr>
            </w:pPr>
            <w:r w:rsidRPr="0050141F">
              <w:rPr>
                <w:color w:val="000000" w:themeColor="text1"/>
                <w:sz w:val="20"/>
                <w:szCs w:val="20"/>
              </w:rPr>
              <w:t>0</w:t>
            </w:r>
          </w:p>
        </w:tc>
        <w:tc>
          <w:tcPr>
            <w:tcW w:w="567" w:type="dxa"/>
            <w:tcBorders>
              <w:top w:val="nil"/>
              <w:left w:val="nil"/>
              <w:bottom w:val="single" w:sz="8" w:space="0" w:color="000000"/>
              <w:right w:val="single" w:sz="8" w:space="0" w:color="000000"/>
            </w:tcBorders>
            <w:shd w:val="clear" w:color="auto" w:fill="auto"/>
            <w:vAlign w:val="bottom"/>
          </w:tcPr>
          <w:p w:rsidR="0055491A" w:rsidRPr="0050141F" w:rsidRDefault="0055491A" w:rsidP="00210BF6">
            <w:pPr>
              <w:jc w:val="center"/>
              <w:rPr>
                <w:color w:val="000000" w:themeColor="text1"/>
                <w:sz w:val="20"/>
                <w:szCs w:val="20"/>
              </w:rPr>
            </w:pPr>
            <w:r w:rsidRPr="0050141F">
              <w:rPr>
                <w:color w:val="000000" w:themeColor="text1"/>
                <w:sz w:val="20"/>
                <w:szCs w:val="20"/>
              </w:rPr>
              <w:t>0</w:t>
            </w:r>
          </w:p>
        </w:tc>
        <w:tc>
          <w:tcPr>
            <w:tcW w:w="425" w:type="dxa"/>
            <w:tcBorders>
              <w:top w:val="nil"/>
              <w:left w:val="nil"/>
              <w:bottom w:val="single" w:sz="8" w:space="0" w:color="000000"/>
              <w:right w:val="single" w:sz="8" w:space="0" w:color="000000"/>
            </w:tcBorders>
            <w:shd w:val="clear" w:color="auto" w:fill="auto"/>
            <w:vAlign w:val="bottom"/>
          </w:tcPr>
          <w:p w:rsidR="0055491A" w:rsidRPr="0050141F" w:rsidRDefault="0055491A" w:rsidP="00210BF6">
            <w:pPr>
              <w:jc w:val="center"/>
              <w:rPr>
                <w:color w:val="000000" w:themeColor="text1"/>
                <w:sz w:val="20"/>
                <w:szCs w:val="20"/>
              </w:rPr>
            </w:pPr>
            <w:r w:rsidRPr="0050141F">
              <w:rPr>
                <w:color w:val="000000" w:themeColor="text1"/>
                <w:sz w:val="20"/>
                <w:szCs w:val="20"/>
              </w:rPr>
              <w:t>12</w:t>
            </w:r>
          </w:p>
        </w:tc>
        <w:tc>
          <w:tcPr>
            <w:tcW w:w="761" w:type="dxa"/>
            <w:tcBorders>
              <w:top w:val="nil"/>
              <w:left w:val="nil"/>
              <w:bottom w:val="single" w:sz="8" w:space="0" w:color="000000"/>
              <w:right w:val="single" w:sz="8" w:space="0" w:color="000000"/>
            </w:tcBorders>
            <w:shd w:val="clear" w:color="auto" w:fill="auto"/>
            <w:vAlign w:val="bottom"/>
          </w:tcPr>
          <w:p w:rsidR="0055491A" w:rsidRPr="0050141F" w:rsidRDefault="0055491A" w:rsidP="00210BF6">
            <w:pPr>
              <w:jc w:val="center"/>
              <w:rPr>
                <w:color w:val="000000" w:themeColor="text1"/>
                <w:sz w:val="20"/>
                <w:szCs w:val="20"/>
              </w:rPr>
            </w:pPr>
            <w:r w:rsidRPr="0050141F">
              <w:rPr>
                <w:color w:val="000000" w:themeColor="text1"/>
                <w:sz w:val="20"/>
                <w:szCs w:val="20"/>
              </w:rPr>
              <w:t>4</w:t>
            </w:r>
          </w:p>
        </w:tc>
        <w:tc>
          <w:tcPr>
            <w:tcW w:w="798" w:type="dxa"/>
            <w:tcBorders>
              <w:top w:val="nil"/>
              <w:left w:val="nil"/>
              <w:bottom w:val="single" w:sz="8" w:space="0" w:color="000000"/>
              <w:right w:val="single" w:sz="8" w:space="0" w:color="000000"/>
            </w:tcBorders>
            <w:shd w:val="clear" w:color="auto" w:fill="auto"/>
            <w:vAlign w:val="bottom"/>
          </w:tcPr>
          <w:p w:rsidR="0055491A" w:rsidRPr="0050141F" w:rsidRDefault="0055491A" w:rsidP="00210BF6">
            <w:pPr>
              <w:jc w:val="center"/>
              <w:rPr>
                <w:color w:val="000000" w:themeColor="text1"/>
                <w:sz w:val="20"/>
                <w:szCs w:val="20"/>
              </w:rPr>
            </w:pPr>
            <w:r w:rsidRPr="0050141F">
              <w:rPr>
                <w:color w:val="000000" w:themeColor="text1"/>
                <w:sz w:val="20"/>
                <w:szCs w:val="20"/>
              </w:rPr>
              <w:t>300,0</w:t>
            </w:r>
          </w:p>
        </w:tc>
        <w:tc>
          <w:tcPr>
            <w:tcW w:w="724" w:type="dxa"/>
            <w:tcBorders>
              <w:top w:val="nil"/>
              <w:left w:val="nil"/>
              <w:bottom w:val="single" w:sz="8" w:space="0" w:color="000000"/>
              <w:right w:val="single" w:sz="8" w:space="0" w:color="000000"/>
            </w:tcBorders>
            <w:shd w:val="clear" w:color="auto" w:fill="auto"/>
            <w:vAlign w:val="bottom"/>
          </w:tcPr>
          <w:p w:rsidR="0055491A" w:rsidRPr="0050141F" w:rsidRDefault="0055491A" w:rsidP="00210BF6">
            <w:pPr>
              <w:jc w:val="center"/>
              <w:rPr>
                <w:color w:val="000000" w:themeColor="text1"/>
                <w:sz w:val="20"/>
                <w:szCs w:val="20"/>
              </w:rPr>
            </w:pPr>
            <w:r w:rsidRPr="0050141F">
              <w:rPr>
                <w:color w:val="000000" w:themeColor="text1"/>
                <w:sz w:val="20"/>
                <w:szCs w:val="20"/>
              </w:rPr>
              <w:t>5</w:t>
            </w:r>
          </w:p>
        </w:tc>
        <w:tc>
          <w:tcPr>
            <w:tcW w:w="835" w:type="dxa"/>
            <w:tcBorders>
              <w:top w:val="nil"/>
              <w:left w:val="nil"/>
              <w:bottom w:val="single" w:sz="8" w:space="0" w:color="000000"/>
              <w:right w:val="single" w:sz="8" w:space="0" w:color="000000"/>
            </w:tcBorders>
            <w:shd w:val="clear" w:color="auto" w:fill="auto"/>
            <w:vAlign w:val="bottom"/>
          </w:tcPr>
          <w:p w:rsidR="0055491A" w:rsidRPr="0050141F" w:rsidRDefault="0055491A" w:rsidP="00210BF6">
            <w:pPr>
              <w:jc w:val="center"/>
              <w:rPr>
                <w:color w:val="000000" w:themeColor="text1"/>
                <w:sz w:val="20"/>
                <w:szCs w:val="20"/>
              </w:rPr>
            </w:pPr>
            <w:r w:rsidRPr="0050141F">
              <w:rPr>
                <w:color w:val="000000" w:themeColor="text1"/>
                <w:sz w:val="20"/>
                <w:szCs w:val="20"/>
              </w:rPr>
              <w:t>375,0</w:t>
            </w:r>
          </w:p>
        </w:tc>
        <w:tc>
          <w:tcPr>
            <w:tcW w:w="688" w:type="dxa"/>
            <w:tcBorders>
              <w:top w:val="nil"/>
              <w:left w:val="nil"/>
              <w:bottom w:val="single" w:sz="8" w:space="0" w:color="000000"/>
              <w:right w:val="single" w:sz="8" w:space="0" w:color="000000"/>
            </w:tcBorders>
            <w:shd w:val="clear" w:color="auto" w:fill="auto"/>
            <w:vAlign w:val="bottom"/>
          </w:tcPr>
          <w:p w:rsidR="0055491A" w:rsidRPr="0050141F" w:rsidRDefault="0055491A" w:rsidP="00210BF6">
            <w:pPr>
              <w:jc w:val="center"/>
              <w:rPr>
                <w:color w:val="000000" w:themeColor="text1"/>
                <w:sz w:val="20"/>
                <w:szCs w:val="20"/>
              </w:rPr>
            </w:pPr>
            <w:r w:rsidRPr="0050141F">
              <w:rPr>
                <w:color w:val="000000" w:themeColor="text1"/>
                <w:sz w:val="20"/>
                <w:szCs w:val="20"/>
              </w:rPr>
              <w:t>7</w:t>
            </w:r>
          </w:p>
        </w:tc>
        <w:tc>
          <w:tcPr>
            <w:tcW w:w="872" w:type="dxa"/>
            <w:tcBorders>
              <w:top w:val="nil"/>
              <w:left w:val="nil"/>
              <w:bottom w:val="single" w:sz="8" w:space="0" w:color="000000"/>
              <w:right w:val="single" w:sz="8" w:space="0" w:color="000000"/>
            </w:tcBorders>
            <w:shd w:val="clear" w:color="auto" w:fill="auto"/>
            <w:vAlign w:val="bottom"/>
          </w:tcPr>
          <w:p w:rsidR="0055491A" w:rsidRPr="0050141F" w:rsidRDefault="0055491A" w:rsidP="00210BF6">
            <w:pPr>
              <w:jc w:val="center"/>
              <w:rPr>
                <w:color w:val="000000" w:themeColor="text1"/>
                <w:sz w:val="20"/>
                <w:szCs w:val="20"/>
              </w:rPr>
            </w:pPr>
            <w:r w:rsidRPr="0050141F">
              <w:rPr>
                <w:color w:val="000000" w:themeColor="text1"/>
                <w:sz w:val="20"/>
                <w:szCs w:val="20"/>
              </w:rPr>
              <w:t>525,0</w:t>
            </w:r>
          </w:p>
        </w:tc>
        <w:tc>
          <w:tcPr>
            <w:tcW w:w="650" w:type="dxa"/>
            <w:tcBorders>
              <w:top w:val="nil"/>
              <w:left w:val="nil"/>
              <w:bottom w:val="single" w:sz="8" w:space="0" w:color="000000"/>
              <w:right w:val="single" w:sz="8" w:space="0" w:color="000000"/>
            </w:tcBorders>
            <w:shd w:val="clear" w:color="auto" w:fill="auto"/>
            <w:vAlign w:val="bottom"/>
          </w:tcPr>
          <w:p w:rsidR="0055491A" w:rsidRPr="0050141F" w:rsidRDefault="0055491A" w:rsidP="00210BF6">
            <w:pPr>
              <w:jc w:val="center"/>
              <w:rPr>
                <w:color w:val="000000" w:themeColor="text1"/>
                <w:sz w:val="20"/>
                <w:szCs w:val="20"/>
              </w:rPr>
            </w:pPr>
            <w:r w:rsidRPr="0050141F">
              <w:rPr>
                <w:color w:val="000000" w:themeColor="text1"/>
                <w:sz w:val="20"/>
                <w:szCs w:val="20"/>
              </w:rPr>
              <w:t>5</w:t>
            </w:r>
          </w:p>
        </w:tc>
        <w:tc>
          <w:tcPr>
            <w:tcW w:w="909" w:type="dxa"/>
            <w:tcBorders>
              <w:top w:val="nil"/>
              <w:left w:val="nil"/>
              <w:bottom w:val="single" w:sz="8" w:space="0" w:color="000000"/>
              <w:right w:val="single" w:sz="8" w:space="0" w:color="000000"/>
            </w:tcBorders>
            <w:shd w:val="clear" w:color="auto" w:fill="auto"/>
            <w:vAlign w:val="bottom"/>
          </w:tcPr>
          <w:p w:rsidR="0055491A" w:rsidRPr="0050141F" w:rsidRDefault="0055491A" w:rsidP="00210BF6">
            <w:pPr>
              <w:jc w:val="center"/>
              <w:rPr>
                <w:color w:val="000000" w:themeColor="text1"/>
                <w:sz w:val="20"/>
                <w:szCs w:val="20"/>
              </w:rPr>
            </w:pPr>
            <w:r w:rsidRPr="0050141F">
              <w:rPr>
                <w:color w:val="000000" w:themeColor="text1"/>
                <w:sz w:val="20"/>
                <w:szCs w:val="20"/>
              </w:rPr>
              <w:t>375,0</w:t>
            </w:r>
          </w:p>
        </w:tc>
      </w:tr>
      <w:tr w:rsidR="0055491A" w:rsidRPr="009370D3" w:rsidTr="00210BF6">
        <w:trPr>
          <w:trHeight w:val="399"/>
        </w:trPr>
        <w:tc>
          <w:tcPr>
            <w:tcW w:w="709" w:type="dxa"/>
            <w:vMerge/>
            <w:tcBorders>
              <w:left w:val="single" w:sz="4" w:space="0" w:color="auto"/>
              <w:right w:val="single" w:sz="4" w:space="0" w:color="auto"/>
            </w:tcBorders>
            <w:shd w:val="clear" w:color="auto" w:fill="auto"/>
            <w:vAlign w:val="bottom"/>
          </w:tcPr>
          <w:p w:rsidR="0055491A" w:rsidRPr="0050141F" w:rsidRDefault="0055491A" w:rsidP="00210BF6">
            <w:pPr>
              <w:rPr>
                <w:color w:val="000000" w:themeColor="text1"/>
                <w:sz w:val="16"/>
                <w:szCs w:val="16"/>
              </w:rPr>
            </w:pPr>
          </w:p>
        </w:tc>
        <w:tc>
          <w:tcPr>
            <w:tcW w:w="987" w:type="dxa"/>
            <w:tcBorders>
              <w:top w:val="nil"/>
              <w:left w:val="nil"/>
              <w:bottom w:val="single" w:sz="8" w:space="0" w:color="000000"/>
              <w:right w:val="single" w:sz="8" w:space="0" w:color="000000"/>
            </w:tcBorders>
            <w:shd w:val="clear" w:color="auto" w:fill="auto"/>
            <w:vAlign w:val="bottom"/>
          </w:tcPr>
          <w:p w:rsidR="0055491A" w:rsidRPr="0050141F" w:rsidRDefault="0055491A" w:rsidP="00210BF6">
            <w:pPr>
              <w:jc w:val="center"/>
              <w:rPr>
                <w:color w:val="000000" w:themeColor="text1"/>
                <w:sz w:val="20"/>
                <w:szCs w:val="20"/>
              </w:rPr>
            </w:pPr>
            <w:r w:rsidRPr="0050141F">
              <w:rPr>
                <w:color w:val="000000" w:themeColor="text1"/>
                <w:sz w:val="20"/>
                <w:szCs w:val="20"/>
              </w:rPr>
              <w:t>100</w:t>
            </w:r>
          </w:p>
        </w:tc>
        <w:tc>
          <w:tcPr>
            <w:tcW w:w="431" w:type="dxa"/>
            <w:tcBorders>
              <w:top w:val="nil"/>
              <w:left w:val="nil"/>
              <w:bottom w:val="single" w:sz="8" w:space="0" w:color="000000"/>
              <w:right w:val="single" w:sz="8" w:space="0" w:color="000000"/>
            </w:tcBorders>
            <w:shd w:val="clear" w:color="auto" w:fill="auto"/>
            <w:vAlign w:val="bottom"/>
          </w:tcPr>
          <w:p w:rsidR="0055491A" w:rsidRPr="0050141F" w:rsidRDefault="0055491A" w:rsidP="00210BF6">
            <w:pPr>
              <w:jc w:val="center"/>
              <w:rPr>
                <w:color w:val="000000" w:themeColor="text1"/>
                <w:sz w:val="20"/>
                <w:szCs w:val="20"/>
              </w:rPr>
            </w:pPr>
            <w:r w:rsidRPr="0050141F">
              <w:rPr>
                <w:color w:val="000000" w:themeColor="text1"/>
                <w:sz w:val="20"/>
                <w:szCs w:val="20"/>
              </w:rPr>
              <w:t>0</w:t>
            </w:r>
          </w:p>
        </w:tc>
        <w:tc>
          <w:tcPr>
            <w:tcW w:w="567" w:type="dxa"/>
            <w:tcBorders>
              <w:top w:val="nil"/>
              <w:left w:val="nil"/>
              <w:bottom w:val="single" w:sz="8" w:space="0" w:color="000000"/>
              <w:right w:val="single" w:sz="8" w:space="0" w:color="000000"/>
            </w:tcBorders>
            <w:shd w:val="clear" w:color="auto" w:fill="auto"/>
            <w:vAlign w:val="bottom"/>
          </w:tcPr>
          <w:p w:rsidR="0055491A" w:rsidRPr="0050141F" w:rsidRDefault="0055491A" w:rsidP="00210BF6">
            <w:pPr>
              <w:jc w:val="center"/>
              <w:rPr>
                <w:color w:val="000000" w:themeColor="text1"/>
                <w:sz w:val="20"/>
                <w:szCs w:val="20"/>
              </w:rPr>
            </w:pPr>
            <w:r w:rsidRPr="0050141F">
              <w:rPr>
                <w:color w:val="000000" w:themeColor="text1"/>
                <w:sz w:val="20"/>
                <w:szCs w:val="20"/>
              </w:rPr>
              <w:t>0</w:t>
            </w:r>
          </w:p>
        </w:tc>
        <w:tc>
          <w:tcPr>
            <w:tcW w:w="425" w:type="dxa"/>
            <w:tcBorders>
              <w:top w:val="nil"/>
              <w:left w:val="nil"/>
              <w:bottom w:val="single" w:sz="8" w:space="0" w:color="000000"/>
              <w:right w:val="single" w:sz="8" w:space="0" w:color="000000"/>
            </w:tcBorders>
            <w:shd w:val="clear" w:color="auto" w:fill="auto"/>
            <w:vAlign w:val="bottom"/>
          </w:tcPr>
          <w:p w:rsidR="0055491A" w:rsidRPr="0050141F" w:rsidRDefault="0055491A" w:rsidP="00210BF6">
            <w:pPr>
              <w:jc w:val="center"/>
              <w:rPr>
                <w:color w:val="000000" w:themeColor="text1"/>
                <w:sz w:val="20"/>
                <w:szCs w:val="20"/>
              </w:rPr>
            </w:pPr>
            <w:r w:rsidRPr="0050141F">
              <w:rPr>
                <w:color w:val="000000" w:themeColor="text1"/>
                <w:sz w:val="20"/>
                <w:szCs w:val="20"/>
              </w:rPr>
              <w:t>2</w:t>
            </w:r>
          </w:p>
        </w:tc>
        <w:tc>
          <w:tcPr>
            <w:tcW w:w="761" w:type="dxa"/>
            <w:tcBorders>
              <w:top w:val="nil"/>
              <w:left w:val="nil"/>
              <w:bottom w:val="single" w:sz="8" w:space="0" w:color="000000"/>
              <w:right w:val="single" w:sz="8" w:space="0" w:color="000000"/>
            </w:tcBorders>
            <w:shd w:val="clear" w:color="auto" w:fill="auto"/>
            <w:vAlign w:val="bottom"/>
          </w:tcPr>
          <w:p w:rsidR="0055491A" w:rsidRPr="0050141F" w:rsidRDefault="0055491A" w:rsidP="00210BF6">
            <w:pPr>
              <w:jc w:val="center"/>
              <w:rPr>
                <w:color w:val="000000" w:themeColor="text1"/>
                <w:sz w:val="20"/>
                <w:szCs w:val="20"/>
              </w:rPr>
            </w:pPr>
            <w:r w:rsidRPr="0050141F">
              <w:rPr>
                <w:color w:val="000000" w:themeColor="text1"/>
                <w:sz w:val="20"/>
                <w:szCs w:val="20"/>
              </w:rPr>
              <w:t>1</w:t>
            </w:r>
          </w:p>
        </w:tc>
        <w:tc>
          <w:tcPr>
            <w:tcW w:w="798" w:type="dxa"/>
            <w:tcBorders>
              <w:top w:val="nil"/>
              <w:left w:val="nil"/>
              <w:bottom w:val="single" w:sz="8" w:space="0" w:color="000000"/>
              <w:right w:val="single" w:sz="8" w:space="0" w:color="000000"/>
            </w:tcBorders>
            <w:shd w:val="clear" w:color="auto" w:fill="auto"/>
            <w:vAlign w:val="bottom"/>
          </w:tcPr>
          <w:p w:rsidR="0055491A" w:rsidRPr="0050141F" w:rsidRDefault="0055491A" w:rsidP="00210BF6">
            <w:pPr>
              <w:jc w:val="center"/>
              <w:rPr>
                <w:color w:val="000000" w:themeColor="text1"/>
                <w:sz w:val="20"/>
                <w:szCs w:val="20"/>
              </w:rPr>
            </w:pPr>
            <w:r w:rsidRPr="0050141F">
              <w:rPr>
                <w:color w:val="000000" w:themeColor="text1"/>
                <w:sz w:val="20"/>
                <w:szCs w:val="20"/>
              </w:rPr>
              <w:t>100,0</w:t>
            </w:r>
          </w:p>
        </w:tc>
        <w:tc>
          <w:tcPr>
            <w:tcW w:w="724" w:type="dxa"/>
            <w:tcBorders>
              <w:top w:val="nil"/>
              <w:left w:val="nil"/>
              <w:bottom w:val="single" w:sz="8" w:space="0" w:color="000000"/>
              <w:right w:val="single" w:sz="8" w:space="0" w:color="000000"/>
            </w:tcBorders>
            <w:shd w:val="clear" w:color="auto" w:fill="auto"/>
            <w:vAlign w:val="bottom"/>
          </w:tcPr>
          <w:p w:rsidR="0055491A" w:rsidRPr="0050141F" w:rsidRDefault="0055491A" w:rsidP="00210BF6">
            <w:pPr>
              <w:jc w:val="center"/>
              <w:rPr>
                <w:color w:val="000000" w:themeColor="text1"/>
                <w:sz w:val="20"/>
                <w:szCs w:val="20"/>
              </w:rPr>
            </w:pPr>
            <w:r w:rsidRPr="0050141F">
              <w:rPr>
                <w:color w:val="000000" w:themeColor="text1"/>
                <w:sz w:val="20"/>
                <w:szCs w:val="20"/>
              </w:rPr>
              <w:t>1</w:t>
            </w:r>
          </w:p>
        </w:tc>
        <w:tc>
          <w:tcPr>
            <w:tcW w:w="835" w:type="dxa"/>
            <w:tcBorders>
              <w:top w:val="nil"/>
              <w:left w:val="nil"/>
              <w:bottom w:val="single" w:sz="8" w:space="0" w:color="000000"/>
              <w:right w:val="single" w:sz="8" w:space="0" w:color="000000"/>
            </w:tcBorders>
            <w:shd w:val="clear" w:color="auto" w:fill="auto"/>
            <w:vAlign w:val="bottom"/>
          </w:tcPr>
          <w:p w:rsidR="0055491A" w:rsidRPr="0050141F" w:rsidRDefault="0055491A" w:rsidP="00210BF6">
            <w:pPr>
              <w:jc w:val="center"/>
              <w:rPr>
                <w:color w:val="000000" w:themeColor="text1"/>
                <w:sz w:val="20"/>
                <w:szCs w:val="20"/>
              </w:rPr>
            </w:pPr>
            <w:r w:rsidRPr="0050141F">
              <w:rPr>
                <w:color w:val="000000" w:themeColor="text1"/>
                <w:sz w:val="20"/>
                <w:szCs w:val="20"/>
              </w:rPr>
              <w:t>100,0</w:t>
            </w:r>
          </w:p>
        </w:tc>
        <w:tc>
          <w:tcPr>
            <w:tcW w:w="688" w:type="dxa"/>
            <w:tcBorders>
              <w:top w:val="nil"/>
              <w:left w:val="nil"/>
              <w:bottom w:val="single" w:sz="8" w:space="0" w:color="000000"/>
              <w:right w:val="single" w:sz="8" w:space="0" w:color="000000"/>
            </w:tcBorders>
            <w:shd w:val="clear" w:color="auto" w:fill="auto"/>
            <w:vAlign w:val="bottom"/>
          </w:tcPr>
          <w:p w:rsidR="0055491A" w:rsidRPr="0050141F" w:rsidRDefault="0055491A" w:rsidP="00210BF6">
            <w:pPr>
              <w:jc w:val="center"/>
              <w:rPr>
                <w:color w:val="000000" w:themeColor="text1"/>
                <w:sz w:val="20"/>
                <w:szCs w:val="20"/>
              </w:rPr>
            </w:pPr>
            <w:r w:rsidRPr="0050141F">
              <w:rPr>
                <w:color w:val="000000" w:themeColor="text1"/>
                <w:sz w:val="20"/>
                <w:szCs w:val="20"/>
              </w:rPr>
              <w:t>1</w:t>
            </w:r>
          </w:p>
        </w:tc>
        <w:tc>
          <w:tcPr>
            <w:tcW w:w="872" w:type="dxa"/>
            <w:tcBorders>
              <w:top w:val="nil"/>
              <w:left w:val="nil"/>
              <w:bottom w:val="single" w:sz="8" w:space="0" w:color="000000"/>
              <w:right w:val="single" w:sz="8" w:space="0" w:color="000000"/>
            </w:tcBorders>
            <w:shd w:val="clear" w:color="auto" w:fill="auto"/>
            <w:vAlign w:val="bottom"/>
          </w:tcPr>
          <w:p w:rsidR="0055491A" w:rsidRPr="0050141F" w:rsidRDefault="0055491A" w:rsidP="00210BF6">
            <w:pPr>
              <w:jc w:val="center"/>
              <w:rPr>
                <w:color w:val="000000" w:themeColor="text1"/>
                <w:sz w:val="20"/>
                <w:szCs w:val="20"/>
              </w:rPr>
            </w:pPr>
            <w:r w:rsidRPr="0050141F">
              <w:rPr>
                <w:color w:val="000000" w:themeColor="text1"/>
                <w:sz w:val="20"/>
                <w:szCs w:val="20"/>
              </w:rPr>
              <w:t>100,0</w:t>
            </w:r>
          </w:p>
        </w:tc>
        <w:tc>
          <w:tcPr>
            <w:tcW w:w="650" w:type="dxa"/>
            <w:tcBorders>
              <w:top w:val="nil"/>
              <w:left w:val="nil"/>
              <w:bottom w:val="single" w:sz="8" w:space="0" w:color="000000"/>
              <w:right w:val="single" w:sz="8" w:space="0" w:color="000000"/>
            </w:tcBorders>
            <w:shd w:val="clear" w:color="auto" w:fill="auto"/>
            <w:vAlign w:val="bottom"/>
          </w:tcPr>
          <w:p w:rsidR="0055491A" w:rsidRPr="0050141F" w:rsidRDefault="0055491A" w:rsidP="00210BF6">
            <w:pPr>
              <w:jc w:val="center"/>
              <w:rPr>
                <w:color w:val="000000" w:themeColor="text1"/>
                <w:sz w:val="20"/>
                <w:szCs w:val="20"/>
              </w:rPr>
            </w:pPr>
            <w:r w:rsidRPr="0050141F">
              <w:rPr>
                <w:color w:val="000000" w:themeColor="text1"/>
                <w:sz w:val="20"/>
                <w:szCs w:val="20"/>
              </w:rPr>
              <w:t>1</w:t>
            </w:r>
          </w:p>
        </w:tc>
        <w:tc>
          <w:tcPr>
            <w:tcW w:w="909" w:type="dxa"/>
            <w:tcBorders>
              <w:top w:val="nil"/>
              <w:left w:val="nil"/>
              <w:bottom w:val="single" w:sz="8" w:space="0" w:color="000000"/>
              <w:right w:val="single" w:sz="8" w:space="0" w:color="000000"/>
            </w:tcBorders>
            <w:shd w:val="clear" w:color="auto" w:fill="auto"/>
            <w:vAlign w:val="bottom"/>
          </w:tcPr>
          <w:p w:rsidR="0055491A" w:rsidRPr="0050141F" w:rsidRDefault="0055491A" w:rsidP="00210BF6">
            <w:pPr>
              <w:jc w:val="center"/>
              <w:rPr>
                <w:color w:val="000000" w:themeColor="text1"/>
                <w:sz w:val="20"/>
                <w:szCs w:val="20"/>
              </w:rPr>
            </w:pPr>
            <w:r w:rsidRPr="0050141F">
              <w:rPr>
                <w:color w:val="000000" w:themeColor="text1"/>
                <w:sz w:val="20"/>
                <w:szCs w:val="20"/>
              </w:rPr>
              <w:t>100,0</w:t>
            </w:r>
          </w:p>
        </w:tc>
      </w:tr>
      <w:tr w:rsidR="0055491A" w:rsidRPr="009370D3" w:rsidTr="00210BF6">
        <w:trPr>
          <w:trHeight w:val="399"/>
        </w:trPr>
        <w:tc>
          <w:tcPr>
            <w:tcW w:w="709" w:type="dxa"/>
            <w:vMerge/>
            <w:tcBorders>
              <w:left w:val="single" w:sz="4" w:space="0" w:color="auto"/>
              <w:bottom w:val="single" w:sz="4" w:space="0" w:color="auto"/>
              <w:right w:val="single" w:sz="4" w:space="0" w:color="auto"/>
            </w:tcBorders>
            <w:shd w:val="clear" w:color="auto" w:fill="auto"/>
            <w:vAlign w:val="bottom"/>
          </w:tcPr>
          <w:p w:rsidR="0055491A" w:rsidRPr="0050141F" w:rsidRDefault="0055491A" w:rsidP="00210BF6">
            <w:pPr>
              <w:rPr>
                <w:color w:val="000000" w:themeColor="text1"/>
                <w:sz w:val="16"/>
                <w:szCs w:val="16"/>
              </w:rPr>
            </w:pPr>
          </w:p>
        </w:tc>
        <w:tc>
          <w:tcPr>
            <w:tcW w:w="987" w:type="dxa"/>
            <w:tcBorders>
              <w:top w:val="nil"/>
              <w:left w:val="nil"/>
              <w:bottom w:val="single" w:sz="8" w:space="0" w:color="000000"/>
              <w:right w:val="single" w:sz="8" w:space="0" w:color="000000"/>
            </w:tcBorders>
            <w:shd w:val="clear" w:color="auto" w:fill="auto"/>
            <w:vAlign w:val="bottom"/>
          </w:tcPr>
          <w:p w:rsidR="0055491A" w:rsidRPr="0050141F" w:rsidRDefault="0055491A" w:rsidP="00210BF6">
            <w:pPr>
              <w:jc w:val="center"/>
              <w:rPr>
                <w:color w:val="000000" w:themeColor="text1"/>
                <w:sz w:val="20"/>
                <w:szCs w:val="20"/>
              </w:rPr>
            </w:pPr>
            <w:r w:rsidRPr="0050141F">
              <w:rPr>
                <w:color w:val="000000" w:themeColor="text1"/>
                <w:sz w:val="20"/>
                <w:szCs w:val="20"/>
              </w:rPr>
              <w:t>150</w:t>
            </w:r>
          </w:p>
        </w:tc>
        <w:tc>
          <w:tcPr>
            <w:tcW w:w="431" w:type="dxa"/>
            <w:tcBorders>
              <w:top w:val="nil"/>
              <w:left w:val="nil"/>
              <w:bottom w:val="single" w:sz="8" w:space="0" w:color="000000"/>
              <w:right w:val="single" w:sz="8" w:space="0" w:color="000000"/>
            </w:tcBorders>
            <w:shd w:val="clear" w:color="auto" w:fill="auto"/>
            <w:vAlign w:val="bottom"/>
          </w:tcPr>
          <w:p w:rsidR="0055491A" w:rsidRPr="0050141F" w:rsidRDefault="0055491A" w:rsidP="00210BF6">
            <w:pPr>
              <w:jc w:val="center"/>
              <w:rPr>
                <w:color w:val="000000" w:themeColor="text1"/>
                <w:sz w:val="20"/>
                <w:szCs w:val="20"/>
              </w:rPr>
            </w:pPr>
            <w:r w:rsidRPr="0050141F">
              <w:rPr>
                <w:color w:val="000000" w:themeColor="text1"/>
                <w:sz w:val="20"/>
                <w:szCs w:val="20"/>
              </w:rPr>
              <w:t>5</w:t>
            </w:r>
          </w:p>
        </w:tc>
        <w:tc>
          <w:tcPr>
            <w:tcW w:w="567" w:type="dxa"/>
            <w:tcBorders>
              <w:top w:val="nil"/>
              <w:left w:val="nil"/>
              <w:bottom w:val="single" w:sz="8" w:space="0" w:color="000000"/>
              <w:right w:val="single" w:sz="8" w:space="0" w:color="000000"/>
            </w:tcBorders>
            <w:shd w:val="clear" w:color="auto" w:fill="auto"/>
            <w:vAlign w:val="bottom"/>
          </w:tcPr>
          <w:p w:rsidR="0055491A" w:rsidRPr="0050141F" w:rsidRDefault="0055491A" w:rsidP="00210BF6">
            <w:pPr>
              <w:jc w:val="center"/>
              <w:rPr>
                <w:color w:val="000000" w:themeColor="text1"/>
                <w:sz w:val="20"/>
                <w:szCs w:val="20"/>
              </w:rPr>
            </w:pPr>
            <w:r w:rsidRPr="0050141F">
              <w:rPr>
                <w:color w:val="000000" w:themeColor="text1"/>
                <w:sz w:val="20"/>
                <w:szCs w:val="20"/>
              </w:rPr>
              <w:t>11</w:t>
            </w:r>
          </w:p>
        </w:tc>
        <w:tc>
          <w:tcPr>
            <w:tcW w:w="425" w:type="dxa"/>
            <w:tcBorders>
              <w:top w:val="nil"/>
              <w:left w:val="nil"/>
              <w:bottom w:val="single" w:sz="8" w:space="0" w:color="000000"/>
              <w:right w:val="single" w:sz="8" w:space="0" w:color="000000"/>
            </w:tcBorders>
            <w:shd w:val="clear" w:color="auto" w:fill="auto"/>
            <w:vAlign w:val="bottom"/>
          </w:tcPr>
          <w:p w:rsidR="0055491A" w:rsidRPr="0050141F" w:rsidRDefault="0055491A" w:rsidP="00210BF6">
            <w:pPr>
              <w:jc w:val="center"/>
              <w:rPr>
                <w:color w:val="000000" w:themeColor="text1"/>
                <w:sz w:val="20"/>
                <w:szCs w:val="20"/>
              </w:rPr>
            </w:pPr>
            <w:r w:rsidRPr="0050141F">
              <w:rPr>
                <w:color w:val="000000" w:themeColor="text1"/>
                <w:sz w:val="20"/>
                <w:szCs w:val="20"/>
              </w:rPr>
              <w:t>6</w:t>
            </w:r>
          </w:p>
        </w:tc>
        <w:tc>
          <w:tcPr>
            <w:tcW w:w="761" w:type="dxa"/>
            <w:tcBorders>
              <w:top w:val="nil"/>
              <w:left w:val="nil"/>
              <w:bottom w:val="single" w:sz="8" w:space="0" w:color="000000"/>
              <w:right w:val="single" w:sz="8" w:space="0" w:color="000000"/>
            </w:tcBorders>
            <w:shd w:val="clear" w:color="auto" w:fill="auto"/>
            <w:vAlign w:val="bottom"/>
          </w:tcPr>
          <w:p w:rsidR="0055491A" w:rsidRPr="0050141F" w:rsidRDefault="0055491A" w:rsidP="00210BF6">
            <w:pPr>
              <w:jc w:val="center"/>
              <w:rPr>
                <w:color w:val="000000" w:themeColor="text1"/>
                <w:sz w:val="20"/>
                <w:szCs w:val="20"/>
              </w:rPr>
            </w:pPr>
            <w:r w:rsidRPr="0050141F">
              <w:rPr>
                <w:color w:val="000000" w:themeColor="text1"/>
                <w:sz w:val="20"/>
                <w:szCs w:val="20"/>
              </w:rPr>
              <w:t>7</w:t>
            </w:r>
          </w:p>
        </w:tc>
        <w:tc>
          <w:tcPr>
            <w:tcW w:w="798" w:type="dxa"/>
            <w:tcBorders>
              <w:top w:val="nil"/>
              <w:left w:val="nil"/>
              <w:bottom w:val="single" w:sz="8" w:space="0" w:color="000000"/>
              <w:right w:val="single" w:sz="8" w:space="0" w:color="000000"/>
            </w:tcBorders>
            <w:shd w:val="clear" w:color="auto" w:fill="auto"/>
            <w:vAlign w:val="bottom"/>
          </w:tcPr>
          <w:p w:rsidR="0055491A" w:rsidRPr="0050141F" w:rsidRDefault="0055491A" w:rsidP="00210BF6">
            <w:pPr>
              <w:jc w:val="center"/>
              <w:rPr>
                <w:color w:val="000000" w:themeColor="text1"/>
                <w:sz w:val="20"/>
                <w:szCs w:val="20"/>
              </w:rPr>
            </w:pPr>
            <w:r w:rsidRPr="0050141F">
              <w:rPr>
                <w:color w:val="000000" w:themeColor="text1"/>
                <w:sz w:val="20"/>
                <w:szCs w:val="20"/>
              </w:rPr>
              <w:t>1050,0</w:t>
            </w:r>
          </w:p>
        </w:tc>
        <w:tc>
          <w:tcPr>
            <w:tcW w:w="724" w:type="dxa"/>
            <w:tcBorders>
              <w:top w:val="nil"/>
              <w:left w:val="nil"/>
              <w:bottom w:val="single" w:sz="8" w:space="0" w:color="000000"/>
              <w:right w:val="single" w:sz="8" w:space="0" w:color="000000"/>
            </w:tcBorders>
            <w:shd w:val="clear" w:color="auto" w:fill="auto"/>
            <w:vAlign w:val="bottom"/>
          </w:tcPr>
          <w:p w:rsidR="0055491A" w:rsidRPr="0050141F" w:rsidRDefault="0055491A" w:rsidP="00210BF6">
            <w:pPr>
              <w:jc w:val="center"/>
              <w:rPr>
                <w:color w:val="000000" w:themeColor="text1"/>
                <w:sz w:val="20"/>
                <w:szCs w:val="20"/>
              </w:rPr>
            </w:pPr>
            <w:r w:rsidRPr="0050141F">
              <w:rPr>
                <w:color w:val="000000" w:themeColor="text1"/>
                <w:sz w:val="20"/>
                <w:szCs w:val="20"/>
              </w:rPr>
              <w:t>8</w:t>
            </w:r>
          </w:p>
        </w:tc>
        <w:tc>
          <w:tcPr>
            <w:tcW w:w="835" w:type="dxa"/>
            <w:tcBorders>
              <w:top w:val="nil"/>
              <w:left w:val="nil"/>
              <w:bottom w:val="single" w:sz="8" w:space="0" w:color="000000"/>
              <w:right w:val="single" w:sz="8" w:space="0" w:color="000000"/>
            </w:tcBorders>
            <w:shd w:val="clear" w:color="auto" w:fill="auto"/>
            <w:vAlign w:val="bottom"/>
          </w:tcPr>
          <w:p w:rsidR="0055491A" w:rsidRPr="0050141F" w:rsidRDefault="0055491A" w:rsidP="00210BF6">
            <w:pPr>
              <w:jc w:val="center"/>
              <w:rPr>
                <w:color w:val="000000" w:themeColor="text1"/>
                <w:sz w:val="20"/>
                <w:szCs w:val="20"/>
              </w:rPr>
            </w:pPr>
            <w:r w:rsidRPr="0050141F">
              <w:rPr>
                <w:color w:val="000000" w:themeColor="text1"/>
                <w:sz w:val="20"/>
                <w:szCs w:val="20"/>
              </w:rPr>
              <w:t>1200,0</w:t>
            </w:r>
          </w:p>
        </w:tc>
        <w:tc>
          <w:tcPr>
            <w:tcW w:w="688" w:type="dxa"/>
            <w:tcBorders>
              <w:top w:val="nil"/>
              <w:left w:val="nil"/>
              <w:bottom w:val="single" w:sz="8" w:space="0" w:color="000000"/>
              <w:right w:val="single" w:sz="8" w:space="0" w:color="000000"/>
            </w:tcBorders>
            <w:shd w:val="clear" w:color="auto" w:fill="auto"/>
            <w:vAlign w:val="bottom"/>
          </w:tcPr>
          <w:p w:rsidR="0055491A" w:rsidRPr="0050141F" w:rsidRDefault="0055491A" w:rsidP="00210BF6">
            <w:pPr>
              <w:jc w:val="center"/>
              <w:rPr>
                <w:color w:val="000000" w:themeColor="text1"/>
                <w:sz w:val="20"/>
                <w:szCs w:val="20"/>
              </w:rPr>
            </w:pPr>
            <w:r w:rsidRPr="0050141F">
              <w:rPr>
                <w:color w:val="000000" w:themeColor="text1"/>
                <w:sz w:val="20"/>
                <w:szCs w:val="20"/>
              </w:rPr>
              <w:t>7</w:t>
            </w:r>
          </w:p>
        </w:tc>
        <w:tc>
          <w:tcPr>
            <w:tcW w:w="872" w:type="dxa"/>
            <w:tcBorders>
              <w:top w:val="nil"/>
              <w:left w:val="nil"/>
              <w:bottom w:val="single" w:sz="8" w:space="0" w:color="000000"/>
              <w:right w:val="single" w:sz="8" w:space="0" w:color="000000"/>
            </w:tcBorders>
            <w:shd w:val="clear" w:color="auto" w:fill="auto"/>
            <w:vAlign w:val="bottom"/>
          </w:tcPr>
          <w:p w:rsidR="0055491A" w:rsidRPr="0050141F" w:rsidRDefault="0055491A" w:rsidP="00210BF6">
            <w:pPr>
              <w:jc w:val="center"/>
              <w:rPr>
                <w:color w:val="000000" w:themeColor="text1"/>
                <w:sz w:val="20"/>
                <w:szCs w:val="20"/>
              </w:rPr>
            </w:pPr>
            <w:r w:rsidRPr="0050141F">
              <w:rPr>
                <w:color w:val="000000" w:themeColor="text1"/>
                <w:sz w:val="20"/>
                <w:szCs w:val="20"/>
              </w:rPr>
              <w:t>1050,0</w:t>
            </w:r>
          </w:p>
        </w:tc>
        <w:tc>
          <w:tcPr>
            <w:tcW w:w="650" w:type="dxa"/>
            <w:tcBorders>
              <w:top w:val="nil"/>
              <w:left w:val="nil"/>
              <w:bottom w:val="single" w:sz="8" w:space="0" w:color="000000"/>
              <w:right w:val="single" w:sz="8" w:space="0" w:color="000000"/>
            </w:tcBorders>
            <w:shd w:val="clear" w:color="auto" w:fill="auto"/>
            <w:vAlign w:val="bottom"/>
          </w:tcPr>
          <w:p w:rsidR="0055491A" w:rsidRPr="0050141F" w:rsidRDefault="0055491A" w:rsidP="00210BF6">
            <w:pPr>
              <w:jc w:val="center"/>
              <w:rPr>
                <w:color w:val="000000" w:themeColor="text1"/>
                <w:sz w:val="20"/>
                <w:szCs w:val="20"/>
              </w:rPr>
            </w:pPr>
            <w:r w:rsidRPr="0050141F">
              <w:rPr>
                <w:color w:val="000000" w:themeColor="text1"/>
                <w:sz w:val="20"/>
                <w:szCs w:val="20"/>
              </w:rPr>
              <w:t>7</w:t>
            </w:r>
          </w:p>
        </w:tc>
        <w:tc>
          <w:tcPr>
            <w:tcW w:w="909" w:type="dxa"/>
            <w:tcBorders>
              <w:top w:val="nil"/>
              <w:left w:val="nil"/>
              <w:bottom w:val="single" w:sz="8" w:space="0" w:color="000000"/>
              <w:right w:val="single" w:sz="8" w:space="0" w:color="000000"/>
            </w:tcBorders>
            <w:shd w:val="clear" w:color="auto" w:fill="auto"/>
            <w:vAlign w:val="bottom"/>
          </w:tcPr>
          <w:p w:rsidR="0055491A" w:rsidRPr="0050141F" w:rsidRDefault="0055491A" w:rsidP="00210BF6">
            <w:pPr>
              <w:jc w:val="center"/>
              <w:rPr>
                <w:color w:val="000000" w:themeColor="text1"/>
                <w:sz w:val="20"/>
                <w:szCs w:val="20"/>
              </w:rPr>
            </w:pPr>
            <w:r w:rsidRPr="0050141F">
              <w:rPr>
                <w:color w:val="000000" w:themeColor="text1"/>
                <w:sz w:val="20"/>
                <w:szCs w:val="20"/>
              </w:rPr>
              <w:t>1050,0</w:t>
            </w:r>
          </w:p>
        </w:tc>
      </w:tr>
      <w:tr w:rsidR="0055491A" w:rsidRPr="009370D3" w:rsidTr="00210BF6">
        <w:trPr>
          <w:trHeight w:val="399"/>
        </w:trPr>
        <w:tc>
          <w:tcPr>
            <w:tcW w:w="709" w:type="dxa"/>
            <w:vMerge w:val="restart"/>
            <w:tcBorders>
              <w:top w:val="single" w:sz="4" w:space="0" w:color="auto"/>
              <w:left w:val="single" w:sz="4" w:space="0" w:color="auto"/>
              <w:right w:val="single" w:sz="4" w:space="0" w:color="auto"/>
            </w:tcBorders>
            <w:shd w:val="clear" w:color="auto" w:fill="auto"/>
            <w:vAlign w:val="bottom"/>
          </w:tcPr>
          <w:p w:rsidR="0055491A" w:rsidRPr="0050141F" w:rsidRDefault="0055491A" w:rsidP="00210BF6">
            <w:pPr>
              <w:rPr>
                <w:color w:val="000000" w:themeColor="text1"/>
                <w:sz w:val="16"/>
                <w:szCs w:val="16"/>
              </w:rPr>
            </w:pPr>
            <w:r w:rsidRPr="0050141F">
              <w:rPr>
                <w:color w:val="000000" w:themeColor="text1"/>
                <w:sz w:val="16"/>
                <w:szCs w:val="16"/>
              </w:rPr>
              <w:t xml:space="preserve">Ст. 15.13 </w:t>
            </w:r>
          </w:p>
          <w:p w:rsidR="0055491A" w:rsidRPr="0050141F" w:rsidRDefault="0055491A" w:rsidP="00210BF6">
            <w:pPr>
              <w:rPr>
                <w:color w:val="000000" w:themeColor="text1"/>
                <w:sz w:val="16"/>
                <w:szCs w:val="16"/>
              </w:rPr>
            </w:pPr>
          </w:p>
        </w:tc>
        <w:tc>
          <w:tcPr>
            <w:tcW w:w="987" w:type="dxa"/>
            <w:tcBorders>
              <w:top w:val="nil"/>
              <w:left w:val="nil"/>
              <w:bottom w:val="single" w:sz="8" w:space="0" w:color="000000"/>
              <w:right w:val="single" w:sz="8" w:space="0" w:color="000000"/>
            </w:tcBorders>
            <w:shd w:val="clear" w:color="auto" w:fill="auto"/>
            <w:vAlign w:val="bottom"/>
          </w:tcPr>
          <w:p w:rsidR="0055491A" w:rsidRPr="0050141F" w:rsidRDefault="0055491A" w:rsidP="00210BF6">
            <w:pPr>
              <w:jc w:val="center"/>
              <w:rPr>
                <w:color w:val="000000" w:themeColor="text1"/>
                <w:sz w:val="20"/>
                <w:szCs w:val="20"/>
              </w:rPr>
            </w:pPr>
            <w:r w:rsidRPr="0050141F">
              <w:rPr>
                <w:color w:val="000000" w:themeColor="text1"/>
                <w:sz w:val="20"/>
                <w:szCs w:val="20"/>
              </w:rPr>
              <w:t>5</w:t>
            </w:r>
          </w:p>
        </w:tc>
        <w:tc>
          <w:tcPr>
            <w:tcW w:w="431" w:type="dxa"/>
            <w:tcBorders>
              <w:top w:val="nil"/>
              <w:left w:val="nil"/>
              <w:bottom w:val="single" w:sz="8" w:space="0" w:color="000000"/>
              <w:right w:val="single" w:sz="8" w:space="0" w:color="000000"/>
            </w:tcBorders>
            <w:shd w:val="clear" w:color="auto" w:fill="auto"/>
            <w:vAlign w:val="bottom"/>
          </w:tcPr>
          <w:p w:rsidR="0055491A" w:rsidRPr="0050141F" w:rsidRDefault="0055491A" w:rsidP="00210BF6">
            <w:pPr>
              <w:jc w:val="center"/>
              <w:rPr>
                <w:color w:val="000000" w:themeColor="text1"/>
                <w:sz w:val="20"/>
                <w:szCs w:val="20"/>
              </w:rPr>
            </w:pPr>
            <w:r w:rsidRPr="0050141F">
              <w:rPr>
                <w:color w:val="000000" w:themeColor="text1"/>
                <w:sz w:val="20"/>
                <w:szCs w:val="20"/>
              </w:rPr>
              <w:t>53</w:t>
            </w:r>
          </w:p>
        </w:tc>
        <w:tc>
          <w:tcPr>
            <w:tcW w:w="567" w:type="dxa"/>
            <w:tcBorders>
              <w:top w:val="nil"/>
              <w:left w:val="nil"/>
              <w:bottom w:val="single" w:sz="8" w:space="0" w:color="000000"/>
              <w:right w:val="single" w:sz="8" w:space="0" w:color="000000"/>
            </w:tcBorders>
            <w:shd w:val="clear" w:color="auto" w:fill="auto"/>
            <w:vAlign w:val="bottom"/>
          </w:tcPr>
          <w:p w:rsidR="0055491A" w:rsidRPr="0050141F" w:rsidRDefault="0055491A" w:rsidP="00210BF6">
            <w:pPr>
              <w:jc w:val="center"/>
              <w:rPr>
                <w:color w:val="000000" w:themeColor="text1"/>
                <w:sz w:val="20"/>
                <w:szCs w:val="20"/>
              </w:rPr>
            </w:pPr>
            <w:r w:rsidRPr="0050141F">
              <w:rPr>
                <w:color w:val="000000" w:themeColor="text1"/>
                <w:sz w:val="20"/>
                <w:szCs w:val="20"/>
              </w:rPr>
              <w:t>110</w:t>
            </w:r>
          </w:p>
        </w:tc>
        <w:tc>
          <w:tcPr>
            <w:tcW w:w="425" w:type="dxa"/>
            <w:tcBorders>
              <w:top w:val="nil"/>
              <w:left w:val="nil"/>
              <w:bottom w:val="single" w:sz="8" w:space="0" w:color="000000"/>
              <w:right w:val="single" w:sz="8" w:space="0" w:color="000000"/>
            </w:tcBorders>
            <w:shd w:val="clear" w:color="auto" w:fill="auto"/>
            <w:vAlign w:val="bottom"/>
          </w:tcPr>
          <w:p w:rsidR="0055491A" w:rsidRPr="0050141F" w:rsidRDefault="0055491A" w:rsidP="00210BF6">
            <w:pPr>
              <w:jc w:val="center"/>
              <w:rPr>
                <w:color w:val="000000" w:themeColor="text1"/>
                <w:sz w:val="20"/>
                <w:szCs w:val="20"/>
              </w:rPr>
            </w:pPr>
            <w:r w:rsidRPr="0050141F">
              <w:rPr>
                <w:color w:val="000000" w:themeColor="text1"/>
                <w:sz w:val="20"/>
                <w:szCs w:val="20"/>
              </w:rPr>
              <w:t>21</w:t>
            </w:r>
          </w:p>
        </w:tc>
        <w:tc>
          <w:tcPr>
            <w:tcW w:w="761" w:type="dxa"/>
            <w:tcBorders>
              <w:top w:val="nil"/>
              <w:left w:val="nil"/>
              <w:bottom w:val="single" w:sz="8" w:space="0" w:color="000000"/>
              <w:right w:val="single" w:sz="8" w:space="0" w:color="000000"/>
            </w:tcBorders>
            <w:shd w:val="clear" w:color="auto" w:fill="auto"/>
            <w:vAlign w:val="bottom"/>
          </w:tcPr>
          <w:p w:rsidR="0055491A" w:rsidRPr="0050141F" w:rsidRDefault="0055491A" w:rsidP="00210BF6">
            <w:pPr>
              <w:jc w:val="center"/>
              <w:rPr>
                <w:color w:val="000000" w:themeColor="text1"/>
                <w:sz w:val="20"/>
                <w:szCs w:val="20"/>
              </w:rPr>
            </w:pPr>
            <w:r w:rsidRPr="0050141F">
              <w:rPr>
                <w:color w:val="000000" w:themeColor="text1"/>
                <w:sz w:val="20"/>
                <w:szCs w:val="20"/>
              </w:rPr>
              <w:t>61</w:t>
            </w:r>
          </w:p>
        </w:tc>
        <w:tc>
          <w:tcPr>
            <w:tcW w:w="798" w:type="dxa"/>
            <w:tcBorders>
              <w:top w:val="nil"/>
              <w:left w:val="nil"/>
              <w:bottom w:val="single" w:sz="8" w:space="0" w:color="000000"/>
              <w:right w:val="single" w:sz="8" w:space="0" w:color="000000"/>
            </w:tcBorders>
            <w:shd w:val="clear" w:color="auto" w:fill="auto"/>
            <w:vAlign w:val="bottom"/>
          </w:tcPr>
          <w:p w:rsidR="0055491A" w:rsidRPr="0050141F" w:rsidRDefault="0055491A" w:rsidP="00210BF6">
            <w:pPr>
              <w:jc w:val="center"/>
              <w:rPr>
                <w:color w:val="000000" w:themeColor="text1"/>
                <w:sz w:val="20"/>
                <w:szCs w:val="20"/>
              </w:rPr>
            </w:pPr>
            <w:r w:rsidRPr="0050141F">
              <w:rPr>
                <w:color w:val="000000" w:themeColor="text1"/>
                <w:sz w:val="20"/>
                <w:szCs w:val="20"/>
              </w:rPr>
              <w:t>305,0</w:t>
            </w:r>
          </w:p>
        </w:tc>
        <w:tc>
          <w:tcPr>
            <w:tcW w:w="724" w:type="dxa"/>
            <w:tcBorders>
              <w:top w:val="nil"/>
              <w:left w:val="nil"/>
              <w:bottom w:val="single" w:sz="8" w:space="0" w:color="000000"/>
              <w:right w:val="single" w:sz="8" w:space="0" w:color="000000"/>
            </w:tcBorders>
            <w:shd w:val="clear" w:color="auto" w:fill="auto"/>
            <w:vAlign w:val="bottom"/>
          </w:tcPr>
          <w:p w:rsidR="0055491A" w:rsidRPr="0050141F" w:rsidRDefault="0055491A" w:rsidP="00210BF6">
            <w:pPr>
              <w:jc w:val="center"/>
              <w:rPr>
                <w:color w:val="000000" w:themeColor="text1"/>
                <w:sz w:val="20"/>
                <w:szCs w:val="20"/>
              </w:rPr>
            </w:pPr>
            <w:r w:rsidRPr="0050141F">
              <w:rPr>
                <w:color w:val="000000" w:themeColor="text1"/>
                <w:sz w:val="20"/>
                <w:szCs w:val="20"/>
              </w:rPr>
              <w:t>64</w:t>
            </w:r>
          </w:p>
        </w:tc>
        <w:tc>
          <w:tcPr>
            <w:tcW w:w="835" w:type="dxa"/>
            <w:tcBorders>
              <w:top w:val="nil"/>
              <w:left w:val="nil"/>
              <w:bottom w:val="single" w:sz="8" w:space="0" w:color="000000"/>
              <w:right w:val="single" w:sz="8" w:space="0" w:color="000000"/>
            </w:tcBorders>
            <w:shd w:val="clear" w:color="auto" w:fill="auto"/>
            <w:vAlign w:val="bottom"/>
          </w:tcPr>
          <w:p w:rsidR="0055491A" w:rsidRPr="0050141F" w:rsidRDefault="0055491A" w:rsidP="00210BF6">
            <w:pPr>
              <w:jc w:val="center"/>
              <w:rPr>
                <w:color w:val="000000" w:themeColor="text1"/>
                <w:sz w:val="20"/>
                <w:szCs w:val="20"/>
              </w:rPr>
            </w:pPr>
            <w:r w:rsidRPr="0050141F">
              <w:rPr>
                <w:color w:val="000000" w:themeColor="text1"/>
                <w:sz w:val="20"/>
                <w:szCs w:val="20"/>
              </w:rPr>
              <w:t>320,0</w:t>
            </w:r>
          </w:p>
        </w:tc>
        <w:tc>
          <w:tcPr>
            <w:tcW w:w="688" w:type="dxa"/>
            <w:tcBorders>
              <w:top w:val="nil"/>
              <w:left w:val="nil"/>
              <w:bottom w:val="single" w:sz="8" w:space="0" w:color="000000"/>
              <w:right w:val="single" w:sz="8" w:space="0" w:color="000000"/>
            </w:tcBorders>
            <w:shd w:val="clear" w:color="auto" w:fill="auto"/>
            <w:vAlign w:val="bottom"/>
          </w:tcPr>
          <w:p w:rsidR="0055491A" w:rsidRPr="0050141F" w:rsidRDefault="0055491A" w:rsidP="00210BF6">
            <w:pPr>
              <w:jc w:val="center"/>
              <w:rPr>
                <w:color w:val="000000" w:themeColor="text1"/>
                <w:sz w:val="20"/>
                <w:szCs w:val="20"/>
              </w:rPr>
            </w:pPr>
            <w:r w:rsidRPr="0050141F">
              <w:rPr>
                <w:color w:val="000000" w:themeColor="text1"/>
                <w:sz w:val="20"/>
                <w:szCs w:val="20"/>
              </w:rPr>
              <w:t>49</w:t>
            </w:r>
          </w:p>
        </w:tc>
        <w:tc>
          <w:tcPr>
            <w:tcW w:w="872" w:type="dxa"/>
            <w:tcBorders>
              <w:top w:val="nil"/>
              <w:left w:val="nil"/>
              <w:bottom w:val="single" w:sz="8" w:space="0" w:color="000000"/>
              <w:right w:val="single" w:sz="8" w:space="0" w:color="000000"/>
            </w:tcBorders>
            <w:shd w:val="clear" w:color="auto" w:fill="auto"/>
            <w:vAlign w:val="bottom"/>
          </w:tcPr>
          <w:p w:rsidR="0055491A" w:rsidRPr="0050141F" w:rsidRDefault="0055491A" w:rsidP="00210BF6">
            <w:pPr>
              <w:jc w:val="center"/>
              <w:rPr>
                <w:color w:val="000000" w:themeColor="text1"/>
                <w:sz w:val="20"/>
                <w:szCs w:val="20"/>
              </w:rPr>
            </w:pPr>
            <w:r w:rsidRPr="0050141F">
              <w:rPr>
                <w:color w:val="000000" w:themeColor="text1"/>
                <w:sz w:val="20"/>
                <w:szCs w:val="20"/>
              </w:rPr>
              <w:t>245,0</w:t>
            </w:r>
          </w:p>
        </w:tc>
        <w:tc>
          <w:tcPr>
            <w:tcW w:w="650" w:type="dxa"/>
            <w:tcBorders>
              <w:top w:val="nil"/>
              <w:left w:val="nil"/>
              <w:bottom w:val="single" w:sz="8" w:space="0" w:color="000000"/>
              <w:right w:val="single" w:sz="8" w:space="0" w:color="000000"/>
            </w:tcBorders>
            <w:shd w:val="clear" w:color="auto" w:fill="auto"/>
            <w:vAlign w:val="bottom"/>
          </w:tcPr>
          <w:p w:rsidR="0055491A" w:rsidRPr="0050141F" w:rsidRDefault="0055491A" w:rsidP="00210BF6">
            <w:pPr>
              <w:jc w:val="center"/>
              <w:rPr>
                <w:color w:val="000000" w:themeColor="text1"/>
                <w:sz w:val="20"/>
                <w:szCs w:val="20"/>
              </w:rPr>
            </w:pPr>
            <w:r w:rsidRPr="0050141F">
              <w:rPr>
                <w:color w:val="000000" w:themeColor="text1"/>
                <w:sz w:val="20"/>
                <w:szCs w:val="20"/>
              </w:rPr>
              <w:t>58</w:t>
            </w:r>
          </w:p>
        </w:tc>
        <w:tc>
          <w:tcPr>
            <w:tcW w:w="909" w:type="dxa"/>
            <w:tcBorders>
              <w:top w:val="nil"/>
              <w:left w:val="nil"/>
              <w:bottom w:val="single" w:sz="8" w:space="0" w:color="000000"/>
              <w:right w:val="single" w:sz="8" w:space="0" w:color="000000"/>
            </w:tcBorders>
            <w:shd w:val="clear" w:color="auto" w:fill="auto"/>
            <w:vAlign w:val="bottom"/>
          </w:tcPr>
          <w:p w:rsidR="0055491A" w:rsidRPr="0050141F" w:rsidRDefault="0055491A" w:rsidP="00210BF6">
            <w:pPr>
              <w:jc w:val="center"/>
              <w:rPr>
                <w:color w:val="000000" w:themeColor="text1"/>
                <w:sz w:val="20"/>
                <w:szCs w:val="20"/>
              </w:rPr>
            </w:pPr>
            <w:r w:rsidRPr="0050141F">
              <w:rPr>
                <w:color w:val="000000" w:themeColor="text1"/>
                <w:sz w:val="20"/>
                <w:szCs w:val="20"/>
              </w:rPr>
              <w:t>290,0</w:t>
            </w:r>
          </w:p>
        </w:tc>
      </w:tr>
      <w:tr w:rsidR="0055491A" w:rsidRPr="009370D3" w:rsidTr="00210BF6">
        <w:trPr>
          <w:trHeight w:val="399"/>
        </w:trPr>
        <w:tc>
          <w:tcPr>
            <w:tcW w:w="709" w:type="dxa"/>
            <w:vMerge/>
            <w:tcBorders>
              <w:left w:val="single" w:sz="4" w:space="0" w:color="auto"/>
              <w:right w:val="single" w:sz="4" w:space="0" w:color="auto"/>
            </w:tcBorders>
            <w:shd w:val="clear" w:color="auto" w:fill="auto"/>
            <w:vAlign w:val="bottom"/>
          </w:tcPr>
          <w:p w:rsidR="0055491A" w:rsidRPr="0050141F" w:rsidRDefault="0055491A" w:rsidP="00210BF6">
            <w:pPr>
              <w:rPr>
                <w:color w:val="000000" w:themeColor="text1"/>
                <w:sz w:val="16"/>
                <w:szCs w:val="16"/>
              </w:rPr>
            </w:pPr>
          </w:p>
        </w:tc>
        <w:tc>
          <w:tcPr>
            <w:tcW w:w="987" w:type="dxa"/>
            <w:tcBorders>
              <w:top w:val="nil"/>
              <w:left w:val="nil"/>
              <w:bottom w:val="single" w:sz="8" w:space="0" w:color="000000"/>
              <w:right w:val="single" w:sz="8" w:space="0" w:color="000000"/>
            </w:tcBorders>
            <w:shd w:val="clear" w:color="auto" w:fill="auto"/>
            <w:vAlign w:val="bottom"/>
          </w:tcPr>
          <w:p w:rsidR="0055491A" w:rsidRPr="0050141F" w:rsidRDefault="0055491A" w:rsidP="00210BF6">
            <w:pPr>
              <w:jc w:val="center"/>
              <w:rPr>
                <w:color w:val="000000" w:themeColor="text1"/>
                <w:sz w:val="20"/>
                <w:szCs w:val="20"/>
              </w:rPr>
            </w:pPr>
            <w:r w:rsidRPr="0050141F">
              <w:rPr>
                <w:color w:val="000000" w:themeColor="text1"/>
                <w:sz w:val="20"/>
                <w:szCs w:val="20"/>
              </w:rPr>
              <w:t>8</w:t>
            </w:r>
          </w:p>
        </w:tc>
        <w:tc>
          <w:tcPr>
            <w:tcW w:w="431" w:type="dxa"/>
            <w:tcBorders>
              <w:top w:val="nil"/>
              <w:left w:val="nil"/>
              <w:bottom w:val="single" w:sz="8" w:space="0" w:color="000000"/>
              <w:right w:val="single" w:sz="8" w:space="0" w:color="000000"/>
            </w:tcBorders>
            <w:shd w:val="clear" w:color="auto" w:fill="auto"/>
            <w:vAlign w:val="bottom"/>
          </w:tcPr>
          <w:p w:rsidR="0055491A" w:rsidRPr="0050141F" w:rsidRDefault="0055491A" w:rsidP="00210BF6">
            <w:pPr>
              <w:jc w:val="center"/>
              <w:rPr>
                <w:color w:val="000000" w:themeColor="text1"/>
                <w:sz w:val="20"/>
                <w:szCs w:val="20"/>
              </w:rPr>
            </w:pPr>
            <w:r w:rsidRPr="0050141F">
              <w:rPr>
                <w:color w:val="000000" w:themeColor="text1"/>
                <w:sz w:val="20"/>
                <w:szCs w:val="20"/>
              </w:rPr>
              <w:t>0</w:t>
            </w:r>
          </w:p>
        </w:tc>
        <w:tc>
          <w:tcPr>
            <w:tcW w:w="567" w:type="dxa"/>
            <w:tcBorders>
              <w:top w:val="nil"/>
              <w:left w:val="nil"/>
              <w:bottom w:val="single" w:sz="8" w:space="0" w:color="000000"/>
              <w:right w:val="single" w:sz="8" w:space="0" w:color="000000"/>
            </w:tcBorders>
            <w:shd w:val="clear" w:color="auto" w:fill="auto"/>
            <w:vAlign w:val="bottom"/>
          </w:tcPr>
          <w:p w:rsidR="0055491A" w:rsidRPr="0050141F" w:rsidRDefault="0055491A" w:rsidP="00210BF6">
            <w:pPr>
              <w:jc w:val="center"/>
              <w:rPr>
                <w:color w:val="000000" w:themeColor="text1"/>
                <w:sz w:val="20"/>
                <w:szCs w:val="20"/>
              </w:rPr>
            </w:pPr>
            <w:r w:rsidRPr="0050141F">
              <w:rPr>
                <w:color w:val="000000" w:themeColor="text1"/>
                <w:sz w:val="20"/>
                <w:szCs w:val="20"/>
              </w:rPr>
              <w:t>0</w:t>
            </w:r>
          </w:p>
        </w:tc>
        <w:tc>
          <w:tcPr>
            <w:tcW w:w="425" w:type="dxa"/>
            <w:tcBorders>
              <w:top w:val="nil"/>
              <w:left w:val="nil"/>
              <w:bottom w:val="single" w:sz="8" w:space="0" w:color="000000"/>
              <w:right w:val="single" w:sz="8" w:space="0" w:color="000000"/>
            </w:tcBorders>
            <w:shd w:val="clear" w:color="auto" w:fill="auto"/>
            <w:vAlign w:val="bottom"/>
          </w:tcPr>
          <w:p w:rsidR="0055491A" w:rsidRPr="0050141F" w:rsidRDefault="0055491A" w:rsidP="00210BF6">
            <w:pPr>
              <w:jc w:val="center"/>
              <w:rPr>
                <w:color w:val="000000" w:themeColor="text1"/>
                <w:sz w:val="20"/>
                <w:szCs w:val="20"/>
              </w:rPr>
            </w:pPr>
            <w:r w:rsidRPr="0050141F">
              <w:rPr>
                <w:color w:val="000000" w:themeColor="text1"/>
                <w:sz w:val="20"/>
                <w:szCs w:val="20"/>
              </w:rPr>
              <w:t>2</w:t>
            </w:r>
          </w:p>
        </w:tc>
        <w:tc>
          <w:tcPr>
            <w:tcW w:w="761" w:type="dxa"/>
            <w:tcBorders>
              <w:top w:val="nil"/>
              <w:left w:val="nil"/>
              <w:bottom w:val="single" w:sz="8" w:space="0" w:color="000000"/>
              <w:right w:val="single" w:sz="8" w:space="0" w:color="000000"/>
            </w:tcBorders>
            <w:shd w:val="clear" w:color="auto" w:fill="auto"/>
            <w:vAlign w:val="bottom"/>
          </w:tcPr>
          <w:p w:rsidR="0055491A" w:rsidRPr="0050141F" w:rsidRDefault="0055491A" w:rsidP="00210BF6">
            <w:pPr>
              <w:jc w:val="center"/>
              <w:rPr>
                <w:color w:val="000000" w:themeColor="text1"/>
                <w:sz w:val="20"/>
                <w:szCs w:val="20"/>
              </w:rPr>
            </w:pPr>
            <w:r w:rsidRPr="0050141F">
              <w:rPr>
                <w:color w:val="000000" w:themeColor="text1"/>
                <w:sz w:val="20"/>
                <w:szCs w:val="20"/>
              </w:rPr>
              <w:t>1</w:t>
            </w:r>
          </w:p>
        </w:tc>
        <w:tc>
          <w:tcPr>
            <w:tcW w:w="798" w:type="dxa"/>
            <w:tcBorders>
              <w:top w:val="nil"/>
              <w:left w:val="nil"/>
              <w:bottom w:val="single" w:sz="8" w:space="0" w:color="000000"/>
              <w:right w:val="single" w:sz="8" w:space="0" w:color="000000"/>
            </w:tcBorders>
            <w:shd w:val="clear" w:color="auto" w:fill="auto"/>
            <w:vAlign w:val="bottom"/>
          </w:tcPr>
          <w:p w:rsidR="0055491A" w:rsidRPr="0050141F" w:rsidRDefault="0055491A" w:rsidP="00210BF6">
            <w:pPr>
              <w:jc w:val="center"/>
              <w:rPr>
                <w:color w:val="000000" w:themeColor="text1"/>
                <w:sz w:val="20"/>
                <w:szCs w:val="20"/>
              </w:rPr>
            </w:pPr>
            <w:r w:rsidRPr="0050141F">
              <w:rPr>
                <w:color w:val="000000" w:themeColor="text1"/>
                <w:sz w:val="20"/>
                <w:szCs w:val="20"/>
              </w:rPr>
              <w:t>8,0</w:t>
            </w:r>
          </w:p>
        </w:tc>
        <w:tc>
          <w:tcPr>
            <w:tcW w:w="724" w:type="dxa"/>
            <w:tcBorders>
              <w:top w:val="nil"/>
              <w:left w:val="nil"/>
              <w:bottom w:val="single" w:sz="8" w:space="0" w:color="000000"/>
              <w:right w:val="single" w:sz="8" w:space="0" w:color="000000"/>
            </w:tcBorders>
            <w:shd w:val="clear" w:color="auto" w:fill="auto"/>
            <w:vAlign w:val="bottom"/>
          </w:tcPr>
          <w:p w:rsidR="0055491A" w:rsidRPr="0050141F" w:rsidRDefault="0055491A" w:rsidP="00210BF6">
            <w:pPr>
              <w:jc w:val="center"/>
              <w:rPr>
                <w:color w:val="000000" w:themeColor="text1"/>
                <w:sz w:val="20"/>
                <w:szCs w:val="20"/>
              </w:rPr>
            </w:pPr>
            <w:r w:rsidRPr="0050141F">
              <w:rPr>
                <w:color w:val="000000" w:themeColor="text1"/>
                <w:sz w:val="20"/>
                <w:szCs w:val="20"/>
              </w:rPr>
              <w:t>1</w:t>
            </w:r>
          </w:p>
        </w:tc>
        <w:tc>
          <w:tcPr>
            <w:tcW w:w="835" w:type="dxa"/>
            <w:tcBorders>
              <w:top w:val="nil"/>
              <w:left w:val="nil"/>
              <w:bottom w:val="single" w:sz="8" w:space="0" w:color="000000"/>
              <w:right w:val="single" w:sz="8" w:space="0" w:color="000000"/>
            </w:tcBorders>
            <w:shd w:val="clear" w:color="auto" w:fill="auto"/>
            <w:vAlign w:val="bottom"/>
          </w:tcPr>
          <w:p w:rsidR="0055491A" w:rsidRPr="0050141F" w:rsidRDefault="0055491A" w:rsidP="00210BF6">
            <w:pPr>
              <w:jc w:val="center"/>
              <w:rPr>
                <w:color w:val="000000" w:themeColor="text1"/>
                <w:sz w:val="20"/>
                <w:szCs w:val="20"/>
              </w:rPr>
            </w:pPr>
            <w:r w:rsidRPr="0050141F">
              <w:rPr>
                <w:color w:val="000000" w:themeColor="text1"/>
                <w:sz w:val="20"/>
                <w:szCs w:val="20"/>
              </w:rPr>
              <w:t>8,0</w:t>
            </w:r>
          </w:p>
        </w:tc>
        <w:tc>
          <w:tcPr>
            <w:tcW w:w="688" w:type="dxa"/>
            <w:tcBorders>
              <w:top w:val="nil"/>
              <w:left w:val="nil"/>
              <w:bottom w:val="single" w:sz="8" w:space="0" w:color="000000"/>
              <w:right w:val="single" w:sz="8" w:space="0" w:color="000000"/>
            </w:tcBorders>
            <w:shd w:val="clear" w:color="auto" w:fill="auto"/>
            <w:vAlign w:val="bottom"/>
          </w:tcPr>
          <w:p w:rsidR="0055491A" w:rsidRPr="0050141F" w:rsidRDefault="0055491A" w:rsidP="00210BF6">
            <w:pPr>
              <w:jc w:val="center"/>
              <w:rPr>
                <w:color w:val="000000" w:themeColor="text1"/>
                <w:sz w:val="20"/>
                <w:szCs w:val="20"/>
              </w:rPr>
            </w:pPr>
            <w:r w:rsidRPr="0050141F">
              <w:rPr>
                <w:color w:val="000000" w:themeColor="text1"/>
                <w:sz w:val="20"/>
                <w:szCs w:val="20"/>
              </w:rPr>
              <w:t>1</w:t>
            </w:r>
          </w:p>
        </w:tc>
        <w:tc>
          <w:tcPr>
            <w:tcW w:w="872" w:type="dxa"/>
            <w:tcBorders>
              <w:top w:val="nil"/>
              <w:left w:val="nil"/>
              <w:bottom w:val="single" w:sz="8" w:space="0" w:color="000000"/>
              <w:right w:val="single" w:sz="8" w:space="0" w:color="000000"/>
            </w:tcBorders>
            <w:shd w:val="clear" w:color="auto" w:fill="auto"/>
            <w:vAlign w:val="bottom"/>
          </w:tcPr>
          <w:p w:rsidR="0055491A" w:rsidRPr="0050141F" w:rsidRDefault="0055491A" w:rsidP="00210BF6">
            <w:pPr>
              <w:jc w:val="center"/>
              <w:rPr>
                <w:color w:val="000000" w:themeColor="text1"/>
                <w:sz w:val="20"/>
                <w:szCs w:val="20"/>
              </w:rPr>
            </w:pPr>
            <w:r w:rsidRPr="0050141F">
              <w:rPr>
                <w:color w:val="000000" w:themeColor="text1"/>
                <w:sz w:val="20"/>
                <w:szCs w:val="20"/>
              </w:rPr>
              <w:t>8,0</w:t>
            </w:r>
          </w:p>
        </w:tc>
        <w:tc>
          <w:tcPr>
            <w:tcW w:w="650" w:type="dxa"/>
            <w:tcBorders>
              <w:top w:val="nil"/>
              <w:left w:val="nil"/>
              <w:bottom w:val="single" w:sz="8" w:space="0" w:color="000000"/>
              <w:right w:val="single" w:sz="8" w:space="0" w:color="000000"/>
            </w:tcBorders>
            <w:shd w:val="clear" w:color="auto" w:fill="auto"/>
            <w:vAlign w:val="bottom"/>
          </w:tcPr>
          <w:p w:rsidR="0055491A" w:rsidRPr="0050141F" w:rsidRDefault="0055491A" w:rsidP="00210BF6">
            <w:pPr>
              <w:jc w:val="center"/>
              <w:rPr>
                <w:color w:val="000000" w:themeColor="text1"/>
                <w:sz w:val="20"/>
                <w:szCs w:val="20"/>
              </w:rPr>
            </w:pPr>
            <w:r w:rsidRPr="0050141F">
              <w:rPr>
                <w:color w:val="000000" w:themeColor="text1"/>
                <w:sz w:val="20"/>
                <w:szCs w:val="20"/>
              </w:rPr>
              <w:t>1</w:t>
            </w:r>
          </w:p>
        </w:tc>
        <w:tc>
          <w:tcPr>
            <w:tcW w:w="909" w:type="dxa"/>
            <w:tcBorders>
              <w:top w:val="nil"/>
              <w:left w:val="nil"/>
              <w:bottom w:val="single" w:sz="8" w:space="0" w:color="000000"/>
              <w:right w:val="single" w:sz="8" w:space="0" w:color="000000"/>
            </w:tcBorders>
            <w:shd w:val="clear" w:color="auto" w:fill="auto"/>
            <w:vAlign w:val="bottom"/>
          </w:tcPr>
          <w:p w:rsidR="0055491A" w:rsidRPr="0050141F" w:rsidRDefault="0055491A" w:rsidP="00210BF6">
            <w:pPr>
              <w:jc w:val="center"/>
              <w:rPr>
                <w:color w:val="000000" w:themeColor="text1"/>
                <w:sz w:val="20"/>
                <w:szCs w:val="20"/>
              </w:rPr>
            </w:pPr>
            <w:r w:rsidRPr="0050141F">
              <w:rPr>
                <w:color w:val="000000" w:themeColor="text1"/>
                <w:sz w:val="20"/>
                <w:szCs w:val="20"/>
              </w:rPr>
              <w:t>8,0</w:t>
            </w:r>
          </w:p>
        </w:tc>
      </w:tr>
      <w:tr w:rsidR="0055491A" w:rsidRPr="009370D3" w:rsidTr="00210BF6">
        <w:trPr>
          <w:trHeight w:val="399"/>
        </w:trPr>
        <w:tc>
          <w:tcPr>
            <w:tcW w:w="709" w:type="dxa"/>
            <w:vMerge/>
            <w:tcBorders>
              <w:left w:val="single" w:sz="4" w:space="0" w:color="auto"/>
              <w:right w:val="single" w:sz="4" w:space="0" w:color="auto"/>
            </w:tcBorders>
            <w:shd w:val="clear" w:color="auto" w:fill="auto"/>
            <w:vAlign w:val="bottom"/>
          </w:tcPr>
          <w:p w:rsidR="0055491A" w:rsidRPr="0050141F" w:rsidRDefault="0055491A" w:rsidP="00210BF6">
            <w:pPr>
              <w:rPr>
                <w:color w:val="000000" w:themeColor="text1"/>
                <w:sz w:val="16"/>
                <w:szCs w:val="16"/>
              </w:rPr>
            </w:pPr>
          </w:p>
        </w:tc>
        <w:tc>
          <w:tcPr>
            <w:tcW w:w="987" w:type="dxa"/>
            <w:tcBorders>
              <w:top w:val="nil"/>
              <w:left w:val="nil"/>
              <w:bottom w:val="single" w:sz="8" w:space="0" w:color="000000"/>
              <w:right w:val="single" w:sz="8" w:space="0" w:color="000000"/>
            </w:tcBorders>
            <w:shd w:val="clear" w:color="auto" w:fill="auto"/>
            <w:vAlign w:val="bottom"/>
          </w:tcPr>
          <w:p w:rsidR="0055491A" w:rsidRPr="0050141F" w:rsidRDefault="0055491A" w:rsidP="00210BF6">
            <w:pPr>
              <w:jc w:val="center"/>
              <w:rPr>
                <w:color w:val="000000" w:themeColor="text1"/>
                <w:sz w:val="20"/>
                <w:szCs w:val="20"/>
              </w:rPr>
            </w:pPr>
            <w:r w:rsidRPr="0050141F">
              <w:rPr>
                <w:color w:val="000000" w:themeColor="text1"/>
                <w:sz w:val="20"/>
                <w:szCs w:val="20"/>
              </w:rPr>
              <w:t>10</w:t>
            </w:r>
          </w:p>
        </w:tc>
        <w:tc>
          <w:tcPr>
            <w:tcW w:w="431" w:type="dxa"/>
            <w:tcBorders>
              <w:top w:val="nil"/>
              <w:left w:val="nil"/>
              <w:bottom w:val="single" w:sz="8" w:space="0" w:color="000000"/>
              <w:right w:val="single" w:sz="8" w:space="0" w:color="000000"/>
            </w:tcBorders>
            <w:shd w:val="clear" w:color="auto" w:fill="auto"/>
            <w:vAlign w:val="bottom"/>
          </w:tcPr>
          <w:p w:rsidR="0055491A" w:rsidRPr="0050141F" w:rsidRDefault="0055491A" w:rsidP="00210BF6">
            <w:pPr>
              <w:jc w:val="center"/>
              <w:rPr>
                <w:color w:val="000000" w:themeColor="text1"/>
                <w:sz w:val="20"/>
                <w:szCs w:val="20"/>
              </w:rPr>
            </w:pPr>
            <w:r w:rsidRPr="0050141F">
              <w:rPr>
                <w:color w:val="000000" w:themeColor="text1"/>
                <w:sz w:val="20"/>
                <w:szCs w:val="20"/>
              </w:rPr>
              <w:t>0</w:t>
            </w:r>
          </w:p>
        </w:tc>
        <w:tc>
          <w:tcPr>
            <w:tcW w:w="567" w:type="dxa"/>
            <w:tcBorders>
              <w:top w:val="nil"/>
              <w:left w:val="nil"/>
              <w:bottom w:val="single" w:sz="8" w:space="0" w:color="000000"/>
              <w:right w:val="single" w:sz="8" w:space="0" w:color="000000"/>
            </w:tcBorders>
            <w:shd w:val="clear" w:color="auto" w:fill="auto"/>
            <w:vAlign w:val="bottom"/>
          </w:tcPr>
          <w:p w:rsidR="0055491A" w:rsidRPr="0050141F" w:rsidRDefault="0055491A" w:rsidP="00210BF6">
            <w:pPr>
              <w:jc w:val="center"/>
              <w:rPr>
                <w:color w:val="000000" w:themeColor="text1"/>
                <w:sz w:val="20"/>
                <w:szCs w:val="20"/>
              </w:rPr>
            </w:pPr>
            <w:r w:rsidRPr="0050141F">
              <w:rPr>
                <w:color w:val="000000" w:themeColor="text1"/>
                <w:sz w:val="20"/>
                <w:szCs w:val="20"/>
              </w:rPr>
              <w:t>0</w:t>
            </w:r>
          </w:p>
        </w:tc>
        <w:tc>
          <w:tcPr>
            <w:tcW w:w="425" w:type="dxa"/>
            <w:tcBorders>
              <w:top w:val="nil"/>
              <w:left w:val="nil"/>
              <w:bottom w:val="single" w:sz="8" w:space="0" w:color="000000"/>
              <w:right w:val="single" w:sz="8" w:space="0" w:color="000000"/>
            </w:tcBorders>
            <w:shd w:val="clear" w:color="auto" w:fill="auto"/>
            <w:vAlign w:val="bottom"/>
          </w:tcPr>
          <w:p w:rsidR="0055491A" w:rsidRPr="0050141F" w:rsidRDefault="0055491A" w:rsidP="00210BF6">
            <w:pPr>
              <w:jc w:val="center"/>
              <w:rPr>
                <w:color w:val="000000" w:themeColor="text1"/>
                <w:sz w:val="20"/>
                <w:szCs w:val="20"/>
              </w:rPr>
            </w:pPr>
            <w:r w:rsidRPr="0050141F">
              <w:rPr>
                <w:color w:val="000000" w:themeColor="text1"/>
                <w:sz w:val="20"/>
                <w:szCs w:val="20"/>
              </w:rPr>
              <w:t>26</w:t>
            </w:r>
          </w:p>
        </w:tc>
        <w:tc>
          <w:tcPr>
            <w:tcW w:w="761" w:type="dxa"/>
            <w:tcBorders>
              <w:top w:val="nil"/>
              <w:left w:val="nil"/>
              <w:bottom w:val="single" w:sz="8" w:space="0" w:color="000000"/>
              <w:right w:val="single" w:sz="8" w:space="0" w:color="000000"/>
            </w:tcBorders>
            <w:shd w:val="clear" w:color="auto" w:fill="auto"/>
            <w:vAlign w:val="bottom"/>
          </w:tcPr>
          <w:p w:rsidR="0055491A" w:rsidRPr="0050141F" w:rsidRDefault="0055491A" w:rsidP="00210BF6">
            <w:pPr>
              <w:jc w:val="center"/>
              <w:rPr>
                <w:color w:val="000000" w:themeColor="text1"/>
                <w:sz w:val="20"/>
                <w:szCs w:val="20"/>
              </w:rPr>
            </w:pPr>
            <w:r w:rsidRPr="0050141F">
              <w:rPr>
                <w:color w:val="000000" w:themeColor="text1"/>
                <w:sz w:val="20"/>
                <w:szCs w:val="20"/>
              </w:rPr>
              <w:t>9</w:t>
            </w:r>
          </w:p>
        </w:tc>
        <w:tc>
          <w:tcPr>
            <w:tcW w:w="798" w:type="dxa"/>
            <w:tcBorders>
              <w:top w:val="nil"/>
              <w:left w:val="nil"/>
              <w:bottom w:val="single" w:sz="8" w:space="0" w:color="000000"/>
              <w:right w:val="single" w:sz="8" w:space="0" w:color="000000"/>
            </w:tcBorders>
            <w:shd w:val="clear" w:color="auto" w:fill="auto"/>
            <w:vAlign w:val="bottom"/>
          </w:tcPr>
          <w:p w:rsidR="0055491A" w:rsidRPr="0050141F" w:rsidRDefault="0055491A" w:rsidP="00210BF6">
            <w:pPr>
              <w:jc w:val="center"/>
              <w:rPr>
                <w:color w:val="000000" w:themeColor="text1"/>
                <w:sz w:val="20"/>
                <w:szCs w:val="20"/>
              </w:rPr>
            </w:pPr>
            <w:r w:rsidRPr="0050141F">
              <w:rPr>
                <w:color w:val="000000" w:themeColor="text1"/>
                <w:sz w:val="20"/>
                <w:szCs w:val="20"/>
              </w:rPr>
              <w:t>90,0</w:t>
            </w:r>
          </w:p>
        </w:tc>
        <w:tc>
          <w:tcPr>
            <w:tcW w:w="724" w:type="dxa"/>
            <w:tcBorders>
              <w:top w:val="nil"/>
              <w:left w:val="nil"/>
              <w:bottom w:val="single" w:sz="8" w:space="0" w:color="000000"/>
              <w:right w:val="single" w:sz="8" w:space="0" w:color="000000"/>
            </w:tcBorders>
            <w:shd w:val="clear" w:color="auto" w:fill="auto"/>
            <w:vAlign w:val="bottom"/>
          </w:tcPr>
          <w:p w:rsidR="0055491A" w:rsidRPr="0050141F" w:rsidRDefault="0055491A" w:rsidP="00210BF6">
            <w:pPr>
              <w:jc w:val="center"/>
              <w:rPr>
                <w:color w:val="000000" w:themeColor="text1"/>
                <w:sz w:val="20"/>
                <w:szCs w:val="20"/>
              </w:rPr>
            </w:pPr>
            <w:r w:rsidRPr="0050141F">
              <w:rPr>
                <w:color w:val="000000" w:themeColor="text1"/>
                <w:sz w:val="20"/>
                <w:szCs w:val="20"/>
              </w:rPr>
              <w:t>12</w:t>
            </w:r>
          </w:p>
        </w:tc>
        <w:tc>
          <w:tcPr>
            <w:tcW w:w="835" w:type="dxa"/>
            <w:tcBorders>
              <w:top w:val="nil"/>
              <w:left w:val="nil"/>
              <w:bottom w:val="single" w:sz="8" w:space="0" w:color="000000"/>
              <w:right w:val="single" w:sz="8" w:space="0" w:color="000000"/>
            </w:tcBorders>
            <w:shd w:val="clear" w:color="auto" w:fill="auto"/>
            <w:vAlign w:val="bottom"/>
          </w:tcPr>
          <w:p w:rsidR="0055491A" w:rsidRPr="0050141F" w:rsidRDefault="0055491A" w:rsidP="00210BF6">
            <w:pPr>
              <w:jc w:val="center"/>
              <w:rPr>
                <w:color w:val="000000" w:themeColor="text1"/>
                <w:sz w:val="20"/>
                <w:szCs w:val="20"/>
              </w:rPr>
            </w:pPr>
            <w:r w:rsidRPr="0050141F">
              <w:rPr>
                <w:color w:val="000000" w:themeColor="text1"/>
                <w:sz w:val="20"/>
                <w:szCs w:val="20"/>
              </w:rPr>
              <w:t>120,0</w:t>
            </w:r>
          </w:p>
        </w:tc>
        <w:tc>
          <w:tcPr>
            <w:tcW w:w="688" w:type="dxa"/>
            <w:tcBorders>
              <w:top w:val="nil"/>
              <w:left w:val="nil"/>
              <w:bottom w:val="single" w:sz="8" w:space="0" w:color="000000"/>
              <w:right w:val="single" w:sz="8" w:space="0" w:color="000000"/>
            </w:tcBorders>
            <w:shd w:val="clear" w:color="auto" w:fill="auto"/>
            <w:vAlign w:val="bottom"/>
          </w:tcPr>
          <w:p w:rsidR="0055491A" w:rsidRPr="0050141F" w:rsidRDefault="0055491A" w:rsidP="00210BF6">
            <w:pPr>
              <w:jc w:val="center"/>
              <w:rPr>
                <w:color w:val="000000" w:themeColor="text1"/>
                <w:sz w:val="20"/>
                <w:szCs w:val="20"/>
              </w:rPr>
            </w:pPr>
            <w:r w:rsidRPr="0050141F">
              <w:rPr>
                <w:color w:val="000000" w:themeColor="text1"/>
                <w:sz w:val="20"/>
                <w:szCs w:val="20"/>
              </w:rPr>
              <w:t>16</w:t>
            </w:r>
          </w:p>
        </w:tc>
        <w:tc>
          <w:tcPr>
            <w:tcW w:w="872" w:type="dxa"/>
            <w:tcBorders>
              <w:top w:val="nil"/>
              <w:left w:val="nil"/>
              <w:bottom w:val="single" w:sz="8" w:space="0" w:color="000000"/>
              <w:right w:val="single" w:sz="8" w:space="0" w:color="000000"/>
            </w:tcBorders>
            <w:shd w:val="clear" w:color="auto" w:fill="auto"/>
            <w:vAlign w:val="bottom"/>
          </w:tcPr>
          <w:p w:rsidR="0055491A" w:rsidRPr="0050141F" w:rsidRDefault="0055491A" w:rsidP="00210BF6">
            <w:pPr>
              <w:jc w:val="center"/>
              <w:rPr>
                <w:color w:val="000000" w:themeColor="text1"/>
                <w:sz w:val="20"/>
                <w:szCs w:val="20"/>
              </w:rPr>
            </w:pPr>
            <w:r w:rsidRPr="0050141F">
              <w:rPr>
                <w:color w:val="000000" w:themeColor="text1"/>
                <w:sz w:val="20"/>
                <w:szCs w:val="20"/>
              </w:rPr>
              <w:t>160,0</w:t>
            </w:r>
          </w:p>
        </w:tc>
        <w:tc>
          <w:tcPr>
            <w:tcW w:w="650" w:type="dxa"/>
            <w:tcBorders>
              <w:top w:val="nil"/>
              <w:left w:val="nil"/>
              <w:bottom w:val="single" w:sz="8" w:space="0" w:color="000000"/>
              <w:right w:val="single" w:sz="8" w:space="0" w:color="000000"/>
            </w:tcBorders>
            <w:shd w:val="clear" w:color="auto" w:fill="auto"/>
            <w:vAlign w:val="bottom"/>
          </w:tcPr>
          <w:p w:rsidR="0055491A" w:rsidRPr="0050141F" w:rsidRDefault="0055491A" w:rsidP="00210BF6">
            <w:pPr>
              <w:jc w:val="center"/>
              <w:rPr>
                <w:color w:val="000000" w:themeColor="text1"/>
                <w:sz w:val="20"/>
                <w:szCs w:val="20"/>
              </w:rPr>
            </w:pPr>
            <w:r w:rsidRPr="0050141F">
              <w:rPr>
                <w:color w:val="000000" w:themeColor="text1"/>
                <w:sz w:val="20"/>
                <w:szCs w:val="20"/>
              </w:rPr>
              <w:t>12</w:t>
            </w:r>
          </w:p>
        </w:tc>
        <w:tc>
          <w:tcPr>
            <w:tcW w:w="909" w:type="dxa"/>
            <w:tcBorders>
              <w:top w:val="nil"/>
              <w:left w:val="nil"/>
              <w:bottom w:val="single" w:sz="8" w:space="0" w:color="000000"/>
              <w:right w:val="single" w:sz="8" w:space="0" w:color="000000"/>
            </w:tcBorders>
            <w:shd w:val="clear" w:color="auto" w:fill="auto"/>
            <w:vAlign w:val="bottom"/>
          </w:tcPr>
          <w:p w:rsidR="0055491A" w:rsidRPr="0050141F" w:rsidRDefault="0055491A" w:rsidP="00210BF6">
            <w:pPr>
              <w:jc w:val="center"/>
              <w:rPr>
                <w:color w:val="000000" w:themeColor="text1"/>
                <w:sz w:val="20"/>
                <w:szCs w:val="20"/>
              </w:rPr>
            </w:pPr>
            <w:r w:rsidRPr="0050141F">
              <w:rPr>
                <w:color w:val="000000" w:themeColor="text1"/>
                <w:sz w:val="20"/>
                <w:szCs w:val="20"/>
              </w:rPr>
              <w:t>120,0</w:t>
            </w:r>
          </w:p>
        </w:tc>
      </w:tr>
      <w:tr w:rsidR="0055491A" w:rsidRPr="009370D3" w:rsidTr="00210BF6">
        <w:trPr>
          <w:trHeight w:val="399"/>
        </w:trPr>
        <w:tc>
          <w:tcPr>
            <w:tcW w:w="709" w:type="dxa"/>
            <w:vMerge/>
            <w:tcBorders>
              <w:left w:val="single" w:sz="4" w:space="0" w:color="auto"/>
              <w:right w:val="single" w:sz="4" w:space="0" w:color="auto"/>
            </w:tcBorders>
            <w:shd w:val="clear" w:color="auto" w:fill="auto"/>
            <w:vAlign w:val="bottom"/>
          </w:tcPr>
          <w:p w:rsidR="0055491A" w:rsidRPr="0050141F" w:rsidRDefault="0055491A" w:rsidP="00210BF6">
            <w:pPr>
              <w:rPr>
                <w:color w:val="000000" w:themeColor="text1"/>
                <w:sz w:val="16"/>
                <w:szCs w:val="16"/>
              </w:rPr>
            </w:pPr>
          </w:p>
        </w:tc>
        <w:tc>
          <w:tcPr>
            <w:tcW w:w="987" w:type="dxa"/>
            <w:tcBorders>
              <w:top w:val="nil"/>
              <w:left w:val="nil"/>
              <w:bottom w:val="single" w:sz="8" w:space="0" w:color="000000"/>
              <w:right w:val="single" w:sz="8" w:space="0" w:color="000000"/>
            </w:tcBorders>
            <w:shd w:val="clear" w:color="auto" w:fill="auto"/>
            <w:vAlign w:val="bottom"/>
          </w:tcPr>
          <w:p w:rsidR="0055491A" w:rsidRPr="0050141F" w:rsidRDefault="0055491A" w:rsidP="00210BF6">
            <w:pPr>
              <w:jc w:val="center"/>
              <w:rPr>
                <w:color w:val="000000" w:themeColor="text1"/>
                <w:sz w:val="20"/>
                <w:szCs w:val="20"/>
              </w:rPr>
            </w:pPr>
            <w:r w:rsidRPr="0050141F">
              <w:rPr>
                <w:color w:val="000000" w:themeColor="text1"/>
                <w:sz w:val="20"/>
                <w:szCs w:val="20"/>
              </w:rPr>
              <w:t>50</w:t>
            </w:r>
          </w:p>
        </w:tc>
        <w:tc>
          <w:tcPr>
            <w:tcW w:w="431" w:type="dxa"/>
            <w:tcBorders>
              <w:top w:val="nil"/>
              <w:left w:val="nil"/>
              <w:bottom w:val="single" w:sz="8" w:space="0" w:color="000000"/>
              <w:right w:val="single" w:sz="8" w:space="0" w:color="000000"/>
            </w:tcBorders>
            <w:shd w:val="clear" w:color="auto" w:fill="auto"/>
            <w:vAlign w:val="bottom"/>
          </w:tcPr>
          <w:p w:rsidR="0055491A" w:rsidRPr="0050141F" w:rsidRDefault="0055491A" w:rsidP="00210BF6">
            <w:pPr>
              <w:jc w:val="center"/>
              <w:rPr>
                <w:color w:val="000000" w:themeColor="text1"/>
                <w:sz w:val="20"/>
                <w:szCs w:val="20"/>
              </w:rPr>
            </w:pPr>
            <w:r w:rsidRPr="0050141F">
              <w:rPr>
                <w:color w:val="000000" w:themeColor="text1"/>
                <w:sz w:val="20"/>
                <w:szCs w:val="20"/>
              </w:rPr>
              <w:t>3</w:t>
            </w:r>
          </w:p>
        </w:tc>
        <w:tc>
          <w:tcPr>
            <w:tcW w:w="567" w:type="dxa"/>
            <w:tcBorders>
              <w:top w:val="nil"/>
              <w:left w:val="nil"/>
              <w:bottom w:val="single" w:sz="8" w:space="0" w:color="000000"/>
              <w:right w:val="single" w:sz="8" w:space="0" w:color="000000"/>
            </w:tcBorders>
            <w:shd w:val="clear" w:color="auto" w:fill="auto"/>
            <w:vAlign w:val="bottom"/>
          </w:tcPr>
          <w:p w:rsidR="0055491A" w:rsidRPr="0050141F" w:rsidRDefault="0055491A" w:rsidP="00210BF6">
            <w:pPr>
              <w:jc w:val="center"/>
              <w:rPr>
                <w:color w:val="000000" w:themeColor="text1"/>
                <w:sz w:val="20"/>
                <w:szCs w:val="20"/>
              </w:rPr>
            </w:pPr>
            <w:r w:rsidRPr="0050141F">
              <w:rPr>
                <w:color w:val="000000" w:themeColor="text1"/>
                <w:sz w:val="20"/>
                <w:szCs w:val="20"/>
              </w:rPr>
              <w:t>7</w:t>
            </w:r>
          </w:p>
        </w:tc>
        <w:tc>
          <w:tcPr>
            <w:tcW w:w="425" w:type="dxa"/>
            <w:tcBorders>
              <w:top w:val="nil"/>
              <w:left w:val="nil"/>
              <w:bottom w:val="single" w:sz="8" w:space="0" w:color="000000"/>
              <w:right w:val="single" w:sz="8" w:space="0" w:color="000000"/>
            </w:tcBorders>
            <w:shd w:val="clear" w:color="auto" w:fill="auto"/>
            <w:vAlign w:val="bottom"/>
          </w:tcPr>
          <w:p w:rsidR="0055491A" w:rsidRPr="0050141F" w:rsidRDefault="0055491A" w:rsidP="00210BF6">
            <w:pPr>
              <w:jc w:val="center"/>
              <w:rPr>
                <w:color w:val="000000" w:themeColor="text1"/>
                <w:sz w:val="20"/>
                <w:szCs w:val="20"/>
              </w:rPr>
            </w:pPr>
            <w:r w:rsidRPr="0050141F">
              <w:rPr>
                <w:color w:val="000000" w:themeColor="text1"/>
                <w:sz w:val="20"/>
                <w:szCs w:val="20"/>
              </w:rPr>
              <w:t>5</w:t>
            </w:r>
          </w:p>
        </w:tc>
        <w:tc>
          <w:tcPr>
            <w:tcW w:w="761" w:type="dxa"/>
            <w:tcBorders>
              <w:top w:val="nil"/>
              <w:left w:val="nil"/>
              <w:bottom w:val="single" w:sz="8" w:space="0" w:color="000000"/>
              <w:right w:val="single" w:sz="8" w:space="0" w:color="000000"/>
            </w:tcBorders>
            <w:shd w:val="clear" w:color="auto" w:fill="auto"/>
            <w:vAlign w:val="bottom"/>
          </w:tcPr>
          <w:p w:rsidR="0055491A" w:rsidRPr="0050141F" w:rsidRDefault="0055491A" w:rsidP="00210BF6">
            <w:pPr>
              <w:jc w:val="center"/>
              <w:rPr>
                <w:color w:val="000000" w:themeColor="text1"/>
                <w:sz w:val="20"/>
                <w:szCs w:val="20"/>
              </w:rPr>
            </w:pPr>
            <w:r w:rsidRPr="0050141F">
              <w:rPr>
                <w:color w:val="000000" w:themeColor="text1"/>
                <w:sz w:val="20"/>
                <w:szCs w:val="20"/>
              </w:rPr>
              <w:t>5</w:t>
            </w:r>
          </w:p>
        </w:tc>
        <w:tc>
          <w:tcPr>
            <w:tcW w:w="798" w:type="dxa"/>
            <w:tcBorders>
              <w:top w:val="nil"/>
              <w:left w:val="nil"/>
              <w:bottom w:val="single" w:sz="8" w:space="0" w:color="000000"/>
              <w:right w:val="single" w:sz="8" w:space="0" w:color="000000"/>
            </w:tcBorders>
            <w:shd w:val="clear" w:color="auto" w:fill="auto"/>
            <w:vAlign w:val="bottom"/>
          </w:tcPr>
          <w:p w:rsidR="0055491A" w:rsidRPr="0050141F" w:rsidRDefault="0055491A" w:rsidP="00210BF6">
            <w:pPr>
              <w:jc w:val="center"/>
              <w:rPr>
                <w:color w:val="000000" w:themeColor="text1"/>
                <w:sz w:val="20"/>
                <w:szCs w:val="20"/>
              </w:rPr>
            </w:pPr>
            <w:r w:rsidRPr="0050141F">
              <w:rPr>
                <w:color w:val="000000" w:themeColor="text1"/>
                <w:sz w:val="20"/>
                <w:szCs w:val="20"/>
              </w:rPr>
              <w:t>250,0</w:t>
            </w:r>
          </w:p>
        </w:tc>
        <w:tc>
          <w:tcPr>
            <w:tcW w:w="724" w:type="dxa"/>
            <w:tcBorders>
              <w:top w:val="nil"/>
              <w:left w:val="nil"/>
              <w:bottom w:val="single" w:sz="8" w:space="0" w:color="000000"/>
              <w:right w:val="single" w:sz="8" w:space="0" w:color="000000"/>
            </w:tcBorders>
            <w:shd w:val="clear" w:color="auto" w:fill="auto"/>
            <w:vAlign w:val="bottom"/>
          </w:tcPr>
          <w:p w:rsidR="0055491A" w:rsidRPr="0050141F" w:rsidRDefault="0055491A" w:rsidP="00210BF6">
            <w:pPr>
              <w:jc w:val="center"/>
              <w:rPr>
                <w:color w:val="000000" w:themeColor="text1"/>
                <w:sz w:val="20"/>
                <w:szCs w:val="20"/>
              </w:rPr>
            </w:pPr>
            <w:r w:rsidRPr="0050141F">
              <w:rPr>
                <w:color w:val="000000" w:themeColor="text1"/>
                <w:sz w:val="20"/>
                <w:szCs w:val="20"/>
              </w:rPr>
              <w:t>6</w:t>
            </w:r>
          </w:p>
        </w:tc>
        <w:tc>
          <w:tcPr>
            <w:tcW w:w="835" w:type="dxa"/>
            <w:tcBorders>
              <w:top w:val="nil"/>
              <w:left w:val="nil"/>
              <w:bottom w:val="single" w:sz="8" w:space="0" w:color="000000"/>
              <w:right w:val="single" w:sz="8" w:space="0" w:color="000000"/>
            </w:tcBorders>
            <w:shd w:val="clear" w:color="auto" w:fill="auto"/>
            <w:vAlign w:val="bottom"/>
          </w:tcPr>
          <w:p w:rsidR="0055491A" w:rsidRPr="0050141F" w:rsidRDefault="0055491A" w:rsidP="00210BF6">
            <w:pPr>
              <w:jc w:val="center"/>
              <w:rPr>
                <w:color w:val="000000" w:themeColor="text1"/>
                <w:sz w:val="20"/>
                <w:szCs w:val="20"/>
              </w:rPr>
            </w:pPr>
            <w:r w:rsidRPr="0050141F">
              <w:rPr>
                <w:color w:val="000000" w:themeColor="text1"/>
                <w:sz w:val="20"/>
                <w:szCs w:val="20"/>
              </w:rPr>
              <w:t>300,0</w:t>
            </w:r>
          </w:p>
        </w:tc>
        <w:tc>
          <w:tcPr>
            <w:tcW w:w="688" w:type="dxa"/>
            <w:tcBorders>
              <w:top w:val="nil"/>
              <w:left w:val="nil"/>
              <w:bottom w:val="single" w:sz="8" w:space="0" w:color="000000"/>
              <w:right w:val="single" w:sz="8" w:space="0" w:color="000000"/>
            </w:tcBorders>
            <w:shd w:val="clear" w:color="auto" w:fill="auto"/>
            <w:vAlign w:val="bottom"/>
          </w:tcPr>
          <w:p w:rsidR="0055491A" w:rsidRPr="0050141F" w:rsidRDefault="0055491A" w:rsidP="00210BF6">
            <w:pPr>
              <w:jc w:val="center"/>
              <w:rPr>
                <w:color w:val="000000" w:themeColor="text1"/>
                <w:sz w:val="20"/>
                <w:szCs w:val="20"/>
              </w:rPr>
            </w:pPr>
            <w:r w:rsidRPr="0050141F">
              <w:rPr>
                <w:color w:val="000000" w:themeColor="text1"/>
                <w:sz w:val="20"/>
                <w:szCs w:val="20"/>
              </w:rPr>
              <w:t>5</w:t>
            </w:r>
          </w:p>
        </w:tc>
        <w:tc>
          <w:tcPr>
            <w:tcW w:w="872" w:type="dxa"/>
            <w:tcBorders>
              <w:top w:val="nil"/>
              <w:left w:val="nil"/>
              <w:bottom w:val="single" w:sz="8" w:space="0" w:color="000000"/>
              <w:right w:val="single" w:sz="8" w:space="0" w:color="000000"/>
            </w:tcBorders>
            <w:shd w:val="clear" w:color="auto" w:fill="auto"/>
            <w:vAlign w:val="bottom"/>
          </w:tcPr>
          <w:p w:rsidR="0055491A" w:rsidRPr="0050141F" w:rsidRDefault="0055491A" w:rsidP="00210BF6">
            <w:pPr>
              <w:jc w:val="center"/>
              <w:rPr>
                <w:color w:val="000000" w:themeColor="text1"/>
                <w:sz w:val="20"/>
                <w:szCs w:val="20"/>
              </w:rPr>
            </w:pPr>
            <w:r w:rsidRPr="0050141F">
              <w:rPr>
                <w:color w:val="000000" w:themeColor="text1"/>
                <w:sz w:val="20"/>
                <w:szCs w:val="20"/>
              </w:rPr>
              <w:t>250,0</w:t>
            </w:r>
          </w:p>
        </w:tc>
        <w:tc>
          <w:tcPr>
            <w:tcW w:w="650" w:type="dxa"/>
            <w:tcBorders>
              <w:top w:val="nil"/>
              <w:left w:val="nil"/>
              <w:bottom w:val="single" w:sz="8" w:space="0" w:color="000000"/>
              <w:right w:val="single" w:sz="8" w:space="0" w:color="000000"/>
            </w:tcBorders>
            <w:shd w:val="clear" w:color="auto" w:fill="auto"/>
            <w:vAlign w:val="bottom"/>
          </w:tcPr>
          <w:p w:rsidR="0055491A" w:rsidRPr="0050141F" w:rsidRDefault="0055491A" w:rsidP="00210BF6">
            <w:pPr>
              <w:jc w:val="center"/>
              <w:rPr>
                <w:color w:val="000000" w:themeColor="text1"/>
                <w:sz w:val="20"/>
                <w:szCs w:val="20"/>
              </w:rPr>
            </w:pPr>
            <w:r w:rsidRPr="0050141F">
              <w:rPr>
                <w:color w:val="000000" w:themeColor="text1"/>
                <w:sz w:val="20"/>
                <w:szCs w:val="20"/>
              </w:rPr>
              <w:t>5</w:t>
            </w:r>
          </w:p>
        </w:tc>
        <w:tc>
          <w:tcPr>
            <w:tcW w:w="909" w:type="dxa"/>
            <w:tcBorders>
              <w:top w:val="nil"/>
              <w:left w:val="nil"/>
              <w:bottom w:val="single" w:sz="8" w:space="0" w:color="000000"/>
              <w:right w:val="single" w:sz="8" w:space="0" w:color="000000"/>
            </w:tcBorders>
            <w:shd w:val="clear" w:color="auto" w:fill="auto"/>
            <w:vAlign w:val="bottom"/>
          </w:tcPr>
          <w:p w:rsidR="0055491A" w:rsidRPr="0050141F" w:rsidRDefault="0055491A" w:rsidP="00210BF6">
            <w:pPr>
              <w:jc w:val="center"/>
              <w:rPr>
                <w:color w:val="000000" w:themeColor="text1"/>
                <w:sz w:val="20"/>
                <w:szCs w:val="20"/>
              </w:rPr>
            </w:pPr>
            <w:r w:rsidRPr="0050141F">
              <w:rPr>
                <w:color w:val="000000" w:themeColor="text1"/>
                <w:sz w:val="20"/>
                <w:szCs w:val="20"/>
              </w:rPr>
              <w:t>250,0</w:t>
            </w:r>
          </w:p>
        </w:tc>
      </w:tr>
      <w:tr w:rsidR="0055491A" w:rsidRPr="009370D3" w:rsidTr="00210BF6">
        <w:trPr>
          <w:trHeight w:val="39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1A" w:rsidRPr="0050141F" w:rsidRDefault="0055491A" w:rsidP="00210BF6">
            <w:pPr>
              <w:jc w:val="center"/>
              <w:rPr>
                <w:b/>
                <w:bCs/>
                <w:color w:val="000000" w:themeColor="text1"/>
                <w:sz w:val="18"/>
                <w:szCs w:val="18"/>
              </w:rPr>
            </w:pPr>
            <w:r w:rsidRPr="0050141F">
              <w:rPr>
                <w:b/>
                <w:bCs/>
                <w:color w:val="000000" w:themeColor="text1"/>
                <w:sz w:val="18"/>
                <w:szCs w:val="18"/>
              </w:rPr>
              <w:t>Итого</w:t>
            </w:r>
          </w:p>
        </w:tc>
        <w:tc>
          <w:tcPr>
            <w:tcW w:w="987" w:type="dxa"/>
            <w:tcBorders>
              <w:top w:val="nil"/>
              <w:left w:val="nil"/>
              <w:bottom w:val="single" w:sz="8" w:space="0" w:color="000000"/>
              <w:right w:val="single" w:sz="8" w:space="0" w:color="000000"/>
            </w:tcBorders>
            <w:shd w:val="clear" w:color="auto" w:fill="auto"/>
            <w:vAlign w:val="center"/>
            <w:hideMark/>
          </w:tcPr>
          <w:p w:rsidR="0055491A" w:rsidRPr="0050141F" w:rsidRDefault="0055491A" w:rsidP="00210BF6">
            <w:pPr>
              <w:jc w:val="center"/>
              <w:rPr>
                <w:color w:val="000000" w:themeColor="text1"/>
                <w:sz w:val="18"/>
                <w:szCs w:val="18"/>
              </w:rPr>
            </w:pPr>
          </w:p>
        </w:tc>
        <w:tc>
          <w:tcPr>
            <w:tcW w:w="431" w:type="dxa"/>
            <w:tcBorders>
              <w:top w:val="nil"/>
              <w:left w:val="nil"/>
              <w:bottom w:val="single" w:sz="8" w:space="0" w:color="000000"/>
              <w:right w:val="single" w:sz="8" w:space="0" w:color="000000"/>
            </w:tcBorders>
            <w:shd w:val="clear" w:color="auto" w:fill="auto"/>
            <w:vAlign w:val="center"/>
          </w:tcPr>
          <w:p w:rsidR="0055491A" w:rsidRPr="0050141F" w:rsidRDefault="0055491A" w:rsidP="00210BF6">
            <w:pPr>
              <w:jc w:val="center"/>
              <w:rPr>
                <w:color w:val="000000" w:themeColor="text1"/>
                <w:sz w:val="18"/>
                <w:szCs w:val="18"/>
              </w:rPr>
            </w:pPr>
          </w:p>
        </w:tc>
        <w:tc>
          <w:tcPr>
            <w:tcW w:w="567" w:type="dxa"/>
            <w:tcBorders>
              <w:top w:val="nil"/>
              <w:left w:val="nil"/>
              <w:bottom w:val="single" w:sz="8" w:space="0" w:color="000000"/>
              <w:right w:val="single" w:sz="8" w:space="0" w:color="000000"/>
            </w:tcBorders>
            <w:shd w:val="clear" w:color="auto" w:fill="auto"/>
            <w:vAlign w:val="center"/>
          </w:tcPr>
          <w:p w:rsidR="0055491A" w:rsidRPr="0050141F" w:rsidRDefault="0055491A" w:rsidP="00210BF6">
            <w:pPr>
              <w:jc w:val="center"/>
              <w:rPr>
                <w:color w:val="000000" w:themeColor="text1"/>
                <w:sz w:val="18"/>
                <w:szCs w:val="18"/>
              </w:rPr>
            </w:pPr>
          </w:p>
        </w:tc>
        <w:tc>
          <w:tcPr>
            <w:tcW w:w="425" w:type="dxa"/>
            <w:tcBorders>
              <w:top w:val="nil"/>
              <w:left w:val="nil"/>
              <w:bottom w:val="single" w:sz="8" w:space="0" w:color="000000"/>
              <w:right w:val="single" w:sz="8" w:space="0" w:color="000000"/>
            </w:tcBorders>
            <w:shd w:val="clear" w:color="auto" w:fill="auto"/>
            <w:vAlign w:val="center"/>
          </w:tcPr>
          <w:p w:rsidR="0055491A" w:rsidRPr="0050141F" w:rsidRDefault="0055491A" w:rsidP="00210BF6">
            <w:pPr>
              <w:jc w:val="center"/>
              <w:rPr>
                <w:color w:val="000000" w:themeColor="text1"/>
                <w:sz w:val="18"/>
                <w:szCs w:val="18"/>
              </w:rPr>
            </w:pPr>
          </w:p>
        </w:tc>
        <w:tc>
          <w:tcPr>
            <w:tcW w:w="761" w:type="dxa"/>
            <w:tcBorders>
              <w:top w:val="nil"/>
              <w:left w:val="nil"/>
              <w:bottom w:val="single" w:sz="8" w:space="0" w:color="000000"/>
              <w:right w:val="single" w:sz="8" w:space="0" w:color="000000"/>
            </w:tcBorders>
            <w:shd w:val="clear" w:color="auto" w:fill="auto"/>
            <w:vAlign w:val="center"/>
            <w:hideMark/>
          </w:tcPr>
          <w:p w:rsidR="0055491A" w:rsidRPr="0050141F" w:rsidRDefault="0055491A" w:rsidP="00210BF6">
            <w:pPr>
              <w:jc w:val="center"/>
              <w:rPr>
                <w:color w:val="000000" w:themeColor="text1"/>
                <w:sz w:val="18"/>
                <w:szCs w:val="18"/>
              </w:rPr>
            </w:pPr>
          </w:p>
        </w:tc>
        <w:tc>
          <w:tcPr>
            <w:tcW w:w="798" w:type="dxa"/>
            <w:tcBorders>
              <w:top w:val="nil"/>
              <w:left w:val="nil"/>
              <w:bottom w:val="single" w:sz="8" w:space="0" w:color="000000"/>
              <w:right w:val="single" w:sz="8" w:space="0" w:color="000000"/>
            </w:tcBorders>
            <w:shd w:val="clear" w:color="auto" w:fill="auto"/>
            <w:vAlign w:val="center"/>
            <w:hideMark/>
          </w:tcPr>
          <w:p w:rsidR="0055491A" w:rsidRPr="0050141F" w:rsidRDefault="0055491A" w:rsidP="00210BF6">
            <w:pPr>
              <w:jc w:val="center"/>
              <w:rPr>
                <w:b/>
                <w:bCs/>
                <w:color w:val="000000" w:themeColor="text1"/>
                <w:sz w:val="18"/>
                <w:szCs w:val="18"/>
              </w:rPr>
            </w:pPr>
            <w:r w:rsidRPr="0050141F">
              <w:rPr>
                <w:b/>
                <w:bCs/>
                <w:color w:val="000000" w:themeColor="text1"/>
                <w:sz w:val="18"/>
                <w:szCs w:val="18"/>
              </w:rPr>
              <w:t>3 103,0</w:t>
            </w:r>
          </w:p>
        </w:tc>
        <w:tc>
          <w:tcPr>
            <w:tcW w:w="724" w:type="dxa"/>
            <w:tcBorders>
              <w:top w:val="nil"/>
              <w:left w:val="nil"/>
              <w:bottom w:val="single" w:sz="8" w:space="0" w:color="000000"/>
              <w:right w:val="single" w:sz="8" w:space="0" w:color="000000"/>
            </w:tcBorders>
            <w:shd w:val="clear" w:color="auto" w:fill="auto"/>
            <w:vAlign w:val="center"/>
            <w:hideMark/>
          </w:tcPr>
          <w:p w:rsidR="0055491A" w:rsidRPr="0050141F" w:rsidRDefault="0055491A" w:rsidP="00210BF6">
            <w:pPr>
              <w:jc w:val="center"/>
              <w:rPr>
                <w:color w:val="000000" w:themeColor="text1"/>
                <w:sz w:val="18"/>
                <w:szCs w:val="18"/>
              </w:rPr>
            </w:pPr>
          </w:p>
        </w:tc>
        <w:tc>
          <w:tcPr>
            <w:tcW w:w="835" w:type="dxa"/>
            <w:tcBorders>
              <w:top w:val="nil"/>
              <w:left w:val="nil"/>
              <w:bottom w:val="single" w:sz="8" w:space="0" w:color="000000"/>
              <w:right w:val="single" w:sz="8" w:space="0" w:color="000000"/>
            </w:tcBorders>
            <w:shd w:val="clear" w:color="auto" w:fill="auto"/>
            <w:vAlign w:val="center"/>
            <w:hideMark/>
          </w:tcPr>
          <w:p w:rsidR="0055491A" w:rsidRPr="0050141F" w:rsidRDefault="0055491A" w:rsidP="00210BF6">
            <w:pPr>
              <w:jc w:val="center"/>
              <w:rPr>
                <w:b/>
                <w:bCs/>
                <w:color w:val="000000" w:themeColor="text1"/>
                <w:sz w:val="18"/>
                <w:szCs w:val="18"/>
              </w:rPr>
            </w:pPr>
            <w:r w:rsidRPr="0050141F">
              <w:rPr>
                <w:b/>
                <w:bCs/>
                <w:color w:val="000000" w:themeColor="text1"/>
                <w:sz w:val="18"/>
                <w:szCs w:val="18"/>
              </w:rPr>
              <w:t>3 443,0</w:t>
            </w:r>
          </w:p>
        </w:tc>
        <w:tc>
          <w:tcPr>
            <w:tcW w:w="688" w:type="dxa"/>
            <w:tcBorders>
              <w:top w:val="nil"/>
              <w:left w:val="nil"/>
              <w:bottom w:val="single" w:sz="8" w:space="0" w:color="000000"/>
              <w:right w:val="single" w:sz="8" w:space="0" w:color="000000"/>
            </w:tcBorders>
            <w:shd w:val="clear" w:color="auto" w:fill="auto"/>
            <w:vAlign w:val="center"/>
            <w:hideMark/>
          </w:tcPr>
          <w:p w:rsidR="0055491A" w:rsidRPr="0050141F" w:rsidRDefault="0055491A" w:rsidP="00210BF6">
            <w:pPr>
              <w:jc w:val="center"/>
              <w:rPr>
                <w:color w:val="000000" w:themeColor="text1"/>
                <w:sz w:val="18"/>
                <w:szCs w:val="18"/>
              </w:rPr>
            </w:pPr>
          </w:p>
        </w:tc>
        <w:tc>
          <w:tcPr>
            <w:tcW w:w="872" w:type="dxa"/>
            <w:tcBorders>
              <w:top w:val="nil"/>
              <w:left w:val="nil"/>
              <w:bottom w:val="single" w:sz="8" w:space="0" w:color="000000"/>
              <w:right w:val="single" w:sz="8" w:space="0" w:color="000000"/>
            </w:tcBorders>
            <w:shd w:val="clear" w:color="auto" w:fill="auto"/>
            <w:vAlign w:val="center"/>
            <w:hideMark/>
          </w:tcPr>
          <w:p w:rsidR="0055491A" w:rsidRPr="0050141F" w:rsidRDefault="0055491A" w:rsidP="00210BF6">
            <w:pPr>
              <w:jc w:val="center"/>
              <w:rPr>
                <w:b/>
                <w:bCs/>
                <w:color w:val="000000" w:themeColor="text1"/>
                <w:sz w:val="18"/>
                <w:szCs w:val="18"/>
              </w:rPr>
            </w:pPr>
            <w:r w:rsidRPr="0050141F">
              <w:rPr>
                <w:b/>
                <w:bCs/>
                <w:color w:val="000000" w:themeColor="text1"/>
                <w:sz w:val="18"/>
                <w:szCs w:val="18"/>
              </w:rPr>
              <w:t>3 228,0</w:t>
            </w:r>
          </w:p>
        </w:tc>
        <w:tc>
          <w:tcPr>
            <w:tcW w:w="650" w:type="dxa"/>
            <w:tcBorders>
              <w:top w:val="nil"/>
              <w:left w:val="nil"/>
              <w:bottom w:val="single" w:sz="8" w:space="0" w:color="000000"/>
              <w:right w:val="single" w:sz="8" w:space="0" w:color="000000"/>
            </w:tcBorders>
            <w:shd w:val="clear" w:color="auto" w:fill="auto"/>
            <w:vAlign w:val="center"/>
            <w:hideMark/>
          </w:tcPr>
          <w:p w:rsidR="0055491A" w:rsidRPr="0050141F" w:rsidRDefault="0055491A" w:rsidP="00210BF6">
            <w:pPr>
              <w:jc w:val="center"/>
              <w:rPr>
                <w:color w:val="000000" w:themeColor="text1"/>
                <w:sz w:val="18"/>
                <w:szCs w:val="18"/>
              </w:rPr>
            </w:pPr>
          </w:p>
        </w:tc>
        <w:tc>
          <w:tcPr>
            <w:tcW w:w="909" w:type="dxa"/>
            <w:tcBorders>
              <w:top w:val="nil"/>
              <w:left w:val="nil"/>
              <w:bottom w:val="single" w:sz="8" w:space="0" w:color="000000"/>
              <w:right w:val="single" w:sz="8" w:space="0" w:color="000000"/>
            </w:tcBorders>
            <w:shd w:val="clear" w:color="auto" w:fill="auto"/>
            <w:vAlign w:val="center"/>
            <w:hideMark/>
          </w:tcPr>
          <w:p w:rsidR="0055491A" w:rsidRPr="0050141F" w:rsidRDefault="0055491A" w:rsidP="00210BF6">
            <w:pPr>
              <w:jc w:val="center"/>
              <w:rPr>
                <w:b/>
                <w:bCs/>
                <w:color w:val="000000" w:themeColor="text1"/>
                <w:sz w:val="18"/>
                <w:szCs w:val="18"/>
              </w:rPr>
            </w:pPr>
            <w:r w:rsidRPr="0050141F">
              <w:rPr>
                <w:b/>
                <w:bCs/>
                <w:color w:val="000000" w:themeColor="text1"/>
                <w:sz w:val="18"/>
                <w:szCs w:val="18"/>
              </w:rPr>
              <w:t>3 213,0</w:t>
            </w:r>
          </w:p>
        </w:tc>
      </w:tr>
    </w:tbl>
    <w:p w:rsidR="0055491A" w:rsidRDefault="0055491A" w:rsidP="0055491A">
      <w:pPr>
        <w:jc w:val="center"/>
        <w:rPr>
          <w:sz w:val="28"/>
          <w:szCs w:val="28"/>
        </w:rPr>
      </w:pPr>
    </w:p>
    <w:p w:rsidR="0055491A" w:rsidRDefault="0055491A" w:rsidP="0055491A">
      <w:pPr>
        <w:pStyle w:val="a7"/>
        <w:spacing w:after="0"/>
        <w:ind w:left="0" w:firstLine="709"/>
        <w:jc w:val="both"/>
        <w:rPr>
          <w:sz w:val="28"/>
          <w:szCs w:val="28"/>
        </w:rPr>
      </w:pPr>
      <w:r>
        <w:rPr>
          <w:sz w:val="28"/>
          <w:szCs w:val="28"/>
        </w:rPr>
        <w:t xml:space="preserve">16. </w:t>
      </w:r>
      <w:r w:rsidRPr="003B595F">
        <w:rPr>
          <w:sz w:val="28"/>
          <w:szCs w:val="28"/>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r>
        <w:rPr>
          <w:sz w:val="28"/>
          <w:szCs w:val="28"/>
        </w:rPr>
        <w:t xml:space="preserve"> (</w:t>
      </w:r>
      <w:r w:rsidRPr="005B09B1">
        <w:rPr>
          <w:b/>
          <w:sz w:val="28"/>
          <w:szCs w:val="28"/>
        </w:rPr>
        <w:t>КБК 000 1 16 02010 01 0000 140</w:t>
      </w:r>
      <w:r>
        <w:rPr>
          <w:sz w:val="28"/>
          <w:szCs w:val="28"/>
        </w:rPr>
        <w:t>).</w:t>
      </w:r>
    </w:p>
    <w:p w:rsidR="0055491A" w:rsidRPr="005B09B1" w:rsidRDefault="0055491A" w:rsidP="0055491A">
      <w:pPr>
        <w:pStyle w:val="a7"/>
        <w:spacing w:after="0"/>
        <w:ind w:left="0" w:firstLine="709"/>
        <w:jc w:val="both"/>
        <w:rPr>
          <w:b/>
          <w:sz w:val="28"/>
          <w:szCs w:val="28"/>
        </w:rPr>
      </w:pPr>
      <w:r w:rsidRPr="005B09B1">
        <w:rPr>
          <w:b/>
          <w:sz w:val="28"/>
          <w:szCs w:val="28"/>
        </w:rPr>
        <w:t>Прогноз по КБК всего 2022 год 1 710,5 тыс. руб., 2023 год                1 686,0 тыс. руб., 2024 год 1 718,5 тыс. руб.</w:t>
      </w:r>
    </w:p>
    <w:p w:rsidR="0055491A" w:rsidRDefault="0055491A" w:rsidP="0055491A">
      <w:pPr>
        <w:pStyle w:val="a7"/>
        <w:spacing w:after="0"/>
        <w:ind w:left="0" w:firstLine="709"/>
        <w:jc w:val="both"/>
        <w:rPr>
          <w:sz w:val="28"/>
          <w:szCs w:val="28"/>
        </w:rPr>
      </w:pPr>
    </w:p>
    <w:p w:rsidR="0055491A" w:rsidRDefault="0055491A" w:rsidP="0055491A">
      <w:pPr>
        <w:ind w:firstLine="709"/>
        <w:jc w:val="both"/>
        <w:rPr>
          <w:sz w:val="28"/>
          <w:szCs w:val="28"/>
        </w:rPr>
      </w:pPr>
      <w:r>
        <w:rPr>
          <w:sz w:val="28"/>
          <w:szCs w:val="28"/>
        </w:rPr>
        <w:t xml:space="preserve">16.1  </w:t>
      </w:r>
      <w:r w:rsidRPr="005B09B1">
        <w:rPr>
          <w:b/>
          <w:sz w:val="28"/>
          <w:szCs w:val="28"/>
        </w:rPr>
        <w:t>КБК 104 1 16 02010 01 0000 140</w:t>
      </w:r>
      <w:r>
        <w:rPr>
          <w:sz w:val="28"/>
          <w:szCs w:val="28"/>
        </w:rPr>
        <w:t xml:space="preserve"> </w:t>
      </w:r>
      <w:r w:rsidRPr="009062C8">
        <w:rPr>
          <w:sz w:val="28"/>
          <w:szCs w:val="28"/>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r>
        <w:rPr>
          <w:sz w:val="28"/>
          <w:szCs w:val="28"/>
        </w:rPr>
        <w:t>.</w:t>
      </w:r>
    </w:p>
    <w:p w:rsidR="0055491A" w:rsidRPr="005B09B1" w:rsidRDefault="0055491A" w:rsidP="0055491A">
      <w:pPr>
        <w:ind w:firstLine="709"/>
        <w:jc w:val="both"/>
        <w:rPr>
          <w:b/>
          <w:sz w:val="28"/>
          <w:szCs w:val="28"/>
        </w:rPr>
      </w:pPr>
      <w:r w:rsidRPr="005B09B1">
        <w:rPr>
          <w:b/>
          <w:sz w:val="28"/>
          <w:szCs w:val="28"/>
        </w:rPr>
        <w:lastRenderedPageBreak/>
        <w:t>Главный администратор доходов – Министерство транспорта Тверской области.</w:t>
      </w:r>
    </w:p>
    <w:p w:rsidR="0055491A" w:rsidRDefault="0055491A" w:rsidP="0055491A">
      <w:pPr>
        <w:autoSpaceDE w:val="0"/>
        <w:autoSpaceDN w:val="0"/>
        <w:adjustRightInd w:val="0"/>
        <w:ind w:firstLine="709"/>
        <w:jc w:val="both"/>
        <w:rPr>
          <w:color w:val="000000"/>
          <w:sz w:val="28"/>
          <w:szCs w:val="28"/>
        </w:rPr>
      </w:pPr>
      <w:r>
        <w:rPr>
          <w:sz w:val="28"/>
          <w:szCs w:val="28"/>
        </w:rPr>
        <w:t>Прогнозирование поступлений на 2022-2024 гг.</w:t>
      </w:r>
      <w:r w:rsidRPr="00B72D6B">
        <w:rPr>
          <w:sz w:val="28"/>
          <w:szCs w:val="28"/>
        </w:rPr>
        <w:t xml:space="preserve"> осуществляется методом прямого расчета</w:t>
      </w:r>
      <w:r>
        <w:rPr>
          <w:sz w:val="28"/>
          <w:szCs w:val="28"/>
        </w:rPr>
        <w:t xml:space="preserve"> исходя из </w:t>
      </w:r>
      <w:r w:rsidRPr="00B72D6B">
        <w:rPr>
          <w:color w:val="000000"/>
          <w:sz w:val="28"/>
          <w:szCs w:val="28"/>
        </w:rPr>
        <w:t>средне</w:t>
      </w:r>
      <w:r>
        <w:rPr>
          <w:color w:val="000000"/>
          <w:sz w:val="28"/>
          <w:szCs w:val="28"/>
        </w:rPr>
        <w:t>го ко</w:t>
      </w:r>
      <w:r w:rsidRPr="00B72D6B">
        <w:rPr>
          <w:color w:val="000000"/>
          <w:sz w:val="28"/>
          <w:szCs w:val="28"/>
        </w:rPr>
        <w:t>личеств</w:t>
      </w:r>
      <w:r>
        <w:rPr>
          <w:color w:val="000000"/>
          <w:sz w:val="28"/>
          <w:szCs w:val="28"/>
        </w:rPr>
        <w:t>а</w:t>
      </w:r>
      <w:r w:rsidRPr="00B72D6B">
        <w:rPr>
          <w:color w:val="000000"/>
          <w:sz w:val="28"/>
          <w:szCs w:val="28"/>
        </w:rPr>
        <w:t xml:space="preserve"> </w:t>
      </w:r>
      <w:r>
        <w:rPr>
          <w:color w:val="000000"/>
          <w:sz w:val="28"/>
          <w:szCs w:val="28"/>
        </w:rPr>
        <w:t xml:space="preserve">административных штрафов, </w:t>
      </w:r>
      <w:r w:rsidRPr="00FE0004">
        <w:rPr>
          <w:sz w:val="28"/>
          <w:szCs w:val="28"/>
        </w:rPr>
        <w:t>предусмотренных статьей 45 Закона Тверской области от 14.07.2003 № 46-ЗО «Об административных правонарушениях»</w:t>
      </w:r>
      <w:r>
        <w:rPr>
          <w:sz w:val="28"/>
          <w:szCs w:val="28"/>
        </w:rPr>
        <w:t xml:space="preserve"> ( штраф за безбилетный проезд) </w:t>
      </w:r>
      <w:r>
        <w:rPr>
          <w:color w:val="000000"/>
          <w:sz w:val="28"/>
          <w:szCs w:val="28"/>
        </w:rPr>
        <w:t>за период 2018-2020 гг.</w:t>
      </w:r>
      <w:r w:rsidRPr="00B72D6B">
        <w:rPr>
          <w:color w:val="000000"/>
          <w:sz w:val="28"/>
          <w:szCs w:val="28"/>
        </w:rPr>
        <w:t xml:space="preserve"> </w:t>
      </w:r>
      <w:r>
        <w:rPr>
          <w:color w:val="000000"/>
          <w:sz w:val="28"/>
          <w:szCs w:val="28"/>
        </w:rPr>
        <w:t xml:space="preserve">и </w:t>
      </w:r>
      <w:r w:rsidRPr="00B72D6B">
        <w:rPr>
          <w:color w:val="000000"/>
          <w:sz w:val="28"/>
          <w:szCs w:val="28"/>
        </w:rPr>
        <w:t>размер</w:t>
      </w:r>
      <w:r>
        <w:rPr>
          <w:color w:val="000000"/>
          <w:sz w:val="28"/>
          <w:szCs w:val="28"/>
        </w:rPr>
        <w:t>а</w:t>
      </w:r>
      <w:r w:rsidRPr="00B72D6B">
        <w:rPr>
          <w:color w:val="000000"/>
          <w:sz w:val="28"/>
          <w:szCs w:val="28"/>
        </w:rPr>
        <w:t xml:space="preserve"> </w:t>
      </w:r>
      <w:r>
        <w:rPr>
          <w:color w:val="000000"/>
          <w:sz w:val="28"/>
          <w:szCs w:val="28"/>
        </w:rPr>
        <w:t>наиболее часто налагаемого</w:t>
      </w:r>
      <w:r w:rsidRPr="00B72D6B">
        <w:rPr>
          <w:color w:val="000000"/>
          <w:sz w:val="28"/>
          <w:szCs w:val="28"/>
        </w:rPr>
        <w:t xml:space="preserve"> </w:t>
      </w:r>
      <w:r>
        <w:rPr>
          <w:color w:val="000000"/>
          <w:sz w:val="28"/>
          <w:szCs w:val="28"/>
        </w:rPr>
        <w:t xml:space="preserve">административного штрафа. </w:t>
      </w:r>
    </w:p>
    <w:p w:rsidR="0055491A" w:rsidRPr="00FE0004" w:rsidRDefault="0055491A" w:rsidP="0055491A">
      <w:pPr>
        <w:pStyle w:val="ConsPlusNonformat"/>
        <w:spacing w:line="226" w:lineRule="auto"/>
        <w:ind w:firstLine="709"/>
        <w:jc w:val="both"/>
        <w:rPr>
          <w:rFonts w:ascii="Times New Roman" w:hAnsi="Times New Roman" w:cs="Times New Roman"/>
          <w:sz w:val="28"/>
          <w:szCs w:val="28"/>
        </w:rPr>
      </w:pPr>
      <w:r w:rsidRPr="00FE0004">
        <w:rPr>
          <w:rFonts w:ascii="Times New Roman" w:hAnsi="Times New Roman" w:cs="Times New Roman"/>
          <w:sz w:val="28"/>
          <w:szCs w:val="28"/>
        </w:rPr>
        <w:t xml:space="preserve">В 2018 и 2019 годах дела об административных правонарушениях, </w:t>
      </w:r>
      <w:r>
        <w:rPr>
          <w:rFonts w:ascii="Times New Roman" w:hAnsi="Times New Roman" w:cs="Times New Roman"/>
          <w:sz w:val="28"/>
          <w:szCs w:val="28"/>
        </w:rPr>
        <w:t xml:space="preserve">по </w:t>
      </w:r>
      <w:r w:rsidRPr="00FE0004">
        <w:rPr>
          <w:rFonts w:ascii="Times New Roman" w:hAnsi="Times New Roman" w:cs="Times New Roman"/>
          <w:sz w:val="28"/>
          <w:szCs w:val="28"/>
        </w:rPr>
        <w:t xml:space="preserve">статье 45 Закона Тверской области от 14.07.2003 № 46-ЗО «Об административных правонарушениях» Министерством </w:t>
      </w:r>
      <w:r>
        <w:rPr>
          <w:rFonts w:ascii="Times New Roman" w:hAnsi="Times New Roman" w:cs="Times New Roman"/>
          <w:sz w:val="28"/>
          <w:szCs w:val="28"/>
        </w:rPr>
        <w:t xml:space="preserve">транспорта Тверской области </w:t>
      </w:r>
      <w:r w:rsidRPr="00FE0004">
        <w:rPr>
          <w:rFonts w:ascii="Times New Roman" w:hAnsi="Times New Roman" w:cs="Times New Roman"/>
          <w:sz w:val="28"/>
          <w:szCs w:val="28"/>
        </w:rPr>
        <w:t>не рассматривались, поступлений не было.</w:t>
      </w:r>
    </w:p>
    <w:p w:rsidR="0055491A" w:rsidRPr="00FE0004" w:rsidRDefault="0055491A" w:rsidP="0055491A">
      <w:pPr>
        <w:pStyle w:val="ConsPlusNonformat"/>
        <w:spacing w:line="226" w:lineRule="auto"/>
        <w:ind w:firstLine="709"/>
        <w:jc w:val="both"/>
        <w:rPr>
          <w:rFonts w:ascii="Times New Roman" w:hAnsi="Times New Roman" w:cs="Times New Roman"/>
          <w:color w:val="000000"/>
          <w:sz w:val="28"/>
          <w:szCs w:val="28"/>
        </w:rPr>
      </w:pPr>
      <w:r w:rsidRPr="00FE0004">
        <w:rPr>
          <w:rFonts w:ascii="Times New Roman" w:hAnsi="Times New Roman" w:cs="Times New Roman"/>
          <w:sz w:val="28"/>
          <w:szCs w:val="28"/>
        </w:rPr>
        <w:t xml:space="preserve">За </w:t>
      </w:r>
      <w:r w:rsidRPr="00FE0004">
        <w:rPr>
          <w:rFonts w:ascii="Times New Roman" w:hAnsi="Times New Roman" w:cs="Times New Roman"/>
          <w:color w:val="000000"/>
          <w:sz w:val="28"/>
          <w:szCs w:val="28"/>
        </w:rPr>
        <w:t xml:space="preserve">2020 год доход бюджета </w:t>
      </w:r>
      <w:r w:rsidRPr="00FE0004">
        <w:rPr>
          <w:rFonts w:ascii="Times New Roman" w:hAnsi="Times New Roman" w:cs="Times New Roman"/>
          <w:sz w:val="28"/>
          <w:szCs w:val="28"/>
        </w:rPr>
        <w:t xml:space="preserve">областного бюджета Тверской области </w:t>
      </w:r>
      <w:r w:rsidRPr="00FE0004">
        <w:rPr>
          <w:rFonts w:ascii="Times New Roman" w:hAnsi="Times New Roman" w:cs="Times New Roman"/>
          <w:color w:val="000000"/>
          <w:sz w:val="28"/>
          <w:szCs w:val="28"/>
        </w:rPr>
        <w:t>поступило 46,5 тыс. рублей по результатам рассмотрения 93 дел об административных правонарушениях.</w:t>
      </w:r>
    </w:p>
    <w:p w:rsidR="0055491A" w:rsidRDefault="0055491A" w:rsidP="0055491A">
      <w:pPr>
        <w:pStyle w:val="ConsPlusNonformat"/>
        <w:spacing w:line="226" w:lineRule="auto"/>
        <w:ind w:firstLine="709"/>
        <w:jc w:val="both"/>
        <w:rPr>
          <w:rFonts w:ascii="Times New Roman" w:hAnsi="Times New Roman" w:cs="Times New Roman"/>
          <w:color w:val="000000"/>
          <w:sz w:val="28"/>
          <w:szCs w:val="28"/>
        </w:rPr>
      </w:pPr>
      <w:r w:rsidRPr="00FE0004">
        <w:rPr>
          <w:rFonts w:ascii="Times New Roman" w:hAnsi="Times New Roman" w:cs="Times New Roman"/>
          <w:color w:val="000000"/>
          <w:sz w:val="28"/>
          <w:szCs w:val="28"/>
        </w:rPr>
        <w:t xml:space="preserve">Таким образом, среднее количество </w:t>
      </w:r>
      <w:r>
        <w:rPr>
          <w:rFonts w:ascii="Times New Roman" w:hAnsi="Times New Roman" w:cs="Times New Roman"/>
          <w:color w:val="000000"/>
          <w:sz w:val="28"/>
          <w:szCs w:val="28"/>
        </w:rPr>
        <w:t xml:space="preserve">административных штрафов – </w:t>
      </w:r>
      <w:r w:rsidRPr="00FE0004">
        <w:rPr>
          <w:rFonts w:ascii="Times New Roman" w:hAnsi="Times New Roman" w:cs="Times New Roman"/>
          <w:color w:val="000000"/>
          <w:sz w:val="28"/>
          <w:szCs w:val="28"/>
        </w:rPr>
        <w:t>31</w:t>
      </w:r>
      <w:r>
        <w:rPr>
          <w:rFonts w:ascii="Times New Roman" w:hAnsi="Times New Roman" w:cs="Times New Roman"/>
          <w:color w:val="000000"/>
          <w:sz w:val="28"/>
          <w:szCs w:val="28"/>
        </w:rPr>
        <w:t xml:space="preserve"> ед.</w:t>
      </w:r>
      <w:r w:rsidRPr="00FE0004">
        <w:rPr>
          <w:rFonts w:ascii="Times New Roman" w:hAnsi="Times New Roman" w:cs="Times New Roman"/>
          <w:color w:val="000000"/>
          <w:sz w:val="28"/>
          <w:szCs w:val="28"/>
        </w:rPr>
        <w:t>, размер наиболее часто налагаемого денежного взыскания (штрафа) – 0,5 тыс. рублей.</w:t>
      </w:r>
    </w:p>
    <w:p w:rsidR="0055491A" w:rsidRPr="00F6688F" w:rsidRDefault="0055491A" w:rsidP="0055491A">
      <w:pPr>
        <w:pStyle w:val="ConsPlusNonformat"/>
        <w:spacing w:line="226" w:lineRule="auto"/>
        <w:ind w:firstLine="709"/>
        <w:jc w:val="both"/>
        <w:rPr>
          <w:rFonts w:ascii="Times New Roman" w:hAnsi="Times New Roman" w:cs="Times New Roman"/>
          <w:b/>
          <w:color w:val="000000"/>
          <w:sz w:val="28"/>
          <w:szCs w:val="28"/>
        </w:rPr>
      </w:pPr>
      <w:r w:rsidRPr="00F6688F">
        <w:rPr>
          <w:rFonts w:ascii="Times New Roman" w:hAnsi="Times New Roman" w:cs="Times New Roman"/>
          <w:b/>
          <w:color w:val="000000"/>
          <w:sz w:val="28"/>
          <w:szCs w:val="28"/>
        </w:rPr>
        <w:t>Прогноз поступлений 2022 год</w:t>
      </w:r>
      <w:r>
        <w:rPr>
          <w:rFonts w:ascii="Times New Roman" w:hAnsi="Times New Roman" w:cs="Times New Roman"/>
          <w:color w:val="000000"/>
          <w:sz w:val="28"/>
          <w:szCs w:val="28"/>
        </w:rPr>
        <w:t xml:space="preserve"> = 31 ед. * 0,5 тыс. руб.=</w:t>
      </w:r>
      <w:r w:rsidRPr="00F6688F">
        <w:rPr>
          <w:rFonts w:ascii="Times New Roman" w:hAnsi="Times New Roman" w:cs="Times New Roman"/>
          <w:b/>
          <w:color w:val="000000"/>
          <w:sz w:val="28"/>
          <w:szCs w:val="28"/>
        </w:rPr>
        <w:t>15,5 тыс. руб.</w:t>
      </w:r>
    </w:p>
    <w:p w:rsidR="0055491A" w:rsidRDefault="0055491A" w:rsidP="0055491A">
      <w:pPr>
        <w:pStyle w:val="ConsPlusNonformat"/>
        <w:spacing w:line="226" w:lineRule="auto"/>
        <w:ind w:firstLine="709"/>
        <w:jc w:val="both"/>
        <w:rPr>
          <w:rFonts w:ascii="Times New Roman" w:hAnsi="Times New Roman" w:cs="Times New Roman"/>
          <w:b/>
          <w:color w:val="000000"/>
          <w:sz w:val="28"/>
          <w:szCs w:val="28"/>
        </w:rPr>
      </w:pPr>
      <w:r w:rsidRPr="00F6688F">
        <w:rPr>
          <w:rFonts w:ascii="Times New Roman" w:hAnsi="Times New Roman" w:cs="Times New Roman"/>
          <w:b/>
          <w:color w:val="000000"/>
          <w:sz w:val="28"/>
          <w:szCs w:val="28"/>
        </w:rPr>
        <w:t xml:space="preserve">Прогноз поступлений 2023 год – 15,5 тыс. руб. </w:t>
      </w:r>
    </w:p>
    <w:p w:rsidR="0055491A" w:rsidRPr="00F6688F" w:rsidRDefault="0055491A" w:rsidP="0055491A">
      <w:pPr>
        <w:pStyle w:val="ConsPlusNonformat"/>
        <w:spacing w:line="226" w:lineRule="auto"/>
        <w:ind w:firstLine="709"/>
        <w:jc w:val="both"/>
        <w:rPr>
          <w:rFonts w:ascii="Times New Roman" w:hAnsi="Times New Roman" w:cs="Times New Roman"/>
          <w:b/>
          <w:color w:val="000000"/>
          <w:sz w:val="28"/>
          <w:szCs w:val="28"/>
        </w:rPr>
      </w:pPr>
      <w:r>
        <w:rPr>
          <w:rFonts w:ascii="Times New Roman" w:hAnsi="Times New Roman" w:cs="Times New Roman"/>
          <w:b/>
          <w:color w:val="000000"/>
          <w:sz w:val="28"/>
          <w:szCs w:val="28"/>
        </w:rPr>
        <w:t>П</w:t>
      </w:r>
      <w:r w:rsidRPr="00F6688F">
        <w:rPr>
          <w:rFonts w:ascii="Times New Roman" w:hAnsi="Times New Roman" w:cs="Times New Roman"/>
          <w:b/>
          <w:color w:val="000000"/>
          <w:sz w:val="28"/>
          <w:szCs w:val="28"/>
        </w:rPr>
        <w:t>рогноз поступлений 2024 год – 15,5 тыс. руб.</w:t>
      </w:r>
    </w:p>
    <w:p w:rsidR="0055491A" w:rsidRDefault="0055491A" w:rsidP="0055491A">
      <w:pPr>
        <w:pStyle w:val="a7"/>
        <w:spacing w:after="0"/>
        <w:ind w:left="0" w:firstLine="709"/>
        <w:jc w:val="both"/>
        <w:rPr>
          <w:sz w:val="28"/>
          <w:szCs w:val="28"/>
        </w:rPr>
      </w:pPr>
    </w:p>
    <w:p w:rsidR="0055491A" w:rsidRDefault="0055491A" w:rsidP="0055491A">
      <w:pPr>
        <w:jc w:val="both"/>
        <w:rPr>
          <w:sz w:val="28"/>
          <w:szCs w:val="28"/>
        </w:rPr>
      </w:pPr>
    </w:p>
    <w:p w:rsidR="0055491A" w:rsidRDefault="0055491A" w:rsidP="0055491A">
      <w:pPr>
        <w:jc w:val="both"/>
        <w:rPr>
          <w:sz w:val="28"/>
          <w:szCs w:val="28"/>
        </w:rPr>
      </w:pPr>
      <w:r>
        <w:rPr>
          <w:sz w:val="28"/>
          <w:szCs w:val="28"/>
        </w:rPr>
        <w:t xml:space="preserve">         16.2  </w:t>
      </w:r>
      <w:r w:rsidRPr="005B09B1">
        <w:rPr>
          <w:b/>
          <w:sz w:val="28"/>
          <w:szCs w:val="28"/>
        </w:rPr>
        <w:t>КБК 332 1 16 02010 01 0000 140</w:t>
      </w:r>
      <w:r>
        <w:rPr>
          <w:sz w:val="28"/>
          <w:szCs w:val="28"/>
        </w:rPr>
        <w:t xml:space="preserve"> </w:t>
      </w:r>
      <w:r w:rsidRPr="009062C8">
        <w:rPr>
          <w:sz w:val="28"/>
          <w:szCs w:val="28"/>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r>
        <w:rPr>
          <w:sz w:val="28"/>
          <w:szCs w:val="28"/>
        </w:rPr>
        <w:t>.</w:t>
      </w:r>
    </w:p>
    <w:p w:rsidR="0055491A" w:rsidRDefault="0055491A" w:rsidP="0055491A">
      <w:pPr>
        <w:ind w:firstLine="709"/>
        <w:jc w:val="both"/>
        <w:rPr>
          <w:sz w:val="28"/>
          <w:szCs w:val="28"/>
        </w:rPr>
      </w:pPr>
      <w:r>
        <w:rPr>
          <w:sz w:val="28"/>
          <w:szCs w:val="28"/>
        </w:rPr>
        <w:t>Главный администратор доходов – Министерство Тверской области по обеспечению контрольных функций.</w:t>
      </w:r>
    </w:p>
    <w:p w:rsidR="0055491A" w:rsidRPr="000D4676" w:rsidRDefault="0055491A" w:rsidP="0055491A">
      <w:pPr>
        <w:pStyle w:val="a7"/>
        <w:spacing w:after="0"/>
        <w:ind w:left="0" w:firstLine="709"/>
        <w:jc w:val="both"/>
        <w:rPr>
          <w:sz w:val="28"/>
          <w:szCs w:val="28"/>
        </w:rPr>
      </w:pPr>
      <w:r w:rsidRPr="000D4676">
        <w:rPr>
          <w:sz w:val="28"/>
          <w:szCs w:val="28"/>
        </w:rPr>
        <w:t>Расчет произведен в соответствии с методикой, утвержденной приказом Министерства Тверской области по обес</w:t>
      </w:r>
      <w:r>
        <w:rPr>
          <w:sz w:val="28"/>
          <w:szCs w:val="28"/>
        </w:rPr>
        <w:t>печению контрольных функций от 18</w:t>
      </w:r>
      <w:r w:rsidRPr="000D4676">
        <w:rPr>
          <w:sz w:val="28"/>
          <w:szCs w:val="28"/>
        </w:rPr>
        <w:t>.0</w:t>
      </w:r>
      <w:r>
        <w:rPr>
          <w:sz w:val="28"/>
          <w:szCs w:val="28"/>
        </w:rPr>
        <w:t>6</w:t>
      </w:r>
      <w:r w:rsidRPr="000D4676">
        <w:rPr>
          <w:sz w:val="28"/>
          <w:szCs w:val="28"/>
        </w:rPr>
        <w:t>.20</w:t>
      </w:r>
      <w:r>
        <w:rPr>
          <w:sz w:val="28"/>
          <w:szCs w:val="28"/>
        </w:rPr>
        <w:t>20</w:t>
      </w:r>
      <w:r w:rsidRPr="000D4676">
        <w:rPr>
          <w:sz w:val="28"/>
          <w:szCs w:val="28"/>
        </w:rPr>
        <w:t xml:space="preserve"> № </w:t>
      </w:r>
      <w:r>
        <w:rPr>
          <w:sz w:val="28"/>
          <w:szCs w:val="28"/>
        </w:rPr>
        <w:t>714</w:t>
      </w:r>
      <w:r w:rsidRPr="000D4676">
        <w:rPr>
          <w:sz w:val="28"/>
          <w:szCs w:val="28"/>
        </w:rPr>
        <w:t xml:space="preserve"> «Об утверждении методики прогнозирования поступлений доходов в областной бюджет Тверской области и местные бюджеты муниципальных образований Тверской области»</w:t>
      </w:r>
      <w:r>
        <w:rPr>
          <w:sz w:val="28"/>
          <w:szCs w:val="28"/>
        </w:rPr>
        <w:t xml:space="preserve"> (с учетом изменений)</w:t>
      </w:r>
      <w:r w:rsidRPr="000D4676">
        <w:rPr>
          <w:sz w:val="28"/>
          <w:szCs w:val="28"/>
        </w:rPr>
        <w:t>.</w:t>
      </w:r>
    </w:p>
    <w:p w:rsidR="0055491A" w:rsidRDefault="0055491A" w:rsidP="0055491A">
      <w:pPr>
        <w:ind w:firstLine="709"/>
        <w:jc w:val="both"/>
        <w:rPr>
          <w:sz w:val="28"/>
          <w:szCs w:val="28"/>
        </w:rPr>
      </w:pPr>
      <w:r w:rsidRPr="00AE4DD2">
        <w:rPr>
          <w:sz w:val="28"/>
          <w:szCs w:val="28"/>
        </w:rPr>
        <w:t xml:space="preserve">В областной бюджет Тверской области поступают средства </w:t>
      </w:r>
      <w:r>
        <w:rPr>
          <w:sz w:val="28"/>
          <w:szCs w:val="28"/>
        </w:rPr>
        <w:t>от денежных взысканий (штрафов):</w:t>
      </w:r>
    </w:p>
    <w:p w:rsidR="0055491A" w:rsidRDefault="0055491A" w:rsidP="0055491A">
      <w:pPr>
        <w:ind w:firstLine="709"/>
        <w:jc w:val="both"/>
        <w:rPr>
          <w:sz w:val="28"/>
          <w:szCs w:val="28"/>
        </w:rPr>
      </w:pPr>
      <w:r>
        <w:rPr>
          <w:sz w:val="28"/>
          <w:szCs w:val="28"/>
        </w:rPr>
        <w:t>-</w:t>
      </w:r>
      <w:r w:rsidRPr="00AE4DD2">
        <w:rPr>
          <w:sz w:val="28"/>
          <w:szCs w:val="28"/>
        </w:rPr>
        <w:t xml:space="preserve"> назначаемых в ходе осуществления регионального государственного контроля за соблюдением порядка содержания и (или) ремонта автомобильных дорог общего пользования Тверской области регионального и межмуниципального значения, предусмотренные</w:t>
      </w:r>
      <w:r>
        <w:rPr>
          <w:sz w:val="28"/>
          <w:szCs w:val="28"/>
        </w:rPr>
        <w:t xml:space="preserve"> </w:t>
      </w:r>
      <w:r w:rsidRPr="00AE4DD2">
        <w:rPr>
          <w:sz w:val="28"/>
          <w:szCs w:val="28"/>
        </w:rPr>
        <w:t xml:space="preserve"> ч.</w:t>
      </w:r>
      <w:r w:rsidRPr="00B363F5">
        <w:rPr>
          <w:sz w:val="28"/>
          <w:szCs w:val="28"/>
        </w:rPr>
        <w:t xml:space="preserve"> </w:t>
      </w:r>
      <w:r w:rsidRPr="00AE4DD2">
        <w:rPr>
          <w:sz w:val="28"/>
          <w:szCs w:val="28"/>
        </w:rPr>
        <w:t>1 ст.32.3 закона Тверской области от 14.07.2003 № 46-ЗО «Об административных правонарушениях»</w:t>
      </w:r>
      <w:r>
        <w:rPr>
          <w:sz w:val="28"/>
          <w:szCs w:val="28"/>
        </w:rPr>
        <w:t>;</w:t>
      </w:r>
    </w:p>
    <w:p w:rsidR="0055491A" w:rsidRDefault="0055491A" w:rsidP="0055491A">
      <w:pPr>
        <w:ind w:firstLine="709"/>
        <w:jc w:val="both"/>
        <w:rPr>
          <w:sz w:val="28"/>
          <w:szCs w:val="28"/>
        </w:rPr>
      </w:pPr>
      <w:r>
        <w:rPr>
          <w:sz w:val="28"/>
          <w:szCs w:val="28"/>
        </w:rPr>
        <w:t>-</w:t>
      </w:r>
      <w:r w:rsidRPr="0080616A">
        <w:rPr>
          <w:color w:val="000000"/>
          <w:sz w:val="28"/>
          <w:szCs w:val="28"/>
        </w:rPr>
        <w:t xml:space="preserve"> </w:t>
      </w:r>
      <w:r w:rsidRPr="00026D75">
        <w:rPr>
          <w:color w:val="000000"/>
          <w:sz w:val="28"/>
          <w:szCs w:val="28"/>
        </w:rPr>
        <w:t xml:space="preserve">за нарушение норм Закона </w:t>
      </w:r>
      <w:r>
        <w:rPr>
          <w:sz w:val="28"/>
          <w:szCs w:val="28"/>
        </w:rPr>
        <w:t>Тверской области от 14.07.2003 № 46-ЗО «Об административных правонарушениях»</w:t>
      </w:r>
      <w:r w:rsidRPr="00CB6741">
        <w:rPr>
          <w:sz w:val="28"/>
          <w:szCs w:val="28"/>
        </w:rPr>
        <w:t xml:space="preserve"> </w:t>
      </w:r>
      <w:r w:rsidRPr="00B363F5">
        <w:rPr>
          <w:sz w:val="28"/>
          <w:szCs w:val="28"/>
        </w:rPr>
        <w:t>в сфере коммунального хозяйства и благоустройства</w:t>
      </w:r>
      <w:r>
        <w:rPr>
          <w:sz w:val="28"/>
          <w:szCs w:val="28"/>
        </w:rPr>
        <w:t xml:space="preserve">, </w:t>
      </w:r>
      <w:r w:rsidRPr="0080616A">
        <w:rPr>
          <w:sz w:val="28"/>
          <w:szCs w:val="28"/>
        </w:rPr>
        <w:t>в сфере общественного порядка, общественной безопасности и общественной нравственности</w:t>
      </w:r>
      <w:r w:rsidRPr="00B363F5">
        <w:rPr>
          <w:sz w:val="28"/>
          <w:szCs w:val="28"/>
        </w:rPr>
        <w:t xml:space="preserve"> </w:t>
      </w:r>
      <w:r>
        <w:rPr>
          <w:sz w:val="28"/>
          <w:szCs w:val="28"/>
        </w:rPr>
        <w:t xml:space="preserve">в части следующих статей:                   </w:t>
      </w:r>
      <w:r>
        <w:rPr>
          <w:sz w:val="28"/>
          <w:szCs w:val="28"/>
        </w:rPr>
        <w:lastRenderedPageBreak/>
        <w:t>ст. 19 ч. 1, 2, ст. 21, ст. 25, ст. 26, ст. 36, ст. 54. 1, ст. 54. 2, ст. 55, ст. 56.1., ст. 59.1.</w:t>
      </w:r>
    </w:p>
    <w:p w:rsidR="0055491A" w:rsidRPr="005C2566" w:rsidRDefault="0055491A" w:rsidP="0055491A">
      <w:pPr>
        <w:autoSpaceDE w:val="0"/>
        <w:autoSpaceDN w:val="0"/>
        <w:adjustRightInd w:val="0"/>
        <w:ind w:firstLine="540"/>
        <w:jc w:val="both"/>
        <w:rPr>
          <w:sz w:val="28"/>
          <w:szCs w:val="28"/>
        </w:rPr>
      </w:pPr>
      <w:r w:rsidRPr="005C2566">
        <w:rPr>
          <w:sz w:val="28"/>
          <w:szCs w:val="28"/>
        </w:rPr>
        <w:t xml:space="preserve">Расчет производится методом </w:t>
      </w:r>
      <w:r>
        <w:rPr>
          <w:sz w:val="28"/>
          <w:szCs w:val="28"/>
        </w:rPr>
        <w:t>прямого расчета исходя из планируемого</w:t>
      </w:r>
      <w:r w:rsidRPr="005C2566">
        <w:rPr>
          <w:sz w:val="28"/>
          <w:szCs w:val="28"/>
        </w:rPr>
        <w:t xml:space="preserve"> количества правонарушений и размера </w:t>
      </w:r>
      <w:r>
        <w:rPr>
          <w:sz w:val="28"/>
          <w:szCs w:val="28"/>
        </w:rPr>
        <w:t>штрафа</w:t>
      </w:r>
      <w:r w:rsidRPr="005C2566">
        <w:rPr>
          <w:sz w:val="28"/>
          <w:szCs w:val="28"/>
        </w:rPr>
        <w:t xml:space="preserve"> за конкретный вид правонарушения.</w:t>
      </w:r>
    </w:p>
    <w:p w:rsidR="0055491A" w:rsidRDefault="0055491A" w:rsidP="0055491A">
      <w:pPr>
        <w:autoSpaceDE w:val="0"/>
        <w:autoSpaceDN w:val="0"/>
        <w:adjustRightInd w:val="0"/>
        <w:ind w:firstLine="540"/>
        <w:jc w:val="both"/>
        <w:rPr>
          <w:sz w:val="28"/>
          <w:szCs w:val="28"/>
        </w:rPr>
      </w:pPr>
      <w:r w:rsidRPr="005C2566">
        <w:rPr>
          <w:sz w:val="28"/>
          <w:szCs w:val="28"/>
        </w:rPr>
        <w:t>Планируемое количество нарушений рассчитывает методом усреднения, исходя</w:t>
      </w:r>
      <w:r>
        <w:rPr>
          <w:sz w:val="28"/>
          <w:szCs w:val="28"/>
        </w:rPr>
        <w:t xml:space="preserve"> их данных за 3 предыдущих года, представлено в таблице.</w:t>
      </w:r>
      <w:r w:rsidRPr="005147B7">
        <w:rPr>
          <w:sz w:val="28"/>
          <w:szCs w:val="28"/>
        </w:rPr>
        <w:t xml:space="preserve"> </w:t>
      </w:r>
    </w:p>
    <w:p w:rsidR="0055491A" w:rsidRDefault="0055491A" w:rsidP="0055491A">
      <w:pPr>
        <w:jc w:val="center"/>
        <w:rPr>
          <w:sz w:val="28"/>
          <w:szCs w:val="28"/>
        </w:rPr>
      </w:pPr>
      <w:r>
        <w:rPr>
          <w:sz w:val="28"/>
          <w:szCs w:val="28"/>
        </w:rPr>
        <w:t xml:space="preserve">Расчет прогнозных показателей на 2022– 2024 годы </w:t>
      </w:r>
    </w:p>
    <w:p w:rsidR="0055491A" w:rsidRPr="005147B7" w:rsidRDefault="0055491A" w:rsidP="0055491A">
      <w:pPr>
        <w:pStyle w:val="af4"/>
        <w:numPr>
          <w:ilvl w:val="0"/>
          <w:numId w:val="32"/>
        </w:numPr>
        <w:jc w:val="center"/>
        <w:rPr>
          <w:sz w:val="28"/>
          <w:szCs w:val="28"/>
        </w:rPr>
      </w:pPr>
      <w:r w:rsidRPr="005147B7">
        <w:rPr>
          <w:sz w:val="28"/>
          <w:szCs w:val="28"/>
        </w:rPr>
        <w:t>За соблюдением порядка содержания и (или) ремонта автомобильных дорог общего пользования Тверской области регионального и межмуниципального значения, предусмотренные  ч. 1 ст.32.3 закона Тверской области от 14.07.2003 № 46-ЗО «Об административных правонарушениях</w:t>
      </w:r>
    </w:p>
    <w:p w:rsidR="0055491A" w:rsidRDefault="0055491A" w:rsidP="0055491A">
      <w:pPr>
        <w:jc w:val="center"/>
        <w:rPr>
          <w:sz w:val="28"/>
          <w:szCs w:val="28"/>
        </w:rPr>
      </w:pPr>
    </w:p>
    <w:tbl>
      <w:tblPr>
        <w:tblW w:w="10051" w:type="dxa"/>
        <w:tblInd w:w="-743" w:type="dxa"/>
        <w:tblLayout w:type="fixed"/>
        <w:tblLook w:val="04A0" w:firstRow="1" w:lastRow="0" w:firstColumn="1" w:lastColumn="0" w:noHBand="0" w:noVBand="1"/>
      </w:tblPr>
      <w:tblGrid>
        <w:gridCol w:w="926"/>
        <w:gridCol w:w="794"/>
        <w:gridCol w:w="660"/>
        <w:gridCol w:w="661"/>
        <w:gridCol w:w="795"/>
        <w:gridCol w:w="793"/>
        <w:gridCol w:w="794"/>
        <w:gridCol w:w="793"/>
        <w:gridCol w:w="794"/>
        <w:gridCol w:w="793"/>
        <w:gridCol w:w="794"/>
        <w:gridCol w:w="660"/>
        <w:gridCol w:w="794"/>
      </w:tblGrid>
      <w:tr w:rsidR="0055491A" w:rsidRPr="007366EE" w:rsidTr="00210BF6">
        <w:trPr>
          <w:trHeight w:val="741"/>
        </w:trPr>
        <w:tc>
          <w:tcPr>
            <w:tcW w:w="926" w:type="dxa"/>
            <w:vMerge w:val="restart"/>
            <w:tcBorders>
              <w:top w:val="single" w:sz="8" w:space="0" w:color="auto"/>
              <w:left w:val="nil"/>
              <w:bottom w:val="nil"/>
              <w:right w:val="single" w:sz="8" w:space="0" w:color="auto"/>
            </w:tcBorders>
            <w:shd w:val="clear" w:color="auto" w:fill="auto"/>
            <w:vAlign w:val="center"/>
            <w:hideMark/>
          </w:tcPr>
          <w:p w:rsidR="0055491A" w:rsidRPr="007366EE" w:rsidRDefault="0055491A" w:rsidP="00210BF6">
            <w:pPr>
              <w:jc w:val="center"/>
              <w:rPr>
                <w:b/>
                <w:bCs/>
                <w:sz w:val="18"/>
                <w:szCs w:val="18"/>
              </w:rPr>
            </w:pPr>
            <w:r w:rsidRPr="007366EE">
              <w:rPr>
                <w:b/>
                <w:bCs/>
                <w:sz w:val="18"/>
                <w:szCs w:val="18"/>
              </w:rPr>
              <w:t>НПА, устанавливающий платеж, статья, пункт</w:t>
            </w:r>
          </w:p>
        </w:tc>
        <w:tc>
          <w:tcPr>
            <w:tcW w:w="794" w:type="dxa"/>
            <w:vMerge w:val="restart"/>
            <w:tcBorders>
              <w:top w:val="single" w:sz="8" w:space="0" w:color="auto"/>
              <w:left w:val="nil"/>
              <w:bottom w:val="nil"/>
              <w:right w:val="single" w:sz="8" w:space="0" w:color="auto"/>
            </w:tcBorders>
            <w:shd w:val="clear" w:color="auto" w:fill="auto"/>
            <w:vAlign w:val="center"/>
            <w:hideMark/>
          </w:tcPr>
          <w:p w:rsidR="0055491A" w:rsidRPr="00925063" w:rsidRDefault="0055491A" w:rsidP="00210BF6">
            <w:pPr>
              <w:jc w:val="center"/>
              <w:rPr>
                <w:b/>
                <w:bCs/>
                <w:sz w:val="16"/>
                <w:szCs w:val="16"/>
              </w:rPr>
            </w:pPr>
            <w:r w:rsidRPr="00925063">
              <w:rPr>
                <w:b/>
                <w:bCs/>
                <w:sz w:val="16"/>
                <w:szCs w:val="16"/>
              </w:rPr>
              <w:t>Размер штрафа тыс.руб</w:t>
            </w:r>
          </w:p>
        </w:tc>
        <w:tc>
          <w:tcPr>
            <w:tcW w:w="2116" w:type="dxa"/>
            <w:gridSpan w:val="3"/>
            <w:tcBorders>
              <w:top w:val="single" w:sz="8" w:space="0" w:color="auto"/>
              <w:left w:val="nil"/>
              <w:bottom w:val="single" w:sz="8" w:space="0" w:color="auto"/>
              <w:right w:val="single" w:sz="8" w:space="0" w:color="000000"/>
            </w:tcBorders>
            <w:shd w:val="clear" w:color="auto" w:fill="auto"/>
            <w:vAlign w:val="center"/>
            <w:hideMark/>
          </w:tcPr>
          <w:p w:rsidR="0055491A" w:rsidRPr="007366EE" w:rsidRDefault="0055491A" w:rsidP="00210BF6">
            <w:pPr>
              <w:jc w:val="center"/>
              <w:rPr>
                <w:b/>
                <w:bCs/>
                <w:sz w:val="18"/>
                <w:szCs w:val="18"/>
              </w:rPr>
            </w:pPr>
            <w:r w:rsidRPr="007366EE">
              <w:rPr>
                <w:b/>
                <w:bCs/>
                <w:sz w:val="18"/>
                <w:szCs w:val="18"/>
              </w:rPr>
              <w:t>Количество вынесенных постановлений, шт.</w:t>
            </w:r>
          </w:p>
        </w:tc>
        <w:tc>
          <w:tcPr>
            <w:tcW w:w="1587" w:type="dxa"/>
            <w:gridSpan w:val="2"/>
            <w:tcBorders>
              <w:top w:val="single" w:sz="8" w:space="0" w:color="auto"/>
              <w:left w:val="nil"/>
              <w:bottom w:val="single" w:sz="8" w:space="0" w:color="auto"/>
              <w:right w:val="nil"/>
            </w:tcBorders>
            <w:shd w:val="clear" w:color="auto" w:fill="auto"/>
            <w:vAlign w:val="center"/>
            <w:hideMark/>
          </w:tcPr>
          <w:p w:rsidR="0055491A" w:rsidRPr="007366EE" w:rsidRDefault="0055491A" w:rsidP="00210BF6">
            <w:pPr>
              <w:jc w:val="center"/>
              <w:rPr>
                <w:b/>
                <w:bCs/>
                <w:sz w:val="18"/>
                <w:szCs w:val="18"/>
              </w:rPr>
            </w:pPr>
            <w:r w:rsidRPr="007366EE">
              <w:rPr>
                <w:b/>
                <w:bCs/>
                <w:sz w:val="18"/>
                <w:szCs w:val="18"/>
              </w:rPr>
              <w:t>202</w:t>
            </w:r>
            <w:r>
              <w:rPr>
                <w:b/>
                <w:bCs/>
                <w:sz w:val="18"/>
                <w:szCs w:val="18"/>
              </w:rPr>
              <w:t>1 год</w:t>
            </w:r>
          </w:p>
        </w:tc>
        <w:tc>
          <w:tcPr>
            <w:tcW w:w="1587" w:type="dxa"/>
            <w:gridSpan w:val="2"/>
            <w:tcBorders>
              <w:top w:val="single" w:sz="8" w:space="0" w:color="auto"/>
              <w:left w:val="single" w:sz="8" w:space="0" w:color="auto"/>
              <w:bottom w:val="single" w:sz="8" w:space="0" w:color="auto"/>
              <w:right w:val="nil"/>
            </w:tcBorders>
            <w:shd w:val="clear" w:color="auto" w:fill="auto"/>
            <w:vAlign w:val="center"/>
            <w:hideMark/>
          </w:tcPr>
          <w:p w:rsidR="0055491A" w:rsidRPr="007366EE" w:rsidRDefault="0055491A" w:rsidP="00210BF6">
            <w:pPr>
              <w:jc w:val="center"/>
              <w:rPr>
                <w:b/>
                <w:bCs/>
                <w:sz w:val="18"/>
                <w:szCs w:val="18"/>
              </w:rPr>
            </w:pPr>
            <w:r w:rsidRPr="007366EE">
              <w:rPr>
                <w:b/>
                <w:bCs/>
                <w:sz w:val="18"/>
                <w:szCs w:val="18"/>
              </w:rPr>
              <w:t>202</w:t>
            </w:r>
            <w:r>
              <w:rPr>
                <w:b/>
                <w:bCs/>
                <w:sz w:val="18"/>
                <w:szCs w:val="18"/>
              </w:rPr>
              <w:t>2 год</w:t>
            </w:r>
          </w:p>
        </w:tc>
        <w:tc>
          <w:tcPr>
            <w:tcW w:w="1587" w:type="dxa"/>
            <w:gridSpan w:val="2"/>
            <w:tcBorders>
              <w:top w:val="single" w:sz="8" w:space="0" w:color="auto"/>
              <w:left w:val="single" w:sz="8" w:space="0" w:color="auto"/>
              <w:bottom w:val="single" w:sz="8" w:space="0" w:color="auto"/>
              <w:right w:val="nil"/>
            </w:tcBorders>
            <w:shd w:val="clear" w:color="auto" w:fill="auto"/>
            <w:vAlign w:val="center"/>
            <w:hideMark/>
          </w:tcPr>
          <w:p w:rsidR="0055491A" w:rsidRPr="007366EE" w:rsidRDefault="0055491A" w:rsidP="00210BF6">
            <w:pPr>
              <w:jc w:val="center"/>
              <w:rPr>
                <w:b/>
                <w:bCs/>
                <w:sz w:val="18"/>
                <w:szCs w:val="18"/>
              </w:rPr>
            </w:pPr>
            <w:r w:rsidRPr="007366EE">
              <w:rPr>
                <w:b/>
                <w:bCs/>
                <w:sz w:val="18"/>
                <w:szCs w:val="18"/>
              </w:rPr>
              <w:t>202</w:t>
            </w:r>
            <w:r>
              <w:rPr>
                <w:b/>
                <w:bCs/>
                <w:sz w:val="18"/>
                <w:szCs w:val="18"/>
              </w:rPr>
              <w:t>3 год</w:t>
            </w:r>
          </w:p>
        </w:tc>
        <w:tc>
          <w:tcPr>
            <w:tcW w:w="1454"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55491A" w:rsidRPr="007366EE" w:rsidRDefault="0055491A" w:rsidP="00210BF6">
            <w:pPr>
              <w:jc w:val="center"/>
              <w:rPr>
                <w:b/>
                <w:bCs/>
                <w:sz w:val="18"/>
                <w:szCs w:val="18"/>
              </w:rPr>
            </w:pPr>
            <w:r w:rsidRPr="007366EE">
              <w:rPr>
                <w:b/>
                <w:bCs/>
                <w:sz w:val="18"/>
                <w:szCs w:val="18"/>
              </w:rPr>
              <w:t>202</w:t>
            </w:r>
            <w:r>
              <w:rPr>
                <w:b/>
                <w:bCs/>
                <w:sz w:val="18"/>
                <w:szCs w:val="18"/>
              </w:rPr>
              <w:t>4 год</w:t>
            </w:r>
          </w:p>
        </w:tc>
      </w:tr>
      <w:tr w:rsidR="0055491A" w:rsidRPr="007366EE" w:rsidTr="00210BF6">
        <w:trPr>
          <w:trHeight w:val="499"/>
        </w:trPr>
        <w:tc>
          <w:tcPr>
            <w:tcW w:w="926" w:type="dxa"/>
            <w:vMerge/>
            <w:tcBorders>
              <w:top w:val="single" w:sz="8" w:space="0" w:color="auto"/>
              <w:left w:val="nil"/>
              <w:bottom w:val="nil"/>
              <w:right w:val="single" w:sz="8" w:space="0" w:color="auto"/>
            </w:tcBorders>
            <w:vAlign w:val="center"/>
            <w:hideMark/>
          </w:tcPr>
          <w:p w:rsidR="0055491A" w:rsidRPr="007366EE" w:rsidRDefault="0055491A" w:rsidP="00210BF6">
            <w:pPr>
              <w:rPr>
                <w:b/>
                <w:bCs/>
                <w:sz w:val="18"/>
                <w:szCs w:val="18"/>
              </w:rPr>
            </w:pPr>
          </w:p>
        </w:tc>
        <w:tc>
          <w:tcPr>
            <w:tcW w:w="794" w:type="dxa"/>
            <w:vMerge/>
            <w:tcBorders>
              <w:top w:val="single" w:sz="8" w:space="0" w:color="auto"/>
              <w:left w:val="nil"/>
              <w:bottom w:val="nil"/>
              <w:right w:val="single" w:sz="8" w:space="0" w:color="auto"/>
            </w:tcBorders>
            <w:vAlign w:val="center"/>
            <w:hideMark/>
          </w:tcPr>
          <w:p w:rsidR="0055491A" w:rsidRPr="007366EE" w:rsidRDefault="0055491A" w:rsidP="00210BF6">
            <w:pPr>
              <w:rPr>
                <w:b/>
                <w:bCs/>
                <w:sz w:val="18"/>
                <w:szCs w:val="18"/>
              </w:rPr>
            </w:pPr>
          </w:p>
        </w:tc>
        <w:tc>
          <w:tcPr>
            <w:tcW w:w="660" w:type="dxa"/>
            <w:tcBorders>
              <w:top w:val="nil"/>
              <w:left w:val="nil"/>
              <w:bottom w:val="nil"/>
              <w:right w:val="single" w:sz="8" w:space="0" w:color="auto"/>
            </w:tcBorders>
            <w:shd w:val="clear" w:color="auto" w:fill="auto"/>
            <w:vAlign w:val="center"/>
            <w:hideMark/>
          </w:tcPr>
          <w:p w:rsidR="0055491A" w:rsidRPr="007366EE" w:rsidRDefault="0055491A" w:rsidP="00210BF6">
            <w:pPr>
              <w:jc w:val="center"/>
              <w:rPr>
                <w:b/>
                <w:bCs/>
                <w:sz w:val="18"/>
                <w:szCs w:val="18"/>
              </w:rPr>
            </w:pPr>
            <w:r w:rsidRPr="007366EE">
              <w:rPr>
                <w:b/>
                <w:bCs/>
                <w:sz w:val="18"/>
                <w:szCs w:val="18"/>
              </w:rPr>
              <w:t>201</w:t>
            </w:r>
            <w:r>
              <w:rPr>
                <w:b/>
                <w:bCs/>
                <w:sz w:val="18"/>
                <w:szCs w:val="18"/>
              </w:rPr>
              <w:t xml:space="preserve">8  год </w:t>
            </w:r>
          </w:p>
        </w:tc>
        <w:tc>
          <w:tcPr>
            <w:tcW w:w="661" w:type="dxa"/>
            <w:tcBorders>
              <w:top w:val="nil"/>
              <w:left w:val="nil"/>
              <w:bottom w:val="nil"/>
              <w:right w:val="single" w:sz="8" w:space="0" w:color="auto"/>
            </w:tcBorders>
            <w:shd w:val="clear" w:color="auto" w:fill="auto"/>
            <w:vAlign w:val="center"/>
            <w:hideMark/>
          </w:tcPr>
          <w:p w:rsidR="0055491A" w:rsidRPr="007366EE" w:rsidRDefault="0055491A" w:rsidP="00210BF6">
            <w:pPr>
              <w:jc w:val="center"/>
              <w:rPr>
                <w:b/>
                <w:bCs/>
                <w:sz w:val="18"/>
                <w:szCs w:val="18"/>
              </w:rPr>
            </w:pPr>
            <w:r w:rsidRPr="007366EE">
              <w:rPr>
                <w:b/>
                <w:bCs/>
                <w:sz w:val="18"/>
                <w:szCs w:val="18"/>
              </w:rPr>
              <w:t>201</w:t>
            </w:r>
            <w:r>
              <w:rPr>
                <w:b/>
                <w:bCs/>
                <w:sz w:val="18"/>
                <w:szCs w:val="18"/>
              </w:rPr>
              <w:t>9 год</w:t>
            </w:r>
          </w:p>
        </w:tc>
        <w:tc>
          <w:tcPr>
            <w:tcW w:w="794" w:type="dxa"/>
            <w:tcBorders>
              <w:top w:val="nil"/>
              <w:left w:val="nil"/>
              <w:bottom w:val="nil"/>
              <w:right w:val="single" w:sz="8" w:space="0" w:color="auto"/>
            </w:tcBorders>
            <w:shd w:val="clear" w:color="auto" w:fill="auto"/>
            <w:vAlign w:val="center"/>
            <w:hideMark/>
          </w:tcPr>
          <w:p w:rsidR="0055491A" w:rsidRPr="007366EE" w:rsidRDefault="0055491A" w:rsidP="00210BF6">
            <w:pPr>
              <w:jc w:val="center"/>
              <w:rPr>
                <w:b/>
                <w:bCs/>
                <w:sz w:val="18"/>
                <w:szCs w:val="18"/>
              </w:rPr>
            </w:pPr>
            <w:r w:rsidRPr="007366EE">
              <w:rPr>
                <w:b/>
                <w:bCs/>
                <w:sz w:val="18"/>
                <w:szCs w:val="18"/>
              </w:rPr>
              <w:t>20</w:t>
            </w:r>
            <w:r>
              <w:rPr>
                <w:b/>
                <w:bCs/>
                <w:sz w:val="18"/>
                <w:szCs w:val="18"/>
              </w:rPr>
              <w:t>20 год</w:t>
            </w:r>
          </w:p>
        </w:tc>
        <w:tc>
          <w:tcPr>
            <w:tcW w:w="793" w:type="dxa"/>
            <w:tcBorders>
              <w:top w:val="nil"/>
              <w:left w:val="nil"/>
              <w:bottom w:val="nil"/>
              <w:right w:val="single" w:sz="8" w:space="0" w:color="auto"/>
            </w:tcBorders>
            <w:shd w:val="clear" w:color="auto" w:fill="auto"/>
            <w:vAlign w:val="center"/>
            <w:hideMark/>
          </w:tcPr>
          <w:p w:rsidR="0055491A" w:rsidRPr="007366EE" w:rsidRDefault="0055491A" w:rsidP="00210BF6">
            <w:pPr>
              <w:jc w:val="center"/>
              <w:rPr>
                <w:b/>
                <w:bCs/>
                <w:sz w:val="18"/>
                <w:szCs w:val="18"/>
              </w:rPr>
            </w:pPr>
            <w:r w:rsidRPr="007366EE">
              <w:rPr>
                <w:b/>
                <w:bCs/>
                <w:sz w:val="18"/>
                <w:szCs w:val="18"/>
              </w:rPr>
              <w:t>Количество, шт.(ст.3+ст.4+ст.5)/3</w:t>
            </w:r>
          </w:p>
        </w:tc>
        <w:tc>
          <w:tcPr>
            <w:tcW w:w="794" w:type="dxa"/>
            <w:tcBorders>
              <w:top w:val="nil"/>
              <w:left w:val="nil"/>
              <w:bottom w:val="nil"/>
              <w:right w:val="single" w:sz="8" w:space="0" w:color="auto"/>
            </w:tcBorders>
            <w:shd w:val="clear" w:color="auto" w:fill="auto"/>
            <w:vAlign w:val="center"/>
            <w:hideMark/>
          </w:tcPr>
          <w:p w:rsidR="0055491A" w:rsidRPr="007366EE" w:rsidRDefault="0055491A" w:rsidP="00210BF6">
            <w:pPr>
              <w:jc w:val="center"/>
              <w:rPr>
                <w:b/>
                <w:bCs/>
                <w:sz w:val="18"/>
                <w:szCs w:val="18"/>
              </w:rPr>
            </w:pPr>
            <w:r w:rsidRPr="007366EE">
              <w:rPr>
                <w:b/>
                <w:bCs/>
                <w:sz w:val="18"/>
                <w:szCs w:val="18"/>
              </w:rPr>
              <w:t>Сумма, тыс. руб.(ст.6хст.2)</w:t>
            </w:r>
          </w:p>
        </w:tc>
        <w:tc>
          <w:tcPr>
            <w:tcW w:w="793" w:type="dxa"/>
            <w:tcBorders>
              <w:top w:val="nil"/>
              <w:left w:val="nil"/>
              <w:bottom w:val="nil"/>
              <w:right w:val="single" w:sz="8" w:space="0" w:color="auto"/>
            </w:tcBorders>
            <w:shd w:val="clear" w:color="auto" w:fill="auto"/>
            <w:vAlign w:val="center"/>
            <w:hideMark/>
          </w:tcPr>
          <w:p w:rsidR="0055491A" w:rsidRPr="007366EE" w:rsidRDefault="0055491A" w:rsidP="00210BF6">
            <w:pPr>
              <w:jc w:val="center"/>
              <w:rPr>
                <w:b/>
                <w:bCs/>
                <w:sz w:val="18"/>
                <w:szCs w:val="18"/>
              </w:rPr>
            </w:pPr>
            <w:r w:rsidRPr="007366EE">
              <w:rPr>
                <w:b/>
                <w:bCs/>
                <w:sz w:val="18"/>
                <w:szCs w:val="18"/>
              </w:rPr>
              <w:t>Количество, шт.(ст.4+ст.5+ст.6)/3</w:t>
            </w:r>
          </w:p>
        </w:tc>
        <w:tc>
          <w:tcPr>
            <w:tcW w:w="794" w:type="dxa"/>
            <w:tcBorders>
              <w:top w:val="nil"/>
              <w:left w:val="nil"/>
              <w:bottom w:val="nil"/>
              <w:right w:val="single" w:sz="8" w:space="0" w:color="auto"/>
            </w:tcBorders>
            <w:shd w:val="clear" w:color="auto" w:fill="auto"/>
            <w:vAlign w:val="center"/>
            <w:hideMark/>
          </w:tcPr>
          <w:p w:rsidR="0055491A" w:rsidRPr="007366EE" w:rsidRDefault="0055491A" w:rsidP="00210BF6">
            <w:pPr>
              <w:jc w:val="center"/>
              <w:rPr>
                <w:b/>
                <w:bCs/>
                <w:sz w:val="18"/>
                <w:szCs w:val="18"/>
              </w:rPr>
            </w:pPr>
            <w:r w:rsidRPr="007366EE">
              <w:rPr>
                <w:b/>
                <w:bCs/>
                <w:sz w:val="18"/>
                <w:szCs w:val="18"/>
              </w:rPr>
              <w:t>Сумма, тыс. руб.(ст.8хст.2)</w:t>
            </w:r>
          </w:p>
        </w:tc>
        <w:tc>
          <w:tcPr>
            <w:tcW w:w="793" w:type="dxa"/>
            <w:tcBorders>
              <w:top w:val="nil"/>
              <w:left w:val="nil"/>
              <w:bottom w:val="nil"/>
              <w:right w:val="single" w:sz="8" w:space="0" w:color="auto"/>
            </w:tcBorders>
            <w:shd w:val="clear" w:color="auto" w:fill="auto"/>
            <w:vAlign w:val="center"/>
            <w:hideMark/>
          </w:tcPr>
          <w:p w:rsidR="0055491A" w:rsidRPr="007366EE" w:rsidRDefault="0055491A" w:rsidP="00210BF6">
            <w:pPr>
              <w:jc w:val="center"/>
              <w:rPr>
                <w:b/>
                <w:bCs/>
                <w:sz w:val="18"/>
                <w:szCs w:val="18"/>
              </w:rPr>
            </w:pPr>
            <w:r w:rsidRPr="007366EE">
              <w:rPr>
                <w:b/>
                <w:bCs/>
                <w:sz w:val="18"/>
                <w:szCs w:val="18"/>
              </w:rPr>
              <w:t>Количество, шт.(ст.5+ст.6+ст.8)/3</w:t>
            </w:r>
          </w:p>
        </w:tc>
        <w:tc>
          <w:tcPr>
            <w:tcW w:w="794" w:type="dxa"/>
            <w:tcBorders>
              <w:top w:val="nil"/>
              <w:left w:val="nil"/>
              <w:bottom w:val="nil"/>
              <w:right w:val="single" w:sz="8" w:space="0" w:color="auto"/>
            </w:tcBorders>
            <w:shd w:val="clear" w:color="auto" w:fill="auto"/>
            <w:vAlign w:val="center"/>
            <w:hideMark/>
          </w:tcPr>
          <w:p w:rsidR="0055491A" w:rsidRPr="007366EE" w:rsidRDefault="0055491A" w:rsidP="00210BF6">
            <w:pPr>
              <w:jc w:val="center"/>
              <w:rPr>
                <w:b/>
                <w:bCs/>
                <w:sz w:val="18"/>
                <w:szCs w:val="18"/>
              </w:rPr>
            </w:pPr>
            <w:r w:rsidRPr="007366EE">
              <w:rPr>
                <w:b/>
                <w:bCs/>
                <w:sz w:val="18"/>
                <w:szCs w:val="18"/>
              </w:rPr>
              <w:t>Сумма, тыс. руб.(ст.10хст.2)</w:t>
            </w:r>
          </w:p>
        </w:tc>
        <w:tc>
          <w:tcPr>
            <w:tcW w:w="660" w:type="dxa"/>
            <w:tcBorders>
              <w:top w:val="nil"/>
              <w:left w:val="nil"/>
              <w:bottom w:val="nil"/>
              <w:right w:val="single" w:sz="8" w:space="0" w:color="auto"/>
            </w:tcBorders>
            <w:shd w:val="clear" w:color="auto" w:fill="auto"/>
            <w:vAlign w:val="center"/>
            <w:hideMark/>
          </w:tcPr>
          <w:p w:rsidR="0055491A" w:rsidRPr="007366EE" w:rsidRDefault="0055491A" w:rsidP="00210BF6">
            <w:pPr>
              <w:jc w:val="center"/>
              <w:rPr>
                <w:b/>
                <w:bCs/>
                <w:sz w:val="18"/>
                <w:szCs w:val="18"/>
              </w:rPr>
            </w:pPr>
            <w:r w:rsidRPr="007366EE">
              <w:rPr>
                <w:b/>
                <w:bCs/>
                <w:sz w:val="18"/>
                <w:szCs w:val="18"/>
              </w:rPr>
              <w:t>Количество, шт.(ст.6+ст.8+ст.10)/3</w:t>
            </w:r>
          </w:p>
        </w:tc>
        <w:tc>
          <w:tcPr>
            <w:tcW w:w="794" w:type="dxa"/>
            <w:tcBorders>
              <w:top w:val="nil"/>
              <w:left w:val="nil"/>
              <w:bottom w:val="nil"/>
              <w:right w:val="single" w:sz="8" w:space="0" w:color="auto"/>
            </w:tcBorders>
            <w:shd w:val="clear" w:color="auto" w:fill="auto"/>
            <w:vAlign w:val="center"/>
            <w:hideMark/>
          </w:tcPr>
          <w:p w:rsidR="0055491A" w:rsidRPr="007366EE" w:rsidRDefault="0055491A" w:rsidP="00210BF6">
            <w:pPr>
              <w:jc w:val="center"/>
              <w:rPr>
                <w:b/>
                <w:bCs/>
                <w:sz w:val="18"/>
                <w:szCs w:val="18"/>
              </w:rPr>
            </w:pPr>
            <w:r w:rsidRPr="007366EE">
              <w:rPr>
                <w:b/>
                <w:bCs/>
                <w:sz w:val="18"/>
                <w:szCs w:val="18"/>
              </w:rPr>
              <w:t>Сумма, тыс. руб.(ст.12хст.2)</w:t>
            </w:r>
          </w:p>
        </w:tc>
      </w:tr>
      <w:tr w:rsidR="0055491A" w:rsidRPr="007366EE" w:rsidTr="00210BF6">
        <w:trPr>
          <w:trHeight w:val="272"/>
        </w:trPr>
        <w:tc>
          <w:tcPr>
            <w:tcW w:w="92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5491A" w:rsidRPr="003521F3" w:rsidRDefault="0055491A" w:rsidP="00210BF6">
            <w:pPr>
              <w:jc w:val="center"/>
              <w:rPr>
                <w:b/>
                <w:bCs/>
                <w:sz w:val="18"/>
                <w:szCs w:val="18"/>
              </w:rPr>
            </w:pPr>
            <w:r w:rsidRPr="003521F3">
              <w:rPr>
                <w:b/>
                <w:bCs/>
                <w:sz w:val="18"/>
                <w:szCs w:val="18"/>
              </w:rPr>
              <w:t>1</w:t>
            </w:r>
          </w:p>
        </w:tc>
        <w:tc>
          <w:tcPr>
            <w:tcW w:w="794" w:type="dxa"/>
            <w:tcBorders>
              <w:top w:val="single" w:sz="8" w:space="0" w:color="auto"/>
              <w:left w:val="nil"/>
              <w:bottom w:val="single" w:sz="8" w:space="0" w:color="auto"/>
              <w:right w:val="single" w:sz="8" w:space="0" w:color="auto"/>
            </w:tcBorders>
            <w:shd w:val="clear" w:color="auto" w:fill="auto"/>
            <w:noWrap/>
            <w:vAlign w:val="bottom"/>
            <w:hideMark/>
          </w:tcPr>
          <w:p w:rsidR="0055491A" w:rsidRPr="003521F3" w:rsidRDefault="0055491A" w:rsidP="00210BF6">
            <w:pPr>
              <w:jc w:val="center"/>
              <w:rPr>
                <w:b/>
                <w:bCs/>
                <w:sz w:val="18"/>
                <w:szCs w:val="18"/>
              </w:rPr>
            </w:pPr>
            <w:r w:rsidRPr="003521F3">
              <w:rPr>
                <w:b/>
                <w:bCs/>
                <w:sz w:val="18"/>
                <w:szCs w:val="18"/>
              </w:rPr>
              <w:t>2</w:t>
            </w:r>
          </w:p>
        </w:tc>
        <w:tc>
          <w:tcPr>
            <w:tcW w:w="660" w:type="dxa"/>
            <w:tcBorders>
              <w:top w:val="single" w:sz="8" w:space="0" w:color="auto"/>
              <w:left w:val="nil"/>
              <w:bottom w:val="single" w:sz="8" w:space="0" w:color="auto"/>
              <w:right w:val="nil"/>
            </w:tcBorders>
            <w:shd w:val="clear" w:color="auto" w:fill="auto"/>
            <w:noWrap/>
            <w:vAlign w:val="bottom"/>
            <w:hideMark/>
          </w:tcPr>
          <w:p w:rsidR="0055491A" w:rsidRPr="003521F3" w:rsidRDefault="0055491A" w:rsidP="00210BF6">
            <w:pPr>
              <w:jc w:val="center"/>
              <w:rPr>
                <w:b/>
                <w:bCs/>
                <w:sz w:val="18"/>
                <w:szCs w:val="18"/>
              </w:rPr>
            </w:pPr>
            <w:r w:rsidRPr="003521F3">
              <w:rPr>
                <w:b/>
                <w:bCs/>
                <w:sz w:val="18"/>
                <w:szCs w:val="18"/>
              </w:rPr>
              <w:t>3</w:t>
            </w:r>
          </w:p>
        </w:tc>
        <w:tc>
          <w:tcPr>
            <w:tcW w:w="661" w:type="dxa"/>
            <w:tcBorders>
              <w:top w:val="single" w:sz="8" w:space="0" w:color="auto"/>
              <w:left w:val="single" w:sz="8" w:space="0" w:color="auto"/>
              <w:bottom w:val="single" w:sz="8" w:space="0" w:color="auto"/>
              <w:right w:val="nil"/>
            </w:tcBorders>
            <w:shd w:val="clear" w:color="auto" w:fill="auto"/>
            <w:noWrap/>
            <w:vAlign w:val="bottom"/>
            <w:hideMark/>
          </w:tcPr>
          <w:p w:rsidR="0055491A" w:rsidRPr="003521F3" w:rsidRDefault="0055491A" w:rsidP="00210BF6">
            <w:pPr>
              <w:jc w:val="center"/>
              <w:rPr>
                <w:b/>
                <w:bCs/>
                <w:sz w:val="18"/>
                <w:szCs w:val="18"/>
              </w:rPr>
            </w:pPr>
            <w:r w:rsidRPr="003521F3">
              <w:rPr>
                <w:b/>
                <w:bCs/>
                <w:sz w:val="18"/>
                <w:szCs w:val="18"/>
              </w:rPr>
              <w:t>4</w:t>
            </w:r>
          </w:p>
        </w:tc>
        <w:tc>
          <w:tcPr>
            <w:tcW w:w="7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5491A" w:rsidRPr="003521F3" w:rsidRDefault="0055491A" w:rsidP="00210BF6">
            <w:pPr>
              <w:jc w:val="center"/>
              <w:rPr>
                <w:b/>
                <w:bCs/>
                <w:sz w:val="18"/>
                <w:szCs w:val="18"/>
              </w:rPr>
            </w:pPr>
            <w:r w:rsidRPr="003521F3">
              <w:rPr>
                <w:b/>
                <w:bCs/>
                <w:sz w:val="18"/>
                <w:szCs w:val="18"/>
              </w:rPr>
              <w:t>5</w:t>
            </w:r>
          </w:p>
        </w:tc>
        <w:tc>
          <w:tcPr>
            <w:tcW w:w="793" w:type="dxa"/>
            <w:tcBorders>
              <w:top w:val="single" w:sz="8" w:space="0" w:color="auto"/>
              <w:left w:val="nil"/>
              <w:bottom w:val="single" w:sz="8" w:space="0" w:color="auto"/>
              <w:right w:val="nil"/>
            </w:tcBorders>
            <w:shd w:val="clear" w:color="auto" w:fill="auto"/>
            <w:noWrap/>
            <w:vAlign w:val="bottom"/>
            <w:hideMark/>
          </w:tcPr>
          <w:p w:rsidR="0055491A" w:rsidRPr="003521F3" w:rsidRDefault="0055491A" w:rsidP="00210BF6">
            <w:pPr>
              <w:jc w:val="center"/>
              <w:rPr>
                <w:b/>
                <w:bCs/>
                <w:sz w:val="18"/>
                <w:szCs w:val="18"/>
              </w:rPr>
            </w:pPr>
            <w:r w:rsidRPr="003521F3">
              <w:rPr>
                <w:b/>
                <w:bCs/>
                <w:sz w:val="18"/>
                <w:szCs w:val="18"/>
              </w:rPr>
              <w:t>6</w:t>
            </w:r>
          </w:p>
        </w:tc>
        <w:tc>
          <w:tcPr>
            <w:tcW w:w="7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5491A" w:rsidRPr="003521F3" w:rsidRDefault="0055491A" w:rsidP="00210BF6">
            <w:pPr>
              <w:jc w:val="center"/>
              <w:rPr>
                <w:b/>
                <w:bCs/>
                <w:sz w:val="18"/>
                <w:szCs w:val="18"/>
              </w:rPr>
            </w:pPr>
            <w:r w:rsidRPr="003521F3">
              <w:rPr>
                <w:b/>
                <w:bCs/>
                <w:sz w:val="18"/>
                <w:szCs w:val="18"/>
              </w:rPr>
              <w:t>7</w:t>
            </w:r>
          </w:p>
        </w:tc>
        <w:tc>
          <w:tcPr>
            <w:tcW w:w="793" w:type="dxa"/>
            <w:tcBorders>
              <w:top w:val="single" w:sz="8" w:space="0" w:color="auto"/>
              <w:left w:val="nil"/>
              <w:bottom w:val="single" w:sz="8" w:space="0" w:color="auto"/>
              <w:right w:val="single" w:sz="4" w:space="0" w:color="auto"/>
            </w:tcBorders>
            <w:shd w:val="clear" w:color="auto" w:fill="auto"/>
            <w:noWrap/>
            <w:vAlign w:val="bottom"/>
            <w:hideMark/>
          </w:tcPr>
          <w:p w:rsidR="0055491A" w:rsidRPr="003521F3" w:rsidRDefault="0055491A" w:rsidP="00210BF6">
            <w:pPr>
              <w:jc w:val="center"/>
              <w:rPr>
                <w:b/>
                <w:bCs/>
                <w:sz w:val="18"/>
                <w:szCs w:val="18"/>
              </w:rPr>
            </w:pPr>
            <w:r w:rsidRPr="003521F3">
              <w:rPr>
                <w:b/>
                <w:bCs/>
                <w:sz w:val="18"/>
                <w:szCs w:val="18"/>
              </w:rPr>
              <w:t>8</w:t>
            </w:r>
          </w:p>
        </w:tc>
        <w:tc>
          <w:tcPr>
            <w:tcW w:w="794" w:type="dxa"/>
            <w:tcBorders>
              <w:top w:val="single" w:sz="8" w:space="0" w:color="auto"/>
              <w:left w:val="nil"/>
              <w:bottom w:val="single" w:sz="8" w:space="0" w:color="auto"/>
              <w:right w:val="nil"/>
            </w:tcBorders>
            <w:shd w:val="clear" w:color="auto" w:fill="auto"/>
            <w:noWrap/>
            <w:vAlign w:val="bottom"/>
            <w:hideMark/>
          </w:tcPr>
          <w:p w:rsidR="0055491A" w:rsidRPr="003521F3" w:rsidRDefault="0055491A" w:rsidP="00210BF6">
            <w:pPr>
              <w:jc w:val="center"/>
              <w:rPr>
                <w:b/>
                <w:bCs/>
                <w:sz w:val="18"/>
                <w:szCs w:val="18"/>
              </w:rPr>
            </w:pPr>
            <w:r w:rsidRPr="003521F3">
              <w:rPr>
                <w:b/>
                <w:bCs/>
                <w:sz w:val="18"/>
                <w:szCs w:val="18"/>
              </w:rPr>
              <w:t>9</w:t>
            </w:r>
          </w:p>
        </w:tc>
        <w:tc>
          <w:tcPr>
            <w:tcW w:w="793" w:type="dxa"/>
            <w:tcBorders>
              <w:top w:val="single" w:sz="8" w:space="0" w:color="auto"/>
              <w:left w:val="single" w:sz="8" w:space="0" w:color="auto"/>
              <w:bottom w:val="single" w:sz="8" w:space="0" w:color="auto"/>
              <w:right w:val="nil"/>
            </w:tcBorders>
            <w:shd w:val="clear" w:color="auto" w:fill="auto"/>
            <w:noWrap/>
            <w:vAlign w:val="bottom"/>
            <w:hideMark/>
          </w:tcPr>
          <w:p w:rsidR="0055491A" w:rsidRPr="003521F3" w:rsidRDefault="0055491A" w:rsidP="00210BF6">
            <w:pPr>
              <w:jc w:val="center"/>
              <w:rPr>
                <w:b/>
                <w:bCs/>
                <w:sz w:val="18"/>
                <w:szCs w:val="18"/>
              </w:rPr>
            </w:pPr>
            <w:r w:rsidRPr="003521F3">
              <w:rPr>
                <w:b/>
                <w:bCs/>
                <w:sz w:val="18"/>
                <w:szCs w:val="18"/>
              </w:rPr>
              <w:t>10</w:t>
            </w:r>
          </w:p>
        </w:tc>
        <w:tc>
          <w:tcPr>
            <w:tcW w:w="7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5491A" w:rsidRPr="003521F3" w:rsidRDefault="0055491A" w:rsidP="00210BF6">
            <w:pPr>
              <w:jc w:val="center"/>
              <w:rPr>
                <w:b/>
                <w:bCs/>
                <w:sz w:val="18"/>
                <w:szCs w:val="18"/>
              </w:rPr>
            </w:pPr>
            <w:r w:rsidRPr="003521F3">
              <w:rPr>
                <w:b/>
                <w:bCs/>
                <w:sz w:val="18"/>
                <w:szCs w:val="18"/>
              </w:rPr>
              <w:t>11</w:t>
            </w:r>
          </w:p>
        </w:tc>
        <w:tc>
          <w:tcPr>
            <w:tcW w:w="660" w:type="dxa"/>
            <w:tcBorders>
              <w:top w:val="single" w:sz="8" w:space="0" w:color="auto"/>
              <w:left w:val="nil"/>
              <w:bottom w:val="single" w:sz="8" w:space="0" w:color="auto"/>
              <w:right w:val="single" w:sz="4" w:space="0" w:color="auto"/>
            </w:tcBorders>
            <w:shd w:val="clear" w:color="auto" w:fill="auto"/>
            <w:noWrap/>
            <w:vAlign w:val="bottom"/>
            <w:hideMark/>
          </w:tcPr>
          <w:p w:rsidR="0055491A" w:rsidRPr="003521F3" w:rsidRDefault="0055491A" w:rsidP="00210BF6">
            <w:pPr>
              <w:jc w:val="center"/>
              <w:rPr>
                <w:b/>
                <w:bCs/>
                <w:sz w:val="18"/>
                <w:szCs w:val="18"/>
              </w:rPr>
            </w:pPr>
            <w:r w:rsidRPr="003521F3">
              <w:rPr>
                <w:b/>
                <w:bCs/>
                <w:sz w:val="18"/>
                <w:szCs w:val="18"/>
              </w:rPr>
              <w:t>12</w:t>
            </w:r>
          </w:p>
        </w:tc>
        <w:tc>
          <w:tcPr>
            <w:tcW w:w="794" w:type="dxa"/>
            <w:tcBorders>
              <w:top w:val="single" w:sz="8" w:space="0" w:color="auto"/>
              <w:left w:val="nil"/>
              <w:bottom w:val="single" w:sz="8" w:space="0" w:color="auto"/>
              <w:right w:val="single" w:sz="8" w:space="0" w:color="auto"/>
            </w:tcBorders>
            <w:shd w:val="clear" w:color="auto" w:fill="auto"/>
            <w:noWrap/>
            <w:vAlign w:val="bottom"/>
            <w:hideMark/>
          </w:tcPr>
          <w:p w:rsidR="0055491A" w:rsidRPr="003521F3" w:rsidRDefault="0055491A" w:rsidP="00210BF6">
            <w:pPr>
              <w:jc w:val="center"/>
              <w:rPr>
                <w:b/>
                <w:bCs/>
                <w:sz w:val="18"/>
                <w:szCs w:val="18"/>
              </w:rPr>
            </w:pPr>
            <w:r w:rsidRPr="003521F3">
              <w:rPr>
                <w:b/>
                <w:bCs/>
                <w:sz w:val="18"/>
                <w:szCs w:val="18"/>
              </w:rPr>
              <w:t>13</w:t>
            </w:r>
          </w:p>
        </w:tc>
      </w:tr>
      <w:tr w:rsidR="0055491A" w:rsidRPr="007366EE" w:rsidTr="00210BF6">
        <w:trPr>
          <w:trHeight w:val="272"/>
        </w:trPr>
        <w:tc>
          <w:tcPr>
            <w:tcW w:w="926" w:type="dxa"/>
            <w:vMerge w:val="restart"/>
            <w:tcBorders>
              <w:top w:val="nil"/>
              <w:left w:val="single" w:sz="4" w:space="0" w:color="auto"/>
              <w:right w:val="single" w:sz="4" w:space="0" w:color="auto"/>
            </w:tcBorders>
            <w:shd w:val="clear" w:color="auto" w:fill="auto"/>
            <w:vAlign w:val="center"/>
          </w:tcPr>
          <w:p w:rsidR="0055491A" w:rsidRPr="006F2477" w:rsidRDefault="0055491A" w:rsidP="00210BF6">
            <w:pPr>
              <w:jc w:val="center"/>
              <w:rPr>
                <w:sz w:val="16"/>
                <w:szCs w:val="16"/>
              </w:rPr>
            </w:pPr>
            <w:r w:rsidRPr="006F2477">
              <w:rPr>
                <w:sz w:val="16"/>
                <w:szCs w:val="16"/>
              </w:rPr>
              <w:t>ч.1 ст.32.3 46-ЗО Тверской области.</w:t>
            </w:r>
          </w:p>
        </w:tc>
        <w:tc>
          <w:tcPr>
            <w:tcW w:w="794" w:type="dxa"/>
            <w:tcBorders>
              <w:top w:val="nil"/>
              <w:left w:val="nil"/>
              <w:bottom w:val="single" w:sz="4" w:space="0" w:color="auto"/>
              <w:right w:val="single" w:sz="4" w:space="0" w:color="auto"/>
            </w:tcBorders>
            <w:shd w:val="clear" w:color="auto" w:fill="auto"/>
            <w:noWrap/>
            <w:vAlign w:val="bottom"/>
          </w:tcPr>
          <w:p w:rsidR="0055491A" w:rsidRPr="001A71BA" w:rsidRDefault="0055491A" w:rsidP="00210BF6">
            <w:pPr>
              <w:jc w:val="center"/>
              <w:rPr>
                <w:sz w:val="20"/>
                <w:szCs w:val="20"/>
              </w:rPr>
            </w:pPr>
            <w:r w:rsidRPr="001A71BA">
              <w:rPr>
                <w:sz w:val="20"/>
                <w:szCs w:val="20"/>
              </w:rPr>
              <w:t>15</w:t>
            </w:r>
          </w:p>
        </w:tc>
        <w:tc>
          <w:tcPr>
            <w:tcW w:w="660" w:type="dxa"/>
            <w:tcBorders>
              <w:top w:val="nil"/>
              <w:left w:val="nil"/>
              <w:bottom w:val="single" w:sz="4" w:space="0" w:color="auto"/>
              <w:right w:val="single" w:sz="4" w:space="0" w:color="auto"/>
            </w:tcBorders>
            <w:shd w:val="clear" w:color="auto" w:fill="auto"/>
            <w:noWrap/>
            <w:vAlign w:val="bottom"/>
          </w:tcPr>
          <w:p w:rsidR="0055491A" w:rsidRPr="001A71BA" w:rsidRDefault="0055491A" w:rsidP="00210BF6">
            <w:pPr>
              <w:jc w:val="center"/>
              <w:rPr>
                <w:sz w:val="20"/>
                <w:szCs w:val="20"/>
              </w:rPr>
            </w:pPr>
            <w:r w:rsidRPr="001A71BA">
              <w:rPr>
                <w:sz w:val="20"/>
                <w:szCs w:val="20"/>
              </w:rPr>
              <w:t>18</w:t>
            </w:r>
          </w:p>
        </w:tc>
        <w:tc>
          <w:tcPr>
            <w:tcW w:w="661" w:type="dxa"/>
            <w:tcBorders>
              <w:top w:val="nil"/>
              <w:left w:val="nil"/>
              <w:bottom w:val="single" w:sz="4" w:space="0" w:color="auto"/>
              <w:right w:val="single" w:sz="4" w:space="0" w:color="auto"/>
            </w:tcBorders>
            <w:shd w:val="clear" w:color="auto" w:fill="auto"/>
            <w:noWrap/>
            <w:vAlign w:val="bottom"/>
          </w:tcPr>
          <w:p w:rsidR="0055491A" w:rsidRPr="001A71BA" w:rsidRDefault="0055491A" w:rsidP="00210BF6">
            <w:pPr>
              <w:jc w:val="center"/>
              <w:rPr>
                <w:sz w:val="20"/>
                <w:szCs w:val="20"/>
              </w:rPr>
            </w:pPr>
            <w:r w:rsidRPr="001A71BA">
              <w:rPr>
                <w:sz w:val="20"/>
                <w:szCs w:val="20"/>
              </w:rPr>
              <w:t>13</w:t>
            </w:r>
          </w:p>
        </w:tc>
        <w:tc>
          <w:tcPr>
            <w:tcW w:w="794" w:type="dxa"/>
            <w:tcBorders>
              <w:top w:val="nil"/>
              <w:left w:val="nil"/>
              <w:bottom w:val="single" w:sz="4" w:space="0" w:color="auto"/>
              <w:right w:val="single" w:sz="4" w:space="0" w:color="auto"/>
            </w:tcBorders>
            <w:shd w:val="clear" w:color="auto" w:fill="auto"/>
            <w:noWrap/>
            <w:vAlign w:val="bottom"/>
          </w:tcPr>
          <w:p w:rsidR="0055491A" w:rsidRPr="001A71BA" w:rsidRDefault="0055491A" w:rsidP="00210BF6">
            <w:pPr>
              <w:jc w:val="center"/>
              <w:rPr>
                <w:sz w:val="20"/>
                <w:szCs w:val="20"/>
              </w:rPr>
            </w:pPr>
            <w:r>
              <w:rPr>
                <w:sz w:val="20"/>
                <w:szCs w:val="20"/>
              </w:rPr>
              <w:t>8</w:t>
            </w:r>
          </w:p>
        </w:tc>
        <w:tc>
          <w:tcPr>
            <w:tcW w:w="793" w:type="dxa"/>
            <w:tcBorders>
              <w:top w:val="nil"/>
              <w:left w:val="nil"/>
              <w:bottom w:val="single" w:sz="4" w:space="0" w:color="auto"/>
              <w:right w:val="single" w:sz="4" w:space="0" w:color="auto"/>
            </w:tcBorders>
            <w:shd w:val="clear" w:color="auto" w:fill="auto"/>
            <w:noWrap/>
            <w:vAlign w:val="bottom"/>
          </w:tcPr>
          <w:p w:rsidR="0055491A" w:rsidRPr="001A71BA" w:rsidRDefault="0055491A" w:rsidP="00210BF6">
            <w:pPr>
              <w:jc w:val="center"/>
              <w:rPr>
                <w:sz w:val="20"/>
                <w:szCs w:val="20"/>
              </w:rPr>
            </w:pPr>
            <w:r>
              <w:rPr>
                <w:sz w:val="20"/>
                <w:szCs w:val="20"/>
              </w:rPr>
              <w:t>13</w:t>
            </w:r>
          </w:p>
        </w:tc>
        <w:tc>
          <w:tcPr>
            <w:tcW w:w="794" w:type="dxa"/>
            <w:tcBorders>
              <w:top w:val="nil"/>
              <w:left w:val="nil"/>
              <w:bottom w:val="single" w:sz="4" w:space="0" w:color="auto"/>
              <w:right w:val="single" w:sz="4" w:space="0" w:color="auto"/>
            </w:tcBorders>
            <w:shd w:val="clear" w:color="auto" w:fill="auto"/>
            <w:noWrap/>
            <w:vAlign w:val="bottom"/>
          </w:tcPr>
          <w:p w:rsidR="0055491A" w:rsidRPr="001A71BA" w:rsidRDefault="0055491A" w:rsidP="00210BF6">
            <w:pPr>
              <w:jc w:val="center"/>
              <w:rPr>
                <w:sz w:val="20"/>
                <w:szCs w:val="20"/>
              </w:rPr>
            </w:pPr>
            <w:r>
              <w:rPr>
                <w:sz w:val="20"/>
                <w:szCs w:val="20"/>
              </w:rPr>
              <w:t>195,0</w:t>
            </w:r>
          </w:p>
        </w:tc>
        <w:tc>
          <w:tcPr>
            <w:tcW w:w="793" w:type="dxa"/>
            <w:tcBorders>
              <w:top w:val="nil"/>
              <w:left w:val="nil"/>
              <w:bottom w:val="single" w:sz="4" w:space="0" w:color="auto"/>
              <w:right w:val="single" w:sz="4" w:space="0" w:color="auto"/>
            </w:tcBorders>
            <w:shd w:val="clear" w:color="auto" w:fill="auto"/>
            <w:noWrap/>
            <w:vAlign w:val="bottom"/>
          </w:tcPr>
          <w:p w:rsidR="0055491A" w:rsidRPr="001A71BA" w:rsidRDefault="0055491A" w:rsidP="00210BF6">
            <w:pPr>
              <w:jc w:val="center"/>
              <w:rPr>
                <w:sz w:val="20"/>
                <w:szCs w:val="20"/>
              </w:rPr>
            </w:pPr>
            <w:r>
              <w:rPr>
                <w:sz w:val="20"/>
                <w:szCs w:val="20"/>
              </w:rPr>
              <w:t>11</w:t>
            </w:r>
          </w:p>
        </w:tc>
        <w:tc>
          <w:tcPr>
            <w:tcW w:w="794" w:type="dxa"/>
            <w:tcBorders>
              <w:top w:val="nil"/>
              <w:left w:val="nil"/>
              <w:bottom w:val="single" w:sz="4" w:space="0" w:color="auto"/>
              <w:right w:val="single" w:sz="4" w:space="0" w:color="auto"/>
            </w:tcBorders>
            <w:shd w:val="clear" w:color="auto" w:fill="auto"/>
            <w:noWrap/>
            <w:vAlign w:val="bottom"/>
          </w:tcPr>
          <w:p w:rsidR="0055491A" w:rsidRPr="001A71BA" w:rsidRDefault="0055491A" w:rsidP="00210BF6">
            <w:pPr>
              <w:jc w:val="center"/>
              <w:rPr>
                <w:sz w:val="20"/>
                <w:szCs w:val="20"/>
              </w:rPr>
            </w:pPr>
            <w:r>
              <w:rPr>
                <w:sz w:val="20"/>
                <w:szCs w:val="20"/>
              </w:rPr>
              <w:t>165,0</w:t>
            </w:r>
          </w:p>
        </w:tc>
        <w:tc>
          <w:tcPr>
            <w:tcW w:w="793" w:type="dxa"/>
            <w:tcBorders>
              <w:top w:val="nil"/>
              <w:left w:val="nil"/>
              <w:bottom w:val="single" w:sz="4" w:space="0" w:color="auto"/>
              <w:right w:val="single" w:sz="4" w:space="0" w:color="auto"/>
            </w:tcBorders>
            <w:shd w:val="clear" w:color="auto" w:fill="auto"/>
            <w:noWrap/>
            <w:vAlign w:val="bottom"/>
          </w:tcPr>
          <w:p w:rsidR="0055491A" w:rsidRPr="001A71BA" w:rsidRDefault="0055491A" w:rsidP="00210BF6">
            <w:pPr>
              <w:jc w:val="center"/>
              <w:rPr>
                <w:sz w:val="20"/>
                <w:szCs w:val="20"/>
              </w:rPr>
            </w:pPr>
            <w:r>
              <w:rPr>
                <w:sz w:val="20"/>
                <w:szCs w:val="20"/>
              </w:rPr>
              <w:t>11</w:t>
            </w:r>
          </w:p>
        </w:tc>
        <w:tc>
          <w:tcPr>
            <w:tcW w:w="794" w:type="dxa"/>
            <w:tcBorders>
              <w:top w:val="nil"/>
              <w:left w:val="nil"/>
              <w:bottom w:val="single" w:sz="4" w:space="0" w:color="auto"/>
              <w:right w:val="single" w:sz="4" w:space="0" w:color="auto"/>
            </w:tcBorders>
            <w:shd w:val="clear" w:color="auto" w:fill="auto"/>
            <w:noWrap/>
            <w:vAlign w:val="bottom"/>
          </w:tcPr>
          <w:p w:rsidR="0055491A" w:rsidRPr="001A71BA" w:rsidRDefault="0055491A" w:rsidP="00210BF6">
            <w:pPr>
              <w:jc w:val="center"/>
              <w:rPr>
                <w:sz w:val="20"/>
                <w:szCs w:val="20"/>
              </w:rPr>
            </w:pPr>
            <w:r>
              <w:rPr>
                <w:sz w:val="20"/>
                <w:szCs w:val="20"/>
              </w:rPr>
              <w:t>165,0</w:t>
            </w:r>
          </w:p>
        </w:tc>
        <w:tc>
          <w:tcPr>
            <w:tcW w:w="660" w:type="dxa"/>
            <w:tcBorders>
              <w:top w:val="nil"/>
              <w:left w:val="nil"/>
              <w:bottom w:val="single" w:sz="4" w:space="0" w:color="auto"/>
              <w:right w:val="single" w:sz="4" w:space="0" w:color="auto"/>
            </w:tcBorders>
            <w:shd w:val="clear" w:color="auto" w:fill="auto"/>
            <w:noWrap/>
            <w:vAlign w:val="bottom"/>
          </w:tcPr>
          <w:p w:rsidR="0055491A" w:rsidRPr="001A71BA" w:rsidRDefault="0055491A" w:rsidP="00210BF6">
            <w:pPr>
              <w:jc w:val="center"/>
              <w:rPr>
                <w:sz w:val="20"/>
                <w:szCs w:val="20"/>
              </w:rPr>
            </w:pPr>
            <w:r>
              <w:rPr>
                <w:sz w:val="20"/>
                <w:szCs w:val="20"/>
              </w:rPr>
              <w:t>12</w:t>
            </w:r>
          </w:p>
        </w:tc>
        <w:tc>
          <w:tcPr>
            <w:tcW w:w="794" w:type="dxa"/>
            <w:tcBorders>
              <w:top w:val="nil"/>
              <w:left w:val="nil"/>
              <w:bottom w:val="single" w:sz="4" w:space="0" w:color="auto"/>
              <w:right w:val="single" w:sz="4" w:space="0" w:color="auto"/>
            </w:tcBorders>
            <w:shd w:val="clear" w:color="auto" w:fill="auto"/>
            <w:noWrap/>
            <w:vAlign w:val="bottom"/>
          </w:tcPr>
          <w:p w:rsidR="0055491A" w:rsidRPr="001A71BA" w:rsidRDefault="0055491A" w:rsidP="00210BF6">
            <w:pPr>
              <w:jc w:val="center"/>
              <w:rPr>
                <w:sz w:val="20"/>
                <w:szCs w:val="20"/>
              </w:rPr>
            </w:pPr>
            <w:r>
              <w:rPr>
                <w:sz w:val="20"/>
                <w:szCs w:val="20"/>
              </w:rPr>
              <w:t>180,0</w:t>
            </w:r>
          </w:p>
        </w:tc>
      </w:tr>
      <w:tr w:rsidR="0055491A" w:rsidRPr="007366EE" w:rsidTr="00210BF6">
        <w:trPr>
          <w:trHeight w:val="272"/>
        </w:trPr>
        <w:tc>
          <w:tcPr>
            <w:tcW w:w="926" w:type="dxa"/>
            <w:vMerge/>
            <w:tcBorders>
              <w:left w:val="single" w:sz="4" w:space="0" w:color="auto"/>
              <w:right w:val="single" w:sz="4" w:space="0" w:color="auto"/>
            </w:tcBorders>
            <w:shd w:val="clear" w:color="auto" w:fill="auto"/>
            <w:vAlign w:val="center"/>
          </w:tcPr>
          <w:p w:rsidR="0055491A" w:rsidRPr="006F2477" w:rsidRDefault="0055491A" w:rsidP="00210BF6">
            <w:pPr>
              <w:jc w:val="center"/>
              <w:rPr>
                <w:sz w:val="16"/>
                <w:szCs w:val="16"/>
              </w:rPr>
            </w:pPr>
          </w:p>
        </w:tc>
        <w:tc>
          <w:tcPr>
            <w:tcW w:w="794" w:type="dxa"/>
            <w:tcBorders>
              <w:top w:val="nil"/>
              <w:left w:val="nil"/>
              <w:bottom w:val="single" w:sz="4" w:space="0" w:color="auto"/>
              <w:right w:val="single" w:sz="4" w:space="0" w:color="auto"/>
            </w:tcBorders>
            <w:shd w:val="clear" w:color="auto" w:fill="auto"/>
            <w:noWrap/>
            <w:vAlign w:val="bottom"/>
          </w:tcPr>
          <w:p w:rsidR="0055491A" w:rsidRPr="001A71BA" w:rsidRDefault="0055491A" w:rsidP="00210BF6">
            <w:pPr>
              <w:jc w:val="center"/>
              <w:rPr>
                <w:sz w:val="20"/>
                <w:szCs w:val="20"/>
              </w:rPr>
            </w:pPr>
            <w:r w:rsidRPr="001A71BA">
              <w:rPr>
                <w:sz w:val="20"/>
                <w:szCs w:val="20"/>
              </w:rPr>
              <w:t>20</w:t>
            </w:r>
          </w:p>
        </w:tc>
        <w:tc>
          <w:tcPr>
            <w:tcW w:w="660" w:type="dxa"/>
            <w:tcBorders>
              <w:top w:val="nil"/>
              <w:left w:val="nil"/>
              <w:bottom w:val="single" w:sz="4" w:space="0" w:color="auto"/>
              <w:right w:val="single" w:sz="4" w:space="0" w:color="auto"/>
            </w:tcBorders>
            <w:shd w:val="clear" w:color="auto" w:fill="auto"/>
            <w:noWrap/>
            <w:vAlign w:val="bottom"/>
          </w:tcPr>
          <w:p w:rsidR="0055491A" w:rsidRPr="001A71BA" w:rsidRDefault="0055491A" w:rsidP="00210BF6">
            <w:pPr>
              <w:jc w:val="center"/>
              <w:rPr>
                <w:sz w:val="20"/>
                <w:szCs w:val="20"/>
              </w:rPr>
            </w:pPr>
            <w:r w:rsidRPr="001A71BA">
              <w:rPr>
                <w:sz w:val="20"/>
                <w:szCs w:val="20"/>
              </w:rPr>
              <w:t>0</w:t>
            </w:r>
          </w:p>
        </w:tc>
        <w:tc>
          <w:tcPr>
            <w:tcW w:w="661" w:type="dxa"/>
            <w:tcBorders>
              <w:top w:val="nil"/>
              <w:left w:val="nil"/>
              <w:bottom w:val="single" w:sz="4" w:space="0" w:color="auto"/>
              <w:right w:val="single" w:sz="4" w:space="0" w:color="auto"/>
            </w:tcBorders>
            <w:shd w:val="clear" w:color="auto" w:fill="auto"/>
            <w:noWrap/>
            <w:vAlign w:val="bottom"/>
          </w:tcPr>
          <w:p w:rsidR="0055491A" w:rsidRPr="001A71BA" w:rsidRDefault="0055491A" w:rsidP="00210BF6">
            <w:pPr>
              <w:jc w:val="center"/>
              <w:rPr>
                <w:sz w:val="20"/>
                <w:szCs w:val="20"/>
              </w:rPr>
            </w:pPr>
            <w:r w:rsidRPr="001A71BA">
              <w:rPr>
                <w:sz w:val="20"/>
                <w:szCs w:val="20"/>
              </w:rPr>
              <w:t>2</w:t>
            </w:r>
          </w:p>
        </w:tc>
        <w:tc>
          <w:tcPr>
            <w:tcW w:w="794" w:type="dxa"/>
            <w:tcBorders>
              <w:top w:val="nil"/>
              <w:left w:val="nil"/>
              <w:bottom w:val="single" w:sz="4" w:space="0" w:color="auto"/>
              <w:right w:val="single" w:sz="4" w:space="0" w:color="auto"/>
            </w:tcBorders>
            <w:shd w:val="clear" w:color="auto" w:fill="auto"/>
            <w:noWrap/>
            <w:vAlign w:val="bottom"/>
          </w:tcPr>
          <w:p w:rsidR="0055491A" w:rsidRPr="001A71BA" w:rsidRDefault="0055491A" w:rsidP="00210BF6">
            <w:pPr>
              <w:jc w:val="center"/>
              <w:rPr>
                <w:sz w:val="20"/>
                <w:szCs w:val="20"/>
              </w:rPr>
            </w:pPr>
            <w:r>
              <w:rPr>
                <w:sz w:val="20"/>
                <w:szCs w:val="20"/>
              </w:rPr>
              <w:t>1</w:t>
            </w:r>
          </w:p>
        </w:tc>
        <w:tc>
          <w:tcPr>
            <w:tcW w:w="793" w:type="dxa"/>
            <w:tcBorders>
              <w:top w:val="nil"/>
              <w:left w:val="nil"/>
              <w:bottom w:val="single" w:sz="4" w:space="0" w:color="auto"/>
              <w:right w:val="single" w:sz="4" w:space="0" w:color="auto"/>
            </w:tcBorders>
            <w:shd w:val="clear" w:color="auto" w:fill="auto"/>
            <w:noWrap/>
            <w:vAlign w:val="bottom"/>
          </w:tcPr>
          <w:p w:rsidR="0055491A" w:rsidRPr="001A71BA" w:rsidRDefault="0055491A" w:rsidP="00210BF6">
            <w:pPr>
              <w:jc w:val="center"/>
              <w:rPr>
                <w:sz w:val="20"/>
                <w:szCs w:val="20"/>
              </w:rPr>
            </w:pPr>
            <w:r>
              <w:rPr>
                <w:sz w:val="20"/>
                <w:szCs w:val="20"/>
              </w:rPr>
              <w:t>1</w:t>
            </w:r>
          </w:p>
        </w:tc>
        <w:tc>
          <w:tcPr>
            <w:tcW w:w="794" w:type="dxa"/>
            <w:tcBorders>
              <w:top w:val="nil"/>
              <w:left w:val="nil"/>
              <w:bottom w:val="single" w:sz="4" w:space="0" w:color="auto"/>
              <w:right w:val="single" w:sz="4" w:space="0" w:color="auto"/>
            </w:tcBorders>
            <w:shd w:val="clear" w:color="auto" w:fill="auto"/>
            <w:noWrap/>
            <w:vAlign w:val="bottom"/>
          </w:tcPr>
          <w:p w:rsidR="0055491A" w:rsidRPr="001A71BA" w:rsidRDefault="0055491A" w:rsidP="00210BF6">
            <w:pPr>
              <w:jc w:val="center"/>
              <w:rPr>
                <w:sz w:val="20"/>
                <w:szCs w:val="20"/>
              </w:rPr>
            </w:pPr>
            <w:r>
              <w:rPr>
                <w:sz w:val="20"/>
                <w:szCs w:val="20"/>
              </w:rPr>
              <w:t>20,0</w:t>
            </w:r>
          </w:p>
        </w:tc>
        <w:tc>
          <w:tcPr>
            <w:tcW w:w="793" w:type="dxa"/>
            <w:tcBorders>
              <w:top w:val="nil"/>
              <w:left w:val="nil"/>
              <w:bottom w:val="single" w:sz="4" w:space="0" w:color="auto"/>
              <w:right w:val="single" w:sz="4" w:space="0" w:color="auto"/>
            </w:tcBorders>
            <w:shd w:val="clear" w:color="auto" w:fill="auto"/>
            <w:noWrap/>
            <w:vAlign w:val="bottom"/>
          </w:tcPr>
          <w:p w:rsidR="0055491A" w:rsidRPr="001A71BA" w:rsidRDefault="0055491A" w:rsidP="00210BF6">
            <w:pPr>
              <w:jc w:val="center"/>
              <w:rPr>
                <w:sz w:val="20"/>
                <w:szCs w:val="20"/>
              </w:rPr>
            </w:pPr>
            <w:r>
              <w:rPr>
                <w:sz w:val="20"/>
                <w:szCs w:val="20"/>
              </w:rPr>
              <w:t>1</w:t>
            </w:r>
          </w:p>
        </w:tc>
        <w:tc>
          <w:tcPr>
            <w:tcW w:w="794" w:type="dxa"/>
            <w:tcBorders>
              <w:top w:val="nil"/>
              <w:left w:val="nil"/>
              <w:bottom w:val="single" w:sz="4" w:space="0" w:color="auto"/>
              <w:right w:val="single" w:sz="4" w:space="0" w:color="auto"/>
            </w:tcBorders>
            <w:shd w:val="clear" w:color="auto" w:fill="auto"/>
            <w:noWrap/>
            <w:vAlign w:val="bottom"/>
          </w:tcPr>
          <w:p w:rsidR="0055491A" w:rsidRPr="001A71BA" w:rsidRDefault="0055491A" w:rsidP="00210BF6">
            <w:pPr>
              <w:jc w:val="center"/>
              <w:rPr>
                <w:sz w:val="20"/>
                <w:szCs w:val="20"/>
              </w:rPr>
            </w:pPr>
            <w:r>
              <w:rPr>
                <w:sz w:val="20"/>
                <w:szCs w:val="20"/>
              </w:rPr>
              <w:t>20,0</w:t>
            </w:r>
          </w:p>
        </w:tc>
        <w:tc>
          <w:tcPr>
            <w:tcW w:w="793" w:type="dxa"/>
            <w:tcBorders>
              <w:top w:val="nil"/>
              <w:left w:val="nil"/>
              <w:bottom w:val="single" w:sz="4" w:space="0" w:color="auto"/>
              <w:right w:val="single" w:sz="4" w:space="0" w:color="auto"/>
            </w:tcBorders>
            <w:shd w:val="clear" w:color="auto" w:fill="auto"/>
            <w:noWrap/>
            <w:vAlign w:val="bottom"/>
          </w:tcPr>
          <w:p w:rsidR="0055491A" w:rsidRPr="001A71BA" w:rsidRDefault="0055491A" w:rsidP="00210BF6">
            <w:pPr>
              <w:jc w:val="center"/>
              <w:rPr>
                <w:sz w:val="20"/>
                <w:szCs w:val="20"/>
              </w:rPr>
            </w:pPr>
            <w:r>
              <w:rPr>
                <w:sz w:val="20"/>
                <w:szCs w:val="20"/>
              </w:rPr>
              <w:t>1</w:t>
            </w:r>
          </w:p>
        </w:tc>
        <w:tc>
          <w:tcPr>
            <w:tcW w:w="794" w:type="dxa"/>
            <w:tcBorders>
              <w:top w:val="nil"/>
              <w:left w:val="nil"/>
              <w:bottom w:val="single" w:sz="4" w:space="0" w:color="auto"/>
              <w:right w:val="single" w:sz="4" w:space="0" w:color="auto"/>
            </w:tcBorders>
            <w:shd w:val="clear" w:color="auto" w:fill="auto"/>
            <w:noWrap/>
            <w:vAlign w:val="bottom"/>
          </w:tcPr>
          <w:p w:rsidR="0055491A" w:rsidRPr="001A71BA" w:rsidRDefault="0055491A" w:rsidP="00210BF6">
            <w:pPr>
              <w:jc w:val="center"/>
              <w:rPr>
                <w:sz w:val="20"/>
                <w:szCs w:val="20"/>
              </w:rPr>
            </w:pPr>
            <w:r>
              <w:rPr>
                <w:sz w:val="20"/>
                <w:szCs w:val="20"/>
              </w:rPr>
              <w:t>20,0</w:t>
            </w:r>
          </w:p>
        </w:tc>
        <w:tc>
          <w:tcPr>
            <w:tcW w:w="660" w:type="dxa"/>
            <w:tcBorders>
              <w:top w:val="nil"/>
              <w:left w:val="nil"/>
              <w:bottom w:val="single" w:sz="4" w:space="0" w:color="auto"/>
              <w:right w:val="single" w:sz="4" w:space="0" w:color="auto"/>
            </w:tcBorders>
            <w:shd w:val="clear" w:color="auto" w:fill="auto"/>
            <w:noWrap/>
            <w:vAlign w:val="bottom"/>
          </w:tcPr>
          <w:p w:rsidR="0055491A" w:rsidRPr="001A71BA" w:rsidRDefault="0055491A" w:rsidP="00210BF6">
            <w:pPr>
              <w:jc w:val="center"/>
              <w:rPr>
                <w:sz w:val="20"/>
                <w:szCs w:val="20"/>
              </w:rPr>
            </w:pPr>
            <w:r>
              <w:rPr>
                <w:sz w:val="20"/>
                <w:szCs w:val="20"/>
              </w:rPr>
              <w:t>1</w:t>
            </w:r>
          </w:p>
        </w:tc>
        <w:tc>
          <w:tcPr>
            <w:tcW w:w="794" w:type="dxa"/>
            <w:tcBorders>
              <w:top w:val="nil"/>
              <w:left w:val="nil"/>
              <w:bottom w:val="single" w:sz="4" w:space="0" w:color="auto"/>
              <w:right w:val="single" w:sz="4" w:space="0" w:color="auto"/>
            </w:tcBorders>
            <w:shd w:val="clear" w:color="auto" w:fill="auto"/>
            <w:noWrap/>
            <w:vAlign w:val="bottom"/>
          </w:tcPr>
          <w:p w:rsidR="0055491A" w:rsidRPr="001A71BA" w:rsidRDefault="0055491A" w:rsidP="00210BF6">
            <w:pPr>
              <w:jc w:val="center"/>
              <w:rPr>
                <w:sz w:val="20"/>
                <w:szCs w:val="20"/>
              </w:rPr>
            </w:pPr>
            <w:r>
              <w:rPr>
                <w:sz w:val="20"/>
                <w:szCs w:val="20"/>
              </w:rPr>
              <w:t>20,0</w:t>
            </w:r>
          </w:p>
        </w:tc>
      </w:tr>
      <w:tr w:rsidR="0055491A" w:rsidRPr="007366EE" w:rsidTr="00210BF6">
        <w:trPr>
          <w:trHeight w:val="272"/>
        </w:trPr>
        <w:tc>
          <w:tcPr>
            <w:tcW w:w="926" w:type="dxa"/>
            <w:vMerge/>
            <w:tcBorders>
              <w:left w:val="single" w:sz="4" w:space="0" w:color="auto"/>
              <w:right w:val="single" w:sz="4" w:space="0" w:color="auto"/>
            </w:tcBorders>
            <w:shd w:val="clear" w:color="auto" w:fill="auto"/>
            <w:vAlign w:val="center"/>
          </w:tcPr>
          <w:p w:rsidR="0055491A" w:rsidRPr="006F2477" w:rsidRDefault="0055491A" w:rsidP="00210BF6">
            <w:pPr>
              <w:jc w:val="center"/>
              <w:rPr>
                <w:sz w:val="16"/>
                <w:szCs w:val="16"/>
              </w:rPr>
            </w:pPr>
          </w:p>
        </w:tc>
        <w:tc>
          <w:tcPr>
            <w:tcW w:w="794" w:type="dxa"/>
            <w:tcBorders>
              <w:top w:val="nil"/>
              <w:left w:val="nil"/>
              <w:bottom w:val="single" w:sz="4" w:space="0" w:color="auto"/>
              <w:right w:val="single" w:sz="4" w:space="0" w:color="auto"/>
            </w:tcBorders>
            <w:shd w:val="clear" w:color="auto" w:fill="auto"/>
            <w:noWrap/>
            <w:vAlign w:val="bottom"/>
          </w:tcPr>
          <w:p w:rsidR="0055491A" w:rsidRPr="001A71BA" w:rsidRDefault="0055491A" w:rsidP="00210BF6">
            <w:pPr>
              <w:jc w:val="center"/>
              <w:rPr>
                <w:sz w:val="20"/>
                <w:szCs w:val="20"/>
              </w:rPr>
            </w:pPr>
            <w:r w:rsidRPr="001A71BA">
              <w:rPr>
                <w:sz w:val="20"/>
                <w:szCs w:val="20"/>
              </w:rPr>
              <w:t>21</w:t>
            </w:r>
          </w:p>
        </w:tc>
        <w:tc>
          <w:tcPr>
            <w:tcW w:w="660" w:type="dxa"/>
            <w:tcBorders>
              <w:top w:val="nil"/>
              <w:left w:val="nil"/>
              <w:bottom w:val="single" w:sz="4" w:space="0" w:color="auto"/>
              <w:right w:val="single" w:sz="4" w:space="0" w:color="auto"/>
            </w:tcBorders>
            <w:shd w:val="clear" w:color="auto" w:fill="auto"/>
            <w:noWrap/>
            <w:vAlign w:val="bottom"/>
          </w:tcPr>
          <w:p w:rsidR="0055491A" w:rsidRPr="001A71BA" w:rsidRDefault="0055491A" w:rsidP="00210BF6">
            <w:pPr>
              <w:jc w:val="center"/>
              <w:rPr>
                <w:sz w:val="20"/>
                <w:szCs w:val="20"/>
              </w:rPr>
            </w:pPr>
            <w:r w:rsidRPr="001A71BA">
              <w:rPr>
                <w:sz w:val="20"/>
                <w:szCs w:val="20"/>
              </w:rPr>
              <w:t>0</w:t>
            </w:r>
          </w:p>
        </w:tc>
        <w:tc>
          <w:tcPr>
            <w:tcW w:w="661" w:type="dxa"/>
            <w:tcBorders>
              <w:top w:val="nil"/>
              <w:left w:val="nil"/>
              <w:bottom w:val="single" w:sz="4" w:space="0" w:color="auto"/>
              <w:right w:val="single" w:sz="4" w:space="0" w:color="auto"/>
            </w:tcBorders>
            <w:shd w:val="clear" w:color="auto" w:fill="auto"/>
            <w:noWrap/>
            <w:vAlign w:val="bottom"/>
          </w:tcPr>
          <w:p w:rsidR="0055491A" w:rsidRPr="001A71BA" w:rsidRDefault="0055491A" w:rsidP="00210BF6">
            <w:pPr>
              <w:jc w:val="center"/>
              <w:rPr>
                <w:sz w:val="20"/>
                <w:szCs w:val="20"/>
              </w:rPr>
            </w:pPr>
            <w:r w:rsidRPr="001A71BA">
              <w:rPr>
                <w:sz w:val="20"/>
                <w:szCs w:val="20"/>
              </w:rPr>
              <w:t>1</w:t>
            </w:r>
          </w:p>
        </w:tc>
        <w:tc>
          <w:tcPr>
            <w:tcW w:w="794" w:type="dxa"/>
            <w:tcBorders>
              <w:top w:val="nil"/>
              <w:left w:val="nil"/>
              <w:bottom w:val="single" w:sz="4" w:space="0" w:color="auto"/>
              <w:right w:val="single" w:sz="4" w:space="0" w:color="auto"/>
            </w:tcBorders>
            <w:shd w:val="clear" w:color="auto" w:fill="auto"/>
            <w:noWrap/>
            <w:vAlign w:val="bottom"/>
          </w:tcPr>
          <w:p w:rsidR="0055491A" w:rsidRPr="001A71BA" w:rsidRDefault="0055491A" w:rsidP="00210BF6">
            <w:pPr>
              <w:jc w:val="center"/>
              <w:rPr>
                <w:sz w:val="20"/>
                <w:szCs w:val="20"/>
              </w:rPr>
            </w:pPr>
            <w:r>
              <w:rPr>
                <w:sz w:val="20"/>
                <w:szCs w:val="20"/>
              </w:rPr>
              <w:t>0</w:t>
            </w:r>
          </w:p>
        </w:tc>
        <w:tc>
          <w:tcPr>
            <w:tcW w:w="793" w:type="dxa"/>
            <w:tcBorders>
              <w:top w:val="nil"/>
              <w:left w:val="nil"/>
              <w:bottom w:val="single" w:sz="4" w:space="0" w:color="auto"/>
              <w:right w:val="single" w:sz="4" w:space="0" w:color="auto"/>
            </w:tcBorders>
            <w:shd w:val="clear" w:color="auto" w:fill="auto"/>
            <w:noWrap/>
            <w:vAlign w:val="bottom"/>
          </w:tcPr>
          <w:p w:rsidR="0055491A" w:rsidRPr="001A71BA" w:rsidRDefault="0055491A" w:rsidP="00210BF6">
            <w:pPr>
              <w:jc w:val="center"/>
              <w:rPr>
                <w:sz w:val="20"/>
                <w:szCs w:val="20"/>
              </w:rPr>
            </w:pPr>
            <w:r>
              <w:rPr>
                <w:sz w:val="20"/>
                <w:szCs w:val="20"/>
              </w:rPr>
              <w:t>1</w:t>
            </w:r>
          </w:p>
        </w:tc>
        <w:tc>
          <w:tcPr>
            <w:tcW w:w="794" w:type="dxa"/>
            <w:tcBorders>
              <w:top w:val="nil"/>
              <w:left w:val="nil"/>
              <w:bottom w:val="single" w:sz="4" w:space="0" w:color="auto"/>
              <w:right w:val="single" w:sz="4" w:space="0" w:color="auto"/>
            </w:tcBorders>
            <w:shd w:val="clear" w:color="auto" w:fill="auto"/>
            <w:noWrap/>
            <w:vAlign w:val="bottom"/>
          </w:tcPr>
          <w:p w:rsidR="0055491A" w:rsidRPr="001A71BA" w:rsidRDefault="0055491A" w:rsidP="00210BF6">
            <w:pPr>
              <w:jc w:val="center"/>
              <w:rPr>
                <w:sz w:val="20"/>
                <w:szCs w:val="20"/>
              </w:rPr>
            </w:pPr>
            <w:r>
              <w:rPr>
                <w:sz w:val="20"/>
                <w:szCs w:val="20"/>
              </w:rPr>
              <w:t>21,0</w:t>
            </w:r>
          </w:p>
        </w:tc>
        <w:tc>
          <w:tcPr>
            <w:tcW w:w="793" w:type="dxa"/>
            <w:tcBorders>
              <w:top w:val="nil"/>
              <w:left w:val="nil"/>
              <w:bottom w:val="single" w:sz="4" w:space="0" w:color="auto"/>
              <w:right w:val="single" w:sz="4" w:space="0" w:color="auto"/>
            </w:tcBorders>
            <w:shd w:val="clear" w:color="auto" w:fill="auto"/>
            <w:noWrap/>
            <w:vAlign w:val="bottom"/>
          </w:tcPr>
          <w:p w:rsidR="0055491A" w:rsidRPr="001A71BA" w:rsidRDefault="0055491A" w:rsidP="00210BF6">
            <w:pPr>
              <w:jc w:val="center"/>
              <w:rPr>
                <w:sz w:val="20"/>
                <w:szCs w:val="20"/>
              </w:rPr>
            </w:pPr>
            <w:r>
              <w:rPr>
                <w:sz w:val="20"/>
                <w:szCs w:val="20"/>
              </w:rPr>
              <w:t>1</w:t>
            </w:r>
          </w:p>
        </w:tc>
        <w:tc>
          <w:tcPr>
            <w:tcW w:w="794" w:type="dxa"/>
            <w:tcBorders>
              <w:top w:val="nil"/>
              <w:left w:val="nil"/>
              <w:bottom w:val="single" w:sz="4" w:space="0" w:color="auto"/>
              <w:right w:val="single" w:sz="4" w:space="0" w:color="auto"/>
            </w:tcBorders>
            <w:shd w:val="clear" w:color="auto" w:fill="auto"/>
            <w:noWrap/>
            <w:vAlign w:val="bottom"/>
          </w:tcPr>
          <w:p w:rsidR="0055491A" w:rsidRPr="001A71BA" w:rsidRDefault="0055491A" w:rsidP="00210BF6">
            <w:pPr>
              <w:jc w:val="center"/>
              <w:rPr>
                <w:sz w:val="20"/>
                <w:szCs w:val="20"/>
              </w:rPr>
            </w:pPr>
            <w:r>
              <w:rPr>
                <w:sz w:val="20"/>
                <w:szCs w:val="20"/>
              </w:rPr>
              <w:t>21,0</w:t>
            </w:r>
          </w:p>
        </w:tc>
        <w:tc>
          <w:tcPr>
            <w:tcW w:w="793" w:type="dxa"/>
            <w:tcBorders>
              <w:top w:val="nil"/>
              <w:left w:val="nil"/>
              <w:bottom w:val="single" w:sz="4" w:space="0" w:color="auto"/>
              <w:right w:val="single" w:sz="4" w:space="0" w:color="auto"/>
            </w:tcBorders>
            <w:shd w:val="clear" w:color="auto" w:fill="auto"/>
            <w:noWrap/>
            <w:vAlign w:val="bottom"/>
          </w:tcPr>
          <w:p w:rsidR="0055491A" w:rsidRPr="001A71BA" w:rsidRDefault="0055491A" w:rsidP="00210BF6">
            <w:pPr>
              <w:jc w:val="center"/>
              <w:rPr>
                <w:sz w:val="20"/>
                <w:szCs w:val="20"/>
              </w:rPr>
            </w:pPr>
            <w:r>
              <w:rPr>
                <w:sz w:val="20"/>
                <w:szCs w:val="20"/>
              </w:rPr>
              <w:t>1</w:t>
            </w:r>
          </w:p>
        </w:tc>
        <w:tc>
          <w:tcPr>
            <w:tcW w:w="794" w:type="dxa"/>
            <w:tcBorders>
              <w:top w:val="nil"/>
              <w:left w:val="nil"/>
              <w:bottom w:val="single" w:sz="4" w:space="0" w:color="auto"/>
              <w:right w:val="single" w:sz="4" w:space="0" w:color="auto"/>
            </w:tcBorders>
            <w:shd w:val="clear" w:color="auto" w:fill="auto"/>
            <w:noWrap/>
            <w:vAlign w:val="bottom"/>
          </w:tcPr>
          <w:p w:rsidR="0055491A" w:rsidRPr="001A71BA" w:rsidRDefault="0055491A" w:rsidP="00210BF6">
            <w:pPr>
              <w:jc w:val="center"/>
              <w:rPr>
                <w:sz w:val="20"/>
                <w:szCs w:val="20"/>
              </w:rPr>
            </w:pPr>
            <w:r>
              <w:rPr>
                <w:sz w:val="20"/>
                <w:szCs w:val="20"/>
              </w:rPr>
              <w:t>21,0</w:t>
            </w:r>
          </w:p>
        </w:tc>
        <w:tc>
          <w:tcPr>
            <w:tcW w:w="660" w:type="dxa"/>
            <w:tcBorders>
              <w:top w:val="nil"/>
              <w:left w:val="nil"/>
              <w:bottom w:val="single" w:sz="4" w:space="0" w:color="auto"/>
              <w:right w:val="single" w:sz="4" w:space="0" w:color="auto"/>
            </w:tcBorders>
            <w:shd w:val="clear" w:color="auto" w:fill="auto"/>
            <w:noWrap/>
            <w:vAlign w:val="bottom"/>
          </w:tcPr>
          <w:p w:rsidR="0055491A" w:rsidRPr="001A71BA" w:rsidRDefault="0055491A" w:rsidP="00210BF6">
            <w:pPr>
              <w:jc w:val="center"/>
              <w:rPr>
                <w:sz w:val="20"/>
                <w:szCs w:val="20"/>
              </w:rPr>
            </w:pPr>
            <w:r>
              <w:rPr>
                <w:sz w:val="20"/>
                <w:szCs w:val="20"/>
              </w:rPr>
              <w:t>1</w:t>
            </w:r>
          </w:p>
        </w:tc>
        <w:tc>
          <w:tcPr>
            <w:tcW w:w="794" w:type="dxa"/>
            <w:tcBorders>
              <w:top w:val="nil"/>
              <w:left w:val="nil"/>
              <w:bottom w:val="single" w:sz="4" w:space="0" w:color="auto"/>
              <w:right w:val="single" w:sz="4" w:space="0" w:color="auto"/>
            </w:tcBorders>
            <w:shd w:val="clear" w:color="auto" w:fill="auto"/>
            <w:noWrap/>
            <w:vAlign w:val="bottom"/>
          </w:tcPr>
          <w:p w:rsidR="0055491A" w:rsidRPr="001A71BA" w:rsidRDefault="0055491A" w:rsidP="00210BF6">
            <w:pPr>
              <w:jc w:val="center"/>
              <w:rPr>
                <w:sz w:val="20"/>
                <w:szCs w:val="20"/>
              </w:rPr>
            </w:pPr>
            <w:r>
              <w:rPr>
                <w:sz w:val="20"/>
                <w:szCs w:val="20"/>
              </w:rPr>
              <w:t>21,0</w:t>
            </w:r>
          </w:p>
        </w:tc>
      </w:tr>
      <w:tr w:rsidR="0055491A" w:rsidRPr="007366EE" w:rsidTr="00210BF6">
        <w:trPr>
          <w:trHeight w:val="272"/>
        </w:trPr>
        <w:tc>
          <w:tcPr>
            <w:tcW w:w="926" w:type="dxa"/>
            <w:vMerge/>
            <w:tcBorders>
              <w:left w:val="single" w:sz="4" w:space="0" w:color="auto"/>
              <w:right w:val="single" w:sz="4" w:space="0" w:color="auto"/>
            </w:tcBorders>
            <w:shd w:val="clear" w:color="auto" w:fill="auto"/>
            <w:vAlign w:val="center"/>
          </w:tcPr>
          <w:p w:rsidR="0055491A" w:rsidRPr="006F2477" w:rsidRDefault="0055491A" w:rsidP="00210BF6">
            <w:pPr>
              <w:jc w:val="center"/>
              <w:rPr>
                <w:sz w:val="16"/>
                <w:szCs w:val="16"/>
              </w:rPr>
            </w:pPr>
          </w:p>
        </w:tc>
        <w:tc>
          <w:tcPr>
            <w:tcW w:w="794" w:type="dxa"/>
            <w:tcBorders>
              <w:top w:val="nil"/>
              <w:left w:val="nil"/>
              <w:bottom w:val="single" w:sz="4" w:space="0" w:color="auto"/>
              <w:right w:val="single" w:sz="4" w:space="0" w:color="auto"/>
            </w:tcBorders>
            <w:shd w:val="clear" w:color="auto" w:fill="auto"/>
            <w:noWrap/>
            <w:vAlign w:val="bottom"/>
          </w:tcPr>
          <w:p w:rsidR="0055491A" w:rsidRPr="001A71BA" w:rsidRDefault="0055491A" w:rsidP="00210BF6">
            <w:pPr>
              <w:jc w:val="center"/>
              <w:rPr>
                <w:sz w:val="20"/>
                <w:szCs w:val="20"/>
              </w:rPr>
            </w:pPr>
            <w:r w:rsidRPr="001A71BA">
              <w:rPr>
                <w:sz w:val="20"/>
                <w:szCs w:val="20"/>
              </w:rPr>
              <w:t>30</w:t>
            </w:r>
          </w:p>
        </w:tc>
        <w:tc>
          <w:tcPr>
            <w:tcW w:w="660" w:type="dxa"/>
            <w:tcBorders>
              <w:top w:val="nil"/>
              <w:left w:val="nil"/>
              <w:bottom w:val="single" w:sz="4" w:space="0" w:color="auto"/>
              <w:right w:val="single" w:sz="4" w:space="0" w:color="auto"/>
            </w:tcBorders>
            <w:shd w:val="clear" w:color="auto" w:fill="auto"/>
            <w:noWrap/>
            <w:vAlign w:val="bottom"/>
          </w:tcPr>
          <w:p w:rsidR="0055491A" w:rsidRPr="001A71BA" w:rsidRDefault="0055491A" w:rsidP="00210BF6">
            <w:pPr>
              <w:jc w:val="center"/>
              <w:rPr>
                <w:sz w:val="20"/>
                <w:szCs w:val="20"/>
              </w:rPr>
            </w:pPr>
            <w:r w:rsidRPr="001A71BA">
              <w:rPr>
                <w:sz w:val="20"/>
                <w:szCs w:val="20"/>
              </w:rPr>
              <w:t>3</w:t>
            </w:r>
          </w:p>
        </w:tc>
        <w:tc>
          <w:tcPr>
            <w:tcW w:w="661" w:type="dxa"/>
            <w:tcBorders>
              <w:top w:val="nil"/>
              <w:left w:val="nil"/>
              <w:bottom w:val="single" w:sz="4" w:space="0" w:color="auto"/>
              <w:right w:val="single" w:sz="4" w:space="0" w:color="auto"/>
            </w:tcBorders>
            <w:shd w:val="clear" w:color="auto" w:fill="auto"/>
            <w:noWrap/>
            <w:vAlign w:val="bottom"/>
          </w:tcPr>
          <w:p w:rsidR="0055491A" w:rsidRPr="001A71BA" w:rsidRDefault="0055491A" w:rsidP="00210BF6">
            <w:pPr>
              <w:jc w:val="center"/>
              <w:rPr>
                <w:sz w:val="20"/>
                <w:szCs w:val="20"/>
              </w:rPr>
            </w:pPr>
            <w:r w:rsidRPr="001A71BA">
              <w:rPr>
                <w:sz w:val="20"/>
                <w:szCs w:val="20"/>
              </w:rPr>
              <w:t>0</w:t>
            </w:r>
          </w:p>
        </w:tc>
        <w:tc>
          <w:tcPr>
            <w:tcW w:w="794" w:type="dxa"/>
            <w:tcBorders>
              <w:top w:val="nil"/>
              <w:left w:val="nil"/>
              <w:bottom w:val="single" w:sz="4" w:space="0" w:color="auto"/>
              <w:right w:val="single" w:sz="4" w:space="0" w:color="auto"/>
            </w:tcBorders>
            <w:shd w:val="clear" w:color="auto" w:fill="auto"/>
            <w:noWrap/>
            <w:vAlign w:val="bottom"/>
          </w:tcPr>
          <w:p w:rsidR="0055491A" w:rsidRPr="001A71BA" w:rsidRDefault="0055491A" w:rsidP="00210BF6">
            <w:pPr>
              <w:jc w:val="center"/>
              <w:rPr>
                <w:sz w:val="20"/>
                <w:szCs w:val="20"/>
              </w:rPr>
            </w:pPr>
            <w:r>
              <w:rPr>
                <w:sz w:val="20"/>
                <w:szCs w:val="20"/>
              </w:rPr>
              <w:t>0</w:t>
            </w:r>
          </w:p>
        </w:tc>
        <w:tc>
          <w:tcPr>
            <w:tcW w:w="793" w:type="dxa"/>
            <w:tcBorders>
              <w:top w:val="nil"/>
              <w:left w:val="nil"/>
              <w:bottom w:val="single" w:sz="4" w:space="0" w:color="auto"/>
              <w:right w:val="single" w:sz="4" w:space="0" w:color="auto"/>
            </w:tcBorders>
            <w:shd w:val="clear" w:color="auto" w:fill="auto"/>
            <w:noWrap/>
            <w:vAlign w:val="bottom"/>
          </w:tcPr>
          <w:p w:rsidR="0055491A" w:rsidRPr="001A71BA" w:rsidRDefault="0055491A" w:rsidP="00210BF6">
            <w:pPr>
              <w:jc w:val="center"/>
              <w:rPr>
                <w:sz w:val="20"/>
                <w:szCs w:val="20"/>
              </w:rPr>
            </w:pPr>
            <w:r>
              <w:rPr>
                <w:sz w:val="20"/>
                <w:szCs w:val="20"/>
              </w:rPr>
              <w:t>1</w:t>
            </w:r>
          </w:p>
        </w:tc>
        <w:tc>
          <w:tcPr>
            <w:tcW w:w="794" w:type="dxa"/>
            <w:tcBorders>
              <w:top w:val="nil"/>
              <w:left w:val="nil"/>
              <w:bottom w:val="single" w:sz="4" w:space="0" w:color="auto"/>
              <w:right w:val="single" w:sz="4" w:space="0" w:color="auto"/>
            </w:tcBorders>
            <w:shd w:val="clear" w:color="auto" w:fill="auto"/>
            <w:noWrap/>
            <w:vAlign w:val="bottom"/>
          </w:tcPr>
          <w:p w:rsidR="0055491A" w:rsidRPr="001A71BA" w:rsidRDefault="0055491A" w:rsidP="00210BF6">
            <w:pPr>
              <w:jc w:val="center"/>
              <w:rPr>
                <w:sz w:val="20"/>
                <w:szCs w:val="20"/>
              </w:rPr>
            </w:pPr>
            <w:r>
              <w:rPr>
                <w:sz w:val="20"/>
                <w:szCs w:val="20"/>
              </w:rPr>
              <w:t>30,0</w:t>
            </w:r>
          </w:p>
        </w:tc>
        <w:tc>
          <w:tcPr>
            <w:tcW w:w="793" w:type="dxa"/>
            <w:tcBorders>
              <w:top w:val="nil"/>
              <w:left w:val="nil"/>
              <w:bottom w:val="single" w:sz="4" w:space="0" w:color="auto"/>
              <w:right w:val="single" w:sz="4" w:space="0" w:color="auto"/>
            </w:tcBorders>
            <w:shd w:val="clear" w:color="auto" w:fill="auto"/>
            <w:noWrap/>
            <w:vAlign w:val="bottom"/>
          </w:tcPr>
          <w:p w:rsidR="0055491A" w:rsidRPr="001A71BA" w:rsidRDefault="0055491A" w:rsidP="00210BF6">
            <w:pPr>
              <w:jc w:val="center"/>
              <w:rPr>
                <w:sz w:val="20"/>
                <w:szCs w:val="20"/>
              </w:rPr>
            </w:pPr>
            <w:r>
              <w:rPr>
                <w:sz w:val="20"/>
                <w:szCs w:val="20"/>
              </w:rPr>
              <w:t>1</w:t>
            </w:r>
          </w:p>
        </w:tc>
        <w:tc>
          <w:tcPr>
            <w:tcW w:w="794" w:type="dxa"/>
            <w:tcBorders>
              <w:top w:val="nil"/>
              <w:left w:val="nil"/>
              <w:bottom w:val="single" w:sz="4" w:space="0" w:color="auto"/>
              <w:right w:val="single" w:sz="4" w:space="0" w:color="auto"/>
            </w:tcBorders>
            <w:shd w:val="clear" w:color="auto" w:fill="auto"/>
            <w:noWrap/>
            <w:vAlign w:val="bottom"/>
          </w:tcPr>
          <w:p w:rsidR="0055491A" w:rsidRPr="001A71BA" w:rsidRDefault="0055491A" w:rsidP="00210BF6">
            <w:pPr>
              <w:jc w:val="center"/>
              <w:rPr>
                <w:sz w:val="20"/>
                <w:szCs w:val="20"/>
              </w:rPr>
            </w:pPr>
            <w:r>
              <w:rPr>
                <w:sz w:val="20"/>
                <w:szCs w:val="20"/>
              </w:rPr>
              <w:t>30,0</w:t>
            </w:r>
          </w:p>
        </w:tc>
        <w:tc>
          <w:tcPr>
            <w:tcW w:w="793" w:type="dxa"/>
            <w:tcBorders>
              <w:top w:val="nil"/>
              <w:left w:val="nil"/>
              <w:bottom w:val="single" w:sz="4" w:space="0" w:color="auto"/>
              <w:right w:val="single" w:sz="4" w:space="0" w:color="auto"/>
            </w:tcBorders>
            <w:shd w:val="clear" w:color="auto" w:fill="auto"/>
            <w:noWrap/>
            <w:vAlign w:val="bottom"/>
          </w:tcPr>
          <w:p w:rsidR="0055491A" w:rsidRPr="001A71BA" w:rsidRDefault="0055491A" w:rsidP="00210BF6">
            <w:pPr>
              <w:jc w:val="center"/>
              <w:rPr>
                <w:sz w:val="20"/>
                <w:szCs w:val="20"/>
              </w:rPr>
            </w:pPr>
            <w:r>
              <w:rPr>
                <w:sz w:val="20"/>
                <w:szCs w:val="20"/>
              </w:rPr>
              <w:t>1</w:t>
            </w:r>
          </w:p>
        </w:tc>
        <w:tc>
          <w:tcPr>
            <w:tcW w:w="794" w:type="dxa"/>
            <w:tcBorders>
              <w:top w:val="nil"/>
              <w:left w:val="nil"/>
              <w:bottom w:val="single" w:sz="4" w:space="0" w:color="auto"/>
              <w:right w:val="single" w:sz="4" w:space="0" w:color="auto"/>
            </w:tcBorders>
            <w:shd w:val="clear" w:color="auto" w:fill="auto"/>
            <w:noWrap/>
            <w:vAlign w:val="bottom"/>
          </w:tcPr>
          <w:p w:rsidR="0055491A" w:rsidRPr="001A71BA" w:rsidRDefault="0055491A" w:rsidP="00210BF6">
            <w:pPr>
              <w:jc w:val="center"/>
              <w:rPr>
                <w:sz w:val="20"/>
                <w:szCs w:val="20"/>
              </w:rPr>
            </w:pPr>
            <w:r>
              <w:rPr>
                <w:sz w:val="20"/>
                <w:szCs w:val="20"/>
              </w:rPr>
              <w:t>30,0</w:t>
            </w:r>
          </w:p>
        </w:tc>
        <w:tc>
          <w:tcPr>
            <w:tcW w:w="660" w:type="dxa"/>
            <w:tcBorders>
              <w:top w:val="nil"/>
              <w:left w:val="nil"/>
              <w:bottom w:val="single" w:sz="4" w:space="0" w:color="auto"/>
              <w:right w:val="single" w:sz="4" w:space="0" w:color="auto"/>
            </w:tcBorders>
            <w:shd w:val="clear" w:color="auto" w:fill="auto"/>
            <w:noWrap/>
            <w:vAlign w:val="bottom"/>
          </w:tcPr>
          <w:p w:rsidR="0055491A" w:rsidRPr="001A71BA" w:rsidRDefault="0055491A" w:rsidP="00210BF6">
            <w:pPr>
              <w:jc w:val="center"/>
              <w:rPr>
                <w:sz w:val="20"/>
                <w:szCs w:val="20"/>
              </w:rPr>
            </w:pPr>
            <w:r>
              <w:rPr>
                <w:sz w:val="20"/>
                <w:szCs w:val="20"/>
              </w:rPr>
              <w:t>1</w:t>
            </w:r>
          </w:p>
        </w:tc>
        <w:tc>
          <w:tcPr>
            <w:tcW w:w="794" w:type="dxa"/>
            <w:tcBorders>
              <w:top w:val="nil"/>
              <w:left w:val="nil"/>
              <w:bottom w:val="single" w:sz="4" w:space="0" w:color="auto"/>
              <w:right w:val="single" w:sz="4" w:space="0" w:color="auto"/>
            </w:tcBorders>
            <w:shd w:val="clear" w:color="auto" w:fill="auto"/>
            <w:noWrap/>
            <w:vAlign w:val="bottom"/>
          </w:tcPr>
          <w:p w:rsidR="0055491A" w:rsidRPr="001A71BA" w:rsidRDefault="0055491A" w:rsidP="00210BF6">
            <w:pPr>
              <w:jc w:val="center"/>
              <w:rPr>
                <w:sz w:val="20"/>
                <w:szCs w:val="20"/>
              </w:rPr>
            </w:pPr>
            <w:r>
              <w:rPr>
                <w:sz w:val="20"/>
                <w:szCs w:val="20"/>
              </w:rPr>
              <w:t>30,0</w:t>
            </w:r>
          </w:p>
        </w:tc>
      </w:tr>
      <w:tr w:rsidR="0055491A" w:rsidRPr="007366EE" w:rsidTr="00210BF6">
        <w:trPr>
          <w:trHeight w:val="272"/>
        </w:trPr>
        <w:tc>
          <w:tcPr>
            <w:tcW w:w="926" w:type="dxa"/>
            <w:vMerge/>
            <w:tcBorders>
              <w:left w:val="single" w:sz="4" w:space="0" w:color="auto"/>
              <w:right w:val="single" w:sz="4" w:space="0" w:color="auto"/>
            </w:tcBorders>
            <w:shd w:val="clear" w:color="auto" w:fill="auto"/>
            <w:vAlign w:val="center"/>
            <w:hideMark/>
          </w:tcPr>
          <w:p w:rsidR="0055491A" w:rsidRPr="006F2477" w:rsidRDefault="0055491A" w:rsidP="00210BF6">
            <w:pPr>
              <w:jc w:val="center"/>
              <w:rPr>
                <w:sz w:val="16"/>
                <w:szCs w:val="16"/>
              </w:rPr>
            </w:pPr>
          </w:p>
        </w:tc>
        <w:tc>
          <w:tcPr>
            <w:tcW w:w="794" w:type="dxa"/>
            <w:tcBorders>
              <w:top w:val="nil"/>
              <w:left w:val="nil"/>
              <w:bottom w:val="single" w:sz="4" w:space="0" w:color="auto"/>
              <w:right w:val="single" w:sz="4" w:space="0" w:color="auto"/>
            </w:tcBorders>
            <w:shd w:val="clear" w:color="auto" w:fill="auto"/>
            <w:noWrap/>
            <w:vAlign w:val="bottom"/>
            <w:hideMark/>
          </w:tcPr>
          <w:p w:rsidR="0055491A" w:rsidRPr="001A71BA" w:rsidRDefault="0055491A" w:rsidP="00210BF6">
            <w:pPr>
              <w:jc w:val="center"/>
              <w:rPr>
                <w:sz w:val="20"/>
                <w:szCs w:val="20"/>
              </w:rPr>
            </w:pPr>
            <w:r w:rsidRPr="001A71BA">
              <w:rPr>
                <w:sz w:val="20"/>
                <w:szCs w:val="20"/>
              </w:rPr>
              <w:t>70</w:t>
            </w:r>
          </w:p>
        </w:tc>
        <w:tc>
          <w:tcPr>
            <w:tcW w:w="660" w:type="dxa"/>
            <w:tcBorders>
              <w:top w:val="nil"/>
              <w:left w:val="nil"/>
              <w:bottom w:val="single" w:sz="4" w:space="0" w:color="auto"/>
              <w:right w:val="single" w:sz="4" w:space="0" w:color="auto"/>
            </w:tcBorders>
            <w:shd w:val="clear" w:color="auto" w:fill="auto"/>
            <w:noWrap/>
            <w:vAlign w:val="bottom"/>
            <w:hideMark/>
          </w:tcPr>
          <w:p w:rsidR="0055491A" w:rsidRPr="001A71BA" w:rsidRDefault="0055491A" w:rsidP="00210BF6">
            <w:pPr>
              <w:jc w:val="center"/>
              <w:rPr>
                <w:sz w:val="20"/>
                <w:szCs w:val="20"/>
              </w:rPr>
            </w:pPr>
            <w:r w:rsidRPr="001A71BA">
              <w:rPr>
                <w:sz w:val="20"/>
                <w:szCs w:val="20"/>
              </w:rPr>
              <w:t>12</w:t>
            </w:r>
          </w:p>
        </w:tc>
        <w:tc>
          <w:tcPr>
            <w:tcW w:w="661" w:type="dxa"/>
            <w:tcBorders>
              <w:top w:val="nil"/>
              <w:left w:val="nil"/>
              <w:bottom w:val="single" w:sz="4" w:space="0" w:color="auto"/>
              <w:right w:val="single" w:sz="4" w:space="0" w:color="auto"/>
            </w:tcBorders>
            <w:shd w:val="clear" w:color="auto" w:fill="auto"/>
            <w:noWrap/>
            <w:vAlign w:val="bottom"/>
            <w:hideMark/>
          </w:tcPr>
          <w:p w:rsidR="0055491A" w:rsidRPr="001A71BA" w:rsidRDefault="0055491A" w:rsidP="00210BF6">
            <w:pPr>
              <w:jc w:val="center"/>
              <w:rPr>
                <w:sz w:val="20"/>
                <w:szCs w:val="20"/>
              </w:rPr>
            </w:pPr>
            <w:r w:rsidRPr="001A71BA">
              <w:rPr>
                <w:sz w:val="20"/>
                <w:szCs w:val="20"/>
              </w:rPr>
              <w:t>6</w:t>
            </w:r>
          </w:p>
        </w:tc>
        <w:tc>
          <w:tcPr>
            <w:tcW w:w="794" w:type="dxa"/>
            <w:tcBorders>
              <w:top w:val="nil"/>
              <w:left w:val="nil"/>
              <w:bottom w:val="single" w:sz="4" w:space="0" w:color="auto"/>
              <w:right w:val="single" w:sz="4" w:space="0" w:color="auto"/>
            </w:tcBorders>
            <w:shd w:val="clear" w:color="auto" w:fill="auto"/>
            <w:noWrap/>
            <w:vAlign w:val="bottom"/>
            <w:hideMark/>
          </w:tcPr>
          <w:p w:rsidR="0055491A" w:rsidRPr="001A71BA" w:rsidRDefault="0055491A" w:rsidP="00210BF6">
            <w:pPr>
              <w:jc w:val="center"/>
              <w:rPr>
                <w:sz w:val="20"/>
                <w:szCs w:val="20"/>
              </w:rPr>
            </w:pPr>
            <w:r>
              <w:rPr>
                <w:sz w:val="20"/>
                <w:szCs w:val="20"/>
              </w:rPr>
              <w:t>8</w:t>
            </w:r>
          </w:p>
        </w:tc>
        <w:tc>
          <w:tcPr>
            <w:tcW w:w="793" w:type="dxa"/>
            <w:tcBorders>
              <w:top w:val="nil"/>
              <w:left w:val="nil"/>
              <w:bottom w:val="single" w:sz="4" w:space="0" w:color="auto"/>
              <w:right w:val="single" w:sz="4" w:space="0" w:color="auto"/>
            </w:tcBorders>
            <w:shd w:val="clear" w:color="auto" w:fill="auto"/>
            <w:noWrap/>
            <w:vAlign w:val="bottom"/>
            <w:hideMark/>
          </w:tcPr>
          <w:p w:rsidR="0055491A" w:rsidRPr="001A71BA" w:rsidRDefault="0055491A" w:rsidP="00210BF6">
            <w:pPr>
              <w:jc w:val="center"/>
              <w:rPr>
                <w:sz w:val="20"/>
                <w:szCs w:val="20"/>
              </w:rPr>
            </w:pPr>
            <w:r>
              <w:rPr>
                <w:sz w:val="20"/>
                <w:szCs w:val="20"/>
              </w:rPr>
              <w:t>9</w:t>
            </w:r>
          </w:p>
        </w:tc>
        <w:tc>
          <w:tcPr>
            <w:tcW w:w="794" w:type="dxa"/>
            <w:tcBorders>
              <w:top w:val="nil"/>
              <w:left w:val="nil"/>
              <w:bottom w:val="single" w:sz="4" w:space="0" w:color="auto"/>
              <w:right w:val="single" w:sz="4" w:space="0" w:color="auto"/>
            </w:tcBorders>
            <w:shd w:val="clear" w:color="auto" w:fill="auto"/>
            <w:noWrap/>
            <w:vAlign w:val="bottom"/>
            <w:hideMark/>
          </w:tcPr>
          <w:p w:rsidR="0055491A" w:rsidRPr="001A71BA" w:rsidRDefault="0055491A" w:rsidP="00210BF6">
            <w:pPr>
              <w:jc w:val="center"/>
              <w:rPr>
                <w:sz w:val="20"/>
                <w:szCs w:val="20"/>
              </w:rPr>
            </w:pPr>
            <w:r>
              <w:rPr>
                <w:sz w:val="20"/>
                <w:szCs w:val="20"/>
              </w:rPr>
              <w:t>630,0</w:t>
            </w:r>
          </w:p>
        </w:tc>
        <w:tc>
          <w:tcPr>
            <w:tcW w:w="793" w:type="dxa"/>
            <w:tcBorders>
              <w:top w:val="nil"/>
              <w:left w:val="nil"/>
              <w:bottom w:val="single" w:sz="4" w:space="0" w:color="auto"/>
              <w:right w:val="single" w:sz="4" w:space="0" w:color="auto"/>
            </w:tcBorders>
            <w:shd w:val="clear" w:color="auto" w:fill="auto"/>
            <w:noWrap/>
            <w:vAlign w:val="bottom"/>
            <w:hideMark/>
          </w:tcPr>
          <w:p w:rsidR="0055491A" w:rsidRPr="001A71BA" w:rsidRDefault="0055491A" w:rsidP="00210BF6">
            <w:pPr>
              <w:jc w:val="center"/>
              <w:rPr>
                <w:sz w:val="20"/>
                <w:szCs w:val="20"/>
              </w:rPr>
            </w:pPr>
            <w:r>
              <w:rPr>
                <w:sz w:val="20"/>
                <w:szCs w:val="20"/>
              </w:rPr>
              <w:t>8</w:t>
            </w:r>
          </w:p>
        </w:tc>
        <w:tc>
          <w:tcPr>
            <w:tcW w:w="794" w:type="dxa"/>
            <w:tcBorders>
              <w:top w:val="nil"/>
              <w:left w:val="nil"/>
              <w:bottom w:val="single" w:sz="4" w:space="0" w:color="auto"/>
              <w:right w:val="single" w:sz="4" w:space="0" w:color="auto"/>
            </w:tcBorders>
            <w:shd w:val="clear" w:color="auto" w:fill="auto"/>
            <w:noWrap/>
            <w:vAlign w:val="bottom"/>
            <w:hideMark/>
          </w:tcPr>
          <w:p w:rsidR="0055491A" w:rsidRPr="001A71BA" w:rsidRDefault="0055491A" w:rsidP="00210BF6">
            <w:pPr>
              <w:jc w:val="center"/>
              <w:rPr>
                <w:sz w:val="20"/>
                <w:szCs w:val="20"/>
              </w:rPr>
            </w:pPr>
            <w:r>
              <w:rPr>
                <w:sz w:val="20"/>
                <w:szCs w:val="20"/>
              </w:rPr>
              <w:t>560,0</w:t>
            </w:r>
          </w:p>
        </w:tc>
        <w:tc>
          <w:tcPr>
            <w:tcW w:w="793" w:type="dxa"/>
            <w:tcBorders>
              <w:top w:val="nil"/>
              <w:left w:val="nil"/>
              <w:bottom w:val="single" w:sz="4" w:space="0" w:color="auto"/>
              <w:right w:val="single" w:sz="4" w:space="0" w:color="auto"/>
            </w:tcBorders>
            <w:shd w:val="clear" w:color="auto" w:fill="auto"/>
            <w:noWrap/>
            <w:vAlign w:val="bottom"/>
            <w:hideMark/>
          </w:tcPr>
          <w:p w:rsidR="0055491A" w:rsidRPr="001A71BA" w:rsidRDefault="0055491A" w:rsidP="00210BF6">
            <w:pPr>
              <w:jc w:val="center"/>
              <w:rPr>
                <w:sz w:val="20"/>
                <w:szCs w:val="20"/>
              </w:rPr>
            </w:pPr>
            <w:r>
              <w:rPr>
                <w:sz w:val="20"/>
                <w:szCs w:val="20"/>
              </w:rPr>
              <w:t>8</w:t>
            </w:r>
          </w:p>
        </w:tc>
        <w:tc>
          <w:tcPr>
            <w:tcW w:w="794" w:type="dxa"/>
            <w:tcBorders>
              <w:top w:val="nil"/>
              <w:left w:val="nil"/>
              <w:bottom w:val="single" w:sz="4" w:space="0" w:color="auto"/>
              <w:right w:val="single" w:sz="4" w:space="0" w:color="auto"/>
            </w:tcBorders>
            <w:shd w:val="clear" w:color="auto" w:fill="auto"/>
            <w:noWrap/>
            <w:vAlign w:val="bottom"/>
            <w:hideMark/>
          </w:tcPr>
          <w:p w:rsidR="0055491A" w:rsidRPr="001A71BA" w:rsidRDefault="0055491A" w:rsidP="00210BF6">
            <w:pPr>
              <w:jc w:val="center"/>
              <w:rPr>
                <w:sz w:val="20"/>
                <w:szCs w:val="20"/>
              </w:rPr>
            </w:pPr>
            <w:r>
              <w:rPr>
                <w:sz w:val="20"/>
                <w:szCs w:val="20"/>
              </w:rPr>
              <w:t>560,0</w:t>
            </w:r>
          </w:p>
        </w:tc>
        <w:tc>
          <w:tcPr>
            <w:tcW w:w="660" w:type="dxa"/>
            <w:tcBorders>
              <w:top w:val="nil"/>
              <w:left w:val="nil"/>
              <w:bottom w:val="single" w:sz="4" w:space="0" w:color="auto"/>
              <w:right w:val="single" w:sz="4" w:space="0" w:color="auto"/>
            </w:tcBorders>
            <w:shd w:val="clear" w:color="auto" w:fill="auto"/>
            <w:noWrap/>
            <w:vAlign w:val="bottom"/>
            <w:hideMark/>
          </w:tcPr>
          <w:p w:rsidR="0055491A" w:rsidRPr="001A71BA" w:rsidRDefault="0055491A" w:rsidP="00210BF6">
            <w:pPr>
              <w:jc w:val="center"/>
              <w:rPr>
                <w:sz w:val="20"/>
                <w:szCs w:val="20"/>
              </w:rPr>
            </w:pPr>
            <w:r>
              <w:rPr>
                <w:sz w:val="20"/>
                <w:szCs w:val="20"/>
              </w:rPr>
              <w:t>8</w:t>
            </w:r>
          </w:p>
        </w:tc>
        <w:tc>
          <w:tcPr>
            <w:tcW w:w="794" w:type="dxa"/>
            <w:tcBorders>
              <w:top w:val="nil"/>
              <w:left w:val="nil"/>
              <w:bottom w:val="single" w:sz="4" w:space="0" w:color="auto"/>
              <w:right w:val="single" w:sz="4" w:space="0" w:color="auto"/>
            </w:tcBorders>
            <w:shd w:val="clear" w:color="auto" w:fill="auto"/>
            <w:noWrap/>
            <w:vAlign w:val="bottom"/>
            <w:hideMark/>
          </w:tcPr>
          <w:p w:rsidR="0055491A" w:rsidRPr="001A71BA" w:rsidRDefault="0055491A" w:rsidP="00210BF6">
            <w:pPr>
              <w:jc w:val="center"/>
              <w:rPr>
                <w:sz w:val="20"/>
                <w:szCs w:val="20"/>
              </w:rPr>
            </w:pPr>
            <w:r>
              <w:rPr>
                <w:sz w:val="20"/>
                <w:szCs w:val="20"/>
              </w:rPr>
              <w:t>560,0</w:t>
            </w:r>
          </w:p>
        </w:tc>
      </w:tr>
      <w:tr w:rsidR="0055491A" w:rsidRPr="007366EE" w:rsidTr="00210BF6">
        <w:trPr>
          <w:trHeight w:val="257"/>
        </w:trPr>
        <w:tc>
          <w:tcPr>
            <w:tcW w:w="926" w:type="dxa"/>
            <w:vMerge/>
            <w:tcBorders>
              <w:left w:val="single" w:sz="4" w:space="0" w:color="auto"/>
              <w:right w:val="single" w:sz="4" w:space="0" w:color="auto"/>
            </w:tcBorders>
            <w:vAlign w:val="center"/>
            <w:hideMark/>
          </w:tcPr>
          <w:p w:rsidR="0055491A" w:rsidRPr="006F2477" w:rsidRDefault="0055491A" w:rsidP="00210BF6">
            <w:pPr>
              <w:rPr>
                <w:sz w:val="16"/>
                <w:szCs w:val="16"/>
              </w:rPr>
            </w:pPr>
          </w:p>
        </w:tc>
        <w:tc>
          <w:tcPr>
            <w:tcW w:w="794" w:type="dxa"/>
            <w:tcBorders>
              <w:top w:val="nil"/>
              <w:left w:val="nil"/>
              <w:bottom w:val="single" w:sz="4" w:space="0" w:color="auto"/>
              <w:right w:val="single" w:sz="4" w:space="0" w:color="auto"/>
            </w:tcBorders>
            <w:shd w:val="clear" w:color="auto" w:fill="auto"/>
            <w:noWrap/>
            <w:vAlign w:val="bottom"/>
            <w:hideMark/>
          </w:tcPr>
          <w:p w:rsidR="0055491A" w:rsidRPr="001A71BA" w:rsidRDefault="0055491A" w:rsidP="00210BF6">
            <w:pPr>
              <w:jc w:val="center"/>
              <w:rPr>
                <w:sz w:val="20"/>
                <w:szCs w:val="20"/>
              </w:rPr>
            </w:pPr>
            <w:r w:rsidRPr="001A71BA">
              <w:rPr>
                <w:sz w:val="20"/>
                <w:szCs w:val="20"/>
              </w:rPr>
              <w:t>71</w:t>
            </w:r>
          </w:p>
        </w:tc>
        <w:tc>
          <w:tcPr>
            <w:tcW w:w="660" w:type="dxa"/>
            <w:tcBorders>
              <w:top w:val="nil"/>
              <w:left w:val="nil"/>
              <w:bottom w:val="single" w:sz="4" w:space="0" w:color="auto"/>
              <w:right w:val="single" w:sz="4" w:space="0" w:color="auto"/>
            </w:tcBorders>
            <w:shd w:val="clear" w:color="auto" w:fill="auto"/>
            <w:noWrap/>
            <w:vAlign w:val="bottom"/>
            <w:hideMark/>
          </w:tcPr>
          <w:p w:rsidR="0055491A" w:rsidRPr="001A71BA" w:rsidRDefault="0055491A" w:rsidP="00210BF6">
            <w:pPr>
              <w:jc w:val="center"/>
              <w:rPr>
                <w:sz w:val="20"/>
                <w:szCs w:val="20"/>
              </w:rPr>
            </w:pPr>
            <w:r w:rsidRPr="001A71BA">
              <w:rPr>
                <w:sz w:val="20"/>
                <w:szCs w:val="20"/>
              </w:rPr>
              <w:t>3</w:t>
            </w:r>
          </w:p>
        </w:tc>
        <w:tc>
          <w:tcPr>
            <w:tcW w:w="661" w:type="dxa"/>
            <w:tcBorders>
              <w:top w:val="nil"/>
              <w:left w:val="nil"/>
              <w:bottom w:val="single" w:sz="4" w:space="0" w:color="auto"/>
              <w:right w:val="single" w:sz="4" w:space="0" w:color="auto"/>
            </w:tcBorders>
            <w:shd w:val="clear" w:color="auto" w:fill="auto"/>
            <w:noWrap/>
            <w:vAlign w:val="bottom"/>
            <w:hideMark/>
          </w:tcPr>
          <w:p w:rsidR="0055491A" w:rsidRPr="001A71BA" w:rsidRDefault="0055491A" w:rsidP="00210BF6">
            <w:pPr>
              <w:jc w:val="center"/>
              <w:rPr>
                <w:sz w:val="20"/>
                <w:szCs w:val="20"/>
              </w:rPr>
            </w:pPr>
            <w:r w:rsidRPr="001A71BA">
              <w:rPr>
                <w:sz w:val="20"/>
                <w:szCs w:val="20"/>
              </w:rPr>
              <w:t>0</w:t>
            </w:r>
          </w:p>
        </w:tc>
        <w:tc>
          <w:tcPr>
            <w:tcW w:w="794" w:type="dxa"/>
            <w:tcBorders>
              <w:top w:val="nil"/>
              <w:left w:val="nil"/>
              <w:bottom w:val="single" w:sz="4" w:space="0" w:color="auto"/>
              <w:right w:val="single" w:sz="4" w:space="0" w:color="auto"/>
            </w:tcBorders>
            <w:shd w:val="clear" w:color="auto" w:fill="auto"/>
            <w:noWrap/>
            <w:vAlign w:val="bottom"/>
            <w:hideMark/>
          </w:tcPr>
          <w:p w:rsidR="0055491A" w:rsidRPr="001A71BA" w:rsidRDefault="0055491A" w:rsidP="00210BF6">
            <w:pPr>
              <w:jc w:val="center"/>
              <w:rPr>
                <w:sz w:val="20"/>
                <w:szCs w:val="20"/>
              </w:rPr>
            </w:pPr>
            <w:r>
              <w:rPr>
                <w:sz w:val="20"/>
                <w:szCs w:val="20"/>
              </w:rPr>
              <w:t>0</w:t>
            </w:r>
          </w:p>
        </w:tc>
        <w:tc>
          <w:tcPr>
            <w:tcW w:w="793" w:type="dxa"/>
            <w:tcBorders>
              <w:top w:val="nil"/>
              <w:left w:val="nil"/>
              <w:bottom w:val="single" w:sz="4" w:space="0" w:color="auto"/>
              <w:right w:val="single" w:sz="4" w:space="0" w:color="auto"/>
            </w:tcBorders>
            <w:shd w:val="clear" w:color="auto" w:fill="auto"/>
            <w:noWrap/>
            <w:vAlign w:val="bottom"/>
            <w:hideMark/>
          </w:tcPr>
          <w:p w:rsidR="0055491A" w:rsidRPr="001A71BA" w:rsidRDefault="0055491A" w:rsidP="00210BF6">
            <w:pPr>
              <w:jc w:val="center"/>
              <w:rPr>
                <w:sz w:val="20"/>
                <w:szCs w:val="20"/>
              </w:rPr>
            </w:pPr>
            <w:r>
              <w:rPr>
                <w:sz w:val="20"/>
                <w:szCs w:val="20"/>
              </w:rPr>
              <w:t>1</w:t>
            </w:r>
          </w:p>
        </w:tc>
        <w:tc>
          <w:tcPr>
            <w:tcW w:w="794" w:type="dxa"/>
            <w:tcBorders>
              <w:top w:val="nil"/>
              <w:left w:val="nil"/>
              <w:bottom w:val="single" w:sz="4" w:space="0" w:color="auto"/>
              <w:right w:val="single" w:sz="4" w:space="0" w:color="auto"/>
            </w:tcBorders>
            <w:shd w:val="clear" w:color="auto" w:fill="auto"/>
            <w:noWrap/>
            <w:vAlign w:val="bottom"/>
            <w:hideMark/>
          </w:tcPr>
          <w:p w:rsidR="0055491A" w:rsidRPr="001A71BA" w:rsidRDefault="0055491A" w:rsidP="00210BF6">
            <w:pPr>
              <w:jc w:val="center"/>
              <w:rPr>
                <w:sz w:val="20"/>
                <w:szCs w:val="20"/>
              </w:rPr>
            </w:pPr>
            <w:r>
              <w:rPr>
                <w:sz w:val="20"/>
                <w:szCs w:val="20"/>
              </w:rPr>
              <w:t>71,0</w:t>
            </w:r>
          </w:p>
        </w:tc>
        <w:tc>
          <w:tcPr>
            <w:tcW w:w="793" w:type="dxa"/>
            <w:tcBorders>
              <w:top w:val="nil"/>
              <w:left w:val="nil"/>
              <w:bottom w:val="single" w:sz="4" w:space="0" w:color="auto"/>
              <w:right w:val="single" w:sz="4" w:space="0" w:color="auto"/>
            </w:tcBorders>
            <w:shd w:val="clear" w:color="auto" w:fill="auto"/>
            <w:noWrap/>
            <w:vAlign w:val="bottom"/>
            <w:hideMark/>
          </w:tcPr>
          <w:p w:rsidR="0055491A" w:rsidRPr="001A71BA" w:rsidRDefault="0055491A" w:rsidP="00210BF6">
            <w:pPr>
              <w:jc w:val="center"/>
              <w:rPr>
                <w:sz w:val="20"/>
                <w:szCs w:val="20"/>
              </w:rPr>
            </w:pPr>
            <w:r>
              <w:rPr>
                <w:sz w:val="20"/>
                <w:szCs w:val="20"/>
              </w:rPr>
              <w:t>1</w:t>
            </w:r>
          </w:p>
        </w:tc>
        <w:tc>
          <w:tcPr>
            <w:tcW w:w="794" w:type="dxa"/>
            <w:tcBorders>
              <w:top w:val="nil"/>
              <w:left w:val="nil"/>
              <w:bottom w:val="single" w:sz="4" w:space="0" w:color="auto"/>
              <w:right w:val="single" w:sz="4" w:space="0" w:color="auto"/>
            </w:tcBorders>
            <w:shd w:val="clear" w:color="auto" w:fill="auto"/>
            <w:noWrap/>
            <w:vAlign w:val="bottom"/>
            <w:hideMark/>
          </w:tcPr>
          <w:p w:rsidR="0055491A" w:rsidRPr="001A71BA" w:rsidRDefault="0055491A" w:rsidP="00210BF6">
            <w:pPr>
              <w:jc w:val="center"/>
              <w:rPr>
                <w:sz w:val="20"/>
                <w:szCs w:val="20"/>
              </w:rPr>
            </w:pPr>
            <w:r>
              <w:rPr>
                <w:sz w:val="20"/>
                <w:szCs w:val="20"/>
              </w:rPr>
              <w:t>71,0</w:t>
            </w:r>
          </w:p>
        </w:tc>
        <w:tc>
          <w:tcPr>
            <w:tcW w:w="793" w:type="dxa"/>
            <w:tcBorders>
              <w:top w:val="nil"/>
              <w:left w:val="nil"/>
              <w:bottom w:val="single" w:sz="4" w:space="0" w:color="auto"/>
              <w:right w:val="single" w:sz="4" w:space="0" w:color="auto"/>
            </w:tcBorders>
            <w:shd w:val="clear" w:color="auto" w:fill="auto"/>
            <w:noWrap/>
            <w:vAlign w:val="bottom"/>
            <w:hideMark/>
          </w:tcPr>
          <w:p w:rsidR="0055491A" w:rsidRPr="001A71BA" w:rsidRDefault="0055491A" w:rsidP="00210BF6">
            <w:pPr>
              <w:jc w:val="center"/>
              <w:rPr>
                <w:sz w:val="20"/>
                <w:szCs w:val="20"/>
              </w:rPr>
            </w:pPr>
            <w:r>
              <w:rPr>
                <w:sz w:val="20"/>
                <w:szCs w:val="20"/>
              </w:rPr>
              <w:t>1</w:t>
            </w:r>
          </w:p>
        </w:tc>
        <w:tc>
          <w:tcPr>
            <w:tcW w:w="794" w:type="dxa"/>
            <w:tcBorders>
              <w:top w:val="nil"/>
              <w:left w:val="nil"/>
              <w:bottom w:val="single" w:sz="4" w:space="0" w:color="auto"/>
              <w:right w:val="single" w:sz="4" w:space="0" w:color="auto"/>
            </w:tcBorders>
            <w:shd w:val="clear" w:color="auto" w:fill="auto"/>
            <w:noWrap/>
            <w:vAlign w:val="bottom"/>
            <w:hideMark/>
          </w:tcPr>
          <w:p w:rsidR="0055491A" w:rsidRPr="001A71BA" w:rsidRDefault="0055491A" w:rsidP="00210BF6">
            <w:pPr>
              <w:jc w:val="center"/>
              <w:rPr>
                <w:sz w:val="20"/>
                <w:szCs w:val="20"/>
              </w:rPr>
            </w:pPr>
            <w:r>
              <w:rPr>
                <w:sz w:val="20"/>
                <w:szCs w:val="20"/>
              </w:rPr>
              <w:t>71,0</w:t>
            </w:r>
          </w:p>
        </w:tc>
        <w:tc>
          <w:tcPr>
            <w:tcW w:w="660" w:type="dxa"/>
            <w:tcBorders>
              <w:top w:val="nil"/>
              <w:left w:val="nil"/>
              <w:bottom w:val="single" w:sz="4" w:space="0" w:color="auto"/>
              <w:right w:val="single" w:sz="4" w:space="0" w:color="auto"/>
            </w:tcBorders>
            <w:shd w:val="clear" w:color="auto" w:fill="auto"/>
            <w:noWrap/>
            <w:vAlign w:val="bottom"/>
            <w:hideMark/>
          </w:tcPr>
          <w:p w:rsidR="0055491A" w:rsidRPr="001A71BA" w:rsidRDefault="0055491A" w:rsidP="00210BF6">
            <w:pPr>
              <w:jc w:val="center"/>
              <w:rPr>
                <w:sz w:val="20"/>
                <w:szCs w:val="20"/>
              </w:rPr>
            </w:pPr>
            <w:r>
              <w:rPr>
                <w:sz w:val="20"/>
                <w:szCs w:val="20"/>
              </w:rPr>
              <w:t>1</w:t>
            </w:r>
          </w:p>
        </w:tc>
        <w:tc>
          <w:tcPr>
            <w:tcW w:w="794" w:type="dxa"/>
            <w:tcBorders>
              <w:top w:val="nil"/>
              <w:left w:val="nil"/>
              <w:bottom w:val="single" w:sz="4" w:space="0" w:color="auto"/>
              <w:right w:val="single" w:sz="4" w:space="0" w:color="auto"/>
            </w:tcBorders>
            <w:shd w:val="clear" w:color="auto" w:fill="auto"/>
            <w:noWrap/>
            <w:vAlign w:val="bottom"/>
            <w:hideMark/>
          </w:tcPr>
          <w:p w:rsidR="0055491A" w:rsidRPr="001A71BA" w:rsidRDefault="0055491A" w:rsidP="00210BF6">
            <w:pPr>
              <w:jc w:val="center"/>
              <w:rPr>
                <w:sz w:val="20"/>
                <w:szCs w:val="20"/>
              </w:rPr>
            </w:pPr>
            <w:r>
              <w:rPr>
                <w:sz w:val="20"/>
                <w:szCs w:val="20"/>
              </w:rPr>
              <w:t>71,0</w:t>
            </w:r>
          </w:p>
        </w:tc>
      </w:tr>
      <w:tr w:rsidR="0055491A" w:rsidRPr="007366EE" w:rsidTr="00210BF6">
        <w:trPr>
          <w:trHeight w:val="257"/>
        </w:trPr>
        <w:tc>
          <w:tcPr>
            <w:tcW w:w="926" w:type="dxa"/>
            <w:vMerge/>
            <w:tcBorders>
              <w:left w:val="single" w:sz="4" w:space="0" w:color="auto"/>
              <w:right w:val="single" w:sz="4" w:space="0" w:color="auto"/>
            </w:tcBorders>
            <w:vAlign w:val="center"/>
            <w:hideMark/>
          </w:tcPr>
          <w:p w:rsidR="0055491A" w:rsidRPr="006F2477" w:rsidRDefault="0055491A" w:rsidP="00210BF6">
            <w:pPr>
              <w:rPr>
                <w:sz w:val="16"/>
                <w:szCs w:val="16"/>
              </w:rPr>
            </w:pPr>
          </w:p>
        </w:tc>
        <w:tc>
          <w:tcPr>
            <w:tcW w:w="794" w:type="dxa"/>
            <w:tcBorders>
              <w:top w:val="nil"/>
              <w:left w:val="nil"/>
              <w:bottom w:val="single" w:sz="4" w:space="0" w:color="auto"/>
              <w:right w:val="single" w:sz="4" w:space="0" w:color="auto"/>
            </w:tcBorders>
            <w:shd w:val="clear" w:color="auto" w:fill="auto"/>
            <w:noWrap/>
            <w:vAlign w:val="bottom"/>
            <w:hideMark/>
          </w:tcPr>
          <w:p w:rsidR="0055491A" w:rsidRPr="001A71BA" w:rsidRDefault="0055491A" w:rsidP="00210BF6">
            <w:pPr>
              <w:jc w:val="center"/>
              <w:rPr>
                <w:sz w:val="20"/>
                <w:szCs w:val="20"/>
              </w:rPr>
            </w:pPr>
            <w:r w:rsidRPr="001A71BA">
              <w:rPr>
                <w:sz w:val="20"/>
                <w:szCs w:val="20"/>
              </w:rPr>
              <w:t>75</w:t>
            </w:r>
          </w:p>
        </w:tc>
        <w:tc>
          <w:tcPr>
            <w:tcW w:w="660" w:type="dxa"/>
            <w:tcBorders>
              <w:top w:val="nil"/>
              <w:left w:val="nil"/>
              <w:bottom w:val="single" w:sz="4" w:space="0" w:color="auto"/>
              <w:right w:val="single" w:sz="4" w:space="0" w:color="auto"/>
            </w:tcBorders>
            <w:shd w:val="clear" w:color="auto" w:fill="auto"/>
            <w:noWrap/>
            <w:vAlign w:val="bottom"/>
            <w:hideMark/>
          </w:tcPr>
          <w:p w:rsidR="0055491A" w:rsidRPr="001A71BA" w:rsidRDefault="0055491A" w:rsidP="00210BF6">
            <w:pPr>
              <w:jc w:val="center"/>
              <w:rPr>
                <w:sz w:val="20"/>
                <w:szCs w:val="20"/>
              </w:rPr>
            </w:pPr>
            <w:r w:rsidRPr="001A71BA">
              <w:rPr>
                <w:sz w:val="20"/>
                <w:szCs w:val="20"/>
              </w:rPr>
              <w:t>1</w:t>
            </w:r>
          </w:p>
        </w:tc>
        <w:tc>
          <w:tcPr>
            <w:tcW w:w="661" w:type="dxa"/>
            <w:tcBorders>
              <w:top w:val="nil"/>
              <w:left w:val="nil"/>
              <w:bottom w:val="single" w:sz="4" w:space="0" w:color="auto"/>
              <w:right w:val="single" w:sz="4" w:space="0" w:color="auto"/>
            </w:tcBorders>
            <w:shd w:val="clear" w:color="auto" w:fill="auto"/>
            <w:noWrap/>
            <w:vAlign w:val="bottom"/>
            <w:hideMark/>
          </w:tcPr>
          <w:p w:rsidR="0055491A" w:rsidRPr="001A71BA" w:rsidRDefault="0055491A" w:rsidP="00210BF6">
            <w:pPr>
              <w:jc w:val="center"/>
              <w:rPr>
                <w:sz w:val="20"/>
                <w:szCs w:val="20"/>
              </w:rPr>
            </w:pPr>
            <w:r w:rsidRPr="001A71BA">
              <w:rPr>
                <w:sz w:val="20"/>
                <w:szCs w:val="20"/>
              </w:rPr>
              <w:t>3</w:t>
            </w:r>
          </w:p>
        </w:tc>
        <w:tc>
          <w:tcPr>
            <w:tcW w:w="794" w:type="dxa"/>
            <w:tcBorders>
              <w:top w:val="nil"/>
              <w:left w:val="nil"/>
              <w:bottom w:val="single" w:sz="4" w:space="0" w:color="auto"/>
              <w:right w:val="single" w:sz="4" w:space="0" w:color="auto"/>
            </w:tcBorders>
            <w:shd w:val="clear" w:color="auto" w:fill="auto"/>
            <w:noWrap/>
            <w:vAlign w:val="bottom"/>
            <w:hideMark/>
          </w:tcPr>
          <w:p w:rsidR="0055491A" w:rsidRPr="001A71BA" w:rsidRDefault="0055491A" w:rsidP="00210BF6">
            <w:pPr>
              <w:jc w:val="center"/>
              <w:rPr>
                <w:sz w:val="20"/>
                <w:szCs w:val="20"/>
              </w:rPr>
            </w:pPr>
            <w:r>
              <w:rPr>
                <w:sz w:val="20"/>
                <w:szCs w:val="20"/>
              </w:rPr>
              <w:t>1</w:t>
            </w:r>
          </w:p>
        </w:tc>
        <w:tc>
          <w:tcPr>
            <w:tcW w:w="793" w:type="dxa"/>
            <w:tcBorders>
              <w:top w:val="nil"/>
              <w:left w:val="nil"/>
              <w:bottom w:val="single" w:sz="4" w:space="0" w:color="auto"/>
              <w:right w:val="single" w:sz="4" w:space="0" w:color="auto"/>
            </w:tcBorders>
            <w:shd w:val="clear" w:color="auto" w:fill="auto"/>
            <w:noWrap/>
            <w:vAlign w:val="bottom"/>
            <w:hideMark/>
          </w:tcPr>
          <w:p w:rsidR="0055491A" w:rsidRPr="001A71BA" w:rsidRDefault="0055491A" w:rsidP="00210BF6">
            <w:pPr>
              <w:jc w:val="center"/>
              <w:rPr>
                <w:sz w:val="20"/>
                <w:szCs w:val="20"/>
              </w:rPr>
            </w:pPr>
            <w:r>
              <w:rPr>
                <w:sz w:val="20"/>
                <w:szCs w:val="20"/>
              </w:rPr>
              <w:t>2</w:t>
            </w:r>
          </w:p>
        </w:tc>
        <w:tc>
          <w:tcPr>
            <w:tcW w:w="794" w:type="dxa"/>
            <w:tcBorders>
              <w:top w:val="nil"/>
              <w:left w:val="nil"/>
              <w:bottom w:val="single" w:sz="4" w:space="0" w:color="auto"/>
              <w:right w:val="single" w:sz="4" w:space="0" w:color="auto"/>
            </w:tcBorders>
            <w:shd w:val="clear" w:color="auto" w:fill="auto"/>
            <w:noWrap/>
            <w:vAlign w:val="bottom"/>
            <w:hideMark/>
          </w:tcPr>
          <w:p w:rsidR="0055491A" w:rsidRPr="001A71BA" w:rsidRDefault="0055491A" w:rsidP="00210BF6">
            <w:pPr>
              <w:jc w:val="center"/>
              <w:rPr>
                <w:sz w:val="20"/>
                <w:szCs w:val="20"/>
              </w:rPr>
            </w:pPr>
            <w:r>
              <w:rPr>
                <w:sz w:val="20"/>
                <w:szCs w:val="20"/>
              </w:rPr>
              <w:t>150,0</w:t>
            </w:r>
          </w:p>
        </w:tc>
        <w:tc>
          <w:tcPr>
            <w:tcW w:w="793" w:type="dxa"/>
            <w:tcBorders>
              <w:top w:val="nil"/>
              <w:left w:val="nil"/>
              <w:bottom w:val="single" w:sz="4" w:space="0" w:color="auto"/>
              <w:right w:val="single" w:sz="4" w:space="0" w:color="auto"/>
            </w:tcBorders>
            <w:shd w:val="clear" w:color="auto" w:fill="auto"/>
            <w:noWrap/>
            <w:vAlign w:val="bottom"/>
            <w:hideMark/>
          </w:tcPr>
          <w:p w:rsidR="0055491A" w:rsidRPr="001A71BA" w:rsidRDefault="0055491A" w:rsidP="00210BF6">
            <w:pPr>
              <w:jc w:val="center"/>
              <w:rPr>
                <w:sz w:val="20"/>
                <w:szCs w:val="20"/>
              </w:rPr>
            </w:pPr>
            <w:r>
              <w:rPr>
                <w:sz w:val="20"/>
                <w:szCs w:val="20"/>
              </w:rPr>
              <w:t>2</w:t>
            </w:r>
          </w:p>
        </w:tc>
        <w:tc>
          <w:tcPr>
            <w:tcW w:w="794" w:type="dxa"/>
            <w:tcBorders>
              <w:top w:val="nil"/>
              <w:left w:val="nil"/>
              <w:bottom w:val="single" w:sz="4" w:space="0" w:color="auto"/>
              <w:right w:val="single" w:sz="4" w:space="0" w:color="auto"/>
            </w:tcBorders>
            <w:shd w:val="clear" w:color="auto" w:fill="auto"/>
            <w:noWrap/>
            <w:vAlign w:val="bottom"/>
            <w:hideMark/>
          </w:tcPr>
          <w:p w:rsidR="0055491A" w:rsidRPr="001A71BA" w:rsidRDefault="0055491A" w:rsidP="00210BF6">
            <w:pPr>
              <w:jc w:val="center"/>
              <w:rPr>
                <w:sz w:val="20"/>
                <w:szCs w:val="20"/>
              </w:rPr>
            </w:pPr>
            <w:r>
              <w:rPr>
                <w:sz w:val="20"/>
                <w:szCs w:val="20"/>
              </w:rPr>
              <w:t>150,0</w:t>
            </w:r>
          </w:p>
        </w:tc>
        <w:tc>
          <w:tcPr>
            <w:tcW w:w="793" w:type="dxa"/>
            <w:tcBorders>
              <w:top w:val="nil"/>
              <w:left w:val="nil"/>
              <w:bottom w:val="single" w:sz="4" w:space="0" w:color="auto"/>
              <w:right w:val="single" w:sz="4" w:space="0" w:color="auto"/>
            </w:tcBorders>
            <w:shd w:val="clear" w:color="auto" w:fill="auto"/>
            <w:noWrap/>
            <w:vAlign w:val="bottom"/>
            <w:hideMark/>
          </w:tcPr>
          <w:p w:rsidR="0055491A" w:rsidRPr="001A71BA" w:rsidRDefault="0055491A" w:rsidP="00210BF6">
            <w:pPr>
              <w:jc w:val="center"/>
              <w:rPr>
                <w:sz w:val="20"/>
                <w:szCs w:val="20"/>
              </w:rPr>
            </w:pPr>
            <w:r>
              <w:rPr>
                <w:sz w:val="20"/>
                <w:szCs w:val="20"/>
              </w:rPr>
              <w:t>2</w:t>
            </w:r>
          </w:p>
        </w:tc>
        <w:tc>
          <w:tcPr>
            <w:tcW w:w="794" w:type="dxa"/>
            <w:tcBorders>
              <w:top w:val="nil"/>
              <w:left w:val="nil"/>
              <w:bottom w:val="single" w:sz="4" w:space="0" w:color="auto"/>
              <w:right w:val="single" w:sz="4" w:space="0" w:color="auto"/>
            </w:tcBorders>
            <w:shd w:val="clear" w:color="auto" w:fill="auto"/>
            <w:noWrap/>
            <w:vAlign w:val="bottom"/>
            <w:hideMark/>
          </w:tcPr>
          <w:p w:rsidR="0055491A" w:rsidRPr="001A71BA" w:rsidRDefault="0055491A" w:rsidP="00210BF6">
            <w:pPr>
              <w:jc w:val="center"/>
              <w:rPr>
                <w:sz w:val="20"/>
                <w:szCs w:val="20"/>
              </w:rPr>
            </w:pPr>
            <w:r>
              <w:rPr>
                <w:sz w:val="20"/>
                <w:szCs w:val="20"/>
              </w:rPr>
              <w:t>150,0</w:t>
            </w:r>
          </w:p>
        </w:tc>
        <w:tc>
          <w:tcPr>
            <w:tcW w:w="660" w:type="dxa"/>
            <w:tcBorders>
              <w:top w:val="nil"/>
              <w:left w:val="nil"/>
              <w:bottom w:val="single" w:sz="4" w:space="0" w:color="auto"/>
              <w:right w:val="single" w:sz="4" w:space="0" w:color="auto"/>
            </w:tcBorders>
            <w:shd w:val="clear" w:color="auto" w:fill="auto"/>
            <w:noWrap/>
            <w:vAlign w:val="bottom"/>
            <w:hideMark/>
          </w:tcPr>
          <w:p w:rsidR="0055491A" w:rsidRPr="001A71BA" w:rsidRDefault="0055491A" w:rsidP="00210BF6">
            <w:pPr>
              <w:jc w:val="center"/>
              <w:rPr>
                <w:sz w:val="20"/>
                <w:szCs w:val="20"/>
              </w:rPr>
            </w:pPr>
            <w:r>
              <w:rPr>
                <w:sz w:val="20"/>
                <w:szCs w:val="20"/>
              </w:rPr>
              <w:t>2</w:t>
            </w:r>
          </w:p>
        </w:tc>
        <w:tc>
          <w:tcPr>
            <w:tcW w:w="794" w:type="dxa"/>
            <w:tcBorders>
              <w:top w:val="nil"/>
              <w:left w:val="nil"/>
              <w:bottom w:val="single" w:sz="4" w:space="0" w:color="auto"/>
              <w:right w:val="single" w:sz="4" w:space="0" w:color="auto"/>
            </w:tcBorders>
            <w:shd w:val="clear" w:color="auto" w:fill="auto"/>
            <w:noWrap/>
            <w:vAlign w:val="bottom"/>
            <w:hideMark/>
          </w:tcPr>
          <w:p w:rsidR="0055491A" w:rsidRPr="001A71BA" w:rsidRDefault="0055491A" w:rsidP="00210BF6">
            <w:pPr>
              <w:jc w:val="center"/>
              <w:rPr>
                <w:sz w:val="20"/>
                <w:szCs w:val="20"/>
              </w:rPr>
            </w:pPr>
            <w:r>
              <w:rPr>
                <w:sz w:val="20"/>
                <w:szCs w:val="20"/>
              </w:rPr>
              <w:t>150,0</w:t>
            </w:r>
          </w:p>
        </w:tc>
      </w:tr>
      <w:tr w:rsidR="0055491A" w:rsidRPr="007366EE" w:rsidTr="00210BF6">
        <w:trPr>
          <w:trHeight w:val="257"/>
        </w:trPr>
        <w:tc>
          <w:tcPr>
            <w:tcW w:w="926" w:type="dxa"/>
            <w:vMerge/>
            <w:tcBorders>
              <w:left w:val="single" w:sz="4" w:space="0" w:color="auto"/>
              <w:right w:val="single" w:sz="4" w:space="0" w:color="auto"/>
            </w:tcBorders>
            <w:vAlign w:val="center"/>
            <w:hideMark/>
          </w:tcPr>
          <w:p w:rsidR="0055491A" w:rsidRPr="006F2477" w:rsidRDefault="0055491A" w:rsidP="00210BF6">
            <w:pPr>
              <w:rPr>
                <w:sz w:val="16"/>
                <w:szCs w:val="16"/>
              </w:rPr>
            </w:pPr>
          </w:p>
        </w:tc>
        <w:tc>
          <w:tcPr>
            <w:tcW w:w="794" w:type="dxa"/>
            <w:tcBorders>
              <w:top w:val="nil"/>
              <w:left w:val="nil"/>
              <w:bottom w:val="single" w:sz="4" w:space="0" w:color="auto"/>
              <w:right w:val="single" w:sz="4" w:space="0" w:color="auto"/>
            </w:tcBorders>
            <w:shd w:val="clear" w:color="auto" w:fill="auto"/>
            <w:noWrap/>
            <w:vAlign w:val="bottom"/>
            <w:hideMark/>
          </w:tcPr>
          <w:p w:rsidR="0055491A" w:rsidRPr="001A71BA" w:rsidRDefault="0055491A" w:rsidP="00210BF6">
            <w:pPr>
              <w:jc w:val="center"/>
              <w:rPr>
                <w:sz w:val="20"/>
                <w:szCs w:val="20"/>
              </w:rPr>
            </w:pPr>
            <w:r w:rsidRPr="001A71BA">
              <w:rPr>
                <w:sz w:val="20"/>
                <w:szCs w:val="20"/>
              </w:rPr>
              <w:t>76</w:t>
            </w:r>
          </w:p>
        </w:tc>
        <w:tc>
          <w:tcPr>
            <w:tcW w:w="660" w:type="dxa"/>
            <w:tcBorders>
              <w:top w:val="nil"/>
              <w:left w:val="nil"/>
              <w:bottom w:val="single" w:sz="4" w:space="0" w:color="auto"/>
              <w:right w:val="single" w:sz="4" w:space="0" w:color="auto"/>
            </w:tcBorders>
            <w:shd w:val="clear" w:color="auto" w:fill="auto"/>
            <w:noWrap/>
            <w:vAlign w:val="bottom"/>
            <w:hideMark/>
          </w:tcPr>
          <w:p w:rsidR="0055491A" w:rsidRPr="001A71BA" w:rsidRDefault="0055491A" w:rsidP="00210BF6">
            <w:pPr>
              <w:jc w:val="center"/>
              <w:rPr>
                <w:sz w:val="20"/>
                <w:szCs w:val="20"/>
              </w:rPr>
            </w:pPr>
            <w:r w:rsidRPr="001A71BA">
              <w:rPr>
                <w:sz w:val="20"/>
                <w:szCs w:val="20"/>
              </w:rPr>
              <w:t>0</w:t>
            </w:r>
          </w:p>
        </w:tc>
        <w:tc>
          <w:tcPr>
            <w:tcW w:w="661" w:type="dxa"/>
            <w:tcBorders>
              <w:top w:val="nil"/>
              <w:left w:val="nil"/>
              <w:bottom w:val="single" w:sz="4" w:space="0" w:color="auto"/>
              <w:right w:val="single" w:sz="4" w:space="0" w:color="auto"/>
            </w:tcBorders>
            <w:shd w:val="clear" w:color="auto" w:fill="auto"/>
            <w:noWrap/>
            <w:vAlign w:val="bottom"/>
            <w:hideMark/>
          </w:tcPr>
          <w:p w:rsidR="0055491A" w:rsidRPr="001A71BA" w:rsidRDefault="0055491A" w:rsidP="00210BF6">
            <w:pPr>
              <w:jc w:val="center"/>
              <w:rPr>
                <w:sz w:val="20"/>
                <w:szCs w:val="20"/>
              </w:rPr>
            </w:pPr>
            <w:r w:rsidRPr="001A71BA">
              <w:rPr>
                <w:sz w:val="20"/>
                <w:szCs w:val="20"/>
              </w:rPr>
              <w:t>1</w:t>
            </w:r>
          </w:p>
        </w:tc>
        <w:tc>
          <w:tcPr>
            <w:tcW w:w="794" w:type="dxa"/>
            <w:tcBorders>
              <w:top w:val="nil"/>
              <w:left w:val="nil"/>
              <w:bottom w:val="single" w:sz="4" w:space="0" w:color="auto"/>
              <w:right w:val="single" w:sz="4" w:space="0" w:color="auto"/>
            </w:tcBorders>
            <w:shd w:val="clear" w:color="auto" w:fill="auto"/>
            <w:noWrap/>
            <w:vAlign w:val="bottom"/>
            <w:hideMark/>
          </w:tcPr>
          <w:p w:rsidR="0055491A" w:rsidRPr="001A71BA" w:rsidRDefault="0055491A" w:rsidP="00210BF6">
            <w:pPr>
              <w:jc w:val="center"/>
              <w:rPr>
                <w:sz w:val="20"/>
                <w:szCs w:val="20"/>
              </w:rPr>
            </w:pPr>
            <w:r>
              <w:rPr>
                <w:sz w:val="20"/>
                <w:szCs w:val="20"/>
              </w:rPr>
              <w:t>0</w:t>
            </w:r>
          </w:p>
        </w:tc>
        <w:tc>
          <w:tcPr>
            <w:tcW w:w="793" w:type="dxa"/>
            <w:tcBorders>
              <w:top w:val="nil"/>
              <w:left w:val="nil"/>
              <w:bottom w:val="single" w:sz="4" w:space="0" w:color="auto"/>
              <w:right w:val="single" w:sz="4" w:space="0" w:color="auto"/>
            </w:tcBorders>
            <w:shd w:val="clear" w:color="auto" w:fill="auto"/>
            <w:noWrap/>
            <w:vAlign w:val="bottom"/>
            <w:hideMark/>
          </w:tcPr>
          <w:p w:rsidR="0055491A" w:rsidRPr="001A71BA" w:rsidRDefault="0055491A" w:rsidP="00210BF6">
            <w:pPr>
              <w:jc w:val="center"/>
              <w:rPr>
                <w:sz w:val="20"/>
                <w:szCs w:val="20"/>
              </w:rPr>
            </w:pPr>
            <w:r>
              <w:rPr>
                <w:sz w:val="20"/>
                <w:szCs w:val="20"/>
              </w:rPr>
              <w:t>1</w:t>
            </w:r>
          </w:p>
        </w:tc>
        <w:tc>
          <w:tcPr>
            <w:tcW w:w="794" w:type="dxa"/>
            <w:tcBorders>
              <w:top w:val="nil"/>
              <w:left w:val="nil"/>
              <w:bottom w:val="single" w:sz="4" w:space="0" w:color="auto"/>
              <w:right w:val="single" w:sz="4" w:space="0" w:color="auto"/>
            </w:tcBorders>
            <w:shd w:val="clear" w:color="auto" w:fill="auto"/>
            <w:noWrap/>
            <w:vAlign w:val="bottom"/>
            <w:hideMark/>
          </w:tcPr>
          <w:p w:rsidR="0055491A" w:rsidRPr="001A71BA" w:rsidRDefault="0055491A" w:rsidP="00210BF6">
            <w:pPr>
              <w:jc w:val="center"/>
              <w:rPr>
                <w:sz w:val="20"/>
                <w:szCs w:val="20"/>
              </w:rPr>
            </w:pPr>
            <w:r>
              <w:rPr>
                <w:sz w:val="20"/>
                <w:szCs w:val="20"/>
              </w:rPr>
              <w:t>76,0</w:t>
            </w:r>
          </w:p>
        </w:tc>
        <w:tc>
          <w:tcPr>
            <w:tcW w:w="793" w:type="dxa"/>
            <w:tcBorders>
              <w:top w:val="nil"/>
              <w:left w:val="nil"/>
              <w:bottom w:val="single" w:sz="4" w:space="0" w:color="auto"/>
              <w:right w:val="single" w:sz="4" w:space="0" w:color="auto"/>
            </w:tcBorders>
            <w:shd w:val="clear" w:color="auto" w:fill="auto"/>
            <w:noWrap/>
            <w:vAlign w:val="bottom"/>
            <w:hideMark/>
          </w:tcPr>
          <w:p w:rsidR="0055491A" w:rsidRPr="001A71BA" w:rsidRDefault="0055491A" w:rsidP="00210BF6">
            <w:pPr>
              <w:jc w:val="center"/>
              <w:rPr>
                <w:sz w:val="20"/>
                <w:szCs w:val="20"/>
              </w:rPr>
            </w:pPr>
            <w:r>
              <w:rPr>
                <w:sz w:val="20"/>
                <w:szCs w:val="20"/>
              </w:rPr>
              <w:t>1</w:t>
            </w:r>
          </w:p>
        </w:tc>
        <w:tc>
          <w:tcPr>
            <w:tcW w:w="794" w:type="dxa"/>
            <w:tcBorders>
              <w:top w:val="nil"/>
              <w:left w:val="nil"/>
              <w:bottom w:val="single" w:sz="4" w:space="0" w:color="auto"/>
              <w:right w:val="single" w:sz="4" w:space="0" w:color="auto"/>
            </w:tcBorders>
            <w:shd w:val="clear" w:color="auto" w:fill="auto"/>
            <w:noWrap/>
            <w:vAlign w:val="bottom"/>
            <w:hideMark/>
          </w:tcPr>
          <w:p w:rsidR="0055491A" w:rsidRPr="001A71BA" w:rsidRDefault="0055491A" w:rsidP="00210BF6">
            <w:pPr>
              <w:jc w:val="center"/>
              <w:rPr>
                <w:sz w:val="20"/>
                <w:szCs w:val="20"/>
              </w:rPr>
            </w:pPr>
            <w:r>
              <w:rPr>
                <w:sz w:val="20"/>
                <w:szCs w:val="20"/>
              </w:rPr>
              <w:t>76,0</w:t>
            </w:r>
          </w:p>
        </w:tc>
        <w:tc>
          <w:tcPr>
            <w:tcW w:w="793" w:type="dxa"/>
            <w:tcBorders>
              <w:top w:val="nil"/>
              <w:left w:val="nil"/>
              <w:bottom w:val="single" w:sz="4" w:space="0" w:color="auto"/>
              <w:right w:val="single" w:sz="4" w:space="0" w:color="auto"/>
            </w:tcBorders>
            <w:shd w:val="clear" w:color="auto" w:fill="auto"/>
            <w:noWrap/>
            <w:vAlign w:val="bottom"/>
            <w:hideMark/>
          </w:tcPr>
          <w:p w:rsidR="0055491A" w:rsidRPr="001A71BA" w:rsidRDefault="0055491A" w:rsidP="00210BF6">
            <w:pPr>
              <w:jc w:val="center"/>
              <w:rPr>
                <w:sz w:val="20"/>
                <w:szCs w:val="20"/>
              </w:rPr>
            </w:pPr>
            <w:r>
              <w:rPr>
                <w:sz w:val="20"/>
                <w:szCs w:val="20"/>
              </w:rPr>
              <w:t>1</w:t>
            </w:r>
          </w:p>
        </w:tc>
        <w:tc>
          <w:tcPr>
            <w:tcW w:w="794" w:type="dxa"/>
            <w:tcBorders>
              <w:top w:val="nil"/>
              <w:left w:val="nil"/>
              <w:bottom w:val="single" w:sz="4" w:space="0" w:color="auto"/>
              <w:right w:val="single" w:sz="4" w:space="0" w:color="auto"/>
            </w:tcBorders>
            <w:shd w:val="clear" w:color="auto" w:fill="auto"/>
            <w:noWrap/>
            <w:vAlign w:val="bottom"/>
            <w:hideMark/>
          </w:tcPr>
          <w:p w:rsidR="0055491A" w:rsidRPr="001A71BA" w:rsidRDefault="0055491A" w:rsidP="00210BF6">
            <w:pPr>
              <w:jc w:val="center"/>
              <w:rPr>
                <w:sz w:val="20"/>
                <w:szCs w:val="20"/>
              </w:rPr>
            </w:pPr>
            <w:r>
              <w:rPr>
                <w:sz w:val="20"/>
                <w:szCs w:val="20"/>
              </w:rPr>
              <w:t>76,0</w:t>
            </w:r>
          </w:p>
        </w:tc>
        <w:tc>
          <w:tcPr>
            <w:tcW w:w="660" w:type="dxa"/>
            <w:tcBorders>
              <w:top w:val="nil"/>
              <w:left w:val="nil"/>
              <w:bottom w:val="single" w:sz="4" w:space="0" w:color="auto"/>
              <w:right w:val="single" w:sz="4" w:space="0" w:color="auto"/>
            </w:tcBorders>
            <w:shd w:val="clear" w:color="auto" w:fill="auto"/>
            <w:noWrap/>
            <w:vAlign w:val="bottom"/>
            <w:hideMark/>
          </w:tcPr>
          <w:p w:rsidR="0055491A" w:rsidRPr="001A71BA" w:rsidRDefault="0055491A" w:rsidP="00210BF6">
            <w:pPr>
              <w:jc w:val="center"/>
              <w:rPr>
                <w:sz w:val="20"/>
                <w:szCs w:val="20"/>
              </w:rPr>
            </w:pPr>
            <w:r>
              <w:rPr>
                <w:sz w:val="20"/>
                <w:szCs w:val="20"/>
              </w:rPr>
              <w:t>1</w:t>
            </w:r>
          </w:p>
        </w:tc>
        <w:tc>
          <w:tcPr>
            <w:tcW w:w="794" w:type="dxa"/>
            <w:tcBorders>
              <w:top w:val="nil"/>
              <w:left w:val="nil"/>
              <w:bottom w:val="single" w:sz="4" w:space="0" w:color="auto"/>
              <w:right w:val="single" w:sz="4" w:space="0" w:color="auto"/>
            </w:tcBorders>
            <w:shd w:val="clear" w:color="auto" w:fill="auto"/>
            <w:noWrap/>
            <w:vAlign w:val="bottom"/>
            <w:hideMark/>
          </w:tcPr>
          <w:p w:rsidR="0055491A" w:rsidRPr="001A71BA" w:rsidRDefault="0055491A" w:rsidP="00210BF6">
            <w:pPr>
              <w:jc w:val="center"/>
              <w:rPr>
                <w:sz w:val="20"/>
                <w:szCs w:val="20"/>
              </w:rPr>
            </w:pPr>
            <w:r>
              <w:rPr>
                <w:sz w:val="20"/>
                <w:szCs w:val="20"/>
              </w:rPr>
              <w:t>76,0</w:t>
            </w:r>
          </w:p>
        </w:tc>
      </w:tr>
      <w:tr w:rsidR="0055491A" w:rsidRPr="007366EE" w:rsidTr="00210BF6">
        <w:trPr>
          <w:trHeight w:val="257"/>
        </w:trPr>
        <w:tc>
          <w:tcPr>
            <w:tcW w:w="926" w:type="dxa"/>
            <w:vMerge/>
            <w:tcBorders>
              <w:left w:val="single" w:sz="4" w:space="0" w:color="auto"/>
              <w:right w:val="single" w:sz="4" w:space="0" w:color="auto"/>
            </w:tcBorders>
            <w:vAlign w:val="center"/>
            <w:hideMark/>
          </w:tcPr>
          <w:p w:rsidR="0055491A" w:rsidRPr="006F2477" w:rsidRDefault="0055491A" w:rsidP="00210BF6">
            <w:pPr>
              <w:rPr>
                <w:sz w:val="16"/>
                <w:szCs w:val="16"/>
              </w:rPr>
            </w:pPr>
          </w:p>
        </w:tc>
        <w:tc>
          <w:tcPr>
            <w:tcW w:w="794" w:type="dxa"/>
            <w:tcBorders>
              <w:top w:val="nil"/>
              <w:left w:val="nil"/>
              <w:bottom w:val="single" w:sz="4" w:space="0" w:color="auto"/>
              <w:right w:val="single" w:sz="4" w:space="0" w:color="auto"/>
            </w:tcBorders>
            <w:shd w:val="clear" w:color="auto" w:fill="auto"/>
            <w:noWrap/>
            <w:vAlign w:val="bottom"/>
            <w:hideMark/>
          </w:tcPr>
          <w:p w:rsidR="0055491A" w:rsidRPr="001A71BA" w:rsidRDefault="0055491A" w:rsidP="00210BF6">
            <w:pPr>
              <w:jc w:val="center"/>
              <w:rPr>
                <w:sz w:val="20"/>
                <w:szCs w:val="20"/>
              </w:rPr>
            </w:pPr>
            <w:r w:rsidRPr="001A71BA">
              <w:rPr>
                <w:sz w:val="20"/>
                <w:szCs w:val="20"/>
              </w:rPr>
              <w:t>80</w:t>
            </w:r>
          </w:p>
        </w:tc>
        <w:tc>
          <w:tcPr>
            <w:tcW w:w="660" w:type="dxa"/>
            <w:tcBorders>
              <w:top w:val="nil"/>
              <w:left w:val="nil"/>
              <w:bottom w:val="single" w:sz="4" w:space="0" w:color="auto"/>
              <w:right w:val="single" w:sz="4" w:space="0" w:color="auto"/>
            </w:tcBorders>
            <w:shd w:val="clear" w:color="auto" w:fill="auto"/>
            <w:noWrap/>
            <w:vAlign w:val="bottom"/>
            <w:hideMark/>
          </w:tcPr>
          <w:p w:rsidR="0055491A" w:rsidRPr="001A71BA" w:rsidRDefault="0055491A" w:rsidP="00210BF6">
            <w:pPr>
              <w:jc w:val="center"/>
              <w:rPr>
                <w:sz w:val="20"/>
                <w:szCs w:val="20"/>
              </w:rPr>
            </w:pPr>
            <w:r w:rsidRPr="001A71BA">
              <w:rPr>
                <w:sz w:val="20"/>
                <w:szCs w:val="20"/>
              </w:rPr>
              <w:t>0</w:t>
            </w:r>
          </w:p>
        </w:tc>
        <w:tc>
          <w:tcPr>
            <w:tcW w:w="661" w:type="dxa"/>
            <w:tcBorders>
              <w:top w:val="nil"/>
              <w:left w:val="nil"/>
              <w:bottom w:val="single" w:sz="4" w:space="0" w:color="auto"/>
              <w:right w:val="single" w:sz="4" w:space="0" w:color="auto"/>
            </w:tcBorders>
            <w:shd w:val="clear" w:color="auto" w:fill="auto"/>
            <w:noWrap/>
            <w:vAlign w:val="bottom"/>
            <w:hideMark/>
          </w:tcPr>
          <w:p w:rsidR="0055491A" w:rsidRPr="001A71BA" w:rsidRDefault="0055491A" w:rsidP="00210BF6">
            <w:pPr>
              <w:jc w:val="center"/>
              <w:rPr>
                <w:sz w:val="20"/>
                <w:szCs w:val="20"/>
              </w:rPr>
            </w:pPr>
            <w:r w:rsidRPr="001A71BA">
              <w:rPr>
                <w:sz w:val="20"/>
                <w:szCs w:val="20"/>
              </w:rPr>
              <w:t>1</w:t>
            </w:r>
          </w:p>
        </w:tc>
        <w:tc>
          <w:tcPr>
            <w:tcW w:w="794" w:type="dxa"/>
            <w:tcBorders>
              <w:top w:val="nil"/>
              <w:left w:val="nil"/>
              <w:bottom w:val="single" w:sz="4" w:space="0" w:color="auto"/>
              <w:right w:val="single" w:sz="4" w:space="0" w:color="auto"/>
            </w:tcBorders>
            <w:shd w:val="clear" w:color="auto" w:fill="auto"/>
            <w:noWrap/>
            <w:vAlign w:val="bottom"/>
            <w:hideMark/>
          </w:tcPr>
          <w:p w:rsidR="0055491A" w:rsidRPr="001A71BA" w:rsidRDefault="0055491A" w:rsidP="00210BF6">
            <w:pPr>
              <w:jc w:val="center"/>
              <w:rPr>
                <w:sz w:val="20"/>
                <w:szCs w:val="20"/>
              </w:rPr>
            </w:pPr>
            <w:r>
              <w:rPr>
                <w:sz w:val="20"/>
                <w:szCs w:val="20"/>
              </w:rPr>
              <w:t>0</w:t>
            </w:r>
          </w:p>
        </w:tc>
        <w:tc>
          <w:tcPr>
            <w:tcW w:w="793" w:type="dxa"/>
            <w:tcBorders>
              <w:top w:val="nil"/>
              <w:left w:val="nil"/>
              <w:bottom w:val="single" w:sz="4" w:space="0" w:color="auto"/>
              <w:right w:val="single" w:sz="4" w:space="0" w:color="auto"/>
            </w:tcBorders>
            <w:shd w:val="clear" w:color="auto" w:fill="auto"/>
            <w:noWrap/>
            <w:vAlign w:val="bottom"/>
            <w:hideMark/>
          </w:tcPr>
          <w:p w:rsidR="0055491A" w:rsidRPr="001A71BA" w:rsidRDefault="0055491A" w:rsidP="00210BF6">
            <w:pPr>
              <w:jc w:val="center"/>
              <w:rPr>
                <w:sz w:val="20"/>
                <w:szCs w:val="20"/>
              </w:rPr>
            </w:pPr>
            <w:r>
              <w:rPr>
                <w:sz w:val="20"/>
                <w:szCs w:val="20"/>
              </w:rPr>
              <w:t>1</w:t>
            </w:r>
          </w:p>
        </w:tc>
        <w:tc>
          <w:tcPr>
            <w:tcW w:w="794" w:type="dxa"/>
            <w:tcBorders>
              <w:top w:val="nil"/>
              <w:left w:val="nil"/>
              <w:bottom w:val="single" w:sz="4" w:space="0" w:color="auto"/>
              <w:right w:val="single" w:sz="4" w:space="0" w:color="auto"/>
            </w:tcBorders>
            <w:shd w:val="clear" w:color="auto" w:fill="auto"/>
            <w:noWrap/>
            <w:vAlign w:val="bottom"/>
            <w:hideMark/>
          </w:tcPr>
          <w:p w:rsidR="0055491A" w:rsidRPr="001A71BA" w:rsidRDefault="0055491A" w:rsidP="00210BF6">
            <w:pPr>
              <w:jc w:val="center"/>
              <w:rPr>
                <w:sz w:val="20"/>
                <w:szCs w:val="20"/>
              </w:rPr>
            </w:pPr>
            <w:r>
              <w:rPr>
                <w:sz w:val="20"/>
                <w:szCs w:val="20"/>
              </w:rPr>
              <w:t>80,0</w:t>
            </w:r>
          </w:p>
        </w:tc>
        <w:tc>
          <w:tcPr>
            <w:tcW w:w="793" w:type="dxa"/>
            <w:tcBorders>
              <w:top w:val="nil"/>
              <w:left w:val="nil"/>
              <w:bottom w:val="single" w:sz="4" w:space="0" w:color="auto"/>
              <w:right w:val="single" w:sz="4" w:space="0" w:color="auto"/>
            </w:tcBorders>
            <w:shd w:val="clear" w:color="auto" w:fill="auto"/>
            <w:noWrap/>
            <w:vAlign w:val="bottom"/>
            <w:hideMark/>
          </w:tcPr>
          <w:p w:rsidR="0055491A" w:rsidRPr="001A71BA" w:rsidRDefault="0055491A" w:rsidP="00210BF6">
            <w:pPr>
              <w:jc w:val="center"/>
              <w:rPr>
                <w:sz w:val="20"/>
                <w:szCs w:val="20"/>
              </w:rPr>
            </w:pPr>
            <w:r>
              <w:rPr>
                <w:sz w:val="20"/>
                <w:szCs w:val="20"/>
              </w:rPr>
              <w:t>1</w:t>
            </w:r>
          </w:p>
        </w:tc>
        <w:tc>
          <w:tcPr>
            <w:tcW w:w="794" w:type="dxa"/>
            <w:tcBorders>
              <w:top w:val="nil"/>
              <w:left w:val="nil"/>
              <w:bottom w:val="single" w:sz="4" w:space="0" w:color="auto"/>
              <w:right w:val="single" w:sz="4" w:space="0" w:color="auto"/>
            </w:tcBorders>
            <w:shd w:val="clear" w:color="auto" w:fill="auto"/>
            <w:noWrap/>
            <w:vAlign w:val="bottom"/>
            <w:hideMark/>
          </w:tcPr>
          <w:p w:rsidR="0055491A" w:rsidRPr="001A71BA" w:rsidRDefault="0055491A" w:rsidP="00210BF6">
            <w:pPr>
              <w:jc w:val="center"/>
              <w:rPr>
                <w:sz w:val="20"/>
                <w:szCs w:val="20"/>
              </w:rPr>
            </w:pPr>
            <w:r>
              <w:rPr>
                <w:sz w:val="20"/>
                <w:szCs w:val="20"/>
              </w:rPr>
              <w:t>80,0</w:t>
            </w:r>
          </w:p>
        </w:tc>
        <w:tc>
          <w:tcPr>
            <w:tcW w:w="793" w:type="dxa"/>
            <w:tcBorders>
              <w:top w:val="nil"/>
              <w:left w:val="nil"/>
              <w:bottom w:val="single" w:sz="4" w:space="0" w:color="auto"/>
              <w:right w:val="single" w:sz="4" w:space="0" w:color="auto"/>
            </w:tcBorders>
            <w:shd w:val="clear" w:color="auto" w:fill="auto"/>
            <w:noWrap/>
            <w:vAlign w:val="bottom"/>
            <w:hideMark/>
          </w:tcPr>
          <w:p w:rsidR="0055491A" w:rsidRPr="001A71BA" w:rsidRDefault="0055491A" w:rsidP="00210BF6">
            <w:pPr>
              <w:jc w:val="center"/>
              <w:rPr>
                <w:sz w:val="20"/>
                <w:szCs w:val="20"/>
              </w:rPr>
            </w:pPr>
            <w:r>
              <w:rPr>
                <w:sz w:val="20"/>
                <w:szCs w:val="20"/>
              </w:rPr>
              <w:t>1</w:t>
            </w:r>
          </w:p>
        </w:tc>
        <w:tc>
          <w:tcPr>
            <w:tcW w:w="794" w:type="dxa"/>
            <w:tcBorders>
              <w:top w:val="nil"/>
              <w:left w:val="nil"/>
              <w:bottom w:val="single" w:sz="4" w:space="0" w:color="auto"/>
              <w:right w:val="single" w:sz="4" w:space="0" w:color="auto"/>
            </w:tcBorders>
            <w:shd w:val="clear" w:color="auto" w:fill="auto"/>
            <w:noWrap/>
            <w:vAlign w:val="bottom"/>
            <w:hideMark/>
          </w:tcPr>
          <w:p w:rsidR="0055491A" w:rsidRPr="001A71BA" w:rsidRDefault="0055491A" w:rsidP="00210BF6">
            <w:pPr>
              <w:jc w:val="center"/>
              <w:rPr>
                <w:sz w:val="20"/>
                <w:szCs w:val="20"/>
              </w:rPr>
            </w:pPr>
            <w:r>
              <w:rPr>
                <w:sz w:val="20"/>
                <w:szCs w:val="20"/>
              </w:rPr>
              <w:t>80,0</w:t>
            </w:r>
          </w:p>
        </w:tc>
        <w:tc>
          <w:tcPr>
            <w:tcW w:w="660" w:type="dxa"/>
            <w:tcBorders>
              <w:top w:val="nil"/>
              <w:left w:val="nil"/>
              <w:bottom w:val="single" w:sz="4" w:space="0" w:color="auto"/>
              <w:right w:val="single" w:sz="4" w:space="0" w:color="auto"/>
            </w:tcBorders>
            <w:shd w:val="clear" w:color="auto" w:fill="auto"/>
            <w:noWrap/>
            <w:vAlign w:val="bottom"/>
            <w:hideMark/>
          </w:tcPr>
          <w:p w:rsidR="0055491A" w:rsidRPr="001A71BA" w:rsidRDefault="0055491A" w:rsidP="00210BF6">
            <w:pPr>
              <w:jc w:val="center"/>
              <w:rPr>
                <w:sz w:val="20"/>
                <w:szCs w:val="20"/>
              </w:rPr>
            </w:pPr>
            <w:r>
              <w:rPr>
                <w:sz w:val="20"/>
                <w:szCs w:val="20"/>
              </w:rPr>
              <w:t>1</w:t>
            </w:r>
          </w:p>
        </w:tc>
        <w:tc>
          <w:tcPr>
            <w:tcW w:w="794" w:type="dxa"/>
            <w:tcBorders>
              <w:top w:val="nil"/>
              <w:left w:val="nil"/>
              <w:bottom w:val="single" w:sz="4" w:space="0" w:color="auto"/>
              <w:right w:val="single" w:sz="4" w:space="0" w:color="auto"/>
            </w:tcBorders>
            <w:shd w:val="clear" w:color="auto" w:fill="auto"/>
            <w:noWrap/>
            <w:vAlign w:val="bottom"/>
            <w:hideMark/>
          </w:tcPr>
          <w:p w:rsidR="0055491A" w:rsidRPr="001A71BA" w:rsidRDefault="0055491A" w:rsidP="00210BF6">
            <w:pPr>
              <w:jc w:val="center"/>
              <w:rPr>
                <w:sz w:val="20"/>
                <w:szCs w:val="20"/>
              </w:rPr>
            </w:pPr>
            <w:r>
              <w:rPr>
                <w:sz w:val="20"/>
                <w:szCs w:val="20"/>
              </w:rPr>
              <w:t>80,0</w:t>
            </w:r>
          </w:p>
        </w:tc>
      </w:tr>
      <w:tr w:rsidR="0055491A" w:rsidRPr="007366EE" w:rsidTr="00210BF6">
        <w:trPr>
          <w:trHeight w:val="257"/>
        </w:trPr>
        <w:tc>
          <w:tcPr>
            <w:tcW w:w="926" w:type="dxa"/>
            <w:vMerge/>
            <w:tcBorders>
              <w:left w:val="single" w:sz="4" w:space="0" w:color="auto"/>
              <w:right w:val="single" w:sz="4" w:space="0" w:color="auto"/>
            </w:tcBorders>
            <w:vAlign w:val="center"/>
            <w:hideMark/>
          </w:tcPr>
          <w:p w:rsidR="0055491A" w:rsidRPr="006F2477" w:rsidRDefault="0055491A" w:rsidP="00210BF6">
            <w:pPr>
              <w:rPr>
                <w:sz w:val="16"/>
                <w:szCs w:val="16"/>
              </w:rPr>
            </w:pPr>
          </w:p>
        </w:tc>
        <w:tc>
          <w:tcPr>
            <w:tcW w:w="794" w:type="dxa"/>
            <w:tcBorders>
              <w:top w:val="nil"/>
              <w:left w:val="nil"/>
              <w:bottom w:val="single" w:sz="4" w:space="0" w:color="auto"/>
              <w:right w:val="single" w:sz="4" w:space="0" w:color="auto"/>
            </w:tcBorders>
            <w:shd w:val="clear" w:color="auto" w:fill="auto"/>
            <w:noWrap/>
            <w:vAlign w:val="bottom"/>
            <w:hideMark/>
          </w:tcPr>
          <w:p w:rsidR="0055491A" w:rsidRPr="001A71BA" w:rsidRDefault="0055491A" w:rsidP="00210BF6">
            <w:pPr>
              <w:jc w:val="center"/>
              <w:rPr>
                <w:sz w:val="20"/>
                <w:szCs w:val="20"/>
              </w:rPr>
            </w:pPr>
            <w:r w:rsidRPr="001A71BA">
              <w:rPr>
                <w:sz w:val="20"/>
                <w:szCs w:val="20"/>
              </w:rPr>
              <w:t>90</w:t>
            </w:r>
          </w:p>
        </w:tc>
        <w:tc>
          <w:tcPr>
            <w:tcW w:w="660" w:type="dxa"/>
            <w:tcBorders>
              <w:top w:val="nil"/>
              <w:left w:val="nil"/>
              <w:bottom w:val="single" w:sz="4" w:space="0" w:color="auto"/>
              <w:right w:val="single" w:sz="4" w:space="0" w:color="auto"/>
            </w:tcBorders>
            <w:shd w:val="clear" w:color="auto" w:fill="auto"/>
            <w:noWrap/>
            <w:vAlign w:val="bottom"/>
            <w:hideMark/>
          </w:tcPr>
          <w:p w:rsidR="0055491A" w:rsidRPr="001A71BA" w:rsidRDefault="0055491A" w:rsidP="00210BF6">
            <w:pPr>
              <w:jc w:val="center"/>
              <w:rPr>
                <w:sz w:val="20"/>
                <w:szCs w:val="20"/>
              </w:rPr>
            </w:pPr>
            <w:r w:rsidRPr="001A71BA">
              <w:rPr>
                <w:sz w:val="20"/>
                <w:szCs w:val="20"/>
              </w:rPr>
              <w:t>0</w:t>
            </w:r>
          </w:p>
        </w:tc>
        <w:tc>
          <w:tcPr>
            <w:tcW w:w="661" w:type="dxa"/>
            <w:tcBorders>
              <w:top w:val="nil"/>
              <w:left w:val="nil"/>
              <w:bottom w:val="single" w:sz="4" w:space="0" w:color="auto"/>
              <w:right w:val="single" w:sz="4" w:space="0" w:color="auto"/>
            </w:tcBorders>
            <w:shd w:val="clear" w:color="auto" w:fill="auto"/>
            <w:noWrap/>
            <w:vAlign w:val="bottom"/>
            <w:hideMark/>
          </w:tcPr>
          <w:p w:rsidR="0055491A" w:rsidRPr="001A71BA" w:rsidRDefault="0055491A" w:rsidP="00210BF6">
            <w:pPr>
              <w:jc w:val="center"/>
              <w:rPr>
                <w:sz w:val="20"/>
                <w:szCs w:val="20"/>
              </w:rPr>
            </w:pPr>
            <w:r w:rsidRPr="001A71BA">
              <w:rPr>
                <w:sz w:val="20"/>
                <w:szCs w:val="20"/>
              </w:rPr>
              <w:t>1</w:t>
            </w:r>
          </w:p>
        </w:tc>
        <w:tc>
          <w:tcPr>
            <w:tcW w:w="794" w:type="dxa"/>
            <w:tcBorders>
              <w:top w:val="nil"/>
              <w:left w:val="nil"/>
              <w:bottom w:val="single" w:sz="4" w:space="0" w:color="auto"/>
              <w:right w:val="single" w:sz="4" w:space="0" w:color="auto"/>
            </w:tcBorders>
            <w:shd w:val="clear" w:color="auto" w:fill="auto"/>
            <w:noWrap/>
            <w:vAlign w:val="bottom"/>
            <w:hideMark/>
          </w:tcPr>
          <w:p w:rsidR="0055491A" w:rsidRPr="001A71BA" w:rsidRDefault="0055491A" w:rsidP="00210BF6">
            <w:pPr>
              <w:jc w:val="center"/>
              <w:rPr>
                <w:sz w:val="20"/>
                <w:szCs w:val="20"/>
              </w:rPr>
            </w:pPr>
            <w:r>
              <w:rPr>
                <w:sz w:val="20"/>
                <w:szCs w:val="20"/>
              </w:rPr>
              <w:t>0</w:t>
            </w:r>
          </w:p>
        </w:tc>
        <w:tc>
          <w:tcPr>
            <w:tcW w:w="793" w:type="dxa"/>
            <w:tcBorders>
              <w:top w:val="nil"/>
              <w:left w:val="nil"/>
              <w:bottom w:val="single" w:sz="4" w:space="0" w:color="auto"/>
              <w:right w:val="single" w:sz="4" w:space="0" w:color="auto"/>
            </w:tcBorders>
            <w:shd w:val="clear" w:color="auto" w:fill="auto"/>
            <w:noWrap/>
            <w:vAlign w:val="bottom"/>
            <w:hideMark/>
          </w:tcPr>
          <w:p w:rsidR="0055491A" w:rsidRPr="001A71BA" w:rsidRDefault="0055491A" w:rsidP="00210BF6">
            <w:pPr>
              <w:jc w:val="center"/>
              <w:rPr>
                <w:sz w:val="20"/>
                <w:szCs w:val="20"/>
              </w:rPr>
            </w:pPr>
            <w:r>
              <w:rPr>
                <w:sz w:val="20"/>
                <w:szCs w:val="20"/>
              </w:rPr>
              <w:t>1</w:t>
            </w:r>
          </w:p>
        </w:tc>
        <w:tc>
          <w:tcPr>
            <w:tcW w:w="794" w:type="dxa"/>
            <w:tcBorders>
              <w:top w:val="nil"/>
              <w:left w:val="nil"/>
              <w:bottom w:val="single" w:sz="4" w:space="0" w:color="auto"/>
              <w:right w:val="single" w:sz="4" w:space="0" w:color="auto"/>
            </w:tcBorders>
            <w:shd w:val="clear" w:color="auto" w:fill="auto"/>
            <w:noWrap/>
            <w:vAlign w:val="bottom"/>
            <w:hideMark/>
          </w:tcPr>
          <w:p w:rsidR="0055491A" w:rsidRPr="001A71BA" w:rsidRDefault="0055491A" w:rsidP="00210BF6">
            <w:pPr>
              <w:jc w:val="center"/>
              <w:rPr>
                <w:sz w:val="20"/>
                <w:szCs w:val="20"/>
              </w:rPr>
            </w:pPr>
            <w:r>
              <w:rPr>
                <w:sz w:val="20"/>
                <w:szCs w:val="20"/>
              </w:rPr>
              <w:t>90,0</w:t>
            </w:r>
          </w:p>
        </w:tc>
        <w:tc>
          <w:tcPr>
            <w:tcW w:w="793" w:type="dxa"/>
            <w:tcBorders>
              <w:top w:val="nil"/>
              <w:left w:val="nil"/>
              <w:bottom w:val="single" w:sz="4" w:space="0" w:color="auto"/>
              <w:right w:val="single" w:sz="4" w:space="0" w:color="auto"/>
            </w:tcBorders>
            <w:shd w:val="clear" w:color="auto" w:fill="auto"/>
            <w:noWrap/>
            <w:vAlign w:val="bottom"/>
            <w:hideMark/>
          </w:tcPr>
          <w:p w:rsidR="0055491A" w:rsidRPr="001A71BA" w:rsidRDefault="0055491A" w:rsidP="00210BF6">
            <w:pPr>
              <w:jc w:val="center"/>
              <w:rPr>
                <w:sz w:val="20"/>
                <w:szCs w:val="20"/>
              </w:rPr>
            </w:pPr>
            <w:r>
              <w:rPr>
                <w:sz w:val="20"/>
                <w:szCs w:val="20"/>
              </w:rPr>
              <w:t>1</w:t>
            </w:r>
          </w:p>
        </w:tc>
        <w:tc>
          <w:tcPr>
            <w:tcW w:w="794" w:type="dxa"/>
            <w:tcBorders>
              <w:top w:val="nil"/>
              <w:left w:val="nil"/>
              <w:bottom w:val="single" w:sz="4" w:space="0" w:color="auto"/>
              <w:right w:val="single" w:sz="4" w:space="0" w:color="auto"/>
            </w:tcBorders>
            <w:shd w:val="clear" w:color="auto" w:fill="auto"/>
            <w:noWrap/>
            <w:vAlign w:val="bottom"/>
            <w:hideMark/>
          </w:tcPr>
          <w:p w:rsidR="0055491A" w:rsidRPr="001A71BA" w:rsidRDefault="0055491A" w:rsidP="00210BF6">
            <w:pPr>
              <w:jc w:val="center"/>
              <w:rPr>
                <w:sz w:val="20"/>
                <w:szCs w:val="20"/>
              </w:rPr>
            </w:pPr>
            <w:r>
              <w:rPr>
                <w:sz w:val="20"/>
                <w:szCs w:val="20"/>
              </w:rPr>
              <w:t>90,0</w:t>
            </w:r>
          </w:p>
        </w:tc>
        <w:tc>
          <w:tcPr>
            <w:tcW w:w="793" w:type="dxa"/>
            <w:tcBorders>
              <w:top w:val="nil"/>
              <w:left w:val="nil"/>
              <w:bottom w:val="single" w:sz="4" w:space="0" w:color="auto"/>
              <w:right w:val="single" w:sz="4" w:space="0" w:color="auto"/>
            </w:tcBorders>
            <w:shd w:val="clear" w:color="auto" w:fill="auto"/>
            <w:noWrap/>
            <w:vAlign w:val="bottom"/>
            <w:hideMark/>
          </w:tcPr>
          <w:p w:rsidR="0055491A" w:rsidRPr="001A71BA" w:rsidRDefault="0055491A" w:rsidP="00210BF6">
            <w:pPr>
              <w:jc w:val="center"/>
              <w:rPr>
                <w:sz w:val="20"/>
                <w:szCs w:val="20"/>
              </w:rPr>
            </w:pPr>
            <w:r>
              <w:rPr>
                <w:sz w:val="20"/>
                <w:szCs w:val="20"/>
              </w:rPr>
              <w:t>1</w:t>
            </w:r>
          </w:p>
        </w:tc>
        <w:tc>
          <w:tcPr>
            <w:tcW w:w="794" w:type="dxa"/>
            <w:tcBorders>
              <w:top w:val="nil"/>
              <w:left w:val="nil"/>
              <w:bottom w:val="single" w:sz="4" w:space="0" w:color="auto"/>
              <w:right w:val="single" w:sz="4" w:space="0" w:color="auto"/>
            </w:tcBorders>
            <w:shd w:val="clear" w:color="auto" w:fill="auto"/>
            <w:noWrap/>
            <w:vAlign w:val="bottom"/>
            <w:hideMark/>
          </w:tcPr>
          <w:p w:rsidR="0055491A" w:rsidRPr="001A71BA" w:rsidRDefault="0055491A" w:rsidP="00210BF6">
            <w:pPr>
              <w:jc w:val="center"/>
              <w:rPr>
                <w:sz w:val="20"/>
                <w:szCs w:val="20"/>
              </w:rPr>
            </w:pPr>
            <w:r>
              <w:rPr>
                <w:sz w:val="20"/>
                <w:szCs w:val="20"/>
              </w:rPr>
              <w:t>90,0</w:t>
            </w:r>
          </w:p>
        </w:tc>
        <w:tc>
          <w:tcPr>
            <w:tcW w:w="660" w:type="dxa"/>
            <w:tcBorders>
              <w:top w:val="nil"/>
              <w:left w:val="nil"/>
              <w:bottom w:val="single" w:sz="4" w:space="0" w:color="auto"/>
              <w:right w:val="single" w:sz="4" w:space="0" w:color="auto"/>
            </w:tcBorders>
            <w:shd w:val="clear" w:color="auto" w:fill="auto"/>
            <w:noWrap/>
            <w:vAlign w:val="bottom"/>
            <w:hideMark/>
          </w:tcPr>
          <w:p w:rsidR="0055491A" w:rsidRPr="001A71BA" w:rsidRDefault="0055491A" w:rsidP="00210BF6">
            <w:pPr>
              <w:jc w:val="center"/>
              <w:rPr>
                <w:sz w:val="20"/>
                <w:szCs w:val="20"/>
              </w:rPr>
            </w:pPr>
            <w:r>
              <w:rPr>
                <w:sz w:val="20"/>
                <w:szCs w:val="20"/>
              </w:rPr>
              <w:t>1</w:t>
            </w:r>
          </w:p>
        </w:tc>
        <w:tc>
          <w:tcPr>
            <w:tcW w:w="794" w:type="dxa"/>
            <w:tcBorders>
              <w:top w:val="nil"/>
              <w:left w:val="nil"/>
              <w:bottom w:val="single" w:sz="4" w:space="0" w:color="auto"/>
              <w:right w:val="single" w:sz="4" w:space="0" w:color="auto"/>
            </w:tcBorders>
            <w:shd w:val="clear" w:color="auto" w:fill="auto"/>
            <w:noWrap/>
            <w:vAlign w:val="bottom"/>
            <w:hideMark/>
          </w:tcPr>
          <w:p w:rsidR="0055491A" w:rsidRPr="001A71BA" w:rsidRDefault="0055491A" w:rsidP="00210BF6">
            <w:pPr>
              <w:jc w:val="center"/>
              <w:rPr>
                <w:sz w:val="20"/>
                <w:szCs w:val="20"/>
              </w:rPr>
            </w:pPr>
            <w:r>
              <w:rPr>
                <w:sz w:val="20"/>
                <w:szCs w:val="20"/>
              </w:rPr>
              <w:t>90,0</w:t>
            </w:r>
          </w:p>
        </w:tc>
      </w:tr>
      <w:tr w:rsidR="0055491A" w:rsidRPr="007366EE" w:rsidTr="00210BF6">
        <w:trPr>
          <w:trHeight w:val="257"/>
        </w:trPr>
        <w:tc>
          <w:tcPr>
            <w:tcW w:w="926" w:type="dxa"/>
            <w:vMerge/>
            <w:tcBorders>
              <w:left w:val="single" w:sz="4" w:space="0" w:color="auto"/>
              <w:right w:val="single" w:sz="4" w:space="0" w:color="auto"/>
            </w:tcBorders>
            <w:vAlign w:val="center"/>
            <w:hideMark/>
          </w:tcPr>
          <w:p w:rsidR="0055491A" w:rsidRPr="006F2477" w:rsidRDefault="0055491A" w:rsidP="00210BF6">
            <w:pPr>
              <w:rPr>
                <w:sz w:val="16"/>
                <w:szCs w:val="16"/>
              </w:rPr>
            </w:pPr>
          </w:p>
        </w:tc>
        <w:tc>
          <w:tcPr>
            <w:tcW w:w="794" w:type="dxa"/>
            <w:tcBorders>
              <w:top w:val="nil"/>
              <w:left w:val="nil"/>
              <w:bottom w:val="single" w:sz="4" w:space="0" w:color="auto"/>
              <w:right w:val="single" w:sz="4" w:space="0" w:color="auto"/>
            </w:tcBorders>
            <w:shd w:val="clear" w:color="auto" w:fill="auto"/>
            <w:noWrap/>
            <w:vAlign w:val="bottom"/>
            <w:hideMark/>
          </w:tcPr>
          <w:p w:rsidR="0055491A" w:rsidRPr="001A71BA" w:rsidRDefault="0055491A" w:rsidP="00210BF6">
            <w:pPr>
              <w:jc w:val="center"/>
              <w:rPr>
                <w:sz w:val="20"/>
                <w:szCs w:val="20"/>
              </w:rPr>
            </w:pPr>
            <w:r w:rsidRPr="001A71BA">
              <w:rPr>
                <w:sz w:val="20"/>
                <w:szCs w:val="20"/>
              </w:rPr>
              <w:t>100</w:t>
            </w:r>
          </w:p>
        </w:tc>
        <w:tc>
          <w:tcPr>
            <w:tcW w:w="660" w:type="dxa"/>
            <w:tcBorders>
              <w:top w:val="nil"/>
              <w:left w:val="nil"/>
              <w:bottom w:val="single" w:sz="4" w:space="0" w:color="auto"/>
              <w:right w:val="single" w:sz="4" w:space="0" w:color="auto"/>
            </w:tcBorders>
            <w:shd w:val="clear" w:color="auto" w:fill="auto"/>
            <w:noWrap/>
            <w:vAlign w:val="bottom"/>
            <w:hideMark/>
          </w:tcPr>
          <w:p w:rsidR="0055491A" w:rsidRPr="001A71BA" w:rsidRDefault="0055491A" w:rsidP="00210BF6">
            <w:pPr>
              <w:jc w:val="center"/>
              <w:rPr>
                <w:sz w:val="20"/>
                <w:szCs w:val="20"/>
              </w:rPr>
            </w:pPr>
            <w:r w:rsidRPr="001A71BA">
              <w:rPr>
                <w:sz w:val="20"/>
                <w:szCs w:val="20"/>
              </w:rPr>
              <w:t>4</w:t>
            </w:r>
          </w:p>
        </w:tc>
        <w:tc>
          <w:tcPr>
            <w:tcW w:w="661" w:type="dxa"/>
            <w:tcBorders>
              <w:top w:val="nil"/>
              <w:left w:val="nil"/>
              <w:bottom w:val="single" w:sz="4" w:space="0" w:color="auto"/>
              <w:right w:val="single" w:sz="4" w:space="0" w:color="auto"/>
            </w:tcBorders>
            <w:shd w:val="clear" w:color="auto" w:fill="auto"/>
            <w:noWrap/>
            <w:vAlign w:val="bottom"/>
            <w:hideMark/>
          </w:tcPr>
          <w:p w:rsidR="0055491A" w:rsidRPr="001A71BA" w:rsidRDefault="0055491A" w:rsidP="00210BF6">
            <w:pPr>
              <w:jc w:val="center"/>
              <w:rPr>
                <w:sz w:val="20"/>
                <w:szCs w:val="20"/>
              </w:rPr>
            </w:pPr>
            <w:r w:rsidRPr="001A71BA">
              <w:rPr>
                <w:sz w:val="20"/>
                <w:szCs w:val="20"/>
              </w:rPr>
              <w:t>0</w:t>
            </w:r>
          </w:p>
        </w:tc>
        <w:tc>
          <w:tcPr>
            <w:tcW w:w="794" w:type="dxa"/>
            <w:tcBorders>
              <w:top w:val="nil"/>
              <w:left w:val="nil"/>
              <w:bottom w:val="single" w:sz="4" w:space="0" w:color="auto"/>
              <w:right w:val="single" w:sz="4" w:space="0" w:color="auto"/>
            </w:tcBorders>
            <w:shd w:val="clear" w:color="auto" w:fill="auto"/>
            <w:noWrap/>
            <w:vAlign w:val="bottom"/>
            <w:hideMark/>
          </w:tcPr>
          <w:p w:rsidR="0055491A" w:rsidRPr="001A71BA" w:rsidRDefault="0055491A" w:rsidP="00210BF6">
            <w:pPr>
              <w:jc w:val="center"/>
              <w:rPr>
                <w:sz w:val="20"/>
                <w:szCs w:val="20"/>
              </w:rPr>
            </w:pPr>
            <w:r>
              <w:rPr>
                <w:sz w:val="20"/>
                <w:szCs w:val="20"/>
              </w:rPr>
              <w:t>0</w:t>
            </w:r>
          </w:p>
        </w:tc>
        <w:tc>
          <w:tcPr>
            <w:tcW w:w="793" w:type="dxa"/>
            <w:tcBorders>
              <w:top w:val="nil"/>
              <w:left w:val="nil"/>
              <w:bottom w:val="single" w:sz="4" w:space="0" w:color="auto"/>
              <w:right w:val="single" w:sz="4" w:space="0" w:color="auto"/>
            </w:tcBorders>
            <w:shd w:val="clear" w:color="auto" w:fill="auto"/>
            <w:noWrap/>
            <w:vAlign w:val="bottom"/>
            <w:hideMark/>
          </w:tcPr>
          <w:p w:rsidR="0055491A" w:rsidRPr="001A71BA" w:rsidRDefault="0055491A" w:rsidP="00210BF6">
            <w:pPr>
              <w:jc w:val="center"/>
              <w:rPr>
                <w:sz w:val="20"/>
                <w:szCs w:val="20"/>
              </w:rPr>
            </w:pPr>
            <w:r>
              <w:rPr>
                <w:sz w:val="20"/>
                <w:szCs w:val="20"/>
              </w:rPr>
              <w:t>1</w:t>
            </w:r>
          </w:p>
        </w:tc>
        <w:tc>
          <w:tcPr>
            <w:tcW w:w="794" w:type="dxa"/>
            <w:tcBorders>
              <w:top w:val="nil"/>
              <w:left w:val="nil"/>
              <w:bottom w:val="single" w:sz="4" w:space="0" w:color="auto"/>
              <w:right w:val="single" w:sz="4" w:space="0" w:color="auto"/>
            </w:tcBorders>
            <w:shd w:val="clear" w:color="auto" w:fill="auto"/>
            <w:noWrap/>
            <w:vAlign w:val="bottom"/>
            <w:hideMark/>
          </w:tcPr>
          <w:p w:rsidR="0055491A" w:rsidRPr="001A71BA" w:rsidRDefault="0055491A" w:rsidP="00210BF6">
            <w:pPr>
              <w:jc w:val="center"/>
              <w:rPr>
                <w:sz w:val="20"/>
                <w:szCs w:val="20"/>
              </w:rPr>
            </w:pPr>
            <w:r>
              <w:rPr>
                <w:sz w:val="20"/>
                <w:szCs w:val="20"/>
              </w:rPr>
              <w:t>100,0</w:t>
            </w:r>
          </w:p>
        </w:tc>
        <w:tc>
          <w:tcPr>
            <w:tcW w:w="793" w:type="dxa"/>
            <w:tcBorders>
              <w:top w:val="nil"/>
              <w:left w:val="nil"/>
              <w:bottom w:val="single" w:sz="4" w:space="0" w:color="auto"/>
              <w:right w:val="single" w:sz="4" w:space="0" w:color="auto"/>
            </w:tcBorders>
            <w:shd w:val="clear" w:color="auto" w:fill="auto"/>
            <w:noWrap/>
            <w:vAlign w:val="bottom"/>
            <w:hideMark/>
          </w:tcPr>
          <w:p w:rsidR="0055491A" w:rsidRPr="001A71BA" w:rsidRDefault="0055491A" w:rsidP="00210BF6">
            <w:pPr>
              <w:jc w:val="center"/>
              <w:rPr>
                <w:sz w:val="20"/>
                <w:szCs w:val="20"/>
              </w:rPr>
            </w:pPr>
            <w:r>
              <w:rPr>
                <w:sz w:val="20"/>
                <w:szCs w:val="20"/>
              </w:rPr>
              <w:t>1</w:t>
            </w:r>
          </w:p>
        </w:tc>
        <w:tc>
          <w:tcPr>
            <w:tcW w:w="794" w:type="dxa"/>
            <w:tcBorders>
              <w:top w:val="nil"/>
              <w:left w:val="nil"/>
              <w:bottom w:val="single" w:sz="4" w:space="0" w:color="auto"/>
              <w:right w:val="single" w:sz="4" w:space="0" w:color="auto"/>
            </w:tcBorders>
            <w:shd w:val="clear" w:color="auto" w:fill="auto"/>
            <w:noWrap/>
            <w:vAlign w:val="bottom"/>
            <w:hideMark/>
          </w:tcPr>
          <w:p w:rsidR="0055491A" w:rsidRPr="001A71BA" w:rsidRDefault="0055491A" w:rsidP="00210BF6">
            <w:pPr>
              <w:jc w:val="center"/>
              <w:rPr>
                <w:sz w:val="20"/>
                <w:szCs w:val="20"/>
              </w:rPr>
            </w:pPr>
            <w:r>
              <w:rPr>
                <w:sz w:val="20"/>
                <w:szCs w:val="20"/>
              </w:rPr>
              <w:t>100,0</w:t>
            </w:r>
          </w:p>
        </w:tc>
        <w:tc>
          <w:tcPr>
            <w:tcW w:w="793" w:type="dxa"/>
            <w:tcBorders>
              <w:top w:val="nil"/>
              <w:left w:val="nil"/>
              <w:bottom w:val="single" w:sz="4" w:space="0" w:color="auto"/>
              <w:right w:val="single" w:sz="4" w:space="0" w:color="auto"/>
            </w:tcBorders>
            <w:shd w:val="clear" w:color="auto" w:fill="auto"/>
            <w:noWrap/>
            <w:vAlign w:val="bottom"/>
            <w:hideMark/>
          </w:tcPr>
          <w:p w:rsidR="0055491A" w:rsidRPr="001A71BA" w:rsidRDefault="0055491A" w:rsidP="00210BF6">
            <w:pPr>
              <w:jc w:val="center"/>
              <w:rPr>
                <w:sz w:val="20"/>
                <w:szCs w:val="20"/>
              </w:rPr>
            </w:pPr>
            <w:r>
              <w:rPr>
                <w:sz w:val="20"/>
                <w:szCs w:val="20"/>
              </w:rPr>
              <w:t>1</w:t>
            </w:r>
          </w:p>
        </w:tc>
        <w:tc>
          <w:tcPr>
            <w:tcW w:w="794" w:type="dxa"/>
            <w:tcBorders>
              <w:top w:val="nil"/>
              <w:left w:val="nil"/>
              <w:bottom w:val="single" w:sz="4" w:space="0" w:color="auto"/>
              <w:right w:val="single" w:sz="4" w:space="0" w:color="auto"/>
            </w:tcBorders>
            <w:shd w:val="clear" w:color="auto" w:fill="auto"/>
            <w:noWrap/>
            <w:vAlign w:val="bottom"/>
            <w:hideMark/>
          </w:tcPr>
          <w:p w:rsidR="0055491A" w:rsidRPr="001A71BA" w:rsidRDefault="0055491A" w:rsidP="00210BF6">
            <w:pPr>
              <w:jc w:val="center"/>
              <w:rPr>
                <w:sz w:val="20"/>
                <w:szCs w:val="20"/>
              </w:rPr>
            </w:pPr>
            <w:r>
              <w:rPr>
                <w:sz w:val="20"/>
                <w:szCs w:val="20"/>
              </w:rPr>
              <w:t>100,0</w:t>
            </w:r>
          </w:p>
        </w:tc>
        <w:tc>
          <w:tcPr>
            <w:tcW w:w="660" w:type="dxa"/>
            <w:tcBorders>
              <w:top w:val="nil"/>
              <w:left w:val="nil"/>
              <w:bottom w:val="single" w:sz="4" w:space="0" w:color="auto"/>
              <w:right w:val="single" w:sz="4" w:space="0" w:color="auto"/>
            </w:tcBorders>
            <w:shd w:val="clear" w:color="auto" w:fill="auto"/>
            <w:noWrap/>
            <w:vAlign w:val="bottom"/>
            <w:hideMark/>
          </w:tcPr>
          <w:p w:rsidR="0055491A" w:rsidRPr="001A71BA" w:rsidRDefault="0055491A" w:rsidP="00210BF6">
            <w:pPr>
              <w:jc w:val="center"/>
              <w:rPr>
                <w:sz w:val="20"/>
                <w:szCs w:val="20"/>
              </w:rPr>
            </w:pPr>
            <w:r>
              <w:rPr>
                <w:sz w:val="20"/>
                <w:szCs w:val="20"/>
              </w:rPr>
              <w:t>1</w:t>
            </w:r>
          </w:p>
        </w:tc>
        <w:tc>
          <w:tcPr>
            <w:tcW w:w="794" w:type="dxa"/>
            <w:tcBorders>
              <w:top w:val="nil"/>
              <w:left w:val="nil"/>
              <w:bottom w:val="single" w:sz="4" w:space="0" w:color="auto"/>
              <w:right w:val="single" w:sz="4" w:space="0" w:color="auto"/>
            </w:tcBorders>
            <w:shd w:val="clear" w:color="auto" w:fill="auto"/>
            <w:noWrap/>
            <w:vAlign w:val="bottom"/>
            <w:hideMark/>
          </w:tcPr>
          <w:p w:rsidR="0055491A" w:rsidRPr="001A71BA" w:rsidRDefault="0055491A" w:rsidP="00210BF6">
            <w:pPr>
              <w:jc w:val="center"/>
              <w:rPr>
                <w:sz w:val="20"/>
                <w:szCs w:val="20"/>
              </w:rPr>
            </w:pPr>
            <w:r>
              <w:rPr>
                <w:sz w:val="20"/>
                <w:szCs w:val="20"/>
              </w:rPr>
              <w:t>100,0</w:t>
            </w:r>
          </w:p>
        </w:tc>
      </w:tr>
      <w:tr w:rsidR="0055491A" w:rsidRPr="007366EE" w:rsidTr="00210BF6">
        <w:trPr>
          <w:trHeight w:val="257"/>
        </w:trPr>
        <w:tc>
          <w:tcPr>
            <w:tcW w:w="926" w:type="dxa"/>
            <w:vMerge/>
            <w:tcBorders>
              <w:left w:val="single" w:sz="4" w:space="0" w:color="auto"/>
              <w:right w:val="single" w:sz="4" w:space="0" w:color="auto"/>
            </w:tcBorders>
            <w:vAlign w:val="center"/>
            <w:hideMark/>
          </w:tcPr>
          <w:p w:rsidR="0055491A" w:rsidRPr="006F2477" w:rsidRDefault="0055491A" w:rsidP="00210BF6">
            <w:pPr>
              <w:rPr>
                <w:sz w:val="16"/>
                <w:szCs w:val="16"/>
              </w:rPr>
            </w:pPr>
          </w:p>
        </w:tc>
        <w:tc>
          <w:tcPr>
            <w:tcW w:w="794" w:type="dxa"/>
            <w:tcBorders>
              <w:top w:val="nil"/>
              <w:left w:val="nil"/>
              <w:bottom w:val="single" w:sz="4" w:space="0" w:color="auto"/>
              <w:right w:val="single" w:sz="4" w:space="0" w:color="auto"/>
            </w:tcBorders>
            <w:shd w:val="clear" w:color="auto" w:fill="auto"/>
            <w:noWrap/>
            <w:vAlign w:val="bottom"/>
            <w:hideMark/>
          </w:tcPr>
          <w:p w:rsidR="0055491A" w:rsidRPr="001A71BA" w:rsidRDefault="0055491A" w:rsidP="00210BF6">
            <w:pPr>
              <w:jc w:val="center"/>
              <w:rPr>
                <w:sz w:val="20"/>
                <w:szCs w:val="20"/>
              </w:rPr>
            </w:pPr>
            <w:r w:rsidRPr="001A71BA">
              <w:rPr>
                <w:sz w:val="20"/>
                <w:szCs w:val="20"/>
              </w:rPr>
              <w:t>150</w:t>
            </w:r>
          </w:p>
        </w:tc>
        <w:tc>
          <w:tcPr>
            <w:tcW w:w="660" w:type="dxa"/>
            <w:tcBorders>
              <w:top w:val="nil"/>
              <w:left w:val="nil"/>
              <w:bottom w:val="single" w:sz="4" w:space="0" w:color="auto"/>
              <w:right w:val="single" w:sz="4" w:space="0" w:color="auto"/>
            </w:tcBorders>
            <w:shd w:val="clear" w:color="auto" w:fill="auto"/>
            <w:noWrap/>
            <w:vAlign w:val="bottom"/>
            <w:hideMark/>
          </w:tcPr>
          <w:p w:rsidR="0055491A" w:rsidRPr="001A71BA" w:rsidRDefault="0055491A" w:rsidP="00210BF6">
            <w:pPr>
              <w:jc w:val="center"/>
              <w:rPr>
                <w:sz w:val="20"/>
                <w:szCs w:val="20"/>
              </w:rPr>
            </w:pPr>
            <w:r w:rsidRPr="001A71BA">
              <w:rPr>
                <w:sz w:val="20"/>
                <w:szCs w:val="20"/>
              </w:rPr>
              <w:t>2</w:t>
            </w:r>
          </w:p>
        </w:tc>
        <w:tc>
          <w:tcPr>
            <w:tcW w:w="661" w:type="dxa"/>
            <w:tcBorders>
              <w:top w:val="nil"/>
              <w:left w:val="nil"/>
              <w:bottom w:val="single" w:sz="4" w:space="0" w:color="auto"/>
              <w:right w:val="single" w:sz="4" w:space="0" w:color="auto"/>
            </w:tcBorders>
            <w:shd w:val="clear" w:color="auto" w:fill="auto"/>
            <w:noWrap/>
            <w:vAlign w:val="bottom"/>
            <w:hideMark/>
          </w:tcPr>
          <w:p w:rsidR="0055491A" w:rsidRPr="001A71BA" w:rsidRDefault="0055491A" w:rsidP="00210BF6">
            <w:pPr>
              <w:jc w:val="center"/>
              <w:rPr>
                <w:sz w:val="20"/>
                <w:szCs w:val="20"/>
              </w:rPr>
            </w:pPr>
            <w:r w:rsidRPr="001A71BA">
              <w:rPr>
                <w:sz w:val="20"/>
                <w:szCs w:val="20"/>
              </w:rPr>
              <w:t>0</w:t>
            </w:r>
          </w:p>
        </w:tc>
        <w:tc>
          <w:tcPr>
            <w:tcW w:w="794" w:type="dxa"/>
            <w:tcBorders>
              <w:top w:val="nil"/>
              <w:left w:val="nil"/>
              <w:bottom w:val="single" w:sz="4" w:space="0" w:color="auto"/>
              <w:right w:val="single" w:sz="4" w:space="0" w:color="auto"/>
            </w:tcBorders>
            <w:shd w:val="clear" w:color="auto" w:fill="auto"/>
            <w:noWrap/>
            <w:vAlign w:val="bottom"/>
            <w:hideMark/>
          </w:tcPr>
          <w:p w:rsidR="0055491A" w:rsidRPr="001A71BA" w:rsidRDefault="0055491A" w:rsidP="00210BF6">
            <w:pPr>
              <w:jc w:val="center"/>
              <w:rPr>
                <w:sz w:val="20"/>
                <w:szCs w:val="20"/>
              </w:rPr>
            </w:pPr>
            <w:r>
              <w:rPr>
                <w:sz w:val="20"/>
                <w:szCs w:val="20"/>
              </w:rPr>
              <w:t>0</w:t>
            </w:r>
          </w:p>
        </w:tc>
        <w:tc>
          <w:tcPr>
            <w:tcW w:w="793" w:type="dxa"/>
            <w:tcBorders>
              <w:top w:val="nil"/>
              <w:left w:val="nil"/>
              <w:bottom w:val="single" w:sz="4" w:space="0" w:color="auto"/>
              <w:right w:val="single" w:sz="4" w:space="0" w:color="auto"/>
            </w:tcBorders>
            <w:shd w:val="clear" w:color="auto" w:fill="auto"/>
            <w:noWrap/>
            <w:vAlign w:val="bottom"/>
            <w:hideMark/>
          </w:tcPr>
          <w:p w:rsidR="0055491A" w:rsidRPr="001A71BA" w:rsidRDefault="0055491A" w:rsidP="00210BF6">
            <w:pPr>
              <w:jc w:val="center"/>
              <w:rPr>
                <w:sz w:val="20"/>
                <w:szCs w:val="20"/>
              </w:rPr>
            </w:pPr>
            <w:r>
              <w:rPr>
                <w:sz w:val="20"/>
                <w:szCs w:val="20"/>
              </w:rPr>
              <w:t>1</w:t>
            </w:r>
          </w:p>
        </w:tc>
        <w:tc>
          <w:tcPr>
            <w:tcW w:w="794" w:type="dxa"/>
            <w:tcBorders>
              <w:top w:val="nil"/>
              <w:left w:val="nil"/>
              <w:bottom w:val="single" w:sz="4" w:space="0" w:color="auto"/>
              <w:right w:val="single" w:sz="4" w:space="0" w:color="auto"/>
            </w:tcBorders>
            <w:shd w:val="clear" w:color="auto" w:fill="auto"/>
            <w:noWrap/>
            <w:vAlign w:val="bottom"/>
            <w:hideMark/>
          </w:tcPr>
          <w:p w:rsidR="0055491A" w:rsidRPr="001A71BA" w:rsidRDefault="0055491A" w:rsidP="00210BF6">
            <w:pPr>
              <w:jc w:val="center"/>
              <w:rPr>
                <w:sz w:val="20"/>
                <w:szCs w:val="20"/>
              </w:rPr>
            </w:pPr>
            <w:r>
              <w:rPr>
                <w:sz w:val="20"/>
                <w:szCs w:val="20"/>
              </w:rPr>
              <w:t>150,0</w:t>
            </w:r>
          </w:p>
        </w:tc>
        <w:tc>
          <w:tcPr>
            <w:tcW w:w="793" w:type="dxa"/>
            <w:tcBorders>
              <w:top w:val="nil"/>
              <w:left w:val="nil"/>
              <w:bottom w:val="single" w:sz="4" w:space="0" w:color="auto"/>
              <w:right w:val="single" w:sz="4" w:space="0" w:color="auto"/>
            </w:tcBorders>
            <w:shd w:val="clear" w:color="auto" w:fill="auto"/>
            <w:noWrap/>
            <w:vAlign w:val="bottom"/>
            <w:hideMark/>
          </w:tcPr>
          <w:p w:rsidR="0055491A" w:rsidRPr="001A71BA" w:rsidRDefault="0055491A" w:rsidP="00210BF6">
            <w:pPr>
              <w:jc w:val="center"/>
              <w:rPr>
                <w:sz w:val="20"/>
                <w:szCs w:val="20"/>
              </w:rPr>
            </w:pPr>
            <w:r>
              <w:rPr>
                <w:sz w:val="20"/>
                <w:szCs w:val="20"/>
              </w:rPr>
              <w:t>1</w:t>
            </w:r>
          </w:p>
        </w:tc>
        <w:tc>
          <w:tcPr>
            <w:tcW w:w="794" w:type="dxa"/>
            <w:tcBorders>
              <w:top w:val="nil"/>
              <w:left w:val="nil"/>
              <w:bottom w:val="single" w:sz="4" w:space="0" w:color="auto"/>
              <w:right w:val="single" w:sz="4" w:space="0" w:color="auto"/>
            </w:tcBorders>
            <w:shd w:val="clear" w:color="auto" w:fill="auto"/>
            <w:noWrap/>
            <w:vAlign w:val="bottom"/>
            <w:hideMark/>
          </w:tcPr>
          <w:p w:rsidR="0055491A" w:rsidRPr="001A71BA" w:rsidRDefault="0055491A" w:rsidP="00210BF6">
            <w:pPr>
              <w:jc w:val="center"/>
              <w:rPr>
                <w:sz w:val="20"/>
                <w:szCs w:val="20"/>
              </w:rPr>
            </w:pPr>
            <w:r>
              <w:rPr>
                <w:sz w:val="20"/>
                <w:szCs w:val="20"/>
              </w:rPr>
              <w:t>150,0</w:t>
            </w:r>
          </w:p>
        </w:tc>
        <w:tc>
          <w:tcPr>
            <w:tcW w:w="793" w:type="dxa"/>
            <w:tcBorders>
              <w:top w:val="nil"/>
              <w:left w:val="nil"/>
              <w:bottom w:val="single" w:sz="4" w:space="0" w:color="auto"/>
              <w:right w:val="single" w:sz="4" w:space="0" w:color="auto"/>
            </w:tcBorders>
            <w:shd w:val="clear" w:color="auto" w:fill="auto"/>
            <w:noWrap/>
            <w:vAlign w:val="bottom"/>
            <w:hideMark/>
          </w:tcPr>
          <w:p w:rsidR="0055491A" w:rsidRPr="001A71BA" w:rsidRDefault="0055491A" w:rsidP="00210BF6">
            <w:pPr>
              <w:jc w:val="center"/>
              <w:rPr>
                <w:sz w:val="20"/>
                <w:szCs w:val="20"/>
              </w:rPr>
            </w:pPr>
            <w:r>
              <w:rPr>
                <w:sz w:val="20"/>
                <w:szCs w:val="20"/>
              </w:rPr>
              <w:t>1</w:t>
            </w:r>
          </w:p>
        </w:tc>
        <w:tc>
          <w:tcPr>
            <w:tcW w:w="794" w:type="dxa"/>
            <w:tcBorders>
              <w:top w:val="nil"/>
              <w:left w:val="nil"/>
              <w:bottom w:val="single" w:sz="4" w:space="0" w:color="auto"/>
              <w:right w:val="single" w:sz="4" w:space="0" w:color="auto"/>
            </w:tcBorders>
            <w:shd w:val="clear" w:color="auto" w:fill="auto"/>
            <w:noWrap/>
            <w:vAlign w:val="bottom"/>
            <w:hideMark/>
          </w:tcPr>
          <w:p w:rsidR="0055491A" w:rsidRPr="001A71BA" w:rsidRDefault="0055491A" w:rsidP="00210BF6">
            <w:pPr>
              <w:jc w:val="center"/>
              <w:rPr>
                <w:sz w:val="20"/>
                <w:szCs w:val="20"/>
              </w:rPr>
            </w:pPr>
            <w:r>
              <w:rPr>
                <w:sz w:val="20"/>
                <w:szCs w:val="20"/>
              </w:rPr>
              <w:t>150,0</w:t>
            </w:r>
          </w:p>
        </w:tc>
        <w:tc>
          <w:tcPr>
            <w:tcW w:w="660" w:type="dxa"/>
            <w:tcBorders>
              <w:top w:val="nil"/>
              <w:left w:val="nil"/>
              <w:bottom w:val="single" w:sz="4" w:space="0" w:color="auto"/>
              <w:right w:val="single" w:sz="4" w:space="0" w:color="auto"/>
            </w:tcBorders>
            <w:shd w:val="clear" w:color="auto" w:fill="auto"/>
            <w:noWrap/>
            <w:vAlign w:val="bottom"/>
            <w:hideMark/>
          </w:tcPr>
          <w:p w:rsidR="0055491A" w:rsidRPr="001A71BA" w:rsidRDefault="0055491A" w:rsidP="00210BF6">
            <w:pPr>
              <w:jc w:val="center"/>
              <w:rPr>
                <w:sz w:val="20"/>
                <w:szCs w:val="20"/>
              </w:rPr>
            </w:pPr>
            <w:r>
              <w:rPr>
                <w:sz w:val="20"/>
                <w:szCs w:val="20"/>
              </w:rPr>
              <w:t>1</w:t>
            </w:r>
          </w:p>
        </w:tc>
        <w:tc>
          <w:tcPr>
            <w:tcW w:w="794" w:type="dxa"/>
            <w:tcBorders>
              <w:top w:val="nil"/>
              <w:left w:val="nil"/>
              <w:bottom w:val="single" w:sz="4" w:space="0" w:color="auto"/>
              <w:right w:val="single" w:sz="4" w:space="0" w:color="auto"/>
            </w:tcBorders>
            <w:shd w:val="clear" w:color="auto" w:fill="auto"/>
            <w:noWrap/>
            <w:vAlign w:val="bottom"/>
            <w:hideMark/>
          </w:tcPr>
          <w:p w:rsidR="0055491A" w:rsidRPr="001A71BA" w:rsidRDefault="0055491A" w:rsidP="00210BF6">
            <w:pPr>
              <w:jc w:val="center"/>
              <w:rPr>
                <w:sz w:val="20"/>
                <w:szCs w:val="20"/>
              </w:rPr>
            </w:pPr>
            <w:r>
              <w:rPr>
                <w:sz w:val="20"/>
                <w:szCs w:val="20"/>
              </w:rPr>
              <w:t>150,0</w:t>
            </w:r>
          </w:p>
        </w:tc>
      </w:tr>
      <w:tr w:rsidR="0055491A" w:rsidRPr="007366EE" w:rsidTr="00210BF6">
        <w:trPr>
          <w:trHeight w:val="257"/>
        </w:trPr>
        <w:tc>
          <w:tcPr>
            <w:tcW w:w="926" w:type="dxa"/>
            <w:vMerge/>
            <w:tcBorders>
              <w:left w:val="single" w:sz="4" w:space="0" w:color="auto"/>
              <w:bottom w:val="single" w:sz="4" w:space="0" w:color="000000"/>
              <w:right w:val="single" w:sz="4" w:space="0" w:color="auto"/>
            </w:tcBorders>
            <w:vAlign w:val="center"/>
          </w:tcPr>
          <w:p w:rsidR="0055491A" w:rsidRPr="007366EE" w:rsidRDefault="0055491A" w:rsidP="00210BF6">
            <w:pPr>
              <w:rPr>
                <w:sz w:val="12"/>
                <w:szCs w:val="12"/>
              </w:rPr>
            </w:pPr>
          </w:p>
        </w:tc>
        <w:tc>
          <w:tcPr>
            <w:tcW w:w="794" w:type="dxa"/>
            <w:tcBorders>
              <w:top w:val="single" w:sz="4" w:space="0" w:color="auto"/>
              <w:left w:val="nil"/>
              <w:bottom w:val="single" w:sz="4" w:space="0" w:color="auto"/>
              <w:right w:val="single" w:sz="4" w:space="0" w:color="auto"/>
            </w:tcBorders>
            <w:shd w:val="clear" w:color="auto" w:fill="auto"/>
            <w:noWrap/>
            <w:vAlign w:val="bottom"/>
          </w:tcPr>
          <w:p w:rsidR="0055491A" w:rsidRPr="006460E9" w:rsidRDefault="0055491A" w:rsidP="00210BF6">
            <w:pPr>
              <w:jc w:val="center"/>
              <w:rPr>
                <w:b/>
                <w:sz w:val="18"/>
                <w:szCs w:val="18"/>
              </w:rPr>
            </w:pPr>
            <w:r>
              <w:rPr>
                <w:b/>
                <w:sz w:val="18"/>
                <w:szCs w:val="18"/>
              </w:rPr>
              <w:t>Итого:</w:t>
            </w:r>
          </w:p>
          <w:p w:rsidR="0055491A" w:rsidRPr="007366EE" w:rsidRDefault="0055491A" w:rsidP="00210BF6">
            <w:pPr>
              <w:jc w:val="center"/>
              <w:rPr>
                <w:sz w:val="12"/>
                <w:szCs w:val="12"/>
              </w:rPr>
            </w:pPr>
          </w:p>
        </w:tc>
        <w:tc>
          <w:tcPr>
            <w:tcW w:w="660" w:type="dxa"/>
            <w:tcBorders>
              <w:top w:val="single" w:sz="4" w:space="0" w:color="auto"/>
              <w:left w:val="nil"/>
              <w:bottom w:val="single" w:sz="4" w:space="0" w:color="auto"/>
              <w:right w:val="single" w:sz="4" w:space="0" w:color="auto"/>
            </w:tcBorders>
            <w:shd w:val="clear" w:color="auto" w:fill="auto"/>
            <w:noWrap/>
            <w:vAlign w:val="bottom"/>
          </w:tcPr>
          <w:p w:rsidR="0055491A" w:rsidRPr="007366EE" w:rsidRDefault="0055491A" w:rsidP="00210BF6">
            <w:pPr>
              <w:jc w:val="center"/>
              <w:rPr>
                <w:sz w:val="12"/>
                <w:szCs w:val="12"/>
              </w:rPr>
            </w:pPr>
          </w:p>
        </w:tc>
        <w:tc>
          <w:tcPr>
            <w:tcW w:w="661" w:type="dxa"/>
            <w:tcBorders>
              <w:top w:val="single" w:sz="4" w:space="0" w:color="auto"/>
              <w:left w:val="nil"/>
              <w:bottom w:val="single" w:sz="4" w:space="0" w:color="auto"/>
              <w:right w:val="single" w:sz="4" w:space="0" w:color="auto"/>
            </w:tcBorders>
            <w:shd w:val="clear" w:color="auto" w:fill="auto"/>
            <w:noWrap/>
            <w:vAlign w:val="bottom"/>
          </w:tcPr>
          <w:p w:rsidR="0055491A" w:rsidRPr="007366EE" w:rsidRDefault="0055491A" w:rsidP="00210BF6">
            <w:pPr>
              <w:jc w:val="center"/>
              <w:rPr>
                <w:sz w:val="12"/>
                <w:szCs w:val="12"/>
              </w:rPr>
            </w:pPr>
          </w:p>
        </w:tc>
        <w:tc>
          <w:tcPr>
            <w:tcW w:w="794" w:type="dxa"/>
            <w:tcBorders>
              <w:top w:val="single" w:sz="4" w:space="0" w:color="auto"/>
              <w:left w:val="nil"/>
              <w:bottom w:val="single" w:sz="4" w:space="0" w:color="auto"/>
              <w:right w:val="single" w:sz="4" w:space="0" w:color="auto"/>
            </w:tcBorders>
            <w:shd w:val="clear" w:color="auto" w:fill="auto"/>
            <w:noWrap/>
            <w:vAlign w:val="bottom"/>
          </w:tcPr>
          <w:p w:rsidR="0055491A" w:rsidRPr="007366EE" w:rsidRDefault="0055491A" w:rsidP="00210BF6">
            <w:pPr>
              <w:jc w:val="center"/>
              <w:rPr>
                <w:sz w:val="12"/>
                <w:szCs w:val="12"/>
              </w:rPr>
            </w:pP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55491A" w:rsidRPr="007366EE" w:rsidRDefault="0055491A" w:rsidP="00210BF6">
            <w:pPr>
              <w:jc w:val="center"/>
              <w:rPr>
                <w:sz w:val="12"/>
                <w:szCs w:val="12"/>
              </w:rPr>
            </w:pPr>
          </w:p>
        </w:tc>
        <w:tc>
          <w:tcPr>
            <w:tcW w:w="794" w:type="dxa"/>
            <w:tcBorders>
              <w:top w:val="single" w:sz="4" w:space="0" w:color="auto"/>
              <w:left w:val="nil"/>
              <w:bottom w:val="single" w:sz="4" w:space="0" w:color="auto"/>
              <w:right w:val="single" w:sz="4" w:space="0" w:color="auto"/>
            </w:tcBorders>
            <w:shd w:val="clear" w:color="auto" w:fill="auto"/>
            <w:noWrap/>
            <w:vAlign w:val="bottom"/>
          </w:tcPr>
          <w:p w:rsidR="0055491A" w:rsidRPr="006F2477" w:rsidRDefault="0055491A" w:rsidP="00210BF6">
            <w:pPr>
              <w:jc w:val="center"/>
              <w:rPr>
                <w:b/>
                <w:sz w:val="18"/>
                <w:szCs w:val="18"/>
              </w:rPr>
            </w:pPr>
            <w:r>
              <w:rPr>
                <w:b/>
                <w:sz w:val="18"/>
                <w:szCs w:val="18"/>
              </w:rPr>
              <w:t>1613,0</w:t>
            </w: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55491A" w:rsidRPr="006F2477" w:rsidRDefault="0055491A" w:rsidP="00210BF6">
            <w:pPr>
              <w:jc w:val="center"/>
              <w:rPr>
                <w:b/>
                <w:sz w:val="18"/>
                <w:szCs w:val="18"/>
              </w:rPr>
            </w:pPr>
          </w:p>
        </w:tc>
        <w:tc>
          <w:tcPr>
            <w:tcW w:w="794" w:type="dxa"/>
            <w:tcBorders>
              <w:top w:val="single" w:sz="4" w:space="0" w:color="auto"/>
              <w:left w:val="nil"/>
              <w:bottom w:val="single" w:sz="4" w:space="0" w:color="auto"/>
              <w:right w:val="single" w:sz="4" w:space="0" w:color="auto"/>
            </w:tcBorders>
            <w:shd w:val="clear" w:color="auto" w:fill="auto"/>
            <w:noWrap/>
            <w:vAlign w:val="bottom"/>
          </w:tcPr>
          <w:p w:rsidR="0055491A" w:rsidRPr="006F2477" w:rsidRDefault="0055491A" w:rsidP="00210BF6">
            <w:pPr>
              <w:jc w:val="center"/>
              <w:rPr>
                <w:b/>
                <w:sz w:val="18"/>
                <w:szCs w:val="18"/>
              </w:rPr>
            </w:pPr>
            <w:r>
              <w:rPr>
                <w:b/>
                <w:sz w:val="18"/>
                <w:szCs w:val="18"/>
              </w:rPr>
              <w:t>1513,0</w:t>
            </w: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55491A" w:rsidRPr="006F2477" w:rsidRDefault="0055491A" w:rsidP="00210BF6">
            <w:pPr>
              <w:jc w:val="center"/>
              <w:rPr>
                <w:b/>
                <w:sz w:val="18"/>
                <w:szCs w:val="18"/>
              </w:rPr>
            </w:pPr>
          </w:p>
        </w:tc>
        <w:tc>
          <w:tcPr>
            <w:tcW w:w="794" w:type="dxa"/>
            <w:tcBorders>
              <w:top w:val="single" w:sz="4" w:space="0" w:color="auto"/>
              <w:left w:val="nil"/>
              <w:bottom w:val="single" w:sz="4" w:space="0" w:color="auto"/>
              <w:right w:val="single" w:sz="4" w:space="0" w:color="auto"/>
            </w:tcBorders>
            <w:shd w:val="clear" w:color="auto" w:fill="auto"/>
            <w:noWrap/>
            <w:vAlign w:val="bottom"/>
          </w:tcPr>
          <w:p w:rsidR="0055491A" w:rsidRPr="006F2477" w:rsidRDefault="0055491A" w:rsidP="00210BF6">
            <w:pPr>
              <w:jc w:val="center"/>
              <w:rPr>
                <w:b/>
                <w:sz w:val="18"/>
                <w:szCs w:val="18"/>
              </w:rPr>
            </w:pPr>
            <w:r>
              <w:rPr>
                <w:b/>
                <w:sz w:val="18"/>
                <w:szCs w:val="18"/>
              </w:rPr>
              <w:t>1513,0</w:t>
            </w:r>
          </w:p>
        </w:tc>
        <w:tc>
          <w:tcPr>
            <w:tcW w:w="660" w:type="dxa"/>
            <w:tcBorders>
              <w:top w:val="single" w:sz="4" w:space="0" w:color="auto"/>
              <w:left w:val="nil"/>
              <w:bottom w:val="single" w:sz="4" w:space="0" w:color="auto"/>
              <w:right w:val="single" w:sz="4" w:space="0" w:color="auto"/>
            </w:tcBorders>
            <w:shd w:val="clear" w:color="auto" w:fill="auto"/>
            <w:noWrap/>
            <w:vAlign w:val="bottom"/>
          </w:tcPr>
          <w:p w:rsidR="0055491A" w:rsidRPr="006F2477" w:rsidRDefault="0055491A" w:rsidP="00210BF6">
            <w:pPr>
              <w:jc w:val="center"/>
              <w:rPr>
                <w:b/>
                <w:sz w:val="18"/>
                <w:szCs w:val="18"/>
              </w:rPr>
            </w:pPr>
          </w:p>
        </w:tc>
        <w:tc>
          <w:tcPr>
            <w:tcW w:w="794" w:type="dxa"/>
            <w:tcBorders>
              <w:top w:val="single" w:sz="4" w:space="0" w:color="auto"/>
              <w:left w:val="nil"/>
              <w:bottom w:val="single" w:sz="4" w:space="0" w:color="auto"/>
              <w:right w:val="single" w:sz="4" w:space="0" w:color="auto"/>
            </w:tcBorders>
            <w:shd w:val="clear" w:color="auto" w:fill="auto"/>
            <w:noWrap/>
            <w:vAlign w:val="bottom"/>
          </w:tcPr>
          <w:p w:rsidR="0055491A" w:rsidRPr="006F2477" w:rsidRDefault="0055491A" w:rsidP="00210BF6">
            <w:pPr>
              <w:jc w:val="center"/>
              <w:rPr>
                <w:b/>
                <w:sz w:val="18"/>
                <w:szCs w:val="18"/>
              </w:rPr>
            </w:pPr>
            <w:r>
              <w:rPr>
                <w:b/>
                <w:sz w:val="18"/>
                <w:szCs w:val="18"/>
              </w:rPr>
              <w:t>1528,0</w:t>
            </w:r>
          </w:p>
        </w:tc>
      </w:tr>
    </w:tbl>
    <w:p w:rsidR="0055491A" w:rsidRDefault="0055491A" w:rsidP="0055491A">
      <w:pPr>
        <w:ind w:firstLine="709"/>
        <w:jc w:val="both"/>
        <w:rPr>
          <w:sz w:val="28"/>
          <w:szCs w:val="28"/>
        </w:rPr>
      </w:pPr>
    </w:p>
    <w:p w:rsidR="0055491A" w:rsidRDefault="0055491A" w:rsidP="0055491A">
      <w:pPr>
        <w:pStyle w:val="af4"/>
        <w:numPr>
          <w:ilvl w:val="0"/>
          <w:numId w:val="32"/>
        </w:numPr>
        <w:jc w:val="both"/>
        <w:rPr>
          <w:sz w:val="28"/>
          <w:szCs w:val="28"/>
        </w:rPr>
      </w:pPr>
      <w:r w:rsidRPr="005147B7">
        <w:rPr>
          <w:sz w:val="28"/>
          <w:szCs w:val="28"/>
        </w:rPr>
        <w:t>З</w:t>
      </w:r>
      <w:r w:rsidRPr="005147B7">
        <w:rPr>
          <w:color w:val="000000"/>
          <w:sz w:val="28"/>
          <w:szCs w:val="28"/>
        </w:rPr>
        <w:t xml:space="preserve">а нарушение норм Закона </w:t>
      </w:r>
      <w:r w:rsidRPr="005147B7">
        <w:rPr>
          <w:sz w:val="28"/>
          <w:szCs w:val="28"/>
        </w:rPr>
        <w:t>Тверской области от 14.07.2003 № 46-ЗО «Об административных правонарушениях» в сфере коммунального хозяйства и благоустройства, в сфере общественного порядка, общественной безопасности и общественной нравственности в части следующих статей: ст. 19 ч. 1, 2, ст. 21, ст. 25, ст. 26, ст. 36, ст. 54. 1, ст. 54. 2, ст. 55, ст. 56.1., ст. 59.1.</w:t>
      </w:r>
    </w:p>
    <w:p w:rsidR="007F5AA3" w:rsidRDefault="007F5AA3" w:rsidP="007F5AA3">
      <w:pPr>
        <w:jc w:val="both"/>
        <w:rPr>
          <w:sz w:val="28"/>
          <w:szCs w:val="28"/>
        </w:rPr>
      </w:pPr>
    </w:p>
    <w:p w:rsidR="007F5AA3" w:rsidRPr="007F5AA3" w:rsidRDefault="007F5AA3" w:rsidP="007F5AA3">
      <w:pPr>
        <w:jc w:val="both"/>
        <w:rPr>
          <w:sz w:val="28"/>
          <w:szCs w:val="28"/>
        </w:rPr>
      </w:pPr>
    </w:p>
    <w:p w:rsidR="0055491A" w:rsidRDefault="0055491A" w:rsidP="0055491A">
      <w:pPr>
        <w:jc w:val="center"/>
        <w:rPr>
          <w:sz w:val="28"/>
          <w:szCs w:val="28"/>
        </w:rPr>
      </w:pPr>
    </w:p>
    <w:tbl>
      <w:tblPr>
        <w:tblW w:w="10158" w:type="dxa"/>
        <w:tblInd w:w="-743" w:type="dxa"/>
        <w:tblLayout w:type="fixed"/>
        <w:tblLook w:val="04A0" w:firstRow="1" w:lastRow="0" w:firstColumn="1" w:lastColumn="0" w:noHBand="0" w:noVBand="1"/>
      </w:tblPr>
      <w:tblGrid>
        <w:gridCol w:w="1070"/>
        <w:gridCol w:w="807"/>
        <w:gridCol w:w="621"/>
        <w:gridCol w:w="88"/>
        <w:gridCol w:w="534"/>
        <w:gridCol w:w="33"/>
        <w:gridCol w:w="589"/>
        <w:gridCol w:w="801"/>
        <w:gridCol w:w="803"/>
        <w:gridCol w:w="801"/>
        <w:gridCol w:w="803"/>
        <w:gridCol w:w="801"/>
        <w:gridCol w:w="803"/>
        <w:gridCol w:w="801"/>
        <w:gridCol w:w="803"/>
      </w:tblGrid>
      <w:tr w:rsidR="0055491A" w:rsidRPr="009370D3" w:rsidTr="00210BF6">
        <w:trPr>
          <w:trHeight w:val="735"/>
        </w:trPr>
        <w:tc>
          <w:tcPr>
            <w:tcW w:w="1070" w:type="dxa"/>
            <w:vMerge w:val="restart"/>
            <w:tcBorders>
              <w:top w:val="single" w:sz="8" w:space="0" w:color="auto"/>
              <w:left w:val="nil"/>
              <w:bottom w:val="nil"/>
              <w:right w:val="single" w:sz="8" w:space="0" w:color="auto"/>
            </w:tcBorders>
            <w:shd w:val="clear" w:color="auto" w:fill="auto"/>
            <w:vAlign w:val="center"/>
            <w:hideMark/>
          </w:tcPr>
          <w:p w:rsidR="0055491A" w:rsidRPr="00925063" w:rsidRDefault="0055491A" w:rsidP="00210BF6">
            <w:pPr>
              <w:jc w:val="center"/>
              <w:rPr>
                <w:b/>
                <w:bCs/>
                <w:sz w:val="16"/>
                <w:szCs w:val="16"/>
              </w:rPr>
            </w:pPr>
            <w:r w:rsidRPr="00925063">
              <w:rPr>
                <w:b/>
                <w:bCs/>
                <w:sz w:val="16"/>
                <w:szCs w:val="16"/>
              </w:rPr>
              <w:lastRenderedPageBreak/>
              <w:t>Вид нарушения (Закон Тверской области от 14.07.2003 № 46-ЗО «Об административных правонарушениях»)</w:t>
            </w:r>
          </w:p>
        </w:tc>
        <w:tc>
          <w:tcPr>
            <w:tcW w:w="807" w:type="dxa"/>
            <w:vMerge w:val="restart"/>
            <w:tcBorders>
              <w:top w:val="single" w:sz="8" w:space="0" w:color="auto"/>
              <w:left w:val="nil"/>
              <w:bottom w:val="nil"/>
              <w:right w:val="single" w:sz="8" w:space="0" w:color="auto"/>
            </w:tcBorders>
            <w:shd w:val="clear" w:color="auto" w:fill="auto"/>
            <w:vAlign w:val="center"/>
            <w:hideMark/>
          </w:tcPr>
          <w:p w:rsidR="0055491A" w:rsidRPr="00925063" w:rsidRDefault="0055491A" w:rsidP="00210BF6">
            <w:pPr>
              <w:jc w:val="center"/>
              <w:rPr>
                <w:b/>
                <w:bCs/>
                <w:sz w:val="16"/>
                <w:szCs w:val="16"/>
              </w:rPr>
            </w:pPr>
            <w:r>
              <w:rPr>
                <w:b/>
                <w:bCs/>
                <w:sz w:val="16"/>
                <w:szCs w:val="16"/>
              </w:rPr>
              <w:t>Размер штрафа</w:t>
            </w:r>
            <w:r w:rsidRPr="00925063">
              <w:rPr>
                <w:b/>
                <w:bCs/>
                <w:sz w:val="16"/>
                <w:szCs w:val="16"/>
              </w:rPr>
              <w:t>тыс.руб</w:t>
            </w:r>
          </w:p>
        </w:tc>
        <w:tc>
          <w:tcPr>
            <w:tcW w:w="1865" w:type="dxa"/>
            <w:gridSpan w:val="5"/>
            <w:tcBorders>
              <w:top w:val="single" w:sz="8" w:space="0" w:color="auto"/>
              <w:left w:val="nil"/>
              <w:bottom w:val="single" w:sz="8" w:space="0" w:color="auto"/>
              <w:right w:val="single" w:sz="8" w:space="0" w:color="000000"/>
            </w:tcBorders>
            <w:shd w:val="clear" w:color="auto" w:fill="auto"/>
            <w:vAlign w:val="center"/>
            <w:hideMark/>
          </w:tcPr>
          <w:p w:rsidR="0055491A" w:rsidRPr="006F2477" w:rsidRDefault="0055491A" w:rsidP="00210BF6">
            <w:pPr>
              <w:jc w:val="center"/>
              <w:rPr>
                <w:b/>
                <w:bCs/>
                <w:sz w:val="18"/>
                <w:szCs w:val="18"/>
              </w:rPr>
            </w:pPr>
            <w:r w:rsidRPr="006F2477">
              <w:rPr>
                <w:b/>
                <w:bCs/>
                <w:sz w:val="18"/>
                <w:szCs w:val="18"/>
              </w:rPr>
              <w:t>Количество вынесенных постановлений, шт.</w:t>
            </w:r>
          </w:p>
        </w:tc>
        <w:tc>
          <w:tcPr>
            <w:tcW w:w="1604" w:type="dxa"/>
            <w:gridSpan w:val="2"/>
            <w:tcBorders>
              <w:top w:val="single" w:sz="8" w:space="0" w:color="auto"/>
              <w:left w:val="nil"/>
              <w:bottom w:val="single" w:sz="8" w:space="0" w:color="auto"/>
              <w:right w:val="nil"/>
            </w:tcBorders>
            <w:shd w:val="clear" w:color="auto" w:fill="auto"/>
            <w:vAlign w:val="center"/>
            <w:hideMark/>
          </w:tcPr>
          <w:p w:rsidR="0055491A" w:rsidRPr="006F2477" w:rsidRDefault="0055491A" w:rsidP="00210BF6">
            <w:pPr>
              <w:jc w:val="center"/>
              <w:rPr>
                <w:b/>
                <w:bCs/>
                <w:sz w:val="18"/>
                <w:szCs w:val="18"/>
              </w:rPr>
            </w:pPr>
            <w:r w:rsidRPr="006F2477">
              <w:rPr>
                <w:b/>
                <w:bCs/>
                <w:sz w:val="18"/>
                <w:szCs w:val="18"/>
              </w:rPr>
              <w:t>20</w:t>
            </w:r>
            <w:r>
              <w:rPr>
                <w:b/>
                <w:bCs/>
                <w:sz w:val="18"/>
                <w:szCs w:val="18"/>
              </w:rPr>
              <w:t>20 год</w:t>
            </w:r>
          </w:p>
        </w:tc>
        <w:tc>
          <w:tcPr>
            <w:tcW w:w="1604" w:type="dxa"/>
            <w:gridSpan w:val="2"/>
            <w:tcBorders>
              <w:top w:val="single" w:sz="8" w:space="0" w:color="auto"/>
              <w:left w:val="single" w:sz="8" w:space="0" w:color="auto"/>
              <w:bottom w:val="single" w:sz="8" w:space="0" w:color="auto"/>
              <w:right w:val="nil"/>
            </w:tcBorders>
            <w:shd w:val="clear" w:color="auto" w:fill="auto"/>
            <w:vAlign w:val="center"/>
            <w:hideMark/>
          </w:tcPr>
          <w:p w:rsidR="0055491A" w:rsidRPr="006F2477" w:rsidRDefault="0055491A" w:rsidP="00210BF6">
            <w:pPr>
              <w:jc w:val="center"/>
              <w:rPr>
                <w:b/>
                <w:bCs/>
                <w:sz w:val="18"/>
                <w:szCs w:val="18"/>
              </w:rPr>
            </w:pPr>
            <w:r>
              <w:rPr>
                <w:b/>
                <w:bCs/>
                <w:sz w:val="18"/>
                <w:szCs w:val="18"/>
              </w:rPr>
              <w:t>2021 год</w:t>
            </w:r>
          </w:p>
        </w:tc>
        <w:tc>
          <w:tcPr>
            <w:tcW w:w="1604" w:type="dxa"/>
            <w:gridSpan w:val="2"/>
            <w:tcBorders>
              <w:top w:val="single" w:sz="8" w:space="0" w:color="auto"/>
              <w:left w:val="single" w:sz="8" w:space="0" w:color="auto"/>
              <w:bottom w:val="single" w:sz="8" w:space="0" w:color="auto"/>
              <w:right w:val="nil"/>
            </w:tcBorders>
            <w:shd w:val="clear" w:color="auto" w:fill="auto"/>
            <w:vAlign w:val="center"/>
            <w:hideMark/>
          </w:tcPr>
          <w:p w:rsidR="0055491A" w:rsidRPr="006F2477" w:rsidRDefault="0055491A" w:rsidP="00210BF6">
            <w:pPr>
              <w:jc w:val="center"/>
              <w:rPr>
                <w:b/>
                <w:bCs/>
                <w:sz w:val="18"/>
                <w:szCs w:val="18"/>
              </w:rPr>
            </w:pPr>
            <w:r>
              <w:rPr>
                <w:b/>
                <w:bCs/>
                <w:sz w:val="18"/>
                <w:szCs w:val="18"/>
              </w:rPr>
              <w:t>2022 год</w:t>
            </w:r>
          </w:p>
        </w:tc>
        <w:tc>
          <w:tcPr>
            <w:tcW w:w="1604"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55491A" w:rsidRPr="006F2477" w:rsidRDefault="0055491A" w:rsidP="00210BF6">
            <w:pPr>
              <w:jc w:val="center"/>
              <w:rPr>
                <w:b/>
                <w:bCs/>
                <w:sz w:val="18"/>
                <w:szCs w:val="18"/>
              </w:rPr>
            </w:pPr>
            <w:r>
              <w:rPr>
                <w:b/>
                <w:bCs/>
                <w:sz w:val="18"/>
                <w:szCs w:val="18"/>
              </w:rPr>
              <w:t>2023 год</w:t>
            </w:r>
          </w:p>
        </w:tc>
      </w:tr>
      <w:tr w:rsidR="0055491A" w:rsidRPr="009370D3" w:rsidTr="00210BF6">
        <w:trPr>
          <w:trHeight w:val="1441"/>
        </w:trPr>
        <w:tc>
          <w:tcPr>
            <w:tcW w:w="1070" w:type="dxa"/>
            <w:vMerge/>
            <w:tcBorders>
              <w:top w:val="single" w:sz="8" w:space="0" w:color="auto"/>
              <w:left w:val="nil"/>
              <w:bottom w:val="nil"/>
              <w:right w:val="single" w:sz="8" w:space="0" w:color="auto"/>
            </w:tcBorders>
            <w:vAlign w:val="center"/>
            <w:hideMark/>
          </w:tcPr>
          <w:p w:rsidR="0055491A" w:rsidRPr="006F2477" w:rsidRDefault="0055491A" w:rsidP="00210BF6">
            <w:pPr>
              <w:rPr>
                <w:b/>
                <w:bCs/>
                <w:sz w:val="18"/>
                <w:szCs w:val="18"/>
              </w:rPr>
            </w:pPr>
          </w:p>
        </w:tc>
        <w:tc>
          <w:tcPr>
            <w:tcW w:w="807" w:type="dxa"/>
            <w:vMerge/>
            <w:tcBorders>
              <w:top w:val="single" w:sz="8" w:space="0" w:color="auto"/>
              <w:left w:val="nil"/>
              <w:bottom w:val="nil"/>
              <w:right w:val="single" w:sz="8" w:space="0" w:color="auto"/>
            </w:tcBorders>
            <w:vAlign w:val="center"/>
            <w:hideMark/>
          </w:tcPr>
          <w:p w:rsidR="0055491A" w:rsidRPr="006F2477" w:rsidRDefault="0055491A" w:rsidP="00210BF6">
            <w:pPr>
              <w:rPr>
                <w:b/>
                <w:bCs/>
                <w:sz w:val="18"/>
                <w:szCs w:val="18"/>
              </w:rPr>
            </w:pPr>
          </w:p>
        </w:tc>
        <w:tc>
          <w:tcPr>
            <w:tcW w:w="621" w:type="dxa"/>
            <w:tcBorders>
              <w:top w:val="nil"/>
              <w:left w:val="nil"/>
              <w:bottom w:val="nil"/>
              <w:right w:val="single" w:sz="8" w:space="0" w:color="auto"/>
            </w:tcBorders>
            <w:shd w:val="clear" w:color="auto" w:fill="auto"/>
            <w:vAlign w:val="center"/>
            <w:hideMark/>
          </w:tcPr>
          <w:p w:rsidR="0055491A" w:rsidRPr="006F2477" w:rsidRDefault="0055491A" w:rsidP="00210BF6">
            <w:pPr>
              <w:jc w:val="center"/>
              <w:rPr>
                <w:b/>
                <w:bCs/>
                <w:sz w:val="18"/>
                <w:szCs w:val="18"/>
              </w:rPr>
            </w:pPr>
            <w:r w:rsidRPr="006F2477">
              <w:rPr>
                <w:b/>
                <w:bCs/>
                <w:sz w:val="18"/>
                <w:szCs w:val="18"/>
              </w:rPr>
              <w:t>201</w:t>
            </w:r>
            <w:r>
              <w:rPr>
                <w:b/>
                <w:bCs/>
                <w:sz w:val="18"/>
                <w:szCs w:val="18"/>
              </w:rPr>
              <w:t>7 год</w:t>
            </w:r>
          </w:p>
        </w:tc>
        <w:tc>
          <w:tcPr>
            <w:tcW w:w="622" w:type="dxa"/>
            <w:gridSpan w:val="2"/>
            <w:tcBorders>
              <w:top w:val="nil"/>
              <w:left w:val="nil"/>
              <w:bottom w:val="nil"/>
              <w:right w:val="single" w:sz="8" w:space="0" w:color="auto"/>
            </w:tcBorders>
            <w:shd w:val="clear" w:color="auto" w:fill="auto"/>
            <w:vAlign w:val="center"/>
            <w:hideMark/>
          </w:tcPr>
          <w:p w:rsidR="0055491A" w:rsidRPr="006F2477" w:rsidRDefault="0055491A" w:rsidP="00210BF6">
            <w:pPr>
              <w:jc w:val="center"/>
              <w:rPr>
                <w:b/>
                <w:bCs/>
                <w:sz w:val="18"/>
                <w:szCs w:val="18"/>
              </w:rPr>
            </w:pPr>
            <w:r w:rsidRPr="006F2477">
              <w:rPr>
                <w:b/>
                <w:bCs/>
                <w:sz w:val="18"/>
                <w:szCs w:val="18"/>
              </w:rPr>
              <w:t>201</w:t>
            </w:r>
            <w:r>
              <w:rPr>
                <w:b/>
                <w:bCs/>
                <w:sz w:val="18"/>
                <w:szCs w:val="18"/>
              </w:rPr>
              <w:t>8 год</w:t>
            </w:r>
          </w:p>
        </w:tc>
        <w:tc>
          <w:tcPr>
            <w:tcW w:w="622" w:type="dxa"/>
            <w:gridSpan w:val="2"/>
            <w:tcBorders>
              <w:top w:val="nil"/>
              <w:left w:val="nil"/>
              <w:bottom w:val="nil"/>
              <w:right w:val="single" w:sz="8" w:space="0" w:color="auto"/>
            </w:tcBorders>
            <w:shd w:val="clear" w:color="auto" w:fill="auto"/>
            <w:vAlign w:val="center"/>
            <w:hideMark/>
          </w:tcPr>
          <w:p w:rsidR="0055491A" w:rsidRPr="006F2477" w:rsidRDefault="0055491A" w:rsidP="00210BF6">
            <w:pPr>
              <w:jc w:val="center"/>
              <w:rPr>
                <w:b/>
                <w:bCs/>
                <w:sz w:val="18"/>
                <w:szCs w:val="18"/>
              </w:rPr>
            </w:pPr>
            <w:r w:rsidRPr="006F2477">
              <w:rPr>
                <w:b/>
                <w:bCs/>
                <w:sz w:val="18"/>
                <w:szCs w:val="18"/>
              </w:rPr>
              <w:t>201</w:t>
            </w:r>
            <w:r>
              <w:rPr>
                <w:b/>
                <w:bCs/>
                <w:sz w:val="18"/>
                <w:szCs w:val="18"/>
              </w:rPr>
              <w:t>9 год</w:t>
            </w:r>
          </w:p>
        </w:tc>
        <w:tc>
          <w:tcPr>
            <w:tcW w:w="801" w:type="dxa"/>
            <w:tcBorders>
              <w:top w:val="nil"/>
              <w:left w:val="nil"/>
              <w:bottom w:val="nil"/>
              <w:right w:val="single" w:sz="8" w:space="0" w:color="auto"/>
            </w:tcBorders>
            <w:shd w:val="clear" w:color="auto" w:fill="auto"/>
            <w:vAlign w:val="center"/>
            <w:hideMark/>
          </w:tcPr>
          <w:p w:rsidR="0055491A" w:rsidRPr="006F2477" w:rsidRDefault="0055491A" w:rsidP="00210BF6">
            <w:pPr>
              <w:jc w:val="center"/>
              <w:rPr>
                <w:b/>
                <w:bCs/>
                <w:sz w:val="18"/>
                <w:szCs w:val="18"/>
              </w:rPr>
            </w:pPr>
            <w:r w:rsidRPr="006F2477">
              <w:rPr>
                <w:b/>
                <w:bCs/>
                <w:sz w:val="18"/>
                <w:szCs w:val="18"/>
              </w:rPr>
              <w:t>Количество, шт.(ст.3+ст.4+ст.5)/3</w:t>
            </w:r>
          </w:p>
        </w:tc>
        <w:tc>
          <w:tcPr>
            <w:tcW w:w="803" w:type="dxa"/>
            <w:tcBorders>
              <w:top w:val="nil"/>
              <w:left w:val="nil"/>
              <w:bottom w:val="nil"/>
              <w:right w:val="single" w:sz="8" w:space="0" w:color="auto"/>
            </w:tcBorders>
            <w:shd w:val="clear" w:color="auto" w:fill="auto"/>
            <w:vAlign w:val="center"/>
            <w:hideMark/>
          </w:tcPr>
          <w:p w:rsidR="0055491A" w:rsidRPr="006F2477" w:rsidRDefault="0055491A" w:rsidP="00210BF6">
            <w:pPr>
              <w:jc w:val="center"/>
              <w:rPr>
                <w:b/>
                <w:bCs/>
                <w:sz w:val="18"/>
                <w:szCs w:val="18"/>
              </w:rPr>
            </w:pPr>
            <w:r w:rsidRPr="006F2477">
              <w:rPr>
                <w:b/>
                <w:bCs/>
                <w:sz w:val="18"/>
                <w:szCs w:val="18"/>
              </w:rPr>
              <w:t>Сумма, тыс. руб.(ст.6хст.2)</w:t>
            </w:r>
          </w:p>
        </w:tc>
        <w:tc>
          <w:tcPr>
            <w:tcW w:w="801" w:type="dxa"/>
            <w:tcBorders>
              <w:top w:val="nil"/>
              <w:left w:val="nil"/>
              <w:bottom w:val="nil"/>
              <w:right w:val="single" w:sz="8" w:space="0" w:color="auto"/>
            </w:tcBorders>
            <w:shd w:val="clear" w:color="auto" w:fill="auto"/>
            <w:vAlign w:val="center"/>
            <w:hideMark/>
          </w:tcPr>
          <w:p w:rsidR="0055491A" w:rsidRPr="006F2477" w:rsidRDefault="0055491A" w:rsidP="00210BF6">
            <w:pPr>
              <w:jc w:val="center"/>
              <w:rPr>
                <w:b/>
                <w:bCs/>
                <w:sz w:val="18"/>
                <w:szCs w:val="18"/>
              </w:rPr>
            </w:pPr>
            <w:r w:rsidRPr="006F2477">
              <w:rPr>
                <w:b/>
                <w:bCs/>
                <w:sz w:val="18"/>
                <w:szCs w:val="18"/>
              </w:rPr>
              <w:t>Количество, шт.(ст.4+ст.5+ст.6)/3</w:t>
            </w:r>
          </w:p>
        </w:tc>
        <w:tc>
          <w:tcPr>
            <w:tcW w:w="803" w:type="dxa"/>
            <w:tcBorders>
              <w:top w:val="nil"/>
              <w:left w:val="nil"/>
              <w:bottom w:val="nil"/>
              <w:right w:val="single" w:sz="8" w:space="0" w:color="auto"/>
            </w:tcBorders>
            <w:shd w:val="clear" w:color="auto" w:fill="auto"/>
            <w:vAlign w:val="center"/>
            <w:hideMark/>
          </w:tcPr>
          <w:p w:rsidR="0055491A" w:rsidRPr="006F2477" w:rsidRDefault="0055491A" w:rsidP="00210BF6">
            <w:pPr>
              <w:jc w:val="center"/>
              <w:rPr>
                <w:b/>
                <w:bCs/>
                <w:sz w:val="18"/>
                <w:szCs w:val="18"/>
              </w:rPr>
            </w:pPr>
            <w:r w:rsidRPr="006F2477">
              <w:rPr>
                <w:b/>
                <w:bCs/>
                <w:sz w:val="18"/>
                <w:szCs w:val="18"/>
              </w:rPr>
              <w:t>Сумма, тыс. руб.(ст.8хст.2)</w:t>
            </w:r>
          </w:p>
        </w:tc>
        <w:tc>
          <w:tcPr>
            <w:tcW w:w="801" w:type="dxa"/>
            <w:tcBorders>
              <w:top w:val="nil"/>
              <w:left w:val="nil"/>
              <w:bottom w:val="nil"/>
              <w:right w:val="single" w:sz="8" w:space="0" w:color="auto"/>
            </w:tcBorders>
            <w:shd w:val="clear" w:color="auto" w:fill="auto"/>
            <w:vAlign w:val="center"/>
            <w:hideMark/>
          </w:tcPr>
          <w:p w:rsidR="0055491A" w:rsidRPr="006F2477" w:rsidRDefault="0055491A" w:rsidP="00210BF6">
            <w:pPr>
              <w:jc w:val="center"/>
              <w:rPr>
                <w:b/>
                <w:bCs/>
                <w:sz w:val="18"/>
                <w:szCs w:val="18"/>
              </w:rPr>
            </w:pPr>
            <w:r w:rsidRPr="006F2477">
              <w:rPr>
                <w:b/>
                <w:bCs/>
                <w:sz w:val="18"/>
                <w:szCs w:val="18"/>
              </w:rPr>
              <w:t>Количество, шт.(ст.5+ст.6+ст.8)/3</w:t>
            </w:r>
          </w:p>
        </w:tc>
        <w:tc>
          <w:tcPr>
            <w:tcW w:w="803" w:type="dxa"/>
            <w:tcBorders>
              <w:top w:val="nil"/>
              <w:left w:val="nil"/>
              <w:bottom w:val="nil"/>
              <w:right w:val="single" w:sz="8" w:space="0" w:color="auto"/>
            </w:tcBorders>
            <w:shd w:val="clear" w:color="auto" w:fill="auto"/>
            <w:vAlign w:val="center"/>
            <w:hideMark/>
          </w:tcPr>
          <w:p w:rsidR="0055491A" w:rsidRPr="006F2477" w:rsidRDefault="0055491A" w:rsidP="00210BF6">
            <w:pPr>
              <w:jc w:val="center"/>
              <w:rPr>
                <w:b/>
                <w:bCs/>
                <w:sz w:val="18"/>
                <w:szCs w:val="18"/>
              </w:rPr>
            </w:pPr>
            <w:r w:rsidRPr="006F2477">
              <w:rPr>
                <w:b/>
                <w:bCs/>
                <w:sz w:val="18"/>
                <w:szCs w:val="18"/>
              </w:rPr>
              <w:t>Сумма, тыс. руб.(ст.10хст.2)</w:t>
            </w:r>
          </w:p>
        </w:tc>
        <w:tc>
          <w:tcPr>
            <w:tcW w:w="801" w:type="dxa"/>
            <w:tcBorders>
              <w:top w:val="nil"/>
              <w:left w:val="nil"/>
              <w:bottom w:val="nil"/>
              <w:right w:val="single" w:sz="8" w:space="0" w:color="auto"/>
            </w:tcBorders>
            <w:shd w:val="clear" w:color="auto" w:fill="auto"/>
            <w:vAlign w:val="center"/>
            <w:hideMark/>
          </w:tcPr>
          <w:p w:rsidR="0055491A" w:rsidRPr="006F2477" w:rsidRDefault="0055491A" w:rsidP="00210BF6">
            <w:pPr>
              <w:jc w:val="center"/>
              <w:rPr>
                <w:b/>
                <w:bCs/>
                <w:sz w:val="18"/>
                <w:szCs w:val="18"/>
              </w:rPr>
            </w:pPr>
            <w:r w:rsidRPr="006F2477">
              <w:rPr>
                <w:b/>
                <w:bCs/>
                <w:sz w:val="18"/>
                <w:szCs w:val="18"/>
              </w:rPr>
              <w:t>Количество, шт.(ст.6+ст.8+ст.10)/3</w:t>
            </w:r>
          </w:p>
        </w:tc>
        <w:tc>
          <w:tcPr>
            <w:tcW w:w="803" w:type="dxa"/>
            <w:tcBorders>
              <w:top w:val="nil"/>
              <w:left w:val="nil"/>
              <w:bottom w:val="nil"/>
              <w:right w:val="single" w:sz="8" w:space="0" w:color="auto"/>
            </w:tcBorders>
            <w:shd w:val="clear" w:color="auto" w:fill="auto"/>
            <w:vAlign w:val="center"/>
            <w:hideMark/>
          </w:tcPr>
          <w:p w:rsidR="0055491A" w:rsidRPr="006F2477" w:rsidRDefault="0055491A" w:rsidP="00210BF6">
            <w:pPr>
              <w:jc w:val="center"/>
              <w:rPr>
                <w:b/>
                <w:bCs/>
                <w:sz w:val="18"/>
                <w:szCs w:val="18"/>
              </w:rPr>
            </w:pPr>
            <w:r w:rsidRPr="006F2477">
              <w:rPr>
                <w:b/>
                <w:bCs/>
                <w:sz w:val="18"/>
                <w:szCs w:val="18"/>
              </w:rPr>
              <w:t>Сумма, тыс. руб.(ст.12хст.2)</w:t>
            </w:r>
          </w:p>
        </w:tc>
      </w:tr>
      <w:tr w:rsidR="0055491A" w:rsidRPr="009370D3" w:rsidTr="00210BF6">
        <w:trPr>
          <w:trHeight w:val="270"/>
        </w:trPr>
        <w:tc>
          <w:tcPr>
            <w:tcW w:w="107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55491A" w:rsidRPr="009370D3" w:rsidRDefault="0055491A" w:rsidP="00210BF6">
            <w:pPr>
              <w:jc w:val="center"/>
              <w:rPr>
                <w:b/>
                <w:bCs/>
                <w:sz w:val="16"/>
                <w:szCs w:val="16"/>
              </w:rPr>
            </w:pPr>
            <w:r w:rsidRPr="009370D3">
              <w:rPr>
                <w:b/>
                <w:bCs/>
                <w:sz w:val="16"/>
                <w:szCs w:val="16"/>
              </w:rPr>
              <w:t>1</w:t>
            </w:r>
          </w:p>
        </w:tc>
        <w:tc>
          <w:tcPr>
            <w:tcW w:w="807" w:type="dxa"/>
            <w:tcBorders>
              <w:top w:val="single" w:sz="8" w:space="0" w:color="auto"/>
              <w:left w:val="nil"/>
              <w:bottom w:val="single" w:sz="8" w:space="0" w:color="auto"/>
              <w:right w:val="single" w:sz="8" w:space="0" w:color="auto"/>
            </w:tcBorders>
            <w:shd w:val="clear" w:color="auto" w:fill="auto"/>
            <w:noWrap/>
            <w:vAlign w:val="bottom"/>
            <w:hideMark/>
          </w:tcPr>
          <w:p w:rsidR="0055491A" w:rsidRPr="009370D3" w:rsidRDefault="0055491A" w:rsidP="00210BF6">
            <w:pPr>
              <w:jc w:val="center"/>
              <w:rPr>
                <w:b/>
                <w:bCs/>
                <w:sz w:val="16"/>
                <w:szCs w:val="16"/>
              </w:rPr>
            </w:pPr>
            <w:r w:rsidRPr="009370D3">
              <w:rPr>
                <w:b/>
                <w:bCs/>
                <w:sz w:val="16"/>
                <w:szCs w:val="16"/>
              </w:rPr>
              <w:t>2</w:t>
            </w:r>
          </w:p>
        </w:tc>
        <w:tc>
          <w:tcPr>
            <w:tcW w:w="621" w:type="dxa"/>
            <w:tcBorders>
              <w:top w:val="single" w:sz="8" w:space="0" w:color="auto"/>
              <w:left w:val="nil"/>
              <w:bottom w:val="single" w:sz="8" w:space="0" w:color="auto"/>
              <w:right w:val="nil"/>
            </w:tcBorders>
            <w:shd w:val="clear" w:color="auto" w:fill="auto"/>
            <w:noWrap/>
            <w:vAlign w:val="bottom"/>
            <w:hideMark/>
          </w:tcPr>
          <w:p w:rsidR="0055491A" w:rsidRPr="009370D3" w:rsidRDefault="0055491A" w:rsidP="00210BF6">
            <w:pPr>
              <w:jc w:val="center"/>
              <w:rPr>
                <w:b/>
                <w:bCs/>
                <w:sz w:val="16"/>
                <w:szCs w:val="16"/>
              </w:rPr>
            </w:pPr>
            <w:r w:rsidRPr="009370D3">
              <w:rPr>
                <w:b/>
                <w:bCs/>
                <w:sz w:val="16"/>
                <w:szCs w:val="16"/>
              </w:rPr>
              <w:t>3</w:t>
            </w:r>
          </w:p>
        </w:tc>
        <w:tc>
          <w:tcPr>
            <w:tcW w:w="622" w:type="dxa"/>
            <w:gridSpan w:val="2"/>
            <w:tcBorders>
              <w:top w:val="single" w:sz="8" w:space="0" w:color="auto"/>
              <w:left w:val="single" w:sz="8" w:space="0" w:color="auto"/>
              <w:bottom w:val="single" w:sz="8" w:space="0" w:color="auto"/>
              <w:right w:val="nil"/>
            </w:tcBorders>
            <w:shd w:val="clear" w:color="auto" w:fill="auto"/>
            <w:noWrap/>
            <w:vAlign w:val="bottom"/>
            <w:hideMark/>
          </w:tcPr>
          <w:p w:rsidR="0055491A" w:rsidRPr="009370D3" w:rsidRDefault="0055491A" w:rsidP="00210BF6">
            <w:pPr>
              <w:jc w:val="center"/>
              <w:rPr>
                <w:b/>
                <w:bCs/>
                <w:sz w:val="16"/>
                <w:szCs w:val="16"/>
              </w:rPr>
            </w:pPr>
            <w:r w:rsidRPr="009370D3">
              <w:rPr>
                <w:b/>
                <w:bCs/>
                <w:sz w:val="16"/>
                <w:szCs w:val="16"/>
              </w:rPr>
              <w:t>4</w:t>
            </w:r>
          </w:p>
        </w:tc>
        <w:tc>
          <w:tcPr>
            <w:tcW w:w="622"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5491A" w:rsidRPr="009370D3" w:rsidRDefault="0055491A" w:rsidP="00210BF6">
            <w:pPr>
              <w:jc w:val="center"/>
              <w:rPr>
                <w:b/>
                <w:bCs/>
                <w:sz w:val="16"/>
                <w:szCs w:val="16"/>
              </w:rPr>
            </w:pPr>
            <w:r w:rsidRPr="009370D3">
              <w:rPr>
                <w:b/>
                <w:bCs/>
                <w:sz w:val="16"/>
                <w:szCs w:val="16"/>
              </w:rPr>
              <w:t>5</w:t>
            </w:r>
          </w:p>
        </w:tc>
        <w:tc>
          <w:tcPr>
            <w:tcW w:w="801" w:type="dxa"/>
            <w:tcBorders>
              <w:top w:val="single" w:sz="8" w:space="0" w:color="auto"/>
              <w:left w:val="nil"/>
              <w:bottom w:val="single" w:sz="8" w:space="0" w:color="auto"/>
              <w:right w:val="nil"/>
            </w:tcBorders>
            <w:shd w:val="clear" w:color="auto" w:fill="auto"/>
            <w:noWrap/>
            <w:vAlign w:val="bottom"/>
            <w:hideMark/>
          </w:tcPr>
          <w:p w:rsidR="0055491A" w:rsidRPr="009370D3" w:rsidRDefault="0055491A" w:rsidP="00210BF6">
            <w:pPr>
              <w:jc w:val="center"/>
              <w:rPr>
                <w:b/>
                <w:bCs/>
                <w:sz w:val="16"/>
                <w:szCs w:val="16"/>
              </w:rPr>
            </w:pPr>
            <w:r w:rsidRPr="009370D3">
              <w:rPr>
                <w:b/>
                <w:bCs/>
                <w:sz w:val="16"/>
                <w:szCs w:val="16"/>
              </w:rPr>
              <w:t>6</w:t>
            </w:r>
          </w:p>
        </w:tc>
        <w:tc>
          <w:tcPr>
            <w:tcW w:w="80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5491A" w:rsidRPr="009370D3" w:rsidRDefault="0055491A" w:rsidP="00210BF6">
            <w:pPr>
              <w:jc w:val="center"/>
              <w:rPr>
                <w:b/>
                <w:bCs/>
                <w:sz w:val="16"/>
                <w:szCs w:val="16"/>
              </w:rPr>
            </w:pPr>
            <w:r w:rsidRPr="009370D3">
              <w:rPr>
                <w:b/>
                <w:bCs/>
                <w:sz w:val="16"/>
                <w:szCs w:val="16"/>
              </w:rPr>
              <w:t>7</w:t>
            </w:r>
          </w:p>
        </w:tc>
        <w:tc>
          <w:tcPr>
            <w:tcW w:w="801" w:type="dxa"/>
            <w:tcBorders>
              <w:top w:val="single" w:sz="8" w:space="0" w:color="auto"/>
              <w:left w:val="nil"/>
              <w:bottom w:val="single" w:sz="8" w:space="0" w:color="auto"/>
              <w:right w:val="single" w:sz="4" w:space="0" w:color="auto"/>
            </w:tcBorders>
            <w:shd w:val="clear" w:color="auto" w:fill="auto"/>
            <w:noWrap/>
            <w:vAlign w:val="bottom"/>
            <w:hideMark/>
          </w:tcPr>
          <w:p w:rsidR="0055491A" w:rsidRPr="009370D3" w:rsidRDefault="0055491A" w:rsidP="00210BF6">
            <w:pPr>
              <w:jc w:val="center"/>
              <w:rPr>
                <w:b/>
                <w:bCs/>
                <w:sz w:val="16"/>
                <w:szCs w:val="16"/>
              </w:rPr>
            </w:pPr>
            <w:r w:rsidRPr="009370D3">
              <w:rPr>
                <w:b/>
                <w:bCs/>
                <w:sz w:val="16"/>
                <w:szCs w:val="16"/>
              </w:rPr>
              <w:t>8</w:t>
            </w:r>
          </w:p>
        </w:tc>
        <w:tc>
          <w:tcPr>
            <w:tcW w:w="803" w:type="dxa"/>
            <w:tcBorders>
              <w:top w:val="single" w:sz="8" w:space="0" w:color="auto"/>
              <w:left w:val="nil"/>
              <w:bottom w:val="single" w:sz="8" w:space="0" w:color="auto"/>
              <w:right w:val="nil"/>
            </w:tcBorders>
            <w:shd w:val="clear" w:color="auto" w:fill="auto"/>
            <w:noWrap/>
            <w:vAlign w:val="bottom"/>
            <w:hideMark/>
          </w:tcPr>
          <w:p w:rsidR="0055491A" w:rsidRPr="009370D3" w:rsidRDefault="0055491A" w:rsidP="00210BF6">
            <w:pPr>
              <w:jc w:val="center"/>
              <w:rPr>
                <w:b/>
                <w:bCs/>
                <w:sz w:val="16"/>
                <w:szCs w:val="16"/>
              </w:rPr>
            </w:pPr>
            <w:r w:rsidRPr="009370D3">
              <w:rPr>
                <w:b/>
                <w:bCs/>
                <w:sz w:val="16"/>
                <w:szCs w:val="16"/>
              </w:rPr>
              <w:t>9</w:t>
            </w:r>
          </w:p>
        </w:tc>
        <w:tc>
          <w:tcPr>
            <w:tcW w:w="801" w:type="dxa"/>
            <w:tcBorders>
              <w:top w:val="single" w:sz="8" w:space="0" w:color="auto"/>
              <w:left w:val="single" w:sz="8" w:space="0" w:color="auto"/>
              <w:bottom w:val="single" w:sz="8" w:space="0" w:color="auto"/>
              <w:right w:val="nil"/>
            </w:tcBorders>
            <w:shd w:val="clear" w:color="auto" w:fill="auto"/>
            <w:noWrap/>
            <w:vAlign w:val="bottom"/>
            <w:hideMark/>
          </w:tcPr>
          <w:p w:rsidR="0055491A" w:rsidRPr="009370D3" w:rsidRDefault="0055491A" w:rsidP="00210BF6">
            <w:pPr>
              <w:jc w:val="center"/>
              <w:rPr>
                <w:b/>
                <w:bCs/>
                <w:sz w:val="16"/>
                <w:szCs w:val="16"/>
              </w:rPr>
            </w:pPr>
            <w:r w:rsidRPr="009370D3">
              <w:rPr>
                <w:b/>
                <w:bCs/>
                <w:sz w:val="16"/>
                <w:szCs w:val="16"/>
              </w:rPr>
              <w:t>10</w:t>
            </w:r>
          </w:p>
        </w:tc>
        <w:tc>
          <w:tcPr>
            <w:tcW w:w="80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5491A" w:rsidRPr="009370D3" w:rsidRDefault="0055491A" w:rsidP="00210BF6">
            <w:pPr>
              <w:jc w:val="center"/>
              <w:rPr>
                <w:b/>
                <w:bCs/>
                <w:sz w:val="16"/>
                <w:szCs w:val="16"/>
              </w:rPr>
            </w:pPr>
            <w:r w:rsidRPr="009370D3">
              <w:rPr>
                <w:b/>
                <w:bCs/>
                <w:sz w:val="16"/>
                <w:szCs w:val="16"/>
              </w:rPr>
              <w:t>11</w:t>
            </w:r>
          </w:p>
        </w:tc>
        <w:tc>
          <w:tcPr>
            <w:tcW w:w="801" w:type="dxa"/>
            <w:tcBorders>
              <w:top w:val="single" w:sz="8" w:space="0" w:color="auto"/>
              <w:left w:val="nil"/>
              <w:bottom w:val="single" w:sz="8" w:space="0" w:color="auto"/>
              <w:right w:val="single" w:sz="4" w:space="0" w:color="auto"/>
            </w:tcBorders>
            <w:shd w:val="clear" w:color="auto" w:fill="auto"/>
            <w:noWrap/>
            <w:vAlign w:val="bottom"/>
            <w:hideMark/>
          </w:tcPr>
          <w:p w:rsidR="0055491A" w:rsidRPr="009370D3" w:rsidRDefault="0055491A" w:rsidP="00210BF6">
            <w:pPr>
              <w:jc w:val="center"/>
              <w:rPr>
                <w:b/>
                <w:bCs/>
                <w:sz w:val="16"/>
                <w:szCs w:val="16"/>
              </w:rPr>
            </w:pPr>
            <w:r w:rsidRPr="009370D3">
              <w:rPr>
                <w:b/>
                <w:bCs/>
                <w:sz w:val="16"/>
                <w:szCs w:val="16"/>
              </w:rPr>
              <w:t>12</w:t>
            </w:r>
          </w:p>
        </w:tc>
        <w:tc>
          <w:tcPr>
            <w:tcW w:w="803" w:type="dxa"/>
            <w:tcBorders>
              <w:top w:val="single" w:sz="8" w:space="0" w:color="auto"/>
              <w:left w:val="nil"/>
              <w:bottom w:val="single" w:sz="8" w:space="0" w:color="auto"/>
              <w:right w:val="single" w:sz="8" w:space="0" w:color="auto"/>
            </w:tcBorders>
            <w:shd w:val="clear" w:color="auto" w:fill="auto"/>
            <w:noWrap/>
            <w:vAlign w:val="bottom"/>
            <w:hideMark/>
          </w:tcPr>
          <w:p w:rsidR="0055491A" w:rsidRPr="009370D3" w:rsidRDefault="0055491A" w:rsidP="00210BF6">
            <w:pPr>
              <w:jc w:val="center"/>
              <w:rPr>
                <w:b/>
                <w:bCs/>
                <w:sz w:val="16"/>
                <w:szCs w:val="16"/>
              </w:rPr>
            </w:pPr>
            <w:r w:rsidRPr="009370D3">
              <w:rPr>
                <w:b/>
                <w:bCs/>
                <w:sz w:val="16"/>
                <w:szCs w:val="16"/>
              </w:rPr>
              <w:t>13</w:t>
            </w:r>
          </w:p>
        </w:tc>
      </w:tr>
      <w:tr w:rsidR="0055491A" w:rsidRPr="009370D3" w:rsidTr="00210BF6">
        <w:trPr>
          <w:trHeight w:val="330"/>
        </w:trPr>
        <w:tc>
          <w:tcPr>
            <w:tcW w:w="1070" w:type="dxa"/>
            <w:vMerge w:val="restart"/>
            <w:tcBorders>
              <w:top w:val="single" w:sz="4" w:space="0" w:color="auto"/>
              <w:left w:val="single" w:sz="4" w:space="0" w:color="auto"/>
              <w:right w:val="single" w:sz="4" w:space="0" w:color="auto"/>
            </w:tcBorders>
            <w:shd w:val="clear" w:color="auto" w:fill="auto"/>
            <w:vAlign w:val="bottom"/>
          </w:tcPr>
          <w:p w:rsidR="0055491A" w:rsidRPr="005C15C5" w:rsidRDefault="0055491A" w:rsidP="00210BF6">
            <w:pPr>
              <w:rPr>
                <w:sz w:val="16"/>
                <w:szCs w:val="16"/>
              </w:rPr>
            </w:pPr>
            <w:r w:rsidRPr="005C15C5">
              <w:rPr>
                <w:sz w:val="16"/>
                <w:szCs w:val="16"/>
              </w:rPr>
              <w:t>ст. 25</w:t>
            </w:r>
          </w:p>
        </w:tc>
        <w:tc>
          <w:tcPr>
            <w:tcW w:w="807" w:type="dxa"/>
            <w:tcBorders>
              <w:top w:val="nil"/>
              <w:left w:val="nil"/>
              <w:bottom w:val="single" w:sz="8" w:space="0" w:color="000000"/>
              <w:right w:val="single" w:sz="8" w:space="0" w:color="000000"/>
            </w:tcBorders>
            <w:shd w:val="clear" w:color="auto" w:fill="auto"/>
            <w:vAlign w:val="bottom"/>
          </w:tcPr>
          <w:p w:rsidR="0055491A" w:rsidRPr="008A63F3" w:rsidRDefault="0055491A" w:rsidP="00210BF6">
            <w:pPr>
              <w:jc w:val="center"/>
              <w:rPr>
                <w:sz w:val="20"/>
                <w:szCs w:val="20"/>
              </w:rPr>
            </w:pPr>
            <w:r>
              <w:rPr>
                <w:sz w:val="20"/>
                <w:szCs w:val="20"/>
              </w:rPr>
              <w:t>1,5</w:t>
            </w:r>
          </w:p>
        </w:tc>
        <w:tc>
          <w:tcPr>
            <w:tcW w:w="621" w:type="dxa"/>
            <w:tcBorders>
              <w:top w:val="nil"/>
              <w:left w:val="nil"/>
              <w:bottom w:val="single" w:sz="8" w:space="0" w:color="000000"/>
              <w:right w:val="single" w:sz="8" w:space="0" w:color="000000"/>
            </w:tcBorders>
            <w:shd w:val="clear" w:color="auto" w:fill="auto"/>
            <w:vAlign w:val="bottom"/>
          </w:tcPr>
          <w:p w:rsidR="0055491A" w:rsidRPr="008A63F3" w:rsidRDefault="0055491A" w:rsidP="00210BF6">
            <w:pPr>
              <w:jc w:val="center"/>
              <w:rPr>
                <w:sz w:val="20"/>
                <w:szCs w:val="20"/>
              </w:rPr>
            </w:pPr>
            <w:r>
              <w:rPr>
                <w:sz w:val="20"/>
                <w:szCs w:val="20"/>
              </w:rPr>
              <w:t>0</w:t>
            </w:r>
          </w:p>
        </w:tc>
        <w:tc>
          <w:tcPr>
            <w:tcW w:w="622" w:type="dxa"/>
            <w:gridSpan w:val="2"/>
            <w:tcBorders>
              <w:top w:val="nil"/>
              <w:left w:val="nil"/>
              <w:bottom w:val="single" w:sz="8" w:space="0" w:color="000000"/>
              <w:right w:val="single" w:sz="8" w:space="0" w:color="000000"/>
            </w:tcBorders>
            <w:shd w:val="clear" w:color="auto" w:fill="auto"/>
            <w:vAlign w:val="bottom"/>
          </w:tcPr>
          <w:p w:rsidR="0055491A" w:rsidRPr="008A63F3" w:rsidRDefault="0055491A" w:rsidP="00210BF6">
            <w:pPr>
              <w:jc w:val="center"/>
              <w:rPr>
                <w:sz w:val="20"/>
                <w:szCs w:val="20"/>
              </w:rPr>
            </w:pPr>
            <w:r>
              <w:rPr>
                <w:sz w:val="20"/>
                <w:szCs w:val="20"/>
              </w:rPr>
              <w:t>0</w:t>
            </w:r>
          </w:p>
        </w:tc>
        <w:tc>
          <w:tcPr>
            <w:tcW w:w="622" w:type="dxa"/>
            <w:gridSpan w:val="2"/>
            <w:tcBorders>
              <w:top w:val="nil"/>
              <w:left w:val="nil"/>
              <w:bottom w:val="single" w:sz="8" w:space="0" w:color="000000"/>
              <w:right w:val="single" w:sz="8" w:space="0" w:color="000000"/>
            </w:tcBorders>
            <w:shd w:val="clear" w:color="auto" w:fill="auto"/>
            <w:vAlign w:val="bottom"/>
          </w:tcPr>
          <w:p w:rsidR="0055491A" w:rsidRPr="008A63F3" w:rsidRDefault="0055491A" w:rsidP="00210BF6">
            <w:pPr>
              <w:jc w:val="center"/>
              <w:rPr>
                <w:sz w:val="20"/>
                <w:szCs w:val="20"/>
              </w:rPr>
            </w:pPr>
            <w:r>
              <w:rPr>
                <w:sz w:val="20"/>
                <w:szCs w:val="20"/>
              </w:rPr>
              <w:t>1</w:t>
            </w:r>
          </w:p>
        </w:tc>
        <w:tc>
          <w:tcPr>
            <w:tcW w:w="801" w:type="dxa"/>
            <w:tcBorders>
              <w:top w:val="nil"/>
              <w:left w:val="nil"/>
              <w:bottom w:val="single" w:sz="8" w:space="0" w:color="000000"/>
              <w:right w:val="single" w:sz="8" w:space="0" w:color="000000"/>
            </w:tcBorders>
            <w:shd w:val="clear" w:color="auto" w:fill="auto"/>
            <w:vAlign w:val="bottom"/>
          </w:tcPr>
          <w:p w:rsidR="0055491A" w:rsidRPr="008A63F3" w:rsidRDefault="0055491A" w:rsidP="00210BF6">
            <w:pPr>
              <w:jc w:val="center"/>
              <w:rPr>
                <w:sz w:val="20"/>
                <w:szCs w:val="20"/>
              </w:rPr>
            </w:pPr>
            <w:r>
              <w:rPr>
                <w:sz w:val="20"/>
                <w:szCs w:val="20"/>
              </w:rPr>
              <w:t>1</w:t>
            </w:r>
          </w:p>
        </w:tc>
        <w:tc>
          <w:tcPr>
            <w:tcW w:w="803" w:type="dxa"/>
            <w:tcBorders>
              <w:top w:val="nil"/>
              <w:left w:val="nil"/>
              <w:bottom w:val="single" w:sz="8" w:space="0" w:color="000000"/>
              <w:right w:val="single" w:sz="8" w:space="0" w:color="000000"/>
            </w:tcBorders>
            <w:shd w:val="clear" w:color="auto" w:fill="auto"/>
            <w:vAlign w:val="bottom"/>
          </w:tcPr>
          <w:p w:rsidR="0055491A" w:rsidRPr="008A63F3" w:rsidRDefault="0055491A" w:rsidP="00210BF6">
            <w:pPr>
              <w:jc w:val="center"/>
              <w:rPr>
                <w:sz w:val="20"/>
                <w:szCs w:val="20"/>
              </w:rPr>
            </w:pPr>
            <w:r>
              <w:rPr>
                <w:sz w:val="20"/>
                <w:szCs w:val="20"/>
              </w:rPr>
              <w:t>1,5</w:t>
            </w:r>
          </w:p>
        </w:tc>
        <w:tc>
          <w:tcPr>
            <w:tcW w:w="801" w:type="dxa"/>
            <w:tcBorders>
              <w:top w:val="nil"/>
              <w:left w:val="nil"/>
              <w:bottom w:val="single" w:sz="8" w:space="0" w:color="000000"/>
              <w:right w:val="single" w:sz="8" w:space="0" w:color="000000"/>
            </w:tcBorders>
            <w:shd w:val="clear" w:color="auto" w:fill="auto"/>
            <w:vAlign w:val="bottom"/>
          </w:tcPr>
          <w:p w:rsidR="0055491A" w:rsidRPr="008A63F3" w:rsidRDefault="0055491A" w:rsidP="00210BF6">
            <w:pPr>
              <w:jc w:val="center"/>
              <w:rPr>
                <w:sz w:val="20"/>
                <w:szCs w:val="20"/>
              </w:rPr>
            </w:pPr>
            <w:r>
              <w:rPr>
                <w:sz w:val="20"/>
                <w:szCs w:val="20"/>
              </w:rPr>
              <w:t>1</w:t>
            </w:r>
          </w:p>
        </w:tc>
        <w:tc>
          <w:tcPr>
            <w:tcW w:w="803" w:type="dxa"/>
            <w:tcBorders>
              <w:top w:val="nil"/>
              <w:left w:val="nil"/>
              <w:bottom w:val="single" w:sz="8" w:space="0" w:color="000000"/>
              <w:right w:val="single" w:sz="8" w:space="0" w:color="000000"/>
            </w:tcBorders>
            <w:shd w:val="clear" w:color="auto" w:fill="auto"/>
            <w:vAlign w:val="bottom"/>
          </w:tcPr>
          <w:p w:rsidR="0055491A" w:rsidRPr="008A63F3" w:rsidRDefault="0055491A" w:rsidP="00210BF6">
            <w:pPr>
              <w:jc w:val="center"/>
              <w:rPr>
                <w:sz w:val="20"/>
                <w:szCs w:val="20"/>
              </w:rPr>
            </w:pPr>
            <w:r>
              <w:rPr>
                <w:sz w:val="20"/>
                <w:szCs w:val="20"/>
              </w:rPr>
              <w:t>1,5</w:t>
            </w:r>
          </w:p>
        </w:tc>
        <w:tc>
          <w:tcPr>
            <w:tcW w:w="801" w:type="dxa"/>
            <w:tcBorders>
              <w:top w:val="nil"/>
              <w:left w:val="nil"/>
              <w:bottom w:val="single" w:sz="8" w:space="0" w:color="000000"/>
              <w:right w:val="single" w:sz="8" w:space="0" w:color="000000"/>
            </w:tcBorders>
            <w:shd w:val="clear" w:color="auto" w:fill="auto"/>
            <w:vAlign w:val="bottom"/>
          </w:tcPr>
          <w:p w:rsidR="0055491A" w:rsidRPr="008A63F3" w:rsidRDefault="0055491A" w:rsidP="00210BF6">
            <w:pPr>
              <w:jc w:val="center"/>
              <w:rPr>
                <w:sz w:val="20"/>
                <w:szCs w:val="20"/>
              </w:rPr>
            </w:pPr>
            <w:r>
              <w:rPr>
                <w:sz w:val="20"/>
                <w:szCs w:val="20"/>
              </w:rPr>
              <w:t>1</w:t>
            </w:r>
          </w:p>
        </w:tc>
        <w:tc>
          <w:tcPr>
            <w:tcW w:w="803" w:type="dxa"/>
            <w:tcBorders>
              <w:top w:val="nil"/>
              <w:left w:val="nil"/>
              <w:bottom w:val="single" w:sz="8" w:space="0" w:color="000000"/>
              <w:right w:val="single" w:sz="8" w:space="0" w:color="000000"/>
            </w:tcBorders>
            <w:shd w:val="clear" w:color="auto" w:fill="auto"/>
            <w:vAlign w:val="bottom"/>
          </w:tcPr>
          <w:p w:rsidR="0055491A" w:rsidRPr="008A63F3" w:rsidRDefault="0055491A" w:rsidP="00210BF6">
            <w:pPr>
              <w:jc w:val="center"/>
              <w:rPr>
                <w:sz w:val="20"/>
                <w:szCs w:val="20"/>
              </w:rPr>
            </w:pPr>
            <w:r>
              <w:rPr>
                <w:sz w:val="20"/>
                <w:szCs w:val="20"/>
              </w:rPr>
              <w:t>1,5</w:t>
            </w:r>
          </w:p>
        </w:tc>
        <w:tc>
          <w:tcPr>
            <w:tcW w:w="801" w:type="dxa"/>
            <w:tcBorders>
              <w:top w:val="nil"/>
              <w:left w:val="nil"/>
              <w:bottom w:val="single" w:sz="8" w:space="0" w:color="000000"/>
              <w:right w:val="single" w:sz="8" w:space="0" w:color="000000"/>
            </w:tcBorders>
            <w:shd w:val="clear" w:color="auto" w:fill="auto"/>
            <w:vAlign w:val="bottom"/>
          </w:tcPr>
          <w:p w:rsidR="0055491A" w:rsidRPr="008A63F3" w:rsidRDefault="0055491A" w:rsidP="00210BF6">
            <w:pPr>
              <w:jc w:val="center"/>
              <w:rPr>
                <w:sz w:val="20"/>
                <w:szCs w:val="20"/>
              </w:rPr>
            </w:pPr>
            <w:r>
              <w:rPr>
                <w:sz w:val="20"/>
                <w:szCs w:val="20"/>
              </w:rPr>
              <w:t>1</w:t>
            </w:r>
          </w:p>
        </w:tc>
        <w:tc>
          <w:tcPr>
            <w:tcW w:w="803" w:type="dxa"/>
            <w:tcBorders>
              <w:top w:val="nil"/>
              <w:left w:val="nil"/>
              <w:bottom w:val="single" w:sz="8" w:space="0" w:color="000000"/>
              <w:right w:val="single" w:sz="8" w:space="0" w:color="000000"/>
            </w:tcBorders>
            <w:shd w:val="clear" w:color="auto" w:fill="auto"/>
            <w:vAlign w:val="bottom"/>
          </w:tcPr>
          <w:p w:rsidR="0055491A" w:rsidRPr="008A63F3" w:rsidRDefault="0055491A" w:rsidP="00210BF6">
            <w:pPr>
              <w:jc w:val="center"/>
              <w:rPr>
                <w:sz w:val="20"/>
                <w:szCs w:val="20"/>
              </w:rPr>
            </w:pPr>
            <w:r>
              <w:rPr>
                <w:sz w:val="20"/>
                <w:szCs w:val="20"/>
              </w:rPr>
              <w:t>1,5</w:t>
            </w:r>
          </w:p>
        </w:tc>
      </w:tr>
      <w:tr w:rsidR="0055491A" w:rsidRPr="009370D3" w:rsidTr="00210BF6">
        <w:trPr>
          <w:trHeight w:val="330"/>
        </w:trPr>
        <w:tc>
          <w:tcPr>
            <w:tcW w:w="1070" w:type="dxa"/>
            <w:vMerge/>
            <w:tcBorders>
              <w:left w:val="single" w:sz="4" w:space="0" w:color="auto"/>
              <w:right w:val="single" w:sz="4" w:space="0" w:color="auto"/>
            </w:tcBorders>
            <w:shd w:val="clear" w:color="auto" w:fill="auto"/>
            <w:vAlign w:val="bottom"/>
          </w:tcPr>
          <w:p w:rsidR="0055491A" w:rsidRPr="005C15C5" w:rsidRDefault="0055491A" w:rsidP="00210BF6">
            <w:pPr>
              <w:rPr>
                <w:sz w:val="16"/>
                <w:szCs w:val="16"/>
              </w:rPr>
            </w:pPr>
          </w:p>
        </w:tc>
        <w:tc>
          <w:tcPr>
            <w:tcW w:w="807" w:type="dxa"/>
            <w:tcBorders>
              <w:top w:val="nil"/>
              <w:left w:val="nil"/>
              <w:bottom w:val="single" w:sz="8" w:space="0" w:color="000000"/>
              <w:right w:val="single" w:sz="8" w:space="0" w:color="000000"/>
            </w:tcBorders>
            <w:shd w:val="clear" w:color="auto" w:fill="auto"/>
            <w:vAlign w:val="bottom"/>
          </w:tcPr>
          <w:p w:rsidR="0055491A" w:rsidRPr="008A63F3" w:rsidRDefault="0055491A" w:rsidP="00210BF6">
            <w:pPr>
              <w:jc w:val="center"/>
              <w:rPr>
                <w:sz w:val="20"/>
                <w:szCs w:val="20"/>
              </w:rPr>
            </w:pPr>
            <w:r>
              <w:rPr>
                <w:sz w:val="20"/>
                <w:szCs w:val="20"/>
              </w:rPr>
              <w:t>3,0</w:t>
            </w:r>
          </w:p>
        </w:tc>
        <w:tc>
          <w:tcPr>
            <w:tcW w:w="621" w:type="dxa"/>
            <w:tcBorders>
              <w:top w:val="nil"/>
              <w:left w:val="nil"/>
              <w:bottom w:val="single" w:sz="8" w:space="0" w:color="000000"/>
              <w:right w:val="single" w:sz="8" w:space="0" w:color="000000"/>
            </w:tcBorders>
            <w:shd w:val="clear" w:color="auto" w:fill="auto"/>
            <w:vAlign w:val="bottom"/>
          </w:tcPr>
          <w:p w:rsidR="0055491A" w:rsidRPr="008A63F3" w:rsidRDefault="0055491A" w:rsidP="00210BF6">
            <w:pPr>
              <w:jc w:val="center"/>
              <w:rPr>
                <w:sz w:val="20"/>
                <w:szCs w:val="20"/>
              </w:rPr>
            </w:pPr>
            <w:r>
              <w:rPr>
                <w:sz w:val="20"/>
                <w:szCs w:val="20"/>
              </w:rPr>
              <w:t>0</w:t>
            </w:r>
          </w:p>
        </w:tc>
        <w:tc>
          <w:tcPr>
            <w:tcW w:w="622" w:type="dxa"/>
            <w:gridSpan w:val="2"/>
            <w:tcBorders>
              <w:top w:val="nil"/>
              <w:left w:val="nil"/>
              <w:bottom w:val="single" w:sz="8" w:space="0" w:color="000000"/>
              <w:right w:val="single" w:sz="8" w:space="0" w:color="000000"/>
            </w:tcBorders>
            <w:shd w:val="clear" w:color="auto" w:fill="auto"/>
            <w:vAlign w:val="bottom"/>
          </w:tcPr>
          <w:p w:rsidR="0055491A" w:rsidRPr="008A63F3" w:rsidRDefault="0055491A" w:rsidP="00210BF6">
            <w:pPr>
              <w:jc w:val="center"/>
              <w:rPr>
                <w:sz w:val="20"/>
                <w:szCs w:val="20"/>
              </w:rPr>
            </w:pPr>
            <w:r>
              <w:rPr>
                <w:sz w:val="20"/>
                <w:szCs w:val="20"/>
              </w:rPr>
              <w:t>0</w:t>
            </w:r>
          </w:p>
        </w:tc>
        <w:tc>
          <w:tcPr>
            <w:tcW w:w="622" w:type="dxa"/>
            <w:gridSpan w:val="2"/>
            <w:tcBorders>
              <w:top w:val="nil"/>
              <w:left w:val="nil"/>
              <w:bottom w:val="single" w:sz="8" w:space="0" w:color="000000"/>
              <w:right w:val="single" w:sz="8" w:space="0" w:color="000000"/>
            </w:tcBorders>
            <w:shd w:val="clear" w:color="auto" w:fill="auto"/>
            <w:vAlign w:val="bottom"/>
          </w:tcPr>
          <w:p w:rsidR="0055491A" w:rsidRPr="008A63F3" w:rsidRDefault="0055491A" w:rsidP="00210BF6">
            <w:pPr>
              <w:jc w:val="center"/>
              <w:rPr>
                <w:sz w:val="20"/>
                <w:szCs w:val="20"/>
              </w:rPr>
            </w:pPr>
            <w:r>
              <w:rPr>
                <w:sz w:val="20"/>
                <w:szCs w:val="20"/>
              </w:rPr>
              <w:t>1</w:t>
            </w:r>
          </w:p>
        </w:tc>
        <w:tc>
          <w:tcPr>
            <w:tcW w:w="801" w:type="dxa"/>
            <w:tcBorders>
              <w:top w:val="nil"/>
              <w:left w:val="nil"/>
              <w:bottom w:val="single" w:sz="8" w:space="0" w:color="000000"/>
              <w:right w:val="single" w:sz="8" w:space="0" w:color="000000"/>
            </w:tcBorders>
            <w:shd w:val="clear" w:color="auto" w:fill="auto"/>
            <w:vAlign w:val="bottom"/>
          </w:tcPr>
          <w:p w:rsidR="0055491A" w:rsidRPr="008A63F3" w:rsidRDefault="0055491A" w:rsidP="00210BF6">
            <w:pPr>
              <w:jc w:val="center"/>
              <w:rPr>
                <w:sz w:val="20"/>
                <w:szCs w:val="20"/>
              </w:rPr>
            </w:pPr>
            <w:r>
              <w:rPr>
                <w:sz w:val="20"/>
                <w:szCs w:val="20"/>
              </w:rPr>
              <w:t>1</w:t>
            </w:r>
          </w:p>
        </w:tc>
        <w:tc>
          <w:tcPr>
            <w:tcW w:w="803" w:type="dxa"/>
            <w:tcBorders>
              <w:top w:val="nil"/>
              <w:left w:val="nil"/>
              <w:bottom w:val="single" w:sz="8" w:space="0" w:color="000000"/>
              <w:right w:val="single" w:sz="8" w:space="0" w:color="000000"/>
            </w:tcBorders>
            <w:shd w:val="clear" w:color="auto" w:fill="auto"/>
            <w:vAlign w:val="bottom"/>
          </w:tcPr>
          <w:p w:rsidR="0055491A" w:rsidRPr="008A63F3" w:rsidRDefault="0055491A" w:rsidP="00210BF6">
            <w:pPr>
              <w:jc w:val="center"/>
              <w:rPr>
                <w:sz w:val="20"/>
                <w:szCs w:val="20"/>
              </w:rPr>
            </w:pPr>
            <w:r>
              <w:rPr>
                <w:sz w:val="20"/>
                <w:szCs w:val="20"/>
              </w:rPr>
              <w:t>3,0</w:t>
            </w:r>
          </w:p>
        </w:tc>
        <w:tc>
          <w:tcPr>
            <w:tcW w:w="801" w:type="dxa"/>
            <w:tcBorders>
              <w:top w:val="nil"/>
              <w:left w:val="nil"/>
              <w:bottom w:val="single" w:sz="8" w:space="0" w:color="000000"/>
              <w:right w:val="single" w:sz="8" w:space="0" w:color="000000"/>
            </w:tcBorders>
            <w:shd w:val="clear" w:color="auto" w:fill="auto"/>
            <w:vAlign w:val="bottom"/>
          </w:tcPr>
          <w:p w:rsidR="0055491A" w:rsidRPr="008A63F3" w:rsidRDefault="0055491A" w:rsidP="00210BF6">
            <w:pPr>
              <w:jc w:val="center"/>
              <w:rPr>
                <w:sz w:val="20"/>
                <w:szCs w:val="20"/>
              </w:rPr>
            </w:pPr>
            <w:r>
              <w:rPr>
                <w:sz w:val="20"/>
                <w:szCs w:val="20"/>
              </w:rPr>
              <w:t>1</w:t>
            </w:r>
          </w:p>
        </w:tc>
        <w:tc>
          <w:tcPr>
            <w:tcW w:w="803" w:type="dxa"/>
            <w:tcBorders>
              <w:top w:val="nil"/>
              <w:left w:val="nil"/>
              <w:bottom w:val="single" w:sz="8" w:space="0" w:color="000000"/>
              <w:right w:val="single" w:sz="8" w:space="0" w:color="000000"/>
            </w:tcBorders>
            <w:shd w:val="clear" w:color="auto" w:fill="auto"/>
            <w:vAlign w:val="bottom"/>
          </w:tcPr>
          <w:p w:rsidR="0055491A" w:rsidRPr="008A63F3" w:rsidRDefault="0055491A" w:rsidP="00210BF6">
            <w:pPr>
              <w:jc w:val="center"/>
              <w:rPr>
                <w:sz w:val="20"/>
                <w:szCs w:val="20"/>
              </w:rPr>
            </w:pPr>
            <w:r>
              <w:rPr>
                <w:sz w:val="20"/>
                <w:szCs w:val="20"/>
              </w:rPr>
              <w:t>3,0</w:t>
            </w:r>
          </w:p>
        </w:tc>
        <w:tc>
          <w:tcPr>
            <w:tcW w:w="801" w:type="dxa"/>
            <w:tcBorders>
              <w:top w:val="nil"/>
              <w:left w:val="nil"/>
              <w:bottom w:val="single" w:sz="8" w:space="0" w:color="000000"/>
              <w:right w:val="single" w:sz="8" w:space="0" w:color="000000"/>
            </w:tcBorders>
            <w:shd w:val="clear" w:color="auto" w:fill="auto"/>
            <w:vAlign w:val="bottom"/>
          </w:tcPr>
          <w:p w:rsidR="0055491A" w:rsidRPr="008A63F3" w:rsidRDefault="0055491A" w:rsidP="00210BF6">
            <w:pPr>
              <w:jc w:val="center"/>
              <w:rPr>
                <w:sz w:val="20"/>
                <w:szCs w:val="20"/>
              </w:rPr>
            </w:pPr>
            <w:r>
              <w:rPr>
                <w:sz w:val="20"/>
                <w:szCs w:val="20"/>
              </w:rPr>
              <w:t>1</w:t>
            </w:r>
          </w:p>
        </w:tc>
        <w:tc>
          <w:tcPr>
            <w:tcW w:w="803" w:type="dxa"/>
            <w:tcBorders>
              <w:top w:val="nil"/>
              <w:left w:val="nil"/>
              <w:bottom w:val="single" w:sz="8" w:space="0" w:color="000000"/>
              <w:right w:val="single" w:sz="8" w:space="0" w:color="000000"/>
            </w:tcBorders>
            <w:shd w:val="clear" w:color="auto" w:fill="auto"/>
            <w:vAlign w:val="bottom"/>
          </w:tcPr>
          <w:p w:rsidR="0055491A" w:rsidRPr="008A63F3" w:rsidRDefault="0055491A" w:rsidP="00210BF6">
            <w:pPr>
              <w:jc w:val="center"/>
              <w:rPr>
                <w:sz w:val="20"/>
                <w:szCs w:val="20"/>
              </w:rPr>
            </w:pPr>
            <w:r>
              <w:rPr>
                <w:sz w:val="20"/>
                <w:szCs w:val="20"/>
              </w:rPr>
              <w:t>3,0</w:t>
            </w:r>
          </w:p>
        </w:tc>
        <w:tc>
          <w:tcPr>
            <w:tcW w:w="801" w:type="dxa"/>
            <w:tcBorders>
              <w:top w:val="nil"/>
              <w:left w:val="nil"/>
              <w:bottom w:val="single" w:sz="8" w:space="0" w:color="000000"/>
              <w:right w:val="single" w:sz="8" w:space="0" w:color="000000"/>
            </w:tcBorders>
            <w:shd w:val="clear" w:color="auto" w:fill="auto"/>
            <w:vAlign w:val="bottom"/>
          </w:tcPr>
          <w:p w:rsidR="0055491A" w:rsidRPr="008A63F3" w:rsidRDefault="0055491A" w:rsidP="00210BF6">
            <w:pPr>
              <w:jc w:val="center"/>
              <w:rPr>
                <w:sz w:val="20"/>
                <w:szCs w:val="20"/>
              </w:rPr>
            </w:pPr>
            <w:r>
              <w:rPr>
                <w:sz w:val="20"/>
                <w:szCs w:val="20"/>
              </w:rPr>
              <w:t>1</w:t>
            </w:r>
          </w:p>
        </w:tc>
        <w:tc>
          <w:tcPr>
            <w:tcW w:w="803" w:type="dxa"/>
            <w:tcBorders>
              <w:top w:val="nil"/>
              <w:left w:val="nil"/>
              <w:bottom w:val="single" w:sz="8" w:space="0" w:color="000000"/>
              <w:right w:val="single" w:sz="8" w:space="0" w:color="000000"/>
            </w:tcBorders>
            <w:shd w:val="clear" w:color="auto" w:fill="auto"/>
            <w:vAlign w:val="bottom"/>
          </w:tcPr>
          <w:p w:rsidR="0055491A" w:rsidRPr="008A63F3" w:rsidRDefault="0055491A" w:rsidP="00210BF6">
            <w:pPr>
              <w:jc w:val="center"/>
              <w:rPr>
                <w:sz w:val="20"/>
                <w:szCs w:val="20"/>
              </w:rPr>
            </w:pPr>
            <w:r>
              <w:rPr>
                <w:sz w:val="20"/>
                <w:szCs w:val="20"/>
              </w:rPr>
              <w:t>3,0</w:t>
            </w:r>
          </w:p>
        </w:tc>
      </w:tr>
      <w:tr w:rsidR="0055491A" w:rsidRPr="009370D3" w:rsidTr="00210BF6">
        <w:trPr>
          <w:trHeight w:val="330"/>
        </w:trPr>
        <w:tc>
          <w:tcPr>
            <w:tcW w:w="1070" w:type="dxa"/>
            <w:vMerge/>
            <w:tcBorders>
              <w:left w:val="single" w:sz="4" w:space="0" w:color="auto"/>
              <w:bottom w:val="single" w:sz="4" w:space="0" w:color="auto"/>
              <w:right w:val="single" w:sz="4" w:space="0" w:color="auto"/>
            </w:tcBorders>
            <w:shd w:val="clear" w:color="auto" w:fill="auto"/>
            <w:vAlign w:val="bottom"/>
          </w:tcPr>
          <w:p w:rsidR="0055491A" w:rsidRPr="005C15C5" w:rsidRDefault="0055491A" w:rsidP="00210BF6">
            <w:pPr>
              <w:rPr>
                <w:sz w:val="16"/>
                <w:szCs w:val="16"/>
              </w:rPr>
            </w:pPr>
          </w:p>
        </w:tc>
        <w:tc>
          <w:tcPr>
            <w:tcW w:w="807" w:type="dxa"/>
            <w:tcBorders>
              <w:top w:val="nil"/>
              <w:left w:val="nil"/>
              <w:bottom w:val="single" w:sz="8" w:space="0" w:color="000000"/>
              <w:right w:val="single" w:sz="8" w:space="0" w:color="000000"/>
            </w:tcBorders>
            <w:shd w:val="clear" w:color="auto" w:fill="auto"/>
            <w:vAlign w:val="bottom"/>
          </w:tcPr>
          <w:p w:rsidR="0055491A" w:rsidRPr="008A63F3" w:rsidRDefault="0055491A" w:rsidP="00210BF6">
            <w:pPr>
              <w:jc w:val="center"/>
              <w:rPr>
                <w:sz w:val="20"/>
                <w:szCs w:val="20"/>
              </w:rPr>
            </w:pPr>
            <w:r w:rsidRPr="008A63F3">
              <w:rPr>
                <w:sz w:val="20"/>
                <w:szCs w:val="20"/>
              </w:rPr>
              <w:t>5,0</w:t>
            </w:r>
          </w:p>
        </w:tc>
        <w:tc>
          <w:tcPr>
            <w:tcW w:w="621" w:type="dxa"/>
            <w:tcBorders>
              <w:top w:val="nil"/>
              <w:left w:val="nil"/>
              <w:bottom w:val="single" w:sz="8" w:space="0" w:color="000000"/>
              <w:right w:val="single" w:sz="8" w:space="0" w:color="000000"/>
            </w:tcBorders>
            <w:shd w:val="clear" w:color="auto" w:fill="auto"/>
            <w:vAlign w:val="bottom"/>
          </w:tcPr>
          <w:p w:rsidR="0055491A" w:rsidRPr="008A63F3" w:rsidRDefault="0055491A" w:rsidP="00210BF6">
            <w:pPr>
              <w:jc w:val="center"/>
              <w:rPr>
                <w:sz w:val="20"/>
                <w:szCs w:val="20"/>
              </w:rPr>
            </w:pPr>
            <w:r w:rsidRPr="008A63F3">
              <w:rPr>
                <w:sz w:val="20"/>
                <w:szCs w:val="20"/>
              </w:rPr>
              <w:t>3</w:t>
            </w:r>
          </w:p>
        </w:tc>
        <w:tc>
          <w:tcPr>
            <w:tcW w:w="622" w:type="dxa"/>
            <w:gridSpan w:val="2"/>
            <w:tcBorders>
              <w:top w:val="nil"/>
              <w:left w:val="nil"/>
              <w:bottom w:val="single" w:sz="8" w:space="0" w:color="000000"/>
              <w:right w:val="single" w:sz="8" w:space="0" w:color="000000"/>
            </w:tcBorders>
            <w:shd w:val="clear" w:color="auto" w:fill="auto"/>
            <w:vAlign w:val="bottom"/>
          </w:tcPr>
          <w:p w:rsidR="0055491A" w:rsidRPr="008A63F3" w:rsidRDefault="0055491A" w:rsidP="00210BF6">
            <w:pPr>
              <w:jc w:val="center"/>
              <w:rPr>
                <w:sz w:val="20"/>
                <w:szCs w:val="20"/>
              </w:rPr>
            </w:pPr>
            <w:r w:rsidRPr="008A63F3">
              <w:rPr>
                <w:sz w:val="20"/>
                <w:szCs w:val="20"/>
              </w:rPr>
              <w:t>24</w:t>
            </w:r>
          </w:p>
        </w:tc>
        <w:tc>
          <w:tcPr>
            <w:tcW w:w="622" w:type="dxa"/>
            <w:gridSpan w:val="2"/>
            <w:tcBorders>
              <w:top w:val="nil"/>
              <w:left w:val="nil"/>
              <w:bottom w:val="single" w:sz="8" w:space="0" w:color="000000"/>
              <w:right w:val="single" w:sz="8" w:space="0" w:color="000000"/>
            </w:tcBorders>
            <w:shd w:val="clear" w:color="auto" w:fill="auto"/>
            <w:vAlign w:val="bottom"/>
          </w:tcPr>
          <w:p w:rsidR="0055491A" w:rsidRPr="008A63F3" w:rsidRDefault="0055491A" w:rsidP="00210BF6">
            <w:pPr>
              <w:jc w:val="center"/>
              <w:rPr>
                <w:sz w:val="20"/>
                <w:szCs w:val="20"/>
              </w:rPr>
            </w:pPr>
            <w:r>
              <w:rPr>
                <w:sz w:val="20"/>
                <w:szCs w:val="20"/>
              </w:rPr>
              <w:t>1</w:t>
            </w:r>
          </w:p>
        </w:tc>
        <w:tc>
          <w:tcPr>
            <w:tcW w:w="801" w:type="dxa"/>
            <w:tcBorders>
              <w:top w:val="nil"/>
              <w:left w:val="nil"/>
              <w:bottom w:val="single" w:sz="8" w:space="0" w:color="000000"/>
              <w:right w:val="single" w:sz="8" w:space="0" w:color="000000"/>
            </w:tcBorders>
            <w:shd w:val="clear" w:color="auto" w:fill="auto"/>
            <w:vAlign w:val="bottom"/>
          </w:tcPr>
          <w:p w:rsidR="0055491A" w:rsidRPr="008A63F3" w:rsidRDefault="0055491A" w:rsidP="00210BF6">
            <w:pPr>
              <w:jc w:val="center"/>
              <w:rPr>
                <w:sz w:val="20"/>
                <w:szCs w:val="20"/>
              </w:rPr>
            </w:pPr>
            <w:r>
              <w:rPr>
                <w:sz w:val="20"/>
                <w:szCs w:val="20"/>
              </w:rPr>
              <w:t>9</w:t>
            </w:r>
          </w:p>
        </w:tc>
        <w:tc>
          <w:tcPr>
            <w:tcW w:w="803" w:type="dxa"/>
            <w:tcBorders>
              <w:top w:val="nil"/>
              <w:left w:val="nil"/>
              <w:bottom w:val="single" w:sz="8" w:space="0" w:color="000000"/>
              <w:right w:val="single" w:sz="8" w:space="0" w:color="000000"/>
            </w:tcBorders>
            <w:shd w:val="clear" w:color="auto" w:fill="auto"/>
            <w:vAlign w:val="bottom"/>
          </w:tcPr>
          <w:p w:rsidR="0055491A" w:rsidRPr="008A63F3" w:rsidRDefault="0055491A" w:rsidP="00210BF6">
            <w:pPr>
              <w:jc w:val="center"/>
              <w:rPr>
                <w:sz w:val="20"/>
                <w:szCs w:val="20"/>
              </w:rPr>
            </w:pPr>
            <w:r>
              <w:rPr>
                <w:sz w:val="20"/>
                <w:szCs w:val="20"/>
              </w:rPr>
              <w:t>45,0</w:t>
            </w:r>
          </w:p>
        </w:tc>
        <w:tc>
          <w:tcPr>
            <w:tcW w:w="801" w:type="dxa"/>
            <w:tcBorders>
              <w:top w:val="nil"/>
              <w:left w:val="nil"/>
              <w:bottom w:val="single" w:sz="8" w:space="0" w:color="000000"/>
              <w:right w:val="single" w:sz="8" w:space="0" w:color="000000"/>
            </w:tcBorders>
            <w:shd w:val="clear" w:color="auto" w:fill="auto"/>
            <w:vAlign w:val="bottom"/>
          </w:tcPr>
          <w:p w:rsidR="0055491A" w:rsidRPr="008A63F3" w:rsidRDefault="0055491A" w:rsidP="00210BF6">
            <w:pPr>
              <w:jc w:val="center"/>
              <w:rPr>
                <w:sz w:val="20"/>
                <w:szCs w:val="20"/>
              </w:rPr>
            </w:pPr>
            <w:r>
              <w:rPr>
                <w:sz w:val="20"/>
                <w:szCs w:val="20"/>
              </w:rPr>
              <w:t>11</w:t>
            </w:r>
          </w:p>
        </w:tc>
        <w:tc>
          <w:tcPr>
            <w:tcW w:w="803" w:type="dxa"/>
            <w:tcBorders>
              <w:top w:val="nil"/>
              <w:left w:val="nil"/>
              <w:bottom w:val="single" w:sz="8" w:space="0" w:color="000000"/>
              <w:right w:val="single" w:sz="8" w:space="0" w:color="000000"/>
            </w:tcBorders>
            <w:shd w:val="clear" w:color="auto" w:fill="auto"/>
            <w:vAlign w:val="bottom"/>
          </w:tcPr>
          <w:p w:rsidR="0055491A" w:rsidRPr="008A63F3" w:rsidRDefault="0055491A" w:rsidP="00210BF6">
            <w:pPr>
              <w:jc w:val="center"/>
              <w:rPr>
                <w:sz w:val="20"/>
                <w:szCs w:val="20"/>
              </w:rPr>
            </w:pPr>
            <w:r>
              <w:rPr>
                <w:sz w:val="20"/>
                <w:szCs w:val="20"/>
              </w:rPr>
              <w:t>55,0</w:t>
            </w:r>
          </w:p>
        </w:tc>
        <w:tc>
          <w:tcPr>
            <w:tcW w:w="801" w:type="dxa"/>
            <w:tcBorders>
              <w:top w:val="nil"/>
              <w:left w:val="nil"/>
              <w:bottom w:val="single" w:sz="8" w:space="0" w:color="000000"/>
              <w:right w:val="single" w:sz="8" w:space="0" w:color="000000"/>
            </w:tcBorders>
            <w:shd w:val="clear" w:color="auto" w:fill="auto"/>
            <w:vAlign w:val="bottom"/>
          </w:tcPr>
          <w:p w:rsidR="0055491A" w:rsidRPr="008A63F3" w:rsidRDefault="0055491A" w:rsidP="00210BF6">
            <w:pPr>
              <w:jc w:val="center"/>
              <w:rPr>
                <w:sz w:val="20"/>
                <w:szCs w:val="20"/>
              </w:rPr>
            </w:pPr>
            <w:r>
              <w:rPr>
                <w:sz w:val="20"/>
                <w:szCs w:val="20"/>
              </w:rPr>
              <w:t>7</w:t>
            </w:r>
          </w:p>
        </w:tc>
        <w:tc>
          <w:tcPr>
            <w:tcW w:w="803" w:type="dxa"/>
            <w:tcBorders>
              <w:top w:val="nil"/>
              <w:left w:val="nil"/>
              <w:bottom w:val="single" w:sz="8" w:space="0" w:color="000000"/>
              <w:right w:val="single" w:sz="8" w:space="0" w:color="000000"/>
            </w:tcBorders>
            <w:shd w:val="clear" w:color="auto" w:fill="auto"/>
            <w:vAlign w:val="bottom"/>
          </w:tcPr>
          <w:p w:rsidR="0055491A" w:rsidRPr="008A63F3" w:rsidRDefault="0055491A" w:rsidP="00210BF6">
            <w:pPr>
              <w:jc w:val="center"/>
              <w:rPr>
                <w:sz w:val="20"/>
                <w:szCs w:val="20"/>
              </w:rPr>
            </w:pPr>
            <w:r>
              <w:rPr>
                <w:sz w:val="20"/>
                <w:szCs w:val="20"/>
              </w:rPr>
              <w:t>35,0</w:t>
            </w:r>
          </w:p>
        </w:tc>
        <w:tc>
          <w:tcPr>
            <w:tcW w:w="801" w:type="dxa"/>
            <w:tcBorders>
              <w:top w:val="nil"/>
              <w:left w:val="nil"/>
              <w:bottom w:val="single" w:sz="8" w:space="0" w:color="000000"/>
              <w:right w:val="single" w:sz="8" w:space="0" w:color="000000"/>
            </w:tcBorders>
            <w:shd w:val="clear" w:color="auto" w:fill="auto"/>
            <w:vAlign w:val="bottom"/>
          </w:tcPr>
          <w:p w:rsidR="0055491A" w:rsidRPr="008A63F3" w:rsidRDefault="0055491A" w:rsidP="00210BF6">
            <w:pPr>
              <w:jc w:val="center"/>
              <w:rPr>
                <w:sz w:val="20"/>
                <w:szCs w:val="20"/>
              </w:rPr>
            </w:pPr>
            <w:r>
              <w:rPr>
                <w:sz w:val="20"/>
                <w:szCs w:val="20"/>
              </w:rPr>
              <w:t>9</w:t>
            </w:r>
          </w:p>
        </w:tc>
        <w:tc>
          <w:tcPr>
            <w:tcW w:w="803" w:type="dxa"/>
            <w:tcBorders>
              <w:top w:val="nil"/>
              <w:left w:val="nil"/>
              <w:bottom w:val="single" w:sz="8" w:space="0" w:color="000000"/>
              <w:right w:val="single" w:sz="8" w:space="0" w:color="000000"/>
            </w:tcBorders>
            <w:shd w:val="clear" w:color="auto" w:fill="auto"/>
            <w:vAlign w:val="bottom"/>
          </w:tcPr>
          <w:p w:rsidR="0055491A" w:rsidRPr="008A63F3" w:rsidRDefault="0055491A" w:rsidP="00210BF6">
            <w:pPr>
              <w:jc w:val="center"/>
              <w:rPr>
                <w:sz w:val="20"/>
                <w:szCs w:val="20"/>
              </w:rPr>
            </w:pPr>
            <w:r>
              <w:rPr>
                <w:sz w:val="20"/>
                <w:szCs w:val="20"/>
              </w:rPr>
              <w:t>45,0</w:t>
            </w:r>
          </w:p>
        </w:tc>
      </w:tr>
      <w:tr w:rsidR="0055491A" w:rsidRPr="009370D3" w:rsidTr="00210BF6">
        <w:trPr>
          <w:trHeight w:val="330"/>
        </w:trPr>
        <w:tc>
          <w:tcPr>
            <w:tcW w:w="1070" w:type="dxa"/>
            <w:vMerge w:val="restart"/>
            <w:tcBorders>
              <w:top w:val="single" w:sz="4" w:space="0" w:color="auto"/>
              <w:left w:val="single" w:sz="4" w:space="0" w:color="auto"/>
              <w:right w:val="single" w:sz="4" w:space="0" w:color="auto"/>
            </w:tcBorders>
            <w:shd w:val="clear" w:color="auto" w:fill="auto"/>
            <w:vAlign w:val="bottom"/>
          </w:tcPr>
          <w:p w:rsidR="0055491A" w:rsidRPr="005C15C5" w:rsidRDefault="0055491A" w:rsidP="00210BF6">
            <w:pPr>
              <w:rPr>
                <w:sz w:val="16"/>
                <w:szCs w:val="16"/>
              </w:rPr>
            </w:pPr>
            <w:r w:rsidRPr="005C15C5">
              <w:rPr>
                <w:sz w:val="16"/>
                <w:szCs w:val="16"/>
              </w:rPr>
              <w:t xml:space="preserve">ст. 26 </w:t>
            </w:r>
          </w:p>
        </w:tc>
        <w:tc>
          <w:tcPr>
            <w:tcW w:w="807" w:type="dxa"/>
            <w:tcBorders>
              <w:top w:val="nil"/>
              <w:left w:val="nil"/>
              <w:bottom w:val="single" w:sz="8" w:space="0" w:color="000000"/>
              <w:right w:val="single" w:sz="8" w:space="0" w:color="000000"/>
            </w:tcBorders>
            <w:shd w:val="clear" w:color="auto" w:fill="auto"/>
            <w:vAlign w:val="bottom"/>
          </w:tcPr>
          <w:p w:rsidR="0055491A" w:rsidRPr="008A63F3" w:rsidRDefault="0055491A" w:rsidP="00210BF6">
            <w:pPr>
              <w:jc w:val="center"/>
              <w:rPr>
                <w:sz w:val="20"/>
                <w:szCs w:val="20"/>
              </w:rPr>
            </w:pPr>
            <w:r>
              <w:rPr>
                <w:sz w:val="20"/>
                <w:szCs w:val="20"/>
              </w:rPr>
              <w:t>2,5</w:t>
            </w:r>
          </w:p>
        </w:tc>
        <w:tc>
          <w:tcPr>
            <w:tcW w:w="621" w:type="dxa"/>
            <w:tcBorders>
              <w:top w:val="nil"/>
              <w:left w:val="nil"/>
              <w:bottom w:val="single" w:sz="8" w:space="0" w:color="000000"/>
              <w:right w:val="single" w:sz="8" w:space="0" w:color="000000"/>
            </w:tcBorders>
            <w:shd w:val="clear" w:color="auto" w:fill="auto"/>
            <w:vAlign w:val="bottom"/>
          </w:tcPr>
          <w:p w:rsidR="0055491A" w:rsidRPr="008A63F3" w:rsidRDefault="0055491A" w:rsidP="00210BF6">
            <w:pPr>
              <w:jc w:val="center"/>
              <w:rPr>
                <w:sz w:val="20"/>
                <w:szCs w:val="20"/>
              </w:rPr>
            </w:pPr>
            <w:r>
              <w:rPr>
                <w:sz w:val="20"/>
                <w:szCs w:val="20"/>
              </w:rPr>
              <w:t>0</w:t>
            </w:r>
          </w:p>
        </w:tc>
        <w:tc>
          <w:tcPr>
            <w:tcW w:w="622" w:type="dxa"/>
            <w:gridSpan w:val="2"/>
            <w:tcBorders>
              <w:top w:val="nil"/>
              <w:left w:val="nil"/>
              <w:bottom w:val="single" w:sz="8" w:space="0" w:color="000000"/>
              <w:right w:val="single" w:sz="8" w:space="0" w:color="000000"/>
            </w:tcBorders>
            <w:shd w:val="clear" w:color="auto" w:fill="auto"/>
            <w:vAlign w:val="bottom"/>
          </w:tcPr>
          <w:p w:rsidR="0055491A" w:rsidRPr="008A63F3" w:rsidRDefault="0055491A" w:rsidP="00210BF6">
            <w:pPr>
              <w:jc w:val="center"/>
              <w:rPr>
                <w:sz w:val="20"/>
                <w:szCs w:val="20"/>
              </w:rPr>
            </w:pPr>
            <w:r>
              <w:rPr>
                <w:sz w:val="20"/>
                <w:szCs w:val="20"/>
              </w:rPr>
              <w:t>0</w:t>
            </w:r>
          </w:p>
        </w:tc>
        <w:tc>
          <w:tcPr>
            <w:tcW w:w="622" w:type="dxa"/>
            <w:gridSpan w:val="2"/>
            <w:tcBorders>
              <w:top w:val="nil"/>
              <w:left w:val="nil"/>
              <w:bottom w:val="single" w:sz="8" w:space="0" w:color="000000"/>
              <w:right w:val="single" w:sz="8" w:space="0" w:color="000000"/>
            </w:tcBorders>
            <w:shd w:val="clear" w:color="auto" w:fill="auto"/>
            <w:vAlign w:val="bottom"/>
          </w:tcPr>
          <w:p w:rsidR="0055491A" w:rsidRPr="008A63F3" w:rsidRDefault="0055491A" w:rsidP="00210BF6">
            <w:pPr>
              <w:jc w:val="center"/>
              <w:rPr>
                <w:sz w:val="20"/>
                <w:szCs w:val="20"/>
              </w:rPr>
            </w:pPr>
            <w:r>
              <w:rPr>
                <w:sz w:val="20"/>
                <w:szCs w:val="20"/>
              </w:rPr>
              <w:t>2</w:t>
            </w:r>
          </w:p>
        </w:tc>
        <w:tc>
          <w:tcPr>
            <w:tcW w:w="801" w:type="dxa"/>
            <w:tcBorders>
              <w:top w:val="nil"/>
              <w:left w:val="nil"/>
              <w:bottom w:val="single" w:sz="8" w:space="0" w:color="000000"/>
              <w:right w:val="single" w:sz="8" w:space="0" w:color="000000"/>
            </w:tcBorders>
            <w:shd w:val="clear" w:color="auto" w:fill="auto"/>
            <w:vAlign w:val="bottom"/>
          </w:tcPr>
          <w:p w:rsidR="0055491A" w:rsidRPr="008A63F3" w:rsidRDefault="0055491A" w:rsidP="00210BF6">
            <w:pPr>
              <w:jc w:val="center"/>
              <w:rPr>
                <w:sz w:val="20"/>
                <w:szCs w:val="20"/>
              </w:rPr>
            </w:pPr>
            <w:r>
              <w:rPr>
                <w:sz w:val="20"/>
                <w:szCs w:val="20"/>
              </w:rPr>
              <w:t>1</w:t>
            </w:r>
          </w:p>
        </w:tc>
        <w:tc>
          <w:tcPr>
            <w:tcW w:w="803" w:type="dxa"/>
            <w:tcBorders>
              <w:top w:val="nil"/>
              <w:left w:val="nil"/>
              <w:bottom w:val="single" w:sz="8" w:space="0" w:color="000000"/>
              <w:right w:val="single" w:sz="8" w:space="0" w:color="000000"/>
            </w:tcBorders>
            <w:shd w:val="clear" w:color="auto" w:fill="auto"/>
            <w:vAlign w:val="bottom"/>
          </w:tcPr>
          <w:p w:rsidR="0055491A" w:rsidRPr="008A63F3" w:rsidRDefault="0055491A" w:rsidP="00210BF6">
            <w:pPr>
              <w:jc w:val="center"/>
              <w:rPr>
                <w:sz w:val="20"/>
                <w:szCs w:val="20"/>
              </w:rPr>
            </w:pPr>
            <w:r>
              <w:rPr>
                <w:sz w:val="20"/>
                <w:szCs w:val="20"/>
              </w:rPr>
              <w:t>2,5</w:t>
            </w:r>
          </w:p>
        </w:tc>
        <w:tc>
          <w:tcPr>
            <w:tcW w:w="801" w:type="dxa"/>
            <w:tcBorders>
              <w:top w:val="nil"/>
              <w:left w:val="nil"/>
              <w:bottom w:val="single" w:sz="8" w:space="0" w:color="000000"/>
              <w:right w:val="single" w:sz="8" w:space="0" w:color="000000"/>
            </w:tcBorders>
            <w:shd w:val="clear" w:color="auto" w:fill="auto"/>
            <w:vAlign w:val="bottom"/>
          </w:tcPr>
          <w:p w:rsidR="0055491A" w:rsidRPr="008A63F3" w:rsidRDefault="0055491A" w:rsidP="00210BF6">
            <w:pPr>
              <w:jc w:val="center"/>
              <w:rPr>
                <w:sz w:val="20"/>
                <w:szCs w:val="20"/>
              </w:rPr>
            </w:pPr>
            <w:r>
              <w:rPr>
                <w:sz w:val="20"/>
                <w:szCs w:val="20"/>
              </w:rPr>
              <w:t>1</w:t>
            </w:r>
          </w:p>
        </w:tc>
        <w:tc>
          <w:tcPr>
            <w:tcW w:w="803" w:type="dxa"/>
            <w:tcBorders>
              <w:top w:val="nil"/>
              <w:left w:val="nil"/>
              <w:bottom w:val="single" w:sz="8" w:space="0" w:color="000000"/>
              <w:right w:val="single" w:sz="8" w:space="0" w:color="000000"/>
            </w:tcBorders>
            <w:shd w:val="clear" w:color="auto" w:fill="auto"/>
            <w:vAlign w:val="bottom"/>
          </w:tcPr>
          <w:p w:rsidR="0055491A" w:rsidRPr="008A63F3" w:rsidRDefault="0055491A" w:rsidP="00210BF6">
            <w:pPr>
              <w:jc w:val="center"/>
              <w:rPr>
                <w:sz w:val="20"/>
                <w:szCs w:val="20"/>
              </w:rPr>
            </w:pPr>
            <w:r>
              <w:rPr>
                <w:sz w:val="20"/>
                <w:szCs w:val="20"/>
              </w:rPr>
              <w:t>2,5</w:t>
            </w:r>
          </w:p>
        </w:tc>
        <w:tc>
          <w:tcPr>
            <w:tcW w:w="801" w:type="dxa"/>
            <w:tcBorders>
              <w:top w:val="nil"/>
              <w:left w:val="nil"/>
              <w:bottom w:val="single" w:sz="8" w:space="0" w:color="000000"/>
              <w:right w:val="single" w:sz="8" w:space="0" w:color="000000"/>
            </w:tcBorders>
            <w:shd w:val="clear" w:color="auto" w:fill="auto"/>
            <w:vAlign w:val="bottom"/>
          </w:tcPr>
          <w:p w:rsidR="0055491A" w:rsidRPr="008A63F3" w:rsidRDefault="0055491A" w:rsidP="00210BF6">
            <w:pPr>
              <w:jc w:val="center"/>
              <w:rPr>
                <w:sz w:val="20"/>
                <w:szCs w:val="20"/>
              </w:rPr>
            </w:pPr>
            <w:r>
              <w:rPr>
                <w:sz w:val="20"/>
                <w:szCs w:val="20"/>
              </w:rPr>
              <w:t>1</w:t>
            </w:r>
          </w:p>
        </w:tc>
        <w:tc>
          <w:tcPr>
            <w:tcW w:w="803" w:type="dxa"/>
            <w:tcBorders>
              <w:top w:val="nil"/>
              <w:left w:val="nil"/>
              <w:bottom w:val="single" w:sz="8" w:space="0" w:color="000000"/>
              <w:right w:val="single" w:sz="8" w:space="0" w:color="000000"/>
            </w:tcBorders>
            <w:shd w:val="clear" w:color="auto" w:fill="auto"/>
            <w:vAlign w:val="bottom"/>
          </w:tcPr>
          <w:p w:rsidR="0055491A" w:rsidRPr="008A63F3" w:rsidRDefault="0055491A" w:rsidP="00210BF6">
            <w:pPr>
              <w:jc w:val="center"/>
              <w:rPr>
                <w:sz w:val="20"/>
                <w:szCs w:val="20"/>
              </w:rPr>
            </w:pPr>
            <w:r>
              <w:rPr>
                <w:sz w:val="20"/>
                <w:szCs w:val="20"/>
              </w:rPr>
              <w:t>2,5</w:t>
            </w:r>
          </w:p>
        </w:tc>
        <w:tc>
          <w:tcPr>
            <w:tcW w:w="801" w:type="dxa"/>
            <w:tcBorders>
              <w:top w:val="nil"/>
              <w:left w:val="nil"/>
              <w:bottom w:val="single" w:sz="8" w:space="0" w:color="000000"/>
              <w:right w:val="single" w:sz="8" w:space="0" w:color="000000"/>
            </w:tcBorders>
            <w:shd w:val="clear" w:color="auto" w:fill="auto"/>
            <w:vAlign w:val="bottom"/>
          </w:tcPr>
          <w:p w:rsidR="0055491A" w:rsidRPr="008A63F3" w:rsidRDefault="0055491A" w:rsidP="00210BF6">
            <w:pPr>
              <w:jc w:val="center"/>
              <w:rPr>
                <w:sz w:val="20"/>
                <w:szCs w:val="20"/>
              </w:rPr>
            </w:pPr>
            <w:r>
              <w:rPr>
                <w:sz w:val="20"/>
                <w:szCs w:val="20"/>
              </w:rPr>
              <w:t>1</w:t>
            </w:r>
          </w:p>
        </w:tc>
        <w:tc>
          <w:tcPr>
            <w:tcW w:w="803" w:type="dxa"/>
            <w:tcBorders>
              <w:top w:val="nil"/>
              <w:left w:val="nil"/>
              <w:bottom w:val="single" w:sz="8" w:space="0" w:color="000000"/>
              <w:right w:val="single" w:sz="8" w:space="0" w:color="000000"/>
            </w:tcBorders>
            <w:shd w:val="clear" w:color="auto" w:fill="auto"/>
            <w:vAlign w:val="bottom"/>
          </w:tcPr>
          <w:p w:rsidR="0055491A" w:rsidRPr="008A63F3" w:rsidRDefault="0055491A" w:rsidP="00210BF6">
            <w:pPr>
              <w:jc w:val="center"/>
              <w:rPr>
                <w:sz w:val="20"/>
                <w:szCs w:val="20"/>
              </w:rPr>
            </w:pPr>
            <w:r>
              <w:rPr>
                <w:sz w:val="20"/>
                <w:szCs w:val="20"/>
              </w:rPr>
              <w:t>2,5</w:t>
            </w:r>
          </w:p>
        </w:tc>
      </w:tr>
      <w:tr w:rsidR="0055491A" w:rsidRPr="009370D3" w:rsidTr="00210BF6">
        <w:trPr>
          <w:trHeight w:val="330"/>
        </w:trPr>
        <w:tc>
          <w:tcPr>
            <w:tcW w:w="1070" w:type="dxa"/>
            <w:vMerge/>
            <w:tcBorders>
              <w:left w:val="single" w:sz="4" w:space="0" w:color="auto"/>
              <w:bottom w:val="single" w:sz="4" w:space="0" w:color="auto"/>
              <w:right w:val="single" w:sz="4" w:space="0" w:color="auto"/>
            </w:tcBorders>
            <w:shd w:val="clear" w:color="auto" w:fill="auto"/>
            <w:vAlign w:val="bottom"/>
          </w:tcPr>
          <w:p w:rsidR="0055491A" w:rsidRPr="005C15C5" w:rsidRDefault="0055491A" w:rsidP="00210BF6">
            <w:pPr>
              <w:rPr>
                <w:sz w:val="16"/>
                <w:szCs w:val="16"/>
              </w:rPr>
            </w:pPr>
          </w:p>
        </w:tc>
        <w:tc>
          <w:tcPr>
            <w:tcW w:w="807" w:type="dxa"/>
            <w:tcBorders>
              <w:top w:val="nil"/>
              <w:left w:val="nil"/>
              <w:bottom w:val="single" w:sz="8" w:space="0" w:color="000000"/>
              <w:right w:val="single" w:sz="8" w:space="0" w:color="000000"/>
            </w:tcBorders>
            <w:shd w:val="clear" w:color="auto" w:fill="auto"/>
            <w:vAlign w:val="bottom"/>
          </w:tcPr>
          <w:p w:rsidR="0055491A" w:rsidRPr="008A63F3" w:rsidRDefault="0055491A" w:rsidP="00210BF6">
            <w:pPr>
              <w:jc w:val="center"/>
              <w:rPr>
                <w:sz w:val="20"/>
                <w:szCs w:val="20"/>
              </w:rPr>
            </w:pPr>
            <w:r w:rsidRPr="008A63F3">
              <w:rPr>
                <w:sz w:val="20"/>
                <w:szCs w:val="20"/>
              </w:rPr>
              <w:t>3,5</w:t>
            </w:r>
          </w:p>
        </w:tc>
        <w:tc>
          <w:tcPr>
            <w:tcW w:w="621" w:type="dxa"/>
            <w:tcBorders>
              <w:top w:val="nil"/>
              <w:left w:val="nil"/>
              <w:bottom w:val="single" w:sz="8" w:space="0" w:color="000000"/>
              <w:right w:val="single" w:sz="8" w:space="0" w:color="000000"/>
            </w:tcBorders>
            <w:shd w:val="clear" w:color="auto" w:fill="auto"/>
            <w:vAlign w:val="bottom"/>
          </w:tcPr>
          <w:p w:rsidR="0055491A" w:rsidRPr="008A63F3" w:rsidRDefault="0055491A" w:rsidP="00210BF6">
            <w:pPr>
              <w:jc w:val="center"/>
              <w:rPr>
                <w:sz w:val="20"/>
                <w:szCs w:val="20"/>
              </w:rPr>
            </w:pPr>
            <w:r w:rsidRPr="008A63F3">
              <w:rPr>
                <w:sz w:val="20"/>
                <w:szCs w:val="20"/>
              </w:rPr>
              <w:t>14</w:t>
            </w:r>
          </w:p>
        </w:tc>
        <w:tc>
          <w:tcPr>
            <w:tcW w:w="622" w:type="dxa"/>
            <w:gridSpan w:val="2"/>
            <w:tcBorders>
              <w:top w:val="nil"/>
              <w:left w:val="nil"/>
              <w:bottom w:val="single" w:sz="8" w:space="0" w:color="000000"/>
              <w:right w:val="single" w:sz="8" w:space="0" w:color="000000"/>
            </w:tcBorders>
            <w:shd w:val="clear" w:color="auto" w:fill="auto"/>
            <w:vAlign w:val="bottom"/>
          </w:tcPr>
          <w:p w:rsidR="0055491A" w:rsidRPr="008A63F3" w:rsidRDefault="0055491A" w:rsidP="00210BF6">
            <w:pPr>
              <w:jc w:val="center"/>
              <w:rPr>
                <w:sz w:val="20"/>
                <w:szCs w:val="20"/>
              </w:rPr>
            </w:pPr>
            <w:r w:rsidRPr="008A63F3">
              <w:rPr>
                <w:sz w:val="20"/>
                <w:szCs w:val="20"/>
              </w:rPr>
              <w:t>2</w:t>
            </w:r>
          </w:p>
        </w:tc>
        <w:tc>
          <w:tcPr>
            <w:tcW w:w="622" w:type="dxa"/>
            <w:gridSpan w:val="2"/>
            <w:tcBorders>
              <w:top w:val="nil"/>
              <w:left w:val="nil"/>
              <w:bottom w:val="single" w:sz="8" w:space="0" w:color="000000"/>
              <w:right w:val="single" w:sz="8" w:space="0" w:color="000000"/>
            </w:tcBorders>
            <w:shd w:val="clear" w:color="auto" w:fill="auto"/>
            <w:vAlign w:val="bottom"/>
          </w:tcPr>
          <w:p w:rsidR="0055491A" w:rsidRPr="008A63F3" w:rsidRDefault="0055491A" w:rsidP="00210BF6">
            <w:pPr>
              <w:jc w:val="center"/>
              <w:rPr>
                <w:sz w:val="20"/>
                <w:szCs w:val="20"/>
              </w:rPr>
            </w:pPr>
            <w:r>
              <w:rPr>
                <w:sz w:val="20"/>
                <w:szCs w:val="20"/>
              </w:rPr>
              <w:t>0</w:t>
            </w:r>
          </w:p>
        </w:tc>
        <w:tc>
          <w:tcPr>
            <w:tcW w:w="801" w:type="dxa"/>
            <w:tcBorders>
              <w:top w:val="nil"/>
              <w:left w:val="nil"/>
              <w:bottom w:val="single" w:sz="8" w:space="0" w:color="000000"/>
              <w:right w:val="single" w:sz="8" w:space="0" w:color="000000"/>
            </w:tcBorders>
            <w:shd w:val="clear" w:color="auto" w:fill="auto"/>
            <w:vAlign w:val="bottom"/>
          </w:tcPr>
          <w:p w:rsidR="0055491A" w:rsidRPr="008A63F3" w:rsidRDefault="0055491A" w:rsidP="00210BF6">
            <w:pPr>
              <w:jc w:val="center"/>
              <w:rPr>
                <w:sz w:val="20"/>
                <w:szCs w:val="20"/>
              </w:rPr>
            </w:pPr>
            <w:r>
              <w:rPr>
                <w:sz w:val="20"/>
                <w:szCs w:val="20"/>
              </w:rPr>
              <w:t>5</w:t>
            </w:r>
          </w:p>
        </w:tc>
        <w:tc>
          <w:tcPr>
            <w:tcW w:w="803" w:type="dxa"/>
            <w:tcBorders>
              <w:top w:val="nil"/>
              <w:left w:val="nil"/>
              <w:bottom w:val="single" w:sz="8" w:space="0" w:color="000000"/>
              <w:right w:val="single" w:sz="8" w:space="0" w:color="000000"/>
            </w:tcBorders>
            <w:shd w:val="clear" w:color="auto" w:fill="auto"/>
            <w:vAlign w:val="bottom"/>
          </w:tcPr>
          <w:p w:rsidR="0055491A" w:rsidRPr="008A63F3" w:rsidRDefault="0055491A" w:rsidP="00210BF6">
            <w:pPr>
              <w:jc w:val="center"/>
              <w:rPr>
                <w:sz w:val="20"/>
                <w:szCs w:val="20"/>
              </w:rPr>
            </w:pPr>
            <w:r>
              <w:rPr>
                <w:sz w:val="20"/>
                <w:szCs w:val="20"/>
              </w:rPr>
              <w:t>17,5</w:t>
            </w:r>
          </w:p>
        </w:tc>
        <w:tc>
          <w:tcPr>
            <w:tcW w:w="801" w:type="dxa"/>
            <w:tcBorders>
              <w:top w:val="nil"/>
              <w:left w:val="nil"/>
              <w:bottom w:val="single" w:sz="8" w:space="0" w:color="000000"/>
              <w:right w:val="single" w:sz="8" w:space="0" w:color="000000"/>
            </w:tcBorders>
            <w:shd w:val="clear" w:color="auto" w:fill="auto"/>
            <w:vAlign w:val="bottom"/>
          </w:tcPr>
          <w:p w:rsidR="0055491A" w:rsidRPr="008A63F3" w:rsidRDefault="0055491A" w:rsidP="00210BF6">
            <w:pPr>
              <w:jc w:val="center"/>
              <w:rPr>
                <w:sz w:val="20"/>
                <w:szCs w:val="20"/>
              </w:rPr>
            </w:pPr>
            <w:r>
              <w:rPr>
                <w:sz w:val="20"/>
                <w:szCs w:val="20"/>
              </w:rPr>
              <w:t>2</w:t>
            </w:r>
          </w:p>
        </w:tc>
        <w:tc>
          <w:tcPr>
            <w:tcW w:w="803" w:type="dxa"/>
            <w:tcBorders>
              <w:top w:val="nil"/>
              <w:left w:val="nil"/>
              <w:bottom w:val="single" w:sz="8" w:space="0" w:color="000000"/>
              <w:right w:val="single" w:sz="8" w:space="0" w:color="000000"/>
            </w:tcBorders>
            <w:shd w:val="clear" w:color="auto" w:fill="auto"/>
            <w:vAlign w:val="bottom"/>
          </w:tcPr>
          <w:p w:rsidR="0055491A" w:rsidRPr="008A63F3" w:rsidRDefault="0055491A" w:rsidP="00210BF6">
            <w:pPr>
              <w:jc w:val="center"/>
              <w:rPr>
                <w:sz w:val="20"/>
                <w:szCs w:val="20"/>
              </w:rPr>
            </w:pPr>
            <w:r>
              <w:rPr>
                <w:sz w:val="20"/>
                <w:szCs w:val="20"/>
              </w:rPr>
              <w:t>7,0</w:t>
            </w:r>
          </w:p>
        </w:tc>
        <w:tc>
          <w:tcPr>
            <w:tcW w:w="801" w:type="dxa"/>
            <w:tcBorders>
              <w:top w:val="nil"/>
              <w:left w:val="nil"/>
              <w:bottom w:val="single" w:sz="8" w:space="0" w:color="000000"/>
              <w:right w:val="single" w:sz="8" w:space="0" w:color="000000"/>
            </w:tcBorders>
            <w:shd w:val="clear" w:color="auto" w:fill="auto"/>
            <w:vAlign w:val="bottom"/>
          </w:tcPr>
          <w:p w:rsidR="0055491A" w:rsidRPr="008A63F3" w:rsidRDefault="0055491A" w:rsidP="00210BF6">
            <w:pPr>
              <w:jc w:val="center"/>
              <w:rPr>
                <w:sz w:val="20"/>
                <w:szCs w:val="20"/>
              </w:rPr>
            </w:pPr>
            <w:r>
              <w:rPr>
                <w:sz w:val="20"/>
                <w:szCs w:val="20"/>
              </w:rPr>
              <w:t>2</w:t>
            </w:r>
          </w:p>
        </w:tc>
        <w:tc>
          <w:tcPr>
            <w:tcW w:w="803" w:type="dxa"/>
            <w:tcBorders>
              <w:top w:val="nil"/>
              <w:left w:val="nil"/>
              <w:bottom w:val="single" w:sz="8" w:space="0" w:color="000000"/>
              <w:right w:val="single" w:sz="8" w:space="0" w:color="000000"/>
            </w:tcBorders>
            <w:shd w:val="clear" w:color="auto" w:fill="auto"/>
            <w:vAlign w:val="bottom"/>
          </w:tcPr>
          <w:p w:rsidR="0055491A" w:rsidRPr="008A63F3" w:rsidRDefault="0055491A" w:rsidP="00210BF6">
            <w:pPr>
              <w:jc w:val="center"/>
              <w:rPr>
                <w:sz w:val="20"/>
                <w:szCs w:val="20"/>
              </w:rPr>
            </w:pPr>
            <w:r>
              <w:rPr>
                <w:sz w:val="20"/>
                <w:szCs w:val="20"/>
              </w:rPr>
              <w:t>7,0</w:t>
            </w:r>
          </w:p>
        </w:tc>
        <w:tc>
          <w:tcPr>
            <w:tcW w:w="801" w:type="dxa"/>
            <w:tcBorders>
              <w:top w:val="nil"/>
              <w:left w:val="nil"/>
              <w:bottom w:val="single" w:sz="8" w:space="0" w:color="000000"/>
              <w:right w:val="single" w:sz="8" w:space="0" w:color="000000"/>
            </w:tcBorders>
            <w:shd w:val="clear" w:color="auto" w:fill="auto"/>
            <w:vAlign w:val="bottom"/>
          </w:tcPr>
          <w:p w:rsidR="0055491A" w:rsidRPr="008A63F3" w:rsidRDefault="0055491A" w:rsidP="00210BF6">
            <w:pPr>
              <w:jc w:val="center"/>
              <w:rPr>
                <w:sz w:val="20"/>
                <w:szCs w:val="20"/>
              </w:rPr>
            </w:pPr>
            <w:r>
              <w:rPr>
                <w:sz w:val="20"/>
                <w:szCs w:val="20"/>
              </w:rPr>
              <w:t>3</w:t>
            </w:r>
          </w:p>
        </w:tc>
        <w:tc>
          <w:tcPr>
            <w:tcW w:w="803" w:type="dxa"/>
            <w:tcBorders>
              <w:top w:val="nil"/>
              <w:left w:val="nil"/>
              <w:bottom w:val="single" w:sz="8" w:space="0" w:color="000000"/>
              <w:right w:val="single" w:sz="8" w:space="0" w:color="000000"/>
            </w:tcBorders>
            <w:shd w:val="clear" w:color="auto" w:fill="auto"/>
            <w:vAlign w:val="bottom"/>
          </w:tcPr>
          <w:p w:rsidR="0055491A" w:rsidRPr="008A63F3" w:rsidRDefault="0055491A" w:rsidP="00210BF6">
            <w:pPr>
              <w:jc w:val="center"/>
              <w:rPr>
                <w:sz w:val="20"/>
                <w:szCs w:val="20"/>
              </w:rPr>
            </w:pPr>
            <w:r>
              <w:rPr>
                <w:sz w:val="20"/>
                <w:szCs w:val="20"/>
              </w:rPr>
              <w:t>10,5</w:t>
            </w:r>
          </w:p>
        </w:tc>
      </w:tr>
      <w:tr w:rsidR="0055491A" w:rsidRPr="009370D3" w:rsidTr="00210BF6">
        <w:trPr>
          <w:trHeight w:val="330"/>
        </w:trPr>
        <w:tc>
          <w:tcPr>
            <w:tcW w:w="1070" w:type="dxa"/>
            <w:tcBorders>
              <w:top w:val="single" w:sz="4" w:space="0" w:color="auto"/>
              <w:left w:val="single" w:sz="4" w:space="0" w:color="auto"/>
              <w:bottom w:val="single" w:sz="4" w:space="0" w:color="auto"/>
              <w:right w:val="single" w:sz="4" w:space="0" w:color="auto"/>
            </w:tcBorders>
            <w:shd w:val="clear" w:color="auto" w:fill="auto"/>
            <w:vAlign w:val="bottom"/>
          </w:tcPr>
          <w:p w:rsidR="0055491A" w:rsidRPr="005C15C5" w:rsidRDefault="0055491A" w:rsidP="00210BF6">
            <w:pPr>
              <w:rPr>
                <w:sz w:val="16"/>
                <w:szCs w:val="16"/>
              </w:rPr>
            </w:pPr>
            <w:r w:rsidRPr="005C15C5">
              <w:rPr>
                <w:sz w:val="16"/>
                <w:szCs w:val="16"/>
              </w:rPr>
              <w:t xml:space="preserve">ст. 29 </w:t>
            </w:r>
          </w:p>
        </w:tc>
        <w:tc>
          <w:tcPr>
            <w:tcW w:w="807" w:type="dxa"/>
            <w:tcBorders>
              <w:top w:val="nil"/>
              <w:left w:val="nil"/>
              <w:bottom w:val="single" w:sz="8" w:space="0" w:color="000000"/>
              <w:right w:val="single" w:sz="8" w:space="0" w:color="000000"/>
            </w:tcBorders>
            <w:shd w:val="clear" w:color="auto" w:fill="auto"/>
            <w:vAlign w:val="bottom"/>
          </w:tcPr>
          <w:p w:rsidR="0055491A" w:rsidRPr="008A63F3" w:rsidRDefault="0055491A" w:rsidP="00210BF6">
            <w:pPr>
              <w:jc w:val="center"/>
              <w:rPr>
                <w:sz w:val="20"/>
                <w:szCs w:val="20"/>
              </w:rPr>
            </w:pPr>
            <w:r w:rsidRPr="008A63F3">
              <w:rPr>
                <w:sz w:val="20"/>
                <w:szCs w:val="20"/>
              </w:rPr>
              <w:t>1,0</w:t>
            </w:r>
          </w:p>
        </w:tc>
        <w:tc>
          <w:tcPr>
            <w:tcW w:w="621" w:type="dxa"/>
            <w:tcBorders>
              <w:top w:val="nil"/>
              <w:left w:val="nil"/>
              <w:bottom w:val="single" w:sz="8" w:space="0" w:color="000000"/>
              <w:right w:val="single" w:sz="8" w:space="0" w:color="000000"/>
            </w:tcBorders>
            <w:shd w:val="clear" w:color="auto" w:fill="auto"/>
            <w:vAlign w:val="bottom"/>
          </w:tcPr>
          <w:p w:rsidR="0055491A" w:rsidRPr="008A63F3" w:rsidRDefault="0055491A" w:rsidP="00210BF6">
            <w:pPr>
              <w:jc w:val="center"/>
              <w:rPr>
                <w:sz w:val="20"/>
                <w:szCs w:val="20"/>
              </w:rPr>
            </w:pPr>
            <w:r w:rsidRPr="008A63F3">
              <w:rPr>
                <w:sz w:val="20"/>
                <w:szCs w:val="20"/>
              </w:rPr>
              <w:t>1</w:t>
            </w:r>
          </w:p>
        </w:tc>
        <w:tc>
          <w:tcPr>
            <w:tcW w:w="622" w:type="dxa"/>
            <w:gridSpan w:val="2"/>
            <w:tcBorders>
              <w:top w:val="nil"/>
              <w:left w:val="nil"/>
              <w:bottom w:val="single" w:sz="8" w:space="0" w:color="000000"/>
              <w:right w:val="single" w:sz="8" w:space="0" w:color="000000"/>
            </w:tcBorders>
            <w:shd w:val="clear" w:color="auto" w:fill="auto"/>
            <w:vAlign w:val="bottom"/>
          </w:tcPr>
          <w:p w:rsidR="0055491A" w:rsidRPr="008A63F3" w:rsidRDefault="0055491A" w:rsidP="00210BF6">
            <w:pPr>
              <w:jc w:val="center"/>
              <w:rPr>
                <w:sz w:val="20"/>
                <w:szCs w:val="20"/>
              </w:rPr>
            </w:pPr>
            <w:r w:rsidRPr="008A63F3">
              <w:rPr>
                <w:sz w:val="20"/>
                <w:szCs w:val="20"/>
              </w:rPr>
              <w:t>0</w:t>
            </w:r>
          </w:p>
        </w:tc>
        <w:tc>
          <w:tcPr>
            <w:tcW w:w="622" w:type="dxa"/>
            <w:gridSpan w:val="2"/>
            <w:tcBorders>
              <w:top w:val="nil"/>
              <w:left w:val="nil"/>
              <w:bottom w:val="single" w:sz="8" w:space="0" w:color="000000"/>
              <w:right w:val="single" w:sz="8" w:space="0" w:color="000000"/>
            </w:tcBorders>
            <w:shd w:val="clear" w:color="auto" w:fill="auto"/>
            <w:vAlign w:val="bottom"/>
          </w:tcPr>
          <w:p w:rsidR="0055491A" w:rsidRPr="008A63F3" w:rsidRDefault="0055491A" w:rsidP="00210BF6">
            <w:pPr>
              <w:jc w:val="center"/>
              <w:rPr>
                <w:sz w:val="20"/>
                <w:szCs w:val="20"/>
              </w:rPr>
            </w:pPr>
            <w:r>
              <w:rPr>
                <w:sz w:val="20"/>
                <w:szCs w:val="20"/>
              </w:rPr>
              <w:t>0</w:t>
            </w:r>
          </w:p>
        </w:tc>
        <w:tc>
          <w:tcPr>
            <w:tcW w:w="801" w:type="dxa"/>
            <w:tcBorders>
              <w:top w:val="nil"/>
              <w:left w:val="nil"/>
              <w:bottom w:val="single" w:sz="8" w:space="0" w:color="000000"/>
              <w:right w:val="single" w:sz="8" w:space="0" w:color="000000"/>
            </w:tcBorders>
            <w:shd w:val="clear" w:color="auto" w:fill="auto"/>
            <w:vAlign w:val="bottom"/>
          </w:tcPr>
          <w:p w:rsidR="0055491A" w:rsidRPr="008A63F3" w:rsidRDefault="0055491A" w:rsidP="00210BF6">
            <w:pPr>
              <w:jc w:val="center"/>
              <w:rPr>
                <w:sz w:val="20"/>
                <w:szCs w:val="20"/>
              </w:rPr>
            </w:pPr>
            <w:r>
              <w:rPr>
                <w:sz w:val="20"/>
                <w:szCs w:val="20"/>
              </w:rPr>
              <w:t>1</w:t>
            </w:r>
          </w:p>
        </w:tc>
        <w:tc>
          <w:tcPr>
            <w:tcW w:w="803" w:type="dxa"/>
            <w:tcBorders>
              <w:top w:val="nil"/>
              <w:left w:val="nil"/>
              <w:bottom w:val="single" w:sz="8" w:space="0" w:color="000000"/>
              <w:right w:val="single" w:sz="8" w:space="0" w:color="000000"/>
            </w:tcBorders>
            <w:shd w:val="clear" w:color="auto" w:fill="auto"/>
            <w:vAlign w:val="bottom"/>
          </w:tcPr>
          <w:p w:rsidR="0055491A" w:rsidRPr="008A63F3" w:rsidRDefault="0055491A" w:rsidP="00210BF6">
            <w:pPr>
              <w:jc w:val="center"/>
              <w:rPr>
                <w:sz w:val="20"/>
                <w:szCs w:val="20"/>
              </w:rPr>
            </w:pPr>
            <w:r>
              <w:rPr>
                <w:sz w:val="20"/>
                <w:szCs w:val="20"/>
              </w:rPr>
              <w:t>1,0</w:t>
            </w:r>
          </w:p>
        </w:tc>
        <w:tc>
          <w:tcPr>
            <w:tcW w:w="801" w:type="dxa"/>
            <w:tcBorders>
              <w:top w:val="nil"/>
              <w:left w:val="nil"/>
              <w:bottom w:val="single" w:sz="8" w:space="0" w:color="000000"/>
              <w:right w:val="single" w:sz="8" w:space="0" w:color="000000"/>
            </w:tcBorders>
            <w:shd w:val="clear" w:color="auto" w:fill="auto"/>
            <w:vAlign w:val="bottom"/>
          </w:tcPr>
          <w:p w:rsidR="0055491A" w:rsidRPr="008A63F3" w:rsidRDefault="0055491A" w:rsidP="00210BF6">
            <w:pPr>
              <w:jc w:val="center"/>
              <w:rPr>
                <w:sz w:val="20"/>
                <w:szCs w:val="20"/>
              </w:rPr>
            </w:pPr>
            <w:r>
              <w:rPr>
                <w:sz w:val="20"/>
                <w:szCs w:val="20"/>
              </w:rPr>
              <w:t>1</w:t>
            </w:r>
          </w:p>
        </w:tc>
        <w:tc>
          <w:tcPr>
            <w:tcW w:w="803" w:type="dxa"/>
            <w:tcBorders>
              <w:top w:val="nil"/>
              <w:left w:val="nil"/>
              <w:bottom w:val="single" w:sz="8" w:space="0" w:color="000000"/>
              <w:right w:val="single" w:sz="8" w:space="0" w:color="000000"/>
            </w:tcBorders>
            <w:shd w:val="clear" w:color="auto" w:fill="auto"/>
            <w:vAlign w:val="bottom"/>
          </w:tcPr>
          <w:p w:rsidR="0055491A" w:rsidRPr="008A63F3" w:rsidRDefault="0055491A" w:rsidP="00210BF6">
            <w:pPr>
              <w:jc w:val="center"/>
              <w:rPr>
                <w:sz w:val="20"/>
                <w:szCs w:val="20"/>
              </w:rPr>
            </w:pPr>
            <w:r>
              <w:rPr>
                <w:sz w:val="20"/>
                <w:szCs w:val="20"/>
              </w:rPr>
              <w:t>1,0</w:t>
            </w:r>
          </w:p>
        </w:tc>
        <w:tc>
          <w:tcPr>
            <w:tcW w:w="801" w:type="dxa"/>
            <w:tcBorders>
              <w:top w:val="nil"/>
              <w:left w:val="nil"/>
              <w:bottom w:val="single" w:sz="8" w:space="0" w:color="000000"/>
              <w:right w:val="single" w:sz="8" w:space="0" w:color="000000"/>
            </w:tcBorders>
            <w:shd w:val="clear" w:color="auto" w:fill="auto"/>
            <w:vAlign w:val="bottom"/>
          </w:tcPr>
          <w:p w:rsidR="0055491A" w:rsidRPr="008A63F3" w:rsidRDefault="0055491A" w:rsidP="00210BF6">
            <w:pPr>
              <w:jc w:val="center"/>
              <w:rPr>
                <w:sz w:val="20"/>
                <w:szCs w:val="20"/>
              </w:rPr>
            </w:pPr>
            <w:r>
              <w:rPr>
                <w:sz w:val="20"/>
                <w:szCs w:val="20"/>
              </w:rPr>
              <w:t>1</w:t>
            </w:r>
          </w:p>
        </w:tc>
        <w:tc>
          <w:tcPr>
            <w:tcW w:w="803" w:type="dxa"/>
            <w:tcBorders>
              <w:top w:val="nil"/>
              <w:left w:val="nil"/>
              <w:bottom w:val="single" w:sz="8" w:space="0" w:color="000000"/>
              <w:right w:val="single" w:sz="8" w:space="0" w:color="000000"/>
            </w:tcBorders>
            <w:shd w:val="clear" w:color="auto" w:fill="auto"/>
            <w:vAlign w:val="bottom"/>
          </w:tcPr>
          <w:p w:rsidR="0055491A" w:rsidRPr="008A63F3" w:rsidRDefault="0055491A" w:rsidP="00210BF6">
            <w:pPr>
              <w:jc w:val="center"/>
              <w:rPr>
                <w:sz w:val="20"/>
                <w:szCs w:val="20"/>
              </w:rPr>
            </w:pPr>
            <w:r>
              <w:rPr>
                <w:sz w:val="20"/>
                <w:szCs w:val="20"/>
              </w:rPr>
              <w:t>1,0</w:t>
            </w:r>
          </w:p>
        </w:tc>
        <w:tc>
          <w:tcPr>
            <w:tcW w:w="801" w:type="dxa"/>
            <w:tcBorders>
              <w:top w:val="nil"/>
              <w:left w:val="nil"/>
              <w:bottom w:val="single" w:sz="8" w:space="0" w:color="000000"/>
              <w:right w:val="single" w:sz="8" w:space="0" w:color="000000"/>
            </w:tcBorders>
            <w:shd w:val="clear" w:color="auto" w:fill="auto"/>
            <w:vAlign w:val="bottom"/>
          </w:tcPr>
          <w:p w:rsidR="0055491A" w:rsidRPr="008A63F3" w:rsidRDefault="0055491A" w:rsidP="00210BF6">
            <w:pPr>
              <w:jc w:val="center"/>
              <w:rPr>
                <w:sz w:val="20"/>
                <w:szCs w:val="20"/>
              </w:rPr>
            </w:pPr>
            <w:r>
              <w:rPr>
                <w:sz w:val="20"/>
                <w:szCs w:val="20"/>
              </w:rPr>
              <w:t>1</w:t>
            </w:r>
          </w:p>
        </w:tc>
        <w:tc>
          <w:tcPr>
            <w:tcW w:w="803" w:type="dxa"/>
            <w:tcBorders>
              <w:top w:val="nil"/>
              <w:left w:val="nil"/>
              <w:bottom w:val="single" w:sz="8" w:space="0" w:color="000000"/>
              <w:right w:val="single" w:sz="8" w:space="0" w:color="000000"/>
            </w:tcBorders>
            <w:shd w:val="clear" w:color="auto" w:fill="auto"/>
            <w:vAlign w:val="bottom"/>
          </w:tcPr>
          <w:p w:rsidR="0055491A" w:rsidRPr="008A63F3" w:rsidRDefault="0055491A" w:rsidP="00210BF6">
            <w:pPr>
              <w:jc w:val="center"/>
              <w:rPr>
                <w:sz w:val="20"/>
                <w:szCs w:val="20"/>
              </w:rPr>
            </w:pPr>
            <w:r>
              <w:rPr>
                <w:sz w:val="20"/>
                <w:szCs w:val="20"/>
              </w:rPr>
              <w:t>1,0</w:t>
            </w:r>
          </w:p>
        </w:tc>
      </w:tr>
      <w:tr w:rsidR="0055491A" w:rsidRPr="009370D3" w:rsidTr="00210BF6">
        <w:trPr>
          <w:trHeight w:val="330"/>
        </w:trPr>
        <w:tc>
          <w:tcPr>
            <w:tcW w:w="1070" w:type="dxa"/>
            <w:tcBorders>
              <w:top w:val="single" w:sz="4" w:space="0" w:color="auto"/>
              <w:left w:val="single" w:sz="4" w:space="0" w:color="auto"/>
              <w:bottom w:val="single" w:sz="4" w:space="0" w:color="auto"/>
              <w:right w:val="single" w:sz="4" w:space="0" w:color="auto"/>
            </w:tcBorders>
            <w:shd w:val="clear" w:color="auto" w:fill="auto"/>
            <w:vAlign w:val="bottom"/>
          </w:tcPr>
          <w:p w:rsidR="0055491A" w:rsidRPr="005C15C5" w:rsidRDefault="0055491A" w:rsidP="00210BF6">
            <w:pPr>
              <w:rPr>
                <w:sz w:val="16"/>
                <w:szCs w:val="16"/>
              </w:rPr>
            </w:pPr>
            <w:r w:rsidRPr="005C15C5">
              <w:rPr>
                <w:sz w:val="16"/>
                <w:szCs w:val="16"/>
              </w:rPr>
              <w:t xml:space="preserve">ст. 31 </w:t>
            </w:r>
          </w:p>
        </w:tc>
        <w:tc>
          <w:tcPr>
            <w:tcW w:w="807" w:type="dxa"/>
            <w:tcBorders>
              <w:top w:val="nil"/>
              <w:left w:val="nil"/>
              <w:bottom w:val="single" w:sz="8" w:space="0" w:color="000000"/>
              <w:right w:val="single" w:sz="8" w:space="0" w:color="000000"/>
            </w:tcBorders>
            <w:shd w:val="clear" w:color="auto" w:fill="auto"/>
            <w:vAlign w:val="bottom"/>
          </w:tcPr>
          <w:p w:rsidR="0055491A" w:rsidRPr="008A63F3" w:rsidRDefault="0055491A" w:rsidP="00210BF6">
            <w:pPr>
              <w:jc w:val="center"/>
              <w:rPr>
                <w:sz w:val="20"/>
                <w:szCs w:val="20"/>
              </w:rPr>
            </w:pPr>
            <w:r w:rsidRPr="008A63F3">
              <w:rPr>
                <w:sz w:val="20"/>
                <w:szCs w:val="20"/>
              </w:rPr>
              <w:t>1,0</w:t>
            </w:r>
          </w:p>
        </w:tc>
        <w:tc>
          <w:tcPr>
            <w:tcW w:w="621" w:type="dxa"/>
            <w:tcBorders>
              <w:top w:val="nil"/>
              <w:left w:val="nil"/>
              <w:bottom w:val="single" w:sz="8" w:space="0" w:color="000000"/>
              <w:right w:val="single" w:sz="8" w:space="0" w:color="000000"/>
            </w:tcBorders>
            <w:shd w:val="clear" w:color="auto" w:fill="auto"/>
            <w:vAlign w:val="bottom"/>
          </w:tcPr>
          <w:p w:rsidR="0055491A" w:rsidRPr="008A63F3" w:rsidRDefault="0055491A" w:rsidP="00210BF6">
            <w:pPr>
              <w:jc w:val="center"/>
              <w:rPr>
                <w:sz w:val="20"/>
                <w:szCs w:val="20"/>
              </w:rPr>
            </w:pPr>
            <w:r w:rsidRPr="008A63F3">
              <w:rPr>
                <w:sz w:val="20"/>
                <w:szCs w:val="20"/>
              </w:rPr>
              <w:t>5</w:t>
            </w:r>
          </w:p>
        </w:tc>
        <w:tc>
          <w:tcPr>
            <w:tcW w:w="622" w:type="dxa"/>
            <w:gridSpan w:val="2"/>
            <w:tcBorders>
              <w:top w:val="nil"/>
              <w:left w:val="nil"/>
              <w:bottom w:val="single" w:sz="8" w:space="0" w:color="000000"/>
              <w:right w:val="single" w:sz="8" w:space="0" w:color="000000"/>
            </w:tcBorders>
            <w:shd w:val="clear" w:color="auto" w:fill="auto"/>
            <w:vAlign w:val="bottom"/>
          </w:tcPr>
          <w:p w:rsidR="0055491A" w:rsidRPr="008A63F3" w:rsidRDefault="0055491A" w:rsidP="00210BF6">
            <w:pPr>
              <w:jc w:val="center"/>
              <w:rPr>
                <w:sz w:val="20"/>
                <w:szCs w:val="20"/>
              </w:rPr>
            </w:pPr>
            <w:r w:rsidRPr="008A63F3">
              <w:rPr>
                <w:sz w:val="20"/>
                <w:szCs w:val="20"/>
              </w:rPr>
              <w:t>1</w:t>
            </w:r>
          </w:p>
        </w:tc>
        <w:tc>
          <w:tcPr>
            <w:tcW w:w="622" w:type="dxa"/>
            <w:gridSpan w:val="2"/>
            <w:tcBorders>
              <w:top w:val="nil"/>
              <w:left w:val="nil"/>
              <w:bottom w:val="single" w:sz="8" w:space="0" w:color="000000"/>
              <w:right w:val="single" w:sz="8" w:space="0" w:color="000000"/>
            </w:tcBorders>
            <w:shd w:val="clear" w:color="auto" w:fill="auto"/>
            <w:vAlign w:val="bottom"/>
          </w:tcPr>
          <w:p w:rsidR="0055491A" w:rsidRPr="008A63F3" w:rsidRDefault="0055491A" w:rsidP="00210BF6">
            <w:pPr>
              <w:jc w:val="center"/>
              <w:rPr>
                <w:sz w:val="20"/>
                <w:szCs w:val="20"/>
              </w:rPr>
            </w:pPr>
            <w:r>
              <w:rPr>
                <w:sz w:val="20"/>
                <w:szCs w:val="20"/>
              </w:rPr>
              <w:t>0</w:t>
            </w:r>
          </w:p>
        </w:tc>
        <w:tc>
          <w:tcPr>
            <w:tcW w:w="801" w:type="dxa"/>
            <w:tcBorders>
              <w:top w:val="nil"/>
              <w:left w:val="nil"/>
              <w:bottom w:val="single" w:sz="8" w:space="0" w:color="000000"/>
              <w:right w:val="single" w:sz="8" w:space="0" w:color="000000"/>
            </w:tcBorders>
            <w:shd w:val="clear" w:color="auto" w:fill="auto"/>
            <w:vAlign w:val="bottom"/>
          </w:tcPr>
          <w:p w:rsidR="0055491A" w:rsidRPr="008A63F3" w:rsidRDefault="0055491A" w:rsidP="00210BF6">
            <w:pPr>
              <w:jc w:val="center"/>
              <w:rPr>
                <w:sz w:val="20"/>
                <w:szCs w:val="20"/>
              </w:rPr>
            </w:pPr>
            <w:r>
              <w:rPr>
                <w:sz w:val="20"/>
                <w:szCs w:val="20"/>
              </w:rPr>
              <w:t>2</w:t>
            </w:r>
          </w:p>
        </w:tc>
        <w:tc>
          <w:tcPr>
            <w:tcW w:w="803" w:type="dxa"/>
            <w:tcBorders>
              <w:top w:val="nil"/>
              <w:left w:val="nil"/>
              <w:bottom w:val="single" w:sz="8" w:space="0" w:color="000000"/>
              <w:right w:val="single" w:sz="8" w:space="0" w:color="000000"/>
            </w:tcBorders>
            <w:shd w:val="clear" w:color="auto" w:fill="auto"/>
            <w:vAlign w:val="bottom"/>
          </w:tcPr>
          <w:p w:rsidR="0055491A" w:rsidRPr="008A63F3" w:rsidRDefault="0055491A" w:rsidP="00210BF6">
            <w:pPr>
              <w:jc w:val="center"/>
              <w:rPr>
                <w:sz w:val="20"/>
                <w:szCs w:val="20"/>
              </w:rPr>
            </w:pPr>
            <w:r>
              <w:rPr>
                <w:sz w:val="20"/>
                <w:szCs w:val="20"/>
              </w:rPr>
              <w:t>2,0</w:t>
            </w:r>
          </w:p>
        </w:tc>
        <w:tc>
          <w:tcPr>
            <w:tcW w:w="801" w:type="dxa"/>
            <w:tcBorders>
              <w:top w:val="nil"/>
              <w:left w:val="nil"/>
              <w:bottom w:val="single" w:sz="8" w:space="0" w:color="000000"/>
              <w:right w:val="single" w:sz="8" w:space="0" w:color="000000"/>
            </w:tcBorders>
            <w:shd w:val="clear" w:color="auto" w:fill="auto"/>
            <w:vAlign w:val="bottom"/>
          </w:tcPr>
          <w:p w:rsidR="0055491A" w:rsidRPr="008A63F3" w:rsidRDefault="0055491A" w:rsidP="00210BF6">
            <w:pPr>
              <w:jc w:val="center"/>
              <w:rPr>
                <w:sz w:val="20"/>
                <w:szCs w:val="20"/>
              </w:rPr>
            </w:pPr>
            <w:r>
              <w:rPr>
                <w:sz w:val="20"/>
                <w:szCs w:val="20"/>
              </w:rPr>
              <w:t>1</w:t>
            </w:r>
          </w:p>
        </w:tc>
        <w:tc>
          <w:tcPr>
            <w:tcW w:w="803" w:type="dxa"/>
            <w:tcBorders>
              <w:top w:val="nil"/>
              <w:left w:val="nil"/>
              <w:bottom w:val="single" w:sz="8" w:space="0" w:color="000000"/>
              <w:right w:val="single" w:sz="8" w:space="0" w:color="000000"/>
            </w:tcBorders>
            <w:shd w:val="clear" w:color="auto" w:fill="auto"/>
            <w:vAlign w:val="bottom"/>
          </w:tcPr>
          <w:p w:rsidR="0055491A" w:rsidRPr="008A63F3" w:rsidRDefault="0055491A" w:rsidP="00210BF6">
            <w:pPr>
              <w:jc w:val="center"/>
              <w:rPr>
                <w:sz w:val="20"/>
                <w:szCs w:val="20"/>
              </w:rPr>
            </w:pPr>
            <w:r>
              <w:rPr>
                <w:sz w:val="20"/>
                <w:szCs w:val="20"/>
              </w:rPr>
              <w:t>1,0</w:t>
            </w:r>
          </w:p>
        </w:tc>
        <w:tc>
          <w:tcPr>
            <w:tcW w:w="801" w:type="dxa"/>
            <w:tcBorders>
              <w:top w:val="nil"/>
              <w:left w:val="nil"/>
              <w:bottom w:val="single" w:sz="8" w:space="0" w:color="000000"/>
              <w:right w:val="single" w:sz="8" w:space="0" w:color="000000"/>
            </w:tcBorders>
            <w:shd w:val="clear" w:color="auto" w:fill="auto"/>
            <w:vAlign w:val="bottom"/>
          </w:tcPr>
          <w:p w:rsidR="0055491A" w:rsidRPr="008A63F3" w:rsidRDefault="0055491A" w:rsidP="00210BF6">
            <w:pPr>
              <w:jc w:val="center"/>
              <w:rPr>
                <w:sz w:val="20"/>
                <w:szCs w:val="20"/>
              </w:rPr>
            </w:pPr>
            <w:r>
              <w:rPr>
                <w:sz w:val="20"/>
                <w:szCs w:val="20"/>
              </w:rPr>
              <w:t>1</w:t>
            </w:r>
          </w:p>
        </w:tc>
        <w:tc>
          <w:tcPr>
            <w:tcW w:w="803" w:type="dxa"/>
            <w:tcBorders>
              <w:top w:val="nil"/>
              <w:left w:val="nil"/>
              <w:bottom w:val="single" w:sz="8" w:space="0" w:color="000000"/>
              <w:right w:val="single" w:sz="8" w:space="0" w:color="000000"/>
            </w:tcBorders>
            <w:shd w:val="clear" w:color="auto" w:fill="auto"/>
            <w:vAlign w:val="bottom"/>
          </w:tcPr>
          <w:p w:rsidR="0055491A" w:rsidRPr="008A63F3" w:rsidRDefault="0055491A" w:rsidP="00210BF6">
            <w:pPr>
              <w:jc w:val="center"/>
              <w:rPr>
                <w:sz w:val="20"/>
                <w:szCs w:val="20"/>
              </w:rPr>
            </w:pPr>
            <w:r>
              <w:rPr>
                <w:sz w:val="20"/>
                <w:szCs w:val="20"/>
              </w:rPr>
              <w:t>1,0</w:t>
            </w:r>
          </w:p>
        </w:tc>
        <w:tc>
          <w:tcPr>
            <w:tcW w:w="801" w:type="dxa"/>
            <w:tcBorders>
              <w:top w:val="nil"/>
              <w:left w:val="nil"/>
              <w:bottom w:val="single" w:sz="8" w:space="0" w:color="000000"/>
              <w:right w:val="single" w:sz="8" w:space="0" w:color="000000"/>
            </w:tcBorders>
            <w:shd w:val="clear" w:color="auto" w:fill="auto"/>
            <w:vAlign w:val="bottom"/>
          </w:tcPr>
          <w:p w:rsidR="0055491A" w:rsidRPr="008A63F3" w:rsidRDefault="0055491A" w:rsidP="00210BF6">
            <w:pPr>
              <w:jc w:val="center"/>
              <w:rPr>
                <w:sz w:val="20"/>
                <w:szCs w:val="20"/>
              </w:rPr>
            </w:pPr>
            <w:r>
              <w:rPr>
                <w:sz w:val="20"/>
                <w:szCs w:val="20"/>
              </w:rPr>
              <w:t>1</w:t>
            </w:r>
          </w:p>
        </w:tc>
        <w:tc>
          <w:tcPr>
            <w:tcW w:w="803" w:type="dxa"/>
            <w:tcBorders>
              <w:top w:val="nil"/>
              <w:left w:val="nil"/>
              <w:bottom w:val="single" w:sz="8" w:space="0" w:color="000000"/>
              <w:right w:val="single" w:sz="8" w:space="0" w:color="000000"/>
            </w:tcBorders>
            <w:shd w:val="clear" w:color="auto" w:fill="auto"/>
            <w:vAlign w:val="bottom"/>
          </w:tcPr>
          <w:p w:rsidR="0055491A" w:rsidRPr="008A63F3" w:rsidRDefault="0055491A" w:rsidP="00210BF6">
            <w:pPr>
              <w:jc w:val="center"/>
              <w:rPr>
                <w:sz w:val="20"/>
                <w:szCs w:val="20"/>
              </w:rPr>
            </w:pPr>
            <w:r>
              <w:rPr>
                <w:sz w:val="20"/>
                <w:szCs w:val="20"/>
              </w:rPr>
              <w:t>1,0</w:t>
            </w:r>
          </w:p>
        </w:tc>
      </w:tr>
      <w:tr w:rsidR="0055491A" w:rsidRPr="009370D3" w:rsidTr="00210BF6">
        <w:trPr>
          <w:trHeight w:val="330"/>
        </w:trPr>
        <w:tc>
          <w:tcPr>
            <w:tcW w:w="1070" w:type="dxa"/>
            <w:tcBorders>
              <w:top w:val="single" w:sz="4" w:space="0" w:color="auto"/>
              <w:left w:val="single" w:sz="4" w:space="0" w:color="auto"/>
              <w:bottom w:val="nil"/>
              <w:right w:val="single" w:sz="4" w:space="0" w:color="auto"/>
            </w:tcBorders>
            <w:shd w:val="clear" w:color="auto" w:fill="auto"/>
            <w:vAlign w:val="bottom"/>
            <w:hideMark/>
          </w:tcPr>
          <w:p w:rsidR="0055491A" w:rsidRPr="005C15C5" w:rsidRDefault="0055491A" w:rsidP="00210BF6">
            <w:pPr>
              <w:rPr>
                <w:sz w:val="16"/>
                <w:szCs w:val="16"/>
              </w:rPr>
            </w:pPr>
            <w:r w:rsidRPr="005C15C5">
              <w:rPr>
                <w:sz w:val="16"/>
                <w:szCs w:val="16"/>
              </w:rPr>
              <w:t>ст. 32.2</w:t>
            </w:r>
          </w:p>
        </w:tc>
        <w:tc>
          <w:tcPr>
            <w:tcW w:w="807" w:type="dxa"/>
            <w:tcBorders>
              <w:top w:val="nil"/>
              <w:left w:val="nil"/>
              <w:bottom w:val="single" w:sz="8" w:space="0" w:color="000000"/>
              <w:right w:val="single" w:sz="8" w:space="0" w:color="000000"/>
            </w:tcBorders>
            <w:shd w:val="clear" w:color="auto" w:fill="auto"/>
            <w:vAlign w:val="bottom"/>
            <w:hideMark/>
          </w:tcPr>
          <w:p w:rsidR="0055491A" w:rsidRPr="008A63F3" w:rsidRDefault="0055491A" w:rsidP="00210BF6">
            <w:pPr>
              <w:jc w:val="center"/>
              <w:rPr>
                <w:sz w:val="20"/>
                <w:szCs w:val="20"/>
              </w:rPr>
            </w:pPr>
            <w:r w:rsidRPr="008A63F3">
              <w:rPr>
                <w:sz w:val="20"/>
                <w:szCs w:val="20"/>
              </w:rPr>
              <w:t>2,5</w:t>
            </w:r>
          </w:p>
        </w:tc>
        <w:tc>
          <w:tcPr>
            <w:tcW w:w="621" w:type="dxa"/>
            <w:tcBorders>
              <w:top w:val="nil"/>
              <w:left w:val="nil"/>
              <w:bottom w:val="single" w:sz="8" w:space="0" w:color="000000"/>
              <w:right w:val="single" w:sz="8" w:space="0" w:color="000000"/>
            </w:tcBorders>
            <w:shd w:val="clear" w:color="auto" w:fill="auto"/>
            <w:vAlign w:val="bottom"/>
            <w:hideMark/>
          </w:tcPr>
          <w:p w:rsidR="0055491A" w:rsidRPr="008A63F3" w:rsidRDefault="0055491A" w:rsidP="00210BF6">
            <w:pPr>
              <w:jc w:val="center"/>
              <w:rPr>
                <w:sz w:val="20"/>
                <w:szCs w:val="20"/>
              </w:rPr>
            </w:pPr>
            <w:r w:rsidRPr="008A63F3">
              <w:rPr>
                <w:sz w:val="20"/>
                <w:szCs w:val="20"/>
              </w:rPr>
              <w:t>1</w:t>
            </w:r>
          </w:p>
        </w:tc>
        <w:tc>
          <w:tcPr>
            <w:tcW w:w="622" w:type="dxa"/>
            <w:gridSpan w:val="2"/>
            <w:tcBorders>
              <w:top w:val="nil"/>
              <w:left w:val="nil"/>
              <w:bottom w:val="single" w:sz="8" w:space="0" w:color="000000"/>
              <w:right w:val="single" w:sz="8" w:space="0" w:color="000000"/>
            </w:tcBorders>
            <w:shd w:val="clear" w:color="auto" w:fill="auto"/>
            <w:vAlign w:val="bottom"/>
            <w:hideMark/>
          </w:tcPr>
          <w:p w:rsidR="0055491A" w:rsidRPr="008A63F3" w:rsidRDefault="0055491A" w:rsidP="00210BF6">
            <w:pPr>
              <w:jc w:val="center"/>
              <w:rPr>
                <w:sz w:val="20"/>
                <w:szCs w:val="20"/>
              </w:rPr>
            </w:pPr>
            <w:r w:rsidRPr="008A63F3">
              <w:rPr>
                <w:sz w:val="20"/>
                <w:szCs w:val="20"/>
              </w:rPr>
              <w:t>0</w:t>
            </w:r>
          </w:p>
        </w:tc>
        <w:tc>
          <w:tcPr>
            <w:tcW w:w="622" w:type="dxa"/>
            <w:gridSpan w:val="2"/>
            <w:tcBorders>
              <w:top w:val="nil"/>
              <w:left w:val="nil"/>
              <w:bottom w:val="single" w:sz="8" w:space="0" w:color="000000"/>
              <w:right w:val="single" w:sz="8" w:space="0" w:color="000000"/>
            </w:tcBorders>
            <w:shd w:val="clear" w:color="auto" w:fill="auto"/>
            <w:vAlign w:val="bottom"/>
            <w:hideMark/>
          </w:tcPr>
          <w:p w:rsidR="0055491A" w:rsidRPr="008A63F3" w:rsidRDefault="0055491A" w:rsidP="00210BF6">
            <w:pPr>
              <w:jc w:val="center"/>
              <w:rPr>
                <w:sz w:val="20"/>
                <w:szCs w:val="20"/>
              </w:rPr>
            </w:pPr>
            <w:r>
              <w:rPr>
                <w:sz w:val="20"/>
                <w:szCs w:val="20"/>
              </w:rPr>
              <w:t>0</w:t>
            </w:r>
          </w:p>
        </w:tc>
        <w:tc>
          <w:tcPr>
            <w:tcW w:w="801" w:type="dxa"/>
            <w:tcBorders>
              <w:top w:val="nil"/>
              <w:left w:val="nil"/>
              <w:bottom w:val="single" w:sz="8" w:space="0" w:color="000000"/>
              <w:right w:val="single" w:sz="8" w:space="0" w:color="000000"/>
            </w:tcBorders>
            <w:shd w:val="clear" w:color="auto" w:fill="auto"/>
            <w:vAlign w:val="bottom"/>
            <w:hideMark/>
          </w:tcPr>
          <w:p w:rsidR="0055491A" w:rsidRPr="008A63F3" w:rsidRDefault="0055491A" w:rsidP="00210BF6">
            <w:pPr>
              <w:jc w:val="center"/>
              <w:rPr>
                <w:sz w:val="20"/>
                <w:szCs w:val="20"/>
              </w:rPr>
            </w:pPr>
            <w:r>
              <w:rPr>
                <w:sz w:val="20"/>
                <w:szCs w:val="20"/>
              </w:rPr>
              <w:t>1</w:t>
            </w:r>
          </w:p>
        </w:tc>
        <w:tc>
          <w:tcPr>
            <w:tcW w:w="803" w:type="dxa"/>
            <w:tcBorders>
              <w:top w:val="nil"/>
              <w:left w:val="nil"/>
              <w:bottom w:val="single" w:sz="8" w:space="0" w:color="000000"/>
              <w:right w:val="single" w:sz="8" w:space="0" w:color="000000"/>
            </w:tcBorders>
            <w:shd w:val="clear" w:color="auto" w:fill="auto"/>
            <w:vAlign w:val="bottom"/>
            <w:hideMark/>
          </w:tcPr>
          <w:p w:rsidR="0055491A" w:rsidRPr="008A63F3" w:rsidRDefault="0055491A" w:rsidP="00210BF6">
            <w:pPr>
              <w:jc w:val="center"/>
              <w:rPr>
                <w:sz w:val="20"/>
                <w:szCs w:val="20"/>
              </w:rPr>
            </w:pPr>
            <w:r>
              <w:rPr>
                <w:sz w:val="20"/>
                <w:szCs w:val="20"/>
              </w:rPr>
              <w:t>2,5</w:t>
            </w:r>
          </w:p>
        </w:tc>
        <w:tc>
          <w:tcPr>
            <w:tcW w:w="801" w:type="dxa"/>
            <w:tcBorders>
              <w:top w:val="nil"/>
              <w:left w:val="nil"/>
              <w:bottom w:val="single" w:sz="8" w:space="0" w:color="000000"/>
              <w:right w:val="single" w:sz="8" w:space="0" w:color="000000"/>
            </w:tcBorders>
            <w:shd w:val="clear" w:color="auto" w:fill="auto"/>
            <w:vAlign w:val="bottom"/>
            <w:hideMark/>
          </w:tcPr>
          <w:p w:rsidR="0055491A" w:rsidRPr="008A63F3" w:rsidRDefault="0055491A" w:rsidP="00210BF6">
            <w:pPr>
              <w:jc w:val="center"/>
              <w:rPr>
                <w:sz w:val="20"/>
                <w:szCs w:val="20"/>
              </w:rPr>
            </w:pPr>
            <w:r>
              <w:rPr>
                <w:sz w:val="20"/>
                <w:szCs w:val="20"/>
              </w:rPr>
              <w:t>1</w:t>
            </w:r>
          </w:p>
        </w:tc>
        <w:tc>
          <w:tcPr>
            <w:tcW w:w="803" w:type="dxa"/>
            <w:tcBorders>
              <w:top w:val="nil"/>
              <w:left w:val="nil"/>
              <w:bottom w:val="single" w:sz="8" w:space="0" w:color="000000"/>
              <w:right w:val="single" w:sz="8" w:space="0" w:color="000000"/>
            </w:tcBorders>
            <w:shd w:val="clear" w:color="auto" w:fill="auto"/>
            <w:vAlign w:val="bottom"/>
            <w:hideMark/>
          </w:tcPr>
          <w:p w:rsidR="0055491A" w:rsidRPr="008A63F3" w:rsidRDefault="0055491A" w:rsidP="00210BF6">
            <w:pPr>
              <w:jc w:val="center"/>
              <w:rPr>
                <w:sz w:val="20"/>
                <w:szCs w:val="20"/>
              </w:rPr>
            </w:pPr>
            <w:r>
              <w:rPr>
                <w:sz w:val="20"/>
                <w:szCs w:val="20"/>
              </w:rPr>
              <w:t>2,5</w:t>
            </w:r>
          </w:p>
        </w:tc>
        <w:tc>
          <w:tcPr>
            <w:tcW w:w="801" w:type="dxa"/>
            <w:tcBorders>
              <w:top w:val="nil"/>
              <w:left w:val="nil"/>
              <w:bottom w:val="single" w:sz="8" w:space="0" w:color="000000"/>
              <w:right w:val="single" w:sz="8" w:space="0" w:color="000000"/>
            </w:tcBorders>
            <w:shd w:val="clear" w:color="auto" w:fill="auto"/>
            <w:vAlign w:val="bottom"/>
            <w:hideMark/>
          </w:tcPr>
          <w:p w:rsidR="0055491A" w:rsidRPr="008A63F3" w:rsidRDefault="0055491A" w:rsidP="00210BF6">
            <w:pPr>
              <w:jc w:val="center"/>
              <w:rPr>
                <w:sz w:val="20"/>
                <w:szCs w:val="20"/>
              </w:rPr>
            </w:pPr>
            <w:r>
              <w:rPr>
                <w:sz w:val="20"/>
                <w:szCs w:val="20"/>
              </w:rPr>
              <w:t>1</w:t>
            </w:r>
          </w:p>
        </w:tc>
        <w:tc>
          <w:tcPr>
            <w:tcW w:w="803" w:type="dxa"/>
            <w:tcBorders>
              <w:top w:val="nil"/>
              <w:left w:val="nil"/>
              <w:bottom w:val="single" w:sz="8" w:space="0" w:color="000000"/>
              <w:right w:val="single" w:sz="8" w:space="0" w:color="000000"/>
            </w:tcBorders>
            <w:shd w:val="clear" w:color="auto" w:fill="auto"/>
            <w:vAlign w:val="bottom"/>
            <w:hideMark/>
          </w:tcPr>
          <w:p w:rsidR="0055491A" w:rsidRPr="008A63F3" w:rsidRDefault="0055491A" w:rsidP="00210BF6">
            <w:pPr>
              <w:jc w:val="center"/>
              <w:rPr>
                <w:sz w:val="20"/>
                <w:szCs w:val="20"/>
              </w:rPr>
            </w:pPr>
            <w:r>
              <w:rPr>
                <w:sz w:val="20"/>
                <w:szCs w:val="20"/>
              </w:rPr>
              <w:t>2,5</w:t>
            </w:r>
          </w:p>
        </w:tc>
        <w:tc>
          <w:tcPr>
            <w:tcW w:w="801" w:type="dxa"/>
            <w:tcBorders>
              <w:top w:val="nil"/>
              <w:left w:val="nil"/>
              <w:bottom w:val="single" w:sz="8" w:space="0" w:color="000000"/>
              <w:right w:val="single" w:sz="8" w:space="0" w:color="000000"/>
            </w:tcBorders>
            <w:shd w:val="clear" w:color="auto" w:fill="auto"/>
            <w:vAlign w:val="bottom"/>
            <w:hideMark/>
          </w:tcPr>
          <w:p w:rsidR="0055491A" w:rsidRPr="008A63F3" w:rsidRDefault="0055491A" w:rsidP="00210BF6">
            <w:pPr>
              <w:jc w:val="center"/>
              <w:rPr>
                <w:sz w:val="20"/>
                <w:szCs w:val="20"/>
              </w:rPr>
            </w:pPr>
            <w:r>
              <w:rPr>
                <w:sz w:val="20"/>
                <w:szCs w:val="20"/>
              </w:rPr>
              <w:t>1</w:t>
            </w:r>
          </w:p>
        </w:tc>
        <w:tc>
          <w:tcPr>
            <w:tcW w:w="803" w:type="dxa"/>
            <w:tcBorders>
              <w:top w:val="nil"/>
              <w:left w:val="nil"/>
              <w:bottom w:val="single" w:sz="8" w:space="0" w:color="000000"/>
              <w:right w:val="single" w:sz="8" w:space="0" w:color="000000"/>
            </w:tcBorders>
            <w:shd w:val="clear" w:color="auto" w:fill="auto"/>
            <w:vAlign w:val="bottom"/>
            <w:hideMark/>
          </w:tcPr>
          <w:p w:rsidR="0055491A" w:rsidRPr="008A63F3" w:rsidRDefault="0055491A" w:rsidP="00210BF6">
            <w:pPr>
              <w:jc w:val="center"/>
              <w:rPr>
                <w:sz w:val="20"/>
                <w:szCs w:val="20"/>
              </w:rPr>
            </w:pPr>
            <w:r>
              <w:rPr>
                <w:sz w:val="20"/>
                <w:szCs w:val="20"/>
              </w:rPr>
              <w:t>2,5</w:t>
            </w:r>
          </w:p>
        </w:tc>
      </w:tr>
      <w:tr w:rsidR="0055491A" w:rsidRPr="009370D3" w:rsidTr="00210BF6">
        <w:trPr>
          <w:trHeight w:val="330"/>
        </w:trPr>
        <w:tc>
          <w:tcPr>
            <w:tcW w:w="1070" w:type="dxa"/>
            <w:tcBorders>
              <w:top w:val="single" w:sz="8" w:space="0" w:color="auto"/>
              <w:left w:val="single" w:sz="4" w:space="0" w:color="auto"/>
              <w:bottom w:val="nil"/>
              <w:right w:val="single" w:sz="4" w:space="0" w:color="auto"/>
            </w:tcBorders>
            <w:shd w:val="clear" w:color="auto" w:fill="auto"/>
            <w:vAlign w:val="bottom"/>
            <w:hideMark/>
          </w:tcPr>
          <w:p w:rsidR="0055491A" w:rsidRPr="005C15C5" w:rsidRDefault="0055491A" w:rsidP="00210BF6">
            <w:pPr>
              <w:rPr>
                <w:sz w:val="16"/>
                <w:szCs w:val="16"/>
              </w:rPr>
            </w:pPr>
            <w:r w:rsidRPr="005C15C5">
              <w:rPr>
                <w:sz w:val="16"/>
                <w:szCs w:val="16"/>
              </w:rPr>
              <w:t xml:space="preserve">ст. 36 </w:t>
            </w:r>
          </w:p>
        </w:tc>
        <w:tc>
          <w:tcPr>
            <w:tcW w:w="807" w:type="dxa"/>
            <w:tcBorders>
              <w:top w:val="nil"/>
              <w:left w:val="nil"/>
              <w:bottom w:val="single" w:sz="8" w:space="0" w:color="000000"/>
              <w:right w:val="single" w:sz="8" w:space="0" w:color="000000"/>
            </w:tcBorders>
            <w:shd w:val="clear" w:color="auto" w:fill="auto"/>
            <w:vAlign w:val="bottom"/>
            <w:hideMark/>
          </w:tcPr>
          <w:p w:rsidR="0055491A" w:rsidRPr="008A63F3" w:rsidRDefault="0055491A" w:rsidP="00210BF6">
            <w:pPr>
              <w:jc w:val="center"/>
              <w:rPr>
                <w:sz w:val="20"/>
                <w:szCs w:val="20"/>
              </w:rPr>
            </w:pPr>
            <w:r w:rsidRPr="008A63F3">
              <w:rPr>
                <w:sz w:val="20"/>
                <w:szCs w:val="20"/>
              </w:rPr>
              <w:t>2,5</w:t>
            </w:r>
          </w:p>
        </w:tc>
        <w:tc>
          <w:tcPr>
            <w:tcW w:w="621" w:type="dxa"/>
            <w:tcBorders>
              <w:top w:val="nil"/>
              <w:left w:val="nil"/>
              <w:bottom w:val="single" w:sz="8" w:space="0" w:color="000000"/>
              <w:right w:val="single" w:sz="8" w:space="0" w:color="000000"/>
            </w:tcBorders>
            <w:shd w:val="clear" w:color="auto" w:fill="auto"/>
            <w:vAlign w:val="bottom"/>
            <w:hideMark/>
          </w:tcPr>
          <w:p w:rsidR="0055491A" w:rsidRPr="008A63F3" w:rsidRDefault="0055491A" w:rsidP="00210BF6">
            <w:pPr>
              <w:jc w:val="center"/>
              <w:rPr>
                <w:sz w:val="20"/>
                <w:szCs w:val="20"/>
              </w:rPr>
            </w:pPr>
            <w:r w:rsidRPr="008A63F3">
              <w:rPr>
                <w:sz w:val="20"/>
                <w:szCs w:val="20"/>
              </w:rPr>
              <w:t>6</w:t>
            </w:r>
          </w:p>
        </w:tc>
        <w:tc>
          <w:tcPr>
            <w:tcW w:w="622" w:type="dxa"/>
            <w:gridSpan w:val="2"/>
            <w:tcBorders>
              <w:top w:val="nil"/>
              <w:left w:val="nil"/>
              <w:bottom w:val="single" w:sz="8" w:space="0" w:color="000000"/>
              <w:right w:val="single" w:sz="8" w:space="0" w:color="000000"/>
            </w:tcBorders>
            <w:shd w:val="clear" w:color="auto" w:fill="auto"/>
            <w:vAlign w:val="bottom"/>
            <w:hideMark/>
          </w:tcPr>
          <w:p w:rsidR="0055491A" w:rsidRPr="008A63F3" w:rsidRDefault="0055491A" w:rsidP="00210BF6">
            <w:pPr>
              <w:jc w:val="center"/>
              <w:rPr>
                <w:sz w:val="20"/>
                <w:szCs w:val="20"/>
              </w:rPr>
            </w:pPr>
            <w:r w:rsidRPr="008A63F3">
              <w:rPr>
                <w:sz w:val="20"/>
                <w:szCs w:val="20"/>
              </w:rPr>
              <w:t>1</w:t>
            </w:r>
          </w:p>
        </w:tc>
        <w:tc>
          <w:tcPr>
            <w:tcW w:w="622" w:type="dxa"/>
            <w:gridSpan w:val="2"/>
            <w:tcBorders>
              <w:top w:val="nil"/>
              <w:left w:val="nil"/>
              <w:bottom w:val="single" w:sz="8" w:space="0" w:color="000000"/>
              <w:right w:val="single" w:sz="8" w:space="0" w:color="000000"/>
            </w:tcBorders>
            <w:shd w:val="clear" w:color="auto" w:fill="auto"/>
            <w:vAlign w:val="bottom"/>
            <w:hideMark/>
          </w:tcPr>
          <w:p w:rsidR="0055491A" w:rsidRPr="008A63F3" w:rsidRDefault="0055491A" w:rsidP="00210BF6">
            <w:pPr>
              <w:jc w:val="center"/>
              <w:rPr>
                <w:sz w:val="20"/>
                <w:szCs w:val="20"/>
              </w:rPr>
            </w:pPr>
            <w:r>
              <w:rPr>
                <w:sz w:val="20"/>
                <w:szCs w:val="20"/>
              </w:rPr>
              <w:t>0</w:t>
            </w:r>
          </w:p>
        </w:tc>
        <w:tc>
          <w:tcPr>
            <w:tcW w:w="801" w:type="dxa"/>
            <w:tcBorders>
              <w:top w:val="nil"/>
              <w:left w:val="nil"/>
              <w:bottom w:val="single" w:sz="8" w:space="0" w:color="000000"/>
              <w:right w:val="single" w:sz="8" w:space="0" w:color="000000"/>
            </w:tcBorders>
            <w:shd w:val="clear" w:color="auto" w:fill="auto"/>
            <w:vAlign w:val="bottom"/>
            <w:hideMark/>
          </w:tcPr>
          <w:p w:rsidR="0055491A" w:rsidRPr="008A63F3" w:rsidRDefault="0055491A" w:rsidP="00210BF6">
            <w:pPr>
              <w:jc w:val="center"/>
              <w:rPr>
                <w:sz w:val="20"/>
                <w:szCs w:val="20"/>
              </w:rPr>
            </w:pPr>
            <w:r>
              <w:rPr>
                <w:sz w:val="20"/>
                <w:szCs w:val="20"/>
              </w:rPr>
              <w:t>2</w:t>
            </w:r>
          </w:p>
        </w:tc>
        <w:tc>
          <w:tcPr>
            <w:tcW w:w="803" w:type="dxa"/>
            <w:tcBorders>
              <w:top w:val="nil"/>
              <w:left w:val="nil"/>
              <w:bottom w:val="single" w:sz="8" w:space="0" w:color="000000"/>
              <w:right w:val="single" w:sz="8" w:space="0" w:color="000000"/>
            </w:tcBorders>
            <w:shd w:val="clear" w:color="auto" w:fill="auto"/>
            <w:vAlign w:val="bottom"/>
            <w:hideMark/>
          </w:tcPr>
          <w:p w:rsidR="0055491A" w:rsidRPr="008A63F3" w:rsidRDefault="0055491A" w:rsidP="00210BF6">
            <w:pPr>
              <w:jc w:val="center"/>
              <w:rPr>
                <w:sz w:val="20"/>
                <w:szCs w:val="20"/>
              </w:rPr>
            </w:pPr>
            <w:r>
              <w:rPr>
                <w:sz w:val="20"/>
                <w:szCs w:val="20"/>
              </w:rPr>
              <w:t>5,0</w:t>
            </w:r>
          </w:p>
        </w:tc>
        <w:tc>
          <w:tcPr>
            <w:tcW w:w="801" w:type="dxa"/>
            <w:tcBorders>
              <w:top w:val="nil"/>
              <w:left w:val="nil"/>
              <w:bottom w:val="single" w:sz="8" w:space="0" w:color="000000"/>
              <w:right w:val="single" w:sz="8" w:space="0" w:color="000000"/>
            </w:tcBorders>
            <w:shd w:val="clear" w:color="auto" w:fill="auto"/>
            <w:vAlign w:val="bottom"/>
            <w:hideMark/>
          </w:tcPr>
          <w:p w:rsidR="0055491A" w:rsidRPr="008A63F3" w:rsidRDefault="0055491A" w:rsidP="00210BF6">
            <w:pPr>
              <w:jc w:val="center"/>
              <w:rPr>
                <w:sz w:val="20"/>
                <w:szCs w:val="20"/>
              </w:rPr>
            </w:pPr>
            <w:r>
              <w:rPr>
                <w:sz w:val="20"/>
                <w:szCs w:val="20"/>
              </w:rPr>
              <w:t>1</w:t>
            </w:r>
          </w:p>
        </w:tc>
        <w:tc>
          <w:tcPr>
            <w:tcW w:w="803" w:type="dxa"/>
            <w:tcBorders>
              <w:top w:val="nil"/>
              <w:left w:val="nil"/>
              <w:bottom w:val="single" w:sz="8" w:space="0" w:color="000000"/>
              <w:right w:val="single" w:sz="8" w:space="0" w:color="000000"/>
            </w:tcBorders>
            <w:shd w:val="clear" w:color="auto" w:fill="auto"/>
            <w:vAlign w:val="bottom"/>
            <w:hideMark/>
          </w:tcPr>
          <w:p w:rsidR="0055491A" w:rsidRPr="008A63F3" w:rsidRDefault="0055491A" w:rsidP="00210BF6">
            <w:pPr>
              <w:jc w:val="center"/>
              <w:rPr>
                <w:sz w:val="20"/>
                <w:szCs w:val="20"/>
              </w:rPr>
            </w:pPr>
            <w:r>
              <w:rPr>
                <w:sz w:val="20"/>
                <w:szCs w:val="20"/>
              </w:rPr>
              <w:t>2,5</w:t>
            </w:r>
          </w:p>
        </w:tc>
        <w:tc>
          <w:tcPr>
            <w:tcW w:w="801" w:type="dxa"/>
            <w:tcBorders>
              <w:top w:val="nil"/>
              <w:left w:val="nil"/>
              <w:bottom w:val="single" w:sz="8" w:space="0" w:color="000000"/>
              <w:right w:val="single" w:sz="8" w:space="0" w:color="000000"/>
            </w:tcBorders>
            <w:shd w:val="clear" w:color="auto" w:fill="auto"/>
            <w:vAlign w:val="bottom"/>
            <w:hideMark/>
          </w:tcPr>
          <w:p w:rsidR="0055491A" w:rsidRPr="008A63F3" w:rsidRDefault="0055491A" w:rsidP="00210BF6">
            <w:pPr>
              <w:jc w:val="center"/>
              <w:rPr>
                <w:sz w:val="20"/>
                <w:szCs w:val="20"/>
              </w:rPr>
            </w:pPr>
            <w:r>
              <w:rPr>
                <w:sz w:val="20"/>
                <w:szCs w:val="20"/>
              </w:rPr>
              <w:t>1</w:t>
            </w:r>
          </w:p>
        </w:tc>
        <w:tc>
          <w:tcPr>
            <w:tcW w:w="803" w:type="dxa"/>
            <w:tcBorders>
              <w:top w:val="nil"/>
              <w:left w:val="nil"/>
              <w:bottom w:val="single" w:sz="8" w:space="0" w:color="000000"/>
              <w:right w:val="single" w:sz="8" w:space="0" w:color="000000"/>
            </w:tcBorders>
            <w:shd w:val="clear" w:color="auto" w:fill="auto"/>
            <w:vAlign w:val="bottom"/>
            <w:hideMark/>
          </w:tcPr>
          <w:p w:rsidR="0055491A" w:rsidRPr="008A63F3" w:rsidRDefault="0055491A" w:rsidP="00210BF6">
            <w:pPr>
              <w:jc w:val="center"/>
              <w:rPr>
                <w:sz w:val="20"/>
                <w:szCs w:val="20"/>
              </w:rPr>
            </w:pPr>
            <w:r>
              <w:rPr>
                <w:sz w:val="20"/>
                <w:szCs w:val="20"/>
              </w:rPr>
              <w:t>2,5</w:t>
            </w:r>
          </w:p>
        </w:tc>
        <w:tc>
          <w:tcPr>
            <w:tcW w:w="801" w:type="dxa"/>
            <w:tcBorders>
              <w:top w:val="nil"/>
              <w:left w:val="nil"/>
              <w:bottom w:val="single" w:sz="8" w:space="0" w:color="000000"/>
              <w:right w:val="single" w:sz="8" w:space="0" w:color="000000"/>
            </w:tcBorders>
            <w:shd w:val="clear" w:color="auto" w:fill="auto"/>
            <w:vAlign w:val="bottom"/>
            <w:hideMark/>
          </w:tcPr>
          <w:p w:rsidR="0055491A" w:rsidRPr="008A63F3" w:rsidRDefault="0055491A" w:rsidP="00210BF6">
            <w:pPr>
              <w:jc w:val="center"/>
              <w:rPr>
                <w:sz w:val="20"/>
                <w:szCs w:val="20"/>
              </w:rPr>
            </w:pPr>
            <w:r>
              <w:rPr>
                <w:sz w:val="20"/>
                <w:szCs w:val="20"/>
              </w:rPr>
              <w:t>1</w:t>
            </w:r>
          </w:p>
        </w:tc>
        <w:tc>
          <w:tcPr>
            <w:tcW w:w="803" w:type="dxa"/>
            <w:tcBorders>
              <w:top w:val="nil"/>
              <w:left w:val="nil"/>
              <w:bottom w:val="single" w:sz="8" w:space="0" w:color="000000"/>
              <w:right w:val="single" w:sz="8" w:space="0" w:color="000000"/>
            </w:tcBorders>
            <w:shd w:val="clear" w:color="auto" w:fill="auto"/>
            <w:vAlign w:val="bottom"/>
            <w:hideMark/>
          </w:tcPr>
          <w:p w:rsidR="0055491A" w:rsidRPr="008A63F3" w:rsidRDefault="0055491A" w:rsidP="00210BF6">
            <w:pPr>
              <w:jc w:val="center"/>
              <w:rPr>
                <w:sz w:val="20"/>
                <w:szCs w:val="20"/>
              </w:rPr>
            </w:pPr>
            <w:r>
              <w:rPr>
                <w:sz w:val="20"/>
                <w:szCs w:val="20"/>
              </w:rPr>
              <w:t>2,5</w:t>
            </w:r>
          </w:p>
        </w:tc>
      </w:tr>
      <w:tr w:rsidR="0055491A" w:rsidRPr="009370D3" w:rsidTr="00210BF6">
        <w:trPr>
          <w:trHeight w:val="330"/>
        </w:trPr>
        <w:tc>
          <w:tcPr>
            <w:tcW w:w="1070" w:type="dxa"/>
            <w:tcBorders>
              <w:top w:val="single" w:sz="8" w:space="0" w:color="auto"/>
              <w:left w:val="single" w:sz="4" w:space="0" w:color="auto"/>
              <w:bottom w:val="nil"/>
              <w:right w:val="single" w:sz="4" w:space="0" w:color="auto"/>
            </w:tcBorders>
            <w:shd w:val="clear" w:color="auto" w:fill="auto"/>
            <w:vAlign w:val="bottom"/>
            <w:hideMark/>
          </w:tcPr>
          <w:p w:rsidR="0055491A" w:rsidRPr="005C15C5" w:rsidRDefault="0055491A" w:rsidP="00210BF6">
            <w:pPr>
              <w:rPr>
                <w:sz w:val="16"/>
                <w:szCs w:val="16"/>
              </w:rPr>
            </w:pPr>
            <w:r w:rsidRPr="005C15C5">
              <w:rPr>
                <w:sz w:val="16"/>
                <w:szCs w:val="16"/>
              </w:rPr>
              <w:t>ст. 54.1</w:t>
            </w:r>
          </w:p>
        </w:tc>
        <w:tc>
          <w:tcPr>
            <w:tcW w:w="807" w:type="dxa"/>
            <w:tcBorders>
              <w:top w:val="nil"/>
              <w:left w:val="nil"/>
              <w:bottom w:val="single" w:sz="8" w:space="0" w:color="000000"/>
              <w:right w:val="single" w:sz="8" w:space="0" w:color="000000"/>
            </w:tcBorders>
            <w:shd w:val="clear" w:color="auto" w:fill="auto"/>
            <w:vAlign w:val="bottom"/>
            <w:hideMark/>
          </w:tcPr>
          <w:p w:rsidR="0055491A" w:rsidRPr="008A63F3" w:rsidRDefault="0055491A" w:rsidP="00210BF6">
            <w:pPr>
              <w:jc w:val="center"/>
              <w:rPr>
                <w:sz w:val="20"/>
                <w:szCs w:val="20"/>
              </w:rPr>
            </w:pPr>
            <w:r w:rsidRPr="008A63F3">
              <w:rPr>
                <w:sz w:val="20"/>
                <w:szCs w:val="20"/>
              </w:rPr>
              <w:t>0,5</w:t>
            </w:r>
          </w:p>
        </w:tc>
        <w:tc>
          <w:tcPr>
            <w:tcW w:w="621" w:type="dxa"/>
            <w:tcBorders>
              <w:top w:val="nil"/>
              <w:left w:val="nil"/>
              <w:bottom w:val="single" w:sz="8" w:space="0" w:color="000000"/>
              <w:right w:val="single" w:sz="8" w:space="0" w:color="000000"/>
            </w:tcBorders>
            <w:shd w:val="clear" w:color="auto" w:fill="auto"/>
            <w:vAlign w:val="bottom"/>
            <w:hideMark/>
          </w:tcPr>
          <w:p w:rsidR="0055491A" w:rsidRPr="008A63F3" w:rsidRDefault="0055491A" w:rsidP="00210BF6">
            <w:pPr>
              <w:jc w:val="center"/>
              <w:rPr>
                <w:sz w:val="20"/>
                <w:szCs w:val="20"/>
              </w:rPr>
            </w:pPr>
            <w:r w:rsidRPr="008A63F3">
              <w:rPr>
                <w:sz w:val="20"/>
                <w:szCs w:val="20"/>
              </w:rPr>
              <w:t>3</w:t>
            </w:r>
          </w:p>
        </w:tc>
        <w:tc>
          <w:tcPr>
            <w:tcW w:w="622" w:type="dxa"/>
            <w:gridSpan w:val="2"/>
            <w:tcBorders>
              <w:top w:val="nil"/>
              <w:left w:val="nil"/>
              <w:bottom w:val="single" w:sz="8" w:space="0" w:color="000000"/>
              <w:right w:val="single" w:sz="8" w:space="0" w:color="000000"/>
            </w:tcBorders>
            <w:shd w:val="clear" w:color="auto" w:fill="auto"/>
            <w:vAlign w:val="bottom"/>
            <w:hideMark/>
          </w:tcPr>
          <w:p w:rsidR="0055491A" w:rsidRPr="008A63F3" w:rsidRDefault="0055491A" w:rsidP="00210BF6">
            <w:pPr>
              <w:jc w:val="center"/>
              <w:rPr>
                <w:sz w:val="20"/>
                <w:szCs w:val="20"/>
              </w:rPr>
            </w:pPr>
            <w:r w:rsidRPr="008A63F3">
              <w:rPr>
                <w:sz w:val="20"/>
                <w:szCs w:val="20"/>
              </w:rPr>
              <w:t>0</w:t>
            </w:r>
          </w:p>
        </w:tc>
        <w:tc>
          <w:tcPr>
            <w:tcW w:w="622" w:type="dxa"/>
            <w:gridSpan w:val="2"/>
            <w:tcBorders>
              <w:top w:val="nil"/>
              <w:left w:val="nil"/>
              <w:bottom w:val="single" w:sz="8" w:space="0" w:color="000000"/>
              <w:right w:val="single" w:sz="8" w:space="0" w:color="000000"/>
            </w:tcBorders>
            <w:shd w:val="clear" w:color="auto" w:fill="auto"/>
            <w:vAlign w:val="bottom"/>
            <w:hideMark/>
          </w:tcPr>
          <w:p w:rsidR="0055491A" w:rsidRPr="008A63F3" w:rsidRDefault="0055491A" w:rsidP="00210BF6">
            <w:pPr>
              <w:jc w:val="center"/>
              <w:rPr>
                <w:sz w:val="20"/>
                <w:szCs w:val="20"/>
              </w:rPr>
            </w:pPr>
            <w:r>
              <w:rPr>
                <w:sz w:val="20"/>
                <w:szCs w:val="20"/>
              </w:rPr>
              <w:t>42</w:t>
            </w:r>
          </w:p>
        </w:tc>
        <w:tc>
          <w:tcPr>
            <w:tcW w:w="801" w:type="dxa"/>
            <w:tcBorders>
              <w:top w:val="nil"/>
              <w:left w:val="nil"/>
              <w:bottom w:val="single" w:sz="8" w:space="0" w:color="000000"/>
              <w:right w:val="single" w:sz="8" w:space="0" w:color="000000"/>
            </w:tcBorders>
            <w:shd w:val="clear" w:color="auto" w:fill="auto"/>
            <w:vAlign w:val="bottom"/>
            <w:hideMark/>
          </w:tcPr>
          <w:p w:rsidR="0055491A" w:rsidRPr="008A63F3" w:rsidRDefault="0055491A" w:rsidP="00210BF6">
            <w:pPr>
              <w:jc w:val="center"/>
              <w:rPr>
                <w:sz w:val="20"/>
                <w:szCs w:val="20"/>
              </w:rPr>
            </w:pPr>
            <w:r>
              <w:rPr>
                <w:sz w:val="20"/>
                <w:szCs w:val="20"/>
              </w:rPr>
              <w:t>15</w:t>
            </w:r>
          </w:p>
        </w:tc>
        <w:tc>
          <w:tcPr>
            <w:tcW w:w="803" w:type="dxa"/>
            <w:tcBorders>
              <w:top w:val="nil"/>
              <w:left w:val="nil"/>
              <w:bottom w:val="single" w:sz="8" w:space="0" w:color="000000"/>
              <w:right w:val="single" w:sz="8" w:space="0" w:color="000000"/>
            </w:tcBorders>
            <w:shd w:val="clear" w:color="auto" w:fill="auto"/>
            <w:vAlign w:val="bottom"/>
            <w:hideMark/>
          </w:tcPr>
          <w:p w:rsidR="0055491A" w:rsidRPr="008A63F3" w:rsidRDefault="0055491A" w:rsidP="00210BF6">
            <w:pPr>
              <w:jc w:val="center"/>
              <w:rPr>
                <w:sz w:val="20"/>
                <w:szCs w:val="20"/>
              </w:rPr>
            </w:pPr>
            <w:r>
              <w:rPr>
                <w:sz w:val="20"/>
                <w:szCs w:val="20"/>
              </w:rPr>
              <w:t>7,5</w:t>
            </w:r>
          </w:p>
        </w:tc>
        <w:tc>
          <w:tcPr>
            <w:tcW w:w="801" w:type="dxa"/>
            <w:tcBorders>
              <w:top w:val="nil"/>
              <w:left w:val="nil"/>
              <w:bottom w:val="single" w:sz="8" w:space="0" w:color="000000"/>
              <w:right w:val="single" w:sz="8" w:space="0" w:color="000000"/>
            </w:tcBorders>
            <w:shd w:val="clear" w:color="auto" w:fill="auto"/>
            <w:vAlign w:val="bottom"/>
            <w:hideMark/>
          </w:tcPr>
          <w:p w:rsidR="0055491A" w:rsidRPr="008A63F3" w:rsidRDefault="0055491A" w:rsidP="00210BF6">
            <w:pPr>
              <w:jc w:val="center"/>
              <w:rPr>
                <w:sz w:val="20"/>
                <w:szCs w:val="20"/>
              </w:rPr>
            </w:pPr>
            <w:r>
              <w:rPr>
                <w:sz w:val="20"/>
                <w:szCs w:val="20"/>
              </w:rPr>
              <w:t>19</w:t>
            </w:r>
          </w:p>
        </w:tc>
        <w:tc>
          <w:tcPr>
            <w:tcW w:w="803" w:type="dxa"/>
            <w:tcBorders>
              <w:top w:val="nil"/>
              <w:left w:val="nil"/>
              <w:bottom w:val="single" w:sz="8" w:space="0" w:color="000000"/>
              <w:right w:val="single" w:sz="8" w:space="0" w:color="000000"/>
            </w:tcBorders>
            <w:shd w:val="clear" w:color="auto" w:fill="auto"/>
            <w:vAlign w:val="bottom"/>
            <w:hideMark/>
          </w:tcPr>
          <w:p w:rsidR="0055491A" w:rsidRPr="008A63F3" w:rsidRDefault="0055491A" w:rsidP="00210BF6">
            <w:pPr>
              <w:jc w:val="center"/>
              <w:rPr>
                <w:sz w:val="20"/>
                <w:szCs w:val="20"/>
              </w:rPr>
            </w:pPr>
            <w:r>
              <w:rPr>
                <w:sz w:val="20"/>
                <w:szCs w:val="20"/>
              </w:rPr>
              <w:t>9,5</w:t>
            </w:r>
          </w:p>
        </w:tc>
        <w:tc>
          <w:tcPr>
            <w:tcW w:w="801" w:type="dxa"/>
            <w:tcBorders>
              <w:top w:val="nil"/>
              <w:left w:val="nil"/>
              <w:bottom w:val="single" w:sz="8" w:space="0" w:color="000000"/>
              <w:right w:val="single" w:sz="8" w:space="0" w:color="000000"/>
            </w:tcBorders>
            <w:shd w:val="clear" w:color="auto" w:fill="auto"/>
            <w:vAlign w:val="bottom"/>
            <w:hideMark/>
          </w:tcPr>
          <w:p w:rsidR="0055491A" w:rsidRPr="008A63F3" w:rsidRDefault="0055491A" w:rsidP="00210BF6">
            <w:pPr>
              <w:jc w:val="center"/>
              <w:rPr>
                <w:sz w:val="20"/>
                <w:szCs w:val="20"/>
              </w:rPr>
            </w:pPr>
            <w:r>
              <w:rPr>
                <w:sz w:val="20"/>
                <w:szCs w:val="20"/>
              </w:rPr>
              <w:t>25</w:t>
            </w:r>
          </w:p>
        </w:tc>
        <w:tc>
          <w:tcPr>
            <w:tcW w:w="803" w:type="dxa"/>
            <w:tcBorders>
              <w:top w:val="nil"/>
              <w:left w:val="nil"/>
              <w:bottom w:val="single" w:sz="8" w:space="0" w:color="000000"/>
              <w:right w:val="single" w:sz="8" w:space="0" w:color="000000"/>
            </w:tcBorders>
            <w:shd w:val="clear" w:color="auto" w:fill="auto"/>
            <w:vAlign w:val="bottom"/>
            <w:hideMark/>
          </w:tcPr>
          <w:p w:rsidR="0055491A" w:rsidRPr="008A63F3" w:rsidRDefault="0055491A" w:rsidP="00210BF6">
            <w:pPr>
              <w:jc w:val="center"/>
              <w:rPr>
                <w:sz w:val="20"/>
                <w:szCs w:val="20"/>
              </w:rPr>
            </w:pPr>
            <w:r>
              <w:rPr>
                <w:sz w:val="20"/>
                <w:szCs w:val="20"/>
              </w:rPr>
              <w:t>12,5</w:t>
            </w:r>
          </w:p>
        </w:tc>
        <w:tc>
          <w:tcPr>
            <w:tcW w:w="801" w:type="dxa"/>
            <w:tcBorders>
              <w:top w:val="nil"/>
              <w:left w:val="nil"/>
              <w:bottom w:val="single" w:sz="8" w:space="0" w:color="000000"/>
              <w:right w:val="single" w:sz="8" w:space="0" w:color="000000"/>
            </w:tcBorders>
            <w:shd w:val="clear" w:color="auto" w:fill="auto"/>
            <w:vAlign w:val="bottom"/>
            <w:hideMark/>
          </w:tcPr>
          <w:p w:rsidR="0055491A" w:rsidRPr="008A63F3" w:rsidRDefault="0055491A" w:rsidP="00210BF6">
            <w:pPr>
              <w:jc w:val="center"/>
              <w:rPr>
                <w:sz w:val="20"/>
                <w:szCs w:val="20"/>
              </w:rPr>
            </w:pPr>
            <w:r>
              <w:rPr>
                <w:sz w:val="20"/>
                <w:szCs w:val="20"/>
              </w:rPr>
              <w:t>20</w:t>
            </w:r>
          </w:p>
        </w:tc>
        <w:tc>
          <w:tcPr>
            <w:tcW w:w="803" w:type="dxa"/>
            <w:tcBorders>
              <w:top w:val="nil"/>
              <w:left w:val="nil"/>
              <w:bottom w:val="single" w:sz="8" w:space="0" w:color="000000"/>
              <w:right w:val="single" w:sz="8" w:space="0" w:color="000000"/>
            </w:tcBorders>
            <w:shd w:val="clear" w:color="auto" w:fill="auto"/>
            <w:vAlign w:val="bottom"/>
            <w:hideMark/>
          </w:tcPr>
          <w:p w:rsidR="0055491A" w:rsidRPr="008A63F3" w:rsidRDefault="0055491A" w:rsidP="00210BF6">
            <w:pPr>
              <w:jc w:val="center"/>
              <w:rPr>
                <w:sz w:val="20"/>
                <w:szCs w:val="20"/>
              </w:rPr>
            </w:pPr>
            <w:r>
              <w:rPr>
                <w:sz w:val="20"/>
                <w:szCs w:val="20"/>
              </w:rPr>
              <w:t>10,0</w:t>
            </w:r>
          </w:p>
        </w:tc>
      </w:tr>
      <w:tr w:rsidR="0055491A" w:rsidRPr="009370D3" w:rsidTr="00210BF6">
        <w:trPr>
          <w:trHeight w:val="330"/>
        </w:trPr>
        <w:tc>
          <w:tcPr>
            <w:tcW w:w="1070" w:type="dxa"/>
            <w:tcBorders>
              <w:top w:val="single" w:sz="4" w:space="0" w:color="auto"/>
              <w:left w:val="single" w:sz="4" w:space="0" w:color="auto"/>
              <w:bottom w:val="nil"/>
              <w:right w:val="single" w:sz="4" w:space="0" w:color="auto"/>
            </w:tcBorders>
            <w:shd w:val="clear" w:color="auto" w:fill="auto"/>
            <w:vAlign w:val="bottom"/>
            <w:hideMark/>
          </w:tcPr>
          <w:p w:rsidR="0055491A" w:rsidRPr="005C15C5" w:rsidRDefault="0055491A" w:rsidP="00210BF6">
            <w:pPr>
              <w:rPr>
                <w:sz w:val="16"/>
                <w:szCs w:val="16"/>
              </w:rPr>
            </w:pPr>
            <w:r w:rsidRPr="005C15C5">
              <w:rPr>
                <w:sz w:val="16"/>
                <w:szCs w:val="16"/>
              </w:rPr>
              <w:t xml:space="preserve">ст. 54.2 </w:t>
            </w:r>
          </w:p>
        </w:tc>
        <w:tc>
          <w:tcPr>
            <w:tcW w:w="807" w:type="dxa"/>
            <w:tcBorders>
              <w:top w:val="nil"/>
              <w:left w:val="nil"/>
              <w:bottom w:val="single" w:sz="8" w:space="0" w:color="000000"/>
              <w:right w:val="single" w:sz="8" w:space="0" w:color="000000"/>
            </w:tcBorders>
            <w:shd w:val="clear" w:color="auto" w:fill="auto"/>
            <w:vAlign w:val="bottom"/>
            <w:hideMark/>
          </w:tcPr>
          <w:p w:rsidR="0055491A" w:rsidRPr="008A63F3" w:rsidRDefault="0055491A" w:rsidP="00210BF6">
            <w:pPr>
              <w:jc w:val="center"/>
              <w:rPr>
                <w:sz w:val="20"/>
                <w:szCs w:val="20"/>
              </w:rPr>
            </w:pPr>
            <w:r w:rsidRPr="008A63F3">
              <w:rPr>
                <w:sz w:val="20"/>
                <w:szCs w:val="20"/>
              </w:rPr>
              <w:t>0,5</w:t>
            </w:r>
          </w:p>
        </w:tc>
        <w:tc>
          <w:tcPr>
            <w:tcW w:w="621" w:type="dxa"/>
            <w:tcBorders>
              <w:top w:val="nil"/>
              <w:left w:val="nil"/>
              <w:bottom w:val="single" w:sz="8" w:space="0" w:color="000000"/>
              <w:right w:val="single" w:sz="8" w:space="0" w:color="000000"/>
            </w:tcBorders>
            <w:shd w:val="clear" w:color="auto" w:fill="auto"/>
            <w:vAlign w:val="bottom"/>
            <w:hideMark/>
          </w:tcPr>
          <w:p w:rsidR="0055491A" w:rsidRPr="008A63F3" w:rsidRDefault="0055491A" w:rsidP="00210BF6">
            <w:pPr>
              <w:jc w:val="center"/>
              <w:rPr>
                <w:sz w:val="20"/>
                <w:szCs w:val="20"/>
              </w:rPr>
            </w:pPr>
            <w:r w:rsidRPr="008A63F3">
              <w:rPr>
                <w:sz w:val="20"/>
                <w:szCs w:val="20"/>
              </w:rPr>
              <w:t>7</w:t>
            </w:r>
          </w:p>
        </w:tc>
        <w:tc>
          <w:tcPr>
            <w:tcW w:w="622" w:type="dxa"/>
            <w:gridSpan w:val="2"/>
            <w:tcBorders>
              <w:top w:val="nil"/>
              <w:left w:val="nil"/>
              <w:bottom w:val="single" w:sz="8" w:space="0" w:color="000000"/>
              <w:right w:val="single" w:sz="8" w:space="0" w:color="000000"/>
            </w:tcBorders>
            <w:shd w:val="clear" w:color="auto" w:fill="auto"/>
            <w:vAlign w:val="bottom"/>
            <w:hideMark/>
          </w:tcPr>
          <w:p w:rsidR="0055491A" w:rsidRPr="008A63F3" w:rsidRDefault="0055491A" w:rsidP="00210BF6">
            <w:pPr>
              <w:jc w:val="center"/>
              <w:rPr>
                <w:sz w:val="20"/>
                <w:szCs w:val="20"/>
              </w:rPr>
            </w:pPr>
            <w:r w:rsidRPr="008A63F3">
              <w:rPr>
                <w:sz w:val="20"/>
                <w:szCs w:val="20"/>
              </w:rPr>
              <w:t>2</w:t>
            </w:r>
          </w:p>
        </w:tc>
        <w:tc>
          <w:tcPr>
            <w:tcW w:w="622" w:type="dxa"/>
            <w:gridSpan w:val="2"/>
            <w:tcBorders>
              <w:top w:val="nil"/>
              <w:left w:val="nil"/>
              <w:bottom w:val="single" w:sz="8" w:space="0" w:color="000000"/>
              <w:right w:val="single" w:sz="8" w:space="0" w:color="000000"/>
            </w:tcBorders>
            <w:shd w:val="clear" w:color="auto" w:fill="auto"/>
            <w:vAlign w:val="bottom"/>
            <w:hideMark/>
          </w:tcPr>
          <w:p w:rsidR="0055491A" w:rsidRPr="008A63F3" w:rsidRDefault="0055491A" w:rsidP="00210BF6">
            <w:pPr>
              <w:jc w:val="center"/>
              <w:rPr>
                <w:sz w:val="20"/>
                <w:szCs w:val="20"/>
              </w:rPr>
            </w:pPr>
            <w:r>
              <w:rPr>
                <w:sz w:val="20"/>
                <w:szCs w:val="20"/>
              </w:rPr>
              <w:t>0</w:t>
            </w:r>
          </w:p>
        </w:tc>
        <w:tc>
          <w:tcPr>
            <w:tcW w:w="801" w:type="dxa"/>
            <w:tcBorders>
              <w:top w:val="nil"/>
              <w:left w:val="nil"/>
              <w:bottom w:val="single" w:sz="8" w:space="0" w:color="000000"/>
              <w:right w:val="single" w:sz="8" w:space="0" w:color="000000"/>
            </w:tcBorders>
            <w:shd w:val="clear" w:color="auto" w:fill="auto"/>
            <w:vAlign w:val="bottom"/>
            <w:hideMark/>
          </w:tcPr>
          <w:p w:rsidR="0055491A" w:rsidRPr="008A63F3" w:rsidRDefault="0055491A" w:rsidP="00210BF6">
            <w:pPr>
              <w:jc w:val="center"/>
              <w:rPr>
                <w:sz w:val="20"/>
                <w:szCs w:val="20"/>
              </w:rPr>
            </w:pPr>
            <w:r>
              <w:rPr>
                <w:sz w:val="20"/>
                <w:szCs w:val="20"/>
              </w:rPr>
              <w:t>3</w:t>
            </w:r>
          </w:p>
        </w:tc>
        <w:tc>
          <w:tcPr>
            <w:tcW w:w="803" w:type="dxa"/>
            <w:tcBorders>
              <w:top w:val="nil"/>
              <w:left w:val="nil"/>
              <w:bottom w:val="single" w:sz="8" w:space="0" w:color="000000"/>
              <w:right w:val="single" w:sz="8" w:space="0" w:color="000000"/>
            </w:tcBorders>
            <w:shd w:val="clear" w:color="auto" w:fill="auto"/>
            <w:vAlign w:val="bottom"/>
            <w:hideMark/>
          </w:tcPr>
          <w:p w:rsidR="0055491A" w:rsidRPr="008A63F3" w:rsidRDefault="0055491A" w:rsidP="00210BF6">
            <w:pPr>
              <w:jc w:val="center"/>
              <w:rPr>
                <w:sz w:val="20"/>
                <w:szCs w:val="20"/>
              </w:rPr>
            </w:pPr>
            <w:r>
              <w:rPr>
                <w:sz w:val="20"/>
                <w:szCs w:val="20"/>
              </w:rPr>
              <w:t>1,5</w:t>
            </w:r>
          </w:p>
        </w:tc>
        <w:tc>
          <w:tcPr>
            <w:tcW w:w="801" w:type="dxa"/>
            <w:tcBorders>
              <w:top w:val="nil"/>
              <w:left w:val="nil"/>
              <w:bottom w:val="single" w:sz="8" w:space="0" w:color="000000"/>
              <w:right w:val="single" w:sz="8" w:space="0" w:color="000000"/>
            </w:tcBorders>
            <w:shd w:val="clear" w:color="auto" w:fill="auto"/>
            <w:vAlign w:val="bottom"/>
            <w:hideMark/>
          </w:tcPr>
          <w:p w:rsidR="0055491A" w:rsidRPr="008A63F3" w:rsidRDefault="0055491A" w:rsidP="00210BF6">
            <w:pPr>
              <w:jc w:val="center"/>
              <w:rPr>
                <w:sz w:val="20"/>
                <w:szCs w:val="20"/>
              </w:rPr>
            </w:pPr>
            <w:r>
              <w:rPr>
                <w:sz w:val="20"/>
                <w:szCs w:val="20"/>
              </w:rPr>
              <w:t>2</w:t>
            </w:r>
          </w:p>
        </w:tc>
        <w:tc>
          <w:tcPr>
            <w:tcW w:w="803" w:type="dxa"/>
            <w:tcBorders>
              <w:top w:val="nil"/>
              <w:left w:val="nil"/>
              <w:bottom w:val="single" w:sz="8" w:space="0" w:color="000000"/>
              <w:right w:val="single" w:sz="8" w:space="0" w:color="000000"/>
            </w:tcBorders>
            <w:shd w:val="clear" w:color="auto" w:fill="auto"/>
            <w:vAlign w:val="bottom"/>
            <w:hideMark/>
          </w:tcPr>
          <w:p w:rsidR="0055491A" w:rsidRPr="008A63F3" w:rsidRDefault="0055491A" w:rsidP="00210BF6">
            <w:pPr>
              <w:jc w:val="center"/>
              <w:rPr>
                <w:sz w:val="20"/>
                <w:szCs w:val="20"/>
              </w:rPr>
            </w:pPr>
            <w:r>
              <w:rPr>
                <w:sz w:val="20"/>
                <w:szCs w:val="20"/>
              </w:rPr>
              <w:t>1,0</w:t>
            </w:r>
          </w:p>
        </w:tc>
        <w:tc>
          <w:tcPr>
            <w:tcW w:w="801" w:type="dxa"/>
            <w:tcBorders>
              <w:top w:val="nil"/>
              <w:left w:val="nil"/>
              <w:bottom w:val="single" w:sz="8" w:space="0" w:color="000000"/>
              <w:right w:val="single" w:sz="8" w:space="0" w:color="000000"/>
            </w:tcBorders>
            <w:shd w:val="clear" w:color="auto" w:fill="auto"/>
            <w:vAlign w:val="bottom"/>
            <w:hideMark/>
          </w:tcPr>
          <w:p w:rsidR="0055491A" w:rsidRPr="008A63F3" w:rsidRDefault="0055491A" w:rsidP="00210BF6">
            <w:pPr>
              <w:jc w:val="center"/>
              <w:rPr>
                <w:sz w:val="20"/>
                <w:szCs w:val="20"/>
              </w:rPr>
            </w:pPr>
            <w:r>
              <w:rPr>
                <w:sz w:val="20"/>
                <w:szCs w:val="20"/>
              </w:rPr>
              <w:t>2</w:t>
            </w:r>
          </w:p>
        </w:tc>
        <w:tc>
          <w:tcPr>
            <w:tcW w:w="803" w:type="dxa"/>
            <w:tcBorders>
              <w:top w:val="nil"/>
              <w:left w:val="nil"/>
              <w:bottom w:val="single" w:sz="8" w:space="0" w:color="000000"/>
              <w:right w:val="single" w:sz="8" w:space="0" w:color="000000"/>
            </w:tcBorders>
            <w:shd w:val="clear" w:color="auto" w:fill="auto"/>
            <w:vAlign w:val="bottom"/>
            <w:hideMark/>
          </w:tcPr>
          <w:p w:rsidR="0055491A" w:rsidRPr="008A63F3" w:rsidRDefault="0055491A" w:rsidP="00210BF6">
            <w:pPr>
              <w:jc w:val="center"/>
              <w:rPr>
                <w:sz w:val="20"/>
                <w:szCs w:val="20"/>
              </w:rPr>
            </w:pPr>
            <w:r>
              <w:rPr>
                <w:sz w:val="20"/>
                <w:szCs w:val="20"/>
              </w:rPr>
              <w:t>1</w:t>
            </w:r>
          </w:p>
        </w:tc>
        <w:tc>
          <w:tcPr>
            <w:tcW w:w="801" w:type="dxa"/>
            <w:tcBorders>
              <w:top w:val="nil"/>
              <w:left w:val="nil"/>
              <w:bottom w:val="single" w:sz="8" w:space="0" w:color="000000"/>
              <w:right w:val="single" w:sz="8" w:space="0" w:color="000000"/>
            </w:tcBorders>
            <w:shd w:val="clear" w:color="auto" w:fill="auto"/>
            <w:vAlign w:val="bottom"/>
            <w:hideMark/>
          </w:tcPr>
          <w:p w:rsidR="0055491A" w:rsidRPr="008A63F3" w:rsidRDefault="0055491A" w:rsidP="00210BF6">
            <w:pPr>
              <w:jc w:val="center"/>
              <w:rPr>
                <w:sz w:val="20"/>
                <w:szCs w:val="20"/>
              </w:rPr>
            </w:pPr>
            <w:r>
              <w:rPr>
                <w:sz w:val="20"/>
                <w:szCs w:val="20"/>
              </w:rPr>
              <w:t>2</w:t>
            </w:r>
          </w:p>
        </w:tc>
        <w:tc>
          <w:tcPr>
            <w:tcW w:w="803" w:type="dxa"/>
            <w:tcBorders>
              <w:top w:val="nil"/>
              <w:left w:val="nil"/>
              <w:bottom w:val="single" w:sz="8" w:space="0" w:color="000000"/>
              <w:right w:val="single" w:sz="8" w:space="0" w:color="000000"/>
            </w:tcBorders>
            <w:shd w:val="clear" w:color="auto" w:fill="auto"/>
            <w:vAlign w:val="bottom"/>
            <w:hideMark/>
          </w:tcPr>
          <w:p w:rsidR="0055491A" w:rsidRPr="008A63F3" w:rsidRDefault="0055491A" w:rsidP="00210BF6">
            <w:pPr>
              <w:jc w:val="center"/>
              <w:rPr>
                <w:sz w:val="20"/>
                <w:szCs w:val="20"/>
              </w:rPr>
            </w:pPr>
            <w:r>
              <w:rPr>
                <w:sz w:val="20"/>
                <w:szCs w:val="20"/>
              </w:rPr>
              <w:t>1,0</w:t>
            </w:r>
          </w:p>
        </w:tc>
      </w:tr>
      <w:tr w:rsidR="0055491A" w:rsidRPr="009370D3" w:rsidTr="00210BF6">
        <w:trPr>
          <w:trHeight w:val="330"/>
        </w:trPr>
        <w:tc>
          <w:tcPr>
            <w:tcW w:w="1070" w:type="dxa"/>
            <w:tcBorders>
              <w:top w:val="single" w:sz="4" w:space="0" w:color="auto"/>
              <w:left w:val="single" w:sz="4" w:space="0" w:color="auto"/>
              <w:bottom w:val="nil"/>
              <w:right w:val="single" w:sz="4" w:space="0" w:color="auto"/>
            </w:tcBorders>
            <w:shd w:val="clear" w:color="auto" w:fill="auto"/>
            <w:vAlign w:val="bottom"/>
            <w:hideMark/>
          </w:tcPr>
          <w:p w:rsidR="0055491A" w:rsidRPr="005C15C5" w:rsidRDefault="0055491A" w:rsidP="00210BF6">
            <w:pPr>
              <w:rPr>
                <w:sz w:val="16"/>
                <w:szCs w:val="16"/>
              </w:rPr>
            </w:pPr>
            <w:r w:rsidRPr="005C15C5">
              <w:rPr>
                <w:sz w:val="16"/>
                <w:szCs w:val="16"/>
              </w:rPr>
              <w:t xml:space="preserve">ст. 55 </w:t>
            </w:r>
          </w:p>
        </w:tc>
        <w:tc>
          <w:tcPr>
            <w:tcW w:w="807" w:type="dxa"/>
            <w:tcBorders>
              <w:top w:val="nil"/>
              <w:left w:val="nil"/>
              <w:bottom w:val="single" w:sz="8" w:space="0" w:color="000000"/>
              <w:right w:val="single" w:sz="8" w:space="0" w:color="000000"/>
            </w:tcBorders>
            <w:shd w:val="clear" w:color="auto" w:fill="auto"/>
            <w:vAlign w:val="bottom"/>
            <w:hideMark/>
          </w:tcPr>
          <w:p w:rsidR="0055491A" w:rsidRPr="008A63F3" w:rsidRDefault="0055491A" w:rsidP="00210BF6">
            <w:pPr>
              <w:jc w:val="center"/>
              <w:rPr>
                <w:sz w:val="20"/>
                <w:szCs w:val="20"/>
              </w:rPr>
            </w:pPr>
            <w:r w:rsidRPr="008A63F3">
              <w:rPr>
                <w:sz w:val="20"/>
                <w:szCs w:val="20"/>
              </w:rPr>
              <w:t>1,0</w:t>
            </w:r>
          </w:p>
        </w:tc>
        <w:tc>
          <w:tcPr>
            <w:tcW w:w="621" w:type="dxa"/>
            <w:tcBorders>
              <w:top w:val="nil"/>
              <w:left w:val="nil"/>
              <w:bottom w:val="single" w:sz="8" w:space="0" w:color="000000"/>
              <w:right w:val="single" w:sz="8" w:space="0" w:color="000000"/>
            </w:tcBorders>
            <w:shd w:val="clear" w:color="auto" w:fill="auto"/>
            <w:vAlign w:val="bottom"/>
            <w:hideMark/>
          </w:tcPr>
          <w:p w:rsidR="0055491A" w:rsidRPr="008A63F3" w:rsidRDefault="0055491A" w:rsidP="00210BF6">
            <w:pPr>
              <w:jc w:val="center"/>
              <w:rPr>
                <w:sz w:val="20"/>
                <w:szCs w:val="20"/>
              </w:rPr>
            </w:pPr>
            <w:r w:rsidRPr="008A63F3">
              <w:rPr>
                <w:sz w:val="20"/>
                <w:szCs w:val="20"/>
              </w:rPr>
              <w:t>34</w:t>
            </w:r>
          </w:p>
        </w:tc>
        <w:tc>
          <w:tcPr>
            <w:tcW w:w="622" w:type="dxa"/>
            <w:gridSpan w:val="2"/>
            <w:tcBorders>
              <w:top w:val="nil"/>
              <w:left w:val="nil"/>
              <w:bottom w:val="single" w:sz="8" w:space="0" w:color="000000"/>
              <w:right w:val="single" w:sz="8" w:space="0" w:color="000000"/>
            </w:tcBorders>
            <w:shd w:val="clear" w:color="auto" w:fill="auto"/>
            <w:vAlign w:val="bottom"/>
            <w:hideMark/>
          </w:tcPr>
          <w:p w:rsidR="0055491A" w:rsidRPr="008A63F3" w:rsidRDefault="0055491A" w:rsidP="00210BF6">
            <w:pPr>
              <w:jc w:val="center"/>
              <w:rPr>
                <w:sz w:val="20"/>
                <w:szCs w:val="20"/>
              </w:rPr>
            </w:pPr>
            <w:r w:rsidRPr="008A63F3">
              <w:rPr>
                <w:sz w:val="20"/>
                <w:szCs w:val="20"/>
              </w:rPr>
              <w:t>36</w:t>
            </w:r>
          </w:p>
        </w:tc>
        <w:tc>
          <w:tcPr>
            <w:tcW w:w="622" w:type="dxa"/>
            <w:gridSpan w:val="2"/>
            <w:tcBorders>
              <w:top w:val="nil"/>
              <w:left w:val="nil"/>
              <w:bottom w:val="single" w:sz="8" w:space="0" w:color="000000"/>
              <w:right w:val="single" w:sz="8" w:space="0" w:color="000000"/>
            </w:tcBorders>
            <w:shd w:val="clear" w:color="auto" w:fill="auto"/>
            <w:vAlign w:val="bottom"/>
            <w:hideMark/>
          </w:tcPr>
          <w:p w:rsidR="0055491A" w:rsidRPr="008A63F3" w:rsidRDefault="0055491A" w:rsidP="00210BF6">
            <w:pPr>
              <w:jc w:val="center"/>
              <w:rPr>
                <w:sz w:val="20"/>
                <w:szCs w:val="20"/>
              </w:rPr>
            </w:pPr>
            <w:r>
              <w:rPr>
                <w:sz w:val="20"/>
                <w:szCs w:val="20"/>
              </w:rPr>
              <w:t>0</w:t>
            </w:r>
          </w:p>
        </w:tc>
        <w:tc>
          <w:tcPr>
            <w:tcW w:w="801" w:type="dxa"/>
            <w:tcBorders>
              <w:top w:val="nil"/>
              <w:left w:val="nil"/>
              <w:bottom w:val="single" w:sz="8" w:space="0" w:color="000000"/>
              <w:right w:val="single" w:sz="8" w:space="0" w:color="000000"/>
            </w:tcBorders>
            <w:shd w:val="clear" w:color="auto" w:fill="auto"/>
            <w:vAlign w:val="bottom"/>
            <w:hideMark/>
          </w:tcPr>
          <w:p w:rsidR="0055491A" w:rsidRPr="008A63F3" w:rsidRDefault="0055491A" w:rsidP="00210BF6">
            <w:pPr>
              <w:jc w:val="center"/>
              <w:rPr>
                <w:sz w:val="20"/>
                <w:szCs w:val="20"/>
              </w:rPr>
            </w:pPr>
            <w:r>
              <w:rPr>
                <w:sz w:val="20"/>
                <w:szCs w:val="20"/>
              </w:rPr>
              <w:t>23</w:t>
            </w:r>
          </w:p>
        </w:tc>
        <w:tc>
          <w:tcPr>
            <w:tcW w:w="803" w:type="dxa"/>
            <w:tcBorders>
              <w:top w:val="nil"/>
              <w:left w:val="nil"/>
              <w:bottom w:val="single" w:sz="8" w:space="0" w:color="000000"/>
              <w:right w:val="single" w:sz="8" w:space="0" w:color="000000"/>
            </w:tcBorders>
            <w:shd w:val="clear" w:color="auto" w:fill="auto"/>
            <w:vAlign w:val="bottom"/>
            <w:hideMark/>
          </w:tcPr>
          <w:p w:rsidR="0055491A" w:rsidRPr="008A63F3" w:rsidRDefault="0055491A" w:rsidP="00210BF6">
            <w:pPr>
              <w:jc w:val="center"/>
              <w:rPr>
                <w:sz w:val="20"/>
                <w:szCs w:val="20"/>
              </w:rPr>
            </w:pPr>
            <w:r>
              <w:rPr>
                <w:sz w:val="20"/>
                <w:szCs w:val="20"/>
              </w:rPr>
              <w:t>23</w:t>
            </w:r>
          </w:p>
        </w:tc>
        <w:tc>
          <w:tcPr>
            <w:tcW w:w="801" w:type="dxa"/>
            <w:tcBorders>
              <w:top w:val="nil"/>
              <w:left w:val="nil"/>
              <w:bottom w:val="single" w:sz="8" w:space="0" w:color="000000"/>
              <w:right w:val="single" w:sz="8" w:space="0" w:color="000000"/>
            </w:tcBorders>
            <w:shd w:val="clear" w:color="auto" w:fill="auto"/>
            <w:vAlign w:val="bottom"/>
            <w:hideMark/>
          </w:tcPr>
          <w:p w:rsidR="0055491A" w:rsidRPr="008A63F3" w:rsidRDefault="0055491A" w:rsidP="00210BF6">
            <w:pPr>
              <w:jc w:val="center"/>
              <w:rPr>
                <w:sz w:val="20"/>
                <w:szCs w:val="20"/>
              </w:rPr>
            </w:pPr>
            <w:r>
              <w:rPr>
                <w:sz w:val="20"/>
                <w:szCs w:val="20"/>
              </w:rPr>
              <w:t>20</w:t>
            </w:r>
          </w:p>
        </w:tc>
        <w:tc>
          <w:tcPr>
            <w:tcW w:w="803" w:type="dxa"/>
            <w:tcBorders>
              <w:top w:val="nil"/>
              <w:left w:val="nil"/>
              <w:bottom w:val="single" w:sz="8" w:space="0" w:color="000000"/>
              <w:right w:val="single" w:sz="8" w:space="0" w:color="000000"/>
            </w:tcBorders>
            <w:shd w:val="clear" w:color="auto" w:fill="auto"/>
            <w:vAlign w:val="bottom"/>
            <w:hideMark/>
          </w:tcPr>
          <w:p w:rsidR="0055491A" w:rsidRPr="008A63F3" w:rsidRDefault="0055491A" w:rsidP="00210BF6">
            <w:pPr>
              <w:jc w:val="center"/>
              <w:rPr>
                <w:sz w:val="20"/>
                <w:szCs w:val="20"/>
              </w:rPr>
            </w:pPr>
            <w:r>
              <w:rPr>
                <w:sz w:val="20"/>
                <w:szCs w:val="20"/>
              </w:rPr>
              <w:t>20,0</w:t>
            </w:r>
          </w:p>
        </w:tc>
        <w:tc>
          <w:tcPr>
            <w:tcW w:w="801" w:type="dxa"/>
            <w:tcBorders>
              <w:top w:val="nil"/>
              <w:left w:val="nil"/>
              <w:bottom w:val="single" w:sz="8" w:space="0" w:color="000000"/>
              <w:right w:val="single" w:sz="8" w:space="0" w:color="000000"/>
            </w:tcBorders>
            <w:shd w:val="clear" w:color="auto" w:fill="auto"/>
            <w:vAlign w:val="bottom"/>
            <w:hideMark/>
          </w:tcPr>
          <w:p w:rsidR="0055491A" w:rsidRPr="008A63F3" w:rsidRDefault="0055491A" w:rsidP="00210BF6">
            <w:pPr>
              <w:jc w:val="center"/>
              <w:rPr>
                <w:sz w:val="20"/>
                <w:szCs w:val="20"/>
              </w:rPr>
            </w:pPr>
            <w:r>
              <w:rPr>
                <w:sz w:val="20"/>
                <w:szCs w:val="20"/>
              </w:rPr>
              <w:t>14</w:t>
            </w:r>
          </w:p>
        </w:tc>
        <w:tc>
          <w:tcPr>
            <w:tcW w:w="803" w:type="dxa"/>
            <w:tcBorders>
              <w:top w:val="nil"/>
              <w:left w:val="nil"/>
              <w:bottom w:val="single" w:sz="8" w:space="0" w:color="000000"/>
              <w:right w:val="single" w:sz="8" w:space="0" w:color="000000"/>
            </w:tcBorders>
            <w:shd w:val="clear" w:color="auto" w:fill="auto"/>
            <w:vAlign w:val="bottom"/>
            <w:hideMark/>
          </w:tcPr>
          <w:p w:rsidR="0055491A" w:rsidRPr="008A63F3" w:rsidRDefault="0055491A" w:rsidP="00210BF6">
            <w:pPr>
              <w:jc w:val="center"/>
              <w:rPr>
                <w:sz w:val="20"/>
                <w:szCs w:val="20"/>
              </w:rPr>
            </w:pPr>
            <w:r>
              <w:rPr>
                <w:sz w:val="20"/>
                <w:szCs w:val="20"/>
              </w:rPr>
              <w:t>14</w:t>
            </w:r>
          </w:p>
        </w:tc>
        <w:tc>
          <w:tcPr>
            <w:tcW w:w="801" w:type="dxa"/>
            <w:tcBorders>
              <w:top w:val="nil"/>
              <w:left w:val="nil"/>
              <w:bottom w:val="single" w:sz="8" w:space="0" w:color="000000"/>
              <w:right w:val="single" w:sz="8" w:space="0" w:color="000000"/>
            </w:tcBorders>
            <w:shd w:val="clear" w:color="auto" w:fill="auto"/>
            <w:vAlign w:val="bottom"/>
            <w:hideMark/>
          </w:tcPr>
          <w:p w:rsidR="0055491A" w:rsidRPr="008A63F3" w:rsidRDefault="0055491A" w:rsidP="00210BF6">
            <w:pPr>
              <w:jc w:val="center"/>
              <w:rPr>
                <w:sz w:val="20"/>
                <w:szCs w:val="20"/>
              </w:rPr>
            </w:pPr>
            <w:r>
              <w:rPr>
                <w:sz w:val="20"/>
                <w:szCs w:val="20"/>
              </w:rPr>
              <w:t>19</w:t>
            </w:r>
          </w:p>
        </w:tc>
        <w:tc>
          <w:tcPr>
            <w:tcW w:w="803" w:type="dxa"/>
            <w:tcBorders>
              <w:top w:val="nil"/>
              <w:left w:val="nil"/>
              <w:bottom w:val="single" w:sz="8" w:space="0" w:color="000000"/>
              <w:right w:val="single" w:sz="8" w:space="0" w:color="000000"/>
            </w:tcBorders>
            <w:shd w:val="clear" w:color="auto" w:fill="auto"/>
            <w:vAlign w:val="bottom"/>
            <w:hideMark/>
          </w:tcPr>
          <w:p w:rsidR="0055491A" w:rsidRPr="008A63F3" w:rsidRDefault="0055491A" w:rsidP="00210BF6">
            <w:pPr>
              <w:jc w:val="center"/>
              <w:rPr>
                <w:sz w:val="20"/>
                <w:szCs w:val="20"/>
              </w:rPr>
            </w:pPr>
            <w:r>
              <w:rPr>
                <w:sz w:val="20"/>
                <w:szCs w:val="20"/>
              </w:rPr>
              <w:t>19,0</w:t>
            </w:r>
          </w:p>
        </w:tc>
      </w:tr>
      <w:tr w:rsidR="0055491A" w:rsidRPr="009370D3" w:rsidTr="00210BF6">
        <w:trPr>
          <w:trHeight w:val="330"/>
        </w:trPr>
        <w:tc>
          <w:tcPr>
            <w:tcW w:w="1070" w:type="dxa"/>
            <w:tcBorders>
              <w:top w:val="single" w:sz="4" w:space="0" w:color="auto"/>
              <w:left w:val="single" w:sz="4" w:space="0" w:color="auto"/>
              <w:bottom w:val="nil"/>
              <w:right w:val="single" w:sz="4" w:space="0" w:color="auto"/>
            </w:tcBorders>
            <w:shd w:val="clear" w:color="auto" w:fill="auto"/>
            <w:vAlign w:val="bottom"/>
            <w:hideMark/>
          </w:tcPr>
          <w:p w:rsidR="0055491A" w:rsidRPr="005C15C5" w:rsidRDefault="0055491A" w:rsidP="00210BF6">
            <w:pPr>
              <w:rPr>
                <w:sz w:val="16"/>
                <w:szCs w:val="16"/>
              </w:rPr>
            </w:pPr>
          </w:p>
        </w:tc>
        <w:tc>
          <w:tcPr>
            <w:tcW w:w="807" w:type="dxa"/>
            <w:tcBorders>
              <w:top w:val="nil"/>
              <w:left w:val="nil"/>
              <w:bottom w:val="single" w:sz="8" w:space="0" w:color="000000"/>
              <w:right w:val="single" w:sz="8" w:space="0" w:color="000000"/>
            </w:tcBorders>
            <w:shd w:val="clear" w:color="auto" w:fill="auto"/>
            <w:vAlign w:val="bottom"/>
            <w:hideMark/>
          </w:tcPr>
          <w:p w:rsidR="0055491A" w:rsidRPr="008A63F3" w:rsidRDefault="0055491A" w:rsidP="00210BF6">
            <w:pPr>
              <w:jc w:val="center"/>
              <w:rPr>
                <w:sz w:val="20"/>
                <w:szCs w:val="20"/>
              </w:rPr>
            </w:pPr>
            <w:r>
              <w:rPr>
                <w:sz w:val="20"/>
                <w:szCs w:val="20"/>
              </w:rPr>
              <w:t>15</w:t>
            </w:r>
          </w:p>
        </w:tc>
        <w:tc>
          <w:tcPr>
            <w:tcW w:w="621" w:type="dxa"/>
            <w:tcBorders>
              <w:top w:val="nil"/>
              <w:left w:val="nil"/>
              <w:bottom w:val="single" w:sz="8" w:space="0" w:color="000000"/>
              <w:right w:val="single" w:sz="8" w:space="0" w:color="000000"/>
            </w:tcBorders>
            <w:shd w:val="clear" w:color="auto" w:fill="auto"/>
            <w:vAlign w:val="bottom"/>
            <w:hideMark/>
          </w:tcPr>
          <w:p w:rsidR="0055491A" w:rsidRPr="008A63F3" w:rsidRDefault="0055491A" w:rsidP="00210BF6">
            <w:pPr>
              <w:jc w:val="center"/>
              <w:rPr>
                <w:sz w:val="20"/>
                <w:szCs w:val="20"/>
              </w:rPr>
            </w:pPr>
            <w:r>
              <w:rPr>
                <w:sz w:val="20"/>
                <w:szCs w:val="20"/>
              </w:rPr>
              <w:t>0</w:t>
            </w:r>
          </w:p>
        </w:tc>
        <w:tc>
          <w:tcPr>
            <w:tcW w:w="622" w:type="dxa"/>
            <w:gridSpan w:val="2"/>
            <w:tcBorders>
              <w:top w:val="nil"/>
              <w:left w:val="nil"/>
              <w:bottom w:val="single" w:sz="8" w:space="0" w:color="000000"/>
              <w:right w:val="single" w:sz="8" w:space="0" w:color="000000"/>
            </w:tcBorders>
            <w:shd w:val="clear" w:color="auto" w:fill="auto"/>
            <w:vAlign w:val="bottom"/>
            <w:hideMark/>
          </w:tcPr>
          <w:p w:rsidR="0055491A" w:rsidRPr="008A63F3" w:rsidRDefault="0055491A" w:rsidP="00210BF6">
            <w:pPr>
              <w:jc w:val="center"/>
              <w:rPr>
                <w:sz w:val="20"/>
                <w:szCs w:val="20"/>
              </w:rPr>
            </w:pPr>
            <w:r>
              <w:rPr>
                <w:sz w:val="20"/>
                <w:szCs w:val="20"/>
              </w:rPr>
              <w:t>0</w:t>
            </w:r>
          </w:p>
        </w:tc>
        <w:tc>
          <w:tcPr>
            <w:tcW w:w="622" w:type="dxa"/>
            <w:gridSpan w:val="2"/>
            <w:tcBorders>
              <w:top w:val="nil"/>
              <w:left w:val="nil"/>
              <w:bottom w:val="single" w:sz="8" w:space="0" w:color="000000"/>
              <w:right w:val="single" w:sz="8" w:space="0" w:color="000000"/>
            </w:tcBorders>
            <w:shd w:val="clear" w:color="auto" w:fill="auto"/>
            <w:vAlign w:val="bottom"/>
            <w:hideMark/>
          </w:tcPr>
          <w:p w:rsidR="0055491A" w:rsidRPr="008A63F3" w:rsidRDefault="0055491A" w:rsidP="00210BF6">
            <w:pPr>
              <w:jc w:val="center"/>
              <w:rPr>
                <w:sz w:val="20"/>
                <w:szCs w:val="20"/>
              </w:rPr>
            </w:pPr>
            <w:r>
              <w:rPr>
                <w:sz w:val="20"/>
                <w:szCs w:val="20"/>
              </w:rPr>
              <w:t>1</w:t>
            </w:r>
          </w:p>
        </w:tc>
        <w:tc>
          <w:tcPr>
            <w:tcW w:w="801" w:type="dxa"/>
            <w:tcBorders>
              <w:top w:val="nil"/>
              <w:left w:val="nil"/>
              <w:bottom w:val="single" w:sz="8" w:space="0" w:color="000000"/>
              <w:right w:val="single" w:sz="8" w:space="0" w:color="000000"/>
            </w:tcBorders>
            <w:shd w:val="clear" w:color="auto" w:fill="auto"/>
            <w:vAlign w:val="bottom"/>
            <w:hideMark/>
          </w:tcPr>
          <w:p w:rsidR="0055491A" w:rsidRPr="008A63F3" w:rsidRDefault="0055491A" w:rsidP="00210BF6">
            <w:pPr>
              <w:jc w:val="center"/>
              <w:rPr>
                <w:sz w:val="20"/>
                <w:szCs w:val="20"/>
              </w:rPr>
            </w:pPr>
            <w:r>
              <w:rPr>
                <w:sz w:val="20"/>
                <w:szCs w:val="20"/>
              </w:rPr>
              <w:t>1</w:t>
            </w:r>
          </w:p>
        </w:tc>
        <w:tc>
          <w:tcPr>
            <w:tcW w:w="803" w:type="dxa"/>
            <w:tcBorders>
              <w:top w:val="nil"/>
              <w:left w:val="nil"/>
              <w:bottom w:val="single" w:sz="8" w:space="0" w:color="000000"/>
              <w:right w:val="single" w:sz="8" w:space="0" w:color="000000"/>
            </w:tcBorders>
            <w:shd w:val="clear" w:color="auto" w:fill="auto"/>
            <w:vAlign w:val="bottom"/>
            <w:hideMark/>
          </w:tcPr>
          <w:p w:rsidR="0055491A" w:rsidRPr="008A63F3" w:rsidRDefault="0055491A" w:rsidP="00210BF6">
            <w:pPr>
              <w:jc w:val="center"/>
              <w:rPr>
                <w:sz w:val="20"/>
                <w:szCs w:val="20"/>
              </w:rPr>
            </w:pPr>
            <w:r>
              <w:rPr>
                <w:sz w:val="20"/>
                <w:szCs w:val="20"/>
              </w:rPr>
              <w:t>15</w:t>
            </w:r>
          </w:p>
        </w:tc>
        <w:tc>
          <w:tcPr>
            <w:tcW w:w="801" w:type="dxa"/>
            <w:tcBorders>
              <w:top w:val="nil"/>
              <w:left w:val="nil"/>
              <w:bottom w:val="single" w:sz="8" w:space="0" w:color="000000"/>
              <w:right w:val="single" w:sz="8" w:space="0" w:color="000000"/>
            </w:tcBorders>
            <w:shd w:val="clear" w:color="auto" w:fill="auto"/>
            <w:vAlign w:val="bottom"/>
            <w:hideMark/>
          </w:tcPr>
          <w:p w:rsidR="0055491A" w:rsidRPr="008A63F3" w:rsidRDefault="0055491A" w:rsidP="00210BF6">
            <w:pPr>
              <w:jc w:val="center"/>
              <w:rPr>
                <w:sz w:val="20"/>
                <w:szCs w:val="20"/>
              </w:rPr>
            </w:pPr>
            <w:r>
              <w:rPr>
                <w:sz w:val="20"/>
                <w:szCs w:val="20"/>
              </w:rPr>
              <w:t>1</w:t>
            </w:r>
          </w:p>
        </w:tc>
        <w:tc>
          <w:tcPr>
            <w:tcW w:w="803" w:type="dxa"/>
            <w:tcBorders>
              <w:top w:val="nil"/>
              <w:left w:val="nil"/>
              <w:bottom w:val="single" w:sz="8" w:space="0" w:color="000000"/>
              <w:right w:val="single" w:sz="8" w:space="0" w:color="000000"/>
            </w:tcBorders>
            <w:shd w:val="clear" w:color="auto" w:fill="auto"/>
            <w:vAlign w:val="bottom"/>
            <w:hideMark/>
          </w:tcPr>
          <w:p w:rsidR="0055491A" w:rsidRPr="008A63F3" w:rsidRDefault="0055491A" w:rsidP="00210BF6">
            <w:pPr>
              <w:jc w:val="center"/>
              <w:rPr>
                <w:sz w:val="20"/>
                <w:szCs w:val="20"/>
              </w:rPr>
            </w:pPr>
            <w:r>
              <w:rPr>
                <w:sz w:val="20"/>
                <w:szCs w:val="20"/>
              </w:rPr>
              <w:t>15,0</w:t>
            </w:r>
          </w:p>
        </w:tc>
        <w:tc>
          <w:tcPr>
            <w:tcW w:w="801" w:type="dxa"/>
            <w:tcBorders>
              <w:top w:val="nil"/>
              <w:left w:val="nil"/>
              <w:bottom w:val="single" w:sz="8" w:space="0" w:color="000000"/>
              <w:right w:val="single" w:sz="8" w:space="0" w:color="000000"/>
            </w:tcBorders>
            <w:shd w:val="clear" w:color="auto" w:fill="auto"/>
            <w:vAlign w:val="bottom"/>
            <w:hideMark/>
          </w:tcPr>
          <w:p w:rsidR="0055491A" w:rsidRPr="008A63F3" w:rsidRDefault="0055491A" w:rsidP="00210BF6">
            <w:pPr>
              <w:jc w:val="center"/>
              <w:rPr>
                <w:sz w:val="20"/>
                <w:szCs w:val="20"/>
              </w:rPr>
            </w:pPr>
            <w:r>
              <w:rPr>
                <w:sz w:val="20"/>
                <w:szCs w:val="20"/>
              </w:rPr>
              <w:t>1</w:t>
            </w:r>
          </w:p>
        </w:tc>
        <w:tc>
          <w:tcPr>
            <w:tcW w:w="803" w:type="dxa"/>
            <w:tcBorders>
              <w:top w:val="nil"/>
              <w:left w:val="nil"/>
              <w:bottom w:val="single" w:sz="8" w:space="0" w:color="000000"/>
              <w:right w:val="single" w:sz="8" w:space="0" w:color="000000"/>
            </w:tcBorders>
            <w:shd w:val="clear" w:color="auto" w:fill="auto"/>
            <w:vAlign w:val="bottom"/>
            <w:hideMark/>
          </w:tcPr>
          <w:p w:rsidR="0055491A" w:rsidRPr="008A63F3" w:rsidRDefault="0055491A" w:rsidP="00210BF6">
            <w:pPr>
              <w:jc w:val="center"/>
              <w:rPr>
                <w:sz w:val="20"/>
                <w:szCs w:val="20"/>
              </w:rPr>
            </w:pPr>
            <w:r>
              <w:rPr>
                <w:sz w:val="20"/>
                <w:szCs w:val="20"/>
              </w:rPr>
              <w:t>15</w:t>
            </w:r>
          </w:p>
        </w:tc>
        <w:tc>
          <w:tcPr>
            <w:tcW w:w="801" w:type="dxa"/>
            <w:tcBorders>
              <w:top w:val="nil"/>
              <w:left w:val="nil"/>
              <w:bottom w:val="single" w:sz="8" w:space="0" w:color="000000"/>
              <w:right w:val="single" w:sz="8" w:space="0" w:color="000000"/>
            </w:tcBorders>
            <w:shd w:val="clear" w:color="auto" w:fill="auto"/>
            <w:vAlign w:val="bottom"/>
            <w:hideMark/>
          </w:tcPr>
          <w:p w:rsidR="0055491A" w:rsidRPr="008A63F3" w:rsidRDefault="0055491A" w:rsidP="00210BF6">
            <w:pPr>
              <w:jc w:val="center"/>
              <w:rPr>
                <w:sz w:val="20"/>
                <w:szCs w:val="20"/>
              </w:rPr>
            </w:pPr>
            <w:r>
              <w:rPr>
                <w:sz w:val="20"/>
                <w:szCs w:val="20"/>
              </w:rPr>
              <w:t>1</w:t>
            </w:r>
          </w:p>
        </w:tc>
        <w:tc>
          <w:tcPr>
            <w:tcW w:w="803" w:type="dxa"/>
            <w:tcBorders>
              <w:top w:val="nil"/>
              <w:left w:val="nil"/>
              <w:bottom w:val="single" w:sz="8" w:space="0" w:color="000000"/>
              <w:right w:val="single" w:sz="8" w:space="0" w:color="000000"/>
            </w:tcBorders>
            <w:shd w:val="clear" w:color="auto" w:fill="auto"/>
            <w:vAlign w:val="bottom"/>
            <w:hideMark/>
          </w:tcPr>
          <w:p w:rsidR="0055491A" w:rsidRPr="008A63F3" w:rsidRDefault="0055491A" w:rsidP="00210BF6">
            <w:pPr>
              <w:jc w:val="center"/>
              <w:rPr>
                <w:sz w:val="20"/>
                <w:szCs w:val="20"/>
              </w:rPr>
            </w:pPr>
            <w:r>
              <w:rPr>
                <w:sz w:val="20"/>
                <w:szCs w:val="20"/>
              </w:rPr>
              <w:t>15,0</w:t>
            </w:r>
          </w:p>
        </w:tc>
      </w:tr>
      <w:tr w:rsidR="0055491A" w:rsidRPr="009370D3" w:rsidTr="00210BF6">
        <w:trPr>
          <w:trHeight w:val="330"/>
        </w:trPr>
        <w:tc>
          <w:tcPr>
            <w:tcW w:w="10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491A" w:rsidRPr="005C15C5" w:rsidRDefault="0055491A" w:rsidP="00210BF6">
            <w:pPr>
              <w:rPr>
                <w:sz w:val="16"/>
                <w:szCs w:val="16"/>
              </w:rPr>
            </w:pPr>
          </w:p>
        </w:tc>
        <w:tc>
          <w:tcPr>
            <w:tcW w:w="807" w:type="dxa"/>
            <w:tcBorders>
              <w:top w:val="nil"/>
              <w:left w:val="nil"/>
              <w:bottom w:val="single" w:sz="8" w:space="0" w:color="000000"/>
              <w:right w:val="single" w:sz="8" w:space="0" w:color="000000"/>
            </w:tcBorders>
            <w:shd w:val="clear" w:color="auto" w:fill="auto"/>
            <w:vAlign w:val="bottom"/>
            <w:hideMark/>
          </w:tcPr>
          <w:p w:rsidR="0055491A" w:rsidRPr="008A63F3" w:rsidRDefault="0055491A" w:rsidP="00210BF6">
            <w:pPr>
              <w:jc w:val="center"/>
              <w:rPr>
                <w:sz w:val="20"/>
                <w:szCs w:val="20"/>
              </w:rPr>
            </w:pPr>
            <w:r>
              <w:rPr>
                <w:sz w:val="20"/>
                <w:szCs w:val="20"/>
              </w:rPr>
              <w:t>16</w:t>
            </w:r>
          </w:p>
        </w:tc>
        <w:tc>
          <w:tcPr>
            <w:tcW w:w="621" w:type="dxa"/>
            <w:tcBorders>
              <w:top w:val="nil"/>
              <w:left w:val="nil"/>
              <w:bottom w:val="single" w:sz="8" w:space="0" w:color="000000"/>
              <w:right w:val="single" w:sz="8" w:space="0" w:color="000000"/>
            </w:tcBorders>
            <w:shd w:val="clear" w:color="auto" w:fill="auto"/>
            <w:vAlign w:val="bottom"/>
          </w:tcPr>
          <w:p w:rsidR="0055491A" w:rsidRPr="008A63F3" w:rsidRDefault="0055491A" w:rsidP="00210BF6">
            <w:pPr>
              <w:jc w:val="center"/>
              <w:rPr>
                <w:sz w:val="20"/>
                <w:szCs w:val="20"/>
              </w:rPr>
            </w:pPr>
            <w:r>
              <w:rPr>
                <w:sz w:val="20"/>
                <w:szCs w:val="20"/>
              </w:rPr>
              <w:t>0</w:t>
            </w:r>
          </w:p>
        </w:tc>
        <w:tc>
          <w:tcPr>
            <w:tcW w:w="622" w:type="dxa"/>
            <w:gridSpan w:val="2"/>
            <w:tcBorders>
              <w:top w:val="nil"/>
              <w:left w:val="nil"/>
              <w:bottom w:val="single" w:sz="8" w:space="0" w:color="000000"/>
              <w:right w:val="single" w:sz="8" w:space="0" w:color="000000"/>
            </w:tcBorders>
            <w:shd w:val="clear" w:color="auto" w:fill="auto"/>
            <w:vAlign w:val="bottom"/>
          </w:tcPr>
          <w:p w:rsidR="0055491A" w:rsidRPr="008A63F3" w:rsidRDefault="0055491A" w:rsidP="00210BF6">
            <w:pPr>
              <w:jc w:val="center"/>
              <w:rPr>
                <w:sz w:val="20"/>
                <w:szCs w:val="20"/>
              </w:rPr>
            </w:pPr>
            <w:r>
              <w:rPr>
                <w:sz w:val="20"/>
                <w:szCs w:val="20"/>
              </w:rPr>
              <w:t>0</w:t>
            </w:r>
          </w:p>
        </w:tc>
        <w:tc>
          <w:tcPr>
            <w:tcW w:w="622" w:type="dxa"/>
            <w:gridSpan w:val="2"/>
            <w:tcBorders>
              <w:top w:val="nil"/>
              <w:left w:val="nil"/>
              <w:bottom w:val="single" w:sz="8" w:space="0" w:color="000000"/>
              <w:right w:val="single" w:sz="8" w:space="0" w:color="000000"/>
            </w:tcBorders>
            <w:shd w:val="clear" w:color="auto" w:fill="auto"/>
            <w:vAlign w:val="bottom"/>
          </w:tcPr>
          <w:p w:rsidR="0055491A" w:rsidRPr="008A63F3" w:rsidRDefault="0055491A" w:rsidP="00210BF6">
            <w:pPr>
              <w:jc w:val="center"/>
              <w:rPr>
                <w:sz w:val="20"/>
                <w:szCs w:val="20"/>
              </w:rPr>
            </w:pPr>
            <w:r>
              <w:rPr>
                <w:sz w:val="20"/>
                <w:szCs w:val="20"/>
              </w:rPr>
              <w:t>1</w:t>
            </w:r>
          </w:p>
        </w:tc>
        <w:tc>
          <w:tcPr>
            <w:tcW w:w="801" w:type="dxa"/>
            <w:tcBorders>
              <w:top w:val="nil"/>
              <w:left w:val="nil"/>
              <w:bottom w:val="single" w:sz="8" w:space="0" w:color="000000"/>
              <w:right w:val="single" w:sz="8" w:space="0" w:color="000000"/>
            </w:tcBorders>
            <w:shd w:val="clear" w:color="auto" w:fill="auto"/>
            <w:vAlign w:val="bottom"/>
            <w:hideMark/>
          </w:tcPr>
          <w:p w:rsidR="0055491A" w:rsidRPr="008A63F3" w:rsidRDefault="0055491A" w:rsidP="00210BF6">
            <w:pPr>
              <w:jc w:val="center"/>
              <w:rPr>
                <w:sz w:val="20"/>
                <w:szCs w:val="20"/>
              </w:rPr>
            </w:pPr>
            <w:r>
              <w:rPr>
                <w:sz w:val="20"/>
                <w:szCs w:val="20"/>
              </w:rPr>
              <w:t>1</w:t>
            </w:r>
          </w:p>
        </w:tc>
        <w:tc>
          <w:tcPr>
            <w:tcW w:w="803" w:type="dxa"/>
            <w:tcBorders>
              <w:top w:val="nil"/>
              <w:left w:val="nil"/>
              <w:bottom w:val="single" w:sz="8" w:space="0" w:color="000000"/>
              <w:right w:val="single" w:sz="8" w:space="0" w:color="000000"/>
            </w:tcBorders>
            <w:shd w:val="clear" w:color="auto" w:fill="auto"/>
            <w:vAlign w:val="bottom"/>
            <w:hideMark/>
          </w:tcPr>
          <w:p w:rsidR="0055491A" w:rsidRPr="008A63F3" w:rsidRDefault="0055491A" w:rsidP="00210BF6">
            <w:pPr>
              <w:jc w:val="center"/>
              <w:rPr>
                <w:sz w:val="20"/>
                <w:szCs w:val="20"/>
              </w:rPr>
            </w:pPr>
            <w:r>
              <w:rPr>
                <w:sz w:val="20"/>
                <w:szCs w:val="20"/>
              </w:rPr>
              <w:t>16</w:t>
            </w:r>
          </w:p>
        </w:tc>
        <w:tc>
          <w:tcPr>
            <w:tcW w:w="801" w:type="dxa"/>
            <w:tcBorders>
              <w:top w:val="nil"/>
              <w:left w:val="nil"/>
              <w:bottom w:val="single" w:sz="8" w:space="0" w:color="000000"/>
              <w:right w:val="single" w:sz="8" w:space="0" w:color="000000"/>
            </w:tcBorders>
            <w:shd w:val="clear" w:color="auto" w:fill="auto"/>
            <w:vAlign w:val="bottom"/>
            <w:hideMark/>
          </w:tcPr>
          <w:p w:rsidR="0055491A" w:rsidRPr="008A63F3" w:rsidRDefault="0055491A" w:rsidP="00210BF6">
            <w:pPr>
              <w:jc w:val="center"/>
              <w:rPr>
                <w:sz w:val="20"/>
                <w:szCs w:val="20"/>
              </w:rPr>
            </w:pPr>
            <w:r>
              <w:rPr>
                <w:sz w:val="20"/>
                <w:szCs w:val="20"/>
              </w:rPr>
              <w:t>1</w:t>
            </w:r>
          </w:p>
        </w:tc>
        <w:tc>
          <w:tcPr>
            <w:tcW w:w="803" w:type="dxa"/>
            <w:tcBorders>
              <w:top w:val="nil"/>
              <w:left w:val="nil"/>
              <w:bottom w:val="single" w:sz="8" w:space="0" w:color="000000"/>
              <w:right w:val="single" w:sz="8" w:space="0" w:color="000000"/>
            </w:tcBorders>
            <w:shd w:val="clear" w:color="auto" w:fill="auto"/>
            <w:vAlign w:val="bottom"/>
            <w:hideMark/>
          </w:tcPr>
          <w:p w:rsidR="0055491A" w:rsidRPr="008A63F3" w:rsidRDefault="0055491A" w:rsidP="00210BF6">
            <w:pPr>
              <w:jc w:val="center"/>
              <w:rPr>
                <w:sz w:val="20"/>
                <w:szCs w:val="20"/>
              </w:rPr>
            </w:pPr>
            <w:r>
              <w:rPr>
                <w:sz w:val="20"/>
                <w:szCs w:val="20"/>
              </w:rPr>
              <w:t>16,0</w:t>
            </w:r>
          </w:p>
        </w:tc>
        <w:tc>
          <w:tcPr>
            <w:tcW w:w="801" w:type="dxa"/>
            <w:tcBorders>
              <w:top w:val="nil"/>
              <w:left w:val="nil"/>
              <w:bottom w:val="single" w:sz="8" w:space="0" w:color="000000"/>
              <w:right w:val="single" w:sz="8" w:space="0" w:color="000000"/>
            </w:tcBorders>
            <w:shd w:val="clear" w:color="auto" w:fill="auto"/>
            <w:vAlign w:val="bottom"/>
            <w:hideMark/>
          </w:tcPr>
          <w:p w:rsidR="0055491A" w:rsidRPr="008A63F3" w:rsidRDefault="0055491A" w:rsidP="00210BF6">
            <w:pPr>
              <w:jc w:val="center"/>
              <w:rPr>
                <w:sz w:val="20"/>
                <w:szCs w:val="20"/>
              </w:rPr>
            </w:pPr>
            <w:r>
              <w:rPr>
                <w:sz w:val="20"/>
                <w:szCs w:val="20"/>
              </w:rPr>
              <w:t>1</w:t>
            </w:r>
          </w:p>
        </w:tc>
        <w:tc>
          <w:tcPr>
            <w:tcW w:w="803" w:type="dxa"/>
            <w:tcBorders>
              <w:top w:val="nil"/>
              <w:left w:val="nil"/>
              <w:bottom w:val="single" w:sz="8" w:space="0" w:color="000000"/>
              <w:right w:val="single" w:sz="8" w:space="0" w:color="000000"/>
            </w:tcBorders>
            <w:shd w:val="clear" w:color="auto" w:fill="auto"/>
            <w:vAlign w:val="bottom"/>
            <w:hideMark/>
          </w:tcPr>
          <w:p w:rsidR="0055491A" w:rsidRPr="008A63F3" w:rsidRDefault="0055491A" w:rsidP="00210BF6">
            <w:pPr>
              <w:jc w:val="center"/>
              <w:rPr>
                <w:sz w:val="20"/>
                <w:szCs w:val="20"/>
              </w:rPr>
            </w:pPr>
            <w:r>
              <w:rPr>
                <w:sz w:val="20"/>
                <w:szCs w:val="20"/>
              </w:rPr>
              <w:t>16</w:t>
            </w:r>
          </w:p>
        </w:tc>
        <w:tc>
          <w:tcPr>
            <w:tcW w:w="801" w:type="dxa"/>
            <w:tcBorders>
              <w:top w:val="nil"/>
              <w:left w:val="nil"/>
              <w:bottom w:val="single" w:sz="8" w:space="0" w:color="000000"/>
              <w:right w:val="single" w:sz="8" w:space="0" w:color="000000"/>
            </w:tcBorders>
            <w:shd w:val="clear" w:color="auto" w:fill="auto"/>
            <w:vAlign w:val="bottom"/>
            <w:hideMark/>
          </w:tcPr>
          <w:p w:rsidR="0055491A" w:rsidRPr="008A63F3" w:rsidRDefault="0055491A" w:rsidP="00210BF6">
            <w:pPr>
              <w:jc w:val="center"/>
              <w:rPr>
                <w:sz w:val="20"/>
                <w:szCs w:val="20"/>
              </w:rPr>
            </w:pPr>
            <w:r>
              <w:rPr>
                <w:sz w:val="20"/>
                <w:szCs w:val="20"/>
              </w:rPr>
              <w:t>1</w:t>
            </w:r>
          </w:p>
        </w:tc>
        <w:tc>
          <w:tcPr>
            <w:tcW w:w="803" w:type="dxa"/>
            <w:tcBorders>
              <w:top w:val="nil"/>
              <w:left w:val="nil"/>
              <w:bottom w:val="single" w:sz="8" w:space="0" w:color="000000"/>
              <w:right w:val="single" w:sz="8" w:space="0" w:color="000000"/>
            </w:tcBorders>
            <w:shd w:val="clear" w:color="auto" w:fill="auto"/>
            <w:vAlign w:val="bottom"/>
            <w:hideMark/>
          </w:tcPr>
          <w:p w:rsidR="0055491A" w:rsidRPr="008A63F3" w:rsidRDefault="0055491A" w:rsidP="00210BF6">
            <w:pPr>
              <w:jc w:val="center"/>
              <w:rPr>
                <w:sz w:val="20"/>
                <w:szCs w:val="20"/>
              </w:rPr>
            </w:pPr>
            <w:r>
              <w:rPr>
                <w:sz w:val="20"/>
                <w:szCs w:val="20"/>
              </w:rPr>
              <w:t>16,0</w:t>
            </w:r>
          </w:p>
        </w:tc>
      </w:tr>
      <w:tr w:rsidR="0055491A" w:rsidRPr="009370D3" w:rsidTr="00210BF6">
        <w:trPr>
          <w:trHeight w:val="330"/>
        </w:trPr>
        <w:tc>
          <w:tcPr>
            <w:tcW w:w="1070" w:type="dxa"/>
            <w:tcBorders>
              <w:top w:val="single" w:sz="4" w:space="0" w:color="auto"/>
              <w:left w:val="single" w:sz="4" w:space="0" w:color="auto"/>
              <w:bottom w:val="single" w:sz="4" w:space="0" w:color="auto"/>
              <w:right w:val="single" w:sz="4" w:space="0" w:color="auto"/>
            </w:tcBorders>
            <w:shd w:val="clear" w:color="auto" w:fill="auto"/>
            <w:vAlign w:val="bottom"/>
          </w:tcPr>
          <w:p w:rsidR="0055491A" w:rsidRPr="005C15C5" w:rsidRDefault="0055491A" w:rsidP="00210BF6">
            <w:pPr>
              <w:rPr>
                <w:sz w:val="16"/>
                <w:szCs w:val="16"/>
              </w:rPr>
            </w:pPr>
            <w:r w:rsidRPr="005C15C5">
              <w:rPr>
                <w:sz w:val="16"/>
                <w:szCs w:val="16"/>
              </w:rPr>
              <w:t>ст. 56.1</w:t>
            </w:r>
          </w:p>
        </w:tc>
        <w:tc>
          <w:tcPr>
            <w:tcW w:w="807" w:type="dxa"/>
            <w:tcBorders>
              <w:top w:val="nil"/>
              <w:left w:val="nil"/>
              <w:bottom w:val="single" w:sz="8" w:space="0" w:color="000000"/>
              <w:right w:val="single" w:sz="8" w:space="0" w:color="000000"/>
            </w:tcBorders>
            <w:shd w:val="clear" w:color="auto" w:fill="auto"/>
            <w:vAlign w:val="bottom"/>
          </w:tcPr>
          <w:p w:rsidR="0055491A" w:rsidRPr="008A63F3" w:rsidRDefault="0055491A" w:rsidP="00210BF6">
            <w:pPr>
              <w:jc w:val="center"/>
              <w:rPr>
                <w:sz w:val="20"/>
                <w:szCs w:val="20"/>
              </w:rPr>
            </w:pPr>
            <w:r w:rsidRPr="008A63F3">
              <w:rPr>
                <w:sz w:val="20"/>
                <w:szCs w:val="20"/>
              </w:rPr>
              <w:t>4,5</w:t>
            </w:r>
          </w:p>
        </w:tc>
        <w:tc>
          <w:tcPr>
            <w:tcW w:w="621" w:type="dxa"/>
            <w:tcBorders>
              <w:top w:val="nil"/>
              <w:left w:val="nil"/>
              <w:bottom w:val="single" w:sz="8" w:space="0" w:color="000000"/>
              <w:right w:val="single" w:sz="8" w:space="0" w:color="000000"/>
            </w:tcBorders>
            <w:shd w:val="clear" w:color="auto" w:fill="auto"/>
            <w:vAlign w:val="bottom"/>
          </w:tcPr>
          <w:p w:rsidR="0055491A" w:rsidRPr="008A63F3" w:rsidRDefault="0055491A" w:rsidP="00210BF6">
            <w:pPr>
              <w:jc w:val="center"/>
              <w:rPr>
                <w:sz w:val="20"/>
                <w:szCs w:val="20"/>
              </w:rPr>
            </w:pPr>
            <w:r w:rsidRPr="008A63F3">
              <w:rPr>
                <w:sz w:val="20"/>
                <w:szCs w:val="20"/>
              </w:rPr>
              <w:t>1</w:t>
            </w:r>
          </w:p>
        </w:tc>
        <w:tc>
          <w:tcPr>
            <w:tcW w:w="622" w:type="dxa"/>
            <w:gridSpan w:val="2"/>
            <w:tcBorders>
              <w:top w:val="nil"/>
              <w:left w:val="nil"/>
              <w:bottom w:val="single" w:sz="8" w:space="0" w:color="000000"/>
              <w:right w:val="single" w:sz="8" w:space="0" w:color="000000"/>
            </w:tcBorders>
            <w:shd w:val="clear" w:color="auto" w:fill="auto"/>
            <w:vAlign w:val="bottom"/>
          </w:tcPr>
          <w:p w:rsidR="0055491A" w:rsidRPr="008A63F3" w:rsidRDefault="0055491A" w:rsidP="00210BF6">
            <w:pPr>
              <w:jc w:val="center"/>
              <w:rPr>
                <w:sz w:val="20"/>
                <w:szCs w:val="20"/>
              </w:rPr>
            </w:pPr>
            <w:r w:rsidRPr="008A63F3">
              <w:rPr>
                <w:sz w:val="20"/>
                <w:szCs w:val="20"/>
              </w:rPr>
              <w:t>0</w:t>
            </w:r>
          </w:p>
        </w:tc>
        <w:tc>
          <w:tcPr>
            <w:tcW w:w="622" w:type="dxa"/>
            <w:gridSpan w:val="2"/>
            <w:tcBorders>
              <w:top w:val="nil"/>
              <w:left w:val="nil"/>
              <w:bottom w:val="single" w:sz="8" w:space="0" w:color="000000"/>
              <w:right w:val="single" w:sz="8" w:space="0" w:color="000000"/>
            </w:tcBorders>
            <w:shd w:val="clear" w:color="auto" w:fill="auto"/>
            <w:vAlign w:val="bottom"/>
          </w:tcPr>
          <w:p w:rsidR="0055491A" w:rsidRPr="008A63F3" w:rsidRDefault="0055491A" w:rsidP="00210BF6">
            <w:pPr>
              <w:jc w:val="center"/>
              <w:rPr>
                <w:sz w:val="20"/>
                <w:szCs w:val="20"/>
              </w:rPr>
            </w:pPr>
            <w:r>
              <w:rPr>
                <w:sz w:val="20"/>
                <w:szCs w:val="20"/>
              </w:rPr>
              <w:t>9</w:t>
            </w:r>
          </w:p>
        </w:tc>
        <w:tc>
          <w:tcPr>
            <w:tcW w:w="801" w:type="dxa"/>
            <w:tcBorders>
              <w:top w:val="nil"/>
              <w:left w:val="nil"/>
              <w:bottom w:val="single" w:sz="8" w:space="0" w:color="000000"/>
              <w:right w:val="single" w:sz="8" w:space="0" w:color="000000"/>
            </w:tcBorders>
            <w:shd w:val="clear" w:color="auto" w:fill="auto"/>
            <w:vAlign w:val="bottom"/>
          </w:tcPr>
          <w:p w:rsidR="0055491A" w:rsidRPr="008A63F3" w:rsidRDefault="0055491A" w:rsidP="00210BF6">
            <w:pPr>
              <w:jc w:val="center"/>
              <w:rPr>
                <w:sz w:val="20"/>
                <w:szCs w:val="20"/>
              </w:rPr>
            </w:pPr>
            <w:r>
              <w:rPr>
                <w:sz w:val="20"/>
                <w:szCs w:val="20"/>
              </w:rPr>
              <w:t>3</w:t>
            </w:r>
          </w:p>
        </w:tc>
        <w:tc>
          <w:tcPr>
            <w:tcW w:w="803" w:type="dxa"/>
            <w:tcBorders>
              <w:top w:val="nil"/>
              <w:left w:val="nil"/>
              <w:bottom w:val="single" w:sz="8" w:space="0" w:color="000000"/>
              <w:right w:val="single" w:sz="8" w:space="0" w:color="000000"/>
            </w:tcBorders>
            <w:shd w:val="clear" w:color="auto" w:fill="auto"/>
            <w:vAlign w:val="bottom"/>
          </w:tcPr>
          <w:p w:rsidR="0055491A" w:rsidRPr="008A63F3" w:rsidRDefault="0055491A" w:rsidP="00210BF6">
            <w:pPr>
              <w:jc w:val="center"/>
              <w:rPr>
                <w:sz w:val="20"/>
                <w:szCs w:val="20"/>
              </w:rPr>
            </w:pPr>
            <w:r>
              <w:rPr>
                <w:sz w:val="20"/>
                <w:szCs w:val="20"/>
              </w:rPr>
              <w:t>13,5</w:t>
            </w:r>
          </w:p>
        </w:tc>
        <w:tc>
          <w:tcPr>
            <w:tcW w:w="801" w:type="dxa"/>
            <w:tcBorders>
              <w:top w:val="nil"/>
              <w:left w:val="nil"/>
              <w:bottom w:val="single" w:sz="8" w:space="0" w:color="000000"/>
              <w:right w:val="single" w:sz="8" w:space="0" w:color="000000"/>
            </w:tcBorders>
            <w:shd w:val="clear" w:color="auto" w:fill="auto"/>
            <w:vAlign w:val="bottom"/>
          </w:tcPr>
          <w:p w:rsidR="0055491A" w:rsidRPr="008A63F3" w:rsidRDefault="0055491A" w:rsidP="00210BF6">
            <w:pPr>
              <w:jc w:val="center"/>
              <w:rPr>
                <w:sz w:val="20"/>
                <w:szCs w:val="20"/>
              </w:rPr>
            </w:pPr>
            <w:r>
              <w:rPr>
                <w:sz w:val="20"/>
                <w:szCs w:val="20"/>
              </w:rPr>
              <w:t>4</w:t>
            </w:r>
          </w:p>
        </w:tc>
        <w:tc>
          <w:tcPr>
            <w:tcW w:w="803" w:type="dxa"/>
            <w:tcBorders>
              <w:top w:val="nil"/>
              <w:left w:val="nil"/>
              <w:bottom w:val="single" w:sz="8" w:space="0" w:color="000000"/>
              <w:right w:val="single" w:sz="8" w:space="0" w:color="000000"/>
            </w:tcBorders>
            <w:shd w:val="clear" w:color="auto" w:fill="auto"/>
            <w:vAlign w:val="bottom"/>
          </w:tcPr>
          <w:p w:rsidR="0055491A" w:rsidRPr="008A63F3" w:rsidRDefault="0055491A" w:rsidP="00210BF6">
            <w:pPr>
              <w:jc w:val="center"/>
              <w:rPr>
                <w:sz w:val="20"/>
                <w:szCs w:val="20"/>
              </w:rPr>
            </w:pPr>
            <w:r>
              <w:rPr>
                <w:sz w:val="20"/>
                <w:szCs w:val="20"/>
              </w:rPr>
              <w:t>18,0</w:t>
            </w:r>
          </w:p>
        </w:tc>
        <w:tc>
          <w:tcPr>
            <w:tcW w:w="801" w:type="dxa"/>
            <w:tcBorders>
              <w:top w:val="nil"/>
              <w:left w:val="nil"/>
              <w:bottom w:val="single" w:sz="8" w:space="0" w:color="000000"/>
              <w:right w:val="single" w:sz="8" w:space="0" w:color="000000"/>
            </w:tcBorders>
            <w:shd w:val="clear" w:color="auto" w:fill="auto"/>
            <w:vAlign w:val="bottom"/>
          </w:tcPr>
          <w:p w:rsidR="0055491A" w:rsidRPr="008A63F3" w:rsidRDefault="0055491A" w:rsidP="00210BF6">
            <w:pPr>
              <w:jc w:val="center"/>
              <w:rPr>
                <w:sz w:val="20"/>
                <w:szCs w:val="20"/>
              </w:rPr>
            </w:pPr>
            <w:r>
              <w:rPr>
                <w:sz w:val="20"/>
                <w:szCs w:val="20"/>
              </w:rPr>
              <w:t>5</w:t>
            </w:r>
          </w:p>
        </w:tc>
        <w:tc>
          <w:tcPr>
            <w:tcW w:w="803" w:type="dxa"/>
            <w:tcBorders>
              <w:top w:val="nil"/>
              <w:left w:val="nil"/>
              <w:bottom w:val="single" w:sz="8" w:space="0" w:color="000000"/>
              <w:right w:val="single" w:sz="8" w:space="0" w:color="000000"/>
            </w:tcBorders>
            <w:shd w:val="clear" w:color="auto" w:fill="auto"/>
            <w:vAlign w:val="bottom"/>
          </w:tcPr>
          <w:p w:rsidR="0055491A" w:rsidRPr="008A63F3" w:rsidRDefault="0055491A" w:rsidP="00210BF6">
            <w:pPr>
              <w:jc w:val="center"/>
              <w:rPr>
                <w:sz w:val="20"/>
                <w:szCs w:val="20"/>
              </w:rPr>
            </w:pPr>
            <w:r>
              <w:rPr>
                <w:sz w:val="20"/>
                <w:szCs w:val="20"/>
              </w:rPr>
              <w:t>22,5</w:t>
            </w:r>
          </w:p>
        </w:tc>
        <w:tc>
          <w:tcPr>
            <w:tcW w:w="801" w:type="dxa"/>
            <w:tcBorders>
              <w:top w:val="nil"/>
              <w:left w:val="nil"/>
              <w:bottom w:val="single" w:sz="8" w:space="0" w:color="000000"/>
              <w:right w:val="single" w:sz="8" w:space="0" w:color="000000"/>
            </w:tcBorders>
            <w:shd w:val="clear" w:color="auto" w:fill="auto"/>
            <w:vAlign w:val="bottom"/>
          </w:tcPr>
          <w:p w:rsidR="0055491A" w:rsidRPr="008A63F3" w:rsidRDefault="0055491A" w:rsidP="00210BF6">
            <w:pPr>
              <w:jc w:val="center"/>
              <w:rPr>
                <w:sz w:val="20"/>
                <w:szCs w:val="20"/>
              </w:rPr>
            </w:pPr>
            <w:r>
              <w:rPr>
                <w:sz w:val="20"/>
                <w:szCs w:val="20"/>
              </w:rPr>
              <w:t>4</w:t>
            </w:r>
          </w:p>
        </w:tc>
        <w:tc>
          <w:tcPr>
            <w:tcW w:w="803" w:type="dxa"/>
            <w:tcBorders>
              <w:top w:val="nil"/>
              <w:left w:val="nil"/>
              <w:bottom w:val="single" w:sz="8" w:space="0" w:color="000000"/>
              <w:right w:val="single" w:sz="8" w:space="0" w:color="000000"/>
            </w:tcBorders>
            <w:shd w:val="clear" w:color="auto" w:fill="auto"/>
            <w:vAlign w:val="bottom"/>
          </w:tcPr>
          <w:p w:rsidR="0055491A" w:rsidRPr="008A63F3" w:rsidRDefault="0055491A" w:rsidP="00210BF6">
            <w:pPr>
              <w:jc w:val="center"/>
              <w:rPr>
                <w:sz w:val="20"/>
                <w:szCs w:val="20"/>
              </w:rPr>
            </w:pPr>
            <w:r>
              <w:rPr>
                <w:sz w:val="20"/>
                <w:szCs w:val="20"/>
              </w:rPr>
              <w:t>18,0</w:t>
            </w:r>
          </w:p>
        </w:tc>
      </w:tr>
      <w:tr w:rsidR="0055491A" w:rsidRPr="009370D3" w:rsidTr="00210BF6">
        <w:trPr>
          <w:trHeight w:val="330"/>
        </w:trPr>
        <w:tc>
          <w:tcPr>
            <w:tcW w:w="1070" w:type="dxa"/>
            <w:tcBorders>
              <w:top w:val="single" w:sz="4" w:space="0" w:color="auto"/>
              <w:left w:val="single" w:sz="4" w:space="0" w:color="auto"/>
              <w:bottom w:val="single" w:sz="4" w:space="0" w:color="auto"/>
              <w:right w:val="single" w:sz="4" w:space="0" w:color="auto"/>
            </w:tcBorders>
            <w:shd w:val="clear" w:color="auto" w:fill="auto"/>
            <w:vAlign w:val="bottom"/>
          </w:tcPr>
          <w:p w:rsidR="0055491A" w:rsidRPr="005C15C5" w:rsidRDefault="0055491A" w:rsidP="00210BF6">
            <w:pPr>
              <w:rPr>
                <w:sz w:val="16"/>
                <w:szCs w:val="16"/>
              </w:rPr>
            </w:pPr>
          </w:p>
        </w:tc>
        <w:tc>
          <w:tcPr>
            <w:tcW w:w="807" w:type="dxa"/>
            <w:tcBorders>
              <w:top w:val="nil"/>
              <w:left w:val="nil"/>
              <w:bottom w:val="single" w:sz="8" w:space="0" w:color="000000"/>
              <w:right w:val="single" w:sz="8" w:space="0" w:color="000000"/>
            </w:tcBorders>
            <w:shd w:val="clear" w:color="auto" w:fill="auto"/>
            <w:vAlign w:val="bottom"/>
          </w:tcPr>
          <w:p w:rsidR="0055491A" w:rsidRPr="008A63F3" w:rsidRDefault="0055491A" w:rsidP="00210BF6">
            <w:pPr>
              <w:jc w:val="center"/>
              <w:rPr>
                <w:sz w:val="20"/>
                <w:szCs w:val="20"/>
              </w:rPr>
            </w:pPr>
            <w:r>
              <w:rPr>
                <w:sz w:val="20"/>
                <w:szCs w:val="20"/>
              </w:rPr>
              <w:t>5</w:t>
            </w:r>
          </w:p>
        </w:tc>
        <w:tc>
          <w:tcPr>
            <w:tcW w:w="621" w:type="dxa"/>
            <w:tcBorders>
              <w:top w:val="nil"/>
              <w:left w:val="nil"/>
              <w:bottom w:val="single" w:sz="8" w:space="0" w:color="000000"/>
              <w:right w:val="single" w:sz="8" w:space="0" w:color="000000"/>
            </w:tcBorders>
            <w:shd w:val="clear" w:color="auto" w:fill="auto"/>
            <w:vAlign w:val="bottom"/>
          </w:tcPr>
          <w:p w:rsidR="0055491A" w:rsidRPr="008A63F3" w:rsidRDefault="0055491A" w:rsidP="00210BF6">
            <w:pPr>
              <w:jc w:val="center"/>
              <w:rPr>
                <w:sz w:val="20"/>
                <w:szCs w:val="20"/>
              </w:rPr>
            </w:pPr>
            <w:r>
              <w:rPr>
                <w:sz w:val="20"/>
                <w:szCs w:val="20"/>
              </w:rPr>
              <w:t>0</w:t>
            </w:r>
          </w:p>
        </w:tc>
        <w:tc>
          <w:tcPr>
            <w:tcW w:w="622" w:type="dxa"/>
            <w:gridSpan w:val="2"/>
            <w:tcBorders>
              <w:top w:val="nil"/>
              <w:left w:val="nil"/>
              <w:bottom w:val="single" w:sz="8" w:space="0" w:color="000000"/>
              <w:right w:val="single" w:sz="8" w:space="0" w:color="000000"/>
            </w:tcBorders>
            <w:shd w:val="clear" w:color="auto" w:fill="auto"/>
            <w:vAlign w:val="bottom"/>
          </w:tcPr>
          <w:p w:rsidR="0055491A" w:rsidRPr="008A63F3" w:rsidRDefault="0055491A" w:rsidP="00210BF6">
            <w:pPr>
              <w:jc w:val="center"/>
              <w:rPr>
                <w:sz w:val="20"/>
                <w:szCs w:val="20"/>
              </w:rPr>
            </w:pPr>
            <w:r>
              <w:rPr>
                <w:sz w:val="20"/>
                <w:szCs w:val="20"/>
              </w:rPr>
              <w:t>0</w:t>
            </w:r>
          </w:p>
        </w:tc>
        <w:tc>
          <w:tcPr>
            <w:tcW w:w="622" w:type="dxa"/>
            <w:gridSpan w:val="2"/>
            <w:tcBorders>
              <w:top w:val="nil"/>
              <w:left w:val="nil"/>
              <w:bottom w:val="single" w:sz="8" w:space="0" w:color="000000"/>
              <w:right w:val="single" w:sz="8" w:space="0" w:color="000000"/>
            </w:tcBorders>
            <w:shd w:val="clear" w:color="auto" w:fill="auto"/>
            <w:vAlign w:val="bottom"/>
          </w:tcPr>
          <w:p w:rsidR="0055491A" w:rsidRDefault="0055491A" w:rsidP="00210BF6">
            <w:pPr>
              <w:jc w:val="center"/>
              <w:rPr>
                <w:sz w:val="20"/>
                <w:szCs w:val="20"/>
              </w:rPr>
            </w:pPr>
            <w:r>
              <w:rPr>
                <w:sz w:val="20"/>
                <w:szCs w:val="20"/>
              </w:rPr>
              <w:t>2</w:t>
            </w:r>
          </w:p>
        </w:tc>
        <w:tc>
          <w:tcPr>
            <w:tcW w:w="801" w:type="dxa"/>
            <w:tcBorders>
              <w:top w:val="nil"/>
              <w:left w:val="nil"/>
              <w:bottom w:val="single" w:sz="8" w:space="0" w:color="000000"/>
              <w:right w:val="single" w:sz="8" w:space="0" w:color="000000"/>
            </w:tcBorders>
            <w:shd w:val="clear" w:color="auto" w:fill="auto"/>
            <w:vAlign w:val="bottom"/>
          </w:tcPr>
          <w:p w:rsidR="0055491A" w:rsidRPr="008A63F3" w:rsidRDefault="0055491A" w:rsidP="00210BF6">
            <w:pPr>
              <w:jc w:val="center"/>
              <w:rPr>
                <w:sz w:val="20"/>
                <w:szCs w:val="20"/>
              </w:rPr>
            </w:pPr>
            <w:r>
              <w:rPr>
                <w:sz w:val="20"/>
                <w:szCs w:val="20"/>
              </w:rPr>
              <w:t>1</w:t>
            </w:r>
          </w:p>
        </w:tc>
        <w:tc>
          <w:tcPr>
            <w:tcW w:w="803" w:type="dxa"/>
            <w:tcBorders>
              <w:top w:val="nil"/>
              <w:left w:val="nil"/>
              <w:bottom w:val="single" w:sz="8" w:space="0" w:color="000000"/>
              <w:right w:val="single" w:sz="8" w:space="0" w:color="000000"/>
            </w:tcBorders>
            <w:shd w:val="clear" w:color="auto" w:fill="auto"/>
            <w:vAlign w:val="bottom"/>
          </w:tcPr>
          <w:p w:rsidR="0055491A" w:rsidRPr="008A63F3" w:rsidRDefault="0055491A" w:rsidP="00210BF6">
            <w:pPr>
              <w:jc w:val="center"/>
              <w:rPr>
                <w:sz w:val="20"/>
                <w:szCs w:val="20"/>
              </w:rPr>
            </w:pPr>
            <w:r>
              <w:rPr>
                <w:sz w:val="20"/>
                <w:szCs w:val="20"/>
              </w:rPr>
              <w:t>5,0</w:t>
            </w:r>
          </w:p>
        </w:tc>
        <w:tc>
          <w:tcPr>
            <w:tcW w:w="801" w:type="dxa"/>
            <w:tcBorders>
              <w:top w:val="nil"/>
              <w:left w:val="nil"/>
              <w:bottom w:val="single" w:sz="8" w:space="0" w:color="000000"/>
              <w:right w:val="single" w:sz="8" w:space="0" w:color="000000"/>
            </w:tcBorders>
            <w:shd w:val="clear" w:color="auto" w:fill="auto"/>
            <w:vAlign w:val="bottom"/>
          </w:tcPr>
          <w:p w:rsidR="0055491A" w:rsidRPr="008A63F3" w:rsidRDefault="0055491A" w:rsidP="00210BF6">
            <w:pPr>
              <w:jc w:val="center"/>
              <w:rPr>
                <w:sz w:val="20"/>
                <w:szCs w:val="20"/>
              </w:rPr>
            </w:pPr>
            <w:r>
              <w:rPr>
                <w:sz w:val="20"/>
                <w:szCs w:val="20"/>
              </w:rPr>
              <w:t>1</w:t>
            </w:r>
          </w:p>
        </w:tc>
        <w:tc>
          <w:tcPr>
            <w:tcW w:w="803" w:type="dxa"/>
            <w:tcBorders>
              <w:top w:val="nil"/>
              <w:left w:val="nil"/>
              <w:bottom w:val="single" w:sz="8" w:space="0" w:color="000000"/>
              <w:right w:val="single" w:sz="8" w:space="0" w:color="000000"/>
            </w:tcBorders>
            <w:shd w:val="clear" w:color="auto" w:fill="auto"/>
            <w:vAlign w:val="bottom"/>
          </w:tcPr>
          <w:p w:rsidR="0055491A" w:rsidRPr="008A63F3" w:rsidRDefault="0055491A" w:rsidP="00210BF6">
            <w:pPr>
              <w:jc w:val="center"/>
              <w:rPr>
                <w:sz w:val="20"/>
                <w:szCs w:val="20"/>
              </w:rPr>
            </w:pPr>
            <w:r>
              <w:rPr>
                <w:sz w:val="20"/>
                <w:szCs w:val="20"/>
              </w:rPr>
              <w:t>5,0</w:t>
            </w:r>
          </w:p>
        </w:tc>
        <w:tc>
          <w:tcPr>
            <w:tcW w:w="801" w:type="dxa"/>
            <w:tcBorders>
              <w:top w:val="nil"/>
              <w:left w:val="nil"/>
              <w:bottom w:val="single" w:sz="8" w:space="0" w:color="000000"/>
              <w:right w:val="single" w:sz="8" w:space="0" w:color="000000"/>
            </w:tcBorders>
            <w:shd w:val="clear" w:color="auto" w:fill="auto"/>
            <w:vAlign w:val="bottom"/>
          </w:tcPr>
          <w:p w:rsidR="0055491A" w:rsidRPr="008A63F3" w:rsidRDefault="0055491A" w:rsidP="00210BF6">
            <w:pPr>
              <w:jc w:val="center"/>
              <w:rPr>
                <w:sz w:val="20"/>
                <w:szCs w:val="20"/>
              </w:rPr>
            </w:pPr>
            <w:r>
              <w:rPr>
                <w:sz w:val="20"/>
                <w:szCs w:val="20"/>
              </w:rPr>
              <w:t>1</w:t>
            </w:r>
          </w:p>
        </w:tc>
        <w:tc>
          <w:tcPr>
            <w:tcW w:w="803" w:type="dxa"/>
            <w:tcBorders>
              <w:top w:val="nil"/>
              <w:left w:val="nil"/>
              <w:bottom w:val="single" w:sz="8" w:space="0" w:color="000000"/>
              <w:right w:val="single" w:sz="8" w:space="0" w:color="000000"/>
            </w:tcBorders>
            <w:shd w:val="clear" w:color="auto" w:fill="auto"/>
            <w:vAlign w:val="bottom"/>
          </w:tcPr>
          <w:p w:rsidR="0055491A" w:rsidRPr="008A63F3" w:rsidRDefault="0055491A" w:rsidP="00210BF6">
            <w:pPr>
              <w:jc w:val="center"/>
              <w:rPr>
                <w:sz w:val="20"/>
                <w:szCs w:val="20"/>
              </w:rPr>
            </w:pPr>
            <w:r>
              <w:rPr>
                <w:sz w:val="20"/>
                <w:szCs w:val="20"/>
              </w:rPr>
              <w:t>5,0</w:t>
            </w:r>
          </w:p>
        </w:tc>
        <w:tc>
          <w:tcPr>
            <w:tcW w:w="801" w:type="dxa"/>
            <w:tcBorders>
              <w:top w:val="nil"/>
              <w:left w:val="nil"/>
              <w:bottom w:val="single" w:sz="8" w:space="0" w:color="000000"/>
              <w:right w:val="single" w:sz="8" w:space="0" w:color="000000"/>
            </w:tcBorders>
            <w:shd w:val="clear" w:color="auto" w:fill="auto"/>
            <w:vAlign w:val="bottom"/>
          </w:tcPr>
          <w:p w:rsidR="0055491A" w:rsidRPr="008A63F3" w:rsidRDefault="0055491A" w:rsidP="00210BF6">
            <w:pPr>
              <w:jc w:val="center"/>
              <w:rPr>
                <w:sz w:val="20"/>
                <w:szCs w:val="20"/>
              </w:rPr>
            </w:pPr>
            <w:r>
              <w:rPr>
                <w:sz w:val="20"/>
                <w:szCs w:val="20"/>
              </w:rPr>
              <w:t>1</w:t>
            </w:r>
          </w:p>
        </w:tc>
        <w:tc>
          <w:tcPr>
            <w:tcW w:w="803" w:type="dxa"/>
            <w:tcBorders>
              <w:top w:val="nil"/>
              <w:left w:val="nil"/>
              <w:bottom w:val="single" w:sz="8" w:space="0" w:color="000000"/>
              <w:right w:val="single" w:sz="8" w:space="0" w:color="000000"/>
            </w:tcBorders>
            <w:shd w:val="clear" w:color="auto" w:fill="auto"/>
            <w:vAlign w:val="bottom"/>
          </w:tcPr>
          <w:p w:rsidR="0055491A" w:rsidRPr="008A63F3" w:rsidRDefault="0055491A" w:rsidP="00210BF6">
            <w:pPr>
              <w:jc w:val="center"/>
              <w:rPr>
                <w:sz w:val="20"/>
                <w:szCs w:val="20"/>
              </w:rPr>
            </w:pPr>
            <w:r>
              <w:rPr>
                <w:sz w:val="20"/>
                <w:szCs w:val="20"/>
              </w:rPr>
              <w:t>5,0</w:t>
            </w:r>
          </w:p>
        </w:tc>
      </w:tr>
      <w:tr w:rsidR="0055491A" w:rsidRPr="009370D3" w:rsidTr="00210BF6">
        <w:trPr>
          <w:trHeight w:val="330"/>
        </w:trPr>
        <w:tc>
          <w:tcPr>
            <w:tcW w:w="1070" w:type="dxa"/>
            <w:tcBorders>
              <w:top w:val="single" w:sz="4" w:space="0" w:color="auto"/>
              <w:left w:val="single" w:sz="4" w:space="0" w:color="auto"/>
              <w:bottom w:val="single" w:sz="4" w:space="0" w:color="auto"/>
              <w:right w:val="single" w:sz="4" w:space="0" w:color="auto"/>
            </w:tcBorders>
            <w:shd w:val="clear" w:color="auto" w:fill="auto"/>
            <w:vAlign w:val="bottom"/>
          </w:tcPr>
          <w:p w:rsidR="0055491A" w:rsidRPr="005C15C5" w:rsidRDefault="0055491A" w:rsidP="00210BF6">
            <w:pPr>
              <w:rPr>
                <w:sz w:val="16"/>
                <w:szCs w:val="16"/>
              </w:rPr>
            </w:pPr>
            <w:r w:rsidRPr="005C15C5">
              <w:rPr>
                <w:sz w:val="16"/>
                <w:szCs w:val="16"/>
              </w:rPr>
              <w:t xml:space="preserve">ст. 56.2 </w:t>
            </w:r>
          </w:p>
        </w:tc>
        <w:tc>
          <w:tcPr>
            <w:tcW w:w="807" w:type="dxa"/>
            <w:tcBorders>
              <w:top w:val="nil"/>
              <w:left w:val="nil"/>
              <w:bottom w:val="single" w:sz="8" w:space="0" w:color="000000"/>
              <w:right w:val="single" w:sz="8" w:space="0" w:color="000000"/>
            </w:tcBorders>
            <w:shd w:val="clear" w:color="auto" w:fill="auto"/>
            <w:vAlign w:val="bottom"/>
          </w:tcPr>
          <w:p w:rsidR="0055491A" w:rsidRPr="008A63F3" w:rsidRDefault="0055491A" w:rsidP="00210BF6">
            <w:pPr>
              <w:jc w:val="center"/>
              <w:rPr>
                <w:sz w:val="20"/>
                <w:szCs w:val="20"/>
              </w:rPr>
            </w:pPr>
            <w:r w:rsidRPr="008A63F3">
              <w:rPr>
                <w:sz w:val="20"/>
                <w:szCs w:val="20"/>
              </w:rPr>
              <w:t>1,0</w:t>
            </w:r>
          </w:p>
        </w:tc>
        <w:tc>
          <w:tcPr>
            <w:tcW w:w="621" w:type="dxa"/>
            <w:tcBorders>
              <w:top w:val="nil"/>
              <w:left w:val="nil"/>
              <w:bottom w:val="single" w:sz="8" w:space="0" w:color="000000"/>
              <w:right w:val="single" w:sz="8" w:space="0" w:color="000000"/>
            </w:tcBorders>
            <w:shd w:val="clear" w:color="auto" w:fill="auto"/>
            <w:vAlign w:val="bottom"/>
          </w:tcPr>
          <w:p w:rsidR="0055491A" w:rsidRPr="008A63F3" w:rsidRDefault="0055491A" w:rsidP="00210BF6">
            <w:pPr>
              <w:jc w:val="center"/>
              <w:rPr>
                <w:sz w:val="20"/>
                <w:szCs w:val="20"/>
              </w:rPr>
            </w:pPr>
            <w:r w:rsidRPr="008A63F3">
              <w:rPr>
                <w:sz w:val="20"/>
                <w:szCs w:val="20"/>
              </w:rPr>
              <w:t>1</w:t>
            </w:r>
          </w:p>
        </w:tc>
        <w:tc>
          <w:tcPr>
            <w:tcW w:w="622" w:type="dxa"/>
            <w:gridSpan w:val="2"/>
            <w:tcBorders>
              <w:top w:val="nil"/>
              <w:left w:val="nil"/>
              <w:bottom w:val="single" w:sz="8" w:space="0" w:color="000000"/>
              <w:right w:val="single" w:sz="8" w:space="0" w:color="000000"/>
            </w:tcBorders>
            <w:shd w:val="clear" w:color="auto" w:fill="auto"/>
            <w:vAlign w:val="bottom"/>
          </w:tcPr>
          <w:p w:rsidR="0055491A" w:rsidRPr="008A63F3" w:rsidRDefault="0055491A" w:rsidP="00210BF6">
            <w:pPr>
              <w:jc w:val="center"/>
              <w:rPr>
                <w:sz w:val="20"/>
                <w:szCs w:val="20"/>
              </w:rPr>
            </w:pPr>
            <w:r w:rsidRPr="008A63F3">
              <w:rPr>
                <w:sz w:val="20"/>
                <w:szCs w:val="20"/>
              </w:rPr>
              <w:t>2</w:t>
            </w:r>
          </w:p>
        </w:tc>
        <w:tc>
          <w:tcPr>
            <w:tcW w:w="622" w:type="dxa"/>
            <w:gridSpan w:val="2"/>
            <w:tcBorders>
              <w:top w:val="nil"/>
              <w:left w:val="nil"/>
              <w:bottom w:val="single" w:sz="8" w:space="0" w:color="000000"/>
              <w:right w:val="single" w:sz="8" w:space="0" w:color="000000"/>
            </w:tcBorders>
            <w:shd w:val="clear" w:color="auto" w:fill="auto"/>
            <w:vAlign w:val="bottom"/>
          </w:tcPr>
          <w:p w:rsidR="0055491A" w:rsidRPr="008A63F3" w:rsidRDefault="0055491A" w:rsidP="00210BF6">
            <w:pPr>
              <w:jc w:val="center"/>
              <w:rPr>
                <w:sz w:val="20"/>
                <w:szCs w:val="20"/>
              </w:rPr>
            </w:pPr>
            <w:r>
              <w:rPr>
                <w:sz w:val="20"/>
                <w:szCs w:val="20"/>
              </w:rPr>
              <w:t>0</w:t>
            </w:r>
          </w:p>
        </w:tc>
        <w:tc>
          <w:tcPr>
            <w:tcW w:w="801" w:type="dxa"/>
            <w:tcBorders>
              <w:top w:val="nil"/>
              <w:left w:val="nil"/>
              <w:bottom w:val="single" w:sz="8" w:space="0" w:color="000000"/>
              <w:right w:val="single" w:sz="8" w:space="0" w:color="000000"/>
            </w:tcBorders>
            <w:shd w:val="clear" w:color="auto" w:fill="auto"/>
            <w:vAlign w:val="bottom"/>
          </w:tcPr>
          <w:p w:rsidR="0055491A" w:rsidRPr="008A63F3" w:rsidRDefault="0055491A" w:rsidP="00210BF6">
            <w:pPr>
              <w:jc w:val="center"/>
              <w:rPr>
                <w:sz w:val="20"/>
                <w:szCs w:val="20"/>
              </w:rPr>
            </w:pPr>
            <w:r>
              <w:rPr>
                <w:sz w:val="20"/>
                <w:szCs w:val="20"/>
              </w:rPr>
              <w:t>1</w:t>
            </w:r>
          </w:p>
        </w:tc>
        <w:tc>
          <w:tcPr>
            <w:tcW w:w="803" w:type="dxa"/>
            <w:tcBorders>
              <w:top w:val="nil"/>
              <w:left w:val="nil"/>
              <w:bottom w:val="single" w:sz="8" w:space="0" w:color="000000"/>
              <w:right w:val="single" w:sz="8" w:space="0" w:color="000000"/>
            </w:tcBorders>
            <w:shd w:val="clear" w:color="auto" w:fill="auto"/>
            <w:vAlign w:val="bottom"/>
          </w:tcPr>
          <w:p w:rsidR="0055491A" w:rsidRPr="008A63F3" w:rsidRDefault="0055491A" w:rsidP="00210BF6">
            <w:pPr>
              <w:jc w:val="center"/>
              <w:rPr>
                <w:sz w:val="20"/>
                <w:szCs w:val="20"/>
              </w:rPr>
            </w:pPr>
            <w:r>
              <w:rPr>
                <w:sz w:val="20"/>
                <w:szCs w:val="20"/>
              </w:rPr>
              <w:t>1,0</w:t>
            </w:r>
          </w:p>
        </w:tc>
        <w:tc>
          <w:tcPr>
            <w:tcW w:w="801" w:type="dxa"/>
            <w:tcBorders>
              <w:top w:val="nil"/>
              <w:left w:val="nil"/>
              <w:bottom w:val="single" w:sz="8" w:space="0" w:color="000000"/>
              <w:right w:val="single" w:sz="8" w:space="0" w:color="000000"/>
            </w:tcBorders>
            <w:shd w:val="clear" w:color="auto" w:fill="auto"/>
            <w:vAlign w:val="bottom"/>
          </w:tcPr>
          <w:p w:rsidR="0055491A" w:rsidRPr="008A63F3" w:rsidRDefault="0055491A" w:rsidP="00210BF6">
            <w:pPr>
              <w:jc w:val="center"/>
              <w:rPr>
                <w:sz w:val="20"/>
                <w:szCs w:val="20"/>
              </w:rPr>
            </w:pPr>
            <w:r>
              <w:rPr>
                <w:sz w:val="20"/>
                <w:szCs w:val="20"/>
              </w:rPr>
              <w:t>1</w:t>
            </w:r>
          </w:p>
        </w:tc>
        <w:tc>
          <w:tcPr>
            <w:tcW w:w="803" w:type="dxa"/>
            <w:tcBorders>
              <w:top w:val="nil"/>
              <w:left w:val="nil"/>
              <w:bottom w:val="single" w:sz="8" w:space="0" w:color="000000"/>
              <w:right w:val="single" w:sz="8" w:space="0" w:color="000000"/>
            </w:tcBorders>
            <w:shd w:val="clear" w:color="auto" w:fill="auto"/>
            <w:vAlign w:val="bottom"/>
          </w:tcPr>
          <w:p w:rsidR="0055491A" w:rsidRPr="008A63F3" w:rsidRDefault="0055491A" w:rsidP="00210BF6">
            <w:pPr>
              <w:jc w:val="center"/>
              <w:rPr>
                <w:sz w:val="20"/>
                <w:szCs w:val="20"/>
              </w:rPr>
            </w:pPr>
            <w:r>
              <w:rPr>
                <w:sz w:val="20"/>
                <w:szCs w:val="20"/>
              </w:rPr>
              <w:t>1,0</w:t>
            </w:r>
          </w:p>
        </w:tc>
        <w:tc>
          <w:tcPr>
            <w:tcW w:w="801" w:type="dxa"/>
            <w:tcBorders>
              <w:top w:val="nil"/>
              <w:left w:val="nil"/>
              <w:bottom w:val="single" w:sz="8" w:space="0" w:color="000000"/>
              <w:right w:val="single" w:sz="8" w:space="0" w:color="000000"/>
            </w:tcBorders>
            <w:shd w:val="clear" w:color="auto" w:fill="auto"/>
            <w:vAlign w:val="bottom"/>
          </w:tcPr>
          <w:p w:rsidR="0055491A" w:rsidRPr="008A63F3" w:rsidRDefault="0055491A" w:rsidP="00210BF6">
            <w:pPr>
              <w:jc w:val="center"/>
              <w:rPr>
                <w:sz w:val="20"/>
                <w:szCs w:val="20"/>
              </w:rPr>
            </w:pPr>
            <w:r>
              <w:rPr>
                <w:sz w:val="20"/>
                <w:szCs w:val="20"/>
              </w:rPr>
              <w:t>1</w:t>
            </w:r>
          </w:p>
        </w:tc>
        <w:tc>
          <w:tcPr>
            <w:tcW w:w="803" w:type="dxa"/>
            <w:tcBorders>
              <w:top w:val="nil"/>
              <w:left w:val="nil"/>
              <w:bottom w:val="single" w:sz="8" w:space="0" w:color="000000"/>
              <w:right w:val="single" w:sz="8" w:space="0" w:color="000000"/>
            </w:tcBorders>
            <w:shd w:val="clear" w:color="auto" w:fill="auto"/>
            <w:vAlign w:val="bottom"/>
          </w:tcPr>
          <w:p w:rsidR="0055491A" w:rsidRPr="008A63F3" w:rsidRDefault="0055491A" w:rsidP="00210BF6">
            <w:pPr>
              <w:jc w:val="center"/>
              <w:rPr>
                <w:sz w:val="20"/>
                <w:szCs w:val="20"/>
              </w:rPr>
            </w:pPr>
            <w:r>
              <w:rPr>
                <w:sz w:val="20"/>
                <w:szCs w:val="20"/>
              </w:rPr>
              <w:t>1,0</w:t>
            </w:r>
          </w:p>
        </w:tc>
        <w:tc>
          <w:tcPr>
            <w:tcW w:w="801" w:type="dxa"/>
            <w:tcBorders>
              <w:top w:val="nil"/>
              <w:left w:val="nil"/>
              <w:bottom w:val="single" w:sz="8" w:space="0" w:color="000000"/>
              <w:right w:val="single" w:sz="8" w:space="0" w:color="000000"/>
            </w:tcBorders>
            <w:shd w:val="clear" w:color="auto" w:fill="auto"/>
            <w:vAlign w:val="bottom"/>
          </w:tcPr>
          <w:p w:rsidR="0055491A" w:rsidRPr="008A63F3" w:rsidRDefault="0055491A" w:rsidP="00210BF6">
            <w:pPr>
              <w:jc w:val="center"/>
              <w:rPr>
                <w:sz w:val="20"/>
                <w:szCs w:val="20"/>
              </w:rPr>
            </w:pPr>
            <w:r>
              <w:rPr>
                <w:sz w:val="20"/>
                <w:szCs w:val="20"/>
              </w:rPr>
              <w:t>1</w:t>
            </w:r>
          </w:p>
        </w:tc>
        <w:tc>
          <w:tcPr>
            <w:tcW w:w="803" w:type="dxa"/>
            <w:tcBorders>
              <w:top w:val="nil"/>
              <w:left w:val="nil"/>
              <w:bottom w:val="single" w:sz="8" w:space="0" w:color="000000"/>
              <w:right w:val="single" w:sz="8" w:space="0" w:color="000000"/>
            </w:tcBorders>
            <w:shd w:val="clear" w:color="auto" w:fill="auto"/>
            <w:vAlign w:val="bottom"/>
          </w:tcPr>
          <w:p w:rsidR="0055491A" w:rsidRPr="008A63F3" w:rsidRDefault="0055491A" w:rsidP="00210BF6">
            <w:pPr>
              <w:jc w:val="center"/>
              <w:rPr>
                <w:sz w:val="20"/>
                <w:szCs w:val="20"/>
              </w:rPr>
            </w:pPr>
            <w:r>
              <w:rPr>
                <w:sz w:val="20"/>
                <w:szCs w:val="20"/>
              </w:rPr>
              <w:t>1,0</w:t>
            </w:r>
          </w:p>
        </w:tc>
      </w:tr>
      <w:tr w:rsidR="0055491A" w:rsidRPr="009370D3" w:rsidTr="00210BF6">
        <w:trPr>
          <w:trHeight w:val="330"/>
        </w:trPr>
        <w:tc>
          <w:tcPr>
            <w:tcW w:w="1070" w:type="dxa"/>
            <w:tcBorders>
              <w:top w:val="single" w:sz="4" w:space="0" w:color="auto"/>
              <w:left w:val="single" w:sz="4" w:space="0" w:color="auto"/>
              <w:bottom w:val="single" w:sz="4" w:space="0" w:color="auto"/>
              <w:right w:val="single" w:sz="4" w:space="0" w:color="auto"/>
            </w:tcBorders>
            <w:shd w:val="clear" w:color="auto" w:fill="auto"/>
            <w:vAlign w:val="bottom"/>
          </w:tcPr>
          <w:p w:rsidR="0055491A" w:rsidRPr="005C15C5" w:rsidRDefault="0055491A" w:rsidP="00210BF6">
            <w:pPr>
              <w:rPr>
                <w:sz w:val="16"/>
                <w:szCs w:val="16"/>
              </w:rPr>
            </w:pPr>
            <w:r w:rsidRPr="005C15C5">
              <w:rPr>
                <w:sz w:val="16"/>
                <w:szCs w:val="16"/>
              </w:rPr>
              <w:t>ст. 59</w:t>
            </w:r>
          </w:p>
        </w:tc>
        <w:tc>
          <w:tcPr>
            <w:tcW w:w="807" w:type="dxa"/>
            <w:tcBorders>
              <w:top w:val="nil"/>
              <w:left w:val="nil"/>
              <w:bottom w:val="single" w:sz="8" w:space="0" w:color="000000"/>
              <w:right w:val="single" w:sz="8" w:space="0" w:color="000000"/>
            </w:tcBorders>
            <w:shd w:val="clear" w:color="auto" w:fill="auto"/>
            <w:vAlign w:val="bottom"/>
          </w:tcPr>
          <w:p w:rsidR="0055491A" w:rsidRPr="008A63F3" w:rsidRDefault="0055491A" w:rsidP="00210BF6">
            <w:pPr>
              <w:jc w:val="center"/>
              <w:rPr>
                <w:sz w:val="20"/>
                <w:szCs w:val="20"/>
              </w:rPr>
            </w:pPr>
            <w:r>
              <w:rPr>
                <w:sz w:val="20"/>
                <w:szCs w:val="20"/>
              </w:rPr>
              <w:t>1,5</w:t>
            </w:r>
          </w:p>
        </w:tc>
        <w:tc>
          <w:tcPr>
            <w:tcW w:w="621" w:type="dxa"/>
            <w:tcBorders>
              <w:top w:val="nil"/>
              <w:left w:val="nil"/>
              <w:bottom w:val="single" w:sz="8" w:space="0" w:color="000000"/>
              <w:right w:val="single" w:sz="8" w:space="0" w:color="000000"/>
            </w:tcBorders>
            <w:shd w:val="clear" w:color="auto" w:fill="auto"/>
            <w:vAlign w:val="bottom"/>
          </w:tcPr>
          <w:p w:rsidR="0055491A" w:rsidRPr="008A63F3" w:rsidRDefault="0055491A" w:rsidP="00210BF6">
            <w:pPr>
              <w:jc w:val="center"/>
              <w:rPr>
                <w:sz w:val="20"/>
                <w:szCs w:val="20"/>
              </w:rPr>
            </w:pPr>
            <w:r>
              <w:rPr>
                <w:sz w:val="20"/>
                <w:szCs w:val="20"/>
              </w:rPr>
              <w:t>0</w:t>
            </w:r>
          </w:p>
        </w:tc>
        <w:tc>
          <w:tcPr>
            <w:tcW w:w="622" w:type="dxa"/>
            <w:gridSpan w:val="2"/>
            <w:tcBorders>
              <w:top w:val="nil"/>
              <w:left w:val="nil"/>
              <w:bottom w:val="single" w:sz="8" w:space="0" w:color="000000"/>
              <w:right w:val="single" w:sz="8" w:space="0" w:color="000000"/>
            </w:tcBorders>
            <w:shd w:val="clear" w:color="auto" w:fill="auto"/>
            <w:vAlign w:val="bottom"/>
          </w:tcPr>
          <w:p w:rsidR="0055491A" w:rsidRPr="008A63F3" w:rsidRDefault="0055491A" w:rsidP="00210BF6">
            <w:pPr>
              <w:jc w:val="center"/>
              <w:rPr>
                <w:sz w:val="20"/>
                <w:szCs w:val="20"/>
              </w:rPr>
            </w:pPr>
            <w:r>
              <w:rPr>
                <w:sz w:val="20"/>
                <w:szCs w:val="20"/>
              </w:rPr>
              <w:t>0</w:t>
            </w:r>
          </w:p>
        </w:tc>
        <w:tc>
          <w:tcPr>
            <w:tcW w:w="622" w:type="dxa"/>
            <w:gridSpan w:val="2"/>
            <w:tcBorders>
              <w:top w:val="nil"/>
              <w:left w:val="nil"/>
              <w:bottom w:val="single" w:sz="8" w:space="0" w:color="000000"/>
              <w:right w:val="single" w:sz="8" w:space="0" w:color="000000"/>
            </w:tcBorders>
            <w:shd w:val="clear" w:color="auto" w:fill="auto"/>
            <w:vAlign w:val="bottom"/>
          </w:tcPr>
          <w:p w:rsidR="0055491A" w:rsidRPr="008A63F3" w:rsidRDefault="0055491A" w:rsidP="00210BF6">
            <w:pPr>
              <w:jc w:val="center"/>
              <w:rPr>
                <w:sz w:val="20"/>
                <w:szCs w:val="20"/>
              </w:rPr>
            </w:pPr>
            <w:r>
              <w:rPr>
                <w:sz w:val="20"/>
                <w:szCs w:val="20"/>
              </w:rPr>
              <w:t>7</w:t>
            </w:r>
          </w:p>
        </w:tc>
        <w:tc>
          <w:tcPr>
            <w:tcW w:w="801" w:type="dxa"/>
            <w:tcBorders>
              <w:top w:val="nil"/>
              <w:left w:val="nil"/>
              <w:bottom w:val="single" w:sz="8" w:space="0" w:color="000000"/>
              <w:right w:val="single" w:sz="8" w:space="0" w:color="000000"/>
            </w:tcBorders>
            <w:shd w:val="clear" w:color="auto" w:fill="auto"/>
            <w:vAlign w:val="bottom"/>
          </w:tcPr>
          <w:p w:rsidR="0055491A" w:rsidRPr="008A63F3" w:rsidRDefault="0055491A" w:rsidP="00210BF6">
            <w:pPr>
              <w:jc w:val="center"/>
              <w:rPr>
                <w:sz w:val="20"/>
                <w:szCs w:val="20"/>
              </w:rPr>
            </w:pPr>
            <w:r>
              <w:rPr>
                <w:sz w:val="20"/>
                <w:szCs w:val="20"/>
              </w:rPr>
              <w:t>2</w:t>
            </w:r>
          </w:p>
        </w:tc>
        <w:tc>
          <w:tcPr>
            <w:tcW w:w="803" w:type="dxa"/>
            <w:tcBorders>
              <w:top w:val="nil"/>
              <w:left w:val="nil"/>
              <w:bottom w:val="single" w:sz="8" w:space="0" w:color="000000"/>
              <w:right w:val="single" w:sz="8" w:space="0" w:color="000000"/>
            </w:tcBorders>
            <w:shd w:val="clear" w:color="auto" w:fill="auto"/>
            <w:vAlign w:val="bottom"/>
          </w:tcPr>
          <w:p w:rsidR="0055491A" w:rsidRPr="008A63F3" w:rsidRDefault="0055491A" w:rsidP="00210BF6">
            <w:pPr>
              <w:jc w:val="center"/>
              <w:rPr>
                <w:sz w:val="20"/>
                <w:szCs w:val="20"/>
              </w:rPr>
            </w:pPr>
            <w:r>
              <w:rPr>
                <w:sz w:val="20"/>
                <w:szCs w:val="20"/>
              </w:rPr>
              <w:t>3,0</w:t>
            </w:r>
          </w:p>
        </w:tc>
        <w:tc>
          <w:tcPr>
            <w:tcW w:w="801" w:type="dxa"/>
            <w:tcBorders>
              <w:top w:val="nil"/>
              <w:left w:val="nil"/>
              <w:bottom w:val="single" w:sz="8" w:space="0" w:color="000000"/>
              <w:right w:val="single" w:sz="8" w:space="0" w:color="000000"/>
            </w:tcBorders>
            <w:shd w:val="clear" w:color="auto" w:fill="auto"/>
            <w:vAlign w:val="bottom"/>
          </w:tcPr>
          <w:p w:rsidR="0055491A" w:rsidRPr="008A63F3" w:rsidRDefault="0055491A" w:rsidP="00210BF6">
            <w:pPr>
              <w:jc w:val="center"/>
              <w:rPr>
                <w:sz w:val="20"/>
                <w:szCs w:val="20"/>
              </w:rPr>
            </w:pPr>
            <w:r>
              <w:rPr>
                <w:sz w:val="20"/>
                <w:szCs w:val="20"/>
              </w:rPr>
              <w:t>3</w:t>
            </w:r>
          </w:p>
        </w:tc>
        <w:tc>
          <w:tcPr>
            <w:tcW w:w="803" w:type="dxa"/>
            <w:tcBorders>
              <w:top w:val="nil"/>
              <w:left w:val="nil"/>
              <w:bottom w:val="single" w:sz="8" w:space="0" w:color="000000"/>
              <w:right w:val="single" w:sz="8" w:space="0" w:color="000000"/>
            </w:tcBorders>
            <w:shd w:val="clear" w:color="auto" w:fill="auto"/>
            <w:vAlign w:val="bottom"/>
          </w:tcPr>
          <w:p w:rsidR="0055491A" w:rsidRPr="008A63F3" w:rsidRDefault="0055491A" w:rsidP="00210BF6">
            <w:pPr>
              <w:jc w:val="center"/>
              <w:rPr>
                <w:sz w:val="20"/>
                <w:szCs w:val="20"/>
              </w:rPr>
            </w:pPr>
            <w:r>
              <w:rPr>
                <w:sz w:val="20"/>
                <w:szCs w:val="20"/>
              </w:rPr>
              <w:t>4,5</w:t>
            </w:r>
          </w:p>
        </w:tc>
        <w:tc>
          <w:tcPr>
            <w:tcW w:w="801" w:type="dxa"/>
            <w:tcBorders>
              <w:top w:val="nil"/>
              <w:left w:val="nil"/>
              <w:bottom w:val="single" w:sz="8" w:space="0" w:color="000000"/>
              <w:right w:val="single" w:sz="8" w:space="0" w:color="000000"/>
            </w:tcBorders>
            <w:shd w:val="clear" w:color="auto" w:fill="auto"/>
            <w:vAlign w:val="bottom"/>
          </w:tcPr>
          <w:p w:rsidR="0055491A" w:rsidRPr="008A63F3" w:rsidRDefault="0055491A" w:rsidP="00210BF6">
            <w:pPr>
              <w:jc w:val="center"/>
              <w:rPr>
                <w:sz w:val="20"/>
                <w:szCs w:val="20"/>
              </w:rPr>
            </w:pPr>
            <w:r>
              <w:rPr>
                <w:sz w:val="20"/>
                <w:szCs w:val="20"/>
              </w:rPr>
              <w:t>4</w:t>
            </w:r>
          </w:p>
        </w:tc>
        <w:tc>
          <w:tcPr>
            <w:tcW w:w="803" w:type="dxa"/>
            <w:tcBorders>
              <w:top w:val="nil"/>
              <w:left w:val="nil"/>
              <w:bottom w:val="single" w:sz="8" w:space="0" w:color="000000"/>
              <w:right w:val="single" w:sz="8" w:space="0" w:color="000000"/>
            </w:tcBorders>
            <w:shd w:val="clear" w:color="auto" w:fill="auto"/>
            <w:vAlign w:val="bottom"/>
          </w:tcPr>
          <w:p w:rsidR="0055491A" w:rsidRPr="008A63F3" w:rsidRDefault="0055491A" w:rsidP="00210BF6">
            <w:pPr>
              <w:jc w:val="center"/>
              <w:rPr>
                <w:sz w:val="20"/>
                <w:szCs w:val="20"/>
              </w:rPr>
            </w:pPr>
            <w:r>
              <w:rPr>
                <w:sz w:val="20"/>
                <w:szCs w:val="20"/>
              </w:rPr>
              <w:t>1,5</w:t>
            </w:r>
          </w:p>
        </w:tc>
        <w:tc>
          <w:tcPr>
            <w:tcW w:w="801" w:type="dxa"/>
            <w:tcBorders>
              <w:top w:val="nil"/>
              <w:left w:val="nil"/>
              <w:bottom w:val="single" w:sz="8" w:space="0" w:color="000000"/>
              <w:right w:val="single" w:sz="8" w:space="0" w:color="000000"/>
            </w:tcBorders>
            <w:shd w:val="clear" w:color="auto" w:fill="auto"/>
            <w:vAlign w:val="bottom"/>
          </w:tcPr>
          <w:p w:rsidR="0055491A" w:rsidRPr="008A63F3" w:rsidRDefault="0055491A" w:rsidP="00210BF6">
            <w:pPr>
              <w:jc w:val="center"/>
              <w:rPr>
                <w:sz w:val="20"/>
                <w:szCs w:val="20"/>
              </w:rPr>
            </w:pPr>
            <w:r>
              <w:rPr>
                <w:sz w:val="20"/>
                <w:szCs w:val="20"/>
              </w:rPr>
              <w:t>3</w:t>
            </w:r>
          </w:p>
        </w:tc>
        <w:tc>
          <w:tcPr>
            <w:tcW w:w="803" w:type="dxa"/>
            <w:tcBorders>
              <w:top w:val="nil"/>
              <w:left w:val="nil"/>
              <w:bottom w:val="single" w:sz="8" w:space="0" w:color="000000"/>
              <w:right w:val="single" w:sz="8" w:space="0" w:color="000000"/>
            </w:tcBorders>
            <w:shd w:val="clear" w:color="auto" w:fill="auto"/>
            <w:vAlign w:val="bottom"/>
          </w:tcPr>
          <w:p w:rsidR="0055491A" w:rsidRPr="008A63F3" w:rsidRDefault="0055491A" w:rsidP="00210BF6">
            <w:pPr>
              <w:jc w:val="center"/>
              <w:rPr>
                <w:sz w:val="20"/>
                <w:szCs w:val="20"/>
              </w:rPr>
            </w:pPr>
            <w:r>
              <w:rPr>
                <w:sz w:val="20"/>
                <w:szCs w:val="20"/>
              </w:rPr>
              <w:t>4,5</w:t>
            </w:r>
          </w:p>
        </w:tc>
      </w:tr>
      <w:tr w:rsidR="0055491A" w:rsidRPr="009370D3" w:rsidTr="00210BF6">
        <w:trPr>
          <w:trHeight w:val="330"/>
        </w:trPr>
        <w:tc>
          <w:tcPr>
            <w:tcW w:w="1070" w:type="dxa"/>
            <w:tcBorders>
              <w:top w:val="single" w:sz="4" w:space="0" w:color="auto"/>
              <w:left w:val="single" w:sz="4" w:space="0" w:color="auto"/>
              <w:bottom w:val="single" w:sz="4" w:space="0" w:color="auto"/>
              <w:right w:val="single" w:sz="4" w:space="0" w:color="auto"/>
            </w:tcBorders>
            <w:shd w:val="clear" w:color="auto" w:fill="auto"/>
            <w:vAlign w:val="bottom"/>
          </w:tcPr>
          <w:p w:rsidR="0055491A" w:rsidRPr="005C15C5" w:rsidRDefault="0055491A" w:rsidP="00210BF6">
            <w:pPr>
              <w:rPr>
                <w:sz w:val="16"/>
                <w:szCs w:val="16"/>
              </w:rPr>
            </w:pPr>
            <w:r w:rsidRPr="005C15C5">
              <w:rPr>
                <w:sz w:val="16"/>
                <w:szCs w:val="16"/>
              </w:rPr>
              <w:t xml:space="preserve">ст. 59.1 </w:t>
            </w:r>
          </w:p>
        </w:tc>
        <w:tc>
          <w:tcPr>
            <w:tcW w:w="807" w:type="dxa"/>
            <w:tcBorders>
              <w:top w:val="nil"/>
              <w:left w:val="nil"/>
              <w:bottom w:val="single" w:sz="8" w:space="0" w:color="000000"/>
              <w:right w:val="single" w:sz="8" w:space="0" w:color="000000"/>
            </w:tcBorders>
            <w:shd w:val="clear" w:color="auto" w:fill="auto"/>
            <w:vAlign w:val="bottom"/>
          </w:tcPr>
          <w:p w:rsidR="0055491A" w:rsidRPr="008A63F3" w:rsidRDefault="0055491A" w:rsidP="00210BF6">
            <w:pPr>
              <w:jc w:val="center"/>
              <w:rPr>
                <w:sz w:val="20"/>
                <w:szCs w:val="20"/>
              </w:rPr>
            </w:pPr>
            <w:r w:rsidRPr="008A63F3">
              <w:rPr>
                <w:sz w:val="20"/>
                <w:szCs w:val="20"/>
              </w:rPr>
              <w:t>3,0</w:t>
            </w:r>
          </w:p>
        </w:tc>
        <w:tc>
          <w:tcPr>
            <w:tcW w:w="621" w:type="dxa"/>
            <w:tcBorders>
              <w:top w:val="nil"/>
              <w:left w:val="nil"/>
              <w:bottom w:val="single" w:sz="8" w:space="0" w:color="000000"/>
              <w:right w:val="single" w:sz="8" w:space="0" w:color="000000"/>
            </w:tcBorders>
            <w:shd w:val="clear" w:color="auto" w:fill="auto"/>
            <w:vAlign w:val="bottom"/>
          </w:tcPr>
          <w:p w:rsidR="0055491A" w:rsidRPr="008A63F3" w:rsidRDefault="0055491A" w:rsidP="00210BF6">
            <w:pPr>
              <w:jc w:val="center"/>
              <w:rPr>
                <w:sz w:val="20"/>
                <w:szCs w:val="20"/>
              </w:rPr>
            </w:pPr>
            <w:r w:rsidRPr="008A63F3">
              <w:rPr>
                <w:sz w:val="20"/>
                <w:szCs w:val="20"/>
              </w:rPr>
              <w:t>12</w:t>
            </w:r>
          </w:p>
        </w:tc>
        <w:tc>
          <w:tcPr>
            <w:tcW w:w="622" w:type="dxa"/>
            <w:gridSpan w:val="2"/>
            <w:tcBorders>
              <w:top w:val="nil"/>
              <w:left w:val="nil"/>
              <w:bottom w:val="single" w:sz="8" w:space="0" w:color="000000"/>
              <w:right w:val="single" w:sz="8" w:space="0" w:color="000000"/>
            </w:tcBorders>
            <w:shd w:val="clear" w:color="auto" w:fill="auto"/>
            <w:vAlign w:val="bottom"/>
          </w:tcPr>
          <w:p w:rsidR="0055491A" w:rsidRPr="008A63F3" w:rsidRDefault="0055491A" w:rsidP="00210BF6">
            <w:pPr>
              <w:jc w:val="center"/>
              <w:rPr>
                <w:sz w:val="20"/>
                <w:szCs w:val="20"/>
              </w:rPr>
            </w:pPr>
            <w:r w:rsidRPr="008A63F3">
              <w:rPr>
                <w:sz w:val="20"/>
                <w:szCs w:val="20"/>
              </w:rPr>
              <w:t>9</w:t>
            </w:r>
          </w:p>
        </w:tc>
        <w:tc>
          <w:tcPr>
            <w:tcW w:w="622" w:type="dxa"/>
            <w:gridSpan w:val="2"/>
            <w:tcBorders>
              <w:top w:val="nil"/>
              <w:left w:val="nil"/>
              <w:bottom w:val="single" w:sz="8" w:space="0" w:color="000000"/>
              <w:right w:val="single" w:sz="8" w:space="0" w:color="000000"/>
            </w:tcBorders>
            <w:shd w:val="clear" w:color="auto" w:fill="auto"/>
            <w:vAlign w:val="bottom"/>
          </w:tcPr>
          <w:p w:rsidR="0055491A" w:rsidRPr="008A63F3" w:rsidRDefault="0055491A" w:rsidP="00210BF6">
            <w:pPr>
              <w:jc w:val="center"/>
              <w:rPr>
                <w:sz w:val="20"/>
                <w:szCs w:val="20"/>
              </w:rPr>
            </w:pPr>
            <w:r>
              <w:rPr>
                <w:sz w:val="20"/>
                <w:szCs w:val="20"/>
              </w:rPr>
              <w:t>0</w:t>
            </w:r>
          </w:p>
        </w:tc>
        <w:tc>
          <w:tcPr>
            <w:tcW w:w="801" w:type="dxa"/>
            <w:tcBorders>
              <w:top w:val="nil"/>
              <w:left w:val="nil"/>
              <w:bottom w:val="single" w:sz="8" w:space="0" w:color="000000"/>
              <w:right w:val="single" w:sz="8" w:space="0" w:color="000000"/>
            </w:tcBorders>
            <w:shd w:val="clear" w:color="auto" w:fill="auto"/>
            <w:vAlign w:val="bottom"/>
          </w:tcPr>
          <w:p w:rsidR="0055491A" w:rsidRPr="008A63F3" w:rsidRDefault="0055491A" w:rsidP="00210BF6">
            <w:pPr>
              <w:jc w:val="center"/>
              <w:rPr>
                <w:sz w:val="20"/>
                <w:szCs w:val="20"/>
              </w:rPr>
            </w:pPr>
            <w:r>
              <w:rPr>
                <w:sz w:val="20"/>
                <w:szCs w:val="20"/>
              </w:rPr>
              <w:t>7</w:t>
            </w:r>
          </w:p>
        </w:tc>
        <w:tc>
          <w:tcPr>
            <w:tcW w:w="803" w:type="dxa"/>
            <w:tcBorders>
              <w:top w:val="nil"/>
              <w:left w:val="nil"/>
              <w:bottom w:val="single" w:sz="8" w:space="0" w:color="000000"/>
              <w:right w:val="single" w:sz="8" w:space="0" w:color="000000"/>
            </w:tcBorders>
            <w:shd w:val="clear" w:color="auto" w:fill="auto"/>
            <w:vAlign w:val="bottom"/>
          </w:tcPr>
          <w:p w:rsidR="0055491A" w:rsidRPr="008A63F3" w:rsidRDefault="0055491A" w:rsidP="00210BF6">
            <w:pPr>
              <w:jc w:val="center"/>
              <w:rPr>
                <w:sz w:val="20"/>
                <w:szCs w:val="20"/>
              </w:rPr>
            </w:pPr>
            <w:r>
              <w:rPr>
                <w:sz w:val="20"/>
                <w:szCs w:val="20"/>
              </w:rPr>
              <w:t>21,0</w:t>
            </w:r>
          </w:p>
        </w:tc>
        <w:tc>
          <w:tcPr>
            <w:tcW w:w="801" w:type="dxa"/>
            <w:tcBorders>
              <w:top w:val="nil"/>
              <w:left w:val="nil"/>
              <w:bottom w:val="single" w:sz="8" w:space="0" w:color="000000"/>
              <w:right w:val="single" w:sz="8" w:space="0" w:color="000000"/>
            </w:tcBorders>
            <w:shd w:val="clear" w:color="auto" w:fill="auto"/>
            <w:vAlign w:val="bottom"/>
          </w:tcPr>
          <w:p w:rsidR="0055491A" w:rsidRPr="008A63F3" w:rsidRDefault="0055491A" w:rsidP="00210BF6">
            <w:pPr>
              <w:jc w:val="center"/>
              <w:rPr>
                <w:sz w:val="20"/>
                <w:szCs w:val="20"/>
              </w:rPr>
            </w:pPr>
            <w:r>
              <w:rPr>
                <w:sz w:val="20"/>
                <w:szCs w:val="20"/>
              </w:rPr>
              <w:t>5</w:t>
            </w:r>
          </w:p>
        </w:tc>
        <w:tc>
          <w:tcPr>
            <w:tcW w:w="803" w:type="dxa"/>
            <w:tcBorders>
              <w:top w:val="nil"/>
              <w:left w:val="nil"/>
              <w:bottom w:val="single" w:sz="8" w:space="0" w:color="000000"/>
              <w:right w:val="single" w:sz="8" w:space="0" w:color="000000"/>
            </w:tcBorders>
            <w:shd w:val="clear" w:color="auto" w:fill="auto"/>
            <w:vAlign w:val="bottom"/>
          </w:tcPr>
          <w:p w:rsidR="0055491A" w:rsidRPr="008A63F3" w:rsidRDefault="0055491A" w:rsidP="00210BF6">
            <w:pPr>
              <w:jc w:val="center"/>
              <w:rPr>
                <w:sz w:val="20"/>
                <w:szCs w:val="20"/>
              </w:rPr>
            </w:pPr>
            <w:r>
              <w:rPr>
                <w:sz w:val="20"/>
                <w:szCs w:val="20"/>
              </w:rPr>
              <w:t>15,0</w:t>
            </w:r>
          </w:p>
        </w:tc>
        <w:tc>
          <w:tcPr>
            <w:tcW w:w="801" w:type="dxa"/>
            <w:tcBorders>
              <w:top w:val="nil"/>
              <w:left w:val="nil"/>
              <w:bottom w:val="single" w:sz="8" w:space="0" w:color="000000"/>
              <w:right w:val="single" w:sz="8" w:space="0" w:color="000000"/>
            </w:tcBorders>
            <w:shd w:val="clear" w:color="auto" w:fill="auto"/>
            <w:vAlign w:val="bottom"/>
          </w:tcPr>
          <w:p w:rsidR="0055491A" w:rsidRPr="008A63F3" w:rsidRDefault="0055491A" w:rsidP="00210BF6">
            <w:pPr>
              <w:jc w:val="center"/>
              <w:rPr>
                <w:sz w:val="20"/>
                <w:szCs w:val="20"/>
              </w:rPr>
            </w:pPr>
            <w:r>
              <w:rPr>
                <w:sz w:val="20"/>
                <w:szCs w:val="20"/>
              </w:rPr>
              <w:t>4</w:t>
            </w:r>
          </w:p>
        </w:tc>
        <w:tc>
          <w:tcPr>
            <w:tcW w:w="803" w:type="dxa"/>
            <w:tcBorders>
              <w:top w:val="nil"/>
              <w:left w:val="nil"/>
              <w:bottom w:val="single" w:sz="8" w:space="0" w:color="000000"/>
              <w:right w:val="single" w:sz="8" w:space="0" w:color="000000"/>
            </w:tcBorders>
            <w:shd w:val="clear" w:color="auto" w:fill="auto"/>
            <w:vAlign w:val="bottom"/>
          </w:tcPr>
          <w:p w:rsidR="0055491A" w:rsidRPr="008A63F3" w:rsidRDefault="0055491A" w:rsidP="00210BF6">
            <w:pPr>
              <w:jc w:val="center"/>
              <w:rPr>
                <w:sz w:val="20"/>
                <w:szCs w:val="20"/>
              </w:rPr>
            </w:pPr>
            <w:r>
              <w:rPr>
                <w:sz w:val="20"/>
                <w:szCs w:val="20"/>
              </w:rPr>
              <w:t>12,0</w:t>
            </w:r>
          </w:p>
        </w:tc>
        <w:tc>
          <w:tcPr>
            <w:tcW w:w="801" w:type="dxa"/>
            <w:tcBorders>
              <w:top w:val="nil"/>
              <w:left w:val="nil"/>
              <w:bottom w:val="single" w:sz="8" w:space="0" w:color="000000"/>
              <w:right w:val="single" w:sz="8" w:space="0" w:color="000000"/>
            </w:tcBorders>
            <w:shd w:val="clear" w:color="auto" w:fill="auto"/>
            <w:vAlign w:val="bottom"/>
          </w:tcPr>
          <w:p w:rsidR="0055491A" w:rsidRPr="008A63F3" w:rsidRDefault="0055491A" w:rsidP="00210BF6">
            <w:pPr>
              <w:jc w:val="center"/>
              <w:rPr>
                <w:sz w:val="20"/>
                <w:szCs w:val="20"/>
              </w:rPr>
            </w:pPr>
            <w:r>
              <w:rPr>
                <w:sz w:val="20"/>
                <w:szCs w:val="20"/>
              </w:rPr>
              <w:t>5</w:t>
            </w:r>
          </w:p>
        </w:tc>
        <w:tc>
          <w:tcPr>
            <w:tcW w:w="803" w:type="dxa"/>
            <w:tcBorders>
              <w:top w:val="nil"/>
              <w:left w:val="nil"/>
              <w:bottom w:val="single" w:sz="8" w:space="0" w:color="000000"/>
              <w:right w:val="single" w:sz="8" w:space="0" w:color="000000"/>
            </w:tcBorders>
            <w:shd w:val="clear" w:color="auto" w:fill="auto"/>
            <w:vAlign w:val="bottom"/>
          </w:tcPr>
          <w:p w:rsidR="0055491A" w:rsidRPr="008A63F3" w:rsidRDefault="0055491A" w:rsidP="00210BF6">
            <w:pPr>
              <w:jc w:val="center"/>
              <w:rPr>
                <w:sz w:val="20"/>
                <w:szCs w:val="20"/>
              </w:rPr>
            </w:pPr>
            <w:r>
              <w:rPr>
                <w:sz w:val="20"/>
                <w:szCs w:val="20"/>
              </w:rPr>
              <w:t>15,0</w:t>
            </w:r>
          </w:p>
        </w:tc>
      </w:tr>
      <w:tr w:rsidR="0055491A" w:rsidRPr="009370D3" w:rsidTr="00210BF6">
        <w:trPr>
          <w:trHeight w:val="330"/>
        </w:trPr>
        <w:tc>
          <w:tcPr>
            <w:tcW w:w="1070" w:type="dxa"/>
            <w:tcBorders>
              <w:top w:val="single" w:sz="4" w:space="0" w:color="auto"/>
              <w:left w:val="single" w:sz="4" w:space="0" w:color="auto"/>
              <w:bottom w:val="single" w:sz="4" w:space="0" w:color="auto"/>
              <w:right w:val="single" w:sz="4" w:space="0" w:color="auto"/>
            </w:tcBorders>
            <w:shd w:val="clear" w:color="auto" w:fill="auto"/>
            <w:vAlign w:val="bottom"/>
          </w:tcPr>
          <w:p w:rsidR="0055491A" w:rsidRPr="005C15C5" w:rsidRDefault="0055491A" w:rsidP="00210BF6">
            <w:pPr>
              <w:rPr>
                <w:sz w:val="16"/>
                <w:szCs w:val="16"/>
              </w:rPr>
            </w:pPr>
            <w:r w:rsidRPr="005C15C5">
              <w:rPr>
                <w:sz w:val="16"/>
                <w:szCs w:val="16"/>
              </w:rPr>
              <w:t>ст. 59.5.2</w:t>
            </w:r>
          </w:p>
        </w:tc>
        <w:tc>
          <w:tcPr>
            <w:tcW w:w="807" w:type="dxa"/>
            <w:tcBorders>
              <w:top w:val="nil"/>
              <w:left w:val="nil"/>
              <w:bottom w:val="single" w:sz="8" w:space="0" w:color="000000"/>
              <w:right w:val="single" w:sz="8" w:space="0" w:color="000000"/>
            </w:tcBorders>
            <w:shd w:val="clear" w:color="auto" w:fill="auto"/>
            <w:vAlign w:val="bottom"/>
          </w:tcPr>
          <w:p w:rsidR="0055491A" w:rsidRPr="008A63F3" w:rsidRDefault="0055491A" w:rsidP="00210BF6">
            <w:pPr>
              <w:jc w:val="center"/>
              <w:rPr>
                <w:sz w:val="20"/>
                <w:szCs w:val="20"/>
              </w:rPr>
            </w:pPr>
            <w:r w:rsidRPr="008A63F3">
              <w:rPr>
                <w:sz w:val="20"/>
                <w:szCs w:val="20"/>
              </w:rPr>
              <w:t>1,0</w:t>
            </w:r>
          </w:p>
        </w:tc>
        <w:tc>
          <w:tcPr>
            <w:tcW w:w="709" w:type="dxa"/>
            <w:gridSpan w:val="2"/>
            <w:tcBorders>
              <w:top w:val="nil"/>
              <w:left w:val="nil"/>
              <w:bottom w:val="single" w:sz="8" w:space="0" w:color="000000"/>
              <w:right w:val="single" w:sz="8" w:space="0" w:color="000000"/>
            </w:tcBorders>
            <w:shd w:val="clear" w:color="auto" w:fill="auto"/>
            <w:vAlign w:val="bottom"/>
          </w:tcPr>
          <w:p w:rsidR="0055491A" w:rsidRPr="008A63F3" w:rsidRDefault="0055491A" w:rsidP="00210BF6">
            <w:pPr>
              <w:jc w:val="center"/>
              <w:rPr>
                <w:sz w:val="20"/>
                <w:szCs w:val="20"/>
              </w:rPr>
            </w:pPr>
            <w:r w:rsidRPr="008A63F3">
              <w:rPr>
                <w:sz w:val="20"/>
                <w:szCs w:val="20"/>
              </w:rPr>
              <w:t>1</w:t>
            </w:r>
          </w:p>
        </w:tc>
        <w:tc>
          <w:tcPr>
            <w:tcW w:w="567" w:type="dxa"/>
            <w:gridSpan w:val="2"/>
            <w:tcBorders>
              <w:top w:val="nil"/>
              <w:left w:val="nil"/>
              <w:bottom w:val="single" w:sz="8" w:space="0" w:color="000000"/>
              <w:right w:val="single" w:sz="8" w:space="0" w:color="000000"/>
            </w:tcBorders>
            <w:shd w:val="clear" w:color="auto" w:fill="auto"/>
            <w:vAlign w:val="bottom"/>
          </w:tcPr>
          <w:p w:rsidR="0055491A" w:rsidRPr="008A63F3" w:rsidRDefault="0055491A" w:rsidP="00210BF6">
            <w:pPr>
              <w:jc w:val="center"/>
              <w:rPr>
                <w:sz w:val="20"/>
                <w:szCs w:val="20"/>
              </w:rPr>
            </w:pPr>
            <w:r w:rsidRPr="008A63F3">
              <w:rPr>
                <w:sz w:val="20"/>
                <w:szCs w:val="20"/>
              </w:rPr>
              <w:t>0</w:t>
            </w:r>
          </w:p>
        </w:tc>
        <w:tc>
          <w:tcPr>
            <w:tcW w:w="589" w:type="dxa"/>
            <w:tcBorders>
              <w:top w:val="nil"/>
              <w:left w:val="nil"/>
              <w:bottom w:val="single" w:sz="8" w:space="0" w:color="000000"/>
              <w:right w:val="single" w:sz="8" w:space="0" w:color="000000"/>
            </w:tcBorders>
            <w:shd w:val="clear" w:color="auto" w:fill="auto"/>
            <w:vAlign w:val="bottom"/>
          </w:tcPr>
          <w:p w:rsidR="0055491A" w:rsidRPr="008A63F3" w:rsidRDefault="0055491A" w:rsidP="00210BF6">
            <w:pPr>
              <w:jc w:val="center"/>
              <w:rPr>
                <w:sz w:val="20"/>
                <w:szCs w:val="20"/>
              </w:rPr>
            </w:pPr>
            <w:r>
              <w:rPr>
                <w:sz w:val="20"/>
                <w:szCs w:val="20"/>
              </w:rPr>
              <w:t>0</w:t>
            </w:r>
          </w:p>
        </w:tc>
        <w:tc>
          <w:tcPr>
            <w:tcW w:w="801" w:type="dxa"/>
            <w:tcBorders>
              <w:top w:val="nil"/>
              <w:left w:val="nil"/>
              <w:bottom w:val="single" w:sz="8" w:space="0" w:color="000000"/>
              <w:right w:val="single" w:sz="8" w:space="0" w:color="000000"/>
            </w:tcBorders>
            <w:shd w:val="clear" w:color="auto" w:fill="auto"/>
            <w:vAlign w:val="bottom"/>
          </w:tcPr>
          <w:p w:rsidR="0055491A" w:rsidRPr="008A63F3" w:rsidRDefault="0055491A" w:rsidP="00210BF6">
            <w:pPr>
              <w:jc w:val="center"/>
              <w:rPr>
                <w:sz w:val="20"/>
                <w:szCs w:val="20"/>
              </w:rPr>
            </w:pPr>
            <w:r>
              <w:rPr>
                <w:sz w:val="20"/>
                <w:szCs w:val="20"/>
              </w:rPr>
              <w:t>1</w:t>
            </w:r>
          </w:p>
        </w:tc>
        <w:tc>
          <w:tcPr>
            <w:tcW w:w="803" w:type="dxa"/>
            <w:tcBorders>
              <w:top w:val="nil"/>
              <w:left w:val="nil"/>
              <w:bottom w:val="single" w:sz="8" w:space="0" w:color="000000"/>
              <w:right w:val="single" w:sz="8" w:space="0" w:color="000000"/>
            </w:tcBorders>
            <w:shd w:val="clear" w:color="auto" w:fill="auto"/>
            <w:vAlign w:val="bottom"/>
          </w:tcPr>
          <w:p w:rsidR="0055491A" w:rsidRPr="008A63F3" w:rsidRDefault="0055491A" w:rsidP="00210BF6">
            <w:pPr>
              <w:jc w:val="center"/>
              <w:rPr>
                <w:sz w:val="20"/>
                <w:szCs w:val="20"/>
              </w:rPr>
            </w:pPr>
            <w:r>
              <w:rPr>
                <w:sz w:val="20"/>
                <w:szCs w:val="20"/>
              </w:rPr>
              <w:t>1,0</w:t>
            </w:r>
          </w:p>
        </w:tc>
        <w:tc>
          <w:tcPr>
            <w:tcW w:w="801" w:type="dxa"/>
            <w:tcBorders>
              <w:top w:val="nil"/>
              <w:left w:val="nil"/>
              <w:bottom w:val="single" w:sz="8" w:space="0" w:color="000000"/>
              <w:right w:val="single" w:sz="8" w:space="0" w:color="000000"/>
            </w:tcBorders>
            <w:shd w:val="clear" w:color="auto" w:fill="auto"/>
            <w:vAlign w:val="bottom"/>
          </w:tcPr>
          <w:p w:rsidR="0055491A" w:rsidRPr="008A63F3" w:rsidRDefault="0055491A" w:rsidP="00210BF6">
            <w:pPr>
              <w:jc w:val="center"/>
              <w:rPr>
                <w:sz w:val="20"/>
                <w:szCs w:val="20"/>
              </w:rPr>
            </w:pPr>
            <w:r>
              <w:rPr>
                <w:sz w:val="20"/>
                <w:szCs w:val="20"/>
              </w:rPr>
              <w:t>1</w:t>
            </w:r>
          </w:p>
        </w:tc>
        <w:tc>
          <w:tcPr>
            <w:tcW w:w="803" w:type="dxa"/>
            <w:tcBorders>
              <w:top w:val="nil"/>
              <w:left w:val="nil"/>
              <w:bottom w:val="single" w:sz="8" w:space="0" w:color="000000"/>
              <w:right w:val="single" w:sz="8" w:space="0" w:color="000000"/>
            </w:tcBorders>
            <w:shd w:val="clear" w:color="auto" w:fill="auto"/>
            <w:vAlign w:val="bottom"/>
          </w:tcPr>
          <w:p w:rsidR="0055491A" w:rsidRPr="008A63F3" w:rsidRDefault="0055491A" w:rsidP="00210BF6">
            <w:pPr>
              <w:jc w:val="center"/>
              <w:rPr>
                <w:sz w:val="20"/>
                <w:szCs w:val="20"/>
              </w:rPr>
            </w:pPr>
            <w:r>
              <w:rPr>
                <w:sz w:val="20"/>
                <w:szCs w:val="20"/>
              </w:rPr>
              <w:t>1,0</w:t>
            </w:r>
          </w:p>
        </w:tc>
        <w:tc>
          <w:tcPr>
            <w:tcW w:w="801" w:type="dxa"/>
            <w:tcBorders>
              <w:top w:val="nil"/>
              <w:left w:val="nil"/>
              <w:bottom w:val="single" w:sz="8" w:space="0" w:color="000000"/>
              <w:right w:val="single" w:sz="8" w:space="0" w:color="000000"/>
            </w:tcBorders>
            <w:shd w:val="clear" w:color="auto" w:fill="auto"/>
            <w:vAlign w:val="bottom"/>
          </w:tcPr>
          <w:p w:rsidR="0055491A" w:rsidRPr="008A63F3" w:rsidRDefault="0055491A" w:rsidP="00210BF6">
            <w:pPr>
              <w:jc w:val="center"/>
              <w:rPr>
                <w:sz w:val="20"/>
                <w:szCs w:val="20"/>
              </w:rPr>
            </w:pPr>
            <w:r>
              <w:rPr>
                <w:sz w:val="20"/>
                <w:szCs w:val="20"/>
              </w:rPr>
              <w:t>1</w:t>
            </w:r>
          </w:p>
        </w:tc>
        <w:tc>
          <w:tcPr>
            <w:tcW w:w="803" w:type="dxa"/>
            <w:tcBorders>
              <w:top w:val="nil"/>
              <w:left w:val="nil"/>
              <w:bottom w:val="single" w:sz="8" w:space="0" w:color="000000"/>
              <w:right w:val="single" w:sz="8" w:space="0" w:color="000000"/>
            </w:tcBorders>
            <w:shd w:val="clear" w:color="auto" w:fill="auto"/>
            <w:vAlign w:val="bottom"/>
          </w:tcPr>
          <w:p w:rsidR="0055491A" w:rsidRPr="008A63F3" w:rsidRDefault="0055491A" w:rsidP="00210BF6">
            <w:pPr>
              <w:jc w:val="center"/>
              <w:rPr>
                <w:sz w:val="20"/>
                <w:szCs w:val="20"/>
              </w:rPr>
            </w:pPr>
            <w:r>
              <w:rPr>
                <w:sz w:val="20"/>
                <w:szCs w:val="20"/>
              </w:rPr>
              <w:t>1,0</w:t>
            </w:r>
          </w:p>
        </w:tc>
        <w:tc>
          <w:tcPr>
            <w:tcW w:w="801" w:type="dxa"/>
            <w:tcBorders>
              <w:top w:val="nil"/>
              <w:left w:val="nil"/>
              <w:bottom w:val="single" w:sz="8" w:space="0" w:color="000000"/>
              <w:right w:val="single" w:sz="8" w:space="0" w:color="000000"/>
            </w:tcBorders>
            <w:shd w:val="clear" w:color="auto" w:fill="auto"/>
            <w:vAlign w:val="bottom"/>
          </w:tcPr>
          <w:p w:rsidR="0055491A" w:rsidRPr="008A63F3" w:rsidRDefault="0055491A" w:rsidP="00210BF6">
            <w:pPr>
              <w:jc w:val="center"/>
              <w:rPr>
                <w:sz w:val="20"/>
                <w:szCs w:val="20"/>
              </w:rPr>
            </w:pPr>
            <w:r>
              <w:rPr>
                <w:sz w:val="20"/>
                <w:szCs w:val="20"/>
              </w:rPr>
              <w:t>1</w:t>
            </w:r>
          </w:p>
        </w:tc>
        <w:tc>
          <w:tcPr>
            <w:tcW w:w="803" w:type="dxa"/>
            <w:tcBorders>
              <w:top w:val="nil"/>
              <w:left w:val="nil"/>
              <w:bottom w:val="single" w:sz="8" w:space="0" w:color="000000"/>
              <w:right w:val="single" w:sz="8" w:space="0" w:color="000000"/>
            </w:tcBorders>
            <w:shd w:val="clear" w:color="auto" w:fill="auto"/>
            <w:vAlign w:val="bottom"/>
          </w:tcPr>
          <w:p w:rsidR="0055491A" w:rsidRPr="008A63F3" w:rsidRDefault="0055491A" w:rsidP="00210BF6">
            <w:pPr>
              <w:jc w:val="center"/>
              <w:rPr>
                <w:sz w:val="20"/>
                <w:szCs w:val="20"/>
              </w:rPr>
            </w:pPr>
            <w:r>
              <w:rPr>
                <w:sz w:val="20"/>
                <w:szCs w:val="20"/>
              </w:rPr>
              <w:t>1,0</w:t>
            </w:r>
          </w:p>
        </w:tc>
      </w:tr>
      <w:tr w:rsidR="0055491A" w:rsidRPr="009370D3" w:rsidTr="00210BF6">
        <w:trPr>
          <w:trHeight w:val="330"/>
        </w:trPr>
        <w:tc>
          <w:tcPr>
            <w:tcW w:w="1070" w:type="dxa"/>
            <w:tcBorders>
              <w:top w:val="single" w:sz="4" w:space="0" w:color="auto"/>
              <w:left w:val="single" w:sz="4" w:space="0" w:color="auto"/>
              <w:bottom w:val="single" w:sz="4" w:space="0" w:color="auto"/>
              <w:right w:val="single" w:sz="4" w:space="0" w:color="auto"/>
            </w:tcBorders>
            <w:shd w:val="clear" w:color="auto" w:fill="auto"/>
            <w:vAlign w:val="center"/>
          </w:tcPr>
          <w:p w:rsidR="0055491A" w:rsidRPr="006F2477" w:rsidRDefault="0055491A" w:rsidP="00210BF6">
            <w:pPr>
              <w:jc w:val="center"/>
              <w:rPr>
                <w:b/>
                <w:bCs/>
                <w:sz w:val="18"/>
                <w:szCs w:val="18"/>
              </w:rPr>
            </w:pPr>
            <w:r>
              <w:rPr>
                <w:b/>
                <w:bCs/>
                <w:sz w:val="18"/>
                <w:szCs w:val="18"/>
              </w:rPr>
              <w:t>Итого:</w:t>
            </w:r>
          </w:p>
        </w:tc>
        <w:tc>
          <w:tcPr>
            <w:tcW w:w="807" w:type="dxa"/>
            <w:tcBorders>
              <w:top w:val="nil"/>
              <w:left w:val="nil"/>
              <w:bottom w:val="single" w:sz="8" w:space="0" w:color="000000"/>
              <w:right w:val="single" w:sz="8" w:space="0" w:color="000000"/>
            </w:tcBorders>
            <w:shd w:val="clear" w:color="auto" w:fill="auto"/>
            <w:vAlign w:val="center"/>
          </w:tcPr>
          <w:p w:rsidR="0055491A" w:rsidRPr="006F2477" w:rsidRDefault="0055491A" w:rsidP="00210BF6">
            <w:pPr>
              <w:jc w:val="center"/>
              <w:rPr>
                <w:color w:val="000000"/>
                <w:sz w:val="18"/>
                <w:szCs w:val="18"/>
              </w:rPr>
            </w:pPr>
          </w:p>
        </w:tc>
        <w:tc>
          <w:tcPr>
            <w:tcW w:w="709" w:type="dxa"/>
            <w:gridSpan w:val="2"/>
            <w:tcBorders>
              <w:top w:val="nil"/>
              <w:left w:val="nil"/>
              <w:bottom w:val="single" w:sz="8" w:space="0" w:color="000000"/>
              <w:right w:val="single" w:sz="8" w:space="0" w:color="000000"/>
            </w:tcBorders>
            <w:shd w:val="clear" w:color="auto" w:fill="auto"/>
            <w:vAlign w:val="center"/>
          </w:tcPr>
          <w:p w:rsidR="0055491A" w:rsidRPr="006F2477" w:rsidRDefault="0055491A" w:rsidP="00210BF6">
            <w:pPr>
              <w:jc w:val="center"/>
              <w:rPr>
                <w:color w:val="000000"/>
                <w:sz w:val="18"/>
                <w:szCs w:val="18"/>
              </w:rPr>
            </w:pPr>
          </w:p>
        </w:tc>
        <w:tc>
          <w:tcPr>
            <w:tcW w:w="567" w:type="dxa"/>
            <w:gridSpan w:val="2"/>
            <w:tcBorders>
              <w:top w:val="nil"/>
              <w:left w:val="nil"/>
              <w:bottom w:val="single" w:sz="8" w:space="0" w:color="000000"/>
              <w:right w:val="single" w:sz="8" w:space="0" w:color="000000"/>
            </w:tcBorders>
            <w:shd w:val="clear" w:color="auto" w:fill="auto"/>
            <w:vAlign w:val="center"/>
          </w:tcPr>
          <w:p w:rsidR="0055491A" w:rsidRPr="006F2477" w:rsidRDefault="0055491A" w:rsidP="00210BF6">
            <w:pPr>
              <w:jc w:val="center"/>
              <w:rPr>
                <w:color w:val="000000"/>
                <w:sz w:val="18"/>
                <w:szCs w:val="18"/>
              </w:rPr>
            </w:pPr>
          </w:p>
        </w:tc>
        <w:tc>
          <w:tcPr>
            <w:tcW w:w="589" w:type="dxa"/>
            <w:tcBorders>
              <w:top w:val="nil"/>
              <w:left w:val="nil"/>
              <w:bottom w:val="single" w:sz="8" w:space="0" w:color="000000"/>
              <w:right w:val="single" w:sz="8" w:space="0" w:color="000000"/>
            </w:tcBorders>
            <w:shd w:val="clear" w:color="auto" w:fill="auto"/>
            <w:vAlign w:val="center"/>
          </w:tcPr>
          <w:p w:rsidR="0055491A" w:rsidRPr="006F2477" w:rsidRDefault="0055491A" w:rsidP="00210BF6">
            <w:pPr>
              <w:jc w:val="center"/>
              <w:rPr>
                <w:color w:val="000000"/>
                <w:sz w:val="18"/>
                <w:szCs w:val="18"/>
              </w:rPr>
            </w:pPr>
          </w:p>
        </w:tc>
        <w:tc>
          <w:tcPr>
            <w:tcW w:w="801" w:type="dxa"/>
            <w:tcBorders>
              <w:top w:val="nil"/>
              <w:left w:val="nil"/>
              <w:bottom w:val="single" w:sz="8" w:space="0" w:color="000000"/>
              <w:right w:val="single" w:sz="8" w:space="0" w:color="000000"/>
            </w:tcBorders>
            <w:shd w:val="clear" w:color="auto" w:fill="auto"/>
            <w:vAlign w:val="center"/>
          </w:tcPr>
          <w:p w:rsidR="0055491A" w:rsidRPr="006F2477" w:rsidRDefault="0055491A" w:rsidP="00210BF6">
            <w:pPr>
              <w:jc w:val="center"/>
              <w:rPr>
                <w:color w:val="000000"/>
                <w:sz w:val="18"/>
                <w:szCs w:val="18"/>
              </w:rPr>
            </w:pPr>
          </w:p>
        </w:tc>
        <w:tc>
          <w:tcPr>
            <w:tcW w:w="803" w:type="dxa"/>
            <w:tcBorders>
              <w:top w:val="nil"/>
              <w:left w:val="nil"/>
              <w:bottom w:val="single" w:sz="8" w:space="0" w:color="000000"/>
              <w:right w:val="single" w:sz="8" w:space="0" w:color="000000"/>
            </w:tcBorders>
            <w:shd w:val="clear" w:color="auto" w:fill="auto"/>
            <w:vAlign w:val="center"/>
          </w:tcPr>
          <w:p w:rsidR="0055491A" w:rsidRPr="006F2477" w:rsidRDefault="0055491A" w:rsidP="00210BF6">
            <w:pPr>
              <w:jc w:val="center"/>
              <w:rPr>
                <w:b/>
                <w:bCs/>
                <w:color w:val="000000"/>
                <w:sz w:val="18"/>
                <w:szCs w:val="18"/>
              </w:rPr>
            </w:pPr>
            <w:r>
              <w:rPr>
                <w:b/>
                <w:bCs/>
                <w:color w:val="000000"/>
                <w:sz w:val="18"/>
                <w:szCs w:val="18"/>
              </w:rPr>
              <w:t>187,5</w:t>
            </w:r>
          </w:p>
        </w:tc>
        <w:tc>
          <w:tcPr>
            <w:tcW w:w="801" w:type="dxa"/>
            <w:tcBorders>
              <w:top w:val="nil"/>
              <w:left w:val="nil"/>
              <w:bottom w:val="single" w:sz="8" w:space="0" w:color="000000"/>
              <w:right w:val="single" w:sz="8" w:space="0" w:color="000000"/>
            </w:tcBorders>
            <w:shd w:val="clear" w:color="auto" w:fill="auto"/>
            <w:vAlign w:val="center"/>
          </w:tcPr>
          <w:p w:rsidR="0055491A" w:rsidRPr="006F2477" w:rsidRDefault="0055491A" w:rsidP="00210BF6">
            <w:pPr>
              <w:jc w:val="center"/>
              <w:rPr>
                <w:color w:val="000000"/>
                <w:sz w:val="18"/>
                <w:szCs w:val="18"/>
              </w:rPr>
            </w:pPr>
          </w:p>
        </w:tc>
        <w:tc>
          <w:tcPr>
            <w:tcW w:w="803" w:type="dxa"/>
            <w:tcBorders>
              <w:top w:val="nil"/>
              <w:left w:val="nil"/>
              <w:bottom w:val="single" w:sz="8" w:space="0" w:color="000000"/>
              <w:right w:val="single" w:sz="8" w:space="0" w:color="000000"/>
            </w:tcBorders>
            <w:shd w:val="clear" w:color="auto" w:fill="auto"/>
            <w:vAlign w:val="center"/>
          </w:tcPr>
          <w:p w:rsidR="0055491A" w:rsidRPr="006F2477" w:rsidRDefault="0055491A" w:rsidP="00210BF6">
            <w:pPr>
              <w:jc w:val="center"/>
              <w:rPr>
                <w:b/>
                <w:bCs/>
                <w:color w:val="000000"/>
                <w:sz w:val="18"/>
                <w:szCs w:val="18"/>
              </w:rPr>
            </w:pPr>
            <w:r>
              <w:rPr>
                <w:b/>
                <w:bCs/>
                <w:color w:val="000000"/>
                <w:sz w:val="18"/>
                <w:szCs w:val="18"/>
              </w:rPr>
              <w:t>182,0</w:t>
            </w:r>
          </w:p>
        </w:tc>
        <w:tc>
          <w:tcPr>
            <w:tcW w:w="801" w:type="dxa"/>
            <w:tcBorders>
              <w:top w:val="nil"/>
              <w:left w:val="nil"/>
              <w:bottom w:val="single" w:sz="8" w:space="0" w:color="000000"/>
              <w:right w:val="single" w:sz="8" w:space="0" w:color="000000"/>
            </w:tcBorders>
            <w:shd w:val="clear" w:color="auto" w:fill="auto"/>
            <w:vAlign w:val="center"/>
          </w:tcPr>
          <w:p w:rsidR="0055491A" w:rsidRPr="006F2477" w:rsidRDefault="0055491A" w:rsidP="00210BF6">
            <w:pPr>
              <w:jc w:val="center"/>
              <w:rPr>
                <w:color w:val="000000"/>
                <w:sz w:val="18"/>
                <w:szCs w:val="18"/>
              </w:rPr>
            </w:pPr>
          </w:p>
        </w:tc>
        <w:tc>
          <w:tcPr>
            <w:tcW w:w="803" w:type="dxa"/>
            <w:tcBorders>
              <w:top w:val="nil"/>
              <w:left w:val="nil"/>
              <w:bottom w:val="single" w:sz="8" w:space="0" w:color="000000"/>
              <w:right w:val="single" w:sz="8" w:space="0" w:color="000000"/>
            </w:tcBorders>
            <w:shd w:val="clear" w:color="auto" w:fill="auto"/>
            <w:vAlign w:val="center"/>
          </w:tcPr>
          <w:p w:rsidR="0055491A" w:rsidRPr="006F2477" w:rsidRDefault="0055491A" w:rsidP="00210BF6">
            <w:pPr>
              <w:jc w:val="center"/>
              <w:rPr>
                <w:b/>
                <w:bCs/>
                <w:color w:val="000000"/>
                <w:sz w:val="18"/>
                <w:szCs w:val="18"/>
              </w:rPr>
            </w:pPr>
            <w:r>
              <w:rPr>
                <w:b/>
                <w:bCs/>
                <w:color w:val="000000"/>
                <w:sz w:val="18"/>
                <w:szCs w:val="18"/>
              </w:rPr>
              <w:t>157,5</w:t>
            </w:r>
          </w:p>
        </w:tc>
        <w:tc>
          <w:tcPr>
            <w:tcW w:w="801" w:type="dxa"/>
            <w:tcBorders>
              <w:top w:val="nil"/>
              <w:left w:val="nil"/>
              <w:bottom w:val="single" w:sz="8" w:space="0" w:color="000000"/>
              <w:right w:val="single" w:sz="8" w:space="0" w:color="000000"/>
            </w:tcBorders>
            <w:shd w:val="clear" w:color="auto" w:fill="auto"/>
            <w:vAlign w:val="center"/>
          </w:tcPr>
          <w:p w:rsidR="0055491A" w:rsidRPr="006F2477" w:rsidRDefault="0055491A" w:rsidP="00210BF6">
            <w:pPr>
              <w:jc w:val="center"/>
              <w:rPr>
                <w:color w:val="000000"/>
                <w:sz w:val="18"/>
                <w:szCs w:val="18"/>
              </w:rPr>
            </w:pPr>
          </w:p>
        </w:tc>
        <w:tc>
          <w:tcPr>
            <w:tcW w:w="803" w:type="dxa"/>
            <w:tcBorders>
              <w:top w:val="nil"/>
              <w:left w:val="nil"/>
              <w:bottom w:val="single" w:sz="8" w:space="0" w:color="000000"/>
              <w:right w:val="single" w:sz="8" w:space="0" w:color="000000"/>
            </w:tcBorders>
            <w:shd w:val="clear" w:color="auto" w:fill="auto"/>
            <w:vAlign w:val="center"/>
          </w:tcPr>
          <w:p w:rsidR="0055491A" w:rsidRPr="006F2477" w:rsidRDefault="0055491A" w:rsidP="00210BF6">
            <w:pPr>
              <w:jc w:val="center"/>
              <w:rPr>
                <w:b/>
                <w:bCs/>
                <w:color w:val="000000"/>
                <w:sz w:val="18"/>
                <w:szCs w:val="18"/>
              </w:rPr>
            </w:pPr>
            <w:r>
              <w:rPr>
                <w:b/>
                <w:bCs/>
                <w:color w:val="000000"/>
                <w:sz w:val="18"/>
                <w:szCs w:val="18"/>
              </w:rPr>
              <w:t>175,0</w:t>
            </w:r>
          </w:p>
        </w:tc>
      </w:tr>
    </w:tbl>
    <w:p w:rsidR="0055491A" w:rsidRDefault="0055491A" w:rsidP="0055491A">
      <w:pPr>
        <w:ind w:firstLine="709"/>
        <w:jc w:val="both"/>
        <w:rPr>
          <w:sz w:val="28"/>
          <w:szCs w:val="28"/>
        </w:rPr>
      </w:pPr>
    </w:p>
    <w:p w:rsidR="0055491A" w:rsidRPr="00925063" w:rsidRDefault="0055491A" w:rsidP="0055491A">
      <w:pPr>
        <w:ind w:firstLine="709"/>
        <w:jc w:val="both"/>
        <w:rPr>
          <w:b/>
          <w:sz w:val="28"/>
          <w:szCs w:val="28"/>
        </w:rPr>
      </w:pPr>
      <w:r w:rsidRPr="00925063">
        <w:rPr>
          <w:b/>
          <w:sz w:val="28"/>
          <w:szCs w:val="28"/>
        </w:rPr>
        <w:t>Прогноз доходов 2022 год – 1 695,0 тыс. руб., 2023 год – 1 670,5 тыс. руб., 2024 год –1 703,0 тыс. руб.</w:t>
      </w:r>
    </w:p>
    <w:p w:rsidR="0055491A" w:rsidRDefault="0055491A" w:rsidP="0055491A">
      <w:pPr>
        <w:ind w:firstLine="709"/>
        <w:jc w:val="both"/>
        <w:rPr>
          <w:sz w:val="28"/>
          <w:szCs w:val="28"/>
        </w:rPr>
      </w:pPr>
    </w:p>
    <w:p w:rsidR="0055491A" w:rsidRPr="003A4D69" w:rsidRDefault="0055491A" w:rsidP="0055491A">
      <w:pPr>
        <w:pStyle w:val="a7"/>
        <w:spacing w:after="0"/>
        <w:ind w:left="0" w:firstLine="709"/>
        <w:jc w:val="both"/>
        <w:rPr>
          <w:b/>
          <w:sz w:val="28"/>
          <w:szCs w:val="28"/>
        </w:rPr>
      </w:pPr>
      <w:r>
        <w:rPr>
          <w:sz w:val="28"/>
          <w:szCs w:val="28"/>
        </w:rPr>
        <w:t xml:space="preserve">17. </w:t>
      </w:r>
      <w:r w:rsidRPr="00932AD6">
        <w:rPr>
          <w:sz w:val="28"/>
          <w:szCs w:val="28"/>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r>
        <w:rPr>
          <w:sz w:val="28"/>
          <w:szCs w:val="28"/>
        </w:rPr>
        <w:t xml:space="preserve">                                                                 </w:t>
      </w:r>
      <w:r w:rsidRPr="003A4D69">
        <w:rPr>
          <w:b/>
          <w:sz w:val="28"/>
          <w:szCs w:val="28"/>
        </w:rPr>
        <w:t>(КБК 000 1 16 07010 00 0000 140)</w:t>
      </w:r>
    </w:p>
    <w:p w:rsidR="0055491A" w:rsidRPr="003A4D69" w:rsidRDefault="0055491A" w:rsidP="0055491A">
      <w:pPr>
        <w:pStyle w:val="a7"/>
        <w:spacing w:after="0"/>
        <w:ind w:left="0" w:firstLine="709"/>
        <w:jc w:val="both"/>
        <w:rPr>
          <w:b/>
          <w:sz w:val="28"/>
          <w:szCs w:val="28"/>
        </w:rPr>
      </w:pPr>
      <w:r w:rsidRPr="003A4D69">
        <w:rPr>
          <w:b/>
          <w:sz w:val="28"/>
          <w:szCs w:val="28"/>
        </w:rPr>
        <w:t>Прогноз по данному КБК всего на 202</w:t>
      </w:r>
      <w:r w:rsidR="007F5AA3">
        <w:rPr>
          <w:b/>
          <w:sz w:val="28"/>
          <w:szCs w:val="28"/>
        </w:rPr>
        <w:t>2</w:t>
      </w:r>
      <w:r w:rsidRPr="003A4D69">
        <w:rPr>
          <w:b/>
          <w:sz w:val="28"/>
          <w:szCs w:val="28"/>
        </w:rPr>
        <w:t xml:space="preserve"> год – </w:t>
      </w:r>
      <w:r w:rsidR="007F5AA3">
        <w:rPr>
          <w:b/>
          <w:sz w:val="28"/>
          <w:szCs w:val="28"/>
        </w:rPr>
        <w:t>114 802,5</w:t>
      </w:r>
      <w:r w:rsidRPr="003A4D69">
        <w:rPr>
          <w:b/>
          <w:sz w:val="28"/>
          <w:szCs w:val="28"/>
        </w:rPr>
        <w:t xml:space="preserve"> тыс. руб., на 202</w:t>
      </w:r>
      <w:r w:rsidR="007F5AA3">
        <w:rPr>
          <w:b/>
          <w:sz w:val="28"/>
          <w:szCs w:val="28"/>
        </w:rPr>
        <w:t>3</w:t>
      </w:r>
      <w:r w:rsidRPr="003A4D69">
        <w:rPr>
          <w:b/>
          <w:sz w:val="28"/>
          <w:szCs w:val="28"/>
        </w:rPr>
        <w:t xml:space="preserve"> год -</w:t>
      </w:r>
      <w:r w:rsidR="007F5AA3">
        <w:rPr>
          <w:b/>
          <w:sz w:val="28"/>
          <w:szCs w:val="28"/>
        </w:rPr>
        <w:t xml:space="preserve"> 114 802,5</w:t>
      </w:r>
      <w:r w:rsidRPr="003A4D69">
        <w:rPr>
          <w:b/>
          <w:sz w:val="28"/>
          <w:szCs w:val="28"/>
        </w:rPr>
        <w:t xml:space="preserve"> тыс. руб., на 202</w:t>
      </w:r>
      <w:r w:rsidR="007F5AA3">
        <w:rPr>
          <w:b/>
          <w:sz w:val="28"/>
          <w:szCs w:val="28"/>
        </w:rPr>
        <w:t>4</w:t>
      </w:r>
      <w:r w:rsidRPr="003A4D69">
        <w:rPr>
          <w:b/>
          <w:sz w:val="28"/>
          <w:szCs w:val="28"/>
        </w:rPr>
        <w:t xml:space="preserve"> год – </w:t>
      </w:r>
      <w:r w:rsidR="007F5AA3">
        <w:rPr>
          <w:b/>
          <w:sz w:val="28"/>
          <w:szCs w:val="28"/>
        </w:rPr>
        <w:t>114 802,5</w:t>
      </w:r>
      <w:r w:rsidRPr="003A4D69">
        <w:rPr>
          <w:b/>
          <w:sz w:val="28"/>
          <w:szCs w:val="28"/>
        </w:rPr>
        <w:t xml:space="preserve"> тыс. руб.</w:t>
      </w:r>
    </w:p>
    <w:p w:rsidR="0055491A" w:rsidRDefault="0055491A" w:rsidP="0055491A">
      <w:pPr>
        <w:pStyle w:val="a7"/>
        <w:spacing w:after="0"/>
        <w:ind w:left="0" w:firstLine="709"/>
        <w:jc w:val="both"/>
        <w:rPr>
          <w:sz w:val="28"/>
          <w:szCs w:val="28"/>
        </w:rPr>
      </w:pPr>
    </w:p>
    <w:p w:rsidR="0055491A" w:rsidRDefault="0055491A" w:rsidP="0055491A">
      <w:pPr>
        <w:pStyle w:val="a7"/>
        <w:spacing w:after="0"/>
        <w:ind w:left="0" w:firstLine="709"/>
        <w:jc w:val="both"/>
        <w:rPr>
          <w:sz w:val="28"/>
          <w:szCs w:val="28"/>
        </w:rPr>
      </w:pPr>
      <w:r>
        <w:rPr>
          <w:sz w:val="28"/>
          <w:szCs w:val="28"/>
        </w:rPr>
        <w:lastRenderedPageBreak/>
        <w:t>1</w:t>
      </w:r>
      <w:r w:rsidRPr="00806026">
        <w:rPr>
          <w:sz w:val="28"/>
          <w:szCs w:val="28"/>
        </w:rPr>
        <w:t>7</w:t>
      </w:r>
      <w:r>
        <w:rPr>
          <w:sz w:val="28"/>
          <w:szCs w:val="28"/>
        </w:rPr>
        <w:t xml:space="preserve">.1 </w:t>
      </w:r>
      <w:r w:rsidRPr="00806026">
        <w:rPr>
          <w:b/>
          <w:sz w:val="28"/>
          <w:szCs w:val="28"/>
        </w:rPr>
        <w:t>КБК 013 1 16 07010 02 0000 140</w:t>
      </w:r>
      <w:r>
        <w:rPr>
          <w:sz w:val="28"/>
          <w:szCs w:val="28"/>
        </w:rPr>
        <w:t xml:space="preserve"> </w:t>
      </w:r>
      <w:r w:rsidRPr="00932AD6">
        <w:rPr>
          <w:sz w:val="28"/>
          <w:szCs w:val="28"/>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r>
        <w:rPr>
          <w:sz w:val="28"/>
          <w:szCs w:val="28"/>
        </w:rPr>
        <w:t>.</w:t>
      </w:r>
    </w:p>
    <w:p w:rsidR="0055491A" w:rsidRPr="00806026" w:rsidRDefault="0055491A" w:rsidP="0055491A">
      <w:pPr>
        <w:pStyle w:val="a7"/>
        <w:spacing w:after="0"/>
        <w:ind w:left="0" w:firstLine="709"/>
        <w:jc w:val="both"/>
        <w:rPr>
          <w:b/>
          <w:sz w:val="28"/>
          <w:szCs w:val="28"/>
        </w:rPr>
      </w:pPr>
      <w:r w:rsidRPr="00806026">
        <w:rPr>
          <w:b/>
          <w:sz w:val="28"/>
          <w:szCs w:val="28"/>
        </w:rPr>
        <w:t>Главный администратор доходов – Министерство экономического развития Тверской области.</w:t>
      </w:r>
    </w:p>
    <w:p w:rsidR="0055491A" w:rsidRDefault="0055491A" w:rsidP="0055491A">
      <w:pPr>
        <w:pStyle w:val="a7"/>
        <w:spacing w:after="0"/>
        <w:ind w:left="0" w:firstLine="709"/>
        <w:jc w:val="both"/>
        <w:rPr>
          <w:sz w:val="28"/>
          <w:szCs w:val="28"/>
        </w:rPr>
      </w:pPr>
      <w:r w:rsidRPr="002242F1">
        <w:rPr>
          <w:sz w:val="28"/>
          <w:szCs w:val="28"/>
        </w:rPr>
        <w:t xml:space="preserve">Расчет произведен в соответствии с методикой, утвержденной </w:t>
      </w:r>
      <w:r>
        <w:rPr>
          <w:sz w:val="28"/>
          <w:szCs w:val="28"/>
        </w:rPr>
        <w:t>приказом</w:t>
      </w:r>
      <w:r w:rsidRPr="002242F1">
        <w:rPr>
          <w:sz w:val="28"/>
          <w:szCs w:val="28"/>
        </w:rPr>
        <w:t xml:space="preserve"> </w:t>
      </w:r>
      <w:r>
        <w:rPr>
          <w:sz w:val="28"/>
          <w:szCs w:val="28"/>
        </w:rPr>
        <w:t>Министерство экономического развития Тверской области</w:t>
      </w:r>
      <w:r w:rsidRPr="002242F1">
        <w:rPr>
          <w:sz w:val="28"/>
          <w:szCs w:val="28"/>
        </w:rPr>
        <w:t xml:space="preserve"> </w:t>
      </w:r>
      <w:r>
        <w:rPr>
          <w:sz w:val="28"/>
          <w:szCs w:val="28"/>
        </w:rPr>
        <w:t xml:space="preserve"> 21.05.2020 № 120 </w:t>
      </w:r>
      <w:r w:rsidRPr="002242F1">
        <w:rPr>
          <w:sz w:val="28"/>
          <w:szCs w:val="28"/>
        </w:rPr>
        <w:t xml:space="preserve">«Об утверждении методики </w:t>
      </w:r>
      <w:r>
        <w:rPr>
          <w:sz w:val="28"/>
          <w:szCs w:val="28"/>
        </w:rPr>
        <w:t>формирования прогноза доходов областного бюджета, администрирование которых осуществляет Министерство экономического развития Тверской области</w:t>
      </w:r>
      <w:r w:rsidRPr="002242F1">
        <w:rPr>
          <w:sz w:val="28"/>
          <w:szCs w:val="28"/>
        </w:rPr>
        <w:t>»</w:t>
      </w:r>
      <w:r>
        <w:rPr>
          <w:sz w:val="28"/>
          <w:szCs w:val="28"/>
        </w:rPr>
        <w:t xml:space="preserve"> </w:t>
      </w:r>
    </w:p>
    <w:p w:rsidR="0055491A" w:rsidRDefault="0055491A" w:rsidP="0055491A">
      <w:pPr>
        <w:pStyle w:val="a7"/>
        <w:spacing w:after="0"/>
        <w:ind w:left="0" w:firstLine="709"/>
        <w:jc w:val="both"/>
        <w:rPr>
          <w:sz w:val="28"/>
          <w:szCs w:val="28"/>
        </w:rPr>
      </w:pPr>
      <w:r>
        <w:rPr>
          <w:sz w:val="28"/>
          <w:szCs w:val="28"/>
        </w:rPr>
        <w:t>Прогноз на текущий финансовый год (202</w:t>
      </w:r>
      <w:r w:rsidRPr="003D6DF2">
        <w:rPr>
          <w:sz w:val="28"/>
          <w:szCs w:val="28"/>
        </w:rPr>
        <w:t>1</w:t>
      </w:r>
      <w:r>
        <w:rPr>
          <w:sz w:val="28"/>
          <w:szCs w:val="28"/>
        </w:rPr>
        <w:t>) рассчитывается по среднемесячному с учетом данных о фактических поступлениях доходов за истекшие месяцы этого года, предшествуюшие составлению прогноза.</w:t>
      </w:r>
    </w:p>
    <w:p w:rsidR="0055491A" w:rsidRDefault="0055491A" w:rsidP="0055491A">
      <w:pPr>
        <w:pStyle w:val="a7"/>
        <w:spacing w:after="0"/>
        <w:ind w:left="0" w:firstLine="709"/>
        <w:jc w:val="both"/>
        <w:rPr>
          <w:sz w:val="28"/>
          <w:szCs w:val="28"/>
        </w:rPr>
      </w:pPr>
      <w:r>
        <w:rPr>
          <w:sz w:val="28"/>
          <w:szCs w:val="28"/>
        </w:rPr>
        <w:t>Ожидаемая оценка поступлений доходов в областной бюджет по данному коду бюджетной классификации в текущем году, учитывая фактические поступления на лицевой счет администратора доходов составит:</w:t>
      </w:r>
    </w:p>
    <w:p w:rsidR="0055491A" w:rsidRDefault="0055491A" w:rsidP="0055491A">
      <w:pPr>
        <w:pStyle w:val="a7"/>
        <w:spacing w:after="0"/>
        <w:ind w:left="0" w:firstLine="709"/>
        <w:jc w:val="both"/>
        <w:rPr>
          <w:sz w:val="28"/>
          <w:szCs w:val="28"/>
        </w:rPr>
      </w:pPr>
      <w:r>
        <w:rPr>
          <w:sz w:val="28"/>
          <w:szCs w:val="28"/>
        </w:rPr>
        <w:t xml:space="preserve">          ООП</w:t>
      </w:r>
      <w:r w:rsidRPr="008739B3">
        <w:rPr>
          <w:sz w:val="28"/>
          <w:szCs w:val="28"/>
        </w:rPr>
        <w:t>202</w:t>
      </w:r>
      <w:r w:rsidRPr="003D6DF2">
        <w:rPr>
          <w:sz w:val="28"/>
          <w:szCs w:val="28"/>
        </w:rPr>
        <w:t>1</w:t>
      </w:r>
      <w:r w:rsidRPr="008739B3">
        <w:rPr>
          <w:sz w:val="28"/>
          <w:szCs w:val="28"/>
        </w:rPr>
        <w:t>г =</w:t>
      </w:r>
      <w:r w:rsidRPr="002E3A9B">
        <w:rPr>
          <w:sz w:val="28"/>
          <w:szCs w:val="28"/>
        </w:rPr>
        <w:t xml:space="preserve"> </w:t>
      </w:r>
      <w:r w:rsidRPr="00A6758E">
        <w:rPr>
          <w:sz w:val="28"/>
          <w:szCs w:val="28"/>
        </w:rPr>
        <w:t>ФП</w:t>
      </w:r>
      <w:r>
        <w:rPr>
          <w:sz w:val="28"/>
          <w:szCs w:val="28"/>
        </w:rPr>
        <w:t xml:space="preserve"> </w:t>
      </w:r>
      <w:r w:rsidRPr="008739B3">
        <w:rPr>
          <w:sz w:val="28"/>
          <w:szCs w:val="28"/>
        </w:rPr>
        <w:t>на01.06.202</w:t>
      </w:r>
      <w:r w:rsidRPr="003D6DF2">
        <w:rPr>
          <w:sz w:val="28"/>
          <w:szCs w:val="28"/>
        </w:rPr>
        <w:t>1</w:t>
      </w:r>
      <w:r w:rsidRPr="00A6758E">
        <w:rPr>
          <w:sz w:val="28"/>
          <w:szCs w:val="28"/>
        </w:rPr>
        <w:t>/5мес*12мес</w:t>
      </w:r>
      <w:r w:rsidRPr="008739B3">
        <w:rPr>
          <w:sz w:val="28"/>
          <w:szCs w:val="28"/>
        </w:rPr>
        <w:t xml:space="preserve"> =</w:t>
      </w:r>
      <w:r w:rsidRPr="003D6DF2">
        <w:rPr>
          <w:sz w:val="28"/>
          <w:szCs w:val="28"/>
        </w:rPr>
        <w:t>1</w:t>
      </w:r>
      <w:r>
        <w:rPr>
          <w:sz w:val="28"/>
          <w:szCs w:val="28"/>
        </w:rPr>
        <w:t>,8</w:t>
      </w:r>
      <w:r w:rsidRPr="003D6DF2">
        <w:rPr>
          <w:sz w:val="28"/>
          <w:szCs w:val="28"/>
        </w:rPr>
        <w:t>4</w:t>
      </w:r>
      <w:r>
        <w:rPr>
          <w:sz w:val="28"/>
          <w:szCs w:val="28"/>
        </w:rPr>
        <w:t xml:space="preserve"> тыс. </w:t>
      </w:r>
      <w:r w:rsidRPr="004A3DDA">
        <w:rPr>
          <w:sz w:val="28"/>
          <w:szCs w:val="28"/>
        </w:rPr>
        <w:t>руб</w:t>
      </w:r>
      <w:r w:rsidRPr="003D6DF2">
        <w:rPr>
          <w:sz w:val="28"/>
          <w:szCs w:val="28"/>
        </w:rPr>
        <w:t>.</w:t>
      </w:r>
      <w:r>
        <w:rPr>
          <w:sz w:val="28"/>
          <w:szCs w:val="28"/>
        </w:rPr>
        <w:t>/5 мес.*12 мес.=</w:t>
      </w:r>
      <w:r w:rsidRPr="003D6DF2">
        <w:rPr>
          <w:sz w:val="28"/>
          <w:szCs w:val="28"/>
        </w:rPr>
        <w:t>4.4</w:t>
      </w:r>
      <w:r>
        <w:rPr>
          <w:sz w:val="28"/>
          <w:szCs w:val="28"/>
        </w:rPr>
        <w:t xml:space="preserve"> тыс. руб.</w:t>
      </w:r>
    </w:p>
    <w:p w:rsidR="0055491A" w:rsidRPr="008739B3" w:rsidRDefault="0055491A" w:rsidP="0055491A">
      <w:pPr>
        <w:pStyle w:val="a7"/>
        <w:spacing w:after="0"/>
        <w:ind w:left="0" w:firstLine="709"/>
        <w:jc w:val="both"/>
        <w:rPr>
          <w:sz w:val="28"/>
          <w:szCs w:val="28"/>
        </w:rPr>
      </w:pPr>
      <w:r w:rsidRPr="008739B3">
        <w:rPr>
          <w:sz w:val="28"/>
          <w:szCs w:val="28"/>
        </w:rPr>
        <w:t xml:space="preserve">         где: </w:t>
      </w:r>
    </w:p>
    <w:p w:rsidR="0055491A" w:rsidRPr="008739B3" w:rsidRDefault="0055491A" w:rsidP="0055491A">
      <w:pPr>
        <w:pStyle w:val="a7"/>
        <w:spacing w:after="0"/>
        <w:ind w:left="0" w:firstLine="709"/>
        <w:jc w:val="both"/>
        <w:rPr>
          <w:sz w:val="28"/>
          <w:szCs w:val="28"/>
        </w:rPr>
      </w:pPr>
      <w:r w:rsidRPr="008739B3">
        <w:rPr>
          <w:sz w:val="28"/>
          <w:szCs w:val="28"/>
        </w:rPr>
        <w:t>ООП202</w:t>
      </w:r>
      <w:r w:rsidRPr="003D6DF2">
        <w:rPr>
          <w:sz w:val="28"/>
          <w:szCs w:val="28"/>
        </w:rPr>
        <w:t>1</w:t>
      </w:r>
      <w:r w:rsidRPr="008739B3">
        <w:rPr>
          <w:sz w:val="28"/>
          <w:szCs w:val="28"/>
        </w:rPr>
        <w:t>г- ожидаемая оценка поступлений доходов в текущем году.</w:t>
      </w:r>
    </w:p>
    <w:p w:rsidR="0055491A" w:rsidRPr="008739B3" w:rsidRDefault="0055491A" w:rsidP="0055491A">
      <w:pPr>
        <w:pStyle w:val="a7"/>
        <w:spacing w:after="0"/>
        <w:ind w:left="0" w:firstLine="709"/>
        <w:jc w:val="both"/>
        <w:rPr>
          <w:sz w:val="28"/>
          <w:szCs w:val="28"/>
        </w:rPr>
      </w:pPr>
      <w:r w:rsidRPr="008739B3">
        <w:rPr>
          <w:sz w:val="28"/>
          <w:szCs w:val="28"/>
        </w:rPr>
        <w:t>ФП- фактическое поступление сумм доходов на последнюю отчетную дату текущего года*.</w:t>
      </w:r>
    </w:p>
    <w:p w:rsidR="0055491A" w:rsidRDefault="0055491A" w:rsidP="0055491A">
      <w:pPr>
        <w:pStyle w:val="a7"/>
        <w:spacing w:after="0"/>
        <w:ind w:left="0" w:firstLine="709"/>
        <w:jc w:val="both"/>
        <w:rPr>
          <w:sz w:val="28"/>
          <w:szCs w:val="28"/>
        </w:rPr>
      </w:pPr>
      <w:r>
        <w:rPr>
          <w:sz w:val="28"/>
          <w:szCs w:val="28"/>
        </w:rPr>
        <w:t xml:space="preserve">  </w:t>
      </w:r>
      <w:r w:rsidRPr="00F6350B">
        <w:rPr>
          <w:sz w:val="28"/>
          <w:szCs w:val="28"/>
        </w:rPr>
        <w:t>Прогноз</w:t>
      </w:r>
      <w:r>
        <w:rPr>
          <w:sz w:val="28"/>
          <w:szCs w:val="28"/>
        </w:rPr>
        <w:t xml:space="preserve"> на 202</w:t>
      </w:r>
      <w:r w:rsidRPr="003D6DF2">
        <w:rPr>
          <w:sz w:val="28"/>
          <w:szCs w:val="28"/>
        </w:rPr>
        <w:t>2</w:t>
      </w:r>
      <w:r>
        <w:rPr>
          <w:sz w:val="28"/>
          <w:szCs w:val="28"/>
        </w:rPr>
        <w:t xml:space="preserve"> год рассчитан исходя из фактических и ожидаемых  объемов поступлений:</w:t>
      </w:r>
    </w:p>
    <w:p w:rsidR="0055491A" w:rsidRDefault="0055491A" w:rsidP="0055491A">
      <w:pPr>
        <w:pStyle w:val="a7"/>
        <w:spacing w:after="0"/>
        <w:ind w:left="0" w:firstLine="709"/>
        <w:jc w:val="both"/>
        <w:rPr>
          <w:sz w:val="28"/>
          <w:szCs w:val="28"/>
        </w:rPr>
      </w:pPr>
      <w:r>
        <w:rPr>
          <w:sz w:val="28"/>
          <w:szCs w:val="28"/>
        </w:rPr>
        <w:t xml:space="preserve">        ПП</w:t>
      </w:r>
      <w:r w:rsidRPr="008739B3">
        <w:rPr>
          <w:sz w:val="28"/>
          <w:szCs w:val="28"/>
        </w:rPr>
        <w:t>202</w:t>
      </w:r>
      <w:r w:rsidRPr="003D6DF2">
        <w:rPr>
          <w:sz w:val="28"/>
          <w:szCs w:val="28"/>
        </w:rPr>
        <w:t>2</w:t>
      </w:r>
      <w:r>
        <w:rPr>
          <w:sz w:val="28"/>
          <w:szCs w:val="28"/>
        </w:rPr>
        <w:t>г=(ООП</w:t>
      </w:r>
      <w:r w:rsidRPr="008739B3">
        <w:rPr>
          <w:sz w:val="28"/>
          <w:szCs w:val="28"/>
        </w:rPr>
        <w:t>202</w:t>
      </w:r>
      <w:r w:rsidRPr="003D6DF2">
        <w:rPr>
          <w:sz w:val="28"/>
          <w:szCs w:val="28"/>
        </w:rPr>
        <w:t>1</w:t>
      </w:r>
      <w:r>
        <w:rPr>
          <w:sz w:val="28"/>
          <w:szCs w:val="28"/>
        </w:rPr>
        <w:t>+ФП</w:t>
      </w:r>
      <w:r w:rsidRPr="008739B3">
        <w:rPr>
          <w:sz w:val="28"/>
          <w:szCs w:val="28"/>
        </w:rPr>
        <w:t>20</w:t>
      </w:r>
      <w:r w:rsidRPr="003D6DF2">
        <w:rPr>
          <w:sz w:val="28"/>
          <w:szCs w:val="28"/>
        </w:rPr>
        <w:t>20</w:t>
      </w:r>
      <w:r>
        <w:rPr>
          <w:sz w:val="28"/>
          <w:szCs w:val="28"/>
        </w:rPr>
        <w:t>+ФП</w:t>
      </w:r>
      <w:r w:rsidRPr="008739B3">
        <w:rPr>
          <w:sz w:val="28"/>
          <w:szCs w:val="28"/>
        </w:rPr>
        <w:t>201</w:t>
      </w:r>
      <w:r w:rsidRPr="003D6DF2">
        <w:rPr>
          <w:sz w:val="28"/>
          <w:szCs w:val="28"/>
        </w:rPr>
        <w:t>9</w:t>
      </w:r>
      <w:r>
        <w:rPr>
          <w:sz w:val="28"/>
          <w:szCs w:val="28"/>
        </w:rPr>
        <w:t>)/3=(</w:t>
      </w:r>
      <w:r w:rsidRPr="003D6DF2">
        <w:rPr>
          <w:sz w:val="28"/>
          <w:szCs w:val="28"/>
        </w:rPr>
        <w:t>4</w:t>
      </w:r>
      <w:r>
        <w:rPr>
          <w:sz w:val="28"/>
          <w:szCs w:val="28"/>
        </w:rPr>
        <w:t>,</w:t>
      </w:r>
      <w:r w:rsidRPr="003D6DF2">
        <w:rPr>
          <w:sz w:val="28"/>
          <w:szCs w:val="28"/>
        </w:rPr>
        <w:t>4</w:t>
      </w:r>
      <w:r>
        <w:rPr>
          <w:sz w:val="28"/>
          <w:szCs w:val="28"/>
        </w:rPr>
        <w:t xml:space="preserve"> тыс.руб+0,</w:t>
      </w:r>
      <w:r w:rsidRPr="003D6DF2">
        <w:rPr>
          <w:sz w:val="28"/>
          <w:szCs w:val="28"/>
        </w:rPr>
        <w:t>8</w:t>
      </w:r>
      <w:r>
        <w:rPr>
          <w:sz w:val="28"/>
          <w:szCs w:val="28"/>
        </w:rPr>
        <w:t>тыс. руб.+4,7 тыс. руб.)/3= 3,3тыс. руб.</w:t>
      </w:r>
    </w:p>
    <w:p w:rsidR="0055491A" w:rsidRDefault="0055491A" w:rsidP="0055491A">
      <w:pPr>
        <w:pStyle w:val="a7"/>
        <w:spacing w:after="0"/>
        <w:ind w:left="0" w:firstLine="709"/>
        <w:jc w:val="both"/>
        <w:rPr>
          <w:sz w:val="28"/>
          <w:szCs w:val="28"/>
        </w:rPr>
      </w:pPr>
      <w:r>
        <w:rPr>
          <w:sz w:val="28"/>
          <w:szCs w:val="28"/>
        </w:rPr>
        <w:t xml:space="preserve">      где:</w:t>
      </w:r>
    </w:p>
    <w:p w:rsidR="0055491A" w:rsidRPr="008739B3" w:rsidRDefault="0055491A" w:rsidP="0055491A">
      <w:pPr>
        <w:pStyle w:val="a7"/>
        <w:spacing w:after="0"/>
        <w:ind w:left="0" w:firstLine="709"/>
        <w:jc w:val="both"/>
        <w:rPr>
          <w:sz w:val="28"/>
          <w:szCs w:val="28"/>
        </w:rPr>
      </w:pPr>
      <w:r w:rsidRPr="008739B3">
        <w:rPr>
          <w:sz w:val="28"/>
          <w:szCs w:val="28"/>
        </w:rPr>
        <w:t>П 2021г- прогноз поступлений сумм доходов на 202</w:t>
      </w:r>
      <w:r>
        <w:rPr>
          <w:sz w:val="28"/>
          <w:szCs w:val="28"/>
        </w:rPr>
        <w:t>2</w:t>
      </w:r>
      <w:r w:rsidRPr="008739B3">
        <w:rPr>
          <w:sz w:val="28"/>
          <w:szCs w:val="28"/>
        </w:rPr>
        <w:t>г.</w:t>
      </w:r>
    </w:p>
    <w:p w:rsidR="0055491A" w:rsidRPr="008739B3" w:rsidRDefault="0055491A" w:rsidP="0055491A">
      <w:pPr>
        <w:pStyle w:val="a7"/>
        <w:spacing w:after="0"/>
        <w:ind w:left="0" w:firstLine="709"/>
        <w:jc w:val="both"/>
        <w:rPr>
          <w:sz w:val="28"/>
          <w:szCs w:val="28"/>
        </w:rPr>
      </w:pPr>
      <w:r w:rsidRPr="008739B3">
        <w:rPr>
          <w:sz w:val="28"/>
          <w:szCs w:val="28"/>
        </w:rPr>
        <w:t>ООП 202</w:t>
      </w:r>
      <w:r>
        <w:rPr>
          <w:sz w:val="28"/>
          <w:szCs w:val="28"/>
        </w:rPr>
        <w:t>1</w:t>
      </w:r>
      <w:r w:rsidRPr="008739B3">
        <w:rPr>
          <w:sz w:val="28"/>
          <w:szCs w:val="28"/>
        </w:rPr>
        <w:t>г - ожидаемая оценка поступлений сумм доходов в 202</w:t>
      </w:r>
      <w:r>
        <w:rPr>
          <w:sz w:val="28"/>
          <w:szCs w:val="28"/>
        </w:rPr>
        <w:t>1</w:t>
      </w:r>
      <w:r w:rsidRPr="008739B3">
        <w:rPr>
          <w:sz w:val="28"/>
          <w:szCs w:val="28"/>
        </w:rPr>
        <w:t>г</w:t>
      </w:r>
    </w:p>
    <w:p w:rsidR="0055491A" w:rsidRPr="008739B3" w:rsidRDefault="0055491A" w:rsidP="0055491A">
      <w:pPr>
        <w:pStyle w:val="a7"/>
        <w:spacing w:after="0"/>
        <w:ind w:left="0" w:firstLine="709"/>
        <w:jc w:val="both"/>
        <w:rPr>
          <w:sz w:val="28"/>
          <w:szCs w:val="28"/>
        </w:rPr>
      </w:pPr>
      <w:r w:rsidRPr="008739B3">
        <w:rPr>
          <w:sz w:val="28"/>
          <w:szCs w:val="28"/>
        </w:rPr>
        <w:t>ФП 20</w:t>
      </w:r>
      <w:r>
        <w:rPr>
          <w:sz w:val="28"/>
          <w:szCs w:val="28"/>
        </w:rPr>
        <w:t>20</w:t>
      </w:r>
      <w:r w:rsidRPr="008739B3">
        <w:rPr>
          <w:sz w:val="28"/>
          <w:szCs w:val="28"/>
        </w:rPr>
        <w:t>г- фактическое поступление сумм доходов в 20</w:t>
      </w:r>
      <w:r>
        <w:rPr>
          <w:sz w:val="28"/>
          <w:szCs w:val="28"/>
        </w:rPr>
        <w:t>20</w:t>
      </w:r>
      <w:r w:rsidRPr="008739B3">
        <w:rPr>
          <w:sz w:val="28"/>
          <w:szCs w:val="28"/>
        </w:rPr>
        <w:t>г</w:t>
      </w:r>
    </w:p>
    <w:p w:rsidR="0055491A" w:rsidRPr="008739B3" w:rsidRDefault="0055491A" w:rsidP="0055491A">
      <w:pPr>
        <w:pStyle w:val="a7"/>
        <w:spacing w:after="0"/>
        <w:ind w:left="0" w:firstLine="709"/>
        <w:jc w:val="both"/>
        <w:rPr>
          <w:sz w:val="28"/>
          <w:szCs w:val="28"/>
        </w:rPr>
      </w:pPr>
      <w:r w:rsidRPr="008739B3">
        <w:rPr>
          <w:sz w:val="28"/>
          <w:szCs w:val="28"/>
        </w:rPr>
        <w:t>ФП 201</w:t>
      </w:r>
      <w:r>
        <w:rPr>
          <w:sz w:val="28"/>
          <w:szCs w:val="28"/>
        </w:rPr>
        <w:t>9</w:t>
      </w:r>
      <w:r w:rsidRPr="008739B3">
        <w:rPr>
          <w:sz w:val="28"/>
          <w:szCs w:val="28"/>
        </w:rPr>
        <w:t>г- фактическое поступление сумм доходов в 201</w:t>
      </w:r>
      <w:r>
        <w:rPr>
          <w:sz w:val="28"/>
          <w:szCs w:val="28"/>
        </w:rPr>
        <w:t>9</w:t>
      </w:r>
      <w:r w:rsidRPr="008739B3">
        <w:rPr>
          <w:sz w:val="28"/>
          <w:szCs w:val="28"/>
        </w:rPr>
        <w:t>г</w:t>
      </w:r>
    </w:p>
    <w:p w:rsidR="0055491A" w:rsidRDefault="0055491A" w:rsidP="0055491A">
      <w:pPr>
        <w:pStyle w:val="a7"/>
        <w:spacing w:after="0"/>
        <w:ind w:left="0" w:firstLine="709"/>
        <w:jc w:val="both"/>
        <w:rPr>
          <w:sz w:val="28"/>
          <w:szCs w:val="28"/>
        </w:rPr>
      </w:pPr>
      <w:r w:rsidRPr="005D48E0">
        <w:rPr>
          <w:sz w:val="28"/>
          <w:szCs w:val="28"/>
        </w:rPr>
        <w:t>Прогноз на 20</w:t>
      </w:r>
      <w:r>
        <w:rPr>
          <w:sz w:val="28"/>
          <w:szCs w:val="28"/>
        </w:rPr>
        <w:t>23</w:t>
      </w:r>
      <w:r w:rsidRPr="005D48E0">
        <w:rPr>
          <w:sz w:val="28"/>
          <w:szCs w:val="28"/>
        </w:rPr>
        <w:t xml:space="preserve"> год и прогноз на 202</w:t>
      </w:r>
      <w:r>
        <w:rPr>
          <w:sz w:val="28"/>
          <w:szCs w:val="28"/>
        </w:rPr>
        <w:t>4</w:t>
      </w:r>
      <w:r w:rsidRPr="005D48E0">
        <w:rPr>
          <w:sz w:val="28"/>
          <w:szCs w:val="28"/>
        </w:rPr>
        <w:t xml:space="preserve"> год рассчитываются на уровне прогноза на 20</w:t>
      </w:r>
      <w:r>
        <w:rPr>
          <w:sz w:val="28"/>
          <w:szCs w:val="28"/>
        </w:rPr>
        <w:t>22</w:t>
      </w:r>
      <w:r w:rsidRPr="005D48E0">
        <w:rPr>
          <w:sz w:val="28"/>
          <w:szCs w:val="28"/>
        </w:rPr>
        <w:t xml:space="preserve"> год.</w:t>
      </w:r>
      <w:r w:rsidRPr="008A135D">
        <w:rPr>
          <w:sz w:val="28"/>
          <w:szCs w:val="28"/>
        </w:rPr>
        <w:t xml:space="preserve"> </w:t>
      </w:r>
    </w:p>
    <w:p w:rsidR="0055491A" w:rsidRPr="00286007" w:rsidRDefault="0055491A" w:rsidP="0055491A">
      <w:pPr>
        <w:pStyle w:val="a7"/>
        <w:spacing w:after="0"/>
        <w:ind w:left="0" w:firstLine="709"/>
        <w:jc w:val="both"/>
        <w:rPr>
          <w:b/>
          <w:sz w:val="28"/>
          <w:szCs w:val="28"/>
        </w:rPr>
      </w:pPr>
      <w:r w:rsidRPr="00286007">
        <w:rPr>
          <w:b/>
          <w:sz w:val="28"/>
          <w:szCs w:val="28"/>
        </w:rPr>
        <w:t>Прогноз на 202</w:t>
      </w:r>
      <w:r>
        <w:rPr>
          <w:b/>
          <w:sz w:val="28"/>
          <w:szCs w:val="28"/>
        </w:rPr>
        <w:t>2</w:t>
      </w:r>
      <w:r w:rsidRPr="00286007">
        <w:rPr>
          <w:b/>
          <w:sz w:val="28"/>
          <w:szCs w:val="28"/>
        </w:rPr>
        <w:t xml:space="preserve"> год = 3,3 тыс. руб.</w:t>
      </w:r>
    </w:p>
    <w:p w:rsidR="0055491A" w:rsidRPr="00286007" w:rsidRDefault="0055491A" w:rsidP="0055491A">
      <w:pPr>
        <w:pStyle w:val="a7"/>
        <w:spacing w:after="0"/>
        <w:ind w:left="0" w:firstLine="709"/>
        <w:jc w:val="both"/>
        <w:rPr>
          <w:b/>
          <w:sz w:val="28"/>
          <w:szCs w:val="28"/>
        </w:rPr>
      </w:pPr>
      <w:r w:rsidRPr="00286007">
        <w:rPr>
          <w:b/>
          <w:sz w:val="28"/>
          <w:szCs w:val="28"/>
        </w:rPr>
        <w:t>Прогноз на 2023 год = 3,3 тыс. руб.</w:t>
      </w:r>
    </w:p>
    <w:p w:rsidR="0055491A" w:rsidRPr="00286007" w:rsidRDefault="0055491A" w:rsidP="0055491A">
      <w:pPr>
        <w:pStyle w:val="a7"/>
        <w:spacing w:after="0"/>
        <w:ind w:left="0" w:firstLine="709"/>
        <w:jc w:val="both"/>
        <w:rPr>
          <w:b/>
          <w:sz w:val="28"/>
          <w:szCs w:val="28"/>
        </w:rPr>
      </w:pPr>
      <w:r w:rsidRPr="00286007">
        <w:rPr>
          <w:b/>
          <w:sz w:val="28"/>
          <w:szCs w:val="28"/>
        </w:rPr>
        <w:t>Прогноз на 2024 год = 3,3 тыс. руб.</w:t>
      </w:r>
    </w:p>
    <w:p w:rsidR="0055491A" w:rsidRDefault="0055491A" w:rsidP="0055491A">
      <w:pPr>
        <w:pStyle w:val="a7"/>
        <w:spacing w:after="0"/>
        <w:ind w:left="0" w:firstLine="709"/>
        <w:jc w:val="both"/>
        <w:rPr>
          <w:sz w:val="28"/>
          <w:szCs w:val="28"/>
        </w:rPr>
      </w:pPr>
      <w:r w:rsidRPr="008739B3">
        <w:rPr>
          <w:sz w:val="28"/>
          <w:szCs w:val="28"/>
        </w:rPr>
        <w:t xml:space="preserve">         </w:t>
      </w:r>
      <w:r>
        <w:rPr>
          <w:sz w:val="28"/>
          <w:szCs w:val="28"/>
        </w:rPr>
        <w:t xml:space="preserve">         </w:t>
      </w:r>
    </w:p>
    <w:p w:rsidR="0055491A" w:rsidRDefault="0055491A" w:rsidP="0055491A">
      <w:pPr>
        <w:pStyle w:val="a7"/>
        <w:spacing w:after="0"/>
        <w:ind w:left="0" w:firstLine="709"/>
        <w:jc w:val="both"/>
        <w:rPr>
          <w:sz w:val="28"/>
          <w:szCs w:val="28"/>
        </w:rPr>
      </w:pPr>
      <w:r>
        <w:rPr>
          <w:sz w:val="28"/>
          <w:szCs w:val="28"/>
        </w:rPr>
        <w:t xml:space="preserve">17.2 </w:t>
      </w:r>
      <w:r w:rsidRPr="00E07C8D">
        <w:rPr>
          <w:b/>
          <w:sz w:val="28"/>
          <w:szCs w:val="28"/>
        </w:rPr>
        <w:t>КБК 019 1 16 07010 02 0000 140</w:t>
      </w:r>
      <w:r>
        <w:rPr>
          <w:sz w:val="28"/>
          <w:szCs w:val="28"/>
        </w:rPr>
        <w:t xml:space="preserve"> </w:t>
      </w:r>
      <w:r w:rsidRPr="00932AD6">
        <w:rPr>
          <w:sz w:val="28"/>
          <w:szCs w:val="28"/>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r>
        <w:rPr>
          <w:sz w:val="28"/>
          <w:szCs w:val="28"/>
        </w:rPr>
        <w:t>.</w:t>
      </w:r>
    </w:p>
    <w:p w:rsidR="0055491A" w:rsidRPr="00E07C8D" w:rsidRDefault="0055491A" w:rsidP="0055491A">
      <w:pPr>
        <w:pStyle w:val="a7"/>
        <w:spacing w:after="0"/>
        <w:ind w:left="0" w:firstLine="709"/>
        <w:jc w:val="both"/>
        <w:rPr>
          <w:b/>
          <w:sz w:val="28"/>
          <w:szCs w:val="28"/>
        </w:rPr>
      </w:pPr>
      <w:r w:rsidRPr="00E07C8D">
        <w:rPr>
          <w:b/>
          <w:sz w:val="28"/>
          <w:szCs w:val="28"/>
        </w:rPr>
        <w:lastRenderedPageBreak/>
        <w:t>Главный администратор доходов - Министерство имущественных и земельных отношений Тверской области.</w:t>
      </w:r>
    </w:p>
    <w:p w:rsidR="0055491A" w:rsidRPr="003D5E17" w:rsidRDefault="0055491A" w:rsidP="0055491A">
      <w:pPr>
        <w:pStyle w:val="a7"/>
        <w:spacing w:after="0"/>
        <w:ind w:left="0" w:firstLine="709"/>
        <w:jc w:val="both"/>
        <w:rPr>
          <w:sz w:val="28"/>
          <w:szCs w:val="28"/>
        </w:rPr>
      </w:pPr>
      <w:r w:rsidRPr="003D5E17">
        <w:rPr>
          <w:sz w:val="28"/>
          <w:szCs w:val="28"/>
        </w:rPr>
        <w:t>Расчет произведен в соответствии с методикой, утвержденной приказом Министерства имущественных и земельных отношений Твер</w:t>
      </w:r>
      <w:r>
        <w:rPr>
          <w:sz w:val="28"/>
          <w:szCs w:val="28"/>
        </w:rPr>
        <w:t>ской области от 17.10.2019 № 103</w:t>
      </w:r>
      <w:r w:rsidRPr="003D5E17">
        <w:rPr>
          <w:sz w:val="28"/>
          <w:szCs w:val="28"/>
        </w:rPr>
        <w:t xml:space="preserve"> «Об утверждении методики прогнозирования поступлений неналоговых доходов в бюджет Тверской области, главным администратором которых является Министерство имущественных и земельных отношений Тверской области» (</w:t>
      </w:r>
      <w:r>
        <w:rPr>
          <w:sz w:val="28"/>
          <w:szCs w:val="28"/>
        </w:rPr>
        <w:t>с учетом изменений</w:t>
      </w:r>
      <w:r w:rsidRPr="003D5E17">
        <w:rPr>
          <w:sz w:val="28"/>
          <w:szCs w:val="28"/>
        </w:rPr>
        <w:t>).</w:t>
      </w:r>
    </w:p>
    <w:p w:rsidR="0055491A" w:rsidRPr="00943DF7" w:rsidRDefault="0055491A" w:rsidP="0055491A">
      <w:pPr>
        <w:pStyle w:val="a7"/>
        <w:spacing w:after="0"/>
        <w:ind w:left="0" w:firstLine="709"/>
        <w:jc w:val="both"/>
        <w:rPr>
          <w:sz w:val="28"/>
          <w:szCs w:val="28"/>
        </w:rPr>
      </w:pPr>
      <w:r w:rsidRPr="00943DF7">
        <w:rPr>
          <w:sz w:val="28"/>
          <w:szCs w:val="28"/>
        </w:rPr>
        <w:t>Расчет прогноза на 202</w:t>
      </w:r>
      <w:r>
        <w:rPr>
          <w:sz w:val="28"/>
          <w:szCs w:val="28"/>
        </w:rPr>
        <w:t>2-</w:t>
      </w:r>
      <w:r w:rsidRPr="00943DF7">
        <w:rPr>
          <w:sz w:val="28"/>
          <w:szCs w:val="28"/>
        </w:rPr>
        <w:t>20</w:t>
      </w:r>
      <w:r>
        <w:rPr>
          <w:sz w:val="28"/>
          <w:szCs w:val="28"/>
        </w:rPr>
        <w:t>24</w:t>
      </w:r>
      <w:r w:rsidRPr="00943DF7">
        <w:rPr>
          <w:sz w:val="28"/>
          <w:szCs w:val="28"/>
        </w:rPr>
        <w:t xml:space="preserve"> годы произведен методом усреднения исходя из фактической оплаты </w:t>
      </w:r>
      <w:r>
        <w:rPr>
          <w:sz w:val="28"/>
          <w:szCs w:val="28"/>
        </w:rPr>
        <w:t>штрафов</w:t>
      </w:r>
      <w:r w:rsidRPr="00932AD6">
        <w:rPr>
          <w:sz w:val="28"/>
          <w:szCs w:val="28"/>
        </w:rPr>
        <w:t>, неусто</w:t>
      </w:r>
      <w:r>
        <w:rPr>
          <w:sz w:val="28"/>
          <w:szCs w:val="28"/>
        </w:rPr>
        <w:t>е</w:t>
      </w:r>
      <w:r w:rsidRPr="00932AD6">
        <w:rPr>
          <w:sz w:val="28"/>
          <w:szCs w:val="28"/>
        </w:rPr>
        <w:t>к</w:t>
      </w:r>
      <w:r>
        <w:rPr>
          <w:sz w:val="28"/>
          <w:szCs w:val="28"/>
        </w:rPr>
        <w:t>, пени, уплаченных</w:t>
      </w:r>
      <w:r w:rsidRPr="00932AD6">
        <w:rPr>
          <w:sz w:val="28"/>
          <w:szCs w:val="28"/>
        </w:rPr>
        <w:t xml:space="preserve"> в случае просрочки исполнения поставщиком (подрядчиком, исполнителем) обязательств, предусмотренных государственным контрактом</w:t>
      </w:r>
      <w:r w:rsidRPr="00943DF7">
        <w:rPr>
          <w:sz w:val="28"/>
          <w:szCs w:val="28"/>
        </w:rPr>
        <w:t xml:space="preserve"> за последние три отчетных года (201</w:t>
      </w:r>
      <w:r>
        <w:rPr>
          <w:sz w:val="28"/>
          <w:szCs w:val="28"/>
        </w:rPr>
        <w:t>8</w:t>
      </w:r>
      <w:r w:rsidRPr="00943DF7">
        <w:rPr>
          <w:sz w:val="28"/>
          <w:szCs w:val="28"/>
        </w:rPr>
        <w:t xml:space="preserve"> год</w:t>
      </w:r>
      <w:r>
        <w:rPr>
          <w:sz w:val="28"/>
          <w:szCs w:val="28"/>
        </w:rPr>
        <w:t>, 2019 год,</w:t>
      </w:r>
      <w:r w:rsidRPr="00E07C8D">
        <w:rPr>
          <w:sz w:val="28"/>
          <w:szCs w:val="28"/>
        </w:rPr>
        <w:t xml:space="preserve"> </w:t>
      </w:r>
      <w:r w:rsidRPr="00943DF7">
        <w:rPr>
          <w:sz w:val="28"/>
          <w:szCs w:val="28"/>
        </w:rPr>
        <w:t>20</w:t>
      </w:r>
      <w:r>
        <w:rPr>
          <w:sz w:val="28"/>
          <w:szCs w:val="28"/>
        </w:rPr>
        <w:t>20</w:t>
      </w:r>
      <w:r w:rsidRPr="00943DF7">
        <w:rPr>
          <w:sz w:val="28"/>
          <w:szCs w:val="28"/>
        </w:rPr>
        <w:t xml:space="preserve"> год).</w:t>
      </w:r>
    </w:p>
    <w:p w:rsidR="0055491A" w:rsidRPr="00943DF7" w:rsidRDefault="0055491A" w:rsidP="0055491A">
      <w:pPr>
        <w:pStyle w:val="a7"/>
        <w:spacing w:after="0"/>
        <w:ind w:left="0" w:firstLine="709"/>
        <w:jc w:val="both"/>
        <w:rPr>
          <w:sz w:val="28"/>
          <w:szCs w:val="28"/>
        </w:rPr>
      </w:pPr>
      <w:r>
        <w:rPr>
          <w:sz w:val="28"/>
          <w:szCs w:val="28"/>
        </w:rPr>
        <w:t>Ф</w:t>
      </w:r>
      <w:r w:rsidRPr="00943DF7">
        <w:rPr>
          <w:sz w:val="28"/>
          <w:szCs w:val="28"/>
        </w:rPr>
        <w:t>актическ</w:t>
      </w:r>
      <w:r>
        <w:rPr>
          <w:sz w:val="28"/>
          <w:szCs w:val="28"/>
        </w:rPr>
        <w:t>ие поступления</w:t>
      </w:r>
      <w:r w:rsidRPr="00943DF7">
        <w:rPr>
          <w:sz w:val="28"/>
          <w:szCs w:val="28"/>
        </w:rPr>
        <w:t xml:space="preserve"> оплаты </w:t>
      </w:r>
      <w:r>
        <w:rPr>
          <w:sz w:val="28"/>
          <w:szCs w:val="28"/>
        </w:rPr>
        <w:t>штрафов</w:t>
      </w:r>
      <w:r w:rsidRPr="00932AD6">
        <w:rPr>
          <w:sz w:val="28"/>
          <w:szCs w:val="28"/>
        </w:rPr>
        <w:t>, неусто</w:t>
      </w:r>
      <w:r>
        <w:rPr>
          <w:sz w:val="28"/>
          <w:szCs w:val="28"/>
        </w:rPr>
        <w:t>е</w:t>
      </w:r>
      <w:r w:rsidRPr="00932AD6">
        <w:rPr>
          <w:sz w:val="28"/>
          <w:szCs w:val="28"/>
        </w:rPr>
        <w:t>к</w:t>
      </w:r>
      <w:r>
        <w:rPr>
          <w:sz w:val="28"/>
          <w:szCs w:val="28"/>
        </w:rPr>
        <w:t>, пени</w:t>
      </w:r>
      <w:r w:rsidRPr="00932AD6">
        <w:rPr>
          <w:sz w:val="28"/>
          <w:szCs w:val="28"/>
        </w:rPr>
        <w:t xml:space="preserve"> в случае просрочки исполнения поставщиком (подрядчиком, исполнителем) обязательств, предусмотренных государственным контрактом</w:t>
      </w:r>
      <w:r w:rsidRPr="00943DF7">
        <w:rPr>
          <w:sz w:val="28"/>
          <w:szCs w:val="28"/>
        </w:rPr>
        <w:t xml:space="preserve"> в 201</w:t>
      </w:r>
      <w:r>
        <w:rPr>
          <w:sz w:val="28"/>
          <w:szCs w:val="28"/>
        </w:rPr>
        <w:t>8</w:t>
      </w:r>
      <w:r w:rsidRPr="00943DF7">
        <w:rPr>
          <w:sz w:val="28"/>
          <w:szCs w:val="28"/>
        </w:rPr>
        <w:t xml:space="preserve"> году – </w:t>
      </w:r>
      <w:r>
        <w:rPr>
          <w:sz w:val="28"/>
          <w:szCs w:val="28"/>
        </w:rPr>
        <w:t>118,9</w:t>
      </w:r>
      <w:r w:rsidRPr="00943DF7">
        <w:rPr>
          <w:sz w:val="28"/>
          <w:szCs w:val="28"/>
        </w:rPr>
        <w:t xml:space="preserve"> тыс. руб.</w:t>
      </w:r>
      <w:r>
        <w:rPr>
          <w:sz w:val="28"/>
          <w:szCs w:val="28"/>
        </w:rPr>
        <w:t xml:space="preserve">, </w:t>
      </w:r>
      <w:r w:rsidRPr="00391F0A">
        <w:rPr>
          <w:sz w:val="28"/>
          <w:szCs w:val="28"/>
        </w:rPr>
        <w:t>в 2019 году – 1,0 тыс. руб.</w:t>
      </w:r>
      <w:r>
        <w:rPr>
          <w:sz w:val="28"/>
          <w:szCs w:val="28"/>
        </w:rPr>
        <w:t>, в 2020 году - 0</w:t>
      </w:r>
      <w:r w:rsidRPr="00391F0A">
        <w:rPr>
          <w:sz w:val="28"/>
          <w:szCs w:val="28"/>
        </w:rPr>
        <w:t xml:space="preserve"> руб</w:t>
      </w:r>
      <w:r>
        <w:rPr>
          <w:sz w:val="28"/>
          <w:szCs w:val="28"/>
        </w:rPr>
        <w:t>.</w:t>
      </w:r>
    </w:p>
    <w:p w:rsidR="0055491A" w:rsidRPr="00943DF7" w:rsidRDefault="0055491A" w:rsidP="0055491A">
      <w:pPr>
        <w:pStyle w:val="a7"/>
        <w:spacing w:after="0"/>
        <w:ind w:left="0" w:firstLine="709"/>
        <w:jc w:val="both"/>
        <w:rPr>
          <w:sz w:val="28"/>
          <w:szCs w:val="28"/>
        </w:rPr>
      </w:pPr>
      <w:r w:rsidRPr="004C2BE2">
        <w:rPr>
          <w:b/>
          <w:sz w:val="28"/>
          <w:szCs w:val="28"/>
        </w:rPr>
        <w:t>Прогноз на 2022 год</w:t>
      </w:r>
      <w:r w:rsidRPr="00943DF7">
        <w:rPr>
          <w:sz w:val="28"/>
          <w:szCs w:val="28"/>
        </w:rPr>
        <w:t xml:space="preserve"> = (</w:t>
      </w:r>
      <w:r>
        <w:rPr>
          <w:sz w:val="28"/>
          <w:szCs w:val="28"/>
        </w:rPr>
        <w:t>118,9+1+0</w:t>
      </w:r>
      <w:r w:rsidRPr="00943DF7">
        <w:rPr>
          <w:sz w:val="28"/>
          <w:szCs w:val="28"/>
        </w:rPr>
        <w:t>)/3</w:t>
      </w:r>
      <w:r>
        <w:rPr>
          <w:sz w:val="28"/>
          <w:szCs w:val="28"/>
        </w:rPr>
        <w:t xml:space="preserve"> </w:t>
      </w:r>
      <w:r w:rsidRPr="00943DF7">
        <w:rPr>
          <w:sz w:val="28"/>
          <w:szCs w:val="28"/>
        </w:rPr>
        <w:t xml:space="preserve">= </w:t>
      </w:r>
      <w:r w:rsidRPr="004C2BE2">
        <w:rPr>
          <w:b/>
          <w:sz w:val="28"/>
          <w:szCs w:val="28"/>
        </w:rPr>
        <w:t>40,0 тыс. руб.</w:t>
      </w:r>
      <w:r>
        <w:rPr>
          <w:sz w:val="28"/>
          <w:szCs w:val="28"/>
        </w:rPr>
        <w:t xml:space="preserve"> (с учетом округления).</w:t>
      </w:r>
    </w:p>
    <w:p w:rsidR="0055491A" w:rsidRDefault="0055491A" w:rsidP="0055491A">
      <w:pPr>
        <w:pStyle w:val="a7"/>
        <w:spacing w:after="0"/>
        <w:ind w:left="0" w:firstLine="709"/>
        <w:jc w:val="both"/>
        <w:rPr>
          <w:sz w:val="28"/>
          <w:szCs w:val="28"/>
        </w:rPr>
      </w:pPr>
      <w:r w:rsidRPr="00943DF7">
        <w:rPr>
          <w:sz w:val="28"/>
          <w:szCs w:val="28"/>
        </w:rPr>
        <w:t>Прогноз на 20</w:t>
      </w:r>
      <w:r>
        <w:rPr>
          <w:sz w:val="28"/>
          <w:szCs w:val="28"/>
        </w:rPr>
        <w:t xml:space="preserve">23-2024 </w:t>
      </w:r>
      <w:r w:rsidRPr="00943DF7">
        <w:rPr>
          <w:sz w:val="28"/>
          <w:szCs w:val="28"/>
        </w:rPr>
        <w:t>год</w:t>
      </w:r>
      <w:r>
        <w:rPr>
          <w:sz w:val="28"/>
          <w:szCs w:val="28"/>
        </w:rPr>
        <w:t>ы устанавливается на уровне рассчитанного прогноза поступлений на 2022 год.</w:t>
      </w:r>
    </w:p>
    <w:p w:rsidR="0055491A" w:rsidRPr="004C2BE2" w:rsidRDefault="0055491A" w:rsidP="0055491A">
      <w:pPr>
        <w:pStyle w:val="a7"/>
        <w:spacing w:after="0"/>
        <w:ind w:left="0" w:firstLine="709"/>
        <w:jc w:val="both"/>
        <w:rPr>
          <w:b/>
          <w:sz w:val="28"/>
          <w:szCs w:val="28"/>
        </w:rPr>
      </w:pPr>
      <w:r w:rsidRPr="004C2BE2">
        <w:rPr>
          <w:b/>
          <w:sz w:val="28"/>
          <w:szCs w:val="28"/>
        </w:rPr>
        <w:t>Прогноз на 2023 год – 40,0 тыс. руб.</w:t>
      </w:r>
    </w:p>
    <w:p w:rsidR="0055491A" w:rsidRPr="004C2BE2" w:rsidRDefault="0055491A" w:rsidP="0055491A">
      <w:pPr>
        <w:pStyle w:val="a7"/>
        <w:spacing w:after="0"/>
        <w:ind w:left="0" w:firstLine="709"/>
        <w:jc w:val="both"/>
        <w:rPr>
          <w:b/>
          <w:sz w:val="28"/>
          <w:szCs w:val="28"/>
        </w:rPr>
      </w:pPr>
      <w:r w:rsidRPr="004C2BE2">
        <w:rPr>
          <w:b/>
          <w:sz w:val="28"/>
          <w:szCs w:val="28"/>
        </w:rPr>
        <w:t>Прогноз на 202</w:t>
      </w:r>
      <w:r>
        <w:rPr>
          <w:b/>
          <w:sz w:val="28"/>
          <w:szCs w:val="28"/>
        </w:rPr>
        <w:t>4</w:t>
      </w:r>
      <w:r w:rsidRPr="004C2BE2">
        <w:rPr>
          <w:b/>
          <w:sz w:val="28"/>
          <w:szCs w:val="28"/>
        </w:rPr>
        <w:t xml:space="preserve"> год – 40,0 тыс. руб.</w:t>
      </w:r>
    </w:p>
    <w:p w:rsidR="0055491A" w:rsidRPr="00943DF7" w:rsidRDefault="0055491A" w:rsidP="0055491A">
      <w:pPr>
        <w:pStyle w:val="a7"/>
        <w:spacing w:after="0"/>
        <w:ind w:left="0" w:firstLine="709"/>
        <w:jc w:val="both"/>
        <w:rPr>
          <w:sz w:val="28"/>
          <w:szCs w:val="28"/>
        </w:rPr>
      </w:pPr>
    </w:p>
    <w:p w:rsidR="0055491A" w:rsidRDefault="0055491A" w:rsidP="0055491A">
      <w:pPr>
        <w:autoSpaceDE w:val="0"/>
        <w:autoSpaceDN w:val="0"/>
        <w:adjustRightInd w:val="0"/>
        <w:ind w:firstLine="540"/>
        <w:jc w:val="both"/>
        <w:rPr>
          <w:sz w:val="28"/>
          <w:szCs w:val="28"/>
        </w:rPr>
      </w:pPr>
      <w:r>
        <w:rPr>
          <w:sz w:val="28"/>
          <w:szCs w:val="28"/>
        </w:rPr>
        <w:t xml:space="preserve">17.3 </w:t>
      </w:r>
      <w:r w:rsidRPr="001A6C36">
        <w:rPr>
          <w:b/>
          <w:sz w:val="28"/>
          <w:szCs w:val="28"/>
        </w:rPr>
        <w:t>КБК 034 1 16 07010 02 0000 140</w:t>
      </w:r>
      <w:r w:rsidRPr="005A3CC6">
        <w:rPr>
          <w:sz w:val="28"/>
          <w:szCs w:val="28"/>
        </w:rPr>
        <w:t xml:space="preserve"> </w:t>
      </w:r>
      <w:r w:rsidRPr="00932AD6">
        <w:rPr>
          <w:sz w:val="28"/>
          <w:szCs w:val="28"/>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r>
        <w:rPr>
          <w:sz w:val="28"/>
          <w:szCs w:val="28"/>
        </w:rPr>
        <w:t>.</w:t>
      </w:r>
    </w:p>
    <w:p w:rsidR="0055491A" w:rsidRPr="005A3CC6" w:rsidRDefault="0055491A" w:rsidP="0055491A">
      <w:pPr>
        <w:autoSpaceDE w:val="0"/>
        <w:autoSpaceDN w:val="0"/>
        <w:adjustRightInd w:val="0"/>
        <w:ind w:firstLine="540"/>
        <w:jc w:val="both"/>
        <w:rPr>
          <w:sz w:val="28"/>
          <w:szCs w:val="28"/>
        </w:rPr>
      </w:pPr>
      <w:r w:rsidRPr="001A6C36">
        <w:rPr>
          <w:b/>
          <w:sz w:val="28"/>
          <w:szCs w:val="28"/>
        </w:rPr>
        <w:t>Главный администратор доходов – Министерство здравоохранения Тверской области</w:t>
      </w:r>
      <w:r w:rsidRPr="005A3CC6">
        <w:rPr>
          <w:sz w:val="28"/>
          <w:szCs w:val="28"/>
        </w:rPr>
        <w:t>.</w:t>
      </w:r>
    </w:p>
    <w:p w:rsidR="0055491A" w:rsidRPr="005A3CC6" w:rsidRDefault="0055491A" w:rsidP="0055491A">
      <w:pPr>
        <w:pStyle w:val="a7"/>
        <w:spacing w:after="0"/>
        <w:ind w:left="0" w:firstLine="709"/>
        <w:jc w:val="both"/>
        <w:rPr>
          <w:sz w:val="28"/>
          <w:szCs w:val="28"/>
        </w:rPr>
      </w:pPr>
      <w:r w:rsidRPr="005A3CC6">
        <w:rPr>
          <w:sz w:val="28"/>
          <w:szCs w:val="28"/>
        </w:rPr>
        <w:t>Расчет произведен в соответствии с методикой, утвержденной приказом Министерства здравоохранения Тверской области от 24.05.2017 № 368 «Об утверждении Методики прогнозирования поступлений в областной бюджет Тверской области доходов, главным администратором которых является Министерство здравоохранения Тверской области»</w:t>
      </w:r>
      <w:r>
        <w:rPr>
          <w:sz w:val="28"/>
          <w:szCs w:val="28"/>
        </w:rPr>
        <w:t xml:space="preserve"> (с учетом изменений).</w:t>
      </w:r>
    </w:p>
    <w:p w:rsidR="0055491A" w:rsidRPr="005A3CC6" w:rsidRDefault="0055491A" w:rsidP="0055491A">
      <w:pPr>
        <w:pStyle w:val="a7"/>
        <w:spacing w:after="0"/>
        <w:ind w:left="0" w:firstLine="709"/>
        <w:jc w:val="both"/>
        <w:rPr>
          <w:sz w:val="28"/>
          <w:szCs w:val="28"/>
        </w:rPr>
      </w:pPr>
      <w:r w:rsidRPr="005A3CC6">
        <w:rPr>
          <w:sz w:val="28"/>
          <w:szCs w:val="28"/>
        </w:rPr>
        <w:t>Прогноз на 202</w:t>
      </w:r>
      <w:r>
        <w:rPr>
          <w:sz w:val="28"/>
          <w:szCs w:val="28"/>
        </w:rPr>
        <w:t>2</w:t>
      </w:r>
      <w:r w:rsidRPr="005A3CC6">
        <w:rPr>
          <w:sz w:val="28"/>
          <w:szCs w:val="28"/>
        </w:rPr>
        <w:t xml:space="preserve"> год рассчитан методом усреднения, исходя из поступлений за 201</w:t>
      </w:r>
      <w:r>
        <w:rPr>
          <w:sz w:val="28"/>
          <w:szCs w:val="28"/>
        </w:rPr>
        <w:t>9</w:t>
      </w:r>
      <w:r w:rsidRPr="005A3CC6">
        <w:rPr>
          <w:sz w:val="28"/>
          <w:szCs w:val="28"/>
        </w:rPr>
        <w:t xml:space="preserve"> год (</w:t>
      </w:r>
      <w:r>
        <w:rPr>
          <w:sz w:val="28"/>
          <w:szCs w:val="28"/>
        </w:rPr>
        <w:t>3 936,0 тыс.</w:t>
      </w:r>
      <w:r w:rsidRPr="005A3CC6">
        <w:rPr>
          <w:sz w:val="28"/>
          <w:szCs w:val="28"/>
        </w:rPr>
        <w:t xml:space="preserve"> руб.), поступлений за 20</w:t>
      </w:r>
      <w:r>
        <w:rPr>
          <w:sz w:val="28"/>
          <w:szCs w:val="28"/>
        </w:rPr>
        <w:t>20</w:t>
      </w:r>
      <w:r w:rsidRPr="005A3CC6">
        <w:rPr>
          <w:sz w:val="28"/>
          <w:szCs w:val="28"/>
        </w:rPr>
        <w:t xml:space="preserve"> год (</w:t>
      </w:r>
      <w:r>
        <w:rPr>
          <w:sz w:val="28"/>
          <w:szCs w:val="28"/>
        </w:rPr>
        <w:t xml:space="preserve">0 руб.) </w:t>
      </w:r>
      <w:r w:rsidRPr="005A3CC6">
        <w:rPr>
          <w:sz w:val="28"/>
          <w:szCs w:val="28"/>
        </w:rPr>
        <w:t>и ожидаемой оценки на 20</w:t>
      </w:r>
      <w:r>
        <w:rPr>
          <w:sz w:val="28"/>
          <w:szCs w:val="28"/>
        </w:rPr>
        <w:t>21</w:t>
      </w:r>
      <w:r w:rsidRPr="005A3CC6">
        <w:rPr>
          <w:sz w:val="28"/>
          <w:szCs w:val="28"/>
        </w:rPr>
        <w:t xml:space="preserve"> год (</w:t>
      </w:r>
      <w:r>
        <w:rPr>
          <w:sz w:val="28"/>
          <w:szCs w:val="28"/>
        </w:rPr>
        <w:t>0</w:t>
      </w:r>
      <w:r w:rsidRPr="005A3CC6">
        <w:rPr>
          <w:sz w:val="28"/>
          <w:szCs w:val="28"/>
        </w:rPr>
        <w:t xml:space="preserve"> руб.). </w:t>
      </w:r>
    </w:p>
    <w:p w:rsidR="0055491A" w:rsidRPr="005A3CC6" w:rsidRDefault="0055491A" w:rsidP="0055491A">
      <w:pPr>
        <w:pStyle w:val="a7"/>
        <w:spacing w:after="0"/>
        <w:ind w:left="0" w:firstLine="709"/>
        <w:jc w:val="both"/>
        <w:rPr>
          <w:sz w:val="28"/>
          <w:szCs w:val="28"/>
        </w:rPr>
      </w:pPr>
      <w:r w:rsidRPr="005A3CC6">
        <w:rPr>
          <w:sz w:val="28"/>
          <w:szCs w:val="28"/>
        </w:rPr>
        <w:t>Ожидаемая оценка на 20</w:t>
      </w:r>
      <w:r>
        <w:rPr>
          <w:sz w:val="28"/>
          <w:szCs w:val="28"/>
        </w:rPr>
        <w:t>21</w:t>
      </w:r>
      <w:r w:rsidRPr="005A3CC6">
        <w:rPr>
          <w:sz w:val="28"/>
          <w:szCs w:val="28"/>
        </w:rPr>
        <w:t xml:space="preserve"> год </w:t>
      </w:r>
      <w:r>
        <w:rPr>
          <w:sz w:val="28"/>
          <w:szCs w:val="28"/>
        </w:rPr>
        <w:t>0 руб.</w:t>
      </w:r>
      <w:r w:rsidRPr="005A3CC6">
        <w:rPr>
          <w:sz w:val="28"/>
          <w:szCs w:val="28"/>
        </w:rPr>
        <w:t xml:space="preserve"> исходя из </w:t>
      </w:r>
      <w:r>
        <w:rPr>
          <w:sz w:val="28"/>
          <w:szCs w:val="28"/>
        </w:rPr>
        <w:t xml:space="preserve">отсутствия </w:t>
      </w:r>
      <w:r w:rsidRPr="005A3CC6">
        <w:rPr>
          <w:sz w:val="28"/>
          <w:szCs w:val="28"/>
        </w:rPr>
        <w:t>фактических поступлений на 01.06.</w:t>
      </w:r>
      <w:r>
        <w:rPr>
          <w:sz w:val="28"/>
          <w:szCs w:val="28"/>
        </w:rPr>
        <w:t>2021</w:t>
      </w:r>
    </w:p>
    <w:p w:rsidR="0055491A" w:rsidRPr="005A3CC6" w:rsidRDefault="0055491A" w:rsidP="0055491A">
      <w:pPr>
        <w:pStyle w:val="a7"/>
        <w:spacing w:after="0"/>
        <w:ind w:left="0" w:firstLine="709"/>
        <w:jc w:val="both"/>
        <w:rPr>
          <w:sz w:val="28"/>
          <w:szCs w:val="28"/>
        </w:rPr>
      </w:pPr>
      <w:r w:rsidRPr="005A3CC6">
        <w:rPr>
          <w:sz w:val="28"/>
          <w:szCs w:val="28"/>
        </w:rPr>
        <w:t>Расчет прогноза на 202</w:t>
      </w:r>
      <w:r>
        <w:rPr>
          <w:sz w:val="28"/>
          <w:szCs w:val="28"/>
        </w:rPr>
        <w:t>2</w:t>
      </w:r>
      <w:r w:rsidRPr="005A3CC6">
        <w:rPr>
          <w:sz w:val="28"/>
          <w:szCs w:val="28"/>
        </w:rPr>
        <w:t xml:space="preserve"> год = (</w:t>
      </w:r>
      <w:r>
        <w:rPr>
          <w:sz w:val="28"/>
          <w:szCs w:val="28"/>
        </w:rPr>
        <w:t>3 936,0 тыс. руб</w:t>
      </w:r>
      <w:r w:rsidRPr="005A3CC6">
        <w:rPr>
          <w:sz w:val="28"/>
          <w:szCs w:val="28"/>
        </w:rPr>
        <w:t xml:space="preserve"> + </w:t>
      </w:r>
      <w:r>
        <w:rPr>
          <w:sz w:val="28"/>
          <w:szCs w:val="28"/>
        </w:rPr>
        <w:t>0</w:t>
      </w:r>
      <w:r w:rsidRPr="005A3CC6">
        <w:rPr>
          <w:sz w:val="28"/>
          <w:szCs w:val="28"/>
        </w:rPr>
        <w:t xml:space="preserve">+ </w:t>
      </w:r>
      <w:r>
        <w:rPr>
          <w:sz w:val="28"/>
          <w:szCs w:val="28"/>
        </w:rPr>
        <w:t>0</w:t>
      </w:r>
      <w:r w:rsidRPr="005A3CC6">
        <w:rPr>
          <w:sz w:val="28"/>
          <w:szCs w:val="28"/>
        </w:rPr>
        <w:t xml:space="preserve">)/3 = </w:t>
      </w:r>
      <w:r>
        <w:rPr>
          <w:sz w:val="28"/>
          <w:szCs w:val="28"/>
        </w:rPr>
        <w:t xml:space="preserve">                                        1 312</w:t>
      </w:r>
      <w:r w:rsidRPr="005A3CC6">
        <w:rPr>
          <w:sz w:val="28"/>
          <w:szCs w:val="28"/>
        </w:rPr>
        <w:t xml:space="preserve"> тыс. руб.</w:t>
      </w:r>
    </w:p>
    <w:p w:rsidR="0055491A" w:rsidRDefault="0055491A" w:rsidP="0055491A">
      <w:pPr>
        <w:pStyle w:val="a7"/>
        <w:spacing w:after="0"/>
        <w:ind w:left="0" w:firstLine="709"/>
        <w:jc w:val="both"/>
        <w:rPr>
          <w:sz w:val="28"/>
          <w:szCs w:val="28"/>
        </w:rPr>
      </w:pPr>
      <w:r w:rsidRPr="005A3CC6">
        <w:rPr>
          <w:sz w:val="28"/>
          <w:szCs w:val="28"/>
        </w:rPr>
        <w:t>Прогноз на 202</w:t>
      </w:r>
      <w:r>
        <w:rPr>
          <w:sz w:val="28"/>
          <w:szCs w:val="28"/>
        </w:rPr>
        <w:t>3</w:t>
      </w:r>
      <w:r w:rsidRPr="005A3CC6">
        <w:rPr>
          <w:sz w:val="28"/>
          <w:szCs w:val="28"/>
        </w:rPr>
        <w:t xml:space="preserve"> </w:t>
      </w:r>
      <w:r>
        <w:rPr>
          <w:sz w:val="28"/>
          <w:szCs w:val="28"/>
        </w:rPr>
        <w:t>и 2024 годы</w:t>
      </w:r>
      <w:r w:rsidRPr="005A3CC6">
        <w:rPr>
          <w:sz w:val="28"/>
          <w:szCs w:val="28"/>
        </w:rPr>
        <w:t xml:space="preserve"> рассчитываются на уровне прогноза на 202</w:t>
      </w:r>
      <w:r>
        <w:rPr>
          <w:sz w:val="28"/>
          <w:szCs w:val="28"/>
        </w:rPr>
        <w:t>2</w:t>
      </w:r>
      <w:r w:rsidRPr="005A3CC6">
        <w:rPr>
          <w:sz w:val="28"/>
          <w:szCs w:val="28"/>
        </w:rPr>
        <w:t xml:space="preserve"> год.</w:t>
      </w:r>
    </w:p>
    <w:p w:rsidR="0055491A" w:rsidRPr="001A6C36" w:rsidRDefault="0055491A" w:rsidP="0055491A">
      <w:pPr>
        <w:pStyle w:val="a7"/>
        <w:spacing w:after="0"/>
        <w:ind w:left="0" w:firstLine="709"/>
        <w:jc w:val="both"/>
        <w:rPr>
          <w:b/>
          <w:sz w:val="28"/>
          <w:szCs w:val="28"/>
        </w:rPr>
      </w:pPr>
      <w:r w:rsidRPr="001A6C36">
        <w:rPr>
          <w:b/>
          <w:sz w:val="28"/>
          <w:szCs w:val="28"/>
        </w:rPr>
        <w:lastRenderedPageBreak/>
        <w:t>Прогноз на 2022 год = 1 312,0 тыс. руб.</w:t>
      </w:r>
    </w:p>
    <w:p w:rsidR="0055491A" w:rsidRPr="001A6C36" w:rsidRDefault="0055491A" w:rsidP="0055491A">
      <w:pPr>
        <w:pStyle w:val="a7"/>
        <w:spacing w:after="0"/>
        <w:ind w:left="0" w:firstLine="709"/>
        <w:jc w:val="both"/>
        <w:rPr>
          <w:b/>
          <w:sz w:val="28"/>
          <w:szCs w:val="28"/>
        </w:rPr>
      </w:pPr>
      <w:r w:rsidRPr="001A6C36">
        <w:rPr>
          <w:b/>
          <w:sz w:val="28"/>
          <w:szCs w:val="28"/>
        </w:rPr>
        <w:t>Прогноз на 2023 год = 1 312,0 тыс. руб.</w:t>
      </w:r>
    </w:p>
    <w:p w:rsidR="0055491A" w:rsidRPr="001A6C36" w:rsidRDefault="0055491A" w:rsidP="0055491A">
      <w:pPr>
        <w:pStyle w:val="a7"/>
        <w:spacing w:after="0"/>
        <w:ind w:left="0" w:firstLine="709"/>
        <w:jc w:val="both"/>
        <w:rPr>
          <w:b/>
          <w:sz w:val="28"/>
          <w:szCs w:val="28"/>
        </w:rPr>
      </w:pPr>
      <w:r w:rsidRPr="001A6C36">
        <w:rPr>
          <w:b/>
          <w:sz w:val="28"/>
          <w:szCs w:val="28"/>
        </w:rPr>
        <w:t>Прогноз на 2024 год = 1 312,0 тыс. руб.</w:t>
      </w:r>
    </w:p>
    <w:p w:rsidR="0055491A" w:rsidRPr="001A6C36" w:rsidRDefault="0055491A" w:rsidP="0055491A">
      <w:pPr>
        <w:pStyle w:val="a7"/>
        <w:spacing w:after="0"/>
        <w:ind w:left="0" w:firstLine="709"/>
        <w:jc w:val="both"/>
        <w:rPr>
          <w:b/>
          <w:sz w:val="28"/>
          <w:szCs w:val="28"/>
        </w:rPr>
      </w:pPr>
    </w:p>
    <w:p w:rsidR="0055491A" w:rsidRDefault="0055491A" w:rsidP="0055491A">
      <w:pPr>
        <w:autoSpaceDE w:val="0"/>
        <w:autoSpaceDN w:val="0"/>
        <w:adjustRightInd w:val="0"/>
        <w:ind w:firstLine="540"/>
        <w:jc w:val="both"/>
        <w:rPr>
          <w:sz w:val="28"/>
          <w:szCs w:val="28"/>
        </w:rPr>
      </w:pPr>
      <w:r>
        <w:rPr>
          <w:sz w:val="28"/>
          <w:szCs w:val="28"/>
        </w:rPr>
        <w:t xml:space="preserve"> 17.4 </w:t>
      </w:r>
      <w:r w:rsidRPr="00075A19">
        <w:rPr>
          <w:sz w:val="28"/>
          <w:szCs w:val="28"/>
        </w:rPr>
        <w:t xml:space="preserve">КБК </w:t>
      </w:r>
      <w:r>
        <w:rPr>
          <w:sz w:val="28"/>
          <w:szCs w:val="28"/>
        </w:rPr>
        <w:t xml:space="preserve">090 1 </w:t>
      </w:r>
      <w:r w:rsidRPr="00075A19">
        <w:rPr>
          <w:sz w:val="28"/>
          <w:szCs w:val="28"/>
        </w:rPr>
        <w:t>16 07010 02 0000 140 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p w:rsidR="0055491A" w:rsidRPr="00BA7533" w:rsidRDefault="0055491A" w:rsidP="0055491A">
      <w:pPr>
        <w:autoSpaceDE w:val="0"/>
        <w:autoSpaceDN w:val="0"/>
        <w:adjustRightInd w:val="0"/>
        <w:ind w:firstLine="540"/>
        <w:jc w:val="both"/>
        <w:rPr>
          <w:b/>
          <w:sz w:val="28"/>
          <w:szCs w:val="28"/>
        </w:rPr>
      </w:pPr>
      <w:r w:rsidRPr="00BA7533">
        <w:rPr>
          <w:b/>
          <w:sz w:val="28"/>
          <w:szCs w:val="28"/>
        </w:rPr>
        <w:t>Главный администратор доходов – Министерство финансов Тверской области.</w:t>
      </w:r>
    </w:p>
    <w:p w:rsidR="0055491A" w:rsidRPr="005E4DE4" w:rsidRDefault="0055491A" w:rsidP="0055491A">
      <w:pPr>
        <w:pStyle w:val="a7"/>
        <w:spacing w:after="0"/>
        <w:ind w:left="0" w:firstLine="709"/>
        <w:jc w:val="both"/>
        <w:rPr>
          <w:sz w:val="28"/>
          <w:szCs w:val="28"/>
        </w:rPr>
      </w:pPr>
      <w:r w:rsidRPr="000B0625">
        <w:rPr>
          <w:sz w:val="28"/>
          <w:szCs w:val="28"/>
        </w:rPr>
        <w:t xml:space="preserve">Расчет произведен в соответствии с методикой, утвержденной приказом </w:t>
      </w:r>
      <w:r>
        <w:rPr>
          <w:sz w:val="28"/>
          <w:szCs w:val="28"/>
        </w:rPr>
        <w:t xml:space="preserve">Министерства финансов </w:t>
      </w:r>
      <w:r w:rsidRPr="000B0625">
        <w:rPr>
          <w:sz w:val="28"/>
          <w:szCs w:val="28"/>
        </w:rPr>
        <w:t>Тверской области</w:t>
      </w:r>
      <w:r>
        <w:rPr>
          <w:sz w:val="28"/>
          <w:szCs w:val="28"/>
        </w:rPr>
        <w:t xml:space="preserve"> </w:t>
      </w:r>
      <w:r w:rsidRPr="00D94D54">
        <w:rPr>
          <w:sz w:val="28"/>
          <w:szCs w:val="28"/>
        </w:rPr>
        <w:t xml:space="preserve">от 31.08.2016 </w:t>
      </w:r>
      <w:r>
        <w:rPr>
          <w:sz w:val="28"/>
          <w:szCs w:val="28"/>
        </w:rPr>
        <w:br/>
      </w:r>
      <w:r w:rsidRPr="00D94D54">
        <w:rPr>
          <w:sz w:val="28"/>
          <w:szCs w:val="28"/>
        </w:rPr>
        <w:t>№ 50</w:t>
      </w:r>
      <w:r>
        <w:rPr>
          <w:sz w:val="28"/>
          <w:szCs w:val="28"/>
        </w:rPr>
        <w:t xml:space="preserve"> (с учетом изменений).</w:t>
      </w:r>
    </w:p>
    <w:p w:rsidR="0055491A" w:rsidRPr="005A3CC6" w:rsidRDefault="0055491A" w:rsidP="0055491A">
      <w:pPr>
        <w:pStyle w:val="a7"/>
        <w:spacing w:after="0"/>
        <w:ind w:left="0" w:firstLine="709"/>
        <w:jc w:val="both"/>
        <w:rPr>
          <w:sz w:val="28"/>
          <w:szCs w:val="28"/>
        </w:rPr>
      </w:pPr>
      <w:r w:rsidRPr="005A3CC6">
        <w:rPr>
          <w:sz w:val="28"/>
          <w:szCs w:val="28"/>
        </w:rPr>
        <w:t>Прогноз на 202</w:t>
      </w:r>
      <w:r>
        <w:rPr>
          <w:sz w:val="28"/>
          <w:szCs w:val="28"/>
        </w:rPr>
        <w:t>2</w:t>
      </w:r>
      <w:r w:rsidRPr="005A3CC6">
        <w:rPr>
          <w:sz w:val="28"/>
          <w:szCs w:val="28"/>
        </w:rPr>
        <w:t xml:space="preserve"> год рассчитан методом усреднения, исходя из поступлений за 201</w:t>
      </w:r>
      <w:r>
        <w:rPr>
          <w:sz w:val="28"/>
          <w:szCs w:val="28"/>
        </w:rPr>
        <w:t>9</w:t>
      </w:r>
      <w:r w:rsidRPr="005A3CC6">
        <w:rPr>
          <w:sz w:val="28"/>
          <w:szCs w:val="28"/>
        </w:rPr>
        <w:t xml:space="preserve"> год (</w:t>
      </w:r>
      <w:r>
        <w:rPr>
          <w:sz w:val="28"/>
          <w:szCs w:val="28"/>
        </w:rPr>
        <w:t>110,6 тыс.</w:t>
      </w:r>
      <w:r w:rsidRPr="005A3CC6">
        <w:rPr>
          <w:sz w:val="28"/>
          <w:szCs w:val="28"/>
        </w:rPr>
        <w:t xml:space="preserve"> руб.), поступлений за 20</w:t>
      </w:r>
      <w:r>
        <w:rPr>
          <w:sz w:val="28"/>
          <w:szCs w:val="28"/>
        </w:rPr>
        <w:t>20</w:t>
      </w:r>
      <w:r w:rsidRPr="005A3CC6">
        <w:rPr>
          <w:sz w:val="28"/>
          <w:szCs w:val="28"/>
        </w:rPr>
        <w:t xml:space="preserve"> год (</w:t>
      </w:r>
      <w:r>
        <w:rPr>
          <w:sz w:val="28"/>
          <w:szCs w:val="28"/>
        </w:rPr>
        <w:t xml:space="preserve">1,1 руб.) </w:t>
      </w:r>
      <w:r w:rsidRPr="005A3CC6">
        <w:rPr>
          <w:sz w:val="28"/>
          <w:szCs w:val="28"/>
        </w:rPr>
        <w:t>и ожидаемой оценки на 20</w:t>
      </w:r>
      <w:r>
        <w:rPr>
          <w:sz w:val="28"/>
          <w:szCs w:val="28"/>
        </w:rPr>
        <w:t>21</w:t>
      </w:r>
      <w:r w:rsidRPr="005A3CC6">
        <w:rPr>
          <w:sz w:val="28"/>
          <w:szCs w:val="28"/>
        </w:rPr>
        <w:t xml:space="preserve"> год (</w:t>
      </w:r>
      <w:r>
        <w:rPr>
          <w:sz w:val="28"/>
          <w:szCs w:val="28"/>
        </w:rPr>
        <w:t>38,5 тыс.</w:t>
      </w:r>
      <w:r w:rsidRPr="005A3CC6">
        <w:rPr>
          <w:sz w:val="28"/>
          <w:szCs w:val="28"/>
        </w:rPr>
        <w:t xml:space="preserve"> руб.). </w:t>
      </w:r>
    </w:p>
    <w:p w:rsidR="0055491A" w:rsidRDefault="0055491A" w:rsidP="0055491A">
      <w:pPr>
        <w:pStyle w:val="a7"/>
        <w:spacing w:after="0"/>
        <w:ind w:left="0" w:firstLine="709"/>
        <w:jc w:val="both"/>
        <w:rPr>
          <w:sz w:val="28"/>
          <w:szCs w:val="28"/>
        </w:rPr>
      </w:pPr>
      <w:r w:rsidRPr="005A3CC6">
        <w:rPr>
          <w:sz w:val="28"/>
          <w:szCs w:val="28"/>
        </w:rPr>
        <w:t>Ожидаемая оценка на 20</w:t>
      </w:r>
      <w:r>
        <w:rPr>
          <w:sz w:val="28"/>
          <w:szCs w:val="28"/>
        </w:rPr>
        <w:t>21</w:t>
      </w:r>
      <w:r w:rsidRPr="005A3CC6">
        <w:rPr>
          <w:sz w:val="28"/>
          <w:szCs w:val="28"/>
        </w:rPr>
        <w:t xml:space="preserve"> год рассчитан</w:t>
      </w:r>
      <w:r>
        <w:rPr>
          <w:sz w:val="28"/>
          <w:szCs w:val="28"/>
        </w:rPr>
        <w:t>а</w:t>
      </w:r>
      <w:r w:rsidRPr="005A3CC6">
        <w:rPr>
          <w:sz w:val="28"/>
          <w:szCs w:val="28"/>
        </w:rPr>
        <w:t xml:space="preserve"> методом усреднения, исходя из поступлений</w:t>
      </w:r>
      <w:r>
        <w:rPr>
          <w:sz w:val="28"/>
          <w:szCs w:val="28"/>
        </w:rPr>
        <w:t xml:space="preserve"> </w:t>
      </w:r>
      <w:r w:rsidRPr="005A3CC6">
        <w:rPr>
          <w:sz w:val="28"/>
          <w:szCs w:val="28"/>
        </w:rPr>
        <w:t>201</w:t>
      </w:r>
      <w:r>
        <w:rPr>
          <w:sz w:val="28"/>
          <w:szCs w:val="28"/>
        </w:rPr>
        <w:t>8</w:t>
      </w:r>
      <w:r w:rsidRPr="005A3CC6">
        <w:rPr>
          <w:sz w:val="28"/>
          <w:szCs w:val="28"/>
        </w:rPr>
        <w:t xml:space="preserve"> год (</w:t>
      </w:r>
      <w:r>
        <w:rPr>
          <w:sz w:val="28"/>
          <w:szCs w:val="28"/>
        </w:rPr>
        <w:t>3,7 тыс.</w:t>
      </w:r>
      <w:r w:rsidRPr="005A3CC6">
        <w:rPr>
          <w:sz w:val="28"/>
          <w:szCs w:val="28"/>
        </w:rPr>
        <w:t xml:space="preserve"> руб.), 201</w:t>
      </w:r>
      <w:r>
        <w:rPr>
          <w:sz w:val="28"/>
          <w:szCs w:val="28"/>
        </w:rPr>
        <w:t>9</w:t>
      </w:r>
      <w:r w:rsidRPr="005A3CC6">
        <w:rPr>
          <w:sz w:val="28"/>
          <w:szCs w:val="28"/>
        </w:rPr>
        <w:t xml:space="preserve"> год (</w:t>
      </w:r>
      <w:r>
        <w:rPr>
          <w:sz w:val="28"/>
          <w:szCs w:val="28"/>
        </w:rPr>
        <w:t>110,6 тыс.</w:t>
      </w:r>
      <w:r w:rsidRPr="005A3CC6">
        <w:rPr>
          <w:sz w:val="28"/>
          <w:szCs w:val="28"/>
        </w:rPr>
        <w:t xml:space="preserve"> руб.), поступлений 20</w:t>
      </w:r>
      <w:r>
        <w:rPr>
          <w:sz w:val="28"/>
          <w:szCs w:val="28"/>
        </w:rPr>
        <w:t>20</w:t>
      </w:r>
      <w:r w:rsidRPr="005A3CC6">
        <w:rPr>
          <w:sz w:val="28"/>
          <w:szCs w:val="28"/>
        </w:rPr>
        <w:t xml:space="preserve"> год (</w:t>
      </w:r>
      <w:r>
        <w:rPr>
          <w:sz w:val="28"/>
          <w:szCs w:val="28"/>
        </w:rPr>
        <w:t>1,1 руб.).</w:t>
      </w:r>
    </w:p>
    <w:p w:rsidR="0055491A" w:rsidRDefault="0055491A" w:rsidP="0055491A">
      <w:pPr>
        <w:pStyle w:val="a7"/>
        <w:spacing w:after="0"/>
        <w:ind w:left="0" w:firstLine="709"/>
        <w:jc w:val="both"/>
        <w:rPr>
          <w:sz w:val="28"/>
          <w:szCs w:val="28"/>
        </w:rPr>
      </w:pPr>
      <w:r>
        <w:rPr>
          <w:sz w:val="28"/>
          <w:szCs w:val="28"/>
        </w:rPr>
        <w:t xml:space="preserve">Ожидаемая оценка 2021 год = </w:t>
      </w:r>
      <w:r w:rsidRPr="00717D77">
        <w:rPr>
          <w:sz w:val="28"/>
          <w:szCs w:val="28"/>
        </w:rPr>
        <w:t>(</w:t>
      </w:r>
      <w:r>
        <w:rPr>
          <w:sz w:val="28"/>
          <w:szCs w:val="28"/>
        </w:rPr>
        <w:t xml:space="preserve">3,7 тыс. руб. </w:t>
      </w:r>
      <w:r w:rsidRPr="00717D77">
        <w:rPr>
          <w:sz w:val="28"/>
          <w:szCs w:val="28"/>
        </w:rPr>
        <w:t xml:space="preserve">+ </w:t>
      </w:r>
      <w:r>
        <w:rPr>
          <w:sz w:val="28"/>
          <w:szCs w:val="28"/>
        </w:rPr>
        <w:t>110,6 тыс. руб. +                       1,1 тыс. руб.</w:t>
      </w:r>
      <w:r w:rsidRPr="00717D77">
        <w:rPr>
          <w:sz w:val="28"/>
          <w:szCs w:val="28"/>
        </w:rPr>
        <w:t>)/</w:t>
      </w:r>
      <w:r>
        <w:rPr>
          <w:sz w:val="28"/>
          <w:szCs w:val="28"/>
        </w:rPr>
        <w:t>3 = 38,5 тыс. руб.</w:t>
      </w:r>
    </w:p>
    <w:p w:rsidR="0055491A" w:rsidRPr="005A3CC6" w:rsidRDefault="0055491A" w:rsidP="0055491A">
      <w:pPr>
        <w:pStyle w:val="a7"/>
        <w:spacing w:after="0"/>
        <w:ind w:left="0" w:firstLine="709"/>
        <w:jc w:val="both"/>
        <w:rPr>
          <w:sz w:val="28"/>
          <w:szCs w:val="28"/>
        </w:rPr>
      </w:pPr>
      <w:r w:rsidRPr="005A3CC6">
        <w:rPr>
          <w:sz w:val="28"/>
          <w:szCs w:val="28"/>
        </w:rPr>
        <w:t>Расчет прогноза на 202</w:t>
      </w:r>
      <w:r>
        <w:rPr>
          <w:sz w:val="28"/>
          <w:szCs w:val="28"/>
        </w:rPr>
        <w:t>2</w:t>
      </w:r>
      <w:r w:rsidRPr="005A3CC6">
        <w:rPr>
          <w:sz w:val="28"/>
          <w:szCs w:val="28"/>
        </w:rPr>
        <w:t xml:space="preserve"> год = (</w:t>
      </w:r>
      <w:r>
        <w:rPr>
          <w:sz w:val="28"/>
          <w:szCs w:val="28"/>
        </w:rPr>
        <w:t>110,6 тыс. руб. + 1,1 тыс. руб.                                    + 38,5 тыс. руб.</w:t>
      </w:r>
      <w:r w:rsidRPr="005A3CC6">
        <w:rPr>
          <w:sz w:val="28"/>
          <w:szCs w:val="28"/>
        </w:rPr>
        <w:t xml:space="preserve">)/3 = </w:t>
      </w:r>
      <w:r>
        <w:rPr>
          <w:sz w:val="28"/>
          <w:szCs w:val="28"/>
        </w:rPr>
        <w:t>50,1</w:t>
      </w:r>
      <w:r w:rsidRPr="005A3CC6">
        <w:rPr>
          <w:sz w:val="28"/>
          <w:szCs w:val="28"/>
        </w:rPr>
        <w:t xml:space="preserve"> тыс. руб.</w:t>
      </w:r>
    </w:p>
    <w:p w:rsidR="0055491A" w:rsidRDefault="0055491A" w:rsidP="0055491A">
      <w:pPr>
        <w:pStyle w:val="a7"/>
        <w:spacing w:after="0"/>
        <w:ind w:left="0" w:firstLine="709"/>
        <w:jc w:val="both"/>
        <w:rPr>
          <w:sz w:val="28"/>
          <w:szCs w:val="28"/>
        </w:rPr>
      </w:pPr>
      <w:r w:rsidRPr="005A3CC6">
        <w:rPr>
          <w:sz w:val="28"/>
          <w:szCs w:val="28"/>
        </w:rPr>
        <w:t>Прогноз на 202</w:t>
      </w:r>
      <w:r>
        <w:rPr>
          <w:sz w:val="28"/>
          <w:szCs w:val="28"/>
        </w:rPr>
        <w:t>3</w:t>
      </w:r>
      <w:r w:rsidRPr="005A3CC6">
        <w:rPr>
          <w:sz w:val="28"/>
          <w:szCs w:val="28"/>
        </w:rPr>
        <w:t xml:space="preserve"> </w:t>
      </w:r>
      <w:r>
        <w:rPr>
          <w:sz w:val="28"/>
          <w:szCs w:val="28"/>
        </w:rPr>
        <w:t>и 2024 годы</w:t>
      </w:r>
      <w:r w:rsidRPr="005A3CC6">
        <w:rPr>
          <w:sz w:val="28"/>
          <w:szCs w:val="28"/>
        </w:rPr>
        <w:t xml:space="preserve"> рассчитываются на уровне прогноза на 202</w:t>
      </w:r>
      <w:r>
        <w:rPr>
          <w:sz w:val="28"/>
          <w:szCs w:val="28"/>
        </w:rPr>
        <w:t>2</w:t>
      </w:r>
      <w:r w:rsidRPr="005A3CC6">
        <w:rPr>
          <w:sz w:val="28"/>
          <w:szCs w:val="28"/>
        </w:rPr>
        <w:t xml:space="preserve"> год.</w:t>
      </w:r>
    </w:p>
    <w:p w:rsidR="0055491A" w:rsidRPr="001A6C36" w:rsidRDefault="0055491A" w:rsidP="0055491A">
      <w:pPr>
        <w:pStyle w:val="a7"/>
        <w:spacing w:after="0"/>
        <w:ind w:left="0" w:firstLine="709"/>
        <w:jc w:val="both"/>
        <w:rPr>
          <w:b/>
          <w:sz w:val="28"/>
          <w:szCs w:val="28"/>
        </w:rPr>
      </w:pPr>
      <w:r w:rsidRPr="001A6C36">
        <w:rPr>
          <w:b/>
          <w:sz w:val="28"/>
          <w:szCs w:val="28"/>
        </w:rPr>
        <w:t xml:space="preserve">Прогноз на 2022 год = </w:t>
      </w:r>
      <w:r>
        <w:rPr>
          <w:b/>
          <w:sz w:val="28"/>
          <w:szCs w:val="28"/>
        </w:rPr>
        <w:t>50,1</w:t>
      </w:r>
      <w:r w:rsidRPr="001A6C36">
        <w:rPr>
          <w:b/>
          <w:sz w:val="28"/>
          <w:szCs w:val="28"/>
        </w:rPr>
        <w:t xml:space="preserve"> тыс. руб.</w:t>
      </w:r>
    </w:p>
    <w:p w:rsidR="0055491A" w:rsidRPr="001A6C36" w:rsidRDefault="0055491A" w:rsidP="0055491A">
      <w:pPr>
        <w:pStyle w:val="a7"/>
        <w:spacing w:after="0"/>
        <w:ind w:left="0" w:firstLine="709"/>
        <w:jc w:val="both"/>
        <w:rPr>
          <w:b/>
          <w:sz w:val="28"/>
          <w:szCs w:val="28"/>
        </w:rPr>
      </w:pPr>
      <w:r w:rsidRPr="001A6C36">
        <w:rPr>
          <w:b/>
          <w:sz w:val="28"/>
          <w:szCs w:val="28"/>
        </w:rPr>
        <w:t xml:space="preserve">Прогноз на 2023 год = </w:t>
      </w:r>
      <w:r>
        <w:rPr>
          <w:b/>
          <w:sz w:val="28"/>
          <w:szCs w:val="28"/>
        </w:rPr>
        <w:t>50,1</w:t>
      </w:r>
      <w:r w:rsidRPr="001A6C36">
        <w:rPr>
          <w:b/>
          <w:sz w:val="28"/>
          <w:szCs w:val="28"/>
        </w:rPr>
        <w:t xml:space="preserve"> тыс. руб.</w:t>
      </w:r>
    </w:p>
    <w:p w:rsidR="0055491A" w:rsidRPr="001A6C36" w:rsidRDefault="0055491A" w:rsidP="0055491A">
      <w:pPr>
        <w:pStyle w:val="a7"/>
        <w:spacing w:after="0"/>
        <w:ind w:left="0" w:firstLine="709"/>
        <w:jc w:val="both"/>
        <w:rPr>
          <w:b/>
          <w:sz w:val="28"/>
          <w:szCs w:val="28"/>
        </w:rPr>
      </w:pPr>
      <w:r w:rsidRPr="001A6C36">
        <w:rPr>
          <w:b/>
          <w:sz w:val="28"/>
          <w:szCs w:val="28"/>
        </w:rPr>
        <w:t xml:space="preserve">Прогноз на 2024 год = </w:t>
      </w:r>
      <w:r>
        <w:rPr>
          <w:b/>
          <w:sz w:val="28"/>
          <w:szCs w:val="28"/>
        </w:rPr>
        <w:t>50,1</w:t>
      </w:r>
      <w:r w:rsidRPr="001A6C36">
        <w:rPr>
          <w:b/>
          <w:sz w:val="28"/>
          <w:szCs w:val="28"/>
        </w:rPr>
        <w:t xml:space="preserve"> тыс. руб.</w:t>
      </w:r>
    </w:p>
    <w:p w:rsidR="0055491A" w:rsidRDefault="0055491A" w:rsidP="0055491A">
      <w:pPr>
        <w:ind w:firstLine="709"/>
        <w:jc w:val="both"/>
        <w:rPr>
          <w:color w:val="000000"/>
          <w:sz w:val="28"/>
          <w:szCs w:val="28"/>
        </w:rPr>
      </w:pPr>
    </w:p>
    <w:p w:rsidR="0055491A" w:rsidRDefault="0055491A" w:rsidP="0055491A">
      <w:pPr>
        <w:autoSpaceDE w:val="0"/>
        <w:autoSpaceDN w:val="0"/>
        <w:adjustRightInd w:val="0"/>
        <w:ind w:firstLine="540"/>
        <w:jc w:val="both"/>
        <w:rPr>
          <w:sz w:val="28"/>
          <w:szCs w:val="28"/>
        </w:rPr>
      </w:pPr>
      <w:r>
        <w:rPr>
          <w:sz w:val="28"/>
          <w:szCs w:val="28"/>
        </w:rPr>
        <w:t xml:space="preserve">17.5 </w:t>
      </w:r>
      <w:r w:rsidRPr="000D6CB1">
        <w:rPr>
          <w:b/>
          <w:sz w:val="28"/>
          <w:szCs w:val="28"/>
        </w:rPr>
        <w:t>КБК 104 1 16 07010 02 0000 140</w:t>
      </w:r>
      <w:r w:rsidRPr="00075A19">
        <w:rPr>
          <w:sz w:val="28"/>
          <w:szCs w:val="28"/>
        </w:rPr>
        <w:t xml:space="preserve"> 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p w:rsidR="0055491A" w:rsidRPr="000D6CB1" w:rsidRDefault="0055491A" w:rsidP="0055491A">
      <w:pPr>
        <w:autoSpaceDE w:val="0"/>
        <w:autoSpaceDN w:val="0"/>
        <w:adjustRightInd w:val="0"/>
        <w:ind w:firstLine="540"/>
        <w:jc w:val="both"/>
        <w:rPr>
          <w:b/>
          <w:sz w:val="28"/>
          <w:szCs w:val="28"/>
        </w:rPr>
      </w:pPr>
      <w:r w:rsidRPr="000D6CB1">
        <w:rPr>
          <w:b/>
          <w:sz w:val="28"/>
          <w:szCs w:val="28"/>
        </w:rPr>
        <w:t>Главный администратор доходов – Министерство транспорта Тверской области.</w:t>
      </w:r>
    </w:p>
    <w:p w:rsidR="0055491A" w:rsidRDefault="0055491A" w:rsidP="0055491A">
      <w:pPr>
        <w:ind w:firstLine="709"/>
        <w:jc w:val="both"/>
        <w:rPr>
          <w:sz w:val="28"/>
          <w:szCs w:val="28"/>
        </w:rPr>
      </w:pPr>
      <w:r w:rsidRPr="00B72D6B">
        <w:rPr>
          <w:sz w:val="28"/>
          <w:szCs w:val="28"/>
        </w:rPr>
        <w:t>Прогнозирование поступлений осуществляется методом усреднения, по формуле:</w:t>
      </w:r>
    </w:p>
    <w:p w:rsidR="0055491A" w:rsidRPr="00B72D6B" w:rsidRDefault="0055491A" w:rsidP="0055491A">
      <w:pPr>
        <w:ind w:firstLine="709"/>
        <w:jc w:val="both"/>
        <w:rPr>
          <w:sz w:val="28"/>
          <w:szCs w:val="28"/>
        </w:rPr>
      </w:pPr>
    </w:p>
    <w:p w:rsidR="0055491A" w:rsidRPr="00B72D6B" w:rsidRDefault="0055491A" w:rsidP="0055491A">
      <w:pPr>
        <w:autoSpaceDE w:val="0"/>
        <w:autoSpaceDN w:val="0"/>
        <w:adjustRightInd w:val="0"/>
        <w:ind w:firstLine="709"/>
        <w:jc w:val="both"/>
        <w:rPr>
          <w:color w:val="000000"/>
          <w:sz w:val="28"/>
          <w:szCs w:val="28"/>
        </w:rPr>
      </w:pPr>
      <w:r w:rsidRPr="00B72D6B">
        <w:rPr>
          <w:color w:val="000000"/>
          <w:sz w:val="28"/>
          <w:szCs w:val="28"/>
        </w:rPr>
        <w:t xml:space="preserve">                                          Д=(Д</w:t>
      </w:r>
      <w:r w:rsidRPr="00B72D6B">
        <w:rPr>
          <w:color w:val="000000"/>
          <w:sz w:val="28"/>
          <w:szCs w:val="28"/>
          <w:vertAlign w:val="subscript"/>
        </w:rPr>
        <w:t>ож</w:t>
      </w:r>
      <w:r w:rsidRPr="00B72D6B">
        <w:rPr>
          <w:color w:val="000000"/>
          <w:sz w:val="28"/>
          <w:szCs w:val="28"/>
        </w:rPr>
        <w:t>+Д</w:t>
      </w:r>
      <w:r w:rsidRPr="00B72D6B">
        <w:rPr>
          <w:color w:val="000000"/>
          <w:sz w:val="28"/>
          <w:szCs w:val="28"/>
          <w:vertAlign w:val="subscript"/>
        </w:rPr>
        <w:t>-1</w:t>
      </w:r>
      <w:r w:rsidRPr="00B72D6B">
        <w:rPr>
          <w:color w:val="000000"/>
          <w:sz w:val="28"/>
          <w:szCs w:val="28"/>
        </w:rPr>
        <w:t>+Д</w:t>
      </w:r>
      <w:r w:rsidRPr="00B72D6B">
        <w:rPr>
          <w:color w:val="000000"/>
          <w:sz w:val="28"/>
          <w:szCs w:val="28"/>
          <w:vertAlign w:val="subscript"/>
        </w:rPr>
        <w:t>-2</w:t>
      </w:r>
      <w:r w:rsidRPr="00B72D6B">
        <w:rPr>
          <w:color w:val="000000"/>
          <w:sz w:val="28"/>
          <w:szCs w:val="28"/>
        </w:rPr>
        <w:t>)/3</w:t>
      </w:r>
    </w:p>
    <w:p w:rsidR="0055491A" w:rsidRPr="00B72D6B" w:rsidRDefault="0055491A" w:rsidP="0055491A">
      <w:pPr>
        <w:autoSpaceDE w:val="0"/>
        <w:autoSpaceDN w:val="0"/>
        <w:adjustRightInd w:val="0"/>
        <w:ind w:firstLine="709"/>
        <w:jc w:val="both"/>
        <w:rPr>
          <w:color w:val="000000"/>
          <w:sz w:val="28"/>
          <w:szCs w:val="28"/>
        </w:rPr>
      </w:pPr>
      <w:r w:rsidRPr="00B72D6B">
        <w:rPr>
          <w:color w:val="000000"/>
          <w:sz w:val="28"/>
          <w:szCs w:val="28"/>
        </w:rPr>
        <w:t>где</w:t>
      </w:r>
    </w:p>
    <w:p w:rsidR="0055491A" w:rsidRPr="00B72D6B" w:rsidRDefault="0055491A" w:rsidP="0055491A">
      <w:pPr>
        <w:autoSpaceDE w:val="0"/>
        <w:autoSpaceDN w:val="0"/>
        <w:adjustRightInd w:val="0"/>
        <w:ind w:firstLine="709"/>
        <w:jc w:val="both"/>
        <w:rPr>
          <w:color w:val="000000"/>
          <w:sz w:val="28"/>
          <w:szCs w:val="28"/>
        </w:rPr>
      </w:pPr>
      <w:r w:rsidRPr="00B72D6B">
        <w:rPr>
          <w:color w:val="000000"/>
          <w:sz w:val="28"/>
          <w:szCs w:val="28"/>
        </w:rPr>
        <w:t>Д- прогноз доходов на очередной финансовый год;</w:t>
      </w:r>
    </w:p>
    <w:p w:rsidR="0055491A" w:rsidRPr="00B72D6B" w:rsidRDefault="0055491A" w:rsidP="0055491A">
      <w:pPr>
        <w:autoSpaceDE w:val="0"/>
        <w:autoSpaceDN w:val="0"/>
        <w:adjustRightInd w:val="0"/>
        <w:ind w:firstLine="709"/>
        <w:jc w:val="both"/>
        <w:rPr>
          <w:color w:val="000000"/>
          <w:sz w:val="28"/>
          <w:szCs w:val="28"/>
        </w:rPr>
      </w:pPr>
      <w:r w:rsidRPr="00B72D6B">
        <w:rPr>
          <w:color w:val="000000"/>
          <w:sz w:val="28"/>
          <w:szCs w:val="28"/>
        </w:rPr>
        <w:t>Д</w:t>
      </w:r>
      <w:r w:rsidRPr="00B72D6B">
        <w:rPr>
          <w:color w:val="000000"/>
          <w:sz w:val="28"/>
          <w:szCs w:val="28"/>
          <w:vertAlign w:val="subscript"/>
        </w:rPr>
        <w:t xml:space="preserve">ож – </w:t>
      </w:r>
      <w:r w:rsidRPr="00B72D6B">
        <w:rPr>
          <w:color w:val="000000"/>
          <w:sz w:val="28"/>
          <w:szCs w:val="28"/>
        </w:rPr>
        <w:t>ожидаемая оценка текущего года;</w:t>
      </w:r>
    </w:p>
    <w:p w:rsidR="0055491A" w:rsidRDefault="0055491A" w:rsidP="0055491A">
      <w:pPr>
        <w:ind w:firstLine="709"/>
        <w:jc w:val="both"/>
        <w:rPr>
          <w:color w:val="000000" w:themeColor="text1"/>
          <w:sz w:val="28"/>
          <w:szCs w:val="28"/>
        </w:rPr>
      </w:pPr>
      <w:r w:rsidRPr="00AE4E69">
        <w:rPr>
          <w:color w:val="000000"/>
          <w:sz w:val="28"/>
          <w:szCs w:val="28"/>
        </w:rPr>
        <w:lastRenderedPageBreak/>
        <w:t>Д</w:t>
      </w:r>
      <w:r w:rsidRPr="00AE4E69">
        <w:rPr>
          <w:color w:val="000000"/>
          <w:sz w:val="28"/>
          <w:szCs w:val="28"/>
          <w:vertAlign w:val="subscript"/>
        </w:rPr>
        <w:t xml:space="preserve">-1 </w:t>
      </w:r>
      <w:r w:rsidRPr="00AE4E69">
        <w:rPr>
          <w:color w:val="000000"/>
          <w:sz w:val="28"/>
          <w:szCs w:val="28"/>
        </w:rPr>
        <w:t>– фактические поступления за отчетный период</w:t>
      </w:r>
      <w:r>
        <w:rPr>
          <w:color w:val="000000"/>
          <w:sz w:val="28"/>
          <w:szCs w:val="28"/>
        </w:rPr>
        <w:t>,</w:t>
      </w:r>
      <w:r w:rsidRPr="00AE4E69">
        <w:rPr>
          <w:color w:val="000000" w:themeColor="text1"/>
          <w:sz w:val="28"/>
          <w:szCs w:val="28"/>
        </w:rPr>
        <w:t xml:space="preserve"> предшествующий текущему году;</w:t>
      </w:r>
    </w:p>
    <w:p w:rsidR="0055491A" w:rsidRPr="00B72D6B" w:rsidRDefault="0055491A" w:rsidP="0055491A">
      <w:pPr>
        <w:ind w:firstLine="709"/>
        <w:jc w:val="both"/>
        <w:rPr>
          <w:color w:val="000000"/>
          <w:sz w:val="28"/>
          <w:szCs w:val="28"/>
        </w:rPr>
      </w:pPr>
      <w:r w:rsidRPr="00B72D6B">
        <w:rPr>
          <w:color w:val="000000"/>
          <w:sz w:val="28"/>
          <w:szCs w:val="28"/>
        </w:rPr>
        <w:t>Д</w:t>
      </w:r>
      <w:r w:rsidRPr="00B72D6B">
        <w:rPr>
          <w:color w:val="000000"/>
          <w:sz w:val="28"/>
          <w:szCs w:val="28"/>
          <w:vertAlign w:val="subscript"/>
        </w:rPr>
        <w:t>-2</w:t>
      </w:r>
      <w:r w:rsidRPr="00B72D6B">
        <w:rPr>
          <w:color w:val="000000"/>
          <w:sz w:val="28"/>
          <w:szCs w:val="28"/>
        </w:rPr>
        <w:t>- фактические поступления за год, предшествующий отчетному.</w:t>
      </w:r>
    </w:p>
    <w:p w:rsidR="0055491A" w:rsidRPr="001C1320" w:rsidRDefault="0055491A" w:rsidP="0055491A">
      <w:pPr>
        <w:autoSpaceDE w:val="0"/>
        <w:autoSpaceDN w:val="0"/>
        <w:adjustRightInd w:val="0"/>
        <w:ind w:firstLine="709"/>
        <w:jc w:val="both"/>
        <w:rPr>
          <w:sz w:val="28"/>
          <w:szCs w:val="28"/>
        </w:rPr>
      </w:pPr>
      <w:r w:rsidRPr="00BA2221">
        <w:rPr>
          <w:color w:val="000000"/>
          <w:sz w:val="28"/>
          <w:szCs w:val="28"/>
        </w:rPr>
        <w:t xml:space="preserve">Ожидаемая оценка текущего года рассчитывается </w:t>
      </w:r>
      <w:r w:rsidRPr="00BA2221">
        <w:rPr>
          <w:sz w:val="28"/>
          <w:szCs w:val="28"/>
        </w:rPr>
        <w:t>методом усреднения, с использованием данных о фактических поступлениях на дату составления прогноза (отчетную дату) и суммы дебиторской задолженности, образовавшейся на 1 января текущего года.</w:t>
      </w:r>
    </w:p>
    <w:p w:rsidR="0055491A" w:rsidRDefault="0055491A" w:rsidP="0055491A">
      <w:pPr>
        <w:ind w:right="282" w:firstLine="708"/>
        <w:jc w:val="both"/>
        <w:rPr>
          <w:sz w:val="28"/>
          <w:szCs w:val="28"/>
        </w:rPr>
      </w:pPr>
      <w:r w:rsidRPr="002E6055">
        <w:rPr>
          <w:sz w:val="28"/>
          <w:szCs w:val="28"/>
        </w:rPr>
        <w:t xml:space="preserve">Дебиторская задолженность, образовавшаяся </w:t>
      </w:r>
      <w:r>
        <w:rPr>
          <w:sz w:val="28"/>
          <w:szCs w:val="28"/>
        </w:rPr>
        <w:t xml:space="preserve">по </w:t>
      </w:r>
      <w:r w:rsidRPr="00D80A1F">
        <w:rPr>
          <w:sz w:val="28"/>
          <w:szCs w:val="28"/>
        </w:rPr>
        <w:t>ГКУ «Дирекция ТДФ Тверской области»</w:t>
      </w:r>
      <w:r w:rsidRPr="002E6055">
        <w:rPr>
          <w:sz w:val="28"/>
          <w:szCs w:val="28"/>
        </w:rPr>
        <w:t xml:space="preserve"> по начисленным штрафным санкциям за нарушение подрядчиками условий государственных контрактов, составляет </w:t>
      </w:r>
      <w:r w:rsidRPr="00D80A1F">
        <w:rPr>
          <w:sz w:val="28"/>
          <w:szCs w:val="28"/>
        </w:rPr>
        <w:t>329 378,72 тыс. руб., в т.ч. списан</w:t>
      </w:r>
      <w:r>
        <w:rPr>
          <w:sz w:val="28"/>
          <w:szCs w:val="28"/>
        </w:rPr>
        <w:t>о</w:t>
      </w:r>
      <w:r w:rsidRPr="00D80A1F">
        <w:rPr>
          <w:sz w:val="28"/>
          <w:szCs w:val="28"/>
        </w:rPr>
        <w:t xml:space="preserve"> в 2021 году 113,11 тыс. руб. Итого дебиторская задолженность по начисленным штрафным санкциям, ожидаемая к поступлению, составляет 329 265,61 тыс. руб.</w:t>
      </w:r>
    </w:p>
    <w:p w:rsidR="0055491A" w:rsidRPr="002E6055" w:rsidRDefault="0055491A" w:rsidP="0055491A">
      <w:pPr>
        <w:ind w:firstLine="709"/>
        <w:jc w:val="both"/>
        <w:rPr>
          <w:sz w:val="28"/>
          <w:szCs w:val="28"/>
        </w:rPr>
      </w:pPr>
      <w:r w:rsidRPr="002E6055">
        <w:rPr>
          <w:sz w:val="28"/>
          <w:szCs w:val="28"/>
        </w:rPr>
        <w:t>Расчёт ожидаемого прогноза поступлений денежных средств на 2021 г. ведется от суммы фактических поступлений на 01.06.2021 и суммы дебиторской задолженности, образовавшейся на 01.01.2021года.</w:t>
      </w:r>
    </w:p>
    <w:p w:rsidR="0055491A" w:rsidRDefault="0055491A" w:rsidP="0055491A">
      <w:pPr>
        <w:ind w:right="282" w:firstLine="708"/>
        <w:jc w:val="both"/>
        <w:rPr>
          <w:sz w:val="28"/>
          <w:szCs w:val="28"/>
        </w:rPr>
      </w:pPr>
      <w:r>
        <w:rPr>
          <w:sz w:val="28"/>
          <w:szCs w:val="28"/>
        </w:rPr>
        <w:t xml:space="preserve"> Расчет представлен в таблице.</w:t>
      </w:r>
    </w:p>
    <w:p w:rsidR="0055491A" w:rsidRPr="00D80A1F" w:rsidRDefault="0055491A" w:rsidP="0055491A">
      <w:pPr>
        <w:ind w:right="282" w:firstLine="708"/>
        <w:jc w:val="both"/>
        <w:rPr>
          <w:sz w:val="28"/>
          <w:szCs w:val="28"/>
        </w:rPr>
      </w:pPr>
    </w:p>
    <w:tbl>
      <w:tblPr>
        <w:tblStyle w:val="a6"/>
        <w:tblW w:w="9151" w:type="dxa"/>
        <w:tblLook w:val="04A0" w:firstRow="1" w:lastRow="0" w:firstColumn="1" w:lastColumn="0" w:noHBand="0" w:noVBand="1"/>
      </w:tblPr>
      <w:tblGrid>
        <w:gridCol w:w="2332"/>
        <w:gridCol w:w="1046"/>
        <w:gridCol w:w="1046"/>
        <w:gridCol w:w="1595"/>
        <w:gridCol w:w="1734"/>
        <w:gridCol w:w="1398"/>
      </w:tblGrid>
      <w:tr w:rsidR="0055491A" w:rsidTr="00210BF6">
        <w:trPr>
          <w:trHeight w:val="233"/>
        </w:trPr>
        <w:tc>
          <w:tcPr>
            <w:tcW w:w="2332" w:type="dxa"/>
            <w:vMerge w:val="restart"/>
            <w:vAlign w:val="center"/>
          </w:tcPr>
          <w:p w:rsidR="0055491A" w:rsidRPr="00685BFD" w:rsidRDefault="0055491A" w:rsidP="00210BF6">
            <w:pPr>
              <w:autoSpaceDE w:val="0"/>
              <w:autoSpaceDN w:val="0"/>
              <w:adjustRightInd w:val="0"/>
              <w:ind w:firstLine="0"/>
              <w:jc w:val="center"/>
              <w:rPr>
                <w:b/>
                <w:color w:val="000000"/>
                <w:sz w:val="20"/>
                <w:szCs w:val="20"/>
              </w:rPr>
            </w:pPr>
            <w:r w:rsidRPr="00685BFD">
              <w:rPr>
                <w:b/>
                <w:color w:val="000000"/>
                <w:sz w:val="20"/>
                <w:szCs w:val="20"/>
              </w:rPr>
              <w:t>Администратор доходов</w:t>
            </w:r>
          </w:p>
        </w:tc>
        <w:tc>
          <w:tcPr>
            <w:tcW w:w="3687" w:type="dxa"/>
            <w:gridSpan w:val="3"/>
            <w:vAlign w:val="center"/>
          </w:tcPr>
          <w:p w:rsidR="0055491A" w:rsidRPr="00685BFD" w:rsidRDefault="0055491A" w:rsidP="00210BF6">
            <w:pPr>
              <w:autoSpaceDE w:val="0"/>
              <w:autoSpaceDN w:val="0"/>
              <w:adjustRightInd w:val="0"/>
              <w:ind w:firstLine="0"/>
              <w:jc w:val="center"/>
              <w:rPr>
                <w:b/>
                <w:color w:val="000000"/>
                <w:sz w:val="20"/>
                <w:szCs w:val="20"/>
              </w:rPr>
            </w:pPr>
            <w:r>
              <w:rPr>
                <w:b/>
                <w:color w:val="000000"/>
                <w:sz w:val="20"/>
                <w:szCs w:val="20"/>
              </w:rPr>
              <w:t>Факт, тыс. руб.</w:t>
            </w:r>
          </w:p>
        </w:tc>
        <w:tc>
          <w:tcPr>
            <w:tcW w:w="1734" w:type="dxa"/>
            <w:vMerge w:val="restart"/>
            <w:vAlign w:val="center"/>
          </w:tcPr>
          <w:p w:rsidR="0055491A" w:rsidRPr="00685BFD" w:rsidRDefault="0055491A" w:rsidP="00210BF6">
            <w:pPr>
              <w:autoSpaceDE w:val="0"/>
              <w:autoSpaceDN w:val="0"/>
              <w:adjustRightInd w:val="0"/>
              <w:ind w:firstLine="0"/>
              <w:jc w:val="center"/>
              <w:rPr>
                <w:b/>
                <w:color w:val="000000"/>
                <w:sz w:val="20"/>
                <w:szCs w:val="20"/>
              </w:rPr>
            </w:pPr>
            <w:r w:rsidRPr="00685BFD">
              <w:rPr>
                <w:b/>
                <w:color w:val="000000"/>
                <w:sz w:val="20"/>
                <w:szCs w:val="20"/>
              </w:rPr>
              <w:t>Ожидаемое 2021</w:t>
            </w:r>
            <w:r>
              <w:rPr>
                <w:b/>
                <w:color w:val="000000"/>
                <w:sz w:val="20"/>
                <w:szCs w:val="20"/>
              </w:rPr>
              <w:t>г.,</w:t>
            </w:r>
            <w:r w:rsidRPr="00685BFD">
              <w:rPr>
                <w:b/>
                <w:color w:val="000000"/>
                <w:sz w:val="20"/>
                <w:szCs w:val="20"/>
              </w:rPr>
              <w:t xml:space="preserve"> тыс. руб.</w:t>
            </w:r>
          </w:p>
        </w:tc>
        <w:tc>
          <w:tcPr>
            <w:tcW w:w="1398" w:type="dxa"/>
            <w:vMerge w:val="restart"/>
            <w:vAlign w:val="center"/>
          </w:tcPr>
          <w:p w:rsidR="0055491A" w:rsidRPr="00685BFD" w:rsidRDefault="0055491A" w:rsidP="00210BF6">
            <w:pPr>
              <w:autoSpaceDE w:val="0"/>
              <w:autoSpaceDN w:val="0"/>
              <w:adjustRightInd w:val="0"/>
              <w:ind w:firstLine="0"/>
              <w:jc w:val="center"/>
              <w:rPr>
                <w:b/>
                <w:color w:val="000000"/>
                <w:sz w:val="20"/>
                <w:szCs w:val="20"/>
              </w:rPr>
            </w:pPr>
            <w:r w:rsidRPr="00685BFD">
              <w:rPr>
                <w:b/>
                <w:color w:val="000000"/>
                <w:sz w:val="20"/>
                <w:szCs w:val="20"/>
              </w:rPr>
              <w:t>Прогноз 2022 г., тыс. руб.</w:t>
            </w:r>
            <w:r>
              <w:rPr>
                <w:b/>
                <w:color w:val="000000"/>
                <w:sz w:val="20"/>
                <w:szCs w:val="20"/>
              </w:rPr>
              <w:t xml:space="preserve"> (гр.2+ гр.3+гр.5)/3</w:t>
            </w:r>
          </w:p>
        </w:tc>
      </w:tr>
      <w:tr w:rsidR="0055491A" w:rsidTr="00210BF6">
        <w:trPr>
          <w:trHeight w:val="571"/>
        </w:trPr>
        <w:tc>
          <w:tcPr>
            <w:tcW w:w="2332" w:type="dxa"/>
            <w:vMerge/>
            <w:vAlign w:val="center"/>
          </w:tcPr>
          <w:p w:rsidR="0055491A" w:rsidRPr="00685BFD" w:rsidRDefault="0055491A" w:rsidP="00210BF6">
            <w:pPr>
              <w:autoSpaceDE w:val="0"/>
              <w:autoSpaceDN w:val="0"/>
              <w:adjustRightInd w:val="0"/>
              <w:ind w:firstLine="0"/>
              <w:jc w:val="center"/>
              <w:rPr>
                <w:b/>
                <w:color w:val="000000"/>
                <w:sz w:val="20"/>
                <w:szCs w:val="20"/>
              </w:rPr>
            </w:pPr>
          </w:p>
        </w:tc>
        <w:tc>
          <w:tcPr>
            <w:tcW w:w="1046" w:type="dxa"/>
            <w:vAlign w:val="center"/>
          </w:tcPr>
          <w:p w:rsidR="0055491A" w:rsidRPr="00685BFD" w:rsidRDefault="0055491A" w:rsidP="00210BF6">
            <w:pPr>
              <w:autoSpaceDE w:val="0"/>
              <w:autoSpaceDN w:val="0"/>
              <w:adjustRightInd w:val="0"/>
              <w:ind w:firstLine="0"/>
              <w:jc w:val="center"/>
              <w:rPr>
                <w:b/>
                <w:color w:val="000000"/>
                <w:sz w:val="20"/>
                <w:szCs w:val="20"/>
              </w:rPr>
            </w:pPr>
            <w:r w:rsidRPr="00685BFD">
              <w:rPr>
                <w:b/>
                <w:color w:val="000000"/>
                <w:sz w:val="20"/>
                <w:szCs w:val="20"/>
              </w:rPr>
              <w:t>2019г.</w:t>
            </w:r>
          </w:p>
        </w:tc>
        <w:tc>
          <w:tcPr>
            <w:tcW w:w="1046" w:type="dxa"/>
            <w:vAlign w:val="center"/>
          </w:tcPr>
          <w:p w:rsidR="0055491A" w:rsidRPr="00685BFD" w:rsidRDefault="0055491A" w:rsidP="00210BF6">
            <w:pPr>
              <w:autoSpaceDE w:val="0"/>
              <w:autoSpaceDN w:val="0"/>
              <w:adjustRightInd w:val="0"/>
              <w:ind w:firstLine="0"/>
              <w:jc w:val="center"/>
              <w:rPr>
                <w:b/>
                <w:color w:val="000000"/>
                <w:sz w:val="20"/>
                <w:szCs w:val="20"/>
              </w:rPr>
            </w:pPr>
            <w:r w:rsidRPr="00685BFD">
              <w:rPr>
                <w:b/>
                <w:color w:val="000000"/>
                <w:sz w:val="20"/>
                <w:szCs w:val="20"/>
              </w:rPr>
              <w:t>2020г.</w:t>
            </w:r>
          </w:p>
        </w:tc>
        <w:tc>
          <w:tcPr>
            <w:tcW w:w="1594" w:type="dxa"/>
            <w:vAlign w:val="center"/>
          </w:tcPr>
          <w:p w:rsidR="0055491A" w:rsidRPr="00685BFD" w:rsidRDefault="0055491A" w:rsidP="00210BF6">
            <w:pPr>
              <w:autoSpaceDE w:val="0"/>
              <w:autoSpaceDN w:val="0"/>
              <w:adjustRightInd w:val="0"/>
              <w:ind w:firstLine="0"/>
              <w:jc w:val="center"/>
              <w:rPr>
                <w:b/>
                <w:color w:val="000000"/>
                <w:sz w:val="20"/>
                <w:szCs w:val="20"/>
              </w:rPr>
            </w:pPr>
            <w:r w:rsidRPr="00685BFD">
              <w:rPr>
                <w:b/>
                <w:color w:val="000000"/>
                <w:sz w:val="20"/>
                <w:szCs w:val="20"/>
              </w:rPr>
              <w:t>На 01.06.2021</w:t>
            </w:r>
          </w:p>
        </w:tc>
        <w:tc>
          <w:tcPr>
            <w:tcW w:w="1734" w:type="dxa"/>
            <w:vMerge/>
            <w:vAlign w:val="center"/>
          </w:tcPr>
          <w:p w:rsidR="0055491A" w:rsidRPr="00685BFD" w:rsidRDefault="0055491A" w:rsidP="00210BF6">
            <w:pPr>
              <w:autoSpaceDE w:val="0"/>
              <w:autoSpaceDN w:val="0"/>
              <w:adjustRightInd w:val="0"/>
              <w:ind w:firstLine="0"/>
              <w:jc w:val="center"/>
              <w:rPr>
                <w:b/>
                <w:color w:val="000000"/>
                <w:sz w:val="20"/>
                <w:szCs w:val="20"/>
              </w:rPr>
            </w:pPr>
          </w:p>
        </w:tc>
        <w:tc>
          <w:tcPr>
            <w:tcW w:w="1398" w:type="dxa"/>
            <w:vMerge/>
            <w:vAlign w:val="center"/>
          </w:tcPr>
          <w:p w:rsidR="0055491A" w:rsidRPr="00685BFD" w:rsidRDefault="0055491A" w:rsidP="00210BF6">
            <w:pPr>
              <w:autoSpaceDE w:val="0"/>
              <w:autoSpaceDN w:val="0"/>
              <w:adjustRightInd w:val="0"/>
              <w:ind w:firstLine="0"/>
              <w:jc w:val="center"/>
              <w:rPr>
                <w:b/>
                <w:color w:val="000000"/>
                <w:sz w:val="20"/>
                <w:szCs w:val="20"/>
              </w:rPr>
            </w:pPr>
          </w:p>
        </w:tc>
      </w:tr>
      <w:tr w:rsidR="0055491A" w:rsidRPr="00685BFD" w:rsidTr="00210BF6">
        <w:trPr>
          <w:trHeight w:val="210"/>
        </w:trPr>
        <w:tc>
          <w:tcPr>
            <w:tcW w:w="2332" w:type="dxa"/>
            <w:vAlign w:val="center"/>
          </w:tcPr>
          <w:p w:rsidR="0055491A" w:rsidRPr="00685BFD" w:rsidRDefault="0055491A" w:rsidP="00210BF6">
            <w:pPr>
              <w:autoSpaceDE w:val="0"/>
              <w:autoSpaceDN w:val="0"/>
              <w:adjustRightInd w:val="0"/>
              <w:ind w:firstLine="0"/>
              <w:jc w:val="center"/>
              <w:rPr>
                <w:sz w:val="18"/>
                <w:szCs w:val="18"/>
              </w:rPr>
            </w:pPr>
            <w:r w:rsidRPr="00685BFD">
              <w:rPr>
                <w:sz w:val="18"/>
                <w:szCs w:val="18"/>
              </w:rPr>
              <w:t>1</w:t>
            </w:r>
          </w:p>
        </w:tc>
        <w:tc>
          <w:tcPr>
            <w:tcW w:w="1046" w:type="dxa"/>
            <w:vAlign w:val="center"/>
          </w:tcPr>
          <w:p w:rsidR="0055491A" w:rsidRPr="00685BFD" w:rsidRDefault="0055491A" w:rsidP="00210BF6">
            <w:pPr>
              <w:autoSpaceDE w:val="0"/>
              <w:autoSpaceDN w:val="0"/>
              <w:adjustRightInd w:val="0"/>
              <w:ind w:firstLine="0"/>
              <w:jc w:val="center"/>
              <w:rPr>
                <w:sz w:val="18"/>
                <w:szCs w:val="18"/>
              </w:rPr>
            </w:pPr>
            <w:r w:rsidRPr="00685BFD">
              <w:rPr>
                <w:sz w:val="18"/>
                <w:szCs w:val="18"/>
              </w:rPr>
              <w:t>2</w:t>
            </w:r>
          </w:p>
        </w:tc>
        <w:tc>
          <w:tcPr>
            <w:tcW w:w="1046" w:type="dxa"/>
            <w:vAlign w:val="center"/>
          </w:tcPr>
          <w:p w:rsidR="0055491A" w:rsidRPr="00685BFD" w:rsidRDefault="0055491A" w:rsidP="00210BF6">
            <w:pPr>
              <w:autoSpaceDE w:val="0"/>
              <w:autoSpaceDN w:val="0"/>
              <w:adjustRightInd w:val="0"/>
              <w:ind w:firstLine="0"/>
              <w:jc w:val="center"/>
              <w:rPr>
                <w:sz w:val="18"/>
                <w:szCs w:val="18"/>
              </w:rPr>
            </w:pPr>
            <w:r w:rsidRPr="00685BFD">
              <w:rPr>
                <w:sz w:val="18"/>
                <w:szCs w:val="18"/>
              </w:rPr>
              <w:t>3</w:t>
            </w:r>
          </w:p>
        </w:tc>
        <w:tc>
          <w:tcPr>
            <w:tcW w:w="1594" w:type="dxa"/>
            <w:vAlign w:val="center"/>
          </w:tcPr>
          <w:p w:rsidR="0055491A" w:rsidRPr="00685BFD" w:rsidRDefault="0055491A" w:rsidP="00210BF6">
            <w:pPr>
              <w:autoSpaceDE w:val="0"/>
              <w:autoSpaceDN w:val="0"/>
              <w:adjustRightInd w:val="0"/>
              <w:ind w:firstLine="0"/>
              <w:jc w:val="center"/>
              <w:rPr>
                <w:sz w:val="18"/>
                <w:szCs w:val="18"/>
              </w:rPr>
            </w:pPr>
            <w:r w:rsidRPr="00685BFD">
              <w:rPr>
                <w:sz w:val="18"/>
                <w:szCs w:val="18"/>
              </w:rPr>
              <w:t>4</w:t>
            </w:r>
          </w:p>
        </w:tc>
        <w:tc>
          <w:tcPr>
            <w:tcW w:w="1734" w:type="dxa"/>
            <w:vAlign w:val="center"/>
          </w:tcPr>
          <w:p w:rsidR="0055491A" w:rsidRPr="00685BFD" w:rsidRDefault="0055491A" w:rsidP="00210BF6">
            <w:pPr>
              <w:autoSpaceDE w:val="0"/>
              <w:autoSpaceDN w:val="0"/>
              <w:adjustRightInd w:val="0"/>
              <w:ind w:firstLine="0"/>
              <w:jc w:val="center"/>
              <w:rPr>
                <w:sz w:val="18"/>
                <w:szCs w:val="18"/>
              </w:rPr>
            </w:pPr>
            <w:r w:rsidRPr="00685BFD">
              <w:rPr>
                <w:sz w:val="18"/>
                <w:szCs w:val="18"/>
              </w:rPr>
              <w:t>5</w:t>
            </w:r>
          </w:p>
        </w:tc>
        <w:tc>
          <w:tcPr>
            <w:tcW w:w="1398" w:type="dxa"/>
            <w:vAlign w:val="center"/>
          </w:tcPr>
          <w:p w:rsidR="0055491A" w:rsidRPr="00685BFD" w:rsidRDefault="0055491A" w:rsidP="00210BF6">
            <w:pPr>
              <w:autoSpaceDE w:val="0"/>
              <w:autoSpaceDN w:val="0"/>
              <w:adjustRightInd w:val="0"/>
              <w:ind w:firstLine="0"/>
              <w:jc w:val="center"/>
              <w:rPr>
                <w:sz w:val="18"/>
                <w:szCs w:val="18"/>
              </w:rPr>
            </w:pPr>
            <w:r w:rsidRPr="00685BFD">
              <w:rPr>
                <w:sz w:val="18"/>
                <w:szCs w:val="18"/>
              </w:rPr>
              <w:t>6</w:t>
            </w:r>
          </w:p>
        </w:tc>
      </w:tr>
      <w:tr w:rsidR="0055491A" w:rsidRPr="00685BFD" w:rsidTr="00210BF6">
        <w:trPr>
          <w:trHeight w:val="856"/>
        </w:trPr>
        <w:tc>
          <w:tcPr>
            <w:tcW w:w="2332" w:type="dxa"/>
            <w:vAlign w:val="center"/>
          </w:tcPr>
          <w:p w:rsidR="0055491A" w:rsidRPr="00685BFD" w:rsidRDefault="0055491A" w:rsidP="00210BF6">
            <w:pPr>
              <w:autoSpaceDE w:val="0"/>
              <w:autoSpaceDN w:val="0"/>
              <w:adjustRightInd w:val="0"/>
              <w:ind w:firstLine="0"/>
              <w:jc w:val="center"/>
              <w:rPr>
                <w:b/>
                <w:color w:val="000000"/>
              </w:rPr>
            </w:pPr>
            <w:r w:rsidRPr="00685BFD">
              <w:t>ГКУ «Дирекция ТДФ Тверской области</w:t>
            </w:r>
            <w:r>
              <w:t>»</w:t>
            </w:r>
          </w:p>
        </w:tc>
        <w:tc>
          <w:tcPr>
            <w:tcW w:w="1046" w:type="dxa"/>
            <w:vAlign w:val="center"/>
          </w:tcPr>
          <w:p w:rsidR="0055491A" w:rsidRPr="00685BFD" w:rsidRDefault="0055491A" w:rsidP="00210BF6">
            <w:pPr>
              <w:autoSpaceDE w:val="0"/>
              <w:autoSpaceDN w:val="0"/>
              <w:adjustRightInd w:val="0"/>
              <w:ind w:firstLine="0"/>
              <w:jc w:val="center"/>
            </w:pPr>
            <w:r w:rsidRPr="00685BFD">
              <w:t>2 474,4</w:t>
            </w:r>
          </w:p>
        </w:tc>
        <w:tc>
          <w:tcPr>
            <w:tcW w:w="1046" w:type="dxa"/>
            <w:vAlign w:val="center"/>
          </w:tcPr>
          <w:p w:rsidR="0055491A" w:rsidRPr="00685BFD" w:rsidRDefault="0055491A" w:rsidP="00210BF6">
            <w:pPr>
              <w:autoSpaceDE w:val="0"/>
              <w:autoSpaceDN w:val="0"/>
              <w:adjustRightInd w:val="0"/>
              <w:ind w:firstLine="0"/>
              <w:jc w:val="center"/>
            </w:pPr>
            <w:r w:rsidRPr="00685BFD">
              <w:t>3 043,0</w:t>
            </w:r>
          </w:p>
        </w:tc>
        <w:tc>
          <w:tcPr>
            <w:tcW w:w="1594" w:type="dxa"/>
            <w:vAlign w:val="center"/>
          </w:tcPr>
          <w:p w:rsidR="0055491A" w:rsidRPr="00685BFD" w:rsidRDefault="0055491A" w:rsidP="00210BF6">
            <w:pPr>
              <w:autoSpaceDE w:val="0"/>
              <w:autoSpaceDN w:val="0"/>
              <w:adjustRightInd w:val="0"/>
              <w:ind w:firstLine="0"/>
              <w:jc w:val="center"/>
            </w:pPr>
            <w:r>
              <w:t>0</w:t>
            </w:r>
          </w:p>
        </w:tc>
        <w:tc>
          <w:tcPr>
            <w:tcW w:w="1734" w:type="dxa"/>
            <w:vAlign w:val="center"/>
          </w:tcPr>
          <w:p w:rsidR="0055491A" w:rsidRPr="00685BFD" w:rsidRDefault="0055491A" w:rsidP="00210BF6">
            <w:pPr>
              <w:autoSpaceDE w:val="0"/>
              <w:autoSpaceDN w:val="0"/>
              <w:adjustRightInd w:val="0"/>
              <w:ind w:firstLine="0"/>
              <w:jc w:val="center"/>
            </w:pPr>
            <w:r>
              <w:t>329 265,6</w:t>
            </w:r>
          </w:p>
        </w:tc>
        <w:tc>
          <w:tcPr>
            <w:tcW w:w="1398" w:type="dxa"/>
            <w:vAlign w:val="center"/>
          </w:tcPr>
          <w:p w:rsidR="0055491A" w:rsidRPr="00685BFD" w:rsidRDefault="0055491A" w:rsidP="00210BF6">
            <w:pPr>
              <w:autoSpaceDE w:val="0"/>
              <w:autoSpaceDN w:val="0"/>
              <w:adjustRightInd w:val="0"/>
              <w:ind w:firstLine="0"/>
              <w:jc w:val="center"/>
            </w:pPr>
            <w:r>
              <w:t>111 594,3</w:t>
            </w:r>
          </w:p>
        </w:tc>
      </w:tr>
      <w:tr w:rsidR="0055491A" w:rsidRPr="00685BFD" w:rsidTr="00210BF6">
        <w:trPr>
          <w:trHeight w:val="1713"/>
        </w:trPr>
        <w:tc>
          <w:tcPr>
            <w:tcW w:w="2332" w:type="dxa"/>
            <w:vAlign w:val="center"/>
          </w:tcPr>
          <w:p w:rsidR="0055491A" w:rsidRPr="00685BFD" w:rsidRDefault="0055491A" w:rsidP="00210BF6">
            <w:pPr>
              <w:ind w:firstLine="0"/>
              <w:jc w:val="center"/>
            </w:pPr>
            <w:r w:rsidRPr="00685BFD">
              <w:t>ГКУ «Организатор перевозок Тверской области»</w:t>
            </w:r>
          </w:p>
          <w:p w:rsidR="0055491A" w:rsidRPr="00685BFD" w:rsidRDefault="0055491A" w:rsidP="00210BF6">
            <w:pPr>
              <w:autoSpaceDE w:val="0"/>
              <w:autoSpaceDN w:val="0"/>
              <w:adjustRightInd w:val="0"/>
              <w:ind w:firstLine="0"/>
              <w:jc w:val="center"/>
              <w:rPr>
                <w:b/>
                <w:color w:val="000000"/>
              </w:rPr>
            </w:pPr>
          </w:p>
        </w:tc>
        <w:tc>
          <w:tcPr>
            <w:tcW w:w="1046" w:type="dxa"/>
            <w:vAlign w:val="center"/>
          </w:tcPr>
          <w:p w:rsidR="0055491A" w:rsidRPr="00685BFD" w:rsidRDefault="0055491A" w:rsidP="00210BF6">
            <w:pPr>
              <w:autoSpaceDE w:val="0"/>
              <w:autoSpaceDN w:val="0"/>
              <w:adjustRightInd w:val="0"/>
              <w:ind w:firstLine="0"/>
              <w:jc w:val="center"/>
            </w:pPr>
            <w:r>
              <w:t>0</w:t>
            </w:r>
          </w:p>
        </w:tc>
        <w:tc>
          <w:tcPr>
            <w:tcW w:w="1046" w:type="dxa"/>
            <w:vAlign w:val="center"/>
          </w:tcPr>
          <w:p w:rsidR="0055491A" w:rsidRPr="00685BFD" w:rsidRDefault="0055491A" w:rsidP="00210BF6">
            <w:pPr>
              <w:autoSpaceDE w:val="0"/>
              <w:autoSpaceDN w:val="0"/>
              <w:adjustRightInd w:val="0"/>
              <w:ind w:firstLine="0"/>
              <w:jc w:val="center"/>
            </w:pPr>
            <w:r>
              <w:t>243,2</w:t>
            </w:r>
          </w:p>
        </w:tc>
        <w:tc>
          <w:tcPr>
            <w:tcW w:w="1594" w:type="dxa"/>
            <w:vAlign w:val="center"/>
          </w:tcPr>
          <w:p w:rsidR="0055491A" w:rsidRPr="00685BFD" w:rsidRDefault="0055491A" w:rsidP="00210BF6">
            <w:pPr>
              <w:autoSpaceDE w:val="0"/>
              <w:autoSpaceDN w:val="0"/>
              <w:adjustRightInd w:val="0"/>
              <w:ind w:firstLine="0"/>
              <w:jc w:val="center"/>
            </w:pPr>
            <w:r>
              <w:t>0</w:t>
            </w:r>
          </w:p>
        </w:tc>
        <w:tc>
          <w:tcPr>
            <w:tcW w:w="1734" w:type="dxa"/>
            <w:vAlign w:val="center"/>
          </w:tcPr>
          <w:p w:rsidR="0055491A" w:rsidRPr="00685BFD" w:rsidRDefault="0055491A" w:rsidP="00210BF6">
            <w:pPr>
              <w:autoSpaceDE w:val="0"/>
              <w:autoSpaceDN w:val="0"/>
              <w:adjustRightInd w:val="0"/>
              <w:ind w:firstLine="0"/>
              <w:jc w:val="center"/>
            </w:pPr>
            <w:r>
              <w:t>0</w:t>
            </w:r>
          </w:p>
        </w:tc>
        <w:tc>
          <w:tcPr>
            <w:tcW w:w="1398" w:type="dxa"/>
            <w:vAlign w:val="center"/>
          </w:tcPr>
          <w:p w:rsidR="0055491A" w:rsidRPr="00685BFD" w:rsidRDefault="0055491A" w:rsidP="00210BF6">
            <w:pPr>
              <w:autoSpaceDE w:val="0"/>
              <w:autoSpaceDN w:val="0"/>
              <w:adjustRightInd w:val="0"/>
              <w:ind w:firstLine="0"/>
              <w:jc w:val="center"/>
            </w:pPr>
            <w:r>
              <w:t>81,1</w:t>
            </w:r>
          </w:p>
        </w:tc>
      </w:tr>
      <w:tr w:rsidR="0055491A" w:rsidRPr="00685BFD" w:rsidTr="00210BF6">
        <w:trPr>
          <w:trHeight w:val="280"/>
        </w:trPr>
        <w:tc>
          <w:tcPr>
            <w:tcW w:w="2332" w:type="dxa"/>
            <w:vAlign w:val="center"/>
          </w:tcPr>
          <w:p w:rsidR="0055491A" w:rsidRPr="00685BFD" w:rsidRDefault="0055491A" w:rsidP="00210BF6">
            <w:pPr>
              <w:jc w:val="center"/>
              <w:rPr>
                <w:b/>
              </w:rPr>
            </w:pPr>
            <w:r w:rsidRPr="00685BFD">
              <w:rPr>
                <w:b/>
              </w:rPr>
              <w:t>ИТОГО</w:t>
            </w:r>
          </w:p>
        </w:tc>
        <w:tc>
          <w:tcPr>
            <w:tcW w:w="1046" w:type="dxa"/>
            <w:vAlign w:val="center"/>
          </w:tcPr>
          <w:p w:rsidR="0055491A" w:rsidRPr="00685BFD" w:rsidRDefault="0055491A" w:rsidP="00210BF6">
            <w:pPr>
              <w:autoSpaceDE w:val="0"/>
              <w:autoSpaceDN w:val="0"/>
              <w:adjustRightInd w:val="0"/>
              <w:ind w:firstLine="0"/>
              <w:jc w:val="center"/>
              <w:rPr>
                <w:b/>
                <w:color w:val="000000"/>
              </w:rPr>
            </w:pPr>
            <w:r>
              <w:rPr>
                <w:b/>
                <w:color w:val="000000"/>
              </w:rPr>
              <w:t>2 474,4</w:t>
            </w:r>
          </w:p>
        </w:tc>
        <w:tc>
          <w:tcPr>
            <w:tcW w:w="1046" w:type="dxa"/>
            <w:vAlign w:val="center"/>
          </w:tcPr>
          <w:p w:rsidR="0055491A" w:rsidRPr="00685BFD" w:rsidRDefault="0055491A" w:rsidP="00210BF6">
            <w:pPr>
              <w:autoSpaceDE w:val="0"/>
              <w:autoSpaceDN w:val="0"/>
              <w:adjustRightInd w:val="0"/>
              <w:ind w:firstLine="0"/>
              <w:jc w:val="center"/>
              <w:rPr>
                <w:b/>
                <w:color w:val="000000"/>
              </w:rPr>
            </w:pPr>
            <w:r>
              <w:rPr>
                <w:b/>
                <w:color w:val="000000"/>
              </w:rPr>
              <w:t>3 286,2</w:t>
            </w:r>
          </w:p>
        </w:tc>
        <w:tc>
          <w:tcPr>
            <w:tcW w:w="1594" w:type="dxa"/>
            <w:vAlign w:val="center"/>
          </w:tcPr>
          <w:p w:rsidR="0055491A" w:rsidRPr="00685BFD" w:rsidRDefault="0055491A" w:rsidP="00210BF6">
            <w:pPr>
              <w:autoSpaceDE w:val="0"/>
              <w:autoSpaceDN w:val="0"/>
              <w:adjustRightInd w:val="0"/>
              <w:ind w:firstLine="0"/>
              <w:jc w:val="center"/>
              <w:rPr>
                <w:b/>
                <w:color w:val="000000"/>
              </w:rPr>
            </w:pPr>
            <w:r>
              <w:rPr>
                <w:b/>
                <w:color w:val="000000"/>
              </w:rPr>
              <w:t>0</w:t>
            </w:r>
          </w:p>
        </w:tc>
        <w:tc>
          <w:tcPr>
            <w:tcW w:w="1734" w:type="dxa"/>
            <w:vAlign w:val="center"/>
          </w:tcPr>
          <w:p w:rsidR="0055491A" w:rsidRPr="00685BFD" w:rsidRDefault="0055491A" w:rsidP="00210BF6">
            <w:pPr>
              <w:autoSpaceDE w:val="0"/>
              <w:autoSpaceDN w:val="0"/>
              <w:adjustRightInd w:val="0"/>
              <w:ind w:firstLine="0"/>
              <w:jc w:val="center"/>
              <w:rPr>
                <w:b/>
                <w:color w:val="000000"/>
              </w:rPr>
            </w:pPr>
            <w:r>
              <w:rPr>
                <w:b/>
                <w:color w:val="000000"/>
              </w:rPr>
              <w:t>329 265,6</w:t>
            </w:r>
          </w:p>
        </w:tc>
        <w:tc>
          <w:tcPr>
            <w:tcW w:w="1398" w:type="dxa"/>
            <w:vAlign w:val="center"/>
          </w:tcPr>
          <w:p w:rsidR="0055491A" w:rsidRPr="00685BFD" w:rsidRDefault="0055491A" w:rsidP="00210BF6">
            <w:pPr>
              <w:autoSpaceDE w:val="0"/>
              <w:autoSpaceDN w:val="0"/>
              <w:adjustRightInd w:val="0"/>
              <w:ind w:firstLine="0"/>
              <w:jc w:val="center"/>
              <w:rPr>
                <w:b/>
                <w:color w:val="000000"/>
              </w:rPr>
            </w:pPr>
            <w:r>
              <w:rPr>
                <w:b/>
                <w:color w:val="000000"/>
              </w:rPr>
              <w:t>111 675,4</w:t>
            </w:r>
          </w:p>
        </w:tc>
      </w:tr>
    </w:tbl>
    <w:p w:rsidR="0055491A" w:rsidRPr="00685BFD" w:rsidRDefault="0055491A" w:rsidP="0055491A">
      <w:pPr>
        <w:autoSpaceDE w:val="0"/>
        <w:autoSpaceDN w:val="0"/>
        <w:adjustRightInd w:val="0"/>
        <w:ind w:firstLine="709"/>
        <w:jc w:val="both"/>
        <w:rPr>
          <w:color w:val="000000"/>
        </w:rPr>
      </w:pPr>
    </w:p>
    <w:p w:rsidR="0055491A" w:rsidRDefault="0055491A" w:rsidP="0055491A">
      <w:pPr>
        <w:autoSpaceDE w:val="0"/>
        <w:autoSpaceDN w:val="0"/>
        <w:adjustRightInd w:val="0"/>
        <w:ind w:firstLine="709"/>
        <w:jc w:val="both"/>
        <w:rPr>
          <w:color w:val="000000"/>
          <w:sz w:val="28"/>
          <w:szCs w:val="28"/>
        </w:rPr>
      </w:pPr>
      <w:r w:rsidRPr="00B72D6B">
        <w:rPr>
          <w:color w:val="000000"/>
          <w:sz w:val="28"/>
          <w:szCs w:val="28"/>
        </w:rPr>
        <w:t>Прогноз на первый и второй плановый период рассчитывается на уровне прогно</w:t>
      </w:r>
      <w:r>
        <w:rPr>
          <w:color w:val="000000"/>
          <w:sz w:val="28"/>
          <w:szCs w:val="28"/>
        </w:rPr>
        <w:t>за на очередной финансовый год.</w:t>
      </w:r>
    </w:p>
    <w:p w:rsidR="0055491A" w:rsidRPr="000D6CB1" w:rsidRDefault="0055491A" w:rsidP="0055491A">
      <w:pPr>
        <w:ind w:firstLine="709"/>
        <w:jc w:val="both"/>
        <w:rPr>
          <w:b/>
          <w:color w:val="000000"/>
          <w:sz w:val="28"/>
          <w:szCs w:val="28"/>
        </w:rPr>
      </w:pPr>
      <w:r w:rsidRPr="000D6CB1">
        <w:rPr>
          <w:b/>
          <w:color w:val="000000"/>
          <w:sz w:val="28"/>
          <w:szCs w:val="28"/>
        </w:rPr>
        <w:t xml:space="preserve">Прогноз 2022 год – 111 675,4 тыс. руб., прогноз 2023 год – 111 675,4 тыс. руб., прогноз 2024 год – 111 675,4 тыс. руб., </w:t>
      </w:r>
    </w:p>
    <w:p w:rsidR="0055491A" w:rsidRDefault="0055491A" w:rsidP="0055491A">
      <w:pPr>
        <w:ind w:firstLine="709"/>
        <w:jc w:val="both"/>
        <w:rPr>
          <w:color w:val="000000"/>
          <w:sz w:val="28"/>
          <w:szCs w:val="28"/>
        </w:rPr>
      </w:pPr>
    </w:p>
    <w:p w:rsidR="0055491A" w:rsidRDefault="0055491A" w:rsidP="0055491A">
      <w:pPr>
        <w:ind w:firstLine="709"/>
        <w:jc w:val="both"/>
        <w:rPr>
          <w:sz w:val="28"/>
          <w:szCs w:val="28"/>
        </w:rPr>
      </w:pPr>
      <w:r>
        <w:rPr>
          <w:color w:val="000000"/>
          <w:sz w:val="28"/>
          <w:szCs w:val="28"/>
        </w:rPr>
        <w:t xml:space="preserve">17.6 </w:t>
      </w:r>
      <w:r w:rsidRPr="000D6CB1">
        <w:rPr>
          <w:b/>
          <w:color w:val="000000"/>
          <w:sz w:val="28"/>
          <w:szCs w:val="28"/>
        </w:rPr>
        <w:t>КБК 122 1 16 07010 02 0000 140</w:t>
      </w:r>
      <w:r>
        <w:rPr>
          <w:color w:val="000000"/>
          <w:sz w:val="28"/>
          <w:szCs w:val="28"/>
        </w:rPr>
        <w:t xml:space="preserve"> </w:t>
      </w:r>
      <w:r w:rsidRPr="00932AD6">
        <w:rPr>
          <w:sz w:val="28"/>
          <w:szCs w:val="28"/>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r>
        <w:rPr>
          <w:sz w:val="28"/>
          <w:szCs w:val="28"/>
        </w:rPr>
        <w:t>.</w:t>
      </w:r>
    </w:p>
    <w:p w:rsidR="0055491A" w:rsidRPr="000D6CB1" w:rsidRDefault="0055491A" w:rsidP="0055491A">
      <w:pPr>
        <w:ind w:firstLine="709"/>
        <w:jc w:val="both"/>
        <w:rPr>
          <w:b/>
          <w:sz w:val="28"/>
          <w:szCs w:val="28"/>
        </w:rPr>
      </w:pPr>
      <w:r w:rsidRPr="000D6CB1">
        <w:rPr>
          <w:b/>
          <w:sz w:val="28"/>
          <w:szCs w:val="28"/>
        </w:rPr>
        <w:t>Главный администратор доходов - Министерство строительства Тверской области.</w:t>
      </w:r>
    </w:p>
    <w:p w:rsidR="0055491A" w:rsidRDefault="0055491A" w:rsidP="0055491A">
      <w:pPr>
        <w:pStyle w:val="a7"/>
        <w:spacing w:after="0"/>
        <w:ind w:left="0" w:firstLine="709"/>
        <w:jc w:val="both"/>
        <w:rPr>
          <w:sz w:val="28"/>
          <w:szCs w:val="28"/>
        </w:rPr>
      </w:pPr>
      <w:r w:rsidRPr="005816D8">
        <w:rPr>
          <w:sz w:val="28"/>
          <w:szCs w:val="28"/>
        </w:rPr>
        <w:lastRenderedPageBreak/>
        <w:t xml:space="preserve">Расчет произведен в соответствии с методикой, утвержденной приказом Министерства строительства и жилищно-коммунального хозяйства Тверской области </w:t>
      </w:r>
      <w:r>
        <w:rPr>
          <w:sz w:val="28"/>
          <w:szCs w:val="28"/>
        </w:rPr>
        <w:t xml:space="preserve">от 30.07.2019 </w:t>
      </w:r>
      <w:r w:rsidRPr="005816D8">
        <w:rPr>
          <w:sz w:val="28"/>
          <w:szCs w:val="28"/>
        </w:rPr>
        <w:t xml:space="preserve">№ </w:t>
      </w:r>
      <w:r>
        <w:rPr>
          <w:sz w:val="28"/>
          <w:szCs w:val="28"/>
        </w:rPr>
        <w:t>79</w:t>
      </w:r>
      <w:r w:rsidRPr="005816D8">
        <w:rPr>
          <w:sz w:val="28"/>
          <w:szCs w:val="28"/>
        </w:rPr>
        <w:t xml:space="preserve"> «Об утверждении методики прогнозирования поступлени</w:t>
      </w:r>
      <w:r>
        <w:rPr>
          <w:sz w:val="28"/>
          <w:szCs w:val="28"/>
        </w:rPr>
        <w:t>я неналоговых</w:t>
      </w:r>
      <w:r w:rsidRPr="005816D8">
        <w:rPr>
          <w:sz w:val="28"/>
          <w:szCs w:val="28"/>
        </w:rPr>
        <w:t xml:space="preserve"> доходов в </w:t>
      </w:r>
      <w:r>
        <w:rPr>
          <w:sz w:val="28"/>
          <w:szCs w:val="28"/>
        </w:rPr>
        <w:t xml:space="preserve">областной </w:t>
      </w:r>
      <w:r w:rsidRPr="005816D8">
        <w:rPr>
          <w:sz w:val="28"/>
          <w:szCs w:val="28"/>
        </w:rPr>
        <w:t>бюджет</w:t>
      </w:r>
      <w:r>
        <w:rPr>
          <w:sz w:val="28"/>
          <w:szCs w:val="28"/>
        </w:rPr>
        <w:t xml:space="preserve"> Тверской области</w:t>
      </w:r>
      <w:r w:rsidRPr="005816D8">
        <w:rPr>
          <w:sz w:val="28"/>
          <w:szCs w:val="28"/>
        </w:rPr>
        <w:t>».</w:t>
      </w:r>
    </w:p>
    <w:p w:rsidR="0055491A" w:rsidRDefault="0055491A" w:rsidP="0055491A">
      <w:pPr>
        <w:pStyle w:val="a7"/>
        <w:spacing w:after="0"/>
        <w:ind w:left="0" w:firstLine="709"/>
        <w:jc w:val="both"/>
        <w:rPr>
          <w:sz w:val="28"/>
          <w:szCs w:val="28"/>
        </w:rPr>
      </w:pPr>
      <w:r>
        <w:rPr>
          <w:sz w:val="28"/>
          <w:szCs w:val="28"/>
        </w:rPr>
        <w:t>Прогнозирование на очередной финансовый год и плановый период осуществляется по результатам анализа фактических поступлений ш</w:t>
      </w:r>
      <w:r w:rsidRPr="00932AD6">
        <w:rPr>
          <w:sz w:val="28"/>
          <w:szCs w:val="28"/>
        </w:rPr>
        <w:t>траф</w:t>
      </w:r>
      <w:r>
        <w:rPr>
          <w:sz w:val="28"/>
          <w:szCs w:val="28"/>
        </w:rPr>
        <w:t>ов, неустойки, пени, уплаченных</w:t>
      </w:r>
      <w:r w:rsidRPr="00932AD6">
        <w:rPr>
          <w:sz w:val="28"/>
          <w:szCs w:val="28"/>
        </w:rPr>
        <w:t xml:space="preserve"> в случае просрочки исполнения поставщиком (подрядчиком, исполнителем) обязательств, предусмотренных государственным контрактом</w:t>
      </w:r>
      <w:r>
        <w:rPr>
          <w:sz w:val="28"/>
          <w:szCs w:val="28"/>
        </w:rPr>
        <w:t xml:space="preserve"> по минимальному значению за три года, предшествующих текущему финансовому году.</w:t>
      </w:r>
    </w:p>
    <w:p w:rsidR="0055491A" w:rsidRPr="00E64F21" w:rsidRDefault="0055491A" w:rsidP="0055491A">
      <w:pPr>
        <w:tabs>
          <w:tab w:val="left" w:pos="1276"/>
        </w:tabs>
        <w:ind w:firstLine="709"/>
        <w:jc w:val="both"/>
        <w:rPr>
          <w:sz w:val="28"/>
          <w:szCs w:val="28"/>
        </w:rPr>
      </w:pPr>
      <w:r w:rsidRPr="00E64F21">
        <w:rPr>
          <w:sz w:val="28"/>
          <w:szCs w:val="28"/>
        </w:rPr>
        <w:t>Поступления за три года, предшествующих текущему финансовому году, составили:</w:t>
      </w:r>
    </w:p>
    <w:p w:rsidR="0055491A" w:rsidRDefault="0055491A" w:rsidP="0055491A">
      <w:pPr>
        <w:ind w:firstLine="709"/>
        <w:jc w:val="both"/>
        <w:rPr>
          <w:sz w:val="28"/>
          <w:szCs w:val="28"/>
        </w:rPr>
      </w:pPr>
      <w:r>
        <w:rPr>
          <w:sz w:val="28"/>
          <w:szCs w:val="28"/>
        </w:rPr>
        <w:t>в 2018 году – 1 685,3 тыс. руб;</w:t>
      </w:r>
    </w:p>
    <w:p w:rsidR="0055491A" w:rsidRDefault="0055491A" w:rsidP="0055491A">
      <w:pPr>
        <w:ind w:firstLine="709"/>
        <w:jc w:val="both"/>
        <w:rPr>
          <w:sz w:val="28"/>
          <w:szCs w:val="28"/>
        </w:rPr>
      </w:pPr>
      <w:r>
        <w:rPr>
          <w:sz w:val="28"/>
          <w:szCs w:val="28"/>
        </w:rPr>
        <w:t>в 2019 году -30 086,8 тыс. руб.;</w:t>
      </w:r>
    </w:p>
    <w:p w:rsidR="0055491A" w:rsidRDefault="0055491A" w:rsidP="0055491A">
      <w:pPr>
        <w:ind w:firstLine="709"/>
        <w:jc w:val="both"/>
        <w:rPr>
          <w:sz w:val="28"/>
          <w:szCs w:val="28"/>
        </w:rPr>
      </w:pPr>
      <w:r>
        <w:rPr>
          <w:sz w:val="28"/>
          <w:szCs w:val="28"/>
        </w:rPr>
        <w:t>в 2020 году – 6 186,1 тыс. руб.</w:t>
      </w:r>
    </w:p>
    <w:p w:rsidR="0055491A" w:rsidRPr="002828B2" w:rsidRDefault="0055491A" w:rsidP="0055491A">
      <w:pPr>
        <w:pStyle w:val="a7"/>
        <w:spacing w:after="0"/>
        <w:ind w:left="0" w:firstLine="709"/>
        <w:jc w:val="both"/>
        <w:rPr>
          <w:b/>
          <w:sz w:val="28"/>
          <w:szCs w:val="28"/>
        </w:rPr>
      </w:pPr>
      <w:r w:rsidRPr="002828B2">
        <w:rPr>
          <w:b/>
          <w:sz w:val="28"/>
          <w:szCs w:val="28"/>
        </w:rPr>
        <w:t>Прогноз поступлений на 2022 год – 1 685,3 тыс. руб., на 2023 год –      1685,3 тыс. руб., на 2024 год – 1 685,3 тыс. руб.</w:t>
      </w:r>
    </w:p>
    <w:p w:rsidR="0055491A" w:rsidRDefault="0055491A" w:rsidP="0055491A">
      <w:pPr>
        <w:pStyle w:val="a7"/>
        <w:spacing w:after="0"/>
        <w:ind w:left="0" w:firstLine="709"/>
        <w:jc w:val="both"/>
        <w:rPr>
          <w:sz w:val="28"/>
          <w:szCs w:val="28"/>
        </w:rPr>
      </w:pPr>
    </w:p>
    <w:p w:rsidR="0055491A" w:rsidRDefault="0055491A" w:rsidP="0055491A">
      <w:pPr>
        <w:ind w:firstLine="709"/>
        <w:jc w:val="both"/>
        <w:rPr>
          <w:sz w:val="28"/>
          <w:szCs w:val="28"/>
        </w:rPr>
      </w:pPr>
      <w:r>
        <w:rPr>
          <w:sz w:val="28"/>
          <w:szCs w:val="28"/>
        </w:rPr>
        <w:t xml:space="preserve">17.7 </w:t>
      </w:r>
      <w:r w:rsidRPr="00A92396">
        <w:rPr>
          <w:b/>
          <w:color w:val="000000"/>
          <w:sz w:val="28"/>
          <w:szCs w:val="28"/>
        </w:rPr>
        <w:t>КБК 124 1 16 07010 02 0000 140</w:t>
      </w:r>
      <w:r>
        <w:rPr>
          <w:color w:val="000000"/>
          <w:sz w:val="28"/>
          <w:szCs w:val="28"/>
        </w:rPr>
        <w:t xml:space="preserve"> </w:t>
      </w:r>
      <w:r w:rsidRPr="00932AD6">
        <w:rPr>
          <w:sz w:val="28"/>
          <w:szCs w:val="28"/>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r>
        <w:rPr>
          <w:sz w:val="28"/>
          <w:szCs w:val="28"/>
        </w:rPr>
        <w:t>.</w:t>
      </w:r>
    </w:p>
    <w:p w:rsidR="0055491A" w:rsidRPr="00A92396" w:rsidRDefault="0055491A" w:rsidP="0055491A">
      <w:pPr>
        <w:ind w:firstLine="709"/>
        <w:jc w:val="both"/>
        <w:rPr>
          <w:b/>
          <w:sz w:val="28"/>
          <w:szCs w:val="28"/>
        </w:rPr>
      </w:pPr>
      <w:r w:rsidRPr="00A92396">
        <w:rPr>
          <w:b/>
          <w:sz w:val="28"/>
          <w:szCs w:val="28"/>
        </w:rPr>
        <w:t xml:space="preserve">Главный администратор доходов – Главное </w:t>
      </w:r>
      <w:r>
        <w:rPr>
          <w:b/>
          <w:sz w:val="28"/>
          <w:szCs w:val="28"/>
        </w:rPr>
        <w:t>у</w:t>
      </w:r>
      <w:r w:rsidRPr="00A92396">
        <w:rPr>
          <w:b/>
          <w:sz w:val="28"/>
          <w:szCs w:val="28"/>
        </w:rPr>
        <w:t>правление архитектуры и градостроительной деятельности Тверской области.</w:t>
      </w:r>
    </w:p>
    <w:p w:rsidR="0055491A" w:rsidRDefault="0055491A" w:rsidP="0055491A">
      <w:pPr>
        <w:pStyle w:val="a7"/>
        <w:spacing w:after="0"/>
        <w:ind w:left="0" w:firstLine="709"/>
        <w:jc w:val="both"/>
        <w:rPr>
          <w:sz w:val="28"/>
          <w:szCs w:val="28"/>
        </w:rPr>
      </w:pPr>
      <w:r>
        <w:rPr>
          <w:sz w:val="28"/>
          <w:szCs w:val="28"/>
        </w:rPr>
        <w:t xml:space="preserve">Прогноз на очередной финансовый год рассчитан </w:t>
      </w:r>
      <w:r w:rsidRPr="005D48E0">
        <w:rPr>
          <w:sz w:val="28"/>
          <w:szCs w:val="28"/>
        </w:rPr>
        <w:t xml:space="preserve">методом усреднения, исходя из фактических поступлений </w:t>
      </w:r>
      <w:r>
        <w:rPr>
          <w:sz w:val="28"/>
          <w:szCs w:val="28"/>
        </w:rPr>
        <w:t>штрафов, неустойки, пени, уплаченных</w:t>
      </w:r>
      <w:r w:rsidRPr="00932AD6">
        <w:rPr>
          <w:sz w:val="28"/>
          <w:szCs w:val="28"/>
        </w:rPr>
        <w:t xml:space="preserve"> в случае просрочки исполнения обязательств, предусмотренных государственным</w:t>
      </w:r>
      <w:r>
        <w:rPr>
          <w:sz w:val="28"/>
          <w:szCs w:val="28"/>
        </w:rPr>
        <w:t>и</w:t>
      </w:r>
      <w:r w:rsidRPr="00932AD6">
        <w:rPr>
          <w:sz w:val="28"/>
          <w:szCs w:val="28"/>
        </w:rPr>
        <w:t xml:space="preserve"> контракт</w:t>
      </w:r>
      <w:r>
        <w:rPr>
          <w:sz w:val="28"/>
          <w:szCs w:val="28"/>
        </w:rPr>
        <w:t>ами</w:t>
      </w:r>
      <w:r w:rsidRPr="00932AD6">
        <w:rPr>
          <w:sz w:val="28"/>
          <w:szCs w:val="28"/>
        </w:rPr>
        <w:t xml:space="preserve"> </w:t>
      </w:r>
      <w:r w:rsidRPr="005D48E0">
        <w:rPr>
          <w:sz w:val="28"/>
          <w:szCs w:val="28"/>
        </w:rPr>
        <w:t>за 201</w:t>
      </w:r>
      <w:r>
        <w:rPr>
          <w:sz w:val="28"/>
          <w:szCs w:val="28"/>
        </w:rPr>
        <w:t>9</w:t>
      </w:r>
      <w:r w:rsidRPr="005D48E0">
        <w:rPr>
          <w:sz w:val="28"/>
          <w:szCs w:val="28"/>
        </w:rPr>
        <w:t xml:space="preserve"> год</w:t>
      </w:r>
      <w:r>
        <w:rPr>
          <w:sz w:val="28"/>
          <w:szCs w:val="28"/>
        </w:rPr>
        <w:t>, за</w:t>
      </w:r>
      <w:r w:rsidRPr="005D48E0">
        <w:rPr>
          <w:sz w:val="28"/>
          <w:szCs w:val="28"/>
        </w:rPr>
        <w:t xml:space="preserve"> </w:t>
      </w:r>
      <w:r>
        <w:rPr>
          <w:sz w:val="28"/>
          <w:szCs w:val="28"/>
        </w:rPr>
        <w:t>2020 год</w:t>
      </w:r>
      <w:r w:rsidRPr="005D48E0">
        <w:rPr>
          <w:sz w:val="28"/>
          <w:szCs w:val="28"/>
        </w:rPr>
        <w:t xml:space="preserve"> </w:t>
      </w:r>
      <w:r>
        <w:rPr>
          <w:sz w:val="28"/>
          <w:szCs w:val="28"/>
        </w:rPr>
        <w:t>и ожидаемой оценки 2021 года.</w:t>
      </w:r>
    </w:p>
    <w:p w:rsidR="0055491A" w:rsidRDefault="0055491A" w:rsidP="0055491A">
      <w:pPr>
        <w:pStyle w:val="a7"/>
        <w:spacing w:after="0"/>
        <w:ind w:left="0" w:firstLine="709"/>
        <w:jc w:val="both"/>
        <w:rPr>
          <w:sz w:val="28"/>
          <w:szCs w:val="28"/>
        </w:rPr>
      </w:pPr>
      <w:r>
        <w:rPr>
          <w:sz w:val="28"/>
          <w:szCs w:val="28"/>
        </w:rPr>
        <w:t>Факт поступления 2019 год  –  0 руб., 2020 год – 2,1 тыс. руб., ожидаемое 2021 год – 0 руб.</w:t>
      </w:r>
    </w:p>
    <w:p w:rsidR="0055491A" w:rsidRDefault="0055491A" w:rsidP="0055491A">
      <w:pPr>
        <w:pStyle w:val="a7"/>
        <w:spacing w:after="0"/>
        <w:ind w:left="0" w:firstLine="709"/>
        <w:jc w:val="both"/>
        <w:rPr>
          <w:sz w:val="28"/>
          <w:szCs w:val="28"/>
        </w:rPr>
      </w:pPr>
      <w:r>
        <w:rPr>
          <w:sz w:val="28"/>
          <w:szCs w:val="28"/>
        </w:rPr>
        <w:t>Прогноз на 2022 год = ( 0+2,1 тыс. руб.+0)/3 = 0,7 тыс. руб.</w:t>
      </w:r>
    </w:p>
    <w:p w:rsidR="0055491A" w:rsidRDefault="0055491A" w:rsidP="0055491A">
      <w:pPr>
        <w:pStyle w:val="a7"/>
        <w:spacing w:after="0"/>
        <w:ind w:left="0" w:firstLine="709"/>
        <w:jc w:val="both"/>
        <w:rPr>
          <w:sz w:val="28"/>
          <w:szCs w:val="28"/>
        </w:rPr>
      </w:pPr>
      <w:r>
        <w:rPr>
          <w:sz w:val="28"/>
          <w:szCs w:val="28"/>
        </w:rPr>
        <w:t>Прогноз поступлений на плановый период принимается равным прогнозу поступлений на очередной финансовый год.</w:t>
      </w:r>
    </w:p>
    <w:p w:rsidR="0055491A" w:rsidRDefault="0055491A" w:rsidP="0055491A">
      <w:pPr>
        <w:pStyle w:val="a7"/>
        <w:spacing w:after="0"/>
        <w:ind w:left="0" w:firstLine="709"/>
        <w:jc w:val="both"/>
        <w:rPr>
          <w:b/>
          <w:sz w:val="28"/>
          <w:szCs w:val="28"/>
        </w:rPr>
      </w:pPr>
      <w:r w:rsidRPr="007A5C05">
        <w:rPr>
          <w:b/>
          <w:sz w:val="28"/>
          <w:szCs w:val="28"/>
        </w:rPr>
        <w:t>Прогноз 2022 год - 0,7 тыс. руб., Прогноз 2023 год - 0,7 тыс. руб., прогноз 2024 год – 0,7 тыс.руб.</w:t>
      </w:r>
    </w:p>
    <w:p w:rsidR="0055491A" w:rsidRDefault="0055491A" w:rsidP="0055491A">
      <w:pPr>
        <w:pStyle w:val="a7"/>
        <w:spacing w:after="0"/>
        <w:ind w:left="0" w:firstLine="709"/>
        <w:jc w:val="both"/>
        <w:rPr>
          <w:b/>
          <w:sz w:val="28"/>
          <w:szCs w:val="28"/>
        </w:rPr>
      </w:pPr>
    </w:p>
    <w:p w:rsidR="0055491A" w:rsidRDefault="0055491A" w:rsidP="0055491A">
      <w:pPr>
        <w:ind w:firstLine="709"/>
        <w:jc w:val="both"/>
        <w:rPr>
          <w:sz w:val="28"/>
          <w:szCs w:val="28"/>
        </w:rPr>
      </w:pPr>
      <w:r>
        <w:rPr>
          <w:sz w:val="28"/>
          <w:szCs w:val="28"/>
        </w:rPr>
        <w:t xml:space="preserve">17.8 </w:t>
      </w:r>
      <w:r w:rsidRPr="00A92396">
        <w:rPr>
          <w:b/>
          <w:color w:val="000000"/>
          <w:sz w:val="28"/>
          <w:szCs w:val="28"/>
        </w:rPr>
        <w:t>КБК 1</w:t>
      </w:r>
      <w:r>
        <w:rPr>
          <w:b/>
          <w:color w:val="000000"/>
          <w:sz w:val="28"/>
          <w:szCs w:val="28"/>
        </w:rPr>
        <w:t>48</w:t>
      </w:r>
      <w:r w:rsidRPr="00A92396">
        <w:rPr>
          <w:b/>
          <w:color w:val="000000"/>
          <w:sz w:val="28"/>
          <w:szCs w:val="28"/>
        </w:rPr>
        <w:t xml:space="preserve"> 1 16 07010 02 0000 140</w:t>
      </w:r>
      <w:r>
        <w:rPr>
          <w:color w:val="000000"/>
          <w:sz w:val="28"/>
          <w:szCs w:val="28"/>
        </w:rPr>
        <w:t xml:space="preserve"> </w:t>
      </w:r>
      <w:r w:rsidRPr="00932AD6">
        <w:rPr>
          <w:sz w:val="28"/>
          <w:szCs w:val="28"/>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r>
        <w:rPr>
          <w:sz w:val="28"/>
          <w:szCs w:val="28"/>
        </w:rPr>
        <w:t>.</w:t>
      </w:r>
    </w:p>
    <w:p w:rsidR="0055491A" w:rsidRPr="00A92396" w:rsidRDefault="0055491A" w:rsidP="0055491A">
      <w:pPr>
        <w:ind w:firstLine="709"/>
        <w:jc w:val="both"/>
        <w:rPr>
          <w:b/>
          <w:sz w:val="28"/>
          <w:szCs w:val="28"/>
        </w:rPr>
      </w:pPr>
      <w:r w:rsidRPr="00A92396">
        <w:rPr>
          <w:b/>
          <w:sz w:val="28"/>
          <w:szCs w:val="28"/>
        </w:rPr>
        <w:t xml:space="preserve">Главный администратор доходов – </w:t>
      </w:r>
      <w:r>
        <w:rPr>
          <w:b/>
          <w:sz w:val="28"/>
          <w:szCs w:val="28"/>
        </w:rPr>
        <w:t>Министерство социальной защиты населения</w:t>
      </w:r>
      <w:r w:rsidRPr="00A92396">
        <w:rPr>
          <w:b/>
          <w:sz w:val="28"/>
          <w:szCs w:val="28"/>
        </w:rPr>
        <w:t xml:space="preserve"> Тверской области.</w:t>
      </w:r>
    </w:p>
    <w:p w:rsidR="0055491A" w:rsidRDefault="0055491A" w:rsidP="0055491A">
      <w:pPr>
        <w:pStyle w:val="a7"/>
        <w:spacing w:after="0"/>
        <w:ind w:left="0" w:firstLine="709"/>
        <w:jc w:val="both"/>
        <w:rPr>
          <w:sz w:val="28"/>
          <w:szCs w:val="28"/>
        </w:rPr>
      </w:pPr>
      <w:r>
        <w:rPr>
          <w:sz w:val="28"/>
          <w:szCs w:val="28"/>
        </w:rPr>
        <w:lastRenderedPageBreak/>
        <w:t xml:space="preserve">Прогноз на очередной финансовый год рассчитан </w:t>
      </w:r>
      <w:r w:rsidRPr="005D48E0">
        <w:rPr>
          <w:sz w:val="28"/>
          <w:szCs w:val="28"/>
        </w:rPr>
        <w:t xml:space="preserve">методом усреднения, исходя из фактических поступлений </w:t>
      </w:r>
      <w:r>
        <w:rPr>
          <w:sz w:val="28"/>
          <w:szCs w:val="28"/>
        </w:rPr>
        <w:t>штрафов, неустойки, пени, уплаченных</w:t>
      </w:r>
      <w:r w:rsidRPr="00932AD6">
        <w:rPr>
          <w:sz w:val="28"/>
          <w:szCs w:val="28"/>
        </w:rPr>
        <w:t xml:space="preserve"> в случае просрочки исполнения обязательств, предусмотренных государственным</w:t>
      </w:r>
      <w:r>
        <w:rPr>
          <w:sz w:val="28"/>
          <w:szCs w:val="28"/>
        </w:rPr>
        <w:t>и</w:t>
      </w:r>
      <w:r w:rsidRPr="00932AD6">
        <w:rPr>
          <w:sz w:val="28"/>
          <w:szCs w:val="28"/>
        </w:rPr>
        <w:t xml:space="preserve"> контракт</w:t>
      </w:r>
      <w:r>
        <w:rPr>
          <w:sz w:val="28"/>
          <w:szCs w:val="28"/>
        </w:rPr>
        <w:t>ами</w:t>
      </w:r>
      <w:r w:rsidRPr="00932AD6">
        <w:rPr>
          <w:sz w:val="28"/>
          <w:szCs w:val="28"/>
        </w:rPr>
        <w:t xml:space="preserve"> </w:t>
      </w:r>
      <w:r w:rsidRPr="005D48E0">
        <w:rPr>
          <w:sz w:val="28"/>
          <w:szCs w:val="28"/>
        </w:rPr>
        <w:t>за</w:t>
      </w:r>
      <w:r>
        <w:rPr>
          <w:sz w:val="28"/>
          <w:szCs w:val="28"/>
        </w:rPr>
        <w:t xml:space="preserve"> три предшествующих года.</w:t>
      </w:r>
      <w:r w:rsidRPr="005D48E0">
        <w:rPr>
          <w:sz w:val="28"/>
          <w:szCs w:val="28"/>
        </w:rPr>
        <w:t xml:space="preserve"> </w:t>
      </w:r>
    </w:p>
    <w:p w:rsidR="0055491A" w:rsidRDefault="0055491A" w:rsidP="0055491A">
      <w:pPr>
        <w:pStyle w:val="a7"/>
        <w:spacing w:after="0"/>
        <w:ind w:left="0" w:firstLine="709"/>
        <w:jc w:val="both"/>
        <w:rPr>
          <w:sz w:val="28"/>
          <w:szCs w:val="28"/>
        </w:rPr>
      </w:pPr>
      <w:r>
        <w:rPr>
          <w:sz w:val="28"/>
          <w:szCs w:val="28"/>
        </w:rPr>
        <w:t>Факт поступления 2018 год  –  0 руб., 2019 год – 6,3 тыс. руб., 2020 год – 2,7 тыс. руб.</w:t>
      </w:r>
    </w:p>
    <w:p w:rsidR="0055491A" w:rsidRDefault="0055491A" w:rsidP="0055491A">
      <w:pPr>
        <w:pStyle w:val="a7"/>
        <w:spacing w:after="0"/>
        <w:ind w:left="0" w:firstLine="709"/>
        <w:jc w:val="both"/>
        <w:rPr>
          <w:sz w:val="28"/>
          <w:szCs w:val="28"/>
        </w:rPr>
      </w:pPr>
      <w:r>
        <w:rPr>
          <w:sz w:val="28"/>
          <w:szCs w:val="28"/>
        </w:rPr>
        <w:t>Прогноз на 2022 год = (0+6,3 тыс. руб.+2,7 тыс. руб.)/3 = 3,0 тыс. руб.</w:t>
      </w:r>
    </w:p>
    <w:p w:rsidR="0055491A" w:rsidRDefault="0055491A" w:rsidP="0055491A">
      <w:pPr>
        <w:pStyle w:val="a7"/>
        <w:spacing w:after="0"/>
        <w:ind w:left="0" w:firstLine="709"/>
        <w:jc w:val="both"/>
        <w:rPr>
          <w:sz w:val="28"/>
          <w:szCs w:val="28"/>
        </w:rPr>
      </w:pPr>
      <w:r>
        <w:rPr>
          <w:sz w:val="28"/>
          <w:szCs w:val="28"/>
        </w:rPr>
        <w:t>Прогноз поступлений на плановый период принимается равным прогнозу поступлений на очередной финансовый год.</w:t>
      </w:r>
    </w:p>
    <w:p w:rsidR="0055491A" w:rsidRDefault="0055491A" w:rsidP="0055491A">
      <w:pPr>
        <w:pStyle w:val="a7"/>
        <w:spacing w:after="0"/>
        <w:ind w:left="0" w:firstLine="709"/>
        <w:jc w:val="both"/>
        <w:rPr>
          <w:b/>
          <w:sz w:val="28"/>
          <w:szCs w:val="28"/>
        </w:rPr>
      </w:pPr>
      <w:r w:rsidRPr="007A5C05">
        <w:rPr>
          <w:b/>
          <w:sz w:val="28"/>
          <w:szCs w:val="28"/>
        </w:rPr>
        <w:t xml:space="preserve">Прогноз 2022 год </w:t>
      </w:r>
      <w:r>
        <w:rPr>
          <w:b/>
          <w:sz w:val="28"/>
          <w:szCs w:val="28"/>
        </w:rPr>
        <w:t>–</w:t>
      </w:r>
      <w:r w:rsidRPr="007A5C05">
        <w:rPr>
          <w:b/>
          <w:sz w:val="28"/>
          <w:szCs w:val="28"/>
        </w:rPr>
        <w:t xml:space="preserve"> </w:t>
      </w:r>
      <w:r>
        <w:rPr>
          <w:b/>
          <w:sz w:val="28"/>
          <w:szCs w:val="28"/>
        </w:rPr>
        <w:t>3,0</w:t>
      </w:r>
      <w:r w:rsidRPr="007A5C05">
        <w:rPr>
          <w:b/>
          <w:sz w:val="28"/>
          <w:szCs w:val="28"/>
        </w:rPr>
        <w:t xml:space="preserve"> тыс. руб., Прогноз 2023 год </w:t>
      </w:r>
      <w:r>
        <w:rPr>
          <w:b/>
          <w:sz w:val="28"/>
          <w:szCs w:val="28"/>
        </w:rPr>
        <w:t>–</w:t>
      </w:r>
      <w:r w:rsidRPr="007A5C05">
        <w:rPr>
          <w:b/>
          <w:sz w:val="28"/>
          <w:szCs w:val="28"/>
        </w:rPr>
        <w:t xml:space="preserve"> </w:t>
      </w:r>
      <w:r>
        <w:rPr>
          <w:b/>
          <w:sz w:val="28"/>
          <w:szCs w:val="28"/>
        </w:rPr>
        <w:t>3,0</w:t>
      </w:r>
      <w:r w:rsidRPr="007A5C05">
        <w:rPr>
          <w:b/>
          <w:sz w:val="28"/>
          <w:szCs w:val="28"/>
        </w:rPr>
        <w:t xml:space="preserve"> тыс. руб., прогноз 2024 год – </w:t>
      </w:r>
      <w:r>
        <w:rPr>
          <w:b/>
          <w:sz w:val="28"/>
          <w:szCs w:val="28"/>
        </w:rPr>
        <w:t>3,0</w:t>
      </w:r>
      <w:r w:rsidRPr="007A5C05">
        <w:rPr>
          <w:b/>
          <w:sz w:val="28"/>
          <w:szCs w:val="28"/>
        </w:rPr>
        <w:t xml:space="preserve"> тыс.</w:t>
      </w:r>
      <w:r>
        <w:rPr>
          <w:b/>
          <w:sz w:val="28"/>
          <w:szCs w:val="28"/>
        </w:rPr>
        <w:t xml:space="preserve"> </w:t>
      </w:r>
      <w:r w:rsidRPr="007A5C05">
        <w:rPr>
          <w:b/>
          <w:sz w:val="28"/>
          <w:szCs w:val="28"/>
        </w:rPr>
        <w:t>руб.</w:t>
      </w:r>
    </w:p>
    <w:p w:rsidR="0055491A" w:rsidRPr="007A5C05" w:rsidRDefault="0055491A" w:rsidP="0055491A">
      <w:pPr>
        <w:pStyle w:val="a7"/>
        <w:spacing w:after="0"/>
        <w:ind w:left="0" w:firstLine="709"/>
        <w:jc w:val="both"/>
        <w:rPr>
          <w:b/>
          <w:sz w:val="28"/>
          <w:szCs w:val="28"/>
        </w:rPr>
      </w:pPr>
    </w:p>
    <w:p w:rsidR="0055491A" w:rsidRDefault="0055491A" w:rsidP="0055491A">
      <w:pPr>
        <w:pStyle w:val="a7"/>
        <w:spacing w:after="0"/>
        <w:ind w:left="0" w:firstLine="709"/>
        <w:jc w:val="both"/>
        <w:rPr>
          <w:sz w:val="28"/>
          <w:szCs w:val="28"/>
        </w:rPr>
      </w:pPr>
      <w:r>
        <w:rPr>
          <w:sz w:val="28"/>
          <w:szCs w:val="28"/>
        </w:rPr>
        <w:t xml:space="preserve">17.9 </w:t>
      </w:r>
      <w:r w:rsidRPr="005C7414">
        <w:rPr>
          <w:b/>
          <w:sz w:val="28"/>
          <w:szCs w:val="28"/>
        </w:rPr>
        <w:t>КБК 335 1 16 07010 02 0000 140</w:t>
      </w:r>
      <w:r w:rsidRPr="004E23D2">
        <w:rPr>
          <w:sz w:val="28"/>
          <w:szCs w:val="28"/>
        </w:rPr>
        <w:t xml:space="preserve"> 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p w:rsidR="0055491A" w:rsidRPr="005C7414" w:rsidRDefault="0055491A" w:rsidP="0055491A">
      <w:pPr>
        <w:pStyle w:val="a7"/>
        <w:spacing w:after="0"/>
        <w:ind w:left="0" w:firstLine="709"/>
        <w:jc w:val="both"/>
        <w:rPr>
          <w:b/>
          <w:sz w:val="28"/>
          <w:szCs w:val="28"/>
        </w:rPr>
      </w:pPr>
      <w:r w:rsidRPr="005C7414">
        <w:rPr>
          <w:b/>
          <w:sz w:val="28"/>
          <w:szCs w:val="28"/>
        </w:rPr>
        <w:t>Главный администратор доходов – Главное управление региональной безопасности Тверской области.</w:t>
      </w:r>
    </w:p>
    <w:p w:rsidR="0055491A" w:rsidRDefault="0055491A" w:rsidP="0055491A">
      <w:pPr>
        <w:pStyle w:val="a7"/>
        <w:spacing w:after="0"/>
        <w:ind w:left="0" w:firstLine="709"/>
        <w:jc w:val="both"/>
        <w:rPr>
          <w:sz w:val="28"/>
          <w:szCs w:val="28"/>
        </w:rPr>
      </w:pPr>
      <w:r>
        <w:rPr>
          <w:sz w:val="28"/>
          <w:szCs w:val="28"/>
        </w:rPr>
        <w:t xml:space="preserve">Прогноз на очередной финансовый год рассчитан методом усреднения с учетом </w:t>
      </w:r>
      <w:r w:rsidRPr="005D48E0">
        <w:rPr>
          <w:sz w:val="28"/>
          <w:szCs w:val="28"/>
        </w:rPr>
        <w:t xml:space="preserve">фактических поступлений </w:t>
      </w:r>
      <w:r>
        <w:rPr>
          <w:sz w:val="28"/>
          <w:szCs w:val="28"/>
        </w:rPr>
        <w:t>штрафов, неустойки, пени, уплаченных</w:t>
      </w:r>
      <w:r w:rsidRPr="00932AD6">
        <w:rPr>
          <w:sz w:val="28"/>
          <w:szCs w:val="28"/>
        </w:rPr>
        <w:t xml:space="preserve"> в случае просрочки исполнения обязательств, предусмотренных государственным</w:t>
      </w:r>
      <w:r>
        <w:rPr>
          <w:sz w:val="28"/>
          <w:szCs w:val="28"/>
        </w:rPr>
        <w:t>и</w:t>
      </w:r>
      <w:r w:rsidRPr="00932AD6">
        <w:rPr>
          <w:sz w:val="28"/>
          <w:szCs w:val="28"/>
        </w:rPr>
        <w:t xml:space="preserve"> контракт</w:t>
      </w:r>
      <w:r>
        <w:rPr>
          <w:sz w:val="28"/>
          <w:szCs w:val="28"/>
        </w:rPr>
        <w:t>ами</w:t>
      </w:r>
      <w:r w:rsidRPr="00932AD6">
        <w:rPr>
          <w:sz w:val="28"/>
          <w:szCs w:val="28"/>
        </w:rPr>
        <w:t xml:space="preserve"> </w:t>
      </w:r>
      <w:r w:rsidRPr="005D48E0">
        <w:rPr>
          <w:sz w:val="28"/>
          <w:szCs w:val="28"/>
        </w:rPr>
        <w:t>за 20</w:t>
      </w:r>
      <w:r>
        <w:rPr>
          <w:sz w:val="28"/>
          <w:szCs w:val="28"/>
        </w:rPr>
        <w:t>19</w:t>
      </w:r>
      <w:r w:rsidRPr="005D48E0">
        <w:rPr>
          <w:sz w:val="28"/>
          <w:szCs w:val="28"/>
        </w:rPr>
        <w:t xml:space="preserve"> год, за 20</w:t>
      </w:r>
      <w:r>
        <w:rPr>
          <w:sz w:val="28"/>
          <w:szCs w:val="28"/>
        </w:rPr>
        <w:t>20</w:t>
      </w:r>
      <w:r w:rsidRPr="005D48E0">
        <w:rPr>
          <w:sz w:val="28"/>
          <w:szCs w:val="28"/>
        </w:rPr>
        <w:t xml:space="preserve"> год </w:t>
      </w:r>
      <w:r>
        <w:rPr>
          <w:sz w:val="28"/>
          <w:szCs w:val="28"/>
        </w:rPr>
        <w:t>и ожидаемой оценки поступлений в 2021 году.</w:t>
      </w:r>
    </w:p>
    <w:p w:rsidR="0055491A" w:rsidRDefault="0055491A" w:rsidP="0055491A">
      <w:pPr>
        <w:pStyle w:val="a7"/>
        <w:spacing w:after="0"/>
        <w:ind w:left="0" w:firstLine="709"/>
        <w:jc w:val="both"/>
        <w:rPr>
          <w:sz w:val="28"/>
          <w:szCs w:val="28"/>
        </w:rPr>
      </w:pPr>
      <w:r>
        <w:rPr>
          <w:sz w:val="28"/>
          <w:szCs w:val="28"/>
        </w:rPr>
        <w:t>Ожидаемое поступление в 2021 году принимается равным фактическому поступлению за истекшие месяцы текущего финансового года (на дату составления прогноза на 01.06.2021).</w:t>
      </w:r>
    </w:p>
    <w:p w:rsidR="0055491A" w:rsidRDefault="0055491A" w:rsidP="0055491A">
      <w:pPr>
        <w:pStyle w:val="a7"/>
        <w:spacing w:after="0"/>
        <w:ind w:left="0" w:firstLine="709"/>
        <w:jc w:val="both"/>
        <w:rPr>
          <w:sz w:val="28"/>
          <w:szCs w:val="28"/>
        </w:rPr>
      </w:pPr>
      <w:r>
        <w:rPr>
          <w:sz w:val="28"/>
          <w:szCs w:val="28"/>
        </w:rPr>
        <w:t>Факт 2019 год  - 0 руб., факт 2020 год – 67,5 тыс. руб., факт на 01.06.2021 – 30,6 тыс. руб.</w:t>
      </w:r>
    </w:p>
    <w:p w:rsidR="0055491A" w:rsidRDefault="0055491A" w:rsidP="0055491A">
      <w:pPr>
        <w:pStyle w:val="a7"/>
        <w:spacing w:after="0"/>
        <w:ind w:left="0" w:firstLine="709"/>
        <w:jc w:val="both"/>
        <w:rPr>
          <w:sz w:val="28"/>
          <w:szCs w:val="28"/>
        </w:rPr>
      </w:pPr>
      <w:r>
        <w:rPr>
          <w:sz w:val="28"/>
          <w:szCs w:val="28"/>
        </w:rPr>
        <w:t>Прогноз на 2022 год = (0 + 67,5+30,6)/3 = 32,7 тыс. руб.</w:t>
      </w:r>
    </w:p>
    <w:p w:rsidR="0055491A" w:rsidRDefault="0055491A" w:rsidP="0055491A">
      <w:pPr>
        <w:pStyle w:val="a7"/>
        <w:spacing w:after="0"/>
        <w:ind w:left="0" w:firstLine="709"/>
        <w:jc w:val="both"/>
        <w:rPr>
          <w:sz w:val="28"/>
          <w:szCs w:val="28"/>
        </w:rPr>
      </w:pPr>
      <w:r>
        <w:rPr>
          <w:sz w:val="28"/>
          <w:szCs w:val="28"/>
        </w:rPr>
        <w:t>Прогноз на плановый период принимается равным прогнозу поступлений на очередной финансовый год.</w:t>
      </w:r>
    </w:p>
    <w:p w:rsidR="0055491A" w:rsidRPr="00C75012" w:rsidRDefault="0055491A" w:rsidP="0055491A">
      <w:pPr>
        <w:pStyle w:val="a7"/>
        <w:spacing w:after="0"/>
        <w:ind w:left="0" w:firstLine="709"/>
        <w:jc w:val="both"/>
        <w:rPr>
          <w:b/>
          <w:sz w:val="28"/>
          <w:szCs w:val="28"/>
        </w:rPr>
      </w:pPr>
      <w:r w:rsidRPr="00C75012">
        <w:rPr>
          <w:b/>
          <w:sz w:val="28"/>
          <w:szCs w:val="28"/>
        </w:rPr>
        <w:t xml:space="preserve">Прогноз на 2022 год </w:t>
      </w:r>
      <w:r>
        <w:rPr>
          <w:b/>
          <w:sz w:val="28"/>
          <w:szCs w:val="28"/>
        </w:rPr>
        <w:t>3</w:t>
      </w:r>
      <w:r w:rsidRPr="00C75012">
        <w:rPr>
          <w:b/>
          <w:sz w:val="28"/>
          <w:szCs w:val="28"/>
        </w:rPr>
        <w:t xml:space="preserve">2,7 тыс. руб., прогноз на 2023 год </w:t>
      </w:r>
      <w:r>
        <w:rPr>
          <w:b/>
          <w:sz w:val="28"/>
          <w:szCs w:val="28"/>
        </w:rPr>
        <w:t xml:space="preserve">                                     </w:t>
      </w:r>
      <w:r w:rsidRPr="00C75012">
        <w:rPr>
          <w:b/>
          <w:sz w:val="28"/>
          <w:szCs w:val="28"/>
        </w:rPr>
        <w:t>32,7 тыс. руб.</w:t>
      </w:r>
      <w:r>
        <w:rPr>
          <w:b/>
          <w:sz w:val="28"/>
          <w:szCs w:val="28"/>
        </w:rPr>
        <w:t xml:space="preserve">, </w:t>
      </w:r>
      <w:r w:rsidRPr="00C75012">
        <w:rPr>
          <w:b/>
          <w:sz w:val="28"/>
          <w:szCs w:val="28"/>
        </w:rPr>
        <w:t>прогноз на 2024 год  32,7 тыс. руб.</w:t>
      </w:r>
    </w:p>
    <w:p w:rsidR="0055491A" w:rsidRDefault="0055491A" w:rsidP="0055491A">
      <w:pPr>
        <w:pStyle w:val="a7"/>
        <w:spacing w:after="0"/>
        <w:ind w:left="0" w:firstLine="709"/>
        <w:jc w:val="both"/>
        <w:rPr>
          <w:sz w:val="28"/>
          <w:szCs w:val="28"/>
        </w:rPr>
      </w:pPr>
    </w:p>
    <w:p w:rsidR="0055491A" w:rsidRPr="00FE2BEB" w:rsidRDefault="0055491A" w:rsidP="0055491A">
      <w:pPr>
        <w:pStyle w:val="a7"/>
        <w:spacing w:after="0"/>
        <w:ind w:left="0" w:firstLine="709"/>
        <w:jc w:val="both"/>
        <w:rPr>
          <w:b/>
          <w:sz w:val="28"/>
          <w:szCs w:val="28"/>
        </w:rPr>
      </w:pPr>
      <w:r>
        <w:rPr>
          <w:sz w:val="28"/>
          <w:szCs w:val="28"/>
        </w:rPr>
        <w:t xml:space="preserve">18. </w:t>
      </w:r>
      <w:r w:rsidRPr="0004676F">
        <w:rPr>
          <w:sz w:val="28"/>
          <w:szCs w:val="28"/>
        </w:rPr>
        <w:t>Штрафы, неустойки, пени, уплаченные в соответствии с договором аренды лесного участка или договором купли-продажи лесных насаждений в случае неисполнения или ненадлежащего исполнения обязательства перед государственным органом субъекта Российской Федерации (казенным учреждением субъекта Российской</w:t>
      </w:r>
      <w:r>
        <w:rPr>
          <w:sz w:val="28"/>
          <w:szCs w:val="28"/>
        </w:rPr>
        <w:t xml:space="preserve"> </w:t>
      </w:r>
      <w:r w:rsidRPr="0004676F">
        <w:rPr>
          <w:sz w:val="28"/>
          <w:szCs w:val="28"/>
        </w:rPr>
        <w:t xml:space="preserve">Федерации) </w:t>
      </w:r>
      <w:r>
        <w:rPr>
          <w:sz w:val="28"/>
          <w:szCs w:val="28"/>
        </w:rPr>
        <w:t xml:space="preserve">                                                                         </w:t>
      </w:r>
      <w:r w:rsidRPr="00FE2BEB">
        <w:rPr>
          <w:b/>
          <w:sz w:val="28"/>
          <w:szCs w:val="28"/>
        </w:rPr>
        <w:t xml:space="preserve">КБК 000 1 16 07030 02 0000 140. </w:t>
      </w:r>
    </w:p>
    <w:p w:rsidR="0055491A" w:rsidRPr="00CB10A0" w:rsidRDefault="0055491A" w:rsidP="0055491A">
      <w:pPr>
        <w:pStyle w:val="a7"/>
        <w:spacing w:after="0"/>
        <w:ind w:left="0" w:firstLine="709"/>
        <w:jc w:val="both"/>
        <w:rPr>
          <w:b/>
          <w:sz w:val="28"/>
          <w:szCs w:val="28"/>
        </w:rPr>
      </w:pPr>
      <w:r w:rsidRPr="00CB10A0">
        <w:rPr>
          <w:b/>
          <w:sz w:val="28"/>
          <w:szCs w:val="28"/>
        </w:rPr>
        <w:t xml:space="preserve">Прогноз доходов по данному КБК на 2022 год – 2 466,9 тыс. руб., </w:t>
      </w:r>
      <w:r>
        <w:rPr>
          <w:b/>
          <w:sz w:val="28"/>
          <w:szCs w:val="28"/>
        </w:rPr>
        <w:t xml:space="preserve">                 </w:t>
      </w:r>
      <w:r w:rsidRPr="00CB10A0">
        <w:rPr>
          <w:b/>
          <w:sz w:val="28"/>
          <w:szCs w:val="28"/>
        </w:rPr>
        <w:t>на 2023 год – 3 191,0 тыс. руб., на 2024 год – 3 191,0 тыс. руб.</w:t>
      </w:r>
    </w:p>
    <w:p w:rsidR="0055491A" w:rsidRDefault="0055491A" w:rsidP="0055491A">
      <w:pPr>
        <w:pStyle w:val="a7"/>
        <w:spacing w:after="0"/>
        <w:ind w:left="0" w:firstLine="709"/>
        <w:jc w:val="both"/>
        <w:rPr>
          <w:sz w:val="28"/>
          <w:szCs w:val="28"/>
        </w:rPr>
      </w:pPr>
    </w:p>
    <w:p w:rsidR="0055491A" w:rsidRDefault="0055491A" w:rsidP="0055491A">
      <w:pPr>
        <w:widowControl w:val="0"/>
        <w:autoSpaceDE w:val="0"/>
        <w:autoSpaceDN w:val="0"/>
        <w:ind w:firstLine="709"/>
        <w:jc w:val="both"/>
        <w:rPr>
          <w:b/>
          <w:sz w:val="28"/>
          <w:szCs w:val="28"/>
        </w:rPr>
      </w:pPr>
      <w:r w:rsidRPr="00CB10A0">
        <w:rPr>
          <w:b/>
          <w:sz w:val="28"/>
          <w:szCs w:val="28"/>
          <w:shd w:val="clear" w:color="auto" w:fill="FFFFFF" w:themeFill="background1"/>
        </w:rPr>
        <w:t>КБК 328 1 16 07030 02 0000 140</w:t>
      </w:r>
      <w:r w:rsidRPr="0004676F">
        <w:rPr>
          <w:sz w:val="28"/>
          <w:szCs w:val="28"/>
        </w:rPr>
        <w:t xml:space="preserve"> Штрафы, неустойки, пени, уплаченные </w:t>
      </w:r>
      <w:r w:rsidRPr="0004676F">
        <w:rPr>
          <w:sz w:val="28"/>
          <w:szCs w:val="28"/>
        </w:rPr>
        <w:lastRenderedPageBreak/>
        <w:t>в соответствии с договором аренды лесного участка или договором купли-продажи лесных насаждений в случае неисполнения или ненадлежащего исполнения обязательства перед государственным органом субъекта Российской Федерации (казенным учреждением субъекта Российской Федерации).</w:t>
      </w:r>
      <w:r>
        <w:rPr>
          <w:b/>
          <w:sz w:val="28"/>
          <w:szCs w:val="28"/>
        </w:rPr>
        <w:t xml:space="preserve"> </w:t>
      </w:r>
    </w:p>
    <w:p w:rsidR="0055491A" w:rsidRPr="00CB10A0" w:rsidRDefault="0055491A" w:rsidP="0055491A">
      <w:pPr>
        <w:widowControl w:val="0"/>
        <w:autoSpaceDE w:val="0"/>
        <w:autoSpaceDN w:val="0"/>
        <w:ind w:firstLine="709"/>
        <w:jc w:val="both"/>
        <w:rPr>
          <w:b/>
          <w:sz w:val="28"/>
          <w:szCs w:val="28"/>
        </w:rPr>
      </w:pPr>
      <w:r w:rsidRPr="00CB10A0">
        <w:rPr>
          <w:b/>
          <w:sz w:val="28"/>
          <w:szCs w:val="28"/>
        </w:rPr>
        <w:t>Главный администратор доходов – Министерство лесного хозяйства Тверской области.</w:t>
      </w:r>
    </w:p>
    <w:p w:rsidR="0055491A" w:rsidRPr="0004676F" w:rsidRDefault="0055491A" w:rsidP="0055491A">
      <w:pPr>
        <w:widowControl w:val="0"/>
        <w:autoSpaceDE w:val="0"/>
        <w:autoSpaceDN w:val="0"/>
        <w:ind w:firstLine="709"/>
        <w:jc w:val="both"/>
        <w:rPr>
          <w:sz w:val="28"/>
          <w:szCs w:val="28"/>
        </w:rPr>
      </w:pPr>
      <w:r w:rsidRPr="00B14962">
        <w:rPr>
          <w:b/>
          <w:color w:val="000000"/>
          <w:sz w:val="28"/>
          <w:szCs w:val="28"/>
        </w:rPr>
        <w:t xml:space="preserve">Прогноз на 2022 год – </w:t>
      </w:r>
      <w:r>
        <w:rPr>
          <w:b/>
          <w:color w:val="000000"/>
          <w:sz w:val="28"/>
          <w:szCs w:val="28"/>
        </w:rPr>
        <w:t>2 466,9</w:t>
      </w:r>
      <w:r w:rsidRPr="00B14962">
        <w:rPr>
          <w:b/>
          <w:color w:val="000000"/>
          <w:sz w:val="28"/>
          <w:szCs w:val="28"/>
        </w:rPr>
        <w:t xml:space="preserve"> тыс. руб., на 2023 год – </w:t>
      </w:r>
      <w:r>
        <w:rPr>
          <w:b/>
          <w:color w:val="000000"/>
          <w:sz w:val="28"/>
          <w:szCs w:val="28"/>
        </w:rPr>
        <w:t>3 191,0</w:t>
      </w:r>
      <w:r w:rsidRPr="00B14962">
        <w:rPr>
          <w:b/>
          <w:color w:val="000000"/>
          <w:sz w:val="28"/>
          <w:szCs w:val="28"/>
        </w:rPr>
        <w:t xml:space="preserve"> тыс. руб., на 2024 год – </w:t>
      </w:r>
      <w:r>
        <w:rPr>
          <w:b/>
          <w:color w:val="000000"/>
          <w:sz w:val="28"/>
          <w:szCs w:val="28"/>
        </w:rPr>
        <w:t>3 191,0</w:t>
      </w:r>
      <w:r w:rsidRPr="00B14962">
        <w:rPr>
          <w:b/>
          <w:color w:val="000000"/>
          <w:sz w:val="28"/>
          <w:szCs w:val="28"/>
        </w:rPr>
        <w:t xml:space="preserve"> тыс. руб.</w:t>
      </w:r>
    </w:p>
    <w:p w:rsidR="0055491A" w:rsidRPr="00FC4401" w:rsidRDefault="0055491A" w:rsidP="0055491A">
      <w:pPr>
        <w:widowControl w:val="0"/>
        <w:autoSpaceDE w:val="0"/>
        <w:autoSpaceDN w:val="0"/>
        <w:ind w:firstLine="709"/>
        <w:jc w:val="both"/>
        <w:rPr>
          <w:sz w:val="28"/>
          <w:szCs w:val="28"/>
        </w:rPr>
      </w:pPr>
      <w:r>
        <w:rPr>
          <w:sz w:val="28"/>
          <w:szCs w:val="28"/>
        </w:rPr>
        <w:t xml:space="preserve">Прогноз доходов </w:t>
      </w:r>
      <w:r w:rsidRPr="00FC4401">
        <w:rPr>
          <w:sz w:val="28"/>
          <w:szCs w:val="28"/>
        </w:rPr>
        <w:t>включают поступления от денежных взысканий (штрафов), пеней и неустоек, уплаченные в соответствии с договором аренды лесного участка или договором купли-продажи лесных насаждений, зачисляемых в бюджет субъекта Российской Федерации.</w:t>
      </w:r>
    </w:p>
    <w:p w:rsidR="0055491A" w:rsidRDefault="0055491A" w:rsidP="0055491A">
      <w:pPr>
        <w:widowControl w:val="0"/>
        <w:autoSpaceDE w:val="0"/>
        <w:autoSpaceDN w:val="0"/>
        <w:ind w:firstLine="709"/>
        <w:jc w:val="both"/>
        <w:rPr>
          <w:sz w:val="28"/>
          <w:szCs w:val="28"/>
        </w:rPr>
      </w:pPr>
      <w:r>
        <w:rPr>
          <w:sz w:val="28"/>
          <w:szCs w:val="28"/>
        </w:rPr>
        <w:t>Прогнозирование доходов осуществляется в соответствии со статьей 51, статьей 46 Бюджетного кодекса Российской Федерации, приказами Министерства природных ресурсов и экологии Российской Федерации от 17.10.2017 № 567 «Об утверждении типового договора купли-продажи лесных насаждений», от 20.12.2017 № 693 «Об утверждении типовых договоров аренды лесных участков».</w:t>
      </w:r>
    </w:p>
    <w:p w:rsidR="0055491A" w:rsidRPr="005F6BFA" w:rsidRDefault="0055491A" w:rsidP="0055491A">
      <w:pPr>
        <w:shd w:val="clear" w:color="auto" w:fill="FFFFFF"/>
        <w:ind w:firstLine="709"/>
        <w:jc w:val="both"/>
        <w:rPr>
          <w:rFonts w:eastAsia="Calibri"/>
          <w:b/>
          <w:sz w:val="28"/>
          <w:szCs w:val="28"/>
          <w:lang w:eastAsia="en-US"/>
        </w:rPr>
      </w:pPr>
      <w:r w:rsidRPr="00130268">
        <w:rPr>
          <w:sz w:val="28"/>
          <w:szCs w:val="28"/>
        </w:rPr>
        <w:t>При прогнозировании данного вида доходов применяется метод средней.</w:t>
      </w:r>
    </w:p>
    <w:p w:rsidR="0055491A" w:rsidRPr="00130268" w:rsidRDefault="0055491A" w:rsidP="0055491A">
      <w:pPr>
        <w:shd w:val="clear" w:color="auto" w:fill="FFFFFF"/>
        <w:ind w:firstLine="709"/>
        <w:jc w:val="both"/>
        <w:rPr>
          <w:rFonts w:eastAsia="Calibri"/>
          <w:b/>
          <w:sz w:val="28"/>
          <w:szCs w:val="28"/>
          <w:lang w:eastAsia="en-US"/>
        </w:rPr>
      </w:pPr>
      <w:r w:rsidRPr="00130268">
        <w:rPr>
          <w:sz w:val="28"/>
          <w:szCs w:val="28"/>
        </w:rPr>
        <w:t>Прогноз данного вида доходов определяется по формуле:</w:t>
      </w:r>
    </w:p>
    <w:p w:rsidR="0055491A" w:rsidRPr="00130268" w:rsidRDefault="0055491A" w:rsidP="0055491A">
      <w:pPr>
        <w:widowControl w:val="0"/>
        <w:autoSpaceDE w:val="0"/>
        <w:autoSpaceDN w:val="0"/>
        <w:ind w:firstLine="709"/>
        <w:rPr>
          <w:sz w:val="28"/>
          <w:szCs w:val="28"/>
        </w:rPr>
      </w:pPr>
      <w:r w:rsidRPr="00C01736">
        <w:rPr>
          <w:noProof/>
          <w:position w:val="-41"/>
          <w:sz w:val="28"/>
          <w:szCs w:val="28"/>
        </w:rPr>
        <w:drawing>
          <wp:inline distT="0" distB="0" distL="0" distR="0" wp14:anchorId="418F7009" wp14:editId="36C9DF5D">
            <wp:extent cx="1052830" cy="669925"/>
            <wp:effectExtent l="0" t="0" r="0" b="0"/>
            <wp:docPr id="24383" name="Рисунок 24383" descr="Описание: base_50_590968_329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6" descr="Описание: base_50_590968_32901"/>
                    <pic:cNvPicPr>
                      <a:picLocks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052830" cy="669925"/>
                    </a:xfrm>
                    <a:prstGeom prst="rect">
                      <a:avLst/>
                    </a:prstGeom>
                    <a:noFill/>
                    <a:ln>
                      <a:noFill/>
                    </a:ln>
                  </pic:spPr>
                </pic:pic>
              </a:graphicData>
            </a:graphic>
          </wp:inline>
        </w:drawing>
      </w:r>
    </w:p>
    <w:p w:rsidR="0055491A" w:rsidRDefault="0055491A" w:rsidP="0055491A">
      <w:pPr>
        <w:widowControl w:val="0"/>
        <w:autoSpaceDE w:val="0"/>
        <w:autoSpaceDN w:val="0"/>
        <w:ind w:firstLine="709"/>
        <w:jc w:val="both"/>
        <w:rPr>
          <w:sz w:val="28"/>
          <w:szCs w:val="28"/>
        </w:rPr>
      </w:pPr>
    </w:p>
    <w:p w:rsidR="0055491A" w:rsidRPr="00130268" w:rsidRDefault="0055491A" w:rsidP="0055491A">
      <w:pPr>
        <w:widowControl w:val="0"/>
        <w:autoSpaceDE w:val="0"/>
        <w:autoSpaceDN w:val="0"/>
        <w:ind w:firstLine="709"/>
        <w:jc w:val="both"/>
        <w:rPr>
          <w:sz w:val="28"/>
          <w:szCs w:val="28"/>
        </w:rPr>
      </w:pPr>
      <w:r w:rsidRPr="00130268">
        <w:rPr>
          <w:sz w:val="28"/>
          <w:szCs w:val="28"/>
        </w:rPr>
        <w:t>где:</w:t>
      </w:r>
    </w:p>
    <w:p w:rsidR="0055491A" w:rsidRPr="00130268" w:rsidRDefault="0055491A" w:rsidP="0055491A">
      <w:pPr>
        <w:widowControl w:val="0"/>
        <w:autoSpaceDE w:val="0"/>
        <w:autoSpaceDN w:val="0"/>
        <w:ind w:firstLine="709"/>
        <w:jc w:val="both"/>
        <w:rPr>
          <w:sz w:val="28"/>
          <w:szCs w:val="28"/>
        </w:rPr>
      </w:pPr>
      <w:r w:rsidRPr="00C01736">
        <w:rPr>
          <w:noProof/>
          <w:position w:val="-26"/>
          <w:sz w:val="28"/>
          <w:szCs w:val="28"/>
        </w:rPr>
        <w:drawing>
          <wp:inline distT="0" distB="0" distL="0" distR="0" wp14:anchorId="798AC14F" wp14:editId="5B26DB53">
            <wp:extent cx="393700" cy="478155"/>
            <wp:effectExtent l="0" t="0" r="6350" b="0"/>
            <wp:docPr id="24382" name="Рисунок 24382" descr="Описание: base_50_590968_329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7" descr="Описание: base_50_590968_32902"/>
                    <pic:cNvPicPr>
                      <a:picLocks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393700" cy="478155"/>
                    </a:xfrm>
                    <a:prstGeom prst="rect">
                      <a:avLst/>
                    </a:prstGeom>
                    <a:noFill/>
                    <a:ln>
                      <a:noFill/>
                    </a:ln>
                  </pic:spPr>
                </pic:pic>
              </a:graphicData>
            </a:graphic>
          </wp:inline>
        </w:drawing>
      </w:r>
      <w:r w:rsidRPr="00130268">
        <w:rPr>
          <w:sz w:val="28"/>
          <w:szCs w:val="28"/>
        </w:rPr>
        <w:t xml:space="preserve"> - сумма поступлений по виду доходов за три года, предшествующих прогнозируемому году (при формировании прогноза на очередной финансовый год используются фактические данные за два отчетных года и </w:t>
      </w:r>
      <w:r>
        <w:rPr>
          <w:sz w:val="28"/>
          <w:szCs w:val="28"/>
        </w:rPr>
        <w:t>ожидаемая оценка</w:t>
      </w:r>
      <w:r w:rsidRPr="00130268">
        <w:rPr>
          <w:sz w:val="28"/>
          <w:szCs w:val="28"/>
        </w:rPr>
        <w:t xml:space="preserve"> на текущий финансовый год, при формировании прогноза на первый год планового периода используются фактические данные за один отчетный год и </w:t>
      </w:r>
      <w:r>
        <w:rPr>
          <w:sz w:val="28"/>
          <w:szCs w:val="28"/>
        </w:rPr>
        <w:t>ожидаемая оценка</w:t>
      </w:r>
      <w:r w:rsidRPr="00130268">
        <w:rPr>
          <w:sz w:val="28"/>
          <w:szCs w:val="28"/>
        </w:rPr>
        <w:t xml:space="preserve"> текущего финансового года и </w:t>
      </w:r>
      <w:r>
        <w:rPr>
          <w:sz w:val="28"/>
          <w:szCs w:val="28"/>
        </w:rPr>
        <w:t xml:space="preserve">прогноз </w:t>
      </w:r>
      <w:r w:rsidRPr="00130268">
        <w:rPr>
          <w:sz w:val="28"/>
          <w:szCs w:val="28"/>
        </w:rPr>
        <w:t>очередного финансового года; прогноз на второй год планового периода принимается на уровне прогноза первого года планового периода) (тыс. руб.);</w:t>
      </w:r>
    </w:p>
    <w:p w:rsidR="0055491A" w:rsidRPr="00B54A91" w:rsidRDefault="0055491A" w:rsidP="0055491A">
      <w:pPr>
        <w:widowControl w:val="0"/>
        <w:autoSpaceDE w:val="0"/>
        <w:autoSpaceDN w:val="0"/>
        <w:ind w:firstLine="709"/>
        <w:jc w:val="both"/>
        <w:rPr>
          <w:sz w:val="28"/>
          <w:szCs w:val="28"/>
        </w:rPr>
      </w:pPr>
      <w:r w:rsidRPr="00130268">
        <w:rPr>
          <w:sz w:val="28"/>
          <w:szCs w:val="28"/>
        </w:rPr>
        <w:t>R - корректирующая сумма поступлений, учитывающая отдельные решения Президента Российской Федерации, Правительства Российской Федерации, а также проекты нормативных правовых актов Президента Российской Федерации, Правительства Российской Федерации и другие факторы, влияющие на объем прогнозируемых доходов (тыс. руб.).</w:t>
      </w:r>
    </w:p>
    <w:p w:rsidR="0055491A" w:rsidRDefault="0055491A" w:rsidP="0055491A">
      <w:pPr>
        <w:tabs>
          <w:tab w:val="left" w:pos="4395"/>
        </w:tabs>
        <w:ind w:firstLine="709"/>
        <w:jc w:val="both"/>
        <w:rPr>
          <w:sz w:val="28"/>
          <w:szCs w:val="28"/>
        </w:rPr>
      </w:pPr>
      <w:r>
        <w:rPr>
          <w:sz w:val="28"/>
          <w:szCs w:val="28"/>
        </w:rPr>
        <w:t>Согласно данным отчета 2-ОИП «Сведения о поступлении платы за использование лесов в бюджетную систему Российской Федерации»</w:t>
      </w:r>
      <w:r w:rsidRPr="00F16BD9">
        <w:rPr>
          <w:rFonts w:eastAsia="Calibri"/>
          <w:sz w:val="28"/>
          <w:szCs w:val="28"/>
          <w:lang w:eastAsia="en-US"/>
        </w:rPr>
        <w:t xml:space="preserve"> </w:t>
      </w:r>
      <w:r w:rsidRPr="005F6BFA">
        <w:rPr>
          <w:rFonts w:eastAsia="Calibri"/>
          <w:sz w:val="28"/>
          <w:szCs w:val="28"/>
          <w:lang w:eastAsia="en-US"/>
        </w:rPr>
        <w:lastRenderedPageBreak/>
        <w:t>утвержденно</w:t>
      </w:r>
      <w:r>
        <w:rPr>
          <w:rFonts w:eastAsia="Calibri"/>
          <w:sz w:val="28"/>
          <w:szCs w:val="28"/>
          <w:lang w:eastAsia="en-US"/>
        </w:rPr>
        <w:t>го</w:t>
      </w:r>
      <w:r w:rsidRPr="005F6BFA">
        <w:rPr>
          <w:rFonts w:eastAsia="Calibri"/>
          <w:sz w:val="28"/>
          <w:szCs w:val="28"/>
          <w:lang w:eastAsia="en-US"/>
        </w:rPr>
        <w:t xml:space="preserve"> приказом Минприроды России от 28.12.2015 № 565</w:t>
      </w:r>
      <w:r>
        <w:rPr>
          <w:rFonts w:eastAsia="Calibri"/>
          <w:sz w:val="28"/>
          <w:szCs w:val="28"/>
          <w:lang w:eastAsia="en-US"/>
        </w:rPr>
        <w:t>,</w:t>
      </w:r>
      <w:r>
        <w:rPr>
          <w:sz w:val="28"/>
          <w:szCs w:val="28"/>
        </w:rPr>
        <w:t xml:space="preserve">  фактическое поступление </w:t>
      </w:r>
      <w:r w:rsidRPr="00FC4401">
        <w:rPr>
          <w:sz w:val="28"/>
          <w:szCs w:val="28"/>
        </w:rPr>
        <w:t>денежных взысканий (штрафов), пеней и неустоек, уплаченные в соответствии с договором аренды лесного участка или договором купли-продажи лесных насаждений, зачисляемых в бюджет субъекта Российской Федерации</w:t>
      </w:r>
      <w:r>
        <w:rPr>
          <w:sz w:val="28"/>
          <w:szCs w:val="28"/>
        </w:rPr>
        <w:t>, составило:</w:t>
      </w:r>
    </w:p>
    <w:p w:rsidR="0055491A" w:rsidRDefault="0055491A" w:rsidP="0055491A">
      <w:pPr>
        <w:tabs>
          <w:tab w:val="left" w:pos="4395"/>
        </w:tabs>
        <w:ind w:firstLine="709"/>
        <w:jc w:val="both"/>
        <w:rPr>
          <w:sz w:val="28"/>
          <w:szCs w:val="28"/>
        </w:rPr>
      </w:pPr>
      <w:r>
        <w:rPr>
          <w:sz w:val="28"/>
          <w:szCs w:val="28"/>
        </w:rPr>
        <w:t>2018 год – 283,880 тыс. руб., 2019 год – 294,791 тыс. руб., 2020 год – 5 793,155 тыс. руб., 2021 год (01.07.2021) – 1 312,823 тыс. руб.</w:t>
      </w:r>
    </w:p>
    <w:p w:rsidR="0055491A" w:rsidRDefault="0055491A" w:rsidP="0055491A">
      <w:pPr>
        <w:tabs>
          <w:tab w:val="left" w:pos="4395"/>
        </w:tabs>
        <w:ind w:firstLine="709"/>
        <w:jc w:val="both"/>
        <w:rPr>
          <w:color w:val="000000"/>
          <w:sz w:val="28"/>
          <w:szCs w:val="28"/>
          <w:lang w:bidi="ru-RU"/>
        </w:rPr>
      </w:pPr>
      <w:r>
        <w:rPr>
          <w:sz w:val="28"/>
          <w:szCs w:val="28"/>
        </w:rPr>
        <w:t>Ожидаемое поступление указанного вида доходов в 2021 году с учетом фактического поступления на 01.07.2021 составит 1 312,823 тыс. руб.</w:t>
      </w:r>
      <w:r>
        <w:rPr>
          <w:sz w:val="28"/>
          <w:szCs w:val="28"/>
          <w:lang w:bidi="ru-RU"/>
        </w:rPr>
        <w:t xml:space="preserve"> К</w:t>
      </w:r>
      <w:r w:rsidRPr="002125BA">
        <w:rPr>
          <w:sz w:val="28"/>
          <w:szCs w:val="28"/>
          <w:lang w:bidi="ru-RU"/>
        </w:rPr>
        <w:t xml:space="preserve">орректирующая сумма поступлений, учитывающая отдельные </w:t>
      </w:r>
      <w:r w:rsidRPr="002125BA">
        <w:rPr>
          <w:color w:val="000000"/>
          <w:sz w:val="28"/>
          <w:szCs w:val="28"/>
          <w:lang w:bidi="ru-RU"/>
        </w:rPr>
        <w:t xml:space="preserve">решения Президента Российской Федерации, Правительства Российской Федерации, а также проекты нормативных правовых актов Президента Российской Федерации, Правительства Российской Федерации и другие факторы, влияющие на объем прогнозируемых доходов, тыс. руб. </w:t>
      </w:r>
    </w:p>
    <w:p w:rsidR="0055491A" w:rsidRDefault="0055491A" w:rsidP="0055491A">
      <w:pPr>
        <w:tabs>
          <w:tab w:val="left" w:pos="4395"/>
        </w:tabs>
        <w:ind w:firstLine="709"/>
        <w:jc w:val="both"/>
        <w:rPr>
          <w:sz w:val="28"/>
          <w:szCs w:val="28"/>
        </w:rPr>
      </w:pPr>
      <w:r>
        <w:rPr>
          <w:sz w:val="28"/>
          <w:szCs w:val="28"/>
        </w:rPr>
        <w:t>Прогнозное поступление составит:</w:t>
      </w:r>
    </w:p>
    <w:p w:rsidR="0055491A" w:rsidRDefault="0055491A" w:rsidP="0055491A">
      <w:pPr>
        <w:tabs>
          <w:tab w:val="left" w:pos="4395"/>
        </w:tabs>
        <w:ind w:firstLine="709"/>
        <w:jc w:val="both"/>
        <w:rPr>
          <w:sz w:val="28"/>
          <w:szCs w:val="28"/>
        </w:rPr>
      </w:pPr>
      <w:r w:rsidRPr="0031548D">
        <w:rPr>
          <w:sz w:val="28"/>
          <w:szCs w:val="28"/>
        </w:rPr>
        <w:t>Д</w:t>
      </w:r>
      <w:r>
        <w:rPr>
          <w:sz w:val="28"/>
          <w:szCs w:val="28"/>
          <w:vertAlign w:val="subscript"/>
        </w:rPr>
        <w:t>2022</w:t>
      </w:r>
      <w:r w:rsidRPr="00656FE1">
        <w:rPr>
          <w:sz w:val="28"/>
          <w:szCs w:val="28"/>
        </w:rPr>
        <w:t xml:space="preserve"> = </w:t>
      </w:r>
      <w:r>
        <w:rPr>
          <w:sz w:val="28"/>
          <w:szCs w:val="28"/>
        </w:rPr>
        <w:t xml:space="preserve">(294,791 + 5 793,155 + 1 312,823)/3 ± 0,0 = 2 466,9 тыс. руб.                        </w:t>
      </w:r>
      <w:r w:rsidRPr="00A4270B">
        <w:rPr>
          <w:i/>
          <w:sz w:val="28"/>
          <w:szCs w:val="28"/>
        </w:rPr>
        <w:t>(с учетом округления)</w:t>
      </w:r>
      <w:r>
        <w:rPr>
          <w:sz w:val="28"/>
          <w:szCs w:val="28"/>
        </w:rPr>
        <w:t xml:space="preserve">; </w:t>
      </w:r>
    </w:p>
    <w:p w:rsidR="0055491A" w:rsidRDefault="0055491A" w:rsidP="0055491A">
      <w:pPr>
        <w:tabs>
          <w:tab w:val="left" w:pos="4395"/>
        </w:tabs>
        <w:ind w:firstLine="709"/>
        <w:jc w:val="both"/>
        <w:rPr>
          <w:sz w:val="28"/>
          <w:szCs w:val="28"/>
        </w:rPr>
      </w:pPr>
      <w:r>
        <w:rPr>
          <w:sz w:val="28"/>
          <w:szCs w:val="28"/>
        </w:rPr>
        <w:t>Д</w:t>
      </w:r>
      <w:r>
        <w:rPr>
          <w:sz w:val="28"/>
          <w:szCs w:val="28"/>
          <w:vertAlign w:val="subscript"/>
        </w:rPr>
        <w:t>2023</w:t>
      </w:r>
      <w:r>
        <w:rPr>
          <w:sz w:val="28"/>
          <w:szCs w:val="28"/>
        </w:rPr>
        <w:t xml:space="preserve"> = (5 793,155 + 1 312,823 + 2 466,923)/3 ± 0,0 = 3 191,0 тыс. руб.                     (</w:t>
      </w:r>
      <w:r w:rsidRPr="00A4270B">
        <w:rPr>
          <w:i/>
          <w:sz w:val="28"/>
          <w:szCs w:val="28"/>
        </w:rPr>
        <w:t>с учетом округления</w:t>
      </w:r>
      <w:r>
        <w:rPr>
          <w:sz w:val="28"/>
          <w:szCs w:val="28"/>
        </w:rPr>
        <w:t>) тыс. руб.;</w:t>
      </w:r>
    </w:p>
    <w:p w:rsidR="0055491A" w:rsidRDefault="0055491A" w:rsidP="0055491A">
      <w:pPr>
        <w:tabs>
          <w:tab w:val="left" w:pos="4395"/>
        </w:tabs>
        <w:ind w:firstLine="709"/>
        <w:jc w:val="both"/>
        <w:rPr>
          <w:sz w:val="28"/>
          <w:szCs w:val="28"/>
        </w:rPr>
      </w:pPr>
      <w:r>
        <w:rPr>
          <w:sz w:val="28"/>
          <w:szCs w:val="28"/>
        </w:rPr>
        <w:t>Д</w:t>
      </w:r>
      <w:r>
        <w:rPr>
          <w:sz w:val="28"/>
          <w:szCs w:val="28"/>
          <w:vertAlign w:val="subscript"/>
        </w:rPr>
        <w:t>2024</w:t>
      </w:r>
      <w:r>
        <w:rPr>
          <w:sz w:val="28"/>
          <w:szCs w:val="28"/>
        </w:rPr>
        <w:t xml:space="preserve"> = Д</w:t>
      </w:r>
      <w:r>
        <w:rPr>
          <w:sz w:val="28"/>
          <w:szCs w:val="28"/>
          <w:vertAlign w:val="subscript"/>
        </w:rPr>
        <w:t xml:space="preserve">2023 </w:t>
      </w:r>
      <w:r>
        <w:rPr>
          <w:sz w:val="28"/>
          <w:szCs w:val="28"/>
        </w:rPr>
        <w:t xml:space="preserve"> = 3 191,0 тыс. руб.                     </w:t>
      </w:r>
    </w:p>
    <w:p w:rsidR="0055491A" w:rsidRDefault="0055491A" w:rsidP="0055491A">
      <w:pPr>
        <w:pStyle w:val="a7"/>
        <w:spacing w:after="0"/>
        <w:ind w:left="0" w:firstLine="709"/>
        <w:jc w:val="both"/>
        <w:rPr>
          <w:sz w:val="28"/>
          <w:szCs w:val="28"/>
          <w:highlight w:val="green"/>
        </w:rPr>
      </w:pPr>
    </w:p>
    <w:p w:rsidR="0055491A" w:rsidRPr="00FE2BEB" w:rsidRDefault="0055491A" w:rsidP="0055491A">
      <w:pPr>
        <w:pStyle w:val="a4"/>
        <w:spacing w:after="0"/>
        <w:rPr>
          <w:b/>
        </w:rPr>
      </w:pPr>
      <w:r>
        <w:t xml:space="preserve">19. </w:t>
      </w:r>
      <w:r w:rsidRPr="00FE2BEB">
        <w:t>Штрафы, неустойки, пени, уплаченные в соответствии с договором водопользования в случае неисполнения или ненадлежащего исполнения обязательств перед государственным (муниципальным) органом, казенным учреждением</w:t>
      </w:r>
      <w:r>
        <w:t xml:space="preserve"> </w:t>
      </w:r>
      <w:r w:rsidRPr="00FE2BEB">
        <w:rPr>
          <w:b/>
        </w:rPr>
        <w:t>КБК 000 1 16 070</w:t>
      </w:r>
      <w:r>
        <w:rPr>
          <w:b/>
        </w:rPr>
        <w:t>4</w:t>
      </w:r>
      <w:r w:rsidRPr="00FE2BEB">
        <w:rPr>
          <w:b/>
        </w:rPr>
        <w:t xml:space="preserve">0 02 0000 140. </w:t>
      </w:r>
    </w:p>
    <w:p w:rsidR="0055491A" w:rsidRPr="00CB10A0" w:rsidRDefault="0055491A" w:rsidP="0055491A">
      <w:pPr>
        <w:pStyle w:val="a7"/>
        <w:spacing w:after="0"/>
        <w:ind w:left="0" w:firstLine="709"/>
        <w:jc w:val="both"/>
        <w:rPr>
          <w:b/>
          <w:sz w:val="28"/>
          <w:szCs w:val="28"/>
        </w:rPr>
      </w:pPr>
      <w:r w:rsidRPr="00CB10A0">
        <w:rPr>
          <w:b/>
          <w:sz w:val="28"/>
          <w:szCs w:val="28"/>
        </w:rPr>
        <w:t xml:space="preserve">Прогноз доходов по данному КБК на 2022 год – </w:t>
      </w:r>
      <w:r>
        <w:rPr>
          <w:b/>
          <w:sz w:val="28"/>
          <w:szCs w:val="28"/>
        </w:rPr>
        <w:t>1,8</w:t>
      </w:r>
      <w:r w:rsidRPr="00CB10A0">
        <w:rPr>
          <w:b/>
          <w:sz w:val="28"/>
          <w:szCs w:val="28"/>
        </w:rPr>
        <w:t xml:space="preserve"> тыс. руб., </w:t>
      </w:r>
      <w:r>
        <w:rPr>
          <w:b/>
          <w:sz w:val="28"/>
          <w:szCs w:val="28"/>
        </w:rPr>
        <w:t xml:space="preserve">                 </w:t>
      </w:r>
      <w:r w:rsidRPr="00CB10A0">
        <w:rPr>
          <w:b/>
          <w:sz w:val="28"/>
          <w:szCs w:val="28"/>
        </w:rPr>
        <w:t xml:space="preserve">на 2023 год – </w:t>
      </w:r>
      <w:r>
        <w:rPr>
          <w:b/>
          <w:sz w:val="28"/>
          <w:szCs w:val="28"/>
        </w:rPr>
        <w:t>1,8</w:t>
      </w:r>
      <w:r w:rsidRPr="00CB10A0">
        <w:rPr>
          <w:b/>
          <w:sz w:val="28"/>
          <w:szCs w:val="28"/>
        </w:rPr>
        <w:t xml:space="preserve"> тыс. руб., на 2024 год – </w:t>
      </w:r>
      <w:r>
        <w:rPr>
          <w:b/>
          <w:sz w:val="28"/>
          <w:szCs w:val="28"/>
        </w:rPr>
        <w:t>1,8</w:t>
      </w:r>
      <w:r w:rsidRPr="00CB10A0">
        <w:rPr>
          <w:b/>
          <w:sz w:val="28"/>
          <w:szCs w:val="28"/>
        </w:rPr>
        <w:t xml:space="preserve"> тыс. руб.</w:t>
      </w:r>
    </w:p>
    <w:p w:rsidR="0055491A" w:rsidRDefault="0055491A" w:rsidP="0055491A">
      <w:pPr>
        <w:pStyle w:val="a4"/>
        <w:spacing w:after="0"/>
      </w:pPr>
    </w:p>
    <w:p w:rsidR="0055491A" w:rsidRDefault="0055491A" w:rsidP="0055491A">
      <w:pPr>
        <w:pStyle w:val="a4"/>
        <w:spacing w:after="0"/>
      </w:pPr>
      <w:r w:rsidRPr="00FE2BEB">
        <w:rPr>
          <w:b/>
        </w:rPr>
        <w:t>КБК 327 1 16 07040 02 0000 140</w:t>
      </w:r>
      <w:r>
        <w:t xml:space="preserve"> </w:t>
      </w:r>
      <w:r w:rsidRPr="00DB73EF">
        <w:t>Штрафы, неустойки, пени, уплаченные в соответствии с договором водопользования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p w:rsidR="0055491A" w:rsidRPr="00FE2BEB" w:rsidRDefault="0055491A" w:rsidP="0055491A">
      <w:pPr>
        <w:pStyle w:val="a4"/>
        <w:spacing w:after="0"/>
        <w:rPr>
          <w:b/>
        </w:rPr>
      </w:pPr>
      <w:r w:rsidRPr="00FE2BEB">
        <w:rPr>
          <w:b/>
        </w:rPr>
        <w:t>Главный администратор доходов – Министерство природных ресурсов и экологии Тверской области.</w:t>
      </w:r>
    </w:p>
    <w:p w:rsidR="0055491A" w:rsidRDefault="0055491A" w:rsidP="0055491A">
      <w:pPr>
        <w:ind w:firstLine="709"/>
        <w:jc w:val="both"/>
        <w:rPr>
          <w:sz w:val="28"/>
          <w:szCs w:val="28"/>
        </w:rPr>
      </w:pPr>
      <w:r w:rsidRPr="00926FA7">
        <w:rPr>
          <w:sz w:val="28"/>
          <w:szCs w:val="28"/>
        </w:rPr>
        <w:t xml:space="preserve">Расчет произведен Министерством природных ресурсов и экологии Тверской области в соответствии с методикой, утвержденной  приказом Министерства природных ресурсов и экологии Тверской области от </w:t>
      </w:r>
      <w:r>
        <w:rPr>
          <w:sz w:val="28"/>
          <w:szCs w:val="28"/>
        </w:rPr>
        <w:t>17</w:t>
      </w:r>
      <w:r w:rsidRPr="009F2ACB">
        <w:rPr>
          <w:sz w:val="28"/>
          <w:szCs w:val="28"/>
        </w:rPr>
        <w:t>.0</w:t>
      </w:r>
      <w:r>
        <w:rPr>
          <w:sz w:val="28"/>
          <w:szCs w:val="28"/>
        </w:rPr>
        <w:t>6</w:t>
      </w:r>
      <w:r w:rsidRPr="009F2ACB">
        <w:rPr>
          <w:sz w:val="28"/>
          <w:szCs w:val="28"/>
        </w:rPr>
        <w:t>.20</w:t>
      </w:r>
      <w:r>
        <w:rPr>
          <w:sz w:val="28"/>
          <w:szCs w:val="28"/>
        </w:rPr>
        <w:t xml:space="preserve">21 № </w:t>
      </w:r>
      <w:r w:rsidRPr="009F2ACB">
        <w:rPr>
          <w:sz w:val="28"/>
          <w:szCs w:val="28"/>
        </w:rPr>
        <w:t>8</w:t>
      </w:r>
      <w:r>
        <w:rPr>
          <w:sz w:val="28"/>
          <w:szCs w:val="28"/>
        </w:rPr>
        <w:t>5</w:t>
      </w:r>
      <w:r w:rsidRPr="009F2ACB">
        <w:rPr>
          <w:sz w:val="28"/>
          <w:szCs w:val="28"/>
        </w:rPr>
        <w:t>-кв</w:t>
      </w:r>
      <w:r w:rsidRPr="00926FA7">
        <w:rPr>
          <w:sz w:val="28"/>
          <w:szCs w:val="28"/>
        </w:rPr>
        <w:t>.</w:t>
      </w:r>
    </w:p>
    <w:p w:rsidR="0055491A" w:rsidRDefault="0055491A" w:rsidP="0055491A">
      <w:pPr>
        <w:ind w:firstLine="709"/>
        <w:jc w:val="both"/>
        <w:rPr>
          <w:sz w:val="28"/>
          <w:szCs w:val="28"/>
        </w:rPr>
      </w:pPr>
      <w:r w:rsidRPr="00494A3D">
        <w:rPr>
          <w:sz w:val="28"/>
          <w:szCs w:val="28"/>
        </w:rPr>
        <w:t>Штрафы, неустойки, пени, уплаченные в соответствии с договором водопользования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r>
        <w:rPr>
          <w:sz w:val="28"/>
          <w:szCs w:val="28"/>
        </w:rPr>
        <w:t>,</w:t>
      </w:r>
      <w:r w:rsidRPr="00494A3D">
        <w:rPr>
          <w:sz w:val="28"/>
          <w:szCs w:val="28"/>
        </w:rPr>
        <w:t xml:space="preserve"> </w:t>
      </w:r>
      <w:r>
        <w:rPr>
          <w:sz w:val="28"/>
          <w:szCs w:val="28"/>
        </w:rPr>
        <w:t>рассчитываются методом экстраполяции по минимальному значению за 3 года предшествующему текущему финансовому году.</w:t>
      </w:r>
    </w:p>
    <w:p w:rsidR="0055491A" w:rsidRPr="00FE2BEB" w:rsidRDefault="0055491A" w:rsidP="0055491A">
      <w:pPr>
        <w:ind w:firstLine="709"/>
        <w:jc w:val="both"/>
        <w:rPr>
          <w:b/>
          <w:sz w:val="28"/>
          <w:szCs w:val="28"/>
        </w:rPr>
      </w:pPr>
      <w:r>
        <w:rPr>
          <w:sz w:val="28"/>
          <w:szCs w:val="28"/>
        </w:rPr>
        <w:lastRenderedPageBreak/>
        <w:t xml:space="preserve">За основу взяты поступления пеней и штрафов по договорам водопользования за 2018-2020 годы. В  2018 году – 1,8 тыс. руб., в 2019 году – 5 991,1 тыс. руб., в 2020 году поступило – </w:t>
      </w:r>
      <w:r w:rsidRPr="00EF5BB8">
        <w:rPr>
          <w:sz w:val="28"/>
          <w:szCs w:val="28"/>
        </w:rPr>
        <w:t>8 078,9</w:t>
      </w:r>
      <w:r>
        <w:rPr>
          <w:sz w:val="28"/>
          <w:szCs w:val="28"/>
        </w:rPr>
        <w:t xml:space="preserve"> тыс. руб.  Таким образом, </w:t>
      </w:r>
      <w:r>
        <w:rPr>
          <w:b/>
          <w:sz w:val="28"/>
          <w:szCs w:val="28"/>
        </w:rPr>
        <w:t>П</w:t>
      </w:r>
      <w:r w:rsidRPr="00FE2BEB">
        <w:rPr>
          <w:b/>
          <w:sz w:val="28"/>
          <w:szCs w:val="28"/>
        </w:rPr>
        <w:t>рогноз поступлений на 2022-2024 годы составит – 1,8 тыс. руб. ежегодно.</w:t>
      </w:r>
    </w:p>
    <w:p w:rsidR="0055491A" w:rsidRDefault="0055491A" w:rsidP="0055491A">
      <w:pPr>
        <w:ind w:firstLine="709"/>
        <w:jc w:val="both"/>
        <w:rPr>
          <w:sz w:val="28"/>
          <w:szCs w:val="28"/>
        </w:rPr>
      </w:pPr>
    </w:p>
    <w:p w:rsidR="0055491A" w:rsidRPr="00124A5B" w:rsidRDefault="0055491A" w:rsidP="0055491A">
      <w:pPr>
        <w:pStyle w:val="a7"/>
        <w:spacing w:after="0"/>
        <w:ind w:left="0" w:firstLine="709"/>
        <w:jc w:val="both"/>
        <w:rPr>
          <w:b/>
          <w:sz w:val="28"/>
          <w:szCs w:val="28"/>
        </w:rPr>
      </w:pPr>
      <w:r>
        <w:rPr>
          <w:sz w:val="28"/>
          <w:szCs w:val="28"/>
        </w:rPr>
        <w:t xml:space="preserve">20. </w:t>
      </w:r>
      <w:r w:rsidRPr="001E4BE3">
        <w:rPr>
          <w:sz w:val="28"/>
          <w:szCs w:val="28"/>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r>
        <w:rPr>
          <w:sz w:val="28"/>
          <w:szCs w:val="28"/>
        </w:rPr>
        <w:t xml:space="preserve"> (</w:t>
      </w:r>
      <w:r w:rsidRPr="00124A5B">
        <w:rPr>
          <w:b/>
          <w:sz w:val="28"/>
          <w:szCs w:val="28"/>
        </w:rPr>
        <w:t>КБК 000 1 16 07090 02 0000 140).</w:t>
      </w:r>
    </w:p>
    <w:p w:rsidR="0055491A" w:rsidRDefault="0055491A" w:rsidP="0055491A">
      <w:pPr>
        <w:pStyle w:val="a7"/>
        <w:spacing w:after="0"/>
        <w:ind w:left="0" w:firstLine="709"/>
        <w:jc w:val="both"/>
        <w:rPr>
          <w:b/>
          <w:sz w:val="28"/>
          <w:szCs w:val="28"/>
        </w:rPr>
      </w:pPr>
      <w:r w:rsidRPr="00124A5B">
        <w:rPr>
          <w:b/>
          <w:sz w:val="28"/>
          <w:szCs w:val="28"/>
        </w:rPr>
        <w:t>Прогноз доходов по данному КБК на 202</w:t>
      </w:r>
      <w:r>
        <w:rPr>
          <w:b/>
          <w:sz w:val="28"/>
          <w:szCs w:val="28"/>
        </w:rPr>
        <w:t>2</w:t>
      </w:r>
      <w:r w:rsidRPr="00124A5B">
        <w:rPr>
          <w:b/>
          <w:sz w:val="28"/>
          <w:szCs w:val="28"/>
        </w:rPr>
        <w:t xml:space="preserve"> год – </w:t>
      </w:r>
      <w:r>
        <w:rPr>
          <w:b/>
          <w:sz w:val="28"/>
          <w:szCs w:val="28"/>
        </w:rPr>
        <w:t>7</w:t>
      </w:r>
      <w:r w:rsidRPr="00124A5B">
        <w:rPr>
          <w:b/>
          <w:sz w:val="28"/>
          <w:szCs w:val="28"/>
        </w:rPr>
        <w:t xml:space="preserve"> </w:t>
      </w:r>
      <w:r>
        <w:rPr>
          <w:b/>
          <w:sz w:val="28"/>
          <w:szCs w:val="28"/>
        </w:rPr>
        <w:t>438</w:t>
      </w:r>
      <w:r w:rsidRPr="00124A5B">
        <w:rPr>
          <w:b/>
          <w:sz w:val="28"/>
          <w:szCs w:val="28"/>
        </w:rPr>
        <w:t>,</w:t>
      </w:r>
      <w:r>
        <w:rPr>
          <w:b/>
          <w:sz w:val="28"/>
          <w:szCs w:val="28"/>
        </w:rPr>
        <w:t>8</w:t>
      </w:r>
      <w:r w:rsidRPr="00124A5B">
        <w:rPr>
          <w:b/>
          <w:sz w:val="28"/>
          <w:szCs w:val="28"/>
        </w:rPr>
        <w:t xml:space="preserve"> тыс. руб., на 202</w:t>
      </w:r>
      <w:r>
        <w:rPr>
          <w:b/>
          <w:sz w:val="28"/>
          <w:szCs w:val="28"/>
        </w:rPr>
        <w:t>3</w:t>
      </w:r>
      <w:r w:rsidRPr="00124A5B">
        <w:rPr>
          <w:b/>
          <w:sz w:val="28"/>
          <w:szCs w:val="28"/>
        </w:rPr>
        <w:t xml:space="preserve"> год – </w:t>
      </w:r>
      <w:r>
        <w:rPr>
          <w:b/>
          <w:sz w:val="28"/>
          <w:szCs w:val="28"/>
        </w:rPr>
        <w:t>7</w:t>
      </w:r>
      <w:r w:rsidRPr="00124A5B">
        <w:rPr>
          <w:b/>
          <w:sz w:val="28"/>
          <w:szCs w:val="28"/>
        </w:rPr>
        <w:t> </w:t>
      </w:r>
      <w:r>
        <w:rPr>
          <w:b/>
          <w:sz w:val="28"/>
          <w:szCs w:val="28"/>
        </w:rPr>
        <w:t>442</w:t>
      </w:r>
      <w:r w:rsidRPr="00124A5B">
        <w:rPr>
          <w:b/>
          <w:sz w:val="28"/>
          <w:szCs w:val="28"/>
        </w:rPr>
        <w:t>,</w:t>
      </w:r>
      <w:r>
        <w:rPr>
          <w:b/>
          <w:sz w:val="28"/>
          <w:szCs w:val="28"/>
        </w:rPr>
        <w:t>9</w:t>
      </w:r>
      <w:r w:rsidRPr="00124A5B">
        <w:rPr>
          <w:b/>
          <w:sz w:val="28"/>
          <w:szCs w:val="28"/>
        </w:rPr>
        <w:t xml:space="preserve"> тыс. руб., на 202</w:t>
      </w:r>
      <w:r>
        <w:rPr>
          <w:b/>
          <w:sz w:val="28"/>
          <w:szCs w:val="28"/>
        </w:rPr>
        <w:t>4</w:t>
      </w:r>
      <w:r w:rsidRPr="00124A5B">
        <w:rPr>
          <w:b/>
          <w:sz w:val="28"/>
          <w:szCs w:val="28"/>
        </w:rPr>
        <w:t xml:space="preserve"> год – </w:t>
      </w:r>
      <w:r>
        <w:rPr>
          <w:b/>
          <w:sz w:val="28"/>
          <w:szCs w:val="28"/>
        </w:rPr>
        <w:t>7 473,3</w:t>
      </w:r>
      <w:r w:rsidRPr="00124A5B">
        <w:rPr>
          <w:b/>
          <w:sz w:val="28"/>
          <w:szCs w:val="28"/>
        </w:rPr>
        <w:t xml:space="preserve"> тыс. руб.</w:t>
      </w:r>
    </w:p>
    <w:p w:rsidR="0055491A" w:rsidRPr="00124A5B" w:rsidRDefault="0055491A" w:rsidP="0055491A">
      <w:pPr>
        <w:pStyle w:val="a7"/>
        <w:spacing w:after="0"/>
        <w:ind w:left="0" w:firstLine="709"/>
        <w:jc w:val="both"/>
        <w:rPr>
          <w:b/>
          <w:sz w:val="28"/>
          <w:szCs w:val="28"/>
        </w:rPr>
      </w:pPr>
    </w:p>
    <w:p w:rsidR="0055491A" w:rsidRPr="00245B1C" w:rsidRDefault="0055491A" w:rsidP="0055491A">
      <w:pPr>
        <w:pStyle w:val="a7"/>
        <w:spacing w:after="0"/>
        <w:ind w:left="0" w:firstLine="709"/>
        <w:jc w:val="both"/>
        <w:rPr>
          <w:sz w:val="28"/>
          <w:szCs w:val="28"/>
        </w:rPr>
      </w:pPr>
      <w:r>
        <w:rPr>
          <w:sz w:val="28"/>
          <w:szCs w:val="28"/>
        </w:rPr>
        <w:t>20</w:t>
      </w:r>
      <w:r w:rsidRPr="00245B1C">
        <w:rPr>
          <w:sz w:val="28"/>
          <w:szCs w:val="28"/>
        </w:rPr>
        <w:t xml:space="preserve">.1 </w:t>
      </w:r>
      <w:r w:rsidRPr="00124A5B">
        <w:rPr>
          <w:b/>
          <w:sz w:val="28"/>
          <w:szCs w:val="28"/>
        </w:rPr>
        <w:t>КБК 001 1 16 07090 02 0000 140</w:t>
      </w:r>
      <w:r w:rsidRPr="00245B1C">
        <w:rPr>
          <w:sz w:val="28"/>
          <w:szCs w:val="28"/>
        </w:rPr>
        <w:t xml:space="preserve"> 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p w:rsidR="0055491A" w:rsidRPr="00124A5B" w:rsidRDefault="0055491A" w:rsidP="0055491A">
      <w:pPr>
        <w:pStyle w:val="a7"/>
        <w:spacing w:after="0"/>
        <w:ind w:left="0" w:firstLine="709"/>
        <w:jc w:val="both"/>
        <w:rPr>
          <w:b/>
          <w:sz w:val="28"/>
          <w:szCs w:val="28"/>
        </w:rPr>
      </w:pPr>
      <w:r w:rsidRPr="00124A5B">
        <w:rPr>
          <w:b/>
          <w:sz w:val="28"/>
          <w:szCs w:val="28"/>
        </w:rPr>
        <w:t>Главный администратор доходов – Правительство Тверской области.</w:t>
      </w:r>
    </w:p>
    <w:p w:rsidR="0055491A" w:rsidRDefault="0055491A" w:rsidP="0055491A">
      <w:pPr>
        <w:pStyle w:val="a7"/>
        <w:spacing w:after="0"/>
        <w:ind w:left="0" w:firstLine="709"/>
        <w:jc w:val="both"/>
        <w:rPr>
          <w:sz w:val="28"/>
          <w:szCs w:val="28"/>
        </w:rPr>
      </w:pPr>
      <w:r w:rsidRPr="00ED7EE8">
        <w:rPr>
          <w:sz w:val="28"/>
          <w:szCs w:val="28"/>
        </w:rPr>
        <w:t>Расчет произведен в соответствии с методикой, утвержденной приказом Правительства Тверской области от 01.09.2016 № 91 «Об утверждении методики прогнозирования поступлений доходов в областной бюджет Тверской области, администрируемых Правительством Тверской области и подведомственными ему государственными казенными учреждениями Тверской области» (</w:t>
      </w:r>
      <w:r>
        <w:rPr>
          <w:sz w:val="28"/>
          <w:szCs w:val="28"/>
        </w:rPr>
        <w:t>с учетом изменений</w:t>
      </w:r>
      <w:r w:rsidRPr="00ED7EE8">
        <w:rPr>
          <w:sz w:val="28"/>
          <w:szCs w:val="28"/>
        </w:rPr>
        <w:t>).</w:t>
      </w:r>
    </w:p>
    <w:p w:rsidR="0055491A" w:rsidRPr="002242F1" w:rsidRDefault="0055491A" w:rsidP="0055491A">
      <w:pPr>
        <w:pStyle w:val="a7"/>
        <w:spacing w:after="0"/>
        <w:ind w:left="0" w:firstLine="709"/>
        <w:jc w:val="both"/>
        <w:rPr>
          <w:sz w:val="28"/>
          <w:szCs w:val="28"/>
        </w:rPr>
      </w:pPr>
      <w:r w:rsidRPr="002242F1">
        <w:rPr>
          <w:sz w:val="28"/>
          <w:szCs w:val="28"/>
        </w:rPr>
        <w:t>Прогноз на 20</w:t>
      </w:r>
      <w:r>
        <w:rPr>
          <w:sz w:val="28"/>
          <w:szCs w:val="28"/>
        </w:rPr>
        <w:t>22</w:t>
      </w:r>
      <w:r w:rsidRPr="002242F1">
        <w:rPr>
          <w:sz w:val="28"/>
          <w:szCs w:val="28"/>
        </w:rPr>
        <w:t>год рассчитан методом усреднения, исходя из фактических поступлений за 201</w:t>
      </w:r>
      <w:r>
        <w:rPr>
          <w:sz w:val="28"/>
          <w:szCs w:val="28"/>
        </w:rPr>
        <w:t xml:space="preserve">9 </w:t>
      </w:r>
      <w:r w:rsidRPr="002242F1">
        <w:rPr>
          <w:sz w:val="28"/>
          <w:szCs w:val="28"/>
        </w:rPr>
        <w:t>год, за 20</w:t>
      </w:r>
      <w:r>
        <w:rPr>
          <w:sz w:val="28"/>
          <w:szCs w:val="28"/>
        </w:rPr>
        <w:t>20 г</w:t>
      </w:r>
      <w:r w:rsidRPr="002242F1">
        <w:rPr>
          <w:sz w:val="28"/>
          <w:szCs w:val="28"/>
        </w:rPr>
        <w:t>од и ожидаемой оценки на 20</w:t>
      </w:r>
      <w:r>
        <w:rPr>
          <w:sz w:val="28"/>
          <w:szCs w:val="28"/>
        </w:rPr>
        <w:t xml:space="preserve">21 </w:t>
      </w:r>
      <w:r w:rsidRPr="002242F1">
        <w:rPr>
          <w:sz w:val="28"/>
          <w:szCs w:val="28"/>
        </w:rPr>
        <w:t xml:space="preserve">год. </w:t>
      </w:r>
    </w:p>
    <w:p w:rsidR="0055491A" w:rsidRPr="002242F1" w:rsidRDefault="0055491A" w:rsidP="0055491A">
      <w:pPr>
        <w:pStyle w:val="a7"/>
        <w:spacing w:after="0"/>
        <w:ind w:left="0" w:firstLine="709"/>
        <w:jc w:val="both"/>
        <w:rPr>
          <w:sz w:val="28"/>
          <w:szCs w:val="28"/>
        </w:rPr>
      </w:pPr>
      <w:r w:rsidRPr="002242F1">
        <w:rPr>
          <w:sz w:val="28"/>
          <w:szCs w:val="28"/>
        </w:rPr>
        <w:t>Ожидаемая оценка на 20</w:t>
      </w:r>
      <w:r>
        <w:rPr>
          <w:sz w:val="28"/>
          <w:szCs w:val="28"/>
        </w:rPr>
        <w:t>21</w:t>
      </w:r>
      <w:r w:rsidRPr="002242F1">
        <w:rPr>
          <w:sz w:val="28"/>
          <w:szCs w:val="28"/>
        </w:rPr>
        <w:t xml:space="preserve"> год рассчитана методом усреднения, исходя из фактических поступлений 201</w:t>
      </w:r>
      <w:r>
        <w:rPr>
          <w:sz w:val="28"/>
          <w:szCs w:val="28"/>
        </w:rPr>
        <w:t>8</w:t>
      </w:r>
      <w:r w:rsidRPr="002242F1">
        <w:rPr>
          <w:sz w:val="28"/>
          <w:szCs w:val="28"/>
        </w:rPr>
        <w:t xml:space="preserve"> год</w:t>
      </w:r>
      <w:r>
        <w:rPr>
          <w:sz w:val="28"/>
          <w:szCs w:val="28"/>
        </w:rPr>
        <w:t xml:space="preserve"> </w:t>
      </w:r>
      <w:r w:rsidRPr="002242F1">
        <w:rPr>
          <w:sz w:val="28"/>
          <w:szCs w:val="28"/>
        </w:rPr>
        <w:t>(</w:t>
      </w:r>
      <w:r>
        <w:rPr>
          <w:sz w:val="28"/>
          <w:szCs w:val="28"/>
        </w:rPr>
        <w:t>507,8</w:t>
      </w:r>
      <w:r w:rsidRPr="002242F1">
        <w:rPr>
          <w:sz w:val="28"/>
          <w:szCs w:val="28"/>
        </w:rPr>
        <w:t xml:space="preserve"> тыс. руб.), 201</w:t>
      </w:r>
      <w:r>
        <w:rPr>
          <w:sz w:val="28"/>
          <w:szCs w:val="28"/>
        </w:rPr>
        <w:t>9</w:t>
      </w:r>
      <w:r w:rsidRPr="002242F1">
        <w:rPr>
          <w:sz w:val="28"/>
          <w:szCs w:val="28"/>
        </w:rPr>
        <w:t xml:space="preserve"> год</w:t>
      </w:r>
      <w:r>
        <w:rPr>
          <w:sz w:val="28"/>
          <w:szCs w:val="28"/>
        </w:rPr>
        <w:t xml:space="preserve">                                 </w:t>
      </w:r>
      <w:r w:rsidRPr="002242F1">
        <w:rPr>
          <w:sz w:val="28"/>
          <w:szCs w:val="28"/>
        </w:rPr>
        <w:t xml:space="preserve"> (</w:t>
      </w:r>
      <w:r>
        <w:rPr>
          <w:sz w:val="28"/>
          <w:szCs w:val="28"/>
        </w:rPr>
        <w:t>68,8</w:t>
      </w:r>
      <w:r w:rsidRPr="002242F1">
        <w:rPr>
          <w:sz w:val="28"/>
          <w:szCs w:val="28"/>
        </w:rPr>
        <w:t xml:space="preserve"> тыс. руб.)</w:t>
      </w:r>
      <w:r>
        <w:rPr>
          <w:sz w:val="28"/>
          <w:szCs w:val="28"/>
        </w:rPr>
        <w:t xml:space="preserve">, </w:t>
      </w:r>
      <w:r w:rsidRPr="002242F1">
        <w:rPr>
          <w:sz w:val="28"/>
          <w:szCs w:val="28"/>
        </w:rPr>
        <w:t>за 20</w:t>
      </w:r>
      <w:r>
        <w:rPr>
          <w:sz w:val="28"/>
          <w:szCs w:val="28"/>
        </w:rPr>
        <w:t>20</w:t>
      </w:r>
      <w:r w:rsidRPr="002242F1">
        <w:rPr>
          <w:sz w:val="28"/>
          <w:szCs w:val="28"/>
        </w:rPr>
        <w:t xml:space="preserve"> год </w:t>
      </w:r>
      <w:r>
        <w:rPr>
          <w:sz w:val="28"/>
          <w:szCs w:val="28"/>
        </w:rPr>
        <w:t>(48,4</w:t>
      </w:r>
      <w:r w:rsidRPr="002242F1">
        <w:rPr>
          <w:sz w:val="28"/>
          <w:szCs w:val="28"/>
        </w:rPr>
        <w:t xml:space="preserve"> тыс. руб.),:</w:t>
      </w:r>
    </w:p>
    <w:p w:rsidR="0055491A" w:rsidRPr="002242F1" w:rsidRDefault="0055491A" w:rsidP="0055491A">
      <w:pPr>
        <w:pStyle w:val="a7"/>
        <w:spacing w:after="0"/>
        <w:ind w:left="0" w:firstLine="709"/>
        <w:jc w:val="center"/>
        <w:rPr>
          <w:sz w:val="28"/>
          <w:szCs w:val="28"/>
        </w:rPr>
      </w:pPr>
      <w:r w:rsidRPr="002242F1">
        <w:rPr>
          <w:sz w:val="28"/>
          <w:szCs w:val="28"/>
        </w:rPr>
        <w:t>(</w:t>
      </w:r>
      <w:r>
        <w:rPr>
          <w:sz w:val="28"/>
          <w:szCs w:val="28"/>
        </w:rPr>
        <w:t>507,8 тыс. руб.+68,8 тыс. руб.+48,4 тыс. руб.</w:t>
      </w:r>
      <w:r w:rsidRPr="002242F1">
        <w:rPr>
          <w:sz w:val="28"/>
          <w:szCs w:val="28"/>
        </w:rPr>
        <w:t xml:space="preserve">)/3 = </w:t>
      </w:r>
      <w:r>
        <w:rPr>
          <w:sz w:val="28"/>
          <w:szCs w:val="28"/>
        </w:rPr>
        <w:t>208,3</w:t>
      </w:r>
      <w:r w:rsidRPr="002242F1">
        <w:rPr>
          <w:sz w:val="28"/>
          <w:szCs w:val="28"/>
        </w:rPr>
        <w:t xml:space="preserve"> тыс. руб.</w:t>
      </w:r>
    </w:p>
    <w:p w:rsidR="0055491A" w:rsidRPr="00D0506F" w:rsidRDefault="0055491A" w:rsidP="0055491A">
      <w:pPr>
        <w:pStyle w:val="a7"/>
        <w:spacing w:after="0"/>
        <w:ind w:left="0" w:firstLine="709"/>
        <w:jc w:val="both"/>
        <w:rPr>
          <w:b/>
          <w:sz w:val="28"/>
          <w:szCs w:val="28"/>
        </w:rPr>
      </w:pPr>
      <w:r w:rsidRPr="00D0506F">
        <w:rPr>
          <w:b/>
          <w:sz w:val="28"/>
          <w:szCs w:val="28"/>
        </w:rPr>
        <w:t>Прогноз на 2022 год</w:t>
      </w:r>
      <w:r w:rsidRPr="002242F1">
        <w:rPr>
          <w:sz w:val="28"/>
          <w:szCs w:val="28"/>
        </w:rPr>
        <w:t xml:space="preserve"> = (</w:t>
      </w:r>
      <w:r>
        <w:rPr>
          <w:sz w:val="28"/>
          <w:szCs w:val="28"/>
        </w:rPr>
        <w:t>68,8 тыс. руб.+ 48,4 тыс. руб.+ 208,3 тыс. руб.</w:t>
      </w:r>
      <w:r w:rsidRPr="002242F1">
        <w:rPr>
          <w:sz w:val="28"/>
          <w:szCs w:val="28"/>
        </w:rPr>
        <w:t xml:space="preserve">)/3 = </w:t>
      </w:r>
      <w:r w:rsidRPr="00D0506F">
        <w:rPr>
          <w:b/>
          <w:sz w:val="28"/>
          <w:szCs w:val="28"/>
        </w:rPr>
        <w:t>108,5 тыс. руб.</w:t>
      </w:r>
    </w:p>
    <w:p w:rsidR="0055491A" w:rsidRPr="00D0506F" w:rsidRDefault="0055491A" w:rsidP="0055491A">
      <w:pPr>
        <w:pStyle w:val="a7"/>
        <w:spacing w:after="0"/>
        <w:ind w:left="0" w:firstLine="709"/>
        <w:jc w:val="both"/>
        <w:rPr>
          <w:b/>
          <w:sz w:val="28"/>
          <w:szCs w:val="28"/>
        </w:rPr>
      </w:pPr>
      <w:r w:rsidRPr="00D0506F">
        <w:rPr>
          <w:b/>
          <w:sz w:val="28"/>
          <w:szCs w:val="28"/>
        </w:rPr>
        <w:t>Прогноз на 2023 год</w:t>
      </w:r>
      <w:r w:rsidRPr="002242F1">
        <w:rPr>
          <w:sz w:val="28"/>
          <w:szCs w:val="28"/>
        </w:rPr>
        <w:t xml:space="preserve"> рассчитан методом усреднения, исходя из фактических поступлений за 20</w:t>
      </w:r>
      <w:r>
        <w:rPr>
          <w:sz w:val="28"/>
          <w:szCs w:val="28"/>
        </w:rPr>
        <w:t>20</w:t>
      </w:r>
      <w:r w:rsidRPr="002242F1">
        <w:rPr>
          <w:sz w:val="28"/>
          <w:szCs w:val="28"/>
        </w:rPr>
        <w:t xml:space="preserve"> год, ожидаемой оценки на 20</w:t>
      </w:r>
      <w:r>
        <w:rPr>
          <w:sz w:val="28"/>
          <w:szCs w:val="28"/>
        </w:rPr>
        <w:t>21</w:t>
      </w:r>
      <w:r w:rsidRPr="002242F1">
        <w:rPr>
          <w:sz w:val="28"/>
          <w:szCs w:val="28"/>
        </w:rPr>
        <w:t xml:space="preserve"> год и прогноза на 20</w:t>
      </w:r>
      <w:r>
        <w:rPr>
          <w:sz w:val="28"/>
          <w:szCs w:val="28"/>
        </w:rPr>
        <w:t xml:space="preserve">22 </w:t>
      </w:r>
      <w:r w:rsidRPr="002242F1">
        <w:rPr>
          <w:sz w:val="28"/>
          <w:szCs w:val="28"/>
        </w:rPr>
        <w:t xml:space="preserve">год = </w:t>
      </w:r>
      <w:r>
        <w:rPr>
          <w:sz w:val="28"/>
          <w:szCs w:val="28"/>
        </w:rPr>
        <w:t>(48,4 тыс. руб.+ 208,3 тыс. руб. + 108,5 тыс. руб.</w:t>
      </w:r>
      <w:r w:rsidRPr="002242F1">
        <w:rPr>
          <w:sz w:val="28"/>
          <w:szCs w:val="28"/>
        </w:rPr>
        <w:t xml:space="preserve">)/3= </w:t>
      </w:r>
      <w:r w:rsidRPr="00D0506F">
        <w:rPr>
          <w:b/>
          <w:sz w:val="28"/>
          <w:szCs w:val="28"/>
        </w:rPr>
        <w:t>121,7 тыс. руб.</w:t>
      </w:r>
    </w:p>
    <w:p w:rsidR="0055491A" w:rsidRPr="00D0506F" w:rsidRDefault="0055491A" w:rsidP="0055491A">
      <w:pPr>
        <w:pStyle w:val="a7"/>
        <w:spacing w:after="0"/>
        <w:ind w:left="0" w:firstLine="709"/>
        <w:jc w:val="both"/>
        <w:rPr>
          <w:b/>
          <w:sz w:val="28"/>
          <w:szCs w:val="28"/>
        </w:rPr>
      </w:pPr>
      <w:r w:rsidRPr="00D0506F">
        <w:rPr>
          <w:b/>
          <w:sz w:val="28"/>
          <w:szCs w:val="28"/>
        </w:rPr>
        <w:t>Прогноз на 2024 год</w:t>
      </w:r>
      <w:r w:rsidRPr="002242F1">
        <w:rPr>
          <w:sz w:val="28"/>
          <w:szCs w:val="28"/>
        </w:rPr>
        <w:t xml:space="preserve"> рассчитан методом усреднения, исходя из ожидаемой оценки на 20</w:t>
      </w:r>
      <w:r>
        <w:rPr>
          <w:sz w:val="28"/>
          <w:szCs w:val="28"/>
        </w:rPr>
        <w:t>21</w:t>
      </w:r>
      <w:r w:rsidRPr="002242F1">
        <w:rPr>
          <w:sz w:val="28"/>
          <w:szCs w:val="28"/>
        </w:rPr>
        <w:t xml:space="preserve"> год, прогноза на 20</w:t>
      </w:r>
      <w:r>
        <w:rPr>
          <w:sz w:val="28"/>
          <w:szCs w:val="28"/>
        </w:rPr>
        <w:t>22</w:t>
      </w:r>
      <w:r w:rsidRPr="002242F1">
        <w:rPr>
          <w:sz w:val="28"/>
          <w:szCs w:val="28"/>
        </w:rPr>
        <w:t xml:space="preserve"> год и прогноза на 20</w:t>
      </w:r>
      <w:r>
        <w:rPr>
          <w:sz w:val="28"/>
          <w:szCs w:val="28"/>
        </w:rPr>
        <w:t xml:space="preserve">23 </w:t>
      </w:r>
      <w:r w:rsidRPr="002242F1">
        <w:rPr>
          <w:sz w:val="28"/>
          <w:szCs w:val="28"/>
        </w:rPr>
        <w:t>год = (</w:t>
      </w:r>
      <w:r>
        <w:rPr>
          <w:sz w:val="28"/>
          <w:szCs w:val="28"/>
        </w:rPr>
        <w:t>208,3 тыс. руб. + 108,5 тыс. руб. + 121,7 тыс. руб.</w:t>
      </w:r>
      <w:r w:rsidRPr="002242F1">
        <w:rPr>
          <w:sz w:val="28"/>
          <w:szCs w:val="28"/>
        </w:rPr>
        <w:t xml:space="preserve">)/3= </w:t>
      </w:r>
      <w:r w:rsidRPr="00D0506F">
        <w:rPr>
          <w:b/>
          <w:sz w:val="28"/>
          <w:szCs w:val="28"/>
        </w:rPr>
        <w:t>146,2 тыс. руб.</w:t>
      </w:r>
    </w:p>
    <w:p w:rsidR="0055491A" w:rsidRDefault="0055491A" w:rsidP="0055491A">
      <w:pPr>
        <w:pStyle w:val="a7"/>
        <w:spacing w:after="0"/>
        <w:ind w:left="0" w:firstLine="709"/>
        <w:jc w:val="both"/>
        <w:rPr>
          <w:sz w:val="28"/>
          <w:szCs w:val="28"/>
        </w:rPr>
      </w:pPr>
    </w:p>
    <w:p w:rsidR="0055491A" w:rsidRPr="004F1FE0" w:rsidRDefault="0055491A" w:rsidP="0055491A">
      <w:pPr>
        <w:pStyle w:val="a7"/>
        <w:spacing w:after="0"/>
        <w:ind w:left="0" w:firstLine="709"/>
        <w:jc w:val="both"/>
        <w:rPr>
          <w:sz w:val="28"/>
          <w:szCs w:val="28"/>
        </w:rPr>
      </w:pPr>
      <w:r>
        <w:rPr>
          <w:sz w:val="28"/>
          <w:szCs w:val="28"/>
        </w:rPr>
        <w:t>20</w:t>
      </w:r>
      <w:r w:rsidRPr="004F1FE0">
        <w:rPr>
          <w:sz w:val="28"/>
          <w:szCs w:val="28"/>
        </w:rPr>
        <w:t xml:space="preserve">.2 </w:t>
      </w:r>
      <w:r w:rsidRPr="001E7F7F">
        <w:rPr>
          <w:b/>
          <w:sz w:val="28"/>
          <w:szCs w:val="28"/>
        </w:rPr>
        <w:t>КБК 002 1 16 07090 02 0000 140</w:t>
      </w:r>
      <w:r w:rsidRPr="004F1FE0">
        <w:rPr>
          <w:sz w:val="28"/>
          <w:szCs w:val="28"/>
        </w:rPr>
        <w:t xml:space="preserve"> Иные штрафы, неустойки, пени, уплаченные в соответствии с законом или договором в случае неисполнения </w:t>
      </w:r>
      <w:r w:rsidRPr="004F1FE0">
        <w:rPr>
          <w:sz w:val="28"/>
          <w:szCs w:val="28"/>
        </w:rPr>
        <w:lastRenderedPageBreak/>
        <w:t>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p w:rsidR="0055491A" w:rsidRPr="001E7F7F" w:rsidRDefault="0055491A" w:rsidP="0055491A">
      <w:pPr>
        <w:pStyle w:val="a7"/>
        <w:spacing w:after="0"/>
        <w:ind w:left="0" w:firstLine="709"/>
        <w:jc w:val="both"/>
        <w:rPr>
          <w:b/>
          <w:sz w:val="28"/>
          <w:szCs w:val="28"/>
        </w:rPr>
      </w:pPr>
      <w:r w:rsidRPr="001E7F7F">
        <w:rPr>
          <w:b/>
          <w:sz w:val="28"/>
          <w:szCs w:val="28"/>
        </w:rPr>
        <w:t>Главный администратор доходов – Законодательное Собрание Тверской области.</w:t>
      </w:r>
    </w:p>
    <w:p w:rsidR="0055491A" w:rsidRDefault="0055491A" w:rsidP="0055491A">
      <w:pPr>
        <w:pStyle w:val="a7"/>
        <w:spacing w:after="0"/>
        <w:ind w:left="0" w:firstLine="709"/>
        <w:jc w:val="both"/>
        <w:rPr>
          <w:sz w:val="28"/>
          <w:szCs w:val="28"/>
        </w:rPr>
      </w:pPr>
      <w:r w:rsidRPr="002242F1">
        <w:rPr>
          <w:sz w:val="28"/>
          <w:szCs w:val="28"/>
        </w:rPr>
        <w:t xml:space="preserve">Расчет произведен в соответствии с методикой, утвержденной распоряжением </w:t>
      </w:r>
      <w:r>
        <w:rPr>
          <w:sz w:val="28"/>
          <w:szCs w:val="28"/>
        </w:rPr>
        <w:t xml:space="preserve">Председателя </w:t>
      </w:r>
      <w:r w:rsidRPr="002242F1">
        <w:rPr>
          <w:sz w:val="28"/>
          <w:szCs w:val="28"/>
        </w:rPr>
        <w:t xml:space="preserve">Законодательного Собрания Тверской области от </w:t>
      </w:r>
      <w:r>
        <w:rPr>
          <w:sz w:val="28"/>
          <w:szCs w:val="28"/>
        </w:rPr>
        <w:t>20</w:t>
      </w:r>
      <w:r w:rsidRPr="002242F1">
        <w:rPr>
          <w:sz w:val="28"/>
          <w:szCs w:val="28"/>
        </w:rPr>
        <w:t>.0</w:t>
      </w:r>
      <w:r>
        <w:rPr>
          <w:sz w:val="28"/>
          <w:szCs w:val="28"/>
        </w:rPr>
        <w:t>9</w:t>
      </w:r>
      <w:r w:rsidRPr="002242F1">
        <w:rPr>
          <w:sz w:val="28"/>
          <w:szCs w:val="28"/>
        </w:rPr>
        <w:t>.201</w:t>
      </w:r>
      <w:r>
        <w:rPr>
          <w:sz w:val="28"/>
          <w:szCs w:val="28"/>
        </w:rPr>
        <w:t xml:space="preserve">9 </w:t>
      </w:r>
      <w:r w:rsidRPr="002242F1">
        <w:rPr>
          <w:sz w:val="28"/>
          <w:szCs w:val="28"/>
        </w:rPr>
        <w:t xml:space="preserve">№ </w:t>
      </w:r>
      <w:r>
        <w:rPr>
          <w:sz w:val="28"/>
          <w:szCs w:val="28"/>
        </w:rPr>
        <w:t>89</w:t>
      </w:r>
      <w:r w:rsidRPr="002242F1">
        <w:rPr>
          <w:sz w:val="28"/>
          <w:szCs w:val="28"/>
        </w:rPr>
        <w:t>-р «Об утверждении методики прогнозирования поступлений доходов в областной бюджет Тверской области</w:t>
      </w:r>
      <w:r>
        <w:rPr>
          <w:sz w:val="28"/>
          <w:szCs w:val="28"/>
        </w:rPr>
        <w:t xml:space="preserve"> в части доходов, в отношении которых Законодательное Собрание Тверской области наделено полномочиями главного администратора доходов областного бюджета Тверской области</w:t>
      </w:r>
      <w:r w:rsidRPr="002242F1">
        <w:rPr>
          <w:sz w:val="28"/>
          <w:szCs w:val="28"/>
        </w:rPr>
        <w:t>».</w:t>
      </w:r>
    </w:p>
    <w:p w:rsidR="0055491A" w:rsidRDefault="0055491A" w:rsidP="0055491A">
      <w:pPr>
        <w:pStyle w:val="a7"/>
        <w:spacing w:after="0"/>
        <w:ind w:left="0" w:firstLine="709"/>
        <w:jc w:val="both"/>
        <w:rPr>
          <w:sz w:val="28"/>
          <w:szCs w:val="28"/>
        </w:rPr>
      </w:pPr>
      <w:r>
        <w:rPr>
          <w:sz w:val="28"/>
          <w:szCs w:val="28"/>
        </w:rPr>
        <w:t xml:space="preserve">Прогноз на 2022-2024 годы рассчитывается методом усреднения поступлений за 3 года, предшествующих прогнозируемому периоду. </w:t>
      </w:r>
    </w:p>
    <w:p w:rsidR="0055491A" w:rsidRPr="002242F1" w:rsidRDefault="0055491A" w:rsidP="0055491A">
      <w:pPr>
        <w:pStyle w:val="a7"/>
        <w:spacing w:after="0"/>
        <w:ind w:left="0" w:firstLine="709"/>
        <w:jc w:val="both"/>
        <w:rPr>
          <w:sz w:val="28"/>
          <w:szCs w:val="28"/>
        </w:rPr>
      </w:pPr>
      <w:r>
        <w:rPr>
          <w:sz w:val="28"/>
          <w:szCs w:val="28"/>
        </w:rPr>
        <w:t xml:space="preserve">Прогноз на текущий финансовый год (2021 год) рассчитывается методом усреднения годовых поступлений, </w:t>
      </w:r>
      <w:r w:rsidRPr="00932AD6">
        <w:rPr>
          <w:sz w:val="28"/>
          <w:szCs w:val="28"/>
        </w:rPr>
        <w:t>уплаченны</w:t>
      </w:r>
      <w:r>
        <w:rPr>
          <w:sz w:val="28"/>
          <w:szCs w:val="28"/>
        </w:rPr>
        <w:t>х</w:t>
      </w:r>
      <w:r w:rsidRPr="00932AD6">
        <w:rPr>
          <w:sz w:val="28"/>
          <w:szCs w:val="28"/>
        </w:rPr>
        <w:t xml:space="preserve"> в случае </w:t>
      </w:r>
      <w:r w:rsidRPr="001E4BE3">
        <w:rPr>
          <w:sz w:val="28"/>
          <w:szCs w:val="28"/>
        </w:rPr>
        <w:t>неисполнения или ненадлежащего исполнения обязательств перед государственным органом субъекта Российской Федерации</w:t>
      </w:r>
      <w:r w:rsidRPr="002242F1">
        <w:rPr>
          <w:sz w:val="28"/>
          <w:szCs w:val="28"/>
        </w:rPr>
        <w:t xml:space="preserve"> за </w:t>
      </w:r>
      <w:r>
        <w:rPr>
          <w:sz w:val="28"/>
          <w:szCs w:val="28"/>
        </w:rPr>
        <w:t xml:space="preserve"> 2018 год                     (23,8 тыс. руб.), </w:t>
      </w:r>
      <w:r w:rsidRPr="002242F1">
        <w:rPr>
          <w:sz w:val="28"/>
          <w:szCs w:val="28"/>
        </w:rPr>
        <w:t>за 201</w:t>
      </w:r>
      <w:r>
        <w:rPr>
          <w:sz w:val="28"/>
          <w:szCs w:val="28"/>
        </w:rPr>
        <w:t>9 год (54,3 тыс. руб.), за 2020 год (нет поступлений) =                          (23,8 тыс. руб. + 54,3 тыс. руб. + 0</w:t>
      </w:r>
      <w:r w:rsidRPr="002242F1">
        <w:rPr>
          <w:sz w:val="28"/>
          <w:szCs w:val="28"/>
        </w:rPr>
        <w:t xml:space="preserve">)/3 = </w:t>
      </w:r>
      <w:r>
        <w:rPr>
          <w:sz w:val="28"/>
          <w:szCs w:val="28"/>
        </w:rPr>
        <w:t>26,0</w:t>
      </w:r>
      <w:r w:rsidRPr="002242F1">
        <w:rPr>
          <w:sz w:val="28"/>
          <w:szCs w:val="28"/>
        </w:rPr>
        <w:t xml:space="preserve"> тыс. руб.</w:t>
      </w:r>
    </w:p>
    <w:p w:rsidR="0055491A" w:rsidRPr="001E7F7F" w:rsidRDefault="0055491A" w:rsidP="0055491A">
      <w:pPr>
        <w:pStyle w:val="a7"/>
        <w:spacing w:after="0"/>
        <w:ind w:left="0" w:firstLine="709"/>
        <w:jc w:val="both"/>
        <w:rPr>
          <w:b/>
          <w:sz w:val="28"/>
          <w:szCs w:val="28"/>
        </w:rPr>
      </w:pPr>
      <w:r w:rsidRPr="001E7F7F">
        <w:rPr>
          <w:b/>
          <w:sz w:val="28"/>
          <w:szCs w:val="28"/>
        </w:rPr>
        <w:t>Прогноз</w:t>
      </w:r>
      <w:r>
        <w:rPr>
          <w:b/>
          <w:sz w:val="28"/>
          <w:szCs w:val="28"/>
        </w:rPr>
        <w:t xml:space="preserve"> на</w:t>
      </w:r>
      <w:r w:rsidRPr="001E7F7F">
        <w:rPr>
          <w:b/>
          <w:sz w:val="28"/>
          <w:szCs w:val="28"/>
        </w:rPr>
        <w:t xml:space="preserve"> 2022</w:t>
      </w:r>
      <w:r>
        <w:rPr>
          <w:b/>
          <w:sz w:val="28"/>
          <w:szCs w:val="28"/>
        </w:rPr>
        <w:t xml:space="preserve"> год</w:t>
      </w:r>
      <w:r w:rsidRPr="002242F1">
        <w:rPr>
          <w:sz w:val="28"/>
          <w:szCs w:val="28"/>
        </w:rPr>
        <w:t xml:space="preserve"> </w:t>
      </w:r>
      <w:r>
        <w:rPr>
          <w:sz w:val="28"/>
          <w:szCs w:val="28"/>
        </w:rPr>
        <w:t xml:space="preserve">= (факт 2019 год, факт 2020 год, прогноз на текущий финансовый год (2021 год))/3 = (54,3 тыс. руб. +0 + 26,0 тыс. руб.)/3 = </w:t>
      </w:r>
      <w:r w:rsidRPr="001E7F7F">
        <w:rPr>
          <w:b/>
          <w:sz w:val="28"/>
          <w:szCs w:val="28"/>
        </w:rPr>
        <w:t>26,8 тыс. руб.</w:t>
      </w:r>
    </w:p>
    <w:p w:rsidR="0055491A" w:rsidRPr="001E7F7F" w:rsidRDefault="0055491A" w:rsidP="0055491A">
      <w:pPr>
        <w:pStyle w:val="a7"/>
        <w:spacing w:after="0"/>
        <w:ind w:left="0" w:firstLine="709"/>
        <w:jc w:val="both"/>
        <w:rPr>
          <w:b/>
          <w:sz w:val="28"/>
          <w:szCs w:val="28"/>
        </w:rPr>
      </w:pPr>
      <w:r w:rsidRPr="001E7F7F">
        <w:rPr>
          <w:b/>
          <w:sz w:val="28"/>
          <w:szCs w:val="28"/>
        </w:rPr>
        <w:t>Прогноз</w:t>
      </w:r>
      <w:r>
        <w:rPr>
          <w:b/>
          <w:sz w:val="28"/>
          <w:szCs w:val="28"/>
        </w:rPr>
        <w:t xml:space="preserve"> на</w:t>
      </w:r>
      <w:r w:rsidRPr="001E7F7F">
        <w:rPr>
          <w:b/>
          <w:sz w:val="28"/>
          <w:szCs w:val="28"/>
        </w:rPr>
        <w:t xml:space="preserve"> 2023 год</w:t>
      </w:r>
      <w:r>
        <w:rPr>
          <w:sz w:val="28"/>
          <w:szCs w:val="28"/>
        </w:rPr>
        <w:t xml:space="preserve"> = (факт 2020 год, прогноз на текущий финансовый год (202 год) + прогноз на 2022 год)/3 = (0+ 26,0 тыс. руб.+ 26,8 тыс. руб.)/3 =                    </w:t>
      </w:r>
      <w:r w:rsidRPr="001E7F7F">
        <w:rPr>
          <w:b/>
          <w:sz w:val="28"/>
          <w:szCs w:val="28"/>
        </w:rPr>
        <w:t>17,6 тыс. руб.</w:t>
      </w:r>
    </w:p>
    <w:p w:rsidR="0055491A" w:rsidRDefault="0055491A" w:rsidP="0055491A">
      <w:pPr>
        <w:pStyle w:val="a7"/>
        <w:spacing w:after="0"/>
        <w:ind w:left="0" w:firstLine="709"/>
        <w:jc w:val="both"/>
        <w:rPr>
          <w:b/>
          <w:sz w:val="28"/>
          <w:szCs w:val="28"/>
        </w:rPr>
      </w:pPr>
      <w:r w:rsidRPr="00953B05">
        <w:rPr>
          <w:b/>
          <w:sz w:val="28"/>
          <w:szCs w:val="28"/>
        </w:rPr>
        <w:t>Прогноз на 2024 год</w:t>
      </w:r>
      <w:r w:rsidRPr="002242F1">
        <w:rPr>
          <w:sz w:val="28"/>
          <w:szCs w:val="28"/>
        </w:rPr>
        <w:t xml:space="preserve"> </w:t>
      </w:r>
      <w:r>
        <w:rPr>
          <w:sz w:val="28"/>
          <w:szCs w:val="28"/>
        </w:rPr>
        <w:t xml:space="preserve">= (прогноз на текущий финансовый год (2021 год), прогноз на 2022 год, прогноз на 2023 год)/3 = (26,0 тыс. руб. + 26,8 тыс. руб. + 17,6 тыс. руб.)/3 = </w:t>
      </w:r>
      <w:r>
        <w:rPr>
          <w:b/>
          <w:sz w:val="28"/>
          <w:szCs w:val="28"/>
        </w:rPr>
        <w:t>23</w:t>
      </w:r>
      <w:r w:rsidRPr="00953B05">
        <w:rPr>
          <w:b/>
          <w:sz w:val="28"/>
          <w:szCs w:val="28"/>
        </w:rPr>
        <w:t>,5 тыс. руб.</w:t>
      </w:r>
    </w:p>
    <w:p w:rsidR="0055491A" w:rsidRDefault="0055491A" w:rsidP="0055491A">
      <w:pPr>
        <w:pStyle w:val="a7"/>
        <w:spacing w:after="0"/>
        <w:ind w:left="0" w:firstLine="709"/>
        <w:jc w:val="both"/>
        <w:rPr>
          <w:sz w:val="28"/>
          <w:szCs w:val="28"/>
        </w:rPr>
      </w:pPr>
      <w:r w:rsidRPr="00EC3401">
        <w:rPr>
          <w:sz w:val="28"/>
          <w:szCs w:val="28"/>
        </w:rPr>
        <w:t>20.3</w:t>
      </w:r>
      <w:r>
        <w:rPr>
          <w:b/>
          <w:sz w:val="28"/>
          <w:szCs w:val="28"/>
        </w:rPr>
        <w:t xml:space="preserve"> </w:t>
      </w:r>
      <w:r w:rsidRPr="00EB3714">
        <w:rPr>
          <w:b/>
          <w:sz w:val="28"/>
          <w:szCs w:val="28"/>
        </w:rPr>
        <w:t xml:space="preserve">КБК </w:t>
      </w:r>
      <w:r>
        <w:rPr>
          <w:b/>
          <w:sz w:val="28"/>
          <w:szCs w:val="28"/>
        </w:rPr>
        <w:t>005</w:t>
      </w:r>
      <w:r w:rsidRPr="00EB3714">
        <w:rPr>
          <w:b/>
          <w:sz w:val="28"/>
          <w:szCs w:val="28"/>
        </w:rPr>
        <w:t xml:space="preserve"> 1 16 07090 02 0000 140</w:t>
      </w:r>
      <w:r>
        <w:rPr>
          <w:sz w:val="28"/>
          <w:szCs w:val="28"/>
        </w:rPr>
        <w:t xml:space="preserve"> </w:t>
      </w:r>
      <w:r w:rsidRPr="001E4BE3">
        <w:rPr>
          <w:sz w:val="28"/>
          <w:szCs w:val="28"/>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r>
        <w:rPr>
          <w:sz w:val="28"/>
          <w:szCs w:val="28"/>
        </w:rPr>
        <w:t>.</w:t>
      </w:r>
    </w:p>
    <w:p w:rsidR="0055491A" w:rsidRDefault="0055491A" w:rsidP="0055491A">
      <w:pPr>
        <w:pStyle w:val="a7"/>
        <w:spacing w:after="0"/>
        <w:ind w:left="0" w:firstLine="709"/>
        <w:jc w:val="both"/>
        <w:rPr>
          <w:b/>
          <w:sz w:val="28"/>
          <w:szCs w:val="28"/>
        </w:rPr>
      </w:pPr>
      <w:r w:rsidRPr="00EB3714">
        <w:rPr>
          <w:b/>
          <w:sz w:val="28"/>
          <w:szCs w:val="28"/>
        </w:rPr>
        <w:t xml:space="preserve">Главный администратор доходов – </w:t>
      </w:r>
      <w:r w:rsidRPr="00EC3401">
        <w:rPr>
          <w:b/>
          <w:sz w:val="28"/>
          <w:szCs w:val="28"/>
        </w:rPr>
        <w:t>Комитет государственного заказа Тверской области</w:t>
      </w:r>
      <w:r>
        <w:rPr>
          <w:b/>
          <w:sz w:val="28"/>
          <w:szCs w:val="28"/>
        </w:rPr>
        <w:t>.</w:t>
      </w:r>
    </w:p>
    <w:p w:rsidR="0055491A" w:rsidRDefault="0055491A" w:rsidP="0055491A">
      <w:pPr>
        <w:pStyle w:val="a7"/>
        <w:spacing w:after="0"/>
        <w:ind w:left="0" w:firstLine="709"/>
        <w:jc w:val="both"/>
        <w:rPr>
          <w:sz w:val="28"/>
          <w:szCs w:val="28"/>
        </w:rPr>
      </w:pPr>
      <w:r w:rsidRPr="002242F1">
        <w:rPr>
          <w:sz w:val="28"/>
          <w:szCs w:val="28"/>
        </w:rPr>
        <w:t xml:space="preserve">Расчет произведен в соответствии с методикой, утвержденной </w:t>
      </w:r>
      <w:r>
        <w:rPr>
          <w:sz w:val="28"/>
          <w:szCs w:val="28"/>
        </w:rPr>
        <w:t>приказом</w:t>
      </w:r>
      <w:r w:rsidRPr="002242F1">
        <w:rPr>
          <w:sz w:val="28"/>
          <w:szCs w:val="28"/>
        </w:rPr>
        <w:t xml:space="preserve"> </w:t>
      </w:r>
      <w:r>
        <w:rPr>
          <w:sz w:val="28"/>
          <w:szCs w:val="28"/>
        </w:rPr>
        <w:t>Комитета государственного заказа Тверской области</w:t>
      </w:r>
      <w:r w:rsidRPr="002242F1">
        <w:rPr>
          <w:sz w:val="28"/>
          <w:szCs w:val="28"/>
        </w:rPr>
        <w:t xml:space="preserve"> </w:t>
      </w:r>
      <w:r>
        <w:rPr>
          <w:sz w:val="28"/>
          <w:szCs w:val="28"/>
        </w:rPr>
        <w:t xml:space="preserve">от 24.08.2020 № 69. </w:t>
      </w:r>
    </w:p>
    <w:p w:rsidR="0055491A" w:rsidRPr="00EC3401" w:rsidRDefault="0055491A" w:rsidP="0055491A">
      <w:pPr>
        <w:pStyle w:val="a7"/>
        <w:spacing w:after="0"/>
        <w:ind w:left="0" w:firstLine="709"/>
        <w:jc w:val="both"/>
        <w:rPr>
          <w:sz w:val="28"/>
          <w:szCs w:val="28"/>
        </w:rPr>
      </w:pPr>
      <w:r w:rsidRPr="00EC3401">
        <w:rPr>
          <w:sz w:val="28"/>
          <w:szCs w:val="28"/>
        </w:rPr>
        <w:t>Прогнозирование на очередной финансовый год и плановый период, осуществляется по результатам анализа фактических поступлений за три года, предшествующих году осуществления прогнозирования поступлений в объеме минимального из имеющихся значений.</w:t>
      </w:r>
    </w:p>
    <w:p w:rsidR="0055491A" w:rsidRDefault="0055491A" w:rsidP="0055491A">
      <w:pPr>
        <w:pStyle w:val="a7"/>
        <w:spacing w:after="0"/>
        <w:ind w:left="0" w:firstLine="709"/>
        <w:jc w:val="both"/>
        <w:rPr>
          <w:sz w:val="28"/>
          <w:szCs w:val="28"/>
        </w:rPr>
      </w:pPr>
      <w:r w:rsidRPr="00EC3401">
        <w:rPr>
          <w:sz w:val="28"/>
          <w:szCs w:val="28"/>
        </w:rPr>
        <w:t>Для текущего финансового года предусматривается, в том числе, использование данных о фактических поступлениях доходов за истекшие месяцы этого года.</w:t>
      </w:r>
    </w:p>
    <w:p w:rsidR="0055491A" w:rsidRDefault="0055491A" w:rsidP="0055491A">
      <w:pPr>
        <w:pStyle w:val="a7"/>
        <w:spacing w:after="0"/>
        <w:ind w:left="0" w:firstLine="709"/>
        <w:jc w:val="both"/>
        <w:rPr>
          <w:b/>
          <w:sz w:val="28"/>
          <w:szCs w:val="28"/>
        </w:rPr>
      </w:pPr>
      <w:r w:rsidRPr="00EC3401">
        <w:rPr>
          <w:b/>
          <w:sz w:val="28"/>
          <w:szCs w:val="28"/>
        </w:rPr>
        <w:lastRenderedPageBreak/>
        <w:t>Прогноз поступлений на 2022 год</w:t>
      </w:r>
      <w:r>
        <w:rPr>
          <w:sz w:val="28"/>
          <w:szCs w:val="28"/>
        </w:rPr>
        <w:t xml:space="preserve"> принимается на уровне фактических поступлений 2020 года </w:t>
      </w:r>
      <w:r w:rsidRPr="00EC3401">
        <w:rPr>
          <w:b/>
          <w:sz w:val="28"/>
          <w:szCs w:val="28"/>
        </w:rPr>
        <w:t>1,0 тыс. руб.</w:t>
      </w:r>
    </w:p>
    <w:p w:rsidR="0055491A" w:rsidRPr="00EC3401" w:rsidRDefault="0055491A" w:rsidP="0055491A">
      <w:pPr>
        <w:pStyle w:val="a7"/>
        <w:spacing w:after="0"/>
        <w:ind w:left="0" w:firstLine="709"/>
        <w:jc w:val="both"/>
        <w:rPr>
          <w:b/>
          <w:sz w:val="28"/>
          <w:szCs w:val="28"/>
        </w:rPr>
      </w:pPr>
      <w:r>
        <w:rPr>
          <w:b/>
          <w:sz w:val="28"/>
          <w:szCs w:val="28"/>
        </w:rPr>
        <w:t>Прогноз на 2023 год – 1,0 тыс. руб., Прогноз на 2024 год – 1,0 тыс. руб.</w:t>
      </w:r>
    </w:p>
    <w:p w:rsidR="0055491A" w:rsidRDefault="0055491A" w:rsidP="0055491A">
      <w:pPr>
        <w:pStyle w:val="a7"/>
        <w:spacing w:after="0"/>
        <w:ind w:left="0" w:firstLine="709"/>
        <w:jc w:val="both"/>
        <w:rPr>
          <w:sz w:val="28"/>
          <w:szCs w:val="28"/>
        </w:rPr>
      </w:pPr>
      <w:r>
        <w:rPr>
          <w:sz w:val="28"/>
          <w:szCs w:val="28"/>
        </w:rPr>
        <w:t xml:space="preserve">20.4 </w:t>
      </w:r>
      <w:r w:rsidRPr="00EB3714">
        <w:rPr>
          <w:b/>
          <w:sz w:val="28"/>
          <w:szCs w:val="28"/>
        </w:rPr>
        <w:t>КБК 013 1 16 07090 02 0000 140</w:t>
      </w:r>
      <w:r>
        <w:rPr>
          <w:sz w:val="28"/>
          <w:szCs w:val="28"/>
        </w:rPr>
        <w:t xml:space="preserve"> </w:t>
      </w:r>
      <w:r w:rsidRPr="001E4BE3">
        <w:rPr>
          <w:sz w:val="28"/>
          <w:szCs w:val="28"/>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r>
        <w:rPr>
          <w:sz w:val="28"/>
          <w:szCs w:val="28"/>
        </w:rPr>
        <w:t>.</w:t>
      </w:r>
    </w:p>
    <w:p w:rsidR="0055491A" w:rsidRPr="00EB3714" w:rsidRDefault="0055491A" w:rsidP="0055491A">
      <w:pPr>
        <w:pStyle w:val="a7"/>
        <w:spacing w:after="0"/>
        <w:ind w:left="0" w:firstLine="709"/>
        <w:jc w:val="both"/>
        <w:rPr>
          <w:b/>
          <w:sz w:val="28"/>
          <w:szCs w:val="28"/>
        </w:rPr>
      </w:pPr>
      <w:r w:rsidRPr="00EB3714">
        <w:rPr>
          <w:b/>
          <w:sz w:val="28"/>
          <w:szCs w:val="28"/>
        </w:rPr>
        <w:t>Главный администратор доходов – Министерство экономического развития Тверской области.</w:t>
      </w:r>
    </w:p>
    <w:p w:rsidR="0055491A" w:rsidRDefault="0055491A" w:rsidP="0055491A">
      <w:pPr>
        <w:pStyle w:val="a7"/>
        <w:spacing w:after="0"/>
        <w:ind w:left="0" w:firstLine="709"/>
        <w:jc w:val="both"/>
        <w:rPr>
          <w:sz w:val="28"/>
          <w:szCs w:val="28"/>
        </w:rPr>
      </w:pPr>
      <w:r w:rsidRPr="002242F1">
        <w:rPr>
          <w:sz w:val="28"/>
          <w:szCs w:val="28"/>
        </w:rPr>
        <w:t xml:space="preserve">Расчет произведен в соответствии с методикой, утвержденной </w:t>
      </w:r>
      <w:r>
        <w:rPr>
          <w:sz w:val="28"/>
          <w:szCs w:val="28"/>
        </w:rPr>
        <w:t>приказом</w:t>
      </w:r>
      <w:r w:rsidRPr="002242F1">
        <w:rPr>
          <w:sz w:val="28"/>
          <w:szCs w:val="28"/>
        </w:rPr>
        <w:t xml:space="preserve"> </w:t>
      </w:r>
      <w:r>
        <w:rPr>
          <w:sz w:val="28"/>
          <w:szCs w:val="28"/>
        </w:rPr>
        <w:t>Министерство экономического развития Тверской области</w:t>
      </w:r>
      <w:r w:rsidRPr="002242F1">
        <w:rPr>
          <w:sz w:val="28"/>
          <w:szCs w:val="28"/>
        </w:rPr>
        <w:t xml:space="preserve"> </w:t>
      </w:r>
      <w:r>
        <w:rPr>
          <w:sz w:val="28"/>
          <w:szCs w:val="28"/>
        </w:rPr>
        <w:t xml:space="preserve"> 21.05.2020 № 120 </w:t>
      </w:r>
      <w:r w:rsidRPr="002242F1">
        <w:rPr>
          <w:sz w:val="28"/>
          <w:szCs w:val="28"/>
        </w:rPr>
        <w:t xml:space="preserve">«Об утверждении методики </w:t>
      </w:r>
      <w:r>
        <w:rPr>
          <w:sz w:val="28"/>
          <w:szCs w:val="28"/>
        </w:rPr>
        <w:t>формирования прогноза доходов областного бюджета, администрирование которых осуществляет Министерство экономического развития Тверской области</w:t>
      </w:r>
      <w:r w:rsidRPr="002242F1">
        <w:rPr>
          <w:sz w:val="28"/>
          <w:szCs w:val="28"/>
        </w:rPr>
        <w:t>»</w:t>
      </w:r>
      <w:r>
        <w:rPr>
          <w:sz w:val="28"/>
          <w:szCs w:val="28"/>
        </w:rPr>
        <w:t>.</w:t>
      </w:r>
    </w:p>
    <w:p w:rsidR="0055491A" w:rsidRPr="003A5342" w:rsidRDefault="0055491A" w:rsidP="0055491A">
      <w:pPr>
        <w:pStyle w:val="a7"/>
        <w:spacing w:after="0"/>
        <w:ind w:left="0" w:firstLine="709"/>
        <w:jc w:val="both"/>
        <w:rPr>
          <w:sz w:val="28"/>
          <w:szCs w:val="28"/>
        </w:rPr>
      </w:pPr>
      <w:r>
        <w:rPr>
          <w:sz w:val="28"/>
          <w:szCs w:val="28"/>
        </w:rPr>
        <w:t>Прогноз на текущий финансовый год (2021) рассчитывается с учетом данных о поступлениях доходов в областной бюджет в связи с ненадлежащим исполнением условий государственных контрактов Исходя из наличия требования к поставщику об уплате пени в связи с ненадлежащим исполнением обязательств, при осуществлении оказания услуг о</w:t>
      </w:r>
      <w:r w:rsidRPr="003A5342">
        <w:rPr>
          <w:sz w:val="28"/>
          <w:szCs w:val="28"/>
        </w:rPr>
        <w:t>жидаемая оценка поступлений</w:t>
      </w:r>
      <w:r>
        <w:rPr>
          <w:sz w:val="28"/>
          <w:szCs w:val="28"/>
        </w:rPr>
        <w:t xml:space="preserve"> сумм</w:t>
      </w:r>
      <w:r w:rsidRPr="003A5342">
        <w:rPr>
          <w:sz w:val="28"/>
          <w:szCs w:val="28"/>
        </w:rPr>
        <w:t xml:space="preserve"> доходов в областной бюджет </w:t>
      </w:r>
      <w:r>
        <w:rPr>
          <w:sz w:val="28"/>
          <w:szCs w:val="28"/>
        </w:rPr>
        <w:t>по данному коду бюджетной классификации</w:t>
      </w:r>
      <w:r w:rsidRPr="003A5342">
        <w:rPr>
          <w:sz w:val="28"/>
          <w:szCs w:val="28"/>
        </w:rPr>
        <w:t xml:space="preserve"> в текущем году</w:t>
      </w:r>
      <w:r>
        <w:rPr>
          <w:sz w:val="28"/>
          <w:szCs w:val="28"/>
        </w:rPr>
        <w:t xml:space="preserve"> </w:t>
      </w:r>
      <w:r w:rsidRPr="003A5342">
        <w:rPr>
          <w:sz w:val="28"/>
          <w:szCs w:val="28"/>
        </w:rPr>
        <w:t>составит:</w:t>
      </w:r>
    </w:p>
    <w:p w:rsidR="0055491A" w:rsidRDefault="0055491A" w:rsidP="0055491A">
      <w:pPr>
        <w:autoSpaceDE w:val="0"/>
        <w:autoSpaceDN w:val="0"/>
        <w:adjustRightInd w:val="0"/>
        <w:jc w:val="both"/>
        <w:rPr>
          <w:sz w:val="28"/>
          <w:szCs w:val="28"/>
        </w:rPr>
      </w:pPr>
      <w:r>
        <w:rPr>
          <w:sz w:val="28"/>
          <w:szCs w:val="28"/>
        </w:rPr>
        <w:t xml:space="preserve">  ООП</w:t>
      </w:r>
      <w:r w:rsidRPr="003A5342">
        <w:rPr>
          <w:sz w:val="28"/>
          <w:szCs w:val="28"/>
        </w:rPr>
        <w:t xml:space="preserve"> </w:t>
      </w:r>
      <w:r w:rsidRPr="003A5342">
        <w:rPr>
          <w:sz w:val="32"/>
          <w:szCs w:val="32"/>
          <w:vertAlign w:val="subscript"/>
        </w:rPr>
        <w:t>20</w:t>
      </w:r>
      <w:r>
        <w:rPr>
          <w:sz w:val="32"/>
          <w:szCs w:val="32"/>
          <w:vertAlign w:val="subscript"/>
        </w:rPr>
        <w:t>21</w:t>
      </w:r>
      <w:r w:rsidRPr="003A5342">
        <w:rPr>
          <w:sz w:val="32"/>
          <w:szCs w:val="32"/>
          <w:vertAlign w:val="subscript"/>
        </w:rPr>
        <w:t xml:space="preserve"> г</w:t>
      </w:r>
      <w:r>
        <w:t xml:space="preserve"> </w:t>
      </w:r>
      <w:r>
        <w:rPr>
          <w:sz w:val="28"/>
          <w:szCs w:val="28"/>
        </w:rPr>
        <w:t>=</w:t>
      </w:r>
      <w:r w:rsidRPr="0073176F">
        <w:rPr>
          <w:sz w:val="28"/>
          <w:szCs w:val="28"/>
        </w:rPr>
        <w:t xml:space="preserve"> </w:t>
      </w:r>
      <w:r w:rsidRPr="00A6758E">
        <w:rPr>
          <w:sz w:val="28"/>
          <w:szCs w:val="28"/>
        </w:rPr>
        <w:t>ФП</w:t>
      </w:r>
      <w:r>
        <w:t>на</w:t>
      </w:r>
      <w:r w:rsidRPr="00A6758E">
        <w:t>01.06.20</w:t>
      </w:r>
      <w:r>
        <w:t>21</w:t>
      </w:r>
      <w:r w:rsidRPr="00A6758E">
        <w:rPr>
          <w:sz w:val="28"/>
          <w:szCs w:val="28"/>
        </w:rPr>
        <w:t>/5мес*12мес</w:t>
      </w:r>
      <w:r>
        <w:rPr>
          <w:sz w:val="18"/>
          <w:szCs w:val="18"/>
        </w:rPr>
        <w:t xml:space="preserve"> =</w:t>
      </w:r>
      <w:r w:rsidRPr="00CC02EC">
        <w:rPr>
          <w:sz w:val="28"/>
          <w:szCs w:val="28"/>
        </w:rPr>
        <w:t xml:space="preserve"> </w:t>
      </w:r>
      <w:r>
        <w:rPr>
          <w:sz w:val="28"/>
          <w:szCs w:val="28"/>
        </w:rPr>
        <w:t>2,061 тыс. руб./5 мес.*12 мес.=4,9 тыс. руб.</w:t>
      </w:r>
    </w:p>
    <w:p w:rsidR="0055491A" w:rsidRDefault="0055491A" w:rsidP="0055491A">
      <w:pPr>
        <w:autoSpaceDE w:val="0"/>
        <w:autoSpaceDN w:val="0"/>
        <w:adjustRightInd w:val="0"/>
        <w:jc w:val="both"/>
        <w:rPr>
          <w:sz w:val="28"/>
          <w:szCs w:val="28"/>
        </w:rPr>
      </w:pPr>
      <w:r>
        <w:rPr>
          <w:sz w:val="28"/>
          <w:szCs w:val="28"/>
        </w:rPr>
        <w:t xml:space="preserve">       где:</w:t>
      </w:r>
    </w:p>
    <w:p w:rsidR="0055491A" w:rsidRDefault="0055491A" w:rsidP="0055491A">
      <w:pPr>
        <w:autoSpaceDE w:val="0"/>
        <w:autoSpaceDN w:val="0"/>
        <w:adjustRightInd w:val="0"/>
        <w:jc w:val="both"/>
        <w:rPr>
          <w:i/>
        </w:rPr>
      </w:pPr>
      <w:r>
        <w:rPr>
          <w:i/>
        </w:rPr>
        <w:t>ОП</w:t>
      </w:r>
      <w:r w:rsidRPr="003A5342">
        <w:rPr>
          <w:i/>
        </w:rPr>
        <w:t>П</w:t>
      </w:r>
      <w:r>
        <w:rPr>
          <w:i/>
        </w:rPr>
        <w:t>2021г-   ожидаемая оценка поступлений на текущий год,</w:t>
      </w:r>
    </w:p>
    <w:p w:rsidR="0055491A" w:rsidRPr="004A3DDA" w:rsidRDefault="0055491A" w:rsidP="0055491A">
      <w:pPr>
        <w:spacing w:line="276" w:lineRule="auto"/>
        <w:jc w:val="both"/>
        <w:rPr>
          <w:i/>
        </w:rPr>
      </w:pPr>
      <w:r>
        <w:rPr>
          <w:i/>
        </w:rPr>
        <w:t>ФП-</w:t>
      </w:r>
      <w:r w:rsidRPr="007726C5">
        <w:rPr>
          <w:i/>
        </w:rPr>
        <w:t xml:space="preserve"> </w:t>
      </w:r>
      <w:r w:rsidRPr="006B7504">
        <w:rPr>
          <w:i/>
        </w:rPr>
        <w:t>фактическое</w:t>
      </w:r>
      <w:r>
        <w:rPr>
          <w:i/>
        </w:rPr>
        <w:t xml:space="preserve"> (планируемое)</w:t>
      </w:r>
      <w:r w:rsidRPr="006B7504">
        <w:rPr>
          <w:i/>
        </w:rPr>
        <w:t xml:space="preserve"> поступление сумм доходов на последню</w:t>
      </w:r>
      <w:r>
        <w:rPr>
          <w:i/>
        </w:rPr>
        <w:t>ю отчетную дату текущего года*.</w:t>
      </w:r>
    </w:p>
    <w:p w:rsidR="0055491A" w:rsidRDefault="0055491A" w:rsidP="0055491A">
      <w:pPr>
        <w:pStyle w:val="a7"/>
        <w:spacing w:after="0"/>
        <w:ind w:left="0" w:firstLine="709"/>
        <w:jc w:val="both"/>
        <w:rPr>
          <w:sz w:val="28"/>
          <w:szCs w:val="28"/>
        </w:rPr>
      </w:pPr>
    </w:p>
    <w:p w:rsidR="0055491A" w:rsidRPr="00D85D69" w:rsidRDefault="0055491A" w:rsidP="0055491A">
      <w:pPr>
        <w:pStyle w:val="a7"/>
        <w:spacing w:after="0"/>
        <w:ind w:left="0" w:firstLine="709"/>
        <w:jc w:val="both"/>
        <w:rPr>
          <w:sz w:val="28"/>
          <w:szCs w:val="28"/>
        </w:rPr>
      </w:pPr>
      <w:r w:rsidRPr="00D85D69">
        <w:rPr>
          <w:sz w:val="28"/>
          <w:szCs w:val="28"/>
        </w:rPr>
        <w:t>Прогнозирование поступлений в областной бюджет</w:t>
      </w:r>
      <w:r>
        <w:rPr>
          <w:sz w:val="28"/>
          <w:szCs w:val="28"/>
        </w:rPr>
        <w:t xml:space="preserve"> Тверской области</w:t>
      </w:r>
      <w:r w:rsidRPr="00D85D69">
        <w:rPr>
          <w:sz w:val="28"/>
          <w:szCs w:val="28"/>
        </w:rPr>
        <w:t xml:space="preserve"> на очередной финансовый год</w:t>
      </w:r>
      <w:r>
        <w:rPr>
          <w:sz w:val="28"/>
          <w:szCs w:val="28"/>
        </w:rPr>
        <w:t xml:space="preserve"> (2022 год)</w:t>
      </w:r>
      <w:r w:rsidRPr="00D85D69">
        <w:rPr>
          <w:sz w:val="28"/>
          <w:szCs w:val="28"/>
        </w:rPr>
        <w:t xml:space="preserve"> по средствам штрафов, пеней, неустоек за неисполнение или ненадлежащее исполнение условий госконтракта осуществляется методом усреднения годовых объемов поступлений за три года предшествующих очередному финансовому году.</w:t>
      </w:r>
    </w:p>
    <w:p w:rsidR="0055491A" w:rsidRDefault="0055491A" w:rsidP="0055491A">
      <w:pPr>
        <w:spacing w:line="276" w:lineRule="auto"/>
        <w:rPr>
          <w:rFonts w:eastAsia="Calibri"/>
          <w:sz w:val="28"/>
          <w:szCs w:val="28"/>
          <w:shd w:val="clear" w:color="auto" w:fill="FFFFFF"/>
          <w:lang w:eastAsia="en-US"/>
        </w:rPr>
      </w:pPr>
      <w:r w:rsidRPr="00D85D69">
        <w:rPr>
          <w:sz w:val="28"/>
          <w:szCs w:val="28"/>
        </w:rPr>
        <w:t xml:space="preserve">   </w:t>
      </w:r>
      <w:r w:rsidRPr="0002694A">
        <w:rPr>
          <w:rFonts w:eastAsia="Calibri"/>
          <w:sz w:val="28"/>
          <w:szCs w:val="28"/>
          <w:shd w:val="clear" w:color="auto" w:fill="FFFFFF"/>
          <w:lang w:eastAsia="en-US"/>
        </w:rPr>
        <w:t>ПП</w:t>
      </w:r>
      <w:r w:rsidRPr="0002694A">
        <w:rPr>
          <w:rFonts w:eastAsia="Calibri"/>
          <w:sz w:val="18"/>
          <w:szCs w:val="18"/>
          <w:shd w:val="clear" w:color="auto" w:fill="FFFFFF"/>
          <w:lang w:eastAsia="en-US"/>
        </w:rPr>
        <w:t>2021</w:t>
      </w:r>
      <w:r>
        <w:rPr>
          <w:rFonts w:eastAsia="Calibri"/>
          <w:shd w:val="clear" w:color="auto" w:fill="FFFFFF"/>
          <w:lang w:eastAsia="en-US"/>
        </w:rPr>
        <w:t>= (</w:t>
      </w:r>
      <w:r w:rsidRPr="0002694A">
        <w:rPr>
          <w:rFonts w:eastAsia="Calibri"/>
          <w:sz w:val="28"/>
          <w:szCs w:val="28"/>
          <w:shd w:val="clear" w:color="auto" w:fill="FFFFFF"/>
          <w:lang w:eastAsia="en-US"/>
        </w:rPr>
        <w:t>ООП</w:t>
      </w:r>
      <w:r w:rsidRPr="0002694A">
        <w:rPr>
          <w:rFonts w:eastAsia="Calibri"/>
          <w:sz w:val="18"/>
          <w:szCs w:val="18"/>
          <w:shd w:val="clear" w:color="auto" w:fill="FFFFFF"/>
          <w:lang w:eastAsia="en-US"/>
        </w:rPr>
        <w:t>202</w:t>
      </w:r>
      <w:r>
        <w:rPr>
          <w:rFonts w:eastAsia="Calibri"/>
          <w:sz w:val="18"/>
          <w:szCs w:val="18"/>
          <w:shd w:val="clear" w:color="auto" w:fill="FFFFFF"/>
          <w:lang w:eastAsia="en-US"/>
        </w:rPr>
        <w:t>1</w:t>
      </w:r>
      <w:r>
        <w:rPr>
          <w:rFonts w:eastAsia="Calibri"/>
          <w:shd w:val="clear" w:color="auto" w:fill="FFFFFF"/>
          <w:lang w:eastAsia="en-US"/>
        </w:rPr>
        <w:t>г+</w:t>
      </w:r>
      <w:r w:rsidRPr="0002694A">
        <w:rPr>
          <w:rFonts w:eastAsia="Calibri"/>
          <w:sz w:val="28"/>
          <w:szCs w:val="28"/>
          <w:shd w:val="clear" w:color="auto" w:fill="FFFFFF"/>
          <w:lang w:eastAsia="en-US"/>
        </w:rPr>
        <w:t>ФП</w:t>
      </w:r>
      <w:r w:rsidRPr="0002694A">
        <w:rPr>
          <w:rFonts w:eastAsia="Calibri"/>
          <w:sz w:val="18"/>
          <w:szCs w:val="18"/>
          <w:shd w:val="clear" w:color="auto" w:fill="FFFFFF"/>
          <w:lang w:eastAsia="en-US"/>
        </w:rPr>
        <w:t>20</w:t>
      </w:r>
      <w:r>
        <w:rPr>
          <w:rFonts w:eastAsia="Calibri"/>
          <w:sz w:val="18"/>
          <w:szCs w:val="18"/>
          <w:shd w:val="clear" w:color="auto" w:fill="FFFFFF"/>
          <w:lang w:eastAsia="en-US"/>
        </w:rPr>
        <w:t>20</w:t>
      </w:r>
      <w:r w:rsidRPr="0002694A">
        <w:rPr>
          <w:rFonts w:eastAsia="Calibri"/>
          <w:sz w:val="18"/>
          <w:szCs w:val="18"/>
          <w:shd w:val="clear" w:color="auto" w:fill="FFFFFF"/>
          <w:lang w:eastAsia="en-US"/>
        </w:rPr>
        <w:t>г</w:t>
      </w:r>
      <w:r>
        <w:rPr>
          <w:rFonts w:eastAsia="Calibri"/>
          <w:shd w:val="clear" w:color="auto" w:fill="FFFFFF"/>
          <w:lang w:eastAsia="en-US"/>
        </w:rPr>
        <w:t>+</w:t>
      </w:r>
      <w:r w:rsidRPr="0002694A">
        <w:rPr>
          <w:rFonts w:eastAsia="Calibri"/>
          <w:sz w:val="28"/>
          <w:szCs w:val="28"/>
          <w:shd w:val="clear" w:color="auto" w:fill="FFFFFF"/>
          <w:lang w:eastAsia="en-US"/>
        </w:rPr>
        <w:t>ФП</w:t>
      </w:r>
      <w:r w:rsidRPr="0002694A">
        <w:rPr>
          <w:rFonts w:eastAsia="Calibri"/>
          <w:sz w:val="18"/>
          <w:szCs w:val="18"/>
          <w:shd w:val="clear" w:color="auto" w:fill="FFFFFF"/>
          <w:lang w:eastAsia="en-US"/>
        </w:rPr>
        <w:t>201</w:t>
      </w:r>
      <w:r>
        <w:rPr>
          <w:rFonts w:eastAsia="Calibri"/>
          <w:sz w:val="18"/>
          <w:szCs w:val="18"/>
          <w:shd w:val="clear" w:color="auto" w:fill="FFFFFF"/>
          <w:lang w:eastAsia="en-US"/>
        </w:rPr>
        <w:t>9</w:t>
      </w:r>
      <w:r>
        <w:rPr>
          <w:rFonts w:eastAsia="Calibri"/>
          <w:shd w:val="clear" w:color="auto" w:fill="FFFFFF"/>
          <w:lang w:eastAsia="en-US"/>
        </w:rPr>
        <w:t>г)/3 =                                                                                       (</w:t>
      </w:r>
      <w:r w:rsidRPr="0002694A">
        <w:rPr>
          <w:rFonts w:eastAsia="Calibri"/>
          <w:sz w:val="28"/>
          <w:szCs w:val="28"/>
          <w:shd w:val="clear" w:color="auto" w:fill="FFFFFF"/>
          <w:lang w:eastAsia="en-US"/>
        </w:rPr>
        <w:t>4</w:t>
      </w:r>
      <w:r>
        <w:rPr>
          <w:rFonts w:eastAsia="Calibri"/>
          <w:sz w:val="28"/>
          <w:szCs w:val="28"/>
          <w:shd w:val="clear" w:color="auto" w:fill="FFFFFF"/>
          <w:lang w:eastAsia="en-US"/>
        </w:rPr>
        <w:t>,9 тыс. руб.</w:t>
      </w:r>
      <w:r w:rsidRPr="0002694A">
        <w:rPr>
          <w:rFonts w:eastAsia="Calibri"/>
          <w:sz w:val="28"/>
          <w:szCs w:val="28"/>
          <w:shd w:val="clear" w:color="auto" w:fill="FFFFFF"/>
          <w:lang w:eastAsia="en-US"/>
        </w:rPr>
        <w:t>+</w:t>
      </w:r>
      <w:r>
        <w:rPr>
          <w:rFonts w:eastAsia="Calibri"/>
          <w:sz w:val="28"/>
          <w:szCs w:val="28"/>
          <w:shd w:val="clear" w:color="auto" w:fill="FFFFFF"/>
          <w:lang w:eastAsia="en-US"/>
        </w:rPr>
        <w:t>0руб.*+0руб.**)/3=1,6 тыс. руб.</w:t>
      </w:r>
    </w:p>
    <w:p w:rsidR="0055491A" w:rsidRPr="00230CB1" w:rsidRDefault="0055491A" w:rsidP="0055491A">
      <w:pPr>
        <w:spacing w:line="276" w:lineRule="auto"/>
        <w:ind w:firstLine="720"/>
        <w:jc w:val="both"/>
      </w:pPr>
      <w:r w:rsidRPr="00230CB1">
        <w:t>где :</w:t>
      </w:r>
    </w:p>
    <w:p w:rsidR="0055491A" w:rsidRDefault="0055491A" w:rsidP="0055491A">
      <w:pPr>
        <w:spacing w:line="276" w:lineRule="auto"/>
        <w:ind w:firstLine="720"/>
        <w:jc w:val="both"/>
        <w:rPr>
          <w:i/>
        </w:rPr>
      </w:pPr>
      <w:r>
        <w:rPr>
          <w:i/>
        </w:rPr>
        <w:t xml:space="preserve">П </w:t>
      </w:r>
      <w:r w:rsidRPr="006F257C">
        <w:rPr>
          <w:i/>
          <w:sz w:val="18"/>
          <w:szCs w:val="18"/>
        </w:rPr>
        <w:t>202</w:t>
      </w:r>
      <w:r>
        <w:rPr>
          <w:i/>
          <w:sz w:val="18"/>
          <w:szCs w:val="18"/>
        </w:rPr>
        <w:t>2</w:t>
      </w:r>
      <w:r w:rsidRPr="006F257C">
        <w:rPr>
          <w:i/>
          <w:sz w:val="18"/>
          <w:szCs w:val="18"/>
        </w:rPr>
        <w:t>г</w:t>
      </w:r>
      <w:r>
        <w:rPr>
          <w:i/>
        </w:rPr>
        <w:t>- прогноз поступлений сумм доходов на 2022г.</w:t>
      </w:r>
    </w:p>
    <w:p w:rsidR="0055491A" w:rsidRPr="001F76D7" w:rsidRDefault="0055491A" w:rsidP="0055491A">
      <w:pPr>
        <w:spacing w:line="276" w:lineRule="auto"/>
        <w:ind w:firstLine="720"/>
        <w:jc w:val="both"/>
        <w:rPr>
          <w:i/>
        </w:rPr>
      </w:pPr>
      <w:r>
        <w:rPr>
          <w:i/>
        </w:rPr>
        <w:t>ООП</w:t>
      </w:r>
      <w:r w:rsidRPr="001F76D7">
        <w:rPr>
          <w:i/>
          <w:sz w:val="18"/>
          <w:szCs w:val="18"/>
        </w:rPr>
        <w:t xml:space="preserve"> 20</w:t>
      </w:r>
      <w:r>
        <w:rPr>
          <w:i/>
          <w:sz w:val="18"/>
          <w:szCs w:val="18"/>
        </w:rPr>
        <w:t>21</w:t>
      </w:r>
      <w:r w:rsidRPr="001F76D7">
        <w:rPr>
          <w:i/>
          <w:sz w:val="18"/>
          <w:szCs w:val="18"/>
        </w:rPr>
        <w:t xml:space="preserve">г - </w:t>
      </w:r>
      <w:r w:rsidRPr="006B7504">
        <w:rPr>
          <w:i/>
        </w:rPr>
        <w:t>ожидаемая оценка поступлений сумм доходов</w:t>
      </w:r>
      <w:r w:rsidRPr="001F76D7">
        <w:rPr>
          <w:i/>
        </w:rPr>
        <w:t xml:space="preserve"> в 20</w:t>
      </w:r>
      <w:r>
        <w:rPr>
          <w:i/>
        </w:rPr>
        <w:t>21</w:t>
      </w:r>
      <w:r w:rsidRPr="001F76D7">
        <w:rPr>
          <w:i/>
        </w:rPr>
        <w:t>г</w:t>
      </w:r>
    </w:p>
    <w:p w:rsidR="0055491A" w:rsidRPr="001F76D7" w:rsidRDefault="0055491A" w:rsidP="0055491A">
      <w:pPr>
        <w:spacing w:line="276" w:lineRule="auto"/>
        <w:ind w:firstLine="720"/>
        <w:jc w:val="both"/>
        <w:rPr>
          <w:i/>
        </w:rPr>
      </w:pPr>
      <w:r w:rsidRPr="001F76D7">
        <w:rPr>
          <w:i/>
        </w:rPr>
        <w:t xml:space="preserve">ФП </w:t>
      </w:r>
      <w:r w:rsidRPr="001F76D7">
        <w:rPr>
          <w:i/>
          <w:sz w:val="18"/>
          <w:szCs w:val="18"/>
        </w:rPr>
        <w:t>20</w:t>
      </w:r>
      <w:r>
        <w:rPr>
          <w:i/>
          <w:sz w:val="18"/>
          <w:szCs w:val="18"/>
        </w:rPr>
        <w:t>20</w:t>
      </w:r>
      <w:r w:rsidRPr="001F76D7">
        <w:rPr>
          <w:i/>
          <w:sz w:val="18"/>
          <w:szCs w:val="18"/>
        </w:rPr>
        <w:t xml:space="preserve">г- </w:t>
      </w:r>
      <w:r w:rsidRPr="001F76D7">
        <w:rPr>
          <w:i/>
        </w:rPr>
        <w:t>фактическое поступление сумм доходов в 20</w:t>
      </w:r>
      <w:r>
        <w:rPr>
          <w:i/>
        </w:rPr>
        <w:t>20</w:t>
      </w:r>
      <w:r w:rsidRPr="001F76D7">
        <w:rPr>
          <w:i/>
        </w:rPr>
        <w:t>г</w:t>
      </w:r>
    </w:p>
    <w:p w:rsidR="0055491A" w:rsidRPr="001F76D7" w:rsidRDefault="0055491A" w:rsidP="0055491A">
      <w:pPr>
        <w:spacing w:line="276" w:lineRule="auto"/>
        <w:ind w:firstLine="720"/>
        <w:jc w:val="both"/>
        <w:rPr>
          <w:i/>
        </w:rPr>
      </w:pPr>
      <w:r>
        <w:rPr>
          <w:i/>
        </w:rPr>
        <w:t>ФП</w:t>
      </w:r>
      <w:r w:rsidRPr="001F76D7">
        <w:rPr>
          <w:i/>
        </w:rPr>
        <w:t xml:space="preserve"> </w:t>
      </w:r>
      <w:r w:rsidRPr="001F76D7">
        <w:rPr>
          <w:i/>
          <w:sz w:val="18"/>
          <w:szCs w:val="18"/>
        </w:rPr>
        <w:t>20</w:t>
      </w:r>
      <w:r>
        <w:rPr>
          <w:i/>
          <w:sz w:val="18"/>
          <w:szCs w:val="18"/>
        </w:rPr>
        <w:t>19</w:t>
      </w:r>
      <w:r w:rsidRPr="001F76D7">
        <w:rPr>
          <w:i/>
          <w:sz w:val="18"/>
          <w:szCs w:val="18"/>
        </w:rPr>
        <w:t xml:space="preserve">г- </w:t>
      </w:r>
      <w:r w:rsidRPr="001F76D7">
        <w:rPr>
          <w:i/>
        </w:rPr>
        <w:t>фактическое поступление сумм доходов в 201</w:t>
      </w:r>
      <w:r>
        <w:rPr>
          <w:i/>
        </w:rPr>
        <w:t>9</w:t>
      </w:r>
      <w:r w:rsidRPr="001F76D7">
        <w:rPr>
          <w:i/>
        </w:rPr>
        <w:t>г</w:t>
      </w:r>
    </w:p>
    <w:p w:rsidR="0055491A" w:rsidRDefault="0055491A" w:rsidP="0055491A">
      <w:pPr>
        <w:spacing w:line="276" w:lineRule="auto"/>
        <w:jc w:val="both"/>
        <w:rPr>
          <w:i/>
        </w:rPr>
      </w:pPr>
      <w:r>
        <w:rPr>
          <w:rFonts w:eastAsia="Calibri"/>
          <w:i/>
          <w:shd w:val="clear" w:color="auto" w:fill="FFFFFF"/>
          <w:lang w:eastAsia="en-US"/>
        </w:rPr>
        <w:t>*</w:t>
      </w:r>
      <w:r w:rsidRPr="003C781E">
        <w:rPr>
          <w:i/>
        </w:rPr>
        <w:t>из расчета</w:t>
      </w:r>
      <w:r>
        <w:rPr>
          <w:i/>
        </w:rPr>
        <w:t xml:space="preserve"> сумм фактических поступлений за 2020г.</w:t>
      </w:r>
      <w:r w:rsidRPr="003C781E">
        <w:rPr>
          <w:i/>
        </w:rPr>
        <w:t xml:space="preserve"> исключены суммы штрафа за </w:t>
      </w:r>
      <w:r>
        <w:rPr>
          <w:i/>
        </w:rPr>
        <w:t xml:space="preserve">ненадлежащее </w:t>
      </w:r>
      <w:r w:rsidRPr="003C781E">
        <w:rPr>
          <w:i/>
        </w:rPr>
        <w:t>исполнени</w:t>
      </w:r>
      <w:r>
        <w:rPr>
          <w:i/>
        </w:rPr>
        <w:t>е</w:t>
      </w:r>
      <w:r w:rsidRPr="003C781E">
        <w:rPr>
          <w:i/>
        </w:rPr>
        <w:t xml:space="preserve"> обязательств по госконтрактам по разделу/подразделу «0410-</w:t>
      </w:r>
      <w:r>
        <w:rPr>
          <w:i/>
        </w:rPr>
        <w:lastRenderedPageBreak/>
        <w:t>«</w:t>
      </w:r>
      <w:r w:rsidRPr="003C781E">
        <w:rPr>
          <w:i/>
        </w:rPr>
        <w:t xml:space="preserve">Связь и </w:t>
      </w:r>
      <w:r>
        <w:rPr>
          <w:i/>
        </w:rPr>
        <w:t>и</w:t>
      </w:r>
      <w:r w:rsidRPr="003C781E">
        <w:rPr>
          <w:i/>
        </w:rPr>
        <w:t>нформати</w:t>
      </w:r>
      <w:r>
        <w:rPr>
          <w:i/>
        </w:rPr>
        <w:t>ка</w:t>
      </w:r>
      <w:r w:rsidRPr="003C781E">
        <w:rPr>
          <w:i/>
        </w:rPr>
        <w:t xml:space="preserve">» ввиду передачи </w:t>
      </w:r>
      <w:r>
        <w:rPr>
          <w:i/>
        </w:rPr>
        <w:t>лимитов</w:t>
      </w:r>
      <w:r w:rsidRPr="003C781E">
        <w:rPr>
          <w:i/>
        </w:rPr>
        <w:t xml:space="preserve"> Министерству</w:t>
      </w:r>
      <w:r>
        <w:rPr>
          <w:i/>
        </w:rPr>
        <w:t xml:space="preserve"> цифрового развития и </w:t>
      </w:r>
      <w:r w:rsidRPr="003C781E">
        <w:rPr>
          <w:i/>
        </w:rPr>
        <w:t xml:space="preserve"> информационных технологий Тверской области</w:t>
      </w:r>
      <w:r>
        <w:rPr>
          <w:i/>
        </w:rPr>
        <w:t xml:space="preserve"> </w:t>
      </w:r>
    </w:p>
    <w:p w:rsidR="0055491A" w:rsidRPr="00E164D3" w:rsidRDefault="0055491A" w:rsidP="0055491A">
      <w:pPr>
        <w:spacing w:line="276" w:lineRule="auto"/>
        <w:jc w:val="both"/>
        <w:rPr>
          <w:rFonts w:eastAsia="Calibri"/>
          <w:i/>
          <w:sz w:val="22"/>
          <w:szCs w:val="22"/>
          <w:shd w:val="clear" w:color="auto" w:fill="FFFFFF"/>
          <w:lang w:eastAsia="en-US"/>
        </w:rPr>
      </w:pPr>
      <w:r w:rsidRPr="00D73685">
        <w:rPr>
          <w:i/>
          <w:sz w:val="22"/>
          <w:szCs w:val="22"/>
        </w:rPr>
        <w:t>** из расчета сумм фактических поступлений за 2019г. исключены суммы штрафа за ненадлежащее исполнение обязательств  по госконтракту № 04/18 ТП от 19.06.2018г Тверским госуниверситетом на сумму 480000,00 руб. и госконтракту № 05/18 ТП от 02.07.2018г с ООО «Юбикей» на сумму 28320,00 руб.  по направлению «Государственная поддержка развития малого и среднего предпринимательства, включая крестьянские (фермерские) хозяйства, а также на реализацию мероприятий по  поддержке развития молодежного предпринимательства»</w:t>
      </w:r>
      <w:r>
        <w:rPr>
          <w:i/>
          <w:sz w:val="22"/>
          <w:szCs w:val="22"/>
        </w:rPr>
        <w:t xml:space="preserve"> </w:t>
      </w:r>
      <w:r w:rsidRPr="00E164D3">
        <w:rPr>
          <w:rFonts w:eastAsia="Calibri"/>
          <w:i/>
          <w:sz w:val="22"/>
          <w:szCs w:val="22"/>
          <w:shd w:val="clear" w:color="auto" w:fill="FFFFFF"/>
          <w:lang w:eastAsia="en-US"/>
        </w:rPr>
        <w:t>(мероприятия по государственной поддержке малого и среднего предпринимательства с 2019г. реализуются в рамках нацпроекта « Малое и среднее предпринимательство  и поддержка индивидуальной предпринимательской инициативы»  в форме предоставления субсидий субъектам малого и среднего предпринимательства).</w:t>
      </w:r>
    </w:p>
    <w:p w:rsidR="0055491A" w:rsidRDefault="0055491A" w:rsidP="0055491A">
      <w:pPr>
        <w:spacing w:line="276" w:lineRule="auto"/>
        <w:jc w:val="both"/>
        <w:rPr>
          <w:sz w:val="28"/>
          <w:szCs w:val="28"/>
        </w:rPr>
      </w:pPr>
      <w:r>
        <w:rPr>
          <w:rFonts w:eastAsia="Calibri"/>
          <w:shd w:val="clear" w:color="auto" w:fill="FFFFFF"/>
          <w:lang w:eastAsia="en-US"/>
        </w:rPr>
        <w:t xml:space="preserve">       </w:t>
      </w:r>
      <w:r w:rsidRPr="00942138">
        <w:rPr>
          <w:rFonts w:eastAsia="Calibri"/>
          <w:sz w:val="28"/>
          <w:szCs w:val="28"/>
          <w:shd w:val="clear" w:color="auto" w:fill="FFFFFF"/>
          <w:lang w:eastAsia="en-US"/>
        </w:rPr>
        <w:t xml:space="preserve">В  соответствии с методикой </w:t>
      </w:r>
      <w:r>
        <w:rPr>
          <w:rFonts w:eastAsia="Calibri"/>
          <w:sz w:val="28"/>
          <w:szCs w:val="28"/>
          <w:shd w:val="clear" w:color="auto" w:fill="FFFFFF"/>
          <w:lang w:eastAsia="en-US"/>
        </w:rPr>
        <w:t>п</w:t>
      </w:r>
      <w:r w:rsidRPr="005D48E0">
        <w:rPr>
          <w:sz w:val="28"/>
          <w:szCs w:val="28"/>
        </w:rPr>
        <w:t>рогноз на 20</w:t>
      </w:r>
      <w:r>
        <w:rPr>
          <w:sz w:val="28"/>
          <w:szCs w:val="28"/>
        </w:rPr>
        <w:t>23</w:t>
      </w:r>
      <w:r w:rsidRPr="005D48E0">
        <w:rPr>
          <w:sz w:val="28"/>
          <w:szCs w:val="28"/>
        </w:rPr>
        <w:t xml:space="preserve"> год и прогноз на 202</w:t>
      </w:r>
      <w:r>
        <w:rPr>
          <w:sz w:val="28"/>
          <w:szCs w:val="28"/>
        </w:rPr>
        <w:t>4</w:t>
      </w:r>
      <w:r w:rsidRPr="005D48E0">
        <w:rPr>
          <w:sz w:val="28"/>
          <w:szCs w:val="28"/>
        </w:rPr>
        <w:t xml:space="preserve"> год рассчитываются на уровне прогноза на 20</w:t>
      </w:r>
      <w:r>
        <w:rPr>
          <w:sz w:val="28"/>
          <w:szCs w:val="28"/>
        </w:rPr>
        <w:t>22</w:t>
      </w:r>
      <w:r w:rsidRPr="005D48E0">
        <w:rPr>
          <w:sz w:val="28"/>
          <w:szCs w:val="28"/>
        </w:rPr>
        <w:t xml:space="preserve"> год.</w:t>
      </w:r>
    </w:p>
    <w:p w:rsidR="0055491A" w:rsidRPr="00EB3714" w:rsidRDefault="0055491A" w:rsidP="0055491A">
      <w:pPr>
        <w:pStyle w:val="a7"/>
        <w:spacing w:after="0"/>
        <w:ind w:left="0" w:firstLine="709"/>
        <w:jc w:val="both"/>
        <w:rPr>
          <w:b/>
          <w:sz w:val="28"/>
          <w:szCs w:val="28"/>
        </w:rPr>
      </w:pPr>
      <w:r w:rsidRPr="00EB3714">
        <w:rPr>
          <w:b/>
          <w:sz w:val="28"/>
          <w:szCs w:val="28"/>
        </w:rPr>
        <w:t>Прогноз на 202</w:t>
      </w:r>
      <w:r>
        <w:rPr>
          <w:b/>
          <w:sz w:val="28"/>
          <w:szCs w:val="28"/>
        </w:rPr>
        <w:t xml:space="preserve">2 </w:t>
      </w:r>
      <w:r w:rsidRPr="00EB3714">
        <w:rPr>
          <w:b/>
          <w:sz w:val="28"/>
          <w:szCs w:val="28"/>
        </w:rPr>
        <w:t>год = 1,6 тыс. руб.</w:t>
      </w:r>
    </w:p>
    <w:p w:rsidR="0055491A" w:rsidRPr="00EB3714" w:rsidRDefault="0055491A" w:rsidP="0055491A">
      <w:pPr>
        <w:pStyle w:val="a7"/>
        <w:spacing w:after="0"/>
        <w:ind w:left="0" w:firstLine="709"/>
        <w:jc w:val="both"/>
        <w:rPr>
          <w:b/>
          <w:sz w:val="28"/>
          <w:szCs w:val="28"/>
        </w:rPr>
      </w:pPr>
      <w:r w:rsidRPr="00EB3714">
        <w:rPr>
          <w:b/>
          <w:sz w:val="28"/>
          <w:szCs w:val="28"/>
        </w:rPr>
        <w:t>Прогноз на 2023 год = 1,6 тыс. руб.</w:t>
      </w:r>
    </w:p>
    <w:p w:rsidR="0055491A" w:rsidRPr="00EB3714" w:rsidRDefault="0055491A" w:rsidP="0055491A">
      <w:pPr>
        <w:pStyle w:val="a7"/>
        <w:spacing w:after="0"/>
        <w:ind w:left="0" w:firstLine="709"/>
        <w:jc w:val="both"/>
        <w:rPr>
          <w:b/>
          <w:sz w:val="28"/>
          <w:szCs w:val="28"/>
        </w:rPr>
      </w:pPr>
      <w:r w:rsidRPr="00EB3714">
        <w:rPr>
          <w:b/>
          <w:sz w:val="28"/>
          <w:szCs w:val="28"/>
        </w:rPr>
        <w:t>Прогноз на 2024год = 1,6 тыс. руб.</w:t>
      </w:r>
    </w:p>
    <w:p w:rsidR="0055491A" w:rsidRDefault="0055491A" w:rsidP="0055491A">
      <w:pPr>
        <w:pStyle w:val="a7"/>
        <w:spacing w:after="0"/>
        <w:ind w:left="0" w:firstLine="709"/>
        <w:jc w:val="both"/>
        <w:rPr>
          <w:sz w:val="28"/>
          <w:szCs w:val="28"/>
        </w:rPr>
      </w:pPr>
    </w:p>
    <w:p w:rsidR="0055491A" w:rsidRDefault="0055491A" w:rsidP="0055491A">
      <w:pPr>
        <w:pStyle w:val="a7"/>
        <w:spacing w:after="0"/>
        <w:ind w:left="0" w:firstLine="709"/>
        <w:jc w:val="both"/>
        <w:rPr>
          <w:sz w:val="28"/>
          <w:szCs w:val="28"/>
        </w:rPr>
      </w:pPr>
      <w:r>
        <w:rPr>
          <w:sz w:val="28"/>
          <w:szCs w:val="28"/>
        </w:rPr>
        <w:t xml:space="preserve">20.5 </w:t>
      </w:r>
      <w:r w:rsidRPr="00553ED0">
        <w:rPr>
          <w:b/>
          <w:sz w:val="28"/>
          <w:szCs w:val="28"/>
        </w:rPr>
        <w:t>КБК 019 1 16 07090 02 0000 140</w:t>
      </w:r>
      <w:r>
        <w:rPr>
          <w:sz w:val="28"/>
          <w:szCs w:val="28"/>
        </w:rPr>
        <w:t xml:space="preserve"> </w:t>
      </w:r>
      <w:r w:rsidRPr="001E4BE3">
        <w:rPr>
          <w:sz w:val="28"/>
          <w:szCs w:val="28"/>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r>
        <w:rPr>
          <w:sz w:val="28"/>
          <w:szCs w:val="28"/>
        </w:rPr>
        <w:t>.</w:t>
      </w:r>
    </w:p>
    <w:p w:rsidR="0055491A" w:rsidRPr="00553ED0" w:rsidRDefault="0055491A" w:rsidP="0055491A">
      <w:pPr>
        <w:pStyle w:val="a7"/>
        <w:spacing w:after="0"/>
        <w:ind w:left="0" w:firstLine="709"/>
        <w:jc w:val="both"/>
        <w:rPr>
          <w:b/>
          <w:sz w:val="28"/>
          <w:szCs w:val="28"/>
        </w:rPr>
      </w:pPr>
      <w:r w:rsidRPr="00553ED0">
        <w:rPr>
          <w:b/>
          <w:sz w:val="28"/>
          <w:szCs w:val="28"/>
        </w:rPr>
        <w:t xml:space="preserve"> Главный администратор доходов – Министерство имущественных и земельных отношений Тверской области.</w:t>
      </w:r>
    </w:p>
    <w:p w:rsidR="0055491A" w:rsidRPr="003D5E17" w:rsidRDefault="0055491A" w:rsidP="0055491A">
      <w:pPr>
        <w:pStyle w:val="a7"/>
        <w:spacing w:after="0"/>
        <w:ind w:left="0" w:firstLine="709"/>
        <w:jc w:val="both"/>
        <w:rPr>
          <w:sz w:val="28"/>
          <w:szCs w:val="28"/>
        </w:rPr>
      </w:pPr>
      <w:r w:rsidRPr="003D5E17">
        <w:rPr>
          <w:sz w:val="28"/>
          <w:szCs w:val="28"/>
        </w:rPr>
        <w:t xml:space="preserve">Расчет произведен в соответствии с методикой, утвержденной приказом Министерства имущественных и земельных отношений Тверской области от </w:t>
      </w:r>
      <w:r>
        <w:rPr>
          <w:sz w:val="28"/>
          <w:szCs w:val="28"/>
        </w:rPr>
        <w:t>17</w:t>
      </w:r>
      <w:r w:rsidRPr="003D5E17">
        <w:rPr>
          <w:sz w:val="28"/>
          <w:szCs w:val="28"/>
        </w:rPr>
        <w:t>.</w:t>
      </w:r>
      <w:r>
        <w:rPr>
          <w:sz w:val="28"/>
          <w:szCs w:val="28"/>
        </w:rPr>
        <w:t>1</w:t>
      </w:r>
      <w:r w:rsidRPr="003D5E17">
        <w:rPr>
          <w:sz w:val="28"/>
          <w:szCs w:val="28"/>
        </w:rPr>
        <w:t>0.201</w:t>
      </w:r>
      <w:r>
        <w:rPr>
          <w:sz w:val="28"/>
          <w:szCs w:val="28"/>
        </w:rPr>
        <w:t>9</w:t>
      </w:r>
      <w:r w:rsidRPr="003D5E17">
        <w:rPr>
          <w:sz w:val="28"/>
          <w:szCs w:val="28"/>
        </w:rPr>
        <w:t xml:space="preserve"> № 10</w:t>
      </w:r>
      <w:r>
        <w:rPr>
          <w:sz w:val="28"/>
          <w:szCs w:val="28"/>
        </w:rPr>
        <w:t>3</w:t>
      </w:r>
      <w:r w:rsidRPr="003D5E17">
        <w:rPr>
          <w:sz w:val="28"/>
          <w:szCs w:val="28"/>
        </w:rPr>
        <w:t xml:space="preserve"> «Об утверждении методики прогнозирования поступлений неналоговых доходов в бюджет Тверской области, главным администратором которых является Министерство имущественных и земельных отношений Тверской области»</w:t>
      </w:r>
      <w:r>
        <w:rPr>
          <w:sz w:val="28"/>
          <w:szCs w:val="28"/>
        </w:rPr>
        <w:t>.</w:t>
      </w:r>
      <w:r w:rsidRPr="003D5E17">
        <w:rPr>
          <w:sz w:val="28"/>
          <w:szCs w:val="28"/>
        </w:rPr>
        <w:t xml:space="preserve"> </w:t>
      </w:r>
    </w:p>
    <w:p w:rsidR="0055491A" w:rsidRDefault="0055491A" w:rsidP="0055491A">
      <w:pPr>
        <w:pStyle w:val="a7"/>
        <w:spacing w:after="0"/>
        <w:ind w:left="0" w:firstLine="709"/>
        <w:jc w:val="both"/>
        <w:rPr>
          <w:sz w:val="28"/>
          <w:szCs w:val="28"/>
        </w:rPr>
      </w:pPr>
      <w:r w:rsidRPr="003D0BC8">
        <w:rPr>
          <w:sz w:val="28"/>
          <w:szCs w:val="28"/>
        </w:rPr>
        <w:t xml:space="preserve">По данному доходному источнику поступают денежные средства по оплате штрафов (штрафных санкций), предусмотренных условиями государственных контрактов или иных договоров, пени в рамках соглашений об установлении сервитута (разовые платежи). </w:t>
      </w:r>
    </w:p>
    <w:p w:rsidR="0055491A" w:rsidRDefault="0055491A" w:rsidP="0055491A">
      <w:pPr>
        <w:pStyle w:val="a7"/>
        <w:spacing w:after="0"/>
        <w:ind w:left="0" w:firstLine="709"/>
        <w:jc w:val="both"/>
        <w:rPr>
          <w:sz w:val="28"/>
          <w:szCs w:val="28"/>
        </w:rPr>
      </w:pPr>
      <w:r>
        <w:rPr>
          <w:sz w:val="28"/>
          <w:szCs w:val="28"/>
        </w:rPr>
        <w:t xml:space="preserve">Расчет прогноза на 2022-2024 годы произведен методом усреднения исходя из фактической оплаты штрафных санкций за последние три отчетных года (2018 год, 2019 год, 2020 год) с применением </w:t>
      </w:r>
      <w:r w:rsidRPr="003D0BC8">
        <w:rPr>
          <w:sz w:val="28"/>
          <w:szCs w:val="28"/>
        </w:rPr>
        <w:t>индекс</w:t>
      </w:r>
      <w:r>
        <w:rPr>
          <w:sz w:val="28"/>
          <w:szCs w:val="28"/>
        </w:rPr>
        <w:t>а</w:t>
      </w:r>
      <w:r w:rsidRPr="003D0BC8">
        <w:rPr>
          <w:sz w:val="28"/>
          <w:szCs w:val="28"/>
        </w:rPr>
        <w:t xml:space="preserve"> потребительских цен</w:t>
      </w:r>
      <w:r>
        <w:rPr>
          <w:sz w:val="28"/>
          <w:szCs w:val="28"/>
        </w:rPr>
        <w:t>.</w:t>
      </w:r>
      <w:r w:rsidRPr="003D0BC8">
        <w:rPr>
          <w:sz w:val="28"/>
          <w:szCs w:val="28"/>
        </w:rPr>
        <w:t xml:space="preserve"> </w:t>
      </w:r>
    </w:p>
    <w:p w:rsidR="0055491A" w:rsidRPr="00553ED0" w:rsidRDefault="0055491A" w:rsidP="0055491A">
      <w:pPr>
        <w:pStyle w:val="a7"/>
        <w:spacing w:after="0"/>
        <w:ind w:left="0" w:firstLine="709"/>
        <w:jc w:val="both"/>
        <w:rPr>
          <w:sz w:val="28"/>
          <w:szCs w:val="28"/>
        </w:rPr>
      </w:pPr>
      <w:r w:rsidRPr="00553ED0">
        <w:rPr>
          <w:sz w:val="28"/>
          <w:szCs w:val="28"/>
        </w:rPr>
        <w:t>Согласно письму Министерства экономического развития Тверской области от 18.05.2021 № 2514 прогноз показателя инфляции (базовый вариант ИПЦ) к декабрю предыдущего года составляет в 2022 году 104%, в 2023 году – 104%, в 2024 году – 104%.</w:t>
      </w:r>
    </w:p>
    <w:p w:rsidR="0055491A" w:rsidRPr="00587ABE" w:rsidRDefault="0055491A" w:rsidP="0055491A">
      <w:pPr>
        <w:pStyle w:val="a7"/>
        <w:spacing w:after="0"/>
        <w:ind w:left="0" w:firstLine="709"/>
        <w:jc w:val="both"/>
        <w:rPr>
          <w:sz w:val="28"/>
          <w:szCs w:val="28"/>
        </w:rPr>
      </w:pPr>
      <w:r w:rsidRPr="00587ABE">
        <w:rPr>
          <w:sz w:val="28"/>
          <w:szCs w:val="28"/>
        </w:rPr>
        <w:lastRenderedPageBreak/>
        <w:t>В 201</w:t>
      </w:r>
      <w:r>
        <w:rPr>
          <w:sz w:val="28"/>
          <w:szCs w:val="28"/>
        </w:rPr>
        <w:t>8</w:t>
      </w:r>
      <w:r w:rsidRPr="00587ABE">
        <w:rPr>
          <w:sz w:val="28"/>
          <w:szCs w:val="28"/>
        </w:rPr>
        <w:t xml:space="preserve"> году поступления по доходному источнику в части периодических платежей составили </w:t>
      </w:r>
      <w:r>
        <w:rPr>
          <w:sz w:val="28"/>
          <w:szCs w:val="28"/>
        </w:rPr>
        <w:t>816,0</w:t>
      </w:r>
      <w:r w:rsidRPr="00587ABE">
        <w:rPr>
          <w:sz w:val="28"/>
          <w:szCs w:val="28"/>
        </w:rPr>
        <w:t xml:space="preserve"> тыс. руб., в 201</w:t>
      </w:r>
      <w:r>
        <w:rPr>
          <w:sz w:val="28"/>
          <w:szCs w:val="28"/>
        </w:rPr>
        <w:t>9</w:t>
      </w:r>
      <w:r w:rsidRPr="00587ABE">
        <w:rPr>
          <w:sz w:val="28"/>
          <w:szCs w:val="28"/>
        </w:rPr>
        <w:t xml:space="preserve"> году – </w:t>
      </w:r>
      <w:r>
        <w:rPr>
          <w:sz w:val="28"/>
          <w:szCs w:val="28"/>
        </w:rPr>
        <w:t>560,4</w:t>
      </w:r>
      <w:r w:rsidRPr="00587ABE">
        <w:rPr>
          <w:sz w:val="28"/>
          <w:szCs w:val="28"/>
        </w:rPr>
        <w:t xml:space="preserve"> тыс. руб., в 20</w:t>
      </w:r>
      <w:r>
        <w:rPr>
          <w:sz w:val="28"/>
          <w:szCs w:val="28"/>
        </w:rPr>
        <w:t>20</w:t>
      </w:r>
      <w:r w:rsidRPr="00587ABE">
        <w:rPr>
          <w:sz w:val="28"/>
          <w:szCs w:val="28"/>
        </w:rPr>
        <w:t xml:space="preserve"> году – </w:t>
      </w:r>
      <w:r>
        <w:rPr>
          <w:sz w:val="28"/>
          <w:szCs w:val="28"/>
        </w:rPr>
        <w:t>649,5</w:t>
      </w:r>
      <w:r w:rsidRPr="00587ABE">
        <w:rPr>
          <w:sz w:val="28"/>
          <w:szCs w:val="28"/>
        </w:rPr>
        <w:t xml:space="preserve"> тыс. руб.</w:t>
      </w:r>
    </w:p>
    <w:p w:rsidR="0055491A" w:rsidRPr="00587ABE" w:rsidRDefault="0055491A" w:rsidP="0055491A">
      <w:pPr>
        <w:pStyle w:val="a7"/>
        <w:spacing w:after="0"/>
        <w:ind w:left="0" w:firstLine="709"/>
        <w:jc w:val="both"/>
        <w:rPr>
          <w:sz w:val="28"/>
          <w:szCs w:val="28"/>
        </w:rPr>
      </w:pPr>
      <w:r w:rsidRPr="00553ED0">
        <w:rPr>
          <w:b/>
          <w:sz w:val="28"/>
          <w:szCs w:val="28"/>
        </w:rPr>
        <w:t>Прогноз доходов</w:t>
      </w:r>
      <w:r w:rsidRPr="00587ABE">
        <w:rPr>
          <w:sz w:val="28"/>
          <w:szCs w:val="28"/>
        </w:rPr>
        <w:t xml:space="preserve"> по указанному доходному источнику на </w:t>
      </w:r>
      <w:r w:rsidRPr="00553ED0">
        <w:rPr>
          <w:b/>
          <w:sz w:val="28"/>
          <w:szCs w:val="28"/>
        </w:rPr>
        <w:t>2022 год</w:t>
      </w:r>
      <w:r w:rsidRPr="00587ABE">
        <w:rPr>
          <w:sz w:val="28"/>
          <w:szCs w:val="28"/>
        </w:rPr>
        <w:t xml:space="preserve"> составит (</w:t>
      </w:r>
      <w:r>
        <w:rPr>
          <w:sz w:val="28"/>
          <w:szCs w:val="28"/>
        </w:rPr>
        <w:t>816</w:t>
      </w:r>
      <w:r w:rsidRPr="00587ABE">
        <w:rPr>
          <w:sz w:val="28"/>
          <w:szCs w:val="28"/>
        </w:rPr>
        <w:t xml:space="preserve"> тыс. руб. + 5</w:t>
      </w:r>
      <w:r>
        <w:rPr>
          <w:sz w:val="28"/>
          <w:szCs w:val="28"/>
        </w:rPr>
        <w:t>60</w:t>
      </w:r>
      <w:r w:rsidRPr="00587ABE">
        <w:rPr>
          <w:sz w:val="28"/>
          <w:szCs w:val="28"/>
        </w:rPr>
        <w:t>,</w:t>
      </w:r>
      <w:r>
        <w:rPr>
          <w:sz w:val="28"/>
          <w:szCs w:val="28"/>
        </w:rPr>
        <w:t>4</w:t>
      </w:r>
      <w:r w:rsidRPr="00587ABE">
        <w:rPr>
          <w:sz w:val="28"/>
          <w:szCs w:val="28"/>
        </w:rPr>
        <w:t xml:space="preserve"> тыс. руб. + </w:t>
      </w:r>
      <w:r>
        <w:rPr>
          <w:sz w:val="28"/>
          <w:szCs w:val="28"/>
        </w:rPr>
        <w:t>649,5</w:t>
      </w:r>
      <w:r w:rsidRPr="00587ABE">
        <w:rPr>
          <w:sz w:val="28"/>
          <w:szCs w:val="28"/>
        </w:rPr>
        <w:t xml:space="preserve"> тыс. руб.) / 3 * 10</w:t>
      </w:r>
      <w:r>
        <w:rPr>
          <w:sz w:val="28"/>
          <w:szCs w:val="28"/>
        </w:rPr>
        <w:t>4</w:t>
      </w:r>
      <w:r w:rsidRPr="00587ABE">
        <w:rPr>
          <w:sz w:val="28"/>
          <w:szCs w:val="28"/>
        </w:rPr>
        <w:t>,</w:t>
      </w:r>
      <w:r>
        <w:rPr>
          <w:sz w:val="28"/>
          <w:szCs w:val="28"/>
        </w:rPr>
        <w:t>0</w:t>
      </w:r>
      <w:r w:rsidRPr="00587ABE">
        <w:rPr>
          <w:sz w:val="28"/>
          <w:szCs w:val="28"/>
        </w:rPr>
        <w:t xml:space="preserve">% </w:t>
      </w:r>
      <w:r>
        <w:rPr>
          <w:sz w:val="28"/>
          <w:szCs w:val="28"/>
        </w:rPr>
        <w:t xml:space="preserve">                               </w:t>
      </w:r>
      <w:r w:rsidRPr="00587ABE">
        <w:rPr>
          <w:sz w:val="28"/>
          <w:szCs w:val="28"/>
        </w:rPr>
        <w:t xml:space="preserve">= </w:t>
      </w:r>
      <w:r>
        <w:rPr>
          <w:b/>
          <w:sz w:val="28"/>
          <w:szCs w:val="28"/>
        </w:rPr>
        <w:t>702,3</w:t>
      </w:r>
      <w:r w:rsidRPr="00553ED0">
        <w:rPr>
          <w:b/>
          <w:sz w:val="28"/>
          <w:szCs w:val="28"/>
        </w:rPr>
        <w:t xml:space="preserve"> тыс. руб</w:t>
      </w:r>
      <w:r w:rsidRPr="00587ABE">
        <w:rPr>
          <w:sz w:val="28"/>
          <w:szCs w:val="28"/>
        </w:rPr>
        <w:t xml:space="preserve">. </w:t>
      </w:r>
    </w:p>
    <w:p w:rsidR="0055491A" w:rsidRPr="00553ED0" w:rsidRDefault="0055491A" w:rsidP="0055491A">
      <w:pPr>
        <w:pStyle w:val="a7"/>
        <w:spacing w:after="0"/>
        <w:ind w:left="0" w:firstLine="709"/>
        <w:jc w:val="both"/>
        <w:rPr>
          <w:b/>
          <w:sz w:val="28"/>
          <w:szCs w:val="28"/>
        </w:rPr>
      </w:pPr>
      <w:r w:rsidRPr="00553ED0">
        <w:rPr>
          <w:b/>
          <w:sz w:val="28"/>
          <w:szCs w:val="28"/>
        </w:rPr>
        <w:t>Прогноз доходов</w:t>
      </w:r>
      <w:r w:rsidRPr="00587ABE">
        <w:rPr>
          <w:sz w:val="28"/>
          <w:szCs w:val="28"/>
        </w:rPr>
        <w:t xml:space="preserve"> по указанному доходному источнику на </w:t>
      </w:r>
      <w:r w:rsidRPr="00553ED0">
        <w:rPr>
          <w:b/>
          <w:sz w:val="28"/>
          <w:szCs w:val="28"/>
        </w:rPr>
        <w:t>2023 год</w:t>
      </w:r>
      <w:r w:rsidRPr="00587ABE">
        <w:rPr>
          <w:sz w:val="28"/>
          <w:szCs w:val="28"/>
        </w:rPr>
        <w:t xml:space="preserve"> составит (</w:t>
      </w:r>
      <w:r>
        <w:rPr>
          <w:sz w:val="28"/>
          <w:szCs w:val="28"/>
        </w:rPr>
        <w:t>816</w:t>
      </w:r>
      <w:r w:rsidRPr="00587ABE">
        <w:rPr>
          <w:sz w:val="28"/>
          <w:szCs w:val="28"/>
        </w:rPr>
        <w:t xml:space="preserve"> тыс. руб. + 5</w:t>
      </w:r>
      <w:r>
        <w:rPr>
          <w:sz w:val="28"/>
          <w:szCs w:val="28"/>
        </w:rPr>
        <w:t>60</w:t>
      </w:r>
      <w:r w:rsidRPr="00587ABE">
        <w:rPr>
          <w:sz w:val="28"/>
          <w:szCs w:val="28"/>
        </w:rPr>
        <w:t>,</w:t>
      </w:r>
      <w:r>
        <w:rPr>
          <w:sz w:val="28"/>
          <w:szCs w:val="28"/>
        </w:rPr>
        <w:t>4</w:t>
      </w:r>
      <w:r w:rsidRPr="00587ABE">
        <w:rPr>
          <w:sz w:val="28"/>
          <w:szCs w:val="28"/>
        </w:rPr>
        <w:t xml:space="preserve"> тыс. руб. + </w:t>
      </w:r>
      <w:r>
        <w:rPr>
          <w:sz w:val="28"/>
          <w:szCs w:val="28"/>
        </w:rPr>
        <w:t>649,5</w:t>
      </w:r>
      <w:r w:rsidRPr="00587ABE">
        <w:rPr>
          <w:sz w:val="28"/>
          <w:szCs w:val="28"/>
        </w:rPr>
        <w:t xml:space="preserve"> тыс. руб.) / 3 * 10</w:t>
      </w:r>
      <w:r>
        <w:rPr>
          <w:sz w:val="28"/>
          <w:szCs w:val="28"/>
        </w:rPr>
        <w:t>4</w:t>
      </w:r>
      <w:r w:rsidRPr="00587ABE">
        <w:rPr>
          <w:sz w:val="28"/>
          <w:szCs w:val="28"/>
        </w:rPr>
        <w:t>,</w:t>
      </w:r>
      <w:r>
        <w:rPr>
          <w:sz w:val="28"/>
          <w:szCs w:val="28"/>
        </w:rPr>
        <w:t>0</w:t>
      </w:r>
      <w:r w:rsidRPr="00587ABE">
        <w:rPr>
          <w:sz w:val="28"/>
          <w:szCs w:val="28"/>
        </w:rPr>
        <w:t xml:space="preserve">% </w:t>
      </w:r>
      <w:r>
        <w:rPr>
          <w:sz w:val="28"/>
          <w:szCs w:val="28"/>
        </w:rPr>
        <w:t xml:space="preserve">                               </w:t>
      </w:r>
      <w:r w:rsidRPr="00587ABE">
        <w:rPr>
          <w:sz w:val="28"/>
          <w:szCs w:val="28"/>
        </w:rPr>
        <w:t>=</w:t>
      </w:r>
      <w:r>
        <w:rPr>
          <w:sz w:val="28"/>
          <w:szCs w:val="28"/>
        </w:rPr>
        <w:t xml:space="preserve"> </w:t>
      </w:r>
      <w:r>
        <w:rPr>
          <w:b/>
          <w:sz w:val="28"/>
          <w:szCs w:val="28"/>
        </w:rPr>
        <w:t>702,3</w:t>
      </w:r>
      <w:r w:rsidRPr="00553ED0">
        <w:rPr>
          <w:b/>
          <w:sz w:val="28"/>
          <w:szCs w:val="28"/>
        </w:rPr>
        <w:t xml:space="preserve"> тыс. руб. </w:t>
      </w:r>
    </w:p>
    <w:p w:rsidR="0055491A" w:rsidRDefault="0055491A" w:rsidP="0055491A">
      <w:pPr>
        <w:pStyle w:val="a7"/>
        <w:spacing w:after="0"/>
        <w:ind w:left="0" w:firstLine="709"/>
        <w:jc w:val="both"/>
        <w:rPr>
          <w:sz w:val="28"/>
          <w:szCs w:val="28"/>
        </w:rPr>
      </w:pPr>
      <w:r w:rsidRPr="00553ED0">
        <w:rPr>
          <w:b/>
          <w:sz w:val="28"/>
          <w:szCs w:val="28"/>
        </w:rPr>
        <w:t>Прогноз доходов</w:t>
      </w:r>
      <w:r w:rsidRPr="00587ABE">
        <w:rPr>
          <w:sz w:val="28"/>
          <w:szCs w:val="28"/>
        </w:rPr>
        <w:t xml:space="preserve"> по указанному доходному источнику на </w:t>
      </w:r>
      <w:r w:rsidRPr="00553ED0">
        <w:rPr>
          <w:b/>
          <w:sz w:val="28"/>
          <w:szCs w:val="28"/>
        </w:rPr>
        <w:t>2024 год</w:t>
      </w:r>
      <w:r w:rsidRPr="00587ABE">
        <w:rPr>
          <w:sz w:val="28"/>
          <w:szCs w:val="28"/>
        </w:rPr>
        <w:t xml:space="preserve"> составит (</w:t>
      </w:r>
      <w:r>
        <w:rPr>
          <w:sz w:val="28"/>
          <w:szCs w:val="28"/>
        </w:rPr>
        <w:t>816</w:t>
      </w:r>
      <w:r w:rsidRPr="00587ABE">
        <w:rPr>
          <w:sz w:val="28"/>
          <w:szCs w:val="28"/>
        </w:rPr>
        <w:t xml:space="preserve"> тыс. руб. + 5</w:t>
      </w:r>
      <w:r>
        <w:rPr>
          <w:sz w:val="28"/>
          <w:szCs w:val="28"/>
        </w:rPr>
        <w:t>60</w:t>
      </w:r>
      <w:r w:rsidRPr="00587ABE">
        <w:rPr>
          <w:sz w:val="28"/>
          <w:szCs w:val="28"/>
        </w:rPr>
        <w:t>,</w:t>
      </w:r>
      <w:r>
        <w:rPr>
          <w:sz w:val="28"/>
          <w:szCs w:val="28"/>
        </w:rPr>
        <w:t>4</w:t>
      </w:r>
      <w:r w:rsidRPr="00587ABE">
        <w:rPr>
          <w:sz w:val="28"/>
          <w:szCs w:val="28"/>
        </w:rPr>
        <w:t xml:space="preserve"> тыс. руб. + </w:t>
      </w:r>
      <w:r>
        <w:rPr>
          <w:sz w:val="28"/>
          <w:szCs w:val="28"/>
        </w:rPr>
        <w:t>649,5</w:t>
      </w:r>
      <w:r w:rsidRPr="00587ABE">
        <w:rPr>
          <w:sz w:val="28"/>
          <w:szCs w:val="28"/>
        </w:rPr>
        <w:t xml:space="preserve"> тыс. руб.) / 3 * 10</w:t>
      </w:r>
      <w:r>
        <w:rPr>
          <w:sz w:val="28"/>
          <w:szCs w:val="28"/>
        </w:rPr>
        <w:t>4</w:t>
      </w:r>
      <w:r w:rsidRPr="00587ABE">
        <w:rPr>
          <w:sz w:val="28"/>
          <w:szCs w:val="28"/>
        </w:rPr>
        <w:t>,</w:t>
      </w:r>
      <w:r>
        <w:rPr>
          <w:sz w:val="28"/>
          <w:szCs w:val="28"/>
        </w:rPr>
        <w:t>0</w:t>
      </w:r>
      <w:r w:rsidRPr="00587ABE">
        <w:rPr>
          <w:sz w:val="28"/>
          <w:szCs w:val="28"/>
        </w:rPr>
        <w:t xml:space="preserve">% </w:t>
      </w:r>
      <w:r>
        <w:rPr>
          <w:sz w:val="28"/>
          <w:szCs w:val="28"/>
        </w:rPr>
        <w:t xml:space="preserve">                       </w:t>
      </w:r>
      <w:r w:rsidRPr="00587ABE">
        <w:rPr>
          <w:sz w:val="28"/>
          <w:szCs w:val="28"/>
        </w:rPr>
        <w:t xml:space="preserve">= </w:t>
      </w:r>
      <w:r>
        <w:rPr>
          <w:b/>
          <w:sz w:val="28"/>
          <w:szCs w:val="28"/>
        </w:rPr>
        <w:t>702,3</w:t>
      </w:r>
      <w:r w:rsidRPr="00553ED0">
        <w:rPr>
          <w:b/>
          <w:sz w:val="28"/>
          <w:szCs w:val="28"/>
        </w:rPr>
        <w:t xml:space="preserve"> тыс. руб</w:t>
      </w:r>
      <w:r w:rsidRPr="00587ABE">
        <w:rPr>
          <w:sz w:val="28"/>
          <w:szCs w:val="28"/>
        </w:rPr>
        <w:t>.</w:t>
      </w:r>
    </w:p>
    <w:p w:rsidR="0055491A" w:rsidRDefault="0055491A" w:rsidP="0055491A">
      <w:pPr>
        <w:pStyle w:val="a7"/>
        <w:spacing w:after="0"/>
        <w:ind w:left="0" w:firstLine="709"/>
        <w:jc w:val="both"/>
        <w:rPr>
          <w:sz w:val="28"/>
          <w:szCs w:val="28"/>
        </w:rPr>
      </w:pPr>
    </w:p>
    <w:p w:rsidR="0055491A" w:rsidRDefault="0055491A" w:rsidP="0055491A">
      <w:pPr>
        <w:pStyle w:val="a7"/>
        <w:spacing w:after="0"/>
        <w:ind w:left="0" w:firstLine="709"/>
        <w:jc w:val="both"/>
        <w:rPr>
          <w:sz w:val="28"/>
          <w:szCs w:val="28"/>
        </w:rPr>
      </w:pPr>
      <w:r w:rsidRPr="00873B13">
        <w:rPr>
          <w:sz w:val="28"/>
          <w:szCs w:val="28"/>
        </w:rPr>
        <w:t>20.6</w:t>
      </w:r>
      <w:r>
        <w:rPr>
          <w:b/>
          <w:sz w:val="28"/>
          <w:szCs w:val="28"/>
        </w:rPr>
        <w:t xml:space="preserve"> КБК 034 1 16 0709</w:t>
      </w:r>
      <w:r w:rsidRPr="001A6C36">
        <w:rPr>
          <w:b/>
          <w:sz w:val="28"/>
          <w:szCs w:val="28"/>
        </w:rPr>
        <w:t>0 02 0000 140</w:t>
      </w:r>
      <w:r w:rsidRPr="005A3CC6">
        <w:rPr>
          <w:sz w:val="28"/>
          <w:szCs w:val="28"/>
        </w:rPr>
        <w:t xml:space="preserve"> </w:t>
      </w:r>
      <w:r w:rsidRPr="001E4BE3">
        <w:rPr>
          <w:sz w:val="28"/>
          <w:szCs w:val="28"/>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r>
        <w:rPr>
          <w:sz w:val="28"/>
          <w:szCs w:val="28"/>
        </w:rPr>
        <w:t>.</w:t>
      </w:r>
    </w:p>
    <w:p w:rsidR="0055491A" w:rsidRPr="005A3CC6" w:rsidRDefault="0055491A" w:rsidP="0055491A">
      <w:pPr>
        <w:autoSpaceDE w:val="0"/>
        <w:autoSpaceDN w:val="0"/>
        <w:adjustRightInd w:val="0"/>
        <w:ind w:firstLine="540"/>
        <w:jc w:val="both"/>
        <w:rPr>
          <w:sz w:val="28"/>
          <w:szCs w:val="28"/>
        </w:rPr>
      </w:pPr>
      <w:r w:rsidRPr="001A6C36">
        <w:rPr>
          <w:b/>
          <w:sz w:val="28"/>
          <w:szCs w:val="28"/>
        </w:rPr>
        <w:t>Главный администратор доходов – Министерство здравоохранения Тверской области</w:t>
      </w:r>
      <w:r w:rsidRPr="005A3CC6">
        <w:rPr>
          <w:sz w:val="28"/>
          <w:szCs w:val="28"/>
        </w:rPr>
        <w:t>.</w:t>
      </w:r>
    </w:p>
    <w:p w:rsidR="0055491A" w:rsidRPr="005A3CC6" w:rsidRDefault="0055491A" w:rsidP="0055491A">
      <w:pPr>
        <w:pStyle w:val="a7"/>
        <w:spacing w:after="0"/>
        <w:ind w:left="0" w:firstLine="709"/>
        <w:jc w:val="both"/>
        <w:rPr>
          <w:sz w:val="28"/>
          <w:szCs w:val="28"/>
        </w:rPr>
      </w:pPr>
      <w:r w:rsidRPr="005A3CC6">
        <w:rPr>
          <w:sz w:val="28"/>
          <w:szCs w:val="28"/>
        </w:rPr>
        <w:t>Расчет произведен в соответствии с методикой, утвержденной приказом Министерства здравоохранения Тверской области от 24.05.2017 № 368 «Об утверждении Методики прогнозирования поступлений в областной бюджет Тверской области доходов, главным администратором которых является Министерство здравоохранения Тверской области»</w:t>
      </w:r>
      <w:r>
        <w:rPr>
          <w:sz w:val="28"/>
          <w:szCs w:val="28"/>
        </w:rPr>
        <w:t xml:space="preserve"> (с учетом изменений).</w:t>
      </w:r>
    </w:p>
    <w:p w:rsidR="0055491A" w:rsidRPr="005A3CC6" w:rsidRDefault="0055491A" w:rsidP="0055491A">
      <w:pPr>
        <w:pStyle w:val="a7"/>
        <w:spacing w:after="0"/>
        <w:ind w:left="0" w:firstLine="709"/>
        <w:jc w:val="both"/>
        <w:rPr>
          <w:sz w:val="28"/>
          <w:szCs w:val="28"/>
        </w:rPr>
      </w:pPr>
      <w:r w:rsidRPr="005A3CC6">
        <w:rPr>
          <w:sz w:val="28"/>
          <w:szCs w:val="28"/>
        </w:rPr>
        <w:t>Прогноз на 202</w:t>
      </w:r>
      <w:r>
        <w:rPr>
          <w:sz w:val="28"/>
          <w:szCs w:val="28"/>
        </w:rPr>
        <w:t>2</w:t>
      </w:r>
      <w:r w:rsidRPr="005A3CC6">
        <w:rPr>
          <w:sz w:val="28"/>
          <w:szCs w:val="28"/>
        </w:rPr>
        <w:t xml:space="preserve"> год рассчитан методом усреднения, исходя из поступлений за 201</w:t>
      </w:r>
      <w:r>
        <w:rPr>
          <w:sz w:val="28"/>
          <w:szCs w:val="28"/>
        </w:rPr>
        <w:t>9</w:t>
      </w:r>
      <w:r w:rsidRPr="005A3CC6">
        <w:rPr>
          <w:sz w:val="28"/>
          <w:szCs w:val="28"/>
        </w:rPr>
        <w:t xml:space="preserve"> год (</w:t>
      </w:r>
      <w:r>
        <w:rPr>
          <w:sz w:val="28"/>
          <w:szCs w:val="28"/>
        </w:rPr>
        <w:t>0 р</w:t>
      </w:r>
      <w:r w:rsidRPr="005A3CC6">
        <w:rPr>
          <w:sz w:val="28"/>
          <w:szCs w:val="28"/>
        </w:rPr>
        <w:t>уб.), поступлений за 20</w:t>
      </w:r>
      <w:r>
        <w:rPr>
          <w:sz w:val="28"/>
          <w:szCs w:val="28"/>
        </w:rPr>
        <w:t xml:space="preserve">20 </w:t>
      </w:r>
      <w:r w:rsidRPr="005A3CC6">
        <w:rPr>
          <w:sz w:val="28"/>
          <w:szCs w:val="28"/>
        </w:rPr>
        <w:t>год (</w:t>
      </w:r>
      <w:r>
        <w:rPr>
          <w:sz w:val="28"/>
          <w:szCs w:val="28"/>
        </w:rPr>
        <w:t xml:space="preserve">3 196,7 тыс. руб.) </w:t>
      </w:r>
      <w:r w:rsidRPr="005A3CC6">
        <w:rPr>
          <w:sz w:val="28"/>
          <w:szCs w:val="28"/>
        </w:rPr>
        <w:t>и ожидаемой оценки на 20</w:t>
      </w:r>
      <w:r>
        <w:rPr>
          <w:sz w:val="28"/>
          <w:szCs w:val="28"/>
        </w:rPr>
        <w:t>21</w:t>
      </w:r>
      <w:r w:rsidRPr="005A3CC6">
        <w:rPr>
          <w:sz w:val="28"/>
          <w:szCs w:val="28"/>
        </w:rPr>
        <w:t xml:space="preserve"> год (</w:t>
      </w:r>
      <w:r>
        <w:rPr>
          <w:sz w:val="28"/>
          <w:szCs w:val="28"/>
        </w:rPr>
        <w:t>631,4 тыс. руб.</w:t>
      </w:r>
      <w:r w:rsidRPr="005A3CC6">
        <w:rPr>
          <w:sz w:val="28"/>
          <w:szCs w:val="28"/>
        </w:rPr>
        <w:t xml:space="preserve">). </w:t>
      </w:r>
    </w:p>
    <w:p w:rsidR="0055491A" w:rsidRDefault="0055491A" w:rsidP="0055491A">
      <w:pPr>
        <w:pStyle w:val="a7"/>
        <w:spacing w:after="0"/>
        <w:ind w:left="0" w:firstLine="709"/>
        <w:jc w:val="both"/>
        <w:rPr>
          <w:sz w:val="28"/>
          <w:szCs w:val="28"/>
        </w:rPr>
      </w:pPr>
      <w:r w:rsidRPr="005A3CC6">
        <w:rPr>
          <w:sz w:val="28"/>
          <w:szCs w:val="28"/>
        </w:rPr>
        <w:t>Ожидаемая оценка на 20</w:t>
      </w:r>
      <w:r>
        <w:rPr>
          <w:sz w:val="28"/>
          <w:szCs w:val="28"/>
        </w:rPr>
        <w:t>21</w:t>
      </w:r>
      <w:r w:rsidRPr="005A3CC6">
        <w:rPr>
          <w:sz w:val="28"/>
          <w:szCs w:val="28"/>
        </w:rPr>
        <w:t xml:space="preserve"> год </w:t>
      </w:r>
      <w:r>
        <w:rPr>
          <w:sz w:val="28"/>
          <w:szCs w:val="28"/>
        </w:rPr>
        <w:t>631,4 тыс. руб.</w:t>
      </w:r>
      <w:r w:rsidRPr="005A3CC6">
        <w:rPr>
          <w:sz w:val="28"/>
          <w:szCs w:val="28"/>
        </w:rPr>
        <w:t xml:space="preserve"> исходя из фактических поступлений на 01.06.</w:t>
      </w:r>
      <w:r>
        <w:rPr>
          <w:sz w:val="28"/>
          <w:szCs w:val="28"/>
        </w:rPr>
        <w:t xml:space="preserve">2021 </w:t>
      </w:r>
    </w:p>
    <w:p w:rsidR="0055491A" w:rsidRPr="005A3CC6" w:rsidRDefault="0055491A" w:rsidP="0055491A">
      <w:pPr>
        <w:pStyle w:val="a7"/>
        <w:spacing w:after="0"/>
        <w:ind w:left="0" w:firstLine="709"/>
        <w:jc w:val="both"/>
        <w:rPr>
          <w:sz w:val="28"/>
          <w:szCs w:val="28"/>
        </w:rPr>
      </w:pPr>
      <w:r w:rsidRPr="005A3CC6">
        <w:rPr>
          <w:sz w:val="28"/>
          <w:szCs w:val="28"/>
        </w:rPr>
        <w:t>Расчет прогноза на 202</w:t>
      </w:r>
      <w:r>
        <w:rPr>
          <w:sz w:val="28"/>
          <w:szCs w:val="28"/>
        </w:rPr>
        <w:t>2</w:t>
      </w:r>
      <w:r w:rsidRPr="005A3CC6">
        <w:rPr>
          <w:sz w:val="28"/>
          <w:szCs w:val="28"/>
        </w:rPr>
        <w:t xml:space="preserve"> год = (</w:t>
      </w:r>
      <w:r>
        <w:rPr>
          <w:sz w:val="28"/>
          <w:szCs w:val="28"/>
        </w:rPr>
        <w:t>0</w:t>
      </w:r>
      <w:r w:rsidRPr="005A3CC6">
        <w:rPr>
          <w:sz w:val="28"/>
          <w:szCs w:val="28"/>
        </w:rPr>
        <w:t>+</w:t>
      </w:r>
      <w:r>
        <w:rPr>
          <w:sz w:val="28"/>
          <w:szCs w:val="28"/>
        </w:rPr>
        <w:t>3 196,7 тыс. руб.+631,4 тыс. руб.</w:t>
      </w:r>
      <w:r w:rsidRPr="005A3CC6">
        <w:rPr>
          <w:sz w:val="28"/>
          <w:szCs w:val="28"/>
        </w:rPr>
        <w:t xml:space="preserve">)/3 = </w:t>
      </w:r>
      <w:r>
        <w:rPr>
          <w:sz w:val="28"/>
          <w:szCs w:val="28"/>
        </w:rPr>
        <w:t xml:space="preserve">                                        1 276,0</w:t>
      </w:r>
      <w:r w:rsidRPr="005A3CC6">
        <w:rPr>
          <w:sz w:val="28"/>
          <w:szCs w:val="28"/>
        </w:rPr>
        <w:t xml:space="preserve"> тыс. руб.</w:t>
      </w:r>
    </w:p>
    <w:p w:rsidR="0055491A" w:rsidRDefault="0055491A" w:rsidP="0055491A">
      <w:pPr>
        <w:pStyle w:val="a7"/>
        <w:spacing w:after="0"/>
        <w:ind w:left="0" w:firstLine="709"/>
        <w:jc w:val="both"/>
        <w:rPr>
          <w:sz w:val="28"/>
          <w:szCs w:val="28"/>
        </w:rPr>
      </w:pPr>
      <w:r w:rsidRPr="005A3CC6">
        <w:rPr>
          <w:sz w:val="28"/>
          <w:szCs w:val="28"/>
        </w:rPr>
        <w:t>Прогноз на 202</w:t>
      </w:r>
      <w:r>
        <w:rPr>
          <w:sz w:val="28"/>
          <w:szCs w:val="28"/>
        </w:rPr>
        <w:t>3</w:t>
      </w:r>
      <w:r w:rsidRPr="005A3CC6">
        <w:rPr>
          <w:sz w:val="28"/>
          <w:szCs w:val="28"/>
        </w:rPr>
        <w:t xml:space="preserve"> </w:t>
      </w:r>
      <w:r>
        <w:rPr>
          <w:sz w:val="28"/>
          <w:szCs w:val="28"/>
        </w:rPr>
        <w:t>и 2024 годы</w:t>
      </w:r>
      <w:r w:rsidRPr="005A3CC6">
        <w:rPr>
          <w:sz w:val="28"/>
          <w:szCs w:val="28"/>
        </w:rPr>
        <w:t xml:space="preserve"> рассчитываются на уровне прогноза на 202</w:t>
      </w:r>
      <w:r>
        <w:rPr>
          <w:sz w:val="28"/>
          <w:szCs w:val="28"/>
        </w:rPr>
        <w:t>2</w:t>
      </w:r>
      <w:r w:rsidRPr="005A3CC6">
        <w:rPr>
          <w:sz w:val="28"/>
          <w:szCs w:val="28"/>
        </w:rPr>
        <w:t xml:space="preserve"> год.</w:t>
      </w:r>
    </w:p>
    <w:p w:rsidR="0055491A" w:rsidRPr="001A6C36" w:rsidRDefault="0055491A" w:rsidP="0055491A">
      <w:pPr>
        <w:pStyle w:val="a7"/>
        <w:spacing w:after="0"/>
        <w:ind w:left="0" w:firstLine="709"/>
        <w:jc w:val="both"/>
        <w:rPr>
          <w:b/>
          <w:sz w:val="28"/>
          <w:szCs w:val="28"/>
        </w:rPr>
      </w:pPr>
      <w:r w:rsidRPr="001A6C36">
        <w:rPr>
          <w:b/>
          <w:sz w:val="28"/>
          <w:szCs w:val="28"/>
        </w:rPr>
        <w:t xml:space="preserve">Прогноз на 2022 год = 1 </w:t>
      </w:r>
      <w:r>
        <w:rPr>
          <w:b/>
          <w:sz w:val="28"/>
          <w:szCs w:val="28"/>
        </w:rPr>
        <w:t>276</w:t>
      </w:r>
      <w:r w:rsidRPr="001A6C36">
        <w:rPr>
          <w:b/>
          <w:sz w:val="28"/>
          <w:szCs w:val="28"/>
        </w:rPr>
        <w:t>,0 тыс. руб.</w:t>
      </w:r>
    </w:p>
    <w:p w:rsidR="0055491A" w:rsidRPr="001A6C36" w:rsidRDefault="0055491A" w:rsidP="0055491A">
      <w:pPr>
        <w:pStyle w:val="a7"/>
        <w:spacing w:after="0"/>
        <w:ind w:left="0" w:firstLine="709"/>
        <w:jc w:val="both"/>
        <w:rPr>
          <w:b/>
          <w:sz w:val="28"/>
          <w:szCs w:val="28"/>
        </w:rPr>
      </w:pPr>
      <w:r w:rsidRPr="001A6C36">
        <w:rPr>
          <w:b/>
          <w:sz w:val="28"/>
          <w:szCs w:val="28"/>
        </w:rPr>
        <w:t>Прогноз на 2023 год = 1 </w:t>
      </w:r>
      <w:r>
        <w:rPr>
          <w:b/>
          <w:sz w:val="28"/>
          <w:szCs w:val="28"/>
        </w:rPr>
        <w:t>276</w:t>
      </w:r>
      <w:r w:rsidRPr="001A6C36">
        <w:rPr>
          <w:b/>
          <w:sz w:val="28"/>
          <w:szCs w:val="28"/>
        </w:rPr>
        <w:t>,0 тыс. руб.</w:t>
      </w:r>
    </w:p>
    <w:p w:rsidR="0055491A" w:rsidRDefault="0055491A" w:rsidP="0055491A">
      <w:pPr>
        <w:pStyle w:val="a7"/>
        <w:spacing w:after="0"/>
        <w:ind w:left="0" w:firstLine="709"/>
        <w:jc w:val="both"/>
        <w:rPr>
          <w:b/>
          <w:sz w:val="28"/>
          <w:szCs w:val="28"/>
        </w:rPr>
      </w:pPr>
      <w:r w:rsidRPr="001A6C36">
        <w:rPr>
          <w:b/>
          <w:sz w:val="28"/>
          <w:szCs w:val="28"/>
        </w:rPr>
        <w:t>Прогноз на 2024 год = 1 </w:t>
      </w:r>
      <w:r>
        <w:rPr>
          <w:b/>
          <w:sz w:val="28"/>
          <w:szCs w:val="28"/>
        </w:rPr>
        <w:t>276</w:t>
      </w:r>
      <w:r w:rsidRPr="001A6C36">
        <w:rPr>
          <w:b/>
          <w:sz w:val="28"/>
          <w:szCs w:val="28"/>
        </w:rPr>
        <w:t>,0 тыс. руб.</w:t>
      </w:r>
    </w:p>
    <w:p w:rsidR="0055491A" w:rsidRDefault="0055491A" w:rsidP="0055491A">
      <w:pPr>
        <w:pStyle w:val="a7"/>
        <w:spacing w:after="0"/>
        <w:ind w:left="0" w:firstLine="709"/>
        <w:jc w:val="both"/>
        <w:rPr>
          <w:b/>
          <w:sz w:val="28"/>
          <w:szCs w:val="28"/>
        </w:rPr>
      </w:pPr>
    </w:p>
    <w:p w:rsidR="0055491A" w:rsidRDefault="0055491A" w:rsidP="0055491A">
      <w:pPr>
        <w:pStyle w:val="a7"/>
        <w:spacing w:after="0"/>
        <w:ind w:left="0" w:firstLine="709"/>
        <w:jc w:val="both"/>
        <w:rPr>
          <w:color w:val="000000" w:themeColor="text1"/>
          <w:sz w:val="28"/>
          <w:szCs w:val="28"/>
        </w:rPr>
      </w:pPr>
      <w:r>
        <w:rPr>
          <w:color w:val="000000" w:themeColor="text1"/>
          <w:sz w:val="28"/>
          <w:szCs w:val="28"/>
        </w:rPr>
        <w:t xml:space="preserve">20.7 </w:t>
      </w:r>
      <w:r w:rsidRPr="00873B13">
        <w:rPr>
          <w:b/>
          <w:color w:val="000000" w:themeColor="text1"/>
          <w:sz w:val="28"/>
          <w:szCs w:val="28"/>
        </w:rPr>
        <w:t xml:space="preserve">КБК </w:t>
      </w:r>
      <w:r>
        <w:rPr>
          <w:b/>
          <w:sz w:val="28"/>
          <w:szCs w:val="28"/>
        </w:rPr>
        <w:t>083</w:t>
      </w:r>
      <w:r w:rsidRPr="00873B13">
        <w:rPr>
          <w:b/>
          <w:sz w:val="28"/>
          <w:szCs w:val="28"/>
        </w:rPr>
        <w:t xml:space="preserve"> 1 16 07090 02 0000 140</w:t>
      </w:r>
      <w:r>
        <w:rPr>
          <w:sz w:val="28"/>
          <w:szCs w:val="28"/>
        </w:rPr>
        <w:t xml:space="preserve"> </w:t>
      </w:r>
      <w:r w:rsidRPr="001E4BE3">
        <w:rPr>
          <w:sz w:val="28"/>
          <w:szCs w:val="28"/>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r>
        <w:rPr>
          <w:sz w:val="28"/>
          <w:szCs w:val="28"/>
        </w:rPr>
        <w:t>.</w:t>
      </w:r>
    </w:p>
    <w:p w:rsidR="0055491A" w:rsidRPr="00873B13" w:rsidRDefault="0055491A" w:rsidP="0055491A">
      <w:pPr>
        <w:pStyle w:val="a7"/>
        <w:spacing w:after="0"/>
        <w:ind w:left="0" w:firstLine="709"/>
        <w:jc w:val="both"/>
        <w:rPr>
          <w:b/>
          <w:sz w:val="28"/>
          <w:szCs w:val="28"/>
        </w:rPr>
      </w:pPr>
      <w:r w:rsidRPr="00873B13">
        <w:rPr>
          <w:b/>
          <w:sz w:val="28"/>
          <w:szCs w:val="28"/>
        </w:rPr>
        <w:t xml:space="preserve">Главный администратор доходов - Министерство </w:t>
      </w:r>
      <w:r>
        <w:rPr>
          <w:b/>
          <w:sz w:val="28"/>
          <w:szCs w:val="28"/>
        </w:rPr>
        <w:t xml:space="preserve">сельского хозяйства </w:t>
      </w:r>
      <w:r w:rsidRPr="00873B13">
        <w:rPr>
          <w:b/>
          <w:sz w:val="28"/>
          <w:szCs w:val="28"/>
        </w:rPr>
        <w:t>Тверской области.</w:t>
      </w:r>
    </w:p>
    <w:p w:rsidR="0055491A" w:rsidRDefault="0055491A" w:rsidP="0055491A">
      <w:pPr>
        <w:pStyle w:val="a7"/>
        <w:spacing w:after="0"/>
        <w:ind w:left="0" w:firstLine="709"/>
        <w:jc w:val="both"/>
        <w:rPr>
          <w:b/>
          <w:sz w:val="28"/>
          <w:szCs w:val="28"/>
        </w:rPr>
      </w:pPr>
      <w:r w:rsidRPr="005A3CC6">
        <w:rPr>
          <w:sz w:val="28"/>
          <w:szCs w:val="28"/>
        </w:rPr>
        <w:lastRenderedPageBreak/>
        <w:t xml:space="preserve">Расчет произведен в соответствии с методикой, утвержденной приказом Министерства </w:t>
      </w:r>
      <w:r>
        <w:rPr>
          <w:sz w:val="28"/>
          <w:szCs w:val="28"/>
        </w:rPr>
        <w:t>сельского хозяйства</w:t>
      </w:r>
      <w:r w:rsidRPr="005A3CC6">
        <w:rPr>
          <w:sz w:val="28"/>
          <w:szCs w:val="28"/>
        </w:rPr>
        <w:t xml:space="preserve"> Тверской области от 2</w:t>
      </w:r>
      <w:r>
        <w:rPr>
          <w:sz w:val="28"/>
          <w:szCs w:val="28"/>
        </w:rPr>
        <w:t>8</w:t>
      </w:r>
      <w:r w:rsidRPr="005A3CC6">
        <w:rPr>
          <w:sz w:val="28"/>
          <w:szCs w:val="28"/>
        </w:rPr>
        <w:t>.</w:t>
      </w:r>
      <w:r>
        <w:rPr>
          <w:sz w:val="28"/>
          <w:szCs w:val="28"/>
        </w:rPr>
        <w:t>10</w:t>
      </w:r>
      <w:r w:rsidRPr="005A3CC6">
        <w:rPr>
          <w:sz w:val="28"/>
          <w:szCs w:val="28"/>
        </w:rPr>
        <w:t>.20</w:t>
      </w:r>
      <w:r>
        <w:rPr>
          <w:sz w:val="28"/>
          <w:szCs w:val="28"/>
        </w:rPr>
        <w:t>20</w:t>
      </w:r>
      <w:r w:rsidRPr="005A3CC6">
        <w:rPr>
          <w:sz w:val="28"/>
          <w:szCs w:val="28"/>
        </w:rPr>
        <w:t xml:space="preserve"> № </w:t>
      </w:r>
      <w:r>
        <w:rPr>
          <w:sz w:val="28"/>
          <w:szCs w:val="28"/>
        </w:rPr>
        <w:t>235.</w:t>
      </w:r>
    </w:p>
    <w:p w:rsidR="0055491A" w:rsidRDefault="0055491A" w:rsidP="0055491A">
      <w:pPr>
        <w:ind w:firstLine="709"/>
        <w:jc w:val="both"/>
        <w:rPr>
          <w:sz w:val="28"/>
          <w:szCs w:val="28"/>
        </w:rPr>
      </w:pPr>
      <w:r>
        <w:rPr>
          <w:sz w:val="28"/>
          <w:szCs w:val="28"/>
        </w:rPr>
        <w:t>Поступления доходов прогнозируются методом экстраполяции по минимальному значению за три года, предшествующих текущему финансовому году.</w:t>
      </w:r>
    </w:p>
    <w:p w:rsidR="0055491A" w:rsidRDefault="0055491A" w:rsidP="0055491A">
      <w:pPr>
        <w:pStyle w:val="a7"/>
        <w:spacing w:after="0"/>
        <w:ind w:left="0" w:firstLine="709"/>
        <w:jc w:val="both"/>
        <w:rPr>
          <w:sz w:val="28"/>
          <w:szCs w:val="28"/>
        </w:rPr>
      </w:pPr>
      <w:r w:rsidRPr="000269E8">
        <w:rPr>
          <w:sz w:val="28"/>
          <w:szCs w:val="28"/>
        </w:rPr>
        <w:t>Ф</w:t>
      </w:r>
      <w:r>
        <w:rPr>
          <w:sz w:val="28"/>
          <w:szCs w:val="28"/>
        </w:rPr>
        <w:t>акт 2018 год – 793,5 тыс. руб., факт 2019 год – 593,5 тыс. руб., факт 2020 год – 419,2 тыс. руб.</w:t>
      </w:r>
    </w:p>
    <w:p w:rsidR="0055491A" w:rsidRPr="000269E8" w:rsidRDefault="0055491A" w:rsidP="0055491A">
      <w:pPr>
        <w:pStyle w:val="a7"/>
        <w:spacing w:after="0"/>
        <w:ind w:left="0" w:firstLine="709"/>
        <w:jc w:val="both"/>
        <w:rPr>
          <w:b/>
          <w:sz w:val="28"/>
          <w:szCs w:val="28"/>
        </w:rPr>
      </w:pPr>
      <w:r w:rsidRPr="000269E8">
        <w:rPr>
          <w:b/>
          <w:sz w:val="28"/>
          <w:szCs w:val="28"/>
        </w:rPr>
        <w:t xml:space="preserve">Прогноз на 2022 год 419,2 тыс. руб., </w:t>
      </w:r>
      <w:r>
        <w:rPr>
          <w:b/>
          <w:sz w:val="28"/>
          <w:szCs w:val="28"/>
        </w:rPr>
        <w:t>п</w:t>
      </w:r>
      <w:r w:rsidRPr="000269E8">
        <w:rPr>
          <w:b/>
          <w:sz w:val="28"/>
          <w:szCs w:val="28"/>
        </w:rPr>
        <w:t>рогноз на 202</w:t>
      </w:r>
      <w:r>
        <w:rPr>
          <w:b/>
          <w:sz w:val="28"/>
          <w:szCs w:val="28"/>
        </w:rPr>
        <w:t xml:space="preserve">3 </w:t>
      </w:r>
      <w:r w:rsidRPr="000269E8">
        <w:rPr>
          <w:b/>
          <w:sz w:val="28"/>
          <w:szCs w:val="28"/>
        </w:rPr>
        <w:t xml:space="preserve">год  </w:t>
      </w:r>
      <w:r>
        <w:rPr>
          <w:b/>
          <w:sz w:val="28"/>
          <w:szCs w:val="28"/>
        </w:rPr>
        <w:t xml:space="preserve">                         </w:t>
      </w:r>
      <w:r w:rsidRPr="000269E8">
        <w:rPr>
          <w:b/>
          <w:sz w:val="28"/>
          <w:szCs w:val="28"/>
        </w:rPr>
        <w:t xml:space="preserve">419,2 тыс. руб., </w:t>
      </w:r>
      <w:r>
        <w:rPr>
          <w:b/>
          <w:sz w:val="28"/>
          <w:szCs w:val="28"/>
        </w:rPr>
        <w:t>п</w:t>
      </w:r>
      <w:r w:rsidRPr="000269E8">
        <w:rPr>
          <w:b/>
          <w:sz w:val="28"/>
          <w:szCs w:val="28"/>
        </w:rPr>
        <w:t>рогноз на 202</w:t>
      </w:r>
      <w:r>
        <w:rPr>
          <w:b/>
          <w:sz w:val="28"/>
          <w:szCs w:val="28"/>
        </w:rPr>
        <w:t>4</w:t>
      </w:r>
      <w:r w:rsidRPr="000269E8">
        <w:rPr>
          <w:b/>
          <w:sz w:val="28"/>
          <w:szCs w:val="28"/>
        </w:rPr>
        <w:t xml:space="preserve"> год 419,2 тыс. руб.</w:t>
      </w:r>
    </w:p>
    <w:p w:rsidR="0055491A" w:rsidRPr="000269E8" w:rsidRDefault="0055491A" w:rsidP="0055491A">
      <w:pPr>
        <w:pStyle w:val="a7"/>
        <w:spacing w:after="0"/>
        <w:ind w:left="0" w:firstLine="709"/>
        <w:jc w:val="both"/>
        <w:rPr>
          <w:color w:val="000000" w:themeColor="text1"/>
          <w:sz w:val="28"/>
          <w:szCs w:val="28"/>
        </w:rPr>
      </w:pPr>
    </w:p>
    <w:p w:rsidR="0055491A" w:rsidRDefault="0055491A" w:rsidP="0055491A">
      <w:pPr>
        <w:pStyle w:val="a7"/>
        <w:spacing w:after="0"/>
        <w:ind w:left="0" w:firstLine="709"/>
        <w:jc w:val="both"/>
        <w:rPr>
          <w:color w:val="000000" w:themeColor="text1"/>
          <w:sz w:val="28"/>
          <w:szCs w:val="28"/>
        </w:rPr>
      </w:pPr>
      <w:r>
        <w:rPr>
          <w:color w:val="000000" w:themeColor="text1"/>
          <w:sz w:val="28"/>
          <w:szCs w:val="28"/>
        </w:rPr>
        <w:t xml:space="preserve">20.8 </w:t>
      </w:r>
      <w:r w:rsidRPr="00873B13">
        <w:rPr>
          <w:b/>
          <w:color w:val="000000" w:themeColor="text1"/>
          <w:sz w:val="28"/>
          <w:szCs w:val="28"/>
        </w:rPr>
        <w:t xml:space="preserve">КБК </w:t>
      </w:r>
      <w:r w:rsidRPr="00873B13">
        <w:rPr>
          <w:b/>
          <w:sz w:val="28"/>
          <w:szCs w:val="28"/>
        </w:rPr>
        <w:t>104 1 16 07090 02 0000 140</w:t>
      </w:r>
      <w:r>
        <w:rPr>
          <w:sz w:val="28"/>
          <w:szCs w:val="28"/>
        </w:rPr>
        <w:t xml:space="preserve"> </w:t>
      </w:r>
      <w:r w:rsidRPr="001E4BE3">
        <w:rPr>
          <w:sz w:val="28"/>
          <w:szCs w:val="28"/>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r>
        <w:rPr>
          <w:sz w:val="28"/>
          <w:szCs w:val="28"/>
        </w:rPr>
        <w:t>.</w:t>
      </w:r>
    </w:p>
    <w:p w:rsidR="0055491A" w:rsidRPr="00873B13" w:rsidRDefault="0055491A" w:rsidP="0055491A">
      <w:pPr>
        <w:pStyle w:val="a7"/>
        <w:spacing w:after="0"/>
        <w:ind w:left="0" w:firstLine="709"/>
        <w:jc w:val="both"/>
        <w:rPr>
          <w:b/>
          <w:sz w:val="28"/>
          <w:szCs w:val="28"/>
        </w:rPr>
      </w:pPr>
      <w:r w:rsidRPr="00873B13">
        <w:rPr>
          <w:b/>
          <w:sz w:val="28"/>
          <w:szCs w:val="28"/>
        </w:rPr>
        <w:t>Главный администратор доходов - Министерство транспорта Тверской области.</w:t>
      </w:r>
    </w:p>
    <w:p w:rsidR="0055491A" w:rsidRPr="005C5CE9" w:rsidRDefault="0055491A" w:rsidP="0055491A">
      <w:pPr>
        <w:pStyle w:val="a7"/>
        <w:spacing w:after="0"/>
        <w:ind w:left="0" w:firstLine="709"/>
        <w:jc w:val="both"/>
        <w:rPr>
          <w:sz w:val="28"/>
          <w:szCs w:val="28"/>
        </w:rPr>
      </w:pPr>
      <w:r w:rsidRPr="005C5CE9">
        <w:rPr>
          <w:sz w:val="28"/>
          <w:szCs w:val="28"/>
        </w:rPr>
        <w:t xml:space="preserve">Прогноз на очередной финансовый год рассчитывается методом усреднения, по формуле: </w:t>
      </w:r>
    </w:p>
    <w:p w:rsidR="0055491A" w:rsidRPr="005C5CE9" w:rsidRDefault="0055491A" w:rsidP="0055491A">
      <w:pPr>
        <w:pStyle w:val="a7"/>
        <w:spacing w:after="0"/>
        <w:ind w:left="0" w:firstLine="709"/>
        <w:jc w:val="both"/>
        <w:rPr>
          <w:sz w:val="28"/>
          <w:szCs w:val="28"/>
        </w:rPr>
      </w:pPr>
      <w:r w:rsidRPr="005C5CE9">
        <w:rPr>
          <w:sz w:val="28"/>
          <w:szCs w:val="28"/>
        </w:rPr>
        <w:t>Д=(Дож+Д</w:t>
      </w:r>
      <w:r w:rsidRPr="005C5CE9">
        <w:rPr>
          <w:sz w:val="18"/>
          <w:szCs w:val="18"/>
        </w:rPr>
        <w:t>-1</w:t>
      </w:r>
      <w:r w:rsidRPr="005C5CE9">
        <w:rPr>
          <w:sz w:val="28"/>
          <w:szCs w:val="28"/>
        </w:rPr>
        <w:t>+Д-2)/3, где</w:t>
      </w:r>
    </w:p>
    <w:p w:rsidR="0055491A" w:rsidRPr="005C5CE9" w:rsidRDefault="0055491A" w:rsidP="0055491A">
      <w:pPr>
        <w:pStyle w:val="a7"/>
        <w:spacing w:after="0"/>
        <w:ind w:left="0" w:firstLine="709"/>
        <w:jc w:val="both"/>
        <w:rPr>
          <w:sz w:val="28"/>
          <w:szCs w:val="28"/>
        </w:rPr>
      </w:pPr>
      <w:r w:rsidRPr="005C5CE9">
        <w:rPr>
          <w:sz w:val="28"/>
          <w:szCs w:val="28"/>
        </w:rPr>
        <w:t>Д- прогноз доходов на очередной финансовый год;</w:t>
      </w:r>
    </w:p>
    <w:p w:rsidR="0055491A" w:rsidRPr="005C5CE9" w:rsidRDefault="0055491A" w:rsidP="0055491A">
      <w:pPr>
        <w:pStyle w:val="a7"/>
        <w:spacing w:after="0"/>
        <w:ind w:left="0" w:firstLine="709"/>
        <w:jc w:val="both"/>
        <w:rPr>
          <w:sz w:val="28"/>
          <w:szCs w:val="28"/>
        </w:rPr>
      </w:pPr>
      <w:r w:rsidRPr="005C5CE9">
        <w:rPr>
          <w:sz w:val="28"/>
          <w:szCs w:val="28"/>
        </w:rPr>
        <w:t>Дож – ожидаемая оценка текущего года;</w:t>
      </w:r>
    </w:p>
    <w:p w:rsidR="0055491A" w:rsidRPr="005C5CE9" w:rsidRDefault="0055491A" w:rsidP="0055491A">
      <w:pPr>
        <w:pStyle w:val="a7"/>
        <w:spacing w:after="0"/>
        <w:ind w:left="0" w:firstLine="709"/>
        <w:jc w:val="both"/>
        <w:rPr>
          <w:sz w:val="28"/>
          <w:szCs w:val="28"/>
        </w:rPr>
      </w:pPr>
      <w:r w:rsidRPr="005C5CE9">
        <w:rPr>
          <w:sz w:val="28"/>
          <w:szCs w:val="28"/>
        </w:rPr>
        <w:t>Д-1 – фактические поступления за отчетный период;</w:t>
      </w:r>
    </w:p>
    <w:p w:rsidR="0055491A" w:rsidRPr="005C5CE9" w:rsidRDefault="0055491A" w:rsidP="0055491A">
      <w:pPr>
        <w:pStyle w:val="a7"/>
        <w:spacing w:after="0"/>
        <w:ind w:left="0" w:firstLine="709"/>
        <w:jc w:val="both"/>
        <w:rPr>
          <w:sz w:val="28"/>
          <w:szCs w:val="28"/>
        </w:rPr>
      </w:pPr>
      <w:r w:rsidRPr="005C5CE9">
        <w:rPr>
          <w:sz w:val="28"/>
          <w:szCs w:val="28"/>
        </w:rPr>
        <w:t>Д-2- фактические поступления за год, предшествующий отчетному.</w:t>
      </w:r>
    </w:p>
    <w:p w:rsidR="0055491A" w:rsidRDefault="0055491A" w:rsidP="0055491A">
      <w:pPr>
        <w:autoSpaceDE w:val="0"/>
        <w:autoSpaceDN w:val="0"/>
        <w:adjustRightInd w:val="0"/>
        <w:ind w:firstLine="720"/>
        <w:jc w:val="both"/>
        <w:rPr>
          <w:color w:val="000000" w:themeColor="text1"/>
          <w:sz w:val="28"/>
          <w:szCs w:val="28"/>
        </w:rPr>
      </w:pPr>
      <w:r w:rsidRPr="00FE0004">
        <w:rPr>
          <w:color w:val="000000" w:themeColor="text1"/>
          <w:sz w:val="28"/>
          <w:szCs w:val="28"/>
        </w:rPr>
        <w:t>Ожидаемая оценка 2021 года рассчитывается методом усреднения с использованием данных о фактических поступлениях на дату составления прогноза (отчетную дату) и суммы дебиторской задолженности, образовавшейся на 1 января текущего года</w:t>
      </w:r>
      <w:r>
        <w:rPr>
          <w:color w:val="000000" w:themeColor="text1"/>
          <w:sz w:val="28"/>
          <w:szCs w:val="28"/>
        </w:rPr>
        <w:t xml:space="preserve"> и составляет 9 646,6 тыс. руб.</w:t>
      </w:r>
    </w:p>
    <w:p w:rsidR="0055491A" w:rsidRPr="005C5CE9" w:rsidRDefault="0055491A" w:rsidP="0055491A">
      <w:pPr>
        <w:autoSpaceDE w:val="0"/>
        <w:autoSpaceDN w:val="0"/>
        <w:adjustRightInd w:val="0"/>
        <w:ind w:firstLine="720"/>
        <w:jc w:val="both"/>
        <w:rPr>
          <w:sz w:val="28"/>
          <w:szCs w:val="28"/>
        </w:rPr>
      </w:pPr>
      <w:r w:rsidRPr="00873B13">
        <w:rPr>
          <w:b/>
          <w:color w:val="000000" w:themeColor="text1"/>
          <w:sz w:val="28"/>
          <w:szCs w:val="28"/>
        </w:rPr>
        <w:t xml:space="preserve"> </w:t>
      </w:r>
      <w:r w:rsidRPr="00873B13">
        <w:rPr>
          <w:b/>
          <w:color w:val="000000"/>
          <w:sz w:val="28"/>
          <w:szCs w:val="28"/>
        </w:rPr>
        <w:t>Прогноз 2022 год</w:t>
      </w:r>
      <w:r w:rsidRPr="005C5CE9">
        <w:rPr>
          <w:color w:val="000000"/>
          <w:sz w:val="28"/>
          <w:szCs w:val="28"/>
        </w:rPr>
        <w:t xml:space="preserve"> =(факт 201</w:t>
      </w:r>
      <w:r>
        <w:rPr>
          <w:color w:val="000000"/>
          <w:sz w:val="28"/>
          <w:szCs w:val="28"/>
        </w:rPr>
        <w:t>9</w:t>
      </w:r>
      <w:r w:rsidRPr="005C5CE9">
        <w:rPr>
          <w:color w:val="000000"/>
          <w:sz w:val="28"/>
          <w:szCs w:val="28"/>
        </w:rPr>
        <w:t>+факт 20</w:t>
      </w:r>
      <w:r>
        <w:rPr>
          <w:color w:val="000000"/>
          <w:sz w:val="28"/>
          <w:szCs w:val="28"/>
        </w:rPr>
        <w:t>20</w:t>
      </w:r>
      <w:r w:rsidRPr="005C5CE9">
        <w:rPr>
          <w:color w:val="000000"/>
          <w:sz w:val="28"/>
          <w:szCs w:val="28"/>
        </w:rPr>
        <w:t>+ожидаемое 20</w:t>
      </w:r>
      <w:r>
        <w:rPr>
          <w:color w:val="000000"/>
          <w:sz w:val="28"/>
          <w:szCs w:val="28"/>
        </w:rPr>
        <w:t>21</w:t>
      </w:r>
      <w:r w:rsidRPr="005C5CE9">
        <w:rPr>
          <w:color w:val="000000"/>
          <w:sz w:val="28"/>
          <w:szCs w:val="28"/>
        </w:rPr>
        <w:t>)/3</w:t>
      </w:r>
    </w:p>
    <w:p w:rsidR="0055491A" w:rsidRPr="00873B13" w:rsidRDefault="0055491A" w:rsidP="0055491A">
      <w:pPr>
        <w:ind w:firstLine="709"/>
        <w:jc w:val="both"/>
        <w:rPr>
          <w:b/>
          <w:sz w:val="28"/>
          <w:szCs w:val="28"/>
        </w:rPr>
      </w:pPr>
      <w:r w:rsidRPr="005C5CE9">
        <w:rPr>
          <w:sz w:val="28"/>
          <w:szCs w:val="28"/>
        </w:rPr>
        <w:t>Расчет прогноза на 202</w:t>
      </w:r>
      <w:r>
        <w:rPr>
          <w:sz w:val="28"/>
          <w:szCs w:val="28"/>
        </w:rPr>
        <w:t>2</w:t>
      </w:r>
      <w:r w:rsidRPr="005C5CE9">
        <w:rPr>
          <w:sz w:val="28"/>
          <w:szCs w:val="28"/>
        </w:rPr>
        <w:t>год = (</w:t>
      </w:r>
      <w:r>
        <w:rPr>
          <w:sz w:val="28"/>
          <w:szCs w:val="28"/>
        </w:rPr>
        <w:t xml:space="preserve">675,5+ 4 294,8 + 9 646,6)/3 =                               </w:t>
      </w:r>
      <w:r w:rsidRPr="00873B13">
        <w:rPr>
          <w:b/>
          <w:sz w:val="28"/>
          <w:szCs w:val="28"/>
        </w:rPr>
        <w:t xml:space="preserve">4 872,3 тыс. руб.    </w:t>
      </w:r>
    </w:p>
    <w:p w:rsidR="0055491A" w:rsidRPr="00873B13" w:rsidRDefault="0055491A" w:rsidP="0055491A">
      <w:pPr>
        <w:ind w:right="282" w:firstLine="708"/>
        <w:jc w:val="both"/>
        <w:rPr>
          <w:b/>
          <w:sz w:val="28"/>
          <w:szCs w:val="28"/>
        </w:rPr>
      </w:pPr>
      <w:r w:rsidRPr="00873B13">
        <w:rPr>
          <w:b/>
          <w:sz w:val="28"/>
          <w:szCs w:val="28"/>
        </w:rPr>
        <w:t>Прогноз доходов на 2023-2024 годы</w:t>
      </w:r>
      <w:r w:rsidRPr="00490B25">
        <w:rPr>
          <w:sz w:val="28"/>
          <w:szCs w:val="28"/>
        </w:rPr>
        <w:t xml:space="preserve"> </w:t>
      </w:r>
      <w:r>
        <w:rPr>
          <w:sz w:val="28"/>
          <w:szCs w:val="28"/>
        </w:rPr>
        <w:t xml:space="preserve">принимается </w:t>
      </w:r>
      <w:r w:rsidRPr="00490B25">
        <w:rPr>
          <w:sz w:val="28"/>
          <w:szCs w:val="28"/>
        </w:rPr>
        <w:t>на уровне прогноза на очередной финансовый год</w:t>
      </w:r>
      <w:r>
        <w:rPr>
          <w:sz w:val="28"/>
          <w:szCs w:val="28"/>
        </w:rPr>
        <w:t xml:space="preserve"> (2022 год)</w:t>
      </w:r>
      <w:r w:rsidRPr="00490B25">
        <w:t xml:space="preserve"> </w:t>
      </w:r>
      <w:r w:rsidRPr="00490B25">
        <w:rPr>
          <w:sz w:val="28"/>
          <w:szCs w:val="28"/>
        </w:rPr>
        <w:t xml:space="preserve">и составит по </w:t>
      </w:r>
      <w:r w:rsidRPr="00873B13">
        <w:rPr>
          <w:b/>
          <w:sz w:val="28"/>
          <w:szCs w:val="28"/>
        </w:rPr>
        <w:t xml:space="preserve">4 872,3 тыс. руб. ежегодно. </w:t>
      </w:r>
    </w:p>
    <w:p w:rsidR="0055491A" w:rsidRDefault="0055491A" w:rsidP="0055491A">
      <w:pPr>
        <w:pStyle w:val="a7"/>
        <w:spacing w:after="0"/>
        <w:ind w:left="0" w:firstLine="709"/>
        <w:jc w:val="both"/>
        <w:rPr>
          <w:color w:val="000000" w:themeColor="text1"/>
          <w:sz w:val="28"/>
          <w:szCs w:val="28"/>
        </w:rPr>
      </w:pPr>
    </w:p>
    <w:p w:rsidR="0055491A" w:rsidRDefault="0055491A" w:rsidP="0055491A">
      <w:pPr>
        <w:pStyle w:val="a7"/>
        <w:spacing w:after="0"/>
        <w:ind w:left="0" w:firstLine="709"/>
        <w:jc w:val="both"/>
        <w:rPr>
          <w:color w:val="000000" w:themeColor="text1"/>
          <w:sz w:val="28"/>
          <w:szCs w:val="28"/>
        </w:rPr>
      </w:pPr>
      <w:r>
        <w:rPr>
          <w:color w:val="000000" w:themeColor="text1"/>
          <w:sz w:val="28"/>
          <w:szCs w:val="28"/>
        </w:rPr>
        <w:t xml:space="preserve">20.9 </w:t>
      </w:r>
      <w:r w:rsidRPr="001C22F7">
        <w:rPr>
          <w:b/>
          <w:color w:val="000000" w:themeColor="text1"/>
          <w:sz w:val="28"/>
          <w:szCs w:val="28"/>
        </w:rPr>
        <w:t xml:space="preserve">КБК </w:t>
      </w:r>
      <w:r w:rsidRPr="001C22F7">
        <w:rPr>
          <w:b/>
          <w:sz w:val="28"/>
          <w:szCs w:val="28"/>
        </w:rPr>
        <w:t>327 1 16 07090 02 0000 140</w:t>
      </w:r>
      <w:r>
        <w:rPr>
          <w:sz w:val="28"/>
          <w:szCs w:val="28"/>
        </w:rPr>
        <w:t xml:space="preserve"> </w:t>
      </w:r>
      <w:r w:rsidRPr="001E4BE3">
        <w:rPr>
          <w:sz w:val="28"/>
          <w:szCs w:val="28"/>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r>
        <w:rPr>
          <w:sz w:val="28"/>
          <w:szCs w:val="28"/>
        </w:rPr>
        <w:t>.</w:t>
      </w:r>
    </w:p>
    <w:p w:rsidR="0055491A" w:rsidRPr="001C22F7" w:rsidRDefault="0055491A" w:rsidP="0055491A">
      <w:pPr>
        <w:pStyle w:val="a7"/>
        <w:spacing w:after="0"/>
        <w:ind w:left="0" w:firstLine="709"/>
        <w:jc w:val="both"/>
        <w:rPr>
          <w:b/>
          <w:sz w:val="28"/>
          <w:szCs w:val="28"/>
        </w:rPr>
      </w:pPr>
      <w:r w:rsidRPr="001C22F7">
        <w:rPr>
          <w:b/>
          <w:sz w:val="28"/>
          <w:szCs w:val="28"/>
        </w:rPr>
        <w:t>Главный администратор доходов - Министерство природных ресурсов и экологии Тверской области.</w:t>
      </w:r>
    </w:p>
    <w:p w:rsidR="0055491A" w:rsidRDefault="0055491A" w:rsidP="0055491A">
      <w:pPr>
        <w:ind w:firstLine="709"/>
        <w:jc w:val="both"/>
        <w:rPr>
          <w:sz w:val="28"/>
          <w:szCs w:val="28"/>
        </w:rPr>
      </w:pPr>
      <w:r w:rsidRPr="00926FA7">
        <w:rPr>
          <w:sz w:val="28"/>
          <w:szCs w:val="28"/>
        </w:rPr>
        <w:t xml:space="preserve">Расчет произведен Министерством природных ресурсов и экологии Тверской области в соответствии с методикой, утвержденной  приказом </w:t>
      </w:r>
      <w:r w:rsidRPr="00926FA7">
        <w:rPr>
          <w:sz w:val="28"/>
          <w:szCs w:val="28"/>
        </w:rPr>
        <w:lastRenderedPageBreak/>
        <w:t xml:space="preserve">Министерства природных ресурсов и экологии Тверской области от </w:t>
      </w:r>
      <w:r>
        <w:rPr>
          <w:sz w:val="28"/>
          <w:szCs w:val="28"/>
        </w:rPr>
        <w:t>17</w:t>
      </w:r>
      <w:r w:rsidRPr="009F2ACB">
        <w:rPr>
          <w:sz w:val="28"/>
          <w:szCs w:val="28"/>
        </w:rPr>
        <w:t>.0</w:t>
      </w:r>
      <w:r>
        <w:rPr>
          <w:sz w:val="28"/>
          <w:szCs w:val="28"/>
        </w:rPr>
        <w:t>6</w:t>
      </w:r>
      <w:r w:rsidRPr="009F2ACB">
        <w:rPr>
          <w:sz w:val="28"/>
          <w:szCs w:val="28"/>
        </w:rPr>
        <w:t>.20</w:t>
      </w:r>
      <w:r>
        <w:rPr>
          <w:sz w:val="28"/>
          <w:szCs w:val="28"/>
        </w:rPr>
        <w:t xml:space="preserve">21 № </w:t>
      </w:r>
      <w:r w:rsidRPr="009F2ACB">
        <w:rPr>
          <w:sz w:val="28"/>
          <w:szCs w:val="28"/>
        </w:rPr>
        <w:t>8</w:t>
      </w:r>
      <w:r>
        <w:rPr>
          <w:sz w:val="28"/>
          <w:szCs w:val="28"/>
        </w:rPr>
        <w:t>5</w:t>
      </w:r>
      <w:r w:rsidRPr="009F2ACB">
        <w:rPr>
          <w:sz w:val="28"/>
          <w:szCs w:val="28"/>
        </w:rPr>
        <w:t>-кв</w:t>
      </w:r>
      <w:r w:rsidRPr="00926FA7">
        <w:rPr>
          <w:sz w:val="28"/>
          <w:szCs w:val="28"/>
        </w:rPr>
        <w:t>.</w:t>
      </w:r>
    </w:p>
    <w:p w:rsidR="0055491A" w:rsidRPr="001C22F7" w:rsidRDefault="0055491A" w:rsidP="0055491A">
      <w:pPr>
        <w:ind w:firstLine="709"/>
        <w:jc w:val="both"/>
        <w:rPr>
          <w:b/>
          <w:sz w:val="28"/>
          <w:szCs w:val="28"/>
        </w:rPr>
      </w:pPr>
      <w:r w:rsidRPr="001C22F7">
        <w:rPr>
          <w:b/>
          <w:sz w:val="28"/>
          <w:szCs w:val="28"/>
        </w:rPr>
        <w:t xml:space="preserve"> Расчет прогноза на 2022 год</w:t>
      </w:r>
      <w:r w:rsidRPr="00926FA7">
        <w:rPr>
          <w:sz w:val="28"/>
          <w:szCs w:val="28"/>
        </w:rPr>
        <w:t xml:space="preserve"> произведен </w:t>
      </w:r>
      <w:r>
        <w:rPr>
          <w:sz w:val="28"/>
          <w:szCs w:val="28"/>
        </w:rPr>
        <w:t>методом экстраполяции по минимальному значению за 3 года, предшествующих текущему финансовому году.</w:t>
      </w:r>
      <w:r w:rsidRPr="00926FA7">
        <w:rPr>
          <w:sz w:val="28"/>
          <w:szCs w:val="28"/>
        </w:rPr>
        <w:t>, исходя из фактических поступлений за 20</w:t>
      </w:r>
      <w:r>
        <w:rPr>
          <w:sz w:val="28"/>
          <w:szCs w:val="28"/>
        </w:rPr>
        <w:t>18</w:t>
      </w:r>
      <w:r w:rsidRPr="00926FA7">
        <w:rPr>
          <w:sz w:val="28"/>
          <w:szCs w:val="28"/>
        </w:rPr>
        <w:t xml:space="preserve"> год (</w:t>
      </w:r>
      <w:r>
        <w:rPr>
          <w:sz w:val="28"/>
          <w:szCs w:val="28"/>
        </w:rPr>
        <w:t xml:space="preserve">75,9 </w:t>
      </w:r>
      <w:r w:rsidRPr="00926FA7">
        <w:rPr>
          <w:sz w:val="28"/>
          <w:szCs w:val="28"/>
        </w:rPr>
        <w:t>тыс. руб.),</w:t>
      </w:r>
      <w:r>
        <w:rPr>
          <w:sz w:val="28"/>
          <w:szCs w:val="28"/>
        </w:rPr>
        <w:t xml:space="preserve"> 2019 год (535,7 тыс. руб.), 2020 год (30,9 тыс. руб.) и составляет </w:t>
      </w:r>
      <w:r w:rsidRPr="001C22F7">
        <w:rPr>
          <w:b/>
          <w:sz w:val="28"/>
          <w:szCs w:val="28"/>
        </w:rPr>
        <w:t>30,9 тыс. руб.</w:t>
      </w:r>
    </w:p>
    <w:p w:rsidR="0055491A" w:rsidRPr="00926FA7" w:rsidRDefault="0055491A" w:rsidP="0055491A">
      <w:pPr>
        <w:pStyle w:val="a7"/>
        <w:spacing w:after="0"/>
        <w:ind w:left="0" w:firstLine="709"/>
        <w:jc w:val="both"/>
        <w:rPr>
          <w:sz w:val="28"/>
          <w:szCs w:val="28"/>
        </w:rPr>
      </w:pPr>
      <w:r w:rsidRPr="00926FA7">
        <w:rPr>
          <w:sz w:val="28"/>
          <w:szCs w:val="28"/>
        </w:rPr>
        <w:t>Прогноз на 20</w:t>
      </w:r>
      <w:r>
        <w:rPr>
          <w:sz w:val="28"/>
          <w:szCs w:val="28"/>
        </w:rPr>
        <w:t>23</w:t>
      </w:r>
      <w:r w:rsidRPr="00926FA7">
        <w:rPr>
          <w:sz w:val="28"/>
          <w:szCs w:val="28"/>
        </w:rPr>
        <w:t xml:space="preserve"> год и прогноз на 20</w:t>
      </w:r>
      <w:r>
        <w:rPr>
          <w:sz w:val="28"/>
          <w:szCs w:val="28"/>
        </w:rPr>
        <w:t>24</w:t>
      </w:r>
      <w:r w:rsidRPr="00926FA7">
        <w:rPr>
          <w:sz w:val="28"/>
          <w:szCs w:val="28"/>
        </w:rPr>
        <w:t xml:space="preserve"> год рассчитываются на уровне прогноза на 20</w:t>
      </w:r>
      <w:r>
        <w:rPr>
          <w:sz w:val="28"/>
          <w:szCs w:val="28"/>
        </w:rPr>
        <w:t>22</w:t>
      </w:r>
      <w:r w:rsidRPr="00926FA7">
        <w:rPr>
          <w:sz w:val="28"/>
          <w:szCs w:val="28"/>
        </w:rPr>
        <w:t xml:space="preserve"> год.</w:t>
      </w:r>
    </w:p>
    <w:p w:rsidR="0055491A" w:rsidRPr="001C22F7" w:rsidRDefault="0055491A" w:rsidP="0055491A">
      <w:pPr>
        <w:pStyle w:val="a7"/>
        <w:spacing w:after="0"/>
        <w:ind w:left="0" w:firstLine="709"/>
        <w:jc w:val="both"/>
        <w:rPr>
          <w:b/>
          <w:sz w:val="28"/>
          <w:szCs w:val="28"/>
        </w:rPr>
      </w:pPr>
      <w:r w:rsidRPr="001C22F7">
        <w:rPr>
          <w:b/>
          <w:sz w:val="28"/>
          <w:szCs w:val="28"/>
        </w:rPr>
        <w:t>Прогноз на 2023 год = 30,9 тыс. руб.</w:t>
      </w:r>
    </w:p>
    <w:p w:rsidR="0055491A" w:rsidRPr="001C22F7" w:rsidRDefault="0055491A" w:rsidP="0055491A">
      <w:pPr>
        <w:pStyle w:val="a7"/>
        <w:spacing w:after="0"/>
        <w:ind w:left="0" w:firstLine="709"/>
        <w:jc w:val="both"/>
        <w:rPr>
          <w:b/>
          <w:sz w:val="28"/>
          <w:szCs w:val="28"/>
        </w:rPr>
      </w:pPr>
      <w:r w:rsidRPr="001C22F7">
        <w:rPr>
          <w:b/>
          <w:sz w:val="28"/>
          <w:szCs w:val="28"/>
        </w:rPr>
        <w:t>Прогноз на 2024 год = 30,9 тыс. руб.</w:t>
      </w:r>
    </w:p>
    <w:p w:rsidR="0055491A" w:rsidRDefault="0055491A" w:rsidP="0055491A">
      <w:pPr>
        <w:pStyle w:val="a7"/>
        <w:spacing w:after="0"/>
        <w:ind w:left="0" w:firstLine="709"/>
        <w:jc w:val="both"/>
        <w:rPr>
          <w:sz w:val="28"/>
          <w:szCs w:val="28"/>
        </w:rPr>
      </w:pPr>
    </w:p>
    <w:p w:rsidR="0055491A" w:rsidRDefault="0055491A" w:rsidP="0055491A">
      <w:pPr>
        <w:pStyle w:val="a7"/>
        <w:spacing w:after="0"/>
        <w:ind w:left="0" w:firstLine="709"/>
        <w:jc w:val="both"/>
        <w:rPr>
          <w:color w:val="000000" w:themeColor="text1"/>
          <w:sz w:val="28"/>
          <w:szCs w:val="28"/>
        </w:rPr>
      </w:pPr>
      <w:r>
        <w:rPr>
          <w:color w:val="000000" w:themeColor="text1"/>
          <w:sz w:val="28"/>
          <w:szCs w:val="28"/>
        </w:rPr>
        <w:t xml:space="preserve">20.10 </w:t>
      </w:r>
      <w:r w:rsidRPr="001C22F7">
        <w:rPr>
          <w:b/>
          <w:color w:val="000000" w:themeColor="text1"/>
          <w:sz w:val="28"/>
          <w:szCs w:val="28"/>
        </w:rPr>
        <w:t xml:space="preserve">КБК </w:t>
      </w:r>
      <w:r w:rsidRPr="001C22F7">
        <w:rPr>
          <w:b/>
          <w:sz w:val="28"/>
          <w:szCs w:val="28"/>
        </w:rPr>
        <w:t>328 1 16 07090 02 0000 140</w:t>
      </w:r>
      <w:r>
        <w:rPr>
          <w:sz w:val="28"/>
          <w:szCs w:val="28"/>
        </w:rPr>
        <w:t xml:space="preserve"> </w:t>
      </w:r>
      <w:r w:rsidRPr="001E4BE3">
        <w:rPr>
          <w:sz w:val="28"/>
          <w:szCs w:val="28"/>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r>
        <w:rPr>
          <w:sz w:val="28"/>
          <w:szCs w:val="28"/>
        </w:rPr>
        <w:t>.</w:t>
      </w:r>
    </w:p>
    <w:p w:rsidR="0055491A" w:rsidRPr="001C22F7" w:rsidRDefault="0055491A" w:rsidP="0055491A">
      <w:pPr>
        <w:pStyle w:val="a7"/>
        <w:spacing w:after="0"/>
        <w:ind w:left="0" w:firstLine="709"/>
        <w:jc w:val="both"/>
        <w:rPr>
          <w:b/>
          <w:sz w:val="28"/>
          <w:szCs w:val="28"/>
        </w:rPr>
      </w:pPr>
      <w:r w:rsidRPr="001C22F7">
        <w:rPr>
          <w:b/>
          <w:sz w:val="28"/>
          <w:szCs w:val="28"/>
        </w:rPr>
        <w:t>Главный администратор доходов - Министерство лесного хозяйства Тверской области.</w:t>
      </w:r>
    </w:p>
    <w:p w:rsidR="0055491A" w:rsidRDefault="0055491A" w:rsidP="0055491A">
      <w:pPr>
        <w:pStyle w:val="a7"/>
        <w:spacing w:after="0"/>
        <w:ind w:left="0" w:firstLine="709"/>
        <w:jc w:val="both"/>
        <w:rPr>
          <w:sz w:val="28"/>
          <w:szCs w:val="28"/>
        </w:rPr>
      </w:pPr>
      <w:r w:rsidRPr="00B14962">
        <w:rPr>
          <w:b/>
          <w:color w:val="000000"/>
          <w:sz w:val="28"/>
          <w:szCs w:val="28"/>
        </w:rPr>
        <w:t xml:space="preserve">Прогноз на 2022 год – </w:t>
      </w:r>
      <w:r>
        <w:rPr>
          <w:b/>
          <w:color w:val="000000"/>
          <w:sz w:val="28"/>
          <w:szCs w:val="28"/>
        </w:rPr>
        <w:t>0,2</w:t>
      </w:r>
      <w:r w:rsidRPr="00B14962">
        <w:rPr>
          <w:b/>
          <w:color w:val="000000"/>
          <w:sz w:val="28"/>
          <w:szCs w:val="28"/>
        </w:rPr>
        <w:t xml:space="preserve"> тыс. руб., на 2023 год – </w:t>
      </w:r>
      <w:r>
        <w:rPr>
          <w:b/>
          <w:color w:val="000000"/>
          <w:sz w:val="28"/>
          <w:szCs w:val="28"/>
        </w:rPr>
        <w:t>0,3</w:t>
      </w:r>
      <w:r w:rsidRPr="00B14962">
        <w:rPr>
          <w:b/>
          <w:color w:val="000000"/>
          <w:sz w:val="28"/>
          <w:szCs w:val="28"/>
        </w:rPr>
        <w:t xml:space="preserve"> тыс. руб., на 2024 год – </w:t>
      </w:r>
      <w:r>
        <w:rPr>
          <w:b/>
          <w:color w:val="000000"/>
          <w:sz w:val="28"/>
          <w:szCs w:val="28"/>
        </w:rPr>
        <w:t>0,3</w:t>
      </w:r>
      <w:r w:rsidRPr="00B14962">
        <w:rPr>
          <w:b/>
          <w:color w:val="000000"/>
          <w:sz w:val="28"/>
          <w:szCs w:val="28"/>
        </w:rPr>
        <w:t xml:space="preserve"> тыс. руб.</w:t>
      </w:r>
    </w:p>
    <w:p w:rsidR="0055491A" w:rsidRPr="005F6BFA" w:rsidRDefault="0055491A" w:rsidP="0055491A">
      <w:pPr>
        <w:shd w:val="clear" w:color="auto" w:fill="FFFFFF"/>
        <w:ind w:firstLine="709"/>
        <w:jc w:val="both"/>
        <w:rPr>
          <w:rFonts w:eastAsia="Calibri"/>
          <w:b/>
          <w:sz w:val="28"/>
          <w:szCs w:val="28"/>
          <w:lang w:eastAsia="en-US"/>
        </w:rPr>
      </w:pPr>
      <w:r w:rsidRPr="00130268">
        <w:rPr>
          <w:sz w:val="28"/>
          <w:szCs w:val="28"/>
        </w:rPr>
        <w:t xml:space="preserve">При прогнозировании данного вида доходов применяется </w:t>
      </w:r>
      <w:r>
        <w:rPr>
          <w:sz w:val="28"/>
          <w:szCs w:val="28"/>
        </w:rPr>
        <w:t>метод усреднения</w:t>
      </w:r>
      <w:r w:rsidRPr="00130268">
        <w:rPr>
          <w:sz w:val="28"/>
          <w:szCs w:val="28"/>
        </w:rPr>
        <w:t>.</w:t>
      </w:r>
    </w:p>
    <w:p w:rsidR="0055491A" w:rsidRPr="00130268" w:rsidRDefault="0055491A" w:rsidP="0055491A">
      <w:pPr>
        <w:shd w:val="clear" w:color="auto" w:fill="FFFFFF"/>
        <w:ind w:firstLine="709"/>
        <w:jc w:val="both"/>
        <w:rPr>
          <w:rFonts w:eastAsia="Calibri"/>
          <w:b/>
          <w:sz w:val="28"/>
          <w:szCs w:val="28"/>
          <w:lang w:eastAsia="en-US"/>
        </w:rPr>
      </w:pPr>
      <w:r w:rsidRPr="00130268">
        <w:rPr>
          <w:sz w:val="28"/>
          <w:szCs w:val="28"/>
        </w:rPr>
        <w:t>Прогноз данного вида доходов определяется по формуле:</w:t>
      </w:r>
    </w:p>
    <w:p w:rsidR="0055491A" w:rsidRPr="00130268" w:rsidRDefault="0055491A" w:rsidP="0055491A">
      <w:pPr>
        <w:widowControl w:val="0"/>
        <w:autoSpaceDE w:val="0"/>
        <w:autoSpaceDN w:val="0"/>
        <w:ind w:firstLine="709"/>
        <w:rPr>
          <w:sz w:val="28"/>
          <w:szCs w:val="28"/>
        </w:rPr>
      </w:pPr>
      <w:r>
        <w:rPr>
          <w:noProof/>
          <w:position w:val="-41"/>
          <w:sz w:val="28"/>
          <w:szCs w:val="28"/>
        </w:rPr>
        <w:drawing>
          <wp:inline distT="0" distB="0" distL="0" distR="0" wp14:anchorId="7CB8E115" wp14:editId="5B9FCBFA">
            <wp:extent cx="1047750" cy="666750"/>
            <wp:effectExtent l="0" t="0" r="0" b="0"/>
            <wp:docPr id="88" name="Рисунок 88" descr="base_50_590968_329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5" descr="base_50_590968_32901"/>
                    <pic:cNvPicPr preferRelativeResize="0">
                      <a:picLocks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1047750" cy="666750"/>
                    </a:xfrm>
                    <a:prstGeom prst="rect">
                      <a:avLst/>
                    </a:prstGeom>
                    <a:noFill/>
                    <a:ln>
                      <a:noFill/>
                    </a:ln>
                  </pic:spPr>
                </pic:pic>
              </a:graphicData>
            </a:graphic>
          </wp:inline>
        </w:drawing>
      </w:r>
    </w:p>
    <w:p w:rsidR="0055491A" w:rsidRDefault="0055491A" w:rsidP="0055491A">
      <w:pPr>
        <w:widowControl w:val="0"/>
        <w:autoSpaceDE w:val="0"/>
        <w:autoSpaceDN w:val="0"/>
        <w:ind w:firstLine="709"/>
        <w:jc w:val="both"/>
        <w:rPr>
          <w:sz w:val="28"/>
          <w:szCs w:val="28"/>
        </w:rPr>
      </w:pPr>
    </w:p>
    <w:p w:rsidR="0055491A" w:rsidRPr="00130268" w:rsidRDefault="0055491A" w:rsidP="0055491A">
      <w:pPr>
        <w:widowControl w:val="0"/>
        <w:autoSpaceDE w:val="0"/>
        <w:autoSpaceDN w:val="0"/>
        <w:ind w:firstLine="709"/>
        <w:jc w:val="both"/>
        <w:rPr>
          <w:sz w:val="28"/>
          <w:szCs w:val="28"/>
        </w:rPr>
      </w:pPr>
      <w:r w:rsidRPr="00130268">
        <w:rPr>
          <w:sz w:val="28"/>
          <w:szCs w:val="28"/>
        </w:rPr>
        <w:t>где:</w:t>
      </w:r>
    </w:p>
    <w:p w:rsidR="0055491A" w:rsidRPr="00130268" w:rsidRDefault="0055491A" w:rsidP="0055491A">
      <w:pPr>
        <w:widowControl w:val="0"/>
        <w:autoSpaceDE w:val="0"/>
        <w:autoSpaceDN w:val="0"/>
        <w:ind w:firstLine="709"/>
        <w:jc w:val="both"/>
        <w:rPr>
          <w:sz w:val="28"/>
          <w:szCs w:val="28"/>
        </w:rPr>
      </w:pPr>
      <w:r>
        <w:rPr>
          <w:noProof/>
          <w:position w:val="-26"/>
          <w:sz w:val="28"/>
          <w:szCs w:val="28"/>
        </w:rPr>
        <w:drawing>
          <wp:inline distT="0" distB="0" distL="0" distR="0" wp14:anchorId="1C611EA6" wp14:editId="54E17E33">
            <wp:extent cx="390525" cy="476250"/>
            <wp:effectExtent l="0" t="0" r="9525" b="0"/>
            <wp:docPr id="89" name="Рисунок 89" descr="base_50_590968_329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6" descr="base_50_590968_32902"/>
                    <pic:cNvPicPr preferRelativeResize="0">
                      <a:picLocks noChangeArrowheads="1"/>
                    </pic:cNvPicPr>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390525" cy="476250"/>
                    </a:xfrm>
                    <a:prstGeom prst="rect">
                      <a:avLst/>
                    </a:prstGeom>
                    <a:noFill/>
                    <a:ln>
                      <a:noFill/>
                    </a:ln>
                  </pic:spPr>
                </pic:pic>
              </a:graphicData>
            </a:graphic>
          </wp:inline>
        </w:drawing>
      </w:r>
      <w:r w:rsidRPr="00130268">
        <w:rPr>
          <w:sz w:val="28"/>
          <w:szCs w:val="28"/>
        </w:rPr>
        <w:t xml:space="preserve"> - сумма поступлений по виду доходов за три года, предшествующих прогнозируемому году (при формировании прогноза на очередной финансовый год используются фактические данные за два отчетных года и </w:t>
      </w:r>
      <w:r>
        <w:rPr>
          <w:sz w:val="28"/>
          <w:szCs w:val="28"/>
        </w:rPr>
        <w:t>ожидаемая оценка</w:t>
      </w:r>
      <w:r w:rsidRPr="00130268">
        <w:rPr>
          <w:sz w:val="28"/>
          <w:szCs w:val="28"/>
        </w:rPr>
        <w:t xml:space="preserve"> на текущий финансовый год, при формировании прогноза на первый год планового периода используются фактические данные за один отчетный год и </w:t>
      </w:r>
      <w:r>
        <w:rPr>
          <w:sz w:val="28"/>
          <w:szCs w:val="28"/>
        </w:rPr>
        <w:t>ожидаемая оценка</w:t>
      </w:r>
      <w:r w:rsidRPr="00130268">
        <w:rPr>
          <w:sz w:val="28"/>
          <w:szCs w:val="28"/>
        </w:rPr>
        <w:t xml:space="preserve"> текущего финансового года и </w:t>
      </w:r>
      <w:r>
        <w:rPr>
          <w:sz w:val="28"/>
          <w:szCs w:val="28"/>
        </w:rPr>
        <w:t xml:space="preserve">прогноз </w:t>
      </w:r>
      <w:r w:rsidRPr="00130268">
        <w:rPr>
          <w:sz w:val="28"/>
          <w:szCs w:val="28"/>
        </w:rPr>
        <w:t>очередного финансового года; прогноз на второй год планового периода принимается на уровне прогноза первого года планового периода) (тыс. руб.);</w:t>
      </w:r>
    </w:p>
    <w:p w:rsidR="0055491A" w:rsidRPr="00B54A91" w:rsidRDefault="0055491A" w:rsidP="0055491A">
      <w:pPr>
        <w:widowControl w:val="0"/>
        <w:autoSpaceDE w:val="0"/>
        <w:autoSpaceDN w:val="0"/>
        <w:ind w:firstLine="709"/>
        <w:jc w:val="both"/>
        <w:rPr>
          <w:sz w:val="28"/>
          <w:szCs w:val="28"/>
        </w:rPr>
      </w:pPr>
      <w:r w:rsidRPr="00130268">
        <w:rPr>
          <w:sz w:val="28"/>
          <w:szCs w:val="28"/>
        </w:rPr>
        <w:t>R - корректирующая сумма поступлений, учитывающая отдельные решения Президента Российской Федерации, Правительства Российской Федерации, а также проекты нормативных правовых актов Президента Российской Федерации, Правительства Российской Федерации и другие факторы, влияющие на объем прогнозируемых доходов (тыс. руб.).</w:t>
      </w:r>
    </w:p>
    <w:p w:rsidR="0055491A" w:rsidRDefault="0055491A" w:rsidP="0055491A">
      <w:pPr>
        <w:tabs>
          <w:tab w:val="left" w:pos="4395"/>
        </w:tabs>
        <w:ind w:firstLine="709"/>
        <w:jc w:val="both"/>
        <w:rPr>
          <w:sz w:val="28"/>
          <w:szCs w:val="28"/>
        </w:rPr>
      </w:pPr>
      <w:r>
        <w:rPr>
          <w:sz w:val="28"/>
          <w:szCs w:val="28"/>
        </w:rPr>
        <w:lastRenderedPageBreak/>
        <w:t xml:space="preserve">Согласно данным бухгалтерской отчетности фактическое поступление </w:t>
      </w:r>
      <w:r w:rsidRPr="005C2704">
        <w:rPr>
          <w:rFonts w:eastAsia="Calibri"/>
          <w:sz w:val="28"/>
          <w:szCs w:val="28"/>
          <w:lang w:eastAsia="en-US"/>
        </w:rPr>
        <w:t>прочи</w:t>
      </w:r>
      <w:r>
        <w:rPr>
          <w:rFonts w:eastAsia="Calibri"/>
          <w:sz w:val="28"/>
          <w:szCs w:val="28"/>
          <w:lang w:eastAsia="en-US"/>
        </w:rPr>
        <w:t>х</w:t>
      </w:r>
      <w:r w:rsidRPr="005C2704">
        <w:rPr>
          <w:rFonts w:eastAsia="Calibri"/>
          <w:sz w:val="28"/>
          <w:szCs w:val="28"/>
          <w:lang w:eastAsia="en-US"/>
        </w:rPr>
        <w:t xml:space="preserve"> поступлени</w:t>
      </w:r>
      <w:r>
        <w:rPr>
          <w:rFonts w:eastAsia="Calibri"/>
          <w:sz w:val="28"/>
          <w:szCs w:val="28"/>
          <w:lang w:eastAsia="en-US"/>
        </w:rPr>
        <w:t>й</w:t>
      </w:r>
      <w:r w:rsidRPr="005C2704">
        <w:rPr>
          <w:rFonts w:eastAsia="Calibri"/>
          <w:sz w:val="28"/>
          <w:szCs w:val="28"/>
          <w:lang w:eastAsia="en-US"/>
        </w:rPr>
        <w:t xml:space="preserve"> от денежных взысканий (штрафов), пеней и неустоек, зачисляемые в бюджет субъекта Российской Федерации</w:t>
      </w:r>
      <w:r>
        <w:rPr>
          <w:sz w:val="28"/>
          <w:szCs w:val="28"/>
        </w:rPr>
        <w:t>, составило:</w:t>
      </w:r>
    </w:p>
    <w:p w:rsidR="0055491A" w:rsidRDefault="0055491A" w:rsidP="0055491A">
      <w:pPr>
        <w:tabs>
          <w:tab w:val="left" w:pos="4395"/>
        </w:tabs>
        <w:ind w:firstLine="709"/>
        <w:jc w:val="both"/>
        <w:rPr>
          <w:sz w:val="28"/>
          <w:szCs w:val="28"/>
        </w:rPr>
      </w:pPr>
      <w:r>
        <w:rPr>
          <w:sz w:val="28"/>
          <w:szCs w:val="28"/>
        </w:rPr>
        <w:t>2018 год – 0,0 тыс. руб., 2019 год – 0,0 тыс. руб., 2020 год  – 0,576 тыс. руб., 2021 год (01.07.2021) – 0,0 тыс. руб.</w:t>
      </w:r>
    </w:p>
    <w:p w:rsidR="0055491A" w:rsidRDefault="0055491A" w:rsidP="0055491A">
      <w:pPr>
        <w:tabs>
          <w:tab w:val="left" w:pos="4395"/>
        </w:tabs>
        <w:ind w:firstLine="709"/>
        <w:jc w:val="both"/>
        <w:rPr>
          <w:sz w:val="28"/>
          <w:szCs w:val="28"/>
        </w:rPr>
      </w:pPr>
      <w:r>
        <w:rPr>
          <w:sz w:val="28"/>
          <w:szCs w:val="28"/>
        </w:rPr>
        <w:t>Таким образом, согласно п. 3.1. проекта Методики ожидаемое поступление указанного вида доходов в 2021 году составит 0,0 тыс. руб.</w:t>
      </w:r>
    </w:p>
    <w:p w:rsidR="0055491A" w:rsidRDefault="0055491A" w:rsidP="0055491A">
      <w:pPr>
        <w:tabs>
          <w:tab w:val="left" w:pos="3195"/>
        </w:tabs>
        <w:autoSpaceDE w:val="0"/>
        <w:autoSpaceDN w:val="0"/>
        <w:adjustRightInd w:val="0"/>
        <w:ind w:firstLine="709"/>
        <w:jc w:val="both"/>
        <w:rPr>
          <w:color w:val="000000"/>
          <w:sz w:val="28"/>
          <w:szCs w:val="28"/>
          <w:lang w:bidi="ru-RU"/>
        </w:rPr>
      </w:pPr>
      <w:r>
        <w:rPr>
          <w:sz w:val="28"/>
          <w:szCs w:val="28"/>
          <w:lang w:bidi="ru-RU"/>
        </w:rPr>
        <w:t>К</w:t>
      </w:r>
      <w:r w:rsidRPr="002125BA">
        <w:rPr>
          <w:sz w:val="28"/>
          <w:szCs w:val="28"/>
          <w:lang w:bidi="ru-RU"/>
        </w:rPr>
        <w:t xml:space="preserve">орректирующая сумма поступлений, учитывающая отдельные </w:t>
      </w:r>
      <w:r w:rsidRPr="002125BA">
        <w:rPr>
          <w:color w:val="000000"/>
          <w:sz w:val="28"/>
          <w:szCs w:val="28"/>
          <w:lang w:bidi="ru-RU"/>
        </w:rPr>
        <w:t xml:space="preserve">решения Президента Российской Федерации, Правительства Российской Федерации, а также проекты нормативных правовых актов Президента Российской Федерации, Правительства Российской Федерации и другие факторы, влияющие на объем прогнозируемых доходов, тыс. руб. </w:t>
      </w:r>
    </w:p>
    <w:p w:rsidR="0055491A" w:rsidRDefault="0055491A" w:rsidP="0055491A">
      <w:pPr>
        <w:tabs>
          <w:tab w:val="left" w:pos="4395"/>
        </w:tabs>
        <w:ind w:firstLine="709"/>
        <w:jc w:val="both"/>
        <w:rPr>
          <w:sz w:val="28"/>
          <w:szCs w:val="28"/>
        </w:rPr>
      </w:pPr>
      <w:r>
        <w:rPr>
          <w:sz w:val="28"/>
          <w:szCs w:val="28"/>
        </w:rPr>
        <w:t>Прогнозное поступление составит:</w:t>
      </w:r>
    </w:p>
    <w:p w:rsidR="0055491A" w:rsidRDefault="0055491A" w:rsidP="0055491A">
      <w:pPr>
        <w:tabs>
          <w:tab w:val="left" w:pos="4395"/>
        </w:tabs>
        <w:ind w:firstLine="709"/>
        <w:jc w:val="both"/>
        <w:rPr>
          <w:sz w:val="28"/>
          <w:szCs w:val="28"/>
        </w:rPr>
      </w:pPr>
      <w:r w:rsidRPr="0031548D">
        <w:rPr>
          <w:sz w:val="28"/>
          <w:szCs w:val="28"/>
        </w:rPr>
        <w:t>Д</w:t>
      </w:r>
      <w:r>
        <w:rPr>
          <w:sz w:val="28"/>
          <w:szCs w:val="28"/>
          <w:vertAlign w:val="subscript"/>
        </w:rPr>
        <w:t>2022</w:t>
      </w:r>
      <w:r w:rsidRPr="00656FE1">
        <w:rPr>
          <w:sz w:val="28"/>
          <w:szCs w:val="28"/>
        </w:rPr>
        <w:t xml:space="preserve"> = </w:t>
      </w:r>
      <w:r>
        <w:rPr>
          <w:sz w:val="28"/>
          <w:szCs w:val="28"/>
        </w:rPr>
        <w:t xml:space="preserve">(0,0 + 0,576 + 0,0)/3 ± 0,0 = 0,2 тыс. руб. </w:t>
      </w:r>
      <w:r w:rsidRPr="006E75EF">
        <w:rPr>
          <w:i/>
          <w:sz w:val="28"/>
          <w:szCs w:val="28"/>
        </w:rPr>
        <w:t>(с учетом округления)</w:t>
      </w:r>
      <w:r>
        <w:rPr>
          <w:sz w:val="28"/>
          <w:szCs w:val="28"/>
        </w:rPr>
        <w:t xml:space="preserve">; </w:t>
      </w:r>
    </w:p>
    <w:p w:rsidR="0055491A" w:rsidRDefault="0055491A" w:rsidP="0055491A">
      <w:pPr>
        <w:tabs>
          <w:tab w:val="left" w:pos="4395"/>
        </w:tabs>
        <w:ind w:firstLine="709"/>
        <w:jc w:val="both"/>
        <w:rPr>
          <w:sz w:val="28"/>
          <w:szCs w:val="28"/>
        </w:rPr>
      </w:pPr>
      <w:r>
        <w:rPr>
          <w:sz w:val="28"/>
          <w:szCs w:val="28"/>
        </w:rPr>
        <w:t>Д</w:t>
      </w:r>
      <w:r>
        <w:rPr>
          <w:sz w:val="28"/>
          <w:szCs w:val="28"/>
          <w:vertAlign w:val="subscript"/>
        </w:rPr>
        <w:t>2023</w:t>
      </w:r>
      <w:r>
        <w:rPr>
          <w:sz w:val="28"/>
          <w:szCs w:val="28"/>
        </w:rPr>
        <w:t xml:space="preserve"> = (0,576 + 0,0 + 0,192)/3 ± 0,0 = 0,3 тыс. руб.</w:t>
      </w:r>
      <w:r w:rsidRPr="006E75EF">
        <w:rPr>
          <w:i/>
          <w:sz w:val="28"/>
          <w:szCs w:val="28"/>
        </w:rPr>
        <w:t xml:space="preserve"> (с учетом округления)</w:t>
      </w:r>
      <w:r>
        <w:rPr>
          <w:sz w:val="28"/>
          <w:szCs w:val="28"/>
        </w:rPr>
        <w:t>;</w:t>
      </w:r>
    </w:p>
    <w:p w:rsidR="0055491A" w:rsidRDefault="0055491A" w:rsidP="0055491A">
      <w:pPr>
        <w:tabs>
          <w:tab w:val="left" w:pos="4395"/>
        </w:tabs>
        <w:ind w:firstLine="709"/>
        <w:jc w:val="both"/>
        <w:rPr>
          <w:sz w:val="28"/>
          <w:szCs w:val="28"/>
        </w:rPr>
      </w:pPr>
      <w:r>
        <w:rPr>
          <w:sz w:val="28"/>
          <w:szCs w:val="28"/>
        </w:rPr>
        <w:t>Д</w:t>
      </w:r>
      <w:r>
        <w:rPr>
          <w:sz w:val="28"/>
          <w:szCs w:val="28"/>
          <w:vertAlign w:val="subscript"/>
        </w:rPr>
        <w:t>2024</w:t>
      </w:r>
      <w:r>
        <w:rPr>
          <w:sz w:val="28"/>
          <w:szCs w:val="28"/>
        </w:rPr>
        <w:t xml:space="preserve"> = Д</w:t>
      </w:r>
      <w:r>
        <w:rPr>
          <w:sz w:val="28"/>
          <w:szCs w:val="28"/>
          <w:vertAlign w:val="subscript"/>
        </w:rPr>
        <w:t xml:space="preserve">2023 </w:t>
      </w:r>
      <w:r>
        <w:rPr>
          <w:sz w:val="28"/>
          <w:szCs w:val="28"/>
        </w:rPr>
        <w:t>= 0,3 тыс. руб.</w:t>
      </w:r>
    </w:p>
    <w:p w:rsidR="0055491A" w:rsidRPr="00926FA7" w:rsidRDefault="0055491A" w:rsidP="0055491A">
      <w:pPr>
        <w:pStyle w:val="a7"/>
        <w:spacing w:after="0"/>
        <w:ind w:left="0" w:firstLine="709"/>
        <w:jc w:val="both"/>
        <w:rPr>
          <w:sz w:val="28"/>
          <w:szCs w:val="28"/>
        </w:rPr>
      </w:pPr>
    </w:p>
    <w:p w:rsidR="0055491A" w:rsidRDefault="0055491A" w:rsidP="0055491A">
      <w:pPr>
        <w:pStyle w:val="a7"/>
        <w:spacing w:after="0"/>
        <w:ind w:left="0" w:firstLine="709"/>
        <w:jc w:val="both"/>
        <w:rPr>
          <w:sz w:val="28"/>
          <w:szCs w:val="28"/>
        </w:rPr>
      </w:pPr>
    </w:p>
    <w:p w:rsidR="0055491A" w:rsidRDefault="0055491A" w:rsidP="0055491A">
      <w:pPr>
        <w:pStyle w:val="a7"/>
        <w:spacing w:after="0"/>
        <w:ind w:left="0" w:firstLine="709"/>
        <w:jc w:val="both"/>
        <w:rPr>
          <w:color w:val="000000" w:themeColor="text1"/>
          <w:sz w:val="28"/>
          <w:szCs w:val="28"/>
        </w:rPr>
      </w:pPr>
      <w:r>
        <w:rPr>
          <w:color w:val="000000" w:themeColor="text1"/>
          <w:sz w:val="28"/>
          <w:szCs w:val="28"/>
        </w:rPr>
        <w:t xml:space="preserve">21. </w:t>
      </w:r>
      <w:r w:rsidRPr="00560550">
        <w:rPr>
          <w:color w:val="000000" w:themeColor="text1"/>
          <w:sz w:val="28"/>
          <w:szCs w:val="28"/>
        </w:rPr>
        <w:t>Платежи по искам о возмещении ущерба, а также платежи, уплачиваемые при добровольном возмещении ущерба, причиненного имуществу, находящегося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w:t>
      </w:r>
      <w:r>
        <w:rPr>
          <w:color w:val="000000" w:themeColor="text1"/>
          <w:sz w:val="28"/>
          <w:szCs w:val="28"/>
        </w:rPr>
        <w:t xml:space="preserve"> ( </w:t>
      </w:r>
      <w:r w:rsidRPr="001312DC">
        <w:rPr>
          <w:b/>
          <w:color w:val="000000" w:themeColor="text1"/>
          <w:sz w:val="28"/>
          <w:szCs w:val="28"/>
        </w:rPr>
        <w:t>КБК 000 1 16 10020 02 0000 140</w:t>
      </w:r>
      <w:r>
        <w:rPr>
          <w:color w:val="000000" w:themeColor="text1"/>
          <w:sz w:val="28"/>
          <w:szCs w:val="28"/>
        </w:rPr>
        <w:t>).</w:t>
      </w:r>
    </w:p>
    <w:p w:rsidR="0055491A" w:rsidRPr="00F84F04" w:rsidRDefault="0055491A" w:rsidP="0055491A">
      <w:pPr>
        <w:pStyle w:val="a7"/>
        <w:spacing w:after="0"/>
        <w:ind w:left="0" w:firstLine="709"/>
        <w:jc w:val="both"/>
        <w:rPr>
          <w:b/>
          <w:sz w:val="28"/>
          <w:szCs w:val="28"/>
        </w:rPr>
      </w:pPr>
      <w:r w:rsidRPr="00F84F04">
        <w:rPr>
          <w:b/>
          <w:sz w:val="28"/>
          <w:szCs w:val="28"/>
        </w:rPr>
        <w:t>Прогноз доходов по данному КБК на 2022 год – 427,0 тыс. руб., на 2023 год – 352,9 тыс. руб., на 2024 год – 387,5 тыс. руб.</w:t>
      </w:r>
    </w:p>
    <w:p w:rsidR="0055491A" w:rsidRPr="00F84F04" w:rsidRDefault="0055491A" w:rsidP="0055491A">
      <w:pPr>
        <w:pStyle w:val="a7"/>
        <w:spacing w:after="0"/>
        <w:ind w:left="0" w:firstLine="709"/>
        <w:jc w:val="both"/>
        <w:rPr>
          <w:b/>
          <w:color w:val="000000" w:themeColor="text1"/>
          <w:sz w:val="28"/>
          <w:szCs w:val="28"/>
        </w:rPr>
      </w:pPr>
    </w:p>
    <w:p w:rsidR="0055491A" w:rsidRDefault="0055491A" w:rsidP="0055491A">
      <w:pPr>
        <w:pStyle w:val="a7"/>
        <w:spacing w:after="0"/>
        <w:ind w:left="0" w:firstLine="709"/>
        <w:jc w:val="both"/>
        <w:rPr>
          <w:color w:val="000000" w:themeColor="text1"/>
          <w:sz w:val="28"/>
          <w:szCs w:val="28"/>
        </w:rPr>
      </w:pPr>
    </w:p>
    <w:p w:rsidR="0055491A" w:rsidRPr="00893B30" w:rsidRDefault="0055491A" w:rsidP="0055491A">
      <w:pPr>
        <w:pStyle w:val="a7"/>
        <w:spacing w:after="0"/>
        <w:ind w:left="0" w:firstLine="709"/>
        <w:jc w:val="both"/>
        <w:rPr>
          <w:sz w:val="28"/>
          <w:szCs w:val="28"/>
        </w:rPr>
      </w:pPr>
      <w:r>
        <w:rPr>
          <w:sz w:val="28"/>
          <w:szCs w:val="28"/>
        </w:rPr>
        <w:t>21</w:t>
      </w:r>
      <w:r w:rsidRPr="00893B30">
        <w:rPr>
          <w:sz w:val="28"/>
          <w:szCs w:val="28"/>
        </w:rPr>
        <w:t xml:space="preserve">.1 </w:t>
      </w:r>
      <w:r w:rsidRPr="000870A8">
        <w:rPr>
          <w:b/>
          <w:sz w:val="28"/>
          <w:szCs w:val="28"/>
        </w:rPr>
        <w:t>КБК 001 1 16 10021 02 0000 140</w:t>
      </w:r>
      <w:r w:rsidRPr="00893B30">
        <w:rPr>
          <w:sz w:val="28"/>
          <w:szCs w:val="28"/>
        </w:rPr>
        <w:t xml:space="preserve"> Возмещение ущерба при возникновении страховых случаев, когда выгодоприобретателями выступают получатели средств бюджета субъекта Российской Федерации</w:t>
      </w:r>
    </w:p>
    <w:p w:rsidR="0055491A" w:rsidRPr="000870A8" w:rsidRDefault="0055491A" w:rsidP="0055491A">
      <w:pPr>
        <w:pStyle w:val="a7"/>
        <w:spacing w:after="0"/>
        <w:ind w:left="0" w:firstLine="709"/>
        <w:jc w:val="both"/>
        <w:rPr>
          <w:b/>
          <w:sz w:val="28"/>
          <w:szCs w:val="28"/>
        </w:rPr>
      </w:pPr>
      <w:r w:rsidRPr="000870A8">
        <w:rPr>
          <w:b/>
          <w:sz w:val="28"/>
          <w:szCs w:val="28"/>
        </w:rPr>
        <w:t>Главный администратор доходов – Правительство Тверской област</w:t>
      </w:r>
      <w:r w:rsidRPr="000870A8">
        <w:rPr>
          <w:b/>
          <w:color w:val="000000" w:themeColor="text1"/>
          <w:sz w:val="28"/>
          <w:szCs w:val="28"/>
        </w:rPr>
        <w:t>и.</w:t>
      </w:r>
    </w:p>
    <w:p w:rsidR="0055491A" w:rsidRDefault="0055491A" w:rsidP="0055491A">
      <w:pPr>
        <w:pStyle w:val="a7"/>
        <w:spacing w:after="0"/>
        <w:ind w:left="0" w:firstLine="709"/>
        <w:jc w:val="both"/>
        <w:rPr>
          <w:sz w:val="28"/>
          <w:szCs w:val="28"/>
        </w:rPr>
      </w:pPr>
      <w:r w:rsidRPr="00ED7EE8">
        <w:rPr>
          <w:sz w:val="28"/>
          <w:szCs w:val="28"/>
        </w:rPr>
        <w:t>Расчет произведен в соответствии с методикой, утвержденной приказом Правительства Тверской области от 01.09.2016 № 91 «Об утверждении методики прогнозирования поступлений доходов в областной бюджет Тверской области, администрируемых Правительством Тверской области и подведомственными ему государственными казенными учреждениями Тверской области» (</w:t>
      </w:r>
      <w:r>
        <w:rPr>
          <w:sz w:val="28"/>
          <w:szCs w:val="28"/>
        </w:rPr>
        <w:t>с учетом изменений</w:t>
      </w:r>
      <w:r w:rsidRPr="00ED7EE8">
        <w:rPr>
          <w:sz w:val="28"/>
          <w:szCs w:val="28"/>
        </w:rPr>
        <w:t>).</w:t>
      </w:r>
    </w:p>
    <w:p w:rsidR="0055491A" w:rsidRPr="002242F1" w:rsidRDefault="0055491A" w:rsidP="0055491A">
      <w:pPr>
        <w:pStyle w:val="a7"/>
        <w:spacing w:after="0"/>
        <w:ind w:left="0" w:firstLine="709"/>
        <w:jc w:val="both"/>
        <w:rPr>
          <w:sz w:val="28"/>
          <w:szCs w:val="28"/>
        </w:rPr>
      </w:pPr>
      <w:r w:rsidRPr="002242F1">
        <w:rPr>
          <w:sz w:val="28"/>
          <w:szCs w:val="28"/>
        </w:rPr>
        <w:t>Прогноз на 20</w:t>
      </w:r>
      <w:r>
        <w:rPr>
          <w:sz w:val="28"/>
          <w:szCs w:val="28"/>
        </w:rPr>
        <w:t>22</w:t>
      </w:r>
      <w:r w:rsidRPr="002242F1">
        <w:rPr>
          <w:sz w:val="28"/>
          <w:szCs w:val="28"/>
        </w:rPr>
        <w:t xml:space="preserve"> год рассчитан методом усреднения, исходя из фактических поступлений за 201</w:t>
      </w:r>
      <w:r>
        <w:rPr>
          <w:sz w:val="28"/>
          <w:szCs w:val="28"/>
        </w:rPr>
        <w:t>9</w:t>
      </w:r>
      <w:r w:rsidRPr="002242F1">
        <w:rPr>
          <w:sz w:val="28"/>
          <w:szCs w:val="28"/>
        </w:rPr>
        <w:t xml:space="preserve"> год, за 20</w:t>
      </w:r>
      <w:r>
        <w:rPr>
          <w:sz w:val="28"/>
          <w:szCs w:val="28"/>
        </w:rPr>
        <w:t>20</w:t>
      </w:r>
      <w:r w:rsidRPr="002242F1">
        <w:rPr>
          <w:sz w:val="28"/>
          <w:szCs w:val="28"/>
        </w:rPr>
        <w:t xml:space="preserve"> год и ожидаемой оценки на 20</w:t>
      </w:r>
      <w:r>
        <w:rPr>
          <w:sz w:val="28"/>
          <w:szCs w:val="28"/>
        </w:rPr>
        <w:t xml:space="preserve">21 </w:t>
      </w:r>
      <w:r w:rsidRPr="002242F1">
        <w:rPr>
          <w:sz w:val="28"/>
          <w:szCs w:val="28"/>
        </w:rPr>
        <w:t xml:space="preserve">год. </w:t>
      </w:r>
    </w:p>
    <w:p w:rsidR="0055491A" w:rsidRPr="002242F1" w:rsidRDefault="0055491A" w:rsidP="0055491A">
      <w:pPr>
        <w:pStyle w:val="a7"/>
        <w:spacing w:after="0"/>
        <w:ind w:left="0" w:firstLine="709"/>
        <w:jc w:val="both"/>
        <w:rPr>
          <w:sz w:val="28"/>
          <w:szCs w:val="28"/>
        </w:rPr>
      </w:pPr>
      <w:r w:rsidRPr="002242F1">
        <w:rPr>
          <w:sz w:val="28"/>
          <w:szCs w:val="28"/>
        </w:rPr>
        <w:t>Ожидаемая оценка на 20</w:t>
      </w:r>
      <w:r>
        <w:rPr>
          <w:sz w:val="28"/>
          <w:szCs w:val="28"/>
        </w:rPr>
        <w:t>21</w:t>
      </w:r>
      <w:r w:rsidRPr="002242F1">
        <w:rPr>
          <w:sz w:val="28"/>
          <w:szCs w:val="28"/>
        </w:rPr>
        <w:t xml:space="preserve"> год рассчитана методом усреднения, исходя из фактических поступлений 201</w:t>
      </w:r>
      <w:r>
        <w:rPr>
          <w:sz w:val="28"/>
          <w:szCs w:val="28"/>
        </w:rPr>
        <w:t>8</w:t>
      </w:r>
      <w:r w:rsidRPr="002242F1">
        <w:rPr>
          <w:sz w:val="28"/>
          <w:szCs w:val="28"/>
        </w:rPr>
        <w:t xml:space="preserve"> год</w:t>
      </w:r>
      <w:r>
        <w:rPr>
          <w:sz w:val="28"/>
          <w:szCs w:val="28"/>
        </w:rPr>
        <w:t xml:space="preserve"> </w:t>
      </w:r>
      <w:r w:rsidRPr="002242F1">
        <w:rPr>
          <w:sz w:val="28"/>
          <w:szCs w:val="28"/>
        </w:rPr>
        <w:t>(</w:t>
      </w:r>
      <w:r>
        <w:rPr>
          <w:sz w:val="28"/>
          <w:szCs w:val="28"/>
        </w:rPr>
        <w:t>нет поступлений</w:t>
      </w:r>
      <w:r w:rsidRPr="002242F1">
        <w:rPr>
          <w:sz w:val="28"/>
          <w:szCs w:val="28"/>
        </w:rPr>
        <w:t>), за 201</w:t>
      </w:r>
      <w:r>
        <w:rPr>
          <w:sz w:val="28"/>
          <w:szCs w:val="28"/>
        </w:rPr>
        <w:t>9</w:t>
      </w:r>
      <w:r w:rsidRPr="002242F1">
        <w:rPr>
          <w:sz w:val="28"/>
          <w:szCs w:val="28"/>
        </w:rPr>
        <w:t xml:space="preserve"> год</w:t>
      </w:r>
      <w:r>
        <w:rPr>
          <w:sz w:val="28"/>
          <w:szCs w:val="28"/>
        </w:rPr>
        <w:t xml:space="preserve">                      </w:t>
      </w:r>
      <w:r w:rsidRPr="002242F1">
        <w:rPr>
          <w:sz w:val="28"/>
          <w:szCs w:val="28"/>
        </w:rPr>
        <w:t xml:space="preserve"> </w:t>
      </w:r>
      <w:r>
        <w:rPr>
          <w:sz w:val="28"/>
          <w:szCs w:val="28"/>
        </w:rPr>
        <w:t>(400,0</w:t>
      </w:r>
      <w:r w:rsidRPr="002242F1">
        <w:rPr>
          <w:sz w:val="28"/>
          <w:szCs w:val="28"/>
        </w:rPr>
        <w:t xml:space="preserve"> тыс. руб.)</w:t>
      </w:r>
      <w:r>
        <w:rPr>
          <w:sz w:val="28"/>
          <w:szCs w:val="28"/>
        </w:rPr>
        <w:t xml:space="preserve">, </w:t>
      </w:r>
      <w:r w:rsidRPr="002242F1">
        <w:rPr>
          <w:sz w:val="28"/>
          <w:szCs w:val="28"/>
        </w:rPr>
        <w:t>20</w:t>
      </w:r>
      <w:r>
        <w:rPr>
          <w:sz w:val="28"/>
          <w:szCs w:val="28"/>
        </w:rPr>
        <w:t>20</w:t>
      </w:r>
      <w:r w:rsidRPr="002242F1">
        <w:rPr>
          <w:sz w:val="28"/>
          <w:szCs w:val="28"/>
        </w:rPr>
        <w:t xml:space="preserve"> год (</w:t>
      </w:r>
      <w:r>
        <w:rPr>
          <w:sz w:val="28"/>
          <w:szCs w:val="28"/>
        </w:rPr>
        <w:t>нет поступлений</w:t>
      </w:r>
      <w:r w:rsidRPr="002242F1">
        <w:rPr>
          <w:sz w:val="28"/>
          <w:szCs w:val="28"/>
        </w:rPr>
        <w:t>):</w:t>
      </w:r>
    </w:p>
    <w:p w:rsidR="0055491A" w:rsidRPr="002242F1" w:rsidRDefault="0055491A" w:rsidP="0055491A">
      <w:pPr>
        <w:pStyle w:val="a7"/>
        <w:spacing w:after="0"/>
        <w:ind w:left="0" w:firstLine="709"/>
        <w:jc w:val="center"/>
        <w:rPr>
          <w:sz w:val="28"/>
          <w:szCs w:val="28"/>
        </w:rPr>
      </w:pPr>
      <w:r w:rsidRPr="002242F1">
        <w:rPr>
          <w:sz w:val="28"/>
          <w:szCs w:val="28"/>
        </w:rPr>
        <w:lastRenderedPageBreak/>
        <w:t>(</w:t>
      </w:r>
      <w:r>
        <w:rPr>
          <w:sz w:val="28"/>
          <w:szCs w:val="28"/>
        </w:rPr>
        <w:t>0 + 400,0 тыс. руб. + 0</w:t>
      </w:r>
      <w:r w:rsidRPr="002242F1">
        <w:rPr>
          <w:sz w:val="28"/>
          <w:szCs w:val="28"/>
        </w:rPr>
        <w:t xml:space="preserve">)/3 = </w:t>
      </w:r>
      <w:r>
        <w:rPr>
          <w:sz w:val="28"/>
          <w:szCs w:val="28"/>
        </w:rPr>
        <w:t>133,3</w:t>
      </w:r>
      <w:r w:rsidRPr="002242F1">
        <w:rPr>
          <w:sz w:val="28"/>
          <w:szCs w:val="28"/>
        </w:rPr>
        <w:t xml:space="preserve"> тыс. руб.</w:t>
      </w:r>
    </w:p>
    <w:p w:rsidR="0055491A" w:rsidRPr="000870A8" w:rsidRDefault="0055491A" w:rsidP="0055491A">
      <w:pPr>
        <w:pStyle w:val="a7"/>
        <w:spacing w:after="0"/>
        <w:ind w:left="0" w:firstLine="709"/>
        <w:jc w:val="both"/>
        <w:rPr>
          <w:b/>
          <w:sz w:val="28"/>
          <w:szCs w:val="28"/>
        </w:rPr>
      </w:pPr>
      <w:r w:rsidRPr="000870A8">
        <w:rPr>
          <w:b/>
          <w:sz w:val="28"/>
          <w:szCs w:val="28"/>
        </w:rPr>
        <w:t>Прогноз на 2022 год</w:t>
      </w:r>
      <w:r w:rsidRPr="002242F1">
        <w:rPr>
          <w:sz w:val="28"/>
          <w:szCs w:val="28"/>
        </w:rPr>
        <w:t xml:space="preserve"> = (</w:t>
      </w:r>
      <w:r>
        <w:rPr>
          <w:sz w:val="28"/>
          <w:szCs w:val="28"/>
        </w:rPr>
        <w:t>400,0 тыс. руб.+0+133,3 тыс. руб.</w:t>
      </w:r>
      <w:r w:rsidRPr="002242F1">
        <w:rPr>
          <w:sz w:val="28"/>
          <w:szCs w:val="28"/>
        </w:rPr>
        <w:t xml:space="preserve">)/3 = </w:t>
      </w:r>
      <w:r>
        <w:rPr>
          <w:sz w:val="28"/>
          <w:szCs w:val="28"/>
        </w:rPr>
        <w:t xml:space="preserve">                       </w:t>
      </w:r>
      <w:r w:rsidRPr="000870A8">
        <w:rPr>
          <w:b/>
          <w:sz w:val="28"/>
          <w:szCs w:val="28"/>
        </w:rPr>
        <w:t>177,8 тыс. руб.</w:t>
      </w:r>
    </w:p>
    <w:p w:rsidR="0055491A" w:rsidRPr="002242F1" w:rsidRDefault="0055491A" w:rsidP="0055491A">
      <w:pPr>
        <w:pStyle w:val="a7"/>
        <w:spacing w:after="0"/>
        <w:ind w:left="0" w:firstLine="709"/>
        <w:jc w:val="both"/>
        <w:rPr>
          <w:sz w:val="28"/>
          <w:szCs w:val="28"/>
        </w:rPr>
      </w:pPr>
      <w:r w:rsidRPr="000870A8">
        <w:rPr>
          <w:b/>
          <w:sz w:val="28"/>
          <w:szCs w:val="28"/>
        </w:rPr>
        <w:t>Прогноз на 2023 год</w:t>
      </w:r>
      <w:r w:rsidRPr="002242F1">
        <w:rPr>
          <w:sz w:val="28"/>
          <w:szCs w:val="28"/>
        </w:rPr>
        <w:t xml:space="preserve"> рассчитан методом усреднения, исходя из фактических поступлений за 20</w:t>
      </w:r>
      <w:r>
        <w:rPr>
          <w:sz w:val="28"/>
          <w:szCs w:val="28"/>
        </w:rPr>
        <w:t>20</w:t>
      </w:r>
      <w:r w:rsidRPr="002242F1">
        <w:rPr>
          <w:sz w:val="28"/>
          <w:szCs w:val="28"/>
        </w:rPr>
        <w:t xml:space="preserve"> год, ожидаемой оценки на 20</w:t>
      </w:r>
      <w:r>
        <w:rPr>
          <w:sz w:val="28"/>
          <w:szCs w:val="28"/>
        </w:rPr>
        <w:t>21</w:t>
      </w:r>
      <w:r w:rsidRPr="002242F1">
        <w:rPr>
          <w:sz w:val="28"/>
          <w:szCs w:val="28"/>
        </w:rPr>
        <w:t xml:space="preserve"> год и прогноза на 20</w:t>
      </w:r>
      <w:r>
        <w:rPr>
          <w:sz w:val="28"/>
          <w:szCs w:val="28"/>
        </w:rPr>
        <w:t>22</w:t>
      </w:r>
      <w:r w:rsidRPr="002242F1">
        <w:rPr>
          <w:sz w:val="28"/>
          <w:szCs w:val="28"/>
        </w:rPr>
        <w:t>год = (</w:t>
      </w:r>
      <w:r>
        <w:rPr>
          <w:sz w:val="28"/>
          <w:szCs w:val="28"/>
        </w:rPr>
        <w:t>0+133,3 тыс. руб. + 177,8 тыс. руб.</w:t>
      </w:r>
      <w:r w:rsidRPr="002242F1">
        <w:rPr>
          <w:sz w:val="28"/>
          <w:szCs w:val="28"/>
        </w:rPr>
        <w:t xml:space="preserve">)/3= </w:t>
      </w:r>
      <w:r w:rsidRPr="000870A8">
        <w:rPr>
          <w:b/>
          <w:sz w:val="28"/>
          <w:szCs w:val="28"/>
        </w:rPr>
        <w:t>103,7 тыс. руб</w:t>
      </w:r>
      <w:r w:rsidRPr="002242F1">
        <w:rPr>
          <w:sz w:val="28"/>
          <w:szCs w:val="28"/>
        </w:rPr>
        <w:t>.</w:t>
      </w:r>
    </w:p>
    <w:p w:rsidR="0055491A" w:rsidRPr="001312DC" w:rsidRDefault="0055491A" w:rsidP="0055491A">
      <w:pPr>
        <w:pStyle w:val="a7"/>
        <w:spacing w:after="0"/>
        <w:ind w:left="0" w:firstLine="709"/>
        <w:jc w:val="both"/>
        <w:rPr>
          <w:b/>
          <w:sz w:val="28"/>
          <w:szCs w:val="28"/>
        </w:rPr>
      </w:pPr>
      <w:r w:rsidRPr="000870A8">
        <w:rPr>
          <w:b/>
          <w:sz w:val="28"/>
          <w:szCs w:val="28"/>
        </w:rPr>
        <w:t>Прогноз на 2024 год</w:t>
      </w:r>
      <w:r w:rsidRPr="002242F1">
        <w:rPr>
          <w:sz w:val="28"/>
          <w:szCs w:val="28"/>
        </w:rPr>
        <w:t xml:space="preserve"> рассчитан методом усреднения, исходя из ожидаемой оценки на 20</w:t>
      </w:r>
      <w:r>
        <w:rPr>
          <w:sz w:val="28"/>
          <w:szCs w:val="28"/>
        </w:rPr>
        <w:t>21</w:t>
      </w:r>
      <w:r w:rsidRPr="002242F1">
        <w:rPr>
          <w:sz w:val="28"/>
          <w:szCs w:val="28"/>
        </w:rPr>
        <w:t xml:space="preserve"> год, прогноза на 20</w:t>
      </w:r>
      <w:r>
        <w:rPr>
          <w:sz w:val="28"/>
          <w:szCs w:val="28"/>
        </w:rPr>
        <w:t>22</w:t>
      </w:r>
      <w:r w:rsidRPr="002242F1">
        <w:rPr>
          <w:sz w:val="28"/>
          <w:szCs w:val="28"/>
        </w:rPr>
        <w:t xml:space="preserve"> год и прогноза на 20</w:t>
      </w:r>
      <w:r>
        <w:rPr>
          <w:sz w:val="28"/>
          <w:szCs w:val="28"/>
        </w:rPr>
        <w:t>23</w:t>
      </w:r>
      <w:r w:rsidRPr="002242F1">
        <w:rPr>
          <w:sz w:val="28"/>
          <w:szCs w:val="28"/>
        </w:rPr>
        <w:t>год = (</w:t>
      </w:r>
      <w:r>
        <w:rPr>
          <w:sz w:val="28"/>
          <w:szCs w:val="28"/>
        </w:rPr>
        <w:t>133,3 тыс. руб.+ 177,8 тыс. руб.+ 103,7 тыс. руб.</w:t>
      </w:r>
      <w:r w:rsidRPr="002242F1">
        <w:rPr>
          <w:sz w:val="28"/>
          <w:szCs w:val="28"/>
        </w:rPr>
        <w:t xml:space="preserve">)/3= </w:t>
      </w:r>
      <w:r w:rsidRPr="001312DC">
        <w:rPr>
          <w:b/>
          <w:sz w:val="28"/>
          <w:szCs w:val="28"/>
        </w:rPr>
        <w:t>138,3 тыс. руб.</w:t>
      </w:r>
    </w:p>
    <w:p w:rsidR="0055491A" w:rsidRDefault="0055491A" w:rsidP="0055491A">
      <w:pPr>
        <w:pStyle w:val="a7"/>
        <w:spacing w:after="0"/>
        <w:ind w:left="0" w:firstLine="709"/>
        <w:jc w:val="both"/>
        <w:rPr>
          <w:sz w:val="28"/>
          <w:szCs w:val="28"/>
        </w:rPr>
      </w:pPr>
    </w:p>
    <w:p w:rsidR="0055491A" w:rsidRDefault="0055491A" w:rsidP="0055491A">
      <w:pPr>
        <w:pStyle w:val="a7"/>
        <w:spacing w:after="0"/>
        <w:ind w:left="0" w:firstLine="709"/>
        <w:jc w:val="both"/>
        <w:rPr>
          <w:sz w:val="28"/>
          <w:szCs w:val="28"/>
        </w:rPr>
      </w:pPr>
      <w:r>
        <w:rPr>
          <w:sz w:val="28"/>
          <w:szCs w:val="28"/>
        </w:rPr>
        <w:t xml:space="preserve">21.2 </w:t>
      </w:r>
      <w:r w:rsidRPr="00A675D7">
        <w:rPr>
          <w:b/>
          <w:sz w:val="28"/>
          <w:szCs w:val="28"/>
        </w:rPr>
        <w:t>КБК 034 1 16 10021 02 0000 140</w:t>
      </w:r>
      <w:r>
        <w:rPr>
          <w:sz w:val="28"/>
          <w:szCs w:val="28"/>
        </w:rPr>
        <w:t xml:space="preserve"> </w:t>
      </w:r>
      <w:r w:rsidRPr="002C1210">
        <w:rPr>
          <w:sz w:val="28"/>
          <w:szCs w:val="28"/>
        </w:rPr>
        <w:t>Возмещение ущерба при возникновении страховых случаев, когда выгодоприобретателями выступают получатели средств бюджета субъекта Российской Федерации</w:t>
      </w:r>
      <w:r>
        <w:rPr>
          <w:sz w:val="28"/>
          <w:szCs w:val="28"/>
        </w:rPr>
        <w:t>.</w:t>
      </w:r>
    </w:p>
    <w:p w:rsidR="0055491A" w:rsidRDefault="0055491A" w:rsidP="0055491A">
      <w:pPr>
        <w:pStyle w:val="a7"/>
        <w:spacing w:after="0"/>
        <w:ind w:left="0" w:firstLine="709"/>
        <w:jc w:val="both"/>
        <w:rPr>
          <w:sz w:val="28"/>
          <w:szCs w:val="28"/>
        </w:rPr>
      </w:pPr>
      <w:r w:rsidRPr="00A675D7">
        <w:rPr>
          <w:b/>
          <w:sz w:val="28"/>
          <w:szCs w:val="28"/>
        </w:rPr>
        <w:t>Главный администратор доходов – Министерство здравоохранения Тверской области</w:t>
      </w:r>
      <w:r>
        <w:rPr>
          <w:sz w:val="28"/>
          <w:szCs w:val="28"/>
        </w:rPr>
        <w:t>.</w:t>
      </w:r>
    </w:p>
    <w:p w:rsidR="0055491A" w:rsidRPr="002452F8" w:rsidRDefault="0055491A" w:rsidP="0055491A">
      <w:pPr>
        <w:pStyle w:val="a7"/>
        <w:spacing w:after="0"/>
        <w:ind w:left="0" w:firstLine="709"/>
        <w:jc w:val="both"/>
        <w:rPr>
          <w:sz w:val="28"/>
          <w:szCs w:val="28"/>
        </w:rPr>
      </w:pPr>
      <w:r w:rsidRPr="002452F8">
        <w:rPr>
          <w:sz w:val="28"/>
          <w:szCs w:val="28"/>
        </w:rPr>
        <w:t>Расчет произведен в соответствии с методикой, утвержденной приказом Министерства здравоохранения Тверской области от 24.05.2017 № 368 «Об утверждении Методики прогнозирования поступлений в областной бюджет Тверской области доходов, главным администратором которых является Министерство здравоохранения Тверской области» (с учетом изменений).</w:t>
      </w:r>
    </w:p>
    <w:p w:rsidR="0055491A" w:rsidRPr="00ED784D" w:rsidRDefault="0055491A" w:rsidP="0055491A">
      <w:pPr>
        <w:pStyle w:val="a7"/>
        <w:spacing w:after="0"/>
        <w:ind w:left="0" w:firstLine="709"/>
        <w:jc w:val="both"/>
        <w:rPr>
          <w:sz w:val="28"/>
          <w:szCs w:val="28"/>
        </w:rPr>
      </w:pPr>
      <w:r>
        <w:rPr>
          <w:sz w:val="28"/>
          <w:szCs w:val="28"/>
        </w:rPr>
        <w:t xml:space="preserve">Ожидаемая оценка на 2021 год рассчитывается исходя из фактических поступлений </w:t>
      </w:r>
      <w:r w:rsidRPr="002452F8">
        <w:rPr>
          <w:sz w:val="28"/>
          <w:szCs w:val="28"/>
        </w:rPr>
        <w:t>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субъектов Российской Федерации</w:t>
      </w:r>
      <w:r>
        <w:rPr>
          <w:sz w:val="28"/>
          <w:szCs w:val="28"/>
        </w:rPr>
        <w:t xml:space="preserve"> (факт на 01.06.2021 - 0 тыс. руб.).</w:t>
      </w:r>
    </w:p>
    <w:p w:rsidR="0055491A" w:rsidRPr="00ED784D" w:rsidRDefault="0055491A" w:rsidP="0055491A">
      <w:pPr>
        <w:pStyle w:val="a7"/>
        <w:spacing w:after="0"/>
        <w:ind w:left="0" w:firstLine="709"/>
        <w:jc w:val="both"/>
        <w:rPr>
          <w:sz w:val="28"/>
          <w:szCs w:val="28"/>
        </w:rPr>
      </w:pPr>
      <w:r w:rsidRPr="00ED784D">
        <w:rPr>
          <w:sz w:val="28"/>
          <w:szCs w:val="28"/>
        </w:rPr>
        <w:t>Расчет прогноза на 20</w:t>
      </w:r>
      <w:r>
        <w:rPr>
          <w:sz w:val="28"/>
          <w:szCs w:val="28"/>
        </w:rPr>
        <w:t xml:space="preserve">22 </w:t>
      </w:r>
      <w:r w:rsidRPr="00ED784D">
        <w:rPr>
          <w:sz w:val="28"/>
          <w:szCs w:val="28"/>
        </w:rPr>
        <w:t>год произведен методом усреднения, исходя из фактических поступлений за 20</w:t>
      </w:r>
      <w:r>
        <w:rPr>
          <w:sz w:val="28"/>
          <w:szCs w:val="28"/>
        </w:rPr>
        <w:t>19</w:t>
      </w:r>
      <w:r w:rsidRPr="00ED784D">
        <w:rPr>
          <w:sz w:val="28"/>
          <w:szCs w:val="28"/>
        </w:rPr>
        <w:t xml:space="preserve"> год (</w:t>
      </w:r>
      <w:r>
        <w:rPr>
          <w:sz w:val="28"/>
          <w:szCs w:val="28"/>
        </w:rPr>
        <w:t>0</w:t>
      </w:r>
      <w:r w:rsidRPr="00ED784D">
        <w:rPr>
          <w:sz w:val="28"/>
          <w:szCs w:val="28"/>
        </w:rPr>
        <w:t xml:space="preserve"> тыс. руб.)</w:t>
      </w:r>
      <w:r>
        <w:rPr>
          <w:sz w:val="28"/>
          <w:szCs w:val="28"/>
        </w:rPr>
        <w:t>, за 2020 год (53,2 тыс. руб.)</w:t>
      </w:r>
      <w:r w:rsidRPr="00ED784D">
        <w:rPr>
          <w:sz w:val="28"/>
          <w:szCs w:val="28"/>
        </w:rPr>
        <w:t xml:space="preserve"> и </w:t>
      </w:r>
      <w:r>
        <w:rPr>
          <w:sz w:val="28"/>
          <w:szCs w:val="28"/>
        </w:rPr>
        <w:t>ожидаемой оценки з</w:t>
      </w:r>
      <w:r w:rsidRPr="00ED784D">
        <w:rPr>
          <w:sz w:val="28"/>
          <w:szCs w:val="28"/>
        </w:rPr>
        <w:t>а 20</w:t>
      </w:r>
      <w:r>
        <w:rPr>
          <w:sz w:val="28"/>
          <w:szCs w:val="28"/>
        </w:rPr>
        <w:t>21</w:t>
      </w:r>
      <w:r w:rsidRPr="00ED784D">
        <w:rPr>
          <w:sz w:val="28"/>
          <w:szCs w:val="28"/>
        </w:rPr>
        <w:t xml:space="preserve"> год (</w:t>
      </w:r>
      <w:r>
        <w:rPr>
          <w:sz w:val="28"/>
          <w:szCs w:val="28"/>
        </w:rPr>
        <w:t>0</w:t>
      </w:r>
      <w:r w:rsidRPr="00ED784D">
        <w:rPr>
          <w:sz w:val="28"/>
          <w:szCs w:val="28"/>
        </w:rPr>
        <w:t xml:space="preserve"> тыс. руб.):</w:t>
      </w:r>
    </w:p>
    <w:p w:rsidR="0055491A" w:rsidRDefault="0055491A" w:rsidP="0055491A">
      <w:pPr>
        <w:pStyle w:val="a7"/>
        <w:spacing w:after="0"/>
        <w:ind w:left="0" w:firstLine="709"/>
        <w:jc w:val="center"/>
        <w:rPr>
          <w:sz w:val="28"/>
          <w:szCs w:val="28"/>
        </w:rPr>
      </w:pPr>
      <w:r w:rsidRPr="00ED784D">
        <w:rPr>
          <w:sz w:val="28"/>
          <w:szCs w:val="28"/>
        </w:rPr>
        <w:t>(</w:t>
      </w:r>
      <w:r>
        <w:rPr>
          <w:sz w:val="28"/>
          <w:szCs w:val="28"/>
        </w:rPr>
        <w:t xml:space="preserve">0 </w:t>
      </w:r>
      <w:r w:rsidRPr="00ED784D">
        <w:rPr>
          <w:sz w:val="28"/>
          <w:szCs w:val="28"/>
        </w:rPr>
        <w:t>+</w:t>
      </w:r>
      <w:r>
        <w:rPr>
          <w:sz w:val="28"/>
          <w:szCs w:val="28"/>
        </w:rPr>
        <w:t xml:space="preserve"> 53,2 + 0</w:t>
      </w:r>
      <w:r w:rsidRPr="00ED784D">
        <w:rPr>
          <w:sz w:val="28"/>
          <w:szCs w:val="28"/>
        </w:rPr>
        <w:t xml:space="preserve">)/3 = </w:t>
      </w:r>
      <w:r>
        <w:rPr>
          <w:sz w:val="28"/>
          <w:szCs w:val="28"/>
        </w:rPr>
        <w:t>17,7</w:t>
      </w:r>
      <w:r w:rsidRPr="00ED784D">
        <w:rPr>
          <w:sz w:val="28"/>
          <w:szCs w:val="28"/>
        </w:rPr>
        <w:t xml:space="preserve"> тыс. руб.</w:t>
      </w:r>
    </w:p>
    <w:p w:rsidR="0055491A" w:rsidRDefault="0055491A" w:rsidP="0055491A">
      <w:pPr>
        <w:pStyle w:val="a7"/>
        <w:spacing w:after="0"/>
        <w:ind w:left="0" w:firstLine="709"/>
        <w:jc w:val="both"/>
        <w:rPr>
          <w:sz w:val="28"/>
          <w:szCs w:val="28"/>
        </w:rPr>
      </w:pPr>
      <w:r w:rsidRPr="00ED784D">
        <w:rPr>
          <w:sz w:val="28"/>
          <w:szCs w:val="28"/>
        </w:rPr>
        <w:t>Прогноз на</w:t>
      </w:r>
      <w:r>
        <w:rPr>
          <w:sz w:val="28"/>
          <w:szCs w:val="28"/>
        </w:rPr>
        <w:t xml:space="preserve"> плановый период</w:t>
      </w:r>
      <w:r w:rsidRPr="00ED784D">
        <w:rPr>
          <w:sz w:val="28"/>
          <w:szCs w:val="28"/>
        </w:rPr>
        <w:t xml:space="preserve"> 20</w:t>
      </w:r>
      <w:r>
        <w:rPr>
          <w:sz w:val="28"/>
          <w:szCs w:val="28"/>
        </w:rPr>
        <w:t>23</w:t>
      </w:r>
      <w:r w:rsidRPr="00ED784D">
        <w:rPr>
          <w:sz w:val="28"/>
          <w:szCs w:val="28"/>
        </w:rPr>
        <w:t xml:space="preserve"> </w:t>
      </w:r>
      <w:r>
        <w:rPr>
          <w:sz w:val="28"/>
          <w:szCs w:val="28"/>
        </w:rPr>
        <w:t xml:space="preserve">-2024 </w:t>
      </w:r>
      <w:r w:rsidRPr="00ED784D">
        <w:rPr>
          <w:sz w:val="28"/>
          <w:szCs w:val="28"/>
        </w:rPr>
        <w:t>год</w:t>
      </w:r>
      <w:r>
        <w:rPr>
          <w:sz w:val="28"/>
          <w:szCs w:val="28"/>
        </w:rPr>
        <w:t>ов</w:t>
      </w:r>
      <w:r w:rsidRPr="00ED784D">
        <w:rPr>
          <w:sz w:val="28"/>
          <w:szCs w:val="28"/>
        </w:rPr>
        <w:t xml:space="preserve"> </w:t>
      </w:r>
      <w:r>
        <w:rPr>
          <w:sz w:val="28"/>
          <w:szCs w:val="28"/>
        </w:rPr>
        <w:t>принимается</w:t>
      </w:r>
      <w:r w:rsidRPr="00ED784D">
        <w:rPr>
          <w:sz w:val="28"/>
          <w:szCs w:val="28"/>
        </w:rPr>
        <w:t xml:space="preserve"> на уровне прогноза на 20</w:t>
      </w:r>
      <w:r>
        <w:rPr>
          <w:sz w:val="28"/>
          <w:szCs w:val="28"/>
        </w:rPr>
        <w:t>22</w:t>
      </w:r>
      <w:r w:rsidRPr="00ED784D">
        <w:rPr>
          <w:sz w:val="28"/>
          <w:szCs w:val="28"/>
        </w:rPr>
        <w:t xml:space="preserve"> год.</w:t>
      </w:r>
    </w:p>
    <w:p w:rsidR="0055491A" w:rsidRPr="00A675D7" w:rsidRDefault="0055491A" w:rsidP="0055491A">
      <w:pPr>
        <w:pStyle w:val="a7"/>
        <w:spacing w:after="0"/>
        <w:ind w:left="0" w:firstLine="709"/>
        <w:jc w:val="both"/>
        <w:rPr>
          <w:b/>
          <w:sz w:val="28"/>
          <w:szCs w:val="28"/>
        </w:rPr>
      </w:pPr>
      <w:r w:rsidRPr="00A675D7">
        <w:rPr>
          <w:b/>
          <w:sz w:val="28"/>
          <w:szCs w:val="28"/>
        </w:rPr>
        <w:t>Прогноз на 2022 год = 17,7 тыс. руб.</w:t>
      </w:r>
    </w:p>
    <w:p w:rsidR="0055491A" w:rsidRPr="00A675D7" w:rsidRDefault="0055491A" w:rsidP="0055491A">
      <w:pPr>
        <w:pStyle w:val="a7"/>
        <w:spacing w:after="0"/>
        <w:ind w:left="0" w:firstLine="709"/>
        <w:jc w:val="both"/>
        <w:rPr>
          <w:b/>
          <w:sz w:val="28"/>
          <w:szCs w:val="28"/>
        </w:rPr>
      </w:pPr>
      <w:r w:rsidRPr="00A675D7">
        <w:rPr>
          <w:b/>
          <w:sz w:val="28"/>
          <w:szCs w:val="28"/>
        </w:rPr>
        <w:t>Прогноз на 2023 год = 17,7 тыс. руб.</w:t>
      </w:r>
    </w:p>
    <w:p w:rsidR="0055491A" w:rsidRPr="00A675D7" w:rsidRDefault="0055491A" w:rsidP="0055491A">
      <w:pPr>
        <w:pStyle w:val="a7"/>
        <w:spacing w:after="0"/>
        <w:ind w:left="0" w:firstLine="709"/>
        <w:jc w:val="both"/>
        <w:rPr>
          <w:b/>
          <w:sz w:val="28"/>
          <w:szCs w:val="28"/>
        </w:rPr>
      </w:pPr>
      <w:r w:rsidRPr="00A675D7">
        <w:rPr>
          <w:b/>
          <w:sz w:val="28"/>
          <w:szCs w:val="28"/>
        </w:rPr>
        <w:t>Прогноз на 2024 год = 17,7 тыс. руб.</w:t>
      </w:r>
    </w:p>
    <w:p w:rsidR="0055491A" w:rsidRDefault="0055491A" w:rsidP="0055491A">
      <w:pPr>
        <w:pStyle w:val="a7"/>
        <w:spacing w:after="0"/>
        <w:ind w:left="0" w:firstLine="709"/>
        <w:jc w:val="both"/>
        <w:rPr>
          <w:sz w:val="28"/>
          <w:szCs w:val="28"/>
        </w:rPr>
      </w:pPr>
    </w:p>
    <w:p w:rsidR="0055491A" w:rsidRPr="00C67093" w:rsidRDefault="0055491A" w:rsidP="0055491A">
      <w:pPr>
        <w:autoSpaceDE w:val="0"/>
        <w:autoSpaceDN w:val="0"/>
        <w:adjustRightInd w:val="0"/>
        <w:ind w:firstLine="709"/>
        <w:jc w:val="both"/>
        <w:rPr>
          <w:color w:val="000000" w:themeColor="text1"/>
          <w:sz w:val="28"/>
          <w:szCs w:val="28"/>
        </w:rPr>
      </w:pPr>
      <w:r>
        <w:rPr>
          <w:sz w:val="28"/>
          <w:szCs w:val="28"/>
        </w:rPr>
        <w:t xml:space="preserve">22.3 </w:t>
      </w:r>
      <w:r w:rsidRPr="005B089C">
        <w:rPr>
          <w:b/>
          <w:color w:val="000000" w:themeColor="text1"/>
          <w:sz w:val="28"/>
          <w:szCs w:val="28"/>
        </w:rPr>
        <w:t>КБК 017 1 16 10022 02 0000 140</w:t>
      </w:r>
      <w:r w:rsidRPr="00C67093">
        <w:rPr>
          <w:color w:val="000000" w:themeColor="text1"/>
          <w:sz w:val="28"/>
          <w:szCs w:val="28"/>
        </w:rPr>
        <w:t xml:space="preserve"> 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w:t>
      </w:r>
    </w:p>
    <w:p w:rsidR="0055491A" w:rsidRPr="005B089C" w:rsidRDefault="0055491A" w:rsidP="0055491A">
      <w:pPr>
        <w:pStyle w:val="a7"/>
        <w:spacing w:after="0"/>
        <w:ind w:left="0" w:firstLine="709"/>
        <w:jc w:val="both"/>
        <w:rPr>
          <w:b/>
          <w:sz w:val="28"/>
          <w:szCs w:val="28"/>
        </w:rPr>
      </w:pPr>
      <w:r w:rsidRPr="005B089C">
        <w:rPr>
          <w:b/>
          <w:sz w:val="28"/>
          <w:szCs w:val="28"/>
        </w:rPr>
        <w:t>Главный администратор доходов - Главное управление "Государственная жилищная инспекция" Тверской области.</w:t>
      </w:r>
    </w:p>
    <w:p w:rsidR="0055491A" w:rsidRDefault="0055491A" w:rsidP="0055491A">
      <w:pPr>
        <w:spacing w:line="252" w:lineRule="auto"/>
        <w:ind w:firstLine="709"/>
        <w:jc w:val="both"/>
        <w:rPr>
          <w:sz w:val="28"/>
        </w:rPr>
      </w:pPr>
      <w:r w:rsidRPr="000D4676">
        <w:rPr>
          <w:sz w:val="28"/>
          <w:szCs w:val="28"/>
        </w:rPr>
        <w:t xml:space="preserve">Расчет произведен в соответствии с методикой, утвержденной приказом </w:t>
      </w:r>
      <w:r w:rsidRPr="00B03A5B">
        <w:rPr>
          <w:sz w:val="28"/>
          <w:szCs w:val="28"/>
        </w:rPr>
        <w:t>Главно</w:t>
      </w:r>
      <w:r>
        <w:rPr>
          <w:sz w:val="28"/>
          <w:szCs w:val="28"/>
        </w:rPr>
        <w:t>го управления «</w:t>
      </w:r>
      <w:r w:rsidRPr="00B03A5B">
        <w:rPr>
          <w:sz w:val="28"/>
          <w:szCs w:val="28"/>
        </w:rPr>
        <w:t>Государственн</w:t>
      </w:r>
      <w:r>
        <w:rPr>
          <w:sz w:val="28"/>
          <w:szCs w:val="28"/>
        </w:rPr>
        <w:t>ой жилищной инспекции»</w:t>
      </w:r>
      <w:r w:rsidRPr="00B03A5B">
        <w:rPr>
          <w:sz w:val="28"/>
          <w:szCs w:val="28"/>
        </w:rPr>
        <w:t xml:space="preserve"> Тверской </w:t>
      </w:r>
      <w:r w:rsidRPr="00B03A5B">
        <w:rPr>
          <w:sz w:val="28"/>
          <w:szCs w:val="28"/>
        </w:rPr>
        <w:lastRenderedPageBreak/>
        <w:t>области</w:t>
      </w:r>
      <w:r>
        <w:rPr>
          <w:sz w:val="28"/>
          <w:szCs w:val="28"/>
        </w:rPr>
        <w:t xml:space="preserve"> от 25.06.2020 № 40-ОД (с учетом принятых изменений) методом экстраполяции.</w:t>
      </w:r>
      <w:r w:rsidRPr="003434F3">
        <w:rPr>
          <w:sz w:val="28"/>
        </w:rPr>
        <w:t xml:space="preserve"> </w:t>
      </w:r>
    </w:p>
    <w:p w:rsidR="0055491A" w:rsidRDefault="0055491A" w:rsidP="0055491A">
      <w:pPr>
        <w:spacing w:line="252" w:lineRule="auto"/>
        <w:ind w:firstLine="709"/>
        <w:jc w:val="both"/>
        <w:rPr>
          <w:sz w:val="28"/>
        </w:rPr>
      </w:pPr>
      <w:r>
        <w:rPr>
          <w:sz w:val="28"/>
        </w:rPr>
        <w:t>Прогноз на 2022-2024 годы принимается на уровне ожидаемой оценки поступлений на 2021 год, рассчитанной по объему среднемесячных поступлений исходя из факта на 01.06.2021 (59,0 тыс. руб.).</w:t>
      </w:r>
    </w:p>
    <w:p w:rsidR="0055491A" w:rsidRDefault="0055491A" w:rsidP="0055491A">
      <w:pPr>
        <w:spacing w:line="252" w:lineRule="auto"/>
        <w:ind w:firstLine="709"/>
        <w:jc w:val="both"/>
        <w:rPr>
          <w:sz w:val="28"/>
        </w:rPr>
      </w:pPr>
      <w:r>
        <w:rPr>
          <w:sz w:val="28"/>
        </w:rPr>
        <w:t>Ожидаемое поступление 2021 год= 59 тыс. руб./5*12= 141,6 тыс. руб.</w:t>
      </w:r>
    </w:p>
    <w:p w:rsidR="0055491A" w:rsidRPr="005B089C" w:rsidRDefault="0055491A" w:rsidP="0055491A">
      <w:pPr>
        <w:spacing w:line="252" w:lineRule="auto"/>
        <w:ind w:firstLine="709"/>
        <w:jc w:val="both"/>
        <w:rPr>
          <w:b/>
          <w:sz w:val="28"/>
        </w:rPr>
      </w:pPr>
      <w:r w:rsidRPr="005B089C">
        <w:rPr>
          <w:b/>
          <w:sz w:val="28"/>
        </w:rPr>
        <w:t>Прогноз 2022 год = 141,6 тыс. руб., прогноз 2023 год = 141,6 тыс. руб.,</w:t>
      </w:r>
    </w:p>
    <w:p w:rsidR="0055491A" w:rsidRPr="005B089C" w:rsidRDefault="0055491A" w:rsidP="0055491A">
      <w:pPr>
        <w:spacing w:line="252" w:lineRule="auto"/>
        <w:ind w:firstLine="709"/>
        <w:jc w:val="both"/>
        <w:rPr>
          <w:b/>
          <w:sz w:val="28"/>
        </w:rPr>
      </w:pPr>
      <w:r w:rsidRPr="005B089C">
        <w:rPr>
          <w:b/>
          <w:sz w:val="28"/>
        </w:rPr>
        <w:t>прогноз 2024 год = 141,6 тыс. руб.</w:t>
      </w:r>
    </w:p>
    <w:p w:rsidR="0055491A" w:rsidRDefault="0055491A" w:rsidP="0055491A">
      <w:pPr>
        <w:spacing w:line="252" w:lineRule="auto"/>
        <w:ind w:firstLine="709"/>
        <w:jc w:val="both"/>
        <w:rPr>
          <w:sz w:val="28"/>
        </w:rPr>
      </w:pPr>
    </w:p>
    <w:p w:rsidR="0055491A" w:rsidRPr="00C67093" w:rsidRDefault="0055491A" w:rsidP="0055491A">
      <w:pPr>
        <w:autoSpaceDE w:val="0"/>
        <w:autoSpaceDN w:val="0"/>
        <w:adjustRightInd w:val="0"/>
        <w:ind w:firstLine="709"/>
        <w:jc w:val="both"/>
        <w:rPr>
          <w:color w:val="000000" w:themeColor="text1"/>
          <w:sz w:val="28"/>
          <w:szCs w:val="28"/>
        </w:rPr>
      </w:pPr>
      <w:r>
        <w:rPr>
          <w:sz w:val="28"/>
          <w:szCs w:val="28"/>
        </w:rPr>
        <w:t xml:space="preserve">22.4 </w:t>
      </w:r>
      <w:r w:rsidRPr="008D21DB">
        <w:rPr>
          <w:b/>
          <w:color w:val="000000" w:themeColor="text1"/>
          <w:sz w:val="28"/>
          <w:szCs w:val="28"/>
        </w:rPr>
        <w:t>КБК 019 1 16 10022 02 0000 140</w:t>
      </w:r>
      <w:r w:rsidRPr="00C67093">
        <w:rPr>
          <w:color w:val="000000" w:themeColor="text1"/>
          <w:sz w:val="28"/>
          <w:szCs w:val="28"/>
        </w:rPr>
        <w:t xml:space="preserve"> 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w:t>
      </w:r>
    </w:p>
    <w:p w:rsidR="0055491A" w:rsidRPr="008D21DB" w:rsidRDefault="0055491A" w:rsidP="0055491A">
      <w:pPr>
        <w:pStyle w:val="a7"/>
        <w:spacing w:after="0"/>
        <w:ind w:left="0" w:firstLine="709"/>
        <w:jc w:val="both"/>
        <w:rPr>
          <w:b/>
          <w:sz w:val="28"/>
          <w:szCs w:val="28"/>
        </w:rPr>
      </w:pPr>
      <w:r w:rsidRPr="008D21DB">
        <w:rPr>
          <w:b/>
          <w:sz w:val="28"/>
          <w:szCs w:val="28"/>
        </w:rPr>
        <w:t>Главный администратор доходов – Министерство имущественных и земельных отношений Тверской области.</w:t>
      </w:r>
    </w:p>
    <w:p w:rsidR="0055491A" w:rsidRPr="007E6C92" w:rsidRDefault="0055491A" w:rsidP="0055491A">
      <w:pPr>
        <w:pStyle w:val="a7"/>
        <w:spacing w:after="0"/>
        <w:ind w:left="0" w:firstLine="709"/>
        <w:jc w:val="both"/>
        <w:rPr>
          <w:sz w:val="28"/>
          <w:szCs w:val="28"/>
        </w:rPr>
      </w:pPr>
      <w:r w:rsidRPr="007E6C92">
        <w:rPr>
          <w:sz w:val="28"/>
          <w:szCs w:val="28"/>
        </w:rPr>
        <w:t>Прогноз поступлений по данному доходному источнику на 2022 год рассчитывается с применением метода усреднения за три года, предшествующих текущему финансовому году по следующей формуле:</w:t>
      </w:r>
    </w:p>
    <w:p w:rsidR="0055491A" w:rsidRPr="007E6C92" w:rsidRDefault="0055491A" w:rsidP="0055491A">
      <w:pPr>
        <w:pStyle w:val="a7"/>
        <w:spacing w:after="0"/>
        <w:ind w:left="0" w:firstLine="709"/>
        <w:jc w:val="both"/>
        <w:rPr>
          <w:sz w:val="28"/>
          <w:szCs w:val="28"/>
        </w:rPr>
      </w:pPr>
      <w:r w:rsidRPr="007E6C92">
        <w:rPr>
          <w:sz w:val="28"/>
          <w:szCs w:val="28"/>
        </w:rPr>
        <w:t xml:space="preserve">                                                                                        </w:t>
      </w:r>
    </w:p>
    <w:p w:rsidR="0055491A" w:rsidRPr="007E6C92" w:rsidRDefault="0055491A" w:rsidP="0055491A">
      <w:pPr>
        <w:pStyle w:val="a7"/>
        <w:spacing w:after="0"/>
        <w:ind w:left="0" w:firstLine="709"/>
        <w:jc w:val="both"/>
        <w:rPr>
          <w:sz w:val="28"/>
          <w:szCs w:val="28"/>
        </w:rPr>
      </w:pPr>
      <w:r w:rsidRPr="007E6C92">
        <w:rPr>
          <w:sz w:val="28"/>
          <w:szCs w:val="28"/>
        </w:rPr>
        <w:t>Д</w:t>
      </w:r>
      <w:r w:rsidRPr="007E6C92">
        <w:rPr>
          <w:sz w:val="28"/>
          <w:szCs w:val="28"/>
          <w:vertAlign w:val="subscript"/>
        </w:rPr>
        <w:t>вуп</w:t>
      </w:r>
      <w:r w:rsidRPr="007E6C92">
        <w:rPr>
          <w:sz w:val="28"/>
          <w:szCs w:val="28"/>
        </w:rPr>
        <w:t xml:space="preserve"> =  ∑ Д</w:t>
      </w:r>
      <w:r w:rsidRPr="007E6C92">
        <w:rPr>
          <w:sz w:val="28"/>
          <w:szCs w:val="28"/>
          <w:vertAlign w:val="subscript"/>
        </w:rPr>
        <w:t>факт</w:t>
      </w:r>
      <w:r w:rsidRPr="007E6C92">
        <w:rPr>
          <w:sz w:val="28"/>
          <w:szCs w:val="28"/>
        </w:rPr>
        <w:t xml:space="preserve"> / n, где</w:t>
      </w:r>
    </w:p>
    <w:p w:rsidR="0055491A" w:rsidRPr="007E6C92" w:rsidRDefault="0055491A" w:rsidP="0055491A">
      <w:pPr>
        <w:pStyle w:val="a7"/>
        <w:spacing w:after="0"/>
        <w:ind w:left="0" w:firstLine="709"/>
        <w:jc w:val="both"/>
        <w:rPr>
          <w:sz w:val="28"/>
          <w:szCs w:val="28"/>
        </w:rPr>
      </w:pPr>
      <w:r w:rsidRPr="007E6C92">
        <w:rPr>
          <w:sz w:val="28"/>
          <w:szCs w:val="28"/>
        </w:rPr>
        <w:t>n - количество отчетных периодов (не менее 3-х лет, предшествующих текущему финансовому году);</w:t>
      </w:r>
    </w:p>
    <w:p w:rsidR="0055491A" w:rsidRPr="007E6C92" w:rsidRDefault="0055491A" w:rsidP="0055491A">
      <w:pPr>
        <w:pStyle w:val="a7"/>
        <w:spacing w:after="0"/>
        <w:ind w:left="0" w:firstLine="709"/>
        <w:jc w:val="both"/>
        <w:rPr>
          <w:sz w:val="28"/>
          <w:szCs w:val="28"/>
        </w:rPr>
      </w:pPr>
      <w:r w:rsidRPr="007E6C92">
        <w:rPr>
          <w:sz w:val="28"/>
          <w:szCs w:val="28"/>
        </w:rPr>
        <w:t>Д</w:t>
      </w:r>
      <w:r w:rsidRPr="007E6C92">
        <w:rPr>
          <w:sz w:val="28"/>
          <w:szCs w:val="28"/>
          <w:vertAlign w:val="subscript"/>
        </w:rPr>
        <w:t>факт</w:t>
      </w:r>
      <w:r w:rsidRPr="007E6C92">
        <w:rPr>
          <w:sz w:val="28"/>
          <w:szCs w:val="28"/>
        </w:rPr>
        <w:t xml:space="preserve"> - фактические доходы от прочего возмещения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w:t>
      </w:r>
    </w:p>
    <w:p w:rsidR="0055491A" w:rsidRPr="007E6C92" w:rsidRDefault="0055491A" w:rsidP="0055491A">
      <w:pPr>
        <w:pStyle w:val="a7"/>
        <w:spacing w:after="0"/>
        <w:ind w:left="0" w:firstLine="709"/>
        <w:jc w:val="both"/>
        <w:rPr>
          <w:sz w:val="28"/>
          <w:szCs w:val="28"/>
        </w:rPr>
      </w:pPr>
      <w:r w:rsidRPr="007E6C92">
        <w:rPr>
          <w:sz w:val="28"/>
          <w:szCs w:val="28"/>
        </w:rPr>
        <w:t>В 2018 году поступления по доходному источнику в части периодических платежей составили – 0,0 руб., в 2019 году – 0 руб., в 2020 году – 6,6 тыс. руб.</w:t>
      </w:r>
    </w:p>
    <w:p w:rsidR="0055491A" w:rsidRPr="007E6C92" w:rsidRDefault="0055491A" w:rsidP="0055491A">
      <w:pPr>
        <w:pStyle w:val="a7"/>
        <w:spacing w:after="0"/>
        <w:ind w:left="0" w:firstLine="709"/>
        <w:jc w:val="both"/>
        <w:rPr>
          <w:sz w:val="28"/>
          <w:szCs w:val="28"/>
        </w:rPr>
      </w:pPr>
      <w:r w:rsidRPr="008D21DB">
        <w:rPr>
          <w:b/>
          <w:sz w:val="28"/>
          <w:szCs w:val="28"/>
        </w:rPr>
        <w:t>Прогноз доходов</w:t>
      </w:r>
      <w:r w:rsidRPr="007E6C92">
        <w:rPr>
          <w:sz w:val="28"/>
          <w:szCs w:val="28"/>
        </w:rPr>
        <w:t xml:space="preserve"> по указанному доходному источнику </w:t>
      </w:r>
      <w:r w:rsidRPr="008D21DB">
        <w:rPr>
          <w:sz w:val="28"/>
          <w:szCs w:val="28"/>
        </w:rPr>
        <w:t>на</w:t>
      </w:r>
      <w:r w:rsidRPr="008D21DB">
        <w:rPr>
          <w:b/>
          <w:sz w:val="28"/>
          <w:szCs w:val="28"/>
        </w:rPr>
        <w:t xml:space="preserve"> 2022 год</w:t>
      </w:r>
      <w:r w:rsidRPr="007E6C92">
        <w:rPr>
          <w:sz w:val="28"/>
          <w:szCs w:val="28"/>
        </w:rPr>
        <w:t xml:space="preserve"> составит (0 руб. + </w:t>
      </w:r>
      <w:r>
        <w:rPr>
          <w:sz w:val="28"/>
          <w:szCs w:val="28"/>
        </w:rPr>
        <w:t>0</w:t>
      </w:r>
      <w:r w:rsidRPr="007E6C92">
        <w:rPr>
          <w:sz w:val="28"/>
          <w:szCs w:val="28"/>
        </w:rPr>
        <w:t xml:space="preserve"> руб. + </w:t>
      </w:r>
      <w:r>
        <w:rPr>
          <w:sz w:val="28"/>
          <w:szCs w:val="28"/>
        </w:rPr>
        <w:t>6,6</w:t>
      </w:r>
      <w:r w:rsidRPr="007E6C92">
        <w:rPr>
          <w:sz w:val="28"/>
          <w:szCs w:val="28"/>
        </w:rPr>
        <w:t xml:space="preserve"> тыс. руб.) / 3 = </w:t>
      </w:r>
      <w:r w:rsidRPr="008D21DB">
        <w:rPr>
          <w:b/>
          <w:sz w:val="28"/>
          <w:szCs w:val="28"/>
        </w:rPr>
        <w:t>2,2 тыс. руб</w:t>
      </w:r>
      <w:r w:rsidRPr="007E6C92">
        <w:rPr>
          <w:sz w:val="28"/>
          <w:szCs w:val="28"/>
        </w:rPr>
        <w:t>.</w:t>
      </w:r>
    </w:p>
    <w:p w:rsidR="0055491A" w:rsidRPr="008D21DB" w:rsidRDefault="0055491A" w:rsidP="0055491A">
      <w:pPr>
        <w:pStyle w:val="a7"/>
        <w:spacing w:after="0"/>
        <w:ind w:left="0" w:firstLine="709"/>
        <w:jc w:val="both"/>
        <w:rPr>
          <w:b/>
          <w:sz w:val="28"/>
          <w:szCs w:val="28"/>
        </w:rPr>
      </w:pPr>
      <w:r w:rsidRPr="008D21DB">
        <w:rPr>
          <w:b/>
          <w:sz w:val="28"/>
          <w:szCs w:val="28"/>
        </w:rPr>
        <w:t>Прогноз</w:t>
      </w:r>
      <w:r w:rsidRPr="007E6C92">
        <w:rPr>
          <w:sz w:val="28"/>
          <w:szCs w:val="28"/>
        </w:rPr>
        <w:t xml:space="preserve"> поступлений по данному доходному источнику на </w:t>
      </w:r>
      <w:r w:rsidRPr="008D21DB">
        <w:rPr>
          <w:b/>
          <w:sz w:val="28"/>
          <w:szCs w:val="28"/>
        </w:rPr>
        <w:t>2023-2024 годы</w:t>
      </w:r>
      <w:r w:rsidRPr="007E6C92">
        <w:rPr>
          <w:sz w:val="28"/>
          <w:szCs w:val="28"/>
        </w:rPr>
        <w:t xml:space="preserve"> устанавливается на уровне рассчитанного прогноза поступлений на 2022</w:t>
      </w:r>
      <w:r>
        <w:rPr>
          <w:sz w:val="28"/>
          <w:szCs w:val="28"/>
        </w:rPr>
        <w:t xml:space="preserve"> год и составляет </w:t>
      </w:r>
      <w:r w:rsidRPr="008D21DB">
        <w:rPr>
          <w:b/>
          <w:sz w:val="28"/>
          <w:szCs w:val="28"/>
        </w:rPr>
        <w:t>2,2 тыс. руб.</w:t>
      </w:r>
    </w:p>
    <w:p w:rsidR="0055491A" w:rsidRDefault="0055491A" w:rsidP="0055491A">
      <w:pPr>
        <w:pStyle w:val="a7"/>
        <w:spacing w:after="0"/>
        <w:ind w:left="0" w:firstLine="709"/>
        <w:jc w:val="both"/>
        <w:rPr>
          <w:color w:val="000000" w:themeColor="text1"/>
          <w:sz w:val="28"/>
          <w:szCs w:val="28"/>
        </w:rPr>
      </w:pPr>
    </w:p>
    <w:p w:rsidR="0055491A" w:rsidRPr="00C67093" w:rsidRDefault="0055491A" w:rsidP="0055491A">
      <w:pPr>
        <w:autoSpaceDE w:val="0"/>
        <w:autoSpaceDN w:val="0"/>
        <w:adjustRightInd w:val="0"/>
        <w:ind w:firstLine="709"/>
        <w:jc w:val="both"/>
        <w:rPr>
          <w:color w:val="000000" w:themeColor="text1"/>
          <w:sz w:val="28"/>
          <w:szCs w:val="28"/>
        </w:rPr>
      </w:pPr>
      <w:r>
        <w:rPr>
          <w:sz w:val="28"/>
          <w:szCs w:val="28"/>
        </w:rPr>
        <w:t>22.5</w:t>
      </w:r>
      <w:r w:rsidRPr="00C67093">
        <w:rPr>
          <w:color w:val="000000" w:themeColor="text1"/>
          <w:sz w:val="28"/>
          <w:szCs w:val="28"/>
        </w:rPr>
        <w:t xml:space="preserve"> </w:t>
      </w:r>
      <w:r w:rsidRPr="005B089C">
        <w:rPr>
          <w:b/>
          <w:color w:val="000000" w:themeColor="text1"/>
          <w:sz w:val="28"/>
          <w:szCs w:val="28"/>
        </w:rPr>
        <w:t>КБК 335 1 16 10022 02 0000 140</w:t>
      </w:r>
      <w:r w:rsidRPr="00C67093">
        <w:rPr>
          <w:color w:val="000000" w:themeColor="text1"/>
          <w:sz w:val="28"/>
          <w:szCs w:val="28"/>
        </w:rPr>
        <w:t xml:space="preserve"> 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w:t>
      </w:r>
    </w:p>
    <w:p w:rsidR="0055491A" w:rsidRPr="005B089C" w:rsidRDefault="0055491A" w:rsidP="0055491A">
      <w:pPr>
        <w:pStyle w:val="a7"/>
        <w:spacing w:after="0"/>
        <w:ind w:left="0" w:firstLine="709"/>
        <w:jc w:val="both"/>
        <w:rPr>
          <w:b/>
          <w:sz w:val="28"/>
          <w:szCs w:val="28"/>
        </w:rPr>
      </w:pPr>
      <w:r w:rsidRPr="005B089C">
        <w:rPr>
          <w:b/>
          <w:color w:val="000000" w:themeColor="text1"/>
          <w:sz w:val="28"/>
          <w:szCs w:val="28"/>
        </w:rPr>
        <w:t xml:space="preserve"> </w:t>
      </w:r>
      <w:r w:rsidRPr="005B089C">
        <w:rPr>
          <w:b/>
          <w:sz w:val="28"/>
          <w:szCs w:val="28"/>
        </w:rPr>
        <w:t>Главный администратор доходов – Главное управление региональной безопасности Тверской области.</w:t>
      </w:r>
    </w:p>
    <w:p w:rsidR="0055491A" w:rsidRDefault="0055491A" w:rsidP="0055491A">
      <w:pPr>
        <w:pStyle w:val="a7"/>
        <w:spacing w:after="0"/>
        <w:ind w:left="0" w:firstLine="709"/>
        <w:jc w:val="both"/>
        <w:rPr>
          <w:sz w:val="28"/>
          <w:szCs w:val="28"/>
        </w:rPr>
      </w:pPr>
      <w:r>
        <w:rPr>
          <w:sz w:val="28"/>
          <w:szCs w:val="28"/>
        </w:rPr>
        <w:lastRenderedPageBreak/>
        <w:t xml:space="preserve">Прогноз на очередной финансовый год рассчитан методом усреднения с учетом </w:t>
      </w:r>
      <w:r w:rsidRPr="005D48E0">
        <w:rPr>
          <w:sz w:val="28"/>
          <w:szCs w:val="28"/>
        </w:rPr>
        <w:t xml:space="preserve">фактических поступлений </w:t>
      </w:r>
      <w:r>
        <w:rPr>
          <w:sz w:val="28"/>
          <w:szCs w:val="28"/>
        </w:rPr>
        <w:t>п</w:t>
      </w:r>
      <w:r w:rsidRPr="00213332">
        <w:rPr>
          <w:sz w:val="28"/>
          <w:szCs w:val="28"/>
        </w:rPr>
        <w:t>латеж</w:t>
      </w:r>
      <w:r>
        <w:rPr>
          <w:sz w:val="28"/>
          <w:szCs w:val="28"/>
        </w:rPr>
        <w:t>ей</w:t>
      </w:r>
      <w:r w:rsidRPr="00213332">
        <w:rPr>
          <w:sz w:val="28"/>
          <w:szCs w:val="28"/>
        </w:rPr>
        <w:t xml:space="preserve"> по искам о возмещении ущерба, а также платеж</w:t>
      </w:r>
      <w:r>
        <w:rPr>
          <w:sz w:val="28"/>
          <w:szCs w:val="28"/>
        </w:rPr>
        <w:t>ей</w:t>
      </w:r>
      <w:r w:rsidRPr="00213332">
        <w:rPr>
          <w:sz w:val="28"/>
          <w:szCs w:val="28"/>
        </w:rPr>
        <w:t>, уплачиваемы</w:t>
      </w:r>
      <w:r>
        <w:rPr>
          <w:sz w:val="28"/>
          <w:szCs w:val="28"/>
        </w:rPr>
        <w:t>х</w:t>
      </w:r>
      <w:r w:rsidRPr="00213332">
        <w:rPr>
          <w:sz w:val="28"/>
          <w:szCs w:val="28"/>
        </w:rPr>
        <w:t xml:space="preserve"> при добровольном возмещении ущерба</w:t>
      </w:r>
      <w:r w:rsidRPr="00932AD6">
        <w:rPr>
          <w:sz w:val="28"/>
          <w:szCs w:val="28"/>
        </w:rPr>
        <w:t xml:space="preserve"> </w:t>
      </w:r>
      <w:r w:rsidRPr="005D48E0">
        <w:rPr>
          <w:sz w:val="28"/>
          <w:szCs w:val="28"/>
        </w:rPr>
        <w:t>за 20</w:t>
      </w:r>
      <w:r>
        <w:rPr>
          <w:sz w:val="28"/>
          <w:szCs w:val="28"/>
        </w:rPr>
        <w:t>20 год и ожидаемой оценки поступлений 2021 года.</w:t>
      </w:r>
    </w:p>
    <w:p w:rsidR="0055491A" w:rsidRDefault="0055491A" w:rsidP="0055491A">
      <w:pPr>
        <w:pStyle w:val="a7"/>
        <w:spacing w:after="0"/>
        <w:ind w:left="0" w:firstLine="709"/>
        <w:jc w:val="both"/>
        <w:rPr>
          <w:sz w:val="28"/>
          <w:szCs w:val="28"/>
        </w:rPr>
      </w:pPr>
      <w:r>
        <w:rPr>
          <w:sz w:val="28"/>
          <w:szCs w:val="28"/>
        </w:rPr>
        <w:t>Ожидаемая оценка поступлений 2021 года принимается на уровне фактических поступлений на 01.06.2021- 44,5 тыс. руб.</w:t>
      </w:r>
    </w:p>
    <w:p w:rsidR="0055491A" w:rsidRDefault="0055491A" w:rsidP="0055491A">
      <w:pPr>
        <w:pStyle w:val="a7"/>
        <w:spacing w:after="0"/>
        <w:ind w:left="0" w:firstLine="709"/>
        <w:jc w:val="both"/>
        <w:rPr>
          <w:sz w:val="28"/>
          <w:szCs w:val="28"/>
        </w:rPr>
      </w:pPr>
      <w:r>
        <w:rPr>
          <w:sz w:val="28"/>
          <w:szCs w:val="28"/>
        </w:rPr>
        <w:t>Факт 2020 год – 130,9 тыс. руб.</w:t>
      </w:r>
    </w:p>
    <w:p w:rsidR="0055491A" w:rsidRPr="00100C60" w:rsidRDefault="0055491A" w:rsidP="0055491A">
      <w:pPr>
        <w:pStyle w:val="a7"/>
        <w:spacing w:after="0"/>
        <w:ind w:left="0" w:firstLine="709"/>
        <w:jc w:val="both"/>
        <w:rPr>
          <w:b/>
          <w:sz w:val="28"/>
          <w:szCs w:val="28"/>
        </w:rPr>
      </w:pPr>
      <w:r w:rsidRPr="00100C60">
        <w:rPr>
          <w:b/>
          <w:sz w:val="28"/>
          <w:szCs w:val="28"/>
        </w:rPr>
        <w:t>Прогноз на 2022 год</w:t>
      </w:r>
      <w:r>
        <w:rPr>
          <w:sz w:val="28"/>
          <w:szCs w:val="28"/>
        </w:rPr>
        <w:t xml:space="preserve"> = (130,9 тыс. руб. + 44,5 тыс. руб.)/2 =                                    </w:t>
      </w:r>
      <w:r w:rsidRPr="00100C60">
        <w:rPr>
          <w:b/>
          <w:sz w:val="28"/>
          <w:szCs w:val="28"/>
        </w:rPr>
        <w:t>87,7 тыс. руб.</w:t>
      </w:r>
    </w:p>
    <w:p w:rsidR="0055491A" w:rsidRDefault="0055491A" w:rsidP="0055491A">
      <w:pPr>
        <w:pStyle w:val="a7"/>
        <w:spacing w:after="0"/>
        <w:ind w:left="0" w:firstLine="709"/>
        <w:jc w:val="both"/>
        <w:rPr>
          <w:sz w:val="28"/>
          <w:szCs w:val="28"/>
        </w:rPr>
      </w:pPr>
      <w:r>
        <w:rPr>
          <w:sz w:val="28"/>
          <w:szCs w:val="28"/>
        </w:rPr>
        <w:t>Прогноз на плановый период принимается равным прогнозу поступлений на очередной финансовый год.</w:t>
      </w:r>
    </w:p>
    <w:p w:rsidR="0055491A" w:rsidRPr="00100C60" w:rsidRDefault="0055491A" w:rsidP="0055491A">
      <w:pPr>
        <w:pStyle w:val="a7"/>
        <w:spacing w:after="0"/>
        <w:ind w:left="0" w:firstLine="709"/>
        <w:jc w:val="both"/>
        <w:rPr>
          <w:b/>
          <w:sz w:val="28"/>
          <w:szCs w:val="28"/>
        </w:rPr>
      </w:pPr>
      <w:r w:rsidRPr="00100C60">
        <w:rPr>
          <w:b/>
          <w:sz w:val="28"/>
          <w:szCs w:val="28"/>
        </w:rPr>
        <w:t>Прогноз на 2023 год – 87,7 тыс. руб.</w:t>
      </w:r>
    </w:p>
    <w:p w:rsidR="0055491A" w:rsidRPr="00100C60" w:rsidRDefault="0055491A" w:rsidP="0055491A">
      <w:pPr>
        <w:pStyle w:val="a7"/>
        <w:spacing w:after="0"/>
        <w:ind w:left="0" w:firstLine="709"/>
        <w:jc w:val="both"/>
        <w:rPr>
          <w:b/>
          <w:sz w:val="28"/>
          <w:szCs w:val="28"/>
        </w:rPr>
      </w:pPr>
      <w:r w:rsidRPr="00100C60">
        <w:rPr>
          <w:b/>
          <w:sz w:val="28"/>
          <w:szCs w:val="28"/>
        </w:rPr>
        <w:t>Прогноз на 2024 год – 87,7 тыс. руб.</w:t>
      </w:r>
    </w:p>
    <w:p w:rsidR="0055491A" w:rsidRDefault="0055491A" w:rsidP="0055491A">
      <w:pPr>
        <w:pStyle w:val="a7"/>
        <w:spacing w:after="0"/>
        <w:ind w:left="0" w:firstLine="709"/>
        <w:jc w:val="both"/>
        <w:rPr>
          <w:sz w:val="28"/>
          <w:szCs w:val="28"/>
        </w:rPr>
      </w:pPr>
    </w:p>
    <w:p w:rsidR="0055491A" w:rsidRDefault="0055491A" w:rsidP="0055491A">
      <w:pPr>
        <w:autoSpaceDE w:val="0"/>
        <w:autoSpaceDN w:val="0"/>
        <w:adjustRightInd w:val="0"/>
        <w:ind w:firstLine="709"/>
        <w:jc w:val="both"/>
        <w:rPr>
          <w:sz w:val="28"/>
          <w:szCs w:val="28"/>
        </w:rPr>
      </w:pPr>
      <w:r>
        <w:rPr>
          <w:color w:val="000000" w:themeColor="text1"/>
          <w:sz w:val="28"/>
          <w:szCs w:val="28"/>
        </w:rPr>
        <w:t>23</w:t>
      </w:r>
      <w:r w:rsidRPr="004A3891">
        <w:rPr>
          <w:color w:val="000000" w:themeColor="text1"/>
          <w:sz w:val="28"/>
          <w:szCs w:val="28"/>
        </w:rPr>
        <w:t xml:space="preserve">. </w:t>
      </w:r>
      <w:r w:rsidRPr="00486376">
        <w:rPr>
          <w:b/>
          <w:color w:val="000000" w:themeColor="text1"/>
          <w:sz w:val="28"/>
          <w:szCs w:val="28"/>
        </w:rPr>
        <w:t>КБК 000 1 16 10056 02 0000 140</w:t>
      </w:r>
      <w:r w:rsidRPr="004A3891">
        <w:rPr>
          <w:color w:val="000000" w:themeColor="text1"/>
          <w:sz w:val="28"/>
          <w:szCs w:val="28"/>
        </w:rPr>
        <w:t xml:space="preserve"> </w:t>
      </w:r>
      <w:r w:rsidRPr="004A3891">
        <w:rPr>
          <w:sz w:val="28"/>
          <w:szCs w:val="28"/>
        </w:rPr>
        <w:t>Платежи в целях возмещения убытков, причиненных уклонением от заключения с государственным органом субъекта Российской Федерации (казенным учреждением субъекта Российской Федерации) государственного контракта, а также иные денежные средства, подлежащие зачислению в бюджет субъекта Российской Федерации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государственного контракта, финансируемого за счет средств дорожного фонда субъекта Российской Федерации</w:t>
      </w:r>
      <w:r>
        <w:rPr>
          <w:sz w:val="28"/>
          <w:szCs w:val="28"/>
        </w:rPr>
        <w:t>)</w:t>
      </w:r>
      <w:r w:rsidRPr="004A3891">
        <w:rPr>
          <w:sz w:val="28"/>
          <w:szCs w:val="28"/>
        </w:rPr>
        <w:t>.</w:t>
      </w:r>
      <w:r>
        <w:rPr>
          <w:sz w:val="28"/>
          <w:szCs w:val="28"/>
        </w:rPr>
        <w:t xml:space="preserve"> </w:t>
      </w:r>
    </w:p>
    <w:p w:rsidR="0055491A" w:rsidRPr="00486376" w:rsidRDefault="0055491A" w:rsidP="0055491A">
      <w:pPr>
        <w:pStyle w:val="a7"/>
        <w:spacing w:after="0"/>
        <w:ind w:left="0" w:firstLine="709"/>
        <w:jc w:val="both"/>
        <w:rPr>
          <w:b/>
          <w:sz w:val="28"/>
          <w:szCs w:val="28"/>
        </w:rPr>
      </w:pPr>
      <w:r w:rsidRPr="00486376">
        <w:rPr>
          <w:b/>
          <w:sz w:val="28"/>
          <w:szCs w:val="28"/>
        </w:rPr>
        <w:t>Прогноз доходов по данному КБК на 2022 год – 1 628,0 тыс. руб., на 2023 год – 1 628,0 тыс. руб., на 2024 год – 1 628,0 тыс. руб.</w:t>
      </w:r>
    </w:p>
    <w:p w:rsidR="0055491A" w:rsidRDefault="0055491A" w:rsidP="0055491A">
      <w:pPr>
        <w:pStyle w:val="a7"/>
        <w:spacing w:after="0"/>
        <w:ind w:left="0" w:firstLine="709"/>
        <w:jc w:val="both"/>
        <w:rPr>
          <w:sz w:val="28"/>
          <w:szCs w:val="28"/>
        </w:rPr>
      </w:pPr>
    </w:p>
    <w:p w:rsidR="0055491A" w:rsidRDefault="0055491A" w:rsidP="0055491A">
      <w:pPr>
        <w:autoSpaceDE w:val="0"/>
        <w:autoSpaceDN w:val="0"/>
        <w:adjustRightInd w:val="0"/>
        <w:ind w:firstLine="709"/>
        <w:jc w:val="both"/>
        <w:rPr>
          <w:sz w:val="28"/>
          <w:szCs w:val="28"/>
        </w:rPr>
      </w:pPr>
      <w:r>
        <w:rPr>
          <w:color w:val="000000" w:themeColor="text1"/>
          <w:sz w:val="28"/>
          <w:szCs w:val="28"/>
        </w:rPr>
        <w:t xml:space="preserve">23.1 </w:t>
      </w:r>
      <w:r w:rsidRPr="004D4B70">
        <w:rPr>
          <w:b/>
          <w:color w:val="000000" w:themeColor="text1"/>
          <w:sz w:val="28"/>
          <w:szCs w:val="28"/>
        </w:rPr>
        <w:t>КБК 019 1 16 10056 02 0000 140</w:t>
      </w:r>
      <w:r w:rsidRPr="004A3891">
        <w:rPr>
          <w:color w:val="000000" w:themeColor="text1"/>
          <w:sz w:val="28"/>
          <w:szCs w:val="28"/>
        </w:rPr>
        <w:t xml:space="preserve"> </w:t>
      </w:r>
      <w:r w:rsidRPr="004A3891">
        <w:rPr>
          <w:sz w:val="28"/>
          <w:szCs w:val="28"/>
        </w:rPr>
        <w:t>Платежи в целях возмещения убытков, причиненных уклонением от заключения с государственным органом субъекта Российской Федерации (казенным учреждением субъекта Российской Федерации) государственного контракта, а также иные денежные средства, подлежащие зачислению в бюджет субъекта Российской Федерации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государственного контракта, финансируемого за счет средств дорожного фонда субъекта Российской Федерации.</w:t>
      </w:r>
      <w:r>
        <w:rPr>
          <w:sz w:val="28"/>
          <w:szCs w:val="28"/>
        </w:rPr>
        <w:t xml:space="preserve"> </w:t>
      </w:r>
    </w:p>
    <w:p w:rsidR="0055491A" w:rsidRPr="004D4B70" w:rsidRDefault="0055491A" w:rsidP="0055491A">
      <w:pPr>
        <w:pStyle w:val="a7"/>
        <w:spacing w:after="0"/>
        <w:ind w:left="0" w:firstLine="709"/>
        <w:jc w:val="both"/>
        <w:rPr>
          <w:b/>
          <w:sz w:val="28"/>
          <w:szCs w:val="28"/>
        </w:rPr>
      </w:pPr>
      <w:r w:rsidRPr="00896675">
        <w:rPr>
          <w:color w:val="000000" w:themeColor="text1"/>
          <w:sz w:val="28"/>
          <w:szCs w:val="28"/>
        </w:rPr>
        <w:t xml:space="preserve"> </w:t>
      </w:r>
      <w:r w:rsidRPr="004D4B70">
        <w:rPr>
          <w:b/>
          <w:sz w:val="28"/>
          <w:szCs w:val="28"/>
        </w:rPr>
        <w:t>Главный администратор доходов – Министерство имущественных и земельных отношений Тверской области.</w:t>
      </w:r>
    </w:p>
    <w:p w:rsidR="0055491A" w:rsidRPr="004A3891" w:rsidRDefault="0055491A" w:rsidP="0055491A">
      <w:pPr>
        <w:pStyle w:val="a7"/>
        <w:spacing w:after="0"/>
        <w:ind w:left="0" w:firstLine="709"/>
        <w:jc w:val="both"/>
        <w:rPr>
          <w:color w:val="000000" w:themeColor="text1"/>
          <w:sz w:val="28"/>
          <w:szCs w:val="28"/>
        </w:rPr>
      </w:pPr>
      <w:r w:rsidRPr="004A3891">
        <w:rPr>
          <w:color w:val="000000" w:themeColor="text1"/>
          <w:sz w:val="28"/>
          <w:szCs w:val="28"/>
        </w:rPr>
        <w:t>Прогноз поступлений по данному доходному источнику на 202</w:t>
      </w:r>
      <w:r>
        <w:rPr>
          <w:color w:val="000000" w:themeColor="text1"/>
          <w:sz w:val="28"/>
          <w:szCs w:val="28"/>
        </w:rPr>
        <w:t>2</w:t>
      </w:r>
      <w:r w:rsidRPr="004A3891">
        <w:rPr>
          <w:color w:val="000000" w:themeColor="text1"/>
          <w:sz w:val="28"/>
          <w:szCs w:val="28"/>
        </w:rPr>
        <w:t xml:space="preserve"> год рассчитывается с применением метода усреднения за три года, предшествующих текущему финансовому году.</w:t>
      </w:r>
    </w:p>
    <w:p w:rsidR="0055491A" w:rsidRPr="004A3891" w:rsidRDefault="0055491A" w:rsidP="0055491A">
      <w:pPr>
        <w:pStyle w:val="a7"/>
        <w:spacing w:after="0"/>
        <w:ind w:left="0" w:firstLine="709"/>
        <w:jc w:val="both"/>
        <w:rPr>
          <w:color w:val="000000" w:themeColor="text1"/>
          <w:sz w:val="28"/>
          <w:szCs w:val="28"/>
        </w:rPr>
      </w:pPr>
      <w:r w:rsidRPr="004A3891">
        <w:rPr>
          <w:color w:val="000000" w:themeColor="text1"/>
          <w:sz w:val="28"/>
          <w:szCs w:val="28"/>
        </w:rPr>
        <w:t>В 201</w:t>
      </w:r>
      <w:r>
        <w:rPr>
          <w:color w:val="000000" w:themeColor="text1"/>
          <w:sz w:val="28"/>
          <w:szCs w:val="28"/>
        </w:rPr>
        <w:t>8</w:t>
      </w:r>
      <w:r w:rsidRPr="004A3891">
        <w:rPr>
          <w:color w:val="000000" w:themeColor="text1"/>
          <w:sz w:val="28"/>
          <w:szCs w:val="28"/>
        </w:rPr>
        <w:t xml:space="preserve"> году фактические поступления от платежей в целях возмещения убытков, причиненных уклонением от заключения с государственным </w:t>
      </w:r>
      <w:r w:rsidRPr="004A3891">
        <w:rPr>
          <w:color w:val="000000" w:themeColor="text1"/>
          <w:sz w:val="28"/>
          <w:szCs w:val="28"/>
        </w:rPr>
        <w:lastRenderedPageBreak/>
        <w:t xml:space="preserve">органом субъекта Российской Федерации  государственного контракта, составили  </w:t>
      </w:r>
      <w:r>
        <w:rPr>
          <w:color w:val="000000" w:themeColor="text1"/>
          <w:sz w:val="28"/>
          <w:szCs w:val="28"/>
        </w:rPr>
        <w:t>5,4</w:t>
      </w:r>
      <w:r w:rsidRPr="004A3891">
        <w:rPr>
          <w:color w:val="000000" w:themeColor="text1"/>
          <w:sz w:val="28"/>
          <w:szCs w:val="28"/>
        </w:rPr>
        <w:t xml:space="preserve"> тыс. руб., в 201</w:t>
      </w:r>
      <w:r>
        <w:rPr>
          <w:color w:val="000000" w:themeColor="text1"/>
          <w:sz w:val="28"/>
          <w:szCs w:val="28"/>
        </w:rPr>
        <w:t>9</w:t>
      </w:r>
      <w:r w:rsidRPr="004A3891">
        <w:rPr>
          <w:color w:val="000000" w:themeColor="text1"/>
          <w:sz w:val="28"/>
          <w:szCs w:val="28"/>
        </w:rPr>
        <w:t xml:space="preserve"> году – </w:t>
      </w:r>
      <w:r>
        <w:rPr>
          <w:color w:val="000000" w:themeColor="text1"/>
          <w:sz w:val="28"/>
          <w:szCs w:val="28"/>
        </w:rPr>
        <w:t>0</w:t>
      </w:r>
      <w:r w:rsidRPr="004A3891">
        <w:rPr>
          <w:color w:val="000000" w:themeColor="text1"/>
          <w:sz w:val="28"/>
          <w:szCs w:val="28"/>
        </w:rPr>
        <w:t xml:space="preserve"> руб., в 20</w:t>
      </w:r>
      <w:r>
        <w:rPr>
          <w:color w:val="000000" w:themeColor="text1"/>
          <w:sz w:val="28"/>
          <w:szCs w:val="28"/>
        </w:rPr>
        <w:t>20</w:t>
      </w:r>
      <w:r w:rsidRPr="004A3891">
        <w:rPr>
          <w:color w:val="000000" w:themeColor="text1"/>
          <w:sz w:val="28"/>
          <w:szCs w:val="28"/>
        </w:rPr>
        <w:t xml:space="preserve"> году – </w:t>
      </w:r>
      <w:r>
        <w:rPr>
          <w:color w:val="000000" w:themeColor="text1"/>
          <w:sz w:val="28"/>
          <w:szCs w:val="28"/>
        </w:rPr>
        <w:t>0</w:t>
      </w:r>
      <w:r w:rsidRPr="004A3891">
        <w:rPr>
          <w:color w:val="000000" w:themeColor="text1"/>
          <w:sz w:val="28"/>
          <w:szCs w:val="28"/>
        </w:rPr>
        <w:t xml:space="preserve"> руб. </w:t>
      </w:r>
    </w:p>
    <w:p w:rsidR="0055491A" w:rsidRPr="004D4B70" w:rsidRDefault="0055491A" w:rsidP="0055491A">
      <w:pPr>
        <w:pStyle w:val="a7"/>
        <w:spacing w:after="0"/>
        <w:ind w:left="0" w:firstLine="709"/>
        <w:jc w:val="both"/>
        <w:rPr>
          <w:b/>
          <w:color w:val="000000" w:themeColor="text1"/>
          <w:sz w:val="28"/>
          <w:szCs w:val="28"/>
        </w:rPr>
      </w:pPr>
      <w:r w:rsidRPr="004D4B70">
        <w:rPr>
          <w:b/>
          <w:color w:val="000000" w:themeColor="text1"/>
          <w:sz w:val="28"/>
          <w:szCs w:val="28"/>
        </w:rPr>
        <w:t>Прогноз доходов</w:t>
      </w:r>
      <w:r w:rsidRPr="004A3891">
        <w:rPr>
          <w:color w:val="000000" w:themeColor="text1"/>
          <w:sz w:val="28"/>
          <w:szCs w:val="28"/>
        </w:rPr>
        <w:t xml:space="preserve"> по указанному доходному источнику на </w:t>
      </w:r>
      <w:r w:rsidRPr="004D4B70">
        <w:rPr>
          <w:b/>
          <w:color w:val="000000" w:themeColor="text1"/>
          <w:sz w:val="28"/>
          <w:szCs w:val="28"/>
        </w:rPr>
        <w:t>2022 год</w:t>
      </w:r>
      <w:r w:rsidRPr="004A3891">
        <w:rPr>
          <w:color w:val="000000" w:themeColor="text1"/>
          <w:sz w:val="28"/>
          <w:szCs w:val="28"/>
        </w:rPr>
        <w:t xml:space="preserve"> составит (5,4 тыс. руб. + </w:t>
      </w:r>
      <w:r>
        <w:rPr>
          <w:color w:val="000000" w:themeColor="text1"/>
          <w:sz w:val="28"/>
          <w:szCs w:val="28"/>
        </w:rPr>
        <w:t>0</w:t>
      </w:r>
      <w:r w:rsidRPr="004A3891">
        <w:rPr>
          <w:color w:val="000000" w:themeColor="text1"/>
          <w:sz w:val="28"/>
          <w:szCs w:val="28"/>
        </w:rPr>
        <w:t xml:space="preserve"> руб.</w:t>
      </w:r>
      <w:r>
        <w:rPr>
          <w:color w:val="000000" w:themeColor="text1"/>
          <w:sz w:val="28"/>
          <w:szCs w:val="28"/>
        </w:rPr>
        <w:t>+  0 руб.</w:t>
      </w:r>
      <w:r w:rsidRPr="004A3891">
        <w:rPr>
          <w:color w:val="000000" w:themeColor="text1"/>
          <w:sz w:val="28"/>
          <w:szCs w:val="28"/>
        </w:rPr>
        <w:t xml:space="preserve">) / 3 = </w:t>
      </w:r>
      <w:r w:rsidRPr="004D4B70">
        <w:rPr>
          <w:b/>
          <w:color w:val="000000" w:themeColor="text1"/>
          <w:sz w:val="28"/>
          <w:szCs w:val="28"/>
        </w:rPr>
        <w:t>1,8 тыс. руб.</w:t>
      </w:r>
    </w:p>
    <w:p w:rsidR="0055491A" w:rsidRPr="004D4B70" w:rsidRDefault="0055491A" w:rsidP="0055491A">
      <w:pPr>
        <w:pStyle w:val="a7"/>
        <w:spacing w:after="0"/>
        <w:ind w:left="0" w:firstLine="709"/>
        <w:jc w:val="both"/>
        <w:rPr>
          <w:b/>
          <w:color w:val="000000" w:themeColor="text1"/>
          <w:sz w:val="28"/>
          <w:szCs w:val="28"/>
        </w:rPr>
      </w:pPr>
      <w:r w:rsidRPr="004D4B70">
        <w:rPr>
          <w:b/>
          <w:color w:val="000000" w:themeColor="text1"/>
          <w:sz w:val="28"/>
          <w:szCs w:val="28"/>
        </w:rPr>
        <w:t>Прогноз поступлений на 2023-2024 годы</w:t>
      </w:r>
      <w:r w:rsidRPr="004A3891">
        <w:rPr>
          <w:color w:val="000000" w:themeColor="text1"/>
          <w:sz w:val="28"/>
          <w:szCs w:val="28"/>
        </w:rPr>
        <w:t xml:space="preserve"> устанавливается на уровне рассчитанного прогноза поступлений на 202</w:t>
      </w:r>
      <w:r>
        <w:rPr>
          <w:color w:val="000000" w:themeColor="text1"/>
          <w:sz w:val="28"/>
          <w:szCs w:val="28"/>
        </w:rPr>
        <w:t xml:space="preserve">2 год в сумме </w:t>
      </w:r>
      <w:r w:rsidRPr="004D4B70">
        <w:rPr>
          <w:b/>
          <w:color w:val="000000" w:themeColor="text1"/>
          <w:sz w:val="28"/>
          <w:szCs w:val="28"/>
        </w:rPr>
        <w:t>1,8 тыс. руб. ежегодно.</w:t>
      </w:r>
    </w:p>
    <w:p w:rsidR="0055491A" w:rsidRDefault="0055491A" w:rsidP="0055491A">
      <w:pPr>
        <w:pStyle w:val="a7"/>
        <w:spacing w:after="0"/>
        <w:ind w:left="0" w:firstLine="709"/>
        <w:jc w:val="both"/>
        <w:rPr>
          <w:color w:val="000000" w:themeColor="text1"/>
          <w:sz w:val="28"/>
          <w:szCs w:val="28"/>
        </w:rPr>
      </w:pPr>
    </w:p>
    <w:p w:rsidR="0055491A" w:rsidRDefault="0055491A" w:rsidP="0055491A">
      <w:pPr>
        <w:autoSpaceDE w:val="0"/>
        <w:autoSpaceDN w:val="0"/>
        <w:adjustRightInd w:val="0"/>
        <w:ind w:firstLine="709"/>
        <w:jc w:val="both"/>
        <w:rPr>
          <w:sz w:val="28"/>
          <w:szCs w:val="28"/>
        </w:rPr>
      </w:pPr>
      <w:r>
        <w:rPr>
          <w:color w:val="000000" w:themeColor="text1"/>
          <w:sz w:val="28"/>
          <w:szCs w:val="28"/>
        </w:rPr>
        <w:t xml:space="preserve">23.2 </w:t>
      </w:r>
      <w:r w:rsidRPr="000E495B">
        <w:rPr>
          <w:b/>
          <w:color w:val="000000" w:themeColor="text1"/>
          <w:sz w:val="28"/>
          <w:szCs w:val="28"/>
        </w:rPr>
        <w:t>КБК 104 1 16 10056 02 0000 140</w:t>
      </w:r>
      <w:r w:rsidRPr="004A3891">
        <w:rPr>
          <w:color w:val="000000" w:themeColor="text1"/>
          <w:sz w:val="28"/>
          <w:szCs w:val="28"/>
        </w:rPr>
        <w:t xml:space="preserve"> </w:t>
      </w:r>
      <w:r w:rsidRPr="004A3891">
        <w:rPr>
          <w:sz w:val="28"/>
          <w:szCs w:val="28"/>
        </w:rPr>
        <w:t>Платежи в целях возмещения убытков, причиненных уклонением от заключения с государственным органом субъекта Российской Федерации (казенным учреждением субъекта Российской Федерации) государственного контракта, а также иные денежные средства, подлежащие зачислению в бюджет субъекта Российской Федерации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государственного контракта, финансируемого за счет средств дорожного фонда субъекта Российской Федерации.</w:t>
      </w:r>
      <w:r>
        <w:rPr>
          <w:sz w:val="28"/>
          <w:szCs w:val="28"/>
        </w:rPr>
        <w:t xml:space="preserve"> </w:t>
      </w:r>
    </w:p>
    <w:p w:rsidR="0055491A" w:rsidRPr="000E495B" w:rsidRDefault="0055491A" w:rsidP="0055491A">
      <w:pPr>
        <w:pStyle w:val="a7"/>
        <w:spacing w:after="0"/>
        <w:ind w:left="0" w:firstLine="709"/>
        <w:jc w:val="both"/>
        <w:rPr>
          <w:b/>
          <w:sz w:val="28"/>
          <w:szCs w:val="28"/>
        </w:rPr>
      </w:pPr>
      <w:r w:rsidRPr="000E495B">
        <w:rPr>
          <w:b/>
          <w:color w:val="000000" w:themeColor="text1"/>
          <w:sz w:val="28"/>
          <w:szCs w:val="28"/>
        </w:rPr>
        <w:t xml:space="preserve"> </w:t>
      </w:r>
      <w:r w:rsidRPr="000E495B">
        <w:rPr>
          <w:b/>
          <w:sz w:val="28"/>
          <w:szCs w:val="28"/>
        </w:rPr>
        <w:t>Главный администратор доходов – Министерство транспорта Тверской области.</w:t>
      </w:r>
    </w:p>
    <w:p w:rsidR="0055491A" w:rsidRPr="005C5CE9" w:rsidRDefault="0055491A" w:rsidP="0055491A">
      <w:pPr>
        <w:pStyle w:val="a7"/>
        <w:spacing w:after="0"/>
        <w:ind w:left="0" w:firstLine="709"/>
        <w:jc w:val="both"/>
        <w:rPr>
          <w:sz w:val="28"/>
          <w:szCs w:val="28"/>
        </w:rPr>
      </w:pPr>
      <w:r w:rsidRPr="005C5CE9">
        <w:rPr>
          <w:sz w:val="28"/>
          <w:szCs w:val="28"/>
        </w:rPr>
        <w:t xml:space="preserve">Прогноз на очередной финансовый год рассчитывается методом усреднения, по формуле: </w:t>
      </w:r>
    </w:p>
    <w:p w:rsidR="0055491A" w:rsidRPr="005C5CE9" w:rsidRDefault="0055491A" w:rsidP="0055491A">
      <w:pPr>
        <w:pStyle w:val="a7"/>
        <w:spacing w:after="0"/>
        <w:ind w:left="0" w:firstLine="709"/>
        <w:jc w:val="both"/>
        <w:rPr>
          <w:sz w:val="28"/>
          <w:szCs w:val="28"/>
        </w:rPr>
      </w:pPr>
      <w:r w:rsidRPr="005C5CE9">
        <w:rPr>
          <w:sz w:val="28"/>
          <w:szCs w:val="28"/>
        </w:rPr>
        <w:t>Д=(Дож+Д</w:t>
      </w:r>
      <w:r w:rsidRPr="005C5CE9">
        <w:rPr>
          <w:sz w:val="18"/>
          <w:szCs w:val="18"/>
        </w:rPr>
        <w:t>-1</w:t>
      </w:r>
      <w:r w:rsidRPr="005C5CE9">
        <w:rPr>
          <w:sz w:val="28"/>
          <w:szCs w:val="28"/>
        </w:rPr>
        <w:t>+Д-2)/3, где</w:t>
      </w:r>
    </w:p>
    <w:p w:rsidR="0055491A" w:rsidRPr="005C5CE9" w:rsidRDefault="0055491A" w:rsidP="0055491A">
      <w:pPr>
        <w:pStyle w:val="a7"/>
        <w:spacing w:after="0"/>
        <w:ind w:left="0" w:firstLine="709"/>
        <w:jc w:val="both"/>
        <w:rPr>
          <w:sz w:val="28"/>
          <w:szCs w:val="28"/>
        </w:rPr>
      </w:pPr>
      <w:r w:rsidRPr="005C5CE9">
        <w:rPr>
          <w:sz w:val="28"/>
          <w:szCs w:val="28"/>
        </w:rPr>
        <w:t>Д- прогноз доходов на очередной финансовый год;</w:t>
      </w:r>
    </w:p>
    <w:p w:rsidR="0055491A" w:rsidRPr="005C5CE9" w:rsidRDefault="0055491A" w:rsidP="0055491A">
      <w:pPr>
        <w:pStyle w:val="a7"/>
        <w:spacing w:after="0"/>
        <w:ind w:left="0" w:firstLine="709"/>
        <w:jc w:val="both"/>
        <w:rPr>
          <w:sz w:val="28"/>
          <w:szCs w:val="28"/>
        </w:rPr>
      </w:pPr>
      <w:r w:rsidRPr="005C5CE9">
        <w:rPr>
          <w:sz w:val="28"/>
          <w:szCs w:val="28"/>
        </w:rPr>
        <w:t>Дож – ожидаемая оценка текущего года;</w:t>
      </w:r>
    </w:p>
    <w:p w:rsidR="0055491A" w:rsidRPr="005C5CE9" w:rsidRDefault="0055491A" w:rsidP="0055491A">
      <w:pPr>
        <w:pStyle w:val="a7"/>
        <w:spacing w:after="0"/>
        <w:ind w:left="0" w:firstLine="709"/>
        <w:jc w:val="both"/>
        <w:rPr>
          <w:sz w:val="28"/>
          <w:szCs w:val="28"/>
        </w:rPr>
      </w:pPr>
      <w:r w:rsidRPr="005C5CE9">
        <w:rPr>
          <w:sz w:val="28"/>
          <w:szCs w:val="28"/>
        </w:rPr>
        <w:t>Д-1 – фактические поступления за отчетный период;</w:t>
      </w:r>
    </w:p>
    <w:p w:rsidR="0055491A" w:rsidRPr="005C5CE9" w:rsidRDefault="0055491A" w:rsidP="0055491A">
      <w:pPr>
        <w:pStyle w:val="a7"/>
        <w:spacing w:after="0"/>
        <w:ind w:left="0" w:firstLine="709"/>
        <w:jc w:val="both"/>
        <w:rPr>
          <w:sz w:val="28"/>
          <w:szCs w:val="28"/>
        </w:rPr>
      </w:pPr>
      <w:r w:rsidRPr="005C5CE9">
        <w:rPr>
          <w:sz w:val="28"/>
          <w:szCs w:val="28"/>
        </w:rPr>
        <w:t>Д-2- фактические поступления за год, предшествующий отчетному.</w:t>
      </w:r>
    </w:p>
    <w:p w:rsidR="0055491A" w:rsidRDefault="0055491A" w:rsidP="0055491A">
      <w:pPr>
        <w:autoSpaceDE w:val="0"/>
        <w:autoSpaceDN w:val="0"/>
        <w:adjustRightInd w:val="0"/>
        <w:ind w:firstLine="720"/>
        <w:jc w:val="both"/>
        <w:rPr>
          <w:color w:val="000000" w:themeColor="text1"/>
          <w:sz w:val="28"/>
          <w:szCs w:val="28"/>
        </w:rPr>
      </w:pPr>
      <w:r w:rsidRPr="00FE0004">
        <w:rPr>
          <w:color w:val="000000" w:themeColor="text1"/>
          <w:sz w:val="28"/>
          <w:szCs w:val="28"/>
        </w:rPr>
        <w:t>Ожидаемая оценка 2021 года рассчитывается методом усреднения с использованием данных о фактических поступлениях на дату составления прогноза (отчетную дату) и суммы дебиторской задолженности, образовавшейся на 1 января текущего года</w:t>
      </w:r>
      <w:r>
        <w:rPr>
          <w:color w:val="000000" w:themeColor="text1"/>
          <w:sz w:val="28"/>
          <w:szCs w:val="28"/>
        </w:rPr>
        <w:t xml:space="preserve"> и составляет 0,0 руб. в связи с отсутствием фактических поступлений на 01.06.2021.</w:t>
      </w:r>
    </w:p>
    <w:p w:rsidR="0055491A" w:rsidRPr="005C5CE9" w:rsidRDefault="0055491A" w:rsidP="0055491A">
      <w:pPr>
        <w:autoSpaceDE w:val="0"/>
        <w:autoSpaceDN w:val="0"/>
        <w:adjustRightInd w:val="0"/>
        <w:ind w:firstLine="720"/>
        <w:jc w:val="both"/>
        <w:rPr>
          <w:sz w:val="28"/>
          <w:szCs w:val="28"/>
        </w:rPr>
      </w:pPr>
      <w:r w:rsidRPr="000E495B">
        <w:rPr>
          <w:b/>
          <w:color w:val="000000" w:themeColor="text1"/>
          <w:sz w:val="28"/>
          <w:szCs w:val="28"/>
        </w:rPr>
        <w:t xml:space="preserve"> </w:t>
      </w:r>
      <w:r w:rsidRPr="000E495B">
        <w:rPr>
          <w:b/>
          <w:color w:val="000000"/>
          <w:sz w:val="28"/>
          <w:szCs w:val="28"/>
        </w:rPr>
        <w:t>Прогноз 2022 год</w:t>
      </w:r>
      <w:r w:rsidRPr="005C5CE9">
        <w:rPr>
          <w:color w:val="000000"/>
          <w:sz w:val="28"/>
          <w:szCs w:val="28"/>
        </w:rPr>
        <w:t xml:space="preserve"> =(факт 201</w:t>
      </w:r>
      <w:r>
        <w:rPr>
          <w:color w:val="000000"/>
          <w:sz w:val="28"/>
          <w:szCs w:val="28"/>
        </w:rPr>
        <w:t>9</w:t>
      </w:r>
      <w:r w:rsidRPr="005C5CE9">
        <w:rPr>
          <w:color w:val="000000"/>
          <w:sz w:val="28"/>
          <w:szCs w:val="28"/>
        </w:rPr>
        <w:t>+факт 20</w:t>
      </w:r>
      <w:r>
        <w:rPr>
          <w:color w:val="000000"/>
          <w:sz w:val="28"/>
          <w:szCs w:val="28"/>
        </w:rPr>
        <w:t>20</w:t>
      </w:r>
      <w:r w:rsidRPr="005C5CE9">
        <w:rPr>
          <w:color w:val="000000"/>
          <w:sz w:val="28"/>
          <w:szCs w:val="28"/>
        </w:rPr>
        <w:t>+ожидаемое 20</w:t>
      </w:r>
      <w:r>
        <w:rPr>
          <w:color w:val="000000"/>
          <w:sz w:val="28"/>
          <w:szCs w:val="28"/>
        </w:rPr>
        <w:t>21</w:t>
      </w:r>
      <w:r w:rsidRPr="005C5CE9">
        <w:rPr>
          <w:color w:val="000000"/>
          <w:sz w:val="28"/>
          <w:szCs w:val="28"/>
        </w:rPr>
        <w:t>)/3</w:t>
      </w:r>
      <w:r>
        <w:rPr>
          <w:color w:val="000000"/>
          <w:sz w:val="28"/>
          <w:szCs w:val="28"/>
        </w:rPr>
        <w:t>=</w:t>
      </w:r>
    </w:p>
    <w:p w:rsidR="0055491A" w:rsidRPr="00490B25" w:rsidRDefault="0055491A" w:rsidP="0055491A">
      <w:pPr>
        <w:ind w:firstLine="709"/>
        <w:jc w:val="both"/>
        <w:rPr>
          <w:sz w:val="28"/>
          <w:szCs w:val="28"/>
        </w:rPr>
      </w:pPr>
      <w:r w:rsidRPr="005C5CE9">
        <w:rPr>
          <w:sz w:val="28"/>
          <w:szCs w:val="28"/>
        </w:rPr>
        <w:t xml:space="preserve"> (</w:t>
      </w:r>
      <w:r>
        <w:rPr>
          <w:sz w:val="28"/>
          <w:szCs w:val="28"/>
        </w:rPr>
        <w:t xml:space="preserve">0+ 4 878,8 + 0)/3 = </w:t>
      </w:r>
      <w:r w:rsidRPr="000E495B">
        <w:rPr>
          <w:b/>
          <w:sz w:val="28"/>
          <w:szCs w:val="28"/>
        </w:rPr>
        <w:t>1 626,2 тыс. руб</w:t>
      </w:r>
      <w:r>
        <w:rPr>
          <w:sz w:val="28"/>
          <w:szCs w:val="28"/>
        </w:rPr>
        <w:t xml:space="preserve">.    </w:t>
      </w:r>
    </w:p>
    <w:p w:rsidR="0055491A" w:rsidRPr="00490B25" w:rsidRDefault="0055491A" w:rsidP="0055491A">
      <w:pPr>
        <w:ind w:right="282" w:firstLine="708"/>
        <w:jc w:val="both"/>
        <w:rPr>
          <w:sz w:val="28"/>
          <w:szCs w:val="28"/>
        </w:rPr>
      </w:pPr>
      <w:r w:rsidRPr="000E495B">
        <w:rPr>
          <w:b/>
          <w:sz w:val="28"/>
          <w:szCs w:val="28"/>
        </w:rPr>
        <w:t>Прогноз доходов на 2023-2024 годы</w:t>
      </w:r>
      <w:r w:rsidRPr="00490B25">
        <w:rPr>
          <w:sz w:val="28"/>
          <w:szCs w:val="28"/>
        </w:rPr>
        <w:t xml:space="preserve"> </w:t>
      </w:r>
      <w:r>
        <w:rPr>
          <w:sz w:val="28"/>
          <w:szCs w:val="28"/>
        </w:rPr>
        <w:t xml:space="preserve">принимается </w:t>
      </w:r>
      <w:r w:rsidRPr="00490B25">
        <w:rPr>
          <w:sz w:val="28"/>
          <w:szCs w:val="28"/>
        </w:rPr>
        <w:t>на уровне прогноза на очередной финансовый год</w:t>
      </w:r>
      <w:r>
        <w:rPr>
          <w:sz w:val="28"/>
          <w:szCs w:val="28"/>
        </w:rPr>
        <w:t xml:space="preserve"> (2022 год)</w:t>
      </w:r>
      <w:r w:rsidRPr="00490B25">
        <w:t xml:space="preserve"> </w:t>
      </w:r>
      <w:r w:rsidRPr="00490B25">
        <w:rPr>
          <w:sz w:val="28"/>
          <w:szCs w:val="28"/>
        </w:rPr>
        <w:t xml:space="preserve">и составит </w:t>
      </w:r>
      <w:r w:rsidRPr="000E495B">
        <w:rPr>
          <w:b/>
          <w:sz w:val="28"/>
          <w:szCs w:val="28"/>
        </w:rPr>
        <w:t>1 626,2 тыс. руб.</w:t>
      </w:r>
      <w:r w:rsidRPr="00490B25">
        <w:rPr>
          <w:sz w:val="28"/>
          <w:szCs w:val="28"/>
        </w:rPr>
        <w:t xml:space="preserve"> ежегодно. </w:t>
      </w:r>
    </w:p>
    <w:p w:rsidR="0055491A" w:rsidRPr="004A3891" w:rsidRDefault="0055491A" w:rsidP="0055491A">
      <w:pPr>
        <w:pStyle w:val="a7"/>
        <w:spacing w:after="0"/>
        <w:ind w:left="0" w:firstLine="709"/>
        <w:jc w:val="both"/>
        <w:rPr>
          <w:color w:val="000000" w:themeColor="text1"/>
          <w:sz w:val="28"/>
          <w:szCs w:val="28"/>
        </w:rPr>
      </w:pPr>
    </w:p>
    <w:p w:rsidR="0055491A" w:rsidRDefault="0055491A" w:rsidP="0055491A">
      <w:pPr>
        <w:pStyle w:val="a7"/>
        <w:spacing w:after="0"/>
        <w:ind w:left="0" w:firstLine="709"/>
        <w:jc w:val="both"/>
        <w:rPr>
          <w:color w:val="000000" w:themeColor="text1"/>
          <w:sz w:val="28"/>
          <w:szCs w:val="28"/>
        </w:rPr>
      </w:pPr>
      <w:r>
        <w:rPr>
          <w:color w:val="000000" w:themeColor="text1"/>
          <w:sz w:val="28"/>
          <w:szCs w:val="28"/>
        </w:rPr>
        <w:t xml:space="preserve">24. </w:t>
      </w:r>
      <w:r w:rsidRPr="00BE1303">
        <w:rPr>
          <w:color w:val="000000" w:themeColor="text1"/>
          <w:sz w:val="28"/>
          <w:szCs w:val="28"/>
        </w:rPr>
        <w:t>Платежи, уплачиваемые в целях возмещения вреда, причиняемого автомобильным дорогам регионального или межмуниципального значения транспортными средствами, осуществляющими перевозки тяжеловесных и (или) крупногабаритных грузов</w:t>
      </w:r>
      <w:r>
        <w:rPr>
          <w:color w:val="000000" w:themeColor="text1"/>
          <w:sz w:val="28"/>
          <w:szCs w:val="28"/>
        </w:rPr>
        <w:t xml:space="preserve"> (</w:t>
      </w:r>
      <w:r w:rsidRPr="005C2368">
        <w:rPr>
          <w:b/>
          <w:color w:val="000000" w:themeColor="text1"/>
          <w:sz w:val="28"/>
          <w:szCs w:val="28"/>
        </w:rPr>
        <w:t>КБК 000 1 16 11063 01 0000 140</w:t>
      </w:r>
      <w:r>
        <w:rPr>
          <w:color w:val="000000" w:themeColor="text1"/>
          <w:sz w:val="28"/>
          <w:szCs w:val="28"/>
        </w:rPr>
        <w:t>).</w:t>
      </w:r>
    </w:p>
    <w:p w:rsidR="0055491A" w:rsidRPr="005C2368" w:rsidRDefault="0055491A" w:rsidP="0055491A">
      <w:pPr>
        <w:pStyle w:val="a7"/>
        <w:spacing w:after="0"/>
        <w:ind w:left="0" w:firstLine="709"/>
        <w:jc w:val="both"/>
        <w:rPr>
          <w:b/>
          <w:color w:val="000000" w:themeColor="text1"/>
          <w:sz w:val="28"/>
          <w:szCs w:val="28"/>
        </w:rPr>
      </w:pPr>
      <w:r w:rsidRPr="005C2368">
        <w:rPr>
          <w:b/>
          <w:color w:val="000000" w:themeColor="text1"/>
          <w:sz w:val="28"/>
          <w:szCs w:val="28"/>
        </w:rPr>
        <w:t>Прогноз доходов на 2022 год – 7 065,0 тыс. руб., на 2023 год – 7 453,6 тыс. руб., на 2024 год – 7 871,0 тыс. руб.</w:t>
      </w:r>
    </w:p>
    <w:p w:rsidR="0055491A" w:rsidRDefault="0055491A" w:rsidP="0055491A">
      <w:pPr>
        <w:pStyle w:val="a7"/>
        <w:spacing w:after="0"/>
        <w:ind w:left="0" w:firstLine="709"/>
        <w:jc w:val="both"/>
        <w:rPr>
          <w:color w:val="000000" w:themeColor="text1"/>
          <w:sz w:val="28"/>
          <w:szCs w:val="28"/>
        </w:rPr>
      </w:pPr>
    </w:p>
    <w:p w:rsidR="0055491A" w:rsidRDefault="0055491A" w:rsidP="0055491A">
      <w:pPr>
        <w:pStyle w:val="a7"/>
        <w:spacing w:after="0"/>
        <w:ind w:left="0" w:firstLine="709"/>
        <w:jc w:val="both"/>
        <w:rPr>
          <w:color w:val="000000" w:themeColor="text1"/>
          <w:sz w:val="28"/>
          <w:szCs w:val="28"/>
        </w:rPr>
      </w:pPr>
      <w:r>
        <w:rPr>
          <w:color w:val="000000" w:themeColor="text1"/>
          <w:sz w:val="28"/>
          <w:szCs w:val="28"/>
        </w:rPr>
        <w:lastRenderedPageBreak/>
        <w:t xml:space="preserve">24.1 </w:t>
      </w:r>
      <w:r w:rsidRPr="005C2368">
        <w:rPr>
          <w:b/>
          <w:color w:val="000000" w:themeColor="text1"/>
          <w:sz w:val="28"/>
          <w:szCs w:val="28"/>
        </w:rPr>
        <w:t>КБК 104 1 16 11063 01 0000 140</w:t>
      </w:r>
      <w:r>
        <w:rPr>
          <w:color w:val="000000" w:themeColor="text1"/>
          <w:sz w:val="28"/>
          <w:szCs w:val="28"/>
        </w:rPr>
        <w:t xml:space="preserve"> </w:t>
      </w:r>
      <w:r w:rsidRPr="00BE1303">
        <w:rPr>
          <w:color w:val="000000" w:themeColor="text1"/>
          <w:sz w:val="28"/>
          <w:szCs w:val="28"/>
        </w:rPr>
        <w:t>Платежи, уплачиваемые в целях возмещения вреда, причиняемого автомобильным дорогам регионального или межмуниципального значения транспортными средствами, осуществляющими перевозки тяжеловесных и (или) крупногабаритных грузов</w:t>
      </w:r>
      <w:r>
        <w:rPr>
          <w:color w:val="000000" w:themeColor="text1"/>
          <w:sz w:val="28"/>
          <w:szCs w:val="28"/>
        </w:rPr>
        <w:t>.</w:t>
      </w:r>
    </w:p>
    <w:p w:rsidR="0055491A" w:rsidRPr="00704CBD" w:rsidRDefault="0055491A" w:rsidP="0055491A">
      <w:pPr>
        <w:pStyle w:val="a7"/>
        <w:spacing w:after="0"/>
        <w:ind w:left="0" w:firstLine="709"/>
        <w:jc w:val="both"/>
        <w:rPr>
          <w:sz w:val="28"/>
          <w:szCs w:val="28"/>
        </w:rPr>
      </w:pPr>
      <w:r w:rsidRPr="00704CBD">
        <w:rPr>
          <w:sz w:val="28"/>
          <w:szCs w:val="28"/>
        </w:rPr>
        <w:t>Главный администратор доходов - Министерство транспорта Тверской области.</w:t>
      </w:r>
    </w:p>
    <w:p w:rsidR="0055491A" w:rsidRPr="00704CBD" w:rsidRDefault="0055491A" w:rsidP="0055491A">
      <w:pPr>
        <w:pStyle w:val="a7"/>
        <w:spacing w:after="0"/>
        <w:ind w:left="0" w:firstLine="709"/>
        <w:jc w:val="both"/>
        <w:rPr>
          <w:sz w:val="28"/>
          <w:szCs w:val="28"/>
        </w:rPr>
      </w:pPr>
      <w:r w:rsidRPr="00704CBD">
        <w:rPr>
          <w:sz w:val="28"/>
          <w:szCs w:val="28"/>
        </w:rPr>
        <w:t>Прогноз на 202</w:t>
      </w:r>
      <w:r>
        <w:rPr>
          <w:sz w:val="28"/>
          <w:szCs w:val="28"/>
        </w:rPr>
        <w:t>2-2024</w:t>
      </w:r>
      <w:r w:rsidRPr="00704CBD">
        <w:rPr>
          <w:sz w:val="28"/>
          <w:szCs w:val="28"/>
        </w:rPr>
        <w:t xml:space="preserve"> годы рассчитан исходя из ожидаемой оценки на 20</w:t>
      </w:r>
      <w:r>
        <w:rPr>
          <w:sz w:val="28"/>
          <w:szCs w:val="28"/>
        </w:rPr>
        <w:t>21 г</w:t>
      </w:r>
      <w:r w:rsidRPr="00704CBD">
        <w:rPr>
          <w:sz w:val="28"/>
          <w:szCs w:val="28"/>
        </w:rPr>
        <w:t xml:space="preserve">од с применением индекса-дефлятора инвестиций в основной капитал, </w:t>
      </w:r>
      <w:r w:rsidRPr="006638A0">
        <w:rPr>
          <w:sz w:val="28"/>
          <w:szCs w:val="28"/>
        </w:rPr>
        <w:t>, рекомендованн</w:t>
      </w:r>
      <w:r>
        <w:rPr>
          <w:sz w:val="28"/>
          <w:szCs w:val="28"/>
        </w:rPr>
        <w:t>ого</w:t>
      </w:r>
      <w:r w:rsidRPr="006638A0">
        <w:rPr>
          <w:sz w:val="28"/>
          <w:szCs w:val="28"/>
        </w:rPr>
        <w:t xml:space="preserve"> Министерством экономического развития Российской Федерации на плановый период</w:t>
      </w:r>
      <w:r w:rsidRPr="00704CBD">
        <w:rPr>
          <w:sz w:val="28"/>
          <w:szCs w:val="28"/>
        </w:rPr>
        <w:t xml:space="preserve"> (202</w:t>
      </w:r>
      <w:r>
        <w:rPr>
          <w:sz w:val="28"/>
          <w:szCs w:val="28"/>
        </w:rPr>
        <w:t>2</w:t>
      </w:r>
      <w:r w:rsidRPr="00704CBD">
        <w:rPr>
          <w:sz w:val="28"/>
          <w:szCs w:val="28"/>
        </w:rPr>
        <w:t xml:space="preserve"> – 10</w:t>
      </w:r>
      <w:r>
        <w:rPr>
          <w:sz w:val="28"/>
          <w:szCs w:val="28"/>
        </w:rPr>
        <w:t>5</w:t>
      </w:r>
      <w:r w:rsidRPr="00704CBD">
        <w:rPr>
          <w:sz w:val="28"/>
          <w:szCs w:val="28"/>
        </w:rPr>
        <w:t>,</w:t>
      </w:r>
      <w:r>
        <w:rPr>
          <w:sz w:val="28"/>
          <w:szCs w:val="28"/>
        </w:rPr>
        <w:t>3</w:t>
      </w:r>
      <w:r w:rsidRPr="00704CBD">
        <w:rPr>
          <w:sz w:val="28"/>
          <w:szCs w:val="28"/>
        </w:rPr>
        <w:t>%, 202</w:t>
      </w:r>
      <w:r>
        <w:rPr>
          <w:sz w:val="28"/>
          <w:szCs w:val="28"/>
        </w:rPr>
        <w:t>3</w:t>
      </w:r>
      <w:r w:rsidRPr="00704CBD">
        <w:rPr>
          <w:sz w:val="28"/>
          <w:szCs w:val="28"/>
        </w:rPr>
        <w:t xml:space="preserve"> - 10</w:t>
      </w:r>
      <w:r>
        <w:rPr>
          <w:sz w:val="28"/>
          <w:szCs w:val="28"/>
        </w:rPr>
        <w:t>5</w:t>
      </w:r>
      <w:r w:rsidRPr="00704CBD">
        <w:rPr>
          <w:sz w:val="28"/>
          <w:szCs w:val="28"/>
        </w:rPr>
        <w:t>,</w:t>
      </w:r>
      <w:r>
        <w:rPr>
          <w:sz w:val="28"/>
          <w:szCs w:val="28"/>
        </w:rPr>
        <w:t>5</w:t>
      </w:r>
      <w:r w:rsidRPr="00704CBD">
        <w:rPr>
          <w:sz w:val="28"/>
          <w:szCs w:val="28"/>
        </w:rPr>
        <w:t>%, 202</w:t>
      </w:r>
      <w:r>
        <w:rPr>
          <w:sz w:val="28"/>
          <w:szCs w:val="28"/>
        </w:rPr>
        <w:t>4</w:t>
      </w:r>
      <w:r w:rsidRPr="00704CBD">
        <w:rPr>
          <w:sz w:val="28"/>
          <w:szCs w:val="28"/>
        </w:rPr>
        <w:t xml:space="preserve"> – 10</w:t>
      </w:r>
      <w:r>
        <w:rPr>
          <w:sz w:val="28"/>
          <w:szCs w:val="28"/>
        </w:rPr>
        <w:t>5</w:t>
      </w:r>
      <w:r w:rsidRPr="00704CBD">
        <w:rPr>
          <w:sz w:val="28"/>
          <w:szCs w:val="28"/>
        </w:rPr>
        <w:t>,</w:t>
      </w:r>
      <w:r>
        <w:rPr>
          <w:sz w:val="28"/>
          <w:szCs w:val="28"/>
        </w:rPr>
        <w:t>6</w:t>
      </w:r>
      <w:r w:rsidRPr="00704CBD">
        <w:rPr>
          <w:sz w:val="28"/>
          <w:szCs w:val="28"/>
        </w:rPr>
        <w:t>%).</w:t>
      </w:r>
    </w:p>
    <w:p w:rsidR="0055491A" w:rsidRDefault="0055491A" w:rsidP="0055491A">
      <w:pPr>
        <w:autoSpaceDE w:val="0"/>
        <w:autoSpaceDN w:val="0"/>
        <w:adjustRightInd w:val="0"/>
        <w:ind w:firstLine="709"/>
        <w:jc w:val="both"/>
        <w:rPr>
          <w:sz w:val="28"/>
          <w:szCs w:val="28"/>
        </w:rPr>
      </w:pPr>
      <w:r w:rsidRPr="00704CBD">
        <w:rPr>
          <w:sz w:val="28"/>
          <w:szCs w:val="28"/>
        </w:rPr>
        <w:t>Ожидаемая оценка на 20</w:t>
      </w:r>
      <w:r>
        <w:rPr>
          <w:sz w:val="28"/>
          <w:szCs w:val="28"/>
        </w:rPr>
        <w:t>20</w:t>
      </w:r>
      <w:r w:rsidRPr="00704CBD">
        <w:rPr>
          <w:sz w:val="28"/>
          <w:szCs w:val="28"/>
        </w:rPr>
        <w:t xml:space="preserve"> год рассчитана по среднемесячному,  исходя из фактических поступлений на 01.06.20</w:t>
      </w:r>
      <w:r>
        <w:rPr>
          <w:sz w:val="28"/>
          <w:szCs w:val="28"/>
        </w:rPr>
        <w:t>20</w:t>
      </w:r>
      <w:r w:rsidRPr="00704CBD">
        <w:rPr>
          <w:sz w:val="28"/>
          <w:szCs w:val="28"/>
        </w:rPr>
        <w:t>. руб.</w:t>
      </w:r>
    </w:p>
    <w:p w:rsidR="0055491A" w:rsidRPr="006638A0" w:rsidRDefault="0055491A" w:rsidP="0055491A">
      <w:pPr>
        <w:ind w:firstLine="709"/>
        <w:jc w:val="both"/>
        <w:rPr>
          <w:sz w:val="28"/>
          <w:szCs w:val="28"/>
        </w:rPr>
      </w:pPr>
      <w:r w:rsidRPr="006638A0">
        <w:rPr>
          <w:sz w:val="28"/>
          <w:szCs w:val="28"/>
        </w:rPr>
        <w:t>Фактическое поступление денежных средств по состоянию на 01.06.202</w:t>
      </w:r>
      <w:r>
        <w:rPr>
          <w:sz w:val="28"/>
          <w:szCs w:val="28"/>
        </w:rPr>
        <w:t>1</w:t>
      </w:r>
      <w:r w:rsidRPr="006638A0">
        <w:rPr>
          <w:sz w:val="28"/>
          <w:szCs w:val="28"/>
        </w:rPr>
        <w:t xml:space="preserve"> составило 2</w:t>
      </w:r>
      <w:r>
        <w:rPr>
          <w:sz w:val="28"/>
          <w:szCs w:val="28"/>
        </w:rPr>
        <w:t> 795,6</w:t>
      </w:r>
      <w:r w:rsidRPr="006638A0">
        <w:rPr>
          <w:sz w:val="28"/>
          <w:szCs w:val="28"/>
        </w:rPr>
        <w:t xml:space="preserve"> тыс. руб.</w:t>
      </w:r>
    </w:p>
    <w:p w:rsidR="0055491A" w:rsidRPr="006638A0" w:rsidRDefault="0055491A" w:rsidP="0055491A">
      <w:pPr>
        <w:autoSpaceDE w:val="0"/>
        <w:autoSpaceDN w:val="0"/>
        <w:adjustRightInd w:val="0"/>
        <w:ind w:firstLine="709"/>
        <w:jc w:val="both"/>
        <w:rPr>
          <w:sz w:val="28"/>
          <w:szCs w:val="28"/>
        </w:rPr>
      </w:pPr>
      <w:r w:rsidRPr="006638A0">
        <w:rPr>
          <w:sz w:val="28"/>
          <w:szCs w:val="28"/>
        </w:rPr>
        <w:t>Ожидаемое поступление в 202</w:t>
      </w:r>
      <w:r>
        <w:rPr>
          <w:sz w:val="28"/>
          <w:szCs w:val="28"/>
        </w:rPr>
        <w:t>1</w:t>
      </w:r>
      <w:r w:rsidRPr="006638A0">
        <w:rPr>
          <w:sz w:val="28"/>
          <w:szCs w:val="28"/>
        </w:rPr>
        <w:t xml:space="preserve"> году: 2</w:t>
      </w:r>
      <w:r>
        <w:rPr>
          <w:sz w:val="28"/>
          <w:szCs w:val="28"/>
        </w:rPr>
        <w:t> 795,6 т</w:t>
      </w:r>
      <w:r w:rsidRPr="006638A0">
        <w:rPr>
          <w:sz w:val="28"/>
          <w:szCs w:val="28"/>
        </w:rPr>
        <w:t xml:space="preserve">ыс. руб./5*12 = </w:t>
      </w:r>
      <w:r>
        <w:rPr>
          <w:sz w:val="28"/>
          <w:szCs w:val="28"/>
        </w:rPr>
        <w:t>6 709,4</w:t>
      </w:r>
      <w:r w:rsidRPr="006638A0">
        <w:rPr>
          <w:sz w:val="28"/>
          <w:szCs w:val="28"/>
        </w:rPr>
        <w:t xml:space="preserve"> тыс. руб.</w:t>
      </w:r>
    </w:p>
    <w:p w:rsidR="0055491A" w:rsidRPr="00704CBD" w:rsidRDefault="0055491A" w:rsidP="0055491A">
      <w:pPr>
        <w:autoSpaceDE w:val="0"/>
        <w:autoSpaceDN w:val="0"/>
        <w:adjustRightInd w:val="0"/>
        <w:ind w:firstLine="709"/>
        <w:jc w:val="both"/>
        <w:rPr>
          <w:sz w:val="28"/>
          <w:szCs w:val="28"/>
        </w:rPr>
      </w:pPr>
    </w:p>
    <w:p w:rsidR="0055491A" w:rsidRPr="006638A0" w:rsidRDefault="0055491A" w:rsidP="0055491A">
      <w:pPr>
        <w:ind w:firstLine="709"/>
        <w:jc w:val="both"/>
        <w:rPr>
          <w:sz w:val="28"/>
          <w:szCs w:val="28"/>
        </w:rPr>
      </w:pPr>
      <w:r w:rsidRPr="005C2368">
        <w:rPr>
          <w:b/>
          <w:sz w:val="28"/>
          <w:szCs w:val="28"/>
        </w:rPr>
        <w:t>Прогноз на 2022 год</w:t>
      </w:r>
      <w:r w:rsidRPr="006638A0">
        <w:rPr>
          <w:sz w:val="28"/>
          <w:szCs w:val="28"/>
        </w:rPr>
        <w:t xml:space="preserve"> составит: </w:t>
      </w:r>
    </w:p>
    <w:p w:rsidR="0055491A" w:rsidRPr="006638A0" w:rsidRDefault="0055491A" w:rsidP="0055491A">
      <w:pPr>
        <w:ind w:firstLine="709"/>
        <w:jc w:val="both"/>
        <w:rPr>
          <w:sz w:val="28"/>
          <w:szCs w:val="28"/>
        </w:rPr>
      </w:pPr>
      <w:r>
        <w:rPr>
          <w:sz w:val="28"/>
          <w:szCs w:val="28"/>
        </w:rPr>
        <w:t>6</w:t>
      </w:r>
      <w:r w:rsidRPr="006638A0">
        <w:rPr>
          <w:sz w:val="28"/>
          <w:szCs w:val="28"/>
        </w:rPr>
        <w:t> </w:t>
      </w:r>
      <w:r>
        <w:rPr>
          <w:sz w:val="28"/>
          <w:szCs w:val="28"/>
        </w:rPr>
        <w:t>709</w:t>
      </w:r>
      <w:r w:rsidRPr="006638A0">
        <w:rPr>
          <w:sz w:val="28"/>
          <w:szCs w:val="28"/>
        </w:rPr>
        <w:t>,</w:t>
      </w:r>
      <w:r>
        <w:rPr>
          <w:sz w:val="28"/>
          <w:szCs w:val="28"/>
        </w:rPr>
        <w:t>4</w:t>
      </w:r>
      <w:r w:rsidRPr="006638A0">
        <w:rPr>
          <w:sz w:val="28"/>
          <w:szCs w:val="28"/>
        </w:rPr>
        <w:t xml:space="preserve"> тыс. руб. * 1,0</w:t>
      </w:r>
      <w:r>
        <w:rPr>
          <w:sz w:val="28"/>
          <w:szCs w:val="28"/>
        </w:rPr>
        <w:t>53 =</w:t>
      </w:r>
      <w:r w:rsidRPr="006638A0">
        <w:rPr>
          <w:sz w:val="28"/>
          <w:szCs w:val="28"/>
        </w:rPr>
        <w:t xml:space="preserve"> </w:t>
      </w:r>
      <w:r w:rsidRPr="005C2368">
        <w:rPr>
          <w:b/>
          <w:sz w:val="28"/>
          <w:szCs w:val="28"/>
        </w:rPr>
        <w:t>7 065,0 тыс. руб.</w:t>
      </w:r>
      <w:r w:rsidRPr="006638A0">
        <w:rPr>
          <w:sz w:val="28"/>
          <w:szCs w:val="28"/>
        </w:rPr>
        <w:t xml:space="preserve"> </w:t>
      </w:r>
    </w:p>
    <w:p w:rsidR="0055491A" w:rsidRPr="006638A0" w:rsidRDefault="0055491A" w:rsidP="0055491A">
      <w:pPr>
        <w:ind w:firstLine="709"/>
        <w:jc w:val="both"/>
        <w:rPr>
          <w:sz w:val="28"/>
          <w:szCs w:val="28"/>
        </w:rPr>
      </w:pPr>
      <w:r w:rsidRPr="005C2368">
        <w:rPr>
          <w:b/>
          <w:sz w:val="28"/>
          <w:szCs w:val="28"/>
        </w:rPr>
        <w:t>Прогноз на 2023 год</w:t>
      </w:r>
      <w:r w:rsidRPr="006638A0">
        <w:rPr>
          <w:sz w:val="28"/>
          <w:szCs w:val="28"/>
        </w:rPr>
        <w:t xml:space="preserve"> составит: </w:t>
      </w:r>
    </w:p>
    <w:p w:rsidR="0055491A" w:rsidRPr="005C2368" w:rsidRDefault="0055491A" w:rsidP="0055491A">
      <w:pPr>
        <w:ind w:firstLine="709"/>
        <w:jc w:val="both"/>
        <w:rPr>
          <w:b/>
          <w:color w:val="FF0000"/>
          <w:sz w:val="28"/>
          <w:szCs w:val="28"/>
        </w:rPr>
      </w:pPr>
      <w:r>
        <w:rPr>
          <w:sz w:val="28"/>
          <w:szCs w:val="28"/>
        </w:rPr>
        <w:t>7</w:t>
      </w:r>
      <w:r w:rsidRPr="006638A0">
        <w:rPr>
          <w:sz w:val="28"/>
          <w:szCs w:val="28"/>
        </w:rPr>
        <w:t xml:space="preserve"> 06</w:t>
      </w:r>
      <w:r>
        <w:rPr>
          <w:sz w:val="28"/>
          <w:szCs w:val="28"/>
        </w:rPr>
        <w:t>5</w:t>
      </w:r>
      <w:r w:rsidRPr="006638A0">
        <w:rPr>
          <w:sz w:val="28"/>
          <w:szCs w:val="28"/>
        </w:rPr>
        <w:t>,</w:t>
      </w:r>
      <w:r>
        <w:rPr>
          <w:sz w:val="28"/>
          <w:szCs w:val="28"/>
        </w:rPr>
        <w:t>0</w:t>
      </w:r>
      <w:r w:rsidRPr="006638A0">
        <w:rPr>
          <w:sz w:val="28"/>
          <w:szCs w:val="28"/>
        </w:rPr>
        <w:t xml:space="preserve"> тыс. руб. * 1,0</w:t>
      </w:r>
      <w:r>
        <w:rPr>
          <w:sz w:val="28"/>
          <w:szCs w:val="28"/>
        </w:rPr>
        <w:t>55 =</w:t>
      </w:r>
      <w:r w:rsidRPr="006638A0">
        <w:rPr>
          <w:sz w:val="28"/>
          <w:szCs w:val="28"/>
        </w:rPr>
        <w:t xml:space="preserve"> </w:t>
      </w:r>
      <w:r w:rsidRPr="005C2368">
        <w:rPr>
          <w:b/>
          <w:sz w:val="28"/>
          <w:szCs w:val="28"/>
        </w:rPr>
        <w:t>7 453,6</w:t>
      </w:r>
      <w:r w:rsidRPr="006638A0">
        <w:rPr>
          <w:sz w:val="28"/>
          <w:szCs w:val="28"/>
        </w:rPr>
        <w:t xml:space="preserve"> </w:t>
      </w:r>
      <w:r w:rsidRPr="005C2368">
        <w:rPr>
          <w:b/>
          <w:sz w:val="28"/>
          <w:szCs w:val="28"/>
        </w:rPr>
        <w:t>тыс. руб.</w:t>
      </w:r>
      <w:r w:rsidRPr="005C2368">
        <w:rPr>
          <w:b/>
          <w:color w:val="FF0000"/>
          <w:sz w:val="28"/>
          <w:szCs w:val="28"/>
        </w:rPr>
        <w:t xml:space="preserve"> </w:t>
      </w:r>
    </w:p>
    <w:p w:rsidR="0055491A" w:rsidRPr="006638A0" w:rsidRDefault="0055491A" w:rsidP="0055491A">
      <w:pPr>
        <w:ind w:firstLine="709"/>
        <w:jc w:val="both"/>
        <w:rPr>
          <w:sz w:val="28"/>
          <w:szCs w:val="28"/>
        </w:rPr>
      </w:pPr>
      <w:r w:rsidRPr="005C2368">
        <w:rPr>
          <w:b/>
          <w:sz w:val="28"/>
          <w:szCs w:val="28"/>
        </w:rPr>
        <w:t>Прогноз на 2024 год</w:t>
      </w:r>
      <w:r w:rsidRPr="006638A0">
        <w:rPr>
          <w:sz w:val="28"/>
          <w:szCs w:val="28"/>
        </w:rPr>
        <w:t xml:space="preserve"> составит: </w:t>
      </w:r>
    </w:p>
    <w:p w:rsidR="0055491A" w:rsidRPr="006638A0" w:rsidRDefault="0055491A" w:rsidP="0055491A">
      <w:pPr>
        <w:ind w:firstLine="709"/>
        <w:jc w:val="both"/>
        <w:rPr>
          <w:color w:val="FF0000"/>
          <w:sz w:val="28"/>
          <w:szCs w:val="28"/>
        </w:rPr>
      </w:pPr>
      <w:r>
        <w:rPr>
          <w:sz w:val="28"/>
          <w:szCs w:val="28"/>
        </w:rPr>
        <w:t>7 453,6</w:t>
      </w:r>
      <w:r w:rsidRPr="006638A0">
        <w:rPr>
          <w:sz w:val="28"/>
          <w:szCs w:val="28"/>
        </w:rPr>
        <w:t xml:space="preserve"> тыс. руб. * 1,0</w:t>
      </w:r>
      <w:r>
        <w:rPr>
          <w:sz w:val="28"/>
          <w:szCs w:val="28"/>
        </w:rPr>
        <w:t>56</w:t>
      </w:r>
      <w:r w:rsidRPr="006638A0">
        <w:rPr>
          <w:sz w:val="28"/>
          <w:szCs w:val="28"/>
        </w:rPr>
        <w:t xml:space="preserve"> = </w:t>
      </w:r>
      <w:r w:rsidRPr="005C2368">
        <w:rPr>
          <w:b/>
          <w:sz w:val="28"/>
          <w:szCs w:val="28"/>
        </w:rPr>
        <w:t>7 871,0 тыс. руб.</w:t>
      </w:r>
      <w:r w:rsidRPr="006638A0">
        <w:rPr>
          <w:color w:val="FF0000"/>
          <w:sz w:val="28"/>
          <w:szCs w:val="28"/>
        </w:rPr>
        <w:t xml:space="preserve"> </w:t>
      </w:r>
    </w:p>
    <w:p w:rsidR="0055491A" w:rsidRPr="004A3891" w:rsidRDefault="0055491A" w:rsidP="0055491A">
      <w:pPr>
        <w:pStyle w:val="a7"/>
        <w:spacing w:after="0"/>
        <w:ind w:left="0" w:firstLine="709"/>
        <w:jc w:val="both"/>
        <w:rPr>
          <w:color w:val="000000" w:themeColor="text1"/>
          <w:sz w:val="28"/>
          <w:szCs w:val="28"/>
        </w:rPr>
      </w:pPr>
    </w:p>
    <w:p w:rsidR="0055491A" w:rsidRDefault="0055491A" w:rsidP="0055491A">
      <w:pPr>
        <w:pStyle w:val="a7"/>
        <w:spacing w:after="0"/>
        <w:ind w:left="0" w:firstLine="709"/>
        <w:jc w:val="both"/>
        <w:rPr>
          <w:color w:val="000000" w:themeColor="text1"/>
          <w:sz w:val="28"/>
          <w:szCs w:val="28"/>
        </w:rPr>
      </w:pPr>
      <w:r>
        <w:rPr>
          <w:color w:val="000000" w:themeColor="text1"/>
          <w:sz w:val="28"/>
          <w:szCs w:val="28"/>
        </w:rPr>
        <w:t xml:space="preserve">25. </w:t>
      </w:r>
      <w:r w:rsidRPr="004A3891">
        <w:rPr>
          <w:color w:val="000000" w:themeColor="text1"/>
          <w:sz w:val="28"/>
          <w:szCs w:val="2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w:t>
      </w:r>
      <w:r w:rsidRPr="005C2368">
        <w:rPr>
          <w:b/>
          <w:color w:val="000000" w:themeColor="text1"/>
          <w:sz w:val="28"/>
          <w:szCs w:val="28"/>
        </w:rPr>
        <w:t>КБК 000 1 16 10122 01 0000 140</w:t>
      </w:r>
      <w:r w:rsidRPr="004A3891">
        <w:rPr>
          <w:color w:val="000000" w:themeColor="text1"/>
          <w:sz w:val="28"/>
          <w:szCs w:val="28"/>
        </w:rPr>
        <w:t>)</w:t>
      </w:r>
      <w:r>
        <w:rPr>
          <w:color w:val="000000" w:themeColor="text1"/>
          <w:sz w:val="28"/>
          <w:szCs w:val="28"/>
        </w:rPr>
        <w:t>.</w:t>
      </w:r>
    </w:p>
    <w:p w:rsidR="0055491A" w:rsidRPr="005C2368" w:rsidRDefault="0055491A" w:rsidP="0055491A">
      <w:pPr>
        <w:pStyle w:val="a7"/>
        <w:spacing w:after="0"/>
        <w:ind w:left="0" w:firstLine="709"/>
        <w:jc w:val="both"/>
        <w:rPr>
          <w:b/>
          <w:color w:val="000000" w:themeColor="text1"/>
          <w:sz w:val="28"/>
          <w:szCs w:val="28"/>
        </w:rPr>
      </w:pPr>
      <w:r w:rsidRPr="005C2368">
        <w:rPr>
          <w:b/>
          <w:color w:val="000000" w:themeColor="text1"/>
          <w:sz w:val="28"/>
          <w:szCs w:val="28"/>
        </w:rPr>
        <w:t>Прогноз доходов на 2022 год – 12 742,5 тыс. руб., на 2023 год –                          302,4 тыс. руб., на 2024 год – 80,5 тыс. руб.</w:t>
      </w:r>
    </w:p>
    <w:p w:rsidR="0055491A" w:rsidRDefault="0055491A" w:rsidP="0055491A">
      <w:pPr>
        <w:pStyle w:val="a7"/>
        <w:spacing w:after="0"/>
        <w:ind w:left="0" w:firstLine="709"/>
        <w:jc w:val="both"/>
        <w:rPr>
          <w:color w:val="000000" w:themeColor="text1"/>
          <w:sz w:val="28"/>
          <w:szCs w:val="28"/>
        </w:rPr>
      </w:pPr>
    </w:p>
    <w:p w:rsidR="0055491A" w:rsidRDefault="0055491A" w:rsidP="0055491A">
      <w:pPr>
        <w:pStyle w:val="a7"/>
        <w:spacing w:after="0"/>
        <w:ind w:left="0" w:firstLine="709"/>
        <w:jc w:val="both"/>
        <w:rPr>
          <w:color w:val="000000" w:themeColor="text1"/>
          <w:sz w:val="28"/>
          <w:szCs w:val="28"/>
        </w:rPr>
      </w:pPr>
      <w:r>
        <w:rPr>
          <w:color w:val="000000" w:themeColor="text1"/>
          <w:sz w:val="28"/>
          <w:szCs w:val="28"/>
        </w:rPr>
        <w:t xml:space="preserve"> 25.1 </w:t>
      </w:r>
      <w:r w:rsidRPr="002F149B">
        <w:rPr>
          <w:b/>
          <w:color w:val="000000" w:themeColor="text1"/>
          <w:sz w:val="28"/>
          <w:szCs w:val="28"/>
        </w:rPr>
        <w:t>КБК 019 1 16 10122 01 0000 140</w:t>
      </w:r>
      <w:r>
        <w:rPr>
          <w:color w:val="000000" w:themeColor="text1"/>
          <w:sz w:val="28"/>
          <w:szCs w:val="28"/>
        </w:rPr>
        <w:t xml:space="preserve"> </w:t>
      </w:r>
      <w:r w:rsidRPr="004A3891">
        <w:rPr>
          <w:color w:val="000000" w:themeColor="text1"/>
          <w:sz w:val="28"/>
          <w:szCs w:val="2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w:t>
      </w:r>
      <w:r>
        <w:rPr>
          <w:color w:val="000000" w:themeColor="text1"/>
          <w:sz w:val="28"/>
          <w:szCs w:val="28"/>
        </w:rPr>
        <w:t>.</w:t>
      </w:r>
      <w:r w:rsidRPr="004A3891">
        <w:rPr>
          <w:color w:val="000000" w:themeColor="text1"/>
          <w:sz w:val="28"/>
          <w:szCs w:val="28"/>
        </w:rPr>
        <w:t xml:space="preserve"> </w:t>
      </w:r>
    </w:p>
    <w:p w:rsidR="0055491A" w:rsidRDefault="0055491A" w:rsidP="0055491A">
      <w:pPr>
        <w:pStyle w:val="a7"/>
        <w:spacing w:after="0"/>
        <w:ind w:left="0" w:firstLine="709"/>
        <w:jc w:val="both"/>
        <w:rPr>
          <w:color w:val="000000" w:themeColor="text1"/>
          <w:sz w:val="28"/>
          <w:szCs w:val="28"/>
        </w:rPr>
      </w:pPr>
      <w:r w:rsidRPr="002F149B">
        <w:rPr>
          <w:b/>
          <w:color w:val="000000" w:themeColor="text1"/>
          <w:sz w:val="28"/>
          <w:szCs w:val="28"/>
        </w:rPr>
        <w:t xml:space="preserve"> Главный администратор доходов - Министерство имущественных и земельных отношений Тверской области</w:t>
      </w:r>
      <w:r>
        <w:rPr>
          <w:color w:val="000000" w:themeColor="text1"/>
          <w:sz w:val="28"/>
          <w:szCs w:val="28"/>
        </w:rPr>
        <w:t>.</w:t>
      </w:r>
    </w:p>
    <w:p w:rsidR="0055491A" w:rsidRPr="00E54F1F" w:rsidRDefault="0055491A" w:rsidP="0055491A">
      <w:pPr>
        <w:pStyle w:val="a7"/>
        <w:spacing w:after="0"/>
        <w:ind w:left="0" w:firstLine="709"/>
        <w:jc w:val="both"/>
        <w:rPr>
          <w:color w:val="000000" w:themeColor="text1"/>
          <w:sz w:val="28"/>
          <w:szCs w:val="28"/>
        </w:rPr>
      </w:pPr>
      <w:r w:rsidRPr="00E54F1F">
        <w:rPr>
          <w:color w:val="000000" w:themeColor="text1"/>
          <w:sz w:val="28"/>
          <w:szCs w:val="28"/>
        </w:rPr>
        <w:t>Ожидаемая оценка поступлений на 202</w:t>
      </w:r>
      <w:r>
        <w:rPr>
          <w:color w:val="000000" w:themeColor="text1"/>
          <w:sz w:val="28"/>
          <w:szCs w:val="28"/>
        </w:rPr>
        <w:t>1</w:t>
      </w:r>
      <w:r w:rsidRPr="00E54F1F">
        <w:rPr>
          <w:color w:val="000000" w:themeColor="text1"/>
          <w:sz w:val="28"/>
          <w:szCs w:val="28"/>
        </w:rPr>
        <w:t xml:space="preserve"> год по данному доходному источнику рассчитывается с применением метода усреднения исходя из </w:t>
      </w:r>
      <w:r w:rsidRPr="00E54F1F">
        <w:rPr>
          <w:color w:val="000000" w:themeColor="text1"/>
          <w:sz w:val="28"/>
          <w:szCs w:val="28"/>
        </w:rPr>
        <w:lastRenderedPageBreak/>
        <w:t>данных о фактическом поступлении доходов за истекшие месяцы по следующей формуле:</w:t>
      </w:r>
    </w:p>
    <w:p w:rsidR="0055491A" w:rsidRPr="008E1194" w:rsidRDefault="0055491A" w:rsidP="0055491A">
      <w:pPr>
        <w:pStyle w:val="ConsPlusNormal"/>
        <w:jc w:val="both"/>
        <w:outlineLvl w:val="0"/>
        <w:rPr>
          <w:rFonts w:ascii="Times New Roman" w:hAnsi="Times New Roman" w:cs="Times New Roman"/>
          <w:color w:val="000000"/>
          <w:sz w:val="24"/>
          <w:szCs w:val="24"/>
          <w:highlight w:val="yellow"/>
        </w:rPr>
      </w:pPr>
    </w:p>
    <w:p w:rsidR="0055491A" w:rsidRPr="008E1194" w:rsidRDefault="0055491A" w:rsidP="0055491A">
      <w:pPr>
        <w:pStyle w:val="ConsPlusNormal"/>
        <w:jc w:val="center"/>
        <w:outlineLvl w:val="0"/>
        <w:rPr>
          <w:rFonts w:ascii="Times New Roman" w:hAnsi="Times New Roman" w:cs="Times New Roman"/>
          <w:color w:val="000000"/>
          <w:sz w:val="24"/>
          <w:szCs w:val="24"/>
        </w:rPr>
      </w:pPr>
      <w:r w:rsidRPr="008E1194">
        <w:rPr>
          <w:rFonts w:ascii="Times New Roman" w:hAnsi="Times New Roman" w:cs="Times New Roman"/>
          <w:b/>
          <w:color w:val="000000"/>
          <w:sz w:val="24"/>
          <w:szCs w:val="24"/>
        </w:rPr>
        <w:t xml:space="preserve">Дзшт = (Дзпер / </w:t>
      </w:r>
      <w:r w:rsidRPr="008E1194">
        <w:rPr>
          <w:rFonts w:ascii="Times New Roman" w:hAnsi="Times New Roman" w:cs="Times New Roman"/>
          <w:b/>
          <w:color w:val="000000"/>
          <w:sz w:val="24"/>
          <w:szCs w:val="24"/>
          <w:lang w:val="en-US"/>
        </w:rPr>
        <w:t>n</w:t>
      </w:r>
      <w:r w:rsidRPr="008E1194">
        <w:rPr>
          <w:rFonts w:ascii="Times New Roman" w:hAnsi="Times New Roman" w:cs="Times New Roman"/>
          <w:b/>
          <w:color w:val="000000"/>
          <w:sz w:val="24"/>
          <w:szCs w:val="24"/>
        </w:rPr>
        <w:t>) * 12 + Дзраз, где</w:t>
      </w:r>
    </w:p>
    <w:p w:rsidR="0055491A" w:rsidRPr="008E1194" w:rsidRDefault="0055491A" w:rsidP="0055491A">
      <w:pPr>
        <w:pStyle w:val="ConsPlusNormal"/>
        <w:jc w:val="both"/>
        <w:outlineLvl w:val="0"/>
        <w:rPr>
          <w:rFonts w:ascii="Times New Roman" w:hAnsi="Times New Roman" w:cs="Times New Roman"/>
          <w:color w:val="000000"/>
          <w:sz w:val="24"/>
          <w:szCs w:val="24"/>
          <w:highlight w:val="yellow"/>
        </w:rPr>
      </w:pPr>
    </w:p>
    <w:p w:rsidR="0055491A" w:rsidRPr="00A87A1D" w:rsidRDefault="0055491A" w:rsidP="0055491A">
      <w:pPr>
        <w:pStyle w:val="ConsPlusNormal"/>
        <w:ind w:firstLine="709"/>
        <w:jc w:val="both"/>
        <w:rPr>
          <w:rFonts w:ascii="Times New Roman" w:hAnsi="Times New Roman" w:cs="Times New Roman"/>
          <w:color w:val="000000" w:themeColor="text1"/>
          <w:sz w:val="28"/>
          <w:szCs w:val="28"/>
        </w:rPr>
      </w:pPr>
      <w:r w:rsidRPr="008E1194">
        <w:rPr>
          <w:rFonts w:ascii="Times New Roman" w:hAnsi="Times New Roman" w:cs="Times New Roman"/>
          <w:color w:val="000000"/>
          <w:sz w:val="24"/>
          <w:szCs w:val="24"/>
        </w:rPr>
        <w:t xml:space="preserve">n - </w:t>
      </w:r>
      <w:r w:rsidRPr="00A87A1D">
        <w:rPr>
          <w:rFonts w:ascii="Times New Roman" w:hAnsi="Times New Roman" w:cs="Times New Roman"/>
          <w:color w:val="000000" w:themeColor="text1"/>
          <w:sz w:val="28"/>
          <w:szCs w:val="28"/>
        </w:rPr>
        <w:t>количество истекших месяцев текущего финансового года;</w:t>
      </w:r>
    </w:p>
    <w:p w:rsidR="0055491A" w:rsidRPr="00E54F1F" w:rsidRDefault="0055491A" w:rsidP="0055491A">
      <w:pPr>
        <w:pStyle w:val="ConsPlusNormal"/>
        <w:ind w:firstLine="709"/>
        <w:jc w:val="both"/>
        <w:rPr>
          <w:rFonts w:ascii="Times New Roman" w:hAnsi="Times New Roman" w:cs="Times New Roman"/>
          <w:color w:val="000000" w:themeColor="text1"/>
          <w:sz w:val="28"/>
          <w:szCs w:val="28"/>
        </w:rPr>
      </w:pPr>
      <w:r w:rsidRPr="008E1194">
        <w:rPr>
          <w:rFonts w:ascii="Times New Roman" w:hAnsi="Times New Roman" w:cs="Times New Roman"/>
          <w:color w:val="000000"/>
          <w:sz w:val="24"/>
          <w:szCs w:val="24"/>
        </w:rPr>
        <w:t xml:space="preserve">Дзпер – </w:t>
      </w:r>
      <w:r w:rsidRPr="00E54F1F">
        <w:rPr>
          <w:rFonts w:ascii="Times New Roman" w:hAnsi="Times New Roman" w:cs="Times New Roman"/>
          <w:color w:val="000000" w:themeColor="text1"/>
          <w:sz w:val="28"/>
          <w:szCs w:val="28"/>
        </w:rPr>
        <w:t>фактически поступившие доходы в счет погашения задолженности, образовавшейся до 1 января 2020 года, в соответствии с графиками платежей, установленными мировыми соглашениями или иными документами;</w:t>
      </w:r>
    </w:p>
    <w:p w:rsidR="0055491A" w:rsidRPr="00E54F1F" w:rsidRDefault="0055491A" w:rsidP="0055491A">
      <w:pPr>
        <w:pStyle w:val="ConsPlusNormal"/>
        <w:ind w:firstLine="709"/>
        <w:jc w:val="both"/>
        <w:rPr>
          <w:rFonts w:ascii="Times New Roman" w:hAnsi="Times New Roman" w:cs="Times New Roman"/>
          <w:color w:val="000000" w:themeColor="text1"/>
          <w:sz w:val="28"/>
          <w:szCs w:val="28"/>
        </w:rPr>
      </w:pPr>
      <w:r w:rsidRPr="008E1194">
        <w:rPr>
          <w:rFonts w:ascii="Times New Roman" w:hAnsi="Times New Roman" w:cs="Times New Roman"/>
          <w:color w:val="000000"/>
          <w:sz w:val="24"/>
          <w:szCs w:val="24"/>
        </w:rPr>
        <w:t xml:space="preserve">Дзраз – </w:t>
      </w:r>
      <w:r w:rsidRPr="00E54F1F">
        <w:rPr>
          <w:rFonts w:ascii="Times New Roman" w:hAnsi="Times New Roman" w:cs="Times New Roman"/>
          <w:color w:val="000000" w:themeColor="text1"/>
          <w:sz w:val="28"/>
          <w:szCs w:val="28"/>
        </w:rPr>
        <w:t>фактически поступившие доходы в счет погашения задолженности, образовавшейся до 1 января 2020 года, за истекшие месяцы текущего финансового года, носящие разовый характер.</w:t>
      </w:r>
    </w:p>
    <w:p w:rsidR="0055491A" w:rsidRPr="00E54F1F" w:rsidRDefault="0055491A" w:rsidP="0055491A">
      <w:pPr>
        <w:pStyle w:val="ConsPlusNormal"/>
        <w:ind w:firstLine="709"/>
        <w:jc w:val="both"/>
        <w:rPr>
          <w:rFonts w:ascii="Times New Roman" w:hAnsi="Times New Roman" w:cs="Times New Roman"/>
          <w:color w:val="000000" w:themeColor="text1"/>
          <w:sz w:val="28"/>
          <w:szCs w:val="28"/>
        </w:rPr>
      </w:pPr>
      <w:r w:rsidRPr="00E54F1F">
        <w:rPr>
          <w:rFonts w:ascii="Times New Roman" w:hAnsi="Times New Roman" w:cs="Times New Roman"/>
          <w:color w:val="000000" w:themeColor="text1"/>
          <w:sz w:val="28"/>
          <w:szCs w:val="28"/>
        </w:rPr>
        <w:t>Прогноз поступлений на 202</w:t>
      </w:r>
      <w:r>
        <w:rPr>
          <w:rFonts w:ascii="Times New Roman" w:hAnsi="Times New Roman" w:cs="Times New Roman"/>
          <w:color w:val="000000" w:themeColor="text1"/>
          <w:sz w:val="28"/>
          <w:szCs w:val="28"/>
        </w:rPr>
        <w:t>2</w:t>
      </w:r>
      <w:r w:rsidRPr="00E54F1F">
        <w:rPr>
          <w:rFonts w:ascii="Times New Roman" w:hAnsi="Times New Roman" w:cs="Times New Roman"/>
          <w:color w:val="000000" w:themeColor="text1"/>
          <w:sz w:val="28"/>
          <w:szCs w:val="28"/>
        </w:rPr>
        <w:t>-202</w:t>
      </w:r>
      <w:r>
        <w:rPr>
          <w:rFonts w:ascii="Times New Roman" w:hAnsi="Times New Roman" w:cs="Times New Roman"/>
          <w:color w:val="000000" w:themeColor="text1"/>
          <w:sz w:val="28"/>
          <w:szCs w:val="28"/>
        </w:rPr>
        <w:t>4</w:t>
      </w:r>
      <w:r w:rsidRPr="00E54F1F">
        <w:rPr>
          <w:rFonts w:ascii="Times New Roman" w:hAnsi="Times New Roman" w:cs="Times New Roman"/>
          <w:color w:val="000000" w:themeColor="text1"/>
          <w:sz w:val="28"/>
          <w:szCs w:val="28"/>
        </w:rPr>
        <w:t xml:space="preserve"> годы по данному доходному источнику рассчитывается с применением метода прямого расчета по следующей формуле:</w:t>
      </w:r>
    </w:p>
    <w:p w:rsidR="0055491A" w:rsidRPr="00CE4CFF" w:rsidRDefault="0055491A" w:rsidP="0055491A">
      <w:pPr>
        <w:pStyle w:val="ConsPlusNormal"/>
        <w:ind w:firstLine="709"/>
        <w:jc w:val="both"/>
        <w:rPr>
          <w:rFonts w:ascii="Times New Roman" w:hAnsi="Times New Roman" w:cs="Times New Roman"/>
          <w:color w:val="000000"/>
          <w:sz w:val="24"/>
          <w:szCs w:val="24"/>
        </w:rPr>
      </w:pPr>
    </w:p>
    <w:p w:rsidR="0055491A" w:rsidRPr="00CE4CFF" w:rsidRDefault="0055491A" w:rsidP="0055491A">
      <w:pPr>
        <w:pStyle w:val="ConsPlusNormal"/>
        <w:ind w:firstLine="540"/>
        <w:jc w:val="both"/>
        <w:rPr>
          <w:rFonts w:ascii="Times New Roman" w:hAnsi="Times New Roman" w:cs="Times New Roman"/>
          <w:color w:val="000000"/>
        </w:rPr>
      </w:pPr>
      <w:r w:rsidRPr="00CE4CFF">
        <w:rPr>
          <w:rFonts w:ascii="Times New Roman" w:hAnsi="Times New Roman" w:cs="Times New Roman"/>
          <w:color w:val="000000"/>
        </w:rPr>
        <w:t xml:space="preserve">                                                                             </w:t>
      </w:r>
      <w:r w:rsidRPr="00CE4CFF">
        <w:rPr>
          <w:rFonts w:ascii="Times New Roman" w:hAnsi="Times New Roman" w:cs="Times New Roman"/>
          <w:color w:val="000000"/>
          <w:lang w:val="en-US"/>
        </w:rPr>
        <w:t>n</w:t>
      </w:r>
    </w:p>
    <w:p w:rsidR="0055491A" w:rsidRPr="00CE4CFF" w:rsidRDefault="0055491A" w:rsidP="0055491A">
      <w:pPr>
        <w:pStyle w:val="ConsPlusNormal"/>
        <w:ind w:firstLine="540"/>
        <w:jc w:val="center"/>
        <w:rPr>
          <w:rFonts w:ascii="Times New Roman" w:hAnsi="Times New Roman" w:cs="Times New Roman"/>
          <w:color w:val="000000"/>
          <w:sz w:val="24"/>
          <w:szCs w:val="24"/>
        </w:rPr>
      </w:pPr>
      <w:r w:rsidRPr="00CE4CFF">
        <w:rPr>
          <w:rFonts w:ascii="Times New Roman" w:hAnsi="Times New Roman" w:cs="Times New Roman"/>
          <w:b/>
          <w:color w:val="000000"/>
          <w:sz w:val="24"/>
          <w:szCs w:val="24"/>
        </w:rPr>
        <w:t xml:space="preserve">Дзшт = </w:t>
      </w:r>
      <w:r w:rsidRPr="00CE4CFF">
        <w:rPr>
          <w:rFonts w:ascii="Times New Roman" w:hAnsi="Times New Roman" w:cs="Times New Roman"/>
          <w:color w:val="000000"/>
          <w:sz w:val="24"/>
          <w:szCs w:val="24"/>
        </w:rPr>
        <w:t>∑</w:t>
      </w:r>
      <w:r w:rsidRPr="00CE4CFF">
        <w:rPr>
          <w:rFonts w:ascii="Times New Roman" w:hAnsi="Times New Roman" w:cs="Times New Roman"/>
          <w:b/>
          <w:color w:val="000000"/>
          <w:sz w:val="24"/>
          <w:szCs w:val="24"/>
        </w:rPr>
        <w:t xml:space="preserve"> Дзпер, </w:t>
      </w:r>
      <w:r w:rsidRPr="00CE4CFF">
        <w:rPr>
          <w:rFonts w:ascii="Times New Roman" w:hAnsi="Times New Roman" w:cs="Times New Roman"/>
          <w:color w:val="000000"/>
          <w:sz w:val="24"/>
          <w:szCs w:val="24"/>
        </w:rPr>
        <w:t>где</w:t>
      </w:r>
    </w:p>
    <w:p w:rsidR="0055491A" w:rsidRPr="00CE4CFF" w:rsidRDefault="0055491A" w:rsidP="0055491A">
      <w:pPr>
        <w:pStyle w:val="ConsPlusNormal"/>
        <w:ind w:firstLine="540"/>
        <w:jc w:val="both"/>
        <w:rPr>
          <w:rFonts w:ascii="Times New Roman" w:hAnsi="Times New Roman" w:cs="Times New Roman"/>
          <w:color w:val="000000"/>
        </w:rPr>
      </w:pPr>
      <w:r w:rsidRPr="00CE4CFF">
        <w:rPr>
          <w:rFonts w:ascii="Times New Roman" w:hAnsi="Times New Roman" w:cs="Times New Roman"/>
          <w:color w:val="000000"/>
        </w:rPr>
        <w:t xml:space="preserve">                                                                           </w:t>
      </w:r>
      <w:r w:rsidRPr="00CE4CFF">
        <w:rPr>
          <w:rFonts w:ascii="Times New Roman" w:hAnsi="Times New Roman" w:cs="Times New Roman"/>
          <w:color w:val="000000"/>
          <w:lang w:val="en-US"/>
        </w:rPr>
        <w:t>i</w:t>
      </w:r>
      <w:r w:rsidRPr="00CE4CFF">
        <w:rPr>
          <w:rFonts w:ascii="Times New Roman" w:hAnsi="Times New Roman" w:cs="Times New Roman"/>
          <w:color w:val="000000"/>
        </w:rPr>
        <w:t xml:space="preserve"> = 1</w:t>
      </w:r>
    </w:p>
    <w:p w:rsidR="0055491A" w:rsidRPr="00CE4CFF" w:rsidRDefault="0055491A" w:rsidP="0055491A">
      <w:pPr>
        <w:pStyle w:val="ConsPlusNormal"/>
        <w:ind w:firstLine="709"/>
        <w:jc w:val="both"/>
        <w:rPr>
          <w:rFonts w:ascii="Times New Roman" w:hAnsi="Times New Roman" w:cs="Times New Roman"/>
          <w:color w:val="000000"/>
        </w:rPr>
      </w:pPr>
    </w:p>
    <w:p w:rsidR="0055491A" w:rsidRPr="00CE4CFF" w:rsidRDefault="0055491A" w:rsidP="0055491A">
      <w:pPr>
        <w:pStyle w:val="ConsPlusNormal"/>
        <w:ind w:firstLine="709"/>
        <w:jc w:val="both"/>
        <w:rPr>
          <w:rFonts w:ascii="Times New Roman" w:hAnsi="Times New Roman" w:cs="Times New Roman"/>
          <w:color w:val="000000"/>
          <w:sz w:val="24"/>
          <w:szCs w:val="24"/>
        </w:rPr>
      </w:pPr>
      <w:r w:rsidRPr="00CE4CFF">
        <w:rPr>
          <w:rFonts w:ascii="Times New Roman" w:hAnsi="Times New Roman" w:cs="Times New Roman"/>
          <w:color w:val="000000"/>
          <w:sz w:val="24"/>
          <w:szCs w:val="24"/>
        </w:rPr>
        <w:t xml:space="preserve">Дзпер – </w:t>
      </w:r>
      <w:r w:rsidRPr="00E54F1F">
        <w:rPr>
          <w:rFonts w:ascii="Times New Roman" w:hAnsi="Times New Roman" w:cs="Times New Roman"/>
          <w:color w:val="000000" w:themeColor="text1"/>
          <w:sz w:val="28"/>
          <w:szCs w:val="28"/>
        </w:rPr>
        <w:t>размер выплат в счет погашения задолженности, образовавшейся до 1 января 2020 года, на который осуществляется расчет прогнозного объема доходов, в соответствии с i-м графиком платежей, установленным мировым соглашением или иным документом</w:t>
      </w:r>
      <w:r w:rsidRPr="00CE4CFF">
        <w:rPr>
          <w:rFonts w:ascii="Times New Roman" w:hAnsi="Times New Roman" w:cs="Times New Roman"/>
          <w:color w:val="000000"/>
          <w:sz w:val="24"/>
          <w:szCs w:val="24"/>
        </w:rPr>
        <w:t>;</w:t>
      </w:r>
    </w:p>
    <w:p w:rsidR="0055491A" w:rsidRPr="00E54F1F" w:rsidRDefault="0055491A" w:rsidP="0055491A">
      <w:pPr>
        <w:pStyle w:val="33"/>
        <w:rPr>
          <w:color w:val="000000" w:themeColor="text1"/>
          <w:sz w:val="28"/>
          <w:szCs w:val="28"/>
        </w:rPr>
      </w:pPr>
      <w:r w:rsidRPr="00CE4CFF">
        <w:rPr>
          <w:color w:val="000000"/>
          <w:szCs w:val="24"/>
        </w:rPr>
        <w:t xml:space="preserve">n – </w:t>
      </w:r>
      <w:r w:rsidRPr="00E54F1F">
        <w:rPr>
          <w:color w:val="000000" w:themeColor="text1"/>
          <w:sz w:val="28"/>
          <w:szCs w:val="28"/>
        </w:rPr>
        <w:t>количество графиков платежей, установленных мировыми соглашениями или иными документами.</w:t>
      </w:r>
    </w:p>
    <w:p w:rsidR="0055491A" w:rsidRPr="00E54F1F" w:rsidRDefault="0055491A" w:rsidP="0055491A">
      <w:pPr>
        <w:pStyle w:val="ConsPlusNormal"/>
        <w:ind w:firstLine="709"/>
        <w:jc w:val="both"/>
        <w:rPr>
          <w:rFonts w:ascii="Times New Roman" w:hAnsi="Times New Roman" w:cs="Times New Roman"/>
          <w:color w:val="000000" w:themeColor="text1"/>
          <w:sz w:val="28"/>
          <w:szCs w:val="28"/>
        </w:rPr>
      </w:pPr>
      <w:r w:rsidRPr="00E54F1F">
        <w:rPr>
          <w:rFonts w:ascii="Times New Roman" w:hAnsi="Times New Roman" w:cs="Times New Roman"/>
          <w:color w:val="000000" w:themeColor="text1"/>
          <w:sz w:val="28"/>
          <w:szCs w:val="28"/>
        </w:rPr>
        <w:t>Допускается корректировать ожидаемую оценку поступлений на 202</w:t>
      </w:r>
      <w:r>
        <w:rPr>
          <w:rFonts w:ascii="Times New Roman" w:hAnsi="Times New Roman" w:cs="Times New Roman"/>
          <w:color w:val="000000" w:themeColor="text1"/>
          <w:sz w:val="28"/>
          <w:szCs w:val="28"/>
        </w:rPr>
        <w:t>1</w:t>
      </w:r>
      <w:r w:rsidRPr="00E54F1F">
        <w:rPr>
          <w:rFonts w:ascii="Times New Roman" w:hAnsi="Times New Roman" w:cs="Times New Roman"/>
          <w:color w:val="000000" w:themeColor="text1"/>
          <w:sz w:val="28"/>
          <w:szCs w:val="28"/>
        </w:rPr>
        <w:t xml:space="preserve"> год, прогноз поступлений на 202</w:t>
      </w:r>
      <w:r>
        <w:rPr>
          <w:rFonts w:ascii="Times New Roman" w:hAnsi="Times New Roman" w:cs="Times New Roman"/>
          <w:color w:val="000000" w:themeColor="text1"/>
          <w:sz w:val="28"/>
          <w:szCs w:val="28"/>
        </w:rPr>
        <w:t>2</w:t>
      </w:r>
      <w:r w:rsidRPr="00E54F1F">
        <w:rPr>
          <w:rFonts w:ascii="Times New Roman" w:hAnsi="Times New Roman" w:cs="Times New Roman"/>
          <w:color w:val="000000" w:themeColor="text1"/>
          <w:sz w:val="28"/>
          <w:szCs w:val="28"/>
        </w:rPr>
        <w:t>-202</w:t>
      </w:r>
      <w:r>
        <w:rPr>
          <w:rFonts w:ascii="Times New Roman" w:hAnsi="Times New Roman" w:cs="Times New Roman"/>
          <w:color w:val="000000" w:themeColor="text1"/>
          <w:sz w:val="28"/>
          <w:szCs w:val="28"/>
        </w:rPr>
        <w:t>4</w:t>
      </w:r>
      <w:r w:rsidRPr="00E54F1F">
        <w:rPr>
          <w:rFonts w:ascii="Times New Roman" w:hAnsi="Times New Roman" w:cs="Times New Roman"/>
          <w:color w:val="000000" w:themeColor="text1"/>
          <w:sz w:val="28"/>
          <w:szCs w:val="28"/>
        </w:rPr>
        <w:t xml:space="preserve"> годы с учетом сведений о размере задолженности, возможной к погашению.</w:t>
      </w:r>
    </w:p>
    <w:p w:rsidR="0055491A" w:rsidRPr="00E54F1F" w:rsidRDefault="0055491A" w:rsidP="0055491A">
      <w:pPr>
        <w:ind w:firstLine="709"/>
        <w:jc w:val="both"/>
        <w:rPr>
          <w:color w:val="000000" w:themeColor="text1"/>
          <w:sz w:val="28"/>
          <w:szCs w:val="28"/>
        </w:rPr>
      </w:pPr>
      <w:r w:rsidRPr="00E54F1F">
        <w:rPr>
          <w:color w:val="000000" w:themeColor="text1"/>
          <w:sz w:val="28"/>
          <w:szCs w:val="28"/>
        </w:rPr>
        <w:t>На момент составления прогноза поступлений по данному доходному источнику  мировым соглашением и определениями Арбитражного суда Тверской области в отношении задолженности по пени, образовавшейся до 1 января 2020 года, установлены 3 графика платежей.</w:t>
      </w:r>
    </w:p>
    <w:p w:rsidR="0055491A" w:rsidRPr="002F149B" w:rsidRDefault="0055491A" w:rsidP="0055491A">
      <w:pPr>
        <w:ind w:firstLine="709"/>
        <w:jc w:val="both"/>
        <w:rPr>
          <w:color w:val="000000" w:themeColor="text1"/>
          <w:sz w:val="28"/>
          <w:szCs w:val="28"/>
        </w:rPr>
      </w:pPr>
      <w:r w:rsidRPr="002F149B">
        <w:rPr>
          <w:color w:val="000000" w:themeColor="text1"/>
          <w:sz w:val="28"/>
          <w:szCs w:val="28"/>
        </w:rPr>
        <w:t>На момент составления прогноза поступлений по данному доходному источнику  мировым соглашением и определениями Арбитражного суда Тверской области в отношении задолженности по пени, образовавшейся до 1 января 2021 года, установлены 4 графика платежей.</w:t>
      </w:r>
    </w:p>
    <w:p w:rsidR="0055491A" w:rsidRPr="002F149B" w:rsidRDefault="0055491A" w:rsidP="0055491A">
      <w:pPr>
        <w:ind w:firstLine="709"/>
        <w:jc w:val="both"/>
        <w:rPr>
          <w:color w:val="000000" w:themeColor="text1"/>
          <w:sz w:val="28"/>
          <w:szCs w:val="28"/>
        </w:rPr>
      </w:pPr>
      <w:r w:rsidRPr="002F149B">
        <w:rPr>
          <w:color w:val="000000" w:themeColor="text1"/>
          <w:sz w:val="28"/>
          <w:szCs w:val="28"/>
        </w:rPr>
        <w:t>Мировым соглашением от 28.03.2019 по делу № А66-1945/2019, заключенным между Министерством и АО «Отель Оснабрюк» и утвержденным определением арбитражного суда Тверской области от 12.04.2019, установлен график платежей, в соответствии с которым задолженность по пени за период с 11.01.2017 по 30.09.2018 по договору аренды нежилого помещения от 13.05.2004 № 2349 в размере 1 416,0 тыс. руб. выплачивается в течение 5 лет начиная с апреля 2019 года равными частями (по 23,5 тыс. руб. ежемесячно, в последний месяц – 29,5 тыс. руб.).</w:t>
      </w:r>
    </w:p>
    <w:p w:rsidR="0055491A" w:rsidRPr="002F149B" w:rsidRDefault="0055491A" w:rsidP="0055491A">
      <w:pPr>
        <w:ind w:firstLine="709"/>
        <w:jc w:val="both"/>
        <w:rPr>
          <w:color w:val="000000" w:themeColor="text1"/>
          <w:sz w:val="28"/>
          <w:szCs w:val="28"/>
        </w:rPr>
      </w:pPr>
      <w:r w:rsidRPr="002F149B">
        <w:rPr>
          <w:color w:val="000000" w:themeColor="text1"/>
          <w:sz w:val="28"/>
          <w:szCs w:val="28"/>
        </w:rPr>
        <w:lastRenderedPageBreak/>
        <w:t>В отношении задолженности АО «Научно-реставрационный центр «Тверьпроектреставрация» по пени за период с 11.07.2017 по 31.08.2018 по договору аренды от 13.09.2016 № 4843 в размере 80,0 тыс. руб. вынесено решение Арбитражного суда Тверской области от 02.09.2019 по делу № А66-7462/2019 о взыскании. Определением Арбитражного суда Тверской области от 26.02.2020 по делу № А66-7462/2019 предоставлена рассрочка исполнения указанного решения Арбитражного суда сроком на три года, начиная с марта 2020 года равными частями (по 2 222,22 руб. ежемесячно, в последний месяц – 2 222,30 руб.).</w:t>
      </w:r>
    </w:p>
    <w:p w:rsidR="0055491A" w:rsidRPr="002F149B" w:rsidRDefault="0055491A" w:rsidP="0055491A">
      <w:pPr>
        <w:ind w:firstLine="709"/>
        <w:jc w:val="both"/>
        <w:rPr>
          <w:color w:val="000000" w:themeColor="text1"/>
          <w:sz w:val="28"/>
          <w:szCs w:val="28"/>
        </w:rPr>
      </w:pPr>
      <w:r w:rsidRPr="002F149B">
        <w:rPr>
          <w:color w:val="000000" w:themeColor="text1"/>
          <w:sz w:val="28"/>
          <w:szCs w:val="28"/>
        </w:rPr>
        <w:t>В отношении задолженности АО «Научно-реставрационный центр «Тверьпроектреставрация» по пени за период с 11.06.2017 по 31.08.2018 по договору аренды от 20.07.2007 № п1078-т в размере 120,0 тыс. руб. вынесено решение Арбитражного суда Тверской области от 16.10.2019 по делу № А66-7461/2019 о взыскании. Определением Арбитражного суда Тверской области от 11.03.2020 по делу № А66-7461/2019 предоставлена рассрочка исполнения указанного решения Арбитражного суда сроком на три года, начиная с апреля 2020 года равными частями (по 3 333,33 руб. ежемесячно, в последний месяц – 3 333,45 руб.)</w:t>
      </w:r>
    </w:p>
    <w:p w:rsidR="0055491A" w:rsidRPr="002F149B" w:rsidRDefault="0055491A" w:rsidP="0055491A">
      <w:pPr>
        <w:ind w:firstLine="709"/>
        <w:jc w:val="both"/>
        <w:rPr>
          <w:color w:val="000000" w:themeColor="text1"/>
          <w:sz w:val="28"/>
          <w:szCs w:val="28"/>
        </w:rPr>
      </w:pPr>
      <w:r w:rsidRPr="002F149B">
        <w:rPr>
          <w:color w:val="000000" w:themeColor="text1"/>
          <w:sz w:val="28"/>
          <w:szCs w:val="28"/>
        </w:rPr>
        <w:t>В отношении задолженности ОАО «Тверская областная типография» (Конаковская типография) по пени за период с 01.01.2011 по 31.12.2013 по договору аренды земельного участка от 02.02.2001 № б/н вынесено решение Арбитражного суда Тверской области от 11.06.2014 Дело Ф66-209/2014. Определением Арбитражного суда Тверской области от 22.10.2020 по делу №А66-209/2014 предоставлена рассрочка исполнения указанного решения Арбитражного суда сроком на два года, начиная с ноября 2020 года равными частями (по 29 002,00 руб. ежемесячно, в последний месяц – 29 009,61 руб.).</w:t>
      </w:r>
    </w:p>
    <w:p w:rsidR="0055491A" w:rsidRPr="002F149B" w:rsidRDefault="0055491A" w:rsidP="0055491A">
      <w:pPr>
        <w:ind w:firstLine="709"/>
        <w:jc w:val="both"/>
        <w:rPr>
          <w:color w:val="000000" w:themeColor="text1"/>
          <w:sz w:val="28"/>
          <w:szCs w:val="28"/>
        </w:rPr>
      </w:pPr>
      <w:r w:rsidRPr="002F149B">
        <w:rPr>
          <w:color w:val="000000" w:themeColor="text1"/>
          <w:sz w:val="28"/>
          <w:szCs w:val="28"/>
        </w:rPr>
        <w:t>На июнь 2021 года в областной бюджет Тверской области по данному доходному источнику поступили денежные средства на сумму 593,8 тыс. руб., в том числе:</w:t>
      </w:r>
    </w:p>
    <w:p w:rsidR="0055491A" w:rsidRPr="002F149B" w:rsidRDefault="0055491A" w:rsidP="0055491A">
      <w:pPr>
        <w:ind w:firstLine="709"/>
        <w:jc w:val="both"/>
        <w:rPr>
          <w:color w:val="000000" w:themeColor="text1"/>
          <w:sz w:val="28"/>
          <w:szCs w:val="28"/>
        </w:rPr>
      </w:pPr>
      <w:r w:rsidRPr="002F149B">
        <w:rPr>
          <w:color w:val="000000" w:themeColor="text1"/>
          <w:sz w:val="28"/>
          <w:szCs w:val="28"/>
        </w:rPr>
        <w:t>- оплата задолженности по пени за просрочку арендных платежей за областное имущество в сумме 117,5 тыс. руб. в соответствии с графиком, установленным мировым соглашением от 28.03.2019 по делу № А66-1945/2019, заключенным между Министерством и АО «Отель Оснабрюк» и утвержденному определением арбитражного суда Тверской области от 12.04.2019;</w:t>
      </w:r>
    </w:p>
    <w:p w:rsidR="0055491A" w:rsidRPr="002F149B" w:rsidRDefault="0055491A" w:rsidP="0055491A">
      <w:pPr>
        <w:ind w:firstLine="709"/>
        <w:jc w:val="both"/>
        <w:rPr>
          <w:color w:val="000000" w:themeColor="text1"/>
          <w:sz w:val="28"/>
          <w:szCs w:val="28"/>
        </w:rPr>
      </w:pPr>
      <w:r w:rsidRPr="002F149B">
        <w:rPr>
          <w:color w:val="000000" w:themeColor="text1"/>
          <w:sz w:val="28"/>
          <w:szCs w:val="28"/>
        </w:rPr>
        <w:t>- оплата задолженности по пени за просрочку арендных платежей за областное имущество в сумме 15,6 тыс. руб. АО «Научно-реставрационный центр «Тверьпроектреставрация» в соответствии с определением Арбитражного суда Тверской области от 26.02.2020 о предоставлении рассрочки исполнения решения суда от 02.10.2019 по делу №А66-7462/2019;</w:t>
      </w:r>
    </w:p>
    <w:p w:rsidR="0055491A" w:rsidRPr="002F149B" w:rsidRDefault="0055491A" w:rsidP="0055491A">
      <w:pPr>
        <w:ind w:firstLine="709"/>
        <w:jc w:val="both"/>
        <w:rPr>
          <w:color w:val="000000" w:themeColor="text1"/>
          <w:sz w:val="28"/>
          <w:szCs w:val="28"/>
        </w:rPr>
      </w:pPr>
      <w:r w:rsidRPr="002F149B">
        <w:rPr>
          <w:color w:val="000000" w:themeColor="text1"/>
          <w:sz w:val="28"/>
          <w:szCs w:val="28"/>
        </w:rPr>
        <w:t>- оплата задолженности по пени за просрочку арендных платежей за областное имущество в сумме 20,0 тыс. руб. АО «Научно-реставрационный центр «Тверьпроектреставрация» в соответствии с определением Арбитражного суда Тверской области от 11.03.2020 о предоставлении рассрочки исполнения решения суда от 16.10.2019 по делу №А66-7461/2019;</w:t>
      </w:r>
    </w:p>
    <w:p w:rsidR="0055491A" w:rsidRPr="002F149B" w:rsidRDefault="0055491A" w:rsidP="0055491A">
      <w:pPr>
        <w:ind w:firstLine="709"/>
        <w:jc w:val="both"/>
        <w:rPr>
          <w:color w:val="000000" w:themeColor="text1"/>
          <w:sz w:val="28"/>
          <w:szCs w:val="28"/>
        </w:rPr>
      </w:pPr>
      <w:r w:rsidRPr="002F149B">
        <w:rPr>
          <w:color w:val="000000" w:themeColor="text1"/>
          <w:sz w:val="28"/>
          <w:szCs w:val="28"/>
        </w:rPr>
        <w:lastRenderedPageBreak/>
        <w:t>- оплата задолженности по пени за просрочку арендных платежей за аренду земельного участка в сумме 174,0 тыс. руб. АО «Тверская областная типография» в соответствии с определением Арбитражного суда Тверской области от 22.10.2020 по делу №А66-209/2014.</w:t>
      </w:r>
    </w:p>
    <w:p w:rsidR="0055491A" w:rsidRPr="002F149B" w:rsidRDefault="0055491A" w:rsidP="0055491A">
      <w:pPr>
        <w:ind w:firstLine="709"/>
        <w:jc w:val="both"/>
        <w:rPr>
          <w:color w:val="000000" w:themeColor="text1"/>
          <w:sz w:val="28"/>
          <w:szCs w:val="28"/>
        </w:rPr>
      </w:pPr>
      <w:r w:rsidRPr="002F149B">
        <w:rPr>
          <w:color w:val="000000" w:themeColor="text1"/>
          <w:sz w:val="28"/>
          <w:szCs w:val="28"/>
        </w:rPr>
        <w:t>- платежи в счет погашения задолженности, образовавшейся до 1 января 2021 года, носящие разовый характер, в общей сумме 266,7 тыс. руб.</w:t>
      </w:r>
    </w:p>
    <w:p w:rsidR="0055491A" w:rsidRPr="002F149B" w:rsidRDefault="0055491A" w:rsidP="0055491A">
      <w:pPr>
        <w:ind w:firstLine="709"/>
        <w:jc w:val="both"/>
        <w:rPr>
          <w:color w:val="000000" w:themeColor="text1"/>
          <w:sz w:val="28"/>
          <w:szCs w:val="28"/>
        </w:rPr>
      </w:pPr>
      <w:r w:rsidRPr="002F149B">
        <w:rPr>
          <w:color w:val="000000" w:themeColor="text1"/>
          <w:sz w:val="28"/>
          <w:szCs w:val="28"/>
        </w:rPr>
        <w:t>С учетом сведений о размере задолженности, возможной к погашению в соответствии с графиками платежей, ожидаемая оценка на 2021 год составит 967,9 тыс. руб. (593,8 тыс. руб. + 164,5 тыс. руб. + 15,6 тыс. руб. + 20,0 тыс. руб. + 174,0 тыс. руб.).</w:t>
      </w:r>
    </w:p>
    <w:p w:rsidR="0055491A" w:rsidRPr="002F149B" w:rsidRDefault="0055491A" w:rsidP="0055491A">
      <w:pPr>
        <w:ind w:firstLine="709"/>
        <w:jc w:val="both"/>
        <w:rPr>
          <w:color w:val="000000" w:themeColor="text1"/>
          <w:sz w:val="28"/>
          <w:szCs w:val="28"/>
        </w:rPr>
      </w:pPr>
      <w:r w:rsidRPr="002F149B">
        <w:rPr>
          <w:b/>
          <w:color w:val="000000" w:themeColor="text1"/>
          <w:sz w:val="28"/>
          <w:szCs w:val="28"/>
        </w:rPr>
        <w:t>Прогноз доходов на 2022 год</w:t>
      </w:r>
      <w:r w:rsidRPr="002F149B">
        <w:rPr>
          <w:color w:val="000000" w:themeColor="text1"/>
          <w:sz w:val="28"/>
          <w:szCs w:val="28"/>
        </w:rPr>
        <w:t xml:space="preserve"> составит </w:t>
      </w:r>
      <w:r w:rsidRPr="002F149B">
        <w:rPr>
          <w:b/>
          <w:color w:val="000000" w:themeColor="text1"/>
          <w:sz w:val="28"/>
          <w:szCs w:val="28"/>
        </w:rPr>
        <w:t>638,7 тыс. руб.</w:t>
      </w:r>
      <w:r w:rsidRPr="002F149B">
        <w:rPr>
          <w:color w:val="000000" w:themeColor="text1"/>
          <w:sz w:val="28"/>
          <w:szCs w:val="28"/>
        </w:rPr>
        <w:t xml:space="preserve"> (282,0 тыс. руб. + 26,7 тыс. руб. + 40,0 тыс. руб. + 290,0 тыс. руб.), на </w:t>
      </w:r>
      <w:r w:rsidRPr="002F149B">
        <w:rPr>
          <w:b/>
          <w:color w:val="000000" w:themeColor="text1"/>
          <w:sz w:val="28"/>
          <w:szCs w:val="28"/>
        </w:rPr>
        <w:t xml:space="preserve">2023 год – </w:t>
      </w:r>
      <w:r>
        <w:rPr>
          <w:b/>
          <w:color w:val="000000" w:themeColor="text1"/>
          <w:sz w:val="28"/>
          <w:szCs w:val="28"/>
        </w:rPr>
        <w:t xml:space="preserve">                                   </w:t>
      </w:r>
      <w:r w:rsidRPr="002F149B">
        <w:rPr>
          <w:b/>
          <w:color w:val="000000" w:themeColor="text1"/>
          <w:sz w:val="28"/>
          <w:szCs w:val="28"/>
        </w:rPr>
        <w:t>296,4</w:t>
      </w:r>
      <w:r w:rsidRPr="002F149B">
        <w:rPr>
          <w:color w:val="000000" w:themeColor="text1"/>
          <w:sz w:val="28"/>
          <w:szCs w:val="28"/>
        </w:rPr>
        <w:t xml:space="preserve"> </w:t>
      </w:r>
      <w:r w:rsidRPr="002F149B">
        <w:rPr>
          <w:b/>
          <w:color w:val="000000" w:themeColor="text1"/>
          <w:sz w:val="28"/>
          <w:szCs w:val="28"/>
        </w:rPr>
        <w:t>тыс. руб</w:t>
      </w:r>
      <w:r w:rsidRPr="002F149B">
        <w:rPr>
          <w:color w:val="000000" w:themeColor="text1"/>
          <w:sz w:val="28"/>
          <w:szCs w:val="28"/>
        </w:rPr>
        <w:t xml:space="preserve">. (282,0 тыс. руб. + 4,4 тыс. руб. + 10,0 тыс. руб.), на </w:t>
      </w:r>
      <w:r w:rsidRPr="002F149B">
        <w:rPr>
          <w:b/>
          <w:color w:val="000000" w:themeColor="text1"/>
          <w:sz w:val="28"/>
          <w:szCs w:val="28"/>
        </w:rPr>
        <w:t>2024 год – 76,5 тыс. руб.</w:t>
      </w:r>
      <w:r w:rsidRPr="002F149B">
        <w:rPr>
          <w:color w:val="000000" w:themeColor="text1"/>
          <w:sz w:val="28"/>
          <w:szCs w:val="28"/>
        </w:rPr>
        <w:t xml:space="preserve"> (76,5 тыс. руб. - АО «Отель Оснабрюк» график по март 2024).</w:t>
      </w:r>
    </w:p>
    <w:p w:rsidR="0055491A" w:rsidRDefault="0055491A" w:rsidP="0055491A">
      <w:pPr>
        <w:pStyle w:val="a7"/>
        <w:spacing w:after="0"/>
        <w:ind w:left="0" w:firstLine="709"/>
        <w:jc w:val="both"/>
        <w:rPr>
          <w:color w:val="000000" w:themeColor="text1"/>
          <w:sz w:val="28"/>
          <w:szCs w:val="28"/>
        </w:rPr>
      </w:pPr>
      <w:r>
        <w:rPr>
          <w:color w:val="000000" w:themeColor="text1"/>
          <w:sz w:val="28"/>
          <w:szCs w:val="28"/>
        </w:rPr>
        <w:t xml:space="preserve">25.2 </w:t>
      </w:r>
      <w:r w:rsidRPr="005C2368">
        <w:rPr>
          <w:b/>
          <w:color w:val="000000" w:themeColor="text1"/>
          <w:sz w:val="28"/>
          <w:szCs w:val="28"/>
        </w:rPr>
        <w:t>КБК 104 1 16 10122 01 0000 140</w:t>
      </w:r>
      <w:r>
        <w:rPr>
          <w:color w:val="000000" w:themeColor="text1"/>
          <w:sz w:val="28"/>
          <w:szCs w:val="28"/>
        </w:rPr>
        <w:t xml:space="preserve"> </w:t>
      </w:r>
      <w:r w:rsidRPr="004A3891">
        <w:rPr>
          <w:color w:val="000000" w:themeColor="text1"/>
          <w:sz w:val="28"/>
          <w:szCs w:val="2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w:t>
      </w:r>
      <w:r>
        <w:rPr>
          <w:color w:val="000000" w:themeColor="text1"/>
          <w:sz w:val="28"/>
          <w:szCs w:val="28"/>
        </w:rPr>
        <w:t>.</w:t>
      </w:r>
      <w:r w:rsidRPr="004A3891">
        <w:rPr>
          <w:color w:val="000000" w:themeColor="text1"/>
          <w:sz w:val="28"/>
          <w:szCs w:val="28"/>
        </w:rPr>
        <w:t xml:space="preserve"> </w:t>
      </w:r>
    </w:p>
    <w:p w:rsidR="0055491A" w:rsidRPr="005C2368" w:rsidRDefault="0055491A" w:rsidP="0055491A">
      <w:pPr>
        <w:pStyle w:val="a7"/>
        <w:spacing w:after="0"/>
        <w:ind w:left="0" w:firstLine="709"/>
        <w:jc w:val="both"/>
        <w:rPr>
          <w:b/>
          <w:color w:val="000000" w:themeColor="text1"/>
          <w:sz w:val="28"/>
          <w:szCs w:val="28"/>
        </w:rPr>
      </w:pPr>
      <w:r w:rsidRPr="004A3891">
        <w:rPr>
          <w:color w:val="000000" w:themeColor="text1"/>
          <w:sz w:val="28"/>
          <w:szCs w:val="28"/>
        </w:rPr>
        <w:t xml:space="preserve"> </w:t>
      </w:r>
      <w:r w:rsidRPr="005C2368">
        <w:rPr>
          <w:b/>
          <w:color w:val="000000" w:themeColor="text1"/>
          <w:sz w:val="28"/>
          <w:szCs w:val="28"/>
        </w:rPr>
        <w:t>Главный администратор доходов – Министерство транспорта Тверской области.</w:t>
      </w:r>
    </w:p>
    <w:p w:rsidR="0055491A" w:rsidRPr="00AE4E69" w:rsidRDefault="0055491A" w:rsidP="0055491A">
      <w:pPr>
        <w:autoSpaceDE w:val="0"/>
        <w:autoSpaceDN w:val="0"/>
        <w:adjustRightInd w:val="0"/>
        <w:ind w:firstLine="709"/>
        <w:jc w:val="both"/>
        <w:rPr>
          <w:color w:val="000000"/>
          <w:sz w:val="28"/>
          <w:szCs w:val="28"/>
        </w:rPr>
      </w:pPr>
      <w:r w:rsidRPr="00AE4E69">
        <w:rPr>
          <w:sz w:val="28"/>
          <w:szCs w:val="28"/>
        </w:rPr>
        <w:t xml:space="preserve">Прогноз поступлений </w:t>
      </w:r>
      <w:r w:rsidRPr="00712719">
        <w:rPr>
          <w:b/>
          <w:sz w:val="28"/>
          <w:szCs w:val="28"/>
        </w:rPr>
        <w:t>на текущий финансовый год</w:t>
      </w:r>
      <w:r w:rsidRPr="00712719">
        <w:rPr>
          <w:sz w:val="28"/>
          <w:szCs w:val="28"/>
        </w:rPr>
        <w:t xml:space="preserve"> </w:t>
      </w:r>
      <w:r w:rsidRPr="00AE4E69">
        <w:rPr>
          <w:sz w:val="28"/>
          <w:szCs w:val="28"/>
        </w:rPr>
        <w:t>рассчитывается</w:t>
      </w:r>
      <w:r w:rsidRPr="00AE4E69">
        <w:rPr>
          <w:color w:val="000000"/>
          <w:sz w:val="28"/>
          <w:szCs w:val="28"/>
        </w:rPr>
        <w:t xml:space="preserve"> исходя из фактических поступлений на дату составления прогноза (отчетную дату) и планируемого поступления до конца года.</w:t>
      </w:r>
    </w:p>
    <w:p w:rsidR="0055491A" w:rsidRPr="00AE4E69" w:rsidRDefault="0055491A" w:rsidP="0055491A">
      <w:pPr>
        <w:autoSpaceDE w:val="0"/>
        <w:autoSpaceDN w:val="0"/>
        <w:adjustRightInd w:val="0"/>
        <w:ind w:firstLine="709"/>
        <w:jc w:val="both"/>
        <w:rPr>
          <w:color w:val="000000"/>
          <w:sz w:val="28"/>
          <w:szCs w:val="28"/>
        </w:rPr>
      </w:pPr>
    </w:p>
    <w:p w:rsidR="0055491A" w:rsidRPr="00AE4E69" w:rsidRDefault="0055491A" w:rsidP="0055491A">
      <w:pPr>
        <w:ind w:firstLine="709"/>
        <w:jc w:val="center"/>
        <w:rPr>
          <w:sz w:val="28"/>
          <w:szCs w:val="28"/>
        </w:rPr>
      </w:pPr>
      <w:r w:rsidRPr="00AE4E69">
        <w:rPr>
          <w:sz w:val="28"/>
          <w:szCs w:val="28"/>
        </w:rPr>
        <w:t>Ож = Факт</w:t>
      </w:r>
      <w:r w:rsidRPr="00AE4E69">
        <w:rPr>
          <w:sz w:val="28"/>
          <w:szCs w:val="28"/>
          <w:lang w:val="en-US"/>
        </w:rPr>
        <w:t>n</w:t>
      </w:r>
      <w:r w:rsidRPr="00AE4E69">
        <w:rPr>
          <w:sz w:val="28"/>
          <w:szCs w:val="28"/>
        </w:rPr>
        <w:t>+ Факт</w:t>
      </w:r>
      <w:r w:rsidRPr="00AE4E69">
        <w:rPr>
          <w:sz w:val="28"/>
          <w:szCs w:val="28"/>
          <w:lang w:val="en-US"/>
        </w:rPr>
        <w:t>n</w:t>
      </w:r>
      <w:r w:rsidRPr="00AE4E69">
        <w:rPr>
          <w:sz w:val="28"/>
          <w:szCs w:val="28"/>
        </w:rPr>
        <w:t>+1</w:t>
      </w:r>
      <w:r>
        <w:rPr>
          <w:sz w:val="28"/>
          <w:szCs w:val="28"/>
        </w:rPr>
        <w:t>,</w:t>
      </w:r>
    </w:p>
    <w:p w:rsidR="0055491A" w:rsidRPr="00AE4E69" w:rsidRDefault="0055491A" w:rsidP="0055491A">
      <w:pPr>
        <w:ind w:firstLine="709"/>
        <w:rPr>
          <w:sz w:val="28"/>
          <w:szCs w:val="28"/>
        </w:rPr>
      </w:pPr>
      <w:r w:rsidRPr="00AE4E69">
        <w:rPr>
          <w:sz w:val="28"/>
          <w:szCs w:val="28"/>
        </w:rPr>
        <w:t xml:space="preserve"> </w:t>
      </w:r>
    </w:p>
    <w:p w:rsidR="0055491A" w:rsidRPr="00AE4E69" w:rsidRDefault="0055491A" w:rsidP="0055491A">
      <w:pPr>
        <w:ind w:firstLine="709"/>
        <w:rPr>
          <w:sz w:val="28"/>
          <w:szCs w:val="28"/>
        </w:rPr>
      </w:pPr>
    </w:p>
    <w:p w:rsidR="0055491A" w:rsidRPr="00AE4E69" w:rsidRDefault="0055491A" w:rsidP="0055491A">
      <w:pPr>
        <w:ind w:firstLine="709"/>
        <w:rPr>
          <w:sz w:val="28"/>
          <w:szCs w:val="28"/>
        </w:rPr>
      </w:pPr>
      <w:r>
        <w:rPr>
          <w:sz w:val="28"/>
          <w:szCs w:val="28"/>
        </w:rPr>
        <w:t>где:</w:t>
      </w:r>
    </w:p>
    <w:p w:rsidR="0055491A" w:rsidRPr="00AE4E69" w:rsidRDefault="0055491A" w:rsidP="0055491A">
      <w:pPr>
        <w:ind w:firstLine="709"/>
        <w:jc w:val="both"/>
        <w:rPr>
          <w:color w:val="000000"/>
          <w:sz w:val="28"/>
          <w:szCs w:val="28"/>
        </w:rPr>
      </w:pPr>
      <w:r w:rsidRPr="00AE4E69">
        <w:rPr>
          <w:sz w:val="28"/>
          <w:szCs w:val="28"/>
        </w:rPr>
        <w:t>Факт</w:t>
      </w:r>
      <w:r w:rsidRPr="00AE4E69">
        <w:rPr>
          <w:sz w:val="28"/>
          <w:szCs w:val="28"/>
          <w:lang w:val="en-US"/>
        </w:rPr>
        <w:t>n</w:t>
      </w:r>
      <w:r>
        <w:rPr>
          <w:sz w:val="28"/>
          <w:szCs w:val="28"/>
        </w:rPr>
        <w:t xml:space="preserve"> </w:t>
      </w:r>
      <w:r w:rsidRPr="00AE4E69">
        <w:rPr>
          <w:sz w:val="28"/>
          <w:szCs w:val="28"/>
        </w:rPr>
        <w:t xml:space="preserve">- </w:t>
      </w:r>
      <w:r w:rsidRPr="00AE4E69">
        <w:rPr>
          <w:color w:val="000000"/>
          <w:sz w:val="28"/>
          <w:szCs w:val="28"/>
        </w:rPr>
        <w:t>фактические поступления на дату составления прогноза (отчетную дату);</w:t>
      </w:r>
    </w:p>
    <w:p w:rsidR="0055491A" w:rsidRPr="00C8228F" w:rsidRDefault="0055491A" w:rsidP="0055491A">
      <w:pPr>
        <w:autoSpaceDE w:val="0"/>
        <w:autoSpaceDN w:val="0"/>
        <w:adjustRightInd w:val="0"/>
        <w:ind w:firstLine="709"/>
        <w:jc w:val="both"/>
        <w:rPr>
          <w:color w:val="000000"/>
          <w:sz w:val="28"/>
          <w:szCs w:val="28"/>
        </w:rPr>
      </w:pPr>
      <w:r w:rsidRPr="00C8228F">
        <w:rPr>
          <w:sz w:val="28"/>
          <w:szCs w:val="28"/>
        </w:rPr>
        <w:t>Факт</w:t>
      </w:r>
      <w:r w:rsidRPr="00C8228F">
        <w:rPr>
          <w:sz w:val="28"/>
          <w:szCs w:val="28"/>
          <w:lang w:val="en-US"/>
        </w:rPr>
        <w:t>n</w:t>
      </w:r>
      <w:r w:rsidRPr="00C8228F">
        <w:rPr>
          <w:sz w:val="28"/>
          <w:szCs w:val="28"/>
        </w:rPr>
        <w:t xml:space="preserve">+1- </w:t>
      </w:r>
      <w:r w:rsidRPr="00C8228F">
        <w:rPr>
          <w:color w:val="000000"/>
          <w:sz w:val="28"/>
          <w:szCs w:val="28"/>
        </w:rPr>
        <w:t>планируемое поступление до конца года (рассчитывается исходя из графика погашения дебиторской задолженности).</w:t>
      </w:r>
    </w:p>
    <w:p w:rsidR="0055491A" w:rsidRDefault="0055491A" w:rsidP="0055491A">
      <w:pPr>
        <w:ind w:right="282" w:firstLine="708"/>
        <w:jc w:val="both"/>
        <w:rPr>
          <w:sz w:val="28"/>
          <w:szCs w:val="28"/>
        </w:rPr>
      </w:pPr>
      <w:r w:rsidRPr="002E6055">
        <w:rPr>
          <w:sz w:val="28"/>
          <w:szCs w:val="28"/>
        </w:rPr>
        <w:t xml:space="preserve">Дебиторская задолженность, образовавшаяся до 01.01.2020 г. по начисленным штрафным санкциям за нарушение подрядчиками условий государственных контрактов, составляет </w:t>
      </w:r>
      <w:r w:rsidRPr="001203A0">
        <w:rPr>
          <w:sz w:val="28"/>
          <w:szCs w:val="28"/>
        </w:rPr>
        <w:t>146 904,45 тыс. руб., в т.ч. подлежит списанию в 2021 году 4 814,52 тыс.</w:t>
      </w:r>
      <w:r>
        <w:rPr>
          <w:sz w:val="28"/>
          <w:szCs w:val="28"/>
        </w:rPr>
        <w:t xml:space="preserve"> </w:t>
      </w:r>
      <w:r w:rsidRPr="001203A0">
        <w:rPr>
          <w:sz w:val="28"/>
          <w:szCs w:val="28"/>
        </w:rPr>
        <w:t>руб. Итого дебиторская задолженность по начисленным штрафным санкциям составляет 142 089,93 тыс.</w:t>
      </w:r>
      <w:r>
        <w:rPr>
          <w:sz w:val="28"/>
          <w:szCs w:val="28"/>
        </w:rPr>
        <w:t xml:space="preserve"> </w:t>
      </w:r>
      <w:r w:rsidRPr="001203A0">
        <w:rPr>
          <w:sz w:val="28"/>
          <w:szCs w:val="28"/>
        </w:rPr>
        <w:t>руб.</w:t>
      </w:r>
      <w:r>
        <w:rPr>
          <w:sz w:val="28"/>
          <w:szCs w:val="28"/>
        </w:rPr>
        <w:t xml:space="preserve"> </w:t>
      </w:r>
    </w:p>
    <w:p w:rsidR="0055491A" w:rsidRPr="00F0083C" w:rsidRDefault="0055491A" w:rsidP="0055491A">
      <w:pPr>
        <w:autoSpaceDE w:val="0"/>
        <w:autoSpaceDN w:val="0"/>
        <w:adjustRightInd w:val="0"/>
        <w:ind w:firstLine="709"/>
        <w:jc w:val="both"/>
        <w:rPr>
          <w:color w:val="000000"/>
          <w:sz w:val="28"/>
          <w:szCs w:val="28"/>
        </w:rPr>
      </w:pPr>
      <w:r w:rsidRPr="002E6055">
        <w:rPr>
          <w:sz w:val="28"/>
          <w:szCs w:val="28"/>
        </w:rPr>
        <w:t xml:space="preserve">Планируемая сумма </w:t>
      </w:r>
      <w:r>
        <w:rPr>
          <w:sz w:val="28"/>
          <w:szCs w:val="28"/>
        </w:rPr>
        <w:t>поступлений</w:t>
      </w:r>
      <w:r w:rsidRPr="002E6055">
        <w:rPr>
          <w:sz w:val="28"/>
          <w:szCs w:val="28"/>
        </w:rPr>
        <w:t xml:space="preserve"> в 2021 году в связи с ожидаемым окончанием судебного делопроизводства по взысканию выставленных штрафных санкций к подрядчику ООО "Канмаш ДСО" за нарушение условий государственных контрактов составляет </w:t>
      </w:r>
      <w:r w:rsidRPr="00F0083C">
        <w:rPr>
          <w:sz w:val="28"/>
          <w:szCs w:val="28"/>
        </w:rPr>
        <w:t>129 997,1 тыс.</w:t>
      </w:r>
      <w:r>
        <w:rPr>
          <w:sz w:val="28"/>
          <w:szCs w:val="28"/>
        </w:rPr>
        <w:t xml:space="preserve"> </w:t>
      </w:r>
      <w:r w:rsidRPr="00F0083C">
        <w:rPr>
          <w:sz w:val="28"/>
          <w:szCs w:val="28"/>
        </w:rPr>
        <w:t>руб.</w:t>
      </w:r>
    </w:p>
    <w:p w:rsidR="0055491A" w:rsidRPr="00F0083C" w:rsidRDefault="0055491A" w:rsidP="0055491A">
      <w:pPr>
        <w:ind w:right="282" w:firstLine="708"/>
        <w:jc w:val="both"/>
        <w:rPr>
          <w:sz w:val="28"/>
          <w:szCs w:val="28"/>
        </w:rPr>
      </w:pPr>
      <w:r w:rsidRPr="00F0083C">
        <w:rPr>
          <w:sz w:val="28"/>
          <w:szCs w:val="28"/>
        </w:rPr>
        <w:t xml:space="preserve">Факт на 01.06.2021 – 0,0 тыс. руб. </w:t>
      </w:r>
    </w:p>
    <w:p w:rsidR="0055491A" w:rsidRPr="00F0083C" w:rsidRDefault="0055491A" w:rsidP="0055491A">
      <w:pPr>
        <w:autoSpaceDE w:val="0"/>
        <w:autoSpaceDN w:val="0"/>
        <w:adjustRightInd w:val="0"/>
        <w:ind w:firstLine="720"/>
        <w:jc w:val="both"/>
        <w:rPr>
          <w:color w:val="000000"/>
          <w:sz w:val="28"/>
          <w:szCs w:val="28"/>
        </w:rPr>
      </w:pPr>
      <w:r w:rsidRPr="00F0083C">
        <w:rPr>
          <w:color w:val="000000"/>
          <w:sz w:val="28"/>
          <w:szCs w:val="28"/>
        </w:rPr>
        <w:lastRenderedPageBreak/>
        <w:t>Ожидаемое 2021 год =</w:t>
      </w:r>
      <w:r w:rsidRPr="00F0083C">
        <w:rPr>
          <w:sz w:val="28"/>
          <w:szCs w:val="28"/>
        </w:rPr>
        <w:t xml:space="preserve"> факт на 01.06.2021 + 129 997,1 тыс.</w:t>
      </w:r>
      <w:r>
        <w:rPr>
          <w:sz w:val="28"/>
          <w:szCs w:val="28"/>
        </w:rPr>
        <w:t xml:space="preserve"> </w:t>
      </w:r>
      <w:r w:rsidRPr="00F0083C">
        <w:rPr>
          <w:sz w:val="28"/>
          <w:szCs w:val="28"/>
        </w:rPr>
        <w:t xml:space="preserve">руб. = </w:t>
      </w:r>
      <w:r>
        <w:rPr>
          <w:sz w:val="28"/>
          <w:szCs w:val="28"/>
        </w:rPr>
        <w:t xml:space="preserve">                      </w:t>
      </w:r>
      <w:r w:rsidRPr="00F0083C">
        <w:rPr>
          <w:sz w:val="28"/>
          <w:szCs w:val="28"/>
        </w:rPr>
        <w:t>129 997,1 тыс.</w:t>
      </w:r>
      <w:r>
        <w:rPr>
          <w:sz w:val="28"/>
          <w:szCs w:val="28"/>
        </w:rPr>
        <w:t xml:space="preserve"> </w:t>
      </w:r>
      <w:r w:rsidRPr="00F0083C">
        <w:rPr>
          <w:sz w:val="28"/>
          <w:szCs w:val="28"/>
        </w:rPr>
        <w:t>руб.</w:t>
      </w:r>
      <w:r w:rsidRPr="00F0083C">
        <w:rPr>
          <w:color w:val="000000"/>
          <w:sz w:val="28"/>
          <w:szCs w:val="28"/>
        </w:rPr>
        <w:t xml:space="preserve"> </w:t>
      </w:r>
    </w:p>
    <w:p w:rsidR="0055491A" w:rsidRPr="00F0083C" w:rsidRDefault="0055491A" w:rsidP="0055491A">
      <w:pPr>
        <w:autoSpaceDE w:val="0"/>
        <w:autoSpaceDN w:val="0"/>
        <w:adjustRightInd w:val="0"/>
        <w:ind w:firstLine="720"/>
        <w:jc w:val="both"/>
        <w:rPr>
          <w:sz w:val="28"/>
          <w:szCs w:val="28"/>
        </w:rPr>
      </w:pPr>
      <w:r w:rsidRPr="00F0083C">
        <w:rPr>
          <w:color w:val="000000"/>
          <w:sz w:val="28"/>
          <w:szCs w:val="28"/>
        </w:rPr>
        <w:t>Прогноз 2022 год = Сумма задолженности на дату составления прогноза (отчетную дату) - ожидаемое 202</w:t>
      </w:r>
      <w:r w:rsidRPr="00F0083C">
        <w:rPr>
          <w:sz w:val="28"/>
          <w:szCs w:val="28"/>
        </w:rPr>
        <w:t>1 г.</w:t>
      </w:r>
    </w:p>
    <w:p w:rsidR="0055491A" w:rsidRPr="00F0083C" w:rsidRDefault="0055491A" w:rsidP="0055491A">
      <w:pPr>
        <w:autoSpaceDE w:val="0"/>
        <w:autoSpaceDN w:val="0"/>
        <w:adjustRightInd w:val="0"/>
        <w:ind w:firstLine="720"/>
        <w:jc w:val="both"/>
        <w:rPr>
          <w:b/>
          <w:sz w:val="28"/>
          <w:szCs w:val="28"/>
        </w:rPr>
      </w:pPr>
      <w:r w:rsidRPr="005C2368">
        <w:rPr>
          <w:b/>
          <w:sz w:val="28"/>
          <w:szCs w:val="28"/>
        </w:rPr>
        <w:t>Прогноз на</w:t>
      </w:r>
      <w:r w:rsidRPr="00F0083C">
        <w:rPr>
          <w:sz w:val="28"/>
          <w:szCs w:val="28"/>
        </w:rPr>
        <w:t xml:space="preserve"> </w:t>
      </w:r>
      <w:r w:rsidRPr="00F0083C">
        <w:rPr>
          <w:b/>
          <w:sz w:val="28"/>
          <w:szCs w:val="28"/>
        </w:rPr>
        <w:t>2022 год</w:t>
      </w:r>
      <w:r w:rsidRPr="00F0083C">
        <w:rPr>
          <w:sz w:val="28"/>
          <w:szCs w:val="28"/>
        </w:rPr>
        <w:t xml:space="preserve"> = 142 089,9</w:t>
      </w:r>
      <w:r>
        <w:rPr>
          <w:sz w:val="28"/>
          <w:szCs w:val="28"/>
        </w:rPr>
        <w:t xml:space="preserve"> тыс. руб.</w:t>
      </w:r>
      <w:r w:rsidRPr="00F0083C">
        <w:rPr>
          <w:sz w:val="28"/>
          <w:szCs w:val="28"/>
        </w:rPr>
        <w:t xml:space="preserve"> - 129 997,1 тыс.руб.</w:t>
      </w:r>
      <w:r>
        <w:rPr>
          <w:sz w:val="28"/>
          <w:szCs w:val="28"/>
        </w:rPr>
        <w:t xml:space="preserve"> </w:t>
      </w:r>
      <w:r w:rsidRPr="00F0083C">
        <w:rPr>
          <w:sz w:val="28"/>
          <w:szCs w:val="28"/>
        </w:rPr>
        <w:t xml:space="preserve">(ожидаемое поступление в 2021 г.) = </w:t>
      </w:r>
      <w:r w:rsidRPr="00F0083C">
        <w:rPr>
          <w:b/>
          <w:sz w:val="28"/>
          <w:szCs w:val="28"/>
        </w:rPr>
        <w:t>12 092,8 тыс.</w:t>
      </w:r>
      <w:r>
        <w:rPr>
          <w:b/>
          <w:sz w:val="28"/>
          <w:szCs w:val="28"/>
        </w:rPr>
        <w:t xml:space="preserve"> </w:t>
      </w:r>
      <w:r w:rsidRPr="00F0083C">
        <w:rPr>
          <w:b/>
          <w:sz w:val="28"/>
          <w:szCs w:val="28"/>
        </w:rPr>
        <w:t xml:space="preserve">руб. </w:t>
      </w:r>
    </w:p>
    <w:p w:rsidR="0055491A" w:rsidRPr="00F0083C" w:rsidRDefault="0055491A" w:rsidP="0055491A">
      <w:pPr>
        <w:autoSpaceDE w:val="0"/>
        <w:autoSpaceDN w:val="0"/>
        <w:adjustRightInd w:val="0"/>
        <w:ind w:firstLine="720"/>
        <w:jc w:val="both"/>
        <w:rPr>
          <w:color w:val="000000"/>
          <w:sz w:val="28"/>
          <w:szCs w:val="28"/>
        </w:rPr>
      </w:pPr>
    </w:p>
    <w:p w:rsidR="0055491A" w:rsidRPr="00F0083C" w:rsidRDefault="0055491A" w:rsidP="0055491A">
      <w:pPr>
        <w:autoSpaceDE w:val="0"/>
        <w:autoSpaceDN w:val="0"/>
        <w:adjustRightInd w:val="0"/>
        <w:ind w:firstLine="720"/>
        <w:jc w:val="both"/>
        <w:rPr>
          <w:sz w:val="28"/>
          <w:szCs w:val="28"/>
        </w:rPr>
      </w:pPr>
      <w:r w:rsidRPr="005C2368">
        <w:rPr>
          <w:color w:val="000000"/>
          <w:sz w:val="28"/>
          <w:szCs w:val="28"/>
        </w:rPr>
        <w:t>Прогноз на 2023 год</w:t>
      </w:r>
      <w:r w:rsidRPr="00F0083C">
        <w:rPr>
          <w:color w:val="000000"/>
          <w:sz w:val="28"/>
          <w:szCs w:val="28"/>
        </w:rPr>
        <w:t xml:space="preserve"> = Сумма задолженности на дату составления прогноза (отчетную дату) - ожидаемое 2021</w:t>
      </w:r>
      <w:r w:rsidRPr="00F0083C">
        <w:rPr>
          <w:sz w:val="28"/>
          <w:szCs w:val="28"/>
        </w:rPr>
        <w:t xml:space="preserve"> г. - прогноз 2022 г.</w:t>
      </w:r>
    </w:p>
    <w:p w:rsidR="0055491A" w:rsidRPr="00F0083C" w:rsidRDefault="0055491A" w:rsidP="0055491A">
      <w:pPr>
        <w:autoSpaceDE w:val="0"/>
        <w:autoSpaceDN w:val="0"/>
        <w:adjustRightInd w:val="0"/>
        <w:ind w:firstLine="720"/>
        <w:jc w:val="both"/>
        <w:rPr>
          <w:b/>
          <w:sz w:val="28"/>
          <w:szCs w:val="28"/>
        </w:rPr>
      </w:pPr>
      <w:r w:rsidRPr="005C2368">
        <w:rPr>
          <w:b/>
          <w:sz w:val="28"/>
          <w:szCs w:val="28"/>
        </w:rPr>
        <w:t>Прогноз на 2023</w:t>
      </w:r>
      <w:r w:rsidRPr="00F0083C">
        <w:rPr>
          <w:b/>
          <w:sz w:val="28"/>
          <w:szCs w:val="28"/>
        </w:rPr>
        <w:t xml:space="preserve"> год</w:t>
      </w:r>
      <w:r w:rsidRPr="00F0083C">
        <w:rPr>
          <w:sz w:val="28"/>
          <w:szCs w:val="28"/>
        </w:rPr>
        <w:t xml:space="preserve"> = 142 089,9 тыс.</w:t>
      </w:r>
      <w:r>
        <w:rPr>
          <w:sz w:val="28"/>
          <w:szCs w:val="28"/>
        </w:rPr>
        <w:t xml:space="preserve"> </w:t>
      </w:r>
      <w:r w:rsidRPr="00F0083C">
        <w:rPr>
          <w:sz w:val="28"/>
          <w:szCs w:val="28"/>
        </w:rPr>
        <w:t>руб. - 129 997,1 тыс.</w:t>
      </w:r>
      <w:r>
        <w:rPr>
          <w:sz w:val="28"/>
          <w:szCs w:val="28"/>
        </w:rPr>
        <w:t xml:space="preserve"> </w:t>
      </w:r>
      <w:r w:rsidRPr="00F0083C">
        <w:rPr>
          <w:sz w:val="28"/>
          <w:szCs w:val="28"/>
        </w:rPr>
        <w:t>руб. - 12 092,8 тыс.</w:t>
      </w:r>
      <w:r>
        <w:rPr>
          <w:sz w:val="28"/>
          <w:szCs w:val="28"/>
        </w:rPr>
        <w:t xml:space="preserve"> </w:t>
      </w:r>
      <w:r w:rsidRPr="00F0083C">
        <w:rPr>
          <w:sz w:val="28"/>
          <w:szCs w:val="28"/>
        </w:rPr>
        <w:t xml:space="preserve">руб. = </w:t>
      </w:r>
      <w:r w:rsidRPr="00F0083C">
        <w:rPr>
          <w:b/>
          <w:sz w:val="28"/>
          <w:szCs w:val="28"/>
        </w:rPr>
        <w:t>0,0 тыс.</w:t>
      </w:r>
      <w:r>
        <w:rPr>
          <w:b/>
          <w:sz w:val="28"/>
          <w:szCs w:val="28"/>
        </w:rPr>
        <w:t xml:space="preserve"> </w:t>
      </w:r>
      <w:r w:rsidRPr="00F0083C">
        <w:rPr>
          <w:b/>
          <w:sz w:val="28"/>
          <w:szCs w:val="28"/>
        </w:rPr>
        <w:t>руб.</w:t>
      </w:r>
    </w:p>
    <w:p w:rsidR="0055491A" w:rsidRPr="002E6055" w:rsidRDefault="0055491A" w:rsidP="0055491A">
      <w:pPr>
        <w:ind w:firstLine="709"/>
        <w:jc w:val="both"/>
        <w:rPr>
          <w:sz w:val="28"/>
          <w:szCs w:val="28"/>
        </w:rPr>
      </w:pPr>
    </w:p>
    <w:p w:rsidR="0055491A" w:rsidRPr="002E6055" w:rsidRDefault="0055491A" w:rsidP="0055491A">
      <w:pPr>
        <w:autoSpaceDE w:val="0"/>
        <w:autoSpaceDN w:val="0"/>
        <w:adjustRightInd w:val="0"/>
        <w:ind w:firstLine="720"/>
        <w:jc w:val="both"/>
        <w:rPr>
          <w:sz w:val="28"/>
          <w:szCs w:val="28"/>
        </w:rPr>
      </w:pPr>
      <w:r w:rsidRPr="00F0083C">
        <w:rPr>
          <w:color w:val="000000"/>
          <w:sz w:val="28"/>
          <w:szCs w:val="28"/>
        </w:rPr>
        <w:t>Прогноз 2024 год</w:t>
      </w:r>
      <w:r w:rsidRPr="002E6055">
        <w:rPr>
          <w:color w:val="000000"/>
          <w:sz w:val="28"/>
          <w:szCs w:val="28"/>
        </w:rPr>
        <w:t xml:space="preserve"> = Сумма задолженности на дату составления прогноза (отчетную дату) - ожидаемое 202</w:t>
      </w:r>
      <w:r w:rsidRPr="002E6055">
        <w:rPr>
          <w:sz w:val="28"/>
          <w:szCs w:val="28"/>
        </w:rPr>
        <w:t>1 г. - прогноз 2022 г. - прогноз 2023 г.</w:t>
      </w:r>
    </w:p>
    <w:p w:rsidR="0055491A" w:rsidRPr="002E6055" w:rsidRDefault="0055491A" w:rsidP="0055491A">
      <w:pPr>
        <w:autoSpaceDE w:val="0"/>
        <w:autoSpaceDN w:val="0"/>
        <w:adjustRightInd w:val="0"/>
        <w:ind w:firstLine="720"/>
        <w:jc w:val="both"/>
        <w:rPr>
          <w:sz w:val="28"/>
          <w:szCs w:val="28"/>
        </w:rPr>
      </w:pPr>
    </w:p>
    <w:p w:rsidR="0055491A" w:rsidRPr="002E6055" w:rsidRDefault="0055491A" w:rsidP="0055491A">
      <w:pPr>
        <w:autoSpaceDE w:val="0"/>
        <w:autoSpaceDN w:val="0"/>
        <w:adjustRightInd w:val="0"/>
        <w:ind w:firstLine="720"/>
        <w:jc w:val="both"/>
        <w:rPr>
          <w:sz w:val="28"/>
          <w:szCs w:val="28"/>
        </w:rPr>
      </w:pPr>
      <w:r w:rsidRPr="005C2368">
        <w:rPr>
          <w:b/>
          <w:sz w:val="28"/>
          <w:szCs w:val="28"/>
        </w:rPr>
        <w:t>Прогноз на 2024</w:t>
      </w:r>
      <w:r w:rsidRPr="00F0083C">
        <w:rPr>
          <w:b/>
          <w:sz w:val="28"/>
          <w:szCs w:val="28"/>
        </w:rPr>
        <w:t xml:space="preserve"> год</w:t>
      </w:r>
      <w:r w:rsidRPr="002E6055">
        <w:rPr>
          <w:sz w:val="28"/>
          <w:szCs w:val="28"/>
        </w:rPr>
        <w:t xml:space="preserve"> = </w:t>
      </w:r>
      <w:r>
        <w:rPr>
          <w:sz w:val="28"/>
          <w:szCs w:val="28"/>
        </w:rPr>
        <w:t>142 089,9</w:t>
      </w:r>
      <w:r w:rsidRPr="002E6055">
        <w:rPr>
          <w:sz w:val="28"/>
          <w:szCs w:val="28"/>
        </w:rPr>
        <w:t xml:space="preserve"> тыс.руб. - 129 997,1 тыс.руб. - </w:t>
      </w:r>
      <w:r>
        <w:rPr>
          <w:sz w:val="28"/>
          <w:szCs w:val="28"/>
        </w:rPr>
        <w:t xml:space="preserve">12 092,8 </w:t>
      </w:r>
      <w:r w:rsidRPr="002E6055">
        <w:rPr>
          <w:sz w:val="28"/>
          <w:szCs w:val="28"/>
        </w:rPr>
        <w:t>тыс.руб. - 0,00 тыс.руб</w:t>
      </w:r>
      <w:r>
        <w:rPr>
          <w:sz w:val="28"/>
          <w:szCs w:val="28"/>
        </w:rPr>
        <w:t>.</w:t>
      </w:r>
      <w:r w:rsidRPr="002E6055">
        <w:rPr>
          <w:sz w:val="28"/>
          <w:szCs w:val="28"/>
        </w:rPr>
        <w:t xml:space="preserve"> = </w:t>
      </w:r>
      <w:r w:rsidRPr="002E6055">
        <w:rPr>
          <w:b/>
          <w:sz w:val="28"/>
          <w:szCs w:val="28"/>
        </w:rPr>
        <w:t>0,0 тыс.</w:t>
      </w:r>
      <w:r>
        <w:rPr>
          <w:b/>
          <w:sz w:val="28"/>
          <w:szCs w:val="28"/>
        </w:rPr>
        <w:t xml:space="preserve"> </w:t>
      </w:r>
      <w:r w:rsidRPr="002E6055">
        <w:rPr>
          <w:b/>
          <w:sz w:val="28"/>
          <w:szCs w:val="28"/>
        </w:rPr>
        <w:t>руб.</w:t>
      </w:r>
    </w:p>
    <w:p w:rsidR="0055491A" w:rsidRDefault="0055491A" w:rsidP="0055491A">
      <w:pPr>
        <w:pStyle w:val="33"/>
        <w:rPr>
          <w:color w:val="000000" w:themeColor="text1"/>
          <w:sz w:val="28"/>
          <w:szCs w:val="28"/>
        </w:rPr>
      </w:pPr>
    </w:p>
    <w:p w:rsidR="0055491A" w:rsidRDefault="0055491A" w:rsidP="0055491A">
      <w:pPr>
        <w:pStyle w:val="a7"/>
        <w:spacing w:after="0"/>
        <w:ind w:left="0" w:firstLine="709"/>
        <w:jc w:val="both"/>
        <w:rPr>
          <w:color w:val="000000" w:themeColor="text1"/>
          <w:sz w:val="28"/>
          <w:szCs w:val="28"/>
        </w:rPr>
      </w:pPr>
      <w:r>
        <w:rPr>
          <w:color w:val="000000" w:themeColor="text1"/>
          <w:sz w:val="28"/>
          <w:szCs w:val="28"/>
        </w:rPr>
        <w:t xml:space="preserve">25.3  </w:t>
      </w:r>
      <w:r w:rsidRPr="005C2368">
        <w:rPr>
          <w:b/>
          <w:color w:val="000000" w:themeColor="text1"/>
          <w:sz w:val="28"/>
          <w:szCs w:val="28"/>
        </w:rPr>
        <w:t>КБК 182 1 16 10122 01 0000 140</w:t>
      </w:r>
      <w:r>
        <w:rPr>
          <w:color w:val="000000" w:themeColor="text1"/>
          <w:sz w:val="28"/>
          <w:szCs w:val="28"/>
        </w:rPr>
        <w:t xml:space="preserve"> </w:t>
      </w:r>
      <w:r w:rsidRPr="004A3891">
        <w:rPr>
          <w:color w:val="000000" w:themeColor="text1"/>
          <w:sz w:val="28"/>
          <w:szCs w:val="2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w:t>
      </w:r>
      <w:r>
        <w:rPr>
          <w:color w:val="000000" w:themeColor="text1"/>
          <w:sz w:val="28"/>
          <w:szCs w:val="28"/>
        </w:rPr>
        <w:t>.</w:t>
      </w:r>
      <w:r w:rsidRPr="004A3891">
        <w:rPr>
          <w:color w:val="000000" w:themeColor="text1"/>
          <w:sz w:val="28"/>
          <w:szCs w:val="28"/>
        </w:rPr>
        <w:t xml:space="preserve"> </w:t>
      </w:r>
    </w:p>
    <w:p w:rsidR="0055491A" w:rsidRDefault="0055491A" w:rsidP="0055491A">
      <w:pPr>
        <w:pStyle w:val="a7"/>
        <w:spacing w:after="0"/>
        <w:ind w:left="0" w:firstLine="709"/>
        <w:jc w:val="both"/>
        <w:rPr>
          <w:color w:val="000000" w:themeColor="text1"/>
          <w:sz w:val="28"/>
          <w:szCs w:val="28"/>
        </w:rPr>
      </w:pPr>
      <w:r w:rsidRPr="004A3891">
        <w:rPr>
          <w:color w:val="000000" w:themeColor="text1"/>
          <w:sz w:val="28"/>
          <w:szCs w:val="28"/>
        </w:rPr>
        <w:t xml:space="preserve"> </w:t>
      </w:r>
      <w:r w:rsidRPr="005C2368">
        <w:rPr>
          <w:b/>
          <w:color w:val="000000" w:themeColor="text1"/>
          <w:sz w:val="28"/>
          <w:szCs w:val="28"/>
        </w:rPr>
        <w:t>Главный администратор доходов – Управление Федеральной налоговой службы по Тверской области</w:t>
      </w:r>
      <w:r>
        <w:rPr>
          <w:color w:val="000000" w:themeColor="text1"/>
          <w:sz w:val="28"/>
          <w:szCs w:val="28"/>
        </w:rPr>
        <w:t>.</w:t>
      </w:r>
    </w:p>
    <w:p w:rsidR="0055491A" w:rsidRPr="00BF701C" w:rsidRDefault="0055491A" w:rsidP="0055491A">
      <w:pPr>
        <w:ind w:firstLine="709"/>
        <w:jc w:val="both"/>
        <w:rPr>
          <w:color w:val="000000"/>
          <w:sz w:val="27"/>
          <w:szCs w:val="27"/>
          <w:lang w:eastAsia="en-US"/>
        </w:rPr>
      </w:pPr>
      <w:r w:rsidRPr="00BF701C">
        <w:rPr>
          <w:color w:val="000000"/>
          <w:sz w:val="27"/>
          <w:szCs w:val="27"/>
          <w:lang w:eastAsia="en-US"/>
        </w:rPr>
        <w:t>При прогнозировании поступлений указанных доходов уч</w:t>
      </w:r>
      <w:r>
        <w:rPr>
          <w:color w:val="000000"/>
          <w:sz w:val="27"/>
          <w:szCs w:val="27"/>
          <w:lang w:eastAsia="en-US"/>
        </w:rPr>
        <w:t>тены</w:t>
      </w:r>
      <w:r w:rsidRPr="00BF701C">
        <w:rPr>
          <w:color w:val="000000"/>
          <w:sz w:val="27"/>
          <w:szCs w:val="27"/>
          <w:lang w:eastAsia="en-US"/>
        </w:rPr>
        <w:t xml:space="preserve"> ожидаемые результаты работы по взысканию дебиторской задолженности, образовавшейся до 1 января 2020 года.</w:t>
      </w:r>
    </w:p>
    <w:p w:rsidR="0055491A" w:rsidRDefault="0055491A" w:rsidP="0055491A">
      <w:pPr>
        <w:pStyle w:val="a7"/>
        <w:spacing w:after="0"/>
        <w:ind w:left="0" w:firstLine="709"/>
        <w:jc w:val="both"/>
        <w:rPr>
          <w:color w:val="000000" w:themeColor="text1"/>
          <w:sz w:val="28"/>
          <w:szCs w:val="28"/>
        </w:rPr>
      </w:pPr>
      <w:r>
        <w:rPr>
          <w:color w:val="000000" w:themeColor="text1"/>
          <w:sz w:val="28"/>
          <w:szCs w:val="28"/>
        </w:rPr>
        <w:t>О</w:t>
      </w:r>
      <w:r w:rsidRPr="00A87A1D">
        <w:rPr>
          <w:color w:val="000000" w:themeColor="text1"/>
          <w:sz w:val="28"/>
          <w:szCs w:val="28"/>
        </w:rPr>
        <w:t>ценка 202</w:t>
      </w:r>
      <w:r>
        <w:rPr>
          <w:color w:val="000000" w:themeColor="text1"/>
          <w:sz w:val="28"/>
          <w:szCs w:val="28"/>
        </w:rPr>
        <w:t>1</w:t>
      </w:r>
      <w:r w:rsidRPr="00A87A1D">
        <w:rPr>
          <w:color w:val="000000" w:themeColor="text1"/>
          <w:sz w:val="28"/>
          <w:szCs w:val="28"/>
        </w:rPr>
        <w:t xml:space="preserve"> года рассчитана с учетом фактических поступлений и 1/4 части задолженности по состоянию на 01.0</w:t>
      </w:r>
      <w:r>
        <w:rPr>
          <w:color w:val="000000" w:themeColor="text1"/>
          <w:sz w:val="28"/>
          <w:szCs w:val="28"/>
        </w:rPr>
        <w:t>6</w:t>
      </w:r>
      <w:r w:rsidRPr="00A87A1D">
        <w:rPr>
          <w:color w:val="000000" w:themeColor="text1"/>
          <w:sz w:val="28"/>
          <w:szCs w:val="28"/>
        </w:rPr>
        <w:t>.202</w:t>
      </w:r>
      <w:r>
        <w:rPr>
          <w:color w:val="000000" w:themeColor="text1"/>
          <w:sz w:val="28"/>
          <w:szCs w:val="28"/>
        </w:rPr>
        <w:t>1</w:t>
      </w:r>
      <w:r w:rsidRPr="00A87A1D">
        <w:rPr>
          <w:color w:val="000000" w:themeColor="text1"/>
          <w:sz w:val="28"/>
          <w:szCs w:val="28"/>
        </w:rPr>
        <w:t>.</w:t>
      </w:r>
    </w:p>
    <w:p w:rsidR="0055491A" w:rsidRDefault="0055491A" w:rsidP="0055491A">
      <w:pPr>
        <w:pStyle w:val="a7"/>
        <w:spacing w:after="0"/>
        <w:ind w:left="0" w:firstLine="709"/>
        <w:jc w:val="both"/>
        <w:rPr>
          <w:color w:val="000000" w:themeColor="text1"/>
          <w:sz w:val="28"/>
          <w:szCs w:val="28"/>
        </w:rPr>
      </w:pPr>
    </w:p>
    <w:tbl>
      <w:tblPr>
        <w:tblW w:w="5000" w:type="pct"/>
        <w:tblLook w:val="04A0" w:firstRow="1" w:lastRow="0" w:firstColumn="1" w:lastColumn="0" w:noHBand="0" w:noVBand="1"/>
      </w:tblPr>
      <w:tblGrid>
        <w:gridCol w:w="1937"/>
        <w:gridCol w:w="2227"/>
        <w:gridCol w:w="1200"/>
        <w:gridCol w:w="1324"/>
        <w:gridCol w:w="1324"/>
        <w:gridCol w:w="1322"/>
      </w:tblGrid>
      <w:tr w:rsidR="0055491A" w:rsidTr="00210BF6">
        <w:trPr>
          <w:trHeight w:val="1455"/>
        </w:trPr>
        <w:tc>
          <w:tcPr>
            <w:tcW w:w="1038" w:type="pct"/>
            <w:tcBorders>
              <w:top w:val="single" w:sz="8" w:space="0" w:color="auto"/>
              <w:left w:val="single" w:sz="8" w:space="0" w:color="auto"/>
              <w:bottom w:val="nil"/>
              <w:right w:val="single" w:sz="8" w:space="0" w:color="auto"/>
            </w:tcBorders>
            <w:shd w:val="clear" w:color="auto" w:fill="auto"/>
            <w:vAlign w:val="center"/>
            <w:hideMark/>
          </w:tcPr>
          <w:p w:rsidR="0055491A" w:rsidRPr="00A87A1D" w:rsidRDefault="0055491A" w:rsidP="00210BF6">
            <w:pPr>
              <w:jc w:val="center"/>
            </w:pPr>
            <w:r w:rsidRPr="00A87A1D">
              <w:t>Объем фактических поступлений на 01.0</w:t>
            </w:r>
            <w:r>
              <w:t>6</w:t>
            </w:r>
            <w:r w:rsidRPr="00A87A1D">
              <w:t>.202</w:t>
            </w:r>
            <w:r>
              <w:t>1</w:t>
            </w:r>
            <w:r w:rsidRPr="00A87A1D">
              <w:t xml:space="preserve"> (без учета возвратов)</w:t>
            </w:r>
          </w:p>
        </w:tc>
        <w:tc>
          <w:tcPr>
            <w:tcW w:w="1193" w:type="pct"/>
            <w:tcBorders>
              <w:top w:val="single" w:sz="8" w:space="0" w:color="auto"/>
              <w:left w:val="nil"/>
              <w:bottom w:val="nil"/>
              <w:right w:val="single" w:sz="8" w:space="0" w:color="auto"/>
            </w:tcBorders>
            <w:shd w:val="clear" w:color="auto" w:fill="auto"/>
            <w:vAlign w:val="center"/>
            <w:hideMark/>
          </w:tcPr>
          <w:p w:rsidR="0055491A" w:rsidRPr="00A87A1D" w:rsidRDefault="0055491A" w:rsidP="00210BF6">
            <w:pPr>
              <w:jc w:val="center"/>
            </w:pPr>
            <w:r w:rsidRPr="00A87A1D">
              <w:t>Задолженность на 01.0</w:t>
            </w:r>
            <w:r>
              <w:t>1</w:t>
            </w:r>
            <w:r w:rsidRPr="00A87A1D">
              <w:t>.202</w:t>
            </w:r>
            <w:r>
              <w:t>1</w:t>
            </w:r>
          </w:p>
        </w:tc>
        <w:tc>
          <w:tcPr>
            <w:tcW w:w="643" w:type="pct"/>
            <w:tcBorders>
              <w:top w:val="single" w:sz="8" w:space="0" w:color="auto"/>
              <w:left w:val="nil"/>
              <w:bottom w:val="nil"/>
              <w:right w:val="single" w:sz="8" w:space="0" w:color="auto"/>
            </w:tcBorders>
            <w:shd w:val="clear" w:color="auto" w:fill="auto"/>
            <w:vAlign w:val="center"/>
            <w:hideMark/>
          </w:tcPr>
          <w:p w:rsidR="0055491A" w:rsidRPr="00A87A1D" w:rsidRDefault="0055491A" w:rsidP="00210BF6">
            <w:pPr>
              <w:jc w:val="center"/>
            </w:pPr>
            <w:r w:rsidRPr="00A87A1D">
              <w:t>оценка 202</w:t>
            </w:r>
            <w:r>
              <w:t>1</w:t>
            </w:r>
            <w:r w:rsidRPr="00A87A1D">
              <w:t xml:space="preserve"> год</w:t>
            </w:r>
          </w:p>
        </w:tc>
        <w:tc>
          <w:tcPr>
            <w:tcW w:w="709" w:type="pct"/>
            <w:tcBorders>
              <w:top w:val="single" w:sz="8" w:space="0" w:color="auto"/>
              <w:left w:val="nil"/>
              <w:bottom w:val="nil"/>
              <w:right w:val="single" w:sz="8" w:space="0" w:color="auto"/>
            </w:tcBorders>
            <w:shd w:val="clear" w:color="auto" w:fill="auto"/>
            <w:vAlign w:val="center"/>
            <w:hideMark/>
          </w:tcPr>
          <w:p w:rsidR="0055491A" w:rsidRPr="00A87A1D" w:rsidRDefault="0055491A" w:rsidP="00210BF6">
            <w:pPr>
              <w:jc w:val="center"/>
            </w:pPr>
            <w:r w:rsidRPr="00A87A1D">
              <w:t>прогноз 202</w:t>
            </w:r>
            <w:r>
              <w:t>2</w:t>
            </w:r>
            <w:r w:rsidRPr="00A87A1D">
              <w:t xml:space="preserve"> год</w:t>
            </w:r>
          </w:p>
        </w:tc>
        <w:tc>
          <w:tcPr>
            <w:tcW w:w="709" w:type="pct"/>
            <w:tcBorders>
              <w:top w:val="single" w:sz="8" w:space="0" w:color="auto"/>
              <w:left w:val="nil"/>
              <w:bottom w:val="nil"/>
              <w:right w:val="single" w:sz="8" w:space="0" w:color="auto"/>
            </w:tcBorders>
            <w:shd w:val="clear" w:color="auto" w:fill="auto"/>
            <w:vAlign w:val="center"/>
            <w:hideMark/>
          </w:tcPr>
          <w:p w:rsidR="0055491A" w:rsidRPr="00A87A1D" w:rsidRDefault="0055491A" w:rsidP="00210BF6">
            <w:pPr>
              <w:jc w:val="center"/>
            </w:pPr>
            <w:r w:rsidRPr="00A87A1D">
              <w:t>прогноз 202</w:t>
            </w:r>
            <w:r>
              <w:t>3</w:t>
            </w:r>
            <w:r w:rsidRPr="00A87A1D">
              <w:t xml:space="preserve"> год</w:t>
            </w:r>
          </w:p>
        </w:tc>
        <w:tc>
          <w:tcPr>
            <w:tcW w:w="708" w:type="pct"/>
            <w:tcBorders>
              <w:top w:val="single" w:sz="8" w:space="0" w:color="auto"/>
              <w:left w:val="nil"/>
              <w:bottom w:val="nil"/>
              <w:right w:val="single" w:sz="8" w:space="0" w:color="auto"/>
            </w:tcBorders>
            <w:shd w:val="clear" w:color="auto" w:fill="auto"/>
            <w:vAlign w:val="center"/>
            <w:hideMark/>
          </w:tcPr>
          <w:p w:rsidR="0055491A" w:rsidRPr="00A87A1D" w:rsidRDefault="0055491A" w:rsidP="00210BF6">
            <w:pPr>
              <w:jc w:val="center"/>
            </w:pPr>
            <w:r w:rsidRPr="00A87A1D">
              <w:t>прогноз 202</w:t>
            </w:r>
            <w:r>
              <w:t>4</w:t>
            </w:r>
            <w:r w:rsidRPr="00A87A1D">
              <w:t xml:space="preserve"> год</w:t>
            </w:r>
          </w:p>
        </w:tc>
      </w:tr>
      <w:tr w:rsidR="0055491A" w:rsidTr="00210BF6">
        <w:trPr>
          <w:trHeight w:val="850"/>
        </w:trPr>
        <w:tc>
          <w:tcPr>
            <w:tcW w:w="1038" w:type="pct"/>
            <w:tcBorders>
              <w:top w:val="nil"/>
              <w:left w:val="single" w:sz="8" w:space="0" w:color="auto"/>
              <w:bottom w:val="single" w:sz="4" w:space="0" w:color="auto"/>
              <w:right w:val="single" w:sz="4" w:space="0" w:color="auto"/>
            </w:tcBorders>
            <w:shd w:val="clear" w:color="auto" w:fill="auto"/>
            <w:vAlign w:val="center"/>
            <w:hideMark/>
          </w:tcPr>
          <w:p w:rsidR="0055491A" w:rsidRPr="00A87A1D" w:rsidRDefault="0055491A" w:rsidP="00210BF6">
            <w:pPr>
              <w:jc w:val="center"/>
            </w:pPr>
            <w:r>
              <w:t>20</w:t>
            </w:r>
          </w:p>
        </w:tc>
        <w:tc>
          <w:tcPr>
            <w:tcW w:w="1193" w:type="pct"/>
            <w:tcBorders>
              <w:top w:val="nil"/>
              <w:left w:val="nil"/>
              <w:bottom w:val="single" w:sz="4" w:space="0" w:color="auto"/>
              <w:right w:val="single" w:sz="4" w:space="0" w:color="auto"/>
            </w:tcBorders>
            <w:shd w:val="clear" w:color="auto" w:fill="auto"/>
            <w:vAlign w:val="center"/>
            <w:hideMark/>
          </w:tcPr>
          <w:p w:rsidR="0055491A" w:rsidRPr="00A87A1D" w:rsidRDefault="0055491A" w:rsidP="00210BF6">
            <w:pPr>
              <w:jc w:val="center"/>
            </w:pPr>
            <w:r>
              <w:t>50</w:t>
            </w:r>
          </w:p>
        </w:tc>
        <w:tc>
          <w:tcPr>
            <w:tcW w:w="643" w:type="pct"/>
            <w:tcBorders>
              <w:top w:val="nil"/>
              <w:left w:val="nil"/>
              <w:bottom w:val="single" w:sz="4" w:space="0" w:color="auto"/>
              <w:right w:val="single" w:sz="4" w:space="0" w:color="auto"/>
            </w:tcBorders>
            <w:shd w:val="clear" w:color="auto" w:fill="auto"/>
            <w:vAlign w:val="center"/>
            <w:hideMark/>
          </w:tcPr>
          <w:p w:rsidR="0055491A" w:rsidRPr="00A87A1D" w:rsidRDefault="0055491A" w:rsidP="00210BF6">
            <w:pPr>
              <w:jc w:val="center"/>
            </w:pPr>
            <w:r>
              <w:t>29</w:t>
            </w:r>
          </w:p>
        </w:tc>
        <w:tc>
          <w:tcPr>
            <w:tcW w:w="709" w:type="pct"/>
            <w:tcBorders>
              <w:top w:val="nil"/>
              <w:left w:val="nil"/>
              <w:bottom w:val="single" w:sz="4" w:space="0" w:color="auto"/>
              <w:right w:val="single" w:sz="4" w:space="0" w:color="auto"/>
            </w:tcBorders>
            <w:shd w:val="clear" w:color="auto" w:fill="auto"/>
            <w:vAlign w:val="center"/>
            <w:hideMark/>
          </w:tcPr>
          <w:p w:rsidR="0055491A" w:rsidRPr="00A87A1D" w:rsidRDefault="0055491A" w:rsidP="00210BF6">
            <w:pPr>
              <w:jc w:val="center"/>
            </w:pPr>
            <w:r>
              <w:t>11</w:t>
            </w:r>
          </w:p>
        </w:tc>
        <w:tc>
          <w:tcPr>
            <w:tcW w:w="709" w:type="pct"/>
            <w:tcBorders>
              <w:top w:val="nil"/>
              <w:left w:val="nil"/>
              <w:bottom w:val="single" w:sz="4" w:space="0" w:color="auto"/>
              <w:right w:val="single" w:sz="4" w:space="0" w:color="auto"/>
            </w:tcBorders>
            <w:shd w:val="clear" w:color="auto" w:fill="auto"/>
            <w:vAlign w:val="center"/>
            <w:hideMark/>
          </w:tcPr>
          <w:p w:rsidR="0055491A" w:rsidRPr="00A87A1D" w:rsidRDefault="0055491A" w:rsidP="00210BF6">
            <w:pPr>
              <w:jc w:val="center"/>
            </w:pPr>
            <w:r>
              <w:t>6</w:t>
            </w:r>
          </w:p>
        </w:tc>
        <w:tc>
          <w:tcPr>
            <w:tcW w:w="708" w:type="pct"/>
            <w:tcBorders>
              <w:top w:val="nil"/>
              <w:left w:val="nil"/>
              <w:bottom w:val="single" w:sz="4" w:space="0" w:color="auto"/>
              <w:right w:val="single" w:sz="8" w:space="0" w:color="auto"/>
            </w:tcBorders>
            <w:shd w:val="clear" w:color="auto" w:fill="auto"/>
            <w:vAlign w:val="center"/>
            <w:hideMark/>
          </w:tcPr>
          <w:p w:rsidR="0055491A" w:rsidRPr="00A87A1D" w:rsidRDefault="0055491A" w:rsidP="00210BF6">
            <w:pPr>
              <w:jc w:val="center"/>
            </w:pPr>
            <w:r>
              <w:t>4</w:t>
            </w:r>
          </w:p>
        </w:tc>
      </w:tr>
    </w:tbl>
    <w:p w:rsidR="0055491A" w:rsidRDefault="0055491A" w:rsidP="0055491A">
      <w:pPr>
        <w:pStyle w:val="a7"/>
        <w:spacing w:after="0"/>
        <w:ind w:left="0" w:firstLine="709"/>
        <w:jc w:val="both"/>
        <w:rPr>
          <w:color w:val="000000" w:themeColor="text1"/>
          <w:sz w:val="28"/>
          <w:szCs w:val="28"/>
        </w:rPr>
      </w:pPr>
    </w:p>
    <w:p w:rsidR="0055491A" w:rsidRPr="00E54F1F" w:rsidRDefault="0055491A" w:rsidP="0055491A">
      <w:pPr>
        <w:pStyle w:val="33"/>
        <w:rPr>
          <w:color w:val="000000" w:themeColor="text1"/>
          <w:sz w:val="28"/>
          <w:szCs w:val="28"/>
        </w:rPr>
      </w:pPr>
    </w:p>
    <w:p w:rsidR="0055491A" w:rsidRPr="004A3891" w:rsidRDefault="0055491A" w:rsidP="0055491A">
      <w:pPr>
        <w:pStyle w:val="a7"/>
        <w:spacing w:after="0"/>
        <w:ind w:left="0" w:firstLine="709"/>
        <w:jc w:val="both"/>
        <w:rPr>
          <w:color w:val="000000" w:themeColor="text1"/>
          <w:sz w:val="28"/>
          <w:szCs w:val="28"/>
        </w:rPr>
      </w:pPr>
    </w:p>
    <w:p w:rsidR="0055491A" w:rsidRPr="00E54F1F" w:rsidRDefault="0055491A" w:rsidP="0055491A">
      <w:pPr>
        <w:pStyle w:val="a7"/>
        <w:spacing w:after="0"/>
        <w:ind w:left="0" w:firstLine="709"/>
        <w:jc w:val="both"/>
        <w:rPr>
          <w:color w:val="000000" w:themeColor="text1"/>
          <w:sz w:val="28"/>
          <w:szCs w:val="28"/>
        </w:rPr>
      </w:pPr>
    </w:p>
    <w:p w:rsidR="0055491A" w:rsidRPr="005C5CE9" w:rsidRDefault="0055491A" w:rsidP="0055491A">
      <w:pPr>
        <w:pStyle w:val="a7"/>
        <w:spacing w:after="0"/>
        <w:ind w:left="0" w:firstLine="709"/>
        <w:jc w:val="both"/>
        <w:rPr>
          <w:color w:val="000000" w:themeColor="text1"/>
          <w:sz w:val="28"/>
          <w:szCs w:val="28"/>
        </w:rPr>
      </w:pPr>
    </w:p>
    <w:p w:rsidR="0055491A" w:rsidRPr="00E54F1F" w:rsidRDefault="0055491A" w:rsidP="0055491A">
      <w:pPr>
        <w:pStyle w:val="a7"/>
        <w:spacing w:after="0"/>
        <w:ind w:left="0" w:firstLine="709"/>
        <w:jc w:val="both"/>
        <w:rPr>
          <w:color w:val="000000" w:themeColor="text1"/>
          <w:sz w:val="28"/>
          <w:szCs w:val="28"/>
        </w:rPr>
      </w:pPr>
    </w:p>
    <w:p w:rsidR="0055491A" w:rsidRPr="003D0BC8" w:rsidRDefault="0055491A" w:rsidP="0055491A">
      <w:pPr>
        <w:pStyle w:val="a7"/>
        <w:spacing w:after="0"/>
        <w:ind w:left="0" w:firstLine="709"/>
        <w:jc w:val="both"/>
        <w:rPr>
          <w:sz w:val="28"/>
          <w:szCs w:val="28"/>
        </w:rPr>
      </w:pPr>
    </w:p>
    <w:p w:rsidR="0055491A" w:rsidRDefault="0055491A" w:rsidP="00F07E05">
      <w:pPr>
        <w:pStyle w:val="ConsPlusNormal"/>
        <w:tabs>
          <w:tab w:val="left" w:pos="1276"/>
        </w:tabs>
        <w:ind w:firstLine="709"/>
        <w:jc w:val="center"/>
        <w:rPr>
          <w:rFonts w:ascii="Times New Roman" w:hAnsi="Times New Roman" w:cs="Times New Roman"/>
          <w:color w:val="FF0000"/>
          <w:sz w:val="28"/>
          <w:szCs w:val="28"/>
        </w:rPr>
      </w:pPr>
    </w:p>
    <w:p w:rsidR="000D2350" w:rsidRPr="006A79A2" w:rsidRDefault="000D2350" w:rsidP="000D2350">
      <w:pPr>
        <w:pStyle w:val="21"/>
        <w:ind w:firstLine="0"/>
        <w:jc w:val="center"/>
        <w:rPr>
          <w:color w:val="000000" w:themeColor="text1"/>
        </w:rPr>
      </w:pPr>
    </w:p>
    <w:sectPr w:rsidR="000D2350" w:rsidRPr="006A79A2" w:rsidSect="007678C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02D8" w:rsidRDefault="003502D8">
      <w:r>
        <w:separator/>
      </w:r>
    </w:p>
  </w:endnote>
  <w:endnote w:type="continuationSeparator" w:id="0">
    <w:p w:rsidR="003502D8" w:rsidRDefault="00350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nstantia">
    <w:panose1 w:val="02030602050306030303"/>
    <w:charset w:val="CC"/>
    <w:family w:val="roman"/>
    <w:pitch w:val="variable"/>
    <w:sig w:usb0="A00002EF" w:usb1="4000204B" w:usb2="00000000" w:usb3="00000000" w:csb0="0000019F" w:csb1="00000000"/>
  </w:font>
  <w:font w:name="Cordia New">
    <w:panose1 w:val="020B0304020202020204"/>
    <w:charset w:val="DE"/>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Arial CYR">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Times New Roman,Bold">
    <w:altName w:val="Times New Roman"/>
    <w:panose1 w:val="00000000000000000000"/>
    <w:charset w:val="CC"/>
    <w:family w:val="auto"/>
    <w:notTrueType/>
    <w:pitch w:val="default"/>
    <w:sig w:usb0="00000001" w:usb1="00000000" w:usb2="00000000" w:usb3="00000000" w:csb0="00000005" w:csb1="00000000"/>
  </w:font>
  <w:font w:name="f\fcharset\fmodern\fprqC">
    <w:altName w:val="Calibri"/>
    <w:panose1 w:val="00000000000000000000"/>
    <w:charset w:val="CC"/>
    <w:family w:val="auto"/>
    <w:notTrueType/>
    <w:pitch w:val="default"/>
    <w:sig w:usb0="00000201" w:usb1="00000000" w:usb2="00000000" w:usb3="00000000" w:csb0="00000004"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1D06" w:rsidRDefault="008B1D06" w:rsidP="00923B56">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8B1D06" w:rsidRDefault="008B1D06" w:rsidP="00923B56">
    <w:pPr>
      <w:pStyle w:val="a9"/>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1D06" w:rsidRDefault="008B1D06" w:rsidP="008A676B">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E62034">
      <w:rPr>
        <w:rStyle w:val="ab"/>
        <w:noProof/>
      </w:rPr>
      <w:t>105</w:t>
    </w:r>
    <w:r>
      <w:rPr>
        <w:rStyle w:val="ab"/>
      </w:rPr>
      <w:fldChar w:fldCharType="end"/>
    </w:r>
  </w:p>
  <w:p w:rsidR="008B1D06" w:rsidRPr="001912D8" w:rsidRDefault="008B1D06" w:rsidP="008A676B">
    <w:pPr>
      <w:pStyle w:val="a9"/>
      <w:ind w:right="360"/>
      <w:rPr>
        <w:sz w:val="18"/>
        <w:szCs w:val="18"/>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1D06" w:rsidRDefault="008B1D06" w:rsidP="008A676B">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8B1D06" w:rsidRDefault="008B1D06" w:rsidP="008A676B">
    <w:pPr>
      <w:pStyle w:val="a9"/>
      <w:ind w:right="360"/>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1D06" w:rsidRDefault="008B1D06" w:rsidP="008A676B">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E62034">
      <w:rPr>
        <w:rStyle w:val="ab"/>
        <w:noProof/>
      </w:rPr>
      <w:t>125</w:t>
    </w:r>
    <w:r>
      <w:rPr>
        <w:rStyle w:val="ab"/>
      </w:rPr>
      <w:fldChar w:fldCharType="end"/>
    </w:r>
  </w:p>
  <w:p w:rsidR="008B1D06" w:rsidRPr="001912D8" w:rsidRDefault="008B1D06" w:rsidP="008A676B">
    <w:pPr>
      <w:pStyle w:val="a9"/>
      <w:ind w:right="360"/>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1D06" w:rsidRDefault="008B1D06" w:rsidP="00923B56">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E62034">
      <w:rPr>
        <w:rStyle w:val="ab"/>
        <w:noProof/>
      </w:rPr>
      <w:t>2</w:t>
    </w:r>
    <w:r>
      <w:rPr>
        <w:rStyle w:val="ab"/>
      </w:rPr>
      <w:fldChar w:fldCharType="end"/>
    </w:r>
  </w:p>
  <w:p w:rsidR="008B1D06" w:rsidRPr="001912D8" w:rsidRDefault="008B1D06" w:rsidP="00923B56">
    <w:pPr>
      <w:pStyle w:val="a9"/>
      <w:ind w:right="360"/>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1D06" w:rsidRDefault="008B1D06" w:rsidP="008A676B">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8B1D06" w:rsidRDefault="008B1D06" w:rsidP="008A676B">
    <w:pPr>
      <w:pStyle w:val="a9"/>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1D06" w:rsidRDefault="008B1D06" w:rsidP="008A676B">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E62034">
      <w:rPr>
        <w:rStyle w:val="ab"/>
        <w:noProof/>
      </w:rPr>
      <w:t>27</w:t>
    </w:r>
    <w:r>
      <w:rPr>
        <w:rStyle w:val="ab"/>
      </w:rPr>
      <w:fldChar w:fldCharType="end"/>
    </w:r>
  </w:p>
  <w:p w:rsidR="008B1D06" w:rsidRPr="001912D8" w:rsidRDefault="008B1D06" w:rsidP="008A676B">
    <w:pPr>
      <w:pStyle w:val="a9"/>
      <w:ind w:right="360"/>
      <w:rPr>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1D06" w:rsidRDefault="008B1D06" w:rsidP="008A676B">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8B1D06" w:rsidRDefault="008B1D06" w:rsidP="008A676B">
    <w:pPr>
      <w:pStyle w:val="a9"/>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1D06" w:rsidRDefault="008B1D06" w:rsidP="008A676B">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E62034">
      <w:rPr>
        <w:rStyle w:val="ab"/>
        <w:noProof/>
      </w:rPr>
      <w:t>45</w:t>
    </w:r>
    <w:r>
      <w:rPr>
        <w:rStyle w:val="ab"/>
      </w:rPr>
      <w:fldChar w:fldCharType="end"/>
    </w:r>
  </w:p>
  <w:p w:rsidR="008B1D06" w:rsidRPr="001912D8" w:rsidRDefault="008B1D06" w:rsidP="008A676B">
    <w:pPr>
      <w:pStyle w:val="a9"/>
      <w:ind w:right="360"/>
      <w:rPr>
        <w:sz w:val="18"/>
        <w:szCs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1D06" w:rsidRDefault="008B1D06" w:rsidP="00F876D6">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8B1D06" w:rsidRDefault="008B1D06" w:rsidP="00F876D6">
    <w:pPr>
      <w:pStyle w:val="a9"/>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1D06" w:rsidRDefault="008B1D06" w:rsidP="00F876D6">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E62034">
      <w:rPr>
        <w:rStyle w:val="ab"/>
        <w:noProof/>
      </w:rPr>
      <w:t>63</w:t>
    </w:r>
    <w:r>
      <w:rPr>
        <w:rStyle w:val="ab"/>
      </w:rPr>
      <w:fldChar w:fldCharType="end"/>
    </w:r>
  </w:p>
  <w:p w:rsidR="008B1D06" w:rsidRDefault="008B1D06" w:rsidP="00F876D6">
    <w:pPr>
      <w:pStyle w:val="a9"/>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1D06" w:rsidRDefault="008B1D06" w:rsidP="008A676B">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8B1D06" w:rsidRDefault="008B1D06" w:rsidP="008A676B">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02D8" w:rsidRDefault="003502D8">
      <w:r>
        <w:separator/>
      </w:r>
    </w:p>
  </w:footnote>
  <w:footnote w:type="continuationSeparator" w:id="0">
    <w:p w:rsidR="003502D8" w:rsidRDefault="003502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624CF"/>
    <w:multiLevelType w:val="hybridMultilevel"/>
    <w:tmpl w:val="CDC69C46"/>
    <w:lvl w:ilvl="0" w:tplc="1542E68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81418F8"/>
    <w:multiLevelType w:val="hybridMultilevel"/>
    <w:tmpl w:val="E7F8BB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4E4E86"/>
    <w:multiLevelType w:val="hybridMultilevel"/>
    <w:tmpl w:val="6E203C7C"/>
    <w:lvl w:ilvl="0" w:tplc="B1405214">
      <w:start w:val="1"/>
      <w:numFmt w:val="decimal"/>
      <w:lvlText w:val="%1."/>
      <w:lvlJc w:val="left"/>
      <w:pPr>
        <w:ind w:left="16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640B5A"/>
    <w:multiLevelType w:val="hybridMultilevel"/>
    <w:tmpl w:val="82F2DEEE"/>
    <w:lvl w:ilvl="0" w:tplc="B84CD47E">
      <w:start w:val="1"/>
      <w:numFmt w:val="decimal"/>
      <w:lvlText w:val="%1)"/>
      <w:lvlJc w:val="left"/>
      <w:pPr>
        <w:ind w:left="360" w:hanging="360"/>
      </w:pPr>
      <w:rPr>
        <w:rFonts w:hint="default"/>
      </w:r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abstractNum w:abstractNumId="4" w15:restartNumberingAfterBreak="0">
    <w:nsid w:val="10CA443F"/>
    <w:multiLevelType w:val="multilevel"/>
    <w:tmpl w:val="3FF6303A"/>
    <w:lvl w:ilvl="0">
      <w:start w:val="2019"/>
      <w:numFmt w:val="decimal"/>
      <w:lvlText w:val="12.10.%1"/>
      <w:lvlJc w:val="left"/>
      <w:rPr>
        <w:rFonts w:ascii="Times New Roman" w:eastAsia="Times New Roman" w:hAnsi="Times New Roman" w:cs="Times New Roman"/>
        <w:b w:val="0"/>
        <w:bCs w:val="0"/>
        <w:i w:val="0"/>
        <w:iCs w:val="0"/>
        <w:smallCaps w:val="0"/>
        <w:strike w:val="0"/>
        <w:color w:val="auto"/>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4912B46"/>
    <w:multiLevelType w:val="multilevel"/>
    <w:tmpl w:val="1BE8F578"/>
    <w:lvl w:ilvl="0">
      <w:start w:val="1"/>
      <w:numFmt w:val="decimal"/>
      <w:lvlText w:val="%1."/>
      <w:lvlJc w:val="left"/>
      <w:pPr>
        <w:tabs>
          <w:tab w:val="num" w:pos="705"/>
        </w:tabs>
        <w:ind w:left="705" w:hanging="36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1065"/>
        </w:tabs>
        <w:ind w:left="1065" w:hanging="720"/>
      </w:pPr>
      <w:rPr>
        <w:rFonts w:cs="Times New Roman" w:hint="default"/>
      </w:rPr>
    </w:lvl>
    <w:lvl w:ilvl="3">
      <w:start w:val="1"/>
      <w:numFmt w:val="decimal"/>
      <w:isLgl/>
      <w:lvlText w:val="%1.%2.%3.%4."/>
      <w:lvlJc w:val="left"/>
      <w:pPr>
        <w:tabs>
          <w:tab w:val="num" w:pos="1065"/>
        </w:tabs>
        <w:ind w:left="1065" w:hanging="720"/>
      </w:pPr>
      <w:rPr>
        <w:rFonts w:cs="Times New Roman" w:hint="default"/>
      </w:rPr>
    </w:lvl>
    <w:lvl w:ilvl="4">
      <w:start w:val="1"/>
      <w:numFmt w:val="decimal"/>
      <w:isLgl/>
      <w:lvlText w:val="%1.%2.%3.%4.%5."/>
      <w:lvlJc w:val="left"/>
      <w:pPr>
        <w:tabs>
          <w:tab w:val="num" w:pos="1425"/>
        </w:tabs>
        <w:ind w:left="1425" w:hanging="1080"/>
      </w:pPr>
      <w:rPr>
        <w:rFonts w:cs="Times New Roman" w:hint="default"/>
      </w:rPr>
    </w:lvl>
    <w:lvl w:ilvl="5">
      <w:start w:val="1"/>
      <w:numFmt w:val="decimal"/>
      <w:isLgl/>
      <w:lvlText w:val="%1.%2.%3.%4.%5.%6."/>
      <w:lvlJc w:val="left"/>
      <w:pPr>
        <w:tabs>
          <w:tab w:val="num" w:pos="1425"/>
        </w:tabs>
        <w:ind w:left="1425" w:hanging="1080"/>
      </w:pPr>
      <w:rPr>
        <w:rFonts w:cs="Times New Roman" w:hint="default"/>
      </w:rPr>
    </w:lvl>
    <w:lvl w:ilvl="6">
      <w:start w:val="1"/>
      <w:numFmt w:val="decimal"/>
      <w:isLgl/>
      <w:lvlText w:val="%1.%2.%3.%4.%5.%6.%7."/>
      <w:lvlJc w:val="left"/>
      <w:pPr>
        <w:tabs>
          <w:tab w:val="num" w:pos="1425"/>
        </w:tabs>
        <w:ind w:left="1425" w:hanging="1080"/>
      </w:pPr>
      <w:rPr>
        <w:rFonts w:cs="Times New Roman" w:hint="default"/>
      </w:rPr>
    </w:lvl>
    <w:lvl w:ilvl="7">
      <w:start w:val="1"/>
      <w:numFmt w:val="decimal"/>
      <w:isLgl/>
      <w:lvlText w:val="%1.%2.%3.%4.%5.%6.%7.%8."/>
      <w:lvlJc w:val="left"/>
      <w:pPr>
        <w:tabs>
          <w:tab w:val="num" w:pos="1785"/>
        </w:tabs>
        <w:ind w:left="1785" w:hanging="1440"/>
      </w:pPr>
      <w:rPr>
        <w:rFonts w:cs="Times New Roman" w:hint="default"/>
      </w:rPr>
    </w:lvl>
    <w:lvl w:ilvl="8">
      <w:start w:val="1"/>
      <w:numFmt w:val="decimal"/>
      <w:isLgl/>
      <w:lvlText w:val="%1.%2.%3.%4.%5.%6.%7.%8.%9."/>
      <w:lvlJc w:val="left"/>
      <w:pPr>
        <w:tabs>
          <w:tab w:val="num" w:pos="1785"/>
        </w:tabs>
        <w:ind w:left="1785" w:hanging="1440"/>
      </w:pPr>
      <w:rPr>
        <w:rFonts w:cs="Times New Roman" w:hint="default"/>
      </w:rPr>
    </w:lvl>
  </w:abstractNum>
  <w:abstractNum w:abstractNumId="6" w15:restartNumberingAfterBreak="0">
    <w:nsid w:val="149A1E05"/>
    <w:multiLevelType w:val="hybridMultilevel"/>
    <w:tmpl w:val="06009A04"/>
    <w:lvl w:ilvl="0" w:tplc="9B661690">
      <w:start w:val="1"/>
      <w:numFmt w:val="decimal"/>
      <w:lvlText w:val="%1."/>
      <w:lvlJc w:val="left"/>
      <w:pPr>
        <w:ind w:left="378" w:hanging="360"/>
      </w:pPr>
      <w:rPr>
        <w:rFonts w:cs="Times New Roman" w:hint="default"/>
      </w:rPr>
    </w:lvl>
    <w:lvl w:ilvl="1" w:tplc="04190019" w:tentative="1">
      <w:start w:val="1"/>
      <w:numFmt w:val="lowerLetter"/>
      <w:lvlText w:val="%2."/>
      <w:lvlJc w:val="left"/>
      <w:pPr>
        <w:ind w:left="1098" w:hanging="360"/>
      </w:pPr>
      <w:rPr>
        <w:rFonts w:cs="Times New Roman"/>
      </w:rPr>
    </w:lvl>
    <w:lvl w:ilvl="2" w:tplc="0419001B" w:tentative="1">
      <w:start w:val="1"/>
      <w:numFmt w:val="lowerRoman"/>
      <w:lvlText w:val="%3."/>
      <w:lvlJc w:val="right"/>
      <w:pPr>
        <w:ind w:left="1818" w:hanging="180"/>
      </w:pPr>
      <w:rPr>
        <w:rFonts w:cs="Times New Roman"/>
      </w:rPr>
    </w:lvl>
    <w:lvl w:ilvl="3" w:tplc="0419000F" w:tentative="1">
      <w:start w:val="1"/>
      <w:numFmt w:val="decimal"/>
      <w:lvlText w:val="%4."/>
      <w:lvlJc w:val="left"/>
      <w:pPr>
        <w:ind w:left="2538" w:hanging="360"/>
      </w:pPr>
      <w:rPr>
        <w:rFonts w:cs="Times New Roman"/>
      </w:rPr>
    </w:lvl>
    <w:lvl w:ilvl="4" w:tplc="04190019" w:tentative="1">
      <w:start w:val="1"/>
      <w:numFmt w:val="lowerLetter"/>
      <w:lvlText w:val="%5."/>
      <w:lvlJc w:val="left"/>
      <w:pPr>
        <w:ind w:left="3258" w:hanging="360"/>
      </w:pPr>
      <w:rPr>
        <w:rFonts w:cs="Times New Roman"/>
      </w:rPr>
    </w:lvl>
    <w:lvl w:ilvl="5" w:tplc="0419001B" w:tentative="1">
      <w:start w:val="1"/>
      <w:numFmt w:val="lowerRoman"/>
      <w:lvlText w:val="%6."/>
      <w:lvlJc w:val="right"/>
      <w:pPr>
        <w:ind w:left="3978" w:hanging="180"/>
      </w:pPr>
      <w:rPr>
        <w:rFonts w:cs="Times New Roman"/>
      </w:rPr>
    </w:lvl>
    <w:lvl w:ilvl="6" w:tplc="0419000F" w:tentative="1">
      <w:start w:val="1"/>
      <w:numFmt w:val="decimal"/>
      <w:lvlText w:val="%7."/>
      <w:lvlJc w:val="left"/>
      <w:pPr>
        <w:ind w:left="4698" w:hanging="360"/>
      </w:pPr>
      <w:rPr>
        <w:rFonts w:cs="Times New Roman"/>
      </w:rPr>
    </w:lvl>
    <w:lvl w:ilvl="7" w:tplc="04190019" w:tentative="1">
      <w:start w:val="1"/>
      <w:numFmt w:val="lowerLetter"/>
      <w:lvlText w:val="%8."/>
      <w:lvlJc w:val="left"/>
      <w:pPr>
        <w:ind w:left="5418" w:hanging="360"/>
      </w:pPr>
      <w:rPr>
        <w:rFonts w:cs="Times New Roman"/>
      </w:rPr>
    </w:lvl>
    <w:lvl w:ilvl="8" w:tplc="0419001B" w:tentative="1">
      <w:start w:val="1"/>
      <w:numFmt w:val="lowerRoman"/>
      <w:lvlText w:val="%9."/>
      <w:lvlJc w:val="right"/>
      <w:pPr>
        <w:ind w:left="6138" w:hanging="180"/>
      </w:pPr>
      <w:rPr>
        <w:rFonts w:cs="Times New Roman"/>
      </w:rPr>
    </w:lvl>
  </w:abstractNum>
  <w:abstractNum w:abstractNumId="7" w15:restartNumberingAfterBreak="0">
    <w:nsid w:val="18BA54E0"/>
    <w:multiLevelType w:val="hybridMultilevel"/>
    <w:tmpl w:val="CF440CF6"/>
    <w:lvl w:ilvl="0" w:tplc="196CC3FA">
      <w:start w:val="1"/>
      <w:numFmt w:val="bullet"/>
      <w:lvlText w:val="−"/>
      <w:lvlJc w:val="left"/>
      <w:pPr>
        <w:ind w:left="1353"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1A9333C3"/>
    <w:multiLevelType w:val="hybridMultilevel"/>
    <w:tmpl w:val="BECC3E8C"/>
    <w:lvl w:ilvl="0" w:tplc="CDD2750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5C2BAD"/>
    <w:multiLevelType w:val="hybridMultilevel"/>
    <w:tmpl w:val="BE8C7C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4E76DCD"/>
    <w:multiLevelType w:val="hybridMultilevel"/>
    <w:tmpl w:val="8E5CFD5A"/>
    <w:lvl w:ilvl="0" w:tplc="95DEE35A">
      <w:start w:val="2022"/>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82B4637"/>
    <w:multiLevelType w:val="hybridMultilevel"/>
    <w:tmpl w:val="720461D6"/>
    <w:lvl w:ilvl="0" w:tplc="0419000F">
      <w:start w:val="1"/>
      <w:numFmt w:val="decimal"/>
      <w:pStyle w:val="a"/>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92D5486"/>
    <w:multiLevelType w:val="multilevel"/>
    <w:tmpl w:val="AC84BEDC"/>
    <w:lvl w:ilvl="0">
      <w:start w:val="4"/>
      <w:numFmt w:val="decimal"/>
      <w:lvlText w:val="%1"/>
      <w:lvlJc w:val="left"/>
      <w:pPr>
        <w:ind w:left="360" w:hanging="360"/>
      </w:pPr>
      <w:rPr>
        <w:rFonts w:cs="Times New Roman" w:hint="default"/>
      </w:rPr>
    </w:lvl>
    <w:lvl w:ilvl="1">
      <w:start w:val="3"/>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600" w:hanging="72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400" w:hanging="108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13" w15:restartNumberingAfterBreak="0">
    <w:nsid w:val="2AF1236F"/>
    <w:multiLevelType w:val="hybridMultilevel"/>
    <w:tmpl w:val="48182A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B3D7165"/>
    <w:multiLevelType w:val="multilevel"/>
    <w:tmpl w:val="AFEC66BC"/>
    <w:lvl w:ilvl="0">
      <w:start w:val="2019"/>
      <w:numFmt w:val="decimal"/>
      <w:lvlText w:val="12.10.%1"/>
      <w:lvlJc w:val="left"/>
      <w:rPr>
        <w:rFonts w:ascii="Times New Roman" w:eastAsia="Times New Roman" w:hAnsi="Times New Roman" w:cs="Times New Roman"/>
        <w:b w:val="0"/>
        <w:bCs w:val="0"/>
        <w:i w:val="0"/>
        <w:iCs w:val="0"/>
        <w:smallCaps w:val="0"/>
        <w:strike w:val="0"/>
        <w:color w:val="auto"/>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C0F00C7"/>
    <w:multiLevelType w:val="hybridMultilevel"/>
    <w:tmpl w:val="9BDA6A4A"/>
    <w:lvl w:ilvl="0" w:tplc="7D88606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313338A8"/>
    <w:multiLevelType w:val="multilevel"/>
    <w:tmpl w:val="89E6BF74"/>
    <w:lvl w:ilvl="0">
      <w:start w:val="1"/>
      <w:numFmt w:val="decimal"/>
      <w:lvlText w:val="%1."/>
      <w:lvlJc w:val="left"/>
      <w:pPr>
        <w:tabs>
          <w:tab w:val="num" w:pos="720"/>
        </w:tabs>
        <w:ind w:left="720" w:hanging="360"/>
      </w:pPr>
      <w:rPr>
        <w:rFonts w:cs="Times New Roman" w:hint="default"/>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7" w15:restartNumberingAfterBreak="0">
    <w:nsid w:val="31704125"/>
    <w:multiLevelType w:val="hybridMultilevel"/>
    <w:tmpl w:val="34D41286"/>
    <w:lvl w:ilvl="0" w:tplc="86329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2114C1A"/>
    <w:multiLevelType w:val="hybridMultilevel"/>
    <w:tmpl w:val="C406C5CA"/>
    <w:lvl w:ilvl="0" w:tplc="B35A0C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48634B78"/>
    <w:multiLevelType w:val="multilevel"/>
    <w:tmpl w:val="FC748F34"/>
    <w:lvl w:ilvl="0">
      <w:start w:val="1"/>
      <w:numFmt w:val="decimal"/>
      <w:lvlText w:val="%1."/>
      <w:lvlJc w:val="left"/>
      <w:pPr>
        <w:ind w:left="1069" w:hanging="360"/>
      </w:pPr>
      <w:rPr>
        <w:rFonts w:cs="Times New Roman" w:hint="default"/>
      </w:rPr>
    </w:lvl>
    <w:lvl w:ilvl="1">
      <w:start w:val="1"/>
      <w:numFmt w:val="decimal"/>
      <w:isLgl/>
      <w:lvlText w:val="%1.%2."/>
      <w:lvlJc w:val="left"/>
      <w:pPr>
        <w:ind w:left="1114" w:hanging="405"/>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1789" w:hanging="108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149" w:hanging="1440"/>
      </w:pPr>
      <w:rPr>
        <w:rFonts w:cs="Times New Roman" w:hint="default"/>
      </w:rPr>
    </w:lvl>
  </w:abstractNum>
  <w:abstractNum w:abstractNumId="20" w15:restartNumberingAfterBreak="0">
    <w:nsid w:val="494766A8"/>
    <w:multiLevelType w:val="hybridMultilevel"/>
    <w:tmpl w:val="6B54E00E"/>
    <w:lvl w:ilvl="0" w:tplc="312A95F6">
      <w:start w:val="1"/>
      <w:numFmt w:val="decimal"/>
      <w:lvlText w:val="%1."/>
      <w:lvlJc w:val="left"/>
      <w:pPr>
        <w:ind w:left="1068" w:hanging="360"/>
      </w:pPr>
      <w:rPr>
        <w:rFonts w:hint="default"/>
        <w:b w:val="0"/>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495470F1"/>
    <w:multiLevelType w:val="hybridMultilevel"/>
    <w:tmpl w:val="18245C18"/>
    <w:lvl w:ilvl="0" w:tplc="37A4E93C">
      <w:start w:val="1"/>
      <w:numFmt w:val="decimal"/>
      <w:lvlText w:val="%1."/>
      <w:lvlJc w:val="left"/>
      <w:pPr>
        <w:ind w:left="1249" w:hanging="360"/>
      </w:pPr>
      <w:rPr>
        <w:rFonts w:cs="Times New Roman" w:hint="default"/>
      </w:rPr>
    </w:lvl>
    <w:lvl w:ilvl="1" w:tplc="04190019" w:tentative="1">
      <w:start w:val="1"/>
      <w:numFmt w:val="lowerLetter"/>
      <w:lvlText w:val="%2."/>
      <w:lvlJc w:val="left"/>
      <w:pPr>
        <w:ind w:left="1969" w:hanging="360"/>
      </w:pPr>
      <w:rPr>
        <w:rFonts w:cs="Times New Roman"/>
      </w:rPr>
    </w:lvl>
    <w:lvl w:ilvl="2" w:tplc="0419001B" w:tentative="1">
      <w:start w:val="1"/>
      <w:numFmt w:val="lowerRoman"/>
      <w:lvlText w:val="%3."/>
      <w:lvlJc w:val="right"/>
      <w:pPr>
        <w:ind w:left="2689" w:hanging="180"/>
      </w:pPr>
      <w:rPr>
        <w:rFonts w:cs="Times New Roman"/>
      </w:rPr>
    </w:lvl>
    <w:lvl w:ilvl="3" w:tplc="0419000F" w:tentative="1">
      <w:start w:val="1"/>
      <w:numFmt w:val="decimal"/>
      <w:lvlText w:val="%4."/>
      <w:lvlJc w:val="left"/>
      <w:pPr>
        <w:ind w:left="3409" w:hanging="360"/>
      </w:pPr>
      <w:rPr>
        <w:rFonts w:cs="Times New Roman"/>
      </w:rPr>
    </w:lvl>
    <w:lvl w:ilvl="4" w:tplc="04190019" w:tentative="1">
      <w:start w:val="1"/>
      <w:numFmt w:val="lowerLetter"/>
      <w:lvlText w:val="%5."/>
      <w:lvlJc w:val="left"/>
      <w:pPr>
        <w:ind w:left="4129" w:hanging="360"/>
      </w:pPr>
      <w:rPr>
        <w:rFonts w:cs="Times New Roman"/>
      </w:rPr>
    </w:lvl>
    <w:lvl w:ilvl="5" w:tplc="0419001B" w:tentative="1">
      <w:start w:val="1"/>
      <w:numFmt w:val="lowerRoman"/>
      <w:lvlText w:val="%6."/>
      <w:lvlJc w:val="right"/>
      <w:pPr>
        <w:ind w:left="4849" w:hanging="180"/>
      </w:pPr>
      <w:rPr>
        <w:rFonts w:cs="Times New Roman"/>
      </w:rPr>
    </w:lvl>
    <w:lvl w:ilvl="6" w:tplc="0419000F" w:tentative="1">
      <w:start w:val="1"/>
      <w:numFmt w:val="decimal"/>
      <w:lvlText w:val="%7."/>
      <w:lvlJc w:val="left"/>
      <w:pPr>
        <w:ind w:left="5569" w:hanging="360"/>
      </w:pPr>
      <w:rPr>
        <w:rFonts w:cs="Times New Roman"/>
      </w:rPr>
    </w:lvl>
    <w:lvl w:ilvl="7" w:tplc="04190019" w:tentative="1">
      <w:start w:val="1"/>
      <w:numFmt w:val="lowerLetter"/>
      <w:lvlText w:val="%8."/>
      <w:lvlJc w:val="left"/>
      <w:pPr>
        <w:ind w:left="6289" w:hanging="360"/>
      </w:pPr>
      <w:rPr>
        <w:rFonts w:cs="Times New Roman"/>
      </w:rPr>
    </w:lvl>
    <w:lvl w:ilvl="8" w:tplc="0419001B" w:tentative="1">
      <w:start w:val="1"/>
      <w:numFmt w:val="lowerRoman"/>
      <w:lvlText w:val="%9."/>
      <w:lvlJc w:val="right"/>
      <w:pPr>
        <w:ind w:left="7009" w:hanging="180"/>
      </w:pPr>
      <w:rPr>
        <w:rFonts w:cs="Times New Roman"/>
      </w:rPr>
    </w:lvl>
  </w:abstractNum>
  <w:abstractNum w:abstractNumId="22" w15:restartNumberingAfterBreak="0">
    <w:nsid w:val="4AAF5A47"/>
    <w:multiLevelType w:val="hybridMultilevel"/>
    <w:tmpl w:val="BAAA812A"/>
    <w:lvl w:ilvl="0" w:tplc="B5647328">
      <w:start w:val="1"/>
      <w:numFmt w:val="decimal"/>
      <w:lvlText w:val="%1."/>
      <w:lvlJc w:val="left"/>
      <w:pPr>
        <w:tabs>
          <w:tab w:val="num" w:pos="720"/>
        </w:tabs>
        <w:ind w:left="720" w:hanging="360"/>
      </w:pPr>
      <w:rPr>
        <w:rFonts w:cs="Times New Roman" w:hint="default"/>
      </w:rPr>
    </w:lvl>
    <w:lvl w:ilvl="1" w:tplc="240A0F46">
      <w:numFmt w:val="none"/>
      <w:lvlText w:val=""/>
      <w:lvlJc w:val="left"/>
      <w:pPr>
        <w:tabs>
          <w:tab w:val="num" w:pos="360"/>
        </w:tabs>
      </w:pPr>
      <w:rPr>
        <w:rFonts w:cs="Times New Roman"/>
      </w:rPr>
    </w:lvl>
    <w:lvl w:ilvl="2" w:tplc="3F843E60">
      <w:numFmt w:val="none"/>
      <w:lvlText w:val=""/>
      <w:lvlJc w:val="left"/>
      <w:pPr>
        <w:tabs>
          <w:tab w:val="num" w:pos="360"/>
        </w:tabs>
      </w:pPr>
      <w:rPr>
        <w:rFonts w:cs="Times New Roman"/>
      </w:rPr>
    </w:lvl>
    <w:lvl w:ilvl="3" w:tplc="5144F7AA">
      <w:numFmt w:val="none"/>
      <w:lvlText w:val=""/>
      <w:lvlJc w:val="left"/>
      <w:pPr>
        <w:tabs>
          <w:tab w:val="num" w:pos="360"/>
        </w:tabs>
      </w:pPr>
      <w:rPr>
        <w:rFonts w:cs="Times New Roman"/>
      </w:rPr>
    </w:lvl>
    <w:lvl w:ilvl="4" w:tplc="C6DC66CC">
      <w:numFmt w:val="none"/>
      <w:lvlText w:val=""/>
      <w:lvlJc w:val="left"/>
      <w:pPr>
        <w:tabs>
          <w:tab w:val="num" w:pos="360"/>
        </w:tabs>
      </w:pPr>
      <w:rPr>
        <w:rFonts w:cs="Times New Roman"/>
      </w:rPr>
    </w:lvl>
    <w:lvl w:ilvl="5" w:tplc="21C4D844">
      <w:numFmt w:val="none"/>
      <w:lvlText w:val=""/>
      <w:lvlJc w:val="left"/>
      <w:pPr>
        <w:tabs>
          <w:tab w:val="num" w:pos="360"/>
        </w:tabs>
      </w:pPr>
      <w:rPr>
        <w:rFonts w:cs="Times New Roman"/>
      </w:rPr>
    </w:lvl>
    <w:lvl w:ilvl="6" w:tplc="306041BA">
      <w:numFmt w:val="none"/>
      <w:lvlText w:val=""/>
      <w:lvlJc w:val="left"/>
      <w:pPr>
        <w:tabs>
          <w:tab w:val="num" w:pos="360"/>
        </w:tabs>
      </w:pPr>
      <w:rPr>
        <w:rFonts w:cs="Times New Roman"/>
      </w:rPr>
    </w:lvl>
    <w:lvl w:ilvl="7" w:tplc="069CCC08">
      <w:numFmt w:val="none"/>
      <w:lvlText w:val=""/>
      <w:lvlJc w:val="left"/>
      <w:pPr>
        <w:tabs>
          <w:tab w:val="num" w:pos="360"/>
        </w:tabs>
      </w:pPr>
      <w:rPr>
        <w:rFonts w:cs="Times New Roman"/>
      </w:rPr>
    </w:lvl>
    <w:lvl w:ilvl="8" w:tplc="D040BAFC">
      <w:numFmt w:val="none"/>
      <w:lvlText w:val=""/>
      <w:lvlJc w:val="left"/>
      <w:pPr>
        <w:tabs>
          <w:tab w:val="num" w:pos="360"/>
        </w:tabs>
      </w:pPr>
      <w:rPr>
        <w:rFonts w:cs="Times New Roman"/>
      </w:rPr>
    </w:lvl>
  </w:abstractNum>
  <w:abstractNum w:abstractNumId="23" w15:restartNumberingAfterBreak="0">
    <w:nsid w:val="4BA372A3"/>
    <w:multiLevelType w:val="hybridMultilevel"/>
    <w:tmpl w:val="1EEC838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DC11CEA"/>
    <w:multiLevelType w:val="multilevel"/>
    <w:tmpl w:val="1BE8F578"/>
    <w:lvl w:ilvl="0">
      <w:start w:val="1"/>
      <w:numFmt w:val="decimal"/>
      <w:lvlText w:val="%1."/>
      <w:lvlJc w:val="left"/>
      <w:pPr>
        <w:tabs>
          <w:tab w:val="num" w:pos="705"/>
        </w:tabs>
        <w:ind w:left="705" w:hanging="36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1065"/>
        </w:tabs>
        <w:ind w:left="1065" w:hanging="720"/>
      </w:pPr>
      <w:rPr>
        <w:rFonts w:cs="Times New Roman" w:hint="default"/>
      </w:rPr>
    </w:lvl>
    <w:lvl w:ilvl="3">
      <w:start w:val="1"/>
      <w:numFmt w:val="decimal"/>
      <w:isLgl/>
      <w:lvlText w:val="%1.%2.%3.%4."/>
      <w:lvlJc w:val="left"/>
      <w:pPr>
        <w:tabs>
          <w:tab w:val="num" w:pos="1065"/>
        </w:tabs>
        <w:ind w:left="1065" w:hanging="720"/>
      </w:pPr>
      <w:rPr>
        <w:rFonts w:cs="Times New Roman" w:hint="default"/>
      </w:rPr>
    </w:lvl>
    <w:lvl w:ilvl="4">
      <w:start w:val="1"/>
      <w:numFmt w:val="decimal"/>
      <w:isLgl/>
      <w:lvlText w:val="%1.%2.%3.%4.%5."/>
      <w:lvlJc w:val="left"/>
      <w:pPr>
        <w:tabs>
          <w:tab w:val="num" w:pos="1425"/>
        </w:tabs>
        <w:ind w:left="1425" w:hanging="1080"/>
      </w:pPr>
      <w:rPr>
        <w:rFonts w:cs="Times New Roman" w:hint="default"/>
      </w:rPr>
    </w:lvl>
    <w:lvl w:ilvl="5">
      <w:start w:val="1"/>
      <w:numFmt w:val="decimal"/>
      <w:isLgl/>
      <w:lvlText w:val="%1.%2.%3.%4.%5.%6."/>
      <w:lvlJc w:val="left"/>
      <w:pPr>
        <w:tabs>
          <w:tab w:val="num" w:pos="1425"/>
        </w:tabs>
        <w:ind w:left="1425" w:hanging="1080"/>
      </w:pPr>
      <w:rPr>
        <w:rFonts w:cs="Times New Roman" w:hint="default"/>
      </w:rPr>
    </w:lvl>
    <w:lvl w:ilvl="6">
      <w:start w:val="1"/>
      <w:numFmt w:val="decimal"/>
      <w:isLgl/>
      <w:lvlText w:val="%1.%2.%3.%4.%5.%6.%7."/>
      <w:lvlJc w:val="left"/>
      <w:pPr>
        <w:tabs>
          <w:tab w:val="num" w:pos="1425"/>
        </w:tabs>
        <w:ind w:left="1425" w:hanging="1080"/>
      </w:pPr>
      <w:rPr>
        <w:rFonts w:cs="Times New Roman" w:hint="default"/>
      </w:rPr>
    </w:lvl>
    <w:lvl w:ilvl="7">
      <w:start w:val="1"/>
      <w:numFmt w:val="decimal"/>
      <w:isLgl/>
      <w:lvlText w:val="%1.%2.%3.%4.%5.%6.%7.%8."/>
      <w:lvlJc w:val="left"/>
      <w:pPr>
        <w:tabs>
          <w:tab w:val="num" w:pos="1785"/>
        </w:tabs>
        <w:ind w:left="1785" w:hanging="1440"/>
      </w:pPr>
      <w:rPr>
        <w:rFonts w:cs="Times New Roman" w:hint="default"/>
      </w:rPr>
    </w:lvl>
    <w:lvl w:ilvl="8">
      <w:start w:val="1"/>
      <w:numFmt w:val="decimal"/>
      <w:isLgl/>
      <w:lvlText w:val="%1.%2.%3.%4.%5.%6.%7.%8.%9."/>
      <w:lvlJc w:val="left"/>
      <w:pPr>
        <w:tabs>
          <w:tab w:val="num" w:pos="1785"/>
        </w:tabs>
        <w:ind w:left="1785" w:hanging="1440"/>
      </w:pPr>
      <w:rPr>
        <w:rFonts w:cs="Times New Roman" w:hint="default"/>
      </w:rPr>
    </w:lvl>
  </w:abstractNum>
  <w:abstractNum w:abstractNumId="25" w15:restartNumberingAfterBreak="0">
    <w:nsid w:val="51B6049F"/>
    <w:multiLevelType w:val="hybridMultilevel"/>
    <w:tmpl w:val="E7F8BB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77D1476"/>
    <w:multiLevelType w:val="hybridMultilevel"/>
    <w:tmpl w:val="4FD612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A92520E"/>
    <w:multiLevelType w:val="multilevel"/>
    <w:tmpl w:val="C7C096E2"/>
    <w:lvl w:ilvl="0">
      <w:start w:val="1"/>
      <w:numFmt w:val="decimal"/>
      <w:lvlText w:val="%1."/>
      <w:lvlJc w:val="left"/>
      <w:pPr>
        <w:ind w:left="720" w:hanging="360"/>
      </w:pPr>
      <w:rPr>
        <w:rFonts w:hint="default"/>
      </w:rPr>
    </w:lvl>
    <w:lvl w:ilvl="1">
      <w:start w:val="1"/>
      <w:numFmt w:val="decimal"/>
      <w:isLgl/>
      <w:lvlText w:val="%1.%2."/>
      <w:lvlJc w:val="left"/>
      <w:pPr>
        <w:ind w:left="1860" w:hanging="720"/>
      </w:pPr>
      <w:rPr>
        <w:rFonts w:hint="default"/>
        <w:color w:val="auto"/>
      </w:rPr>
    </w:lvl>
    <w:lvl w:ilvl="2">
      <w:start w:val="1"/>
      <w:numFmt w:val="decimal"/>
      <w:isLgl/>
      <w:lvlText w:val="%1.%2.%3."/>
      <w:lvlJc w:val="left"/>
      <w:pPr>
        <w:ind w:left="2640" w:hanging="720"/>
      </w:pPr>
      <w:rPr>
        <w:rFonts w:hint="default"/>
        <w:color w:val="auto"/>
      </w:rPr>
    </w:lvl>
    <w:lvl w:ilvl="3">
      <w:start w:val="1"/>
      <w:numFmt w:val="decimal"/>
      <w:isLgl/>
      <w:lvlText w:val="%1.%2.%3.%4."/>
      <w:lvlJc w:val="left"/>
      <w:pPr>
        <w:ind w:left="3780" w:hanging="1080"/>
      </w:pPr>
      <w:rPr>
        <w:rFonts w:hint="default"/>
        <w:color w:val="auto"/>
      </w:rPr>
    </w:lvl>
    <w:lvl w:ilvl="4">
      <w:start w:val="1"/>
      <w:numFmt w:val="decimal"/>
      <w:isLgl/>
      <w:lvlText w:val="%1.%2.%3.%4.%5."/>
      <w:lvlJc w:val="left"/>
      <w:pPr>
        <w:ind w:left="4560" w:hanging="1080"/>
      </w:pPr>
      <w:rPr>
        <w:rFonts w:hint="default"/>
        <w:color w:val="auto"/>
      </w:rPr>
    </w:lvl>
    <w:lvl w:ilvl="5">
      <w:start w:val="1"/>
      <w:numFmt w:val="decimal"/>
      <w:isLgl/>
      <w:lvlText w:val="%1.%2.%3.%4.%5.%6."/>
      <w:lvlJc w:val="left"/>
      <w:pPr>
        <w:ind w:left="5700" w:hanging="1440"/>
      </w:pPr>
      <w:rPr>
        <w:rFonts w:hint="default"/>
        <w:color w:val="auto"/>
      </w:rPr>
    </w:lvl>
    <w:lvl w:ilvl="6">
      <w:start w:val="1"/>
      <w:numFmt w:val="decimal"/>
      <w:isLgl/>
      <w:lvlText w:val="%1.%2.%3.%4.%5.%6.%7."/>
      <w:lvlJc w:val="left"/>
      <w:pPr>
        <w:ind w:left="6840" w:hanging="1800"/>
      </w:pPr>
      <w:rPr>
        <w:rFonts w:hint="default"/>
        <w:color w:val="auto"/>
      </w:rPr>
    </w:lvl>
    <w:lvl w:ilvl="7">
      <w:start w:val="1"/>
      <w:numFmt w:val="decimal"/>
      <w:isLgl/>
      <w:lvlText w:val="%1.%2.%3.%4.%5.%6.%7.%8."/>
      <w:lvlJc w:val="left"/>
      <w:pPr>
        <w:ind w:left="7620" w:hanging="1800"/>
      </w:pPr>
      <w:rPr>
        <w:rFonts w:hint="default"/>
        <w:color w:val="auto"/>
      </w:rPr>
    </w:lvl>
    <w:lvl w:ilvl="8">
      <w:start w:val="1"/>
      <w:numFmt w:val="decimal"/>
      <w:isLgl/>
      <w:lvlText w:val="%1.%2.%3.%4.%5.%6.%7.%8.%9."/>
      <w:lvlJc w:val="left"/>
      <w:pPr>
        <w:ind w:left="8760" w:hanging="2160"/>
      </w:pPr>
      <w:rPr>
        <w:rFonts w:hint="default"/>
        <w:color w:val="auto"/>
      </w:rPr>
    </w:lvl>
  </w:abstractNum>
  <w:abstractNum w:abstractNumId="28" w15:restartNumberingAfterBreak="0">
    <w:nsid w:val="5ABA5278"/>
    <w:multiLevelType w:val="hybridMultilevel"/>
    <w:tmpl w:val="6D3887D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64DE6CC9"/>
    <w:multiLevelType w:val="hybridMultilevel"/>
    <w:tmpl w:val="B19C5748"/>
    <w:lvl w:ilvl="0" w:tplc="E104E556">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6B0734E1"/>
    <w:multiLevelType w:val="hybridMultilevel"/>
    <w:tmpl w:val="2496E498"/>
    <w:lvl w:ilvl="0" w:tplc="303CC490">
      <w:start w:val="1"/>
      <w:numFmt w:val="lowerRoman"/>
      <w:lvlText w:val="%1-"/>
      <w:lvlJc w:val="left"/>
      <w:pPr>
        <w:ind w:left="810" w:hanging="720"/>
      </w:pPr>
      <w:rPr>
        <w:rFonts w:hint="default"/>
        <w:sz w:val="48"/>
        <w:szCs w:val="48"/>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31" w15:restartNumberingAfterBreak="0">
    <w:nsid w:val="7C4A6C31"/>
    <w:multiLevelType w:val="hybridMultilevel"/>
    <w:tmpl w:val="966AF594"/>
    <w:lvl w:ilvl="0" w:tplc="050C00EC">
      <w:start w:val="6"/>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15:restartNumberingAfterBreak="0">
    <w:nsid w:val="7D876992"/>
    <w:multiLevelType w:val="hybridMultilevel"/>
    <w:tmpl w:val="439E67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22"/>
  </w:num>
  <w:num w:numId="3">
    <w:abstractNumId w:val="16"/>
  </w:num>
  <w:num w:numId="4">
    <w:abstractNumId w:val="24"/>
  </w:num>
  <w:num w:numId="5">
    <w:abstractNumId w:val="6"/>
  </w:num>
  <w:num w:numId="6">
    <w:abstractNumId w:val="28"/>
  </w:num>
  <w:num w:numId="7">
    <w:abstractNumId w:val="19"/>
  </w:num>
  <w:num w:numId="8">
    <w:abstractNumId w:val="12"/>
  </w:num>
  <w:num w:numId="9">
    <w:abstractNumId w:val="21"/>
  </w:num>
  <w:num w:numId="10">
    <w:abstractNumId w:val="5"/>
  </w:num>
  <w:num w:numId="11">
    <w:abstractNumId w:val="13"/>
  </w:num>
  <w:num w:numId="12">
    <w:abstractNumId w:val="2"/>
  </w:num>
  <w:num w:numId="13">
    <w:abstractNumId w:val="17"/>
  </w:num>
  <w:num w:numId="14">
    <w:abstractNumId w:val="9"/>
  </w:num>
  <w:num w:numId="15">
    <w:abstractNumId w:val="8"/>
  </w:num>
  <w:num w:numId="16">
    <w:abstractNumId w:val="25"/>
  </w:num>
  <w:num w:numId="17">
    <w:abstractNumId w:val="1"/>
  </w:num>
  <w:num w:numId="18">
    <w:abstractNumId w:val="10"/>
  </w:num>
  <w:num w:numId="19">
    <w:abstractNumId w:val="32"/>
  </w:num>
  <w:num w:numId="20">
    <w:abstractNumId w:val="7"/>
  </w:num>
  <w:num w:numId="21">
    <w:abstractNumId w:val="27"/>
  </w:num>
  <w:num w:numId="22">
    <w:abstractNumId w:val="3"/>
  </w:num>
  <w:num w:numId="23">
    <w:abstractNumId w:val="18"/>
  </w:num>
  <w:num w:numId="24">
    <w:abstractNumId w:val="30"/>
  </w:num>
  <w:num w:numId="25">
    <w:abstractNumId w:val="26"/>
  </w:num>
  <w:num w:numId="26">
    <w:abstractNumId w:val="20"/>
  </w:num>
  <w:num w:numId="27">
    <w:abstractNumId w:val="15"/>
  </w:num>
  <w:num w:numId="28">
    <w:abstractNumId w:val="0"/>
  </w:num>
  <w:num w:numId="29">
    <w:abstractNumId w:val="4"/>
  </w:num>
  <w:num w:numId="30">
    <w:abstractNumId w:val="14"/>
  </w:num>
  <w:num w:numId="31">
    <w:abstractNumId w:val="29"/>
  </w:num>
  <w:num w:numId="32">
    <w:abstractNumId w:val="23"/>
  </w:num>
  <w:num w:numId="33">
    <w:abstractNumId w:val="3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6D6"/>
    <w:rsid w:val="00000CB4"/>
    <w:rsid w:val="000014D7"/>
    <w:rsid w:val="0000198C"/>
    <w:rsid w:val="00002209"/>
    <w:rsid w:val="0000262F"/>
    <w:rsid w:val="00003F93"/>
    <w:rsid w:val="00006D26"/>
    <w:rsid w:val="00007B96"/>
    <w:rsid w:val="00007E5E"/>
    <w:rsid w:val="000102F2"/>
    <w:rsid w:val="0001052F"/>
    <w:rsid w:val="00011297"/>
    <w:rsid w:val="00011F1A"/>
    <w:rsid w:val="00013BD3"/>
    <w:rsid w:val="00013C19"/>
    <w:rsid w:val="00014B7E"/>
    <w:rsid w:val="00014B96"/>
    <w:rsid w:val="000160B2"/>
    <w:rsid w:val="00016203"/>
    <w:rsid w:val="00016551"/>
    <w:rsid w:val="00016B46"/>
    <w:rsid w:val="00017C7F"/>
    <w:rsid w:val="00020D17"/>
    <w:rsid w:val="0002147F"/>
    <w:rsid w:val="00021C4C"/>
    <w:rsid w:val="000222E8"/>
    <w:rsid w:val="00022807"/>
    <w:rsid w:val="00023C13"/>
    <w:rsid w:val="00023C99"/>
    <w:rsid w:val="0002644B"/>
    <w:rsid w:val="000307A4"/>
    <w:rsid w:val="00030CF3"/>
    <w:rsid w:val="00033282"/>
    <w:rsid w:val="00034B2D"/>
    <w:rsid w:val="00034B4E"/>
    <w:rsid w:val="00035456"/>
    <w:rsid w:val="000354FA"/>
    <w:rsid w:val="000357A4"/>
    <w:rsid w:val="00035CA9"/>
    <w:rsid w:val="0003643E"/>
    <w:rsid w:val="00036870"/>
    <w:rsid w:val="000373B4"/>
    <w:rsid w:val="00040420"/>
    <w:rsid w:val="000405E4"/>
    <w:rsid w:val="0004292C"/>
    <w:rsid w:val="00042A43"/>
    <w:rsid w:val="00042CA0"/>
    <w:rsid w:val="00042DA9"/>
    <w:rsid w:val="00044035"/>
    <w:rsid w:val="000444EA"/>
    <w:rsid w:val="00044528"/>
    <w:rsid w:val="00044B78"/>
    <w:rsid w:val="00047A3C"/>
    <w:rsid w:val="00047AF0"/>
    <w:rsid w:val="000505E4"/>
    <w:rsid w:val="00050D11"/>
    <w:rsid w:val="000517BF"/>
    <w:rsid w:val="00054059"/>
    <w:rsid w:val="00055914"/>
    <w:rsid w:val="000566EC"/>
    <w:rsid w:val="00057B74"/>
    <w:rsid w:val="000611D1"/>
    <w:rsid w:val="00062B88"/>
    <w:rsid w:val="00062FE8"/>
    <w:rsid w:val="00064AB3"/>
    <w:rsid w:val="00064E0E"/>
    <w:rsid w:val="000650EA"/>
    <w:rsid w:val="00065869"/>
    <w:rsid w:val="0006589D"/>
    <w:rsid w:val="00065B48"/>
    <w:rsid w:val="0006611C"/>
    <w:rsid w:val="00066C49"/>
    <w:rsid w:val="00067973"/>
    <w:rsid w:val="00070155"/>
    <w:rsid w:val="00070AD7"/>
    <w:rsid w:val="00070B9B"/>
    <w:rsid w:val="00071347"/>
    <w:rsid w:val="000716CD"/>
    <w:rsid w:val="00071954"/>
    <w:rsid w:val="00072728"/>
    <w:rsid w:val="00073249"/>
    <w:rsid w:val="00073D79"/>
    <w:rsid w:val="00076341"/>
    <w:rsid w:val="00077121"/>
    <w:rsid w:val="0007748A"/>
    <w:rsid w:val="00077732"/>
    <w:rsid w:val="00077992"/>
    <w:rsid w:val="00080636"/>
    <w:rsid w:val="00080746"/>
    <w:rsid w:val="00080D80"/>
    <w:rsid w:val="00081569"/>
    <w:rsid w:val="000824A8"/>
    <w:rsid w:val="000827D4"/>
    <w:rsid w:val="00083BB0"/>
    <w:rsid w:val="00084044"/>
    <w:rsid w:val="000862D8"/>
    <w:rsid w:val="0008634A"/>
    <w:rsid w:val="00086B5A"/>
    <w:rsid w:val="00087AEB"/>
    <w:rsid w:val="00091B44"/>
    <w:rsid w:val="00091B65"/>
    <w:rsid w:val="0009209D"/>
    <w:rsid w:val="00092DBB"/>
    <w:rsid w:val="00093B00"/>
    <w:rsid w:val="00094844"/>
    <w:rsid w:val="00095332"/>
    <w:rsid w:val="00095338"/>
    <w:rsid w:val="0009624F"/>
    <w:rsid w:val="000A0116"/>
    <w:rsid w:val="000A01CC"/>
    <w:rsid w:val="000A1553"/>
    <w:rsid w:val="000A1DB1"/>
    <w:rsid w:val="000A32F1"/>
    <w:rsid w:val="000A41BC"/>
    <w:rsid w:val="000A43FC"/>
    <w:rsid w:val="000A4D91"/>
    <w:rsid w:val="000A5A9F"/>
    <w:rsid w:val="000A5CB1"/>
    <w:rsid w:val="000A6A00"/>
    <w:rsid w:val="000A6B4C"/>
    <w:rsid w:val="000A6E00"/>
    <w:rsid w:val="000A753B"/>
    <w:rsid w:val="000A75C0"/>
    <w:rsid w:val="000B0033"/>
    <w:rsid w:val="000B059D"/>
    <w:rsid w:val="000B0C6F"/>
    <w:rsid w:val="000B17D8"/>
    <w:rsid w:val="000B1F69"/>
    <w:rsid w:val="000B2372"/>
    <w:rsid w:val="000B28E2"/>
    <w:rsid w:val="000B2E14"/>
    <w:rsid w:val="000B4E16"/>
    <w:rsid w:val="000B4EC3"/>
    <w:rsid w:val="000B593C"/>
    <w:rsid w:val="000B664A"/>
    <w:rsid w:val="000B76C9"/>
    <w:rsid w:val="000C018E"/>
    <w:rsid w:val="000C0310"/>
    <w:rsid w:val="000C06F1"/>
    <w:rsid w:val="000C12EF"/>
    <w:rsid w:val="000C13BB"/>
    <w:rsid w:val="000C152D"/>
    <w:rsid w:val="000C2F9B"/>
    <w:rsid w:val="000C4D9E"/>
    <w:rsid w:val="000C4E6D"/>
    <w:rsid w:val="000C538D"/>
    <w:rsid w:val="000C5968"/>
    <w:rsid w:val="000C64B9"/>
    <w:rsid w:val="000C6B61"/>
    <w:rsid w:val="000C6DFB"/>
    <w:rsid w:val="000C7362"/>
    <w:rsid w:val="000C7712"/>
    <w:rsid w:val="000D0C9D"/>
    <w:rsid w:val="000D2350"/>
    <w:rsid w:val="000D2480"/>
    <w:rsid w:val="000D3638"/>
    <w:rsid w:val="000D38B5"/>
    <w:rsid w:val="000D44D9"/>
    <w:rsid w:val="000D55CB"/>
    <w:rsid w:val="000D5D01"/>
    <w:rsid w:val="000D609B"/>
    <w:rsid w:val="000D7080"/>
    <w:rsid w:val="000D70AC"/>
    <w:rsid w:val="000D77AD"/>
    <w:rsid w:val="000D7ED1"/>
    <w:rsid w:val="000E0DDB"/>
    <w:rsid w:val="000E1CAB"/>
    <w:rsid w:val="000E2766"/>
    <w:rsid w:val="000E2CBE"/>
    <w:rsid w:val="000E3902"/>
    <w:rsid w:val="000E4C09"/>
    <w:rsid w:val="000E4F37"/>
    <w:rsid w:val="000E6AC6"/>
    <w:rsid w:val="000E6E25"/>
    <w:rsid w:val="000E7DA8"/>
    <w:rsid w:val="000F2406"/>
    <w:rsid w:val="000F389C"/>
    <w:rsid w:val="000F555D"/>
    <w:rsid w:val="000F586D"/>
    <w:rsid w:val="000F6883"/>
    <w:rsid w:val="000F702C"/>
    <w:rsid w:val="000F7084"/>
    <w:rsid w:val="000F7E0D"/>
    <w:rsid w:val="00100916"/>
    <w:rsid w:val="001025C8"/>
    <w:rsid w:val="001026C4"/>
    <w:rsid w:val="00103571"/>
    <w:rsid w:val="00103BC7"/>
    <w:rsid w:val="00104974"/>
    <w:rsid w:val="00104CD7"/>
    <w:rsid w:val="0010551F"/>
    <w:rsid w:val="00105EF3"/>
    <w:rsid w:val="00106264"/>
    <w:rsid w:val="00106931"/>
    <w:rsid w:val="00107B0F"/>
    <w:rsid w:val="00107B64"/>
    <w:rsid w:val="00110521"/>
    <w:rsid w:val="0011067E"/>
    <w:rsid w:val="00110C8E"/>
    <w:rsid w:val="001119DA"/>
    <w:rsid w:val="00112CB4"/>
    <w:rsid w:val="001138B5"/>
    <w:rsid w:val="00113DE9"/>
    <w:rsid w:val="00114569"/>
    <w:rsid w:val="0011565B"/>
    <w:rsid w:val="0011611D"/>
    <w:rsid w:val="0011791C"/>
    <w:rsid w:val="00117F00"/>
    <w:rsid w:val="00120A8A"/>
    <w:rsid w:val="00120B31"/>
    <w:rsid w:val="00121103"/>
    <w:rsid w:val="00121FF2"/>
    <w:rsid w:val="001227DA"/>
    <w:rsid w:val="001233E0"/>
    <w:rsid w:val="00124E43"/>
    <w:rsid w:val="001254FF"/>
    <w:rsid w:val="0012766F"/>
    <w:rsid w:val="001301A7"/>
    <w:rsid w:val="00130594"/>
    <w:rsid w:val="0013077D"/>
    <w:rsid w:val="00130E0D"/>
    <w:rsid w:val="001332D6"/>
    <w:rsid w:val="00134970"/>
    <w:rsid w:val="00134B20"/>
    <w:rsid w:val="0013565B"/>
    <w:rsid w:val="0013590A"/>
    <w:rsid w:val="00135C2D"/>
    <w:rsid w:val="001371B8"/>
    <w:rsid w:val="00137584"/>
    <w:rsid w:val="0013791C"/>
    <w:rsid w:val="00137BC9"/>
    <w:rsid w:val="00137D7A"/>
    <w:rsid w:val="0014120C"/>
    <w:rsid w:val="0014184E"/>
    <w:rsid w:val="00143F25"/>
    <w:rsid w:val="0014524B"/>
    <w:rsid w:val="0014605D"/>
    <w:rsid w:val="00146920"/>
    <w:rsid w:val="0015071F"/>
    <w:rsid w:val="0015179A"/>
    <w:rsid w:val="0015189F"/>
    <w:rsid w:val="00151F1E"/>
    <w:rsid w:val="00152774"/>
    <w:rsid w:val="001540B9"/>
    <w:rsid w:val="001543B7"/>
    <w:rsid w:val="00154672"/>
    <w:rsid w:val="00154F1C"/>
    <w:rsid w:val="0015546B"/>
    <w:rsid w:val="001565FA"/>
    <w:rsid w:val="00156A7B"/>
    <w:rsid w:val="001606CA"/>
    <w:rsid w:val="00160972"/>
    <w:rsid w:val="00165241"/>
    <w:rsid w:val="0016611F"/>
    <w:rsid w:val="00166541"/>
    <w:rsid w:val="00166AF9"/>
    <w:rsid w:val="00170D02"/>
    <w:rsid w:val="001710EB"/>
    <w:rsid w:val="00171FD6"/>
    <w:rsid w:val="001727AB"/>
    <w:rsid w:val="00174CF7"/>
    <w:rsid w:val="00175994"/>
    <w:rsid w:val="00175FE3"/>
    <w:rsid w:val="00176334"/>
    <w:rsid w:val="0017788B"/>
    <w:rsid w:val="00177960"/>
    <w:rsid w:val="001810AA"/>
    <w:rsid w:val="0018156C"/>
    <w:rsid w:val="0018166C"/>
    <w:rsid w:val="00181C91"/>
    <w:rsid w:val="00182392"/>
    <w:rsid w:val="001833F2"/>
    <w:rsid w:val="001845B3"/>
    <w:rsid w:val="00185193"/>
    <w:rsid w:val="00186167"/>
    <w:rsid w:val="00186502"/>
    <w:rsid w:val="00187324"/>
    <w:rsid w:val="001901CC"/>
    <w:rsid w:val="0019048F"/>
    <w:rsid w:val="001906D5"/>
    <w:rsid w:val="001912D8"/>
    <w:rsid w:val="00192BFA"/>
    <w:rsid w:val="00192FFF"/>
    <w:rsid w:val="001934A2"/>
    <w:rsid w:val="00193737"/>
    <w:rsid w:val="00195529"/>
    <w:rsid w:val="00196AE1"/>
    <w:rsid w:val="00196C71"/>
    <w:rsid w:val="001973D7"/>
    <w:rsid w:val="0019779F"/>
    <w:rsid w:val="00197BE3"/>
    <w:rsid w:val="001A0884"/>
    <w:rsid w:val="001A18E2"/>
    <w:rsid w:val="001A2B22"/>
    <w:rsid w:val="001A2D06"/>
    <w:rsid w:val="001A4DE6"/>
    <w:rsid w:val="001A6074"/>
    <w:rsid w:val="001A6BA4"/>
    <w:rsid w:val="001A71C0"/>
    <w:rsid w:val="001A7C53"/>
    <w:rsid w:val="001A7DEC"/>
    <w:rsid w:val="001B08C3"/>
    <w:rsid w:val="001B0D19"/>
    <w:rsid w:val="001B0FBE"/>
    <w:rsid w:val="001B230F"/>
    <w:rsid w:val="001B2A01"/>
    <w:rsid w:val="001B3133"/>
    <w:rsid w:val="001B48E4"/>
    <w:rsid w:val="001B4FFC"/>
    <w:rsid w:val="001B5FCF"/>
    <w:rsid w:val="001B6AAF"/>
    <w:rsid w:val="001C0315"/>
    <w:rsid w:val="001C0A73"/>
    <w:rsid w:val="001C239D"/>
    <w:rsid w:val="001C25D8"/>
    <w:rsid w:val="001C26AF"/>
    <w:rsid w:val="001C27BD"/>
    <w:rsid w:val="001C47D5"/>
    <w:rsid w:val="001C5FE9"/>
    <w:rsid w:val="001C75E3"/>
    <w:rsid w:val="001C78B9"/>
    <w:rsid w:val="001C7949"/>
    <w:rsid w:val="001C7B41"/>
    <w:rsid w:val="001D0822"/>
    <w:rsid w:val="001D1668"/>
    <w:rsid w:val="001D2B52"/>
    <w:rsid w:val="001D47C3"/>
    <w:rsid w:val="001D49E9"/>
    <w:rsid w:val="001D4A35"/>
    <w:rsid w:val="001D5A2D"/>
    <w:rsid w:val="001D6503"/>
    <w:rsid w:val="001D65BE"/>
    <w:rsid w:val="001D68A6"/>
    <w:rsid w:val="001D6A1D"/>
    <w:rsid w:val="001D7625"/>
    <w:rsid w:val="001D7C6C"/>
    <w:rsid w:val="001E2A06"/>
    <w:rsid w:val="001E2FA9"/>
    <w:rsid w:val="001E54A4"/>
    <w:rsid w:val="001E606E"/>
    <w:rsid w:val="001E6718"/>
    <w:rsid w:val="001E7110"/>
    <w:rsid w:val="001F0305"/>
    <w:rsid w:val="001F1707"/>
    <w:rsid w:val="001F2001"/>
    <w:rsid w:val="001F230D"/>
    <w:rsid w:val="001F2345"/>
    <w:rsid w:val="001F3DFA"/>
    <w:rsid w:val="001F40B9"/>
    <w:rsid w:val="001F4955"/>
    <w:rsid w:val="001F4A95"/>
    <w:rsid w:val="001F4B62"/>
    <w:rsid w:val="001F5286"/>
    <w:rsid w:val="001F54C0"/>
    <w:rsid w:val="001F58D1"/>
    <w:rsid w:val="001F7AAF"/>
    <w:rsid w:val="00201317"/>
    <w:rsid w:val="00201916"/>
    <w:rsid w:val="00201CD5"/>
    <w:rsid w:val="00201EC1"/>
    <w:rsid w:val="00202C25"/>
    <w:rsid w:val="00203E98"/>
    <w:rsid w:val="00204BBC"/>
    <w:rsid w:val="00205285"/>
    <w:rsid w:val="00206223"/>
    <w:rsid w:val="00206496"/>
    <w:rsid w:val="00207580"/>
    <w:rsid w:val="00210BF6"/>
    <w:rsid w:val="002112ED"/>
    <w:rsid w:val="00211383"/>
    <w:rsid w:val="002117EF"/>
    <w:rsid w:val="00211D8B"/>
    <w:rsid w:val="002127C0"/>
    <w:rsid w:val="00212A83"/>
    <w:rsid w:val="002130C2"/>
    <w:rsid w:val="00214134"/>
    <w:rsid w:val="00214191"/>
    <w:rsid w:val="0021458C"/>
    <w:rsid w:val="002146C9"/>
    <w:rsid w:val="00214C63"/>
    <w:rsid w:val="0021600C"/>
    <w:rsid w:val="00216774"/>
    <w:rsid w:val="002208D8"/>
    <w:rsid w:val="00220BDA"/>
    <w:rsid w:val="0022113D"/>
    <w:rsid w:val="00221243"/>
    <w:rsid w:val="002217A6"/>
    <w:rsid w:val="00221B77"/>
    <w:rsid w:val="0022361B"/>
    <w:rsid w:val="00223EFE"/>
    <w:rsid w:val="00224009"/>
    <w:rsid w:val="002248A6"/>
    <w:rsid w:val="00224FE7"/>
    <w:rsid w:val="00225A2D"/>
    <w:rsid w:val="00225F67"/>
    <w:rsid w:val="002266FF"/>
    <w:rsid w:val="002273C8"/>
    <w:rsid w:val="00227BBE"/>
    <w:rsid w:val="00231C6A"/>
    <w:rsid w:val="00233220"/>
    <w:rsid w:val="00233462"/>
    <w:rsid w:val="0023358B"/>
    <w:rsid w:val="00234C69"/>
    <w:rsid w:val="00234EC7"/>
    <w:rsid w:val="00235646"/>
    <w:rsid w:val="0023611F"/>
    <w:rsid w:val="00236602"/>
    <w:rsid w:val="002369AF"/>
    <w:rsid w:val="00236C53"/>
    <w:rsid w:val="00237099"/>
    <w:rsid w:val="002378B0"/>
    <w:rsid w:val="00237EB8"/>
    <w:rsid w:val="002404A4"/>
    <w:rsid w:val="002425D3"/>
    <w:rsid w:val="0024275F"/>
    <w:rsid w:val="002429FC"/>
    <w:rsid w:val="00243750"/>
    <w:rsid w:val="00244B51"/>
    <w:rsid w:val="00244CDE"/>
    <w:rsid w:val="00245528"/>
    <w:rsid w:val="002459AD"/>
    <w:rsid w:val="00245E6D"/>
    <w:rsid w:val="00246195"/>
    <w:rsid w:val="00250FAA"/>
    <w:rsid w:val="00251149"/>
    <w:rsid w:val="00251B6E"/>
    <w:rsid w:val="00252083"/>
    <w:rsid w:val="002542B1"/>
    <w:rsid w:val="00255A17"/>
    <w:rsid w:val="00256279"/>
    <w:rsid w:val="00257004"/>
    <w:rsid w:val="002571BF"/>
    <w:rsid w:val="00260844"/>
    <w:rsid w:val="002616C2"/>
    <w:rsid w:val="00261F0E"/>
    <w:rsid w:val="00262462"/>
    <w:rsid w:val="00262B73"/>
    <w:rsid w:val="00262E22"/>
    <w:rsid w:val="002637CB"/>
    <w:rsid w:val="00263CDE"/>
    <w:rsid w:val="00263EA2"/>
    <w:rsid w:val="00264738"/>
    <w:rsid w:val="00264B70"/>
    <w:rsid w:val="00264F05"/>
    <w:rsid w:val="002659F1"/>
    <w:rsid w:val="00265A9D"/>
    <w:rsid w:val="0026726B"/>
    <w:rsid w:val="00267932"/>
    <w:rsid w:val="00267F84"/>
    <w:rsid w:val="002701D6"/>
    <w:rsid w:val="00270366"/>
    <w:rsid w:val="0027058F"/>
    <w:rsid w:val="002721A4"/>
    <w:rsid w:val="0027274A"/>
    <w:rsid w:val="00273FC9"/>
    <w:rsid w:val="00274302"/>
    <w:rsid w:val="00274396"/>
    <w:rsid w:val="002747BC"/>
    <w:rsid w:val="00275779"/>
    <w:rsid w:val="00276140"/>
    <w:rsid w:val="00277851"/>
    <w:rsid w:val="00280270"/>
    <w:rsid w:val="002806CA"/>
    <w:rsid w:val="0028084F"/>
    <w:rsid w:val="00281EE8"/>
    <w:rsid w:val="00282822"/>
    <w:rsid w:val="002828B0"/>
    <w:rsid w:val="00283258"/>
    <w:rsid w:val="002842AF"/>
    <w:rsid w:val="00284395"/>
    <w:rsid w:val="00284C0A"/>
    <w:rsid w:val="00284EDA"/>
    <w:rsid w:val="00284FA2"/>
    <w:rsid w:val="002854D3"/>
    <w:rsid w:val="00285DD5"/>
    <w:rsid w:val="002862B0"/>
    <w:rsid w:val="00287798"/>
    <w:rsid w:val="00290D8A"/>
    <w:rsid w:val="00290E87"/>
    <w:rsid w:val="00290F56"/>
    <w:rsid w:val="00291920"/>
    <w:rsid w:val="00292D90"/>
    <w:rsid w:val="00295CAF"/>
    <w:rsid w:val="00297194"/>
    <w:rsid w:val="00297FBF"/>
    <w:rsid w:val="002A0CB9"/>
    <w:rsid w:val="002A0CBF"/>
    <w:rsid w:val="002A1166"/>
    <w:rsid w:val="002A19DE"/>
    <w:rsid w:val="002A280F"/>
    <w:rsid w:val="002A30DC"/>
    <w:rsid w:val="002A33AD"/>
    <w:rsid w:val="002A47E5"/>
    <w:rsid w:val="002A482E"/>
    <w:rsid w:val="002A5839"/>
    <w:rsid w:val="002A6F0F"/>
    <w:rsid w:val="002A719B"/>
    <w:rsid w:val="002A7EAD"/>
    <w:rsid w:val="002B0230"/>
    <w:rsid w:val="002B064B"/>
    <w:rsid w:val="002B0B01"/>
    <w:rsid w:val="002B10B1"/>
    <w:rsid w:val="002B1B66"/>
    <w:rsid w:val="002B1CA0"/>
    <w:rsid w:val="002B1DCA"/>
    <w:rsid w:val="002B2DC7"/>
    <w:rsid w:val="002B32BA"/>
    <w:rsid w:val="002B4979"/>
    <w:rsid w:val="002B4A39"/>
    <w:rsid w:val="002B4B56"/>
    <w:rsid w:val="002B4C29"/>
    <w:rsid w:val="002B54E9"/>
    <w:rsid w:val="002B5F34"/>
    <w:rsid w:val="002B6744"/>
    <w:rsid w:val="002B70EA"/>
    <w:rsid w:val="002B7206"/>
    <w:rsid w:val="002C0953"/>
    <w:rsid w:val="002C1372"/>
    <w:rsid w:val="002C13F1"/>
    <w:rsid w:val="002C2085"/>
    <w:rsid w:val="002C52C9"/>
    <w:rsid w:val="002C568E"/>
    <w:rsid w:val="002D1007"/>
    <w:rsid w:val="002D18B3"/>
    <w:rsid w:val="002D1F31"/>
    <w:rsid w:val="002D46C8"/>
    <w:rsid w:val="002D50B1"/>
    <w:rsid w:val="002D6BEB"/>
    <w:rsid w:val="002E22E7"/>
    <w:rsid w:val="002E2B01"/>
    <w:rsid w:val="002E3973"/>
    <w:rsid w:val="002E3BD0"/>
    <w:rsid w:val="002E5389"/>
    <w:rsid w:val="002E553B"/>
    <w:rsid w:val="002E664E"/>
    <w:rsid w:val="002E6FD5"/>
    <w:rsid w:val="002E760A"/>
    <w:rsid w:val="002F082B"/>
    <w:rsid w:val="002F10B0"/>
    <w:rsid w:val="002F1AE7"/>
    <w:rsid w:val="002F2775"/>
    <w:rsid w:val="002F2D5C"/>
    <w:rsid w:val="002F2EB1"/>
    <w:rsid w:val="002F2ED2"/>
    <w:rsid w:val="002F3F4F"/>
    <w:rsid w:val="002F5AC8"/>
    <w:rsid w:val="002F5FE3"/>
    <w:rsid w:val="002F6BF3"/>
    <w:rsid w:val="002F70E4"/>
    <w:rsid w:val="002F76C6"/>
    <w:rsid w:val="00300731"/>
    <w:rsid w:val="00300CD1"/>
    <w:rsid w:val="003010DE"/>
    <w:rsid w:val="00301617"/>
    <w:rsid w:val="00301642"/>
    <w:rsid w:val="00302324"/>
    <w:rsid w:val="00304D0B"/>
    <w:rsid w:val="00305571"/>
    <w:rsid w:val="00305604"/>
    <w:rsid w:val="0030575D"/>
    <w:rsid w:val="003057C1"/>
    <w:rsid w:val="003057D4"/>
    <w:rsid w:val="003059CE"/>
    <w:rsid w:val="00306038"/>
    <w:rsid w:val="003068FC"/>
    <w:rsid w:val="00306B9C"/>
    <w:rsid w:val="0030721F"/>
    <w:rsid w:val="00307B2D"/>
    <w:rsid w:val="00307C93"/>
    <w:rsid w:val="003129A3"/>
    <w:rsid w:val="00312EB3"/>
    <w:rsid w:val="00314F34"/>
    <w:rsid w:val="003158EF"/>
    <w:rsid w:val="00315AE7"/>
    <w:rsid w:val="0031637A"/>
    <w:rsid w:val="003165B6"/>
    <w:rsid w:val="0031771B"/>
    <w:rsid w:val="003178D8"/>
    <w:rsid w:val="00320806"/>
    <w:rsid w:val="0032136D"/>
    <w:rsid w:val="00322C5A"/>
    <w:rsid w:val="0032312F"/>
    <w:rsid w:val="00323180"/>
    <w:rsid w:val="00323307"/>
    <w:rsid w:val="00325B8C"/>
    <w:rsid w:val="00326509"/>
    <w:rsid w:val="00326CE1"/>
    <w:rsid w:val="00326F16"/>
    <w:rsid w:val="003303F9"/>
    <w:rsid w:val="003316BD"/>
    <w:rsid w:val="00331FF5"/>
    <w:rsid w:val="0033216E"/>
    <w:rsid w:val="00333B4C"/>
    <w:rsid w:val="00334D71"/>
    <w:rsid w:val="00335D36"/>
    <w:rsid w:val="003410AB"/>
    <w:rsid w:val="00341763"/>
    <w:rsid w:val="003438CF"/>
    <w:rsid w:val="0034394A"/>
    <w:rsid w:val="00343FC0"/>
    <w:rsid w:val="00346846"/>
    <w:rsid w:val="00346873"/>
    <w:rsid w:val="00346D28"/>
    <w:rsid w:val="00347472"/>
    <w:rsid w:val="003502D8"/>
    <w:rsid w:val="0035102F"/>
    <w:rsid w:val="0035108F"/>
    <w:rsid w:val="00351B40"/>
    <w:rsid w:val="0035216B"/>
    <w:rsid w:val="00352A51"/>
    <w:rsid w:val="00352E8B"/>
    <w:rsid w:val="00353069"/>
    <w:rsid w:val="00353951"/>
    <w:rsid w:val="00353D92"/>
    <w:rsid w:val="0035563A"/>
    <w:rsid w:val="00356505"/>
    <w:rsid w:val="0035689C"/>
    <w:rsid w:val="00356994"/>
    <w:rsid w:val="00356B1E"/>
    <w:rsid w:val="003579DA"/>
    <w:rsid w:val="00360A7C"/>
    <w:rsid w:val="003616CF"/>
    <w:rsid w:val="00361B12"/>
    <w:rsid w:val="0036278F"/>
    <w:rsid w:val="00364007"/>
    <w:rsid w:val="0036424C"/>
    <w:rsid w:val="0036471A"/>
    <w:rsid w:val="0036486B"/>
    <w:rsid w:val="00364987"/>
    <w:rsid w:val="003657DE"/>
    <w:rsid w:val="00365C24"/>
    <w:rsid w:val="00365DB0"/>
    <w:rsid w:val="00366124"/>
    <w:rsid w:val="00366F16"/>
    <w:rsid w:val="00367D6B"/>
    <w:rsid w:val="003701E3"/>
    <w:rsid w:val="00370254"/>
    <w:rsid w:val="00371438"/>
    <w:rsid w:val="00373AF0"/>
    <w:rsid w:val="00373F03"/>
    <w:rsid w:val="00374D6A"/>
    <w:rsid w:val="00375058"/>
    <w:rsid w:val="0037565B"/>
    <w:rsid w:val="00377471"/>
    <w:rsid w:val="00377938"/>
    <w:rsid w:val="00377E56"/>
    <w:rsid w:val="0038083F"/>
    <w:rsid w:val="003815CB"/>
    <w:rsid w:val="00382A78"/>
    <w:rsid w:val="00382B7C"/>
    <w:rsid w:val="00382D02"/>
    <w:rsid w:val="00383400"/>
    <w:rsid w:val="003835A5"/>
    <w:rsid w:val="003836F8"/>
    <w:rsid w:val="00384E1A"/>
    <w:rsid w:val="00386060"/>
    <w:rsid w:val="00387805"/>
    <w:rsid w:val="003914E8"/>
    <w:rsid w:val="00391E81"/>
    <w:rsid w:val="0039359F"/>
    <w:rsid w:val="003948E8"/>
    <w:rsid w:val="0039499D"/>
    <w:rsid w:val="00394CAB"/>
    <w:rsid w:val="003958E8"/>
    <w:rsid w:val="003A0653"/>
    <w:rsid w:val="003A076A"/>
    <w:rsid w:val="003A15D0"/>
    <w:rsid w:val="003A1E06"/>
    <w:rsid w:val="003A2681"/>
    <w:rsid w:val="003A362A"/>
    <w:rsid w:val="003A425E"/>
    <w:rsid w:val="003A426D"/>
    <w:rsid w:val="003A459E"/>
    <w:rsid w:val="003A5BDD"/>
    <w:rsid w:val="003A62F4"/>
    <w:rsid w:val="003A6D59"/>
    <w:rsid w:val="003B11CA"/>
    <w:rsid w:val="003B1975"/>
    <w:rsid w:val="003B2D54"/>
    <w:rsid w:val="003B4120"/>
    <w:rsid w:val="003B43A0"/>
    <w:rsid w:val="003B6BB4"/>
    <w:rsid w:val="003B6F24"/>
    <w:rsid w:val="003B79EE"/>
    <w:rsid w:val="003B7B15"/>
    <w:rsid w:val="003B7E79"/>
    <w:rsid w:val="003C0486"/>
    <w:rsid w:val="003C0BA5"/>
    <w:rsid w:val="003C122E"/>
    <w:rsid w:val="003C19FD"/>
    <w:rsid w:val="003C35EC"/>
    <w:rsid w:val="003C39C1"/>
    <w:rsid w:val="003C3A58"/>
    <w:rsid w:val="003C46D7"/>
    <w:rsid w:val="003C4AC6"/>
    <w:rsid w:val="003C4ECB"/>
    <w:rsid w:val="003C5117"/>
    <w:rsid w:val="003C5B97"/>
    <w:rsid w:val="003C6097"/>
    <w:rsid w:val="003C6AC2"/>
    <w:rsid w:val="003C771A"/>
    <w:rsid w:val="003C7738"/>
    <w:rsid w:val="003C7B52"/>
    <w:rsid w:val="003C7B59"/>
    <w:rsid w:val="003D06DD"/>
    <w:rsid w:val="003D0702"/>
    <w:rsid w:val="003D0761"/>
    <w:rsid w:val="003D097F"/>
    <w:rsid w:val="003D1063"/>
    <w:rsid w:val="003D153E"/>
    <w:rsid w:val="003D1B01"/>
    <w:rsid w:val="003D2E7C"/>
    <w:rsid w:val="003D316A"/>
    <w:rsid w:val="003D445D"/>
    <w:rsid w:val="003D4F10"/>
    <w:rsid w:val="003D5C55"/>
    <w:rsid w:val="003D5D5E"/>
    <w:rsid w:val="003D5E08"/>
    <w:rsid w:val="003D6203"/>
    <w:rsid w:val="003D6705"/>
    <w:rsid w:val="003D6B51"/>
    <w:rsid w:val="003D6DEA"/>
    <w:rsid w:val="003D70C0"/>
    <w:rsid w:val="003D7AFB"/>
    <w:rsid w:val="003D7F9C"/>
    <w:rsid w:val="003E160A"/>
    <w:rsid w:val="003E1F01"/>
    <w:rsid w:val="003E225D"/>
    <w:rsid w:val="003E302F"/>
    <w:rsid w:val="003E3E56"/>
    <w:rsid w:val="003E4275"/>
    <w:rsid w:val="003E4362"/>
    <w:rsid w:val="003E4418"/>
    <w:rsid w:val="003E4460"/>
    <w:rsid w:val="003E45F5"/>
    <w:rsid w:val="003E4C0C"/>
    <w:rsid w:val="003E6ACA"/>
    <w:rsid w:val="003E757F"/>
    <w:rsid w:val="003E7888"/>
    <w:rsid w:val="003F1178"/>
    <w:rsid w:val="003F1749"/>
    <w:rsid w:val="003F2A47"/>
    <w:rsid w:val="003F2AF3"/>
    <w:rsid w:val="003F38C0"/>
    <w:rsid w:val="003F47D5"/>
    <w:rsid w:val="003F4BB1"/>
    <w:rsid w:val="003F594C"/>
    <w:rsid w:val="003F7965"/>
    <w:rsid w:val="00401A22"/>
    <w:rsid w:val="00402075"/>
    <w:rsid w:val="004027F9"/>
    <w:rsid w:val="00402F18"/>
    <w:rsid w:val="00402F6C"/>
    <w:rsid w:val="00403B1D"/>
    <w:rsid w:val="00403E32"/>
    <w:rsid w:val="004046F9"/>
    <w:rsid w:val="00405298"/>
    <w:rsid w:val="00405B3D"/>
    <w:rsid w:val="00406149"/>
    <w:rsid w:val="00406692"/>
    <w:rsid w:val="00407CB6"/>
    <w:rsid w:val="00410E41"/>
    <w:rsid w:val="004114D5"/>
    <w:rsid w:val="004117A7"/>
    <w:rsid w:val="00411AD2"/>
    <w:rsid w:val="00411D05"/>
    <w:rsid w:val="00411FC1"/>
    <w:rsid w:val="004127D0"/>
    <w:rsid w:val="00413C77"/>
    <w:rsid w:val="00413C79"/>
    <w:rsid w:val="004141A7"/>
    <w:rsid w:val="00414E8C"/>
    <w:rsid w:val="004159FA"/>
    <w:rsid w:val="00415BA0"/>
    <w:rsid w:val="00415C0F"/>
    <w:rsid w:val="00416A41"/>
    <w:rsid w:val="004173C6"/>
    <w:rsid w:val="00417495"/>
    <w:rsid w:val="004174D1"/>
    <w:rsid w:val="0041779C"/>
    <w:rsid w:val="00420BC7"/>
    <w:rsid w:val="00422152"/>
    <w:rsid w:val="00422244"/>
    <w:rsid w:val="004225F4"/>
    <w:rsid w:val="004243D4"/>
    <w:rsid w:val="00424BEC"/>
    <w:rsid w:val="00425781"/>
    <w:rsid w:val="00425E26"/>
    <w:rsid w:val="00430677"/>
    <w:rsid w:val="004325CD"/>
    <w:rsid w:val="00433070"/>
    <w:rsid w:val="0043363E"/>
    <w:rsid w:val="00435DC8"/>
    <w:rsid w:val="00436938"/>
    <w:rsid w:val="00436D13"/>
    <w:rsid w:val="00436EBE"/>
    <w:rsid w:val="00440866"/>
    <w:rsid w:val="004411F7"/>
    <w:rsid w:val="004412F1"/>
    <w:rsid w:val="00442BD7"/>
    <w:rsid w:val="00442EB4"/>
    <w:rsid w:val="00443586"/>
    <w:rsid w:val="004439B3"/>
    <w:rsid w:val="00443BAB"/>
    <w:rsid w:val="00444F98"/>
    <w:rsid w:val="004451F6"/>
    <w:rsid w:val="00445830"/>
    <w:rsid w:val="00445C55"/>
    <w:rsid w:val="00450069"/>
    <w:rsid w:val="0045057D"/>
    <w:rsid w:val="004505D1"/>
    <w:rsid w:val="00450738"/>
    <w:rsid w:val="004509BF"/>
    <w:rsid w:val="00451250"/>
    <w:rsid w:val="004524B0"/>
    <w:rsid w:val="0045287D"/>
    <w:rsid w:val="004536E0"/>
    <w:rsid w:val="0045425A"/>
    <w:rsid w:val="004600E6"/>
    <w:rsid w:val="004616D5"/>
    <w:rsid w:val="00461C93"/>
    <w:rsid w:val="00461C9A"/>
    <w:rsid w:val="00461DAC"/>
    <w:rsid w:val="00462B81"/>
    <w:rsid w:val="00463BEA"/>
    <w:rsid w:val="004650B0"/>
    <w:rsid w:val="004654E5"/>
    <w:rsid w:val="00467CB6"/>
    <w:rsid w:val="00470BC9"/>
    <w:rsid w:val="0047153B"/>
    <w:rsid w:val="00471577"/>
    <w:rsid w:val="00471B7C"/>
    <w:rsid w:val="00471BE5"/>
    <w:rsid w:val="00472A02"/>
    <w:rsid w:val="00474034"/>
    <w:rsid w:val="004742F5"/>
    <w:rsid w:val="00474AA0"/>
    <w:rsid w:val="00476D95"/>
    <w:rsid w:val="00477BE9"/>
    <w:rsid w:val="00481923"/>
    <w:rsid w:val="00481D93"/>
    <w:rsid w:val="00481D98"/>
    <w:rsid w:val="004824B4"/>
    <w:rsid w:val="00482B4B"/>
    <w:rsid w:val="00482D79"/>
    <w:rsid w:val="00483CAD"/>
    <w:rsid w:val="0048421E"/>
    <w:rsid w:val="004843BA"/>
    <w:rsid w:val="004850FD"/>
    <w:rsid w:val="00486242"/>
    <w:rsid w:val="00486BED"/>
    <w:rsid w:val="00486FEF"/>
    <w:rsid w:val="00490424"/>
    <w:rsid w:val="00490799"/>
    <w:rsid w:val="00490A03"/>
    <w:rsid w:val="00491257"/>
    <w:rsid w:val="0049265D"/>
    <w:rsid w:val="00492C3A"/>
    <w:rsid w:val="00492D43"/>
    <w:rsid w:val="004931C4"/>
    <w:rsid w:val="00494428"/>
    <w:rsid w:val="00494891"/>
    <w:rsid w:val="004949A0"/>
    <w:rsid w:val="00495363"/>
    <w:rsid w:val="00495A83"/>
    <w:rsid w:val="00495E17"/>
    <w:rsid w:val="00496491"/>
    <w:rsid w:val="00496CAC"/>
    <w:rsid w:val="00496EAB"/>
    <w:rsid w:val="004A1DA2"/>
    <w:rsid w:val="004A2729"/>
    <w:rsid w:val="004A41FF"/>
    <w:rsid w:val="004A43CF"/>
    <w:rsid w:val="004A457D"/>
    <w:rsid w:val="004A4B84"/>
    <w:rsid w:val="004A5088"/>
    <w:rsid w:val="004A54F3"/>
    <w:rsid w:val="004A5614"/>
    <w:rsid w:val="004A5B38"/>
    <w:rsid w:val="004A7BC1"/>
    <w:rsid w:val="004A7CD5"/>
    <w:rsid w:val="004A7F37"/>
    <w:rsid w:val="004B20D4"/>
    <w:rsid w:val="004B2D13"/>
    <w:rsid w:val="004B3D39"/>
    <w:rsid w:val="004B3FEA"/>
    <w:rsid w:val="004B539E"/>
    <w:rsid w:val="004B5991"/>
    <w:rsid w:val="004B6A38"/>
    <w:rsid w:val="004B6D50"/>
    <w:rsid w:val="004B745A"/>
    <w:rsid w:val="004B786E"/>
    <w:rsid w:val="004B791B"/>
    <w:rsid w:val="004C14A8"/>
    <w:rsid w:val="004C1658"/>
    <w:rsid w:val="004C2133"/>
    <w:rsid w:val="004C3095"/>
    <w:rsid w:val="004C3265"/>
    <w:rsid w:val="004C49DB"/>
    <w:rsid w:val="004C4BDC"/>
    <w:rsid w:val="004C5B9B"/>
    <w:rsid w:val="004C644D"/>
    <w:rsid w:val="004C69C1"/>
    <w:rsid w:val="004C7603"/>
    <w:rsid w:val="004C7666"/>
    <w:rsid w:val="004D097E"/>
    <w:rsid w:val="004D1B0B"/>
    <w:rsid w:val="004D2409"/>
    <w:rsid w:val="004D2F17"/>
    <w:rsid w:val="004D30C9"/>
    <w:rsid w:val="004D3362"/>
    <w:rsid w:val="004D3C96"/>
    <w:rsid w:val="004D67E9"/>
    <w:rsid w:val="004D6DFC"/>
    <w:rsid w:val="004E0153"/>
    <w:rsid w:val="004E08AE"/>
    <w:rsid w:val="004E2BEF"/>
    <w:rsid w:val="004E3120"/>
    <w:rsid w:val="004E4A11"/>
    <w:rsid w:val="004E4B3F"/>
    <w:rsid w:val="004E63EF"/>
    <w:rsid w:val="004F0BED"/>
    <w:rsid w:val="004F1CC2"/>
    <w:rsid w:val="004F3438"/>
    <w:rsid w:val="004F3C31"/>
    <w:rsid w:val="004F4C32"/>
    <w:rsid w:val="004F4D56"/>
    <w:rsid w:val="004F516E"/>
    <w:rsid w:val="004F75B9"/>
    <w:rsid w:val="00500923"/>
    <w:rsid w:val="00501329"/>
    <w:rsid w:val="00501828"/>
    <w:rsid w:val="00503CFA"/>
    <w:rsid w:val="00503D7E"/>
    <w:rsid w:val="0050413C"/>
    <w:rsid w:val="00504C1C"/>
    <w:rsid w:val="00505404"/>
    <w:rsid w:val="00505516"/>
    <w:rsid w:val="0050639E"/>
    <w:rsid w:val="005064B1"/>
    <w:rsid w:val="00506B4D"/>
    <w:rsid w:val="005070EC"/>
    <w:rsid w:val="0051001A"/>
    <w:rsid w:val="0051230E"/>
    <w:rsid w:val="00512379"/>
    <w:rsid w:val="00513031"/>
    <w:rsid w:val="00513716"/>
    <w:rsid w:val="005137C5"/>
    <w:rsid w:val="0051456E"/>
    <w:rsid w:val="0051572B"/>
    <w:rsid w:val="00516734"/>
    <w:rsid w:val="005176F2"/>
    <w:rsid w:val="00517AEA"/>
    <w:rsid w:val="005225D4"/>
    <w:rsid w:val="00522AAC"/>
    <w:rsid w:val="00522D42"/>
    <w:rsid w:val="005232BE"/>
    <w:rsid w:val="00523D07"/>
    <w:rsid w:val="00523FB8"/>
    <w:rsid w:val="00524085"/>
    <w:rsid w:val="00524BEA"/>
    <w:rsid w:val="00524D02"/>
    <w:rsid w:val="00524F2C"/>
    <w:rsid w:val="005266A2"/>
    <w:rsid w:val="00526C03"/>
    <w:rsid w:val="00527735"/>
    <w:rsid w:val="00527E9A"/>
    <w:rsid w:val="00531445"/>
    <w:rsid w:val="00531BD7"/>
    <w:rsid w:val="00531E4A"/>
    <w:rsid w:val="00533442"/>
    <w:rsid w:val="00533914"/>
    <w:rsid w:val="00533CBA"/>
    <w:rsid w:val="00534515"/>
    <w:rsid w:val="00534700"/>
    <w:rsid w:val="00535639"/>
    <w:rsid w:val="00536397"/>
    <w:rsid w:val="00537C28"/>
    <w:rsid w:val="00540BD6"/>
    <w:rsid w:val="0054102E"/>
    <w:rsid w:val="00541667"/>
    <w:rsid w:val="00542BB7"/>
    <w:rsid w:val="005434B6"/>
    <w:rsid w:val="005438C3"/>
    <w:rsid w:val="0054559E"/>
    <w:rsid w:val="00546867"/>
    <w:rsid w:val="005469F1"/>
    <w:rsid w:val="00546EEF"/>
    <w:rsid w:val="00550C1D"/>
    <w:rsid w:val="00551AAF"/>
    <w:rsid w:val="00551E01"/>
    <w:rsid w:val="00552B39"/>
    <w:rsid w:val="00553518"/>
    <w:rsid w:val="00553535"/>
    <w:rsid w:val="00554117"/>
    <w:rsid w:val="0055491A"/>
    <w:rsid w:val="00555316"/>
    <w:rsid w:val="00555385"/>
    <w:rsid w:val="0055700C"/>
    <w:rsid w:val="005572DA"/>
    <w:rsid w:val="005577A8"/>
    <w:rsid w:val="005578C2"/>
    <w:rsid w:val="00557A6C"/>
    <w:rsid w:val="00557C69"/>
    <w:rsid w:val="00560414"/>
    <w:rsid w:val="005604FC"/>
    <w:rsid w:val="00560F1D"/>
    <w:rsid w:val="005617E0"/>
    <w:rsid w:val="0056243F"/>
    <w:rsid w:val="00564AD5"/>
    <w:rsid w:val="0056519E"/>
    <w:rsid w:val="00565A9E"/>
    <w:rsid w:val="00565B9F"/>
    <w:rsid w:val="0056701E"/>
    <w:rsid w:val="00570A02"/>
    <w:rsid w:val="00570B59"/>
    <w:rsid w:val="00570F38"/>
    <w:rsid w:val="0057196B"/>
    <w:rsid w:val="00571C4C"/>
    <w:rsid w:val="00571EA7"/>
    <w:rsid w:val="005727D0"/>
    <w:rsid w:val="00573FBE"/>
    <w:rsid w:val="005746C5"/>
    <w:rsid w:val="00576679"/>
    <w:rsid w:val="0057677A"/>
    <w:rsid w:val="00577C0F"/>
    <w:rsid w:val="005803FB"/>
    <w:rsid w:val="00581C07"/>
    <w:rsid w:val="00582054"/>
    <w:rsid w:val="00582D90"/>
    <w:rsid w:val="00583162"/>
    <w:rsid w:val="005840DD"/>
    <w:rsid w:val="00584958"/>
    <w:rsid w:val="00584C08"/>
    <w:rsid w:val="0058574E"/>
    <w:rsid w:val="005863C9"/>
    <w:rsid w:val="0058676A"/>
    <w:rsid w:val="005867BF"/>
    <w:rsid w:val="00587917"/>
    <w:rsid w:val="00590384"/>
    <w:rsid w:val="00591C2B"/>
    <w:rsid w:val="0059257F"/>
    <w:rsid w:val="005944E6"/>
    <w:rsid w:val="0059475A"/>
    <w:rsid w:val="00594A50"/>
    <w:rsid w:val="00594C5F"/>
    <w:rsid w:val="00595929"/>
    <w:rsid w:val="00597E23"/>
    <w:rsid w:val="005A0D55"/>
    <w:rsid w:val="005A2509"/>
    <w:rsid w:val="005A563A"/>
    <w:rsid w:val="005A5A84"/>
    <w:rsid w:val="005A5B95"/>
    <w:rsid w:val="005A5E01"/>
    <w:rsid w:val="005A67B6"/>
    <w:rsid w:val="005A6E9A"/>
    <w:rsid w:val="005B0C49"/>
    <w:rsid w:val="005B1289"/>
    <w:rsid w:val="005B1E1B"/>
    <w:rsid w:val="005B1FB0"/>
    <w:rsid w:val="005B2635"/>
    <w:rsid w:val="005B2A90"/>
    <w:rsid w:val="005B46F6"/>
    <w:rsid w:val="005B67E5"/>
    <w:rsid w:val="005B6B1E"/>
    <w:rsid w:val="005B6D62"/>
    <w:rsid w:val="005C0378"/>
    <w:rsid w:val="005C06D7"/>
    <w:rsid w:val="005C11AC"/>
    <w:rsid w:val="005C13E7"/>
    <w:rsid w:val="005C176E"/>
    <w:rsid w:val="005C1C49"/>
    <w:rsid w:val="005C28EF"/>
    <w:rsid w:val="005C2FB0"/>
    <w:rsid w:val="005C3964"/>
    <w:rsid w:val="005C412D"/>
    <w:rsid w:val="005C467E"/>
    <w:rsid w:val="005C54A2"/>
    <w:rsid w:val="005C69D8"/>
    <w:rsid w:val="005C6C10"/>
    <w:rsid w:val="005D0633"/>
    <w:rsid w:val="005D0D81"/>
    <w:rsid w:val="005D1439"/>
    <w:rsid w:val="005D1A87"/>
    <w:rsid w:val="005D1DEF"/>
    <w:rsid w:val="005D3F33"/>
    <w:rsid w:val="005D49E1"/>
    <w:rsid w:val="005D4E48"/>
    <w:rsid w:val="005D552C"/>
    <w:rsid w:val="005D5B3E"/>
    <w:rsid w:val="005D6162"/>
    <w:rsid w:val="005D62D5"/>
    <w:rsid w:val="005D6ACF"/>
    <w:rsid w:val="005D6B48"/>
    <w:rsid w:val="005E0259"/>
    <w:rsid w:val="005E0CBA"/>
    <w:rsid w:val="005E0FF6"/>
    <w:rsid w:val="005E16E1"/>
    <w:rsid w:val="005E17E9"/>
    <w:rsid w:val="005E2371"/>
    <w:rsid w:val="005E283E"/>
    <w:rsid w:val="005E2975"/>
    <w:rsid w:val="005E2A5A"/>
    <w:rsid w:val="005E37D3"/>
    <w:rsid w:val="005E5CB5"/>
    <w:rsid w:val="005E6140"/>
    <w:rsid w:val="005E6473"/>
    <w:rsid w:val="005E68D4"/>
    <w:rsid w:val="005E6BD7"/>
    <w:rsid w:val="005E6D37"/>
    <w:rsid w:val="005E6E98"/>
    <w:rsid w:val="005F064E"/>
    <w:rsid w:val="005F0EAD"/>
    <w:rsid w:val="005F29D1"/>
    <w:rsid w:val="005F3006"/>
    <w:rsid w:val="005F446B"/>
    <w:rsid w:val="005F4EA5"/>
    <w:rsid w:val="005F5A31"/>
    <w:rsid w:val="005F5C5F"/>
    <w:rsid w:val="005F716F"/>
    <w:rsid w:val="00600089"/>
    <w:rsid w:val="006004FA"/>
    <w:rsid w:val="00601FE5"/>
    <w:rsid w:val="00602052"/>
    <w:rsid w:val="006035EC"/>
    <w:rsid w:val="00604307"/>
    <w:rsid w:val="006044B4"/>
    <w:rsid w:val="00604E5D"/>
    <w:rsid w:val="00607043"/>
    <w:rsid w:val="006070BD"/>
    <w:rsid w:val="00607295"/>
    <w:rsid w:val="0060751B"/>
    <w:rsid w:val="00607837"/>
    <w:rsid w:val="00610984"/>
    <w:rsid w:val="006120AF"/>
    <w:rsid w:val="006130D3"/>
    <w:rsid w:val="006162EE"/>
    <w:rsid w:val="00616C89"/>
    <w:rsid w:val="00616EA1"/>
    <w:rsid w:val="00617BCE"/>
    <w:rsid w:val="00622788"/>
    <w:rsid w:val="006228A6"/>
    <w:rsid w:val="00622B88"/>
    <w:rsid w:val="00622C9C"/>
    <w:rsid w:val="00623572"/>
    <w:rsid w:val="006243E8"/>
    <w:rsid w:val="00624A89"/>
    <w:rsid w:val="00625429"/>
    <w:rsid w:val="00627AD4"/>
    <w:rsid w:val="00627AFC"/>
    <w:rsid w:val="00627CBC"/>
    <w:rsid w:val="00630516"/>
    <w:rsid w:val="00631DBB"/>
    <w:rsid w:val="006323B1"/>
    <w:rsid w:val="006335C0"/>
    <w:rsid w:val="006347E5"/>
    <w:rsid w:val="006347EA"/>
    <w:rsid w:val="00634F31"/>
    <w:rsid w:val="0063518D"/>
    <w:rsid w:val="00636750"/>
    <w:rsid w:val="006370CD"/>
    <w:rsid w:val="0063756D"/>
    <w:rsid w:val="0064078C"/>
    <w:rsid w:val="006420F8"/>
    <w:rsid w:val="00642540"/>
    <w:rsid w:val="00642EBA"/>
    <w:rsid w:val="00644DDA"/>
    <w:rsid w:val="00645B8B"/>
    <w:rsid w:val="00646F57"/>
    <w:rsid w:val="00647014"/>
    <w:rsid w:val="00647531"/>
    <w:rsid w:val="00650167"/>
    <w:rsid w:val="00652459"/>
    <w:rsid w:val="006530E0"/>
    <w:rsid w:val="006534C3"/>
    <w:rsid w:val="00653636"/>
    <w:rsid w:val="00653B1C"/>
    <w:rsid w:val="006543C8"/>
    <w:rsid w:val="00655118"/>
    <w:rsid w:val="00655727"/>
    <w:rsid w:val="006557D7"/>
    <w:rsid w:val="0065582F"/>
    <w:rsid w:val="00655AD6"/>
    <w:rsid w:val="00655F60"/>
    <w:rsid w:val="006571D8"/>
    <w:rsid w:val="00661078"/>
    <w:rsid w:val="00662932"/>
    <w:rsid w:val="00663030"/>
    <w:rsid w:val="006636B2"/>
    <w:rsid w:val="00663B08"/>
    <w:rsid w:val="00663CD9"/>
    <w:rsid w:val="00663FE4"/>
    <w:rsid w:val="0066412F"/>
    <w:rsid w:val="00665576"/>
    <w:rsid w:val="0066647D"/>
    <w:rsid w:val="006678C1"/>
    <w:rsid w:val="00670FA7"/>
    <w:rsid w:val="006727DA"/>
    <w:rsid w:val="00674C98"/>
    <w:rsid w:val="0067703F"/>
    <w:rsid w:val="0067712D"/>
    <w:rsid w:val="00677AD2"/>
    <w:rsid w:val="00680439"/>
    <w:rsid w:val="00680B61"/>
    <w:rsid w:val="00681579"/>
    <w:rsid w:val="00681597"/>
    <w:rsid w:val="00683ED8"/>
    <w:rsid w:val="00684ADE"/>
    <w:rsid w:val="006850A3"/>
    <w:rsid w:val="00685909"/>
    <w:rsid w:val="00686ED5"/>
    <w:rsid w:val="0068713D"/>
    <w:rsid w:val="00687F5B"/>
    <w:rsid w:val="0069001D"/>
    <w:rsid w:val="00690311"/>
    <w:rsid w:val="00691F0F"/>
    <w:rsid w:val="00692887"/>
    <w:rsid w:val="00694208"/>
    <w:rsid w:val="006942CB"/>
    <w:rsid w:val="006950B4"/>
    <w:rsid w:val="00695A88"/>
    <w:rsid w:val="00695C56"/>
    <w:rsid w:val="00695F95"/>
    <w:rsid w:val="006960C2"/>
    <w:rsid w:val="006A05D3"/>
    <w:rsid w:val="006A0D67"/>
    <w:rsid w:val="006A1880"/>
    <w:rsid w:val="006A2194"/>
    <w:rsid w:val="006A4A39"/>
    <w:rsid w:val="006A58DF"/>
    <w:rsid w:val="006A6139"/>
    <w:rsid w:val="006A64BB"/>
    <w:rsid w:val="006A653D"/>
    <w:rsid w:val="006A79A2"/>
    <w:rsid w:val="006B0272"/>
    <w:rsid w:val="006B05B2"/>
    <w:rsid w:val="006B09CE"/>
    <w:rsid w:val="006B0C58"/>
    <w:rsid w:val="006B1178"/>
    <w:rsid w:val="006B1F3C"/>
    <w:rsid w:val="006B2650"/>
    <w:rsid w:val="006B26CD"/>
    <w:rsid w:val="006B29B8"/>
    <w:rsid w:val="006B2E66"/>
    <w:rsid w:val="006B3A74"/>
    <w:rsid w:val="006B3CF5"/>
    <w:rsid w:val="006B46F6"/>
    <w:rsid w:val="006B4BFC"/>
    <w:rsid w:val="006B530D"/>
    <w:rsid w:val="006B5E98"/>
    <w:rsid w:val="006B5ECF"/>
    <w:rsid w:val="006B6D1A"/>
    <w:rsid w:val="006B7E49"/>
    <w:rsid w:val="006C0452"/>
    <w:rsid w:val="006C07F6"/>
    <w:rsid w:val="006C15DB"/>
    <w:rsid w:val="006C2014"/>
    <w:rsid w:val="006C24B4"/>
    <w:rsid w:val="006C2E6C"/>
    <w:rsid w:val="006C2FA5"/>
    <w:rsid w:val="006C39E8"/>
    <w:rsid w:val="006C3EFA"/>
    <w:rsid w:val="006C45AE"/>
    <w:rsid w:val="006C48A2"/>
    <w:rsid w:val="006C4A97"/>
    <w:rsid w:val="006C5027"/>
    <w:rsid w:val="006C5929"/>
    <w:rsid w:val="006C69CC"/>
    <w:rsid w:val="006C77A7"/>
    <w:rsid w:val="006D0070"/>
    <w:rsid w:val="006D0116"/>
    <w:rsid w:val="006D03CC"/>
    <w:rsid w:val="006D3657"/>
    <w:rsid w:val="006D3AAE"/>
    <w:rsid w:val="006D3FF4"/>
    <w:rsid w:val="006D440C"/>
    <w:rsid w:val="006D44DA"/>
    <w:rsid w:val="006D5120"/>
    <w:rsid w:val="006D67C9"/>
    <w:rsid w:val="006D68A3"/>
    <w:rsid w:val="006E0637"/>
    <w:rsid w:val="006E0B52"/>
    <w:rsid w:val="006E3530"/>
    <w:rsid w:val="006E490E"/>
    <w:rsid w:val="006E5CA5"/>
    <w:rsid w:val="006E7394"/>
    <w:rsid w:val="006F17B7"/>
    <w:rsid w:val="006F21E0"/>
    <w:rsid w:val="006F21EE"/>
    <w:rsid w:val="006F26BA"/>
    <w:rsid w:val="006F3222"/>
    <w:rsid w:val="006F5700"/>
    <w:rsid w:val="006F6130"/>
    <w:rsid w:val="006F671E"/>
    <w:rsid w:val="006F6DDF"/>
    <w:rsid w:val="006F6F2F"/>
    <w:rsid w:val="006F7347"/>
    <w:rsid w:val="006F7510"/>
    <w:rsid w:val="007010B8"/>
    <w:rsid w:val="00701516"/>
    <w:rsid w:val="007017B1"/>
    <w:rsid w:val="00701B0D"/>
    <w:rsid w:val="00701BAF"/>
    <w:rsid w:val="00701C13"/>
    <w:rsid w:val="00701E68"/>
    <w:rsid w:val="007024F5"/>
    <w:rsid w:val="00702C15"/>
    <w:rsid w:val="007032E1"/>
    <w:rsid w:val="007044E9"/>
    <w:rsid w:val="00704D2B"/>
    <w:rsid w:val="00704D2D"/>
    <w:rsid w:val="00705FEF"/>
    <w:rsid w:val="0070686B"/>
    <w:rsid w:val="00707A1C"/>
    <w:rsid w:val="00710BA7"/>
    <w:rsid w:val="007118D1"/>
    <w:rsid w:val="00712B64"/>
    <w:rsid w:val="0071359D"/>
    <w:rsid w:val="00714802"/>
    <w:rsid w:val="00714A37"/>
    <w:rsid w:val="00715ABF"/>
    <w:rsid w:val="007167DE"/>
    <w:rsid w:val="007170C6"/>
    <w:rsid w:val="007210A9"/>
    <w:rsid w:val="00721EE6"/>
    <w:rsid w:val="00723474"/>
    <w:rsid w:val="00723F99"/>
    <w:rsid w:val="00724085"/>
    <w:rsid w:val="007273AD"/>
    <w:rsid w:val="00727668"/>
    <w:rsid w:val="0073003C"/>
    <w:rsid w:val="00731BCF"/>
    <w:rsid w:val="00731D50"/>
    <w:rsid w:val="00732A98"/>
    <w:rsid w:val="0073514E"/>
    <w:rsid w:val="00735452"/>
    <w:rsid w:val="00737997"/>
    <w:rsid w:val="00741529"/>
    <w:rsid w:val="00741E5D"/>
    <w:rsid w:val="00742EE8"/>
    <w:rsid w:val="00743610"/>
    <w:rsid w:val="007446B6"/>
    <w:rsid w:val="00744BE0"/>
    <w:rsid w:val="00744C15"/>
    <w:rsid w:val="00746946"/>
    <w:rsid w:val="007470D2"/>
    <w:rsid w:val="00747612"/>
    <w:rsid w:val="00750EC8"/>
    <w:rsid w:val="00751043"/>
    <w:rsid w:val="007511BE"/>
    <w:rsid w:val="007512F4"/>
    <w:rsid w:val="007515DC"/>
    <w:rsid w:val="00751A60"/>
    <w:rsid w:val="00753C97"/>
    <w:rsid w:val="00754811"/>
    <w:rsid w:val="00756487"/>
    <w:rsid w:val="007567E6"/>
    <w:rsid w:val="007572BD"/>
    <w:rsid w:val="007572F5"/>
    <w:rsid w:val="00757953"/>
    <w:rsid w:val="00757D05"/>
    <w:rsid w:val="00757D0C"/>
    <w:rsid w:val="00760962"/>
    <w:rsid w:val="007611AC"/>
    <w:rsid w:val="00761A1D"/>
    <w:rsid w:val="007626E7"/>
    <w:rsid w:val="00762AC4"/>
    <w:rsid w:val="00762FF7"/>
    <w:rsid w:val="00765560"/>
    <w:rsid w:val="0076621F"/>
    <w:rsid w:val="00766460"/>
    <w:rsid w:val="00766E17"/>
    <w:rsid w:val="007678C8"/>
    <w:rsid w:val="0077079E"/>
    <w:rsid w:val="00771106"/>
    <w:rsid w:val="00771437"/>
    <w:rsid w:val="0077225B"/>
    <w:rsid w:val="00772AF3"/>
    <w:rsid w:val="00773CBF"/>
    <w:rsid w:val="007745C6"/>
    <w:rsid w:val="00774640"/>
    <w:rsid w:val="00774C76"/>
    <w:rsid w:val="00774FC4"/>
    <w:rsid w:val="00775DE7"/>
    <w:rsid w:val="00776545"/>
    <w:rsid w:val="00776894"/>
    <w:rsid w:val="00777805"/>
    <w:rsid w:val="007778E0"/>
    <w:rsid w:val="00782835"/>
    <w:rsid w:val="00783DE9"/>
    <w:rsid w:val="007843F4"/>
    <w:rsid w:val="0078444C"/>
    <w:rsid w:val="00784B3E"/>
    <w:rsid w:val="00785FD7"/>
    <w:rsid w:val="0079009E"/>
    <w:rsid w:val="00791251"/>
    <w:rsid w:val="007913C0"/>
    <w:rsid w:val="00791E39"/>
    <w:rsid w:val="00792605"/>
    <w:rsid w:val="00793A43"/>
    <w:rsid w:val="00793A60"/>
    <w:rsid w:val="00793E1C"/>
    <w:rsid w:val="00794112"/>
    <w:rsid w:val="007941FB"/>
    <w:rsid w:val="00795DB4"/>
    <w:rsid w:val="00796F86"/>
    <w:rsid w:val="00797408"/>
    <w:rsid w:val="007A050F"/>
    <w:rsid w:val="007A0C9D"/>
    <w:rsid w:val="007A14B0"/>
    <w:rsid w:val="007A214D"/>
    <w:rsid w:val="007A2731"/>
    <w:rsid w:val="007A2DA9"/>
    <w:rsid w:val="007A3568"/>
    <w:rsid w:val="007A47D5"/>
    <w:rsid w:val="007A4CA5"/>
    <w:rsid w:val="007A5B1E"/>
    <w:rsid w:val="007A5D17"/>
    <w:rsid w:val="007A61F3"/>
    <w:rsid w:val="007A6298"/>
    <w:rsid w:val="007A69CD"/>
    <w:rsid w:val="007A70B3"/>
    <w:rsid w:val="007A7F31"/>
    <w:rsid w:val="007B1917"/>
    <w:rsid w:val="007B1BB4"/>
    <w:rsid w:val="007B2F59"/>
    <w:rsid w:val="007B3DE7"/>
    <w:rsid w:val="007B45AC"/>
    <w:rsid w:val="007B4AAA"/>
    <w:rsid w:val="007B5C1D"/>
    <w:rsid w:val="007B6143"/>
    <w:rsid w:val="007B6FE0"/>
    <w:rsid w:val="007B70A9"/>
    <w:rsid w:val="007B7489"/>
    <w:rsid w:val="007C0513"/>
    <w:rsid w:val="007C11B8"/>
    <w:rsid w:val="007C4D2E"/>
    <w:rsid w:val="007D04AC"/>
    <w:rsid w:val="007D0922"/>
    <w:rsid w:val="007D0CF1"/>
    <w:rsid w:val="007D2B2E"/>
    <w:rsid w:val="007D2C92"/>
    <w:rsid w:val="007D31EF"/>
    <w:rsid w:val="007D3309"/>
    <w:rsid w:val="007D3F8B"/>
    <w:rsid w:val="007D54B9"/>
    <w:rsid w:val="007D6158"/>
    <w:rsid w:val="007D639F"/>
    <w:rsid w:val="007D6E36"/>
    <w:rsid w:val="007D7CAF"/>
    <w:rsid w:val="007D7DD1"/>
    <w:rsid w:val="007E01E7"/>
    <w:rsid w:val="007E0EFC"/>
    <w:rsid w:val="007E16FD"/>
    <w:rsid w:val="007E184A"/>
    <w:rsid w:val="007E20C7"/>
    <w:rsid w:val="007E241E"/>
    <w:rsid w:val="007E28DF"/>
    <w:rsid w:val="007E2F8B"/>
    <w:rsid w:val="007E387C"/>
    <w:rsid w:val="007E391D"/>
    <w:rsid w:val="007E657B"/>
    <w:rsid w:val="007E7378"/>
    <w:rsid w:val="007F04F5"/>
    <w:rsid w:val="007F099C"/>
    <w:rsid w:val="007F106C"/>
    <w:rsid w:val="007F1125"/>
    <w:rsid w:val="007F1318"/>
    <w:rsid w:val="007F2CD3"/>
    <w:rsid w:val="007F34E0"/>
    <w:rsid w:val="007F38C3"/>
    <w:rsid w:val="007F44CA"/>
    <w:rsid w:val="007F586F"/>
    <w:rsid w:val="007F5AA3"/>
    <w:rsid w:val="007F5B8C"/>
    <w:rsid w:val="007F5F0C"/>
    <w:rsid w:val="007F66D9"/>
    <w:rsid w:val="007F6FC8"/>
    <w:rsid w:val="007F76C4"/>
    <w:rsid w:val="00803034"/>
    <w:rsid w:val="008032A7"/>
    <w:rsid w:val="008034D6"/>
    <w:rsid w:val="00804997"/>
    <w:rsid w:val="0080596B"/>
    <w:rsid w:val="00806A3F"/>
    <w:rsid w:val="00807F5F"/>
    <w:rsid w:val="0081186C"/>
    <w:rsid w:val="00811F1D"/>
    <w:rsid w:val="0081228B"/>
    <w:rsid w:val="008124EF"/>
    <w:rsid w:val="008126A5"/>
    <w:rsid w:val="008129B5"/>
    <w:rsid w:val="00812C8D"/>
    <w:rsid w:val="008139CC"/>
    <w:rsid w:val="00814144"/>
    <w:rsid w:val="00815219"/>
    <w:rsid w:val="008170F5"/>
    <w:rsid w:val="00817EFC"/>
    <w:rsid w:val="00820101"/>
    <w:rsid w:val="00820BE8"/>
    <w:rsid w:val="00820F2A"/>
    <w:rsid w:val="0082201F"/>
    <w:rsid w:val="0082247B"/>
    <w:rsid w:val="008230B2"/>
    <w:rsid w:val="0082326B"/>
    <w:rsid w:val="00823861"/>
    <w:rsid w:val="008267BF"/>
    <w:rsid w:val="00827879"/>
    <w:rsid w:val="0083257F"/>
    <w:rsid w:val="00832A99"/>
    <w:rsid w:val="00833211"/>
    <w:rsid w:val="00833A9A"/>
    <w:rsid w:val="00834516"/>
    <w:rsid w:val="00834E94"/>
    <w:rsid w:val="008356A0"/>
    <w:rsid w:val="00837359"/>
    <w:rsid w:val="008373D5"/>
    <w:rsid w:val="0083792C"/>
    <w:rsid w:val="00837A32"/>
    <w:rsid w:val="00837FC5"/>
    <w:rsid w:val="008406AB"/>
    <w:rsid w:val="00840DC5"/>
    <w:rsid w:val="00841F41"/>
    <w:rsid w:val="008423B7"/>
    <w:rsid w:val="0084244D"/>
    <w:rsid w:val="008431A8"/>
    <w:rsid w:val="008434E9"/>
    <w:rsid w:val="00843E39"/>
    <w:rsid w:val="00844A69"/>
    <w:rsid w:val="00844C09"/>
    <w:rsid w:val="00844DC8"/>
    <w:rsid w:val="008459EC"/>
    <w:rsid w:val="00845BB7"/>
    <w:rsid w:val="00845C97"/>
    <w:rsid w:val="00845EE5"/>
    <w:rsid w:val="008460CE"/>
    <w:rsid w:val="008463EB"/>
    <w:rsid w:val="00846B0E"/>
    <w:rsid w:val="00847412"/>
    <w:rsid w:val="008477CF"/>
    <w:rsid w:val="00850ABE"/>
    <w:rsid w:val="00851B23"/>
    <w:rsid w:val="00851B24"/>
    <w:rsid w:val="0085245E"/>
    <w:rsid w:val="00852D19"/>
    <w:rsid w:val="00852DB6"/>
    <w:rsid w:val="00855780"/>
    <w:rsid w:val="008569C5"/>
    <w:rsid w:val="00861C2E"/>
    <w:rsid w:val="008629E6"/>
    <w:rsid w:val="008638E6"/>
    <w:rsid w:val="00863BDB"/>
    <w:rsid w:val="0086485C"/>
    <w:rsid w:val="00864F9F"/>
    <w:rsid w:val="00864FE6"/>
    <w:rsid w:val="00865018"/>
    <w:rsid w:val="0086529E"/>
    <w:rsid w:val="00866E2D"/>
    <w:rsid w:val="00870648"/>
    <w:rsid w:val="00870674"/>
    <w:rsid w:val="00870884"/>
    <w:rsid w:val="00871D29"/>
    <w:rsid w:val="0087204C"/>
    <w:rsid w:val="008726DC"/>
    <w:rsid w:val="00872F13"/>
    <w:rsid w:val="00873058"/>
    <w:rsid w:val="00873948"/>
    <w:rsid w:val="0087458A"/>
    <w:rsid w:val="00874C77"/>
    <w:rsid w:val="00875054"/>
    <w:rsid w:val="0087538E"/>
    <w:rsid w:val="00877460"/>
    <w:rsid w:val="008775DF"/>
    <w:rsid w:val="0087787B"/>
    <w:rsid w:val="00877AD2"/>
    <w:rsid w:val="00880A89"/>
    <w:rsid w:val="00881E3B"/>
    <w:rsid w:val="00881ECE"/>
    <w:rsid w:val="00882C6E"/>
    <w:rsid w:val="008840D3"/>
    <w:rsid w:val="00884A92"/>
    <w:rsid w:val="0088539C"/>
    <w:rsid w:val="00885C4F"/>
    <w:rsid w:val="0088671E"/>
    <w:rsid w:val="0088715D"/>
    <w:rsid w:val="00887817"/>
    <w:rsid w:val="00890BE3"/>
    <w:rsid w:val="00891CCA"/>
    <w:rsid w:val="00891F48"/>
    <w:rsid w:val="00894FAB"/>
    <w:rsid w:val="0089544B"/>
    <w:rsid w:val="00895DB5"/>
    <w:rsid w:val="00896F39"/>
    <w:rsid w:val="00897CC9"/>
    <w:rsid w:val="008A0C1E"/>
    <w:rsid w:val="008A20EA"/>
    <w:rsid w:val="008A253E"/>
    <w:rsid w:val="008A270B"/>
    <w:rsid w:val="008A4200"/>
    <w:rsid w:val="008A538A"/>
    <w:rsid w:val="008A57ED"/>
    <w:rsid w:val="008A6151"/>
    <w:rsid w:val="008A676B"/>
    <w:rsid w:val="008A6B37"/>
    <w:rsid w:val="008B1B4A"/>
    <w:rsid w:val="008B1D06"/>
    <w:rsid w:val="008B37BB"/>
    <w:rsid w:val="008B3AD1"/>
    <w:rsid w:val="008B4061"/>
    <w:rsid w:val="008B472B"/>
    <w:rsid w:val="008B4E92"/>
    <w:rsid w:val="008B4F70"/>
    <w:rsid w:val="008B513F"/>
    <w:rsid w:val="008B5144"/>
    <w:rsid w:val="008B5FDC"/>
    <w:rsid w:val="008B6680"/>
    <w:rsid w:val="008B70FB"/>
    <w:rsid w:val="008C0703"/>
    <w:rsid w:val="008C2942"/>
    <w:rsid w:val="008C3209"/>
    <w:rsid w:val="008C3A0E"/>
    <w:rsid w:val="008C3A7A"/>
    <w:rsid w:val="008C46A5"/>
    <w:rsid w:val="008C4BAB"/>
    <w:rsid w:val="008C4BF1"/>
    <w:rsid w:val="008C602D"/>
    <w:rsid w:val="008C711A"/>
    <w:rsid w:val="008C7A17"/>
    <w:rsid w:val="008D04B0"/>
    <w:rsid w:val="008D0549"/>
    <w:rsid w:val="008D0E4B"/>
    <w:rsid w:val="008D1346"/>
    <w:rsid w:val="008D3077"/>
    <w:rsid w:val="008D327C"/>
    <w:rsid w:val="008D3F8A"/>
    <w:rsid w:val="008D4324"/>
    <w:rsid w:val="008D46F5"/>
    <w:rsid w:val="008D51E6"/>
    <w:rsid w:val="008D572D"/>
    <w:rsid w:val="008D57A1"/>
    <w:rsid w:val="008D673F"/>
    <w:rsid w:val="008D6EF6"/>
    <w:rsid w:val="008D7537"/>
    <w:rsid w:val="008E07C8"/>
    <w:rsid w:val="008E22DE"/>
    <w:rsid w:val="008E2741"/>
    <w:rsid w:val="008E28F0"/>
    <w:rsid w:val="008E4744"/>
    <w:rsid w:val="008E4940"/>
    <w:rsid w:val="008E4F80"/>
    <w:rsid w:val="008E54FC"/>
    <w:rsid w:val="008F02C3"/>
    <w:rsid w:val="008F0D7F"/>
    <w:rsid w:val="008F11E6"/>
    <w:rsid w:val="008F1472"/>
    <w:rsid w:val="008F1534"/>
    <w:rsid w:val="008F36FE"/>
    <w:rsid w:val="008F3C1C"/>
    <w:rsid w:val="008F3C92"/>
    <w:rsid w:val="008F4110"/>
    <w:rsid w:val="008F4777"/>
    <w:rsid w:val="008F6B33"/>
    <w:rsid w:val="008F7F30"/>
    <w:rsid w:val="00900101"/>
    <w:rsid w:val="00900E58"/>
    <w:rsid w:val="00901246"/>
    <w:rsid w:val="009018C1"/>
    <w:rsid w:val="00901987"/>
    <w:rsid w:val="00902687"/>
    <w:rsid w:val="009027E4"/>
    <w:rsid w:val="00902BA4"/>
    <w:rsid w:val="00903262"/>
    <w:rsid w:val="009034A6"/>
    <w:rsid w:val="00904A1B"/>
    <w:rsid w:val="00905057"/>
    <w:rsid w:val="00905C14"/>
    <w:rsid w:val="00906062"/>
    <w:rsid w:val="009066E8"/>
    <w:rsid w:val="009073E4"/>
    <w:rsid w:val="00910FE1"/>
    <w:rsid w:val="00911547"/>
    <w:rsid w:val="00911678"/>
    <w:rsid w:val="00911B37"/>
    <w:rsid w:val="00911F09"/>
    <w:rsid w:val="00911FC2"/>
    <w:rsid w:val="0091299E"/>
    <w:rsid w:val="00912F9D"/>
    <w:rsid w:val="00913062"/>
    <w:rsid w:val="009131DF"/>
    <w:rsid w:val="009137CD"/>
    <w:rsid w:val="00913ACC"/>
    <w:rsid w:val="00913EA1"/>
    <w:rsid w:val="009145BA"/>
    <w:rsid w:val="00914648"/>
    <w:rsid w:val="00915D3E"/>
    <w:rsid w:val="00915DE0"/>
    <w:rsid w:val="009178EC"/>
    <w:rsid w:val="0092079C"/>
    <w:rsid w:val="0092175B"/>
    <w:rsid w:val="00922654"/>
    <w:rsid w:val="00922E65"/>
    <w:rsid w:val="009238C8"/>
    <w:rsid w:val="00923B56"/>
    <w:rsid w:val="0092576B"/>
    <w:rsid w:val="009258D3"/>
    <w:rsid w:val="00926BAA"/>
    <w:rsid w:val="00927DAB"/>
    <w:rsid w:val="00930CEA"/>
    <w:rsid w:val="00933D6A"/>
    <w:rsid w:val="00935C40"/>
    <w:rsid w:val="00936234"/>
    <w:rsid w:val="009367A0"/>
    <w:rsid w:val="009377CC"/>
    <w:rsid w:val="00937D47"/>
    <w:rsid w:val="00937E5A"/>
    <w:rsid w:val="00940279"/>
    <w:rsid w:val="00940563"/>
    <w:rsid w:val="00940E9E"/>
    <w:rsid w:val="00941B66"/>
    <w:rsid w:val="00942873"/>
    <w:rsid w:val="009446A9"/>
    <w:rsid w:val="00944DF2"/>
    <w:rsid w:val="009469CC"/>
    <w:rsid w:val="009469D3"/>
    <w:rsid w:val="0094757C"/>
    <w:rsid w:val="00947A40"/>
    <w:rsid w:val="00950315"/>
    <w:rsid w:val="00950B08"/>
    <w:rsid w:val="00950CF3"/>
    <w:rsid w:val="00950DAC"/>
    <w:rsid w:val="009512E8"/>
    <w:rsid w:val="0095424E"/>
    <w:rsid w:val="00954D5C"/>
    <w:rsid w:val="00954F80"/>
    <w:rsid w:val="00956279"/>
    <w:rsid w:val="0095674F"/>
    <w:rsid w:val="009569EC"/>
    <w:rsid w:val="00957D08"/>
    <w:rsid w:val="00957D58"/>
    <w:rsid w:val="00960657"/>
    <w:rsid w:val="0096093F"/>
    <w:rsid w:val="0096112A"/>
    <w:rsid w:val="009644E0"/>
    <w:rsid w:val="009656C3"/>
    <w:rsid w:val="009700FD"/>
    <w:rsid w:val="00972610"/>
    <w:rsid w:val="00972FD2"/>
    <w:rsid w:val="00974215"/>
    <w:rsid w:val="00974487"/>
    <w:rsid w:val="0097450D"/>
    <w:rsid w:val="00974DF4"/>
    <w:rsid w:val="00976073"/>
    <w:rsid w:val="0097690F"/>
    <w:rsid w:val="00976A4D"/>
    <w:rsid w:val="00976D1D"/>
    <w:rsid w:val="009777E1"/>
    <w:rsid w:val="009806C8"/>
    <w:rsid w:val="00980A1D"/>
    <w:rsid w:val="00980AEA"/>
    <w:rsid w:val="0098193E"/>
    <w:rsid w:val="00981A7E"/>
    <w:rsid w:val="00982E11"/>
    <w:rsid w:val="009837E6"/>
    <w:rsid w:val="00983EB3"/>
    <w:rsid w:val="009848B8"/>
    <w:rsid w:val="00985016"/>
    <w:rsid w:val="0098701A"/>
    <w:rsid w:val="00987800"/>
    <w:rsid w:val="009878FD"/>
    <w:rsid w:val="00987B22"/>
    <w:rsid w:val="00987F69"/>
    <w:rsid w:val="009903AD"/>
    <w:rsid w:val="00990E18"/>
    <w:rsid w:val="00990F71"/>
    <w:rsid w:val="00991185"/>
    <w:rsid w:val="009911EA"/>
    <w:rsid w:val="00992A3B"/>
    <w:rsid w:val="00992D4F"/>
    <w:rsid w:val="00993593"/>
    <w:rsid w:val="00994E57"/>
    <w:rsid w:val="009954CF"/>
    <w:rsid w:val="009954E0"/>
    <w:rsid w:val="0099567E"/>
    <w:rsid w:val="009957FA"/>
    <w:rsid w:val="009964D1"/>
    <w:rsid w:val="009974AE"/>
    <w:rsid w:val="00997667"/>
    <w:rsid w:val="00997C8F"/>
    <w:rsid w:val="009A0247"/>
    <w:rsid w:val="009A06F1"/>
    <w:rsid w:val="009A085E"/>
    <w:rsid w:val="009A0C3D"/>
    <w:rsid w:val="009A1647"/>
    <w:rsid w:val="009A185D"/>
    <w:rsid w:val="009A1983"/>
    <w:rsid w:val="009A28E8"/>
    <w:rsid w:val="009A2A88"/>
    <w:rsid w:val="009A2B30"/>
    <w:rsid w:val="009A463E"/>
    <w:rsid w:val="009A5F9C"/>
    <w:rsid w:val="009A7982"/>
    <w:rsid w:val="009B063B"/>
    <w:rsid w:val="009B0893"/>
    <w:rsid w:val="009B26A4"/>
    <w:rsid w:val="009B28D1"/>
    <w:rsid w:val="009B3669"/>
    <w:rsid w:val="009B36DF"/>
    <w:rsid w:val="009B420D"/>
    <w:rsid w:val="009B51BF"/>
    <w:rsid w:val="009B52CB"/>
    <w:rsid w:val="009B52D1"/>
    <w:rsid w:val="009B6017"/>
    <w:rsid w:val="009B7B1E"/>
    <w:rsid w:val="009C0B19"/>
    <w:rsid w:val="009C0F94"/>
    <w:rsid w:val="009C10D8"/>
    <w:rsid w:val="009C286E"/>
    <w:rsid w:val="009C2B4F"/>
    <w:rsid w:val="009C3918"/>
    <w:rsid w:val="009C66BA"/>
    <w:rsid w:val="009C6A9C"/>
    <w:rsid w:val="009C7728"/>
    <w:rsid w:val="009C7939"/>
    <w:rsid w:val="009C79C8"/>
    <w:rsid w:val="009C7D2C"/>
    <w:rsid w:val="009D00B7"/>
    <w:rsid w:val="009D0D2B"/>
    <w:rsid w:val="009D0F38"/>
    <w:rsid w:val="009D12F6"/>
    <w:rsid w:val="009D16D9"/>
    <w:rsid w:val="009D1DFE"/>
    <w:rsid w:val="009D1F41"/>
    <w:rsid w:val="009D25E2"/>
    <w:rsid w:val="009D4D46"/>
    <w:rsid w:val="009D545F"/>
    <w:rsid w:val="009D6D08"/>
    <w:rsid w:val="009D70AD"/>
    <w:rsid w:val="009D74DB"/>
    <w:rsid w:val="009E0E03"/>
    <w:rsid w:val="009E1396"/>
    <w:rsid w:val="009E1543"/>
    <w:rsid w:val="009E17EB"/>
    <w:rsid w:val="009E19CF"/>
    <w:rsid w:val="009E1F42"/>
    <w:rsid w:val="009E24F7"/>
    <w:rsid w:val="009E59F2"/>
    <w:rsid w:val="009E5F44"/>
    <w:rsid w:val="009E662D"/>
    <w:rsid w:val="009E7027"/>
    <w:rsid w:val="009E7210"/>
    <w:rsid w:val="009E7612"/>
    <w:rsid w:val="009E7D80"/>
    <w:rsid w:val="009E7DC3"/>
    <w:rsid w:val="009E7E75"/>
    <w:rsid w:val="009F0BED"/>
    <w:rsid w:val="009F158D"/>
    <w:rsid w:val="009F3845"/>
    <w:rsid w:val="009F42B5"/>
    <w:rsid w:val="009F4F1C"/>
    <w:rsid w:val="009F5C79"/>
    <w:rsid w:val="009F5D46"/>
    <w:rsid w:val="009F6B75"/>
    <w:rsid w:val="009F71C8"/>
    <w:rsid w:val="009F727D"/>
    <w:rsid w:val="009F7422"/>
    <w:rsid w:val="009F791A"/>
    <w:rsid w:val="009F7DB8"/>
    <w:rsid w:val="00A0045E"/>
    <w:rsid w:val="00A013E9"/>
    <w:rsid w:val="00A01544"/>
    <w:rsid w:val="00A02905"/>
    <w:rsid w:val="00A02D39"/>
    <w:rsid w:val="00A04A85"/>
    <w:rsid w:val="00A067BF"/>
    <w:rsid w:val="00A070B4"/>
    <w:rsid w:val="00A07A68"/>
    <w:rsid w:val="00A07DA9"/>
    <w:rsid w:val="00A11F05"/>
    <w:rsid w:val="00A12120"/>
    <w:rsid w:val="00A12AD1"/>
    <w:rsid w:val="00A13420"/>
    <w:rsid w:val="00A1389D"/>
    <w:rsid w:val="00A13EED"/>
    <w:rsid w:val="00A14600"/>
    <w:rsid w:val="00A149D2"/>
    <w:rsid w:val="00A154CA"/>
    <w:rsid w:val="00A1579F"/>
    <w:rsid w:val="00A15BC5"/>
    <w:rsid w:val="00A15D12"/>
    <w:rsid w:val="00A15E31"/>
    <w:rsid w:val="00A15F6E"/>
    <w:rsid w:val="00A16101"/>
    <w:rsid w:val="00A16285"/>
    <w:rsid w:val="00A16FD8"/>
    <w:rsid w:val="00A172E9"/>
    <w:rsid w:val="00A17D82"/>
    <w:rsid w:val="00A2045D"/>
    <w:rsid w:val="00A219F0"/>
    <w:rsid w:val="00A222F9"/>
    <w:rsid w:val="00A22315"/>
    <w:rsid w:val="00A22AB8"/>
    <w:rsid w:val="00A2315C"/>
    <w:rsid w:val="00A238C2"/>
    <w:rsid w:val="00A253A8"/>
    <w:rsid w:val="00A27E7E"/>
    <w:rsid w:val="00A3150E"/>
    <w:rsid w:val="00A31CE9"/>
    <w:rsid w:val="00A322E8"/>
    <w:rsid w:val="00A32CE3"/>
    <w:rsid w:val="00A32CFC"/>
    <w:rsid w:val="00A33E59"/>
    <w:rsid w:val="00A34194"/>
    <w:rsid w:val="00A3590D"/>
    <w:rsid w:val="00A35FA5"/>
    <w:rsid w:val="00A3752F"/>
    <w:rsid w:val="00A37EC9"/>
    <w:rsid w:val="00A40D1E"/>
    <w:rsid w:val="00A411BF"/>
    <w:rsid w:val="00A41ABC"/>
    <w:rsid w:val="00A41AD7"/>
    <w:rsid w:val="00A42122"/>
    <w:rsid w:val="00A422F1"/>
    <w:rsid w:val="00A424F5"/>
    <w:rsid w:val="00A4341D"/>
    <w:rsid w:val="00A44C20"/>
    <w:rsid w:val="00A44E71"/>
    <w:rsid w:val="00A44E83"/>
    <w:rsid w:val="00A453DB"/>
    <w:rsid w:val="00A46D3E"/>
    <w:rsid w:val="00A47521"/>
    <w:rsid w:val="00A477A1"/>
    <w:rsid w:val="00A47F68"/>
    <w:rsid w:val="00A51154"/>
    <w:rsid w:val="00A51358"/>
    <w:rsid w:val="00A51DA5"/>
    <w:rsid w:val="00A51FA6"/>
    <w:rsid w:val="00A52A73"/>
    <w:rsid w:val="00A52FFC"/>
    <w:rsid w:val="00A53BBE"/>
    <w:rsid w:val="00A55529"/>
    <w:rsid w:val="00A56468"/>
    <w:rsid w:val="00A56C30"/>
    <w:rsid w:val="00A573E2"/>
    <w:rsid w:val="00A607C7"/>
    <w:rsid w:val="00A607FC"/>
    <w:rsid w:val="00A60DEB"/>
    <w:rsid w:val="00A61B4C"/>
    <w:rsid w:val="00A61E43"/>
    <w:rsid w:val="00A622EC"/>
    <w:rsid w:val="00A62771"/>
    <w:rsid w:val="00A6279F"/>
    <w:rsid w:val="00A636BB"/>
    <w:rsid w:val="00A6549E"/>
    <w:rsid w:val="00A709D3"/>
    <w:rsid w:val="00A710C6"/>
    <w:rsid w:val="00A7134B"/>
    <w:rsid w:val="00A72713"/>
    <w:rsid w:val="00A72EC4"/>
    <w:rsid w:val="00A73119"/>
    <w:rsid w:val="00A75E8A"/>
    <w:rsid w:val="00A760A1"/>
    <w:rsid w:val="00A768EA"/>
    <w:rsid w:val="00A77EEF"/>
    <w:rsid w:val="00A80E40"/>
    <w:rsid w:val="00A82A7E"/>
    <w:rsid w:val="00A843D6"/>
    <w:rsid w:val="00A8454E"/>
    <w:rsid w:val="00A86759"/>
    <w:rsid w:val="00A86842"/>
    <w:rsid w:val="00A86A2D"/>
    <w:rsid w:val="00A87449"/>
    <w:rsid w:val="00A900CB"/>
    <w:rsid w:val="00A90229"/>
    <w:rsid w:val="00A9157D"/>
    <w:rsid w:val="00A93956"/>
    <w:rsid w:val="00A93A08"/>
    <w:rsid w:val="00A951D9"/>
    <w:rsid w:val="00AA01D1"/>
    <w:rsid w:val="00AA05EB"/>
    <w:rsid w:val="00AA0DA7"/>
    <w:rsid w:val="00AA13A7"/>
    <w:rsid w:val="00AA2250"/>
    <w:rsid w:val="00AA3258"/>
    <w:rsid w:val="00AA3434"/>
    <w:rsid w:val="00AA5305"/>
    <w:rsid w:val="00AA5410"/>
    <w:rsid w:val="00AA55E8"/>
    <w:rsid w:val="00AA686A"/>
    <w:rsid w:val="00AA6927"/>
    <w:rsid w:val="00AA6B64"/>
    <w:rsid w:val="00AA6D8B"/>
    <w:rsid w:val="00AB002B"/>
    <w:rsid w:val="00AB0E38"/>
    <w:rsid w:val="00AB1153"/>
    <w:rsid w:val="00AB12BF"/>
    <w:rsid w:val="00AB3063"/>
    <w:rsid w:val="00AB3232"/>
    <w:rsid w:val="00AB3C11"/>
    <w:rsid w:val="00AB3DD1"/>
    <w:rsid w:val="00AB4DC2"/>
    <w:rsid w:val="00AB52F7"/>
    <w:rsid w:val="00AB5A68"/>
    <w:rsid w:val="00AB6298"/>
    <w:rsid w:val="00AB6CFA"/>
    <w:rsid w:val="00AB6E75"/>
    <w:rsid w:val="00AB75BB"/>
    <w:rsid w:val="00AB7A61"/>
    <w:rsid w:val="00AB7FCF"/>
    <w:rsid w:val="00AC0097"/>
    <w:rsid w:val="00AC0146"/>
    <w:rsid w:val="00AC1276"/>
    <w:rsid w:val="00AC2711"/>
    <w:rsid w:val="00AC2749"/>
    <w:rsid w:val="00AC2D6B"/>
    <w:rsid w:val="00AC304A"/>
    <w:rsid w:val="00AC3082"/>
    <w:rsid w:val="00AC3569"/>
    <w:rsid w:val="00AC4D33"/>
    <w:rsid w:val="00AC5150"/>
    <w:rsid w:val="00AC62BF"/>
    <w:rsid w:val="00AC6C69"/>
    <w:rsid w:val="00AC6D22"/>
    <w:rsid w:val="00AC71E6"/>
    <w:rsid w:val="00AC7559"/>
    <w:rsid w:val="00AC79AF"/>
    <w:rsid w:val="00AC7B81"/>
    <w:rsid w:val="00AD0CA0"/>
    <w:rsid w:val="00AD1059"/>
    <w:rsid w:val="00AD13B0"/>
    <w:rsid w:val="00AD1469"/>
    <w:rsid w:val="00AD2124"/>
    <w:rsid w:val="00AD3A52"/>
    <w:rsid w:val="00AD40D4"/>
    <w:rsid w:val="00AD48BD"/>
    <w:rsid w:val="00AD5741"/>
    <w:rsid w:val="00AD6E1E"/>
    <w:rsid w:val="00AD6F8C"/>
    <w:rsid w:val="00AD7D8B"/>
    <w:rsid w:val="00AE0057"/>
    <w:rsid w:val="00AE0FF0"/>
    <w:rsid w:val="00AE1740"/>
    <w:rsid w:val="00AE1AD1"/>
    <w:rsid w:val="00AE449A"/>
    <w:rsid w:val="00AE4BDA"/>
    <w:rsid w:val="00AE4D19"/>
    <w:rsid w:val="00AE5135"/>
    <w:rsid w:val="00AE66F6"/>
    <w:rsid w:val="00AF0270"/>
    <w:rsid w:val="00AF1389"/>
    <w:rsid w:val="00AF13E4"/>
    <w:rsid w:val="00AF2205"/>
    <w:rsid w:val="00AF275A"/>
    <w:rsid w:val="00AF2E6E"/>
    <w:rsid w:val="00AF3D0F"/>
    <w:rsid w:val="00AF593C"/>
    <w:rsid w:val="00AF5BE4"/>
    <w:rsid w:val="00AF63F0"/>
    <w:rsid w:val="00AF6FC6"/>
    <w:rsid w:val="00AF7638"/>
    <w:rsid w:val="00AF78C6"/>
    <w:rsid w:val="00AF79F9"/>
    <w:rsid w:val="00B00887"/>
    <w:rsid w:val="00B00DEE"/>
    <w:rsid w:val="00B00F6F"/>
    <w:rsid w:val="00B011DB"/>
    <w:rsid w:val="00B01EE6"/>
    <w:rsid w:val="00B02213"/>
    <w:rsid w:val="00B024AE"/>
    <w:rsid w:val="00B03456"/>
    <w:rsid w:val="00B039D9"/>
    <w:rsid w:val="00B04050"/>
    <w:rsid w:val="00B045A4"/>
    <w:rsid w:val="00B0520C"/>
    <w:rsid w:val="00B0623E"/>
    <w:rsid w:val="00B06E63"/>
    <w:rsid w:val="00B0766A"/>
    <w:rsid w:val="00B11895"/>
    <w:rsid w:val="00B125DB"/>
    <w:rsid w:val="00B142AD"/>
    <w:rsid w:val="00B143AE"/>
    <w:rsid w:val="00B14788"/>
    <w:rsid w:val="00B15E32"/>
    <w:rsid w:val="00B164F4"/>
    <w:rsid w:val="00B1778D"/>
    <w:rsid w:val="00B17955"/>
    <w:rsid w:val="00B20B0A"/>
    <w:rsid w:val="00B21789"/>
    <w:rsid w:val="00B22E39"/>
    <w:rsid w:val="00B2460C"/>
    <w:rsid w:val="00B256A2"/>
    <w:rsid w:val="00B26255"/>
    <w:rsid w:val="00B267EF"/>
    <w:rsid w:val="00B26992"/>
    <w:rsid w:val="00B26CE6"/>
    <w:rsid w:val="00B26EC2"/>
    <w:rsid w:val="00B30575"/>
    <w:rsid w:val="00B305DE"/>
    <w:rsid w:val="00B30966"/>
    <w:rsid w:val="00B313BB"/>
    <w:rsid w:val="00B31979"/>
    <w:rsid w:val="00B32CEC"/>
    <w:rsid w:val="00B33CE5"/>
    <w:rsid w:val="00B33F07"/>
    <w:rsid w:val="00B34192"/>
    <w:rsid w:val="00B343A5"/>
    <w:rsid w:val="00B345AE"/>
    <w:rsid w:val="00B348B0"/>
    <w:rsid w:val="00B34EFD"/>
    <w:rsid w:val="00B35355"/>
    <w:rsid w:val="00B35929"/>
    <w:rsid w:val="00B3614C"/>
    <w:rsid w:val="00B36FA7"/>
    <w:rsid w:val="00B40871"/>
    <w:rsid w:val="00B40A43"/>
    <w:rsid w:val="00B40A4C"/>
    <w:rsid w:val="00B40DF7"/>
    <w:rsid w:val="00B425B6"/>
    <w:rsid w:val="00B426BE"/>
    <w:rsid w:val="00B44FEA"/>
    <w:rsid w:val="00B45CD5"/>
    <w:rsid w:val="00B467F5"/>
    <w:rsid w:val="00B46844"/>
    <w:rsid w:val="00B46A74"/>
    <w:rsid w:val="00B47292"/>
    <w:rsid w:val="00B477F2"/>
    <w:rsid w:val="00B508CC"/>
    <w:rsid w:val="00B50E8F"/>
    <w:rsid w:val="00B51450"/>
    <w:rsid w:val="00B52CDD"/>
    <w:rsid w:val="00B52D1C"/>
    <w:rsid w:val="00B52D23"/>
    <w:rsid w:val="00B53891"/>
    <w:rsid w:val="00B53B5A"/>
    <w:rsid w:val="00B53FF1"/>
    <w:rsid w:val="00B54815"/>
    <w:rsid w:val="00B55873"/>
    <w:rsid w:val="00B5689B"/>
    <w:rsid w:val="00B56EFF"/>
    <w:rsid w:val="00B57A95"/>
    <w:rsid w:val="00B60AF0"/>
    <w:rsid w:val="00B61F79"/>
    <w:rsid w:val="00B62535"/>
    <w:rsid w:val="00B636CC"/>
    <w:rsid w:val="00B65182"/>
    <w:rsid w:val="00B65634"/>
    <w:rsid w:val="00B65D7C"/>
    <w:rsid w:val="00B67D59"/>
    <w:rsid w:val="00B67F0C"/>
    <w:rsid w:val="00B67FDC"/>
    <w:rsid w:val="00B70318"/>
    <w:rsid w:val="00B71569"/>
    <w:rsid w:val="00B71925"/>
    <w:rsid w:val="00B71B9B"/>
    <w:rsid w:val="00B71DF9"/>
    <w:rsid w:val="00B71F75"/>
    <w:rsid w:val="00B73506"/>
    <w:rsid w:val="00B73BCE"/>
    <w:rsid w:val="00B74139"/>
    <w:rsid w:val="00B752B8"/>
    <w:rsid w:val="00B765E5"/>
    <w:rsid w:val="00B768F6"/>
    <w:rsid w:val="00B805A6"/>
    <w:rsid w:val="00B80BC3"/>
    <w:rsid w:val="00B80E21"/>
    <w:rsid w:val="00B81E42"/>
    <w:rsid w:val="00B821AA"/>
    <w:rsid w:val="00B8228B"/>
    <w:rsid w:val="00B83281"/>
    <w:rsid w:val="00B848AD"/>
    <w:rsid w:val="00B84988"/>
    <w:rsid w:val="00B84E5D"/>
    <w:rsid w:val="00B8630B"/>
    <w:rsid w:val="00B86339"/>
    <w:rsid w:val="00B86A00"/>
    <w:rsid w:val="00B872AF"/>
    <w:rsid w:val="00B908B0"/>
    <w:rsid w:val="00B913D7"/>
    <w:rsid w:val="00B916AD"/>
    <w:rsid w:val="00B91D6A"/>
    <w:rsid w:val="00B91E0A"/>
    <w:rsid w:val="00B922E6"/>
    <w:rsid w:val="00B93556"/>
    <w:rsid w:val="00B93825"/>
    <w:rsid w:val="00B957BD"/>
    <w:rsid w:val="00B972AC"/>
    <w:rsid w:val="00B97A59"/>
    <w:rsid w:val="00BA003A"/>
    <w:rsid w:val="00BA1213"/>
    <w:rsid w:val="00BA2458"/>
    <w:rsid w:val="00BA30BF"/>
    <w:rsid w:val="00BA3571"/>
    <w:rsid w:val="00BA4FA8"/>
    <w:rsid w:val="00BA5158"/>
    <w:rsid w:val="00BA5D95"/>
    <w:rsid w:val="00BA656C"/>
    <w:rsid w:val="00BA6FFE"/>
    <w:rsid w:val="00BA7533"/>
    <w:rsid w:val="00BA7E1C"/>
    <w:rsid w:val="00BB0DBF"/>
    <w:rsid w:val="00BB0EC5"/>
    <w:rsid w:val="00BB2145"/>
    <w:rsid w:val="00BB228F"/>
    <w:rsid w:val="00BB2684"/>
    <w:rsid w:val="00BB2A85"/>
    <w:rsid w:val="00BB3E68"/>
    <w:rsid w:val="00BB4858"/>
    <w:rsid w:val="00BB58B8"/>
    <w:rsid w:val="00BB5A02"/>
    <w:rsid w:val="00BB6083"/>
    <w:rsid w:val="00BB62E8"/>
    <w:rsid w:val="00BB6C20"/>
    <w:rsid w:val="00BB6FB0"/>
    <w:rsid w:val="00BB79E3"/>
    <w:rsid w:val="00BB7F1E"/>
    <w:rsid w:val="00BC0420"/>
    <w:rsid w:val="00BC0B37"/>
    <w:rsid w:val="00BC0D19"/>
    <w:rsid w:val="00BC1A61"/>
    <w:rsid w:val="00BC264D"/>
    <w:rsid w:val="00BC4F24"/>
    <w:rsid w:val="00BC56D0"/>
    <w:rsid w:val="00BC5835"/>
    <w:rsid w:val="00BC6535"/>
    <w:rsid w:val="00BC6DCF"/>
    <w:rsid w:val="00BC6F9A"/>
    <w:rsid w:val="00BC79D5"/>
    <w:rsid w:val="00BC7C42"/>
    <w:rsid w:val="00BD02A1"/>
    <w:rsid w:val="00BD04C2"/>
    <w:rsid w:val="00BD14DF"/>
    <w:rsid w:val="00BD15FB"/>
    <w:rsid w:val="00BD333B"/>
    <w:rsid w:val="00BD387C"/>
    <w:rsid w:val="00BD5BAB"/>
    <w:rsid w:val="00BD5D88"/>
    <w:rsid w:val="00BD645B"/>
    <w:rsid w:val="00BD7464"/>
    <w:rsid w:val="00BD786C"/>
    <w:rsid w:val="00BD7EF1"/>
    <w:rsid w:val="00BD7F2E"/>
    <w:rsid w:val="00BE076A"/>
    <w:rsid w:val="00BE1633"/>
    <w:rsid w:val="00BE1839"/>
    <w:rsid w:val="00BE19C4"/>
    <w:rsid w:val="00BE1A5E"/>
    <w:rsid w:val="00BE1DF9"/>
    <w:rsid w:val="00BE37A3"/>
    <w:rsid w:val="00BE383E"/>
    <w:rsid w:val="00BE387B"/>
    <w:rsid w:val="00BE3FD4"/>
    <w:rsid w:val="00BE419D"/>
    <w:rsid w:val="00BE460D"/>
    <w:rsid w:val="00BE4621"/>
    <w:rsid w:val="00BE50FF"/>
    <w:rsid w:val="00BE53EF"/>
    <w:rsid w:val="00BE5853"/>
    <w:rsid w:val="00BE5BAE"/>
    <w:rsid w:val="00BE6732"/>
    <w:rsid w:val="00BE70F1"/>
    <w:rsid w:val="00BF0141"/>
    <w:rsid w:val="00BF0180"/>
    <w:rsid w:val="00BF0A6C"/>
    <w:rsid w:val="00BF0CDD"/>
    <w:rsid w:val="00BF113B"/>
    <w:rsid w:val="00BF1DB9"/>
    <w:rsid w:val="00BF2340"/>
    <w:rsid w:val="00BF5704"/>
    <w:rsid w:val="00BF5CA2"/>
    <w:rsid w:val="00BF6A2F"/>
    <w:rsid w:val="00BF7221"/>
    <w:rsid w:val="00BF7416"/>
    <w:rsid w:val="00BF7475"/>
    <w:rsid w:val="00BF7519"/>
    <w:rsid w:val="00C00497"/>
    <w:rsid w:val="00C00B25"/>
    <w:rsid w:val="00C0124B"/>
    <w:rsid w:val="00C0153D"/>
    <w:rsid w:val="00C02711"/>
    <w:rsid w:val="00C02F9F"/>
    <w:rsid w:val="00C035CB"/>
    <w:rsid w:val="00C03A4F"/>
    <w:rsid w:val="00C03C1E"/>
    <w:rsid w:val="00C03F0D"/>
    <w:rsid w:val="00C051F7"/>
    <w:rsid w:val="00C055E1"/>
    <w:rsid w:val="00C05AFA"/>
    <w:rsid w:val="00C05CCA"/>
    <w:rsid w:val="00C07060"/>
    <w:rsid w:val="00C07834"/>
    <w:rsid w:val="00C079FA"/>
    <w:rsid w:val="00C07B3A"/>
    <w:rsid w:val="00C115CF"/>
    <w:rsid w:val="00C11B74"/>
    <w:rsid w:val="00C12C9F"/>
    <w:rsid w:val="00C132D3"/>
    <w:rsid w:val="00C13DAF"/>
    <w:rsid w:val="00C1500E"/>
    <w:rsid w:val="00C15013"/>
    <w:rsid w:val="00C151D6"/>
    <w:rsid w:val="00C1566C"/>
    <w:rsid w:val="00C15E7A"/>
    <w:rsid w:val="00C16560"/>
    <w:rsid w:val="00C166AB"/>
    <w:rsid w:val="00C16F44"/>
    <w:rsid w:val="00C174B3"/>
    <w:rsid w:val="00C17881"/>
    <w:rsid w:val="00C17D07"/>
    <w:rsid w:val="00C217BC"/>
    <w:rsid w:val="00C21E81"/>
    <w:rsid w:val="00C22CF4"/>
    <w:rsid w:val="00C2425A"/>
    <w:rsid w:val="00C247DD"/>
    <w:rsid w:val="00C25B61"/>
    <w:rsid w:val="00C2608D"/>
    <w:rsid w:val="00C26EE9"/>
    <w:rsid w:val="00C27E5A"/>
    <w:rsid w:val="00C27FB0"/>
    <w:rsid w:val="00C303F3"/>
    <w:rsid w:val="00C309F7"/>
    <w:rsid w:val="00C31DB5"/>
    <w:rsid w:val="00C31F88"/>
    <w:rsid w:val="00C320B9"/>
    <w:rsid w:val="00C327F8"/>
    <w:rsid w:val="00C32C72"/>
    <w:rsid w:val="00C330C9"/>
    <w:rsid w:val="00C333B2"/>
    <w:rsid w:val="00C3682C"/>
    <w:rsid w:val="00C37A65"/>
    <w:rsid w:val="00C4045C"/>
    <w:rsid w:val="00C40EB5"/>
    <w:rsid w:val="00C41420"/>
    <w:rsid w:val="00C41CDA"/>
    <w:rsid w:val="00C41F02"/>
    <w:rsid w:val="00C42622"/>
    <w:rsid w:val="00C43609"/>
    <w:rsid w:val="00C44C1F"/>
    <w:rsid w:val="00C45FB8"/>
    <w:rsid w:val="00C46177"/>
    <w:rsid w:val="00C4617E"/>
    <w:rsid w:val="00C462F2"/>
    <w:rsid w:val="00C464A6"/>
    <w:rsid w:val="00C4665A"/>
    <w:rsid w:val="00C46ADA"/>
    <w:rsid w:val="00C46C10"/>
    <w:rsid w:val="00C47759"/>
    <w:rsid w:val="00C47FAB"/>
    <w:rsid w:val="00C511AE"/>
    <w:rsid w:val="00C516A5"/>
    <w:rsid w:val="00C518C7"/>
    <w:rsid w:val="00C52F33"/>
    <w:rsid w:val="00C53653"/>
    <w:rsid w:val="00C53FD2"/>
    <w:rsid w:val="00C545D1"/>
    <w:rsid w:val="00C55C08"/>
    <w:rsid w:val="00C578AD"/>
    <w:rsid w:val="00C600F1"/>
    <w:rsid w:val="00C60AB6"/>
    <w:rsid w:val="00C61964"/>
    <w:rsid w:val="00C61A38"/>
    <w:rsid w:val="00C62C85"/>
    <w:rsid w:val="00C63302"/>
    <w:rsid w:val="00C63731"/>
    <w:rsid w:val="00C64B15"/>
    <w:rsid w:val="00C64E7A"/>
    <w:rsid w:val="00C656A6"/>
    <w:rsid w:val="00C66212"/>
    <w:rsid w:val="00C6686C"/>
    <w:rsid w:val="00C66EF4"/>
    <w:rsid w:val="00C66F76"/>
    <w:rsid w:val="00C6772C"/>
    <w:rsid w:val="00C6775F"/>
    <w:rsid w:val="00C67CB3"/>
    <w:rsid w:val="00C71AD4"/>
    <w:rsid w:val="00C71C93"/>
    <w:rsid w:val="00C72918"/>
    <w:rsid w:val="00C729F7"/>
    <w:rsid w:val="00C72AA2"/>
    <w:rsid w:val="00C73405"/>
    <w:rsid w:val="00C74083"/>
    <w:rsid w:val="00C747FD"/>
    <w:rsid w:val="00C74CA9"/>
    <w:rsid w:val="00C757FE"/>
    <w:rsid w:val="00C75AA8"/>
    <w:rsid w:val="00C771B1"/>
    <w:rsid w:val="00C77C39"/>
    <w:rsid w:val="00C8031B"/>
    <w:rsid w:val="00C804F1"/>
    <w:rsid w:val="00C80976"/>
    <w:rsid w:val="00C810B3"/>
    <w:rsid w:val="00C81FEB"/>
    <w:rsid w:val="00C833A1"/>
    <w:rsid w:val="00C83D6B"/>
    <w:rsid w:val="00C84471"/>
    <w:rsid w:val="00C84E15"/>
    <w:rsid w:val="00C863C7"/>
    <w:rsid w:val="00C87531"/>
    <w:rsid w:val="00C87AAA"/>
    <w:rsid w:val="00C902DB"/>
    <w:rsid w:val="00C9084D"/>
    <w:rsid w:val="00C924DA"/>
    <w:rsid w:val="00C9312F"/>
    <w:rsid w:val="00C93259"/>
    <w:rsid w:val="00C9404A"/>
    <w:rsid w:val="00C94113"/>
    <w:rsid w:val="00C96B23"/>
    <w:rsid w:val="00C971F4"/>
    <w:rsid w:val="00C975ED"/>
    <w:rsid w:val="00CA087D"/>
    <w:rsid w:val="00CA0D41"/>
    <w:rsid w:val="00CA14BB"/>
    <w:rsid w:val="00CA31AB"/>
    <w:rsid w:val="00CA4BA0"/>
    <w:rsid w:val="00CA5A24"/>
    <w:rsid w:val="00CA6A12"/>
    <w:rsid w:val="00CA6C62"/>
    <w:rsid w:val="00CA7314"/>
    <w:rsid w:val="00CA746D"/>
    <w:rsid w:val="00CA7D22"/>
    <w:rsid w:val="00CB0AB0"/>
    <w:rsid w:val="00CB338C"/>
    <w:rsid w:val="00CB33F8"/>
    <w:rsid w:val="00CB3515"/>
    <w:rsid w:val="00CB3A30"/>
    <w:rsid w:val="00CB4808"/>
    <w:rsid w:val="00CB485B"/>
    <w:rsid w:val="00CB4EC9"/>
    <w:rsid w:val="00CB55B7"/>
    <w:rsid w:val="00CB607E"/>
    <w:rsid w:val="00CB70DE"/>
    <w:rsid w:val="00CC0880"/>
    <w:rsid w:val="00CC1444"/>
    <w:rsid w:val="00CC1D3A"/>
    <w:rsid w:val="00CC374D"/>
    <w:rsid w:val="00CC3B31"/>
    <w:rsid w:val="00CC4C2D"/>
    <w:rsid w:val="00CC59D3"/>
    <w:rsid w:val="00CC59DF"/>
    <w:rsid w:val="00CC5D8C"/>
    <w:rsid w:val="00CC6AF8"/>
    <w:rsid w:val="00CC7596"/>
    <w:rsid w:val="00CD04C4"/>
    <w:rsid w:val="00CD1DB2"/>
    <w:rsid w:val="00CD2D9B"/>
    <w:rsid w:val="00CD5AA6"/>
    <w:rsid w:val="00CD5AC8"/>
    <w:rsid w:val="00CD63B5"/>
    <w:rsid w:val="00CD6907"/>
    <w:rsid w:val="00CD75C8"/>
    <w:rsid w:val="00CE0255"/>
    <w:rsid w:val="00CE05F7"/>
    <w:rsid w:val="00CE0F05"/>
    <w:rsid w:val="00CE13DF"/>
    <w:rsid w:val="00CE1891"/>
    <w:rsid w:val="00CE2608"/>
    <w:rsid w:val="00CE3DAB"/>
    <w:rsid w:val="00CE3F1F"/>
    <w:rsid w:val="00CE6C26"/>
    <w:rsid w:val="00CE762C"/>
    <w:rsid w:val="00CE7689"/>
    <w:rsid w:val="00CE7F44"/>
    <w:rsid w:val="00CF1572"/>
    <w:rsid w:val="00CF2111"/>
    <w:rsid w:val="00CF2267"/>
    <w:rsid w:val="00CF26E5"/>
    <w:rsid w:val="00CF294D"/>
    <w:rsid w:val="00CF3E34"/>
    <w:rsid w:val="00CF4D2B"/>
    <w:rsid w:val="00CF50CD"/>
    <w:rsid w:val="00CF5B31"/>
    <w:rsid w:val="00CF5EB9"/>
    <w:rsid w:val="00CF6874"/>
    <w:rsid w:val="00CF6986"/>
    <w:rsid w:val="00CF6EE9"/>
    <w:rsid w:val="00D00933"/>
    <w:rsid w:val="00D00F32"/>
    <w:rsid w:val="00D025ED"/>
    <w:rsid w:val="00D03E2D"/>
    <w:rsid w:val="00D04376"/>
    <w:rsid w:val="00D04590"/>
    <w:rsid w:val="00D04962"/>
    <w:rsid w:val="00D05722"/>
    <w:rsid w:val="00D05828"/>
    <w:rsid w:val="00D05C94"/>
    <w:rsid w:val="00D06879"/>
    <w:rsid w:val="00D07520"/>
    <w:rsid w:val="00D076C8"/>
    <w:rsid w:val="00D07C69"/>
    <w:rsid w:val="00D10077"/>
    <w:rsid w:val="00D10B3D"/>
    <w:rsid w:val="00D1159C"/>
    <w:rsid w:val="00D12B01"/>
    <w:rsid w:val="00D12E54"/>
    <w:rsid w:val="00D13935"/>
    <w:rsid w:val="00D13AC5"/>
    <w:rsid w:val="00D13DE3"/>
    <w:rsid w:val="00D160F3"/>
    <w:rsid w:val="00D21905"/>
    <w:rsid w:val="00D21E2C"/>
    <w:rsid w:val="00D223E3"/>
    <w:rsid w:val="00D22913"/>
    <w:rsid w:val="00D236C3"/>
    <w:rsid w:val="00D244DD"/>
    <w:rsid w:val="00D252A5"/>
    <w:rsid w:val="00D25331"/>
    <w:rsid w:val="00D2664C"/>
    <w:rsid w:val="00D26DC7"/>
    <w:rsid w:val="00D26EAE"/>
    <w:rsid w:val="00D30365"/>
    <w:rsid w:val="00D30FE4"/>
    <w:rsid w:val="00D3219C"/>
    <w:rsid w:val="00D33373"/>
    <w:rsid w:val="00D33767"/>
    <w:rsid w:val="00D33C60"/>
    <w:rsid w:val="00D33C78"/>
    <w:rsid w:val="00D3429D"/>
    <w:rsid w:val="00D344A1"/>
    <w:rsid w:val="00D345B4"/>
    <w:rsid w:val="00D34F4B"/>
    <w:rsid w:val="00D351BD"/>
    <w:rsid w:val="00D4031B"/>
    <w:rsid w:val="00D408E2"/>
    <w:rsid w:val="00D430AC"/>
    <w:rsid w:val="00D43351"/>
    <w:rsid w:val="00D45030"/>
    <w:rsid w:val="00D45167"/>
    <w:rsid w:val="00D4595B"/>
    <w:rsid w:val="00D475A0"/>
    <w:rsid w:val="00D47A5A"/>
    <w:rsid w:val="00D47E89"/>
    <w:rsid w:val="00D47EBF"/>
    <w:rsid w:val="00D50115"/>
    <w:rsid w:val="00D504B4"/>
    <w:rsid w:val="00D505A8"/>
    <w:rsid w:val="00D5111B"/>
    <w:rsid w:val="00D51E53"/>
    <w:rsid w:val="00D52EBA"/>
    <w:rsid w:val="00D54974"/>
    <w:rsid w:val="00D55587"/>
    <w:rsid w:val="00D55A70"/>
    <w:rsid w:val="00D55C67"/>
    <w:rsid w:val="00D56183"/>
    <w:rsid w:val="00D56377"/>
    <w:rsid w:val="00D572B3"/>
    <w:rsid w:val="00D57BE5"/>
    <w:rsid w:val="00D6167E"/>
    <w:rsid w:val="00D618FE"/>
    <w:rsid w:val="00D61CE2"/>
    <w:rsid w:val="00D62A46"/>
    <w:rsid w:val="00D63443"/>
    <w:rsid w:val="00D63BC9"/>
    <w:rsid w:val="00D643C4"/>
    <w:rsid w:val="00D6456B"/>
    <w:rsid w:val="00D66E3D"/>
    <w:rsid w:val="00D6710C"/>
    <w:rsid w:val="00D673DC"/>
    <w:rsid w:val="00D7061D"/>
    <w:rsid w:val="00D70B78"/>
    <w:rsid w:val="00D71EFF"/>
    <w:rsid w:val="00D72133"/>
    <w:rsid w:val="00D72AD4"/>
    <w:rsid w:val="00D72F59"/>
    <w:rsid w:val="00D73630"/>
    <w:rsid w:val="00D739B2"/>
    <w:rsid w:val="00D73BA7"/>
    <w:rsid w:val="00D73EDB"/>
    <w:rsid w:val="00D74EA9"/>
    <w:rsid w:val="00D7591E"/>
    <w:rsid w:val="00D75EAE"/>
    <w:rsid w:val="00D76199"/>
    <w:rsid w:val="00D8153B"/>
    <w:rsid w:val="00D81DA3"/>
    <w:rsid w:val="00D81EE9"/>
    <w:rsid w:val="00D824D6"/>
    <w:rsid w:val="00D8265E"/>
    <w:rsid w:val="00D83A7B"/>
    <w:rsid w:val="00D84952"/>
    <w:rsid w:val="00D84BA6"/>
    <w:rsid w:val="00D84C90"/>
    <w:rsid w:val="00D85B66"/>
    <w:rsid w:val="00D86074"/>
    <w:rsid w:val="00D86872"/>
    <w:rsid w:val="00D87BFD"/>
    <w:rsid w:val="00D87C56"/>
    <w:rsid w:val="00D87EF6"/>
    <w:rsid w:val="00D90125"/>
    <w:rsid w:val="00D904BE"/>
    <w:rsid w:val="00D91592"/>
    <w:rsid w:val="00D91807"/>
    <w:rsid w:val="00D94407"/>
    <w:rsid w:val="00D9471D"/>
    <w:rsid w:val="00D94B08"/>
    <w:rsid w:val="00D95D6F"/>
    <w:rsid w:val="00D9602B"/>
    <w:rsid w:val="00D96203"/>
    <w:rsid w:val="00D96774"/>
    <w:rsid w:val="00D96D36"/>
    <w:rsid w:val="00D97AC8"/>
    <w:rsid w:val="00D97C9F"/>
    <w:rsid w:val="00DA012F"/>
    <w:rsid w:val="00DA02BE"/>
    <w:rsid w:val="00DA13C9"/>
    <w:rsid w:val="00DA17F5"/>
    <w:rsid w:val="00DA2388"/>
    <w:rsid w:val="00DA30A5"/>
    <w:rsid w:val="00DA40AF"/>
    <w:rsid w:val="00DA4591"/>
    <w:rsid w:val="00DA5914"/>
    <w:rsid w:val="00DA7625"/>
    <w:rsid w:val="00DA7A89"/>
    <w:rsid w:val="00DA7C3C"/>
    <w:rsid w:val="00DA7EBD"/>
    <w:rsid w:val="00DB0161"/>
    <w:rsid w:val="00DB0BD5"/>
    <w:rsid w:val="00DB1228"/>
    <w:rsid w:val="00DB2253"/>
    <w:rsid w:val="00DB2DDC"/>
    <w:rsid w:val="00DB3AE6"/>
    <w:rsid w:val="00DB3EE3"/>
    <w:rsid w:val="00DB4B63"/>
    <w:rsid w:val="00DB4DBD"/>
    <w:rsid w:val="00DB521B"/>
    <w:rsid w:val="00DB6D8D"/>
    <w:rsid w:val="00DB7609"/>
    <w:rsid w:val="00DC18AD"/>
    <w:rsid w:val="00DC24DD"/>
    <w:rsid w:val="00DC26BC"/>
    <w:rsid w:val="00DC45EE"/>
    <w:rsid w:val="00DC5582"/>
    <w:rsid w:val="00DC562E"/>
    <w:rsid w:val="00DC5A29"/>
    <w:rsid w:val="00DC6E5B"/>
    <w:rsid w:val="00DC71C1"/>
    <w:rsid w:val="00DC7E13"/>
    <w:rsid w:val="00DD0918"/>
    <w:rsid w:val="00DD0C53"/>
    <w:rsid w:val="00DD1174"/>
    <w:rsid w:val="00DD1641"/>
    <w:rsid w:val="00DD17F3"/>
    <w:rsid w:val="00DD1D85"/>
    <w:rsid w:val="00DD1E9C"/>
    <w:rsid w:val="00DD2353"/>
    <w:rsid w:val="00DD2D47"/>
    <w:rsid w:val="00DD3D37"/>
    <w:rsid w:val="00DD4323"/>
    <w:rsid w:val="00DD4E8A"/>
    <w:rsid w:val="00DD518B"/>
    <w:rsid w:val="00DD7EC4"/>
    <w:rsid w:val="00DE026D"/>
    <w:rsid w:val="00DE044B"/>
    <w:rsid w:val="00DE095D"/>
    <w:rsid w:val="00DE0DD2"/>
    <w:rsid w:val="00DE2172"/>
    <w:rsid w:val="00DE2E6A"/>
    <w:rsid w:val="00DE3036"/>
    <w:rsid w:val="00DE7666"/>
    <w:rsid w:val="00DF0096"/>
    <w:rsid w:val="00DF2D23"/>
    <w:rsid w:val="00DF36CD"/>
    <w:rsid w:val="00DF4916"/>
    <w:rsid w:val="00DF4A29"/>
    <w:rsid w:val="00DF5142"/>
    <w:rsid w:val="00DF6B0C"/>
    <w:rsid w:val="00DF6DA5"/>
    <w:rsid w:val="00E00870"/>
    <w:rsid w:val="00E01B3E"/>
    <w:rsid w:val="00E02BC8"/>
    <w:rsid w:val="00E0374E"/>
    <w:rsid w:val="00E0490A"/>
    <w:rsid w:val="00E058A2"/>
    <w:rsid w:val="00E0664A"/>
    <w:rsid w:val="00E07E8E"/>
    <w:rsid w:val="00E07EE3"/>
    <w:rsid w:val="00E1080F"/>
    <w:rsid w:val="00E10A0A"/>
    <w:rsid w:val="00E10AAF"/>
    <w:rsid w:val="00E112DF"/>
    <w:rsid w:val="00E11FE2"/>
    <w:rsid w:val="00E13022"/>
    <w:rsid w:val="00E131B2"/>
    <w:rsid w:val="00E14499"/>
    <w:rsid w:val="00E16A32"/>
    <w:rsid w:val="00E16FBE"/>
    <w:rsid w:val="00E17E99"/>
    <w:rsid w:val="00E20491"/>
    <w:rsid w:val="00E23CF0"/>
    <w:rsid w:val="00E23F36"/>
    <w:rsid w:val="00E26650"/>
    <w:rsid w:val="00E26BD0"/>
    <w:rsid w:val="00E26C90"/>
    <w:rsid w:val="00E26E91"/>
    <w:rsid w:val="00E27AF9"/>
    <w:rsid w:val="00E307D9"/>
    <w:rsid w:val="00E31318"/>
    <w:rsid w:val="00E31854"/>
    <w:rsid w:val="00E32004"/>
    <w:rsid w:val="00E350A6"/>
    <w:rsid w:val="00E36D68"/>
    <w:rsid w:val="00E36EEF"/>
    <w:rsid w:val="00E37A03"/>
    <w:rsid w:val="00E37FB0"/>
    <w:rsid w:val="00E406ED"/>
    <w:rsid w:val="00E40BE0"/>
    <w:rsid w:val="00E40FE5"/>
    <w:rsid w:val="00E41378"/>
    <w:rsid w:val="00E4248F"/>
    <w:rsid w:val="00E46EC2"/>
    <w:rsid w:val="00E46F40"/>
    <w:rsid w:val="00E47987"/>
    <w:rsid w:val="00E47DB6"/>
    <w:rsid w:val="00E51C88"/>
    <w:rsid w:val="00E5205B"/>
    <w:rsid w:val="00E5232B"/>
    <w:rsid w:val="00E52E3C"/>
    <w:rsid w:val="00E52EC3"/>
    <w:rsid w:val="00E534F8"/>
    <w:rsid w:val="00E53A79"/>
    <w:rsid w:val="00E53E46"/>
    <w:rsid w:val="00E566D4"/>
    <w:rsid w:val="00E56BB4"/>
    <w:rsid w:val="00E57394"/>
    <w:rsid w:val="00E57417"/>
    <w:rsid w:val="00E57874"/>
    <w:rsid w:val="00E5794E"/>
    <w:rsid w:val="00E57B8A"/>
    <w:rsid w:val="00E601F9"/>
    <w:rsid w:val="00E602A1"/>
    <w:rsid w:val="00E602CE"/>
    <w:rsid w:val="00E60547"/>
    <w:rsid w:val="00E60886"/>
    <w:rsid w:val="00E62034"/>
    <w:rsid w:val="00E6237F"/>
    <w:rsid w:val="00E62938"/>
    <w:rsid w:val="00E63790"/>
    <w:rsid w:val="00E639AD"/>
    <w:rsid w:val="00E64ABA"/>
    <w:rsid w:val="00E64BB0"/>
    <w:rsid w:val="00E664EC"/>
    <w:rsid w:val="00E66979"/>
    <w:rsid w:val="00E66A32"/>
    <w:rsid w:val="00E70B25"/>
    <w:rsid w:val="00E716A1"/>
    <w:rsid w:val="00E718B3"/>
    <w:rsid w:val="00E72D67"/>
    <w:rsid w:val="00E73005"/>
    <w:rsid w:val="00E7317C"/>
    <w:rsid w:val="00E731DA"/>
    <w:rsid w:val="00E743EF"/>
    <w:rsid w:val="00E74498"/>
    <w:rsid w:val="00E74B79"/>
    <w:rsid w:val="00E74CBA"/>
    <w:rsid w:val="00E7627A"/>
    <w:rsid w:val="00E77333"/>
    <w:rsid w:val="00E8053F"/>
    <w:rsid w:val="00E8162A"/>
    <w:rsid w:val="00E817AE"/>
    <w:rsid w:val="00E81914"/>
    <w:rsid w:val="00E8557E"/>
    <w:rsid w:val="00E85BA6"/>
    <w:rsid w:val="00E86D7D"/>
    <w:rsid w:val="00E86E9C"/>
    <w:rsid w:val="00E87A2B"/>
    <w:rsid w:val="00E903E0"/>
    <w:rsid w:val="00E9072D"/>
    <w:rsid w:val="00E908A2"/>
    <w:rsid w:val="00E90D38"/>
    <w:rsid w:val="00E91FF1"/>
    <w:rsid w:val="00E9376A"/>
    <w:rsid w:val="00E95606"/>
    <w:rsid w:val="00E966C7"/>
    <w:rsid w:val="00E9710B"/>
    <w:rsid w:val="00E97AB5"/>
    <w:rsid w:val="00E97C86"/>
    <w:rsid w:val="00EA0FD9"/>
    <w:rsid w:val="00EA2340"/>
    <w:rsid w:val="00EA2913"/>
    <w:rsid w:val="00EA4348"/>
    <w:rsid w:val="00EA6864"/>
    <w:rsid w:val="00EA782E"/>
    <w:rsid w:val="00EA7916"/>
    <w:rsid w:val="00EA7D22"/>
    <w:rsid w:val="00EB0E89"/>
    <w:rsid w:val="00EB3D06"/>
    <w:rsid w:val="00EB5BD9"/>
    <w:rsid w:val="00EB656E"/>
    <w:rsid w:val="00EB699C"/>
    <w:rsid w:val="00EB7CBA"/>
    <w:rsid w:val="00EB7FDD"/>
    <w:rsid w:val="00EC17B2"/>
    <w:rsid w:val="00EC2CEC"/>
    <w:rsid w:val="00EC3F67"/>
    <w:rsid w:val="00EC4469"/>
    <w:rsid w:val="00EC47AA"/>
    <w:rsid w:val="00EC4E73"/>
    <w:rsid w:val="00EC5614"/>
    <w:rsid w:val="00EC60A9"/>
    <w:rsid w:val="00ED1E08"/>
    <w:rsid w:val="00ED1E63"/>
    <w:rsid w:val="00ED2214"/>
    <w:rsid w:val="00ED2979"/>
    <w:rsid w:val="00ED319E"/>
    <w:rsid w:val="00ED48EA"/>
    <w:rsid w:val="00ED49DE"/>
    <w:rsid w:val="00ED4DAC"/>
    <w:rsid w:val="00ED5592"/>
    <w:rsid w:val="00ED5E66"/>
    <w:rsid w:val="00ED6D7B"/>
    <w:rsid w:val="00ED6DB6"/>
    <w:rsid w:val="00ED784D"/>
    <w:rsid w:val="00ED7A11"/>
    <w:rsid w:val="00EE038F"/>
    <w:rsid w:val="00EE071C"/>
    <w:rsid w:val="00EE1F96"/>
    <w:rsid w:val="00EE3B46"/>
    <w:rsid w:val="00EE3CA1"/>
    <w:rsid w:val="00EE3F0E"/>
    <w:rsid w:val="00EE4763"/>
    <w:rsid w:val="00EE661F"/>
    <w:rsid w:val="00EE6788"/>
    <w:rsid w:val="00EE680E"/>
    <w:rsid w:val="00EE6A26"/>
    <w:rsid w:val="00EE6CEE"/>
    <w:rsid w:val="00EE7A29"/>
    <w:rsid w:val="00EE7E64"/>
    <w:rsid w:val="00EF091C"/>
    <w:rsid w:val="00EF0946"/>
    <w:rsid w:val="00EF235F"/>
    <w:rsid w:val="00EF4E7E"/>
    <w:rsid w:val="00EF60DD"/>
    <w:rsid w:val="00EF6672"/>
    <w:rsid w:val="00EF6E00"/>
    <w:rsid w:val="00EF72DA"/>
    <w:rsid w:val="00EF73B5"/>
    <w:rsid w:val="00F00551"/>
    <w:rsid w:val="00F03549"/>
    <w:rsid w:val="00F043C3"/>
    <w:rsid w:val="00F04BE5"/>
    <w:rsid w:val="00F05ACB"/>
    <w:rsid w:val="00F05D63"/>
    <w:rsid w:val="00F06284"/>
    <w:rsid w:val="00F06DF0"/>
    <w:rsid w:val="00F06FC1"/>
    <w:rsid w:val="00F07E05"/>
    <w:rsid w:val="00F07F3C"/>
    <w:rsid w:val="00F1055B"/>
    <w:rsid w:val="00F11619"/>
    <w:rsid w:val="00F127DC"/>
    <w:rsid w:val="00F13334"/>
    <w:rsid w:val="00F1477B"/>
    <w:rsid w:val="00F15D76"/>
    <w:rsid w:val="00F174D4"/>
    <w:rsid w:val="00F17FD6"/>
    <w:rsid w:val="00F2078E"/>
    <w:rsid w:val="00F20A8E"/>
    <w:rsid w:val="00F20E5A"/>
    <w:rsid w:val="00F2138C"/>
    <w:rsid w:val="00F229AB"/>
    <w:rsid w:val="00F22CBC"/>
    <w:rsid w:val="00F22FE0"/>
    <w:rsid w:val="00F23CF2"/>
    <w:rsid w:val="00F242F4"/>
    <w:rsid w:val="00F25D15"/>
    <w:rsid w:val="00F26E0A"/>
    <w:rsid w:val="00F2763F"/>
    <w:rsid w:val="00F27D0E"/>
    <w:rsid w:val="00F30488"/>
    <w:rsid w:val="00F30768"/>
    <w:rsid w:val="00F31252"/>
    <w:rsid w:val="00F329BC"/>
    <w:rsid w:val="00F33E75"/>
    <w:rsid w:val="00F344AB"/>
    <w:rsid w:val="00F34551"/>
    <w:rsid w:val="00F3469D"/>
    <w:rsid w:val="00F34BBA"/>
    <w:rsid w:val="00F35A45"/>
    <w:rsid w:val="00F36069"/>
    <w:rsid w:val="00F3640E"/>
    <w:rsid w:val="00F367A0"/>
    <w:rsid w:val="00F37D5A"/>
    <w:rsid w:val="00F40636"/>
    <w:rsid w:val="00F40F9B"/>
    <w:rsid w:val="00F4124B"/>
    <w:rsid w:val="00F42C2C"/>
    <w:rsid w:val="00F43066"/>
    <w:rsid w:val="00F4468F"/>
    <w:rsid w:val="00F44968"/>
    <w:rsid w:val="00F44A74"/>
    <w:rsid w:val="00F453E0"/>
    <w:rsid w:val="00F5163A"/>
    <w:rsid w:val="00F52049"/>
    <w:rsid w:val="00F53BAC"/>
    <w:rsid w:val="00F550F4"/>
    <w:rsid w:val="00F5554A"/>
    <w:rsid w:val="00F55B6F"/>
    <w:rsid w:val="00F55F37"/>
    <w:rsid w:val="00F57EBA"/>
    <w:rsid w:val="00F61056"/>
    <w:rsid w:val="00F64937"/>
    <w:rsid w:val="00F6541E"/>
    <w:rsid w:val="00F664C2"/>
    <w:rsid w:val="00F6766E"/>
    <w:rsid w:val="00F70DF8"/>
    <w:rsid w:val="00F71567"/>
    <w:rsid w:val="00F733A6"/>
    <w:rsid w:val="00F73AF6"/>
    <w:rsid w:val="00F73D86"/>
    <w:rsid w:val="00F745AD"/>
    <w:rsid w:val="00F74B6D"/>
    <w:rsid w:val="00F76B6F"/>
    <w:rsid w:val="00F77411"/>
    <w:rsid w:val="00F818CD"/>
    <w:rsid w:val="00F8430B"/>
    <w:rsid w:val="00F852E5"/>
    <w:rsid w:val="00F876D6"/>
    <w:rsid w:val="00F90E20"/>
    <w:rsid w:val="00F915C5"/>
    <w:rsid w:val="00F918E2"/>
    <w:rsid w:val="00F91E5B"/>
    <w:rsid w:val="00F921BB"/>
    <w:rsid w:val="00F92838"/>
    <w:rsid w:val="00F93789"/>
    <w:rsid w:val="00F93A6A"/>
    <w:rsid w:val="00F93A85"/>
    <w:rsid w:val="00F93B76"/>
    <w:rsid w:val="00F94012"/>
    <w:rsid w:val="00F94979"/>
    <w:rsid w:val="00F94D93"/>
    <w:rsid w:val="00F95DD0"/>
    <w:rsid w:val="00F9642A"/>
    <w:rsid w:val="00FA0CA3"/>
    <w:rsid w:val="00FA0EFF"/>
    <w:rsid w:val="00FA13B2"/>
    <w:rsid w:val="00FA18B0"/>
    <w:rsid w:val="00FA192F"/>
    <w:rsid w:val="00FA1E58"/>
    <w:rsid w:val="00FA2464"/>
    <w:rsid w:val="00FA2D5C"/>
    <w:rsid w:val="00FA31BD"/>
    <w:rsid w:val="00FA39BA"/>
    <w:rsid w:val="00FA426C"/>
    <w:rsid w:val="00FA61C2"/>
    <w:rsid w:val="00FA6A9F"/>
    <w:rsid w:val="00FA6FA9"/>
    <w:rsid w:val="00FA70EE"/>
    <w:rsid w:val="00FA73B0"/>
    <w:rsid w:val="00FA7569"/>
    <w:rsid w:val="00FA7885"/>
    <w:rsid w:val="00FB011B"/>
    <w:rsid w:val="00FB121C"/>
    <w:rsid w:val="00FB15A2"/>
    <w:rsid w:val="00FB1D62"/>
    <w:rsid w:val="00FB34A4"/>
    <w:rsid w:val="00FB39B0"/>
    <w:rsid w:val="00FB5C66"/>
    <w:rsid w:val="00FB7A2B"/>
    <w:rsid w:val="00FB7FCF"/>
    <w:rsid w:val="00FC5BB1"/>
    <w:rsid w:val="00FC730E"/>
    <w:rsid w:val="00FC73D0"/>
    <w:rsid w:val="00FC769A"/>
    <w:rsid w:val="00FC76D1"/>
    <w:rsid w:val="00FD00ED"/>
    <w:rsid w:val="00FD0174"/>
    <w:rsid w:val="00FD06D9"/>
    <w:rsid w:val="00FD112F"/>
    <w:rsid w:val="00FD1DF7"/>
    <w:rsid w:val="00FD20BC"/>
    <w:rsid w:val="00FD2687"/>
    <w:rsid w:val="00FD26F9"/>
    <w:rsid w:val="00FD2D74"/>
    <w:rsid w:val="00FD570A"/>
    <w:rsid w:val="00FD7489"/>
    <w:rsid w:val="00FE1966"/>
    <w:rsid w:val="00FE2868"/>
    <w:rsid w:val="00FE3573"/>
    <w:rsid w:val="00FE3723"/>
    <w:rsid w:val="00FE39F1"/>
    <w:rsid w:val="00FE3BBD"/>
    <w:rsid w:val="00FE5161"/>
    <w:rsid w:val="00FE5438"/>
    <w:rsid w:val="00FE6969"/>
    <w:rsid w:val="00FE6DC7"/>
    <w:rsid w:val="00FE6F2F"/>
    <w:rsid w:val="00FE7CA1"/>
    <w:rsid w:val="00FF024F"/>
    <w:rsid w:val="00FF0337"/>
    <w:rsid w:val="00FF033C"/>
    <w:rsid w:val="00FF13C9"/>
    <w:rsid w:val="00FF155E"/>
    <w:rsid w:val="00FF166F"/>
    <w:rsid w:val="00FF167C"/>
    <w:rsid w:val="00FF17A6"/>
    <w:rsid w:val="00FF4235"/>
    <w:rsid w:val="00FF44E4"/>
    <w:rsid w:val="00FF4CC7"/>
    <w:rsid w:val="00FF4E8F"/>
    <w:rsid w:val="00FF5EC9"/>
    <w:rsid w:val="00FF5F84"/>
    <w:rsid w:val="00FF6194"/>
    <w:rsid w:val="00FF7D10"/>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E09DC61-D2D3-4816-A81B-AFF57CC64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uiPriority="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iPriority="0"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B21789"/>
    <w:rPr>
      <w:sz w:val="24"/>
      <w:szCs w:val="24"/>
    </w:rPr>
  </w:style>
  <w:style w:type="paragraph" w:styleId="1">
    <w:name w:val="heading 1"/>
    <w:basedOn w:val="a0"/>
    <w:next w:val="a0"/>
    <w:link w:val="10"/>
    <w:uiPriority w:val="99"/>
    <w:qFormat/>
    <w:rsid w:val="00F876D6"/>
    <w:pPr>
      <w:keepNext/>
      <w:spacing w:before="240" w:after="60"/>
      <w:ind w:firstLine="709"/>
      <w:jc w:val="both"/>
      <w:outlineLvl w:val="0"/>
    </w:pPr>
    <w:rPr>
      <w:rFonts w:ascii="Arial" w:hAnsi="Arial"/>
      <w:b/>
      <w:bCs/>
      <w:kern w:val="32"/>
      <w:sz w:val="32"/>
      <w:szCs w:val="32"/>
    </w:rPr>
  </w:style>
  <w:style w:type="paragraph" w:styleId="2">
    <w:name w:val="heading 2"/>
    <w:basedOn w:val="a0"/>
    <w:next w:val="a0"/>
    <w:link w:val="20"/>
    <w:uiPriority w:val="99"/>
    <w:qFormat/>
    <w:rsid w:val="00F876D6"/>
    <w:pPr>
      <w:keepNext/>
      <w:outlineLvl w:val="1"/>
    </w:pPr>
    <w:rPr>
      <w:szCs w:val="20"/>
      <w:lang w:val="en-US"/>
    </w:rPr>
  </w:style>
  <w:style w:type="paragraph" w:styleId="3">
    <w:name w:val="heading 3"/>
    <w:basedOn w:val="a0"/>
    <w:next w:val="a0"/>
    <w:link w:val="30"/>
    <w:qFormat/>
    <w:rsid w:val="00F876D6"/>
    <w:pPr>
      <w:keepNext/>
      <w:spacing w:before="240" w:after="60"/>
      <w:outlineLvl w:val="2"/>
    </w:pPr>
    <w:rPr>
      <w:rFonts w:ascii="Arial" w:hAnsi="Arial" w:cs="Arial"/>
      <w:b/>
      <w:bCs/>
      <w:sz w:val="26"/>
      <w:szCs w:val="26"/>
    </w:rPr>
  </w:style>
  <w:style w:type="paragraph" w:styleId="4">
    <w:name w:val="heading 4"/>
    <w:basedOn w:val="a0"/>
    <w:next w:val="a0"/>
    <w:link w:val="40"/>
    <w:uiPriority w:val="99"/>
    <w:qFormat/>
    <w:rsid w:val="00F876D6"/>
    <w:pPr>
      <w:keepNext/>
      <w:spacing w:before="240" w:after="60"/>
      <w:ind w:firstLine="709"/>
      <w:jc w:val="both"/>
      <w:outlineLvl w:val="3"/>
    </w:pPr>
    <w:rPr>
      <w:b/>
      <w:bCs/>
      <w:sz w:val="28"/>
      <w:szCs w:val="28"/>
    </w:rPr>
  </w:style>
  <w:style w:type="paragraph" w:styleId="5">
    <w:name w:val="heading 5"/>
    <w:basedOn w:val="a0"/>
    <w:next w:val="a0"/>
    <w:link w:val="50"/>
    <w:uiPriority w:val="99"/>
    <w:qFormat/>
    <w:rsid w:val="00F876D6"/>
    <w:pPr>
      <w:spacing w:before="240" w:after="60"/>
      <w:ind w:firstLine="709"/>
      <w:jc w:val="both"/>
      <w:outlineLvl w:val="4"/>
    </w:pPr>
    <w:rPr>
      <w:b/>
      <w:bCs/>
      <w:i/>
      <w:iCs/>
      <w:sz w:val="26"/>
      <w:szCs w:val="26"/>
    </w:rPr>
  </w:style>
  <w:style w:type="paragraph" w:styleId="6">
    <w:name w:val="heading 6"/>
    <w:basedOn w:val="a0"/>
    <w:next w:val="a0"/>
    <w:link w:val="60"/>
    <w:uiPriority w:val="99"/>
    <w:qFormat/>
    <w:rsid w:val="00F876D6"/>
    <w:pPr>
      <w:spacing w:before="240" w:after="60"/>
      <w:outlineLvl w:val="5"/>
    </w:pPr>
    <w:rPr>
      <w:b/>
      <w:bCs/>
      <w:sz w:val="22"/>
      <w:szCs w:val="22"/>
    </w:rPr>
  </w:style>
  <w:style w:type="paragraph" w:styleId="7">
    <w:name w:val="heading 7"/>
    <w:basedOn w:val="a0"/>
    <w:next w:val="a0"/>
    <w:link w:val="70"/>
    <w:uiPriority w:val="99"/>
    <w:qFormat/>
    <w:rsid w:val="00F876D6"/>
    <w:pPr>
      <w:keepNext/>
      <w:tabs>
        <w:tab w:val="num" w:pos="1296"/>
      </w:tabs>
      <w:spacing w:line="360" w:lineRule="auto"/>
      <w:ind w:left="1296" w:hanging="1296"/>
      <w:jc w:val="center"/>
      <w:outlineLvl w:val="6"/>
    </w:pPr>
    <w:rPr>
      <w:sz w:val="28"/>
      <w:szCs w:val="20"/>
    </w:rPr>
  </w:style>
  <w:style w:type="paragraph" w:styleId="8">
    <w:name w:val="heading 8"/>
    <w:basedOn w:val="a0"/>
    <w:next w:val="a0"/>
    <w:link w:val="80"/>
    <w:uiPriority w:val="99"/>
    <w:qFormat/>
    <w:rsid w:val="00F876D6"/>
    <w:pPr>
      <w:keepNext/>
      <w:tabs>
        <w:tab w:val="num" w:pos="1440"/>
      </w:tabs>
      <w:spacing w:line="360" w:lineRule="auto"/>
      <w:ind w:left="1440" w:hanging="1440"/>
      <w:jc w:val="both"/>
      <w:outlineLvl w:val="7"/>
    </w:pPr>
    <w:rPr>
      <w:b/>
      <w:sz w:val="22"/>
      <w:szCs w:val="20"/>
    </w:rPr>
  </w:style>
  <w:style w:type="paragraph" w:styleId="9">
    <w:name w:val="heading 9"/>
    <w:basedOn w:val="a0"/>
    <w:next w:val="a0"/>
    <w:link w:val="90"/>
    <w:uiPriority w:val="99"/>
    <w:qFormat/>
    <w:rsid w:val="00F876D6"/>
    <w:pPr>
      <w:tabs>
        <w:tab w:val="num" w:pos="1584"/>
      </w:tabs>
      <w:spacing w:before="240" w:after="60" w:line="360" w:lineRule="auto"/>
      <w:ind w:left="1584" w:hanging="1584"/>
      <w:jc w:val="both"/>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B467F5"/>
    <w:rPr>
      <w:rFonts w:ascii="Arial" w:hAnsi="Arial" w:cs="Times New Roman"/>
      <w:b/>
      <w:kern w:val="32"/>
      <w:sz w:val="32"/>
    </w:rPr>
  </w:style>
  <w:style w:type="character" w:customStyle="1" w:styleId="20">
    <w:name w:val="Заголовок 2 Знак"/>
    <w:basedOn w:val="a1"/>
    <w:link w:val="2"/>
    <w:uiPriority w:val="99"/>
    <w:locked/>
    <w:rsid w:val="00F876D6"/>
    <w:rPr>
      <w:rFonts w:cs="Times New Roman"/>
      <w:sz w:val="24"/>
      <w:lang w:val="en-US" w:eastAsia="ru-RU"/>
    </w:rPr>
  </w:style>
  <w:style w:type="character" w:customStyle="1" w:styleId="30">
    <w:name w:val="Заголовок 3 Знак"/>
    <w:basedOn w:val="a1"/>
    <w:link w:val="3"/>
    <w:uiPriority w:val="99"/>
    <w:locked/>
    <w:rsid w:val="00F876D6"/>
    <w:rPr>
      <w:rFonts w:ascii="Arial" w:hAnsi="Arial" w:cs="Times New Roman"/>
      <w:b/>
      <w:sz w:val="26"/>
      <w:lang w:val="ru-RU" w:eastAsia="ru-RU"/>
    </w:rPr>
  </w:style>
  <w:style w:type="character" w:customStyle="1" w:styleId="40">
    <w:name w:val="Заголовок 4 Знак"/>
    <w:basedOn w:val="a1"/>
    <w:link w:val="4"/>
    <w:uiPriority w:val="99"/>
    <w:locked/>
    <w:rsid w:val="00B467F5"/>
    <w:rPr>
      <w:rFonts w:cs="Times New Roman"/>
      <w:b/>
      <w:sz w:val="28"/>
    </w:rPr>
  </w:style>
  <w:style w:type="character" w:customStyle="1" w:styleId="50">
    <w:name w:val="Заголовок 5 Знак"/>
    <w:basedOn w:val="a1"/>
    <w:link w:val="5"/>
    <w:uiPriority w:val="99"/>
    <w:locked/>
    <w:rsid w:val="00B467F5"/>
    <w:rPr>
      <w:rFonts w:cs="Times New Roman"/>
      <w:b/>
      <w:i/>
      <w:sz w:val="26"/>
    </w:rPr>
  </w:style>
  <w:style w:type="character" w:customStyle="1" w:styleId="60">
    <w:name w:val="Заголовок 6 Знак"/>
    <w:basedOn w:val="a1"/>
    <w:link w:val="6"/>
    <w:uiPriority w:val="99"/>
    <w:locked/>
    <w:rsid w:val="00B467F5"/>
    <w:rPr>
      <w:rFonts w:cs="Times New Roman"/>
      <w:b/>
      <w:sz w:val="22"/>
    </w:rPr>
  </w:style>
  <w:style w:type="character" w:customStyle="1" w:styleId="70">
    <w:name w:val="Заголовок 7 Знак"/>
    <w:basedOn w:val="a1"/>
    <w:link w:val="7"/>
    <w:uiPriority w:val="99"/>
    <w:locked/>
    <w:rsid w:val="00B467F5"/>
    <w:rPr>
      <w:rFonts w:cs="Times New Roman"/>
      <w:snapToGrid w:val="0"/>
      <w:sz w:val="28"/>
    </w:rPr>
  </w:style>
  <w:style w:type="character" w:customStyle="1" w:styleId="80">
    <w:name w:val="Заголовок 8 Знак"/>
    <w:basedOn w:val="a1"/>
    <w:link w:val="8"/>
    <w:uiPriority w:val="99"/>
    <w:locked/>
    <w:rsid w:val="00B467F5"/>
    <w:rPr>
      <w:rFonts w:cs="Times New Roman"/>
      <w:b/>
      <w:snapToGrid w:val="0"/>
      <w:sz w:val="22"/>
    </w:rPr>
  </w:style>
  <w:style w:type="character" w:customStyle="1" w:styleId="90">
    <w:name w:val="Заголовок 9 Знак"/>
    <w:basedOn w:val="a1"/>
    <w:link w:val="9"/>
    <w:uiPriority w:val="99"/>
    <w:locked/>
    <w:rsid w:val="00B467F5"/>
    <w:rPr>
      <w:rFonts w:ascii="Arial" w:hAnsi="Arial" w:cs="Times New Roman"/>
      <w:b/>
      <w:i/>
      <w:sz w:val="18"/>
    </w:rPr>
  </w:style>
  <w:style w:type="paragraph" w:styleId="21">
    <w:name w:val="Body Text Indent 2"/>
    <w:basedOn w:val="a0"/>
    <w:link w:val="22"/>
    <w:rsid w:val="00F876D6"/>
    <w:pPr>
      <w:ind w:firstLine="709"/>
      <w:jc w:val="both"/>
    </w:pPr>
    <w:rPr>
      <w:sz w:val="28"/>
      <w:szCs w:val="28"/>
    </w:rPr>
  </w:style>
  <w:style w:type="character" w:customStyle="1" w:styleId="22">
    <w:name w:val="Основной текст с отступом 2 Знак"/>
    <w:basedOn w:val="a1"/>
    <w:link w:val="21"/>
    <w:locked/>
    <w:rsid w:val="00B467F5"/>
    <w:rPr>
      <w:rFonts w:cs="Times New Roman"/>
      <w:sz w:val="28"/>
    </w:rPr>
  </w:style>
  <w:style w:type="paragraph" w:styleId="a4">
    <w:name w:val="Body Text"/>
    <w:basedOn w:val="a0"/>
    <w:link w:val="a5"/>
    <w:uiPriority w:val="99"/>
    <w:rsid w:val="00F876D6"/>
    <w:pPr>
      <w:spacing w:after="120"/>
      <w:ind w:firstLine="709"/>
      <w:jc w:val="both"/>
    </w:pPr>
    <w:rPr>
      <w:sz w:val="28"/>
      <w:szCs w:val="28"/>
    </w:rPr>
  </w:style>
  <w:style w:type="character" w:customStyle="1" w:styleId="a5">
    <w:name w:val="Основной текст Знак"/>
    <w:basedOn w:val="a1"/>
    <w:link w:val="a4"/>
    <w:uiPriority w:val="99"/>
    <w:locked/>
    <w:rsid w:val="00F876D6"/>
    <w:rPr>
      <w:rFonts w:cs="Times New Roman"/>
      <w:sz w:val="28"/>
      <w:lang w:val="ru-RU" w:eastAsia="ru-RU"/>
    </w:rPr>
  </w:style>
  <w:style w:type="paragraph" w:customStyle="1" w:styleId="ConsPlusNonformat">
    <w:name w:val="ConsPlusNonformat"/>
    <w:uiPriority w:val="99"/>
    <w:rsid w:val="00F876D6"/>
    <w:pPr>
      <w:autoSpaceDE w:val="0"/>
      <w:autoSpaceDN w:val="0"/>
      <w:adjustRightInd w:val="0"/>
    </w:pPr>
    <w:rPr>
      <w:rFonts w:ascii="Courier New" w:hAnsi="Courier New" w:cs="Courier New"/>
      <w:sz w:val="20"/>
      <w:szCs w:val="20"/>
    </w:rPr>
  </w:style>
  <w:style w:type="paragraph" w:customStyle="1" w:styleId="11">
    <w:name w:val="Название1"/>
    <w:basedOn w:val="a0"/>
    <w:uiPriority w:val="99"/>
    <w:rsid w:val="00F876D6"/>
    <w:pPr>
      <w:jc w:val="center"/>
    </w:pPr>
    <w:rPr>
      <w:b/>
      <w:sz w:val="20"/>
      <w:szCs w:val="20"/>
    </w:rPr>
  </w:style>
  <w:style w:type="table" w:styleId="a6">
    <w:name w:val="Table Grid"/>
    <w:basedOn w:val="a2"/>
    <w:uiPriority w:val="59"/>
    <w:rsid w:val="00F876D6"/>
    <w:pPr>
      <w:ind w:firstLine="709"/>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uiPriority w:val="99"/>
    <w:rsid w:val="00F876D6"/>
    <w:pPr>
      <w:widowControl w:val="0"/>
      <w:autoSpaceDE w:val="0"/>
      <w:autoSpaceDN w:val="0"/>
      <w:adjustRightInd w:val="0"/>
      <w:ind w:firstLine="720"/>
    </w:pPr>
    <w:rPr>
      <w:szCs w:val="20"/>
    </w:rPr>
  </w:style>
  <w:style w:type="paragraph" w:customStyle="1" w:styleId="ConsPlusCell">
    <w:name w:val="ConsPlusCell"/>
    <w:uiPriority w:val="99"/>
    <w:rsid w:val="00F876D6"/>
    <w:pPr>
      <w:autoSpaceDE w:val="0"/>
      <w:autoSpaceDN w:val="0"/>
      <w:adjustRightInd w:val="0"/>
    </w:pPr>
    <w:rPr>
      <w:sz w:val="28"/>
      <w:szCs w:val="28"/>
    </w:rPr>
  </w:style>
  <w:style w:type="paragraph" w:styleId="a7">
    <w:name w:val="Body Text Indent"/>
    <w:basedOn w:val="a0"/>
    <w:link w:val="a8"/>
    <w:uiPriority w:val="99"/>
    <w:rsid w:val="00F876D6"/>
    <w:pPr>
      <w:spacing w:after="120"/>
      <w:ind w:left="283"/>
    </w:pPr>
  </w:style>
  <w:style w:type="character" w:customStyle="1" w:styleId="a8">
    <w:name w:val="Основной текст с отступом Знак"/>
    <w:basedOn w:val="a1"/>
    <w:link w:val="a7"/>
    <w:uiPriority w:val="99"/>
    <w:locked/>
    <w:rsid w:val="00B467F5"/>
    <w:rPr>
      <w:rFonts w:cs="Times New Roman"/>
      <w:sz w:val="24"/>
    </w:rPr>
  </w:style>
  <w:style w:type="paragraph" w:styleId="23">
    <w:name w:val="Body Text 2"/>
    <w:basedOn w:val="a0"/>
    <w:link w:val="24"/>
    <w:uiPriority w:val="99"/>
    <w:rsid w:val="00F876D6"/>
    <w:pPr>
      <w:spacing w:after="120" w:line="480" w:lineRule="auto"/>
    </w:pPr>
  </w:style>
  <w:style w:type="character" w:customStyle="1" w:styleId="24">
    <w:name w:val="Основной текст 2 Знак"/>
    <w:basedOn w:val="a1"/>
    <w:link w:val="23"/>
    <w:uiPriority w:val="99"/>
    <w:locked/>
    <w:rsid w:val="00B467F5"/>
    <w:rPr>
      <w:rFonts w:cs="Times New Roman"/>
      <w:sz w:val="24"/>
    </w:rPr>
  </w:style>
  <w:style w:type="paragraph" w:customStyle="1" w:styleId="614pt0">
    <w:name w:val="Стиль Заголовок 6 + 14 pt по центру Слева:  0 см Первая строка: ..."/>
    <w:basedOn w:val="6"/>
    <w:uiPriority w:val="99"/>
    <w:rsid w:val="00F876D6"/>
    <w:pPr>
      <w:keepNext/>
      <w:spacing w:before="0" w:after="0"/>
      <w:jc w:val="center"/>
    </w:pPr>
    <w:rPr>
      <w:sz w:val="28"/>
      <w:szCs w:val="28"/>
    </w:rPr>
  </w:style>
  <w:style w:type="paragraph" w:customStyle="1" w:styleId="ConsPlusNormal">
    <w:name w:val="ConsPlusNormal"/>
    <w:link w:val="ConsPlusNormal0"/>
    <w:rsid w:val="00F876D6"/>
    <w:pPr>
      <w:autoSpaceDE w:val="0"/>
      <w:autoSpaceDN w:val="0"/>
      <w:adjustRightInd w:val="0"/>
      <w:ind w:firstLine="720"/>
    </w:pPr>
    <w:rPr>
      <w:rFonts w:ascii="Arial" w:hAnsi="Arial" w:cs="Arial"/>
      <w:sz w:val="20"/>
      <w:szCs w:val="20"/>
    </w:rPr>
  </w:style>
  <w:style w:type="paragraph" w:customStyle="1" w:styleId="1TimesNewRoman16pt">
    <w:name w:val="Стиль Заголовок 1 + Times New Roman 16 pt"/>
    <w:basedOn w:val="1"/>
    <w:autoRedefine/>
    <w:uiPriority w:val="99"/>
    <w:rsid w:val="00F876D6"/>
    <w:pPr>
      <w:keepLines/>
      <w:suppressAutoHyphens/>
      <w:spacing w:before="360" w:after="360" w:line="360" w:lineRule="auto"/>
      <w:ind w:firstLine="0"/>
      <w:jc w:val="center"/>
    </w:pPr>
    <w:rPr>
      <w:rFonts w:ascii="Times New Roman" w:hAnsi="Times New Roman"/>
      <w:caps/>
      <w:kern w:val="28"/>
      <w:lang w:val="en-US"/>
    </w:rPr>
  </w:style>
  <w:style w:type="paragraph" w:customStyle="1" w:styleId="xl471480">
    <w:name w:val="xl471480"/>
    <w:basedOn w:val="a0"/>
    <w:uiPriority w:val="99"/>
    <w:rsid w:val="00F876D6"/>
    <w:pPr>
      <w:pBdr>
        <w:left w:val="single" w:sz="4" w:space="1" w:color="auto"/>
        <w:bottom w:val="single" w:sz="4" w:space="0" w:color="auto"/>
        <w:right w:val="single" w:sz="4" w:space="1" w:color="auto"/>
      </w:pBdr>
      <w:spacing w:before="100" w:beforeAutospacing="1" w:after="100" w:afterAutospacing="1"/>
      <w:jc w:val="center"/>
      <w:textAlignment w:val="center"/>
    </w:pPr>
  </w:style>
  <w:style w:type="paragraph" w:styleId="31">
    <w:name w:val="Body Text Indent 3"/>
    <w:basedOn w:val="a0"/>
    <w:link w:val="32"/>
    <w:uiPriority w:val="99"/>
    <w:rsid w:val="00F876D6"/>
    <w:pPr>
      <w:spacing w:after="120"/>
      <w:ind w:left="283" w:firstLine="709"/>
      <w:jc w:val="both"/>
    </w:pPr>
    <w:rPr>
      <w:sz w:val="16"/>
      <w:szCs w:val="16"/>
    </w:rPr>
  </w:style>
  <w:style w:type="character" w:customStyle="1" w:styleId="32">
    <w:name w:val="Основной текст с отступом 3 Знак"/>
    <w:basedOn w:val="a1"/>
    <w:link w:val="31"/>
    <w:uiPriority w:val="99"/>
    <w:locked/>
    <w:rsid w:val="00B467F5"/>
    <w:rPr>
      <w:rFonts w:cs="Times New Roman"/>
      <w:sz w:val="16"/>
    </w:rPr>
  </w:style>
  <w:style w:type="paragraph" w:customStyle="1" w:styleId="a">
    <w:name w:val="! Перечни начало"/>
    <w:basedOn w:val="a0"/>
    <w:uiPriority w:val="99"/>
    <w:rsid w:val="00F876D6"/>
    <w:pPr>
      <w:numPr>
        <w:numId w:val="1"/>
      </w:numPr>
    </w:pPr>
  </w:style>
  <w:style w:type="paragraph" w:styleId="a9">
    <w:name w:val="footer"/>
    <w:basedOn w:val="a0"/>
    <w:link w:val="aa"/>
    <w:uiPriority w:val="99"/>
    <w:rsid w:val="00F876D6"/>
    <w:pPr>
      <w:tabs>
        <w:tab w:val="center" w:pos="4677"/>
        <w:tab w:val="right" w:pos="9355"/>
      </w:tabs>
      <w:ind w:firstLine="709"/>
      <w:jc w:val="both"/>
    </w:pPr>
    <w:rPr>
      <w:sz w:val="28"/>
      <w:szCs w:val="28"/>
    </w:rPr>
  </w:style>
  <w:style w:type="character" w:customStyle="1" w:styleId="aa">
    <w:name w:val="Нижний колонтитул Знак"/>
    <w:basedOn w:val="a1"/>
    <w:link w:val="a9"/>
    <w:uiPriority w:val="99"/>
    <w:locked/>
    <w:rsid w:val="00B467F5"/>
    <w:rPr>
      <w:rFonts w:cs="Times New Roman"/>
      <w:sz w:val="28"/>
    </w:rPr>
  </w:style>
  <w:style w:type="character" w:styleId="ab">
    <w:name w:val="page number"/>
    <w:basedOn w:val="a1"/>
    <w:uiPriority w:val="99"/>
    <w:rsid w:val="00F876D6"/>
    <w:rPr>
      <w:rFonts w:cs="Times New Roman"/>
    </w:rPr>
  </w:style>
  <w:style w:type="paragraph" w:styleId="33">
    <w:name w:val="Body Text 3"/>
    <w:basedOn w:val="a0"/>
    <w:link w:val="34"/>
    <w:uiPriority w:val="99"/>
    <w:rsid w:val="00F876D6"/>
    <w:pPr>
      <w:spacing w:after="120"/>
      <w:ind w:firstLine="709"/>
      <w:jc w:val="both"/>
    </w:pPr>
    <w:rPr>
      <w:sz w:val="16"/>
      <w:szCs w:val="16"/>
    </w:rPr>
  </w:style>
  <w:style w:type="character" w:customStyle="1" w:styleId="34">
    <w:name w:val="Основной текст 3 Знак"/>
    <w:basedOn w:val="a1"/>
    <w:link w:val="33"/>
    <w:uiPriority w:val="99"/>
    <w:locked/>
    <w:rsid w:val="00B467F5"/>
    <w:rPr>
      <w:rFonts w:cs="Times New Roman"/>
      <w:sz w:val="16"/>
    </w:rPr>
  </w:style>
  <w:style w:type="paragraph" w:styleId="ac">
    <w:name w:val="header"/>
    <w:basedOn w:val="a0"/>
    <w:link w:val="ad"/>
    <w:uiPriority w:val="99"/>
    <w:rsid w:val="00F876D6"/>
    <w:pPr>
      <w:tabs>
        <w:tab w:val="center" w:pos="4153"/>
        <w:tab w:val="right" w:pos="8306"/>
      </w:tabs>
    </w:pPr>
    <w:rPr>
      <w:sz w:val="20"/>
      <w:szCs w:val="20"/>
    </w:rPr>
  </w:style>
  <w:style w:type="character" w:customStyle="1" w:styleId="ad">
    <w:name w:val="Верхний колонтитул Знак"/>
    <w:basedOn w:val="a1"/>
    <w:link w:val="ac"/>
    <w:uiPriority w:val="99"/>
    <w:locked/>
    <w:rsid w:val="00B467F5"/>
    <w:rPr>
      <w:rFonts w:cs="Times New Roman"/>
    </w:rPr>
  </w:style>
  <w:style w:type="paragraph" w:customStyle="1" w:styleId="xl24">
    <w:name w:val="xl24"/>
    <w:basedOn w:val="a0"/>
    <w:uiPriority w:val="99"/>
    <w:rsid w:val="00F876D6"/>
    <w:pPr>
      <w:pBdr>
        <w:top w:val="single" w:sz="8" w:space="0" w:color="auto"/>
        <w:left w:val="single" w:sz="8" w:space="0" w:color="auto"/>
      </w:pBdr>
      <w:spacing w:before="100" w:beforeAutospacing="1" w:after="100" w:afterAutospacing="1"/>
    </w:pPr>
    <w:rPr>
      <w:rFonts w:ascii="Arial Unicode MS" w:cs="Arial Unicode MS"/>
    </w:rPr>
  </w:style>
  <w:style w:type="paragraph" w:customStyle="1" w:styleId="xl25">
    <w:name w:val="xl25"/>
    <w:basedOn w:val="a0"/>
    <w:uiPriority w:val="99"/>
    <w:rsid w:val="00F876D6"/>
    <w:pPr>
      <w:pBdr>
        <w:top w:val="single" w:sz="8" w:space="0" w:color="auto"/>
      </w:pBdr>
      <w:spacing w:before="100" w:beforeAutospacing="1" w:after="100" w:afterAutospacing="1"/>
    </w:pPr>
    <w:rPr>
      <w:rFonts w:ascii="Arial Unicode MS" w:cs="Arial Unicode MS"/>
    </w:rPr>
  </w:style>
  <w:style w:type="paragraph" w:customStyle="1" w:styleId="xl26">
    <w:name w:val="xl26"/>
    <w:basedOn w:val="a0"/>
    <w:uiPriority w:val="99"/>
    <w:rsid w:val="00F876D6"/>
    <w:pPr>
      <w:pBdr>
        <w:top w:val="single" w:sz="8" w:space="0" w:color="auto"/>
        <w:right w:val="single" w:sz="8" w:space="0" w:color="auto"/>
      </w:pBdr>
      <w:spacing w:before="100" w:beforeAutospacing="1" w:after="100" w:afterAutospacing="1"/>
    </w:pPr>
    <w:rPr>
      <w:rFonts w:ascii="Arial Unicode MS" w:cs="Arial Unicode MS"/>
    </w:rPr>
  </w:style>
  <w:style w:type="paragraph" w:customStyle="1" w:styleId="xl27">
    <w:name w:val="xl27"/>
    <w:basedOn w:val="a0"/>
    <w:uiPriority w:val="99"/>
    <w:rsid w:val="00F876D6"/>
    <w:pPr>
      <w:pBdr>
        <w:top w:val="single" w:sz="8" w:space="0" w:color="auto"/>
        <w:left w:val="single" w:sz="8" w:space="0" w:color="auto"/>
        <w:right w:val="single" w:sz="8" w:space="0" w:color="auto"/>
      </w:pBdr>
      <w:spacing w:before="100" w:beforeAutospacing="1" w:after="100" w:afterAutospacing="1"/>
    </w:pPr>
    <w:rPr>
      <w:rFonts w:ascii="Arial Unicode MS" w:cs="Arial Unicode MS"/>
    </w:rPr>
  </w:style>
  <w:style w:type="paragraph" w:customStyle="1" w:styleId="xl28">
    <w:name w:val="xl28"/>
    <w:basedOn w:val="a0"/>
    <w:uiPriority w:val="99"/>
    <w:rsid w:val="00F876D6"/>
    <w:pPr>
      <w:pBdr>
        <w:left w:val="single" w:sz="8" w:space="0" w:color="auto"/>
      </w:pBdr>
      <w:spacing w:before="100" w:beforeAutospacing="1" w:after="100" w:afterAutospacing="1"/>
    </w:pPr>
    <w:rPr>
      <w:rFonts w:ascii="Arial Unicode MS" w:cs="Arial Unicode MS"/>
    </w:rPr>
  </w:style>
  <w:style w:type="paragraph" w:customStyle="1" w:styleId="xl29">
    <w:name w:val="xl29"/>
    <w:basedOn w:val="a0"/>
    <w:uiPriority w:val="99"/>
    <w:rsid w:val="00F876D6"/>
    <w:pPr>
      <w:pBdr>
        <w:right w:val="single" w:sz="8" w:space="0" w:color="auto"/>
      </w:pBdr>
      <w:spacing w:before="100" w:beforeAutospacing="1" w:after="100" w:afterAutospacing="1"/>
    </w:pPr>
    <w:rPr>
      <w:rFonts w:ascii="Arial Unicode MS" w:cs="Arial Unicode MS"/>
    </w:rPr>
  </w:style>
  <w:style w:type="paragraph" w:customStyle="1" w:styleId="xl30">
    <w:name w:val="xl30"/>
    <w:basedOn w:val="a0"/>
    <w:uiPriority w:val="99"/>
    <w:rsid w:val="00F876D6"/>
    <w:pPr>
      <w:pBdr>
        <w:left w:val="single" w:sz="8" w:space="0" w:color="auto"/>
        <w:bottom w:val="single" w:sz="8" w:space="0" w:color="auto"/>
      </w:pBdr>
      <w:spacing w:before="100" w:beforeAutospacing="1" w:after="100" w:afterAutospacing="1"/>
    </w:pPr>
    <w:rPr>
      <w:rFonts w:ascii="Arial Unicode MS" w:cs="Arial Unicode MS"/>
    </w:rPr>
  </w:style>
  <w:style w:type="paragraph" w:customStyle="1" w:styleId="xl31">
    <w:name w:val="xl31"/>
    <w:basedOn w:val="a0"/>
    <w:uiPriority w:val="99"/>
    <w:rsid w:val="00F876D6"/>
    <w:pPr>
      <w:pBdr>
        <w:bottom w:val="single" w:sz="8" w:space="0" w:color="auto"/>
      </w:pBdr>
      <w:spacing w:before="100" w:beforeAutospacing="1" w:after="100" w:afterAutospacing="1"/>
    </w:pPr>
    <w:rPr>
      <w:rFonts w:ascii="Arial Unicode MS" w:cs="Arial Unicode MS"/>
    </w:rPr>
  </w:style>
  <w:style w:type="paragraph" w:customStyle="1" w:styleId="xl32">
    <w:name w:val="xl32"/>
    <w:basedOn w:val="a0"/>
    <w:uiPriority w:val="99"/>
    <w:rsid w:val="00F876D6"/>
    <w:pPr>
      <w:pBdr>
        <w:bottom w:val="single" w:sz="8" w:space="0" w:color="auto"/>
        <w:right w:val="single" w:sz="8" w:space="0" w:color="auto"/>
      </w:pBdr>
      <w:spacing w:before="100" w:beforeAutospacing="1" w:after="100" w:afterAutospacing="1"/>
    </w:pPr>
    <w:rPr>
      <w:rFonts w:ascii="Arial Unicode MS" w:cs="Arial Unicode MS"/>
    </w:rPr>
  </w:style>
  <w:style w:type="paragraph" w:customStyle="1" w:styleId="xl33">
    <w:name w:val="xl33"/>
    <w:basedOn w:val="a0"/>
    <w:uiPriority w:val="99"/>
    <w:rsid w:val="00F876D6"/>
    <w:pPr>
      <w:pBdr>
        <w:left w:val="single" w:sz="8" w:space="0" w:color="auto"/>
        <w:bottom w:val="single" w:sz="8" w:space="0" w:color="auto"/>
        <w:right w:val="single" w:sz="8" w:space="0" w:color="auto"/>
      </w:pBdr>
      <w:spacing w:before="100" w:beforeAutospacing="1" w:after="100" w:afterAutospacing="1"/>
    </w:pPr>
    <w:rPr>
      <w:rFonts w:ascii="Arial Unicode MS" w:cs="Arial Unicode MS"/>
    </w:rPr>
  </w:style>
  <w:style w:type="paragraph" w:customStyle="1" w:styleId="xl34">
    <w:name w:val="xl34"/>
    <w:basedOn w:val="a0"/>
    <w:uiPriority w:val="99"/>
    <w:rsid w:val="00F876D6"/>
    <w:pPr>
      <w:pBdr>
        <w:left w:val="single" w:sz="8" w:space="0" w:color="auto"/>
        <w:right w:val="single" w:sz="8" w:space="0" w:color="auto"/>
      </w:pBdr>
      <w:spacing w:before="100" w:beforeAutospacing="1" w:after="100" w:afterAutospacing="1"/>
    </w:pPr>
    <w:rPr>
      <w:rFonts w:ascii="Arial Unicode MS" w:cs="Arial Unicode MS"/>
    </w:rPr>
  </w:style>
  <w:style w:type="paragraph" w:customStyle="1" w:styleId="xl35">
    <w:name w:val="xl35"/>
    <w:basedOn w:val="a0"/>
    <w:uiPriority w:val="99"/>
    <w:rsid w:val="00F876D6"/>
    <w:pPr>
      <w:pBdr>
        <w:top w:val="single" w:sz="8" w:space="0" w:color="auto"/>
        <w:left w:val="single" w:sz="8" w:space="0" w:color="auto"/>
      </w:pBdr>
      <w:spacing w:before="100" w:beforeAutospacing="1" w:after="100" w:afterAutospacing="1"/>
    </w:pPr>
    <w:rPr>
      <w:rFonts w:ascii="Arial" w:hAnsi="Arial" w:cs="Arial"/>
      <w:b/>
      <w:bCs/>
    </w:rPr>
  </w:style>
  <w:style w:type="paragraph" w:customStyle="1" w:styleId="xl36">
    <w:name w:val="xl36"/>
    <w:basedOn w:val="a0"/>
    <w:uiPriority w:val="99"/>
    <w:rsid w:val="00F876D6"/>
    <w:pPr>
      <w:pBdr>
        <w:top w:val="single" w:sz="8" w:space="0" w:color="auto"/>
      </w:pBdr>
      <w:spacing w:before="100" w:beforeAutospacing="1" w:after="100" w:afterAutospacing="1"/>
    </w:pPr>
    <w:rPr>
      <w:rFonts w:ascii="Arial" w:hAnsi="Arial" w:cs="Arial"/>
      <w:b/>
      <w:bCs/>
    </w:rPr>
  </w:style>
  <w:style w:type="paragraph" w:customStyle="1" w:styleId="xl37">
    <w:name w:val="xl37"/>
    <w:basedOn w:val="a0"/>
    <w:uiPriority w:val="99"/>
    <w:rsid w:val="00F876D6"/>
    <w:pPr>
      <w:pBdr>
        <w:top w:val="single" w:sz="8" w:space="0" w:color="auto"/>
        <w:right w:val="single" w:sz="8" w:space="0" w:color="auto"/>
      </w:pBdr>
      <w:spacing w:before="100" w:beforeAutospacing="1" w:after="100" w:afterAutospacing="1"/>
    </w:pPr>
    <w:rPr>
      <w:rFonts w:ascii="Arial" w:hAnsi="Arial" w:cs="Arial"/>
      <w:b/>
      <w:bCs/>
    </w:rPr>
  </w:style>
  <w:style w:type="paragraph" w:customStyle="1" w:styleId="xl38">
    <w:name w:val="xl38"/>
    <w:basedOn w:val="a0"/>
    <w:uiPriority w:val="99"/>
    <w:rsid w:val="00F876D6"/>
    <w:pPr>
      <w:pBdr>
        <w:top w:val="single" w:sz="8" w:space="0" w:color="auto"/>
        <w:left w:val="single" w:sz="8" w:space="0" w:color="auto"/>
        <w:right w:val="single" w:sz="8" w:space="0" w:color="auto"/>
      </w:pBdr>
      <w:spacing w:before="100" w:beforeAutospacing="1" w:after="100" w:afterAutospacing="1"/>
    </w:pPr>
    <w:rPr>
      <w:rFonts w:ascii="Arial" w:hAnsi="Arial" w:cs="Arial"/>
      <w:b/>
      <w:bCs/>
    </w:rPr>
  </w:style>
  <w:style w:type="paragraph" w:customStyle="1" w:styleId="xl39">
    <w:name w:val="xl39"/>
    <w:basedOn w:val="a0"/>
    <w:uiPriority w:val="99"/>
    <w:rsid w:val="00F876D6"/>
    <w:pPr>
      <w:pBdr>
        <w:left w:val="single" w:sz="8" w:space="0" w:color="auto"/>
        <w:bottom w:val="single" w:sz="8" w:space="0" w:color="auto"/>
      </w:pBdr>
      <w:spacing w:before="100" w:beforeAutospacing="1" w:after="100" w:afterAutospacing="1"/>
    </w:pPr>
    <w:rPr>
      <w:rFonts w:ascii="Arial" w:hAnsi="Arial" w:cs="Arial"/>
      <w:b/>
      <w:bCs/>
    </w:rPr>
  </w:style>
  <w:style w:type="paragraph" w:customStyle="1" w:styleId="xl40">
    <w:name w:val="xl40"/>
    <w:basedOn w:val="a0"/>
    <w:uiPriority w:val="99"/>
    <w:rsid w:val="00F876D6"/>
    <w:pPr>
      <w:pBdr>
        <w:left w:val="single" w:sz="8" w:space="0" w:color="auto"/>
        <w:right w:val="single" w:sz="8" w:space="0" w:color="auto"/>
      </w:pBdr>
      <w:spacing w:before="100" w:beforeAutospacing="1" w:after="100" w:afterAutospacing="1"/>
    </w:pPr>
    <w:rPr>
      <w:rFonts w:ascii="Arial" w:hAnsi="Arial" w:cs="Arial"/>
      <w:b/>
      <w:bCs/>
    </w:rPr>
  </w:style>
  <w:style w:type="paragraph" w:customStyle="1" w:styleId="xl41">
    <w:name w:val="xl41"/>
    <w:basedOn w:val="a0"/>
    <w:uiPriority w:val="99"/>
    <w:rsid w:val="00F876D6"/>
    <w:pPr>
      <w:pBdr>
        <w:bottom w:val="single" w:sz="8" w:space="0" w:color="auto"/>
      </w:pBdr>
      <w:spacing w:before="100" w:beforeAutospacing="1" w:after="100" w:afterAutospacing="1"/>
    </w:pPr>
    <w:rPr>
      <w:rFonts w:ascii="Arial" w:hAnsi="Arial" w:cs="Arial"/>
      <w:b/>
      <w:bCs/>
    </w:rPr>
  </w:style>
  <w:style w:type="paragraph" w:customStyle="1" w:styleId="xl42">
    <w:name w:val="xl42"/>
    <w:basedOn w:val="a0"/>
    <w:uiPriority w:val="99"/>
    <w:rsid w:val="00F876D6"/>
    <w:pPr>
      <w:pBdr>
        <w:top w:val="single" w:sz="8" w:space="0" w:color="auto"/>
        <w:left w:val="single" w:sz="8" w:space="0" w:color="auto"/>
        <w:right w:val="single" w:sz="8" w:space="0" w:color="auto"/>
      </w:pBdr>
      <w:spacing w:before="100" w:beforeAutospacing="1" w:after="100" w:afterAutospacing="1"/>
    </w:pPr>
    <w:rPr>
      <w:rFonts w:ascii="Arial" w:hAnsi="Arial" w:cs="Arial"/>
      <w:b/>
      <w:bCs/>
    </w:rPr>
  </w:style>
  <w:style w:type="paragraph" w:customStyle="1" w:styleId="xl43">
    <w:name w:val="xl43"/>
    <w:basedOn w:val="a0"/>
    <w:uiPriority w:val="99"/>
    <w:rsid w:val="00F876D6"/>
    <w:pPr>
      <w:pBdr>
        <w:left w:val="single" w:sz="8" w:space="0" w:color="auto"/>
        <w:bottom w:val="single" w:sz="8" w:space="0" w:color="auto"/>
      </w:pBdr>
      <w:spacing w:before="100" w:beforeAutospacing="1" w:after="100" w:afterAutospacing="1"/>
    </w:pPr>
    <w:rPr>
      <w:rFonts w:ascii="Arial" w:hAnsi="Arial" w:cs="Arial"/>
      <w:sz w:val="18"/>
      <w:szCs w:val="18"/>
    </w:rPr>
  </w:style>
  <w:style w:type="paragraph" w:customStyle="1" w:styleId="xl44">
    <w:name w:val="xl44"/>
    <w:basedOn w:val="a0"/>
    <w:uiPriority w:val="99"/>
    <w:rsid w:val="00F876D6"/>
    <w:pPr>
      <w:pBdr>
        <w:top w:val="single" w:sz="8" w:space="0" w:color="auto"/>
        <w:left w:val="single" w:sz="8" w:space="0" w:color="auto"/>
      </w:pBdr>
      <w:spacing w:before="100" w:beforeAutospacing="1" w:after="100" w:afterAutospacing="1"/>
    </w:pPr>
    <w:rPr>
      <w:rFonts w:ascii="Arial" w:hAnsi="Arial" w:cs="Arial"/>
    </w:rPr>
  </w:style>
  <w:style w:type="paragraph" w:customStyle="1" w:styleId="xl45">
    <w:name w:val="xl45"/>
    <w:basedOn w:val="a0"/>
    <w:uiPriority w:val="99"/>
    <w:rsid w:val="00F876D6"/>
    <w:pPr>
      <w:pBdr>
        <w:bottom w:val="single" w:sz="8" w:space="0" w:color="auto"/>
        <w:right w:val="single" w:sz="8" w:space="0" w:color="auto"/>
      </w:pBdr>
      <w:spacing w:before="100" w:beforeAutospacing="1" w:after="100" w:afterAutospacing="1"/>
    </w:pPr>
    <w:rPr>
      <w:rFonts w:ascii="Arial" w:hAnsi="Arial" w:cs="Arial"/>
      <w:sz w:val="16"/>
      <w:szCs w:val="16"/>
    </w:rPr>
  </w:style>
  <w:style w:type="paragraph" w:customStyle="1" w:styleId="xl46">
    <w:name w:val="xl46"/>
    <w:basedOn w:val="a0"/>
    <w:uiPriority w:val="99"/>
    <w:rsid w:val="00F876D6"/>
    <w:pPr>
      <w:pBdr>
        <w:left w:val="single" w:sz="4" w:space="0" w:color="auto"/>
        <w:right w:val="single" w:sz="4" w:space="0" w:color="auto"/>
      </w:pBdr>
      <w:spacing w:before="100" w:beforeAutospacing="1" w:after="100" w:afterAutospacing="1"/>
    </w:pPr>
    <w:rPr>
      <w:rFonts w:ascii="Arial Unicode MS" w:cs="Arial Unicode MS"/>
    </w:rPr>
  </w:style>
  <w:style w:type="paragraph" w:customStyle="1" w:styleId="xl47">
    <w:name w:val="xl47"/>
    <w:basedOn w:val="a0"/>
    <w:uiPriority w:val="99"/>
    <w:rsid w:val="00F876D6"/>
    <w:pPr>
      <w:pBdr>
        <w:left w:val="single" w:sz="4" w:space="0" w:color="auto"/>
        <w:right w:val="single" w:sz="4" w:space="0" w:color="auto"/>
      </w:pBdr>
      <w:spacing w:before="100" w:beforeAutospacing="1" w:after="100" w:afterAutospacing="1"/>
    </w:pPr>
    <w:rPr>
      <w:rFonts w:ascii="Arial Unicode MS" w:cs="Arial Unicode MS"/>
    </w:rPr>
  </w:style>
  <w:style w:type="paragraph" w:customStyle="1" w:styleId="xl48">
    <w:name w:val="xl48"/>
    <w:basedOn w:val="a0"/>
    <w:uiPriority w:val="99"/>
    <w:rsid w:val="00F876D6"/>
    <w:pPr>
      <w:pBdr>
        <w:left w:val="single" w:sz="4" w:space="0" w:color="auto"/>
        <w:right w:val="single" w:sz="8" w:space="0" w:color="auto"/>
      </w:pBdr>
      <w:spacing w:before="100" w:beforeAutospacing="1" w:after="100" w:afterAutospacing="1"/>
    </w:pPr>
    <w:rPr>
      <w:rFonts w:ascii="Arial Unicode MS" w:cs="Arial Unicode MS"/>
    </w:rPr>
  </w:style>
  <w:style w:type="paragraph" w:customStyle="1" w:styleId="xl49">
    <w:name w:val="xl49"/>
    <w:basedOn w:val="a0"/>
    <w:uiPriority w:val="99"/>
    <w:rsid w:val="00F876D6"/>
    <w:pPr>
      <w:pBdr>
        <w:left w:val="single" w:sz="8" w:space="0" w:color="auto"/>
        <w:bottom w:val="single" w:sz="8" w:space="0" w:color="auto"/>
        <w:right w:val="single" w:sz="4" w:space="0" w:color="auto"/>
      </w:pBdr>
      <w:spacing w:before="100" w:beforeAutospacing="1" w:after="100" w:afterAutospacing="1"/>
    </w:pPr>
    <w:rPr>
      <w:rFonts w:ascii="Arial Unicode MS" w:cs="Arial Unicode MS"/>
    </w:rPr>
  </w:style>
  <w:style w:type="paragraph" w:customStyle="1" w:styleId="xl50">
    <w:name w:val="xl50"/>
    <w:basedOn w:val="a0"/>
    <w:uiPriority w:val="99"/>
    <w:rsid w:val="00F876D6"/>
    <w:pPr>
      <w:pBdr>
        <w:left w:val="single" w:sz="4" w:space="0" w:color="auto"/>
        <w:bottom w:val="single" w:sz="8" w:space="0" w:color="auto"/>
        <w:right w:val="single" w:sz="8" w:space="0" w:color="auto"/>
      </w:pBdr>
      <w:spacing w:before="100" w:beforeAutospacing="1" w:after="100" w:afterAutospacing="1"/>
    </w:pPr>
    <w:rPr>
      <w:rFonts w:ascii="Arial" w:hAnsi="Arial" w:cs="Arial"/>
      <w:b/>
      <w:bCs/>
    </w:rPr>
  </w:style>
  <w:style w:type="paragraph" w:customStyle="1" w:styleId="xl51">
    <w:name w:val="xl51"/>
    <w:basedOn w:val="a0"/>
    <w:uiPriority w:val="99"/>
    <w:rsid w:val="00F876D6"/>
    <w:pPr>
      <w:pBdr>
        <w:left w:val="single" w:sz="4" w:space="0" w:color="auto"/>
        <w:bottom w:val="single" w:sz="8" w:space="0" w:color="auto"/>
        <w:right w:val="single" w:sz="4" w:space="0" w:color="auto"/>
      </w:pBdr>
      <w:spacing w:before="100" w:beforeAutospacing="1" w:after="100" w:afterAutospacing="1"/>
    </w:pPr>
    <w:rPr>
      <w:rFonts w:ascii="Arial" w:hAnsi="Arial" w:cs="Arial"/>
      <w:b/>
      <w:bCs/>
    </w:rPr>
  </w:style>
  <w:style w:type="paragraph" w:customStyle="1" w:styleId="xl52">
    <w:name w:val="xl52"/>
    <w:basedOn w:val="a0"/>
    <w:uiPriority w:val="99"/>
    <w:rsid w:val="00F876D6"/>
    <w:pPr>
      <w:pBdr>
        <w:left w:val="single" w:sz="4" w:space="0" w:color="auto"/>
        <w:bottom w:val="single" w:sz="8" w:space="0" w:color="auto"/>
        <w:right w:val="single" w:sz="4" w:space="0" w:color="auto"/>
      </w:pBdr>
      <w:spacing w:before="100" w:beforeAutospacing="1" w:after="100" w:afterAutospacing="1"/>
    </w:pPr>
    <w:rPr>
      <w:rFonts w:ascii="Arial Unicode MS" w:cs="Arial Unicode MS"/>
    </w:rPr>
  </w:style>
  <w:style w:type="paragraph" w:customStyle="1" w:styleId="xl53">
    <w:name w:val="xl53"/>
    <w:basedOn w:val="a0"/>
    <w:uiPriority w:val="99"/>
    <w:rsid w:val="00F876D6"/>
    <w:pPr>
      <w:pBdr>
        <w:left w:val="single" w:sz="4" w:space="0" w:color="auto"/>
        <w:bottom w:val="single" w:sz="8" w:space="0" w:color="auto"/>
        <w:right w:val="single" w:sz="8" w:space="0" w:color="auto"/>
      </w:pBdr>
      <w:spacing w:before="100" w:beforeAutospacing="1" w:after="100" w:afterAutospacing="1"/>
    </w:pPr>
    <w:rPr>
      <w:rFonts w:ascii="Arial Unicode MS" w:cs="Arial Unicode MS"/>
    </w:rPr>
  </w:style>
  <w:style w:type="paragraph" w:customStyle="1" w:styleId="xl54">
    <w:name w:val="xl54"/>
    <w:basedOn w:val="a0"/>
    <w:uiPriority w:val="99"/>
    <w:rsid w:val="00F876D6"/>
    <w:pPr>
      <w:pBdr>
        <w:left w:val="single" w:sz="4" w:space="0" w:color="auto"/>
      </w:pBdr>
      <w:spacing w:before="100" w:beforeAutospacing="1" w:after="100" w:afterAutospacing="1"/>
    </w:pPr>
    <w:rPr>
      <w:rFonts w:ascii="Arial Unicode MS" w:cs="Arial Unicode MS"/>
    </w:rPr>
  </w:style>
  <w:style w:type="paragraph" w:customStyle="1" w:styleId="xl55">
    <w:name w:val="xl55"/>
    <w:basedOn w:val="a0"/>
    <w:uiPriority w:val="99"/>
    <w:rsid w:val="00F876D6"/>
    <w:pPr>
      <w:pBdr>
        <w:left w:val="single" w:sz="4" w:space="0" w:color="auto"/>
        <w:bottom w:val="single" w:sz="8" w:space="0" w:color="auto"/>
        <w:right w:val="single" w:sz="4" w:space="0" w:color="auto"/>
      </w:pBdr>
      <w:spacing w:before="100" w:beforeAutospacing="1" w:after="100" w:afterAutospacing="1"/>
    </w:pPr>
    <w:rPr>
      <w:rFonts w:ascii="Arial" w:hAnsi="Arial" w:cs="Arial"/>
      <w:b/>
      <w:bCs/>
    </w:rPr>
  </w:style>
  <w:style w:type="paragraph" w:customStyle="1" w:styleId="xl56">
    <w:name w:val="xl56"/>
    <w:basedOn w:val="a0"/>
    <w:uiPriority w:val="99"/>
    <w:rsid w:val="00F876D6"/>
    <w:pPr>
      <w:pBdr>
        <w:top w:val="single" w:sz="8" w:space="0" w:color="auto"/>
        <w:right w:val="single" w:sz="8" w:space="0" w:color="auto"/>
      </w:pBdr>
      <w:spacing w:before="100" w:beforeAutospacing="1" w:after="100" w:afterAutospacing="1"/>
    </w:pPr>
    <w:rPr>
      <w:rFonts w:ascii="Arial Unicode MS" w:cs="Arial Unicode MS"/>
    </w:rPr>
  </w:style>
  <w:style w:type="paragraph" w:customStyle="1" w:styleId="xl57">
    <w:name w:val="xl57"/>
    <w:basedOn w:val="a0"/>
    <w:uiPriority w:val="99"/>
    <w:rsid w:val="00F876D6"/>
    <w:pPr>
      <w:pBdr>
        <w:right w:val="single" w:sz="8" w:space="0" w:color="auto"/>
      </w:pBdr>
      <w:spacing w:before="100" w:beforeAutospacing="1" w:after="100" w:afterAutospacing="1"/>
    </w:pPr>
    <w:rPr>
      <w:rFonts w:ascii="Arial Unicode MS" w:cs="Arial Unicode MS"/>
    </w:rPr>
  </w:style>
  <w:style w:type="paragraph" w:customStyle="1" w:styleId="xl58">
    <w:name w:val="xl58"/>
    <w:basedOn w:val="a0"/>
    <w:uiPriority w:val="99"/>
    <w:rsid w:val="00F876D6"/>
    <w:pPr>
      <w:pBdr>
        <w:top w:val="single" w:sz="8" w:space="0" w:color="auto"/>
        <w:bottom w:val="single" w:sz="8" w:space="0" w:color="auto"/>
      </w:pBdr>
      <w:spacing w:before="100" w:beforeAutospacing="1" w:after="100" w:afterAutospacing="1"/>
      <w:jc w:val="center"/>
    </w:pPr>
    <w:rPr>
      <w:rFonts w:ascii="Arial" w:hAnsi="Arial" w:cs="Arial"/>
      <w:b/>
      <w:bCs/>
    </w:rPr>
  </w:style>
  <w:style w:type="paragraph" w:customStyle="1" w:styleId="xl59">
    <w:name w:val="xl59"/>
    <w:basedOn w:val="a0"/>
    <w:uiPriority w:val="99"/>
    <w:rsid w:val="00F876D6"/>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60">
    <w:name w:val="xl60"/>
    <w:basedOn w:val="a0"/>
    <w:uiPriority w:val="99"/>
    <w:rsid w:val="00F876D6"/>
    <w:pPr>
      <w:pBdr>
        <w:top w:val="single" w:sz="8" w:space="0" w:color="auto"/>
        <w:left w:val="single" w:sz="8" w:space="0" w:color="auto"/>
        <w:bottom w:val="single" w:sz="8" w:space="0" w:color="auto"/>
      </w:pBdr>
      <w:spacing w:before="100" w:beforeAutospacing="1" w:after="100" w:afterAutospacing="1"/>
      <w:jc w:val="center"/>
    </w:pPr>
    <w:rPr>
      <w:rFonts w:ascii="Arial" w:hAnsi="Arial" w:cs="Arial"/>
      <w:b/>
      <w:bCs/>
    </w:rPr>
  </w:style>
  <w:style w:type="paragraph" w:customStyle="1" w:styleId="xl61">
    <w:name w:val="xl61"/>
    <w:basedOn w:val="a0"/>
    <w:uiPriority w:val="99"/>
    <w:rsid w:val="00F876D6"/>
    <w:pPr>
      <w:pBdr>
        <w:left w:val="single" w:sz="8" w:space="0" w:color="auto"/>
      </w:pBdr>
      <w:spacing w:before="100" w:beforeAutospacing="1" w:after="100" w:afterAutospacing="1"/>
    </w:pPr>
    <w:rPr>
      <w:rFonts w:ascii="Arial" w:hAnsi="Arial" w:cs="Arial"/>
      <w:b/>
      <w:bCs/>
    </w:rPr>
  </w:style>
  <w:style w:type="paragraph" w:customStyle="1" w:styleId="xl62">
    <w:name w:val="xl62"/>
    <w:basedOn w:val="a0"/>
    <w:uiPriority w:val="99"/>
    <w:rsid w:val="00F876D6"/>
    <w:pPr>
      <w:pBdr>
        <w:top w:val="single" w:sz="4" w:space="0" w:color="auto"/>
        <w:left w:val="single" w:sz="4" w:space="0" w:color="auto"/>
        <w:right w:val="single" w:sz="4" w:space="0" w:color="auto"/>
      </w:pBdr>
      <w:spacing w:before="100" w:beforeAutospacing="1" w:after="100" w:afterAutospacing="1"/>
    </w:pPr>
    <w:rPr>
      <w:rFonts w:ascii="Arial Unicode MS" w:cs="Arial Unicode MS"/>
    </w:rPr>
  </w:style>
  <w:style w:type="paragraph" w:customStyle="1" w:styleId="xl63">
    <w:name w:val="xl63"/>
    <w:basedOn w:val="a0"/>
    <w:uiPriority w:val="99"/>
    <w:rsid w:val="00F876D6"/>
    <w:pPr>
      <w:pBdr>
        <w:left w:val="single" w:sz="4" w:space="0" w:color="auto"/>
        <w:bottom w:val="single" w:sz="4" w:space="0" w:color="auto"/>
        <w:right w:val="single" w:sz="4" w:space="0" w:color="auto"/>
      </w:pBdr>
      <w:spacing w:before="100" w:beforeAutospacing="1" w:after="100" w:afterAutospacing="1"/>
    </w:pPr>
    <w:rPr>
      <w:rFonts w:ascii="Arial Unicode MS" w:cs="Arial Unicode MS"/>
    </w:rPr>
  </w:style>
  <w:style w:type="paragraph" w:customStyle="1" w:styleId="xl64">
    <w:name w:val="xl64"/>
    <w:basedOn w:val="a0"/>
    <w:uiPriority w:val="99"/>
    <w:rsid w:val="00F876D6"/>
    <w:pPr>
      <w:pBdr>
        <w:bottom w:val="single" w:sz="8" w:space="0" w:color="auto"/>
      </w:pBdr>
      <w:spacing w:before="100" w:beforeAutospacing="1" w:after="100" w:afterAutospacing="1"/>
    </w:pPr>
    <w:rPr>
      <w:rFonts w:ascii="Arial" w:hAnsi="Arial" w:cs="Arial"/>
      <w:b/>
      <w:bCs/>
    </w:rPr>
  </w:style>
  <w:style w:type="paragraph" w:customStyle="1" w:styleId="xl65">
    <w:name w:val="xl65"/>
    <w:basedOn w:val="a0"/>
    <w:uiPriority w:val="99"/>
    <w:rsid w:val="00F876D6"/>
    <w:pPr>
      <w:pBdr>
        <w:bottom w:val="single" w:sz="8" w:space="0" w:color="auto"/>
      </w:pBdr>
      <w:spacing w:before="100" w:beforeAutospacing="1" w:after="100" w:afterAutospacing="1"/>
    </w:pPr>
    <w:rPr>
      <w:rFonts w:ascii="Arial" w:hAnsi="Arial" w:cs="Arial"/>
      <w:b/>
      <w:bCs/>
      <w:sz w:val="14"/>
      <w:szCs w:val="14"/>
    </w:rPr>
  </w:style>
  <w:style w:type="paragraph" w:customStyle="1" w:styleId="xl66">
    <w:name w:val="xl66"/>
    <w:basedOn w:val="a0"/>
    <w:uiPriority w:val="99"/>
    <w:rsid w:val="00F876D6"/>
    <w:pPr>
      <w:spacing w:before="100" w:beforeAutospacing="1" w:after="100" w:afterAutospacing="1"/>
    </w:pPr>
    <w:rPr>
      <w:rFonts w:ascii="Arial" w:hAnsi="Arial" w:cs="Arial"/>
      <w:sz w:val="14"/>
      <w:szCs w:val="14"/>
    </w:rPr>
  </w:style>
  <w:style w:type="paragraph" w:customStyle="1" w:styleId="xl67">
    <w:name w:val="xl67"/>
    <w:basedOn w:val="a0"/>
    <w:uiPriority w:val="99"/>
    <w:rsid w:val="00F876D6"/>
    <w:pPr>
      <w:pBdr>
        <w:top w:val="single" w:sz="8" w:space="0" w:color="auto"/>
        <w:bottom w:val="single" w:sz="8" w:space="0" w:color="auto"/>
      </w:pBdr>
      <w:spacing w:before="100" w:beforeAutospacing="1" w:after="100" w:afterAutospacing="1"/>
    </w:pPr>
    <w:rPr>
      <w:rFonts w:ascii="Arial" w:hAnsi="Arial" w:cs="Arial"/>
      <w:b/>
      <w:bCs/>
      <w:sz w:val="14"/>
      <w:szCs w:val="14"/>
    </w:rPr>
  </w:style>
  <w:style w:type="paragraph" w:customStyle="1" w:styleId="xl68">
    <w:name w:val="xl68"/>
    <w:basedOn w:val="a0"/>
    <w:uiPriority w:val="99"/>
    <w:rsid w:val="00F876D6"/>
    <w:pPr>
      <w:pBdr>
        <w:left w:val="single" w:sz="8" w:space="0" w:color="auto"/>
        <w:bottom w:val="single" w:sz="8" w:space="0" w:color="auto"/>
        <w:right w:val="single" w:sz="8" w:space="0" w:color="auto"/>
      </w:pBdr>
      <w:spacing w:before="100" w:beforeAutospacing="1" w:after="100" w:afterAutospacing="1"/>
    </w:pPr>
    <w:rPr>
      <w:rFonts w:ascii="Arial" w:hAnsi="Arial" w:cs="Arial"/>
      <w:sz w:val="14"/>
      <w:szCs w:val="14"/>
    </w:rPr>
  </w:style>
  <w:style w:type="paragraph" w:customStyle="1" w:styleId="xl69">
    <w:name w:val="xl69"/>
    <w:basedOn w:val="a0"/>
    <w:uiPriority w:val="99"/>
    <w:rsid w:val="00F876D6"/>
    <w:pPr>
      <w:pBdr>
        <w:left w:val="single" w:sz="8" w:space="0" w:color="auto"/>
        <w:bottom w:val="single" w:sz="8" w:space="0" w:color="auto"/>
        <w:right w:val="single" w:sz="8" w:space="0" w:color="auto"/>
      </w:pBdr>
      <w:spacing w:before="100" w:beforeAutospacing="1" w:after="100" w:afterAutospacing="1"/>
    </w:pPr>
    <w:rPr>
      <w:rFonts w:ascii="Arial" w:hAnsi="Arial" w:cs="Arial"/>
      <w:b/>
      <w:bCs/>
      <w:sz w:val="14"/>
      <w:szCs w:val="14"/>
    </w:rPr>
  </w:style>
  <w:style w:type="paragraph" w:customStyle="1" w:styleId="xl70">
    <w:name w:val="xl70"/>
    <w:basedOn w:val="a0"/>
    <w:uiPriority w:val="99"/>
    <w:rsid w:val="00F876D6"/>
    <w:pPr>
      <w:pBdr>
        <w:top w:val="single" w:sz="8" w:space="0" w:color="auto"/>
        <w:bottom w:val="single" w:sz="8" w:space="0" w:color="auto"/>
      </w:pBdr>
      <w:spacing w:before="100" w:beforeAutospacing="1" w:after="100" w:afterAutospacing="1"/>
      <w:jc w:val="center"/>
    </w:pPr>
    <w:rPr>
      <w:rFonts w:ascii="Arial" w:hAnsi="Arial" w:cs="Arial"/>
      <w:sz w:val="14"/>
      <w:szCs w:val="14"/>
    </w:rPr>
  </w:style>
  <w:style w:type="paragraph" w:customStyle="1" w:styleId="xl71">
    <w:name w:val="xl71"/>
    <w:basedOn w:val="a0"/>
    <w:uiPriority w:val="99"/>
    <w:rsid w:val="00F876D6"/>
    <w:pPr>
      <w:pBdr>
        <w:top w:val="single" w:sz="8" w:space="0" w:color="auto"/>
        <w:bottom w:val="single" w:sz="8" w:space="0" w:color="auto"/>
        <w:right w:val="single" w:sz="8" w:space="0" w:color="auto"/>
      </w:pBdr>
      <w:spacing w:before="100" w:beforeAutospacing="1" w:after="100" w:afterAutospacing="1"/>
      <w:jc w:val="center"/>
    </w:pPr>
    <w:rPr>
      <w:rFonts w:ascii="Arial" w:hAnsi="Arial" w:cs="Arial"/>
      <w:sz w:val="14"/>
      <w:szCs w:val="14"/>
    </w:rPr>
  </w:style>
  <w:style w:type="paragraph" w:customStyle="1" w:styleId="xl72">
    <w:name w:val="xl72"/>
    <w:basedOn w:val="a0"/>
    <w:uiPriority w:val="99"/>
    <w:rsid w:val="00F876D6"/>
    <w:pPr>
      <w:pBdr>
        <w:top w:val="single" w:sz="8" w:space="0" w:color="auto"/>
        <w:left w:val="single" w:sz="8" w:space="0" w:color="auto"/>
        <w:bottom w:val="single" w:sz="8" w:space="0" w:color="auto"/>
      </w:pBdr>
      <w:spacing w:before="100" w:beforeAutospacing="1" w:after="100" w:afterAutospacing="1"/>
      <w:jc w:val="center"/>
    </w:pPr>
    <w:rPr>
      <w:rFonts w:ascii="Arial" w:hAnsi="Arial" w:cs="Arial"/>
      <w:sz w:val="14"/>
      <w:szCs w:val="14"/>
    </w:rPr>
  </w:style>
  <w:style w:type="paragraph" w:customStyle="1" w:styleId="xl73">
    <w:name w:val="xl73"/>
    <w:basedOn w:val="a0"/>
    <w:uiPriority w:val="99"/>
    <w:rsid w:val="00F876D6"/>
    <w:pPr>
      <w:pBdr>
        <w:top w:val="single" w:sz="8" w:space="0" w:color="auto"/>
        <w:right w:val="single" w:sz="4" w:space="0" w:color="auto"/>
      </w:pBdr>
      <w:spacing w:before="100" w:beforeAutospacing="1" w:after="100" w:afterAutospacing="1"/>
    </w:pPr>
    <w:rPr>
      <w:rFonts w:ascii="Arial" w:hAnsi="Arial" w:cs="Arial"/>
      <w:sz w:val="14"/>
      <w:szCs w:val="14"/>
    </w:rPr>
  </w:style>
  <w:style w:type="paragraph" w:customStyle="1" w:styleId="xl74">
    <w:name w:val="xl74"/>
    <w:basedOn w:val="a0"/>
    <w:uiPriority w:val="99"/>
    <w:rsid w:val="00F876D6"/>
    <w:pPr>
      <w:pBdr>
        <w:top w:val="single" w:sz="8" w:space="0" w:color="auto"/>
        <w:left w:val="single" w:sz="4" w:space="0" w:color="auto"/>
        <w:right w:val="single" w:sz="4" w:space="0" w:color="auto"/>
      </w:pBdr>
      <w:spacing w:before="100" w:beforeAutospacing="1" w:after="100" w:afterAutospacing="1"/>
    </w:pPr>
    <w:rPr>
      <w:rFonts w:ascii="Arial" w:hAnsi="Arial" w:cs="Arial"/>
      <w:sz w:val="14"/>
      <w:szCs w:val="14"/>
    </w:rPr>
  </w:style>
  <w:style w:type="paragraph" w:customStyle="1" w:styleId="xl75">
    <w:name w:val="xl75"/>
    <w:basedOn w:val="a0"/>
    <w:uiPriority w:val="99"/>
    <w:rsid w:val="00F876D6"/>
    <w:pPr>
      <w:pBdr>
        <w:right w:val="single" w:sz="4" w:space="0" w:color="auto"/>
      </w:pBdr>
      <w:spacing w:before="100" w:beforeAutospacing="1" w:after="100" w:afterAutospacing="1"/>
    </w:pPr>
    <w:rPr>
      <w:rFonts w:ascii="Arial" w:hAnsi="Arial" w:cs="Arial"/>
      <w:sz w:val="14"/>
      <w:szCs w:val="14"/>
    </w:rPr>
  </w:style>
  <w:style w:type="paragraph" w:customStyle="1" w:styleId="xl76">
    <w:name w:val="xl76"/>
    <w:basedOn w:val="a0"/>
    <w:uiPriority w:val="99"/>
    <w:rsid w:val="00F876D6"/>
    <w:pPr>
      <w:pBdr>
        <w:bottom w:val="single" w:sz="8" w:space="0" w:color="auto"/>
        <w:right w:val="single" w:sz="4" w:space="0" w:color="auto"/>
      </w:pBdr>
      <w:spacing w:before="100" w:beforeAutospacing="1" w:after="100" w:afterAutospacing="1"/>
    </w:pPr>
    <w:rPr>
      <w:rFonts w:ascii="Arial" w:hAnsi="Arial" w:cs="Arial"/>
      <w:sz w:val="14"/>
      <w:szCs w:val="14"/>
    </w:rPr>
  </w:style>
  <w:style w:type="paragraph" w:customStyle="1" w:styleId="xl77">
    <w:name w:val="xl77"/>
    <w:basedOn w:val="a0"/>
    <w:uiPriority w:val="99"/>
    <w:rsid w:val="00F876D6"/>
    <w:pPr>
      <w:pBdr>
        <w:top w:val="single" w:sz="8" w:space="0" w:color="auto"/>
        <w:left w:val="single" w:sz="8" w:space="0" w:color="auto"/>
        <w:right w:val="single" w:sz="4" w:space="0" w:color="auto"/>
      </w:pBdr>
      <w:spacing w:before="100" w:beforeAutospacing="1" w:after="100" w:afterAutospacing="1"/>
    </w:pPr>
    <w:rPr>
      <w:rFonts w:ascii="Arial" w:hAnsi="Arial" w:cs="Arial"/>
      <w:sz w:val="14"/>
      <w:szCs w:val="14"/>
    </w:rPr>
  </w:style>
  <w:style w:type="paragraph" w:customStyle="1" w:styleId="xl78">
    <w:name w:val="xl78"/>
    <w:basedOn w:val="a0"/>
    <w:uiPriority w:val="99"/>
    <w:rsid w:val="00F876D6"/>
    <w:pPr>
      <w:pBdr>
        <w:left w:val="single" w:sz="8" w:space="0" w:color="auto"/>
        <w:bottom w:val="single" w:sz="8" w:space="0" w:color="auto"/>
        <w:right w:val="single" w:sz="4" w:space="0" w:color="auto"/>
      </w:pBdr>
      <w:spacing w:before="100" w:beforeAutospacing="1" w:after="100" w:afterAutospacing="1"/>
    </w:pPr>
    <w:rPr>
      <w:rFonts w:ascii="Arial" w:hAnsi="Arial" w:cs="Arial"/>
      <w:b/>
      <w:bCs/>
      <w:sz w:val="14"/>
      <w:szCs w:val="14"/>
    </w:rPr>
  </w:style>
  <w:style w:type="paragraph" w:customStyle="1" w:styleId="xl79">
    <w:name w:val="xl79"/>
    <w:basedOn w:val="a0"/>
    <w:uiPriority w:val="99"/>
    <w:rsid w:val="00F876D6"/>
    <w:pPr>
      <w:pBdr>
        <w:bottom w:val="single" w:sz="8" w:space="0" w:color="auto"/>
      </w:pBdr>
      <w:spacing w:before="100" w:beforeAutospacing="1" w:after="100" w:afterAutospacing="1"/>
    </w:pPr>
    <w:rPr>
      <w:rFonts w:ascii="Arial" w:hAnsi="Arial" w:cs="Arial"/>
      <w:sz w:val="14"/>
      <w:szCs w:val="14"/>
    </w:rPr>
  </w:style>
  <w:style w:type="paragraph" w:customStyle="1" w:styleId="xl80">
    <w:name w:val="xl80"/>
    <w:basedOn w:val="a0"/>
    <w:uiPriority w:val="99"/>
    <w:rsid w:val="00F876D6"/>
    <w:pPr>
      <w:pBdr>
        <w:left w:val="single" w:sz="8" w:space="0" w:color="auto"/>
        <w:right w:val="single" w:sz="4" w:space="0" w:color="auto"/>
      </w:pBdr>
      <w:spacing w:before="100" w:beforeAutospacing="1" w:after="100" w:afterAutospacing="1"/>
    </w:pPr>
    <w:rPr>
      <w:rFonts w:ascii="Arial" w:hAnsi="Arial" w:cs="Arial"/>
      <w:sz w:val="14"/>
      <w:szCs w:val="14"/>
    </w:rPr>
  </w:style>
  <w:style w:type="paragraph" w:customStyle="1" w:styleId="xl81">
    <w:name w:val="xl81"/>
    <w:basedOn w:val="a0"/>
    <w:uiPriority w:val="99"/>
    <w:rsid w:val="00F876D6"/>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sz w:val="14"/>
      <w:szCs w:val="14"/>
    </w:rPr>
  </w:style>
  <w:style w:type="paragraph" w:customStyle="1" w:styleId="xl82">
    <w:name w:val="xl82"/>
    <w:basedOn w:val="a0"/>
    <w:uiPriority w:val="99"/>
    <w:rsid w:val="00F876D6"/>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sz w:val="14"/>
      <w:szCs w:val="14"/>
    </w:rPr>
  </w:style>
  <w:style w:type="paragraph" w:customStyle="1" w:styleId="xl83">
    <w:name w:val="xl83"/>
    <w:basedOn w:val="a0"/>
    <w:uiPriority w:val="99"/>
    <w:rsid w:val="00F876D6"/>
    <w:pPr>
      <w:pBdr>
        <w:top w:val="single" w:sz="8" w:space="0" w:color="auto"/>
        <w:bottom w:val="single" w:sz="8" w:space="0" w:color="auto"/>
      </w:pBdr>
      <w:spacing w:before="100" w:beforeAutospacing="1" w:after="100" w:afterAutospacing="1"/>
    </w:pPr>
    <w:rPr>
      <w:rFonts w:ascii="Arial" w:hAnsi="Arial" w:cs="Arial"/>
      <w:b/>
      <w:bCs/>
      <w:sz w:val="14"/>
      <w:szCs w:val="14"/>
    </w:rPr>
  </w:style>
  <w:style w:type="paragraph" w:customStyle="1" w:styleId="xl84">
    <w:name w:val="xl84"/>
    <w:basedOn w:val="a0"/>
    <w:uiPriority w:val="99"/>
    <w:rsid w:val="00F876D6"/>
    <w:pPr>
      <w:pBdr>
        <w:top w:val="single" w:sz="8" w:space="0" w:color="auto"/>
        <w:bottom w:val="single" w:sz="8" w:space="0" w:color="auto"/>
        <w:right w:val="single" w:sz="8" w:space="0" w:color="auto"/>
      </w:pBdr>
      <w:spacing w:before="100" w:beforeAutospacing="1" w:after="100" w:afterAutospacing="1"/>
    </w:pPr>
    <w:rPr>
      <w:rFonts w:ascii="Arial" w:hAnsi="Arial" w:cs="Arial"/>
      <w:b/>
      <w:bCs/>
      <w:sz w:val="14"/>
      <w:szCs w:val="14"/>
    </w:rPr>
  </w:style>
  <w:style w:type="paragraph" w:customStyle="1" w:styleId="xl85">
    <w:name w:val="xl85"/>
    <w:basedOn w:val="a0"/>
    <w:uiPriority w:val="99"/>
    <w:rsid w:val="00F876D6"/>
    <w:pPr>
      <w:pBdr>
        <w:top w:val="single" w:sz="8" w:space="0" w:color="auto"/>
        <w:left w:val="single" w:sz="8" w:space="0" w:color="auto"/>
      </w:pBdr>
      <w:spacing w:before="100" w:beforeAutospacing="1" w:after="100" w:afterAutospacing="1"/>
    </w:pPr>
    <w:rPr>
      <w:rFonts w:ascii="Arial" w:hAnsi="Arial" w:cs="Arial"/>
      <w:b/>
      <w:bCs/>
      <w:sz w:val="14"/>
      <w:szCs w:val="14"/>
    </w:rPr>
  </w:style>
  <w:style w:type="paragraph" w:customStyle="1" w:styleId="xl86">
    <w:name w:val="xl86"/>
    <w:basedOn w:val="a0"/>
    <w:uiPriority w:val="99"/>
    <w:rsid w:val="00F876D6"/>
    <w:pPr>
      <w:pBdr>
        <w:top w:val="single" w:sz="8" w:space="0" w:color="auto"/>
      </w:pBdr>
      <w:spacing w:before="100" w:beforeAutospacing="1" w:after="100" w:afterAutospacing="1"/>
    </w:pPr>
    <w:rPr>
      <w:rFonts w:ascii="Arial" w:hAnsi="Arial" w:cs="Arial"/>
      <w:b/>
      <w:bCs/>
      <w:sz w:val="14"/>
      <w:szCs w:val="14"/>
    </w:rPr>
  </w:style>
  <w:style w:type="paragraph" w:customStyle="1" w:styleId="xl87">
    <w:name w:val="xl87"/>
    <w:basedOn w:val="a0"/>
    <w:uiPriority w:val="99"/>
    <w:rsid w:val="00F876D6"/>
    <w:pPr>
      <w:pBdr>
        <w:top w:val="single" w:sz="8" w:space="0" w:color="auto"/>
      </w:pBdr>
      <w:spacing w:before="100" w:beforeAutospacing="1" w:after="100" w:afterAutospacing="1"/>
      <w:jc w:val="center"/>
    </w:pPr>
    <w:rPr>
      <w:rFonts w:ascii="Arial" w:hAnsi="Arial" w:cs="Arial"/>
      <w:b/>
      <w:bCs/>
      <w:sz w:val="14"/>
      <w:szCs w:val="14"/>
    </w:rPr>
  </w:style>
  <w:style w:type="paragraph" w:customStyle="1" w:styleId="xl88">
    <w:name w:val="xl88"/>
    <w:basedOn w:val="a0"/>
    <w:uiPriority w:val="99"/>
    <w:rsid w:val="00F876D6"/>
    <w:pPr>
      <w:pBdr>
        <w:top w:val="single" w:sz="8" w:space="0" w:color="auto"/>
        <w:right w:val="single" w:sz="8" w:space="0" w:color="auto"/>
      </w:pBdr>
      <w:spacing w:before="100" w:beforeAutospacing="1" w:after="100" w:afterAutospacing="1"/>
      <w:jc w:val="center"/>
    </w:pPr>
    <w:rPr>
      <w:rFonts w:ascii="Arial" w:hAnsi="Arial" w:cs="Arial"/>
      <w:b/>
      <w:bCs/>
      <w:sz w:val="14"/>
      <w:szCs w:val="14"/>
    </w:rPr>
  </w:style>
  <w:style w:type="paragraph" w:customStyle="1" w:styleId="xl89">
    <w:name w:val="xl89"/>
    <w:basedOn w:val="a0"/>
    <w:uiPriority w:val="99"/>
    <w:rsid w:val="00F876D6"/>
    <w:pPr>
      <w:pBdr>
        <w:left w:val="single" w:sz="8" w:space="0" w:color="auto"/>
        <w:bottom w:val="single" w:sz="8" w:space="0" w:color="auto"/>
      </w:pBdr>
      <w:spacing w:before="100" w:beforeAutospacing="1" w:after="100" w:afterAutospacing="1"/>
    </w:pPr>
    <w:rPr>
      <w:rFonts w:ascii="Arial" w:hAnsi="Arial" w:cs="Arial"/>
      <w:b/>
      <w:bCs/>
      <w:sz w:val="14"/>
      <w:szCs w:val="14"/>
    </w:rPr>
  </w:style>
  <w:style w:type="paragraph" w:customStyle="1" w:styleId="xl90">
    <w:name w:val="xl90"/>
    <w:basedOn w:val="a0"/>
    <w:uiPriority w:val="99"/>
    <w:rsid w:val="00F876D6"/>
    <w:pPr>
      <w:pBdr>
        <w:bottom w:val="single" w:sz="8" w:space="0" w:color="auto"/>
      </w:pBdr>
      <w:spacing w:before="100" w:beforeAutospacing="1" w:after="100" w:afterAutospacing="1"/>
    </w:pPr>
    <w:rPr>
      <w:rFonts w:ascii="Arial" w:hAnsi="Arial" w:cs="Arial"/>
      <w:b/>
      <w:bCs/>
      <w:sz w:val="14"/>
      <w:szCs w:val="14"/>
    </w:rPr>
  </w:style>
  <w:style w:type="paragraph" w:customStyle="1" w:styleId="xl91">
    <w:name w:val="xl91"/>
    <w:basedOn w:val="a0"/>
    <w:uiPriority w:val="99"/>
    <w:rsid w:val="00F876D6"/>
    <w:pPr>
      <w:pBdr>
        <w:bottom w:val="single" w:sz="8" w:space="0" w:color="auto"/>
        <w:right w:val="single" w:sz="8" w:space="0" w:color="auto"/>
      </w:pBdr>
      <w:spacing w:before="100" w:beforeAutospacing="1" w:after="100" w:afterAutospacing="1"/>
    </w:pPr>
    <w:rPr>
      <w:rFonts w:ascii="Arial" w:hAnsi="Arial" w:cs="Arial"/>
      <w:b/>
      <w:bCs/>
      <w:sz w:val="14"/>
      <w:szCs w:val="14"/>
    </w:rPr>
  </w:style>
  <w:style w:type="paragraph" w:customStyle="1" w:styleId="xl92">
    <w:name w:val="xl92"/>
    <w:basedOn w:val="a0"/>
    <w:uiPriority w:val="99"/>
    <w:rsid w:val="00F876D6"/>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sz w:val="14"/>
      <w:szCs w:val="14"/>
    </w:rPr>
  </w:style>
  <w:style w:type="paragraph" w:customStyle="1" w:styleId="CharChar1CharChar1CharChar">
    <w:name w:val="Char Char Знак Знак1 Char Char1 Знак Знак Char Char"/>
    <w:basedOn w:val="a0"/>
    <w:rsid w:val="00F876D6"/>
    <w:pPr>
      <w:spacing w:before="100" w:beforeAutospacing="1" w:after="100" w:afterAutospacing="1"/>
    </w:pPr>
    <w:rPr>
      <w:rFonts w:ascii="Tahoma" w:hAnsi="Tahoma" w:cs="Tahoma"/>
      <w:sz w:val="20"/>
      <w:szCs w:val="20"/>
      <w:lang w:val="en-US" w:eastAsia="en-US"/>
    </w:rPr>
  </w:style>
  <w:style w:type="paragraph" w:customStyle="1" w:styleId="ConsNonformat">
    <w:name w:val="ConsNonformat"/>
    <w:uiPriority w:val="99"/>
    <w:rsid w:val="00F876D6"/>
    <w:pPr>
      <w:widowControl w:val="0"/>
      <w:autoSpaceDE w:val="0"/>
      <w:autoSpaceDN w:val="0"/>
      <w:adjustRightInd w:val="0"/>
    </w:pPr>
    <w:rPr>
      <w:rFonts w:ascii="Courier New" w:hAnsi="Courier New"/>
      <w:sz w:val="20"/>
      <w:szCs w:val="20"/>
    </w:rPr>
  </w:style>
  <w:style w:type="paragraph" w:styleId="ae">
    <w:name w:val="footnote text"/>
    <w:basedOn w:val="a0"/>
    <w:link w:val="af"/>
    <w:uiPriority w:val="99"/>
    <w:semiHidden/>
    <w:rsid w:val="00E57B8A"/>
    <w:pPr>
      <w:spacing w:line="360" w:lineRule="auto"/>
      <w:ind w:firstLine="720"/>
      <w:jc w:val="both"/>
    </w:pPr>
    <w:rPr>
      <w:sz w:val="20"/>
      <w:szCs w:val="20"/>
    </w:rPr>
  </w:style>
  <w:style w:type="character" w:customStyle="1" w:styleId="af">
    <w:name w:val="Текст сноски Знак"/>
    <w:basedOn w:val="a1"/>
    <w:link w:val="ae"/>
    <w:uiPriority w:val="99"/>
    <w:semiHidden/>
    <w:locked/>
    <w:rsid w:val="00B467F5"/>
    <w:rPr>
      <w:rFonts w:cs="Times New Roman"/>
    </w:rPr>
  </w:style>
  <w:style w:type="paragraph" w:styleId="af0">
    <w:name w:val="Balloon Text"/>
    <w:basedOn w:val="a0"/>
    <w:link w:val="af1"/>
    <w:uiPriority w:val="99"/>
    <w:rsid w:val="00B93825"/>
    <w:rPr>
      <w:rFonts w:ascii="Tahoma" w:hAnsi="Tahoma"/>
      <w:sz w:val="16"/>
      <w:szCs w:val="16"/>
    </w:rPr>
  </w:style>
  <w:style w:type="character" w:customStyle="1" w:styleId="af1">
    <w:name w:val="Текст выноски Знак"/>
    <w:basedOn w:val="a1"/>
    <w:link w:val="af0"/>
    <w:uiPriority w:val="99"/>
    <w:locked/>
    <w:rsid w:val="00B93825"/>
    <w:rPr>
      <w:rFonts w:ascii="Tahoma" w:hAnsi="Tahoma" w:cs="Times New Roman"/>
      <w:sz w:val="16"/>
    </w:rPr>
  </w:style>
  <w:style w:type="table" w:customStyle="1" w:styleId="12">
    <w:name w:val="Сетка таблицы1"/>
    <w:uiPriority w:val="59"/>
    <w:rsid w:val="004A508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uiPriority w:val="99"/>
    <w:rsid w:val="00DD432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2">
    <w:name w:val="xl22"/>
    <w:basedOn w:val="a0"/>
    <w:uiPriority w:val="99"/>
    <w:rsid w:val="00DD4323"/>
    <w:pPr>
      <w:spacing w:before="100" w:beforeAutospacing="1" w:after="100" w:afterAutospacing="1"/>
    </w:pPr>
    <w:rPr>
      <w:color w:val="FFFFFF"/>
    </w:rPr>
  </w:style>
  <w:style w:type="paragraph" w:customStyle="1" w:styleId="xl23">
    <w:name w:val="xl23"/>
    <w:basedOn w:val="a0"/>
    <w:uiPriority w:val="99"/>
    <w:rsid w:val="00DD4323"/>
    <w:pPr>
      <w:spacing w:before="100" w:beforeAutospacing="1" w:after="100" w:afterAutospacing="1"/>
      <w:jc w:val="center"/>
    </w:pPr>
    <w:rPr>
      <w:b/>
      <w:bCs/>
      <w:color w:val="000000"/>
      <w:sz w:val="28"/>
      <w:szCs w:val="28"/>
    </w:rPr>
  </w:style>
  <w:style w:type="character" w:customStyle="1" w:styleId="81">
    <w:name w:val="Знак Знак8"/>
    <w:uiPriority w:val="99"/>
    <w:rsid w:val="00DD4323"/>
    <w:rPr>
      <w:sz w:val="28"/>
      <w:lang w:val="ru-RU" w:eastAsia="ru-RU"/>
    </w:rPr>
  </w:style>
  <w:style w:type="table" w:customStyle="1" w:styleId="35">
    <w:name w:val="Сетка таблицы3"/>
    <w:uiPriority w:val="99"/>
    <w:rsid w:val="0082247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1A18E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uiPriority w:val="99"/>
    <w:rsid w:val="00594C5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uiPriority w:val="99"/>
    <w:rsid w:val="00594C5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uiPriority w:val="99"/>
    <w:rsid w:val="00594C5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uiPriority w:val="99"/>
    <w:rsid w:val="00F5163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F5163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uiPriority w:val="99"/>
    <w:rsid w:val="00FF033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FF033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61098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3"/>
    <w:uiPriority w:val="99"/>
    <w:rsid w:val="004C760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uiPriority w:val="99"/>
    <w:rsid w:val="004C760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6">
    <w:name w:val="Название2"/>
    <w:basedOn w:val="a0"/>
    <w:uiPriority w:val="99"/>
    <w:rsid w:val="002127C0"/>
    <w:pPr>
      <w:jc w:val="center"/>
    </w:pPr>
    <w:rPr>
      <w:b/>
      <w:sz w:val="20"/>
      <w:szCs w:val="20"/>
    </w:rPr>
  </w:style>
  <w:style w:type="character" w:customStyle="1" w:styleId="83">
    <w:name w:val="Знак Знак83"/>
    <w:uiPriority w:val="99"/>
    <w:rsid w:val="002127C0"/>
    <w:rPr>
      <w:sz w:val="28"/>
      <w:lang w:val="ru-RU" w:eastAsia="ru-RU"/>
    </w:rPr>
  </w:style>
  <w:style w:type="paragraph" w:styleId="af2">
    <w:name w:val="endnote text"/>
    <w:basedOn w:val="a0"/>
    <w:link w:val="af3"/>
    <w:uiPriority w:val="99"/>
    <w:rsid w:val="002429FC"/>
    <w:rPr>
      <w:sz w:val="20"/>
      <w:szCs w:val="20"/>
    </w:rPr>
  </w:style>
  <w:style w:type="character" w:customStyle="1" w:styleId="af3">
    <w:name w:val="Текст концевой сноски Знак"/>
    <w:basedOn w:val="a1"/>
    <w:link w:val="af2"/>
    <w:uiPriority w:val="99"/>
    <w:locked/>
    <w:rsid w:val="002429FC"/>
    <w:rPr>
      <w:rFonts w:cs="Times New Roman"/>
    </w:rPr>
  </w:style>
  <w:style w:type="table" w:customStyle="1" w:styleId="15">
    <w:name w:val="Сетка таблицы15"/>
    <w:uiPriority w:val="99"/>
    <w:rsid w:val="0065572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10">
    <w:name w:val="Знак Знак81"/>
    <w:uiPriority w:val="99"/>
    <w:rsid w:val="0069001D"/>
    <w:rPr>
      <w:sz w:val="28"/>
      <w:lang w:val="ru-RU" w:eastAsia="ru-RU"/>
    </w:rPr>
  </w:style>
  <w:style w:type="paragraph" w:styleId="af4">
    <w:name w:val="List Paragraph"/>
    <w:basedOn w:val="a0"/>
    <w:uiPriority w:val="34"/>
    <w:qFormat/>
    <w:rsid w:val="00A73119"/>
    <w:pPr>
      <w:ind w:left="720"/>
      <w:contextualSpacing/>
    </w:pPr>
  </w:style>
  <w:style w:type="paragraph" w:customStyle="1" w:styleId="36">
    <w:name w:val="Название3"/>
    <w:basedOn w:val="a0"/>
    <w:uiPriority w:val="99"/>
    <w:rsid w:val="00BB2684"/>
    <w:pPr>
      <w:jc w:val="center"/>
    </w:pPr>
    <w:rPr>
      <w:b/>
      <w:sz w:val="20"/>
      <w:szCs w:val="20"/>
    </w:rPr>
  </w:style>
  <w:style w:type="character" w:customStyle="1" w:styleId="820">
    <w:name w:val="Знак Знак82"/>
    <w:uiPriority w:val="99"/>
    <w:rsid w:val="00BB2684"/>
    <w:rPr>
      <w:sz w:val="28"/>
      <w:lang w:val="ru-RU" w:eastAsia="ru-RU"/>
    </w:rPr>
  </w:style>
  <w:style w:type="character" w:customStyle="1" w:styleId="42">
    <w:name w:val="Знак Знак4"/>
    <w:basedOn w:val="a1"/>
    <w:uiPriority w:val="99"/>
    <w:rsid w:val="00227BBE"/>
    <w:rPr>
      <w:rFonts w:cs="Times New Roman"/>
      <w:sz w:val="24"/>
      <w:lang w:val="en-US" w:eastAsia="ru-RU" w:bidi="ar-SA"/>
    </w:rPr>
  </w:style>
  <w:style w:type="character" w:customStyle="1" w:styleId="37">
    <w:name w:val="Знак Знак3"/>
    <w:basedOn w:val="a1"/>
    <w:uiPriority w:val="99"/>
    <w:rsid w:val="00227BBE"/>
    <w:rPr>
      <w:rFonts w:ascii="Arial" w:hAnsi="Arial" w:cs="Arial"/>
      <w:b/>
      <w:bCs/>
      <w:sz w:val="26"/>
      <w:szCs w:val="26"/>
      <w:lang w:val="ru-RU" w:eastAsia="ru-RU" w:bidi="ar-SA"/>
    </w:rPr>
  </w:style>
  <w:style w:type="character" w:customStyle="1" w:styleId="af5">
    <w:name w:val="Знак Знак"/>
    <w:basedOn w:val="a1"/>
    <w:uiPriority w:val="99"/>
    <w:rsid w:val="00227BBE"/>
    <w:rPr>
      <w:rFonts w:cs="Times New Roman"/>
      <w:lang w:val="ru-RU" w:eastAsia="ru-RU" w:bidi="ar-SA"/>
    </w:rPr>
  </w:style>
  <w:style w:type="character" w:styleId="af6">
    <w:name w:val="Hyperlink"/>
    <w:basedOn w:val="a1"/>
    <w:uiPriority w:val="99"/>
    <w:rsid w:val="00227BBE"/>
    <w:rPr>
      <w:rFonts w:cs="Times New Roman"/>
      <w:color w:val="339ACA"/>
      <w:u w:val="single"/>
    </w:rPr>
  </w:style>
  <w:style w:type="paragraph" w:customStyle="1" w:styleId="pj">
    <w:name w:val="pj"/>
    <w:basedOn w:val="a0"/>
    <w:rsid w:val="00227BBE"/>
    <w:pPr>
      <w:spacing w:before="100" w:beforeAutospacing="1" w:after="100" w:afterAutospacing="1"/>
    </w:pPr>
  </w:style>
  <w:style w:type="paragraph" w:customStyle="1" w:styleId="af7">
    <w:name w:val="Знак"/>
    <w:basedOn w:val="a0"/>
    <w:uiPriority w:val="99"/>
    <w:rsid w:val="00E0664A"/>
    <w:pPr>
      <w:spacing w:before="100" w:beforeAutospacing="1" w:after="100" w:afterAutospacing="1"/>
    </w:pPr>
    <w:rPr>
      <w:rFonts w:ascii="Tahoma" w:hAnsi="Tahoma"/>
      <w:sz w:val="20"/>
      <w:szCs w:val="20"/>
      <w:lang w:val="en-US" w:eastAsia="en-US"/>
    </w:rPr>
  </w:style>
  <w:style w:type="character" w:customStyle="1" w:styleId="150">
    <w:name w:val="Знак Знак15"/>
    <w:uiPriority w:val="99"/>
    <w:rsid w:val="00601FE5"/>
    <w:rPr>
      <w:b/>
      <w:i/>
      <w:sz w:val="26"/>
      <w:lang w:val="ru-RU" w:eastAsia="ru-RU"/>
    </w:rPr>
  </w:style>
  <w:style w:type="character" w:customStyle="1" w:styleId="101">
    <w:name w:val="Знак Знак10"/>
    <w:uiPriority w:val="99"/>
    <w:rsid w:val="00601FE5"/>
    <w:rPr>
      <w:sz w:val="28"/>
      <w:lang w:val="ru-RU" w:eastAsia="ru-RU"/>
    </w:rPr>
  </w:style>
  <w:style w:type="character" w:customStyle="1" w:styleId="410">
    <w:name w:val="Знак Знак41"/>
    <w:uiPriority w:val="99"/>
    <w:rsid w:val="00FD112F"/>
    <w:rPr>
      <w:sz w:val="28"/>
      <w:lang w:val="ru-RU" w:eastAsia="ru-RU"/>
    </w:rPr>
  </w:style>
  <w:style w:type="character" w:customStyle="1" w:styleId="151">
    <w:name w:val="Знак Знак151"/>
    <w:uiPriority w:val="99"/>
    <w:rsid w:val="001B5FCF"/>
    <w:rPr>
      <w:b/>
      <w:i/>
      <w:sz w:val="26"/>
      <w:lang w:val="ru-RU" w:eastAsia="ru-RU"/>
    </w:rPr>
  </w:style>
  <w:style w:type="character" w:customStyle="1" w:styleId="1010">
    <w:name w:val="Знак Знак101"/>
    <w:uiPriority w:val="99"/>
    <w:rsid w:val="001B5FCF"/>
    <w:rPr>
      <w:sz w:val="28"/>
      <w:lang w:val="ru-RU" w:eastAsia="ru-RU"/>
    </w:rPr>
  </w:style>
  <w:style w:type="character" w:customStyle="1" w:styleId="420">
    <w:name w:val="Знак Знак42"/>
    <w:uiPriority w:val="99"/>
    <w:rsid w:val="00F8430B"/>
    <w:rPr>
      <w:sz w:val="28"/>
      <w:lang w:val="ru-RU" w:eastAsia="ru-RU"/>
    </w:rPr>
  </w:style>
  <w:style w:type="character" w:customStyle="1" w:styleId="102">
    <w:name w:val="Знак Знак102"/>
    <w:uiPriority w:val="99"/>
    <w:rsid w:val="00C174B3"/>
    <w:rPr>
      <w:sz w:val="28"/>
      <w:lang w:val="ru-RU" w:eastAsia="ru-RU"/>
    </w:rPr>
  </w:style>
  <w:style w:type="character" w:customStyle="1" w:styleId="FontStyle82">
    <w:name w:val="Font Style82"/>
    <w:rsid w:val="004B786E"/>
    <w:rPr>
      <w:rFonts w:ascii="Times New Roman" w:hAnsi="Times New Roman" w:cs="Times New Roman"/>
      <w:sz w:val="24"/>
      <w:szCs w:val="24"/>
    </w:rPr>
  </w:style>
  <w:style w:type="character" w:customStyle="1" w:styleId="FontStyle99">
    <w:name w:val="Font Style99"/>
    <w:uiPriority w:val="99"/>
    <w:rsid w:val="00413C79"/>
    <w:rPr>
      <w:rFonts w:ascii="Georgia" w:hAnsi="Georgia" w:cs="Georgia"/>
      <w:i/>
      <w:iCs/>
      <w:sz w:val="20"/>
      <w:szCs w:val="20"/>
    </w:rPr>
  </w:style>
  <w:style w:type="character" w:styleId="af8">
    <w:name w:val="FollowedHyperlink"/>
    <w:basedOn w:val="a1"/>
    <w:uiPriority w:val="99"/>
    <w:semiHidden/>
    <w:unhideWhenUsed/>
    <w:locked/>
    <w:rsid w:val="00607295"/>
    <w:rPr>
      <w:color w:val="954F72"/>
      <w:u w:val="single"/>
    </w:rPr>
  </w:style>
  <w:style w:type="paragraph" w:customStyle="1" w:styleId="msonormal0">
    <w:name w:val="msonormal"/>
    <w:basedOn w:val="a0"/>
    <w:rsid w:val="00607295"/>
    <w:pPr>
      <w:spacing w:before="100" w:beforeAutospacing="1" w:after="100" w:afterAutospacing="1"/>
    </w:pPr>
  </w:style>
  <w:style w:type="paragraph" w:customStyle="1" w:styleId="xl93">
    <w:name w:val="xl93"/>
    <w:basedOn w:val="a0"/>
    <w:rsid w:val="006072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4">
    <w:name w:val="xl94"/>
    <w:basedOn w:val="a0"/>
    <w:rsid w:val="0060729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8"/>
      <w:szCs w:val="28"/>
    </w:rPr>
  </w:style>
  <w:style w:type="paragraph" w:customStyle="1" w:styleId="xl95">
    <w:name w:val="xl95"/>
    <w:basedOn w:val="a0"/>
    <w:rsid w:val="006072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96">
    <w:name w:val="xl96"/>
    <w:basedOn w:val="a0"/>
    <w:rsid w:val="00607295"/>
    <w:pPr>
      <w:spacing w:before="100" w:beforeAutospacing="1" w:after="100" w:afterAutospacing="1"/>
      <w:jc w:val="center"/>
      <w:textAlignment w:val="center"/>
    </w:pPr>
  </w:style>
  <w:style w:type="paragraph" w:customStyle="1" w:styleId="xl97">
    <w:name w:val="xl97"/>
    <w:basedOn w:val="a0"/>
    <w:rsid w:val="00607295"/>
    <w:pPr>
      <w:spacing w:before="100" w:beforeAutospacing="1" w:after="100" w:afterAutospacing="1"/>
      <w:jc w:val="center"/>
      <w:textAlignment w:val="center"/>
    </w:pPr>
  </w:style>
  <w:style w:type="paragraph" w:customStyle="1" w:styleId="xl98">
    <w:name w:val="xl98"/>
    <w:basedOn w:val="a0"/>
    <w:rsid w:val="00607295"/>
    <w:pPr>
      <w:spacing w:before="100" w:beforeAutospacing="1" w:after="100" w:afterAutospacing="1"/>
      <w:jc w:val="center"/>
      <w:textAlignment w:val="center"/>
    </w:pPr>
  </w:style>
  <w:style w:type="paragraph" w:customStyle="1" w:styleId="xl99">
    <w:name w:val="xl99"/>
    <w:basedOn w:val="a0"/>
    <w:rsid w:val="00607295"/>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jc w:val="center"/>
      <w:textAlignment w:val="top"/>
    </w:pPr>
    <w:rPr>
      <w:b/>
      <w:bCs/>
      <w:sz w:val="28"/>
      <w:szCs w:val="28"/>
    </w:rPr>
  </w:style>
  <w:style w:type="paragraph" w:customStyle="1" w:styleId="xl100">
    <w:name w:val="xl100"/>
    <w:basedOn w:val="a0"/>
    <w:rsid w:val="00607295"/>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rPr>
      <w:sz w:val="28"/>
      <w:szCs w:val="28"/>
    </w:rPr>
  </w:style>
  <w:style w:type="paragraph" w:customStyle="1" w:styleId="xl101">
    <w:name w:val="xl101"/>
    <w:basedOn w:val="a0"/>
    <w:rsid w:val="00607295"/>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rPr>
      <w:sz w:val="28"/>
      <w:szCs w:val="28"/>
    </w:rPr>
  </w:style>
  <w:style w:type="paragraph" w:customStyle="1" w:styleId="xl102">
    <w:name w:val="xl102"/>
    <w:basedOn w:val="a0"/>
    <w:rsid w:val="00607295"/>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jc w:val="center"/>
      <w:textAlignment w:val="center"/>
    </w:pPr>
    <w:rPr>
      <w:b/>
      <w:bCs/>
      <w:sz w:val="28"/>
      <w:szCs w:val="28"/>
    </w:rPr>
  </w:style>
  <w:style w:type="paragraph" w:customStyle="1" w:styleId="xl103">
    <w:name w:val="xl103"/>
    <w:basedOn w:val="a0"/>
    <w:rsid w:val="00607295"/>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jc w:val="center"/>
      <w:textAlignment w:val="center"/>
    </w:pPr>
    <w:rPr>
      <w:b/>
      <w:bCs/>
      <w:sz w:val="28"/>
      <w:szCs w:val="28"/>
    </w:rPr>
  </w:style>
  <w:style w:type="paragraph" w:customStyle="1" w:styleId="xl104">
    <w:name w:val="xl104"/>
    <w:basedOn w:val="a0"/>
    <w:rsid w:val="006072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05">
    <w:name w:val="xl105"/>
    <w:basedOn w:val="a0"/>
    <w:rsid w:val="006072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06">
    <w:name w:val="xl106"/>
    <w:basedOn w:val="a0"/>
    <w:rsid w:val="00607295"/>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rPr>
      <w:sz w:val="28"/>
      <w:szCs w:val="28"/>
    </w:rPr>
  </w:style>
  <w:style w:type="paragraph" w:customStyle="1" w:styleId="xl107">
    <w:name w:val="xl107"/>
    <w:basedOn w:val="a0"/>
    <w:rsid w:val="00607295"/>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jc w:val="center"/>
      <w:textAlignment w:val="center"/>
    </w:pPr>
    <w:rPr>
      <w:b/>
      <w:bCs/>
      <w:sz w:val="28"/>
      <w:szCs w:val="28"/>
    </w:rPr>
  </w:style>
  <w:style w:type="paragraph" w:customStyle="1" w:styleId="xl108">
    <w:name w:val="xl108"/>
    <w:basedOn w:val="a0"/>
    <w:rsid w:val="006072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09">
    <w:name w:val="xl109"/>
    <w:basedOn w:val="a0"/>
    <w:rsid w:val="006072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0">
    <w:name w:val="xl110"/>
    <w:basedOn w:val="a0"/>
    <w:rsid w:val="00607295"/>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jc w:val="center"/>
      <w:textAlignment w:val="center"/>
    </w:pPr>
    <w:rPr>
      <w:b/>
      <w:bCs/>
    </w:rPr>
  </w:style>
  <w:style w:type="paragraph" w:customStyle="1" w:styleId="xl111">
    <w:name w:val="xl111"/>
    <w:basedOn w:val="a0"/>
    <w:rsid w:val="00607295"/>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jc w:val="center"/>
      <w:textAlignment w:val="center"/>
    </w:pPr>
    <w:rPr>
      <w:b/>
      <w:bCs/>
      <w:sz w:val="28"/>
      <w:szCs w:val="28"/>
    </w:rPr>
  </w:style>
  <w:style w:type="paragraph" w:customStyle="1" w:styleId="xl112">
    <w:name w:val="xl112"/>
    <w:basedOn w:val="a0"/>
    <w:rsid w:val="00607295"/>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jc w:val="center"/>
      <w:textAlignment w:val="center"/>
    </w:pPr>
    <w:rPr>
      <w:b/>
      <w:bCs/>
      <w:sz w:val="28"/>
      <w:szCs w:val="28"/>
    </w:rPr>
  </w:style>
  <w:style w:type="paragraph" w:customStyle="1" w:styleId="xl113">
    <w:name w:val="xl113"/>
    <w:basedOn w:val="a0"/>
    <w:rsid w:val="00607295"/>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textAlignment w:val="center"/>
    </w:pPr>
    <w:rPr>
      <w:b/>
      <w:bCs/>
      <w:sz w:val="28"/>
      <w:szCs w:val="28"/>
    </w:rPr>
  </w:style>
  <w:style w:type="paragraph" w:customStyle="1" w:styleId="xl114">
    <w:name w:val="xl114"/>
    <w:basedOn w:val="a0"/>
    <w:rsid w:val="00607295"/>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textAlignment w:val="center"/>
    </w:pPr>
    <w:rPr>
      <w:b/>
      <w:bCs/>
      <w:i/>
      <w:iCs/>
      <w:sz w:val="28"/>
      <w:szCs w:val="28"/>
    </w:rPr>
  </w:style>
  <w:style w:type="paragraph" w:customStyle="1" w:styleId="xl115">
    <w:name w:val="xl115"/>
    <w:basedOn w:val="a0"/>
    <w:rsid w:val="00607295"/>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textAlignment w:val="center"/>
    </w:pPr>
    <w:rPr>
      <w:sz w:val="28"/>
      <w:szCs w:val="28"/>
    </w:rPr>
  </w:style>
  <w:style w:type="paragraph" w:customStyle="1" w:styleId="xl116">
    <w:name w:val="xl116"/>
    <w:basedOn w:val="a0"/>
    <w:rsid w:val="00607295"/>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textAlignment w:val="center"/>
    </w:pPr>
    <w:rPr>
      <w:i/>
      <w:iCs/>
      <w:sz w:val="28"/>
      <w:szCs w:val="28"/>
    </w:rPr>
  </w:style>
  <w:style w:type="paragraph" w:customStyle="1" w:styleId="xl117">
    <w:name w:val="xl117"/>
    <w:basedOn w:val="a0"/>
    <w:rsid w:val="006072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8">
    <w:name w:val="xl118"/>
    <w:basedOn w:val="a0"/>
    <w:rsid w:val="006072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8"/>
      <w:szCs w:val="28"/>
    </w:rPr>
  </w:style>
  <w:style w:type="paragraph" w:customStyle="1" w:styleId="xl119">
    <w:name w:val="xl119"/>
    <w:basedOn w:val="a0"/>
    <w:rsid w:val="00607295"/>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textAlignment w:val="center"/>
    </w:pPr>
    <w:rPr>
      <w:sz w:val="28"/>
      <w:szCs w:val="28"/>
    </w:rPr>
  </w:style>
  <w:style w:type="paragraph" w:customStyle="1" w:styleId="xl120">
    <w:name w:val="xl120"/>
    <w:basedOn w:val="a0"/>
    <w:rsid w:val="00607295"/>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textAlignment w:val="center"/>
    </w:pPr>
    <w:rPr>
      <w:i/>
      <w:iCs/>
      <w:sz w:val="28"/>
      <w:szCs w:val="28"/>
    </w:rPr>
  </w:style>
  <w:style w:type="paragraph" w:customStyle="1" w:styleId="xl121">
    <w:name w:val="xl121"/>
    <w:basedOn w:val="a0"/>
    <w:rsid w:val="00607295"/>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textAlignment w:val="center"/>
    </w:pPr>
    <w:rPr>
      <w:b/>
      <w:bCs/>
      <w:sz w:val="28"/>
      <w:szCs w:val="28"/>
    </w:rPr>
  </w:style>
  <w:style w:type="paragraph" w:customStyle="1" w:styleId="xl122">
    <w:name w:val="xl122"/>
    <w:basedOn w:val="a0"/>
    <w:rsid w:val="00607295"/>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textAlignment w:val="center"/>
    </w:pPr>
    <w:rPr>
      <w:b/>
      <w:bCs/>
      <w:i/>
      <w:iCs/>
      <w:sz w:val="28"/>
      <w:szCs w:val="28"/>
    </w:rPr>
  </w:style>
  <w:style w:type="paragraph" w:customStyle="1" w:styleId="xl123">
    <w:name w:val="xl123"/>
    <w:basedOn w:val="a0"/>
    <w:rsid w:val="00607295"/>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jc w:val="center"/>
      <w:textAlignment w:val="center"/>
    </w:pPr>
    <w:rPr>
      <w:b/>
      <w:bCs/>
      <w:sz w:val="28"/>
      <w:szCs w:val="28"/>
    </w:rPr>
  </w:style>
  <w:style w:type="paragraph" w:customStyle="1" w:styleId="xl124">
    <w:name w:val="xl124"/>
    <w:basedOn w:val="a0"/>
    <w:rsid w:val="006072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25">
    <w:name w:val="xl125"/>
    <w:basedOn w:val="a0"/>
    <w:rsid w:val="00607295"/>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rPr>
      <w:sz w:val="28"/>
      <w:szCs w:val="28"/>
    </w:rPr>
  </w:style>
  <w:style w:type="paragraph" w:customStyle="1" w:styleId="xl126">
    <w:name w:val="xl126"/>
    <w:basedOn w:val="a0"/>
    <w:rsid w:val="00607295"/>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rPr>
      <w:color w:val="FF0000"/>
      <w:sz w:val="28"/>
      <w:szCs w:val="28"/>
    </w:rPr>
  </w:style>
  <w:style w:type="paragraph" w:customStyle="1" w:styleId="xl127">
    <w:name w:val="xl127"/>
    <w:basedOn w:val="a0"/>
    <w:rsid w:val="006072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8"/>
      <w:szCs w:val="28"/>
    </w:rPr>
  </w:style>
  <w:style w:type="paragraph" w:customStyle="1" w:styleId="xl128">
    <w:name w:val="xl128"/>
    <w:basedOn w:val="a0"/>
    <w:rsid w:val="00607295"/>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textAlignment w:val="center"/>
    </w:pPr>
    <w:rPr>
      <w:color w:val="FF0000"/>
      <w:sz w:val="28"/>
      <w:szCs w:val="28"/>
    </w:rPr>
  </w:style>
  <w:style w:type="paragraph" w:customStyle="1" w:styleId="xl129">
    <w:name w:val="xl129"/>
    <w:basedOn w:val="a0"/>
    <w:rsid w:val="00607295"/>
    <w:pPr>
      <w:pBdr>
        <w:top w:val="single" w:sz="4" w:space="0" w:color="auto"/>
      </w:pBdr>
      <w:spacing w:before="100" w:beforeAutospacing="1" w:after="100" w:afterAutospacing="1"/>
      <w:textAlignment w:val="center"/>
    </w:pPr>
    <w:rPr>
      <w:i/>
      <w:iCs/>
      <w:sz w:val="28"/>
      <w:szCs w:val="28"/>
    </w:rPr>
  </w:style>
  <w:style w:type="paragraph" w:customStyle="1" w:styleId="xl130">
    <w:name w:val="xl130"/>
    <w:basedOn w:val="a0"/>
    <w:rsid w:val="00607295"/>
    <w:pPr>
      <w:pBdr>
        <w:bottom w:val="single" w:sz="4" w:space="0" w:color="auto"/>
      </w:pBdr>
      <w:spacing w:before="100" w:beforeAutospacing="1" w:after="100" w:afterAutospacing="1"/>
      <w:jc w:val="center"/>
      <w:textAlignment w:val="center"/>
    </w:pPr>
    <w:rPr>
      <w:b/>
      <w:bCs/>
      <w:sz w:val="28"/>
      <w:szCs w:val="28"/>
    </w:rPr>
  </w:style>
  <w:style w:type="paragraph" w:customStyle="1" w:styleId="xl131">
    <w:name w:val="xl131"/>
    <w:basedOn w:val="a0"/>
    <w:rsid w:val="00607295"/>
    <w:pPr>
      <w:spacing w:before="100" w:beforeAutospacing="1" w:after="100" w:afterAutospacing="1"/>
      <w:jc w:val="center"/>
      <w:textAlignment w:val="center"/>
    </w:pPr>
    <w:rPr>
      <w:b/>
      <w:bCs/>
      <w:sz w:val="28"/>
      <w:szCs w:val="28"/>
    </w:rPr>
  </w:style>
  <w:style w:type="paragraph" w:customStyle="1" w:styleId="xl132">
    <w:name w:val="xl132"/>
    <w:basedOn w:val="a0"/>
    <w:rsid w:val="00607295"/>
    <w:pPr>
      <w:spacing w:before="100" w:beforeAutospacing="1" w:after="100" w:afterAutospacing="1"/>
      <w:jc w:val="center"/>
      <w:textAlignment w:val="center"/>
    </w:pPr>
    <w:rPr>
      <w:b/>
      <w:bCs/>
      <w:sz w:val="48"/>
      <w:szCs w:val="48"/>
    </w:rPr>
  </w:style>
  <w:style w:type="character" w:customStyle="1" w:styleId="ConsPlusNormal0">
    <w:name w:val="ConsPlusNormal Знак"/>
    <w:link w:val="ConsPlusNormal"/>
    <w:locked/>
    <w:rsid w:val="005D6ACF"/>
    <w:rPr>
      <w:rFonts w:ascii="Arial" w:hAnsi="Arial" w:cs="Arial"/>
      <w:sz w:val="20"/>
      <w:szCs w:val="20"/>
    </w:rPr>
  </w:style>
  <w:style w:type="paragraph" w:customStyle="1" w:styleId="paragraph">
    <w:name w:val="paragraph"/>
    <w:basedOn w:val="a0"/>
    <w:rsid w:val="005D6ACF"/>
  </w:style>
  <w:style w:type="character" w:customStyle="1" w:styleId="normaltextrun1">
    <w:name w:val="normaltextrun1"/>
    <w:rsid w:val="005D6ACF"/>
  </w:style>
  <w:style w:type="character" w:customStyle="1" w:styleId="27">
    <w:name w:val="Основной текст (2) + Курсив"/>
    <w:rsid w:val="005D6ACF"/>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paragraph" w:styleId="af9">
    <w:name w:val="No Spacing"/>
    <w:uiPriority w:val="1"/>
    <w:qFormat/>
    <w:rsid w:val="005D6ACF"/>
    <w:rPr>
      <w:rFonts w:ascii="Calibri" w:eastAsia="Calibri" w:hAnsi="Calibri"/>
      <w:lang w:eastAsia="en-US"/>
    </w:rPr>
  </w:style>
  <w:style w:type="paragraph" w:customStyle="1" w:styleId="ConsPlusTitle">
    <w:name w:val="ConsPlusTitle"/>
    <w:rsid w:val="005D6ACF"/>
    <w:pPr>
      <w:widowControl w:val="0"/>
      <w:autoSpaceDE w:val="0"/>
      <w:autoSpaceDN w:val="0"/>
    </w:pPr>
    <w:rPr>
      <w:rFonts w:ascii="Calibri" w:hAnsi="Calibri" w:cs="Calibri"/>
      <w:b/>
      <w:szCs w:val="20"/>
    </w:rPr>
  </w:style>
  <w:style w:type="paragraph" w:customStyle="1" w:styleId="ConsPlusTitlePage">
    <w:name w:val="ConsPlusTitlePage"/>
    <w:rsid w:val="005D6ACF"/>
    <w:pPr>
      <w:widowControl w:val="0"/>
      <w:autoSpaceDE w:val="0"/>
      <w:autoSpaceDN w:val="0"/>
    </w:pPr>
    <w:rPr>
      <w:rFonts w:ascii="Tahoma" w:hAnsi="Tahoma" w:cs="Tahoma"/>
      <w:sz w:val="20"/>
      <w:szCs w:val="20"/>
    </w:rPr>
  </w:style>
  <w:style w:type="table" w:customStyle="1" w:styleId="TableGrid">
    <w:name w:val="TableGrid"/>
    <w:rsid w:val="005D6ACF"/>
    <w:rPr>
      <w:rFonts w:asciiTheme="minorHAnsi" w:eastAsiaTheme="minorEastAsia" w:hAnsiTheme="minorHAnsi" w:cstheme="minorBidi"/>
    </w:rPr>
    <w:tblPr>
      <w:tblCellMar>
        <w:top w:w="0" w:type="dxa"/>
        <w:left w:w="0" w:type="dxa"/>
        <w:bottom w:w="0" w:type="dxa"/>
        <w:right w:w="0" w:type="dxa"/>
      </w:tblCellMar>
    </w:tblPr>
  </w:style>
  <w:style w:type="character" w:customStyle="1" w:styleId="FontStyle104">
    <w:name w:val="Font Style104"/>
    <w:rsid w:val="00935C40"/>
    <w:rPr>
      <w:rFonts w:ascii="Times New Roman" w:hAnsi="Times New Roman" w:cs="Times New Roman"/>
      <w:b/>
      <w:bCs/>
      <w:i/>
      <w:iCs/>
      <w:sz w:val="24"/>
      <w:szCs w:val="24"/>
    </w:rPr>
  </w:style>
  <w:style w:type="character" w:customStyle="1" w:styleId="blk">
    <w:name w:val="blk"/>
    <w:basedOn w:val="a1"/>
    <w:rsid w:val="00935C40"/>
  </w:style>
  <w:style w:type="character" w:customStyle="1" w:styleId="28">
    <w:name w:val="Основной текст (2)_"/>
    <w:link w:val="29"/>
    <w:rsid w:val="00935C40"/>
    <w:rPr>
      <w:sz w:val="28"/>
      <w:szCs w:val="28"/>
      <w:shd w:val="clear" w:color="auto" w:fill="FFFFFF"/>
    </w:rPr>
  </w:style>
  <w:style w:type="character" w:customStyle="1" w:styleId="84">
    <w:name w:val="Основной текст (8)_"/>
    <w:link w:val="85"/>
    <w:rsid w:val="00935C40"/>
    <w:rPr>
      <w:i/>
      <w:iCs/>
      <w:sz w:val="28"/>
      <w:szCs w:val="28"/>
      <w:shd w:val="clear" w:color="auto" w:fill="FFFFFF"/>
      <w:lang w:val="en-US" w:bidi="en-US"/>
    </w:rPr>
  </w:style>
  <w:style w:type="paragraph" w:customStyle="1" w:styleId="29">
    <w:name w:val="Основной текст (2)"/>
    <w:basedOn w:val="a0"/>
    <w:link w:val="28"/>
    <w:rsid w:val="00935C40"/>
    <w:pPr>
      <w:widowControl w:val="0"/>
      <w:shd w:val="clear" w:color="auto" w:fill="FFFFFF"/>
      <w:spacing w:before="300" w:line="317" w:lineRule="exact"/>
      <w:jc w:val="both"/>
    </w:pPr>
    <w:rPr>
      <w:sz w:val="28"/>
      <w:szCs w:val="28"/>
    </w:rPr>
  </w:style>
  <w:style w:type="paragraph" w:customStyle="1" w:styleId="85">
    <w:name w:val="Основной текст (8)"/>
    <w:basedOn w:val="a0"/>
    <w:link w:val="84"/>
    <w:rsid w:val="00935C40"/>
    <w:pPr>
      <w:widowControl w:val="0"/>
      <w:shd w:val="clear" w:color="auto" w:fill="FFFFFF"/>
      <w:spacing w:before="300" w:line="0" w:lineRule="atLeast"/>
      <w:jc w:val="both"/>
    </w:pPr>
    <w:rPr>
      <w:i/>
      <w:iCs/>
      <w:sz w:val="28"/>
      <w:szCs w:val="28"/>
      <w:lang w:val="en-US" w:bidi="en-US"/>
    </w:rPr>
  </w:style>
  <w:style w:type="character" w:customStyle="1" w:styleId="13Exact">
    <w:name w:val="Основной текст (13) Exact"/>
    <w:rsid w:val="00935C40"/>
    <w:rPr>
      <w:rFonts w:ascii="Constantia" w:eastAsia="Constantia" w:hAnsi="Constantia" w:cs="Constantia"/>
      <w:b w:val="0"/>
      <w:bCs w:val="0"/>
      <w:i/>
      <w:iCs/>
      <w:smallCaps w:val="0"/>
      <w:strike w:val="0"/>
      <w:sz w:val="18"/>
      <w:szCs w:val="18"/>
      <w:u w:val="none"/>
    </w:rPr>
  </w:style>
  <w:style w:type="character" w:customStyle="1" w:styleId="13TimesNewRomanExact">
    <w:name w:val="Основной текст (13) + Times New Roman Exact"/>
    <w:rsid w:val="00935C40"/>
    <w:rPr>
      <w:rFonts w:ascii="Times New Roman" w:eastAsia="Times New Roman" w:hAnsi="Times New Roman" w:cs="Times New Roman"/>
      <w:b w:val="0"/>
      <w:bCs w:val="0"/>
      <w:i/>
      <w:iCs/>
      <w:smallCaps w:val="0"/>
      <w:strike w:val="0"/>
      <w:sz w:val="18"/>
      <w:szCs w:val="18"/>
      <w:u w:val="none"/>
      <w:shd w:val="clear" w:color="auto" w:fill="FFFFFF"/>
    </w:rPr>
  </w:style>
  <w:style w:type="character" w:customStyle="1" w:styleId="211pt">
    <w:name w:val="Основной текст (2) + 11 pt;Полужирный;Курсив;Малые прописные"/>
    <w:rsid w:val="00935C40"/>
    <w:rPr>
      <w:rFonts w:ascii="Times New Roman" w:eastAsia="Times New Roman" w:hAnsi="Times New Roman" w:cs="Times New Roman"/>
      <w:b/>
      <w:bCs/>
      <w:i/>
      <w:iCs/>
      <w:smallCaps/>
      <w:strike w:val="0"/>
      <w:color w:val="000000"/>
      <w:spacing w:val="0"/>
      <w:w w:val="100"/>
      <w:position w:val="0"/>
      <w:sz w:val="22"/>
      <w:szCs w:val="22"/>
      <w:u w:val="none"/>
      <w:lang w:val="en-US" w:eastAsia="en-US" w:bidi="en-US"/>
    </w:rPr>
  </w:style>
  <w:style w:type="character" w:customStyle="1" w:styleId="140">
    <w:name w:val="Основной текст (14)_"/>
    <w:link w:val="141"/>
    <w:rsid w:val="00935C40"/>
    <w:rPr>
      <w:rFonts w:ascii="Constantia" w:eastAsia="Constantia" w:hAnsi="Constantia" w:cs="Constantia"/>
      <w:i/>
      <w:iCs/>
      <w:sz w:val="18"/>
      <w:szCs w:val="18"/>
      <w:shd w:val="clear" w:color="auto" w:fill="FFFFFF"/>
    </w:rPr>
  </w:style>
  <w:style w:type="paragraph" w:customStyle="1" w:styleId="141">
    <w:name w:val="Основной текст (14)"/>
    <w:basedOn w:val="a0"/>
    <w:link w:val="140"/>
    <w:rsid w:val="00935C40"/>
    <w:pPr>
      <w:widowControl w:val="0"/>
      <w:shd w:val="clear" w:color="auto" w:fill="FFFFFF"/>
      <w:spacing w:before="60" w:line="0" w:lineRule="atLeast"/>
      <w:ind w:firstLine="700"/>
      <w:jc w:val="both"/>
    </w:pPr>
    <w:rPr>
      <w:rFonts w:ascii="Constantia" w:eastAsia="Constantia" w:hAnsi="Constantia" w:cs="Constantia"/>
      <w:i/>
      <w:iCs/>
      <w:sz w:val="18"/>
      <w:szCs w:val="18"/>
    </w:rPr>
  </w:style>
  <w:style w:type="character" w:customStyle="1" w:styleId="2Exact">
    <w:name w:val="Основной текст (2) Exact"/>
    <w:rsid w:val="00935C40"/>
    <w:rPr>
      <w:rFonts w:ascii="Times New Roman" w:eastAsia="Times New Roman" w:hAnsi="Times New Roman" w:cs="Times New Roman"/>
      <w:b w:val="0"/>
      <w:bCs w:val="0"/>
      <w:i w:val="0"/>
      <w:iCs w:val="0"/>
      <w:smallCaps w:val="0"/>
      <w:strike w:val="0"/>
      <w:sz w:val="28"/>
      <w:szCs w:val="28"/>
      <w:u w:val="none"/>
    </w:rPr>
  </w:style>
  <w:style w:type="character" w:customStyle="1" w:styleId="14Exact">
    <w:name w:val="Основной текст (14) Exact"/>
    <w:rsid w:val="00935C40"/>
    <w:rPr>
      <w:rFonts w:ascii="Constantia" w:eastAsia="Constantia" w:hAnsi="Constantia" w:cs="Constantia"/>
      <w:b w:val="0"/>
      <w:bCs w:val="0"/>
      <w:i/>
      <w:iCs/>
      <w:smallCaps w:val="0"/>
      <w:strike w:val="0"/>
      <w:sz w:val="18"/>
      <w:szCs w:val="18"/>
      <w:u w:val="none"/>
    </w:rPr>
  </w:style>
  <w:style w:type="paragraph" w:customStyle="1" w:styleId="TimesNewRoman14825">
    <w:name w:val="Стиль Times New Roman 14 пт По центру Первая строка:  825 см М..."/>
    <w:basedOn w:val="a0"/>
    <w:rsid w:val="00935C40"/>
    <w:pPr>
      <w:spacing w:after="200"/>
      <w:ind w:firstLine="4680"/>
      <w:jc w:val="center"/>
    </w:pPr>
    <w:rPr>
      <w:sz w:val="28"/>
      <w:szCs w:val="20"/>
      <w:lang w:eastAsia="en-US"/>
    </w:rPr>
  </w:style>
  <w:style w:type="paragraph" w:customStyle="1" w:styleId="16">
    <w:name w:val="Знак1"/>
    <w:basedOn w:val="a0"/>
    <w:rsid w:val="00935C40"/>
    <w:pPr>
      <w:spacing w:before="100" w:beforeAutospacing="1" w:after="100" w:afterAutospacing="1"/>
    </w:pPr>
    <w:rPr>
      <w:rFonts w:ascii="Tahoma" w:hAnsi="Tahoma"/>
      <w:sz w:val="20"/>
      <w:szCs w:val="20"/>
      <w:lang w:val="en-US" w:eastAsia="en-US"/>
    </w:rPr>
  </w:style>
  <w:style w:type="paragraph" w:customStyle="1" w:styleId="Default">
    <w:name w:val="Default"/>
    <w:rsid w:val="00935C40"/>
    <w:pPr>
      <w:autoSpaceDE w:val="0"/>
      <w:autoSpaceDN w:val="0"/>
      <w:adjustRightInd w:val="0"/>
    </w:pPr>
    <w:rPr>
      <w:color w:val="000000"/>
      <w:sz w:val="24"/>
      <w:szCs w:val="24"/>
    </w:rPr>
  </w:style>
  <w:style w:type="paragraph" w:customStyle="1" w:styleId="17">
    <w:name w:val="Обычный1"/>
    <w:rsid w:val="00935C40"/>
    <w:pPr>
      <w:widowControl w:val="0"/>
      <w:spacing w:before="60" w:line="280" w:lineRule="auto"/>
      <w:ind w:left="680" w:hanging="700"/>
      <w:jc w:val="both"/>
    </w:pPr>
    <w:rPr>
      <w:b/>
      <w:snapToGrid w:val="0"/>
      <w:sz w:val="20"/>
      <w:szCs w:val="20"/>
    </w:rPr>
  </w:style>
  <w:style w:type="character" w:customStyle="1" w:styleId="2a">
    <w:name w:val="Основной текст (2) + Курсив;Малые прописные"/>
    <w:rsid w:val="00935C40"/>
    <w:rPr>
      <w:rFonts w:ascii="Times New Roman" w:eastAsia="Times New Roman" w:hAnsi="Times New Roman" w:cs="Times New Roman"/>
      <w:i/>
      <w:iCs/>
      <w:smallCaps/>
      <w:color w:val="000000"/>
      <w:spacing w:val="0"/>
      <w:w w:val="100"/>
      <w:position w:val="0"/>
      <w:sz w:val="28"/>
      <w:szCs w:val="28"/>
      <w:shd w:val="clear" w:color="auto" w:fill="FFFFFF"/>
      <w:lang w:val="en-US" w:eastAsia="en-US" w:bidi="en-US"/>
    </w:rPr>
  </w:style>
  <w:style w:type="character" w:customStyle="1" w:styleId="29pt">
    <w:name w:val="Основной текст (2) + 9 pt"/>
    <w:rsid w:val="00935C40"/>
    <w:rPr>
      <w:rFonts w:ascii="Times New Roman" w:eastAsia="Times New Roman" w:hAnsi="Times New Roman" w:cs="Times New Roman"/>
      <w:color w:val="000000"/>
      <w:spacing w:val="0"/>
      <w:w w:val="100"/>
      <w:position w:val="0"/>
      <w:sz w:val="18"/>
      <w:szCs w:val="18"/>
      <w:shd w:val="clear" w:color="auto" w:fill="FFFFFF"/>
      <w:lang w:val="ru-RU" w:eastAsia="ru-RU" w:bidi="ru-RU"/>
    </w:rPr>
  </w:style>
  <w:style w:type="paragraph" w:customStyle="1" w:styleId="2b">
    <w:name w:val="Обычный2"/>
    <w:rsid w:val="00CE1891"/>
    <w:pPr>
      <w:widowControl w:val="0"/>
      <w:spacing w:before="60" w:line="280" w:lineRule="auto"/>
      <w:ind w:left="680" w:hanging="700"/>
      <w:jc w:val="both"/>
    </w:pPr>
    <w:rPr>
      <w:b/>
      <w:snapToGrid w:val="0"/>
      <w:sz w:val="20"/>
      <w:szCs w:val="20"/>
    </w:rPr>
  </w:style>
  <w:style w:type="character" w:customStyle="1" w:styleId="714pt">
    <w:name w:val="Основной текст (7) + 14 pt;Не курсив"/>
    <w:rsid w:val="00CE1891"/>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72">
    <w:name w:val="Основной текст (7)_"/>
    <w:link w:val="73"/>
    <w:rsid w:val="00CE1891"/>
    <w:rPr>
      <w:i/>
      <w:iCs/>
      <w:sz w:val="18"/>
      <w:szCs w:val="18"/>
      <w:shd w:val="clear" w:color="auto" w:fill="FFFFFF"/>
    </w:rPr>
  </w:style>
  <w:style w:type="character" w:customStyle="1" w:styleId="29pt0">
    <w:name w:val="Основной текст (2) + 9 pt;Курсив;Малые прописные"/>
    <w:rsid w:val="00CE1891"/>
    <w:rPr>
      <w:rFonts w:ascii="Times New Roman" w:eastAsia="Times New Roman" w:hAnsi="Times New Roman" w:cs="Times New Roman"/>
      <w:b w:val="0"/>
      <w:bCs w:val="0"/>
      <w:i/>
      <w:iCs/>
      <w:smallCaps/>
      <w:strike w:val="0"/>
      <w:color w:val="000000"/>
      <w:spacing w:val="0"/>
      <w:w w:val="100"/>
      <w:position w:val="0"/>
      <w:sz w:val="18"/>
      <w:szCs w:val="18"/>
      <w:u w:val="none"/>
      <w:shd w:val="clear" w:color="auto" w:fill="FFFFFF"/>
      <w:lang w:val="ru-RU" w:eastAsia="ru-RU" w:bidi="ru-RU"/>
    </w:rPr>
  </w:style>
  <w:style w:type="character" w:customStyle="1" w:styleId="29pt1">
    <w:name w:val="Основной текст (2) + 9 pt;Курсив"/>
    <w:rsid w:val="00CE1891"/>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paragraph" w:customStyle="1" w:styleId="73">
    <w:name w:val="Основной текст (7)"/>
    <w:basedOn w:val="a0"/>
    <w:link w:val="72"/>
    <w:rsid w:val="00CE1891"/>
    <w:pPr>
      <w:widowControl w:val="0"/>
      <w:shd w:val="clear" w:color="auto" w:fill="FFFFFF"/>
      <w:spacing w:before="360" w:after="360" w:line="0" w:lineRule="atLeast"/>
      <w:ind w:hanging="400"/>
      <w:jc w:val="both"/>
    </w:pPr>
    <w:rPr>
      <w:i/>
      <w:iCs/>
      <w:sz w:val="18"/>
      <w:szCs w:val="18"/>
    </w:rPr>
  </w:style>
  <w:style w:type="character" w:customStyle="1" w:styleId="105pt">
    <w:name w:val="Основной текст (10) + 5 pt;Не курсив"/>
    <w:rsid w:val="00CE1891"/>
    <w:rPr>
      <w:rFonts w:ascii="Times New Roman" w:eastAsia="Times New Roman" w:hAnsi="Times New Roman" w:cs="Times New Roman"/>
      <w:b w:val="0"/>
      <w:bCs w:val="0"/>
      <w:i/>
      <w:iCs/>
      <w:smallCaps w:val="0"/>
      <w:strike w:val="0"/>
      <w:color w:val="000000"/>
      <w:spacing w:val="0"/>
      <w:w w:val="100"/>
      <w:position w:val="0"/>
      <w:sz w:val="10"/>
      <w:szCs w:val="10"/>
      <w:u w:val="none"/>
      <w:lang w:val="ru-RU" w:eastAsia="ru-RU" w:bidi="ru-RU"/>
    </w:rPr>
  </w:style>
  <w:style w:type="table" w:customStyle="1" w:styleId="160">
    <w:name w:val="Сетка таблицы16"/>
    <w:basedOn w:val="a2"/>
    <w:next w:val="a6"/>
    <w:uiPriority w:val="59"/>
    <w:rsid w:val="0055491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2"/>
    <w:next w:val="a6"/>
    <w:uiPriority w:val="59"/>
    <w:rsid w:val="0055491A"/>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8"/>
    <w:basedOn w:val="a2"/>
    <w:next w:val="a6"/>
    <w:uiPriority w:val="59"/>
    <w:rsid w:val="0055491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9"/>
    <w:basedOn w:val="a2"/>
    <w:next w:val="a6"/>
    <w:uiPriority w:val="59"/>
    <w:rsid w:val="0055491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2"/>
    <w:next w:val="a6"/>
    <w:uiPriority w:val="59"/>
    <w:rsid w:val="0055491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2"/>
    <w:next w:val="a6"/>
    <w:uiPriority w:val="59"/>
    <w:rsid w:val="0055491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6"/>
    <w:uiPriority w:val="59"/>
    <w:rsid w:val="0055491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6"/>
    <w:uiPriority w:val="59"/>
    <w:rsid w:val="0055491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2"/>
    <w:next w:val="a6"/>
    <w:uiPriority w:val="59"/>
    <w:rsid w:val="0055491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2"/>
    <w:next w:val="a6"/>
    <w:uiPriority w:val="59"/>
    <w:rsid w:val="0055491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2"/>
    <w:next w:val="a6"/>
    <w:uiPriority w:val="59"/>
    <w:rsid w:val="0055491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6"/>
    <w:uiPriority w:val="59"/>
    <w:rsid w:val="0055491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2"/>
    <w:next w:val="a6"/>
    <w:uiPriority w:val="59"/>
    <w:rsid w:val="0055491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2"/>
    <w:next w:val="a6"/>
    <w:uiPriority w:val="59"/>
    <w:rsid w:val="0055491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2"/>
    <w:next w:val="a6"/>
    <w:uiPriority w:val="59"/>
    <w:rsid w:val="0055491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2"/>
    <w:next w:val="a6"/>
    <w:uiPriority w:val="59"/>
    <w:rsid w:val="0055491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2"/>
    <w:next w:val="a6"/>
    <w:uiPriority w:val="59"/>
    <w:rsid w:val="0055491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6"/>
    <w:uiPriority w:val="59"/>
    <w:rsid w:val="0055491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2"/>
    <w:next w:val="a6"/>
    <w:uiPriority w:val="59"/>
    <w:rsid w:val="0055491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2"/>
    <w:next w:val="a6"/>
    <w:uiPriority w:val="59"/>
    <w:rsid w:val="0055491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2"/>
    <w:next w:val="a6"/>
    <w:uiPriority w:val="59"/>
    <w:rsid w:val="0055491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2"/>
    <w:next w:val="a6"/>
    <w:uiPriority w:val="59"/>
    <w:rsid w:val="0055491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8"/>
    <w:basedOn w:val="a2"/>
    <w:next w:val="a6"/>
    <w:uiPriority w:val="59"/>
    <w:rsid w:val="0055491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9"/>
    <w:basedOn w:val="a2"/>
    <w:next w:val="a6"/>
    <w:uiPriority w:val="59"/>
    <w:rsid w:val="0055491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Сетка таблицы40"/>
    <w:basedOn w:val="a2"/>
    <w:next w:val="a6"/>
    <w:uiPriority w:val="59"/>
    <w:rsid w:val="0055491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2"/>
    <w:next w:val="a6"/>
    <w:uiPriority w:val="59"/>
    <w:rsid w:val="0055491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6"/>
    <w:uiPriority w:val="59"/>
    <w:rsid w:val="0055491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2"/>
    <w:next w:val="a6"/>
    <w:uiPriority w:val="59"/>
    <w:rsid w:val="0055491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2"/>
    <w:next w:val="a6"/>
    <w:uiPriority w:val="59"/>
    <w:rsid w:val="0055491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2"/>
    <w:next w:val="a6"/>
    <w:uiPriority w:val="59"/>
    <w:rsid w:val="0055491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2"/>
    <w:next w:val="a6"/>
    <w:uiPriority w:val="59"/>
    <w:rsid w:val="0055491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2"/>
    <w:next w:val="a6"/>
    <w:uiPriority w:val="59"/>
    <w:rsid w:val="0055491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2"/>
    <w:next w:val="a6"/>
    <w:uiPriority w:val="59"/>
    <w:rsid w:val="0055491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9"/>
    <w:basedOn w:val="a2"/>
    <w:next w:val="a6"/>
    <w:uiPriority w:val="59"/>
    <w:rsid w:val="0055491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0">
    <w:name w:val="Сетка таблицы50"/>
    <w:basedOn w:val="a2"/>
    <w:next w:val="a6"/>
    <w:uiPriority w:val="59"/>
    <w:rsid w:val="0055491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2"/>
    <w:next w:val="a6"/>
    <w:uiPriority w:val="59"/>
    <w:rsid w:val="0055491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2"/>
    <w:basedOn w:val="a2"/>
    <w:next w:val="a6"/>
    <w:uiPriority w:val="59"/>
    <w:rsid w:val="0055491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2"/>
    <w:next w:val="a6"/>
    <w:uiPriority w:val="59"/>
    <w:rsid w:val="0055491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2"/>
    <w:next w:val="a6"/>
    <w:uiPriority w:val="59"/>
    <w:rsid w:val="0055491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2"/>
    <w:next w:val="a6"/>
    <w:uiPriority w:val="59"/>
    <w:rsid w:val="0055491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2"/>
    <w:next w:val="a6"/>
    <w:uiPriority w:val="59"/>
    <w:rsid w:val="0055491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2"/>
    <w:next w:val="a6"/>
    <w:uiPriority w:val="59"/>
    <w:rsid w:val="0055491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Сетка таблицы58"/>
    <w:basedOn w:val="a2"/>
    <w:next w:val="a6"/>
    <w:uiPriority w:val="59"/>
    <w:rsid w:val="0055491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9"/>
    <w:basedOn w:val="a2"/>
    <w:next w:val="a6"/>
    <w:uiPriority w:val="59"/>
    <w:rsid w:val="0055491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0">
    <w:name w:val="Сетка таблицы60"/>
    <w:basedOn w:val="a2"/>
    <w:next w:val="a6"/>
    <w:uiPriority w:val="59"/>
    <w:rsid w:val="0055491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next w:val="a6"/>
    <w:uiPriority w:val="59"/>
    <w:rsid w:val="0055491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2"/>
    <w:next w:val="a6"/>
    <w:uiPriority w:val="59"/>
    <w:rsid w:val="0055491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2"/>
    <w:next w:val="a6"/>
    <w:uiPriority w:val="59"/>
    <w:rsid w:val="0055491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2"/>
    <w:next w:val="a6"/>
    <w:uiPriority w:val="59"/>
    <w:rsid w:val="0055491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2"/>
    <w:next w:val="a6"/>
    <w:uiPriority w:val="59"/>
    <w:rsid w:val="0055491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2"/>
    <w:next w:val="a6"/>
    <w:uiPriority w:val="59"/>
    <w:rsid w:val="0055491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7"/>
    <w:basedOn w:val="a2"/>
    <w:next w:val="a6"/>
    <w:uiPriority w:val="59"/>
    <w:rsid w:val="0055491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8"/>
    <w:basedOn w:val="a2"/>
    <w:next w:val="a6"/>
    <w:uiPriority w:val="59"/>
    <w:rsid w:val="0055491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
    <w:name w:val="Сетка таблицы69"/>
    <w:basedOn w:val="a2"/>
    <w:next w:val="a6"/>
    <w:uiPriority w:val="59"/>
    <w:rsid w:val="0055491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annotation reference"/>
    <w:basedOn w:val="a1"/>
    <w:uiPriority w:val="99"/>
    <w:semiHidden/>
    <w:unhideWhenUsed/>
    <w:locked/>
    <w:rsid w:val="0055491A"/>
    <w:rPr>
      <w:sz w:val="16"/>
      <w:szCs w:val="16"/>
    </w:rPr>
  </w:style>
  <w:style w:type="paragraph" w:styleId="afb">
    <w:name w:val="annotation text"/>
    <w:basedOn w:val="a0"/>
    <w:link w:val="afc"/>
    <w:uiPriority w:val="99"/>
    <w:semiHidden/>
    <w:unhideWhenUsed/>
    <w:locked/>
    <w:rsid w:val="0055491A"/>
    <w:rPr>
      <w:sz w:val="20"/>
      <w:szCs w:val="20"/>
    </w:rPr>
  </w:style>
  <w:style w:type="character" w:customStyle="1" w:styleId="afc">
    <w:name w:val="Текст примечания Знак"/>
    <w:basedOn w:val="a1"/>
    <w:link w:val="afb"/>
    <w:uiPriority w:val="99"/>
    <w:semiHidden/>
    <w:rsid w:val="0055491A"/>
    <w:rPr>
      <w:sz w:val="20"/>
      <w:szCs w:val="20"/>
    </w:rPr>
  </w:style>
  <w:style w:type="paragraph" w:styleId="afd">
    <w:name w:val="annotation subject"/>
    <w:basedOn w:val="afb"/>
    <w:next w:val="afb"/>
    <w:link w:val="afe"/>
    <w:uiPriority w:val="99"/>
    <w:semiHidden/>
    <w:unhideWhenUsed/>
    <w:locked/>
    <w:rsid w:val="0055491A"/>
    <w:rPr>
      <w:b/>
      <w:bCs/>
    </w:rPr>
  </w:style>
  <w:style w:type="character" w:customStyle="1" w:styleId="afe">
    <w:name w:val="Тема примечания Знак"/>
    <w:basedOn w:val="afc"/>
    <w:link w:val="afd"/>
    <w:uiPriority w:val="99"/>
    <w:semiHidden/>
    <w:rsid w:val="0055491A"/>
    <w:rPr>
      <w:b/>
      <w:bCs/>
      <w:sz w:val="20"/>
      <w:szCs w:val="20"/>
    </w:rPr>
  </w:style>
  <w:style w:type="paragraph" w:styleId="aff">
    <w:name w:val="Revision"/>
    <w:hidden/>
    <w:uiPriority w:val="99"/>
    <w:semiHidden/>
    <w:rsid w:val="0055491A"/>
    <w:rPr>
      <w:sz w:val="24"/>
      <w:szCs w:val="24"/>
    </w:rPr>
  </w:style>
  <w:style w:type="table" w:customStyle="1" w:styleId="700">
    <w:name w:val="Сетка таблицы70"/>
    <w:basedOn w:val="a2"/>
    <w:next w:val="a6"/>
    <w:uiPriority w:val="39"/>
    <w:rsid w:val="0055491A"/>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Emphasis"/>
    <w:basedOn w:val="a1"/>
    <w:uiPriority w:val="20"/>
    <w:qFormat/>
    <w:locked/>
    <w:rsid w:val="0055491A"/>
    <w:rPr>
      <w:i/>
      <w:iCs/>
    </w:rPr>
  </w:style>
  <w:style w:type="numbering" w:customStyle="1" w:styleId="1a">
    <w:name w:val="Нет списка1"/>
    <w:next w:val="a3"/>
    <w:uiPriority w:val="99"/>
    <w:semiHidden/>
    <w:unhideWhenUsed/>
    <w:rsid w:val="00210BF6"/>
  </w:style>
  <w:style w:type="table" w:customStyle="1" w:styleId="710">
    <w:name w:val="Сетка таблицы71"/>
    <w:basedOn w:val="a2"/>
    <w:next w:val="a6"/>
    <w:uiPriority w:val="59"/>
    <w:rsid w:val="00210BF6"/>
    <w:rPr>
      <w:rFonts w:ascii="Calibri" w:eastAsia="Calibri" w:hAnsi="Calibri" w:cs="Cordia New"/>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2"/>
    <w:next w:val="a6"/>
    <w:uiPriority w:val="59"/>
    <w:rsid w:val="00DC5A29"/>
    <w:rPr>
      <w:rFonts w:ascii="Calibri" w:eastAsia="Calibri" w:hAnsi="Calibri" w:cs="Cordia New"/>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0"/>
    <w:rsid w:val="007F6FC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6085">
      <w:bodyDiv w:val="1"/>
      <w:marLeft w:val="0"/>
      <w:marRight w:val="0"/>
      <w:marTop w:val="0"/>
      <w:marBottom w:val="0"/>
      <w:divBdr>
        <w:top w:val="none" w:sz="0" w:space="0" w:color="auto"/>
        <w:left w:val="none" w:sz="0" w:space="0" w:color="auto"/>
        <w:bottom w:val="none" w:sz="0" w:space="0" w:color="auto"/>
        <w:right w:val="none" w:sz="0" w:space="0" w:color="auto"/>
      </w:divBdr>
    </w:div>
    <w:div w:id="290408691">
      <w:bodyDiv w:val="1"/>
      <w:marLeft w:val="0"/>
      <w:marRight w:val="0"/>
      <w:marTop w:val="0"/>
      <w:marBottom w:val="0"/>
      <w:divBdr>
        <w:top w:val="none" w:sz="0" w:space="0" w:color="auto"/>
        <w:left w:val="none" w:sz="0" w:space="0" w:color="auto"/>
        <w:bottom w:val="none" w:sz="0" w:space="0" w:color="auto"/>
        <w:right w:val="none" w:sz="0" w:space="0" w:color="auto"/>
      </w:divBdr>
    </w:div>
    <w:div w:id="299925038">
      <w:bodyDiv w:val="1"/>
      <w:marLeft w:val="0"/>
      <w:marRight w:val="0"/>
      <w:marTop w:val="0"/>
      <w:marBottom w:val="0"/>
      <w:divBdr>
        <w:top w:val="none" w:sz="0" w:space="0" w:color="auto"/>
        <w:left w:val="none" w:sz="0" w:space="0" w:color="auto"/>
        <w:bottom w:val="none" w:sz="0" w:space="0" w:color="auto"/>
        <w:right w:val="none" w:sz="0" w:space="0" w:color="auto"/>
      </w:divBdr>
    </w:div>
    <w:div w:id="439110051">
      <w:bodyDiv w:val="1"/>
      <w:marLeft w:val="0"/>
      <w:marRight w:val="0"/>
      <w:marTop w:val="0"/>
      <w:marBottom w:val="0"/>
      <w:divBdr>
        <w:top w:val="none" w:sz="0" w:space="0" w:color="auto"/>
        <w:left w:val="none" w:sz="0" w:space="0" w:color="auto"/>
        <w:bottom w:val="none" w:sz="0" w:space="0" w:color="auto"/>
        <w:right w:val="none" w:sz="0" w:space="0" w:color="auto"/>
      </w:divBdr>
    </w:div>
    <w:div w:id="446893199">
      <w:bodyDiv w:val="1"/>
      <w:marLeft w:val="0"/>
      <w:marRight w:val="0"/>
      <w:marTop w:val="0"/>
      <w:marBottom w:val="0"/>
      <w:divBdr>
        <w:top w:val="none" w:sz="0" w:space="0" w:color="auto"/>
        <w:left w:val="none" w:sz="0" w:space="0" w:color="auto"/>
        <w:bottom w:val="none" w:sz="0" w:space="0" w:color="auto"/>
        <w:right w:val="none" w:sz="0" w:space="0" w:color="auto"/>
      </w:divBdr>
    </w:div>
    <w:div w:id="454065718">
      <w:marLeft w:val="0"/>
      <w:marRight w:val="0"/>
      <w:marTop w:val="0"/>
      <w:marBottom w:val="0"/>
      <w:divBdr>
        <w:top w:val="none" w:sz="0" w:space="0" w:color="auto"/>
        <w:left w:val="none" w:sz="0" w:space="0" w:color="auto"/>
        <w:bottom w:val="none" w:sz="0" w:space="0" w:color="auto"/>
        <w:right w:val="none" w:sz="0" w:space="0" w:color="auto"/>
      </w:divBdr>
    </w:div>
    <w:div w:id="454065719">
      <w:marLeft w:val="0"/>
      <w:marRight w:val="0"/>
      <w:marTop w:val="0"/>
      <w:marBottom w:val="0"/>
      <w:divBdr>
        <w:top w:val="none" w:sz="0" w:space="0" w:color="auto"/>
        <w:left w:val="none" w:sz="0" w:space="0" w:color="auto"/>
        <w:bottom w:val="none" w:sz="0" w:space="0" w:color="auto"/>
        <w:right w:val="none" w:sz="0" w:space="0" w:color="auto"/>
      </w:divBdr>
    </w:div>
    <w:div w:id="454065720">
      <w:marLeft w:val="0"/>
      <w:marRight w:val="0"/>
      <w:marTop w:val="0"/>
      <w:marBottom w:val="0"/>
      <w:divBdr>
        <w:top w:val="none" w:sz="0" w:space="0" w:color="auto"/>
        <w:left w:val="none" w:sz="0" w:space="0" w:color="auto"/>
        <w:bottom w:val="none" w:sz="0" w:space="0" w:color="auto"/>
        <w:right w:val="none" w:sz="0" w:space="0" w:color="auto"/>
      </w:divBdr>
    </w:div>
    <w:div w:id="454065721">
      <w:marLeft w:val="0"/>
      <w:marRight w:val="0"/>
      <w:marTop w:val="0"/>
      <w:marBottom w:val="0"/>
      <w:divBdr>
        <w:top w:val="none" w:sz="0" w:space="0" w:color="auto"/>
        <w:left w:val="none" w:sz="0" w:space="0" w:color="auto"/>
        <w:bottom w:val="none" w:sz="0" w:space="0" w:color="auto"/>
        <w:right w:val="none" w:sz="0" w:space="0" w:color="auto"/>
      </w:divBdr>
    </w:div>
    <w:div w:id="454065722">
      <w:marLeft w:val="0"/>
      <w:marRight w:val="0"/>
      <w:marTop w:val="0"/>
      <w:marBottom w:val="0"/>
      <w:divBdr>
        <w:top w:val="none" w:sz="0" w:space="0" w:color="auto"/>
        <w:left w:val="none" w:sz="0" w:space="0" w:color="auto"/>
        <w:bottom w:val="none" w:sz="0" w:space="0" w:color="auto"/>
        <w:right w:val="none" w:sz="0" w:space="0" w:color="auto"/>
      </w:divBdr>
    </w:div>
    <w:div w:id="454065723">
      <w:marLeft w:val="0"/>
      <w:marRight w:val="0"/>
      <w:marTop w:val="0"/>
      <w:marBottom w:val="0"/>
      <w:divBdr>
        <w:top w:val="none" w:sz="0" w:space="0" w:color="auto"/>
        <w:left w:val="none" w:sz="0" w:space="0" w:color="auto"/>
        <w:bottom w:val="none" w:sz="0" w:space="0" w:color="auto"/>
        <w:right w:val="none" w:sz="0" w:space="0" w:color="auto"/>
      </w:divBdr>
    </w:div>
    <w:div w:id="454065724">
      <w:marLeft w:val="0"/>
      <w:marRight w:val="0"/>
      <w:marTop w:val="0"/>
      <w:marBottom w:val="0"/>
      <w:divBdr>
        <w:top w:val="none" w:sz="0" w:space="0" w:color="auto"/>
        <w:left w:val="none" w:sz="0" w:space="0" w:color="auto"/>
        <w:bottom w:val="none" w:sz="0" w:space="0" w:color="auto"/>
        <w:right w:val="none" w:sz="0" w:space="0" w:color="auto"/>
      </w:divBdr>
    </w:div>
    <w:div w:id="454065725">
      <w:marLeft w:val="0"/>
      <w:marRight w:val="0"/>
      <w:marTop w:val="0"/>
      <w:marBottom w:val="0"/>
      <w:divBdr>
        <w:top w:val="none" w:sz="0" w:space="0" w:color="auto"/>
        <w:left w:val="none" w:sz="0" w:space="0" w:color="auto"/>
        <w:bottom w:val="none" w:sz="0" w:space="0" w:color="auto"/>
        <w:right w:val="none" w:sz="0" w:space="0" w:color="auto"/>
      </w:divBdr>
    </w:div>
    <w:div w:id="454065726">
      <w:marLeft w:val="0"/>
      <w:marRight w:val="0"/>
      <w:marTop w:val="0"/>
      <w:marBottom w:val="0"/>
      <w:divBdr>
        <w:top w:val="none" w:sz="0" w:space="0" w:color="auto"/>
        <w:left w:val="none" w:sz="0" w:space="0" w:color="auto"/>
        <w:bottom w:val="none" w:sz="0" w:space="0" w:color="auto"/>
        <w:right w:val="none" w:sz="0" w:space="0" w:color="auto"/>
      </w:divBdr>
    </w:div>
    <w:div w:id="454065727">
      <w:marLeft w:val="0"/>
      <w:marRight w:val="0"/>
      <w:marTop w:val="0"/>
      <w:marBottom w:val="0"/>
      <w:divBdr>
        <w:top w:val="none" w:sz="0" w:space="0" w:color="auto"/>
        <w:left w:val="none" w:sz="0" w:space="0" w:color="auto"/>
        <w:bottom w:val="none" w:sz="0" w:space="0" w:color="auto"/>
        <w:right w:val="none" w:sz="0" w:space="0" w:color="auto"/>
      </w:divBdr>
    </w:div>
    <w:div w:id="454065728">
      <w:marLeft w:val="0"/>
      <w:marRight w:val="0"/>
      <w:marTop w:val="0"/>
      <w:marBottom w:val="0"/>
      <w:divBdr>
        <w:top w:val="none" w:sz="0" w:space="0" w:color="auto"/>
        <w:left w:val="none" w:sz="0" w:space="0" w:color="auto"/>
        <w:bottom w:val="none" w:sz="0" w:space="0" w:color="auto"/>
        <w:right w:val="none" w:sz="0" w:space="0" w:color="auto"/>
      </w:divBdr>
    </w:div>
    <w:div w:id="454065729">
      <w:marLeft w:val="0"/>
      <w:marRight w:val="0"/>
      <w:marTop w:val="0"/>
      <w:marBottom w:val="0"/>
      <w:divBdr>
        <w:top w:val="none" w:sz="0" w:space="0" w:color="auto"/>
        <w:left w:val="none" w:sz="0" w:space="0" w:color="auto"/>
        <w:bottom w:val="none" w:sz="0" w:space="0" w:color="auto"/>
        <w:right w:val="none" w:sz="0" w:space="0" w:color="auto"/>
      </w:divBdr>
    </w:div>
    <w:div w:id="454065730">
      <w:marLeft w:val="0"/>
      <w:marRight w:val="0"/>
      <w:marTop w:val="0"/>
      <w:marBottom w:val="0"/>
      <w:divBdr>
        <w:top w:val="none" w:sz="0" w:space="0" w:color="auto"/>
        <w:left w:val="none" w:sz="0" w:space="0" w:color="auto"/>
        <w:bottom w:val="none" w:sz="0" w:space="0" w:color="auto"/>
        <w:right w:val="none" w:sz="0" w:space="0" w:color="auto"/>
      </w:divBdr>
    </w:div>
    <w:div w:id="454065731">
      <w:marLeft w:val="0"/>
      <w:marRight w:val="0"/>
      <w:marTop w:val="0"/>
      <w:marBottom w:val="0"/>
      <w:divBdr>
        <w:top w:val="none" w:sz="0" w:space="0" w:color="auto"/>
        <w:left w:val="none" w:sz="0" w:space="0" w:color="auto"/>
        <w:bottom w:val="none" w:sz="0" w:space="0" w:color="auto"/>
        <w:right w:val="none" w:sz="0" w:space="0" w:color="auto"/>
      </w:divBdr>
    </w:div>
    <w:div w:id="454065732">
      <w:marLeft w:val="0"/>
      <w:marRight w:val="0"/>
      <w:marTop w:val="0"/>
      <w:marBottom w:val="0"/>
      <w:divBdr>
        <w:top w:val="none" w:sz="0" w:space="0" w:color="auto"/>
        <w:left w:val="none" w:sz="0" w:space="0" w:color="auto"/>
        <w:bottom w:val="none" w:sz="0" w:space="0" w:color="auto"/>
        <w:right w:val="none" w:sz="0" w:space="0" w:color="auto"/>
      </w:divBdr>
    </w:div>
    <w:div w:id="454065733">
      <w:marLeft w:val="0"/>
      <w:marRight w:val="0"/>
      <w:marTop w:val="0"/>
      <w:marBottom w:val="0"/>
      <w:divBdr>
        <w:top w:val="none" w:sz="0" w:space="0" w:color="auto"/>
        <w:left w:val="none" w:sz="0" w:space="0" w:color="auto"/>
        <w:bottom w:val="none" w:sz="0" w:space="0" w:color="auto"/>
        <w:right w:val="none" w:sz="0" w:space="0" w:color="auto"/>
      </w:divBdr>
    </w:div>
    <w:div w:id="457184148">
      <w:bodyDiv w:val="1"/>
      <w:marLeft w:val="0"/>
      <w:marRight w:val="0"/>
      <w:marTop w:val="0"/>
      <w:marBottom w:val="0"/>
      <w:divBdr>
        <w:top w:val="none" w:sz="0" w:space="0" w:color="auto"/>
        <w:left w:val="none" w:sz="0" w:space="0" w:color="auto"/>
        <w:bottom w:val="none" w:sz="0" w:space="0" w:color="auto"/>
        <w:right w:val="none" w:sz="0" w:space="0" w:color="auto"/>
      </w:divBdr>
    </w:div>
    <w:div w:id="617682708">
      <w:bodyDiv w:val="1"/>
      <w:marLeft w:val="0"/>
      <w:marRight w:val="0"/>
      <w:marTop w:val="0"/>
      <w:marBottom w:val="0"/>
      <w:divBdr>
        <w:top w:val="none" w:sz="0" w:space="0" w:color="auto"/>
        <w:left w:val="none" w:sz="0" w:space="0" w:color="auto"/>
        <w:bottom w:val="none" w:sz="0" w:space="0" w:color="auto"/>
        <w:right w:val="none" w:sz="0" w:space="0" w:color="auto"/>
      </w:divBdr>
    </w:div>
    <w:div w:id="640498536">
      <w:bodyDiv w:val="1"/>
      <w:marLeft w:val="0"/>
      <w:marRight w:val="0"/>
      <w:marTop w:val="0"/>
      <w:marBottom w:val="0"/>
      <w:divBdr>
        <w:top w:val="none" w:sz="0" w:space="0" w:color="auto"/>
        <w:left w:val="none" w:sz="0" w:space="0" w:color="auto"/>
        <w:bottom w:val="none" w:sz="0" w:space="0" w:color="auto"/>
        <w:right w:val="none" w:sz="0" w:space="0" w:color="auto"/>
      </w:divBdr>
    </w:div>
    <w:div w:id="675159852">
      <w:bodyDiv w:val="1"/>
      <w:marLeft w:val="0"/>
      <w:marRight w:val="0"/>
      <w:marTop w:val="0"/>
      <w:marBottom w:val="0"/>
      <w:divBdr>
        <w:top w:val="none" w:sz="0" w:space="0" w:color="auto"/>
        <w:left w:val="none" w:sz="0" w:space="0" w:color="auto"/>
        <w:bottom w:val="none" w:sz="0" w:space="0" w:color="auto"/>
        <w:right w:val="none" w:sz="0" w:space="0" w:color="auto"/>
      </w:divBdr>
    </w:div>
    <w:div w:id="743836554">
      <w:bodyDiv w:val="1"/>
      <w:marLeft w:val="0"/>
      <w:marRight w:val="0"/>
      <w:marTop w:val="0"/>
      <w:marBottom w:val="0"/>
      <w:divBdr>
        <w:top w:val="none" w:sz="0" w:space="0" w:color="auto"/>
        <w:left w:val="none" w:sz="0" w:space="0" w:color="auto"/>
        <w:bottom w:val="none" w:sz="0" w:space="0" w:color="auto"/>
        <w:right w:val="none" w:sz="0" w:space="0" w:color="auto"/>
      </w:divBdr>
    </w:div>
    <w:div w:id="930355700">
      <w:bodyDiv w:val="1"/>
      <w:marLeft w:val="0"/>
      <w:marRight w:val="0"/>
      <w:marTop w:val="0"/>
      <w:marBottom w:val="0"/>
      <w:divBdr>
        <w:top w:val="none" w:sz="0" w:space="0" w:color="auto"/>
        <w:left w:val="none" w:sz="0" w:space="0" w:color="auto"/>
        <w:bottom w:val="none" w:sz="0" w:space="0" w:color="auto"/>
        <w:right w:val="none" w:sz="0" w:space="0" w:color="auto"/>
      </w:divBdr>
    </w:div>
    <w:div w:id="1035228169">
      <w:bodyDiv w:val="1"/>
      <w:marLeft w:val="0"/>
      <w:marRight w:val="0"/>
      <w:marTop w:val="0"/>
      <w:marBottom w:val="0"/>
      <w:divBdr>
        <w:top w:val="none" w:sz="0" w:space="0" w:color="auto"/>
        <w:left w:val="none" w:sz="0" w:space="0" w:color="auto"/>
        <w:bottom w:val="none" w:sz="0" w:space="0" w:color="auto"/>
        <w:right w:val="none" w:sz="0" w:space="0" w:color="auto"/>
      </w:divBdr>
    </w:div>
    <w:div w:id="1122459928">
      <w:bodyDiv w:val="1"/>
      <w:marLeft w:val="0"/>
      <w:marRight w:val="0"/>
      <w:marTop w:val="0"/>
      <w:marBottom w:val="0"/>
      <w:divBdr>
        <w:top w:val="none" w:sz="0" w:space="0" w:color="auto"/>
        <w:left w:val="none" w:sz="0" w:space="0" w:color="auto"/>
        <w:bottom w:val="none" w:sz="0" w:space="0" w:color="auto"/>
        <w:right w:val="none" w:sz="0" w:space="0" w:color="auto"/>
      </w:divBdr>
    </w:div>
    <w:div w:id="1134521506">
      <w:bodyDiv w:val="1"/>
      <w:marLeft w:val="0"/>
      <w:marRight w:val="0"/>
      <w:marTop w:val="0"/>
      <w:marBottom w:val="0"/>
      <w:divBdr>
        <w:top w:val="none" w:sz="0" w:space="0" w:color="auto"/>
        <w:left w:val="none" w:sz="0" w:space="0" w:color="auto"/>
        <w:bottom w:val="none" w:sz="0" w:space="0" w:color="auto"/>
        <w:right w:val="none" w:sz="0" w:space="0" w:color="auto"/>
      </w:divBdr>
    </w:div>
    <w:div w:id="1348865433">
      <w:bodyDiv w:val="1"/>
      <w:marLeft w:val="0"/>
      <w:marRight w:val="0"/>
      <w:marTop w:val="0"/>
      <w:marBottom w:val="0"/>
      <w:divBdr>
        <w:top w:val="none" w:sz="0" w:space="0" w:color="auto"/>
        <w:left w:val="none" w:sz="0" w:space="0" w:color="auto"/>
        <w:bottom w:val="none" w:sz="0" w:space="0" w:color="auto"/>
        <w:right w:val="none" w:sz="0" w:space="0" w:color="auto"/>
      </w:divBdr>
    </w:div>
    <w:div w:id="1363552310">
      <w:bodyDiv w:val="1"/>
      <w:marLeft w:val="0"/>
      <w:marRight w:val="0"/>
      <w:marTop w:val="0"/>
      <w:marBottom w:val="0"/>
      <w:divBdr>
        <w:top w:val="none" w:sz="0" w:space="0" w:color="auto"/>
        <w:left w:val="none" w:sz="0" w:space="0" w:color="auto"/>
        <w:bottom w:val="none" w:sz="0" w:space="0" w:color="auto"/>
        <w:right w:val="none" w:sz="0" w:space="0" w:color="auto"/>
      </w:divBdr>
    </w:div>
    <w:div w:id="1462265029">
      <w:bodyDiv w:val="1"/>
      <w:marLeft w:val="0"/>
      <w:marRight w:val="0"/>
      <w:marTop w:val="0"/>
      <w:marBottom w:val="0"/>
      <w:divBdr>
        <w:top w:val="none" w:sz="0" w:space="0" w:color="auto"/>
        <w:left w:val="none" w:sz="0" w:space="0" w:color="auto"/>
        <w:bottom w:val="none" w:sz="0" w:space="0" w:color="auto"/>
        <w:right w:val="none" w:sz="0" w:space="0" w:color="auto"/>
      </w:divBdr>
    </w:div>
    <w:div w:id="1527596685">
      <w:bodyDiv w:val="1"/>
      <w:marLeft w:val="0"/>
      <w:marRight w:val="0"/>
      <w:marTop w:val="0"/>
      <w:marBottom w:val="0"/>
      <w:divBdr>
        <w:top w:val="none" w:sz="0" w:space="0" w:color="auto"/>
        <w:left w:val="none" w:sz="0" w:space="0" w:color="auto"/>
        <w:bottom w:val="none" w:sz="0" w:space="0" w:color="auto"/>
        <w:right w:val="none" w:sz="0" w:space="0" w:color="auto"/>
      </w:divBdr>
    </w:div>
    <w:div w:id="1530989750">
      <w:bodyDiv w:val="1"/>
      <w:marLeft w:val="0"/>
      <w:marRight w:val="0"/>
      <w:marTop w:val="0"/>
      <w:marBottom w:val="0"/>
      <w:divBdr>
        <w:top w:val="none" w:sz="0" w:space="0" w:color="auto"/>
        <w:left w:val="none" w:sz="0" w:space="0" w:color="auto"/>
        <w:bottom w:val="none" w:sz="0" w:space="0" w:color="auto"/>
        <w:right w:val="none" w:sz="0" w:space="0" w:color="auto"/>
      </w:divBdr>
    </w:div>
    <w:div w:id="1575779217">
      <w:bodyDiv w:val="1"/>
      <w:marLeft w:val="0"/>
      <w:marRight w:val="0"/>
      <w:marTop w:val="0"/>
      <w:marBottom w:val="0"/>
      <w:divBdr>
        <w:top w:val="none" w:sz="0" w:space="0" w:color="auto"/>
        <w:left w:val="none" w:sz="0" w:space="0" w:color="auto"/>
        <w:bottom w:val="none" w:sz="0" w:space="0" w:color="auto"/>
        <w:right w:val="none" w:sz="0" w:space="0" w:color="auto"/>
      </w:divBdr>
    </w:div>
    <w:div w:id="1582134353">
      <w:bodyDiv w:val="1"/>
      <w:marLeft w:val="0"/>
      <w:marRight w:val="0"/>
      <w:marTop w:val="0"/>
      <w:marBottom w:val="0"/>
      <w:divBdr>
        <w:top w:val="none" w:sz="0" w:space="0" w:color="auto"/>
        <w:left w:val="none" w:sz="0" w:space="0" w:color="auto"/>
        <w:bottom w:val="none" w:sz="0" w:space="0" w:color="auto"/>
        <w:right w:val="none" w:sz="0" w:space="0" w:color="auto"/>
      </w:divBdr>
    </w:div>
    <w:div w:id="1659379631">
      <w:bodyDiv w:val="1"/>
      <w:marLeft w:val="0"/>
      <w:marRight w:val="0"/>
      <w:marTop w:val="0"/>
      <w:marBottom w:val="0"/>
      <w:divBdr>
        <w:top w:val="none" w:sz="0" w:space="0" w:color="auto"/>
        <w:left w:val="none" w:sz="0" w:space="0" w:color="auto"/>
        <w:bottom w:val="none" w:sz="0" w:space="0" w:color="auto"/>
        <w:right w:val="none" w:sz="0" w:space="0" w:color="auto"/>
      </w:divBdr>
    </w:div>
    <w:div w:id="1700275311">
      <w:bodyDiv w:val="1"/>
      <w:marLeft w:val="0"/>
      <w:marRight w:val="0"/>
      <w:marTop w:val="0"/>
      <w:marBottom w:val="0"/>
      <w:divBdr>
        <w:top w:val="none" w:sz="0" w:space="0" w:color="auto"/>
        <w:left w:val="none" w:sz="0" w:space="0" w:color="auto"/>
        <w:bottom w:val="none" w:sz="0" w:space="0" w:color="auto"/>
        <w:right w:val="none" w:sz="0" w:space="0" w:color="auto"/>
      </w:divBdr>
    </w:div>
    <w:div w:id="1717584795">
      <w:bodyDiv w:val="1"/>
      <w:marLeft w:val="0"/>
      <w:marRight w:val="0"/>
      <w:marTop w:val="0"/>
      <w:marBottom w:val="0"/>
      <w:divBdr>
        <w:top w:val="none" w:sz="0" w:space="0" w:color="auto"/>
        <w:left w:val="none" w:sz="0" w:space="0" w:color="auto"/>
        <w:bottom w:val="none" w:sz="0" w:space="0" w:color="auto"/>
        <w:right w:val="none" w:sz="0" w:space="0" w:color="auto"/>
      </w:divBdr>
    </w:div>
    <w:div w:id="1795442942">
      <w:bodyDiv w:val="1"/>
      <w:marLeft w:val="0"/>
      <w:marRight w:val="0"/>
      <w:marTop w:val="0"/>
      <w:marBottom w:val="0"/>
      <w:divBdr>
        <w:top w:val="none" w:sz="0" w:space="0" w:color="auto"/>
        <w:left w:val="none" w:sz="0" w:space="0" w:color="auto"/>
        <w:bottom w:val="none" w:sz="0" w:space="0" w:color="auto"/>
        <w:right w:val="none" w:sz="0" w:space="0" w:color="auto"/>
      </w:divBdr>
    </w:div>
    <w:div w:id="1902255791">
      <w:bodyDiv w:val="1"/>
      <w:marLeft w:val="0"/>
      <w:marRight w:val="0"/>
      <w:marTop w:val="0"/>
      <w:marBottom w:val="0"/>
      <w:divBdr>
        <w:top w:val="none" w:sz="0" w:space="0" w:color="auto"/>
        <w:left w:val="none" w:sz="0" w:space="0" w:color="auto"/>
        <w:bottom w:val="none" w:sz="0" w:space="0" w:color="auto"/>
        <w:right w:val="none" w:sz="0" w:space="0" w:color="auto"/>
      </w:divBdr>
    </w:div>
    <w:div w:id="1907837593">
      <w:bodyDiv w:val="1"/>
      <w:marLeft w:val="0"/>
      <w:marRight w:val="0"/>
      <w:marTop w:val="0"/>
      <w:marBottom w:val="0"/>
      <w:divBdr>
        <w:top w:val="none" w:sz="0" w:space="0" w:color="auto"/>
        <w:left w:val="none" w:sz="0" w:space="0" w:color="auto"/>
        <w:bottom w:val="none" w:sz="0" w:space="0" w:color="auto"/>
        <w:right w:val="none" w:sz="0" w:space="0" w:color="auto"/>
      </w:divBdr>
    </w:div>
    <w:div w:id="1927884583">
      <w:bodyDiv w:val="1"/>
      <w:marLeft w:val="0"/>
      <w:marRight w:val="0"/>
      <w:marTop w:val="0"/>
      <w:marBottom w:val="0"/>
      <w:divBdr>
        <w:top w:val="none" w:sz="0" w:space="0" w:color="auto"/>
        <w:left w:val="none" w:sz="0" w:space="0" w:color="auto"/>
        <w:bottom w:val="none" w:sz="0" w:space="0" w:color="auto"/>
        <w:right w:val="none" w:sz="0" w:space="0" w:color="auto"/>
      </w:divBdr>
    </w:div>
    <w:div w:id="1934319854">
      <w:bodyDiv w:val="1"/>
      <w:marLeft w:val="0"/>
      <w:marRight w:val="0"/>
      <w:marTop w:val="0"/>
      <w:marBottom w:val="0"/>
      <w:divBdr>
        <w:top w:val="none" w:sz="0" w:space="0" w:color="auto"/>
        <w:left w:val="none" w:sz="0" w:space="0" w:color="auto"/>
        <w:bottom w:val="none" w:sz="0" w:space="0" w:color="auto"/>
        <w:right w:val="none" w:sz="0" w:space="0" w:color="auto"/>
      </w:divBdr>
    </w:div>
    <w:div w:id="1947492860">
      <w:bodyDiv w:val="1"/>
      <w:marLeft w:val="0"/>
      <w:marRight w:val="0"/>
      <w:marTop w:val="0"/>
      <w:marBottom w:val="0"/>
      <w:divBdr>
        <w:top w:val="none" w:sz="0" w:space="0" w:color="auto"/>
        <w:left w:val="none" w:sz="0" w:space="0" w:color="auto"/>
        <w:bottom w:val="none" w:sz="0" w:space="0" w:color="auto"/>
        <w:right w:val="none" w:sz="0" w:space="0" w:color="auto"/>
      </w:divBdr>
    </w:div>
    <w:div w:id="2051760672">
      <w:bodyDiv w:val="1"/>
      <w:marLeft w:val="0"/>
      <w:marRight w:val="0"/>
      <w:marTop w:val="0"/>
      <w:marBottom w:val="0"/>
      <w:divBdr>
        <w:top w:val="none" w:sz="0" w:space="0" w:color="auto"/>
        <w:left w:val="none" w:sz="0" w:space="0" w:color="auto"/>
        <w:bottom w:val="none" w:sz="0" w:space="0" w:color="auto"/>
        <w:right w:val="none" w:sz="0" w:space="0" w:color="auto"/>
      </w:divBdr>
    </w:div>
    <w:div w:id="211983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10.xml"/><Relationship Id="rId117" Type="http://schemas.openxmlformats.org/officeDocument/2006/relationships/hyperlink" Target="consultantplus://offline/ref=96C6559BE1C62126148C389E05D81670C98E10669E49AA12B91936A96E5DE5C82D9E1C63EDEB21402F1BE915DC3ABD633D2FA21D3839465FM9v8G" TargetMode="External"/><Relationship Id="rId21" Type="http://schemas.openxmlformats.org/officeDocument/2006/relationships/footer" Target="footer6.xml"/><Relationship Id="rId42" Type="http://schemas.openxmlformats.org/officeDocument/2006/relationships/hyperlink" Target="consultantplus://offline/ref=1572B2FF8BEA3E97E524CC81A0FF53E6C5D6784AE9B54EB710830C4045F6AC84787266A8495C4CDC5023BF7E93EFB3FC5EECCA27BA67R5pCN" TargetMode="External"/><Relationship Id="rId47" Type="http://schemas.openxmlformats.org/officeDocument/2006/relationships/hyperlink" Target="consultantplus://offline/ref=1572B2FF8BEA3E97E524CC81A0FF53E6C5D6784AE9B54EB710830C4045F6AC84787266A8495C4CDC5023BF7E93EFB3FC5EECCA27BA67R5pCN" TargetMode="External"/><Relationship Id="rId63" Type="http://schemas.openxmlformats.org/officeDocument/2006/relationships/hyperlink" Target="consultantplus://offline/ref=1572B2FF8BEA3E97E524CC81A0FF53E6C5D6784AE9B54EB710830C4045F6AC84787266A8495C4CDC5023BF7E93EFB3FC5EECCA27BA67R5pCN" TargetMode="External"/><Relationship Id="rId68" Type="http://schemas.openxmlformats.org/officeDocument/2006/relationships/hyperlink" Target="consultantplus://offline/ref=1572B2FF8BEA3E97E524CC81A0FF53E6C5D6784AE9B54EB710830C4045F6AC84787266A8495C4CDC5023BF7E93EFB3FC5EECCA27BA67R5pCN" TargetMode="External"/><Relationship Id="rId84" Type="http://schemas.openxmlformats.org/officeDocument/2006/relationships/hyperlink" Target="consultantplus://offline/ref=96C6559BE1C62126148C389E05D81670C98E11689A4DAA12B91936A96E5DE5C82D9E1C63EDEA2445271BE915DC3ABD633D2FA21D3839465FM9v8G" TargetMode="External"/><Relationship Id="rId89" Type="http://schemas.openxmlformats.org/officeDocument/2006/relationships/image" Target="media/image27.wmf"/><Relationship Id="rId112" Type="http://schemas.openxmlformats.org/officeDocument/2006/relationships/hyperlink" Target="consultantplus://offline/ref=1572B2FF8BEA3E97E524CC81A0FF53E6C5D6784AE9B54EB710830C4045F6AC84787266A8495C4CDC5023BF7E93EFB3FC5EECCA27BA67R5pCN" TargetMode="External"/><Relationship Id="rId16" Type="http://schemas.openxmlformats.org/officeDocument/2006/relationships/hyperlink" Target="https://internet.garant.ru/" TargetMode="External"/><Relationship Id="rId107" Type="http://schemas.openxmlformats.org/officeDocument/2006/relationships/hyperlink" Target="consultantplus://offline/ref=96C6559BE1C62126148C389E05D81670C98E10669E49AA12B91936A96E5DE5C82D9E1C65E4E322497A41F911956FB37D3E32BC1C2639M4v6G" TargetMode="External"/><Relationship Id="rId11" Type="http://schemas.openxmlformats.org/officeDocument/2006/relationships/footer" Target="footer4.xml"/><Relationship Id="rId32" Type="http://schemas.openxmlformats.org/officeDocument/2006/relationships/image" Target="media/image2.jpg"/><Relationship Id="rId37" Type="http://schemas.openxmlformats.org/officeDocument/2006/relationships/image" Target="media/image6.wmf"/><Relationship Id="rId53" Type="http://schemas.openxmlformats.org/officeDocument/2006/relationships/image" Target="media/image11.wmf"/><Relationship Id="rId58" Type="http://schemas.openxmlformats.org/officeDocument/2006/relationships/image" Target="media/image16.wmf"/><Relationship Id="rId74" Type="http://schemas.openxmlformats.org/officeDocument/2006/relationships/image" Target="media/image23.wmf"/><Relationship Id="rId79" Type="http://schemas.openxmlformats.org/officeDocument/2006/relationships/hyperlink" Target="consultantplus://offline/ref=1572B2FF8BEA3E97E524CC81A0FF53E6C5D6784AE9B54EB710830C4045F6AC84787266A8495C4CDC5023BF7E93EFB3FC5EECCA27BA67R5pCN" TargetMode="External"/><Relationship Id="rId102" Type="http://schemas.openxmlformats.org/officeDocument/2006/relationships/oleObject" Target="embeddings/oleObject2.bin"/><Relationship Id="rId123" Type="http://schemas.openxmlformats.org/officeDocument/2006/relationships/hyperlink" Target="consultantplus://offline/ref=96C6559BE1C62126148C389E05D81670C98E10669E49AA12B91936A96E5DE5C82D9E1C6AEEEE25497A41F911956FB37D3E32BC1C2639M4v6G" TargetMode="External"/><Relationship Id="rId5" Type="http://schemas.openxmlformats.org/officeDocument/2006/relationships/webSettings" Target="webSettings.xml"/><Relationship Id="rId90" Type="http://schemas.openxmlformats.org/officeDocument/2006/relationships/image" Target="media/image28.wmf"/><Relationship Id="rId95" Type="http://schemas.openxmlformats.org/officeDocument/2006/relationships/hyperlink" Target="consultantplus://offline/ref=1572B2FF8BEA3E97E524CC81A0FF53E6C5D6784AE9B54EB710830C4045F6AC84787266A8495C4CDC5023BF7E93EFB3FC5EECCA27BA67R5pCN" TargetMode="External"/><Relationship Id="rId22" Type="http://schemas.openxmlformats.org/officeDocument/2006/relationships/footer" Target="footer7.xml"/><Relationship Id="rId27" Type="http://schemas.openxmlformats.org/officeDocument/2006/relationships/footer" Target="footer11.xml"/><Relationship Id="rId43" Type="http://schemas.openxmlformats.org/officeDocument/2006/relationships/hyperlink" Target="consultantplus://offline/ref=1572B2FF8BEA3E97E524CC81A0FF53E6C5D6784AE9B54EB710830C4045F6AC84787266A8495C4CDC5023BF7E93EFB3FC5EECCA27BA67R5pCN" TargetMode="External"/><Relationship Id="rId48" Type="http://schemas.openxmlformats.org/officeDocument/2006/relationships/hyperlink" Target="consultantplus://offline/ref=1572B2FF8BEA3E97E524CC81A0FF53E6C5D6784AE9B54EB710830C4045F6AC84787266A8495C4CDC5023BF7E93EFB3FC5EECCA27BA67R5pCN" TargetMode="External"/><Relationship Id="rId64" Type="http://schemas.openxmlformats.org/officeDocument/2006/relationships/hyperlink" Target="consultantplus://offline/ref=1572B2FF8BEA3E97E524CC81A0FF53E6C5D6784AE9B54EB710830C4045F6AC84787266A8495C4CDC5023BF7E93EFB3FC5EECCA27BA67R5pCN" TargetMode="External"/><Relationship Id="rId69" Type="http://schemas.openxmlformats.org/officeDocument/2006/relationships/hyperlink" Target="consultantplus://offline/ref=96C6559BE1C62126148C389E05D81670C98E10669E49AA12B91936A96E5DE5C82D9E1C6AE8ED2C167F54E849986CAE633D2FA01E24M3vBG" TargetMode="External"/><Relationship Id="rId113" Type="http://schemas.openxmlformats.org/officeDocument/2006/relationships/hyperlink" Target="consultantplus://offline/ref=96C6559BE1C62126148C389E05D81670C98E10669E49AA12B91936A96E5DE5C82D9E1C6AEEEE25497A41F911956FB37D3E32BC1C2639M4v6G" TargetMode="External"/><Relationship Id="rId118" Type="http://schemas.openxmlformats.org/officeDocument/2006/relationships/hyperlink" Target="consultantplus://offline/ref=96C6559BE1C62126148C389E05D81670C98E10669E49AA12B91936A96E5DE5C82D9E1C6AEEEE25497A41F911956FB37D3E32BC1C2639M4v6G" TargetMode="External"/><Relationship Id="rId80" Type="http://schemas.openxmlformats.org/officeDocument/2006/relationships/hyperlink" Target="consultantplus://offline/ref=96C6559BE1C62126148C389E05D81670C98E10669E49AA12B91936A96E5DE5C82D9E1C6AEEEE25497A41F911956FB37D3E32BC1C2639M4v6G" TargetMode="External"/><Relationship Id="rId85" Type="http://schemas.openxmlformats.org/officeDocument/2006/relationships/hyperlink" Target="consultantplus://offline/ref=96C6559BE1C62126148C389E05D81670C98817689F44AA12B91936A96E5DE5C82D9E1C66E5EA23497A41F911956FB37D3E32BC1C2639M4v6G" TargetMode="Externa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33" Type="http://schemas.openxmlformats.org/officeDocument/2006/relationships/hyperlink" Target="consultantplus://offline/ref=96C6559BE1C62126148C389E05D81670C98E10669E49AA12B91936A96E5DE5C82D9E1C6AEFE22C167F54E849986CAE633D2FA01E24M3vBG" TargetMode="External"/><Relationship Id="rId38" Type="http://schemas.openxmlformats.org/officeDocument/2006/relationships/image" Target="media/image7.wmf"/><Relationship Id="rId59" Type="http://schemas.openxmlformats.org/officeDocument/2006/relationships/image" Target="media/image17.wmf"/><Relationship Id="rId103" Type="http://schemas.openxmlformats.org/officeDocument/2006/relationships/hyperlink" Target="consultantplus://offline/ref=68AC7EC483A697161A10D0C11FFD25583730F7592CE7EB37F76637C1288816291167614526E97CD078DC7303E81BEBD97D0A5C2C5684g7X7N" TargetMode="External"/><Relationship Id="rId108" Type="http://schemas.openxmlformats.org/officeDocument/2006/relationships/hyperlink" Target="consultantplus://offline/ref=96C6559BE1C62126148C389E05D81670C98E10669E49AA12B91936A96E5DE5C82D9E1C63EDEB21402F1BE915DC3ABD633D2FA21D3839465FM9v8G" TargetMode="External"/><Relationship Id="rId124" Type="http://schemas.openxmlformats.org/officeDocument/2006/relationships/hyperlink" Target="consultantplus://offline/ref=1572B2FF8BEA3E97E524CC81A0FF53E6C5D6784AE9B54EB710830C4045F6AC84787266A8495C4CDC5023BF7E93EFB3FC5EECCA27BA67R5pCN" TargetMode="External"/><Relationship Id="rId54" Type="http://schemas.openxmlformats.org/officeDocument/2006/relationships/image" Target="media/image12.wmf"/><Relationship Id="rId70" Type="http://schemas.openxmlformats.org/officeDocument/2006/relationships/image" Target="media/image19.wmf"/><Relationship Id="rId75" Type="http://schemas.openxmlformats.org/officeDocument/2006/relationships/image" Target="media/image24.wmf"/><Relationship Id="rId91" Type="http://schemas.openxmlformats.org/officeDocument/2006/relationships/image" Target="media/image29.wmf"/><Relationship Id="rId96" Type="http://schemas.openxmlformats.org/officeDocument/2006/relationships/hyperlink" Target="consultantplus://offline/ref=96C6559BE1C62126148C389E05D81670C98E10669E49AA12B91936A96E5DE5C82D9E1C6AEEEE25497A41F911956FB37D3E32BC1C2639M4v6G"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footer" Target="footer8.xml"/><Relationship Id="rId28" Type="http://schemas.openxmlformats.org/officeDocument/2006/relationships/footer" Target="footer12.xml"/><Relationship Id="rId49" Type="http://schemas.openxmlformats.org/officeDocument/2006/relationships/hyperlink" Target="consultantplus://offline/ref=1572B2FF8BEA3E97E524CC81A0FF53E6C5D6784AE9B54EB710830C4045F6AC84787266A8495C4CDC5023BF7E93EFB3FC5EECCA27BA67R5pCN" TargetMode="External"/><Relationship Id="rId114" Type="http://schemas.openxmlformats.org/officeDocument/2006/relationships/hyperlink" Target="consultantplus://offline/ref=1572B2FF8BEA3E97E524CC81A0FF53E6C5D6784AE9B54EB710830C4045F6AC84787266A8495C4CDC5023BF7E93EFB3FC5EECCA27BA67R5pCN" TargetMode="External"/><Relationship Id="rId119" Type="http://schemas.openxmlformats.org/officeDocument/2006/relationships/hyperlink" Target="consultantplus://offline/ref=68AC7EC483A697161A10D0C11FFD25583730F7592CE7EB37F76637C1288816291167614526E97CD078DC7303E81BEBD97D0A5C2C5684g7X7N" TargetMode="External"/><Relationship Id="rId44" Type="http://schemas.openxmlformats.org/officeDocument/2006/relationships/hyperlink" Target="consultantplus://offline/ref=1572B2FF8BEA3E97E524CC81A0FF53E6C5D6784AE9B54EB710830C4045F6AC84787266A8495C4CDC5023BF7E93EFB3FC5EECCA27BA67R5pCN" TargetMode="External"/><Relationship Id="rId60" Type="http://schemas.openxmlformats.org/officeDocument/2006/relationships/image" Target="media/image18.wmf"/><Relationship Id="rId65" Type="http://schemas.openxmlformats.org/officeDocument/2006/relationships/hyperlink" Target="consultantplus://offline/ref=1572B2FF8BEA3E97E524CC81A0FF53E6C5D6784AE9B54EB710830C4045F6AC84787266A8495C4CDC5023BF7E93EFB3FC5EECCA27BA67R5pCN" TargetMode="External"/><Relationship Id="rId81" Type="http://schemas.openxmlformats.org/officeDocument/2006/relationships/hyperlink" Target="consultantplus://offline/ref=1572B2FF8BEA3E97E524CC81A0FF53E6C5D6784AE9B54EB710830C4045F6AC84787266A8495C4CDC5023BF7E93EFB3FC5EECCA27BA67R5pCN" TargetMode="External"/><Relationship Id="rId86" Type="http://schemas.openxmlformats.org/officeDocument/2006/relationships/hyperlink" Target="consultantplus://offline/ref=96C6559BE1C62126148C389E05D81670C98E10669E49AA12B91936A96E5DE5C82D9E1C60E9E926497A41F911956FB37D3E32BC1C2639M4v6G" TargetMode="Externa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39" Type="http://schemas.openxmlformats.org/officeDocument/2006/relationships/image" Target="media/image8.wmf"/><Relationship Id="rId109" Type="http://schemas.openxmlformats.org/officeDocument/2006/relationships/image" Target="media/image31.wmf"/><Relationship Id="rId34" Type="http://schemas.openxmlformats.org/officeDocument/2006/relationships/image" Target="media/image3.wmf"/><Relationship Id="rId50" Type="http://schemas.openxmlformats.org/officeDocument/2006/relationships/hyperlink" Target="consultantplus://offline/ref=96C6559BE1C62126148C389E05D81670C98E10669E49AA12B91936A96E5DE5C82D9E1C6AEEE22C167F54E849986CAE633D2FA01E24M3vBG" TargetMode="External"/><Relationship Id="rId55" Type="http://schemas.openxmlformats.org/officeDocument/2006/relationships/image" Target="media/image13.wmf"/><Relationship Id="rId76" Type="http://schemas.openxmlformats.org/officeDocument/2006/relationships/hyperlink" Target="consultantplus://offline/ref=1572B2FF8BEA3E97E524CC81A0FF53E6C5D6784AE9B54EB710830C4045F6AC84787266A8495C4CDC5023BF7E93EFB3FC5EECCA27BA67R5pCN" TargetMode="External"/><Relationship Id="rId97" Type="http://schemas.openxmlformats.org/officeDocument/2006/relationships/hyperlink" Target="consultantplus://offline/ref=1572B2FF8BEA3E97E524CC81A0FF53E6C5D6784AE9B54EB710830C4045F6AC84787266A8495C4CDC5023BF7E93EFB3FC5EECCA27BA67R5pCN" TargetMode="External"/><Relationship Id="rId104" Type="http://schemas.openxmlformats.org/officeDocument/2006/relationships/hyperlink" Target="consultantplus://offline/ref=68AC7EC483A697161A10D0C11FFD25583730F7592CE7EB37F76637C1288816291167614526E97CD078DC7303E81BEBD97D0A5C2C5684g7X7N" TargetMode="External"/><Relationship Id="rId120" Type="http://schemas.openxmlformats.org/officeDocument/2006/relationships/hyperlink" Target="consultantplus://offline/ref=1572B2FF8BEA3E97E524CC81A0FF53E6C5D6784AE9B54EB710830C4045F6AC84787266A3495E45DC5023BF7E93EFB3FC5EECCA27BA67R5pCN" TargetMode="External"/><Relationship Id="rId125" Type="http://schemas.openxmlformats.org/officeDocument/2006/relationships/hyperlink" Target="consultantplus://offline/ref=FD526FD7112657A822988DA68B38731CE5F414C328333D21D8D70B478423AA1CE1C13D68a3f5L" TargetMode="External"/><Relationship Id="rId7" Type="http://schemas.openxmlformats.org/officeDocument/2006/relationships/endnotes" Target="endnotes.xml"/><Relationship Id="rId71" Type="http://schemas.openxmlformats.org/officeDocument/2006/relationships/image" Target="media/image20.wmf"/><Relationship Id="rId92" Type="http://schemas.openxmlformats.org/officeDocument/2006/relationships/hyperlink" Target="consultantplus://offline/ref=1572B2FF8BEA3E97E524CC81A0FF53E6C5D6784AE9B54EB710830C4045F6AC84787266A8495C4CDC5023BF7E93EFB3FC5EECCA27BA67R5pCN" TargetMode="External"/><Relationship Id="rId2" Type="http://schemas.openxmlformats.org/officeDocument/2006/relationships/numbering" Target="numbering.xml"/><Relationship Id="rId29" Type="http://schemas.openxmlformats.org/officeDocument/2006/relationships/image" Target="media/image1.wmf"/><Relationship Id="rId24" Type="http://schemas.openxmlformats.org/officeDocument/2006/relationships/hyperlink" Target="consultantplus://offline/ref=64983866AE827D5B0519AB490DEAB5D2A8731B8E36071105B2F6A12EEF0551E873F8B30BE177696A23NEN" TargetMode="External"/><Relationship Id="rId40" Type="http://schemas.openxmlformats.org/officeDocument/2006/relationships/image" Target="media/image9.wmf"/><Relationship Id="rId45" Type="http://schemas.openxmlformats.org/officeDocument/2006/relationships/hyperlink" Target="consultantplus://offline/ref=1572B2FF8BEA3E97E524CC81A0FF53E6C5D6784AE9B54EB710830C4045F6AC84787266A8495C4CDC5023BF7E93EFB3FC5EECCA27BA67R5pCN" TargetMode="External"/><Relationship Id="rId66" Type="http://schemas.openxmlformats.org/officeDocument/2006/relationships/hyperlink" Target="consultantplus://offline/ref=1572B2FF8BEA3E97E524CC81A0FF53E6C5D6784AE9B54EB710830C4045F6AC84787266A8495C4CDC5023BF7E93EFB3FC5EECCA27BA67R5pCN" TargetMode="External"/><Relationship Id="rId87" Type="http://schemas.openxmlformats.org/officeDocument/2006/relationships/image" Target="media/image25.wmf"/><Relationship Id="rId110" Type="http://schemas.openxmlformats.org/officeDocument/2006/relationships/image" Target="media/image32.wmf"/><Relationship Id="rId115" Type="http://schemas.openxmlformats.org/officeDocument/2006/relationships/hyperlink" Target="consultantplus://offline/ref=96C6559BE1C62126148C389E05D81670C98E10669E49AA12B91936A96E5DE5C82D9E1C6AEEEE25497A41F911956FB37D3E32BC1C2639M4v6G" TargetMode="External"/><Relationship Id="rId61" Type="http://schemas.openxmlformats.org/officeDocument/2006/relationships/hyperlink" Target="consultantplus://offline/ref=1572B2FF8BEA3E97E524CC81A0FF53E6C5D6784AE9B54EB710830C4045F6AC84787266A8495C4CDC5023BF7E93EFB3FC5EECCA27BA67R5pCN" TargetMode="External"/><Relationship Id="rId82" Type="http://schemas.openxmlformats.org/officeDocument/2006/relationships/hyperlink" Target="consultantplus://offline/ref=96C6559BE1C62126148C389E05D81670C98E10669E49AA12B91936A96E5DE5C82D9E1C6AEEEE25497A41F911956FB37D3E32BC1C2639M4v6G" TargetMode="External"/><Relationship Id="rId19" Type="http://schemas.openxmlformats.org/officeDocument/2006/relationships/hyperlink" Target="https://internet.garant.ru/" TargetMode="External"/><Relationship Id="rId14" Type="http://schemas.openxmlformats.org/officeDocument/2006/relationships/hyperlink" Target="https://internet.garant.ru/" TargetMode="External"/><Relationship Id="rId30" Type="http://schemas.openxmlformats.org/officeDocument/2006/relationships/oleObject" Target="embeddings/oleObject1.bin"/><Relationship Id="rId35" Type="http://schemas.openxmlformats.org/officeDocument/2006/relationships/image" Target="media/image4.wmf"/><Relationship Id="rId56" Type="http://schemas.openxmlformats.org/officeDocument/2006/relationships/image" Target="media/image14.wmf"/><Relationship Id="rId77" Type="http://schemas.openxmlformats.org/officeDocument/2006/relationships/hyperlink" Target="consultantplus://offline/ref=1572B2FF8BEA3E97E524CC81A0FF53E6C5D6784AE9B54EB710830C4045F6AC84787266A8495C4CDC5023BF7E93EFB3FC5EECCA27BA67R5pCN" TargetMode="External"/><Relationship Id="rId100" Type="http://schemas.openxmlformats.org/officeDocument/2006/relationships/hyperlink" Target="https://internet.garant.ru/" TargetMode="External"/><Relationship Id="rId105" Type="http://schemas.openxmlformats.org/officeDocument/2006/relationships/hyperlink" Target="consultantplus://offline/ref=96C6559BE1C62126148C389E05D81670C98E10669E49AA12B91936A96E5DE5C82D9E1C6AEEEE25497A41F911956FB37D3E32BC1C2639M4v6G" TargetMode="External"/><Relationship Id="rId126" Type="http://schemas.openxmlformats.org/officeDocument/2006/relationships/fontTable" Target="fontTable.xml"/><Relationship Id="rId8" Type="http://schemas.openxmlformats.org/officeDocument/2006/relationships/footer" Target="footer1.xml"/><Relationship Id="rId51" Type="http://schemas.openxmlformats.org/officeDocument/2006/relationships/hyperlink" Target="consultantplus://offline/ref=96C6559BE1C62126148C389E05D81670C98E10669E49AA12B91936A96E5DE5C82D9E1C6AE8ED2C167F54E849986CAE633D2FA01E24M3vBG" TargetMode="External"/><Relationship Id="rId72" Type="http://schemas.openxmlformats.org/officeDocument/2006/relationships/image" Target="media/image21.wmf"/><Relationship Id="rId93" Type="http://schemas.openxmlformats.org/officeDocument/2006/relationships/hyperlink" Target="consultantplus://offline/ref=1572B2FF8BEA3E97E524CC81A0FF53E6C5D6784AE9B54EB710830C4045F6AC84787266A8495C4CDC5023BF7E93EFB3FC5EECCA27BA67R5pCN" TargetMode="External"/><Relationship Id="rId98" Type="http://schemas.openxmlformats.org/officeDocument/2006/relationships/hyperlink" Target="consultantplus://offline/ref=96C6559BE1C62126148C389E05D81670C98E10669E49AA12B91936A96E5DE5C82D9E1C6AEEEE25497A41F911956FB37D3E32BC1C2639M4v6G" TargetMode="External"/><Relationship Id="rId121" Type="http://schemas.openxmlformats.org/officeDocument/2006/relationships/hyperlink" Target="consultantplus://offline/ref=1572B2FF8BEA3E97E524CC81A0FF53E6C5D6784AE9B54EB710830C4045F6AC84787266A94B5D4F835536AE269FE9AAE258F4D625BBR6pFN" TargetMode="External"/><Relationship Id="rId3" Type="http://schemas.openxmlformats.org/officeDocument/2006/relationships/styles" Target="styles.xml"/><Relationship Id="rId25" Type="http://schemas.openxmlformats.org/officeDocument/2006/relationships/footer" Target="footer9.xml"/><Relationship Id="rId46" Type="http://schemas.openxmlformats.org/officeDocument/2006/relationships/hyperlink" Target="consultantplus://offline/ref=1572B2FF8BEA3E97E524CC81A0FF53E6C5D6784AE9B54EB710830C4045F6AC84787266A8495C4CDC5023BF7E93EFB3FC5EECCA27BA67R5pCN" TargetMode="External"/><Relationship Id="rId67" Type="http://schemas.openxmlformats.org/officeDocument/2006/relationships/hyperlink" Target="consultantplus://offline/ref=1572B2FF8BEA3E97E524CC81A0FF53E6C5D6784AE9B54EB710830C4045F6AC84787266A8495C4CDC5023BF7E93EFB3FC5EECCA27BA67R5pCN" TargetMode="External"/><Relationship Id="rId116" Type="http://schemas.openxmlformats.org/officeDocument/2006/relationships/hyperlink" Target="consultantplus://offline/ref=96C6559BE1C62126148C389E05D81670C98E10669E49AA12B91936A96E5DE5C82D9E1C65E4E322497A41F911956FB37D3E32BC1C2639M4v6G" TargetMode="External"/><Relationship Id="rId20" Type="http://schemas.openxmlformats.org/officeDocument/2006/relationships/footer" Target="footer5.xml"/><Relationship Id="rId41" Type="http://schemas.openxmlformats.org/officeDocument/2006/relationships/image" Target="media/image10.wmf"/><Relationship Id="rId62" Type="http://schemas.openxmlformats.org/officeDocument/2006/relationships/hyperlink" Target="consultantplus://offline/ref=1572B2FF8BEA3E97E524CC81A0FF53E6C5D6784AE9B54EB710830C4045F6AC84787266A8495C4CDC5023BF7E93EFB3FC5EECCA27BA67R5pCN" TargetMode="External"/><Relationship Id="rId83" Type="http://schemas.openxmlformats.org/officeDocument/2006/relationships/hyperlink" Target="consultantplus://offline/ref=96C6559BE1C62126148C389E05D81670C98E10669E49AA12B91936A96E5DE5C82D9E1C6AEEEE25497A41F911956FB37D3E32BC1C2639M4v6G" TargetMode="External"/><Relationship Id="rId88" Type="http://schemas.openxmlformats.org/officeDocument/2006/relationships/image" Target="media/image26.wmf"/><Relationship Id="rId111" Type="http://schemas.openxmlformats.org/officeDocument/2006/relationships/hyperlink" Target="consultantplus://offline/ref=96C6559BE1C62126148C389E05D81670C98E10669E49AA12B91936A96E5DE5C82D9E1C6AEEEE25497A41F911956FB37D3E32BC1C2639M4v6G" TargetMode="External"/><Relationship Id="rId15" Type="http://schemas.openxmlformats.org/officeDocument/2006/relationships/hyperlink" Target="https://internet.garant.ru/" TargetMode="External"/><Relationship Id="rId36" Type="http://schemas.openxmlformats.org/officeDocument/2006/relationships/image" Target="media/image5.wmf"/><Relationship Id="rId57" Type="http://schemas.openxmlformats.org/officeDocument/2006/relationships/image" Target="media/image15.wmf"/><Relationship Id="rId106" Type="http://schemas.openxmlformats.org/officeDocument/2006/relationships/hyperlink" Target="consultantplus://offline/ref=96C6559BE1C62126148C389E05D81670C98E10669E49AA12B91936A96E5DE5C82D9E1C6AEEEE25497A41F911956FB37D3E32BC1C2639M4v6G" TargetMode="External"/><Relationship Id="rId127" Type="http://schemas.openxmlformats.org/officeDocument/2006/relationships/theme" Target="theme/theme1.xml"/><Relationship Id="rId10" Type="http://schemas.openxmlformats.org/officeDocument/2006/relationships/footer" Target="footer3.xml"/><Relationship Id="rId31" Type="http://schemas.openxmlformats.org/officeDocument/2006/relationships/hyperlink" Target="consultantplus://offline/ref=9992D540927CCC5423DCF74E3DB3115519C7CF3143333F84863E2402E4C5364F294AC7456C7FDF723085C61409QDi3K" TargetMode="External"/><Relationship Id="rId52" Type="http://schemas.openxmlformats.org/officeDocument/2006/relationships/hyperlink" Target="consultantplus://offline/ref=96C6559BE1C62126148C389E05D81670C98E10669E49AA12B91936A96E5DE5C82D9E1C6AEEE22C167F54E849986CAE633D2FA01E24M3vBG" TargetMode="External"/><Relationship Id="rId73" Type="http://schemas.openxmlformats.org/officeDocument/2006/relationships/image" Target="media/image22.wmf"/><Relationship Id="rId78" Type="http://schemas.openxmlformats.org/officeDocument/2006/relationships/hyperlink" Target="consultantplus://offline/ref=1572B2FF8BEA3E97E524CC81A0FF53E6C5D6784AE9B54EB710830C4045F6AC84787266A8495C4CDC5023BF7E93EFB3FC5EECCA27BA67R5pCN" TargetMode="External"/><Relationship Id="rId94" Type="http://schemas.openxmlformats.org/officeDocument/2006/relationships/hyperlink" Target="consultantplus://offline/ref=1572B2FF8BEA3E97E524CC81A0FF53E6C5D6784AE9B54EB710830C4045F6AC84787266A8495C4CDC5023BF7E93EFB3FC5EECCA27BA67R5pCN" TargetMode="External"/><Relationship Id="rId99" Type="http://schemas.openxmlformats.org/officeDocument/2006/relationships/hyperlink" Target="consultantplus://offline/ref=96C6559BE1C62126148C389E05D81670C98E10669E49AA12B91936A96E5DE5C82D9E1C6AEEEE25497A41F911956FB37D3E32BC1C2639M4v6G" TargetMode="External"/><Relationship Id="rId101" Type="http://schemas.openxmlformats.org/officeDocument/2006/relationships/image" Target="media/image30.wmf"/><Relationship Id="rId122" Type="http://schemas.openxmlformats.org/officeDocument/2006/relationships/hyperlink" Target="consultantplus://offline/ref=96C6559BE1C62126148C389E05D81670C98E10669E49AA12B91936A96E5DE5C82D9E1C6AEEEE25497A41F911956FB37D3E32BC1C2639M4v6G"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DB2F2-A0F0-4D66-9090-7518017C2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370</Pages>
  <Words>113958</Words>
  <Characters>649566</Characters>
  <Application>Microsoft Office Word</Application>
  <DocSecurity>0</DocSecurity>
  <Lines>5413</Lines>
  <Paragraphs>1523</Paragraphs>
  <ScaleCrop>false</ScaleCrop>
  <HeadingPairs>
    <vt:vector size="2" baseType="variant">
      <vt:variant>
        <vt:lpstr>Название</vt:lpstr>
      </vt:variant>
      <vt:variant>
        <vt:i4>1</vt:i4>
      </vt:variant>
    </vt:vector>
  </HeadingPairs>
  <TitlesOfParts>
    <vt:vector size="1" baseType="lpstr">
      <vt:lpstr>Налог, взимаемый в связи с применением</vt:lpstr>
    </vt:vector>
  </TitlesOfParts>
  <Company>DepFin</Company>
  <LinksUpToDate>false</LinksUpToDate>
  <CharactersWithSpaces>762001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Налог, взимаемый в связи с применением</dc:title>
  <dc:creator>Галтелова</dc:creator>
  <cp:lastModifiedBy>Карташева Олеся</cp:lastModifiedBy>
  <cp:revision>3</cp:revision>
  <cp:lastPrinted>2021-10-11T14:17:00Z</cp:lastPrinted>
  <dcterms:created xsi:type="dcterms:W3CDTF">2021-11-26T09:57:00Z</dcterms:created>
  <dcterms:modified xsi:type="dcterms:W3CDTF">2021-12-03T06:27:00Z</dcterms:modified>
</cp:coreProperties>
</file>